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المؤلّفين</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نمایه مؤلفان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آباده اي ، محمّد جعفر بن محمّد صفي،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آبذي ، احمد بن محمّد 800 - 860 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آبي ، حسن بن ابي طالب ، قرن 7 ه- كشف الرموز = شرح مختصر نافع</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آبي ، منصور بن حسين - 421 ه- نثر الدرر في المحاضرات، ج 16،</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آثاري ، شعبان بن محمّد، 765 - 828 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آجري ، محمّد بن حسين - 360 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آخوند خراساني ، محمّد کاظم بن حسين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آذري طوسي ، حمزة بن علي، 784-866ه-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آراني كاشاني ، ابوطالب بن محمّد حسن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آراني كاشاني ، محمّد علي بن محمّد حسن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آرزو ، سراج الدين علي بن حسام الدين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آزاد بلگرامي ، مير غلامعلي بن نوح</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آشتياني، محمّد حسن بن جعفر، 1248؟ -</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آشتياني، محمود بن مرتضى 1304 -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آشني ، عبدالله بن محمود</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آطه وي ، عبد الرحيم بن مظفر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آطه وي ، مصطفى بن حمزه ، قرن 11 ه- نتائج الأفكار في شرح اظهار الاسرار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آغاجليلي ، علي بن يونس - 1147 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آغازاده، احمد بن اسماعیل قرن 12 ه- شرح الايساغوجي، ج9، ص270</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آقابزرگ طهراني ، محمّد محسن، 1293 -</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آقا جمال خوانساری ، محمّد بن حسين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آقا ضياء عراقي، 1278 - 1361 ه-</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آقا محمّد علي كرمانشاهي، 1144-1216ه-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آقا نجفي ،</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آقا نجفي ، محمّد تقي بن محمّد باقر،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آقحصاري رومي ، احمد بن محمّد -</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آقحصاري ، لطف الله بن شجاع الدین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آقسرائي ، سعد بن اسماعيل</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آقسرائي عبد الرحمن بن يوسف، قرن 10ه-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آقسرائي ، محمّد بن محمّد - 771؟ 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آقكرماني كفوي ، محمّد بن مصطفى</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آل ابي جامع ، جواد بن علي - 1322 ه- 1315 - 1397ه-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آل اسد الله ، محمّد باقر بن حسن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ألاني ، محمّد بن سعد، قرن 12 ه-</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آل باش اعیان ، محمّد امين عالي بن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آل بحر العلوم ، ابراهيم بن حسين، 1248</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آل بحر العلوم ، حسن بن ابراهیم 1282 -</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آل بحر العلوم ، محمّد صادق بن حسن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آلتي برمق محمّد بن محمّد - 1033 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آل جمال الدين ، ميرزا عناية الله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آل راضي نجفي ، جعفر بن عبدالحسن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آل سميسم محمّد حسين . منهاج المتقين، ج 15، ص 777</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آل سید فیاض ، محسن بن حسن ارشاد الغافلين في اخبار الائمة</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آل صاحب الرياض ، محمّد حسن قرن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آل طعمة ، محمّد هادي بن محمّد مهدي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آل طعمه ، احمد بن صالح - 1388 ه- تلخيص الخبر في أحداث القرن الرابع</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آل طعمه ، مجيد بن سلمان - 1393 ه- سليمان - 1324 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آل طعمه ، مصطفى بن سعيد -1383ه-</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آل طعمه موسوي، هادي بن محمّد</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آل طعمه ، مصطفى بن مجيد 1341 -</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آل طعمه موسوي ، عبد الرزاق بن</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آل عبدالجبار خطي ، محمّد بن عبد علي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آل عبداللطيف راوي ، عبدالغني بن</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آل عصفور ، احمد بن محمّد - 1230 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آل عصفور بحراني ، احمد بن ابراهيم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آل عصفور بحراني ، خلف بن عبدعلي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آل عصفور ، حسين بن محمّد، 1147 -</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آل عطاء ، يوسف بن محمّد نجيب -</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آل كاشف الغطاء، احمد بن علي 1295 -</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آل كاشف الغطاء ، جعفر بن محمّد رضا</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آل كاشف الغطاء ، حسن بن جعفر</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آل كاشف الغطاء ، علي بن جعفر -</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آل كاشف الغطاء ، محمّد بن علي، قرن</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آل كاشف الغطاء ، محمّد حسين، 1294 -</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آل كاشف الغطاء ، محمّد رضا بن هادي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آل كاشف الغطاء ، هادي بن عباس</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آل كاظم ، محمّد علي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آل كمال الدين حلي ، جعفر بن حمد</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آل كمون حسيني ، محمّد علي بن محمّد</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آل لطف الله ، حسين بن علي دیوان بحراني، ج7، ص588</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آل محي الدين عاملي ، محمّد بن يوسف</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آل ملا یوسف ، اکرم عبدالوهاب محمّد</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آلوسي ابراهيم بن محمّد ثابت - 1951م</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آلوسي ، ابوبکر بن خضر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آلوسي ، ابوبكر بن مصطفى</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آلوسي احمد شاكر بن محمود - 1330ه-</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آلوسي ، عبدالباقي بن محمود 1250 -</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آلوسي ، عبدالحميد بن عبدالله، 1232 -</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آلوسي ، عبدالرحمن - 1284 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آلوسي ، عبد الله بن محمود، 1248 -</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آلوسي ، علي بن نعمان، 1277 - 1340 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آلوسي، محمّد حامد بن محمود - 1290ه-</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آلوسي ، محمود بن عبدالله 1217 -</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آلوسي نعمان بن محمود، 1252-1317ه-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آل ياسين ، محمّد حسن - 1350 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آل ياسين ، مّحمد حسين، 1947 م</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آماسي ، حسين بن علي - 1064 ه- الفوائد الكثيرة الطريفة في رسم</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آماسي ، عمر بن عبدالغفار، قرن 12</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آماسي ، محمّد بن قاسم، 864 - 940 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آماسي ، مصلح الدين</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آمجي ، علي بن حسين</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آمدي ، عبدالرحمن</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آمدي ، عبدالرحيم بن علي قرن 10 ه-</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آمدي، عبدالواحد بن محمّد - 510؟ ه-</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آمدي ، علي بن محمّد، 551 - 631 ه-</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آمدي ، عمر بن حسين - 1200 ه-</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آمدي ، نعمان</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آملي ، حيدر بن علي، 720 - 782 ؟ 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آملي طبري ، احمد بن محمّد - 275 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آملي ، عزالدين بن جعفر - 904 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آملي ، عطاء الله بن مسيح، قرن 10 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آنقروي ،صالح</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آنقروي ، عبدالحميد بن عبد الرحمن،</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آنقره وي ، محمّد امين بن حسين -</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آهي ، جهانگير بن مجید، قرن 14 ه-</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آيديني ، رسول بن صالح - 978 ه-</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آيديني ، محمّد بن حمزه - 1010 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اباوردي ، حسن بن علي - 816 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ابراهیم ادهم، 112 - 161 ؟ ه-</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ابراهيم افندي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ابراهيم بن احمد</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ابراهيم بن امر الله بن عبد القادر قرن 11ه-</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ابراهيم بن محمّد</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ابراهيم بن يوسف</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ابراهيم حسين</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ابراهيم خان بن علي مراد خان قرن 12 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ابرقوهي ، احمد بن اسحاق ، قرن 7 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ابرقوهي ، حيدر علي 1288 - 1355 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ابرقوهي ، شهاب الدين</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ابرقوهي ، محمّد بن اسحاق قرن 8 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ابرهي ، محمّد بن عبدالله</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ابزاري ، محمّد بن زيد - 377 ه-</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ابشيهي ، محمّد بن احمد 790-850 ه-</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ابکاریوس اسکندر بن يعقوب -1303 م</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ابله بغدادي، محمّد بن بختیار - 579؟ه-</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ابلونيوس نجار - 250 ق م</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ابن آجروم محمّد بن محمّد، 672-723ه-</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ابن آدم ، احمد بن محمّد، قرن 13 ه-</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ابن آق شمس الدین ، حمدالله بن محمّد،</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ابن ابار ، سید احمد</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ابن ابار ، محمّد بن عبد الله، 595-658 ه-</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ابن ابان ، عیسی بن ابان - 220 ه-</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ابن ابي الاشعث احمد بن محمّد، 2360ه-</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ابن ابي الاصبع ، عبد العظيم بن</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ابن ابي اصيبعه ، احمد بن قاسم 600 -</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ابن ابي اصيبعه ، علي بن خليفه، 579 -</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ابن ابي اياس آدم بن ابي اياس - 220 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ابن ابي الثلج ، محمّد بن احمد - 325 ه-</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ابن ابي الثناء ، داود بن صالح - 674 ه-</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ابن ابي جمرة ، عبد الله بن سعد، -9675ه-</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ابن ابي جمهور ، محمّد بن علي، 838؟ -</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ابن ابي حاتم ، عبدالرحمن بن محمّد</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ابن ابي حجله ، احمد بن يحيى 725</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ابن ابي الحديد ، عبد الحميد بن هبة الله</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ابن ابي حصينه ، حسن بن عبدالله 388 -</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ابن ابي الحوافر ، عثمان بن هبة الله -</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ابن ابي خيثمه ، احمد بن زهير 185 -</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ابن ابي الدنيا ، عبدالله بن محمِد، 208 -</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ابن ابي ربيع ، احمد بن محمّد 218 -</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ابن ابي ربيع ، عبدالسلام بن محمود</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ابن ابي الرجال ، احمد بن صالح 1029 -</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ابن ابي زيد ، عبدالله بن عبدالرحمن، 310</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ابن ابي زيد ، محمّد بن عبدالرحمن، 739</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ابن ابي زينب ، محمّد بن ابراهيم - 360</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ابن ابي سروال حسين بن علي قرن 10 ه-</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ابن ابي سرور ، عبد الرزاق بن فرج قرن</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ابن ابي السرور ، محمّد بن محمّد، 1005 -1087ه-</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ابن ابي السعود ، خيرالدين</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ابن ابي سعود ، محمّد بن صالح حفناوي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ابن أبي شريح ، عبد الرحمن بن احمد</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ابن ابي شريف ، ابراهيم بن محمّد 836 -</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ابن ابي شريف ، محمّد بن محمّد 822 -</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ابن ابي شيبة</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ابن ابي طي ، يحيى بن حميده، 575</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ابن ابي شيبه ، عبدالله بن محمّد، 159 -</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ابن أبي الصلت ، امية بن عبدالعزيز 460</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ابن ابي طاهر ، احمد بن ابي طاهر 204 -</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ابن ابي عاصم ، احمد بن عمرو 206 -</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ابن ابي العاصم، احمد بن عمر</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ابن ابي العباس ، محمّد بن شهاب الدین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ابن ابي عذيبة ، احمد بن محمّد 819-</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ابن ابي العز ، علي بن علي، 731 - 792 ه-</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ابن ابي عصرون كنجي، محمّد بن احمد</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ابن ابي عطاء ، عبيد الله بن محمّد فتح من له ان يمن بالكلام = شرح</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ابن ابي عمير، محمّد بن زیاد - 217 ه-</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ابن ابي عون ، ابراهيم بن محمّد -322ه-</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ابن ابي الفضل ، محمّد حسن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ابن ابي الفوارس ، ابوالفتوح ، قرن 7 ه-</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ابن ابي كراب حسيني ، عبدالله، قرن 13 ه-</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ابن ابي المؤيد نسفي ، احمد بن محمود قرن 10 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ابن ابي نعيم ليثي ، نافع بن عبدالرحمن</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ابن ابي الوفا ، محمّد بن ابي بكر 841 -</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ابن اثردي ، علي بن هبة الله - 507؟ ه- شرح دعوة الاطباء، ج 9، ص 470.</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ابن اثیر</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ابن اثير، اسماعيل بن احمد، 652-2699ه-</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ابن اثير، علي بن محمّد، 555 - 630 ه-</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ابن اثير، مبارك بن محمّد، 544 - 606 ه-</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ابن اثیر، نصر الله بن محمّد 558-637 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ابن اجدابي ، ابراهيم بن اسماعيل - 4470ه-</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ابن احمد رقباني ، محمّد بن حجازي ديوان الرقباني، ج 7، ص 646 .</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ابن اخوه ، محمّد بن محمّد 648-729ه-</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ابن ادريس محمّد بن احمد، 543-598ه-</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ابن ادريس ، احمد بن ادريس -1253ه-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ابن ازرق ابراهيم بن عبد الرحمن، قرن 9 ه-</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ابن استطال ، عبدالله ادعية، ج 1، ص 607.</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ابن اسحاق ، كمال بن علي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ابن اسفندیار ، اسماعیل بن ابراهيم</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ابن ،اسکندر حسین بن اسکندر -1084ه-</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ابن اسماعیل ، عبدالله بن عيسى - 1247</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ابن اشتركوني ، محمّد بن يوسف - 538ه-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ابن اشعث محمّد بن محمّد - 314 ؟ ه-</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ابن اعرابي ، محمّد بن زياد 150-231ه-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ابن افراسیاب حسين بن علي - 1087 ه-</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ابن امام، احمد بن محمّد - 1015 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ابن الامام ، كاظم بن رجب</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ابن امام محمّد بن محمّد 2677-745ه-</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ابن ام قاسم حسن بن قاسم -749؟ ه-</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ابن امير جزائري ، علي بن عبد القادر قرن</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ابن امير الحاج ، محمّد بن محمّد 825 -</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ابن امين ابراهيم بن يحيى 489-544 ه-</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ابن امين ، عبد القادر بن جار الله</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ابن انباري ، عبدالرحمن بن محمّد 513 -</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ابن انباري ، محمّد بن قاسم، 271-327ه-</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ابن اهدل ، حسين بن عبد الرحمن، 779؟</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ابن باب، عمرو بن عبيد 80 - 144 ه-</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ابن بابويه ، علي بن حسين - 329 ه-</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ابن ایاس ، محمّد بن احمد، 852-2920ه-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ابن بارزي، عبدالرحيم بن ابراهيم 608 -</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ابن ایاس محمّد بن عبد الجليل -1015ه-</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ابن بابشاذ ، طاهر بن احمد - 469 ؟ ه-</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ابن بارزي ، هبة الله بن عبد الرحيم، 645</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ابن باطيش ، اسماعيل بن هبة الله، 575 -</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ابن باقي ، علي بن حسين ، قرن 7 ه-</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ابن باكير ، عبد الرحمن بن باكير</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ابن بتنوني ، علي بن عمر قرن 10 ه-</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ابن بجير ، احمد بن نصر قرن 4 ه-</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ابن بخاري علي بن احمد، 595 - 690 ه-</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ابن بختیشوع، عبدالله بن جبرئيل - 4453ه-</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ابن بدر ، عبدالباقي بن عبد الباقي 1005</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ابن بدرون عبدالملك بن عبدالله -2608ه-</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ابن بدیر محمّد بن بدير 1160-1220ه-</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ابن براج، عبد العزيز بن تحرير 400؟ -</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ابن برخوردار ، محمّد</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ابن بردس ، اسماعیل بن محمّد، 720 -</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ابن برزنجي ، ابراهيم</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ابن بركات ، تقي الدين بن بركات</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ابن برهان ، احمد بن ابراهيم - 738 ه-</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ابن بري عبدالله بن بري، 449-582 ؟ ه-</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ابن بري ، علي بن محمّد، 660 - 730 ه-</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ابن بسام ، علي بن بسام 477 - 542 ه-</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ابن بسام ، محمّد بن احمد قرن 8 ه-</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ابن بسطام ، حسين بن بسطام، قرن 4 ه-</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ابن بشران ، عبدالملك بن محمّد 339 -</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ابن بشران ، علي بن محمّد - 415 ه-</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ابن بطريق يحيى بن حسن، 523-2600ه-</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ابن بطلان ، مختار بن حسن - 458؟ ه-</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ابن بطه ، محمّد بن جعفر قرن 4 ه-</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ابن بغوي ، احمد بن محمّد - 295 ؟ ه-</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ابن بقي ، احمد بن يزيد 537 - 625 ه-</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ابن بكاء، عبدالمعين بن احمد - 1040 ه-</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ابن بلبان ، علي بن احمد - 684 ه-</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ابن بلبان ، علي بن بلبان 675 - 739 ه-</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ابن بلدجي ، عبدالله بن محمود، 599 -</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ابن بناء ، احمد بن محمّد، 2654-2721ه-</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ابن بنا ، احمد بن حسن - 527 ه-</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ابن بواب ، علي بن هلال - 423 ؟ ه-</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ابن بیطار ، عبدالله بن احمد - 646 ه-</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ابن بيلبك ، احمد بن سيف الدين 699 -</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ابن پیشقدم ، عبدالحلیم بن پیشقدم</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ابن تركماني ، علي بن عثمان 683-750ه-</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ابن تركي ، احمد بن تركي - 979؟ ه-</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ابن تعاويذي، محمّد بن عبیدالله 519 -</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ابن تغري بردي ، يوسف بن تغري 813</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ابن تلميذ ، هبة الله بن صاعد 465 -</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ابن تمجید مصطفى بن ابراهيم - 9842ه-</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ابن تمريغا ، احمد</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ابن توبي ، حسن بن توبي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ابن تومرت ، محمّد بن عبدالله 485 -</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ابن تیمیه ، احمد بن عبد الحليم 661 -</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ابن تیمیه ، عبدالسلام بن عبدالله 590 -</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ابن ثباته ، جمال الدين</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ابن جاسم ، حسین</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ابن جباره ، احمد بن محمّد، 647-728ه-</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ابن جبر، علي بن يوسف ، قرن 7 ه-</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ابن جبيش ، عبدالرحمن بن محمّد 504 -</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ابن جد ، احمد بن جد</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ابن جراح ، عيسى بن علي، 302 - 391 ه-</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ابن جراح ، وكيع بن جراح - 197 ه-</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ابن جرجس حلبي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ابن جرجيس ، محمّد بن جرجيس</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ابن جزار ، احمد بن ابراهيم - 395؟ ه-</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ابن جزاز ، علي بن جزاز - 984؟ ه-</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ابن جزري، احمد بن محمّد، 780-835؟ه-</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ابن جزري، محمّد بن ابراهيم 658 -</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ابن جزري محمّد بن محمّد 751-833ه-</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ابن جزله ، يحيى بن عيسي - 493 ؟ خ</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ابن جزي ، محمّد بن احمد 693-741 ه-</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ابن جعفریه، محمّد بن محمّد</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ابن جلال، احمد بن جلال قرن 11 ه-</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ابن جماعه ، ابراهيم بن عبدالرحیم</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ابن جماعه ، اسماعيل بن ابراهيم 825 -</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ابن جماعه ، عبدالعزيز بن محمّد 694 -</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ابن جماعه ، محمّد بن ابراهيم 639 -</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ابن جماعه ، محمّد بن ابراهیم 833 -</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ابن جماعه ، محمّد بن ابراهيم 639 -</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ابن جماعه ، محمّد بن ابي بكر، 749 -</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ابن جمال آقسرائي ، محمّد بن محمود -</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ابن جمال ، علي بن ابي بكر 1002 -</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ابن جني ، عثمان بن جني، 300-392؟ه-</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ابن ،جهضم علي بن يوسف ، 2644-713ه-</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ابن جواد محبوبه ، جعفر بن باقر -</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ابن جوزي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ابن جوزي ، شمس الدين محمّد</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ابن جوزي ، عبدالرحمن بن علي 508 -</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ابن جوزي ، يوسف بن عبد الرحمن 580</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ابن جوزي ، يوسف بن قزاوغلي، 581؟ -</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ابن جيلي ، عبدالرحيم بن جيلي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ابن حائك ، حسن بن احمد، 280-1359ه-</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ابن حاجب عثمان بن عمر 570-2646ه-</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ابن الحاج سلمي ، محمّد بن حمدون</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ابن حاج عبدري ، محمّد بن محمّد، 657</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ابن الحاج محمّد بن حاج احمد - 871ه-</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ابن حارث، عبد البر بن محمّد - 683 ه-</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ابن حبان ، محمّد بن حبان، 2274-354ه-</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ابن حبيب ، حسن بن عمر 710-779؟ه-</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ابن حبيب ، محمّد بن حبيب - 245 ه-</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ابن حبيب ، محمّد بن قاسم، 283-347ه-</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ابن حبيب ، حسن بن محمّد</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ابن حثيمة بن حرب</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ابن حجة ، تقي الدين بن علي 767 -</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ابن حجر</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ابن حجر عسقلاني ، احمد بن علي 733 -</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ابن حجر هيثمي ، احمد بن محمّد، 909</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ابن حداد ، مبارك بن احمد - 596 ه-</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ابن حسام ، محمّد بن حسام الدین 783</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ابن حديثي ابوحليم بن حديثي، قرن 6 ه-</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ابن حرانیه محمّد بن محمّد 702-780ه-</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ابن حسام هروي، نظام الدين بن كمال</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ابن حسول ، محمّد بن علي - 450 ه-</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ابن حزم ، علي بن احمد، 384 - 456 ه-</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ابن حشاش ، محمّد بن يوسف -711 ه-</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ابن حصين ، هبة الله بن محمّد - 525 ه-</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ابن حلاج ، احمد بن حسين قرن 4 ه-</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ابن حلل ، عبدالله بن اسمعیل، قرن 11 ه-</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ابن حمدان، صالح بن علي - 1081 ه-</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ابن حمدان ، محمّد بن علي 468-561 ه-</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ابن حماد ، علي بن عبيد الله قرن 4 ه-</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ابن حمادي، محمّد بن ابي بكر 750 ه-</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ابن حمدون ، محمّد بن حسن 495 -</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ابن حماه الله ، عبدالله بن احمد غلاوي ،</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ابن حمديس ، عبدالجبار بن ابي بكر</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ابن حمزه حسيني ، ابراهيم بن محمّد</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ابن حمزه ، محمّد بن علي قرن 6 ه-</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ابن حمزه ، محمّد بن علي، 715 - 765 ه-</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ابن حمزه ، محمّد بن علي قرن 6 ه-</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ابن حمصي ، احمد بن حمصي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ابن حمصي ، عمر بن موسى 777-861ه-</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ابن حنائي، علي بن امر الله 916 - 979 ه-</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ابن حنبل ، أحمد بن محمّد، 164-241 ه-</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ابن حنبل ، عبدالله بن احمد - 290 ه-</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ابن حنبلي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ابن حنبلي ، عبدالله بن محمّد</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ابن حنبلي ، محمّد بن ابراهیم 908</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ابن حوراني ، نبأ بن محمّد - 551 ه-</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ابن حيزبز ، مبارك بن احمد</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ابن خاتمه ، احمد بن علي، 710-770 ه-</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ابن خاتون ، احمد بن محمّد قرن 11 ه-</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ابن خاتون احمد بن نعمت الله قرن 11ه-</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ابن خاتون عاملي ، محمّد بن علي قرن</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ابن خاتون ، علي بن احمد قرن 10 ه-</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ابن خباز ، احمد بن حسين - 639 ؟ ه-</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ابن خراط ، عبد الحق بن عبدالرحمن</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ابن خزيمه ، محمّد بن اسحاق، 223 -</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ابن خسرو بلخي ، حسين بن محمّد</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ابن خاتون ، محمّد بن علي، قرن 10 ه-</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ابن خشاب يمني ، محمّد بن احمد</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ابن خالويه ، حسين بن احمد - 370 ه-</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ابن خطيب اربلي ، محمّد بن علي، 686؟</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ابن خطيب الدهشة ، محمود بن احمد</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ابن خفاجه ، ابراهیم بن ابي الفتح 450 -</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ابن خطيب الناصريه ، علي بن محمّد</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ابن خطیب ، محمّد بن عبد الله 713 -</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ابن خلافه ، ملك جعفر</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ابن خلدون ، عبدالرحمن بن محمّد 732</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ابن خلکان احمد بن محمّد 608-681ه-</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ابن خلوف ، احمد بن ابي القاسم، 829 -</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ابن خليل ، يوسف بن خليل 555-648ه-</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ابن خميس ، حسين بن نصر، 466 - 551</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ابن خوي ، احمد بن موسى بن نصر</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ابن خیاط، احمد بن محمّد 1195 -</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ابن خیاط، احمد بن محمّد 450-517ه-</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ابن خیاط، شمس الدین</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ابن خیاط، عبد الرحيم بن محمّد - 530؟ه-</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ابن خياط قرداغي ، عبد الرحمن بن محمّد</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ابن خيرون ، احمد بن حسن - 488 ه-</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ابن الخيمي، محمّد بن عبد المنعم، 603 -</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ابن داود حلي ، حسن بن علي 647 -</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ابن داود ، عبدالرحمن بن ابي بكر 782 -</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ابن دباغ مرعشي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ابن دبيثي، احمد بن جعفر 558-621ه-</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ابن دبيثي ، محمّد بن سعيد 558-637ه-</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ابن دحيه ، عمر بن حسن، 544 - 633 ه-</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ابن دريهم ، علي بن محمّد، 712-762 ه-</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ابن دعسين ، عبدالملك بن عبد السلام</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ابن دقماق ، ابراهيم بن محمّد 750 -</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ابن دقیق عيد ، محمّد بن علي، 625 -</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ابن دلاج عبدالواحد بن محمّد -1099ه-</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ابن دماميني ، محمّد بن ابي بكر 763 -</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ابن دنینیر ، ابراهيم بن محمّد 583 -</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ابن دهان ، سعيد بن مبارك، 494-569ه-</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ابن دهان ، محمّد بن علي - 592؟ ه-</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ابن ديبع ، عبدالرحمن بن علي 866 -</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ابن ديري ، سعد بن محمّد، 768-867</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ابن ديري ، محمّد بن ابي بكر 788؟ -</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ابن ذهب ، حسن بن ياسين</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ابن رازي ، جعفر بن احمد - 381 ه-</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ابن ربوه ، محمّد بن احمد، 679-764 ه-</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ابن رجب ، عبدالرحمن بن احمد 736 -</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ابن رجب موصلي ، حسن بن محمد</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ابن رحبي، علي بن يوسف، 583-667ه-</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ابن رحمت حويزي عباس بن سعيد 12ه-</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ابن رزين، ابوبکر عمر</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ابن رسام احمد بن ابي بكر 763-844 ه-</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ابن رسامي ، محمّد بن رسام</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ابن رشد ، محمّد بن احمد، 520-595 ه-</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ابن رشد ، محمّد بن احمد - 520 ه-</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ابن رشید اصفهاني ، محمّد علي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ابن رشيق قيرواني ، عبدالحميد بن حسين</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ابن رضوان علي بن رضوان 388-453ه-</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ابن الرفعة احمد بن محمّد 645-710ه-</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ابن رقيق ، ابراهيم بن قاسم - 417 ؟ ه-</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ابن رمضان ، محمود بن رمضان 616- ه-</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ابن روزبهار ، مظفر بن محمّد - 688 ه-</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ابن رومي ، علي بن عباس 221-283ه-</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ابن زبیر احمد بن ابراهيم، 9627-708ه-</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ابن زبیر ، احمد بن علي - 563؟ ه-</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ابن زرقون ، محمّد بن سعيد 501؟ -</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ابن زريق محمّد بن عبد الرحمن -803ه-</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ابن زريق ، محمّد بن علي - 977 ه-</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ابن زغدان، محمّد بن احمد 820-881ه-</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ابن زقاعه ، ابراهيم بن محمد 745؟ -</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ابن زكري ، احمد بن محمّد - 900 ه-</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ابن زكري ، محمّد بن عبدالرحمن</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ابن زماخ ، يوسف بن سيف الدولة 602</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ابن زملكاني ، محمّد بن علي، 667-727ه-</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ابن زنبل ، احمد بن علي - 980 ؟ ه-</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ابن زهرة ،تاج الدين بن محمّد - 753 ه-</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ابن زهره ، محمّد بن عبد الله، 564-636ه-</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ابن زهرة عبد اللطيف بن جعفر، قرن 12ه-</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ابن زهره حلبي ، محمّد بن عبدالله، 565</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ابن زهره ، حمزة بن علي، 4511 - 585 ه-</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ابن زولاق ، حسن بن ابراهيم 306 -</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ابن زیات احمد بن حسن، 2649-728ه-</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ابن زيات ، محمّد بن محمّد - 805؟ ه-</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ابن زياد اعرجي ، احمد بن محمّد</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ابن زياد نيشابوري ، عبدالله بن محمّد</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ابن زيدون ، احمد بن عبدالله 394 -</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ابن زيله ، حسین بن محمّد - 440 ه-</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ابن زين العرب علي بن عبيد الله -758ه-</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ابن زین ، محمّد بن زین بن محمّد 760 محمّد بن ابراهيم</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ابن سائب ، محمّد بن عبدالله</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ابن ساعاتي ، احمد بن علي، - 694 ه-</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ابن ساعاتي ، علي بن رستم، 553-604 ه-</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ابن ساعاتي ، مصطفى بن يوسف</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ابن ساعي ، علي بن انجب، 593-674 ه-</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ابن سالم عبدالله بن سالم، 1049-1134ه-</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ابن سالم ، عبدالله عصري</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ابن سباع عزاوي ، برهان الدين ابي اسحاق</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ابن سراج ، جعفر بن احمد 2417-500ه-</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ابن سراج ، محمّد بن عبدالملك - 549 ه-</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ابن سراج ، محمود بن احمد - 771 ه-</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ابن سعد ، محمّد بن سعد زهري 168 -</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ابن سعدون، يحيى بن عمر 486-567ه-</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ابن سعدي ، سعدي بن محمّد امين الجوهر المنضد في تخميس همزية</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ابن سعيد ، علي بن سعيد - 685 ه-</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ابن سعيد ، يحيى بن احمد 601-2689ه-</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ابن سكري، عبدالله بن محمّد -1228ه-</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ابن سكيت ، يعقوب بن اسحاق، 186</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ابن سلامة ، نصر بن علي مقري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ابن سلامه ، محمّد بن سلامه - 892 ه-</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ابن سلوم ، صالح بن نصر الله - 1081 ه-</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ابن سلوم عبدالرزاق بن محمّد -1254ه-</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ابن سلوم ، محمّد بن علي - 1246ه-</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ابن سمان ، محمّد قرن 12 ه-</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ابن سمعون ، محمّد بن احمد بن</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ابن سناء الملك ، هبة الله بن جعفر، 550؟</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ابن سنادست ، علي بن افراسياب - 1062</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ابن سنان محمّد بن كاتب سنان -930ه-</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ابن سنبل ، محمّد بن سعيد</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ابن سني ، احمد بن محمّد، 284 - 364 ؟</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ابن سهل</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ابن سهل ، ابراهيم بن سهل 605-649ه-</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ابن سهلان ساوي ، عمر بن سهلان</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ابن سهل خرايطي ، محمّد بن جعفر</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ابن سهيل ، عبدالله بن سهيل نحوي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ابن سودون ، علي بن سودون 810 - 868</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ابن سيد الناس ، محمّد بن محمّد 671 -</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ابن سيّده علي بن اسماعيل 398-2458ه-</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ابن سيرين ، محمّد بن سيرين 33-110ه-</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ابن سينا ،حسين بن عبد الله 2370-428ه-</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ابن شاذان ، حسن بن احمد - 426 ه-</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ابن شاذان ، فضل بن شاذان - 260 ه-</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ابن شاذان ، محمّد بن احمد - 420 ه-</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ابن شاس ، عبدالله بن نجم الدین محمّد</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ابن شاطر علي بن ابراهيم 704-777ه-</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ابن شاكر كتبي ، محمّد بن شاكر 681؟ -</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ابن شاكر ، مطروح بن محمّد</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ابن شامي ، حسين</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ابن شاهين، خليل بن شاهين، 813 - 872</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ابن شاهين ، عمر بن احمد 297 - 385</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ابن شجري هبة الله بن علي، 450-542ه-</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ابن شحنه احمد بن محمّد، 804-882 ه-</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ابن شحنه عبد البر بن محمّد 851-921ه-</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ابن شحنه محمّد بن محمّد، 749-2815ه-</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ابن شدقم ، حسن بن علي 942-999؟ه-</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ابن شدقم ، علي بن حسن، 950-1033ه-</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ابن شرع</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ابن شرف الدين ، احمد بن حسن -</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ابن شرف الدين ، عبدالله بن يحيى -</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ابن شرف قيرواني ، محمّد بن سعید، 390</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ابن شريح ، جعفر بن محمّد</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ابن شريك ، حسين بن عثمان</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ابن شعبان ، عبد القادر بن علي 820 -</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ابن شعبه ، حسن بن علي قرن 4 ه-</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ابن شلبي ، احمد بن محمّد - 1021 الفتاوی = فتاوى ابن شلبي، ج 11،</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ابن شليلة ، عبدالهادي بن جواد 1276 -</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ابن شماع ، عمر بن احمد، 848 - 936 ه-</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ابن شماع ، محمّد بن محمّد ايوبي 791 -</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ابن شمس الدين</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ابن شمعون ، محمّد بن احمد</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ابن شهر آشوب ، علي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ابن شهر آشوب ، محمّد بن علي، 488 -</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ابن شيرويه ، شهردار بن شيرويه 483</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ابن صائغ دمشقي ، محمّد بن حسن 645</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ابن صائغ ، شمس الدين بن منصور</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ابن صائغ ، عبدالرحمن بن يوسف 769 -</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ابن صائغ ، محمّد بن ابراهيم -1066ه-</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ابن صابوني ، محمّد بن علي 604-680 ه-</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ابن صاحب جواهر ، شريف بن</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ابن صاعد ، يحيى بن محمّد 228-318ه-</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ابن صباغ</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ابن صباغ ، علي بن محمّد، 784 - 855 ه-</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ابن صثيل ، احمد بن صثيل</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ابن صلاح، بحر بن ريس</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ابن صلاح، عثمان بن عبد الرحمن 577 -</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ابن صواف</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ابن صوفي ، علي بن محمّد - 425 ؟ ه-</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ابن صيرفي ، احمد بن صدقه - 905 ه-</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ابن صيرفي ، علي بن منجب، 463-542 ه-</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ابن صيفي ، سعد بن محمّد - 574 ه-</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ابن صيقل جزري ، معد بن نصر الله</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ابن ضریس محمّد بن ايوب 200-294ه-</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ابن ضويان ، ابراهیم بن محمّد، 1275 -</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ابن ضياء مكي ، محمّد بن احمد، 789 -</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ابن طاوس، احمد بن موسى - 673؟ ه-</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ابن طاوس ، عبد الكريم بن احمد، 648 -</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ابن طاوس ، علي بن موسى 589-664 ه-</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ابن طباطبا ، محمّد بن علي ابن</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ابن طبيب ، علي بن نصر - 377 ه-</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ابن طحان ، محمّد بن حسن - 449 ه-</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ابن طحان ، يحيى بن علي - 416 ه-</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ابن طفيل ، محمّد بن عبدالملك 494؟ - 581ه-</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ابن طقطقي، محمّد بن علي 660-709ه-</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ابن طلاع، محمّد بن احمد، 9404-497ه-</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ابن طه ، محمّد بن ابراهيم</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ابن طورسون ، عبدالله - 1010 ه-</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ابن طورغود، حمزة بن طورغود 979- ه-</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ابن طولون ، محمّد</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ابن طولون ، محمّد بن علي 2888-953ه-</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ابن طولوني، حسن بن حسين، 832-909ه-</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ابن طي ، علي بن علي - 855؟ ه-</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ابن طي ، محمّد بن حسن قرن 10 ه-</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ابن الطيب ، ابو الخير</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ابن ظافر ،ابن شمس الدین حسن قرن 8ه-</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ابن ظفر، محمّد بن عبد الله 497-565ه-</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ابن ظهير اربلي ، محمّد بن احمد، 602 -</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ابن ظهيرة محمد بن عبد الله 751-816ه-</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ابن ظهير ، محمّد</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ابن ظهيره ، محمّد بن محمّد - 986 ه-</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ابن عابدین ، محمّد امين بن عمر، 1198 -</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ابن عادلي ، عبد الرحمن قرن 12 ه-</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ابن عاشور بجلي ، علي بن حسين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ابن عاصم محمّد بن محمّد، 760-829ه-</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ابن عالمه ، احمد بن اسعد، 593-652 ه-</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ابن عامر احسائي ، احمد بن حسن</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ابن عامر ، سليمان بن عامر</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ابن عباد رندي، محمّد بن ابراهیم 733 -</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ابن عاقولي محمّد بن محمّد، 733-797ه-</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ابن عباده ، احمد بن طاهر، 467-532ه-</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ابن عباده ، محمّد بن يحيى - 1090 ه-</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ابن عباس ، عبدالله بن عباس 3 - 68 ه-</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ابن عبدالبر ، علي بن عبدالبر، 1170 -</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ابن عبدالبر ، يوسف بن عبدالله 368 -463 ه-</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ابن عبد الرزاق، عبد الرحمن بن محمّد</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ابن عبد التاج خلیل بن ،درویش قرن 11ه-</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ابن عبد الجبار ، سليمان بن احمد</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ابن عبد الحق محمّد بن محمود قرن 12ه-</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ابن عبد الحكم ، عبدالرحمن بن عبدالله</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ابن عبد السلام ، عبدالعزیز بن عبدالسلام</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ابن عبد العالي ، محمّد بن عبد العالي قرن 8ه-</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ابن عبد القادر دهلوي ، حيدر بن علي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ابن عبد القدوس ، حمید</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ابن عبد الكريم ، غلامعلي بن محمّد</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ابن عبداللطيف ، محمّد بن احمد</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ابن عبد اللطيف ، محمّد بن حسين قرن</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ابن عبدالنور ، احمد بن عبدالنور 630 -</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ابن عبدالهادي ، عبد الجليل بن محمّد -</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ابن عبدالهادي ، عبدالقادر بن بهاء الدين</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ابن عبدالهادي ، محمّد بن علي 1163ه-</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ابن عبدالهادي مقدسي ، محمّد بن احمد</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ابن عبدالوهاب ، محمّد بن عبدالوهاب</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ابن عبد ربه ، احمد بن محمّد 246 -</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ابن عبدون عبد المجيد بن عبدالله - 529ه-</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ابن عبري، غريغوريوس بن هارون 623</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ابن عجاج ، رؤبة بن عبدالله - 145 ه-</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ابن عجمي ، احمد بن محمّد - 840 ه-</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ابن عجيبه ، احمد بن محمّد 1160؟ -</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ابن عجيل، احمد بن موسى - 690؟ ه-</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ابن عدي ، عبدالله بن عدي 277-365ه-</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ابن عديم ، عمر بن احمد، 588 - 660 ه-</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ابن عرابي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ابن عراق، علي بن محمّد، 907 - 963 ه-</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ابن عراقي ، احمد بن عبدالرحيم 762 -</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ابن عربشاه ، احمد بن محمّد 791 -</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ابن عرب، محمّد بن عرب</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ابن عربي ، محمّد بن علي، 560 - 638 ه-</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ابن عربي ، محمّد بن محمّد 618-656ه-</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ابن عرفه ، محمّد بن محمّد 716-803ه-</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ابن عریف احمد بن محمد 481-536ه-</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ابن عزالدين، عزالدین بن محمّد</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ابن عزيز ، مرتضى بن عزيز</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ابن عساکر ، عبدالصمد بن عبدالوهاب</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ابن عساكر ، علي بن حسن، 499-571 ه-</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ابن عساكر ، قاسم بن علي، 527-600 ه-</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ابن عسكر ، محمّد بن علي، - 636 ه-</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ابن عصفور ، علي بن مؤمن 597-669 ه-</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ابن عطاء الله اسكندري ، احمد بن محمّد</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ابن عطيه ، عبد الحق بن غالب 481 -</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ابن عفيف تلمساني ، محمد بن سليمان</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ابن عقيل ، عبدالله بن عبد الرحمن، 698 -</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ابن علاء ، محيي الدين بن علاء</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ابن العلامة ، محمّد بن حسن</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ابن عقيله ، محمّد بن احمد - 1150 ه-</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ابن علان ، احمد بن ابراهيم 975 -</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ابن علان ، محمّد علي بن محمّد، 966 -</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ابن علوجه ، احمد بن محمّد قرن 3 ه-</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ابن عماد ، عبد الحي بن احمد، 1032 -</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ابن العماد ، محمّد بن احمد - 867 ه-</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ابن عمري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ابن عمید محمّد بن حسين، 2298-360ه-</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ابن عنبه ، احمد بن علي، 748-828 ؟ ه-</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ابن عنين ، محمّد بن نصر الله 549-630ه-</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ابن عوض ، عمر بن محمّد - 696 ه-</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ابن عياش ، احمد بن محمّد</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ابن عياش ، حسين بن يحيى، - 334</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ابن عيثان ، علي بن محمّد</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ابن العيني ، عبدالرحمن بن ابي بكر، 837</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ابن عيينه ، سفيان بن عيينه 107-198ه-</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ابن غانم ، عبدالسلام بن احمد - 678 ه-</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ابن غانم ، عبداللطيف بن عبد الرحمن</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ابن غانم ، عبد الله بن علي، 711-744 ه-</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ابن غانم ، محمّد بن علي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ابن الغرس محمّد بن محمّد، 833-894ه-</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ابن غضائري، احمد بن حسين قرن 5 ه-</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ابن غفور ، عبدالله بن محمّد</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ابن غلاب ، عبدالسلام بن عبد الغالب</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ابن غنائم ، محمّد بن ابراهيم 665 -</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ابن غنام</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ابن غوري، محمّد بن احمد - 239 ه-</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ابن غياث شيرازي ، محمّد بن غياث الدين</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ابن فارض ، عمر بن علي، 576 - 632 ه-</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ابن فحام ، عبدالرحمن بن ابي بكر 425 -</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ابن فراء ، حسين بن محمّد قرن 5 ه-</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ابن الفرات، محمّد بن عبد الرحيم 735 -</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ابن فرج</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ابن فرحون ، ابراهيم بن علي، 719؟ -</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ابن فرحون ، عبدالله بن محمّد - 769 ه-</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ابن فرحون ، علي بن محمّد، 698-746 ه-</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ابن فرشته ، عبداللطيف بن عبدالعزيز</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ابن فرفور ، محمّد بن احمد، 894-937ه-</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ابن فروخ ، محمّد بن عبدالعظیم قرن</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ابن فصيح عبدالله بن احمد، 702-745ه-</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ابن فضل الله عمري ، احمد بن يحيى 700 ؟- 749 ه-</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ابن فقيه ، احمد بن محمّد - 365 ؟ ه-</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ابن فقيه عبدالصمد بن حسين قرن 12ه-</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ابن فقيه همداني ، احمد بن محمّد -</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ابن فلاح ، منصور بن فلاح - 680 ه-</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ابن فليته ، احمد بن علي - 731 ه-</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ابن فناري ، حسن بن محمّد شاه 840 -</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ابن فهد حلبي ، محمود بن سليمان، 644</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ابن فهد حلي ، احمد بن محمّد، 757؟ -</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ابن فهد ، علي بن مصطفى</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ابن فهد ، محمّد بن عبد العزيز - 954 ه-</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ابن فهد ، يحيى بن عمر 848 - 885 ه-</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ابن فورك ، محمّد بن حسن، 330-406 ه-</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ابن فوطي، عبد الرزاق بن احمد 642 -</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ابن فيروز ، محمد بن عبدالله</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ابن فيروز ، محمّد بن عبدالله، 1142 -</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ابن قائد ، حسین بن ابراهيم قرن 13 ه-</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ابن قائد ، عثمان بن احمد - 1097 ه-</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ابن قاسم ، علي بن موسى</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ابن قاسم غزي ، محمّد بن قاسم 859 .</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ابن قاصح ، علي بن عثمان، 716-801 ه-</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ابن قاضي أذرعات ، حسين بن عبدالله</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ابن قاضي سماونه ، محمود بن اسرائیل -</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ابن قاضي شهبة ، ابوبکر بن احمد، 779 -</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ابن قاضي شهبة ، محمّد بن ابي بكر - 874ه-</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ابن قاضي عجلون ، ابوبکر بن عبدالله</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ابن قاضي عجلون ، محمّد بن عبدالله</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ابن قاضي فاضل ، عبدالرحيم بن علي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ابن قتيبه ، عبدالله بن مسلم، 213-276ه-</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ابن قدامه عبدالله بن احمد 541-620ه-</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ابن قدامه ، مفضل بن قدامه قرن 2 ه-</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ابن قدامه مقدسي ، عبدالرحمن بن</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ابن قربي ، محمّد خليل</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ابن قرقماز محمّد بن محمّد، 802-883ه-</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ابن قرقول ، ابراهيم بن يوسف 505 -</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ابن قزويني ، علي بن عمر، - 442 ه-</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ابن قضيب البان ، عبداللطيف</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ابن قضيب البان ، عبدالله بن محمّد -</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ابن قطاع ، علي بن جعفر، 433 - 515 ه-</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ابن قطان ، محمّد بن احمد - 407 ه-</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ابن قطلوبغا ، قاسم بن قطلوبغا، 802 -</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ابن قف ، امين الدولة بن يعقوب، 630 -</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ابن قلاس ، يحيى بن نجاح - 422 ه-</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ابن قلاقس ، نصر الله بن عبدالله 532 -</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ابن قلاوون ، محمّد بن قلاوون كتاب إلى الشريف قتادة، ج13،</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ابن قنبطي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ابن قولويه ، جعفر بن محمّد - 368 ه-</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ابن قيسراني ، محمّد بن طاهر 448 -</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ابن قيسراني ، محمّد بن نصر - 548 ه-</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ابن قیم جوزيه ، ابراهيم بن محمّد</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ابن قیم جوزیه ، محمّد بن ابي بكر، 691</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ابن الكاظم ، حارث بن كاظم</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ابن کامل ، محمّد بن علي ، قرن 7 ه-</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ابن كبرياء موسى بن حسن قرن 4 ه-</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ابن کبه عیسی بن حسينعلي قرن 13 ه-</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ابن كثير ، اسماعيل بن عمر 700-774 ه- .</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ابن ،کرامه محسن بن محمّد، 413-494ه-</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ابن كربلائي نوروز</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ابن الكرماني ، يحيى بن محمّد - 833 ه-</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ابن كزبر، محمّد بن احمد - 1089 ه-</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ابن كلبي ، هشام بن محمّد - 204 ه-</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ابن كمونه ، سعد بن منصور - 683 ه-</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ابن کمیل ، محمّد بن احمد - 848 ه-</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ابن کوشاه ، عبد الجليل بن محمد</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ابن كوفي ، علي بن محمّد، 254 - 348 ه-</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ابن كولة ، محمّد بن احمد قرن 13 ه-</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ابن كيال ، بركات بن احمد - 929 ه-</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ابن كيزاني ، محمّد بن ابراهيم - 562 ه-</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ابن لبان ، محمّد بن احمد، 679-749 ه-</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ابن لبان ، محمّد بن عبدالله - 402 ه-</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ابن لحام ، علي بن محمّد - 803 ه-</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ابن ماجد ، احمد بن ماجد قرن 10 ه-</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ابن ماجه ، محمّد بن یزید 209-273 ه-</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ابن ماسي ، عبدالله بن ابراهيم - 369</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ابن ماكولا ، علي بن هبة الله، 421-475ه-</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ابن مالك ، محمّد بن عبدالله 600-672ه-</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ابن مالك ، محمّد بن محمّد - 686 ه-</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ابن ماهيار ، محمّد بن عباس قرن 4 ه-</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ابن مبارك عبدالله بن مبارك، 118-181ه-</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ابن مبارك ، محمّد بن سليمان - 754 ه-</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ابن مبرد ، يوسف بن حسن، 840-909ه-</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ابن متفننه ، محمّد بن علي، 497-577 ه-</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ابن متوج، احمد بن عبدالله - 820 ه-</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ابن متويه ، احمد بن حسين قرن 5 ه-</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ابن المثنى معمر بن المثنى، 110-209؟ه-</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ابن مجاهد، احمد بن موسى 245 - 324 ه-</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ابن مجدي احمد بن رجب، 2767-850ه-</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ابن محاملي ، احمد بن محمّد - 415 ه-</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ابن محمّد الامير ، ابو محمد</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ابن محمّد بهبهاني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ابن مخلد ، بقي بن مخلد - 276 ه-</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ابن مديني ، علي بن عبدالله، 161-234ه-</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ابن مرحل ، عمر بن مكي - 691 ه-</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ابن المرحل ، مالك بن عبد الرحمن</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ابن مردان، احمد بن مردان</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ابن مردویه ، احمد بن موسی 323 -</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ابن مرزبان، محمّد بن خلف - 309 ه-</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ابن مرزوق ، شمس الدین ابوالعال</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ابن مرزوق ، عبدالباقي بن قانع 266 - 351ه-</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ابن مرزوق محمّد بن احمد 766-842ه-</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ابن مرزویه، مرهيا</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ابن مريم تلمساني ، محمّد بن محمّد</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ابن مساعد ، محمّد بن عبدالوهاب</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ابن مسعود ، احمد بن علي قرن 8 ه-</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ابن مسك ، عبدالرحمن بن احمد 1025 -</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ابن مسکویه ، احمد بن محمّد، 320 -</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ابن مسيحي سعيد بن ابي الخير - 589ه-</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ابن مشهدي ، محمّد بن جعفر، 510 -</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ابن مشيب ، خليل بن مشيب - 801 ه-</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ابن مشيش ، عبد السلام بن مشيش</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ابن مطران ، اسعد بن الياس - 587 ه-</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ابن مطروح ، يحيى بن عيسى 592 -</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ابن مظفر ، محمّد بن مظفر، 286-379ه-</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ابن مظفر ، يحيى بن احمد - 875 ه-</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ابن ،معتز عبدالله بن محمّد، 247-296ه-</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ابن ،معتوق شهاب الدين، 1025-1087ه-</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ابن معروف ، محمّد بن عبدالخالق</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ابن معري ، محمّد طه</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ابن معلم هرئي ، محمد بن علي، 501 -</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ابن معمر تميمي ، احمد بن ناصر -</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ابن معید ، محمّد بن عبد العزيز -983ه-</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ابن معين ، يحيى بن معين، 158 - 233 ه-</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ابن مغازلي ، علي بن محمّد - 483 ه-</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ابن مغربل ، عزالدين بن كمال الدين</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ابن مغربي ، علي بن محمود</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ابن مفلح ، ابراهيم بن علي قرن 10 ه-</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ابن مفلح ابراهیم بن محمّد، 815-884ه-</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ابن مفلح ، محمّد بن علي - 763 ه-</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ابن مقرب علي بن مقرب، 575 - 629 ه-</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ابن مقري ، اسماعيل بن ابي بكر 755 -</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ابن مقري ، علي بن عبدالله</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ابن مقري ، علي بن مقري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ابن مقري ، محمّد بن ابراهيم 285 .</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ابن مقفع ، عبدالله بن ،دادویه 106؟ -</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ابن مكانس ، عبد الرحمن بن عبد الرزاق</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ابن مكي ، علي بن احمد - 598 ؟ ه-</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ابن مكي ، علي بن محمّد قرن 11 ه-</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ابن ملا احمد بن محمّد، 937 - 1003 ه-</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ابن ملقن ، عمر بن علي، 723 - 804 ه-</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ابن ملكا ، هبة الله بن علي، 454-2547ه-</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ابن ملك محمّد بن عبد اللطيف، قرن 9 ه-</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ابن مليك ، علي بن محمّد، 840 - 917 ه-</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ابن مناصف ، محمّد بن عيسى 563 -</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ابن منجم عبدالرحمن بن مروان -2557ه-</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ابن منجم ، عبدالله بن محفوف</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ابن منجم ، يحيى بن علي، 241 - 300 ه-</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ابن منده محمّد بن اسحاق، 310-395ه-</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ابن مندويه ، احمد بن عبدالرحمن -</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ابن منذر محمّد بن ابراهيم 242-319ه-</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ابن منقذ ، اسامة بن مرشد 488-584ه-</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ابن منكلي ، محمّد بن محمود - 778 ه-</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ابن منير ، احمد بن محمّد 620 - 683 ه-</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ابن مهاون شاه قادري ، سليمان بن</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ابن مهتار ، ابو عبدالله محمّد ه-</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ابن مهذب ، اسعد بن ميناء - 606 ه-</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ابن ،مهران ابوبکر بن احمد، 295-381ه-</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ابن مهيب ، محمد</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ابن موجود ، شهاب بن محمّد</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ابن مؤدب ، علي بن حسين</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ابن موصلي ، محمّد بن محمّد - 774 ه-</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ابن الموقع ، محمد بن ابي الوفاء - 970ه-</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ابن المؤيد ، عبد الرحمن بن علي 860 -</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ابن مؤيد ، محمّد بن عزالدين - 973 ه-</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ابن میت ، محمّد بن محمّد - 1140ه-</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ابن میثم ، میثم بن علي، 636 - 689 ه-</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ابن ميمون ، علي بن ميمون 854-917ه-</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ابن میمون، محمّد بن مبارك قرن 6 ه-</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ابن ناصرالدین ، محمّد بن عبدالله 777 -</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ابن نائب ، محمّد اسعد، قرن 13 ه-</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ابن نابلسي، اسماعيل بن عبدالغني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ابن ناقد، ابراهيم ناقد بن محمّد قرن</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ابن ناقد ، احمد بن يحيى 477-559</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ابن ناقیا عبدالله بن محمّد 410-485 ه-</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ابن نباته ، عبدالرحيم بن محمد 335 -</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ابن نباته ، محمّد بن محمّد، 686-768ه-</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ابن نبيه ، علي بن محمّد - 619 ه-</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ابن نجار ، محمّد بن احمد، 898-972 ه-</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ابن نجار ، محمّد بن احمد، 788-870ه-</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ابن نجار، محمّد بن احمد، 898-972 ه-</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ابن نجار، محمّد بن احمد، 788-870؟ه-</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ابن نجار ، محمّد بن جعفر 303-402ه-</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ابن نجار ، محمّد بن محمود، 578-643ه-</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ابن نجم ، محمّد بن علي قرن 13 ه-</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ابن نجیم زین الدین بن ابراهيم - 970ه-</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ابن نجیم ، عمر بن ابراهيم - 1005 ه-</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ابن نحاس ، عبدالرحمن بن عمر 323 -</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ابن نحاس ، فتح الله بن عبدالله -1052ه-</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ابن نحويه ، محمّد بن الياس - 718 ه-</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ابن نحوي ، يوسف بن محمّد - 513 ه-</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ابن ندیم ، محمّد بن اسحاق - 380 ه-</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ابن ندیم موصلي ، اسحاق بن ابراهيم</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ابن نفيس علي بن ابي الحزم، 607-687ه-</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ابن نقاش ، محمّد بن علي، 720 - 763 ه-</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ابن نصار ، شیخ محمد - 1292 ه-</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ابن نظام ، حسين</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ابن نعيم ، محمّد بن حسن ، قرن 7 ه-</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ابن نقطه ، محمّد بن عبدالغني، 579 -</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ابن نقيب، احمد بن لؤلؤ، 702 - 769 ه-</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ابن نقیب ، عبد القادر بن يوسف</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ابن نقیب ، محمّد بن سليمان 611 -</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ابن نورالدین ، محمد بن علي قرن 9 ه-</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ابن هائم احمد بن محمد، 753-815 ه-</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ابن هارون ، حسين، 320 - 398 ه-</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ابن هاني اندلسي ، محمّد بن هاني 326 -</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ابن هباریه ، محمّد بن محمّد 414 -</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ابن هبة الله ، سعيد بن هبة الله 436 -</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ابن هبة الله ، علي بن ابي الحسن</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ابن هبل ، علي بن احمد، 515 - 610 ه-</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ابن هبيره ، يحيى بن محمد، 479-560ه-</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ابن هداد ، عبدالله بن هداد قرن 11 ه-</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ابن هذيل علي بن عبد الرحمن قرن 8 ه-</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ابن هرموش ، محمد</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ابن هشام ، عبدالله بن يوسف، 708 -</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ابن هشام عبدالملك بن هشام -213ه-</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ابن هلال ربعي ، احمد بن علي - 795</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ابن هلال ، محمّد بن علي - 933 ه-</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ابن همام، محمّد بن عبدالواحد 790</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ابن همام، محمّد بن همام - 336 ه-</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ابن هندو ، علي بن حسين - 420 ؟ ه-</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ابن هيثم ، محمّد بن حسن، 354-430ه-</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ابن واصل ، محمّد بن سالم، 604-697 ه-</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ابن وتار طرابلسي ، درويش بن مصطفى</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ابن وثیق اندلسي ، برهان الدين</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ابن وحشيه ، احمد بن علي - 296 ه-</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ابن وحيد ، محمّد بن شريف - 711 ه-</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ابن ودعان ، محمّد بن علي، 401 - 494</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ابن الوراق ، نورالدین</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ابن وردي ، عمر بن مظفر، 691 - 749 ه-</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ابن وزیر ، عبد الباسط بن خليل 844 -</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ابن الوزير، محمّد بن ابراهيم 775 -</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ابن الوزير ، هادي بن ابراهيم 758 -</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ابن وفاء ، جمال الدين محمّد بن وفاء</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ابن وفائي ، محمّد بن وفاء - 1154 ه-</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ابن وفا ، علي بن محمّد، 759 - 807 ه-</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ابن وكيع تنيسي، حسن بن علي 393- ه-</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ابن الوندي ، قاسم بن محمّد -1100 ه-</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ابن وهاس ، علي بن حسن - 812 ه-</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ابن وهبان ، عبدالوهاب بن احمد 726 -</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ابن وهب عبدالله بن وهب، 124-197ه-</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ابن ويسين ، علي بن حسن</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ابن ياسمين ، عبد الله بن محمّد - 601 ه-</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ابن ياسين موصلي ، محمّد بدیع بن محمّد</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ابن يخلفتن ، عبدالرحمن بن يخلفتن</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ابن يرقان ، طيب بن يرقان</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ابن يعقوب ، احمد بن ابراهيم -1066ه-</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ابن يونس ، علي بن عبد الرحمن - 399 ه-</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ابهاري ، غلام مصطفى</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ابهري ، ابوالوزير بن احمد ه-</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ابهري ، امين الدين - 733 ه-</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ابهري ، سيف الدین احمد قرن 8 ه-</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ابهري ، محمّد بن عبد الله، 289 - 375 ه-</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ابو الاخرس ابراهيم بن محمّد قرن 11ه-</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ابو الارشاد ، علي مالكي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ابو اسحاق شيرازي، ابراهيم بن علي، 393؟</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ابوالاسعاد احمد بن ایوب</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ابوالاسود دؤلي - 69 ه-</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ابوالبركات حسيني ، محمّد بن احمد قرن</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ابوالبركات ، يحيى بن محمّد</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ابوالبقاء</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ابوالثناء شهاب الدین محمود قرن 13 ه-</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ابوالجيش اندلسي ، عبدالله بن محمّد،</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ابوالحسن ، احمد بن محمّد</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ابوالحسن بكري ، احمد بن عبدالله ، قرن</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ابوالحسن بن عبدالشكور</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ابوالحسن ، احمد بن وبان</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ابوالحسن ، محمّد بن جعفر</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ابوالخطاب بغدادي ، محمّد بن محمّد</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ابو الدرداء</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ابو الرضا ، عبداللطيف بن محمد 12 ه-</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ابو السعود ، احمد بن محمّد</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ابوالسعود افندي قرن 12 ه-</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ابو السعود بوني ، محمّد - 1230 ه-</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ابوالسعود عمادي ، محمّد بن محمّد</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ابوالشيخ ، عبدالله بن محمّد، 274-369ه-</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ابوالصلاح حلبي ، تقي بن نجم، 374</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ابوالصلاح ، محمّد بن حسن -1223 ه-</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ابوالطوس ، عباس بن مهدي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ابوالطيب حمدون بن حمزة - 261 ه-</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ابو العتاهيه ، اسماعيل بن قاسم، 130 -</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ابو العلاء معري ، احمد بن عبدالله 363 -</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ابوالفتح ازدي ، محمّد بن حسين -374ه-</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ابوالفتح بستي ، علي بن محمّد 360 -</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ابوالفتح مالكي ، محمّد</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ابوالفتح ، محمود بن حسين</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ابوالفتوح اصفهاني ، اسعد بن محمود</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ابوالفرج اصفهاني ، علي بن حسين 284 -</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ابوالفرج ثقفي ، مسعود بن حسن -</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ابوالفرج ،دهلوي، محمّد فاضل قرن 13ه-</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ابوالفرج شيرازي ، عبدالواحد بن محمّد</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ابوالفتوح رازي ، حسين بن علي 552- قرن</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ابوالفرج ، قدامة بن جعفر - 337 ه-</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ابوالفضائل ، علي افندي عمري -1146ه-</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ابوالفضل</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ابو الفضل ، محمّد بن مراد 10 ه-</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ابو المثني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ابوالمحاسن جمال الدين يوسف</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ابوالمحاسن ، محمّد بن داود</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ابو المدين الغوث</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ابوالمکارم بن عبدالله بن محمّد -2907ه-</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ابو المنصور ، امیر جمال</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ابوالهدى رفاعي ، محمّد بن حسن</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ابو الهندي، قرن 132 ه-</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ابوالوفاء حلبي ، محمّد بن عمر، 993 -</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ابوالوفاء عراقي ، ابراهيم بن علي، 810 -</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ابوالوفاي بوزجاني ، محمّد بن محمّد 328</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ابوالوليد محمّد بن معلم</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ابوالیمن ، عبدالله</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ابواليمن عليمي ، عبدالرحمن بن محمّد</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ابواليمن محمّد بن محب</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ابوایوب انصاري ، خالد بن زيد - 52 ه-</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ابوبكر السواي قرن 13 ه-</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ابوبکر بغدادي ، عبدالعزيز</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ابوبکر ، عبدالله بن ابي قحافه - 13 ه-</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ابوتمام ، حبیب بن اوس 190-231؟ ه-</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ابوجعفر محمد بن علي بن حسين</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ابو جعفر محمّد بن موسى</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ابو جعفر ، محمّد سعيد</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ابو جندية ، احمد بن سليمان</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ابوحاتم رازي احمد بن حمدان -322ه-</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ابوحاتم سجستاني ، سهل بن محمّد</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ابو حذیفه غزال واصل بن عطاء - 131ه-</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ابوحنيفه ، نعمان بن ثابت، 80 - 150 ه-</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ابوحيان توحيدي ، علي بن محمّد، 310؟ -</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ابوحیان ، محمّد بن یوسف، 654-745ه-</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ابوداود ، سلیمان بن اشعث، 202-275ه-</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ابوذر هروي، عبد بن احمد، 355-434ه-</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ابوذيب ، يوسف</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ابوريحان بيروني ، محمّد بن احمد، 362 -</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ابوزرعه ، عبدالرحمن بن عمرو - 281ه-</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ابوزيد بلخي، احمد بن سهل 235-322ه-</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ابوسعيد ابوالخير، 357 - 440 ه-</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ابوسعيد حبيب الله، قرن 11 ه-</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ابوسهل جرجاني ، عيسى بن يحيى 361 -</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ابوشامه ، عبدالرحمن بن اسماعيل 599 -</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ابو شجاع اصفهاني ، احمد بن حسين 433</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ابوطالب اصفهاني - 1237 ه-</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ابوطالب بن عبد المطلب، 291 - 3 قبل</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ابوطالب مكي ، محمّد بن علي - 386 ه-</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ابو عبدالله شافعي ، حسن، قرن 9 ه-</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ابوعبدالله محمّد بن الحاج، - 1264 ه-</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ابو عبدالله محمّد بن زهرة</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ابو عبد الله ، محمد بن یزید</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ابوعبیده اباضي ، مسلم بن ابي كريمه</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ابوعبيد هروي ، احمد بن محمّد -401ه-</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ابوعبيد هروي ، قاسم بن سلام، 154 -</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ابوعلي خياط يحيى بن غالب - 250 ه-</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ابوفراس حمداني ، حارث بن سعید، 320؟</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ابوکامل ، شجاع بن اسلم - 340 ه-</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ابومجلي مكي ، محمّد بن حسن قرن 13</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ابو محجن قرن 5 ه-</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ابو محمّد تميمي ، عبد الواحد بن</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ابو مخنف ، لوط بن يحيى - 157 ه-</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ابومدين مغربي ، شعيب بن حسن، 520 -</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ابو معشر فلكي ، جعفر بن محمد، 172 -</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ابومنصور ق ، حسن بن نوح، - 380 ه-</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ابوموسی موصلي ، جعفر بن مكي - 711</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ابو نصر داود</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ابونصر فراهي ، مسعود بن ابي بكر</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ابونعیم اصفهاني ، احمد بن عبدالله، 336؟</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ابونواس حسن بن هاني، 9145-196 ؟ ه-</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ابوهفان مهزمي ، عبد الله بن احمد -</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ابوهلال عسكري ، حسن بن عبدالله</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ابويعقوب خوئي، يوسف بن طاهر، 440</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ابويعقوب سجستاني ، اسحاق بن احمد</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ابویعلی ، قزاز</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ابويوسف قاضي ، يعقوب بن ابراهيم</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ابي ، محمّد بن خليفه - 828 ه-</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ابياري ، عبدالهادي بن رضوان، 1236 -</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ابي الفتح علي بن محمّد</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ابي المحاسن كربلائي ، محمّد حسن بن</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ابياني، محمّد زید 1862 - 1936 م</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اب يواكيم</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ابيوردي، ابوالحسن بن احمد، 936-966ه-</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ابيوردي ، احمد، قرن 9 ه-</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ابيوردي ، حسن بن علي 761 - 816 ه-</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ابيوردي ، محمّد بن احمد - 557 ه-</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اتقاني اميركاتب بن امير عمر 685-758 ه-</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اتليدي ، محمّد دياب - 1100 ه-</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اثري حسيني، محمّد بن احمد - 1199 ؟</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اثناسيوس انطاكي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اثناسيوس انطاكي - 1724م</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اثیرالدین اخسيكتي - 577 ؟ ه-</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اثيري قهستاني ، حسين بن جمال ه-</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اجموري، عبد البر بن عبدالله - 1166 ه-</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اجهوري، عبد البر بن عبدالله - 1070 ه-</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اجهوري، عطية الله بن عطية - 1190 ه-</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اجهوري، علي بن محمّد، 967 - 1066 ه-</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احدب، ابراهيم بن علي، 1242-1308 ه-</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احدب، محمّد بن عمر قرن 11 ه-</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احسائي ، ابراهيم بن حسن - 1048ه-</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احسائي ، احمد بن زين الدين 1166 -</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احسائي ، احمد بن علي بن مشرف .</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احسائي ، احمد بن فهد، قرن</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احسائي ، حسين بن محمّد قرن 13 ه-</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احسائي حسيني، شمس الدين محمّد</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احسائي ، عبدالرحمن</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احسائي ، عثمان بن يوسف</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احساني ، محمّد بن عبد اللطيف -1083ه-</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احسائي ، علي نقي بن احمد - 1246 ه-</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احسائي ، محمّد بن احمد قرن 13 ه-</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احسائي، محمّد تقي بن احمد، قرن 13 ه-</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احسائي ، محمّد صالح بن ابراهیم قرن 11ه-</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احسائي ، هاشم بن احمد - 1309 ه-</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احمد</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احمد آبادي ، احمد بن محمّد صالح -</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احمد افندي فتوة اميني زاده قرن 14 ه-</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احمد بابا ، احمد بن احمد، 963 - 1032</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احمد بن ابوبکر</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احمد بن ابي بكر بن علي بن السراج</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احمد بن اسماعيل بن يوسف</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احمد بن تمرباي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احمد بن حسن</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احمد بن حسين بن ابراهيم</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احمد بن حسين بن علي قرن 9 ه-</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احمد بن حمدي شافعي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احمد بن سلیمان</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احمد بن سید احمد</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احمد بن شاكر</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احمد بن صفي الله</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احمد بن عبدالرحمن</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احمد بن عبدالسلام</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احمد بن علي قرن 14 ه-</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احمد بن علي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احمد بن عمر بن علي قرن 10 ه-</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احمد بن محمّد بن حسيني</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احمد بن ملا سلیمان</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احمد بن منتصر</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احمد بن نبي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احمد ثاني بن حسين طبيب قرن 12 ه-</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احمد مفتن حكمة</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احمدي ، احمد بن ابراهيم - 815 ه-</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احمدي، عبدالوهاب بن ابي بركات قرن</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احمدي ، قطب الدين ابوالبقاء قرن 10ه-</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احمدي ، محمّد بن علي قرن 10 ه-</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احمدي ، يوسف بن عبدالرحيم سفينة الاحمدي ببركة النبي، ج8،</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اخباري، جاسم بن حسن، - 1334 ه-</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اخباري، علي بن محمّد - 1273 ه-</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اخباري ، محمّد بن عبد النبي، 1178 - 1232 ؟ ه-</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اختر ، سلطان محمّد واجد</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اختري ، مصطفى بن احمد - 968 ه-</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اختيار شيرازي ، احمد بن حسن</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اخجالي لاهيجي ، احمد بن محمّد قرن</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اخرس ، عبد الغفار بن عبد الواحد 1225</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اخسيكتي ، محمّد بن محمّد - 644 ه-</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اخصاصي ، احمد بن محمّد - 889 ه-</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اخضري، عبدالرحمن بن محمّد 918 -</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اخطب خوارزم، موفق بن احمد 484؟ -</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اخفش ، سعيد بن مسعده - 215 ه-</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اخلاطي ، حسين بن علي، قرن 9 ه-</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اخوان الصفا</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اخوین ، محمّد بن قاسم - 904 ه-</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اخي چلبي ، يوسف بن جنيد - 905 ه-</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اخي زاده ، عبدالحليم بن محمّد، 963 -</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ادرازي ، حسين بن محمّد</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ادرنوي ، محمّد بن حسن - 866 ه-</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ادريسي ، احمد بن محّمد</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ادريسي ، حسين بن جعفر</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ادريسي، محمّد بن محمّد، 493 - 560 ه-</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ادكاوي ، عبدالله بن عبدالله، 1692 -</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ادیب الممالك ، محمّد صادق بن حسين</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اديب نطنزي حسين بن ابراهيم - 499؟ه-</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اذرعي ، احمد بن حمدان، 708 - 783 ه-</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اذني ، علي بن عبد الفتاح، قرن 12 ه-</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اذني ماتريدي، مصطفى بن ابراهيم</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اذني مسيحي ، سلیمان، 1250 ق13 ه-</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اربلي ، احمد بن موسى 575 - 622 ه-</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اربلي ، اسعد بن ابراهيم ، قرن 7 ه-</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اربلي ، علي بن عيسى - 692؟ ه-</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اربلي ، علي بن مبارك، قرن 6 ه-</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اربلي ، ، عیسى - 1100 ه-</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اربلي ، محمّد بن علي، قرن 14 ه-</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اربيلي ، علي بن مصطفی قرن 12 ه-</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ارتيماني ، محمّد محسن بن حسن</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ارجاني شوشتري ، احمد بن محمّد، 460 -</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ارجاني شوشتري ، محمّد بن محمّد، قرن</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اردبيلي ، عبدالله</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ارحم ، عثمان بن ابي عبدالله</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اردبيلي ، ابوالقاسم بن محمّد تقي قرن</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اردبيلي ، احمد</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اردبيلي ، حسين بن موسی قرن 11 ه-</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اردبيلي ، علي بن مصطفى</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اردبيلي ، محمّد</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اردبيلي ، محمّد بن عبدالغني - 647 ؟ ه-</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اردبيلي ، محمّد بن علي - 1101 ه-</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اردبيلي ، محمّد بن موسى</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اردبيلي ، محمّد حسين بن محمّد رحيم -</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اردبيلي ، محمّد طاهر بن محمد طالب</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اردبيلي ، محمّد علي، قرن 13</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اردبيلي، موسى بن حيدر علي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اردبيلي نظام الدين بن احمد قرن 12 ه-</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اردبيلي ، يوسف بن ابراهيم - 799؟ ه-</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اردستاني ، احمد بن محمّد قرن 9 ه-</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اردستاني ، محمّد جعفر بن علي اصغر</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اردستاني يزدي ، محمّد حسین بن محمّد</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اردكاني ، احمد بن محمّد ابراهیم 1175</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اردكاني شيرازي ، عليرضا بن كمال الدين</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اردكاني يزدي ، محمّد تقي بن محمّد</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اردكاني يزدي ، محمّد حسن بن محمّد</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اردلاني ، ابوالحسن، قرن 10 ه-</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اردلاني ، محمّد وسیم</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اردوبادي ، ابوالقاسم بن محمّد تقي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اردوبادي ، محمّد علي بن ابوالقاسم</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ارزنجاني ، محمّد صادق بن عبدالرحيم</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ارسطو، 384 - 322 ؟ قبل الميلاد</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ارشميدس، 287 - 212 قبل میلاد</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ارضرومي، محمّد بن مصطفی -دده</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ارطان ، عبد القادر</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ارقاصي ، عبدالله بن محمّد</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اركوي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ارمنازي، عمر بن عبد القادر - 1148 ه-</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ارمنازي ، نجيب</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ارمناكي، علي بن سليمان - 688 ه-</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ارموي ، ابراهيم بن علي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ارموي ، عرفة بن محمّد - 930 ه-</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ارموي ، علي</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ارموي ، محمّد بن حسين - 656 ه-</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ارميوني ، محمّد بن ابي الخير قرن 10 ه-</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اروادي ، احمد بن سليمان - 1275 ؟ ه-</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ارومي ، حسن بن محمّد ولي قرن 13 ه-</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ازبكي ، شريف محمد</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ازدي، اسماعيل بن اسحاق - 282 ه-</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ازدي ، حماد بن اسحاق - 267</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ازدي ، صالح بن عبد القدوس، قرن 2 ه-</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ازدي ، عبدالغني بن سعيد، 332-409 ه-</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ازدي ، يزيد بن محمّد، - 334 ه-</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ازرقي ، محمّد بن عبدالله - 250 ؟ ه-</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ازري ، كاظم بن محمد، 1143 - 1212 ه-</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ازری، محمّد رضا بن محمّد، - 1226 ه-</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ازري ، مسعود</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ازلي ، مصطفى بن ابراهيم</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ازميري ، محمّد امین بن حسين</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ازميري ، محمّد بن اسماعيل - 1160 ه-</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ازنيقي ، اشق قاسم - 945 ه-</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ازنيقي ، موسى بن حسين - 833 ه-</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ازهري، ابراهيم بن شمس الدين</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ازنيقي ، علي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ازنيقي ، علي بن خسرو - 1018 ه-</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ازنيقي ، محمّد بن احمد - 1018</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ازنيقي ، محمّد بن قطب الدین محمّد - 885ه-</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ازهری حافظ ، محمّد</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ازهري ، حافظ محمّد</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ازهري ، خالد بن عبدالله 838 - 905 ه-</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ازهري ، عبدالله بن احمد</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ازهري مالكي حسيني ، محمّد، 13 ه-</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ازهري ، محمّد بن احمد، 282 - 370 ه-</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ازهري ، مراد</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اسبيجابي ، علي بن محمّد، 454 - 535 ه-</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اسبيري ، عمر بن علي - 1202 ه-</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اسپهبدي ، عبدالله بن محمّد - 591 ه-</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استرآبادي، ابراهيم بن ولي الله قرن 10 ه-</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استرآبادي ، احمد بن حسن قرن 10 ه-</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استرآبادي ، امير محمّد بن ابي طالب، قرن</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استرآبادي، حسن بن محمّد، 645-717ه-</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استرآبادي ، حسين بن احمد قرن 5 ه-</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استرآبادي ، حسين بن محمّد، قرن 9 ه-</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استرآبادي، شرف الدين علي - 965ه-</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 استرآبادي، شمس الدین محمّد، قرن</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استرآبادي، عبدالنبي بن علي - 1340 ه-</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استرآبادي ، علي بن محمّد جعفر،</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استرآبادي، محمّد امین قرن 12 ه-</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استرآبادي، محمّد امین بن محمّد شریف</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استرآبادي ، محمّد بن ابراهيم، قرن 13 ه-</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استرآبادي، محمّد بن حاج محمّد قرن</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استرآبادي ، محمّد بن علي - 1028 ه-</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استرآبادي ، محمّد بن يوسف</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استرآبادي ، محمّد جعفر بن سيف الدين</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استرآبادي، محمّد حسین بن محمّد زمان</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استرآبادي ، محمّد شفیع قرن 13 ه-</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استرآبادي ، محمّد شفيع بن محمّد علي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استرآبادي، محمّد علي، قرن 13 ه-</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استرآبادي، محمّد معصوم بن محمّد امین</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استرآبادي، محمّد مهدي بن محمّد شفيع، اسحاق بن ابراهيم</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استرآبادي، محمّد مهدي بن محمّد نصير</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استرآبادي ، محمّد يوسف، - 1286 ه-</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اسحاق بن حنين، 215 - 298 ه-</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اسحق افندي</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اسدي ، احمد بن محمّد - 1066 ه-</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اسدي جزائري، محمّد صادق بن محمّد</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اسدي ، جواد بن محمّد حسين، 1210 - 1281 ه</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اسدي ، حسن بن محمّد قرن 8 ه-</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اسدي حلي ، سرايا بن حماد قرن 5 ه-</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اسدي صحاف مهدي بن محمّد قرن 14ه-</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اسدي ، عبد السميع بن فياض قرن 10 ه-</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اسدي، محمّد بن عبدالوهاب، قرن 11 ه-</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اسرائیل بن شمعون بن اسرائيل</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اسرائيلي ، سهل بن بشر - 235 ؟ ه-</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اسروشني ، محمّد بن محمود - 632 ه-</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اسطرلابي ، هبة الله بن حسين - 534 ه-</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اسطواني ، محمّد بن حسن</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اسعردي خليل بن حسين، 1167-1259ه-</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اسفرائيني ، عبدالملك بن جمال الدين</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اسفرايني ، عبد الرحمن بن محمّد، 639 -</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اسفرايني ، علي بن قاسم</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اسفرايني ، محمّد بن عبدالله قرن 10</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اسفرنگي ، محمّد بن محمّد حسین</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اسفيدوس</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اسفيذاري ، علي بن عمر، - 698 ه-</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اسقاطي ، احمد بن عمر - 1159 ه-</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اسقاطي ، محمّد بن احمد قرن 12 ه-</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اسكداري ، اسعد بن ابي بكر 1050 -</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اسکداري ، مصطفى بن علي قرن 12 ه-</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اسكري عبدالرحمن بن عبدالله قرن 11ه-</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اسکندر افروديسي قرن 3 م</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اسكندراني ، احمد بن عمر - 795 ه-</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اسكندراني ، منصور بن سليم - 673 ه-</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اسكندر مقدوني، 356 - 323 قبل ميلاد</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اسكندر منشي، 968 - 143 ه-</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اسكندري، عبدالله بن عبدالعزيز، قرن 12ه-</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اسكوئي ، علي بن موسى قرن 14</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اسكوبي ، حسين بن فرهاد قرن 12 ه-</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اسلمي نجفي ، كاظم بن عبود</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اسلمي هندي ، محمّد سعيد - 1272 ه-</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اسماعيل بن ابراهيم</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اسماعيل بن احمد قرن 13 ه-</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اسماعيل بن احمد( شرف الدین )</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اسماعیل بن محسن</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اسماعيل ، محمّد بن حسين</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اسماعيلی</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اسمندي، محمّد بن عبد الحميد 488 -</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اسنوي، عبدالرحيم بن حسن، 704-772ه-</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اسنوي ، محمّد بن حسن، 695 - 764 ه-</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اسود ، حسن بن علاء الدين قرن 9 ه-</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اسود غندجاني ، حسن بن احمد - 428 ه-</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اسيري زاده ، عبدالباقي بن محمّد</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اسيري ، محمّد بن يوسف، - 1194 ه-</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اسيوطي ، علي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اشبيلي ، احمد بن فرح 625 - 699 ه-</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اشتهاردي ، علي احمد بن اسماعيل</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اشج ، عبدالله بن سعيد - 257 ه-</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اشرف الرسولي ، عمر بن يوسف -696ه-</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اشرف زاده</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اشرفي جرجاني ، عبد الحي بن عبدالوهاب</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اشرفي ، خليل</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اشرفي ، شهاب الدین احمد - 875 ه-</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اشرفي ، محمّد بن محمّد مهدي، 1215 -</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اشعري ، احمد بن عثمان</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اشعري ، احمد بن عيسى قرن 3 ه-</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اشعري ، احمد بن محمّد - 550 ؟ ه-</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اشعري ، علي بن اسماعيل، 260 - 324 ه-</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اشكوري، ابوالقاسم بن معصوم - 1325ه-</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اشكي تركستاني ، عبدالمؤمن، قرن 10 ه-</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اشموني ، احمد بن عبد الكريم قرن 11 ه-</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اشموني ، احمد بن محمّد، 801 - 872 ه-</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اشموني سعيدي ، علي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اشموني ، علي بن محمّد، 838 - 900 ه-</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اشموني ، نعمة الله بن محمّد</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اشنهي ، عبدالعزيز بن علي - 550 ؟ ه-</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اشنوي ، علي بن حامد قرن 12 ه-</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اشيب ، قاسم بن موسى - 209 ه-</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اصبحي، ابراهيم بن علي - 667 ه-</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اصبحي، محمّد بن ابي بكر 632 - 691 ه-</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اصبهاني ، احمد بن محمّد</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اصبهاني ، محمّد</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اصفهاني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اصفهاني ، ابن ابي شيبه</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اصفهاني ، ابوالحسن بن عبدالمطلب</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اصفهاني ، ابوالفضل، قرن 14 ه-</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اصفهاني ، ابوالفضل بن عبدالله</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اصفهاني ، بهاء الدين محمّد قرن 12 ه-</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اصفهاني ، جلال الدین محمّد ، قرن 7 ه-</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اصفهاني ، جمال الدين</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اصفهاني حائري همداني ، عبدالرزاق بن</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اصفهاني ، حسن بن احمد قرن 10 ه-</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اصفهاني ، حسن بن عبدالمطلب</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اصفهاني حسن بن محمّد تقي - 1263ه-</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اصفهاني ، حسين، قرن 13ه-</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اصفهاني ، حسين بن يوسف</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اصفهاني ، عبدالجواد بن عبدالرحيم قرن</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اصفهاني ، عبدالله بن حيان</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اصفهاني ، عبدالله بن محمّد - 446 ه-</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اصفهاني ، عبدالله بن محمّد کاظم قرن</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اصفهاني عبد المطلب بن حسن قرن 11ه-</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اصفهاني، علي اكبر قرن 13 ه-</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اصفهاني ، علي محمّد بن محمّد علي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اصفهاني ، علينقي بن عبدالله</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اصفهاني ، فتح الله بن محمّد</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اصفهاني ، كمال الدين حسين</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اصفهاني کمپاني ، محمّد حسین بن محمّد</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اصفهاني ، محمّد</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اصفهاني ، محمّد ابراهيم</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اصفهاني ، محمّد اسماعیل بن محمّد جان</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اصفهاني ، محمّد بن اسامه ، قرن 7 ه-</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اصفهاني ، محمّد بن عبدالله - 360 ه-</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اصفهاني محمّد بن محمّد زمان قرن 12ه-</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اصفهاني ، محمّد بن محمود</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اصفهاني ، محمّد تقي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اصفهاني ، محمّد تقي بن عبد الرحيم</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اصفهاني ، محمّد جعفر</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اصفهاني ، محمّد جعفر، قرن 10 ه-</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اصفهاني ، محمّد جعفر</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اصفهاني ، محمّد حسن بن كرمعلي، قرن</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اصفهاني ، محمّد حسين بن علي اكبر قرن</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اصفهاني ، محمّد حسین بن محمّد قرن</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اصفهاني ، محمّد علي بن محمّد قلي</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اصفهاني ، محمّد مقیم بن محمّد باقر</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اصفهاني ، محمود بن عبدالرحمن 674 -</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اصفهاني ، مظفر بن مرتضى</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اصفهاني ، معمر بن احمد - 418؟ ه-</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اصفهاني ، ملا ابراهيم</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اصفهاني نجفي ، حسين بن محمّد صادق</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اصفهاني، هادي بن محمّد هاشم</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اصفهاني يحيى بن محمّد شفیع قرن 14ه-</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اصفهيدي كرماني ، محمود بن محمّد</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اصفوني ، عبدالرحمن بن يوسف، 677 -</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اصمعي، عبدالملك بن قريب 122-216ه-</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اصم ، محمّد بن يعقوب - 346 ه-</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اصيلي ، يحيى بن محمّد - 1010 ه-</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اطفيش ، محمّد بن يوسف، 1820 -</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اعتضاد السلطنه ، عليقلي بن فتحعلي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اعتماد السلطنه ، محمّد حسن بن علي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اعرجي ، احمد بن محمّد قرن 12 ه-</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اعرجي، حازم بن فؤاد قرن 14 ه-</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اعرجي حلي ، عبد المطلب بن محمّد، 681</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اعرجي ، عبد الكريم بن حسن</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اعرجي ، عبد المهدي بن راضي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اعرجي ، علي بن محمّد حسن، -1349ه-</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اعرجي، محسن بن حسن، 1130-1227ه-</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اعرجي، محمّد علي بن كاظم - 1227 ه- اعرجي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اعرجي ، مهدي بن راضي قرن 14 ه-</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اعرجي ، نظام الدین محمّد قرن 8 ه-</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اعسم ، عباس بن عبد الساده</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اعسم ، محسن بن مرتضى - 1238 ه-</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اعسم ، محمّد علي بن حسين -1233ه-</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اعسم نجفي ، عبد الحسين بن محمّد علي 476 ه-</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اعشی ، میمون بن قيس - 7 ه-</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اعظمي، خليل بن محمّد - 1246 ه-</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اعظمي وليد بن عبدالكريم 1349 - قرن</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اعلم شنتمري، يوسف بن سليمان، 410 -</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اعلمي ، محمّد حسین، 1281 - 1349 ش</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اعلمي ، محمّد حسين</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اعلمي ، محمّد حسین، 1281 - 1349 ش</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اعمی اصفهاني ، مختار قرن 10 ه-</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أغا كردي ، حبيب بن قاسم - 1295 ه-</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افراني ، محمّد - 1082 ؟ ه-</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افراني ، محمّد بن محمّد قرن 12 ه-</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افسنجي ، محمود بن محمّد، 627-671ه-</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افشار بكشلو قزويني ، رضا، قرن 14 ه-</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افشار ، خداوردي بن قاسم قرن 11 ه-</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افشار محمّد حسین بن احمد قرن 13 ه-</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افضل الدین محمّد</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افضلي ، جعفر بن محمّد - 622 ه-</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افغاني حنفي ، احمد، قرن 13 ه-</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افلاطون، 427 - 347 ؟ قبل میلاد</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افلاكي ، احمد بن اخي ناطور، 649-745ه-</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افندي ، احمد بن يحيى</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افندي ، پرویز</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افندي پهلواني توقاني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افندي ، حاجي خطاب</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افندي ، حسين قرن 14 ه-</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افندي خطيب رشيد بن صالح - 1400ه-</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افندي خوري ، خليل</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افندي زاده ، جرجيس بن عمر</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افندي زاده عبدالله بن محمّد - 1167 ه-</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افندي زاده ، عبدالله بن محمّد امین</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افندي زاده، محمّد امین بن ابراهیم</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افندي زاده ، يوسف - 1167 ه-</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افندي، سليمان، قرن 13 ه-</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افندي صفوت ، محمود</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افندي ، صنع الله</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افندي ، عبدالرحمن سليمان</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افندي، عبدالغني بن مراد</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افندي ، عبدالله بن عرفان</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افندي ، عبدالله بن عیسی بیگ، 1066 -</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افندي ، علي، قرن 12 ه-</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افندي ، علي، - 1090 ه-</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افندي ، محمّد امین بن محمّد سعید</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افندي ، محمّد بن فرج الله</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افندي ، محمود بن عبدالله قرن 13 ه-</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افندي، مصطفى بن سهراب قرن 11 ه-</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افندي، مصطفى بن محمّد سعید</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افندي ، ملاطه قرن 13 ه-</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افندي ، يحيى بن فخرالدين - 1187 ه-</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افندي ، يوسف - 1115 ه-</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افيوني ، عبدالله بن عمر - 1154 ه-</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اقصرايي شاذلي ، ابراهيم بن محمود</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اقطع ، احمد بن محمّد - 474 ه-</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اقفهسي ، احمد بن عماد، 750 - 808</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اقفهسي، عبد الرحمن بن علي - 860 ه-</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اقليشي ، احمد بن معد - 550 ؟ ه-</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اکبرآبادي ، غلام امام - 1214 ه-</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اکبرآبادي محمّد منعم بن منور قرن 11ه-</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اکبر ادوسا ، زین الدین</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اكيني ، ابراهيم بن خليل</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الاب البادري بوناونتور قرن 17 م</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الاي ، بكر بن محمّد قرن 12 ه-</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الباني ، محمّد باقر بن محمود قرن 11 ه-</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الباني ، محمّد بن محمّد مؤمن قرن 13 ه-</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البتي ، احمد بن عبدالعزيز</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الغ بيك ، محمّد بن شاهرخ، 796-853ه-</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القس استیفانوس قرن 18 م</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القس بهنام بدرية</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القس يواكيم ،راهب قرن 18م</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القوشي ، ارميا</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القوشي ، دميانوس</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المهدي ، صلاح بن علي - 849 ه-</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النرسي ، زيد، قرن 2 ه-</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الهاني ، عبدالعزيز بن يحيى</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الهي اردبيلي ، حسين بن عبد الحق، 870 -</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الهي ، شهاب الدين</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الهي نيشابوري، احمد بن موسى -896ه-</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الواني، عبدالكريم بن محمود</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الياسي ، محمّد حسن</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آماسي ، موسی بن موسی - 938</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امام الحرمين ، عبدالملك بن عبدالله 419 -</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امام الحرمين همداني ، محمّد بن</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امام الكاملية ، محمّد بن محمّد 808 -</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امام زاده، محمّد بن ابي بكر - 573 ه-</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الامام شرف الله عماد</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امام قاسم بن ابراهيم</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امامي خاتون آبادي ، محمّد رضا بن محمّد مؤمن - 1127 ؟ ه-</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امامي ، عباس بن حسن</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امامي ، قطب الدین احمد</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اماني مازندراني ، محمّد، - 1061 ه-</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امرؤ القيس ، جندح بن حجر، 130 - 80</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امريك ، كاترينه</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امهوري ، علي قرن 11 ه-</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اموي ، عدي بن مسافر، 467 - 558 ه-</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اموي ، محمّد بن يزيد بن عبدالملك</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اموي ، يعيش بن ابراهيم - 895 ه-</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اميران حسيني ، علي بن علي قرن 9 ه-</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امير صنعاني ، محمّد بن اسماعیل 1099 -</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امیر علیشیر نوائي ، علیشیر بن ،کیچکنه</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امیر معزي محمّد بن عبد الملك -2520ه-</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امين الفتوى ، خليل بن ابراهيم</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امین زاده، محمّد ضیاء بن عبد الرحمن</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امين طائي ، علي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امين ، علي بن محمّد</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امین ، محسن 1284 - 1371 ه-</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امین ، محمّد بن عبد الوهاب</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اميني ، عبد الحسين، 1281 - 1349 ش</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اميني ، عبدالحسين بن احمد</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اميني ، ميرزا احمد</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اميهي نجفي ، يحيى بن عيسى</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اميوطي، ابراهيم بن محمّد، 715-790ه-</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انبابي ، محمّد بن محمّد، 1240-1313 ه-</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انباري ، محمّد بن عمر</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انباري ، محمّد بن محمّد 507 - 596 ه-</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اندريتي ، عالم بن علاء قرن 8 ه-</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اندلسي ، ابو عبدالله</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اندلسي ، احمد بن عبدالعزيز قرن 11 ه-</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اندلسي ، قاسم بن احمد، 575 - 661 ه-</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اندلسي ، محمّد بن جابر - 793 ه-</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اندلسي ، يوسف بن عبدالله</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انصاري ، ابوطالب</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انصاري ، احمد بن روح الله - 1008 ه-</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انصاري ، احمد بن محمّد - 910؟ ه-</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انصاري ، بدر الدين بن احمد قرن 11 ه-</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انصاري ، حسن بن اسدالله قرن 13 ه-</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انصاري خزرجي ، سعد بن علي 568 ه-</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انصاري ، خلف بن عبد العلي قرن 12 ه-</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انصاري، زكريا بن محمّد، 826-2926ه-</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انصاري ، سعيد بن اوس 119 - 215 ه-</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انصاري ، طاها بن قاسم قرن 8 ه-</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انصاري ، طاهر بن سلام قرن 8 ه-</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انصاري ، عابر بن محمّد</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انصاري ، عبد الرحيم بن نصر الله، 1272 -</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انصاري ، عبدالله بن حديده قرن 8 ه-</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انصاري ، عبدالله بن عمر، - 677</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انصاري ، عبدالله بن محمّد، 396-481 ه-</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انصاري ، عبود بن درويش - 1327 ه-</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انصاري ، علي بن احمد - 788 ه-</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انصاري ، علي بن زكريا - 686 ه-</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انصاري ، علي بن سيد حسين</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انصاري ، علي بن محمّد</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انصاري ، عمر بن ابراهيم - 751 ه-</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انصاري ، عمر بن قاسم، - 937 ه-</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انصاري ، عمر بن محمّد</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انصاري ، محمّد ابراهيم بن ابي طالب</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انصاري ، محمّد بن ابراهيم - 749 ه-</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انصاري ، محمّد بن ابي الجيش - 750 ه-</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انصاري، محمّد بن عبد الرحمن قرن 9 ه-</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انصاري، محمّد بن عبد الكريم - 967 ه-</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انصاري ، محمّد بن عبدالله - 214 ه-</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انصاري ، محمّد بن يوسف</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انصاري ، مرتضى بن محمّد امین 1214 -</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انصاري مغربي ، علي بن موسى 515 -</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انصاري ، هند بنت نعمان</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انصاري ولي الله بن حبيب الله - 1270 ه-</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انصاري ، يعقوب، قرن 14 ه-</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انصراغوشي ، محمّد حسن بن محمّدتقي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انطاكي ، بولس</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انطاكي ، بولس بطرس سعد، قرن 19م</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انطاكي ، حسين بن عبدالله - 1130 ه-</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انطاكي، خليل بن محمّد قرن 12 ه-</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انطاكي ، داود بن عمر، 950 - 1008 ه-</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انطاكي ، سعيد افندي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انطاكي ، محمّد ، محمّد بن علي - 1172 ه-</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انطاكي ، محمّد بن عمر، - 938 ه-</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انطاكي ، محمود بن عبدالله - 1160 ه-</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انطاكي ، محمود بن عمر</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انطاكي ، يوسف بن حسن</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انطوان ،بولاد - 1871م</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انطوفوريوس</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انقروي، اسماعيل بن احمد - 1041 ؟ ه-</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انقروي ، شجاع بن نور الله قرن 10 ه-</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انوري ، محمّد بن محمّد - 583 ؟</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انون</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اهدل ، ابوبكر بن أبي القاسم، 984.</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اهدل ، حاتم بن احمد - 1013 ه-</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اهدل ، حسين بن ابي القاسم</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اهرن بن اعين الغير القس</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اهوازي ، حسن بن علي، 362 - 446 ه-</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اهوازي ، حسين بن سعيد - 275 ه-</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اهوازي ، محمّد بن حسين 290-360ه-</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اوالي بحراني ، محمّد بن علي قرن 12 ه-</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اوالي ، عبدالرضا بن محمد قرن 12 ه-</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اوالي ، عبدالله بن صالح</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اواني ، محمّد بن احمد - 557 ه-</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اوجلي مغربي ، عبدالرحيم</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اوجي ، عبدالحليم بن احمد قرن 12 ه-</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اودو ، اسرائیل قرن 20 م</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اودو ، يوسف</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اورام ، محمود بن محمّد قرن 9 ه-</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اوراها شكوانا ، القس - 1931م</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اورله وي ، محمّد قرن 10 ه-</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اوز جندي ، محمود</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اوفي ، محمود بن احمد - 1045 ه-</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اولامشي ، مصلح الدين - 1000 ه-</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ايجي محمّد بن عبدالرحمن، 832-906ه-</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ايجي ، منصور بن حسن قرن 10 ه-</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ايرواني، عبدالكريم بن أبي القاسم 1220</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ايرواني ، كريم بن حسن قرن 13 ه-</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ايرواني محمّد بن زين العابدين قرن 14ه-</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ايرواني ، محمّد جعفر</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ایشوعياب - 1611 م</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ايكي ، مجدالدين قرن 8 ه-</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ايلاقي ، محمّد بن يوسف - 536 ه-</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ايليا بن شينايا - 448 ه-</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ايوبي، عبدالله بن محمّد صالح -1252ه-</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ايوبي ، مصطفى بن يوسف، 1061 -</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بابا افضل کاشاني ، محمّد بن حسين</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باباجان ، علي بن علي قرن 11 ه-</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بابا سماسي ، خواجه محمّد</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بابا فغاني شيرازي - 925 ه-</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بابرتي ، محمّد بن محمّد، 714 - 786 ه-</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بابرتي ، محمّد بن ولي قرن 13 ه-</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بابلي ، عطارد بن محمّد - 206 ه-</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بابوني ، محمّد بن محمّد</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بابي حلبي عبدالملك بن أبي المني -829ه-</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باجمال محمّد بن عبد الرحمن -1019ه-</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باجوري، ابراهيم بن محمّد، 1198 -</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باجي ، سليمان بن خلف، 403 - 474 ه-</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باخرزي ، علي بن حسن - 467 ه-</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باخرزي ، محمّد قاسم بن محمّد صالح</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بادري بطرس فرماج</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بادكوبه اي علي بن مصطفى -1286ه-</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بادكوبي ، حافظ</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بارزي عجلوني ، سعد الدين</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بارع بغدادي ، حسين بن محمّد، 443 -</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بارفروشي مازندراني ، حمزه، قرن 13 ه-</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بار فروشي ، محمّد حسن بن صفرعلي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باروقي ، علي بن عمر</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بازقي ، محمّد بن ابراهيم</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باز كوكني قرن 14 ه-</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بازلي ، محمّد بن داود، 845 - 925 ه-</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بازياراني ، احمد بن محمّد - 245 ؟ ه-</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بازي ، علي بن حسين - 1387 ه-</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باشقالي ، ملا ابوبكر</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با طرقاني ، احمد بن فضل، 372 - 460 ه-</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باعبود علوي، جعفر بن صادق - 1170ه-</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باعلوي ، عبد الله بن جعفر - 1168 ه-</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باعلوي ، مشيخ، قرن 12 ه-</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باعوني ، محمّد بن احمد - 871 ؟ ه-</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باعونيه ، عائشه بنت يوسف - 922 ه-</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باغنوي شيرازي، مظفر بن محمّد -688ه-</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بافضل ، احمد بن عبدالله - 929 ه-</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بافضل ، عبدالله بن عبد الرحمن 850 -</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بافضل ، محمّد بن احمد - 903 ه-</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بافقي ، عبدالله بن مهدي قرن 13 ه-</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بافقي ، علي بن محمود قرن 11 ه-</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بافقي محمّد حكيم بن عبدالله قرن 11 ه-</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باقاني انصاري، نورالدین بن حسين</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باقر بن عبد محمّد</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باقلابادي احمد بن ابوالحسن قرن 13ه-</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باقوفي ، داود عیسی، 1878 - 1924 م</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باكثير ، احمد بن فضل، 985 - 1047 ه-</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باكثير ، عبد القادر</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بالسي ، محمّد بن عقيل - 729 ه-</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بالي خليفه صوفيوي، - 960 ه-</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باليسي ، محمّد بن علي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بالي ، محمّد</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با مخرمه ، عبدالله بن عمر</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باني، ابراهيم بن محمّد قرن 11 ه-</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باني حلبي، مصطفى - 1091 ه-</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باهلي ، عامر بن حارث</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باهلي ، عبد الواحد بن محمّد - 750 ه-</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باهلي ، هلال بن علاء - 280 ه-</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بايزيد بسطامي ، طيفور بن عيسى 188؟</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بايزيد ثاني بسطامي ، علي بن عنايت الله قرن 11 ه-</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بايوردي ، اكمل الدين</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بتروني ، ابوالجود</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بتروني ، عبدالرحمن بن محمّد - 977 ه-</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بجائي ، عبدالرحمن بن يوسف - 577 ه-</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بجلي رازي ، تمام بن محمّد - 414 ه-</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بحاري ، عبدالله بن علي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بحتري ، وليد بن عبيد، 206 - 284 ه-</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بحر آبادي ، محمّد بن يوسف، قرن 10 ه-</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بحر العلوم بروجردي ، حسين بن محمّد</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بحر العلوم، جعفر بن محمّد باقر 1289 -</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بحر العلوم ، حسن بن محمّد تقي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بحر العلوم، رضا بن محمّد مهدي 1189 -</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بحر العلوم ، علي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بحر العلوم، علي بن محمّد رضا 1224 -</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بحر العلوم ، محمّد بن محمّد تقي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بحر العلوم ، محمّد مهدي بن مرتضى 1155-1212ه-</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بحر العلوم، مهدي بن محسن، 1302 -</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بحراني ، احمد بن سالم ه-</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بحراني ، احمد بن سلیمان قرن 12 ه-</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بحراني ، احمد بن صالح قرن 13 ه-</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بحراني ، احمد بن صالح - 1315 ه-</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بحراني ، احمد بن عبد السلام قرن 11 ه-</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بحراني ، احمد بن محمّد - 1368 ه-</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بحراني بلادي حسين بن محمّد قرن 12ه-</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بحراني بلادي، محمّد بن عبدالله قرن 11ه-</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بحراني ، جعفر بن كمال الدين - 1088ه-</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بحراني ، جعفر بن محمّد، 1285-1341ه-</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بحراني ، حامد</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بحراني ، حسن بن حسين قرن 13 ه-</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بحراني ، حسن بن سليمان قرن 8 ه-</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بحراني ، حسين بن عباس قرن 13 ه-</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بحراني ، حسين بن علي قرن 13 ه-</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بحراني ، حسين بن علي بن سليمان</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بحراني ، حسين بن محمّد بن احمد</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بحراني حسيني احمد بن سليمان قرن 8ه-</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بحراني، سليمان بن عبدالله 1075؟ -</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بحراني شاخوري، عبدالنبي بن حسين</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بحراني ، صالح بن عبدالكريم - 1098 ه-</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بحراني ، عبدالحسين</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بحراني ، عبدالرؤف بن حسين - 1113 ه-</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بحراني ، عبدالله بن رائد</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بحراني ، عبد الله بن علي - 1148 ه-</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بحراني ، عبدالله بن نور الله قرن 12 ه-</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بحراني ، عبد النبي بن احمد قرن 12 ه-</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بحراني ، عبد علي بن محمّد قرن 13 ه-</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بحراني ، علي بن ابراهيم قرن 12 ه-</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بحراني ، علي بن حسن، 1269 - 1340 ه-</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بحراني ، علي بن حسين قرن 13 ه-</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بحراني ، علي بن سليمان ، قرن 7 ه-</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بحراني ، علي بن عبدالله - 1319 ه-</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بحراني ، علي بن عدنان قرن 14 ه-</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بحراني ، ماجد بن هاشم، 976 - 1028 ه-</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بحراني ، محسن بن محمّد قرن 14 ه-</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بحراني ، محمّد بن احمد، 1112-1186 ه-</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بحراني ، محمّد بن عبدالله قرن 12 ه-</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بحراني ، محمّد بن ماجد - 1105 ه-</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بحراني ، محمّد بن ناصر المعلم</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بحراني ، محمّد بن يوسف قرن 11 ه-</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بحراني ، مكي بن صالح قرن 12 ه-</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بحراني ، مكي بن محمّد ماجد</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بحراني موسوي، محمّد علي، قرن 14 ه-</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بحراني ، ناصر بن علي قرن 12 ه-</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بحراني ، هاشم بن سليمان - 1107 ه-</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بحراني ياسين بن صلاح الدین قرن 12 ه-</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بحراني ، يحيى بن حسين قرن 10 ه-</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بحراني ، يوسف بن احمد، 1107-1186ه-</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بحراني ، يوسف بن حسين</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بحراني ، يوسف بن علي، قرن 12 ه-</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بحرق ، محمّد بن عمر، 869 - 930 ه-</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بحريني ، عبدالحسين</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بخاري ابراهيم بن میردرویش قرن 10ه-</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بخاري، بكار بن احمد ه-</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بخاري، خليل بن علاء - 632 ه-</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بخاري خوارزمي ، علیشاه بن محمّد</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بخاري زندوي، محمّد بن محمّد قرن 8ه-</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بخاري ، سهل بن عبدالله - 357 ه-</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بخاري ، صفي الله يار قرن 11 ه-</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بخاري، طاهر بن احمد، 482 - 542 ه-</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بخاري، عبدالرحمن بن احمد - 461 ه-</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بخاري ، عبدالعزيز بن احمد - 730 ه-</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بخاري ، علي</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بخاري ، علي بن محمّد قرن 9 ه-</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بخاري محمّد امين بن محمود - 987 ه-</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بخاري، محمّد بن اسماعيل، 194-256ه-</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بخاري، محمّد بن اسماعيل</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بخاري، محمّد بن اسماعيل، 194-256ه-</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بخاري ، محمّد بن اسماعيل</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بخاري، محمّد بن عبد الباقي قرن 10 ه-</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بخاري ، محمّد بن عبدالسيد</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بخاري ، محمّد بن محمّد - 841 ه-</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بخاري ، محمّد بن يحيى</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بخاري ، محمّد شريف</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بخاري، محمود بن احمد - 616؟ ه-</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بخاري ، محمود بن نعمة الله، قرن 10 ه-</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بخاري ، مصطفى سلامه</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بخاري نقشبندي، محمّد بن مراد</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بختياري حويزي ، يعقوب بن ابراهيم</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بختیشوع بن جبرئيل قرن 3 ه-</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بخشي ، حسن بن عبدالله، 1111-1190ه-</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بخشي شيرخان احمد بن محمّد - 836ه-</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بخشي ، محمّد بن محمّد - 1098 ه-</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بد احراري ، محمّد نجيب</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بدخشاني ، محمّد بن محمّد قرن 13 ه-</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بدخشاني ، محمّد هاشم بن محمّد قاسم</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بدخشي، علي بن عبد الله قرن 11 ه-</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بدخشي، محمّد بن رستم 1098 ق 12 ه-</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بدرالدين رومي ، محمود بن احمد</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بدر العيني محمود بن احمد، 762-855ه-</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بدري ، حسن بن علي - 1214 ه-</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بدري دمشقي ، ابوبكر بن عبدالله، 847</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بدري قشاشي ، صفي الدين احمد، 991 -</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بدري ، محمّد بن حسن</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بدليسي ، ادريس بن حسام الدين علي ،930 ه-</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بدليسي ، خيرالدين بن محمّد عباس قرن 9ه-</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بدوي ، احمد بن احمد، 596 - 675</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بديري ، احمد، قرن 12 ه-</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بديري ، جعفر بن احمد قرن 14 ه-</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بدیع الدین</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بديع الزمان همداني ، احمد بن حسين</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بديعي</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بديعي تبريزي قرن 10 ه-</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بديعي ، يوسف - 1073 ه-</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براجستر ایسر ، جوتهلف برك - 1933م</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برادة ، حسين بن عبد الجليل</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برادة ، عبد الجليل بن عبد السلام</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برادكاهي لنكراني ، محمّد صادق بن</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براقي ، حسين بن احمد، 1260-1332ه-</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بربوري ، ناصر بن عبدالله</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بربير بيروتي ، محمود بن عمر</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برخشي طالقاني ، محمّد</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بردعي ، عبدالرحیم قرن 10 ه-</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بردعي ، محمّد بن سعد الله - 609 ه-</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برزالي ، قاسم بن محمّد، 665 - 739 ه-</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برزالي ، محمّد بن يوسف - 638 ه-</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برزنجي ، احمد بن اسماعيل - 1332 ه-</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برزنجي، جعفر بن حسن - 1187 ؟ ه-</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برزنجي ، حسن</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برزنجي ، حسين بن ،بایزید قرن 13 ه-</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برزنجي حسيني ، محمّد طاهر بن</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برزنجي، عبد السميع بن احمد -1338ه-</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برزنجي ، عبد اللطيف بن عبدالرحيم .</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برزنجي ، علي بن حسن قرن 12 ه-</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برزنجي، محمّد بن عبدالرسول 1040 -</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برزنجي ، محمود قرن 13 ه-</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برزنجي، محمود بن اسماعیل قرن 14 ه-</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برزيعي ، محمّد بن قاسم</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برزي ، مفرج بن ابي مفرج</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برسي ، بير محمّد بن موسى</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برشهاوي ، عمانوئيل - 980 م</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برعي ، عبدالرحيم بن احمد - 803 ه-</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برغاني ، اسحاق بن محمّد</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برغاني ، محمّد تقي بن محمّد، 1184 -</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برغاني محمّد صالح بن محمّد -1283ه-</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برغاني محمّد علي بن محمّد - 1272 ه-</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برقعي ، علي اكبر بن رضي الدين</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برقي ، احمد بن محمّد - 274 ه-</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برقي ، محمّد بن خالد، قرن 2 ه-</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بركاتي، موسى بن احمد - 1142 ه-</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بركلي ، محمّد بن پيرعلي 929 - 981 ه-</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برلسي ، محمّد شمس الدين قرن 10 ه-</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برماوي، ابراهيم بن محمّد - 1160 ه-</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برماوي ، محمّد بن عبدالدائم، 763 -</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برمكي، ابراهيم بن عمر - 445 ه-</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برمكي شيرواني، مظفر بن عثمان - 964ه-</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برمكي ، يحيى بن ابي بكر - 200 ه-</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برمي ، شمس الدين محمّد</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برهان قرن 13 ه-</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برهان الدین</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برهان الدین بن کمال الدین حمید، قرن 9 ه-</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برهان الشريعه ، محمود بن عبیدالله</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برهانپوري ، فتح محمّد بن عيسى</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برهانپوری، محمّد بن فضل الله - 1029ه-</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برهانپوري ، محمّد بيك بن يار محمّد</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برهانپوري هندي نظام الدين قرن 11 ه-</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،برهان محمّد حسین بن خلف قرن 11 ه-</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برهاني ، محمّد، - 1205 ه-</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بروجردي ، حاج اسماعيل قرن 14 ه-</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بروجردي ، محمّد صادق قرن 12 ه-</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بروجردي ، حسين بن محمّد رضا 1238 -</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بروجردي طهراني محمّد حسین قرن 13ه-</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بروجردي، عبدالله بن نوروزعلي، قرن 13ه-</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بروجردي كاشاني ، محمّد تقي بن احمد</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بروجردي ، محمّد رحيم بن محمّد</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بروجي هندي ، صبغة الله بن روح</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بريدي ، صاعد بن محمّد قرن 6 ه-</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بريفكاني ، عبدالحميد</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بريفكاني ، نورالدين بن عبدالجبار 1205</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بريلي ، محمّد بن عيسى - 400 ه-</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بزاز ، احمد بن عمرو، 210 - 292 ه-</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بزاز، حسن بن حسين، 1261 - 1305ه-</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بزاز كوفي ، هارون بن حاتم - 246 ه-</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بزاز ، محمّد بن علي قرن 13 ه-</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بزدوي ، علي بن محمّد، 400 - 482 ه-</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بزري، عمر بن محمّد، 471 - 560 ه-</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بساطي ، يوسف بن خالد 741 - 829 ه-</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بستان ،زاده محمّد بن مصطفى 1016ه-</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بستاني ، بطرس، 1819 - 1883 م</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بستي ، احمد بن عبدالرحمن</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بستي ، حسن بن محمود</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بستي مالكي ، احمد بن محمّد</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بسطامي ، جلال الدین احمد قرن 9 ه-</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بسطامي ، ذوالفقار خان بن علي اكبر</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بسطامي عبدالرحمن بن محمّد 858- ه-</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بسطامي ، علي بن طيفور قرن 11 ه-</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بسطامي ، محمّد بن عبد الحميد</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بسنوي ، عبدالله بن محمّد، 992-1054ه-</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بشاوري، عبد الله بن عبد اللطيف، قرن 14ه-</w:t>
        </w:r>
        <w:r>
          <w:tab/>
        </w:r>
        <w:r>
          <w:fldChar w:fldCharType="begin"/>
        </w:r>
        <w:r>
          <w:instrText xml:space="preserve">PAGEREF 1872 \h</w:instrText>
        </w:r>
        <w:r>
          <w:fldChar w:fldCharType="end"/>
        </w:r>
      </w:hyperlink>
    </w:p>
    <w:p>
      <w:pPr>
        <w:tabs>
          <w:tab w:val="right" w:leader="dot" w:pos="9062"/>
        </w:tabs>
        <w:ind w:left="220"/>
      </w:pPr>
      <w:hyperlink w:anchor="_Toc1873" w:history="1">
        <w:r>
          <w:rPr>
            <w:rFonts w:ascii="IRNazanin" w:hAnsi="IRNazanin" w:eastAsia="IRNazanin" w:cs="IRNazanin"/>
            <w:color w:val="111111"/>
            <w:sz w:val="22"/>
            <w:szCs w:val="22"/>
            <w:b w:val="0"/>
            <w:bCs w:val="0"/>
            <w:i w:val="0"/>
            <w:iCs w:val="0"/>
          </w:rPr>
          <w:t>بشتكي ، محمّد بن ابراهيم - 830 ه-</w:t>
        </w:r>
        <w:r>
          <w:tab/>
        </w:r>
        <w:r>
          <w:fldChar w:fldCharType="begin"/>
        </w:r>
        <w:r>
          <w:instrText xml:space="preserve">PAGEREF 1873 \h</w:instrText>
        </w:r>
        <w:r>
          <w:fldChar w:fldCharType="end"/>
        </w:r>
      </w:hyperlink>
    </w:p>
    <w:p>
      <w:pPr>
        <w:tabs>
          <w:tab w:val="right" w:leader="dot" w:pos="9062"/>
        </w:tabs>
        <w:ind w:left="220"/>
      </w:pPr>
      <w:hyperlink w:anchor="_Toc1874" w:history="1">
        <w:r>
          <w:rPr>
            <w:rFonts w:ascii="IRNazanin" w:hAnsi="IRNazanin" w:eastAsia="IRNazanin" w:cs="IRNazanin"/>
            <w:color w:val="111111"/>
            <w:sz w:val="22"/>
            <w:szCs w:val="22"/>
            <w:b w:val="0"/>
            <w:bCs w:val="0"/>
            <w:i w:val="0"/>
            <w:iCs w:val="0"/>
          </w:rPr>
          <w:t>بشدري ، حسين قرن 13 ه-</w:t>
        </w:r>
        <w:r>
          <w:tab/>
        </w:r>
        <w:r>
          <w:fldChar w:fldCharType="begin"/>
        </w:r>
        <w:r>
          <w:instrText xml:space="preserve">PAGEREF 1874 \h</w:instrText>
        </w:r>
        <w:r>
          <w:fldChar w:fldCharType="end"/>
        </w:r>
      </w:hyperlink>
    </w:p>
    <w:p>
      <w:pPr>
        <w:tabs>
          <w:tab w:val="right" w:leader="dot" w:pos="9062"/>
        </w:tabs>
        <w:ind w:left="220"/>
      </w:pPr>
      <w:hyperlink w:anchor="_Toc1875" w:history="1">
        <w:r>
          <w:rPr>
            <w:rFonts w:ascii="IRNazanin" w:hAnsi="IRNazanin" w:eastAsia="IRNazanin" w:cs="IRNazanin"/>
            <w:color w:val="111111"/>
            <w:sz w:val="22"/>
            <w:szCs w:val="22"/>
            <w:b w:val="0"/>
            <w:bCs w:val="0"/>
            <w:i w:val="0"/>
            <w:iCs w:val="0"/>
          </w:rPr>
          <w:t>بشدري ، حسين بن عبدالله - 1322 ه-</w:t>
        </w:r>
        <w:r>
          <w:tab/>
        </w:r>
        <w:r>
          <w:fldChar w:fldCharType="begin"/>
        </w:r>
        <w:r>
          <w:instrText xml:space="preserve">PAGEREF 1875 \h</w:instrText>
        </w:r>
        <w:r>
          <w:fldChar w:fldCharType="end"/>
        </w:r>
      </w:hyperlink>
    </w:p>
    <w:p>
      <w:pPr>
        <w:tabs>
          <w:tab w:val="right" w:leader="dot" w:pos="9062"/>
        </w:tabs>
        <w:ind w:left="220"/>
      </w:pPr>
      <w:hyperlink w:anchor="_Toc1876" w:history="1">
        <w:r>
          <w:rPr>
            <w:rFonts w:ascii="IRNazanin" w:hAnsi="IRNazanin" w:eastAsia="IRNazanin" w:cs="IRNazanin"/>
            <w:color w:val="111111"/>
            <w:sz w:val="22"/>
            <w:szCs w:val="22"/>
            <w:b w:val="0"/>
            <w:bCs w:val="0"/>
            <w:i w:val="0"/>
            <w:iCs w:val="0"/>
          </w:rPr>
          <w:t>بشروي خراساني ، حسن بن محمّد باقر .</w:t>
        </w:r>
        <w:r>
          <w:tab/>
        </w:r>
        <w:r>
          <w:fldChar w:fldCharType="begin"/>
        </w:r>
        <w:r>
          <w:instrText xml:space="preserve">PAGEREF 1876 \h</w:instrText>
        </w:r>
        <w:r>
          <w:fldChar w:fldCharType="end"/>
        </w:r>
      </w:hyperlink>
    </w:p>
    <w:p>
      <w:pPr>
        <w:tabs>
          <w:tab w:val="right" w:leader="dot" w:pos="9062"/>
        </w:tabs>
        <w:ind w:left="220"/>
      </w:pPr>
      <w:hyperlink w:anchor="_Toc1877" w:history="1">
        <w:r>
          <w:rPr>
            <w:rFonts w:ascii="IRNazanin" w:hAnsi="IRNazanin" w:eastAsia="IRNazanin" w:cs="IRNazanin"/>
            <w:color w:val="111111"/>
            <w:sz w:val="22"/>
            <w:szCs w:val="22"/>
            <w:b w:val="0"/>
            <w:bCs w:val="0"/>
            <w:i w:val="0"/>
            <w:iCs w:val="0"/>
          </w:rPr>
          <w:t>بشيشي ، احمد بن عبداللطيف 1041 -</w:t>
        </w:r>
        <w:r>
          <w:tab/>
        </w:r>
        <w:r>
          <w:fldChar w:fldCharType="begin"/>
        </w:r>
        <w:r>
          <w:instrText xml:space="preserve">PAGEREF 1877 \h</w:instrText>
        </w:r>
        <w:r>
          <w:fldChar w:fldCharType="end"/>
        </w:r>
      </w:hyperlink>
    </w:p>
    <w:p>
      <w:pPr>
        <w:tabs>
          <w:tab w:val="right" w:leader="dot" w:pos="9062"/>
        </w:tabs>
        <w:ind w:left="220"/>
      </w:pPr>
      <w:hyperlink w:anchor="_Toc1878" w:history="1">
        <w:r>
          <w:rPr>
            <w:rFonts w:ascii="IRNazanin" w:hAnsi="IRNazanin" w:eastAsia="IRNazanin" w:cs="IRNazanin"/>
            <w:color w:val="111111"/>
            <w:sz w:val="22"/>
            <w:szCs w:val="22"/>
            <w:b w:val="0"/>
            <w:bCs w:val="0"/>
            <w:i w:val="0"/>
            <w:iCs w:val="0"/>
          </w:rPr>
          <w:t>بصراوي ، محمّد بن محمّد</w:t>
        </w:r>
        <w:r>
          <w:tab/>
        </w:r>
        <w:r>
          <w:fldChar w:fldCharType="begin"/>
        </w:r>
        <w:r>
          <w:instrText xml:space="preserve">PAGEREF 1878 \h</w:instrText>
        </w:r>
        <w:r>
          <w:fldChar w:fldCharType="end"/>
        </w:r>
      </w:hyperlink>
    </w:p>
    <w:p>
      <w:pPr>
        <w:tabs>
          <w:tab w:val="right" w:leader="dot" w:pos="9062"/>
        </w:tabs>
        <w:ind w:left="220"/>
      </w:pPr>
      <w:hyperlink w:anchor="_Toc1879" w:history="1">
        <w:r>
          <w:rPr>
            <w:rFonts w:ascii="IRNazanin" w:hAnsi="IRNazanin" w:eastAsia="IRNazanin" w:cs="IRNazanin"/>
            <w:color w:val="111111"/>
            <w:sz w:val="22"/>
            <w:szCs w:val="22"/>
            <w:b w:val="0"/>
            <w:bCs w:val="0"/>
            <w:i w:val="0"/>
            <w:iCs w:val="0"/>
          </w:rPr>
          <w:t>بصروي ، علي بن يوسف - 905 ه-</w:t>
        </w:r>
        <w:r>
          <w:tab/>
        </w:r>
        <w:r>
          <w:fldChar w:fldCharType="begin"/>
        </w:r>
        <w:r>
          <w:instrText xml:space="preserve">PAGEREF 1879 \h</w:instrText>
        </w:r>
        <w:r>
          <w:fldChar w:fldCharType="end"/>
        </w:r>
      </w:hyperlink>
    </w:p>
    <w:p>
      <w:pPr>
        <w:tabs>
          <w:tab w:val="right" w:leader="dot" w:pos="9062"/>
        </w:tabs>
        <w:ind w:left="220"/>
      </w:pPr>
      <w:hyperlink w:anchor="_Toc1880" w:history="1">
        <w:r>
          <w:rPr>
            <w:rFonts w:ascii="IRNazanin" w:hAnsi="IRNazanin" w:eastAsia="IRNazanin" w:cs="IRNazanin"/>
            <w:color w:val="111111"/>
            <w:sz w:val="22"/>
            <w:szCs w:val="22"/>
            <w:b w:val="0"/>
            <w:bCs w:val="0"/>
            <w:i w:val="0"/>
            <w:iCs w:val="0"/>
          </w:rPr>
          <w:t>بصري ، احمد بن عبد الرضا قرن 11 ه-</w:t>
        </w:r>
        <w:r>
          <w:tab/>
        </w:r>
        <w:r>
          <w:fldChar w:fldCharType="begin"/>
        </w:r>
        <w:r>
          <w:instrText xml:space="preserve">PAGEREF 1880 \h</w:instrText>
        </w:r>
        <w:r>
          <w:fldChar w:fldCharType="end"/>
        </w:r>
      </w:hyperlink>
    </w:p>
    <w:p>
      <w:pPr>
        <w:tabs>
          <w:tab w:val="right" w:leader="dot" w:pos="9062"/>
        </w:tabs>
        <w:ind w:left="220"/>
      </w:pPr>
      <w:hyperlink w:anchor="_Toc1881" w:history="1">
        <w:r>
          <w:rPr>
            <w:rFonts w:ascii="IRNazanin" w:hAnsi="IRNazanin" w:eastAsia="IRNazanin" w:cs="IRNazanin"/>
            <w:color w:val="111111"/>
            <w:sz w:val="22"/>
            <w:szCs w:val="22"/>
            <w:b w:val="0"/>
            <w:bCs w:val="0"/>
            <w:i w:val="0"/>
            <w:iCs w:val="0"/>
          </w:rPr>
          <w:t>بصري ، احمد نور بن محمّد شریف .</w:t>
        </w:r>
        <w:r>
          <w:tab/>
        </w:r>
        <w:r>
          <w:fldChar w:fldCharType="begin"/>
        </w:r>
        <w:r>
          <w:instrText xml:space="preserve">PAGEREF 1881 \h</w:instrText>
        </w:r>
        <w:r>
          <w:fldChar w:fldCharType="end"/>
        </w:r>
      </w:hyperlink>
    </w:p>
    <w:p>
      <w:pPr>
        <w:tabs>
          <w:tab w:val="right" w:leader="dot" w:pos="9062"/>
        </w:tabs>
        <w:ind w:left="220"/>
      </w:pPr>
      <w:hyperlink w:anchor="_Toc1882" w:history="1">
        <w:r>
          <w:rPr>
            <w:rFonts w:ascii="IRNazanin" w:hAnsi="IRNazanin" w:eastAsia="IRNazanin" w:cs="IRNazanin"/>
            <w:color w:val="111111"/>
            <w:sz w:val="22"/>
            <w:szCs w:val="22"/>
            <w:b w:val="0"/>
            <w:bCs w:val="0"/>
            <w:i w:val="0"/>
            <w:iCs w:val="0"/>
          </w:rPr>
          <w:t>بصري، سالم بن عبدالله - 1160 ه-</w:t>
        </w:r>
        <w:r>
          <w:tab/>
        </w:r>
        <w:r>
          <w:fldChar w:fldCharType="begin"/>
        </w:r>
        <w:r>
          <w:instrText xml:space="preserve">PAGEREF 1882 \h</w:instrText>
        </w:r>
        <w:r>
          <w:fldChar w:fldCharType="end"/>
        </w:r>
      </w:hyperlink>
    </w:p>
    <w:p>
      <w:pPr>
        <w:tabs>
          <w:tab w:val="right" w:leader="dot" w:pos="9062"/>
        </w:tabs>
        <w:ind w:left="220"/>
      </w:pPr>
      <w:hyperlink w:anchor="_Toc1883" w:history="1">
        <w:r>
          <w:rPr>
            <w:rFonts w:ascii="IRNazanin" w:hAnsi="IRNazanin" w:eastAsia="IRNazanin" w:cs="IRNazanin"/>
            <w:color w:val="111111"/>
            <w:sz w:val="22"/>
            <w:szCs w:val="22"/>
            <w:b w:val="0"/>
            <w:bCs w:val="0"/>
            <w:i w:val="0"/>
            <w:iCs w:val="0"/>
          </w:rPr>
          <w:t>بصري، سليمان - 1093؟ه-</w:t>
        </w:r>
        <w:r>
          <w:tab/>
        </w:r>
        <w:r>
          <w:fldChar w:fldCharType="begin"/>
        </w:r>
        <w:r>
          <w:instrText xml:space="preserve">PAGEREF 1883 \h</w:instrText>
        </w:r>
        <w:r>
          <w:fldChar w:fldCharType="end"/>
        </w:r>
      </w:hyperlink>
    </w:p>
    <w:p>
      <w:pPr>
        <w:tabs>
          <w:tab w:val="right" w:leader="dot" w:pos="9062"/>
        </w:tabs>
        <w:ind w:left="220"/>
      </w:pPr>
      <w:hyperlink w:anchor="_Toc1884" w:history="1">
        <w:r>
          <w:rPr>
            <w:rFonts w:ascii="IRNazanin" w:hAnsi="IRNazanin" w:eastAsia="IRNazanin" w:cs="IRNazanin"/>
            <w:color w:val="111111"/>
            <w:sz w:val="22"/>
            <w:szCs w:val="22"/>
            <w:b w:val="0"/>
            <w:bCs w:val="0"/>
            <w:i w:val="0"/>
            <w:iCs w:val="0"/>
          </w:rPr>
          <w:t>بصري، شمس الدين - 893 ه-</w:t>
        </w:r>
        <w:r>
          <w:tab/>
        </w:r>
        <w:r>
          <w:fldChar w:fldCharType="begin"/>
        </w:r>
        <w:r>
          <w:instrText xml:space="preserve">PAGEREF 1884 \h</w:instrText>
        </w:r>
        <w:r>
          <w:fldChar w:fldCharType="end"/>
        </w:r>
      </w:hyperlink>
    </w:p>
    <w:p>
      <w:pPr>
        <w:tabs>
          <w:tab w:val="right" w:leader="dot" w:pos="9062"/>
        </w:tabs>
        <w:ind w:left="220"/>
      </w:pPr>
      <w:hyperlink w:anchor="_Toc1885" w:history="1">
        <w:r>
          <w:rPr>
            <w:rFonts w:ascii="IRNazanin" w:hAnsi="IRNazanin" w:eastAsia="IRNazanin" w:cs="IRNazanin"/>
            <w:color w:val="111111"/>
            <w:sz w:val="22"/>
            <w:szCs w:val="22"/>
            <w:b w:val="0"/>
            <w:bCs w:val="0"/>
            <w:i w:val="0"/>
            <w:iCs w:val="0"/>
          </w:rPr>
          <w:t>بصري طباطبائي، ياسين بن ابراهيم قرن 12ه-</w:t>
        </w:r>
        <w:r>
          <w:tab/>
        </w:r>
        <w:r>
          <w:fldChar w:fldCharType="begin"/>
        </w:r>
        <w:r>
          <w:instrText xml:space="preserve">PAGEREF 1885 \h</w:instrText>
        </w:r>
        <w:r>
          <w:fldChar w:fldCharType="end"/>
        </w:r>
      </w:hyperlink>
    </w:p>
    <w:p>
      <w:pPr>
        <w:tabs>
          <w:tab w:val="right" w:leader="dot" w:pos="9062"/>
        </w:tabs>
        <w:ind w:left="220"/>
      </w:pPr>
      <w:hyperlink w:anchor="_Toc1886" w:history="1">
        <w:r>
          <w:rPr>
            <w:rFonts w:ascii="IRNazanin" w:hAnsi="IRNazanin" w:eastAsia="IRNazanin" w:cs="IRNazanin"/>
            <w:color w:val="111111"/>
            <w:sz w:val="22"/>
            <w:szCs w:val="22"/>
            <w:b w:val="0"/>
            <w:bCs w:val="0"/>
            <w:i w:val="0"/>
            <w:iCs w:val="0"/>
          </w:rPr>
          <w:t>بصري، عبد السلام بن احمد - 368 ه-</w:t>
        </w:r>
        <w:r>
          <w:tab/>
        </w:r>
        <w:r>
          <w:fldChar w:fldCharType="begin"/>
        </w:r>
        <w:r>
          <w:instrText xml:space="preserve">PAGEREF 1886 \h</w:instrText>
        </w:r>
        <w:r>
          <w:fldChar w:fldCharType="end"/>
        </w:r>
      </w:hyperlink>
    </w:p>
    <w:p>
      <w:pPr>
        <w:tabs>
          <w:tab w:val="right" w:leader="dot" w:pos="9062"/>
        </w:tabs>
        <w:ind w:left="220"/>
      </w:pPr>
      <w:hyperlink w:anchor="_Toc1887" w:history="1">
        <w:r>
          <w:rPr>
            <w:rFonts w:ascii="IRNazanin" w:hAnsi="IRNazanin" w:eastAsia="IRNazanin" w:cs="IRNazanin"/>
            <w:color w:val="111111"/>
            <w:sz w:val="22"/>
            <w:szCs w:val="22"/>
            <w:b w:val="0"/>
            <w:bCs w:val="0"/>
            <w:i w:val="0"/>
            <w:iCs w:val="0"/>
          </w:rPr>
          <w:t>بصري، عبد القادر بن احمد - 1085 ه-</w:t>
        </w:r>
        <w:r>
          <w:tab/>
        </w:r>
        <w:r>
          <w:fldChar w:fldCharType="begin"/>
        </w:r>
        <w:r>
          <w:instrText xml:space="preserve">PAGEREF 1887 \h</w:instrText>
        </w:r>
        <w:r>
          <w:fldChar w:fldCharType="end"/>
        </w:r>
      </w:hyperlink>
    </w:p>
    <w:p>
      <w:pPr>
        <w:tabs>
          <w:tab w:val="right" w:leader="dot" w:pos="9062"/>
        </w:tabs>
        <w:ind w:left="220"/>
      </w:pPr>
      <w:hyperlink w:anchor="_Toc1888" w:history="1">
        <w:r>
          <w:rPr>
            <w:rFonts w:ascii="IRNazanin" w:hAnsi="IRNazanin" w:eastAsia="IRNazanin" w:cs="IRNazanin"/>
            <w:color w:val="111111"/>
            <w:sz w:val="22"/>
            <w:szCs w:val="22"/>
            <w:b w:val="0"/>
            <w:bCs w:val="0"/>
            <w:i w:val="0"/>
            <w:iCs w:val="0"/>
          </w:rPr>
          <w:t>بصري، عبدالله بن سالم، 21048-1134 ه-</w:t>
        </w:r>
        <w:r>
          <w:tab/>
        </w:r>
        <w:r>
          <w:fldChar w:fldCharType="begin"/>
        </w:r>
        <w:r>
          <w:instrText xml:space="preserve">PAGEREF 1888 \h</w:instrText>
        </w:r>
        <w:r>
          <w:fldChar w:fldCharType="end"/>
        </w:r>
      </w:hyperlink>
    </w:p>
    <w:p>
      <w:pPr>
        <w:tabs>
          <w:tab w:val="right" w:leader="dot" w:pos="9062"/>
        </w:tabs>
        <w:ind w:left="220"/>
      </w:pPr>
      <w:hyperlink w:anchor="_Toc1889" w:history="1">
        <w:r>
          <w:rPr>
            <w:rFonts w:ascii="IRNazanin" w:hAnsi="IRNazanin" w:eastAsia="IRNazanin" w:cs="IRNazanin"/>
            <w:color w:val="111111"/>
            <w:sz w:val="22"/>
            <w:szCs w:val="22"/>
            <w:b w:val="0"/>
            <w:bCs w:val="0"/>
            <w:i w:val="0"/>
            <w:iCs w:val="0"/>
          </w:rPr>
          <w:t>بصري، عبدالله بن عبد الواحد - 1340 ه-</w:t>
        </w:r>
        <w:r>
          <w:tab/>
        </w:r>
        <w:r>
          <w:fldChar w:fldCharType="begin"/>
        </w:r>
        <w:r>
          <w:instrText xml:space="preserve">PAGEREF 1889 \h</w:instrText>
        </w:r>
        <w:r>
          <w:fldChar w:fldCharType="end"/>
        </w:r>
      </w:hyperlink>
    </w:p>
    <w:p>
      <w:pPr>
        <w:tabs>
          <w:tab w:val="right" w:leader="dot" w:pos="9062"/>
        </w:tabs>
        <w:ind w:left="220"/>
      </w:pPr>
      <w:hyperlink w:anchor="_Toc1890" w:history="1">
        <w:r>
          <w:rPr>
            <w:rFonts w:ascii="IRNazanin" w:hAnsi="IRNazanin" w:eastAsia="IRNazanin" w:cs="IRNazanin"/>
            <w:color w:val="111111"/>
            <w:sz w:val="22"/>
            <w:szCs w:val="22"/>
            <w:b w:val="0"/>
            <w:bCs w:val="0"/>
            <w:i w:val="0"/>
            <w:iCs w:val="0"/>
          </w:rPr>
          <w:t>بصري، علي بن ابي الفرج - 656 ه-</w:t>
        </w:r>
        <w:r>
          <w:tab/>
        </w:r>
        <w:r>
          <w:fldChar w:fldCharType="begin"/>
        </w:r>
        <w:r>
          <w:instrText xml:space="preserve">PAGEREF 1890 \h</w:instrText>
        </w:r>
        <w:r>
          <w:fldChar w:fldCharType="end"/>
        </w:r>
      </w:hyperlink>
    </w:p>
    <w:p>
      <w:pPr>
        <w:tabs>
          <w:tab w:val="right" w:leader="dot" w:pos="9062"/>
        </w:tabs>
        <w:ind w:left="220"/>
      </w:pPr>
      <w:hyperlink w:anchor="_Toc1891" w:history="1">
        <w:r>
          <w:rPr>
            <w:rFonts w:ascii="IRNazanin" w:hAnsi="IRNazanin" w:eastAsia="IRNazanin" w:cs="IRNazanin"/>
            <w:color w:val="111111"/>
            <w:sz w:val="22"/>
            <w:szCs w:val="22"/>
            <w:b w:val="0"/>
            <w:bCs w:val="0"/>
            <w:i w:val="0"/>
            <w:iCs w:val="0"/>
          </w:rPr>
          <w:t>بصري ، علي بن حمزه - 375 ه-</w:t>
        </w:r>
        <w:r>
          <w:tab/>
        </w:r>
        <w:r>
          <w:fldChar w:fldCharType="begin"/>
        </w:r>
        <w:r>
          <w:instrText xml:space="preserve">PAGEREF 1891 \h</w:instrText>
        </w:r>
        <w:r>
          <w:fldChar w:fldCharType="end"/>
        </w:r>
      </w:hyperlink>
    </w:p>
    <w:p>
      <w:pPr>
        <w:tabs>
          <w:tab w:val="right" w:leader="dot" w:pos="9062"/>
        </w:tabs>
        <w:ind w:left="220"/>
      </w:pPr>
      <w:hyperlink w:anchor="_Toc1892" w:history="1">
        <w:r>
          <w:rPr>
            <w:rFonts w:ascii="IRNazanin" w:hAnsi="IRNazanin" w:eastAsia="IRNazanin" w:cs="IRNazanin"/>
            <w:color w:val="111111"/>
            <w:sz w:val="22"/>
            <w:szCs w:val="22"/>
            <w:b w:val="0"/>
            <w:bCs w:val="0"/>
            <w:i w:val="0"/>
            <w:iCs w:val="0"/>
          </w:rPr>
          <w:t>بصري ، قطب الدین بن احمد</w:t>
        </w:r>
        <w:r>
          <w:tab/>
        </w:r>
        <w:r>
          <w:fldChar w:fldCharType="begin"/>
        </w:r>
        <w:r>
          <w:instrText xml:space="preserve">PAGEREF 1892 \h</w:instrText>
        </w:r>
        <w:r>
          <w:fldChar w:fldCharType="end"/>
        </w:r>
      </w:hyperlink>
    </w:p>
    <w:p>
      <w:pPr>
        <w:tabs>
          <w:tab w:val="right" w:leader="dot" w:pos="9062"/>
        </w:tabs>
        <w:ind w:left="220"/>
      </w:pPr>
      <w:hyperlink w:anchor="_Toc1893" w:history="1">
        <w:r>
          <w:rPr>
            <w:rFonts w:ascii="IRNazanin" w:hAnsi="IRNazanin" w:eastAsia="IRNazanin" w:cs="IRNazanin"/>
            <w:color w:val="111111"/>
            <w:sz w:val="22"/>
            <w:szCs w:val="22"/>
            <w:b w:val="0"/>
            <w:bCs w:val="0"/>
            <w:i w:val="0"/>
            <w:iCs w:val="0"/>
          </w:rPr>
          <w:t>بصري ، محمّد بن بدرالدين</w:t>
        </w:r>
        <w:r>
          <w:tab/>
        </w:r>
        <w:r>
          <w:fldChar w:fldCharType="begin"/>
        </w:r>
        <w:r>
          <w:instrText xml:space="preserve">PAGEREF 1893 \h</w:instrText>
        </w:r>
        <w:r>
          <w:fldChar w:fldCharType="end"/>
        </w:r>
      </w:hyperlink>
    </w:p>
    <w:p>
      <w:pPr>
        <w:tabs>
          <w:tab w:val="right" w:leader="dot" w:pos="9062"/>
        </w:tabs>
        <w:ind w:left="220"/>
      </w:pPr>
      <w:hyperlink w:anchor="_Toc1894" w:history="1">
        <w:r>
          <w:rPr>
            <w:rFonts w:ascii="IRNazanin" w:hAnsi="IRNazanin" w:eastAsia="IRNazanin" w:cs="IRNazanin"/>
            <w:color w:val="111111"/>
            <w:sz w:val="22"/>
            <w:szCs w:val="22"/>
            <w:b w:val="0"/>
            <w:bCs w:val="0"/>
            <w:i w:val="0"/>
            <w:iCs w:val="0"/>
          </w:rPr>
          <w:t>بصري ، محمّد بن خليل - 889 ه-</w:t>
        </w:r>
        <w:r>
          <w:tab/>
        </w:r>
        <w:r>
          <w:fldChar w:fldCharType="begin"/>
        </w:r>
        <w:r>
          <w:instrText xml:space="preserve">PAGEREF 1894 \h</w:instrText>
        </w:r>
        <w:r>
          <w:fldChar w:fldCharType="end"/>
        </w:r>
      </w:hyperlink>
    </w:p>
    <w:p>
      <w:pPr>
        <w:tabs>
          <w:tab w:val="right" w:leader="dot" w:pos="9062"/>
        </w:tabs>
        <w:ind w:left="220"/>
      </w:pPr>
      <w:hyperlink w:anchor="_Toc1895" w:history="1">
        <w:r>
          <w:rPr>
            <w:rFonts w:ascii="IRNazanin" w:hAnsi="IRNazanin" w:eastAsia="IRNazanin" w:cs="IRNazanin"/>
            <w:color w:val="111111"/>
            <w:sz w:val="22"/>
            <w:szCs w:val="22"/>
            <w:b w:val="0"/>
            <w:bCs w:val="0"/>
            <w:i w:val="0"/>
            <w:iCs w:val="0"/>
          </w:rPr>
          <w:t>بصري ، يحيى بن سعيد - 589 ه-</w:t>
        </w:r>
        <w:r>
          <w:tab/>
        </w:r>
        <w:r>
          <w:fldChar w:fldCharType="begin"/>
        </w:r>
        <w:r>
          <w:instrText xml:space="preserve">PAGEREF 1895 \h</w:instrText>
        </w:r>
        <w:r>
          <w:fldChar w:fldCharType="end"/>
        </w:r>
      </w:hyperlink>
    </w:p>
    <w:p>
      <w:pPr>
        <w:tabs>
          <w:tab w:val="right" w:leader="dot" w:pos="9062"/>
        </w:tabs>
        <w:ind w:left="220"/>
      </w:pPr>
      <w:hyperlink w:anchor="_Toc1896" w:history="1">
        <w:r>
          <w:rPr>
            <w:rFonts w:ascii="IRNazanin" w:hAnsi="IRNazanin" w:eastAsia="IRNazanin" w:cs="IRNazanin"/>
            <w:color w:val="111111"/>
            <w:sz w:val="22"/>
            <w:szCs w:val="22"/>
            <w:b w:val="0"/>
            <w:bCs w:val="0"/>
            <w:i w:val="0"/>
            <w:iCs w:val="0"/>
          </w:rPr>
          <w:t>بصير حاكمي ، علي بن عبدالله</w:t>
        </w:r>
        <w:r>
          <w:tab/>
        </w:r>
        <w:r>
          <w:fldChar w:fldCharType="begin"/>
        </w:r>
        <w:r>
          <w:instrText xml:space="preserve">PAGEREF 1896 \h</w:instrText>
        </w:r>
        <w:r>
          <w:fldChar w:fldCharType="end"/>
        </w:r>
      </w:hyperlink>
    </w:p>
    <w:p>
      <w:pPr>
        <w:tabs>
          <w:tab w:val="right" w:leader="dot" w:pos="9062"/>
        </w:tabs>
        <w:ind w:left="220"/>
      </w:pPr>
      <w:hyperlink w:anchor="_Toc1897" w:history="1">
        <w:r>
          <w:rPr>
            <w:rFonts w:ascii="IRNazanin" w:hAnsi="IRNazanin" w:eastAsia="IRNazanin" w:cs="IRNazanin"/>
            <w:color w:val="111111"/>
            <w:sz w:val="22"/>
            <w:szCs w:val="22"/>
            <w:b w:val="0"/>
            <w:bCs w:val="0"/>
            <w:i w:val="0"/>
            <w:iCs w:val="0"/>
          </w:rPr>
          <w:t>بصير رقيبي ، ابراهيم بن مبارك</w:t>
        </w:r>
        <w:r>
          <w:tab/>
        </w:r>
        <w:r>
          <w:fldChar w:fldCharType="begin"/>
        </w:r>
        <w:r>
          <w:instrText xml:space="preserve">PAGEREF 1897 \h</w:instrText>
        </w:r>
        <w:r>
          <w:fldChar w:fldCharType="end"/>
        </w:r>
      </w:hyperlink>
    </w:p>
    <w:p>
      <w:pPr>
        <w:tabs>
          <w:tab w:val="right" w:leader="dot" w:pos="9062"/>
        </w:tabs>
        <w:ind w:left="220"/>
      </w:pPr>
      <w:hyperlink w:anchor="_Toc1898" w:history="1">
        <w:r>
          <w:rPr>
            <w:rFonts w:ascii="IRNazanin" w:hAnsi="IRNazanin" w:eastAsia="IRNazanin" w:cs="IRNazanin"/>
            <w:color w:val="111111"/>
            <w:sz w:val="22"/>
            <w:szCs w:val="22"/>
            <w:b w:val="0"/>
            <w:bCs w:val="0"/>
            <w:i w:val="0"/>
            <w:iCs w:val="0"/>
          </w:rPr>
          <w:t>بصير ، عبد القادر بن يحيى قرن 11 ه-</w:t>
        </w:r>
        <w:r>
          <w:tab/>
        </w:r>
        <w:r>
          <w:fldChar w:fldCharType="begin"/>
        </w:r>
        <w:r>
          <w:instrText xml:space="preserve">PAGEREF 1898 \h</w:instrText>
        </w:r>
        <w:r>
          <w:fldChar w:fldCharType="end"/>
        </w:r>
      </w:hyperlink>
    </w:p>
    <w:p>
      <w:pPr>
        <w:tabs>
          <w:tab w:val="right" w:leader="dot" w:pos="9062"/>
        </w:tabs>
        <w:ind w:left="220"/>
      </w:pPr>
      <w:hyperlink w:anchor="_Toc1899" w:history="1">
        <w:r>
          <w:rPr>
            <w:rFonts w:ascii="IRNazanin" w:hAnsi="IRNazanin" w:eastAsia="IRNazanin" w:cs="IRNazanin"/>
            <w:color w:val="111111"/>
            <w:sz w:val="22"/>
            <w:szCs w:val="22"/>
            <w:b w:val="0"/>
            <w:bCs w:val="0"/>
            <w:i w:val="0"/>
            <w:iCs w:val="0"/>
          </w:rPr>
          <w:t>بصيري ، خليل بن علي بن اسماعيل</w:t>
        </w:r>
        <w:r>
          <w:tab/>
        </w:r>
        <w:r>
          <w:fldChar w:fldCharType="begin"/>
        </w:r>
        <w:r>
          <w:instrText xml:space="preserve">PAGEREF 1899 \h</w:instrText>
        </w:r>
        <w:r>
          <w:fldChar w:fldCharType="end"/>
        </w:r>
      </w:hyperlink>
    </w:p>
    <w:p>
      <w:pPr>
        <w:tabs>
          <w:tab w:val="right" w:leader="dot" w:pos="9062"/>
        </w:tabs>
        <w:ind w:left="220"/>
      </w:pPr>
      <w:hyperlink w:anchor="_Toc1900" w:history="1">
        <w:r>
          <w:rPr>
            <w:rFonts w:ascii="IRNazanin" w:hAnsi="IRNazanin" w:eastAsia="IRNazanin" w:cs="IRNazanin"/>
            <w:color w:val="111111"/>
            <w:sz w:val="22"/>
            <w:szCs w:val="22"/>
            <w:b w:val="0"/>
            <w:bCs w:val="0"/>
            <w:i w:val="0"/>
            <w:iCs w:val="0"/>
          </w:rPr>
          <w:t>بصيري ، عبيد الله بن خليل، قرن 13 ه-</w:t>
        </w:r>
        <w:r>
          <w:tab/>
        </w:r>
        <w:r>
          <w:fldChar w:fldCharType="begin"/>
        </w:r>
        <w:r>
          <w:instrText xml:space="preserve">PAGEREF 1900 \h</w:instrText>
        </w:r>
        <w:r>
          <w:fldChar w:fldCharType="end"/>
        </w:r>
      </w:hyperlink>
    </w:p>
    <w:p>
      <w:pPr>
        <w:tabs>
          <w:tab w:val="right" w:leader="dot" w:pos="9062"/>
        </w:tabs>
        <w:ind w:left="220"/>
      </w:pPr>
      <w:hyperlink w:anchor="_Toc1901" w:history="1">
        <w:r>
          <w:rPr>
            <w:rFonts w:ascii="IRNazanin" w:hAnsi="IRNazanin" w:eastAsia="IRNazanin" w:cs="IRNazanin"/>
            <w:color w:val="111111"/>
            <w:sz w:val="22"/>
            <w:szCs w:val="22"/>
            <w:b w:val="0"/>
            <w:bCs w:val="0"/>
            <w:i w:val="0"/>
            <w:iCs w:val="0"/>
          </w:rPr>
          <w:t>بطرس بوصيك، 1823 - 1906 م</w:t>
        </w:r>
        <w:r>
          <w:tab/>
        </w:r>
        <w:r>
          <w:fldChar w:fldCharType="begin"/>
        </w:r>
        <w:r>
          <w:instrText xml:space="preserve">PAGEREF 1901 \h</w:instrText>
        </w:r>
        <w:r>
          <w:fldChar w:fldCharType="end"/>
        </w:r>
      </w:hyperlink>
    </w:p>
    <w:p>
      <w:pPr>
        <w:tabs>
          <w:tab w:val="right" w:leader="dot" w:pos="9062"/>
        </w:tabs>
        <w:ind w:left="220"/>
      </w:pPr>
      <w:hyperlink w:anchor="_Toc1902" w:history="1">
        <w:r>
          <w:rPr>
            <w:rFonts w:ascii="IRNazanin" w:hAnsi="IRNazanin" w:eastAsia="IRNazanin" w:cs="IRNazanin"/>
            <w:color w:val="111111"/>
            <w:sz w:val="22"/>
            <w:szCs w:val="22"/>
            <w:b w:val="0"/>
            <w:bCs w:val="0"/>
            <w:i w:val="0"/>
            <w:iCs w:val="0"/>
          </w:rPr>
          <w:t>بطريرك مشرق ، مار يوسف</w:t>
        </w:r>
        <w:r>
          <w:tab/>
        </w:r>
        <w:r>
          <w:fldChar w:fldCharType="begin"/>
        </w:r>
        <w:r>
          <w:instrText xml:space="preserve">PAGEREF 1902 \h</w:instrText>
        </w:r>
        <w:r>
          <w:fldChar w:fldCharType="end"/>
        </w:r>
      </w:hyperlink>
    </w:p>
    <w:p>
      <w:pPr>
        <w:tabs>
          <w:tab w:val="right" w:leader="dot" w:pos="9062"/>
        </w:tabs>
        <w:ind w:left="220"/>
      </w:pPr>
      <w:hyperlink w:anchor="_Toc1903" w:history="1">
        <w:r>
          <w:rPr>
            <w:rFonts w:ascii="IRNazanin" w:hAnsi="IRNazanin" w:eastAsia="IRNazanin" w:cs="IRNazanin"/>
            <w:color w:val="111111"/>
            <w:sz w:val="22"/>
            <w:szCs w:val="22"/>
            <w:b w:val="0"/>
            <w:bCs w:val="0"/>
            <w:i w:val="0"/>
            <w:iCs w:val="0"/>
          </w:rPr>
          <w:t>بطلميوس كلاوديوس ، ش، 100-178 م</w:t>
        </w:r>
        <w:r>
          <w:tab/>
        </w:r>
        <w:r>
          <w:fldChar w:fldCharType="begin"/>
        </w:r>
        <w:r>
          <w:instrText xml:space="preserve">PAGEREF 1903 \h</w:instrText>
        </w:r>
        <w:r>
          <w:fldChar w:fldCharType="end"/>
        </w:r>
      </w:hyperlink>
    </w:p>
    <w:p>
      <w:pPr>
        <w:tabs>
          <w:tab w:val="right" w:leader="dot" w:pos="9062"/>
        </w:tabs>
        <w:ind w:left="220"/>
      </w:pPr>
      <w:hyperlink w:anchor="_Toc1904" w:history="1">
        <w:r>
          <w:rPr>
            <w:rFonts w:ascii="IRNazanin" w:hAnsi="IRNazanin" w:eastAsia="IRNazanin" w:cs="IRNazanin"/>
            <w:color w:val="111111"/>
            <w:sz w:val="22"/>
            <w:szCs w:val="22"/>
            <w:b w:val="0"/>
            <w:bCs w:val="0"/>
            <w:i w:val="0"/>
            <w:iCs w:val="0"/>
          </w:rPr>
          <w:t>بطليوسي ، عاصم بن ايوب - 494 ه-</w:t>
        </w:r>
        <w:r>
          <w:tab/>
        </w:r>
        <w:r>
          <w:fldChar w:fldCharType="begin"/>
        </w:r>
        <w:r>
          <w:instrText xml:space="preserve">PAGEREF 1904 \h</w:instrText>
        </w:r>
        <w:r>
          <w:fldChar w:fldCharType="end"/>
        </w:r>
      </w:hyperlink>
    </w:p>
    <w:p>
      <w:pPr>
        <w:tabs>
          <w:tab w:val="right" w:leader="dot" w:pos="9062"/>
        </w:tabs>
        <w:ind w:left="220"/>
      </w:pPr>
      <w:hyperlink w:anchor="_Toc1905" w:history="1">
        <w:r>
          <w:rPr>
            <w:rFonts w:ascii="IRNazanin" w:hAnsi="IRNazanin" w:eastAsia="IRNazanin" w:cs="IRNazanin"/>
            <w:color w:val="111111"/>
            <w:sz w:val="22"/>
            <w:szCs w:val="22"/>
            <w:b w:val="0"/>
            <w:bCs w:val="0"/>
            <w:i w:val="0"/>
            <w:iCs w:val="0"/>
          </w:rPr>
          <w:t>بطليوسي، عبدالله بن محمّد 444-521ه-</w:t>
        </w:r>
        <w:r>
          <w:tab/>
        </w:r>
        <w:r>
          <w:fldChar w:fldCharType="begin"/>
        </w:r>
        <w:r>
          <w:instrText xml:space="preserve">PAGEREF 1905 \h</w:instrText>
        </w:r>
        <w:r>
          <w:fldChar w:fldCharType="end"/>
        </w:r>
      </w:hyperlink>
    </w:p>
    <w:p>
      <w:pPr>
        <w:tabs>
          <w:tab w:val="right" w:leader="dot" w:pos="9062"/>
        </w:tabs>
        <w:ind w:left="220"/>
      </w:pPr>
      <w:hyperlink w:anchor="_Toc1906" w:history="1">
        <w:r>
          <w:rPr>
            <w:rFonts w:ascii="IRNazanin" w:hAnsi="IRNazanin" w:eastAsia="IRNazanin" w:cs="IRNazanin"/>
            <w:color w:val="111111"/>
            <w:sz w:val="22"/>
            <w:szCs w:val="22"/>
            <w:b w:val="0"/>
            <w:bCs w:val="0"/>
            <w:i w:val="0"/>
            <w:iCs w:val="0"/>
          </w:rPr>
          <w:t>بعشيقي ، القس اسحاق</w:t>
        </w:r>
        <w:r>
          <w:tab/>
        </w:r>
        <w:r>
          <w:fldChar w:fldCharType="begin"/>
        </w:r>
        <w:r>
          <w:instrText xml:space="preserve">PAGEREF 1906 \h</w:instrText>
        </w:r>
        <w:r>
          <w:fldChar w:fldCharType="end"/>
        </w:r>
      </w:hyperlink>
    </w:p>
    <w:p>
      <w:pPr>
        <w:tabs>
          <w:tab w:val="right" w:leader="dot" w:pos="9062"/>
        </w:tabs>
        <w:ind w:left="220"/>
      </w:pPr>
      <w:hyperlink w:anchor="_Toc1907" w:history="1">
        <w:r>
          <w:rPr>
            <w:rFonts w:ascii="IRNazanin" w:hAnsi="IRNazanin" w:eastAsia="IRNazanin" w:cs="IRNazanin"/>
            <w:color w:val="111111"/>
            <w:sz w:val="22"/>
            <w:szCs w:val="22"/>
            <w:b w:val="0"/>
            <w:bCs w:val="0"/>
            <w:i w:val="0"/>
            <w:iCs w:val="0"/>
          </w:rPr>
          <w:t>بعقوبي ، احمد مأمون</w:t>
        </w:r>
        <w:r>
          <w:tab/>
        </w:r>
        <w:r>
          <w:fldChar w:fldCharType="begin"/>
        </w:r>
        <w:r>
          <w:instrText xml:space="preserve">PAGEREF 1907 \h</w:instrText>
        </w:r>
        <w:r>
          <w:fldChar w:fldCharType="end"/>
        </w:r>
      </w:hyperlink>
    </w:p>
    <w:p>
      <w:pPr>
        <w:tabs>
          <w:tab w:val="right" w:leader="dot" w:pos="9062"/>
        </w:tabs>
        <w:ind w:left="220"/>
      </w:pPr>
      <w:hyperlink w:anchor="_Toc1908" w:history="1">
        <w:r>
          <w:rPr>
            <w:rFonts w:ascii="IRNazanin" w:hAnsi="IRNazanin" w:eastAsia="IRNazanin" w:cs="IRNazanin"/>
            <w:color w:val="111111"/>
            <w:sz w:val="22"/>
            <w:szCs w:val="22"/>
            <w:b w:val="0"/>
            <w:bCs w:val="0"/>
            <w:i w:val="0"/>
            <w:iCs w:val="0"/>
          </w:rPr>
          <w:t>بعلبكي ، ابراهيم بن محمود ، قرن 7 ه-</w:t>
        </w:r>
        <w:r>
          <w:tab/>
        </w:r>
        <w:r>
          <w:fldChar w:fldCharType="begin"/>
        </w:r>
        <w:r>
          <w:instrText xml:space="preserve">PAGEREF 1908 \h</w:instrText>
        </w:r>
        <w:r>
          <w:fldChar w:fldCharType="end"/>
        </w:r>
      </w:hyperlink>
    </w:p>
    <w:p>
      <w:pPr>
        <w:tabs>
          <w:tab w:val="right" w:leader="dot" w:pos="9062"/>
        </w:tabs>
        <w:ind w:left="220"/>
      </w:pPr>
      <w:hyperlink w:anchor="_Toc1909" w:history="1">
        <w:r>
          <w:rPr>
            <w:rFonts w:ascii="IRNazanin" w:hAnsi="IRNazanin" w:eastAsia="IRNazanin" w:cs="IRNazanin"/>
            <w:color w:val="111111"/>
            <w:sz w:val="22"/>
            <w:szCs w:val="22"/>
            <w:b w:val="0"/>
            <w:bCs w:val="0"/>
            <w:i w:val="0"/>
            <w:iCs w:val="0"/>
          </w:rPr>
          <w:t>بعلبكي، اسماعيل بن محمّد، 720-786ه-</w:t>
        </w:r>
        <w:r>
          <w:tab/>
        </w:r>
        <w:r>
          <w:fldChar w:fldCharType="begin"/>
        </w:r>
        <w:r>
          <w:instrText xml:space="preserve">PAGEREF 1909 \h</w:instrText>
        </w:r>
        <w:r>
          <w:fldChar w:fldCharType="end"/>
        </w:r>
      </w:hyperlink>
    </w:p>
    <w:p>
      <w:pPr>
        <w:tabs>
          <w:tab w:val="right" w:leader="dot" w:pos="9062"/>
        </w:tabs>
        <w:ind w:left="220"/>
      </w:pPr>
      <w:hyperlink w:anchor="_Toc1910" w:history="1">
        <w:r>
          <w:rPr>
            <w:rFonts w:ascii="IRNazanin" w:hAnsi="IRNazanin" w:eastAsia="IRNazanin" w:cs="IRNazanin"/>
            <w:color w:val="111111"/>
            <w:sz w:val="22"/>
            <w:szCs w:val="22"/>
            <w:b w:val="0"/>
            <w:bCs w:val="0"/>
            <w:i w:val="0"/>
            <w:iCs w:val="0"/>
          </w:rPr>
          <w:t>بعلبكي، مظفر بن عبد الرحمن -675 ه-</w:t>
        </w:r>
        <w:r>
          <w:tab/>
        </w:r>
        <w:r>
          <w:fldChar w:fldCharType="begin"/>
        </w:r>
        <w:r>
          <w:instrText xml:space="preserve">PAGEREF 1910 \h</w:instrText>
        </w:r>
        <w:r>
          <w:fldChar w:fldCharType="end"/>
        </w:r>
      </w:hyperlink>
    </w:p>
    <w:p>
      <w:pPr>
        <w:tabs>
          <w:tab w:val="right" w:leader="dot" w:pos="9062"/>
        </w:tabs>
        <w:ind w:left="220"/>
      </w:pPr>
      <w:hyperlink w:anchor="_Toc1911" w:history="1">
        <w:r>
          <w:rPr>
            <w:rFonts w:ascii="IRNazanin" w:hAnsi="IRNazanin" w:eastAsia="IRNazanin" w:cs="IRNazanin"/>
            <w:color w:val="111111"/>
            <w:sz w:val="22"/>
            <w:szCs w:val="22"/>
            <w:b w:val="0"/>
            <w:bCs w:val="0"/>
            <w:i w:val="0"/>
            <w:iCs w:val="0"/>
          </w:rPr>
          <w:t>بعلبكي يحيى بن عبد الرحمن 1158- ه-</w:t>
        </w:r>
        <w:r>
          <w:tab/>
        </w:r>
        <w:r>
          <w:fldChar w:fldCharType="begin"/>
        </w:r>
        <w:r>
          <w:instrText xml:space="preserve">PAGEREF 1911 \h</w:instrText>
        </w:r>
        <w:r>
          <w:fldChar w:fldCharType="end"/>
        </w:r>
      </w:hyperlink>
    </w:p>
    <w:p>
      <w:pPr>
        <w:tabs>
          <w:tab w:val="right" w:leader="dot" w:pos="9062"/>
        </w:tabs>
        <w:ind w:left="220"/>
      </w:pPr>
      <w:hyperlink w:anchor="_Toc1912" w:history="1">
        <w:r>
          <w:rPr>
            <w:rFonts w:ascii="IRNazanin" w:hAnsi="IRNazanin" w:eastAsia="IRNazanin" w:cs="IRNazanin"/>
            <w:color w:val="111111"/>
            <w:sz w:val="22"/>
            <w:szCs w:val="22"/>
            <w:b w:val="0"/>
            <w:bCs w:val="0"/>
            <w:i w:val="0"/>
            <w:iCs w:val="0"/>
          </w:rPr>
          <w:t>بعلي ، جواد</w:t>
        </w:r>
        <w:r>
          <w:tab/>
        </w:r>
        <w:r>
          <w:fldChar w:fldCharType="begin"/>
        </w:r>
        <w:r>
          <w:instrText xml:space="preserve">PAGEREF 1912 \h</w:instrText>
        </w:r>
        <w:r>
          <w:fldChar w:fldCharType="end"/>
        </w:r>
      </w:hyperlink>
    </w:p>
    <w:p>
      <w:pPr>
        <w:tabs>
          <w:tab w:val="right" w:leader="dot" w:pos="9062"/>
        </w:tabs>
        <w:ind w:left="220"/>
      </w:pPr>
      <w:hyperlink w:anchor="_Toc1913" w:history="1">
        <w:r>
          <w:rPr>
            <w:rFonts w:ascii="IRNazanin" w:hAnsi="IRNazanin" w:eastAsia="IRNazanin" w:cs="IRNazanin"/>
            <w:color w:val="111111"/>
            <w:sz w:val="22"/>
            <w:szCs w:val="22"/>
            <w:b w:val="0"/>
            <w:bCs w:val="0"/>
            <w:i w:val="0"/>
            <w:iCs w:val="0"/>
          </w:rPr>
          <w:t>بعلي ،ابو بکر-1026ه-</w:t>
        </w:r>
        <w:r>
          <w:tab/>
        </w:r>
        <w:r>
          <w:fldChar w:fldCharType="begin"/>
        </w:r>
        <w:r>
          <w:instrText xml:space="preserve">PAGEREF 1913 \h</w:instrText>
        </w:r>
        <w:r>
          <w:fldChar w:fldCharType="end"/>
        </w:r>
      </w:hyperlink>
    </w:p>
    <w:p>
      <w:pPr>
        <w:tabs>
          <w:tab w:val="right" w:leader="dot" w:pos="9062"/>
        </w:tabs>
        <w:ind w:left="220"/>
      </w:pPr>
      <w:hyperlink w:anchor="_Toc1914" w:history="1">
        <w:r>
          <w:rPr>
            <w:rFonts w:ascii="IRNazanin" w:hAnsi="IRNazanin" w:eastAsia="IRNazanin" w:cs="IRNazanin"/>
            <w:color w:val="111111"/>
            <w:sz w:val="22"/>
            <w:szCs w:val="22"/>
            <w:b w:val="0"/>
            <w:bCs w:val="0"/>
            <w:i w:val="0"/>
            <w:iCs w:val="0"/>
          </w:rPr>
          <w:t>بعلي ، عبد الباقي، قرن 9 ه-</w:t>
        </w:r>
        <w:r>
          <w:tab/>
        </w:r>
        <w:r>
          <w:fldChar w:fldCharType="begin"/>
        </w:r>
        <w:r>
          <w:instrText xml:space="preserve">PAGEREF 1914 \h</w:instrText>
        </w:r>
        <w:r>
          <w:fldChar w:fldCharType="end"/>
        </w:r>
      </w:hyperlink>
    </w:p>
    <w:p>
      <w:pPr>
        <w:tabs>
          <w:tab w:val="right" w:leader="dot" w:pos="9062"/>
        </w:tabs>
        <w:ind w:left="220"/>
      </w:pPr>
      <w:hyperlink w:anchor="_Toc1915" w:history="1">
        <w:r>
          <w:rPr>
            <w:rFonts w:ascii="IRNazanin" w:hAnsi="IRNazanin" w:eastAsia="IRNazanin" w:cs="IRNazanin"/>
            <w:color w:val="111111"/>
            <w:sz w:val="22"/>
            <w:szCs w:val="22"/>
            <w:b w:val="0"/>
            <w:bCs w:val="0"/>
            <w:i w:val="0"/>
            <w:iCs w:val="0"/>
          </w:rPr>
          <w:t>بعلي ، عبدالجليل بن محمّد - 1119 ه-</w:t>
        </w:r>
        <w:r>
          <w:tab/>
        </w:r>
        <w:r>
          <w:fldChar w:fldCharType="begin"/>
        </w:r>
        <w:r>
          <w:instrText xml:space="preserve">PAGEREF 1915 \h</w:instrText>
        </w:r>
        <w:r>
          <w:fldChar w:fldCharType="end"/>
        </w:r>
      </w:hyperlink>
    </w:p>
    <w:p>
      <w:pPr>
        <w:tabs>
          <w:tab w:val="right" w:leader="dot" w:pos="9062"/>
        </w:tabs>
        <w:ind w:left="220"/>
      </w:pPr>
      <w:hyperlink w:anchor="_Toc1916" w:history="1">
        <w:r>
          <w:rPr>
            <w:rFonts w:ascii="IRNazanin" w:hAnsi="IRNazanin" w:eastAsia="IRNazanin" w:cs="IRNazanin"/>
            <w:color w:val="111111"/>
            <w:sz w:val="22"/>
            <w:szCs w:val="22"/>
            <w:b w:val="0"/>
            <w:bCs w:val="0"/>
            <w:i w:val="0"/>
            <w:iCs w:val="0"/>
          </w:rPr>
          <w:t>بعلي ، عبدالرحمن بن عبدالله 1110 - بن علي</w:t>
        </w:r>
        <w:r>
          <w:tab/>
        </w:r>
        <w:r>
          <w:fldChar w:fldCharType="begin"/>
        </w:r>
        <w:r>
          <w:instrText xml:space="preserve">PAGEREF 1916 \h</w:instrText>
        </w:r>
        <w:r>
          <w:fldChar w:fldCharType="end"/>
        </w:r>
      </w:hyperlink>
    </w:p>
    <w:p>
      <w:pPr>
        <w:tabs>
          <w:tab w:val="right" w:leader="dot" w:pos="9062"/>
        </w:tabs>
        <w:ind w:left="220"/>
      </w:pPr>
      <w:hyperlink w:anchor="_Toc1917" w:history="1">
        <w:r>
          <w:rPr>
            <w:rFonts w:ascii="IRNazanin" w:hAnsi="IRNazanin" w:eastAsia="IRNazanin" w:cs="IRNazanin"/>
            <w:color w:val="111111"/>
            <w:sz w:val="22"/>
            <w:szCs w:val="22"/>
            <w:b w:val="0"/>
            <w:bCs w:val="0"/>
            <w:i w:val="0"/>
            <w:iCs w:val="0"/>
          </w:rPr>
          <w:t>بعلي ، محمّد بن ابي الفتح، 645 - 709 ه-</w:t>
        </w:r>
        <w:r>
          <w:tab/>
        </w:r>
        <w:r>
          <w:fldChar w:fldCharType="begin"/>
        </w:r>
        <w:r>
          <w:instrText xml:space="preserve">PAGEREF 1917 \h</w:instrText>
        </w:r>
        <w:r>
          <w:fldChar w:fldCharType="end"/>
        </w:r>
      </w:hyperlink>
    </w:p>
    <w:p>
      <w:pPr>
        <w:tabs>
          <w:tab w:val="right" w:leader="dot" w:pos="9062"/>
        </w:tabs>
        <w:ind w:left="220"/>
      </w:pPr>
      <w:hyperlink w:anchor="_Toc1918" w:history="1">
        <w:r>
          <w:rPr>
            <w:rFonts w:ascii="IRNazanin" w:hAnsi="IRNazanin" w:eastAsia="IRNazanin" w:cs="IRNazanin"/>
            <w:color w:val="111111"/>
            <w:sz w:val="22"/>
            <w:szCs w:val="22"/>
            <w:b w:val="0"/>
            <w:bCs w:val="0"/>
            <w:i w:val="0"/>
            <w:iCs w:val="0"/>
          </w:rPr>
          <w:t>بعلي ، محمّد بن عبد الباقي 1044 -</w:t>
        </w:r>
        <w:r>
          <w:tab/>
        </w:r>
        <w:r>
          <w:fldChar w:fldCharType="begin"/>
        </w:r>
        <w:r>
          <w:instrText xml:space="preserve">PAGEREF 1918 \h</w:instrText>
        </w:r>
        <w:r>
          <w:fldChar w:fldCharType="end"/>
        </w:r>
      </w:hyperlink>
    </w:p>
    <w:p>
      <w:pPr>
        <w:tabs>
          <w:tab w:val="right" w:leader="dot" w:pos="9062"/>
        </w:tabs>
        <w:ind w:left="220"/>
      </w:pPr>
      <w:hyperlink w:anchor="_Toc1919" w:history="1">
        <w:r>
          <w:rPr>
            <w:rFonts w:ascii="IRNazanin" w:hAnsi="IRNazanin" w:eastAsia="IRNazanin" w:cs="IRNazanin"/>
            <w:color w:val="111111"/>
            <w:sz w:val="22"/>
            <w:szCs w:val="22"/>
            <w:b w:val="0"/>
            <w:bCs w:val="0"/>
            <w:i w:val="0"/>
            <w:iCs w:val="0"/>
          </w:rPr>
          <w:t>بغدادي، ابراهيم بن محمّد</w:t>
        </w:r>
        <w:r>
          <w:tab/>
        </w:r>
        <w:r>
          <w:fldChar w:fldCharType="begin"/>
        </w:r>
        <w:r>
          <w:instrText xml:space="preserve">PAGEREF 1919 \h</w:instrText>
        </w:r>
        <w:r>
          <w:fldChar w:fldCharType="end"/>
        </w:r>
      </w:hyperlink>
    </w:p>
    <w:p>
      <w:pPr>
        <w:tabs>
          <w:tab w:val="right" w:leader="dot" w:pos="9062"/>
        </w:tabs>
        <w:ind w:left="220"/>
      </w:pPr>
      <w:hyperlink w:anchor="_Toc1920" w:history="1">
        <w:r>
          <w:rPr>
            <w:rFonts w:ascii="IRNazanin" w:hAnsi="IRNazanin" w:eastAsia="IRNazanin" w:cs="IRNazanin"/>
            <w:color w:val="111111"/>
            <w:sz w:val="22"/>
            <w:szCs w:val="22"/>
            <w:b w:val="0"/>
            <w:bCs w:val="0"/>
            <w:i w:val="0"/>
            <w:iCs w:val="0"/>
          </w:rPr>
          <w:t>بغدادي ، ابوالقاسم بن محفوظ</w:t>
        </w:r>
        <w:r>
          <w:tab/>
        </w:r>
        <w:r>
          <w:fldChar w:fldCharType="begin"/>
        </w:r>
        <w:r>
          <w:instrText xml:space="preserve">PAGEREF 1920 \h</w:instrText>
        </w:r>
        <w:r>
          <w:fldChar w:fldCharType="end"/>
        </w:r>
      </w:hyperlink>
    </w:p>
    <w:p>
      <w:pPr>
        <w:tabs>
          <w:tab w:val="right" w:leader="dot" w:pos="9062"/>
        </w:tabs>
        <w:ind w:left="220"/>
      </w:pPr>
      <w:hyperlink w:anchor="_Toc1921" w:history="1">
        <w:r>
          <w:rPr>
            <w:rFonts w:ascii="IRNazanin" w:hAnsi="IRNazanin" w:eastAsia="IRNazanin" w:cs="IRNazanin"/>
            <w:color w:val="111111"/>
            <w:sz w:val="22"/>
            <w:szCs w:val="22"/>
            <w:b w:val="0"/>
            <w:bCs w:val="0"/>
            <w:i w:val="0"/>
            <w:iCs w:val="0"/>
          </w:rPr>
          <w:t>بغدادي ، ابي العباس احمد بن عبدالله</w:t>
        </w:r>
        <w:r>
          <w:tab/>
        </w:r>
        <w:r>
          <w:fldChar w:fldCharType="begin"/>
        </w:r>
        <w:r>
          <w:instrText xml:space="preserve">PAGEREF 1921 \h</w:instrText>
        </w:r>
        <w:r>
          <w:fldChar w:fldCharType="end"/>
        </w:r>
      </w:hyperlink>
    </w:p>
    <w:p>
      <w:pPr>
        <w:tabs>
          <w:tab w:val="right" w:leader="dot" w:pos="9062"/>
        </w:tabs>
        <w:ind w:left="220"/>
      </w:pPr>
      <w:hyperlink w:anchor="_Toc1922" w:history="1">
        <w:r>
          <w:rPr>
            <w:rFonts w:ascii="IRNazanin" w:hAnsi="IRNazanin" w:eastAsia="IRNazanin" w:cs="IRNazanin"/>
            <w:color w:val="111111"/>
            <w:sz w:val="22"/>
            <w:szCs w:val="22"/>
            <w:b w:val="0"/>
            <w:bCs w:val="0"/>
            <w:i w:val="0"/>
            <w:iCs w:val="0"/>
          </w:rPr>
          <w:t>بغدادي احمد بن درويش علي - 1329ه-</w:t>
        </w:r>
        <w:r>
          <w:tab/>
        </w:r>
        <w:r>
          <w:fldChar w:fldCharType="begin"/>
        </w:r>
        <w:r>
          <w:instrText xml:space="preserve">PAGEREF 1922 \h</w:instrText>
        </w:r>
        <w:r>
          <w:fldChar w:fldCharType="end"/>
        </w:r>
      </w:hyperlink>
    </w:p>
    <w:p>
      <w:pPr>
        <w:tabs>
          <w:tab w:val="right" w:leader="dot" w:pos="9062"/>
        </w:tabs>
        <w:ind w:left="220"/>
      </w:pPr>
      <w:hyperlink w:anchor="_Toc1923" w:history="1">
        <w:r>
          <w:rPr>
            <w:rFonts w:ascii="IRNazanin" w:hAnsi="IRNazanin" w:eastAsia="IRNazanin" w:cs="IRNazanin"/>
            <w:color w:val="111111"/>
            <w:sz w:val="22"/>
            <w:szCs w:val="22"/>
            <w:b w:val="0"/>
            <w:bCs w:val="0"/>
            <w:i w:val="0"/>
            <w:iCs w:val="0"/>
          </w:rPr>
          <w:t>بغدادي ، احمد بن رجب - 1166 ه-</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بغدادي ، احمد بن عبدالله - 1102 ه-</w:t>
        </w:r>
        <w:r>
          <w:tab/>
        </w:r>
        <w:r>
          <w:fldChar w:fldCharType="begin"/>
        </w:r>
        <w:r>
          <w:instrText xml:space="preserve">PAGEREF 1924 \h</w:instrText>
        </w:r>
        <w:r>
          <w:fldChar w:fldCharType="end"/>
        </w:r>
      </w:hyperlink>
    </w:p>
    <w:p>
      <w:pPr>
        <w:tabs>
          <w:tab w:val="right" w:leader="dot" w:pos="9062"/>
        </w:tabs>
        <w:ind w:left="220"/>
      </w:pPr>
      <w:hyperlink w:anchor="_Toc1925" w:history="1">
        <w:r>
          <w:rPr>
            <w:rFonts w:ascii="IRNazanin" w:hAnsi="IRNazanin" w:eastAsia="IRNazanin" w:cs="IRNazanin"/>
            <w:color w:val="111111"/>
            <w:sz w:val="22"/>
            <w:szCs w:val="22"/>
            <w:b w:val="0"/>
            <w:bCs w:val="0"/>
            <w:i w:val="0"/>
            <w:iCs w:val="0"/>
          </w:rPr>
          <w:t>بغدادي ، احمد بن محمّد بن خضر، قرن</w:t>
        </w:r>
        <w:r>
          <w:tab/>
        </w:r>
        <w:r>
          <w:fldChar w:fldCharType="begin"/>
        </w:r>
        <w:r>
          <w:instrText xml:space="preserve">PAGEREF 1925 \h</w:instrText>
        </w:r>
        <w:r>
          <w:fldChar w:fldCharType="end"/>
        </w:r>
      </w:hyperlink>
    </w:p>
    <w:p>
      <w:pPr>
        <w:tabs>
          <w:tab w:val="right" w:leader="dot" w:pos="9062"/>
        </w:tabs>
        <w:ind w:left="220"/>
      </w:pPr>
      <w:hyperlink w:anchor="_Toc1926" w:history="1">
        <w:r>
          <w:rPr>
            <w:rFonts w:ascii="IRNazanin" w:hAnsi="IRNazanin" w:eastAsia="IRNazanin" w:cs="IRNazanin"/>
            <w:color w:val="111111"/>
            <w:sz w:val="22"/>
            <w:szCs w:val="22"/>
            <w:b w:val="0"/>
            <w:bCs w:val="0"/>
            <w:i w:val="0"/>
            <w:iCs w:val="0"/>
          </w:rPr>
          <w:t>بغدادي ، جواد بن عبد الرضا، قرن 12 ه-</w:t>
        </w:r>
        <w:r>
          <w:tab/>
        </w:r>
        <w:r>
          <w:fldChar w:fldCharType="begin"/>
        </w:r>
        <w:r>
          <w:instrText xml:space="preserve">PAGEREF 1926 \h</w:instrText>
        </w:r>
        <w:r>
          <w:fldChar w:fldCharType="end"/>
        </w:r>
      </w:hyperlink>
    </w:p>
    <w:p>
      <w:pPr>
        <w:tabs>
          <w:tab w:val="right" w:leader="dot" w:pos="9062"/>
        </w:tabs>
        <w:ind w:left="220"/>
      </w:pPr>
      <w:hyperlink w:anchor="_Toc1927" w:history="1">
        <w:r>
          <w:rPr>
            <w:rFonts w:ascii="IRNazanin" w:hAnsi="IRNazanin" w:eastAsia="IRNazanin" w:cs="IRNazanin"/>
            <w:color w:val="111111"/>
            <w:sz w:val="22"/>
            <w:szCs w:val="22"/>
            <w:b w:val="0"/>
            <w:bCs w:val="0"/>
            <w:i w:val="0"/>
            <w:iCs w:val="0"/>
          </w:rPr>
          <w:t>بغدادي ، حسين</w:t>
        </w:r>
        <w:r>
          <w:tab/>
        </w:r>
        <w:r>
          <w:fldChar w:fldCharType="begin"/>
        </w:r>
        <w:r>
          <w:instrText xml:space="preserve">PAGEREF 1927 \h</w:instrText>
        </w:r>
        <w:r>
          <w:fldChar w:fldCharType="end"/>
        </w:r>
      </w:hyperlink>
    </w:p>
    <w:p>
      <w:pPr>
        <w:tabs>
          <w:tab w:val="right" w:leader="dot" w:pos="9062"/>
        </w:tabs>
        <w:ind w:left="220"/>
      </w:pPr>
      <w:hyperlink w:anchor="_Toc1928" w:history="1">
        <w:r>
          <w:rPr>
            <w:rFonts w:ascii="IRNazanin" w:hAnsi="IRNazanin" w:eastAsia="IRNazanin" w:cs="IRNazanin"/>
            <w:color w:val="111111"/>
            <w:sz w:val="22"/>
            <w:szCs w:val="22"/>
            <w:b w:val="0"/>
            <w:bCs w:val="0"/>
            <w:i w:val="0"/>
            <w:iCs w:val="0"/>
          </w:rPr>
          <w:t>بغدادي ، حسين بن عبدالله - 474 ه-</w:t>
        </w:r>
        <w:r>
          <w:tab/>
        </w:r>
        <w:r>
          <w:fldChar w:fldCharType="begin"/>
        </w:r>
        <w:r>
          <w:instrText xml:space="preserve">PAGEREF 1928 \h</w:instrText>
        </w:r>
        <w:r>
          <w:fldChar w:fldCharType="end"/>
        </w:r>
      </w:hyperlink>
    </w:p>
    <w:p>
      <w:pPr>
        <w:tabs>
          <w:tab w:val="right" w:leader="dot" w:pos="9062"/>
        </w:tabs>
        <w:ind w:left="220"/>
      </w:pPr>
      <w:hyperlink w:anchor="_Toc1929" w:history="1">
        <w:r>
          <w:rPr>
            <w:rFonts w:ascii="IRNazanin" w:hAnsi="IRNazanin" w:eastAsia="IRNazanin" w:cs="IRNazanin"/>
            <w:color w:val="111111"/>
            <w:sz w:val="22"/>
            <w:szCs w:val="22"/>
            <w:b w:val="0"/>
            <w:bCs w:val="0"/>
            <w:i w:val="0"/>
            <w:iCs w:val="0"/>
          </w:rPr>
          <w:t>بغدادي ، حمزه</w:t>
        </w:r>
        <w:r>
          <w:tab/>
        </w:r>
        <w:r>
          <w:fldChar w:fldCharType="begin"/>
        </w:r>
        <w:r>
          <w:instrText xml:space="preserve">PAGEREF 1929 \h</w:instrText>
        </w:r>
        <w:r>
          <w:fldChar w:fldCharType="end"/>
        </w:r>
      </w:hyperlink>
    </w:p>
    <w:p>
      <w:pPr>
        <w:tabs>
          <w:tab w:val="right" w:leader="dot" w:pos="9062"/>
        </w:tabs>
        <w:ind w:left="220"/>
      </w:pPr>
      <w:hyperlink w:anchor="_Toc1930" w:history="1">
        <w:r>
          <w:rPr>
            <w:rFonts w:ascii="IRNazanin" w:hAnsi="IRNazanin" w:eastAsia="IRNazanin" w:cs="IRNazanin"/>
            <w:color w:val="111111"/>
            <w:sz w:val="22"/>
            <w:szCs w:val="22"/>
            <w:b w:val="0"/>
            <w:bCs w:val="0"/>
            <w:i w:val="0"/>
            <w:iCs w:val="0"/>
          </w:rPr>
          <w:t>بغدادي ، خضر بن يوسف - 1345 ه-</w:t>
        </w:r>
        <w:r>
          <w:tab/>
        </w:r>
        <w:r>
          <w:fldChar w:fldCharType="begin"/>
        </w:r>
        <w:r>
          <w:instrText xml:space="preserve">PAGEREF 1930 \h</w:instrText>
        </w:r>
        <w:r>
          <w:fldChar w:fldCharType="end"/>
        </w:r>
      </w:hyperlink>
    </w:p>
    <w:p>
      <w:pPr>
        <w:tabs>
          <w:tab w:val="right" w:leader="dot" w:pos="9062"/>
        </w:tabs>
        <w:ind w:left="220"/>
      </w:pPr>
      <w:hyperlink w:anchor="_Toc1931" w:history="1">
        <w:r>
          <w:rPr>
            <w:rFonts w:ascii="IRNazanin" w:hAnsi="IRNazanin" w:eastAsia="IRNazanin" w:cs="IRNazanin"/>
            <w:color w:val="111111"/>
            <w:sz w:val="22"/>
            <w:szCs w:val="22"/>
            <w:b w:val="0"/>
            <w:bCs w:val="0"/>
            <w:i w:val="0"/>
            <w:iCs w:val="0"/>
          </w:rPr>
          <w:t>بغدادي ، داود</w:t>
        </w:r>
        <w:r>
          <w:tab/>
        </w:r>
        <w:r>
          <w:fldChar w:fldCharType="begin"/>
        </w:r>
        <w:r>
          <w:instrText xml:space="preserve">PAGEREF 1931 \h</w:instrText>
        </w:r>
        <w:r>
          <w:fldChar w:fldCharType="end"/>
        </w:r>
      </w:hyperlink>
    </w:p>
    <w:p>
      <w:pPr>
        <w:tabs>
          <w:tab w:val="right" w:leader="dot" w:pos="9062"/>
        </w:tabs>
        <w:ind w:left="220"/>
      </w:pPr>
      <w:hyperlink w:anchor="_Toc1932" w:history="1">
        <w:r>
          <w:rPr>
            <w:rFonts w:ascii="IRNazanin" w:hAnsi="IRNazanin" w:eastAsia="IRNazanin" w:cs="IRNazanin"/>
            <w:color w:val="111111"/>
            <w:sz w:val="22"/>
            <w:szCs w:val="22"/>
            <w:b w:val="0"/>
            <w:bCs w:val="0"/>
            <w:i w:val="0"/>
            <w:iCs w:val="0"/>
          </w:rPr>
          <w:t>بغدادي داود بن سليمان، 1231-1299ه-</w:t>
        </w:r>
        <w:r>
          <w:tab/>
        </w:r>
        <w:r>
          <w:fldChar w:fldCharType="begin"/>
        </w:r>
        <w:r>
          <w:instrText xml:space="preserve">PAGEREF 1932 \h</w:instrText>
        </w:r>
        <w:r>
          <w:fldChar w:fldCharType="end"/>
        </w:r>
      </w:hyperlink>
    </w:p>
    <w:p>
      <w:pPr>
        <w:tabs>
          <w:tab w:val="right" w:leader="dot" w:pos="9062"/>
        </w:tabs>
        <w:ind w:left="220"/>
      </w:pPr>
      <w:hyperlink w:anchor="_Toc1933" w:history="1">
        <w:r>
          <w:rPr>
            <w:rFonts w:ascii="IRNazanin" w:hAnsi="IRNazanin" w:eastAsia="IRNazanin" w:cs="IRNazanin"/>
            <w:color w:val="111111"/>
            <w:sz w:val="22"/>
            <w:szCs w:val="22"/>
            <w:b w:val="0"/>
            <w:bCs w:val="0"/>
            <w:i w:val="0"/>
            <w:iCs w:val="0"/>
          </w:rPr>
          <w:t>بغدادي ، درويش علي بن حسين، 1220 - ه-</w:t>
        </w:r>
        <w:r>
          <w:tab/>
        </w:r>
        <w:r>
          <w:fldChar w:fldCharType="begin"/>
        </w:r>
        <w:r>
          <w:instrText xml:space="preserve">PAGEREF 1933 \h</w:instrText>
        </w:r>
        <w:r>
          <w:fldChar w:fldCharType="end"/>
        </w:r>
      </w:hyperlink>
    </w:p>
    <w:p>
      <w:pPr>
        <w:tabs>
          <w:tab w:val="right" w:leader="dot" w:pos="9062"/>
        </w:tabs>
        <w:ind w:left="220"/>
      </w:pPr>
      <w:hyperlink w:anchor="_Toc1934" w:history="1">
        <w:r>
          <w:rPr>
            <w:rFonts w:ascii="IRNazanin" w:hAnsi="IRNazanin" w:eastAsia="IRNazanin" w:cs="IRNazanin"/>
            <w:color w:val="111111"/>
            <w:sz w:val="22"/>
            <w:szCs w:val="22"/>
            <w:b w:val="0"/>
            <w:bCs w:val="0"/>
            <w:i w:val="0"/>
            <w:iCs w:val="0"/>
          </w:rPr>
          <w:t>بغدادي ، صالح بن عباس</w:t>
        </w:r>
        <w:r>
          <w:tab/>
        </w:r>
        <w:r>
          <w:fldChar w:fldCharType="begin"/>
        </w:r>
        <w:r>
          <w:instrText xml:space="preserve">PAGEREF 1934 \h</w:instrText>
        </w:r>
        <w:r>
          <w:fldChar w:fldCharType="end"/>
        </w:r>
      </w:hyperlink>
    </w:p>
    <w:p>
      <w:pPr>
        <w:tabs>
          <w:tab w:val="right" w:leader="dot" w:pos="9062"/>
        </w:tabs>
        <w:ind w:left="220"/>
      </w:pPr>
      <w:hyperlink w:anchor="_Toc1935" w:history="1">
        <w:r>
          <w:rPr>
            <w:rFonts w:ascii="IRNazanin" w:hAnsi="IRNazanin" w:eastAsia="IRNazanin" w:cs="IRNazanin"/>
            <w:color w:val="111111"/>
            <w:sz w:val="22"/>
            <w:szCs w:val="22"/>
            <w:b w:val="0"/>
            <w:bCs w:val="0"/>
            <w:i w:val="0"/>
            <w:iCs w:val="0"/>
          </w:rPr>
          <w:t>بغدادي، عباس بن جواد قرن 14 ه-</w:t>
        </w:r>
        <w:r>
          <w:tab/>
        </w:r>
        <w:r>
          <w:fldChar w:fldCharType="begin"/>
        </w:r>
        <w:r>
          <w:instrText xml:space="preserve">PAGEREF 1935 \h</w:instrText>
        </w:r>
        <w:r>
          <w:fldChar w:fldCharType="end"/>
        </w:r>
      </w:hyperlink>
    </w:p>
    <w:p>
      <w:pPr>
        <w:tabs>
          <w:tab w:val="right" w:leader="dot" w:pos="9062"/>
        </w:tabs>
        <w:ind w:left="220"/>
      </w:pPr>
      <w:hyperlink w:anchor="_Toc1936" w:history="1">
        <w:r>
          <w:rPr>
            <w:rFonts w:ascii="IRNazanin" w:hAnsi="IRNazanin" w:eastAsia="IRNazanin" w:cs="IRNazanin"/>
            <w:color w:val="111111"/>
            <w:sz w:val="22"/>
            <w:szCs w:val="22"/>
            <w:b w:val="0"/>
            <w:bCs w:val="0"/>
            <w:i w:val="0"/>
            <w:iCs w:val="0"/>
          </w:rPr>
          <w:t>بغدادي ، عبد الحسين بن عبدالرحمن قرن 13 ه-</w:t>
        </w:r>
        <w:r>
          <w:tab/>
        </w:r>
        <w:r>
          <w:fldChar w:fldCharType="begin"/>
        </w:r>
        <w:r>
          <w:instrText xml:space="preserve">PAGEREF 1936 \h</w:instrText>
        </w:r>
        <w:r>
          <w:fldChar w:fldCharType="end"/>
        </w:r>
      </w:hyperlink>
    </w:p>
    <w:p>
      <w:pPr>
        <w:tabs>
          <w:tab w:val="right" w:leader="dot" w:pos="9062"/>
        </w:tabs>
        <w:ind w:left="220"/>
      </w:pPr>
      <w:hyperlink w:anchor="_Toc1937" w:history="1">
        <w:r>
          <w:rPr>
            <w:rFonts w:ascii="IRNazanin" w:hAnsi="IRNazanin" w:eastAsia="IRNazanin" w:cs="IRNazanin"/>
            <w:color w:val="111111"/>
            <w:sz w:val="22"/>
            <w:szCs w:val="22"/>
            <w:b w:val="0"/>
            <w:bCs w:val="0"/>
            <w:i w:val="0"/>
            <w:iCs w:val="0"/>
          </w:rPr>
          <w:t>بغدادي ، عبدالعزيز</w:t>
        </w:r>
        <w:r>
          <w:tab/>
        </w:r>
        <w:r>
          <w:fldChar w:fldCharType="begin"/>
        </w:r>
        <w:r>
          <w:instrText xml:space="preserve">PAGEREF 1937 \h</w:instrText>
        </w:r>
        <w:r>
          <w:fldChar w:fldCharType="end"/>
        </w:r>
      </w:hyperlink>
    </w:p>
    <w:p>
      <w:pPr>
        <w:tabs>
          <w:tab w:val="right" w:leader="dot" w:pos="9062"/>
        </w:tabs>
        <w:ind w:left="220"/>
      </w:pPr>
      <w:hyperlink w:anchor="_Toc1938" w:history="1">
        <w:r>
          <w:rPr>
            <w:rFonts w:ascii="IRNazanin" w:hAnsi="IRNazanin" w:eastAsia="IRNazanin" w:cs="IRNazanin"/>
            <w:color w:val="111111"/>
            <w:sz w:val="22"/>
            <w:szCs w:val="22"/>
            <w:b w:val="0"/>
            <w:bCs w:val="0"/>
            <w:i w:val="0"/>
            <w:iCs w:val="0"/>
          </w:rPr>
          <w:t>بغدادي ، عبد القادر بن عمر، 1030 -</w:t>
        </w:r>
        <w:r>
          <w:tab/>
        </w:r>
        <w:r>
          <w:fldChar w:fldCharType="begin"/>
        </w:r>
        <w:r>
          <w:instrText xml:space="preserve">PAGEREF 1938 \h</w:instrText>
        </w:r>
        <w:r>
          <w:fldChar w:fldCharType="end"/>
        </w:r>
      </w:hyperlink>
    </w:p>
    <w:p>
      <w:pPr>
        <w:tabs>
          <w:tab w:val="right" w:leader="dot" w:pos="9062"/>
        </w:tabs>
        <w:ind w:left="220"/>
      </w:pPr>
      <w:hyperlink w:anchor="_Toc1939" w:history="1">
        <w:r>
          <w:rPr>
            <w:rFonts w:ascii="IRNazanin" w:hAnsi="IRNazanin" w:eastAsia="IRNazanin" w:cs="IRNazanin"/>
            <w:color w:val="111111"/>
            <w:sz w:val="22"/>
            <w:szCs w:val="22"/>
            <w:b w:val="0"/>
            <w:bCs w:val="0"/>
            <w:i w:val="0"/>
            <w:iCs w:val="0"/>
          </w:rPr>
          <w:t>بغدادي ، عبد القاهر بن طاهر - 429 ه-</w:t>
        </w:r>
        <w:r>
          <w:tab/>
        </w:r>
        <w:r>
          <w:fldChar w:fldCharType="begin"/>
        </w:r>
        <w:r>
          <w:instrText xml:space="preserve">PAGEREF 1939 \h</w:instrText>
        </w:r>
        <w:r>
          <w:fldChar w:fldCharType="end"/>
        </w:r>
      </w:hyperlink>
    </w:p>
    <w:p>
      <w:pPr>
        <w:tabs>
          <w:tab w:val="right" w:leader="dot" w:pos="9062"/>
        </w:tabs>
        <w:ind w:left="220"/>
      </w:pPr>
      <w:hyperlink w:anchor="_Toc1940" w:history="1">
        <w:r>
          <w:rPr>
            <w:rFonts w:ascii="IRNazanin" w:hAnsi="IRNazanin" w:eastAsia="IRNazanin" w:cs="IRNazanin"/>
            <w:color w:val="111111"/>
            <w:sz w:val="22"/>
            <w:szCs w:val="22"/>
            <w:b w:val="0"/>
            <w:bCs w:val="0"/>
            <w:i w:val="0"/>
            <w:iCs w:val="0"/>
          </w:rPr>
          <w:t>بغدادي ، عبدالله يكن</w:t>
        </w:r>
        <w:r>
          <w:tab/>
        </w:r>
        <w:r>
          <w:fldChar w:fldCharType="begin"/>
        </w:r>
        <w:r>
          <w:instrText xml:space="preserve">PAGEREF 1940 \h</w:instrText>
        </w:r>
        <w:r>
          <w:fldChar w:fldCharType="end"/>
        </w:r>
      </w:hyperlink>
    </w:p>
    <w:p>
      <w:pPr>
        <w:tabs>
          <w:tab w:val="right" w:leader="dot" w:pos="9062"/>
        </w:tabs>
        <w:ind w:left="220"/>
      </w:pPr>
      <w:hyperlink w:anchor="_Toc1941" w:history="1">
        <w:r>
          <w:rPr>
            <w:rFonts w:ascii="IRNazanin" w:hAnsi="IRNazanin" w:eastAsia="IRNazanin" w:cs="IRNazanin"/>
            <w:color w:val="111111"/>
            <w:sz w:val="22"/>
            <w:szCs w:val="22"/>
            <w:b w:val="0"/>
            <w:bCs w:val="0"/>
            <w:i w:val="0"/>
            <w:iCs w:val="0"/>
          </w:rPr>
          <w:t>بغدادي ، عبد النبي</w:t>
        </w:r>
        <w:r>
          <w:tab/>
        </w:r>
        <w:r>
          <w:fldChar w:fldCharType="begin"/>
        </w:r>
        <w:r>
          <w:instrText xml:space="preserve">PAGEREF 1941 \h</w:instrText>
        </w:r>
        <w:r>
          <w:fldChar w:fldCharType="end"/>
        </w:r>
      </w:hyperlink>
    </w:p>
    <w:p>
      <w:pPr>
        <w:tabs>
          <w:tab w:val="right" w:leader="dot" w:pos="9062"/>
        </w:tabs>
        <w:ind w:left="220"/>
      </w:pPr>
      <w:hyperlink w:anchor="_Toc1942" w:history="1">
        <w:r>
          <w:rPr>
            <w:rFonts w:ascii="IRNazanin" w:hAnsi="IRNazanin" w:eastAsia="IRNazanin" w:cs="IRNazanin"/>
            <w:color w:val="111111"/>
            <w:sz w:val="22"/>
            <w:szCs w:val="22"/>
            <w:b w:val="0"/>
            <w:bCs w:val="0"/>
            <w:i w:val="0"/>
            <w:iCs w:val="0"/>
          </w:rPr>
          <w:t>بغدادي ، عبد النبي بن الرضي</w:t>
        </w:r>
        <w:r>
          <w:tab/>
        </w:r>
        <w:r>
          <w:fldChar w:fldCharType="begin"/>
        </w:r>
        <w:r>
          <w:instrText xml:space="preserve">PAGEREF 1942 \h</w:instrText>
        </w:r>
        <w:r>
          <w:fldChar w:fldCharType="end"/>
        </w:r>
      </w:hyperlink>
    </w:p>
    <w:p>
      <w:pPr>
        <w:tabs>
          <w:tab w:val="right" w:leader="dot" w:pos="9062"/>
        </w:tabs>
        <w:ind w:left="220"/>
      </w:pPr>
      <w:hyperlink w:anchor="_Toc1943" w:history="1">
        <w:r>
          <w:rPr>
            <w:rFonts w:ascii="IRNazanin" w:hAnsi="IRNazanin" w:eastAsia="IRNazanin" w:cs="IRNazanin"/>
            <w:color w:val="111111"/>
            <w:sz w:val="22"/>
            <w:szCs w:val="22"/>
            <w:b w:val="0"/>
            <w:bCs w:val="0"/>
            <w:i w:val="0"/>
            <w:iCs w:val="0"/>
          </w:rPr>
          <w:t>بغدادي ، عبدالوهاب</w:t>
        </w:r>
        <w:r>
          <w:tab/>
        </w:r>
        <w:r>
          <w:fldChar w:fldCharType="begin"/>
        </w:r>
        <w:r>
          <w:instrText xml:space="preserve">PAGEREF 1943 \h</w:instrText>
        </w:r>
        <w:r>
          <w:fldChar w:fldCharType="end"/>
        </w:r>
      </w:hyperlink>
    </w:p>
    <w:p>
      <w:pPr>
        <w:tabs>
          <w:tab w:val="right" w:leader="dot" w:pos="9062"/>
        </w:tabs>
        <w:ind w:left="220"/>
      </w:pPr>
      <w:hyperlink w:anchor="_Toc1944" w:history="1">
        <w:r>
          <w:rPr>
            <w:rFonts w:ascii="IRNazanin" w:hAnsi="IRNazanin" w:eastAsia="IRNazanin" w:cs="IRNazanin"/>
            <w:color w:val="111111"/>
            <w:sz w:val="22"/>
            <w:szCs w:val="22"/>
            <w:b w:val="0"/>
            <w:bCs w:val="0"/>
            <w:i w:val="0"/>
            <w:iCs w:val="0"/>
          </w:rPr>
          <w:t>بغدادي ، علي بن عبدالله قرن 5 ه-</w:t>
        </w:r>
        <w:r>
          <w:tab/>
        </w:r>
        <w:r>
          <w:fldChar w:fldCharType="begin"/>
        </w:r>
        <w:r>
          <w:instrText xml:space="preserve">PAGEREF 1944 \h</w:instrText>
        </w:r>
        <w:r>
          <w:fldChar w:fldCharType="end"/>
        </w:r>
      </w:hyperlink>
    </w:p>
    <w:p>
      <w:pPr>
        <w:tabs>
          <w:tab w:val="right" w:leader="dot" w:pos="9062"/>
        </w:tabs>
        <w:ind w:left="220"/>
      </w:pPr>
      <w:hyperlink w:anchor="_Toc1945" w:history="1">
        <w:r>
          <w:rPr>
            <w:rFonts w:ascii="IRNazanin" w:hAnsi="IRNazanin" w:eastAsia="IRNazanin" w:cs="IRNazanin"/>
            <w:color w:val="111111"/>
            <w:sz w:val="22"/>
            <w:szCs w:val="22"/>
            <w:b w:val="0"/>
            <w:bCs w:val="0"/>
            <w:i w:val="0"/>
            <w:iCs w:val="0"/>
          </w:rPr>
          <w:t>بغدادي ، غانم بن محمّد - 1030 ه-</w:t>
        </w:r>
        <w:r>
          <w:tab/>
        </w:r>
        <w:r>
          <w:fldChar w:fldCharType="begin"/>
        </w:r>
        <w:r>
          <w:instrText xml:space="preserve">PAGEREF 1945 \h</w:instrText>
        </w:r>
        <w:r>
          <w:fldChar w:fldCharType="end"/>
        </w:r>
      </w:hyperlink>
    </w:p>
    <w:p>
      <w:pPr>
        <w:tabs>
          <w:tab w:val="right" w:leader="dot" w:pos="9062"/>
        </w:tabs>
        <w:ind w:left="220"/>
      </w:pPr>
      <w:hyperlink w:anchor="_Toc1946" w:history="1">
        <w:r>
          <w:rPr>
            <w:rFonts w:ascii="IRNazanin" w:hAnsi="IRNazanin" w:eastAsia="IRNazanin" w:cs="IRNazanin"/>
            <w:color w:val="111111"/>
            <w:sz w:val="22"/>
            <w:szCs w:val="22"/>
            <w:b w:val="0"/>
            <w:bCs w:val="0"/>
            <w:i w:val="0"/>
            <w:iCs w:val="0"/>
          </w:rPr>
          <w:t>بغدادي قادري ، عبد القادر</w:t>
        </w:r>
        <w:r>
          <w:tab/>
        </w:r>
        <w:r>
          <w:fldChar w:fldCharType="begin"/>
        </w:r>
        <w:r>
          <w:instrText xml:space="preserve">PAGEREF 1946 \h</w:instrText>
        </w:r>
        <w:r>
          <w:fldChar w:fldCharType="end"/>
        </w:r>
      </w:hyperlink>
    </w:p>
    <w:p>
      <w:pPr>
        <w:tabs>
          <w:tab w:val="right" w:leader="dot" w:pos="9062"/>
        </w:tabs>
        <w:ind w:left="220"/>
      </w:pPr>
      <w:hyperlink w:anchor="_Toc1947" w:history="1">
        <w:r>
          <w:rPr>
            <w:rFonts w:ascii="IRNazanin" w:hAnsi="IRNazanin" w:eastAsia="IRNazanin" w:cs="IRNazanin"/>
            <w:color w:val="111111"/>
            <w:sz w:val="22"/>
            <w:szCs w:val="22"/>
            <w:b w:val="0"/>
            <w:bCs w:val="0"/>
            <w:i w:val="0"/>
            <w:iCs w:val="0"/>
          </w:rPr>
          <w:t>بغدادي ، محمّد</w:t>
        </w:r>
        <w:r>
          <w:tab/>
        </w:r>
        <w:r>
          <w:fldChar w:fldCharType="begin"/>
        </w:r>
        <w:r>
          <w:instrText xml:space="preserve">PAGEREF 1947 \h</w:instrText>
        </w:r>
        <w:r>
          <w:fldChar w:fldCharType="end"/>
        </w:r>
      </w:hyperlink>
    </w:p>
    <w:p>
      <w:pPr>
        <w:tabs>
          <w:tab w:val="right" w:leader="dot" w:pos="9062"/>
        </w:tabs>
        <w:ind w:left="220"/>
      </w:pPr>
      <w:hyperlink w:anchor="_Toc1948" w:history="1">
        <w:r>
          <w:rPr>
            <w:rFonts w:ascii="IRNazanin" w:hAnsi="IRNazanin" w:eastAsia="IRNazanin" w:cs="IRNazanin"/>
            <w:color w:val="111111"/>
            <w:sz w:val="22"/>
            <w:szCs w:val="22"/>
            <w:b w:val="0"/>
            <w:bCs w:val="0"/>
            <w:i w:val="0"/>
            <w:iCs w:val="0"/>
          </w:rPr>
          <w:t>بغدادي ، محمّد امین - 1231 ه-</w:t>
        </w:r>
        <w:r>
          <w:tab/>
        </w:r>
        <w:r>
          <w:fldChar w:fldCharType="begin"/>
        </w:r>
        <w:r>
          <w:instrText xml:space="preserve">PAGEREF 1948 \h</w:instrText>
        </w:r>
        <w:r>
          <w:fldChar w:fldCharType="end"/>
        </w:r>
      </w:hyperlink>
    </w:p>
    <w:p>
      <w:pPr>
        <w:tabs>
          <w:tab w:val="right" w:leader="dot" w:pos="9062"/>
        </w:tabs>
        <w:ind w:left="220"/>
      </w:pPr>
      <w:hyperlink w:anchor="_Toc1949" w:history="1">
        <w:r>
          <w:rPr>
            <w:rFonts w:ascii="IRNazanin" w:hAnsi="IRNazanin" w:eastAsia="IRNazanin" w:cs="IRNazanin"/>
            <w:color w:val="111111"/>
            <w:sz w:val="22"/>
            <w:szCs w:val="22"/>
            <w:b w:val="0"/>
            <w:bCs w:val="0"/>
            <w:i w:val="0"/>
            <w:iCs w:val="0"/>
          </w:rPr>
          <w:t>بغدادي ، محمّد بن حيدر - 517 ه-</w:t>
        </w:r>
        <w:r>
          <w:tab/>
        </w:r>
        <w:r>
          <w:fldChar w:fldCharType="begin"/>
        </w:r>
        <w:r>
          <w:instrText xml:space="preserve">PAGEREF 1949 \h</w:instrText>
        </w:r>
        <w:r>
          <w:fldChar w:fldCharType="end"/>
        </w:r>
      </w:hyperlink>
    </w:p>
    <w:p>
      <w:pPr>
        <w:tabs>
          <w:tab w:val="right" w:leader="dot" w:pos="9062"/>
        </w:tabs>
        <w:ind w:left="220"/>
      </w:pPr>
      <w:hyperlink w:anchor="_Toc1950" w:history="1">
        <w:r>
          <w:rPr>
            <w:rFonts w:ascii="IRNazanin" w:hAnsi="IRNazanin" w:eastAsia="IRNazanin" w:cs="IRNazanin"/>
            <w:color w:val="111111"/>
            <w:sz w:val="22"/>
            <w:szCs w:val="22"/>
            <w:b w:val="0"/>
            <w:bCs w:val="0"/>
            <w:i w:val="0"/>
            <w:iCs w:val="0"/>
          </w:rPr>
          <w:t>بغدادي ، محمّد بن سليمان - 1234 ه- قرن 13 ه-</w:t>
        </w:r>
        <w:r>
          <w:tab/>
        </w:r>
        <w:r>
          <w:fldChar w:fldCharType="begin"/>
        </w:r>
        <w:r>
          <w:instrText xml:space="preserve">PAGEREF 1950 \h</w:instrText>
        </w:r>
        <w:r>
          <w:fldChar w:fldCharType="end"/>
        </w:r>
      </w:hyperlink>
    </w:p>
    <w:p>
      <w:pPr>
        <w:tabs>
          <w:tab w:val="right" w:leader="dot" w:pos="9062"/>
        </w:tabs>
        <w:ind w:left="220"/>
      </w:pPr>
      <w:hyperlink w:anchor="_Toc1951" w:history="1">
        <w:r>
          <w:rPr>
            <w:rFonts w:ascii="IRNazanin" w:hAnsi="IRNazanin" w:eastAsia="IRNazanin" w:cs="IRNazanin"/>
            <w:color w:val="111111"/>
            <w:sz w:val="22"/>
            <w:szCs w:val="22"/>
            <w:b w:val="0"/>
            <w:bCs w:val="0"/>
            <w:i w:val="0"/>
            <w:iCs w:val="0"/>
          </w:rPr>
          <w:t>بغدادي ، محمّد سعيد بن عبد اللطيف</w:t>
        </w:r>
        <w:r>
          <w:tab/>
        </w:r>
        <w:r>
          <w:fldChar w:fldCharType="begin"/>
        </w:r>
        <w:r>
          <w:instrText xml:space="preserve">PAGEREF 1951 \h</w:instrText>
        </w:r>
        <w:r>
          <w:fldChar w:fldCharType="end"/>
        </w:r>
      </w:hyperlink>
    </w:p>
    <w:p>
      <w:pPr>
        <w:tabs>
          <w:tab w:val="right" w:leader="dot" w:pos="9062"/>
        </w:tabs>
        <w:ind w:left="220"/>
      </w:pPr>
      <w:hyperlink w:anchor="_Toc1952" w:history="1">
        <w:r>
          <w:rPr>
            <w:rFonts w:ascii="IRNazanin" w:hAnsi="IRNazanin" w:eastAsia="IRNazanin" w:cs="IRNazanin"/>
            <w:color w:val="111111"/>
            <w:sz w:val="22"/>
            <w:szCs w:val="22"/>
            <w:b w:val="0"/>
            <w:bCs w:val="0"/>
            <w:i w:val="0"/>
            <w:iCs w:val="0"/>
          </w:rPr>
          <w:t>بغدادي ، محمّد جواد بن عواد -1168ه-</w:t>
        </w:r>
        <w:r>
          <w:tab/>
        </w:r>
        <w:r>
          <w:fldChar w:fldCharType="begin"/>
        </w:r>
        <w:r>
          <w:instrText xml:space="preserve">PAGEREF 1952 \h</w:instrText>
        </w:r>
        <w:r>
          <w:fldChar w:fldCharType="end"/>
        </w:r>
      </w:hyperlink>
    </w:p>
    <w:p>
      <w:pPr>
        <w:tabs>
          <w:tab w:val="right" w:leader="dot" w:pos="9062"/>
        </w:tabs>
        <w:ind w:left="220"/>
      </w:pPr>
      <w:hyperlink w:anchor="_Toc1953" w:history="1">
        <w:r>
          <w:rPr>
            <w:rFonts w:ascii="IRNazanin" w:hAnsi="IRNazanin" w:eastAsia="IRNazanin" w:cs="IRNazanin"/>
            <w:color w:val="111111"/>
            <w:sz w:val="22"/>
            <w:szCs w:val="22"/>
            <w:b w:val="0"/>
            <w:bCs w:val="0"/>
            <w:i w:val="0"/>
            <w:iCs w:val="0"/>
          </w:rPr>
          <w:t>بغدادي ، محمّد حسين بن علي</w:t>
        </w:r>
        <w:r>
          <w:tab/>
        </w:r>
        <w:r>
          <w:fldChar w:fldCharType="begin"/>
        </w:r>
        <w:r>
          <w:instrText xml:space="preserve">PAGEREF 1953 \h</w:instrText>
        </w:r>
        <w:r>
          <w:fldChar w:fldCharType="end"/>
        </w:r>
      </w:hyperlink>
    </w:p>
    <w:p>
      <w:pPr>
        <w:tabs>
          <w:tab w:val="right" w:leader="dot" w:pos="9062"/>
        </w:tabs>
        <w:ind w:left="220"/>
      </w:pPr>
      <w:hyperlink w:anchor="_Toc1954" w:history="1">
        <w:r>
          <w:rPr>
            <w:rFonts w:ascii="IRNazanin" w:hAnsi="IRNazanin" w:eastAsia="IRNazanin" w:cs="IRNazanin"/>
            <w:color w:val="111111"/>
            <w:sz w:val="22"/>
            <w:szCs w:val="22"/>
            <w:b w:val="0"/>
            <w:bCs w:val="0"/>
            <w:i w:val="0"/>
            <w:iCs w:val="0"/>
          </w:rPr>
          <w:t>بغدادي ، محمّد سعيد بن عبد القادر -</w:t>
        </w:r>
        <w:r>
          <w:tab/>
        </w:r>
        <w:r>
          <w:fldChar w:fldCharType="begin"/>
        </w:r>
        <w:r>
          <w:instrText xml:space="preserve">PAGEREF 1954 \h</w:instrText>
        </w:r>
        <w:r>
          <w:fldChar w:fldCharType="end"/>
        </w:r>
      </w:hyperlink>
    </w:p>
    <w:p>
      <w:pPr>
        <w:tabs>
          <w:tab w:val="right" w:leader="dot" w:pos="9062"/>
        </w:tabs>
        <w:ind w:left="220"/>
      </w:pPr>
      <w:hyperlink w:anchor="_Toc1955" w:history="1">
        <w:r>
          <w:rPr>
            <w:rFonts w:ascii="IRNazanin" w:hAnsi="IRNazanin" w:eastAsia="IRNazanin" w:cs="IRNazanin"/>
            <w:color w:val="111111"/>
            <w:sz w:val="22"/>
            <w:szCs w:val="22"/>
            <w:b w:val="0"/>
            <w:bCs w:val="0"/>
            <w:i w:val="0"/>
            <w:iCs w:val="0"/>
          </w:rPr>
          <w:t>بغدادي ، مسعود بن احمد</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بغدادي نجفي ، عبدالهادي</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بغدادي ، هبة الله بن سلامه - 410 ه-</w:t>
        </w:r>
        <w:r>
          <w:tab/>
        </w:r>
        <w:r>
          <w:fldChar w:fldCharType="begin"/>
        </w:r>
        <w:r>
          <w:instrText xml:space="preserve">PAGEREF 1957 \h</w:instrText>
        </w:r>
        <w:r>
          <w:fldChar w:fldCharType="end"/>
        </w:r>
      </w:hyperlink>
    </w:p>
    <w:p>
      <w:pPr>
        <w:tabs>
          <w:tab w:val="right" w:leader="dot" w:pos="9062"/>
        </w:tabs>
        <w:ind w:left="220"/>
      </w:pPr>
      <w:hyperlink w:anchor="_Toc1958" w:history="1">
        <w:r>
          <w:rPr>
            <w:rFonts w:ascii="IRNazanin" w:hAnsi="IRNazanin" w:eastAsia="IRNazanin" w:cs="IRNazanin"/>
            <w:color w:val="111111"/>
            <w:sz w:val="22"/>
            <w:szCs w:val="22"/>
            <w:b w:val="0"/>
            <w:bCs w:val="0"/>
            <w:i w:val="0"/>
            <w:iCs w:val="0"/>
          </w:rPr>
          <w:t>بغوي ، حسين بن مسعود، 436-510 ؟ ه-</w:t>
        </w:r>
        <w:r>
          <w:tab/>
        </w:r>
        <w:r>
          <w:fldChar w:fldCharType="begin"/>
        </w:r>
        <w:r>
          <w:instrText xml:space="preserve">PAGEREF 1958 \h</w:instrText>
        </w:r>
        <w:r>
          <w:fldChar w:fldCharType="end"/>
        </w:r>
      </w:hyperlink>
    </w:p>
    <w:p>
      <w:pPr>
        <w:tabs>
          <w:tab w:val="right" w:leader="dot" w:pos="9062"/>
        </w:tabs>
        <w:ind w:left="220"/>
      </w:pPr>
      <w:hyperlink w:anchor="_Toc1959" w:history="1">
        <w:r>
          <w:rPr>
            <w:rFonts w:ascii="IRNazanin" w:hAnsi="IRNazanin" w:eastAsia="IRNazanin" w:cs="IRNazanin"/>
            <w:color w:val="111111"/>
            <w:sz w:val="22"/>
            <w:szCs w:val="22"/>
            <w:b w:val="0"/>
            <w:bCs w:val="0"/>
            <w:i w:val="0"/>
            <w:iCs w:val="0"/>
          </w:rPr>
          <w:t>بغوي ، عبدالله بن محمّد، 214 - 317 ه-</w:t>
        </w:r>
        <w:r>
          <w:tab/>
        </w:r>
        <w:r>
          <w:fldChar w:fldCharType="begin"/>
        </w:r>
        <w:r>
          <w:instrText xml:space="preserve">PAGEREF 1959 \h</w:instrText>
        </w:r>
        <w:r>
          <w:fldChar w:fldCharType="end"/>
        </w:r>
      </w:hyperlink>
    </w:p>
    <w:p>
      <w:pPr>
        <w:tabs>
          <w:tab w:val="right" w:leader="dot" w:pos="9062"/>
        </w:tabs>
        <w:ind w:left="220"/>
      </w:pPr>
      <w:hyperlink w:anchor="_Toc1960" w:history="1">
        <w:r>
          <w:rPr>
            <w:rFonts w:ascii="IRNazanin" w:hAnsi="IRNazanin" w:eastAsia="IRNazanin" w:cs="IRNazanin"/>
            <w:color w:val="111111"/>
            <w:sz w:val="22"/>
            <w:szCs w:val="22"/>
            <w:b w:val="0"/>
            <w:bCs w:val="0"/>
            <w:i w:val="0"/>
            <w:iCs w:val="0"/>
          </w:rPr>
          <w:t>بغوي ، يزيد بن بنت احمد - 317 ه-</w:t>
        </w:r>
        <w:r>
          <w:tab/>
        </w:r>
        <w:r>
          <w:fldChar w:fldCharType="begin"/>
        </w:r>
        <w:r>
          <w:instrText xml:space="preserve">PAGEREF 1960 \h</w:instrText>
        </w:r>
        <w:r>
          <w:fldChar w:fldCharType="end"/>
        </w:r>
      </w:hyperlink>
    </w:p>
    <w:p>
      <w:pPr>
        <w:tabs>
          <w:tab w:val="right" w:leader="dot" w:pos="9062"/>
        </w:tabs>
        <w:ind w:left="220"/>
      </w:pPr>
      <w:hyperlink w:anchor="_Toc1961" w:history="1">
        <w:r>
          <w:rPr>
            <w:rFonts w:ascii="IRNazanin" w:hAnsi="IRNazanin" w:eastAsia="IRNazanin" w:cs="IRNazanin"/>
            <w:color w:val="111111"/>
            <w:sz w:val="22"/>
            <w:szCs w:val="22"/>
            <w:b w:val="0"/>
            <w:bCs w:val="0"/>
            <w:i w:val="0"/>
            <w:iCs w:val="0"/>
          </w:rPr>
          <w:t>بفروني يزدي ، علي اصغر بن محمّد</w:t>
        </w:r>
        <w:r>
          <w:tab/>
        </w:r>
        <w:r>
          <w:fldChar w:fldCharType="begin"/>
        </w:r>
        <w:r>
          <w:instrText xml:space="preserve">PAGEREF 1961 \h</w:instrText>
        </w:r>
        <w:r>
          <w:fldChar w:fldCharType="end"/>
        </w:r>
      </w:hyperlink>
    </w:p>
    <w:p>
      <w:pPr>
        <w:tabs>
          <w:tab w:val="right" w:leader="dot" w:pos="9062"/>
        </w:tabs>
        <w:ind w:left="220"/>
      </w:pPr>
      <w:hyperlink w:anchor="_Toc1962" w:history="1">
        <w:r>
          <w:rPr>
            <w:rFonts w:ascii="IRNazanin" w:hAnsi="IRNazanin" w:eastAsia="IRNazanin" w:cs="IRNazanin"/>
            <w:color w:val="111111"/>
            <w:sz w:val="22"/>
            <w:szCs w:val="22"/>
            <w:b w:val="0"/>
            <w:bCs w:val="0"/>
            <w:i w:val="0"/>
            <w:iCs w:val="0"/>
          </w:rPr>
          <w:t>بفرويي يزدي ، محمّد باقر بن محمّد</w:t>
        </w:r>
        <w:r>
          <w:tab/>
        </w:r>
        <w:r>
          <w:fldChar w:fldCharType="begin"/>
        </w:r>
        <w:r>
          <w:instrText xml:space="preserve">PAGEREF 1962 \h</w:instrText>
        </w:r>
        <w:r>
          <w:fldChar w:fldCharType="end"/>
        </w:r>
      </w:hyperlink>
    </w:p>
    <w:p>
      <w:pPr>
        <w:tabs>
          <w:tab w:val="right" w:leader="dot" w:pos="9062"/>
        </w:tabs>
        <w:ind w:left="220"/>
      </w:pPr>
      <w:hyperlink w:anchor="_Toc1963" w:history="1">
        <w:r>
          <w:rPr>
            <w:rFonts w:ascii="IRNazanin" w:hAnsi="IRNazanin" w:eastAsia="IRNazanin" w:cs="IRNazanin"/>
            <w:color w:val="111111"/>
            <w:sz w:val="22"/>
            <w:szCs w:val="22"/>
            <w:b w:val="0"/>
            <w:bCs w:val="0"/>
            <w:i w:val="0"/>
            <w:iCs w:val="0"/>
          </w:rPr>
          <w:t>بقاعي، ابراهيم بن عمر 4809 - 885 ه-</w:t>
        </w:r>
        <w:r>
          <w:tab/>
        </w:r>
        <w:r>
          <w:fldChar w:fldCharType="begin"/>
        </w:r>
        <w:r>
          <w:instrText xml:space="preserve">PAGEREF 1963 \h</w:instrText>
        </w:r>
        <w:r>
          <w:fldChar w:fldCharType="end"/>
        </w:r>
      </w:hyperlink>
    </w:p>
    <w:p>
      <w:pPr>
        <w:tabs>
          <w:tab w:val="right" w:leader="dot" w:pos="9062"/>
        </w:tabs>
        <w:ind w:left="220"/>
      </w:pPr>
      <w:hyperlink w:anchor="_Toc1964" w:history="1">
        <w:r>
          <w:rPr>
            <w:rFonts w:ascii="IRNazanin" w:hAnsi="IRNazanin" w:eastAsia="IRNazanin" w:cs="IRNazanin"/>
            <w:color w:val="111111"/>
            <w:sz w:val="22"/>
            <w:szCs w:val="22"/>
            <w:b w:val="0"/>
            <w:bCs w:val="0"/>
            <w:i w:val="0"/>
            <w:iCs w:val="0"/>
          </w:rPr>
          <w:t>بقاعي ، محمود بن علي</w:t>
        </w:r>
        <w:r>
          <w:tab/>
        </w:r>
        <w:r>
          <w:fldChar w:fldCharType="begin"/>
        </w:r>
        <w:r>
          <w:instrText xml:space="preserve">PAGEREF 1964 \h</w:instrText>
        </w:r>
        <w:r>
          <w:fldChar w:fldCharType="end"/>
        </w:r>
      </w:hyperlink>
    </w:p>
    <w:p>
      <w:pPr>
        <w:tabs>
          <w:tab w:val="right" w:leader="dot" w:pos="9062"/>
        </w:tabs>
        <w:ind w:left="220"/>
      </w:pPr>
      <w:hyperlink w:anchor="_Toc1965" w:history="1">
        <w:r>
          <w:rPr>
            <w:rFonts w:ascii="IRNazanin" w:hAnsi="IRNazanin" w:eastAsia="IRNazanin" w:cs="IRNazanin"/>
            <w:color w:val="111111"/>
            <w:sz w:val="22"/>
            <w:szCs w:val="22"/>
            <w:b w:val="0"/>
            <w:bCs w:val="0"/>
            <w:i w:val="0"/>
            <w:iCs w:val="0"/>
          </w:rPr>
          <w:t>بقال ، شرف الدين حسن شاه - 905 ه-</w:t>
        </w:r>
        <w:r>
          <w:tab/>
        </w:r>
        <w:r>
          <w:fldChar w:fldCharType="begin"/>
        </w:r>
        <w:r>
          <w:instrText xml:space="preserve">PAGEREF 1965 \h</w:instrText>
        </w:r>
        <w:r>
          <w:fldChar w:fldCharType="end"/>
        </w:r>
      </w:hyperlink>
    </w:p>
    <w:p>
      <w:pPr>
        <w:tabs>
          <w:tab w:val="right" w:leader="dot" w:pos="9062"/>
        </w:tabs>
        <w:ind w:left="220"/>
      </w:pPr>
      <w:hyperlink w:anchor="_Toc1966" w:history="1">
        <w:r>
          <w:rPr>
            <w:rFonts w:ascii="IRNazanin" w:hAnsi="IRNazanin" w:eastAsia="IRNazanin" w:cs="IRNazanin"/>
            <w:color w:val="111111"/>
            <w:sz w:val="22"/>
            <w:szCs w:val="22"/>
            <w:b w:val="0"/>
            <w:bCs w:val="0"/>
            <w:i w:val="0"/>
            <w:iCs w:val="0"/>
          </w:rPr>
          <w:t>بقالي ، محمّد بن ابوالقاسم، 490-562 ه-</w:t>
        </w:r>
        <w:r>
          <w:tab/>
        </w:r>
        <w:r>
          <w:fldChar w:fldCharType="begin"/>
        </w:r>
        <w:r>
          <w:instrText xml:space="preserve">PAGEREF 1966 \h</w:instrText>
        </w:r>
        <w:r>
          <w:fldChar w:fldCharType="end"/>
        </w:r>
      </w:hyperlink>
    </w:p>
    <w:p>
      <w:pPr>
        <w:tabs>
          <w:tab w:val="right" w:leader="dot" w:pos="9062"/>
        </w:tabs>
        <w:ind w:left="220"/>
      </w:pPr>
      <w:hyperlink w:anchor="_Toc1967" w:history="1">
        <w:r>
          <w:rPr>
            <w:rFonts w:ascii="IRNazanin" w:hAnsi="IRNazanin" w:eastAsia="IRNazanin" w:cs="IRNazanin"/>
            <w:color w:val="111111"/>
            <w:sz w:val="22"/>
            <w:szCs w:val="22"/>
            <w:b w:val="0"/>
            <w:bCs w:val="0"/>
            <w:i w:val="0"/>
            <w:iCs w:val="0"/>
          </w:rPr>
          <w:t>بقراط، 460 - 377 ؟ قبل الميلاد</w:t>
        </w:r>
        <w:r>
          <w:tab/>
        </w:r>
        <w:r>
          <w:fldChar w:fldCharType="begin"/>
        </w:r>
        <w:r>
          <w:instrText xml:space="preserve">PAGEREF 1967 \h</w:instrText>
        </w:r>
        <w:r>
          <w:fldChar w:fldCharType="end"/>
        </w:r>
      </w:hyperlink>
    </w:p>
    <w:p>
      <w:pPr>
        <w:tabs>
          <w:tab w:val="right" w:leader="dot" w:pos="9062"/>
        </w:tabs>
        <w:ind w:left="220"/>
      </w:pPr>
      <w:hyperlink w:anchor="_Toc1968" w:history="1">
        <w:r>
          <w:rPr>
            <w:rFonts w:ascii="IRNazanin" w:hAnsi="IRNazanin" w:eastAsia="IRNazanin" w:cs="IRNazanin"/>
            <w:color w:val="111111"/>
            <w:sz w:val="22"/>
            <w:szCs w:val="22"/>
            <w:b w:val="0"/>
            <w:bCs w:val="0"/>
            <w:i w:val="0"/>
            <w:iCs w:val="0"/>
          </w:rPr>
          <w:t>بقري ، محمّد بن اسماعيل</w:t>
        </w:r>
        <w:r>
          <w:tab/>
        </w:r>
        <w:r>
          <w:fldChar w:fldCharType="begin"/>
        </w:r>
        <w:r>
          <w:instrText xml:space="preserve">PAGEREF 1968 \h</w:instrText>
        </w:r>
        <w:r>
          <w:fldChar w:fldCharType="end"/>
        </w:r>
      </w:hyperlink>
    </w:p>
    <w:p>
      <w:pPr>
        <w:tabs>
          <w:tab w:val="right" w:leader="dot" w:pos="9062"/>
        </w:tabs>
        <w:ind w:left="220"/>
      </w:pPr>
      <w:hyperlink w:anchor="_Toc1969" w:history="1">
        <w:r>
          <w:rPr>
            <w:rFonts w:ascii="IRNazanin" w:hAnsi="IRNazanin" w:eastAsia="IRNazanin" w:cs="IRNazanin"/>
            <w:color w:val="111111"/>
            <w:sz w:val="22"/>
            <w:szCs w:val="22"/>
            <w:b w:val="0"/>
            <w:bCs w:val="0"/>
            <w:i w:val="0"/>
            <w:iCs w:val="0"/>
          </w:rPr>
          <w:t>بقري ، محمّد بن قاسم، 1018 - 1111 ه-</w:t>
        </w:r>
        <w:r>
          <w:tab/>
        </w:r>
        <w:r>
          <w:fldChar w:fldCharType="begin"/>
        </w:r>
        <w:r>
          <w:instrText xml:space="preserve">PAGEREF 1969 \h</w:instrText>
        </w:r>
        <w:r>
          <w:fldChar w:fldCharType="end"/>
        </w:r>
      </w:hyperlink>
    </w:p>
    <w:p>
      <w:pPr>
        <w:tabs>
          <w:tab w:val="right" w:leader="dot" w:pos="9062"/>
        </w:tabs>
        <w:ind w:left="220"/>
      </w:pPr>
      <w:hyperlink w:anchor="_Toc1970" w:history="1">
        <w:r>
          <w:rPr>
            <w:rFonts w:ascii="IRNazanin" w:hAnsi="IRNazanin" w:eastAsia="IRNazanin" w:cs="IRNazanin"/>
            <w:color w:val="111111"/>
            <w:sz w:val="22"/>
            <w:szCs w:val="22"/>
            <w:b w:val="0"/>
            <w:bCs w:val="0"/>
            <w:i w:val="0"/>
            <w:iCs w:val="0"/>
          </w:rPr>
          <w:t>بقوري ، محمّد بن ابراهيم - 707 ه-</w:t>
        </w:r>
        <w:r>
          <w:tab/>
        </w:r>
        <w:r>
          <w:fldChar w:fldCharType="begin"/>
        </w:r>
        <w:r>
          <w:instrText xml:space="preserve">PAGEREF 1970 \h</w:instrText>
        </w:r>
        <w:r>
          <w:fldChar w:fldCharType="end"/>
        </w:r>
      </w:hyperlink>
    </w:p>
    <w:p>
      <w:pPr>
        <w:tabs>
          <w:tab w:val="right" w:leader="dot" w:pos="9062"/>
        </w:tabs>
        <w:ind w:left="220"/>
      </w:pPr>
      <w:hyperlink w:anchor="_Toc1971" w:history="1">
        <w:r>
          <w:rPr>
            <w:rFonts w:ascii="IRNazanin" w:hAnsi="IRNazanin" w:eastAsia="IRNazanin" w:cs="IRNazanin"/>
            <w:color w:val="111111"/>
            <w:sz w:val="22"/>
            <w:szCs w:val="22"/>
            <w:b w:val="0"/>
            <w:bCs w:val="0"/>
            <w:i w:val="0"/>
            <w:iCs w:val="0"/>
          </w:rPr>
          <w:t>بكائي ، احمد بن مختار</w:t>
        </w:r>
        <w:r>
          <w:tab/>
        </w:r>
        <w:r>
          <w:fldChar w:fldCharType="begin"/>
        </w:r>
        <w:r>
          <w:instrText xml:space="preserve">PAGEREF 1971 \h</w:instrText>
        </w:r>
        <w:r>
          <w:fldChar w:fldCharType="end"/>
        </w:r>
      </w:hyperlink>
    </w:p>
    <w:p>
      <w:pPr>
        <w:tabs>
          <w:tab w:val="right" w:leader="dot" w:pos="9062"/>
        </w:tabs>
        <w:ind w:left="220"/>
      </w:pPr>
      <w:hyperlink w:anchor="_Toc1972" w:history="1">
        <w:r>
          <w:rPr>
            <w:rFonts w:ascii="IRNazanin" w:hAnsi="IRNazanin" w:eastAsia="IRNazanin" w:cs="IRNazanin"/>
            <w:color w:val="111111"/>
            <w:sz w:val="22"/>
            <w:szCs w:val="22"/>
            <w:b w:val="0"/>
            <w:bCs w:val="0"/>
            <w:i w:val="0"/>
            <w:iCs w:val="0"/>
          </w:rPr>
          <w:t>بكائي، ولي الدين بن خليل - 1183 ه-</w:t>
        </w:r>
        <w:r>
          <w:tab/>
        </w:r>
        <w:r>
          <w:fldChar w:fldCharType="begin"/>
        </w:r>
        <w:r>
          <w:instrText xml:space="preserve">PAGEREF 1972 \h</w:instrText>
        </w:r>
        <w:r>
          <w:fldChar w:fldCharType="end"/>
        </w:r>
      </w:hyperlink>
    </w:p>
    <w:p>
      <w:pPr>
        <w:tabs>
          <w:tab w:val="right" w:leader="dot" w:pos="9062"/>
        </w:tabs>
        <w:ind w:left="220"/>
      </w:pPr>
      <w:hyperlink w:anchor="_Toc1973" w:history="1">
        <w:r>
          <w:rPr>
            <w:rFonts w:ascii="IRNazanin" w:hAnsi="IRNazanin" w:eastAsia="IRNazanin" w:cs="IRNazanin"/>
            <w:color w:val="111111"/>
            <w:sz w:val="22"/>
            <w:szCs w:val="22"/>
            <w:b w:val="0"/>
            <w:bCs w:val="0"/>
            <w:i w:val="0"/>
            <w:iCs w:val="0"/>
          </w:rPr>
          <w:t>بكتاش ، عثمان بن عمر - 1190 ه-</w:t>
        </w:r>
        <w:r>
          <w:tab/>
        </w:r>
        <w:r>
          <w:fldChar w:fldCharType="begin"/>
        </w:r>
        <w:r>
          <w:instrText xml:space="preserve">PAGEREF 1973 \h</w:instrText>
        </w:r>
        <w:r>
          <w:fldChar w:fldCharType="end"/>
        </w:r>
      </w:hyperlink>
    </w:p>
    <w:p>
      <w:pPr>
        <w:tabs>
          <w:tab w:val="right" w:leader="dot" w:pos="9062"/>
        </w:tabs>
        <w:ind w:left="220"/>
      </w:pPr>
      <w:hyperlink w:anchor="_Toc1974" w:history="1">
        <w:r>
          <w:rPr>
            <w:rFonts w:ascii="IRNazanin" w:hAnsi="IRNazanin" w:eastAsia="IRNazanin" w:cs="IRNazanin"/>
            <w:color w:val="111111"/>
            <w:sz w:val="22"/>
            <w:szCs w:val="22"/>
            <w:b w:val="0"/>
            <w:bCs w:val="0"/>
            <w:i w:val="0"/>
            <w:iCs w:val="0"/>
          </w:rPr>
          <w:t>بكجري ، مغلطاي بن قليج، 690-762 ه-</w:t>
        </w:r>
        <w:r>
          <w:tab/>
        </w:r>
        <w:r>
          <w:fldChar w:fldCharType="begin"/>
        </w:r>
        <w:r>
          <w:instrText xml:space="preserve">PAGEREF 1974 \h</w:instrText>
        </w:r>
        <w:r>
          <w:fldChar w:fldCharType="end"/>
        </w:r>
      </w:hyperlink>
    </w:p>
    <w:p>
      <w:pPr>
        <w:tabs>
          <w:tab w:val="right" w:leader="dot" w:pos="9062"/>
        </w:tabs>
        <w:ind w:left="220"/>
      </w:pPr>
      <w:hyperlink w:anchor="_Toc1975" w:history="1">
        <w:r>
          <w:rPr>
            <w:rFonts w:ascii="IRNazanin" w:hAnsi="IRNazanin" w:eastAsia="IRNazanin" w:cs="IRNazanin"/>
            <w:color w:val="111111"/>
            <w:sz w:val="22"/>
            <w:szCs w:val="22"/>
            <w:b w:val="0"/>
            <w:bCs w:val="0"/>
            <w:i w:val="0"/>
            <w:iCs w:val="0"/>
          </w:rPr>
          <w:t>بكر شاهي، نورالدين محمّد ه-</w:t>
        </w:r>
        <w:r>
          <w:tab/>
        </w:r>
        <w:r>
          <w:fldChar w:fldCharType="begin"/>
        </w:r>
        <w:r>
          <w:instrText xml:space="preserve">PAGEREF 1975 \h</w:instrText>
        </w:r>
        <w:r>
          <w:fldChar w:fldCharType="end"/>
        </w:r>
      </w:hyperlink>
    </w:p>
    <w:p>
      <w:pPr>
        <w:tabs>
          <w:tab w:val="right" w:leader="dot" w:pos="9062"/>
        </w:tabs>
        <w:ind w:left="220"/>
      </w:pPr>
      <w:hyperlink w:anchor="_Toc1976" w:history="1">
        <w:r>
          <w:rPr>
            <w:rFonts w:ascii="IRNazanin" w:hAnsi="IRNazanin" w:eastAsia="IRNazanin" w:cs="IRNazanin"/>
            <w:color w:val="111111"/>
            <w:sz w:val="22"/>
            <w:szCs w:val="22"/>
            <w:b w:val="0"/>
            <w:bCs w:val="0"/>
            <w:i w:val="0"/>
            <w:iCs w:val="0"/>
          </w:rPr>
          <w:t>بکره چي ، قاسم بن محمّد، 1094 -</w:t>
        </w:r>
        <w:r>
          <w:tab/>
        </w:r>
        <w:r>
          <w:fldChar w:fldCharType="begin"/>
        </w:r>
        <w:r>
          <w:instrText xml:space="preserve">PAGEREF 1976 \h</w:instrText>
        </w:r>
        <w:r>
          <w:fldChar w:fldCharType="end"/>
        </w:r>
      </w:hyperlink>
    </w:p>
    <w:p>
      <w:pPr>
        <w:tabs>
          <w:tab w:val="right" w:leader="dot" w:pos="9062"/>
        </w:tabs>
        <w:ind w:left="220"/>
      </w:pPr>
      <w:hyperlink w:anchor="_Toc1977" w:history="1">
        <w:r>
          <w:rPr>
            <w:rFonts w:ascii="IRNazanin" w:hAnsi="IRNazanin" w:eastAsia="IRNazanin" w:cs="IRNazanin"/>
            <w:color w:val="111111"/>
            <w:sz w:val="22"/>
            <w:szCs w:val="22"/>
            <w:b w:val="0"/>
            <w:bCs w:val="0"/>
            <w:i w:val="0"/>
            <w:iCs w:val="0"/>
          </w:rPr>
          <w:t>بكري حموي، محمّد بن عبد علي</w:t>
        </w:r>
        <w:r>
          <w:tab/>
        </w:r>
        <w:r>
          <w:fldChar w:fldCharType="begin"/>
        </w:r>
        <w:r>
          <w:instrText xml:space="preserve">PAGEREF 1977 \h</w:instrText>
        </w:r>
        <w:r>
          <w:fldChar w:fldCharType="end"/>
        </w:r>
      </w:hyperlink>
    </w:p>
    <w:p>
      <w:pPr>
        <w:tabs>
          <w:tab w:val="right" w:leader="dot" w:pos="9062"/>
        </w:tabs>
        <w:ind w:left="220"/>
      </w:pPr>
      <w:hyperlink w:anchor="_Toc1978" w:history="1">
        <w:r>
          <w:rPr>
            <w:rFonts w:ascii="IRNazanin" w:hAnsi="IRNazanin" w:eastAsia="IRNazanin" w:cs="IRNazanin"/>
            <w:color w:val="111111"/>
            <w:sz w:val="22"/>
            <w:szCs w:val="22"/>
            <w:b w:val="0"/>
            <w:bCs w:val="0"/>
            <w:i w:val="0"/>
            <w:iCs w:val="0"/>
          </w:rPr>
          <w:t>بكري ، رضي الدين ابوالقاسم، قرن 10 ه-</w:t>
        </w:r>
        <w:r>
          <w:tab/>
        </w:r>
        <w:r>
          <w:fldChar w:fldCharType="begin"/>
        </w:r>
        <w:r>
          <w:instrText xml:space="preserve">PAGEREF 1978 \h</w:instrText>
        </w:r>
        <w:r>
          <w:fldChar w:fldCharType="end"/>
        </w:r>
      </w:hyperlink>
    </w:p>
    <w:p>
      <w:pPr>
        <w:tabs>
          <w:tab w:val="right" w:leader="dot" w:pos="9062"/>
        </w:tabs>
        <w:ind w:left="220"/>
      </w:pPr>
      <w:hyperlink w:anchor="_Toc1979" w:history="1">
        <w:r>
          <w:rPr>
            <w:rFonts w:ascii="IRNazanin" w:hAnsi="IRNazanin" w:eastAsia="IRNazanin" w:cs="IRNazanin"/>
            <w:color w:val="111111"/>
            <w:sz w:val="22"/>
            <w:szCs w:val="22"/>
            <w:b w:val="0"/>
            <w:bCs w:val="0"/>
            <w:i w:val="0"/>
            <w:iCs w:val="0"/>
          </w:rPr>
          <w:t>بكري، زين الدين</w:t>
        </w:r>
        <w:r>
          <w:tab/>
        </w:r>
        <w:r>
          <w:fldChar w:fldCharType="begin"/>
        </w:r>
        <w:r>
          <w:instrText xml:space="preserve">PAGEREF 1979 \h</w:instrText>
        </w:r>
        <w:r>
          <w:fldChar w:fldCharType="end"/>
        </w:r>
      </w:hyperlink>
    </w:p>
    <w:p>
      <w:pPr>
        <w:tabs>
          <w:tab w:val="right" w:leader="dot" w:pos="9062"/>
        </w:tabs>
        <w:ind w:left="220"/>
      </w:pPr>
      <w:hyperlink w:anchor="_Toc1980" w:history="1">
        <w:r>
          <w:rPr>
            <w:rFonts w:ascii="IRNazanin" w:hAnsi="IRNazanin" w:eastAsia="IRNazanin" w:cs="IRNazanin"/>
            <w:color w:val="111111"/>
            <w:sz w:val="22"/>
            <w:szCs w:val="22"/>
            <w:b w:val="0"/>
            <w:bCs w:val="0"/>
            <w:i w:val="0"/>
            <w:iCs w:val="0"/>
          </w:rPr>
          <w:t>بكري زين العابدين بن محمّد -1013ه-</w:t>
        </w:r>
        <w:r>
          <w:tab/>
        </w:r>
        <w:r>
          <w:fldChar w:fldCharType="begin"/>
        </w:r>
        <w:r>
          <w:instrText xml:space="preserve">PAGEREF 1980 \h</w:instrText>
        </w:r>
        <w:r>
          <w:fldChar w:fldCharType="end"/>
        </w:r>
      </w:hyperlink>
    </w:p>
    <w:p>
      <w:pPr>
        <w:tabs>
          <w:tab w:val="right" w:leader="dot" w:pos="9062"/>
        </w:tabs>
        <w:ind w:left="220"/>
      </w:pPr>
      <w:hyperlink w:anchor="_Toc1981" w:history="1">
        <w:r>
          <w:rPr>
            <w:rFonts w:ascii="IRNazanin" w:hAnsi="IRNazanin" w:eastAsia="IRNazanin" w:cs="IRNazanin"/>
            <w:color w:val="111111"/>
            <w:sz w:val="22"/>
            <w:szCs w:val="22"/>
            <w:b w:val="0"/>
            <w:bCs w:val="0"/>
            <w:i w:val="0"/>
            <w:iCs w:val="0"/>
          </w:rPr>
          <w:t>بكري صديقي ، احمد بن زين العابدين</w:t>
        </w:r>
        <w:r>
          <w:tab/>
        </w:r>
        <w:r>
          <w:fldChar w:fldCharType="begin"/>
        </w:r>
        <w:r>
          <w:instrText xml:space="preserve">PAGEREF 1981 \h</w:instrText>
        </w:r>
        <w:r>
          <w:fldChar w:fldCharType="end"/>
        </w:r>
      </w:hyperlink>
    </w:p>
    <w:p>
      <w:pPr>
        <w:tabs>
          <w:tab w:val="right" w:leader="dot" w:pos="9062"/>
        </w:tabs>
        <w:ind w:left="220"/>
      </w:pPr>
      <w:hyperlink w:anchor="_Toc1982" w:history="1">
        <w:r>
          <w:rPr>
            <w:rFonts w:ascii="IRNazanin" w:hAnsi="IRNazanin" w:eastAsia="IRNazanin" w:cs="IRNazanin"/>
            <w:color w:val="111111"/>
            <w:sz w:val="22"/>
            <w:szCs w:val="22"/>
            <w:b w:val="0"/>
            <w:bCs w:val="0"/>
            <w:i w:val="0"/>
            <w:iCs w:val="0"/>
          </w:rPr>
          <w:t>بكري صديقي ، محمّد بن ابي الحسن</w:t>
        </w:r>
        <w:r>
          <w:tab/>
        </w:r>
        <w:r>
          <w:fldChar w:fldCharType="begin"/>
        </w:r>
        <w:r>
          <w:instrText xml:space="preserve">PAGEREF 1982 \h</w:instrText>
        </w:r>
        <w:r>
          <w:fldChar w:fldCharType="end"/>
        </w:r>
      </w:hyperlink>
    </w:p>
    <w:p>
      <w:pPr>
        <w:tabs>
          <w:tab w:val="right" w:leader="dot" w:pos="9062"/>
        </w:tabs>
        <w:ind w:left="220"/>
      </w:pPr>
      <w:hyperlink w:anchor="_Toc1983" w:history="1">
        <w:r>
          <w:rPr>
            <w:rFonts w:ascii="IRNazanin" w:hAnsi="IRNazanin" w:eastAsia="IRNazanin" w:cs="IRNazanin"/>
            <w:color w:val="111111"/>
            <w:sz w:val="22"/>
            <w:szCs w:val="22"/>
            <w:b w:val="0"/>
            <w:bCs w:val="0"/>
            <w:i w:val="0"/>
            <w:iCs w:val="0"/>
          </w:rPr>
          <w:t>بكري صديقي ، محمّد بن ابي السرور</w:t>
        </w:r>
        <w:r>
          <w:tab/>
        </w:r>
        <w:r>
          <w:fldChar w:fldCharType="begin"/>
        </w:r>
        <w:r>
          <w:instrText xml:space="preserve">PAGEREF 1983 \h</w:instrText>
        </w:r>
        <w:r>
          <w:fldChar w:fldCharType="end"/>
        </w:r>
      </w:hyperlink>
    </w:p>
    <w:p>
      <w:pPr>
        <w:tabs>
          <w:tab w:val="right" w:leader="dot" w:pos="9062"/>
        </w:tabs>
        <w:ind w:left="220"/>
      </w:pPr>
      <w:hyperlink w:anchor="_Toc1984" w:history="1">
        <w:r>
          <w:rPr>
            <w:rFonts w:ascii="IRNazanin" w:hAnsi="IRNazanin" w:eastAsia="IRNazanin" w:cs="IRNazanin"/>
            <w:color w:val="111111"/>
            <w:sz w:val="22"/>
            <w:szCs w:val="22"/>
            <w:b w:val="0"/>
            <w:bCs w:val="0"/>
            <w:i w:val="0"/>
            <w:iCs w:val="0"/>
          </w:rPr>
          <w:t>بكري صديقي ، محمّد بن محمّد، 898 -</w:t>
        </w:r>
        <w:r>
          <w:tab/>
        </w:r>
        <w:r>
          <w:fldChar w:fldCharType="begin"/>
        </w:r>
        <w:r>
          <w:instrText xml:space="preserve">PAGEREF 1984 \h</w:instrText>
        </w:r>
        <w:r>
          <w:fldChar w:fldCharType="end"/>
        </w:r>
      </w:hyperlink>
    </w:p>
    <w:p>
      <w:pPr>
        <w:tabs>
          <w:tab w:val="right" w:leader="dot" w:pos="9062"/>
        </w:tabs>
        <w:ind w:left="220"/>
      </w:pPr>
      <w:hyperlink w:anchor="_Toc1985" w:history="1">
        <w:r>
          <w:rPr>
            <w:rFonts w:ascii="IRNazanin" w:hAnsi="IRNazanin" w:eastAsia="IRNazanin" w:cs="IRNazanin"/>
            <w:color w:val="111111"/>
            <w:sz w:val="22"/>
            <w:szCs w:val="22"/>
            <w:b w:val="0"/>
            <w:bCs w:val="0"/>
            <w:i w:val="0"/>
            <w:iCs w:val="0"/>
          </w:rPr>
          <w:t>بكري عبدالله بن عبدالعزيز، 432-487ه-</w:t>
        </w:r>
        <w:r>
          <w:tab/>
        </w:r>
        <w:r>
          <w:fldChar w:fldCharType="begin"/>
        </w:r>
        <w:r>
          <w:instrText xml:space="preserve">PAGEREF 1985 \h</w:instrText>
        </w:r>
        <w:r>
          <w:fldChar w:fldCharType="end"/>
        </w:r>
      </w:hyperlink>
    </w:p>
    <w:p>
      <w:pPr>
        <w:tabs>
          <w:tab w:val="right" w:leader="dot" w:pos="9062"/>
        </w:tabs>
        <w:ind w:left="220"/>
      </w:pPr>
      <w:hyperlink w:anchor="_Toc1986" w:history="1">
        <w:r>
          <w:rPr>
            <w:rFonts w:ascii="IRNazanin" w:hAnsi="IRNazanin" w:eastAsia="IRNazanin" w:cs="IRNazanin"/>
            <w:color w:val="111111"/>
            <w:sz w:val="22"/>
            <w:szCs w:val="22"/>
            <w:b w:val="0"/>
            <w:bCs w:val="0"/>
            <w:i w:val="0"/>
            <w:iCs w:val="0"/>
          </w:rPr>
          <w:t>بكري، عبد الملك بن علي - 896 ه-</w:t>
        </w:r>
        <w:r>
          <w:tab/>
        </w:r>
        <w:r>
          <w:fldChar w:fldCharType="begin"/>
        </w:r>
        <w:r>
          <w:instrText xml:space="preserve">PAGEREF 1986 \h</w:instrText>
        </w:r>
        <w:r>
          <w:fldChar w:fldCharType="end"/>
        </w:r>
      </w:hyperlink>
    </w:p>
    <w:p>
      <w:pPr>
        <w:tabs>
          <w:tab w:val="right" w:leader="dot" w:pos="9062"/>
        </w:tabs>
        <w:ind w:left="220"/>
      </w:pPr>
      <w:hyperlink w:anchor="_Toc1987" w:history="1">
        <w:r>
          <w:rPr>
            <w:rFonts w:ascii="IRNazanin" w:hAnsi="IRNazanin" w:eastAsia="IRNazanin" w:cs="IRNazanin"/>
            <w:color w:val="111111"/>
            <w:sz w:val="22"/>
            <w:szCs w:val="22"/>
            <w:b w:val="0"/>
            <w:bCs w:val="0"/>
            <w:i w:val="0"/>
            <w:iCs w:val="0"/>
          </w:rPr>
          <w:t>بكري قنائي، مسعود بن حسن</w:t>
        </w:r>
        <w:r>
          <w:tab/>
        </w:r>
        <w:r>
          <w:fldChar w:fldCharType="begin"/>
        </w:r>
        <w:r>
          <w:instrText xml:space="preserve">PAGEREF 1987 \h</w:instrText>
        </w:r>
        <w:r>
          <w:fldChar w:fldCharType="end"/>
        </w:r>
      </w:hyperlink>
    </w:p>
    <w:p>
      <w:pPr>
        <w:tabs>
          <w:tab w:val="right" w:leader="dot" w:pos="9062"/>
        </w:tabs>
        <w:ind w:left="220"/>
      </w:pPr>
      <w:hyperlink w:anchor="_Toc1988" w:history="1">
        <w:r>
          <w:rPr>
            <w:rFonts w:ascii="IRNazanin" w:hAnsi="IRNazanin" w:eastAsia="IRNazanin" w:cs="IRNazanin"/>
            <w:color w:val="111111"/>
            <w:sz w:val="22"/>
            <w:szCs w:val="22"/>
            <w:b w:val="0"/>
            <w:bCs w:val="0"/>
            <w:i w:val="0"/>
            <w:iCs w:val="0"/>
          </w:rPr>
          <w:t>بكري ، محمّد</w:t>
        </w:r>
        <w:r>
          <w:tab/>
        </w:r>
        <w:r>
          <w:fldChar w:fldCharType="begin"/>
        </w:r>
        <w:r>
          <w:instrText xml:space="preserve">PAGEREF 1988 \h</w:instrText>
        </w:r>
        <w:r>
          <w:fldChar w:fldCharType="end"/>
        </w:r>
      </w:hyperlink>
    </w:p>
    <w:p>
      <w:pPr>
        <w:tabs>
          <w:tab w:val="right" w:leader="dot" w:pos="9062"/>
        </w:tabs>
        <w:ind w:left="220"/>
      </w:pPr>
      <w:hyperlink w:anchor="_Toc1989" w:history="1">
        <w:r>
          <w:rPr>
            <w:rFonts w:ascii="IRNazanin" w:hAnsi="IRNazanin" w:eastAsia="IRNazanin" w:cs="IRNazanin"/>
            <w:color w:val="111111"/>
            <w:sz w:val="22"/>
            <w:szCs w:val="22"/>
            <w:b w:val="0"/>
            <w:bCs w:val="0"/>
            <w:i w:val="0"/>
            <w:iCs w:val="0"/>
          </w:rPr>
          <w:t>بكري ، محمّد بن احمد ، قرن 7 ه-</w:t>
        </w:r>
        <w:r>
          <w:tab/>
        </w:r>
        <w:r>
          <w:fldChar w:fldCharType="begin"/>
        </w:r>
        <w:r>
          <w:instrText xml:space="preserve">PAGEREF 1989 \h</w:instrText>
        </w:r>
        <w:r>
          <w:fldChar w:fldCharType="end"/>
        </w:r>
      </w:hyperlink>
    </w:p>
    <w:p>
      <w:pPr>
        <w:tabs>
          <w:tab w:val="right" w:leader="dot" w:pos="9062"/>
        </w:tabs>
        <w:ind w:left="220"/>
      </w:pPr>
      <w:hyperlink w:anchor="_Toc1990" w:history="1">
        <w:r>
          <w:rPr>
            <w:rFonts w:ascii="IRNazanin" w:hAnsi="IRNazanin" w:eastAsia="IRNazanin" w:cs="IRNazanin"/>
            <w:color w:val="111111"/>
            <w:sz w:val="22"/>
            <w:szCs w:val="22"/>
            <w:b w:val="0"/>
            <w:bCs w:val="0"/>
            <w:i w:val="0"/>
            <w:iCs w:val="0"/>
          </w:rPr>
          <w:t>بكري مصري</w:t>
        </w:r>
        <w:r>
          <w:tab/>
        </w:r>
        <w:r>
          <w:fldChar w:fldCharType="begin"/>
        </w:r>
        <w:r>
          <w:instrText xml:space="preserve">PAGEREF 1990 \h</w:instrText>
        </w:r>
        <w:r>
          <w:fldChar w:fldCharType="end"/>
        </w:r>
      </w:hyperlink>
    </w:p>
    <w:p>
      <w:pPr>
        <w:tabs>
          <w:tab w:val="right" w:leader="dot" w:pos="9062"/>
        </w:tabs>
        <w:ind w:left="220"/>
      </w:pPr>
      <w:hyperlink w:anchor="_Toc1991" w:history="1">
        <w:r>
          <w:rPr>
            <w:rFonts w:ascii="IRNazanin" w:hAnsi="IRNazanin" w:eastAsia="IRNazanin" w:cs="IRNazanin"/>
            <w:color w:val="111111"/>
            <w:sz w:val="22"/>
            <w:szCs w:val="22"/>
            <w:b w:val="0"/>
            <w:bCs w:val="0"/>
            <w:i w:val="0"/>
            <w:iCs w:val="0"/>
          </w:rPr>
          <w:t>بكري، مصطفى بن کمال الدین 1099 -</w:t>
        </w:r>
        <w:r>
          <w:tab/>
        </w:r>
        <w:r>
          <w:fldChar w:fldCharType="begin"/>
        </w:r>
        <w:r>
          <w:instrText xml:space="preserve">PAGEREF 1991 \h</w:instrText>
        </w:r>
        <w:r>
          <w:fldChar w:fldCharType="end"/>
        </w:r>
      </w:hyperlink>
    </w:p>
    <w:p>
      <w:pPr>
        <w:tabs>
          <w:tab w:val="right" w:leader="dot" w:pos="9062"/>
        </w:tabs>
        <w:ind w:left="220"/>
      </w:pPr>
      <w:hyperlink w:anchor="_Toc1992" w:history="1">
        <w:r>
          <w:rPr>
            <w:rFonts w:ascii="IRNazanin" w:hAnsi="IRNazanin" w:eastAsia="IRNazanin" w:cs="IRNazanin"/>
            <w:color w:val="111111"/>
            <w:sz w:val="22"/>
            <w:szCs w:val="22"/>
            <w:b w:val="0"/>
            <w:bCs w:val="0"/>
            <w:i w:val="0"/>
            <w:iCs w:val="0"/>
          </w:rPr>
          <w:t>بكري ، نجم الدين</w:t>
        </w:r>
        <w:r>
          <w:tab/>
        </w:r>
        <w:r>
          <w:fldChar w:fldCharType="begin"/>
        </w:r>
        <w:r>
          <w:instrText xml:space="preserve">PAGEREF 1992 \h</w:instrText>
        </w:r>
        <w:r>
          <w:fldChar w:fldCharType="end"/>
        </w:r>
      </w:hyperlink>
    </w:p>
    <w:p>
      <w:pPr>
        <w:tabs>
          <w:tab w:val="right" w:leader="dot" w:pos="9062"/>
        </w:tabs>
        <w:ind w:left="220"/>
      </w:pPr>
      <w:hyperlink w:anchor="_Toc1993" w:history="1">
        <w:r>
          <w:rPr>
            <w:rFonts w:ascii="IRNazanin" w:hAnsi="IRNazanin" w:eastAsia="IRNazanin" w:cs="IRNazanin"/>
            <w:color w:val="111111"/>
            <w:sz w:val="22"/>
            <w:szCs w:val="22"/>
            <w:b w:val="0"/>
            <w:bCs w:val="0"/>
            <w:i w:val="0"/>
            <w:iCs w:val="0"/>
          </w:rPr>
          <w:t>بلادي بحراني ، حسين بن علي 1302 قرن</w:t>
        </w:r>
        <w:r>
          <w:tab/>
        </w:r>
        <w:r>
          <w:fldChar w:fldCharType="begin"/>
        </w:r>
        <w:r>
          <w:instrText xml:space="preserve">PAGEREF 1993 \h</w:instrText>
        </w:r>
        <w:r>
          <w:fldChar w:fldCharType="end"/>
        </w:r>
      </w:hyperlink>
    </w:p>
    <w:p>
      <w:pPr>
        <w:tabs>
          <w:tab w:val="right" w:leader="dot" w:pos="9062"/>
        </w:tabs>
        <w:ind w:left="220"/>
      </w:pPr>
      <w:hyperlink w:anchor="_Toc1994" w:history="1">
        <w:r>
          <w:rPr>
            <w:rFonts w:ascii="IRNazanin" w:hAnsi="IRNazanin" w:eastAsia="IRNazanin" w:cs="IRNazanin"/>
            <w:color w:val="111111"/>
            <w:sz w:val="22"/>
            <w:szCs w:val="22"/>
            <w:b w:val="0"/>
            <w:bCs w:val="0"/>
            <w:i w:val="0"/>
            <w:iCs w:val="0"/>
          </w:rPr>
          <w:t>بلاذري، احمد بن يحيى - 279 ه-</w:t>
        </w:r>
        <w:r>
          <w:tab/>
        </w:r>
        <w:r>
          <w:fldChar w:fldCharType="begin"/>
        </w:r>
        <w:r>
          <w:instrText xml:space="preserve">PAGEREF 1994 \h</w:instrText>
        </w:r>
        <w:r>
          <w:fldChar w:fldCharType="end"/>
        </w:r>
      </w:hyperlink>
    </w:p>
    <w:p>
      <w:pPr>
        <w:tabs>
          <w:tab w:val="right" w:leader="dot" w:pos="9062"/>
        </w:tabs>
        <w:ind w:left="220"/>
      </w:pPr>
      <w:hyperlink w:anchor="_Toc1995" w:history="1">
        <w:r>
          <w:rPr>
            <w:rFonts w:ascii="IRNazanin" w:hAnsi="IRNazanin" w:eastAsia="IRNazanin" w:cs="IRNazanin"/>
            <w:color w:val="111111"/>
            <w:sz w:val="22"/>
            <w:szCs w:val="22"/>
            <w:b w:val="0"/>
            <w:bCs w:val="0"/>
            <w:i w:val="0"/>
            <w:iCs w:val="0"/>
          </w:rPr>
          <w:t>بلاسي شيرازي حسن بن حمزه - 2698ه-</w:t>
        </w:r>
        <w:r>
          <w:tab/>
        </w:r>
        <w:r>
          <w:fldChar w:fldCharType="begin"/>
        </w:r>
        <w:r>
          <w:instrText xml:space="preserve">PAGEREF 1995 \h</w:instrText>
        </w:r>
        <w:r>
          <w:fldChar w:fldCharType="end"/>
        </w:r>
      </w:hyperlink>
    </w:p>
    <w:p>
      <w:pPr>
        <w:tabs>
          <w:tab w:val="right" w:leader="dot" w:pos="9062"/>
        </w:tabs>
        <w:ind w:left="220"/>
      </w:pPr>
      <w:hyperlink w:anchor="_Toc1996" w:history="1">
        <w:r>
          <w:rPr>
            <w:rFonts w:ascii="IRNazanin" w:hAnsi="IRNazanin" w:eastAsia="IRNazanin" w:cs="IRNazanin"/>
            <w:color w:val="111111"/>
            <w:sz w:val="22"/>
            <w:szCs w:val="22"/>
            <w:b w:val="0"/>
            <w:bCs w:val="0"/>
            <w:i w:val="0"/>
            <w:iCs w:val="0"/>
          </w:rPr>
          <w:t>بلاطنسي ، محمّد بن عبدالله - 863 ه-</w:t>
        </w:r>
        <w:r>
          <w:tab/>
        </w:r>
        <w:r>
          <w:fldChar w:fldCharType="begin"/>
        </w:r>
        <w:r>
          <w:instrText xml:space="preserve">PAGEREF 1996 \h</w:instrText>
        </w:r>
        <w:r>
          <w:fldChar w:fldCharType="end"/>
        </w:r>
      </w:hyperlink>
    </w:p>
    <w:p>
      <w:pPr>
        <w:tabs>
          <w:tab w:val="right" w:leader="dot" w:pos="9062"/>
        </w:tabs>
        <w:ind w:left="220"/>
      </w:pPr>
      <w:hyperlink w:anchor="_Toc1997" w:history="1">
        <w:r>
          <w:rPr>
            <w:rFonts w:ascii="IRNazanin" w:hAnsi="IRNazanin" w:eastAsia="IRNazanin" w:cs="IRNazanin"/>
            <w:color w:val="111111"/>
            <w:sz w:val="22"/>
            <w:szCs w:val="22"/>
            <w:b w:val="0"/>
            <w:bCs w:val="0"/>
            <w:i w:val="0"/>
            <w:iCs w:val="0"/>
          </w:rPr>
          <w:t>بلاغي ، عباس بن حسن قرن 12 ه-</w:t>
        </w:r>
        <w:r>
          <w:tab/>
        </w:r>
        <w:r>
          <w:fldChar w:fldCharType="begin"/>
        </w:r>
        <w:r>
          <w:instrText xml:space="preserve">PAGEREF 1997 \h</w:instrText>
        </w:r>
        <w:r>
          <w:fldChar w:fldCharType="end"/>
        </w:r>
      </w:hyperlink>
    </w:p>
    <w:p>
      <w:pPr>
        <w:tabs>
          <w:tab w:val="right" w:leader="dot" w:pos="9062"/>
        </w:tabs>
        <w:ind w:left="220"/>
      </w:pPr>
      <w:hyperlink w:anchor="_Toc1998" w:history="1">
        <w:r>
          <w:rPr>
            <w:rFonts w:ascii="IRNazanin" w:hAnsi="IRNazanin" w:eastAsia="IRNazanin" w:cs="IRNazanin"/>
            <w:color w:val="111111"/>
            <w:sz w:val="22"/>
            <w:szCs w:val="22"/>
            <w:b w:val="0"/>
            <w:bCs w:val="0"/>
            <w:i w:val="0"/>
            <w:iCs w:val="0"/>
          </w:rPr>
          <w:t>بلاغي ، محمّد جواد بن حسن 1289 -</w:t>
        </w:r>
        <w:r>
          <w:tab/>
        </w:r>
        <w:r>
          <w:fldChar w:fldCharType="begin"/>
        </w:r>
        <w:r>
          <w:instrText xml:space="preserve">PAGEREF 1998 \h</w:instrText>
        </w:r>
        <w:r>
          <w:fldChar w:fldCharType="end"/>
        </w:r>
      </w:hyperlink>
    </w:p>
    <w:p>
      <w:pPr>
        <w:tabs>
          <w:tab w:val="right" w:leader="dot" w:pos="9062"/>
        </w:tabs>
        <w:ind w:left="220"/>
      </w:pPr>
      <w:hyperlink w:anchor="_Toc1999" w:history="1">
        <w:r>
          <w:rPr>
            <w:rFonts w:ascii="IRNazanin" w:hAnsi="IRNazanin" w:eastAsia="IRNazanin" w:cs="IRNazanin"/>
            <w:color w:val="111111"/>
            <w:sz w:val="22"/>
            <w:szCs w:val="22"/>
            <w:b w:val="0"/>
            <w:bCs w:val="0"/>
            <w:i w:val="0"/>
            <w:iCs w:val="0"/>
          </w:rPr>
          <w:t>بلاغي ، محمّد علي</w:t>
        </w:r>
        <w:r>
          <w:tab/>
        </w:r>
        <w:r>
          <w:fldChar w:fldCharType="begin"/>
        </w:r>
        <w:r>
          <w:instrText xml:space="preserve">PAGEREF 1999 \h</w:instrText>
        </w:r>
        <w:r>
          <w:fldChar w:fldCharType="end"/>
        </w:r>
      </w:hyperlink>
    </w:p>
    <w:p>
      <w:pPr>
        <w:tabs>
          <w:tab w:val="right" w:leader="dot" w:pos="9062"/>
        </w:tabs>
        <w:ind w:left="220"/>
      </w:pPr>
      <w:hyperlink w:anchor="_Toc2000" w:history="1">
        <w:r>
          <w:rPr>
            <w:rFonts w:ascii="IRNazanin" w:hAnsi="IRNazanin" w:eastAsia="IRNazanin" w:cs="IRNazanin"/>
            <w:color w:val="111111"/>
            <w:sz w:val="22"/>
            <w:szCs w:val="22"/>
            <w:b w:val="0"/>
            <w:bCs w:val="0"/>
            <w:i w:val="0"/>
            <w:iCs w:val="0"/>
          </w:rPr>
          <w:t>بلاغي ، محمّد علي بن عباس قرن 13 ه-</w:t>
        </w:r>
        <w:r>
          <w:tab/>
        </w:r>
        <w:r>
          <w:fldChar w:fldCharType="begin"/>
        </w:r>
        <w:r>
          <w:instrText xml:space="preserve">PAGEREF 2000 \h</w:instrText>
        </w:r>
        <w:r>
          <w:fldChar w:fldCharType="end"/>
        </w:r>
      </w:hyperlink>
    </w:p>
    <w:p>
      <w:pPr>
        <w:tabs>
          <w:tab w:val="right" w:leader="dot" w:pos="9062"/>
        </w:tabs>
        <w:ind w:left="220"/>
      </w:pPr>
      <w:hyperlink w:anchor="_Toc2001" w:history="1">
        <w:r>
          <w:rPr>
            <w:rFonts w:ascii="IRNazanin" w:hAnsi="IRNazanin" w:eastAsia="IRNazanin" w:cs="IRNazanin"/>
            <w:color w:val="111111"/>
            <w:sz w:val="22"/>
            <w:szCs w:val="22"/>
            <w:b w:val="0"/>
            <w:bCs w:val="0"/>
            <w:i w:val="0"/>
            <w:iCs w:val="0"/>
          </w:rPr>
          <w:t>بلالي ، محمّد بن علي 750 - 820 ه-</w:t>
        </w:r>
        <w:r>
          <w:tab/>
        </w:r>
        <w:r>
          <w:fldChar w:fldCharType="begin"/>
        </w:r>
        <w:r>
          <w:instrText xml:space="preserve">PAGEREF 2001 \h</w:instrText>
        </w:r>
        <w:r>
          <w:fldChar w:fldCharType="end"/>
        </w:r>
      </w:hyperlink>
    </w:p>
    <w:p>
      <w:pPr>
        <w:tabs>
          <w:tab w:val="right" w:leader="dot" w:pos="9062"/>
        </w:tabs>
        <w:ind w:left="220"/>
      </w:pPr>
      <w:hyperlink w:anchor="_Toc2002" w:history="1">
        <w:r>
          <w:rPr>
            <w:rFonts w:ascii="IRNazanin" w:hAnsi="IRNazanin" w:eastAsia="IRNazanin" w:cs="IRNazanin"/>
            <w:color w:val="111111"/>
            <w:sz w:val="22"/>
            <w:szCs w:val="22"/>
            <w:b w:val="0"/>
            <w:bCs w:val="0"/>
            <w:i w:val="0"/>
            <w:iCs w:val="0"/>
          </w:rPr>
          <w:t>بلاي ، حسن بن عباس</w:t>
        </w:r>
        <w:r>
          <w:tab/>
        </w:r>
        <w:r>
          <w:fldChar w:fldCharType="begin"/>
        </w:r>
        <w:r>
          <w:instrText xml:space="preserve">PAGEREF 2002 \h</w:instrText>
        </w:r>
        <w:r>
          <w:fldChar w:fldCharType="end"/>
        </w:r>
      </w:hyperlink>
    </w:p>
    <w:p>
      <w:pPr>
        <w:tabs>
          <w:tab w:val="right" w:leader="dot" w:pos="9062"/>
        </w:tabs>
        <w:ind w:left="220"/>
      </w:pPr>
      <w:hyperlink w:anchor="_Toc2003" w:history="1">
        <w:r>
          <w:rPr>
            <w:rFonts w:ascii="IRNazanin" w:hAnsi="IRNazanin" w:eastAsia="IRNazanin" w:cs="IRNazanin"/>
            <w:color w:val="111111"/>
            <w:sz w:val="22"/>
            <w:szCs w:val="22"/>
            <w:b w:val="0"/>
            <w:bCs w:val="0"/>
            <w:i w:val="0"/>
            <w:iCs w:val="0"/>
          </w:rPr>
          <w:t>بلباني جزري ، محمّد</w:t>
        </w:r>
        <w:r>
          <w:tab/>
        </w:r>
        <w:r>
          <w:fldChar w:fldCharType="begin"/>
        </w:r>
        <w:r>
          <w:instrText xml:space="preserve">PAGEREF 2003 \h</w:instrText>
        </w:r>
        <w:r>
          <w:fldChar w:fldCharType="end"/>
        </w:r>
      </w:hyperlink>
    </w:p>
    <w:p>
      <w:pPr>
        <w:tabs>
          <w:tab w:val="right" w:leader="dot" w:pos="9062"/>
        </w:tabs>
        <w:ind w:left="220"/>
      </w:pPr>
      <w:hyperlink w:anchor="_Toc2004" w:history="1">
        <w:r>
          <w:rPr>
            <w:rFonts w:ascii="IRNazanin" w:hAnsi="IRNazanin" w:eastAsia="IRNazanin" w:cs="IRNazanin"/>
            <w:color w:val="111111"/>
            <w:sz w:val="22"/>
            <w:szCs w:val="22"/>
            <w:b w:val="0"/>
            <w:bCs w:val="0"/>
            <w:i w:val="0"/>
            <w:iCs w:val="0"/>
          </w:rPr>
          <w:t>بلباني ، محمّد بن بدرالدين - 1083 ه-</w:t>
        </w:r>
        <w:r>
          <w:tab/>
        </w:r>
        <w:r>
          <w:fldChar w:fldCharType="begin"/>
        </w:r>
        <w:r>
          <w:instrText xml:space="preserve">PAGEREF 2004 \h</w:instrText>
        </w:r>
        <w:r>
          <w:fldChar w:fldCharType="end"/>
        </w:r>
      </w:hyperlink>
    </w:p>
    <w:p>
      <w:pPr>
        <w:tabs>
          <w:tab w:val="right" w:leader="dot" w:pos="9062"/>
        </w:tabs>
        <w:ind w:left="220"/>
      </w:pPr>
      <w:hyperlink w:anchor="_Toc2005" w:history="1">
        <w:r>
          <w:rPr>
            <w:rFonts w:ascii="IRNazanin" w:hAnsi="IRNazanin" w:eastAsia="IRNazanin" w:cs="IRNazanin"/>
            <w:color w:val="111111"/>
            <w:sz w:val="22"/>
            <w:szCs w:val="22"/>
            <w:b w:val="0"/>
            <w:bCs w:val="0"/>
            <w:i w:val="0"/>
            <w:iCs w:val="0"/>
          </w:rPr>
          <w:t>بلبل زاده، علي بن مصطفی قرن 11 ه-</w:t>
        </w:r>
        <w:r>
          <w:tab/>
        </w:r>
        <w:r>
          <w:fldChar w:fldCharType="begin"/>
        </w:r>
        <w:r>
          <w:instrText xml:space="preserve">PAGEREF 2005 \h</w:instrText>
        </w:r>
        <w:r>
          <w:fldChar w:fldCharType="end"/>
        </w:r>
      </w:hyperlink>
    </w:p>
    <w:p>
      <w:pPr>
        <w:tabs>
          <w:tab w:val="right" w:leader="dot" w:pos="9062"/>
        </w:tabs>
        <w:ind w:left="220"/>
      </w:pPr>
      <w:hyperlink w:anchor="_Toc2006" w:history="1">
        <w:r>
          <w:rPr>
            <w:rFonts w:ascii="IRNazanin" w:hAnsi="IRNazanin" w:eastAsia="IRNazanin" w:cs="IRNazanin"/>
            <w:color w:val="111111"/>
            <w:sz w:val="22"/>
            <w:szCs w:val="22"/>
            <w:b w:val="0"/>
            <w:bCs w:val="0"/>
            <w:i w:val="0"/>
            <w:iCs w:val="0"/>
          </w:rPr>
          <w:t>بلتساني باكستاني محسن علي، قرن 14 ه-</w:t>
        </w:r>
        <w:r>
          <w:tab/>
        </w:r>
        <w:r>
          <w:fldChar w:fldCharType="begin"/>
        </w:r>
        <w:r>
          <w:instrText xml:space="preserve">PAGEREF 2006 \h</w:instrText>
        </w:r>
        <w:r>
          <w:fldChar w:fldCharType="end"/>
        </w:r>
      </w:hyperlink>
    </w:p>
    <w:p>
      <w:pPr>
        <w:tabs>
          <w:tab w:val="right" w:leader="dot" w:pos="9062"/>
        </w:tabs>
        <w:ind w:left="220"/>
      </w:pPr>
      <w:hyperlink w:anchor="_Toc2007" w:history="1">
        <w:r>
          <w:rPr>
            <w:rFonts w:ascii="IRNazanin" w:hAnsi="IRNazanin" w:eastAsia="IRNazanin" w:cs="IRNazanin"/>
            <w:color w:val="111111"/>
            <w:sz w:val="22"/>
            <w:szCs w:val="22"/>
            <w:b w:val="0"/>
            <w:bCs w:val="0"/>
            <w:i w:val="0"/>
            <w:iCs w:val="0"/>
          </w:rPr>
          <w:t>بلخي ، ابراهيم</w:t>
        </w:r>
        <w:r>
          <w:tab/>
        </w:r>
        <w:r>
          <w:fldChar w:fldCharType="begin"/>
        </w:r>
        <w:r>
          <w:instrText xml:space="preserve">PAGEREF 2007 \h</w:instrText>
        </w:r>
        <w:r>
          <w:fldChar w:fldCharType="end"/>
        </w:r>
      </w:hyperlink>
    </w:p>
    <w:p>
      <w:pPr>
        <w:tabs>
          <w:tab w:val="right" w:leader="dot" w:pos="9062"/>
        </w:tabs>
        <w:ind w:left="220"/>
      </w:pPr>
      <w:hyperlink w:anchor="_Toc2008" w:history="1">
        <w:r>
          <w:rPr>
            <w:rFonts w:ascii="IRNazanin" w:hAnsi="IRNazanin" w:eastAsia="IRNazanin" w:cs="IRNazanin"/>
            <w:color w:val="111111"/>
            <w:sz w:val="22"/>
            <w:szCs w:val="22"/>
            <w:b w:val="0"/>
            <w:bCs w:val="0"/>
            <w:i w:val="0"/>
            <w:iCs w:val="0"/>
          </w:rPr>
          <w:t>بلخي ، شهريار بن محمّد یار قرن 12 ه-</w:t>
        </w:r>
        <w:r>
          <w:tab/>
        </w:r>
        <w:r>
          <w:fldChar w:fldCharType="begin"/>
        </w:r>
        <w:r>
          <w:instrText xml:space="preserve">PAGEREF 2008 \h</w:instrText>
        </w:r>
        <w:r>
          <w:fldChar w:fldCharType="end"/>
        </w:r>
      </w:hyperlink>
    </w:p>
    <w:p>
      <w:pPr>
        <w:tabs>
          <w:tab w:val="right" w:leader="dot" w:pos="9062"/>
        </w:tabs>
        <w:ind w:left="220"/>
      </w:pPr>
      <w:hyperlink w:anchor="_Toc2009" w:history="1">
        <w:r>
          <w:rPr>
            <w:rFonts w:ascii="IRNazanin" w:hAnsi="IRNazanin" w:eastAsia="IRNazanin" w:cs="IRNazanin"/>
            <w:color w:val="111111"/>
            <w:sz w:val="22"/>
            <w:szCs w:val="22"/>
            <w:b w:val="0"/>
            <w:bCs w:val="0"/>
            <w:i w:val="0"/>
            <w:iCs w:val="0"/>
          </w:rPr>
          <w:t>بلخي ، عبدالله بن محمّد قلي</w:t>
        </w:r>
        <w:r>
          <w:tab/>
        </w:r>
        <w:r>
          <w:fldChar w:fldCharType="begin"/>
        </w:r>
        <w:r>
          <w:instrText xml:space="preserve">PAGEREF 2009 \h</w:instrText>
        </w:r>
        <w:r>
          <w:fldChar w:fldCharType="end"/>
        </w:r>
      </w:hyperlink>
    </w:p>
    <w:p>
      <w:pPr>
        <w:tabs>
          <w:tab w:val="right" w:leader="dot" w:pos="9062"/>
        </w:tabs>
        <w:ind w:left="220"/>
      </w:pPr>
      <w:hyperlink w:anchor="_Toc2010" w:history="1">
        <w:r>
          <w:rPr>
            <w:rFonts w:ascii="IRNazanin" w:hAnsi="IRNazanin" w:eastAsia="IRNazanin" w:cs="IRNazanin"/>
            <w:color w:val="111111"/>
            <w:sz w:val="22"/>
            <w:szCs w:val="22"/>
            <w:b w:val="0"/>
            <w:bCs w:val="0"/>
            <w:i w:val="0"/>
            <w:iCs w:val="0"/>
          </w:rPr>
          <w:t>بلخي ، علي بن احمد قرن 4 ه-</w:t>
        </w:r>
        <w:r>
          <w:tab/>
        </w:r>
        <w:r>
          <w:fldChar w:fldCharType="begin"/>
        </w:r>
        <w:r>
          <w:instrText xml:space="preserve">PAGEREF 2010 \h</w:instrText>
        </w:r>
        <w:r>
          <w:fldChar w:fldCharType="end"/>
        </w:r>
      </w:hyperlink>
    </w:p>
    <w:p>
      <w:pPr>
        <w:tabs>
          <w:tab w:val="right" w:leader="dot" w:pos="9062"/>
        </w:tabs>
        <w:ind w:left="220"/>
      </w:pPr>
      <w:hyperlink w:anchor="_Toc2011" w:history="1">
        <w:r>
          <w:rPr>
            <w:rFonts w:ascii="IRNazanin" w:hAnsi="IRNazanin" w:eastAsia="IRNazanin" w:cs="IRNazanin"/>
            <w:color w:val="111111"/>
            <w:sz w:val="22"/>
            <w:szCs w:val="22"/>
            <w:b w:val="0"/>
            <w:bCs w:val="0"/>
            <w:i w:val="0"/>
            <w:iCs w:val="0"/>
          </w:rPr>
          <w:t>بلخي ، محمّد بن عثمان - 830 ه-</w:t>
        </w:r>
        <w:r>
          <w:tab/>
        </w:r>
        <w:r>
          <w:fldChar w:fldCharType="begin"/>
        </w:r>
        <w:r>
          <w:instrText xml:space="preserve">PAGEREF 2011 \h</w:instrText>
        </w:r>
        <w:r>
          <w:fldChar w:fldCharType="end"/>
        </w:r>
      </w:hyperlink>
    </w:p>
    <w:p>
      <w:pPr>
        <w:tabs>
          <w:tab w:val="right" w:leader="dot" w:pos="9062"/>
        </w:tabs>
        <w:ind w:left="220"/>
      </w:pPr>
      <w:hyperlink w:anchor="_Toc2012" w:history="1">
        <w:r>
          <w:rPr>
            <w:rFonts w:ascii="IRNazanin" w:hAnsi="IRNazanin" w:eastAsia="IRNazanin" w:cs="IRNazanin"/>
            <w:color w:val="111111"/>
            <w:sz w:val="22"/>
            <w:szCs w:val="22"/>
            <w:b w:val="0"/>
            <w:bCs w:val="0"/>
            <w:i w:val="0"/>
            <w:iCs w:val="0"/>
          </w:rPr>
          <w:t>بلخي ، يعقوب بن علي، - 931 ه-</w:t>
        </w:r>
        <w:r>
          <w:tab/>
        </w:r>
        <w:r>
          <w:fldChar w:fldCharType="begin"/>
        </w:r>
        <w:r>
          <w:instrText xml:space="preserve">PAGEREF 2012 \h</w:instrText>
        </w:r>
        <w:r>
          <w:fldChar w:fldCharType="end"/>
        </w:r>
      </w:hyperlink>
    </w:p>
    <w:p>
      <w:pPr>
        <w:tabs>
          <w:tab w:val="right" w:leader="dot" w:pos="9062"/>
        </w:tabs>
        <w:ind w:left="220"/>
      </w:pPr>
      <w:hyperlink w:anchor="_Toc2013" w:history="1">
        <w:r>
          <w:rPr>
            <w:rFonts w:ascii="IRNazanin" w:hAnsi="IRNazanin" w:eastAsia="IRNazanin" w:cs="IRNazanin"/>
            <w:color w:val="111111"/>
            <w:sz w:val="22"/>
            <w:szCs w:val="22"/>
            <w:b w:val="0"/>
            <w:bCs w:val="0"/>
            <w:i w:val="0"/>
            <w:iCs w:val="0"/>
          </w:rPr>
          <w:t>بلطي ، عثمان بن عيسى - 599 ه-</w:t>
        </w:r>
        <w:r>
          <w:tab/>
        </w:r>
        <w:r>
          <w:fldChar w:fldCharType="begin"/>
        </w:r>
        <w:r>
          <w:instrText xml:space="preserve">PAGEREF 2013 \h</w:instrText>
        </w:r>
        <w:r>
          <w:fldChar w:fldCharType="end"/>
        </w:r>
      </w:hyperlink>
    </w:p>
    <w:p>
      <w:pPr>
        <w:tabs>
          <w:tab w:val="right" w:leader="dot" w:pos="9062"/>
        </w:tabs>
        <w:ind w:left="220"/>
      </w:pPr>
      <w:hyperlink w:anchor="_Toc2014" w:history="1">
        <w:r>
          <w:rPr>
            <w:rFonts w:ascii="IRNazanin" w:hAnsi="IRNazanin" w:eastAsia="IRNazanin" w:cs="IRNazanin"/>
            <w:color w:val="111111"/>
            <w:sz w:val="22"/>
            <w:szCs w:val="22"/>
            <w:b w:val="0"/>
            <w:bCs w:val="0"/>
            <w:i w:val="0"/>
            <w:iCs w:val="0"/>
          </w:rPr>
          <w:t>بلغرادي، خليل باشا</w:t>
        </w:r>
        <w:r>
          <w:tab/>
        </w:r>
        <w:r>
          <w:fldChar w:fldCharType="begin"/>
        </w:r>
        <w:r>
          <w:instrText xml:space="preserve">PAGEREF 2014 \h</w:instrText>
        </w:r>
        <w:r>
          <w:fldChar w:fldCharType="end"/>
        </w:r>
      </w:hyperlink>
    </w:p>
    <w:p>
      <w:pPr>
        <w:tabs>
          <w:tab w:val="right" w:leader="dot" w:pos="9062"/>
        </w:tabs>
        <w:ind w:left="220"/>
      </w:pPr>
      <w:hyperlink w:anchor="_Toc2015" w:history="1">
        <w:r>
          <w:rPr>
            <w:rFonts w:ascii="IRNazanin" w:hAnsi="IRNazanin" w:eastAsia="IRNazanin" w:cs="IRNazanin"/>
            <w:color w:val="111111"/>
            <w:sz w:val="22"/>
            <w:szCs w:val="22"/>
            <w:b w:val="0"/>
            <w:bCs w:val="0"/>
            <w:i w:val="0"/>
            <w:iCs w:val="0"/>
          </w:rPr>
          <w:t>بلقاوي ، عبدالرحمن بن حجي</w:t>
        </w:r>
        <w:r>
          <w:tab/>
        </w:r>
        <w:r>
          <w:fldChar w:fldCharType="begin"/>
        </w:r>
        <w:r>
          <w:instrText xml:space="preserve">PAGEREF 2015 \h</w:instrText>
        </w:r>
        <w:r>
          <w:fldChar w:fldCharType="end"/>
        </w:r>
      </w:hyperlink>
    </w:p>
    <w:p>
      <w:pPr>
        <w:tabs>
          <w:tab w:val="right" w:leader="dot" w:pos="9062"/>
        </w:tabs>
        <w:ind w:left="220"/>
      </w:pPr>
      <w:hyperlink w:anchor="_Toc2016" w:history="1">
        <w:r>
          <w:rPr>
            <w:rFonts w:ascii="IRNazanin" w:hAnsi="IRNazanin" w:eastAsia="IRNazanin" w:cs="IRNazanin"/>
            <w:color w:val="111111"/>
            <w:sz w:val="22"/>
            <w:szCs w:val="22"/>
            <w:b w:val="0"/>
            <w:bCs w:val="0"/>
            <w:i w:val="0"/>
            <w:iCs w:val="0"/>
          </w:rPr>
          <w:t>بلقيني ، سراج الدين</w:t>
        </w:r>
        <w:r>
          <w:tab/>
        </w:r>
        <w:r>
          <w:fldChar w:fldCharType="begin"/>
        </w:r>
        <w:r>
          <w:instrText xml:space="preserve">PAGEREF 2016 \h</w:instrText>
        </w:r>
        <w:r>
          <w:fldChar w:fldCharType="end"/>
        </w:r>
      </w:hyperlink>
    </w:p>
    <w:p>
      <w:pPr>
        <w:tabs>
          <w:tab w:val="right" w:leader="dot" w:pos="9062"/>
        </w:tabs>
        <w:ind w:left="220"/>
      </w:pPr>
      <w:hyperlink w:anchor="_Toc2017" w:history="1">
        <w:r>
          <w:rPr>
            <w:rFonts w:ascii="IRNazanin" w:hAnsi="IRNazanin" w:eastAsia="IRNazanin" w:cs="IRNazanin"/>
            <w:color w:val="111111"/>
            <w:sz w:val="22"/>
            <w:szCs w:val="22"/>
            <w:b w:val="0"/>
            <w:bCs w:val="0"/>
            <w:i w:val="0"/>
            <w:iCs w:val="0"/>
          </w:rPr>
          <w:t>بلقيني ، صالح بن عمر، - 868 ه-</w:t>
        </w:r>
        <w:r>
          <w:tab/>
        </w:r>
        <w:r>
          <w:fldChar w:fldCharType="begin"/>
        </w:r>
        <w:r>
          <w:instrText xml:space="preserve">PAGEREF 2017 \h</w:instrText>
        </w:r>
        <w:r>
          <w:fldChar w:fldCharType="end"/>
        </w:r>
      </w:hyperlink>
    </w:p>
    <w:p>
      <w:pPr>
        <w:tabs>
          <w:tab w:val="right" w:leader="dot" w:pos="9062"/>
        </w:tabs>
        <w:ind w:left="220"/>
      </w:pPr>
      <w:hyperlink w:anchor="_Toc2018" w:history="1">
        <w:r>
          <w:rPr>
            <w:rFonts w:ascii="IRNazanin" w:hAnsi="IRNazanin" w:eastAsia="IRNazanin" w:cs="IRNazanin"/>
            <w:color w:val="111111"/>
            <w:sz w:val="22"/>
            <w:szCs w:val="22"/>
            <w:b w:val="0"/>
            <w:bCs w:val="0"/>
            <w:i w:val="0"/>
            <w:iCs w:val="0"/>
          </w:rPr>
          <w:t>بلقيني، عبدالرحمن بن عمر 763-824ه-</w:t>
        </w:r>
        <w:r>
          <w:tab/>
        </w:r>
        <w:r>
          <w:fldChar w:fldCharType="begin"/>
        </w:r>
        <w:r>
          <w:instrText xml:space="preserve">PAGEREF 2018 \h</w:instrText>
        </w:r>
        <w:r>
          <w:fldChar w:fldCharType="end"/>
        </w:r>
      </w:hyperlink>
    </w:p>
    <w:p>
      <w:pPr>
        <w:tabs>
          <w:tab w:val="right" w:leader="dot" w:pos="9062"/>
        </w:tabs>
        <w:ind w:left="220"/>
      </w:pPr>
      <w:hyperlink w:anchor="_Toc2019" w:history="1">
        <w:r>
          <w:rPr>
            <w:rFonts w:ascii="IRNazanin" w:hAnsi="IRNazanin" w:eastAsia="IRNazanin" w:cs="IRNazanin"/>
            <w:color w:val="111111"/>
            <w:sz w:val="22"/>
            <w:szCs w:val="22"/>
            <w:b w:val="0"/>
            <w:bCs w:val="0"/>
            <w:i w:val="0"/>
            <w:iCs w:val="0"/>
          </w:rPr>
          <w:t>بلقيني ، عمر بن رسلان 724 - 805ه-</w:t>
        </w:r>
        <w:r>
          <w:tab/>
        </w:r>
        <w:r>
          <w:fldChar w:fldCharType="begin"/>
        </w:r>
        <w:r>
          <w:instrText xml:space="preserve">PAGEREF 2019 \h</w:instrText>
        </w:r>
        <w:r>
          <w:fldChar w:fldCharType="end"/>
        </w:r>
      </w:hyperlink>
    </w:p>
    <w:p>
      <w:pPr>
        <w:tabs>
          <w:tab w:val="right" w:leader="dot" w:pos="9062"/>
        </w:tabs>
        <w:ind w:left="220"/>
      </w:pPr>
      <w:hyperlink w:anchor="_Toc2020" w:history="1">
        <w:r>
          <w:rPr>
            <w:rFonts w:ascii="IRNazanin" w:hAnsi="IRNazanin" w:eastAsia="IRNazanin" w:cs="IRNazanin"/>
            <w:color w:val="111111"/>
            <w:sz w:val="22"/>
            <w:szCs w:val="22"/>
            <w:b w:val="0"/>
            <w:bCs w:val="0"/>
            <w:i w:val="0"/>
            <w:iCs w:val="0"/>
          </w:rPr>
          <w:t>بلوي ، محمّد بن احمد - 559 ه-</w:t>
        </w:r>
        <w:r>
          <w:tab/>
        </w:r>
        <w:r>
          <w:fldChar w:fldCharType="begin"/>
        </w:r>
        <w:r>
          <w:instrText xml:space="preserve">PAGEREF 2020 \h</w:instrText>
        </w:r>
        <w:r>
          <w:fldChar w:fldCharType="end"/>
        </w:r>
      </w:hyperlink>
    </w:p>
    <w:p>
      <w:pPr>
        <w:tabs>
          <w:tab w:val="right" w:leader="dot" w:pos="9062"/>
        </w:tabs>
        <w:ind w:left="220"/>
      </w:pPr>
      <w:hyperlink w:anchor="_Toc2021" w:history="1">
        <w:r>
          <w:rPr>
            <w:rFonts w:ascii="IRNazanin" w:hAnsi="IRNazanin" w:eastAsia="IRNazanin" w:cs="IRNazanin"/>
            <w:color w:val="111111"/>
            <w:sz w:val="22"/>
            <w:szCs w:val="22"/>
            <w:b w:val="0"/>
            <w:bCs w:val="0"/>
            <w:i w:val="0"/>
            <w:iCs w:val="0"/>
          </w:rPr>
          <w:t>بلوي ، مصطفى بن علي</w:t>
        </w:r>
        <w:r>
          <w:tab/>
        </w:r>
        <w:r>
          <w:fldChar w:fldCharType="begin"/>
        </w:r>
        <w:r>
          <w:instrText xml:space="preserve">PAGEREF 2021 \h</w:instrText>
        </w:r>
        <w:r>
          <w:fldChar w:fldCharType="end"/>
        </w:r>
      </w:hyperlink>
    </w:p>
    <w:p>
      <w:pPr>
        <w:tabs>
          <w:tab w:val="right" w:leader="dot" w:pos="9062"/>
        </w:tabs>
        <w:ind w:left="220"/>
      </w:pPr>
      <w:hyperlink w:anchor="_Toc2022" w:history="1">
        <w:r>
          <w:rPr>
            <w:rFonts w:ascii="IRNazanin" w:hAnsi="IRNazanin" w:eastAsia="IRNazanin" w:cs="IRNazanin"/>
            <w:color w:val="111111"/>
            <w:sz w:val="22"/>
            <w:szCs w:val="22"/>
            <w:b w:val="0"/>
            <w:bCs w:val="0"/>
            <w:i w:val="0"/>
            <w:iCs w:val="0"/>
          </w:rPr>
          <w:t>بلوي ، يوسف بن محمّد، 529 - 604 ه- بن علي</w:t>
        </w:r>
        <w:r>
          <w:tab/>
        </w:r>
        <w:r>
          <w:fldChar w:fldCharType="begin"/>
        </w:r>
        <w:r>
          <w:instrText xml:space="preserve">PAGEREF 2022 \h</w:instrText>
        </w:r>
        <w:r>
          <w:fldChar w:fldCharType="end"/>
        </w:r>
      </w:hyperlink>
    </w:p>
    <w:p>
      <w:pPr>
        <w:tabs>
          <w:tab w:val="right" w:leader="dot" w:pos="9062"/>
        </w:tabs>
        <w:ind w:left="220"/>
      </w:pPr>
      <w:hyperlink w:anchor="_Toc2023" w:history="1">
        <w:r>
          <w:rPr>
            <w:rFonts w:ascii="IRNazanin" w:hAnsi="IRNazanin" w:eastAsia="IRNazanin" w:cs="IRNazanin"/>
            <w:color w:val="111111"/>
            <w:sz w:val="22"/>
            <w:szCs w:val="22"/>
            <w:b w:val="0"/>
            <w:bCs w:val="0"/>
            <w:i w:val="0"/>
            <w:iCs w:val="0"/>
          </w:rPr>
          <w:t>بلياني ، عبدالله بن مسعود - 683 ؟ ه-</w:t>
        </w:r>
        <w:r>
          <w:tab/>
        </w:r>
        <w:r>
          <w:fldChar w:fldCharType="begin"/>
        </w:r>
        <w:r>
          <w:instrText xml:space="preserve">PAGEREF 2023 \h</w:instrText>
        </w:r>
        <w:r>
          <w:fldChar w:fldCharType="end"/>
        </w:r>
      </w:hyperlink>
    </w:p>
    <w:p>
      <w:pPr>
        <w:tabs>
          <w:tab w:val="right" w:leader="dot" w:pos="9062"/>
        </w:tabs>
        <w:ind w:left="220"/>
      </w:pPr>
      <w:hyperlink w:anchor="_Toc2024" w:history="1">
        <w:r>
          <w:rPr>
            <w:rFonts w:ascii="IRNazanin" w:hAnsi="IRNazanin" w:eastAsia="IRNazanin" w:cs="IRNazanin"/>
            <w:color w:val="111111"/>
            <w:sz w:val="22"/>
            <w:szCs w:val="22"/>
            <w:b w:val="0"/>
            <w:bCs w:val="0"/>
            <w:i w:val="0"/>
            <w:iCs w:val="0"/>
          </w:rPr>
          <w:t>بناء، احمد بن محمّد - 1117 ه-</w:t>
        </w:r>
        <w:r>
          <w:tab/>
        </w:r>
        <w:r>
          <w:fldChar w:fldCharType="begin"/>
        </w:r>
        <w:r>
          <w:instrText xml:space="preserve">PAGEREF 2024 \h</w:instrText>
        </w:r>
        <w:r>
          <w:fldChar w:fldCharType="end"/>
        </w:r>
      </w:hyperlink>
    </w:p>
    <w:p>
      <w:pPr>
        <w:tabs>
          <w:tab w:val="right" w:leader="dot" w:pos="9062"/>
        </w:tabs>
        <w:ind w:left="220"/>
      </w:pPr>
      <w:hyperlink w:anchor="_Toc2025" w:history="1">
        <w:r>
          <w:rPr>
            <w:rFonts w:ascii="IRNazanin" w:hAnsi="IRNazanin" w:eastAsia="IRNazanin" w:cs="IRNazanin"/>
            <w:color w:val="111111"/>
            <w:sz w:val="22"/>
            <w:szCs w:val="22"/>
            <w:b w:val="0"/>
            <w:bCs w:val="0"/>
            <w:i w:val="0"/>
            <w:iCs w:val="0"/>
          </w:rPr>
          <w:t>بناني ، محمّد بن عبد السلام - 1163 ه-</w:t>
        </w:r>
        <w:r>
          <w:tab/>
        </w:r>
        <w:r>
          <w:fldChar w:fldCharType="begin"/>
        </w:r>
        <w:r>
          <w:instrText xml:space="preserve">PAGEREF 2025 \h</w:instrText>
        </w:r>
        <w:r>
          <w:fldChar w:fldCharType="end"/>
        </w:r>
      </w:hyperlink>
    </w:p>
    <w:p>
      <w:pPr>
        <w:tabs>
          <w:tab w:val="right" w:leader="dot" w:pos="9062"/>
        </w:tabs>
        <w:ind w:left="220"/>
      </w:pPr>
      <w:hyperlink w:anchor="_Toc2026" w:history="1">
        <w:r>
          <w:rPr>
            <w:rFonts w:ascii="IRNazanin" w:hAnsi="IRNazanin" w:eastAsia="IRNazanin" w:cs="IRNazanin"/>
            <w:color w:val="111111"/>
            <w:sz w:val="22"/>
            <w:szCs w:val="22"/>
            <w:b w:val="0"/>
            <w:bCs w:val="0"/>
            <w:i w:val="0"/>
            <w:iCs w:val="0"/>
          </w:rPr>
          <w:t>بناني، مصطفى بن محمّد - 1237 ه-</w:t>
        </w:r>
        <w:r>
          <w:tab/>
        </w:r>
        <w:r>
          <w:fldChar w:fldCharType="begin"/>
        </w:r>
        <w:r>
          <w:instrText xml:space="preserve">PAGEREF 2026 \h</w:instrText>
        </w:r>
        <w:r>
          <w:fldChar w:fldCharType="end"/>
        </w:r>
      </w:hyperlink>
    </w:p>
    <w:p>
      <w:pPr>
        <w:tabs>
          <w:tab w:val="right" w:leader="dot" w:pos="9062"/>
        </w:tabs>
        <w:ind w:left="220"/>
      </w:pPr>
      <w:hyperlink w:anchor="_Toc2027" w:history="1">
        <w:r>
          <w:rPr>
            <w:rFonts w:ascii="IRNazanin" w:hAnsi="IRNazanin" w:eastAsia="IRNazanin" w:cs="IRNazanin"/>
            <w:color w:val="111111"/>
            <w:sz w:val="22"/>
            <w:szCs w:val="22"/>
            <w:b w:val="0"/>
            <w:bCs w:val="0"/>
            <w:i w:val="0"/>
            <w:iCs w:val="0"/>
          </w:rPr>
          <w:t>بنجويني ، عبد الرحمن، 1828 - 1900 م</w:t>
        </w:r>
        <w:r>
          <w:tab/>
        </w:r>
        <w:r>
          <w:fldChar w:fldCharType="begin"/>
        </w:r>
        <w:r>
          <w:instrText xml:space="preserve">PAGEREF 2027 \h</w:instrText>
        </w:r>
        <w:r>
          <w:fldChar w:fldCharType="end"/>
        </w:r>
      </w:hyperlink>
    </w:p>
    <w:p>
      <w:pPr>
        <w:tabs>
          <w:tab w:val="right" w:leader="dot" w:pos="9062"/>
        </w:tabs>
        <w:ind w:left="220"/>
      </w:pPr>
      <w:hyperlink w:anchor="_Toc2028" w:history="1">
        <w:r>
          <w:rPr>
            <w:rFonts w:ascii="IRNazanin" w:hAnsi="IRNazanin" w:eastAsia="IRNazanin" w:cs="IRNazanin"/>
            <w:color w:val="111111"/>
            <w:sz w:val="22"/>
            <w:szCs w:val="22"/>
            <w:b w:val="0"/>
            <w:bCs w:val="0"/>
            <w:i w:val="0"/>
            <w:iCs w:val="0"/>
          </w:rPr>
          <w:t>بنداري ، فتح بن علي، 586 - 634 ه-</w:t>
        </w:r>
        <w:r>
          <w:tab/>
        </w:r>
        <w:r>
          <w:fldChar w:fldCharType="begin"/>
        </w:r>
        <w:r>
          <w:instrText xml:space="preserve">PAGEREF 2028 \h</w:instrText>
        </w:r>
        <w:r>
          <w:fldChar w:fldCharType="end"/>
        </w:r>
      </w:hyperlink>
    </w:p>
    <w:p>
      <w:pPr>
        <w:tabs>
          <w:tab w:val="right" w:leader="dot" w:pos="9062"/>
        </w:tabs>
        <w:ind w:left="220"/>
      </w:pPr>
      <w:hyperlink w:anchor="_Toc2029" w:history="1">
        <w:r>
          <w:rPr>
            <w:rFonts w:ascii="IRNazanin" w:hAnsi="IRNazanin" w:eastAsia="IRNazanin" w:cs="IRNazanin"/>
            <w:color w:val="111111"/>
            <w:sz w:val="22"/>
            <w:szCs w:val="22"/>
            <w:b w:val="0"/>
            <w:bCs w:val="0"/>
            <w:i w:val="0"/>
            <w:iCs w:val="0"/>
          </w:rPr>
          <w:t>بندري، عمر بن سليمان</w:t>
        </w:r>
        <w:r>
          <w:tab/>
        </w:r>
        <w:r>
          <w:fldChar w:fldCharType="begin"/>
        </w:r>
        <w:r>
          <w:instrText xml:space="preserve">PAGEREF 2029 \h</w:instrText>
        </w:r>
        <w:r>
          <w:fldChar w:fldCharType="end"/>
        </w:r>
      </w:hyperlink>
    </w:p>
    <w:p>
      <w:pPr>
        <w:tabs>
          <w:tab w:val="right" w:leader="dot" w:pos="9062"/>
        </w:tabs>
        <w:ind w:left="220"/>
      </w:pPr>
      <w:hyperlink w:anchor="_Toc2030" w:history="1">
        <w:r>
          <w:rPr>
            <w:rFonts w:ascii="IRNazanin" w:hAnsi="IRNazanin" w:eastAsia="IRNazanin" w:cs="IRNazanin"/>
            <w:color w:val="111111"/>
            <w:sz w:val="22"/>
            <w:szCs w:val="22"/>
            <w:b w:val="0"/>
            <w:bCs w:val="0"/>
            <w:i w:val="0"/>
            <w:iCs w:val="0"/>
          </w:rPr>
          <w:t>بندنيجي ، علي بن ابراهيم - 1186 ه-</w:t>
        </w:r>
        <w:r>
          <w:tab/>
        </w:r>
        <w:r>
          <w:fldChar w:fldCharType="begin"/>
        </w:r>
        <w:r>
          <w:instrText xml:space="preserve">PAGEREF 2030 \h</w:instrText>
        </w:r>
        <w:r>
          <w:fldChar w:fldCharType="end"/>
        </w:r>
      </w:hyperlink>
    </w:p>
    <w:p>
      <w:pPr>
        <w:tabs>
          <w:tab w:val="right" w:leader="dot" w:pos="9062"/>
        </w:tabs>
        <w:ind w:left="220"/>
      </w:pPr>
      <w:hyperlink w:anchor="_Toc2031" w:history="1">
        <w:r>
          <w:rPr>
            <w:rFonts w:ascii="IRNazanin" w:hAnsi="IRNazanin" w:eastAsia="IRNazanin" w:cs="IRNazanin"/>
            <w:color w:val="111111"/>
            <w:sz w:val="22"/>
            <w:szCs w:val="22"/>
            <w:b w:val="0"/>
            <w:bCs w:val="0"/>
            <w:i w:val="0"/>
            <w:iCs w:val="0"/>
          </w:rPr>
          <w:t>بندنيجي ، عيسى بن موسى - 1283 ه-</w:t>
        </w:r>
        <w:r>
          <w:tab/>
        </w:r>
        <w:r>
          <w:fldChar w:fldCharType="begin"/>
        </w:r>
        <w:r>
          <w:instrText xml:space="preserve">PAGEREF 2031 \h</w:instrText>
        </w:r>
        <w:r>
          <w:fldChar w:fldCharType="end"/>
        </w:r>
      </w:hyperlink>
    </w:p>
    <w:p>
      <w:pPr>
        <w:tabs>
          <w:tab w:val="right" w:leader="dot" w:pos="9062"/>
        </w:tabs>
        <w:ind w:left="220"/>
      </w:pPr>
      <w:hyperlink w:anchor="_Toc2032" w:history="1">
        <w:r>
          <w:rPr>
            <w:rFonts w:ascii="IRNazanin" w:hAnsi="IRNazanin" w:eastAsia="IRNazanin" w:cs="IRNazanin"/>
            <w:color w:val="111111"/>
            <w:sz w:val="22"/>
            <w:szCs w:val="22"/>
            <w:b w:val="0"/>
            <w:bCs w:val="0"/>
            <w:i w:val="0"/>
            <w:iCs w:val="0"/>
          </w:rPr>
          <w:t>بندهي ، علي بن بديع ، قرن 7 ه-</w:t>
        </w:r>
        <w:r>
          <w:tab/>
        </w:r>
        <w:r>
          <w:fldChar w:fldCharType="begin"/>
        </w:r>
        <w:r>
          <w:instrText xml:space="preserve">PAGEREF 2032 \h</w:instrText>
        </w:r>
        <w:r>
          <w:fldChar w:fldCharType="end"/>
        </w:r>
      </w:hyperlink>
    </w:p>
    <w:p>
      <w:pPr>
        <w:tabs>
          <w:tab w:val="right" w:leader="dot" w:pos="9062"/>
        </w:tabs>
        <w:ind w:left="220"/>
      </w:pPr>
      <w:hyperlink w:anchor="_Toc2033" w:history="1">
        <w:r>
          <w:rPr>
            <w:rFonts w:ascii="IRNazanin" w:hAnsi="IRNazanin" w:eastAsia="IRNazanin" w:cs="IRNazanin"/>
            <w:color w:val="111111"/>
            <w:sz w:val="22"/>
            <w:szCs w:val="22"/>
            <w:b w:val="0"/>
            <w:bCs w:val="0"/>
            <w:i w:val="0"/>
            <w:iCs w:val="0"/>
          </w:rPr>
          <w:t>بنكجري آغاسي ، محمّد آغا</w:t>
        </w:r>
        <w:r>
          <w:tab/>
        </w:r>
        <w:r>
          <w:fldChar w:fldCharType="begin"/>
        </w:r>
        <w:r>
          <w:instrText xml:space="preserve">PAGEREF 2033 \h</w:instrText>
        </w:r>
        <w:r>
          <w:fldChar w:fldCharType="end"/>
        </w:r>
      </w:hyperlink>
    </w:p>
    <w:p>
      <w:pPr>
        <w:tabs>
          <w:tab w:val="right" w:leader="dot" w:pos="9062"/>
        </w:tabs>
        <w:ind w:left="220"/>
      </w:pPr>
      <w:hyperlink w:anchor="_Toc2034" w:history="1">
        <w:r>
          <w:rPr>
            <w:rFonts w:ascii="IRNazanin" w:hAnsi="IRNazanin" w:eastAsia="IRNazanin" w:cs="IRNazanin"/>
            <w:color w:val="111111"/>
            <w:sz w:val="22"/>
            <w:szCs w:val="22"/>
            <w:b w:val="0"/>
            <w:bCs w:val="0"/>
            <w:i w:val="0"/>
            <w:iCs w:val="0"/>
          </w:rPr>
          <w:t>بن ملامهدي ، عبدالكريم</w:t>
        </w:r>
        <w:r>
          <w:tab/>
        </w:r>
        <w:r>
          <w:fldChar w:fldCharType="begin"/>
        </w:r>
        <w:r>
          <w:instrText xml:space="preserve">PAGEREF 2034 \h</w:instrText>
        </w:r>
        <w:r>
          <w:fldChar w:fldCharType="end"/>
        </w:r>
      </w:hyperlink>
    </w:p>
    <w:p>
      <w:pPr>
        <w:tabs>
          <w:tab w:val="right" w:leader="dot" w:pos="9062"/>
        </w:tabs>
        <w:ind w:left="220"/>
      </w:pPr>
      <w:hyperlink w:anchor="_Toc2035" w:history="1">
        <w:r>
          <w:rPr>
            <w:rFonts w:ascii="IRNazanin" w:hAnsi="IRNazanin" w:eastAsia="IRNazanin" w:cs="IRNazanin"/>
            <w:color w:val="111111"/>
            <w:sz w:val="22"/>
            <w:szCs w:val="22"/>
            <w:b w:val="0"/>
            <w:bCs w:val="0"/>
            <w:i w:val="0"/>
            <w:iCs w:val="0"/>
          </w:rPr>
          <w:t>بن ناصر الدين ثاني ، علي</w:t>
        </w:r>
        <w:r>
          <w:tab/>
        </w:r>
        <w:r>
          <w:fldChar w:fldCharType="begin"/>
        </w:r>
        <w:r>
          <w:instrText xml:space="preserve">PAGEREF 2035 \h</w:instrText>
        </w:r>
        <w:r>
          <w:fldChar w:fldCharType="end"/>
        </w:r>
      </w:hyperlink>
    </w:p>
    <w:p>
      <w:pPr>
        <w:tabs>
          <w:tab w:val="right" w:leader="dot" w:pos="9062"/>
        </w:tabs>
        <w:ind w:left="220"/>
      </w:pPr>
      <w:hyperlink w:anchor="_Toc2036" w:history="1">
        <w:r>
          <w:rPr>
            <w:rFonts w:ascii="IRNazanin" w:hAnsi="IRNazanin" w:eastAsia="IRNazanin" w:cs="IRNazanin"/>
            <w:color w:val="111111"/>
            <w:sz w:val="22"/>
            <w:szCs w:val="22"/>
            <w:b w:val="0"/>
            <w:bCs w:val="0"/>
            <w:i w:val="0"/>
            <w:iCs w:val="0"/>
          </w:rPr>
          <w:t>بنهاوي مالكي ، محمّد، قرن 11 ه-</w:t>
        </w:r>
        <w:r>
          <w:tab/>
        </w:r>
        <w:r>
          <w:fldChar w:fldCharType="begin"/>
        </w:r>
        <w:r>
          <w:instrText xml:space="preserve">PAGEREF 2036 \h</w:instrText>
        </w:r>
        <w:r>
          <w:fldChar w:fldCharType="end"/>
        </w:r>
      </w:hyperlink>
    </w:p>
    <w:p>
      <w:pPr>
        <w:tabs>
          <w:tab w:val="right" w:leader="dot" w:pos="9062"/>
        </w:tabs>
        <w:ind w:left="220"/>
      </w:pPr>
      <w:hyperlink w:anchor="_Toc2037" w:history="1">
        <w:r>
          <w:rPr>
            <w:rFonts w:ascii="IRNazanin" w:hAnsi="IRNazanin" w:eastAsia="IRNazanin" w:cs="IRNazanin"/>
            <w:color w:val="111111"/>
            <w:sz w:val="22"/>
            <w:szCs w:val="22"/>
            <w:b w:val="0"/>
            <w:bCs w:val="0"/>
            <w:i w:val="0"/>
            <w:iCs w:val="0"/>
          </w:rPr>
          <w:t>عبد الوهاب بن يوسف</w:t>
        </w:r>
        <w:r>
          <w:tab/>
        </w:r>
        <w:r>
          <w:fldChar w:fldCharType="begin"/>
        </w:r>
        <w:r>
          <w:instrText xml:space="preserve">PAGEREF 2037 \h</w:instrText>
        </w:r>
        <w:r>
          <w:fldChar w:fldCharType="end"/>
        </w:r>
      </w:hyperlink>
    </w:p>
    <w:p>
      <w:pPr>
        <w:tabs>
          <w:tab w:val="right" w:leader="dot" w:pos="9062"/>
        </w:tabs>
        <w:ind w:left="220"/>
      </w:pPr>
      <w:hyperlink w:anchor="_Toc2038" w:history="1">
        <w:r>
          <w:rPr>
            <w:rFonts w:ascii="IRNazanin" w:hAnsi="IRNazanin" w:eastAsia="IRNazanin" w:cs="IRNazanin"/>
            <w:color w:val="111111"/>
            <w:sz w:val="22"/>
            <w:szCs w:val="22"/>
            <w:b w:val="0"/>
            <w:bCs w:val="0"/>
            <w:i w:val="0"/>
            <w:iCs w:val="0"/>
          </w:rPr>
          <w:t>بهاء الدين بن يوسف</w:t>
        </w:r>
        <w:r>
          <w:tab/>
        </w:r>
        <w:r>
          <w:fldChar w:fldCharType="begin"/>
        </w:r>
        <w:r>
          <w:instrText xml:space="preserve">PAGEREF 2038 \h</w:instrText>
        </w:r>
        <w:r>
          <w:fldChar w:fldCharType="end"/>
        </w:r>
      </w:hyperlink>
    </w:p>
    <w:p>
      <w:pPr>
        <w:tabs>
          <w:tab w:val="right" w:leader="dot" w:pos="9062"/>
        </w:tabs>
        <w:ind w:left="220"/>
      </w:pPr>
      <w:hyperlink w:anchor="_Toc2039" w:history="1">
        <w:r>
          <w:rPr>
            <w:rFonts w:ascii="IRNazanin" w:hAnsi="IRNazanin" w:eastAsia="IRNazanin" w:cs="IRNazanin"/>
            <w:color w:val="111111"/>
            <w:sz w:val="22"/>
            <w:szCs w:val="22"/>
            <w:b w:val="0"/>
            <w:bCs w:val="0"/>
            <w:i w:val="0"/>
            <w:iCs w:val="0"/>
          </w:rPr>
          <w:t>بهاء الدین زاده، محمّد بن بهاء الدين 952 ه-</w:t>
        </w:r>
        <w:r>
          <w:tab/>
        </w:r>
        <w:r>
          <w:fldChar w:fldCharType="begin"/>
        </w:r>
        <w:r>
          <w:instrText xml:space="preserve">PAGEREF 2039 \h</w:instrText>
        </w:r>
        <w:r>
          <w:fldChar w:fldCharType="end"/>
        </w:r>
      </w:hyperlink>
    </w:p>
    <w:p>
      <w:pPr>
        <w:tabs>
          <w:tab w:val="right" w:leader="dot" w:pos="9062"/>
        </w:tabs>
        <w:ind w:left="220"/>
      </w:pPr>
      <w:hyperlink w:anchor="_Toc2040" w:history="1">
        <w:r>
          <w:rPr>
            <w:rFonts w:ascii="IRNazanin" w:hAnsi="IRNazanin" w:eastAsia="IRNazanin" w:cs="IRNazanin"/>
            <w:color w:val="111111"/>
            <w:sz w:val="22"/>
            <w:szCs w:val="22"/>
            <w:b w:val="0"/>
            <w:bCs w:val="0"/>
            <w:i w:val="0"/>
            <w:iCs w:val="0"/>
          </w:rPr>
          <w:t>بهاء الدين ، محمّد بن حاجي</w:t>
        </w:r>
        <w:r>
          <w:tab/>
        </w:r>
        <w:r>
          <w:fldChar w:fldCharType="begin"/>
        </w:r>
        <w:r>
          <w:instrText xml:space="preserve">PAGEREF 2040 \h</w:instrText>
        </w:r>
        <w:r>
          <w:fldChar w:fldCharType="end"/>
        </w:r>
      </w:hyperlink>
    </w:p>
    <w:p>
      <w:pPr>
        <w:tabs>
          <w:tab w:val="right" w:leader="dot" w:pos="9062"/>
        </w:tabs>
        <w:ind w:left="220"/>
      </w:pPr>
      <w:hyperlink w:anchor="_Toc2041" w:history="1">
        <w:r>
          <w:rPr>
            <w:rFonts w:ascii="IRNazanin" w:hAnsi="IRNazanin" w:eastAsia="IRNazanin" w:cs="IRNazanin"/>
            <w:color w:val="111111"/>
            <w:sz w:val="22"/>
            <w:szCs w:val="22"/>
            <w:b w:val="0"/>
            <w:bCs w:val="0"/>
            <w:i w:val="0"/>
            <w:iCs w:val="0"/>
          </w:rPr>
          <w:t>بهاء الله ، حسينعلي بن ميرزا بزرگ 1233 -1309 ه-</w:t>
        </w:r>
        <w:r>
          <w:tab/>
        </w:r>
        <w:r>
          <w:fldChar w:fldCharType="begin"/>
        </w:r>
        <w:r>
          <w:instrText xml:space="preserve">PAGEREF 2041 \h</w:instrText>
        </w:r>
        <w:r>
          <w:fldChar w:fldCharType="end"/>
        </w:r>
      </w:hyperlink>
    </w:p>
    <w:p>
      <w:pPr>
        <w:tabs>
          <w:tab w:val="right" w:leader="dot" w:pos="9062"/>
        </w:tabs>
        <w:ind w:left="220"/>
      </w:pPr>
      <w:hyperlink w:anchor="_Toc2042" w:history="1">
        <w:r>
          <w:rPr>
            <w:rFonts w:ascii="IRNazanin" w:hAnsi="IRNazanin" w:eastAsia="IRNazanin" w:cs="IRNazanin"/>
            <w:color w:val="111111"/>
            <w:sz w:val="22"/>
            <w:szCs w:val="22"/>
            <w:b w:val="0"/>
            <w:bCs w:val="0"/>
            <w:i w:val="0"/>
            <w:iCs w:val="0"/>
          </w:rPr>
          <w:t>بهاء زهير، زهير بن محمّد، 581 - 656 ه-</w:t>
        </w:r>
        <w:r>
          <w:tab/>
        </w:r>
        <w:r>
          <w:fldChar w:fldCharType="begin"/>
        </w:r>
        <w:r>
          <w:instrText xml:space="preserve">PAGEREF 2042 \h</w:instrText>
        </w:r>
        <w:r>
          <w:fldChar w:fldCharType="end"/>
        </w:r>
      </w:hyperlink>
    </w:p>
    <w:p>
      <w:pPr>
        <w:tabs>
          <w:tab w:val="right" w:leader="dot" w:pos="9062"/>
        </w:tabs>
        <w:ind w:left="220"/>
      </w:pPr>
      <w:hyperlink w:anchor="_Toc2043" w:history="1">
        <w:r>
          <w:rPr>
            <w:rFonts w:ascii="IRNazanin" w:hAnsi="IRNazanin" w:eastAsia="IRNazanin" w:cs="IRNazanin"/>
            <w:color w:val="111111"/>
            <w:sz w:val="22"/>
            <w:szCs w:val="22"/>
            <w:b w:val="0"/>
            <w:bCs w:val="0"/>
            <w:i w:val="0"/>
            <w:iCs w:val="0"/>
          </w:rPr>
          <w:t>بهائي ، عبد اللطيف بن بهاء الدين</w:t>
        </w:r>
        <w:r>
          <w:tab/>
        </w:r>
        <w:r>
          <w:fldChar w:fldCharType="begin"/>
        </w:r>
        <w:r>
          <w:instrText xml:space="preserve">PAGEREF 2043 \h</w:instrText>
        </w:r>
        <w:r>
          <w:fldChar w:fldCharType="end"/>
        </w:r>
      </w:hyperlink>
    </w:p>
    <w:p>
      <w:pPr>
        <w:tabs>
          <w:tab w:val="right" w:leader="dot" w:pos="9062"/>
        </w:tabs>
        <w:ind w:left="220"/>
      </w:pPr>
      <w:hyperlink w:anchor="_Toc2044" w:history="1">
        <w:r>
          <w:rPr>
            <w:rFonts w:ascii="IRNazanin" w:hAnsi="IRNazanin" w:eastAsia="IRNazanin" w:cs="IRNazanin"/>
            <w:color w:val="111111"/>
            <w:sz w:val="22"/>
            <w:szCs w:val="22"/>
            <w:b w:val="0"/>
            <w:bCs w:val="0"/>
            <w:i w:val="0"/>
            <w:iCs w:val="0"/>
          </w:rPr>
          <w:t>بهائي ، علي بن عبدالله - 815 ه-</w:t>
        </w:r>
        <w:r>
          <w:tab/>
        </w:r>
        <w:r>
          <w:fldChar w:fldCharType="begin"/>
        </w:r>
        <w:r>
          <w:instrText xml:space="preserve">PAGEREF 2044 \h</w:instrText>
        </w:r>
        <w:r>
          <w:fldChar w:fldCharType="end"/>
        </w:r>
      </w:hyperlink>
    </w:p>
    <w:p>
      <w:pPr>
        <w:tabs>
          <w:tab w:val="right" w:leader="dot" w:pos="9062"/>
        </w:tabs>
        <w:ind w:left="220"/>
      </w:pPr>
      <w:hyperlink w:anchor="_Toc2045" w:history="1">
        <w:r>
          <w:rPr>
            <w:rFonts w:ascii="IRNazanin" w:hAnsi="IRNazanin" w:eastAsia="IRNazanin" w:cs="IRNazanin"/>
            <w:color w:val="111111"/>
            <w:sz w:val="22"/>
            <w:szCs w:val="22"/>
            <w:b w:val="0"/>
            <w:bCs w:val="0"/>
            <w:i w:val="0"/>
            <w:iCs w:val="0"/>
          </w:rPr>
          <w:t>بهاري ، غلام يحيى بن نجم الدين -</w:t>
        </w:r>
        <w:r>
          <w:tab/>
        </w:r>
        <w:r>
          <w:fldChar w:fldCharType="begin"/>
        </w:r>
        <w:r>
          <w:instrText xml:space="preserve">PAGEREF 2045 \h</w:instrText>
        </w:r>
        <w:r>
          <w:fldChar w:fldCharType="end"/>
        </w:r>
      </w:hyperlink>
    </w:p>
    <w:p>
      <w:pPr>
        <w:tabs>
          <w:tab w:val="right" w:leader="dot" w:pos="9062"/>
        </w:tabs>
        <w:ind w:left="220"/>
      </w:pPr>
      <w:hyperlink w:anchor="_Toc2046" w:history="1">
        <w:r>
          <w:rPr>
            <w:rFonts w:ascii="IRNazanin" w:hAnsi="IRNazanin" w:eastAsia="IRNazanin" w:cs="IRNazanin"/>
            <w:color w:val="111111"/>
            <w:sz w:val="22"/>
            <w:szCs w:val="22"/>
            <w:b w:val="0"/>
            <w:bCs w:val="0"/>
            <w:i w:val="0"/>
            <w:iCs w:val="0"/>
          </w:rPr>
          <w:t>بهاري ، محب ، محب الله بن عبدالشكور</w:t>
        </w:r>
        <w:r>
          <w:tab/>
        </w:r>
        <w:r>
          <w:fldChar w:fldCharType="begin"/>
        </w:r>
        <w:r>
          <w:instrText xml:space="preserve">PAGEREF 2046 \h</w:instrText>
        </w:r>
        <w:r>
          <w:fldChar w:fldCharType="end"/>
        </w:r>
      </w:hyperlink>
    </w:p>
    <w:p>
      <w:pPr>
        <w:tabs>
          <w:tab w:val="right" w:leader="dot" w:pos="9062"/>
        </w:tabs>
        <w:ind w:left="220"/>
      </w:pPr>
      <w:hyperlink w:anchor="_Toc2047" w:history="1">
        <w:r>
          <w:rPr>
            <w:rFonts w:ascii="IRNazanin" w:hAnsi="IRNazanin" w:eastAsia="IRNazanin" w:cs="IRNazanin"/>
            <w:color w:val="111111"/>
            <w:sz w:val="22"/>
            <w:szCs w:val="22"/>
            <w:b w:val="0"/>
            <w:bCs w:val="0"/>
            <w:i w:val="0"/>
            <w:iCs w:val="0"/>
          </w:rPr>
          <w:t>بهاري همداني ، محمّد باقر بن محمّد</w:t>
        </w:r>
        <w:r>
          <w:tab/>
        </w:r>
        <w:r>
          <w:fldChar w:fldCharType="begin"/>
        </w:r>
        <w:r>
          <w:instrText xml:space="preserve">PAGEREF 2047 \h</w:instrText>
        </w:r>
        <w:r>
          <w:fldChar w:fldCharType="end"/>
        </w:r>
      </w:hyperlink>
    </w:p>
    <w:p>
      <w:pPr>
        <w:tabs>
          <w:tab w:val="right" w:leader="dot" w:pos="9062"/>
        </w:tabs>
        <w:ind w:left="220"/>
      </w:pPr>
      <w:hyperlink w:anchor="_Toc2048" w:history="1">
        <w:r>
          <w:rPr>
            <w:rFonts w:ascii="IRNazanin" w:hAnsi="IRNazanin" w:eastAsia="IRNazanin" w:cs="IRNazanin"/>
            <w:color w:val="111111"/>
            <w:sz w:val="22"/>
            <w:szCs w:val="22"/>
            <w:b w:val="0"/>
            <w:bCs w:val="0"/>
            <w:i w:val="0"/>
            <w:iCs w:val="0"/>
          </w:rPr>
          <w:t>بهبهاني ، احمد بن محمّد علي، 1191 -</w:t>
        </w:r>
        <w:r>
          <w:tab/>
        </w:r>
        <w:r>
          <w:fldChar w:fldCharType="begin"/>
        </w:r>
        <w:r>
          <w:instrText xml:space="preserve">PAGEREF 2048 \h</w:instrText>
        </w:r>
        <w:r>
          <w:fldChar w:fldCharType="end"/>
        </w:r>
      </w:hyperlink>
    </w:p>
    <w:p>
      <w:pPr>
        <w:tabs>
          <w:tab w:val="right" w:leader="dot" w:pos="9062"/>
        </w:tabs>
        <w:ind w:left="220"/>
      </w:pPr>
      <w:hyperlink w:anchor="_Toc2049" w:history="1">
        <w:r>
          <w:rPr>
            <w:rFonts w:ascii="IRNazanin" w:hAnsi="IRNazanin" w:eastAsia="IRNazanin" w:cs="IRNazanin"/>
            <w:color w:val="111111"/>
            <w:sz w:val="22"/>
            <w:szCs w:val="22"/>
            <w:b w:val="0"/>
            <w:bCs w:val="0"/>
            <w:i w:val="0"/>
            <w:iCs w:val="0"/>
          </w:rPr>
          <w:t>بهبهاني اصفهاني ، محمّد باقر - 1144 ه-</w:t>
        </w:r>
        <w:r>
          <w:tab/>
        </w:r>
        <w:r>
          <w:fldChar w:fldCharType="begin"/>
        </w:r>
        <w:r>
          <w:instrText xml:space="preserve">PAGEREF 2049 \h</w:instrText>
        </w:r>
        <w:r>
          <w:fldChar w:fldCharType="end"/>
        </w:r>
      </w:hyperlink>
    </w:p>
    <w:p>
      <w:pPr>
        <w:tabs>
          <w:tab w:val="right" w:leader="dot" w:pos="9062"/>
        </w:tabs>
        <w:ind w:left="220"/>
      </w:pPr>
      <w:hyperlink w:anchor="_Toc2050" w:history="1">
        <w:r>
          <w:rPr>
            <w:rFonts w:ascii="IRNazanin" w:hAnsi="IRNazanin" w:eastAsia="IRNazanin" w:cs="IRNazanin"/>
            <w:color w:val="111111"/>
            <w:sz w:val="22"/>
            <w:szCs w:val="22"/>
            <w:b w:val="0"/>
            <w:bCs w:val="0"/>
            <w:i w:val="0"/>
            <w:iCs w:val="0"/>
          </w:rPr>
          <w:t>بهبهاني حائري، محمّد جعفر بن محمّد</w:t>
        </w:r>
        <w:r>
          <w:tab/>
        </w:r>
        <w:r>
          <w:fldChar w:fldCharType="begin"/>
        </w:r>
        <w:r>
          <w:instrText xml:space="preserve">PAGEREF 2050 \h</w:instrText>
        </w:r>
        <w:r>
          <w:fldChar w:fldCharType="end"/>
        </w:r>
      </w:hyperlink>
    </w:p>
    <w:p>
      <w:pPr>
        <w:tabs>
          <w:tab w:val="right" w:leader="dot" w:pos="9062"/>
        </w:tabs>
        <w:ind w:left="220"/>
      </w:pPr>
      <w:hyperlink w:anchor="_Toc2051" w:history="1">
        <w:r>
          <w:rPr>
            <w:rFonts w:ascii="IRNazanin" w:hAnsi="IRNazanin" w:eastAsia="IRNazanin" w:cs="IRNazanin"/>
            <w:color w:val="111111"/>
            <w:sz w:val="22"/>
            <w:szCs w:val="22"/>
            <w:b w:val="0"/>
            <w:bCs w:val="0"/>
            <w:i w:val="0"/>
            <w:iCs w:val="0"/>
          </w:rPr>
          <w:t>بهبهاني ، حسين بن علي</w:t>
        </w:r>
        <w:r>
          <w:tab/>
        </w:r>
        <w:r>
          <w:fldChar w:fldCharType="begin"/>
        </w:r>
        <w:r>
          <w:instrText xml:space="preserve">PAGEREF 2051 \h</w:instrText>
        </w:r>
        <w:r>
          <w:fldChar w:fldCharType="end"/>
        </w:r>
      </w:hyperlink>
    </w:p>
    <w:p>
      <w:pPr>
        <w:tabs>
          <w:tab w:val="right" w:leader="dot" w:pos="9062"/>
        </w:tabs>
        <w:ind w:left="220"/>
      </w:pPr>
      <w:hyperlink w:anchor="_Toc2052" w:history="1">
        <w:r>
          <w:rPr>
            <w:rFonts w:ascii="IRNazanin" w:hAnsi="IRNazanin" w:eastAsia="IRNazanin" w:cs="IRNazanin"/>
            <w:color w:val="111111"/>
            <w:sz w:val="22"/>
            <w:szCs w:val="22"/>
            <w:b w:val="0"/>
            <w:bCs w:val="0"/>
            <w:i w:val="0"/>
            <w:iCs w:val="0"/>
          </w:rPr>
          <w:t>بهبهاني ، شمس الدين بن جمال الدين</w:t>
        </w:r>
        <w:r>
          <w:tab/>
        </w:r>
        <w:r>
          <w:fldChar w:fldCharType="begin"/>
        </w:r>
        <w:r>
          <w:instrText xml:space="preserve">PAGEREF 2052 \h</w:instrText>
        </w:r>
        <w:r>
          <w:fldChar w:fldCharType="end"/>
        </w:r>
      </w:hyperlink>
    </w:p>
    <w:p>
      <w:pPr>
        <w:tabs>
          <w:tab w:val="right" w:leader="dot" w:pos="9062"/>
        </w:tabs>
        <w:ind w:left="220"/>
      </w:pPr>
      <w:hyperlink w:anchor="_Toc2053" w:history="1">
        <w:r>
          <w:rPr>
            <w:rFonts w:ascii="IRNazanin" w:hAnsi="IRNazanin" w:eastAsia="IRNazanin" w:cs="IRNazanin"/>
            <w:color w:val="111111"/>
            <w:sz w:val="22"/>
            <w:szCs w:val="22"/>
            <w:b w:val="0"/>
            <w:bCs w:val="0"/>
            <w:i w:val="0"/>
            <w:iCs w:val="0"/>
          </w:rPr>
          <w:t>بهبهاني ، عبد الحسين بن محمّد باقر -</w:t>
        </w:r>
        <w:r>
          <w:tab/>
        </w:r>
        <w:r>
          <w:fldChar w:fldCharType="begin"/>
        </w:r>
        <w:r>
          <w:instrText xml:space="preserve">PAGEREF 2053 \h</w:instrText>
        </w:r>
        <w:r>
          <w:fldChar w:fldCharType="end"/>
        </w:r>
      </w:hyperlink>
    </w:p>
    <w:p>
      <w:pPr>
        <w:tabs>
          <w:tab w:val="right" w:leader="dot" w:pos="9062"/>
        </w:tabs>
        <w:ind w:left="220"/>
      </w:pPr>
      <w:hyperlink w:anchor="_Toc2054" w:history="1">
        <w:r>
          <w:rPr>
            <w:rFonts w:ascii="IRNazanin" w:hAnsi="IRNazanin" w:eastAsia="IRNazanin" w:cs="IRNazanin"/>
            <w:color w:val="111111"/>
            <w:sz w:val="22"/>
            <w:szCs w:val="22"/>
            <w:b w:val="0"/>
            <w:bCs w:val="0"/>
            <w:i w:val="0"/>
            <w:iCs w:val="0"/>
          </w:rPr>
          <w:t>بهبهاني ، عبدالله عبد الله بن محمّد - 1325 ؟ ه-</w:t>
        </w:r>
        <w:r>
          <w:tab/>
        </w:r>
        <w:r>
          <w:fldChar w:fldCharType="begin"/>
        </w:r>
        <w:r>
          <w:instrText xml:space="preserve">PAGEREF 2054 \h</w:instrText>
        </w:r>
        <w:r>
          <w:fldChar w:fldCharType="end"/>
        </w:r>
      </w:hyperlink>
    </w:p>
    <w:p>
      <w:pPr>
        <w:tabs>
          <w:tab w:val="right" w:leader="dot" w:pos="9062"/>
        </w:tabs>
        <w:ind w:left="220"/>
      </w:pPr>
      <w:hyperlink w:anchor="_Toc2055" w:history="1">
        <w:r>
          <w:rPr>
            <w:rFonts w:ascii="IRNazanin" w:hAnsi="IRNazanin" w:eastAsia="IRNazanin" w:cs="IRNazanin"/>
            <w:color w:val="111111"/>
            <w:sz w:val="22"/>
            <w:szCs w:val="22"/>
            <w:b w:val="0"/>
            <w:bCs w:val="0"/>
            <w:i w:val="0"/>
            <w:iCs w:val="0"/>
          </w:rPr>
          <w:t>بهبهاني ، علي بن قطب الدين - 1206 ه-</w:t>
        </w:r>
        <w:r>
          <w:tab/>
        </w:r>
        <w:r>
          <w:fldChar w:fldCharType="begin"/>
        </w:r>
        <w:r>
          <w:instrText xml:space="preserve">PAGEREF 2055 \h</w:instrText>
        </w:r>
        <w:r>
          <w:fldChar w:fldCharType="end"/>
        </w:r>
      </w:hyperlink>
    </w:p>
    <w:p>
      <w:pPr>
        <w:tabs>
          <w:tab w:val="right" w:leader="dot" w:pos="9062"/>
        </w:tabs>
        <w:ind w:left="220"/>
      </w:pPr>
      <w:hyperlink w:anchor="_Toc2056" w:history="1">
        <w:r>
          <w:rPr>
            <w:rFonts w:ascii="IRNazanin" w:hAnsi="IRNazanin" w:eastAsia="IRNazanin" w:cs="IRNazanin"/>
            <w:color w:val="111111"/>
            <w:sz w:val="22"/>
            <w:szCs w:val="22"/>
            <w:b w:val="0"/>
            <w:bCs w:val="0"/>
            <w:i w:val="0"/>
            <w:iCs w:val="0"/>
          </w:rPr>
          <w:t>بهبهاني ،غروي ، حسين بن اسدالله</w:t>
        </w:r>
        <w:r>
          <w:tab/>
        </w:r>
        <w:r>
          <w:fldChar w:fldCharType="begin"/>
        </w:r>
        <w:r>
          <w:instrText xml:space="preserve">PAGEREF 2056 \h</w:instrText>
        </w:r>
        <w:r>
          <w:fldChar w:fldCharType="end"/>
        </w:r>
      </w:hyperlink>
    </w:p>
    <w:p>
      <w:pPr>
        <w:tabs>
          <w:tab w:val="right" w:leader="dot" w:pos="9062"/>
        </w:tabs>
        <w:ind w:left="220"/>
      </w:pPr>
      <w:hyperlink w:anchor="_Toc2057" w:history="1">
        <w:r>
          <w:rPr>
            <w:rFonts w:ascii="IRNazanin" w:hAnsi="IRNazanin" w:eastAsia="IRNazanin" w:cs="IRNazanin"/>
            <w:color w:val="111111"/>
            <w:sz w:val="22"/>
            <w:szCs w:val="22"/>
            <w:b w:val="0"/>
            <w:bCs w:val="0"/>
            <w:i w:val="0"/>
            <w:iCs w:val="0"/>
          </w:rPr>
          <w:t>بهبهاني ، محمّد باقر بن عبدالکریم 1385 ه-</w:t>
        </w:r>
        <w:r>
          <w:tab/>
        </w:r>
        <w:r>
          <w:fldChar w:fldCharType="begin"/>
        </w:r>
        <w:r>
          <w:instrText xml:space="preserve">PAGEREF 2057 \h</w:instrText>
        </w:r>
        <w:r>
          <w:fldChar w:fldCharType="end"/>
        </w:r>
      </w:hyperlink>
    </w:p>
    <w:p>
      <w:pPr>
        <w:tabs>
          <w:tab w:val="right" w:leader="dot" w:pos="9062"/>
        </w:tabs>
        <w:ind w:left="220"/>
      </w:pPr>
      <w:hyperlink w:anchor="_Toc2058" w:history="1">
        <w:r>
          <w:rPr>
            <w:rFonts w:ascii="IRNazanin" w:hAnsi="IRNazanin" w:eastAsia="IRNazanin" w:cs="IRNazanin"/>
            <w:color w:val="111111"/>
            <w:sz w:val="22"/>
            <w:szCs w:val="22"/>
            <w:b w:val="0"/>
            <w:bCs w:val="0"/>
            <w:i w:val="0"/>
            <w:iCs w:val="0"/>
          </w:rPr>
          <w:t>بهرام شاه بن فروخ - 628 ه-</w:t>
        </w:r>
        <w:r>
          <w:tab/>
        </w:r>
        <w:r>
          <w:fldChar w:fldCharType="begin"/>
        </w:r>
        <w:r>
          <w:instrText xml:space="preserve">PAGEREF 2058 \h</w:instrText>
        </w:r>
        <w:r>
          <w:fldChar w:fldCharType="end"/>
        </w:r>
      </w:hyperlink>
    </w:p>
    <w:p>
      <w:pPr>
        <w:tabs>
          <w:tab w:val="right" w:leader="dot" w:pos="9062"/>
        </w:tabs>
        <w:ind w:left="220"/>
      </w:pPr>
      <w:hyperlink w:anchor="_Toc2059" w:history="1">
        <w:r>
          <w:rPr>
            <w:rFonts w:ascii="IRNazanin" w:hAnsi="IRNazanin" w:eastAsia="IRNazanin" w:cs="IRNazanin"/>
            <w:color w:val="111111"/>
            <w:sz w:val="22"/>
            <w:szCs w:val="22"/>
            <w:b w:val="0"/>
            <w:bCs w:val="0"/>
            <w:i w:val="0"/>
            <w:iCs w:val="0"/>
          </w:rPr>
          <w:t>بهبهاني ، محمّد جعفر بن محمّد علي</w:t>
        </w:r>
        <w:r>
          <w:tab/>
        </w:r>
        <w:r>
          <w:fldChar w:fldCharType="begin"/>
        </w:r>
        <w:r>
          <w:instrText xml:space="preserve">PAGEREF 2059 \h</w:instrText>
        </w:r>
        <w:r>
          <w:fldChar w:fldCharType="end"/>
        </w:r>
      </w:hyperlink>
    </w:p>
    <w:p>
      <w:pPr>
        <w:tabs>
          <w:tab w:val="right" w:leader="dot" w:pos="9062"/>
        </w:tabs>
        <w:ind w:left="220"/>
      </w:pPr>
      <w:hyperlink w:anchor="_Toc2060" w:history="1">
        <w:r>
          <w:rPr>
            <w:rFonts w:ascii="IRNazanin" w:hAnsi="IRNazanin" w:eastAsia="IRNazanin" w:cs="IRNazanin"/>
            <w:color w:val="111111"/>
            <w:sz w:val="22"/>
            <w:szCs w:val="22"/>
            <w:b w:val="0"/>
            <w:bCs w:val="0"/>
            <w:i w:val="0"/>
            <w:iCs w:val="0"/>
          </w:rPr>
          <w:t>بهبهاني ، محمّد زكي بن فرج</w:t>
        </w:r>
        <w:r>
          <w:tab/>
        </w:r>
        <w:r>
          <w:fldChar w:fldCharType="begin"/>
        </w:r>
        <w:r>
          <w:instrText xml:space="preserve">PAGEREF 2060 \h</w:instrText>
        </w:r>
        <w:r>
          <w:fldChar w:fldCharType="end"/>
        </w:r>
      </w:hyperlink>
    </w:p>
    <w:p>
      <w:pPr>
        <w:tabs>
          <w:tab w:val="right" w:leader="dot" w:pos="9062"/>
        </w:tabs>
        <w:ind w:left="220"/>
      </w:pPr>
      <w:hyperlink w:anchor="_Toc2061" w:history="1">
        <w:r>
          <w:rPr>
            <w:rFonts w:ascii="IRNazanin" w:hAnsi="IRNazanin" w:eastAsia="IRNazanin" w:cs="IRNazanin"/>
            <w:color w:val="111111"/>
            <w:sz w:val="22"/>
            <w:szCs w:val="22"/>
            <w:b w:val="0"/>
            <w:bCs w:val="0"/>
            <w:i w:val="0"/>
            <w:iCs w:val="0"/>
          </w:rPr>
          <w:t>بهبهاني ، محمود بن محمّد علي، 1200 -</w:t>
        </w:r>
        <w:r>
          <w:tab/>
        </w:r>
        <w:r>
          <w:fldChar w:fldCharType="begin"/>
        </w:r>
        <w:r>
          <w:instrText xml:space="preserve">PAGEREF 2061 \h</w:instrText>
        </w:r>
        <w:r>
          <w:fldChar w:fldCharType="end"/>
        </w:r>
      </w:hyperlink>
    </w:p>
    <w:p>
      <w:pPr>
        <w:tabs>
          <w:tab w:val="right" w:leader="dot" w:pos="9062"/>
        </w:tabs>
        <w:ind w:left="220"/>
      </w:pPr>
      <w:hyperlink w:anchor="_Toc2062" w:history="1">
        <w:r>
          <w:rPr>
            <w:rFonts w:ascii="IRNazanin" w:hAnsi="IRNazanin" w:eastAsia="IRNazanin" w:cs="IRNazanin"/>
            <w:color w:val="111111"/>
            <w:sz w:val="22"/>
            <w:szCs w:val="22"/>
            <w:b w:val="0"/>
            <w:bCs w:val="0"/>
            <w:i w:val="0"/>
            <w:iCs w:val="0"/>
          </w:rPr>
          <w:t>بهران ، محمّد بن يحيى 888 - 957</w:t>
        </w:r>
        <w:r>
          <w:tab/>
        </w:r>
        <w:r>
          <w:fldChar w:fldCharType="begin"/>
        </w:r>
        <w:r>
          <w:instrText xml:space="preserve">PAGEREF 2062 \h</w:instrText>
        </w:r>
        <w:r>
          <w:fldChar w:fldCharType="end"/>
        </w:r>
      </w:hyperlink>
    </w:p>
    <w:p>
      <w:pPr>
        <w:tabs>
          <w:tab w:val="right" w:leader="dot" w:pos="9062"/>
        </w:tabs>
        <w:ind w:left="220"/>
      </w:pPr>
      <w:hyperlink w:anchor="_Toc2063" w:history="1">
        <w:r>
          <w:rPr>
            <w:rFonts w:ascii="IRNazanin" w:hAnsi="IRNazanin" w:eastAsia="IRNazanin" w:cs="IRNazanin"/>
            <w:color w:val="111111"/>
            <w:sz w:val="22"/>
            <w:szCs w:val="22"/>
            <w:b w:val="0"/>
            <w:bCs w:val="0"/>
            <w:i w:val="0"/>
            <w:iCs w:val="0"/>
          </w:rPr>
          <w:t>بهشتي ، احمد بن رمضان - 797 ه-</w:t>
        </w:r>
        <w:r>
          <w:tab/>
        </w:r>
        <w:r>
          <w:fldChar w:fldCharType="begin"/>
        </w:r>
        <w:r>
          <w:instrText xml:space="preserve">PAGEREF 2063 \h</w:instrText>
        </w:r>
        <w:r>
          <w:fldChar w:fldCharType="end"/>
        </w:r>
      </w:hyperlink>
    </w:p>
    <w:p>
      <w:pPr>
        <w:tabs>
          <w:tab w:val="right" w:leader="dot" w:pos="9062"/>
        </w:tabs>
        <w:ind w:left="220"/>
      </w:pPr>
      <w:hyperlink w:anchor="_Toc2064" w:history="1">
        <w:r>
          <w:rPr>
            <w:rFonts w:ascii="IRNazanin" w:hAnsi="IRNazanin" w:eastAsia="IRNazanin" w:cs="IRNazanin"/>
            <w:color w:val="111111"/>
            <w:sz w:val="22"/>
            <w:szCs w:val="22"/>
            <w:b w:val="0"/>
            <w:bCs w:val="0"/>
            <w:i w:val="0"/>
            <w:iCs w:val="0"/>
          </w:rPr>
          <w:t>بهشتي اسفرايني ، محمّد بن احمد</w:t>
        </w:r>
        <w:r>
          <w:tab/>
        </w:r>
        <w:r>
          <w:fldChar w:fldCharType="begin"/>
        </w:r>
        <w:r>
          <w:instrText xml:space="preserve">PAGEREF 2064 \h</w:instrText>
        </w:r>
        <w:r>
          <w:fldChar w:fldCharType="end"/>
        </w:r>
      </w:hyperlink>
    </w:p>
    <w:p>
      <w:pPr>
        <w:tabs>
          <w:tab w:val="right" w:leader="dot" w:pos="9062"/>
        </w:tabs>
        <w:ind w:left="220"/>
      </w:pPr>
      <w:hyperlink w:anchor="_Toc2065" w:history="1">
        <w:r>
          <w:rPr>
            <w:rFonts w:ascii="IRNazanin" w:hAnsi="IRNazanin" w:eastAsia="IRNazanin" w:cs="IRNazanin"/>
            <w:color w:val="111111"/>
            <w:sz w:val="22"/>
            <w:szCs w:val="22"/>
            <w:b w:val="0"/>
            <w:bCs w:val="0"/>
            <w:i w:val="0"/>
            <w:iCs w:val="0"/>
          </w:rPr>
          <w:t>بهشتي رشتي ، محمّد علي بن حسين قرن 13 ه-</w:t>
        </w:r>
        <w:r>
          <w:tab/>
        </w:r>
        <w:r>
          <w:fldChar w:fldCharType="begin"/>
        </w:r>
        <w:r>
          <w:instrText xml:space="preserve">PAGEREF 2065 \h</w:instrText>
        </w:r>
        <w:r>
          <w:fldChar w:fldCharType="end"/>
        </w:r>
      </w:hyperlink>
    </w:p>
    <w:p>
      <w:pPr>
        <w:tabs>
          <w:tab w:val="right" w:leader="dot" w:pos="9062"/>
        </w:tabs>
        <w:ind w:left="220"/>
      </w:pPr>
      <w:hyperlink w:anchor="_Toc2066" w:history="1">
        <w:r>
          <w:rPr>
            <w:rFonts w:ascii="IRNazanin" w:hAnsi="IRNazanin" w:eastAsia="IRNazanin" w:cs="IRNazanin"/>
            <w:color w:val="111111"/>
            <w:sz w:val="22"/>
            <w:szCs w:val="22"/>
            <w:b w:val="0"/>
            <w:bCs w:val="0"/>
            <w:i w:val="0"/>
            <w:iCs w:val="0"/>
          </w:rPr>
          <w:t>بهشتي رمضان بن عبد المحسن، 979 ه-</w:t>
        </w:r>
        <w:r>
          <w:tab/>
        </w:r>
        <w:r>
          <w:fldChar w:fldCharType="begin"/>
        </w:r>
        <w:r>
          <w:instrText xml:space="preserve">PAGEREF 2066 \h</w:instrText>
        </w:r>
        <w:r>
          <w:fldChar w:fldCharType="end"/>
        </w:r>
      </w:hyperlink>
    </w:p>
    <w:p>
      <w:pPr>
        <w:tabs>
          <w:tab w:val="right" w:leader="dot" w:pos="9062"/>
        </w:tabs>
        <w:ind w:left="220"/>
      </w:pPr>
      <w:hyperlink w:anchor="_Toc2067" w:history="1">
        <w:r>
          <w:rPr>
            <w:rFonts w:ascii="IRNazanin" w:hAnsi="IRNazanin" w:eastAsia="IRNazanin" w:cs="IRNazanin"/>
            <w:color w:val="111111"/>
            <w:sz w:val="22"/>
            <w:szCs w:val="22"/>
            <w:b w:val="0"/>
            <w:bCs w:val="0"/>
            <w:i w:val="0"/>
            <w:iCs w:val="0"/>
          </w:rPr>
          <w:t>بهكهاري ، مظهر بن مظفر قرن 12 ه-</w:t>
        </w:r>
        <w:r>
          <w:tab/>
        </w:r>
        <w:r>
          <w:fldChar w:fldCharType="begin"/>
        </w:r>
        <w:r>
          <w:instrText xml:space="preserve">PAGEREF 2067 \h</w:instrText>
        </w:r>
        <w:r>
          <w:fldChar w:fldCharType="end"/>
        </w:r>
      </w:hyperlink>
    </w:p>
    <w:p>
      <w:pPr>
        <w:tabs>
          <w:tab w:val="right" w:leader="dot" w:pos="9062"/>
        </w:tabs>
        <w:ind w:left="220"/>
      </w:pPr>
      <w:hyperlink w:anchor="_Toc2068" w:history="1">
        <w:r>
          <w:rPr>
            <w:rFonts w:ascii="IRNazanin" w:hAnsi="IRNazanin" w:eastAsia="IRNazanin" w:cs="IRNazanin"/>
            <w:color w:val="111111"/>
            <w:sz w:val="22"/>
            <w:szCs w:val="22"/>
            <w:b w:val="0"/>
            <w:bCs w:val="0"/>
            <w:i w:val="0"/>
            <w:iCs w:val="0"/>
          </w:rPr>
          <w:t>بهلولي يماني ، جعفر بن احمد - 573 ه-</w:t>
        </w:r>
        <w:r>
          <w:tab/>
        </w:r>
        <w:r>
          <w:fldChar w:fldCharType="begin"/>
        </w:r>
        <w:r>
          <w:instrText xml:space="preserve">PAGEREF 2068 \h</w:instrText>
        </w:r>
        <w:r>
          <w:fldChar w:fldCharType="end"/>
        </w:r>
      </w:hyperlink>
    </w:p>
    <w:p>
      <w:pPr>
        <w:tabs>
          <w:tab w:val="right" w:leader="dot" w:pos="9062"/>
        </w:tabs>
        <w:ind w:left="220"/>
      </w:pPr>
      <w:hyperlink w:anchor="_Toc2069" w:history="1">
        <w:r>
          <w:rPr>
            <w:rFonts w:ascii="IRNazanin" w:hAnsi="IRNazanin" w:eastAsia="IRNazanin" w:cs="IRNazanin"/>
            <w:color w:val="111111"/>
            <w:sz w:val="22"/>
            <w:szCs w:val="22"/>
            <w:b w:val="0"/>
            <w:bCs w:val="0"/>
            <w:i w:val="0"/>
            <w:iCs w:val="0"/>
          </w:rPr>
          <w:t>بهمنیار بن مرزبان - 458 ه-</w:t>
        </w:r>
        <w:r>
          <w:tab/>
        </w:r>
        <w:r>
          <w:fldChar w:fldCharType="begin"/>
        </w:r>
        <w:r>
          <w:instrText xml:space="preserve">PAGEREF 2069 \h</w:instrText>
        </w:r>
        <w:r>
          <w:fldChar w:fldCharType="end"/>
        </w:r>
      </w:hyperlink>
    </w:p>
    <w:p>
      <w:pPr>
        <w:tabs>
          <w:tab w:val="right" w:leader="dot" w:pos="9062"/>
        </w:tabs>
        <w:ind w:left="220"/>
      </w:pPr>
      <w:hyperlink w:anchor="_Toc2070" w:history="1">
        <w:r>
          <w:rPr>
            <w:rFonts w:ascii="IRNazanin" w:hAnsi="IRNazanin" w:eastAsia="IRNazanin" w:cs="IRNazanin"/>
            <w:color w:val="111111"/>
            <w:sz w:val="22"/>
            <w:szCs w:val="22"/>
            <w:b w:val="0"/>
            <w:bCs w:val="0"/>
            <w:i w:val="0"/>
            <w:iCs w:val="0"/>
          </w:rPr>
          <w:t>بهنان آبادي ، شمس الدین شاه</w:t>
        </w:r>
        <w:r>
          <w:tab/>
        </w:r>
        <w:r>
          <w:fldChar w:fldCharType="begin"/>
        </w:r>
        <w:r>
          <w:instrText xml:space="preserve">PAGEREF 2070 \h</w:instrText>
        </w:r>
        <w:r>
          <w:fldChar w:fldCharType="end"/>
        </w:r>
      </w:hyperlink>
    </w:p>
    <w:p>
      <w:pPr>
        <w:tabs>
          <w:tab w:val="right" w:leader="dot" w:pos="9062"/>
        </w:tabs>
        <w:ind w:left="220"/>
      </w:pPr>
      <w:hyperlink w:anchor="_Toc2071" w:history="1">
        <w:r>
          <w:rPr>
            <w:rFonts w:ascii="IRNazanin" w:hAnsi="IRNazanin" w:eastAsia="IRNazanin" w:cs="IRNazanin"/>
            <w:color w:val="111111"/>
            <w:sz w:val="22"/>
            <w:szCs w:val="22"/>
            <w:b w:val="0"/>
            <w:bCs w:val="0"/>
            <w:i w:val="0"/>
            <w:iCs w:val="0"/>
          </w:rPr>
          <w:t>بهنسي، محمّد بن عبدالرحمن قرن 10 ه-</w:t>
        </w:r>
        <w:r>
          <w:tab/>
        </w:r>
        <w:r>
          <w:fldChar w:fldCharType="begin"/>
        </w:r>
        <w:r>
          <w:instrText xml:space="preserve">PAGEREF 2071 \h</w:instrText>
        </w:r>
        <w:r>
          <w:fldChar w:fldCharType="end"/>
        </w:r>
      </w:hyperlink>
    </w:p>
    <w:p>
      <w:pPr>
        <w:tabs>
          <w:tab w:val="right" w:leader="dot" w:pos="9062"/>
        </w:tabs>
        <w:ind w:left="220"/>
      </w:pPr>
      <w:hyperlink w:anchor="_Toc2072" w:history="1">
        <w:r>
          <w:rPr>
            <w:rFonts w:ascii="IRNazanin" w:hAnsi="IRNazanin" w:eastAsia="IRNazanin" w:cs="IRNazanin"/>
            <w:color w:val="111111"/>
            <w:sz w:val="22"/>
            <w:szCs w:val="22"/>
            <w:b w:val="0"/>
            <w:bCs w:val="0"/>
            <w:i w:val="0"/>
            <w:iCs w:val="0"/>
          </w:rPr>
          <w:t>بهوتي، منصور بن يونس، 1000-1051 ه-</w:t>
        </w:r>
        <w:r>
          <w:tab/>
        </w:r>
        <w:r>
          <w:fldChar w:fldCharType="begin"/>
        </w:r>
        <w:r>
          <w:instrText xml:space="preserve">PAGEREF 2072 \h</w:instrText>
        </w:r>
        <w:r>
          <w:fldChar w:fldCharType="end"/>
        </w:r>
      </w:hyperlink>
    </w:p>
    <w:p>
      <w:pPr>
        <w:tabs>
          <w:tab w:val="right" w:leader="dot" w:pos="9062"/>
        </w:tabs>
        <w:ind w:left="220"/>
      </w:pPr>
      <w:hyperlink w:anchor="_Toc2073" w:history="1">
        <w:r>
          <w:rPr>
            <w:rFonts w:ascii="IRNazanin" w:hAnsi="IRNazanin" w:eastAsia="IRNazanin" w:cs="IRNazanin"/>
            <w:color w:val="111111"/>
            <w:sz w:val="22"/>
            <w:szCs w:val="22"/>
            <w:b w:val="0"/>
            <w:bCs w:val="0"/>
            <w:i w:val="0"/>
            <w:iCs w:val="0"/>
          </w:rPr>
          <w:t>بهی، محمّد بن احمد</w:t>
        </w:r>
        <w:r>
          <w:tab/>
        </w:r>
        <w:r>
          <w:fldChar w:fldCharType="begin"/>
        </w:r>
        <w:r>
          <w:instrText xml:space="preserve">PAGEREF 2073 \h</w:instrText>
        </w:r>
        <w:r>
          <w:fldChar w:fldCharType="end"/>
        </w:r>
      </w:hyperlink>
    </w:p>
    <w:p>
      <w:pPr>
        <w:tabs>
          <w:tab w:val="right" w:leader="dot" w:pos="9062"/>
        </w:tabs>
        <w:ind w:left="220"/>
      </w:pPr>
      <w:hyperlink w:anchor="_Toc2074" w:history="1">
        <w:r>
          <w:rPr>
            <w:rFonts w:ascii="IRNazanin" w:hAnsi="IRNazanin" w:eastAsia="IRNazanin" w:cs="IRNazanin"/>
            <w:color w:val="111111"/>
            <w:sz w:val="22"/>
            <w:szCs w:val="22"/>
            <w:b w:val="0"/>
            <w:bCs w:val="0"/>
            <w:i w:val="0"/>
            <w:iCs w:val="0"/>
          </w:rPr>
          <w:t>بوري نكده وي ، محمّد بن حسن قرن</w:t>
        </w:r>
        <w:r>
          <w:tab/>
        </w:r>
        <w:r>
          <w:fldChar w:fldCharType="begin"/>
        </w:r>
        <w:r>
          <w:instrText xml:space="preserve">PAGEREF 2074 \h</w:instrText>
        </w:r>
        <w:r>
          <w:fldChar w:fldCharType="end"/>
        </w:r>
      </w:hyperlink>
    </w:p>
    <w:p>
      <w:pPr>
        <w:tabs>
          <w:tab w:val="right" w:leader="dot" w:pos="9062"/>
        </w:tabs>
        <w:ind w:left="220"/>
      </w:pPr>
      <w:hyperlink w:anchor="_Toc2075" w:history="1">
        <w:r>
          <w:rPr>
            <w:rFonts w:ascii="IRNazanin" w:hAnsi="IRNazanin" w:eastAsia="IRNazanin" w:cs="IRNazanin"/>
            <w:color w:val="111111"/>
            <w:sz w:val="22"/>
            <w:szCs w:val="22"/>
            <w:b w:val="0"/>
            <w:bCs w:val="0"/>
            <w:i w:val="0"/>
            <w:iCs w:val="0"/>
          </w:rPr>
          <w:t>بوريني حسن بن محمّد، 963 - 1024ه-</w:t>
        </w:r>
        <w:r>
          <w:tab/>
        </w:r>
        <w:r>
          <w:fldChar w:fldCharType="begin"/>
        </w:r>
        <w:r>
          <w:instrText xml:space="preserve">PAGEREF 2075 \h</w:instrText>
        </w:r>
        <w:r>
          <w:fldChar w:fldCharType="end"/>
        </w:r>
      </w:hyperlink>
    </w:p>
    <w:p>
      <w:pPr>
        <w:tabs>
          <w:tab w:val="right" w:leader="dot" w:pos="9062"/>
        </w:tabs>
        <w:ind w:left="220"/>
      </w:pPr>
      <w:hyperlink w:anchor="_Toc2076" w:history="1">
        <w:r>
          <w:rPr>
            <w:rFonts w:ascii="IRNazanin" w:hAnsi="IRNazanin" w:eastAsia="IRNazanin" w:cs="IRNazanin"/>
            <w:color w:val="111111"/>
            <w:sz w:val="22"/>
            <w:szCs w:val="22"/>
            <w:b w:val="0"/>
            <w:bCs w:val="0"/>
            <w:i w:val="0"/>
            <w:iCs w:val="0"/>
          </w:rPr>
          <w:t>بوز بناو يسوعي ، هرمان</w:t>
        </w:r>
        <w:r>
          <w:tab/>
        </w:r>
        <w:r>
          <w:fldChar w:fldCharType="begin"/>
        </w:r>
        <w:r>
          <w:instrText xml:space="preserve">PAGEREF 2076 \h</w:instrText>
        </w:r>
        <w:r>
          <w:fldChar w:fldCharType="end"/>
        </w:r>
      </w:hyperlink>
    </w:p>
    <w:p>
      <w:pPr>
        <w:tabs>
          <w:tab w:val="right" w:leader="dot" w:pos="9062"/>
        </w:tabs>
        <w:ind w:left="220"/>
      </w:pPr>
      <w:hyperlink w:anchor="_Toc2077" w:history="1">
        <w:r>
          <w:rPr>
            <w:rFonts w:ascii="IRNazanin" w:hAnsi="IRNazanin" w:eastAsia="IRNazanin" w:cs="IRNazanin"/>
            <w:color w:val="111111"/>
            <w:sz w:val="22"/>
            <w:szCs w:val="22"/>
            <w:b w:val="0"/>
            <w:bCs w:val="0"/>
            <w:i w:val="0"/>
            <w:iCs w:val="0"/>
          </w:rPr>
          <w:t>بوسنوي، حسن بن مصطفى قرن 13 ه-</w:t>
        </w:r>
        <w:r>
          <w:tab/>
        </w:r>
        <w:r>
          <w:fldChar w:fldCharType="begin"/>
        </w:r>
        <w:r>
          <w:instrText xml:space="preserve">PAGEREF 2077 \h</w:instrText>
        </w:r>
        <w:r>
          <w:fldChar w:fldCharType="end"/>
        </w:r>
      </w:hyperlink>
    </w:p>
    <w:p>
      <w:pPr>
        <w:tabs>
          <w:tab w:val="right" w:leader="dot" w:pos="9062"/>
        </w:tabs>
        <w:ind w:left="220"/>
      </w:pPr>
      <w:hyperlink w:anchor="_Toc2078" w:history="1">
        <w:r>
          <w:rPr>
            <w:rFonts w:ascii="IRNazanin" w:hAnsi="IRNazanin" w:eastAsia="IRNazanin" w:cs="IRNazanin"/>
            <w:color w:val="111111"/>
            <w:sz w:val="22"/>
            <w:szCs w:val="22"/>
            <w:b w:val="0"/>
            <w:bCs w:val="0"/>
            <w:i w:val="0"/>
            <w:iCs w:val="0"/>
          </w:rPr>
          <w:t>بوسنوي ، حسين بن نصوح - 1054 ه-</w:t>
        </w:r>
        <w:r>
          <w:tab/>
        </w:r>
        <w:r>
          <w:fldChar w:fldCharType="begin"/>
        </w:r>
        <w:r>
          <w:instrText xml:space="preserve">PAGEREF 2078 \h</w:instrText>
        </w:r>
        <w:r>
          <w:fldChar w:fldCharType="end"/>
        </w:r>
      </w:hyperlink>
    </w:p>
    <w:p>
      <w:pPr>
        <w:tabs>
          <w:tab w:val="right" w:leader="dot" w:pos="9062"/>
        </w:tabs>
        <w:ind w:left="220"/>
      </w:pPr>
      <w:hyperlink w:anchor="_Toc2079" w:history="1">
        <w:r>
          <w:rPr>
            <w:rFonts w:ascii="IRNazanin" w:hAnsi="IRNazanin" w:eastAsia="IRNazanin" w:cs="IRNazanin"/>
            <w:color w:val="111111"/>
            <w:sz w:val="22"/>
            <w:szCs w:val="22"/>
            <w:b w:val="0"/>
            <w:bCs w:val="0"/>
            <w:i w:val="0"/>
            <w:iCs w:val="0"/>
          </w:rPr>
          <w:t>بوشهري غلامحسين بن حسن قرن 14ه-</w:t>
        </w:r>
        <w:r>
          <w:tab/>
        </w:r>
        <w:r>
          <w:fldChar w:fldCharType="begin"/>
        </w:r>
        <w:r>
          <w:instrText xml:space="preserve">PAGEREF 2079 \h</w:instrText>
        </w:r>
        <w:r>
          <w:fldChar w:fldCharType="end"/>
        </w:r>
      </w:hyperlink>
    </w:p>
    <w:p>
      <w:pPr>
        <w:tabs>
          <w:tab w:val="right" w:leader="dot" w:pos="9062"/>
        </w:tabs>
        <w:ind w:left="220"/>
      </w:pPr>
      <w:hyperlink w:anchor="_Toc2080" w:history="1">
        <w:r>
          <w:rPr>
            <w:rFonts w:ascii="IRNazanin" w:hAnsi="IRNazanin" w:eastAsia="IRNazanin" w:cs="IRNazanin"/>
            <w:color w:val="111111"/>
            <w:sz w:val="22"/>
            <w:szCs w:val="22"/>
            <w:b w:val="0"/>
            <w:bCs w:val="0"/>
            <w:i w:val="0"/>
            <w:iCs w:val="0"/>
          </w:rPr>
          <w:t>بوشي ، علي بن احمد قرن 9 ه-</w:t>
        </w:r>
        <w:r>
          <w:tab/>
        </w:r>
        <w:r>
          <w:fldChar w:fldCharType="begin"/>
        </w:r>
        <w:r>
          <w:instrText xml:space="preserve">PAGEREF 2080 \h</w:instrText>
        </w:r>
        <w:r>
          <w:fldChar w:fldCharType="end"/>
        </w:r>
      </w:hyperlink>
    </w:p>
    <w:p>
      <w:pPr>
        <w:tabs>
          <w:tab w:val="right" w:leader="dot" w:pos="9062"/>
        </w:tabs>
        <w:ind w:left="220"/>
      </w:pPr>
      <w:hyperlink w:anchor="_Toc2081" w:history="1">
        <w:r>
          <w:rPr>
            <w:rFonts w:ascii="IRNazanin" w:hAnsi="IRNazanin" w:eastAsia="IRNazanin" w:cs="IRNazanin"/>
            <w:color w:val="111111"/>
            <w:sz w:val="22"/>
            <w:szCs w:val="22"/>
            <w:b w:val="0"/>
            <w:bCs w:val="0"/>
            <w:i w:val="0"/>
            <w:iCs w:val="0"/>
          </w:rPr>
          <w:t>بوصيري ، محمّد بن سعيد، 608 - 696 ه-</w:t>
        </w:r>
        <w:r>
          <w:tab/>
        </w:r>
        <w:r>
          <w:fldChar w:fldCharType="begin"/>
        </w:r>
        <w:r>
          <w:instrText xml:space="preserve">PAGEREF 2081 \h</w:instrText>
        </w:r>
        <w:r>
          <w:fldChar w:fldCharType="end"/>
        </w:r>
      </w:hyperlink>
    </w:p>
    <w:p>
      <w:pPr>
        <w:tabs>
          <w:tab w:val="right" w:leader="dot" w:pos="9062"/>
        </w:tabs>
        <w:ind w:left="220"/>
      </w:pPr>
      <w:hyperlink w:anchor="_Toc2082" w:history="1">
        <w:r>
          <w:rPr>
            <w:rFonts w:ascii="IRNazanin" w:hAnsi="IRNazanin" w:eastAsia="IRNazanin" w:cs="IRNazanin"/>
            <w:color w:val="111111"/>
            <w:sz w:val="22"/>
            <w:szCs w:val="22"/>
            <w:b w:val="0"/>
            <w:bCs w:val="0"/>
            <w:i w:val="0"/>
            <w:iCs w:val="0"/>
          </w:rPr>
          <w:t>بوصيري ، هبة الله بن علي، 506-598 ه-</w:t>
        </w:r>
        <w:r>
          <w:tab/>
        </w:r>
        <w:r>
          <w:fldChar w:fldCharType="begin"/>
        </w:r>
        <w:r>
          <w:instrText xml:space="preserve">PAGEREF 2082 \h</w:instrText>
        </w:r>
        <w:r>
          <w:fldChar w:fldCharType="end"/>
        </w:r>
      </w:hyperlink>
    </w:p>
    <w:p>
      <w:pPr>
        <w:tabs>
          <w:tab w:val="right" w:leader="dot" w:pos="9062"/>
        </w:tabs>
        <w:ind w:left="220"/>
      </w:pPr>
      <w:hyperlink w:anchor="_Toc2083" w:history="1">
        <w:r>
          <w:rPr>
            <w:rFonts w:ascii="IRNazanin" w:hAnsi="IRNazanin" w:eastAsia="IRNazanin" w:cs="IRNazanin"/>
            <w:color w:val="111111"/>
            <w:sz w:val="22"/>
            <w:szCs w:val="22"/>
            <w:b w:val="0"/>
            <w:bCs w:val="0"/>
            <w:i w:val="0"/>
            <w:iCs w:val="0"/>
          </w:rPr>
          <w:t>بولاقي ، شمس الدين بن عبدالرحمن</w:t>
        </w:r>
        <w:r>
          <w:tab/>
        </w:r>
        <w:r>
          <w:fldChar w:fldCharType="begin"/>
        </w:r>
        <w:r>
          <w:instrText xml:space="preserve">PAGEREF 2083 \h</w:instrText>
        </w:r>
        <w:r>
          <w:fldChar w:fldCharType="end"/>
        </w:r>
      </w:hyperlink>
    </w:p>
    <w:p>
      <w:pPr>
        <w:tabs>
          <w:tab w:val="right" w:leader="dot" w:pos="9062"/>
        </w:tabs>
        <w:ind w:left="220"/>
      </w:pPr>
      <w:hyperlink w:anchor="_Toc2084" w:history="1">
        <w:r>
          <w:rPr>
            <w:rFonts w:ascii="IRNazanin" w:hAnsi="IRNazanin" w:eastAsia="IRNazanin" w:cs="IRNazanin"/>
            <w:color w:val="111111"/>
            <w:sz w:val="22"/>
            <w:szCs w:val="22"/>
            <w:b w:val="0"/>
            <w:bCs w:val="0"/>
            <w:i w:val="0"/>
            <w:iCs w:val="0"/>
          </w:rPr>
          <w:t>بولاقي ، مصطفى بن رمضان - 1263</w:t>
        </w:r>
        <w:r>
          <w:tab/>
        </w:r>
        <w:r>
          <w:fldChar w:fldCharType="begin"/>
        </w:r>
        <w:r>
          <w:instrText xml:space="preserve">PAGEREF 2084 \h</w:instrText>
        </w:r>
        <w:r>
          <w:fldChar w:fldCharType="end"/>
        </w:r>
      </w:hyperlink>
    </w:p>
    <w:p>
      <w:pPr>
        <w:tabs>
          <w:tab w:val="right" w:leader="dot" w:pos="9062"/>
        </w:tabs>
        <w:ind w:left="220"/>
      </w:pPr>
      <w:hyperlink w:anchor="_Toc2085" w:history="1">
        <w:r>
          <w:rPr>
            <w:rFonts w:ascii="IRNazanin" w:hAnsi="IRNazanin" w:eastAsia="IRNazanin" w:cs="IRNazanin"/>
            <w:color w:val="111111"/>
            <w:sz w:val="22"/>
            <w:szCs w:val="22"/>
            <w:b w:val="0"/>
            <w:bCs w:val="0"/>
            <w:i w:val="0"/>
            <w:iCs w:val="0"/>
          </w:rPr>
          <w:t>بولوي ، ابراهيم بن عبدالله - 1041 ه-</w:t>
        </w:r>
        <w:r>
          <w:tab/>
        </w:r>
        <w:r>
          <w:fldChar w:fldCharType="begin"/>
        </w:r>
        <w:r>
          <w:instrText xml:space="preserve">PAGEREF 2085 \h</w:instrText>
        </w:r>
        <w:r>
          <w:fldChar w:fldCharType="end"/>
        </w:r>
      </w:hyperlink>
    </w:p>
    <w:p>
      <w:pPr>
        <w:tabs>
          <w:tab w:val="right" w:leader="dot" w:pos="9062"/>
        </w:tabs>
        <w:ind w:left="220"/>
      </w:pPr>
      <w:hyperlink w:anchor="_Toc2086" w:history="1">
        <w:r>
          <w:rPr>
            <w:rFonts w:ascii="IRNazanin" w:hAnsi="IRNazanin" w:eastAsia="IRNazanin" w:cs="IRNazanin"/>
            <w:color w:val="111111"/>
            <w:sz w:val="22"/>
            <w:szCs w:val="22"/>
            <w:b w:val="0"/>
            <w:bCs w:val="0"/>
            <w:i w:val="0"/>
            <w:iCs w:val="0"/>
          </w:rPr>
          <w:t>بوني ، احمد بن علي - 622 ه-</w:t>
        </w:r>
        <w:r>
          <w:tab/>
        </w:r>
        <w:r>
          <w:fldChar w:fldCharType="begin"/>
        </w:r>
        <w:r>
          <w:instrText xml:space="preserve">PAGEREF 2086 \h</w:instrText>
        </w:r>
        <w:r>
          <w:fldChar w:fldCharType="end"/>
        </w:r>
      </w:hyperlink>
    </w:p>
    <w:p>
      <w:pPr>
        <w:tabs>
          <w:tab w:val="right" w:leader="dot" w:pos="9062"/>
        </w:tabs>
        <w:ind w:left="220"/>
      </w:pPr>
      <w:hyperlink w:anchor="_Toc2087" w:history="1">
        <w:r>
          <w:rPr>
            <w:rFonts w:ascii="IRNazanin" w:hAnsi="IRNazanin" w:eastAsia="IRNazanin" w:cs="IRNazanin"/>
            <w:color w:val="111111"/>
            <w:sz w:val="22"/>
            <w:szCs w:val="22"/>
            <w:b w:val="0"/>
            <w:bCs w:val="0"/>
            <w:i w:val="0"/>
            <w:iCs w:val="0"/>
          </w:rPr>
          <w:t>بيابي ، محمّد بن يوسف</w:t>
        </w:r>
        <w:r>
          <w:tab/>
        </w:r>
        <w:r>
          <w:fldChar w:fldCharType="begin"/>
        </w:r>
        <w:r>
          <w:instrText xml:space="preserve">PAGEREF 2087 \h</w:instrText>
        </w:r>
        <w:r>
          <w:fldChar w:fldCharType="end"/>
        </w:r>
      </w:hyperlink>
    </w:p>
    <w:p>
      <w:pPr>
        <w:tabs>
          <w:tab w:val="right" w:leader="dot" w:pos="9062"/>
        </w:tabs>
        <w:ind w:left="220"/>
      </w:pPr>
      <w:hyperlink w:anchor="_Toc2088" w:history="1">
        <w:r>
          <w:rPr>
            <w:rFonts w:ascii="IRNazanin" w:hAnsi="IRNazanin" w:eastAsia="IRNazanin" w:cs="IRNazanin"/>
            <w:color w:val="111111"/>
            <w:sz w:val="22"/>
            <w:szCs w:val="22"/>
            <w:b w:val="0"/>
            <w:bCs w:val="0"/>
            <w:i w:val="0"/>
            <w:iCs w:val="0"/>
          </w:rPr>
          <w:t>بياري ، عبد القادر - 1320 ه-</w:t>
        </w:r>
        <w:r>
          <w:tab/>
        </w:r>
        <w:r>
          <w:fldChar w:fldCharType="begin"/>
        </w:r>
        <w:r>
          <w:instrText xml:space="preserve">PAGEREF 2088 \h</w:instrText>
        </w:r>
        <w:r>
          <w:fldChar w:fldCharType="end"/>
        </w:r>
      </w:hyperlink>
    </w:p>
    <w:p>
      <w:pPr>
        <w:tabs>
          <w:tab w:val="right" w:leader="dot" w:pos="9062"/>
        </w:tabs>
        <w:ind w:left="220"/>
      </w:pPr>
      <w:hyperlink w:anchor="_Toc2089" w:history="1">
        <w:r>
          <w:rPr>
            <w:rFonts w:ascii="IRNazanin" w:hAnsi="IRNazanin" w:eastAsia="IRNazanin" w:cs="IRNazanin"/>
            <w:color w:val="111111"/>
            <w:sz w:val="22"/>
            <w:szCs w:val="22"/>
            <w:b w:val="0"/>
            <w:bCs w:val="0"/>
            <w:i w:val="0"/>
            <w:iCs w:val="0"/>
          </w:rPr>
          <w:t>بياسي ، يوسف بن محمّد، 573 - 653 ه-</w:t>
        </w:r>
        <w:r>
          <w:tab/>
        </w:r>
        <w:r>
          <w:fldChar w:fldCharType="begin"/>
        </w:r>
        <w:r>
          <w:instrText xml:space="preserve">PAGEREF 2089 \h</w:instrText>
        </w:r>
        <w:r>
          <w:fldChar w:fldCharType="end"/>
        </w:r>
      </w:hyperlink>
    </w:p>
    <w:p>
      <w:pPr>
        <w:tabs>
          <w:tab w:val="right" w:leader="dot" w:pos="9062"/>
        </w:tabs>
        <w:ind w:left="220"/>
      </w:pPr>
      <w:hyperlink w:anchor="_Toc2090" w:history="1">
        <w:r>
          <w:rPr>
            <w:rFonts w:ascii="IRNazanin" w:hAnsi="IRNazanin" w:eastAsia="IRNazanin" w:cs="IRNazanin"/>
            <w:color w:val="111111"/>
            <w:sz w:val="22"/>
            <w:szCs w:val="22"/>
            <w:b w:val="0"/>
            <w:bCs w:val="0"/>
            <w:i w:val="0"/>
            <w:iCs w:val="0"/>
          </w:rPr>
          <w:t>بياضي ، علي بن محمّد، 791 - 877 ه-</w:t>
        </w:r>
        <w:r>
          <w:tab/>
        </w:r>
        <w:r>
          <w:fldChar w:fldCharType="begin"/>
        </w:r>
        <w:r>
          <w:instrText xml:space="preserve">PAGEREF 2090 \h</w:instrText>
        </w:r>
        <w:r>
          <w:fldChar w:fldCharType="end"/>
        </w:r>
      </w:hyperlink>
    </w:p>
    <w:p>
      <w:pPr>
        <w:tabs>
          <w:tab w:val="right" w:leader="dot" w:pos="9062"/>
        </w:tabs>
        <w:ind w:left="220"/>
      </w:pPr>
      <w:hyperlink w:anchor="_Toc2091" w:history="1">
        <w:r>
          <w:rPr>
            <w:rFonts w:ascii="IRNazanin" w:hAnsi="IRNazanin" w:eastAsia="IRNazanin" w:cs="IRNazanin"/>
            <w:color w:val="111111"/>
            <w:sz w:val="22"/>
            <w:szCs w:val="22"/>
            <w:b w:val="0"/>
            <w:bCs w:val="0"/>
            <w:i w:val="0"/>
            <w:iCs w:val="0"/>
          </w:rPr>
          <w:t>بيانوني ، عيسى بن حسن</w:t>
        </w:r>
        <w:r>
          <w:tab/>
        </w:r>
        <w:r>
          <w:fldChar w:fldCharType="begin"/>
        </w:r>
        <w:r>
          <w:instrText xml:space="preserve">PAGEREF 2091 \h</w:instrText>
        </w:r>
        <w:r>
          <w:fldChar w:fldCharType="end"/>
        </w:r>
      </w:hyperlink>
    </w:p>
    <w:p>
      <w:pPr>
        <w:tabs>
          <w:tab w:val="right" w:leader="dot" w:pos="9062"/>
        </w:tabs>
        <w:ind w:left="220"/>
      </w:pPr>
      <w:hyperlink w:anchor="_Toc2092" w:history="1">
        <w:r>
          <w:rPr>
            <w:rFonts w:ascii="IRNazanin" w:hAnsi="IRNazanin" w:eastAsia="IRNazanin" w:cs="IRNazanin"/>
            <w:color w:val="111111"/>
            <w:sz w:val="22"/>
            <w:szCs w:val="22"/>
            <w:b w:val="0"/>
            <w:bCs w:val="0"/>
            <w:i w:val="0"/>
            <w:iCs w:val="0"/>
          </w:rPr>
          <w:t>بيتماني ، حسين بن طعمه - 1175 ه-</w:t>
        </w:r>
        <w:r>
          <w:tab/>
        </w:r>
        <w:r>
          <w:fldChar w:fldCharType="begin"/>
        </w:r>
        <w:r>
          <w:instrText xml:space="preserve">PAGEREF 2092 \h</w:instrText>
        </w:r>
        <w:r>
          <w:fldChar w:fldCharType="end"/>
        </w:r>
      </w:hyperlink>
    </w:p>
    <w:p>
      <w:pPr>
        <w:tabs>
          <w:tab w:val="right" w:leader="dot" w:pos="9062"/>
        </w:tabs>
        <w:ind w:left="220"/>
      </w:pPr>
      <w:hyperlink w:anchor="_Toc2093" w:history="1">
        <w:r>
          <w:rPr>
            <w:rFonts w:ascii="IRNazanin" w:hAnsi="IRNazanin" w:eastAsia="IRNazanin" w:cs="IRNazanin"/>
            <w:color w:val="111111"/>
            <w:sz w:val="22"/>
            <w:szCs w:val="22"/>
            <w:b w:val="0"/>
            <w:bCs w:val="0"/>
            <w:i w:val="0"/>
            <w:iCs w:val="0"/>
          </w:rPr>
          <w:t>بيتوشي ، احمد بن عبدالله قرن 14 ه-</w:t>
        </w:r>
        <w:r>
          <w:tab/>
        </w:r>
        <w:r>
          <w:fldChar w:fldCharType="begin"/>
        </w:r>
        <w:r>
          <w:instrText xml:space="preserve">PAGEREF 2093 \h</w:instrText>
        </w:r>
        <w:r>
          <w:fldChar w:fldCharType="end"/>
        </w:r>
      </w:hyperlink>
    </w:p>
    <w:p>
      <w:pPr>
        <w:tabs>
          <w:tab w:val="right" w:leader="dot" w:pos="9062"/>
        </w:tabs>
        <w:ind w:left="220"/>
      </w:pPr>
      <w:hyperlink w:anchor="_Toc2094" w:history="1">
        <w:r>
          <w:rPr>
            <w:rFonts w:ascii="IRNazanin" w:hAnsi="IRNazanin" w:eastAsia="IRNazanin" w:cs="IRNazanin"/>
            <w:color w:val="111111"/>
            <w:sz w:val="22"/>
            <w:szCs w:val="22"/>
            <w:b w:val="0"/>
            <w:bCs w:val="0"/>
            <w:i w:val="0"/>
            <w:iCs w:val="0"/>
          </w:rPr>
          <w:t>بيتوشي كردي ، عبدالله بن محمّد، 1161 -</w:t>
        </w:r>
        <w:r>
          <w:tab/>
        </w:r>
        <w:r>
          <w:fldChar w:fldCharType="begin"/>
        </w:r>
        <w:r>
          <w:instrText xml:space="preserve">PAGEREF 2094 \h</w:instrText>
        </w:r>
        <w:r>
          <w:fldChar w:fldCharType="end"/>
        </w:r>
      </w:hyperlink>
    </w:p>
    <w:p>
      <w:pPr>
        <w:tabs>
          <w:tab w:val="right" w:leader="dot" w:pos="9062"/>
        </w:tabs>
        <w:ind w:left="220"/>
      </w:pPr>
      <w:hyperlink w:anchor="_Toc2095" w:history="1">
        <w:r>
          <w:rPr>
            <w:rFonts w:ascii="IRNazanin" w:hAnsi="IRNazanin" w:eastAsia="IRNazanin" w:cs="IRNazanin"/>
            <w:color w:val="111111"/>
            <w:sz w:val="22"/>
            <w:szCs w:val="22"/>
            <w:b w:val="0"/>
            <w:bCs w:val="0"/>
            <w:i w:val="0"/>
            <w:iCs w:val="0"/>
          </w:rPr>
          <w:t>بيتي سقاني ، جعفر بن محمّد، 1110 -</w:t>
        </w:r>
        <w:r>
          <w:tab/>
        </w:r>
        <w:r>
          <w:fldChar w:fldCharType="begin"/>
        </w:r>
        <w:r>
          <w:instrText xml:space="preserve">PAGEREF 2095 \h</w:instrText>
        </w:r>
        <w:r>
          <w:fldChar w:fldCharType="end"/>
        </w:r>
      </w:hyperlink>
    </w:p>
    <w:p>
      <w:pPr>
        <w:tabs>
          <w:tab w:val="right" w:leader="dot" w:pos="9062"/>
        </w:tabs>
        <w:ind w:left="220"/>
      </w:pPr>
      <w:hyperlink w:anchor="_Toc2096" w:history="1">
        <w:r>
          <w:rPr>
            <w:rFonts w:ascii="IRNazanin" w:hAnsi="IRNazanin" w:eastAsia="IRNazanin" w:cs="IRNazanin"/>
            <w:color w:val="111111"/>
            <w:sz w:val="22"/>
            <w:szCs w:val="22"/>
            <w:b w:val="0"/>
            <w:bCs w:val="0"/>
            <w:i w:val="0"/>
            <w:iCs w:val="0"/>
          </w:rPr>
          <w:t>بيدآبادي ، محمّد بن محمّد رفیع</w:t>
        </w:r>
        <w:r>
          <w:tab/>
        </w:r>
        <w:r>
          <w:fldChar w:fldCharType="begin"/>
        </w:r>
        <w:r>
          <w:instrText xml:space="preserve">PAGEREF 2096 \h</w:instrText>
        </w:r>
        <w:r>
          <w:fldChar w:fldCharType="end"/>
        </w:r>
      </w:hyperlink>
    </w:p>
    <w:p>
      <w:pPr>
        <w:tabs>
          <w:tab w:val="right" w:leader="dot" w:pos="9062"/>
        </w:tabs>
        <w:ind w:left="220"/>
      </w:pPr>
      <w:hyperlink w:anchor="_Toc2097" w:history="1">
        <w:r>
          <w:rPr>
            <w:rFonts w:ascii="IRNazanin" w:hAnsi="IRNazanin" w:eastAsia="IRNazanin" w:cs="IRNazanin"/>
            <w:color w:val="111111"/>
            <w:sz w:val="22"/>
            <w:szCs w:val="22"/>
            <w:b w:val="0"/>
            <w:bCs w:val="0"/>
            <w:i w:val="0"/>
            <w:iCs w:val="0"/>
          </w:rPr>
          <w:t>بيدگلي كاشاني ، عبد العظيم بن حسين</w:t>
        </w:r>
        <w:r>
          <w:tab/>
        </w:r>
        <w:r>
          <w:fldChar w:fldCharType="begin"/>
        </w:r>
        <w:r>
          <w:instrText xml:space="preserve">PAGEREF 2097 \h</w:instrText>
        </w:r>
        <w:r>
          <w:fldChar w:fldCharType="end"/>
        </w:r>
      </w:hyperlink>
    </w:p>
    <w:p>
      <w:pPr>
        <w:tabs>
          <w:tab w:val="right" w:leader="dot" w:pos="9062"/>
        </w:tabs>
        <w:ind w:left="220"/>
      </w:pPr>
      <w:hyperlink w:anchor="_Toc2098" w:history="1">
        <w:r>
          <w:rPr>
            <w:rFonts w:ascii="IRNazanin" w:hAnsi="IRNazanin" w:eastAsia="IRNazanin" w:cs="IRNazanin"/>
            <w:color w:val="111111"/>
            <w:sz w:val="22"/>
            <w:szCs w:val="22"/>
            <w:b w:val="0"/>
            <w:bCs w:val="0"/>
            <w:i w:val="0"/>
            <w:iCs w:val="0"/>
          </w:rPr>
          <w:t>بيدل دهلوي ، عبدالقادر بن عبدالخالق</w:t>
        </w:r>
        <w:r>
          <w:tab/>
        </w:r>
        <w:r>
          <w:fldChar w:fldCharType="begin"/>
        </w:r>
        <w:r>
          <w:instrText xml:space="preserve">PAGEREF 2098 \h</w:instrText>
        </w:r>
        <w:r>
          <w:fldChar w:fldCharType="end"/>
        </w:r>
      </w:hyperlink>
    </w:p>
    <w:p>
      <w:pPr>
        <w:tabs>
          <w:tab w:val="right" w:leader="dot" w:pos="9062"/>
        </w:tabs>
        <w:ind w:left="220"/>
      </w:pPr>
      <w:hyperlink w:anchor="_Toc2099" w:history="1">
        <w:r>
          <w:rPr>
            <w:rFonts w:ascii="IRNazanin" w:hAnsi="IRNazanin" w:eastAsia="IRNazanin" w:cs="IRNazanin"/>
            <w:color w:val="111111"/>
            <w:sz w:val="22"/>
            <w:szCs w:val="22"/>
            <w:b w:val="0"/>
            <w:bCs w:val="0"/>
            <w:i w:val="0"/>
            <w:iCs w:val="0"/>
          </w:rPr>
          <w:t>بيدوازي ، محمّد طاهر بن احمد</w:t>
        </w:r>
        <w:r>
          <w:tab/>
        </w:r>
        <w:r>
          <w:fldChar w:fldCharType="begin"/>
        </w:r>
        <w:r>
          <w:instrText xml:space="preserve">PAGEREF 2099 \h</w:instrText>
        </w:r>
        <w:r>
          <w:fldChar w:fldCharType="end"/>
        </w:r>
      </w:hyperlink>
    </w:p>
    <w:p>
      <w:pPr>
        <w:tabs>
          <w:tab w:val="right" w:leader="dot" w:pos="9062"/>
        </w:tabs>
        <w:ind w:left="220"/>
      </w:pPr>
      <w:hyperlink w:anchor="_Toc2100" w:history="1">
        <w:r>
          <w:rPr>
            <w:rFonts w:ascii="IRNazanin" w:hAnsi="IRNazanin" w:eastAsia="IRNazanin" w:cs="IRNazanin"/>
            <w:color w:val="111111"/>
            <w:sz w:val="22"/>
            <w:szCs w:val="22"/>
            <w:b w:val="0"/>
            <w:bCs w:val="0"/>
            <w:i w:val="0"/>
            <w:iCs w:val="0"/>
          </w:rPr>
          <w:t>بيرجندي، عبدالعلي بن محمّد - 934 ه-</w:t>
        </w:r>
        <w:r>
          <w:tab/>
        </w:r>
        <w:r>
          <w:fldChar w:fldCharType="begin"/>
        </w:r>
        <w:r>
          <w:instrText xml:space="preserve">PAGEREF 2100 \h</w:instrText>
        </w:r>
        <w:r>
          <w:fldChar w:fldCharType="end"/>
        </w:r>
      </w:hyperlink>
    </w:p>
    <w:p>
      <w:pPr>
        <w:tabs>
          <w:tab w:val="right" w:leader="dot" w:pos="9062"/>
        </w:tabs>
        <w:ind w:left="220"/>
      </w:pPr>
      <w:hyperlink w:anchor="_Toc2101" w:history="1">
        <w:r>
          <w:rPr>
            <w:rFonts w:ascii="IRNazanin" w:hAnsi="IRNazanin" w:eastAsia="IRNazanin" w:cs="IRNazanin"/>
            <w:color w:val="111111"/>
            <w:sz w:val="22"/>
            <w:szCs w:val="22"/>
            <w:b w:val="0"/>
            <w:bCs w:val="0"/>
            <w:i w:val="0"/>
            <w:iCs w:val="0"/>
          </w:rPr>
          <w:t>بير خضر ، يوسف بن عباس</w:t>
        </w:r>
        <w:r>
          <w:tab/>
        </w:r>
        <w:r>
          <w:fldChar w:fldCharType="begin"/>
        </w:r>
        <w:r>
          <w:instrText xml:space="preserve">PAGEREF 2101 \h</w:instrText>
        </w:r>
        <w:r>
          <w:fldChar w:fldCharType="end"/>
        </w:r>
      </w:hyperlink>
    </w:p>
    <w:p>
      <w:pPr>
        <w:tabs>
          <w:tab w:val="right" w:leader="dot" w:pos="9062"/>
        </w:tabs>
        <w:ind w:left="220"/>
      </w:pPr>
      <w:hyperlink w:anchor="_Toc2102" w:history="1">
        <w:r>
          <w:rPr>
            <w:rFonts w:ascii="IRNazanin" w:hAnsi="IRNazanin" w:eastAsia="IRNazanin" w:cs="IRNazanin"/>
            <w:color w:val="111111"/>
            <w:sz w:val="22"/>
            <w:szCs w:val="22"/>
            <w:b w:val="0"/>
            <w:bCs w:val="0"/>
            <w:i w:val="0"/>
            <w:iCs w:val="0"/>
          </w:rPr>
          <w:t>بيرجندي ، عبداللطيف بن علي - 934 ه-</w:t>
        </w:r>
        <w:r>
          <w:tab/>
        </w:r>
        <w:r>
          <w:fldChar w:fldCharType="begin"/>
        </w:r>
        <w:r>
          <w:instrText xml:space="preserve">PAGEREF 2102 \h</w:instrText>
        </w:r>
        <w:r>
          <w:fldChar w:fldCharType="end"/>
        </w:r>
      </w:hyperlink>
    </w:p>
    <w:p>
      <w:pPr>
        <w:tabs>
          <w:tab w:val="right" w:leader="dot" w:pos="9062"/>
        </w:tabs>
        <w:ind w:left="220"/>
      </w:pPr>
      <w:hyperlink w:anchor="_Toc2103" w:history="1">
        <w:r>
          <w:rPr>
            <w:rFonts w:ascii="IRNazanin" w:hAnsi="IRNazanin" w:eastAsia="IRNazanin" w:cs="IRNazanin"/>
            <w:color w:val="111111"/>
            <w:sz w:val="22"/>
            <w:szCs w:val="22"/>
            <w:b w:val="0"/>
            <w:bCs w:val="0"/>
            <w:i w:val="0"/>
            <w:iCs w:val="0"/>
          </w:rPr>
          <w:t>بيرجندي ، محمّد باقر بن محمّد حسن</w:t>
        </w:r>
        <w:r>
          <w:tab/>
        </w:r>
        <w:r>
          <w:fldChar w:fldCharType="begin"/>
        </w:r>
        <w:r>
          <w:instrText xml:space="preserve">PAGEREF 2103 \h</w:instrText>
        </w:r>
        <w:r>
          <w:fldChar w:fldCharType="end"/>
        </w:r>
      </w:hyperlink>
    </w:p>
    <w:p>
      <w:pPr>
        <w:tabs>
          <w:tab w:val="right" w:leader="dot" w:pos="9062"/>
        </w:tabs>
        <w:ind w:left="220"/>
      </w:pPr>
      <w:hyperlink w:anchor="_Toc2104" w:history="1">
        <w:r>
          <w:rPr>
            <w:rFonts w:ascii="IRNazanin" w:hAnsi="IRNazanin" w:eastAsia="IRNazanin" w:cs="IRNazanin"/>
            <w:color w:val="111111"/>
            <w:sz w:val="22"/>
            <w:szCs w:val="22"/>
            <w:b w:val="0"/>
            <w:bCs w:val="0"/>
            <w:i w:val="0"/>
            <w:iCs w:val="0"/>
          </w:rPr>
          <w:t>بيروتي ، محمّد بن علي قرن 12 ه-</w:t>
        </w:r>
        <w:r>
          <w:tab/>
        </w:r>
        <w:r>
          <w:fldChar w:fldCharType="begin"/>
        </w:r>
        <w:r>
          <w:instrText xml:space="preserve">PAGEREF 2104 \h</w:instrText>
        </w:r>
        <w:r>
          <w:fldChar w:fldCharType="end"/>
        </w:r>
      </w:hyperlink>
    </w:p>
    <w:p>
      <w:pPr>
        <w:tabs>
          <w:tab w:val="right" w:leader="dot" w:pos="9062"/>
        </w:tabs>
        <w:ind w:left="220"/>
      </w:pPr>
      <w:hyperlink w:anchor="_Toc2105" w:history="1">
        <w:r>
          <w:rPr>
            <w:rFonts w:ascii="IRNazanin" w:hAnsi="IRNazanin" w:eastAsia="IRNazanin" w:cs="IRNazanin"/>
            <w:color w:val="111111"/>
            <w:sz w:val="22"/>
            <w:szCs w:val="22"/>
            <w:b w:val="0"/>
            <w:bCs w:val="0"/>
            <w:i w:val="0"/>
            <w:iCs w:val="0"/>
          </w:rPr>
          <w:t>بيري، زين بن يغلب قرن 10 ه-</w:t>
        </w:r>
        <w:r>
          <w:tab/>
        </w:r>
        <w:r>
          <w:fldChar w:fldCharType="begin"/>
        </w:r>
        <w:r>
          <w:instrText xml:space="preserve">PAGEREF 2105 \h</w:instrText>
        </w:r>
        <w:r>
          <w:fldChar w:fldCharType="end"/>
        </w:r>
      </w:hyperlink>
    </w:p>
    <w:p>
      <w:pPr>
        <w:tabs>
          <w:tab w:val="right" w:leader="dot" w:pos="9062"/>
        </w:tabs>
        <w:ind w:left="220"/>
      </w:pPr>
      <w:hyperlink w:anchor="_Toc2106" w:history="1">
        <w:r>
          <w:rPr>
            <w:rFonts w:ascii="IRNazanin" w:hAnsi="IRNazanin" w:eastAsia="IRNazanin" w:cs="IRNazanin"/>
            <w:color w:val="111111"/>
            <w:sz w:val="22"/>
            <w:szCs w:val="22"/>
            <w:b w:val="0"/>
            <w:bCs w:val="0"/>
            <w:i w:val="0"/>
            <w:iCs w:val="0"/>
          </w:rPr>
          <w:t>بيضاني ، حسين بن صالح - 1395 ه-</w:t>
        </w:r>
        <w:r>
          <w:tab/>
        </w:r>
        <w:r>
          <w:fldChar w:fldCharType="begin"/>
        </w:r>
        <w:r>
          <w:instrText xml:space="preserve">PAGEREF 2106 \h</w:instrText>
        </w:r>
        <w:r>
          <w:fldChar w:fldCharType="end"/>
        </w:r>
      </w:hyperlink>
    </w:p>
    <w:p>
      <w:pPr>
        <w:tabs>
          <w:tab w:val="right" w:leader="dot" w:pos="9062"/>
        </w:tabs>
        <w:ind w:left="220"/>
      </w:pPr>
      <w:hyperlink w:anchor="_Toc2107" w:history="1">
        <w:r>
          <w:rPr>
            <w:rFonts w:ascii="IRNazanin" w:hAnsi="IRNazanin" w:eastAsia="IRNazanin" w:cs="IRNazanin"/>
            <w:color w:val="111111"/>
            <w:sz w:val="22"/>
            <w:szCs w:val="22"/>
            <w:b w:val="0"/>
            <w:bCs w:val="0"/>
            <w:i w:val="0"/>
            <w:iCs w:val="0"/>
          </w:rPr>
          <w:t>بيضاوي ، جواد بن هاشم</w:t>
        </w:r>
        <w:r>
          <w:tab/>
        </w:r>
        <w:r>
          <w:fldChar w:fldCharType="begin"/>
        </w:r>
        <w:r>
          <w:instrText xml:space="preserve">PAGEREF 2107 \h</w:instrText>
        </w:r>
        <w:r>
          <w:fldChar w:fldCharType="end"/>
        </w:r>
      </w:hyperlink>
    </w:p>
    <w:p>
      <w:pPr>
        <w:tabs>
          <w:tab w:val="right" w:leader="dot" w:pos="9062"/>
        </w:tabs>
        <w:ind w:left="220"/>
      </w:pPr>
      <w:hyperlink w:anchor="_Toc2108" w:history="1">
        <w:r>
          <w:rPr>
            <w:rFonts w:ascii="IRNazanin" w:hAnsi="IRNazanin" w:eastAsia="IRNazanin" w:cs="IRNazanin"/>
            <w:color w:val="111111"/>
            <w:sz w:val="22"/>
            <w:szCs w:val="22"/>
            <w:b w:val="0"/>
            <w:bCs w:val="0"/>
            <w:i w:val="0"/>
            <w:iCs w:val="0"/>
          </w:rPr>
          <w:t>بيضاوي ، عبدالله بن عمر - 685؟ ه-</w:t>
        </w:r>
        <w:r>
          <w:tab/>
        </w:r>
        <w:r>
          <w:fldChar w:fldCharType="begin"/>
        </w:r>
        <w:r>
          <w:instrText xml:space="preserve">PAGEREF 2108 \h</w:instrText>
        </w:r>
        <w:r>
          <w:fldChar w:fldCharType="end"/>
        </w:r>
      </w:hyperlink>
    </w:p>
    <w:p>
      <w:pPr>
        <w:tabs>
          <w:tab w:val="right" w:leader="dot" w:pos="9062"/>
        </w:tabs>
        <w:ind w:left="220"/>
      </w:pPr>
      <w:hyperlink w:anchor="_Toc2109" w:history="1">
        <w:r>
          <w:rPr>
            <w:rFonts w:ascii="IRNazanin" w:hAnsi="IRNazanin" w:eastAsia="IRNazanin" w:cs="IRNazanin"/>
            <w:color w:val="111111"/>
            <w:sz w:val="22"/>
            <w:szCs w:val="22"/>
            <w:b w:val="0"/>
            <w:bCs w:val="0"/>
            <w:i w:val="0"/>
            <w:iCs w:val="0"/>
          </w:rPr>
          <w:t>بيطار ، ابوبكر بن منذر قرن 8 ه-</w:t>
        </w:r>
        <w:r>
          <w:tab/>
        </w:r>
        <w:r>
          <w:fldChar w:fldCharType="begin"/>
        </w:r>
        <w:r>
          <w:instrText xml:space="preserve">PAGEREF 2109 \h</w:instrText>
        </w:r>
        <w:r>
          <w:fldChar w:fldCharType="end"/>
        </w:r>
      </w:hyperlink>
    </w:p>
    <w:p>
      <w:pPr>
        <w:tabs>
          <w:tab w:val="right" w:leader="dot" w:pos="9062"/>
        </w:tabs>
        <w:ind w:left="220"/>
      </w:pPr>
      <w:hyperlink w:anchor="_Toc2110" w:history="1">
        <w:r>
          <w:rPr>
            <w:rFonts w:ascii="IRNazanin" w:hAnsi="IRNazanin" w:eastAsia="IRNazanin" w:cs="IRNazanin"/>
            <w:color w:val="111111"/>
            <w:sz w:val="22"/>
            <w:szCs w:val="22"/>
            <w:b w:val="0"/>
            <w:bCs w:val="0"/>
            <w:i w:val="0"/>
            <w:iCs w:val="0"/>
          </w:rPr>
          <w:t>بيطار ، حسن بن ابراهيم - 1272 ه-</w:t>
        </w:r>
        <w:r>
          <w:tab/>
        </w:r>
        <w:r>
          <w:fldChar w:fldCharType="begin"/>
        </w:r>
        <w:r>
          <w:instrText xml:space="preserve">PAGEREF 2110 \h</w:instrText>
        </w:r>
        <w:r>
          <w:fldChar w:fldCharType="end"/>
        </w:r>
      </w:hyperlink>
    </w:p>
    <w:p>
      <w:pPr>
        <w:tabs>
          <w:tab w:val="right" w:leader="dot" w:pos="9062"/>
        </w:tabs>
        <w:ind w:left="220"/>
      </w:pPr>
      <w:hyperlink w:anchor="_Toc2111" w:history="1">
        <w:r>
          <w:rPr>
            <w:rFonts w:ascii="IRNazanin" w:hAnsi="IRNazanin" w:eastAsia="IRNazanin" w:cs="IRNazanin"/>
            <w:color w:val="111111"/>
            <w:sz w:val="22"/>
            <w:szCs w:val="22"/>
            <w:b w:val="0"/>
            <w:bCs w:val="0"/>
            <w:i w:val="0"/>
            <w:iCs w:val="0"/>
          </w:rPr>
          <w:t>بيقوني ، طه بن محمّد - 1080 ؟ ه-</w:t>
        </w:r>
        <w:r>
          <w:tab/>
        </w:r>
        <w:r>
          <w:fldChar w:fldCharType="begin"/>
        </w:r>
        <w:r>
          <w:instrText xml:space="preserve">PAGEREF 2111 \h</w:instrText>
        </w:r>
        <w:r>
          <w:fldChar w:fldCharType="end"/>
        </w:r>
      </w:hyperlink>
    </w:p>
    <w:p>
      <w:pPr>
        <w:tabs>
          <w:tab w:val="right" w:leader="dot" w:pos="9062"/>
        </w:tabs>
        <w:ind w:left="220"/>
      </w:pPr>
      <w:hyperlink w:anchor="_Toc2112" w:history="1">
        <w:r>
          <w:rPr>
            <w:rFonts w:ascii="IRNazanin" w:hAnsi="IRNazanin" w:eastAsia="IRNazanin" w:cs="IRNazanin"/>
            <w:color w:val="111111"/>
            <w:sz w:val="22"/>
            <w:szCs w:val="22"/>
            <w:b w:val="0"/>
            <w:bCs w:val="0"/>
            <w:i w:val="0"/>
            <w:iCs w:val="0"/>
          </w:rPr>
          <w:t>بيلاني ، ابوعبدالله محمّد</w:t>
        </w:r>
        <w:r>
          <w:tab/>
        </w:r>
        <w:r>
          <w:fldChar w:fldCharType="begin"/>
        </w:r>
        <w:r>
          <w:instrText xml:space="preserve">PAGEREF 2112 \h</w:instrText>
        </w:r>
        <w:r>
          <w:fldChar w:fldCharType="end"/>
        </w:r>
      </w:hyperlink>
    </w:p>
    <w:p>
      <w:pPr>
        <w:tabs>
          <w:tab w:val="right" w:leader="dot" w:pos="9062"/>
        </w:tabs>
        <w:ind w:left="220"/>
      </w:pPr>
      <w:hyperlink w:anchor="_Toc2113" w:history="1">
        <w:r>
          <w:rPr>
            <w:rFonts w:ascii="IRNazanin" w:hAnsi="IRNazanin" w:eastAsia="IRNazanin" w:cs="IRNazanin"/>
            <w:color w:val="111111"/>
            <w:sz w:val="22"/>
            <w:szCs w:val="22"/>
            <w:b w:val="0"/>
            <w:bCs w:val="0"/>
            <w:i w:val="0"/>
            <w:iCs w:val="0"/>
          </w:rPr>
          <w:t>بيلوني ، محمّد بن فتح الله - 1085 ه-</w:t>
        </w:r>
        <w:r>
          <w:tab/>
        </w:r>
        <w:r>
          <w:fldChar w:fldCharType="begin"/>
        </w:r>
        <w:r>
          <w:instrText xml:space="preserve">PAGEREF 2113 \h</w:instrText>
        </w:r>
        <w:r>
          <w:fldChar w:fldCharType="end"/>
        </w:r>
      </w:hyperlink>
    </w:p>
    <w:p>
      <w:pPr>
        <w:tabs>
          <w:tab w:val="right" w:leader="dot" w:pos="9062"/>
        </w:tabs>
        <w:ind w:left="220"/>
      </w:pPr>
      <w:hyperlink w:anchor="_Toc2114" w:history="1">
        <w:r>
          <w:rPr>
            <w:rFonts w:ascii="IRNazanin" w:hAnsi="IRNazanin" w:eastAsia="IRNazanin" w:cs="IRNazanin"/>
            <w:color w:val="111111"/>
            <w:sz w:val="22"/>
            <w:szCs w:val="22"/>
            <w:b w:val="0"/>
            <w:bCs w:val="0"/>
            <w:i w:val="0"/>
            <w:iCs w:val="0"/>
          </w:rPr>
          <w:t>بيلي ، احمد بن موسی 1141 - 1213 ه-</w:t>
        </w:r>
        <w:r>
          <w:tab/>
        </w:r>
        <w:r>
          <w:fldChar w:fldCharType="begin"/>
        </w:r>
        <w:r>
          <w:instrText xml:space="preserve">PAGEREF 2114 \h</w:instrText>
        </w:r>
        <w:r>
          <w:fldChar w:fldCharType="end"/>
        </w:r>
      </w:hyperlink>
    </w:p>
    <w:p>
      <w:pPr>
        <w:tabs>
          <w:tab w:val="right" w:leader="dot" w:pos="9062"/>
        </w:tabs>
        <w:ind w:left="220"/>
      </w:pPr>
      <w:hyperlink w:anchor="_Toc2115" w:history="1">
        <w:r>
          <w:rPr>
            <w:rFonts w:ascii="IRNazanin" w:hAnsi="IRNazanin" w:eastAsia="IRNazanin" w:cs="IRNazanin"/>
            <w:color w:val="111111"/>
            <w:sz w:val="22"/>
            <w:szCs w:val="22"/>
            <w:b w:val="0"/>
            <w:bCs w:val="0"/>
            <w:i w:val="0"/>
            <w:iCs w:val="0"/>
          </w:rPr>
          <w:t>بينجويني ، عبدالرحمن بن محمد 1244</w:t>
        </w:r>
        <w:r>
          <w:tab/>
        </w:r>
        <w:r>
          <w:fldChar w:fldCharType="begin"/>
        </w:r>
        <w:r>
          <w:instrText xml:space="preserve">PAGEREF 2115 \h</w:instrText>
        </w:r>
        <w:r>
          <w:fldChar w:fldCharType="end"/>
        </w:r>
      </w:hyperlink>
    </w:p>
    <w:p>
      <w:pPr>
        <w:tabs>
          <w:tab w:val="right" w:leader="dot" w:pos="9062"/>
        </w:tabs>
        <w:ind w:left="220"/>
      </w:pPr>
      <w:hyperlink w:anchor="_Toc2116" w:history="1">
        <w:r>
          <w:rPr>
            <w:rFonts w:ascii="IRNazanin" w:hAnsi="IRNazanin" w:eastAsia="IRNazanin" w:cs="IRNazanin"/>
            <w:color w:val="111111"/>
            <w:sz w:val="22"/>
            <w:szCs w:val="22"/>
            <w:b w:val="0"/>
            <w:bCs w:val="0"/>
            <w:i w:val="0"/>
            <w:iCs w:val="0"/>
          </w:rPr>
          <w:t>بيهقي ، ابوالحسن بن ابي القسم</w:t>
        </w:r>
        <w:r>
          <w:tab/>
        </w:r>
        <w:r>
          <w:fldChar w:fldCharType="begin"/>
        </w:r>
        <w:r>
          <w:instrText xml:space="preserve">PAGEREF 2116 \h</w:instrText>
        </w:r>
        <w:r>
          <w:fldChar w:fldCharType="end"/>
        </w:r>
      </w:hyperlink>
    </w:p>
    <w:p>
      <w:pPr>
        <w:tabs>
          <w:tab w:val="right" w:leader="dot" w:pos="9062"/>
        </w:tabs>
        <w:ind w:left="220"/>
      </w:pPr>
      <w:hyperlink w:anchor="_Toc2117" w:history="1">
        <w:r>
          <w:rPr>
            <w:rFonts w:ascii="IRNazanin" w:hAnsi="IRNazanin" w:eastAsia="IRNazanin" w:cs="IRNazanin"/>
            <w:color w:val="111111"/>
            <w:sz w:val="22"/>
            <w:szCs w:val="22"/>
            <w:b w:val="0"/>
            <w:bCs w:val="0"/>
            <w:i w:val="0"/>
            <w:iCs w:val="0"/>
          </w:rPr>
          <w:t>بيهقي ، احمد بن حسين، 384 - 458 ه-</w:t>
        </w:r>
        <w:r>
          <w:tab/>
        </w:r>
        <w:r>
          <w:fldChar w:fldCharType="begin"/>
        </w:r>
        <w:r>
          <w:instrText xml:space="preserve">PAGEREF 2117 \h</w:instrText>
        </w:r>
        <w:r>
          <w:fldChar w:fldCharType="end"/>
        </w:r>
      </w:hyperlink>
    </w:p>
    <w:p>
      <w:pPr>
        <w:tabs>
          <w:tab w:val="right" w:leader="dot" w:pos="9062"/>
        </w:tabs>
        <w:ind w:left="220"/>
      </w:pPr>
      <w:hyperlink w:anchor="_Toc2118" w:history="1">
        <w:r>
          <w:rPr>
            <w:rFonts w:ascii="IRNazanin" w:hAnsi="IRNazanin" w:eastAsia="IRNazanin" w:cs="IRNazanin"/>
            <w:color w:val="111111"/>
            <w:sz w:val="22"/>
            <w:szCs w:val="22"/>
            <w:b w:val="0"/>
            <w:bCs w:val="0"/>
            <w:i w:val="0"/>
            <w:iCs w:val="0"/>
          </w:rPr>
          <w:t>بيهقي ، احمد بن علي 4470 - 544 ه-</w:t>
        </w:r>
        <w:r>
          <w:tab/>
        </w:r>
        <w:r>
          <w:fldChar w:fldCharType="begin"/>
        </w:r>
        <w:r>
          <w:instrText xml:space="preserve">PAGEREF 2118 \h</w:instrText>
        </w:r>
        <w:r>
          <w:fldChar w:fldCharType="end"/>
        </w:r>
      </w:hyperlink>
    </w:p>
    <w:p>
      <w:pPr>
        <w:tabs>
          <w:tab w:val="right" w:leader="dot" w:pos="9062"/>
        </w:tabs>
        <w:ind w:left="220"/>
      </w:pPr>
      <w:hyperlink w:anchor="_Toc2119" w:history="1">
        <w:r>
          <w:rPr>
            <w:rFonts w:ascii="IRNazanin" w:hAnsi="IRNazanin" w:eastAsia="IRNazanin" w:cs="IRNazanin"/>
            <w:color w:val="111111"/>
            <w:sz w:val="22"/>
            <w:szCs w:val="22"/>
            <w:b w:val="0"/>
            <w:bCs w:val="0"/>
            <w:i w:val="0"/>
            <w:iCs w:val="0"/>
          </w:rPr>
          <w:t>بيهقي ، علي بن زيد، 499 - 565 ه-</w:t>
        </w:r>
        <w:r>
          <w:tab/>
        </w:r>
        <w:r>
          <w:fldChar w:fldCharType="begin"/>
        </w:r>
        <w:r>
          <w:instrText xml:space="preserve">PAGEREF 2119 \h</w:instrText>
        </w:r>
        <w:r>
          <w:fldChar w:fldCharType="end"/>
        </w:r>
      </w:hyperlink>
    </w:p>
    <w:p>
      <w:pPr>
        <w:tabs>
          <w:tab w:val="right" w:leader="dot" w:pos="9062"/>
        </w:tabs>
        <w:ind w:left="220"/>
      </w:pPr>
      <w:hyperlink w:anchor="_Toc2120" w:history="1">
        <w:r>
          <w:rPr>
            <w:rFonts w:ascii="IRNazanin" w:hAnsi="IRNazanin" w:eastAsia="IRNazanin" w:cs="IRNazanin"/>
            <w:color w:val="111111"/>
            <w:sz w:val="22"/>
            <w:szCs w:val="22"/>
            <w:b w:val="0"/>
            <w:bCs w:val="0"/>
            <w:i w:val="0"/>
            <w:iCs w:val="0"/>
          </w:rPr>
          <w:t>بيهقي ، محمّد بن حسين 385 - 470</w:t>
        </w:r>
        <w:r>
          <w:tab/>
        </w:r>
        <w:r>
          <w:fldChar w:fldCharType="begin"/>
        </w:r>
        <w:r>
          <w:instrText xml:space="preserve">PAGEREF 2120 \h</w:instrText>
        </w:r>
        <w:r>
          <w:fldChar w:fldCharType="end"/>
        </w:r>
      </w:hyperlink>
    </w:p>
    <w:p>
      <w:pPr>
        <w:tabs>
          <w:tab w:val="right" w:leader="dot" w:pos="9062"/>
        </w:tabs>
        <w:ind w:left="220"/>
      </w:pPr>
      <w:hyperlink w:anchor="_Toc2121" w:history="1">
        <w:r>
          <w:rPr>
            <w:rFonts w:ascii="IRNazanin" w:hAnsi="IRNazanin" w:eastAsia="IRNazanin" w:cs="IRNazanin"/>
            <w:color w:val="111111"/>
            <w:sz w:val="22"/>
            <w:szCs w:val="22"/>
            <w:b w:val="0"/>
            <w:bCs w:val="0"/>
            <w:i w:val="0"/>
            <w:iCs w:val="0"/>
          </w:rPr>
          <w:t>بيهقي نيشابوري كيدري ، محمّد بن</w:t>
        </w:r>
        <w:r>
          <w:tab/>
        </w:r>
        <w:r>
          <w:fldChar w:fldCharType="begin"/>
        </w:r>
        <w:r>
          <w:instrText xml:space="preserve">PAGEREF 2121 \h</w:instrText>
        </w:r>
        <w:r>
          <w:fldChar w:fldCharType="end"/>
        </w:r>
      </w:hyperlink>
    </w:p>
    <w:p>
      <w:pPr>
        <w:tabs>
          <w:tab w:val="right" w:leader="dot" w:pos="9062"/>
        </w:tabs>
        <w:ind w:left="220"/>
      </w:pPr>
      <w:hyperlink w:anchor="_Toc2122" w:history="1">
        <w:r>
          <w:rPr>
            <w:rFonts w:ascii="IRNazanin" w:hAnsi="IRNazanin" w:eastAsia="IRNazanin" w:cs="IRNazanin"/>
            <w:color w:val="111111"/>
            <w:sz w:val="22"/>
            <w:szCs w:val="22"/>
            <w:b w:val="0"/>
            <w:bCs w:val="0"/>
            <w:i w:val="0"/>
            <w:iCs w:val="0"/>
          </w:rPr>
          <w:t>بيومي حلبي ، محمّد</w:t>
        </w:r>
        <w:r>
          <w:tab/>
        </w:r>
        <w:r>
          <w:fldChar w:fldCharType="begin"/>
        </w:r>
        <w:r>
          <w:instrText xml:space="preserve">PAGEREF 2122 \h</w:instrText>
        </w:r>
        <w:r>
          <w:fldChar w:fldCharType="end"/>
        </w:r>
      </w:hyperlink>
    </w:p>
    <w:p>
      <w:pPr>
        <w:tabs>
          <w:tab w:val="right" w:leader="dot" w:pos="9062"/>
        </w:tabs>
        <w:ind w:left="220"/>
      </w:pPr>
      <w:hyperlink w:anchor="_Toc2123" w:history="1">
        <w:r>
          <w:rPr>
            <w:rFonts w:ascii="IRNazanin" w:hAnsi="IRNazanin" w:eastAsia="IRNazanin" w:cs="IRNazanin"/>
            <w:color w:val="111111"/>
            <w:sz w:val="22"/>
            <w:szCs w:val="22"/>
            <w:b w:val="0"/>
            <w:bCs w:val="0"/>
            <w:i w:val="0"/>
            <w:iCs w:val="0"/>
          </w:rPr>
          <w:t>بيون برهمي</w:t>
        </w:r>
        <w:r>
          <w:tab/>
        </w:r>
        <w:r>
          <w:fldChar w:fldCharType="begin"/>
        </w:r>
        <w:r>
          <w:instrText xml:space="preserve">PAGEREF 2123 \h</w:instrText>
        </w:r>
        <w:r>
          <w:fldChar w:fldCharType="end"/>
        </w:r>
      </w:hyperlink>
    </w:p>
    <w:p>
      <w:pPr>
        <w:tabs>
          <w:tab w:val="right" w:leader="dot" w:pos="9062"/>
        </w:tabs>
        <w:ind w:left="220"/>
      </w:pPr>
      <w:hyperlink w:anchor="_Toc2124" w:history="1">
        <w:r>
          <w:rPr>
            <w:rFonts w:ascii="IRNazanin" w:hAnsi="IRNazanin" w:eastAsia="IRNazanin" w:cs="IRNazanin"/>
            <w:color w:val="111111"/>
            <w:sz w:val="22"/>
            <w:szCs w:val="22"/>
            <w:b w:val="0"/>
            <w:bCs w:val="0"/>
            <w:i w:val="0"/>
            <w:iCs w:val="0"/>
          </w:rPr>
          <w:t>پاراسلسوس، 1493 - 1541</w:t>
        </w:r>
        <w:r>
          <w:tab/>
        </w:r>
        <w:r>
          <w:fldChar w:fldCharType="begin"/>
        </w:r>
        <w:r>
          <w:instrText xml:space="preserve">PAGEREF 2124 \h</w:instrText>
        </w:r>
        <w:r>
          <w:fldChar w:fldCharType="end"/>
        </w:r>
      </w:hyperlink>
    </w:p>
    <w:p>
      <w:pPr>
        <w:tabs>
          <w:tab w:val="right" w:leader="dot" w:pos="9062"/>
        </w:tabs>
        <w:ind w:left="220"/>
      </w:pPr>
      <w:hyperlink w:anchor="_Toc2125" w:history="1">
        <w:r>
          <w:rPr>
            <w:rFonts w:ascii="IRNazanin" w:hAnsi="IRNazanin" w:eastAsia="IRNazanin" w:cs="IRNazanin"/>
            <w:color w:val="111111"/>
            <w:sz w:val="22"/>
            <w:szCs w:val="22"/>
            <w:b w:val="0"/>
            <w:bCs w:val="0"/>
            <w:i w:val="0"/>
            <w:iCs w:val="0"/>
          </w:rPr>
          <w:t>پارسا ، محمّد بن محمّد 739 - 5822</w:t>
        </w:r>
        <w:r>
          <w:tab/>
        </w:r>
        <w:r>
          <w:fldChar w:fldCharType="begin"/>
        </w:r>
        <w:r>
          <w:instrText xml:space="preserve">PAGEREF 2125 \h</w:instrText>
        </w:r>
        <w:r>
          <w:fldChar w:fldCharType="end"/>
        </w:r>
      </w:hyperlink>
    </w:p>
    <w:p>
      <w:pPr>
        <w:tabs>
          <w:tab w:val="right" w:leader="dot" w:pos="9062"/>
        </w:tabs>
        <w:ind w:left="220"/>
      </w:pPr>
      <w:hyperlink w:anchor="_Toc2126" w:history="1">
        <w:r>
          <w:rPr>
            <w:rFonts w:ascii="IRNazanin" w:hAnsi="IRNazanin" w:eastAsia="IRNazanin" w:cs="IRNazanin"/>
            <w:color w:val="111111"/>
            <w:sz w:val="22"/>
            <w:szCs w:val="22"/>
            <w:b w:val="0"/>
            <w:bCs w:val="0"/>
            <w:i w:val="0"/>
            <w:iCs w:val="0"/>
          </w:rPr>
          <w:t>پاکستاني ، غلام محمّد بن غلام حیدر قرن 15ه-</w:t>
        </w:r>
        <w:r>
          <w:tab/>
        </w:r>
        <w:r>
          <w:fldChar w:fldCharType="begin"/>
        </w:r>
        <w:r>
          <w:instrText xml:space="preserve">PAGEREF 2126 \h</w:instrText>
        </w:r>
        <w:r>
          <w:fldChar w:fldCharType="end"/>
        </w:r>
      </w:hyperlink>
    </w:p>
    <w:p>
      <w:pPr>
        <w:tabs>
          <w:tab w:val="right" w:leader="dot" w:pos="9062"/>
        </w:tabs>
        <w:ind w:left="220"/>
      </w:pPr>
      <w:hyperlink w:anchor="_Toc2127" w:history="1">
        <w:r>
          <w:rPr>
            <w:rFonts w:ascii="IRNazanin" w:hAnsi="IRNazanin" w:eastAsia="IRNazanin" w:cs="IRNazanin"/>
            <w:color w:val="111111"/>
            <w:sz w:val="22"/>
            <w:szCs w:val="22"/>
            <w:b w:val="0"/>
            <w:bCs w:val="0"/>
            <w:i w:val="0"/>
            <w:iCs w:val="0"/>
          </w:rPr>
          <w:t>پالوي ، حامد بن عبد الفتاح، قرن 12 ه-</w:t>
        </w:r>
        <w:r>
          <w:tab/>
        </w:r>
        <w:r>
          <w:fldChar w:fldCharType="begin"/>
        </w:r>
        <w:r>
          <w:instrText xml:space="preserve">PAGEREF 2127 \h</w:instrText>
        </w:r>
        <w:r>
          <w:fldChar w:fldCharType="end"/>
        </w:r>
      </w:hyperlink>
    </w:p>
    <w:p>
      <w:pPr>
        <w:tabs>
          <w:tab w:val="right" w:leader="dot" w:pos="9062"/>
        </w:tabs>
        <w:ind w:left="220"/>
      </w:pPr>
      <w:hyperlink w:anchor="_Toc2128" w:history="1">
        <w:r>
          <w:rPr>
            <w:rFonts w:ascii="IRNazanin" w:hAnsi="IRNazanin" w:eastAsia="IRNazanin" w:cs="IRNazanin"/>
            <w:color w:val="111111"/>
            <w:sz w:val="22"/>
            <w:szCs w:val="22"/>
            <w:b w:val="0"/>
            <w:bCs w:val="0"/>
            <w:i w:val="0"/>
            <w:iCs w:val="0"/>
          </w:rPr>
          <w:t>پدانیوس دیوسکوریدس، قرن 1 م</w:t>
        </w:r>
        <w:r>
          <w:tab/>
        </w:r>
        <w:r>
          <w:fldChar w:fldCharType="begin"/>
        </w:r>
        <w:r>
          <w:instrText xml:space="preserve">PAGEREF 2128 \h</w:instrText>
        </w:r>
        <w:r>
          <w:fldChar w:fldCharType="end"/>
        </w:r>
      </w:hyperlink>
    </w:p>
    <w:p>
      <w:pPr>
        <w:tabs>
          <w:tab w:val="right" w:leader="dot" w:pos="9062"/>
        </w:tabs>
        <w:ind w:left="220"/>
      </w:pPr>
      <w:hyperlink w:anchor="_Toc2129" w:history="1">
        <w:r>
          <w:rPr>
            <w:rFonts w:ascii="IRNazanin" w:hAnsi="IRNazanin" w:eastAsia="IRNazanin" w:cs="IRNazanin"/>
            <w:color w:val="111111"/>
            <w:sz w:val="22"/>
            <w:szCs w:val="22"/>
            <w:b w:val="0"/>
            <w:bCs w:val="0"/>
            <w:i w:val="0"/>
            <w:iCs w:val="0"/>
          </w:rPr>
          <w:t>پرویز ، عبدالله بن عبدالله قرن 10 ه-</w:t>
        </w:r>
        <w:r>
          <w:tab/>
        </w:r>
        <w:r>
          <w:fldChar w:fldCharType="begin"/>
        </w:r>
        <w:r>
          <w:instrText xml:space="preserve">PAGEREF 2129 \h</w:instrText>
        </w:r>
        <w:r>
          <w:fldChar w:fldCharType="end"/>
        </w:r>
      </w:hyperlink>
    </w:p>
    <w:p>
      <w:pPr>
        <w:tabs>
          <w:tab w:val="right" w:leader="dot" w:pos="9062"/>
        </w:tabs>
        <w:ind w:left="220"/>
      </w:pPr>
      <w:hyperlink w:anchor="_Toc2130" w:history="1">
        <w:r>
          <w:rPr>
            <w:rFonts w:ascii="IRNazanin" w:hAnsi="IRNazanin" w:eastAsia="IRNazanin" w:cs="IRNazanin"/>
            <w:color w:val="111111"/>
            <w:sz w:val="22"/>
            <w:szCs w:val="22"/>
            <w:b w:val="0"/>
            <w:bCs w:val="0"/>
            <w:i w:val="0"/>
            <w:iCs w:val="0"/>
          </w:rPr>
          <w:t>پنجوني ، عبدالرحمن ه-</w:t>
        </w:r>
        <w:r>
          <w:tab/>
        </w:r>
        <w:r>
          <w:fldChar w:fldCharType="begin"/>
        </w:r>
        <w:r>
          <w:instrText xml:space="preserve">PAGEREF 2130 \h</w:instrText>
        </w:r>
        <w:r>
          <w:fldChar w:fldCharType="end"/>
        </w:r>
      </w:hyperlink>
    </w:p>
    <w:p>
      <w:pPr>
        <w:tabs>
          <w:tab w:val="right" w:leader="dot" w:pos="9062"/>
        </w:tabs>
        <w:ind w:left="220"/>
      </w:pPr>
      <w:hyperlink w:anchor="_Toc2131" w:history="1">
        <w:r>
          <w:rPr>
            <w:rFonts w:ascii="IRNazanin" w:hAnsi="IRNazanin" w:eastAsia="IRNazanin" w:cs="IRNazanin"/>
            <w:color w:val="111111"/>
            <w:sz w:val="22"/>
            <w:szCs w:val="22"/>
            <w:b w:val="0"/>
            <w:bCs w:val="0"/>
            <w:i w:val="0"/>
            <w:iCs w:val="0"/>
          </w:rPr>
          <w:t>پندت کشميري</w:t>
        </w:r>
        <w:r>
          <w:tab/>
        </w:r>
        <w:r>
          <w:fldChar w:fldCharType="begin"/>
        </w:r>
        <w:r>
          <w:instrText xml:space="preserve">PAGEREF 2131 \h</w:instrText>
        </w:r>
        <w:r>
          <w:fldChar w:fldCharType="end"/>
        </w:r>
      </w:hyperlink>
    </w:p>
    <w:p>
      <w:pPr>
        <w:tabs>
          <w:tab w:val="right" w:leader="dot" w:pos="9062"/>
        </w:tabs>
        <w:ind w:left="220"/>
      </w:pPr>
      <w:hyperlink w:anchor="_Toc2132" w:history="1">
        <w:r>
          <w:rPr>
            <w:rFonts w:ascii="IRNazanin" w:hAnsi="IRNazanin" w:eastAsia="IRNazanin" w:cs="IRNazanin"/>
            <w:color w:val="111111"/>
            <w:sz w:val="22"/>
            <w:szCs w:val="22"/>
            <w:b w:val="0"/>
            <w:bCs w:val="0"/>
            <w:i w:val="0"/>
            <w:iCs w:val="0"/>
          </w:rPr>
          <w:t>پهلواني ، موسی بن عبدالله - 1133 ه-</w:t>
        </w:r>
        <w:r>
          <w:tab/>
        </w:r>
        <w:r>
          <w:fldChar w:fldCharType="begin"/>
        </w:r>
        <w:r>
          <w:instrText xml:space="preserve">PAGEREF 2132 \h</w:instrText>
        </w:r>
        <w:r>
          <w:fldChar w:fldCharType="end"/>
        </w:r>
      </w:hyperlink>
    </w:p>
    <w:p>
      <w:pPr>
        <w:tabs>
          <w:tab w:val="right" w:leader="dot" w:pos="9062"/>
        </w:tabs>
        <w:ind w:left="220"/>
      </w:pPr>
      <w:hyperlink w:anchor="_Toc2133" w:history="1">
        <w:r>
          <w:rPr>
            <w:rFonts w:ascii="IRNazanin" w:hAnsi="IRNazanin" w:eastAsia="IRNazanin" w:cs="IRNazanin"/>
            <w:color w:val="111111"/>
            <w:sz w:val="22"/>
            <w:szCs w:val="22"/>
            <w:b w:val="0"/>
            <w:bCs w:val="0"/>
            <w:i w:val="0"/>
            <w:iCs w:val="0"/>
          </w:rPr>
          <w:t>پولاك ، ياكوب ادوارد، 1818 - 1891 م</w:t>
        </w:r>
        <w:r>
          <w:tab/>
        </w:r>
        <w:r>
          <w:fldChar w:fldCharType="begin"/>
        </w:r>
        <w:r>
          <w:instrText xml:space="preserve">PAGEREF 2133 \h</w:instrText>
        </w:r>
        <w:r>
          <w:fldChar w:fldCharType="end"/>
        </w:r>
      </w:hyperlink>
    </w:p>
    <w:p>
      <w:pPr>
        <w:tabs>
          <w:tab w:val="right" w:leader="dot" w:pos="9062"/>
        </w:tabs>
        <w:ind w:left="220"/>
      </w:pPr>
      <w:hyperlink w:anchor="_Toc2134" w:history="1">
        <w:r>
          <w:rPr>
            <w:rFonts w:ascii="IRNazanin" w:hAnsi="IRNazanin" w:eastAsia="IRNazanin" w:cs="IRNazanin"/>
            <w:color w:val="111111"/>
            <w:sz w:val="22"/>
            <w:szCs w:val="22"/>
            <w:b w:val="0"/>
            <w:bCs w:val="0"/>
            <w:i w:val="0"/>
            <w:iCs w:val="0"/>
          </w:rPr>
          <w:t>پیر خضري ، يوسف جان بن ابي بكر</w:t>
        </w:r>
        <w:r>
          <w:tab/>
        </w:r>
        <w:r>
          <w:fldChar w:fldCharType="begin"/>
        </w:r>
        <w:r>
          <w:instrText xml:space="preserve">PAGEREF 2134 \h</w:instrText>
        </w:r>
        <w:r>
          <w:fldChar w:fldCharType="end"/>
        </w:r>
      </w:hyperlink>
    </w:p>
    <w:p>
      <w:pPr>
        <w:tabs>
          <w:tab w:val="right" w:leader="dot" w:pos="9062"/>
        </w:tabs>
        <w:ind w:left="220"/>
      </w:pPr>
      <w:hyperlink w:anchor="_Toc2135" w:history="1">
        <w:r>
          <w:rPr>
            <w:rFonts w:ascii="IRNazanin" w:hAnsi="IRNazanin" w:eastAsia="IRNazanin" w:cs="IRNazanin"/>
            <w:color w:val="111111"/>
            <w:sz w:val="22"/>
            <w:szCs w:val="22"/>
            <w:b w:val="0"/>
            <w:bCs w:val="0"/>
            <w:i w:val="0"/>
            <w:iCs w:val="0"/>
          </w:rPr>
          <w:t>پیرزاده، محمّد رفیع قرن 11 ه-</w:t>
        </w:r>
        <w:r>
          <w:tab/>
        </w:r>
        <w:r>
          <w:fldChar w:fldCharType="begin"/>
        </w:r>
        <w:r>
          <w:instrText xml:space="preserve">PAGEREF 2135 \h</w:instrText>
        </w:r>
        <w:r>
          <w:fldChar w:fldCharType="end"/>
        </w:r>
      </w:hyperlink>
    </w:p>
    <w:p>
      <w:pPr>
        <w:tabs>
          <w:tab w:val="right" w:leader="dot" w:pos="9062"/>
        </w:tabs>
        <w:ind w:left="220"/>
      </w:pPr>
      <w:hyperlink w:anchor="_Toc2136" w:history="1">
        <w:r>
          <w:rPr>
            <w:rFonts w:ascii="IRNazanin" w:hAnsi="IRNazanin" w:eastAsia="IRNazanin" w:cs="IRNazanin"/>
            <w:color w:val="111111"/>
            <w:sz w:val="22"/>
            <w:szCs w:val="22"/>
            <w:b w:val="0"/>
            <w:bCs w:val="0"/>
            <w:i w:val="0"/>
            <w:iCs w:val="0"/>
          </w:rPr>
          <w:t>پيري زاده، ابراهيم بن حسين 1023 -</w:t>
        </w:r>
        <w:r>
          <w:tab/>
        </w:r>
        <w:r>
          <w:fldChar w:fldCharType="begin"/>
        </w:r>
        <w:r>
          <w:instrText xml:space="preserve">PAGEREF 2136 \h</w:instrText>
        </w:r>
        <w:r>
          <w:fldChar w:fldCharType="end"/>
        </w:r>
      </w:hyperlink>
    </w:p>
    <w:p>
      <w:pPr>
        <w:tabs>
          <w:tab w:val="right" w:leader="dot" w:pos="9062"/>
        </w:tabs>
        <w:ind w:left="220"/>
      </w:pPr>
      <w:hyperlink w:anchor="_Toc2137" w:history="1">
        <w:r>
          <w:rPr>
            <w:rFonts w:ascii="IRNazanin" w:hAnsi="IRNazanin" w:eastAsia="IRNazanin" w:cs="IRNazanin"/>
            <w:color w:val="111111"/>
            <w:sz w:val="22"/>
            <w:szCs w:val="22"/>
            <w:b w:val="0"/>
            <w:bCs w:val="0"/>
            <w:i w:val="0"/>
            <w:iCs w:val="0"/>
          </w:rPr>
          <w:t>تائب ، اسماعيل بن مصطفى، - 1214 ه-</w:t>
        </w:r>
        <w:r>
          <w:tab/>
        </w:r>
        <w:r>
          <w:fldChar w:fldCharType="begin"/>
        </w:r>
        <w:r>
          <w:instrText xml:space="preserve">PAGEREF 2137 \h</w:instrText>
        </w:r>
        <w:r>
          <w:fldChar w:fldCharType="end"/>
        </w:r>
      </w:hyperlink>
    </w:p>
    <w:p>
      <w:pPr>
        <w:tabs>
          <w:tab w:val="right" w:leader="dot" w:pos="9062"/>
        </w:tabs>
        <w:ind w:left="220"/>
      </w:pPr>
      <w:hyperlink w:anchor="_Toc2138" w:history="1">
        <w:r>
          <w:rPr>
            <w:rFonts w:ascii="IRNazanin" w:hAnsi="IRNazanin" w:eastAsia="IRNazanin" w:cs="IRNazanin"/>
            <w:color w:val="111111"/>
            <w:sz w:val="22"/>
            <w:szCs w:val="22"/>
            <w:b w:val="0"/>
            <w:bCs w:val="0"/>
            <w:i w:val="0"/>
            <w:iCs w:val="0"/>
          </w:rPr>
          <w:t>تائب تبريزي، اسماعيل بن حسين</w:t>
        </w:r>
        <w:r>
          <w:tab/>
        </w:r>
        <w:r>
          <w:fldChar w:fldCharType="begin"/>
        </w:r>
        <w:r>
          <w:instrText xml:space="preserve">PAGEREF 2138 \h</w:instrText>
        </w:r>
        <w:r>
          <w:fldChar w:fldCharType="end"/>
        </w:r>
      </w:hyperlink>
    </w:p>
    <w:p>
      <w:pPr>
        <w:tabs>
          <w:tab w:val="right" w:leader="dot" w:pos="9062"/>
        </w:tabs>
        <w:ind w:left="220"/>
      </w:pPr>
      <w:hyperlink w:anchor="_Toc2139" w:history="1">
        <w:r>
          <w:rPr>
            <w:rFonts w:ascii="IRNazanin" w:hAnsi="IRNazanin" w:eastAsia="IRNazanin" w:cs="IRNazanin"/>
            <w:color w:val="111111"/>
            <w:sz w:val="22"/>
            <w:szCs w:val="22"/>
            <w:b w:val="0"/>
            <w:bCs w:val="0"/>
            <w:i w:val="0"/>
            <w:iCs w:val="0"/>
          </w:rPr>
          <w:t>تاج الدين اسفرايني ، محمّد بن محمّد -</w:t>
        </w:r>
        <w:r>
          <w:tab/>
        </w:r>
        <w:r>
          <w:fldChar w:fldCharType="begin"/>
        </w:r>
        <w:r>
          <w:instrText xml:space="preserve">PAGEREF 2139 \h</w:instrText>
        </w:r>
        <w:r>
          <w:fldChar w:fldCharType="end"/>
        </w:r>
      </w:hyperlink>
    </w:p>
    <w:p>
      <w:pPr>
        <w:tabs>
          <w:tab w:val="right" w:leader="dot" w:pos="9062"/>
        </w:tabs>
        <w:ind w:left="220"/>
      </w:pPr>
      <w:hyperlink w:anchor="_Toc2140" w:history="1">
        <w:r>
          <w:rPr>
            <w:rFonts w:ascii="IRNazanin" w:hAnsi="IRNazanin" w:eastAsia="IRNazanin" w:cs="IRNazanin"/>
            <w:color w:val="111111"/>
            <w:sz w:val="22"/>
            <w:szCs w:val="22"/>
            <w:b w:val="0"/>
            <w:bCs w:val="0"/>
            <w:i w:val="0"/>
            <w:iCs w:val="0"/>
          </w:rPr>
          <w:t>تاج الدين حلي حسن بن محمّد قرن 9ه-</w:t>
        </w:r>
        <w:r>
          <w:tab/>
        </w:r>
        <w:r>
          <w:fldChar w:fldCharType="begin"/>
        </w:r>
        <w:r>
          <w:instrText xml:space="preserve">PAGEREF 2140 \h</w:instrText>
        </w:r>
        <w:r>
          <w:fldChar w:fldCharType="end"/>
        </w:r>
      </w:hyperlink>
    </w:p>
    <w:p>
      <w:pPr>
        <w:tabs>
          <w:tab w:val="right" w:leader="dot" w:pos="9062"/>
        </w:tabs>
        <w:ind w:left="220"/>
      </w:pPr>
      <w:hyperlink w:anchor="_Toc2141" w:history="1">
        <w:r>
          <w:rPr>
            <w:rFonts w:ascii="IRNazanin" w:hAnsi="IRNazanin" w:eastAsia="IRNazanin" w:cs="IRNazanin"/>
            <w:color w:val="111111"/>
            <w:sz w:val="22"/>
            <w:szCs w:val="22"/>
            <w:b w:val="0"/>
            <w:bCs w:val="0"/>
            <w:i w:val="0"/>
            <w:iCs w:val="0"/>
          </w:rPr>
          <w:t>تاج الدين حنفي، 1160 ه-</w:t>
        </w:r>
        <w:r>
          <w:tab/>
        </w:r>
        <w:r>
          <w:fldChar w:fldCharType="begin"/>
        </w:r>
        <w:r>
          <w:instrText xml:space="preserve">PAGEREF 2141 \h</w:instrText>
        </w:r>
        <w:r>
          <w:fldChar w:fldCharType="end"/>
        </w:r>
      </w:hyperlink>
    </w:p>
    <w:p>
      <w:pPr>
        <w:tabs>
          <w:tab w:val="right" w:leader="dot" w:pos="9062"/>
        </w:tabs>
        <w:ind w:left="220"/>
      </w:pPr>
      <w:hyperlink w:anchor="_Toc2142" w:history="1">
        <w:r>
          <w:rPr>
            <w:rFonts w:ascii="IRNazanin" w:hAnsi="IRNazanin" w:eastAsia="IRNazanin" w:cs="IRNazanin"/>
            <w:color w:val="111111"/>
            <w:sz w:val="22"/>
            <w:szCs w:val="22"/>
            <w:b w:val="0"/>
            <w:bCs w:val="0"/>
            <w:i w:val="0"/>
            <w:iCs w:val="0"/>
          </w:rPr>
          <w:t>تاج السعيدي، محمّد بن ابي سعيد -</w:t>
        </w:r>
        <w:r>
          <w:tab/>
        </w:r>
        <w:r>
          <w:fldChar w:fldCharType="begin"/>
        </w:r>
        <w:r>
          <w:instrText xml:space="preserve">PAGEREF 2142 \h</w:instrText>
        </w:r>
        <w:r>
          <w:fldChar w:fldCharType="end"/>
        </w:r>
      </w:hyperlink>
    </w:p>
    <w:p>
      <w:pPr>
        <w:tabs>
          <w:tab w:val="right" w:leader="dot" w:pos="9062"/>
        </w:tabs>
        <w:ind w:left="220"/>
      </w:pPr>
      <w:hyperlink w:anchor="_Toc2143" w:history="1">
        <w:r>
          <w:rPr>
            <w:rFonts w:ascii="IRNazanin" w:hAnsi="IRNazanin" w:eastAsia="IRNazanin" w:cs="IRNazanin"/>
            <w:color w:val="111111"/>
            <w:sz w:val="22"/>
            <w:szCs w:val="22"/>
            <w:b w:val="0"/>
            <w:bCs w:val="0"/>
            <w:i w:val="0"/>
            <w:iCs w:val="0"/>
          </w:rPr>
          <w:t>تاجوري عبدالرحمن بن محمّد - 999ه-</w:t>
        </w:r>
        <w:r>
          <w:tab/>
        </w:r>
        <w:r>
          <w:fldChar w:fldCharType="begin"/>
        </w:r>
        <w:r>
          <w:instrText xml:space="preserve">PAGEREF 2143 \h</w:instrText>
        </w:r>
        <w:r>
          <w:fldChar w:fldCharType="end"/>
        </w:r>
      </w:hyperlink>
    </w:p>
    <w:p>
      <w:pPr>
        <w:tabs>
          <w:tab w:val="right" w:leader="dot" w:pos="9062"/>
        </w:tabs>
        <w:ind w:left="220"/>
      </w:pPr>
      <w:hyperlink w:anchor="_Toc2144" w:history="1">
        <w:r>
          <w:rPr>
            <w:rFonts w:ascii="IRNazanin" w:hAnsi="IRNazanin" w:eastAsia="IRNazanin" w:cs="IRNazanin"/>
            <w:color w:val="111111"/>
            <w:sz w:val="22"/>
            <w:szCs w:val="22"/>
            <w:b w:val="0"/>
            <w:bCs w:val="0"/>
            <w:i w:val="0"/>
            <w:iCs w:val="0"/>
          </w:rPr>
          <w:t>تاجي ، محمّد بن محمّد - 1224 ه-</w:t>
        </w:r>
        <w:r>
          <w:tab/>
        </w:r>
        <w:r>
          <w:fldChar w:fldCharType="begin"/>
        </w:r>
        <w:r>
          <w:instrText xml:space="preserve">PAGEREF 2144 \h</w:instrText>
        </w:r>
        <w:r>
          <w:fldChar w:fldCharType="end"/>
        </w:r>
      </w:hyperlink>
    </w:p>
    <w:p>
      <w:pPr>
        <w:tabs>
          <w:tab w:val="right" w:leader="dot" w:pos="9062"/>
        </w:tabs>
        <w:ind w:left="220"/>
      </w:pPr>
      <w:hyperlink w:anchor="_Toc2145" w:history="1">
        <w:r>
          <w:rPr>
            <w:rFonts w:ascii="IRNazanin" w:hAnsi="IRNazanin" w:eastAsia="IRNazanin" w:cs="IRNazanin"/>
            <w:color w:val="111111"/>
            <w:sz w:val="22"/>
            <w:szCs w:val="22"/>
            <w:b w:val="0"/>
            <w:bCs w:val="0"/>
            <w:i w:val="0"/>
            <w:iCs w:val="0"/>
          </w:rPr>
          <w:t>تاذفي ، محمّد بن يحيى 899 - 963 ه-</w:t>
        </w:r>
        <w:r>
          <w:tab/>
        </w:r>
        <w:r>
          <w:fldChar w:fldCharType="begin"/>
        </w:r>
        <w:r>
          <w:instrText xml:space="preserve">PAGEREF 2145 \h</w:instrText>
        </w:r>
        <w:r>
          <w:fldChar w:fldCharType="end"/>
        </w:r>
      </w:hyperlink>
    </w:p>
    <w:p>
      <w:pPr>
        <w:tabs>
          <w:tab w:val="right" w:leader="dot" w:pos="9062"/>
        </w:tabs>
        <w:ind w:left="220"/>
      </w:pPr>
      <w:hyperlink w:anchor="_Toc2146" w:history="1">
        <w:r>
          <w:rPr>
            <w:rFonts w:ascii="IRNazanin" w:hAnsi="IRNazanin" w:eastAsia="IRNazanin" w:cs="IRNazanin"/>
            <w:color w:val="111111"/>
            <w:sz w:val="22"/>
            <w:szCs w:val="22"/>
            <w:b w:val="0"/>
            <w:bCs w:val="0"/>
            <w:i w:val="0"/>
            <w:iCs w:val="0"/>
          </w:rPr>
          <w:t>تازي ، عبدالله بن فارس 11 ه-</w:t>
        </w:r>
        <w:r>
          <w:tab/>
        </w:r>
        <w:r>
          <w:fldChar w:fldCharType="begin"/>
        </w:r>
        <w:r>
          <w:instrText xml:space="preserve">PAGEREF 2146 \h</w:instrText>
        </w:r>
        <w:r>
          <w:fldChar w:fldCharType="end"/>
        </w:r>
      </w:hyperlink>
    </w:p>
    <w:p>
      <w:pPr>
        <w:tabs>
          <w:tab w:val="right" w:leader="dot" w:pos="9062"/>
        </w:tabs>
        <w:ind w:left="220"/>
      </w:pPr>
      <w:hyperlink w:anchor="_Toc2147" w:history="1">
        <w:r>
          <w:rPr>
            <w:rFonts w:ascii="IRNazanin" w:hAnsi="IRNazanin" w:eastAsia="IRNazanin" w:cs="IRNazanin"/>
            <w:color w:val="111111"/>
            <w:sz w:val="22"/>
            <w:szCs w:val="22"/>
            <w:b w:val="0"/>
            <w:bCs w:val="0"/>
            <w:i w:val="0"/>
            <w:iCs w:val="0"/>
          </w:rPr>
          <w:t>تاشغب ، حسن</w:t>
        </w:r>
        <w:r>
          <w:tab/>
        </w:r>
        <w:r>
          <w:fldChar w:fldCharType="begin"/>
        </w:r>
        <w:r>
          <w:instrText xml:space="preserve">PAGEREF 2147 \h</w:instrText>
        </w:r>
        <w:r>
          <w:fldChar w:fldCharType="end"/>
        </w:r>
      </w:hyperlink>
    </w:p>
    <w:p>
      <w:pPr>
        <w:tabs>
          <w:tab w:val="right" w:leader="dot" w:pos="9062"/>
        </w:tabs>
        <w:ind w:left="220"/>
      </w:pPr>
      <w:hyperlink w:anchor="_Toc2148" w:history="1">
        <w:r>
          <w:rPr>
            <w:rFonts w:ascii="IRNazanin" w:hAnsi="IRNazanin" w:eastAsia="IRNazanin" w:cs="IRNazanin"/>
            <w:color w:val="111111"/>
            <w:sz w:val="22"/>
            <w:szCs w:val="22"/>
            <w:b w:val="0"/>
            <w:bCs w:val="0"/>
            <w:i w:val="0"/>
            <w:iCs w:val="0"/>
          </w:rPr>
          <w:t>تافلاتي ، محمّد بن محمّد - 1191 ه-</w:t>
        </w:r>
        <w:r>
          <w:tab/>
        </w:r>
        <w:r>
          <w:fldChar w:fldCharType="begin"/>
        </w:r>
        <w:r>
          <w:instrText xml:space="preserve">PAGEREF 2148 \h</w:instrText>
        </w:r>
        <w:r>
          <w:fldChar w:fldCharType="end"/>
        </w:r>
      </w:hyperlink>
    </w:p>
    <w:p>
      <w:pPr>
        <w:tabs>
          <w:tab w:val="right" w:leader="dot" w:pos="9062"/>
        </w:tabs>
        <w:ind w:left="220"/>
      </w:pPr>
      <w:hyperlink w:anchor="_Toc2149" w:history="1">
        <w:r>
          <w:rPr>
            <w:rFonts w:ascii="IRNazanin" w:hAnsi="IRNazanin" w:eastAsia="IRNazanin" w:cs="IRNazanin"/>
            <w:color w:val="111111"/>
            <w:sz w:val="22"/>
            <w:szCs w:val="22"/>
            <w:b w:val="0"/>
            <w:bCs w:val="0"/>
            <w:i w:val="0"/>
            <w:iCs w:val="0"/>
          </w:rPr>
          <w:t>تالجي ، محمّد بن موسى - 887 ه-</w:t>
        </w:r>
        <w:r>
          <w:tab/>
        </w:r>
        <w:r>
          <w:fldChar w:fldCharType="begin"/>
        </w:r>
        <w:r>
          <w:instrText xml:space="preserve">PAGEREF 2149 \h</w:instrText>
        </w:r>
        <w:r>
          <w:fldChar w:fldCharType="end"/>
        </w:r>
      </w:hyperlink>
    </w:p>
    <w:p>
      <w:pPr>
        <w:tabs>
          <w:tab w:val="right" w:leader="dot" w:pos="9062"/>
        </w:tabs>
        <w:ind w:left="220"/>
      </w:pPr>
      <w:hyperlink w:anchor="_Toc2150" w:history="1">
        <w:r>
          <w:rPr>
            <w:rFonts w:ascii="IRNazanin" w:hAnsi="IRNazanin" w:eastAsia="IRNazanin" w:cs="IRNazanin"/>
            <w:color w:val="111111"/>
            <w:sz w:val="22"/>
            <w:szCs w:val="22"/>
            <w:b w:val="0"/>
            <w:bCs w:val="0"/>
            <w:i w:val="0"/>
            <w:iCs w:val="0"/>
          </w:rPr>
          <w:t>تالشي ، حسن بن حسين - 964 ه-</w:t>
        </w:r>
        <w:r>
          <w:tab/>
        </w:r>
        <w:r>
          <w:fldChar w:fldCharType="begin"/>
        </w:r>
        <w:r>
          <w:instrText xml:space="preserve">PAGEREF 2150 \h</w:instrText>
        </w:r>
        <w:r>
          <w:fldChar w:fldCharType="end"/>
        </w:r>
      </w:hyperlink>
    </w:p>
    <w:p>
      <w:pPr>
        <w:tabs>
          <w:tab w:val="right" w:leader="dot" w:pos="9062"/>
        </w:tabs>
        <w:ind w:left="220"/>
      </w:pPr>
      <w:hyperlink w:anchor="_Toc2151" w:history="1">
        <w:r>
          <w:rPr>
            <w:rFonts w:ascii="IRNazanin" w:hAnsi="IRNazanin" w:eastAsia="IRNazanin" w:cs="IRNazanin"/>
            <w:color w:val="111111"/>
            <w:sz w:val="22"/>
            <w:szCs w:val="22"/>
            <w:b w:val="0"/>
            <w:bCs w:val="0"/>
            <w:i w:val="0"/>
            <w:iCs w:val="0"/>
          </w:rPr>
          <w:t>تبريزي اصفهاني ، محمّد کاظم بن شاه</w:t>
        </w:r>
        <w:r>
          <w:tab/>
        </w:r>
        <w:r>
          <w:fldChar w:fldCharType="begin"/>
        </w:r>
        <w:r>
          <w:instrText xml:space="preserve">PAGEREF 2151 \h</w:instrText>
        </w:r>
        <w:r>
          <w:fldChar w:fldCharType="end"/>
        </w:r>
      </w:hyperlink>
    </w:p>
    <w:p>
      <w:pPr>
        <w:tabs>
          <w:tab w:val="right" w:leader="dot" w:pos="9062"/>
        </w:tabs>
        <w:ind w:left="220"/>
      </w:pPr>
      <w:hyperlink w:anchor="_Toc2152" w:history="1">
        <w:r>
          <w:rPr>
            <w:rFonts w:ascii="IRNazanin" w:hAnsi="IRNazanin" w:eastAsia="IRNazanin" w:cs="IRNazanin"/>
            <w:color w:val="111111"/>
            <w:sz w:val="22"/>
            <w:szCs w:val="22"/>
            <w:b w:val="0"/>
            <w:bCs w:val="0"/>
            <w:i w:val="0"/>
            <w:iCs w:val="0"/>
          </w:rPr>
          <w:t>تبريزي بدرالدين بن ابي المعمر، قرن 7 ه-</w:t>
        </w:r>
        <w:r>
          <w:tab/>
        </w:r>
        <w:r>
          <w:fldChar w:fldCharType="begin"/>
        </w:r>
        <w:r>
          <w:instrText xml:space="preserve">PAGEREF 2152 \h</w:instrText>
        </w:r>
        <w:r>
          <w:fldChar w:fldCharType="end"/>
        </w:r>
      </w:hyperlink>
    </w:p>
    <w:p>
      <w:pPr>
        <w:tabs>
          <w:tab w:val="right" w:leader="dot" w:pos="9062"/>
        </w:tabs>
        <w:ind w:left="220"/>
      </w:pPr>
      <w:hyperlink w:anchor="_Toc2153" w:history="1">
        <w:r>
          <w:rPr>
            <w:rFonts w:ascii="IRNazanin" w:hAnsi="IRNazanin" w:eastAsia="IRNazanin" w:cs="IRNazanin"/>
            <w:color w:val="111111"/>
            <w:sz w:val="22"/>
            <w:szCs w:val="22"/>
            <w:b w:val="0"/>
            <w:bCs w:val="0"/>
            <w:i w:val="0"/>
            <w:iCs w:val="0"/>
          </w:rPr>
          <w:t>تبريزي ، حسن بن شرف - 790؟ ه-</w:t>
        </w:r>
        <w:r>
          <w:tab/>
        </w:r>
        <w:r>
          <w:fldChar w:fldCharType="begin"/>
        </w:r>
        <w:r>
          <w:instrText xml:space="preserve">PAGEREF 2153 \h</w:instrText>
        </w:r>
        <w:r>
          <w:fldChar w:fldCharType="end"/>
        </w:r>
      </w:hyperlink>
    </w:p>
    <w:p>
      <w:pPr>
        <w:tabs>
          <w:tab w:val="right" w:leader="dot" w:pos="9062"/>
        </w:tabs>
        <w:ind w:left="220"/>
      </w:pPr>
      <w:hyperlink w:anchor="_Toc2154" w:history="1">
        <w:r>
          <w:rPr>
            <w:rFonts w:ascii="IRNazanin" w:hAnsi="IRNazanin" w:eastAsia="IRNazanin" w:cs="IRNazanin"/>
            <w:color w:val="111111"/>
            <w:sz w:val="22"/>
            <w:szCs w:val="22"/>
            <w:b w:val="0"/>
            <w:bCs w:val="0"/>
            <w:i w:val="0"/>
            <w:iCs w:val="0"/>
          </w:rPr>
          <w:t>تبريزي حلوائي، محمّد بن يوسف، قرن 9ه-</w:t>
        </w:r>
        <w:r>
          <w:tab/>
        </w:r>
        <w:r>
          <w:fldChar w:fldCharType="begin"/>
        </w:r>
        <w:r>
          <w:instrText xml:space="preserve">PAGEREF 2154 \h</w:instrText>
        </w:r>
        <w:r>
          <w:fldChar w:fldCharType="end"/>
        </w:r>
      </w:hyperlink>
    </w:p>
    <w:p>
      <w:pPr>
        <w:tabs>
          <w:tab w:val="right" w:leader="dot" w:pos="9062"/>
        </w:tabs>
        <w:ind w:left="220"/>
      </w:pPr>
      <w:hyperlink w:anchor="_Toc2155" w:history="1">
        <w:r>
          <w:rPr>
            <w:rFonts w:ascii="IRNazanin" w:hAnsi="IRNazanin" w:eastAsia="IRNazanin" w:cs="IRNazanin"/>
            <w:color w:val="111111"/>
            <w:sz w:val="22"/>
            <w:szCs w:val="22"/>
            <w:b w:val="0"/>
            <w:bCs w:val="0"/>
            <w:i w:val="0"/>
            <w:iCs w:val="0"/>
          </w:rPr>
          <w:t>تبريزي ، رجبعلي، - 1080 ه-</w:t>
        </w:r>
        <w:r>
          <w:tab/>
        </w:r>
        <w:r>
          <w:fldChar w:fldCharType="begin"/>
        </w:r>
        <w:r>
          <w:instrText xml:space="preserve">PAGEREF 2155 \h</w:instrText>
        </w:r>
        <w:r>
          <w:fldChar w:fldCharType="end"/>
        </w:r>
      </w:hyperlink>
    </w:p>
    <w:p>
      <w:pPr>
        <w:tabs>
          <w:tab w:val="right" w:leader="dot" w:pos="9062"/>
        </w:tabs>
        <w:ind w:left="220"/>
      </w:pPr>
      <w:hyperlink w:anchor="_Toc2156" w:history="1">
        <w:r>
          <w:rPr>
            <w:rFonts w:ascii="IRNazanin" w:hAnsi="IRNazanin" w:eastAsia="IRNazanin" w:cs="IRNazanin"/>
            <w:color w:val="111111"/>
            <w:sz w:val="22"/>
            <w:szCs w:val="22"/>
            <w:b w:val="0"/>
            <w:bCs w:val="0"/>
            <w:i w:val="0"/>
            <w:iCs w:val="0"/>
          </w:rPr>
          <w:t>تبريزي رياضي ، عباسعلي بن نجفعلي</w:t>
        </w:r>
        <w:r>
          <w:tab/>
        </w:r>
        <w:r>
          <w:fldChar w:fldCharType="begin"/>
        </w:r>
        <w:r>
          <w:instrText xml:space="preserve">PAGEREF 2156 \h</w:instrText>
        </w:r>
        <w:r>
          <w:fldChar w:fldCharType="end"/>
        </w:r>
      </w:hyperlink>
    </w:p>
    <w:p>
      <w:pPr>
        <w:tabs>
          <w:tab w:val="right" w:leader="dot" w:pos="9062"/>
        </w:tabs>
        <w:ind w:left="220"/>
      </w:pPr>
      <w:hyperlink w:anchor="_Toc2157" w:history="1">
        <w:r>
          <w:rPr>
            <w:rFonts w:ascii="IRNazanin" w:hAnsi="IRNazanin" w:eastAsia="IRNazanin" w:cs="IRNazanin"/>
            <w:color w:val="111111"/>
            <w:sz w:val="22"/>
            <w:szCs w:val="22"/>
            <w:b w:val="0"/>
            <w:bCs w:val="0"/>
            <w:i w:val="0"/>
            <w:iCs w:val="0"/>
          </w:rPr>
          <w:t>تبريزي ، شرف الدين محمّد</w:t>
        </w:r>
        <w:r>
          <w:tab/>
        </w:r>
        <w:r>
          <w:fldChar w:fldCharType="begin"/>
        </w:r>
        <w:r>
          <w:instrText xml:space="preserve">PAGEREF 2157 \h</w:instrText>
        </w:r>
        <w:r>
          <w:fldChar w:fldCharType="end"/>
        </w:r>
      </w:hyperlink>
    </w:p>
    <w:p>
      <w:pPr>
        <w:tabs>
          <w:tab w:val="right" w:leader="dot" w:pos="9062"/>
        </w:tabs>
        <w:ind w:left="220"/>
      </w:pPr>
      <w:hyperlink w:anchor="_Toc2158" w:history="1">
        <w:r>
          <w:rPr>
            <w:rFonts w:ascii="IRNazanin" w:hAnsi="IRNazanin" w:eastAsia="IRNazanin" w:cs="IRNazanin"/>
            <w:color w:val="111111"/>
            <w:sz w:val="22"/>
            <w:szCs w:val="22"/>
            <w:b w:val="0"/>
            <w:bCs w:val="0"/>
            <w:i w:val="0"/>
            <w:iCs w:val="0"/>
          </w:rPr>
          <w:t>تبريزي ،شيرازي يار علي بن عبد الله، قرن 9 ه-</w:t>
        </w:r>
        <w:r>
          <w:tab/>
        </w:r>
        <w:r>
          <w:fldChar w:fldCharType="begin"/>
        </w:r>
        <w:r>
          <w:instrText xml:space="preserve">PAGEREF 2158 \h</w:instrText>
        </w:r>
        <w:r>
          <w:fldChar w:fldCharType="end"/>
        </w:r>
      </w:hyperlink>
    </w:p>
    <w:p>
      <w:pPr>
        <w:tabs>
          <w:tab w:val="right" w:leader="dot" w:pos="9062"/>
        </w:tabs>
        <w:ind w:left="220"/>
      </w:pPr>
      <w:hyperlink w:anchor="_Toc2159" w:history="1">
        <w:r>
          <w:rPr>
            <w:rFonts w:ascii="IRNazanin" w:hAnsi="IRNazanin" w:eastAsia="IRNazanin" w:cs="IRNazanin"/>
            <w:color w:val="111111"/>
            <w:sz w:val="22"/>
            <w:szCs w:val="22"/>
            <w:b w:val="0"/>
            <w:bCs w:val="0"/>
            <w:i w:val="0"/>
            <w:iCs w:val="0"/>
          </w:rPr>
          <w:t>تبريزي، صادق بن محمّد - 1351 ه-</w:t>
        </w:r>
        <w:r>
          <w:tab/>
        </w:r>
        <w:r>
          <w:fldChar w:fldCharType="begin"/>
        </w:r>
        <w:r>
          <w:instrText xml:space="preserve">PAGEREF 2159 \h</w:instrText>
        </w:r>
        <w:r>
          <w:fldChar w:fldCharType="end"/>
        </w:r>
      </w:hyperlink>
    </w:p>
    <w:p>
      <w:pPr>
        <w:tabs>
          <w:tab w:val="right" w:leader="dot" w:pos="9062"/>
        </w:tabs>
        <w:ind w:left="220"/>
      </w:pPr>
      <w:hyperlink w:anchor="_Toc2160" w:history="1">
        <w:r>
          <w:rPr>
            <w:rFonts w:ascii="IRNazanin" w:hAnsi="IRNazanin" w:eastAsia="IRNazanin" w:cs="IRNazanin"/>
            <w:color w:val="111111"/>
            <w:sz w:val="22"/>
            <w:szCs w:val="22"/>
            <w:b w:val="0"/>
            <w:bCs w:val="0"/>
            <w:i w:val="0"/>
            <w:iCs w:val="0"/>
          </w:rPr>
          <w:t>تبريزي ، عباسعلي، قرن 13 ه-</w:t>
        </w:r>
        <w:r>
          <w:tab/>
        </w:r>
        <w:r>
          <w:fldChar w:fldCharType="begin"/>
        </w:r>
        <w:r>
          <w:instrText xml:space="preserve">PAGEREF 2160 \h</w:instrText>
        </w:r>
        <w:r>
          <w:fldChar w:fldCharType="end"/>
        </w:r>
      </w:hyperlink>
    </w:p>
    <w:p>
      <w:pPr>
        <w:tabs>
          <w:tab w:val="right" w:leader="dot" w:pos="9062"/>
        </w:tabs>
        <w:ind w:left="220"/>
      </w:pPr>
      <w:hyperlink w:anchor="_Toc2161" w:history="1">
        <w:r>
          <w:rPr>
            <w:rFonts w:ascii="IRNazanin" w:hAnsi="IRNazanin" w:eastAsia="IRNazanin" w:cs="IRNazanin"/>
            <w:color w:val="111111"/>
            <w:sz w:val="22"/>
            <w:szCs w:val="22"/>
            <w:b w:val="0"/>
            <w:bCs w:val="0"/>
            <w:i w:val="0"/>
            <w:iCs w:val="0"/>
          </w:rPr>
          <w:t>تبريزي عبد الله بن محمّدکاظم قرن 12ه-</w:t>
        </w:r>
        <w:r>
          <w:tab/>
        </w:r>
        <w:r>
          <w:fldChar w:fldCharType="begin"/>
        </w:r>
        <w:r>
          <w:instrText xml:space="preserve">PAGEREF 2161 \h</w:instrText>
        </w:r>
        <w:r>
          <w:fldChar w:fldCharType="end"/>
        </w:r>
      </w:hyperlink>
    </w:p>
    <w:p>
      <w:pPr>
        <w:tabs>
          <w:tab w:val="right" w:leader="dot" w:pos="9062"/>
        </w:tabs>
        <w:ind w:left="220"/>
      </w:pPr>
      <w:hyperlink w:anchor="_Toc2162" w:history="1">
        <w:r>
          <w:rPr>
            <w:rFonts w:ascii="IRNazanin" w:hAnsi="IRNazanin" w:eastAsia="IRNazanin" w:cs="IRNazanin"/>
            <w:color w:val="111111"/>
            <w:sz w:val="22"/>
            <w:szCs w:val="22"/>
            <w:b w:val="0"/>
            <w:bCs w:val="0"/>
            <w:i w:val="0"/>
            <w:iCs w:val="0"/>
          </w:rPr>
          <w:t>تبريزي ، علي</w:t>
        </w:r>
        <w:r>
          <w:tab/>
        </w:r>
        <w:r>
          <w:fldChar w:fldCharType="begin"/>
        </w:r>
        <w:r>
          <w:instrText xml:space="preserve">PAGEREF 2162 \h</w:instrText>
        </w:r>
        <w:r>
          <w:fldChar w:fldCharType="end"/>
        </w:r>
      </w:hyperlink>
    </w:p>
    <w:p>
      <w:pPr>
        <w:tabs>
          <w:tab w:val="right" w:leader="dot" w:pos="9062"/>
        </w:tabs>
        <w:ind w:left="220"/>
      </w:pPr>
      <w:hyperlink w:anchor="_Toc2163" w:history="1">
        <w:r>
          <w:rPr>
            <w:rFonts w:ascii="IRNazanin" w:hAnsi="IRNazanin" w:eastAsia="IRNazanin" w:cs="IRNazanin"/>
            <w:color w:val="111111"/>
            <w:sz w:val="22"/>
            <w:szCs w:val="22"/>
            <w:b w:val="0"/>
            <w:bCs w:val="0"/>
            <w:i w:val="0"/>
            <w:iCs w:val="0"/>
          </w:rPr>
          <w:t>تبريزي ، علي بن عبد الله، 677 - 746 ه-</w:t>
        </w:r>
        <w:r>
          <w:tab/>
        </w:r>
        <w:r>
          <w:fldChar w:fldCharType="begin"/>
        </w:r>
        <w:r>
          <w:instrText xml:space="preserve">PAGEREF 2163 \h</w:instrText>
        </w:r>
        <w:r>
          <w:fldChar w:fldCharType="end"/>
        </w:r>
      </w:hyperlink>
    </w:p>
    <w:p>
      <w:pPr>
        <w:tabs>
          <w:tab w:val="right" w:leader="dot" w:pos="9062"/>
        </w:tabs>
        <w:ind w:left="220"/>
      </w:pPr>
      <w:hyperlink w:anchor="_Toc2164" w:history="1">
        <w:r>
          <w:rPr>
            <w:rFonts w:ascii="IRNazanin" w:hAnsi="IRNazanin" w:eastAsia="IRNazanin" w:cs="IRNazanin"/>
            <w:color w:val="111111"/>
            <w:sz w:val="22"/>
            <w:szCs w:val="22"/>
            <w:b w:val="0"/>
            <w:bCs w:val="0"/>
            <w:i w:val="0"/>
            <w:iCs w:val="0"/>
          </w:rPr>
          <w:t>تبريزي ، فرج الله بن محمّد، قرن 14 ه-</w:t>
        </w:r>
        <w:r>
          <w:tab/>
        </w:r>
        <w:r>
          <w:fldChar w:fldCharType="begin"/>
        </w:r>
        <w:r>
          <w:instrText xml:space="preserve">PAGEREF 2164 \h</w:instrText>
        </w:r>
        <w:r>
          <w:fldChar w:fldCharType="end"/>
        </w:r>
      </w:hyperlink>
    </w:p>
    <w:p>
      <w:pPr>
        <w:tabs>
          <w:tab w:val="right" w:leader="dot" w:pos="9062"/>
        </w:tabs>
        <w:ind w:left="220"/>
      </w:pPr>
      <w:hyperlink w:anchor="_Toc2165" w:history="1">
        <w:r>
          <w:rPr>
            <w:rFonts w:ascii="IRNazanin" w:hAnsi="IRNazanin" w:eastAsia="IRNazanin" w:cs="IRNazanin"/>
            <w:color w:val="111111"/>
            <w:sz w:val="22"/>
            <w:szCs w:val="22"/>
            <w:b w:val="0"/>
            <w:bCs w:val="0"/>
            <w:i w:val="0"/>
            <w:iCs w:val="0"/>
          </w:rPr>
          <w:t>تبريزي ، فضل الله</w:t>
        </w:r>
        <w:r>
          <w:tab/>
        </w:r>
        <w:r>
          <w:fldChar w:fldCharType="begin"/>
        </w:r>
        <w:r>
          <w:instrText xml:space="preserve">PAGEREF 2165 \h</w:instrText>
        </w:r>
        <w:r>
          <w:fldChar w:fldCharType="end"/>
        </w:r>
      </w:hyperlink>
    </w:p>
    <w:p>
      <w:pPr>
        <w:tabs>
          <w:tab w:val="right" w:leader="dot" w:pos="9062"/>
        </w:tabs>
        <w:ind w:left="220"/>
      </w:pPr>
      <w:hyperlink w:anchor="_Toc2166" w:history="1">
        <w:r>
          <w:rPr>
            <w:rFonts w:ascii="IRNazanin" w:hAnsi="IRNazanin" w:eastAsia="IRNazanin" w:cs="IRNazanin"/>
            <w:color w:val="111111"/>
            <w:sz w:val="22"/>
            <w:szCs w:val="22"/>
            <w:b w:val="0"/>
            <w:bCs w:val="0"/>
            <w:i w:val="0"/>
            <w:iCs w:val="0"/>
          </w:rPr>
          <w:t>تبريزي ، كاظم</w:t>
        </w:r>
        <w:r>
          <w:tab/>
        </w:r>
        <w:r>
          <w:fldChar w:fldCharType="begin"/>
        </w:r>
        <w:r>
          <w:instrText xml:space="preserve">PAGEREF 2166 \h</w:instrText>
        </w:r>
        <w:r>
          <w:fldChar w:fldCharType="end"/>
        </w:r>
      </w:hyperlink>
    </w:p>
    <w:p>
      <w:pPr>
        <w:tabs>
          <w:tab w:val="right" w:leader="dot" w:pos="9062"/>
        </w:tabs>
        <w:ind w:left="220"/>
      </w:pPr>
      <w:hyperlink w:anchor="_Toc2167" w:history="1">
        <w:r>
          <w:rPr>
            <w:rFonts w:ascii="IRNazanin" w:hAnsi="IRNazanin" w:eastAsia="IRNazanin" w:cs="IRNazanin"/>
            <w:color w:val="111111"/>
            <w:sz w:val="22"/>
            <w:szCs w:val="22"/>
            <w:b w:val="0"/>
            <w:bCs w:val="0"/>
            <w:i w:val="0"/>
            <w:iCs w:val="0"/>
          </w:rPr>
          <w:t>تبريزي ، لطفعلي بن احمد - 1262 ه-</w:t>
        </w:r>
        <w:r>
          <w:tab/>
        </w:r>
        <w:r>
          <w:fldChar w:fldCharType="begin"/>
        </w:r>
        <w:r>
          <w:instrText xml:space="preserve">PAGEREF 2167 \h</w:instrText>
        </w:r>
        <w:r>
          <w:fldChar w:fldCharType="end"/>
        </w:r>
      </w:hyperlink>
    </w:p>
    <w:p>
      <w:pPr>
        <w:tabs>
          <w:tab w:val="right" w:leader="dot" w:pos="9062"/>
        </w:tabs>
        <w:ind w:left="220"/>
      </w:pPr>
      <w:hyperlink w:anchor="_Toc2168" w:history="1">
        <w:r>
          <w:rPr>
            <w:rFonts w:ascii="IRNazanin" w:hAnsi="IRNazanin" w:eastAsia="IRNazanin" w:cs="IRNazanin"/>
            <w:color w:val="111111"/>
            <w:sz w:val="22"/>
            <w:szCs w:val="22"/>
            <w:b w:val="0"/>
            <w:bCs w:val="0"/>
            <w:i w:val="0"/>
            <w:iCs w:val="0"/>
          </w:rPr>
          <w:t>تبريزي ، محمّد امیرجان - 950؟ ه-</w:t>
        </w:r>
        <w:r>
          <w:tab/>
        </w:r>
        <w:r>
          <w:fldChar w:fldCharType="begin"/>
        </w:r>
        <w:r>
          <w:instrText xml:space="preserve">PAGEREF 2168 \h</w:instrText>
        </w:r>
        <w:r>
          <w:fldChar w:fldCharType="end"/>
        </w:r>
      </w:hyperlink>
    </w:p>
    <w:p>
      <w:pPr>
        <w:tabs>
          <w:tab w:val="right" w:leader="dot" w:pos="9062"/>
        </w:tabs>
        <w:ind w:left="220"/>
      </w:pPr>
      <w:hyperlink w:anchor="_Toc2169" w:history="1">
        <w:r>
          <w:rPr>
            <w:rFonts w:ascii="IRNazanin" w:hAnsi="IRNazanin" w:eastAsia="IRNazanin" w:cs="IRNazanin"/>
            <w:color w:val="111111"/>
            <w:sz w:val="22"/>
            <w:szCs w:val="22"/>
            <w:b w:val="0"/>
            <w:bCs w:val="0"/>
            <w:i w:val="0"/>
            <w:iCs w:val="0"/>
          </w:rPr>
          <w:t>تبريزي، محمّد باقر بن محمّد سلیم قرن 13ه-</w:t>
        </w:r>
        <w:r>
          <w:tab/>
        </w:r>
        <w:r>
          <w:fldChar w:fldCharType="begin"/>
        </w:r>
        <w:r>
          <w:instrText xml:space="preserve">PAGEREF 2169 \h</w:instrText>
        </w:r>
        <w:r>
          <w:fldChar w:fldCharType="end"/>
        </w:r>
      </w:hyperlink>
    </w:p>
    <w:p>
      <w:pPr>
        <w:tabs>
          <w:tab w:val="right" w:leader="dot" w:pos="9062"/>
        </w:tabs>
        <w:ind w:left="220"/>
      </w:pPr>
      <w:hyperlink w:anchor="_Toc2170" w:history="1">
        <w:r>
          <w:rPr>
            <w:rFonts w:ascii="IRNazanin" w:hAnsi="IRNazanin" w:eastAsia="IRNazanin" w:cs="IRNazanin"/>
            <w:color w:val="111111"/>
            <w:sz w:val="22"/>
            <w:szCs w:val="22"/>
            <w:b w:val="0"/>
            <w:bCs w:val="0"/>
            <w:i w:val="0"/>
            <w:iCs w:val="0"/>
          </w:rPr>
          <w:t>تبريزي ، محمّد بن فرج الله قرن 14 ه-</w:t>
        </w:r>
        <w:r>
          <w:tab/>
        </w:r>
        <w:r>
          <w:fldChar w:fldCharType="begin"/>
        </w:r>
        <w:r>
          <w:instrText xml:space="preserve">PAGEREF 2170 \h</w:instrText>
        </w:r>
        <w:r>
          <w:fldChar w:fldCharType="end"/>
        </w:r>
      </w:hyperlink>
    </w:p>
    <w:p>
      <w:pPr>
        <w:tabs>
          <w:tab w:val="right" w:leader="dot" w:pos="9062"/>
        </w:tabs>
        <w:ind w:left="220"/>
      </w:pPr>
      <w:hyperlink w:anchor="_Toc2171" w:history="1">
        <w:r>
          <w:rPr>
            <w:rFonts w:ascii="IRNazanin" w:hAnsi="IRNazanin" w:eastAsia="IRNazanin" w:cs="IRNazanin"/>
            <w:color w:val="111111"/>
            <w:sz w:val="22"/>
            <w:szCs w:val="22"/>
            <w:b w:val="0"/>
            <w:bCs w:val="0"/>
            <w:i w:val="0"/>
            <w:iCs w:val="0"/>
          </w:rPr>
          <w:t>تبريزي ، محمّد بن قاسم</w:t>
        </w:r>
        <w:r>
          <w:tab/>
        </w:r>
        <w:r>
          <w:fldChar w:fldCharType="begin"/>
        </w:r>
        <w:r>
          <w:instrText xml:space="preserve">PAGEREF 2171 \h</w:instrText>
        </w:r>
        <w:r>
          <w:fldChar w:fldCharType="end"/>
        </w:r>
      </w:hyperlink>
    </w:p>
    <w:p>
      <w:pPr>
        <w:tabs>
          <w:tab w:val="right" w:leader="dot" w:pos="9062"/>
        </w:tabs>
        <w:ind w:left="220"/>
      </w:pPr>
      <w:hyperlink w:anchor="_Toc2172" w:history="1">
        <w:r>
          <w:rPr>
            <w:rFonts w:ascii="IRNazanin" w:hAnsi="IRNazanin" w:eastAsia="IRNazanin" w:cs="IRNazanin"/>
            <w:color w:val="111111"/>
            <w:sz w:val="22"/>
            <w:szCs w:val="22"/>
            <w:b w:val="0"/>
            <w:bCs w:val="0"/>
            <w:i w:val="0"/>
            <w:iCs w:val="0"/>
          </w:rPr>
          <w:t>تبريزي ، محمّد حسن</w:t>
        </w:r>
        <w:r>
          <w:tab/>
        </w:r>
        <w:r>
          <w:fldChar w:fldCharType="begin"/>
        </w:r>
        <w:r>
          <w:instrText xml:space="preserve">PAGEREF 2172 \h</w:instrText>
        </w:r>
        <w:r>
          <w:fldChar w:fldCharType="end"/>
        </w:r>
      </w:hyperlink>
    </w:p>
    <w:p>
      <w:pPr>
        <w:tabs>
          <w:tab w:val="right" w:leader="dot" w:pos="9062"/>
        </w:tabs>
        <w:ind w:left="220"/>
      </w:pPr>
      <w:hyperlink w:anchor="_Toc2173" w:history="1">
        <w:r>
          <w:rPr>
            <w:rFonts w:ascii="IRNazanin" w:hAnsi="IRNazanin" w:eastAsia="IRNazanin" w:cs="IRNazanin"/>
            <w:color w:val="111111"/>
            <w:sz w:val="22"/>
            <w:szCs w:val="22"/>
            <w:b w:val="0"/>
            <w:bCs w:val="0"/>
            <w:i w:val="0"/>
            <w:iCs w:val="0"/>
          </w:rPr>
          <w:t>تبريزي ، محمّد رضا بن عبد المطلب قرن</w:t>
        </w:r>
        <w:r>
          <w:tab/>
        </w:r>
        <w:r>
          <w:fldChar w:fldCharType="begin"/>
        </w:r>
        <w:r>
          <w:instrText xml:space="preserve">PAGEREF 2173 \h</w:instrText>
        </w:r>
        <w:r>
          <w:fldChar w:fldCharType="end"/>
        </w:r>
      </w:hyperlink>
    </w:p>
    <w:p>
      <w:pPr>
        <w:tabs>
          <w:tab w:val="right" w:leader="dot" w:pos="9062"/>
        </w:tabs>
        <w:ind w:left="220"/>
      </w:pPr>
      <w:hyperlink w:anchor="_Toc2174" w:history="1">
        <w:r>
          <w:rPr>
            <w:rFonts w:ascii="IRNazanin" w:hAnsi="IRNazanin" w:eastAsia="IRNazanin" w:cs="IRNazanin"/>
            <w:color w:val="111111"/>
            <w:sz w:val="22"/>
            <w:szCs w:val="22"/>
            <w:b w:val="0"/>
            <w:bCs w:val="0"/>
            <w:i w:val="0"/>
            <w:iCs w:val="0"/>
          </w:rPr>
          <w:t>تبريزي قرن ، محمّد زمان بن محمّد طاهر 13 ه-</w:t>
        </w:r>
        <w:r>
          <w:tab/>
        </w:r>
        <w:r>
          <w:fldChar w:fldCharType="begin"/>
        </w:r>
        <w:r>
          <w:instrText xml:space="preserve">PAGEREF 2174 \h</w:instrText>
        </w:r>
        <w:r>
          <w:fldChar w:fldCharType="end"/>
        </w:r>
      </w:hyperlink>
    </w:p>
    <w:p>
      <w:pPr>
        <w:tabs>
          <w:tab w:val="right" w:leader="dot" w:pos="9062"/>
        </w:tabs>
        <w:ind w:left="220"/>
      </w:pPr>
      <w:hyperlink w:anchor="_Toc2175" w:history="1">
        <w:r>
          <w:rPr>
            <w:rFonts w:ascii="IRNazanin" w:hAnsi="IRNazanin" w:eastAsia="IRNazanin" w:cs="IRNazanin"/>
            <w:color w:val="111111"/>
            <w:sz w:val="22"/>
            <w:szCs w:val="22"/>
            <w:b w:val="0"/>
            <w:bCs w:val="0"/>
            <w:i w:val="0"/>
            <w:iCs w:val="0"/>
          </w:rPr>
          <w:t>تبريزي ، محمّد شفيع بن محمّد جعفر</w:t>
        </w:r>
        <w:r>
          <w:tab/>
        </w:r>
        <w:r>
          <w:fldChar w:fldCharType="begin"/>
        </w:r>
        <w:r>
          <w:instrText xml:space="preserve">PAGEREF 2175 \h</w:instrText>
        </w:r>
        <w:r>
          <w:fldChar w:fldCharType="end"/>
        </w:r>
      </w:hyperlink>
    </w:p>
    <w:p>
      <w:pPr>
        <w:tabs>
          <w:tab w:val="right" w:leader="dot" w:pos="9062"/>
        </w:tabs>
        <w:ind w:left="220"/>
      </w:pPr>
      <w:hyperlink w:anchor="_Toc2176" w:history="1">
        <w:r>
          <w:rPr>
            <w:rFonts w:ascii="IRNazanin" w:hAnsi="IRNazanin" w:eastAsia="IRNazanin" w:cs="IRNazanin"/>
            <w:color w:val="111111"/>
            <w:sz w:val="22"/>
            <w:szCs w:val="22"/>
            <w:b w:val="0"/>
            <w:bCs w:val="0"/>
            <w:i w:val="0"/>
            <w:iCs w:val="0"/>
          </w:rPr>
          <w:t>تبريزي ، محمّد طه بن مهدي، 1241 -</w:t>
        </w:r>
        <w:r>
          <w:tab/>
        </w:r>
        <w:r>
          <w:fldChar w:fldCharType="begin"/>
        </w:r>
        <w:r>
          <w:instrText xml:space="preserve">PAGEREF 2176 \h</w:instrText>
        </w:r>
        <w:r>
          <w:fldChar w:fldCharType="end"/>
        </w:r>
      </w:hyperlink>
    </w:p>
    <w:p>
      <w:pPr>
        <w:tabs>
          <w:tab w:val="right" w:leader="dot" w:pos="9062"/>
        </w:tabs>
        <w:ind w:left="220"/>
      </w:pPr>
      <w:hyperlink w:anchor="_Toc2177" w:history="1">
        <w:r>
          <w:rPr>
            <w:rFonts w:ascii="IRNazanin" w:hAnsi="IRNazanin" w:eastAsia="IRNazanin" w:cs="IRNazanin"/>
            <w:color w:val="111111"/>
            <w:sz w:val="22"/>
            <w:szCs w:val="22"/>
            <w:b w:val="0"/>
            <w:bCs w:val="0"/>
            <w:i w:val="0"/>
            <w:iCs w:val="0"/>
          </w:rPr>
          <w:t>تبريزي ، مقصود علي قرن 11 ه-</w:t>
        </w:r>
        <w:r>
          <w:tab/>
        </w:r>
        <w:r>
          <w:fldChar w:fldCharType="begin"/>
        </w:r>
        <w:r>
          <w:instrText xml:space="preserve">PAGEREF 2177 \h</w:instrText>
        </w:r>
        <w:r>
          <w:fldChar w:fldCharType="end"/>
        </w:r>
      </w:hyperlink>
    </w:p>
    <w:p>
      <w:pPr>
        <w:tabs>
          <w:tab w:val="right" w:leader="dot" w:pos="9062"/>
        </w:tabs>
        <w:ind w:left="220"/>
      </w:pPr>
      <w:hyperlink w:anchor="_Toc2178" w:history="1">
        <w:r>
          <w:rPr>
            <w:rFonts w:ascii="IRNazanin" w:hAnsi="IRNazanin" w:eastAsia="IRNazanin" w:cs="IRNazanin"/>
            <w:color w:val="111111"/>
            <w:sz w:val="22"/>
            <w:szCs w:val="22"/>
            <w:b w:val="0"/>
            <w:bCs w:val="0"/>
            <w:i w:val="0"/>
            <w:iCs w:val="0"/>
          </w:rPr>
          <w:t>تبريزي، موسى بن جعفر - 1307 ش</w:t>
        </w:r>
        <w:r>
          <w:tab/>
        </w:r>
        <w:r>
          <w:fldChar w:fldCharType="begin"/>
        </w:r>
        <w:r>
          <w:instrText xml:space="preserve">PAGEREF 2178 \h</w:instrText>
        </w:r>
        <w:r>
          <w:fldChar w:fldCharType="end"/>
        </w:r>
      </w:hyperlink>
    </w:p>
    <w:p>
      <w:pPr>
        <w:tabs>
          <w:tab w:val="right" w:leader="dot" w:pos="9062"/>
        </w:tabs>
        <w:ind w:left="220"/>
      </w:pPr>
      <w:hyperlink w:anchor="_Toc2179" w:history="1">
        <w:r>
          <w:rPr>
            <w:rFonts w:ascii="IRNazanin" w:hAnsi="IRNazanin" w:eastAsia="IRNazanin" w:cs="IRNazanin"/>
            <w:color w:val="111111"/>
            <w:sz w:val="22"/>
            <w:szCs w:val="22"/>
            <w:b w:val="0"/>
            <w:bCs w:val="0"/>
            <w:i w:val="0"/>
            <w:iCs w:val="0"/>
          </w:rPr>
          <w:t>تبريزي مير اویس بن امیرجان قرن 10 ه-</w:t>
        </w:r>
        <w:r>
          <w:tab/>
        </w:r>
        <w:r>
          <w:fldChar w:fldCharType="begin"/>
        </w:r>
        <w:r>
          <w:instrText xml:space="preserve">PAGEREF 2179 \h</w:instrText>
        </w:r>
        <w:r>
          <w:fldChar w:fldCharType="end"/>
        </w:r>
      </w:hyperlink>
    </w:p>
    <w:p>
      <w:pPr>
        <w:tabs>
          <w:tab w:val="right" w:leader="dot" w:pos="9062"/>
        </w:tabs>
        <w:ind w:left="220"/>
      </w:pPr>
      <w:hyperlink w:anchor="_Toc2180" w:history="1">
        <w:r>
          <w:rPr>
            <w:rFonts w:ascii="IRNazanin" w:hAnsi="IRNazanin" w:eastAsia="IRNazanin" w:cs="IRNazanin"/>
            <w:color w:val="111111"/>
            <w:sz w:val="22"/>
            <w:szCs w:val="22"/>
            <w:b w:val="0"/>
            <w:bCs w:val="0"/>
            <w:i w:val="0"/>
            <w:iCs w:val="0"/>
          </w:rPr>
          <w:t>تبريزي ، يوسف بن احمد</w:t>
        </w:r>
        <w:r>
          <w:tab/>
        </w:r>
        <w:r>
          <w:fldChar w:fldCharType="begin"/>
        </w:r>
        <w:r>
          <w:instrText xml:space="preserve">PAGEREF 2180 \h</w:instrText>
        </w:r>
        <w:r>
          <w:fldChar w:fldCharType="end"/>
        </w:r>
      </w:hyperlink>
    </w:p>
    <w:p>
      <w:pPr>
        <w:tabs>
          <w:tab w:val="right" w:leader="dot" w:pos="9062"/>
        </w:tabs>
        <w:ind w:left="220"/>
      </w:pPr>
      <w:hyperlink w:anchor="_Toc2181" w:history="1">
        <w:r>
          <w:rPr>
            <w:rFonts w:ascii="IRNazanin" w:hAnsi="IRNazanin" w:eastAsia="IRNazanin" w:cs="IRNazanin"/>
            <w:color w:val="111111"/>
            <w:sz w:val="22"/>
            <w:szCs w:val="22"/>
            <w:b w:val="0"/>
            <w:bCs w:val="0"/>
            <w:i w:val="0"/>
            <w:iCs w:val="0"/>
          </w:rPr>
          <w:t>تتشوري ، عبدالله بن محمّد</w:t>
        </w:r>
        <w:r>
          <w:tab/>
        </w:r>
        <w:r>
          <w:fldChar w:fldCharType="begin"/>
        </w:r>
        <w:r>
          <w:instrText xml:space="preserve">PAGEREF 2181 \h</w:instrText>
        </w:r>
        <w:r>
          <w:fldChar w:fldCharType="end"/>
        </w:r>
      </w:hyperlink>
    </w:p>
    <w:p>
      <w:pPr>
        <w:tabs>
          <w:tab w:val="right" w:leader="dot" w:pos="9062"/>
        </w:tabs>
        <w:ind w:left="220"/>
      </w:pPr>
      <w:hyperlink w:anchor="_Toc2182" w:history="1">
        <w:r>
          <w:rPr>
            <w:rFonts w:ascii="IRNazanin" w:hAnsi="IRNazanin" w:eastAsia="IRNazanin" w:cs="IRNazanin"/>
            <w:color w:val="111111"/>
            <w:sz w:val="22"/>
            <w:szCs w:val="22"/>
            <w:b w:val="0"/>
            <w:bCs w:val="0"/>
            <w:i w:val="0"/>
            <w:iCs w:val="0"/>
          </w:rPr>
          <w:t>تتوي ، احمد بن نصر الله - 996 ه-</w:t>
        </w:r>
        <w:r>
          <w:tab/>
        </w:r>
        <w:r>
          <w:fldChar w:fldCharType="begin"/>
        </w:r>
        <w:r>
          <w:instrText xml:space="preserve">PAGEREF 2182 \h</w:instrText>
        </w:r>
        <w:r>
          <w:fldChar w:fldCharType="end"/>
        </w:r>
      </w:hyperlink>
    </w:p>
    <w:p>
      <w:pPr>
        <w:tabs>
          <w:tab w:val="right" w:leader="dot" w:pos="9062"/>
        </w:tabs>
        <w:ind w:left="220"/>
      </w:pPr>
      <w:hyperlink w:anchor="_Toc2183" w:history="1">
        <w:r>
          <w:rPr>
            <w:rFonts w:ascii="IRNazanin" w:hAnsi="IRNazanin" w:eastAsia="IRNazanin" w:cs="IRNazanin"/>
            <w:color w:val="111111"/>
            <w:sz w:val="22"/>
            <w:szCs w:val="22"/>
            <w:b w:val="0"/>
            <w:bCs w:val="0"/>
            <w:i w:val="0"/>
            <w:iCs w:val="0"/>
          </w:rPr>
          <w:t>تجاري ، مجد بن حسن</w:t>
        </w:r>
        <w:r>
          <w:tab/>
        </w:r>
        <w:r>
          <w:fldChar w:fldCharType="begin"/>
        </w:r>
        <w:r>
          <w:instrText xml:space="preserve">PAGEREF 2183 \h</w:instrText>
        </w:r>
        <w:r>
          <w:fldChar w:fldCharType="end"/>
        </w:r>
      </w:hyperlink>
    </w:p>
    <w:p>
      <w:pPr>
        <w:tabs>
          <w:tab w:val="right" w:leader="dot" w:pos="9062"/>
        </w:tabs>
        <w:ind w:left="220"/>
      </w:pPr>
      <w:hyperlink w:anchor="_Toc2184" w:history="1">
        <w:r>
          <w:rPr>
            <w:rFonts w:ascii="IRNazanin" w:hAnsi="IRNazanin" w:eastAsia="IRNazanin" w:cs="IRNazanin"/>
            <w:color w:val="111111"/>
            <w:sz w:val="22"/>
            <w:szCs w:val="22"/>
            <w:b w:val="0"/>
            <w:bCs w:val="0"/>
            <w:i w:val="0"/>
            <w:iCs w:val="0"/>
          </w:rPr>
          <w:t>تجاني ، محمّد بن احمد قرن 8 ه-</w:t>
        </w:r>
        <w:r>
          <w:tab/>
        </w:r>
        <w:r>
          <w:fldChar w:fldCharType="begin"/>
        </w:r>
        <w:r>
          <w:instrText xml:space="preserve">PAGEREF 2184 \h</w:instrText>
        </w:r>
        <w:r>
          <w:fldChar w:fldCharType="end"/>
        </w:r>
      </w:hyperlink>
    </w:p>
    <w:p>
      <w:pPr>
        <w:tabs>
          <w:tab w:val="right" w:leader="dot" w:pos="9062"/>
        </w:tabs>
        <w:ind w:left="220"/>
      </w:pPr>
      <w:hyperlink w:anchor="_Toc2185" w:history="1">
        <w:r>
          <w:rPr>
            <w:rFonts w:ascii="IRNazanin" w:hAnsi="IRNazanin" w:eastAsia="IRNazanin" w:cs="IRNazanin"/>
            <w:color w:val="111111"/>
            <w:sz w:val="22"/>
            <w:szCs w:val="22"/>
            <w:b w:val="0"/>
            <w:bCs w:val="0"/>
            <w:i w:val="0"/>
            <w:iCs w:val="0"/>
          </w:rPr>
          <w:t>تجلي شيرازي عليرضا بن حسين -1085ه-</w:t>
        </w:r>
        <w:r>
          <w:tab/>
        </w:r>
        <w:r>
          <w:fldChar w:fldCharType="begin"/>
        </w:r>
        <w:r>
          <w:instrText xml:space="preserve">PAGEREF 2185 \h</w:instrText>
        </w:r>
        <w:r>
          <w:fldChar w:fldCharType="end"/>
        </w:r>
      </w:hyperlink>
    </w:p>
    <w:p>
      <w:pPr>
        <w:tabs>
          <w:tab w:val="right" w:leader="dot" w:pos="9062"/>
        </w:tabs>
        <w:ind w:left="220"/>
      </w:pPr>
      <w:hyperlink w:anchor="_Toc2186" w:history="1">
        <w:r>
          <w:rPr>
            <w:rFonts w:ascii="IRNazanin" w:hAnsi="IRNazanin" w:eastAsia="IRNazanin" w:cs="IRNazanin"/>
            <w:color w:val="111111"/>
            <w:sz w:val="22"/>
            <w:szCs w:val="22"/>
            <w:b w:val="0"/>
            <w:bCs w:val="0"/>
            <w:i w:val="0"/>
            <w:iCs w:val="0"/>
          </w:rPr>
          <w:t>تدرومي، يوسف بن قورقماز - 807 ه-</w:t>
        </w:r>
        <w:r>
          <w:tab/>
        </w:r>
        <w:r>
          <w:fldChar w:fldCharType="begin"/>
        </w:r>
        <w:r>
          <w:instrText xml:space="preserve">PAGEREF 2186 \h</w:instrText>
        </w:r>
        <w:r>
          <w:fldChar w:fldCharType="end"/>
        </w:r>
      </w:hyperlink>
    </w:p>
    <w:p>
      <w:pPr>
        <w:tabs>
          <w:tab w:val="right" w:leader="dot" w:pos="9062"/>
        </w:tabs>
        <w:ind w:left="220"/>
      </w:pPr>
      <w:hyperlink w:anchor="_Toc2187" w:history="1">
        <w:r>
          <w:rPr>
            <w:rFonts w:ascii="IRNazanin" w:hAnsi="IRNazanin" w:eastAsia="IRNazanin" w:cs="IRNazanin"/>
            <w:color w:val="111111"/>
            <w:sz w:val="22"/>
            <w:szCs w:val="22"/>
            <w:b w:val="0"/>
            <w:bCs w:val="0"/>
            <w:i w:val="0"/>
            <w:iCs w:val="0"/>
          </w:rPr>
          <w:t>ترازيا - 1582 م</w:t>
        </w:r>
        <w:r>
          <w:tab/>
        </w:r>
        <w:r>
          <w:fldChar w:fldCharType="begin"/>
        </w:r>
        <w:r>
          <w:instrText xml:space="preserve">PAGEREF 2187 \h</w:instrText>
        </w:r>
        <w:r>
          <w:fldChar w:fldCharType="end"/>
        </w:r>
      </w:hyperlink>
    </w:p>
    <w:p>
      <w:pPr>
        <w:tabs>
          <w:tab w:val="right" w:leader="dot" w:pos="9062"/>
        </w:tabs>
        <w:ind w:left="220"/>
      </w:pPr>
      <w:hyperlink w:anchor="_Toc2188" w:history="1">
        <w:r>
          <w:rPr>
            <w:rFonts w:ascii="IRNazanin" w:hAnsi="IRNazanin" w:eastAsia="IRNazanin" w:cs="IRNazanin"/>
            <w:color w:val="111111"/>
            <w:sz w:val="22"/>
            <w:szCs w:val="22"/>
            <w:b w:val="0"/>
            <w:bCs w:val="0"/>
            <w:i w:val="0"/>
            <w:iCs w:val="0"/>
          </w:rPr>
          <w:t>ترانشي</w:t>
        </w:r>
        <w:r>
          <w:tab/>
        </w:r>
        <w:r>
          <w:fldChar w:fldCharType="begin"/>
        </w:r>
        <w:r>
          <w:instrText xml:space="preserve">PAGEREF 2188 \h</w:instrText>
        </w:r>
        <w:r>
          <w:fldChar w:fldCharType="end"/>
        </w:r>
      </w:hyperlink>
    </w:p>
    <w:p>
      <w:pPr>
        <w:tabs>
          <w:tab w:val="right" w:leader="dot" w:pos="9062"/>
        </w:tabs>
        <w:ind w:left="220"/>
      </w:pPr>
      <w:hyperlink w:anchor="_Toc2189" w:history="1">
        <w:r>
          <w:rPr>
            <w:rFonts w:ascii="IRNazanin" w:hAnsi="IRNazanin" w:eastAsia="IRNazanin" w:cs="IRNazanin"/>
            <w:color w:val="111111"/>
            <w:sz w:val="22"/>
            <w:szCs w:val="22"/>
            <w:b w:val="0"/>
            <w:bCs w:val="0"/>
            <w:i w:val="0"/>
            <w:iCs w:val="0"/>
          </w:rPr>
          <w:t>ترجماني ، عبدالرحيم بن عمر - 645 ه-</w:t>
        </w:r>
        <w:r>
          <w:tab/>
        </w:r>
        <w:r>
          <w:fldChar w:fldCharType="begin"/>
        </w:r>
        <w:r>
          <w:instrText xml:space="preserve">PAGEREF 2189 \h</w:instrText>
        </w:r>
        <w:r>
          <w:fldChar w:fldCharType="end"/>
        </w:r>
      </w:hyperlink>
    </w:p>
    <w:p>
      <w:pPr>
        <w:tabs>
          <w:tab w:val="right" w:leader="dot" w:pos="9062"/>
        </w:tabs>
        <w:ind w:left="220"/>
      </w:pPr>
      <w:hyperlink w:anchor="_Toc2190" w:history="1">
        <w:r>
          <w:rPr>
            <w:rFonts w:ascii="IRNazanin" w:hAnsi="IRNazanin" w:eastAsia="IRNazanin" w:cs="IRNazanin"/>
            <w:color w:val="111111"/>
            <w:sz w:val="22"/>
            <w:szCs w:val="22"/>
            <w:b w:val="0"/>
            <w:bCs w:val="0"/>
            <w:i w:val="0"/>
            <w:iCs w:val="0"/>
          </w:rPr>
          <w:t>ترك ، حسن</w:t>
        </w:r>
        <w:r>
          <w:tab/>
        </w:r>
        <w:r>
          <w:fldChar w:fldCharType="begin"/>
        </w:r>
        <w:r>
          <w:instrText xml:space="preserve">PAGEREF 2190 \h</w:instrText>
        </w:r>
        <w:r>
          <w:fldChar w:fldCharType="end"/>
        </w:r>
      </w:hyperlink>
    </w:p>
    <w:p>
      <w:pPr>
        <w:tabs>
          <w:tab w:val="right" w:leader="dot" w:pos="9062"/>
        </w:tabs>
        <w:ind w:left="220"/>
      </w:pPr>
      <w:hyperlink w:anchor="_Toc2191" w:history="1">
        <w:r>
          <w:rPr>
            <w:rFonts w:ascii="IRNazanin" w:hAnsi="IRNazanin" w:eastAsia="IRNazanin" w:cs="IRNazanin"/>
            <w:color w:val="111111"/>
            <w:sz w:val="22"/>
            <w:szCs w:val="22"/>
            <w:b w:val="0"/>
            <w:bCs w:val="0"/>
            <w:i w:val="0"/>
            <w:iCs w:val="0"/>
          </w:rPr>
          <w:t>تركستاني ، فخرالدین، قرن 11 ه-</w:t>
        </w:r>
        <w:r>
          <w:tab/>
        </w:r>
        <w:r>
          <w:fldChar w:fldCharType="begin"/>
        </w:r>
        <w:r>
          <w:instrText xml:space="preserve">PAGEREF 2191 \h</w:instrText>
        </w:r>
        <w:r>
          <w:fldChar w:fldCharType="end"/>
        </w:r>
      </w:hyperlink>
    </w:p>
    <w:p>
      <w:pPr>
        <w:tabs>
          <w:tab w:val="right" w:leader="dot" w:pos="9062"/>
        </w:tabs>
        <w:ind w:left="220"/>
      </w:pPr>
      <w:hyperlink w:anchor="_Toc2192" w:history="1">
        <w:r>
          <w:rPr>
            <w:rFonts w:ascii="IRNazanin" w:hAnsi="IRNazanin" w:eastAsia="IRNazanin" w:cs="IRNazanin"/>
            <w:color w:val="111111"/>
            <w:sz w:val="22"/>
            <w:szCs w:val="22"/>
            <w:b w:val="0"/>
            <w:bCs w:val="0"/>
            <w:i w:val="0"/>
            <w:iCs w:val="0"/>
          </w:rPr>
          <w:t>تركماني ، ادريس بن بيدكين - 800 ه-</w:t>
        </w:r>
        <w:r>
          <w:tab/>
        </w:r>
        <w:r>
          <w:fldChar w:fldCharType="begin"/>
        </w:r>
        <w:r>
          <w:instrText xml:space="preserve">PAGEREF 2192 \h</w:instrText>
        </w:r>
        <w:r>
          <w:fldChar w:fldCharType="end"/>
        </w:r>
      </w:hyperlink>
    </w:p>
    <w:p>
      <w:pPr>
        <w:tabs>
          <w:tab w:val="right" w:leader="dot" w:pos="9062"/>
        </w:tabs>
        <w:ind w:left="220"/>
      </w:pPr>
      <w:hyperlink w:anchor="_Toc2193" w:history="1">
        <w:r>
          <w:rPr>
            <w:rFonts w:ascii="IRNazanin" w:hAnsi="IRNazanin" w:eastAsia="IRNazanin" w:cs="IRNazanin"/>
            <w:color w:val="111111"/>
            <w:sz w:val="22"/>
            <w:szCs w:val="22"/>
            <w:b w:val="0"/>
            <w:bCs w:val="0"/>
            <w:i w:val="0"/>
            <w:iCs w:val="0"/>
          </w:rPr>
          <w:t>تركماني، عثمان بن ابراهيم 2650-731ه-</w:t>
        </w:r>
        <w:r>
          <w:tab/>
        </w:r>
        <w:r>
          <w:fldChar w:fldCharType="begin"/>
        </w:r>
        <w:r>
          <w:instrText xml:space="preserve">PAGEREF 2193 \h</w:instrText>
        </w:r>
        <w:r>
          <w:fldChar w:fldCharType="end"/>
        </w:r>
      </w:hyperlink>
    </w:p>
    <w:p>
      <w:pPr>
        <w:tabs>
          <w:tab w:val="right" w:leader="dot" w:pos="9062"/>
        </w:tabs>
        <w:ind w:left="220"/>
      </w:pPr>
      <w:hyperlink w:anchor="_Toc2194" w:history="1">
        <w:r>
          <w:rPr>
            <w:rFonts w:ascii="IRNazanin" w:hAnsi="IRNazanin" w:eastAsia="IRNazanin" w:cs="IRNazanin"/>
            <w:color w:val="111111"/>
            <w:sz w:val="22"/>
            <w:szCs w:val="22"/>
            <w:b w:val="0"/>
            <w:bCs w:val="0"/>
            <w:i w:val="0"/>
            <w:iCs w:val="0"/>
          </w:rPr>
          <w:t>تركماني ، محمّد بن احمد، 714 - 750 ه-</w:t>
        </w:r>
        <w:r>
          <w:tab/>
        </w:r>
        <w:r>
          <w:fldChar w:fldCharType="begin"/>
        </w:r>
        <w:r>
          <w:instrText xml:space="preserve">PAGEREF 2194 \h</w:instrText>
        </w:r>
        <w:r>
          <w:fldChar w:fldCharType="end"/>
        </w:r>
      </w:hyperlink>
    </w:p>
    <w:p>
      <w:pPr>
        <w:tabs>
          <w:tab w:val="right" w:leader="dot" w:pos="9062"/>
        </w:tabs>
        <w:ind w:left="220"/>
      </w:pPr>
      <w:hyperlink w:anchor="_Toc2195" w:history="1">
        <w:r>
          <w:rPr>
            <w:rFonts w:ascii="IRNazanin" w:hAnsi="IRNazanin" w:eastAsia="IRNazanin" w:cs="IRNazanin"/>
            <w:color w:val="111111"/>
            <w:sz w:val="22"/>
            <w:szCs w:val="22"/>
            <w:b w:val="0"/>
            <w:bCs w:val="0"/>
            <w:i w:val="0"/>
            <w:iCs w:val="0"/>
          </w:rPr>
          <w:t>ترکه اصفهاني ، خواجه افضل الدین قرن 10ه-</w:t>
        </w:r>
        <w:r>
          <w:tab/>
        </w:r>
        <w:r>
          <w:fldChar w:fldCharType="begin"/>
        </w:r>
        <w:r>
          <w:instrText xml:space="preserve">PAGEREF 2195 \h</w:instrText>
        </w:r>
        <w:r>
          <w:fldChar w:fldCharType="end"/>
        </w:r>
      </w:hyperlink>
    </w:p>
    <w:p>
      <w:pPr>
        <w:tabs>
          <w:tab w:val="right" w:leader="dot" w:pos="9062"/>
        </w:tabs>
        <w:ind w:left="220"/>
      </w:pPr>
      <w:hyperlink w:anchor="_Toc2196" w:history="1">
        <w:r>
          <w:rPr>
            <w:rFonts w:ascii="IRNazanin" w:hAnsi="IRNazanin" w:eastAsia="IRNazanin" w:cs="IRNazanin"/>
            <w:color w:val="111111"/>
            <w:sz w:val="22"/>
            <w:szCs w:val="22"/>
            <w:b w:val="0"/>
            <w:bCs w:val="0"/>
            <w:i w:val="0"/>
            <w:iCs w:val="0"/>
          </w:rPr>
          <w:t>تركه اصفهاني ، علي بن محمّد - 836 ؟ ه-</w:t>
        </w:r>
        <w:r>
          <w:tab/>
        </w:r>
        <w:r>
          <w:fldChar w:fldCharType="begin"/>
        </w:r>
        <w:r>
          <w:instrText xml:space="preserve">PAGEREF 2196 \h</w:instrText>
        </w:r>
        <w:r>
          <w:fldChar w:fldCharType="end"/>
        </w:r>
      </w:hyperlink>
    </w:p>
    <w:p>
      <w:pPr>
        <w:tabs>
          <w:tab w:val="right" w:leader="dot" w:pos="9062"/>
        </w:tabs>
        <w:ind w:left="220"/>
      </w:pPr>
      <w:hyperlink w:anchor="_Toc2197" w:history="1">
        <w:r>
          <w:rPr>
            <w:rFonts w:ascii="IRNazanin" w:hAnsi="IRNazanin" w:eastAsia="IRNazanin" w:cs="IRNazanin"/>
            <w:color w:val="111111"/>
            <w:sz w:val="22"/>
            <w:szCs w:val="22"/>
            <w:b w:val="0"/>
            <w:bCs w:val="0"/>
            <w:i w:val="0"/>
            <w:iCs w:val="0"/>
          </w:rPr>
          <w:t>تركه طوسي، افضل الدین محمّد -991ه-</w:t>
        </w:r>
        <w:r>
          <w:tab/>
        </w:r>
        <w:r>
          <w:fldChar w:fldCharType="begin"/>
        </w:r>
        <w:r>
          <w:instrText xml:space="preserve">PAGEREF 2197 \h</w:instrText>
        </w:r>
        <w:r>
          <w:fldChar w:fldCharType="end"/>
        </w:r>
      </w:hyperlink>
    </w:p>
    <w:p>
      <w:pPr>
        <w:tabs>
          <w:tab w:val="right" w:leader="dot" w:pos="9062"/>
        </w:tabs>
        <w:ind w:left="220"/>
      </w:pPr>
      <w:hyperlink w:anchor="_Toc2198" w:history="1">
        <w:r>
          <w:rPr>
            <w:rFonts w:ascii="IRNazanin" w:hAnsi="IRNazanin" w:eastAsia="IRNazanin" w:cs="IRNazanin"/>
            <w:color w:val="111111"/>
            <w:sz w:val="22"/>
            <w:szCs w:val="22"/>
            <w:b w:val="0"/>
            <w:bCs w:val="0"/>
            <w:i w:val="0"/>
            <w:iCs w:val="0"/>
          </w:rPr>
          <w:t>ترمدي محمّد ابراهيم بن محمّد - 791ه-</w:t>
        </w:r>
        <w:r>
          <w:tab/>
        </w:r>
        <w:r>
          <w:fldChar w:fldCharType="begin"/>
        </w:r>
        <w:r>
          <w:instrText xml:space="preserve">PAGEREF 2198 \h</w:instrText>
        </w:r>
        <w:r>
          <w:fldChar w:fldCharType="end"/>
        </w:r>
      </w:hyperlink>
    </w:p>
    <w:p>
      <w:pPr>
        <w:tabs>
          <w:tab w:val="right" w:leader="dot" w:pos="9062"/>
        </w:tabs>
        <w:ind w:left="220"/>
      </w:pPr>
      <w:hyperlink w:anchor="_Toc2199" w:history="1">
        <w:r>
          <w:rPr>
            <w:rFonts w:ascii="IRNazanin" w:hAnsi="IRNazanin" w:eastAsia="IRNazanin" w:cs="IRNazanin"/>
            <w:color w:val="111111"/>
            <w:sz w:val="22"/>
            <w:szCs w:val="22"/>
            <w:b w:val="0"/>
            <w:bCs w:val="0"/>
            <w:i w:val="0"/>
            <w:iCs w:val="0"/>
          </w:rPr>
          <w:t>ترمذي ، ابو عبدالله قرن 3 ه-</w:t>
        </w:r>
        <w:r>
          <w:tab/>
        </w:r>
        <w:r>
          <w:fldChar w:fldCharType="begin"/>
        </w:r>
        <w:r>
          <w:instrText xml:space="preserve">PAGEREF 2199 \h</w:instrText>
        </w:r>
        <w:r>
          <w:fldChar w:fldCharType="end"/>
        </w:r>
      </w:hyperlink>
    </w:p>
    <w:p>
      <w:pPr>
        <w:tabs>
          <w:tab w:val="right" w:leader="dot" w:pos="9062"/>
        </w:tabs>
        <w:ind w:left="220"/>
      </w:pPr>
      <w:hyperlink w:anchor="_Toc2200" w:history="1">
        <w:r>
          <w:rPr>
            <w:rFonts w:ascii="IRNazanin" w:hAnsi="IRNazanin" w:eastAsia="IRNazanin" w:cs="IRNazanin"/>
            <w:color w:val="111111"/>
            <w:sz w:val="22"/>
            <w:szCs w:val="22"/>
            <w:b w:val="0"/>
            <w:bCs w:val="0"/>
            <w:i w:val="0"/>
            <w:iCs w:val="0"/>
          </w:rPr>
          <w:t>ترمذي سمرقندي، محمّد معصوم، 944 -</w:t>
        </w:r>
        <w:r>
          <w:tab/>
        </w:r>
        <w:r>
          <w:fldChar w:fldCharType="begin"/>
        </w:r>
        <w:r>
          <w:instrText xml:space="preserve">PAGEREF 2200 \h</w:instrText>
        </w:r>
        <w:r>
          <w:fldChar w:fldCharType="end"/>
        </w:r>
      </w:hyperlink>
    </w:p>
    <w:p>
      <w:pPr>
        <w:tabs>
          <w:tab w:val="right" w:leader="dot" w:pos="9062"/>
        </w:tabs>
        <w:ind w:left="220"/>
      </w:pPr>
      <w:hyperlink w:anchor="_Toc2201" w:history="1">
        <w:r>
          <w:rPr>
            <w:rFonts w:ascii="IRNazanin" w:hAnsi="IRNazanin" w:eastAsia="IRNazanin" w:cs="IRNazanin"/>
            <w:color w:val="111111"/>
            <w:sz w:val="22"/>
            <w:szCs w:val="22"/>
            <w:b w:val="0"/>
            <w:bCs w:val="0"/>
            <w:i w:val="0"/>
            <w:iCs w:val="0"/>
          </w:rPr>
          <w:t>ترمذي ، محمّد بن عيسى، 209 - 279 ه-</w:t>
        </w:r>
        <w:r>
          <w:tab/>
        </w:r>
        <w:r>
          <w:fldChar w:fldCharType="begin"/>
        </w:r>
        <w:r>
          <w:instrText xml:space="preserve">PAGEREF 2201 \h</w:instrText>
        </w:r>
        <w:r>
          <w:fldChar w:fldCharType="end"/>
        </w:r>
      </w:hyperlink>
    </w:p>
    <w:p>
      <w:pPr>
        <w:tabs>
          <w:tab w:val="right" w:leader="dot" w:pos="9062"/>
        </w:tabs>
        <w:ind w:left="220"/>
      </w:pPr>
      <w:hyperlink w:anchor="_Toc2202" w:history="1">
        <w:r>
          <w:rPr>
            <w:rFonts w:ascii="IRNazanin" w:hAnsi="IRNazanin" w:eastAsia="IRNazanin" w:cs="IRNazanin"/>
            <w:color w:val="111111"/>
            <w:sz w:val="22"/>
            <w:szCs w:val="22"/>
            <w:b w:val="0"/>
            <w:bCs w:val="0"/>
            <w:i w:val="0"/>
            <w:iCs w:val="0"/>
          </w:rPr>
          <w:t>تستري ، جان حبيب الله</w:t>
        </w:r>
        <w:r>
          <w:tab/>
        </w:r>
        <w:r>
          <w:fldChar w:fldCharType="begin"/>
        </w:r>
        <w:r>
          <w:instrText xml:space="preserve">PAGEREF 2202 \h</w:instrText>
        </w:r>
        <w:r>
          <w:fldChar w:fldCharType="end"/>
        </w:r>
      </w:hyperlink>
    </w:p>
    <w:p>
      <w:pPr>
        <w:tabs>
          <w:tab w:val="right" w:leader="dot" w:pos="9062"/>
        </w:tabs>
        <w:ind w:left="220"/>
      </w:pPr>
      <w:hyperlink w:anchor="_Toc2203" w:history="1">
        <w:r>
          <w:rPr>
            <w:rFonts w:ascii="IRNazanin" w:hAnsi="IRNazanin" w:eastAsia="IRNazanin" w:cs="IRNazanin"/>
            <w:color w:val="111111"/>
            <w:sz w:val="22"/>
            <w:szCs w:val="22"/>
            <w:b w:val="0"/>
            <w:bCs w:val="0"/>
            <w:i w:val="0"/>
            <w:iCs w:val="0"/>
          </w:rPr>
          <w:t>تستري ، حسنعلي بن عبدالله - 1075؟ ه-</w:t>
        </w:r>
        <w:r>
          <w:tab/>
        </w:r>
        <w:r>
          <w:fldChar w:fldCharType="begin"/>
        </w:r>
        <w:r>
          <w:instrText xml:space="preserve">PAGEREF 2203 \h</w:instrText>
        </w:r>
        <w:r>
          <w:fldChar w:fldCharType="end"/>
        </w:r>
      </w:hyperlink>
    </w:p>
    <w:p>
      <w:pPr>
        <w:tabs>
          <w:tab w:val="right" w:leader="dot" w:pos="9062"/>
        </w:tabs>
        <w:ind w:left="220"/>
      </w:pPr>
      <w:hyperlink w:anchor="_Toc2204" w:history="1">
        <w:r>
          <w:rPr>
            <w:rFonts w:ascii="IRNazanin" w:hAnsi="IRNazanin" w:eastAsia="IRNazanin" w:cs="IRNazanin"/>
            <w:color w:val="111111"/>
            <w:sz w:val="22"/>
            <w:szCs w:val="22"/>
            <w:b w:val="0"/>
            <w:bCs w:val="0"/>
            <w:i w:val="0"/>
            <w:iCs w:val="0"/>
          </w:rPr>
          <w:t>تستري ، سهل بن عبد الله، 2200-283؟ ه-</w:t>
        </w:r>
        <w:r>
          <w:tab/>
        </w:r>
        <w:r>
          <w:fldChar w:fldCharType="begin"/>
        </w:r>
        <w:r>
          <w:instrText xml:space="preserve">PAGEREF 2204 \h</w:instrText>
        </w:r>
        <w:r>
          <w:fldChar w:fldCharType="end"/>
        </w:r>
      </w:hyperlink>
    </w:p>
    <w:p>
      <w:pPr>
        <w:tabs>
          <w:tab w:val="right" w:leader="dot" w:pos="9062"/>
        </w:tabs>
        <w:ind w:left="220"/>
      </w:pPr>
      <w:hyperlink w:anchor="_Toc2205" w:history="1">
        <w:r>
          <w:rPr>
            <w:rFonts w:ascii="IRNazanin" w:hAnsi="IRNazanin" w:eastAsia="IRNazanin" w:cs="IRNazanin"/>
            <w:color w:val="111111"/>
            <w:sz w:val="22"/>
            <w:szCs w:val="22"/>
            <w:b w:val="0"/>
            <w:bCs w:val="0"/>
            <w:i w:val="0"/>
            <w:iCs w:val="0"/>
          </w:rPr>
          <w:t>تستري ، عباس</w:t>
        </w:r>
        <w:r>
          <w:tab/>
        </w:r>
        <w:r>
          <w:fldChar w:fldCharType="begin"/>
        </w:r>
        <w:r>
          <w:instrText xml:space="preserve">PAGEREF 2205 \h</w:instrText>
        </w:r>
        <w:r>
          <w:fldChar w:fldCharType="end"/>
        </w:r>
      </w:hyperlink>
    </w:p>
    <w:p>
      <w:pPr>
        <w:tabs>
          <w:tab w:val="right" w:leader="dot" w:pos="9062"/>
        </w:tabs>
        <w:ind w:left="220"/>
      </w:pPr>
      <w:hyperlink w:anchor="_Toc2206" w:history="1">
        <w:r>
          <w:rPr>
            <w:rFonts w:ascii="IRNazanin" w:hAnsi="IRNazanin" w:eastAsia="IRNazanin" w:cs="IRNazanin"/>
            <w:color w:val="111111"/>
            <w:sz w:val="22"/>
            <w:szCs w:val="22"/>
            <w:b w:val="0"/>
            <w:bCs w:val="0"/>
            <w:i w:val="0"/>
            <w:iCs w:val="0"/>
          </w:rPr>
          <w:t>تستري ، عبد الحسين بن محمّدرضا قرن</w:t>
        </w:r>
        <w:r>
          <w:tab/>
        </w:r>
        <w:r>
          <w:fldChar w:fldCharType="begin"/>
        </w:r>
        <w:r>
          <w:instrText xml:space="preserve">PAGEREF 2206 \h</w:instrText>
        </w:r>
        <w:r>
          <w:fldChar w:fldCharType="end"/>
        </w:r>
      </w:hyperlink>
    </w:p>
    <w:p>
      <w:pPr>
        <w:tabs>
          <w:tab w:val="right" w:leader="dot" w:pos="9062"/>
        </w:tabs>
        <w:ind w:left="220"/>
      </w:pPr>
      <w:hyperlink w:anchor="_Toc2207" w:history="1">
        <w:r>
          <w:rPr>
            <w:rFonts w:ascii="IRNazanin" w:hAnsi="IRNazanin" w:eastAsia="IRNazanin" w:cs="IRNazanin"/>
            <w:color w:val="111111"/>
            <w:sz w:val="22"/>
            <w:szCs w:val="22"/>
            <w:b w:val="0"/>
            <w:bCs w:val="0"/>
            <w:i w:val="0"/>
            <w:iCs w:val="0"/>
          </w:rPr>
          <w:t>تستري كاظمي، محمّد تقي بن حسن -</w:t>
        </w:r>
        <w:r>
          <w:tab/>
        </w:r>
        <w:r>
          <w:fldChar w:fldCharType="begin"/>
        </w:r>
        <w:r>
          <w:instrText xml:space="preserve">PAGEREF 2207 \h</w:instrText>
        </w:r>
        <w:r>
          <w:fldChar w:fldCharType="end"/>
        </w:r>
      </w:hyperlink>
    </w:p>
    <w:p>
      <w:pPr>
        <w:tabs>
          <w:tab w:val="right" w:leader="dot" w:pos="9062"/>
        </w:tabs>
        <w:ind w:left="220"/>
      </w:pPr>
      <w:hyperlink w:anchor="_Toc2208" w:history="1">
        <w:r>
          <w:rPr>
            <w:rFonts w:ascii="IRNazanin" w:hAnsi="IRNazanin" w:eastAsia="IRNazanin" w:cs="IRNazanin"/>
            <w:color w:val="111111"/>
            <w:sz w:val="22"/>
            <w:szCs w:val="22"/>
            <w:b w:val="0"/>
            <w:bCs w:val="0"/>
            <w:i w:val="0"/>
            <w:iCs w:val="0"/>
          </w:rPr>
          <w:t>تستري ، محمّد، قرن 9 ه-</w:t>
        </w:r>
        <w:r>
          <w:tab/>
        </w:r>
        <w:r>
          <w:fldChar w:fldCharType="begin"/>
        </w:r>
        <w:r>
          <w:instrText xml:space="preserve">PAGEREF 2208 \h</w:instrText>
        </w:r>
        <w:r>
          <w:fldChar w:fldCharType="end"/>
        </w:r>
      </w:hyperlink>
    </w:p>
    <w:p>
      <w:pPr>
        <w:tabs>
          <w:tab w:val="right" w:leader="dot" w:pos="9062"/>
        </w:tabs>
        <w:ind w:left="220"/>
      </w:pPr>
      <w:hyperlink w:anchor="_Toc2209" w:history="1">
        <w:r>
          <w:rPr>
            <w:rFonts w:ascii="IRNazanin" w:hAnsi="IRNazanin" w:eastAsia="IRNazanin" w:cs="IRNazanin"/>
            <w:color w:val="111111"/>
            <w:sz w:val="22"/>
            <w:szCs w:val="22"/>
            <w:b w:val="0"/>
            <w:bCs w:val="0"/>
            <w:i w:val="0"/>
            <w:iCs w:val="0"/>
          </w:rPr>
          <w:t>تستري ، محمّد باقر بن علي، قرن 13 ه-</w:t>
        </w:r>
        <w:r>
          <w:tab/>
        </w:r>
        <w:r>
          <w:fldChar w:fldCharType="begin"/>
        </w:r>
        <w:r>
          <w:instrText xml:space="preserve">PAGEREF 2209 \h</w:instrText>
        </w:r>
        <w:r>
          <w:fldChar w:fldCharType="end"/>
        </w:r>
      </w:hyperlink>
    </w:p>
    <w:p>
      <w:pPr>
        <w:tabs>
          <w:tab w:val="right" w:leader="dot" w:pos="9062"/>
        </w:tabs>
        <w:ind w:left="220"/>
      </w:pPr>
      <w:hyperlink w:anchor="_Toc2210" w:history="1">
        <w:r>
          <w:rPr>
            <w:rFonts w:ascii="IRNazanin" w:hAnsi="IRNazanin" w:eastAsia="IRNazanin" w:cs="IRNazanin"/>
            <w:color w:val="111111"/>
            <w:sz w:val="22"/>
            <w:szCs w:val="22"/>
            <w:b w:val="0"/>
            <w:bCs w:val="0"/>
            <w:i w:val="0"/>
            <w:iCs w:val="0"/>
          </w:rPr>
          <w:t>تستري ، محمّد بن اسعد - 732 ه-</w:t>
        </w:r>
        <w:r>
          <w:tab/>
        </w:r>
        <w:r>
          <w:fldChar w:fldCharType="begin"/>
        </w:r>
        <w:r>
          <w:instrText xml:space="preserve">PAGEREF 2210 \h</w:instrText>
        </w:r>
        <w:r>
          <w:fldChar w:fldCharType="end"/>
        </w:r>
      </w:hyperlink>
    </w:p>
    <w:p>
      <w:pPr>
        <w:tabs>
          <w:tab w:val="right" w:leader="dot" w:pos="9062"/>
        </w:tabs>
        <w:ind w:left="220"/>
      </w:pPr>
      <w:hyperlink w:anchor="_Toc2211" w:history="1">
        <w:r>
          <w:rPr>
            <w:rFonts w:ascii="IRNazanin" w:hAnsi="IRNazanin" w:eastAsia="IRNazanin" w:cs="IRNazanin"/>
            <w:color w:val="111111"/>
            <w:sz w:val="22"/>
            <w:szCs w:val="22"/>
            <w:b w:val="0"/>
            <w:bCs w:val="0"/>
            <w:i w:val="0"/>
            <w:iCs w:val="0"/>
          </w:rPr>
          <w:t>تستري ، محمّد عبد الرحيم</w:t>
        </w:r>
        <w:r>
          <w:tab/>
        </w:r>
        <w:r>
          <w:fldChar w:fldCharType="begin"/>
        </w:r>
        <w:r>
          <w:instrText xml:space="preserve">PAGEREF 2211 \h</w:instrText>
        </w:r>
        <w:r>
          <w:fldChar w:fldCharType="end"/>
        </w:r>
      </w:hyperlink>
    </w:p>
    <w:p>
      <w:pPr>
        <w:tabs>
          <w:tab w:val="right" w:leader="dot" w:pos="9062"/>
        </w:tabs>
        <w:ind w:left="220"/>
      </w:pPr>
      <w:hyperlink w:anchor="_Toc2212" w:history="1">
        <w:r>
          <w:rPr>
            <w:rFonts w:ascii="IRNazanin" w:hAnsi="IRNazanin" w:eastAsia="IRNazanin" w:cs="IRNazanin"/>
            <w:color w:val="111111"/>
            <w:sz w:val="22"/>
            <w:szCs w:val="22"/>
            <w:b w:val="0"/>
            <w:bCs w:val="0"/>
            <w:i w:val="0"/>
            <w:iCs w:val="0"/>
          </w:rPr>
          <w:t>تستري ، محمود</w:t>
        </w:r>
        <w:r>
          <w:tab/>
        </w:r>
        <w:r>
          <w:fldChar w:fldCharType="begin"/>
        </w:r>
        <w:r>
          <w:instrText xml:space="preserve">PAGEREF 2212 \h</w:instrText>
        </w:r>
        <w:r>
          <w:fldChar w:fldCharType="end"/>
        </w:r>
      </w:hyperlink>
    </w:p>
    <w:p>
      <w:pPr>
        <w:tabs>
          <w:tab w:val="right" w:leader="dot" w:pos="9062"/>
        </w:tabs>
        <w:ind w:left="220"/>
      </w:pPr>
      <w:hyperlink w:anchor="_Toc2213" w:history="1">
        <w:r>
          <w:rPr>
            <w:rFonts w:ascii="IRNazanin" w:hAnsi="IRNazanin" w:eastAsia="IRNazanin" w:cs="IRNazanin"/>
            <w:color w:val="111111"/>
            <w:sz w:val="22"/>
            <w:szCs w:val="22"/>
            <w:b w:val="0"/>
            <w:bCs w:val="0"/>
            <w:i w:val="0"/>
            <w:iCs w:val="0"/>
          </w:rPr>
          <w:t>تغلبي ، عبد القادر بن عمر، 1057 -</w:t>
        </w:r>
        <w:r>
          <w:tab/>
        </w:r>
        <w:r>
          <w:fldChar w:fldCharType="begin"/>
        </w:r>
        <w:r>
          <w:instrText xml:space="preserve">PAGEREF 2213 \h</w:instrText>
        </w:r>
        <w:r>
          <w:fldChar w:fldCharType="end"/>
        </w:r>
      </w:hyperlink>
    </w:p>
    <w:p>
      <w:pPr>
        <w:tabs>
          <w:tab w:val="right" w:leader="dot" w:pos="9062"/>
        </w:tabs>
        <w:ind w:left="220"/>
      </w:pPr>
      <w:hyperlink w:anchor="_Toc2214" w:history="1">
        <w:r>
          <w:rPr>
            <w:rFonts w:ascii="IRNazanin" w:hAnsi="IRNazanin" w:eastAsia="IRNazanin" w:cs="IRNazanin"/>
            <w:color w:val="111111"/>
            <w:sz w:val="22"/>
            <w:szCs w:val="22"/>
            <w:b w:val="0"/>
            <w:bCs w:val="0"/>
            <w:i w:val="0"/>
            <w:iCs w:val="0"/>
          </w:rPr>
          <w:t>تفتازاني ، مسعود بن عمر 722-792 ؟ ه-</w:t>
        </w:r>
        <w:r>
          <w:tab/>
        </w:r>
        <w:r>
          <w:fldChar w:fldCharType="begin"/>
        </w:r>
        <w:r>
          <w:instrText xml:space="preserve">PAGEREF 2214 \h</w:instrText>
        </w:r>
        <w:r>
          <w:fldChar w:fldCharType="end"/>
        </w:r>
      </w:hyperlink>
    </w:p>
    <w:p>
      <w:pPr>
        <w:tabs>
          <w:tab w:val="right" w:leader="dot" w:pos="9062"/>
        </w:tabs>
        <w:ind w:left="220"/>
      </w:pPr>
      <w:hyperlink w:anchor="_Toc2215" w:history="1">
        <w:r>
          <w:rPr>
            <w:rFonts w:ascii="IRNazanin" w:hAnsi="IRNazanin" w:eastAsia="IRNazanin" w:cs="IRNazanin"/>
            <w:color w:val="111111"/>
            <w:sz w:val="22"/>
            <w:szCs w:val="22"/>
            <w:b w:val="0"/>
            <w:bCs w:val="0"/>
            <w:i w:val="0"/>
            <w:iCs w:val="0"/>
          </w:rPr>
          <w:t>تفرشی، احمد بن حسين قرن 14 ه-</w:t>
        </w:r>
        <w:r>
          <w:tab/>
        </w:r>
        <w:r>
          <w:fldChar w:fldCharType="begin"/>
        </w:r>
        <w:r>
          <w:instrText xml:space="preserve">PAGEREF 2215 \h</w:instrText>
        </w:r>
        <w:r>
          <w:fldChar w:fldCharType="end"/>
        </w:r>
      </w:hyperlink>
    </w:p>
    <w:p>
      <w:pPr>
        <w:tabs>
          <w:tab w:val="right" w:leader="dot" w:pos="9062"/>
        </w:tabs>
        <w:ind w:left="220"/>
      </w:pPr>
      <w:hyperlink w:anchor="_Toc2216" w:history="1">
        <w:r>
          <w:rPr>
            <w:rFonts w:ascii="IRNazanin" w:hAnsi="IRNazanin" w:eastAsia="IRNazanin" w:cs="IRNazanin"/>
            <w:color w:val="111111"/>
            <w:sz w:val="22"/>
            <w:szCs w:val="22"/>
            <w:b w:val="0"/>
            <w:bCs w:val="0"/>
            <w:i w:val="0"/>
            <w:iCs w:val="0"/>
          </w:rPr>
          <w:t>تفرشي ، محمّد حسین قرن 13 ه-</w:t>
        </w:r>
        <w:r>
          <w:tab/>
        </w:r>
        <w:r>
          <w:fldChar w:fldCharType="begin"/>
        </w:r>
        <w:r>
          <w:instrText xml:space="preserve">PAGEREF 2216 \h</w:instrText>
        </w:r>
        <w:r>
          <w:fldChar w:fldCharType="end"/>
        </w:r>
      </w:hyperlink>
    </w:p>
    <w:p>
      <w:pPr>
        <w:tabs>
          <w:tab w:val="right" w:leader="dot" w:pos="9062"/>
        </w:tabs>
        <w:ind w:left="220"/>
      </w:pPr>
      <w:hyperlink w:anchor="_Toc2217" w:history="1">
        <w:r>
          <w:rPr>
            <w:rFonts w:ascii="IRNazanin" w:hAnsi="IRNazanin" w:eastAsia="IRNazanin" w:cs="IRNazanin"/>
            <w:color w:val="111111"/>
            <w:sz w:val="22"/>
            <w:szCs w:val="22"/>
            <w:b w:val="0"/>
            <w:bCs w:val="0"/>
            <w:i w:val="0"/>
            <w:iCs w:val="0"/>
          </w:rPr>
          <w:t>تفرشي ، محمّد حسين بن محمّد اسماعیل</w:t>
        </w:r>
        <w:r>
          <w:tab/>
        </w:r>
        <w:r>
          <w:fldChar w:fldCharType="begin"/>
        </w:r>
        <w:r>
          <w:instrText xml:space="preserve">PAGEREF 2217 \h</w:instrText>
        </w:r>
        <w:r>
          <w:fldChar w:fldCharType="end"/>
        </w:r>
      </w:hyperlink>
    </w:p>
    <w:p>
      <w:pPr>
        <w:tabs>
          <w:tab w:val="right" w:leader="dot" w:pos="9062"/>
        </w:tabs>
        <w:ind w:left="220"/>
      </w:pPr>
      <w:hyperlink w:anchor="_Toc2218" w:history="1">
        <w:r>
          <w:rPr>
            <w:rFonts w:ascii="IRNazanin" w:hAnsi="IRNazanin" w:eastAsia="IRNazanin" w:cs="IRNazanin"/>
            <w:color w:val="111111"/>
            <w:sz w:val="22"/>
            <w:szCs w:val="22"/>
            <w:b w:val="0"/>
            <w:bCs w:val="0"/>
            <w:i w:val="0"/>
            <w:iCs w:val="0"/>
          </w:rPr>
          <w:t>تفرشي ، مراد بن علي، 965 - 1051 ه-</w:t>
        </w:r>
        <w:r>
          <w:tab/>
        </w:r>
        <w:r>
          <w:fldChar w:fldCharType="begin"/>
        </w:r>
        <w:r>
          <w:instrText xml:space="preserve">PAGEREF 2218 \h</w:instrText>
        </w:r>
        <w:r>
          <w:fldChar w:fldCharType="end"/>
        </w:r>
      </w:hyperlink>
    </w:p>
    <w:p>
      <w:pPr>
        <w:tabs>
          <w:tab w:val="right" w:leader="dot" w:pos="9062"/>
        </w:tabs>
        <w:ind w:left="220"/>
      </w:pPr>
      <w:hyperlink w:anchor="_Toc2219" w:history="1">
        <w:r>
          <w:rPr>
            <w:rFonts w:ascii="IRNazanin" w:hAnsi="IRNazanin" w:eastAsia="IRNazanin" w:cs="IRNazanin"/>
            <w:color w:val="111111"/>
            <w:sz w:val="22"/>
            <w:szCs w:val="22"/>
            <w:b w:val="0"/>
            <w:bCs w:val="0"/>
            <w:i w:val="0"/>
            <w:iCs w:val="0"/>
          </w:rPr>
          <w:t>تفرشي ، مصطفى بن حسين - 1015</w:t>
        </w:r>
        <w:r>
          <w:tab/>
        </w:r>
        <w:r>
          <w:fldChar w:fldCharType="begin"/>
        </w:r>
        <w:r>
          <w:instrText xml:space="preserve">PAGEREF 2219 \h</w:instrText>
        </w:r>
        <w:r>
          <w:fldChar w:fldCharType="end"/>
        </w:r>
      </w:hyperlink>
    </w:p>
    <w:p>
      <w:pPr>
        <w:tabs>
          <w:tab w:val="right" w:leader="dot" w:pos="9062"/>
        </w:tabs>
        <w:ind w:left="220"/>
      </w:pPr>
      <w:hyperlink w:anchor="_Toc2220" w:history="1">
        <w:r>
          <w:rPr>
            <w:rFonts w:ascii="IRNazanin" w:hAnsi="IRNazanin" w:eastAsia="IRNazanin" w:cs="IRNazanin"/>
            <w:color w:val="111111"/>
            <w:sz w:val="22"/>
            <w:szCs w:val="22"/>
            <w:b w:val="0"/>
            <w:bCs w:val="0"/>
            <w:i w:val="0"/>
            <w:iCs w:val="0"/>
          </w:rPr>
          <w:t>تفليسي، حبيش بن ابراهيم ، قرن 7 ه-</w:t>
        </w:r>
        <w:r>
          <w:tab/>
        </w:r>
        <w:r>
          <w:fldChar w:fldCharType="begin"/>
        </w:r>
        <w:r>
          <w:instrText xml:space="preserve">PAGEREF 2220 \h</w:instrText>
        </w:r>
        <w:r>
          <w:fldChar w:fldCharType="end"/>
        </w:r>
      </w:hyperlink>
    </w:p>
    <w:p>
      <w:pPr>
        <w:tabs>
          <w:tab w:val="right" w:leader="dot" w:pos="9062"/>
        </w:tabs>
        <w:ind w:left="220"/>
      </w:pPr>
      <w:hyperlink w:anchor="_Toc2221" w:history="1">
        <w:r>
          <w:rPr>
            <w:rFonts w:ascii="IRNazanin" w:hAnsi="IRNazanin" w:eastAsia="IRNazanin" w:cs="IRNazanin"/>
            <w:color w:val="111111"/>
            <w:sz w:val="22"/>
            <w:szCs w:val="22"/>
            <w:b w:val="0"/>
            <w:bCs w:val="0"/>
            <w:i w:val="0"/>
            <w:iCs w:val="0"/>
          </w:rPr>
          <w:t>تكريتي ، داود</w:t>
        </w:r>
        <w:r>
          <w:tab/>
        </w:r>
        <w:r>
          <w:fldChar w:fldCharType="begin"/>
        </w:r>
        <w:r>
          <w:instrText xml:space="preserve">PAGEREF 2221 \h</w:instrText>
        </w:r>
        <w:r>
          <w:fldChar w:fldCharType="end"/>
        </w:r>
      </w:hyperlink>
    </w:p>
    <w:p>
      <w:pPr>
        <w:tabs>
          <w:tab w:val="right" w:leader="dot" w:pos="9062"/>
        </w:tabs>
        <w:ind w:left="220"/>
      </w:pPr>
      <w:hyperlink w:anchor="_Toc2222" w:history="1">
        <w:r>
          <w:rPr>
            <w:rFonts w:ascii="IRNazanin" w:hAnsi="IRNazanin" w:eastAsia="IRNazanin" w:cs="IRNazanin"/>
            <w:color w:val="111111"/>
            <w:sz w:val="22"/>
            <w:szCs w:val="22"/>
            <w:b w:val="0"/>
            <w:bCs w:val="0"/>
            <w:i w:val="0"/>
            <w:iCs w:val="0"/>
          </w:rPr>
          <w:t>تلعفري محمّد بن يوسف، 593-675 ه-</w:t>
        </w:r>
        <w:r>
          <w:tab/>
        </w:r>
        <w:r>
          <w:fldChar w:fldCharType="begin"/>
        </w:r>
        <w:r>
          <w:instrText xml:space="preserve">PAGEREF 2222 \h</w:instrText>
        </w:r>
        <w:r>
          <w:fldChar w:fldCharType="end"/>
        </w:r>
      </w:hyperlink>
    </w:p>
    <w:p>
      <w:pPr>
        <w:tabs>
          <w:tab w:val="right" w:leader="dot" w:pos="9062"/>
        </w:tabs>
        <w:ind w:left="220"/>
      </w:pPr>
      <w:hyperlink w:anchor="_Toc2223" w:history="1">
        <w:r>
          <w:rPr>
            <w:rFonts w:ascii="IRNazanin" w:hAnsi="IRNazanin" w:eastAsia="IRNazanin" w:cs="IRNazanin"/>
            <w:color w:val="111111"/>
            <w:sz w:val="22"/>
            <w:szCs w:val="22"/>
            <w:b w:val="0"/>
            <w:bCs w:val="0"/>
            <w:i w:val="0"/>
            <w:iCs w:val="0"/>
          </w:rPr>
          <w:t>تلعكبرى ، محمّد بن هارون - 385 ه-</w:t>
        </w:r>
        <w:r>
          <w:tab/>
        </w:r>
        <w:r>
          <w:fldChar w:fldCharType="begin"/>
        </w:r>
        <w:r>
          <w:instrText xml:space="preserve">PAGEREF 2223 \h</w:instrText>
        </w:r>
        <w:r>
          <w:fldChar w:fldCharType="end"/>
        </w:r>
      </w:hyperlink>
    </w:p>
    <w:p>
      <w:pPr>
        <w:tabs>
          <w:tab w:val="right" w:leader="dot" w:pos="9062"/>
        </w:tabs>
        <w:ind w:left="220"/>
      </w:pPr>
      <w:hyperlink w:anchor="_Toc2224" w:history="1">
        <w:r>
          <w:rPr>
            <w:rFonts w:ascii="IRNazanin" w:hAnsi="IRNazanin" w:eastAsia="IRNazanin" w:cs="IRNazanin"/>
            <w:color w:val="111111"/>
            <w:sz w:val="22"/>
            <w:szCs w:val="22"/>
            <w:b w:val="0"/>
            <w:bCs w:val="0"/>
            <w:i w:val="0"/>
            <w:iCs w:val="0"/>
          </w:rPr>
          <w:t>تلمساني، سليمان بن علي، 610 - 690 ه-</w:t>
        </w:r>
        <w:r>
          <w:tab/>
        </w:r>
        <w:r>
          <w:fldChar w:fldCharType="begin"/>
        </w:r>
        <w:r>
          <w:instrText xml:space="preserve">PAGEREF 2224 \h</w:instrText>
        </w:r>
        <w:r>
          <w:fldChar w:fldCharType="end"/>
        </w:r>
      </w:hyperlink>
    </w:p>
    <w:p>
      <w:pPr>
        <w:tabs>
          <w:tab w:val="right" w:leader="dot" w:pos="9062"/>
        </w:tabs>
        <w:ind w:left="220"/>
      </w:pPr>
      <w:hyperlink w:anchor="_Toc2225" w:history="1">
        <w:r>
          <w:rPr>
            <w:rFonts w:ascii="IRNazanin" w:hAnsi="IRNazanin" w:eastAsia="IRNazanin" w:cs="IRNazanin"/>
            <w:color w:val="111111"/>
            <w:sz w:val="22"/>
            <w:szCs w:val="22"/>
            <w:b w:val="0"/>
            <w:bCs w:val="0"/>
            <w:i w:val="0"/>
            <w:iCs w:val="0"/>
          </w:rPr>
          <w:t>تلمساني ، عبدالله بن محمّد - 644 ه-</w:t>
        </w:r>
        <w:r>
          <w:tab/>
        </w:r>
        <w:r>
          <w:fldChar w:fldCharType="begin"/>
        </w:r>
        <w:r>
          <w:instrText xml:space="preserve">PAGEREF 2225 \h</w:instrText>
        </w:r>
        <w:r>
          <w:fldChar w:fldCharType="end"/>
        </w:r>
      </w:hyperlink>
    </w:p>
    <w:p>
      <w:pPr>
        <w:tabs>
          <w:tab w:val="right" w:leader="dot" w:pos="9062"/>
        </w:tabs>
        <w:ind w:left="220"/>
      </w:pPr>
      <w:hyperlink w:anchor="_Toc2226" w:history="1">
        <w:r>
          <w:rPr>
            <w:rFonts w:ascii="IRNazanin" w:hAnsi="IRNazanin" w:eastAsia="IRNazanin" w:cs="IRNazanin"/>
            <w:color w:val="111111"/>
            <w:sz w:val="22"/>
            <w:szCs w:val="22"/>
            <w:b w:val="0"/>
            <w:bCs w:val="0"/>
            <w:i w:val="0"/>
            <w:iCs w:val="0"/>
          </w:rPr>
          <w:t>تلمساني ، محمّد بن احمد، 710 - 781 ه-</w:t>
        </w:r>
        <w:r>
          <w:tab/>
        </w:r>
        <w:r>
          <w:fldChar w:fldCharType="begin"/>
        </w:r>
        <w:r>
          <w:instrText xml:space="preserve">PAGEREF 2226 \h</w:instrText>
        </w:r>
        <w:r>
          <w:fldChar w:fldCharType="end"/>
        </w:r>
      </w:hyperlink>
    </w:p>
    <w:p>
      <w:pPr>
        <w:tabs>
          <w:tab w:val="right" w:leader="dot" w:pos="9062"/>
        </w:tabs>
        <w:ind w:left="220"/>
      </w:pPr>
      <w:hyperlink w:anchor="_Toc2227" w:history="1">
        <w:r>
          <w:rPr>
            <w:rFonts w:ascii="IRNazanin" w:hAnsi="IRNazanin" w:eastAsia="IRNazanin" w:cs="IRNazanin"/>
            <w:color w:val="111111"/>
            <w:sz w:val="22"/>
            <w:szCs w:val="22"/>
            <w:b w:val="0"/>
            <w:bCs w:val="0"/>
            <w:i w:val="0"/>
            <w:iCs w:val="0"/>
          </w:rPr>
          <w:t>تلمساني ، محمّد بن عمر، قرن 9 ه-</w:t>
        </w:r>
        <w:r>
          <w:tab/>
        </w:r>
        <w:r>
          <w:fldChar w:fldCharType="begin"/>
        </w:r>
        <w:r>
          <w:instrText xml:space="preserve">PAGEREF 2227 \h</w:instrText>
        </w:r>
        <w:r>
          <w:fldChar w:fldCharType="end"/>
        </w:r>
      </w:hyperlink>
    </w:p>
    <w:p>
      <w:pPr>
        <w:tabs>
          <w:tab w:val="right" w:leader="dot" w:pos="9062"/>
        </w:tabs>
        <w:ind w:left="220"/>
      </w:pPr>
      <w:hyperlink w:anchor="_Toc2228" w:history="1">
        <w:r>
          <w:rPr>
            <w:rFonts w:ascii="IRNazanin" w:hAnsi="IRNazanin" w:eastAsia="IRNazanin" w:cs="IRNazanin"/>
            <w:color w:val="111111"/>
            <w:sz w:val="22"/>
            <w:szCs w:val="22"/>
            <w:b w:val="0"/>
            <w:bCs w:val="0"/>
            <w:i w:val="0"/>
            <w:iCs w:val="0"/>
          </w:rPr>
          <w:t>تلوي ، مصطفى بن عبد القادر</w:t>
        </w:r>
        <w:r>
          <w:tab/>
        </w:r>
        <w:r>
          <w:fldChar w:fldCharType="begin"/>
        </w:r>
        <w:r>
          <w:instrText xml:space="preserve">PAGEREF 2228 \h</w:instrText>
        </w:r>
        <w:r>
          <w:fldChar w:fldCharType="end"/>
        </w:r>
      </w:hyperlink>
    </w:p>
    <w:p>
      <w:pPr>
        <w:tabs>
          <w:tab w:val="right" w:leader="dot" w:pos="9062"/>
        </w:tabs>
        <w:ind w:left="220"/>
      </w:pPr>
      <w:hyperlink w:anchor="_Toc2229" w:history="1">
        <w:r>
          <w:rPr>
            <w:rFonts w:ascii="IRNazanin" w:hAnsi="IRNazanin" w:eastAsia="IRNazanin" w:cs="IRNazanin"/>
            <w:color w:val="111111"/>
            <w:sz w:val="22"/>
            <w:szCs w:val="22"/>
            <w:b w:val="0"/>
            <w:bCs w:val="0"/>
            <w:i w:val="0"/>
            <w:iCs w:val="0"/>
          </w:rPr>
          <w:t>تمامي شيرازي ، محمّد بن محمّد صادق</w:t>
        </w:r>
        <w:r>
          <w:tab/>
        </w:r>
        <w:r>
          <w:fldChar w:fldCharType="begin"/>
        </w:r>
        <w:r>
          <w:instrText xml:space="preserve">PAGEREF 2229 \h</w:instrText>
        </w:r>
        <w:r>
          <w:fldChar w:fldCharType="end"/>
        </w:r>
      </w:hyperlink>
    </w:p>
    <w:p>
      <w:pPr>
        <w:tabs>
          <w:tab w:val="right" w:leader="dot" w:pos="9062"/>
        </w:tabs>
        <w:ind w:left="220"/>
      </w:pPr>
      <w:hyperlink w:anchor="_Toc2230" w:history="1">
        <w:r>
          <w:rPr>
            <w:rFonts w:ascii="IRNazanin" w:hAnsi="IRNazanin" w:eastAsia="IRNazanin" w:cs="IRNazanin"/>
            <w:color w:val="111111"/>
            <w:sz w:val="22"/>
            <w:szCs w:val="22"/>
            <w:b w:val="0"/>
            <w:bCs w:val="0"/>
            <w:i w:val="0"/>
            <w:iCs w:val="0"/>
          </w:rPr>
          <w:t>تمرتاشي ، احمد بن اسماعيل - 610 ؟ ه-</w:t>
        </w:r>
        <w:r>
          <w:tab/>
        </w:r>
        <w:r>
          <w:fldChar w:fldCharType="begin"/>
        </w:r>
        <w:r>
          <w:instrText xml:space="preserve">PAGEREF 2230 \h</w:instrText>
        </w:r>
        <w:r>
          <w:fldChar w:fldCharType="end"/>
        </w:r>
      </w:hyperlink>
    </w:p>
    <w:p>
      <w:pPr>
        <w:tabs>
          <w:tab w:val="right" w:leader="dot" w:pos="9062"/>
        </w:tabs>
        <w:ind w:left="220"/>
      </w:pPr>
      <w:hyperlink w:anchor="_Toc2231" w:history="1">
        <w:r>
          <w:rPr>
            <w:rFonts w:ascii="IRNazanin" w:hAnsi="IRNazanin" w:eastAsia="IRNazanin" w:cs="IRNazanin"/>
            <w:color w:val="111111"/>
            <w:sz w:val="22"/>
            <w:szCs w:val="22"/>
            <w:b w:val="0"/>
            <w:bCs w:val="0"/>
            <w:i w:val="0"/>
            <w:iCs w:val="0"/>
          </w:rPr>
          <w:t>تمرتاشي ، صالح بن محمّد، 980-1055 ه-</w:t>
        </w:r>
        <w:r>
          <w:tab/>
        </w:r>
        <w:r>
          <w:fldChar w:fldCharType="begin"/>
        </w:r>
        <w:r>
          <w:instrText xml:space="preserve">PAGEREF 2231 \h</w:instrText>
        </w:r>
        <w:r>
          <w:fldChar w:fldCharType="end"/>
        </w:r>
      </w:hyperlink>
    </w:p>
    <w:p>
      <w:pPr>
        <w:tabs>
          <w:tab w:val="right" w:leader="dot" w:pos="9062"/>
        </w:tabs>
        <w:ind w:left="220"/>
      </w:pPr>
      <w:hyperlink w:anchor="_Toc2232" w:history="1">
        <w:r>
          <w:rPr>
            <w:rFonts w:ascii="IRNazanin" w:hAnsi="IRNazanin" w:eastAsia="IRNazanin" w:cs="IRNazanin"/>
            <w:color w:val="111111"/>
            <w:sz w:val="22"/>
            <w:szCs w:val="22"/>
            <w:b w:val="0"/>
            <w:bCs w:val="0"/>
            <w:i w:val="0"/>
            <w:iCs w:val="0"/>
          </w:rPr>
          <w:t>تمرتاشي ، محمّد بن عبدالله 939-1004ه-</w:t>
        </w:r>
        <w:r>
          <w:tab/>
        </w:r>
        <w:r>
          <w:fldChar w:fldCharType="begin"/>
        </w:r>
        <w:r>
          <w:instrText xml:space="preserve">PAGEREF 2232 \h</w:instrText>
        </w:r>
        <w:r>
          <w:fldChar w:fldCharType="end"/>
        </w:r>
      </w:hyperlink>
    </w:p>
    <w:p>
      <w:pPr>
        <w:tabs>
          <w:tab w:val="right" w:leader="dot" w:pos="9062"/>
        </w:tabs>
        <w:ind w:left="220"/>
      </w:pPr>
      <w:hyperlink w:anchor="_Toc2233" w:history="1">
        <w:r>
          <w:rPr>
            <w:rFonts w:ascii="IRNazanin" w:hAnsi="IRNazanin" w:eastAsia="IRNazanin" w:cs="IRNazanin"/>
            <w:color w:val="111111"/>
            <w:sz w:val="22"/>
            <w:szCs w:val="22"/>
            <w:b w:val="0"/>
            <w:bCs w:val="0"/>
            <w:i w:val="0"/>
            <w:iCs w:val="0"/>
          </w:rPr>
          <w:t>تميمي ، احمد</w:t>
        </w:r>
        <w:r>
          <w:tab/>
        </w:r>
        <w:r>
          <w:fldChar w:fldCharType="begin"/>
        </w:r>
        <w:r>
          <w:instrText xml:space="preserve">PAGEREF 2233 \h</w:instrText>
        </w:r>
        <w:r>
          <w:fldChar w:fldCharType="end"/>
        </w:r>
      </w:hyperlink>
    </w:p>
    <w:p>
      <w:pPr>
        <w:tabs>
          <w:tab w:val="right" w:leader="dot" w:pos="9062"/>
        </w:tabs>
        <w:ind w:left="220"/>
      </w:pPr>
      <w:hyperlink w:anchor="_Toc2234" w:history="1">
        <w:r>
          <w:rPr>
            <w:rFonts w:ascii="IRNazanin" w:hAnsi="IRNazanin" w:eastAsia="IRNazanin" w:cs="IRNazanin"/>
            <w:color w:val="111111"/>
            <w:sz w:val="22"/>
            <w:szCs w:val="22"/>
            <w:b w:val="0"/>
            <w:bCs w:val="0"/>
            <w:i w:val="0"/>
            <w:iCs w:val="0"/>
          </w:rPr>
          <w:t>تميمي ، احمد بن علي، 210 - 307 ه-</w:t>
        </w:r>
        <w:r>
          <w:tab/>
        </w:r>
        <w:r>
          <w:fldChar w:fldCharType="begin"/>
        </w:r>
        <w:r>
          <w:instrText xml:space="preserve">PAGEREF 2234 \h</w:instrText>
        </w:r>
        <w:r>
          <w:fldChar w:fldCharType="end"/>
        </w:r>
      </w:hyperlink>
    </w:p>
    <w:p>
      <w:pPr>
        <w:tabs>
          <w:tab w:val="right" w:leader="dot" w:pos="9062"/>
        </w:tabs>
        <w:ind w:left="220"/>
      </w:pPr>
      <w:hyperlink w:anchor="_Toc2235" w:history="1">
        <w:r>
          <w:rPr>
            <w:rFonts w:ascii="IRNazanin" w:hAnsi="IRNazanin" w:eastAsia="IRNazanin" w:cs="IRNazanin"/>
            <w:color w:val="111111"/>
            <w:sz w:val="22"/>
            <w:szCs w:val="22"/>
            <w:b w:val="0"/>
            <w:bCs w:val="0"/>
            <w:i w:val="0"/>
            <w:iCs w:val="0"/>
          </w:rPr>
          <w:t>تميمي اسماعيل بن محمّد - 420 ه-</w:t>
        </w:r>
        <w:r>
          <w:tab/>
        </w:r>
        <w:r>
          <w:fldChar w:fldCharType="begin"/>
        </w:r>
        <w:r>
          <w:instrText xml:space="preserve">PAGEREF 2235 \h</w:instrText>
        </w:r>
        <w:r>
          <w:fldChar w:fldCharType="end"/>
        </w:r>
      </w:hyperlink>
    </w:p>
    <w:p>
      <w:pPr>
        <w:tabs>
          <w:tab w:val="right" w:leader="dot" w:pos="9062"/>
        </w:tabs>
        <w:ind w:left="220"/>
      </w:pPr>
      <w:hyperlink w:anchor="_Toc2236" w:history="1">
        <w:r>
          <w:rPr>
            <w:rFonts w:ascii="IRNazanin" w:hAnsi="IRNazanin" w:eastAsia="IRNazanin" w:cs="IRNazanin"/>
            <w:color w:val="111111"/>
            <w:sz w:val="22"/>
            <w:szCs w:val="22"/>
            <w:b w:val="0"/>
            <w:bCs w:val="0"/>
            <w:i w:val="0"/>
            <w:iCs w:val="0"/>
          </w:rPr>
          <w:t>تميمي ، تقي الدين بن عبد القادر 950 .</w:t>
        </w:r>
        <w:r>
          <w:tab/>
        </w:r>
        <w:r>
          <w:fldChar w:fldCharType="begin"/>
        </w:r>
        <w:r>
          <w:instrText xml:space="preserve">PAGEREF 2236 \h</w:instrText>
        </w:r>
        <w:r>
          <w:fldChar w:fldCharType="end"/>
        </w:r>
      </w:hyperlink>
    </w:p>
    <w:p>
      <w:pPr>
        <w:tabs>
          <w:tab w:val="right" w:leader="dot" w:pos="9062"/>
        </w:tabs>
        <w:ind w:left="220"/>
      </w:pPr>
      <w:hyperlink w:anchor="_Toc2237" w:history="1">
        <w:r>
          <w:rPr>
            <w:rFonts w:ascii="IRNazanin" w:hAnsi="IRNazanin" w:eastAsia="IRNazanin" w:cs="IRNazanin"/>
            <w:color w:val="111111"/>
            <w:sz w:val="22"/>
            <w:szCs w:val="22"/>
            <w:b w:val="0"/>
            <w:bCs w:val="0"/>
            <w:i w:val="0"/>
            <w:iCs w:val="0"/>
          </w:rPr>
          <w:t>تميمي خليلي ، احمد بن عبدالغني قرن</w:t>
        </w:r>
        <w:r>
          <w:tab/>
        </w:r>
        <w:r>
          <w:fldChar w:fldCharType="begin"/>
        </w:r>
        <w:r>
          <w:instrText xml:space="preserve">PAGEREF 2237 \h</w:instrText>
        </w:r>
        <w:r>
          <w:fldChar w:fldCharType="end"/>
        </w:r>
      </w:hyperlink>
    </w:p>
    <w:p>
      <w:pPr>
        <w:tabs>
          <w:tab w:val="right" w:leader="dot" w:pos="9062"/>
        </w:tabs>
        <w:ind w:left="220"/>
      </w:pPr>
      <w:hyperlink w:anchor="_Toc2238" w:history="1">
        <w:r>
          <w:rPr>
            <w:rFonts w:ascii="IRNazanin" w:hAnsi="IRNazanin" w:eastAsia="IRNazanin" w:cs="IRNazanin"/>
            <w:color w:val="111111"/>
            <w:sz w:val="22"/>
            <w:szCs w:val="22"/>
            <w:b w:val="0"/>
            <w:bCs w:val="0"/>
            <w:i w:val="0"/>
            <w:iCs w:val="0"/>
          </w:rPr>
          <w:t>تميمي سليمان بن عبد الوهاب - 1210ه-</w:t>
        </w:r>
        <w:r>
          <w:tab/>
        </w:r>
        <w:r>
          <w:fldChar w:fldCharType="begin"/>
        </w:r>
        <w:r>
          <w:instrText xml:space="preserve">PAGEREF 2238 \h</w:instrText>
        </w:r>
        <w:r>
          <w:fldChar w:fldCharType="end"/>
        </w:r>
      </w:hyperlink>
    </w:p>
    <w:p>
      <w:pPr>
        <w:tabs>
          <w:tab w:val="right" w:leader="dot" w:pos="9062"/>
        </w:tabs>
        <w:ind w:left="220"/>
      </w:pPr>
      <w:hyperlink w:anchor="_Toc2239" w:history="1">
        <w:r>
          <w:rPr>
            <w:rFonts w:ascii="IRNazanin" w:hAnsi="IRNazanin" w:eastAsia="IRNazanin" w:cs="IRNazanin"/>
            <w:color w:val="111111"/>
            <w:sz w:val="22"/>
            <w:szCs w:val="22"/>
            <w:b w:val="0"/>
            <w:bCs w:val="0"/>
            <w:i w:val="0"/>
            <w:iCs w:val="0"/>
          </w:rPr>
          <w:t>تميمي ، صالح بن درویش 1190 -</w:t>
        </w:r>
        <w:r>
          <w:tab/>
        </w:r>
        <w:r>
          <w:fldChar w:fldCharType="begin"/>
        </w:r>
        <w:r>
          <w:instrText xml:space="preserve">PAGEREF 2239 \h</w:instrText>
        </w:r>
        <w:r>
          <w:fldChar w:fldCharType="end"/>
        </w:r>
      </w:hyperlink>
    </w:p>
    <w:p>
      <w:pPr>
        <w:tabs>
          <w:tab w:val="right" w:leader="dot" w:pos="9062"/>
        </w:tabs>
        <w:ind w:left="220"/>
      </w:pPr>
      <w:hyperlink w:anchor="_Toc2240" w:history="1">
        <w:r>
          <w:rPr>
            <w:rFonts w:ascii="IRNazanin" w:hAnsi="IRNazanin" w:eastAsia="IRNazanin" w:cs="IRNazanin"/>
            <w:color w:val="111111"/>
            <w:sz w:val="22"/>
            <w:szCs w:val="22"/>
            <w:b w:val="0"/>
            <w:bCs w:val="0"/>
            <w:i w:val="0"/>
            <w:iCs w:val="0"/>
          </w:rPr>
          <w:t>تميمي، عبدالرحمن بن عثمان - 420 ه-</w:t>
        </w:r>
        <w:r>
          <w:tab/>
        </w:r>
        <w:r>
          <w:fldChar w:fldCharType="begin"/>
        </w:r>
        <w:r>
          <w:instrText xml:space="preserve">PAGEREF 2240 \h</w:instrText>
        </w:r>
        <w:r>
          <w:fldChar w:fldCharType="end"/>
        </w:r>
      </w:hyperlink>
    </w:p>
    <w:p>
      <w:pPr>
        <w:tabs>
          <w:tab w:val="right" w:leader="dot" w:pos="9062"/>
        </w:tabs>
        <w:ind w:left="220"/>
      </w:pPr>
      <w:hyperlink w:anchor="_Toc2241" w:history="1">
        <w:r>
          <w:rPr>
            <w:rFonts w:ascii="IRNazanin" w:hAnsi="IRNazanin" w:eastAsia="IRNazanin" w:cs="IRNazanin"/>
            <w:color w:val="111111"/>
            <w:sz w:val="22"/>
            <w:szCs w:val="22"/>
            <w:b w:val="0"/>
            <w:bCs w:val="0"/>
            <w:i w:val="0"/>
            <w:iCs w:val="0"/>
          </w:rPr>
          <w:t>تميمي، محمّد ابراهيم</w:t>
        </w:r>
        <w:r>
          <w:tab/>
        </w:r>
        <w:r>
          <w:fldChar w:fldCharType="begin"/>
        </w:r>
        <w:r>
          <w:instrText xml:space="preserve">PAGEREF 2241 \h</w:instrText>
        </w:r>
        <w:r>
          <w:fldChar w:fldCharType="end"/>
        </w:r>
      </w:hyperlink>
    </w:p>
    <w:p>
      <w:pPr>
        <w:tabs>
          <w:tab w:val="right" w:leader="dot" w:pos="9062"/>
        </w:tabs>
        <w:ind w:left="220"/>
      </w:pPr>
      <w:hyperlink w:anchor="_Toc2242" w:history="1">
        <w:r>
          <w:rPr>
            <w:rFonts w:ascii="IRNazanin" w:hAnsi="IRNazanin" w:eastAsia="IRNazanin" w:cs="IRNazanin"/>
            <w:color w:val="111111"/>
            <w:sz w:val="22"/>
            <w:szCs w:val="22"/>
            <w:b w:val="0"/>
            <w:bCs w:val="0"/>
            <w:i w:val="0"/>
            <w:iCs w:val="0"/>
          </w:rPr>
          <w:t>تميمي ، محمّد بن احمد - 390 ه-</w:t>
        </w:r>
        <w:r>
          <w:tab/>
        </w:r>
        <w:r>
          <w:fldChar w:fldCharType="begin"/>
        </w:r>
        <w:r>
          <w:instrText xml:space="preserve">PAGEREF 2242 \h</w:instrText>
        </w:r>
        <w:r>
          <w:fldChar w:fldCharType="end"/>
        </w:r>
      </w:hyperlink>
    </w:p>
    <w:p>
      <w:pPr>
        <w:tabs>
          <w:tab w:val="right" w:leader="dot" w:pos="9062"/>
        </w:tabs>
        <w:ind w:left="220"/>
      </w:pPr>
      <w:hyperlink w:anchor="_Toc2243" w:history="1">
        <w:r>
          <w:rPr>
            <w:rFonts w:ascii="IRNazanin" w:hAnsi="IRNazanin" w:eastAsia="IRNazanin" w:cs="IRNazanin"/>
            <w:color w:val="111111"/>
            <w:sz w:val="22"/>
            <w:szCs w:val="22"/>
            <w:b w:val="0"/>
            <w:bCs w:val="0"/>
            <w:i w:val="0"/>
            <w:iCs w:val="0"/>
          </w:rPr>
          <w:t>تميمي ، محمّد بن امیل - 170 ه-</w:t>
        </w:r>
        <w:r>
          <w:tab/>
        </w:r>
        <w:r>
          <w:fldChar w:fldCharType="begin"/>
        </w:r>
        <w:r>
          <w:instrText xml:space="preserve">PAGEREF 2243 \h</w:instrText>
        </w:r>
        <w:r>
          <w:fldChar w:fldCharType="end"/>
        </w:r>
      </w:hyperlink>
    </w:p>
    <w:p>
      <w:pPr>
        <w:tabs>
          <w:tab w:val="right" w:leader="dot" w:pos="9062"/>
        </w:tabs>
        <w:ind w:left="220"/>
      </w:pPr>
      <w:hyperlink w:anchor="_Toc2244" w:history="1">
        <w:r>
          <w:rPr>
            <w:rFonts w:ascii="IRNazanin" w:hAnsi="IRNazanin" w:eastAsia="IRNazanin" w:cs="IRNazanin"/>
            <w:color w:val="111111"/>
            <w:sz w:val="22"/>
            <w:szCs w:val="22"/>
            <w:b w:val="0"/>
            <w:bCs w:val="0"/>
            <w:i w:val="0"/>
            <w:iCs w:val="0"/>
          </w:rPr>
          <w:t>تنكابني ، ابوالحسن بن محمّد هادي - 1386 ه-</w:t>
        </w:r>
        <w:r>
          <w:tab/>
        </w:r>
        <w:r>
          <w:fldChar w:fldCharType="begin"/>
        </w:r>
        <w:r>
          <w:instrText xml:space="preserve">PAGEREF 2244 \h</w:instrText>
        </w:r>
        <w:r>
          <w:fldChar w:fldCharType="end"/>
        </w:r>
      </w:hyperlink>
    </w:p>
    <w:p>
      <w:pPr>
        <w:tabs>
          <w:tab w:val="right" w:leader="dot" w:pos="9062"/>
        </w:tabs>
        <w:ind w:left="220"/>
      </w:pPr>
      <w:hyperlink w:anchor="_Toc2245" w:history="1">
        <w:r>
          <w:rPr>
            <w:rFonts w:ascii="IRNazanin" w:hAnsi="IRNazanin" w:eastAsia="IRNazanin" w:cs="IRNazanin"/>
            <w:color w:val="111111"/>
            <w:sz w:val="22"/>
            <w:szCs w:val="22"/>
            <w:b w:val="0"/>
            <w:bCs w:val="0"/>
            <w:i w:val="0"/>
            <w:iCs w:val="0"/>
          </w:rPr>
          <w:t>تنكابني، احمد بن محمّد حسین قرن 13ه-</w:t>
        </w:r>
        <w:r>
          <w:tab/>
        </w:r>
        <w:r>
          <w:fldChar w:fldCharType="begin"/>
        </w:r>
        <w:r>
          <w:instrText xml:space="preserve">PAGEREF 2245 \h</w:instrText>
        </w:r>
        <w:r>
          <w:fldChar w:fldCharType="end"/>
        </w:r>
      </w:hyperlink>
    </w:p>
    <w:p>
      <w:pPr>
        <w:tabs>
          <w:tab w:val="right" w:leader="dot" w:pos="9062"/>
        </w:tabs>
        <w:ind w:left="220"/>
      </w:pPr>
      <w:hyperlink w:anchor="_Toc2246" w:history="1">
        <w:r>
          <w:rPr>
            <w:rFonts w:ascii="IRNazanin" w:hAnsi="IRNazanin" w:eastAsia="IRNazanin" w:cs="IRNazanin"/>
            <w:color w:val="111111"/>
            <w:sz w:val="22"/>
            <w:szCs w:val="22"/>
            <w:b w:val="0"/>
            <w:bCs w:val="0"/>
            <w:i w:val="0"/>
            <w:iCs w:val="0"/>
          </w:rPr>
          <w:t>تنكابني حسن بن ابي الحسن قرن 13 ه-</w:t>
        </w:r>
        <w:r>
          <w:tab/>
        </w:r>
        <w:r>
          <w:fldChar w:fldCharType="begin"/>
        </w:r>
        <w:r>
          <w:instrText xml:space="preserve">PAGEREF 2246 \h</w:instrText>
        </w:r>
        <w:r>
          <w:fldChar w:fldCharType="end"/>
        </w:r>
      </w:hyperlink>
    </w:p>
    <w:p>
      <w:pPr>
        <w:tabs>
          <w:tab w:val="right" w:leader="dot" w:pos="9062"/>
        </w:tabs>
        <w:ind w:left="220"/>
      </w:pPr>
      <w:hyperlink w:anchor="_Toc2247" w:history="1">
        <w:r>
          <w:rPr>
            <w:rFonts w:ascii="IRNazanin" w:hAnsi="IRNazanin" w:eastAsia="IRNazanin" w:cs="IRNazanin"/>
            <w:color w:val="111111"/>
            <w:sz w:val="22"/>
            <w:szCs w:val="22"/>
            <w:b w:val="0"/>
            <w:bCs w:val="0"/>
            <w:i w:val="0"/>
            <w:iCs w:val="0"/>
          </w:rPr>
          <w:t>تنكابني ، حسين بن ابراهيم - 1105 ه-</w:t>
        </w:r>
        <w:r>
          <w:tab/>
        </w:r>
        <w:r>
          <w:fldChar w:fldCharType="begin"/>
        </w:r>
        <w:r>
          <w:instrText xml:space="preserve">PAGEREF 2247 \h</w:instrText>
        </w:r>
        <w:r>
          <w:fldChar w:fldCharType="end"/>
        </w:r>
      </w:hyperlink>
    </w:p>
    <w:p>
      <w:pPr>
        <w:tabs>
          <w:tab w:val="right" w:leader="dot" w:pos="9062"/>
        </w:tabs>
        <w:ind w:left="220"/>
      </w:pPr>
      <w:hyperlink w:anchor="_Toc2248" w:history="1">
        <w:r>
          <w:rPr>
            <w:rFonts w:ascii="IRNazanin" w:hAnsi="IRNazanin" w:eastAsia="IRNazanin" w:cs="IRNazanin"/>
            <w:color w:val="111111"/>
            <w:sz w:val="22"/>
            <w:szCs w:val="22"/>
            <w:b w:val="0"/>
            <w:bCs w:val="0"/>
            <w:i w:val="0"/>
            <w:iCs w:val="0"/>
          </w:rPr>
          <w:t>تنكابني ، عبد الكاظم بن عبدالعلي قرن</w:t>
        </w:r>
        <w:r>
          <w:tab/>
        </w:r>
        <w:r>
          <w:fldChar w:fldCharType="begin"/>
        </w:r>
        <w:r>
          <w:instrText xml:space="preserve">PAGEREF 2248 \h</w:instrText>
        </w:r>
        <w:r>
          <w:fldChar w:fldCharType="end"/>
        </w:r>
      </w:hyperlink>
    </w:p>
    <w:p>
      <w:pPr>
        <w:tabs>
          <w:tab w:val="right" w:leader="dot" w:pos="9062"/>
        </w:tabs>
        <w:ind w:left="220"/>
      </w:pPr>
      <w:hyperlink w:anchor="_Toc2249" w:history="1">
        <w:r>
          <w:rPr>
            <w:rFonts w:ascii="IRNazanin" w:hAnsi="IRNazanin" w:eastAsia="IRNazanin" w:cs="IRNazanin"/>
            <w:color w:val="111111"/>
            <w:sz w:val="22"/>
            <w:szCs w:val="22"/>
            <w:b w:val="0"/>
            <w:bCs w:val="0"/>
            <w:i w:val="0"/>
            <w:iCs w:val="0"/>
          </w:rPr>
          <w:t>تنكابني ، علي بن محمّد باقر</w:t>
        </w:r>
        <w:r>
          <w:tab/>
        </w:r>
        <w:r>
          <w:fldChar w:fldCharType="begin"/>
        </w:r>
        <w:r>
          <w:instrText xml:space="preserve">PAGEREF 2249 \h</w:instrText>
        </w:r>
        <w:r>
          <w:fldChar w:fldCharType="end"/>
        </w:r>
      </w:hyperlink>
    </w:p>
    <w:p>
      <w:pPr>
        <w:tabs>
          <w:tab w:val="right" w:leader="dot" w:pos="9062"/>
        </w:tabs>
        <w:ind w:left="220"/>
      </w:pPr>
      <w:hyperlink w:anchor="_Toc2250" w:history="1">
        <w:r>
          <w:rPr>
            <w:rFonts w:ascii="IRNazanin" w:hAnsi="IRNazanin" w:eastAsia="IRNazanin" w:cs="IRNazanin"/>
            <w:color w:val="111111"/>
            <w:sz w:val="22"/>
            <w:szCs w:val="22"/>
            <w:b w:val="0"/>
            <w:bCs w:val="0"/>
            <w:i w:val="0"/>
            <w:iCs w:val="0"/>
          </w:rPr>
          <w:t>تنكابني ، محمّد بن عبد الفتاح 1040 -</w:t>
        </w:r>
        <w:r>
          <w:tab/>
        </w:r>
        <w:r>
          <w:fldChar w:fldCharType="begin"/>
        </w:r>
        <w:r>
          <w:instrText xml:space="preserve">PAGEREF 2250 \h</w:instrText>
        </w:r>
        <w:r>
          <w:fldChar w:fldCharType="end"/>
        </w:r>
      </w:hyperlink>
    </w:p>
    <w:p>
      <w:pPr>
        <w:tabs>
          <w:tab w:val="right" w:leader="dot" w:pos="9062"/>
        </w:tabs>
        <w:ind w:left="220"/>
      </w:pPr>
      <w:hyperlink w:anchor="_Toc2251" w:history="1">
        <w:r>
          <w:rPr>
            <w:rFonts w:ascii="IRNazanin" w:hAnsi="IRNazanin" w:eastAsia="IRNazanin" w:cs="IRNazanin"/>
            <w:color w:val="111111"/>
            <w:sz w:val="22"/>
            <w:szCs w:val="22"/>
            <w:b w:val="0"/>
            <w:bCs w:val="0"/>
            <w:i w:val="0"/>
            <w:iCs w:val="0"/>
          </w:rPr>
          <w:t>تنكابني ، محمّد شريف بن محمّد يوسف</w:t>
        </w:r>
        <w:r>
          <w:tab/>
        </w:r>
        <w:r>
          <w:fldChar w:fldCharType="begin"/>
        </w:r>
        <w:r>
          <w:instrText xml:space="preserve">PAGEREF 2251 \h</w:instrText>
        </w:r>
        <w:r>
          <w:fldChar w:fldCharType="end"/>
        </w:r>
      </w:hyperlink>
    </w:p>
    <w:p>
      <w:pPr>
        <w:tabs>
          <w:tab w:val="right" w:leader="dot" w:pos="9062"/>
        </w:tabs>
        <w:ind w:left="220"/>
      </w:pPr>
      <w:hyperlink w:anchor="_Toc2252" w:history="1">
        <w:r>
          <w:rPr>
            <w:rFonts w:ascii="IRNazanin" w:hAnsi="IRNazanin" w:eastAsia="IRNazanin" w:cs="IRNazanin"/>
            <w:color w:val="111111"/>
            <w:sz w:val="22"/>
            <w:szCs w:val="22"/>
            <w:b w:val="0"/>
            <w:bCs w:val="0"/>
            <w:i w:val="0"/>
            <w:iCs w:val="0"/>
          </w:rPr>
          <w:t>تنگلو شاه بابلي قرن 1 م</w:t>
        </w:r>
        <w:r>
          <w:tab/>
        </w:r>
        <w:r>
          <w:fldChar w:fldCharType="begin"/>
        </w:r>
        <w:r>
          <w:instrText xml:space="preserve">PAGEREF 2252 \h</w:instrText>
        </w:r>
        <w:r>
          <w:fldChar w:fldCharType="end"/>
        </w:r>
      </w:hyperlink>
    </w:p>
    <w:p>
      <w:pPr>
        <w:tabs>
          <w:tab w:val="right" w:leader="dot" w:pos="9062"/>
        </w:tabs>
        <w:ind w:left="220"/>
      </w:pPr>
      <w:hyperlink w:anchor="_Toc2253" w:history="1">
        <w:r>
          <w:rPr>
            <w:rFonts w:ascii="IRNazanin" w:hAnsi="IRNazanin" w:eastAsia="IRNazanin" w:cs="IRNazanin"/>
            <w:color w:val="111111"/>
            <w:sz w:val="22"/>
            <w:szCs w:val="22"/>
            <w:b w:val="0"/>
            <w:bCs w:val="0"/>
            <w:i w:val="0"/>
            <w:iCs w:val="0"/>
          </w:rPr>
          <w:t>تنوخي</w:t>
        </w:r>
        <w:r>
          <w:tab/>
        </w:r>
        <w:r>
          <w:fldChar w:fldCharType="begin"/>
        </w:r>
        <w:r>
          <w:instrText xml:space="preserve">PAGEREF 2253 \h</w:instrText>
        </w:r>
        <w:r>
          <w:fldChar w:fldCharType="end"/>
        </w:r>
      </w:hyperlink>
    </w:p>
    <w:p>
      <w:pPr>
        <w:tabs>
          <w:tab w:val="right" w:leader="dot" w:pos="9062"/>
        </w:tabs>
        <w:ind w:left="220"/>
      </w:pPr>
      <w:hyperlink w:anchor="_Toc2254" w:history="1">
        <w:r>
          <w:rPr>
            <w:rFonts w:ascii="IRNazanin" w:hAnsi="IRNazanin" w:eastAsia="IRNazanin" w:cs="IRNazanin"/>
            <w:color w:val="111111"/>
            <w:sz w:val="22"/>
            <w:szCs w:val="22"/>
            <w:b w:val="0"/>
            <w:bCs w:val="0"/>
            <w:i w:val="0"/>
            <w:iCs w:val="0"/>
          </w:rPr>
          <w:t>تنوخي ، عبد المحسن بن حمود 570 - 643ه-</w:t>
        </w:r>
        <w:r>
          <w:tab/>
        </w:r>
        <w:r>
          <w:fldChar w:fldCharType="begin"/>
        </w:r>
        <w:r>
          <w:instrText xml:space="preserve">PAGEREF 2254 \h</w:instrText>
        </w:r>
        <w:r>
          <w:fldChar w:fldCharType="end"/>
        </w:r>
      </w:hyperlink>
    </w:p>
    <w:p>
      <w:pPr>
        <w:tabs>
          <w:tab w:val="right" w:leader="dot" w:pos="9062"/>
        </w:tabs>
        <w:ind w:left="220"/>
      </w:pPr>
      <w:hyperlink w:anchor="_Toc2255" w:history="1">
        <w:r>
          <w:rPr>
            <w:rFonts w:ascii="IRNazanin" w:hAnsi="IRNazanin" w:eastAsia="IRNazanin" w:cs="IRNazanin"/>
            <w:color w:val="111111"/>
            <w:sz w:val="22"/>
            <w:szCs w:val="22"/>
            <w:b w:val="0"/>
            <w:bCs w:val="0"/>
            <w:i w:val="0"/>
            <w:iCs w:val="0"/>
          </w:rPr>
          <w:t>تنوخي ، محسن بن علي، 327 - 384 ه-</w:t>
        </w:r>
        <w:r>
          <w:tab/>
        </w:r>
        <w:r>
          <w:fldChar w:fldCharType="begin"/>
        </w:r>
        <w:r>
          <w:instrText xml:space="preserve">PAGEREF 2255 \h</w:instrText>
        </w:r>
        <w:r>
          <w:fldChar w:fldCharType="end"/>
        </w:r>
      </w:hyperlink>
    </w:p>
    <w:p>
      <w:pPr>
        <w:tabs>
          <w:tab w:val="right" w:leader="dot" w:pos="9062"/>
        </w:tabs>
        <w:ind w:left="220"/>
      </w:pPr>
      <w:hyperlink w:anchor="_Toc2256" w:history="1">
        <w:r>
          <w:rPr>
            <w:rFonts w:ascii="IRNazanin" w:hAnsi="IRNazanin" w:eastAsia="IRNazanin" w:cs="IRNazanin"/>
            <w:color w:val="111111"/>
            <w:sz w:val="22"/>
            <w:szCs w:val="22"/>
            <w:b w:val="0"/>
            <w:bCs w:val="0"/>
            <w:i w:val="0"/>
            <w:iCs w:val="0"/>
          </w:rPr>
          <w:t>تنوخي ، محمّد بن محمّد قرن 5 ه-</w:t>
        </w:r>
        <w:r>
          <w:tab/>
        </w:r>
        <w:r>
          <w:fldChar w:fldCharType="begin"/>
        </w:r>
        <w:r>
          <w:instrText xml:space="preserve">PAGEREF 2256 \h</w:instrText>
        </w:r>
        <w:r>
          <w:fldChar w:fldCharType="end"/>
        </w:r>
      </w:hyperlink>
    </w:p>
    <w:p>
      <w:pPr>
        <w:tabs>
          <w:tab w:val="right" w:leader="dot" w:pos="9062"/>
        </w:tabs>
        <w:ind w:left="220"/>
      </w:pPr>
      <w:hyperlink w:anchor="_Toc2257" w:history="1">
        <w:r>
          <w:rPr>
            <w:rFonts w:ascii="IRNazanin" w:hAnsi="IRNazanin" w:eastAsia="IRNazanin" w:cs="IRNazanin"/>
            <w:color w:val="111111"/>
            <w:sz w:val="22"/>
            <w:szCs w:val="22"/>
            <w:b w:val="0"/>
            <w:bCs w:val="0"/>
            <w:i w:val="0"/>
            <w:iCs w:val="0"/>
          </w:rPr>
          <w:t>تنيسي، عبد المحسن بن عثمان قرن 5 ه-</w:t>
        </w:r>
        <w:r>
          <w:tab/>
        </w:r>
        <w:r>
          <w:fldChar w:fldCharType="begin"/>
        </w:r>
        <w:r>
          <w:instrText xml:space="preserve">PAGEREF 2257 \h</w:instrText>
        </w:r>
        <w:r>
          <w:fldChar w:fldCharType="end"/>
        </w:r>
      </w:hyperlink>
    </w:p>
    <w:p>
      <w:pPr>
        <w:tabs>
          <w:tab w:val="right" w:leader="dot" w:pos="9062"/>
        </w:tabs>
        <w:ind w:left="220"/>
      </w:pPr>
      <w:hyperlink w:anchor="_Toc2258" w:history="1">
        <w:r>
          <w:rPr>
            <w:rFonts w:ascii="IRNazanin" w:hAnsi="IRNazanin" w:eastAsia="IRNazanin" w:cs="IRNazanin"/>
            <w:color w:val="111111"/>
            <w:sz w:val="22"/>
            <w:szCs w:val="22"/>
            <w:b w:val="0"/>
            <w:bCs w:val="0"/>
            <w:i w:val="0"/>
            <w:iCs w:val="0"/>
          </w:rPr>
          <w:t>تهامي ، علي بن محمّد - 416 ه-</w:t>
        </w:r>
        <w:r>
          <w:tab/>
        </w:r>
        <w:r>
          <w:fldChar w:fldCharType="begin"/>
        </w:r>
        <w:r>
          <w:instrText xml:space="preserve">PAGEREF 2258 \h</w:instrText>
        </w:r>
        <w:r>
          <w:fldChar w:fldCharType="end"/>
        </w:r>
      </w:hyperlink>
    </w:p>
    <w:p>
      <w:pPr>
        <w:tabs>
          <w:tab w:val="right" w:leader="dot" w:pos="9062"/>
        </w:tabs>
        <w:ind w:left="220"/>
      </w:pPr>
      <w:hyperlink w:anchor="_Toc2259" w:history="1">
        <w:r>
          <w:rPr>
            <w:rFonts w:ascii="IRNazanin" w:hAnsi="IRNazanin" w:eastAsia="IRNazanin" w:cs="IRNazanin"/>
            <w:color w:val="111111"/>
            <w:sz w:val="22"/>
            <w:szCs w:val="22"/>
            <w:b w:val="0"/>
            <w:bCs w:val="0"/>
            <w:i w:val="0"/>
            <w:iCs w:val="0"/>
          </w:rPr>
          <w:t>تهراني، ابراهيم - 1355 ه-</w:t>
        </w:r>
        <w:r>
          <w:tab/>
        </w:r>
        <w:r>
          <w:fldChar w:fldCharType="begin"/>
        </w:r>
        <w:r>
          <w:instrText xml:space="preserve">PAGEREF 2259 \h</w:instrText>
        </w:r>
        <w:r>
          <w:fldChar w:fldCharType="end"/>
        </w:r>
      </w:hyperlink>
    </w:p>
    <w:p>
      <w:pPr>
        <w:tabs>
          <w:tab w:val="right" w:leader="dot" w:pos="9062"/>
        </w:tabs>
        <w:ind w:left="220"/>
      </w:pPr>
      <w:hyperlink w:anchor="_Toc2260" w:history="1">
        <w:r>
          <w:rPr>
            <w:rFonts w:ascii="IRNazanin" w:hAnsi="IRNazanin" w:eastAsia="IRNazanin" w:cs="IRNazanin"/>
            <w:color w:val="111111"/>
            <w:sz w:val="22"/>
            <w:szCs w:val="22"/>
            <w:b w:val="0"/>
            <w:bCs w:val="0"/>
            <w:i w:val="0"/>
            <w:iCs w:val="0"/>
          </w:rPr>
          <w:t>تهراني ، خليل بن عبد الباقي قرن 14 ه-</w:t>
        </w:r>
        <w:r>
          <w:tab/>
        </w:r>
        <w:r>
          <w:fldChar w:fldCharType="begin"/>
        </w:r>
        <w:r>
          <w:instrText xml:space="preserve">PAGEREF 2260 \h</w:instrText>
        </w:r>
        <w:r>
          <w:fldChar w:fldCharType="end"/>
        </w:r>
      </w:hyperlink>
    </w:p>
    <w:p>
      <w:pPr>
        <w:tabs>
          <w:tab w:val="right" w:leader="dot" w:pos="9062"/>
        </w:tabs>
        <w:ind w:left="220"/>
      </w:pPr>
      <w:hyperlink w:anchor="_Toc2261" w:history="1">
        <w:r>
          <w:rPr>
            <w:rFonts w:ascii="IRNazanin" w:hAnsi="IRNazanin" w:eastAsia="IRNazanin" w:cs="IRNazanin"/>
            <w:color w:val="111111"/>
            <w:sz w:val="22"/>
            <w:szCs w:val="22"/>
            <w:b w:val="0"/>
            <w:bCs w:val="0"/>
            <w:i w:val="0"/>
            <w:iCs w:val="0"/>
          </w:rPr>
          <w:t>تهراني رازي قوام الدین محمّد -1093ه-</w:t>
        </w:r>
        <w:r>
          <w:tab/>
        </w:r>
        <w:r>
          <w:fldChar w:fldCharType="begin"/>
        </w:r>
        <w:r>
          <w:instrText xml:space="preserve">PAGEREF 2261 \h</w:instrText>
        </w:r>
        <w:r>
          <w:fldChar w:fldCharType="end"/>
        </w:r>
      </w:hyperlink>
    </w:p>
    <w:p>
      <w:pPr>
        <w:tabs>
          <w:tab w:val="right" w:leader="dot" w:pos="9062"/>
        </w:tabs>
        <w:ind w:left="220"/>
      </w:pPr>
      <w:hyperlink w:anchor="_Toc2262" w:history="1">
        <w:r>
          <w:rPr>
            <w:rFonts w:ascii="IRNazanin" w:hAnsi="IRNazanin" w:eastAsia="IRNazanin" w:cs="IRNazanin"/>
            <w:color w:val="111111"/>
            <w:sz w:val="22"/>
            <w:szCs w:val="22"/>
            <w:b w:val="0"/>
            <w:bCs w:val="0"/>
            <w:i w:val="0"/>
            <w:iCs w:val="0"/>
          </w:rPr>
          <w:t>تهراني ، علي بن خليل - 1296 ه-</w:t>
        </w:r>
        <w:r>
          <w:tab/>
        </w:r>
        <w:r>
          <w:fldChar w:fldCharType="begin"/>
        </w:r>
        <w:r>
          <w:instrText xml:space="preserve">PAGEREF 2262 \h</w:instrText>
        </w:r>
        <w:r>
          <w:fldChar w:fldCharType="end"/>
        </w:r>
      </w:hyperlink>
    </w:p>
    <w:p>
      <w:pPr>
        <w:tabs>
          <w:tab w:val="right" w:leader="dot" w:pos="9062"/>
        </w:tabs>
        <w:ind w:left="220"/>
      </w:pPr>
      <w:hyperlink w:anchor="_Toc2263" w:history="1">
        <w:r>
          <w:rPr>
            <w:rFonts w:ascii="IRNazanin" w:hAnsi="IRNazanin" w:eastAsia="IRNazanin" w:cs="IRNazanin"/>
            <w:color w:val="111111"/>
            <w:sz w:val="22"/>
            <w:szCs w:val="22"/>
            <w:b w:val="0"/>
            <w:bCs w:val="0"/>
            <w:i w:val="0"/>
            <w:iCs w:val="0"/>
          </w:rPr>
          <w:t>تهراني نجفي، هادي بن محمّد امين</w:t>
        </w:r>
        <w:r>
          <w:tab/>
        </w:r>
        <w:r>
          <w:fldChar w:fldCharType="begin"/>
        </w:r>
        <w:r>
          <w:instrText xml:space="preserve">PAGEREF 2263 \h</w:instrText>
        </w:r>
        <w:r>
          <w:fldChar w:fldCharType="end"/>
        </w:r>
      </w:hyperlink>
    </w:p>
    <w:p>
      <w:pPr>
        <w:tabs>
          <w:tab w:val="right" w:leader="dot" w:pos="9062"/>
        </w:tabs>
        <w:ind w:left="220"/>
      </w:pPr>
      <w:hyperlink w:anchor="_Toc2264" w:history="1">
        <w:r>
          <w:rPr>
            <w:rFonts w:ascii="IRNazanin" w:hAnsi="IRNazanin" w:eastAsia="IRNazanin" w:cs="IRNazanin"/>
            <w:color w:val="111111"/>
            <w:sz w:val="22"/>
            <w:szCs w:val="22"/>
            <w:b w:val="0"/>
            <w:bCs w:val="0"/>
            <w:i w:val="0"/>
            <w:iCs w:val="0"/>
          </w:rPr>
          <w:t>توبلي بحراني ابراهيم بن ناصر، قرن 14ه-</w:t>
        </w:r>
        <w:r>
          <w:tab/>
        </w:r>
        <w:r>
          <w:fldChar w:fldCharType="begin"/>
        </w:r>
        <w:r>
          <w:instrText xml:space="preserve">PAGEREF 2264 \h</w:instrText>
        </w:r>
        <w:r>
          <w:fldChar w:fldCharType="end"/>
        </w:r>
      </w:hyperlink>
    </w:p>
    <w:p>
      <w:pPr>
        <w:tabs>
          <w:tab w:val="right" w:leader="dot" w:pos="9062"/>
        </w:tabs>
        <w:ind w:left="220"/>
      </w:pPr>
      <w:hyperlink w:anchor="_Toc2265" w:history="1">
        <w:r>
          <w:rPr>
            <w:rFonts w:ascii="IRNazanin" w:hAnsi="IRNazanin" w:eastAsia="IRNazanin" w:cs="IRNazanin"/>
            <w:color w:val="111111"/>
            <w:sz w:val="22"/>
            <w:szCs w:val="22"/>
            <w:b w:val="0"/>
            <w:bCs w:val="0"/>
            <w:i w:val="0"/>
            <w:iCs w:val="0"/>
          </w:rPr>
          <w:t>توران پشتي ، فضل بن حسن - 661 ه-</w:t>
        </w:r>
        <w:r>
          <w:tab/>
        </w:r>
        <w:r>
          <w:fldChar w:fldCharType="begin"/>
        </w:r>
        <w:r>
          <w:instrText xml:space="preserve">PAGEREF 2265 \h</w:instrText>
        </w:r>
        <w:r>
          <w:fldChar w:fldCharType="end"/>
        </w:r>
      </w:hyperlink>
    </w:p>
    <w:p>
      <w:pPr>
        <w:tabs>
          <w:tab w:val="right" w:leader="dot" w:pos="9062"/>
        </w:tabs>
        <w:ind w:left="220"/>
      </w:pPr>
      <w:hyperlink w:anchor="_Toc2266" w:history="1">
        <w:r>
          <w:rPr>
            <w:rFonts w:ascii="IRNazanin" w:hAnsi="IRNazanin" w:eastAsia="IRNazanin" w:cs="IRNazanin"/>
            <w:color w:val="111111"/>
            <w:sz w:val="22"/>
            <w:szCs w:val="22"/>
            <w:b w:val="0"/>
            <w:bCs w:val="0"/>
            <w:i w:val="0"/>
            <w:iCs w:val="0"/>
          </w:rPr>
          <w:t>توقاتي ، لطف الله بن حسن - 904 ه-</w:t>
        </w:r>
        <w:r>
          <w:tab/>
        </w:r>
        <w:r>
          <w:fldChar w:fldCharType="begin"/>
        </w:r>
        <w:r>
          <w:instrText xml:space="preserve">PAGEREF 2266 \h</w:instrText>
        </w:r>
        <w:r>
          <w:fldChar w:fldCharType="end"/>
        </w:r>
      </w:hyperlink>
    </w:p>
    <w:p>
      <w:pPr>
        <w:tabs>
          <w:tab w:val="right" w:leader="dot" w:pos="9062"/>
        </w:tabs>
        <w:ind w:left="220"/>
      </w:pPr>
      <w:hyperlink w:anchor="_Toc2267" w:history="1">
        <w:r>
          <w:rPr>
            <w:rFonts w:ascii="IRNazanin" w:hAnsi="IRNazanin" w:eastAsia="IRNazanin" w:cs="IRNazanin"/>
            <w:color w:val="111111"/>
            <w:sz w:val="22"/>
            <w:szCs w:val="22"/>
            <w:b w:val="0"/>
            <w:bCs w:val="0"/>
            <w:i w:val="0"/>
            <w:iCs w:val="0"/>
          </w:rPr>
          <w:t>تو قادي ، احمد بن احمد قرن 12 ه-</w:t>
        </w:r>
        <w:r>
          <w:tab/>
        </w:r>
        <w:r>
          <w:fldChar w:fldCharType="begin"/>
        </w:r>
        <w:r>
          <w:instrText xml:space="preserve">PAGEREF 2267 \h</w:instrText>
        </w:r>
        <w:r>
          <w:fldChar w:fldCharType="end"/>
        </w:r>
      </w:hyperlink>
    </w:p>
    <w:p>
      <w:pPr>
        <w:tabs>
          <w:tab w:val="right" w:leader="dot" w:pos="9062"/>
        </w:tabs>
        <w:ind w:left="220"/>
      </w:pPr>
      <w:hyperlink w:anchor="_Toc2268" w:history="1">
        <w:r>
          <w:rPr>
            <w:rFonts w:ascii="IRNazanin" w:hAnsi="IRNazanin" w:eastAsia="IRNazanin" w:cs="IRNazanin"/>
            <w:color w:val="111111"/>
            <w:sz w:val="22"/>
            <w:szCs w:val="22"/>
            <w:b w:val="0"/>
            <w:bCs w:val="0"/>
            <w:i w:val="0"/>
            <w:iCs w:val="0"/>
          </w:rPr>
          <w:t>تو قادي ، لطفي چلبي</w:t>
        </w:r>
        <w:r>
          <w:tab/>
        </w:r>
        <w:r>
          <w:fldChar w:fldCharType="begin"/>
        </w:r>
        <w:r>
          <w:instrText xml:space="preserve">PAGEREF 2268 \h</w:instrText>
        </w:r>
        <w:r>
          <w:fldChar w:fldCharType="end"/>
        </w:r>
      </w:hyperlink>
    </w:p>
    <w:p>
      <w:pPr>
        <w:tabs>
          <w:tab w:val="right" w:leader="dot" w:pos="9062"/>
        </w:tabs>
        <w:ind w:left="220"/>
      </w:pPr>
      <w:hyperlink w:anchor="_Toc2269" w:history="1">
        <w:r>
          <w:rPr>
            <w:rFonts w:ascii="IRNazanin" w:hAnsi="IRNazanin" w:eastAsia="IRNazanin" w:cs="IRNazanin"/>
            <w:color w:val="111111"/>
            <w:sz w:val="22"/>
            <w:szCs w:val="22"/>
            <w:b w:val="0"/>
            <w:bCs w:val="0"/>
            <w:i w:val="0"/>
            <w:iCs w:val="0"/>
          </w:rPr>
          <w:t>توقاني ، بهاء الدين</w:t>
        </w:r>
        <w:r>
          <w:tab/>
        </w:r>
        <w:r>
          <w:fldChar w:fldCharType="begin"/>
        </w:r>
        <w:r>
          <w:instrText xml:space="preserve">PAGEREF 2269 \h</w:instrText>
        </w:r>
        <w:r>
          <w:fldChar w:fldCharType="end"/>
        </w:r>
      </w:hyperlink>
    </w:p>
    <w:p>
      <w:pPr>
        <w:tabs>
          <w:tab w:val="right" w:leader="dot" w:pos="9062"/>
        </w:tabs>
        <w:ind w:left="220"/>
      </w:pPr>
      <w:hyperlink w:anchor="_Toc2270" w:history="1">
        <w:r>
          <w:rPr>
            <w:rFonts w:ascii="IRNazanin" w:hAnsi="IRNazanin" w:eastAsia="IRNazanin" w:cs="IRNazanin"/>
            <w:color w:val="111111"/>
            <w:sz w:val="22"/>
            <w:szCs w:val="22"/>
            <w:b w:val="0"/>
            <w:bCs w:val="0"/>
            <w:i w:val="0"/>
            <w:iCs w:val="0"/>
          </w:rPr>
          <w:t>توكلي ، ملا محمّد</w:t>
        </w:r>
        <w:r>
          <w:tab/>
        </w:r>
        <w:r>
          <w:fldChar w:fldCharType="begin"/>
        </w:r>
        <w:r>
          <w:instrText xml:space="preserve">PAGEREF 2270 \h</w:instrText>
        </w:r>
        <w:r>
          <w:fldChar w:fldCharType="end"/>
        </w:r>
      </w:hyperlink>
    </w:p>
    <w:p>
      <w:pPr>
        <w:tabs>
          <w:tab w:val="right" w:leader="dot" w:pos="9062"/>
        </w:tabs>
        <w:ind w:left="220"/>
      </w:pPr>
      <w:hyperlink w:anchor="_Toc2271" w:history="1">
        <w:r>
          <w:rPr>
            <w:rFonts w:ascii="IRNazanin" w:hAnsi="IRNazanin" w:eastAsia="IRNazanin" w:cs="IRNazanin"/>
            <w:color w:val="111111"/>
            <w:sz w:val="22"/>
            <w:szCs w:val="22"/>
            <w:b w:val="0"/>
            <w:bCs w:val="0"/>
            <w:i w:val="0"/>
            <w:iCs w:val="0"/>
          </w:rPr>
          <w:t>توليني، علي بن محمّد قرن 9 ه-</w:t>
        </w:r>
        <w:r>
          <w:tab/>
        </w:r>
        <w:r>
          <w:fldChar w:fldCharType="begin"/>
        </w:r>
        <w:r>
          <w:instrText xml:space="preserve">PAGEREF 2271 \h</w:instrText>
        </w:r>
        <w:r>
          <w:fldChar w:fldCharType="end"/>
        </w:r>
      </w:hyperlink>
    </w:p>
    <w:p>
      <w:pPr>
        <w:tabs>
          <w:tab w:val="right" w:leader="dot" w:pos="9062"/>
        </w:tabs>
        <w:ind w:left="220"/>
      </w:pPr>
      <w:hyperlink w:anchor="_Toc2272" w:history="1">
        <w:r>
          <w:rPr>
            <w:rFonts w:ascii="IRNazanin" w:hAnsi="IRNazanin" w:eastAsia="IRNazanin" w:cs="IRNazanin"/>
            <w:color w:val="111111"/>
            <w:sz w:val="22"/>
            <w:szCs w:val="22"/>
            <w:b w:val="0"/>
            <w:bCs w:val="0"/>
            <w:i w:val="0"/>
            <w:iCs w:val="0"/>
          </w:rPr>
          <w:t>تونسي ، ابواسحاق</w:t>
        </w:r>
        <w:r>
          <w:tab/>
        </w:r>
        <w:r>
          <w:fldChar w:fldCharType="begin"/>
        </w:r>
        <w:r>
          <w:instrText xml:space="preserve">PAGEREF 2272 \h</w:instrText>
        </w:r>
        <w:r>
          <w:fldChar w:fldCharType="end"/>
        </w:r>
      </w:hyperlink>
    </w:p>
    <w:p>
      <w:pPr>
        <w:tabs>
          <w:tab w:val="right" w:leader="dot" w:pos="9062"/>
        </w:tabs>
        <w:ind w:left="220"/>
      </w:pPr>
      <w:hyperlink w:anchor="_Toc2273" w:history="1">
        <w:r>
          <w:rPr>
            <w:rFonts w:ascii="IRNazanin" w:hAnsi="IRNazanin" w:eastAsia="IRNazanin" w:cs="IRNazanin"/>
            <w:color w:val="111111"/>
            <w:sz w:val="22"/>
            <w:szCs w:val="22"/>
            <w:b w:val="0"/>
            <w:bCs w:val="0"/>
            <w:i w:val="0"/>
            <w:iCs w:val="0"/>
          </w:rPr>
          <w:t>تونسي ، ابوالفتح</w:t>
        </w:r>
        <w:r>
          <w:tab/>
        </w:r>
        <w:r>
          <w:fldChar w:fldCharType="begin"/>
        </w:r>
        <w:r>
          <w:instrText xml:space="preserve">PAGEREF 2273 \h</w:instrText>
        </w:r>
        <w:r>
          <w:fldChar w:fldCharType="end"/>
        </w:r>
      </w:hyperlink>
    </w:p>
    <w:p>
      <w:pPr>
        <w:tabs>
          <w:tab w:val="right" w:leader="dot" w:pos="9062"/>
        </w:tabs>
        <w:ind w:left="220"/>
      </w:pPr>
      <w:hyperlink w:anchor="_Toc2274" w:history="1">
        <w:r>
          <w:rPr>
            <w:rFonts w:ascii="IRNazanin" w:hAnsi="IRNazanin" w:eastAsia="IRNazanin" w:cs="IRNazanin"/>
            <w:color w:val="111111"/>
            <w:sz w:val="22"/>
            <w:szCs w:val="22"/>
            <w:b w:val="0"/>
            <w:bCs w:val="0"/>
            <w:i w:val="0"/>
            <w:iCs w:val="0"/>
          </w:rPr>
          <w:t>تونسي ، محمّد</w:t>
        </w:r>
        <w:r>
          <w:tab/>
        </w:r>
        <w:r>
          <w:fldChar w:fldCharType="begin"/>
        </w:r>
        <w:r>
          <w:instrText xml:space="preserve">PAGEREF 2274 \h</w:instrText>
        </w:r>
        <w:r>
          <w:fldChar w:fldCharType="end"/>
        </w:r>
      </w:hyperlink>
    </w:p>
    <w:p>
      <w:pPr>
        <w:tabs>
          <w:tab w:val="right" w:leader="dot" w:pos="9062"/>
        </w:tabs>
        <w:ind w:left="220"/>
      </w:pPr>
      <w:hyperlink w:anchor="_Toc2275" w:history="1">
        <w:r>
          <w:rPr>
            <w:rFonts w:ascii="IRNazanin" w:hAnsi="IRNazanin" w:eastAsia="IRNazanin" w:cs="IRNazanin"/>
            <w:color w:val="111111"/>
            <w:sz w:val="22"/>
            <w:szCs w:val="22"/>
            <w:b w:val="0"/>
            <w:bCs w:val="0"/>
            <w:i w:val="0"/>
            <w:iCs w:val="0"/>
          </w:rPr>
          <w:t>توني ، ، احمد بن محمّد قرن 11 ه-</w:t>
        </w:r>
        <w:r>
          <w:tab/>
        </w:r>
        <w:r>
          <w:fldChar w:fldCharType="begin"/>
        </w:r>
        <w:r>
          <w:instrText xml:space="preserve">PAGEREF 2275 \h</w:instrText>
        </w:r>
        <w:r>
          <w:fldChar w:fldCharType="end"/>
        </w:r>
      </w:hyperlink>
    </w:p>
    <w:p>
      <w:pPr>
        <w:tabs>
          <w:tab w:val="right" w:leader="dot" w:pos="9062"/>
        </w:tabs>
        <w:ind w:left="220"/>
      </w:pPr>
      <w:hyperlink w:anchor="_Toc2276" w:history="1">
        <w:r>
          <w:rPr>
            <w:rFonts w:ascii="IRNazanin" w:hAnsi="IRNazanin" w:eastAsia="IRNazanin" w:cs="IRNazanin"/>
            <w:color w:val="111111"/>
            <w:sz w:val="22"/>
            <w:szCs w:val="22"/>
            <w:b w:val="0"/>
            <w:bCs w:val="0"/>
            <w:i w:val="0"/>
            <w:iCs w:val="0"/>
          </w:rPr>
          <w:t>توني خراساني ، محمّد علي بن محمّد رضا</w:t>
        </w:r>
        <w:r>
          <w:tab/>
        </w:r>
        <w:r>
          <w:fldChar w:fldCharType="begin"/>
        </w:r>
        <w:r>
          <w:instrText xml:space="preserve">PAGEREF 2276 \h</w:instrText>
        </w:r>
        <w:r>
          <w:fldChar w:fldCharType="end"/>
        </w:r>
      </w:hyperlink>
    </w:p>
    <w:p>
      <w:pPr>
        <w:tabs>
          <w:tab w:val="right" w:leader="dot" w:pos="9062"/>
        </w:tabs>
        <w:ind w:left="220"/>
      </w:pPr>
      <w:hyperlink w:anchor="_Toc2277" w:history="1">
        <w:r>
          <w:rPr>
            <w:rFonts w:ascii="IRNazanin" w:hAnsi="IRNazanin" w:eastAsia="IRNazanin" w:cs="IRNazanin"/>
            <w:color w:val="111111"/>
            <w:sz w:val="22"/>
            <w:szCs w:val="22"/>
            <w:b w:val="0"/>
            <w:bCs w:val="0"/>
            <w:i w:val="0"/>
            <w:iCs w:val="0"/>
          </w:rPr>
          <w:t>توني، عبدالله بن محمّد - 1071 ه-</w:t>
        </w:r>
        <w:r>
          <w:tab/>
        </w:r>
        <w:r>
          <w:fldChar w:fldCharType="begin"/>
        </w:r>
        <w:r>
          <w:instrText xml:space="preserve">PAGEREF 2277 \h</w:instrText>
        </w:r>
        <w:r>
          <w:fldChar w:fldCharType="end"/>
        </w:r>
      </w:hyperlink>
    </w:p>
    <w:p>
      <w:pPr>
        <w:tabs>
          <w:tab w:val="right" w:leader="dot" w:pos="9062"/>
        </w:tabs>
        <w:ind w:left="220"/>
      </w:pPr>
      <w:hyperlink w:anchor="_Toc2278" w:history="1">
        <w:r>
          <w:rPr>
            <w:rFonts w:ascii="IRNazanin" w:hAnsi="IRNazanin" w:eastAsia="IRNazanin" w:cs="IRNazanin"/>
            <w:color w:val="111111"/>
            <w:sz w:val="22"/>
            <w:szCs w:val="22"/>
            <w:b w:val="0"/>
            <w:bCs w:val="0"/>
            <w:i w:val="0"/>
            <w:iCs w:val="0"/>
          </w:rPr>
          <w:t>تويجري عبادي ، قاسم</w:t>
        </w:r>
        <w:r>
          <w:tab/>
        </w:r>
        <w:r>
          <w:fldChar w:fldCharType="begin"/>
        </w:r>
        <w:r>
          <w:instrText xml:space="preserve">PAGEREF 2278 \h</w:instrText>
        </w:r>
        <w:r>
          <w:fldChar w:fldCharType="end"/>
        </w:r>
      </w:hyperlink>
    </w:p>
    <w:p>
      <w:pPr>
        <w:tabs>
          <w:tab w:val="right" w:leader="dot" w:pos="9062"/>
        </w:tabs>
        <w:ind w:left="220"/>
      </w:pPr>
      <w:hyperlink w:anchor="_Toc2279" w:history="1">
        <w:r>
          <w:rPr>
            <w:rFonts w:ascii="IRNazanin" w:hAnsi="IRNazanin" w:eastAsia="IRNazanin" w:cs="IRNazanin"/>
            <w:color w:val="111111"/>
            <w:sz w:val="22"/>
            <w:szCs w:val="22"/>
            <w:b w:val="0"/>
            <w:bCs w:val="0"/>
            <w:i w:val="0"/>
            <w:iCs w:val="0"/>
          </w:rPr>
          <w:t>تويسركاني ، حسينعلي بن نوروز علي</w:t>
        </w:r>
        <w:r>
          <w:tab/>
        </w:r>
        <w:r>
          <w:fldChar w:fldCharType="begin"/>
        </w:r>
        <w:r>
          <w:instrText xml:space="preserve">PAGEREF 2279 \h</w:instrText>
        </w:r>
        <w:r>
          <w:fldChar w:fldCharType="end"/>
        </w:r>
      </w:hyperlink>
    </w:p>
    <w:p>
      <w:pPr>
        <w:tabs>
          <w:tab w:val="right" w:leader="dot" w:pos="9062"/>
        </w:tabs>
        <w:ind w:left="220"/>
      </w:pPr>
      <w:hyperlink w:anchor="_Toc2280" w:history="1">
        <w:r>
          <w:rPr>
            <w:rFonts w:ascii="IRNazanin" w:hAnsi="IRNazanin" w:eastAsia="IRNazanin" w:cs="IRNazanin"/>
            <w:color w:val="111111"/>
            <w:sz w:val="22"/>
            <w:szCs w:val="22"/>
            <w:b w:val="0"/>
            <w:bCs w:val="0"/>
            <w:i w:val="0"/>
            <w:iCs w:val="0"/>
          </w:rPr>
          <w:t>تويسركاني ، عبد الباقي انيس العاشقين، ج3، ص38.</w:t>
        </w:r>
        <w:r>
          <w:tab/>
        </w:r>
        <w:r>
          <w:fldChar w:fldCharType="begin"/>
        </w:r>
        <w:r>
          <w:instrText xml:space="preserve">PAGEREF 2280 \h</w:instrText>
        </w:r>
        <w:r>
          <w:fldChar w:fldCharType="end"/>
        </w:r>
      </w:hyperlink>
    </w:p>
    <w:p>
      <w:pPr>
        <w:tabs>
          <w:tab w:val="right" w:leader="dot" w:pos="9062"/>
        </w:tabs>
        <w:ind w:left="220"/>
      </w:pPr>
      <w:hyperlink w:anchor="_Toc2281" w:history="1">
        <w:r>
          <w:rPr>
            <w:rFonts w:ascii="IRNazanin" w:hAnsi="IRNazanin" w:eastAsia="IRNazanin" w:cs="IRNazanin"/>
            <w:color w:val="111111"/>
            <w:sz w:val="22"/>
            <w:szCs w:val="22"/>
            <w:b w:val="0"/>
            <w:bCs w:val="0"/>
            <w:i w:val="0"/>
            <w:iCs w:val="0"/>
          </w:rPr>
          <w:t>تويسركاني ، عبدالغفار بن محمّد حسن - 1319 ش</w:t>
        </w:r>
        <w:r>
          <w:tab/>
        </w:r>
        <w:r>
          <w:fldChar w:fldCharType="begin"/>
        </w:r>
        <w:r>
          <w:instrText xml:space="preserve">PAGEREF 2281 \h</w:instrText>
        </w:r>
        <w:r>
          <w:fldChar w:fldCharType="end"/>
        </w:r>
      </w:hyperlink>
    </w:p>
    <w:p>
      <w:pPr>
        <w:tabs>
          <w:tab w:val="right" w:leader="dot" w:pos="9062"/>
        </w:tabs>
        <w:ind w:left="220"/>
      </w:pPr>
      <w:hyperlink w:anchor="_Toc2282" w:history="1">
        <w:r>
          <w:rPr>
            <w:rFonts w:ascii="IRNazanin" w:hAnsi="IRNazanin" w:eastAsia="IRNazanin" w:cs="IRNazanin"/>
            <w:color w:val="111111"/>
            <w:sz w:val="22"/>
            <w:szCs w:val="22"/>
            <w:b w:val="0"/>
            <w:bCs w:val="0"/>
            <w:i w:val="0"/>
            <w:iCs w:val="0"/>
          </w:rPr>
          <w:t>تويسركاني محمّدنبي بن احمد -1320ه-</w:t>
        </w:r>
        <w:r>
          <w:tab/>
        </w:r>
        <w:r>
          <w:fldChar w:fldCharType="begin"/>
        </w:r>
        <w:r>
          <w:instrText xml:space="preserve">PAGEREF 2282 \h</w:instrText>
        </w:r>
        <w:r>
          <w:fldChar w:fldCharType="end"/>
        </w:r>
      </w:hyperlink>
    </w:p>
    <w:p>
      <w:pPr>
        <w:tabs>
          <w:tab w:val="right" w:leader="dot" w:pos="9062"/>
        </w:tabs>
        <w:ind w:left="220"/>
      </w:pPr>
      <w:hyperlink w:anchor="_Toc2283" w:history="1">
        <w:r>
          <w:rPr>
            <w:rFonts w:ascii="IRNazanin" w:hAnsi="IRNazanin" w:eastAsia="IRNazanin" w:cs="IRNazanin"/>
            <w:color w:val="111111"/>
            <w:sz w:val="22"/>
            <w:szCs w:val="22"/>
            <w:b w:val="0"/>
            <w:bCs w:val="0"/>
            <w:i w:val="0"/>
            <w:iCs w:val="0"/>
          </w:rPr>
          <w:t>تويلي ، ضياء الدين</w:t>
        </w:r>
        <w:r>
          <w:tab/>
        </w:r>
        <w:r>
          <w:fldChar w:fldCharType="begin"/>
        </w:r>
        <w:r>
          <w:instrText xml:space="preserve">PAGEREF 2283 \h</w:instrText>
        </w:r>
        <w:r>
          <w:fldChar w:fldCharType="end"/>
        </w:r>
      </w:hyperlink>
    </w:p>
    <w:p>
      <w:pPr>
        <w:tabs>
          <w:tab w:val="right" w:leader="dot" w:pos="9062"/>
        </w:tabs>
        <w:ind w:left="220"/>
      </w:pPr>
      <w:hyperlink w:anchor="_Toc2284" w:history="1">
        <w:r>
          <w:rPr>
            <w:rFonts w:ascii="IRNazanin" w:hAnsi="IRNazanin" w:eastAsia="IRNazanin" w:cs="IRNazanin"/>
            <w:color w:val="111111"/>
            <w:sz w:val="22"/>
            <w:szCs w:val="22"/>
            <w:b w:val="0"/>
            <w:bCs w:val="0"/>
            <w:i w:val="0"/>
            <w:iCs w:val="0"/>
          </w:rPr>
          <w:t>تیره وي ، محمّد بن خضر قرن 9</w:t>
        </w:r>
        <w:r>
          <w:tab/>
        </w:r>
        <w:r>
          <w:fldChar w:fldCharType="begin"/>
        </w:r>
        <w:r>
          <w:instrText xml:space="preserve">PAGEREF 2284 \h</w:instrText>
        </w:r>
        <w:r>
          <w:fldChar w:fldCharType="end"/>
        </w:r>
      </w:hyperlink>
    </w:p>
    <w:p>
      <w:pPr>
        <w:tabs>
          <w:tab w:val="right" w:leader="dot" w:pos="9062"/>
        </w:tabs>
        <w:ind w:left="220"/>
      </w:pPr>
      <w:hyperlink w:anchor="_Toc2285" w:history="1">
        <w:r>
          <w:rPr>
            <w:rFonts w:ascii="IRNazanin" w:hAnsi="IRNazanin" w:eastAsia="IRNazanin" w:cs="IRNazanin"/>
            <w:color w:val="111111"/>
            <w:sz w:val="22"/>
            <w:szCs w:val="22"/>
            <w:b w:val="0"/>
            <w:bCs w:val="0"/>
            <w:i w:val="0"/>
            <w:iCs w:val="0"/>
          </w:rPr>
          <w:t>تيروي، ابراهيم بن حمزه - 970 ه-</w:t>
        </w:r>
        <w:r>
          <w:tab/>
        </w:r>
        <w:r>
          <w:fldChar w:fldCharType="begin"/>
        </w:r>
        <w:r>
          <w:instrText xml:space="preserve">PAGEREF 2285 \h</w:instrText>
        </w:r>
        <w:r>
          <w:fldChar w:fldCharType="end"/>
        </w:r>
      </w:hyperlink>
    </w:p>
    <w:p>
      <w:pPr>
        <w:tabs>
          <w:tab w:val="right" w:leader="dot" w:pos="9062"/>
        </w:tabs>
        <w:ind w:left="220"/>
      </w:pPr>
      <w:hyperlink w:anchor="_Toc2286" w:history="1">
        <w:r>
          <w:rPr>
            <w:rFonts w:ascii="IRNazanin" w:hAnsi="IRNazanin" w:eastAsia="IRNazanin" w:cs="IRNazanin"/>
            <w:color w:val="111111"/>
            <w:sz w:val="22"/>
            <w:szCs w:val="22"/>
            <w:b w:val="0"/>
            <w:bCs w:val="0"/>
            <w:i w:val="0"/>
            <w:iCs w:val="0"/>
          </w:rPr>
          <w:t>تيزيني ، محمّد بن محمّد، 828 - 911 ه-</w:t>
        </w:r>
        <w:r>
          <w:tab/>
        </w:r>
        <w:r>
          <w:fldChar w:fldCharType="begin"/>
        </w:r>
        <w:r>
          <w:instrText xml:space="preserve">PAGEREF 2286 \h</w:instrText>
        </w:r>
        <w:r>
          <w:fldChar w:fldCharType="end"/>
        </w:r>
      </w:hyperlink>
    </w:p>
    <w:p>
      <w:pPr>
        <w:tabs>
          <w:tab w:val="right" w:leader="dot" w:pos="9062"/>
        </w:tabs>
        <w:ind w:left="220"/>
      </w:pPr>
      <w:hyperlink w:anchor="_Toc2287" w:history="1">
        <w:r>
          <w:rPr>
            <w:rFonts w:ascii="IRNazanin" w:hAnsi="IRNazanin" w:eastAsia="IRNazanin" w:cs="IRNazanin"/>
            <w:color w:val="111111"/>
            <w:sz w:val="22"/>
            <w:szCs w:val="22"/>
            <w:b w:val="0"/>
            <w:bCs w:val="0"/>
            <w:i w:val="0"/>
            <w:iCs w:val="0"/>
          </w:rPr>
          <w:t>تيفاشي ، احمد بن يوسف، 580 - 651 ه-</w:t>
        </w:r>
        <w:r>
          <w:tab/>
        </w:r>
        <w:r>
          <w:fldChar w:fldCharType="begin"/>
        </w:r>
        <w:r>
          <w:instrText xml:space="preserve">PAGEREF 2287 \h</w:instrText>
        </w:r>
        <w:r>
          <w:fldChar w:fldCharType="end"/>
        </w:r>
      </w:hyperlink>
    </w:p>
    <w:p>
      <w:pPr>
        <w:tabs>
          <w:tab w:val="right" w:leader="dot" w:pos="9062"/>
        </w:tabs>
        <w:ind w:left="220"/>
      </w:pPr>
      <w:hyperlink w:anchor="_Toc2288" w:history="1">
        <w:r>
          <w:rPr>
            <w:rFonts w:ascii="IRNazanin" w:hAnsi="IRNazanin" w:eastAsia="IRNazanin" w:cs="IRNazanin"/>
            <w:color w:val="111111"/>
            <w:sz w:val="22"/>
            <w:szCs w:val="22"/>
            <w:b w:val="0"/>
            <w:bCs w:val="0"/>
            <w:i w:val="0"/>
            <w:iCs w:val="0"/>
          </w:rPr>
          <w:t>تیمور ، احمد، 1287 - 1384 ه-</w:t>
        </w:r>
        <w:r>
          <w:tab/>
        </w:r>
        <w:r>
          <w:fldChar w:fldCharType="begin"/>
        </w:r>
        <w:r>
          <w:instrText xml:space="preserve">PAGEREF 2288 \h</w:instrText>
        </w:r>
        <w:r>
          <w:fldChar w:fldCharType="end"/>
        </w:r>
      </w:hyperlink>
    </w:p>
    <w:p>
      <w:pPr>
        <w:tabs>
          <w:tab w:val="right" w:leader="dot" w:pos="9062"/>
        </w:tabs>
        <w:ind w:left="220"/>
      </w:pPr>
      <w:hyperlink w:anchor="_Toc2289" w:history="1">
        <w:r>
          <w:rPr>
            <w:rFonts w:ascii="IRNazanin" w:hAnsi="IRNazanin" w:eastAsia="IRNazanin" w:cs="IRNazanin"/>
            <w:color w:val="111111"/>
            <w:sz w:val="22"/>
            <w:szCs w:val="22"/>
            <w:b w:val="0"/>
            <w:bCs w:val="0"/>
            <w:i w:val="0"/>
            <w:iCs w:val="0"/>
          </w:rPr>
          <w:t>تیمور گورکان، 736 - 807 ه-</w:t>
        </w:r>
        <w:r>
          <w:tab/>
        </w:r>
        <w:r>
          <w:fldChar w:fldCharType="begin"/>
        </w:r>
        <w:r>
          <w:instrText xml:space="preserve">PAGEREF 2289 \h</w:instrText>
        </w:r>
        <w:r>
          <w:fldChar w:fldCharType="end"/>
        </w:r>
      </w:hyperlink>
    </w:p>
    <w:p>
      <w:pPr>
        <w:tabs>
          <w:tab w:val="right" w:leader="dot" w:pos="9062"/>
        </w:tabs>
        <w:ind w:left="220"/>
      </w:pPr>
      <w:hyperlink w:anchor="_Toc2290" w:history="1">
        <w:r>
          <w:rPr>
            <w:rFonts w:ascii="IRNazanin" w:hAnsi="IRNazanin" w:eastAsia="IRNazanin" w:cs="IRNazanin"/>
            <w:color w:val="111111"/>
            <w:sz w:val="22"/>
            <w:szCs w:val="22"/>
            <w:b w:val="0"/>
            <w:bCs w:val="0"/>
            <w:i w:val="0"/>
            <w:iCs w:val="0"/>
          </w:rPr>
          <w:t>تيموري، محمّد بن احمد قرن 12 ه-</w:t>
        </w:r>
        <w:r>
          <w:tab/>
        </w:r>
        <w:r>
          <w:fldChar w:fldCharType="begin"/>
        </w:r>
        <w:r>
          <w:instrText xml:space="preserve">PAGEREF 2290 \h</w:instrText>
        </w:r>
        <w:r>
          <w:fldChar w:fldCharType="end"/>
        </w:r>
      </w:hyperlink>
    </w:p>
    <w:p>
      <w:pPr>
        <w:tabs>
          <w:tab w:val="right" w:leader="dot" w:pos="9062"/>
        </w:tabs>
        <w:ind w:left="220"/>
      </w:pPr>
      <w:hyperlink w:anchor="_Toc2291" w:history="1">
        <w:r>
          <w:rPr>
            <w:rFonts w:ascii="IRNazanin" w:hAnsi="IRNazanin" w:eastAsia="IRNazanin" w:cs="IRNazanin"/>
            <w:color w:val="111111"/>
            <w:sz w:val="22"/>
            <w:szCs w:val="22"/>
            <w:b w:val="0"/>
            <w:bCs w:val="0"/>
            <w:i w:val="0"/>
            <w:iCs w:val="0"/>
          </w:rPr>
          <w:t>ثابت افندي ، ابراهيم بن محمّد</w:t>
        </w:r>
        <w:r>
          <w:tab/>
        </w:r>
        <w:r>
          <w:fldChar w:fldCharType="begin"/>
        </w:r>
        <w:r>
          <w:instrText xml:space="preserve">PAGEREF 2291 \h</w:instrText>
        </w:r>
        <w:r>
          <w:fldChar w:fldCharType="end"/>
        </w:r>
      </w:hyperlink>
    </w:p>
    <w:p>
      <w:pPr>
        <w:tabs>
          <w:tab w:val="right" w:leader="dot" w:pos="9062"/>
        </w:tabs>
        <w:ind w:left="220"/>
      </w:pPr>
      <w:hyperlink w:anchor="_Toc2292" w:history="1">
        <w:r>
          <w:rPr>
            <w:rFonts w:ascii="IRNazanin" w:hAnsi="IRNazanin" w:eastAsia="IRNazanin" w:cs="IRNazanin"/>
            <w:color w:val="111111"/>
            <w:sz w:val="22"/>
            <w:szCs w:val="22"/>
            <w:b w:val="0"/>
            <w:bCs w:val="0"/>
            <w:i w:val="0"/>
            <w:iCs w:val="0"/>
          </w:rPr>
          <w:t>ثابت بن قره 221 - 288 ه-</w:t>
        </w:r>
        <w:r>
          <w:tab/>
        </w:r>
        <w:r>
          <w:fldChar w:fldCharType="begin"/>
        </w:r>
        <w:r>
          <w:instrText xml:space="preserve">PAGEREF 2292 \h</w:instrText>
        </w:r>
        <w:r>
          <w:fldChar w:fldCharType="end"/>
        </w:r>
      </w:hyperlink>
    </w:p>
    <w:p>
      <w:pPr>
        <w:tabs>
          <w:tab w:val="right" w:leader="dot" w:pos="9062"/>
        </w:tabs>
        <w:ind w:left="220"/>
      </w:pPr>
      <w:hyperlink w:anchor="_Toc2293" w:history="1">
        <w:r>
          <w:rPr>
            <w:rFonts w:ascii="IRNazanin" w:hAnsi="IRNazanin" w:eastAsia="IRNazanin" w:cs="IRNazanin"/>
            <w:color w:val="111111"/>
            <w:sz w:val="22"/>
            <w:szCs w:val="22"/>
            <w:b w:val="0"/>
            <w:bCs w:val="0"/>
            <w:i w:val="0"/>
            <w:iCs w:val="0"/>
          </w:rPr>
          <w:t>ثابت ، علي بن عبدالله - 1124 ه-</w:t>
        </w:r>
        <w:r>
          <w:tab/>
        </w:r>
        <w:r>
          <w:fldChar w:fldCharType="begin"/>
        </w:r>
        <w:r>
          <w:instrText xml:space="preserve">PAGEREF 2293 \h</w:instrText>
        </w:r>
        <w:r>
          <w:fldChar w:fldCharType="end"/>
        </w:r>
      </w:hyperlink>
    </w:p>
    <w:p>
      <w:pPr>
        <w:tabs>
          <w:tab w:val="right" w:leader="dot" w:pos="9062"/>
        </w:tabs>
        <w:ind w:left="220"/>
      </w:pPr>
      <w:hyperlink w:anchor="_Toc2294" w:history="1">
        <w:r>
          <w:rPr>
            <w:rFonts w:ascii="IRNazanin" w:hAnsi="IRNazanin" w:eastAsia="IRNazanin" w:cs="IRNazanin"/>
            <w:color w:val="111111"/>
            <w:sz w:val="22"/>
            <w:szCs w:val="22"/>
            <w:b w:val="0"/>
            <w:bCs w:val="0"/>
            <w:i w:val="0"/>
            <w:iCs w:val="0"/>
          </w:rPr>
          <w:t>ثاقب ، قاضي محمّد - 1229 ه-</w:t>
        </w:r>
        <w:r>
          <w:tab/>
        </w:r>
        <w:r>
          <w:fldChar w:fldCharType="begin"/>
        </w:r>
        <w:r>
          <w:instrText xml:space="preserve">PAGEREF 2294 \h</w:instrText>
        </w:r>
        <w:r>
          <w:fldChar w:fldCharType="end"/>
        </w:r>
      </w:hyperlink>
    </w:p>
    <w:p>
      <w:pPr>
        <w:tabs>
          <w:tab w:val="right" w:leader="dot" w:pos="9062"/>
        </w:tabs>
        <w:ind w:left="220"/>
      </w:pPr>
      <w:hyperlink w:anchor="_Toc2295" w:history="1">
        <w:r>
          <w:rPr>
            <w:rFonts w:ascii="IRNazanin" w:hAnsi="IRNazanin" w:eastAsia="IRNazanin" w:cs="IRNazanin"/>
            <w:color w:val="111111"/>
            <w:sz w:val="22"/>
            <w:szCs w:val="22"/>
            <w:b w:val="0"/>
            <w:bCs w:val="0"/>
            <w:i w:val="0"/>
            <w:iCs w:val="0"/>
          </w:rPr>
          <w:t>ثا وذوسیوس، قرن 1 قبل الميلاد</w:t>
        </w:r>
        <w:r>
          <w:tab/>
        </w:r>
        <w:r>
          <w:fldChar w:fldCharType="begin"/>
        </w:r>
        <w:r>
          <w:instrText xml:space="preserve">PAGEREF 2295 \h</w:instrText>
        </w:r>
        <w:r>
          <w:fldChar w:fldCharType="end"/>
        </w:r>
      </w:hyperlink>
    </w:p>
    <w:p>
      <w:pPr>
        <w:tabs>
          <w:tab w:val="right" w:leader="dot" w:pos="9062"/>
        </w:tabs>
        <w:ind w:left="220"/>
      </w:pPr>
      <w:hyperlink w:anchor="_Toc2296" w:history="1">
        <w:r>
          <w:rPr>
            <w:rFonts w:ascii="IRNazanin" w:hAnsi="IRNazanin" w:eastAsia="IRNazanin" w:cs="IRNazanin"/>
            <w:color w:val="111111"/>
            <w:sz w:val="22"/>
            <w:szCs w:val="22"/>
            <w:b w:val="0"/>
            <w:bCs w:val="0"/>
            <w:i w:val="0"/>
            <w:iCs w:val="0"/>
          </w:rPr>
          <w:t>ثعالبي، عبدالرحمن بن محمّد 786؟ -</w:t>
        </w:r>
        <w:r>
          <w:tab/>
        </w:r>
        <w:r>
          <w:fldChar w:fldCharType="begin"/>
        </w:r>
        <w:r>
          <w:instrText xml:space="preserve">PAGEREF 2296 \h</w:instrText>
        </w:r>
        <w:r>
          <w:fldChar w:fldCharType="end"/>
        </w:r>
      </w:hyperlink>
    </w:p>
    <w:p>
      <w:pPr>
        <w:tabs>
          <w:tab w:val="right" w:leader="dot" w:pos="9062"/>
        </w:tabs>
        <w:ind w:left="220"/>
      </w:pPr>
      <w:hyperlink w:anchor="_Toc2297" w:history="1">
        <w:r>
          <w:rPr>
            <w:rFonts w:ascii="IRNazanin" w:hAnsi="IRNazanin" w:eastAsia="IRNazanin" w:cs="IRNazanin"/>
            <w:color w:val="111111"/>
            <w:sz w:val="22"/>
            <w:szCs w:val="22"/>
            <w:b w:val="0"/>
            <w:bCs w:val="0"/>
            <w:i w:val="0"/>
            <w:iCs w:val="0"/>
          </w:rPr>
          <w:t>ثعالبي، عبدالملك بن محمّد، 350-429ه-</w:t>
        </w:r>
        <w:r>
          <w:tab/>
        </w:r>
        <w:r>
          <w:fldChar w:fldCharType="begin"/>
        </w:r>
        <w:r>
          <w:instrText xml:space="preserve">PAGEREF 2297 \h</w:instrText>
        </w:r>
        <w:r>
          <w:fldChar w:fldCharType="end"/>
        </w:r>
      </w:hyperlink>
    </w:p>
    <w:p>
      <w:pPr>
        <w:tabs>
          <w:tab w:val="right" w:leader="dot" w:pos="9062"/>
        </w:tabs>
        <w:ind w:left="220"/>
      </w:pPr>
      <w:hyperlink w:anchor="_Toc2298" w:history="1">
        <w:r>
          <w:rPr>
            <w:rFonts w:ascii="IRNazanin" w:hAnsi="IRNazanin" w:eastAsia="IRNazanin" w:cs="IRNazanin"/>
            <w:color w:val="111111"/>
            <w:sz w:val="22"/>
            <w:szCs w:val="22"/>
            <w:b w:val="0"/>
            <w:bCs w:val="0"/>
            <w:i w:val="0"/>
            <w:iCs w:val="0"/>
          </w:rPr>
          <w:t>ثعالبي مرغني ، حسين بن محمّد، 4 -</w:t>
        </w:r>
        <w:r>
          <w:tab/>
        </w:r>
        <w:r>
          <w:fldChar w:fldCharType="begin"/>
        </w:r>
        <w:r>
          <w:instrText xml:space="preserve">PAGEREF 2298 \h</w:instrText>
        </w:r>
        <w:r>
          <w:fldChar w:fldCharType="end"/>
        </w:r>
      </w:hyperlink>
    </w:p>
    <w:p>
      <w:pPr>
        <w:tabs>
          <w:tab w:val="right" w:leader="dot" w:pos="9062"/>
        </w:tabs>
        <w:ind w:left="220"/>
      </w:pPr>
      <w:hyperlink w:anchor="_Toc2299" w:history="1">
        <w:r>
          <w:rPr>
            <w:rFonts w:ascii="IRNazanin" w:hAnsi="IRNazanin" w:eastAsia="IRNazanin" w:cs="IRNazanin"/>
            <w:color w:val="111111"/>
            <w:sz w:val="22"/>
            <w:szCs w:val="22"/>
            <w:b w:val="0"/>
            <w:bCs w:val="0"/>
            <w:i w:val="0"/>
            <w:iCs w:val="0"/>
          </w:rPr>
          <w:t>ثعلب ، احمد بن يحيى، 200 - 291 ه-</w:t>
        </w:r>
        <w:r>
          <w:tab/>
        </w:r>
        <w:r>
          <w:fldChar w:fldCharType="begin"/>
        </w:r>
        <w:r>
          <w:instrText xml:space="preserve">PAGEREF 2299 \h</w:instrText>
        </w:r>
        <w:r>
          <w:fldChar w:fldCharType="end"/>
        </w:r>
      </w:hyperlink>
    </w:p>
    <w:p>
      <w:pPr>
        <w:tabs>
          <w:tab w:val="right" w:leader="dot" w:pos="9062"/>
        </w:tabs>
        <w:ind w:left="220"/>
      </w:pPr>
      <w:hyperlink w:anchor="_Toc2300" w:history="1">
        <w:r>
          <w:rPr>
            <w:rFonts w:ascii="IRNazanin" w:hAnsi="IRNazanin" w:eastAsia="IRNazanin" w:cs="IRNazanin"/>
            <w:color w:val="111111"/>
            <w:sz w:val="22"/>
            <w:szCs w:val="22"/>
            <w:b w:val="0"/>
            <w:bCs w:val="0"/>
            <w:i w:val="0"/>
            <w:iCs w:val="0"/>
          </w:rPr>
          <w:t>ثعلبي ، احمد بن اسماعيل</w:t>
        </w:r>
        <w:r>
          <w:tab/>
        </w:r>
        <w:r>
          <w:fldChar w:fldCharType="begin"/>
        </w:r>
        <w:r>
          <w:instrText xml:space="preserve">PAGEREF 2300 \h</w:instrText>
        </w:r>
        <w:r>
          <w:fldChar w:fldCharType="end"/>
        </w:r>
      </w:hyperlink>
    </w:p>
    <w:p>
      <w:pPr>
        <w:tabs>
          <w:tab w:val="right" w:leader="dot" w:pos="9062"/>
        </w:tabs>
        <w:ind w:left="220"/>
      </w:pPr>
      <w:hyperlink w:anchor="_Toc2301" w:history="1">
        <w:r>
          <w:rPr>
            <w:rFonts w:ascii="IRNazanin" w:hAnsi="IRNazanin" w:eastAsia="IRNazanin" w:cs="IRNazanin"/>
            <w:color w:val="111111"/>
            <w:sz w:val="22"/>
            <w:szCs w:val="22"/>
            <w:b w:val="0"/>
            <w:bCs w:val="0"/>
            <w:i w:val="0"/>
            <w:iCs w:val="0"/>
          </w:rPr>
          <w:t>ثعلبي ، احمد بن محمّد - 427 ؟ ه-</w:t>
        </w:r>
        <w:r>
          <w:tab/>
        </w:r>
        <w:r>
          <w:fldChar w:fldCharType="begin"/>
        </w:r>
        <w:r>
          <w:instrText xml:space="preserve">PAGEREF 2301 \h</w:instrText>
        </w:r>
        <w:r>
          <w:fldChar w:fldCharType="end"/>
        </w:r>
      </w:hyperlink>
    </w:p>
    <w:p>
      <w:pPr>
        <w:tabs>
          <w:tab w:val="right" w:leader="dot" w:pos="9062"/>
        </w:tabs>
        <w:ind w:left="220"/>
      </w:pPr>
      <w:hyperlink w:anchor="_Toc2302" w:history="1">
        <w:r>
          <w:rPr>
            <w:rFonts w:ascii="IRNazanin" w:hAnsi="IRNazanin" w:eastAsia="IRNazanin" w:cs="IRNazanin"/>
            <w:color w:val="111111"/>
            <w:sz w:val="22"/>
            <w:szCs w:val="22"/>
            <w:b w:val="0"/>
            <w:bCs w:val="0"/>
            <w:i w:val="0"/>
            <w:iCs w:val="0"/>
          </w:rPr>
          <w:t>ثعلبي ، علي بن محمّد</w:t>
        </w:r>
        <w:r>
          <w:tab/>
        </w:r>
        <w:r>
          <w:fldChar w:fldCharType="begin"/>
        </w:r>
        <w:r>
          <w:instrText xml:space="preserve">PAGEREF 2302 \h</w:instrText>
        </w:r>
        <w:r>
          <w:fldChar w:fldCharType="end"/>
        </w:r>
      </w:hyperlink>
    </w:p>
    <w:p>
      <w:pPr>
        <w:tabs>
          <w:tab w:val="right" w:leader="dot" w:pos="9062"/>
        </w:tabs>
        <w:ind w:left="220"/>
      </w:pPr>
      <w:hyperlink w:anchor="_Toc2303" w:history="1">
        <w:r>
          <w:rPr>
            <w:rFonts w:ascii="IRNazanin" w:hAnsi="IRNazanin" w:eastAsia="IRNazanin" w:cs="IRNazanin"/>
            <w:color w:val="111111"/>
            <w:sz w:val="22"/>
            <w:szCs w:val="22"/>
            <w:b w:val="0"/>
            <w:bCs w:val="0"/>
            <w:i w:val="0"/>
            <w:iCs w:val="0"/>
          </w:rPr>
          <w:t>ثقة الاسلام ساروي ، محمّد بن فضل الله</w:t>
        </w:r>
        <w:r>
          <w:tab/>
        </w:r>
        <w:r>
          <w:fldChar w:fldCharType="begin"/>
        </w:r>
        <w:r>
          <w:instrText xml:space="preserve">PAGEREF 2303 \h</w:instrText>
        </w:r>
        <w:r>
          <w:fldChar w:fldCharType="end"/>
        </w:r>
      </w:hyperlink>
    </w:p>
    <w:p>
      <w:pPr>
        <w:tabs>
          <w:tab w:val="right" w:leader="dot" w:pos="9062"/>
        </w:tabs>
        <w:ind w:left="220"/>
      </w:pPr>
      <w:hyperlink w:anchor="_Toc2304" w:history="1">
        <w:r>
          <w:rPr>
            <w:rFonts w:ascii="IRNazanin" w:hAnsi="IRNazanin" w:eastAsia="IRNazanin" w:cs="IRNazanin"/>
            <w:color w:val="111111"/>
            <w:sz w:val="22"/>
            <w:szCs w:val="22"/>
            <w:b w:val="0"/>
            <w:bCs w:val="0"/>
            <w:i w:val="0"/>
            <w:iCs w:val="0"/>
          </w:rPr>
          <w:t>ثقفي ، زبير بن احمد</w:t>
        </w:r>
        <w:r>
          <w:tab/>
        </w:r>
        <w:r>
          <w:fldChar w:fldCharType="begin"/>
        </w:r>
        <w:r>
          <w:instrText xml:space="preserve">PAGEREF 2304 \h</w:instrText>
        </w:r>
        <w:r>
          <w:fldChar w:fldCharType="end"/>
        </w:r>
      </w:hyperlink>
    </w:p>
    <w:p>
      <w:pPr>
        <w:tabs>
          <w:tab w:val="right" w:leader="dot" w:pos="9062"/>
        </w:tabs>
        <w:ind w:left="220"/>
      </w:pPr>
      <w:hyperlink w:anchor="_Toc2305" w:history="1">
        <w:r>
          <w:rPr>
            <w:rFonts w:ascii="IRNazanin" w:hAnsi="IRNazanin" w:eastAsia="IRNazanin" w:cs="IRNazanin"/>
            <w:color w:val="111111"/>
            <w:sz w:val="22"/>
            <w:szCs w:val="22"/>
            <w:b w:val="0"/>
            <w:bCs w:val="0"/>
            <w:i w:val="0"/>
            <w:iCs w:val="0"/>
          </w:rPr>
          <w:t>ثقفي ، علاء بن رزين ،قلاء قرن 2 ه-</w:t>
        </w:r>
        <w:r>
          <w:tab/>
        </w:r>
        <w:r>
          <w:fldChar w:fldCharType="begin"/>
        </w:r>
        <w:r>
          <w:instrText xml:space="preserve">PAGEREF 2305 \h</w:instrText>
        </w:r>
        <w:r>
          <w:fldChar w:fldCharType="end"/>
        </w:r>
      </w:hyperlink>
    </w:p>
    <w:p>
      <w:pPr>
        <w:tabs>
          <w:tab w:val="right" w:leader="dot" w:pos="9062"/>
        </w:tabs>
        <w:ind w:left="220"/>
      </w:pPr>
      <w:hyperlink w:anchor="_Toc2306" w:history="1">
        <w:r>
          <w:rPr>
            <w:rFonts w:ascii="IRNazanin" w:hAnsi="IRNazanin" w:eastAsia="IRNazanin" w:cs="IRNazanin"/>
            <w:color w:val="111111"/>
            <w:sz w:val="22"/>
            <w:szCs w:val="22"/>
            <w:b w:val="0"/>
            <w:bCs w:val="0"/>
            <w:i w:val="0"/>
            <w:iCs w:val="0"/>
          </w:rPr>
          <w:t>ثقفي ، قاسم بن فضل - 489 ه-</w:t>
        </w:r>
        <w:r>
          <w:tab/>
        </w:r>
        <w:r>
          <w:fldChar w:fldCharType="begin"/>
        </w:r>
        <w:r>
          <w:instrText xml:space="preserve">PAGEREF 2306 \h</w:instrText>
        </w:r>
        <w:r>
          <w:fldChar w:fldCharType="end"/>
        </w:r>
      </w:hyperlink>
    </w:p>
    <w:p>
      <w:pPr>
        <w:tabs>
          <w:tab w:val="right" w:leader="dot" w:pos="9062"/>
        </w:tabs>
        <w:ind w:left="220"/>
      </w:pPr>
      <w:hyperlink w:anchor="_Toc2307" w:history="1">
        <w:r>
          <w:rPr>
            <w:rFonts w:ascii="IRNazanin" w:hAnsi="IRNazanin" w:eastAsia="IRNazanin" w:cs="IRNazanin"/>
            <w:color w:val="111111"/>
            <w:sz w:val="22"/>
            <w:szCs w:val="22"/>
            <w:b w:val="0"/>
            <w:bCs w:val="0"/>
            <w:i w:val="0"/>
            <w:iCs w:val="0"/>
          </w:rPr>
          <w:t>ثقفي ، محمّد بن اسحاق، 216 - 0313</w:t>
        </w:r>
        <w:r>
          <w:tab/>
        </w:r>
        <w:r>
          <w:fldChar w:fldCharType="begin"/>
        </w:r>
        <w:r>
          <w:instrText xml:space="preserve">PAGEREF 2307 \h</w:instrText>
        </w:r>
        <w:r>
          <w:fldChar w:fldCharType="end"/>
        </w:r>
      </w:hyperlink>
    </w:p>
    <w:p>
      <w:pPr>
        <w:tabs>
          <w:tab w:val="right" w:leader="dot" w:pos="9062"/>
        </w:tabs>
        <w:ind w:left="220"/>
      </w:pPr>
      <w:hyperlink w:anchor="_Toc2308" w:history="1">
        <w:r>
          <w:rPr>
            <w:rFonts w:ascii="IRNazanin" w:hAnsi="IRNazanin" w:eastAsia="IRNazanin" w:cs="IRNazanin"/>
            <w:color w:val="111111"/>
            <w:sz w:val="22"/>
            <w:szCs w:val="22"/>
            <w:b w:val="0"/>
            <w:bCs w:val="0"/>
            <w:i w:val="0"/>
            <w:iCs w:val="0"/>
          </w:rPr>
          <w:t>ثنيان عبداللطيف بن عبدالرحمن 1283</w:t>
        </w:r>
        <w:r>
          <w:tab/>
        </w:r>
        <w:r>
          <w:fldChar w:fldCharType="begin"/>
        </w:r>
        <w:r>
          <w:instrText xml:space="preserve">PAGEREF 2308 \h</w:instrText>
        </w:r>
        <w:r>
          <w:fldChar w:fldCharType="end"/>
        </w:r>
      </w:hyperlink>
    </w:p>
    <w:p>
      <w:pPr>
        <w:tabs>
          <w:tab w:val="right" w:leader="dot" w:pos="9062"/>
        </w:tabs>
        <w:ind w:left="220"/>
      </w:pPr>
      <w:hyperlink w:anchor="_Toc2309" w:history="1">
        <w:r>
          <w:rPr>
            <w:rFonts w:ascii="IRNazanin" w:hAnsi="IRNazanin" w:eastAsia="IRNazanin" w:cs="IRNazanin"/>
            <w:color w:val="111111"/>
            <w:sz w:val="22"/>
            <w:szCs w:val="22"/>
            <w:b w:val="0"/>
            <w:bCs w:val="0"/>
            <w:i w:val="0"/>
            <w:iCs w:val="0"/>
          </w:rPr>
          <w:t>جابر بن حيان، 120 - 198؟ ه-</w:t>
        </w:r>
        <w:r>
          <w:tab/>
        </w:r>
        <w:r>
          <w:fldChar w:fldCharType="begin"/>
        </w:r>
        <w:r>
          <w:instrText xml:space="preserve">PAGEREF 2309 \h</w:instrText>
        </w:r>
        <w:r>
          <w:fldChar w:fldCharType="end"/>
        </w:r>
      </w:hyperlink>
    </w:p>
    <w:p>
      <w:pPr>
        <w:tabs>
          <w:tab w:val="right" w:leader="dot" w:pos="9062"/>
        </w:tabs>
        <w:ind w:left="220"/>
      </w:pPr>
      <w:hyperlink w:anchor="_Toc2310" w:history="1">
        <w:r>
          <w:rPr>
            <w:rFonts w:ascii="IRNazanin" w:hAnsi="IRNazanin" w:eastAsia="IRNazanin" w:cs="IRNazanin"/>
            <w:color w:val="111111"/>
            <w:sz w:val="22"/>
            <w:szCs w:val="22"/>
            <w:b w:val="0"/>
            <w:bCs w:val="0"/>
            <w:i w:val="0"/>
            <w:iCs w:val="0"/>
          </w:rPr>
          <w:t>جابلقي ، محمّد شفيع بن علي اكبر</w:t>
        </w:r>
        <w:r>
          <w:tab/>
        </w:r>
        <w:r>
          <w:fldChar w:fldCharType="begin"/>
        </w:r>
        <w:r>
          <w:instrText xml:space="preserve">PAGEREF 2310 \h</w:instrText>
        </w:r>
        <w:r>
          <w:fldChar w:fldCharType="end"/>
        </w:r>
      </w:hyperlink>
    </w:p>
    <w:p>
      <w:pPr>
        <w:tabs>
          <w:tab w:val="right" w:leader="dot" w:pos="9062"/>
        </w:tabs>
        <w:ind w:left="220"/>
      </w:pPr>
      <w:hyperlink w:anchor="_Toc2311" w:history="1">
        <w:r>
          <w:rPr>
            <w:rFonts w:ascii="IRNazanin" w:hAnsi="IRNazanin" w:eastAsia="IRNazanin" w:cs="IRNazanin"/>
            <w:color w:val="111111"/>
            <w:sz w:val="22"/>
            <w:szCs w:val="22"/>
            <w:b w:val="0"/>
            <w:bCs w:val="0"/>
            <w:i w:val="0"/>
            <w:iCs w:val="0"/>
          </w:rPr>
          <w:t>جاحظ، عمرو بن بحر، 150 - 255 ه-</w:t>
        </w:r>
        <w:r>
          <w:tab/>
        </w:r>
        <w:r>
          <w:fldChar w:fldCharType="begin"/>
        </w:r>
        <w:r>
          <w:instrText xml:space="preserve">PAGEREF 2311 \h</w:instrText>
        </w:r>
        <w:r>
          <w:fldChar w:fldCharType="end"/>
        </w:r>
      </w:hyperlink>
    </w:p>
    <w:p>
      <w:pPr>
        <w:tabs>
          <w:tab w:val="right" w:leader="dot" w:pos="9062"/>
        </w:tabs>
        <w:ind w:left="220"/>
      </w:pPr>
      <w:hyperlink w:anchor="_Toc2312" w:history="1">
        <w:r>
          <w:rPr>
            <w:rFonts w:ascii="IRNazanin" w:hAnsi="IRNazanin" w:eastAsia="IRNazanin" w:cs="IRNazanin"/>
            <w:color w:val="111111"/>
            <w:sz w:val="22"/>
            <w:szCs w:val="22"/>
            <w:b w:val="0"/>
            <w:bCs w:val="0"/>
            <w:i w:val="0"/>
            <w:iCs w:val="0"/>
          </w:rPr>
          <w:t>جاربردي ، احمد بن حسن - 746 ه-</w:t>
        </w:r>
        <w:r>
          <w:tab/>
        </w:r>
        <w:r>
          <w:fldChar w:fldCharType="begin"/>
        </w:r>
        <w:r>
          <w:instrText xml:space="preserve">PAGEREF 2312 \h</w:instrText>
        </w:r>
        <w:r>
          <w:fldChar w:fldCharType="end"/>
        </w:r>
      </w:hyperlink>
    </w:p>
    <w:p>
      <w:pPr>
        <w:tabs>
          <w:tab w:val="right" w:leader="dot" w:pos="9062"/>
        </w:tabs>
        <w:ind w:left="220"/>
      </w:pPr>
      <w:hyperlink w:anchor="_Toc2313" w:history="1">
        <w:r>
          <w:rPr>
            <w:rFonts w:ascii="IRNazanin" w:hAnsi="IRNazanin" w:eastAsia="IRNazanin" w:cs="IRNazanin"/>
            <w:color w:val="111111"/>
            <w:sz w:val="22"/>
            <w:szCs w:val="22"/>
            <w:b w:val="0"/>
            <w:bCs w:val="0"/>
            <w:i w:val="0"/>
            <w:iCs w:val="0"/>
          </w:rPr>
          <w:t>جارلس ،ریو قرن 19م</w:t>
        </w:r>
        <w:r>
          <w:tab/>
        </w:r>
        <w:r>
          <w:fldChar w:fldCharType="begin"/>
        </w:r>
        <w:r>
          <w:instrText xml:space="preserve">PAGEREF 2313 \h</w:instrText>
        </w:r>
        <w:r>
          <w:fldChar w:fldCharType="end"/>
        </w:r>
      </w:hyperlink>
    </w:p>
    <w:p>
      <w:pPr>
        <w:tabs>
          <w:tab w:val="right" w:leader="dot" w:pos="9062"/>
        </w:tabs>
        <w:ind w:left="220"/>
      </w:pPr>
      <w:hyperlink w:anchor="_Toc2314" w:history="1">
        <w:r>
          <w:rPr>
            <w:rFonts w:ascii="IRNazanin" w:hAnsi="IRNazanin" w:eastAsia="IRNazanin" w:cs="IRNazanin"/>
            <w:color w:val="111111"/>
            <w:sz w:val="22"/>
            <w:szCs w:val="22"/>
            <w:b w:val="0"/>
            <w:bCs w:val="0"/>
            <w:i w:val="0"/>
            <w:iCs w:val="0"/>
          </w:rPr>
          <w:t>جاري ، علي رضا</w:t>
        </w:r>
        <w:r>
          <w:tab/>
        </w:r>
        <w:r>
          <w:fldChar w:fldCharType="begin"/>
        </w:r>
        <w:r>
          <w:instrText xml:space="preserve">PAGEREF 2314 \h</w:instrText>
        </w:r>
        <w:r>
          <w:fldChar w:fldCharType="end"/>
        </w:r>
      </w:hyperlink>
    </w:p>
    <w:p>
      <w:pPr>
        <w:tabs>
          <w:tab w:val="right" w:leader="dot" w:pos="9062"/>
        </w:tabs>
        <w:ind w:left="220"/>
      </w:pPr>
      <w:hyperlink w:anchor="_Toc2315" w:history="1">
        <w:r>
          <w:rPr>
            <w:rFonts w:ascii="IRNazanin" w:hAnsi="IRNazanin" w:eastAsia="IRNazanin" w:cs="IRNazanin"/>
            <w:color w:val="111111"/>
            <w:sz w:val="22"/>
            <w:szCs w:val="22"/>
            <w:b w:val="0"/>
            <w:bCs w:val="0"/>
            <w:i w:val="0"/>
            <w:iCs w:val="0"/>
          </w:rPr>
          <w:t>جالینوس، 129 - 199 م</w:t>
        </w:r>
        <w:r>
          <w:tab/>
        </w:r>
        <w:r>
          <w:fldChar w:fldCharType="begin"/>
        </w:r>
        <w:r>
          <w:instrText xml:space="preserve">PAGEREF 2315 \h</w:instrText>
        </w:r>
        <w:r>
          <w:fldChar w:fldCharType="end"/>
        </w:r>
      </w:hyperlink>
    </w:p>
    <w:p>
      <w:pPr>
        <w:tabs>
          <w:tab w:val="right" w:leader="dot" w:pos="9062"/>
        </w:tabs>
        <w:ind w:left="220"/>
      </w:pPr>
      <w:hyperlink w:anchor="_Toc2316" w:history="1">
        <w:r>
          <w:rPr>
            <w:rFonts w:ascii="IRNazanin" w:hAnsi="IRNazanin" w:eastAsia="IRNazanin" w:cs="IRNazanin"/>
            <w:color w:val="111111"/>
            <w:sz w:val="22"/>
            <w:szCs w:val="22"/>
            <w:b w:val="0"/>
            <w:bCs w:val="0"/>
            <w:i w:val="0"/>
            <w:iCs w:val="0"/>
          </w:rPr>
          <w:t>جاماسب بن لهراسب قرن 3 م</w:t>
        </w:r>
        <w:r>
          <w:tab/>
        </w:r>
        <w:r>
          <w:fldChar w:fldCharType="begin"/>
        </w:r>
        <w:r>
          <w:instrText xml:space="preserve">PAGEREF 2316 \h</w:instrText>
        </w:r>
        <w:r>
          <w:fldChar w:fldCharType="end"/>
        </w:r>
      </w:hyperlink>
    </w:p>
    <w:p>
      <w:pPr>
        <w:tabs>
          <w:tab w:val="right" w:leader="dot" w:pos="9062"/>
        </w:tabs>
        <w:ind w:left="220"/>
      </w:pPr>
      <w:hyperlink w:anchor="_Toc2317" w:history="1">
        <w:r>
          <w:rPr>
            <w:rFonts w:ascii="IRNazanin" w:hAnsi="IRNazanin" w:eastAsia="IRNazanin" w:cs="IRNazanin"/>
            <w:color w:val="111111"/>
            <w:sz w:val="22"/>
            <w:szCs w:val="22"/>
            <w:b w:val="0"/>
            <w:bCs w:val="0"/>
            <w:i w:val="0"/>
            <w:iCs w:val="0"/>
          </w:rPr>
          <w:t>جامع حسيني، ابراهيم</w:t>
        </w:r>
        <w:r>
          <w:tab/>
        </w:r>
        <w:r>
          <w:fldChar w:fldCharType="begin"/>
        </w:r>
        <w:r>
          <w:instrText xml:space="preserve">PAGEREF 2317 \h</w:instrText>
        </w:r>
        <w:r>
          <w:fldChar w:fldCharType="end"/>
        </w:r>
      </w:hyperlink>
    </w:p>
    <w:p>
      <w:pPr>
        <w:tabs>
          <w:tab w:val="right" w:leader="dot" w:pos="9062"/>
        </w:tabs>
        <w:ind w:left="220"/>
      </w:pPr>
      <w:hyperlink w:anchor="_Toc2318" w:history="1">
        <w:r>
          <w:rPr>
            <w:rFonts w:ascii="IRNazanin" w:hAnsi="IRNazanin" w:eastAsia="IRNazanin" w:cs="IRNazanin"/>
            <w:color w:val="111111"/>
            <w:sz w:val="22"/>
            <w:szCs w:val="22"/>
            <w:b w:val="0"/>
            <w:bCs w:val="0"/>
            <w:i w:val="0"/>
            <w:iCs w:val="0"/>
          </w:rPr>
          <w:t>جامعي عاملي ، محمّد بن يوسف</w:t>
        </w:r>
        <w:r>
          <w:tab/>
        </w:r>
        <w:r>
          <w:fldChar w:fldCharType="begin"/>
        </w:r>
        <w:r>
          <w:instrText xml:space="preserve">PAGEREF 2318 \h</w:instrText>
        </w:r>
        <w:r>
          <w:fldChar w:fldCharType="end"/>
        </w:r>
      </w:hyperlink>
    </w:p>
    <w:p>
      <w:pPr>
        <w:tabs>
          <w:tab w:val="right" w:leader="dot" w:pos="9062"/>
        </w:tabs>
        <w:ind w:left="220"/>
      </w:pPr>
      <w:hyperlink w:anchor="_Toc2319" w:history="1">
        <w:r>
          <w:rPr>
            <w:rFonts w:ascii="IRNazanin" w:hAnsi="IRNazanin" w:eastAsia="IRNazanin" w:cs="IRNazanin"/>
            <w:color w:val="111111"/>
            <w:sz w:val="22"/>
            <w:szCs w:val="22"/>
            <w:b w:val="0"/>
            <w:bCs w:val="0"/>
            <w:i w:val="0"/>
            <w:iCs w:val="0"/>
          </w:rPr>
          <w:t>جامعي عبد الحسين بن قاسم - 1271 ه-</w:t>
        </w:r>
        <w:r>
          <w:tab/>
        </w:r>
        <w:r>
          <w:fldChar w:fldCharType="begin"/>
        </w:r>
        <w:r>
          <w:instrText xml:space="preserve">PAGEREF 2319 \h</w:instrText>
        </w:r>
        <w:r>
          <w:fldChar w:fldCharType="end"/>
        </w:r>
      </w:hyperlink>
    </w:p>
    <w:p>
      <w:pPr>
        <w:tabs>
          <w:tab w:val="right" w:leader="dot" w:pos="9062"/>
        </w:tabs>
        <w:ind w:left="220"/>
      </w:pPr>
      <w:hyperlink w:anchor="_Toc2320" w:history="1">
        <w:r>
          <w:rPr>
            <w:rFonts w:ascii="IRNazanin" w:hAnsi="IRNazanin" w:eastAsia="IRNazanin" w:cs="IRNazanin"/>
            <w:color w:val="111111"/>
            <w:sz w:val="22"/>
            <w:szCs w:val="22"/>
            <w:b w:val="0"/>
            <w:bCs w:val="0"/>
            <w:i w:val="0"/>
            <w:iCs w:val="0"/>
          </w:rPr>
          <w:t>جامعي، موسى بن شريف - 1281 ه-</w:t>
        </w:r>
        <w:r>
          <w:tab/>
        </w:r>
        <w:r>
          <w:fldChar w:fldCharType="begin"/>
        </w:r>
        <w:r>
          <w:instrText xml:space="preserve">PAGEREF 2320 \h</w:instrText>
        </w:r>
        <w:r>
          <w:fldChar w:fldCharType="end"/>
        </w:r>
      </w:hyperlink>
    </w:p>
    <w:p>
      <w:pPr>
        <w:tabs>
          <w:tab w:val="right" w:leader="dot" w:pos="9062"/>
        </w:tabs>
        <w:ind w:left="220"/>
      </w:pPr>
      <w:hyperlink w:anchor="_Toc2321" w:history="1">
        <w:r>
          <w:rPr>
            <w:rFonts w:ascii="IRNazanin" w:hAnsi="IRNazanin" w:eastAsia="IRNazanin" w:cs="IRNazanin"/>
            <w:color w:val="111111"/>
            <w:sz w:val="22"/>
            <w:szCs w:val="22"/>
            <w:b w:val="0"/>
            <w:bCs w:val="0"/>
            <w:i w:val="0"/>
            <w:iCs w:val="0"/>
          </w:rPr>
          <w:t>جامي عبد الرحمن بن احمد، 817-898ه-</w:t>
        </w:r>
        <w:r>
          <w:tab/>
        </w:r>
        <w:r>
          <w:fldChar w:fldCharType="begin"/>
        </w:r>
        <w:r>
          <w:instrText xml:space="preserve">PAGEREF 2321 \h</w:instrText>
        </w:r>
        <w:r>
          <w:fldChar w:fldCharType="end"/>
        </w:r>
      </w:hyperlink>
    </w:p>
    <w:p>
      <w:pPr>
        <w:tabs>
          <w:tab w:val="right" w:leader="dot" w:pos="9062"/>
        </w:tabs>
        <w:ind w:left="220"/>
      </w:pPr>
      <w:hyperlink w:anchor="_Toc2322" w:history="1">
        <w:r>
          <w:rPr>
            <w:rFonts w:ascii="IRNazanin" w:hAnsi="IRNazanin" w:eastAsia="IRNazanin" w:cs="IRNazanin"/>
            <w:color w:val="111111"/>
            <w:sz w:val="22"/>
            <w:szCs w:val="22"/>
            <w:b w:val="0"/>
            <w:bCs w:val="0"/>
            <w:i w:val="0"/>
            <w:iCs w:val="0"/>
          </w:rPr>
          <w:t>جامي ، عبد اللطيف بن عبدالمؤمن</w:t>
        </w:r>
        <w:r>
          <w:tab/>
        </w:r>
        <w:r>
          <w:fldChar w:fldCharType="begin"/>
        </w:r>
        <w:r>
          <w:instrText xml:space="preserve">PAGEREF 2322 \h</w:instrText>
        </w:r>
        <w:r>
          <w:fldChar w:fldCharType="end"/>
        </w:r>
      </w:hyperlink>
    </w:p>
    <w:p>
      <w:pPr>
        <w:tabs>
          <w:tab w:val="right" w:leader="dot" w:pos="9062"/>
        </w:tabs>
        <w:ind w:left="220"/>
      </w:pPr>
      <w:hyperlink w:anchor="_Toc2323" w:history="1">
        <w:r>
          <w:rPr>
            <w:rFonts w:ascii="IRNazanin" w:hAnsi="IRNazanin" w:eastAsia="IRNazanin" w:cs="IRNazanin"/>
            <w:color w:val="111111"/>
            <w:sz w:val="22"/>
            <w:szCs w:val="22"/>
            <w:b w:val="0"/>
            <w:bCs w:val="0"/>
            <w:i w:val="0"/>
            <w:iCs w:val="0"/>
          </w:rPr>
          <w:t>جامي ، محمّد بن محمّد - 838 ه-</w:t>
        </w:r>
        <w:r>
          <w:tab/>
        </w:r>
        <w:r>
          <w:fldChar w:fldCharType="begin"/>
        </w:r>
        <w:r>
          <w:instrText xml:space="preserve">PAGEREF 2323 \h</w:instrText>
        </w:r>
        <w:r>
          <w:fldChar w:fldCharType="end"/>
        </w:r>
      </w:hyperlink>
    </w:p>
    <w:p>
      <w:pPr>
        <w:tabs>
          <w:tab w:val="right" w:leader="dot" w:pos="9062"/>
        </w:tabs>
        <w:ind w:left="220"/>
      </w:pPr>
      <w:hyperlink w:anchor="_Toc2324" w:history="1">
        <w:r>
          <w:rPr>
            <w:rFonts w:ascii="IRNazanin" w:hAnsi="IRNazanin" w:eastAsia="IRNazanin" w:cs="IRNazanin"/>
            <w:color w:val="111111"/>
            <w:sz w:val="22"/>
            <w:szCs w:val="22"/>
            <w:b w:val="0"/>
            <w:bCs w:val="0"/>
            <w:i w:val="0"/>
            <w:iCs w:val="0"/>
          </w:rPr>
          <w:t>جاني زاده ، عبدالله بن مصطفى</w:t>
        </w:r>
        <w:r>
          <w:tab/>
        </w:r>
        <w:r>
          <w:fldChar w:fldCharType="begin"/>
        </w:r>
        <w:r>
          <w:instrText xml:space="preserve">PAGEREF 2324 \h</w:instrText>
        </w:r>
        <w:r>
          <w:fldChar w:fldCharType="end"/>
        </w:r>
      </w:hyperlink>
    </w:p>
    <w:p>
      <w:pPr>
        <w:tabs>
          <w:tab w:val="right" w:leader="dot" w:pos="9062"/>
        </w:tabs>
        <w:ind w:left="220"/>
      </w:pPr>
      <w:hyperlink w:anchor="_Toc2325" w:history="1">
        <w:r>
          <w:rPr>
            <w:rFonts w:ascii="IRNazanin" w:hAnsi="IRNazanin" w:eastAsia="IRNazanin" w:cs="IRNazanin"/>
            <w:color w:val="111111"/>
            <w:sz w:val="22"/>
            <w:szCs w:val="22"/>
            <w:b w:val="0"/>
            <w:bCs w:val="0"/>
            <w:i w:val="0"/>
            <w:iCs w:val="0"/>
          </w:rPr>
          <w:t>جاووش ، سليم بن بطرس</w:t>
        </w:r>
        <w:r>
          <w:tab/>
        </w:r>
        <w:r>
          <w:fldChar w:fldCharType="begin"/>
        </w:r>
        <w:r>
          <w:instrText xml:space="preserve">PAGEREF 2325 \h</w:instrText>
        </w:r>
        <w:r>
          <w:fldChar w:fldCharType="end"/>
        </w:r>
      </w:hyperlink>
    </w:p>
    <w:p>
      <w:pPr>
        <w:tabs>
          <w:tab w:val="right" w:leader="dot" w:pos="9062"/>
        </w:tabs>
        <w:ind w:left="220"/>
      </w:pPr>
      <w:hyperlink w:anchor="_Toc2326" w:history="1">
        <w:r>
          <w:rPr>
            <w:rFonts w:ascii="IRNazanin" w:hAnsi="IRNazanin" w:eastAsia="IRNazanin" w:cs="IRNazanin"/>
            <w:color w:val="111111"/>
            <w:sz w:val="22"/>
            <w:szCs w:val="22"/>
            <w:b w:val="0"/>
            <w:bCs w:val="0"/>
            <w:i w:val="0"/>
            <w:iCs w:val="0"/>
          </w:rPr>
          <w:t>جاوي، ابن عربي بن يوسف</w:t>
        </w:r>
        <w:r>
          <w:tab/>
        </w:r>
        <w:r>
          <w:fldChar w:fldCharType="begin"/>
        </w:r>
        <w:r>
          <w:instrText xml:space="preserve">PAGEREF 2326 \h</w:instrText>
        </w:r>
        <w:r>
          <w:fldChar w:fldCharType="end"/>
        </w:r>
      </w:hyperlink>
    </w:p>
    <w:p>
      <w:pPr>
        <w:tabs>
          <w:tab w:val="right" w:leader="dot" w:pos="9062"/>
        </w:tabs>
        <w:ind w:left="220"/>
      </w:pPr>
      <w:hyperlink w:anchor="_Toc2327" w:history="1">
        <w:r>
          <w:rPr>
            <w:rFonts w:ascii="IRNazanin" w:hAnsi="IRNazanin" w:eastAsia="IRNazanin" w:cs="IRNazanin"/>
            <w:color w:val="111111"/>
            <w:sz w:val="22"/>
            <w:szCs w:val="22"/>
            <w:b w:val="0"/>
            <w:bCs w:val="0"/>
            <w:i w:val="0"/>
            <w:iCs w:val="0"/>
          </w:rPr>
          <w:t>جباعي حارثي ، محمّد بن علي - 886 ه-</w:t>
        </w:r>
        <w:r>
          <w:tab/>
        </w:r>
        <w:r>
          <w:fldChar w:fldCharType="begin"/>
        </w:r>
        <w:r>
          <w:instrText xml:space="preserve">PAGEREF 2327 \h</w:instrText>
        </w:r>
        <w:r>
          <w:fldChar w:fldCharType="end"/>
        </w:r>
      </w:hyperlink>
    </w:p>
    <w:p>
      <w:pPr>
        <w:tabs>
          <w:tab w:val="right" w:leader="dot" w:pos="9062"/>
        </w:tabs>
        <w:ind w:left="220"/>
      </w:pPr>
      <w:hyperlink w:anchor="_Toc2328" w:history="1">
        <w:r>
          <w:rPr>
            <w:rFonts w:ascii="IRNazanin" w:hAnsi="IRNazanin" w:eastAsia="IRNazanin" w:cs="IRNazanin"/>
            <w:color w:val="111111"/>
            <w:sz w:val="22"/>
            <w:szCs w:val="22"/>
            <w:b w:val="0"/>
            <w:bCs w:val="0"/>
            <w:i w:val="0"/>
            <w:iCs w:val="0"/>
          </w:rPr>
          <w:t>جباوي نجفي، احمد شكر بن حسين قرن</w:t>
        </w:r>
        <w:r>
          <w:tab/>
        </w:r>
        <w:r>
          <w:fldChar w:fldCharType="begin"/>
        </w:r>
        <w:r>
          <w:instrText xml:space="preserve">PAGEREF 2328 \h</w:instrText>
        </w:r>
        <w:r>
          <w:fldChar w:fldCharType="end"/>
        </w:r>
      </w:hyperlink>
    </w:p>
    <w:p>
      <w:pPr>
        <w:tabs>
          <w:tab w:val="right" w:leader="dot" w:pos="9062"/>
        </w:tabs>
        <w:ind w:left="220"/>
      </w:pPr>
      <w:hyperlink w:anchor="_Toc2329" w:history="1">
        <w:r>
          <w:rPr>
            <w:rFonts w:ascii="IRNazanin" w:hAnsi="IRNazanin" w:eastAsia="IRNazanin" w:cs="IRNazanin"/>
            <w:color w:val="111111"/>
            <w:sz w:val="22"/>
            <w:szCs w:val="22"/>
            <w:b w:val="0"/>
            <w:bCs w:val="0"/>
            <w:i w:val="0"/>
            <w:iCs w:val="0"/>
          </w:rPr>
          <w:t>جبرائيل بن بختیشوع - 205 ه-</w:t>
        </w:r>
        <w:r>
          <w:tab/>
        </w:r>
        <w:r>
          <w:fldChar w:fldCharType="begin"/>
        </w:r>
        <w:r>
          <w:instrText xml:space="preserve">PAGEREF 2329 \h</w:instrText>
        </w:r>
        <w:r>
          <w:fldChar w:fldCharType="end"/>
        </w:r>
      </w:hyperlink>
    </w:p>
    <w:p>
      <w:pPr>
        <w:tabs>
          <w:tab w:val="right" w:leader="dot" w:pos="9062"/>
        </w:tabs>
        <w:ind w:left="220"/>
      </w:pPr>
      <w:hyperlink w:anchor="_Toc2330" w:history="1">
        <w:r>
          <w:rPr>
            <w:rFonts w:ascii="IRNazanin" w:hAnsi="IRNazanin" w:eastAsia="IRNazanin" w:cs="IRNazanin"/>
            <w:color w:val="111111"/>
            <w:sz w:val="22"/>
            <w:szCs w:val="22"/>
            <w:b w:val="0"/>
            <w:bCs w:val="0"/>
            <w:i w:val="0"/>
            <w:iCs w:val="0"/>
          </w:rPr>
          <w:t>جبرتي ، ابراهيم</w:t>
        </w:r>
        <w:r>
          <w:tab/>
        </w:r>
        <w:r>
          <w:fldChar w:fldCharType="begin"/>
        </w:r>
        <w:r>
          <w:instrText xml:space="preserve">PAGEREF 2330 \h</w:instrText>
        </w:r>
        <w:r>
          <w:fldChar w:fldCharType="end"/>
        </w:r>
      </w:hyperlink>
    </w:p>
    <w:p>
      <w:pPr>
        <w:tabs>
          <w:tab w:val="right" w:leader="dot" w:pos="9062"/>
        </w:tabs>
        <w:ind w:left="220"/>
      </w:pPr>
      <w:hyperlink w:anchor="_Toc2331" w:history="1">
        <w:r>
          <w:rPr>
            <w:rFonts w:ascii="IRNazanin" w:hAnsi="IRNazanin" w:eastAsia="IRNazanin" w:cs="IRNazanin"/>
            <w:color w:val="111111"/>
            <w:sz w:val="22"/>
            <w:szCs w:val="22"/>
            <w:b w:val="0"/>
            <w:bCs w:val="0"/>
            <w:i w:val="0"/>
            <w:iCs w:val="0"/>
          </w:rPr>
          <w:t>جبرتي، حسن بن ابراهيم، 1110-1188ه-</w:t>
        </w:r>
        <w:r>
          <w:tab/>
        </w:r>
        <w:r>
          <w:fldChar w:fldCharType="begin"/>
        </w:r>
        <w:r>
          <w:instrText xml:space="preserve">PAGEREF 2331 \h</w:instrText>
        </w:r>
        <w:r>
          <w:fldChar w:fldCharType="end"/>
        </w:r>
      </w:hyperlink>
    </w:p>
    <w:p>
      <w:pPr>
        <w:tabs>
          <w:tab w:val="right" w:leader="dot" w:pos="9062"/>
        </w:tabs>
        <w:ind w:left="220"/>
      </w:pPr>
      <w:hyperlink w:anchor="_Toc2332" w:history="1">
        <w:r>
          <w:rPr>
            <w:rFonts w:ascii="IRNazanin" w:hAnsi="IRNazanin" w:eastAsia="IRNazanin" w:cs="IRNazanin"/>
            <w:color w:val="111111"/>
            <w:sz w:val="22"/>
            <w:szCs w:val="22"/>
            <w:b w:val="0"/>
            <w:bCs w:val="0"/>
            <w:i w:val="0"/>
            <w:iCs w:val="0"/>
          </w:rPr>
          <w:t>جبرتي ، عبدالرحمان بن حسن، 1167 -</w:t>
        </w:r>
        <w:r>
          <w:tab/>
        </w:r>
        <w:r>
          <w:fldChar w:fldCharType="begin"/>
        </w:r>
        <w:r>
          <w:instrText xml:space="preserve">PAGEREF 2332 \h</w:instrText>
        </w:r>
        <w:r>
          <w:fldChar w:fldCharType="end"/>
        </w:r>
      </w:hyperlink>
    </w:p>
    <w:p>
      <w:pPr>
        <w:tabs>
          <w:tab w:val="right" w:leader="dot" w:pos="9062"/>
        </w:tabs>
        <w:ind w:left="220"/>
      </w:pPr>
      <w:hyperlink w:anchor="_Toc2333" w:history="1">
        <w:r>
          <w:rPr>
            <w:rFonts w:ascii="IRNazanin" w:hAnsi="IRNazanin" w:eastAsia="IRNazanin" w:cs="IRNazanin"/>
            <w:color w:val="111111"/>
            <w:sz w:val="22"/>
            <w:szCs w:val="22"/>
            <w:b w:val="0"/>
            <w:bCs w:val="0"/>
            <w:i w:val="0"/>
            <w:iCs w:val="0"/>
          </w:rPr>
          <w:t>جبريني ، طه بن محمّد - 1178 ه-</w:t>
        </w:r>
        <w:r>
          <w:tab/>
        </w:r>
        <w:r>
          <w:fldChar w:fldCharType="begin"/>
        </w:r>
        <w:r>
          <w:instrText xml:space="preserve">PAGEREF 2333 \h</w:instrText>
        </w:r>
        <w:r>
          <w:fldChar w:fldCharType="end"/>
        </w:r>
      </w:hyperlink>
    </w:p>
    <w:p>
      <w:pPr>
        <w:tabs>
          <w:tab w:val="right" w:leader="dot" w:pos="9062"/>
        </w:tabs>
        <w:ind w:left="220"/>
      </w:pPr>
      <w:hyperlink w:anchor="_Toc2334" w:history="1">
        <w:r>
          <w:rPr>
            <w:rFonts w:ascii="IRNazanin" w:hAnsi="IRNazanin" w:eastAsia="IRNazanin" w:cs="IRNazanin"/>
            <w:color w:val="111111"/>
            <w:sz w:val="22"/>
            <w:szCs w:val="22"/>
            <w:b w:val="0"/>
            <w:bCs w:val="0"/>
            <w:i w:val="0"/>
            <w:iCs w:val="0"/>
          </w:rPr>
          <w:t>جبوري ، سلطان بن ناصر - 1138 ه-</w:t>
        </w:r>
        <w:r>
          <w:tab/>
        </w:r>
        <w:r>
          <w:fldChar w:fldCharType="begin"/>
        </w:r>
        <w:r>
          <w:instrText xml:space="preserve">PAGEREF 2334 \h</w:instrText>
        </w:r>
        <w:r>
          <w:fldChar w:fldCharType="end"/>
        </w:r>
      </w:hyperlink>
    </w:p>
    <w:p>
      <w:pPr>
        <w:tabs>
          <w:tab w:val="right" w:leader="dot" w:pos="9062"/>
        </w:tabs>
        <w:ind w:left="220"/>
      </w:pPr>
      <w:hyperlink w:anchor="_Toc2335" w:history="1">
        <w:r>
          <w:rPr>
            <w:rFonts w:ascii="IRNazanin" w:hAnsi="IRNazanin" w:eastAsia="IRNazanin" w:cs="IRNazanin"/>
            <w:color w:val="111111"/>
            <w:sz w:val="22"/>
            <w:szCs w:val="22"/>
            <w:b w:val="0"/>
            <w:bCs w:val="0"/>
            <w:i w:val="0"/>
            <w:iCs w:val="0"/>
          </w:rPr>
          <w:t>جبوري ، علي، قرن 12 ه-</w:t>
        </w:r>
        <w:r>
          <w:tab/>
        </w:r>
        <w:r>
          <w:fldChar w:fldCharType="begin"/>
        </w:r>
        <w:r>
          <w:instrText xml:space="preserve">PAGEREF 2335 \h</w:instrText>
        </w:r>
        <w:r>
          <w:fldChar w:fldCharType="end"/>
        </w:r>
      </w:hyperlink>
    </w:p>
    <w:p>
      <w:pPr>
        <w:tabs>
          <w:tab w:val="right" w:leader="dot" w:pos="9062"/>
        </w:tabs>
        <w:ind w:left="220"/>
      </w:pPr>
      <w:hyperlink w:anchor="_Toc2336" w:history="1">
        <w:r>
          <w:rPr>
            <w:rFonts w:ascii="IRNazanin" w:hAnsi="IRNazanin" w:eastAsia="IRNazanin" w:cs="IRNazanin"/>
            <w:color w:val="111111"/>
            <w:sz w:val="22"/>
            <w:szCs w:val="22"/>
            <w:b w:val="0"/>
            <w:bCs w:val="0"/>
            <w:i w:val="0"/>
            <w:iCs w:val="0"/>
          </w:rPr>
          <w:t>جبوري، محمّد امین - 1323 ه-</w:t>
        </w:r>
        <w:r>
          <w:tab/>
        </w:r>
        <w:r>
          <w:fldChar w:fldCharType="begin"/>
        </w:r>
        <w:r>
          <w:instrText xml:space="preserve">PAGEREF 2336 \h</w:instrText>
        </w:r>
        <w:r>
          <w:fldChar w:fldCharType="end"/>
        </w:r>
      </w:hyperlink>
    </w:p>
    <w:p>
      <w:pPr>
        <w:tabs>
          <w:tab w:val="right" w:leader="dot" w:pos="9062"/>
        </w:tabs>
        <w:ind w:left="220"/>
      </w:pPr>
      <w:hyperlink w:anchor="_Toc2337" w:history="1">
        <w:r>
          <w:rPr>
            <w:rFonts w:ascii="IRNazanin" w:hAnsi="IRNazanin" w:eastAsia="IRNazanin" w:cs="IRNazanin"/>
            <w:color w:val="111111"/>
            <w:sz w:val="22"/>
            <w:szCs w:val="22"/>
            <w:b w:val="0"/>
            <w:bCs w:val="0"/>
            <w:i w:val="0"/>
            <w:iCs w:val="0"/>
          </w:rPr>
          <w:t>ججو ، بطرس</w:t>
        </w:r>
        <w:r>
          <w:tab/>
        </w:r>
        <w:r>
          <w:fldChar w:fldCharType="begin"/>
        </w:r>
        <w:r>
          <w:instrText xml:space="preserve">PAGEREF 2337 \h</w:instrText>
        </w:r>
        <w:r>
          <w:fldChar w:fldCharType="end"/>
        </w:r>
      </w:hyperlink>
    </w:p>
    <w:p>
      <w:pPr>
        <w:tabs>
          <w:tab w:val="right" w:leader="dot" w:pos="9062"/>
        </w:tabs>
        <w:ind w:left="220"/>
      </w:pPr>
      <w:hyperlink w:anchor="_Toc2338" w:history="1">
        <w:r>
          <w:rPr>
            <w:rFonts w:ascii="IRNazanin" w:hAnsi="IRNazanin" w:eastAsia="IRNazanin" w:cs="IRNazanin"/>
            <w:color w:val="111111"/>
            <w:sz w:val="22"/>
            <w:szCs w:val="22"/>
            <w:b w:val="0"/>
            <w:bCs w:val="0"/>
            <w:i w:val="0"/>
            <w:iCs w:val="0"/>
          </w:rPr>
          <w:t>جدلي ، ملامحمّد علي، قرن 13 ه-</w:t>
        </w:r>
        <w:r>
          <w:tab/>
        </w:r>
        <w:r>
          <w:fldChar w:fldCharType="begin"/>
        </w:r>
        <w:r>
          <w:instrText xml:space="preserve">PAGEREF 2338 \h</w:instrText>
        </w:r>
        <w:r>
          <w:fldChar w:fldCharType="end"/>
        </w:r>
      </w:hyperlink>
    </w:p>
    <w:p>
      <w:pPr>
        <w:tabs>
          <w:tab w:val="right" w:leader="dot" w:pos="9062"/>
        </w:tabs>
        <w:ind w:left="220"/>
      </w:pPr>
      <w:hyperlink w:anchor="_Toc2339" w:history="1">
        <w:r>
          <w:rPr>
            <w:rFonts w:ascii="IRNazanin" w:hAnsi="IRNazanin" w:eastAsia="IRNazanin" w:cs="IRNazanin"/>
            <w:color w:val="111111"/>
            <w:sz w:val="22"/>
            <w:szCs w:val="22"/>
            <w:b w:val="0"/>
            <w:bCs w:val="0"/>
            <w:i w:val="0"/>
            <w:iCs w:val="0"/>
          </w:rPr>
          <w:t>جديد الاسلام، علي قلي بن محمّد قرن</w:t>
        </w:r>
        <w:r>
          <w:tab/>
        </w:r>
        <w:r>
          <w:fldChar w:fldCharType="begin"/>
        </w:r>
        <w:r>
          <w:instrText xml:space="preserve">PAGEREF 2339 \h</w:instrText>
        </w:r>
        <w:r>
          <w:fldChar w:fldCharType="end"/>
        </w:r>
      </w:hyperlink>
    </w:p>
    <w:p>
      <w:pPr>
        <w:tabs>
          <w:tab w:val="right" w:leader="dot" w:pos="9062"/>
        </w:tabs>
        <w:ind w:left="220"/>
      </w:pPr>
      <w:hyperlink w:anchor="_Toc2340" w:history="1">
        <w:r>
          <w:rPr>
            <w:rFonts w:ascii="IRNazanin" w:hAnsi="IRNazanin" w:eastAsia="IRNazanin" w:cs="IRNazanin"/>
            <w:color w:val="111111"/>
            <w:sz w:val="22"/>
            <w:szCs w:val="22"/>
            <w:b w:val="0"/>
            <w:bCs w:val="0"/>
            <w:i w:val="0"/>
            <w:iCs w:val="0"/>
          </w:rPr>
          <w:t>جدید بدخشي، يارمحمّد</w:t>
        </w:r>
        <w:r>
          <w:tab/>
        </w:r>
        <w:r>
          <w:fldChar w:fldCharType="begin"/>
        </w:r>
        <w:r>
          <w:instrText xml:space="preserve">PAGEREF 2340 \h</w:instrText>
        </w:r>
        <w:r>
          <w:fldChar w:fldCharType="end"/>
        </w:r>
      </w:hyperlink>
    </w:p>
    <w:p>
      <w:pPr>
        <w:tabs>
          <w:tab w:val="right" w:leader="dot" w:pos="9062"/>
        </w:tabs>
        <w:ind w:left="220"/>
      </w:pPr>
      <w:hyperlink w:anchor="_Toc2341" w:history="1">
        <w:r>
          <w:rPr>
            <w:rFonts w:ascii="IRNazanin" w:hAnsi="IRNazanin" w:eastAsia="IRNazanin" w:cs="IRNazanin"/>
            <w:color w:val="111111"/>
            <w:sz w:val="22"/>
            <w:szCs w:val="22"/>
            <w:b w:val="0"/>
            <w:bCs w:val="0"/>
            <w:i w:val="0"/>
            <w:iCs w:val="0"/>
          </w:rPr>
          <w:t>جرائدي، يعقوب بن بدران - 688 ه-</w:t>
        </w:r>
        <w:r>
          <w:tab/>
        </w:r>
        <w:r>
          <w:fldChar w:fldCharType="begin"/>
        </w:r>
        <w:r>
          <w:instrText xml:space="preserve">PAGEREF 2341 \h</w:instrText>
        </w:r>
        <w:r>
          <w:fldChar w:fldCharType="end"/>
        </w:r>
      </w:hyperlink>
    </w:p>
    <w:p>
      <w:pPr>
        <w:tabs>
          <w:tab w:val="right" w:leader="dot" w:pos="9062"/>
        </w:tabs>
        <w:ind w:left="220"/>
      </w:pPr>
      <w:hyperlink w:anchor="_Toc2342" w:history="1">
        <w:r>
          <w:rPr>
            <w:rFonts w:ascii="IRNazanin" w:hAnsi="IRNazanin" w:eastAsia="IRNazanin" w:cs="IRNazanin"/>
            <w:color w:val="111111"/>
            <w:sz w:val="22"/>
            <w:szCs w:val="22"/>
            <w:b w:val="0"/>
            <w:bCs w:val="0"/>
            <w:i w:val="0"/>
            <w:iCs w:val="0"/>
          </w:rPr>
          <w:t>جراعي ، ابوبكر بن زيد 825 - 883 ه-</w:t>
        </w:r>
        <w:r>
          <w:tab/>
        </w:r>
        <w:r>
          <w:fldChar w:fldCharType="begin"/>
        </w:r>
        <w:r>
          <w:instrText xml:space="preserve">PAGEREF 2342 \h</w:instrText>
        </w:r>
        <w:r>
          <w:fldChar w:fldCharType="end"/>
        </w:r>
      </w:hyperlink>
    </w:p>
    <w:p>
      <w:pPr>
        <w:tabs>
          <w:tab w:val="right" w:leader="dot" w:pos="9062"/>
        </w:tabs>
        <w:ind w:left="220"/>
      </w:pPr>
      <w:hyperlink w:anchor="_Toc2343" w:history="1">
        <w:r>
          <w:rPr>
            <w:rFonts w:ascii="IRNazanin" w:hAnsi="IRNazanin" w:eastAsia="IRNazanin" w:cs="IRNazanin"/>
            <w:color w:val="111111"/>
            <w:sz w:val="22"/>
            <w:szCs w:val="22"/>
            <w:b w:val="0"/>
            <w:bCs w:val="0"/>
            <w:i w:val="0"/>
            <w:iCs w:val="0"/>
          </w:rPr>
          <w:t>جران العود، عامر بن حارث قرن 1 ه-</w:t>
        </w:r>
        <w:r>
          <w:tab/>
        </w:r>
        <w:r>
          <w:fldChar w:fldCharType="begin"/>
        </w:r>
        <w:r>
          <w:instrText xml:space="preserve">PAGEREF 2343 \h</w:instrText>
        </w:r>
        <w:r>
          <w:fldChar w:fldCharType="end"/>
        </w:r>
      </w:hyperlink>
    </w:p>
    <w:p>
      <w:pPr>
        <w:tabs>
          <w:tab w:val="right" w:leader="dot" w:pos="9062"/>
        </w:tabs>
        <w:ind w:left="220"/>
      </w:pPr>
      <w:hyperlink w:anchor="_Toc2344" w:history="1">
        <w:r>
          <w:rPr>
            <w:rFonts w:ascii="IRNazanin" w:hAnsi="IRNazanin" w:eastAsia="IRNazanin" w:cs="IRNazanin"/>
            <w:color w:val="111111"/>
            <w:sz w:val="22"/>
            <w:szCs w:val="22"/>
            <w:b w:val="0"/>
            <w:bCs w:val="0"/>
            <w:i w:val="0"/>
            <w:iCs w:val="0"/>
          </w:rPr>
          <w:t>جربادقاني ، محمّد بن علي</w:t>
        </w:r>
        <w:r>
          <w:tab/>
        </w:r>
        <w:r>
          <w:fldChar w:fldCharType="begin"/>
        </w:r>
        <w:r>
          <w:instrText xml:space="preserve">PAGEREF 2344 \h</w:instrText>
        </w:r>
        <w:r>
          <w:fldChar w:fldCharType="end"/>
        </w:r>
      </w:hyperlink>
    </w:p>
    <w:p>
      <w:pPr>
        <w:tabs>
          <w:tab w:val="right" w:leader="dot" w:pos="9062"/>
        </w:tabs>
        <w:ind w:left="220"/>
      </w:pPr>
      <w:hyperlink w:anchor="_Toc2345" w:history="1">
        <w:r>
          <w:rPr>
            <w:rFonts w:ascii="IRNazanin" w:hAnsi="IRNazanin" w:eastAsia="IRNazanin" w:cs="IRNazanin"/>
            <w:color w:val="111111"/>
            <w:sz w:val="22"/>
            <w:szCs w:val="22"/>
            <w:b w:val="0"/>
            <w:bCs w:val="0"/>
            <w:i w:val="0"/>
            <w:iCs w:val="0"/>
          </w:rPr>
          <w:t>جربي ، احمد بن عبد الحليم</w:t>
        </w:r>
        <w:r>
          <w:tab/>
        </w:r>
        <w:r>
          <w:fldChar w:fldCharType="begin"/>
        </w:r>
        <w:r>
          <w:instrText xml:space="preserve">PAGEREF 2345 \h</w:instrText>
        </w:r>
        <w:r>
          <w:fldChar w:fldCharType="end"/>
        </w:r>
      </w:hyperlink>
    </w:p>
    <w:p>
      <w:pPr>
        <w:tabs>
          <w:tab w:val="right" w:leader="dot" w:pos="9062"/>
        </w:tabs>
        <w:ind w:left="220"/>
      </w:pPr>
      <w:hyperlink w:anchor="_Toc2346" w:history="1">
        <w:r>
          <w:rPr>
            <w:rFonts w:ascii="IRNazanin" w:hAnsi="IRNazanin" w:eastAsia="IRNazanin" w:cs="IRNazanin"/>
            <w:color w:val="111111"/>
            <w:sz w:val="22"/>
            <w:szCs w:val="22"/>
            <w:b w:val="0"/>
            <w:bCs w:val="0"/>
            <w:i w:val="0"/>
            <w:iCs w:val="0"/>
          </w:rPr>
          <w:t>جرجاني، ابوالفتح بن مخدوم - 976 ؟ ه-</w:t>
        </w:r>
        <w:r>
          <w:tab/>
        </w:r>
        <w:r>
          <w:fldChar w:fldCharType="begin"/>
        </w:r>
        <w:r>
          <w:instrText xml:space="preserve">PAGEREF 2346 \h</w:instrText>
        </w:r>
        <w:r>
          <w:fldChar w:fldCharType="end"/>
        </w:r>
      </w:hyperlink>
    </w:p>
    <w:p>
      <w:pPr>
        <w:tabs>
          <w:tab w:val="right" w:leader="dot" w:pos="9062"/>
        </w:tabs>
        <w:ind w:left="220"/>
      </w:pPr>
      <w:hyperlink w:anchor="_Toc2347" w:history="1">
        <w:r>
          <w:rPr>
            <w:rFonts w:ascii="IRNazanin" w:hAnsi="IRNazanin" w:eastAsia="IRNazanin" w:cs="IRNazanin"/>
            <w:color w:val="111111"/>
            <w:sz w:val="22"/>
            <w:szCs w:val="22"/>
            <w:b w:val="0"/>
            <w:bCs w:val="0"/>
            <w:i w:val="0"/>
            <w:iCs w:val="0"/>
          </w:rPr>
          <w:t>جرجاني اسماعيل بن حسن، 434-531ه-</w:t>
        </w:r>
        <w:r>
          <w:tab/>
        </w:r>
        <w:r>
          <w:fldChar w:fldCharType="begin"/>
        </w:r>
        <w:r>
          <w:instrText xml:space="preserve">PAGEREF 2347 \h</w:instrText>
        </w:r>
        <w:r>
          <w:fldChar w:fldCharType="end"/>
        </w:r>
      </w:hyperlink>
    </w:p>
    <w:p>
      <w:pPr>
        <w:tabs>
          <w:tab w:val="right" w:leader="dot" w:pos="9062"/>
        </w:tabs>
        <w:ind w:left="220"/>
      </w:pPr>
      <w:hyperlink w:anchor="_Toc2348" w:history="1">
        <w:r>
          <w:rPr>
            <w:rFonts w:ascii="IRNazanin" w:hAnsi="IRNazanin" w:eastAsia="IRNazanin" w:cs="IRNazanin"/>
            <w:color w:val="111111"/>
            <w:sz w:val="22"/>
            <w:szCs w:val="22"/>
            <w:b w:val="0"/>
            <w:bCs w:val="0"/>
            <w:i w:val="0"/>
            <w:iCs w:val="0"/>
          </w:rPr>
          <w:t>جرجاني جلابي، طاهر بن محمّد</w:t>
        </w:r>
        <w:r>
          <w:tab/>
        </w:r>
        <w:r>
          <w:fldChar w:fldCharType="begin"/>
        </w:r>
        <w:r>
          <w:instrText xml:space="preserve">PAGEREF 2348 \h</w:instrText>
        </w:r>
        <w:r>
          <w:fldChar w:fldCharType="end"/>
        </w:r>
      </w:hyperlink>
    </w:p>
    <w:p>
      <w:pPr>
        <w:tabs>
          <w:tab w:val="right" w:leader="dot" w:pos="9062"/>
        </w:tabs>
        <w:ind w:left="220"/>
      </w:pPr>
      <w:hyperlink w:anchor="_Toc2349" w:history="1">
        <w:r>
          <w:rPr>
            <w:rFonts w:ascii="IRNazanin" w:hAnsi="IRNazanin" w:eastAsia="IRNazanin" w:cs="IRNazanin"/>
            <w:color w:val="111111"/>
            <w:sz w:val="22"/>
            <w:szCs w:val="22"/>
            <w:b w:val="0"/>
            <w:bCs w:val="0"/>
            <w:i w:val="0"/>
            <w:iCs w:val="0"/>
          </w:rPr>
          <w:t>جرجاني ، حسين بن حسن قرن 8 ه-</w:t>
        </w:r>
        <w:r>
          <w:tab/>
        </w:r>
        <w:r>
          <w:fldChar w:fldCharType="begin"/>
        </w:r>
        <w:r>
          <w:instrText xml:space="preserve">PAGEREF 2349 \h</w:instrText>
        </w:r>
        <w:r>
          <w:fldChar w:fldCharType="end"/>
        </w:r>
      </w:hyperlink>
    </w:p>
    <w:p>
      <w:pPr>
        <w:tabs>
          <w:tab w:val="right" w:leader="dot" w:pos="9062"/>
        </w:tabs>
        <w:ind w:left="220"/>
      </w:pPr>
      <w:hyperlink w:anchor="_Toc2350" w:history="1">
        <w:r>
          <w:rPr>
            <w:rFonts w:ascii="IRNazanin" w:hAnsi="IRNazanin" w:eastAsia="IRNazanin" w:cs="IRNazanin"/>
            <w:color w:val="111111"/>
            <w:sz w:val="22"/>
            <w:szCs w:val="22"/>
            <w:b w:val="0"/>
            <w:bCs w:val="0"/>
            <w:i w:val="0"/>
            <w:iCs w:val="0"/>
          </w:rPr>
          <w:t>جرجاني ، عبدالرحمن</w:t>
        </w:r>
        <w:r>
          <w:tab/>
        </w:r>
        <w:r>
          <w:fldChar w:fldCharType="begin"/>
        </w:r>
        <w:r>
          <w:instrText xml:space="preserve">PAGEREF 2350 \h</w:instrText>
        </w:r>
        <w:r>
          <w:fldChar w:fldCharType="end"/>
        </w:r>
      </w:hyperlink>
    </w:p>
    <w:p>
      <w:pPr>
        <w:tabs>
          <w:tab w:val="right" w:leader="dot" w:pos="9062"/>
        </w:tabs>
        <w:ind w:left="220"/>
      </w:pPr>
      <w:hyperlink w:anchor="_Toc2351" w:history="1">
        <w:r>
          <w:rPr>
            <w:rFonts w:ascii="IRNazanin" w:hAnsi="IRNazanin" w:eastAsia="IRNazanin" w:cs="IRNazanin"/>
            <w:color w:val="111111"/>
            <w:sz w:val="22"/>
            <w:szCs w:val="22"/>
            <w:b w:val="0"/>
            <w:bCs w:val="0"/>
            <w:i w:val="0"/>
            <w:iCs w:val="0"/>
          </w:rPr>
          <w:t>جرجاني ، عبد القاهر بن عبدالرحمن</w:t>
        </w:r>
        <w:r>
          <w:tab/>
        </w:r>
        <w:r>
          <w:fldChar w:fldCharType="begin"/>
        </w:r>
        <w:r>
          <w:instrText xml:space="preserve">PAGEREF 2351 \h</w:instrText>
        </w:r>
        <w:r>
          <w:fldChar w:fldCharType="end"/>
        </w:r>
      </w:hyperlink>
    </w:p>
    <w:p>
      <w:pPr>
        <w:tabs>
          <w:tab w:val="right" w:leader="dot" w:pos="9062"/>
        </w:tabs>
        <w:ind w:left="220"/>
      </w:pPr>
      <w:hyperlink w:anchor="_Toc2352" w:history="1">
        <w:r>
          <w:rPr>
            <w:rFonts w:ascii="IRNazanin" w:hAnsi="IRNazanin" w:eastAsia="IRNazanin" w:cs="IRNazanin"/>
            <w:color w:val="111111"/>
            <w:sz w:val="22"/>
            <w:szCs w:val="22"/>
            <w:b w:val="0"/>
            <w:bCs w:val="0"/>
            <w:i w:val="0"/>
            <w:iCs w:val="0"/>
          </w:rPr>
          <w:t>جرجاني ، علي بن عبد العزيز - 366 ؟ ه-</w:t>
        </w:r>
        <w:r>
          <w:tab/>
        </w:r>
        <w:r>
          <w:fldChar w:fldCharType="begin"/>
        </w:r>
        <w:r>
          <w:instrText xml:space="preserve">PAGEREF 2352 \h</w:instrText>
        </w:r>
        <w:r>
          <w:fldChar w:fldCharType="end"/>
        </w:r>
      </w:hyperlink>
    </w:p>
    <w:p>
      <w:pPr>
        <w:tabs>
          <w:tab w:val="right" w:leader="dot" w:pos="9062"/>
        </w:tabs>
        <w:ind w:left="220"/>
      </w:pPr>
      <w:hyperlink w:anchor="_Toc2353" w:history="1">
        <w:r>
          <w:rPr>
            <w:rFonts w:ascii="IRNazanin" w:hAnsi="IRNazanin" w:eastAsia="IRNazanin" w:cs="IRNazanin"/>
            <w:color w:val="111111"/>
            <w:sz w:val="22"/>
            <w:szCs w:val="22"/>
            <w:b w:val="0"/>
            <w:bCs w:val="0"/>
            <w:i w:val="0"/>
            <w:iCs w:val="0"/>
          </w:rPr>
          <w:t>جرجاني ، علي بن محمّد، 740 - 816 ه-</w:t>
        </w:r>
        <w:r>
          <w:tab/>
        </w:r>
        <w:r>
          <w:fldChar w:fldCharType="begin"/>
        </w:r>
        <w:r>
          <w:instrText xml:space="preserve">PAGEREF 2353 \h</w:instrText>
        </w:r>
        <w:r>
          <w:fldChar w:fldCharType="end"/>
        </w:r>
      </w:hyperlink>
    </w:p>
    <w:p>
      <w:pPr>
        <w:tabs>
          <w:tab w:val="right" w:leader="dot" w:pos="9062"/>
        </w:tabs>
        <w:ind w:left="220"/>
      </w:pPr>
      <w:hyperlink w:anchor="_Toc2354" w:history="1">
        <w:r>
          <w:rPr>
            <w:rFonts w:ascii="IRNazanin" w:hAnsi="IRNazanin" w:eastAsia="IRNazanin" w:cs="IRNazanin"/>
            <w:color w:val="111111"/>
            <w:sz w:val="22"/>
            <w:szCs w:val="22"/>
            <w:b w:val="0"/>
            <w:bCs w:val="0"/>
            <w:i w:val="0"/>
            <w:iCs w:val="0"/>
          </w:rPr>
          <w:t>جرجاني ، محمّد بن احمد -</w:t>
        </w:r>
        <w:r>
          <w:tab/>
        </w:r>
        <w:r>
          <w:fldChar w:fldCharType="begin"/>
        </w:r>
        <w:r>
          <w:instrText xml:space="preserve">PAGEREF 2354 \h</w:instrText>
        </w:r>
        <w:r>
          <w:fldChar w:fldCharType="end"/>
        </w:r>
      </w:hyperlink>
    </w:p>
    <w:p>
      <w:pPr>
        <w:tabs>
          <w:tab w:val="right" w:leader="dot" w:pos="9062"/>
        </w:tabs>
        <w:ind w:left="220"/>
      </w:pPr>
      <w:hyperlink w:anchor="_Toc2355" w:history="1">
        <w:r>
          <w:rPr>
            <w:rFonts w:ascii="IRNazanin" w:hAnsi="IRNazanin" w:eastAsia="IRNazanin" w:cs="IRNazanin"/>
            <w:color w:val="111111"/>
            <w:sz w:val="22"/>
            <w:szCs w:val="22"/>
            <w:b w:val="0"/>
            <w:bCs w:val="0"/>
            <w:i w:val="0"/>
            <w:iCs w:val="0"/>
          </w:rPr>
          <w:t>جرجاني ، محمّد بن عبدالله قرن 8 ه-</w:t>
        </w:r>
        <w:r>
          <w:tab/>
        </w:r>
        <w:r>
          <w:fldChar w:fldCharType="begin"/>
        </w:r>
        <w:r>
          <w:instrText xml:space="preserve">PAGEREF 2355 \h</w:instrText>
        </w:r>
        <w:r>
          <w:fldChar w:fldCharType="end"/>
        </w:r>
      </w:hyperlink>
    </w:p>
    <w:p>
      <w:pPr>
        <w:tabs>
          <w:tab w:val="right" w:leader="dot" w:pos="9062"/>
        </w:tabs>
        <w:ind w:left="220"/>
      </w:pPr>
      <w:hyperlink w:anchor="_Toc2356" w:history="1">
        <w:r>
          <w:rPr>
            <w:rFonts w:ascii="IRNazanin" w:hAnsi="IRNazanin" w:eastAsia="IRNazanin" w:cs="IRNazanin"/>
            <w:color w:val="111111"/>
            <w:sz w:val="22"/>
            <w:szCs w:val="22"/>
            <w:b w:val="0"/>
            <w:bCs w:val="0"/>
            <w:i w:val="0"/>
            <w:iCs w:val="0"/>
          </w:rPr>
          <w:t>جرجاني ، محمّد بن علي - 838 ه-</w:t>
        </w:r>
        <w:r>
          <w:tab/>
        </w:r>
        <w:r>
          <w:fldChar w:fldCharType="begin"/>
        </w:r>
        <w:r>
          <w:instrText xml:space="preserve">PAGEREF 2356 \h</w:instrText>
        </w:r>
        <w:r>
          <w:fldChar w:fldCharType="end"/>
        </w:r>
      </w:hyperlink>
    </w:p>
    <w:p>
      <w:pPr>
        <w:tabs>
          <w:tab w:val="right" w:leader="dot" w:pos="9062"/>
        </w:tabs>
        <w:ind w:left="220"/>
      </w:pPr>
      <w:hyperlink w:anchor="_Toc2357" w:history="1">
        <w:r>
          <w:rPr>
            <w:rFonts w:ascii="IRNazanin" w:hAnsi="IRNazanin" w:eastAsia="IRNazanin" w:cs="IRNazanin"/>
            <w:color w:val="111111"/>
            <w:sz w:val="22"/>
            <w:szCs w:val="22"/>
            <w:b w:val="0"/>
            <w:bCs w:val="0"/>
            <w:i w:val="0"/>
            <w:iCs w:val="0"/>
          </w:rPr>
          <w:t>جرجيس افندي</w:t>
        </w:r>
        <w:r>
          <w:tab/>
        </w:r>
        <w:r>
          <w:fldChar w:fldCharType="begin"/>
        </w:r>
        <w:r>
          <w:instrText xml:space="preserve">PAGEREF 2357 \h</w:instrText>
        </w:r>
        <w:r>
          <w:fldChar w:fldCharType="end"/>
        </w:r>
      </w:hyperlink>
    </w:p>
    <w:p>
      <w:pPr>
        <w:tabs>
          <w:tab w:val="right" w:leader="dot" w:pos="9062"/>
        </w:tabs>
        <w:ind w:left="220"/>
      </w:pPr>
      <w:hyperlink w:anchor="_Toc2358" w:history="1">
        <w:r>
          <w:rPr>
            <w:rFonts w:ascii="IRNazanin" w:hAnsi="IRNazanin" w:eastAsia="IRNazanin" w:cs="IRNazanin"/>
            <w:color w:val="111111"/>
            <w:sz w:val="22"/>
            <w:szCs w:val="22"/>
            <w:b w:val="0"/>
            <w:bCs w:val="0"/>
            <w:i w:val="0"/>
            <w:iCs w:val="0"/>
          </w:rPr>
          <w:t>جرجيس بن مصطفى</w:t>
        </w:r>
        <w:r>
          <w:tab/>
        </w:r>
        <w:r>
          <w:fldChar w:fldCharType="begin"/>
        </w:r>
        <w:r>
          <w:instrText xml:space="preserve">PAGEREF 2358 \h</w:instrText>
        </w:r>
        <w:r>
          <w:fldChar w:fldCharType="end"/>
        </w:r>
      </w:hyperlink>
    </w:p>
    <w:p>
      <w:pPr>
        <w:tabs>
          <w:tab w:val="right" w:leader="dot" w:pos="9062"/>
        </w:tabs>
        <w:ind w:left="220"/>
      </w:pPr>
      <w:hyperlink w:anchor="_Toc2359" w:history="1">
        <w:r>
          <w:rPr>
            <w:rFonts w:ascii="IRNazanin" w:hAnsi="IRNazanin" w:eastAsia="IRNazanin" w:cs="IRNazanin"/>
            <w:color w:val="111111"/>
            <w:sz w:val="22"/>
            <w:szCs w:val="22"/>
            <w:b w:val="0"/>
            <w:bCs w:val="0"/>
            <w:i w:val="0"/>
            <w:iCs w:val="0"/>
          </w:rPr>
          <w:t>جرمبوش ، احمد</w:t>
        </w:r>
        <w:r>
          <w:tab/>
        </w:r>
        <w:r>
          <w:fldChar w:fldCharType="begin"/>
        </w:r>
        <w:r>
          <w:instrText xml:space="preserve">PAGEREF 2359 \h</w:instrText>
        </w:r>
        <w:r>
          <w:fldChar w:fldCharType="end"/>
        </w:r>
      </w:hyperlink>
    </w:p>
    <w:p>
      <w:pPr>
        <w:tabs>
          <w:tab w:val="right" w:leader="dot" w:pos="9062"/>
        </w:tabs>
        <w:ind w:left="220"/>
      </w:pPr>
      <w:hyperlink w:anchor="_Toc2360" w:history="1">
        <w:r>
          <w:rPr>
            <w:rFonts w:ascii="IRNazanin" w:hAnsi="IRNazanin" w:eastAsia="IRNazanin" w:cs="IRNazanin"/>
            <w:color w:val="111111"/>
            <w:sz w:val="22"/>
            <w:szCs w:val="22"/>
            <w:b w:val="0"/>
            <w:bCs w:val="0"/>
            <w:i w:val="0"/>
            <w:iCs w:val="0"/>
          </w:rPr>
          <w:t>جرمكي، ابوبكر بن طاهر، قرن 12 ه-</w:t>
        </w:r>
        <w:r>
          <w:tab/>
        </w:r>
        <w:r>
          <w:fldChar w:fldCharType="begin"/>
        </w:r>
        <w:r>
          <w:instrText xml:space="preserve">PAGEREF 2360 \h</w:instrText>
        </w:r>
        <w:r>
          <w:fldChar w:fldCharType="end"/>
        </w:r>
      </w:hyperlink>
    </w:p>
    <w:p>
      <w:pPr>
        <w:tabs>
          <w:tab w:val="right" w:leader="dot" w:pos="9062"/>
        </w:tabs>
        <w:ind w:left="220"/>
      </w:pPr>
      <w:hyperlink w:anchor="_Toc2361" w:history="1">
        <w:r>
          <w:rPr>
            <w:rFonts w:ascii="IRNazanin" w:hAnsi="IRNazanin" w:eastAsia="IRNazanin" w:cs="IRNazanin"/>
            <w:color w:val="111111"/>
            <w:sz w:val="22"/>
            <w:szCs w:val="22"/>
            <w:b w:val="0"/>
            <w:bCs w:val="0"/>
            <w:i w:val="0"/>
            <w:iCs w:val="0"/>
          </w:rPr>
          <w:t>جروة انطاكي ، اغناطيوس</w:t>
        </w:r>
        <w:r>
          <w:tab/>
        </w:r>
        <w:r>
          <w:fldChar w:fldCharType="begin"/>
        </w:r>
        <w:r>
          <w:instrText xml:space="preserve">PAGEREF 2361 \h</w:instrText>
        </w:r>
        <w:r>
          <w:fldChar w:fldCharType="end"/>
        </w:r>
      </w:hyperlink>
    </w:p>
    <w:p>
      <w:pPr>
        <w:tabs>
          <w:tab w:val="right" w:leader="dot" w:pos="9062"/>
        </w:tabs>
        <w:ind w:left="220"/>
      </w:pPr>
      <w:hyperlink w:anchor="_Toc2362" w:history="1">
        <w:r>
          <w:rPr>
            <w:rFonts w:ascii="IRNazanin" w:hAnsi="IRNazanin" w:eastAsia="IRNazanin" w:cs="IRNazanin"/>
            <w:color w:val="111111"/>
            <w:sz w:val="22"/>
            <w:szCs w:val="22"/>
            <w:b w:val="0"/>
            <w:bCs w:val="0"/>
            <w:i w:val="0"/>
            <w:iCs w:val="0"/>
          </w:rPr>
          <w:t>جريدي ، حسن</w:t>
        </w:r>
        <w:r>
          <w:tab/>
        </w:r>
        <w:r>
          <w:fldChar w:fldCharType="begin"/>
        </w:r>
        <w:r>
          <w:instrText xml:space="preserve">PAGEREF 2362 \h</w:instrText>
        </w:r>
        <w:r>
          <w:fldChar w:fldCharType="end"/>
        </w:r>
      </w:hyperlink>
    </w:p>
    <w:p>
      <w:pPr>
        <w:tabs>
          <w:tab w:val="right" w:leader="dot" w:pos="9062"/>
        </w:tabs>
        <w:ind w:left="220"/>
      </w:pPr>
      <w:hyperlink w:anchor="_Toc2363" w:history="1">
        <w:r>
          <w:rPr>
            <w:rFonts w:ascii="IRNazanin" w:hAnsi="IRNazanin" w:eastAsia="IRNazanin" w:cs="IRNazanin"/>
            <w:color w:val="111111"/>
            <w:sz w:val="22"/>
            <w:szCs w:val="22"/>
            <w:b w:val="0"/>
            <w:bCs w:val="0"/>
            <w:i w:val="0"/>
            <w:iCs w:val="0"/>
          </w:rPr>
          <w:t>جزائري ، احمد</w:t>
        </w:r>
        <w:r>
          <w:tab/>
        </w:r>
        <w:r>
          <w:fldChar w:fldCharType="begin"/>
        </w:r>
        <w:r>
          <w:instrText xml:space="preserve">PAGEREF 2363 \h</w:instrText>
        </w:r>
        <w:r>
          <w:fldChar w:fldCharType="end"/>
        </w:r>
      </w:hyperlink>
    </w:p>
    <w:p>
      <w:pPr>
        <w:tabs>
          <w:tab w:val="right" w:leader="dot" w:pos="9062"/>
        </w:tabs>
        <w:ind w:left="220"/>
      </w:pPr>
      <w:hyperlink w:anchor="_Toc2364" w:history="1">
        <w:r>
          <w:rPr>
            <w:rFonts w:ascii="IRNazanin" w:hAnsi="IRNazanin" w:eastAsia="IRNazanin" w:cs="IRNazanin"/>
            <w:color w:val="111111"/>
            <w:sz w:val="22"/>
            <w:szCs w:val="22"/>
            <w:b w:val="0"/>
            <w:bCs w:val="0"/>
            <w:i w:val="0"/>
            <w:iCs w:val="0"/>
          </w:rPr>
          <w:t>جزائري، احمد بن اسماعيل - 1151 ؟ ه-</w:t>
        </w:r>
        <w:r>
          <w:tab/>
        </w:r>
        <w:r>
          <w:fldChar w:fldCharType="begin"/>
        </w:r>
        <w:r>
          <w:instrText xml:space="preserve">PAGEREF 2364 \h</w:instrText>
        </w:r>
        <w:r>
          <w:fldChar w:fldCharType="end"/>
        </w:r>
      </w:hyperlink>
    </w:p>
    <w:p>
      <w:pPr>
        <w:tabs>
          <w:tab w:val="right" w:leader="dot" w:pos="9062"/>
        </w:tabs>
        <w:ind w:left="220"/>
      </w:pPr>
      <w:hyperlink w:anchor="_Toc2365" w:history="1">
        <w:r>
          <w:rPr>
            <w:rFonts w:ascii="IRNazanin" w:hAnsi="IRNazanin" w:eastAsia="IRNazanin" w:cs="IRNazanin"/>
            <w:color w:val="111111"/>
            <w:sz w:val="22"/>
            <w:szCs w:val="22"/>
            <w:b w:val="0"/>
            <w:bCs w:val="0"/>
            <w:i w:val="0"/>
            <w:iCs w:val="0"/>
          </w:rPr>
          <w:t>جزائري ،ماجدي شبيب راضي، قرن 13ه-</w:t>
        </w:r>
        <w:r>
          <w:tab/>
        </w:r>
        <w:r>
          <w:fldChar w:fldCharType="begin"/>
        </w:r>
        <w:r>
          <w:instrText xml:space="preserve">PAGEREF 2365 \h</w:instrText>
        </w:r>
        <w:r>
          <w:fldChar w:fldCharType="end"/>
        </w:r>
      </w:hyperlink>
    </w:p>
    <w:p>
      <w:pPr>
        <w:tabs>
          <w:tab w:val="right" w:leader="dot" w:pos="9062"/>
        </w:tabs>
        <w:ind w:left="220"/>
      </w:pPr>
      <w:hyperlink w:anchor="_Toc2366" w:history="1">
        <w:r>
          <w:rPr>
            <w:rFonts w:ascii="IRNazanin" w:hAnsi="IRNazanin" w:eastAsia="IRNazanin" w:cs="IRNazanin"/>
            <w:color w:val="111111"/>
            <w:sz w:val="22"/>
            <w:szCs w:val="22"/>
            <w:b w:val="0"/>
            <w:bCs w:val="0"/>
            <w:i w:val="0"/>
            <w:iCs w:val="0"/>
          </w:rPr>
          <w:t>جزائري ، محمّد بن احمد</w:t>
        </w:r>
        <w:r>
          <w:tab/>
        </w:r>
        <w:r>
          <w:fldChar w:fldCharType="begin"/>
        </w:r>
        <w:r>
          <w:instrText xml:space="preserve">PAGEREF 2366 \h</w:instrText>
        </w:r>
        <w:r>
          <w:fldChar w:fldCharType="end"/>
        </w:r>
      </w:hyperlink>
    </w:p>
    <w:p>
      <w:pPr>
        <w:tabs>
          <w:tab w:val="right" w:leader="dot" w:pos="9062"/>
        </w:tabs>
        <w:ind w:left="220"/>
      </w:pPr>
      <w:hyperlink w:anchor="_Toc2367" w:history="1">
        <w:r>
          <w:rPr>
            <w:rFonts w:ascii="IRNazanin" w:hAnsi="IRNazanin" w:eastAsia="IRNazanin" w:cs="IRNazanin"/>
            <w:color w:val="111111"/>
            <w:sz w:val="22"/>
            <w:szCs w:val="22"/>
            <w:b w:val="0"/>
            <w:bCs w:val="0"/>
            <w:i w:val="0"/>
            <w:iCs w:val="0"/>
          </w:rPr>
          <w:t>جزائري ، محمّد بن علي قرن 11 ه-</w:t>
        </w:r>
        <w:r>
          <w:tab/>
        </w:r>
        <w:r>
          <w:fldChar w:fldCharType="begin"/>
        </w:r>
        <w:r>
          <w:instrText xml:space="preserve">PAGEREF 2367 \h</w:instrText>
        </w:r>
        <w:r>
          <w:fldChar w:fldCharType="end"/>
        </w:r>
      </w:hyperlink>
    </w:p>
    <w:p>
      <w:pPr>
        <w:tabs>
          <w:tab w:val="right" w:leader="dot" w:pos="9062"/>
        </w:tabs>
        <w:ind w:left="220"/>
      </w:pPr>
      <w:hyperlink w:anchor="_Toc2368" w:history="1">
        <w:r>
          <w:rPr>
            <w:rFonts w:ascii="IRNazanin" w:hAnsi="IRNazanin" w:eastAsia="IRNazanin" w:cs="IRNazanin"/>
            <w:color w:val="111111"/>
            <w:sz w:val="22"/>
            <w:szCs w:val="22"/>
            <w:b w:val="0"/>
            <w:bCs w:val="0"/>
            <w:i w:val="0"/>
            <w:iCs w:val="0"/>
          </w:rPr>
          <w:t>جزائري، محمّد بن نصار قرن 11 ه-</w:t>
        </w:r>
        <w:r>
          <w:tab/>
        </w:r>
        <w:r>
          <w:fldChar w:fldCharType="begin"/>
        </w:r>
        <w:r>
          <w:instrText xml:space="preserve">PAGEREF 2368 \h</w:instrText>
        </w:r>
        <w:r>
          <w:fldChar w:fldCharType="end"/>
        </w:r>
      </w:hyperlink>
    </w:p>
    <w:p>
      <w:pPr>
        <w:tabs>
          <w:tab w:val="right" w:leader="dot" w:pos="9062"/>
        </w:tabs>
        <w:ind w:left="220"/>
      </w:pPr>
      <w:hyperlink w:anchor="_Toc2369" w:history="1">
        <w:r>
          <w:rPr>
            <w:rFonts w:ascii="IRNazanin" w:hAnsi="IRNazanin" w:eastAsia="IRNazanin" w:cs="IRNazanin"/>
            <w:color w:val="111111"/>
            <w:sz w:val="22"/>
            <w:szCs w:val="22"/>
            <w:b w:val="0"/>
            <w:bCs w:val="0"/>
            <w:i w:val="0"/>
            <w:iCs w:val="0"/>
          </w:rPr>
          <w:t>جزائري، محمّد جواد بن علي، 1298 -</w:t>
        </w:r>
        <w:r>
          <w:tab/>
        </w:r>
        <w:r>
          <w:fldChar w:fldCharType="begin"/>
        </w:r>
        <w:r>
          <w:instrText xml:space="preserve">PAGEREF 2369 \h</w:instrText>
        </w:r>
        <w:r>
          <w:fldChar w:fldCharType="end"/>
        </w:r>
      </w:hyperlink>
    </w:p>
    <w:p>
      <w:pPr>
        <w:tabs>
          <w:tab w:val="right" w:leader="dot" w:pos="9062"/>
        </w:tabs>
        <w:ind w:left="220"/>
      </w:pPr>
      <w:hyperlink w:anchor="_Toc2370" w:history="1">
        <w:r>
          <w:rPr>
            <w:rFonts w:ascii="IRNazanin" w:hAnsi="IRNazanin" w:eastAsia="IRNazanin" w:cs="IRNazanin"/>
            <w:color w:val="111111"/>
            <w:sz w:val="22"/>
            <w:szCs w:val="22"/>
            <w:b w:val="0"/>
            <w:bCs w:val="0"/>
            <w:i w:val="0"/>
            <w:iCs w:val="0"/>
          </w:rPr>
          <w:t>جزائري ، نعمة الله بن نورالدين</w:t>
        </w:r>
        <w:r>
          <w:tab/>
        </w:r>
        <w:r>
          <w:fldChar w:fldCharType="begin"/>
        </w:r>
        <w:r>
          <w:instrText xml:space="preserve">PAGEREF 2370 \h</w:instrText>
        </w:r>
        <w:r>
          <w:fldChar w:fldCharType="end"/>
        </w:r>
      </w:hyperlink>
    </w:p>
    <w:p>
      <w:pPr>
        <w:tabs>
          <w:tab w:val="right" w:leader="dot" w:pos="9062"/>
        </w:tabs>
        <w:ind w:left="220"/>
      </w:pPr>
      <w:hyperlink w:anchor="_Toc2371" w:history="1">
        <w:r>
          <w:rPr>
            <w:rFonts w:ascii="IRNazanin" w:hAnsi="IRNazanin" w:eastAsia="IRNazanin" w:cs="IRNazanin"/>
            <w:color w:val="111111"/>
            <w:sz w:val="22"/>
            <w:szCs w:val="22"/>
            <w:b w:val="0"/>
            <w:bCs w:val="0"/>
            <w:i w:val="0"/>
            <w:iCs w:val="0"/>
          </w:rPr>
          <w:t>جزائري، نورالدین محمّد بن نعمة الله</w:t>
        </w:r>
        <w:r>
          <w:tab/>
        </w:r>
        <w:r>
          <w:fldChar w:fldCharType="begin"/>
        </w:r>
        <w:r>
          <w:instrText xml:space="preserve">PAGEREF 2371 \h</w:instrText>
        </w:r>
        <w:r>
          <w:fldChar w:fldCharType="end"/>
        </w:r>
      </w:hyperlink>
    </w:p>
    <w:p>
      <w:pPr>
        <w:tabs>
          <w:tab w:val="right" w:leader="dot" w:pos="9062"/>
        </w:tabs>
        <w:ind w:left="220"/>
      </w:pPr>
      <w:hyperlink w:anchor="_Toc2372" w:history="1">
        <w:r>
          <w:rPr>
            <w:rFonts w:ascii="IRNazanin" w:hAnsi="IRNazanin" w:eastAsia="IRNazanin" w:cs="IRNazanin"/>
            <w:color w:val="111111"/>
            <w:sz w:val="22"/>
            <w:szCs w:val="22"/>
            <w:b w:val="0"/>
            <w:bCs w:val="0"/>
            <w:i w:val="0"/>
            <w:iCs w:val="0"/>
          </w:rPr>
          <w:t>جزائري، هارون بن خمیس قرن 11 ه-</w:t>
        </w:r>
        <w:r>
          <w:tab/>
        </w:r>
        <w:r>
          <w:fldChar w:fldCharType="begin"/>
        </w:r>
        <w:r>
          <w:instrText xml:space="preserve">PAGEREF 2372 \h</w:instrText>
        </w:r>
        <w:r>
          <w:fldChar w:fldCharType="end"/>
        </w:r>
      </w:hyperlink>
    </w:p>
    <w:p>
      <w:pPr>
        <w:tabs>
          <w:tab w:val="right" w:leader="dot" w:pos="9062"/>
        </w:tabs>
        <w:ind w:left="220"/>
      </w:pPr>
      <w:hyperlink w:anchor="_Toc2373" w:history="1">
        <w:r>
          <w:rPr>
            <w:rFonts w:ascii="IRNazanin" w:hAnsi="IRNazanin" w:eastAsia="IRNazanin" w:cs="IRNazanin"/>
            <w:color w:val="111111"/>
            <w:sz w:val="22"/>
            <w:szCs w:val="22"/>
            <w:b w:val="0"/>
            <w:bCs w:val="0"/>
            <w:i w:val="0"/>
            <w:iCs w:val="0"/>
          </w:rPr>
          <w:t>جزار ، يحيى بن عبد العظيم - 679 ه-</w:t>
        </w:r>
        <w:r>
          <w:tab/>
        </w:r>
        <w:r>
          <w:fldChar w:fldCharType="begin"/>
        </w:r>
        <w:r>
          <w:instrText xml:space="preserve">PAGEREF 2373 \h</w:instrText>
        </w:r>
        <w:r>
          <w:fldChar w:fldCharType="end"/>
        </w:r>
      </w:hyperlink>
    </w:p>
    <w:p>
      <w:pPr>
        <w:tabs>
          <w:tab w:val="right" w:leader="dot" w:pos="9062"/>
        </w:tabs>
        <w:ind w:left="220"/>
      </w:pPr>
      <w:hyperlink w:anchor="_Toc2374" w:history="1">
        <w:r>
          <w:rPr>
            <w:rFonts w:ascii="IRNazanin" w:hAnsi="IRNazanin" w:eastAsia="IRNazanin" w:cs="IRNazanin"/>
            <w:color w:val="111111"/>
            <w:sz w:val="22"/>
            <w:szCs w:val="22"/>
            <w:b w:val="0"/>
            <w:bCs w:val="0"/>
            <w:i w:val="0"/>
            <w:iCs w:val="0"/>
          </w:rPr>
          <w:t>جزايري ، احمد بن عبدالله - 899 ه-</w:t>
        </w:r>
        <w:r>
          <w:tab/>
        </w:r>
        <w:r>
          <w:fldChar w:fldCharType="begin"/>
        </w:r>
        <w:r>
          <w:instrText xml:space="preserve">PAGEREF 2374 \h</w:instrText>
        </w:r>
        <w:r>
          <w:fldChar w:fldCharType="end"/>
        </w:r>
      </w:hyperlink>
    </w:p>
    <w:p>
      <w:pPr>
        <w:tabs>
          <w:tab w:val="right" w:leader="dot" w:pos="9062"/>
        </w:tabs>
        <w:ind w:left="220"/>
      </w:pPr>
      <w:hyperlink w:anchor="_Toc2375" w:history="1">
        <w:r>
          <w:rPr>
            <w:rFonts w:ascii="IRNazanin" w:hAnsi="IRNazanin" w:eastAsia="IRNazanin" w:cs="IRNazanin"/>
            <w:color w:val="111111"/>
            <w:sz w:val="22"/>
            <w:szCs w:val="22"/>
            <w:b w:val="0"/>
            <w:bCs w:val="0"/>
            <w:i w:val="0"/>
            <w:iCs w:val="0"/>
          </w:rPr>
          <w:t>جزايري شيرازي ، محمّد مؤمن بن محمّد</w:t>
        </w:r>
        <w:r>
          <w:tab/>
        </w:r>
        <w:r>
          <w:fldChar w:fldCharType="begin"/>
        </w:r>
        <w:r>
          <w:instrText xml:space="preserve">PAGEREF 2375 \h</w:instrText>
        </w:r>
        <w:r>
          <w:fldChar w:fldCharType="end"/>
        </w:r>
      </w:hyperlink>
    </w:p>
    <w:p>
      <w:pPr>
        <w:tabs>
          <w:tab w:val="right" w:leader="dot" w:pos="9062"/>
        </w:tabs>
        <w:ind w:left="220"/>
      </w:pPr>
      <w:hyperlink w:anchor="_Toc2376" w:history="1">
        <w:r>
          <w:rPr>
            <w:rFonts w:ascii="IRNazanin" w:hAnsi="IRNazanin" w:eastAsia="IRNazanin" w:cs="IRNazanin"/>
            <w:color w:val="111111"/>
            <w:sz w:val="22"/>
            <w:szCs w:val="22"/>
            <w:b w:val="0"/>
            <w:bCs w:val="0"/>
            <w:i w:val="0"/>
            <w:iCs w:val="0"/>
          </w:rPr>
          <w:t>جزايري ، عبدالله بن نورالدین 1112 -</w:t>
        </w:r>
        <w:r>
          <w:tab/>
        </w:r>
        <w:r>
          <w:fldChar w:fldCharType="begin"/>
        </w:r>
        <w:r>
          <w:instrText xml:space="preserve">PAGEREF 2376 \h</w:instrText>
        </w:r>
        <w:r>
          <w:fldChar w:fldCharType="end"/>
        </w:r>
      </w:hyperlink>
    </w:p>
    <w:p>
      <w:pPr>
        <w:tabs>
          <w:tab w:val="right" w:leader="dot" w:pos="9062"/>
        </w:tabs>
        <w:ind w:left="220"/>
      </w:pPr>
      <w:hyperlink w:anchor="_Toc2377" w:history="1">
        <w:r>
          <w:rPr>
            <w:rFonts w:ascii="IRNazanin" w:hAnsi="IRNazanin" w:eastAsia="IRNazanin" w:cs="IRNazanin"/>
            <w:color w:val="111111"/>
            <w:sz w:val="22"/>
            <w:szCs w:val="22"/>
            <w:b w:val="0"/>
            <w:bCs w:val="0"/>
            <w:i w:val="0"/>
            <w:iCs w:val="0"/>
          </w:rPr>
          <w:t>جزايري، عبدالنبي بن سعد، - 1021 ه-</w:t>
        </w:r>
        <w:r>
          <w:tab/>
        </w:r>
        <w:r>
          <w:fldChar w:fldCharType="begin"/>
        </w:r>
        <w:r>
          <w:instrText xml:space="preserve">PAGEREF 2377 \h</w:instrText>
        </w:r>
        <w:r>
          <w:fldChar w:fldCharType="end"/>
        </w:r>
      </w:hyperlink>
    </w:p>
    <w:p>
      <w:pPr>
        <w:tabs>
          <w:tab w:val="right" w:leader="dot" w:pos="9062"/>
        </w:tabs>
        <w:ind w:left="220"/>
      </w:pPr>
      <w:hyperlink w:anchor="_Toc2378" w:history="1">
        <w:r>
          <w:rPr>
            <w:rFonts w:ascii="IRNazanin" w:hAnsi="IRNazanin" w:eastAsia="IRNazanin" w:cs="IRNazanin"/>
            <w:color w:val="111111"/>
            <w:sz w:val="22"/>
            <w:szCs w:val="22"/>
            <w:b w:val="0"/>
            <w:bCs w:val="0"/>
            <w:i w:val="0"/>
            <w:iCs w:val="0"/>
          </w:rPr>
          <w:t>جزايري ، محمّد ميرزا</w:t>
        </w:r>
        <w:r>
          <w:tab/>
        </w:r>
        <w:r>
          <w:fldChar w:fldCharType="begin"/>
        </w:r>
        <w:r>
          <w:instrText xml:space="preserve">PAGEREF 2378 \h</w:instrText>
        </w:r>
        <w:r>
          <w:fldChar w:fldCharType="end"/>
        </w:r>
      </w:hyperlink>
    </w:p>
    <w:p>
      <w:pPr>
        <w:tabs>
          <w:tab w:val="right" w:leader="dot" w:pos="9062"/>
        </w:tabs>
        <w:ind w:left="220"/>
      </w:pPr>
      <w:hyperlink w:anchor="_Toc2379" w:history="1">
        <w:r>
          <w:rPr>
            <w:rFonts w:ascii="IRNazanin" w:hAnsi="IRNazanin" w:eastAsia="IRNazanin" w:cs="IRNazanin"/>
            <w:color w:val="111111"/>
            <w:sz w:val="22"/>
            <w:szCs w:val="22"/>
            <w:b w:val="0"/>
            <w:bCs w:val="0"/>
            <w:i w:val="0"/>
            <w:iCs w:val="0"/>
          </w:rPr>
          <w:t>جزايري، نعمة الله بن عبدالله 1050 -</w:t>
        </w:r>
        <w:r>
          <w:tab/>
        </w:r>
        <w:r>
          <w:fldChar w:fldCharType="begin"/>
        </w:r>
        <w:r>
          <w:instrText xml:space="preserve">PAGEREF 2379 \h</w:instrText>
        </w:r>
        <w:r>
          <w:fldChar w:fldCharType="end"/>
        </w:r>
      </w:hyperlink>
    </w:p>
    <w:p>
      <w:pPr>
        <w:tabs>
          <w:tab w:val="right" w:leader="dot" w:pos="9062"/>
        </w:tabs>
        <w:ind w:left="220"/>
      </w:pPr>
      <w:hyperlink w:anchor="_Toc2380" w:history="1">
        <w:r>
          <w:rPr>
            <w:rFonts w:ascii="IRNazanin" w:hAnsi="IRNazanin" w:eastAsia="IRNazanin" w:cs="IRNazanin"/>
            <w:color w:val="111111"/>
            <w:sz w:val="22"/>
            <w:szCs w:val="22"/>
            <w:b w:val="0"/>
            <w:bCs w:val="0"/>
            <w:i w:val="0"/>
            <w:iCs w:val="0"/>
          </w:rPr>
          <w:t>جزري، ابراهيم بن احمد</w:t>
        </w:r>
        <w:r>
          <w:tab/>
        </w:r>
        <w:r>
          <w:fldChar w:fldCharType="begin"/>
        </w:r>
        <w:r>
          <w:instrText xml:space="preserve">PAGEREF 2380 \h</w:instrText>
        </w:r>
        <w:r>
          <w:fldChar w:fldCharType="end"/>
        </w:r>
      </w:hyperlink>
    </w:p>
    <w:p>
      <w:pPr>
        <w:tabs>
          <w:tab w:val="right" w:leader="dot" w:pos="9062"/>
        </w:tabs>
        <w:ind w:left="220"/>
      </w:pPr>
      <w:hyperlink w:anchor="_Toc2381" w:history="1">
        <w:r>
          <w:rPr>
            <w:rFonts w:ascii="IRNazanin" w:hAnsi="IRNazanin" w:eastAsia="IRNazanin" w:cs="IRNazanin"/>
            <w:color w:val="111111"/>
            <w:sz w:val="22"/>
            <w:szCs w:val="22"/>
            <w:b w:val="0"/>
            <w:bCs w:val="0"/>
            <w:i w:val="0"/>
            <w:iCs w:val="0"/>
          </w:rPr>
          <w:t>جزري، احمد بن حسين - 444 ه-</w:t>
        </w:r>
        <w:r>
          <w:tab/>
        </w:r>
        <w:r>
          <w:fldChar w:fldCharType="begin"/>
        </w:r>
        <w:r>
          <w:instrText xml:space="preserve">PAGEREF 2381 \h</w:instrText>
        </w:r>
        <w:r>
          <w:fldChar w:fldCharType="end"/>
        </w:r>
      </w:hyperlink>
    </w:p>
    <w:p>
      <w:pPr>
        <w:tabs>
          <w:tab w:val="right" w:leader="dot" w:pos="9062"/>
        </w:tabs>
        <w:ind w:left="220"/>
      </w:pPr>
      <w:hyperlink w:anchor="_Toc2382" w:history="1">
        <w:r>
          <w:rPr>
            <w:rFonts w:ascii="IRNazanin" w:hAnsi="IRNazanin" w:eastAsia="IRNazanin" w:cs="IRNazanin"/>
            <w:color w:val="111111"/>
            <w:sz w:val="22"/>
            <w:szCs w:val="22"/>
            <w:b w:val="0"/>
            <w:bCs w:val="0"/>
            <w:i w:val="0"/>
            <w:iCs w:val="0"/>
          </w:rPr>
          <w:t>جزري، رمضان بن ابي هريره - 1092 ه-</w:t>
        </w:r>
        <w:r>
          <w:tab/>
        </w:r>
        <w:r>
          <w:fldChar w:fldCharType="begin"/>
        </w:r>
        <w:r>
          <w:instrText xml:space="preserve">PAGEREF 2382 \h</w:instrText>
        </w:r>
        <w:r>
          <w:fldChar w:fldCharType="end"/>
        </w:r>
      </w:hyperlink>
    </w:p>
    <w:p>
      <w:pPr>
        <w:tabs>
          <w:tab w:val="right" w:leader="dot" w:pos="9062"/>
        </w:tabs>
        <w:ind w:left="220"/>
      </w:pPr>
      <w:hyperlink w:anchor="_Toc2383" w:history="1">
        <w:r>
          <w:rPr>
            <w:rFonts w:ascii="IRNazanin" w:hAnsi="IRNazanin" w:eastAsia="IRNazanin" w:cs="IRNazanin"/>
            <w:color w:val="111111"/>
            <w:sz w:val="22"/>
            <w:szCs w:val="22"/>
            <w:b w:val="0"/>
            <w:bCs w:val="0"/>
            <w:i w:val="0"/>
            <w:iCs w:val="0"/>
          </w:rPr>
          <w:t>جزري، عبدالله بن ابراهيم</w:t>
        </w:r>
        <w:r>
          <w:tab/>
        </w:r>
        <w:r>
          <w:fldChar w:fldCharType="begin"/>
        </w:r>
        <w:r>
          <w:instrText xml:space="preserve">PAGEREF 2383 \h</w:instrText>
        </w:r>
        <w:r>
          <w:fldChar w:fldCharType="end"/>
        </w:r>
      </w:hyperlink>
    </w:p>
    <w:p>
      <w:pPr>
        <w:tabs>
          <w:tab w:val="right" w:leader="dot" w:pos="9062"/>
        </w:tabs>
        <w:ind w:left="220"/>
      </w:pPr>
      <w:hyperlink w:anchor="_Toc2384" w:history="1">
        <w:r>
          <w:rPr>
            <w:rFonts w:ascii="IRNazanin" w:hAnsi="IRNazanin" w:eastAsia="IRNazanin" w:cs="IRNazanin"/>
            <w:color w:val="111111"/>
            <w:sz w:val="22"/>
            <w:szCs w:val="22"/>
            <w:b w:val="0"/>
            <w:bCs w:val="0"/>
            <w:i w:val="0"/>
            <w:iCs w:val="0"/>
          </w:rPr>
          <w:t>جزري ، محمود بن علي</w:t>
        </w:r>
        <w:r>
          <w:tab/>
        </w:r>
        <w:r>
          <w:fldChar w:fldCharType="begin"/>
        </w:r>
        <w:r>
          <w:instrText xml:space="preserve">PAGEREF 2384 \h</w:instrText>
        </w:r>
        <w:r>
          <w:fldChar w:fldCharType="end"/>
        </w:r>
      </w:hyperlink>
    </w:p>
    <w:p>
      <w:pPr>
        <w:tabs>
          <w:tab w:val="right" w:leader="dot" w:pos="9062"/>
        </w:tabs>
        <w:ind w:left="220"/>
      </w:pPr>
      <w:hyperlink w:anchor="_Toc2385" w:history="1">
        <w:r>
          <w:rPr>
            <w:rFonts w:ascii="IRNazanin" w:hAnsi="IRNazanin" w:eastAsia="IRNazanin" w:cs="IRNazanin"/>
            <w:color w:val="111111"/>
            <w:sz w:val="22"/>
            <w:szCs w:val="22"/>
            <w:b w:val="0"/>
            <w:bCs w:val="0"/>
            <w:i w:val="0"/>
            <w:iCs w:val="0"/>
          </w:rPr>
          <w:t>جزولي ، عيسى بن عبدالعزيز - 607 ه-</w:t>
        </w:r>
        <w:r>
          <w:tab/>
        </w:r>
        <w:r>
          <w:fldChar w:fldCharType="begin"/>
        </w:r>
        <w:r>
          <w:instrText xml:space="preserve">PAGEREF 2385 \h</w:instrText>
        </w:r>
        <w:r>
          <w:fldChar w:fldCharType="end"/>
        </w:r>
      </w:hyperlink>
    </w:p>
    <w:p>
      <w:pPr>
        <w:tabs>
          <w:tab w:val="right" w:leader="dot" w:pos="9062"/>
        </w:tabs>
        <w:ind w:left="220"/>
      </w:pPr>
      <w:hyperlink w:anchor="_Toc2386" w:history="1">
        <w:r>
          <w:rPr>
            <w:rFonts w:ascii="IRNazanin" w:hAnsi="IRNazanin" w:eastAsia="IRNazanin" w:cs="IRNazanin"/>
            <w:color w:val="111111"/>
            <w:sz w:val="22"/>
            <w:szCs w:val="22"/>
            <w:b w:val="0"/>
            <w:bCs w:val="0"/>
            <w:i w:val="0"/>
            <w:iCs w:val="0"/>
          </w:rPr>
          <w:t>جزولي ، محمّد بن سليمان - 870 ه-</w:t>
        </w:r>
        <w:r>
          <w:tab/>
        </w:r>
        <w:r>
          <w:fldChar w:fldCharType="begin"/>
        </w:r>
        <w:r>
          <w:instrText xml:space="preserve">PAGEREF 2386 \h</w:instrText>
        </w:r>
        <w:r>
          <w:fldChar w:fldCharType="end"/>
        </w:r>
      </w:hyperlink>
    </w:p>
    <w:p>
      <w:pPr>
        <w:tabs>
          <w:tab w:val="right" w:leader="dot" w:pos="9062"/>
        </w:tabs>
        <w:ind w:left="220"/>
      </w:pPr>
      <w:hyperlink w:anchor="_Toc2387" w:history="1">
        <w:r>
          <w:rPr>
            <w:rFonts w:ascii="IRNazanin" w:hAnsi="IRNazanin" w:eastAsia="IRNazanin" w:cs="IRNazanin"/>
            <w:color w:val="111111"/>
            <w:sz w:val="22"/>
            <w:szCs w:val="22"/>
            <w:b w:val="0"/>
            <w:bCs w:val="0"/>
            <w:i w:val="0"/>
            <w:iCs w:val="0"/>
          </w:rPr>
          <w:t>جزيري، ابراهيم</w:t>
        </w:r>
        <w:r>
          <w:tab/>
        </w:r>
        <w:r>
          <w:fldChar w:fldCharType="begin"/>
        </w:r>
        <w:r>
          <w:instrText xml:space="preserve">PAGEREF 2387 \h</w:instrText>
        </w:r>
        <w:r>
          <w:fldChar w:fldCharType="end"/>
        </w:r>
      </w:hyperlink>
    </w:p>
    <w:p>
      <w:pPr>
        <w:tabs>
          <w:tab w:val="right" w:leader="dot" w:pos="9062"/>
        </w:tabs>
        <w:ind w:left="220"/>
      </w:pPr>
      <w:hyperlink w:anchor="_Toc2388" w:history="1">
        <w:r>
          <w:rPr>
            <w:rFonts w:ascii="IRNazanin" w:hAnsi="IRNazanin" w:eastAsia="IRNazanin" w:cs="IRNazanin"/>
            <w:color w:val="111111"/>
            <w:sz w:val="22"/>
            <w:szCs w:val="22"/>
            <w:b w:val="0"/>
            <w:bCs w:val="0"/>
            <w:i w:val="0"/>
            <w:iCs w:val="0"/>
          </w:rPr>
          <w:t>جزيري ، خضر بن جمعة</w:t>
        </w:r>
        <w:r>
          <w:tab/>
        </w:r>
        <w:r>
          <w:fldChar w:fldCharType="begin"/>
        </w:r>
        <w:r>
          <w:instrText xml:space="preserve">PAGEREF 2388 \h</w:instrText>
        </w:r>
        <w:r>
          <w:fldChar w:fldCharType="end"/>
        </w:r>
      </w:hyperlink>
    </w:p>
    <w:p>
      <w:pPr>
        <w:tabs>
          <w:tab w:val="right" w:leader="dot" w:pos="9062"/>
        </w:tabs>
        <w:ind w:left="220"/>
      </w:pPr>
      <w:hyperlink w:anchor="_Toc2389" w:history="1">
        <w:r>
          <w:rPr>
            <w:rFonts w:ascii="IRNazanin" w:hAnsi="IRNazanin" w:eastAsia="IRNazanin" w:cs="IRNazanin"/>
            <w:color w:val="111111"/>
            <w:sz w:val="22"/>
            <w:szCs w:val="22"/>
            <w:b w:val="0"/>
            <w:bCs w:val="0"/>
            <w:i w:val="0"/>
            <w:iCs w:val="0"/>
          </w:rPr>
          <w:t>جسدي ، لويس</w:t>
        </w:r>
        <w:r>
          <w:tab/>
        </w:r>
        <w:r>
          <w:fldChar w:fldCharType="begin"/>
        </w:r>
        <w:r>
          <w:instrText xml:space="preserve">PAGEREF 2389 \h</w:instrText>
        </w:r>
        <w:r>
          <w:fldChar w:fldCharType="end"/>
        </w:r>
      </w:hyperlink>
    </w:p>
    <w:p>
      <w:pPr>
        <w:tabs>
          <w:tab w:val="right" w:leader="dot" w:pos="9062"/>
        </w:tabs>
        <w:ind w:left="220"/>
      </w:pPr>
      <w:hyperlink w:anchor="_Toc2390" w:history="1">
        <w:r>
          <w:rPr>
            <w:rFonts w:ascii="IRNazanin" w:hAnsi="IRNazanin" w:eastAsia="IRNazanin" w:cs="IRNazanin"/>
            <w:color w:val="111111"/>
            <w:sz w:val="22"/>
            <w:szCs w:val="22"/>
            <w:b w:val="0"/>
            <w:bCs w:val="0"/>
            <w:i w:val="0"/>
            <w:iCs w:val="0"/>
          </w:rPr>
          <w:t>جسوس ، محمّد بن قاسم - 1182 ه-</w:t>
        </w:r>
        <w:r>
          <w:tab/>
        </w:r>
        <w:r>
          <w:fldChar w:fldCharType="begin"/>
        </w:r>
        <w:r>
          <w:instrText xml:space="preserve">PAGEREF 2390 \h</w:instrText>
        </w:r>
        <w:r>
          <w:fldChar w:fldCharType="end"/>
        </w:r>
      </w:hyperlink>
    </w:p>
    <w:p>
      <w:pPr>
        <w:tabs>
          <w:tab w:val="right" w:leader="dot" w:pos="9062"/>
        </w:tabs>
        <w:ind w:left="220"/>
      </w:pPr>
      <w:hyperlink w:anchor="_Toc2391" w:history="1">
        <w:r>
          <w:rPr>
            <w:rFonts w:ascii="IRNazanin" w:hAnsi="IRNazanin" w:eastAsia="IRNazanin" w:cs="IRNazanin"/>
            <w:color w:val="111111"/>
            <w:sz w:val="22"/>
            <w:szCs w:val="22"/>
            <w:b w:val="0"/>
            <w:bCs w:val="0"/>
            <w:i w:val="0"/>
            <w:iCs w:val="0"/>
          </w:rPr>
          <w:t>جشعمي ، محمد بن فليح - 1295ه-</w:t>
        </w:r>
        <w:r>
          <w:tab/>
        </w:r>
        <w:r>
          <w:fldChar w:fldCharType="begin"/>
        </w:r>
        <w:r>
          <w:instrText xml:space="preserve">PAGEREF 2391 \h</w:instrText>
        </w:r>
        <w:r>
          <w:fldChar w:fldCharType="end"/>
        </w:r>
      </w:hyperlink>
    </w:p>
    <w:p>
      <w:pPr>
        <w:tabs>
          <w:tab w:val="right" w:leader="dot" w:pos="9062"/>
        </w:tabs>
        <w:ind w:left="220"/>
      </w:pPr>
      <w:hyperlink w:anchor="_Toc2392" w:history="1">
        <w:r>
          <w:rPr>
            <w:rFonts w:ascii="IRNazanin" w:hAnsi="IRNazanin" w:eastAsia="IRNazanin" w:cs="IRNazanin"/>
            <w:color w:val="111111"/>
            <w:sz w:val="22"/>
            <w:szCs w:val="22"/>
            <w:b w:val="0"/>
            <w:bCs w:val="0"/>
            <w:i w:val="0"/>
            <w:iCs w:val="0"/>
          </w:rPr>
          <w:t>جصاص، احمد بن علي، 305 - 370 ه-</w:t>
        </w:r>
        <w:r>
          <w:tab/>
        </w:r>
        <w:r>
          <w:fldChar w:fldCharType="begin"/>
        </w:r>
        <w:r>
          <w:instrText xml:space="preserve">PAGEREF 2392 \h</w:instrText>
        </w:r>
        <w:r>
          <w:fldChar w:fldCharType="end"/>
        </w:r>
      </w:hyperlink>
    </w:p>
    <w:p>
      <w:pPr>
        <w:tabs>
          <w:tab w:val="right" w:leader="dot" w:pos="9062"/>
        </w:tabs>
        <w:ind w:left="220"/>
      </w:pPr>
      <w:hyperlink w:anchor="_Toc2393" w:history="1">
        <w:r>
          <w:rPr>
            <w:rFonts w:ascii="IRNazanin" w:hAnsi="IRNazanin" w:eastAsia="IRNazanin" w:cs="IRNazanin"/>
            <w:color w:val="111111"/>
            <w:sz w:val="22"/>
            <w:szCs w:val="22"/>
            <w:b w:val="0"/>
            <w:bCs w:val="0"/>
            <w:i w:val="0"/>
            <w:iCs w:val="0"/>
          </w:rPr>
          <w:t>جصاني، عباس بن محمّد حسين -1306ه-</w:t>
        </w:r>
        <w:r>
          <w:tab/>
        </w:r>
        <w:r>
          <w:fldChar w:fldCharType="begin"/>
        </w:r>
        <w:r>
          <w:instrText xml:space="preserve">PAGEREF 2393 \h</w:instrText>
        </w:r>
        <w:r>
          <w:fldChar w:fldCharType="end"/>
        </w:r>
      </w:hyperlink>
    </w:p>
    <w:p>
      <w:pPr>
        <w:tabs>
          <w:tab w:val="right" w:leader="dot" w:pos="9062"/>
        </w:tabs>
        <w:ind w:left="220"/>
      </w:pPr>
      <w:hyperlink w:anchor="_Toc2394" w:history="1">
        <w:r>
          <w:rPr>
            <w:rFonts w:ascii="IRNazanin" w:hAnsi="IRNazanin" w:eastAsia="IRNazanin" w:cs="IRNazanin"/>
            <w:color w:val="111111"/>
            <w:sz w:val="22"/>
            <w:szCs w:val="22"/>
            <w:b w:val="0"/>
            <w:bCs w:val="0"/>
            <w:i w:val="0"/>
            <w:iCs w:val="0"/>
          </w:rPr>
          <w:t>جعبري، ابراهيم بن عمر، 640 - 732 ه-</w:t>
        </w:r>
        <w:r>
          <w:tab/>
        </w:r>
        <w:r>
          <w:fldChar w:fldCharType="begin"/>
        </w:r>
        <w:r>
          <w:instrText xml:space="preserve">PAGEREF 2394 \h</w:instrText>
        </w:r>
        <w:r>
          <w:fldChar w:fldCharType="end"/>
        </w:r>
      </w:hyperlink>
    </w:p>
    <w:p>
      <w:pPr>
        <w:tabs>
          <w:tab w:val="right" w:leader="dot" w:pos="9062"/>
        </w:tabs>
        <w:ind w:left="220"/>
      </w:pPr>
      <w:hyperlink w:anchor="_Toc2395" w:history="1">
        <w:r>
          <w:rPr>
            <w:rFonts w:ascii="IRNazanin" w:hAnsi="IRNazanin" w:eastAsia="IRNazanin" w:cs="IRNazanin"/>
            <w:color w:val="111111"/>
            <w:sz w:val="22"/>
            <w:szCs w:val="22"/>
            <w:b w:val="0"/>
            <w:bCs w:val="0"/>
            <w:i w:val="0"/>
            <w:iCs w:val="0"/>
          </w:rPr>
          <w:t>جعبري، صالح بن ثامر - 706</w:t>
        </w:r>
        <w:r>
          <w:tab/>
        </w:r>
        <w:r>
          <w:fldChar w:fldCharType="begin"/>
        </w:r>
        <w:r>
          <w:instrText xml:space="preserve">PAGEREF 2395 \h</w:instrText>
        </w:r>
        <w:r>
          <w:fldChar w:fldCharType="end"/>
        </w:r>
      </w:hyperlink>
    </w:p>
    <w:p>
      <w:pPr>
        <w:tabs>
          <w:tab w:val="right" w:leader="dot" w:pos="9062"/>
        </w:tabs>
        <w:ind w:left="220"/>
      </w:pPr>
      <w:hyperlink w:anchor="_Toc2396" w:history="1">
        <w:r>
          <w:rPr>
            <w:rFonts w:ascii="IRNazanin" w:hAnsi="IRNazanin" w:eastAsia="IRNazanin" w:cs="IRNazanin"/>
            <w:color w:val="111111"/>
            <w:sz w:val="22"/>
            <w:szCs w:val="22"/>
            <w:b w:val="0"/>
            <w:bCs w:val="0"/>
            <w:i w:val="0"/>
            <w:iCs w:val="0"/>
          </w:rPr>
          <w:t>جعفر بن محمّد</w:t>
        </w:r>
        <w:r>
          <w:tab/>
        </w:r>
        <w:r>
          <w:fldChar w:fldCharType="begin"/>
        </w:r>
        <w:r>
          <w:instrText xml:space="preserve">PAGEREF 2396 \h</w:instrText>
        </w:r>
        <w:r>
          <w:fldChar w:fldCharType="end"/>
        </w:r>
      </w:hyperlink>
    </w:p>
    <w:p>
      <w:pPr>
        <w:tabs>
          <w:tab w:val="right" w:leader="dot" w:pos="9062"/>
        </w:tabs>
        <w:ind w:left="220"/>
      </w:pPr>
      <w:hyperlink w:anchor="_Toc2397" w:history="1">
        <w:r>
          <w:rPr>
            <w:rFonts w:ascii="IRNazanin" w:hAnsi="IRNazanin" w:eastAsia="IRNazanin" w:cs="IRNazanin"/>
            <w:color w:val="111111"/>
            <w:sz w:val="22"/>
            <w:szCs w:val="22"/>
            <w:b w:val="0"/>
            <w:bCs w:val="0"/>
            <w:i w:val="0"/>
            <w:iCs w:val="0"/>
          </w:rPr>
          <w:t>جعفر بن محمّد بن عبدالله</w:t>
        </w:r>
        <w:r>
          <w:tab/>
        </w:r>
        <w:r>
          <w:fldChar w:fldCharType="begin"/>
        </w:r>
        <w:r>
          <w:instrText xml:space="preserve">PAGEREF 2397 \h</w:instrText>
        </w:r>
        <w:r>
          <w:fldChar w:fldCharType="end"/>
        </w:r>
      </w:hyperlink>
    </w:p>
    <w:p>
      <w:pPr>
        <w:tabs>
          <w:tab w:val="right" w:leader="dot" w:pos="9062"/>
        </w:tabs>
        <w:ind w:left="220"/>
      </w:pPr>
      <w:hyperlink w:anchor="_Toc2398" w:history="1">
        <w:r>
          <w:rPr>
            <w:rFonts w:ascii="IRNazanin" w:hAnsi="IRNazanin" w:eastAsia="IRNazanin" w:cs="IRNazanin"/>
            <w:color w:val="111111"/>
            <w:sz w:val="22"/>
            <w:szCs w:val="22"/>
            <w:b w:val="0"/>
            <w:bCs w:val="0"/>
            <w:i w:val="0"/>
            <w:iCs w:val="0"/>
          </w:rPr>
          <w:t>جعفر بن محمّد الصادق (ع) ، 80-148ه-</w:t>
        </w:r>
        <w:r>
          <w:tab/>
        </w:r>
        <w:r>
          <w:fldChar w:fldCharType="begin"/>
        </w:r>
        <w:r>
          <w:instrText xml:space="preserve">PAGEREF 2398 \h</w:instrText>
        </w:r>
        <w:r>
          <w:fldChar w:fldCharType="end"/>
        </w:r>
      </w:hyperlink>
    </w:p>
    <w:p>
      <w:pPr>
        <w:tabs>
          <w:tab w:val="right" w:leader="dot" w:pos="9062"/>
        </w:tabs>
        <w:ind w:left="220"/>
      </w:pPr>
      <w:hyperlink w:anchor="_Toc2399" w:history="1">
        <w:r>
          <w:rPr>
            <w:rFonts w:ascii="IRNazanin" w:hAnsi="IRNazanin" w:eastAsia="IRNazanin" w:cs="IRNazanin"/>
            <w:color w:val="111111"/>
            <w:sz w:val="22"/>
            <w:szCs w:val="22"/>
            <w:b w:val="0"/>
            <w:bCs w:val="0"/>
            <w:i w:val="0"/>
            <w:iCs w:val="0"/>
          </w:rPr>
          <w:t>جعفري، حسين بن صفي الدين</w:t>
        </w:r>
        <w:r>
          <w:tab/>
        </w:r>
        <w:r>
          <w:fldChar w:fldCharType="begin"/>
        </w:r>
        <w:r>
          <w:instrText xml:space="preserve">PAGEREF 2399 \h</w:instrText>
        </w:r>
        <w:r>
          <w:fldChar w:fldCharType="end"/>
        </w:r>
      </w:hyperlink>
    </w:p>
    <w:p>
      <w:pPr>
        <w:tabs>
          <w:tab w:val="right" w:leader="dot" w:pos="9062"/>
        </w:tabs>
        <w:ind w:left="220"/>
      </w:pPr>
      <w:hyperlink w:anchor="_Toc2400" w:history="1">
        <w:r>
          <w:rPr>
            <w:rFonts w:ascii="IRNazanin" w:hAnsi="IRNazanin" w:eastAsia="IRNazanin" w:cs="IRNazanin"/>
            <w:color w:val="111111"/>
            <w:sz w:val="22"/>
            <w:szCs w:val="22"/>
            <w:b w:val="0"/>
            <w:bCs w:val="0"/>
            <w:i w:val="0"/>
            <w:iCs w:val="0"/>
          </w:rPr>
          <w:t>جعفري رومي ، حسين</w:t>
        </w:r>
        <w:r>
          <w:tab/>
        </w:r>
        <w:r>
          <w:fldChar w:fldCharType="begin"/>
        </w:r>
        <w:r>
          <w:instrText xml:space="preserve">PAGEREF 2400 \h</w:instrText>
        </w:r>
        <w:r>
          <w:fldChar w:fldCharType="end"/>
        </w:r>
      </w:hyperlink>
    </w:p>
    <w:p>
      <w:pPr>
        <w:tabs>
          <w:tab w:val="right" w:leader="dot" w:pos="9062"/>
        </w:tabs>
        <w:ind w:left="220"/>
      </w:pPr>
      <w:hyperlink w:anchor="_Toc2401" w:history="1">
        <w:r>
          <w:rPr>
            <w:rFonts w:ascii="IRNazanin" w:hAnsi="IRNazanin" w:eastAsia="IRNazanin" w:cs="IRNazanin"/>
            <w:color w:val="111111"/>
            <w:sz w:val="22"/>
            <w:szCs w:val="22"/>
            <w:b w:val="0"/>
            <w:bCs w:val="0"/>
            <w:i w:val="0"/>
            <w:iCs w:val="0"/>
          </w:rPr>
          <w:t>جعفري ، علي بن مبارك</w:t>
        </w:r>
        <w:r>
          <w:tab/>
        </w:r>
        <w:r>
          <w:fldChar w:fldCharType="begin"/>
        </w:r>
        <w:r>
          <w:instrText xml:space="preserve">PAGEREF 2401 \h</w:instrText>
        </w:r>
        <w:r>
          <w:fldChar w:fldCharType="end"/>
        </w:r>
      </w:hyperlink>
    </w:p>
    <w:p>
      <w:pPr>
        <w:tabs>
          <w:tab w:val="right" w:leader="dot" w:pos="9062"/>
        </w:tabs>
        <w:ind w:left="220"/>
      </w:pPr>
      <w:hyperlink w:anchor="_Toc2402" w:history="1">
        <w:r>
          <w:rPr>
            <w:rFonts w:ascii="IRNazanin" w:hAnsi="IRNazanin" w:eastAsia="IRNazanin" w:cs="IRNazanin"/>
            <w:color w:val="111111"/>
            <w:sz w:val="22"/>
            <w:szCs w:val="22"/>
            <w:b w:val="0"/>
            <w:bCs w:val="0"/>
            <w:i w:val="0"/>
            <w:iCs w:val="0"/>
          </w:rPr>
          <w:t>جعفري ، محمّد بن محمّد - 887 ه-</w:t>
        </w:r>
        <w:r>
          <w:tab/>
        </w:r>
        <w:r>
          <w:fldChar w:fldCharType="begin"/>
        </w:r>
        <w:r>
          <w:instrText xml:space="preserve">PAGEREF 2402 \h</w:instrText>
        </w:r>
        <w:r>
          <w:fldChar w:fldCharType="end"/>
        </w:r>
      </w:hyperlink>
    </w:p>
    <w:p>
      <w:pPr>
        <w:tabs>
          <w:tab w:val="right" w:leader="dot" w:pos="9062"/>
        </w:tabs>
        <w:ind w:left="220"/>
      </w:pPr>
      <w:hyperlink w:anchor="_Toc2403" w:history="1">
        <w:r>
          <w:rPr>
            <w:rFonts w:ascii="IRNazanin" w:hAnsi="IRNazanin" w:eastAsia="IRNazanin" w:cs="IRNazanin"/>
            <w:color w:val="111111"/>
            <w:sz w:val="22"/>
            <w:szCs w:val="22"/>
            <w:b w:val="0"/>
            <w:bCs w:val="0"/>
            <w:i w:val="0"/>
            <w:iCs w:val="0"/>
          </w:rPr>
          <w:t>جعفري ، نوح بن قاسم - 1300 ه-</w:t>
        </w:r>
        <w:r>
          <w:tab/>
        </w:r>
        <w:r>
          <w:fldChar w:fldCharType="begin"/>
        </w:r>
        <w:r>
          <w:instrText xml:space="preserve">PAGEREF 2403 \h</w:instrText>
        </w:r>
        <w:r>
          <w:fldChar w:fldCharType="end"/>
        </w:r>
      </w:hyperlink>
    </w:p>
    <w:p>
      <w:pPr>
        <w:tabs>
          <w:tab w:val="right" w:leader="dot" w:pos="9062"/>
        </w:tabs>
        <w:ind w:left="220"/>
      </w:pPr>
      <w:hyperlink w:anchor="_Toc2404" w:history="1">
        <w:r>
          <w:rPr>
            <w:rFonts w:ascii="IRNazanin" w:hAnsi="IRNazanin" w:eastAsia="IRNazanin" w:cs="IRNazanin"/>
            <w:color w:val="111111"/>
            <w:sz w:val="22"/>
            <w:szCs w:val="22"/>
            <w:b w:val="0"/>
            <w:bCs w:val="0"/>
            <w:i w:val="0"/>
            <w:iCs w:val="0"/>
          </w:rPr>
          <w:t>جفري رومي ، علي قرن 10 ه-</w:t>
        </w:r>
        <w:r>
          <w:tab/>
        </w:r>
        <w:r>
          <w:fldChar w:fldCharType="begin"/>
        </w:r>
        <w:r>
          <w:instrText xml:space="preserve">PAGEREF 2404 \h</w:instrText>
        </w:r>
        <w:r>
          <w:fldChar w:fldCharType="end"/>
        </w:r>
      </w:hyperlink>
    </w:p>
    <w:p>
      <w:pPr>
        <w:tabs>
          <w:tab w:val="right" w:leader="dot" w:pos="9062"/>
        </w:tabs>
        <w:ind w:left="220"/>
      </w:pPr>
      <w:hyperlink w:anchor="_Toc2405" w:history="1">
        <w:r>
          <w:rPr>
            <w:rFonts w:ascii="IRNazanin" w:hAnsi="IRNazanin" w:eastAsia="IRNazanin" w:cs="IRNazanin"/>
            <w:color w:val="111111"/>
            <w:sz w:val="22"/>
            <w:szCs w:val="22"/>
            <w:b w:val="0"/>
            <w:bCs w:val="0"/>
            <w:i w:val="0"/>
            <w:iCs w:val="0"/>
          </w:rPr>
          <w:t>جفري، شيخ بن محمّد، 1137 - 1222 ه-</w:t>
        </w:r>
        <w:r>
          <w:tab/>
        </w:r>
        <w:r>
          <w:fldChar w:fldCharType="begin"/>
        </w:r>
        <w:r>
          <w:instrText xml:space="preserve">PAGEREF 2405 \h</w:instrText>
        </w:r>
        <w:r>
          <w:fldChar w:fldCharType="end"/>
        </w:r>
      </w:hyperlink>
    </w:p>
    <w:p>
      <w:pPr>
        <w:tabs>
          <w:tab w:val="right" w:leader="dot" w:pos="9062"/>
        </w:tabs>
        <w:ind w:left="220"/>
      </w:pPr>
      <w:hyperlink w:anchor="_Toc2406" w:history="1">
        <w:r>
          <w:rPr>
            <w:rFonts w:ascii="IRNazanin" w:hAnsi="IRNazanin" w:eastAsia="IRNazanin" w:cs="IRNazanin"/>
            <w:color w:val="111111"/>
            <w:sz w:val="22"/>
            <w:szCs w:val="22"/>
            <w:b w:val="0"/>
            <w:bCs w:val="0"/>
            <w:i w:val="0"/>
            <w:iCs w:val="0"/>
          </w:rPr>
          <w:t>جفري، محمّد بن حسين، 1149-1186ه-</w:t>
        </w:r>
        <w:r>
          <w:tab/>
        </w:r>
        <w:r>
          <w:fldChar w:fldCharType="begin"/>
        </w:r>
        <w:r>
          <w:instrText xml:space="preserve">PAGEREF 2406 \h</w:instrText>
        </w:r>
        <w:r>
          <w:fldChar w:fldCharType="end"/>
        </w:r>
      </w:hyperlink>
    </w:p>
    <w:p>
      <w:pPr>
        <w:tabs>
          <w:tab w:val="right" w:leader="dot" w:pos="9062"/>
        </w:tabs>
        <w:ind w:left="220"/>
      </w:pPr>
      <w:hyperlink w:anchor="_Toc2407" w:history="1">
        <w:r>
          <w:rPr>
            <w:rFonts w:ascii="IRNazanin" w:hAnsi="IRNazanin" w:eastAsia="IRNazanin" w:cs="IRNazanin"/>
            <w:color w:val="111111"/>
            <w:sz w:val="22"/>
            <w:szCs w:val="22"/>
            <w:b w:val="0"/>
            <w:bCs w:val="0"/>
            <w:i w:val="0"/>
            <w:iCs w:val="0"/>
          </w:rPr>
          <w:t>جلال الدین میرزا قاجار، 1239-1289 ه-</w:t>
        </w:r>
        <w:r>
          <w:tab/>
        </w:r>
        <w:r>
          <w:fldChar w:fldCharType="begin"/>
        </w:r>
        <w:r>
          <w:instrText xml:space="preserve">PAGEREF 2407 \h</w:instrText>
        </w:r>
        <w:r>
          <w:fldChar w:fldCharType="end"/>
        </w:r>
      </w:hyperlink>
    </w:p>
    <w:p>
      <w:pPr>
        <w:tabs>
          <w:tab w:val="right" w:leader="dot" w:pos="9062"/>
        </w:tabs>
        <w:ind w:left="220"/>
      </w:pPr>
      <w:hyperlink w:anchor="_Toc2408" w:history="1">
        <w:r>
          <w:rPr>
            <w:rFonts w:ascii="IRNazanin" w:hAnsi="IRNazanin" w:eastAsia="IRNazanin" w:cs="IRNazanin"/>
            <w:color w:val="111111"/>
            <w:sz w:val="22"/>
            <w:szCs w:val="22"/>
            <w:b w:val="0"/>
            <w:bCs w:val="0"/>
            <w:i w:val="0"/>
            <w:iCs w:val="0"/>
          </w:rPr>
          <w:t>جلالي احمد آبادي</w:t>
        </w:r>
        <w:r>
          <w:tab/>
        </w:r>
        <w:r>
          <w:fldChar w:fldCharType="begin"/>
        </w:r>
        <w:r>
          <w:instrText xml:space="preserve">PAGEREF 2408 \h</w:instrText>
        </w:r>
        <w:r>
          <w:fldChar w:fldCharType="end"/>
        </w:r>
      </w:hyperlink>
    </w:p>
    <w:p>
      <w:pPr>
        <w:tabs>
          <w:tab w:val="right" w:leader="dot" w:pos="9062"/>
        </w:tabs>
        <w:ind w:left="220"/>
      </w:pPr>
      <w:hyperlink w:anchor="_Toc2409" w:history="1">
        <w:r>
          <w:rPr>
            <w:rFonts w:ascii="IRNazanin" w:hAnsi="IRNazanin" w:eastAsia="IRNazanin" w:cs="IRNazanin"/>
            <w:color w:val="111111"/>
            <w:sz w:val="22"/>
            <w:szCs w:val="22"/>
            <w:b w:val="0"/>
            <w:bCs w:val="0"/>
            <w:i w:val="0"/>
            <w:iCs w:val="0"/>
          </w:rPr>
          <w:t>جلالي كشميري ، محسن - 1396 ه-</w:t>
        </w:r>
        <w:r>
          <w:tab/>
        </w:r>
        <w:r>
          <w:fldChar w:fldCharType="begin"/>
        </w:r>
        <w:r>
          <w:instrText xml:space="preserve">PAGEREF 2409 \h</w:instrText>
        </w:r>
        <w:r>
          <w:fldChar w:fldCharType="end"/>
        </w:r>
      </w:hyperlink>
    </w:p>
    <w:p>
      <w:pPr>
        <w:tabs>
          <w:tab w:val="right" w:leader="dot" w:pos="9062"/>
        </w:tabs>
        <w:ind w:left="220"/>
      </w:pPr>
      <w:hyperlink w:anchor="_Toc2410" w:history="1">
        <w:r>
          <w:rPr>
            <w:rFonts w:ascii="IRNazanin" w:hAnsi="IRNazanin" w:eastAsia="IRNazanin" w:cs="IRNazanin"/>
            <w:color w:val="111111"/>
            <w:sz w:val="22"/>
            <w:szCs w:val="22"/>
            <w:b w:val="0"/>
            <w:bCs w:val="0"/>
            <w:i w:val="0"/>
            <w:iCs w:val="0"/>
          </w:rPr>
          <w:t>جلالي ، يوسف</w:t>
        </w:r>
        <w:r>
          <w:tab/>
        </w:r>
        <w:r>
          <w:fldChar w:fldCharType="begin"/>
        </w:r>
        <w:r>
          <w:instrText xml:space="preserve">PAGEREF 2410 \h</w:instrText>
        </w:r>
        <w:r>
          <w:fldChar w:fldCharType="end"/>
        </w:r>
      </w:hyperlink>
    </w:p>
    <w:p>
      <w:pPr>
        <w:tabs>
          <w:tab w:val="right" w:leader="dot" w:pos="9062"/>
        </w:tabs>
        <w:ind w:left="220"/>
      </w:pPr>
      <w:hyperlink w:anchor="_Toc2411" w:history="1">
        <w:r>
          <w:rPr>
            <w:rFonts w:ascii="IRNazanin" w:hAnsi="IRNazanin" w:eastAsia="IRNazanin" w:cs="IRNazanin"/>
            <w:color w:val="111111"/>
            <w:sz w:val="22"/>
            <w:szCs w:val="22"/>
            <w:b w:val="0"/>
            <w:bCs w:val="0"/>
            <w:i w:val="0"/>
            <w:iCs w:val="0"/>
          </w:rPr>
          <w:t>جلب مصلح الدین ، مصطفى بن خير</w:t>
        </w:r>
        <w:r>
          <w:tab/>
        </w:r>
        <w:r>
          <w:fldChar w:fldCharType="begin"/>
        </w:r>
        <w:r>
          <w:instrText xml:space="preserve">PAGEREF 2411 \h</w:instrText>
        </w:r>
        <w:r>
          <w:fldChar w:fldCharType="end"/>
        </w:r>
      </w:hyperlink>
    </w:p>
    <w:p>
      <w:pPr>
        <w:tabs>
          <w:tab w:val="right" w:leader="dot" w:pos="9062"/>
        </w:tabs>
        <w:ind w:left="220"/>
      </w:pPr>
      <w:hyperlink w:anchor="_Toc2412" w:history="1">
        <w:r>
          <w:rPr>
            <w:rFonts w:ascii="IRNazanin" w:hAnsi="IRNazanin" w:eastAsia="IRNazanin" w:cs="IRNazanin"/>
            <w:color w:val="111111"/>
            <w:sz w:val="22"/>
            <w:szCs w:val="22"/>
            <w:b w:val="0"/>
            <w:bCs w:val="0"/>
            <w:i w:val="0"/>
            <w:iCs w:val="0"/>
          </w:rPr>
          <w:t>جلبي ، احمد بن محمّد - 1282 ه-</w:t>
        </w:r>
        <w:r>
          <w:tab/>
        </w:r>
        <w:r>
          <w:fldChar w:fldCharType="begin"/>
        </w:r>
        <w:r>
          <w:instrText xml:space="preserve">PAGEREF 2412 \h</w:instrText>
        </w:r>
        <w:r>
          <w:fldChar w:fldCharType="end"/>
        </w:r>
      </w:hyperlink>
    </w:p>
    <w:p>
      <w:pPr>
        <w:tabs>
          <w:tab w:val="right" w:leader="dot" w:pos="9062"/>
        </w:tabs>
        <w:ind w:left="220"/>
      </w:pPr>
      <w:hyperlink w:anchor="_Toc2413" w:history="1">
        <w:r>
          <w:rPr>
            <w:rFonts w:ascii="IRNazanin" w:hAnsi="IRNazanin" w:eastAsia="IRNazanin" w:cs="IRNazanin"/>
            <w:color w:val="111111"/>
            <w:sz w:val="22"/>
            <w:szCs w:val="22"/>
            <w:b w:val="0"/>
            <w:bCs w:val="0"/>
            <w:i w:val="0"/>
            <w:iCs w:val="0"/>
          </w:rPr>
          <w:t>جلبي ، حمزة، قرن 12 ه-</w:t>
        </w:r>
        <w:r>
          <w:tab/>
        </w:r>
        <w:r>
          <w:fldChar w:fldCharType="begin"/>
        </w:r>
        <w:r>
          <w:instrText xml:space="preserve">PAGEREF 2413 \h</w:instrText>
        </w:r>
        <w:r>
          <w:fldChar w:fldCharType="end"/>
        </w:r>
      </w:hyperlink>
    </w:p>
    <w:p>
      <w:pPr>
        <w:tabs>
          <w:tab w:val="right" w:leader="dot" w:pos="9062"/>
        </w:tabs>
        <w:ind w:left="220"/>
      </w:pPr>
      <w:hyperlink w:anchor="_Toc2414" w:history="1">
        <w:r>
          <w:rPr>
            <w:rFonts w:ascii="IRNazanin" w:hAnsi="IRNazanin" w:eastAsia="IRNazanin" w:cs="IRNazanin"/>
            <w:color w:val="111111"/>
            <w:sz w:val="22"/>
            <w:szCs w:val="22"/>
            <w:b w:val="0"/>
            <w:bCs w:val="0"/>
            <w:i w:val="0"/>
            <w:iCs w:val="0"/>
          </w:rPr>
          <w:t>جلبي ، عبدالله بن احمد</w:t>
        </w:r>
        <w:r>
          <w:tab/>
        </w:r>
        <w:r>
          <w:fldChar w:fldCharType="begin"/>
        </w:r>
        <w:r>
          <w:instrText xml:space="preserve">PAGEREF 2414 \h</w:instrText>
        </w:r>
        <w:r>
          <w:fldChar w:fldCharType="end"/>
        </w:r>
      </w:hyperlink>
    </w:p>
    <w:p>
      <w:pPr>
        <w:tabs>
          <w:tab w:val="right" w:leader="dot" w:pos="9062"/>
        </w:tabs>
        <w:ind w:left="220"/>
      </w:pPr>
      <w:hyperlink w:anchor="_Toc2415" w:history="1">
        <w:r>
          <w:rPr>
            <w:rFonts w:ascii="IRNazanin" w:hAnsi="IRNazanin" w:eastAsia="IRNazanin" w:cs="IRNazanin"/>
            <w:color w:val="111111"/>
            <w:sz w:val="22"/>
            <w:szCs w:val="22"/>
            <w:b w:val="0"/>
            <w:bCs w:val="0"/>
            <w:i w:val="0"/>
            <w:iCs w:val="0"/>
          </w:rPr>
          <w:t>جلبي ، عبدالله بن رضوان - 1049 ه-</w:t>
        </w:r>
        <w:r>
          <w:tab/>
        </w:r>
        <w:r>
          <w:fldChar w:fldCharType="begin"/>
        </w:r>
        <w:r>
          <w:instrText xml:space="preserve">PAGEREF 2415 \h</w:instrText>
        </w:r>
        <w:r>
          <w:fldChar w:fldCharType="end"/>
        </w:r>
      </w:hyperlink>
    </w:p>
    <w:p>
      <w:pPr>
        <w:tabs>
          <w:tab w:val="right" w:leader="dot" w:pos="9062"/>
        </w:tabs>
        <w:ind w:left="220"/>
      </w:pPr>
      <w:hyperlink w:anchor="_Toc2416" w:history="1">
        <w:r>
          <w:rPr>
            <w:rFonts w:ascii="IRNazanin" w:hAnsi="IRNazanin" w:eastAsia="IRNazanin" w:cs="IRNazanin"/>
            <w:color w:val="111111"/>
            <w:sz w:val="22"/>
            <w:szCs w:val="22"/>
            <w:b w:val="0"/>
            <w:bCs w:val="0"/>
            <w:i w:val="0"/>
            <w:iCs w:val="0"/>
          </w:rPr>
          <w:t>جلبي ، محمّد سليم، - 1343 ه-</w:t>
        </w:r>
        <w:r>
          <w:tab/>
        </w:r>
        <w:r>
          <w:fldChar w:fldCharType="begin"/>
        </w:r>
        <w:r>
          <w:instrText xml:space="preserve">PAGEREF 2416 \h</w:instrText>
        </w:r>
        <w:r>
          <w:fldChar w:fldCharType="end"/>
        </w:r>
      </w:hyperlink>
    </w:p>
    <w:p>
      <w:pPr>
        <w:tabs>
          <w:tab w:val="right" w:leader="dot" w:pos="9062"/>
        </w:tabs>
        <w:ind w:left="220"/>
      </w:pPr>
      <w:hyperlink w:anchor="_Toc2417" w:history="1">
        <w:r>
          <w:rPr>
            <w:rFonts w:ascii="IRNazanin" w:hAnsi="IRNazanin" w:eastAsia="IRNazanin" w:cs="IRNazanin"/>
            <w:color w:val="111111"/>
            <w:sz w:val="22"/>
            <w:szCs w:val="22"/>
            <w:b w:val="0"/>
            <w:bCs w:val="0"/>
            <w:i w:val="0"/>
            <w:iCs w:val="0"/>
          </w:rPr>
          <w:t>جلدكي ، علي بن ايدمر - 762 ه-</w:t>
        </w:r>
        <w:r>
          <w:tab/>
        </w:r>
        <w:r>
          <w:fldChar w:fldCharType="begin"/>
        </w:r>
        <w:r>
          <w:instrText xml:space="preserve">PAGEREF 2417 \h</w:instrText>
        </w:r>
        <w:r>
          <w:fldChar w:fldCharType="end"/>
        </w:r>
      </w:hyperlink>
    </w:p>
    <w:p>
      <w:pPr>
        <w:tabs>
          <w:tab w:val="right" w:leader="dot" w:pos="9062"/>
        </w:tabs>
        <w:ind w:left="220"/>
      </w:pPr>
      <w:hyperlink w:anchor="_Toc2418" w:history="1">
        <w:r>
          <w:rPr>
            <w:rFonts w:ascii="IRNazanin" w:hAnsi="IRNazanin" w:eastAsia="IRNazanin" w:cs="IRNazanin"/>
            <w:color w:val="111111"/>
            <w:sz w:val="22"/>
            <w:szCs w:val="22"/>
            <w:b w:val="0"/>
            <w:bCs w:val="0"/>
            <w:i w:val="0"/>
            <w:iCs w:val="0"/>
          </w:rPr>
          <w:t>جلياني ، عبدالمنعم بن عمر 531-602 ه-</w:t>
        </w:r>
        <w:r>
          <w:tab/>
        </w:r>
        <w:r>
          <w:fldChar w:fldCharType="begin"/>
        </w:r>
        <w:r>
          <w:instrText xml:space="preserve">PAGEREF 2418 \h</w:instrText>
        </w:r>
        <w:r>
          <w:fldChar w:fldCharType="end"/>
        </w:r>
      </w:hyperlink>
    </w:p>
    <w:p>
      <w:pPr>
        <w:tabs>
          <w:tab w:val="right" w:leader="dot" w:pos="9062"/>
        </w:tabs>
        <w:ind w:left="220"/>
      </w:pPr>
      <w:hyperlink w:anchor="_Toc2419" w:history="1">
        <w:r>
          <w:rPr>
            <w:rFonts w:ascii="IRNazanin" w:hAnsi="IRNazanin" w:eastAsia="IRNazanin" w:cs="IRNazanin"/>
            <w:color w:val="111111"/>
            <w:sz w:val="22"/>
            <w:szCs w:val="22"/>
            <w:b w:val="0"/>
            <w:bCs w:val="0"/>
            <w:i w:val="0"/>
            <w:iCs w:val="0"/>
          </w:rPr>
          <w:t>جلي زاده ، عبدالله، قرن 14 ه-</w:t>
        </w:r>
        <w:r>
          <w:tab/>
        </w:r>
        <w:r>
          <w:fldChar w:fldCharType="begin"/>
        </w:r>
        <w:r>
          <w:instrText xml:space="preserve">PAGEREF 2419 \h</w:instrText>
        </w:r>
        <w:r>
          <w:fldChar w:fldCharType="end"/>
        </w:r>
      </w:hyperlink>
    </w:p>
    <w:p>
      <w:pPr>
        <w:tabs>
          <w:tab w:val="right" w:leader="dot" w:pos="9062"/>
        </w:tabs>
        <w:ind w:left="220"/>
      </w:pPr>
      <w:hyperlink w:anchor="_Toc2420" w:history="1">
        <w:r>
          <w:rPr>
            <w:rFonts w:ascii="IRNazanin" w:hAnsi="IRNazanin" w:eastAsia="IRNazanin" w:cs="IRNazanin"/>
            <w:color w:val="111111"/>
            <w:sz w:val="22"/>
            <w:szCs w:val="22"/>
            <w:b w:val="0"/>
            <w:bCs w:val="0"/>
            <w:i w:val="0"/>
            <w:iCs w:val="0"/>
          </w:rPr>
          <w:t>جلي ، عبدالرحمن بن عبدالله 1217 ه-</w:t>
        </w:r>
        <w:r>
          <w:tab/>
        </w:r>
        <w:r>
          <w:fldChar w:fldCharType="begin"/>
        </w:r>
        <w:r>
          <w:instrText xml:space="preserve">PAGEREF 2420 \h</w:instrText>
        </w:r>
        <w:r>
          <w:fldChar w:fldCharType="end"/>
        </w:r>
      </w:hyperlink>
    </w:p>
    <w:p>
      <w:pPr>
        <w:tabs>
          <w:tab w:val="right" w:leader="dot" w:pos="9062"/>
        </w:tabs>
        <w:ind w:left="220"/>
      </w:pPr>
      <w:hyperlink w:anchor="_Toc2421" w:history="1">
        <w:r>
          <w:rPr>
            <w:rFonts w:ascii="IRNazanin" w:hAnsi="IRNazanin" w:eastAsia="IRNazanin" w:cs="IRNazanin"/>
            <w:color w:val="111111"/>
            <w:sz w:val="22"/>
            <w:szCs w:val="22"/>
            <w:b w:val="0"/>
            <w:bCs w:val="0"/>
            <w:i w:val="0"/>
            <w:iCs w:val="0"/>
          </w:rPr>
          <w:t>جلي ، عبدالله بن عبد الرحمن 1247- ه-</w:t>
        </w:r>
        <w:r>
          <w:tab/>
        </w:r>
        <w:r>
          <w:fldChar w:fldCharType="begin"/>
        </w:r>
        <w:r>
          <w:instrText xml:space="preserve">PAGEREF 2421 \h</w:instrText>
        </w:r>
        <w:r>
          <w:fldChar w:fldCharType="end"/>
        </w:r>
      </w:hyperlink>
    </w:p>
    <w:p>
      <w:pPr>
        <w:tabs>
          <w:tab w:val="right" w:leader="dot" w:pos="9062"/>
        </w:tabs>
        <w:ind w:left="220"/>
      </w:pPr>
      <w:hyperlink w:anchor="_Toc2422" w:history="1">
        <w:r>
          <w:rPr>
            <w:rFonts w:ascii="IRNazanin" w:hAnsi="IRNazanin" w:eastAsia="IRNazanin" w:cs="IRNazanin"/>
            <w:color w:val="111111"/>
            <w:sz w:val="22"/>
            <w:szCs w:val="22"/>
            <w:b w:val="0"/>
            <w:bCs w:val="0"/>
            <w:i w:val="0"/>
            <w:iCs w:val="0"/>
          </w:rPr>
          <w:t>جليلي ، حسن باشا بن حسين باشا</w:t>
        </w:r>
        <w:r>
          <w:tab/>
        </w:r>
        <w:r>
          <w:fldChar w:fldCharType="begin"/>
        </w:r>
        <w:r>
          <w:instrText xml:space="preserve">PAGEREF 2422 \h</w:instrText>
        </w:r>
        <w:r>
          <w:fldChar w:fldCharType="end"/>
        </w:r>
      </w:hyperlink>
    </w:p>
    <w:p>
      <w:pPr>
        <w:tabs>
          <w:tab w:val="right" w:leader="dot" w:pos="9062"/>
        </w:tabs>
        <w:ind w:left="220"/>
      </w:pPr>
      <w:hyperlink w:anchor="_Toc2423" w:history="1">
        <w:r>
          <w:rPr>
            <w:rFonts w:ascii="IRNazanin" w:hAnsi="IRNazanin" w:eastAsia="IRNazanin" w:cs="IRNazanin"/>
            <w:color w:val="111111"/>
            <w:sz w:val="22"/>
            <w:szCs w:val="22"/>
            <w:b w:val="0"/>
            <w:bCs w:val="0"/>
            <w:i w:val="0"/>
            <w:iCs w:val="0"/>
          </w:rPr>
          <w:t>جليلي زاده، محمّد ناطق - 1129 ه-</w:t>
        </w:r>
        <w:r>
          <w:tab/>
        </w:r>
        <w:r>
          <w:fldChar w:fldCharType="begin"/>
        </w:r>
        <w:r>
          <w:instrText xml:space="preserve">PAGEREF 2423 \h</w:instrText>
        </w:r>
        <w:r>
          <w:fldChar w:fldCharType="end"/>
        </w:r>
      </w:hyperlink>
    </w:p>
    <w:p>
      <w:pPr>
        <w:tabs>
          <w:tab w:val="right" w:leader="dot" w:pos="9062"/>
        </w:tabs>
        <w:ind w:left="220"/>
      </w:pPr>
      <w:hyperlink w:anchor="_Toc2424" w:history="1">
        <w:r>
          <w:rPr>
            <w:rFonts w:ascii="IRNazanin" w:hAnsi="IRNazanin" w:eastAsia="IRNazanin" w:cs="IRNazanin"/>
            <w:color w:val="111111"/>
            <w:sz w:val="22"/>
            <w:szCs w:val="22"/>
            <w:b w:val="0"/>
            <w:bCs w:val="0"/>
            <w:i w:val="0"/>
            <w:iCs w:val="0"/>
          </w:rPr>
          <w:t>جليلي سليمان بك بن مراد بك - 1326ه-</w:t>
        </w:r>
        <w:r>
          <w:tab/>
        </w:r>
        <w:r>
          <w:fldChar w:fldCharType="begin"/>
        </w:r>
        <w:r>
          <w:instrText xml:space="preserve">PAGEREF 2424 \h</w:instrText>
        </w:r>
        <w:r>
          <w:fldChar w:fldCharType="end"/>
        </w:r>
      </w:hyperlink>
    </w:p>
    <w:p>
      <w:pPr>
        <w:tabs>
          <w:tab w:val="right" w:leader="dot" w:pos="9062"/>
        </w:tabs>
        <w:ind w:left="220"/>
      </w:pPr>
      <w:hyperlink w:anchor="_Toc2425" w:history="1">
        <w:r>
          <w:rPr>
            <w:rFonts w:ascii="IRNazanin" w:hAnsi="IRNazanin" w:eastAsia="IRNazanin" w:cs="IRNazanin"/>
            <w:color w:val="111111"/>
            <w:sz w:val="22"/>
            <w:szCs w:val="22"/>
            <w:b w:val="0"/>
            <w:bCs w:val="0"/>
            <w:i w:val="0"/>
            <w:iCs w:val="0"/>
          </w:rPr>
          <w:t>جليلي ، محمّد امين بن عثمان بك</w:t>
        </w:r>
        <w:r>
          <w:tab/>
        </w:r>
        <w:r>
          <w:fldChar w:fldCharType="begin"/>
        </w:r>
        <w:r>
          <w:instrText xml:space="preserve">PAGEREF 2425 \h</w:instrText>
        </w:r>
        <w:r>
          <w:fldChar w:fldCharType="end"/>
        </w:r>
      </w:hyperlink>
    </w:p>
    <w:p>
      <w:pPr>
        <w:tabs>
          <w:tab w:val="right" w:leader="dot" w:pos="9062"/>
        </w:tabs>
        <w:ind w:left="220"/>
      </w:pPr>
      <w:hyperlink w:anchor="_Toc2426" w:history="1">
        <w:r>
          <w:rPr>
            <w:rFonts w:ascii="IRNazanin" w:hAnsi="IRNazanin" w:eastAsia="IRNazanin" w:cs="IRNazanin"/>
            <w:color w:val="111111"/>
            <w:sz w:val="22"/>
            <w:szCs w:val="22"/>
            <w:b w:val="0"/>
            <w:bCs w:val="0"/>
            <w:i w:val="0"/>
            <w:iCs w:val="0"/>
          </w:rPr>
          <w:t>جليلي ، محمود</w:t>
        </w:r>
        <w:r>
          <w:tab/>
        </w:r>
        <w:r>
          <w:fldChar w:fldCharType="begin"/>
        </w:r>
        <w:r>
          <w:instrText xml:space="preserve">PAGEREF 2426 \h</w:instrText>
        </w:r>
        <w:r>
          <w:fldChar w:fldCharType="end"/>
        </w:r>
      </w:hyperlink>
    </w:p>
    <w:p>
      <w:pPr>
        <w:tabs>
          <w:tab w:val="right" w:leader="dot" w:pos="9062"/>
        </w:tabs>
        <w:ind w:left="220"/>
      </w:pPr>
      <w:hyperlink w:anchor="_Toc2427" w:history="1">
        <w:r>
          <w:rPr>
            <w:rFonts w:ascii="IRNazanin" w:hAnsi="IRNazanin" w:eastAsia="IRNazanin" w:cs="IRNazanin"/>
            <w:color w:val="111111"/>
            <w:sz w:val="22"/>
            <w:szCs w:val="22"/>
            <w:b w:val="0"/>
            <w:bCs w:val="0"/>
            <w:i w:val="0"/>
            <w:iCs w:val="0"/>
          </w:rPr>
          <w:t>جليلي ، يحيى بن احمد</w:t>
        </w:r>
        <w:r>
          <w:tab/>
        </w:r>
        <w:r>
          <w:fldChar w:fldCharType="begin"/>
        </w:r>
        <w:r>
          <w:instrText xml:space="preserve">PAGEREF 2427 \h</w:instrText>
        </w:r>
        <w:r>
          <w:fldChar w:fldCharType="end"/>
        </w:r>
      </w:hyperlink>
    </w:p>
    <w:p>
      <w:pPr>
        <w:tabs>
          <w:tab w:val="right" w:leader="dot" w:pos="9062"/>
        </w:tabs>
        <w:ind w:left="220"/>
      </w:pPr>
      <w:hyperlink w:anchor="_Toc2428" w:history="1">
        <w:r>
          <w:rPr>
            <w:rFonts w:ascii="IRNazanin" w:hAnsi="IRNazanin" w:eastAsia="IRNazanin" w:cs="IRNazanin"/>
            <w:color w:val="111111"/>
            <w:sz w:val="22"/>
            <w:szCs w:val="22"/>
            <w:b w:val="0"/>
            <w:bCs w:val="0"/>
            <w:i w:val="0"/>
            <w:iCs w:val="0"/>
          </w:rPr>
          <w:t>جليلي ، يحيى بن عبدالجليل</w:t>
        </w:r>
        <w:r>
          <w:tab/>
        </w:r>
        <w:r>
          <w:fldChar w:fldCharType="begin"/>
        </w:r>
        <w:r>
          <w:instrText xml:space="preserve">PAGEREF 2428 \h</w:instrText>
        </w:r>
        <w:r>
          <w:fldChar w:fldCharType="end"/>
        </w:r>
      </w:hyperlink>
    </w:p>
    <w:p>
      <w:pPr>
        <w:tabs>
          <w:tab w:val="right" w:leader="dot" w:pos="9062"/>
        </w:tabs>
        <w:ind w:left="220"/>
      </w:pPr>
      <w:hyperlink w:anchor="_Toc2429" w:history="1">
        <w:r>
          <w:rPr>
            <w:rFonts w:ascii="IRNazanin" w:hAnsi="IRNazanin" w:eastAsia="IRNazanin" w:cs="IRNazanin"/>
            <w:color w:val="111111"/>
            <w:sz w:val="22"/>
            <w:szCs w:val="22"/>
            <w:b w:val="0"/>
            <w:bCs w:val="0"/>
            <w:i w:val="0"/>
            <w:iCs w:val="0"/>
          </w:rPr>
          <w:t>جماعيلي ، عبدالغني بن عبد الواحد 541 - 600 ه-</w:t>
        </w:r>
        <w:r>
          <w:tab/>
        </w:r>
        <w:r>
          <w:fldChar w:fldCharType="begin"/>
        </w:r>
        <w:r>
          <w:instrText xml:space="preserve">PAGEREF 2429 \h</w:instrText>
        </w:r>
        <w:r>
          <w:fldChar w:fldCharType="end"/>
        </w:r>
      </w:hyperlink>
    </w:p>
    <w:p>
      <w:pPr>
        <w:tabs>
          <w:tab w:val="right" w:leader="dot" w:pos="9062"/>
        </w:tabs>
        <w:ind w:left="220"/>
      </w:pPr>
      <w:hyperlink w:anchor="_Toc2430" w:history="1">
        <w:r>
          <w:rPr>
            <w:rFonts w:ascii="IRNazanin" w:hAnsi="IRNazanin" w:eastAsia="IRNazanin" w:cs="IRNazanin"/>
            <w:color w:val="111111"/>
            <w:sz w:val="22"/>
            <w:szCs w:val="22"/>
            <w:b w:val="0"/>
            <w:bCs w:val="0"/>
            <w:i w:val="0"/>
            <w:iCs w:val="0"/>
          </w:rPr>
          <w:t>جمال الدین اسدآبادي، 1254 - 1314 ه-</w:t>
        </w:r>
        <w:r>
          <w:tab/>
        </w:r>
        <w:r>
          <w:fldChar w:fldCharType="begin"/>
        </w:r>
        <w:r>
          <w:instrText xml:space="preserve">PAGEREF 2430 \h</w:instrText>
        </w:r>
        <w:r>
          <w:fldChar w:fldCharType="end"/>
        </w:r>
      </w:hyperlink>
    </w:p>
    <w:p>
      <w:pPr>
        <w:tabs>
          <w:tab w:val="right" w:leader="dot" w:pos="9062"/>
        </w:tabs>
        <w:ind w:left="220"/>
      </w:pPr>
      <w:hyperlink w:anchor="_Toc2431" w:history="1">
        <w:r>
          <w:rPr>
            <w:rFonts w:ascii="IRNazanin" w:hAnsi="IRNazanin" w:eastAsia="IRNazanin" w:cs="IRNazanin"/>
            <w:color w:val="111111"/>
            <w:sz w:val="22"/>
            <w:szCs w:val="22"/>
            <w:b w:val="0"/>
            <w:bCs w:val="0"/>
            <w:i w:val="0"/>
            <w:iCs w:val="0"/>
          </w:rPr>
          <w:t>جمال الدین انجو ، حسین بن حسن 1035 ه-</w:t>
        </w:r>
        <w:r>
          <w:tab/>
        </w:r>
        <w:r>
          <w:fldChar w:fldCharType="begin"/>
        </w:r>
        <w:r>
          <w:instrText xml:space="preserve">PAGEREF 2431 \h</w:instrText>
        </w:r>
        <w:r>
          <w:fldChar w:fldCharType="end"/>
        </w:r>
      </w:hyperlink>
    </w:p>
    <w:p>
      <w:pPr>
        <w:tabs>
          <w:tab w:val="right" w:leader="dot" w:pos="9062"/>
        </w:tabs>
        <w:ind w:left="220"/>
      </w:pPr>
      <w:hyperlink w:anchor="_Toc2432" w:history="1">
        <w:r>
          <w:rPr>
            <w:rFonts w:ascii="IRNazanin" w:hAnsi="IRNazanin" w:eastAsia="IRNazanin" w:cs="IRNazanin"/>
            <w:color w:val="111111"/>
            <w:sz w:val="22"/>
            <w:szCs w:val="22"/>
            <w:b w:val="0"/>
            <w:bCs w:val="0"/>
            <w:i w:val="0"/>
            <w:iCs w:val="0"/>
          </w:rPr>
          <w:t>جمال الدين بغدادي ، محمود بن محمّد</w:t>
        </w:r>
        <w:r>
          <w:tab/>
        </w:r>
        <w:r>
          <w:fldChar w:fldCharType="begin"/>
        </w:r>
        <w:r>
          <w:instrText xml:space="preserve">PAGEREF 2432 \h</w:instrText>
        </w:r>
        <w:r>
          <w:fldChar w:fldCharType="end"/>
        </w:r>
      </w:hyperlink>
    </w:p>
    <w:p>
      <w:pPr>
        <w:tabs>
          <w:tab w:val="right" w:leader="dot" w:pos="9062"/>
        </w:tabs>
        <w:ind w:left="220"/>
      </w:pPr>
      <w:hyperlink w:anchor="_Toc2433" w:history="1">
        <w:r>
          <w:rPr>
            <w:rFonts w:ascii="IRNazanin" w:hAnsi="IRNazanin" w:eastAsia="IRNazanin" w:cs="IRNazanin"/>
            <w:color w:val="111111"/>
            <w:sz w:val="22"/>
            <w:szCs w:val="22"/>
            <w:b w:val="0"/>
            <w:bCs w:val="0"/>
            <w:i w:val="0"/>
            <w:iCs w:val="0"/>
          </w:rPr>
          <w:t>جمال الدين بن محفوظ</w:t>
        </w:r>
        <w:r>
          <w:tab/>
        </w:r>
        <w:r>
          <w:fldChar w:fldCharType="begin"/>
        </w:r>
        <w:r>
          <w:instrText xml:space="preserve">PAGEREF 2433 \h</w:instrText>
        </w:r>
        <w:r>
          <w:fldChar w:fldCharType="end"/>
        </w:r>
      </w:hyperlink>
    </w:p>
    <w:p>
      <w:pPr>
        <w:tabs>
          <w:tab w:val="right" w:leader="dot" w:pos="9062"/>
        </w:tabs>
        <w:ind w:left="220"/>
      </w:pPr>
      <w:hyperlink w:anchor="_Toc2434" w:history="1">
        <w:r>
          <w:rPr>
            <w:rFonts w:ascii="IRNazanin" w:hAnsi="IRNazanin" w:eastAsia="IRNazanin" w:cs="IRNazanin"/>
            <w:color w:val="111111"/>
            <w:sz w:val="22"/>
            <w:szCs w:val="22"/>
            <w:b w:val="0"/>
            <w:bCs w:val="0"/>
            <w:i w:val="0"/>
            <w:iCs w:val="0"/>
          </w:rPr>
          <w:t>جمال الدين شافعي ، محمّد بن محمّد بن جمال</w:t>
        </w:r>
        <w:r>
          <w:tab/>
        </w:r>
        <w:r>
          <w:fldChar w:fldCharType="begin"/>
        </w:r>
        <w:r>
          <w:instrText xml:space="preserve">PAGEREF 2434 \h</w:instrText>
        </w:r>
        <w:r>
          <w:fldChar w:fldCharType="end"/>
        </w:r>
      </w:hyperlink>
    </w:p>
    <w:p>
      <w:pPr>
        <w:tabs>
          <w:tab w:val="right" w:leader="dot" w:pos="9062"/>
        </w:tabs>
        <w:ind w:left="220"/>
      </w:pPr>
      <w:hyperlink w:anchor="_Toc2435" w:history="1">
        <w:r>
          <w:rPr>
            <w:rFonts w:ascii="IRNazanin" w:hAnsi="IRNazanin" w:eastAsia="IRNazanin" w:cs="IRNazanin"/>
            <w:color w:val="111111"/>
            <w:sz w:val="22"/>
            <w:szCs w:val="22"/>
            <w:b w:val="0"/>
            <w:bCs w:val="0"/>
            <w:i w:val="0"/>
            <w:iCs w:val="0"/>
          </w:rPr>
          <w:t>جمال الدين ، ميرمحمود - 1073</w:t>
        </w:r>
        <w:r>
          <w:tab/>
        </w:r>
        <w:r>
          <w:fldChar w:fldCharType="begin"/>
        </w:r>
        <w:r>
          <w:instrText xml:space="preserve">PAGEREF 2435 \h</w:instrText>
        </w:r>
        <w:r>
          <w:fldChar w:fldCharType="end"/>
        </w:r>
      </w:hyperlink>
    </w:p>
    <w:p>
      <w:pPr>
        <w:tabs>
          <w:tab w:val="right" w:leader="dot" w:pos="9062"/>
        </w:tabs>
        <w:ind w:left="220"/>
      </w:pPr>
      <w:hyperlink w:anchor="_Toc2436" w:history="1">
        <w:r>
          <w:rPr>
            <w:rFonts w:ascii="IRNazanin" w:hAnsi="IRNazanin" w:eastAsia="IRNazanin" w:cs="IRNazanin"/>
            <w:color w:val="111111"/>
            <w:sz w:val="22"/>
            <w:szCs w:val="22"/>
            <w:b w:val="0"/>
            <w:bCs w:val="0"/>
            <w:i w:val="0"/>
            <w:iCs w:val="0"/>
          </w:rPr>
          <w:t>جمال القرشي ، محمّد بن عمر - 681 ه-</w:t>
        </w:r>
        <w:r>
          <w:tab/>
        </w:r>
        <w:r>
          <w:fldChar w:fldCharType="begin"/>
        </w:r>
        <w:r>
          <w:instrText xml:space="preserve">PAGEREF 2436 \h</w:instrText>
        </w:r>
        <w:r>
          <w:fldChar w:fldCharType="end"/>
        </w:r>
      </w:hyperlink>
    </w:p>
    <w:p>
      <w:pPr>
        <w:tabs>
          <w:tab w:val="right" w:leader="dot" w:pos="9062"/>
        </w:tabs>
        <w:ind w:left="220"/>
      </w:pPr>
      <w:hyperlink w:anchor="_Toc2437" w:history="1">
        <w:r>
          <w:rPr>
            <w:rFonts w:ascii="IRNazanin" w:hAnsi="IRNazanin" w:eastAsia="IRNazanin" w:cs="IRNazanin"/>
            <w:color w:val="111111"/>
            <w:sz w:val="22"/>
            <w:szCs w:val="22"/>
            <w:b w:val="0"/>
            <w:bCs w:val="0"/>
            <w:i w:val="0"/>
            <w:iCs w:val="0"/>
          </w:rPr>
          <w:t>جمال حسيني ، عطاء الله بن فضل الله -</w:t>
        </w:r>
        <w:r>
          <w:tab/>
        </w:r>
        <w:r>
          <w:fldChar w:fldCharType="begin"/>
        </w:r>
        <w:r>
          <w:instrText xml:space="preserve">PAGEREF 2437 \h</w:instrText>
        </w:r>
        <w:r>
          <w:fldChar w:fldCharType="end"/>
        </w:r>
      </w:hyperlink>
    </w:p>
    <w:p>
      <w:pPr>
        <w:tabs>
          <w:tab w:val="right" w:leader="dot" w:pos="9062"/>
        </w:tabs>
        <w:ind w:left="220"/>
      </w:pPr>
      <w:hyperlink w:anchor="_Toc2438" w:history="1">
        <w:r>
          <w:rPr>
            <w:rFonts w:ascii="IRNazanin" w:hAnsi="IRNazanin" w:eastAsia="IRNazanin" w:cs="IRNazanin"/>
            <w:color w:val="111111"/>
            <w:sz w:val="22"/>
            <w:szCs w:val="22"/>
            <w:b w:val="0"/>
            <w:bCs w:val="0"/>
            <w:i w:val="0"/>
            <w:iCs w:val="0"/>
          </w:rPr>
          <w:t>جمال علي قرن 13 ه-</w:t>
        </w:r>
        <w:r>
          <w:tab/>
        </w:r>
        <w:r>
          <w:fldChar w:fldCharType="begin"/>
        </w:r>
        <w:r>
          <w:instrText xml:space="preserve">PAGEREF 2438 \h</w:instrText>
        </w:r>
        <w:r>
          <w:fldChar w:fldCharType="end"/>
        </w:r>
      </w:hyperlink>
    </w:p>
    <w:p>
      <w:pPr>
        <w:tabs>
          <w:tab w:val="right" w:leader="dot" w:pos="9062"/>
        </w:tabs>
        <w:ind w:left="220"/>
      </w:pPr>
      <w:hyperlink w:anchor="_Toc2439" w:history="1">
        <w:r>
          <w:rPr>
            <w:rFonts w:ascii="IRNazanin" w:hAnsi="IRNazanin" w:eastAsia="IRNazanin" w:cs="IRNazanin"/>
            <w:color w:val="111111"/>
            <w:sz w:val="22"/>
            <w:szCs w:val="22"/>
            <w:b w:val="0"/>
            <w:bCs w:val="0"/>
            <w:i w:val="0"/>
            <w:iCs w:val="0"/>
          </w:rPr>
          <w:t>جمالي ، احمد</w:t>
        </w:r>
        <w:r>
          <w:tab/>
        </w:r>
        <w:r>
          <w:fldChar w:fldCharType="begin"/>
        </w:r>
        <w:r>
          <w:instrText xml:space="preserve">PAGEREF 2439 \h</w:instrText>
        </w:r>
        <w:r>
          <w:fldChar w:fldCharType="end"/>
        </w:r>
      </w:hyperlink>
    </w:p>
    <w:p>
      <w:pPr>
        <w:tabs>
          <w:tab w:val="right" w:leader="dot" w:pos="9062"/>
        </w:tabs>
        <w:ind w:left="220"/>
      </w:pPr>
      <w:hyperlink w:anchor="_Toc2440" w:history="1">
        <w:r>
          <w:rPr>
            <w:rFonts w:ascii="IRNazanin" w:hAnsi="IRNazanin" w:eastAsia="IRNazanin" w:cs="IRNazanin"/>
            <w:color w:val="111111"/>
            <w:sz w:val="22"/>
            <w:szCs w:val="22"/>
            <w:b w:val="0"/>
            <w:bCs w:val="0"/>
            <w:i w:val="0"/>
            <w:iCs w:val="0"/>
          </w:rPr>
          <w:t>جمالي تبريزي ، محمّد قرن 9 ه-</w:t>
        </w:r>
        <w:r>
          <w:tab/>
        </w:r>
        <w:r>
          <w:fldChar w:fldCharType="begin"/>
        </w:r>
        <w:r>
          <w:instrText xml:space="preserve">PAGEREF 2440 \h</w:instrText>
        </w:r>
        <w:r>
          <w:fldChar w:fldCharType="end"/>
        </w:r>
      </w:hyperlink>
    </w:p>
    <w:p>
      <w:pPr>
        <w:tabs>
          <w:tab w:val="right" w:leader="dot" w:pos="9062"/>
        </w:tabs>
        <w:ind w:left="220"/>
      </w:pPr>
      <w:hyperlink w:anchor="_Toc2441" w:history="1">
        <w:r>
          <w:rPr>
            <w:rFonts w:ascii="IRNazanin" w:hAnsi="IRNazanin" w:eastAsia="IRNazanin" w:cs="IRNazanin"/>
            <w:color w:val="111111"/>
            <w:sz w:val="22"/>
            <w:szCs w:val="22"/>
            <w:b w:val="0"/>
            <w:bCs w:val="0"/>
            <w:i w:val="0"/>
            <w:iCs w:val="0"/>
          </w:rPr>
          <w:t>جمالي تونسي احمد بن محمّد، قرن 11ه-</w:t>
        </w:r>
        <w:r>
          <w:tab/>
        </w:r>
        <w:r>
          <w:fldChar w:fldCharType="begin"/>
        </w:r>
        <w:r>
          <w:instrText xml:space="preserve">PAGEREF 2441 \h</w:instrText>
        </w:r>
        <w:r>
          <w:fldChar w:fldCharType="end"/>
        </w:r>
      </w:hyperlink>
    </w:p>
    <w:p>
      <w:pPr>
        <w:tabs>
          <w:tab w:val="right" w:leader="dot" w:pos="9062"/>
        </w:tabs>
        <w:ind w:left="220"/>
      </w:pPr>
      <w:hyperlink w:anchor="_Toc2442" w:history="1">
        <w:r>
          <w:rPr>
            <w:rFonts w:ascii="IRNazanin" w:hAnsi="IRNazanin" w:eastAsia="IRNazanin" w:cs="IRNazanin"/>
            <w:color w:val="111111"/>
            <w:sz w:val="22"/>
            <w:szCs w:val="22"/>
            <w:b w:val="0"/>
            <w:bCs w:val="0"/>
            <w:i w:val="0"/>
            <w:iCs w:val="0"/>
          </w:rPr>
          <w:t>جمالي زنبيلي ، علي بن احمد - 932 ه-</w:t>
        </w:r>
        <w:r>
          <w:tab/>
        </w:r>
        <w:r>
          <w:fldChar w:fldCharType="begin"/>
        </w:r>
        <w:r>
          <w:instrText xml:space="preserve">PAGEREF 2442 \h</w:instrText>
        </w:r>
        <w:r>
          <w:fldChar w:fldCharType="end"/>
        </w:r>
      </w:hyperlink>
    </w:p>
    <w:p>
      <w:pPr>
        <w:tabs>
          <w:tab w:val="right" w:leader="dot" w:pos="9062"/>
        </w:tabs>
        <w:ind w:left="220"/>
      </w:pPr>
      <w:hyperlink w:anchor="_Toc2443" w:history="1">
        <w:r>
          <w:rPr>
            <w:rFonts w:ascii="IRNazanin" w:hAnsi="IRNazanin" w:eastAsia="IRNazanin" w:cs="IRNazanin"/>
            <w:color w:val="111111"/>
            <w:sz w:val="22"/>
            <w:szCs w:val="22"/>
            <w:b w:val="0"/>
            <w:bCs w:val="0"/>
            <w:i w:val="0"/>
            <w:iCs w:val="0"/>
          </w:rPr>
          <w:t>جمالي ، فضيل بن علي 920 - 991 ه-</w:t>
        </w:r>
        <w:r>
          <w:tab/>
        </w:r>
        <w:r>
          <w:fldChar w:fldCharType="begin"/>
        </w:r>
        <w:r>
          <w:instrText xml:space="preserve">PAGEREF 2443 \h</w:instrText>
        </w:r>
        <w:r>
          <w:fldChar w:fldCharType="end"/>
        </w:r>
      </w:hyperlink>
    </w:p>
    <w:p>
      <w:pPr>
        <w:tabs>
          <w:tab w:val="right" w:leader="dot" w:pos="9062"/>
        </w:tabs>
        <w:ind w:left="220"/>
      </w:pPr>
      <w:hyperlink w:anchor="_Toc2444" w:history="1">
        <w:r>
          <w:rPr>
            <w:rFonts w:ascii="IRNazanin" w:hAnsi="IRNazanin" w:eastAsia="IRNazanin" w:cs="IRNazanin"/>
            <w:color w:val="111111"/>
            <w:sz w:val="22"/>
            <w:szCs w:val="22"/>
            <w:b w:val="0"/>
            <w:bCs w:val="0"/>
            <w:i w:val="0"/>
            <w:iCs w:val="0"/>
          </w:rPr>
          <w:t>جمالي ، قاسم</w:t>
        </w:r>
        <w:r>
          <w:tab/>
        </w:r>
        <w:r>
          <w:fldChar w:fldCharType="begin"/>
        </w:r>
        <w:r>
          <w:instrText xml:space="preserve">PAGEREF 2444 \h</w:instrText>
        </w:r>
        <w:r>
          <w:fldChar w:fldCharType="end"/>
        </w:r>
      </w:hyperlink>
    </w:p>
    <w:p>
      <w:pPr>
        <w:tabs>
          <w:tab w:val="right" w:leader="dot" w:pos="9062"/>
        </w:tabs>
        <w:ind w:left="220"/>
      </w:pPr>
      <w:hyperlink w:anchor="_Toc2445" w:history="1">
        <w:r>
          <w:rPr>
            <w:rFonts w:ascii="IRNazanin" w:hAnsi="IRNazanin" w:eastAsia="IRNazanin" w:cs="IRNazanin"/>
            <w:color w:val="111111"/>
            <w:sz w:val="22"/>
            <w:szCs w:val="22"/>
            <w:b w:val="0"/>
            <w:bCs w:val="0"/>
            <w:i w:val="0"/>
            <w:iCs w:val="0"/>
          </w:rPr>
          <w:t>جمالي يزدي، مطهر بن محمّد قرن 6 ه-</w:t>
        </w:r>
        <w:r>
          <w:tab/>
        </w:r>
        <w:r>
          <w:fldChar w:fldCharType="begin"/>
        </w:r>
        <w:r>
          <w:instrText xml:space="preserve">PAGEREF 2445 \h</w:instrText>
        </w:r>
        <w:r>
          <w:fldChar w:fldCharType="end"/>
        </w:r>
      </w:hyperlink>
    </w:p>
    <w:p>
      <w:pPr>
        <w:tabs>
          <w:tab w:val="right" w:leader="dot" w:pos="9062"/>
        </w:tabs>
        <w:ind w:left="220"/>
      </w:pPr>
      <w:hyperlink w:anchor="_Toc2446" w:history="1">
        <w:r>
          <w:rPr>
            <w:rFonts w:ascii="IRNazanin" w:hAnsi="IRNazanin" w:eastAsia="IRNazanin" w:cs="IRNazanin"/>
            <w:color w:val="111111"/>
            <w:sz w:val="22"/>
            <w:szCs w:val="22"/>
            <w:b w:val="0"/>
            <w:bCs w:val="0"/>
            <w:i w:val="0"/>
            <w:iCs w:val="0"/>
          </w:rPr>
          <w:t>جمحي ، محمّد بن سلام، 2154-224 ه-</w:t>
        </w:r>
        <w:r>
          <w:tab/>
        </w:r>
        <w:r>
          <w:fldChar w:fldCharType="begin"/>
        </w:r>
        <w:r>
          <w:instrText xml:space="preserve">PAGEREF 2446 \h</w:instrText>
        </w:r>
        <w:r>
          <w:fldChar w:fldCharType="end"/>
        </w:r>
      </w:hyperlink>
    </w:p>
    <w:p>
      <w:pPr>
        <w:tabs>
          <w:tab w:val="right" w:leader="dot" w:pos="9062"/>
        </w:tabs>
        <w:ind w:left="220"/>
      </w:pPr>
      <w:hyperlink w:anchor="_Toc2447" w:history="1">
        <w:r>
          <w:rPr>
            <w:rFonts w:ascii="IRNazanin" w:hAnsi="IRNazanin" w:eastAsia="IRNazanin" w:cs="IRNazanin"/>
            <w:color w:val="111111"/>
            <w:sz w:val="22"/>
            <w:szCs w:val="22"/>
            <w:b w:val="0"/>
            <w:bCs w:val="0"/>
            <w:i w:val="0"/>
            <w:iCs w:val="0"/>
          </w:rPr>
          <w:t>جمزوري، سليمان بن محمّد قرن 12 ه-</w:t>
        </w:r>
        <w:r>
          <w:tab/>
        </w:r>
        <w:r>
          <w:fldChar w:fldCharType="begin"/>
        </w:r>
        <w:r>
          <w:instrText xml:space="preserve">PAGEREF 2447 \h</w:instrText>
        </w:r>
        <w:r>
          <w:fldChar w:fldCharType="end"/>
        </w:r>
      </w:hyperlink>
    </w:p>
    <w:p>
      <w:pPr>
        <w:tabs>
          <w:tab w:val="right" w:leader="dot" w:pos="9062"/>
        </w:tabs>
        <w:ind w:left="220"/>
      </w:pPr>
      <w:hyperlink w:anchor="_Toc2448" w:history="1">
        <w:r>
          <w:rPr>
            <w:rFonts w:ascii="IRNazanin" w:hAnsi="IRNazanin" w:eastAsia="IRNazanin" w:cs="IRNazanin"/>
            <w:color w:val="111111"/>
            <w:sz w:val="22"/>
            <w:szCs w:val="22"/>
            <w:b w:val="0"/>
            <w:bCs w:val="0"/>
            <w:i w:val="0"/>
            <w:iCs w:val="0"/>
          </w:rPr>
          <w:t>جميل ، انطون، 1887 - 1948 م</w:t>
        </w:r>
        <w:r>
          <w:tab/>
        </w:r>
        <w:r>
          <w:fldChar w:fldCharType="begin"/>
        </w:r>
        <w:r>
          <w:instrText xml:space="preserve">PAGEREF 2448 \h</w:instrText>
        </w:r>
        <w:r>
          <w:fldChar w:fldCharType="end"/>
        </w:r>
      </w:hyperlink>
    </w:p>
    <w:p>
      <w:pPr>
        <w:tabs>
          <w:tab w:val="right" w:leader="dot" w:pos="9062"/>
        </w:tabs>
        <w:ind w:left="220"/>
      </w:pPr>
      <w:hyperlink w:anchor="_Toc2449" w:history="1">
        <w:r>
          <w:rPr>
            <w:rFonts w:ascii="IRNazanin" w:hAnsi="IRNazanin" w:eastAsia="IRNazanin" w:cs="IRNazanin"/>
            <w:color w:val="111111"/>
            <w:sz w:val="22"/>
            <w:szCs w:val="22"/>
            <w:b w:val="0"/>
            <w:bCs w:val="0"/>
            <w:i w:val="0"/>
            <w:iCs w:val="0"/>
          </w:rPr>
          <w:t>جميل زاده ، عبدالغني</w:t>
        </w:r>
        <w:r>
          <w:tab/>
        </w:r>
        <w:r>
          <w:fldChar w:fldCharType="begin"/>
        </w:r>
        <w:r>
          <w:instrText xml:space="preserve">PAGEREF 2449 \h</w:instrText>
        </w:r>
        <w:r>
          <w:fldChar w:fldCharType="end"/>
        </w:r>
      </w:hyperlink>
    </w:p>
    <w:p>
      <w:pPr>
        <w:tabs>
          <w:tab w:val="right" w:leader="dot" w:pos="9062"/>
        </w:tabs>
        <w:ind w:left="220"/>
      </w:pPr>
      <w:hyperlink w:anchor="_Toc2450" w:history="1">
        <w:r>
          <w:rPr>
            <w:rFonts w:ascii="IRNazanin" w:hAnsi="IRNazanin" w:eastAsia="IRNazanin" w:cs="IRNazanin"/>
            <w:color w:val="111111"/>
            <w:sz w:val="22"/>
            <w:szCs w:val="22"/>
            <w:b w:val="0"/>
            <w:bCs w:val="0"/>
            <w:i w:val="0"/>
            <w:iCs w:val="0"/>
          </w:rPr>
          <w:t>جنائي، حسين بن محمّد بن ابراهیم قرن 5ه-</w:t>
        </w:r>
        <w:r>
          <w:tab/>
        </w:r>
        <w:r>
          <w:fldChar w:fldCharType="begin"/>
        </w:r>
        <w:r>
          <w:instrText xml:space="preserve">PAGEREF 2450 \h</w:instrText>
        </w:r>
        <w:r>
          <w:fldChar w:fldCharType="end"/>
        </w:r>
      </w:hyperlink>
    </w:p>
    <w:p>
      <w:pPr>
        <w:tabs>
          <w:tab w:val="right" w:leader="dot" w:pos="9062"/>
        </w:tabs>
        <w:ind w:left="220"/>
      </w:pPr>
      <w:hyperlink w:anchor="_Toc2451" w:history="1">
        <w:r>
          <w:rPr>
            <w:rFonts w:ascii="IRNazanin" w:hAnsi="IRNazanin" w:eastAsia="IRNazanin" w:cs="IRNazanin"/>
            <w:color w:val="111111"/>
            <w:sz w:val="22"/>
            <w:szCs w:val="22"/>
            <w:b w:val="0"/>
            <w:bCs w:val="0"/>
            <w:i w:val="0"/>
            <w:iCs w:val="0"/>
          </w:rPr>
          <w:t>جندقي ، ابو محمّد</w:t>
        </w:r>
        <w:r>
          <w:tab/>
        </w:r>
        <w:r>
          <w:fldChar w:fldCharType="begin"/>
        </w:r>
        <w:r>
          <w:instrText xml:space="preserve">PAGEREF 2451 \h</w:instrText>
        </w:r>
        <w:r>
          <w:fldChar w:fldCharType="end"/>
        </w:r>
      </w:hyperlink>
    </w:p>
    <w:p>
      <w:pPr>
        <w:tabs>
          <w:tab w:val="right" w:leader="dot" w:pos="9062"/>
        </w:tabs>
        <w:ind w:left="220"/>
      </w:pPr>
      <w:hyperlink w:anchor="_Toc2452" w:history="1">
        <w:r>
          <w:rPr>
            <w:rFonts w:ascii="IRNazanin" w:hAnsi="IRNazanin" w:eastAsia="IRNazanin" w:cs="IRNazanin"/>
            <w:color w:val="111111"/>
            <w:sz w:val="22"/>
            <w:szCs w:val="22"/>
            <w:b w:val="0"/>
            <w:bCs w:val="0"/>
            <w:i w:val="0"/>
            <w:iCs w:val="0"/>
          </w:rPr>
          <w:t>جندي ، احمد، قرن 10 ه-</w:t>
        </w:r>
        <w:r>
          <w:tab/>
        </w:r>
        <w:r>
          <w:fldChar w:fldCharType="begin"/>
        </w:r>
        <w:r>
          <w:instrText xml:space="preserve">PAGEREF 2452 \h</w:instrText>
        </w:r>
        <w:r>
          <w:fldChar w:fldCharType="end"/>
        </w:r>
      </w:hyperlink>
    </w:p>
    <w:p>
      <w:pPr>
        <w:tabs>
          <w:tab w:val="right" w:leader="dot" w:pos="9062"/>
        </w:tabs>
        <w:ind w:left="220"/>
      </w:pPr>
      <w:hyperlink w:anchor="_Toc2453" w:history="1">
        <w:r>
          <w:rPr>
            <w:rFonts w:ascii="IRNazanin" w:hAnsi="IRNazanin" w:eastAsia="IRNazanin" w:cs="IRNazanin"/>
            <w:color w:val="111111"/>
            <w:sz w:val="22"/>
            <w:szCs w:val="22"/>
            <w:b w:val="0"/>
            <w:bCs w:val="0"/>
            <w:i w:val="0"/>
            <w:iCs w:val="0"/>
          </w:rPr>
          <w:t>جندي ، احمد بن عمر ، قرن 7 ه-</w:t>
        </w:r>
        <w:r>
          <w:tab/>
        </w:r>
        <w:r>
          <w:fldChar w:fldCharType="begin"/>
        </w:r>
        <w:r>
          <w:instrText xml:space="preserve">PAGEREF 2453 \h</w:instrText>
        </w:r>
        <w:r>
          <w:fldChar w:fldCharType="end"/>
        </w:r>
      </w:hyperlink>
    </w:p>
    <w:p>
      <w:pPr>
        <w:tabs>
          <w:tab w:val="right" w:leader="dot" w:pos="9062"/>
        </w:tabs>
        <w:ind w:left="220"/>
      </w:pPr>
      <w:hyperlink w:anchor="_Toc2454" w:history="1">
        <w:r>
          <w:rPr>
            <w:rFonts w:ascii="IRNazanin" w:hAnsi="IRNazanin" w:eastAsia="IRNazanin" w:cs="IRNazanin"/>
            <w:color w:val="111111"/>
            <w:sz w:val="22"/>
            <w:szCs w:val="22"/>
            <w:b w:val="0"/>
            <w:bCs w:val="0"/>
            <w:i w:val="0"/>
            <w:iCs w:val="0"/>
          </w:rPr>
          <w:t>جندي ، امير احمد علي</w:t>
        </w:r>
        <w:r>
          <w:tab/>
        </w:r>
        <w:r>
          <w:fldChar w:fldCharType="begin"/>
        </w:r>
        <w:r>
          <w:instrText xml:space="preserve">PAGEREF 2454 \h</w:instrText>
        </w:r>
        <w:r>
          <w:fldChar w:fldCharType="end"/>
        </w:r>
      </w:hyperlink>
    </w:p>
    <w:p>
      <w:pPr>
        <w:tabs>
          <w:tab w:val="right" w:leader="dot" w:pos="9062"/>
        </w:tabs>
        <w:ind w:left="220"/>
      </w:pPr>
      <w:hyperlink w:anchor="_Toc2455" w:history="1">
        <w:r>
          <w:rPr>
            <w:rFonts w:ascii="IRNazanin" w:hAnsi="IRNazanin" w:eastAsia="IRNazanin" w:cs="IRNazanin"/>
            <w:color w:val="111111"/>
            <w:sz w:val="22"/>
            <w:szCs w:val="22"/>
            <w:b w:val="0"/>
            <w:bCs w:val="0"/>
            <w:i w:val="0"/>
            <w:iCs w:val="0"/>
          </w:rPr>
          <w:t>جندي، خليل بن اسحاق - 776 ه-</w:t>
        </w:r>
        <w:r>
          <w:tab/>
        </w:r>
        <w:r>
          <w:fldChar w:fldCharType="begin"/>
        </w:r>
        <w:r>
          <w:instrText xml:space="preserve">PAGEREF 2455 \h</w:instrText>
        </w:r>
        <w:r>
          <w:fldChar w:fldCharType="end"/>
        </w:r>
      </w:hyperlink>
    </w:p>
    <w:p>
      <w:pPr>
        <w:tabs>
          <w:tab w:val="right" w:leader="dot" w:pos="9062"/>
        </w:tabs>
        <w:ind w:left="220"/>
      </w:pPr>
      <w:hyperlink w:anchor="_Toc2456" w:history="1">
        <w:r>
          <w:rPr>
            <w:rFonts w:ascii="IRNazanin" w:hAnsi="IRNazanin" w:eastAsia="IRNazanin" w:cs="IRNazanin"/>
            <w:color w:val="111111"/>
            <w:sz w:val="22"/>
            <w:szCs w:val="22"/>
            <w:b w:val="0"/>
            <w:bCs w:val="0"/>
            <w:i w:val="0"/>
            <w:iCs w:val="0"/>
          </w:rPr>
          <w:t>جندي ، محمّد بن يوسف - 732 ؟ ه-</w:t>
        </w:r>
        <w:r>
          <w:tab/>
        </w:r>
        <w:r>
          <w:fldChar w:fldCharType="begin"/>
        </w:r>
        <w:r>
          <w:instrText xml:space="preserve">PAGEREF 2456 \h</w:instrText>
        </w:r>
        <w:r>
          <w:fldChar w:fldCharType="end"/>
        </w:r>
      </w:hyperlink>
    </w:p>
    <w:p>
      <w:pPr>
        <w:tabs>
          <w:tab w:val="right" w:leader="dot" w:pos="9062"/>
        </w:tabs>
        <w:ind w:left="220"/>
      </w:pPr>
      <w:hyperlink w:anchor="_Toc2457" w:history="1">
        <w:r>
          <w:rPr>
            <w:rFonts w:ascii="IRNazanin" w:hAnsi="IRNazanin" w:eastAsia="IRNazanin" w:cs="IRNazanin"/>
            <w:color w:val="111111"/>
            <w:sz w:val="22"/>
            <w:szCs w:val="22"/>
            <w:b w:val="0"/>
            <w:bCs w:val="0"/>
            <w:i w:val="0"/>
            <w:iCs w:val="0"/>
          </w:rPr>
          <w:t>جندي، ملا احمد بن محمّد قرن 9 ه-</w:t>
        </w:r>
        <w:r>
          <w:tab/>
        </w:r>
        <w:r>
          <w:fldChar w:fldCharType="begin"/>
        </w:r>
        <w:r>
          <w:instrText xml:space="preserve">PAGEREF 2457 \h</w:instrText>
        </w:r>
        <w:r>
          <w:fldChar w:fldCharType="end"/>
        </w:r>
      </w:hyperlink>
    </w:p>
    <w:p>
      <w:pPr>
        <w:tabs>
          <w:tab w:val="right" w:leader="dot" w:pos="9062"/>
        </w:tabs>
        <w:ind w:left="220"/>
      </w:pPr>
      <w:hyperlink w:anchor="_Toc2458" w:history="1">
        <w:r>
          <w:rPr>
            <w:rFonts w:ascii="IRNazanin" w:hAnsi="IRNazanin" w:eastAsia="IRNazanin" w:cs="IRNazanin"/>
            <w:color w:val="111111"/>
            <w:sz w:val="22"/>
            <w:szCs w:val="22"/>
            <w:b w:val="0"/>
            <w:bCs w:val="0"/>
            <w:i w:val="0"/>
            <w:iCs w:val="0"/>
          </w:rPr>
          <w:t>جنگي دوست گيلاني ، موسى بن عبدالله</w:t>
        </w:r>
        <w:r>
          <w:tab/>
        </w:r>
        <w:r>
          <w:fldChar w:fldCharType="begin"/>
        </w:r>
        <w:r>
          <w:instrText xml:space="preserve">PAGEREF 2458 \h</w:instrText>
        </w:r>
        <w:r>
          <w:fldChar w:fldCharType="end"/>
        </w:r>
      </w:hyperlink>
    </w:p>
    <w:p>
      <w:pPr>
        <w:tabs>
          <w:tab w:val="right" w:leader="dot" w:pos="9062"/>
        </w:tabs>
        <w:ind w:left="220"/>
      </w:pPr>
      <w:hyperlink w:anchor="_Toc2459" w:history="1">
        <w:r>
          <w:rPr>
            <w:rFonts w:ascii="IRNazanin" w:hAnsi="IRNazanin" w:eastAsia="IRNazanin" w:cs="IRNazanin"/>
            <w:color w:val="111111"/>
            <w:sz w:val="22"/>
            <w:szCs w:val="22"/>
            <w:b w:val="0"/>
            <w:bCs w:val="0"/>
            <w:i w:val="0"/>
            <w:iCs w:val="0"/>
          </w:rPr>
          <w:t>جنید بغدادي - 297؟ ه-</w:t>
        </w:r>
        <w:r>
          <w:tab/>
        </w:r>
        <w:r>
          <w:fldChar w:fldCharType="begin"/>
        </w:r>
        <w:r>
          <w:instrText xml:space="preserve">PAGEREF 2459 \h</w:instrText>
        </w:r>
        <w:r>
          <w:fldChar w:fldCharType="end"/>
        </w:r>
      </w:hyperlink>
    </w:p>
    <w:p>
      <w:pPr>
        <w:tabs>
          <w:tab w:val="right" w:leader="dot" w:pos="9062"/>
        </w:tabs>
        <w:ind w:left="220"/>
      </w:pPr>
      <w:hyperlink w:anchor="_Toc2460" w:history="1">
        <w:r>
          <w:rPr>
            <w:rFonts w:ascii="IRNazanin" w:hAnsi="IRNazanin" w:eastAsia="IRNazanin" w:cs="IRNazanin"/>
            <w:color w:val="111111"/>
            <w:sz w:val="22"/>
            <w:szCs w:val="22"/>
            <w:b w:val="0"/>
            <w:bCs w:val="0"/>
            <w:i w:val="0"/>
            <w:iCs w:val="0"/>
          </w:rPr>
          <w:t>جنيد شيرازي ،جنيد بن محمود قرن 8 ه-</w:t>
        </w:r>
        <w:r>
          <w:tab/>
        </w:r>
        <w:r>
          <w:fldChar w:fldCharType="begin"/>
        </w:r>
        <w:r>
          <w:instrText xml:space="preserve">PAGEREF 2460 \h</w:instrText>
        </w:r>
        <w:r>
          <w:fldChar w:fldCharType="end"/>
        </w:r>
      </w:hyperlink>
    </w:p>
    <w:p>
      <w:pPr>
        <w:tabs>
          <w:tab w:val="right" w:leader="dot" w:pos="9062"/>
        </w:tabs>
        <w:ind w:left="220"/>
      </w:pPr>
      <w:hyperlink w:anchor="_Toc2461" w:history="1">
        <w:r>
          <w:rPr>
            <w:rFonts w:ascii="IRNazanin" w:hAnsi="IRNazanin" w:eastAsia="IRNazanin" w:cs="IRNazanin"/>
            <w:color w:val="111111"/>
            <w:sz w:val="22"/>
            <w:szCs w:val="22"/>
            <w:b w:val="0"/>
            <w:bCs w:val="0"/>
            <w:i w:val="0"/>
            <w:iCs w:val="0"/>
          </w:rPr>
          <w:t>جنيدي ، ابواسحاق</w:t>
        </w:r>
        <w:r>
          <w:tab/>
        </w:r>
        <w:r>
          <w:fldChar w:fldCharType="begin"/>
        </w:r>
        <w:r>
          <w:instrText xml:space="preserve">PAGEREF 2461 \h</w:instrText>
        </w:r>
        <w:r>
          <w:fldChar w:fldCharType="end"/>
        </w:r>
      </w:hyperlink>
    </w:p>
    <w:p>
      <w:pPr>
        <w:tabs>
          <w:tab w:val="right" w:leader="dot" w:pos="9062"/>
        </w:tabs>
        <w:ind w:left="220"/>
      </w:pPr>
      <w:hyperlink w:anchor="_Toc2462" w:history="1">
        <w:r>
          <w:rPr>
            <w:rFonts w:ascii="IRNazanin" w:hAnsi="IRNazanin" w:eastAsia="IRNazanin" w:cs="IRNazanin"/>
            <w:color w:val="111111"/>
            <w:sz w:val="22"/>
            <w:szCs w:val="22"/>
            <w:b w:val="0"/>
            <w:bCs w:val="0"/>
            <w:i w:val="0"/>
            <w:iCs w:val="0"/>
          </w:rPr>
          <w:t>جنيدي ، عبدالحق، قرن 11 ه-</w:t>
        </w:r>
        <w:r>
          <w:tab/>
        </w:r>
        <w:r>
          <w:fldChar w:fldCharType="begin"/>
        </w:r>
        <w:r>
          <w:instrText xml:space="preserve">PAGEREF 2462 \h</w:instrText>
        </w:r>
        <w:r>
          <w:fldChar w:fldCharType="end"/>
        </w:r>
      </w:hyperlink>
    </w:p>
    <w:p>
      <w:pPr>
        <w:tabs>
          <w:tab w:val="right" w:leader="dot" w:pos="9062"/>
        </w:tabs>
        <w:ind w:left="220"/>
      </w:pPr>
      <w:hyperlink w:anchor="_Toc2463" w:history="1">
        <w:r>
          <w:rPr>
            <w:rFonts w:ascii="IRNazanin" w:hAnsi="IRNazanin" w:eastAsia="IRNazanin" w:cs="IRNazanin"/>
            <w:color w:val="111111"/>
            <w:sz w:val="22"/>
            <w:szCs w:val="22"/>
            <w:b w:val="0"/>
            <w:bCs w:val="0"/>
            <w:i w:val="0"/>
            <w:iCs w:val="0"/>
          </w:rPr>
          <w:t>جهانگیر میرزا بن عباس ميرزا 1222 -</w:t>
        </w:r>
        <w:r>
          <w:tab/>
        </w:r>
        <w:r>
          <w:fldChar w:fldCharType="begin"/>
        </w:r>
        <w:r>
          <w:instrText xml:space="preserve">PAGEREF 2463 \h</w:instrText>
        </w:r>
        <w:r>
          <w:fldChar w:fldCharType="end"/>
        </w:r>
      </w:hyperlink>
    </w:p>
    <w:p>
      <w:pPr>
        <w:tabs>
          <w:tab w:val="right" w:leader="dot" w:pos="9062"/>
        </w:tabs>
        <w:ind w:left="220"/>
      </w:pPr>
      <w:hyperlink w:anchor="_Toc2464" w:history="1">
        <w:r>
          <w:rPr>
            <w:rFonts w:ascii="IRNazanin" w:hAnsi="IRNazanin" w:eastAsia="IRNazanin" w:cs="IRNazanin"/>
            <w:color w:val="111111"/>
            <w:sz w:val="22"/>
            <w:szCs w:val="22"/>
            <w:b w:val="0"/>
            <w:bCs w:val="0"/>
            <w:i w:val="0"/>
            <w:iCs w:val="0"/>
          </w:rPr>
          <w:t>جهانگیری، محمّد صادق بن عبیدالله 1227ه-</w:t>
        </w:r>
        <w:r>
          <w:tab/>
        </w:r>
        <w:r>
          <w:fldChar w:fldCharType="begin"/>
        </w:r>
        <w:r>
          <w:instrText xml:space="preserve">PAGEREF 2464 \h</w:instrText>
        </w:r>
        <w:r>
          <w:fldChar w:fldCharType="end"/>
        </w:r>
      </w:hyperlink>
    </w:p>
    <w:p>
      <w:pPr>
        <w:tabs>
          <w:tab w:val="right" w:leader="dot" w:pos="9062"/>
        </w:tabs>
        <w:ind w:left="220"/>
      </w:pPr>
      <w:hyperlink w:anchor="_Toc2465" w:history="1">
        <w:r>
          <w:rPr>
            <w:rFonts w:ascii="IRNazanin" w:hAnsi="IRNazanin" w:eastAsia="IRNazanin" w:cs="IRNazanin"/>
            <w:color w:val="111111"/>
            <w:sz w:val="22"/>
            <w:szCs w:val="22"/>
            <w:b w:val="0"/>
            <w:bCs w:val="0"/>
            <w:i w:val="0"/>
            <w:iCs w:val="0"/>
          </w:rPr>
          <w:t>جهضمي، اسماعيل بن اسحاق 199 -</w:t>
        </w:r>
        <w:r>
          <w:tab/>
        </w:r>
        <w:r>
          <w:fldChar w:fldCharType="begin"/>
        </w:r>
        <w:r>
          <w:instrText xml:space="preserve">PAGEREF 2465 \h</w:instrText>
        </w:r>
        <w:r>
          <w:fldChar w:fldCharType="end"/>
        </w:r>
      </w:hyperlink>
    </w:p>
    <w:p>
      <w:pPr>
        <w:tabs>
          <w:tab w:val="right" w:leader="dot" w:pos="9062"/>
        </w:tabs>
        <w:ind w:left="220"/>
      </w:pPr>
      <w:hyperlink w:anchor="_Toc2466" w:history="1">
        <w:r>
          <w:rPr>
            <w:rFonts w:ascii="IRNazanin" w:hAnsi="IRNazanin" w:eastAsia="IRNazanin" w:cs="IRNazanin"/>
            <w:color w:val="111111"/>
            <w:sz w:val="22"/>
            <w:szCs w:val="22"/>
            <w:b w:val="0"/>
            <w:bCs w:val="0"/>
            <w:i w:val="0"/>
            <w:iCs w:val="0"/>
          </w:rPr>
          <w:t>جهضمي ، نصر بن علي - 250 ه-</w:t>
        </w:r>
        <w:r>
          <w:tab/>
        </w:r>
        <w:r>
          <w:fldChar w:fldCharType="begin"/>
        </w:r>
        <w:r>
          <w:instrText xml:space="preserve">PAGEREF 2466 \h</w:instrText>
        </w:r>
        <w:r>
          <w:fldChar w:fldCharType="end"/>
        </w:r>
      </w:hyperlink>
    </w:p>
    <w:p>
      <w:pPr>
        <w:tabs>
          <w:tab w:val="right" w:leader="dot" w:pos="9062"/>
        </w:tabs>
        <w:ind w:left="220"/>
      </w:pPr>
      <w:hyperlink w:anchor="_Toc2467" w:history="1">
        <w:r>
          <w:rPr>
            <w:rFonts w:ascii="IRNazanin" w:hAnsi="IRNazanin" w:eastAsia="IRNazanin" w:cs="IRNazanin"/>
            <w:color w:val="111111"/>
            <w:sz w:val="22"/>
            <w:szCs w:val="22"/>
            <w:b w:val="0"/>
            <w:bCs w:val="0"/>
            <w:i w:val="0"/>
            <w:iCs w:val="0"/>
          </w:rPr>
          <w:t>جواد بن حسين نجف</w:t>
        </w:r>
        <w:r>
          <w:tab/>
        </w:r>
        <w:r>
          <w:fldChar w:fldCharType="begin"/>
        </w:r>
        <w:r>
          <w:instrText xml:space="preserve">PAGEREF 2467 \h</w:instrText>
        </w:r>
        <w:r>
          <w:fldChar w:fldCharType="end"/>
        </w:r>
      </w:hyperlink>
    </w:p>
    <w:p>
      <w:pPr>
        <w:tabs>
          <w:tab w:val="right" w:leader="dot" w:pos="9062"/>
        </w:tabs>
        <w:ind w:left="220"/>
      </w:pPr>
      <w:hyperlink w:anchor="_Toc2468" w:history="1">
        <w:r>
          <w:rPr>
            <w:rFonts w:ascii="IRNazanin" w:hAnsi="IRNazanin" w:eastAsia="IRNazanin" w:cs="IRNazanin"/>
            <w:color w:val="111111"/>
            <w:sz w:val="22"/>
            <w:szCs w:val="22"/>
            <w:b w:val="0"/>
            <w:bCs w:val="0"/>
            <w:i w:val="0"/>
            <w:iCs w:val="0"/>
          </w:rPr>
          <w:t>جواد ، مصطفى</w:t>
        </w:r>
        <w:r>
          <w:tab/>
        </w:r>
        <w:r>
          <w:fldChar w:fldCharType="begin"/>
        </w:r>
        <w:r>
          <w:instrText xml:space="preserve">PAGEREF 2468 \h</w:instrText>
        </w:r>
        <w:r>
          <w:fldChar w:fldCharType="end"/>
        </w:r>
      </w:hyperlink>
    </w:p>
    <w:p>
      <w:pPr>
        <w:tabs>
          <w:tab w:val="right" w:leader="dot" w:pos="9062"/>
        </w:tabs>
        <w:ind w:left="220"/>
      </w:pPr>
      <w:hyperlink w:anchor="_Toc2469" w:history="1">
        <w:r>
          <w:rPr>
            <w:rFonts w:ascii="IRNazanin" w:hAnsi="IRNazanin" w:eastAsia="IRNazanin" w:cs="IRNazanin"/>
            <w:color w:val="111111"/>
            <w:sz w:val="22"/>
            <w:szCs w:val="22"/>
            <w:b w:val="0"/>
            <w:bCs w:val="0"/>
            <w:i w:val="0"/>
            <w:iCs w:val="0"/>
          </w:rPr>
          <w:t>جوادي موصلي ، محمّد سعيد بن</w:t>
        </w:r>
        <w:r>
          <w:tab/>
        </w:r>
        <w:r>
          <w:fldChar w:fldCharType="begin"/>
        </w:r>
        <w:r>
          <w:instrText xml:space="preserve">PAGEREF 2469 \h</w:instrText>
        </w:r>
        <w:r>
          <w:fldChar w:fldCharType="end"/>
        </w:r>
      </w:hyperlink>
    </w:p>
    <w:p>
      <w:pPr>
        <w:tabs>
          <w:tab w:val="right" w:leader="dot" w:pos="9062"/>
        </w:tabs>
        <w:ind w:left="220"/>
      </w:pPr>
      <w:hyperlink w:anchor="_Toc2470" w:history="1">
        <w:r>
          <w:rPr>
            <w:rFonts w:ascii="IRNazanin" w:hAnsi="IRNazanin" w:eastAsia="IRNazanin" w:cs="IRNazanin"/>
            <w:color w:val="111111"/>
            <w:sz w:val="22"/>
            <w:szCs w:val="22"/>
            <w:b w:val="0"/>
            <w:bCs w:val="0"/>
            <w:i w:val="0"/>
            <w:iCs w:val="0"/>
          </w:rPr>
          <w:t>جواليقي</w:t>
        </w:r>
        <w:r>
          <w:tab/>
        </w:r>
        <w:r>
          <w:fldChar w:fldCharType="begin"/>
        </w:r>
        <w:r>
          <w:instrText xml:space="preserve">PAGEREF 2470 \h</w:instrText>
        </w:r>
        <w:r>
          <w:fldChar w:fldCharType="end"/>
        </w:r>
      </w:hyperlink>
    </w:p>
    <w:p>
      <w:pPr>
        <w:tabs>
          <w:tab w:val="right" w:leader="dot" w:pos="9062"/>
        </w:tabs>
        <w:ind w:left="220"/>
      </w:pPr>
      <w:hyperlink w:anchor="_Toc2471" w:history="1">
        <w:r>
          <w:rPr>
            <w:rFonts w:ascii="IRNazanin" w:hAnsi="IRNazanin" w:eastAsia="IRNazanin" w:cs="IRNazanin"/>
            <w:color w:val="111111"/>
            <w:sz w:val="22"/>
            <w:szCs w:val="22"/>
            <w:b w:val="0"/>
            <w:bCs w:val="0"/>
            <w:i w:val="0"/>
            <w:iCs w:val="0"/>
          </w:rPr>
          <w:t>جواليقي، موهوب بن احمد، 466-540ه-</w:t>
        </w:r>
        <w:r>
          <w:tab/>
        </w:r>
        <w:r>
          <w:fldChar w:fldCharType="begin"/>
        </w:r>
        <w:r>
          <w:instrText xml:space="preserve">PAGEREF 2471 \h</w:instrText>
        </w:r>
        <w:r>
          <w:fldChar w:fldCharType="end"/>
        </w:r>
      </w:hyperlink>
    </w:p>
    <w:p>
      <w:pPr>
        <w:tabs>
          <w:tab w:val="right" w:leader="dot" w:pos="9062"/>
        </w:tabs>
        <w:ind w:left="220"/>
      </w:pPr>
      <w:hyperlink w:anchor="_Toc2472" w:history="1">
        <w:r>
          <w:rPr>
            <w:rFonts w:ascii="IRNazanin" w:hAnsi="IRNazanin" w:eastAsia="IRNazanin" w:cs="IRNazanin"/>
            <w:color w:val="111111"/>
            <w:sz w:val="22"/>
            <w:szCs w:val="22"/>
            <w:b w:val="0"/>
            <w:bCs w:val="0"/>
            <w:i w:val="0"/>
            <w:iCs w:val="0"/>
          </w:rPr>
          <w:t>جوانرودي ، محمّد قرن 11 ه-</w:t>
        </w:r>
        <w:r>
          <w:tab/>
        </w:r>
        <w:r>
          <w:fldChar w:fldCharType="begin"/>
        </w:r>
        <w:r>
          <w:instrText xml:space="preserve">PAGEREF 2472 \h</w:instrText>
        </w:r>
        <w:r>
          <w:fldChar w:fldCharType="end"/>
        </w:r>
      </w:hyperlink>
    </w:p>
    <w:p>
      <w:pPr>
        <w:tabs>
          <w:tab w:val="right" w:leader="dot" w:pos="9062"/>
        </w:tabs>
        <w:ind w:left="220"/>
      </w:pPr>
      <w:hyperlink w:anchor="_Toc2473" w:history="1">
        <w:r>
          <w:rPr>
            <w:rFonts w:ascii="IRNazanin" w:hAnsi="IRNazanin" w:eastAsia="IRNazanin" w:cs="IRNazanin"/>
            <w:color w:val="111111"/>
            <w:sz w:val="22"/>
            <w:szCs w:val="22"/>
            <w:b w:val="0"/>
            <w:bCs w:val="0"/>
            <w:i w:val="0"/>
            <w:iCs w:val="0"/>
          </w:rPr>
          <w:t>جواني ، محمّد بن اسعد، 525 - 588 ه-</w:t>
        </w:r>
        <w:r>
          <w:tab/>
        </w:r>
        <w:r>
          <w:fldChar w:fldCharType="begin"/>
        </w:r>
        <w:r>
          <w:instrText xml:space="preserve">PAGEREF 2473 \h</w:instrText>
        </w:r>
        <w:r>
          <w:fldChar w:fldCharType="end"/>
        </w:r>
      </w:hyperlink>
    </w:p>
    <w:p>
      <w:pPr>
        <w:tabs>
          <w:tab w:val="right" w:leader="dot" w:pos="9062"/>
        </w:tabs>
        <w:ind w:left="220"/>
      </w:pPr>
      <w:hyperlink w:anchor="_Toc2474" w:history="1">
        <w:r>
          <w:rPr>
            <w:rFonts w:ascii="IRNazanin" w:hAnsi="IRNazanin" w:eastAsia="IRNazanin" w:cs="IRNazanin"/>
            <w:color w:val="111111"/>
            <w:sz w:val="22"/>
            <w:szCs w:val="22"/>
            <w:b w:val="0"/>
            <w:bCs w:val="0"/>
            <w:i w:val="0"/>
            <w:iCs w:val="0"/>
          </w:rPr>
          <w:t>جواهرية ، محمّد - 1335 ه-</w:t>
        </w:r>
        <w:r>
          <w:tab/>
        </w:r>
        <w:r>
          <w:fldChar w:fldCharType="begin"/>
        </w:r>
        <w:r>
          <w:instrText xml:space="preserve">PAGEREF 2474 \h</w:instrText>
        </w:r>
        <w:r>
          <w:fldChar w:fldCharType="end"/>
        </w:r>
      </w:hyperlink>
    </w:p>
    <w:p>
      <w:pPr>
        <w:tabs>
          <w:tab w:val="right" w:leader="dot" w:pos="9062"/>
        </w:tabs>
        <w:ind w:left="220"/>
      </w:pPr>
      <w:hyperlink w:anchor="_Toc2475" w:history="1">
        <w:r>
          <w:rPr>
            <w:rFonts w:ascii="IRNazanin" w:hAnsi="IRNazanin" w:eastAsia="IRNazanin" w:cs="IRNazanin"/>
            <w:color w:val="111111"/>
            <w:sz w:val="22"/>
            <w:szCs w:val="22"/>
            <w:b w:val="0"/>
            <w:bCs w:val="0"/>
            <w:i w:val="0"/>
            <w:iCs w:val="0"/>
          </w:rPr>
          <w:t>جواهري، عبد الامير بن هادي</w:t>
        </w:r>
        <w:r>
          <w:tab/>
        </w:r>
        <w:r>
          <w:fldChar w:fldCharType="begin"/>
        </w:r>
        <w:r>
          <w:instrText xml:space="preserve">PAGEREF 2475 \h</w:instrText>
        </w:r>
        <w:r>
          <w:fldChar w:fldCharType="end"/>
        </w:r>
      </w:hyperlink>
    </w:p>
    <w:p>
      <w:pPr>
        <w:tabs>
          <w:tab w:val="right" w:leader="dot" w:pos="9062"/>
        </w:tabs>
        <w:ind w:left="220"/>
      </w:pPr>
      <w:hyperlink w:anchor="_Toc2476" w:history="1">
        <w:r>
          <w:rPr>
            <w:rFonts w:ascii="IRNazanin" w:hAnsi="IRNazanin" w:eastAsia="IRNazanin" w:cs="IRNazanin"/>
            <w:color w:val="111111"/>
            <w:sz w:val="22"/>
            <w:szCs w:val="22"/>
            <w:b w:val="0"/>
            <w:bCs w:val="0"/>
            <w:i w:val="0"/>
            <w:iCs w:val="0"/>
          </w:rPr>
          <w:t>جواهري عبد الحسين بن عباس، قرن 15ه-</w:t>
        </w:r>
        <w:r>
          <w:tab/>
        </w:r>
        <w:r>
          <w:fldChar w:fldCharType="begin"/>
        </w:r>
        <w:r>
          <w:instrText xml:space="preserve">PAGEREF 2476 \h</w:instrText>
        </w:r>
        <w:r>
          <w:fldChar w:fldCharType="end"/>
        </w:r>
      </w:hyperlink>
    </w:p>
    <w:p>
      <w:pPr>
        <w:tabs>
          <w:tab w:val="right" w:leader="dot" w:pos="9062"/>
        </w:tabs>
        <w:ind w:left="220"/>
      </w:pPr>
      <w:hyperlink w:anchor="_Toc2477" w:history="1">
        <w:r>
          <w:rPr>
            <w:rFonts w:ascii="IRNazanin" w:hAnsi="IRNazanin" w:eastAsia="IRNazanin" w:cs="IRNazanin"/>
            <w:color w:val="111111"/>
            <w:sz w:val="22"/>
            <w:szCs w:val="22"/>
            <w:b w:val="0"/>
            <w:bCs w:val="0"/>
            <w:i w:val="0"/>
            <w:iCs w:val="0"/>
          </w:rPr>
          <w:t>جواهري ، عبدالرسول</w:t>
        </w:r>
        <w:r>
          <w:tab/>
        </w:r>
        <w:r>
          <w:fldChar w:fldCharType="begin"/>
        </w:r>
        <w:r>
          <w:instrText xml:space="preserve">PAGEREF 2477 \h</w:instrText>
        </w:r>
        <w:r>
          <w:fldChar w:fldCharType="end"/>
        </w:r>
      </w:hyperlink>
    </w:p>
    <w:p>
      <w:pPr>
        <w:tabs>
          <w:tab w:val="right" w:leader="dot" w:pos="9062"/>
        </w:tabs>
        <w:ind w:left="220"/>
      </w:pPr>
      <w:hyperlink w:anchor="_Toc2478" w:history="1">
        <w:r>
          <w:rPr>
            <w:rFonts w:ascii="IRNazanin" w:hAnsi="IRNazanin" w:eastAsia="IRNazanin" w:cs="IRNazanin"/>
            <w:color w:val="111111"/>
            <w:sz w:val="22"/>
            <w:szCs w:val="22"/>
            <w:b w:val="0"/>
            <w:bCs w:val="0"/>
            <w:i w:val="0"/>
            <w:iCs w:val="0"/>
          </w:rPr>
          <w:t>جوبري، عبدالرحمن بن عمر ، قرن 7 ه-</w:t>
        </w:r>
        <w:r>
          <w:tab/>
        </w:r>
        <w:r>
          <w:fldChar w:fldCharType="begin"/>
        </w:r>
        <w:r>
          <w:instrText xml:space="preserve">PAGEREF 2478 \h</w:instrText>
        </w:r>
        <w:r>
          <w:fldChar w:fldCharType="end"/>
        </w:r>
      </w:hyperlink>
    </w:p>
    <w:p>
      <w:pPr>
        <w:tabs>
          <w:tab w:val="right" w:leader="dot" w:pos="9062"/>
        </w:tabs>
        <w:ind w:left="220"/>
      </w:pPr>
      <w:hyperlink w:anchor="_Toc2479" w:history="1">
        <w:r>
          <w:rPr>
            <w:rFonts w:ascii="IRNazanin" w:hAnsi="IRNazanin" w:eastAsia="IRNazanin" w:cs="IRNazanin"/>
            <w:color w:val="111111"/>
            <w:sz w:val="22"/>
            <w:szCs w:val="22"/>
            <w:b w:val="0"/>
            <w:bCs w:val="0"/>
            <w:i w:val="0"/>
            <w:iCs w:val="0"/>
          </w:rPr>
          <w:t>جوجري ، محمّد بن عبد المنعم 821 -</w:t>
        </w:r>
        <w:r>
          <w:tab/>
        </w:r>
        <w:r>
          <w:fldChar w:fldCharType="begin"/>
        </w:r>
        <w:r>
          <w:instrText xml:space="preserve">PAGEREF 2479 \h</w:instrText>
        </w:r>
        <w:r>
          <w:fldChar w:fldCharType="end"/>
        </w:r>
      </w:hyperlink>
    </w:p>
    <w:p>
      <w:pPr>
        <w:tabs>
          <w:tab w:val="right" w:leader="dot" w:pos="9062"/>
        </w:tabs>
        <w:ind w:left="220"/>
      </w:pPr>
      <w:hyperlink w:anchor="_Toc2480" w:history="1">
        <w:r>
          <w:rPr>
            <w:rFonts w:ascii="IRNazanin" w:hAnsi="IRNazanin" w:eastAsia="IRNazanin" w:cs="IRNazanin"/>
            <w:color w:val="111111"/>
            <w:sz w:val="22"/>
            <w:szCs w:val="22"/>
            <w:b w:val="0"/>
            <w:bCs w:val="0"/>
            <w:i w:val="0"/>
            <w:iCs w:val="0"/>
          </w:rPr>
          <w:t>جودت باشا ، احمد بن اسماعیل 1239 -</w:t>
        </w:r>
        <w:r>
          <w:tab/>
        </w:r>
        <w:r>
          <w:fldChar w:fldCharType="begin"/>
        </w:r>
        <w:r>
          <w:instrText xml:space="preserve">PAGEREF 2480 \h</w:instrText>
        </w:r>
        <w:r>
          <w:fldChar w:fldCharType="end"/>
        </w:r>
      </w:hyperlink>
    </w:p>
    <w:p>
      <w:pPr>
        <w:tabs>
          <w:tab w:val="right" w:leader="dot" w:pos="9062"/>
        </w:tabs>
        <w:ind w:left="220"/>
      </w:pPr>
      <w:hyperlink w:anchor="_Toc2481" w:history="1">
        <w:r>
          <w:rPr>
            <w:rFonts w:ascii="IRNazanin" w:hAnsi="IRNazanin" w:eastAsia="IRNazanin" w:cs="IRNazanin"/>
            <w:color w:val="111111"/>
            <w:sz w:val="22"/>
            <w:szCs w:val="22"/>
            <w:b w:val="0"/>
            <w:bCs w:val="0"/>
            <w:i w:val="0"/>
            <w:iCs w:val="0"/>
          </w:rPr>
          <w:t>جوذري عزيزي ، منصور - 390؟ ه-</w:t>
        </w:r>
        <w:r>
          <w:tab/>
        </w:r>
        <w:r>
          <w:fldChar w:fldCharType="begin"/>
        </w:r>
        <w:r>
          <w:instrText xml:space="preserve">PAGEREF 2481 \h</w:instrText>
        </w:r>
        <w:r>
          <w:fldChar w:fldCharType="end"/>
        </w:r>
      </w:hyperlink>
    </w:p>
    <w:p>
      <w:pPr>
        <w:tabs>
          <w:tab w:val="right" w:leader="dot" w:pos="9062"/>
        </w:tabs>
        <w:ind w:left="220"/>
      </w:pPr>
      <w:hyperlink w:anchor="_Toc2482" w:history="1">
        <w:r>
          <w:rPr>
            <w:rFonts w:ascii="IRNazanin" w:hAnsi="IRNazanin" w:eastAsia="IRNazanin" w:cs="IRNazanin"/>
            <w:color w:val="111111"/>
            <w:sz w:val="22"/>
            <w:szCs w:val="22"/>
            <w:b w:val="0"/>
            <w:bCs w:val="0"/>
            <w:i w:val="0"/>
            <w:iCs w:val="0"/>
          </w:rPr>
          <w:t>جوري، ابراهيم بن عبدالله - 1065 ه-</w:t>
        </w:r>
        <w:r>
          <w:tab/>
        </w:r>
        <w:r>
          <w:fldChar w:fldCharType="begin"/>
        </w:r>
        <w:r>
          <w:instrText xml:space="preserve">PAGEREF 2482 \h</w:instrText>
        </w:r>
        <w:r>
          <w:fldChar w:fldCharType="end"/>
        </w:r>
      </w:hyperlink>
    </w:p>
    <w:p>
      <w:pPr>
        <w:tabs>
          <w:tab w:val="right" w:leader="dot" w:pos="9062"/>
        </w:tabs>
        <w:ind w:left="220"/>
      </w:pPr>
      <w:hyperlink w:anchor="_Toc2483" w:history="1">
        <w:r>
          <w:rPr>
            <w:rFonts w:ascii="IRNazanin" w:hAnsi="IRNazanin" w:eastAsia="IRNazanin" w:cs="IRNazanin"/>
            <w:color w:val="111111"/>
            <w:sz w:val="22"/>
            <w:szCs w:val="22"/>
            <w:b w:val="0"/>
            <w:bCs w:val="0"/>
            <w:i w:val="0"/>
            <w:iCs w:val="0"/>
          </w:rPr>
          <w:t>جوري، حسن بن عبد القادر 1255 -</w:t>
        </w:r>
        <w:r>
          <w:tab/>
        </w:r>
        <w:r>
          <w:fldChar w:fldCharType="begin"/>
        </w:r>
        <w:r>
          <w:instrText xml:space="preserve">PAGEREF 2483 \h</w:instrText>
        </w:r>
        <w:r>
          <w:fldChar w:fldCharType="end"/>
        </w:r>
      </w:hyperlink>
    </w:p>
    <w:p>
      <w:pPr>
        <w:tabs>
          <w:tab w:val="right" w:leader="dot" w:pos="9062"/>
        </w:tabs>
        <w:ind w:left="220"/>
      </w:pPr>
      <w:hyperlink w:anchor="_Toc2484" w:history="1">
        <w:r>
          <w:rPr>
            <w:rFonts w:ascii="IRNazanin" w:hAnsi="IRNazanin" w:eastAsia="IRNazanin" w:cs="IRNazanin"/>
            <w:color w:val="111111"/>
            <w:sz w:val="22"/>
            <w:szCs w:val="22"/>
            <w:b w:val="0"/>
            <w:bCs w:val="0"/>
            <w:i w:val="0"/>
            <w:iCs w:val="0"/>
          </w:rPr>
          <w:t>جوزجاني ، عبدالواحد بن محمّد -438ه-</w:t>
        </w:r>
        <w:r>
          <w:tab/>
        </w:r>
        <w:r>
          <w:fldChar w:fldCharType="begin"/>
        </w:r>
        <w:r>
          <w:instrText xml:space="preserve">PAGEREF 2484 \h</w:instrText>
        </w:r>
        <w:r>
          <w:fldChar w:fldCharType="end"/>
        </w:r>
      </w:hyperlink>
    </w:p>
    <w:p>
      <w:pPr>
        <w:tabs>
          <w:tab w:val="right" w:leader="dot" w:pos="9062"/>
        </w:tabs>
        <w:ind w:left="220"/>
      </w:pPr>
      <w:hyperlink w:anchor="_Toc2485" w:history="1">
        <w:r>
          <w:rPr>
            <w:rFonts w:ascii="IRNazanin" w:hAnsi="IRNazanin" w:eastAsia="IRNazanin" w:cs="IRNazanin"/>
            <w:color w:val="111111"/>
            <w:sz w:val="22"/>
            <w:szCs w:val="22"/>
            <w:b w:val="0"/>
            <w:bCs w:val="0"/>
            <w:i w:val="0"/>
            <w:iCs w:val="0"/>
          </w:rPr>
          <w:t>جومرد ، عبد الفتاح بن محمّد شيث</w:t>
        </w:r>
        <w:r>
          <w:tab/>
        </w:r>
        <w:r>
          <w:fldChar w:fldCharType="begin"/>
        </w:r>
        <w:r>
          <w:instrText xml:space="preserve">PAGEREF 2485 \h</w:instrText>
        </w:r>
        <w:r>
          <w:fldChar w:fldCharType="end"/>
        </w:r>
      </w:hyperlink>
    </w:p>
    <w:p>
      <w:pPr>
        <w:tabs>
          <w:tab w:val="right" w:leader="dot" w:pos="9062"/>
        </w:tabs>
        <w:ind w:left="220"/>
      </w:pPr>
      <w:hyperlink w:anchor="_Toc2486" w:history="1">
        <w:r>
          <w:rPr>
            <w:rFonts w:ascii="IRNazanin" w:hAnsi="IRNazanin" w:eastAsia="IRNazanin" w:cs="IRNazanin"/>
            <w:color w:val="111111"/>
            <w:sz w:val="22"/>
            <w:szCs w:val="22"/>
            <w:b w:val="0"/>
            <w:bCs w:val="0"/>
            <w:i w:val="0"/>
            <w:iCs w:val="0"/>
          </w:rPr>
          <w:t>جومرد موصلي ، محمّد شيث بن عبدالله</w:t>
        </w:r>
        <w:r>
          <w:tab/>
        </w:r>
        <w:r>
          <w:fldChar w:fldCharType="begin"/>
        </w:r>
        <w:r>
          <w:instrText xml:space="preserve">PAGEREF 2486 \h</w:instrText>
        </w:r>
        <w:r>
          <w:fldChar w:fldCharType="end"/>
        </w:r>
      </w:hyperlink>
    </w:p>
    <w:p>
      <w:pPr>
        <w:tabs>
          <w:tab w:val="right" w:leader="dot" w:pos="9062"/>
        </w:tabs>
        <w:ind w:left="220"/>
      </w:pPr>
      <w:hyperlink w:anchor="_Toc2487" w:history="1">
        <w:r>
          <w:rPr>
            <w:rFonts w:ascii="IRNazanin" w:hAnsi="IRNazanin" w:eastAsia="IRNazanin" w:cs="IRNazanin"/>
            <w:color w:val="111111"/>
            <w:sz w:val="22"/>
            <w:szCs w:val="22"/>
            <w:b w:val="0"/>
            <w:bCs w:val="0"/>
            <w:i w:val="0"/>
            <w:iCs w:val="0"/>
          </w:rPr>
          <w:t>جونپوری ،انصاري روشن علي، قرن 11 ه-</w:t>
        </w:r>
        <w:r>
          <w:tab/>
        </w:r>
        <w:r>
          <w:fldChar w:fldCharType="begin"/>
        </w:r>
        <w:r>
          <w:instrText xml:space="preserve">PAGEREF 2487 \h</w:instrText>
        </w:r>
        <w:r>
          <w:fldChar w:fldCharType="end"/>
        </w:r>
      </w:hyperlink>
    </w:p>
    <w:p>
      <w:pPr>
        <w:tabs>
          <w:tab w:val="right" w:leader="dot" w:pos="9062"/>
        </w:tabs>
        <w:ind w:left="220"/>
      </w:pPr>
      <w:hyperlink w:anchor="_Toc2488" w:history="1">
        <w:r>
          <w:rPr>
            <w:rFonts w:ascii="IRNazanin" w:hAnsi="IRNazanin" w:eastAsia="IRNazanin" w:cs="IRNazanin"/>
            <w:color w:val="111111"/>
            <w:sz w:val="22"/>
            <w:szCs w:val="22"/>
            <w:b w:val="0"/>
            <w:bCs w:val="0"/>
            <w:i w:val="0"/>
            <w:iCs w:val="0"/>
          </w:rPr>
          <w:t>جونفوري، عبدالرشيد بن مصطفى</w:t>
        </w:r>
        <w:r>
          <w:tab/>
        </w:r>
        <w:r>
          <w:fldChar w:fldCharType="begin"/>
        </w:r>
        <w:r>
          <w:instrText xml:space="preserve">PAGEREF 2488 \h</w:instrText>
        </w:r>
        <w:r>
          <w:fldChar w:fldCharType="end"/>
        </w:r>
      </w:hyperlink>
    </w:p>
    <w:p>
      <w:pPr>
        <w:tabs>
          <w:tab w:val="right" w:leader="dot" w:pos="9062"/>
        </w:tabs>
        <w:ind w:left="220"/>
      </w:pPr>
      <w:hyperlink w:anchor="_Toc2489" w:history="1">
        <w:r>
          <w:rPr>
            <w:rFonts w:ascii="IRNazanin" w:hAnsi="IRNazanin" w:eastAsia="IRNazanin" w:cs="IRNazanin"/>
            <w:color w:val="111111"/>
            <w:sz w:val="22"/>
            <w:szCs w:val="22"/>
            <w:b w:val="0"/>
            <w:bCs w:val="0"/>
            <w:i w:val="0"/>
            <w:iCs w:val="0"/>
          </w:rPr>
          <w:t>جونفوري ، غلامحسين</w:t>
        </w:r>
        <w:r>
          <w:tab/>
        </w:r>
        <w:r>
          <w:fldChar w:fldCharType="begin"/>
        </w:r>
        <w:r>
          <w:instrText xml:space="preserve">PAGEREF 2489 \h</w:instrText>
        </w:r>
        <w:r>
          <w:fldChar w:fldCharType="end"/>
        </w:r>
      </w:hyperlink>
    </w:p>
    <w:p>
      <w:pPr>
        <w:tabs>
          <w:tab w:val="right" w:leader="dot" w:pos="9062"/>
        </w:tabs>
        <w:ind w:left="220"/>
      </w:pPr>
      <w:hyperlink w:anchor="_Toc2490" w:history="1">
        <w:r>
          <w:rPr>
            <w:rFonts w:ascii="IRNazanin" w:hAnsi="IRNazanin" w:eastAsia="IRNazanin" w:cs="IRNazanin"/>
            <w:color w:val="111111"/>
            <w:sz w:val="22"/>
            <w:szCs w:val="22"/>
            <w:b w:val="0"/>
            <w:bCs w:val="0"/>
            <w:i w:val="0"/>
            <w:iCs w:val="0"/>
          </w:rPr>
          <w:t>جوني ، شمس الدين</w:t>
        </w:r>
        <w:r>
          <w:tab/>
        </w:r>
        <w:r>
          <w:fldChar w:fldCharType="begin"/>
        </w:r>
        <w:r>
          <w:instrText xml:space="preserve">PAGEREF 2490 \h</w:instrText>
        </w:r>
        <w:r>
          <w:fldChar w:fldCharType="end"/>
        </w:r>
      </w:hyperlink>
    </w:p>
    <w:p>
      <w:pPr>
        <w:tabs>
          <w:tab w:val="right" w:leader="dot" w:pos="9062"/>
        </w:tabs>
        <w:ind w:left="220"/>
      </w:pPr>
      <w:hyperlink w:anchor="_Toc2491" w:history="1">
        <w:r>
          <w:rPr>
            <w:rFonts w:ascii="IRNazanin" w:hAnsi="IRNazanin" w:eastAsia="IRNazanin" w:cs="IRNazanin"/>
            <w:color w:val="111111"/>
            <w:sz w:val="22"/>
            <w:szCs w:val="22"/>
            <w:b w:val="0"/>
            <w:bCs w:val="0"/>
            <w:i w:val="0"/>
            <w:iCs w:val="0"/>
          </w:rPr>
          <w:t>جوهرزاده بنجويني ، محمّد بن</w:t>
        </w:r>
        <w:r>
          <w:tab/>
        </w:r>
        <w:r>
          <w:fldChar w:fldCharType="begin"/>
        </w:r>
        <w:r>
          <w:instrText xml:space="preserve">PAGEREF 2491 \h</w:instrText>
        </w:r>
        <w:r>
          <w:fldChar w:fldCharType="end"/>
        </w:r>
      </w:hyperlink>
    </w:p>
    <w:p>
      <w:pPr>
        <w:tabs>
          <w:tab w:val="right" w:leader="dot" w:pos="9062"/>
        </w:tabs>
        <w:ind w:left="220"/>
      </w:pPr>
      <w:hyperlink w:anchor="_Toc2492" w:history="1">
        <w:r>
          <w:rPr>
            <w:rFonts w:ascii="IRNazanin" w:hAnsi="IRNazanin" w:eastAsia="IRNazanin" w:cs="IRNazanin"/>
            <w:color w:val="111111"/>
            <w:sz w:val="22"/>
            <w:szCs w:val="22"/>
            <w:b w:val="0"/>
            <w:bCs w:val="0"/>
            <w:i w:val="0"/>
            <w:iCs w:val="0"/>
          </w:rPr>
          <w:t>جوهري، احمد بن حسن، 1099-1181ه-</w:t>
        </w:r>
        <w:r>
          <w:tab/>
        </w:r>
        <w:r>
          <w:fldChar w:fldCharType="begin"/>
        </w:r>
        <w:r>
          <w:instrText xml:space="preserve">PAGEREF 2492 \h</w:instrText>
        </w:r>
        <w:r>
          <w:fldChar w:fldCharType="end"/>
        </w:r>
      </w:hyperlink>
    </w:p>
    <w:p>
      <w:pPr>
        <w:tabs>
          <w:tab w:val="right" w:leader="dot" w:pos="9062"/>
        </w:tabs>
        <w:ind w:left="220"/>
      </w:pPr>
      <w:hyperlink w:anchor="_Toc2493" w:history="1">
        <w:r>
          <w:rPr>
            <w:rFonts w:ascii="IRNazanin" w:hAnsi="IRNazanin" w:eastAsia="IRNazanin" w:cs="IRNazanin"/>
            <w:color w:val="111111"/>
            <w:sz w:val="22"/>
            <w:szCs w:val="22"/>
            <w:b w:val="0"/>
            <w:bCs w:val="0"/>
            <w:i w:val="0"/>
            <w:iCs w:val="0"/>
          </w:rPr>
          <w:t>جوهري ، احمد بن محمّد - 401 ه-</w:t>
        </w:r>
        <w:r>
          <w:tab/>
        </w:r>
        <w:r>
          <w:fldChar w:fldCharType="begin"/>
        </w:r>
        <w:r>
          <w:instrText xml:space="preserve">PAGEREF 2493 \h</w:instrText>
        </w:r>
        <w:r>
          <w:fldChar w:fldCharType="end"/>
        </w:r>
      </w:hyperlink>
    </w:p>
    <w:p>
      <w:pPr>
        <w:tabs>
          <w:tab w:val="right" w:leader="dot" w:pos="9062"/>
        </w:tabs>
        <w:ind w:left="220"/>
      </w:pPr>
      <w:hyperlink w:anchor="_Toc2494" w:history="1">
        <w:r>
          <w:rPr>
            <w:rFonts w:ascii="IRNazanin" w:hAnsi="IRNazanin" w:eastAsia="IRNazanin" w:cs="IRNazanin"/>
            <w:color w:val="111111"/>
            <w:sz w:val="22"/>
            <w:szCs w:val="22"/>
            <w:b w:val="0"/>
            <w:bCs w:val="0"/>
            <w:i w:val="0"/>
            <w:iCs w:val="0"/>
          </w:rPr>
          <w:t>جوهري، اسماعيل بن حماد - 393 ه-</w:t>
        </w:r>
        <w:r>
          <w:tab/>
        </w:r>
        <w:r>
          <w:fldChar w:fldCharType="begin"/>
        </w:r>
        <w:r>
          <w:instrText xml:space="preserve">PAGEREF 2494 \h</w:instrText>
        </w:r>
        <w:r>
          <w:fldChar w:fldCharType="end"/>
        </w:r>
      </w:hyperlink>
    </w:p>
    <w:p>
      <w:pPr>
        <w:tabs>
          <w:tab w:val="right" w:leader="dot" w:pos="9062"/>
        </w:tabs>
        <w:ind w:left="220"/>
      </w:pPr>
      <w:hyperlink w:anchor="_Toc2495" w:history="1">
        <w:r>
          <w:rPr>
            <w:rFonts w:ascii="IRNazanin" w:hAnsi="IRNazanin" w:eastAsia="IRNazanin" w:cs="IRNazanin"/>
            <w:color w:val="111111"/>
            <w:sz w:val="22"/>
            <w:szCs w:val="22"/>
            <w:b w:val="0"/>
            <w:bCs w:val="0"/>
            <w:i w:val="0"/>
            <w:iCs w:val="0"/>
          </w:rPr>
          <w:t>جوهري، اسماعيل بن غنيم قرن 12 ه-</w:t>
        </w:r>
        <w:r>
          <w:tab/>
        </w:r>
        <w:r>
          <w:fldChar w:fldCharType="begin"/>
        </w:r>
        <w:r>
          <w:instrText xml:space="preserve">PAGEREF 2495 \h</w:instrText>
        </w:r>
        <w:r>
          <w:fldChar w:fldCharType="end"/>
        </w:r>
      </w:hyperlink>
    </w:p>
    <w:p>
      <w:pPr>
        <w:tabs>
          <w:tab w:val="right" w:leader="dot" w:pos="9062"/>
        </w:tabs>
        <w:ind w:left="220"/>
      </w:pPr>
      <w:hyperlink w:anchor="_Toc2496" w:history="1">
        <w:r>
          <w:rPr>
            <w:rFonts w:ascii="IRNazanin" w:hAnsi="IRNazanin" w:eastAsia="IRNazanin" w:cs="IRNazanin"/>
            <w:color w:val="111111"/>
            <w:sz w:val="22"/>
            <w:szCs w:val="22"/>
            <w:b w:val="0"/>
            <w:bCs w:val="0"/>
            <w:i w:val="0"/>
            <w:iCs w:val="0"/>
          </w:rPr>
          <w:t>جوهري صغير، محمّد بن احمد 1151 -</w:t>
        </w:r>
        <w:r>
          <w:tab/>
        </w:r>
        <w:r>
          <w:fldChar w:fldCharType="begin"/>
        </w:r>
        <w:r>
          <w:instrText xml:space="preserve">PAGEREF 2496 \h</w:instrText>
        </w:r>
        <w:r>
          <w:fldChar w:fldCharType="end"/>
        </w:r>
      </w:hyperlink>
    </w:p>
    <w:p>
      <w:pPr>
        <w:tabs>
          <w:tab w:val="right" w:leader="dot" w:pos="9062"/>
        </w:tabs>
        <w:ind w:left="220"/>
      </w:pPr>
      <w:hyperlink w:anchor="_Toc2497" w:history="1">
        <w:r>
          <w:rPr>
            <w:rFonts w:ascii="IRNazanin" w:hAnsi="IRNazanin" w:eastAsia="IRNazanin" w:cs="IRNazanin"/>
            <w:color w:val="111111"/>
            <w:sz w:val="22"/>
            <w:szCs w:val="22"/>
            <w:b w:val="0"/>
            <w:bCs w:val="0"/>
            <w:i w:val="0"/>
            <w:iCs w:val="0"/>
          </w:rPr>
          <w:t>جوهري، محمّد ابراهيم بن محمّد باقر</w:t>
        </w:r>
        <w:r>
          <w:tab/>
        </w:r>
        <w:r>
          <w:fldChar w:fldCharType="begin"/>
        </w:r>
        <w:r>
          <w:instrText xml:space="preserve">PAGEREF 2497 \h</w:instrText>
        </w:r>
        <w:r>
          <w:fldChar w:fldCharType="end"/>
        </w:r>
      </w:hyperlink>
    </w:p>
    <w:p>
      <w:pPr>
        <w:tabs>
          <w:tab w:val="right" w:leader="dot" w:pos="9062"/>
        </w:tabs>
        <w:ind w:left="220"/>
      </w:pPr>
      <w:hyperlink w:anchor="_Toc2498" w:history="1">
        <w:r>
          <w:rPr>
            <w:rFonts w:ascii="IRNazanin" w:hAnsi="IRNazanin" w:eastAsia="IRNazanin" w:cs="IRNazanin"/>
            <w:color w:val="111111"/>
            <w:sz w:val="22"/>
            <w:szCs w:val="22"/>
            <w:b w:val="0"/>
            <w:bCs w:val="0"/>
            <w:i w:val="0"/>
            <w:iCs w:val="0"/>
          </w:rPr>
          <w:t>جوي زاده، محمّد بن محمّد - 995 ه-</w:t>
        </w:r>
        <w:r>
          <w:tab/>
        </w:r>
        <w:r>
          <w:fldChar w:fldCharType="begin"/>
        </w:r>
        <w:r>
          <w:instrText xml:space="preserve">PAGEREF 2498 \h</w:instrText>
        </w:r>
        <w:r>
          <w:fldChar w:fldCharType="end"/>
        </w:r>
      </w:hyperlink>
    </w:p>
    <w:p>
      <w:pPr>
        <w:tabs>
          <w:tab w:val="right" w:leader="dot" w:pos="9062"/>
        </w:tabs>
        <w:ind w:left="220"/>
      </w:pPr>
      <w:hyperlink w:anchor="_Toc2499" w:history="1">
        <w:r>
          <w:rPr>
            <w:rFonts w:ascii="IRNazanin" w:hAnsi="IRNazanin" w:eastAsia="IRNazanin" w:cs="IRNazanin"/>
            <w:color w:val="111111"/>
            <w:sz w:val="22"/>
            <w:szCs w:val="22"/>
            <w:b w:val="0"/>
            <w:bCs w:val="0"/>
            <w:i w:val="0"/>
            <w:iCs w:val="0"/>
          </w:rPr>
          <w:t>جويني ، عبدالقادر</w:t>
        </w:r>
        <w:r>
          <w:tab/>
        </w:r>
        <w:r>
          <w:fldChar w:fldCharType="begin"/>
        </w:r>
        <w:r>
          <w:instrText xml:space="preserve">PAGEREF 2499 \h</w:instrText>
        </w:r>
        <w:r>
          <w:fldChar w:fldCharType="end"/>
        </w:r>
      </w:hyperlink>
    </w:p>
    <w:p>
      <w:pPr>
        <w:tabs>
          <w:tab w:val="right" w:leader="dot" w:pos="9062"/>
        </w:tabs>
        <w:ind w:left="220"/>
      </w:pPr>
      <w:hyperlink w:anchor="_Toc2500" w:history="1">
        <w:r>
          <w:rPr>
            <w:rFonts w:ascii="IRNazanin" w:hAnsi="IRNazanin" w:eastAsia="IRNazanin" w:cs="IRNazanin"/>
            <w:color w:val="111111"/>
            <w:sz w:val="22"/>
            <w:szCs w:val="22"/>
            <w:b w:val="0"/>
            <w:bCs w:val="0"/>
            <w:i w:val="0"/>
            <w:iCs w:val="0"/>
          </w:rPr>
          <w:t>جويني ، عبدالله بن يوسف - 438 ه-</w:t>
        </w:r>
        <w:r>
          <w:tab/>
        </w:r>
        <w:r>
          <w:fldChar w:fldCharType="begin"/>
        </w:r>
        <w:r>
          <w:instrText xml:space="preserve">PAGEREF 2500 \h</w:instrText>
        </w:r>
        <w:r>
          <w:fldChar w:fldCharType="end"/>
        </w:r>
      </w:hyperlink>
    </w:p>
    <w:p>
      <w:pPr>
        <w:tabs>
          <w:tab w:val="right" w:leader="dot" w:pos="9062"/>
        </w:tabs>
        <w:ind w:left="220"/>
      </w:pPr>
      <w:hyperlink w:anchor="_Toc2501" w:history="1">
        <w:r>
          <w:rPr>
            <w:rFonts w:ascii="IRNazanin" w:hAnsi="IRNazanin" w:eastAsia="IRNazanin" w:cs="IRNazanin"/>
            <w:color w:val="111111"/>
            <w:sz w:val="22"/>
            <w:szCs w:val="22"/>
            <w:b w:val="0"/>
            <w:bCs w:val="0"/>
            <w:i w:val="0"/>
            <w:iCs w:val="0"/>
          </w:rPr>
          <w:t>جويني محمّد بن حمويه ، 449-530 ه-</w:t>
        </w:r>
        <w:r>
          <w:tab/>
        </w:r>
        <w:r>
          <w:fldChar w:fldCharType="begin"/>
        </w:r>
        <w:r>
          <w:instrText xml:space="preserve">PAGEREF 2501 \h</w:instrText>
        </w:r>
        <w:r>
          <w:fldChar w:fldCharType="end"/>
        </w:r>
      </w:hyperlink>
    </w:p>
    <w:p>
      <w:pPr>
        <w:tabs>
          <w:tab w:val="right" w:leader="dot" w:pos="9062"/>
        </w:tabs>
        <w:ind w:left="220"/>
      </w:pPr>
      <w:hyperlink w:anchor="_Toc2502" w:history="1">
        <w:r>
          <w:rPr>
            <w:rFonts w:ascii="IRNazanin" w:hAnsi="IRNazanin" w:eastAsia="IRNazanin" w:cs="IRNazanin"/>
            <w:color w:val="111111"/>
            <w:sz w:val="22"/>
            <w:szCs w:val="22"/>
            <w:b w:val="0"/>
            <w:bCs w:val="0"/>
            <w:i w:val="0"/>
            <w:iCs w:val="0"/>
          </w:rPr>
          <w:t>جويني، يوسف بن محمّد 582-647 ه-</w:t>
        </w:r>
        <w:r>
          <w:tab/>
        </w:r>
        <w:r>
          <w:fldChar w:fldCharType="begin"/>
        </w:r>
        <w:r>
          <w:instrText xml:space="preserve">PAGEREF 2502 \h</w:instrText>
        </w:r>
        <w:r>
          <w:fldChar w:fldCharType="end"/>
        </w:r>
      </w:hyperlink>
    </w:p>
    <w:p>
      <w:pPr>
        <w:tabs>
          <w:tab w:val="right" w:leader="dot" w:pos="9062"/>
        </w:tabs>
        <w:ind w:left="220"/>
      </w:pPr>
      <w:hyperlink w:anchor="_Toc2503" w:history="1">
        <w:r>
          <w:rPr>
            <w:rFonts w:ascii="IRNazanin" w:hAnsi="IRNazanin" w:eastAsia="IRNazanin" w:cs="IRNazanin"/>
            <w:color w:val="111111"/>
            <w:sz w:val="22"/>
            <w:szCs w:val="22"/>
            <w:b w:val="0"/>
            <w:bCs w:val="0"/>
            <w:i w:val="0"/>
            <w:iCs w:val="0"/>
          </w:rPr>
          <w:t>جياني ، حسين بن محمّد 427 - 498 ه-</w:t>
        </w:r>
        <w:r>
          <w:tab/>
        </w:r>
        <w:r>
          <w:fldChar w:fldCharType="begin"/>
        </w:r>
        <w:r>
          <w:instrText xml:space="preserve">PAGEREF 2503 \h</w:instrText>
        </w:r>
        <w:r>
          <w:fldChar w:fldCharType="end"/>
        </w:r>
      </w:hyperlink>
    </w:p>
    <w:p>
      <w:pPr>
        <w:tabs>
          <w:tab w:val="right" w:leader="dot" w:pos="9062"/>
        </w:tabs>
        <w:ind w:left="220"/>
      </w:pPr>
      <w:hyperlink w:anchor="_Toc2504" w:history="1">
        <w:r>
          <w:rPr>
            <w:rFonts w:ascii="IRNazanin" w:hAnsi="IRNazanin" w:eastAsia="IRNazanin" w:cs="IRNazanin"/>
            <w:color w:val="111111"/>
            <w:sz w:val="22"/>
            <w:szCs w:val="22"/>
            <w:b w:val="0"/>
            <w:bCs w:val="0"/>
            <w:i w:val="0"/>
            <w:iCs w:val="0"/>
          </w:rPr>
          <w:t>جيلاني ،رشتي باقر بن ،شعبان قرن 14 ه-</w:t>
        </w:r>
        <w:r>
          <w:tab/>
        </w:r>
        <w:r>
          <w:fldChar w:fldCharType="begin"/>
        </w:r>
        <w:r>
          <w:instrText xml:space="preserve">PAGEREF 2504 \h</w:instrText>
        </w:r>
        <w:r>
          <w:fldChar w:fldCharType="end"/>
        </w:r>
      </w:hyperlink>
    </w:p>
    <w:p>
      <w:pPr>
        <w:tabs>
          <w:tab w:val="right" w:leader="dot" w:pos="9062"/>
        </w:tabs>
        <w:ind w:left="220"/>
      </w:pPr>
      <w:hyperlink w:anchor="_Toc2505" w:history="1">
        <w:r>
          <w:rPr>
            <w:rFonts w:ascii="IRNazanin" w:hAnsi="IRNazanin" w:eastAsia="IRNazanin" w:cs="IRNazanin"/>
            <w:color w:val="111111"/>
            <w:sz w:val="22"/>
            <w:szCs w:val="22"/>
            <w:b w:val="0"/>
            <w:bCs w:val="0"/>
            <w:i w:val="0"/>
            <w:iCs w:val="0"/>
          </w:rPr>
          <w:t>جيلاني ، عبدالكريم بن ابراهيم 767 -</w:t>
        </w:r>
        <w:r>
          <w:tab/>
        </w:r>
        <w:r>
          <w:fldChar w:fldCharType="begin"/>
        </w:r>
        <w:r>
          <w:instrText xml:space="preserve">PAGEREF 2505 \h</w:instrText>
        </w:r>
        <w:r>
          <w:fldChar w:fldCharType="end"/>
        </w:r>
      </w:hyperlink>
    </w:p>
    <w:p>
      <w:pPr>
        <w:tabs>
          <w:tab w:val="right" w:leader="dot" w:pos="9062"/>
        </w:tabs>
        <w:ind w:left="220"/>
      </w:pPr>
      <w:hyperlink w:anchor="_Toc2506" w:history="1">
        <w:r>
          <w:rPr>
            <w:rFonts w:ascii="IRNazanin" w:hAnsi="IRNazanin" w:eastAsia="IRNazanin" w:cs="IRNazanin"/>
            <w:color w:val="111111"/>
            <w:sz w:val="22"/>
            <w:szCs w:val="22"/>
            <w:b w:val="0"/>
            <w:bCs w:val="0"/>
            <w:i w:val="0"/>
            <w:iCs w:val="0"/>
          </w:rPr>
          <w:t>جيلاني علي محمّد بن غلامعلي قرن 13ه-</w:t>
        </w:r>
        <w:r>
          <w:tab/>
        </w:r>
        <w:r>
          <w:fldChar w:fldCharType="begin"/>
        </w:r>
        <w:r>
          <w:instrText xml:space="preserve">PAGEREF 2506 \h</w:instrText>
        </w:r>
        <w:r>
          <w:fldChar w:fldCharType="end"/>
        </w:r>
      </w:hyperlink>
    </w:p>
    <w:p>
      <w:pPr>
        <w:tabs>
          <w:tab w:val="right" w:leader="dot" w:pos="9062"/>
        </w:tabs>
        <w:ind w:left="220"/>
      </w:pPr>
      <w:hyperlink w:anchor="_Toc2507" w:history="1">
        <w:r>
          <w:rPr>
            <w:rFonts w:ascii="IRNazanin" w:hAnsi="IRNazanin" w:eastAsia="IRNazanin" w:cs="IRNazanin"/>
            <w:color w:val="111111"/>
            <w:sz w:val="22"/>
            <w:szCs w:val="22"/>
            <w:b w:val="0"/>
            <w:bCs w:val="0"/>
            <w:i w:val="0"/>
            <w:iCs w:val="0"/>
          </w:rPr>
          <w:t>جيلاني ، محمّد باقر بن حسين</w:t>
        </w:r>
        <w:r>
          <w:tab/>
        </w:r>
        <w:r>
          <w:fldChar w:fldCharType="begin"/>
        </w:r>
        <w:r>
          <w:instrText xml:space="preserve">PAGEREF 2507 \h</w:instrText>
        </w:r>
        <w:r>
          <w:fldChar w:fldCharType="end"/>
        </w:r>
      </w:hyperlink>
    </w:p>
    <w:p>
      <w:pPr>
        <w:tabs>
          <w:tab w:val="right" w:leader="dot" w:pos="9062"/>
        </w:tabs>
        <w:ind w:left="220"/>
      </w:pPr>
      <w:hyperlink w:anchor="_Toc2508" w:history="1">
        <w:r>
          <w:rPr>
            <w:rFonts w:ascii="IRNazanin" w:hAnsi="IRNazanin" w:eastAsia="IRNazanin" w:cs="IRNazanin"/>
            <w:color w:val="111111"/>
            <w:sz w:val="22"/>
            <w:szCs w:val="22"/>
            <w:b w:val="0"/>
            <w:bCs w:val="0"/>
            <w:i w:val="0"/>
            <w:iCs w:val="0"/>
          </w:rPr>
          <w:t>جيلاني ، محمّد رفيع بن رفيع - 91245ه-</w:t>
        </w:r>
        <w:r>
          <w:tab/>
        </w:r>
        <w:r>
          <w:fldChar w:fldCharType="begin"/>
        </w:r>
        <w:r>
          <w:instrText xml:space="preserve">PAGEREF 2508 \h</w:instrText>
        </w:r>
        <w:r>
          <w:fldChar w:fldCharType="end"/>
        </w:r>
      </w:hyperlink>
    </w:p>
    <w:p>
      <w:pPr>
        <w:tabs>
          <w:tab w:val="right" w:leader="dot" w:pos="9062"/>
        </w:tabs>
        <w:ind w:left="220"/>
      </w:pPr>
      <w:hyperlink w:anchor="_Toc2509" w:history="1">
        <w:r>
          <w:rPr>
            <w:rFonts w:ascii="IRNazanin" w:hAnsi="IRNazanin" w:eastAsia="IRNazanin" w:cs="IRNazanin"/>
            <w:color w:val="111111"/>
            <w:sz w:val="22"/>
            <w:szCs w:val="22"/>
            <w:b w:val="0"/>
            <w:bCs w:val="0"/>
            <w:i w:val="0"/>
            <w:iCs w:val="0"/>
          </w:rPr>
          <w:t>جيلاني، محمّد رفيع بن فرج - 1160 ؟ ه-</w:t>
        </w:r>
        <w:r>
          <w:tab/>
        </w:r>
        <w:r>
          <w:fldChar w:fldCharType="begin"/>
        </w:r>
        <w:r>
          <w:instrText xml:space="preserve">PAGEREF 2509 \h</w:instrText>
        </w:r>
        <w:r>
          <w:fldChar w:fldCharType="end"/>
        </w:r>
      </w:hyperlink>
    </w:p>
    <w:p>
      <w:pPr>
        <w:tabs>
          <w:tab w:val="right" w:leader="dot" w:pos="9062"/>
        </w:tabs>
        <w:ind w:left="220"/>
      </w:pPr>
      <w:hyperlink w:anchor="_Toc2510" w:history="1">
        <w:r>
          <w:rPr>
            <w:rFonts w:ascii="IRNazanin" w:hAnsi="IRNazanin" w:eastAsia="IRNazanin" w:cs="IRNazanin"/>
            <w:color w:val="111111"/>
            <w:sz w:val="22"/>
            <w:szCs w:val="22"/>
            <w:b w:val="0"/>
            <w:bCs w:val="0"/>
            <w:i w:val="0"/>
            <w:iCs w:val="0"/>
          </w:rPr>
          <w:t>جيلي ، احمد بن محمود قرن 8 ه-</w:t>
        </w:r>
        <w:r>
          <w:tab/>
        </w:r>
        <w:r>
          <w:fldChar w:fldCharType="begin"/>
        </w:r>
        <w:r>
          <w:instrText xml:space="preserve">PAGEREF 2510 \h</w:instrText>
        </w:r>
        <w:r>
          <w:fldChar w:fldCharType="end"/>
        </w:r>
      </w:hyperlink>
    </w:p>
    <w:p>
      <w:pPr>
        <w:tabs>
          <w:tab w:val="right" w:leader="dot" w:pos="9062"/>
        </w:tabs>
        <w:ind w:left="220"/>
      </w:pPr>
      <w:hyperlink w:anchor="_Toc2511" w:history="1">
        <w:r>
          <w:rPr>
            <w:rFonts w:ascii="IRNazanin" w:hAnsi="IRNazanin" w:eastAsia="IRNazanin" w:cs="IRNazanin"/>
            <w:color w:val="111111"/>
            <w:sz w:val="22"/>
            <w:szCs w:val="22"/>
            <w:b w:val="0"/>
            <w:bCs w:val="0"/>
            <w:i w:val="0"/>
            <w:iCs w:val="0"/>
          </w:rPr>
          <w:t>جيلي طالسي ، احمد</w:t>
        </w:r>
        <w:r>
          <w:tab/>
        </w:r>
        <w:r>
          <w:fldChar w:fldCharType="begin"/>
        </w:r>
        <w:r>
          <w:instrText xml:space="preserve">PAGEREF 2511 \h</w:instrText>
        </w:r>
        <w:r>
          <w:fldChar w:fldCharType="end"/>
        </w:r>
      </w:hyperlink>
    </w:p>
    <w:p>
      <w:pPr>
        <w:tabs>
          <w:tab w:val="right" w:leader="dot" w:pos="9062"/>
        </w:tabs>
        <w:ind w:left="220"/>
      </w:pPr>
      <w:hyperlink w:anchor="_Toc2512" w:history="1">
        <w:r>
          <w:rPr>
            <w:rFonts w:ascii="IRNazanin" w:hAnsi="IRNazanin" w:eastAsia="IRNazanin" w:cs="IRNazanin"/>
            <w:color w:val="111111"/>
            <w:sz w:val="22"/>
            <w:szCs w:val="22"/>
            <w:b w:val="0"/>
            <w:bCs w:val="0"/>
            <w:i w:val="0"/>
            <w:iCs w:val="0"/>
          </w:rPr>
          <w:t>چاپلقي ، علي اصغر بن محمّد شفيع .</w:t>
        </w:r>
        <w:r>
          <w:tab/>
        </w:r>
        <w:r>
          <w:fldChar w:fldCharType="begin"/>
        </w:r>
        <w:r>
          <w:instrText xml:space="preserve">PAGEREF 2512 \h</w:instrText>
        </w:r>
        <w:r>
          <w:fldChar w:fldCharType="end"/>
        </w:r>
      </w:hyperlink>
    </w:p>
    <w:p>
      <w:pPr>
        <w:tabs>
          <w:tab w:val="right" w:leader="dot" w:pos="9062"/>
        </w:tabs>
        <w:ind w:left="220"/>
      </w:pPr>
      <w:hyperlink w:anchor="_Toc2513" w:history="1">
        <w:r>
          <w:rPr>
            <w:rFonts w:ascii="IRNazanin" w:hAnsi="IRNazanin" w:eastAsia="IRNazanin" w:cs="IRNazanin"/>
            <w:color w:val="111111"/>
            <w:sz w:val="22"/>
            <w:szCs w:val="22"/>
            <w:b w:val="0"/>
            <w:bCs w:val="0"/>
            <w:i w:val="0"/>
            <w:iCs w:val="0"/>
          </w:rPr>
          <w:t>چته چي ، عبدالله بن ابراهيم 1115 -</w:t>
        </w:r>
        <w:r>
          <w:tab/>
        </w:r>
        <w:r>
          <w:fldChar w:fldCharType="begin"/>
        </w:r>
        <w:r>
          <w:instrText xml:space="preserve">PAGEREF 2513 \h</w:instrText>
        </w:r>
        <w:r>
          <w:fldChar w:fldCharType="end"/>
        </w:r>
      </w:hyperlink>
    </w:p>
    <w:p>
      <w:pPr>
        <w:tabs>
          <w:tab w:val="right" w:leader="dot" w:pos="9062"/>
        </w:tabs>
        <w:ind w:left="220"/>
      </w:pPr>
      <w:hyperlink w:anchor="_Toc2514" w:history="1">
        <w:r>
          <w:rPr>
            <w:rFonts w:ascii="IRNazanin" w:hAnsi="IRNazanin" w:eastAsia="IRNazanin" w:cs="IRNazanin"/>
            <w:color w:val="111111"/>
            <w:sz w:val="22"/>
            <w:szCs w:val="22"/>
            <w:b w:val="0"/>
            <w:bCs w:val="0"/>
            <w:i w:val="0"/>
            <w:iCs w:val="0"/>
          </w:rPr>
          <w:t>چرخي ، يعقوب بن عثمان 762 - 851 ه-؟</w:t>
        </w:r>
        <w:r>
          <w:tab/>
        </w:r>
        <w:r>
          <w:fldChar w:fldCharType="begin"/>
        </w:r>
        <w:r>
          <w:instrText xml:space="preserve">PAGEREF 2514 \h</w:instrText>
        </w:r>
        <w:r>
          <w:fldChar w:fldCharType="end"/>
        </w:r>
      </w:hyperlink>
    </w:p>
    <w:p>
      <w:pPr>
        <w:tabs>
          <w:tab w:val="right" w:leader="dot" w:pos="9062"/>
        </w:tabs>
        <w:ind w:left="220"/>
      </w:pPr>
      <w:hyperlink w:anchor="_Toc2515" w:history="1">
        <w:r>
          <w:rPr>
            <w:rFonts w:ascii="IRNazanin" w:hAnsi="IRNazanin" w:eastAsia="IRNazanin" w:cs="IRNazanin"/>
            <w:color w:val="111111"/>
            <w:sz w:val="22"/>
            <w:szCs w:val="22"/>
            <w:b w:val="0"/>
            <w:bCs w:val="0"/>
            <w:i w:val="0"/>
            <w:iCs w:val="0"/>
          </w:rPr>
          <w:t>چشتي قادري، كمال الدين بن جمال</w:t>
        </w:r>
        <w:r>
          <w:tab/>
        </w:r>
        <w:r>
          <w:fldChar w:fldCharType="begin"/>
        </w:r>
        <w:r>
          <w:instrText xml:space="preserve">PAGEREF 2515 \h</w:instrText>
        </w:r>
        <w:r>
          <w:fldChar w:fldCharType="end"/>
        </w:r>
      </w:hyperlink>
    </w:p>
    <w:p>
      <w:pPr>
        <w:tabs>
          <w:tab w:val="right" w:leader="dot" w:pos="9062"/>
        </w:tabs>
        <w:ind w:left="220"/>
      </w:pPr>
      <w:hyperlink w:anchor="_Toc2516" w:history="1">
        <w:r>
          <w:rPr>
            <w:rFonts w:ascii="IRNazanin" w:hAnsi="IRNazanin" w:eastAsia="IRNazanin" w:cs="IRNazanin"/>
            <w:color w:val="111111"/>
            <w:sz w:val="22"/>
            <w:szCs w:val="22"/>
            <w:b w:val="0"/>
            <w:bCs w:val="0"/>
            <w:i w:val="0"/>
            <w:iCs w:val="0"/>
          </w:rPr>
          <w:t>چشتي ، محمّد اعظم خان قرن 13 ه-</w:t>
        </w:r>
        <w:r>
          <w:tab/>
        </w:r>
        <w:r>
          <w:fldChar w:fldCharType="begin"/>
        </w:r>
        <w:r>
          <w:instrText xml:space="preserve">PAGEREF 2516 \h</w:instrText>
        </w:r>
        <w:r>
          <w:fldChar w:fldCharType="end"/>
        </w:r>
      </w:hyperlink>
    </w:p>
    <w:p>
      <w:pPr>
        <w:tabs>
          <w:tab w:val="right" w:leader="dot" w:pos="9062"/>
        </w:tabs>
        <w:ind w:left="220"/>
      </w:pPr>
      <w:hyperlink w:anchor="_Toc2517" w:history="1">
        <w:r>
          <w:rPr>
            <w:rFonts w:ascii="IRNazanin" w:hAnsi="IRNazanin" w:eastAsia="IRNazanin" w:cs="IRNazanin"/>
            <w:color w:val="111111"/>
            <w:sz w:val="22"/>
            <w:szCs w:val="22"/>
            <w:b w:val="0"/>
            <w:bCs w:val="0"/>
            <w:i w:val="0"/>
            <w:iCs w:val="0"/>
          </w:rPr>
          <w:t>چغمینی ، محمود بن محمّد - 745 ؟ ه-</w:t>
        </w:r>
        <w:r>
          <w:tab/>
        </w:r>
        <w:r>
          <w:fldChar w:fldCharType="begin"/>
        </w:r>
        <w:r>
          <w:instrText xml:space="preserve">PAGEREF 2517 \h</w:instrText>
        </w:r>
        <w:r>
          <w:fldChar w:fldCharType="end"/>
        </w:r>
      </w:hyperlink>
    </w:p>
    <w:p>
      <w:pPr>
        <w:tabs>
          <w:tab w:val="right" w:leader="dot" w:pos="9062"/>
        </w:tabs>
        <w:ind w:left="220"/>
      </w:pPr>
      <w:hyperlink w:anchor="_Toc2518" w:history="1">
        <w:r>
          <w:rPr>
            <w:rFonts w:ascii="IRNazanin" w:hAnsi="IRNazanin" w:eastAsia="IRNazanin" w:cs="IRNazanin"/>
            <w:color w:val="111111"/>
            <w:sz w:val="22"/>
            <w:szCs w:val="22"/>
            <w:b w:val="0"/>
            <w:bCs w:val="0"/>
            <w:i w:val="0"/>
            <w:iCs w:val="0"/>
          </w:rPr>
          <w:t>چلبي بغدادي ، عثمان بن عبدالله</w:t>
        </w:r>
        <w:r>
          <w:tab/>
        </w:r>
        <w:r>
          <w:fldChar w:fldCharType="begin"/>
        </w:r>
        <w:r>
          <w:instrText xml:space="preserve">PAGEREF 2518 \h</w:instrText>
        </w:r>
        <w:r>
          <w:fldChar w:fldCharType="end"/>
        </w:r>
      </w:hyperlink>
    </w:p>
    <w:p>
      <w:pPr>
        <w:tabs>
          <w:tab w:val="right" w:leader="dot" w:pos="9062"/>
        </w:tabs>
        <w:ind w:left="220"/>
      </w:pPr>
      <w:hyperlink w:anchor="_Toc2519" w:history="1">
        <w:r>
          <w:rPr>
            <w:rFonts w:ascii="IRNazanin" w:hAnsi="IRNazanin" w:eastAsia="IRNazanin" w:cs="IRNazanin"/>
            <w:color w:val="111111"/>
            <w:sz w:val="22"/>
            <w:szCs w:val="22"/>
            <w:b w:val="0"/>
            <w:bCs w:val="0"/>
            <w:i w:val="0"/>
            <w:iCs w:val="0"/>
          </w:rPr>
          <w:t>چلبي ، حسام</w:t>
        </w:r>
        <w:r>
          <w:tab/>
        </w:r>
        <w:r>
          <w:fldChar w:fldCharType="begin"/>
        </w:r>
        <w:r>
          <w:instrText xml:space="preserve">PAGEREF 2519 \h</w:instrText>
        </w:r>
        <w:r>
          <w:fldChar w:fldCharType="end"/>
        </w:r>
      </w:hyperlink>
    </w:p>
    <w:p>
      <w:pPr>
        <w:tabs>
          <w:tab w:val="right" w:leader="dot" w:pos="9062"/>
        </w:tabs>
        <w:ind w:left="220"/>
      </w:pPr>
      <w:hyperlink w:anchor="_Toc2520" w:history="1">
        <w:r>
          <w:rPr>
            <w:rFonts w:ascii="IRNazanin" w:hAnsi="IRNazanin" w:eastAsia="IRNazanin" w:cs="IRNazanin"/>
            <w:color w:val="111111"/>
            <w:sz w:val="22"/>
            <w:szCs w:val="22"/>
            <w:b w:val="0"/>
            <w:bCs w:val="0"/>
            <w:i w:val="0"/>
            <w:iCs w:val="0"/>
          </w:rPr>
          <w:t>چلبي كبير ، ابراهيم</w:t>
        </w:r>
        <w:r>
          <w:tab/>
        </w:r>
        <w:r>
          <w:fldChar w:fldCharType="begin"/>
        </w:r>
        <w:r>
          <w:instrText xml:space="preserve">PAGEREF 2520 \h</w:instrText>
        </w:r>
        <w:r>
          <w:fldChar w:fldCharType="end"/>
        </w:r>
      </w:hyperlink>
    </w:p>
    <w:p>
      <w:pPr>
        <w:tabs>
          <w:tab w:val="right" w:leader="dot" w:pos="9062"/>
        </w:tabs>
        <w:ind w:left="220"/>
      </w:pPr>
      <w:hyperlink w:anchor="_Toc2521" w:history="1">
        <w:r>
          <w:rPr>
            <w:rFonts w:ascii="IRNazanin" w:hAnsi="IRNazanin" w:eastAsia="IRNazanin" w:cs="IRNazanin"/>
            <w:color w:val="111111"/>
            <w:sz w:val="22"/>
            <w:szCs w:val="22"/>
            <w:b w:val="0"/>
            <w:bCs w:val="0"/>
            <w:i w:val="0"/>
            <w:iCs w:val="0"/>
          </w:rPr>
          <w:t>چلبي ، محمّد، قرن 13 ه-</w:t>
        </w:r>
        <w:r>
          <w:tab/>
        </w:r>
        <w:r>
          <w:fldChar w:fldCharType="begin"/>
        </w:r>
        <w:r>
          <w:instrText xml:space="preserve">PAGEREF 2521 \h</w:instrText>
        </w:r>
        <w:r>
          <w:fldChar w:fldCharType="end"/>
        </w:r>
      </w:hyperlink>
    </w:p>
    <w:p>
      <w:pPr>
        <w:tabs>
          <w:tab w:val="right" w:leader="dot" w:pos="9062"/>
        </w:tabs>
        <w:ind w:left="220"/>
      </w:pPr>
      <w:hyperlink w:anchor="_Toc2522" w:history="1">
        <w:r>
          <w:rPr>
            <w:rFonts w:ascii="IRNazanin" w:hAnsi="IRNazanin" w:eastAsia="IRNazanin" w:cs="IRNazanin"/>
            <w:color w:val="111111"/>
            <w:sz w:val="22"/>
            <w:szCs w:val="22"/>
            <w:b w:val="0"/>
            <w:bCs w:val="0"/>
            <w:i w:val="0"/>
            <w:iCs w:val="0"/>
          </w:rPr>
          <w:t>چلپي ، داود بن محمّد سلیم 1297 -</w:t>
        </w:r>
        <w:r>
          <w:tab/>
        </w:r>
        <w:r>
          <w:fldChar w:fldCharType="begin"/>
        </w:r>
        <w:r>
          <w:instrText xml:space="preserve">PAGEREF 2522 \h</w:instrText>
        </w:r>
        <w:r>
          <w:fldChar w:fldCharType="end"/>
        </w:r>
      </w:hyperlink>
    </w:p>
    <w:p>
      <w:pPr>
        <w:tabs>
          <w:tab w:val="right" w:leader="dot" w:pos="9062"/>
        </w:tabs>
        <w:ind w:left="220"/>
      </w:pPr>
      <w:hyperlink w:anchor="_Toc2523" w:history="1">
        <w:r>
          <w:rPr>
            <w:rFonts w:ascii="IRNazanin" w:hAnsi="IRNazanin" w:eastAsia="IRNazanin" w:cs="IRNazanin"/>
            <w:color w:val="111111"/>
            <w:sz w:val="22"/>
            <w:szCs w:val="22"/>
            <w:b w:val="0"/>
            <w:bCs w:val="0"/>
            <w:i w:val="0"/>
            <w:iCs w:val="0"/>
          </w:rPr>
          <w:t>حائري استرآبادي، محمّدحسن، قرن 14 ه-</w:t>
        </w:r>
        <w:r>
          <w:tab/>
        </w:r>
        <w:r>
          <w:fldChar w:fldCharType="begin"/>
        </w:r>
        <w:r>
          <w:instrText xml:space="preserve">PAGEREF 2523 \h</w:instrText>
        </w:r>
        <w:r>
          <w:fldChar w:fldCharType="end"/>
        </w:r>
      </w:hyperlink>
    </w:p>
    <w:p>
      <w:pPr>
        <w:tabs>
          <w:tab w:val="right" w:leader="dot" w:pos="9062"/>
        </w:tabs>
        <w:ind w:left="220"/>
      </w:pPr>
      <w:hyperlink w:anchor="_Toc2524" w:history="1">
        <w:r>
          <w:rPr>
            <w:rFonts w:ascii="IRNazanin" w:hAnsi="IRNazanin" w:eastAsia="IRNazanin" w:cs="IRNazanin"/>
            <w:color w:val="111111"/>
            <w:sz w:val="22"/>
            <w:szCs w:val="22"/>
            <w:b w:val="0"/>
            <w:bCs w:val="0"/>
            <w:i w:val="0"/>
            <w:iCs w:val="0"/>
          </w:rPr>
          <w:t>حائري اسكوني ، موسی بن محمّد باقر</w:t>
        </w:r>
        <w:r>
          <w:tab/>
        </w:r>
        <w:r>
          <w:fldChar w:fldCharType="begin"/>
        </w:r>
        <w:r>
          <w:instrText xml:space="preserve">PAGEREF 2524 \h</w:instrText>
        </w:r>
        <w:r>
          <w:fldChar w:fldCharType="end"/>
        </w:r>
      </w:hyperlink>
    </w:p>
    <w:p>
      <w:pPr>
        <w:tabs>
          <w:tab w:val="right" w:leader="dot" w:pos="9062"/>
        </w:tabs>
        <w:ind w:left="220"/>
      </w:pPr>
      <w:hyperlink w:anchor="_Toc2525" w:history="1">
        <w:r>
          <w:rPr>
            <w:rFonts w:ascii="IRNazanin" w:hAnsi="IRNazanin" w:eastAsia="IRNazanin" w:cs="IRNazanin"/>
            <w:color w:val="111111"/>
            <w:sz w:val="22"/>
            <w:szCs w:val="22"/>
            <w:b w:val="0"/>
            <w:bCs w:val="0"/>
            <w:i w:val="0"/>
            <w:iCs w:val="0"/>
          </w:rPr>
          <w:t>حائري اصفهاني، محّمد حسين بن عبد</w:t>
        </w:r>
        <w:r>
          <w:tab/>
        </w:r>
        <w:r>
          <w:fldChar w:fldCharType="begin"/>
        </w:r>
        <w:r>
          <w:instrText xml:space="preserve">PAGEREF 2525 \h</w:instrText>
        </w:r>
        <w:r>
          <w:fldChar w:fldCharType="end"/>
        </w:r>
      </w:hyperlink>
    </w:p>
    <w:p>
      <w:pPr>
        <w:tabs>
          <w:tab w:val="right" w:leader="dot" w:pos="9062"/>
        </w:tabs>
        <w:ind w:left="220"/>
      </w:pPr>
      <w:hyperlink w:anchor="_Toc2526" w:history="1">
        <w:r>
          <w:rPr>
            <w:rFonts w:ascii="IRNazanin" w:hAnsi="IRNazanin" w:eastAsia="IRNazanin" w:cs="IRNazanin"/>
            <w:color w:val="111111"/>
            <w:sz w:val="22"/>
            <w:szCs w:val="22"/>
            <w:b w:val="0"/>
            <w:bCs w:val="0"/>
            <w:i w:val="0"/>
            <w:iCs w:val="0"/>
          </w:rPr>
          <w:t>حائري ، جابر بن عبد النبي</w:t>
        </w:r>
        <w:r>
          <w:tab/>
        </w:r>
        <w:r>
          <w:fldChar w:fldCharType="begin"/>
        </w:r>
        <w:r>
          <w:instrText xml:space="preserve">PAGEREF 2526 \h</w:instrText>
        </w:r>
        <w:r>
          <w:fldChar w:fldCharType="end"/>
        </w:r>
      </w:hyperlink>
    </w:p>
    <w:p>
      <w:pPr>
        <w:tabs>
          <w:tab w:val="right" w:leader="dot" w:pos="9062"/>
        </w:tabs>
        <w:ind w:left="220"/>
      </w:pPr>
      <w:hyperlink w:anchor="_Toc2527" w:history="1">
        <w:r>
          <w:rPr>
            <w:rFonts w:ascii="IRNazanin" w:hAnsi="IRNazanin" w:eastAsia="IRNazanin" w:cs="IRNazanin"/>
            <w:color w:val="111111"/>
            <w:sz w:val="22"/>
            <w:szCs w:val="22"/>
            <w:b w:val="0"/>
            <w:bCs w:val="0"/>
            <w:i w:val="0"/>
            <w:iCs w:val="0"/>
          </w:rPr>
          <w:t>حائري، حسن بن علي</w:t>
        </w:r>
        <w:r>
          <w:tab/>
        </w:r>
        <w:r>
          <w:fldChar w:fldCharType="begin"/>
        </w:r>
        <w:r>
          <w:instrText xml:space="preserve">PAGEREF 2527 \h</w:instrText>
        </w:r>
        <w:r>
          <w:fldChar w:fldCharType="end"/>
        </w:r>
      </w:hyperlink>
    </w:p>
    <w:p>
      <w:pPr>
        <w:tabs>
          <w:tab w:val="right" w:leader="dot" w:pos="9062"/>
        </w:tabs>
        <w:ind w:left="220"/>
      </w:pPr>
      <w:hyperlink w:anchor="_Toc2528" w:history="1">
        <w:r>
          <w:rPr>
            <w:rFonts w:ascii="IRNazanin" w:hAnsi="IRNazanin" w:eastAsia="IRNazanin" w:cs="IRNazanin"/>
            <w:color w:val="111111"/>
            <w:sz w:val="22"/>
            <w:szCs w:val="22"/>
            <w:b w:val="0"/>
            <w:bCs w:val="0"/>
            <w:i w:val="0"/>
            <w:iCs w:val="0"/>
          </w:rPr>
          <w:t>حائري سنقري، محمّد علي بن حسن</w:t>
        </w:r>
        <w:r>
          <w:tab/>
        </w:r>
        <w:r>
          <w:fldChar w:fldCharType="begin"/>
        </w:r>
        <w:r>
          <w:instrText xml:space="preserve">PAGEREF 2528 \h</w:instrText>
        </w:r>
        <w:r>
          <w:fldChar w:fldCharType="end"/>
        </w:r>
      </w:hyperlink>
    </w:p>
    <w:p>
      <w:pPr>
        <w:tabs>
          <w:tab w:val="right" w:leader="dot" w:pos="9062"/>
        </w:tabs>
        <w:ind w:left="220"/>
      </w:pPr>
      <w:hyperlink w:anchor="_Toc2529" w:history="1">
        <w:r>
          <w:rPr>
            <w:rFonts w:ascii="IRNazanin" w:hAnsi="IRNazanin" w:eastAsia="IRNazanin" w:cs="IRNazanin"/>
            <w:color w:val="111111"/>
            <w:sz w:val="22"/>
            <w:szCs w:val="22"/>
            <w:b w:val="0"/>
            <w:bCs w:val="0"/>
            <w:i w:val="0"/>
            <w:iCs w:val="0"/>
          </w:rPr>
          <w:t>حائري طهراني ، علي 1270 - 1352 ه-</w:t>
        </w:r>
        <w:r>
          <w:tab/>
        </w:r>
        <w:r>
          <w:fldChar w:fldCharType="begin"/>
        </w:r>
        <w:r>
          <w:instrText xml:space="preserve">PAGEREF 2529 \h</w:instrText>
        </w:r>
        <w:r>
          <w:fldChar w:fldCharType="end"/>
        </w:r>
      </w:hyperlink>
    </w:p>
    <w:p>
      <w:pPr>
        <w:tabs>
          <w:tab w:val="right" w:leader="dot" w:pos="9062"/>
        </w:tabs>
        <w:ind w:left="220"/>
      </w:pPr>
      <w:hyperlink w:anchor="_Toc2530" w:history="1">
        <w:r>
          <w:rPr>
            <w:rFonts w:ascii="IRNazanin" w:hAnsi="IRNazanin" w:eastAsia="IRNazanin" w:cs="IRNazanin"/>
            <w:color w:val="111111"/>
            <w:sz w:val="22"/>
            <w:szCs w:val="22"/>
            <w:b w:val="0"/>
            <w:bCs w:val="0"/>
            <w:i w:val="0"/>
            <w:iCs w:val="0"/>
          </w:rPr>
          <w:t>حائري، عبد الرحيم بن عبد الحسين -</w:t>
        </w:r>
        <w:r>
          <w:tab/>
        </w:r>
        <w:r>
          <w:fldChar w:fldCharType="begin"/>
        </w:r>
        <w:r>
          <w:instrText xml:space="preserve">PAGEREF 2530 \h</w:instrText>
        </w:r>
        <w:r>
          <w:fldChar w:fldCharType="end"/>
        </w:r>
      </w:hyperlink>
    </w:p>
    <w:p>
      <w:pPr>
        <w:tabs>
          <w:tab w:val="right" w:leader="dot" w:pos="9062"/>
        </w:tabs>
        <w:ind w:left="220"/>
      </w:pPr>
      <w:hyperlink w:anchor="_Toc2531" w:history="1">
        <w:r>
          <w:rPr>
            <w:rFonts w:ascii="IRNazanin" w:hAnsi="IRNazanin" w:eastAsia="IRNazanin" w:cs="IRNazanin"/>
            <w:color w:val="111111"/>
            <w:sz w:val="22"/>
            <w:szCs w:val="22"/>
            <w:b w:val="0"/>
            <w:bCs w:val="0"/>
            <w:i w:val="0"/>
            <w:iCs w:val="0"/>
          </w:rPr>
          <w:t>حائري ، عبدالسميع</w:t>
        </w:r>
        <w:r>
          <w:tab/>
        </w:r>
        <w:r>
          <w:fldChar w:fldCharType="begin"/>
        </w:r>
        <w:r>
          <w:instrText xml:space="preserve">PAGEREF 2531 \h</w:instrText>
        </w:r>
        <w:r>
          <w:fldChar w:fldCharType="end"/>
        </w:r>
      </w:hyperlink>
    </w:p>
    <w:p>
      <w:pPr>
        <w:tabs>
          <w:tab w:val="right" w:leader="dot" w:pos="9062"/>
        </w:tabs>
        <w:ind w:left="220"/>
      </w:pPr>
      <w:hyperlink w:anchor="_Toc2532" w:history="1">
        <w:r>
          <w:rPr>
            <w:rFonts w:ascii="IRNazanin" w:hAnsi="IRNazanin" w:eastAsia="IRNazanin" w:cs="IRNazanin"/>
            <w:color w:val="111111"/>
            <w:sz w:val="22"/>
            <w:szCs w:val="22"/>
            <w:b w:val="0"/>
            <w:bCs w:val="0"/>
            <w:i w:val="0"/>
            <w:iCs w:val="0"/>
          </w:rPr>
          <w:t>حائري، علي بن محمّد، 1352 - 1420 ه-</w:t>
        </w:r>
        <w:r>
          <w:tab/>
        </w:r>
        <w:r>
          <w:fldChar w:fldCharType="begin"/>
        </w:r>
        <w:r>
          <w:instrText xml:space="preserve">PAGEREF 2532 \h</w:instrText>
        </w:r>
        <w:r>
          <w:fldChar w:fldCharType="end"/>
        </w:r>
      </w:hyperlink>
    </w:p>
    <w:p>
      <w:pPr>
        <w:tabs>
          <w:tab w:val="right" w:leader="dot" w:pos="9062"/>
        </w:tabs>
        <w:ind w:left="220"/>
      </w:pPr>
      <w:hyperlink w:anchor="_Toc2533" w:history="1">
        <w:r>
          <w:rPr>
            <w:rFonts w:ascii="IRNazanin" w:hAnsi="IRNazanin" w:eastAsia="IRNazanin" w:cs="IRNazanin"/>
            <w:color w:val="111111"/>
            <w:sz w:val="22"/>
            <w:szCs w:val="22"/>
            <w:b w:val="0"/>
            <w:bCs w:val="0"/>
            <w:i w:val="0"/>
            <w:iCs w:val="0"/>
          </w:rPr>
          <w:t>حائري، علي بن محمّد بن اسماعیل قرن</w:t>
        </w:r>
        <w:r>
          <w:tab/>
        </w:r>
        <w:r>
          <w:fldChar w:fldCharType="begin"/>
        </w:r>
        <w:r>
          <w:instrText xml:space="preserve">PAGEREF 2533 \h</w:instrText>
        </w:r>
        <w:r>
          <w:fldChar w:fldCharType="end"/>
        </w:r>
      </w:hyperlink>
    </w:p>
    <w:p>
      <w:pPr>
        <w:tabs>
          <w:tab w:val="right" w:leader="dot" w:pos="9062"/>
        </w:tabs>
        <w:ind w:left="220"/>
      </w:pPr>
      <w:hyperlink w:anchor="_Toc2534" w:history="1">
        <w:r>
          <w:rPr>
            <w:rFonts w:ascii="IRNazanin" w:hAnsi="IRNazanin" w:eastAsia="IRNazanin" w:cs="IRNazanin"/>
            <w:color w:val="111111"/>
            <w:sz w:val="22"/>
            <w:szCs w:val="22"/>
            <w:b w:val="0"/>
            <w:bCs w:val="0"/>
            <w:i w:val="0"/>
            <w:iCs w:val="0"/>
          </w:rPr>
          <w:t>حائري، علي نقي بن حسن - 1289 ه-</w:t>
        </w:r>
        <w:r>
          <w:tab/>
        </w:r>
        <w:r>
          <w:fldChar w:fldCharType="begin"/>
        </w:r>
        <w:r>
          <w:instrText xml:space="preserve">PAGEREF 2534 \h</w:instrText>
        </w:r>
        <w:r>
          <w:fldChar w:fldCharType="end"/>
        </w:r>
      </w:hyperlink>
    </w:p>
    <w:p>
      <w:pPr>
        <w:tabs>
          <w:tab w:val="right" w:leader="dot" w:pos="9062"/>
        </w:tabs>
        <w:ind w:left="220"/>
      </w:pPr>
      <w:hyperlink w:anchor="_Toc2535" w:history="1">
        <w:r>
          <w:rPr>
            <w:rFonts w:ascii="IRNazanin" w:hAnsi="IRNazanin" w:eastAsia="IRNazanin" w:cs="IRNazanin"/>
            <w:color w:val="111111"/>
            <w:sz w:val="22"/>
            <w:szCs w:val="22"/>
            <w:b w:val="0"/>
            <w:bCs w:val="0"/>
            <w:i w:val="0"/>
            <w:iCs w:val="0"/>
          </w:rPr>
          <w:t>حائري، كاظم بن صادق - 1333 ه-</w:t>
        </w:r>
        <w:r>
          <w:tab/>
        </w:r>
        <w:r>
          <w:fldChar w:fldCharType="begin"/>
        </w:r>
        <w:r>
          <w:instrText xml:space="preserve">PAGEREF 2535 \h</w:instrText>
        </w:r>
        <w:r>
          <w:fldChar w:fldCharType="end"/>
        </w:r>
      </w:hyperlink>
    </w:p>
    <w:p>
      <w:pPr>
        <w:tabs>
          <w:tab w:val="right" w:leader="dot" w:pos="9062"/>
        </w:tabs>
        <w:ind w:left="220"/>
      </w:pPr>
      <w:hyperlink w:anchor="_Toc2536" w:history="1">
        <w:r>
          <w:rPr>
            <w:rFonts w:ascii="IRNazanin" w:hAnsi="IRNazanin" w:eastAsia="IRNazanin" w:cs="IRNazanin"/>
            <w:color w:val="111111"/>
            <w:sz w:val="22"/>
            <w:szCs w:val="22"/>
            <w:b w:val="0"/>
            <w:bCs w:val="0"/>
            <w:i w:val="0"/>
            <w:iCs w:val="0"/>
          </w:rPr>
          <w:t>حائري مازندراني ، زين العابدين بن</w:t>
        </w:r>
        <w:r>
          <w:tab/>
        </w:r>
        <w:r>
          <w:fldChar w:fldCharType="begin"/>
        </w:r>
        <w:r>
          <w:instrText xml:space="preserve">PAGEREF 2536 \h</w:instrText>
        </w:r>
        <w:r>
          <w:fldChar w:fldCharType="end"/>
        </w:r>
      </w:hyperlink>
    </w:p>
    <w:p>
      <w:pPr>
        <w:tabs>
          <w:tab w:val="right" w:leader="dot" w:pos="9062"/>
        </w:tabs>
        <w:ind w:left="220"/>
      </w:pPr>
      <w:hyperlink w:anchor="_Toc2537" w:history="1">
        <w:r>
          <w:rPr>
            <w:rFonts w:ascii="IRNazanin" w:hAnsi="IRNazanin" w:eastAsia="IRNazanin" w:cs="IRNazanin"/>
            <w:color w:val="111111"/>
            <w:sz w:val="22"/>
            <w:szCs w:val="22"/>
            <w:b w:val="0"/>
            <w:bCs w:val="0"/>
            <w:i w:val="0"/>
            <w:iCs w:val="0"/>
          </w:rPr>
          <w:t>حائري مازندراني ، عبدالله قرن 13 ه-</w:t>
        </w:r>
        <w:r>
          <w:tab/>
        </w:r>
        <w:r>
          <w:fldChar w:fldCharType="begin"/>
        </w:r>
        <w:r>
          <w:instrText xml:space="preserve">PAGEREF 2537 \h</w:instrText>
        </w:r>
        <w:r>
          <w:fldChar w:fldCharType="end"/>
        </w:r>
      </w:hyperlink>
    </w:p>
    <w:p>
      <w:pPr>
        <w:tabs>
          <w:tab w:val="right" w:leader="dot" w:pos="9062"/>
        </w:tabs>
        <w:ind w:left="220"/>
      </w:pPr>
      <w:hyperlink w:anchor="_Toc2538" w:history="1">
        <w:r>
          <w:rPr>
            <w:rFonts w:ascii="IRNazanin" w:hAnsi="IRNazanin" w:eastAsia="IRNazanin" w:cs="IRNazanin"/>
            <w:color w:val="111111"/>
            <w:sz w:val="22"/>
            <w:szCs w:val="22"/>
            <w:b w:val="0"/>
            <w:bCs w:val="0"/>
            <w:i w:val="0"/>
            <w:iCs w:val="0"/>
          </w:rPr>
          <w:t>حائري، موسى بن محمّد باقر، قرن 14 ه-</w:t>
        </w:r>
        <w:r>
          <w:tab/>
        </w:r>
        <w:r>
          <w:fldChar w:fldCharType="begin"/>
        </w:r>
        <w:r>
          <w:instrText xml:space="preserve">PAGEREF 2538 \h</w:instrText>
        </w:r>
        <w:r>
          <w:fldChar w:fldCharType="end"/>
        </w:r>
      </w:hyperlink>
    </w:p>
    <w:p>
      <w:pPr>
        <w:tabs>
          <w:tab w:val="right" w:leader="dot" w:pos="9062"/>
        </w:tabs>
        <w:ind w:left="220"/>
      </w:pPr>
      <w:hyperlink w:anchor="_Toc2539" w:history="1">
        <w:r>
          <w:rPr>
            <w:rFonts w:ascii="IRNazanin" w:hAnsi="IRNazanin" w:eastAsia="IRNazanin" w:cs="IRNazanin"/>
            <w:color w:val="111111"/>
            <w:sz w:val="22"/>
            <w:szCs w:val="22"/>
            <w:b w:val="0"/>
            <w:bCs w:val="0"/>
            <w:i w:val="0"/>
            <w:iCs w:val="0"/>
          </w:rPr>
          <w:t>حائري ، ميرزا احمد قرن 12 ه-</w:t>
        </w:r>
        <w:r>
          <w:tab/>
        </w:r>
        <w:r>
          <w:fldChar w:fldCharType="begin"/>
        </w:r>
        <w:r>
          <w:instrText xml:space="preserve">PAGEREF 2539 \h</w:instrText>
        </w:r>
        <w:r>
          <w:fldChar w:fldCharType="end"/>
        </w:r>
      </w:hyperlink>
    </w:p>
    <w:p>
      <w:pPr>
        <w:tabs>
          <w:tab w:val="right" w:leader="dot" w:pos="9062"/>
        </w:tabs>
        <w:ind w:left="220"/>
      </w:pPr>
      <w:hyperlink w:anchor="_Toc2540" w:history="1">
        <w:r>
          <w:rPr>
            <w:rFonts w:ascii="IRNazanin" w:hAnsi="IRNazanin" w:eastAsia="IRNazanin" w:cs="IRNazanin"/>
            <w:color w:val="111111"/>
            <w:sz w:val="22"/>
            <w:szCs w:val="22"/>
            <w:b w:val="0"/>
            <w:bCs w:val="0"/>
            <w:i w:val="0"/>
            <w:iCs w:val="0"/>
          </w:rPr>
          <w:t>حائري، ميرزا موسى - 1386 ه-</w:t>
        </w:r>
        <w:r>
          <w:tab/>
        </w:r>
        <w:r>
          <w:fldChar w:fldCharType="begin"/>
        </w:r>
        <w:r>
          <w:instrText xml:space="preserve">PAGEREF 2540 \h</w:instrText>
        </w:r>
        <w:r>
          <w:fldChar w:fldCharType="end"/>
        </w:r>
      </w:hyperlink>
    </w:p>
    <w:p>
      <w:pPr>
        <w:tabs>
          <w:tab w:val="right" w:leader="dot" w:pos="9062"/>
        </w:tabs>
        <w:ind w:left="220"/>
      </w:pPr>
      <w:hyperlink w:anchor="_Toc2541" w:history="1">
        <w:r>
          <w:rPr>
            <w:rFonts w:ascii="IRNazanin" w:hAnsi="IRNazanin" w:eastAsia="IRNazanin" w:cs="IRNazanin"/>
            <w:color w:val="111111"/>
            <w:sz w:val="22"/>
            <w:szCs w:val="22"/>
            <w:b w:val="0"/>
            <w:bCs w:val="0"/>
            <w:i w:val="0"/>
            <w:iCs w:val="0"/>
          </w:rPr>
          <w:t>حائري ، نصر الله</w:t>
        </w:r>
        <w:r>
          <w:tab/>
        </w:r>
        <w:r>
          <w:fldChar w:fldCharType="begin"/>
        </w:r>
        <w:r>
          <w:instrText xml:space="preserve">PAGEREF 2541 \h</w:instrText>
        </w:r>
        <w:r>
          <w:fldChar w:fldCharType="end"/>
        </w:r>
      </w:hyperlink>
    </w:p>
    <w:p>
      <w:pPr>
        <w:tabs>
          <w:tab w:val="right" w:leader="dot" w:pos="9062"/>
        </w:tabs>
        <w:ind w:left="220"/>
      </w:pPr>
      <w:hyperlink w:anchor="_Toc2542" w:history="1">
        <w:r>
          <w:rPr>
            <w:rFonts w:ascii="IRNazanin" w:hAnsi="IRNazanin" w:eastAsia="IRNazanin" w:cs="IRNazanin"/>
            <w:color w:val="111111"/>
            <w:sz w:val="22"/>
            <w:szCs w:val="22"/>
            <w:b w:val="0"/>
            <w:bCs w:val="0"/>
            <w:i w:val="0"/>
            <w:iCs w:val="0"/>
          </w:rPr>
          <w:t>حائري يزدي، عبد الكريم بن محمّد</w:t>
        </w:r>
        <w:r>
          <w:tab/>
        </w:r>
        <w:r>
          <w:fldChar w:fldCharType="begin"/>
        </w:r>
        <w:r>
          <w:instrText xml:space="preserve">PAGEREF 2542 \h</w:instrText>
        </w:r>
        <w:r>
          <w:fldChar w:fldCharType="end"/>
        </w:r>
      </w:hyperlink>
    </w:p>
    <w:p>
      <w:pPr>
        <w:tabs>
          <w:tab w:val="right" w:leader="dot" w:pos="9062"/>
        </w:tabs>
        <w:ind w:left="220"/>
      </w:pPr>
      <w:hyperlink w:anchor="_Toc2543" w:history="1">
        <w:r>
          <w:rPr>
            <w:rFonts w:ascii="IRNazanin" w:hAnsi="IRNazanin" w:eastAsia="IRNazanin" w:cs="IRNazanin"/>
            <w:color w:val="111111"/>
            <w:sz w:val="22"/>
            <w:szCs w:val="22"/>
            <w:b w:val="0"/>
            <w:bCs w:val="0"/>
            <w:i w:val="0"/>
            <w:iCs w:val="0"/>
          </w:rPr>
          <w:t>حائري يزدي ، مهدي، قرن 13 ه-</w:t>
        </w:r>
        <w:r>
          <w:tab/>
        </w:r>
        <w:r>
          <w:fldChar w:fldCharType="begin"/>
        </w:r>
        <w:r>
          <w:instrText xml:space="preserve">PAGEREF 2543 \h</w:instrText>
        </w:r>
        <w:r>
          <w:fldChar w:fldCharType="end"/>
        </w:r>
      </w:hyperlink>
    </w:p>
    <w:p>
      <w:pPr>
        <w:tabs>
          <w:tab w:val="right" w:leader="dot" w:pos="9062"/>
        </w:tabs>
        <w:ind w:left="220"/>
      </w:pPr>
      <w:hyperlink w:anchor="_Toc2544" w:history="1">
        <w:r>
          <w:rPr>
            <w:rFonts w:ascii="IRNazanin" w:hAnsi="IRNazanin" w:eastAsia="IRNazanin" w:cs="IRNazanin"/>
            <w:color w:val="111111"/>
            <w:sz w:val="22"/>
            <w:szCs w:val="22"/>
            <w:b w:val="0"/>
            <w:bCs w:val="0"/>
            <w:i w:val="0"/>
            <w:iCs w:val="0"/>
          </w:rPr>
          <w:t>حاتمي طائي ، ابوالمعالي، - 938 ه-</w:t>
        </w:r>
        <w:r>
          <w:tab/>
        </w:r>
        <w:r>
          <w:fldChar w:fldCharType="begin"/>
        </w:r>
        <w:r>
          <w:instrText xml:space="preserve">PAGEREF 2544 \h</w:instrText>
        </w:r>
        <w:r>
          <w:fldChar w:fldCharType="end"/>
        </w:r>
      </w:hyperlink>
    </w:p>
    <w:p>
      <w:pPr>
        <w:tabs>
          <w:tab w:val="right" w:leader="dot" w:pos="9062"/>
        </w:tabs>
        <w:ind w:left="220"/>
      </w:pPr>
      <w:hyperlink w:anchor="_Toc2545" w:history="1">
        <w:r>
          <w:rPr>
            <w:rFonts w:ascii="IRNazanin" w:hAnsi="IRNazanin" w:eastAsia="IRNazanin" w:cs="IRNazanin"/>
            <w:color w:val="111111"/>
            <w:sz w:val="22"/>
            <w:szCs w:val="22"/>
            <w:b w:val="0"/>
            <w:bCs w:val="0"/>
            <w:i w:val="0"/>
            <w:iCs w:val="0"/>
          </w:rPr>
          <w:t>حاتمي، محمّد بن حسن - 388 ه-</w:t>
        </w:r>
        <w:r>
          <w:tab/>
        </w:r>
        <w:r>
          <w:fldChar w:fldCharType="begin"/>
        </w:r>
        <w:r>
          <w:instrText xml:space="preserve">PAGEREF 2545 \h</w:instrText>
        </w:r>
        <w:r>
          <w:fldChar w:fldCharType="end"/>
        </w:r>
      </w:hyperlink>
    </w:p>
    <w:p>
      <w:pPr>
        <w:tabs>
          <w:tab w:val="right" w:leader="dot" w:pos="9062"/>
        </w:tabs>
        <w:ind w:left="220"/>
      </w:pPr>
      <w:hyperlink w:anchor="_Toc2546" w:history="1">
        <w:r>
          <w:rPr>
            <w:rFonts w:ascii="IRNazanin" w:hAnsi="IRNazanin" w:eastAsia="IRNazanin" w:cs="IRNazanin"/>
            <w:color w:val="111111"/>
            <w:sz w:val="22"/>
            <w:szCs w:val="22"/>
            <w:b w:val="0"/>
            <w:bCs w:val="0"/>
            <w:i w:val="0"/>
            <w:iCs w:val="0"/>
          </w:rPr>
          <w:t>حاج آخوند قمي ، غلامرضا بن رجبعلي</w:t>
        </w:r>
        <w:r>
          <w:tab/>
        </w:r>
        <w:r>
          <w:fldChar w:fldCharType="begin"/>
        </w:r>
        <w:r>
          <w:instrText xml:space="preserve">PAGEREF 2546 \h</w:instrText>
        </w:r>
        <w:r>
          <w:fldChar w:fldCharType="end"/>
        </w:r>
      </w:hyperlink>
    </w:p>
    <w:p>
      <w:pPr>
        <w:tabs>
          <w:tab w:val="right" w:leader="dot" w:pos="9062"/>
        </w:tabs>
        <w:ind w:left="220"/>
      </w:pPr>
      <w:hyperlink w:anchor="_Toc2547" w:history="1">
        <w:r>
          <w:rPr>
            <w:rFonts w:ascii="IRNazanin" w:hAnsi="IRNazanin" w:eastAsia="IRNazanin" w:cs="IRNazanin"/>
            <w:color w:val="111111"/>
            <w:sz w:val="22"/>
            <w:szCs w:val="22"/>
            <w:b w:val="0"/>
            <w:bCs w:val="0"/>
            <w:i w:val="0"/>
            <w:iCs w:val="0"/>
          </w:rPr>
          <w:t>حاج باباني ، محمّد اسماعيل</w:t>
        </w:r>
        <w:r>
          <w:tab/>
        </w:r>
        <w:r>
          <w:fldChar w:fldCharType="begin"/>
        </w:r>
        <w:r>
          <w:instrText xml:space="preserve">PAGEREF 2547 \h</w:instrText>
        </w:r>
        <w:r>
          <w:fldChar w:fldCharType="end"/>
        </w:r>
      </w:hyperlink>
    </w:p>
    <w:p>
      <w:pPr>
        <w:tabs>
          <w:tab w:val="right" w:leader="dot" w:pos="9062"/>
        </w:tabs>
        <w:ind w:left="220"/>
      </w:pPr>
      <w:hyperlink w:anchor="_Toc2548" w:history="1">
        <w:r>
          <w:rPr>
            <w:rFonts w:ascii="IRNazanin" w:hAnsi="IRNazanin" w:eastAsia="IRNazanin" w:cs="IRNazanin"/>
            <w:color w:val="111111"/>
            <w:sz w:val="22"/>
            <w:szCs w:val="22"/>
            <w:b w:val="0"/>
            <w:bCs w:val="0"/>
            <w:i w:val="0"/>
            <w:iCs w:val="0"/>
          </w:rPr>
          <w:t>حاجب زاده، محمّد بن مصطفى</w:t>
        </w:r>
        <w:r>
          <w:tab/>
        </w:r>
        <w:r>
          <w:fldChar w:fldCharType="begin"/>
        </w:r>
        <w:r>
          <w:instrText xml:space="preserve">PAGEREF 2548 \h</w:instrText>
        </w:r>
        <w:r>
          <w:fldChar w:fldCharType="end"/>
        </w:r>
      </w:hyperlink>
    </w:p>
    <w:p>
      <w:pPr>
        <w:tabs>
          <w:tab w:val="right" w:leader="dot" w:pos="9062"/>
        </w:tabs>
        <w:ind w:left="220"/>
      </w:pPr>
      <w:hyperlink w:anchor="_Toc2549" w:history="1">
        <w:r>
          <w:rPr>
            <w:rFonts w:ascii="IRNazanin" w:hAnsi="IRNazanin" w:eastAsia="IRNazanin" w:cs="IRNazanin"/>
            <w:color w:val="111111"/>
            <w:sz w:val="22"/>
            <w:szCs w:val="22"/>
            <w:b w:val="0"/>
            <w:bCs w:val="0"/>
            <w:i w:val="0"/>
            <w:iCs w:val="0"/>
          </w:rPr>
          <w:t>حاج حسيني محمّد بن امير - 1174 ه-</w:t>
        </w:r>
        <w:r>
          <w:tab/>
        </w:r>
        <w:r>
          <w:fldChar w:fldCharType="begin"/>
        </w:r>
        <w:r>
          <w:instrText xml:space="preserve">PAGEREF 2549 \h</w:instrText>
        </w:r>
        <w:r>
          <w:fldChar w:fldCharType="end"/>
        </w:r>
      </w:hyperlink>
    </w:p>
    <w:p>
      <w:pPr>
        <w:tabs>
          <w:tab w:val="right" w:leader="dot" w:pos="9062"/>
        </w:tabs>
        <w:ind w:left="220"/>
      </w:pPr>
      <w:hyperlink w:anchor="_Toc2550" w:history="1">
        <w:r>
          <w:rPr>
            <w:rFonts w:ascii="IRNazanin" w:hAnsi="IRNazanin" w:eastAsia="IRNazanin" w:cs="IRNazanin"/>
            <w:color w:val="111111"/>
            <w:sz w:val="22"/>
            <w:szCs w:val="22"/>
            <w:b w:val="0"/>
            <w:bCs w:val="0"/>
            <w:i w:val="0"/>
            <w:iCs w:val="0"/>
          </w:rPr>
          <w:t>حاج درویش</w:t>
        </w:r>
        <w:r>
          <w:tab/>
        </w:r>
        <w:r>
          <w:fldChar w:fldCharType="begin"/>
        </w:r>
        <w:r>
          <w:instrText xml:space="preserve">PAGEREF 2550 \h</w:instrText>
        </w:r>
        <w:r>
          <w:fldChar w:fldCharType="end"/>
        </w:r>
      </w:hyperlink>
    </w:p>
    <w:p>
      <w:pPr>
        <w:tabs>
          <w:tab w:val="right" w:leader="dot" w:pos="9062"/>
        </w:tabs>
        <w:ind w:left="220"/>
      </w:pPr>
      <w:hyperlink w:anchor="_Toc2551" w:history="1">
        <w:r>
          <w:rPr>
            <w:rFonts w:ascii="IRNazanin" w:hAnsi="IRNazanin" w:eastAsia="IRNazanin" w:cs="IRNazanin"/>
            <w:color w:val="111111"/>
            <w:sz w:val="22"/>
            <w:szCs w:val="22"/>
            <w:b w:val="0"/>
            <w:bCs w:val="0"/>
            <w:i w:val="0"/>
            <w:iCs w:val="0"/>
          </w:rPr>
          <w:t>حاج محمّد حسن قرن 14 ه-</w:t>
        </w:r>
        <w:r>
          <w:tab/>
        </w:r>
        <w:r>
          <w:fldChar w:fldCharType="begin"/>
        </w:r>
        <w:r>
          <w:instrText xml:space="preserve">PAGEREF 2551 \h</w:instrText>
        </w:r>
        <w:r>
          <w:fldChar w:fldCharType="end"/>
        </w:r>
      </w:hyperlink>
    </w:p>
    <w:p>
      <w:pPr>
        <w:tabs>
          <w:tab w:val="right" w:leader="dot" w:pos="9062"/>
        </w:tabs>
        <w:ind w:left="220"/>
      </w:pPr>
      <w:hyperlink w:anchor="_Toc2552" w:history="1">
        <w:r>
          <w:rPr>
            <w:rFonts w:ascii="IRNazanin" w:hAnsi="IRNazanin" w:eastAsia="IRNazanin" w:cs="IRNazanin"/>
            <w:color w:val="111111"/>
            <w:sz w:val="22"/>
            <w:szCs w:val="22"/>
            <w:b w:val="0"/>
            <w:bCs w:val="0"/>
            <w:i w:val="0"/>
            <w:iCs w:val="0"/>
          </w:rPr>
          <w:t>الحاج وادي العطية، 1310 - 1404 ه-</w:t>
        </w:r>
        <w:r>
          <w:tab/>
        </w:r>
        <w:r>
          <w:fldChar w:fldCharType="begin"/>
        </w:r>
        <w:r>
          <w:instrText xml:space="preserve">PAGEREF 2552 \h</w:instrText>
        </w:r>
        <w:r>
          <w:fldChar w:fldCharType="end"/>
        </w:r>
      </w:hyperlink>
    </w:p>
    <w:p>
      <w:pPr>
        <w:tabs>
          <w:tab w:val="right" w:leader="dot" w:pos="9062"/>
        </w:tabs>
        <w:ind w:left="220"/>
      </w:pPr>
      <w:hyperlink w:anchor="_Toc2553" w:history="1">
        <w:r>
          <w:rPr>
            <w:rFonts w:ascii="IRNazanin" w:hAnsi="IRNazanin" w:eastAsia="IRNazanin" w:cs="IRNazanin"/>
            <w:color w:val="111111"/>
            <w:sz w:val="22"/>
            <w:szCs w:val="22"/>
            <w:b w:val="0"/>
            <w:bCs w:val="0"/>
            <w:i w:val="0"/>
            <w:iCs w:val="0"/>
          </w:rPr>
          <w:t>حاجي بكتاش ولي، - 669 ه-</w:t>
        </w:r>
        <w:r>
          <w:tab/>
        </w:r>
        <w:r>
          <w:fldChar w:fldCharType="begin"/>
        </w:r>
        <w:r>
          <w:instrText xml:space="preserve">PAGEREF 2553 \h</w:instrText>
        </w:r>
        <w:r>
          <w:fldChar w:fldCharType="end"/>
        </w:r>
      </w:hyperlink>
    </w:p>
    <w:p>
      <w:pPr>
        <w:tabs>
          <w:tab w:val="right" w:leader="dot" w:pos="9062"/>
        </w:tabs>
        <w:ind w:left="220"/>
      </w:pPr>
      <w:hyperlink w:anchor="_Toc2554" w:history="1">
        <w:r>
          <w:rPr>
            <w:rFonts w:ascii="IRNazanin" w:hAnsi="IRNazanin" w:eastAsia="IRNazanin" w:cs="IRNazanin"/>
            <w:color w:val="111111"/>
            <w:sz w:val="22"/>
            <w:szCs w:val="22"/>
            <w:b w:val="0"/>
            <w:bCs w:val="0"/>
            <w:i w:val="0"/>
            <w:iCs w:val="0"/>
          </w:rPr>
          <w:t>حاجي خليفه ، مصطفى بن عبدالله</w:t>
        </w:r>
        <w:r>
          <w:tab/>
        </w:r>
        <w:r>
          <w:fldChar w:fldCharType="begin"/>
        </w:r>
        <w:r>
          <w:instrText xml:space="preserve">PAGEREF 2554 \h</w:instrText>
        </w:r>
        <w:r>
          <w:fldChar w:fldCharType="end"/>
        </w:r>
      </w:hyperlink>
    </w:p>
    <w:p>
      <w:pPr>
        <w:tabs>
          <w:tab w:val="right" w:leader="dot" w:pos="9062"/>
        </w:tabs>
        <w:ind w:left="220"/>
      </w:pPr>
      <w:hyperlink w:anchor="_Toc2555" w:history="1">
        <w:r>
          <w:rPr>
            <w:rFonts w:ascii="IRNazanin" w:hAnsi="IRNazanin" w:eastAsia="IRNazanin" w:cs="IRNazanin"/>
            <w:color w:val="111111"/>
            <w:sz w:val="22"/>
            <w:szCs w:val="22"/>
            <w:b w:val="0"/>
            <w:bCs w:val="0"/>
            <w:i w:val="0"/>
            <w:iCs w:val="0"/>
          </w:rPr>
          <w:t>حاجي درويش، قرن 13 ه-</w:t>
        </w:r>
        <w:r>
          <w:tab/>
        </w:r>
        <w:r>
          <w:fldChar w:fldCharType="begin"/>
        </w:r>
        <w:r>
          <w:instrText xml:space="preserve">PAGEREF 2555 \h</w:instrText>
        </w:r>
        <w:r>
          <w:fldChar w:fldCharType="end"/>
        </w:r>
      </w:hyperlink>
    </w:p>
    <w:p>
      <w:pPr>
        <w:tabs>
          <w:tab w:val="right" w:leader="dot" w:pos="9062"/>
        </w:tabs>
        <w:ind w:left="220"/>
      </w:pPr>
      <w:hyperlink w:anchor="_Toc2556" w:history="1">
        <w:r>
          <w:rPr>
            <w:rFonts w:ascii="IRNazanin" w:hAnsi="IRNazanin" w:eastAsia="IRNazanin" w:cs="IRNazanin"/>
            <w:color w:val="111111"/>
            <w:sz w:val="22"/>
            <w:szCs w:val="22"/>
            <w:b w:val="0"/>
            <w:bCs w:val="0"/>
            <w:i w:val="0"/>
            <w:iCs w:val="0"/>
          </w:rPr>
          <w:t>حادره ، قطبة بن اوس قرن 1 ه-</w:t>
        </w:r>
        <w:r>
          <w:tab/>
        </w:r>
        <w:r>
          <w:fldChar w:fldCharType="begin"/>
        </w:r>
        <w:r>
          <w:instrText xml:space="preserve">PAGEREF 2556 \h</w:instrText>
        </w:r>
        <w:r>
          <w:fldChar w:fldCharType="end"/>
        </w:r>
      </w:hyperlink>
    </w:p>
    <w:p>
      <w:pPr>
        <w:tabs>
          <w:tab w:val="right" w:leader="dot" w:pos="9062"/>
        </w:tabs>
        <w:ind w:left="220"/>
      </w:pPr>
      <w:hyperlink w:anchor="_Toc2557" w:history="1">
        <w:r>
          <w:rPr>
            <w:rFonts w:ascii="IRNazanin" w:hAnsi="IRNazanin" w:eastAsia="IRNazanin" w:cs="IRNazanin"/>
            <w:color w:val="111111"/>
            <w:sz w:val="22"/>
            <w:szCs w:val="22"/>
            <w:b w:val="0"/>
            <w:bCs w:val="0"/>
            <w:i w:val="0"/>
            <w:iCs w:val="0"/>
          </w:rPr>
          <w:t>حاذق ،رضوي ميرمحمّد صادق قرن 12ه-</w:t>
        </w:r>
        <w:r>
          <w:tab/>
        </w:r>
        <w:r>
          <w:fldChar w:fldCharType="begin"/>
        </w:r>
        <w:r>
          <w:instrText xml:space="preserve">PAGEREF 2557 \h</w:instrText>
        </w:r>
        <w:r>
          <w:fldChar w:fldCharType="end"/>
        </w:r>
      </w:hyperlink>
    </w:p>
    <w:p>
      <w:pPr>
        <w:tabs>
          <w:tab w:val="right" w:leader="dot" w:pos="9062"/>
        </w:tabs>
        <w:ind w:left="220"/>
      </w:pPr>
      <w:hyperlink w:anchor="_Toc2558" w:history="1">
        <w:r>
          <w:rPr>
            <w:rFonts w:ascii="IRNazanin" w:hAnsi="IRNazanin" w:eastAsia="IRNazanin" w:cs="IRNazanin"/>
            <w:color w:val="111111"/>
            <w:sz w:val="22"/>
            <w:szCs w:val="22"/>
            <w:b w:val="0"/>
            <w:bCs w:val="0"/>
            <w:i w:val="0"/>
            <w:iCs w:val="0"/>
          </w:rPr>
          <w:t>حارث محاسبي ، حارث بن اسد، 165 - 243 ه-</w:t>
        </w:r>
        <w:r>
          <w:tab/>
        </w:r>
        <w:r>
          <w:fldChar w:fldCharType="begin"/>
        </w:r>
        <w:r>
          <w:instrText xml:space="preserve">PAGEREF 2558 \h</w:instrText>
        </w:r>
        <w:r>
          <w:fldChar w:fldCharType="end"/>
        </w:r>
      </w:hyperlink>
    </w:p>
    <w:p>
      <w:pPr>
        <w:tabs>
          <w:tab w:val="right" w:leader="dot" w:pos="9062"/>
        </w:tabs>
        <w:ind w:left="220"/>
      </w:pPr>
      <w:hyperlink w:anchor="_Toc2559" w:history="1">
        <w:r>
          <w:rPr>
            <w:rFonts w:ascii="IRNazanin" w:hAnsi="IRNazanin" w:eastAsia="IRNazanin" w:cs="IRNazanin"/>
            <w:color w:val="111111"/>
            <w:sz w:val="22"/>
            <w:szCs w:val="22"/>
            <w:b w:val="0"/>
            <w:bCs w:val="0"/>
            <w:i w:val="0"/>
            <w:iCs w:val="0"/>
          </w:rPr>
          <w:t>حارثي ، مسعود بن احمد - 711 ه-</w:t>
        </w:r>
        <w:r>
          <w:tab/>
        </w:r>
        <w:r>
          <w:fldChar w:fldCharType="begin"/>
        </w:r>
        <w:r>
          <w:instrText xml:space="preserve">PAGEREF 2559 \h</w:instrText>
        </w:r>
        <w:r>
          <w:fldChar w:fldCharType="end"/>
        </w:r>
      </w:hyperlink>
    </w:p>
    <w:p>
      <w:pPr>
        <w:tabs>
          <w:tab w:val="right" w:leader="dot" w:pos="9062"/>
        </w:tabs>
        <w:ind w:left="220"/>
      </w:pPr>
      <w:hyperlink w:anchor="_Toc2560" w:history="1">
        <w:r>
          <w:rPr>
            <w:rFonts w:ascii="IRNazanin" w:hAnsi="IRNazanin" w:eastAsia="IRNazanin" w:cs="IRNazanin"/>
            <w:color w:val="111111"/>
            <w:sz w:val="22"/>
            <w:szCs w:val="22"/>
            <w:b w:val="0"/>
            <w:bCs w:val="0"/>
            <w:i w:val="0"/>
            <w:iCs w:val="0"/>
          </w:rPr>
          <w:t>حارثي همداني قاسم بن محمّد - 1237ه-</w:t>
        </w:r>
        <w:r>
          <w:tab/>
        </w:r>
        <w:r>
          <w:fldChar w:fldCharType="begin"/>
        </w:r>
        <w:r>
          <w:instrText xml:space="preserve">PAGEREF 2560 \h</w:instrText>
        </w:r>
        <w:r>
          <w:fldChar w:fldCharType="end"/>
        </w:r>
      </w:hyperlink>
    </w:p>
    <w:p>
      <w:pPr>
        <w:tabs>
          <w:tab w:val="right" w:leader="dot" w:pos="9062"/>
        </w:tabs>
        <w:ind w:left="220"/>
      </w:pPr>
      <w:hyperlink w:anchor="_Toc2561" w:history="1">
        <w:r>
          <w:rPr>
            <w:rFonts w:ascii="IRNazanin" w:hAnsi="IRNazanin" w:eastAsia="IRNazanin" w:cs="IRNazanin"/>
            <w:color w:val="111111"/>
            <w:sz w:val="22"/>
            <w:szCs w:val="22"/>
            <w:b w:val="0"/>
            <w:bCs w:val="0"/>
            <w:i w:val="0"/>
            <w:iCs w:val="0"/>
          </w:rPr>
          <w:t>حازمي ، محمّد بن موسى، 549 - 584 ه-</w:t>
        </w:r>
        <w:r>
          <w:tab/>
        </w:r>
        <w:r>
          <w:fldChar w:fldCharType="begin"/>
        </w:r>
        <w:r>
          <w:instrText xml:space="preserve">PAGEREF 2561 \h</w:instrText>
        </w:r>
        <w:r>
          <w:fldChar w:fldCharType="end"/>
        </w:r>
      </w:hyperlink>
    </w:p>
    <w:p>
      <w:pPr>
        <w:tabs>
          <w:tab w:val="right" w:leader="dot" w:pos="9062"/>
        </w:tabs>
        <w:ind w:left="220"/>
      </w:pPr>
      <w:hyperlink w:anchor="_Toc2562" w:history="1">
        <w:r>
          <w:rPr>
            <w:rFonts w:ascii="IRNazanin" w:hAnsi="IRNazanin" w:eastAsia="IRNazanin" w:cs="IRNazanin"/>
            <w:color w:val="111111"/>
            <w:sz w:val="22"/>
            <w:szCs w:val="22"/>
            <w:b w:val="0"/>
            <w:bCs w:val="0"/>
            <w:i w:val="0"/>
            <w:iCs w:val="0"/>
          </w:rPr>
          <w:t>حاسفطي ، يوسف بن احمد</w:t>
        </w:r>
        <w:r>
          <w:tab/>
        </w:r>
        <w:r>
          <w:fldChar w:fldCharType="begin"/>
        </w:r>
        <w:r>
          <w:instrText xml:space="preserve">PAGEREF 2562 \h</w:instrText>
        </w:r>
        <w:r>
          <w:fldChar w:fldCharType="end"/>
        </w:r>
      </w:hyperlink>
    </w:p>
    <w:p>
      <w:pPr>
        <w:tabs>
          <w:tab w:val="right" w:leader="dot" w:pos="9062"/>
        </w:tabs>
        <w:ind w:left="220"/>
      </w:pPr>
      <w:hyperlink w:anchor="_Toc2563" w:history="1">
        <w:r>
          <w:rPr>
            <w:rFonts w:ascii="IRNazanin" w:hAnsi="IRNazanin" w:eastAsia="IRNazanin" w:cs="IRNazanin"/>
            <w:color w:val="111111"/>
            <w:sz w:val="22"/>
            <w:szCs w:val="22"/>
            <w:b w:val="0"/>
            <w:bCs w:val="0"/>
            <w:i w:val="0"/>
            <w:iCs w:val="0"/>
          </w:rPr>
          <w:t>حافظ اصفهاني ، محمّد طاهر بن عرب</w:t>
        </w:r>
        <w:r>
          <w:tab/>
        </w:r>
        <w:r>
          <w:fldChar w:fldCharType="begin"/>
        </w:r>
        <w:r>
          <w:instrText xml:space="preserve">PAGEREF 2563 \h</w:instrText>
        </w:r>
        <w:r>
          <w:fldChar w:fldCharType="end"/>
        </w:r>
      </w:hyperlink>
    </w:p>
    <w:p>
      <w:pPr>
        <w:tabs>
          <w:tab w:val="right" w:leader="dot" w:pos="9062"/>
        </w:tabs>
        <w:ind w:left="220"/>
      </w:pPr>
      <w:hyperlink w:anchor="_Toc2564" w:history="1">
        <w:r>
          <w:rPr>
            <w:rFonts w:ascii="IRNazanin" w:hAnsi="IRNazanin" w:eastAsia="IRNazanin" w:cs="IRNazanin"/>
            <w:color w:val="111111"/>
            <w:sz w:val="22"/>
            <w:szCs w:val="22"/>
            <w:b w:val="0"/>
            <w:bCs w:val="0"/>
            <w:i w:val="0"/>
            <w:iCs w:val="0"/>
          </w:rPr>
          <w:t>حافظ امان الله</w:t>
        </w:r>
        <w:r>
          <w:tab/>
        </w:r>
        <w:r>
          <w:fldChar w:fldCharType="begin"/>
        </w:r>
        <w:r>
          <w:instrText xml:space="preserve">PAGEREF 2564 \h</w:instrText>
        </w:r>
        <w:r>
          <w:fldChar w:fldCharType="end"/>
        </w:r>
      </w:hyperlink>
    </w:p>
    <w:p>
      <w:pPr>
        <w:tabs>
          <w:tab w:val="right" w:leader="dot" w:pos="9062"/>
        </w:tabs>
        <w:ind w:left="220"/>
      </w:pPr>
      <w:hyperlink w:anchor="_Toc2565" w:history="1">
        <w:r>
          <w:rPr>
            <w:rFonts w:ascii="IRNazanin" w:hAnsi="IRNazanin" w:eastAsia="IRNazanin" w:cs="IRNazanin"/>
            <w:color w:val="111111"/>
            <w:sz w:val="22"/>
            <w:szCs w:val="22"/>
            <w:b w:val="0"/>
            <w:bCs w:val="0"/>
            <w:i w:val="0"/>
            <w:iCs w:val="0"/>
          </w:rPr>
          <w:t>حافظ برسي ، رجب بن محمّد قرن 9 ه-</w:t>
        </w:r>
        <w:r>
          <w:tab/>
        </w:r>
        <w:r>
          <w:fldChar w:fldCharType="begin"/>
        </w:r>
        <w:r>
          <w:instrText xml:space="preserve">PAGEREF 2565 \h</w:instrText>
        </w:r>
        <w:r>
          <w:fldChar w:fldCharType="end"/>
        </w:r>
      </w:hyperlink>
    </w:p>
    <w:p>
      <w:pPr>
        <w:tabs>
          <w:tab w:val="right" w:leader="dot" w:pos="9062"/>
        </w:tabs>
        <w:ind w:left="220"/>
      </w:pPr>
      <w:hyperlink w:anchor="_Toc2566" w:history="1">
        <w:r>
          <w:rPr>
            <w:rFonts w:ascii="IRNazanin" w:hAnsi="IRNazanin" w:eastAsia="IRNazanin" w:cs="IRNazanin"/>
            <w:color w:val="111111"/>
            <w:sz w:val="22"/>
            <w:szCs w:val="22"/>
            <w:b w:val="0"/>
            <w:bCs w:val="0"/>
            <w:i w:val="0"/>
            <w:iCs w:val="0"/>
          </w:rPr>
          <w:t>حافظ توني، حسين بن شجاع - 879؟ ه-</w:t>
        </w:r>
        <w:r>
          <w:tab/>
        </w:r>
        <w:r>
          <w:fldChar w:fldCharType="begin"/>
        </w:r>
        <w:r>
          <w:instrText xml:space="preserve">PAGEREF 2566 \h</w:instrText>
        </w:r>
        <w:r>
          <w:fldChar w:fldCharType="end"/>
        </w:r>
      </w:hyperlink>
    </w:p>
    <w:p>
      <w:pPr>
        <w:tabs>
          <w:tab w:val="right" w:leader="dot" w:pos="9062"/>
        </w:tabs>
        <w:ind w:left="220"/>
      </w:pPr>
      <w:hyperlink w:anchor="_Toc2567" w:history="1">
        <w:r>
          <w:rPr>
            <w:rFonts w:ascii="IRNazanin" w:hAnsi="IRNazanin" w:eastAsia="IRNazanin" w:cs="IRNazanin"/>
            <w:color w:val="111111"/>
            <w:sz w:val="22"/>
            <w:szCs w:val="22"/>
            <w:b w:val="0"/>
            <w:bCs w:val="0"/>
            <w:i w:val="0"/>
            <w:iCs w:val="0"/>
          </w:rPr>
          <w:t>حافظ دقيقي ، محمّد</w:t>
        </w:r>
        <w:r>
          <w:tab/>
        </w:r>
        <w:r>
          <w:fldChar w:fldCharType="begin"/>
        </w:r>
        <w:r>
          <w:instrText xml:space="preserve">PAGEREF 2567 \h</w:instrText>
        </w:r>
        <w:r>
          <w:fldChar w:fldCharType="end"/>
        </w:r>
      </w:hyperlink>
    </w:p>
    <w:p>
      <w:pPr>
        <w:tabs>
          <w:tab w:val="right" w:leader="dot" w:pos="9062"/>
        </w:tabs>
        <w:ind w:left="220"/>
      </w:pPr>
      <w:hyperlink w:anchor="_Toc2568" w:history="1">
        <w:r>
          <w:rPr>
            <w:rFonts w:ascii="IRNazanin" w:hAnsi="IRNazanin" w:eastAsia="IRNazanin" w:cs="IRNazanin"/>
            <w:color w:val="111111"/>
            <w:sz w:val="22"/>
            <w:szCs w:val="22"/>
            <w:b w:val="0"/>
            <w:bCs w:val="0"/>
            <w:i w:val="0"/>
            <w:iCs w:val="0"/>
          </w:rPr>
          <w:t>حافظ شيرازي ، شمس الدين محمّد</w:t>
        </w:r>
        <w:r>
          <w:tab/>
        </w:r>
        <w:r>
          <w:fldChar w:fldCharType="begin"/>
        </w:r>
        <w:r>
          <w:instrText xml:space="preserve">PAGEREF 2568 \h</w:instrText>
        </w:r>
        <w:r>
          <w:fldChar w:fldCharType="end"/>
        </w:r>
      </w:hyperlink>
    </w:p>
    <w:p>
      <w:pPr>
        <w:tabs>
          <w:tab w:val="right" w:leader="dot" w:pos="9062"/>
        </w:tabs>
        <w:ind w:left="220"/>
      </w:pPr>
      <w:hyperlink w:anchor="_Toc2569" w:history="1">
        <w:r>
          <w:rPr>
            <w:rFonts w:ascii="IRNazanin" w:hAnsi="IRNazanin" w:eastAsia="IRNazanin" w:cs="IRNazanin"/>
            <w:color w:val="111111"/>
            <w:sz w:val="22"/>
            <w:szCs w:val="22"/>
            <w:b w:val="0"/>
            <w:bCs w:val="0"/>
            <w:i w:val="0"/>
            <w:iCs w:val="0"/>
          </w:rPr>
          <w:t>حافظ شيرواني، عبدالغني، قرن 12 ه-</w:t>
        </w:r>
        <w:r>
          <w:tab/>
        </w:r>
        <w:r>
          <w:fldChar w:fldCharType="begin"/>
        </w:r>
        <w:r>
          <w:instrText xml:space="preserve">PAGEREF 2569 \h</w:instrText>
        </w:r>
        <w:r>
          <w:fldChar w:fldCharType="end"/>
        </w:r>
      </w:hyperlink>
    </w:p>
    <w:p>
      <w:pPr>
        <w:tabs>
          <w:tab w:val="right" w:leader="dot" w:pos="9062"/>
        </w:tabs>
        <w:ind w:left="220"/>
      </w:pPr>
      <w:hyperlink w:anchor="_Toc2570" w:history="1">
        <w:r>
          <w:rPr>
            <w:rFonts w:ascii="IRNazanin" w:hAnsi="IRNazanin" w:eastAsia="IRNazanin" w:cs="IRNazanin"/>
            <w:color w:val="111111"/>
            <w:sz w:val="22"/>
            <w:szCs w:val="22"/>
            <w:b w:val="0"/>
            <w:bCs w:val="0"/>
            <w:i w:val="0"/>
            <w:iCs w:val="0"/>
          </w:rPr>
          <w:t>حافظ ، محمّد بن احمد</w:t>
        </w:r>
        <w:r>
          <w:tab/>
        </w:r>
        <w:r>
          <w:fldChar w:fldCharType="begin"/>
        </w:r>
        <w:r>
          <w:instrText xml:space="preserve">PAGEREF 2570 \h</w:instrText>
        </w:r>
        <w:r>
          <w:fldChar w:fldCharType="end"/>
        </w:r>
      </w:hyperlink>
    </w:p>
    <w:p>
      <w:pPr>
        <w:tabs>
          <w:tab w:val="right" w:leader="dot" w:pos="9062"/>
        </w:tabs>
        <w:ind w:left="220"/>
      </w:pPr>
      <w:hyperlink w:anchor="_Toc2571" w:history="1">
        <w:r>
          <w:rPr>
            <w:rFonts w:ascii="IRNazanin" w:hAnsi="IRNazanin" w:eastAsia="IRNazanin" w:cs="IRNazanin"/>
            <w:color w:val="111111"/>
            <w:sz w:val="22"/>
            <w:szCs w:val="22"/>
            <w:b w:val="0"/>
            <w:bCs w:val="0"/>
            <w:i w:val="0"/>
            <w:iCs w:val="0"/>
          </w:rPr>
          <w:t>حافظ ، محمّد بن ملا احمد</w:t>
        </w:r>
        <w:r>
          <w:tab/>
        </w:r>
        <w:r>
          <w:fldChar w:fldCharType="begin"/>
        </w:r>
        <w:r>
          <w:instrText xml:space="preserve">PAGEREF 2571 \h</w:instrText>
        </w:r>
        <w:r>
          <w:fldChar w:fldCharType="end"/>
        </w:r>
      </w:hyperlink>
    </w:p>
    <w:p>
      <w:pPr>
        <w:tabs>
          <w:tab w:val="right" w:leader="dot" w:pos="9062"/>
        </w:tabs>
        <w:ind w:left="220"/>
      </w:pPr>
      <w:hyperlink w:anchor="_Toc2572" w:history="1">
        <w:r>
          <w:rPr>
            <w:rFonts w:ascii="IRNazanin" w:hAnsi="IRNazanin" w:eastAsia="IRNazanin" w:cs="IRNazanin"/>
            <w:color w:val="111111"/>
            <w:sz w:val="22"/>
            <w:szCs w:val="22"/>
            <w:b w:val="0"/>
            <w:bCs w:val="0"/>
            <w:i w:val="0"/>
            <w:iCs w:val="0"/>
          </w:rPr>
          <w:t>حافظ ، محمّد مهدي</w:t>
        </w:r>
        <w:r>
          <w:tab/>
        </w:r>
        <w:r>
          <w:fldChar w:fldCharType="begin"/>
        </w:r>
        <w:r>
          <w:instrText xml:space="preserve">PAGEREF 2572 \h</w:instrText>
        </w:r>
        <w:r>
          <w:fldChar w:fldCharType="end"/>
        </w:r>
      </w:hyperlink>
    </w:p>
    <w:p>
      <w:pPr>
        <w:tabs>
          <w:tab w:val="right" w:leader="dot" w:pos="9062"/>
        </w:tabs>
        <w:ind w:left="220"/>
      </w:pPr>
      <w:hyperlink w:anchor="_Toc2573" w:history="1">
        <w:r>
          <w:rPr>
            <w:rFonts w:ascii="IRNazanin" w:hAnsi="IRNazanin" w:eastAsia="IRNazanin" w:cs="IRNazanin"/>
            <w:color w:val="111111"/>
            <w:sz w:val="22"/>
            <w:szCs w:val="22"/>
            <w:b w:val="0"/>
            <w:bCs w:val="0"/>
            <w:i w:val="0"/>
            <w:iCs w:val="0"/>
          </w:rPr>
          <w:t>حافظ مزي ، يوسف بن عبدالرحمن 654</w:t>
        </w:r>
        <w:r>
          <w:tab/>
        </w:r>
        <w:r>
          <w:fldChar w:fldCharType="begin"/>
        </w:r>
        <w:r>
          <w:instrText xml:space="preserve">PAGEREF 2573 \h</w:instrText>
        </w:r>
        <w:r>
          <w:fldChar w:fldCharType="end"/>
        </w:r>
      </w:hyperlink>
    </w:p>
    <w:p>
      <w:pPr>
        <w:tabs>
          <w:tab w:val="right" w:leader="dot" w:pos="9062"/>
        </w:tabs>
        <w:ind w:left="220"/>
      </w:pPr>
      <w:hyperlink w:anchor="_Toc2574" w:history="1">
        <w:r>
          <w:rPr>
            <w:rFonts w:ascii="IRNazanin" w:hAnsi="IRNazanin" w:eastAsia="IRNazanin" w:cs="IRNazanin"/>
            <w:color w:val="111111"/>
            <w:sz w:val="22"/>
            <w:szCs w:val="22"/>
            <w:b w:val="0"/>
            <w:bCs w:val="0"/>
            <w:i w:val="0"/>
            <w:iCs w:val="0"/>
          </w:rPr>
          <w:t>حافظي كاشاني ، عبد الصمد بن كمال</w:t>
        </w:r>
        <w:r>
          <w:tab/>
        </w:r>
        <w:r>
          <w:fldChar w:fldCharType="begin"/>
        </w:r>
        <w:r>
          <w:instrText xml:space="preserve">PAGEREF 2574 \h</w:instrText>
        </w:r>
        <w:r>
          <w:fldChar w:fldCharType="end"/>
        </w:r>
      </w:hyperlink>
    </w:p>
    <w:p>
      <w:pPr>
        <w:tabs>
          <w:tab w:val="right" w:leader="dot" w:pos="9062"/>
        </w:tabs>
        <w:ind w:left="220"/>
      </w:pPr>
      <w:hyperlink w:anchor="_Toc2575" w:history="1">
        <w:r>
          <w:rPr>
            <w:rFonts w:ascii="IRNazanin" w:hAnsi="IRNazanin" w:eastAsia="IRNazanin" w:cs="IRNazanin"/>
            <w:color w:val="111111"/>
            <w:sz w:val="22"/>
            <w:szCs w:val="22"/>
            <w:b w:val="0"/>
            <w:bCs w:val="0"/>
            <w:i w:val="0"/>
            <w:iCs w:val="0"/>
          </w:rPr>
          <w:t>حافظي، محمّد حسين بن غلام حيدر</w:t>
        </w:r>
        <w:r>
          <w:tab/>
        </w:r>
        <w:r>
          <w:fldChar w:fldCharType="begin"/>
        </w:r>
        <w:r>
          <w:instrText xml:space="preserve">PAGEREF 2575 \h</w:instrText>
        </w:r>
        <w:r>
          <w:fldChar w:fldCharType="end"/>
        </w:r>
      </w:hyperlink>
    </w:p>
    <w:p>
      <w:pPr>
        <w:tabs>
          <w:tab w:val="right" w:leader="dot" w:pos="9062"/>
        </w:tabs>
        <w:ind w:left="220"/>
      </w:pPr>
      <w:hyperlink w:anchor="_Toc2576" w:history="1">
        <w:r>
          <w:rPr>
            <w:rFonts w:ascii="IRNazanin" w:hAnsi="IRNazanin" w:eastAsia="IRNazanin" w:cs="IRNazanin"/>
            <w:color w:val="111111"/>
            <w:sz w:val="22"/>
            <w:szCs w:val="22"/>
            <w:b w:val="0"/>
            <w:bCs w:val="0"/>
            <w:i w:val="0"/>
            <w:iCs w:val="0"/>
          </w:rPr>
          <w:t>حافي ، جعيفر</w:t>
        </w:r>
        <w:r>
          <w:tab/>
        </w:r>
        <w:r>
          <w:fldChar w:fldCharType="begin"/>
        </w:r>
        <w:r>
          <w:instrText xml:space="preserve">PAGEREF 2576 \h</w:instrText>
        </w:r>
        <w:r>
          <w:fldChar w:fldCharType="end"/>
        </w:r>
      </w:hyperlink>
    </w:p>
    <w:p>
      <w:pPr>
        <w:tabs>
          <w:tab w:val="right" w:leader="dot" w:pos="9062"/>
        </w:tabs>
        <w:ind w:left="220"/>
      </w:pPr>
      <w:hyperlink w:anchor="_Toc2577" w:history="1">
        <w:r>
          <w:rPr>
            <w:rFonts w:ascii="IRNazanin" w:hAnsi="IRNazanin" w:eastAsia="IRNazanin" w:cs="IRNazanin"/>
            <w:color w:val="111111"/>
            <w:sz w:val="22"/>
            <w:szCs w:val="22"/>
            <w:b w:val="0"/>
            <w:bCs w:val="0"/>
            <w:i w:val="0"/>
            <w:iCs w:val="0"/>
          </w:rPr>
          <w:t>حافي ، عبد الحليم بن احمد - 1362 ه-</w:t>
        </w:r>
        <w:r>
          <w:tab/>
        </w:r>
        <w:r>
          <w:fldChar w:fldCharType="begin"/>
        </w:r>
        <w:r>
          <w:instrText xml:space="preserve">PAGEREF 2577 \h</w:instrText>
        </w:r>
        <w:r>
          <w:fldChar w:fldCharType="end"/>
        </w:r>
      </w:hyperlink>
    </w:p>
    <w:p>
      <w:pPr>
        <w:tabs>
          <w:tab w:val="right" w:leader="dot" w:pos="9062"/>
        </w:tabs>
        <w:ind w:left="220"/>
      </w:pPr>
      <w:hyperlink w:anchor="_Toc2578" w:history="1">
        <w:r>
          <w:rPr>
            <w:rFonts w:ascii="IRNazanin" w:hAnsi="IRNazanin" w:eastAsia="IRNazanin" w:cs="IRNazanin"/>
            <w:color w:val="111111"/>
            <w:sz w:val="22"/>
            <w:szCs w:val="22"/>
            <w:b w:val="0"/>
            <w:bCs w:val="0"/>
            <w:i w:val="0"/>
            <w:iCs w:val="0"/>
          </w:rPr>
          <w:t>الحاكم بامر الله ، منصور بن عزيز، 386 -</w:t>
        </w:r>
        <w:r>
          <w:tab/>
        </w:r>
        <w:r>
          <w:fldChar w:fldCharType="begin"/>
        </w:r>
        <w:r>
          <w:instrText xml:space="preserve">PAGEREF 2578 \h</w:instrText>
        </w:r>
        <w:r>
          <w:fldChar w:fldCharType="end"/>
        </w:r>
      </w:hyperlink>
    </w:p>
    <w:p>
      <w:pPr>
        <w:tabs>
          <w:tab w:val="right" w:leader="dot" w:pos="9062"/>
        </w:tabs>
        <w:ind w:left="220"/>
      </w:pPr>
      <w:hyperlink w:anchor="_Toc2579" w:history="1">
        <w:r>
          <w:rPr>
            <w:rFonts w:ascii="IRNazanin" w:hAnsi="IRNazanin" w:eastAsia="IRNazanin" w:cs="IRNazanin"/>
            <w:color w:val="111111"/>
            <w:sz w:val="22"/>
            <w:szCs w:val="22"/>
            <w:b w:val="0"/>
            <w:bCs w:val="0"/>
            <w:i w:val="0"/>
            <w:iCs w:val="0"/>
          </w:rPr>
          <w:t>حاكم نيشابوري ، محمّد بن عبدالله، 321</w:t>
        </w:r>
        <w:r>
          <w:tab/>
        </w:r>
        <w:r>
          <w:fldChar w:fldCharType="begin"/>
        </w:r>
        <w:r>
          <w:instrText xml:space="preserve">PAGEREF 2579 \h</w:instrText>
        </w:r>
        <w:r>
          <w:fldChar w:fldCharType="end"/>
        </w:r>
      </w:hyperlink>
    </w:p>
    <w:p>
      <w:pPr>
        <w:tabs>
          <w:tab w:val="right" w:leader="dot" w:pos="9062"/>
        </w:tabs>
        <w:ind w:left="220"/>
      </w:pPr>
      <w:hyperlink w:anchor="_Toc2580" w:history="1">
        <w:r>
          <w:rPr>
            <w:rFonts w:ascii="IRNazanin" w:hAnsi="IRNazanin" w:eastAsia="IRNazanin" w:cs="IRNazanin"/>
            <w:color w:val="111111"/>
            <w:sz w:val="22"/>
            <w:szCs w:val="22"/>
            <w:b w:val="0"/>
            <w:bCs w:val="0"/>
            <w:i w:val="0"/>
            <w:iCs w:val="0"/>
          </w:rPr>
          <w:t>حاكم نيشابوري ، محمّد بن محمّد، 285 -</w:t>
        </w:r>
        <w:r>
          <w:tab/>
        </w:r>
        <w:r>
          <w:fldChar w:fldCharType="begin"/>
        </w:r>
        <w:r>
          <w:instrText xml:space="preserve">PAGEREF 2580 \h</w:instrText>
        </w:r>
        <w:r>
          <w:fldChar w:fldCharType="end"/>
        </w:r>
      </w:hyperlink>
    </w:p>
    <w:p>
      <w:pPr>
        <w:tabs>
          <w:tab w:val="right" w:leader="dot" w:pos="9062"/>
        </w:tabs>
        <w:ind w:left="220"/>
      </w:pPr>
      <w:hyperlink w:anchor="_Toc2581" w:history="1">
        <w:r>
          <w:rPr>
            <w:rFonts w:ascii="IRNazanin" w:hAnsi="IRNazanin" w:eastAsia="IRNazanin" w:cs="IRNazanin"/>
            <w:color w:val="111111"/>
            <w:sz w:val="22"/>
            <w:szCs w:val="22"/>
            <w:b w:val="0"/>
            <w:bCs w:val="0"/>
            <w:i w:val="0"/>
            <w:iCs w:val="0"/>
          </w:rPr>
          <w:t>حامد بن عمر</w:t>
        </w:r>
        <w:r>
          <w:tab/>
        </w:r>
        <w:r>
          <w:fldChar w:fldCharType="begin"/>
        </w:r>
        <w:r>
          <w:instrText xml:space="preserve">PAGEREF 2581 \h</w:instrText>
        </w:r>
        <w:r>
          <w:fldChar w:fldCharType="end"/>
        </w:r>
      </w:hyperlink>
    </w:p>
    <w:p>
      <w:pPr>
        <w:tabs>
          <w:tab w:val="right" w:leader="dot" w:pos="9062"/>
        </w:tabs>
        <w:ind w:left="220"/>
      </w:pPr>
      <w:hyperlink w:anchor="_Toc2582" w:history="1">
        <w:r>
          <w:rPr>
            <w:rFonts w:ascii="IRNazanin" w:hAnsi="IRNazanin" w:eastAsia="IRNazanin" w:cs="IRNazanin"/>
            <w:color w:val="111111"/>
            <w:sz w:val="22"/>
            <w:szCs w:val="22"/>
            <w:b w:val="0"/>
            <w:bCs w:val="0"/>
            <w:i w:val="0"/>
            <w:iCs w:val="0"/>
          </w:rPr>
          <w:t>حامدي، اسماعيل بن موسى - 1316 ه-</w:t>
        </w:r>
        <w:r>
          <w:tab/>
        </w:r>
        <w:r>
          <w:fldChar w:fldCharType="begin"/>
        </w:r>
        <w:r>
          <w:instrText xml:space="preserve">PAGEREF 2582 \h</w:instrText>
        </w:r>
        <w:r>
          <w:fldChar w:fldCharType="end"/>
        </w:r>
      </w:hyperlink>
    </w:p>
    <w:p>
      <w:pPr>
        <w:tabs>
          <w:tab w:val="right" w:leader="dot" w:pos="9062"/>
        </w:tabs>
        <w:ind w:left="220"/>
      </w:pPr>
      <w:hyperlink w:anchor="_Toc2583" w:history="1">
        <w:r>
          <w:rPr>
            <w:rFonts w:ascii="IRNazanin" w:hAnsi="IRNazanin" w:eastAsia="IRNazanin" w:cs="IRNazanin"/>
            <w:color w:val="111111"/>
            <w:sz w:val="22"/>
            <w:szCs w:val="22"/>
            <w:b w:val="0"/>
            <w:bCs w:val="0"/>
            <w:i w:val="0"/>
            <w:iCs w:val="0"/>
          </w:rPr>
          <w:t>حامض ، سليمان بن محمّد - 305 ه-</w:t>
        </w:r>
        <w:r>
          <w:tab/>
        </w:r>
        <w:r>
          <w:fldChar w:fldCharType="begin"/>
        </w:r>
        <w:r>
          <w:instrText xml:space="preserve">PAGEREF 2583 \h</w:instrText>
        </w:r>
        <w:r>
          <w:fldChar w:fldCharType="end"/>
        </w:r>
      </w:hyperlink>
    </w:p>
    <w:p>
      <w:pPr>
        <w:tabs>
          <w:tab w:val="right" w:leader="dot" w:pos="9062"/>
        </w:tabs>
        <w:ind w:left="220"/>
      </w:pPr>
      <w:hyperlink w:anchor="_Toc2584" w:history="1">
        <w:r>
          <w:rPr>
            <w:rFonts w:ascii="IRNazanin" w:hAnsi="IRNazanin" w:eastAsia="IRNazanin" w:cs="IRNazanin"/>
            <w:color w:val="111111"/>
            <w:sz w:val="22"/>
            <w:szCs w:val="22"/>
            <w:b w:val="0"/>
            <w:bCs w:val="0"/>
            <w:i w:val="0"/>
            <w:iCs w:val="0"/>
          </w:rPr>
          <w:t>حاوي ، رسول - 1242 ه-</w:t>
        </w:r>
        <w:r>
          <w:tab/>
        </w:r>
        <w:r>
          <w:fldChar w:fldCharType="begin"/>
        </w:r>
        <w:r>
          <w:instrText xml:space="preserve">PAGEREF 2584 \h</w:instrText>
        </w:r>
        <w:r>
          <w:fldChar w:fldCharType="end"/>
        </w:r>
      </w:hyperlink>
    </w:p>
    <w:p>
      <w:pPr>
        <w:tabs>
          <w:tab w:val="right" w:leader="dot" w:pos="9062"/>
        </w:tabs>
        <w:ind w:left="220"/>
      </w:pPr>
      <w:hyperlink w:anchor="_Toc2585" w:history="1">
        <w:r>
          <w:rPr>
            <w:rFonts w:ascii="IRNazanin" w:hAnsi="IRNazanin" w:eastAsia="IRNazanin" w:cs="IRNazanin"/>
            <w:color w:val="111111"/>
            <w:sz w:val="22"/>
            <w:szCs w:val="22"/>
            <w:b w:val="0"/>
            <w:bCs w:val="0"/>
            <w:i w:val="0"/>
            <w:iCs w:val="0"/>
          </w:rPr>
          <w:t>حبري كوفي ، حسين بن حكم - 286 ه-</w:t>
        </w:r>
        <w:r>
          <w:tab/>
        </w:r>
        <w:r>
          <w:fldChar w:fldCharType="begin"/>
        </w:r>
        <w:r>
          <w:instrText xml:space="preserve">PAGEREF 2585 \h</w:instrText>
        </w:r>
        <w:r>
          <w:fldChar w:fldCharType="end"/>
        </w:r>
      </w:hyperlink>
    </w:p>
    <w:p>
      <w:pPr>
        <w:tabs>
          <w:tab w:val="right" w:leader="dot" w:pos="9062"/>
        </w:tabs>
        <w:ind w:left="220"/>
      </w:pPr>
      <w:hyperlink w:anchor="_Toc2586" w:history="1">
        <w:r>
          <w:rPr>
            <w:rFonts w:ascii="IRNazanin" w:hAnsi="IRNazanin" w:eastAsia="IRNazanin" w:cs="IRNazanin"/>
            <w:color w:val="111111"/>
            <w:sz w:val="22"/>
            <w:szCs w:val="22"/>
            <w:b w:val="0"/>
            <w:bCs w:val="0"/>
            <w:i w:val="0"/>
            <w:iCs w:val="0"/>
          </w:rPr>
          <w:t>حبشي، زين بن علوي - 1275ه-</w:t>
        </w:r>
        <w:r>
          <w:tab/>
        </w:r>
        <w:r>
          <w:fldChar w:fldCharType="begin"/>
        </w:r>
        <w:r>
          <w:instrText xml:space="preserve">PAGEREF 2586 \h</w:instrText>
        </w:r>
        <w:r>
          <w:fldChar w:fldCharType="end"/>
        </w:r>
      </w:hyperlink>
    </w:p>
    <w:p>
      <w:pPr>
        <w:tabs>
          <w:tab w:val="right" w:leader="dot" w:pos="9062"/>
        </w:tabs>
        <w:ind w:left="220"/>
      </w:pPr>
      <w:hyperlink w:anchor="_Toc2587" w:history="1">
        <w:r>
          <w:rPr>
            <w:rFonts w:ascii="IRNazanin" w:hAnsi="IRNazanin" w:eastAsia="IRNazanin" w:cs="IRNazanin"/>
            <w:color w:val="111111"/>
            <w:sz w:val="22"/>
            <w:szCs w:val="22"/>
            <w:b w:val="0"/>
            <w:bCs w:val="0"/>
            <w:i w:val="0"/>
            <w:iCs w:val="0"/>
          </w:rPr>
          <w:t>حبوبي ، محمود بن حسين - 1389 ه-</w:t>
        </w:r>
        <w:r>
          <w:tab/>
        </w:r>
        <w:r>
          <w:fldChar w:fldCharType="begin"/>
        </w:r>
        <w:r>
          <w:instrText xml:space="preserve">PAGEREF 2587 \h</w:instrText>
        </w:r>
        <w:r>
          <w:fldChar w:fldCharType="end"/>
        </w:r>
      </w:hyperlink>
    </w:p>
    <w:p>
      <w:pPr>
        <w:tabs>
          <w:tab w:val="right" w:leader="dot" w:pos="9062"/>
        </w:tabs>
        <w:ind w:left="220"/>
      </w:pPr>
      <w:hyperlink w:anchor="_Toc2588" w:history="1">
        <w:r>
          <w:rPr>
            <w:rFonts w:ascii="IRNazanin" w:hAnsi="IRNazanin" w:eastAsia="IRNazanin" w:cs="IRNazanin"/>
            <w:color w:val="111111"/>
            <w:sz w:val="22"/>
            <w:szCs w:val="22"/>
            <w:b w:val="0"/>
            <w:bCs w:val="0"/>
            <w:i w:val="0"/>
            <w:iCs w:val="0"/>
          </w:rPr>
          <w:t>حبيب بن عبد الرزاق، قرن 13 ه-</w:t>
        </w:r>
        <w:r>
          <w:tab/>
        </w:r>
        <w:r>
          <w:fldChar w:fldCharType="begin"/>
        </w:r>
        <w:r>
          <w:instrText xml:space="preserve">PAGEREF 2588 \h</w:instrText>
        </w:r>
        <w:r>
          <w:fldChar w:fldCharType="end"/>
        </w:r>
      </w:hyperlink>
    </w:p>
    <w:p>
      <w:pPr>
        <w:tabs>
          <w:tab w:val="right" w:leader="dot" w:pos="9062"/>
        </w:tabs>
        <w:ind w:left="220"/>
      </w:pPr>
      <w:hyperlink w:anchor="_Toc2589" w:history="1">
        <w:r>
          <w:rPr>
            <w:rFonts w:ascii="IRNazanin" w:hAnsi="IRNazanin" w:eastAsia="IRNazanin" w:cs="IRNazanin"/>
            <w:color w:val="111111"/>
            <w:sz w:val="22"/>
            <w:szCs w:val="22"/>
            <w:b w:val="0"/>
            <w:bCs w:val="0"/>
            <w:i w:val="0"/>
            <w:iCs w:val="0"/>
          </w:rPr>
          <w:t>حجار نجفي ، مهدي بن داود قرن 14 ه-</w:t>
        </w:r>
        <w:r>
          <w:tab/>
        </w:r>
        <w:r>
          <w:fldChar w:fldCharType="begin"/>
        </w:r>
        <w:r>
          <w:instrText xml:space="preserve">PAGEREF 2589 \h</w:instrText>
        </w:r>
        <w:r>
          <w:fldChar w:fldCharType="end"/>
        </w:r>
      </w:hyperlink>
    </w:p>
    <w:p>
      <w:pPr>
        <w:tabs>
          <w:tab w:val="right" w:leader="dot" w:pos="9062"/>
        </w:tabs>
        <w:ind w:left="220"/>
      </w:pPr>
      <w:hyperlink w:anchor="_Toc2590" w:history="1">
        <w:r>
          <w:rPr>
            <w:rFonts w:ascii="IRNazanin" w:hAnsi="IRNazanin" w:eastAsia="IRNazanin" w:cs="IRNazanin"/>
            <w:color w:val="111111"/>
            <w:sz w:val="22"/>
            <w:szCs w:val="22"/>
            <w:b w:val="0"/>
            <w:bCs w:val="0"/>
            <w:i w:val="0"/>
            <w:iCs w:val="0"/>
          </w:rPr>
          <w:t>حجازي ، احمد بن محمّد 790 - 875 ه-</w:t>
        </w:r>
        <w:r>
          <w:tab/>
        </w:r>
        <w:r>
          <w:fldChar w:fldCharType="begin"/>
        </w:r>
        <w:r>
          <w:instrText xml:space="preserve">PAGEREF 2590 \h</w:instrText>
        </w:r>
        <w:r>
          <w:fldChar w:fldCharType="end"/>
        </w:r>
      </w:hyperlink>
    </w:p>
    <w:p>
      <w:pPr>
        <w:tabs>
          <w:tab w:val="right" w:leader="dot" w:pos="9062"/>
        </w:tabs>
        <w:ind w:left="220"/>
      </w:pPr>
      <w:hyperlink w:anchor="_Toc2591" w:history="1">
        <w:r>
          <w:rPr>
            <w:rFonts w:ascii="IRNazanin" w:hAnsi="IRNazanin" w:eastAsia="IRNazanin" w:cs="IRNazanin"/>
            <w:color w:val="111111"/>
            <w:sz w:val="22"/>
            <w:szCs w:val="22"/>
            <w:b w:val="0"/>
            <w:bCs w:val="0"/>
            <w:i w:val="0"/>
            <w:iCs w:val="0"/>
          </w:rPr>
          <w:t>حجازي ، عبدالله بن حسن</w:t>
        </w:r>
        <w:r>
          <w:tab/>
        </w:r>
        <w:r>
          <w:fldChar w:fldCharType="begin"/>
        </w:r>
        <w:r>
          <w:instrText xml:space="preserve">PAGEREF 2591 \h</w:instrText>
        </w:r>
        <w:r>
          <w:fldChar w:fldCharType="end"/>
        </w:r>
      </w:hyperlink>
    </w:p>
    <w:p>
      <w:pPr>
        <w:tabs>
          <w:tab w:val="right" w:leader="dot" w:pos="9062"/>
        </w:tabs>
        <w:ind w:left="220"/>
      </w:pPr>
      <w:hyperlink w:anchor="_Toc2592" w:history="1">
        <w:r>
          <w:rPr>
            <w:rFonts w:ascii="IRNazanin" w:hAnsi="IRNazanin" w:eastAsia="IRNazanin" w:cs="IRNazanin"/>
            <w:color w:val="111111"/>
            <w:sz w:val="22"/>
            <w:szCs w:val="22"/>
            <w:b w:val="0"/>
            <w:bCs w:val="0"/>
            <w:i w:val="0"/>
            <w:iCs w:val="0"/>
          </w:rPr>
          <w:t>حجازي، عبدالهادي، قرن 8 ه-</w:t>
        </w:r>
        <w:r>
          <w:tab/>
        </w:r>
        <w:r>
          <w:fldChar w:fldCharType="begin"/>
        </w:r>
        <w:r>
          <w:instrText xml:space="preserve">PAGEREF 2592 \h</w:instrText>
        </w:r>
        <w:r>
          <w:fldChar w:fldCharType="end"/>
        </w:r>
      </w:hyperlink>
    </w:p>
    <w:p>
      <w:pPr>
        <w:tabs>
          <w:tab w:val="right" w:leader="dot" w:pos="9062"/>
        </w:tabs>
        <w:ind w:left="220"/>
      </w:pPr>
      <w:hyperlink w:anchor="_Toc2593" w:history="1">
        <w:r>
          <w:rPr>
            <w:rFonts w:ascii="IRNazanin" w:hAnsi="IRNazanin" w:eastAsia="IRNazanin" w:cs="IRNazanin"/>
            <w:color w:val="111111"/>
            <w:sz w:val="22"/>
            <w:szCs w:val="22"/>
            <w:b w:val="0"/>
            <w:bCs w:val="0"/>
            <w:i w:val="0"/>
            <w:iCs w:val="0"/>
          </w:rPr>
          <w:t>حجازي مصري ، محمّد بن اسماعيل</w:t>
        </w:r>
        <w:r>
          <w:tab/>
        </w:r>
        <w:r>
          <w:fldChar w:fldCharType="begin"/>
        </w:r>
        <w:r>
          <w:instrText xml:space="preserve">PAGEREF 2593 \h</w:instrText>
        </w:r>
        <w:r>
          <w:fldChar w:fldCharType="end"/>
        </w:r>
      </w:hyperlink>
    </w:p>
    <w:p>
      <w:pPr>
        <w:tabs>
          <w:tab w:val="right" w:leader="dot" w:pos="9062"/>
        </w:tabs>
        <w:ind w:left="220"/>
      </w:pPr>
      <w:hyperlink w:anchor="_Toc2594" w:history="1">
        <w:r>
          <w:rPr>
            <w:rFonts w:ascii="IRNazanin" w:hAnsi="IRNazanin" w:eastAsia="IRNazanin" w:cs="IRNazanin"/>
            <w:color w:val="111111"/>
            <w:sz w:val="22"/>
            <w:szCs w:val="22"/>
            <w:b w:val="0"/>
            <w:bCs w:val="0"/>
            <w:i w:val="0"/>
            <w:iCs w:val="0"/>
          </w:rPr>
          <w:t>حجاوي، عبدالوهاب بن عبدالفتاح قرن</w:t>
        </w:r>
        <w:r>
          <w:tab/>
        </w:r>
        <w:r>
          <w:fldChar w:fldCharType="begin"/>
        </w:r>
        <w:r>
          <w:instrText xml:space="preserve">PAGEREF 2594 \h</w:instrText>
        </w:r>
        <w:r>
          <w:fldChar w:fldCharType="end"/>
        </w:r>
      </w:hyperlink>
    </w:p>
    <w:p>
      <w:pPr>
        <w:tabs>
          <w:tab w:val="right" w:leader="dot" w:pos="9062"/>
        </w:tabs>
        <w:ind w:left="220"/>
      </w:pPr>
      <w:hyperlink w:anchor="_Toc2595" w:history="1">
        <w:r>
          <w:rPr>
            <w:rFonts w:ascii="IRNazanin" w:hAnsi="IRNazanin" w:eastAsia="IRNazanin" w:cs="IRNazanin"/>
            <w:color w:val="111111"/>
            <w:sz w:val="22"/>
            <w:szCs w:val="22"/>
            <w:b w:val="0"/>
            <w:bCs w:val="0"/>
            <w:i w:val="0"/>
            <w:iCs w:val="0"/>
          </w:rPr>
          <w:t>حجت طباطبائي ، محمّد باقر بن</w:t>
        </w:r>
        <w:r>
          <w:tab/>
        </w:r>
        <w:r>
          <w:fldChar w:fldCharType="begin"/>
        </w:r>
        <w:r>
          <w:instrText xml:space="preserve">PAGEREF 2595 \h</w:instrText>
        </w:r>
        <w:r>
          <w:fldChar w:fldCharType="end"/>
        </w:r>
      </w:hyperlink>
    </w:p>
    <w:p>
      <w:pPr>
        <w:tabs>
          <w:tab w:val="right" w:leader="dot" w:pos="9062"/>
        </w:tabs>
        <w:ind w:left="220"/>
      </w:pPr>
      <w:hyperlink w:anchor="_Toc2596" w:history="1">
        <w:r>
          <w:rPr>
            <w:rFonts w:ascii="IRNazanin" w:hAnsi="IRNazanin" w:eastAsia="IRNazanin" w:cs="IRNazanin"/>
            <w:color w:val="111111"/>
            <w:sz w:val="22"/>
            <w:szCs w:val="22"/>
            <w:b w:val="0"/>
            <w:bCs w:val="0"/>
            <w:i w:val="0"/>
            <w:iCs w:val="0"/>
          </w:rPr>
          <w:t>حجت طباطبائي ، محمّد باقر بن محمّد</w:t>
        </w:r>
        <w:r>
          <w:tab/>
        </w:r>
        <w:r>
          <w:fldChar w:fldCharType="begin"/>
        </w:r>
        <w:r>
          <w:instrText xml:space="preserve">PAGEREF 2596 \h</w:instrText>
        </w:r>
        <w:r>
          <w:fldChar w:fldCharType="end"/>
        </w:r>
      </w:hyperlink>
    </w:p>
    <w:p>
      <w:pPr>
        <w:tabs>
          <w:tab w:val="right" w:leader="dot" w:pos="9062"/>
        </w:tabs>
        <w:ind w:left="220"/>
      </w:pPr>
      <w:hyperlink w:anchor="_Toc2597" w:history="1">
        <w:r>
          <w:rPr>
            <w:rFonts w:ascii="IRNazanin" w:hAnsi="IRNazanin" w:eastAsia="IRNazanin" w:cs="IRNazanin"/>
            <w:color w:val="111111"/>
            <w:sz w:val="22"/>
            <w:szCs w:val="22"/>
            <w:b w:val="0"/>
            <w:bCs w:val="0"/>
            <w:i w:val="0"/>
            <w:iCs w:val="0"/>
          </w:rPr>
          <w:t>حجت طباطبائي ، محمّد صادق بن محمّد</w:t>
        </w:r>
        <w:r>
          <w:tab/>
        </w:r>
        <w:r>
          <w:fldChar w:fldCharType="begin"/>
        </w:r>
        <w:r>
          <w:instrText xml:space="preserve">PAGEREF 2597 \h</w:instrText>
        </w:r>
        <w:r>
          <w:fldChar w:fldCharType="end"/>
        </w:r>
      </w:hyperlink>
    </w:p>
    <w:p>
      <w:pPr>
        <w:tabs>
          <w:tab w:val="right" w:leader="dot" w:pos="9062"/>
        </w:tabs>
        <w:ind w:left="220"/>
      </w:pPr>
      <w:hyperlink w:anchor="_Toc2598" w:history="1">
        <w:r>
          <w:rPr>
            <w:rFonts w:ascii="IRNazanin" w:hAnsi="IRNazanin" w:eastAsia="IRNazanin" w:cs="IRNazanin"/>
            <w:color w:val="111111"/>
            <w:sz w:val="22"/>
            <w:szCs w:val="22"/>
            <w:b w:val="0"/>
            <w:bCs w:val="0"/>
            <w:i w:val="0"/>
            <w:iCs w:val="0"/>
          </w:rPr>
          <w:t>حجري ، احمد بن محمّد قرن 8 ه-</w:t>
        </w:r>
        <w:r>
          <w:tab/>
        </w:r>
        <w:r>
          <w:fldChar w:fldCharType="begin"/>
        </w:r>
        <w:r>
          <w:instrText xml:space="preserve">PAGEREF 2598 \h</w:instrText>
        </w:r>
        <w:r>
          <w:fldChar w:fldCharType="end"/>
        </w:r>
      </w:hyperlink>
    </w:p>
    <w:p>
      <w:pPr>
        <w:tabs>
          <w:tab w:val="right" w:leader="dot" w:pos="9062"/>
        </w:tabs>
        <w:ind w:left="220"/>
      </w:pPr>
      <w:hyperlink w:anchor="_Toc2599" w:history="1">
        <w:r>
          <w:rPr>
            <w:rFonts w:ascii="IRNazanin" w:hAnsi="IRNazanin" w:eastAsia="IRNazanin" w:cs="IRNazanin"/>
            <w:color w:val="111111"/>
            <w:sz w:val="22"/>
            <w:szCs w:val="22"/>
            <w:b w:val="0"/>
            <w:bCs w:val="0"/>
            <w:i w:val="0"/>
            <w:iCs w:val="0"/>
          </w:rPr>
          <w:t>حجي ، عبدالسلام بن محمّد قرن 6 ه-</w:t>
        </w:r>
        <w:r>
          <w:tab/>
        </w:r>
        <w:r>
          <w:fldChar w:fldCharType="begin"/>
        </w:r>
        <w:r>
          <w:instrText xml:space="preserve">PAGEREF 2599 \h</w:instrText>
        </w:r>
        <w:r>
          <w:fldChar w:fldCharType="end"/>
        </w:r>
      </w:hyperlink>
    </w:p>
    <w:p>
      <w:pPr>
        <w:tabs>
          <w:tab w:val="right" w:leader="dot" w:pos="9062"/>
        </w:tabs>
        <w:ind w:left="220"/>
      </w:pPr>
      <w:hyperlink w:anchor="_Toc2600" w:history="1">
        <w:r>
          <w:rPr>
            <w:rFonts w:ascii="IRNazanin" w:hAnsi="IRNazanin" w:eastAsia="IRNazanin" w:cs="IRNazanin"/>
            <w:color w:val="111111"/>
            <w:sz w:val="22"/>
            <w:szCs w:val="22"/>
            <w:b w:val="0"/>
            <w:bCs w:val="0"/>
            <w:i w:val="0"/>
            <w:iCs w:val="0"/>
          </w:rPr>
          <w:t>حداد حلي ، ابوالمعالي</w:t>
        </w:r>
        <w:r>
          <w:tab/>
        </w:r>
        <w:r>
          <w:fldChar w:fldCharType="begin"/>
        </w:r>
        <w:r>
          <w:instrText xml:space="preserve">PAGEREF 2600 \h</w:instrText>
        </w:r>
        <w:r>
          <w:fldChar w:fldCharType="end"/>
        </w:r>
      </w:hyperlink>
    </w:p>
    <w:p>
      <w:pPr>
        <w:tabs>
          <w:tab w:val="right" w:leader="dot" w:pos="9062"/>
        </w:tabs>
        <w:ind w:left="220"/>
      </w:pPr>
      <w:hyperlink w:anchor="_Toc2601" w:history="1">
        <w:r>
          <w:rPr>
            <w:rFonts w:ascii="IRNazanin" w:hAnsi="IRNazanin" w:eastAsia="IRNazanin" w:cs="IRNazanin"/>
            <w:color w:val="111111"/>
            <w:sz w:val="22"/>
            <w:szCs w:val="22"/>
            <w:b w:val="0"/>
            <w:bCs w:val="0"/>
            <w:i w:val="0"/>
            <w:iCs w:val="0"/>
          </w:rPr>
          <w:t>حداد ، ظافر بن قاسم - 529 ه-</w:t>
        </w:r>
        <w:r>
          <w:tab/>
        </w:r>
        <w:r>
          <w:fldChar w:fldCharType="begin"/>
        </w:r>
        <w:r>
          <w:instrText xml:space="preserve">PAGEREF 2601 \h</w:instrText>
        </w:r>
        <w:r>
          <w:fldChar w:fldCharType="end"/>
        </w:r>
      </w:hyperlink>
    </w:p>
    <w:p>
      <w:pPr>
        <w:tabs>
          <w:tab w:val="right" w:leader="dot" w:pos="9062"/>
        </w:tabs>
        <w:ind w:left="220"/>
      </w:pPr>
      <w:hyperlink w:anchor="_Toc2602" w:history="1">
        <w:r>
          <w:rPr>
            <w:rFonts w:ascii="IRNazanin" w:hAnsi="IRNazanin" w:eastAsia="IRNazanin" w:cs="IRNazanin"/>
            <w:color w:val="111111"/>
            <w:sz w:val="22"/>
            <w:szCs w:val="22"/>
            <w:b w:val="0"/>
            <w:bCs w:val="0"/>
            <w:i w:val="0"/>
            <w:iCs w:val="0"/>
          </w:rPr>
          <w:t>حداد ، علي بن محمّد قرن 11 ه-</w:t>
        </w:r>
        <w:r>
          <w:tab/>
        </w:r>
        <w:r>
          <w:fldChar w:fldCharType="begin"/>
        </w:r>
        <w:r>
          <w:instrText xml:space="preserve">PAGEREF 2602 \h</w:instrText>
        </w:r>
        <w:r>
          <w:fldChar w:fldCharType="end"/>
        </w:r>
      </w:hyperlink>
    </w:p>
    <w:p>
      <w:pPr>
        <w:tabs>
          <w:tab w:val="right" w:leader="dot" w:pos="9062"/>
        </w:tabs>
        <w:ind w:left="220"/>
      </w:pPr>
      <w:hyperlink w:anchor="_Toc2603" w:history="1">
        <w:r>
          <w:rPr>
            <w:rFonts w:ascii="IRNazanin" w:hAnsi="IRNazanin" w:eastAsia="IRNazanin" w:cs="IRNazanin"/>
            <w:color w:val="111111"/>
            <w:sz w:val="22"/>
            <w:szCs w:val="22"/>
            <w:b w:val="0"/>
            <w:bCs w:val="0"/>
            <w:i w:val="0"/>
            <w:iCs w:val="0"/>
          </w:rPr>
          <w:t>حدادي عبادي ، ابوبكر بن علي - 800ه-</w:t>
        </w:r>
        <w:r>
          <w:tab/>
        </w:r>
        <w:r>
          <w:fldChar w:fldCharType="begin"/>
        </w:r>
        <w:r>
          <w:instrText xml:space="preserve">PAGEREF 2603 \h</w:instrText>
        </w:r>
        <w:r>
          <w:fldChar w:fldCharType="end"/>
        </w:r>
      </w:hyperlink>
    </w:p>
    <w:p>
      <w:pPr>
        <w:tabs>
          <w:tab w:val="right" w:leader="dot" w:pos="9062"/>
        </w:tabs>
        <w:ind w:left="220"/>
      </w:pPr>
      <w:hyperlink w:anchor="_Toc2604" w:history="1">
        <w:r>
          <w:rPr>
            <w:rFonts w:ascii="IRNazanin" w:hAnsi="IRNazanin" w:eastAsia="IRNazanin" w:cs="IRNazanin"/>
            <w:color w:val="111111"/>
            <w:sz w:val="22"/>
            <w:szCs w:val="22"/>
            <w:b w:val="0"/>
            <w:bCs w:val="0"/>
            <w:i w:val="0"/>
            <w:iCs w:val="0"/>
          </w:rPr>
          <w:t>حدادي، عبدالله بن علوي، 1044-1132ه-</w:t>
        </w:r>
        <w:r>
          <w:tab/>
        </w:r>
        <w:r>
          <w:fldChar w:fldCharType="begin"/>
        </w:r>
        <w:r>
          <w:instrText xml:space="preserve">PAGEREF 2604 \h</w:instrText>
        </w:r>
        <w:r>
          <w:fldChar w:fldCharType="end"/>
        </w:r>
      </w:hyperlink>
    </w:p>
    <w:p>
      <w:pPr>
        <w:tabs>
          <w:tab w:val="right" w:leader="dot" w:pos="9062"/>
        </w:tabs>
        <w:ind w:left="220"/>
      </w:pPr>
      <w:hyperlink w:anchor="_Toc2605" w:history="1">
        <w:r>
          <w:rPr>
            <w:rFonts w:ascii="IRNazanin" w:hAnsi="IRNazanin" w:eastAsia="IRNazanin" w:cs="IRNazanin"/>
            <w:color w:val="111111"/>
            <w:sz w:val="22"/>
            <w:szCs w:val="22"/>
            <w:b w:val="0"/>
            <w:bCs w:val="0"/>
            <w:i w:val="0"/>
            <w:iCs w:val="0"/>
          </w:rPr>
          <w:t>حديايي ، ايشوعياب</w:t>
        </w:r>
        <w:r>
          <w:tab/>
        </w:r>
        <w:r>
          <w:fldChar w:fldCharType="begin"/>
        </w:r>
        <w:r>
          <w:instrText xml:space="preserve">PAGEREF 2605 \h</w:instrText>
        </w:r>
        <w:r>
          <w:fldChar w:fldCharType="end"/>
        </w:r>
      </w:hyperlink>
    </w:p>
    <w:p>
      <w:pPr>
        <w:tabs>
          <w:tab w:val="right" w:leader="dot" w:pos="9062"/>
        </w:tabs>
        <w:ind w:left="220"/>
      </w:pPr>
      <w:hyperlink w:anchor="_Toc2606" w:history="1">
        <w:r>
          <w:rPr>
            <w:rFonts w:ascii="IRNazanin" w:hAnsi="IRNazanin" w:eastAsia="IRNazanin" w:cs="IRNazanin"/>
            <w:color w:val="111111"/>
            <w:sz w:val="22"/>
            <w:szCs w:val="22"/>
            <w:b w:val="0"/>
            <w:bCs w:val="0"/>
            <w:i w:val="0"/>
            <w:iCs w:val="0"/>
          </w:rPr>
          <w:t>حديثي ، عبدالحميد بن احمد</w:t>
        </w:r>
        <w:r>
          <w:tab/>
        </w:r>
        <w:r>
          <w:fldChar w:fldCharType="begin"/>
        </w:r>
        <w:r>
          <w:instrText xml:space="preserve">PAGEREF 2606 \h</w:instrText>
        </w:r>
        <w:r>
          <w:fldChar w:fldCharType="end"/>
        </w:r>
      </w:hyperlink>
    </w:p>
    <w:p>
      <w:pPr>
        <w:tabs>
          <w:tab w:val="right" w:leader="dot" w:pos="9062"/>
        </w:tabs>
        <w:ind w:left="220"/>
      </w:pPr>
      <w:hyperlink w:anchor="_Toc2607" w:history="1">
        <w:r>
          <w:rPr>
            <w:rFonts w:ascii="IRNazanin" w:hAnsi="IRNazanin" w:eastAsia="IRNazanin" w:cs="IRNazanin"/>
            <w:color w:val="111111"/>
            <w:sz w:val="22"/>
            <w:szCs w:val="22"/>
            <w:b w:val="0"/>
            <w:bCs w:val="0"/>
            <w:i w:val="0"/>
            <w:iCs w:val="0"/>
          </w:rPr>
          <w:t>حديدي ، عبدالدائم بن علي - 870 ه-</w:t>
        </w:r>
        <w:r>
          <w:tab/>
        </w:r>
        <w:r>
          <w:fldChar w:fldCharType="begin"/>
        </w:r>
        <w:r>
          <w:instrText xml:space="preserve">PAGEREF 2607 \h</w:instrText>
        </w:r>
        <w:r>
          <w:fldChar w:fldCharType="end"/>
        </w:r>
      </w:hyperlink>
    </w:p>
    <w:p>
      <w:pPr>
        <w:tabs>
          <w:tab w:val="right" w:leader="dot" w:pos="9062"/>
        </w:tabs>
        <w:ind w:left="220"/>
      </w:pPr>
      <w:hyperlink w:anchor="_Toc2608" w:history="1">
        <w:r>
          <w:rPr>
            <w:rFonts w:ascii="IRNazanin" w:hAnsi="IRNazanin" w:eastAsia="IRNazanin" w:cs="IRNazanin"/>
            <w:color w:val="111111"/>
            <w:sz w:val="22"/>
            <w:szCs w:val="22"/>
            <w:b w:val="0"/>
            <w:bCs w:val="0"/>
            <w:i w:val="0"/>
            <w:iCs w:val="0"/>
          </w:rPr>
          <w:t>حذاء ، علي بن جعفر قرن 5 ه-</w:t>
        </w:r>
        <w:r>
          <w:tab/>
        </w:r>
        <w:r>
          <w:fldChar w:fldCharType="begin"/>
        </w:r>
        <w:r>
          <w:instrText xml:space="preserve">PAGEREF 2608 \h</w:instrText>
        </w:r>
        <w:r>
          <w:fldChar w:fldCharType="end"/>
        </w:r>
      </w:hyperlink>
    </w:p>
    <w:p>
      <w:pPr>
        <w:tabs>
          <w:tab w:val="right" w:leader="dot" w:pos="9062"/>
        </w:tabs>
        <w:ind w:left="220"/>
      </w:pPr>
      <w:hyperlink w:anchor="_Toc2609" w:history="1">
        <w:r>
          <w:rPr>
            <w:rFonts w:ascii="IRNazanin" w:hAnsi="IRNazanin" w:eastAsia="IRNazanin" w:cs="IRNazanin"/>
            <w:color w:val="111111"/>
            <w:sz w:val="22"/>
            <w:szCs w:val="22"/>
            <w:b w:val="0"/>
            <w:bCs w:val="0"/>
            <w:i w:val="0"/>
            <w:iCs w:val="0"/>
          </w:rPr>
          <w:t>حراني ، احمد بن حمدان، 631؟ - 695 ه-</w:t>
        </w:r>
        <w:r>
          <w:tab/>
        </w:r>
        <w:r>
          <w:fldChar w:fldCharType="begin"/>
        </w:r>
        <w:r>
          <w:instrText xml:space="preserve">PAGEREF 2609 \h</w:instrText>
        </w:r>
        <w:r>
          <w:fldChar w:fldCharType="end"/>
        </w:r>
      </w:hyperlink>
    </w:p>
    <w:p>
      <w:pPr>
        <w:tabs>
          <w:tab w:val="right" w:leader="dot" w:pos="9062"/>
        </w:tabs>
        <w:ind w:left="220"/>
      </w:pPr>
      <w:hyperlink w:anchor="_Toc2610" w:history="1">
        <w:r>
          <w:rPr>
            <w:rFonts w:ascii="IRNazanin" w:hAnsi="IRNazanin" w:eastAsia="IRNazanin" w:cs="IRNazanin"/>
            <w:color w:val="111111"/>
            <w:sz w:val="22"/>
            <w:szCs w:val="22"/>
            <w:b w:val="0"/>
            <w:bCs w:val="0"/>
            <w:i w:val="0"/>
            <w:iCs w:val="0"/>
          </w:rPr>
          <w:t>حراني عبد المنعم بن عبدالوهاب -596ه-</w:t>
        </w:r>
        <w:r>
          <w:tab/>
        </w:r>
        <w:r>
          <w:fldChar w:fldCharType="begin"/>
        </w:r>
        <w:r>
          <w:instrText xml:space="preserve">PAGEREF 2610 \h</w:instrText>
        </w:r>
        <w:r>
          <w:fldChar w:fldCharType="end"/>
        </w:r>
      </w:hyperlink>
    </w:p>
    <w:p>
      <w:pPr>
        <w:tabs>
          <w:tab w:val="right" w:leader="dot" w:pos="9062"/>
        </w:tabs>
        <w:ind w:left="220"/>
      </w:pPr>
      <w:hyperlink w:anchor="_Toc2611" w:history="1">
        <w:r>
          <w:rPr>
            <w:rFonts w:ascii="IRNazanin" w:hAnsi="IRNazanin" w:eastAsia="IRNazanin" w:cs="IRNazanin"/>
            <w:color w:val="111111"/>
            <w:sz w:val="22"/>
            <w:szCs w:val="22"/>
            <w:b w:val="0"/>
            <w:bCs w:val="0"/>
            <w:i w:val="0"/>
            <w:iCs w:val="0"/>
          </w:rPr>
          <w:t>حراني ، علي بن عيسى</w:t>
        </w:r>
        <w:r>
          <w:tab/>
        </w:r>
        <w:r>
          <w:fldChar w:fldCharType="begin"/>
        </w:r>
        <w:r>
          <w:instrText xml:space="preserve">PAGEREF 2611 \h</w:instrText>
        </w:r>
        <w:r>
          <w:fldChar w:fldCharType="end"/>
        </w:r>
      </w:hyperlink>
    </w:p>
    <w:p>
      <w:pPr>
        <w:tabs>
          <w:tab w:val="right" w:leader="dot" w:pos="9062"/>
        </w:tabs>
        <w:ind w:left="220"/>
      </w:pPr>
      <w:hyperlink w:anchor="_Toc2612" w:history="1">
        <w:r>
          <w:rPr>
            <w:rFonts w:ascii="IRNazanin" w:hAnsi="IRNazanin" w:eastAsia="IRNazanin" w:cs="IRNazanin"/>
            <w:color w:val="111111"/>
            <w:sz w:val="22"/>
            <w:szCs w:val="22"/>
            <w:b w:val="0"/>
            <w:bCs w:val="0"/>
            <w:i w:val="0"/>
            <w:iCs w:val="0"/>
          </w:rPr>
          <w:t>حراني ، محمّد بن عبدالمنعم - 671 ه-</w:t>
        </w:r>
        <w:r>
          <w:tab/>
        </w:r>
        <w:r>
          <w:fldChar w:fldCharType="begin"/>
        </w:r>
        <w:r>
          <w:instrText xml:space="preserve">PAGEREF 2612 \h</w:instrText>
        </w:r>
        <w:r>
          <w:fldChar w:fldCharType="end"/>
        </w:r>
      </w:hyperlink>
    </w:p>
    <w:p>
      <w:pPr>
        <w:tabs>
          <w:tab w:val="right" w:leader="dot" w:pos="9062"/>
        </w:tabs>
        <w:ind w:left="220"/>
      </w:pPr>
      <w:hyperlink w:anchor="_Toc2613" w:history="1">
        <w:r>
          <w:rPr>
            <w:rFonts w:ascii="IRNazanin" w:hAnsi="IRNazanin" w:eastAsia="IRNazanin" w:cs="IRNazanin"/>
            <w:color w:val="111111"/>
            <w:sz w:val="22"/>
            <w:szCs w:val="22"/>
            <w:b w:val="0"/>
            <w:bCs w:val="0"/>
            <w:i w:val="0"/>
            <w:iCs w:val="0"/>
          </w:rPr>
          <w:t>حربوي ، عبدالله بن محمّد، 643-724 ه-</w:t>
        </w:r>
        <w:r>
          <w:tab/>
        </w:r>
        <w:r>
          <w:fldChar w:fldCharType="begin"/>
        </w:r>
        <w:r>
          <w:instrText xml:space="preserve">PAGEREF 2613 \h</w:instrText>
        </w:r>
        <w:r>
          <w:fldChar w:fldCharType="end"/>
        </w:r>
      </w:hyperlink>
    </w:p>
    <w:p>
      <w:pPr>
        <w:tabs>
          <w:tab w:val="right" w:leader="dot" w:pos="9062"/>
        </w:tabs>
        <w:ind w:left="220"/>
      </w:pPr>
      <w:hyperlink w:anchor="_Toc2614" w:history="1">
        <w:r>
          <w:rPr>
            <w:rFonts w:ascii="IRNazanin" w:hAnsi="IRNazanin" w:eastAsia="IRNazanin" w:cs="IRNazanin"/>
            <w:color w:val="111111"/>
            <w:sz w:val="22"/>
            <w:szCs w:val="22"/>
            <w:b w:val="0"/>
            <w:bCs w:val="0"/>
            <w:i w:val="0"/>
            <w:iCs w:val="0"/>
          </w:rPr>
          <w:t>حرزالدین ، محمّد، 1856 - 1945 م</w:t>
        </w:r>
        <w:r>
          <w:tab/>
        </w:r>
        <w:r>
          <w:fldChar w:fldCharType="begin"/>
        </w:r>
        <w:r>
          <w:instrText xml:space="preserve">PAGEREF 2614 \h</w:instrText>
        </w:r>
        <w:r>
          <w:fldChar w:fldCharType="end"/>
        </w:r>
      </w:hyperlink>
    </w:p>
    <w:p>
      <w:pPr>
        <w:tabs>
          <w:tab w:val="right" w:leader="dot" w:pos="9062"/>
        </w:tabs>
        <w:ind w:left="220"/>
      </w:pPr>
      <w:hyperlink w:anchor="_Toc2615" w:history="1">
        <w:r>
          <w:rPr>
            <w:rFonts w:ascii="IRNazanin" w:hAnsi="IRNazanin" w:eastAsia="IRNazanin" w:cs="IRNazanin"/>
            <w:color w:val="111111"/>
            <w:sz w:val="22"/>
            <w:szCs w:val="22"/>
            <w:b w:val="0"/>
            <w:bCs w:val="0"/>
            <w:i w:val="0"/>
            <w:iCs w:val="0"/>
          </w:rPr>
          <w:t>حر عاملي ، احمد بن حسن 1033 قرن</w:t>
        </w:r>
        <w:r>
          <w:tab/>
        </w:r>
        <w:r>
          <w:fldChar w:fldCharType="begin"/>
        </w:r>
        <w:r>
          <w:instrText xml:space="preserve">PAGEREF 2615 \h</w:instrText>
        </w:r>
        <w:r>
          <w:fldChar w:fldCharType="end"/>
        </w:r>
      </w:hyperlink>
    </w:p>
    <w:p>
      <w:pPr>
        <w:tabs>
          <w:tab w:val="right" w:leader="dot" w:pos="9062"/>
        </w:tabs>
        <w:ind w:left="220"/>
      </w:pPr>
      <w:hyperlink w:anchor="_Toc2616" w:history="1">
        <w:r>
          <w:rPr>
            <w:rFonts w:ascii="IRNazanin" w:hAnsi="IRNazanin" w:eastAsia="IRNazanin" w:cs="IRNazanin"/>
            <w:color w:val="111111"/>
            <w:sz w:val="22"/>
            <w:szCs w:val="22"/>
            <w:b w:val="0"/>
            <w:bCs w:val="0"/>
            <w:i w:val="0"/>
            <w:iCs w:val="0"/>
          </w:rPr>
          <w:t>حر عاملي ، عبدالغني - 1358 ه-</w:t>
        </w:r>
        <w:r>
          <w:tab/>
        </w:r>
        <w:r>
          <w:fldChar w:fldCharType="begin"/>
        </w:r>
        <w:r>
          <w:instrText xml:space="preserve">PAGEREF 2616 \h</w:instrText>
        </w:r>
        <w:r>
          <w:fldChar w:fldCharType="end"/>
        </w:r>
      </w:hyperlink>
    </w:p>
    <w:p>
      <w:pPr>
        <w:tabs>
          <w:tab w:val="right" w:leader="dot" w:pos="9062"/>
        </w:tabs>
        <w:ind w:left="220"/>
      </w:pPr>
      <w:hyperlink w:anchor="_Toc2617" w:history="1">
        <w:r>
          <w:rPr>
            <w:rFonts w:ascii="IRNazanin" w:hAnsi="IRNazanin" w:eastAsia="IRNazanin" w:cs="IRNazanin"/>
            <w:color w:val="111111"/>
            <w:sz w:val="22"/>
            <w:szCs w:val="22"/>
            <w:b w:val="0"/>
            <w:bCs w:val="0"/>
            <w:i w:val="0"/>
            <w:iCs w:val="0"/>
          </w:rPr>
          <w:t>حر عاملي ، محمّد بن حسن، 1033 -</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حرفوشي ، محمّد بن بركات</w:t>
        </w:r>
        <w:r>
          <w:tab/>
        </w:r>
        <w:r>
          <w:fldChar w:fldCharType="begin"/>
        </w:r>
        <w:r>
          <w:instrText xml:space="preserve">PAGEREF 2618 \h</w:instrText>
        </w:r>
        <w:r>
          <w:fldChar w:fldCharType="end"/>
        </w:r>
      </w:hyperlink>
    </w:p>
    <w:p>
      <w:pPr>
        <w:tabs>
          <w:tab w:val="right" w:leader="dot" w:pos="9062"/>
        </w:tabs>
        <w:ind w:left="220"/>
      </w:pPr>
      <w:hyperlink w:anchor="_Toc2619" w:history="1">
        <w:r>
          <w:rPr>
            <w:rFonts w:ascii="IRNazanin" w:hAnsi="IRNazanin" w:eastAsia="IRNazanin" w:cs="IRNazanin"/>
            <w:color w:val="111111"/>
            <w:sz w:val="22"/>
            <w:szCs w:val="22"/>
            <w:b w:val="0"/>
            <w:bCs w:val="0"/>
            <w:i w:val="0"/>
            <w:iCs w:val="0"/>
          </w:rPr>
          <w:t>حرفوشي ، محمّد بن علي - 1059 ه-</w:t>
        </w:r>
        <w:r>
          <w:tab/>
        </w:r>
        <w:r>
          <w:fldChar w:fldCharType="begin"/>
        </w:r>
        <w:r>
          <w:instrText xml:space="preserve">PAGEREF 2619 \h</w:instrText>
        </w:r>
        <w:r>
          <w:fldChar w:fldCharType="end"/>
        </w:r>
      </w:hyperlink>
    </w:p>
    <w:p>
      <w:pPr>
        <w:tabs>
          <w:tab w:val="right" w:leader="dot" w:pos="9062"/>
        </w:tabs>
        <w:ind w:left="220"/>
      </w:pPr>
      <w:hyperlink w:anchor="_Toc2620" w:history="1">
        <w:r>
          <w:rPr>
            <w:rFonts w:ascii="IRNazanin" w:hAnsi="IRNazanin" w:eastAsia="IRNazanin" w:cs="IRNazanin"/>
            <w:color w:val="111111"/>
            <w:sz w:val="22"/>
            <w:szCs w:val="22"/>
            <w:b w:val="0"/>
            <w:bCs w:val="0"/>
            <w:i w:val="0"/>
            <w:iCs w:val="0"/>
          </w:rPr>
          <w:t>حرفي، عبدالرحمن بن عبيدالله -423 ه-</w:t>
        </w:r>
        <w:r>
          <w:tab/>
        </w:r>
        <w:r>
          <w:fldChar w:fldCharType="begin"/>
        </w:r>
        <w:r>
          <w:instrText xml:space="preserve">PAGEREF 2620 \h</w:instrText>
        </w:r>
        <w:r>
          <w:fldChar w:fldCharType="end"/>
        </w:r>
      </w:hyperlink>
    </w:p>
    <w:p>
      <w:pPr>
        <w:tabs>
          <w:tab w:val="right" w:leader="dot" w:pos="9062"/>
        </w:tabs>
        <w:ind w:left="220"/>
      </w:pPr>
      <w:hyperlink w:anchor="_Toc2621" w:history="1">
        <w:r>
          <w:rPr>
            <w:rFonts w:ascii="IRNazanin" w:hAnsi="IRNazanin" w:eastAsia="IRNazanin" w:cs="IRNazanin"/>
            <w:color w:val="111111"/>
            <w:sz w:val="22"/>
            <w:szCs w:val="22"/>
            <w:b w:val="0"/>
            <w:bCs w:val="0"/>
            <w:i w:val="0"/>
            <w:iCs w:val="0"/>
          </w:rPr>
          <w:t>حريري ، عبدالله بن قاسم، 590 - 646 ه-</w:t>
        </w:r>
        <w:r>
          <w:tab/>
        </w:r>
        <w:r>
          <w:fldChar w:fldCharType="begin"/>
        </w:r>
        <w:r>
          <w:instrText xml:space="preserve">PAGEREF 2621 \h</w:instrText>
        </w:r>
        <w:r>
          <w:fldChar w:fldCharType="end"/>
        </w:r>
      </w:hyperlink>
    </w:p>
    <w:p>
      <w:pPr>
        <w:tabs>
          <w:tab w:val="right" w:leader="dot" w:pos="9062"/>
        </w:tabs>
        <w:ind w:left="220"/>
      </w:pPr>
      <w:hyperlink w:anchor="_Toc2622" w:history="1">
        <w:r>
          <w:rPr>
            <w:rFonts w:ascii="IRNazanin" w:hAnsi="IRNazanin" w:eastAsia="IRNazanin" w:cs="IRNazanin"/>
            <w:color w:val="111111"/>
            <w:sz w:val="22"/>
            <w:szCs w:val="22"/>
            <w:b w:val="0"/>
            <w:bCs w:val="0"/>
            <w:i w:val="0"/>
            <w:iCs w:val="0"/>
          </w:rPr>
          <w:t>حريري ، علي بن علي</w:t>
        </w:r>
        <w:r>
          <w:tab/>
        </w:r>
        <w:r>
          <w:fldChar w:fldCharType="begin"/>
        </w:r>
        <w:r>
          <w:instrText xml:space="preserve">PAGEREF 2622 \h</w:instrText>
        </w:r>
        <w:r>
          <w:fldChar w:fldCharType="end"/>
        </w:r>
      </w:hyperlink>
    </w:p>
    <w:p>
      <w:pPr>
        <w:tabs>
          <w:tab w:val="right" w:leader="dot" w:pos="9062"/>
        </w:tabs>
        <w:ind w:left="220"/>
      </w:pPr>
      <w:hyperlink w:anchor="_Toc2623" w:history="1">
        <w:r>
          <w:rPr>
            <w:rFonts w:ascii="IRNazanin" w:hAnsi="IRNazanin" w:eastAsia="IRNazanin" w:cs="IRNazanin"/>
            <w:color w:val="111111"/>
            <w:sz w:val="22"/>
            <w:szCs w:val="22"/>
            <w:b w:val="0"/>
            <w:bCs w:val="0"/>
            <w:i w:val="0"/>
            <w:iCs w:val="0"/>
          </w:rPr>
          <w:t>حريري ، قاسم بن علي، 446 - 516 ه-</w:t>
        </w:r>
        <w:r>
          <w:tab/>
        </w:r>
        <w:r>
          <w:fldChar w:fldCharType="begin"/>
        </w:r>
        <w:r>
          <w:instrText xml:space="preserve">PAGEREF 2623 \h</w:instrText>
        </w:r>
        <w:r>
          <w:fldChar w:fldCharType="end"/>
        </w:r>
      </w:hyperlink>
    </w:p>
    <w:p>
      <w:pPr>
        <w:tabs>
          <w:tab w:val="right" w:leader="dot" w:pos="9062"/>
        </w:tabs>
        <w:ind w:left="220"/>
      </w:pPr>
      <w:hyperlink w:anchor="_Toc2624" w:history="1">
        <w:r>
          <w:rPr>
            <w:rFonts w:ascii="IRNazanin" w:hAnsi="IRNazanin" w:eastAsia="IRNazanin" w:cs="IRNazanin"/>
            <w:color w:val="111111"/>
            <w:sz w:val="22"/>
            <w:szCs w:val="22"/>
            <w:b w:val="0"/>
            <w:bCs w:val="0"/>
            <w:i w:val="0"/>
            <w:iCs w:val="0"/>
          </w:rPr>
          <w:t>حريفيش ، شعيب بن سعد، - 801 ه-</w:t>
        </w:r>
        <w:r>
          <w:tab/>
        </w:r>
        <w:r>
          <w:fldChar w:fldCharType="begin"/>
        </w:r>
        <w:r>
          <w:instrText xml:space="preserve">PAGEREF 2624 \h</w:instrText>
        </w:r>
        <w:r>
          <w:fldChar w:fldCharType="end"/>
        </w:r>
      </w:hyperlink>
    </w:p>
    <w:p>
      <w:pPr>
        <w:tabs>
          <w:tab w:val="right" w:leader="dot" w:pos="9062"/>
        </w:tabs>
        <w:ind w:left="220"/>
      </w:pPr>
      <w:hyperlink w:anchor="_Toc2625" w:history="1">
        <w:r>
          <w:rPr>
            <w:rFonts w:ascii="IRNazanin" w:hAnsi="IRNazanin" w:eastAsia="IRNazanin" w:cs="IRNazanin"/>
            <w:color w:val="111111"/>
            <w:sz w:val="22"/>
            <w:szCs w:val="22"/>
            <w:b w:val="0"/>
            <w:bCs w:val="0"/>
            <w:i w:val="0"/>
            <w:iCs w:val="0"/>
          </w:rPr>
          <w:t>حزين ، محمّد علي بن ابي طالب 1103 -</w:t>
        </w:r>
        <w:r>
          <w:tab/>
        </w:r>
        <w:r>
          <w:fldChar w:fldCharType="begin"/>
        </w:r>
        <w:r>
          <w:instrText xml:space="preserve">PAGEREF 2625 \h</w:instrText>
        </w:r>
        <w:r>
          <w:fldChar w:fldCharType="end"/>
        </w:r>
      </w:hyperlink>
    </w:p>
    <w:p>
      <w:pPr>
        <w:tabs>
          <w:tab w:val="right" w:leader="dot" w:pos="9062"/>
        </w:tabs>
        <w:ind w:left="220"/>
      </w:pPr>
      <w:hyperlink w:anchor="_Toc2626" w:history="1">
        <w:r>
          <w:rPr>
            <w:rFonts w:ascii="IRNazanin" w:hAnsi="IRNazanin" w:eastAsia="IRNazanin" w:cs="IRNazanin"/>
            <w:color w:val="111111"/>
            <w:sz w:val="22"/>
            <w:szCs w:val="22"/>
            <w:b w:val="0"/>
            <w:bCs w:val="0"/>
            <w:i w:val="0"/>
            <w:iCs w:val="0"/>
          </w:rPr>
          <w:t>حسام اربلي، عيسى بن سنجر 582 -</w:t>
        </w:r>
        <w:r>
          <w:tab/>
        </w:r>
        <w:r>
          <w:fldChar w:fldCharType="begin"/>
        </w:r>
        <w:r>
          <w:instrText xml:space="preserve">PAGEREF 2626 \h</w:instrText>
        </w:r>
        <w:r>
          <w:fldChar w:fldCharType="end"/>
        </w:r>
      </w:hyperlink>
    </w:p>
    <w:p>
      <w:pPr>
        <w:tabs>
          <w:tab w:val="right" w:leader="dot" w:pos="9062"/>
        </w:tabs>
        <w:ind w:left="220"/>
      </w:pPr>
      <w:hyperlink w:anchor="_Toc2627" w:history="1">
        <w:r>
          <w:rPr>
            <w:rFonts w:ascii="IRNazanin" w:hAnsi="IRNazanin" w:eastAsia="IRNazanin" w:cs="IRNazanin"/>
            <w:color w:val="111111"/>
            <w:sz w:val="22"/>
            <w:szCs w:val="22"/>
            <w:b w:val="0"/>
            <w:bCs w:val="0"/>
            <w:i w:val="0"/>
            <w:iCs w:val="0"/>
          </w:rPr>
          <w:t>حسام الزيادي</w:t>
        </w:r>
        <w:r>
          <w:tab/>
        </w:r>
        <w:r>
          <w:fldChar w:fldCharType="begin"/>
        </w:r>
        <w:r>
          <w:instrText xml:space="preserve">PAGEREF 2627 \h</w:instrText>
        </w:r>
        <w:r>
          <w:fldChar w:fldCharType="end"/>
        </w:r>
      </w:hyperlink>
    </w:p>
    <w:p>
      <w:pPr>
        <w:tabs>
          <w:tab w:val="right" w:leader="dot" w:pos="9062"/>
        </w:tabs>
        <w:ind w:left="220"/>
      </w:pPr>
      <w:hyperlink w:anchor="_Toc2628" w:history="1">
        <w:r>
          <w:rPr>
            <w:rFonts w:ascii="IRNazanin" w:hAnsi="IRNazanin" w:eastAsia="IRNazanin" w:cs="IRNazanin"/>
            <w:color w:val="111111"/>
            <w:sz w:val="22"/>
            <w:szCs w:val="22"/>
            <w:b w:val="0"/>
            <w:bCs w:val="0"/>
            <w:i w:val="0"/>
            <w:iCs w:val="0"/>
          </w:rPr>
          <w:t>حسام زاده مصطفی بن حسام قرن 9 ه-</w:t>
        </w:r>
        <w:r>
          <w:tab/>
        </w:r>
        <w:r>
          <w:fldChar w:fldCharType="begin"/>
        </w:r>
        <w:r>
          <w:instrText xml:space="preserve">PAGEREF 2628 \h</w:instrText>
        </w:r>
        <w:r>
          <w:fldChar w:fldCharType="end"/>
        </w:r>
      </w:hyperlink>
    </w:p>
    <w:p>
      <w:pPr>
        <w:tabs>
          <w:tab w:val="right" w:leader="dot" w:pos="9062"/>
        </w:tabs>
        <w:ind w:left="220"/>
      </w:pPr>
      <w:hyperlink w:anchor="_Toc2629" w:history="1">
        <w:r>
          <w:rPr>
            <w:rFonts w:ascii="IRNazanin" w:hAnsi="IRNazanin" w:eastAsia="IRNazanin" w:cs="IRNazanin"/>
            <w:color w:val="111111"/>
            <w:sz w:val="22"/>
            <w:szCs w:val="22"/>
            <w:b w:val="0"/>
            <w:bCs w:val="0"/>
            <w:i w:val="0"/>
            <w:iCs w:val="0"/>
          </w:rPr>
          <w:t>حسامي ، احمد بن ايبك 700 - 749 ه-</w:t>
        </w:r>
        <w:r>
          <w:tab/>
        </w:r>
        <w:r>
          <w:fldChar w:fldCharType="begin"/>
        </w:r>
        <w:r>
          <w:instrText xml:space="preserve">PAGEREF 2629 \h</w:instrText>
        </w:r>
        <w:r>
          <w:fldChar w:fldCharType="end"/>
        </w:r>
      </w:hyperlink>
    </w:p>
    <w:p>
      <w:pPr>
        <w:tabs>
          <w:tab w:val="right" w:leader="dot" w:pos="9062"/>
        </w:tabs>
        <w:ind w:left="220"/>
      </w:pPr>
      <w:hyperlink w:anchor="_Toc2630" w:history="1">
        <w:r>
          <w:rPr>
            <w:rFonts w:ascii="IRNazanin" w:hAnsi="IRNazanin" w:eastAsia="IRNazanin" w:cs="IRNazanin"/>
            <w:color w:val="111111"/>
            <w:sz w:val="22"/>
            <w:szCs w:val="22"/>
            <w:b w:val="0"/>
            <w:bCs w:val="0"/>
            <w:i w:val="0"/>
            <w:iCs w:val="0"/>
          </w:rPr>
          <w:t>حسامي ، علي بن ياسر</w:t>
        </w:r>
        <w:r>
          <w:tab/>
        </w:r>
        <w:r>
          <w:fldChar w:fldCharType="begin"/>
        </w:r>
        <w:r>
          <w:instrText xml:space="preserve">PAGEREF 2630 \h</w:instrText>
        </w:r>
        <w:r>
          <w:fldChar w:fldCharType="end"/>
        </w:r>
      </w:hyperlink>
    </w:p>
    <w:p>
      <w:pPr>
        <w:tabs>
          <w:tab w:val="right" w:leader="dot" w:pos="9062"/>
        </w:tabs>
        <w:ind w:left="220"/>
      </w:pPr>
      <w:hyperlink w:anchor="_Toc2631" w:history="1">
        <w:r>
          <w:rPr>
            <w:rFonts w:ascii="IRNazanin" w:hAnsi="IRNazanin" w:eastAsia="IRNazanin" w:cs="IRNazanin"/>
            <w:color w:val="111111"/>
            <w:sz w:val="22"/>
            <w:szCs w:val="22"/>
            <w:b w:val="0"/>
            <w:bCs w:val="0"/>
            <w:i w:val="0"/>
            <w:iCs w:val="0"/>
          </w:rPr>
          <w:t>حسان بن ثابت - 54 ه-</w:t>
        </w:r>
        <w:r>
          <w:tab/>
        </w:r>
        <w:r>
          <w:fldChar w:fldCharType="begin"/>
        </w:r>
        <w:r>
          <w:instrText xml:space="preserve">PAGEREF 2631 \h</w:instrText>
        </w:r>
        <w:r>
          <w:fldChar w:fldCharType="end"/>
        </w:r>
      </w:hyperlink>
    </w:p>
    <w:p>
      <w:pPr>
        <w:tabs>
          <w:tab w:val="right" w:leader="dot" w:pos="9062"/>
        </w:tabs>
        <w:ind w:left="220"/>
      </w:pPr>
      <w:hyperlink w:anchor="_Toc2632" w:history="1">
        <w:r>
          <w:rPr>
            <w:rFonts w:ascii="IRNazanin" w:hAnsi="IRNazanin" w:eastAsia="IRNazanin" w:cs="IRNazanin"/>
            <w:color w:val="111111"/>
            <w:sz w:val="22"/>
            <w:szCs w:val="22"/>
            <w:b w:val="0"/>
            <w:bCs w:val="0"/>
            <w:i w:val="0"/>
            <w:iCs w:val="0"/>
          </w:rPr>
          <w:t>حسان، عبدالواحد، قرن 14 ه-</w:t>
        </w:r>
        <w:r>
          <w:tab/>
        </w:r>
        <w:r>
          <w:fldChar w:fldCharType="begin"/>
        </w:r>
        <w:r>
          <w:instrText xml:space="preserve">PAGEREF 2632 \h</w:instrText>
        </w:r>
        <w:r>
          <w:fldChar w:fldCharType="end"/>
        </w:r>
      </w:hyperlink>
    </w:p>
    <w:p>
      <w:pPr>
        <w:tabs>
          <w:tab w:val="right" w:leader="dot" w:pos="9062"/>
        </w:tabs>
        <w:ind w:left="220"/>
      </w:pPr>
      <w:hyperlink w:anchor="_Toc2633" w:history="1">
        <w:r>
          <w:rPr>
            <w:rFonts w:ascii="IRNazanin" w:hAnsi="IRNazanin" w:eastAsia="IRNazanin" w:cs="IRNazanin"/>
            <w:color w:val="111111"/>
            <w:sz w:val="22"/>
            <w:szCs w:val="22"/>
            <w:b w:val="0"/>
            <w:bCs w:val="0"/>
            <w:i w:val="0"/>
            <w:iCs w:val="0"/>
          </w:rPr>
          <w:t>حسكاني ، عبيد الله بن عبد الله قرن 5 ه-</w:t>
        </w:r>
        <w:r>
          <w:tab/>
        </w:r>
        <w:r>
          <w:fldChar w:fldCharType="begin"/>
        </w:r>
        <w:r>
          <w:instrText xml:space="preserve">PAGEREF 2633 \h</w:instrText>
        </w:r>
        <w:r>
          <w:fldChar w:fldCharType="end"/>
        </w:r>
      </w:hyperlink>
    </w:p>
    <w:p>
      <w:pPr>
        <w:tabs>
          <w:tab w:val="right" w:leader="dot" w:pos="9062"/>
        </w:tabs>
        <w:ind w:left="220"/>
      </w:pPr>
      <w:hyperlink w:anchor="_Toc2634" w:history="1">
        <w:r>
          <w:rPr>
            <w:rFonts w:ascii="IRNazanin" w:hAnsi="IRNazanin" w:eastAsia="IRNazanin" w:cs="IRNazanin"/>
            <w:color w:val="111111"/>
            <w:sz w:val="22"/>
            <w:szCs w:val="22"/>
            <w:b w:val="0"/>
            <w:bCs w:val="0"/>
            <w:i w:val="0"/>
            <w:iCs w:val="0"/>
          </w:rPr>
          <w:t>حسن بصري، 21 - 110 ه-</w:t>
        </w:r>
        <w:r>
          <w:tab/>
        </w:r>
        <w:r>
          <w:fldChar w:fldCharType="begin"/>
        </w:r>
        <w:r>
          <w:instrText xml:space="preserve">PAGEREF 2634 \h</w:instrText>
        </w:r>
        <w:r>
          <w:fldChar w:fldCharType="end"/>
        </w:r>
      </w:hyperlink>
    </w:p>
    <w:p>
      <w:pPr>
        <w:tabs>
          <w:tab w:val="right" w:leader="dot" w:pos="9062"/>
        </w:tabs>
        <w:ind w:left="220"/>
      </w:pPr>
      <w:hyperlink w:anchor="_Toc2635" w:history="1">
        <w:r>
          <w:rPr>
            <w:rFonts w:ascii="IRNazanin" w:hAnsi="IRNazanin" w:eastAsia="IRNazanin" w:cs="IRNazanin"/>
            <w:color w:val="111111"/>
            <w:sz w:val="22"/>
            <w:szCs w:val="22"/>
            <w:b w:val="0"/>
            <w:bCs w:val="0"/>
            <w:i w:val="0"/>
            <w:iCs w:val="0"/>
          </w:rPr>
          <w:t>حسن بن حسين بن محمّد قرن 10 ه-</w:t>
        </w:r>
        <w:r>
          <w:tab/>
        </w:r>
        <w:r>
          <w:fldChar w:fldCharType="begin"/>
        </w:r>
        <w:r>
          <w:instrText xml:space="preserve">PAGEREF 2635 \h</w:instrText>
        </w:r>
        <w:r>
          <w:fldChar w:fldCharType="end"/>
        </w:r>
      </w:hyperlink>
    </w:p>
    <w:p>
      <w:pPr>
        <w:tabs>
          <w:tab w:val="right" w:leader="dot" w:pos="9062"/>
        </w:tabs>
        <w:ind w:left="220"/>
      </w:pPr>
      <w:hyperlink w:anchor="_Toc2636" w:history="1">
        <w:r>
          <w:rPr>
            <w:rFonts w:ascii="IRNazanin" w:hAnsi="IRNazanin" w:eastAsia="IRNazanin" w:cs="IRNazanin"/>
            <w:color w:val="111111"/>
            <w:sz w:val="22"/>
            <w:szCs w:val="22"/>
            <w:b w:val="0"/>
            <w:bCs w:val="0"/>
            <w:i w:val="0"/>
            <w:iCs w:val="0"/>
          </w:rPr>
          <w:t>حسن بن سعود</w:t>
        </w:r>
        <w:r>
          <w:tab/>
        </w:r>
        <w:r>
          <w:fldChar w:fldCharType="begin"/>
        </w:r>
        <w:r>
          <w:instrText xml:space="preserve">PAGEREF 2636 \h</w:instrText>
        </w:r>
        <w:r>
          <w:fldChar w:fldCharType="end"/>
        </w:r>
      </w:hyperlink>
    </w:p>
    <w:p>
      <w:pPr>
        <w:tabs>
          <w:tab w:val="right" w:leader="dot" w:pos="9062"/>
        </w:tabs>
        <w:ind w:left="220"/>
      </w:pPr>
      <w:hyperlink w:anchor="_Toc2637" w:history="1">
        <w:r>
          <w:rPr>
            <w:rFonts w:ascii="IRNazanin" w:hAnsi="IRNazanin" w:eastAsia="IRNazanin" w:cs="IRNazanin"/>
            <w:color w:val="111111"/>
            <w:sz w:val="22"/>
            <w:szCs w:val="22"/>
            <w:b w:val="0"/>
            <w:bCs w:val="0"/>
            <w:i w:val="0"/>
            <w:iCs w:val="0"/>
          </w:rPr>
          <w:t>حسن بن علي العسكري (ع)، 232 - 260ه-</w:t>
        </w:r>
        <w:r>
          <w:tab/>
        </w:r>
        <w:r>
          <w:fldChar w:fldCharType="begin"/>
        </w:r>
        <w:r>
          <w:instrText xml:space="preserve">PAGEREF 2637 \h</w:instrText>
        </w:r>
        <w:r>
          <w:fldChar w:fldCharType="end"/>
        </w:r>
      </w:hyperlink>
    </w:p>
    <w:p>
      <w:pPr>
        <w:tabs>
          <w:tab w:val="right" w:leader="dot" w:pos="9062"/>
        </w:tabs>
        <w:ind w:left="220"/>
      </w:pPr>
      <w:hyperlink w:anchor="_Toc2638" w:history="1">
        <w:r>
          <w:rPr>
            <w:rFonts w:ascii="IRNazanin" w:hAnsi="IRNazanin" w:eastAsia="IRNazanin" w:cs="IRNazanin"/>
            <w:color w:val="111111"/>
            <w:sz w:val="22"/>
            <w:szCs w:val="22"/>
            <w:b w:val="0"/>
            <w:bCs w:val="0"/>
            <w:i w:val="0"/>
            <w:iCs w:val="0"/>
          </w:rPr>
          <w:t>حسن بن محمّد</w:t>
        </w:r>
        <w:r>
          <w:tab/>
        </w:r>
        <w:r>
          <w:fldChar w:fldCharType="begin"/>
        </w:r>
        <w:r>
          <w:instrText xml:space="preserve">PAGEREF 2638 \h</w:instrText>
        </w:r>
        <w:r>
          <w:fldChar w:fldCharType="end"/>
        </w:r>
      </w:hyperlink>
    </w:p>
    <w:p>
      <w:pPr>
        <w:tabs>
          <w:tab w:val="right" w:leader="dot" w:pos="9062"/>
        </w:tabs>
        <w:ind w:left="220"/>
      </w:pPr>
      <w:hyperlink w:anchor="_Toc2639" w:history="1">
        <w:r>
          <w:rPr>
            <w:rFonts w:ascii="IRNazanin" w:hAnsi="IRNazanin" w:eastAsia="IRNazanin" w:cs="IRNazanin"/>
            <w:color w:val="111111"/>
            <w:sz w:val="22"/>
            <w:szCs w:val="22"/>
            <w:b w:val="0"/>
            <w:bCs w:val="0"/>
            <w:i w:val="0"/>
            <w:iCs w:val="0"/>
          </w:rPr>
          <w:t>حسن بن محمّد شريف، قرن 13 ه-</w:t>
        </w:r>
        <w:r>
          <w:tab/>
        </w:r>
        <w:r>
          <w:fldChar w:fldCharType="begin"/>
        </w:r>
        <w:r>
          <w:instrText xml:space="preserve">PAGEREF 2639 \h</w:instrText>
        </w:r>
        <w:r>
          <w:fldChar w:fldCharType="end"/>
        </w:r>
      </w:hyperlink>
    </w:p>
    <w:p>
      <w:pPr>
        <w:tabs>
          <w:tab w:val="right" w:leader="dot" w:pos="9062"/>
        </w:tabs>
        <w:ind w:left="220"/>
      </w:pPr>
      <w:hyperlink w:anchor="_Toc2640" w:history="1">
        <w:r>
          <w:rPr>
            <w:rFonts w:ascii="IRNazanin" w:hAnsi="IRNazanin" w:eastAsia="IRNazanin" w:cs="IRNazanin"/>
            <w:color w:val="111111"/>
            <w:sz w:val="22"/>
            <w:szCs w:val="22"/>
            <w:b w:val="0"/>
            <w:bCs w:val="0"/>
            <w:i w:val="0"/>
            <w:iCs w:val="0"/>
          </w:rPr>
          <w:t>حسن بن محمّد علي قرن 13 ه-</w:t>
        </w:r>
        <w:r>
          <w:tab/>
        </w:r>
        <w:r>
          <w:fldChar w:fldCharType="begin"/>
        </w:r>
        <w:r>
          <w:instrText xml:space="preserve">PAGEREF 2640 \h</w:instrText>
        </w:r>
        <w:r>
          <w:fldChar w:fldCharType="end"/>
        </w:r>
      </w:hyperlink>
    </w:p>
    <w:p>
      <w:pPr>
        <w:tabs>
          <w:tab w:val="right" w:leader="dot" w:pos="9062"/>
        </w:tabs>
        <w:ind w:left="220"/>
      </w:pPr>
      <w:hyperlink w:anchor="_Toc2641" w:history="1">
        <w:r>
          <w:rPr>
            <w:rFonts w:ascii="IRNazanin" w:hAnsi="IRNazanin" w:eastAsia="IRNazanin" w:cs="IRNazanin"/>
            <w:color w:val="111111"/>
            <w:sz w:val="22"/>
            <w:szCs w:val="22"/>
            <w:b w:val="0"/>
            <w:bCs w:val="0"/>
            <w:i w:val="0"/>
            <w:iCs w:val="0"/>
          </w:rPr>
          <w:t>حسن بن ملاحیدر قرن 13 ه-</w:t>
        </w:r>
        <w:r>
          <w:tab/>
        </w:r>
        <w:r>
          <w:fldChar w:fldCharType="begin"/>
        </w:r>
        <w:r>
          <w:instrText xml:space="preserve">PAGEREF 2641 \h</w:instrText>
        </w:r>
        <w:r>
          <w:fldChar w:fldCharType="end"/>
        </w:r>
      </w:hyperlink>
    </w:p>
    <w:p>
      <w:pPr>
        <w:tabs>
          <w:tab w:val="right" w:leader="dot" w:pos="9062"/>
        </w:tabs>
        <w:ind w:left="220"/>
      </w:pPr>
      <w:hyperlink w:anchor="_Toc2642" w:history="1">
        <w:r>
          <w:rPr>
            <w:rFonts w:ascii="IRNazanin" w:hAnsi="IRNazanin" w:eastAsia="IRNazanin" w:cs="IRNazanin"/>
            <w:color w:val="111111"/>
            <w:sz w:val="22"/>
            <w:szCs w:val="22"/>
            <w:b w:val="0"/>
            <w:bCs w:val="0"/>
            <w:i w:val="0"/>
            <w:iCs w:val="0"/>
          </w:rPr>
          <w:t>حسن بن نوري</w:t>
        </w:r>
        <w:r>
          <w:tab/>
        </w:r>
        <w:r>
          <w:fldChar w:fldCharType="begin"/>
        </w:r>
        <w:r>
          <w:instrText xml:space="preserve">PAGEREF 2642 \h</w:instrText>
        </w:r>
        <w:r>
          <w:fldChar w:fldCharType="end"/>
        </w:r>
      </w:hyperlink>
    </w:p>
    <w:p>
      <w:pPr>
        <w:tabs>
          <w:tab w:val="right" w:leader="dot" w:pos="9062"/>
        </w:tabs>
        <w:ind w:left="220"/>
      </w:pPr>
      <w:hyperlink w:anchor="_Toc2643" w:history="1">
        <w:r>
          <w:rPr>
            <w:rFonts w:ascii="IRNazanin" w:hAnsi="IRNazanin" w:eastAsia="IRNazanin" w:cs="IRNazanin"/>
            <w:color w:val="111111"/>
            <w:sz w:val="22"/>
            <w:szCs w:val="22"/>
            <w:b w:val="0"/>
            <w:bCs w:val="0"/>
            <w:i w:val="0"/>
            <w:iCs w:val="0"/>
          </w:rPr>
          <w:t>حسن پاشازاده، محمّد سعید بن حسن</w:t>
        </w:r>
        <w:r>
          <w:tab/>
        </w:r>
        <w:r>
          <w:fldChar w:fldCharType="begin"/>
        </w:r>
        <w:r>
          <w:instrText xml:space="preserve">PAGEREF 2643 \h</w:instrText>
        </w:r>
        <w:r>
          <w:fldChar w:fldCharType="end"/>
        </w:r>
      </w:hyperlink>
    </w:p>
    <w:p>
      <w:pPr>
        <w:tabs>
          <w:tab w:val="right" w:leader="dot" w:pos="9062"/>
        </w:tabs>
        <w:ind w:left="220"/>
      </w:pPr>
      <w:hyperlink w:anchor="_Toc2644" w:history="1">
        <w:r>
          <w:rPr>
            <w:rFonts w:ascii="IRNazanin" w:hAnsi="IRNazanin" w:eastAsia="IRNazanin" w:cs="IRNazanin"/>
            <w:color w:val="111111"/>
            <w:sz w:val="22"/>
            <w:szCs w:val="22"/>
            <w:b w:val="0"/>
            <w:bCs w:val="0"/>
            <w:i w:val="0"/>
            <w:iCs w:val="0"/>
          </w:rPr>
          <w:t>حسن جلال الدين بن علي حسن قرن 10ه-</w:t>
        </w:r>
        <w:r>
          <w:tab/>
        </w:r>
        <w:r>
          <w:fldChar w:fldCharType="begin"/>
        </w:r>
        <w:r>
          <w:instrText xml:space="preserve">PAGEREF 2644 \h</w:instrText>
        </w:r>
        <w:r>
          <w:fldChar w:fldCharType="end"/>
        </w:r>
      </w:hyperlink>
    </w:p>
    <w:p>
      <w:pPr>
        <w:tabs>
          <w:tab w:val="right" w:leader="dot" w:pos="9062"/>
        </w:tabs>
        <w:ind w:left="220"/>
      </w:pPr>
      <w:hyperlink w:anchor="_Toc2645" w:history="1">
        <w:r>
          <w:rPr>
            <w:rFonts w:ascii="IRNazanin" w:hAnsi="IRNazanin" w:eastAsia="IRNazanin" w:cs="IRNazanin"/>
            <w:color w:val="111111"/>
            <w:sz w:val="22"/>
            <w:szCs w:val="22"/>
            <w:b w:val="0"/>
            <w:bCs w:val="0"/>
            <w:i w:val="0"/>
            <w:iCs w:val="0"/>
          </w:rPr>
          <w:t>حسن ، عبدالله</w:t>
        </w:r>
        <w:r>
          <w:tab/>
        </w:r>
        <w:r>
          <w:fldChar w:fldCharType="begin"/>
        </w:r>
        <w:r>
          <w:instrText xml:space="preserve">PAGEREF 2645 \h</w:instrText>
        </w:r>
        <w:r>
          <w:fldChar w:fldCharType="end"/>
        </w:r>
      </w:hyperlink>
    </w:p>
    <w:p>
      <w:pPr>
        <w:tabs>
          <w:tab w:val="right" w:leader="dot" w:pos="9062"/>
        </w:tabs>
        <w:ind w:left="220"/>
      </w:pPr>
      <w:hyperlink w:anchor="_Toc2646" w:history="1">
        <w:r>
          <w:rPr>
            <w:rFonts w:ascii="IRNazanin" w:hAnsi="IRNazanin" w:eastAsia="IRNazanin" w:cs="IRNazanin"/>
            <w:color w:val="111111"/>
            <w:sz w:val="22"/>
            <w:szCs w:val="22"/>
            <w:b w:val="0"/>
            <w:bCs w:val="0"/>
            <w:i w:val="0"/>
            <w:iCs w:val="0"/>
          </w:rPr>
          <w:t>حسني ، ابن مطاعن</w:t>
        </w:r>
        <w:r>
          <w:tab/>
        </w:r>
        <w:r>
          <w:fldChar w:fldCharType="begin"/>
        </w:r>
        <w:r>
          <w:instrText xml:space="preserve">PAGEREF 2646 \h</w:instrText>
        </w:r>
        <w:r>
          <w:fldChar w:fldCharType="end"/>
        </w:r>
      </w:hyperlink>
    </w:p>
    <w:p>
      <w:pPr>
        <w:tabs>
          <w:tab w:val="right" w:leader="dot" w:pos="9062"/>
        </w:tabs>
        <w:ind w:left="220"/>
      </w:pPr>
      <w:hyperlink w:anchor="_Toc2647" w:history="1">
        <w:r>
          <w:rPr>
            <w:rFonts w:ascii="IRNazanin" w:hAnsi="IRNazanin" w:eastAsia="IRNazanin" w:cs="IRNazanin"/>
            <w:color w:val="111111"/>
            <w:sz w:val="22"/>
            <w:szCs w:val="22"/>
            <w:b w:val="0"/>
            <w:bCs w:val="0"/>
            <w:i w:val="0"/>
            <w:iCs w:val="0"/>
          </w:rPr>
          <w:t>حسني ، ابو محمّد</w:t>
        </w:r>
        <w:r>
          <w:tab/>
        </w:r>
        <w:r>
          <w:fldChar w:fldCharType="begin"/>
        </w:r>
        <w:r>
          <w:instrText xml:space="preserve">PAGEREF 2647 \h</w:instrText>
        </w:r>
        <w:r>
          <w:fldChar w:fldCharType="end"/>
        </w:r>
      </w:hyperlink>
    </w:p>
    <w:p>
      <w:pPr>
        <w:tabs>
          <w:tab w:val="right" w:leader="dot" w:pos="9062"/>
        </w:tabs>
        <w:ind w:left="220"/>
      </w:pPr>
      <w:hyperlink w:anchor="_Toc2648" w:history="1">
        <w:r>
          <w:rPr>
            <w:rFonts w:ascii="IRNazanin" w:hAnsi="IRNazanin" w:eastAsia="IRNazanin" w:cs="IRNazanin"/>
            <w:color w:val="111111"/>
            <w:sz w:val="22"/>
            <w:szCs w:val="22"/>
            <w:b w:val="0"/>
            <w:bCs w:val="0"/>
            <w:i w:val="0"/>
            <w:iCs w:val="0"/>
          </w:rPr>
          <w:t>حسني ، احمد</w:t>
        </w:r>
        <w:r>
          <w:tab/>
        </w:r>
        <w:r>
          <w:fldChar w:fldCharType="begin"/>
        </w:r>
        <w:r>
          <w:instrText xml:space="preserve">PAGEREF 2648 \h</w:instrText>
        </w:r>
        <w:r>
          <w:fldChar w:fldCharType="end"/>
        </w:r>
      </w:hyperlink>
    </w:p>
    <w:p>
      <w:pPr>
        <w:tabs>
          <w:tab w:val="right" w:leader="dot" w:pos="9062"/>
        </w:tabs>
        <w:ind w:left="220"/>
      </w:pPr>
      <w:hyperlink w:anchor="_Toc2649" w:history="1">
        <w:r>
          <w:rPr>
            <w:rFonts w:ascii="IRNazanin" w:hAnsi="IRNazanin" w:eastAsia="IRNazanin" w:cs="IRNazanin"/>
            <w:color w:val="111111"/>
            <w:sz w:val="22"/>
            <w:szCs w:val="22"/>
            <w:b w:val="0"/>
            <w:bCs w:val="0"/>
            <w:i w:val="0"/>
            <w:iCs w:val="0"/>
          </w:rPr>
          <w:t>حسني، اسماعيل بن قاسم - 1087 ه-</w:t>
        </w:r>
        <w:r>
          <w:tab/>
        </w:r>
        <w:r>
          <w:fldChar w:fldCharType="begin"/>
        </w:r>
        <w:r>
          <w:instrText xml:space="preserve">PAGEREF 2649 \h</w:instrText>
        </w:r>
        <w:r>
          <w:fldChar w:fldCharType="end"/>
        </w:r>
      </w:hyperlink>
    </w:p>
    <w:p>
      <w:pPr>
        <w:tabs>
          <w:tab w:val="right" w:leader="dot" w:pos="9062"/>
        </w:tabs>
        <w:ind w:left="220"/>
      </w:pPr>
      <w:hyperlink w:anchor="_Toc2650" w:history="1">
        <w:r>
          <w:rPr>
            <w:rFonts w:ascii="IRNazanin" w:hAnsi="IRNazanin" w:eastAsia="IRNazanin" w:cs="IRNazanin"/>
            <w:color w:val="111111"/>
            <w:sz w:val="22"/>
            <w:szCs w:val="22"/>
            <w:b w:val="0"/>
            <w:bCs w:val="0"/>
            <w:i w:val="0"/>
            <w:iCs w:val="0"/>
          </w:rPr>
          <w:t>حسني ، بهاء الدين بن عبدالحميد</w:t>
        </w:r>
        <w:r>
          <w:tab/>
        </w:r>
        <w:r>
          <w:fldChar w:fldCharType="begin"/>
        </w:r>
        <w:r>
          <w:instrText xml:space="preserve">PAGEREF 2650 \h</w:instrText>
        </w:r>
        <w:r>
          <w:fldChar w:fldCharType="end"/>
        </w:r>
      </w:hyperlink>
    </w:p>
    <w:p>
      <w:pPr>
        <w:tabs>
          <w:tab w:val="right" w:leader="dot" w:pos="9062"/>
        </w:tabs>
        <w:ind w:left="220"/>
      </w:pPr>
      <w:hyperlink w:anchor="_Toc2651" w:history="1">
        <w:r>
          <w:rPr>
            <w:rFonts w:ascii="IRNazanin" w:hAnsi="IRNazanin" w:eastAsia="IRNazanin" w:cs="IRNazanin"/>
            <w:color w:val="111111"/>
            <w:sz w:val="22"/>
            <w:szCs w:val="22"/>
            <w:b w:val="0"/>
            <w:bCs w:val="0"/>
            <w:i w:val="0"/>
            <w:iCs w:val="0"/>
          </w:rPr>
          <w:t>حسني ، جمال الدين عبد الله قرن 10 ه-</w:t>
        </w:r>
        <w:r>
          <w:tab/>
        </w:r>
        <w:r>
          <w:fldChar w:fldCharType="begin"/>
        </w:r>
        <w:r>
          <w:instrText xml:space="preserve">PAGEREF 2651 \h</w:instrText>
        </w:r>
        <w:r>
          <w:fldChar w:fldCharType="end"/>
        </w:r>
      </w:hyperlink>
    </w:p>
    <w:p>
      <w:pPr>
        <w:tabs>
          <w:tab w:val="right" w:leader="dot" w:pos="9062"/>
        </w:tabs>
        <w:ind w:left="220"/>
      </w:pPr>
      <w:hyperlink w:anchor="_Toc2652" w:history="1">
        <w:r>
          <w:rPr>
            <w:rFonts w:ascii="IRNazanin" w:hAnsi="IRNazanin" w:eastAsia="IRNazanin" w:cs="IRNazanin"/>
            <w:color w:val="111111"/>
            <w:sz w:val="22"/>
            <w:szCs w:val="22"/>
            <w:b w:val="0"/>
            <w:bCs w:val="0"/>
            <w:i w:val="0"/>
            <w:iCs w:val="0"/>
          </w:rPr>
          <w:t>حسني ، حسن بن اسماعيل قرن 14 ه-</w:t>
        </w:r>
        <w:r>
          <w:tab/>
        </w:r>
        <w:r>
          <w:fldChar w:fldCharType="begin"/>
        </w:r>
        <w:r>
          <w:instrText xml:space="preserve">PAGEREF 2652 \h</w:instrText>
        </w:r>
        <w:r>
          <w:fldChar w:fldCharType="end"/>
        </w:r>
      </w:hyperlink>
    </w:p>
    <w:p>
      <w:pPr>
        <w:tabs>
          <w:tab w:val="right" w:leader="dot" w:pos="9062"/>
        </w:tabs>
        <w:ind w:left="220"/>
      </w:pPr>
      <w:hyperlink w:anchor="_Toc2653" w:history="1">
        <w:r>
          <w:rPr>
            <w:rFonts w:ascii="IRNazanin" w:hAnsi="IRNazanin" w:eastAsia="IRNazanin" w:cs="IRNazanin"/>
            <w:color w:val="111111"/>
            <w:sz w:val="22"/>
            <w:szCs w:val="22"/>
            <w:b w:val="0"/>
            <w:bCs w:val="0"/>
            <w:i w:val="0"/>
            <w:iCs w:val="0"/>
          </w:rPr>
          <w:t>حسني حسيني ، محمّد بن حبيب</w:t>
        </w:r>
        <w:r>
          <w:tab/>
        </w:r>
        <w:r>
          <w:fldChar w:fldCharType="begin"/>
        </w:r>
        <w:r>
          <w:instrText xml:space="preserve">PAGEREF 2653 \h</w:instrText>
        </w:r>
        <w:r>
          <w:fldChar w:fldCharType="end"/>
        </w:r>
      </w:hyperlink>
    </w:p>
    <w:p>
      <w:pPr>
        <w:tabs>
          <w:tab w:val="right" w:leader="dot" w:pos="9062"/>
        </w:tabs>
        <w:ind w:left="220"/>
      </w:pPr>
      <w:hyperlink w:anchor="_Toc2654" w:history="1">
        <w:r>
          <w:rPr>
            <w:rFonts w:ascii="IRNazanin" w:hAnsi="IRNazanin" w:eastAsia="IRNazanin" w:cs="IRNazanin"/>
            <w:color w:val="111111"/>
            <w:sz w:val="22"/>
            <w:szCs w:val="22"/>
            <w:b w:val="0"/>
            <w:bCs w:val="0"/>
            <w:i w:val="0"/>
            <w:iCs w:val="0"/>
          </w:rPr>
          <w:t>حسني حسيني، ناصر بن حسين -1118ه-</w:t>
        </w:r>
        <w:r>
          <w:tab/>
        </w:r>
        <w:r>
          <w:fldChar w:fldCharType="begin"/>
        </w:r>
        <w:r>
          <w:instrText xml:space="preserve">PAGEREF 2654 \h</w:instrText>
        </w:r>
        <w:r>
          <w:fldChar w:fldCharType="end"/>
        </w:r>
      </w:hyperlink>
    </w:p>
    <w:p>
      <w:pPr>
        <w:tabs>
          <w:tab w:val="right" w:leader="dot" w:pos="9062"/>
        </w:tabs>
        <w:ind w:left="220"/>
      </w:pPr>
      <w:hyperlink w:anchor="_Toc2655" w:history="1">
        <w:r>
          <w:rPr>
            <w:rFonts w:ascii="IRNazanin" w:hAnsi="IRNazanin" w:eastAsia="IRNazanin" w:cs="IRNazanin"/>
            <w:color w:val="111111"/>
            <w:sz w:val="22"/>
            <w:szCs w:val="22"/>
            <w:b w:val="0"/>
            <w:bCs w:val="0"/>
            <w:i w:val="0"/>
            <w:iCs w:val="0"/>
          </w:rPr>
          <w:t>حسني حمامي، محمّد عبدالحسین قرن</w:t>
        </w:r>
        <w:r>
          <w:tab/>
        </w:r>
        <w:r>
          <w:fldChar w:fldCharType="begin"/>
        </w:r>
        <w:r>
          <w:instrText xml:space="preserve">PAGEREF 2655 \h</w:instrText>
        </w:r>
        <w:r>
          <w:fldChar w:fldCharType="end"/>
        </w:r>
      </w:hyperlink>
    </w:p>
    <w:p>
      <w:pPr>
        <w:tabs>
          <w:tab w:val="right" w:leader="dot" w:pos="9062"/>
        </w:tabs>
        <w:ind w:left="220"/>
      </w:pPr>
      <w:hyperlink w:anchor="_Toc2656" w:history="1">
        <w:r>
          <w:rPr>
            <w:rFonts w:ascii="IRNazanin" w:hAnsi="IRNazanin" w:eastAsia="IRNazanin" w:cs="IRNazanin"/>
            <w:color w:val="111111"/>
            <w:sz w:val="22"/>
            <w:szCs w:val="22"/>
            <w:b w:val="0"/>
            <w:bCs w:val="0"/>
            <w:i w:val="0"/>
            <w:iCs w:val="0"/>
          </w:rPr>
          <w:t>حسني ، عبدالحي، 1869 - 1923 م</w:t>
        </w:r>
        <w:r>
          <w:tab/>
        </w:r>
        <w:r>
          <w:fldChar w:fldCharType="begin"/>
        </w:r>
        <w:r>
          <w:instrText xml:space="preserve">PAGEREF 2656 \h</w:instrText>
        </w:r>
        <w:r>
          <w:fldChar w:fldCharType="end"/>
        </w:r>
      </w:hyperlink>
    </w:p>
    <w:p>
      <w:pPr>
        <w:tabs>
          <w:tab w:val="right" w:leader="dot" w:pos="9062"/>
        </w:tabs>
        <w:ind w:left="220"/>
      </w:pPr>
      <w:hyperlink w:anchor="_Toc2657" w:history="1">
        <w:r>
          <w:rPr>
            <w:rFonts w:ascii="IRNazanin" w:hAnsi="IRNazanin" w:eastAsia="IRNazanin" w:cs="IRNazanin"/>
            <w:color w:val="111111"/>
            <w:sz w:val="22"/>
            <w:szCs w:val="22"/>
            <w:b w:val="0"/>
            <w:bCs w:val="0"/>
            <w:i w:val="0"/>
            <w:iCs w:val="0"/>
          </w:rPr>
          <w:t>حسني ، عبدالرزاق</w:t>
        </w:r>
        <w:r>
          <w:tab/>
        </w:r>
        <w:r>
          <w:fldChar w:fldCharType="begin"/>
        </w:r>
        <w:r>
          <w:instrText xml:space="preserve">PAGEREF 2657 \h</w:instrText>
        </w:r>
        <w:r>
          <w:fldChar w:fldCharType="end"/>
        </w:r>
      </w:hyperlink>
    </w:p>
    <w:p>
      <w:pPr>
        <w:tabs>
          <w:tab w:val="right" w:leader="dot" w:pos="9062"/>
        </w:tabs>
        <w:ind w:left="220"/>
      </w:pPr>
      <w:hyperlink w:anchor="_Toc2658" w:history="1">
        <w:r>
          <w:rPr>
            <w:rFonts w:ascii="IRNazanin" w:hAnsi="IRNazanin" w:eastAsia="IRNazanin" w:cs="IRNazanin"/>
            <w:color w:val="111111"/>
            <w:sz w:val="22"/>
            <w:szCs w:val="22"/>
            <w:b w:val="0"/>
            <w:bCs w:val="0"/>
            <w:i w:val="0"/>
            <w:iCs w:val="0"/>
          </w:rPr>
          <w:t>حسني ، عبد بن محمّد رضا</w:t>
        </w:r>
        <w:r>
          <w:tab/>
        </w:r>
        <w:r>
          <w:fldChar w:fldCharType="begin"/>
        </w:r>
        <w:r>
          <w:instrText xml:space="preserve">PAGEREF 2658 \h</w:instrText>
        </w:r>
        <w:r>
          <w:fldChar w:fldCharType="end"/>
        </w:r>
      </w:hyperlink>
    </w:p>
    <w:p>
      <w:pPr>
        <w:tabs>
          <w:tab w:val="right" w:leader="dot" w:pos="9062"/>
        </w:tabs>
        <w:ind w:left="220"/>
      </w:pPr>
      <w:hyperlink w:anchor="_Toc2659" w:history="1">
        <w:r>
          <w:rPr>
            <w:rFonts w:ascii="IRNazanin" w:hAnsi="IRNazanin" w:eastAsia="IRNazanin" w:cs="IRNazanin"/>
            <w:color w:val="111111"/>
            <w:sz w:val="22"/>
            <w:szCs w:val="22"/>
            <w:b w:val="0"/>
            <w:bCs w:val="0"/>
            <w:i w:val="0"/>
            <w:iCs w:val="0"/>
          </w:rPr>
          <w:t>حسني ،عيسى بن لطف الله - 1048 ه-</w:t>
        </w:r>
        <w:r>
          <w:tab/>
        </w:r>
        <w:r>
          <w:fldChar w:fldCharType="begin"/>
        </w:r>
        <w:r>
          <w:instrText xml:space="preserve">PAGEREF 2659 \h</w:instrText>
        </w:r>
        <w:r>
          <w:fldChar w:fldCharType="end"/>
        </w:r>
      </w:hyperlink>
    </w:p>
    <w:p>
      <w:pPr>
        <w:tabs>
          <w:tab w:val="right" w:leader="dot" w:pos="9062"/>
        </w:tabs>
        <w:ind w:left="220"/>
      </w:pPr>
      <w:hyperlink w:anchor="_Toc2660" w:history="1">
        <w:r>
          <w:rPr>
            <w:rFonts w:ascii="IRNazanin" w:hAnsi="IRNazanin" w:eastAsia="IRNazanin" w:cs="IRNazanin"/>
            <w:color w:val="111111"/>
            <w:sz w:val="22"/>
            <w:szCs w:val="22"/>
            <w:b w:val="0"/>
            <w:bCs w:val="0"/>
            <w:i w:val="0"/>
            <w:iCs w:val="0"/>
          </w:rPr>
          <w:t>حسني قادري ، جواد بن ابراهيم</w:t>
        </w:r>
        <w:r>
          <w:tab/>
        </w:r>
        <w:r>
          <w:fldChar w:fldCharType="begin"/>
        </w:r>
        <w:r>
          <w:instrText xml:space="preserve">PAGEREF 2660 \h</w:instrText>
        </w:r>
        <w:r>
          <w:fldChar w:fldCharType="end"/>
        </w:r>
      </w:hyperlink>
    </w:p>
    <w:p>
      <w:pPr>
        <w:tabs>
          <w:tab w:val="right" w:leader="dot" w:pos="9062"/>
        </w:tabs>
        <w:ind w:left="220"/>
      </w:pPr>
      <w:hyperlink w:anchor="_Toc2661" w:history="1">
        <w:r>
          <w:rPr>
            <w:rFonts w:ascii="IRNazanin" w:hAnsi="IRNazanin" w:eastAsia="IRNazanin" w:cs="IRNazanin"/>
            <w:color w:val="111111"/>
            <w:sz w:val="22"/>
            <w:szCs w:val="22"/>
            <w:b w:val="0"/>
            <w:bCs w:val="0"/>
            <w:i w:val="0"/>
            <w:iCs w:val="0"/>
          </w:rPr>
          <w:t>حسني ، قطب الدين بن عبدالحي</w:t>
        </w:r>
        <w:r>
          <w:tab/>
        </w:r>
        <w:r>
          <w:fldChar w:fldCharType="begin"/>
        </w:r>
        <w:r>
          <w:instrText xml:space="preserve">PAGEREF 2661 \h</w:instrText>
        </w:r>
        <w:r>
          <w:fldChar w:fldCharType="end"/>
        </w:r>
      </w:hyperlink>
    </w:p>
    <w:p>
      <w:pPr>
        <w:tabs>
          <w:tab w:val="right" w:leader="dot" w:pos="9062"/>
        </w:tabs>
        <w:ind w:left="220"/>
      </w:pPr>
      <w:hyperlink w:anchor="_Toc2662" w:history="1">
        <w:r>
          <w:rPr>
            <w:rFonts w:ascii="IRNazanin" w:hAnsi="IRNazanin" w:eastAsia="IRNazanin" w:cs="IRNazanin"/>
            <w:color w:val="111111"/>
            <w:sz w:val="22"/>
            <w:szCs w:val="22"/>
            <w:b w:val="0"/>
            <w:bCs w:val="0"/>
            <w:i w:val="0"/>
            <w:iCs w:val="0"/>
          </w:rPr>
          <w:t>حسني كاظمي، حيدر بن ابراهيم 1205</w:t>
        </w:r>
        <w:r>
          <w:tab/>
        </w:r>
        <w:r>
          <w:fldChar w:fldCharType="begin"/>
        </w:r>
        <w:r>
          <w:instrText xml:space="preserve">PAGEREF 2662 \h</w:instrText>
        </w:r>
        <w:r>
          <w:fldChar w:fldCharType="end"/>
        </w:r>
      </w:hyperlink>
    </w:p>
    <w:p>
      <w:pPr>
        <w:tabs>
          <w:tab w:val="right" w:leader="dot" w:pos="9062"/>
        </w:tabs>
        <w:ind w:left="220"/>
      </w:pPr>
      <w:hyperlink w:anchor="_Toc2663" w:history="1">
        <w:r>
          <w:rPr>
            <w:rFonts w:ascii="IRNazanin" w:hAnsi="IRNazanin" w:eastAsia="IRNazanin" w:cs="IRNazanin"/>
            <w:color w:val="111111"/>
            <w:sz w:val="22"/>
            <w:szCs w:val="22"/>
            <w:b w:val="0"/>
            <w:bCs w:val="0"/>
            <w:i w:val="0"/>
            <w:iCs w:val="0"/>
          </w:rPr>
          <w:t>حسني كردي، محمّد باقي</w:t>
        </w:r>
        <w:r>
          <w:tab/>
        </w:r>
        <w:r>
          <w:fldChar w:fldCharType="begin"/>
        </w:r>
        <w:r>
          <w:instrText xml:space="preserve">PAGEREF 2663 \h</w:instrText>
        </w:r>
        <w:r>
          <w:fldChar w:fldCharType="end"/>
        </w:r>
      </w:hyperlink>
    </w:p>
    <w:p>
      <w:pPr>
        <w:tabs>
          <w:tab w:val="right" w:leader="dot" w:pos="9062"/>
        </w:tabs>
        <w:ind w:left="220"/>
      </w:pPr>
      <w:hyperlink w:anchor="_Toc2664" w:history="1">
        <w:r>
          <w:rPr>
            <w:rFonts w:ascii="IRNazanin" w:hAnsi="IRNazanin" w:eastAsia="IRNazanin" w:cs="IRNazanin"/>
            <w:color w:val="111111"/>
            <w:sz w:val="22"/>
            <w:szCs w:val="22"/>
            <w:b w:val="0"/>
            <w:bCs w:val="0"/>
            <w:i w:val="0"/>
            <w:iCs w:val="0"/>
          </w:rPr>
          <w:t>حسني ، محمّد بن عبدالله - 986 ه-</w:t>
        </w:r>
        <w:r>
          <w:tab/>
        </w:r>
        <w:r>
          <w:fldChar w:fldCharType="begin"/>
        </w:r>
        <w:r>
          <w:instrText xml:space="preserve">PAGEREF 2664 \h</w:instrText>
        </w:r>
        <w:r>
          <w:fldChar w:fldCharType="end"/>
        </w:r>
      </w:hyperlink>
    </w:p>
    <w:p>
      <w:pPr>
        <w:tabs>
          <w:tab w:val="right" w:leader="dot" w:pos="9062"/>
        </w:tabs>
        <w:ind w:left="220"/>
      </w:pPr>
      <w:hyperlink w:anchor="_Toc2665" w:history="1">
        <w:r>
          <w:rPr>
            <w:rFonts w:ascii="IRNazanin" w:hAnsi="IRNazanin" w:eastAsia="IRNazanin" w:cs="IRNazanin"/>
            <w:color w:val="111111"/>
            <w:sz w:val="22"/>
            <w:szCs w:val="22"/>
            <w:b w:val="0"/>
            <w:bCs w:val="0"/>
            <w:i w:val="0"/>
            <w:iCs w:val="0"/>
          </w:rPr>
          <w:t>حسني ، محمّد بن مطرف قرن 8 ه-</w:t>
        </w:r>
        <w:r>
          <w:tab/>
        </w:r>
        <w:r>
          <w:fldChar w:fldCharType="begin"/>
        </w:r>
        <w:r>
          <w:instrText xml:space="preserve">PAGEREF 2665 \h</w:instrText>
        </w:r>
        <w:r>
          <w:fldChar w:fldCharType="end"/>
        </w:r>
      </w:hyperlink>
    </w:p>
    <w:p>
      <w:pPr>
        <w:tabs>
          <w:tab w:val="right" w:leader="dot" w:pos="9062"/>
        </w:tabs>
        <w:ind w:left="220"/>
      </w:pPr>
      <w:hyperlink w:anchor="_Toc2666" w:history="1">
        <w:r>
          <w:rPr>
            <w:rFonts w:ascii="IRNazanin" w:hAnsi="IRNazanin" w:eastAsia="IRNazanin" w:cs="IRNazanin"/>
            <w:color w:val="111111"/>
            <w:sz w:val="22"/>
            <w:szCs w:val="22"/>
            <w:b w:val="0"/>
            <w:bCs w:val="0"/>
            <w:i w:val="0"/>
            <w:iCs w:val="0"/>
          </w:rPr>
          <w:t>حسني ، محمّد تقي</w:t>
        </w:r>
        <w:r>
          <w:tab/>
        </w:r>
        <w:r>
          <w:fldChar w:fldCharType="begin"/>
        </w:r>
        <w:r>
          <w:instrText xml:space="preserve">PAGEREF 2666 \h</w:instrText>
        </w:r>
        <w:r>
          <w:fldChar w:fldCharType="end"/>
        </w:r>
      </w:hyperlink>
    </w:p>
    <w:p>
      <w:pPr>
        <w:tabs>
          <w:tab w:val="right" w:leader="dot" w:pos="9062"/>
        </w:tabs>
        <w:ind w:left="220"/>
      </w:pPr>
      <w:hyperlink w:anchor="_Toc2667" w:history="1">
        <w:r>
          <w:rPr>
            <w:rFonts w:ascii="IRNazanin" w:hAnsi="IRNazanin" w:eastAsia="IRNazanin" w:cs="IRNazanin"/>
            <w:color w:val="111111"/>
            <w:sz w:val="22"/>
            <w:szCs w:val="22"/>
            <w:b w:val="0"/>
            <w:bCs w:val="0"/>
            <w:i w:val="0"/>
            <w:iCs w:val="0"/>
          </w:rPr>
          <w:t>حسني مكي ، محمّد بن علي قرن 13 ه-</w:t>
        </w:r>
        <w:r>
          <w:tab/>
        </w:r>
        <w:r>
          <w:fldChar w:fldCharType="begin"/>
        </w:r>
        <w:r>
          <w:instrText xml:space="preserve">PAGEREF 2667 \h</w:instrText>
        </w:r>
        <w:r>
          <w:fldChar w:fldCharType="end"/>
        </w:r>
      </w:hyperlink>
    </w:p>
    <w:p>
      <w:pPr>
        <w:tabs>
          <w:tab w:val="right" w:leader="dot" w:pos="9062"/>
        </w:tabs>
        <w:ind w:left="220"/>
      </w:pPr>
      <w:hyperlink w:anchor="_Toc2668" w:history="1">
        <w:r>
          <w:rPr>
            <w:rFonts w:ascii="IRNazanin" w:hAnsi="IRNazanin" w:eastAsia="IRNazanin" w:cs="IRNazanin"/>
            <w:color w:val="111111"/>
            <w:sz w:val="22"/>
            <w:szCs w:val="22"/>
            <w:b w:val="0"/>
            <w:bCs w:val="0"/>
            <w:i w:val="0"/>
            <w:iCs w:val="0"/>
          </w:rPr>
          <w:t>حسني ، مهدي بن احمد - 1336 ه-</w:t>
        </w:r>
        <w:r>
          <w:tab/>
        </w:r>
        <w:r>
          <w:fldChar w:fldCharType="begin"/>
        </w:r>
        <w:r>
          <w:instrText xml:space="preserve">PAGEREF 2668 \h</w:instrText>
        </w:r>
        <w:r>
          <w:fldChar w:fldCharType="end"/>
        </w:r>
      </w:hyperlink>
    </w:p>
    <w:p>
      <w:pPr>
        <w:tabs>
          <w:tab w:val="right" w:leader="dot" w:pos="9062"/>
        </w:tabs>
        <w:ind w:left="220"/>
      </w:pPr>
      <w:hyperlink w:anchor="_Toc2669" w:history="1">
        <w:r>
          <w:rPr>
            <w:rFonts w:ascii="IRNazanin" w:hAnsi="IRNazanin" w:eastAsia="IRNazanin" w:cs="IRNazanin"/>
            <w:color w:val="111111"/>
            <w:sz w:val="22"/>
            <w:szCs w:val="22"/>
            <w:b w:val="0"/>
            <w:bCs w:val="0"/>
            <w:i w:val="0"/>
            <w:iCs w:val="0"/>
          </w:rPr>
          <w:t>حسني يزدي ، علي اكبر بن محمّد جعفر</w:t>
        </w:r>
        <w:r>
          <w:tab/>
        </w:r>
        <w:r>
          <w:fldChar w:fldCharType="begin"/>
        </w:r>
        <w:r>
          <w:instrText xml:space="preserve">PAGEREF 2669 \h</w:instrText>
        </w:r>
        <w:r>
          <w:fldChar w:fldCharType="end"/>
        </w:r>
      </w:hyperlink>
    </w:p>
    <w:p>
      <w:pPr>
        <w:tabs>
          <w:tab w:val="right" w:leader="dot" w:pos="9062"/>
        </w:tabs>
        <w:ind w:left="220"/>
      </w:pPr>
      <w:hyperlink w:anchor="_Toc2670" w:history="1">
        <w:r>
          <w:rPr>
            <w:rFonts w:ascii="IRNazanin" w:hAnsi="IRNazanin" w:eastAsia="IRNazanin" w:cs="IRNazanin"/>
            <w:color w:val="111111"/>
            <w:sz w:val="22"/>
            <w:szCs w:val="22"/>
            <w:b w:val="0"/>
            <w:bCs w:val="0"/>
            <w:i w:val="0"/>
            <w:iCs w:val="0"/>
          </w:rPr>
          <w:t>حسون حلی</w:t>
        </w:r>
        <w:r>
          <w:tab/>
        </w:r>
        <w:r>
          <w:fldChar w:fldCharType="begin"/>
        </w:r>
        <w:r>
          <w:instrText xml:space="preserve">PAGEREF 2670 \h</w:instrText>
        </w:r>
        <w:r>
          <w:fldChar w:fldCharType="end"/>
        </w:r>
      </w:hyperlink>
    </w:p>
    <w:p>
      <w:pPr>
        <w:tabs>
          <w:tab w:val="right" w:leader="dot" w:pos="9062"/>
        </w:tabs>
        <w:ind w:left="220"/>
      </w:pPr>
      <w:hyperlink w:anchor="_Toc2671" w:history="1">
        <w:r>
          <w:rPr>
            <w:rFonts w:ascii="IRNazanin" w:hAnsi="IRNazanin" w:eastAsia="IRNazanin" w:cs="IRNazanin"/>
            <w:color w:val="111111"/>
            <w:sz w:val="22"/>
            <w:szCs w:val="22"/>
            <w:b w:val="0"/>
            <w:bCs w:val="0"/>
            <w:i w:val="0"/>
            <w:iCs w:val="0"/>
          </w:rPr>
          <w:t>حسين آبادي ، اسماعيل بن ابراهيم</w:t>
        </w:r>
        <w:r>
          <w:tab/>
        </w:r>
        <w:r>
          <w:fldChar w:fldCharType="begin"/>
        </w:r>
        <w:r>
          <w:instrText xml:space="preserve">PAGEREF 2671 \h</w:instrText>
        </w:r>
        <w:r>
          <w:fldChar w:fldCharType="end"/>
        </w:r>
      </w:hyperlink>
    </w:p>
    <w:p>
      <w:pPr>
        <w:tabs>
          <w:tab w:val="right" w:leader="dot" w:pos="9062"/>
        </w:tabs>
        <w:ind w:left="220"/>
      </w:pPr>
      <w:hyperlink w:anchor="_Toc2672" w:history="1">
        <w:r>
          <w:rPr>
            <w:rFonts w:ascii="IRNazanin" w:hAnsi="IRNazanin" w:eastAsia="IRNazanin" w:cs="IRNazanin"/>
            <w:color w:val="111111"/>
            <w:sz w:val="22"/>
            <w:szCs w:val="22"/>
            <w:b w:val="0"/>
            <w:bCs w:val="0"/>
            <w:i w:val="0"/>
            <w:iCs w:val="0"/>
          </w:rPr>
          <w:t>حسين الملي، - 1143 ه-</w:t>
        </w:r>
        <w:r>
          <w:tab/>
        </w:r>
        <w:r>
          <w:fldChar w:fldCharType="begin"/>
        </w:r>
        <w:r>
          <w:instrText xml:space="preserve">PAGEREF 2672 \h</w:instrText>
        </w:r>
        <w:r>
          <w:fldChar w:fldCharType="end"/>
        </w:r>
      </w:hyperlink>
    </w:p>
    <w:p>
      <w:pPr>
        <w:tabs>
          <w:tab w:val="right" w:leader="dot" w:pos="9062"/>
        </w:tabs>
        <w:ind w:left="220"/>
      </w:pPr>
      <w:hyperlink w:anchor="_Toc2673" w:history="1">
        <w:r>
          <w:rPr>
            <w:rFonts w:ascii="IRNazanin" w:hAnsi="IRNazanin" w:eastAsia="IRNazanin" w:cs="IRNazanin"/>
            <w:color w:val="111111"/>
            <w:sz w:val="22"/>
            <w:szCs w:val="22"/>
            <w:b w:val="0"/>
            <w:bCs w:val="0"/>
            <w:i w:val="0"/>
            <w:iCs w:val="0"/>
          </w:rPr>
          <w:t>حسين بن احمد بن محمّد</w:t>
        </w:r>
        <w:r>
          <w:tab/>
        </w:r>
        <w:r>
          <w:fldChar w:fldCharType="begin"/>
        </w:r>
        <w:r>
          <w:instrText xml:space="preserve">PAGEREF 2673 \h</w:instrText>
        </w:r>
        <w:r>
          <w:fldChar w:fldCharType="end"/>
        </w:r>
      </w:hyperlink>
    </w:p>
    <w:p>
      <w:pPr>
        <w:tabs>
          <w:tab w:val="right" w:leader="dot" w:pos="9062"/>
        </w:tabs>
        <w:ind w:left="220"/>
      </w:pPr>
      <w:hyperlink w:anchor="_Toc2674" w:history="1">
        <w:r>
          <w:rPr>
            <w:rFonts w:ascii="IRNazanin" w:hAnsi="IRNazanin" w:eastAsia="IRNazanin" w:cs="IRNazanin"/>
            <w:color w:val="111111"/>
            <w:sz w:val="22"/>
            <w:szCs w:val="22"/>
            <w:b w:val="0"/>
            <w:bCs w:val="0"/>
            <w:i w:val="0"/>
            <w:iCs w:val="0"/>
          </w:rPr>
          <w:t>حسين بن جمال قرن 11 ه-</w:t>
        </w:r>
        <w:r>
          <w:tab/>
        </w:r>
        <w:r>
          <w:fldChar w:fldCharType="begin"/>
        </w:r>
        <w:r>
          <w:instrText xml:space="preserve">PAGEREF 2674 \h</w:instrText>
        </w:r>
        <w:r>
          <w:fldChar w:fldCharType="end"/>
        </w:r>
      </w:hyperlink>
    </w:p>
    <w:p>
      <w:pPr>
        <w:tabs>
          <w:tab w:val="right" w:leader="dot" w:pos="9062"/>
        </w:tabs>
        <w:ind w:left="220"/>
      </w:pPr>
      <w:hyperlink w:anchor="_Toc2675" w:history="1">
        <w:r>
          <w:rPr>
            <w:rFonts w:ascii="IRNazanin" w:hAnsi="IRNazanin" w:eastAsia="IRNazanin" w:cs="IRNazanin"/>
            <w:color w:val="111111"/>
            <w:sz w:val="22"/>
            <w:szCs w:val="22"/>
            <w:b w:val="0"/>
            <w:bCs w:val="0"/>
            <w:i w:val="0"/>
            <w:iCs w:val="0"/>
          </w:rPr>
          <w:t>حسين بن صفي قرن 12 ه-</w:t>
        </w:r>
        <w:r>
          <w:tab/>
        </w:r>
        <w:r>
          <w:fldChar w:fldCharType="begin"/>
        </w:r>
        <w:r>
          <w:instrText xml:space="preserve">PAGEREF 2675 \h</w:instrText>
        </w:r>
        <w:r>
          <w:fldChar w:fldCharType="end"/>
        </w:r>
      </w:hyperlink>
    </w:p>
    <w:p>
      <w:pPr>
        <w:tabs>
          <w:tab w:val="right" w:leader="dot" w:pos="9062"/>
        </w:tabs>
        <w:ind w:left="220"/>
      </w:pPr>
      <w:hyperlink w:anchor="_Toc2676" w:history="1">
        <w:r>
          <w:rPr>
            <w:rFonts w:ascii="IRNazanin" w:hAnsi="IRNazanin" w:eastAsia="IRNazanin" w:cs="IRNazanin"/>
            <w:color w:val="111111"/>
            <w:sz w:val="22"/>
            <w:szCs w:val="22"/>
            <w:b w:val="0"/>
            <w:bCs w:val="0"/>
            <w:i w:val="0"/>
            <w:iCs w:val="0"/>
          </w:rPr>
          <w:t>حسين بن عبدالقاهر</w:t>
        </w:r>
        <w:r>
          <w:tab/>
        </w:r>
        <w:r>
          <w:fldChar w:fldCharType="begin"/>
        </w:r>
        <w:r>
          <w:instrText xml:space="preserve">PAGEREF 2676 \h</w:instrText>
        </w:r>
        <w:r>
          <w:fldChar w:fldCharType="end"/>
        </w:r>
      </w:hyperlink>
    </w:p>
    <w:p>
      <w:pPr>
        <w:tabs>
          <w:tab w:val="right" w:leader="dot" w:pos="9062"/>
        </w:tabs>
        <w:ind w:left="220"/>
      </w:pPr>
      <w:hyperlink w:anchor="_Toc2677" w:history="1">
        <w:r>
          <w:rPr>
            <w:rFonts w:ascii="IRNazanin" w:hAnsi="IRNazanin" w:eastAsia="IRNazanin" w:cs="IRNazanin"/>
            <w:color w:val="111111"/>
            <w:sz w:val="22"/>
            <w:szCs w:val="22"/>
            <w:b w:val="0"/>
            <w:bCs w:val="0"/>
            <w:i w:val="0"/>
            <w:iCs w:val="0"/>
          </w:rPr>
          <w:t>حسين بن عبد الوهاب قرن 5 ه-</w:t>
        </w:r>
        <w:r>
          <w:tab/>
        </w:r>
        <w:r>
          <w:fldChar w:fldCharType="begin"/>
        </w:r>
        <w:r>
          <w:instrText xml:space="preserve">PAGEREF 2677 \h</w:instrText>
        </w:r>
        <w:r>
          <w:fldChar w:fldCharType="end"/>
        </w:r>
      </w:hyperlink>
    </w:p>
    <w:p>
      <w:pPr>
        <w:tabs>
          <w:tab w:val="right" w:leader="dot" w:pos="9062"/>
        </w:tabs>
        <w:ind w:left="220"/>
      </w:pPr>
      <w:hyperlink w:anchor="_Toc2678" w:history="1">
        <w:r>
          <w:rPr>
            <w:rFonts w:ascii="IRNazanin" w:hAnsi="IRNazanin" w:eastAsia="IRNazanin" w:cs="IRNazanin"/>
            <w:color w:val="111111"/>
            <w:sz w:val="22"/>
            <w:szCs w:val="22"/>
            <w:b w:val="0"/>
            <w:bCs w:val="0"/>
            <w:i w:val="0"/>
            <w:iCs w:val="0"/>
          </w:rPr>
          <w:t>حسين بن علي (ع) ، 4 - 61 ه-</w:t>
        </w:r>
        <w:r>
          <w:tab/>
        </w:r>
        <w:r>
          <w:fldChar w:fldCharType="begin"/>
        </w:r>
        <w:r>
          <w:instrText xml:space="preserve">PAGEREF 2678 \h</w:instrText>
        </w:r>
        <w:r>
          <w:fldChar w:fldCharType="end"/>
        </w:r>
      </w:hyperlink>
    </w:p>
    <w:p>
      <w:pPr>
        <w:tabs>
          <w:tab w:val="right" w:leader="dot" w:pos="9062"/>
        </w:tabs>
        <w:ind w:left="220"/>
      </w:pPr>
      <w:hyperlink w:anchor="_Toc2679" w:history="1">
        <w:r>
          <w:rPr>
            <w:rFonts w:ascii="IRNazanin" w:hAnsi="IRNazanin" w:eastAsia="IRNazanin" w:cs="IRNazanin"/>
            <w:color w:val="111111"/>
            <w:sz w:val="22"/>
            <w:szCs w:val="22"/>
            <w:b w:val="0"/>
            <w:bCs w:val="0"/>
            <w:i w:val="0"/>
            <w:iCs w:val="0"/>
          </w:rPr>
          <w:t>حسين بن علي بن عبدالله</w:t>
        </w:r>
        <w:r>
          <w:tab/>
        </w:r>
        <w:r>
          <w:fldChar w:fldCharType="begin"/>
        </w:r>
        <w:r>
          <w:instrText xml:space="preserve">PAGEREF 2679 \h</w:instrText>
        </w:r>
        <w:r>
          <w:fldChar w:fldCharType="end"/>
        </w:r>
      </w:hyperlink>
    </w:p>
    <w:p>
      <w:pPr>
        <w:tabs>
          <w:tab w:val="right" w:leader="dot" w:pos="9062"/>
        </w:tabs>
        <w:ind w:left="220"/>
      </w:pPr>
      <w:hyperlink w:anchor="_Toc2680" w:history="1">
        <w:r>
          <w:rPr>
            <w:rFonts w:ascii="IRNazanin" w:hAnsi="IRNazanin" w:eastAsia="IRNazanin" w:cs="IRNazanin"/>
            <w:color w:val="111111"/>
            <w:sz w:val="22"/>
            <w:szCs w:val="22"/>
            <w:b w:val="0"/>
            <w:bCs w:val="0"/>
            <w:i w:val="0"/>
            <w:iCs w:val="0"/>
          </w:rPr>
          <w:t>حسين بن محمّد بن ابراهيم</w:t>
        </w:r>
        <w:r>
          <w:tab/>
        </w:r>
        <w:r>
          <w:fldChar w:fldCharType="begin"/>
        </w:r>
        <w:r>
          <w:instrText xml:space="preserve">PAGEREF 2680 \h</w:instrText>
        </w:r>
        <w:r>
          <w:fldChar w:fldCharType="end"/>
        </w:r>
      </w:hyperlink>
    </w:p>
    <w:p>
      <w:pPr>
        <w:tabs>
          <w:tab w:val="right" w:leader="dot" w:pos="9062"/>
        </w:tabs>
        <w:ind w:left="220"/>
      </w:pPr>
      <w:hyperlink w:anchor="_Toc2681" w:history="1">
        <w:r>
          <w:rPr>
            <w:rFonts w:ascii="IRNazanin" w:hAnsi="IRNazanin" w:eastAsia="IRNazanin" w:cs="IRNazanin"/>
            <w:color w:val="111111"/>
            <w:sz w:val="22"/>
            <w:szCs w:val="22"/>
            <w:b w:val="0"/>
            <w:bCs w:val="0"/>
            <w:i w:val="0"/>
            <w:iCs w:val="0"/>
          </w:rPr>
          <w:t>حسين بن نوح</w:t>
        </w:r>
        <w:r>
          <w:tab/>
        </w:r>
        <w:r>
          <w:fldChar w:fldCharType="begin"/>
        </w:r>
        <w:r>
          <w:instrText xml:space="preserve">PAGEREF 2681 \h</w:instrText>
        </w:r>
        <w:r>
          <w:fldChar w:fldCharType="end"/>
        </w:r>
      </w:hyperlink>
    </w:p>
    <w:p>
      <w:pPr>
        <w:tabs>
          <w:tab w:val="right" w:leader="dot" w:pos="9062"/>
        </w:tabs>
        <w:ind w:left="220"/>
      </w:pPr>
      <w:hyperlink w:anchor="_Toc2682" w:history="1">
        <w:r>
          <w:rPr>
            <w:rFonts w:ascii="IRNazanin" w:hAnsi="IRNazanin" w:eastAsia="IRNazanin" w:cs="IRNazanin"/>
            <w:color w:val="111111"/>
            <w:sz w:val="22"/>
            <w:szCs w:val="22"/>
            <w:b w:val="0"/>
            <w:bCs w:val="0"/>
            <w:i w:val="0"/>
            <w:iCs w:val="0"/>
          </w:rPr>
          <w:t>حسيني آل كمونه ، عبدالحسين بن علي</w:t>
        </w:r>
        <w:r>
          <w:tab/>
        </w:r>
        <w:r>
          <w:fldChar w:fldCharType="begin"/>
        </w:r>
        <w:r>
          <w:instrText xml:space="preserve">PAGEREF 2682 \h</w:instrText>
        </w:r>
        <w:r>
          <w:fldChar w:fldCharType="end"/>
        </w:r>
      </w:hyperlink>
    </w:p>
    <w:p>
      <w:pPr>
        <w:tabs>
          <w:tab w:val="right" w:leader="dot" w:pos="9062"/>
        </w:tabs>
        <w:ind w:left="220"/>
      </w:pPr>
      <w:hyperlink w:anchor="_Toc2683" w:history="1">
        <w:r>
          <w:rPr>
            <w:rFonts w:ascii="IRNazanin" w:hAnsi="IRNazanin" w:eastAsia="IRNazanin" w:cs="IRNazanin"/>
            <w:color w:val="111111"/>
            <w:sz w:val="22"/>
            <w:szCs w:val="22"/>
            <w:b w:val="0"/>
            <w:bCs w:val="0"/>
            <w:i w:val="0"/>
            <w:iCs w:val="0"/>
          </w:rPr>
          <w:t>حسيني، ابراهيم، قرن 14 ه-</w:t>
        </w:r>
        <w:r>
          <w:tab/>
        </w:r>
        <w:r>
          <w:fldChar w:fldCharType="begin"/>
        </w:r>
        <w:r>
          <w:instrText xml:space="preserve">PAGEREF 2683 \h</w:instrText>
        </w:r>
        <w:r>
          <w:fldChar w:fldCharType="end"/>
        </w:r>
      </w:hyperlink>
    </w:p>
    <w:p>
      <w:pPr>
        <w:tabs>
          <w:tab w:val="right" w:leader="dot" w:pos="9062"/>
        </w:tabs>
        <w:ind w:left="220"/>
      </w:pPr>
      <w:hyperlink w:anchor="_Toc2684" w:history="1">
        <w:r>
          <w:rPr>
            <w:rFonts w:ascii="IRNazanin" w:hAnsi="IRNazanin" w:eastAsia="IRNazanin" w:cs="IRNazanin"/>
            <w:color w:val="111111"/>
            <w:sz w:val="22"/>
            <w:szCs w:val="22"/>
            <w:b w:val="0"/>
            <w:bCs w:val="0"/>
            <w:i w:val="0"/>
            <w:iCs w:val="0"/>
          </w:rPr>
          <w:t>حسيني ، ابن هداية</w:t>
        </w:r>
        <w:r>
          <w:tab/>
        </w:r>
        <w:r>
          <w:fldChar w:fldCharType="begin"/>
        </w:r>
        <w:r>
          <w:instrText xml:space="preserve">PAGEREF 2684 \h</w:instrText>
        </w:r>
        <w:r>
          <w:fldChar w:fldCharType="end"/>
        </w:r>
      </w:hyperlink>
    </w:p>
    <w:p>
      <w:pPr>
        <w:tabs>
          <w:tab w:val="right" w:leader="dot" w:pos="9062"/>
        </w:tabs>
        <w:ind w:left="220"/>
      </w:pPr>
      <w:hyperlink w:anchor="_Toc2685" w:history="1">
        <w:r>
          <w:rPr>
            <w:rFonts w:ascii="IRNazanin" w:hAnsi="IRNazanin" w:eastAsia="IRNazanin" w:cs="IRNazanin"/>
            <w:color w:val="111111"/>
            <w:sz w:val="22"/>
            <w:szCs w:val="22"/>
            <w:b w:val="0"/>
            <w:bCs w:val="0"/>
            <w:i w:val="0"/>
            <w:iCs w:val="0"/>
          </w:rPr>
          <w:t>حسيني ابوالبقاء بن عبد الباقي، قرن 11ه-</w:t>
        </w:r>
        <w:r>
          <w:tab/>
        </w:r>
        <w:r>
          <w:fldChar w:fldCharType="begin"/>
        </w:r>
        <w:r>
          <w:instrText xml:space="preserve">PAGEREF 2685 \h</w:instrText>
        </w:r>
        <w:r>
          <w:fldChar w:fldCharType="end"/>
        </w:r>
      </w:hyperlink>
    </w:p>
    <w:p>
      <w:pPr>
        <w:tabs>
          <w:tab w:val="right" w:leader="dot" w:pos="9062"/>
        </w:tabs>
        <w:ind w:left="220"/>
      </w:pPr>
      <w:hyperlink w:anchor="_Toc2686" w:history="1">
        <w:r>
          <w:rPr>
            <w:rFonts w:ascii="IRNazanin" w:hAnsi="IRNazanin" w:eastAsia="IRNazanin" w:cs="IRNazanin"/>
            <w:color w:val="111111"/>
            <w:sz w:val="22"/>
            <w:szCs w:val="22"/>
            <w:b w:val="0"/>
            <w:bCs w:val="0"/>
            <w:i w:val="0"/>
            <w:iCs w:val="0"/>
          </w:rPr>
          <w:t>حسيني ، ابوالفتح، قرن 10 ه-</w:t>
        </w:r>
        <w:r>
          <w:tab/>
        </w:r>
        <w:r>
          <w:fldChar w:fldCharType="begin"/>
        </w:r>
        <w:r>
          <w:instrText xml:space="preserve">PAGEREF 2686 \h</w:instrText>
        </w:r>
        <w:r>
          <w:fldChar w:fldCharType="end"/>
        </w:r>
      </w:hyperlink>
    </w:p>
    <w:p>
      <w:pPr>
        <w:tabs>
          <w:tab w:val="right" w:leader="dot" w:pos="9062"/>
        </w:tabs>
        <w:ind w:left="220"/>
      </w:pPr>
      <w:hyperlink w:anchor="_Toc2687" w:history="1">
        <w:r>
          <w:rPr>
            <w:rFonts w:ascii="IRNazanin" w:hAnsi="IRNazanin" w:eastAsia="IRNazanin" w:cs="IRNazanin"/>
            <w:color w:val="111111"/>
            <w:sz w:val="22"/>
            <w:szCs w:val="22"/>
            <w:b w:val="0"/>
            <w:bCs w:val="0"/>
            <w:i w:val="0"/>
            <w:iCs w:val="0"/>
          </w:rPr>
          <w:t>حسيني ، ابوالفتح بن فتح الله</w:t>
        </w:r>
        <w:r>
          <w:tab/>
        </w:r>
        <w:r>
          <w:fldChar w:fldCharType="begin"/>
        </w:r>
        <w:r>
          <w:instrText xml:space="preserve">PAGEREF 2687 \h</w:instrText>
        </w:r>
        <w:r>
          <w:fldChar w:fldCharType="end"/>
        </w:r>
      </w:hyperlink>
    </w:p>
    <w:p>
      <w:pPr>
        <w:tabs>
          <w:tab w:val="right" w:leader="dot" w:pos="9062"/>
        </w:tabs>
        <w:ind w:left="220"/>
      </w:pPr>
      <w:hyperlink w:anchor="_Toc2688" w:history="1">
        <w:r>
          <w:rPr>
            <w:rFonts w:ascii="IRNazanin" w:hAnsi="IRNazanin" w:eastAsia="IRNazanin" w:cs="IRNazanin"/>
            <w:color w:val="111111"/>
            <w:sz w:val="22"/>
            <w:szCs w:val="22"/>
            <w:b w:val="0"/>
            <w:bCs w:val="0"/>
            <w:i w:val="0"/>
            <w:iCs w:val="0"/>
          </w:rPr>
          <w:t>حسيني ، ابوالفتح نصر الله</w:t>
        </w:r>
        <w:r>
          <w:tab/>
        </w:r>
        <w:r>
          <w:fldChar w:fldCharType="begin"/>
        </w:r>
        <w:r>
          <w:instrText xml:space="preserve">PAGEREF 2688 \h</w:instrText>
        </w:r>
        <w:r>
          <w:fldChar w:fldCharType="end"/>
        </w:r>
      </w:hyperlink>
    </w:p>
    <w:p>
      <w:pPr>
        <w:tabs>
          <w:tab w:val="right" w:leader="dot" w:pos="9062"/>
        </w:tabs>
        <w:ind w:left="220"/>
      </w:pPr>
      <w:hyperlink w:anchor="_Toc2689" w:history="1">
        <w:r>
          <w:rPr>
            <w:rFonts w:ascii="IRNazanin" w:hAnsi="IRNazanin" w:eastAsia="IRNazanin" w:cs="IRNazanin"/>
            <w:color w:val="111111"/>
            <w:sz w:val="22"/>
            <w:szCs w:val="22"/>
            <w:b w:val="0"/>
            <w:bCs w:val="0"/>
            <w:i w:val="0"/>
            <w:iCs w:val="0"/>
          </w:rPr>
          <w:t>حسيني ، ابوالقاسم بن محمّد رضا قرن 14 ه-</w:t>
        </w:r>
        <w:r>
          <w:tab/>
        </w:r>
        <w:r>
          <w:fldChar w:fldCharType="begin"/>
        </w:r>
        <w:r>
          <w:instrText xml:space="preserve">PAGEREF 2689 \h</w:instrText>
        </w:r>
        <w:r>
          <w:fldChar w:fldCharType="end"/>
        </w:r>
      </w:hyperlink>
    </w:p>
    <w:p>
      <w:pPr>
        <w:tabs>
          <w:tab w:val="right" w:leader="dot" w:pos="9062"/>
        </w:tabs>
        <w:ind w:left="220"/>
      </w:pPr>
      <w:hyperlink w:anchor="_Toc2690" w:history="1">
        <w:r>
          <w:rPr>
            <w:rFonts w:ascii="IRNazanin" w:hAnsi="IRNazanin" w:eastAsia="IRNazanin" w:cs="IRNazanin"/>
            <w:color w:val="111111"/>
            <w:sz w:val="22"/>
            <w:szCs w:val="22"/>
            <w:b w:val="0"/>
            <w:bCs w:val="0"/>
            <w:i w:val="0"/>
            <w:iCs w:val="0"/>
          </w:rPr>
          <w:t>حسيني ابوعلي بن محمّد باقر، قرن 12ه-</w:t>
        </w:r>
        <w:r>
          <w:tab/>
        </w:r>
        <w:r>
          <w:fldChar w:fldCharType="begin"/>
        </w:r>
        <w:r>
          <w:instrText xml:space="preserve">PAGEREF 2690 \h</w:instrText>
        </w:r>
        <w:r>
          <w:fldChar w:fldCharType="end"/>
        </w:r>
      </w:hyperlink>
    </w:p>
    <w:p>
      <w:pPr>
        <w:tabs>
          <w:tab w:val="right" w:leader="dot" w:pos="9062"/>
        </w:tabs>
        <w:ind w:left="220"/>
      </w:pPr>
      <w:hyperlink w:anchor="_Toc2691" w:history="1">
        <w:r>
          <w:rPr>
            <w:rFonts w:ascii="IRNazanin" w:hAnsi="IRNazanin" w:eastAsia="IRNazanin" w:cs="IRNazanin"/>
            <w:color w:val="111111"/>
            <w:sz w:val="22"/>
            <w:szCs w:val="22"/>
            <w:b w:val="0"/>
            <w:bCs w:val="0"/>
            <w:i w:val="0"/>
            <w:iCs w:val="0"/>
          </w:rPr>
          <w:t>حسيني ، احمد بن محمّد</w:t>
        </w:r>
        <w:r>
          <w:tab/>
        </w:r>
        <w:r>
          <w:fldChar w:fldCharType="begin"/>
        </w:r>
        <w:r>
          <w:instrText xml:space="preserve">PAGEREF 2691 \h</w:instrText>
        </w:r>
        <w:r>
          <w:fldChar w:fldCharType="end"/>
        </w:r>
      </w:hyperlink>
    </w:p>
    <w:p>
      <w:pPr>
        <w:tabs>
          <w:tab w:val="right" w:leader="dot" w:pos="9062"/>
        </w:tabs>
        <w:ind w:left="220"/>
      </w:pPr>
      <w:hyperlink w:anchor="_Toc2692" w:history="1">
        <w:r>
          <w:rPr>
            <w:rFonts w:ascii="IRNazanin" w:hAnsi="IRNazanin" w:eastAsia="IRNazanin" w:cs="IRNazanin"/>
            <w:color w:val="111111"/>
            <w:sz w:val="22"/>
            <w:szCs w:val="22"/>
            <w:b w:val="0"/>
            <w:bCs w:val="0"/>
            <w:i w:val="0"/>
            <w:iCs w:val="0"/>
          </w:rPr>
          <w:t>حسيني ، احمد بن محمّد قرن 13 ه-</w:t>
        </w:r>
        <w:r>
          <w:tab/>
        </w:r>
        <w:r>
          <w:fldChar w:fldCharType="begin"/>
        </w:r>
        <w:r>
          <w:instrText xml:space="preserve">PAGEREF 2692 \h</w:instrText>
        </w:r>
        <w:r>
          <w:fldChar w:fldCharType="end"/>
        </w:r>
      </w:hyperlink>
    </w:p>
    <w:p>
      <w:pPr>
        <w:tabs>
          <w:tab w:val="right" w:leader="dot" w:pos="9062"/>
        </w:tabs>
        <w:ind w:left="220"/>
      </w:pPr>
      <w:hyperlink w:anchor="_Toc2693" w:history="1">
        <w:r>
          <w:rPr>
            <w:rFonts w:ascii="IRNazanin" w:hAnsi="IRNazanin" w:eastAsia="IRNazanin" w:cs="IRNazanin"/>
            <w:color w:val="111111"/>
            <w:sz w:val="22"/>
            <w:szCs w:val="22"/>
            <w:b w:val="0"/>
            <w:bCs w:val="0"/>
            <w:i w:val="0"/>
            <w:iCs w:val="0"/>
          </w:rPr>
          <w:t>حسيني، احمد بن محمّد هادي قرن 12 ه-</w:t>
        </w:r>
        <w:r>
          <w:tab/>
        </w:r>
        <w:r>
          <w:fldChar w:fldCharType="begin"/>
        </w:r>
        <w:r>
          <w:instrText xml:space="preserve">PAGEREF 2693 \h</w:instrText>
        </w:r>
        <w:r>
          <w:fldChar w:fldCharType="end"/>
        </w:r>
      </w:hyperlink>
    </w:p>
    <w:p>
      <w:pPr>
        <w:tabs>
          <w:tab w:val="right" w:leader="dot" w:pos="9062"/>
        </w:tabs>
        <w:ind w:left="220"/>
      </w:pPr>
      <w:hyperlink w:anchor="_Toc2694" w:history="1">
        <w:r>
          <w:rPr>
            <w:rFonts w:ascii="IRNazanin" w:hAnsi="IRNazanin" w:eastAsia="IRNazanin" w:cs="IRNazanin"/>
            <w:color w:val="111111"/>
            <w:sz w:val="22"/>
            <w:szCs w:val="22"/>
            <w:b w:val="0"/>
            <w:bCs w:val="0"/>
            <w:i w:val="0"/>
            <w:iCs w:val="0"/>
          </w:rPr>
          <w:t>حسيني ادهمي ، محمّد امین بن محمّد</w:t>
        </w:r>
        <w:r>
          <w:tab/>
        </w:r>
        <w:r>
          <w:fldChar w:fldCharType="begin"/>
        </w:r>
        <w:r>
          <w:instrText xml:space="preserve">PAGEREF 2694 \h</w:instrText>
        </w:r>
        <w:r>
          <w:fldChar w:fldCharType="end"/>
        </w:r>
      </w:hyperlink>
    </w:p>
    <w:p>
      <w:pPr>
        <w:tabs>
          <w:tab w:val="right" w:leader="dot" w:pos="9062"/>
        </w:tabs>
        <w:ind w:left="220"/>
      </w:pPr>
      <w:hyperlink w:anchor="_Toc2695" w:history="1">
        <w:r>
          <w:rPr>
            <w:rFonts w:ascii="IRNazanin" w:hAnsi="IRNazanin" w:eastAsia="IRNazanin" w:cs="IRNazanin"/>
            <w:color w:val="111111"/>
            <w:sz w:val="22"/>
            <w:szCs w:val="22"/>
            <w:b w:val="0"/>
            <w:bCs w:val="0"/>
            <w:i w:val="0"/>
            <w:iCs w:val="0"/>
          </w:rPr>
          <w:t>حسيني اردستاني ، معزالدین بن</w:t>
        </w:r>
        <w:r>
          <w:tab/>
        </w:r>
        <w:r>
          <w:fldChar w:fldCharType="begin"/>
        </w:r>
        <w:r>
          <w:instrText xml:space="preserve">PAGEREF 2695 \h</w:instrText>
        </w:r>
        <w:r>
          <w:fldChar w:fldCharType="end"/>
        </w:r>
      </w:hyperlink>
    </w:p>
    <w:p>
      <w:pPr>
        <w:tabs>
          <w:tab w:val="right" w:leader="dot" w:pos="9062"/>
        </w:tabs>
        <w:ind w:left="220"/>
      </w:pPr>
      <w:hyperlink w:anchor="_Toc2696" w:history="1">
        <w:r>
          <w:rPr>
            <w:rFonts w:ascii="IRNazanin" w:hAnsi="IRNazanin" w:eastAsia="IRNazanin" w:cs="IRNazanin"/>
            <w:color w:val="111111"/>
            <w:sz w:val="22"/>
            <w:szCs w:val="22"/>
            <w:b w:val="0"/>
            <w:bCs w:val="0"/>
            <w:i w:val="0"/>
            <w:iCs w:val="0"/>
          </w:rPr>
          <w:t>حسيني ارميوني ، يوسف بن عبدالله</w:t>
        </w:r>
        <w:r>
          <w:tab/>
        </w:r>
        <w:r>
          <w:fldChar w:fldCharType="begin"/>
        </w:r>
        <w:r>
          <w:instrText xml:space="preserve">PAGEREF 2696 \h</w:instrText>
        </w:r>
        <w:r>
          <w:fldChar w:fldCharType="end"/>
        </w:r>
      </w:hyperlink>
    </w:p>
    <w:p>
      <w:pPr>
        <w:tabs>
          <w:tab w:val="right" w:leader="dot" w:pos="9062"/>
        </w:tabs>
        <w:ind w:left="220"/>
      </w:pPr>
      <w:hyperlink w:anchor="_Toc2697" w:history="1">
        <w:r>
          <w:rPr>
            <w:rFonts w:ascii="IRNazanin" w:hAnsi="IRNazanin" w:eastAsia="IRNazanin" w:cs="IRNazanin"/>
            <w:color w:val="111111"/>
            <w:sz w:val="22"/>
            <w:szCs w:val="22"/>
            <w:b w:val="0"/>
            <w:bCs w:val="0"/>
            <w:i w:val="0"/>
            <w:iCs w:val="0"/>
          </w:rPr>
          <w:t>حسيني ازغدي ، ابوتراب بن ابوالحسن</w:t>
        </w:r>
        <w:r>
          <w:tab/>
        </w:r>
        <w:r>
          <w:fldChar w:fldCharType="begin"/>
        </w:r>
        <w:r>
          <w:instrText xml:space="preserve">PAGEREF 2697 \h</w:instrText>
        </w:r>
        <w:r>
          <w:fldChar w:fldCharType="end"/>
        </w:r>
      </w:hyperlink>
    </w:p>
    <w:p>
      <w:pPr>
        <w:tabs>
          <w:tab w:val="right" w:leader="dot" w:pos="9062"/>
        </w:tabs>
        <w:ind w:left="220"/>
      </w:pPr>
      <w:hyperlink w:anchor="_Toc2698" w:history="1">
        <w:r>
          <w:rPr>
            <w:rFonts w:ascii="IRNazanin" w:hAnsi="IRNazanin" w:eastAsia="IRNazanin" w:cs="IRNazanin"/>
            <w:color w:val="111111"/>
            <w:sz w:val="22"/>
            <w:szCs w:val="22"/>
            <w:b w:val="0"/>
            <w:bCs w:val="0"/>
            <w:i w:val="0"/>
            <w:iCs w:val="0"/>
          </w:rPr>
          <w:t>حسيني استرآبادي ، حسين بن علي، قرن</w:t>
        </w:r>
        <w:r>
          <w:tab/>
        </w:r>
        <w:r>
          <w:fldChar w:fldCharType="begin"/>
        </w:r>
        <w:r>
          <w:instrText xml:space="preserve">PAGEREF 2698 \h</w:instrText>
        </w:r>
        <w:r>
          <w:fldChar w:fldCharType="end"/>
        </w:r>
      </w:hyperlink>
    </w:p>
    <w:p>
      <w:pPr>
        <w:tabs>
          <w:tab w:val="right" w:leader="dot" w:pos="9062"/>
        </w:tabs>
        <w:ind w:left="220"/>
      </w:pPr>
      <w:hyperlink w:anchor="_Toc2699" w:history="1">
        <w:r>
          <w:rPr>
            <w:rFonts w:ascii="IRNazanin" w:hAnsi="IRNazanin" w:eastAsia="IRNazanin" w:cs="IRNazanin"/>
            <w:color w:val="111111"/>
            <w:sz w:val="22"/>
            <w:szCs w:val="22"/>
            <w:b w:val="0"/>
            <w:bCs w:val="0"/>
            <w:i w:val="0"/>
            <w:iCs w:val="0"/>
          </w:rPr>
          <w:t>حسيني استرآبادي ، عبدالوهاب بن علي</w:t>
        </w:r>
        <w:r>
          <w:tab/>
        </w:r>
        <w:r>
          <w:fldChar w:fldCharType="begin"/>
        </w:r>
        <w:r>
          <w:instrText xml:space="preserve">PAGEREF 2699 \h</w:instrText>
        </w:r>
        <w:r>
          <w:fldChar w:fldCharType="end"/>
        </w:r>
      </w:hyperlink>
    </w:p>
    <w:p>
      <w:pPr>
        <w:tabs>
          <w:tab w:val="right" w:leader="dot" w:pos="9062"/>
        </w:tabs>
        <w:ind w:left="220"/>
      </w:pPr>
      <w:hyperlink w:anchor="_Toc2700" w:history="1">
        <w:r>
          <w:rPr>
            <w:rFonts w:ascii="IRNazanin" w:hAnsi="IRNazanin" w:eastAsia="IRNazanin" w:cs="IRNazanin"/>
            <w:color w:val="111111"/>
            <w:sz w:val="22"/>
            <w:szCs w:val="22"/>
            <w:b w:val="0"/>
            <w:bCs w:val="0"/>
            <w:i w:val="0"/>
            <w:iCs w:val="0"/>
          </w:rPr>
          <w:t>حسيني استرآبادي ، محمّد تقي بن حسن</w:t>
        </w:r>
        <w:r>
          <w:tab/>
        </w:r>
        <w:r>
          <w:fldChar w:fldCharType="begin"/>
        </w:r>
        <w:r>
          <w:instrText xml:space="preserve">PAGEREF 2700 \h</w:instrText>
        </w:r>
        <w:r>
          <w:fldChar w:fldCharType="end"/>
        </w:r>
      </w:hyperlink>
    </w:p>
    <w:p>
      <w:pPr>
        <w:tabs>
          <w:tab w:val="right" w:leader="dot" w:pos="9062"/>
        </w:tabs>
        <w:ind w:left="220"/>
      </w:pPr>
      <w:hyperlink w:anchor="_Toc2701" w:history="1">
        <w:r>
          <w:rPr>
            <w:rFonts w:ascii="IRNazanin" w:hAnsi="IRNazanin" w:eastAsia="IRNazanin" w:cs="IRNazanin"/>
            <w:color w:val="111111"/>
            <w:sz w:val="22"/>
            <w:szCs w:val="22"/>
            <w:b w:val="0"/>
            <w:bCs w:val="0"/>
            <w:i w:val="0"/>
            <w:iCs w:val="0"/>
          </w:rPr>
          <w:t>حسيني استرآبادي، محمّد مؤمن بن</w:t>
        </w:r>
        <w:r>
          <w:tab/>
        </w:r>
        <w:r>
          <w:fldChar w:fldCharType="begin"/>
        </w:r>
        <w:r>
          <w:instrText xml:space="preserve">PAGEREF 2701 \h</w:instrText>
        </w:r>
        <w:r>
          <w:fldChar w:fldCharType="end"/>
        </w:r>
      </w:hyperlink>
    </w:p>
    <w:p>
      <w:pPr>
        <w:tabs>
          <w:tab w:val="right" w:leader="dot" w:pos="9062"/>
        </w:tabs>
        <w:ind w:left="220"/>
      </w:pPr>
      <w:hyperlink w:anchor="_Toc2702" w:history="1">
        <w:r>
          <w:rPr>
            <w:rFonts w:ascii="IRNazanin" w:hAnsi="IRNazanin" w:eastAsia="IRNazanin" w:cs="IRNazanin"/>
            <w:color w:val="111111"/>
            <w:sz w:val="22"/>
            <w:szCs w:val="22"/>
            <w:b w:val="0"/>
            <w:bCs w:val="0"/>
            <w:i w:val="0"/>
            <w:iCs w:val="0"/>
          </w:rPr>
          <w:t>حسيني استرآبادي ، نصر الله بن حسن</w:t>
        </w:r>
        <w:r>
          <w:tab/>
        </w:r>
        <w:r>
          <w:fldChar w:fldCharType="begin"/>
        </w:r>
        <w:r>
          <w:instrText xml:space="preserve">PAGEREF 2702 \h</w:instrText>
        </w:r>
        <w:r>
          <w:fldChar w:fldCharType="end"/>
        </w:r>
      </w:hyperlink>
    </w:p>
    <w:p>
      <w:pPr>
        <w:tabs>
          <w:tab w:val="right" w:leader="dot" w:pos="9062"/>
        </w:tabs>
        <w:ind w:left="220"/>
      </w:pPr>
      <w:hyperlink w:anchor="_Toc2703" w:history="1">
        <w:r>
          <w:rPr>
            <w:rFonts w:ascii="IRNazanin" w:hAnsi="IRNazanin" w:eastAsia="IRNazanin" w:cs="IRNazanin"/>
            <w:color w:val="111111"/>
            <w:sz w:val="22"/>
            <w:szCs w:val="22"/>
            <w:b w:val="0"/>
            <w:bCs w:val="0"/>
            <w:i w:val="0"/>
            <w:iCs w:val="0"/>
          </w:rPr>
          <w:t>حسيني اشكوري ، حسين بن محمّد قاسم</w:t>
        </w:r>
        <w:r>
          <w:tab/>
        </w:r>
        <w:r>
          <w:fldChar w:fldCharType="begin"/>
        </w:r>
        <w:r>
          <w:instrText xml:space="preserve">PAGEREF 2703 \h</w:instrText>
        </w:r>
        <w:r>
          <w:fldChar w:fldCharType="end"/>
        </w:r>
      </w:hyperlink>
    </w:p>
    <w:p>
      <w:pPr>
        <w:tabs>
          <w:tab w:val="right" w:leader="dot" w:pos="9062"/>
        </w:tabs>
        <w:ind w:left="220"/>
      </w:pPr>
      <w:hyperlink w:anchor="_Toc2704" w:history="1">
        <w:r>
          <w:rPr>
            <w:rFonts w:ascii="IRNazanin" w:hAnsi="IRNazanin" w:eastAsia="IRNazanin" w:cs="IRNazanin"/>
            <w:color w:val="111111"/>
            <w:sz w:val="22"/>
            <w:szCs w:val="22"/>
            <w:b w:val="0"/>
            <w:bCs w:val="0"/>
            <w:i w:val="0"/>
            <w:iCs w:val="0"/>
          </w:rPr>
          <w:t>حسيني اصبهاني ، محمّد حسین بن محمّد</w:t>
        </w:r>
        <w:r>
          <w:tab/>
        </w:r>
        <w:r>
          <w:fldChar w:fldCharType="begin"/>
        </w:r>
        <w:r>
          <w:instrText xml:space="preserve">PAGEREF 2704 \h</w:instrText>
        </w:r>
        <w:r>
          <w:fldChar w:fldCharType="end"/>
        </w:r>
      </w:hyperlink>
    </w:p>
    <w:p>
      <w:pPr>
        <w:tabs>
          <w:tab w:val="right" w:leader="dot" w:pos="9062"/>
        </w:tabs>
        <w:ind w:left="220"/>
      </w:pPr>
      <w:hyperlink w:anchor="_Toc2705" w:history="1">
        <w:r>
          <w:rPr>
            <w:rFonts w:ascii="IRNazanin" w:hAnsi="IRNazanin" w:eastAsia="IRNazanin" w:cs="IRNazanin"/>
            <w:color w:val="111111"/>
            <w:sz w:val="22"/>
            <w:szCs w:val="22"/>
            <w:b w:val="0"/>
            <w:bCs w:val="0"/>
            <w:i w:val="0"/>
            <w:iCs w:val="0"/>
          </w:rPr>
          <w:t>حسيني اصفهاني ، حسين بن عبدالله</w:t>
        </w:r>
        <w:r>
          <w:tab/>
        </w:r>
        <w:r>
          <w:fldChar w:fldCharType="begin"/>
        </w:r>
        <w:r>
          <w:instrText xml:space="preserve">PAGEREF 2705 \h</w:instrText>
        </w:r>
        <w:r>
          <w:fldChar w:fldCharType="end"/>
        </w:r>
      </w:hyperlink>
    </w:p>
    <w:p>
      <w:pPr>
        <w:tabs>
          <w:tab w:val="right" w:leader="dot" w:pos="9062"/>
        </w:tabs>
        <w:ind w:left="220"/>
      </w:pPr>
      <w:hyperlink w:anchor="_Toc2706" w:history="1">
        <w:r>
          <w:rPr>
            <w:rFonts w:ascii="IRNazanin" w:hAnsi="IRNazanin" w:eastAsia="IRNazanin" w:cs="IRNazanin"/>
            <w:color w:val="111111"/>
            <w:sz w:val="22"/>
            <w:szCs w:val="22"/>
            <w:b w:val="0"/>
            <w:bCs w:val="0"/>
            <w:i w:val="0"/>
            <w:iCs w:val="0"/>
          </w:rPr>
          <w:t>حسيني اصفهاني ، عبد العظيم بن عليرضا</w:t>
        </w:r>
        <w:r>
          <w:tab/>
        </w:r>
        <w:r>
          <w:fldChar w:fldCharType="begin"/>
        </w:r>
        <w:r>
          <w:instrText xml:space="preserve">PAGEREF 2706 \h</w:instrText>
        </w:r>
        <w:r>
          <w:fldChar w:fldCharType="end"/>
        </w:r>
      </w:hyperlink>
    </w:p>
    <w:p>
      <w:pPr>
        <w:tabs>
          <w:tab w:val="right" w:leader="dot" w:pos="9062"/>
        </w:tabs>
        <w:ind w:left="220"/>
      </w:pPr>
      <w:hyperlink w:anchor="_Toc2707" w:history="1">
        <w:r>
          <w:rPr>
            <w:rFonts w:ascii="IRNazanin" w:hAnsi="IRNazanin" w:eastAsia="IRNazanin" w:cs="IRNazanin"/>
            <w:color w:val="111111"/>
            <w:sz w:val="22"/>
            <w:szCs w:val="22"/>
            <w:b w:val="0"/>
            <w:bCs w:val="0"/>
            <w:i w:val="0"/>
            <w:iCs w:val="0"/>
          </w:rPr>
          <w:t>حسيني اصفهاني ، محمّد جعفر بن محمّد</w:t>
        </w:r>
        <w:r>
          <w:tab/>
        </w:r>
        <w:r>
          <w:fldChar w:fldCharType="begin"/>
        </w:r>
        <w:r>
          <w:instrText xml:space="preserve">PAGEREF 2707 \h</w:instrText>
        </w:r>
        <w:r>
          <w:fldChar w:fldCharType="end"/>
        </w:r>
      </w:hyperlink>
    </w:p>
    <w:p>
      <w:pPr>
        <w:tabs>
          <w:tab w:val="right" w:leader="dot" w:pos="9062"/>
        </w:tabs>
        <w:ind w:left="220"/>
      </w:pPr>
      <w:hyperlink w:anchor="_Toc2708" w:history="1">
        <w:r>
          <w:rPr>
            <w:rFonts w:ascii="IRNazanin" w:hAnsi="IRNazanin" w:eastAsia="IRNazanin" w:cs="IRNazanin"/>
            <w:color w:val="111111"/>
            <w:sz w:val="22"/>
            <w:szCs w:val="22"/>
            <w:b w:val="0"/>
            <w:bCs w:val="0"/>
            <w:i w:val="0"/>
            <w:iCs w:val="0"/>
          </w:rPr>
          <w:t>حسيني اصفهاني محمّد شفیع قرن 11 ه-</w:t>
        </w:r>
        <w:r>
          <w:tab/>
        </w:r>
        <w:r>
          <w:fldChar w:fldCharType="begin"/>
        </w:r>
        <w:r>
          <w:instrText xml:space="preserve">PAGEREF 2708 \h</w:instrText>
        </w:r>
        <w:r>
          <w:fldChar w:fldCharType="end"/>
        </w:r>
      </w:hyperlink>
    </w:p>
    <w:p>
      <w:pPr>
        <w:tabs>
          <w:tab w:val="right" w:leader="dot" w:pos="9062"/>
        </w:tabs>
        <w:ind w:left="220"/>
      </w:pPr>
      <w:hyperlink w:anchor="_Toc2709" w:history="1">
        <w:r>
          <w:rPr>
            <w:rFonts w:ascii="IRNazanin" w:hAnsi="IRNazanin" w:eastAsia="IRNazanin" w:cs="IRNazanin"/>
            <w:color w:val="111111"/>
            <w:sz w:val="22"/>
            <w:szCs w:val="22"/>
            <w:b w:val="0"/>
            <w:bCs w:val="0"/>
            <w:i w:val="0"/>
            <w:iCs w:val="0"/>
          </w:rPr>
          <w:t>حسيني اصفهاني ، محمّد مهدي بن</w:t>
        </w:r>
        <w:r>
          <w:tab/>
        </w:r>
        <w:r>
          <w:fldChar w:fldCharType="begin"/>
        </w:r>
        <w:r>
          <w:instrText xml:space="preserve">PAGEREF 2709 \h</w:instrText>
        </w:r>
        <w:r>
          <w:fldChar w:fldCharType="end"/>
        </w:r>
      </w:hyperlink>
    </w:p>
    <w:p>
      <w:pPr>
        <w:tabs>
          <w:tab w:val="right" w:leader="dot" w:pos="9062"/>
        </w:tabs>
        <w:ind w:left="220"/>
      </w:pPr>
      <w:hyperlink w:anchor="_Toc2710" w:history="1">
        <w:r>
          <w:rPr>
            <w:rFonts w:ascii="IRNazanin" w:hAnsi="IRNazanin" w:eastAsia="IRNazanin" w:cs="IRNazanin"/>
            <w:color w:val="111111"/>
            <w:sz w:val="22"/>
            <w:szCs w:val="22"/>
            <w:b w:val="0"/>
            <w:bCs w:val="0"/>
            <w:i w:val="0"/>
            <w:iCs w:val="0"/>
          </w:rPr>
          <w:t>حسيني اعرجي ، جعفر بن محمّد</w:t>
        </w:r>
        <w:r>
          <w:tab/>
        </w:r>
        <w:r>
          <w:fldChar w:fldCharType="begin"/>
        </w:r>
        <w:r>
          <w:instrText xml:space="preserve">PAGEREF 2710 \h</w:instrText>
        </w:r>
        <w:r>
          <w:fldChar w:fldCharType="end"/>
        </w:r>
      </w:hyperlink>
    </w:p>
    <w:p>
      <w:pPr>
        <w:tabs>
          <w:tab w:val="right" w:leader="dot" w:pos="9062"/>
        </w:tabs>
        <w:ind w:left="220"/>
      </w:pPr>
      <w:hyperlink w:anchor="_Toc2711" w:history="1">
        <w:r>
          <w:rPr>
            <w:rFonts w:ascii="IRNazanin" w:hAnsi="IRNazanin" w:eastAsia="IRNazanin" w:cs="IRNazanin"/>
            <w:color w:val="111111"/>
            <w:sz w:val="22"/>
            <w:szCs w:val="22"/>
            <w:b w:val="0"/>
            <w:bCs w:val="0"/>
            <w:i w:val="0"/>
            <w:iCs w:val="0"/>
          </w:rPr>
          <w:t>حسيني اعرجي، علي بن محمّد بن حسن</w:t>
        </w:r>
        <w:r>
          <w:tab/>
        </w:r>
        <w:r>
          <w:fldChar w:fldCharType="begin"/>
        </w:r>
        <w:r>
          <w:instrText xml:space="preserve">PAGEREF 2711 \h</w:instrText>
        </w:r>
        <w:r>
          <w:fldChar w:fldCharType="end"/>
        </w:r>
      </w:hyperlink>
    </w:p>
    <w:p>
      <w:pPr>
        <w:tabs>
          <w:tab w:val="right" w:leader="dot" w:pos="9062"/>
        </w:tabs>
        <w:ind w:left="220"/>
      </w:pPr>
      <w:hyperlink w:anchor="_Toc2712" w:history="1">
        <w:r>
          <w:rPr>
            <w:rFonts w:ascii="IRNazanin" w:hAnsi="IRNazanin" w:eastAsia="IRNazanin" w:cs="IRNazanin"/>
            <w:color w:val="111111"/>
            <w:sz w:val="22"/>
            <w:szCs w:val="22"/>
            <w:b w:val="0"/>
            <w:bCs w:val="0"/>
            <w:i w:val="0"/>
            <w:iCs w:val="0"/>
          </w:rPr>
          <w:t>حسيني اعرجي ، محمّد رضا بن جعفر</w:t>
        </w:r>
        <w:r>
          <w:tab/>
        </w:r>
        <w:r>
          <w:fldChar w:fldCharType="begin"/>
        </w:r>
        <w:r>
          <w:instrText xml:space="preserve">PAGEREF 2712 \h</w:instrText>
        </w:r>
        <w:r>
          <w:fldChar w:fldCharType="end"/>
        </w:r>
      </w:hyperlink>
    </w:p>
    <w:p>
      <w:pPr>
        <w:tabs>
          <w:tab w:val="right" w:leader="dot" w:pos="9062"/>
        </w:tabs>
        <w:ind w:left="220"/>
      </w:pPr>
      <w:hyperlink w:anchor="_Toc2713" w:history="1">
        <w:r>
          <w:rPr>
            <w:rFonts w:ascii="IRNazanin" w:hAnsi="IRNazanin" w:eastAsia="IRNazanin" w:cs="IRNazanin"/>
            <w:color w:val="111111"/>
            <w:sz w:val="22"/>
            <w:szCs w:val="22"/>
            <w:b w:val="0"/>
            <w:bCs w:val="0"/>
            <w:i w:val="0"/>
            <w:iCs w:val="0"/>
          </w:rPr>
          <w:t>حسيني اعرجي ، محمّد علي</w:t>
        </w:r>
        <w:r>
          <w:tab/>
        </w:r>
        <w:r>
          <w:fldChar w:fldCharType="begin"/>
        </w:r>
        <w:r>
          <w:instrText xml:space="preserve">PAGEREF 2713 \h</w:instrText>
        </w:r>
        <w:r>
          <w:fldChar w:fldCharType="end"/>
        </w:r>
      </w:hyperlink>
    </w:p>
    <w:p>
      <w:pPr>
        <w:tabs>
          <w:tab w:val="right" w:leader="dot" w:pos="9062"/>
        </w:tabs>
        <w:ind w:left="220"/>
      </w:pPr>
      <w:hyperlink w:anchor="_Toc2714" w:history="1">
        <w:r>
          <w:rPr>
            <w:rFonts w:ascii="IRNazanin" w:hAnsi="IRNazanin" w:eastAsia="IRNazanin" w:cs="IRNazanin"/>
            <w:color w:val="111111"/>
            <w:sz w:val="22"/>
            <w:szCs w:val="22"/>
            <w:b w:val="0"/>
            <w:bCs w:val="0"/>
            <w:i w:val="0"/>
            <w:iCs w:val="0"/>
          </w:rPr>
          <w:t>حسيني ، امان الله خان بن مهابت خان</w:t>
        </w:r>
        <w:r>
          <w:tab/>
        </w:r>
        <w:r>
          <w:fldChar w:fldCharType="begin"/>
        </w:r>
        <w:r>
          <w:instrText xml:space="preserve">PAGEREF 2714 \h</w:instrText>
        </w:r>
        <w:r>
          <w:fldChar w:fldCharType="end"/>
        </w:r>
      </w:hyperlink>
    </w:p>
    <w:p>
      <w:pPr>
        <w:tabs>
          <w:tab w:val="right" w:leader="dot" w:pos="9062"/>
        </w:tabs>
        <w:ind w:left="220"/>
      </w:pPr>
      <w:hyperlink w:anchor="_Toc2715" w:history="1">
        <w:r>
          <w:rPr>
            <w:rFonts w:ascii="IRNazanin" w:hAnsi="IRNazanin" w:eastAsia="IRNazanin" w:cs="IRNazanin"/>
            <w:color w:val="111111"/>
            <w:sz w:val="22"/>
            <w:szCs w:val="22"/>
            <w:b w:val="0"/>
            <w:bCs w:val="0"/>
            <w:i w:val="0"/>
            <w:iCs w:val="0"/>
          </w:rPr>
          <w:t>حسيني بحراني حسن بن علي قرن 10 ه-</w:t>
        </w:r>
        <w:r>
          <w:tab/>
        </w:r>
        <w:r>
          <w:fldChar w:fldCharType="begin"/>
        </w:r>
        <w:r>
          <w:instrText xml:space="preserve">PAGEREF 2715 \h</w:instrText>
        </w:r>
        <w:r>
          <w:fldChar w:fldCharType="end"/>
        </w:r>
      </w:hyperlink>
    </w:p>
    <w:p>
      <w:pPr>
        <w:tabs>
          <w:tab w:val="right" w:leader="dot" w:pos="9062"/>
        </w:tabs>
        <w:ind w:left="220"/>
      </w:pPr>
      <w:hyperlink w:anchor="_Toc2716" w:history="1">
        <w:r>
          <w:rPr>
            <w:rFonts w:ascii="IRNazanin" w:hAnsi="IRNazanin" w:eastAsia="IRNazanin" w:cs="IRNazanin"/>
            <w:color w:val="111111"/>
            <w:sz w:val="22"/>
            <w:szCs w:val="22"/>
            <w:b w:val="0"/>
            <w:bCs w:val="0"/>
            <w:i w:val="0"/>
            <w:iCs w:val="0"/>
          </w:rPr>
          <w:t>حسيني بحراني ، ماجد بن محمّد</w:t>
        </w:r>
        <w:r>
          <w:tab/>
        </w:r>
        <w:r>
          <w:fldChar w:fldCharType="begin"/>
        </w:r>
        <w:r>
          <w:instrText xml:space="preserve">PAGEREF 2716 \h</w:instrText>
        </w:r>
        <w:r>
          <w:fldChar w:fldCharType="end"/>
        </w:r>
      </w:hyperlink>
    </w:p>
    <w:p>
      <w:pPr>
        <w:tabs>
          <w:tab w:val="right" w:leader="dot" w:pos="9062"/>
        </w:tabs>
        <w:ind w:left="220"/>
      </w:pPr>
      <w:hyperlink w:anchor="_Toc2717" w:history="1">
        <w:r>
          <w:rPr>
            <w:rFonts w:ascii="IRNazanin" w:hAnsi="IRNazanin" w:eastAsia="IRNazanin" w:cs="IRNazanin"/>
            <w:color w:val="111111"/>
            <w:sz w:val="22"/>
            <w:szCs w:val="22"/>
            <w:b w:val="0"/>
            <w:bCs w:val="0"/>
            <w:i w:val="0"/>
            <w:iCs w:val="0"/>
          </w:rPr>
          <w:t>حسيني بحراني ، محمّد بن ابراهیم قرن 11 ه-</w:t>
        </w:r>
        <w:r>
          <w:tab/>
        </w:r>
        <w:r>
          <w:fldChar w:fldCharType="begin"/>
        </w:r>
        <w:r>
          <w:instrText xml:space="preserve">PAGEREF 2717 \h</w:instrText>
        </w:r>
        <w:r>
          <w:fldChar w:fldCharType="end"/>
        </w:r>
      </w:hyperlink>
    </w:p>
    <w:p>
      <w:pPr>
        <w:tabs>
          <w:tab w:val="right" w:leader="dot" w:pos="9062"/>
        </w:tabs>
        <w:ind w:left="220"/>
      </w:pPr>
      <w:hyperlink w:anchor="_Toc2718" w:history="1">
        <w:r>
          <w:rPr>
            <w:rFonts w:ascii="IRNazanin" w:hAnsi="IRNazanin" w:eastAsia="IRNazanin" w:cs="IRNazanin"/>
            <w:color w:val="111111"/>
            <w:sz w:val="22"/>
            <w:szCs w:val="22"/>
            <w:b w:val="0"/>
            <w:bCs w:val="0"/>
            <w:i w:val="0"/>
            <w:iCs w:val="0"/>
          </w:rPr>
          <w:t>حسيني بغدادي ، عبدالوهاب بن</w:t>
        </w:r>
        <w:r>
          <w:tab/>
        </w:r>
        <w:r>
          <w:fldChar w:fldCharType="begin"/>
        </w:r>
        <w:r>
          <w:instrText xml:space="preserve">PAGEREF 2718 \h</w:instrText>
        </w:r>
        <w:r>
          <w:fldChar w:fldCharType="end"/>
        </w:r>
      </w:hyperlink>
    </w:p>
    <w:p>
      <w:pPr>
        <w:tabs>
          <w:tab w:val="right" w:leader="dot" w:pos="9062"/>
        </w:tabs>
        <w:ind w:left="220"/>
      </w:pPr>
      <w:hyperlink w:anchor="_Toc2719" w:history="1">
        <w:r>
          <w:rPr>
            <w:rFonts w:ascii="IRNazanin" w:hAnsi="IRNazanin" w:eastAsia="IRNazanin" w:cs="IRNazanin"/>
            <w:color w:val="111111"/>
            <w:sz w:val="22"/>
            <w:szCs w:val="22"/>
            <w:b w:val="0"/>
            <w:bCs w:val="0"/>
            <w:i w:val="0"/>
            <w:iCs w:val="0"/>
          </w:rPr>
          <w:t>حسيني برزنجي ، حسن بن محمّد -</w:t>
        </w:r>
        <w:r>
          <w:tab/>
        </w:r>
        <w:r>
          <w:fldChar w:fldCharType="begin"/>
        </w:r>
        <w:r>
          <w:instrText xml:space="preserve">PAGEREF 2719 \h</w:instrText>
        </w:r>
        <w:r>
          <w:fldChar w:fldCharType="end"/>
        </w:r>
      </w:hyperlink>
    </w:p>
    <w:p>
      <w:pPr>
        <w:tabs>
          <w:tab w:val="right" w:leader="dot" w:pos="9062"/>
        </w:tabs>
        <w:ind w:left="220"/>
      </w:pPr>
      <w:hyperlink w:anchor="_Toc2720" w:history="1">
        <w:r>
          <w:rPr>
            <w:rFonts w:ascii="IRNazanin" w:hAnsi="IRNazanin" w:eastAsia="IRNazanin" w:cs="IRNazanin"/>
            <w:color w:val="111111"/>
            <w:sz w:val="22"/>
            <w:szCs w:val="22"/>
            <w:b w:val="0"/>
            <w:bCs w:val="0"/>
            <w:i w:val="0"/>
            <w:iCs w:val="0"/>
          </w:rPr>
          <w:t>حسيني برزنجي، حسن، قرن 14 ه-</w:t>
        </w:r>
        <w:r>
          <w:tab/>
        </w:r>
        <w:r>
          <w:fldChar w:fldCharType="begin"/>
        </w:r>
        <w:r>
          <w:instrText xml:space="preserve">PAGEREF 2720 \h</w:instrText>
        </w:r>
        <w:r>
          <w:fldChar w:fldCharType="end"/>
        </w:r>
      </w:hyperlink>
    </w:p>
    <w:p>
      <w:pPr>
        <w:tabs>
          <w:tab w:val="right" w:leader="dot" w:pos="9062"/>
        </w:tabs>
        <w:ind w:left="220"/>
      </w:pPr>
      <w:hyperlink w:anchor="_Toc2721" w:history="1">
        <w:r>
          <w:rPr>
            <w:rFonts w:ascii="IRNazanin" w:hAnsi="IRNazanin" w:eastAsia="IRNazanin" w:cs="IRNazanin"/>
            <w:color w:val="111111"/>
            <w:sz w:val="22"/>
            <w:szCs w:val="22"/>
            <w:b w:val="0"/>
            <w:bCs w:val="0"/>
            <w:i w:val="0"/>
            <w:iCs w:val="0"/>
          </w:rPr>
          <w:t>حسيني برزنجي ، حسين، 1225-1292ه-</w:t>
        </w:r>
        <w:r>
          <w:tab/>
        </w:r>
        <w:r>
          <w:fldChar w:fldCharType="begin"/>
        </w:r>
        <w:r>
          <w:instrText xml:space="preserve">PAGEREF 2721 \h</w:instrText>
        </w:r>
        <w:r>
          <w:fldChar w:fldCharType="end"/>
        </w:r>
      </w:hyperlink>
    </w:p>
    <w:p>
      <w:pPr>
        <w:tabs>
          <w:tab w:val="right" w:leader="dot" w:pos="9062"/>
        </w:tabs>
        <w:ind w:left="220"/>
      </w:pPr>
      <w:hyperlink w:anchor="_Toc2722" w:history="1">
        <w:r>
          <w:rPr>
            <w:rFonts w:ascii="IRNazanin" w:hAnsi="IRNazanin" w:eastAsia="IRNazanin" w:cs="IRNazanin"/>
            <w:color w:val="111111"/>
            <w:sz w:val="22"/>
            <w:szCs w:val="22"/>
            <w:b w:val="0"/>
            <w:bCs w:val="0"/>
            <w:i w:val="0"/>
            <w:iCs w:val="0"/>
          </w:rPr>
          <w:t>حسيني برغاني ، عباس بن جبرئيل، قرن 13 ه-</w:t>
        </w:r>
        <w:r>
          <w:tab/>
        </w:r>
        <w:r>
          <w:fldChar w:fldCharType="begin"/>
        </w:r>
        <w:r>
          <w:instrText xml:space="preserve">PAGEREF 2722 \h</w:instrText>
        </w:r>
        <w:r>
          <w:fldChar w:fldCharType="end"/>
        </w:r>
      </w:hyperlink>
    </w:p>
    <w:p>
      <w:pPr>
        <w:tabs>
          <w:tab w:val="right" w:leader="dot" w:pos="9062"/>
        </w:tabs>
        <w:ind w:left="220"/>
      </w:pPr>
      <w:hyperlink w:anchor="_Toc2723" w:history="1">
        <w:r>
          <w:rPr>
            <w:rFonts w:ascii="IRNazanin" w:hAnsi="IRNazanin" w:eastAsia="IRNazanin" w:cs="IRNazanin"/>
            <w:color w:val="111111"/>
            <w:sz w:val="22"/>
            <w:szCs w:val="22"/>
            <w:b w:val="0"/>
            <w:bCs w:val="0"/>
            <w:i w:val="0"/>
            <w:iCs w:val="0"/>
          </w:rPr>
          <w:t>حسيني بنائي، اسماعيل بن نجف قرن</w:t>
        </w:r>
        <w:r>
          <w:tab/>
        </w:r>
        <w:r>
          <w:fldChar w:fldCharType="begin"/>
        </w:r>
        <w:r>
          <w:instrText xml:space="preserve">PAGEREF 2723 \h</w:instrText>
        </w:r>
        <w:r>
          <w:fldChar w:fldCharType="end"/>
        </w:r>
      </w:hyperlink>
    </w:p>
    <w:p>
      <w:pPr>
        <w:tabs>
          <w:tab w:val="right" w:leader="dot" w:pos="9062"/>
        </w:tabs>
        <w:ind w:left="220"/>
      </w:pPr>
      <w:hyperlink w:anchor="_Toc2724" w:history="1">
        <w:r>
          <w:rPr>
            <w:rFonts w:ascii="IRNazanin" w:hAnsi="IRNazanin" w:eastAsia="IRNazanin" w:cs="IRNazanin"/>
            <w:color w:val="111111"/>
            <w:sz w:val="22"/>
            <w:szCs w:val="22"/>
            <w:b w:val="0"/>
            <w:bCs w:val="0"/>
            <w:i w:val="0"/>
            <w:iCs w:val="0"/>
          </w:rPr>
          <w:t>حسيني بيروي، حيدر بن علاء الدین قرن</w:t>
        </w:r>
        <w:r>
          <w:tab/>
        </w:r>
        <w:r>
          <w:fldChar w:fldCharType="begin"/>
        </w:r>
        <w:r>
          <w:instrText xml:space="preserve">PAGEREF 2724 \h</w:instrText>
        </w:r>
        <w:r>
          <w:fldChar w:fldCharType="end"/>
        </w:r>
      </w:hyperlink>
    </w:p>
    <w:p>
      <w:pPr>
        <w:tabs>
          <w:tab w:val="right" w:leader="dot" w:pos="9062"/>
        </w:tabs>
        <w:ind w:left="220"/>
      </w:pPr>
      <w:hyperlink w:anchor="_Toc2725" w:history="1">
        <w:r>
          <w:rPr>
            <w:rFonts w:ascii="IRNazanin" w:hAnsi="IRNazanin" w:eastAsia="IRNazanin" w:cs="IRNazanin"/>
            <w:color w:val="111111"/>
            <w:sz w:val="22"/>
            <w:szCs w:val="22"/>
            <w:b w:val="0"/>
            <w:bCs w:val="0"/>
            <w:i w:val="0"/>
            <w:iCs w:val="0"/>
          </w:rPr>
          <w:t>حسيني تبريزي ، حسين بن محمّد</w:t>
        </w:r>
        <w:r>
          <w:tab/>
        </w:r>
        <w:r>
          <w:fldChar w:fldCharType="begin"/>
        </w:r>
        <w:r>
          <w:instrText xml:space="preserve">PAGEREF 2725 \h</w:instrText>
        </w:r>
        <w:r>
          <w:fldChar w:fldCharType="end"/>
        </w:r>
      </w:hyperlink>
    </w:p>
    <w:p>
      <w:pPr>
        <w:tabs>
          <w:tab w:val="right" w:leader="dot" w:pos="9062"/>
        </w:tabs>
        <w:ind w:left="220"/>
      </w:pPr>
      <w:hyperlink w:anchor="_Toc2726" w:history="1">
        <w:r>
          <w:rPr>
            <w:rFonts w:ascii="IRNazanin" w:hAnsi="IRNazanin" w:eastAsia="IRNazanin" w:cs="IRNazanin"/>
            <w:color w:val="111111"/>
            <w:sz w:val="22"/>
            <w:szCs w:val="22"/>
            <w:b w:val="0"/>
            <w:bCs w:val="0"/>
            <w:i w:val="0"/>
            <w:iCs w:val="0"/>
          </w:rPr>
          <w:t>حسيني تبريزي، محمّد باقر بن ابي</w:t>
        </w:r>
        <w:r>
          <w:tab/>
        </w:r>
        <w:r>
          <w:fldChar w:fldCharType="begin"/>
        </w:r>
        <w:r>
          <w:instrText xml:space="preserve">PAGEREF 2726 \h</w:instrText>
        </w:r>
        <w:r>
          <w:fldChar w:fldCharType="end"/>
        </w:r>
      </w:hyperlink>
    </w:p>
    <w:p>
      <w:pPr>
        <w:tabs>
          <w:tab w:val="right" w:leader="dot" w:pos="9062"/>
        </w:tabs>
        <w:ind w:left="220"/>
      </w:pPr>
      <w:hyperlink w:anchor="_Toc2727" w:history="1">
        <w:r>
          <w:rPr>
            <w:rFonts w:ascii="IRNazanin" w:hAnsi="IRNazanin" w:eastAsia="IRNazanin" w:cs="IRNazanin"/>
            <w:color w:val="111111"/>
            <w:sz w:val="22"/>
            <w:szCs w:val="22"/>
            <w:b w:val="0"/>
            <w:bCs w:val="0"/>
            <w:i w:val="0"/>
            <w:iCs w:val="0"/>
          </w:rPr>
          <w:t>حسيني تبريزي ، محمّد بن مهدي</w:t>
        </w:r>
        <w:r>
          <w:tab/>
        </w:r>
        <w:r>
          <w:fldChar w:fldCharType="begin"/>
        </w:r>
        <w:r>
          <w:instrText xml:space="preserve">PAGEREF 2727 \h</w:instrText>
        </w:r>
        <w:r>
          <w:fldChar w:fldCharType="end"/>
        </w:r>
      </w:hyperlink>
    </w:p>
    <w:p>
      <w:pPr>
        <w:tabs>
          <w:tab w:val="right" w:leader="dot" w:pos="9062"/>
        </w:tabs>
        <w:ind w:left="220"/>
      </w:pPr>
      <w:hyperlink w:anchor="_Toc2728" w:history="1">
        <w:r>
          <w:rPr>
            <w:rFonts w:ascii="IRNazanin" w:hAnsi="IRNazanin" w:eastAsia="IRNazanin" w:cs="IRNazanin"/>
            <w:color w:val="111111"/>
            <w:sz w:val="22"/>
            <w:szCs w:val="22"/>
            <w:b w:val="0"/>
            <w:bCs w:val="0"/>
            <w:i w:val="0"/>
            <w:iCs w:val="0"/>
          </w:rPr>
          <w:t>حسيني تفرشي ، رضي الدين محمّد</w:t>
        </w:r>
        <w:r>
          <w:tab/>
        </w:r>
        <w:r>
          <w:fldChar w:fldCharType="begin"/>
        </w:r>
        <w:r>
          <w:instrText xml:space="preserve">PAGEREF 2728 \h</w:instrText>
        </w:r>
        <w:r>
          <w:fldChar w:fldCharType="end"/>
        </w:r>
      </w:hyperlink>
    </w:p>
    <w:p>
      <w:pPr>
        <w:tabs>
          <w:tab w:val="right" w:leader="dot" w:pos="9062"/>
        </w:tabs>
        <w:ind w:left="220"/>
      </w:pPr>
      <w:hyperlink w:anchor="_Toc2729" w:history="1">
        <w:r>
          <w:rPr>
            <w:rFonts w:ascii="IRNazanin" w:hAnsi="IRNazanin" w:eastAsia="IRNazanin" w:cs="IRNazanin"/>
            <w:color w:val="111111"/>
            <w:sz w:val="22"/>
            <w:szCs w:val="22"/>
            <w:b w:val="0"/>
            <w:bCs w:val="0"/>
            <w:i w:val="0"/>
            <w:iCs w:val="0"/>
          </w:rPr>
          <w:t>حسيني تنكابني، محمّد یوسف، قرن 12 ه-</w:t>
        </w:r>
        <w:r>
          <w:tab/>
        </w:r>
        <w:r>
          <w:fldChar w:fldCharType="begin"/>
        </w:r>
        <w:r>
          <w:instrText xml:space="preserve">PAGEREF 2729 \h</w:instrText>
        </w:r>
        <w:r>
          <w:fldChar w:fldCharType="end"/>
        </w:r>
      </w:hyperlink>
    </w:p>
    <w:p>
      <w:pPr>
        <w:tabs>
          <w:tab w:val="right" w:leader="dot" w:pos="9062"/>
        </w:tabs>
        <w:ind w:left="220"/>
      </w:pPr>
      <w:hyperlink w:anchor="_Toc2730" w:history="1">
        <w:r>
          <w:rPr>
            <w:rFonts w:ascii="IRNazanin" w:hAnsi="IRNazanin" w:eastAsia="IRNazanin" w:cs="IRNazanin"/>
            <w:color w:val="111111"/>
            <w:sz w:val="22"/>
            <w:szCs w:val="22"/>
            <w:b w:val="0"/>
            <w:bCs w:val="0"/>
            <w:i w:val="0"/>
            <w:iCs w:val="0"/>
          </w:rPr>
          <w:t>حسيني ، توكل بيك بن تولك بيك قرن</w:t>
        </w:r>
        <w:r>
          <w:tab/>
        </w:r>
        <w:r>
          <w:fldChar w:fldCharType="begin"/>
        </w:r>
        <w:r>
          <w:instrText xml:space="preserve">PAGEREF 2730 \h</w:instrText>
        </w:r>
        <w:r>
          <w:fldChar w:fldCharType="end"/>
        </w:r>
      </w:hyperlink>
    </w:p>
    <w:p>
      <w:pPr>
        <w:tabs>
          <w:tab w:val="right" w:leader="dot" w:pos="9062"/>
        </w:tabs>
        <w:ind w:left="220"/>
      </w:pPr>
      <w:hyperlink w:anchor="_Toc2731" w:history="1">
        <w:r>
          <w:rPr>
            <w:rFonts w:ascii="IRNazanin" w:hAnsi="IRNazanin" w:eastAsia="IRNazanin" w:cs="IRNazanin"/>
            <w:color w:val="111111"/>
            <w:sz w:val="22"/>
            <w:szCs w:val="22"/>
            <w:b w:val="0"/>
            <w:bCs w:val="0"/>
            <w:i w:val="0"/>
            <w:iCs w:val="0"/>
          </w:rPr>
          <w:t>حسيني تونسي ، احمد بن عبدالسلام قرن</w:t>
        </w:r>
        <w:r>
          <w:tab/>
        </w:r>
        <w:r>
          <w:fldChar w:fldCharType="begin"/>
        </w:r>
        <w:r>
          <w:instrText xml:space="preserve">PAGEREF 2731 \h</w:instrText>
        </w:r>
        <w:r>
          <w:fldChar w:fldCharType="end"/>
        </w:r>
      </w:hyperlink>
    </w:p>
    <w:p>
      <w:pPr>
        <w:tabs>
          <w:tab w:val="right" w:leader="dot" w:pos="9062"/>
        </w:tabs>
        <w:ind w:left="220"/>
      </w:pPr>
      <w:hyperlink w:anchor="_Toc2732" w:history="1">
        <w:r>
          <w:rPr>
            <w:rFonts w:ascii="IRNazanin" w:hAnsi="IRNazanin" w:eastAsia="IRNazanin" w:cs="IRNazanin"/>
            <w:color w:val="111111"/>
            <w:sz w:val="22"/>
            <w:szCs w:val="22"/>
            <w:b w:val="0"/>
            <w:bCs w:val="0"/>
            <w:i w:val="0"/>
            <w:iCs w:val="0"/>
          </w:rPr>
          <w:t>حسيني توني ، سيد شريف</w:t>
        </w:r>
        <w:r>
          <w:tab/>
        </w:r>
        <w:r>
          <w:fldChar w:fldCharType="begin"/>
        </w:r>
        <w:r>
          <w:instrText xml:space="preserve">PAGEREF 2732 \h</w:instrText>
        </w:r>
        <w:r>
          <w:fldChar w:fldCharType="end"/>
        </w:r>
      </w:hyperlink>
    </w:p>
    <w:p>
      <w:pPr>
        <w:tabs>
          <w:tab w:val="right" w:leader="dot" w:pos="9062"/>
        </w:tabs>
        <w:ind w:left="220"/>
      </w:pPr>
      <w:hyperlink w:anchor="_Toc2733" w:history="1">
        <w:r>
          <w:rPr>
            <w:rFonts w:ascii="IRNazanin" w:hAnsi="IRNazanin" w:eastAsia="IRNazanin" w:cs="IRNazanin"/>
            <w:color w:val="111111"/>
            <w:sz w:val="22"/>
            <w:szCs w:val="22"/>
            <w:b w:val="0"/>
            <w:bCs w:val="0"/>
            <w:i w:val="0"/>
            <w:iCs w:val="0"/>
          </w:rPr>
          <w:t>حسيني تويسركاني ، بديع، قرن 11 ه-</w:t>
        </w:r>
        <w:r>
          <w:tab/>
        </w:r>
        <w:r>
          <w:fldChar w:fldCharType="begin"/>
        </w:r>
        <w:r>
          <w:instrText xml:space="preserve">PAGEREF 2733 \h</w:instrText>
        </w:r>
        <w:r>
          <w:fldChar w:fldCharType="end"/>
        </w:r>
      </w:hyperlink>
    </w:p>
    <w:p>
      <w:pPr>
        <w:tabs>
          <w:tab w:val="right" w:leader="dot" w:pos="9062"/>
        </w:tabs>
        <w:ind w:left="220"/>
      </w:pPr>
      <w:hyperlink w:anchor="_Toc2734" w:history="1">
        <w:r>
          <w:rPr>
            <w:rFonts w:ascii="IRNazanin" w:hAnsi="IRNazanin" w:eastAsia="IRNazanin" w:cs="IRNazanin"/>
            <w:color w:val="111111"/>
            <w:sz w:val="22"/>
            <w:szCs w:val="22"/>
            <w:b w:val="0"/>
            <w:bCs w:val="0"/>
            <w:i w:val="0"/>
            <w:iCs w:val="0"/>
          </w:rPr>
          <w:t>حسيني تويسركاني ، محمّد شريف بن</w:t>
        </w:r>
        <w:r>
          <w:tab/>
        </w:r>
        <w:r>
          <w:fldChar w:fldCharType="begin"/>
        </w:r>
        <w:r>
          <w:instrText xml:space="preserve">PAGEREF 2734 \h</w:instrText>
        </w:r>
        <w:r>
          <w:fldChar w:fldCharType="end"/>
        </w:r>
      </w:hyperlink>
    </w:p>
    <w:p>
      <w:pPr>
        <w:tabs>
          <w:tab w:val="right" w:leader="dot" w:pos="9062"/>
        </w:tabs>
        <w:ind w:left="220"/>
      </w:pPr>
      <w:hyperlink w:anchor="_Toc2735" w:history="1">
        <w:r>
          <w:rPr>
            <w:rFonts w:ascii="IRNazanin" w:hAnsi="IRNazanin" w:eastAsia="IRNazanin" w:cs="IRNazanin"/>
            <w:color w:val="111111"/>
            <w:sz w:val="22"/>
            <w:szCs w:val="22"/>
            <w:b w:val="0"/>
            <w:bCs w:val="0"/>
            <w:i w:val="0"/>
            <w:iCs w:val="0"/>
          </w:rPr>
          <w:t>حسيني جرجاني ، جمال الدین بن عبدالله</w:t>
        </w:r>
        <w:r>
          <w:tab/>
        </w:r>
        <w:r>
          <w:fldChar w:fldCharType="begin"/>
        </w:r>
        <w:r>
          <w:instrText xml:space="preserve">PAGEREF 2735 \h</w:instrText>
        </w:r>
        <w:r>
          <w:fldChar w:fldCharType="end"/>
        </w:r>
      </w:hyperlink>
    </w:p>
    <w:p>
      <w:pPr>
        <w:tabs>
          <w:tab w:val="right" w:leader="dot" w:pos="9062"/>
        </w:tabs>
        <w:ind w:left="220"/>
      </w:pPr>
      <w:hyperlink w:anchor="_Toc2736" w:history="1">
        <w:r>
          <w:rPr>
            <w:rFonts w:ascii="IRNazanin" w:hAnsi="IRNazanin" w:eastAsia="IRNazanin" w:cs="IRNazanin"/>
            <w:color w:val="111111"/>
            <w:sz w:val="22"/>
            <w:szCs w:val="22"/>
            <w:b w:val="0"/>
            <w:bCs w:val="0"/>
            <w:i w:val="0"/>
            <w:iCs w:val="0"/>
          </w:rPr>
          <w:t>حسيني جزائري، نجم الدین بن محمّد قرن 11 ه-</w:t>
        </w:r>
        <w:r>
          <w:tab/>
        </w:r>
        <w:r>
          <w:fldChar w:fldCharType="begin"/>
        </w:r>
        <w:r>
          <w:instrText xml:space="preserve">PAGEREF 2736 \h</w:instrText>
        </w:r>
        <w:r>
          <w:fldChar w:fldCharType="end"/>
        </w:r>
      </w:hyperlink>
    </w:p>
    <w:p>
      <w:pPr>
        <w:tabs>
          <w:tab w:val="right" w:leader="dot" w:pos="9062"/>
        </w:tabs>
        <w:ind w:left="220"/>
      </w:pPr>
      <w:hyperlink w:anchor="_Toc2737" w:history="1">
        <w:r>
          <w:rPr>
            <w:rFonts w:ascii="IRNazanin" w:hAnsi="IRNazanin" w:eastAsia="IRNazanin" w:cs="IRNazanin"/>
            <w:color w:val="111111"/>
            <w:sz w:val="22"/>
            <w:szCs w:val="22"/>
            <w:b w:val="0"/>
            <w:bCs w:val="0"/>
            <w:i w:val="0"/>
            <w:iCs w:val="0"/>
          </w:rPr>
          <w:t>حسيني جزري، حيدر بن عبدالرحمن</w:t>
        </w:r>
        <w:r>
          <w:tab/>
        </w:r>
        <w:r>
          <w:fldChar w:fldCharType="begin"/>
        </w:r>
        <w:r>
          <w:instrText xml:space="preserve">PAGEREF 2737 \h</w:instrText>
        </w:r>
        <w:r>
          <w:fldChar w:fldCharType="end"/>
        </w:r>
      </w:hyperlink>
    </w:p>
    <w:p>
      <w:pPr>
        <w:tabs>
          <w:tab w:val="right" w:leader="dot" w:pos="9062"/>
        </w:tabs>
        <w:ind w:left="220"/>
      </w:pPr>
      <w:hyperlink w:anchor="_Toc2738" w:history="1">
        <w:r>
          <w:rPr>
            <w:rFonts w:ascii="IRNazanin" w:hAnsi="IRNazanin" w:eastAsia="IRNazanin" w:cs="IRNazanin"/>
            <w:color w:val="111111"/>
            <w:sz w:val="22"/>
            <w:szCs w:val="22"/>
            <w:b w:val="0"/>
            <w:bCs w:val="0"/>
            <w:i w:val="0"/>
            <w:iCs w:val="0"/>
          </w:rPr>
          <w:t>حسيني جزري، عبد المطلب بن مرتضى</w:t>
        </w:r>
        <w:r>
          <w:tab/>
        </w:r>
        <w:r>
          <w:fldChar w:fldCharType="begin"/>
        </w:r>
        <w:r>
          <w:instrText xml:space="preserve">PAGEREF 2738 \h</w:instrText>
        </w:r>
        <w:r>
          <w:fldChar w:fldCharType="end"/>
        </w:r>
      </w:hyperlink>
    </w:p>
    <w:p>
      <w:pPr>
        <w:tabs>
          <w:tab w:val="right" w:leader="dot" w:pos="9062"/>
        </w:tabs>
        <w:ind w:left="220"/>
      </w:pPr>
      <w:hyperlink w:anchor="_Toc2739" w:history="1">
        <w:r>
          <w:rPr>
            <w:rFonts w:ascii="IRNazanin" w:hAnsi="IRNazanin" w:eastAsia="IRNazanin" w:cs="IRNazanin"/>
            <w:color w:val="111111"/>
            <w:sz w:val="22"/>
            <w:szCs w:val="22"/>
            <w:b w:val="0"/>
            <w:bCs w:val="0"/>
            <w:i w:val="0"/>
            <w:iCs w:val="0"/>
          </w:rPr>
          <w:t>حسيني جعفري، حسين بن حسن قرن 10ه-</w:t>
        </w:r>
        <w:r>
          <w:tab/>
        </w:r>
        <w:r>
          <w:fldChar w:fldCharType="begin"/>
        </w:r>
        <w:r>
          <w:instrText xml:space="preserve">PAGEREF 2739 \h</w:instrText>
        </w:r>
        <w:r>
          <w:fldChar w:fldCharType="end"/>
        </w:r>
      </w:hyperlink>
    </w:p>
    <w:p>
      <w:pPr>
        <w:tabs>
          <w:tab w:val="right" w:leader="dot" w:pos="9062"/>
        </w:tabs>
        <w:ind w:left="220"/>
      </w:pPr>
      <w:hyperlink w:anchor="_Toc2740" w:history="1">
        <w:r>
          <w:rPr>
            <w:rFonts w:ascii="IRNazanin" w:hAnsi="IRNazanin" w:eastAsia="IRNazanin" w:cs="IRNazanin"/>
            <w:color w:val="111111"/>
            <w:sz w:val="22"/>
            <w:szCs w:val="22"/>
            <w:b w:val="0"/>
            <w:bCs w:val="0"/>
            <w:i w:val="0"/>
            <w:iCs w:val="0"/>
          </w:rPr>
          <w:t>حسيني جلالي ، محمّد تقي بن محسن -</w:t>
        </w:r>
        <w:r>
          <w:tab/>
        </w:r>
        <w:r>
          <w:fldChar w:fldCharType="begin"/>
        </w:r>
        <w:r>
          <w:instrText xml:space="preserve">PAGEREF 2740 \h</w:instrText>
        </w:r>
        <w:r>
          <w:fldChar w:fldCharType="end"/>
        </w:r>
      </w:hyperlink>
    </w:p>
    <w:p>
      <w:pPr>
        <w:tabs>
          <w:tab w:val="right" w:leader="dot" w:pos="9062"/>
        </w:tabs>
        <w:ind w:left="220"/>
      </w:pPr>
      <w:hyperlink w:anchor="_Toc2741" w:history="1">
        <w:r>
          <w:rPr>
            <w:rFonts w:ascii="IRNazanin" w:hAnsi="IRNazanin" w:eastAsia="IRNazanin" w:cs="IRNazanin"/>
            <w:color w:val="111111"/>
            <w:sz w:val="22"/>
            <w:szCs w:val="22"/>
            <w:b w:val="0"/>
            <w:bCs w:val="0"/>
            <w:i w:val="0"/>
            <w:iCs w:val="0"/>
          </w:rPr>
          <w:t>حسيني جلالي ، محمّد جواد</w:t>
        </w:r>
        <w:r>
          <w:tab/>
        </w:r>
        <w:r>
          <w:fldChar w:fldCharType="begin"/>
        </w:r>
        <w:r>
          <w:instrText xml:space="preserve">PAGEREF 2741 \h</w:instrText>
        </w:r>
        <w:r>
          <w:fldChar w:fldCharType="end"/>
        </w:r>
      </w:hyperlink>
    </w:p>
    <w:p>
      <w:pPr>
        <w:tabs>
          <w:tab w:val="right" w:leader="dot" w:pos="9062"/>
        </w:tabs>
        <w:ind w:left="220"/>
      </w:pPr>
      <w:hyperlink w:anchor="_Toc2742" w:history="1">
        <w:r>
          <w:rPr>
            <w:rFonts w:ascii="IRNazanin" w:hAnsi="IRNazanin" w:eastAsia="IRNazanin" w:cs="IRNazanin"/>
            <w:color w:val="111111"/>
            <w:sz w:val="22"/>
            <w:szCs w:val="22"/>
            <w:b w:val="0"/>
            <w:bCs w:val="0"/>
            <w:i w:val="0"/>
            <w:iCs w:val="0"/>
          </w:rPr>
          <w:t>حسيني ، جواد بن مجتبى</w:t>
        </w:r>
        <w:r>
          <w:tab/>
        </w:r>
        <w:r>
          <w:fldChar w:fldCharType="begin"/>
        </w:r>
        <w:r>
          <w:instrText xml:space="preserve">PAGEREF 2742 \h</w:instrText>
        </w:r>
        <w:r>
          <w:fldChar w:fldCharType="end"/>
        </w:r>
      </w:hyperlink>
    </w:p>
    <w:p>
      <w:pPr>
        <w:tabs>
          <w:tab w:val="right" w:leader="dot" w:pos="9062"/>
        </w:tabs>
        <w:ind w:left="220"/>
      </w:pPr>
      <w:hyperlink w:anchor="_Toc2743" w:history="1">
        <w:r>
          <w:rPr>
            <w:rFonts w:ascii="IRNazanin" w:hAnsi="IRNazanin" w:eastAsia="IRNazanin" w:cs="IRNazanin"/>
            <w:color w:val="111111"/>
            <w:sz w:val="22"/>
            <w:szCs w:val="22"/>
            <w:b w:val="0"/>
            <w:bCs w:val="0"/>
            <w:i w:val="0"/>
            <w:iCs w:val="0"/>
          </w:rPr>
          <w:t>حسيني ، جواد بن محمّد علي، - 1333 ه-</w:t>
        </w:r>
        <w:r>
          <w:tab/>
        </w:r>
        <w:r>
          <w:fldChar w:fldCharType="begin"/>
        </w:r>
        <w:r>
          <w:instrText xml:space="preserve">PAGEREF 2743 \h</w:instrText>
        </w:r>
        <w:r>
          <w:fldChar w:fldCharType="end"/>
        </w:r>
      </w:hyperlink>
    </w:p>
    <w:p>
      <w:pPr>
        <w:tabs>
          <w:tab w:val="right" w:leader="dot" w:pos="9062"/>
        </w:tabs>
        <w:ind w:left="220"/>
      </w:pPr>
      <w:hyperlink w:anchor="_Toc2744" w:history="1">
        <w:r>
          <w:rPr>
            <w:rFonts w:ascii="IRNazanin" w:hAnsi="IRNazanin" w:eastAsia="IRNazanin" w:cs="IRNazanin"/>
            <w:color w:val="111111"/>
            <w:sz w:val="22"/>
            <w:szCs w:val="22"/>
            <w:b w:val="0"/>
            <w:bCs w:val="0"/>
            <w:i w:val="0"/>
            <w:iCs w:val="0"/>
          </w:rPr>
          <w:t>حسيني جيلاني ، جعفر بن معصوم قرن</w:t>
        </w:r>
        <w:r>
          <w:tab/>
        </w:r>
        <w:r>
          <w:fldChar w:fldCharType="begin"/>
        </w:r>
        <w:r>
          <w:instrText xml:space="preserve">PAGEREF 2744 \h</w:instrText>
        </w:r>
        <w:r>
          <w:fldChar w:fldCharType="end"/>
        </w:r>
      </w:hyperlink>
    </w:p>
    <w:p>
      <w:pPr>
        <w:tabs>
          <w:tab w:val="right" w:leader="dot" w:pos="9062"/>
        </w:tabs>
        <w:ind w:left="220"/>
      </w:pPr>
      <w:hyperlink w:anchor="_Toc2745" w:history="1">
        <w:r>
          <w:rPr>
            <w:rFonts w:ascii="IRNazanin" w:hAnsi="IRNazanin" w:eastAsia="IRNazanin" w:cs="IRNazanin"/>
            <w:color w:val="111111"/>
            <w:sz w:val="22"/>
            <w:szCs w:val="22"/>
            <w:b w:val="0"/>
            <w:bCs w:val="0"/>
            <w:i w:val="0"/>
            <w:iCs w:val="0"/>
          </w:rPr>
          <w:t>حسيني حائري ، حسن بن علي، 1283 -</w:t>
        </w:r>
        <w:r>
          <w:tab/>
        </w:r>
        <w:r>
          <w:fldChar w:fldCharType="begin"/>
        </w:r>
        <w:r>
          <w:instrText xml:space="preserve">PAGEREF 2745 \h</w:instrText>
        </w:r>
        <w:r>
          <w:fldChar w:fldCharType="end"/>
        </w:r>
      </w:hyperlink>
    </w:p>
    <w:p>
      <w:pPr>
        <w:tabs>
          <w:tab w:val="right" w:leader="dot" w:pos="9062"/>
        </w:tabs>
        <w:ind w:left="220"/>
      </w:pPr>
      <w:hyperlink w:anchor="_Toc2746" w:history="1">
        <w:r>
          <w:rPr>
            <w:rFonts w:ascii="IRNazanin" w:hAnsi="IRNazanin" w:eastAsia="IRNazanin" w:cs="IRNazanin"/>
            <w:color w:val="111111"/>
            <w:sz w:val="22"/>
            <w:szCs w:val="22"/>
            <w:b w:val="0"/>
            <w:bCs w:val="0"/>
            <w:i w:val="0"/>
            <w:iCs w:val="0"/>
          </w:rPr>
          <w:t>حسيني حائري، مهدي بن خليل، قرن 14ه-</w:t>
        </w:r>
        <w:r>
          <w:tab/>
        </w:r>
        <w:r>
          <w:fldChar w:fldCharType="begin"/>
        </w:r>
        <w:r>
          <w:instrText xml:space="preserve">PAGEREF 2746 \h</w:instrText>
        </w:r>
        <w:r>
          <w:fldChar w:fldCharType="end"/>
        </w:r>
      </w:hyperlink>
    </w:p>
    <w:p>
      <w:pPr>
        <w:tabs>
          <w:tab w:val="right" w:leader="dot" w:pos="9062"/>
        </w:tabs>
        <w:ind w:left="220"/>
      </w:pPr>
      <w:hyperlink w:anchor="_Toc2747" w:history="1">
        <w:r>
          <w:rPr>
            <w:rFonts w:ascii="IRNazanin" w:hAnsi="IRNazanin" w:eastAsia="IRNazanin" w:cs="IRNazanin"/>
            <w:color w:val="111111"/>
            <w:sz w:val="22"/>
            <w:szCs w:val="22"/>
            <w:b w:val="0"/>
            <w:bCs w:val="0"/>
            <w:i w:val="0"/>
            <w:iCs w:val="0"/>
          </w:rPr>
          <w:t>حسيني ، حبيب الله بن مير فاضل</w:t>
        </w:r>
        <w:r>
          <w:tab/>
        </w:r>
        <w:r>
          <w:fldChar w:fldCharType="begin"/>
        </w:r>
        <w:r>
          <w:instrText xml:space="preserve">PAGEREF 2747 \h</w:instrText>
        </w:r>
        <w:r>
          <w:fldChar w:fldCharType="end"/>
        </w:r>
      </w:hyperlink>
    </w:p>
    <w:p>
      <w:pPr>
        <w:tabs>
          <w:tab w:val="right" w:leader="dot" w:pos="9062"/>
        </w:tabs>
        <w:ind w:left="220"/>
      </w:pPr>
      <w:hyperlink w:anchor="_Toc2748" w:history="1">
        <w:r>
          <w:rPr>
            <w:rFonts w:ascii="IRNazanin" w:hAnsi="IRNazanin" w:eastAsia="IRNazanin" w:cs="IRNazanin"/>
            <w:color w:val="111111"/>
            <w:sz w:val="22"/>
            <w:szCs w:val="22"/>
            <w:b w:val="0"/>
            <w:bCs w:val="0"/>
            <w:i w:val="0"/>
            <w:iCs w:val="0"/>
          </w:rPr>
          <w:t>حسيني ، حسن بن محمّد باقر</w:t>
        </w:r>
        <w:r>
          <w:tab/>
        </w:r>
        <w:r>
          <w:fldChar w:fldCharType="begin"/>
        </w:r>
        <w:r>
          <w:instrText xml:space="preserve">PAGEREF 2748 \h</w:instrText>
        </w:r>
        <w:r>
          <w:fldChar w:fldCharType="end"/>
        </w:r>
      </w:hyperlink>
    </w:p>
    <w:p>
      <w:pPr>
        <w:tabs>
          <w:tab w:val="right" w:leader="dot" w:pos="9062"/>
        </w:tabs>
        <w:ind w:left="220"/>
      </w:pPr>
      <w:hyperlink w:anchor="_Toc2749" w:history="1">
        <w:r>
          <w:rPr>
            <w:rFonts w:ascii="IRNazanin" w:hAnsi="IRNazanin" w:eastAsia="IRNazanin" w:cs="IRNazanin"/>
            <w:color w:val="111111"/>
            <w:sz w:val="22"/>
            <w:szCs w:val="22"/>
            <w:b w:val="0"/>
            <w:bCs w:val="0"/>
            <w:i w:val="0"/>
            <w:iCs w:val="0"/>
          </w:rPr>
          <w:t>حسيني ، حسين قرن 13 ه-</w:t>
        </w:r>
        <w:r>
          <w:tab/>
        </w:r>
        <w:r>
          <w:fldChar w:fldCharType="begin"/>
        </w:r>
        <w:r>
          <w:instrText xml:space="preserve">PAGEREF 2749 \h</w:instrText>
        </w:r>
        <w:r>
          <w:fldChar w:fldCharType="end"/>
        </w:r>
      </w:hyperlink>
    </w:p>
    <w:p>
      <w:pPr>
        <w:tabs>
          <w:tab w:val="right" w:leader="dot" w:pos="9062"/>
        </w:tabs>
        <w:ind w:left="220"/>
      </w:pPr>
      <w:hyperlink w:anchor="_Toc2750" w:history="1">
        <w:r>
          <w:rPr>
            <w:rFonts w:ascii="IRNazanin" w:hAnsi="IRNazanin" w:eastAsia="IRNazanin" w:cs="IRNazanin"/>
            <w:color w:val="111111"/>
            <w:sz w:val="22"/>
            <w:szCs w:val="22"/>
            <w:b w:val="0"/>
            <w:bCs w:val="0"/>
            <w:i w:val="0"/>
            <w:iCs w:val="0"/>
          </w:rPr>
          <w:t>حسيني حسين بن رضي الدين - 1285 ه-</w:t>
        </w:r>
        <w:r>
          <w:tab/>
        </w:r>
        <w:r>
          <w:fldChar w:fldCharType="begin"/>
        </w:r>
        <w:r>
          <w:instrText xml:space="preserve">PAGEREF 2750 \h</w:instrText>
        </w:r>
        <w:r>
          <w:fldChar w:fldCharType="end"/>
        </w:r>
      </w:hyperlink>
    </w:p>
    <w:p>
      <w:pPr>
        <w:tabs>
          <w:tab w:val="right" w:leader="dot" w:pos="9062"/>
        </w:tabs>
        <w:ind w:left="220"/>
      </w:pPr>
      <w:hyperlink w:anchor="_Toc2751" w:history="1">
        <w:r>
          <w:rPr>
            <w:rFonts w:ascii="IRNazanin" w:hAnsi="IRNazanin" w:eastAsia="IRNazanin" w:cs="IRNazanin"/>
            <w:color w:val="111111"/>
            <w:sz w:val="22"/>
            <w:szCs w:val="22"/>
            <w:b w:val="0"/>
            <w:bCs w:val="0"/>
            <w:i w:val="0"/>
            <w:iCs w:val="0"/>
          </w:rPr>
          <w:t>حسيني ، حسين بن علي بن محمّد</w:t>
        </w:r>
        <w:r>
          <w:tab/>
        </w:r>
        <w:r>
          <w:fldChar w:fldCharType="begin"/>
        </w:r>
        <w:r>
          <w:instrText xml:space="preserve">PAGEREF 2751 \h</w:instrText>
        </w:r>
        <w:r>
          <w:fldChar w:fldCharType="end"/>
        </w:r>
      </w:hyperlink>
    </w:p>
    <w:p>
      <w:pPr>
        <w:tabs>
          <w:tab w:val="right" w:leader="dot" w:pos="9062"/>
        </w:tabs>
        <w:ind w:left="220"/>
      </w:pPr>
      <w:hyperlink w:anchor="_Toc2752" w:history="1">
        <w:r>
          <w:rPr>
            <w:rFonts w:ascii="IRNazanin" w:hAnsi="IRNazanin" w:eastAsia="IRNazanin" w:cs="IRNazanin"/>
            <w:color w:val="111111"/>
            <w:sz w:val="22"/>
            <w:szCs w:val="22"/>
            <w:b w:val="0"/>
            <w:bCs w:val="0"/>
            <w:i w:val="0"/>
            <w:iCs w:val="0"/>
          </w:rPr>
          <w:t>حسيني ، حسين بن ،محمّد قرن 14ه-</w:t>
        </w:r>
        <w:r>
          <w:tab/>
        </w:r>
        <w:r>
          <w:fldChar w:fldCharType="begin"/>
        </w:r>
        <w:r>
          <w:instrText xml:space="preserve">PAGEREF 2752 \h</w:instrText>
        </w:r>
        <w:r>
          <w:fldChar w:fldCharType="end"/>
        </w:r>
      </w:hyperlink>
    </w:p>
    <w:p>
      <w:pPr>
        <w:tabs>
          <w:tab w:val="right" w:leader="dot" w:pos="9062"/>
        </w:tabs>
        <w:ind w:left="220"/>
      </w:pPr>
      <w:hyperlink w:anchor="_Toc2753" w:history="1">
        <w:r>
          <w:rPr>
            <w:rFonts w:ascii="IRNazanin" w:hAnsi="IRNazanin" w:eastAsia="IRNazanin" w:cs="IRNazanin"/>
            <w:color w:val="111111"/>
            <w:sz w:val="22"/>
            <w:szCs w:val="22"/>
            <w:b w:val="0"/>
            <w:bCs w:val="0"/>
            <w:i w:val="0"/>
            <w:iCs w:val="0"/>
          </w:rPr>
          <w:t>حسيني حلبي، احمد بن محمّد - 695 ه-</w:t>
        </w:r>
        <w:r>
          <w:tab/>
        </w:r>
        <w:r>
          <w:fldChar w:fldCharType="begin"/>
        </w:r>
        <w:r>
          <w:instrText xml:space="preserve">PAGEREF 2753 \h</w:instrText>
        </w:r>
        <w:r>
          <w:fldChar w:fldCharType="end"/>
        </w:r>
      </w:hyperlink>
    </w:p>
    <w:p>
      <w:pPr>
        <w:tabs>
          <w:tab w:val="right" w:leader="dot" w:pos="9062"/>
        </w:tabs>
        <w:ind w:left="220"/>
      </w:pPr>
      <w:hyperlink w:anchor="_Toc2754" w:history="1">
        <w:r>
          <w:rPr>
            <w:rFonts w:ascii="IRNazanin" w:hAnsi="IRNazanin" w:eastAsia="IRNazanin" w:cs="IRNazanin"/>
            <w:color w:val="111111"/>
            <w:sz w:val="22"/>
            <w:szCs w:val="22"/>
            <w:b w:val="0"/>
            <w:bCs w:val="0"/>
            <w:i w:val="0"/>
            <w:iCs w:val="0"/>
          </w:rPr>
          <w:t>حسيني حلي ، مسلم بن حمود</w:t>
        </w:r>
        <w:r>
          <w:tab/>
        </w:r>
        <w:r>
          <w:fldChar w:fldCharType="begin"/>
        </w:r>
        <w:r>
          <w:instrText xml:space="preserve">PAGEREF 2754 \h</w:instrText>
        </w:r>
        <w:r>
          <w:fldChar w:fldCharType="end"/>
        </w:r>
      </w:hyperlink>
    </w:p>
    <w:p>
      <w:pPr>
        <w:tabs>
          <w:tab w:val="right" w:leader="dot" w:pos="9062"/>
        </w:tabs>
        <w:ind w:left="220"/>
      </w:pPr>
      <w:hyperlink w:anchor="_Toc2755" w:history="1">
        <w:r>
          <w:rPr>
            <w:rFonts w:ascii="IRNazanin" w:hAnsi="IRNazanin" w:eastAsia="IRNazanin" w:cs="IRNazanin"/>
            <w:color w:val="111111"/>
            <w:sz w:val="22"/>
            <w:szCs w:val="22"/>
            <w:b w:val="0"/>
            <w:bCs w:val="0"/>
            <w:i w:val="0"/>
            <w:iCs w:val="0"/>
          </w:rPr>
          <w:t>حسيني ، حميدالدين بن افضل الدين - 908ه-</w:t>
        </w:r>
        <w:r>
          <w:tab/>
        </w:r>
        <w:r>
          <w:fldChar w:fldCharType="begin"/>
        </w:r>
        <w:r>
          <w:instrText xml:space="preserve">PAGEREF 2755 \h</w:instrText>
        </w:r>
        <w:r>
          <w:fldChar w:fldCharType="end"/>
        </w:r>
      </w:hyperlink>
    </w:p>
    <w:p>
      <w:pPr>
        <w:tabs>
          <w:tab w:val="right" w:leader="dot" w:pos="9062"/>
        </w:tabs>
        <w:ind w:left="220"/>
      </w:pPr>
      <w:hyperlink w:anchor="_Toc2756" w:history="1">
        <w:r>
          <w:rPr>
            <w:rFonts w:ascii="IRNazanin" w:hAnsi="IRNazanin" w:eastAsia="IRNazanin" w:cs="IRNazanin"/>
            <w:color w:val="111111"/>
            <w:sz w:val="22"/>
            <w:szCs w:val="22"/>
            <w:b w:val="0"/>
            <w:bCs w:val="0"/>
            <w:i w:val="0"/>
            <w:iCs w:val="0"/>
          </w:rPr>
          <w:t>حسيني ، حيدر بن علي</w:t>
        </w:r>
        <w:r>
          <w:tab/>
        </w:r>
        <w:r>
          <w:fldChar w:fldCharType="begin"/>
        </w:r>
        <w:r>
          <w:instrText xml:space="preserve">PAGEREF 2756 \h</w:instrText>
        </w:r>
        <w:r>
          <w:fldChar w:fldCharType="end"/>
        </w:r>
      </w:hyperlink>
    </w:p>
    <w:p>
      <w:pPr>
        <w:tabs>
          <w:tab w:val="right" w:leader="dot" w:pos="9062"/>
        </w:tabs>
        <w:ind w:left="220"/>
      </w:pPr>
      <w:hyperlink w:anchor="_Toc2757" w:history="1">
        <w:r>
          <w:rPr>
            <w:rFonts w:ascii="IRNazanin" w:hAnsi="IRNazanin" w:eastAsia="IRNazanin" w:cs="IRNazanin"/>
            <w:color w:val="111111"/>
            <w:sz w:val="22"/>
            <w:szCs w:val="22"/>
            <w:b w:val="0"/>
            <w:bCs w:val="0"/>
            <w:i w:val="0"/>
            <w:iCs w:val="0"/>
          </w:rPr>
          <w:t>حسيني خاتون آبادي ، محمّد باقر بن</w:t>
        </w:r>
        <w:r>
          <w:tab/>
        </w:r>
        <w:r>
          <w:fldChar w:fldCharType="begin"/>
        </w:r>
        <w:r>
          <w:instrText xml:space="preserve">PAGEREF 2757 \h</w:instrText>
        </w:r>
        <w:r>
          <w:fldChar w:fldCharType="end"/>
        </w:r>
      </w:hyperlink>
    </w:p>
    <w:p>
      <w:pPr>
        <w:tabs>
          <w:tab w:val="right" w:leader="dot" w:pos="9062"/>
        </w:tabs>
        <w:ind w:left="220"/>
      </w:pPr>
      <w:hyperlink w:anchor="_Toc2758" w:history="1">
        <w:r>
          <w:rPr>
            <w:rFonts w:ascii="IRNazanin" w:hAnsi="IRNazanin" w:eastAsia="IRNazanin" w:cs="IRNazanin"/>
            <w:color w:val="111111"/>
            <w:sz w:val="22"/>
            <w:szCs w:val="22"/>
            <w:b w:val="0"/>
            <w:bCs w:val="0"/>
            <w:i w:val="0"/>
            <w:iCs w:val="0"/>
          </w:rPr>
          <w:t>حسيني خاتون آبادي ، محمّد صالح بن</w:t>
        </w:r>
        <w:r>
          <w:tab/>
        </w:r>
        <w:r>
          <w:fldChar w:fldCharType="begin"/>
        </w:r>
        <w:r>
          <w:instrText xml:space="preserve">PAGEREF 2758 \h</w:instrText>
        </w:r>
        <w:r>
          <w:fldChar w:fldCharType="end"/>
        </w:r>
      </w:hyperlink>
    </w:p>
    <w:p>
      <w:pPr>
        <w:tabs>
          <w:tab w:val="right" w:leader="dot" w:pos="9062"/>
        </w:tabs>
        <w:ind w:left="220"/>
      </w:pPr>
      <w:hyperlink w:anchor="_Toc2759" w:history="1">
        <w:r>
          <w:rPr>
            <w:rFonts w:ascii="IRNazanin" w:hAnsi="IRNazanin" w:eastAsia="IRNazanin" w:cs="IRNazanin"/>
            <w:color w:val="111111"/>
            <w:sz w:val="22"/>
            <w:szCs w:val="22"/>
            <w:b w:val="0"/>
            <w:bCs w:val="0"/>
            <w:i w:val="0"/>
            <w:iCs w:val="0"/>
          </w:rPr>
          <w:t>حسيني خادم ، معين الدين اشرف بن</w:t>
        </w:r>
        <w:r>
          <w:tab/>
        </w:r>
        <w:r>
          <w:fldChar w:fldCharType="begin"/>
        </w:r>
        <w:r>
          <w:instrText xml:space="preserve">PAGEREF 2759 \h</w:instrText>
        </w:r>
        <w:r>
          <w:fldChar w:fldCharType="end"/>
        </w:r>
      </w:hyperlink>
    </w:p>
    <w:p>
      <w:pPr>
        <w:tabs>
          <w:tab w:val="right" w:leader="dot" w:pos="9062"/>
        </w:tabs>
        <w:ind w:left="220"/>
      </w:pPr>
      <w:hyperlink w:anchor="_Toc2760" w:history="1">
        <w:r>
          <w:rPr>
            <w:rFonts w:ascii="IRNazanin" w:hAnsi="IRNazanin" w:eastAsia="IRNazanin" w:cs="IRNazanin"/>
            <w:color w:val="111111"/>
            <w:sz w:val="22"/>
            <w:szCs w:val="22"/>
            <w:b w:val="0"/>
            <w:bCs w:val="0"/>
            <w:i w:val="0"/>
            <w:iCs w:val="0"/>
          </w:rPr>
          <w:t>حسيني خراساني ، محمّد بن حسن 1322 ه-</w:t>
        </w:r>
        <w:r>
          <w:tab/>
        </w:r>
        <w:r>
          <w:fldChar w:fldCharType="begin"/>
        </w:r>
        <w:r>
          <w:instrText xml:space="preserve">PAGEREF 2760 \h</w:instrText>
        </w:r>
        <w:r>
          <w:fldChar w:fldCharType="end"/>
        </w:r>
      </w:hyperlink>
    </w:p>
    <w:p>
      <w:pPr>
        <w:tabs>
          <w:tab w:val="right" w:leader="dot" w:pos="9062"/>
        </w:tabs>
        <w:ind w:left="220"/>
      </w:pPr>
      <w:hyperlink w:anchor="_Toc2761" w:history="1">
        <w:r>
          <w:rPr>
            <w:rFonts w:ascii="IRNazanin" w:hAnsi="IRNazanin" w:eastAsia="IRNazanin" w:cs="IRNazanin"/>
            <w:color w:val="111111"/>
            <w:sz w:val="22"/>
            <w:szCs w:val="22"/>
            <w:b w:val="0"/>
            <w:bCs w:val="0"/>
            <w:i w:val="0"/>
            <w:iCs w:val="0"/>
          </w:rPr>
          <w:t>حسيني خراساني ، يوسف بن محمّد قرن</w:t>
        </w:r>
        <w:r>
          <w:tab/>
        </w:r>
        <w:r>
          <w:fldChar w:fldCharType="begin"/>
        </w:r>
        <w:r>
          <w:instrText xml:space="preserve">PAGEREF 2761 \h</w:instrText>
        </w:r>
        <w:r>
          <w:fldChar w:fldCharType="end"/>
        </w:r>
      </w:hyperlink>
    </w:p>
    <w:p>
      <w:pPr>
        <w:tabs>
          <w:tab w:val="right" w:leader="dot" w:pos="9062"/>
        </w:tabs>
        <w:ind w:left="220"/>
      </w:pPr>
      <w:hyperlink w:anchor="_Toc2762" w:history="1">
        <w:r>
          <w:rPr>
            <w:rFonts w:ascii="IRNazanin" w:hAnsi="IRNazanin" w:eastAsia="IRNazanin" w:cs="IRNazanin"/>
            <w:color w:val="111111"/>
            <w:sz w:val="22"/>
            <w:szCs w:val="22"/>
            <w:b w:val="0"/>
            <w:bCs w:val="0"/>
            <w:i w:val="0"/>
            <w:iCs w:val="0"/>
          </w:rPr>
          <w:t>حسيني خفري ، محمود قرن 13 ه-</w:t>
        </w:r>
        <w:r>
          <w:tab/>
        </w:r>
        <w:r>
          <w:fldChar w:fldCharType="begin"/>
        </w:r>
        <w:r>
          <w:instrText xml:space="preserve">PAGEREF 2762 \h</w:instrText>
        </w:r>
        <w:r>
          <w:fldChar w:fldCharType="end"/>
        </w:r>
      </w:hyperlink>
    </w:p>
    <w:p>
      <w:pPr>
        <w:tabs>
          <w:tab w:val="right" w:leader="dot" w:pos="9062"/>
        </w:tabs>
        <w:ind w:left="220"/>
      </w:pPr>
      <w:hyperlink w:anchor="_Toc2763" w:history="1">
        <w:r>
          <w:rPr>
            <w:rFonts w:ascii="IRNazanin" w:hAnsi="IRNazanin" w:eastAsia="IRNazanin" w:cs="IRNazanin"/>
            <w:color w:val="111111"/>
            <w:sz w:val="22"/>
            <w:szCs w:val="22"/>
            <w:b w:val="0"/>
            <w:bCs w:val="0"/>
            <w:i w:val="0"/>
            <w:iCs w:val="0"/>
          </w:rPr>
          <w:t>حسيني خلخالي علي بن محمّد قرن 11ه-</w:t>
        </w:r>
        <w:r>
          <w:tab/>
        </w:r>
        <w:r>
          <w:fldChar w:fldCharType="begin"/>
        </w:r>
        <w:r>
          <w:instrText xml:space="preserve">PAGEREF 2763 \h</w:instrText>
        </w:r>
        <w:r>
          <w:fldChar w:fldCharType="end"/>
        </w:r>
      </w:hyperlink>
    </w:p>
    <w:p>
      <w:pPr>
        <w:tabs>
          <w:tab w:val="right" w:leader="dot" w:pos="9062"/>
        </w:tabs>
        <w:ind w:left="220"/>
      </w:pPr>
      <w:hyperlink w:anchor="_Toc2764" w:history="1">
        <w:r>
          <w:rPr>
            <w:rFonts w:ascii="IRNazanin" w:hAnsi="IRNazanin" w:eastAsia="IRNazanin" w:cs="IRNazanin"/>
            <w:color w:val="111111"/>
            <w:sz w:val="22"/>
            <w:szCs w:val="22"/>
            <w:b w:val="0"/>
            <w:bCs w:val="0"/>
            <w:i w:val="0"/>
            <w:iCs w:val="0"/>
          </w:rPr>
          <w:t>حسيني ، داود بن سليمان</w:t>
        </w:r>
        <w:r>
          <w:tab/>
        </w:r>
        <w:r>
          <w:fldChar w:fldCharType="begin"/>
        </w:r>
        <w:r>
          <w:instrText xml:space="preserve">PAGEREF 2764 \h</w:instrText>
        </w:r>
        <w:r>
          <w:fldChar w:fldCharType="end"/>
        </w:r>
      </w:hyperlink>
    </w:p>
    <w:p>
      <w:pPr>
        <w:tabs>
          <w:tab w:val="right" w:leader="dot" w:pos="9062"/>
        </w:tabs>
        <w:ind w:left="220"/>
      </w:pPr>
      <w:hyperlink w:anchor="_Toc2765" w:history="1">
        <w:r>
          <w:rPr>
            <w:rFonts w:ascii="IRNazanin" w:hAnsi="IRNazanin" w:eastAsia="IRNazanin" w:cs="IRNazanin"/>
            <w:color w:val="111111"/>
            <w:sz w:val="22"/>
            <w:szCs w:val="22"/>
            <w:b w:val="0"/>
            <w:bCs w:val="0"/>
            <w:i w:val="0"/>
            <w:iCs w:val="0"/>
          </w:rPr>
          <w:t>حسيني دشتكي ، احمد بن ابراهيم</w:t>
        </w:r>
        <w:r>
          <w:tab/>
        </w:r>
        <w:r>
          <w:fldChar w:fldCharType="begin"/>
        </w:r>
        <w:r>
          <w:instrText xml:space="preserve">PAGEREF 2765 \h</w:instrText>
        </w:r>
        <w:r>
          <w:fldChar w:fldCharType="end"/>
        </w:r>
      </w:hyperlink>
    </w:p>
    <w:p>
      <w:pPr>
        <w:tabs>
          <w:tab w:val="right" w:leader="dot" w:pos="9062"/>
        </w:tabs>
        <w:ind w:left="220"/>
      </w:pPr>
      <w:hyperlink w:anchor="_Toc2766" w:history="1">
        <w:r>
          <w:rPr>
            <w:rFonts w:ascii="IRNazanin" w:hAnsi="IRNazanin" w:eastAsia="IRNazanin" w:cs="IRNazanin"/>
            <w:color w:val="111111"/>
            <w:sz w:val="22"/>
            <w:szCs w:val="22"/>
            <w:b w:val="0"/>
            <w:bCs w:val="0"/>
            <w:i w:val="0"/>
            <w:iCs w:val="0"/>
          </w:rPr>
          <w:t>حسيني ، ذبيح الله بن تقي</w:t>
        </w:r>
        <w:r>
          <w:tab/>
        </w:r>
        <w:r>
          <w:fldChar w:fldCharType="begin"/>
        </w:r>
        <w:r>
          <w:instrText xml:space="preserve">PAGEREF 2766 \h</w:instrText>
        </w:r>
        <w:r>
          <w:fldChar w:fldCharType="end"/>
        </w:r>
      </w:hyperlink>
    </w:p>
    <w:p>
      <w:pPr>
        <w:tabs>
          <w:tab w:val="right" w:leader="dot" w:pos="9062"/>
        </w:tabs>
        <w:ind w:left="220"/>
      </w:pPr>
      <w:hyperlink w:anchor="_Toc2767" w:history="1">
        <w:r>
          <w:rPr>
            <w:rFonts w:ascii="IRNazanin" w:hAnsi="IRNazanin" w:eastAsia="IRNazanin" w:cs="IRNazanin"/>
            <w:color w:val="111111"/>
            <w:sz w:val="22"/>
            <w:szCs w:val="22"/>
            <w:b w:val="0"/>
            <w:bCs w:val="0"/>
            <w:i w:val="0"/>
            <w:iCs w:val="0"/>
          </w:rPr>
          <w:t>حسيني رازي ، محمّد</w:t>
        </w:r>
        <w:r>
          <w:tab/>
        </w:r>
        <w:r>
          <w:fldChar w:fldCharType="begin"/>
        </w:r>
        <w:r>
          <w:instrText xml:space="preserve">PAGEREF 2767 \h</w:instrText>
        </w:r>
        <w:r>
          <w:fldChar w:fldCharType="end"/>
        </w:r>
      </w:hyperlink>
    </w:p>
    <w:p>
      <w:pPr>
        <w:tabs>
          <w:tab w:val="right" w:leader="dot" w:pos="9062"/>
        </w:tabs>
        <w:ind w:left="220"/>
      </w:pPr>
      <w:hyperlink w:anchor="_Toc2768" w:history="1">
        <w:r>
          <w:rPr>
            <w:rFonts w:ascii="IRNazanin" w:hAnsi="IRNazanin" w:eastAsia="IRNazanin" w:cs="IRNazanin"/>
            <w:color w:val="111111"/>
            <w:sz w:val="22"/>
            <w:szCs w:val="22"/>
            <w:b w:val="0"/>
            <w:bCs w:val="0"/>
            <w:i w:val="0"/>
            <w:iCs w:val="0"/>
          </w:rPr>
          <w:t>حسيني رشتي، احمد بن كاظم - 1295ه-</w:t>
        </w:r>
        <w:r>
          <w:tab/>
        </w:r>
        <w:r>
          <w:fldChar w:fldCharType="begin"/>
        </w:r>
        <w:r>
          <w:instrText xml:space="preserve">PAGEREF 2768 \h</w:instrText>
        </w:r>
        <w:r>
          <w:fldChar w:fldCharType="end"/>
        </w:r>
      </w:hyperlink>
    </w:p>
    <w:p>
      <w:pPr>
        <w:tabs>
          <w:tab w:val="right" w:leader="dot" w:pos="9062"/>
        </w:tabs>
        <w:ind w:left="220"/>
      </w:pPr>
      <w:hyperlink w:anchor="_Toc2769" w:history="1">
        <w:r>
          <w:rPr>
            <w:rFonts w:ascii="IRNazanin" w:hAnsi="IRNazanin" w:eastAsia="IRNazanin" w:cs="IRNazanin"/>
            <w:color w:val="111111"/>
            <w:sz w:val="22"/>
            <w:szCs w:val="22"/>
            <w:b w:val="0"/>
            <w:bCs w:val="0"/>
            <w:i w:val="0"/>
            <w:iCs w:val="0"/>
          </w:rPr>
          <w:t>حسيني رضوي، محمّد حسين بن علي</w:t>
        </w:r>
        <w:r>
          <w:tab/>
        </w:r>
        <w:r>
          <w:fldChar w:fldCharType="begin"/>
        </w:r>
        <w:r>
          <w:instrText xml:space="preserve">PAGEREF 2769 \h</w:instrText>
        </w:r>
        <w:r>
          <w:fldChar w:fldCharType="end"/>
        </w:r>
      </w:hyperlink>
    </w:p>
    <w:p>
      <w:pPr>
        <w:tabs>
          <w:tab w:val="right" w:leader="dot" w:pos="9062"/>
        </w:tabs>
        <w:ind w:left="220"/>
      </w:pPr>
      <w:hyperlink w:anchor="_Toc2770" w:history="1">
        <w:r>
          <w:rPr>
            <w:rFonts w:ascii="IRNazanin" w:hAnsi="IRNazanin" w:eastAsia="IRNazanin" w:cs="IRNazanin"/>
            <w:color w:val="111111"/>
            <w:sz w:val="22"/>
            <w:szCs w:val="22"/>
            <w:b w:val="0"/>
            <w:bCs w:val="0"/>
            <w:i w:val="0"/>
            <w:iCs w:val="0"/>
          </w:rPr>
          <w:t>حسيني رضوي ، ولي الله بن نعمت الله</w:t>
        </w:r>
        <w:r>
          <w:tab/>
        </w:r>
        <w:r>
          <w:fldChar w:fldCharType="begin"/>
        </w:r>
        <w:r>
          <w:instrText xml:space="preserve">PAGEREF 2770 \h</w:instrText>
        </w:r>
        <w:r>
          <w:fldChar w:fldCharType="end"/>
        </w:r>
      </w:hyperlink>
    </w:p>
    <w:p>
      <w:pPr>
        <w:tabs>
          <w:tab w:val="right" w:leader="dot" w:pos="9062"/>
        </w:tabs>
        <w:ind w:left="220"/>
      </w:pPr>
      <w:hyperlink w:anchor="_Toc2771" w:history="1">
        <w:r>
          <w:rPr>
            <w:rFonts w:ascii="IRNazanin" w:hAnsi="IRNazanin" w:eastAsia="IRNazanin" w:cs="IRNazanin"/>
            <w:color w:val="111111"/>
            <w:sz w:val="22"/>
            <w:szCs w:val="22"/>
            <w:b w:val="0"/>
            <w:bCs w:val="0"/>
            <w:i w:val="0"/>
            <w:iCs w:val="0"/>
          </w:rPr>
          <w:t>حسيني زنجاني ، مرتضی بن یحیی قرن</w:t>
        </w:r>
        <w:r>
          <w:tab/>
        </w:r>
        <w:r>
          <w:fldChar w:fldCharType="begin"/>
        </w:r>
        <w:r>
          <w:instrText xml:space="preserve">PAGEREF 2771 \h</w:instrText>
        </w:r>
        <w:r>
          <w:fldChar w:fldCharType="end"/>
        </w:r>
      </w:hyperlink>
    </w:p>
    <w:p>
      <w:pPr>
        <w:tabs>
          <w:tab w:val="right" w:leader="dot" w:pos="9062"/>
        </w:tabs>
        <w:ind w:left="220"/>
      </w:pPr>
      <w:hyperlink w:anchor="_Toc2772" w:history="1">
        <w:r>
          <w:rPr>
            <w:rFonts w:ascii="IRNazanin" w:hAnsi="IRNazanin" w:eastAsia="IRNazanin" w:cs="IRNazanin"/>
            <w:color w:val="111111"/>
            <w:sz w:val="22"/>
            <w:szCs w:val="22"/>
            <w:b w:val="0"/>
            <w:bCs w:val="0"/>
            <w:i w:val="0"/>
            <w:iCs w:val="0"/>
          </w:rPr>
          <w:t>حسيني ساوجي ، علي بن ابراهيم قرن</w:t>
        </w:r>
        <w:r>
          <w:tab/>
        </w:r>
        <w:r>
          <w:fldChar w:fldCharType="begin"/>
        </w:r>
        <w:r>
          <w:instrText xml:space="preserve">PAGEREF 2772 \h</w:instrText>
        </w:r>
        <w:r>
          <w:fldChar w:fldCharType="end"/>
        </w:r>
      </w:hyperlink>
    </w:p>
    <w:p>
      <w:pPr>
        <w:tabs>
          <w:tab w:val="right" w:leader="dot" w:pos="9062"/>
        </w:tabs>
        <w:ind w:left="220"/>
      </w:pPr>
      <w:hyperlink w:anchor="_Toc2773" w:history="1">
        <w:r>
          <w:rPr>
            <w:rFonts w:ascii="IRNazanin" w:hAnsi="IRNazanin" w:eastAsia="IRNazanin" w:cs="IRNazanin"/>
            <w:color w:val="111111"/>
            <w:sz w:val="22"/>
            <w:szCs w:val="22"/>
            <w:b w:val="0"/>
            <w:bCs w:val="0"/>
            <w:i w:val="0"/>
            <w:iCs w:val="0"/>
          </w:rPr>
          <w:t>حسيني سيفي ، محمّد بن محمّد مهدي</w:t>
        </w:r>
        <w:r>
          <w:tab/>
        </w:r>
        <w:r>
          <w:fldChar w:fldCharType="begin"/>
        </w:r>
        <w:r>
          <w:instrText xml:space="preserve">PAGEREF 2773 \h</w:instrText>
        </w:r>
        <w:r>
          <w:fldChar w:fldCharType="end"/>
        </w:r>
      </w:hyperlink>
    </w:p>
    <w:p>
      <w:pPr>
        <w:tabs>
          <w:tab w:val="right" w:leader="dot" w:pos="9062"/>
        </w:tabs>
        <w:ind w:left="220"/>
      </w:pPr>
      <w:hyperlink w:anchor="_Toc2774" w:history="1">
        <w:r>
          <w:rPr>
            <w:rFonts w:ascii="IRNazanin" w:hAnsi="IRNazanin" w:eastAsia="IRNazanin" w:cs="IRNazanin"/>
            <w:color w:val="111111"/>
            <w:sz w:val="22"/>
            <w:szCs w:val="22"/>
            <w:b w:val="0"/>
            <w:bCs w:val="0"/>
            <w:i w:val="0"/>
            <w:iCs w:val="0"/>
          </w:rPr>
          <w:t>حسيني ، شجاع بن علي قرن 10 ه-</w:t>
        </w:r>
        <w:r>
          <w:tab/>
        </w:r>
        <w:r>
          <w:fldChar w:fldCharType="begin"/>
        </w:r>
        <w:r>
          <w:instrText xml:space="preserve">PAGEREF 2774 \h</w:instrText>
        </w:r>
        <w:r>
          <w:fldChar w:fldCharType="end"/>
        </w:r>
      </w:hyperlink>
    </w:p>
    <w:p>
      <w:pPr>
        <w:tabs>
          <w:tab w:val="right" w:leader="dot" w:pos="9062"/>
        </w:tabs>
        <w:ind w:left="220"/>
      </w:pPr>
      <w:hyperlink w:anchor="_Toc2775" w:history="1">
        <w:r>
          <w:rPr>
            <w:rFonts w:ascii="IRNazanin" w:hAnsi="IRNazanin" w:eastAsia="IRNazanin" w:cs="IRNazanin"/>
            <w:color w:val="111111"/>
            <w:sz w:val="22"/>
            <w:szCs w:val="22"/>
            <w:b w:val="0"/>
            <w:bCs w:val="0"/>
            <w:i w:val="0"/>
            <w:iCs w:val="0"/>
          </w:rPr>
          <w:t>حسيني شهرستاني ، محمد بن محمود</w:t>
        </w:r>
        <w:r>
          <w:tab/>
        </w:r>
        <w:r>
          <w:fldChar w:fldCharType="begin"/>
        </w:r>
        <w:r>
          <w:instrText xml:space="preserve">PAGEREF 2775 \h</w:instrText>
        </w:r>
        <w:r>
          <w:fldChar w:fldCharType="end"/>
        </w:r>
      </w:hyperlink>
    </w:p>
    <w:p>
      <w:pPr>
        <w:tabs>
          <w:tab w:val="right" w:leader="dot" w:pos="9062"/>
        </w:tabs>
        <w:ind w:left="220"/>
      </w:pPr>
      <w:hyperlink w:anchor="_Toc2776" w:history="1">
        <w:r>
          <w:rPr>
            <w:rFonts w:ascii="IRNazanin" w:hAnsi="IRNazanin" w:eastAsia="IRNazanin" w:cs="IRNazanin"/>
            <w:color w:val="111111"/>
            <w:sz w:val="22"/>
            <w:szCs w:val="22"/>
            <w:b w:val="0"/>
            <w:bCs w:val="0"/>
            <w:i w:val="0"/>
            <w:iCs w:val="0"/>
          </w:rPr>
          <w:t>حسيني شهرستاني ، محمّد علي بن محمّد</w:t>
        </w:r>
        <w:r>
          <w:tab/>
        </w:r>
        <w:r>
          <w:fldChar w:fldCharType="begin"/>
        </w:r>
        <w:r>
          <w:instrText xml:space="preserve">PAGEREF 2776 \h</w:instrText>
        </w:r>
        <w:r>
          <w:fldChar w:fldCharType="end"/>
        </w:r>
      </w:hyperlink>
    </w:p>
    <w:p>
      <w:pPr>
        <w:tabs>
          <w:tab w:val="right" w:leader="dot" w:pos="9062"/>
        </w:tabs>
        <w:ind w:left="220"/>
      </w:pPr>
      <w:hyperlink w:anchor="_Toc2777" w:history="1">
        <w:r>
          <w:rPr>
            <w:rFonts w:ascii="IRNazanin" w:hAnsi="IRNazanin" w:eastAsia="IRNazanin" w:cs="IRNazanin"/>
            <w:color w:val="111111"/>
            <w:sz w:val="22"/>
            <w:szCs w:val="22"/>
            <w:b w:val="0"/>
            <w:bCs w:val="0"/>
            <w:i w:val="0"/>
            <w:iCs w:val="0"/>
          </w:rPr>
          <w:t>حسيني شهشهاني ، محمّد بن عبدالصمد</w:t>
        </w:r>
        <w:r>
          <w:tab/>
        </w:r>
        <w:r>
          <w:fldChar w:fldCharType="begin"/>
        </w:r>
        <w:r>
          <w:instrText xml:space="preserve">PAGEREF 2777 \h</w:instrText>
        </w:r>
        <w:r>
          <w:fldChar w:fldCharType="end"/>
        </w:r>
      </w:hyperlink>
    </w:p>
    <w:p>
      <w:pPr>
        <w:tabs>
          <w:tab w:val="right" w:leader="dot" w:pos="9062"/>
        </w:tabs>
        <w:ind w:left="220"/>
      </w:pPr>
      <w:hyperlink w:anchor="_Toc2778" w:history="1">
        <w:r>
          <w:rPr>
            <w:rFonts w:ascii="IRNazanin" w:hAnsi="IRNazanin" w:eastAsia="IRNazanin" w:cs="IRNazanin"/>
            <w:color w:val="111111"/>
            <w:sz w:val="22"/>
            <w:szCs w:val="22"/>
            <w:b w:val="0"/>
            <w:bCs w:val="0"/>
            <w:i w:val="0"/>
            <w:iCs w:val="0"/>
          </w:rPr>
          <w:t>حسيني شيرازي ، محمود بن محمّد</w:t>
        </w:r>
        <w:r>
          <w:tab/>
        </w:r>
        <w:r>
          <w:fldChar w:fldCharType="begin"/>
        </w:r>
        <w:r>
          <w:instrText xml:space="preserve">PAGEREF 2778 \h</w:instrText>
        </w:r>
        <w:r>
          <w:fldChar w:fldCharType="end"/>
        </w:r>
      </w:hyperlink>
    </w:p>
    <w:p>
      <w:pPr>
        <w:tabs>
          <w:tab w:val="right" w:leader="dot" w:pos="9062"/>
        </w:tabs>
        <w:ind w:left="220"/>
      </w:pPr>
      <w:hyperlink w:anchor="_Toc2779" w:history="1">
        <w:r>
          <w:rPr>
            <w:rFonts w:ascii="IRNazanin" w:hAnsi="IRNazanin" w:eastAsia="IRNazanin" w:cs="IRNazanin"/>
            <w:color w:val="111111"/>
            <w:sz w:val="22"/>
            <w:szCs w:val="22"/>
            <w:b w:val="0"/>
            <w:bCs w:val="0"/>
            <w:i w:val="0"/>
            <w:iCs w:val="0"/>
          </w:rPr>
          <w:t>حسيني ، صالح بن حسين</w:t>
        </w:r>
        <w:r>
          <w:tab/>
        </w:r>
        <w:r>
          <w:fldChar w:fldCharType="begin"/>
        </w:r>
        <w:r>
          <w:instrText xml:space="preserve">PAGEREF 2779 \h</w:instrText>
        </w:r>
        <w:r>
          <w:fldChar w:fldCharType="end"/>
        </w:r>
      </w:hyperlink>
    </w:p>
    <w:p>
      <w:pPr>
        <w:tabs>
          <w:tab w:val="right" w:leader="dot" w:pos="9062"/>
        </w:tabs>
        <w:ind w:left="220"/>
      </w:pPr>
      <w:hyperlink w:anchor="_Toc2780" w:history="1">
        <w:r>
          <w:rPr>
            <w:rFonts w:ascii="IRNazanin" w:hAnsi="IRNazanin" w:eastAsia="IRNazanin" w:cs="IRNazanin"/>
            <w:color w:val="111111"/>
            <w:sz w:val="22"/>
            <w:szCs w:val="22"/>
            <w:b w:val="0"/>
            <w:bCs w:val="0"/>
            <w:i w:val="0"/>
            <w:iCs w:val="0"/>
          </w:rPr>
          <w:t>حسيني صنعاني ، محمّد بن اسماعیل قرن</w:t>
        </w:r>
        <w:r>
          <w:tab/>
        </w:r>
        <w:r>
          <w:fldChar w:fldCharType="begin"/>
        </w:r>
        <w:r>
          <w:instrText xml:space="preserve">PAGEREF 2780 \h</w:instrText>
        </w:r>
        <w:r>
          <w:fldChar w:fldCharType="end"/>
        </w:r>
      </w:hyperlink>
    </w:p>
    <w:p>
      <w:pPr>
        <w:tabs>
          <w:tab w:val="right" w:leader="dot" w:pos="9062"/>
        </w:tabs>
        <w:ind w:left="220"/>
      </w:pPr>
      <w:hyperlink w:anchor="_Toc2781" w:history="1">
        <w:r>
          <w:rPr>
            <w:rFonts w:ascii="IRNazanin" w:hAnsi="IRNazanin" w:eastAsia="IRNazanin" w:cs="IRNazanin"/>
            <w:color w:val="111111"/>
            <w:sz w:val="22"/>
            <w:szCs w:val="22"/>
            <w:b w:val="0"/>
            <w:bCs w:val="0"/>
            <w:i w:val="0"/>
            <w:iCs w:val="0"/>
          </w:rPr>
          <w:t>حسيني ، ضاحي بن هادي - 1333 ه-</w:t>
        </w:r>
        <w:r>
          <w:tab/>
        </w:r>
        <w:r>
          <w:fldChar w:fldCharType="begin"/>
        </w:r>
        <w:r>
          <w:instrText xml:space="preserve">PAGEREF 2781 \h</w:instrText>
        </w:r>
        <w:r>
          <w:fldChar w:fldCharType="end"/>
        </w:r>
      </w:hyperlink>
    </w:p>
    <w:p>
      <w:pPr>
        <w:tabs>
          <w:tab w:val="right" w:leader="dot" w:pos="9062"/>
        </w:tabs>
        <w:ind w:left="220"/>
      </w:pPr>
      <w:hyperlink w:anchor="_Toc2782" w:history="1">
        <w:r>
          <w:rPr>
            <w:rFonts w:ascii="IRNazanin" w:hAnsi="IRNazanin" w:eastAsia="IRNazanin" w:cs="IRNazanin"/>
            <w:color w:val="111111"/>
            <w:sz w:val="22"/>
            <w:szCs w:val="22"/>
            <w:b w:val="0"/>
            <w:bCs w:val="0"/>
            <w:i w:val="0"/>
            <w:iCs w:val="0"/>
          </w:rPr>
          <w:t>حسيني طالقاني ، موسى بن جعفر</w:t>
        </w:r>
        <w:r>
          <w:tab/>
        </w:r>
        <w:r>
          <w:fldChar w:fldCharType="begin"/>
        </w:r>
        <w:r>
          <w:instrText xml:space="preserve">PAGEREF 2782 \h</w:instrText>
        </w:r>
        <w:r>
          <w:fldChar w:fldCharType="end"/>
        </w:r>
      </w:hyperlink>
    </w:p>
    <w:p>
      <w:pPr>
        <w:tabs>
          <w:tab w:val="right" w:leader="dot" w:pos="9062"/>
        </w:tabs>
        <w:ind w:left="220"/>
      </w:pPr>
      <w:hyperlink w:anchor="_Toc2783" w:history="1">
        <w:r>
          <w:rPr>
            <w:rFonts w:ascii="IRNazanin" w:hAnsi="IRNazanin" w:eastAsia="IRNazanin" w:cs="IRNazanin"/>
            <w:color w:val="111111"/>
            <w:sz w:val="22"/>
            <w:szCs w:val="22"/>
            <w:b w:val="0"/>
            <w:bCs w:val="0"/>
            <w:i w:val="0"/>
            <w:iCs w:val="0"/>
          </w:rPr>
          <w:t>حسيني ، طاهر</w:t>
        </w:r>
        <w:r>
          <w:tab/>
        </w:r>
        <w:r>
          <w:fldChar w:fldCharType="begin"/>
        </w:r>
        <w:r>
          <w:instrText xml:space="preserve">PAGEREF 2783 \h</w:instrText>
        </w:r>
        <w:r>
          <w:fldChar w:fldCharType="end"/>
        </w:r>
      </w:hyperlink>
    </w:p>
    <w:p>
      <w:pPr>
        <w:tabs>
          <w:tab w:val="right" w:leader="dot" w:pos="9062"/>
        </w:tabs>
        <w:ind w:left="220"/>
      </w:pPr>
      <w:hyperlink w:anchor="_Toc2784" w:history="1">
        <w:r>
          <w:rPr>
            <w:rFonts w:ascii="IRNazanin" w:hAnsi="IRNazanin" w:eastAsia="IRNazanin" w:cs="IRNazanin"/>
            <w:color w:val="111111"/>
            <w:sz w:val="22"/>
            <w:szCs w:val="22"/>
            <w:b w:val="0"/>
            <w:bCs w:val="0"/>
            <w:i w:val="0"/>
            <w:iCs w:val="0"/>
          </w:rPr>
          <w:t>حسيني طباطبائي ، ابراهيم بن احمد</w:t>
        </w:r>
        <w:r>
          <w:tab/>
        </w:r>
        <w:r>
          <w:fldChar w:fldCharType="begin"/>
        </w:r>
        <w:r>
          <w:instrText xml:space="preserve">PAGEREF 2784 \h</w:instrText>
        </w:r>
        <w:r>
          <w:fldChar w:fldCharType="end"/>
        </w:r>
      </w:hyperlink>
    </w:p>
    <w:p>
      <w:pPr>
        <w:tabs>
          <w:tab w:val="right" w:leader="dot" w:pos="9062"/>
        </w:tabs>
        <w:ind w:left="220"/>
      </w:pPr>
      <w:hyperlink w:anchor="_Toc2785" w:history="1">
        <w:r>
          <w:rPr>
            <w:rFonts w:ascii="IRNazanin" w:hAnsi="IRNazanin" w:eastAsia="IRNazanin" w:cs="IRNazanin"/>
            <w:color w:val="111111"/>
            <w:sz w:val="22"/>
            <w:szCs w:val="22"/>
            <w:b w:val="0"/>
            <w:bCs w:val="0"/>
            <w:i w:val="0"/>
            <w:iCs w:val="0"/>
          </w:rPr>
          <w:t>حسيني طباطبائي ، محمّد اشرف بن</w:t>
        </w:r>
        <w:r>
          <w:tab/>
        </w:r>
        <w:r>
          <w:fldChar w:fldCharType="begin"/>
        </w:r>
        <w:r>
          <w:instrText xml:space="preserve">PAGEREF 2785 \h</w:instrText>
        </w:r>
        <w:r>
          <w:fldChar w:fldCharType="end"/>
        </w:r>
      </w:hyperlink>
    </w:p>
    <w:p>
      <w:pPr>
        <w:tabs>
          <w:tab w:val="right" w:leader="dot" w:pos="9062"/>
        </w:tabs>
        <w:ind w:left="220"/>
      </w:pPr>
      <w:hyperlink w:anchor="_Toc2786" w:history="1">
        <w:r>
          <w:rPr>
            <w:rFonts w:ascii="IRNazanin" w:hAnsi="IRNazanin" w:eastAsia="IRNazanin" w:cs="IRNazanin"/>
            <w:color w:val="111111"/>
            <w:sz w:val="22"/>
            <w:szCs w:val="22"/>
            <w:b w:val="0"/>
            <w:bCs w:val="0"/>
            <w:i w:val="0"/>
            <w:iCs w:val="0"/>
          </w:rPr>
          <w:t>حسيني طباطبائي ، محمّد حسن بن مرتضى</w:t>
        </w:r>
        <w:r>
          <w:tab/>
        </w:r>
        <w:r>
          <w:fldChar w:fldCharType="begin"/>
        </w:r>
        <w:r>
          <w:instrText xml:space="preserve">PAGEREF 2786 \h</w:instrText>
        </w:r>
        <w:r>
          <w:fldChar w:fldCharType="end"/>
        </w:r>
      </w:hyperlink>
    </w:p>
    <w:p>
      <w:pPr>
        <w:tabs>
          <w:tab w:val="right" w:leader="dot" w:pos="9062"/>
        </w:tabs>
        <w:ind w:left="220"/>
      </w:pPr>
      <w:hyperlink w:anchor="_Toc2787" w:history="1">
        <w:r>
          <w:rPr>
            <w:rFonts w:ascii="IRNazanin" w:hAnsi="IRNazanin" w:eastAsia="IRNazanin" w:cs="IRNazanin"/>
            <w:color w:val="111111"/>
            <w:sz w:val="22"/>
            <w:szCs w:val="22"/>
            <w:b w:val="0"/>
            <w:bCs w:val="0"/>
            <w:i w:val="0"/>
            <w:iCs w:val="0"/>
          </w:rPr>
          <w:t>حسيني طباطبائي ، محمّد صادق بن</w:t>
        </w:r>
        <w:r>
          <w:tab/>
        </w:r>
        <w:r>
          <w:fldChar w:fldCharType="begin"/>
        </w:r>
        <w:r>
          <w:instrText xml:space="preserve">PAGEREF 2787 \h</w:instrText>
        </w:r>
        <w:r>
          <w:fldChar w:fldCharType="end"/>
        </w:r>
      </w:hyperlink>
    </w:p>
    <w:p>
      <w:pPr>
        <w:tabs>
          <w:tab w:val="right" w:leader="dot" w:pos="9062"/>
        </w:tabs>
        <w:ind w:left="220"/>
      </w:pPr>
      <w:hyperlink w:anchor="_Toc2788" w:history="1">
        <w:r>
          <w:rPr>
            <w:rFonts w:ascii="IRNazanin" w:hAnsi="IRNazanin" w:eastAsia="IRNazanin" w:cs="IRNazanin"/>
            <w:color w:val="111111"/>
            <w:sz w:val="22"/>
            <w:szCs w:val="22"/>
            <w:b w:val="0"/>
            <w:bCs w:val="0"/>
            <w:i w:val="0"/>
            <w:iCs w:val="0"/>
          </w:rPr>
          <w:t>حسيني طهراني ، محمّد - 1317 ه-</w:t>
        </w:r>
        <w:r>
          <w:tab/>
        </w:r>
        <w:r>
          <w:fldChar w:fldCharType="begin"/>
        </w:r>
        <w:r>
          <w:instrText xml:space="preserve">PAGEREF 2788 \h</w:instrText>
        </w:r>
        <w:r>
          <w:fldChar w:fldCharType="end"/>
        </w:r>
      </w:hyperlink>
    </w:p>
    <w:p>
      <w:pPr>
        <w:tabs>
          <w:tab w:val="right" w:leader="dot" w:pos="9062"/>
        </w:tabs>
        <w:ind w:left="220"/>
      </w:pPr>
      <w:hyperlink w:anchor="_Toc2789" w:history="1">
        <w:r>
          <w:rPr>
            <w:rFonts w:ascii="IRNazanin" w:hAnsi="IRNazanin" w:eastAsia="IRNazanin" w:cs="IRNazanin"/>
            <w:color w:val="111111"/>
            <w:sz w:val="22"/>
            <w:szCs w:val="22"/>
            <w:b w:val="0"/>
            <w:bCs w:val="0"/>
            <w:i w:val="0"/>
            <w:iCs w:val="0"/>
          </w:rPr>
          <w:t>حسيني عاملي ، حسين بن محمّد</w:t>
        </w:r>
        <w:r>
          <w:tab/>
        </w:r>
        <w:r>
          <w:fldChar w:fldCharType="begin"/>
        </w:r>
        <w:r>
          <w:instrText xml:space="preserve">PAGEREF 2789 \h</w:instrText>
        </w:r>
        <w:r>
          <w:fldChar w:fldCharType="end"/>
        </w:r>
      </w:hyperlink>
    </w:p>
    <w:p>
      <w:pPr>
        <w:tabs>
          <w:tab w:val="right" w:leader="dot" w:pos="9062"/>
        </w:tabs>
        <w:ind w:left="220"/>
      </w:pPr>
      <w:hyperlink w:anchor="_Toc2790" w:history="1">
        <w:r>
          <w:rPr>
            <w:rFonts w:ascii="IRNazanin" w:hAnsi="IRNazanin" w:eastAsia="IRNazanin" w:cs="IRNazanin"/>
            <w:color w:val="111111"/>
            <w:sz w:val="22"/>
            <w:szCs w:val="22"/>
            <w:b w:val="0"/>
            <w:bCs w:val="0"/>
            <w:i w:val="0"/>
            <w:iCs w:val="0"/>
          </w:rPr>
          <w:t>حسيني عاملي ، محمّد شفیع بن محمّد</w:t>
        </w:r>
        <w:r>
          <w:tab/>
        </w:r>
        <w:r>
          <w:fldChar w:fldCharType="begin"/>
        </w:r>
        <w:r>
          <w:instrText xml:space="preserve">PAGEREF 2790 \h</w:instrText>
        </w:r>
        <w:r>
          <w:fldChar w:fldCharType="end"/>
        </w:r>
      </w:hyperlink>
    </w:p>
    <w:p>
      <w:pPr>
        <w:tabs>
          <w:tab w:val="right" w:leader="dot" w:pos="9062"/>
        </w:tabs>
        <w:ind w:left="220"/>
      </w:pPr>
      <w:hyperlink w:anchor="_Toc2791" w:history="1">
        <w:r>
          <w:rPr>
            <w:rFonts w:ascii="IRNazanin" w:hAnsi="IRNazanin" w:eastAsia="IRNazanin" w:cs="IRNazanin"/>
            <w:color w:val="111111"/>
            <w:sz w:val="22"/>
            <w:szCs w:val="22"/>
            <w:b w:val="0"/>
            <w:bCs w:val="0"/>
            <w:i w:val="0"/>
            <w:iCs w:val="0"/>
          </w:rPr>
          <w:t>حسيني ، عبد الرحيم بن عبدالله</w:t>
        </w:r>
        <w:r>
          <w:tab/>
        </w:r>
        <w:r>
          <w:fldChar w:fldCharType="begin"/>
        </w:r>
        <w:r>
          <w:instrText xml:space="preserve">PAGEREF 2791 \h</w:instrText>
        </w:r>
        <w:r>
          <w:fldChar w:fldCharType="end"/>
        </w:r>
      </w:hyperlink>
    </w:p>
    <w:p>
      <w:pPr>
        <w:tabs>
          <w:tab w:val="right" w:leader="dot" w:pos="9062"/>
        </w:tabs>
        <w:ind w:left="220"/>
      </w:pPr>
      <w:hyperlink w:anchor="_Toc2792" w:history="1">
        <w:r>
          <w:rPr>
            <w:rFonts w:ascii="IRNazanin" w:hAnsi="IRNazanin" w:eastAsia="IRNazanin" w:cs="IRNazanin"/>
            <w:color w:val="111111"/>
            <w:sz w:val="22"/>
            <w:szCs w:val="22"/>
            <w:b w:val="0"/>
            <w:bCs w:val="0"/>
            <w:i w:val="0"/>
            <w:iCs w:val="0"/>
          </w:rPr>
          <w:t>حسيني ، عبد العظيم بن عبد الغني قرن</w:t>
        </w:r>
        <w:r>
          <w:tab/>
        </w:r>
        <w:r>
          <w:fldChar w:fldCharType="begin"/>
        </w:r>
        <w:r>
          <w:instrText xml:space="preserve">PAGEREF 2792 \h</w:instrText>
        </w:r>
        <w:r>
          <w:fldChar w:fldCharType="end"/>
        </w:r>
      </w:hyperlink>
    </w:p>
    <w:p>
      <w:pPr>
        <w:tabs>
          <w:tab w:val="right" w:leader="dot" w:pos="9062"/>
        </w:tabs>
        <w:ind w:left="220"/>
      </w:pPr>
      <w:hyperlink w:anchor="_Toc2793" w:history="1">
        <w:r>
          <w:rPr>
            <w:rFonts w:ascii="IRNazanin" w:hAnsi="IRNazanin" w:eastAsia="IRNazanin" w:cs="IRNazanin"/>
            <w:color w:val="111111"/>
            <w:sz w:val="22"/>
            <w:szCs w:val="22"/>
            <w:b w:val="0"/>
            <w:bCs w:val="0"/>
            <w:i w:val="0"/>
            <w:iCs w:val="0"/>
          </w:rPr>
          <w:t>حسيني عبدالله بن ابي تراب قرن 13 ه-</w:t>
        </w:r>
        <w:r>
          <w:tab/>
        </w:r>
        <w:r>
          <w:fldChar w:fldCharType="begin"/>
        </w:r>
        <w:r>
          <w:instrText xml:space="preserve">PAGEREF 2793 \h</w:instrText>
        </w:r>
        <w:r>
          <w:fldChar w:fldCharType="end"/>
        </w:r>
      </w:hyperlink>
    </w:p>
    <w:p>
      <w:pPr>
        <w:tabs>
          <w:tab w:val="right" w:leader="dot" w:pos="9062"/>
        </w:tabs>
        <w:ind w:left="220"/>
      </w:pPr>
      <w:hyperlink w:anchor="_Toc2794" w:history="1">
        <w:r>
          <w:rPr>
            <w:rFonts w:ascii="IRNazanin" w:hAnsi="IRNazanin" w:eastAsia="IRNazanin" w:cs="IRNazanin"/>
            <w:color w:val="111111"/>
            <w:sz w:val="22"/>
            <w:szCs w:val="22"/>
            <w:b w:val="0"/>
            <w:bCs w:val="0"/>
            <w:i w:val="0"/>
            <w:iCs w:val="0"/>
          </w:rPr>
          <w:t>حسيني ، عبدالله بن احمد</w:t>
        </w:r>
        <w:r>
          <w:tab/>
        </w:r>
        <w:r>
          <w:fldChar w:fldCharType="begin"/>
        </w:r>
        <w:r>
          <w:instrText xml:space="preserve">PAGEREF 2794 \h</w:instrText>
        </w:r>
        <w:r>
          <w:fldChar w:fldCharType="end"/>
        </w:r>
      </w:hyperlink>
    </w:p>
    <w:p>
      <w:pPr>
        <w:tabs>
          <w:tab w:val="right" w:leader="dot" w:pos="9062"/>
        </w:tabs>
        <w:ind w:left="220"/>
      </w:pPr>
      <w:hyperlink w:anchor="_Toc2795" w:history="1">
        <w:r>
          <w:rPr>
            <w:rFonts w:ascii="IRNazanin" w:hAnsi="IRNazanin" w:eastAsia="IRNazanin" w:cs="IRNazanin"/>
            <w:color w:val="111111"/>
            <w:sz w:val="22"/>
            <w:szCs w:val="22"/>
            <w:b w:val="0"/>
            <w:bCs w:val="0"/>
            <w:i w:val="0"/>
            <w:iCs w:val="0"/>
          </w:rPr>
          <w:t>حسيني ، عبدالله شريف - 760 ؟ ه-</w:t>
        </w:r>
        <w:r>
          <w:tab/>
        </w:r>
        <w:r>
          <w:fldChar w:fldCharType="begin"/>
        </w:r>
        <w:r>
          <w:instrText xml:space="preserve">PAGEREF 2795 \h</w:instrText>
        </w:r>
        <w:r>
          <w:fldChar w:fldCharType="end"/>
        </w:r>
      </w:hyperlink>
    </w:p>
    <w:p>
      <w:pPr>
        <w:tabs>
          <w:tab w:val="right" w:leader="dot" w:pos="9062"/>
        </w:tabs>
        <w:ind w:left="220"/>
      </w:pPr>
      <w:hyperlink w:anchor="_Toc2796" w:history="1">
        <w:r>
          <w:rPr>
            <w:rFonts w:ascii="IRNazanin" w:hAnsi="IRNazanin" w:eastAsia="IRNazanin" w:cs="IRNazanin"/>
            <w:color w:val="111111"/>
            <w:sz w:val="22"/>
            <w:szCs w:val="22"/>
            <w:b w:val="0"/>
            <w:bCs w:val="0"/>
            <w:i w:val="0"/>
            <w:iCs w:val="0"/>
          </w:rPr>
          <w:t>حسيني ، عطاء الله بن محمود - ه-919</w:t>
        </w:r>
        <w:r>
          <w:tab/>
        </w:r>
        <w:r>
          <w:fldChar w:fldCharType="begin"/>
        </w:r>
        <w:r>
          <w:instrText xml:space="preserve">PAGEREF 2796 \h</w:instrText>
        </w:r>
        <w:r>
          <w:fldChar w:fldCharType="end"/>
        </w:r>
      </w:hyperlink>
    </w:p>
    <w:p>
      <w:pPr>
        <w:tabs>
          <w:tab w:val="right" w:leader="dot" w:pos="9062"/>
        </w:tabs>
        <w:ind w:left="220"/>
      </w:pPr>
      <w:hyperlink w:anchor="_Toc2797" w:history="1">
        <w:r>
          <w:rPr>
            <w:rFonts w:ascii="IRNazanin" w:hAnsi="IRNazanin" w:eastAsia="IRNazanin" w:cs="IRNazanin"/>
            <w:color w:val="111111"/>
            <w:sz w:val="22"/>
            <w:szCs w:val="22"/>
            <w:b w:val="0"/>
            <w:bCs w:val="0"/>
            <w:i w:val="0"/>
            <w:iCs w:val="0"/>
          </w:rPr>
          <w:t>حسيني علوي ، عبدالله بن حسن</w:t>
        </w:r>
        <w:r>
          <w:tab/>
        </w:r>
        <w:r>
          <w:fldChar w:fldCharType="begin"/>
        </w:r>
        <w:r>
          <w:instrText xml:space="preserve">PAGEREF 2797 \h</w:instrText>
        </w:r>
        <w:r>
          <w:fldChar w:fldCharType="end"/>
        </w:r>
      </w:hyperlink>
    </w:p>
    <w:p>
      <w:pPr>
        <w:tabs>
          <w:tab w:val="right" w:leader="dot" w:pos="9062"/>
        </w:tabs>
        <w:ind w:left="220"/>
      </w:pPr>
      <w:hyperlink w:anchor="_Toc2798" w:history="1">
        <w:r>
          <w:rPr>
            <w:rFonts w:ascii="IRNazanin" w:hAnsi="IRNazanin" w:eastAsia="IRNazanin" w:cs="IRNazanin"/>
            <w:color w:val="111111"/>
            <w:sz w:val="22"/>
            <w:szCs w:val="22"/>
            <w:b w:val="0"/>
            <w:bCs w:val="0"/>
            <w:i w:val="0"/>
            <w:iCs w:val="0"/>
          </w:rPr>
          <w:t>حسيني علوي محمّد بن احمد قرن 11ه-</w:t>
        </w:r>
        <w:r>
          <w:tab/>
        </w:r>
        <w:r>
          <w:fldChar w:fldCharType="begin"/>
        </w:r>
        <w:r>
          <w:instrText xml:space="preserve">PAGEREF 2798 \h</w:instrText>
        </w:r>
        <w:r>
          <w:fldChar w:fldCharType="end"/>
        </w:r>
      </w:hyperlink>
    </w:p>
    <w:p>
      <w:pPr>
        <w:tabs>
          <w:tab w:val="right" w:leader="dot" w:pos="9062"/>
        </w:tabs>
        <w:ind w:left="220"/>
      </w:pPr>
      <w:hyperlink w:anchor="_Toc2799" w:history="1">
        <w:r>
          <w:rPr>
            <w:rFonts w:ascii="IRNazanin" w:hAnsi="IRNazanin" w:eastAsia="IRNazanin" w:cs="IRNazanin"/>
            <w:color w:val="111111"/>
            <w:sz w:val="22"/>
            <w:szCs w:val="22"/>
            <w:b w:val="0"/>
            <w:bCs w:val="0"/>
            <w:i w:val="0"/>
            <w:iCs w:val="0"/>
          </w:rPr>
          <w:t>حسيني علوي محمّد بن محمّد -437؟ه-</w:t>
        </w:r>
        <w:r>
          <w:tab/>
        </w:r>
        <w:r>
          <w:fldChar w:fldCharType="begin"/>
        </w:r>
        <w:r>
          <w:instrText xml:space="preserve">PAGEREF 2799 \h</w:instrText>
        </w:r>
        <w:r>
          <w:fldChar w:fldCharType="end"/>
        </w:r>
      </w:hyperlink>
    </w:p>
    <w:p>
      <w:pPr>
        <w:tabs>
          <w:tab w:val="right" w:leader="dot" w:pos="9062"/>
        </w:tabs>
        <w:ind w:left="220"/>
      </w:pPr>
      <w:hyperlink w:anchor="_Toc2800" w:history="1">
        <w:r>
          <w:rPr>
            <w:rFonts w:ascii="IRNazanin" w:hAnsi="IRNazanin" w:eastAsia="IRNazanin" w:cs="IRNazanin"/>
            <w:color w:val="111111"/>
            <w:sz w:val="22"/>
            <w:szCs w:val="22"/>
            <w:b w:val="0"/>
            <w:bCs w:val="0"/>
            <w:i w:val="0"/>
            <w:iCs w:val="0"/>
          </w:rPr>
          <w:t>حسيني علوي ، محمّد شریف بن محمّد</w:t>
        </w:r>
        <w:r>
          <w:tab/>
        </w:r>
        <w:r>
          <w:fldChar w:fldCharType="begin"/>
        </w:r>
        <w:r>
          <w:instrText xml:space="preserve">PAGEREF 2800 \h</w:instrText>
        </w:r>
        <w:r>
          <w:fldChar w:fldCharType="end"/>
        </w:r>
      </w:hyperlink>
    </w:p>
    <w:p>
      <w:pPr>
        <w:tabs>
          <w:tab w:val="right" w:leader="dot" w:pos="9062"/>
        </w:tabs>
        <w:ind w:left="220"/>
      </w:pPr>
      <w:hyperlink w:anchor="_Toc2801" w:history="1">
        <w:r>
          <w:rPr>
            <w:rFonts w:ascii="IRNazanin" w:hAnsi="IRNazanin" w:eastAsia="IRNazanin" w:cs="IRNazanin"/>
            <w:color w:val="111111"/>
            <w:sz w:val="22"/>
            <w:szCs w:val="22"/>
            <w:b w:val="0"/>
            <w:bCs w:val="0"/>
            <w:i w:val="0"/>
            <w:iCs w:val="0"/>
          </w:rPr>
          <w:t>حسيني علوي ، نظام الدین، قرن 13 ه-</w:t>
        </w:r>
        <w:r>
          <w:tab/>
        </w:r>
        <w:r>
          <w:fldChar w:fldCharType="begin"/>
        </w:r>
        <w:r>
          <w:instrText xml:space="preserve">PAGEREF 2801 \h</w:instrText>
        </w:r>
        <w:r>
          <w:fldChar w:fldCharType="end"/>
        </w:r>
      </w:hyperlink>
    </w:p>
    <w:p>
      <w:pPr>
        <w:tabs>
          <w:tab w:val="right" w:leader="dot" w:pos="9062"/>
        </w:tabs>
        <w:ind w:left="220"/>
      </w:pPr>
      <w:hyperlink w:anchor="_Toc2802" w:history="1">
        <w:r>
          <w:rPr>
            <w:rFonts w:ascii="IRNazanin" w:hAnsi="IRNazanin" w:eastAsia="IRNazanin" w:cs="IRNazanin"/>
            <w:color w:val="111111"/>
            <w:sz w:val="22"/>
            <w:szCs w:val="22"/>
            <w:b w:val="0"/>
            <w:bCs w:val="0"/>
            <w:i w:val="0"/>
            <w:iCs w:val="0"/>
          </w:rPr>
          <w:t>حسيني ، علي اكبر بن محمّد باقر</w:t>
        </w:r>
        <w:r>
          <w:tab/>
        </w:r>
        <w:r>
          <w:fldChar w:fldCharType="begin"/>
        </w:r>
        <w:r>
          <w:instrText xml:space="preserve">PAGEREF 2802 \h</w:instrText>
        </w:r>
        <w:r>
          <w:fldChar w:fldCharType="end"/>
        </w:r>
      </w:hyperlink>
    </w:p>
    <w:p>
      <w:pPr>
        <w:tabs>
          <w:tab w:val="right" w:leader="dot" w:pos="9062"/>
        </w:tabs>
        <w:ind w:left="220"/>
      </w:pPr>
      <w:hyperlink w:anchor="_Toc2803" w:history="1">
        <w:r>
          <w:rPr>
            <w:rFonts w:ascii="IRNazanin" w:hAnsi="IRNazanin" w:eastAsia="IRNazanin" w:cs="IRNazanin"/>
            <w:color w:val="111111"/>
            <w:sz w:val="22"/>
            <w:szCs w:val="22"/>
            <w:b w:val="0"/>
            <w:bCs w:val="0"/>
            <w:i w:val="0"/>
            <w:iCs w:val="0"/>
          </w:rPr>
          <w:t>حسيني ، علي بن حسين قرن 9 ه-</w:t>
        </w:r>
        <w:r>
          <w:tab/>
        </w:r>
        <w:r>
          <w:fldChar w:fldCharType="begin"/>
        </w:r>
        <w:r>
          <w:instrText xml:space="preserve">PAGEREF 2803 \h</w:instrText>
        </w:r>
        <w:r>
          <w:fldChar w:fldCharType="end"/>
        </w:r>
      </w:hyperlink>
    </w:p>
    <w:p>
      <w:pPr>
        <w:tabs>
          <w:tab w:val="right" w:leader="dot" w:pos="9062"/>
        </w:tabs>
        <w:ind w:left="220"/>
      </w:pPr>
      <w:hyperlink w:anchor="_Toc2804" w:history="1">
        <w:r>
          <w:rPr>
            <w:rFonts w:ascii="IRNazanin" w:hAnsi="IRNazanin" w:eastAsia="IRNazanin" w:cs="IRNazanin"/>
            <w:color w:val="111111"/>
            <w:sz w:val="22"/>
            <w:szCs w:val="22"/>
            <w:b w:val="0"/>
            <w:bCs w:val="0"/>
            <w:i w:val="0"/>
            <w:iCs w:val="0"/>
          </w:rPr>
          <w:t>حسيني ، علي بن دهان</w:t>
        </w:r>
        <w:r>
          <w:tab/>
        </w:r>
        <w:r>
          <w:fldChar w:fldCharType="begin"/>
        </w:r>
        <w:r>
          <w:instrText xml:space="preserve">PAGEREF 2804 \h</w:instrText>
        </w:r>
        <w:r>
          <w:fldChar w:fldCharType="end"/>
        </w:r>
      </w:hyperlink>
    </w:p>
    <w:p>
      <w:pPr>
        <w:tabs>
          <w:tab w:val="right" w:leader="dot" w:pos="9062"/>
        </w:tabs>
        <w:ind w:left="220"/>
      </w:pPr>
      <w:hyperlink w:anchor="_Toc2805" w:history="1">
        <w:r>
          <w:rPr>
            <w:rFonts w:ascii="IRNazanin" w:hAnsi="IRNazanin" w:eastAsia="IRNazanin" w:cs="IRNazanin"/>
            <w:color w:val="111111"/>
            <w:sz w:val="22"/>
            <w:szCs w:val="22"/>
            <w:b w:val="0"/>
            <w:bCs w:val="0"/>
            <w:i w:val="0"/>
            <w:iCs w:val="0"/>
          </w:rPr>
          <w:t>حسيني ، علي بن محمّد</w:t>
        </w:r>
        <w:r>
          <w:tab/>
        </w:r>
        <w:r>
          <w:fldChar w:fldCharType="begin"/>
        </w:r>
        <w:r>
          <w:instrText xml:space="preserve">PAGEREF 2805 \h</w:instrText>
        </w:r>
        <w:r>
          <w:fldChar w:fldCharType="end"/>
        </w:r>
      </w:hyperlink>
    </w:p>
    <w:p>
      <w:pPr>
        <w:tabs>
          <w:tab w:val="right" w:leader="dot" w:pos="9062"/>
        </w:tabs>
        <w:ind w:left="220"/>
      </w:pPr>
      <w:hyperlink w:anchor="_Toc2806" w:history="1">
        <w:r>
          <w:rPr>
            <w:rFonts w:ascii="IRNazanin" w:hAnsi="IRNazanin" w:eastAsia="IRNazanin" w:cs="IRNazanin"/>
            <w:color w:val="111111"/>
            <w:sz w:val="22"/>
            <w:szCs w:val="22"/>
            <w:b w:val="0"/>
            <w:bCs w:val="0"/>
            <w:i w:val="0"/>
            <w:iCs w:val="0"/>
          </w:rPr>
          <w:t>حسيني ، عمر بن عبد الرحيم</w:t>
        </w:r>
        <w:r>
          <w:tab/>
        </w:r>
        <w:r>
          <w:fldChar w:fldCharType="begin"/>
        </w:r>
        <w:r>
          <w:instrText xml:space="preserve">PAGEREF 2806 \h</w:instrText>
        </w:r>
        <w:r>
          <w:fldChar w:fldCharType="end"/>
        </w:r>
      </w:hyperlink>
    </w:p>
    <w:p>
      <w:pPr>
        <w:tabs>
          <w:tab w:val="right" w:leader="dot" w:pos="9062"/>
        </w:tabs>
        <w:ind w:left="220"/>
      </w:pPr>
      <w:hyperlink w:anchor="_Toc2807" w:history="1">
        <w:r>
          <w:rPr>
            <w:rFonts w:ascii="IRNazanin" w:hAnsi="IRNazanin" w:eastAsia="IRNazanin" w:cs="IRNazanin"/>
            <w:color w:val="111111"/>
            <w:sz w:val="22"/>
            <w:szCs w:val="22"/>
            <w:b w:val="0"/>
            <w:bCs w:val="0"/>
            <w:i w:val="0"/>
            <w:iCs w:val="0"/>
          </w:rPr>
          <w:t>حسيني غروي ، محمّد علي</w:t>
        </w:r>
        <w:r>
          <w:tab/>
        </w:r>
        <w:r>
          <w:fldChar w:fldCharType="begin"/>
        </w:r>
        <w:r>
          <w:instrText xml:space="preserve">PAGEREF 2807 \h</w:instrText>
        </w:r>
        <w:r>
          <w:fldChar w:fldCharType="end"/>
        </w:r>
      </w:hyperlink>
    </w:p>
    <w:p>
      <w:pPr>
        <w:tabs>
          <w:tab w:val="right" w:leader="dot" w:pos="9062"/>
        </w:tabs>
        <w:ind w:left="220"/>
      </w:pPr>
      <w:hyperlink w:anchor="_Toc2808" w:history="1">
        <w:r>
          <w:rPr>
            <w:rFonts w:ascii="IRNazanin" w:hAnsi="IRNazanin" w:eastAsia="IRNazanin" w:cs="IRNazanin"/>
            <w:color w:val="111111"/>
            <w:sz w:val="22"/>
            <w:szCs w:val="22"/>
            <w:b w:val="0"/>
            <w:bCs w:val="0"/>
            <w:i w:val="0"/>
            <w:iCs w:val="0"/>
          </w:rPr>
          <w:t>حسيني ، فتح الله بن حبيب الله، قرن 10ه-</w:t>
        </w:r>
        <w:r>
          <w:tab/>
        </w:r>
        <w:r>
          <w:fldChar w:fldCharType="begin"/>
        </w:r>
        <w:r>
          <w:instrText xml:space="preserve">PAGEREF 2808 \h</w:instrText>
        </w:r>
        <w:r>
          <w:fldChar w:fldCharType="end"/>
        </w:r>
      </w:hyperlink>
    </w:p>
    <w:p>
      <w:pPr>
        <w:tabs>
          <w:tab w:val="right" w:leader="dot" w:pos="9062"/>
        </w:tabs>
        <w:ind w:left="220"/>
      </w:pPr>
      <w:hyperlink w:anchor="_Toc2809" w:history="1">
        <w:r>
          <w:rPr>
            <w:rFonts w:ascii="IRNazanin" w:hAnsi="IRNazanin" w:eastAsia="IRNazanin" w:cs="IRNazanin"/>
            <w:color w:val="111111"/>
            <w:sz w:val="22"/>
            <w:szCs w:val="22"/>
            <w:b w:val="0"/>
            <w:bCs w:val="0"/>
            <w:i w:val="0"/>
            <w:iCs w:val="0"/>
          </w:rPr>
          <w:t>حسيني قائني ، ابو طالب بن ابي تراب</w:t>
        </w:r>
        <w:r>
          <w:tab/>
        </w:r>
        <w:r>
          <w:fldChar w:fldCharType="begin"/>
        </w:r>
        <w:r>
          <w:instrText xml:space="preserve">PAGEREF 2809 \h</w:instrText>
        </w:r>
        <w:r>
          <w:fldChar w:fldCharType="end"/>
        </w:r>
      </w:hyperlink>
    </w:p>
    <w:p>
      <w:pPr>
        <w:tabs>
          <w:tab w:val="right" w:leader="dot" w:pos="9062"/>
        </w:tabs>
        <w:ind w:left="220"/>
      </w:pPr>
      <w:hyperlink w:anchor="_Toc2810" w:history="1">
        <w:r>
          <w:rPr>
            <w:rFonts w:ascii="IRNazanin" w:hAnsi="IRNazanin" w:eastAsia="IRNazanin" w:cs="IRNazanin"/>
            <w:color w:val="111111"/>
            <w:sz w:val="22"/>
            <w:szCs w:val="22"/>
            <w:b w:val="0"/>
            <w:bCs w:val="0"/>
            <w:i w:val="0"/>
            <w:iCs w:val="0"/>
          </w:rPr>
          <w:t>حسيني قائيني ، اسدالله</w:t>
        </w:r>
        <w:r>
          <w:tab/>
        </w:r>
        <w:r>
          <w:fldChar w:fldCharType="begin"/>
        </w:r>
        <w:r>
          <w:instrText xml:space="preserve">PAGEREF 2810 \h</w:instrText>
        </w:r>
        <w:r>
          <w:fldChar w:fldCharType="end"/>
        </w:r>
      </w:hyperlink>
    </w:p>
    <w:p>
      <w:pPr>
        <w:tabs>
          <w:tab w:val="right" w:leader="dot" w:pos="9062"/>
        </w:tabs>
        <w:ind w:left="220"/>
      </w:pPr>
      <w:hyperlink w:anchor="_Toc2811" w:history="1">
        <w:r>
          <w:rPr>
            <w:rFonts w:ascii="IRNazanin" w:hAnsi="IRNazanin" w:eastAsia="IRNazanin" w:cs="IRNazanin"/>
            <w:color w:val="111111"/>
            <w:sz w:val="22"/>
            <w:szCs w:val="22"/>
            <w:b w:val="0"/>
            <w:bCs w:val="0"/>
            <w:i w:val="0"/>
            <w:iCs w:val="0"/>
          </w:rPr>
          <w:t>حسيني قاري ، عبد الجليل بن احمد</w:t>
        </w:r>
        <w:r>
          <w:tab/>
        </w:r>
        <w:r>
          <w:fldChar w:fldCharType="begin"/>
        </w:r>
        <w:r>
          <w:instrText xml:space="preserve">PAGEREF 2811 \h</w:instrText>
        </w:r>
        <w:r>
          <w:fldChar w:fldCharType="end"/>
        </w:r>
      </w:hyperlink>
    </w:p>
    <w:p>
      <w:pPr>
        <w:tabs>
          <w:tab w:val="right" w:leader="dot" w:pos="9062"/>
        </w:tabs>
        <w:ind w:left="220"/>
      </w:pPr>
      <w:hyperlink w:anchor="_Toc2812" w:history="1">
        <w:r>
          <w:rPr>
            <w:rFonts w:ascii="IRNazanin" w:hAnsi="IRNazanin" w:eastAsia="IRNazanin" w:cs="IRNazanin"/>
            <w:color w:val="111111"/>
            <w:sz w:val="22"/>
            <w:szCs w:val="22"/>
            <w:b w:val="0"/>
            <w:bCs w:val="0"/>
            <w:i w:val="0"/>
            <w:iCs w:val="0"/>
          </w:rPr>
          <w:t>حسيني ، قاسم بن محمّد قرن 11 ه-</w:t>
        </w:r>
        <w:r>
          <w:tab/>
        </w:r>
        <w:r>
          <w:fldChar w:fldCharType="begin"/>
        </w:r>
        <w:r>
          <w:instrText xml:space="preserve">PAGEREF 2812 \h</w:instrText>
        </w:r>
        <w:r>
          <w:fldChar w:fldCharType="end"/>
        </w:r>
      </w:hyperlink>
    </w:p>
    <w:p>
      <w:pPr>
        <w:tabs>
          <w:tab w:val="right" w:leader="dot" w:pos="9062"/>
        </w:tabs>
        <w:ind w:left="220"/>
      </w:pPr>
      <w:hyperlink w:anchor="_Toc2813" w:history="1">
        <w:r>
          <w:rPr>
            <w:rFonts w:ascii="IRNazanin" w:hAnsi="IRNazanin" w:eastAsia="IRNazanin" w:cs="IRNazanin"/>
            <w:color w:val="111111"/>
            <w:sz w:val="22"/>
            <w:szCs w:val="22"/>
            <w:b w:val="0"/>
            <w:bCs w:val="0"/>
            <w:i w:val="0"/>
            <w:iCs w:val="0"/>
          </w:rPr>
          <w:t>حسيني قزويني ، قريش بن محمّد .</w:t>
        </w:r>
        <w:r>
          <w:tab/>
        </w:r>
        <w:r>
          <w:fldChar w:fldCharType="begin"/>
        </w:r>
        <w:r>
          <w:instrText xml:space="preserve">PAGEREF 2813 \h</w:instrText>
        </w:r>
        <w:r>
          <w:fldChar w:fldCharType="end"/>
        </w:r>
      </w:hyperlink>
    </w:p>
    <w:p>
      <w:pPr>
        <w:tabs>
          <w:tab w:val="right" w:leader="dot" w:pos="9062"/>
        </w:tabs>
        <w:ind w:left="220"/>
      </w:pPr>
      <w:hyperlink w:anchor="_Toc2814" w:history="1">
        <w:r>
          <w:rPr>
            <w:rFonts w:ascii="IRNazanin" w:hAnsi="IRNazanin" w:eastAsia="IRNazanin" w:cs="IRNazanin"/>
            <w:color w:val="111111"/>
            <w:sz w:val="22"/>
            <w:szCs w:val="22"/>
            <w:b w:val="0"/>
            <w:bCs w:val="0"/>
            <w:i w:val="0"/>
            <w:iCs w:val="0"/>
          </w:rPr>
          <w:t>حسيني قزويني ، محمّد بن جعفر، قرن</w:t>
        </w:r>
        <w:r>
          <w:tab/>
        </w:r>
        <w:r>
          <w:fldChar w:fldCharType="begin"/>
        </w:r>
        <w:r>
          <w:instrText xml:space="preserve">PAGEREF 2814 \h</w:instrText>
        </w:r>
        <w:r>
          <w:fldChar w:fldCharType="end"/>
        </w:r>
      </w:hyperlink>
    </w:p>
    <w:p>
      <w:pPr>
        <w:tabs>
          <w:tab w:val="right" w:leader="dot" w:pos="9062"/>
        </w:tabs>
        <w:ind w:left="220"/>
      </w:pPr>
      <w:hyperlink w:anchor="_Toc2815" w:history="1">
        <w:r>
          <w:rPr>
            <w:rFonts w:ascii="IRNazanin" w:hAnsi="IRNazanin" w:eastAsia="IRNazanin" w:cs="IRNazanin"/>
            <w:color w:val="111111"/>
            <w:sz w:val="22"/>
            <w:szCs w:val="22"/>
            <w:b w:val="0"/>
            <w:bCs w:val="0"/>
            <w:i w:val="0"/>
            <w:iCs w:val="0"/>
          </w:rPr>
          <w:t>حسيني قزويني ، محمّد بن محمّد صادق</w:t>
        </w:r>
        <w:r>
          <w:tab/>
        </w:r>
        <w:r>
          <w:fldChar w:fldCharType="begin"/>
        </w:r>
        <w:r>
          <w:instrText xml:space="preserve">PAGEREF 2815 \h</w:instrText>
        </w:r>
        <w:r>
          <w:fldChar w:fldCharType="end"/>
        </w:r>
      </w:hyperlink>
    </w:p>
    <w:p>
      <w:pPr>
        <w:tabs>
          <w:tab w:val="right" w:leader="dot" w:pos="9062"/>
        </w:tabs>
        <w:ind w:left="220"/>
      </w:pPr>
      <w:hyperlink w:anchor="_Toc2816" w:history="1">
        <w:r>
          <w:rPr>
            <w:rFonts w:ascii="IRNazanin" w:hAnsi="IRNazanin" w:eastAsia="IRNazanin" w:cs="IRNazanin"/>
            <w:color w:val="111111"/>
            <w:sz w:val="22"/>
            <w:szCs w:val="22"/>
            <w:b w:val="0"/>
            <w:bCs w:val="0"/>
            <w:i w:val="0"/>
            <w:iCs w:val="0"/>
          </w:rPr>
          <w:t>حسيني قزويني ، محمّد تقي بن امير</w:t>
        </w:r>
        <w:r>
          <w:tab/>
        </w:r>
        <w:r>
          <w:fldChar w:fldCharType="begin"/>
        </w:r>
        <w:r>
          <w:instrText xml:space="preserve">PAGEREF 2816 \h</w:instrText>
        </w:r>
        <w:r>
          <w:fldChar w:fldCharType="end"/>
        </w:r>
      </w:hyperlink>
    </w:p>
    <w:p>
      <w:pPr>
        <w:tabs>
          <w:tab w:val="right" w:leader="dot" w:pos="9062"/>
        </w:tabs>
        <w:ind w:left="220"/>
      </w:pPr>
      <w:hyperlink w:anchor="_Toc2817" w:history="1">
        <w:r>
          <w:rPr>
            <w:rFonts w:ascii="IRNazanin" w:hAnsi="IRNazanin" w:eastAsia="IRNazanin" w:cs="IRNazanin"/>
            <w:color w:val="111111"/>
            <w:sz w:val="22"/>
            <w:szCs w:val="22"/>
            <w:b w:val="0"/>
            <w:bCs w:val="0"/>
            <w:i w:val="0"/>
            <w:iCs w:val="0"/>
          </w:rPr>
          <w:t>حسيني قزويني ، محمّد رضا بن محمّد</w:t>
        </w:r>
        <w:r>
          <w:tab/>
        </w:r>
        <w:r>
          <w:fldChar w:fldCharType="begin"/>
        </w:r>
        <w:r>
          <w:instrText xml:space="preserve">PAGEREF 2817 \h</w:instrText>
        </w:r>
        <w:r>
          <w:fldChar w:fldCharType="end"/>
        </w:r>
      </w:hyperlink>
    </w:p>
    <w:p>
      <w:pPr>
        <w:tabs>
          <w:tab w:val="right" w:leader="dot" w:pos="9062"/>
        </w:tabs>
        <w:ind w:left="220"/>
      </w:pPr>
      <w:hyperlink w:anchor="_Toc2818" w:history="1">
        <w:r>
          <w:rPr>
            <w:rFonts w:ascii="IRNazanin" w:hAnsi="IRNazanin" w:eastAsia="IRNazanin" w:cs="IRNazanin"/>
            <w:color w:val="111111"/>
            <w:sz w:val="22"/>
            <w:szCs w:val="22"/>
            <w:b w:val="0"/>
            <w:bCs w:val="0"/>
            <w:i w:val="0"/>
            <w:iCs w:val="0"/>
          </w:rPr>
          <w:t>حسيني قزويني محمّد مؤمن، قرن 12 ه-</w:t>
        </w:r>
        <w:r>
          <w:tab/>
        </w:r>
        <w:r>
          <w:fldChar w:fldCharType="begin"/>
        </w:r>
        <w:r>
          <w:instrText xml:space="preserve">PAGEREF 2818 \h</w:instrText>
        </w:r>
        <w:r>
          <w:fldChar w:fldCharType="end"/>
        </w:r>
      </w:hyperlink>
    </w:p>
    <w:p>
      <w:pPr>
        <w:tabs>
          <w:tab w:val="right" w:leader="dot" w:pos="9062"/>
        </w:tabs>
        <w:ind w:left="220"/>
      </w:pPr>
      <w:hyperlink w:anchor="_Toc2819" w:history="1">
        <w:r>
          <w:rPr>
            <w:rFonts w:ascii="IRNazanin" w:hAnsi="IRNazanin" w:eastAsia="IRNazanin" w:cs="IRNazanin"/>
            <w:color w:val="111111"/>
            <w:sz w:val="22"/>
            <w:szCs w:val="22"/>
            <w:b w:val="0"/>
            <w:bCs w:val="0"/>
            <w:i w:val="0"/>
            <w:iCs w:val="0"/>
          </w:rPr>
          <w:t>حسيني قزويني ، مهدي، 1807 - 1883</w:t>
        </w:r>
        <w:r>
          <w:tab/>
        </w:r>
        <w:r>
          <w:fldChar w:fldCharType="begin"/>
        </w:r>
        <w:r>
          <w:instrText xml:space="preserve">PAGEREF 2819 \h</w:instrText>
        </w:r>
        <w:r>
          <w:fldChar w:fldCharType="end"/>
        </w:r>
      </w:hyperlink>
    </w:p>
    <w:p>
      <w:pPr>
        <w:tabs>
          <w:tab w:val="right" w:leader="dot" w:pos="9062"/>
        </w:tabs>
        <w:ind w:left="220"/>
      </w:pPr>
      <w:hyperlink w:anchor="_Toc2820" w:history="1">
        <w:r>
          <w:rPr>
            <w:rFonts w:ascii="IRNazanin" w:hAnsi="IRNazanin" w:eastAsia="IRNazanin" w:cs="IRNazanin"/>
            <w:color w:val="111111"/>
            <w:sz w:val="22"/>
            <w:szCs w:val="22"/>
            <w:b w:val="0"/>
            <w:bCs w:val="0"/>
            <w:i w:val="0"/>
            <w:iCs w:val="0"/>
          </w:rPr>
          <w:t>حسيني قمشهي ، محمّد حسن بن ابي</w:t>
        </w:r>
        <w:r>
          <w:tab/>
        </w:r>
        <w:r>
          <w:fldChar w:fldCharType="begin"/>
        </w:r>
        <w:r>
          <w:instrText xml:space="preserve">PAGEREF 2820 \h</w:instrText>
        </w:r>
        <w:r>
          <w:fldChar w:fldCharType="end"/>
        </w:r>
      </w:hyperlink>
    </w:p>
    <w:p>
      <w:pPr>
        <w:tabs>
          <w:tab w:val="right" w:leader="dot" w:pos="9062"/>
        </w:tabs>
        <w:ind w:left="220"/>
      </w:pPr>
      <w:hyperlink w:anchor="_Toc2821" w:history="1">
        <w:r>
          <w:rPr>
            <w:rFonts w:ascii="IRNazanin" w:hAnsi="IRNazanin" w:eastAsia="IRNazanin" w:cs="IRNazanin"/>
            <w:color w:val="111111"/>
            <w:sz w:val="22"/>
            <w:szCs w:val="22"/>
            <w:b w:val="0"/>
            <w:bCs w:val="0"/>
            <w:i w:val="0"/>
            <w:iCs w:val="0"/>
          </w:rPr>
          <w:t>حسيني قمي ، حسن بن اسماعیل قرن</w:t>
        </w:r>
        <w:r>
          <w:tab/>
        </w:r>
        <w:r>
          <w:fldChar w:fldCharType="begin"/>
        </w:r>
        <w:r>
          <w:instrText xml:space="preserve">PAGEREF 2821 \h</w:instrText>
        </w:r>
        <w:r>
          <w:fldChar w:fldCharType="end"/>
        </w:r>
      </w:hyperlink>
    </w:p>
    <w:p>
      <w:pPr>
        <w:tabs>
          <w:tab w:val="right" w:leader="dot" w:pos="9062"/>
        </w:tabs>
        <w:ind w:left="220"/>
      </w:pPr>
      <w:hyperlink w:anchor="_Toc2822" w:history="1">
        <w:r>
          <w:rPr>
            <w:rFonts w:ascii="IRNazanin" w:hAnsi="IRNazanin" w:eastAsia="IRNazanin" w:cs="IRNazanin"/>
            <w:color w:val="111111"/>
            <w:sz w:val="22"/>
            <w:szCs w:val="22"/>
            <w:b w:val="0"/>
            <w:bCs w:val="0"/>
            <w:i w:val="0"/>
            <w:iCs w:val="0"/>
          </w:rPr>
          <w:t>حسيني كازروني ، اشرف</w:t>
        </w:r>
        <w:r>
          <w:tab/>
        </w:r>
        <w:r>
          <w:fldChar w:fldCharType="begin"/>
        </w:r>
        <w:r>
          <w:instrText xml:space="preserve">PAGEREF 2822 \h</w:instrText>
        </w:r>
        <w:r>
          <w:fldChar w:fldCharType="end"/>
        </w:r>
      </w:hyperlink>
    </w:p>
    <w:p>
      <w:pPr>
        <w:tabs>
          <w:tab w:val="right" w:leader="dot" w:pos="9062"/>
        </w:tabs>
        <w:ind w:left="220"/>
      </w:pPr>
      <w:hyperlink w:anchor="_Toc2823" w:history="1">
        <w:r>
          <w:rPr>
            <w:rFonts w:ascii="IRNazanin" w:hAnsi="IRNazanin" w:eastAsia="IRNazanin" w:cs="IRNazanin"/>
            <w:color w:val="111111"/>
            <w:sz w:val="22"/>
            <w:szCs w:val="22"/>
            <w:b w:val="0"/>
            <w:bCs w:val="0"/>
            <w:i w:val="0"/>
            <w:iCs w:val="0"/>
          </w:rPr>
          <w:t>حسيني كاشاني ، طاهر بن رضي الدين -</w:t>
        </w:r>
        <w:r>
          <w:tab/>
        </w:r>
        <w:r>
          <w:fldChar w:fldCharType="begin"/>
        </w:r>
        <w:r>
          <w:instrText xml:space="preserve">PAGEREF 2823 \h</w:instrText>
        </w:r>
        <w:r>
          <w:fldChar w:fldCharType="end"/>
        </w:r>
      </w:hyperlink>
    </w:p>
    <w:p>
      <w:pPr>
        <w:tabs>
          <w:tab w:val="right" w:leader="dot" w:pos="9062"/>
        </w:tabs>
        <w:ind w:left="220"/>
      </w:pPr>
      <w:hyperlink w:anchor="_Toc2824" w:history="1">
        <w:r>
          <w:rPr>
            <w:rFonts w:ascii="IRNazanin" w:hAnsi="IRNazanin" w:eastAsia="IRNazanin" w:cs="IRNazanin"/>
            <w:color w:val="111111"/>
            <w:sz w:val="22"/>
            <w:szCs w:val="22"/>
            <w:b w:val="0"/>
            <w:bCs w:val="0"/>
            <w:i w:val="0"/>
            <w:iCs w:val="0"/>
          </w:rPr>
          <w:t>حسيني كاشاني ، محمّد بن علي، 946</w:t>
        </w:r>
        <w:r>
          <w:tab/>
        </w:r>
        <w:r>
          <w:fldChar w:fldCharType="begin"/>
        </w:r>
        <w:r>
          <w:instrText xml:space="preserve">PAGEREF 2824 \h</w:instrText>
        </w:r>
        <w:r>
          <w:fldChar w:fldCharType="end"/>
        </w:r>
      </w:hyperlink>
    </w:p>
    <w:p>
      <w:pPr>
        <w:tabs>
          <w:tab w:val="right" w:leader="dot" w:pos="9062"/>
        </w:tabs>
        <w:ind w:left="220"/>
      </w:pPr>
      <w:hyperlink w:anchor="_Toc2825" w:history="1">
        <w:r>
          <w:rPr>
            <w:rFonts w:ascii="IRNazanin" w:hAnsi="IRNazanin" w:eastAsia="IRNazanin" w:cs="IRNazanin"/>
            <w:color w:val="111111"/>
            <w:sz w:val="22"/>
            <w:szCs w:val="22"/>
            <w:b w:val="0"/>
            <w:bCs w:val="0"/>
            <w:i w:val="0"/>
            <w:iCs w:val="0"/>
          </w:rPr>
          <w:t>حسيني كاشاني، مصطفى بن حسين</w:t>
        </w:r>
        <w:r>
          <w:tab/>
        </w:r>
        <w:r>
          <w:fldChar w:fldCharType="begin"/>
        </w:r>
        <w:r>
          <w:instrText xml:space="preserve">PAGEREF 2825 \h</w:instrText>
        </w:r>
        <w:r>
          <w:fldChar w:fldCharType="end"/>
        </w:r>
      </w:hyperlink>
    </w:p>
    <w:p>
      <w:pPr>
        <w:tabs>
          <w:tab w:val="right" w:leader="dot" w:pos="9062"/>
        </w:tabs>
        <w:ind w:left="220"/>
      </w:pPr>
      <w:hyperlink w:anchor="_Toc2826" w:history="1">
        <w:r>
          <w:rPr>
            <w:rFonts w:ascii="IRNazanin" w:hAnsi="IRNazanin" w:eastAsia="IRNazanin" w:cs="IRNazanin"/>
            <w:color w:val="111111"/>
            <w:sz w:val="22"/>
            <w:szCs w:val="22"/>
            <w:b w:val="0"/>
            <w:bCs w:val="0"/>
            <w:i w:val="0"/>
            <w:iCs w:val="0"/>
          </w:rPr>
          <w:t>حسيني كاظمي ، محمود بن فتح الله</w:t>
        </w:r>
        <w:r>
          <w:tab/>
        </w:r>
        <w:r>
          <w:fldChar w:fldCharType="begin"/>
        </w:r>
        <w:r>
          <w:instrText xml:space="preserve">PAGEREF 2826 \h</w:instrText>
        </w:r>
        <w:r>
          <w:fldChar w:fldCharType="end"/>
        </w:r>
      </w:hyperlink>
    </w:p>
    <w:p>
      <w:pPr>
        <w:tabs>
          <w:tab w:val="right" w:leader="dot" w:pos="9062"/>
        </w:tabs>
        <w:ind w:left="220"/>
      </w:pPr>
      <w:hyperlink w:anchor="_Toc2827" w:history="1">
        <w:r>
          <w:rPr>
            <w:rFonts w:ascii="IRNazanin" w:hAnsi="IRNazanin" w:eastAsia="IRNazanin" w:cs="IRNazanin"/>
            <w:color w:val="111111"/>
            <w:sz w:val="22"/>
            <w:szCs w:val="22"/>
            <w:b w:val="0"/>
            <w:bCs w:val="0"/>
            <w:i w:val="0"/>
            <w:iCs w:val="0"/>
          </w:rPr>
          <w:t>حسيني كربلائي ، نعمة الله بن روح الله</w:t>
        </w:r>
        <w:r>
          <w:tab/>
        </w:r>
        <w:r>
          <w:fldChar w:fldCharType="begin"/>
        </w:r>
        <w:r>
          <w:instrText xml:space="preserve">PAGEREF 2827 \h</w:instrText>
        </w:r>
        <w:r>
          <w:fldChar w:fldCharType="end"/>
        </w:r>
      </w:hyperlink>
    </w:p>
    <w:p>
      <w:pPr>
        <w:tabs>
          <w:tab w:val="right" w:leader="dot" w:pos="9062"/>
        </w:tabs>
        <w:ind w:left="220"/>
      </w:pPr>
      <w:hyperlink w:anchor="_Toc2828" w:history="1">
        <w:r>
          <w:rPr>
            <w:rFonts w:ascii="IRNazanin" w:hAnsi="IRNazanin" w:eastAsia="IRNazanin" w:cs="IRNazanin"/>
            <w:color w:val="111111"/>
            <w:sz w:val="22"/>
            <w:szCs w:val="22"/>
            <w:b w:val="0"/>
            <w:bCs w:val="0"/>
            <w:i w:val="0"/>
            <w:iCs w:val="0"/>
          </w:rPr>
          <w:t>حسيني كركي، كمال الدين</w:t>
        </w:r>
        <w:r>
          <w:tab/>
        </w:r>
        <w:r>
          <w:fldChar w:fldCharType="begin"/>
        </w:r>
        <w:r>
          <w:instrText xml:space="preserve">PAGEREF 2828 \h</w:instrText>
        </w:r>
        <w:r>
          <w:fldChar w:fldCharType="end"/>
        </w:r>
      </w:hyperlink>
    </w:p>
    <w:p>
      <w:pPr>
        <w:tabs>
          <w:tab w:val="right" w:leader="dot" w:pos="9062"/>
        </w:tabs>
        <w:ind w:left="220"/>
      </w:pPr>
      <w:hyperlink w:anchor="_Toc2829" w:history="1">
        <w:r>
          <w:rPr>
            <w:rFonts w:ascii="IRNazanin" w:hAnsi="IRNazanin" w:eastAsia="IRNazanin" w:cs="IRNazanin"/>
            <w:color w:val="111111"/>
            <w:sz w:val="22"/>
            <w:szCs w:val="22"/>
            <w:b w:val="0"/>
            <w:bCs w:val="0"/>
            <w:i w:val="0"/>
            <w:iCs w:val="0"/>
          </w:rPr>
          <w:t>حسيني ،گلستانه عباد بن احمد قرن 8ه-</w:t>
        </w:r>
        <w:r>
          <w:tab/>
        </w:r>
        <w:r>
          <w:fldChar w:fldCharType="begin"/>
        </w:r>
        <w:r>
          <w:instrText xml:space="preserve">PAGEREF 2829 \h</w:instrText>
        </w:r>
        <w:r>
          <w:fldChar w:fldCharType="end"/>
        </w:r>
      </w:hyperlink>
    </w:p>
    <w:p>
      <w:pPr>
        <w:tabs>
          <w:tab w:val="right" w:leader="dot" w:pos="9062"/>
        </w:tabs>
        <w:ind w:left="220"/>
      </w:pPr>
      <w:hyperlink w:anchor="_Toc2830" w:history="1">
        <w:r>
          <w:rPr>
            <w:rFonts w:ascii="IRNazanin" w:hAnsi="IRNazanin" w:eastAsia="IRNazanin" w:cs="IRNazanin"/>
            <w:color w:val="111111"/>
            <w:sz w:val="22"/>
            <w:szCs w:val="22"/>
            <w:b w:val="0"/>
            <w:bCs w:val="0"/>
            <w:i w:val="0"/>
            <w:iCs w:val="0"/>
          </w:rPr>
          <w:t>حسيني لاهيجاني ، محمّد بن احمد قرن</w:t>
        </w:r>
        <w:r>
          <w:tab/>
        </w:r>
        <w:r>
          <w:fldChar w:fldCharType="begin"/>
        </w:r>
        <w:r>
          <w:instrText xml:space="preserve">PAGEREF 2830 \h</w:instrText>
        </w:r>
        <w:r>
          <w:fldChar w:fldCharType="end"/>
        </w:r>
      </w:hyperlink>
    </w:p>
    <w:p>
      <w:pPr>
        <w:tabs>
          <w:tab w:val="right" w:leader="dot" w:pos="9062"/>
        </w:tabs>
        <w:ind w:left="220"/>
      </w:pPr>
      <w:hyperlink w:anchor="_Toc2831" w:history="1">
        <w:r>
          <w:rPr>
            <w:rFonts w:ascii="IRNazanin" w:hAnsi="IRNazanin" w:eastAsia="IRNazanin" w:cs="IRNazanin"/>
            <w:color w:val="111111"/>
            <w:sz w:val="22"/>
            <w:szCs w:val="22"/>
            <w:b w:val="0"/>
            <w:bCs w:val="0"/>
            <w:i w:val="0"/>
            <w:iCs w:val="0"/>
          </w:rPr>
          <w:t>حسيني لاهيجاني ، مرتضى بن</w:t>
        </w:r>
        <w:r>
          <w:tab/>
        </w:r>
        <w:r>
          <w:fldChar w:fldCharType="begin"/>
        </w:r>
        <w:r>
          <w:instrText xml:space="preserve">PAGEREF 2831 \h</w:instrText>
        </w:r>
        <w:r>
          <w:fldChar w:fldCharType="end"/>
        </w:r>
      </w:hyperlink>
    </w:p>
    <w:p>
      <w:pPr>
        <w:tabs>
          <w:tab w:val="right" w:leader="dot" w:pos="9062"/>
        </w:tabs>
        <w:ind w:left="220"/>
      </w:pPr>
      <w:hyperlink w:anchor="_Toc2832" w:history="1">
        <w:r>
          <w:rPr>
            <w:rFonts w:ascii="IRNazanin" w:hAnsi="IRNazanin" w:eastAsia="IRNazanin" w:cs="IRNazanin"/>
            <w:color w:val="111111"/>
            <w:sz w:val="22"/>
            <w:szCs w:val="22"/>
            <w:b w:val="0"/>
            <w:bCs w:val="0"/>
            <w:i w:val="0"/>
            <w:iCs w:val="0"/>
          </w:rPr>
          <w:t>حسيني، لطف الله بن محمّد، قرن 11 ه-</w:t>
        </w:r>
        <w:r>
          <w:tab/>
        </w:r>
        <w:r>
          <w:fldChar w:fldCharType="begin"/>
        </w:r>
        <w:r>
          <w:instrText xml:space="preserve">PAGEREF 2832 \h</w:instrText>
        </w:r>
        <w:r>
          <w:fldChar w:fldCharType="end"/>
        </w:r>
      </w:hyperlink>
    </w:p>
    <w:p>
      <w:pPr>
        <w:tabs>
          <w:tab w:val="right" w:leader="dot" w:pos="9062"/>
        </w:tabs>
        <w:ind w:left="220"/>
      </w:pPr>
      <w:hyperlink w:anchor="_Toc2833" w:history="1">
        <w:r>
          <w:rPr>
            <w:rFonts w:ascii="IRNazanin" w:hAnsi="IRNazanin" w:eastAsia="IRNazanin" w:cs="IRNazanin"/>
            <w:color w:val="111111"/>
            <w:sz w:val="22"/>
            <w:szCs w:val="22"/>
            <w:b w:val="0"/>
            <w:bCs w:val="0"/>
            <w:i w:val="0"/>
            <w:iCs w:val="0"/>
          </w:rPr>
          <w:t>حسيني، محسن بن محمّدتقي -1332ه-</w:t>
        </w:r>
        <w:r>
          <w:tab/>
        </w:r>
        <w:r>
          <w:fldChar w:fldCharType="begin"/>
        </w:r>
        <w:r>
          <w:instrText xml:space="preserve">PAGEREF 2833 \h</w:instrText>
        </w:r>
        <w:r>
          <w:fldChar w:fldCharType="end"/>
        </w:r>
      </w:hyperlink>
    </w:p>
    <w:p>
      <w:pPr>
        <w:tabs>
          <w:tab w:val="right" w:leader="dot" w:pos="9062"/>
        </w:tabs>
        <w:ind w:left="220"/>
      </w:pPr>
      <w:hyperlink w:anchor="_Toc2834" w:history="1">
        <w:r>
          <w:rPr>
            <w:rFonts w:ascii="IRNazanin" w:hAnsi="IRNazanin" w:eastAsia="IRNazanin" w:cs="IRNazanin"/>
            <w:color w:val="111111"/>
            <w:sz w:val="22"/>
            <w:szCs w:val="22"/>
            <w:b w:val="0"/>
            <w:bCs w:val="0"/>
            <w:i w:val="0"/>
            <w:iCs w:val="0"/>
          </w:rPr>
          <w:t>حسيني ، محمّد، قرن 14</w:t>
        </w:r>
        <w:r>
          <w:tab/>
        </w:r>
        <w:r>
          <w:fldChar w:fldCharType="begin"/>
        </w:r>
        <w:r>
          <w:instrText xml:space="preserve">PAGEREF 2834 \h</w:instrText>
        </w:r>
        <w:r>
          <w:fldChar w:fldCharType="end"/>
        </w:r>
      </w:hyperlink>
    </w:p>
    <w:p>
      <w:pPr>
        <w:tabs>
          <w:tab w:val="right" w:leader="dot" w:pos="9062"/>
        </w:tabs>
        <w:ind w:left="220"/>
      </w:pPr>
      <w:hyperlink w:anchor="_Toc2835" w:history="1">
        <w:r>
          <w:rPr>
            <w:rFonts w:ascii="IRNazanin" w:hAnsi="IRNazanin" w:eastAsia="IRNazanin" w:cs="IRNazanin"/>
            <w:color w:val="111111"/>
            <w:sz w:val="22"/>
            <w:szCs w:val="22"/>
            <w:b w:val="0"/>
            <w:bCs w:val="0"/>
            <w:i w:val="0"/>
            <w:iCs w:val="0"/>
          </w:rPr>
          <w:t>حسيني ، محمّد</w:t>
        </w:r>
        <w:r>
          <w:tab/>
        </w:r>
        <w:r>
          <w:fldChar w:fldCharType="begin"/>
        </w:r>
        <w:r>
          <w:instrText xml:space="preserve">PAGEREF 2835 \h</w:instrText>
        </w:r>
        <w:r>
          <w:fldChar w:fldCharType="end"/>
        </w:r>
      </w:hyperlink>
    </w:p>
    <w:p>
      <w:pPr>
        <w:tabs>
          <w:tab w:val="right" w:leader="dot" w:pos="9062"/>
        </w:tabs>
        <w:ind w:left="220"/>
      </w:pPr>
      <w:hyperlink w:anchor="_Toc2836" w:history="1">
        <w:r>
          <w:rPr>
            <w:rFonts w:ascii="IRNazanin" w:hAnsi="IRNazanin" w:eastAsia="IRNazanin" w:cs="IRNazanin"/>
            <w:color w:val="111111"/>
            <w:sz w:val="22"/>
            <w:szCs w:val="22"/>
            <w:b w:val="0"/>
            <w:bCs w:val="0"/>
            <w:i w:val="0"/>
            <w:iCs w:val="0"/>
          </w:rPr>
          <w:t>حسيني ، محمّد ابراهیم قرن 11 ه-</w:t>
        </w:r>
        <w:r>
          <w:tab/>
        </w:r>
        <w:r>
          <w:fldChar w:fldCharType="begin"/>
        </w:r>
        <w:r>
          <w:instrText xml:space="preserve">PAGEREF 2836 \h</w:instrText>
        </w:r>
        <w:r>
          <w:fldChar w:fldCharType="end"/>
        </w:r>
      </w:hyperlink>
    </w:p>
    <w:p>
      <w:pPr>
        <w:tabs>
          <w:tab w:val="right" w:leader="dot" w:pos="9062"/>
        </w:tabs>
        <w:ind w:left="220"/>
      </w:pPr>
      <w:hyperlink w:anchor="_Toc2837" w:history="1">
        <w:r>
          <w:rPr>
            <w:rFonts w:ascii="IRNazanin" w:hAnsi="IRNazanin" w:eastAsia="IRNazanin" w:cs="IRNazanin"/>
            <w:color w:val="111111"/>
            <w:sz w:val="22"/>
            <w:szCs w:val="22"/>
            <w:b w:val="0"/>
            <w:bCs w:val="0"/>
            <w:i w:val="0"/>
            <w:iCs w:val="0"/>
          </w:rPr>
          <w:t>حسيني ، محمّد الدين</w:t>
        </w:r>
        <w:r>
          <w:tab/>
        </w:r>
        <w:r>
          <w:fldChar w:fldCharType="begin"/>
        </w:r>
        <w:r>
          <w:instrText xml:space="preserve">PAGEREF 2837 \h</w:instrText>
        </w:r>
        <w:r>
          <w:fldChar w:fldCharType="end"/>
        </w:r>
      </w:hyperlink>
    </w:p>
    <w:p>
      <w:pPr>
        <w:tabs>
          <w:tab w:val="right" w:leader="dot" w:pos="9062"/>
        </w:tabs>
        <w:ind w:left="220"/>
      </w:pPr>
      <w:hyperlink w:anchor="_Toc2838" w:history="1">
        <w:r>
          <w:rPr>
            <w:rFonts w:ascii="IRNazanin" w:hAnsi="IRNazanin" w:eastAsia="IRNazanin" w:cs="IRNazanin"/>
            <w:color w:val="111111"/>
            <w:sz w:val="22"/>
            <w:szCs w:val="22"/>
            <w:b w:val="0"/>
            <w:bCs w:val="0"/>
            <w:i w:val="0"/>
            <w:iCs w:val="0"/>
          </w:rPr>
          <w:t>حسيني ، محمّد باقر بن حيدر -1290ه-</w:t>
        </w:r>
        <w:r>
          <w:tab/>
        </w:r>
        <w:r>
          <w:fldChar w:fldCharType="begin"/>
        </w:r>
        <w:r>
          <w:instrText xml:space="preserve">PAGEREF 2838 \h</w:instrText>
        </w:r>
        <w:r>
          <w:fldChar w:fldCharType="end"/>
        </w:r>
      </w:hyperlink>
    </w:p>
    <w:p>
      <w:pPr>
        <w:tabs>
          <w:tab w:val="right" w:leader="dot" w:pos="9062"/>
        </w:tabs>
        <w:ind w:left="220"/>
      </w:pPr>
      <w:hyperlink w:anchor="_Toc2839" w:history="1">
        <w:r>
          <w:rPr>
            <w:rFonts w:ascii="IRNazanin" w:hAnsi="IRNazanin" w:eastAsia="IRNazanin" w:cs="IRNazanin"/>
            <w:color w:val="111111"/>
            <w:sz w:val="22"/>
            <w:szCs w:val="22"/>
            <w:b w:val="0"/>
            <w:bCs w:val="0"/>
            <w:i w:val="0"/>
            <w:iCs w:val="0"/>
          </w:rPr>
          <w:t>حسيني ، محمّد بن ابي الوفاء قرن 11 ه-</w:t>
        </w:r>
        <w:r>
          <w:tab/>
        </w:r>
        <w:r>
          <w:fldChar w:fldCharType="begin"/>
        </w:r>
        <w:r>
          <w:instrText xml:space="preserve">PAGEREF 2839 \h</w:instrText>
        </w:r>
        <w:r>
          <w:fldChar w:fldCharType="end"/>
        </w:r>
      </w:hyperlink>
    </w:p>
    <w:p>
      <w:pPr>
        <w:tabs>
          <w:tab w:val="right" w:leader="dot" w:pos="9062"/>
        </w:tabs>
        <w:ind w:left="220"/>
      </w:pPr>
      <w:hyperlink w:anchor="_Toc2840" w:history="1">
        <w:r>
          <w:rPr>
            <w:rFonts w:ascii="IRNazanin" w:hAnsi="IRNazanin" w:eastAsia="IRNazanin" w:cs="IRNazanin"/>
            <w:color w:val="111111"/>
            <w:sz w:val="22"/>
            <w:szCs w:val="22"/>
            <w:b w:val="0"/>
            <w:bCs w:val="0"/>
            <w:i w:val="0"/>
            <w:iCs w:val="0"/>
          </w:rPr>
          <w:t>حسيني ، محمّد بن اويس</w:t>
        </w:r>
        <w:r>
          <w:tab/>
        </w:r>
        <w:r>
          <w:fldChar w:fldCharType="begin"/>
        </w:r>
        <w:r>
          <w:instrText xml:space="preserve">PAGEREF 2840 \h</w:instrText>
        </w:r>
        <w:r>
          <w:fldChar w:fldCharType="end"/>
        </w:r>
      </w:hyperlink>
    </w:p>
    <w:p>
      <w:pPr>
        <w:tabs>
          <w:tab w:val="right" w:leader="dot" w:pos="9062"/>
        </w:tabs>
        <w:ind w:left="220"/>
      </w:pPr>
      <w:hyperlink w:anchor="_Toc2841" w:history="1">
        <w:r>
          <w:rPr>
            <w:rFonts w:ascii="IRNazanin" w:hAnsi="IRNazanin" w:eastAsia="IRNazanin" w:cs="IRNazanin"/>
            <w:color w:val="111111"/>
            <w:sz w:val="22"/>
            <w:szCs w:val="22"/>
            <w:b w:val="0"/>
            <w:bCs w:val="0"/>
            <w:i w:val="0"/>
            <w:iCs w:val="0"/>
          </w:rPr>
          <w:t>حسيني، محمّد بن عبد الرحيم قرن 11 ه-</w:t>
        </w:r>
        <w:r>
          <w:tab/>
        </w:r>
        <w:r>
          <w:fldChar w:fldCharType="begin"/>
        </w:r>
        <w:r>
          <w:instrText xml:space="preserve">PAGEREF 2841 \h</w:instrText>
        </w:r>
        <w:r>
          <w:fldChar w:fldCharType="end"/>
        </w:r>
      </w:hyperlink>
    </w:p>
    <w:p>
      <w:pPr>
        <w:tabs>
          <w:tab w:val="right" w:leader="dot" w:pos="9062"/>
        </w:tabs>
        <w:ind w:left="220"/>
      </w:pPr>
      <w:hyperlink w:anchor="_Toc2842" w:history="1">
        <w:r>
          <w:rPr>
            <w:rFonts w:ascii="IRNazanin" w:hAnsi="IRNazanin" w:eastAsia="IRNazanin" w:cs="IRNazanin"/>
            <w:color w:val="111111"/>
            <w:sz w:val="22"/>
            <w:szCs w:val="22"/>
            <w:b w:val="0"/>
            <w:bCs w:val="0"/>
            <w:i w:val="0"/>
            <w:iCs w:val="0"/>
          </w:rPr>
          <w:t>حسيني ، محمّد بن علي بن فضل</w:t>
        </w:r>
        <w:r>
          <w:tab/>
        </w:r>
        <w:r>
          <w:fldChar w:fldCharType="begin"/>
        </w:r>
        <w:r>
          <w:instrText xml:space="preserve">PAGEREF 2842 \h</w:instrText>
        </w:r>
        <w:r>
          <w:fldChar w:fldCharType="end"/>
        </w:r>
      </w:hyperlink>
    </w:p>
    <w:p>
      <w:pPr>
        <w:tabs>
          <w:tab w:val="right" w:leader="dot" w:pos="9062"/>
        </w:tabs>
        <w:ind w:left="220"/>
      </w:pPr>
      <w:hyperlink w:anchor="_Toc2843" w:history="1">
        <w:r>
          <w:rPr>
            <w:rFonts w:ascii="IRNazanin" w:hAnsi="IRNazanin" w:eastAsia="IRNazanin" w:cs="IRNazanin"/>
            <w:color w:val="111111"/>
            <w:sz w:val="22"/>
            <w:szCs w:val="22"/>
            <w:b w:val="0"/>
            <w:bCs w:val="0"/>
            <w:i w:val="0"/>
            <w:iCs w:val="0"/>
          </w:rPr>
          <w:t>حسيني ، محمّد بن علي بن محمّد</w:t>
        </w:r>
        <w:r>
          <w:tab/>
        </w:r>
        <w:r>
          <w:fldChar w:fldCharType="begin"/>
        </w:r>
        <w:r>
          <w:instrText xml:space="preserve">PAGEREF 2843 \h</w:instrText>
        </w:r>
        <w:r>
          <w:fldChar w:fldCharType="end"/>
        </w:r>
      </w:hyperlink>
    </w:p>
    <w:p>
      <w:pPr>
        <w:tabs>
          <w:tab w:val="right" w:leader="dot" w:pos="9062"/>
        </w:tabs>
        <w:ind w:left="220"/>
      </w:pPr>
      <w:hyperlink w:anchor="_Toc2844" w:history="1">
        <w:r>
          <w:rPr>
            <w:rFonts w:ascii="IRNazanin" w:hAnsi="IRNazanin" w:eastAsia="IRNazanin" w:cs="IRNazanin"/>
            <w:color w:val="111111"/>
            <w:sz w:val="22"/>
            <w:szCs w:val="22"/>
            <w:b w:val="0"/>
            <w:bCs w:val="0"/>
            <w:i w:val="0"/>
            <w:iCs w:val="0"/>
          </w:rPr>
          <w:t>حسيني ، محمّد بن قاسم قرن 10 ه-</w:t>
        </w:r>
        <w:r>
          <w:tab/>
        </w:r>
        <w:r>
          <w:fldChar w:fldCharType="begin"/>
        </w:r>
        <w:r>
          <w:instrText xml:space="preserve">PAGEREF 2844 \h</w:instrText>
        </w:r>
        <w:r>
          <w:fldChar w:fldCharType="end"/>
        </w:r>
      </w:hyperlink>
    </w:p>
    <w:p>
      <w:pPr>
        <w:tabs>
          <w:tab w:val="right" w:leader="dot" w:pos="9062"/>
        </w:tabs>
        <w:ind w:left="220"/>
      </w:pPr>
      <w:hyperlink w:anchor="_Toc2845" w:history="1">
        <w:r>
          <w:rPr>
            <w:rFonts w:ascii="IRNazanin" w:hAnsi="IRNazanin" w:eastAsia="IRNazanin" w:cs="IRNazanin"/>
            <w:color w:val="111111"/>
            <w:sz w:val="22"/>
            <w:szCs w:val="22"/>
            <w:b w:val="0"/>
            <w:bCs w:val="0"/>
            <w:i w:val="0"/>
            <w:iCs w:val="0"/>
          </w:rPr>
          <w:t>حسيني، محمّد بن محمّد باقر، قرن 12 ه-</w:t>
        </w:r>
        <w:r>
          <w:tab/>
        </w:r>
        <w:r>
          <w:fldChar w:fldCharType="begin"/>
        </w:r>
        <w:r>
          <w:instrText xml:space="preserve">PAGEREF 2845 \h</w:instrText>
        </w:r>
        <w:r>
          <w:fldChar w:fldCharType="end"/>
        </w:r>
      </w:hyperlink>
    </w:p>
    <w:p>
      <w:pPr>
        <w:tabs>
          <w:tab w:val="right" w:leader="dot" w:pos="9062"/>
        </w:tabs>
        <w:ind w:left="220"/>
      </w:pPr>
      <w:hyperlink w:anchor="_Toc2846" w:history="1">
        <w:r>
          <w:rPr>
            <w:rFonts w:ascii="IRNazanin" w:hAnsi="IRNazanin" w:eastAsia="IRNazanin" w:cs="IRNazanin"/>
            <w:color w:val="111111"/>
            <w:sz w:val="22"/>
            <w:szCs w:val="22"/>
            <w:b w:val="0"/>
            <w:bCs w:val="0"/>
            <w:i w:val="0"/>
            <w:iCs w:val="0"/>
          </w:rPr>
          <w:t>حسيني ، محمّد بن مصطفى قرن 13 ه-</w:t>
        </w:r>
        <w:r>
          <w:tab/>
        </w:r>
        <w:r>
          <w:fldChar w:fldCharType="begin"/>
        </w:r>
        <w:r>
          <w:instrText xml:space="preserve">PAGEREF 2846 \h</w:instrText>
        </w:r>
        <w:r>
          <w:fldChar w:fldCharType="end"/>
        </w:r>
      </w:hyperlink>
    </w:p>
    <w:p>
      <w:pPr>
        <w:tabs>
          <w:tab w:val="right" w:leader="dot" w:pos="9062"/>
        </w:tabs>
        <w:ind w:left="220"/>
      </w:pPr>
      <w:hyperlink w:anchor="_Toc2847" w:history="1">
        <w:r>
          <w:rPr>
            <w:rFonts w:ascii="IRNazanin" w:hAnsi="IRNazanin" w:eastAsia="IRNazanin" w:cs="IRNazanin"/>
            <w:color w:val="111111"/>
            <w:sz w:val="22"/>
            <w:szCs w:val="22"/>
            <w:b w:val="0"/>
            <w:bCs w:val="0"/>
            <w:i w:val="0"/>
            <w:iCs w:val="0"/>
          </w:rPr>
          <w:t>حسيني، محمّد بن موسى - 1065 ه-</w:t>
        </w:r>
        <w:r>
          <w:tab/>
        </w:r>
        <w:r>
          <w:fldChar w:fldCharType="begin"/>
        </w:r>
        <w:r>
          <w:instrText xml:space="preserve">PAGEREF 2847 \h</w:instrText>
        </w:r>
        <w:r>
          <w:fldChar w:fldCharType="end"/>
        </w:r>
      </w:hyperlink>
    </w:p>
    <w:p>
      <w:pPr>
        <w:tabs>
          <w:tab w:val="right" w:leader="dot" w:pos="9062"/>
        </w:tabs>
        <w:ind w:left="220"/>
      </w:pPr>
      <w:hyperlink w:anchor="_Toc2848" w:history="1">
        <w:r>
          <w:rPr>
            <w:rFonts w:ascii="IRNazanin" w:hAnsi="IRNazanin" w:eastAsia="IRNazanin" w:cs="IRNazanin"/>
            <w:color w:val="111111"/>
            <w:sz w:val="22"/>
            <w:szCs w:val="22"/>
            <w:b w:val="0"/>
            <w:bCs w:val="0"/>
            <w:i w:val="0"/>
            <w:iCs w:val="0"/>
          </w:rPr>
          <w:t>حسيني ، محمّد بن هادي</w:t>
        </w:r>
        <w:r>
          <w:tab/>
        </w:r>
        <w:r>
          <w:fldChar w:fldCharType="begin"/>
        </w:r>
        <w:r>
          <w:instrText xml:space="preserve">PAGEREF 2848 \h</w:instrText>
        </w:r>
        <w:r>
          <w:fldChar w:fldCharType="end"/>
        </w:r>
      </w:hyperlink>
    </w:p>
    <w:p>
      <w:pPr>
        <w:tabs>
          <w:tab w:val="right" w:leader="dot" w:pos="9062"/>
        </w:tabs>
        <w:ind w:left="220"/>
      </w:pPr>
      <w:hyperlink w:anchor="_Toc2849" w:history="1">
        <w:r>
          <w:rPr>
            <w:rFonts w:ascii="IRNazanin" w:hAnsi="IRNazanin" w:eastAsia="IRNazanin" w:cs="IRNazanin"/>
            <w:color w:val="111111"/>
            <w:sz w:val="22"/>
            <w:szCs w:val="22"/>
            <w:b w:val="0"/>
            <w:bCs w:val="0"/>
            <w:i w:val="0"/>
            <w:iCs w:val="0"/>
          </w:rPr>
          <w:t>حسيني ، محمّد بن يوسف</w:t>
        </w:r>
        <w:r>
          <w:tab/>
        </w:r>
        <w:r>
          <w:fldChar w:fldCharType="begin"/>
        </w:r>
        <w:r>
          <w:instrText xml:space="preserve">PAGEREF 2849 \h</w:instrText>
        </w:r>
        <w:r>
          <w:fldChar w:fldCharType="end"/>
        </w:r>
      </w:hyperlink>
    </w:p>
    <w:p>
      <w:pPr>
        <w:tabs>
          <w:tab w:val="right" w:leader="dot" w:pos="9062"/>
        </w:tabs>
        <w:ind w:left="220"/>
      </w:pPr>
      <w:hyperlink w:anchor="_Toc2850" w:history="1">
        <w:r>
          <w:rPr>
            <w:rFonts w:ascii="IRNazanin" w:hAnsi="IRNazanin" w:eastAsia="IRNazanin" w:cs="IRNazanin"/>
            <w:color w:val="111111"/>
            <w:sz w:val="22"/>
            <w:szCs w:val="22"/>
            <w:b w:val="0"/>
            <w:bCs w:val="0"/>
            <w:i w:val="0"/>
            <w:iCs w:val="0"/>
          </w:rPr>
          <w:t>حسيني ، محمّد جعفر بن احمد 1301 -</w:t>
        </w:r>
        <w:r>
          <w:tab/>
        </w:r>
        <w:r>
          <w:fldChar w:fldCharType="begin"/>
        </w:r>
        <w:r>
          <w:instrText xml:space="preserve">PAGEREF 2850 \h</w:instrText>
        </w:r>
        <w:r>
          <w:fldChar w:fldCharType="end"/>
        </w:r>
      </w:hyperlink>
    </w:p>
    <w:p>
      <w:pPr>
        <w:tabs>
          <w:tab w:val="right" w:leader="dot" w:pos="9062"/>
        </w:tabs>
        <w:ind w:left="220"/>
      </w:pPr>
      <w:hyperlink w:anchor="_Toc2851" w:history="1">
        <w:r>
          <w:rPr>
            <w:rFonts w:ascii="IRNazanin" w:hAnsi="IRNazanin" w:eastAsia="IRNazanin" w:cs="IRNazanin"/>
            <w:color w:val="111111"/>
            <w:sz w:val="22"/>
            <w:szCs w:val="22"/>
            <w:b w:val="0"/>
            <w:bCs w:val="0"/>
            <w:i w:val="0"/>
            <w:iCs w:val="0"/>
          </w:rPr>
          <w:t>حسيني، محمّد جعفر بن علي، قرن 12 ه-</w:t>
        </w:r>
        <w:r>
          <w:tab/>
        </w:r>
        <w:r>
          <w:fldChar w:fldCharType="begin"/>
        </w:r>
        <w:r>
          <w:instrText xml:space="preserve">PAGEREF 2851 \h</w:instrText>
        </w:r>
        <w:r>
          <w:fldChar w:fldCharType="end"/>
        </w:r>
      </w:hyperlink>
    </w:p>
    <w:p>
      <w:pPr>
        <w:tabs>
          <w:tab w:val="right" w:leader="dot" w:pos="9062"/>
        </w:tabs>
        <w:ind w:left="220"/>
      </w:pPr>
      <w:hyperlink w:anchor="_Toc2852" w:history="1">
        <w:r>
          <w:rPr>
            <w:rFonts w:ascii="IRNazanin" w:hAnsi="IRNazanin" w:eastAsia="IRNazanin" w:cs="IRNazanin"/>
            <w:color w:val="111111"/>
            <w:sz w:val="22"/>
            <w:szCs w:val="22"/>
            <w:b w:val="0"/>
            <w:bCs w:val="0"/>
            <w:i w:val="0"/>
            <w:iCs w:val="0"/>
          </w:rPr>
          <w:t>حسيني محمّد جواد بن حسين قرن 13ه-</w:t>
        </w:r>
        <w:r>
          <w:tab/>
        </w:r>
        <w:r>
          <w:fldChar w:fldCharType="begin"/>
        </w:r>
        <w:r>
          <w:instrText xml:space="preserve">PAGEREF 2852 \h</w:instrText>
        </w:r>
        <w:r>
          <w:fldChar w:fldCharType="end"/>
        </w:r>
      </w:hyperlink>
    </w:p>
    <w:p>
      <w:pPr>
        <w:tabs>
          <w:tab w:val="right" w:leader="dot" w:pos="9062"/>
        </w:tabs>
        <w:ind w:left="220"/>
      </w:pPr>
      <w:hyperlink w:anchor="_Toc2853" w:history="1">
        <w:r>
          <w:rPr>
            <w:rFonts w:ascii="IRNazanin" w:hAnsi="IRNazanin" w:eastAsia="IRNazanin" w:cs="IRNazanin"/>
            <w:color w:val="111111"/>
            <w:sz w:val="22"/>
            <w:szCs w:val="22"/>
            <w:b w:val="0"/>
            <w:bCs w:val="0"/>
            <w:i w:val="0"/>
            <w:iCs w:val="0"/>
          </w:rPr>
          <w:t>حسيني، محمّدجواد بن محمّد -1247ه-</w:t>
        </w:r>
        <w:r>
          <w:tab/>
        </w:r>
        <w:r>
          <w:fldChar w:fldCharType="begin"/>
        </w:r>
        <w:r>
          <w:instrText xml:space="preserve">PAGEREF 2853 \h</w:instrText>
        </w:r>
        <w:r>
          <w:fldChar w:fldCharType="end"/>
        </w:r>
      </w:hyperlink>
    </w:p>
    <w:p>
      <w:pPr>
        <w:tabs>
          <w:tab w:val="right" w:leader="dot" w:pos="9062"/>
        </w:tabs>
        <w:ind w:left="220"/>
      </w:pPr>
      <w:hyperlink w:anchor="_Toc2854" w:history="1">
        <w:r>
          <w:rPr>
            <w:rFonts w:ascii="IRNazanin" w:hAnsi="IRNazanin" w:eastAsia="IRNazanin" w:cs="IRNazanin"/>
            <w:color w:val="111111"/>
            <w:sz w:val="22"/>
            <w:szCs w:val="22"/>
            <w:b w:val="0"/>
            <w:bCs w:val="0"/>
            <w:i w:val="0"/>
            <w:iCs w:val="0"/>
          </w:rPr>
          <w:t>حسيني ، محمّد حسن</w:t>
        </w:r>
        <w:r>
          <w:tab/>
        </w:r>
        <w:r>
          <w:fldChar w:fldCharType="begin"/>
        </w:r>
        <w:r>
          <w:instrText xml:space="preserve">PAGEREF 2854 \h</w:instrText>
        </w:r>
        <w:r>
          <w:fldChar w:fldCharType="end"/>
        </w:r>
      </w:hyperlink>
    </w:p>
    <w:p>
      <w:pPr>
        <w:tabs>
          <w:tab w:val="right" w:leader="dot" w:pos="9062"/>
        </w:tabs>
        <w:ind w:left="220"/>
      </w:pPr>
      <w:hyperlink w:anchor="_Toc2855" w:history="1">
        <w:r>
          <w:rPr>
            <w:rFonts w:ascii="IRNazanin" w:hAnsi="IRNazanin" w:eastAsia="IRNazanin" w:cs="IRNazanin"/>
            <w:color w:val="111111"/>
            <w:sz w:val="22"/>
            <w:szCs w:val="22"/>
            <w:b w:val="0"/>
            <w:bCs w:val="0"/>
            <w:i w:val="0"/>
            <w:iCs w:val="0"/>
          </w:rPr>
          <w:t>حسيني محمّد حسن بن سمان قرن 14ه-</w:t>
        </w:r>
        <w:r>
          <w:tab/>
        </w:r>
        <w:r>
          <w:fldChar w:fldCharType="begin"/>
        </w:r>
        <w:r>
          <w:instrText xml:space="preserve">PAGEREF 2855 \h</w:instrText>
        </w:r>
        <w:r>
          <w:fldChar w:fldCharType="end"/>
        </w:r>
      </w:hyperlink>
    </w:p>
    <w:p>
      <w:pPr>
        <w:tabs>
          <w:tab w:val="right" w:leader="dot" w:pos="9062"/>
        </w:tabs>
        <w:ind w:left="220"/>
      </w:pPr>
      <w:hyperlink w:anchor="_Toc2856" w:history="1">
        <w:r>
          <w:rPr>
            <w:rFonts w:ascii="IRNazanin" w:hAnsi="IRNazanin" w:eastAsia="IRNazanin" w:cs="IRNazanin"/>
            <w:color w:val="111111"/>
            <w:sz w:val="22"/>
            <w:szCs w:val="22"/>
            <w:b w:val="0"/>
            <w:bCs w:val="0"/>
            <w:i w:val="0"/>
            <w:iCs w:val="0"/>
          </w:rPr>
          <w:t>حسيني ، محمّد حكيم بن علاء الدوله</w:t>
        </w:r>
        <w:r>
          <w:tab/>
        </w:r>
        <w:r>
          <w:fldChar w:fldCharType="begin"/>
        </w:r>
        <w:r>
          <w:instrText xml:space="preserve">PAGEREF 2856 \h</w:instrText>
        </w:r>
        <w:r>
          <w:fldChar w:fldCharType="end"/>
        </w:r>
      </w:hyperlink>
    </w:p>
    <w:p>
      <w:pPr>
        <w:tabs>
          <w:tab w:val="right" w:leader="dot" w:pos="9062"/>
        </w:tabs>
        <w:ind w:left="220"/>
      </w:pPr>
      <w:hyperlink w:anchor="_Toc2857" w:history="1">
        <w:r>
          <w:rPr>
            <w:rFonts w:ascii="IRNazanin" w:hAnsi="IRNazanin" w:eastAsia="IRNazanin" w:cs="IRNazanin"/>
            <w:color w:val="111111"/>
            <w:sz w:val="22"/>
            <w:szCs w:val="22"/>
            <w:b w:val="0"/>
            <w:bCs w:val="0"/>
            <w:i w:val="0"/>
            <w:iCs w:val="0"/>
          </w:rPr>
          <w:t>حسيني ، محمّد علي بن محمّد جعفر قرن</w:t>
        </w:r>
        <w:r>
          <w:tab/>
        </w:r>
        <w:r>
          <w:fldChar w:fldCharType="begin"/>
        </w:r>
        <w:r>
          <w:instrText xml:space="preserve">PAGEREF 2857 \h</w:instrText>
        </w:r>
        <w:r>
          <w:fldChar w:fldCharType="end"/>
        </w:r>
      </w:hyperlink>
    </w:p>
    <w:p>
      <w:pPr>
        <w:tabs>
          <w:tab w:val="right" w:leader="dot" w:pos="9062"/>
        </w:tabs>
        <w:ind w:left="220"/>
      </w:pPr>
      <w:hyperlink w:anchor="_Toc2858" w:history="1">
        <w:r>
          <w:rPr>
            <w:rFonts w:ascii="IRNazanin" w:hAnsi="IRNazanin" w:eastAsia="IRNazanin" w:cs="IRNazanin"/>
            <w:color w:val="111111"/>
            <w:sz w:val="22"/>
            <w:szCs w:val="22"/>
            <w:b w:val="0"/>
            <w:bCs w:val="0"/>
            <w:i w:val="0"/>
            <w:iCs w:val="0"/>
          </w:rPr>
          <w:t>حسيني ، محمّد معروف بن عبدالفتاح</w:t>
        </w:r>
        <w:r>
          <w:tab/>
        </w:r>
        <w:r>
          <w:fldChar w:fldCharType="begin"/>
        </w:r>
        <w:r>
          <w:instrText xml:space="preserve">PAGEREF 2858 \h</w:instrText>
        </w:r>
        <w:r>
          <w:fldChar w:fldCharType="end"/>
        </w:r>
      </w:hyperlink>
    </w:p>
    <w:p>
      <w:pPr>
        <w:tabs>
          <w:tab w:val="right" w:leader="dot" w:pos="9062"/>
        </w:tabs>
        <w:ind w:left="220"/>
      </w:pPr>
      <w:hyperlink w:anchor="_Toc2859" w:history="1">
        <w:r>
          <w:rPr>
            <w:rFonts w:ascii="IRNazanin" w:hAnsi="IRNazanin" w:eastAsia="IRNazanin" w:cs="IRNazanin"/>
            <w:color w:val="111111"/>
            <w:sz w:val="22"/>
            <w:szCs w:val="22"/>
            <w:b w:val="0"/>
            <w:bCs w:val="0"/>
            <w:i w:val="0"/>
            <w:iCs w:val="0"/>
          </w:rPr>
          <w:t>حسيني ، محمّد مهدي بن محمّد هاشم</w:t>
        </w:r>
        <w:r>
          <w:tab/>
        </w:r>
        <w:r>
          <w:fldChar w:fldCharType="begin"/>
        </w:r>
        <w:r>
          <w:instrText xml:space="preserve">PAGEREF 2859 \h</w:instrText>
        </w:r>
        <w:r>
          <w:fldChar w:fldCharType="end"/>
        </w:r>
      </w:hyperlink>
    </w:p>
    <w:p>
      <w:pPr>
        <w:tabs>
          <w:tab w:val="right" w:leader="dot" w:pos="9062"/>
        </w:tabs>
        <w:ind w:left="220"/>
      </w:pPr>
      <w:hyperlink w:anchor="_Toc2860" w:history="1">
        <w:r>
          <w:rPr>
            <w:rFonts w:ascii="IRNazanin" w:hAnsi="IRNazanin" w:eastAsia="IRNazanin" w:cs="IRNazanin"/>
            <w:color w:val="111111"/>
            <w:sz w:val="22"/>
            <w:szCs w:val="22"/>
            <w:b w:val="0"/>
            <w:bCs w:val="0"/>
            <w:i w:val="0"/>
            <w:iCs w:val="0"/>
          </w:rPr>
          <w:t>حسيني ، محمّد نصير بن رضي الدين قرن</w:t>
        </w:r>
        <w:r>
          <w:tab/>
        </w:r>
        <w:r>
          <w:fldChar w:fldCharType="begin"/>
        </w:r>
        <w:r>
          <w:instrText xml:space="preserve">PAGEREF 2860 \h</w:instrText>
        </w:r>
        <w:r>
          <w:fldChar w:fldCharType="end"/>
        </w:r>
      </w:hyperlink>
    </w:p>
    <w:p>
      <w:pPr>
        <w:tabs>
          <w:tab w:val="right" w:leader="dot" w:pos="9062"/>
        </w:tabs>
        <w:ind w:left="220"/>
      </w:pPr>
      <w:hyperlink w:anchor="_Toc2861" w:history="1">
        <w:r>
          <w:rPr>
            <w:rFonts w:ascii="IRNazanin" w:hAnsi="IRNazanin" w:eastAsia="IRNazanin" w:cs="IRNazanin"/>
            <w:color w:val="111111"/>
            <w:sz w:val="22"/>
            <w:szCs w:val="22"/>
            <w:b w:val="0"/>
            <w:bCs w:val="0"/>
            <w:i w:val="0"/>
            <w:iCs w:val="0"/>
          </w:rPr>
          <w:t>حسيني ، محمّد هاشم قرن 13 ه-</w:t>
        </w:r>
        <w:r>
          <w:tab/>
        </w:r>
        <w:r>
          <w:fldChar w:fldCharType="begin"/>
        </w:r>
        <w:r>
          <w:instrText xml:space="preserve">PAGEREF 2861 \h</w:instrText>
        </w:r>
        <w:r>
          <w:fldChar w:fldCharType="end"/>
        </w:r>
      </w:hyperlink>
    </w:p>
    <w:p>
      <w:pPr>
        <w:tabs>
          <w:tab w:val="right" w:leader="dot" w:pos="9062"/>
        </w:tabs>
        <w:ind w:left="220"/>
      </w:pPr>
      <w:hyperlink w:anchor="_Toc2862" w:history="1">
        <w:r>
          <w:rPr>
            <w:rFonts w:ascii="IRNazanin" w:hAnsi="IRNazanin" w:eastAsia="IRNazanin" w:cs="IRNazanin"/>
            <w:color w:val="111111"/>
            <w:sz w:val="22"/>
            <w:szCs w:val="22"/>
            <w:b w:val="0"/>
            <w:bCs w:val="0"/>
            <w:i w:val="0"/>
            <w:iCs w:val="0"/>
          </w:rPr>
          <w:t>حسيني ، محمود بن فياض قرن 11 ه-</w:t>
        </w:r>
        <w:r>
          <w:tab/>
        </w:r>
        <w:r>
          <w:fldChar w:fldCharType="begin"/>
        </w:r>
        <w:r>
          <w:instrText xml:space="preserve">PAGEREF 2862 \h</w:instrText>
        </w:r>
        <w:r>
          <w:fldChar w:fldCharType="end"/>
        </w:r>
      </w:hyperlink>
    </w:p>
    <w:p>
      <w:pPr>
        <w:tabs>
          <w:tab w:val="right" w:leader="dot" w:pos="9062"/>
        </w:tabs>
        <w:ind w:left="220"/>
      </w:pPr>
      <w:hyperlink w:anchor="_Toc2863" w:history="1">
        <w:r>
          <w:rPr>
            <w:rFonts w:ascii="IRNazanin" w:hAnsi="IRNazanin" w:eastAsia="IRNazanin" w:cs="IRNazanin"/>
            <w:color w:val="111111"/>
            <w:sz w:val="22"/>
            <w:szCs w:val="22"/>
            <w:b w:val="0"/>
            <w:bCs w:val="0"/>
            <w:i w:val="0"/>
            <w:iCs w:val="0"/>
          </w:rPr>
          <w:t>حسيني مدرس ، حسن بن علي 1210 - 1273 ه-</w:t>
        </w:r>
        <w:r>
          <w:tab/>
        </w:r>
        <w:r>
          <w:fldChar w:fldCharType="begin"/>
        </w:r>
        <w:r>
          <w:instrText xml:space="preserve">PAGEREF 2863 \h</w:instrText>
        </w:r>
        <w:r>
          <w:fldChar w:fldCharType="end"/>
        </w:r>
      </w:hyperlink>
    </w:p>
    <w:p>
      <w:pPr>
        <w:tabs>
          <w:tab w:val="right" w:leader="dot" w:pos="9062"/>
        </w:tabs>
        <w:ind w:left="220"/>
      </w:pPr>
      <w:hyperlink w:anchor="_Toc2864" w:history="1">
        <w:r>
          <w:rPr>
            <w:rFonts w:ascii="IRNazanin" w:hAnsi="IRNazanin" w:eastAsia="IRNazanin" w:cs="IRNazanin"/>
            <w:color w:val="111111"/>
            <w:sz w:val="22"/>
            <w:szCs w:val="22"/>
            <w:b w:val="0"/>
            <w:bCs w:val="0"/>
            <w:i w:val="0"/>
            <w:iCs w:val="0"/>
          </w:rPr>
          <w:t>حسيني مدني ضامن بن شدقم قرن 11ه-</w:t>
        </w:r>
        <w:r>
          <w:tab/>
        </w:r>
        <w:r>
          <w:fldChar w:fldCharType="begin"/>
        </w:r>
        <w:r>
          <w:instrText xml:space="preserve">PAGEREF 2864 \h</w:instrText>
        </w:r>
        <w:r>
          <w:fldChar w:fldCharType="end"/>
        </w:r>
      </w:hyperlink>
    </w:p>
    <w:p>
      <w:pPr>
        <w:tabs>
          <w:tab w:val="right" w:leader="dot" w:pos="9062"/>
        </w:tabs>
        <w:ind w:left="220"/>
      </w:pPr>
      <w:hyperlink w:anchor="_Toc2865" w:history="1">
        <w:r>
          <w:rPr>
            <w:rFonts w:ascii="IRNazanin" w:hAnsi="IRNazanin" w:eastAsia="IRNazanin" w:cs="IRNazanin"/>
            <w:color w:val="111111"/>
            <w:sz w:val="22"/>
            <w:szCs w:val="22"/>
            <w:b w:val="0"/>
            <w:bCs w:val="0"/>
            <w:i w:val="0"/>
            <w:iCs w:val="0"/>
          </w:rPr>
          <w:t>حسيني مدني ، مهنا بن سنان - 754 ه-</w:t>
        </w:r>
        <w:r>
          <w:tab/>
        </w:r>
        <w:r>
          <w:fldChar w:fldCharType="begin"/>
        </w:r>
        <w:r>
          <w:instrText xml:space="preserve">PAGEREF 2865 \h</w:instrText>
        </w:r>
        <w:r>
          <w:fldChar w:fldCharType="end"/>
        </w:r>
      </w:hyperlink>
    </w:p>
    <w:p>
      <w:pPr>
        <w:tabs>
          <w:tab w:val="right" w:leader="dot" w:pos="9062"/>
        </w:tabs>
        <w:ind w:left="220"/>
      </w:pPr>
      <w:hyperlink w:anchor="_Toc2866" w:history="1">
        <w:r>
          <w:rPr>
            <w:rFonts w:ascii="IRNazanin" w:hAnsi="IRNazanin" w:eastAsia="IRNazanin" w:cs="IRNazanin"/>
            <w:color w:val="111111"/>
            <w:sz w:val="22"/>
            <w:szCs w:val="22"/>
            <w:b w:val="0"/>
            <w:bCs w:val="0"/>
            <w:i w:val="0"/>
            <w:iCs w:val="0"/>
          </w:rPr>
          <w:t>حسيني مراغي ، عبد الفتاح بن علي</w:t>
        </w:r>
        <w:r>
          <w:tab/>
        </w:r>
        <w:r>
          <w:fldChar w:fldCharType="begin"/>
        </w:r>
        <w:r>
          <w:instrText xml:space="preserve">PAGEREF 2866 \h</w:instrText>
        </w:r>
        <w:r>
          <w:fldChar w:fldCharType="end"/>
        </w:r>
      </w:hyperlink>
    </w:p>
    <w:p>
      <w:pPr>
        <w:tabs>
          <w:tab w:val="right" w:leader="dot" w:pos="9062"/>
        </w:tabs>
        <w:ind w:left="220"/>
      </w:pPr>
      <w:hyperlink w:anchor="_Toc2867" w:history="1">
        <w:r>
          <w:rPr>
            <w:rFonts w:ascii="IRNazanin" w:hAnsi="IRNazanin" w:eastAsia="IRNazanin" w:cs="IRNazanin"/>
            <w:color w:val="111111"/>
            <w:sz w:val="22"/>
            <w:szCs w:val="22"/>
            <w:b w:val="0"/>
            <w:bCs w:val="0"/>
            <w:i w:val="0"/>
            <w:iCs w:val="0"/>
          </w:rPr>
          <w:t>حسيني ، مرتضى</w:t>
        </w:r>
        <w:r>
          <w:tab/>
        </w:r>
        <w:r>
          <w:fldChar w:fldCharType="begin"/>
        </w:r>
        <w:r>
          <w:instrText xml:space="preserve">PAGEREF 2867 \h</w:instrText>
        </w:r>
        <w:r>
          <w:fldChar w:fldCharType="end"/>
        </w:r>
      </w:hyperlink>
    </w:p>
    <w:p>
      <w:pPr>
        <w:tabs>
          <w:tab w:val="right" w:leader="dot" w:pos="9062"/>
        </w:tabs>
        <w:ind w:left="220"/>
      </w:pPr>
      <w:hyperlink w:anchor="_Toc2868" w:history="1">
        <w:r>
          <w:rPr>
            <w:rFonts w:ascii="IRNazanin" w:hAnsi="IRNazanin" w:eastAsia="IRNazanin" w:cs="IRNazanin"/>
            <w:color w:val="111111"/>
            <w:sz w:val="22"/>
            <w:szCs w:val="22"/>
            <w:b w:val="0"/>
            <w:bCs w:val="0"/>
            <w:i w:val="0"/>
            <w:iCs w:val="0"/>
          </w:rPr>
          <w:t>حسيني ، مرتضی قرن 14 ه-</w:t>
        </w:r>
        <w:r>
          <w:tab/>
        </w:r>
        <w:r>
          <w:fldChar w:fldCharType="begin"/>
        </w:r>
        <w:r>
          <w:instrText xml:space="preserve">PAGEREF 2868 \h</w:instrText>
        </w:r>
        <w:r>
          <w:fldChar w:fldCharType="end"/>
        </w:r>
      </w:hyperlink>
    </w:p>
    <w:p>
      <w:pPr>
        <w:tabs>
          <w:tab w:val="right" w:leader="dot" w:pos="9062"/>
        </w:tabs>
        <w:ind w:left="220"/>
      </w:pPr>
      <w:hyperlink w:anchor="_Toc2869" w:history="1">
        <w:r>
          <w:rPr>
            <w:rFonts w:ascii="IRNazanin" w:hAnsi="IRNazanin" w:eastAsia="IRNazanin" w:cs="IRNazanin"/>
            <w:color w:val="111111"/>
            <w:sz w:val="22"/>
            <w:szCs w:val="22"/>
            <w:b w:val="0"/>
            <w:bCs w:val="0"/>
            <w:i w:val="0"/>
            <w:iCs w:val="0"/>
          </w:rPr>
          <w:t>حسيني مرعشي ، عبدالرضا بن زين</w:t>
        </w:r>
        <w:r>
          <w:tab/>
        </w:r>
        <w:r>
          <w:fldChar w:fldCharType="begin"/>
        </w:r>
        <w:r>
          <w:instrText xml:space="preserve">PAGEREF 2869 \h</w:instrText>
        </w:r>
        <w:r>
          <w:fldChar w:fldCharType="end"/>
        </w:r>
      </w:hyperlink>
    </w:p>
    <w:p>
      <w:pPr>
        <w:tabs>
          <w:tab w:val="right" w:leader="dot" w:pos="9062"/>
        </w:tabs>
        <w:ind w:left="220"/>
      </w:pPr>
      <w:hyperlink w:anchor="_Toc2870" w:history="1">
        <w:r>
          <w:rPr>
            <w:rFonts w:ascii="IRNazanin" w:hAnsi="IRNazanin" w:eastAsia="IRNazanin" w:cs="IRNazanin"/>
            <w:color w:val="111111"/>
            <w:sz w:val="22"/>
            <w:szCs w:val="22"/>
            <w:b w:val="0"/>
            <w:bCs w:val="0"/>
            <w:i w:val="0"/>
            <w:iCs w:val="0"/>
          </w:rPr>
          <w:t>حسيني مرعشي ، محمّد علي بن محمّد</w:t>
        </w:r>
        <w:r>
          <w:tab/>
        </w:r>
        <w:r>
          <w:fldChar w:fldCharType="begin"/>
        </w:r>
        <w:r>
          <w:instrText xml:space="preserve">PAGEREF 2870 \h</w:instrText>
        </w:r>
        <w:r>
          <w:fldChar w:fldCharType="end"/>
        </w:r>
      </w:hyperlink>
    </w:p>
    <w:p>
      <w:pPr>
        <w:tabs>
          <w:tab w:val="right" w:leader="dot" w:pos="9062"/>
        </w:tabs>
        <w:ind w:left="220"/>
      </w:pPr>
      <w:hyperlink w:anchor="_Toc2871" w:history="1">
        <w:r>
          <w:rPr>
            <w:rFonts w:ascii="IRNazanin" w:hAnsi="IRNazanin" w:eastAsia="IRNazanin" w:cs="IRNazanin"/>
            <w:color w:val="111111"/>
            <w:sz w:val="22"/>
            <w:szCs w:val="22"/>
            <w:b w:val="0"/>
            <w:bCs w:val="0"/>
            <w:i w:val="0"/>
            <w:iCs w:val="0"/>
          </w:rPr>
          <w:t>حسيني مشهدي ، هدايت الله بن مهدي</w:t>
        </w:r>
        <w:r>
          <w:tab/>
        </w:r>
        <w:r>
          <w:fldChar w:fldCharType="begin"/>
        </w:r>
        <w:r>
          <w:instrText xml:space="preserve">PAGEREF 2871 \h</w:instrText>
        </w:r>
        <w:r>
          <w:fldChar w:fldCharType="end"/>
        </w:r>
      </w:hyperlink>
    </w:p>
    <w:p>
      <w:pPr>
        <w:tabs>
          <w:tab w:val="right" w:leader="dot" w:pos="9062"/>
        </w:tabs>
        <w:ind w:left="220"/>
      </w:pPr>
      <w:hyperlink w:anchor="_Toc2872" w:history="1">
        <w:r>
          <w:rPr>
            <w:rFonts w:ascii="IRNazanin" w:hAnsi="IRNazanin" w:eastAsia="IRNazanin" w:cs="IRNazanin"/>
            <w:color w:val="111111"/>
            <w:sz w:val="22"/>
            <w:szCs w:val="22"/>
            <w:b w:val="0"/>
            <w:bCs w:val="0"/>
            <w:i w:val="0"/>
            <w:iCs w:val="0"/>
          </w:rPr>
          <w:t>حسيني ، مصطفى بن محمّد - 1331 ه-</w:t>
        </w:r>
        <w:r>
          <w:tab/>
        </w:r>
        <w:r>
          <w:fldChar w:fldCharType="begin"/>
        </w:r>
        <w:r>
          <w:instrText xml:space="preserve">PAGEREF 2872 \h</w:instrText>
        </w:r>
        <w:r>
          <w:fldChar w:fldCharType="end"/>
        </w:r>
      </w:hyperlink>
    </w:p>
    <w:p>
      <w:pPr>
        <w:tabs>
          <w:tab w:val="right" w:leader="dot" w:pos="9062"/>
        </w:tabs>
        <w:ind w:left="220"/>
      </w:pPr>
      <w:hyperlink w:anchor="_Toc2873" w:history="1">
        <w:r>
          <w:rPr>
            <w:rFonts w:ascii="IRNazanin" w:hAnsi="IRNazanin" w:eastAsia="IRNazanin" w:cs="IRNazanin"/>
            <w:color w:val="111111"/>
            <w:sz w:val="22"/>
            <w:szCs w:val="22"/>
            <w:b w:val="0"/>
            <w:bCs w:val="0"/>
            <w:i w:val="0"/>
            <w:iCs w:val="0"/>
          </w:rPr>
          <w:t>حسيني ، مظفر بن جعفر ، قرن 7 ه-</w:t>
        </w:r>
        <w:r>
          <w:tab/>
        </w:r>
        <w:r>
          <w:fldChar w:fldCharType="begin"/>
        </w:r>
        <w:r>
          <w:instrText xml:space="preserve">PAGEREF 2873 \h</w:instrText>
        </w:r>
        <w:r>
          <w:fldChar w:fldCharType="end"/>
        </w:r>
      </w:hyperlink>
    </w:p>
    <w:p>
      <w:pPr>
        <w:tabs>
          <w:tab w:val="right" w:leader="dot" w:pos="9062"/>
        </w:tabs>
        <w:ind w:left="220"/>
      </w:pPr>
      <w:hyperlink w:anchor="_Toc2874" w:history="1">
        <w:r>
          <w:rPr>
            <w:rFonts w:ascii="IRNazanin" w:hAnsi="IRNazanin" w:eastAsia="IRNazanin" w:cs="IRNazanin"/>
            <w:color w:val="111111"/>
            <w:sz w:val="22"/>
            <w:szCs w:val="22"/>
            <w:b w:val="0"/>
            <w:bCs w:val="0"/>
            <w:i w:val="0"/>
            <w:iCs w:val="0"/>
          </w:rPr>
          <w:t>حسيني ، ملافيض</w:t>
        </w:r>
        <w:r>
          <w:tab/>
        </w:r>
        <w:r>
          <w:fldChar w:fldCharType="begin"/>
        </w:r>
        <w:r>
          <w:instrText xml:space="preserve">PAGEREF 2874 \h</w:instrText>
        </w:r>
        <w:r>
          <w:fldChar w:fldCharType="end"/>
        </w:r>
      </w:hyperlink>
    </w:p>
    <w:p>
      <w:pPr>
        <w:tabs>
          <w:tab w:val="right" w:leader="dot" w:pos="9062"/>
        </w:tabs>
        <w:ind w:left="220"/>
      </w:pPr>
      <w:hyperlink w:anchor="_Toc2875" w:history="1">
        <w:r>
          <w:rPr>
            <w:rFonts w:ascii="IRNazanin" w:hAnsi="IRNazanin" w:eastAsia="IRNazanin" w:cs="IRNazanin"/>
            <w:color w:val="111111"/>
            <w:sz w:val="22"/>
            <w:szCs w:val="22"/>
            <w:b w:val="0"/>
            <w:bCs w:val="0"/>
            <w:i w:val="0"/>
            <w:iCs w:val="0"/>
          </w:rPr>
          <w:t>حسيني ، منصور بن محمّد</w:t>
        </w:r>
        <w:r>
          <w:tab/>
        </w:r>
        <w:r>
          <w:fldChar w:fldCharType="begin"/>
        </w:r>
        <w:r>
          <w:instrText xml:space="preserve">PAGEREF 2875 \h</w:instrText>
        </w:r>
        <w:r>
          <w:fldChar w:fldCharType="end"/>
        </w:r>
      </w:hyperlink>
    </w:p>
    <w:p>
      <w:pPr>
        <w:tabs>
          <w:tab w:val="right" w:leader="dot" w:pos="9062"/>
        </w:tabs>
        <w:ind w:left="220"/>
      </w:pPr>
      <w:hyperlink w:anchor="_Toc2876" w:history="1">
        <w:r>
          <w:rPr>
            <w:rFonts w:ascii="IRNazanin" w:hAnsi="IRNazanin" w:eastAsia="IRNazanin" w:cs="IRNazanin"/>
            <w:color w:val="111111"/>
            <w:sz w:val="22"/>
            <w:szCs w:val="22"/>
            <w:b w:val="0"/>
            <w:bCs w:val="0"/>
            <w:i w:val="0"/>
            <w:iCs w:val="0"/>
          </w:rPr>
          <w:t>حسيني موسوي ، محمّد بن ابي طالب قرن 10 ه-</w:t>
        </w:r>
        <w:r>
          <w:tab/>
        </w:r>
        <w:r>
          <w:fldChar w:fldCharType="begin"/>
        </w:r>
        <w:r>
          <w:instrText xml:space="preserve">PAGEREF 2876 \h</w:instrText>
        </w:r>
        <w:r>
          <w:fldChar w:fldCharType="end"/>
        </w:r>
      </w:hyperlink>
    </w:p>
    <w:p>
      <w:pPr>
        <w:tabs>
          <w:tab w:val="right" w:leader="dot" w:pos="9062"/>
        </w:tabs>
        <w:ind w:left="220"/>
      </w:pPr>
      <w:hyperlink w:anchor="_Toc2877" w:history="1">
        <w:r>
          <w:rPr>
            <w:rFonts w:ascii="IRNazanin" w:hAnsi="IRNazanin" w:eastAsia="IRNazanin" w:cs="IRNazanin"/>
            <w:color w:val="111111"/>
            <w:sz w:val="22"/>
            <w:szCs w:val="22"/>
            <w:b w:val="0"/>
            <w:bCs w:val="0"/>
            <w:i w:val="0"/>
            <w:iCs w:val="0"/>
          </w:rPr>
          <w:t>حسيني موسى بن فضل الله قرن 13 ه-</w:t>
        </w:r>
        <w:r>
          <w:tab/>
        </w:r>
        <w:r>
          <w:fldChar w:fldCharType="begin"/>
        </w:r>
        <w:r>
          <w:instrText xml:space="preserve">PAGEREF 2877 \h</w:instrText>
        </w:r>
        <w:r>
          <w:fldChar w:fldCharType="end"/>
        </w:r>
      </w:hyperlink>
    </w:p>
    <w:p>
      <w:pPr>
        <w:tabs>
          <w:tab w:val="right" w:leader="dot" w:pos="9062"/>
        </w:tabs>
        <w:ind w:left="220"/>
      </w:pPr>
      <w:hyperlink w:anchor="_Toc2878" w:history="1">
        <w:r>
          <w:rPr>
            <w:rFonts w:ascii="IRNazanin" w:hAnsi="IRNazanin" w:eastAsia="IRNazanin" w:cs="IRNazanin"/>
            <w:color w:val="111111"/>
            <w:sz w:val="22"/>
            <w:szCs w:val="22"/>
            <w:b w:val="0"/>
            <w:bCs w:val="0"/>
            <w:i w:val="0"/>
            <w:iCs w:val="0"/>
          </w:rPr>
          <w:t>حسيني ،موصلي، اسماعيل بن محمّد قرن 13ه-</w:t>
        </w:r>
        <w:r>
          <w:tab/>
        </w:r>
        <w:r>
          <w:fldChar w:fldCharType="begin"/>
        </w:r>
        <w:r>
          <w:instrText xml:space="preserve">PAGEREF 2878 \h</w:instrText>
        </w:r>
        <w:r>
          <w:fldChar w:fldCharType="end"/>
        </w:r>
      </w:hyperlink>
    </w:p>
    <w:p>
      <w:pPr>
        <w:tabs>
          <w:tab w:val="right" w:leader="dot" w:pos="9062"/>
        </w:tabs>
        <w:ind w:left="220"/>
      </w:pPr>
      <w:hyperlink w:anchor="_Toc2879" w:history="1">
        <w:r>
          <w:rPr>
            <w:rFonts w:ascii="IRNazanin" w:hAnsi="IRNazanin" w:eastAsia="IRNazanin" w:cs="IRNazanin"/>
            <w:color w:val="111111"/>
            <w:sz w:val="22"/>
            <w:szCs w:val="22"/>
            <w:b w:val="0"/>
            <w:bCs w:val="0"/>
            <w:i w:val="0"/>
            <w:iCs w:val="0"/>
          </w:rPr>
          <w:t>حسيني ،موصلي ، عبدالله بن فخرالدين</w:t>
        </w:r>
        <w:r>
          <w:tab/>
        </w:r>
        <w:r>
          <w:fldChar w:fldCharType="begin"/>
        </w:r>
        <w:r>
          <w:instrText xml:space="preserve">PAGEREF 2879 \h</w:instrText>
        </w:r>
        <w:r>
          <w:fldChar w:fldCharType="end"/>
        </w:r>
      </w:hyperlink>
    </w:p>
    <w:p>
      <w:pPr>
        <w:tabs>
          <w:tab w:val="right" w:leader="dot" w:pos="9062"/>
        </w:tabs>
        <w:ind w:left="220"/>
      </w:pPr>
      <w:hyperlink w:anchor="_Toc2880" w:history="1">
        <w:r>
          <w:rPr>
            <w:rFonts w:ascii="IRNazanin" w:hAnsi="IRNazanin" w:eastAsia="IRNazanin" w:cs="IRNazanin"/>
            <w:color w:val="111111"/>
            <w:sz w:val="22"/>
            <w:szCs w:val="22"/>
            <w:b w:val="0"/>
            <w:bCs w:val="0"/>
            <w:i w:val="0"/>
            <w:iCs w:val="0"/>
          </w:rPr>
          <w:t>حسيني موصلي، فخر الدين بن يحيى</w:t>
        </w:r>
        <w:r>
          <w:tab/>
        </w:r>
        <w:r>
          <w:fldChar w:fldCharType="begin"/>
        </w:r>
        <w:r>
          <w:instrText xml:space="preserve">PAGEREF 2880 \h</w:instrText>
        </w:r>
        <w:r>
          <w:fldChar w:fldCharType="end"/>
        </w:r>
      </w:hyperlink>
    </w:p>
    <w:p>
      <w:pPr>
        <w:tabs>
          <w:tab w:val="right" w:leader="dot" w:pos="9062"/>
        </w:tabs>
        <w:ind w:left="220"/>
      </w:pPr>
      <w:hyperlink w:anchor="_Toc2881" w:history="1">
        <w:r>
          <w:rPr>
            <w:rFonts w:ascii="IRNazanin" w:hAnsi="IRNazanin" w:eastAsia="IRNazanin" w:cs="IRNazanin"/>
            <w:color w:val="111111"/>
            <w:sz w:val="22"/>
            <w:szCs w:val="22"/>
            <w:b w:val="0"/>
            <w:bCs w:val="0"/>
            <w:i w:val="0"/>
            <w:iCs w:val="0"/>
          </w:rPr>
          <w:t>حسيني موصلي ، محمّد امین بن ابراهیم</w:t>
        </w:r>
        <w:r>
          <w:tab/>
        </w:r>
        <w:r>
          <w:fldChar w:fldCharType="begin"/>
        </w:r>
        <w:r>
          <w:instrText xml:space="preserve">PAGEREF 2881 \h</w:instrText>
        </w:r>
        <w:r>
          <w:fldChar w:fldCharType="end"/>
        </w:r>
      </w:hyperlink>
    </w:p>
    <w:p>
      <w:pPr>
        <w:tabs>
          <w:tab w:val="right" w:leader="dot" w:pos="9062"/>
        </w:tabs>
        <w:ind w:left="220"/>
      </w:pPr>
      <w:hyperlink w:anchor="_Toc2882" w:history="1">
        <w:r>
          <w:rPr>
            <w:rFonts w:ascii="IRNazanin" w:hAnsi="IRNazanin" w:eastAsia="IRNazanin" w:cs="IRNazanin"/>
            <w:color w:val="111111"/>
            <w:sz w:val="22"/>
            <w:szCs w:val="22"/>
            <w:b w:val="0"/>
            <w:bCs w:val="0"/>
            <w:i w:val="0"/>
            <w:iCs w:val="0"/>
          </w:rPr>
          <w:t>؟ حسيني نائيني ، محمّد بن محمّد باقر</w:t>
        </w:r>
        <w:r>
          <w:tab/>
        </w:r>
        <w:r>
          <w:fldChar w:fldCharType="begin"/>
        </w:r>
        <w:r>
          <w:instrText xml:space="preserve">PAGEREF 2882 \h</w:instrText>
        </w:r>
        <w:r>
          <w:fldChar w:fldCharType="end"/>
        </w:r>
      </w:hyperlink>
    </w:p>
    <w:p>
      <w:pPr>
        <w:tabs>
          <w:tab w:val="right" w:leader="dot" w:pos="9062"/>
        </w:tabs>
        <w:ind w:left="220"/>
      </w:pPr>
      <w:hyperlink w:anchor="_Toc2883" w:history="1">
        <w:r>
          <w:rPr>
            <w:rFonts w:ascii="IRNazanin" w:hAnsi="IRNazanin" w:eastAsia="IRNazanin" w:cs="IRNazanin"/>
            <w:color w:val="111111"/>
            <w:sz w:val="22"/>
            <w:szCs w:val="22"/>
            <w:b w:val="0"/>
            <w:bCs w:val="0"/>
            <w:i w:val="0"/>
            <w:iCs w:val="0"/>
          </w:rPr>
          <w:t>حسيني ، ناصر بن عباس قرن 10 ه-</w:t>
        </w:r>
        <w:r>
          <w:tab/>
        </w:r>
        <w:r>
          <w:fldChar w:fldCharType="begin"/>
        </w:r>
        <w:r>
          <w:instrText xml:space="preserve">PAGEREF 2883 \h</w:instrText>
        </w:r>
        <w:r>
          <w:fldChar w:fldCharType="end"/>
        </w:r>
      </w:hyperlink>
    </w:p>
    <w:p>
      <w:pPr>
        <w:tabs>
          <w:tab w:val="right" w:leader="dot" w:pos="9062"/>
        </w:tabs>
        <w:ind w:left="220"/>
      </w:pPr>
      <w:hyperlink w:anchor="_Toc2884" w:history="1">
        <w:r>
          <w:rPr>
            <w:rFonts w:ascii="IRNazanin" w:hAnsi="IRNazanin" w:eastAsia="IRNazanin" w:cs="IRNazanin"/>
            <w:color w:val="111111"/>
            <w:sz w:val="22"/>
            <w:szCs w:val="22"/>
            <w:b w:val="0"/>
            <w:bCs w:val="0"/>
            <w:i w:val="0"/>
            <w:iCs w:val="0"/>
          </w:rPr>
          <w:t>حسيني نجفي ، علي بن عبد الحميد قرن 8</w:t>
        </w:r>
        <w:r>
          <w:tab/>
        </w:r>
        <w:r>
          <w:fldChar w:fldCharType="begin"/>
        </w:r>
        <w:r>
          <w:instrText xml:space="preserve">PAGEREF 2884 \h</w:instrText>
        </w:r>
        <w:r>
          <w:fldChar w:fldCharType="end"/>
        </w:r>
      </w:hyperlink>
    </w:p>
    <w:p>
      <w:pPr>
        <w:tabs>
          <w:tab w:val="right" w:leader="dot" w:pos="9062"/>
        </w:tabs>
        <w:ind w:left="220"/>
      </w:pPr>
      <w:hyperlink w:anchor="_Toc2885" w:history="1">
        <w:r>
          <w:rPr>
            <w:rFonts w:ascii="IRNazanin" w:hAnsi="IRNazanin" w:eastAsia="IRNazanin" w:cs="IRNazanin"/>
            <w:color w:val="111111"/>
            <w:sz w:val="22"/>
            <w:szCs w:val="22"/>
            <w:b w:val="0"/>
            <w:bCs w:val="0"/>
            <w:i w:val="0"/>
            <w:iCs w:val="0"/>
          </w:rPr>
          <w:t>حسيني نجفي ، منصور بن ،کمونه قرن</w:t>
        </w:r>
        <w:r>
          <w:tab/>
        </w:r>
        <w:r>
          <w:fldChar w:fldCharType="begin"/>
        </w:r>
        <w:r>
          <w:instrText xml:space="preserve">PAGEREF 2885 \h</w:instrText>
        </w:r>
        <w:r>
          <w:fldChar w:fldCharType="end"/>
        </w:r>
      </w:hyperlink>
    </w:p>
    <w:p>
      <w:pPr>
        <w:tabs>
          <w:tab w:val="right" w:leader="dot" w:pos="9062"/>
        </w:tabs>
        <w:ind w:left="220"/>
      </w:pPr>
      <w:hyperlink w:anchor="_Toc2886" w:history="1">
        <w:r>
          <w:rPr>
            <w:rFonts w:ascii="IRNazanin" w:hAnsi="IRNazanin" w:eastAsia="IRNazanin" w:cs="IRNazanin"/>
            <w:color w:val="111111"/>
            <w:sz w:val="22"/>
            <w:szCs w:val="22"/>
            <w:b w:val="0"/>
            <w:bCs w:val="0"/>
            <w:i w:val="0"/>
            <w:iCs w:val="0"/>
          </w:rPr>
          <w:t>حسيني ، نعمان</w:t>
        </w:r>
        <w:r>
          <w:tab/>
        </w:r>
        <w:r>
          <w:fldChar w:fldCharType="begin"/>
        </w:r>
        <w:r>
          <w:instrText xml:space="preserve">PAGEREF 2886 \h</w:instrText>
        </w:r>
        <w:r>
          <w:fldChar w:fldCharType="end"/>
        </w:r>
      </w:hyperlink>
    </w:p>
    <w:p>
      <w:pPr>
        <w:tabs>
          <w:tab w:val="right" w:leader="dot" w:pos="9062"/>
        </w:tabs>
        <w:ind w:left="220"/>
      </w:pPr>
      <w:hyperlink w:anchor="_Toc2887" w:history="1">
        <w:r>
          <w:rPr>
            <w:rFonts w:ascii="IRNazanin" w:hAnsi="IRNazanin" w:eastAsia="IRNazanin" w:cs="IRNazanin"/>
            <w:color w:val="111111"/>
            <w:sz w:val="22"/>
            <w:szCs w:val="22"/>
            <w:b w:val="0"/>
            <w:bCs w:val="0"/>
            <w:i w:val="0"/>
            <w:iCs w:val="0"/>
          </w:rPr>
          <w:t>حسيني نورالدين بن ابي طالب، قرن 14ه-</w:t>
        </w:r>
        <w:r>
          <w:tab/>
        </w:r>
        <w:r>
          <w:fldChar w:fldCharType="begin"/>
        </w:r>
        <w:r>
          <w:instrText xml:space="preserve">PAGEREF 2887 \h</w:instrText>
        </w:r>
        <w:r>
          <w:fldChar w:fldCharType="end"/>
        </w:r>
      </w:hyperlink>
    </w:p>
    <w:p>
      <w:pPr>
        <w:tabs>
          <w:tab w:val="right" w:leader="dot" w:pos="9062"/>
        </w:tabs>
        <w:ind w:left="220"/>
      </w:pPr>
      <w:hyperlink w:anchor="_Toc2888" w:history="1">
        <w:r>
          <w:rPr>
            <w:rFonts w:ascii="IRNazanin" w:hAnsi="IRNazanin" w:eastAsia="IRNazanin" w:cs="IRNazanin"/>
            <w:color w:val="111111"/>
            <w:sz w:val="22"/>
            <w:szCs w:val="22"/>
            <w:b w:val="0"/>
            <w:bCs w:val="0"/>
            <w:i w:val="0"/>
            <w:iCs w:val="0"/>
          </w:rPr>
          <w:t>حسيني نيشابوري ، حسين بن محمّد</w:t>
        </w:r>
        <w:r>
          <w:tab/>
        </w:r>
        <w:r>
          <w:fldChar w:fldCharType="begin"/>
        </w:r>
        <w:r>
          <w:instrText xml:space="preserve">PAGEREF 2888 \h</w:instrText>
        </w:r>
        <w:r>
          <w:fldChar w:fldCharType="end"/>
        </w:r>
      </w:hyperlink>
    </w:p>
    <w:p>
      <w:pPr>
        <w:tabs>
          <w:tab w:val="right" w:leader="dot" w:pos="9062"/>
        </w:tabs>
        <w:ind w:left="220"/>
      </w:pPr>
      <w:hyperlink w:anchor="_Toc2889" w:history="1">
        <w:r>
          <w:rPr>
            <w:rFonts w:ascii="IRNazanin" w:hAnsi="IRNazanin" w:eastAsia="IRNazanin" w:cs="IRNazanin"/>
            <w:color w:val="111111"/>
            <w:sz w:val="22"/>
            <w:szCs w:val="22"/>
            <w:b w:val="0"/>
            <w:bCs w:val="0"/>
            <w:i w:val="0"/>
            <w:iCs w:val="0"/>
          </w:rPr>
          <w:t>حسيني ، هادي بن حسين</w:t>
        </w:r>
        <w:r>
          <w:tab/>
        </w:r>
        <w:r>
          <w:fldChar w:fldCharType="begin"/>
        </w:r>
        <w:r>
          <w:instrText xml:space="preserve">PAGEREF 2889 \h</w:instrText>
        </w:r>
        <w:r>
          <w:fldChar w:fldCharType="end"/>
        </w:r>
      </w:hyperlink>
    </w:p>
    <w:p>
      <w:pPr>
        <w:tabs>
          <w:tab w:val="right" w:leader="dot" w:pos="9062"/>
        </w:tabs>
        <w:ind w:left="220"/>
      </w:pPr>
      <w:hyperlink w:anchor="_Toc2890" w:history="1">
        <w:r>
          <w:rPr>
            <w:rFonts w:ascii="IRNazanin" w:hAnsi="IRNazanin" w:eastAsia="IRNazanin" w:cs="IRNazanin"/>
            <w:color w:val="111111"/>
            <w:sz w:val="22"/>
            <w:szCs w:val="22"/>
            <w:b w:val="0"/>
            <w:bCs w:val="0"/>
            <w:i w:val="0"/>
            <w:iCs w:val="0"/>
          </w:rPr>
          <w:t>حسيني هراتي، علي بن عبدالله، 1280 -</w:t>
        </w:r>
        <w:r>
          <w:tab/>
        </w:r>
        <w:r>
          <w:fldChar w:fldCharType="begin"/>
        </w:r>
        <w:r>
          <w:instrText xml:space="preserve">PAGEREF 2890 \h</w:instrText>
        </w:r>
        <w:r>
          <w:fldChar w:fldCharType="end"/>
        </w:r>
      </w:hyperlink>
    </w:p>
    <w:p>
      <w:pPr>
        <w:tabs>
          <w:tab w:val="right" w:leader="dot" w:pos="9062"/>
        </w:tabs>
        <w:ind w:left="220"/>
      </w:pPr>
      <w:hyperlink w:anchor="_Toc2891" w:history="1">
        <w:r>
          <w:rPr>
            <w:rFonts w:ascii="IRNazanin" w:hAnsi="IRNazanin" w:eastAsia="IRNazanin" w:cs="IRNazanin"/>
            <w:color w:val="111111"/>
            <w:sz w:val="22"/>
            <w:szCs w:val="22"/>
            <w:b w:val="0"/>
            <w:bCs w:val="0"/>
            <w:i w:val="0"/>
            <w:iCs w:val="0"/>
          </w:rPr>
          <w:t>حسيني هروي، امیر حسین بن امیر عالم</w:t>
        </w:r>
        <w:r>
          <w:tab/>
        </w:r>
        <w:r>
          <w:fldChar w:fldCharType="begin"/>
        </w:r>
        <w:r>
          <w:instrText xml:space="preserve">PAGEREF 2891 \h</w:instrText>
        </w:r>
        <w:r>
          <w:fldChar w:fldCharType="end"/>
        </w:r>
      </w:hyperlink>
    </w:p>
    <w:p>
      <w:pPr>
        <w:tabs>
          <w:tab w:val="right" w:leader="dot" w:pos="9062"/>
        </w:tabs>
        <w:ind w:left="220"/>
      </w:pPr>
      <w:hyperlink w:anchor="_Toc2892" w:history="1">
        <w:r>
          <w:rPr>
            <w:rFonts w:ascii="IRNazanin" w:hAnsi="IRNazanin" w:eastAsia="IRNazanin" w:cs="IRNazanin"/>
            <w:color w:val="111111"/>
            <w:sz w:val="22"/>
            <w:szCs w:val="22"/>
            <w:b w:val="0"/>
            <w:bCs w:val="0"/>
            <w:i w:val="0"/>
            <w:iCs w:val="0"/>
          </w:rPr>
          <w:t>حسيني هروي، حسين بن غياث الدين</w:t>
        </w:r>
        <w:r>
          <w:tab/>
        </w:r>
        <w:r>
          <w:fldChar w:fldCharType="begin"/>
        </w:r>
        <w:r>
          <w:instrText xml:space="preserve">PAGEREF 2892 \h</w:instrText>
        </w:r>
        <w:r>
          <w:fldChar w:fldCharType="end"/>
        </w:r>
      </w:hyperlink>
    </w:p>
    <w:p>
      <w:pPr>
        <w:tabs>
          <w:tab w:val="right" w:leader="dot" w:pos="9062"/>
        </w:tabs>
        <w:ind w:left="220"/>
      </w:pPr>
      <w:hyperlink w:anchor="_Toc2893" w:history="1">
        <w:r>
          <w:rPr>
            <w:rFonts w:ascii="IRNazanin" w:hAnsi="IRNazanin" w:eastAsia="IRNazanin" w:cs="IRNazanin"/>
            <w:color w:val="111111"/>
            <w:sz w:val="22"/>
            <w:szCs w:val="22"/>
            <w:b w:val="0"/>
            <w:bCs w:val="0"/>
            <w:i w:val="0"/>
            <w:iCs w:val="0"/>
          </w:rPr>
          <w:t>حسيني همداني ، ابوطالب بن</w:t>
        </w:r>
        <w:r>
          <w:tab/>
        </w:r>
        <w:r>
          <w:fldChar w:fldCharType="begin"/>
        </w:r>
        <w:r>
          <w:instrText xml:space="preserve">PAGEREF 2893 \h</w:instrText>
        </w:r>
        <w:r>
          <w:fldChar w:fldCharType="end"/>
        </w:r>
      </w:hyperlink>
    </w:p>
    <w:p>
      <w:pPr>
        <w:tabs>
          <w:tab w:val="right" w:leader="dot" w:pos="9062"/>
        </w:tabs>
        <w:ind w:left="220"/>
      </w:pPr>
      <w:hyperlink w:anchor="_Toc2894" w:history="1">
        <w:r>
          <w:rPr>
            <w:rFonts w:ascii="IRNazanin" w:hAnsi="IRNazanin" w:eastAsia="IRNazanin" w:cs="IRNazanin"/>
            <w:color w:val="111111"/>
            <w:sz w:val="22"/>
            <w:szCs w:val="22"/>
            <w:b w:val="0"/>
            <w:bCs w:val="0"/>
            <w:i w:val="0"/>
            <w:iCs w:val="0"/>
          </w:rPr>
          <w:t>حسيني همداني، حسين بن علي قرن 14ه-</w:t>
        </w:r>
        <w:r>
          <w:tab/>
        </w:r>
        <w:r>
          <w:fldChar w:fldCharType="begin"/>
        </w:r>
        <w:r>
          <w:instrText xml:space="preserve">PAGEREF 2894 \h</w:instrText>
        </w:r>
        <w:r>
          <w:fldChar w:fldCharType="end"/>
        </w:r>
      </w:hyperlink>
    </w:p>
    <w:p>
      <w:pPr>
        <w:tabs>
          <w:tab w:val="right" w:leader="dot" w:pos="9062"/>
        </w:tabs>
        <w:ind w:left="220"/>
      </w:pPr>
      <w:hyperlink w:anchor="_Toc2895" w:history="1">
        <w:r>
          <w:rPr>
            <w:rFonts w:ascii="IRNazanin" w:hAnsi="IRNazanin" w:eastAsia="IRNazanin" w:cs="IRNazanin"/>
            <w:color w:val="111111"/>
            <w:sz w:val="22"/>
            <w:szCs w:val="22"/>
            <w:b w:val="0"/>
            <w:bCs w:val="0"/>
            <w:i w:val="0"/>
            <w:iCs w:val="0"/>
          </w:rPr>
          <w:t>حسيني همداني ، محمّد بن موسى -</w:t>
        </w:r>
        <w:r>
          <w:tab/>
        </w:r>
        <w:r>
          <w:fldChar w:fldCharType="begin"/>
        </w:r>
        <w:r>
          <w:instrText xml:space="preserve">PAGEREF 2895 \h</w:instrText>
        </w:r>
        <w:r>
          <w:fldChar w:fldCharType="end"/>
        </w:r>
      </w:hyperlink>
    </w:p>
    <w:p>
      <w:pPr>
        <w:tabs>
          <w:tab w:val="right" w:leader="dot" w:pos="9062"/>
        </w:tabs>
        <w:ind w:left="220"/>
      </w:pPr>
      <w:hyperlink w:anchor="_Toc2896" w:history="1">
        <w:r>
          <w:rPr>
            <w:rFonts w:ascii="IRNazanin" w:hAnsi="IRNazanin" w:eastAsia="IRNazanin" w:cs="IRNazanin"/>
            <w:color w:val="111111"/>
            <w:sz w:val="22"/>
            <w:szCs w:val="22"/>
            <w:b w:val="0"/>
            <w:bCs w:val="0"/>
            <w:i w:val="0"/>
            <w:iCs w:val="0"/>
          </w:rPr>
          <w:t>حسيني واسطي، وزير علي بن امير علي</w:t>
        </w:r>
        <w:r>
          <w:tab/>
        </w:r>
        <w:r>
          <w:fldChar w:fldCharType="begin"/>
        </w:r>
        <w:r>
          <w:instrText xml:space="preserve">PAGEREF 2896 \h</w:instrText>
        </w:r>
        <w:r>
          <w:fldChar w:fldCharType="end"/>
        </w:r>
      </w:hyperlink>
    </w:p>
    <w:p>
      <w:pPr>
        <w:tabs>
          <w:tab w:val="right" w:leader="dot" w:pos="9062"/>
        </w:tabs>
        <w:ind w:left="220"/>
      </w:pPr>
      <w:hyperlink w:anchor="_Toc2897" w:history="1">
        <w:r>
          <w:rPr>
            <w:rFonts w:ascii="IRNazanin" w:hAnsi="IRNazanin" w:eastAsia="IRNazanin" w:cs="IRNazanin"/>
            <w:color w:val="111111"/>
            <w:sz w:val="22"/>
            <w:szCs w:val="22"/>
            <w:b w:val="0"/>
            <w:bCs w:val="0"/>
            <w:i w:val="0"/>
            <w:iCs w:val="0"/>
          </w:rPr>
          <w:t>حسيني واعظ ، محمّد صادق بن محمّد</w:t>
        </w:r>
        <w:r>
          <w:tab/>
        </w:r>
        <w:r>
          <w:fldChar w:fldCharType="begin"/>
        </w:r>
        <w:r>
          <w:instrText xml:space="preserve">PAGEREF 2897 \h</w:instrText>
        </w:r>
        <w:r>
          <w:fldChar w:fldCharType="end"/>
        </w:r>
      </w:hyperlink>
    </w:p>
    <w:p>
      <w:pPr>
        <w:tabs>
          <w:tab w:val="right" w:leader="dot" w:pos="9062"/>
        </w:tabs>
        <w:ind w:left="220"/>
      </w:pPr>
      <w:hyperlink w:anchor="_Toc2898" w:history="1">
        <w:r>
          <w:rPr>
            <w:rFonts w:ascii="IRNazanin" w:hAnsi="IRNazanin" w:eastAsia="IRNazanin" w:cs="IRNazanin"/>
            <w:color w:val="111111"/>
            <w:sz w:val="22"/>
            <w:szCs w:val="22"/>
            <w:b w:val="0"/>
            <w:bCs w:val="0"/>
            <w:i w:val="0"/>
            <w:iCs w:val="0"/>
          </w:rPr>
          <w:t>حسيني ، يحيى بن محمّد</w:t>
        </w:r>
        <w:r>
          <w:tab/>
        </w:r>
        <w:r>
          <w:fldChar w:fldCharType="begin"/>
        </w:r>
        <w:r>
          <w:instrText xml:space="preserve">PAGEREF 2898 \h</w:instrText>
        </w:r>
        <w:r>
          <w:fldChar w:fldCharType="end"/>
        </w:r>
      </w:hyperlink>
    </w:p>
    <w:p>
      <w:pPr>
        <w:tabs>
          <w:tab w:val="right" w:leader="dot" w:pos="9062"/>
        </w:tabs>
        <w:ind w:left="220"/>
      </w:pPr>
      <w:hyperlink w:anchor="_Toc2899" w:history="1">
        <w:r>
          <w:rPr>
            <w:rFonts w:ascii="IRNazanin" w:hAnsi="IRNazanin" w:eastAsia="IRNazanin" w:cs="IRNazanin"/>
            <w:color w:val="111111"/>
            <w:sz w:val="22"/>
            <w:szCs w:val="22"/>
            <w:b w:val="0"/>
            <w:bCs w:val="0"/>
            <w:i w:val="0"/>
            <w:iCs w:val="0"/>
          </w:rPr>
          <w:t>حسيني يزدي ، عبدالغفور بن محمّد</w:t>
        </w:r>
        <w:r>
          <w:tab/>
        </w:r>
        <w:r>
          <w:fldChar w:fldCharType="begin"/>
        </w:r>
        <w:r>
          <w:instrText xml:space="preserve">PAGEREF 2899 \h</w:instrText>
        </w:r>
        <w:r>
          <w:fldChar w:fldCharType="end"/>
        </w:r>
      </w:hyperlink>
    </w:p>
    <w:p>
      <w:pPr>
        <w:tabs>
          <w:tab w:val="right" w:leader="dot" w:pos="9062"/>
        </w:tabs>
        <w:ind w:left="220"/>
      </w:pPr>
      <w:hyperlink w:anchor="_Toc2900" w:history="1">
        <w:r>
          <w:rPr>
            <w:rFonts w:ascii="IRNazanin" w:hAnsi="IRNazanin" w:eastAsia="IRNazanin" w:cs="IRNazanin"/>
            <w:color w:val="111111"/>
            <w:sz w:val="22"/>
            <w:szCs w:val="22"/>
            <w:b w:val="0"/>
            <w:bCs w:val="0"/>
            <w:i w:val="0"/>
            <w:iCs w:val="0"/>
          </w:rPr>
          <w:t>حسيني يزدي، محمّد بن محمود قرن 13ه-</w:t>
        </w:r>
        <w:r>
          <w:tab/>
        </w:r>
        <w:r>
          <w:fldChar w:fldCharType="begin"/>
        </w:r>
        <w:r>
          <w:instrText xml:space="preserve">PAGEREF 2900 \h</w:instrText>
        </w:r>
        <w:r>
          <w:fldChar w:fldCharType="end"/>
        </w:r>
      </w:hyperlink>
    </w:p>
    <w:p>
      <w:pPr>
        <w:tabs>
          <w:tab w:val="right" w:leader="dot" w:pos="9062"/>
        </w:tabs>
        <w:ind w:left="220"/>
      </w:pPr>
      <w:hyperlink w:anchor="_Toc2901" w:history="1">
        <w:r>
          <w:rPr>
            <w:rFonts w:ascii="IRNazanin" w:hAnsi="IRNazanin" w:eastAsia="IRNazanin" w:cs="IRNazanin"/>
            <w:color w:val="111111"/>
            <w:sz w:val="22"/>
            <w:szCs w:val="22"/>
            <w:b w:val="0"/>
            <w:bCs w:val="0"/>
            <w:i w:val="0"/>
            <w:iCs w:val="0"/>
          </w:rPr>
          <w:t>حسيني يمني ، احمد بن عبدالرحمن</w:t>
        </w:r>
        <w:r>
          <w:tab/>
        </w:r>
        <w:r>
          <w:fldChar w:fldCharType="begin"/>
        </w:r>
        <w:r>
          <w:instrText xml:space="preserve">PAGEREF 2901 \h</w:instrText>
        </w:r>
        <w:r>
          <w:fldChar w:fldCharType="end"/>
        </w:r>
      </w:hyperlink>
    </w:p>
    <w:p>
      <w:pPr>
        <w:tabs>
          <w:tab w:val="right" w:leader="dot" w:pos="9062"/>
        </w:tabs>
        <w:ind w:left="220"/>
      </w:pPr>
      <w:hyperlink w:anchor="_Toc2902" w:history="1">
        <w:r>
          <w:rPr>
            <w:rFonts w:ascii="IRNazanin" w:hAnsi="IRNazanin" w:eastAsia="IRNazanin" w:cs="IRNazanin"/>
            <w:color w:val="111111"/>
            <w:sz w:val="22"/>
            <w:szCs w:val="22"/>
            <w:b w:val="0"/>
            <w:bCs w:val="0"/>
            <w:i w:val="0"/>
            <w:iCs w:val="0"/>
          </w:rPr>
          <w:t>حشمت ، محمّد سعيد بن عباس .</w:t>
        </w:r>
        <w:r>
          <w:tab/>
        </w:r>
        <w:r>
          <w:fldChar w:fldCharType="begin"/>
        </w:r>
        <w:r>
          <w:instrText xml:space="preserve">PAGEREF 2902 \h</w:instrText>
        </w:r>
        <w:r>
          <w:fldChar w:fldCharType="end"/>
        </w:r>
      </w:hyperlink>
    </w:p>
    <w:p>
      <w:pPr>
        <w:tabs>
          <w:tab w:val="right" w:leader="dot" w:pos="9062"/>
        </w:tabs>
        <w:ind w:left="220"/>
      </w:pPr>
      <w:hyperlink w:anchor="_Toc2903" w:history="1">
        <w:r>
          <w:rPr>
            <w:rFonts w:ascii="IRNazanin" w:hAnsi="IRNazanin" w:eastAsia="IRNazanin" w:cs="IRNazanin"/>
            <w:color w:val="111111"/>
            <w:sz w:val="22"/>
            <w:szCs w:val="22"/>
            <w:b w:val="0"/>
            <w:bCs w:val="0"/>
            <w:i w:val="0"/>
            <w:iCs w:val="0"/>
          </w:rPr>
          <w:t>حصري، ابراهيم بن علي - 413 ؟ ه-</w:t>
        </w:r>
        <w:r>
          <w:tab/>
        </w:r>
        <w:r>
          <w:fldChar w:fldCharType="begin"/>
        </w:r>
        <w:r>
          <w:instrText xml:space="preserve">PAGEREF 2903 \h</w:instrText>
        </w:r>
        <w:r>
          <w:fldChar w:fldCharType="end"/>
        </w:r>
      </w:hyperlink>
    </w:p>
    <w:p>
      <w:pPr>
        <w:tabs>
          <w:tab w:val="right" w:leader="dot" w:pos="9062"/>
        </w:tabs>
        <w:ind w:left="220"/>
      </w:pPr>
      <w:hyperlink w:anchor="_Toc2904" w:history="1">
        <w:r>
          <w:rPr>
            <w:rFonts w:ascii="IRNazanin" w:hAnsi="IRNazanin" w:eastAsia="IRNazanin" w:cs="IRNazanin"/>
            <w:color w:val="111111"/>
            <w:sz w:val="22"/>
            <w:szCs w:val="22"/>
            <w:b w:val="0"/>
            <w:bCs w:val="0"/>
            <w:i w:val="0"/>
            <w:iCs w:val="0"/>
          </w:rPr>
          <w:t>حصكفي ، علي بن مشرف</w:t>
        </w:r>
        <w:r>
          <w:tab/>
        </w:r>
        <w:r>
          <w:fldChar w:fldCharType="begin"/>
        </w:r>
        <w:r>
          <w:instrText xml:space="preserve">PAGEREF 2904 \h</w:instrText>
        </w:r>
        <w:r>
          <w:fldChar w:fldCharType="end"/>
        </w:r>
      </w:hyperlink>
    </w:p>
    <w:p>
      <w:pPr>
        <w:tabs>
          <w:tab w:val="right" w:leader="dot" w:pos="9062"/>
        </w:tabs>
        <w:ind w:left="220"/>
      </w:pPr>
      <w:hyperlink w:anchor="_Toc2905" w:history="1">
        <w:r>
          <w:rPr>
            <w:rFonts w:ascii="IRNazanin" w:hAnsi="IRNazanin" w:eastAsia="IRNazanin" w:cs="IRNazanin"/>
            <w:color w:val="111111"/>
            <w:sz w:val="22"/>
            <w:szCs w:val="22"/>
            <w:b w:val="0"/>
            <w:bCs w:val="0"/>
            <w:i w:val="0"/>
            <w:iCs w:val="0"/>
          </w:rPr>
          <w:t>حصكفي، محمّد بن علي، 1025-1088ه-</w:t>
        </w:r>
        <w:r>
          <w:tab/>
        </w:r>
        <w:r>
          <w:fldChar w:fldCharType="begin"/>
        </w:r>
        <w:r>
          <w:instrText xml:space="preserve">PAGEREF 2905 \h</w:instrText>
        </w:r>
        <w:r>
          <w:fldChar w:fldCharType="end"/>
        </w:r>
      </w:hyperlink>
    </w:p>
    <w:p>
      <w:pPr>
        <w:tabs>
          <w:tab w:val="right" w:leader="dot" w:pos="9062"/>
        </w:tabs>
        <w:ind w:left="220"/>
      </w:pPr>
      <w:hyperlink w:anchor="_Toc2906" w:history="1">
        <w:r>
          <w:rPr>
            <w:rFonts w:ascii="IRNazanin" w:hAnsi="IRNazanin" w:eastAsia="IRNazanin" w:cs="IRNazanin"/>
            <w:color w:val="111111"/>
            <w:sz w:val="22"/>
            <w:szCs w:val="22"/>
            <w:b w:val="0"/>
            <w:bCs w:val="0"/>
            <w:i w:val="0"/>
            <w:iCs w:val="0"/>
          </w:rPr>
          <w:t>حصكفي ، مظفر بن حسين</w:t>
        </w:r>
        <w:r>
          <w:tab/>
        </w:r>
        <w:r>
          <w:fldChar w:fldCharType="begin"/>
        </w:r>
        <w:r>
          <w:instrText xml:space="preserve">PAGEREF 2906 \h</w:instrText>
        </w:r>
        <w:r>
          <w:fldChar w:fldCharType="end"/>
        </w:r>
      </w:hyperlink>
    </w:p>
    <w:p>
      <w:pPr>
        <w:tabs>
          <w:tab w:val="right" w:leader="dot" w:pos="9062"/>
        </w:tabs>
        <w:ind w:left="220"/>
      </w:pPr>
      <w:hyperlink w:anchor="_Toc2907" w:history="1">
        <w:r>
          <w:rPr>
            <w:rFonts w:ascii="IRNazanin" w:hAnsi="IRNazanin" w:eastAsia="IRNazanin" w:cs="IRNazanin"/>
            <w:color w:val="111111"/>
            <w:sz w:val="22"/>
            <w:szCs w:val="22"/>
            <w:b w:val="0"/>
            <w:bCs w:val="0"/>
            <w:i w:val="0"/>
            <w:iCs w:val="0"/>
          </w:rPr>
          <w:t>حصني ، ابوبكر بن محمّد، 752 - 829 ه-</w:t>
        </w:r>
        <w:r>
          <w:tab/>
        </w:r>
        <w:r>
          <w:fldChar w:fldCharType="begin"/>
        </w:r>
        <w:r>
          <w:instrText xml:space="preserve">PAGEREF 2907 \h</w:instrText>
        </w:r>
        <w:r>
          <w:fldChar w:fldCharType="end"/>
        </w:r>
      </w:hyperlink>
    </w:p>
    <w:p>
      <w:pPr>
        <w:tabs>
          <w:tab w:val="right" w:leader="dot" w:pos="9062"/>
        </w:tabs>
        <w:ind w:left="220"/>
      </w:pPr>
      <w:hyperlink w:anchor="_Toc2908" w:history="1">
        <w:r>
          <w:rPr>
            <w:rFonts w:ascii="IRNazanin" w:hAnsi="IRNazanin" w:eastAsia="IRNazanin" w:cs="IRNazanin"/>
            <w:color w:val="111111"/>
            <w:sz w:val="22"/>
            <w:szCs w:val="22"/>
            <w:b w:val="0"/>
            <w:bCs w:val="0"/>
            <w:i w:val="0"/>
            <w:iCs w:val="0"/>
          </w:rPr>
          <w:t>حصني ، حسين بن علي، 932 - 971 ه-</w:t>
        </w:r>
        <w:r>
          <w:tab/>
        </w:r>
        <w:r>
          <w:fldChar w:fldCharType="begin"/>
        </w:r>
        <w:r>
          <w:instrText xml:space="preserve">PAGEREF 2908 \h</w:instrText>
        </w:r>
        <w:r>
          <w:fldChar w:fldCharType="end"/>
        </w:r>
      </w:hyperlink>
    </w:p>
    <w:p>
      <w:pPr>
        <w:tabs>
          <w:tab w:val="right" w:leader="dot" w:pos="9062"/>
        </w:tabs>
        <w:ind w:left="220"/>
      </w:pPr>
      <w:hyperlink w:anchor="_Toc2909" w:history="1">
        <w:r>
          <w:rPr>
            <w:rFonts w:ascii="IRNazanin" w:hAnsi="IRNazanin" w:eastAsia="IRNazanin" w:cs="IRNazanin"/>
            <w:color w:val="111111"/>
            <w:sz w:val="22"/>
            <w:szCs w:val="22"/>
            <w:b w:val="0"/>
            <w:bCs w:val="0"/>
            <w:i w:val="0"/>
            <w:iCs w:val="0"/>
          </w:rPr>
          <w:t>حصني ، عبد القادر بن ذالنون</w:t>
        </w:r>
        <w:r>
          <w:tab/>
        </w:r>
        <w:r>
          <w:fldChar w:fldCharType="begin"/>
        </w:r>
        <w:r>
          <w:instrText xml:space="preserve">PAGEREF 2909 \h</w:instrText>
        </w:r>
        <w:r>
          <w:fldChar w:fldCharType="end"/>
        </w:r>
      </w:hyperlink>
    </w:p>
    <w:p>
      <w:pPr>
        <w:tabs>
          <w:tab w:val="right" w:leader="dot" w:pos="9062"/>
        </w:tabs>
        <w:ind w:left="220"/>
      </w:pPr>
      <w:hyperlink w:anchor="_Toc2910" w:history="1">
        <w:r>
          <w:rPr>
            <w:rFonts w:ascii="IRNazanin" w:hAnsi="IRNazanin" w:eastAsia="IRNazanin" w:cs="IRNazanin"/>
            <w:color w:val="111111"/>
            <w:sz w:val="22"/>
            <w:szCs w:val="22"/>
            <w:b w:val="0"/>
            <w:bCs w:val="0"/>
            <w:i w:val="0"/>
            <w:iCs w:val="0"/>
          </w:rPr>
          <w:t>حصوني ناصحي ، احمد، - 1099 ه-</w:t>
        </w:r>
        <w:r>
          <w:tab/>
        </w:r>
        <w:r>
          <w:fldChar w:fldCharType="begin"/>
        </w:r>
        <w:r>
          <w:instrText xml:space="preserve">PAGEREF 2910 \h</w:instrText>
        </w:r>
        <w:r>
          <w:fldChar w:fldCharType="end"/>
        </w:r>
      </w:hyperlink>
    </w:p>
    <w:p>
      <w:pPr>
        <w:tabs>
          <w:tab w:val="right" w:leader="dot" w:pos="9062"/>
        </w:tabs>
        <w:ind w:left="220"/>
      </w:pPr>
      <w:hyperlink w:anchor="_Toc2911" w:history="1">
        <w:r>
          <w:rPr>
            <w:rFonts w:ascii="IRNazanin" w:hAnsi="IRNazanin" w:eastAsia="IRNazanin" w:cs="IRNazanin"/>
            <w:color w:val="111111"/>
            <w:sz w:val="22"/>
            <w:szCs w:val="22"/>
            <w:b w:val="0"/>
            <w:bCs w:val="0"/>
            <w:i w:val="0"/>
            <w:iCs w:val="0"/>
          </w:rPr>
          <w:t>حضرمي ، جعفر بن محمّد قرن 4 ه-</w:t>
        </w:r>
        <w:r>
          <w:tab/>
        </w:r>
        <w:r>
          <w:fldChar w:fldCharType="begin"/>
        </w:r>
        <w:r>
          <w:instrText xml:space="preserve">PAGEREF 2911 \h</w:instrText>
        </w:r>
        <w:r>
          <w:fldChar w:fldCharType="end"/>
        </w:r>
      </w:hyperlink>
    </w:p>
    <w:p>
      <w:pPr>
        <w:tabs>
          <w:tab w:val="right" w:leader="dot" w:pos="9062"/>
        </w:tabs>
        <w:ind w:left="220"/>
      </w:pPr>
      <w:hyperlink w:anchor="_Toc2912" w:history="1">
        <w:r>
          <w:rPr>
            <w:rFonts w:ascii="IRNazanin" w:hAnsi="IRNazanin" w:eastAsia="IRNazanin" w:cs="IRNazanin"/>
            <w:color w:val="111111"/>
            <w:sz w:val="22"/>
            <w:szCs w:val="22"/>
            <w:b w:val="0"/>
            <w:bCs w:val="0"/>
            <w:i w:val="0"/>
            <w:iCs w:val="0"/>
          </w:rPr>
          <w:t>حضيري ، سعيد بن علي</w:t>
        </w:r>
        <w:r>
          <w:tab/>
        </w:r>
        <w:r>
          <w:fldChar w:fldCharType="begin"/>
        </w:r>
        <w:r>
          <w:instrText xml:space="preserve">PAGEREF 2912 \h</w:instrText>
        </w:r>
        <w:r>
          <w:fldChar w:fldCharType="end"/>
        </w:r>
      </w:hyperlink>
    </w:p>
    <w:p>
      <w:pPr>
        <w:tabs>
          <w:tab w:val="right" w:leader="dot" w:pos="9062"/>
        </w:tabs>
        <w:ind w:left="220"/>
      </w:pPr>
      <w:hyperlink w:anchor="_Toc2913" w:history="1">
        <w:r>
          <w:rPr>
            <w:rFonts w:ascii="IRNazanin" w:hAnsi="IRNazanin" w:eastAsia="IRNazanin" w:cs="IRNazanin"/>
            <w:color w:val="111111"/>
            <w:sz w:val="22"/>
            <w:szCs w:val="22"/>
            <w:b w:val="0"/>
            <w:bCs w:val="0"/>
            <w:i w:val="0"/>
            <w:iCs w:val="0"/>
          </w:rPr>
          <w:t>حضرمي ، طيب بن ابي بكر، قرن 12 ه-</w:t>
        </w:r>
        <w:r>
          <w:tab/>
        </w:r>
        <w:r>
          <w:fldChar w:fldCharType="begin"/>
        </w:r>
        <w:r>
          <w:instrText xml:space="preserve">PAGEREF 2913 \h</w:instrText>
        </w:r>
        <w:r>
          <w:fldChar w:fldCharType="end"/>
        </w:r>
      </w:hyperlink>
    </w:p>
    <w:p>
      <w:pPr>
        <w:tabs>
          <w:tab w:val="right" w:leader="dot" w:pos="9062"/>
        </w:tabs>
        <w:ind w:left="220"/>
      </w:pPr>
      <w:hyperlink w:anchor="_Toc2914" w:history="1">
        <w:r>
          <w:rPr>
            <w:rFonts w:ascii="IRNazanin" w:hAnsi="IRNazanin" w:eastAsia="IRNazanin" w:cs="IRNazanin"/>
            <w:color w:val="111111"/>
            <w:sz w:val="22"/>
            <w:szCs w:val="22"/>
            <w:b w:val="0"/>
            <w:bCs w:val="0"/>
            <w:i w:val="0"/>
            <w:iCs w:val="0"/>
          </w:rPr>
          <w:t>حضرمي ، محمّد بن المثنى، قرن 3 ه-</w:t>
        </w:r>
        <w:r>
          <w:tab/>
        </w:r>
        <w:r>
          <w:fldChar w:fldCharType="begin"/>
        </w:r>
        <w:r>
          <w:instrText xml:space="preserve">PAGEREF 2914 \h</w:instrText>
        </w:r>
        <w:r>
          <w:fldChar w:fldCharType="end"/>
        </w:r>
      </w:hyperlink>
    </w:p>
    <w:p>
      <w:pPr>
        <w:tabs>
          <w:tab w:val="right" w:leader="dot" w:pos="9062"/>
        </w:tabs>
        <w:ind w:left="220"/>
      </w:pPr>
      <w:hyperlink w:anchor="_Toc2915" w:history="1">
        <w:r>
          <w:rPr>
            <w:rFonts w:ascii="IRNazanin" w:hAnsi="IRNazanin" w:eastAsia="IRNazanin" w:cs="IRNazanin"/>
            <w:color w:val="111111"/>
            <w:sz w:val="22"/>
            <w:szCs w:val="22"/>
            <w:b w:val="0"/>
            <w:bCs w:val="0"/>
            <w:i w:val="0"/>
            <w:iCs w:val="0"/>
          </w:rPr>
          <w:t>حطاب ، محمّد بن محمّد، 902 - 954 ه-</w:t>
        </w:r>
        <w:r>
          <w:tab/>
        </w:r>
        <w:r>
          <w:fldChar w:fldCharType="begin"/>
        </w:r>
        <w:r>
          <w:instrText xml:space="preserve">PAGEREF 2915 \h</w:instrText>
        </w:r>
        <w:r>
          <w:fldChar w:fldCharType="end"/>
        </w:r>
      </w:hyperlink>
    </w:p>
    <w:p>
      <w:pPr>
        <w:tabs>
          <w:tab w:val="right" w:leader="dot" w:pos="9062"/>
        </w:tabs>
        <w:ind w:left="220"/>
      </w:pPr>
      <w:hyperlink w:anchor="_Toc2916" w:history="1">
        <w:r>
          <w:rPr>
            <w:rFonts w:ascii="IRNazanin" w:hAnsi="IRNazanin" w:eastAsia="IRNazanin" w:cs="IRNazanin"/>
            <w:color w:val="111111"/>
            <w:sz w:val="22"/>
            <w:szCs w:val="22"/>
            <w:b w:val="0"/>
            <w:bCs w:val="0"/>
            <w:i w:val="0"/>
            <w:iCs w:val="0"/>
          </w:rPr>
          <w:t>حطيئه ، جرول بن أوس - 45؟ ه-</w:t>
        </w:r>
        <w:r>
          <w:tab/>
        </w:r>
        <w:r>
          <w:fldChar w:fldCharType="begin"/>
        </w:r>
        <w:r>
          <w:instrText xml:space="preserve">PAGEREF 2916 \h</w:instrText>
        </w:r>
        <w:r>
          <w:fldChar w:fldCharType="end"/>
        </w:r>
      </w:hyperlink>
    </w:p>
    <w:p>
      <w:pPr>
        <w:tabs>
          <w:tab w:val="right" w:leader="dot" w:pos="9062"/>
        </w:tabs>
        <w:ind w:left="220"/>
      </w:pPr>
      <w:hyperlink w:anchor="_Toc2917" w:history="1">
        <w:r>
          <w:rPr>
            <w:rFonts w:ascii="IRNazanin" w:hAnsi="IRNazanin" w:eastAsia="IRNazanin" w:cs="IRNazanin"/>
            <w:color w:val="111111"/>
            <w:sz w:val="22"/>
            <w:szCs w:val="22"/>
            <w:b w:val="0"/>
            <w:bCs w:val="0"/>
            <w:i w:val="0"/>
            <w:iCs w:val="0"/>
          </w:rPr>
          <w:t>حظيري، صاعد بن هبة الله - 591 ه-</w:t>
        </w:r>
        <w:r>
          <w:tab/>
        </w:r>
        <w:r>
          <w:fldChar w:fldCharType="begin"/>
        </w:r>
        <w:r>
          <w:instrText xml:space="preserve">PAGEREF 2917 \h</w:instrText>
        </w:r>
        <w:r>
          <w:fldChar w:fldCharType="end"/>
        </w:r>
      </w:hyperlink>
    </w:p>
    <w:p>
      <w:pPr>
        <w:tabs>
          <w:tab w:val="right" w:leader="dot" w:pos="9062"/>
        </w:tabs>
        <w:ind w:left="220"/>
      </w:pPr>
      <w:hyperlink w:anchor="_Toc2918" w:history="1">
        <w:r>
          <w:rPr>
            <w:rFonts w:ascii="IRNazanin" w:hAnsi="IRNazanin" w:eastAsia="IRNazanin" w:cs="IRNazanin"/>
            <w:color w:val="111111"/>
            <w:sz w:val="22"/>
            <w:szCs w:val="22"/>
            <w:b w:val="0"/>
            <w:bCs w:val="0"/>
            <w:i w:val="0"/>
            <w:iCs w:val="0"/>
          </w:rPr>
          <w:t>حفظي ، محمّد عارف بن ابراهيم</w:t>
        </w:r>
        <w:r>
          <w:tab/>
        </w:r>
        <w:r>
          <w:fldChar w:fldCharType="begin"/>
        </w:r>
        <w:r>
          <w:instrText xml:space="preserve">PAGEREF 2918 \h</w:instrText>
        </w:r>
        <w:r>
          <w:fldChar w:fldCharType="end"/>
        </w:r>
      </w:hyperlink>
    </w:p>
    <w:p>
      <w:pPr>
        <w:tabs>
          <w:tab w:val="right" w:leader="dot" w:pos="9062"/>
        </w:tabs>
        <w:ind w:left="220"/>
      </w:pPr>
      <w:hyperlink w:anchor="_Toc2919" w:history="1">
        <w:r>
          <w:rPr>
            <w:rFonts w:ascii="IRNazanin" w:hAnsi="IRNazanin" w:eastAsia="IRNazanin" w:cs="IRNazanin"/>
            <w:color w:val="111111"/>
            <w:sz w:val="22"/>
            <w:szCs w:val="22"/>
            <w:b w:val="0"/>
            <w:bCs w:val="0"/>
            <w:i w:val="0"/>
            <w:iCs w:val="0"/>
          </w:rPr>
          <w:t>حفناوي ، شهاب الدین احمد قرن 12 ه-</w:t>
        </w:r>
        <w:r>
          <w:tab/>
        </w:r>
        <w:r>
          <w:fldChar w:fldCharType="begin"/>
        </w:r>
        <w:r>
          <w:instrText xml:space="preserve">PAGEREF 2919 \h</w:instrText>
        </w:r>
        <w:r>
          <w:fldChar w:fldCharType="end"/>
        </w:r>
      </w:hyperlink>
    </w:p>
    <w:p>
      <w:pPr>
        <w:tabs>
          <w:tab w:val="right" w:leader="dot" w:pos="9062"/>
        </w:tabs>
        <w:ind w:left="220"/>
      </w:pPr>
      <w:hyperlink w:anchor="_Toc2920" w:history="1">
        <w:r>
          <w:rPr>
            <w:rFonts w:ascii="IRNazanin" w:hAnsi="IRNazanin" w:eastAsia="IRNazanin" w:cs="IRNazanin"/>
            <w:color w:val="111111"/>
            <w:sz w:val="22"/>
            <w:szCs w:val="22"/>
            <w:b w:val="0"/>
            <w:bCs w:val="0"/>
            <w:i w:val="0"/>
            <w:iCs w:val="0"/>
          </w:rPr>
          <w:t>حفناوي، يوسف بن سالم - 1178 ه-</w:t>
        </w:r>
        <w:r>
          <w:tab/>
        </w:r>
        <w:r>
          <w:fldChar w:fldCharType="begin"/>
        </w:r>
        <w:r>
          <w:instrText xml:space="preserve">PAGEREF 2920 \h</w:instrText>
        </w:r>
        <w:r>
          <w:fldChar w:fldCharType="end"/>
        </w:r>
      </w:hyperlink>
    </w:p>
    <w:p>
      <w:pPr>
        <w:tabs>
          <w:tab w:val="right" w:leader="dot" w:pos="9062"/>
        </w:tabs>
        <w:ind w:left="220"/>
      </w:pPr>
      <w:hyperlink w:anchor="_Toc2921" w:history="1">
        <w:r>
          <w:rPr>
            <w:rFonts w:ascii="IRNazanin" w:hAnsi="IRNazanin" w:eastAsia="IRNazanin" w:cs="IRNazanin"/>
            <w:color w:val="111111"/>
            <w:sz w:val="22"/>
            <w:szCs w:val="22"/>
            <w:b w:val="0"/>
            <w:bCs w:val="0"/>
            <w:i w:val="0"/>
            <w:iCs w:val="0"/>
          </w:rPr>
          <w:t>حفني ، محمّد بن سالم، 1101 - 1181 ه-</w:t>
        </w:r>
        <w:r>
          <w:tab/>
        </w:r>
        <w:r>
          <w:fldChar w:fldCharType="begin"/>
        </w:r>
        <w:r>
          <w:instrText xml:space="preserve">PAGEREF 2921 \h</w:instrText>
        </w:r>
        <w:r>
          <w:fldChar w:fldCharType="end"/>
        </w:r>
      </w:hyperlink>
    </w:p>
    <w:p>
      <w:pPr>
        <w:tabs>
          <w:tab w:val="right" w:leader="dot" w:pos="9062"/>
        </w:tabs>
        <w:ind w:left="220"/>
      </w:pPr>
      <w:hyperlink w:anchor="_Toc2922" w:history="1">
        <w:r>
          <w:rPr>
            <w:rFonts w:ascii="IRNazanin" w:hAnsi="IRNazanin" w:eastAsia="IRNazanin" w:cs="IRNazanin"/>
            <w:color w:val="111111"/>
            <w:sz w:val="22"/>
            <w:szCs w:val="22"/>
            <w:b w:val="0"/>
            <w:bCs w:val="0"/>
            <w:i w:val="0"/>
            <w:iCs w:val="0"/>
          </w:rPr>
          <w:t>حفيد تفتازاني احمد بن يحيى -916؟ه-</w:t>
        </w:r>
        <w:r>
          <w:tab/>
        </w:r>
        <w:r>
          <w:fldChar w:fldCharType="begin"/>
        </w:r>
        <w:r>
          <w:instrText xml:space="preserve">PAGEREF 2922 \h</w:instrText>
        </w:r>
        <w:r>
          <w:fldChar w:fldCharType="end"/>
        </w:r>
      </w:hyperlink>
    </w:p>
    <w:p>
      <w:pPr>
        <w:tabs>
          <w:tab w:val="right" w:leader="dot" w:pos="9062"/>
        </w:tabs>
        <w:ind w:left="220"/>
      </w:pPr>
      <w:hyperlink w:anchor="_Toc2923" w:history="1">
        <w:r>
          <w:rPr>
            <w:rFonts w:ascii="IRNazanin" w:hAnsi="IRNazanin" w:eastAsia="IRNazanin" w:cs="IRNazanin"/>
            <w:color w:val="111111"/>
            <w:sz w:val="22"/>
            <w:szCs w:val="22"/>
            <w:b w:val="0"/>
            <w:bCs w:val="0"/>
            <w:i w:val="0"/>
            <w:iCs w:val="0"/>
          </w:rPr>
          <w:t>حفيد كوچك احمد زاده ، محمّد مسعود</w:t>
        </w:r>
        <w:r>
          <w:tab/>
        </w:r>
        <w:r>
          <w:fldChar w:fldCharType="begin"/>
        </w:r>
        <w:r>
          <w:instrText xml:space="preserve">PAGEREF 2923 \h</w:instrText>
        </w:r>
        <w:r>
          <w:fldChar w:fldCharType="end"/>
        </w:r>
      </w:hyperlink>
    </w:p>
    <w:p>
      <w:pPr>
        <w:tabs>
          <w:tab w:val="right" w:leader="dot" w:pos="9062"/>
        </w:tabs>
        <w:ind w:left="220"/>
      </w:pPr>
      <w:hyperlink w:anchor="_Toc2924" w:history="1">
        <w:r>
          <w:rPr>
            <w:rFonts w:ascii="IRNazanin" w:hAnsi="IRNazanin" w:eastAsia="IRNazanin" w:cs="IRNazanin"/>
            <w:color w:val="111111"/>
            <w:sz w:val="22"/>
            <w:szCs w:val="22"/>
            <w:b w:val="0"/>
            <w:bCs w:val="0"/>
            <w:i w:val="0"/>
            <w:iCs w:val="0"/>
          </w:rPr>
          <w:t>حق الدين ، احمد بن صالح</w:t>
        </w:r>
        <w:r>
          <w:tab/>
        </w:r>
        <w:r>
          <w:fldChar w:fldCharType="begin"/>
        </w:r>
        <w:r>
          <w:instrText xml:space="preserve">PAGEREF 2924 \h</w:instrText>
        </w:r>
        <w:r>
          <w:fldChar w:fldCharType="end"/>
        </w:r>
      </w:hyperlink>
    </w:p>
    <w:p>
      <w:pPr>
        <w:tabs>
          <w:tab w:val="right" w:leader="dot" w:pos="9062"/>
        </w:tabs>
        <w:ind w:left="220"/>
      </w:pPr>
      <w:hyperlink w:anchor="_Toc2925" w:history="1">
        <w:r>
          <w:rPr>
            <w:rFonts w:ascii="IRNazanin" w:hAnsi="IRNazanin" w:eastAsia="IRNazanin" w:cs="IRNazanin"/>
            <w:color w:val="111111"/>
            <w:sz w:val="22"/>
            <w:szCs w:val="22"/>
            <w:b w:val="0"/>
            <w:bCs w:val="0"/>
            <w:i w:val="0"/>
            <w:iCs w:val="0"/>
          </w:rPr>
          <w:t>حقي، ابراهيم بن عثمان - 1195 ه-</w:t>
        </w:r>
        <w:r>
          <w:tab/>
        </w:r>
        <w:r>
          <w:fldChar w:fldCharType="begin"/>
        </w:r>
        <w:r>
          <w:instrText xml:space="preserve">PAGEREF 2925 \h</w:instrText>
        </w:r>
        <w:r>
          <w:fldChar w:fldCharType="end"/>
        </w:r>
      </w:hyperlink>
    </w:p>
    <w:p>
      <w:pPr>
        <w:tabs>
          <w:tab w:val="right" w:leader="dot" w:pos="9062"/>
        </w:tabs>
        <w:ind w:left="220"/>
      </w:pPr>
      <w:hyperlink w:anchor="_Toc2926" w:history="1">
        <w:r>
          <w:rPr>
            <w:rFonts w:ascii="IRNazanin" w:hAnsi="IRNazanin" w:eastAsia="IRNazanin" w:cs="IRNazanin"/>
            <w:color w:val="111111"/>
            <w:sz w:val="22"/>
            <w:szCs w:val="22"/>
            <w:b w:val="0"/>
            <w:bCs w:val="0"/>
            <w:i w:val="0"/>
            <w:iCs w:val="0"/>
          </w:rPr>
          <w:t>حقي ، اسماعيل</w:t>
        </w:r>
        <w:r>
          <w:tab/>
        </w:r>
        <w:r>
          <w:fldChar w:fldCharType="begin"/>
        </w:r>
        <w:r>
          <w:instrText xml:space="preserve">PAGEREF 2926 \h</w:instrText>
        </w:r>
        <w:r>
          <w:fldChar w:fldCharType="end"/>
        </w:r>
      </w:hyperlink>
    </w:p>
    <w:p>
      <w:pPr>
        <w:tabs>
          <w:tab w:val="right" w:leader="dot" w:pos="9062"/>
        </w:tabs>
        <w:ind w:left="220"/>
      </w:pPr>
      <w:hyperlink w:anchor="_Toc2927" w:history="1">
        <w:r>
          <w:rPr>
            <w:rFonts w:ascii="IRNazanin" w:hAnsi="IRNazanin" w:eastAsia="IRNazanin" w:cs="IRNazanin"/>
            <w:color w:val="111111"/>
            <w:sz w:val="22"/>
            <w:szCs w:val="22"/>
            <w:b w:val="0"/>
            <w:bCs w:val="0"/>
            <w:i w:val="0"/>
            <w:iCs w:val="0"/>
          </w:rPr>
          <w:t>حقي برسوي، اسماعيل بن مصطفى</w:t>
        </w:r>
        <w:r>
          <w:tab/>
        </w:r>
        <w:r>
          <w:fldChar w:fldCharType="begin"/>
        </w:r>
        <w:r>
          <w:instrText xml:space="preserve">PAGEREF 2927 \h</w:instrText>
        </w:r>
        <w:r>
          <w:fldChar w:fldCharType="end"/>
        </w:r>
      </w:hyperlink>
    </w:p>
    <w:p>
      <w:pPr>
        <w:tabs>
          <w:tab w:val="right" w:leader="dot" w:pos="9062"/>
        </w:tabs>
        <w:ind w:left="220"/>
      </w:pPr>
      <w:hyperlink w:anchor="_Toc2928" w:history="1">
        <w:r>
          <w:rPr>
            <w:rFonts w:ascii="IRNazanin" w:hAnsi="IRNazanin" w:eastAsia="IRNazanin" w:cs="IRNazanin"/>
            <w:color w:val="111111"/>
            <w:sz w:val="22"/>
            <w:szCs w:val="22"/>
            <w:b w:val="0"/>
            <w:bCs w:val="0"/>
            <w:i w:val="0"/>
            <w:iCs w:val="0"/>
          </w:rPr>
          <w:t>حقيري هروي، احمد بن نظام الدین</w:t>
        </w:r>
        <w:r>
          <w:tab/>
        </w:r>
        <w:r>
          <w:fldChar w:fldCharType="begin"/>
        </w:r>
        <w:r>
          <w:instrText xml:space="preserve">PAGEREF 2928 \h</w:instrText>
        </w:r>
        <w:r>
          <w:fldChar w:fldCharType="end"/>
        </w:r>
      </w:hyperlink>
    </w:p>
    <w:p>
      <w:pPr>
        <w:tabs>
          <w:tab w:val="right" w:leader="dot" w:pos="9062"/>
        </w:tabs>
        <w:ind w:left="220"/>
      </w:pPr>
      <w:hyperlink w:anchor="_Toc2929" w:history="1">
        <w:r>
          <w:rPr>
            <w:rFonts w:ascii="IRNazanin" w:hAnsi="IRNazanin" w:eastAsia="IRNazanin" w:cs="IRNazanin"/>
            <w:color w:val="111111"/>
            <w:sz w:val="22"/>
            <w:szCs w:val="22"/>
            <w:b w:val="0"/>
            <w:bCs w:val="0"/>
            <w:i w:val="0"/>
            <w:iCs w:val="0"/>
          </w:rPr>
          <w:t>حكري ، محمّد بن سليمان - 781 ه-</w:t>
        </w:r>
        <w:r>
          <w:tab/>
        </w:r>
        <w:r>
          <w:fldChar w:fldCharType="begin"/>
        </w:r>
        <w:r>
          <w:instrText xml:space="preserve">PAGEREF 2929 \h</w:instrText>
        </w:r>
        <w:r>
          <w:fldChar w:fldCharType="end"/>
        </w:r>
      </w:hyperlink>
    </w:p>
    <w:p>
      <w:pPr>
        <w:tabs>
          <w:tab w:val="right" w:leader="dot" w:pos="9062"/>
        </w:tabs>
        <w:ind w:left="220"/>
      </w:pPr>
      <w:hyperlink w:anchor="_Toc2930" w:history="1">
        <w:r>
          <w:rPr>
            <w:rFonts w:ascii="IRNazanin" w:hAnsi="IRNazanin" w:eastAsia="IRNazanin" w:cs="IRNazanin"/>
            <w:color w:val="111111"/>
            <w:sz w:val="22"/>
            <w:szCs w:val="22"/>
            <w:b w:val="0"/>
            <w:bCs w:val="0"/>
            <w:i w:val="0"/>
            <w:iCs w:val="0"/>
          </w:rPr>
          <w:t>حكمي ، احمد بن ابي الفتح، قرن 11 ه-</w:t>
        </w:r>
        <w:r>
          <w:tab/>
        </w:r>
        <w:r>
          <w:fldChar w:fldCharType="begin"/>
        </w:r>
        <w:r>
          <w:instrText xml:space="preserve">PAGEREF 2930 \h</w:instrText>
        </w:r>
        <w:r>
          <w:fldChar w:fldCharType="end"/>
        </w:r>
      </w:hyperlink>
    </w:p>
    <w:p>
      <w:pPr>
        <w:tabs>
          <w:tab w:val="right" w:leader="dot" w:pos="9062"/>
        </w:tabs>
        <w:ind w:left="220"/>
      </w:pPr>
      <w:hyperlink w:anchor="_Toc2931" w:history="1">
        <w:r>
          <w:rPr>
            <w:rFonts w:ascii="IRNazanin" w:hAnsi="IRNazanin" w:eastAsia="IRNazanin" w:cs="IRNazanin"/>
            <w:color w:val="111111"/>
            <w:sz w:val="22"/>
            <w:szCs w:val="22"/>
            <w:b w:val="0"/>
            <w:bCs w:val="0"/>
            <w:i w:val="0"/>
            <w:iCs w:val="0"/>
          </w:rPr>
          <w:t>حكيم ، ابوالقاسم</w:t>
        </w:r>
        <w:r>
          <w:tab/>
        </w:r>
        <w:r>
          <w:fldChar w:fldCharType="begin"/>
        </w:r>
        <w:r>
          <w:instrText xml:space="preserve">PAGEREF 2931 \h</w:instrText>
        </w:r>
        <w:r>
          <w:fldChar w:fldCharType="end"/>
        </w:r>
      </w:hyperlink>
    </w:p>
    <w:p>
      <w:pPr>
        <w:tabs>
          <w:tab w:val="right" w:leader="dot" w:pos="9062"/>
        </w:tabs>
        <w:ind w:left="220"/>
      </w:pPr>
      <w:hyperlink w:anchor="_Toc2932" w:history="1">
        <w:r>
          <w:rPr>
            <w:rFonts w:ascii="IRNazanin" w:hAnsi="IRNazanin" w:eastAsia="IRNazanin" w:cs="IRNazanin"/>
            <w:color w:val="111111"/>
            <w:sz w:val="22"/>
            <w:szCs w:val="22"/>
            <w:b w:val="0"/>
            <w:bCs w:val="0"/>
            <w:i w:val="0"/>
            <w:iCs w:val="0"/>
          </w:rPr>
          <w:t>حکیم اسحاق</w:t>
        </w:r>
        <w:r>
          <w:tab/>
        </w:r>
        <w:r>
          <w:fldChar w:fldCharType="begin"/>
        </w:r>
        <w:r>
          <w:instrText xml:space="preserve">PAGEREF 2932 \h</w:instrText>
        </w:r>
        <w:r>
          <w:fldChar w:fldCharType="end"/>
        </w:r>
      </w:hyperlink>
    </w:p>
    <w:p>
      <w:pPr>
        <w:tabs>
          <w:tab w:val="right" w:leader="dot" w:pos="9062"/>
        </w:tabs>
        <w:ind w:left="220"/>
      </w:pPr>
      <w:hyperlink w:anchor="_Toc2933" w:history="1">
        <w:r>
          <w:rPr>
            <w:rFonts w:ascii="IRNazanin" w:hAnsi="IRNazanin" w:eastAsia="IRNazanin" w:cs="IRNazanin"/>
            <w:color w:val="111111"/>
            <w:sz w:val="22"/>
            <w:szCs w:val="22"/>
            <w:b w:val="0"/>
            <w:bCs w:val="0"/>
            <w:i w:val="0"/>
            <w:iCs w:val="0"/>
          </w:rPr>
          <w:t>حكيم افندي ، محمّد، قرن 13 ه-</w:t>
        </w:r>
        <w:r>
          <w:tab/>
        </w:r>
        <w:r>
          <w:fldChar w:fldCharType="begin"/>
        </w:r>
        <w:r>
          <w:instrText xml:space="preserve">PAGEREF 2933 \h</w:instrText>
        </w:r>
        <w:r>
          <w:fldChar w:fldCharType="end"/>
        </w:r>
      </w:hyperlink>
    </w:p>
    <w:p>
      <w:pPr>
        <w:tabs>
          <w:tab w:val="right" w:leader="dot" w:pos="9062"/>
        </w:tabs>
        <w:ind w:left="220"/>
      </w:pPr>
      <w:hyperlink w:anchor="_Toc2934" w:history="1">
        <w:r>
          <w:rPr>
            <w:rFonts w:ascii="IRNazanin" w:hAnsi="IRNazanin" w:eastAsia="IRNazanin" w:cs="IRNazanin"/>
            <w:color w:val="111111"/>
            <w:sz w:val="22"/>
            <w:szCs w:val="22"/>
            <w:b w:val="0"/>
            <w:bCs w:val="0"/>
            <w:i w:val="0"/>
            <w:iCs w:val="0"/>
          </w:rPr>
          <w:t>حكيم الدين تبريزي ، محمود بن سعد</w:t>
        </w:r>
        <w:r>
          <w:tab/>
        </w:r>
        <w:r>
          <w:fldChar w:fldCharType="begin"/>
        </w:r>
        <w:r>
          <w:instrText xml:space="preserve">PAGEREF 2934 \h</w:instrText>
        </w:r>
        <w:r>
          <w:fldChar w:fldCharType="end"/>
        </w:r>
      </w:hyperlink>
    </w:p>
    <w:p>
      <w:pPr>
        <w:tabs>
          <w:tab w:val="right" w:leader="dot" w:pos="9062"/>
        </w:tabs>
        <w:ind w:left="220"/>
      </w:pPr>
      <w:hyperlink w:anchor="_Toc2935" w:history="1">
        <w:r>
          <w:rPr>
            <w:rFonts w:ascii="IRNazanin" w:hAnsi="IRNazanin" w:eastAsia="IRNazanin" w:cs="IRNazanin"/>
            <w:color w:val="111111"/>
            <w:sz w:val="22"/>
            <w:szCs w:val="22"/>
            <w:b w:val="0"/>
            <w:bCs w:val="0"/>
            <w:i w:val="0"/>
            <w:iCs w:val="0"/>
          </w:rPr>
          <w:t>حکیم اوغلي علي پاشا بن نوح -1070ه-</w:t>
        </w:r>
        <w:r>
          <w:tab/>
        </w:r>
        <w:r>
          <w:fldChar w:fldCharType="begin"/>
        </w:r>
        <w:r>
          <w:instrText xml:space="preserve">PAGEREF 2935 \h</w:instrText>
        </w:r>
        <w:r>
          <w:fldChar w:fldCharType="end"/>
        </w:r>
      </w:hyperlink>
    </w:p>
    <w:p>
      <w:pPr>
        <w:tabs>
          <w:tab w:val="right" w:leader="dot" w:pos="9062"/>
        </w:tabs>
        <w:ind w:left="220"/>
      </w:pPr>
      <w:hyperlink w:anchor="_Toc2936" w:history="1">
        <w:r>
          <w:rPr>
            <w:rFonts w:ascii="IRNazanin" w:hAnsi="IRNazanin" w:eastAsia="IRNazanin" w:cs="IRNazanin"/>
            <w:color w:val="111111"/>
            <w:sz w:val="22"/>
            <w:szCs w:val="22"/>
            <w:b w:val="0"/>
            <w:bCs w:val="0"/>
            <w:i w:val="0"/>
            <w:iCs w:val="0"/>
          </w:rPr>
          <w:t>حكيم ،ترمذي، محمّد بن علي - 320؟ ه-</w:t>
        </w:r>
        <w:r>
          <w:tab/>
        </w:r>
        <w:r>
          <w:fldChar w:fldCharType="begin"/>
        </w:r>
        <w:r>
          <w:instrText xml:space="preserve">PAGEREF 2936 \h</w:instrText>
        </w:r>
        <w:r>
          <w:fldChar w:fldCharType="end"/>
        </w:r>
      </w:hyperlink>
    </w:p>
    <w:p>
      <w:pPr>
        <w:tabs>
          <w:tab w:val="right" w:leader="dot" w:pos="9062"/>
        </w:tabs>
        <w:ind w:left="220"/>
      </w:pPr>
      <w:hyperlink w:anchor="_Toc2937" w:history="1">
        <w:r>
          <w:rPr>
            <w:rFonts w:ascii="IRNazanin" w:hAnsi="IRNazanin" w:eastAsia="IRNazanin" w:cs="IRNazanin"/>
            <w:color w:val="111111"/>
            <w:sz w:val="22"/>
            <w:szCs w:val="22"/>
            <w:b w:val="0"/>
            <w:bCs w:val="0"/>
            <w:i w:val="0"/>
            <w:iCs w:val="0"/>
          </w:rPr>
          <w:t>حکیم چلبي ، محمّد</w:t>
        </w:r>
        <w:r>
          <w:tab/>
        </w:r>
        <w:r>
          <w:fldChar w:fldCharType="begin"/>
        </w:r>
        <w:r>
          <w:instrText xml:space="preserve">PAGEREF 2937 \h</w:instrText>
        </w:r>
        <w:r>
          <w:fldChar w:fldCharType="end"/>
        </w:r>
      </w:hyperlink>
    </w:p>
    <w:p>
      <w:pPr>
        <w:tabs>
          <w:tab w:val="right" w:leader="dot" w:pos="9062"/>
        </w:tabs>
        <w:ind w:left="220"/>
      </w:pPr>
      <w:hyperlink w:anchor="_Toc2938" w:history="1">
        <w:r>
          <w:rPr>
            <w:rFonts w:ascii="IRNazanin" w:hAnsi="IRNazanin" w:eastAsia="IRNazanin" w:cs="IRNazanin"/>
            <w:color w:val="111111"/>
            <w:sz w:val="22"/>
            <w:szCs w:val="22"/>
            <w:b w:val="0"/>
            <w:bCs w:val="0"/>
            <w:i w:val="0"/>
            <w:iCs w:val="0"/>
          </w:rPr>
          <w:t>حکیم زاده، محمّد بن عبدالحمید قرن</w:t>
        </w:r>
        <w:r>
          <w:tab/>
        </w:r>
        <w:r>
          <w:fldChar w:fldCharType="begin"/>
        </w:r>
        <w:r>
          <w:instrText xml:space="preserve">PAGEREF 2938 \h</w:instrText>
        </w:r>
        <w:r>
          <w:fldChar w:fldCharType="end"/>
        </w:r>
      </w:hyperlink>
    </w:p>
    <w:p>
      <w:pPr>
        <w:tabs>
          <w:tab w:val="right" w:leader="dot" w:pos="9062"/>
        </w:tabs>
        <w:ind w:left="220"/>
      </w:pPr>
      <w:hyperlink w:anchor="_Toc2939" w:history="1">
        <w:r>
          <w:rPr>
            <w:rFonts w:ascii="IRNazanin" w:hAnsi="IRNazanin" w:eastAsia="IRNazanin" w:cs="IRNazanin"/>
            <w:color w:val="111111"/>
            <w:sz w:val="22"/>
            <w:szCs w:val="22"/>
            <w:b w:val="0"/>
            <w:bCs w:val="0"/>
            <w:i w:val="0"/>
            <w:iCs w:val="0"/>
          </w:rPr>
          <w:t>حکیم سنان یوسف بن محمّد - 826 ه-</w:t>
        </w:r>
        <w:r>
          <w:tab/>
        </w:r>
        <w:r>
          <w:fldChar w:fldCharType="begin"/>
        </w:r>
        <w:r>
          <w:instrText xml:space="preserve">PAGEREF 2939 \h</w:instrText>
        </w:r>
        <w:r>
          <w:fldChar w:fldCharType="end"/>
        </w:r>
      </w:hyperlink>
    </w:p>
    <w:p>
      <w:pPr>
        <w:tabs>
          <w:tab w:val="right" w:leader="dot" w:pos="9062"/>
        </w:tabs>
        <w:ind w:left="220"/>
      </w:pPr>
      <w:hyperlink w:anchor="_Toc2940" w:history="1">
        <w:r>
          <w:rPr>
            <w:rFonts w:ascii="IRNazanin" w:hAnsi="IRNazanin" w:eastAsia="IRNazanin" w:cs="IRNazanin"/>
            <w:color w:val="111111"/>
            <w:sz w:val="22"/>
            <w:szCs w:val="22"/>
            <w:b w:val="0"/>
            <w:bCs w:val="0"/>
            <w:i w:val="0"/>
            <w:iCs w:val="0"/>
          </w:rPr>
          <w:t>حكيم قادري ، بدر الدين بن امير</w:t>
        </w:r>
        <w:r>
          <w:tab/>
        </w:r>
        <w:r>
          <w:fldChar w:fldCharType="begin"/>
        </w:r>
        <w:r>
          <w:instrText xml:space="preserve">PAGEREF 2940 \h</w:instrText>
        </w:r>
        <w:r>
          <w:fldChar w:fldCharType="end"/>
        </w:r>
      </w:hyperlink>
    </w:p>
    <w:p>
      <w:pPr>
        <w:tabs>
          <w:tab w:val="right" w:leader="dot" w:pos="9062"/>
        </w:tabs>
        <w:ind w:left="220"/>
      </w:pPr>
      <w:hyperlink w:anchor="_Toc2941" w:history="1">
        <w:r>
          <w:rPr>
            <w:rFonts w:ascii="IRNazanin" w:hAnsi="IRNazanin" w:eastAsia="IRNazanin" w:cs="IRNazanin"/>
            <w:color w:val="111111"/>
            <w:sz w:val="22"/>
            <w:szCs w:val="22"/>
            <w:b w:val="0"/>
            <w:bCs w:val="0"/>
            <w:i w:val="0"/>
            <w:iCs w:val="0"/>
          </w:rPr>
          <w:t>حکیم ، محمّد بن محمّد علي قرن 14 ه-</w:t>
        </w:r>
        <w:r>
          <w:tab/>
        </w:r>
        <w:r>
          <w:fldChar w:fldCharType="begin"/>
        </w:r>
        <w:r>
          <w:instrText xml:space="preserve">PAGEREF 2941 \h</w:instrText>
        </w:r>
        <w:r>
          <w:fldChar w:fldCharType="end"/>
        </w:r>
      </w:hyperlink>
    </w:p>
    <w:p>
      <w:pPr>
        <w:tabs>
          <w:tab w:val="right" w:leader="dot" w:pos="9062"/>
        </w:tabs>
        <w:ind w:left="220"/>
      </w:pPr>
      <w:hyperlink w:anchor="_Toc2942" w:history="1">
        <w:r>
          <w:rPr>
            <w:rFonts w:ascii="IRNazanin" w:hAnsi="IRNazanin" w:eastAsia="IRNazanin" w:cs="IRNazanin"/>
            <w:color w:val="111111"/>
            <w:sz w:val="22"/>
            <w:szCs w:val="22"/>
            <w:b w:val="0"/>
            <w:bCs w:val="0"/>
            <w:i w:val="0"/>
            <w:iCs w:val="0"/>
          </w:rPr>
          <w:t>حکیم ، محمّد مهدي، 1935 - 1988</w:t>
        </w:r>
        <w:r>
          <w:tab/>
        </w:r>
        <w:r>
          <w:fldChar w:fldCharType="begin"/>
        </w:r>
        <w:r>
          <w:instrText xml:space="preserve">PAGEREF 2942 \h</w:instrText>
        </w:r>
        <w:r>
          <w:fldChar w:fldCharType="end"/>
        </w:r>
      </w:hyperlink>
    </w:p>
    <w:p>
      <w:pPr>
        <w:tabs>
          <w:tab w:val="right" w:leader="dot" w:pos="9062"/>
        </w:tabs>
        <w:ind w:left="220"/>
      </w:pPr>
      <w:hyperlink w:anchor="_Toc2943" w:history="1">
        <w:r>
          <w:rPr>
            <w:rFonts w:ascii="IRNazanin" w:hAnsi="IRNazanin" w:eastAsia="IRNazanin" w:cs="IRNazanin"/>
            <w:color w:val="111111"/>
            <w:sz w:val="22"/>
            <w:szCs w:val="22"/>
            <w:b w:val="0"/>
            <w:bCs w:val="0"/>
            <w:i w:val="0"/>
            <w:iCs w:val="0"/>
          </w:rPr>
          <w:t>حكيم ، مصطفى بن احمد</w:t>
        </w:r>
        <w:r>
          <w:tab/>
        </w:r>
        <w:r>
          <w:fldChar w:fldCharType="begin"/>
        </w:r>
        <w:r>
          <w:instrText xml:space="preserve">PAGEREF 2943 \h</w:instrText>
        </w:r>
        <w:r>
          <w:fldChar w:fldCharType="end"/>
        </w:r>
      </w:hyperlink>
    </w:p>
    <w:p>
      <w:pPr>
        <w:tabs>
          <w:tab w:val="right" w:leader="dot" w:pos="9062"/>
        </w:tabs>
        <w:ind w:left="220"/>
      </w:pPr>
      <w:hyperlink w:anchor="_Toc2944" w:history="1">
        <w:r>
          <w:rPr>
            <w:rFonts w:ascii="IRNazanin" w:hAnsi="IRNazanin" w:eastAsia="IRNazanin" w:cs="IRNazanin"/>
            <w:color w:val="111111"/>
            <w:sz w:val="22"/>
            <w:szCs w:val="22"/>
            <w:b w:val="0"/>
            <w:bCs w:val="0"/>
            <w:i w:val="0"/>
            <w:iCs w:val="0"/>
          </w:rPr>
          <w:t>حكيم ، مهدي</w:t>
        </w:r>
        <w:r>
          <w:tab/>
        </w:r>
        <w:r>
          <w:fldChar w:fldCharType="begin"/>
        </w:r>
        <w:r>
          <w:instrText xml:space="preserve">PAGEREF 2944 \h</w:instrText>
        </w:r>
        <w:r>
          <w:fldChar w:fldCharType="end"/>
        </w:r>
      </w:hyperlink>
    </w:p>
    <w:p>
      <w:pPr>
        <w:tabs>
          <w:tab w:val="right" w:leader="dot" w:pos="9062"/>
        </w:tabs>
        <w:ind w:left="220"/>
      </w:pPr>
      <w:hyperlink w:anchor="_Toc2945" w:history="1">
        <w:r>
          <w:rPr>
            <w:rFonts w:ascii="IRNazanin" w:hAnsi="IRNazanin" w:eastAsia="IRNazanin" w:cs="IRNazanin"/>
            <w:color w:val="111111"/>
            <w:sz w:val="22"/>
            <w:szCs w:val="22"/>
            <w:b w:val="0"/>
            <w:bCs w:val="0"/>
            <w:i w:val="0"/>
            <w:iCs w:val="0"/>
          </w:rPr>
          <w:t>حكيم مؤمن ، محمّد مؤمن بن محمّد</w:t>
        </w:r>
        <w:r>
          <w:tab/>
        </w:r>
        <w:r>
          <w:fldChar w:fldCharType="begin"/>
        </w:r>
        <w:r>
          <w:instrText xml:space="preserve">PAGEREF 2945 \h</w:instrText>
        </w:r>
        <w:r>
          <w:fldChar w:fldCharType="end"/>
        </w:r>
      </w:hyperlink>
    </w:p>
    <w:p>
      <w:pPr>
        <w:tabs>
          <w:tab w:val="right" w:leader="dot" w:pos="9062"/>
        </w:tabs>
        <w:ind w:left="220"/>
      </w:pPr>
      <w:hyperlink w:anchor="_Toc2946" w:history="1">
        <w:r>
          <w:rPr>
            <w:rFonts w:ascii="IRNazanin" w:hAnsi="IRNazanin" w:eastAsia="IRNazanin" w:cs="IRNazanin"/>
            <w:color w:val="111111"/>
            <w:sz w:val="22"/>
            <w:szCs w:val="22"/>
            <w:b w:val="0"/>
            <w:bCs w:val="0"/>
            <w:i w:val="0"/>
            <w:iCs w:val="0"/>
          </w:rPr>
          <w:t>حکیم ، نور الدین علاء</w:t>
        </w:r>
        <w:r>
          <w:tab/>
        </w:r>
        <w:r>
          <w:fldChar w:fldCharType="begin"/>
        </w:r>
        <w:r>
          <w:instrText xml:space="preserve">PAGEREF 2946 \h</w:instrText>
        </w:r>
        <w:r>
          <w:fldChar w:fldCharType="end"/>
        </w:r>
      </w:hyperlink>
    </w:p>
    <w:p>
      <w:pPr>
        <w:tabs>
          <w:tab w:val="right" w:leader="dot" w:pos="9062"/>
        </w:tabs>
        <w:ind w:left="220"/>
      </w:pPr>
      <w:hyperlink w:anchor="_Toc2947" w:history="1">
        <w:r>
          <w:rPr>
            <w:rFonts w:ascii="IRNazanin" w:hAnsi="IRNazanin" w:eastAsia="IRNazanin" w:cs="IRNazanin"/>
            <w:color w:val="111111"/>
            <w:sz w:val="22"/>
            <w:szCs w:val="22"/>
            <w:b w:val="0"/>
            <w:bCs w:val="0"/>
            <w:i w:val="0"/>
            <w:iCs w:val="0"/>
          </w:rPr>
          <w:t>حكيمي، ابراهيم بن ابي القاسم قرن 12 ه-</w:t>
        </w:r>
        <w:r>
          <w:tab/>
        </w:r>
        <w:r>
          <w:fldChar w:fldCharType="begin"/>
        </w:r>
        <w:r>
          <w:instrText xml:space="preserve">PAGEREF 2947 \h</w:instrText>
        </w:r>
        <w:r>
          <w:fldChar w:fldCharType="end"/>
        </w:r>
      </w:hyperlink>
    </w:p>
    <w:p>
      <w:pPr>
        <w:tabs>
          <w:tab w:val="right" w:leader="dot" w:pos="9062"/>
        </w:tabs>
        <w:ind w:left="220"/>
      </w:pPr>
      <w:hyperlink w:anchor="_Toc2948" w:history="1">
        <w:r>
          <w:rPr>
            <w:rFonts w:ascii="IRNazanin" w:hAnsi="IRNazanin" w:eastAsia="IRNazanin" w:cs="IRNazanin"/>
            <w:color w:val="111111"/>
            <w:sz w:val="22"/>
            <w:szCs w:val="22"/>
            <w:b w:val="0"/>
            <w:bCs w:val="0"/>
            <w:i w:val="0"/>
            <w:iCs w:val="0"/>
          </w:rPr>
          <w:t>حكيمي، محمّد بن ،اسعد، 484 - 567 ه-</w:t>
        </w:r>
        <w:r>
          <w:tab/>
        </w:r>
        <w:r>
          <w:fldChar w:fldCharType="begin"/>
        </w:r>
        <w:r>
          <w:instrText xml:space="preserve">PAGEREF 2948 \h</w:instrText>
        </w:r>
        <w:r>
          <w:fldChar w:fldCharType="end"/>
        </w:r>
      </w:hyperlink>
    </w:p>
    <w:p>
      <w:pPr>
        <w:tabs>
          <w:tab w:val="right" w:leader="dot" w:pos="9062"/>
        </w:tabs>
        <w:ind w:left="220"/>
      </w:pPr>
      <w:hyperlink w:anchor="_Toc2949" w:history="1">
        <w:r>
          <w:rPr>
            <w:rFonts w:ascii="IRNazanin" w:hAnsi="IRNazanin" w:eastAsia="IRNazanin" w:cs="IRNazanin"/>
            <w:color w:val="111111"/>
            <w:sz w:val="22"/>
            <w:szCs w:val="22"/>
            <w:b w:val="0"/>
            <w:bCs w:val="0"/>
            <w:i w:val="0"/>
            <w:iCs w:val="0"/>
          </w:rPr>
          <w:t>حلاني ، محمّد باقر</w:t>
        </w:r>
        <w:r>
          <w:tab/>
        </w:r>
        <w:r>
          <w:fldChar w:fldCharType="begin"/>
        </w:r>
        <w:r>
          <w:instrText xml:space="preserve">PAGEREF 2949 \h</w:instrText>
        </w:r>
        <w:r>
          <w:fldChar w:fldCharType="end"/>
        </w:r>
      </w:hyperlink>
    </w:p>
    <w:p>
      <w:pPr>
        <w:tabs>
          <w:tab w:val="right" w:leader="dot" w:pos="9062"/>
        </w:tabs>
        <w:ind w:left="220"/>
      </w:pPr>
      <w:hyperlink w:anchor="_Toc2950" w:history="1">
        <w:r>
          <w:rPr>
            <w:rFonts w:ascii="IRNazanin" w:hAnsi="IRNazanin" w:eastAsia="IRNazanin" w:cs="IRNazanin"/>
            <w:color w:val="111111"/>
            <w:sz w:val="22"/>
            <w:szCs w:val="22"/>
            <w:b w:val="0"/>
            <w:bCs w:val="0"/>
            <w:i w:val="0"/>
            <w:iCs w:val="0"/>
          </w:rPr>
          <w:t>حلبي</w:t>
        </w:r>
        <w:r>
          <w:tab/>
        </w:r>
        <w:r>
          <w:fldChar w:fldCharType="begin"/>
        </w:r>
        <w:r>
          <w:instrText xml:space="preserve">PAGEREF 2950 \h</w:instrText>
        </w:r>
        <w:r>
          <w:fldChar w:fldCharType="end"/>
        </w:r>
      </w:hyperlink>
    </w:p>
    <w:p>
      <w:pPr>
        <w:tabs>
          <w:tab w:val="right" w:leader="dot" w:pos="9062"/>
        </w:tabs>
        <w:ind w:left="220"/>
      </w:pPr>
      <w:hyperlink w:anchor="_Toc2951" w:history="1">
        <w:r>
          <w:rPr>
            <w:rFonts w:ascii="IRNazanin" w:hAnsi="IRNazanin" w:eastAsia="IRNazanin" w:cs="IRNazanin"/>
            <w:color w:val="111111"/>
            <w:sz w:val="22"/>
            <w:szCs w:val="22"/>
            <w:b w:val="0"/>
            <w:bCs w:val="0"/>
            <w:i w:val="0"/>
            <w:iCs w:val="0"/>
          </w:rPr>
          <w:t>حلبي، ابراهيم بن احمد - 1030 ه-</w:t>
        </w:r>
        <w:r>
          <w:tab/>
        </w:r>
        <w:r>
          <w:fldChar w:fldCharType="begin"/>
        </w:r>
        <w:r>
          <w:instrText xml:space="preserve">PAGEREF 2951 \h</w:instrText>
        </w:r>
        <w:r>
          <w:fldChar w:fldCharType="end"/>
        </w:r>
      </w:hyperlink>
    </w:p>
    <w:p>
      <w:pPr>
        <w:tabs>
          <w:tab w:val="right" w:leader="dot" w:pos="9062"/>
        </w:tabs>
        <w:ind w:left="220"/>
      </w:pPr>
      <w:hyperlink w:anchor="_Toc2952" w:history="1">
        <w:r>
          <w:rPr>
            <w:rFonts w:ascii="IRNazanin" w:hAnsi="IRNazanin" w:eastAsia="IRNazanin" w:cs="IRNazanin"/>
            <w:color w:val="111111"/>
            <w:sz w:val="22"/>
            <w:szCs w:val="22"/>
            <w:b w:val="0"/>
            <w:bCs w:val="0"/>
            <w:i w:val="0"/>
            <w:iCs w:val="0"/>
          </w:rPr>
          <w:t>حلبي، ابراهيم بن سلیمان قرن 11 ه-</w:t>
        </w:r>
        <w:r>
          <w:tab/>
        </w:r>
        <w:r>
          <w:fldChar w:fldCharType="begin"/>
        </w:r>
        <w:r>
          <w:instrText xml:space="preserve">PAGEREF 2952 \h</w:instrText>
        </w:r>
        <w:r>
          <w:fldChar w:fldCharType="end"/>
        </w:r>
      </w:hyperlink>
    </w:p>
    <w:p>
      <w:pPr>
        <w:tabs>
          <w:tab w:val="right" w:leader="dot" w:pos="9062"/>
        </w:tabs>
        <w:ind w:left="220"/>
      </w:pPr>
      <w:hyperlink w:anchor="_Toc2953" w:history="1">
        <w:r>
          <w:rPr>
            <w:rFonts w:ascii="IRNazanin" w:hAnsi="IRNazanin" w:eastAsia="IRNazanin" w:cs="IRNazanin"/>
            <w:color w:val="111111"/>
            <w:sz w:val="22"/>
            <w:szCs w:val="22"/>
            <w:b w:val="0"/>
            <w:bCs w:val="0"/>
            <w:i w:val="0"/>
            <w:iCs w:val="0"/>
          </w:rPr>
          <w:t>حلبي، ابراهيم بن محمّد - 956 ه-</w:t>
        </w:r>
        <w:r>
          <w:tab/>
        </w:r>
        <w:r>
          <w:fldChar w:fldCharType="begin"/>
        </w:r>
        <w:r>
          <w:instrText xml:space="preserve">PAGEREF 2953 \h</w:instrText>
        </w:r>
        <w:r>
          <w:fldChar w:fldCharType="end"/>
        </w:r>
      </w:hyperlink>
    </w:p>
    <w:p>
      <w:pPr>
        <w:tabs>
          <w:tab w:val="right" w:leader="dot" w:pos="9062"/>
        </w:tabs>
        <w:ind w:left="220"/>
      </w:pPr>
      <w:hyperlink w:anchor="_Toc2954" w:history="1">
        <w:r>
          <w:rPr>
            <w:rFonts w:ascii="IRNazanin" w:hAnsi="IRNazanin" w:eastAsia="IRNazanin" w:cs="IRNazanin"/>
            <w:color w:val="111111"/>
            <w:sz w:val="22"/>
            <w:szCs w:val="22"/>
            <w:b w:val="0"/>
            <w:bCs w:val="0"/>
            <w:i w:val="0"/>
            <w:iCs w:val="0"/>
          </w:rPr>
          <w:t>حلبي، ابراهيم بن مصطفى - 1190 ه-</w:t>
        </w:r>
        <w:r>
          <w:tab/>
        </w:r>
        <w:r>
          <w:fldChar w:fldCharType="begin"/>
        </w:r>
        <w:r>
          <w:instrText xml:space="preserve">PAGEREF 2954 \h</w:instrText>
        </w:r>
        <w:r>
          <w:fldChar w:fldCharType="end"/>
        </w:r>
      </w:hyperlink>
    </w:p>
    <w:p>
      <w:pPr>
        <w:tabs>
          <w:tab w:val="right" w:leader="dot" w:pos="9062"/>
        </w:tabs>
        <w:ind w:left="220"/>
      </w:pPr>
      <w:hyperlink w:anchor="_Toc2955" w:history="1">
        <w:r>
          <w:rPr>
            <w:rFonts w:ascii="IRNazanin" w:hAnsi="IRNazanin" w:eastAsia="IRNazanin" w:cs="IRNazanin"/>
            <w:color w:val="111111"/>
            <w:sz w:val="22"/>
            <w:szCs w:val="22"/>
            <w:b w:val="0"/>
            <w:bCs w:val="0"/>
            <w:i w:val="0"/>
            <w:iCs w:val="0"/>
          </w:rPr>
          <w:t>حلبي ، احمد بن ابراهيم</w:t>
        </w:r>
        <w:r>
          <w:tab/>
        </w:r>
        <w:r>
          <w:fldChar w:fldCharType="begin"/>
        </w:r>
        <w:r>
          <w:instrText xml:space="preserve">PAGEREF 2955 \h</w:instrText>
        </w:r>
        <w:r>
          <w:fldChar w:fldCharType="end"/>
        </w:r>
      </w:hyperlink>
    </w:p>
    <w:p>
      <w:pPr>
        <w:tabs>
          <w:tab w:val="right" w:leader="dot" w:pos="9062"/>
        </w:tabs>
        <w:ind w:left="220"/>
      </w:pPr>
      <w:hyperlink w:anchor="_Toc2956" w:history="1">
        <w:r>
          <w:rPr>
            <w:rFonts w:ascii="IRNazanin" w:hAnsi="IRNazanin" w:eastAsia="IRNazanin" w:cs="IRNazanin"/>
            <w:color w:val="111111"/>
            <w:sz w:val="22"/>
            <w:szCs w:val="22"/>
            <w:b w:val="0"/>
            <w:bCs w:val="0"/>
            <w:i w:val="0"/>
            <w:iCs w:val="0"/>
          </w:rPr>
          <w:t>حلبي، احمد بن ابراهيم - 884 ه-</w:t>
        </w:r>
        <w:r>
          <w:tab/>
        </w:r>
        <w:r>
          <w:fldChar w:fldCharType="begin"/>
        </w:r>
        <w:r>
          <w:instrText xml:space="preserve">PAGEREF 2956 \h</w:instrText>
        </w:r>
        <w:r>
          <w:fldChar w:fldCharType="end"/>
        </w:r>
      </w:hyperlink>
    </w:p>
    <w:p>
      <w:pPr>
        <w:tabs>
          <w:tab w:val="right" w:leader="dot" w:pos="9062"/>
        </w:tabs>
        <w:ind w:left="220"/>
      </w:pPr>
      <w:hyperlink w:anchor="_Toc2957" w:history="1">
        <w:r>
          <w:rPr>
            <w:rFonts w:ascii="IRNazanin" w:hAnsi="IRNazanin" w:eastAsia="IRNazanin" w:cs="IRNazanin"/>
            <w:color w:val="111111"/>
            <w:sz w:val="22"/>
            <w:szCs w:val="22"/>
            <w:b w:val="0"/>
            <w:bCs w:val="0"/>
            <w:i w:val="0"/>
            <w:iCs w:val="0"/>
          </w:rPr>
          <w:t>حلبي، احمد بن عبد الحي - 1120 ه-</w:t>
        </w:r>
        <w:r>
          <w:tab/>
        </w:r>
        <w:r>
          <w:fldChar w:fldCharType="begin"/>
        </w:r>
        <w:r>
          <w:instrText xml:space="preserve">PAGEREF 2957 \h</w:instrText>
        </w:r>
        <w:r>
          <w:fldChar w:fldCharType="end"/>
        </w:r>
      </w:hyperlink>
    </w:p>
    <w:p>
      <w:pPr>
        <w:tabs>
          <w:tab w:val="right" w:leader="dot" w:pos="9062"/>
        </w:tabs>
        <w:ind w:left="220"/>
      </w:pPr>
      <w:hyperlink w:anchor="_Toc2958" w:history="1">
        <w:r>
          <w:rPr>
            <w:rFonts w:ascii="IRNazanin" w:hAnsi="IRNazanin" w:eastAsia="IRNazanin" w:cs="IRNazanin"/>
            <w:color w:val="111111"/>
            <w:sz w:val="22"/>
            <w:szCs w:val="22"/>
            <w:b w:val="0"/>
            <w:bCs w:val="0"/>
            <w:i w:val="0"/>
            <w:iCs w:val="0"/>
          </w:rPr>
          <w:t>حلبي ، احمد بن عزالدين</w:t>
        </w:r>
        <w:r>
          <w:tab/>
        </w:r>
        <w:r>
          <w:fldChar w:fldCharType="begin"/>
        </w:r>
        <w:r>
          <w:instrText xml:space="preserve">PAGEREF 2958 \h</w:instrText>
        </w:r>
        <w:r>
          <w:fldChar w:fldCharType="end"/>
        </w:r>
      </w:hyperlink>
    </w:p>
    <w:p>
      <w:pPr>
        <w:tabs>
          <w:tab w:val="right" w:leader="dot" w:pos="9062"/>
        </w:tabs>
        <w:ind w:left="220"/>
      </w:pPr>
      <w:hyperlink w:anchor="_Toc2959" w:history="1">
        <w:r>
          <w:rPr>
            <w:rFonts w:ascii="IRNazanin" w:hAnsi="IRNazanin" w:eastAsia="IRNazanin" w:cs="IRNazanin"/>
            <w:color w:val="111111"/>
            <w:sz w:val="22"/>
            <w:szCs w:val="22"/>
            <w:b w:val="0"/>
            <w:bCs w:val="0"/>
            <w:i w:val="0"/>
            <w:iCs w:val="0"/>
          </w:rPr>
          <w:t>حلبي باني ، يوسف بن جرجيس - 1806 م</w:t>
        </w:r>
        <w:r>
          <w:tab/>
        </w:r>
        <w:r>
          <w:fldChar w:fldCharType="begin"/>
        </w:r>
        <w:r>
          <w:instrText xml:space="preserve">PAGEREF 2959 \h</w:instrText>
        </w:r>
        <w:r>
          <w:fldChar w:fldCharType="end"/>
        </w:r>
      </w:hyperlink>
    </w:p>
    <w:p>
      <w:pPr>
        <w:tabs>
          <w:tab w:val="right" w:leader="dot" w:pos="9062"/>
        </w:tabs>
        <w:ind w:left="220"/>
      </w:pPr>
      <w:hyperlink w:anchor="_Toc2960" w:history="1">
        <w:r>
          <w:rPr>
            <w:rFonts w:ascii="IRNazanin" w:hAnsi="IRNazanin" w:eastAsia="IRNazanin" w:cs="IRNazanin"/>
            <w:color w:val="111111"/>
            <w:sz w:val="22"/>
            <w:szCs w:val="22"/>
            <w:b w:val="0"/>
            <w:bCs w:val="0"/>
            <w:i w:val="0"/>
            <w:iCs w:val="0"/>
          </w:rPr>
          <w:t>حلبي حائري قرن 9 ه-</w:t>
        </w:r>
        <w:r>
          <w:tab/>
        </w:r>
        <w:r>
          <w:fldChar w:fldCharType="begin"/>
        </w:r>
        <w:r>
          <w:instrText xml:space="preserve">PAGEREF 2960 \h</w:instrText>
        </w:r>
        <w:r>
          <w:fldChar w:fldCharType="end"/>
        </w:r>
      </w:hyperlink>
    </w:p>
    <w:p>
      <w:pPr>
        <w:tabs>
          <w:tab w:val="right" w:leader="dot" w:pos="9062"/>
        </w:tabs>
        <w:ind w:left="220"/>
      </w:pPr>
      <w:hyperlink w:anchor="_Toc2961" w:history="1">
        <w:r>
          <w:rPr>
            <w:rFonts w:ascii="IRNazanin" w:hAnsi="IRNazanin" w:eastAsia="IRNazanin" w:cs="IRNazanin"/>
            <w:color w:val="111111"/>
            <w:sz w:val="22"/>
            <w:szCs w:val="22"/>
            <w:b w:val="0"/>
            <w:bCs w:val="0"/>
            <w:i w:val="0"/>
            <w:iCs w:val="0"/>
          </w:rPr>
          <w:t>حلبي ، حسين بن عبدالله - 1034 ه-</w:t>
        </w:r>
        <w:r>
          <w:tab/>
        </w:r>
        <w:r>
          <w:fldChar w:fldCharType="begin"/>
        </w:r>
        <w:r>
          <w:instrText xml:space="preserve">PAGEREF 2961 \h</w:instrText>
        </w:r>
        <w:r>
          <w:fldChar w:fldCharType="end"/>
        </w:r>
      </w:hyperlink>
    </w:p>
    <w:p>
      <w:pPr>
        <w:tabs>
          <w:tab w:val="right" w:leader="dot" w:pos="9062"/>
        </w:tabs>
        <w:ind w:left="220"/>
      </w:pPr>
      <w:hyperlink w:anchor="_Toc2962" w:history="1">
        <w:r>
          <w:rPr>
            <w:rFonts w:ascii="IRNazanin" w:hAnsi="IRNazanin" w:eastAsia="IRNazanin" w:cs="IRNazanin"/>
            <w:color w:val="111111"/>
            <w:sz w:val="22"/>
            <w:szCs w:val="22"/>
            <w:b w:val="0"/>
            <w:bCs w:val="0"/>
            <w:i w:val="0"/>
            <w:iCs w:val="0"/>
          </w:rPr>
          <w:t>حلبي، زين بن علي</w:t>
        </w:r>
        <w:r>
          <w:tab/>
        </w:r>
        <w:r>
          <w:fldChar w:fldCharType="begin"/>
        </w:r>
        <w:r>
          <w:instrText xml:space="preserve">PAGEREF 2962 \h</w:instrText>
        </w:r>
        <w:r>
          <w:fldChar w:fldCharType="end"/>
        </w:r>
      </w:hyperlink>
    </w:p>
    <w:p>
      <w:pPr>
        <w:tabs>
          <w:tab w:val="right" w:leader="dot" w:pos="9062"/>
        </w:tabs>
        <w:ind w:left="220"/>
      </w:pPr>
      <w:hyperlink w:anchor="_Toc2963" w:history="1">
        <w:r>
          <w:rPr>
            <w:rFonts w:ascii="IRNazanin" w:hAnsi="IRNazanin" w:eastAsia="IRNazanin" w:cs="IRNazanin"/>
            <w:color w:val="111111"/>
            <w:sz w:val="22"/>
            <w:szCs w:val="22"/>
            <w:b w:val="0"/>
            <w:bCs w:val="0"/>
            <w:i w:val="0"/>
            <w:iCs w:val="0"/>
          </w:rPr>
          <w:t>حلبي ، سعيد بن موسى</w:t>
        </w:r>
        <w:r>
          <w:tab/>
        </w:r>
        <w:r>
          <w:fldChar w:fldCharType="begin"/>
        </w:r>
        <w:r>
          <w:instrText xml:space="preserve">PAGEREF 2963 \h</w:instrText>
        </w:r>
        <w:r>
          <w:fldChar w:fldCharType="end"/>
        </w:r>
      </w:hyperlink>
    </w:p>
    <w:p>
      <w:pPr>
        <w:tabs>
          <w:tab w:val="right" w:leader="dot" w:pos="9062"/>
        </w:tabs>
        <w:ind w:left="220"/>
      </w:pPr>
      <w:hyperlink w:anchor="_Toc2964" w:history="1">
        <w:r>
          <w:rPr>
            <w:rFonts w:ascii="IRNazanin" w:hAnsi="IRNazanin" w:eastAsia="IRNazanin" w:cs="IRNazanin"/>
            <w:color w:val="111111"/>
            <w:sz w:val="22"/>
            <w:szCs w:val="22"/>
            <w:b w:val="0"/>
            <w:bCs w:val="0"/>
            <w:i w:val="0"/>
            <w:iCs w:val="0"/>
          </w:rPr>
          <w:t>حلبي شافعي، زين الدين بن احمد قرن</w:t>
        </w:r>
        <w:r>
          <w:tab/>
        </w:r>
        <w:r>
          <w:fldChar w:fldCharType="begin"/>
        </w:r>
        <w:r>
          <w:instrText xml:space="preserve">PAGEREF 2964 \h</w:instrText>
        </w:r>
        <w:r>
          <w:fldChar w:fldCharType="end"/>
        </w:r>
      </w:hyperlink>
    </w:p>
    <w:p>
      <w:pPr>
        <w:tabs>
          <w:tab w:val="right" w:leader="dot" w:pos="9062"/>
        </w:tabs>
        <w:ind w:left="220"/>
      </w:pPr>
      <w:hyperlink w:anchor="_Toc2965" w:history="1">
        <w:r>
          <w:rPr>
            <w:rFonts w:ascii="IRNazanin" w:hAnsi="IRNazanin" w:eastAsia="IRNazanin" w:cs="IRNazanin"/>
            <w:color w:val="111111"/>
            <w:sz w:val="22"/>
            <w:szCs w:val="22"/>
            <w:b w:val="0"/>
            <w:bCs w:val="0"/>
            <w:i w:val="0"/>
            <w:iCs w:val="0"/>
          </w:rPr>
          <w:t>حلبي، صالح بن حسين - 1177 ه-</w:t>
        </w:r>
        <w:r>
          <w:tab/>
        </w:r>
        <w:r>
          <w:fldChar w:fldCharType="begin"/>
        </w:r>
        <w:r>
          <w:instrText xml:space="preserve">PAGEREF 2965 \h</w:instrText>
        </w:r>
        <w:r>
          <w:fldChar w:fldCharType="end"/>
        </w:r>
      </w:hyperlink>
    </w:p>
    <w:p>
      <w:pPr>
        <w:tabs>
          <w:tab w:val="right" w:leader="dot" w:pos="9062"/>
        </w:tabs>
        <w:ind w:left="220"/>
      </w:pPr>
      <w:hyperlink w:anchor="_Toc2966" w:history="1">
        <w:r>
          <w:rPr>
            <w:rFonts w:ascii="IRNazanin" w:hAnsi="IRNazanin" w:eastAsia="IRNazanin" w:cs="IRNazanin"/>
            <w:color w:val="111111"/>
            <w:sz w:val="22"/>
            <w:szCs w:val="22"/>
            <w:b w:val="0"/>
            <w:bCs w:val="0"/>
            <w:i w:val="0"/>
            <w:iCs w:val="0"/>
          </w:rPr>
          <w:t>حلبي ، عبدالرحمن بن عبدالله</w:t>
        </w:r>
        <w:r>
          <w:tab/>
        </w:r>
        <w:r>
          <w:fldChar w:fldCharType="begin"/>
        </w:r>
        <w:r>
          <w:instrText xml:space="preserve">PAGEREF 2966 \h</w:instrText>
        </w:r>
        <w:r>
          <w:fldChar w:fldCharType="end"/>
        </w:r>
      </w:hyperlink>
    </w:p>
    <w:p>
      <w:pPr>
        <w:tabs>
          <w:tab w:val="right" w:leader="dot" w:pos="9062"/>
        </w:tabs>
        <w:ind w:left="220"/>
      </w:pPr>
      <w:hyperlink w:anchor="_Toc2967" w:history="1">
        <w:r>
          <w:rPr>
            <w:rFonts w:ascii="IRNazanin" w:hAnsi="IRNazanin" w:eastAsia="IRNazanin" w:cs="IRNazanin"/>
            <w:color w:val="111111"/>
            <w:sz w:val="22"/>
            <w:szCs w:val="22"/>
            <w:b w:val="0"/>
            <w:bCs w:val="0"/>
            <w:i w:val="0"/>
            <w:iCs w:val="0"/>
          </w:rPr>
          <w:t>حلبي ، عبد الرحمن وراق</w:t>
        </w:r>
        <w:r>
          <w:tab/>
        </w:r>
        <w:r>
          <w:fldChar w:fldCharType="begin"/>
        </w:r>
        <w:r>
          <w:instrText xml:space="preserve">PAGEREF 2967 \h</w:instrText>
        </w:r>
        <w:r>
          <w:fldChar w:fldCharType="end"/>
        </w:r>
      </w:hyperlink>
    </w:p>
    <w:p>
      <w:pPr>
        <w:tabs>
          <w:tab w:val="right" w:leader="dot" w:pos="9062"/>
        </w:tabs>
        <w:ind w:left="220"/>
      </w:pPr>
      <w:hyperlink w:anchor="_Toc2968" w:history="1">
        <w:r>
          <w:rPr>
            <w:rFonts w:ascii="IRNazanin" w:hAnsi="IRNazanin" w:eastAsia="IRNazanin" w:cs="IRNazanin"/>
            <w:color w:val="111111"/>
            <w:sz w:val="22"/>
            <w:szCs w:val="22"/>
            <w:b w:val="0"/>
            <w:bCs w:val="0"/>
            <w:i w:val="0"/>
            <w:iCs w:val="0"/>
          </w:rPr>
          <w:t>حلبي ، عبدالكريم بن عبدالنور، 664 -</w:t>
        </w:r>
        <w:r>
          <w:tab/>
        </w:r>
        <w:r>
          <w:fldChar w:fldCharType="begin"/>
        </w:r>
        <w:r>
          <w:instrText xml:space="preserve">PAGEREF 2968 \h</w:instrText>
        </w:r>
        <w:r>
          <w:fldChar w:fldCharType="end"/>
        </w:r>
      </w:hyperlink>
    </w:p>
    <w:p>
      <w:pPr>
        <w:tabs>
          <w:tab w:val="right" w:leader="dot" w:pos="9062"/>
        </w:tabs>
        <w:ind w:left="220"/>
      </w:pPr>
      <w:hyperlink w:anchor="_Toc2969" w:history="1">
        <w:r>
          <w:rPr>
            <w:rFonts w:ascii="IRNazanin" w:hAnsi="IRNazanin" w:eastAsia="IRNazanin" w:cs="IRNazanin"/>
            <w:color w:val="111111"/>
            <w:sz w:val="22"/>
            <w:szCs w:val="22"/>
            <w:b w:val="0"/>
            <w:bCs w:val="0"/>
            <w:i w:val="0"/>
            <w:iCs w:val="0"/>
          </w:rPr>
          <w:t>حلبي ، عبدالله بن حسين</w:t>
        </w:r>
        <w:r>
          <w:tab/>
        </w:r>
        <w:r>
          <w:fldChar w:fldCharType="begin"/>
        </w:r>
        <w:r>
          <w:instrText xml:space="preserve">PAGEREF 2969 \h</w:instrText>
        </w:r>
        <w:r>
          <w:fldChar w:fldCharType="end"/>
        </w:r>
      </w:hyperlink>
    </w:p>
    <w:p>
      <w:pPr>
        <w:tabs>
          <w:tab w:val="right" w:leader="dot" w:pos="9062"/>
        </w:tabs>
        <w:ind w:left="220"/>
      </w:pPr>
      <w:hyperlink w:anchor="_Toc2970" w:history="1">
        <w:r>
          <w:rPr>
            <w:rFonts w:ascii="IRNazanin" w:hAnsi="IRNazanin" w:eastAsia="IRNazanin" w:cs="IRNazanin"/>
            <w:color w:val="111111"/>
            <w:sz w:val="22"/>
            <w:szCs w:val="22"/>
            <w:b w:val="0"/>
            <w:bCs w:val="0"/>
            <w:i w:val="0"/>
            <w:iCs w:val="0"/>
          </w:rPr>
          <w:t>حلبي، علي بن ابراهيم، 975 - 1044 ه-</w:t>
        </w:r>
        <w:r>
          <w:tab/>
        </w:r>
        <w:r>
          <w:fldChar w:fldCharType="begin"/>
        </w:r>
        <w:r>
          <w:instrText xml:space="preserve">PAGEREF 2970 \h</w:instrText>
        </w:r>
        <w:r>
          <w:fldChar w:fldCharType="end"/>
        </w:r>
      </w:hyperlink>
    </w:p>
    <w:p>
      <w:pPr>
        <w:tabs>
          <w:tab w:val="right" w:leader="dot" w:pos="9062"/>
        </w:tabs>
        <w:ind w:left="220"/>
      </w:pPr>
      <w:hyperlink w:anchor="_Toc2971" w:history="1">
        <w:r>
          <w:rPr>
            <w:rFonts w:ascii="IRNazanin" w:hAnsi="IRNazanin" w:eastAsia="IRNazanin" w:cs="IRNazanin"/>
            <w:color w:val="111111"/>
            <w:sz w:val="22"/>
            <w:szCs w:val="22"/>
            <w:b w:val="0"/>
            <w:bCs w:val="0"/>
            <w:i w:val="0"/>
            <w:iCs w:val="0"/>
          </w:rPr>
          <w:t>حلبي ، علي بن حسن قرن 5 ه-</w:t>
        </w:r>
        <w:r>
          <w:tab/>
        </w:r>
        <w:r>
          <w:fldChar w:fldCharType="begin"/>
        </w:r>
        <w:r>
          <w:instrText xml:space="preserve">PAGEREF 2971 \h</w:instrText>
        </w:r>
        <w:r>
          <w:fldChar w:fldCharType="end"/>
        </w:r>
      </w:hyperlink>
    </w:p>
    <w:p>
      <w:pPr>
        <w:tabs>
          <w:tab w:val="right" w:leader="dot" w:pos="9062"/>
        </w:tabs>
        <w:ind w:left="220"/>
      </w:pPr>
      <w:hyperlink w:anchor="_Toc2972" w:history="1">
        <w:r>
          <w:rPr>
            <w:rFonts w:ascii="IRNazanin" w:hAnsi="IRNazanin" w:eastAsia="IRNazanin" w:cs="IRNazanin"/>
            <w:color w:val="111111"/>
            <w:sz w:val="22"/>
            <w:szCs w:val="22"/>
            <w:b w:val="0"/>
            <w:bCs w:val="0"/>
            <w:i w:val="0"/>
            <w:iCs w:val="0"/>
          </w:rPr>
          <w:t>حلبي ، غرس الدين بن ابراهيم - 971 ه-</w:t>
        </w:r>
        <w:r>
          <w:tab/>
        </w:r>
        <w:r>
          <w:fldChar w:fldCharType="begin"/>
        </w:r>
        <w:r>
          <w:instrText xml:space="preserve">PAGEREF 2972 \h</w:instrText>
        </w:r>
        <w:r>
          <w:fldChar w:fldCharType="end"/>
        </w:r>
      </w:hyperlink>
    </w:p>
    <w:p>
      <w:pPr>
        <w:tabs>
          <w:tab w:val="right" w:leader="dot" w:pos="9062"/>
        </w:tabs>
        <w:ind w:left="220"/>
      </w:pPr>
      <w:hyperlink w:anchor="_Toc2973" w:history="1">
        <w:r>
          <w:rPr>
            <w:rFonts w:ascii="IRNazanin" w:hAnsi="IRNazanin" w:eastAsia="IRNazanin" w:cs="IRNazanin"/>
            <w:color w:val="111111"/>
            <w:sz w:val="22"/>
            <w:szCs w:val="22"/>
            <w:b w:val="0"/>
            <w:bCs w:val="0"/>
            <w:i w:val="0"/>
            <w:iCs w:val="0"/>
          </w:rPr>
          <w:t>حلبي ، محمّد بن خليل قرن 12 ه-</w:t>
        </w:r>
        <w:r>
          <w:tab/>
        </w:r>
        <w:r>
          <w:fldChar w:fldCharType="begin"/>
        </w:r>
        <w:r>
          <w:instrText xml:space="preserve">PAGEREF 2973 \h</w:instrText>
        </w:r>
        <w:r>
          <w:fldChar w:fldCharType="end"/>
        </w:r>
      </w:hyperlink>
    </w:p>
    <w:p>
      <w:pPr>
        <w:tabs>
          <w:tab w:val="right" w:leader="dot" w:pos="9062"/>
        </w:tabs>
        <w:ind w:left="220"/>
      </w:pPr>
      <w:hyperlink w:anchor="_Toc2974" w:history="1">
        <w:r>
          <w:rPr>
            <w:rFonts w:ascii="IRNazanin" w:hAnsi="IRNazanin" w:eastAsia="IRNazanin" w:cs="IRNazanin"/>
            <w:color w:val="111111"/>
            <w:sz w:val="22"/>
            <w:szCs w:val="22"/>
            <w:b w:val="0"/>
            <w:bCs w:val="0"/>
            <w:i w:val="0"/>
            <w:iCs w:val="0"/>
          </w:rPr>
          <w:t>حلبي ، محمّد بن عبد القادر قرن 12 ه-</w:t>
        </w:r>
        <w:r>
          <w:tab/>
        </w:r>
        <w:r>
          <w:fldChar w:fldCharType="begin"/>
        </w:r>
        <w:r>
          <w:instrText xml:space="preserve">PAGEREF 2974 \h</w:instrText>
        </w:r>
        <w:r>
          <w:fldChar w:fldCharType="end"/>
        </w:r>
      </w:hyperlink>
    </w:p>
    <w:p>
      <w:pPr>
        <w:tabs>
          <w:tab w:val="right" w:leader="dot" w:pos="9062"/>
        </w:tabs>
        <w:ind w:left="220"/>
      </w:pPr>
      <w:hyperlink w:anchor="_Toc2975" w:history="1">
        <w:r>
          <w:rPr>
            <w:rFonts w:ascii="IRNazanin" w:hAnsi="IRNazanin" w:eastAsia="IRNazanin" w:cs="IRNazanin"/>
            <w:color w:val="111111"/>
            <w:sz w:val="22"/>
            <w:szCs w:val="22"/>
            <w:b w:val="0"/>
            <w:bCs w:val="0"/>
            <w:i w:val="0"/>
            <w:iCs w:val="0"/>
          </w:rPr>
          <w:t>حلبي ، محمّد بن عمر - 850 ه-</w:t>
        </w:r>
        <w:r>
          <w:tab/>
        </w:r>
        <w:r>
          <w:fldChar w:fldCharType="begin"/>
        </w:r>
        <w:r>
          <w:instrText xml:space="preserve">PAGEREF 2975 \h</w:instrText>
        </w:r>
        <w:r>
          <w:fldChar w:fldCharType="end"/>
        </w:r>
      </w:hyperlink>
    </w:p>
    <w:p>
      <w:pPr>
        <w:tabs>
          <w:tab w:val="right" w:leader="dot" w:pos="9062"/>
        </w:tabs>
        <w:ind w:left="220"/>
      </w:pPr>
      <w:hyperlink w:anchor="_Toc2976" w:history="1">
        <w:r>
          <w:rPr>
            <w:rFonts w:ascii="IRNazanin" w:hAnsi="IRNazanin" w:eastAsia="IRNazanin" w:cs="IRNazanin"/>
            <w:color w:val="111111"/>
            <w:sz w:val="22"/>
            <w:szCs w:val="22"/>
            <w:b w:val="0"/>
            <w:bCs w:val="0"/>
            <w:i w:val="0"/>
            <w:iCs w:val="0"/>
          </w:rPr>
          <w:t>حلبي مدرس ، قاسم</w:t>
        </w:r>
        <w:r>
          <w:tab/>
        </w:r>
        <w:r>
          <w:fldChar w:fldCharType="begin"/>
        </w:r>
        <w:r>
          <w:instrText xml:space="preserve">PAGEREF 2976 \h</w:instrText>
        </w:r>
        <w:r>
          <w:fldChar w:fldCharType="end"/>
        </w:r>
      </w:hyperlink>
    </w:p>
    <w:p>
      <w:pPr>
        <w:tabs>
          <w:tab w:val="right" w:leader="dot" w:pos="9062"/>
        </w:tabs>
        <w:ind w:left="220"/>
      </w:pPr>
      <w:hyperlink w:anchor="_Toc2977" w:history="1">
        <w:r>
          <w:rPr>
            <w:rFonts w:ascii="IRNazanin" w:hAnsi="IRNazanin" w:eastAsia="IRNazanin" w:cs="IRNazanin"/>
            <w:color w:val="111111"/>
            <w:sz w:val="22"/>
            <w:szCs w:val="22"/>
            <w:b w:val="0"/>
            <w:bCs w:val="0"/>
            <w:i w:val="0"/>
            <w:iCs w:val="0"/>
          </w:rPr>
          <w:t>حلبي ، مكاريوس بن زعيم - 1672 م</w:t>
        </w:r>
        <w:r>
          <w:tab/>
        </w:r>
        <w:r>
          <w:fldChar w:fldCharType="begin"/>
        </w:r>
        <w:r>
          <w:instrText xml:space="preserve">PAGEREF 2977 \h</w:instrText>
        </w:r>
        <w:r>
          <w:fldChar w:fldCharType="end"/>
        </w:r>
      </w:hyperlink>
    </w:p>
    <w:p>
      <w:pPr>
        <w:tabs>
          <w:tab w:val="right" w:leader="dot" w:pos="9062"/>
        </w:tabs>
        <w:ind w:left="220"/>
      </w:pPr>
      <w:hyperlink w:anchor="_Toc2978" w:history="1">
        <w:r>
          <w:rPr>
            <w:rFonts w:ascii="IRNazanin" w:hAnsi="IRNazanin" w:eastAsia="IRNazanin" w:cs="IRNazanin"/>
            <w:color w:val="111111"/>
            <w:sz w:val="22"/>
            <w:szCs w:val="22"/>
            <w:b w:val="0"/>
            <w:bCs w:val="0"/>
            <w:i w:val="0"/>
            <w:iCs w:val="0"/>
          </w:rPr>
          <w:t>حلواني ، امين بن حسن - 1316 ه-</w:t>
        </w:r>
        <w:r>
          <w:tab/>
        </w:r>
        <w:r>
          <w:fldChar w:fldCharType="begin"/>
        </w:r>
        <w:r>
          <w:instrText xml:space="preserve">PAGEREF 2978 \h</w:instrText>
        </w:r>
        <w:r>
          <w:fldChar w:fldCharType="end"/>
        </w:r>
      </w:hyperlink>
    </w:p>
    <w:p>
      <w:pPr>
        <w:tabs>
          <w:tab w:val="right" w:leader="dot" w:pos="9062"/>
        </w:tabs>
        <w:ind w:left="220"/>
      </w:pPr>
      <w:hyperlink w:anchor="_Toc2979" w:history="1">
        <w:r>
          <w:rPr>
            <w:rFonts w:ascii="IRNazanin" w:hAnsi="IRNazanin" w:eastAsia="IRNazanin" w:cs="IRNazanin"/>
            <w:color w:val="111111"/>
            <w:sz w:val="22"/>
            <w:szCs w:val="22"/>
            <w:b w:val="0"/>
            <w:bCs w:val="0"/>
            <w:i w:val="0"/>
            <w:iCs w:val="0"/>
          </w:rPr>
          <w:t>حلواني ، حسين بن محمّد قرن 5 ه-</w:t>
        </w:r>
        <w:r>
          <w:tab/>
        </w:r>
        <w:r>
          <w:fldChar w:fldCharType="begin"/>
        </w:r>
        <w:r>
          <w:instrText xml:space="preserve">PAGEREF 2979 \h</w:instrText>
        </w:r>
        <w:r>
          <w:fldChar w:fldCharType="end"/>
        </w:r>
      </w:hyperlink>
    </w:p>
    <w:p>
      <w:pPr>
        <w:tabs>
          <w:tab w:val="right" w:leader="dot" w:pos="9062"/>
        </w:tabs>
        <w:ind w:left="220"/>
      </w:pPr>
      <w:hyperlink w:anchor="_Toc2980" w:history="1">
        <w:r>
          <w:rPr>
            <w:rFonts w:ascii="IRNazanin" w:hAnsi="IRNazanin" w:eastAsia="IRNazanin" w:cs="IRNazanin"/>
            <w:color w:val="111111"/>
            <w:sz w:val="22"/>
            <w:szCs w:val="22"/>
            <w:b w:val="0"/>
            <w:bCs w:val="0"/>
            <w:i w:val="0"/>
            <w:iCs w:val="0"/>
          </w:rPr>
          <w:t>حلواني، شمس الدين بن عزالدين</w:t>
        </w:r>
        <w:r>
          <w:tab/>
        </w:r>
        <w:r>
          <w:fldChar w:fldCharType="begin"/>
        </w:r>
        <w:r>
          <w:instrText xml:space="preserve">PAGEREF 2980 \h</w:instrText>
        </w:r>
        <w:r>
          <w:fldChar w:fldCharType="end"/>
        </w:r>
      </w:hyperlink>
    </w:p>
    <w:p>
      <w:pPr>
        <w:tabs>
          <w:tab w:val="right" w:leader="dot" w:pos="9062"/>
        </w:tabs>
        <w:ind w:left="220"/>
      </w:pPr>
      <w:hyperlink w:anchor="_Toc2981" w:history="1">
        <w:r>
          <w:rPr>
            <w:rFonts w:ascii="IRNazanin" w:hAnsi="IRNazanin" w:eastAsia="IRNazanin" w:cs="IRNazanin"/>
            <w:color w:val="111111"/>
            <w:sz w:val="22"/>
            <w:szCs w:val="22"/>
            <w:b w:val="0"/>
            <w:bCs w:val="0"/>
            <w:i w:val="0"/>
            <w:iCs w:val="0"/>
          </w:rPr>
          <w:t>حلواني ، علي بن محمّد - 493 ه-</w:t>
        </w:r>
        <w:r>
          <w:tab/>
        </w:r>
        <w:r>
          <w:fldChar w:fldCharType="begin"/>
        </w:r>
        <w:r>
          <w:instrText xml:space="preserve">PAGEREF 2981 \h</w:instrText>
        </w:r>
        <w:r>
          <w:fldChar w:fldCharType="end"/>
        </w:r>
      </w:hyperlink>
    </w:p>
    <w:p>
      <w:pPr>
        <w:tabs>
          <w:tab w:val="right" w:leader="dot" w:pos="9062"/>
        </w:tabs>
        <w:ind w:left="220"/>
      </w:pPr>
      <w:hyperlink w:anchor="_Toc2982" w:history="1">
        <w:r>
          <w:rPr>
            <w:rFonts w:ascii="IRNazanin" w:hAnsi="IRNazanin" w:eastAsia="IRNazanin" w:cs="IRNazanin"/>
            <w:color w:val="111111"/>
            <w:sz w:val="22"/>
            <w:szCs w:val="22"/>
            <w:b w:val="0"/>
            <w:bCs w:val="0"/>
            <w:i w:val="0"/>
            <w:iCs w:val="0"/>
          </w:rPr>
          <w:t>حلواني ، علي بن منصور قرن 8 ه-</w:t>
        </w:r>
        <w:r>
          <w:tab/>
        </w:r>
        <w:r>
          <w:fldChar w:fldCharType="begin"/>
        </w:r>
        <w:r>
          <w:instrText xml:space="preserve">PAGEREF 2982 \h</w:instrText>
        </w:r>
        <w:r>
          <w:fldChar w:fldCharType="end"/>
        </w:r>
      </w:hyperlink>
    </w:p>
    <w:p>
      <w:pPr>
        <w:tabs>
          <w:tab w:val="right" w:leader="dot" w:pos="9062"/>
        </w:tabs>
        <w:ind w:left="220"/>
      </w:pPr>
      <w:hyperlink w:anchor="_Toc2983" w:history="1">
        <w:r>
          <w:rPr>
            <w:rFonts w:ascii="IRNazanin" w:hAnsi="IRNazanin" w:eastAsia="IRNazanin" w:cs="IRNazanin"/>
            <w:color w:val="111111"/>
            <w:sz w:val="22"/>
            <w:szCs w:val="22"/>
            <w:b w:val="0"/>
            <w:bCs w:val="0"/>
            <w:i w:val="0"/>
            <w:iCs w:val="0"/>
          </w:rPr>
          <w:t>حلي، جعفر بن احمد، 1277 - 1315 ه-</w:t>
        </w:r>
        <w:r>
          <w:tab/>
        </w:r>
        <w:r>
          <w:fldChar w:fldCharType="begin"/>
        </w:r>
        <w:r>
          <w:instrText xml:space="preserve">PAGEREF 2983 \h</w:instrText>
        </w:r>
        <w:r>
          <w:fldChar w:fldCharType="end"/>
        </w:r>
      </w:hyperlink>
    </w:p>
    <w:p>
      <w:pPr>
        <w:tabs>
          <w:tab w:val="right" w:leader="dot" w:pos="9062"/>
        </w:tabs>
        <w:ind w:left="220"/>
      </w:pPr>
      <w:hyperlink w:anchor="_Toc2984" w:history="1">
        <w:r>
          <w:rPr>
            <w:rFonts w:ascii="IRNazanin" w:hAnsi="IRNazanin" w:eastAsia="IRNazanin" w:cs="IRNazanin"/>
            <w:color w:val="111111"/>
            <w:sz w:val="22"/>
            <w:szCs w:val="22"/>
            <w:b w:val="0"/>
            <w:bCs w:val="0"/>
            <w:i w:val="0"/>
            <w:iCs w:val="0"/>
          </w:rPr>
          <w:t>حلي ، حسن بن سليمان قرن 8 ه-</w:t>
        </w:r>
        <w:r>
          <w:tab/>
        </w:r>
        <w:r>
          <w:fldChar w:fldCharType="begin"/>
        </w:r>
        <w:r>
          <w:instrText xml:space="preserve">PAGEREF 2984 \h</w:instrText>
        </w:r>
        <w:r>
          <w:fldChar w:fldCharType="end"/>
        </w:r>
      </w:hyperlink>
    </w:p>
    <w:p>
      <w:pPr>
        <w:tabs>
          <w:tab w:val="right" w:leader="dot" w:pos="9062"/>
        </w:tabs>
        <w:ind w:left="220"/>
      </w:pPr>
      <w:hyperlink w:anchor="_Toc2985" w:history="1">
        <w:r>
          <w:rPr>
            <w:rFonts w:ascii="IRNazanin" w:hAnsi="IRNazanin" w:eastAsia="IRNazanin" w:cs="IRNazanin"/>
            <w:color w:val="111111"/>
            <w:sz w:val="22"/>
            <w:szCs w:val="22"/>
            <w:b w:val="0"/>
            <w:bCs w:val="0"/>
            <w:i w:val="0"/>
            <w:iCs w:val="0"/>
          </w:rPr>
          <w:t>حلي ، حيدر بن سليمان، 1246-1304 ه-</w:t>
        </w:r>
        <w:r>
          <w:tab/>
        </w:r>
        <w:r>
          <w:fldChar w:fldCharType="begin"/>
        </w:r>
        <w:r>
          <w:instrText xml:space="preserve">PAGEREF 2985 \h</w:instrText>
        </w:r>
        <w:r>
          <w:fldChar w:fldCharType="end"/>
        </w:r>
      </w:hyperlink>
    </w:p>
    <w:p>
      <w:pPr>
        <w:tabs>
          <w:tab w:val="right" w:leader="dot" w:pos="9062"/>
        </w:tabs>
        <w:ind w:left="220"/>
      </w:pPr>
      <w:hyperlink w:anchor="_Toc2986" w:history="1">
        <w:r>
          <w:rPr>
            <w:rFonts w:ascii="IRNazanin" w:hAnsi="IRNazanin" w:eastAsia="IRNazanin" w:cs="IRNazanin"/>
            <w:color w:val="111111"/>
            <w:sz w:val="22"/>
            <w:szCs w:val="22"/>
            <w:b w:val="0"/>
            <w:bCs w:val="0"/>
            <w:i w:val="0"/>
            <w:iCs w:val="0"/>
          </w:rPr>
          <w:t>حلي ، درويش بن محمّد</w:t>
        </w:r>
        <w:r>
          <w:tab/>
        </w:r>
        <w:r>
          <w:fldChar w:fldCharType="begin"/>
        </w:r>
        <w:r>
          <w:instrText xml:space="preserve">PAGEREF 2986 \h</w:instrText>
        </w:r>
        <w:r>
          <w:fldChar w:fldCharType="end"/>
        </w:r>
      </w:hyperlink>
    </w:p>
    <w:p>
      <w:pPr>
        <w:tabs>
          <w:tab w:val="right" w:leader="dot" w:pos="9062"/>
        </w:tabs>
        <w:ind w:left="220"/>
      </w:pPr>
      <w:hyperlink w:anchor="_Toc2987" w:history="1">
        <w:r>
          <w:rPr>
            <w:rFonts w:ascii="IRNazanin" w:hAnsi="IRNazanin" w:eastAsia="IRNazanin" w:cs="IRNazanin"/>
            <w:color w:val="111111"/>
            <w:sz w:val="22"/>
            <w:szCs w:val="22"/>
            <w:b w:val="0"/>
            <w:bCs w:val="0"/>
            <w:i w:val="0"/>
            <w:iCs w:val="0"/>
          </w:rPr>
          <w:t>حلي ، سليمان بن داود</w:t>
        </w:r>
        <w:r>
          <w:tab/>
        </w:r>
        <w:r>
          <w:fldChar w:fldCharType="begin"/>
        </w:r>
        <w:r>
          <w:instrText xml:space="preserve">PAGEREF 2987 \h</w:instrText>
        </w:r>
        <w:r>
          <w:fldChar w:fldCharType="end"/>
        </w:r>
      </w:hyperlink>
    </w:p>
    <w:p>
      <w:pPr>
        <w:tabs>
          <w:tab w:val="right" w:leader="dot" w:pos="9062"/>
        </w:tabs>
        <w:ind w:left="220"/>
      </w:pPr>
      <w:hyperlink w:anchor="_Toc2988" w:history="1">
        <w:r>
          <w:rPr>
            <w:rFonts w:ascii="IRNazanin" w:hAnsi="IRNazanin" w:eastAsia="IRNazanin" w:cs="IRNazanin"/>
            <w:color w:val="111111"/>
            <w:sz w:val="22"/>
            <w:szCs w:val="22"/>
            <w:b w:val="0"/>
            <w:bCs w:val="0"/>
            <w:i w:val="0"/>
            <w:iCs w:val="0"/>
          </w:rPr>
          <w:t>حلي شافعي ، حسن</w:t>
        </w:r>
        <w:r>
          <w:tab/>
        </w:r>
        <w:r>
          <w:fldChar w:fldCharType="begin"/>
        </w:r>
        <w:r>
          <w:instrText xml:space="preserve">PAGEREF 2988 \h</w:instrText>
        </w:r>
        <w:r>
          <w:fldChar w:fldCharType="end"/>
        </w:r>
      </w:hyperlink>
    </w:p>
    <w:p>
      <w:pPr>
        <w:tabs>
          <w:tab w:val="right" w:leader="dot" w:pos="9062"/>
        </w:tabs>
        <w:ind w:left="220"/>
      </w:pPr>
      <w:hyperlink w:anchor="_Toc2989" w:history="1">
        <w:r>
          <w:rPr>
            <w:rFonts w:ascii="IRNazanin" w:hAnsi="IRNazanin" w:eastAsia="IRNazanin" w:cs="IRNazanin"/>
            <w:color w:val="111111"/>
            <w:sz w:val="22"/>
            <w:szCs w:val="22"/>
            <w:b w:val="0"/>
            <w:bCs w:val="0"/>
            <w:i w:val="0"/>
            <w:iCs w:val="0"/>
          </w:rPr>
          <w:t>حلي ، صالح بن حسين، 1290 - 1359 ه-</w:t>
        </w:r>
        <w:r>
          <w:tab/>
        </w:r>
        <w:r>
          <w:fldChar w:fldCharType="begin"/>
        </w:r>
        <w:r>
          <w:instrText xml:space="preserve">PAGEREF 2989 \h</w:instrText>
        </w:r>
        <w:r>
          <w:fldChar w:fldCharType="end"/>
        </w:r>
      </w:hyperlink>
    </w:p>
    <w:p>
      <w:pPr>
        <w:tabs>
          <w:tab w:val="right" w:leader="dot" w:pos="9062"/>
        </w:tabs>
        <w:ind w:left="220"/>
      </w:pPr>
      <w:hyperlink w:anchor="_Toc2990" w:history="1">
        <w:r>
          <w:rPr>
            <w:rFonts w:ascii="IRNazanin" w:hAnsi="IRNazanin" w:eastAsia="IRNazanin" w:cs="IRNazanin"/>
            <w:color w:val="111111"/>
            <w:sz w:val="22"/>
            <w:szCs w:val="22"/>
            <w:b w:val="0"/>
            <w:bCs w:val="0"/>
            <w:i w:val="0"/>
            <w:iCs w:val="0"/>
          </w:rPr>
          <w:t>حلي، عباس بن محمّد جواد قرن 14 ه-</w:t>
        </w:r>
        <w:r>
          <w:tab/>
        </w:r>
        <w:r>
          <w:fldChar w:fldCharType="begin"/>
        </w:r>
        <w:r>
          <w:instrText xml:space="preserve">PAGEREF 2990 \h</w:instrText>
        </w:r>
        <w:r>
          <w:fldChar w:fldCharType="end"/>
        </w:r>
      </w:hyperlink>
    </w:p>
    <w:p>
      <w:pPr>
        <w:tabs>
          <w:tab w:val="right" w:leader="dot" w:pos="9062"/>
        </w:tabs>
        <w:ind w:left="220"/>
      </w:pPr>
      <w:hyperlink w:anchor="_Toc2991" w:history="1">
        <w:r>
          <w:rPr>
            <w:rFonts w:ascii="IRNazanin" w:hAnsi="IRNazanin" w:eastAsia="IRNazanin" w:cs="IRNazanin"/>
            <w:color w:val="111111"/>
            <w:sz w:val="22"/>
            <w:szCs w:val="22"/>
            <w:b w:val="0"/>
            <w:bCs w:val="0"/>
            <w:i w:val="0"/>
            <w:iCs w:val="0"/>
          </w:rPr>
          <w:t>حلي، عبدالله بن سعيد، قرن 14 ه-</w:t>
        </w:r>
        <w:r>
          <w:tab/>
        </w:r>
        <w:r>
          <w:fldChar w:fldCharType="begin"/>
        </w:r>
        <w:r>
          <w:instrText xml:space="preserve">PAGEREF 2991 \h</w:instrText>
        </w:r>
        <w:r>
          <w:fldChar w:fldCharType="end"/>
        </w:r>
      </w:hyperlink>
    </w:p>
    <w:p>
      <w:pPr>
        <w:tabs>
          <w:tab w:val="right" w:leader="dot" w:pos="9062"/>
        </w:tabs>
        <w:ind w:left="220"/>
      </w:pPr>
      <w:hyperlink w:anchor="_Toc2992" w:history="1">
        <w:r>
          <w:rPr>
            <w:rFonts w:ascii="IRNazanin" w:hAnsi="IRNazanin" w:eastAsia="IRNazanin" w:cs="IRNazanin"/>
            <w:color w:val="111111"/>
            <w:sz w:val="22"/>
            <w:szCs w:val="22"/>
            <w:b w:val="0"/>
            <w:bCs w:val="0"/>
            <w:i w:val="0"/>
            <w:iCs w:val="0"/>
          </w:rPr>
          <w:t>حلي ، علي بن ابراهيم</w:t>
        </w:r>
        <w:r>
          <w:tab/>
        </w:r>
        <w:r>
          <w:fldChar w:fldCharType="begin"/>
        </w:r>
        <w:r>
          <w:instrText xml:space="preserve">PAGEREF 2992 \h</w:instrText>
        </w:r>
        <w:r>
          <w:fldChar w:fldCharType="end"/>
        </w:r>
      </w:hyperlink>
    </w:p>
    <w:p>
      <w:pPr>
        <w:tabs>
          <w:tab w:val="right" w:leader="dot" w:pos="9062"/>
        </w:tabs>
        <w:ind w:left="220"/>
      </w:pPr>
      <w:hyperlink w:anchor="_Toc2993" w:history="1">
        <w:r>
          <w:rPr>
            <w:rFonts w:ascii="IRNazanin" w:hAnsi="IRNazanin" w:eastAsia="IRNazanin" w:cs="IRNazanin"/>
            <w:color w:val="111111"/>
            <w:sz w:val="22"/>
            <w:szCs w:val="22"/>
            <w:b w:val="0"/>
            <w:bCs w:val="0"/>
            <w:i w:val="0"/>
            <w:iCs w:val="0"/>
          </w:rPr>
          <w:t>حلي ، علي بن حسن قرن 8 ه-</w:t>
        </w:r>
        <w:r>
          <w:tab/>
        </w:r>
        <w:r>
          <w:fldChar w:fldCharType="begin"/>
        </w:r>
        <w:r>
          <w:instrText xml:space="preserve">PAGEREF 2993 \h</w:instrText>
        </w:r>
        <w:r>
          <w:fldChar w:fldCharType="end"/>
        </w:r>
      </w:hyperlink>
    </w:p>
    <w:p>
      <w:pPr>
        <w:tabs>
          <w:tab w:val="right" w:leader="dot" w:pos="9062"/>
        </w:tabs>
        <w:ind w:left="220"/>
      </w:pPr>
      <w:hyperlink w:anchor="_Toc2994" w:history="1">
        <w:r>
          <w:rPr>
            <w:rFonts w:ascii="IRNazanin" w:hAnsi="IRNazanin" w:eastAsia="IRNazanin" w:cs="IRNazanin"/>
            <w:color w:val="111111"/>
            <w:sz w:val="22"/>
            <w:szCs w:val="22"/>
            <w:b w:val="0"/>
            <w:bCs w:val="0"/>
            <w:i w:val="0"/>
            <w:iCs w:val="0"/>
          </w:rPr>
          <w:t>حلي ، محمّد</w:t>
        </w:r>
        <w:r>
          <w:tab/>
        </w:r>
        <w:r>
          <w:fldChar w:fldCharType="begin"/>
        </w:r>
        <w:r>
          <w:instrText xml:space="preserve">PAGEREF 2994 \h</w:instrText>
        </w:r>
        <w:r>
          <w:fldChar w:fldCharType="end"/>
        </w:r>
      </w:hyperlink>
    </w:p>
    <w:p>
      <w:pPr>
        <w:tabs>
          <w:tab w:val="right" w:leader="dot" w:pos="9062"/>
        </w:tabs>
        <w:ind w:left="220"/>
      </w:pPr>
      <w:hyperlink w:anchor="_Toc2995" w:history="1">
        <w:r>
          <w:rPr>
            <w:rFonts w:ascii="IRNazanin" w:hAnsi="IRNazanin" w:eastAsia="IRNazanin" w:cs="IRNazanin"/>
            <w:color w:val="111111"/>
            <w:sz w:val="22"/>
            <w:szCs w:val="22"/>
            <w:b w:val="0"/>
            <w:bCs w:val="0"/>
            <w:i w:val="0"/>
            <w:iCs w:val="0"/>
          </w:rPr>
          <w:t>حلي ، محمّد بن اسماعيل - 1247 ه-</w:t>
        </w:r>
        <w:r>
          <w:tab/>
        </w:r>
        <w:r>
          <w:fldChar w:fldCharType="begin"/>
        </w:r>
        <w:r>
          <w:instrText xml:space="preserve">PAGEREF 2995 \h</w:instrText>
        </w:r>
        <w:r>
          <w:fldChar w:fldCharType="end"/>
        </w:r>
      </w:hyperlink>
    </w:p>
    <w:p>
      <w:pPr>
        <w:tabs>
          <w:tab w:val="right" w:leader="dot" w:pos="9062"/>
        </w:tabs>
        <w:ind w:left="220"/>
      </w:pPr>
      <w:hyperlink w:anchor="_Toc2996" w:history="1">
        <w:r>
          <w:rPr>
            <w:rFonts w:ascii="IRNazanin" w:hAnsi="IRNazanin" w:eastAsia="IRNazanin" w:cs="IRNazanin"/>
            <w:color w:val="111111"/>
            <w:sz w:val="22"/>
            <w:szCs w:val="22"/>
            <w:b w:val="0"/>
            <w:bCs w:val="0"/>
            <w:i w:val="0"/>
            <w:iCs w:val="0"/>
          </w:rPr>
          <w:t>حلي ، محمّد رضا</w:t>
        </w:r>
        <w:r>
          <w:tab/>
        </w:r>
        <w:r>
          <w:fldChar w:fldCharType="begin"/>
        </w:r>
        <w:r>
          <w:instrText xml:space="preserve">PAGEREF 2996 \h</w:instrText>
        </w:r>
        <w:r>
          <w:fldChar w:fldCharType="end"/>
        </w:r>
      </w:hyperlink>
    </w:p>
    <w:p>
      <w:pPr>
        <w:tabs>
          <w:tab w:val="right" w:leader="dot" w:pos="9062"/>
        </w:tabs>
        <w:ind w:left="220"/>
      </w:pPr>
      <w:hyperlink w:anchor="_Toc2997" w:history="1">
        <w:r>
          <w:rPr>
            <w:rFonts w:ascii="IRNazanin" w:hAnsi="IRNazanin" w:eastAsia="IRNazanin" w:cs="IRNazanin"/>
            <w:color w:val="111111"/>
            <w:sz w:val="22"/>
            <w:szCs w:val="22"/>
            <w:b w:val="0"/>
            <w:bCs w:val="0"/>
            <w:i w:val="0"/>
            <w:iCs w:val="0"/>
          </w:rPr>
          <w:t>حلي ، محمّدصالح</w:t>
        </w:r>
        <w:r>
          <w:tab/>
        </w:r>
        <w:r>
          <w:fldChar w:fldCharType="begin"/>
        </w:r>
        <w:r>
          <w:instrText xml:space="preserve">PAGEREF 2997 \h</w:instrText>
        </w:r>
        <w:r>
          <w:fldChar w:fldCharType="end"/>
        </w:r>
      </w:hyperlink>
    </w:p>
    <w:p>
      <w:pPr>
        <w:tabs>
          <w:tab w:val="right" w:leader="dot" w:pos="9062"/>
        </w:tabs>
        <w:ind w:left="220"/>
      </w:pPr>
      <w:hyperlink w:anchor="_Toc2998" w:history="1">
        <w:r>
          <w:rPr>
            <w:rFonts w:ascii="IRNazanin" w:hAnsi="IRNazanin" w:eastAsia="IRNazanin" w:cs="IRNazanin"/>
            <w:color w:val="111111"/>
            <w:sz w:val="22"/>
            <w:szCs w:val="22"/>
            <w:b w:val="0"/>
            <w:bCs w:val="0"/>
            <w:i w:val="0"/>
            <w:iCs w:val="0"/>
          </w:rPr>
          <w:t>حلي ، مهدي</w:t>
        </w:r>
        <w:r>
          <w:tab/>
        </w:r>
        <w:r>
          <w:fldChar w:fldCharType="begin"/>
        </w:r>
        <w:r>
          <w:instrText xml:space="preserve">PAGEREF 2998 \h</w:instrText>
        </w:r>
        <w:r>
          <w:fldChar w:fldCharType="end"/>
        </w:r>
      </w:hyperlink>
    </w:p>
    <w:p>
      <w:pPr>
        <w:tabs>
          <w:tab w:val="right" w:leader="dot" w:pos="9062"/>
        </w:tabs>
        <w:ind w:left="220"/>
      </w:pPr>
      <w:hyperlink w:anchor="_Toc2999" w:history="1">
        <w:r>
          <w:rPr>
            <w:rFonts w:ascii="IRNazanin" w:hAnsi="IRNazanin" w:eastAsia="IRNazanin" w:cs="IRNazanin"/>
            <w:color w:val="111111"/>
            <w:sz w:val="22"/>
            <w:szCs w:val="22"/>
            <w:b w:val="0"/>
            <w:bCs w:val="0"/>
            <w:i w:val="0"/>
            <w:iCs w:val="0"/>
          </w:rPr>
          <w:t>حليمي، لطف الله بن يوسف - 922؟ ه-</w:t>
        </w:r>
        <w:r>
          <w:tab/>
        </w:r>
        <w:r>
          <w:fldChar w:fldCharType="begin"/>
        </w:r>
        <w:r>
          <w:instrText xml:space="preserve">PAGEREF 2999 \h</w:instrText>
        </w:r>
        <w:r>
          <w:fldChar w:fldCharType="end"/>
        </w:r>
      </w:hyperlink>
    </w:p>
    <w:p>
      <w:pPr>
        <w:tabs>
          <w:tab w:val="right" w:leader="dot" w:pos="9062"/>
        </w:tabs>
        <w:ind w:left="220"/>
      </w:pPr>
      <w:hyperlink w:anchor="_Toc3000" w:history="1">
        <w:r>
          <w:rPr>
            <w:rFonts w:ascii="IRNazanin" w:hAnsi="IRNazanin" w:eastAsia="IRNazanin" w:cs="IRNazanin"/>
            <w:color w:val="111111"/>
            <w:sz w:val="22"/>
            <w:szCs w:val="22"/>
            <w:b w:val="0"/>
            <w:bCs w:val="0"/>
            <w:i w:val="0"/>
            <w:iCs w:val="0"/>
          </w:rPr>
          <w:t>حلي نجفي محمود بن درویش قرن 11 ه-</w:t>
        </w:r>
        <w:r>
          <w:tab/>
        </w:r>
        <w:r>
          <w:fldChar w:fldCharType="begin"/>
        </w:r>
        <w:r>
          <w:instrText xml:space="preserve">PAGEREF 3000 \h</w:instrText>
        </w:r>
        <w:r>
          <w:fldChar w:fldCharType="end"/>
        </w:r>
      </w:hyperlink>
    </w:p>
    <w:p>
      <w:pPr>
        <w:tabs>
          <w:tab w:val="right" w:leader="dot" w:pos="9062"/>
        </w:tabs>
        <w:ind w:left="220"/>
      </w:pPr>
      <w:hyperlink w:anchor="_Toc3001" w:history="1">
        <w:r>
          <w:rPr>
            <w:rFonts w:ascii="IRNazanin" w:hAnsi="IRNazanin" w:eastAsia="IRNazanin" w:cs="IRNazanin"/>
            <w:color w:val="111111"/>
            <w:sz w:val="22"/>
            <w:szCs w:val="22"/>
            <w:b w:val="0"/>
            <w:bCs w:val="0"/>
            <w:i w:val="0"/>
            <w:iCs w:val="0"/>
          </w:rPr>
          <w:t>حلي نجفي ، حسين بن علي، قرن 14 ه-</w:t>
        </w:r>
        <w:r>
          <w:tab/>
        </w:r>
        <w:r>
          <w:fldChar w:fldCharType="begin"/>
        </w:r>
        <w:r>
          <w:instrText xml:space="preserve">PAGEREF 3001 \h</w:instrText>
        </w:r>
        <w:r>
          <w:fldChar w:fldCharType="end"/>
        </w:r>
      </w:hyperlink>
    </w:p>
    <w:p>
      <w:pPr>
        <w:tabs>
          <w:tab w:val="right" w:leader="dot" w:pos="9062"/>
        </w:tabs>
        <w:ind w:left="220"/>
      </w:pPr>
      <w:hyperlink w:anchor="_Toc3002" w:history="1">
        <w:r>
          <w:rPr>
            <w:rFonts w:ascii="IRNazanin" w:hAnsi="IRNazanin" w:eastAsia="IRNazanin" w:cs="IRNazanin"/>
            <w:color w:val="111111"/>
            <w:sz w:val="22"/>
            <w:szCs w:val="22"/>
            <w:b w:val="0"/>
            <w:bCs w:val="0"/>
            <w:i w:val="0"/>
            <w:iCs w:val="0"/>
          </w:rPr>
          <w:t>حلي نجفي ، عبد الحسين بن قاسم قرن</w:t>
        </w:r>
        <w:r>
          <w:tab/>
        </w:r>
        <w:r>
          <w:fldChar w:fldCharType="begin"/>
        </w:r>
        <w:r>
          <w:instrText xml:space="preserve">PAGEREF 3002 \h</w:instrText>
        </w:r>
        <w:r>
          <w:fldChar w:fldCharType="end"/>
        </w:r>
      </w:hyperlink>
    </w:p>
    <w:p>
      <w:pPr>
        <w:tabs>
          <w:tab w:val="right" w:leader="dot" w:pos="9062"/>
        </w:tabs>
        <w:ind w:left="220"/>
      </w:pPr>
      <w:hyperlink w:anchor="_Toc3003" w:history="1">
        <w:r>
          <w:rPr>
            <w:rFonts w:ascii="IRNazanin" w:hAnsi="IRNazanin" w:eastAsia="IRNazanin" w:cs="IRNazanin"/>
            <w:color w:val="111111"/>
            <w:sz w:val="22"/>
            <w:szCs w:val="22"/>
            <w:b w:val="0"/>
            <w:bCs w:val="0"/>
            <w:i w:val="0"/>
            <w:iCs w:val="0"/>
          </w:rPr>
          <w:t>حلي ، يحيى بن محسن</w:t>
        </w:r>
        <w:r>
          <w:tab/>
        </w:r>
        <w:r>
          <w:fldChar w:fldCharType="begin"/>
        </w:r>
        <w:r>
          <w:instrText xml:space="preserve">PAGEREF 3003 \h</w:instrText>
        </w:r>
        <w:r>
          <w:fldChar w:fldCharType="end"/>
        </w:r>
      </w:hyperlink>
    </w:p>
    <w:p>
      <w:pPr>
        <w:tabs>
          <w:tab w:val="right" w:leader="dot" w:pos="9062"/>
        </w:tabs>
        <w:ind w:left="220"/>
      </w:pPr>
      <w:hyperlink w:anchor="_Toc3004" w:history="1">
        <w:r>
          <w:rPr>
            <w:rFonts w:ascii="IRNazanin" w:hAnsi="IRNazanin" w:eastAsia="IRNazanin" w:cs="IRNazanin"/>
            <w:color w:val="111111"/>
            <w:sz w:val="22"/>
            <w:szCs w:val="22"/>
            <w:b w:val="0"/>
            <w:bCs w:val="0"/>
            <w:i w:val="0"/>
            <w:iCs w:val="0"/>
          </w:rPr>
          <w:t>حماد ، نصر الله بن محمّد، قرن 13 ه-</w:t>
        </w:r>
        <w:r>
          <w:tab/>
        </w:r>
        <w:r>
          <w:fldChar w:fldCharType="begin"/>
        </w:r>
        <w:r>
          <w:instrText xml:space="preserve">PAGEREF 3004 \h</w:instrText>
        </w:r>
        <w:r>
          <w:fldChar w:fldCharType="end"/>
        </w:r>
      </w:hyperlink>
    </w:p>
    <w:p>
      <w:pPr>
        <w:tabs>
          <w:tab w:val="right" w:leader="dot" w:pos="9062"/>
        </w:tabs>
        <w:ind w:left="220"/>
      </w:pPr>
      <w:hyperlink w:anchor="_Toc3005" w:history="1">
        <w:r>
          <w:rPr>
            <w:rFonts w:ascii="IRNazanin" w:hAnsi="IRNazanin" w:eastAsia="IRNazanin" w:cs="IRNazanin"/>
            <w:color w:val="111111"/>
            <w:sz w:val="22"/>
            <w:szCs w:val="22"/>
            <w:b w:val="0"/>
            <w:bCs w:val="0"/>
            <w:i w:val="0"/>
            <w:iCs w:val="0"/>
          </w:rPr>
          <w:t>حمادي الحلي</w:t>
        </w:r>
        <w:r>
          <w:tab/>
        </w:r>
        <w:r>
          <w:fldChar w:fldCharType="begin"/>
        </w:r>
        <w:r>
          <w:instrText xml:space="preserve">PAGEREF 3005 \h</w:instrText>
        </w:r>
        <w:r>
          <w:fldChar w:fldCharType="end"/>
        </w:r>
      </w:hyperlink>
    </w:p>
    <w:p>
      <w:pPr>
        <w:tabs>
          <w:tab w:val="right" w:leader="dot" w:pos="9062"/>
        </w:tabs>
        <w:ind w:left="220"/>
      </w:pPr>
      <w:hyperlink w:anchor="_Toc3006" w:history="1">
        <w:r>
          <w:rPr>
            <w:rFonts w:ascii="IRNazanin" w:hAnsi="IRNazanin" w:eastAsia="IRNazanin" w:cs="IRNazanin"/>
            <w:color w:val="111111"/>
            <w:sz w:val="22"/>
            <w:szCs w:val="22"/>
            <w:b w:val="0"/>
            <w:bCs w:val="0"/>
            <w:i w:val="0"/>
            <w:iCs w:val="0"/>
          </w:rPr>
          <w:t>حمادي كعبي ، محمّد بن سلمان</w:t>
        </w:r>
        <w:r>
          <w:tab/>
        </w:r>
        <w:r>
          <w:fldChar w:fldCharType="begin"/>
        </w:r>
        <w:r>
          <w:instrText xml:space="preserve">PAGEREF 3006 \h</w:instrText>
        </w:r>
        <w:r>
          <w:fldChar w:fldCharType="end"/>
        </w:r>
      </w:hyperlink>
    </w:p>
    <w:p>
      <w:pPr>
        <w:tabs>
          <w:tab w:val="right" w:leader="dot" w:pos="9062"/>
        </w:tabs>
        <w:ind w:left="220"/>
      </w:pPr>
      <w:hyperlink w:anchor="_Toc3007" w:history="1">
        <w:r>
          <w:rPr>
            <w:rFonts w:ascii="IRNazanin" w:hAnsi="IRNazanin" w:eastAsia="IRNazanin" w:cs="IRNazanin"/>
            <w:color w:val="111111"/>
            <w:sz w:val="22"/>
            <w:szCs w:val="22"/>
            <w:b w:val="0"/>
            <w:bCs w:val="0"/>
            <w:i w:val="0"/>
            <w:iCs w:val="0"/>
          </w:rPr>
          <w:t>حمامي ، احمد بن عمر - 1017 ه-</w:t>
        </w:r>
        <w:r>
          <w:tab/>
        </w:r>
        <w:r>
          <w:fldChar w:fldCharType="begin"/>
        </w:r>
        <w:r>
          <w:instrText xml:space="preserve">PAGEREF 3007 \h</w:instrText>
        </w:r>
        <w:r>
          <w:fldChar w:fldCharType="end"/>
        </w:r>
      </w:hyperlink>
    </w:p>
    <w:p>
      <w:pPr>
        <w:tabs>
          <w:tab w:val="right" w:leader="dot" w:pos="9062"/>
        </w:tabs>
        <w:ind w:left="220"/>
      </w:pPr>
      <w:hyperlink w:anchor="_Toc3008" w:history="1">
        <w:r>
          <w:rPr>
            <w:rFonts w:ascii="IRNazanin" w:hAnsi="IRNazanin" w:eastAsia="IRNazanin" w:cs="IRNazanin"/>
            <w:color w:val="111111"/>
            <w:sz w:val="22"/>
            <w:szCs w:val="22"/>
            <w:b w:val="0"/>
            <w:bCs w:val="0"/>
            <w:i w:val="0"/>
            <w:iCs w:val="0"/>
          </w:rPr>
          <w:t>حمد الله بن خيرالدين قرن 10 ه-</w:t>
        </w:r>
        <w:r>
          <w:tab/>
        </w:r>
        <w:r>
          <w:fldChar w:fldCharType="begin"/>
        </w:r>
        <w:r>
          <w:instrText xml:space="preserve">PAGEREF 3008 \h</w:instrText>
        </w:r>
        <w:r>
          <w:fldChar w:fldCharType="end"/>
        </w:r>
      </w:hyperlink>
    </w:p>
    <w:p>
      <w:pPr>
        <w:tabs>
          <w:tab w:val="right" w:leader="dot" w:pos="9062"/>
        </w:tabs>
        <w:ind w:left="220"/>
      </w:pPr>
      <w:hyperlink w:anchor="_Toc3009" w:history="1">
        <w:r>
          <w:rPr>
            <w:rFonts w:ascii="IRNazanin" w:hAnsi="IRNazanin" w:eastAsia="IRNazanin" w:cs="IRNazanin"/>
            <w:color w:val="111111"/>
            <w:sz w:val="22"/>
            <w:szCs w:val="22"/>
            <w:b w:val="0"/>
            <w:bCs w:val="0"/>
            <w:i w:val="0"/>
            <w:iCs w:val="0"/>
          </w:rPr>
          <w:t>حمد الله مستوفي ، حمد الله بن ابي بكر</w:t>
        </w:r>
        <w:r>
          <w:tab/>
        </w:r>
        <w:r>
          <w:fldChar w:fldCharType="begin"/>
        </w:r>
        <w:r>
          <w:instrText xml:space="preserve">PAGEREF 3009 \h</w:instrText>
        </w:r>
        <w:r>
          <w:fldChar w:fldCharType="end"/>
        </w:r>
      </w:hyperlink>
    </w:p>
    <w:p>
      <w:pPr>
        <w:tabs>
          <w:tab w:val="right" w:leader="dot" w:pos="9062"/>
        </w:tabs>
        <w:ind w:left="220"/>
      </w:pPr>
      <w:hyperlink w:anchor="_Toc3010" w:history="1">
        <w:r>
          <w:rPr>
            <w:rFonts w:ascii="IRNazanin" w:hAnsi="IRNazanin" w:eastAsia="IRNazanin" w:cs="IRNazanin"/>
            <w:color w:val="111111"/>
            <w:sz w:val="22"/>
            <w:szCs w:val="22"/>
            <w:b w:val="0"/>
            <w:bCs w:val="0"/>
            <w:i w:val="0"/>
            <w:iCs w:val="0"/>
          </w:rPr>
          <w:t>حمداني، امير وجيه الدوله - 428 ه-</w:t>
        </w:r>
        <w:r>
          <w:tab/>
        </w:r>
        <w:r>
          <w:fldChar w:fldCharType="begin"/>
        </w:r>
        <w:r>
          <w:instrText xml:space="preserve">PAGEREF 3010 \h</w:instrText>
        </w:r>
        <w:r>
          <w:fldChar w:fldCharType="end"/>
        </w:r>
      </w:hyperlink>
    </w:p>
    <w:p>
      <w:pPr>
        <w:tabs>
          <w:tab w:val="right" w:leader="dot" w:pos="9062"/>
        </w:tabs>
        <w:ind w:left="220"/>
      </w:pPr>
      <w:hyperlink w:anchor="_Toc3011" w:history="1">
        <w:r>
          <w:rPr>
            <w:rFonts w:ascii="IRNazanin" w:hAnsi="IRNazanin" w:eastAsia="IRNazanin" w:cs="IRNazanin"/>
            <w:color w:val="111111"/>
            <w:sz w:val="22"/>
            <w:szCs w:val="22"/>
            <w:b w:val="0"/>
            <w:bCs w:val="0"/>
            <w:i w:val="0"/>
            <w:iCs w:val="0"/>
          </w:rPr>
          <w:t>حمدي ، احمد بن عبدالله قرن</w:t>
        </w:r>
        <w:r>
          <w:tab/>
        </w:r>
        <w:r>
          <w:fldChar w:fldCharType="begin"/>
        </w:r>
        <w:r>
          <w:instrText xml:space="preserve">PAGEREF 3011 \h</w:instrText>
        </w:r>
        <w:r>
          <w:fldChar w:fldCharType="end"/>
        </w:r>
      </w:hyperlink>
    </w:p>
    <w:p>
      <w:pPr>
        <w:tabs>
          <w:tab w:val="right" w:leader="dot" w:pos="9062"/>
        </w:tabs>
        <w:ind w:left="220"/>
      </w:pPr>
      <w:hyperlink w:anchor="_Toc3012" w:history="1">
        <w:r>
          <w:rPr>
            <w:rFonts w:ascii="IRNazanin" w:hAnsi="IRNazanin" w:eastAsia="IRNazanin" w:cs="IRNazanin"/>
            <w:color w:val="111111"/>
            <w:sz w:val="22"/>
            <w:szCs w:val="22"/>
            <w:b w:val="0"/>
            <w:bCs w:val="0"/>
            <w:i w:val="0"/>
            <w:iCs w:val="0"/>
          </w:rPr>
          <w:t>حمدي اعظمي - 1971 م</w:t>
        </w:r>
        <w:r>
          <w:tab/>
        </w:r>
        <w:r>
          <w:fldChar w:fldCharType="begin"/>
        </w:r>
        <w:r>
          <w:instrText xml:space="preserve">PAGEREF 3012 \h</w:instrText>
        </w:r>
        <w:r>
          <w:fldChar w:fldCharType="end"/>
        </w:r>
      </w:hyperlink>
    </w:p>
    <w:p>
      <w:pPr>
        <w:tabs>
          <w:tab w:val="right" w:leader="dot" w:pos="9062"/>
        </w:tabs>
        <w:ind w:left="220"/>
      </w:pPr>
      <w:hyperlink w:anchor="_Toc3013" w:history="1">
        <w:r>
          <w:rPr>
            <w:rFonts w:ascii="IRNazanin" w:hAnsi="IRNazanin" w:eastAsia="IRNazanin" w:cs="IRNazanin"/>
            <w:color w:val="111111"/>
            <w:sz w:val="22"/>
            <w:szCs w:val="22"/>
            <w:b w:val="0"/>
            <w:bCs w:val="0"/>
            <w:i w:val="0"/>
            <w:iCs w:val="0"/>
          </w:rPr>
          <w:t>حمدي، مصطفى بن احمد - 1357 ه-</w:t>
        </w:r>
        <w:r>
          <w:tab/>
        </w:r>
        <w:r>
          <w:fldChar w:fldCharType="begin"/>
        </w:r>
        <w:r>
          <w:instrText xml:space="preserve">PAGEREF 3013 \h</w:instrText>
        </w:r>
        <w:r>
          <w:fldChar w:fldCharType="end"/>
        </w:r>
      </w:hyperlink>
    </w:p>
    <w:p>
      <w:pPr>
        <w:tabs>
          <w:tab w:val="right" w:leader="dot" w:pos="9062"/>
        </w:tabs>
        <w:ind w:left="220"/>
      </w:pPr>
      <w:hyperlink w:anchor="_Toc3014" w:history="1">
        <w:r>
          <w:rPr>
            <w:rFonts w:ascii="IRNazanin" w:hAnsi="IRNazanin" w:eastAsia="IRNazanin" w:cs="IRNazanin"/>
            <w:color w:val="111111"/>
            <w:sz w:val="22"/>
            <w:szCs w:val="22"/>
            <w:b w:val="0"/>
            <w:bCs w:val="0"/>
            <w:i w:val="0"/>
            <w:iCs w:val="0"/>
          </w:rPr>
          <w:t>حمزاوي ، محمود بن محمّد 1234 -</w:t>
        </w:r>
        <w:r>
          <w:tab/>
        </w:r>
        <w:r>
          <w:fldChar w:fldCharType="begin"/>
        </w:r>
        <w:r>
          <w:instrText xml:space="preserve">PAGEREF 3014 \h</w:instrText>
        </w:r>
        <w:r>
          <w:fldChar w:fldCharType="end"/>
        </w:r>
      </w:hyperlink>
    </w:p>
    <w:p>
      <w:pPr>
        <w:tabs>
          <w:tab w:val="right" w:leader="dot" w:pos="9062"/>
        </w:tabs>
        <w:ind w:left="220"/>
      </w:pPr>
      <w:hyperlink w:anchor="_Toc3015" w:history="1">
        <w:r>
          <w:rPr>
            <w:rFonts w:ascii="IRNazanin" w:hAnsi="IRNazanin" w:eastAsia="IRNazanin" w:cs="IRNazanin"/>
            <w:color w:val="111111"/>
            <w:sz w:val="22"/>
            <w:szCs w:val="22"/>
            <w:b w:val="0"/>
            <w:bCs w:val="0"/>
            <w:i w:val="0"/>
            <w:iCs w:val="0"/>
          </w:rPr>
          <w:t>حمزة بن سليمان قرن 9 ه-</w:t>
        </w:r>
        <w:r>
          <w:tab/>
        </w:r>
        <w:r>
          <w:fldChar w:fldCharType="begin"/>
        </w:r>
        <w:r>
          <w:instrText xml:space="preserve">PAGEREF 3015 \h</w:instrText>
        </w:r>
        <w:r>
          <w:fldChar w:fldCharType="end"/>
        </w:r>
      </w:hyperlink>
    </w:p>
    <w:p>
      <w:pPr>
        <w:tabs>
          <w:tab w:val="right" w:leader="dot" w:pos="9062"/>
        </w:tabs>
        <w:ind w:left="220"/>
      </w:pPr>
      <w:hyperlink w:anchor="_Toc3016" w:history="1">
        <w:r>
          <w:rPr>
            <w:rFonts w:ascii="IRNazanin" w:hAnsi="IRNazanin" w:eastAsia="IRNazanin" w:cs="IRNazanin"/>
            <w:color w:val="111111"/>
            <w:sz w:val="22"/>
            <w:szCs w:val="22"/>
            <w:b w:val="0"/>
            <w:bCs w:val="0"/>
            <w:i w:val="0"/>
            <w:iCs w:val="0"/>
          </w:rPr>
          <w:t>حمزة بن شمشاد</w:t>
        </w:r>
        <w:r>
          <w:tab/>
        </w:r>
        <w:r>
          <w:fldChar w:fldCharType="begin"/>
        </w:r>
        <w:r>
          <w:instrText xml:space="preserve">PAGEREF 3016 \h</w:instrText>
        </w:r>
        <w:r>
          <w:fldChar w:fldCharType="end"/>
        </w:r>
      </w:hyperlink>
    </w:p>
    <w:p>
      <w:pPr>
        <w:tabs>
          <w:tab w:val="right" w:leader="dot" w:pos="9062"/>
        </w:tabs>
        <w:ind w:left="220"/>
      </w:pPr>
      <w:hyperlink w:anchor="_Toc3017" w:history="1">
        <w:r>
          <w:rPr>
            <w:rFonts w:ascii="IRNazanin" w:hAnsi="IRNazanin" w:eastAsia="IRNazanin" w:cs="IRNazanin"/>
            <w:color w:val="111111"/>
            <w:sz w:val="22"/>
            <w:szCs w:val="22"/>
            <w:b w:val="0"/>
            <w:bCs w:val="0"/>
            <w:i w:val="0"/>
            <w:iCs w:val="0"/>
          </w:rPr>
          <w:t>حمزه اصفهاني، حمزه بن حسن 280 -</w:t>
        </w:r>
        <w:r>
          <w:tab/>
        </w:r>
        <w:r>
          <w:fldChar w:fldCharType="begin"/>
        </w:r>
        <w:r>
          <w:instrText xml:space="preserve">PAGEREF 3017 \h</w:instrText>
        </w:r>
        <w:r>
          <w:fldChar w:fldCharType="end"/>
        </w:r>
      </w:hyperlink>
    </w:p>
    <w:p>
      <w:pPr>
        <w:tabs>
          <w:tab w:val="right" w:leader="dot" w:pos="9062"/>
        </w:tabs>
        <w:ind w:left="220"/>
      </w:pPr>
      <w:hyperlink w:anchor="_Toc3018" w:history="1">
        <w:r>
          <w:rPr>
            <w:rFonts w:ascii="IRNazanin" w:hAnsi="IRNazanin" w:eastAsia="IRNazanin" w:cs="IRNazanin"/>
            <w:color w:val="111111"/>
            <w:sz w:val="22"/>
            <w:szCs w:val="22"/>
            <w:b w:val="0"/>
            <w:bCs w:val="0"/>
            <w:i w:val="0"/>
            <w:iCs w:val="0"/>
          </w:rPr>
          <w:t>حمزه بن عطاء الله</w:t>
        </w:r>
        <w:r>
          <w:tab/>
        </w:r>
        <w:r>
          <w:fldChar w:fldCharType="begin"/>
        </w:r>
        <w:r>
          <w:instrText xml:space="preserve">PAGEREF 3018 \h</w:instrText>
        </w:r>
        <w:r>
          <w:fldChar w:fldCharType="end"/>
        </w:r>
      </w:hyperlink>
    </w:p>
    <w:p>
      <w:pPr>
        <w:tabs>
          <w:tab w:val="right" w:leader="dot" w:pos="9062"/>
        </w:tabs>
        <w:ind w:left="220"/>
      </w:pPr>
      <w:hyperlink w:anchor="_Toc3019" w:history="1">
        <w:r>
          <w:rPr>
            <w:rFonts w:ascii="IRNazanin" w:hAnsi="IRNazanin" w:eastAsia="IRNazanin" w:cs="IRNazanin"/>
            <w:color w:val="111111"/>
            <w:sz w:val="22"/>
            <w:szCs w:val="22"/>
            <w:b w:val="0"/>
            <w:bCs w:val="0"/>
            <w:i w:val="0"/>
            <w:iCs w:val="0"/>
          </w:rPr>
          <w:t>حمصي رازي ، محمود بن علي قرن 6 ه-</w:t>
        </w:r>
        <w:r>
          <w:tab/>
        </w:r>
        <w:r>
          <w:fldChar w:fldCharType="begin"/>
        </w:r>
        <w:r>
          <w:instrText xml:space="preserve">PAGEREF 3019 \h</w:instrText>
        </w:r>
        <w:r>
          <w:fldChar w:fldCharType="end"/>
        </w:r>
      </w:hyperlink>
    </w:p>
    <w:p>
      <w:pPr>
        <w:tabs>
          <w:tab w:val="right" w:leader="dot" w:pos="9062"/>
        </w:tabs>
        <w:ind w:left="220"/>
      </w:pPr>
      <w:hyperlink w:anchor="_Toc3020" w:history="1">
        <w:r>
          <w:rPr>
            <w:rFonts w:ascii="IRNazanin" w:hAnsi="IRNazanin" w:eastAsia="IRNazanin" w:cs="IRNazanin"/>
            <w:color w:val="111111"/>
            <w:sz w:val="22"/>
            <w:szCs w:val="22"/>
            <w:b w:val="0"/>
            <w:bCs w:val="0"/>
            <w:i w:val="0"/>
            <w:iCs w:val="0"/>
          </w:rPr>
          <w:t>حمصي ، محمّد بن ياسين</w:t>
        </w:r>
        <w:r>
          <w:tab/>
        </w:r>
        <w:r>
          <w:fldChar w:fldCharType="begin"/>
        </w:r>
        <w:r>
          <w:instrText xml:space="preserve">PAGEREF 3020 \h</w:instrText>
        </w:r>
        <w:r>
          <w:fldChar w:fldCharType="end"/>
        </w:r>
      </w:hyperlink>
    </w:p>
    <w:p>
      <w:pPr>
        <w:tabs>
          <w:tab w:val="right" w:leader="dot" w:pos="9062"/>
        </w:tabs>
        <w:ind w:left="220"/>
      </w:pPr>
      <w:hyperlink w:anchor="_Toc3021" w:history="1">
        <w:r>
          <w:rPr>
            <w:rFonts w:ascii="IRNazanin" w:hAnsi="IRNazanin" w:eastAsia="IRNazanin" w:cs="IRNazanin"/>
            <w:color w:val="111111"/>
            <w:sz w:val="22"/>
            <w:szCs w:val="22"/>
            <w:b w:val="0"/>
            <w:bCs w:val="0"/>
            <w:i w:val="0"/>
            <w:iCs w:val="0"/>
          </w:rPr>
          <w:t>حمودي ، عبدالله، قرن 13 ه-</w:t>
        </w:r>
        <w:r>
          <w:tab/>
        </w:r>
        <w:r>
          <w:fldChar w:fldCharType="begin"/>
        </w:r>
        <w:r>
          <w:instrText xml:space="preserve">PAGEREF 3021 \h</w:instrText>
        </w:r>
        <w:r>
          <w:fldChar w:fldCharType="end"/>
        </w:r>
      </w:hyperlink>
    </w:p>
    <w:p>
      <w:pPr>
        <w:tabs>
          <w:tab w:val="right" w:leader="dot" w:pos="9062"/>
        </w:tabs>
        <w:ind w:left="220"/>
      </w:pPr>
      <w:hyperlink w:anchor="_Toc3022" w:history="1">
        <w:r>
          <w:rPr>
            <w:rFonts w:ascii="IRNazanin" w:hAnsi="IRNazanin" w:eastAsia="IRNazanin" w:cs="IRNazanin"/>
            <w:color w:val="111111"/>
            <w:sz w:val="22"/>
            <w:szCs w:val="22"/>
            <w:b w:val="0"/>
            <w:bCs w:val="0"/>
            <w:i w:val="0"/>
            <w:iCs w:val="0"/>
          </w:rPr>
          <w:t>حموي، ابراهيم بن سليمان، 2652-732ه-</w:t>
        </w:r>
        <w:r>
          <w:tab/>
        </w:r>
        <w:r>
          <w:fldChar w:fldCharType="begin"/>
        </w:r>
        <w:r>
          <w:instrText xml:space="preserve">PAGEREF 3022 \h</w:instrText>
        </w:r>
        <w:r>
          <w:fldChar w:fldCharType="end"/>
        </w:r>
      </w:hyperlink>
    </w:p>
    <w:p>
      <w:pPr>
        <w:tabs>
          <w:tab w:val="right" w:leader="dot" w:pos="9062"/>
        </w:tabs>
        <w:ind w:left="220"/>
      </w:pPr>
      <w:hyperlink w:anchor="_Toc3023" w:history="1">
        <w:r>
          <w:rPr>
            <w:rFonts w:ascii="IRNazanin" w:hAnsi="IRNazanin" w:eastAsia="IRNazanin" w:cs="IRNazanin"/>
            <w:color w:val="111111"/>
            <w:sz w:val="22"/>
            <w:szCs w:val="22"/>
            <w:b w:val="0"/>
            <w:bCs w:val="0"/>
            <w:i w:val="0"/>
            <w:iCs w:val="0"/>
          </w:rPr>
          <w:t>حموي، ابراهيم بن محمّد، 644-722؟ه-</w:t>
        </w:r>
        <w:r>
          <w:tab/>
        </w:r>
        <w:r>
          <w:fldChar w:fldCharType="begin"/>
        </w:r>
        <w:r>
          <w:instrText xml:space="preserve">PAGEREF 3023 \h</w:instrText>
        </w:r>
        <w:r>
          <w:fldChar w:fldCharType="end"/>
        </w:r>
      </w:hyperlink>
    </w:p>
    <w:p>
      <w:pPr>
        <w:tabs>
          <w:tab w:val="right" w:leader="dot" w:pos="9062"/>
        </w:tabs>
        <w:ind w:left="220"/>
      </w:pPr>
      <w:hyperlink w:anchor="_Toc3024" w:history="1">
        <w:r>
          <w:rPr>
            <w:rFonts w:ascii="IRNazanin" w:hAnsi="IRNazanin" w:eastAsia="IRNazanin" w:cs="IRNazanin"/>
            <w:color w:val="111111"/>
            <w:sz w:val="22"/>
            <w:szCs w:val="22"/>
            <w:b w:val="0"/>
            <w:bCs w:val="0"/>
            <w:i w:val="0"/>
            <w:iCs w:val="0"/>
          </w:rPr>
          <w:t>حموي، احمد بن محمّد - 1098 ؟ ه-</w:t>
        </w:r>
        <w:r>
          <w:tab/>
        </w:r>
        <w:r>
          <w:fldChar w:fldCharType="begin"/>
        </w:r>
        <w:r>
          <w:instrText xml:space="preserve">PAGEREF 3024 \h</w:instrText>
        </w:r>
        <w:r>
          <w:fldChar w:fldCharType="end"/>
        </w:r>
      </w:hyperlink>
    </w:p>
    <w:p>
      <w:pPr>
        <w:tabs>
          <w:tab w:val="right" w:leader="dot" w:pos="9062"/>
        </w:tabs>
        <w:ind w:left="220"/>
      </w:pPr>
      <w:hyperlink w:anchor="_Toc3025" w:history="1">
        <w:r>
          <w:rPr>
            <w:rFonts w:ascii="IRNazanin" w:hAnsi="IRNazanin" w:eastAsia="IRNazanin" w:cs="IRNazanin"/>
            <w:color w:val="111111"/>
            <w:sz w:val="22"/>
            <w:szCs w:val="22"/>
            <w:b w:val="0"/>
            <w:bCs w:val="0"/>
            <w:i w:val="0"/>
            <w:iCs w:val="0"/>
          </w:rPr>
          <w:t>حموي ، احمد بن وهبان - 585 ه-</w:t>
        </w:r>
        <w:r>
          <w:tab/>
        </w:r>
        <w:r>
          <w:fldChar w:fldCharType="begin"/>
        </w:r>
        <w:r>
          <w:instrText xml:space="preserve">PAGEREF 3025 \h</w:instrText>
        </w:r>
        <w:r>
          <w:fldChar w:fldCharType="end"/>
        </w:r>
      </w:hyperlink>
    </w:p>
    <w:p>
      <w:pPr>
        <w:tabs>
          <w:tab w:val="right" w:leader="dot" w:pos="9062"/>
        </w:tabs>
        <w:ind w:left="220"/>
      </w:pPr>
      <w:hyperlink w:anchor="_Toc3026" w:history="1">
        <w:r>
          <w:rPr>
            <w:rFonts w:ascii="IRNazanin" w:hAnsi="IRNazanin" w:eastAsia="IRNazanin" w:cs="IRNazanin"/>
            <w:color w:val="111111"/>
            <w:sz w:val="22"/>
            <w:szCs w:val="22"/>
            <w:b w:val="0"/>
            <w:bCs w:val="0"/>
            <w:i w:val="0"/>
            <w:iCs w:val="0"/>
          </w:rPr>
          <w:t>حموي حنفي، علي بن عثمان قرن 11 ه-</w:t>
        </w:r>
        <w:r>
          <w:tab/>
        </w:r>
        <w:r>
          <w:fldChar w:fldCharType="begin"/>
        </w:r>
        <w:r>
          <w:instrText xml:space="preserve">PAGEREF 3026 \h</w:instrText>
        </w:r>
        <w:r>
          <w:fldChar w:fldCharType="end"/>
        </w:r>
      </w:hyperlink>
    </w:p>
    <w:p>
      <w:pPr>
        <w:tabs>
          <w:tab w:val="right" w:leader="dot" w:pos="9062"/>
        </w:tabs>
        <w:ind w:left="220"/>
      </w:pPr>
      <w:hyperlink w:anchor="_Toc3027" w:history="1">
        <w:r>
          <w:rPr>
            <w:rFonts w:ascii="IRNazanin" w:hAnsi="IRNazanin" w:eastAsia="IRNazanin" w:cs="IRNazanin"/>
            <w:color w:val="111111"/>
            <w:sz w:val="22"/>
            <w:szCs w:val="22"/>
            <w:b w:val="0"/>
            <w:bCs w:val="0"/>
            <w:i w:val="0"/>
            <w:iCs w:val="0"/>
          </w:rPr>
          <w:t>حموي، عثمان بن يوسف - 868 ه-</w:t>
        </w:r>
        <w:r>
          <w:tab/>
        </w:r>
        <w:r>
          <w:fldChar w:fldCharType="begin"/>
        </w:r>
        <w:r>
          <w:instrText xml:space="preserve">PAGEREF 3027 \h</w:instrText>
        </w:r>
        <w:r>
          <w:fldChar w:fldCharType="end"/>
        </w:r>
      </w:hyperlink>
    </w:p>
    <w:p>
      <w:pPr>
        <w:tabs>
          <w:tab w:val="right" w:leader="dot" w:pos="9062"/>
        </w:tabs>
        <w:ind w:left="220"/>
      </w:pPr>
      <w:hyperlink w:anchor="_Toc3028" w:history="1">
        <w:r>
          <w:rPr>
            <w:rFonts w:ascii="IRNazanin" w:hAnsi="IRNazanin" w:eastAsia="IRNazanin" w:cs="IRNazanin"/>
            <w:color w:val="111111"/>
            <w:sz w:val="22"/>
            <w:szCs w:val="22"/>
            <w:b w:val="0"/>
            <w:bCs w:val="0"/>
            <w:i w:val="0"/>
            <w:iCs w:val="0"/>
          </w:rPr>
          <w:t>حموي ، علوان بن علي - 936 ه-</w:t>
        </w:r>
        <w:r>
          <w:tab/>
        </w:r>
        <w:r>
          <w:fldChar w:fldCharType="begin"/>
        </w:r>
        <w:r>
          <w:instrText xml:space="preserve">PAGEREF 3028 \h</w:instrText>
        </w:r>
        <w:r>
          <w:fldChar w:fldCharType="end"/>
        </w:r>
      </w:hyperlink>
    </w:p>
    <w:p>
      <w:pPr>
        <w:tabs>
          <w:tab w:val="right" w:leader="dot" w:pos="9062"/>
        </w:tabs>
        <w:ind w:left="220"/>
      </w:pPr>
      <w:hyperlink w:anchor="_Toc3029" w:history="1">
        <w:r>
          <w:rPr>
            <w:rFonts w:ascii="IRNazanin" w:hAnsi="IRNazanin" w:eastAsia="IRNazanin" w:cs="IRNazanin"/>
            <w:color w:val="111111"/>
            <w:sz w:val="22"/>
            <w:szCs w:val="22"/>
            <w:b w:val="0"/>
            <w:bCs w:val="0"/>
            <w:i w:val="0"/>
            <w:iCs w:val="0"/>
          </w:rPr>
          <w:t>حموي، علي بن احمد، 888 - 955 ه-</w:t>
        </w:r>
        <w:r>
          <w:tab/>
        </w:r>
        <w:r>
          <w:fldChar w:fldCharType="begin"/>
        </w:r>
        <w:r>
          <w:instrText xml:space="preserve">PAGEREF 3029 \h</w:instrText>
        </w:r>
        <w:r>
          <w:fldChar w:fldCharType="end"/>
        </w:r>
      </w:hyperlink>
    </w:p>
    <w:p>
      <w:pPr>
        <w:tabs>
          <w:tab w:val="right" w:leader="dot" w:pos="9062"/>
        </w:tabs>
        <w:ind w:left="220"/>
      </w:pPr>
      <w:hyperlink w:anchor="_Toc3030" w:history="1">
        <w:r>
          <w:rPr>
            <w:rFonts w:ascii="IRNazanin" w:hAnsi="IRNazanin" w:eastAsia="IRNazanin" w:cs="IRNazanin"/>
            <w:color w:val="111111"/>
            <w:sz w:val="22"/>
            <w:szCs w:val="22"/>
            <w:b w:val="0"/>
            <w:bCs w:val="0"/>
            <w:i w:val="0"/>
            <w:iCs w:val="0"/>
          </w:rPr>
          <w:t>حموي، عمر بن ابي احمد</w:t>
        </w:r>
        <w:r>
          <w:tab/>
        </w:r>
        <w:r>
          <w:fldChar w:fldCharType="begin"/>
        </w:r>
        <w:r>
          <w:instrText xml:space="preserve">PAGEREF 3030 \h</w:instrText>
        </w:r>
        <w:r>
          <w:fldChar w:fldCharType="end"/>
        </w:r>
      </w:hyperlink>
    </w:p>
    <w:p>
      <w:pPr>
        <w:tabs>
          <w:tab w:val="right" w:leader="dot" w:pos="9062"/>
        </w:tabs>
        <w:ind w:left="220"/>
      </w:pPr>
      <w:hyperlink w:anchor="_Toc3031" w:history="1">
        <w:r>
          <w:rPr>
            <w:rFonts w:ascii="IRNazanin" w:hAnsi="IRNazanin" w:eastAsia="IRNazanin" w:cs="IRNazanin"/>
            <w:color w:val="111111"/>
            <w:sz w:val="22"/>
            <w:szCs w:val="22"/>
            <w:b w:val="0"/>
            <w:bCs w:val="0"/>
            <w:i w:val="0"/>
            <w:iCs w:val="0"/>
          </w:rPr>
          <w:t>حموي، كامل بن اسحاق قرن 10 ه-</w:t>
        </w:r>
        <w:r>
          <w:tab/>
        </w:r>
        <w:r>
          <w:fldChar w:fldCharType="begin"/>
        </w:r>
        <w:r>
          <w:instrText xml:space="preserve">PAGEREF 3031 \h</w:instrText>
        </w:r>
        <w:r>
          <w:fldChar w:fldCharType="end"/>
        </w:r>
      </w:hyperlink>
    </w:p>
    <w:p>
      <w:pPr>
        <w:tabs>
          <w:tab w:val="right" w:leader="dot" w:pos="9062"/>
        </w:tabs>
        <w:ind w:left="220"/>
      </w:pPr>
      <w:hyperlink w:anchor="_Toc3032" w:history="1">
        <w:r>
          <w:rPr>
            <w:rFonts w:ascii="IRNazanin" w:hAnsi="IRNazanin" w:eastAsia="IRNazanin" w:cs="IRNazanin"/>
            <w:color w:val="111111"/>
            <w:sz w:val="22"/>
            <w:szCs w:val="22"/>
            <w:b w:val="0"/>
            <w:bCs w:val="0"/>
            <w:i w:val="0"/>
            <w:iCs w:val="0"/>
          </w:rPr>
          <w:t>حموي، محمّد بن اسحاق قرن 10 ه-</w:t>
        </w:r>
        <w:r>
          <w:tab/>
        </w:r>
        <w:r>
          <w:fldChar w:fldCharType="begin"/>
        </w:r>
        <w:r>
          <w:instrText xml:space="preserve">PAGEREF 3032 \h</w:instrText>
        </w:r>
        <w:r>
          <w:fldChar w:fldCharType="end"/>
        </w:r>
      </w:hyperlink>
    </w:p>
    <w:p>
      <w:pPr>
        <w:tabs>
          <w:tab w:val="right" w:leader="dot" w:pos="9062"/>
        </w:tabs>
        <w:ind w:left="220"/>
      </w:pPr>
      <w:hyperlink w:anchor="_Toc3033" w:history="1">
        <w:r>
          <w:rPr>
            <w:rFonts w:ascii="IRNazanin" w:hAnsi="IRNazanin" w:eastAsia="IRNazanin" w:cs="IRNazanin"/>
            <w:color w:val="111111"/>
            <w:sz w:val="22"/>
            <w:szCs w:val="22"/>
            <w:b w:val="0"/>
            <w:bCs w:val="0"/>
            <w:i w:val="0"/>
            <w:iCs w:val="0"/>
          </w:rPr>
          <w:t>حموي ، محمّد بن سالم - 697 ه-</w:t>
        </w:r>
        <w:r>
          <w:tab/>
        </w:r>
        <w:r>
          <w:fldChar w:fldCharType="begin"/>
        </w:r>
        <w:r>
          <w:instrText xml:space="preserve">PAGEREF 3033 \h</w:instrText>
        </w:r>
        <w:r>
          <w:fldChar w:fldCharType="end"/>
        </w:r>
      </w:hyperlink>
    </w:p>
    <w:p>
      <w:pPr>
        <w:tabs>
          <w:tab w:val="right" w:leader="dot" w:pos="9062"/>
        </w:tabs>
        <w:ind w:left="220"/>
      </w:pPr>
      <w:hyperlink w:anchor="_Toc3034" w:history="1">
        <w:r>
          <w:rPr>
            <w:rFonts w:ascii="IRNazanin" w:hAnsi="IRNazanin" w:eastAsia="IRNazanin" w:cs="IRNazanin"/>
            <w:color w:val="111111"/>
            <w:sz w:val="22"/>
            <w:szCs w:val="22"/>
            <w:b w:val="0"/>
            <w:bCs w:val="0"/>
            <w:i w:val="0"/>
            <w:iCs w:val="0"/>
          </w:rPr>
          <w:t>حموي، محمّد بن عبد الرحمن -1017 ه-</w:t>
        </w:r>
        <w:r>
          <w:tab/>
        </w:r>
        <w:r>
          <w:fldChar w:fldCharType="begin"/>
        </w:r>
        <w:r>
          <w:instrText xml:space="preserve">PAGEREF 3034 \h</w:instrText>
        </w:r>
        <w:r>
          <w:fldChar w:fldCharType="end"/>
        </w:r>
      </w:hyperlink>
    </w:p>
    <w:p>
      <w:pPr>
        <w:tabs>
          <w:tab w:val="right" w:leader="dot" w:pos="9062"/>
        </w:tabs>
        <w:ind w:left="220"/>
      </w:pPr>
      <w:hyperlink w:anchor="_Toc3035" w:history="1">
        <w:r>
          <w:rPr>
            <w:rFonts w:ascii="IRNazanin" w:hAnsi="IRNazanin" w:eastAsia="IRNazanin" w:cs="IRNazanin"/>
            <w:color w:val="111111"/>
            <w:sz w:val="22"/>
            <w:szCs w:val="22"/>
            <w:b w:val="0"/>
            <w:bCs w:val="0"/>
            <w:i w:val="0"/>
            <w:iCs w:val="0"/>
          </w:rPr>
          <w:t>حموي، مطهر بن اسحاق</w:t>
        </w:r>
        <w:r>
          <w:tab/>
        </w:r>
        <w:r>
          <w:fldChar w:fldCharType="begin"/>
        </w:r>
        <w:r>
          <w:instrText xml:space="preserve">PAGEREF 3035 \h</w:instrText>
        </w:r>
        <w:r>
          <w:fldChar w:fldCharType="end"/>
        </w:r>
      </w:hyperlink>
    </w:p>
    <w:p>
      <w:pPr>
        <w:tabs>
          <w:tab w:val="right" w:leader="dot" w:pos="9062"/>
        </w:tabs>
        <w:ind w:left="220"/>
      </w:pPr>
      <w:hyperlink w:anchor="_Toc3036" w:history="1">
        <w:r>
          <w:rPr>
            <w:rFonts w:ascii="IRNazanin" w:hAnsi="IRNazanin" w:eastAsia="IRNazanin" w:cs="IRNazanin"/>
            <w:color w:val="111111"/>
            <w:sz w:val="22"/>
            <w:szCs w:val="22"/>
            <w:b w:val="0"/>
            <w:bCs w:val="0"/>
            <w:i w:val="0"/>
            <w:iCs w:val="0"/>
          </w:rPr>
          <w:t>حموي ، وفاء بن معروف</w:t>
        </w:r>
        <w:r>
          <w:tab/>
        </w:r>
        <w:r>
          <w:fldChar w:fldCharType="begin"/>
        </w:r>
        <w:r>
          <w:instrText xml:space="preserve">PAGEREF 3036 \h</w:instrText>
        </w:r>
        <w:r>
          <w:fldChar w:fldCharType="end"/>
        </w:r>
      </w:hyperlink>
    </w:p>
    <w:p>
      <w:pPr>
        <w:tabs>
          <w:tab w:val="right" w:leader="dot" w:pos="9062"/>
        </w:tabs>
        <w:ind w:left="220"/>
      </w:pPr>
      <w:hyperlink w:anchor="_Toc3037" w:history="1">
        <w:r>
          <w:rPr>
            <w:rFonts w:ascii="IRNazanin" w:hAnsi="IRNazanin" w:eastAsia="IRNazanin" w:cs="IRNazanin"/>
            <w:color w:val="111111"/>
            <w:sz w:val="22"/>
            <w:szCs w:val="22"/>
            <w:b w:val="0"/>
            <w:bCs w:val="0"/>
            <w:i w:val="0"/>
            <w:iCs w:val="0"/>
          </w:rPr>
          <w:t>حموي، يوسف بن عبد اللطيف -719 ه-</w:t>
        </w:r>
        <w:r>
          <w:tab/>
        </w:r>
        <w:r>
          <w:fldChar w:fldCharType="begin"/>
        </w:r>
        <w:r>
          <w:instrText xml:space="preserve">PAGEREF 3037 \h</w:instrText>
        </w:r>
        <w:r>
          <w:fldChar w:fldCharType="end"/>
        </w:r>
      </w:hyperlink>
    </w:p>
    <w:p>
      <w:pPr>
        <w:tabs>
          <w:tab w:val="right" w:leader="dot" w:pos="9062"/>
        </w:tabs>
        <w:ind w:left="220"/>
      </w:pPr>
      <w:hyperlink w:anchor="_Toc3038" w:history="1">
        <w:r>
          <w:rPr>
            <w:rFonts w:ascii="IRNazanin" w:hAnsi="IRNazanin" w:eastAsia="IRNazanin" w:cs="IRNazanin"/>
            <w:color w:val="111111"/>
            <w:sz w:val="22"/>
            <w:szCs w:val="22"/>
            <w:b w:val="0"/>
            <w:bCs w:val="0"/>
            <w:i w:val="0"/>
            <w:iCs w:val="0"/>
          </w:rPr>
          <w:t>حميدالدين بلخي ، عمر بن محمود -</w:t>
        </w:r>
        <w:r>
          <w:tab/>
        </w:r>
        <w:r>
          <w:fldChar w:fldCharType="begin"/>
        </w:r>
        <w:r>
          <w:instrText xml:space="preserve">PAGEREF 3038 \h</w:instrText>
        </w:r>
        <w:r>
          <w:fldChar w:fldCharType="end"/>
        </w:r>
      </w:hyperlink>
    </w:p>
    <w:p>
      <w:pPr>
        <w:tabs>
          <w:tab w:val="right" w:leader="dot" w:pos="9062"/>
        </w:tabs>
        <w:ind w:left="220"/>
      </w:pPr>
      <w:hyperlink w:anchor="_Toc3039" w:history="1">
        <w:r>
          <w:rPr>
            <w:rFonts w:ascii="IRNazanin" w:hAnsi="IRNazanin" w:eastAsia="IRNazanin" w:cs="IRNazanin"/>
            <w:color w:val="111111"/>
            <w:sz w:val="22"/>
            <w:szCs w:val="22"/>
            <w:b w:val="0"/>
            <w:bCs w:val="0"/>
            <w:i w:val="0"/>
            <w:iCs w:val="0"/>
          </w:rPr>
          <w:t>حميدي ، احمد</w:t>
        </w:r>
        <w:r>
          <w:tab/>
        </w:r>
        <w:r>
          <w:fldChar w:fldCharType="begin"/>
        </w:r>
        <w:r>
          <w:instrText xml:space="preserve">PAGEREF 3039 \h</w:instrText>
        </w:r>
        <w:r>
          <w:fldChar w:fldCharType="end"/>
        </w:r>
      </w:hyperlink>
    </w:p>
    <w:p>
      <w:pPr>
        <w:tabs>
          <w:tab w:val="right" w:leader="dot" w:pos="9062"/>
        </w:tabs>
        <w:ind w:left="220"/>
      </w:pPr>
      <w:hyperlink w:anchor="_Toc3040" w:history="1">
        <w:r>
          <w:rPr>
            <w:rFonts w:ascii="IRNazanin" w:hAnsi="IRNazanin" w:eastAsia="IRNazanin" w:cs="IRNazanin"/>
            <w:color w:val="111111"/>
            <w:sz w:val="22"/>
            <w:szCs w:val="22"/>
            <w:b w:val="0"/>
            <w:bCs w:val="0"/>
            <w:i w:val="0"/>
            <w:iCs w:val="0"/>
          </w:rPr>
          <w:t>حميدي زولي عبدالله بن محمّد قرن 8 ه-</w:t>
        </w:r>
        <w:r>
          <w:tab/>
        </w:r>
        <w:r>
          <w:fldChar w:fldCharType="begin"/>
        </w:r>
        <w:r>
          <w:instrText xml:space="preserve">PAGEREF 3040 \h</w:instrText>
        </w:r>
        <w:r>
          <w:fldChar w:fldCharType="end"/>
        </w:r>
      </w:hyperlink>
    </w:p>
    <w:p>
      <w:pPr>
        <w:tabs>
          <w:tab w:val="right" w:leader="dot" w:pos="9062"/>
        </w:tabs>
        <w:ind w:left="220"/>
      </w:pPr>
      <w:hyperlink w:anchor="_Toc3041" w:history="1">
        <w:r>
          <w:rPr>
            <w:rFonts w:ascii="IRNazanin" w:hAnsi="IRNazanin" w:eastAsia="IRNazanin" w:cs="IRNazanin"/>
            <w:color w:val="111111"/>
            <w:sz w:val="22"/>
            <w:szCs w:val="22"/>
            <w:b w:val="0"/>
            <w:bCs w:val="0"/>
            <w:i w:val="0"/>
            <w:iCs w:val="0"/>
          </w:rPr>
          <w:t>حميدي عبد الرحمن بن احمد - 1005ه-</w:t>
        </w:r>
        <w:r>
          <w:tab/>
        </w:r>
        <w:r>
          <w:fldChar w:fldCharType="begin"/>
        </w:r>
        <w:r>
          <w:instrText xml:space="preserve">PAGEREF 3041 \h</w:instrText>
        </w:r>
        <w:r>
          <w:fldChar w:fldCharType="end"/>
        </w:r>
      </w:hyperlink>
    </w:p>
    <w:p>
      <w:pPr>
        <w:tabs>
          <w:tab w:val="right" w:leader="dot" w:pos="9062"/>
        </w:tabs>
        <w:ind w:left="220"/>
      </w:pPr>
      <w:hyperlink w:anchor="_Toc3042" w:history="1">
        <w:r>
          <w:rPr>
            <w:rFonts w:ascii="IRNazanin" w:hAnsi="IRNazanin" w:eastAsia="IRNazanin" w:cs="IRNazanin"/>
            <w:color w:val="111111"/>
            <w:sz w:val="22"/>
            <w:szCs w:val="22"/>
            <w:b w:val="0"/>
            <w:bCs w:val="0"/>
            <w:i w:val="0"/>
            <w:iCs w:val="0"/>
          </w:rPr>
          <w:t>حميدي ، قرق امير - 860؟ ه-</w:t>
        </w:r>
        <w:r>
          <w:tab/>
        </w:r>
        <w:r>
          <w:fldChar w:fldCharType="begin"/>
        </w:r>
        <w:r>
          <w:instrText xml:space="preserve">PAGEREF 3042 \h</w:instrText>
        </w:r>
        <w:r>
          <w:fldChar w:fldCharType="end"/>
        </w:r>
      </w:hyperlink>
    </w:p>
    <w:p>
      <w:pPr>
        <w:tabs>
          <w:tab w:val="right" w:leader="dot" w:pos="9062"/>
        </w:tabs>
        <w:ind w:left="220"/>
      </w:pPr>
      <w:hyperlink w:anchor="_Toc3043" w:history="1">
        <w:r>
          <w:rPr>
            <w:rFonts w:ascii="IRNazanin" w:hAnsi="IRNazanin" w:eastAsia="IRNazanin" w:cs="IRNazanin"/>
            <w:color w:val="111111"/>
            <w:sz w:val="22"/>
            <w:szCs w:val="22"/>
            <w:b w:val="0"/>
            <w:bCs w:val="0"/>
            <w:i w:val="0"/>
            <w:iCs w:val="0"/>
          </w:rPr>
          <w:t>حميدي ، قره حسن</w:t>
        </w:r>
        <w:r>
          <w:tab/>
        </w:r>
        <w:r>
          <w:fldChar w:fldCharType="begin"/>
        </w:r>
        <w:r>
          <w:instrText xml:space="preserve">PAGEREF 3043 \h</w:instrText>
        </w:r>
        <w:r>
          <w:fldChar w:fldCharType="end"/>
        </w:r>
      </w:hyperlink>
    </w:p>
    <w:p>
      <w:pPr>
        <w:tabs>
          <w:tab w:val="right" w:leader="dot" w:pos="9062"/>
        </w:tabs>
        <w:ind w:left="220"/>
      </w:pPr>
      <w:hyperlink w:anchor="_Toc3044" w:history="1">
        <w:r>
          <w:rPr>
            <w:rFonts w:ascii="IRNazanin" w:hAnsi="IRNazanin" w:eastAsia="IRNazanin" w:cs="IRNazanin"/>
            <w:color w:val="111111"/>
            <w:sz w:val="22"/>
            <w:szCs w:val="22"/>
            <w:b w:val="0"/>
            <w:bCs w:val="0"/>
            <w:i w:val="0"/>
            <w:iCs w:val="0"/>
          </w:rPr>
          <w:t>حميدي ، محمّد بن علي - 1170 ه-</w:t>
        </w:r>
        <w:r>
          <w:tab/>
        </w:r>
        <w:r>
          <w:fldChar w:fldCharType="begin"/>
        </w:r>
        <w:r>
          <w:instrText xml:space="preserve">PAGEREF 3044 \h</w:instrText>
        </w:r>
        <w:r>
          <w:fldChar w:fldCharType="end"/>
        </w:r>
      </w:hyperlink>
    </w:p>
    <w:p>
      <w:pPr>
        <w:tabs>
          <w:tab w:val="right" w:leader="dot" w:pos="9062"/>
        </w:tabs>
        <w:ind w:left="220"/>
      </w:pPr>
      <w:hyperlink w:anchor="_Toc3045" w:history="1">
        <w:r>
          <w:rPr>
            <w:rFonts w:ascii="IRNazanin" w:hAnsi="IRNazanin" w:eastAsia="IRNazanin" w:cs="IRNazanin"/>
            <w:color w:val="111111"/>
            <w:sz w:val="22"/>
            <w:szCs w:val="22"/>
            <w:b w:val="0"/>
            <w:bCs w:val="0"/>
            <w:i w:val="0"/>
            <w:iCs w:val="0"/>
          </w:rPr>
          <w:t>حميدي ، محمّد بن فتوح، 420 - 488 ه-</w:t>
        </w:r>
        <w:r>
          <w:tab/>
        </w:r>
        <w:r>
          <w:fldChar w:fldCharType="begin"/>
        </w:r>
        <w:r>
          <w:instrText xml:space="preserve">PAGEREF 3045 \h</w:instrText>
        </w:r>
        <w:r>
          <w:fldChar w:fldCharType="end"/>
        </w:r>
      </w:hyperlink>
    </w:p>
    <w:p>
      <w:pPr>
        <w:tabs>
          <w:tab w:val="right" w:leader="dot" w:pos="9062"/>
        </w:tabs>
        <w:ind w:left="220"/>
      </w:pPr>
      <w:hyperlink w:anchor="_Toc3046" w:history="1">
        <w:r>
          <w:rPr>
            <w:rFonts w:ascii="IRNazanin" w:hAnsi="IRNazanin" w:eastAsia="IRNazanin" w:cs="IRNazanin"/>
            <w:color w:val="111111"/>
            <w:sz w:val="22"/>
            <w:szCs w:val="22"/>
            <w:b w:val="0"/>
            <w:bCs w:val="0"/>
            <w:i w:val="0"/>
            <w:iCs w:val="0"/>
          </w:rPr>
          <w:t>حميدي ، محمّد بن نبي قرن 10 ه-</w:t>
        </w:r>
        <w:r>
          <w:tab/>
        </w:r>
        <w:r>
          <w:fldChar w:fldCharType="begin"/>
        </w:r>
        <w:r>
          <w:instrText xml:space="preserve">PAGEREF 3046 \h</w:instrText>
        </w:r>
        <w:r>
          <w:fldChar w:fldCharType="end"/>
        </w:r>
      </w:hyperlink>
    </w:p>
    <w:p>
      <w:pPr>
        <w:tabs>
          <w:tab w:val="right" w:leader="dot" w:pos="9062"/>
        </w:tabs>
        <w:ind w:left="220"/>
      </w:pPr>
      <w:hyperlink w:anchor="_Toc3047" w:history="1">
        <w:r>
          <w:rPr>
            <w:rFonts w:ascii="IRNazanin" w:hAnsi="IRNazanin" w:eastAsia="IRNazanin" w:cs="IRNazanin"/>
            <w:color w:val="111111"/>
            <w:sz w:val="22"/>
            <w:szCs w:val="22"/>
            <w:b w:val="0"/>
            <w:bCs w:val="0"/>
            <w:i w:val="0"/>
            <w:iCs w:val="0"/>
          </w:rPr>
          <w:t>حميري ، سليمان بن عبدالله - 1209 ه-</w:t>
        </w:r>
        <w:r>
          <w:tab/>
        </w:r>
        <w:r>
          <w:fldChar w:fldCharType="begin"/>
        </w:r>
        <w:r>
          <w:instrText xml:space="preserve">PAGEREF 3047 \h</w:instrText>
        </w:r>
        <w:r>
          <w:fldChar w:fldCharType="end"/>
        </w:r>
      </w:hyperlink>
    </w:p>
    <w:p>
      <w:pPr>
        <w:tabs>
          <w:tab w:val="right" w:leader="dot" w:pos="9062"/>
        </w:tabs>
        <w:ind w:left="220"/>
      </w:pPr>
      <w:hyperlink w:anchor="_Toc3048" w:history="1">
        <w:r>
          <w:rPr>
            <w:rFonts w:ascii="IRNazanin" w:hAnsi="IRNazanin" w:eastAsia="IRNazanin" w:cs="IRNazanin"/>
            <w:color w:val="111111"/>
            <w:sz w:val="22"/>
            <w:szCs w:val="22"/>
            <w:b w:val="0"/>
            <w:bCs w:val="0"/>
            <w:i w:val="0"/>
            <w:iCs w:val="0"/>
          </w:rPr>
          <w:t>حميري، عبدالله بن جعفر - 310 ؟ ه-</w:t>
        </w:r>
        <w:r>
          <w:tab/>
        </w:r>
        <w:r>
          <w:fldChar w:fldCharType="begin"/>
        </w:r>
        <w:r>
          <w:instrText xml:space="preserve">PAGEREF 3048 \h</w:instrText>
        </w:r>
        <w:r>
          <w:fldChar w:fldCharType="end"/>
        </w:r>
      </w:hyperlink>
    </w:p>
    <w:p>
      <w:pPr>
        <w:tabs>
          <w:tab w:val="right" w:leader="dot" w:pos="9062"/>
        </w:tabs>
        <w:ind w:left="220"/>
      </w:pPr>
      <w:hyperlink w:anchor="_Toc3049" w:history="1">
        <w:r>
          <w:rPr>
            <w:rFonts w:ascii="IRNazanin" w:hAnsi="IRNazanin" w:eastAsia="IRNazanin" w:cs="IRNazanin"/>
            <w:color w:val="111111"/>
            <w:sz w:val="22"/>
            <w:szCs w:val="22"/>
            <w:b w:val="0"/>
            <w:bCs w:val="0"/>
            <w:i w:val="0"/>
            <w:iCs w:val="0"/>
          </w:rPr>
          <w:t>حميري ، كعب بن ماتع - 32 ه-</w:t>
        </w:r>
        <w:r>
          <w:tab/>
        </w:r>
        <w:r>
          <w:fldChar w:fldCharType="begin"/>
        </w:r>
        <w:r>
          <w:instrText xml:space="preserve">PAGEREF 3049 \h</w:instrText>
        </w:r>
        <w:r>
          <w:fldChar w:fldCharType="end"/>
        </w:r>
      </w:hyperlink>
    </w:p>
    <w:p>
      <w:pPr>
        <w:tabs>
          <w:tab w:val="right" w:leader="dot" w:pos="9062"/>
        </w:tabs>
        <w:ind w:left="220"/>
      </w:pPr>
      <w:hyperlink w:anchor="_Toc3050" w:history="1">
        <w:r>
          <w:rPr>
            <w:rFonts w:ascii="IRNazanin" w:hAnsi="IRNazanin" w:eastAsia="IRNazanin" w:cs="IRNazanin"/>
            <w:color w:val="111111"/>
            <w:sz w:val="22"/>
            <w:szCs w:val="22"/>
            <w:b w:val="0"/>
            <w:bCs w:val="0"/>
            <w:i w:val="0"/>
            <w:iCs w:val="0"/>
          </w:rPr>
          <w:t>حميري ، محمّد بن أبي القاسم - 988 ه-</w:t>
        </w:r>
        <w:r>
          <w:tab/>
        </w:r>
        <w:r>
          <w:fldChar w:fldCharType="begin"/>
        </w:r>
        <w:r>
          <w:instrText xml:space="preserve">PAGEREF 3050 \h</w:instrText>
        </w:r>
        <w:r>
          <w:fldChar w:fldCharType="end"/>
        </w:r>
      </w:hyperlink>
    </w:p>
    <w:p>
      <w:pPr>
        <w:tabs>
          <w:tab w:val="right" w:leader="dot" w:pos="9062"/>
        </w:tabs>
        <w:ind w:left="220"/>
      </w:pPr>
      <w:hyperlink w:anchor="_Toc3051" w:history="1">
        <w:r>
          <w:rPr>
            <w:rFonts w:ascii="IRNazanin" w:hAnsi="IRNazanin" w:eastAsia="IRNazanin" w:cs="IRNazanin"/>
            <w:color w:val="111111"/>
            <w:sz w:val="22"/>
            <w:szCs w:val="22"/>
            <w:b w:val="0"/>
            <w:bCs w:val="0"/>
            <w:i w:val="0"/>
            <w:iCs w:val="0"/>
          </w:rPr>
          <w:t>حميري نجفي، محمّد بن فرج -1059ه-</w:t>
        </w:r>
        <w:r>
          <w:tab/>
        </w:r>
        <w:r>
          <w:fldChar w:fldCharType="begin"/>
        </w:r>
        <w:r>
          <w:instrText xml:space="preserve">PAGEREF 3051 \h</w:instrText>
        </w:r>
        <w:r>
          <w:fldChar w:fldCharType="end"/>
        </w:r>
      </w:hyperlink>
    </w:p>
    <w:p>
      <w:pPr>
        <w:tabs>
          <w:tab w:val="right" w:leader="dot" w:pos="9062"/>
        </w:tabs>
        <w:ind w:left="220"/>
      </w:pPr>
      <w:hyperlink w:anchor="_Toc3052" w:history="1">
        <w:r>
          <w:rPr>
            <w:rFonts w:ascii="IRNazanin" w:hAnsi="IRNazanin" w:eastAsia="IRNazanin" w:cs="IRNazanin"/>
            <w:color w:val="111111"/>
            <w:sz w:val="22"/>
            <w:szCs w:val="22"/>
            <w:b w:val="0"/>
            <w:bCs w:val="0"/>
            <w:i w:val="0"/>
            <w:iCs w:val="0"/>
          </w:rPr>
          <w:t>حميري ، نشوان بن سعيد قرن 6 ه-</w:t>
        </w:r>
        <w:r>
          <w:tab/>
        </w:r>
        <w:r>
          <w:fldChar w:fldCharType="begin"/>
        </w:r>
        <w:r>
          <w:instrText xml:space="preserve">PAGEREF 3052 \h</w:instrText>
        </w:r>
        <w:r>
          <w:fldChar w:fldCharType="end"/>
        </w:r>
      </w:hyperlink>
    </w:p>
    <w:p>
      <w:pPr>
        <w:tabs>
          <w:tab w:val="right" w:leader="dot" w:pos="9062"/>
        </w:tabs>
        <w:ind w:left="220"/>
      </w:pPr>
      <w:hyperlink w:anchor="_Toc3053" w:history="1">
        <w:r>
          <w:rPr>
            <w:rFonts w:ascii="IRNazanin" w:hAnsi="IRNazanin" w:eastAsia="IRNazanin" w:cs="IRNazanin"/>
            <w:color w:val="111111"/>
            <w:sz w:val="22"/>
            <w:szCs w:val="22"/>
            <w:b w:val="0"/>
            <w:bCs w:val="0"/>
            <w:i w:val="0"/>
            <w:iCs w:val="0"/>
          </w:rPr>
          <w:t>حنائي، سليمان، قرن 13 ه-</w:t>
        </w:r>
        <w:r>
          <w:tab/>
        </w:r>
        <w:r>
          <w:fldChar w:fldCharType="begin"/>
        </w:r>
        <w:r>
          <w:instrText xml:space="preserve">PAGEREF 3053 \h</w:instrText>
        </w:r>
        <w:r>
          <w:fldChar w:fldCharType="end"/>
        </w:r>
      </w:hyperlink>
    </w:p>
    <w:p>
      <w:pPr>
        <w:tabs>
          <w:tab w:val="right" w:leader="dot" w:pos="9062"/>
        </w:tabs>
        <w:ind w:left="220"/>
      </w:pPr>
      <w:hyperlink w:anchor="_Toc3054" w:history="1">
        <w:r>
          <w:rPr>
            <w:rFonts w:ascii="IRNazanin" w:hAnsi="IRNazanin" w:eastAsia="IRNazanin" w:cs="IRNazanin"/>
            <w:color w:val="111111"/>
            <w:sz w:val="22"/>
            <w:szCs w:val="22"/>
            <w:b w:val="0"/>
            <w:bCs w:val="0"/>
            <w:i w:val="0"/>
            <w:iCs w:val="0"/>
          </w:rPr>
          <w:t>حنائي ، يوسف بن قاسم</w:t>
        </w:r>
        <w:r>
          <w:tab/>
        </w:r>
        <w:r>
          <w:fldChar w:fldCharType="begin"/>
        </w:r>
        <w:r>
          <w:instrText xml:space="preserve">PAGEREF 3054 \h</w:instrText>
        </w:r>
        <w:r>
          <w:fldChar w:fldCharType="end"/>
        </w:r>
      </w:hyperlink>
    </w:p>
    <w:p>
      <w:pPr>
        <w:tabs>
          <w:tab w:val="right" w:leader="dot" w:pos="9062"/>
        </w:tabs>
        <w:ind w:left="220"/>
      </w:pPr>
      <w:hyperlink w:anchor="_Toc3055" w:history="1">
        <w:r>
          <w:rPr>
            <w:rFonts w:ascii="IRNazanin" w:hAnsi="IRNazanin" w:eastAsia="IRNazanin" w:cs="IRNazanin"/>
            <w:color w:val="111111"/>
            <w:sz w:val="22"/>
            <w:szCs w:val="22"/>
            <w:b w:val="0"/>
            <w:bCs w:val="0"/>
            <w:i w:val="0"/>
            <w:iCs w:val="0"/>
          </w:rPr>
          <w:t>حنا الكرملتاني الحافي</w:t>
        </w:r>
        <w:r>
          <w:tab/>
        </w:r>
        <w:r>
          <w:fldChar w:fldCharType="begin"/>
        </w:r>
        <w:r>
          <w:instrText xml:space="preserve">PAGEREF 3055 \h</w:instrText>
        </w:r>
        <w:r>
          <w:fldChar w:fldCharType="end"/>
        </w:r>
      </w:hyperlink>
    </w:p>
    <w:p>
      <w:pPr>
        <w:tabs>
          <w:tab w:val="right" w:leader="dot" w:pos="9062"/>
        </w:tabs>
        <w:ind w:left="220"/>
      </w:pPr>
      <w:hyperlink w:anchor="_Toc3056" w:history="1">
        <w:r>
          <w:rPr>
            <w:rFonts w:ascii="IRNazanin" w:hAnsi="IRNazanin" w:eastAsia="IRNazanin" w:cs="IRNazanin"/>
            <w:color w:val="111111"/>
            <w:sz w:val="22"/>
            <w:szCs w:val="22"/>
            <w:b w:val="0"/>
            <w:bCs w:val="0"/>
            <w:i w:val="0"/>
            <w:iCs w:val="0"/>
          </w:rPr>
          <w:t>حناط كوفي ، عاصم بن حميد قرن 2 ه-</w:t>
        </w:r>
        <w:r>
          <w:tab/>
        </w:r>
        <w:r>
          <w:fldChar w:fldCharType="begin"/>
        </w:r>
        <w:r>
          <w:instrText xml:space="preserve">PAGEREF 3056 \h</w:instrText>
        </w:r>
        <w:r>
          <w:fldChar w:fldCharType="end"/>
        </w:r>
      </w:hyperlink>
    </w:p>
    <w:p>
      <w:pPr>
        <w:tabs>
          <w:tab w:val="right" w:leader="dot" w:pos="9062"/>
        </w:tabs>
        <w:ind w:left="220"/>
      </w:pPr>
      <w:hyperlink w:anchor="_Toc3057" w:history="1">
        <w:r>
          <w:rPr>
            <w:rFonts w:ascii="IRNazanin" w:hAnsi="IRNazanin" w:eastAsia="IRNazanin" w:cs="IRNazanin"/>
            <w:color w:val="111111"/>
            <w:sz w:val="22"/>
            <w:szCs w:val="22"/>
            <w:b w:val="0"/>
            <w:bCs w:val="0"/>
            <w:i w:val="0"/>
            <w:iCs w:val="0"/>
          </w:rPr>
          <w:t>حناط كوفي ، مثنى بن ولید قرن 2 ه-</w:t>
        </w:r>
        <w:r>
          <w:tab/>
        </w:r>
        <w:r>
          <w:fldChar w:fldCharType="begin"/>
        </w:r>
        <w:r>
          <w:instrText xml:space="preserve">PAGEREF 3057 \h</w:instrText>
        </w:r>
        <w:r>
          <w:fldChar w:fldCharType="end"/>
        </w:r>
      </w:hyperlink>
    </w:p>
    <w:p>
      <w:pPr>
        <w:tabs>
          <w:tab w:val="right" w:leader="dot" w:pos="9062"/>
        </w:tabs>
        <w:ind w:left="220"/>
      </w:pPr>
      <w:hyperlink w:anchor="_Toc3058" w:history="1">
        <w:r>
          <w:rPr>
            <w:rFonts w:ascii="IRNazanin" w:hAnsi="IRNazanin" w:eastAsia="IRNazanin" w:cs="IRNazanin"/>
            <w:color w:val="111111"/>
            <w:sz w:val="22"/>
            <w:szCs w:val="22"/>
            <w:b w:val="0"/>
            <w:bCs w:val="0"/>
            <w:i w:val="0"/>
            <w:iCs w:val="0"/>
          </w:rPr>
          <w:t>حنبلي ، ابو عبدالله</w:t>
        </w:r>
        <w:r>
          <w:tab/>
        </w:r>
        <w:r>
          <w:fldChar w:fldCharType="begin"/>
        </w:r>
        <w:r>
          <w:instrText xml:space="preserve">PAGEREF 3058 \h</w:instrText>
        </w:r>
        <w:r>
          <w:fldChar w:fldCharType="end"/>
        </w:r>
      </w:hyperlink>
    </w:p>
    <w:p>
      <w:pPr>
        <w:tabs>
          <w:tab w:val="right" w:leader="dot" w:pos="9062"/>
        </w:tabs>
        <w:ind w:left="220"/>
      </w:pPr>
      <w:hyperlink w:anchor="_Toc3059" w:history="1">
        <w:r>
          <w:rPr>
            <w:rFonts w:ascii="IRNazanin" w:hAnsi="IRNazanin" w:eastAsia="IRNazanin" w:cs="IRNazanin"/>
            <w:color w:val="111111"/>
            <w:sz w:val="22"/>
            <w:szCs w:val="22"/>
            <w:b w:val="0"/>
            <w:bCs w:val="0"/>
            <w:i w:val="0"/>
            <w:iCs w:val="0"/>
          </w:rPr>
          <w:t>حنبلي ، راشد بن علي</w:t>
        </w:r>
        <w:r>
          <w:tab/>
        </w:r>
        <w:r>
          <w:fldChar w:fldCharType="begin"/>
        </w:r>
        <w:r>
          <w:instrText xml:space="preserve">PAGEREF 3059 \h</w:instrText>
        </w:r>
        <w:r>
          <w:fldChar w:fldCharType="end"/>
        </w:r>
      </w:hyperlink>
    </w:p>
    <w:p>
      <w:pPr>
        <w:tabs>
          <w:tab w:val="right" w:leader="dot" w:pos="9062"/>
        </w:tabs>
        <w:ind w:left="220"/>
      </w:pPr>
      <w:hyperlink w:anchor="_Toc3060" w:history="1">
        <w:r>
          <w:rPr>
            <w:rFonts w:ascii="IRNazanin" w:hAnsi="IRNazanin" w:eastAsia="IRNazanin" w:cs="IRNazanin"/>
            <w:color w:val="111111"/>
            <w:sz w:val="22"/>
            <w:szCs w:val="22"/>
            <w:b w:val="0"/>
            <w:bCs w:val="0"/>
            <w:i w:val="0"/>
            <w:iCs w:val="0"/>
          </w:rPr>
          <w:t>حنبلي، عبد الرحمن قرن 12 ه-</w:t>
        </w:r>
        <w:r>
          <w:tab/>
        </w:r>
        <w:r>
          <w:fldChar w:fldCharType="begin"/>
        </w:r>
        <w:r>
          <w:instrText xml:space="preserve">PAGEREF 3060 \h</w:instrText>
        </w:r>
        <w:r>
          <w:fldChar w:fldCharType="end"/>
        </w:r>
      </w:hyperlink>
    </w:p>
    <w:p>
      <w:pPr>
        <w:tabs>
          <w:tab w:val="right" w:leader="dot" w:pos="9062"/>
        </w:tabs>
        <w:ind w:left="220"/>
      </w:pPr>
      <w:hyperlink w:anchor="_Toc3061" w:history="1">
        <w:r>
          <w:rPr>
            <w:rFonts w:ascii="IRNazanin" w:hAnsi="IRNazanin" w:eastAsia="IRNazanin" w:cs="IRNazanin"/>
            <w:color w:val="111111"/>
            <w:sz w:val="22"/>
            <w:szCs w:val="22"/>
            <w:b w:val="0"/>
            <w:bCs w:val="0"/>
            <w:i w:val="0"/>
            <w:iCs w:val="0"/>
          </w:rPr>
          <w:t>حنبلي ، محمّد بن ابراهيم</w:t>
        </w:r>
        <w:r>
          <w:tab/>
        </w:r>
        <w:r>
          <w:fldChar w:fldCharType="begin"/>
        </w:r>
        <w:r>
          <w:instrText xml:space="preserve">PAGEREF 3061 \h</w:instrText>
        </w:r>
        <w:r>
          <w:fldChar w:fldCharType="end"/>
        </w:r>
      </w:hyperlink>
    </w:p>
    <w:p>
      <w:pPr>
        <w:tabs>
          <w:tab w:val="right" w:leader="dot" w:pos="9062"/>
        </w:tabs>
        <w:ind w:left="220"/>
      </w:pPr>
      <w:hyperlink w:anchor="_Toc3062" w:history="1">
        <w:r>
          <w:rPr>
            <w:rFonts w:ascii="IRNazanin" w:hAnsi="IRNazanin" w:eastAsia="IRNazanin" w:cs="IRNazanin"/>
            <w:color w:val="111111"/>
            <w:sz w:val="22"/>
            <w:szCs w:val="22"/>
            <w:b w:val="0"/>
            <w:bCs w:val="0"/>
            <w:i w:val="0"/>
            <w:iCs w:val="0"/>
          </w:rPr>
          <w:t>حنبلي ، محمّد بن نصر الله</w:t>
        </w:r>
        <w:r>
          <w:tab/>
        </w:r>
        <w:r>
          <w:fldChar w:fldCharType="begin"/>
        </w:r>
        <w:r>
          <w:instrText xml:space="preserve">PAGEREF 3062 \h</w:instrText>
        </w:r>
        <w:r>
          <w:fldChar w:fldCharType="end"/>
        </w:r>
      </w:hyperlink>
    </w:p>
    <w:p>
      <w:pPr>
        <w:tabs>
          <w:tab w:val="right" w:leader="dot" w:pos="9062"/>
        </w:tabs>
        <w:ind w:left="220"/>
      </w:pPr>
      <w:hyperlink w:anchor="_Toc3063" w:history="1">
        <w:r>
          <w:rPr>
            <w:rFonts w:ascii="IRNazanin" w:hAnsi="IRNazanin" w:eastAsia="IRNazanin" w:cs="IRNazanin"/>
            <w:color w:val="111111"/>
            <w:sz w:val="22"/>
            <w:szCs w:val="22"/>
            <w:b w:val="0"/>
            <w:bCs w:val="0"/>
            <w:i w:val="0"/>
            <w:iCs w:val="0"/>
          </w:rPr>
          <w:t>حنبيطي ، عبدالوهاب بن عبدالواحد</w:t>
        </w:r>
        <w:r>
          <w:tab/>
        </w:r>
        <w:r>
          <w:fldChar w:fldCharType="begin"/>
        </w:r>
        <w:r>
          <w:instrText xml:space="preserve">PAGEREF 3063 \h</w:instrText>
        </w:r>
        <w:r>
          <w:fldChar w:fldCharType="end"/>
        </w:r>
      </w:hyperlink>
    </w:p>
    <w:p>
      <w:pPr>
        <w:tabs>
          <w:tab w:val="right" w:leader="dot" w:pos="9062"/>
        </w:tabs>
        <w:ind w:left="220"/>
      </w:pPr>
      <w:hyperlink w:anchor="_Toc3064" w:history="1">
        <w:r>
          <w:rPr>
            <w:rFonts w:ascii="IRNazanin" w:hAnsi="IRNazanin" w:eastAsia="IRNazanin" w:cs="IRNazanin"/>
            <w:color w:val="111111"/>
            <w:sz w:val="22"/>
            <w:szCs w:val="22"/>
            <w:b w:val="0"/>
            <w:bCs w:val="0"/>
            <w:i w:val="0"/>
            <w:iCs w:val="0"/>
          </w:rPr>
          <w:t>حنفي</w:t>
        </w:r>
        <w:r>
          <w:tab/>
        </w:r>
        <w:r>
          <w:fldChar w:fldCharType="begin"/>
        </w:r>
        <w:r>
          <w:instrText xml:space="preserve">PAGEREF 3064 \h</w:instrText>
        </w:r>
        <w:r>
          <w:fldChar w:fldCharType="end"/>
        </w:r>
      </w:hyperlink>
    </w:p>
    <w:p>
      <w:pPr>
        <w:tabs>
          <w:tab w:val="right" w:leader="dot" w:pos="9062"/>
        </w:tabs>
        <w:ind w:left="220"/>
      </w:pPr>
      <w:hyperlink w:anchor="_Toc3065" w:history="1">
        <w:r>
          <w:rPr>
            <w:rFonts w:ascii="IRNazanin" w:hAnsi="IRNazanin" w:eastAsia="IRNazanin" w:cs="IRNazanin"/>
            <w:color w:val="111111"/>
            <w:sz w:val="22"/>
            <w:szCs w:val="22"/>
            <w:b w:val="0"/>
            <w:bCs w:val="0"/>
            <w:i w:val="0"/>
            <w:iCs w:val="0"/>
          </w:rPr>
          <w:t>حنفي ، ابوبكر بن ايوب</w:t>
        </w:r>
        <w:r>
          <w:tab/>
        </w:r>
        <w:r>
          <w:fldChar w:fldCharType="begin"/>
        </w:r>
        <w:r>
          <w:instrText xml:space="preserve">PAGEREF 3065 \h</w:instrText>
        </w:r>
        <w:r>
          <w:fldChar w:fldCharType="end"/>
        </w:r>
      </w:hyperlink>
    </w:p>
    <w:p>
      <w:pPr>
        <w:tabs>
          <w:tab w:val="right" w:leader="dot" w:pos="9062"/>
        </w:tabs>
        <w:ind w:left="220"/>
      </w:pPr>
      <w:hyperlink w:anchor="_Toc3066" w:history="1">
        <w:r>
          <w:rPr>
            <w:rFonts w:ascii="IRNazanin" w:hAnsi="IRNazanin" w:eastAsia="IRNazanin" w:cs="IRNazanin"/>
            <w:color w:val="111111"/>
            <w:sz w:val="22"/>
            <w:szCs w:val="22"/>
            <w:b w:val="0"/>
            <w:bCs w:val="0"/>
            <w:i w:val="0"/>
            <w:iCs w:val="0"/>
          </w:rPr>
          <w:t>حنفي ، احمد بن محمّد - 561 ه-</w:t>
        </w:r>
        <w:r>
          <w:tab/>
        </w:r>
        <w:r>
          <w:fldChar w:fldCharType="begin"/>
        </w:r>
        <w:r>
          <w:instrText xml:space="preserve">PAGEREF 3066 \h</w:instrText>
        </w:r>
        <w:r>
          <w:fldChar w:fldCharType="end"/>
        </w:r>
      </w:hyperlink>
    </w:p>
    <w:p>
      <w:pPr>
        <w:tabs>
          <w:tab w:val="right" w:leader="dot" w:pos="9062"/>
        </w:tabs>
        <w:ind w:left="220"/>
      </w:pPr>
      <w:hyperlink w:anchor="_Toc3067" w:history="1">
        <w:r>
          <w:rPr>
            <w:rFonts w:ascii="IRNazanin" w:hAnsi="IRNazanin" w:eastAsia="IRNazanin" w:cs="IRNazanin"/>
            <w:color w:val="111111"/>
            <w:sz w:val="22"/>
            <w:szCs w:val="22"/>
            <w:b w:val="0"/>
            <w:bCs w:val="0"/>
            <w:i w:val="0"/>
            <w:iCs w:val="0"/>
          </w:rPr>
          <w:t>حنفي تبريزي ، شمس الدین محمّد قرن 10ه-</w:t>
        </w:r>
        <w:r>
          <w:tab/>
        </w:r>
        <w:r>
          <w:fldChar w:fldCharType="begin"/>
        </w:r>
        <w:r>
          <w:instrText xml:space="preserve">PAGEREF 3067 \h</w:instrText>
        </w:r>
        <w:r>
          <w:fldChar w:fldCharType="end"/>
        </w:r>
      </w:hyperlink>
    </w:p>
    <w:p>
      <w:pPr>
        <w:tabs>
          <w:tab w:val="right" w:leader="dot" w:pos="9062"/>
        </w:tabs>
        <w:ind w:left="220"/>
      </w:pPr>
      <w:hyperlink w:anchor="_Toc3068" w:history="1">
        <w:r>
          <w:rPr>
            <w:rFonts w:ascii="IRNazanin" w:hAnsi="IRNazanin" w:eastAsia="IRNazanin" w:cs="IRNazanin"/>
            <w:color w:val="111111"/>
            <w:sz w:val="22"/>
            <w:szCs w:val="22"/>
            <w:b w:val="0"/>
            <w:bCs w:val="0"/>
            <w:i w:val="0"/>
            <w:iCs w:val="0"/>
          </w:rPr>
          <w:t>حنفي خوشابي ، مهدي</w:t>
        </w:r>
        <w:r>
          <w:tab/>
        </w:r>
        <w:r>
          <w:fldChar w:fldCharType="begin"/>
        </w:r>
        <w:r>
          <w:instrText xml:space="preserve">PAGEREF 3068 \h</w:instrText>
        </w:r>
        <w:r>
          <w:fldChar w:fldCharType="end"/>
        </w:r>
      </w:hyperlink>
    </w:p>
    <w:p>
      <w:pPr>
        <w:tabs>
          <w:tab w:val="right" w:leader="dot" w:pos="9062"/>
        </w:tabs>
        <w:ind w:left="220"/>
      </w:pPr>
      <w:hyperlink w:anchor="_Toc3069" w:history="1">
        <w:r>
          <w:rPr>
            <w:rFonts w:ascii="IRNazanin" w:hAnsi="IRNazanin" w:eastAsia="IRNazanin" w:cs="IRNazanin"/>
            <w:color w:val="111111"/>
            <w:sz w:val="22"/>
            <w:szCs w:val="22"/>
            <w:b w:val="0"/>
            <w:bCs w:val="0"/>
            <w:i w:val="0"/>
            <w:iCs w:val="0"/>
          </w:rPr>
          <w:t>حنفي ، رمضان بن محمّد - 1025 ه-</w:t>
        </w:r>
        <w:r>
          <w:tab/>
        </w:r>
        <w:r>
          <w:fldChar w:fldCharType="begin"/>
        </w:r>
        <w:r>
          <w:instrText xml:space="preserve">PAGEREF 3069 \h</w:instrText>
        </w:r>
        <w:r>
          <w:fldChar w:fldCharType="end"/>
        </w:r>
      </w:hyperlink>
    </w:p>
    <w:p>
      <w:pPr>
        <w:tabs>
          <w:tab w:val="right" w:leader="dot" w:pos="9062"/>
        </w:tabs>
        <w:ind w:left="220"/>
      </w:pPr>
      <w:hyperlink w:anchor="_Toc3070" w:history="1">
        <w:r>
          <w:rPr>
            <w:rFonts w:ascii="IRNazanin" w:hAnsi="IRNazanin" w:eastAsia="IRNazanin" w:cs="IRNazanin"/>
            <w:color w:val="111111"/>
            <w:sz w:val="22"/>
            <w:szCs w:val="22"/>
            <w:b w:val="0"/>
            <w:bCs w:val="0"/>
            <w:i w:val="0"/>
            <w:iCs w:val="0"/>
          </w:rPr>
          <w:t>حنفي ، رمضان بن موسى</w:t>
        </w:r>
        <w:r>
          <w:tab/>
        </w:r>
        <w:r>
          <w:fldChar w:fldCharType="begin"/>
        </w:r>
        <w:r>
          <w:instrText xml:space="preserve">PAGEREF 3070 \h</w:instrText>
        </w:r>
        <w:r>
          <w:fldChar w:fldCharType="end"/>
        </w:r>
      </w:hyperlink>
    </w:p>
    <w:p>
      <w:pPr>
        <w:tabs>
          <w:tab w:val="right" w:leader="dot" w:pos="9062"/>
        </w:tabs>
        <w:ind w:left="220"/>
      </w:pPr>
      <w:hyperlink w:anchor="_Toc3071" w:history="1">
        <w:r>
          <w:rPr>
            <w:rFonts w:ascii="IRNazanin" w:hAnsi="IRNazanin" w:eastAsia="IRNazanin" w:cs="IRNazanin"/>
            <w:color w:val="111111"/>
            <w:sz w:val="22"/>
            <w:szCs w:val="22"/>
            <w:b w:val="0"/>
            <w:bCs w:val="0"/>
            <w:i w:val="0"/>
            <w:iCs w:val="0"/>
          </w:rPr>
          <w:t>حنفي، زين الدين</w:t>
        </w:r>
        <w:r>
          <w:tab/>
        </w:r>
        <w:r>
          <w:fldChar w:fldCharType="begin"/>
        </w:r>
        <w:r>
          <w:instrText xml:space="preserve">PAGEREF 3071 \h</w:instrText>
        </w:r>
        <w:r>
          <w:fldChar w:fldCharType="end"/>
        </w:r>
      </w:hyperlink>
    </w:p>
    <w:p>
      <w:pPr>
        <w:tabs>
          <w:tab w:val="right" w:leader="dot" w:pos="9062"/>
        </w:tabs>
        <w:ind w:left="220"/>
      </w:pPr>
      <w:hyperlink w:anchor="_Toc3072" w:history="1">
        <w:r>
          <w:rPr>
            <w:rFonts w:ascii="IRNazanin" w:hAnsi="IRNazanin" w:eastAsia="IRNazanin" w:cs="IRNazanin"/>
            <w:color w:val="111111"/>
            <w:sz w:val="22"/>
            <w:szCs w:val="22"/>
            <w:b w:val="0"/>
            <w:bCs w:val="0"/>
            <w:i w:val="0"/>
            <w:iCs w:val="0"/>
          </w:rPr>
          <w:t>حنفي ، سعدي بن امين قرن 13 ه-</w:t>
        </w:r>
        <w:r>
          <w:tab/>
        </w:r>
        <w:r>
          <w:fldChar w:fldCharType="begin"/>
        </w:r>
        <w:r>
          <w:instrText xml:space="preserve">PAGEREF 3072 \h</w:instrText>
        </w:r>
        <w:r>
          <w:fldChar w:fldCharType="end"/>
        </w:r>
      </w:hyperlink>
    </w:p>
    <w:p>
      <w:pPr>
        <w:tabs>
          <w:tab w:val="right" w:leader="dot" w:pos="9062"/>
        </w:tabs>
        <w:ind w:left="220"/>
      </w:pPr>
      <w:hyperlink w:anchor="_Toc3073" w:history="1">
        <w:r>
          <w:rPr>
            <w:rFonts w:ascii="IRNazanin" w:hAnsi="IRNazanin" w:eastAsia="IRNazanin" w:cs="IRNazanin"/>
            <w:color w:val="111111"/>
            <w:sz w:val="22"/>
            <w:szCs w:val="22"/>
            <w:b w:val="0"/>
            <w:bCs w:val="0"/>
            <w:i w:val="0"/>
            <w:iCs w:val="0"/>
          </w:rPr>
          <w:t>حنفي ، شهاب الدین احمد - 862 ه-</w:t>
        </w:r>
        <w:r>
          <w:tab/>
        </w:r>
        <w:r>
          <w:fldChar w:fldCharType="begin"/>
        </w:r>
        <w:r>
          <w:instrText xml:space="preserve">PAGEREF 3073 \h</w:instrText>
        </w:r>
        <w:r>
          <w:fldChar w:fldCharType="end"/>
        </w:r>
      </w:hyperlink>
    </w:p>
    <w:p>
      <w:pPr>
        <w:tabs>
          <w:tab w:val="right" w:leader="dot" w:pos="9062"/>
        </w:tabs>
        <w:ind w:left="220"/>
      </w:pPr>
      <w:hyperlink w:anchor="_Toc3074" w:history="1">
        <w:r>
          <w:rPr>
            <w:rFonts w:ascii="IRNazanin" w:hAnsi="IRNazanin" w:eastAsia="IRNazanin" w:cs="IRNazanin"/>
            <w:color w:val="111111"/>
            <w:sz w:val="22"/>
            <w:szCs w:val="22"/>
            <w:b w:val="0"/>
            <w:bCs w:val="0"/>
            <w:i w:val="0"/>
            <w:iCs w:val="0"/>
          </w:rPr>
          <w:t>حنفي ، عبدالرحمن بن ابراهيم</w:t>
        </w:r>
        <w:r>
          <w:tab/>
        </w:r>
        <w:r>
          <w:fldChar w:fldCharType="begin"/>
        </w:r>
        <w:r>
          <w:instrText xml:space="preserve">PAGEREF 3074 \h</w:instrText>
        </w:r>
        <w:r>
          <w:fldChar w:fldCharType="end"/>
        </w:r>
      </w:hyperlink>
    </w:p>
    <w:p>
      <w:pPr>
        <w:tabs>
          <w:tab w:val="right" w:leader="dot" w:pos="9062"/>
        </w:tabs>
        <w:ind w:left="220"/>
      </w:pPr>
      <w:hyperlink w:anchor="_Toc3075" w:history="1">
        <w:r>
          <w:rPr>
            <w:rFonts w:ascii="IRNazanin" w:hAnsi="IRNazanin" w:eastAsia="IRNazanin" w:cs="IRNazanin"/>
            <w:color w:val="111111"/>
            <w:sz w:val="22"/>
            <w:szCs w:val="22"/>
            <w:b w:val="0"/>
            <w:bCs w:val="0"/>
            <w:i w:val="0"/>
            <w:iCs w:val="0"/>
          </w:rPr>
          <w:t>حنفي ، عبد الصمد بن عبدالغفار</w:t>
        </w:r>
        <w:r>
          <w:tab/>
        </w:r>
        <w:r>
          <w:fldChar w:fldCharType="begin"/>
        </w:r>
        <w:r>
          <w:instrText xml:space="preserve">PAGEREF 3075 \h</w:instrText>
        </w:r>
        <w:r>
          <w:fldChar w:fldCharType="end"/>
        </w:r>
      </w:hyperlink>
    </w:p>
    <w:p>
      <w:pPr>
        <w:tabs>
          <w:tab w:val="right" w:leader="dot" w:pos="9062"/>
        </w:tabs>
        <w:ind w:left="220"/>
      </w:pPr>
      <w:hyperlink w:anchor="_Toc3076" w:history="1">
        <w:r>
          <w:rPr>
            <w:rFonts w:ascii="IRNazanin" w:hAnsi="IRNazanin" w:eastAsia="IRNazanin" w:cs="IRNazanin"/>
            <w:color w:val="111111"/>
            <w:sz w:val="22"/>
            <w:szCs w:val="22"/>
            <w:b w:val="0"/>
            <w:bCs w:val="0"/>
            <w:i w:val="0"/>
            <w:iCs w:val="0"/>
          </w:rPr>
          <w:t>حنفي قره باغي ، محمّد - 900 ه- ت</w:t>
        </w:r>
        <w:r>
          <w:tab/>
        </w:r>
        <w:r>
          <w:fldChar w:fldCharType="begin"/>
        </w:r>
        <w:r>
          <w:instrText xml:space="preserve">PAGEREF 3076 \h</w:instrText>
        </w:r>
        <w:r>
          <w:fldChar w:fldCharType="end"/>
        </w:r>
      </w:hyperlink>
    </w:p>
    <w:p>
      <w:pPr>
        <w:tabs>
          <w:tab w:val="right" w:leader="dot" w:pos="9062"/>
        </w:tabs>
        <w:ind w:left="220"/>
      </w:pPr>
      <w:hyperlink w:anchor="_Toc3077" w:history="1">
        <w:r>
          <w:rPr>
            <w:rFonts w:ascii="IRNazanin" w:hAnsi="IRNazanin" w:eastAsia="IRNazanin" w:cs="IRNazanin"/>
            <w:color w:val="111111"/>
            <w:sz w:val="22"/>
            <w:szCs w:val="22"/>
            <w:b w:val="0"/>
            <w:bCs w:val="0"/>
            <w:i w:val="0"/>
            <w:iCs w:val="0"/>
          </w:rPr>
          <w:t>حنفي ، لطف الله، قرن 13 ه-</w:t>
        </w:r>
        <w:r>
          <w:tab/>
        </w:r>
        <w:r>
          <w:fldChar w:fldCharType="begin"/>
        </w:r>
        <w:r>
          <w:instrText xml:space="preserve">PAGEREF 3077 \h</w:instrText>
        </w:r>
        <w:r>
          <w:fldChar w:fldCharType="end"/>
        </w:r>
      </w:hyperlink>
    </w:p>
    <w:p>
      <w:pPr>
        <w:tabs>
          <w:tab w:val="right" w:leader="dot" w:pos="9062"/>
        </w:tabs>
        <w:ind w:left="220"/>
      </w:pPr>
      <w:hyperlink w:anchor="_Toc3078" w:history="1">
        <w:r>
          <w:rPr>
            <w:rFonts w:ascii="IRNazanin" w:hAnsi="IRNazanin" w:eastAsia="IRNazanin" w:cs="IRNazanin"/>
            <w:color w:val="111111"/>
            <w:sz w:val="22"/>
            <w:szCs w:val="22"/>
            <w:b w:val="0"/>
            <w:bCs w:val="0"/>
            <w:i w:val="0"/>
            <w:iCs w:val="0"/>
          </w:rPr>
          <w:t>حنفي ، محمّد</w:t>
        </w:r>
        <w:r>
          <w:tab/>
        </w:r>
        <w:r>
          <w:fldChar w:fldCharType="begin"/>
        </w:r>
        <w:r>
          <w:instrText xml:space="preserve">PAGEREF 3078 \h</w:instrText>
        </w:r>
        <w:r>
          <w:fldChar w:fldCharType="end"/>
        </w:r>
      </w:hyperlink>
    </w:p>
    <w:p>
      <w:pPr>
        <w:tabs>
          <w:tab w:val="right" w:leader="dot" w:pos="9062"/>
        </w:tabs>
        <w:ind w:left="220"/>
      </w:pPr>
      <w:hyperlink w:anchor="_Toc3079" w:history="1">
        <w:r>
          <w:rPr>
            <w:rFonts w:ascii="IRNazanin" w:hAnsi="IRNazanin" w:eastAsia="IRNazanin" w:cs="IRNazanin"/>
            <w:color w:val="111111"/>
            <w:sz w:val="22"/>
            <w:szCs w:val="22"/>
            <w:b w:val="0"/>
            <w:bCs w:val="0"/>
            <w:i w:val="0"/>
            <w:iCs w:val="0"/>
          </w:rPr>
          <w:t>حنفي ، محمّد بن عبدالرحيم</w:t>
        </w:r>
        <w:r>
          <w:tab/>
        </w:r>
        <w:r>
          <w:fldChar w:fldCharType="begin"/>
        </w:r>
        <w:r>
          <w:instrText xml:space="preserve">PAGEREF 3079 \h</w:instrText>
        </w:r>
        <w:r>
          <w:fldChar w:fldCharType="end"/>
        </w:r>
      </w:hyperlink>
    </w:p>
    <w:p>
      <w:pPr>
        <w:tabs>
          <w:tab w:val="right" w:leader="dot" w:pos="9062"/>
        </w:tabs>
        <w:ind w:left="220"/>
      </w:pPr>
      <w:hyperlink w:anchor="_Toc3080" w:history="1">
        <w:r>
          <w:rPr>
            <w:rFonts w:ascii="IRNazanin" w:hAnsi="IRNazanin" w:eastAsia="IRNazanin" w:cs="IRNazanin"/>
            <w:color w:val="111111"/>
            <w:sz w:val="22"/>
            <w:szCs w:val="22"/>
            <w:b w:val="0"/>
            <w:bCs w:val="0"/>
            <w:i w:val="0"/>
            <w:iCs w:val="0"/>
          </w:rPr>
          <w:t>حنفي ، محمّد بن عبدالله قرن 10 ه-</w:t>
        </w:r>
        <w:r>
          <w:tab/>
        </w:r>
        <w:r>
          <w:fldChar w:fldCharType="begin"/>
        </w:r>
        <w:r>
          <w:instrText xml:space="preserve">PAGEREF 3080 \h</w:instrText>
        </w:r>
        <w:r>
          <w:fldChar w:fldCharType="end"/>
        </w:r>
      </w:hyperlink>
    </w:p>
    <w:p>
      <w:pPr>
        <w:tabs>
          <w:tab w:val="right" w:leader="dot" w:pos="9062"/>
        </w:tabs>
        <w:ind w:left="220"/>
      </w:pPr>
      <w:hyperlink w:anchor="_Toc3081" w:history="1">
        <w:r>
          <w:rPr>
            <w:rFonts w:ascii="IRNazanin" w:hAnsi="IRNazanin" w:eastAsia="IRNazanin" w:cs="IRNazanin"/>
            <w:color w:val="111111"/>
            <w:sz w:val="22"/>
            <w:szCs w:val="22"/>
            <w:b w:val="0"/>
            <w:bCs w:val="0"/>
            <w:i w:val="0"/>
            <w:iCs w:val="0"/>
          </w:rPr>
          <w:t>حنفي ، محمّد بن محمّد قرن 10 ه-</w:t>
        </w:r>
        <w:r>
          <w:tab/>
        </w:r>
        <w:r>
          <w:fldChar w:fldCharType="begin"/>
        </w:r>
        <w:r>
          <w:instrText xml:space="preserve">PAGEREF 3081 \h</w:instrText>
        </w:r>
        <w:r>
          <w:fldChar w:fldCharType="end"/>
        </w:r>
      </w:hyperlink>
    </w:p>
    <w:p>
      <w:pPr>
        <w:tabs>
          <w:tab w:val="right" w:leader="dot" w:pos="9062"/>
        </w:tabs>
        <w:ind w:left="220"/>
      </w:pPr>
      <w:hyperlink w:anchor="_Toc3082" w:history="1">
        <w:r>
          <w:rPr>
            <w:rFonts w:ascii="IRNazanin" w:hAnsi="IRNazanin" w:eastAsia="IRNazanin" w:cs="IRNazanin"/>
            <w:color w:val="111111"/>
            <w:sz w:val="22"/>
            <w:szCs w:val="22"/>
            <w:b w:val="0"/>
            <w:bCs w:val="0"/>
            <w:i w:val="0"/>
            <w:iCs w:val="0"/>
          </w:rPr>
          <w:t>حنفي ، محيي الدين بن ابي بكر</w:t>
        </w:r>
        <w:r>
          <w:tab/>
        </w:r>
        <w:r>
          <w:fldChar w:fldCharType="begin"/>
        </w:r>
        <w:r>
          <w:instrText xml:space="preserve">PAGEREF 3082 \h</w:instrText>
        </w:r>
        <w:r>
          <w:fldChar w:fldCharType="end"/>
        </w:r>
      </w:hyperlink>
    </w:p>
    <w:p>
      <w:pPr>
        <w:tabs>
          <w:tab w:val="right" w:leader="dot" w:pos="9062"/>
        </w:tabs>
        <w:ind w:left="220"/>
      </w:pPr>
      <w:hyperlink w:anchor="_Toc3083" w:history="1">
        <w:r>
          <w:rPr>
            <w:rFonts w:ascii="IRNazanin" w:hAnsi="IRNazanin" w:eastAsia="IRNazanin" w:cs="IRNazanin"/>
            <w:color w:val="111111"/>
            <w:sz w:val="22"/>
            <w:szCs w:val="22"/>
            <w:b w:val="0"/>
            <w:bCs w:val="0"/>
            <w:i w:val="0"/>
            <w:iCs w:val="0"/>
          </w:rPr>
          <w:t>حنفي نيشابوري ، ابوسعيد</w:t>
        </w:r>
        <w:r>
          <w:tab/>
        </w:r>
        <w:r>
          <w:fldChar w:fldCharType="begin"/>
        </w:r>
        <w:r>
          <w:instrText xml:space="preserve">PAGEREF 3083 \h</w:instrText>
        </w:r>
        <w:r>
          <w:fldChar w:fldCharType="end"/>
        </w:r>
      </w:hyperlink>
    </w:p>
    <w:p>
      <w:pPr>
        <w:tabs>
          <w:tab w:val="right" w:leader="dot" w:pos="9062"/>
        </w:tabs>
        <w:ind w:left="220"/>
      </w:pPr>
      <w:hyperlink w:anchor="_Toc3084" w:history="1">
        <w:r>
          <w:rPr>
            <w:rFonts w:ascii="IRNazanin" w:hAnsi="IRNazanin" w:eastAsia="IRNazanin" w:cs="IRNazanin"/>
            <w:color w:val="111111"/>
            <w:sz w:val="22"/>
            <w:szCs w:val="22"/>
            <w:b w:val="0"/>
            <w:bCs w:val="0"/>
            <w:i w:val="0"/>
            <w:iCs w:val="0"/>
          </w:rPr>
          <w:t>حنيف افندي</w:t>
        </w:r>
        <w:r>
          <w:tab/>
        </w:r>
        <w:r>
          <w:fldChar w:fldCharType="begin"/>
        </w:r>
        <w:r>
          <w:instrText xml:space="preserve">PAGEREF 3084 \h</w:instrText>
        </w:r>
        <w:r>
          <w:fldChar w:fldCharType="end"/>
        </w:r>
      </w:hyperlink>
    </w:p>
    <w:p>
      <w:pPr>
        <w:tabs>
          <w:tab w:val="right" w:leader="dot" w:pos="9062"/>
        </w:tabs>
        <w:ind w:left="220"/>
      </w:pPr>
      <w:hyperlink w:anchor="_Toc3085" w:history="1">
        <w:r>
          <w:rPr>
            <w:rFonts w:ascii="IRNazanin" w:hAnsi="IRNazanin" w:eastAsia="IRNazanin" w:cs="IRNazanin"/>
            <w:color w:val="111111"/>
            <w:sz w:val="22"/>
            <w:szCs w:val="22"/>
            <w:b w:val="0"/>
            <w:bCs w:val="0"/>
            <w:i w:val="0"/>
            <w:iCs w:val="0"/>
          </w:rPr>
          <w:t>حنيفي ، محمّد بن محمّد، - 1342 ه-</w:t>
        </w:r>
        <w:r>
          <w:tab/>
        </w:r>
        <w:r>
          <w:fldChar w:fldCharType="begin"/>
        </w:r>
        <w:r>
          <w:instrText xml:space="preserve">PAGEREF 3085 \h</w:instrText>
        </w:r>
        <w:r>
          <w:fldChar w:fldCharType="end"/>
        </w:r>
      </w:hyperlink>
    </w:p>
    <w:p>
      <w:pPr>
        <w:tabs>
          <w:tab w:val="right" w:leader="dot" w:pos="9062"/>
        </w:tabs>
        <w:ind w:left="220"/>
      </w:pPr>
      <w:hyperlink w:anchor="_Toc3086" w:history="1">
        <w:r>
          <w:rPr>
            <w:rFonts w:ascii="IRNazanin" w:hAnsi="IRNazanin" w:eastAsia="IRNazanin" w:cs="IRNazanin"/>
            <w:color w:val="111111"/>
            <w:sz w:val="22"/>
            <w:szCs w:val="22"/>
            <w:b w:val="0"/>
            <w:bCs w:val="0"/>
            <w:i w:val="0"/>
            <w:iCs w:val="0"/>
          </w:rPr>
          <w:t>حنين بن اسحاق، 194 - 260 ه-</w:t>
        </w:r>
        <w:r>
          <w:tab/>
        </w:r>
        <w:r>
          <w:fldChar w:fldCharType="begin"/>
        </w:r>
        <w:r>
          <w:instrText xml:space="preserve">PAGEREF 3086 \h</w:instrText>
        </w:r>
        <w:r>
          <w:fldChar w:fldCharType="end"/>
        </w:r>
      </w:hyperlink>
    </w:p>
    <w:p>
      <w:pPr>
        <w:tabs>
          <w:tab w:val="right" w:leader="dot" w:pos="9062"/>
        </w:tabs>
        <w:ind w:left="220"/>
      </w:pPr>
      <w:hyperlink w:anchor="_Toc3087" w:history="1">
        <w:r>
          <w:rPr>
            <w:rFonts w:ascii="IRNazanin" w:hAnsi="IRNazanin" w:eastAsia="IRNazanin" w:cs="IRNazanin"/>
            <w:color w:val="111111"/>
            <w:sz w:val="22"/>
            <w:szCs w:val="22"/>
            <w:b w:val="0"/>
            <w:bCs w:val="0"/>
            <w:i w:val="0"/>
            <w:iCs w:val="0"/>
          </w:rPr>
          <w:t>حوثي ، يحيى بن محمّد</w:t>
        </w:r>
        <w:r>
          <w:tab/>
        </w:r>
        <w:r>
          <w:fldChar w:fldCharType="begin"/>
        </w:r>
        <w:r>
          <w:instrText xml:space="preserve">PAGEREF 3087 \h</w:instrText>
        </w:r>
        <w:r>
          <w:fldChar w:fldCharType="end"/>
        </w:r>
      </w:hyperlink>
    </w:p>
    <w:p>
      <w:pPr>
        <w:tabs>
          <w:tab w:val="right" w:leader="dot" w:pos="9062"/>
        </w:tabs>
        <w:ind w:left="220"/>
      </w:pPr>
      <w:hyperlink w:anchor="_Toc3088" w:history="1">
        <w:r>
          <w:rPr>
            <w:rFonts w:ascii="IRNazanin" w:hAnsi="IRNazanin" w:eastAsia="IRNazanin" w:cs="IRNazanin"/>
            <w:color w:val="111111"/>
            <w:sz w:val="22"/>
            <w:szCs w:val="22"/>
            <w:b w:val="0"/>
            <w:bCs w:val="0"/>
            <w:i w:val="0"/>
            <w:iCs w:val="0"/>
          </w:rPr>
          <w:t>حورني ، يعقوب بن ابراهيم</w:t>
        </w:r>
        <w:r>
          <w:tab/>
        </w:r>
        <w:r>
          <w:fldChar w:fldCharType="begin"/>
        </w:r>
        <w:r>
          <w:instrText xml:space="preserve">PAGEREF 3088 \h</w:instrText>
        </w:r>
        <w:r>
          <w:fldChar w:fldCharType="end"/>
        </w:r>
      </w:hyperlink>
    </w:p>
    <w:p>
      <w:pPr>
        <w:tabs>
          <w:tab w:val="right" w:leader="dot" w:pos="9062"/>
        </w:tabs>
        <w:ind w:left="220"/>
      </w:pPr>
      <w:hyperlink w:anchor="_Toc3089" w:history="1">
        <w:r>
          <w:rPr>
            <w:rFonts w:ascii="IRNazanin" w:hAnsi="IRNazanin" w:eastAsia="IRNazanin" w:cs="IRNazanin"/>
            <w:color w:val="111111"/>
            <w:sz w:val="22"/>
            <w:szCs w:val="22"/>
            <w:b w:val="0"/>
            <w:bCs w:val="0"/>
            <w:i w:val="0"/>
            <w:iCs w:val="0"/>
          </w:rPr>
          <w:t>حولاوي ، رضا</w:t>
        </w:r>
        <w:r>
          <w:tab/>
        </w:r>
        <w:r>
          <w:fldChar w:fldCharType="begin"/>
        </w:r>
        <w:r>
          <w:instrText xml:space="preserve">PAGEREF 3089 \h</w:instrText>
        </w:r>
        <w:r>
          <w:fldChar w:fldCharType="end"/>
        </w:r>
      </w:hyperlink>
    </w:p>
    <w:p>
      <w:pPr>
        <w:tabs>
          <w:tab w:val="right" w:leader="dot" w:pos="9062"/>
        </w:tabs>
        <w:ind w:left="220"/>
      </w:pPr>
      <w:hyperlink w:anchor="_Toc3090" w:history="1">
        <w:r>
          <w:rPr>
            <w:rFonts w:ascii="IRNazanin" w:hAnsi="IRNazanin" w:eastAsia="IRNazanin" w:cs="IRNazanin"/>
            <w:color w:val="111111"/>
            <w:sz w:val="22"/>
            <w:szCs w:val="22"/>
            <w:b w:val="0"/>
            <w:bCs w:val="0"/>
            <w:i w:val="0"/>
            <w:iCs w:val="0"/>
          </w:rPr>
          <w:t>حويزي ، اسحاق</w:t>
        </w:r>
        <w:r>
          <w:tab/>
        </w:r>
        <w:r>
          <w:fldChar w:fldCharType="begin"/>
        </w:r>
        <w:r>
          <w:instrText xml:space="preserve">PAGEREF 3090 \h</w:instrText>
        </w:r>
        <w:r>
          <w:fldChar w:fldCharType="end"/>
        </w:r>
      </w:hyperlink>
    </w:p>
    <w:p>
      <w:pPr>
        <w:tabs>
          <w:tab w:val="right" w:leader="dot" w:pos="9062"/>
        </w:tabs>
        <w:ind w:left="220"/>
      </w:pPr>
      <w:hyperlink w:anchor="_Toc3091" w:history="1">
        <w:r>
          <w:rPr>
            <w:rFonts w:ascii="IRNazanin" w:hAnsi="IRNazanin" w:eastAsia="IRNazanin" w:cs="IRNazanin"/>
            <w:color w:val="111111"/>
            <w:sz w:val="22"/>
            <w:szCs w:val="22"/>
            <w:b w:val="0"/>
            <w:bCs w:val="0"/>
            <w:i w:val="0"/>
            <w:iCs w:val="0"/>
          </w:rPr>
          <w:t>حويزي ، جعفر بن عبدالله - 1115ه-</w:t>
        </w:r>
        <w:r>
          <w:tab/>
        </w:r>
        <w:r>
          <w:fldChar w:fldCharType="begin"/>
        </w:r>
        <w:r>
          <w:instrText xml:space="preserve">PAGEREF 3091 \h</w:instrText>
        </w:r>
        <w:r>
          <w:fldChar w:fldCharType="end"/>
        </w:r>
      </w:hyperlink>
    </w:p>
    <w:p>
      <w:pPr>
        <w:tabs>
          <w:tab w:val="right" w:leader="dot" w:pos="9062"/>
        </w:tabs>
        <w:ind w:left="220"/>
      </w:pPr>
      <w:hyperlink w:anchor="_Toc3092" w:history="1">
        <w:r>
          <w:rPr>
            <w:rFonts w:ascii="IRNazanin" w:hAnsi="IRNazanin" w:eastAsia="IRNazanin" w:cs="IRNazanin"/>
            <w:color w:val="111111"/>
            <w:sz w:val="22"/>
            <w:szCs w:val="22"/>
            <w:b w:val="0"/>
            <w:bCs w:val="0"/>
            <w:i w:val="0"/>
            <w:iCs w:val="0"/>
          </w:rPr>
          <w:t>حويزي حائري ، محسن بن محمّد، 1235</w:t>
        </w:r>
        <w:r>
          <w:tab/>
        </w:r>
        <w:r>
          <w:fldChar w:fldCharType="begin"/>
        </w:r>
        <w:r>
          <w:instrText xml:space="preserve">PAGEREF 3092 \h</w:instrText>
        </w:r>
        <w:r>
          <w:fldChar w:fldCharType="end"/>
        </w:r>
      </w:hyperlink>
    </w:p>
    <w:p>
      <w:pPr>
        <w:tabs>
          <w:tab w:val="right" w:leader="dot" w:pos="9062"/>
        </w:tabs>
        <w:ind w:left="220"/>
      </w:pPr>
      <w:hyperlink w:anchor="_Toc3093" w:history="1">
        <w:r>
          <w:rPr>
            <w:rFonts w:ascii="IRNazanin" w:hAnsi="IRNazanin" w:eastAsia="IRNazanin" w:cs="IRNazanin"/>
            <w:color w:val="111111"/>
            <w:sz w:val="22"/>
            <w:szCs w:val="22"/>
            <w:b w:val="0"/>
            <w:bCs w:val="0"/>
            <w:i w:val="0"/>
            <w:iCs w:val="0"/>
          </w:rPr>
          <w:t>حويزي خلف بن عبد المطلب - 1074ه-</w:t>
        </w:r>
        <w:r>
          <w:tab/>
        </w:r>
        <w:r>
          <w:fldChar w:fldCharType="begin"/>
        </w:r>
        <w:r>
          <w:instrText xml:space="preserve">PAGEREF 3093 \h</w:instrText>
        </w:r>
        <w:r>
          <w:fldChar w:fldCharType="end"/>
        </w:r>
      </w:hyperlink>
    </w:p>
    <w:p>
      <w:pPr>
        <w:tabs>
          <w:tab w:val="right" w:leader="dot" w:pos="9062"/>
        </w:tabs>
        <w:ind w:left="220"/>
      </w:pPr>
      <w:hyperlink w:anchor="_Toc3094" w:history="1">
        <w:r>
          <w:rPr>
            <w:rFonts w:ascii="IRNazanin" w:hAnsi="IRNazanin" w:eastAsia="IRNazanin" w:cs="IRNazanin"/>
            <w:color w:val="111111"/>
            <w:sz w:val="22"/>
            <w:szCs w:val="22"/>
            <w:b w:val="0"/>
            <w:bCs w:val="0"/>
            <w:i w:val="0"/>
            <w:iCs w:val="0"/>
          </w:rPr>
          <w:t>حويزي ، شهاب الدین احمد 1168 ه-</w:t>
        </w:r>
        <w:r>
          <w:tab/>
        </w:r>
        <w:r>
          <w:fldChar w:fldCharType="begin"/>
        </w:r>
        <w:r>
          <w:instrText xml:space="preserve">PAGEREF 3094 \h</w:instrText>
        </w:r>
        <w:r>
          <w:fldChar w:fldCharType="end"/>
        </w:r>
      </w:hyperlink>
    </w:p>
    <w:p>
      <w:pPr>
        <w:tabs>
          <w:tab w:val="right" w:leader="dot" w:pos="9062"/>
        </w:tabs>
        <w:ind w:left="220"/>
      </w:pPr>
      <w:hyperlink w:anchor="_Toc3095" w:history="1">
        <w:r>
          <w:rPr>
            <w:rFonts w:ascii="IRNazanin" w:hAnsi="IRNazanin" w:eastAsia="IRNazanin" w:cs="IRNazanin"/>
            <w:color w:val="111111"/>
            <w:sz w:val="22"/>
            <w:szCs w:val="22"/>
            <w:b w:val="0"/>
            <w:bCs w:val="0"/>
            <w:i w:val="0"/>
            <w:iCs w:val="0"/>
          </w:rPr>
          <w:t>حويزي ، عبد الامير بن علي - 1149 ه-</w:t>
        </w:r>
        <w:r>
          <w:tab/>
        </w:r>
        <w:r>
          <w:fldChar w:fldCharType="begin"/>
        </w:r>
        <w:r>
          <w:instrText xml:space="preserve">PAGEREF 3095 \h</w:instrText>
        </w:r>
        <w:r>
          <w:fldChar w:fldCharType="end"/>
        </w:r>
      </w:hyperlink>
    </w:p>
    <w:p>
      <w:pPr>
        <w:tabs>
          <w:tab w:val="right" w:leader="dot" w:pos="9062"/>
        </w:tabs>
        <w:ind w:left="220"/>
      </w:pPr>
      <w:hyperlink w:anchor="_Toc3096" w:history="1">
        <w:r>
          <w:rPr>
            <w:rFonts w:ascii="IRNazanin" w:hAnsi="IRNazanin" w:eastAsia="IRNazanin" w:cs="IRNazanin"/>
            <w:color w:val="111111"/>
            <w:sz w:val="22"/>
            <w:szCs w:val="22"/>
            <w:b w:val="0"/>
            <w:bCs w:val="0"/>
            <w:i w:val="0"/>
            <w:iCs w:val="0"/>
          </w:rPr>
          <w:t>حويزي عبد الحسين بن عمران - 1376ه-</w:t>
        </w:r>
        <w:r>
          <w:tab/>
        </w:r>
        <w:r>
          <w:fldChar w:fldCharType="begin"/>
        </w:r>
        <w:r>
          <w:instrText xml:space="preserve">PAGEREF 3096 \h</w:instrText>
        </w:r>
        <w:r>
          <w:fldChar w:fldCharType="end"/>
        </w:r>
      </w:hyperlink>
    </w:p>
    <w:p>
      <w:pPr>
        <w:tabs>
          <w:tab w:val="right" w:leader="dot" w:pos="9062"/>
        </w:tabs>
        <w:ind w:left="220"/>
      </w:pPr>
      <w:hyperlink w:anchor="_Toc3097" w:history="1">
        <w:r>
          <w:rPr>
            <w:rFonts w:ascii="IRNazanin" w:hAnsi="IRNazanin" w:eastAsia="IRNazanin" w:cs="IRNazanin"/>
            <w:color w:val="111111"/>
            <w:sz w:val="22"/>
            <w:szCs w:val="22"/>
            <w:b w:val="0"/>
            <w:bCs w:val="0"/>
            <w:i w:val="0"/>
            <w:iCs w:val="0"/>
          </w:rPr>
          <w:t>حويزي ، عبدالله</w:t>
        </w:r>
        <w:r>
          <w:tab/>
        </w:r>
        <w:r>
          <w:fldChar w:fldCharType="begin"/>
        </w:r>
        <w:r>
          <w:instrText xml:space="preserve">PAGEREF 3097 \h</w:instrText>
        </w:r>
        <w:r>
          <w:fldChar w:fldCharType="end"/>
        </w:r>
      </w:hyperlink>
    </w:p>
    <w:p>
      <w:pPr>
        <w:tabs>
          <w:tab w:val="right" w:leader="dot" w:pos="9062"/>
        </w:tabs>
        <w:ind w:left="220"/>
      </w:pPr>
      <w:hyperlink w:anchor="_Toc3098" w:history="1">
        <w:r>
          <w:rPr>
            <w:rFonts w:ascii="IRNazanin" w:hAnsi="IRNazanin" w:eastAsia="IRNazanin" w:cs="IRNazanin"/>
            <w:color w:val="111111"/>
            <w:sz w:val="22"/>
            <w:szCs w:val="22"/>
            <w:b w:val="0"/>
            <w:bCs w:val="0"/>
            <w:i w:val="0"/>
            <w:iCs w:val="0"/>
          </w:rPr>
          <w:t>حويزي ، عبد علي بن جمعه قرن 12 ه-</w:t>
        </w:r>
        <w:r>
          <w:tab/>
        </w:r>
        <w:r>
          <w:fldChar w:fldCharType="begin"/>
        </w:r>
        <w:r>
          <w:instrText xml:space="preserve">PAGEREF 3098 \h</w:instrText>
        </w:r>
        <w:r>
          <w:fldChar w:fldCharType="end"/>
        </w:r>
      </w:hyperlink>
    </w:p>
    <w:p>
      <w:pPr>
        <w:tabs>
          <w:tab w:val="right" w:leader="dot" w:pos="9062"/>
        </w:tabs>
        <w:ind w:left="220"/>
      </w:pPr>
      <w:hyperlink w:anchor="_Toc3099" w:history="1">
        <w:r>
          <w:rPr>
            <w:rFonts w:ascii="IRNazanin" w:hAnsi="IRNazanin" w:eastAsia="IRNazanin" w:cs="IRNazanin"/>
            <w:color w:val="111111"/>
            <w:sz w:val="22"/>
            <w:szCs w:val="22"/>
            <w:b w:val="0"/>
            <w:bCs w:val="0"/>
            <w:i w:val="0"/>
            <w:iCs w:val="0"/>
          </w:rPr>
          <w:t>حويزي ، علي بن خلف - 1088 ه-</w:t>
        </w:r>
        <w:r>
          <w:tab/>
        </w:r>
        <w:r>
          <w:fldChar w:fldCharType="begin"/>
        </w:r>
        <w:r>
          <w:instrText xml:space="preserve">PAGEREF 3099 \h</w:instrText>
        </w:r>
        <w:r>
          <w:fldChar w:fldCharType="end"/>
        </w:r>
      </w:hyperlink>
    </w:p>
    <w:p>
      <w:pPr>
        <w:tabs>
          <w:tab w:val="right" w:leader="dot" w:pos="9062"/>
        </w:tabs>
        <w:ind w:left="220"/>
      </w:pPr>
      <w:hyperlink w:anchor="_Toc3100" w:history="1">
        <w:r>
          <w:rPr>
            <w:rFonts w:ascii="IRNazanin" w:hAnsi="IRNazanin" w:eastAsia="IRNazanin" w:cs="IRNazanin"/>
            <w:color w:val="111111"/>
            <w:sz w:val="22"/>
            <w:szCs w:val="22"/>
            <w:b w:val="0"/>
            <w:bCs w:val="0"/>
            <w:i w:val="0"/>
            <w:iCs w:val="0"/>
          </w:rPr>
          <w:t>حويزي ، غالب بن قعود قرن 14 ه-</w:t>
        </w:r>
        <w:r>
          <w:tab/>
        </w:r>
        <w:r>
          <w:fldChar w:fldCharType="begin"/>
        </w:r>
        <w:r>
          <w:instrText xml:space="preserve">PAGEREF 3100 \h</w:instrText>
        </w:r>
        <w:r>
          <w:fldChar w:fldCharType="end"/>
        </w:r>
      </w:hyperlink>
    </w:p>
    <w:p>
      <w:pPr>
        <w:tabs>
          <w:tab w:val="right" w:leader="dot" w:pos="9062"/>
        </w:tabs>
        <w:ind w:left="220"/>
      </w:pPr>
      <w:hyperlink w:anchor="_Toc3101" w:history="1">
        <w:r>
          <w:rPr>
            <w:rFonts w:ascii="IRNazanin" w:hAnsi="IRNazanin" w:eastAsia="IRNazanin" w:cs="IRNazanin"/>
            <w:color w:val="111111"/>
            <w:sz w:val="22"/>
            <w:szCs w:val="22"/>
            <w:b w:val="0"/>
            <w:bCs w:val="0"/>
            <w:i w:val="0"/>
            <w:iCs w:val="0"/>
          </w:rPr>
          <w:t>حويزي ، فرج الله بن محمّد بن محمّد، - 1100 ه-</w:t>
        </w:r>
        <w:r>
          <w:tab/>
        </w:r>
        <w:r>
          <w:fldChar w:fldCharType="begin"/>
        </w:r>
        <w:r>
          <w:instrText xml:space="preserve">PAGEREF 3101 \h</w:instrText>
        </w:r>
        <w:r>
          <w:fldChar w:fldCharType="end"/>
        </w:r>
      </w:hyperlink>
    </w:p>
    <w:p>
      <w:pPr>
        <w:tabs>
          <w:tab w:val="right" w:leader="dot" w:pos="9062"/>
        </w:tabs>
        <w:ind w:left="220"/>
      </w:pPr>
      <w:hyperlink w:anchor="_Toc3102" w:history="1">
        <w:r>
          <w:rPr>
            <w:rFonts w:ascii="IRNazanin" w:hAnsi="IRNazanin" w:eastAsia="IRNazanin" w:cs="IRNazanin"/>
            <w:color w:val="111111"/>
            <w:sz w:val="22"/>
            <w:szCs w:val="22"/>
            <w:b w:val="0"/>
            <w:bCs w:val="0"/>
            <w:i w:val="0"/>
            <w:iCs w:val="0"/>
          </w:rPr>
          <w:t>حياني ، عثمان بن سليمان - 1245 ه-</w:t>
        </w:r>
        <w:r>
          <w:tab/>
        </w:r>
        <w:r>
          <w:fldChar w:fldCharType="begin"/>
        </w:r>
        <w:r>
          <w:instrText xml:space="preserve">PAGEREF 3102 \h</w:instrText>
        </w:r>
        <w:r>
          <w:fldChar w:fldCharType="end"/>
        </w:r>
      </w:hyperlink>
    </w:p>
    <w:p>
      <w:pPr>
        <w:tabs>
          <w:tab w:val="right" w:leader="dot" w:pos="9062"/>
        </w:tabs>
        <w:ind w:left="220"/>
      </w:pPr>
      <w:hyperlink w:anchor="_Toc3103" w:history="1">
        <w:r>
          <w:rPr>
            <w:rFonts w:ascii="IRNazanin" w:hAnsi="IRNazanin" w:eastAsia="IRNazanin" w:cs="IRNazanin"/>
            <w:color w:val="111111"/>
            <w:sz w:val="22"/>
            <w:szCs w:val="22"/>
            <w:b w:val="0"/>
            <w:bCs w:val="0"/>
            <w:i w:val="0"/>
            <w:iCs w:val="0"/>
          </w:rPr>
          <w:t>حياتي ، احمد بن احمد - 1229 ه-</w:t>
        </w:r>
        <w:r>
          <w:tab/>
        </w:r>
        <w:r>
          <w:fldChar w:fldCharType="begin"/>
        </w:r>
        <w:r>
          <w:instrText xml:space="preserve">PAGEREF 3103 \h</w:instrText>
        </w:r>
        <w:r>
          <w:fldChar w:fldCharType="end"/>
        </w:r>
      </w:hyperlink>
    </w:p>
    <w:p>
      <w:pPr>
        <w:tabs>
          <w:tab w:val="right" w:leader="dot" w:pos="9062"/>
        </w:tabs>
        <w:ind w:left="220"/>
      </w:pPr>
      <w:hyperlink w:anchor="_Toc3104" w:history="1">
        <w:r>
          <w:rPr>
            <w:rFonts w:ascii="IRNazanin" w:hAnsi="IRNazanin" w:eastAsia="IRNazanin" w:cs="IRNazanin"/>
            <w:color w:val="111111"/>
            <w:sz w:val="22"/>
            <w:szCs w:val="22"/>
            <w:b w:val="0"/>
            <w:bCs w:val="0"/>
            <w:i w:val="0"/>
            <w:iCs w:val="0"/>
          </w:rPr>
          <w:t>حياتي زاده مصطفى بن محمّد - 1151 ه-</w:t>
        </w:r>
        <w:r>
          <w:tab/>
        </w:r>
        <w:r>
          <w:fldChar w:fldCharType="begin"/>
        </w:r>
        <w:r>
          <w:instrText xml:space="preserve">PAGEREF 3104 \h</w:instrText>
        </w:r>
        <w:r>
          <w:fldChar w:fldCharType="end"/>
        </w:r>
      </w:hyperlink>
    </w:p>
    <w:p>
      <w:pPr>
        <w:tabs>
          <w:tab w:val="right" w:leader="dot" w:pos="9062"/>
        </w:tabs>
        <w:ind w:left="220"/>
      </w:pPr>
      <w:hyperlink w:anchor="_Toc3105" w:history="1">
        <w:r>
          <w:rPr>
            <w:rFonts w:ascii="IRNazanin" w:hAnsi="IRNazanin" w:eastAsia="IRNazanin" w:cs="IRNazanin"/>
            <w:color w:val="111111"/>
            <w:sz w:val="22"/>
            <w:szCs w:val="22"/>
            <w:b w:val="0"/>
            <w:bCs w:val="0"/>
            <w:i w:val="0"/>
            <w:iCs w:val="0"/>
          </w:rPr>
          <w:t>حیدر ، اسد بن محمّد قرن 14 ه-</w:t>
        </w:r>
        <w:r>
          <w:tab/>
        </w:r>
        <w:r>
          <w:fldChar w:fldCharType="begin"/>
        </w:r>
        <w:r>
          <w:instrText xml:space="preserve">PAGEREF 3105 \h</w:instrText>
        </w:r>
        <w:r>
          <w:fldChar w:fldCharType="end"/>
        </w:r>
      </w:hyperlink>
    </w:p>
    <w:p>
      <w:pPr>
        <w:tabs>
          <w:tab w:val="right" w:leader="dot" w:pos="9062"/>
        </w:tabs>
        <w:ind w:left="220"/>
      </w:pPr>
      <w:hyperlink w:anchor="_Toc3106" w:history="1">
        <w:r>
          <w:rPr>
            <w:rFonts w:ascii="IRNazanin" w:hAnsi="IRNazanin" w:eastAsia="IRNazanin" w:cs="IRNazanin"/>
            <w:color w:val="111111"/>
            <w:sz w:val="22"/>
            <w:szCs w:val="22"/>
            <w:b w:val="0"/>
            <w:bCs w:val="0"/>
            <w:i w:val="0"/>
            <w:iCs w:val="0"/>
          </w:rPr>
          <w:t>حیدر بن عبیدالله</w:t>
        </w:r>
        <w:r>
          <w:tab/>
        </w:r>
        <w:r>
          <w:fldChar w:fldCharType="begin"/>
        </w:r>
        <w:r>
          <w:instrText xml:space="preserve">PAGEREF 3106 \h</w:instrText>
        </w:r>
        <w:r>
          <w:fldChar w:fldCharType="end"/>
        </w:r>
      </w:hyperlink>
    </w:p>
    <w:p>
      <w:pPr>
        <w:tabs>
          <w:tab w:val="right" w:leader="dot" w:pos="9062"/>
        </w:tabs>
        <w:ind w:left="220"/>
      </w:pPr>
      <w:hyperlink w:anchor="_Toc3107" w:history="1">
        <w:r>
          <w:rPr>
            <w:rFonts w:ascii="IRNazanin" w:hAnsi="IRNazanin" w:eastAsia="IRNazanin" w:cs="IRNazanin"/>
            <w:color w:val="111111"/>
            <w:sz w:val="22"/>
            <w:szCs w:val="22"/>
            <w:b w:val="0"/>
            <w:bCs w:val="0"/>
            <w:i w:val="0"/>
            <w:iCs w:val="0"/>
          </w:rPr>
          <w:t>حیدر بیگ</w:t>
        </w:r>
        <w:r>
          <w:tab/>
        </w:r>
        <w:r>
          <w:fldChar w:fldCharType="begin"/>
        </w:r>
        <w:r>
          <w:instrText xml:space="preserve">PAGEREF 3107 \h</w:instrText>
        </w:r>
        <w:r>
          <w:fldChar w:fldCharType="end"/>
        </w:r>
      </w:hyperlink>
    </w:p>
    <w:p>
      <w:pPr>
        <w:tabs>
          <w:tab w:val="right" w:leader="dot" w:pos="9062"/>
        </w:tabs>
        <w:ind w:left="220"/>
      </w:pPr>
      <w:hyperlink w:anchor="_Toc3108" w:history="1">
        <w:r>
          <w:rPr>
            <w:rFonts w:ascii="IRNazanin" w:hAnsi="IRNazanin" w:eastAsia="IRNazanin" w:cs="IRNazanin"/>
            <w:color w:val="111111"/>
            <w:sz w:val="22"/>
            <w:szCs w:val="22"/>
            <w:b w:val="0"/>
            <w:bCs w:val="0"/>
            <w:i w:val="0"/>
            <w:iCs w:val="0"/>
          </w:rPr>
          <w:t>حيدرة ، خشيمة بن سليمان</w:t>
        </w:r>
        <w:r>
          <w:tab/>
        </w:r>
        <w:r>
          <w:fldChar w:fldCharType="begin"/>
        </w:r>
        <w:r>
          <w:instrText xml:space="preserve">PAGEREF 3108 \h</w:instrText>
        </w:r>
        <w:r>
          <w:fldChar w:fldCharType="end"/>
        </w:r>
      </w:hyperlink>
    </w:p>
    <w:p>
      <w:pPr>
        <w:tabs>
          <w:tab w:val="right" w:leader="dot" w:pos="9062"/>
        </w:tabs>
        <w:ind w:left="220"/>
      </w:pPr>
      <w:hyperlink w:anchor="_Toc3109" w:history="1">
        <w:r>
          <w:rPr>
            <w:rFonts w:ascii="IRNazanin" w:hAnsi="IRNazanin" w:eastAsia="IRNazanin" w:cs="IRNazanin"/>
            <w:color w:val="111111"/>
            <w:sz w:val="22"/>
            <w:szCs w:val="22"/>
            <w:b w:val="0"/>
            <w:bCs w:val="0"/>
            <w:i w:val="0"/>
            <w:iCs w:val="0"/>
          </w:rPr>
          <w:t>حيدري ، ابراهيم بن صبغة الله، 1236؟ -</w:t>
        </w:r>
        <w:r>
          <w:tab/>
        </w:r>
        <w:r>
          <w:fldChar w:fldCharType="begin"/>
        </w:r>
        <w:r>
          <w:instrText xml:space="preserve">PAGEREF 3109 \h</w:instrText>
        </w:r>
        <w:r>
          <w:fldChar w:fldCharType="end"/>
        </w:r>
      </w:hyperlink>
    </w:p>
    <w:p>
      <w:pPr>
        <w:tabs>
          <w:tab w:val="right" w:leader="dot" w:pos="9062"/>
        </w:tabs>
        <w:ind w:left="220"/>
      </w:pPr>
      <w:hyperlink w:anchor="_Toc3110" w:history="1">
        <w:r>
          <w:rPr>
            <w:rFonts w:ascii="IRNazanin" w:hAnsi="IRNazanin" w:eastAsia="IRNazanin" w:cs="IRNazanin"/>
            <w:color w:val="111111"/>
            <w:sz w:val="22"/>
            <w:szCs w:val="22"/>
            <w:b w:val="0"/>
            <w:bCs w:val="0"/>
            <w:i w:val="0"/>
            <w:iCs w:val="0"/>
          </w:rPr>
          <w:t>حيدري ، ابراهيم بن عاصم، قرن 13 ه-</w:t>
        </w:r>
        <w:r>
          <w:tab/>
        </w:r>
        <w:r>
          <w:fldChar w:fldCharType="begin"/>
        </w:r>
        <w:r>
          <w:instrText xml:space="preserve">PAGEREF 3110 \h</w:instrText>
        </w:r>
        <w:r>
          <w:fldChar w:fldCharType="end"/>
        </w:r>
      </w:hyperlink>
    </w:p>
    <w:p>
      <w:pPr>
        <w:tabs>
          <w:tab w:val="right" w:leader="dot" w:pos="9062"/>
        </w:tabs>
        <w:ind w:left="220"/>
      </w:pPr>
      <w:hyperlink w:anchor="_Toc3111" w:history="1">
        <w:r>
          <w:rPr>
            <w:rFonts w:ascii="IRNazanin" w:hAnsi="IRNazanin" w:eastAsia="IRNazanin" w:cs="IRNazanin"/>
            <w:color w:val="111111"/>
            <w:sz w:val="22"/>
            <w:szCs w:val="22"/>
            <w:b w:val="0"/>
            <w:bCs w:val="0"/>
            <w:i w:val="0"/>
            <w:iCs w:val="0"/>
          </w:rPr>
          <w:t>حيدري، اسماعيل بن ابراهيم - 911 ه-</w:t>
        </w:r>
        <w:r>
          <w:tab/>
        </w:r>
        <w:r>
          <w:fldChar w:fldCharType="begin"/>
        </w:r>
        <w:r>
          <w:instrText xml:space="preserve">PAGEREF 3111 \h</w:instrText>
        </w:r>
        <w:r>
          <w:fldChar w:fldCharType="end"/>
        </w:r>
      </w:hyperlink>
    </w:p>
    <w:p>
      <w:pPr>
        <w:tabs>
          <w:tab w:val="right" w:leader="dot" w:pos="9062"/>
        </w:tabs>
        <w:ind w:left="220"/>
      </w:pPr>
      <w:hyperlink w:anchor="_Toc3112" w:history="1">
        <w:r>
          <w:rPr>
            <w:rFonts w:ascii="IRNazanin" w:hAnsi="IRNazanin" w:eastAsia="IRNazanin" w:cs="IRNazanin"/>
            <w:color w:val="111111"/>
            <w:sz w:val="22"/>
            <w:szCs w:val="22"/>
            <w:b w:val="0"/>
            <w:bCs w:val="0"/>
            <w:i w:val="0"/>
            <w:iCs w:val="0"/>
          </w:rPr>
          <w:t>حيدري ، درویش بن محمّد امین</w:t>
        </w:r>
        <w:r>
          <w:tab/>
        </w:r>
        <w:r>
          <w:fldChar w:fldCharType="begin"/>
        </w:r>
        <w:r>
          <w:instrText xml:space="preserve">PAGEREF 3112 \h</w:instrText>
        </w:r>
        <w:r>
          <w:fldChar w:fldCharType="end"/>
        </w:r>
      </w:hyperlink>
    </w:p>
    <w:p>
      <w:pPr>
        <w:tabs>
          <w:tab w:val="right" w:leader="dot" w:pos="9062"/>
        </w:tabs>
        <w:ind w:left="220"/>
      </w:pPr>
      <w:hyperlink w:anchor="_Toc3113" w:history="1">
        <w:r>
          <w:rPr>
            <w:rFonts w:ascii="IRNazanin" w:hAnsi="IRNazanin" w:eastAsia="IRNazanin" w:cs="IRNazanin"/>
            <w:color w:val="111111"/>
            <w:sz w:val="22"/>
            <w:szCs w:val="22"/>
            <w:b w:val="0"/>
            <w:bCs w:val="0"/>
            <w:i w:val="0"/>
            <w:iCs w:val="0"/>
          </w:rPr>
          <w:t>حيدري، صبغة الله بن ابراهيم - 1187ه-</w:t>
        </w:r>
        <w:r>
          <w:tab/>
        </w:r>
        <w:r>
          <w:fldChar w:fldCharType="begin"/>
        </w:r>
        <w:r>
          <w:instrText xml:space="preserve">PAGEREF 3113 \h</w:instrText>
        </w:r>
        <w:r>
          <w:fldChar w:fldCharType="end"/>
        </w:r>
      </w:hyperlink>
    </w:p>
    <w:p>
      <w:pPr>
        <w:tabs>
          <w:tab w:val="right" w:leader="dot" w:pos="9062"/>
        </w:tabs>
        <w:ind w:left="220"/>
      </w:pPr>
      <w:hyperlink w:anchor="_Toc3114" w:history="1">
        <w:r>
          <w:rPr>
            <w:rFonts w:ascii="IRNazanin" w:hAnsi="IRNazanin" w:eastAsia="IRNazanin" w:cs="IRNazanin"/>
            <w:color w:val="111111"/>
            <w:sz w:val="22"/>
            <w:szCs w:val="22"/>
            <w:b w:val="0"/>
            <w:bCs w:val="0"/>
            <w:i w:val="0"/>
            <w:iCs w:val="0"/>
          </w:rPr>
          <w:t>حيدري ، عاصم بن ابراهیم قرن 13</w:t>
        </w:r>
        <w:r>
          <w:tab/>
        </w:r>
        <w:r>
          <w:fldChar w:fldCharType="begin"/>
        </w:r>
        <w:r>
          <w:instrText xml:space="preserve">PAGEREF 3114 \h</w:instrText>
        </w:r>
        <w:r>
          <w:fldChar w:fldCharType="end"/>
        </w:r>
      </w:hyperlink>
    </w:p>
    <w:p>
      <w:pPr>
        <w:tabs>
          <w:tab w:val="right" w:leader="dot" w:pos="9062"/>
        </w:tabs>
        <w:ind w:left="220"/>
      </w:pPr>
      <w:hyperlink w:anchor="_Toc3115" w:history="1">
        <w:r>
          <w:rPr>
            <w:rFonts w:ascii="IRNazanin" w:hAnsi="IRNazanin" w:eastAsia="IRNazanin" w:cs="IRNazanin"/>
            <w:color w:val="111111"/>
            <w:sz w:val="22"/>
            <w:szCs w:val="22"/>
            <w:b w:val="0"/>
            <w:bCs w:val="0"/>
            <w:i w:val="0"/>
            <w:iCs w:val="0"/>
          </w:rPr>
          <w:t>حيدري ، عبدالله - 1233 ه-</w:t>
        </w:r>
        <w:r>
          <w:tab/>
        </w:r>
        <w:r>
          <w:fldChar w:fldCharType="begin"/>
        </w:r>
        <w:r>
          <w:instrText xml:space="preserve">PAGEREF 3115 \h</w:instrText>
        </w:r>
        <w:r>
          <w:fldChar w:fldCharType="end"/>
        </w:r>
      </w:hyperlink>
    </w:p>
    <w:p>
      <w:pPr>
        <w:tabs>
          <w:tab w:val="right" w:leader="dot" w:pos="9062"/>
        </w:tabs>
        <w:ind w:left="220"/>
      </w:pPr>
      <w:hyperlink w:anchor="_Toc3116" w:history="1">
        <w:r>
          <w:rPr>
            <w:rFonts w:ascii="IRNazanin" w:hAnsi="IRNazanin" w:eastAsia="IRNazanin" w:cs="IRNazanin"/>
            <w:color w:val="111111"/>
            <w:sz w:val="22"/>
            <w:szCs w:val="22"/>
            <w:b w:val="0"/>
            <w:bCs w:val="0"/>
            <w:i w:val="0"/>
            <w:iCs w:val="0"/>
          </w:rPr>
          <w:t>حيدري ، عبدالله بن احمد</w:t>
        </w:r>
        <w:r>
          <w:tab/>
        </w:r>
        <w:r>
          <w:fldChar w:fldCharType="begin"/>
        </w:r>
        <w:r>
          <w:instrText xml:space="preserve">PAGEREF 3116 \h</w:instrText>
        </w:r>
        <w:r>
          <w:fldChar w:fldCharType="end"/>
        </w:r>
      </w:hyperlink>
    </w:p>
    <w:p>
      <w:pPr>
        <w:tabs>
          <w:tab w:val="right" w:leader="dot" w:pos="9062"/>
        </w:tabs>
        <w:ind w:left="220"/>
      </w:pPr>
      <w:hyperlink w:anchor="_Toc3117" w:history="1">
        <w:r>
          <w:rPr>
            <w:rFonts w:ascii="IRNazanin" w:hAnsi="IRNazanin" w:eastAsia="IRNazanin" w:cs="IRNazanin"/>
            <w:color w:val="111111"/>
            <w:sz w:val="22"/>
            <w:szCs w:val="22"/>
            <w:b w:val="0"/>
            <w:bCs w:val="0"/>
            <w:i w:val="0"/>
            <w:iCs w:val="0"/>
          </w:rPr>
          <w:t>حيدري عبيد الله بن صبغة الله - 1242ه-</w:t>
        </w:r>
        <w:r>
          <w:tab/>
        </w:r>
        <w:r>
          <w:fldChar w:fldCharType="begin"/>
        </w:r>
        <w:r>
          <w:instrText xml:space="preserve">PAGEREF 3117 \h</w:instrText>
        </w:r>
        <w:r>
          <w:fldChar w:fldCharType="end"/>
        </w:r>
      </w:hyperlink>
    </w:p>
    <w:p>
      <w:pPr>
        <w:tabs>
          <w:tab w:val="right" w:leader="dot" w:pos="9062"/>
        </w:tabs>
        <w:ind w:left="220"/>
      </w:pPr>
      <w:hyperlink w:anchor="_Toc3118" w:history="1">
        <w:r>
          <w:rPr>
            <w:rFonts w:ascii="IRNazanin" w:hAnsi="IRNazanin" w:eastAsia="IRNazanin" w:cs="IRNazanin"/>
            <w:color w:val="111111"/>
            <w:sz w:val="22"/>
            <w:szCs w:val="22"/>
            <w:b w:val="0"/>
            <w:bCs w:val="0"/>
            <w:i w:val="0"/>
            <w:iCs w:val="0"/>
          </w:rPr>
          <w:t>حيدري، محمّد السيّد احمد - 1315 ه-</w:t>
        </w:r>
        <w:r>
          <w:tab/>
        </w:r>
        <w:r>
          <w:fldChar w:fldCharType="begin"/>
        </w:r>
        <w:r>
          <w:instrText xml:space="preserve">PAGEREF 3118 \h</w:instrText>
        </w:r>
        <w:r>
          <w:fldChar w:fldCharType="end"/>
        </w:r>
      </w:hyperlink>
    </w:p>
    <w:p>
      <w:pPr>
        <w:tabs>
          <w:tab w:val="right" w:leader="dot" w:pos="9062"/>
        </w:tabs>
        <w:ind w:left="220"/>
      </w:pPr>
      <w:hyperlink w:anchor="_Toc3119" w:history="1">
        <w:r>
          <w:rPr>
            <w:rFonts w:ascii="IRNazanin" w:hAnsi="IRNazanin" w:eastAsia="IRNazanin" w:cs="IRNazanin"/>
            <w:color w:val="111111"/>
            <w:sz w:val="22"/>
            <w:szCs w:val="22"/>
            <w:b w:val="0"/>
            <w:bCs w:val="0"/>
            <w:i w:val="0"/>
            <w:iCs w:val="0"/>
          </w:rPr>
          <w:t>حيدري ، محمّد بن حسين قرن 12 ه-</w:t>
        </w:r>
        <w:r>
          <w:tab/>
        </w:r>
        <w:r>
          <w:fldChar w:fldCharType="begin"/>
        </w:r>
        <w:r>
          <w:instrText xml:space="preserve">PAGEREF 3119 \h</w:instrText>
        </w:r>
        <w:r>
          <w:fldChar w:fldCharType="end"/>
        </w:r>
      </w:hyperlink>
    </w:p>
    <w:p>
      <w:pPr>
        <w:tabs>
          <w:tab w:val="right" w:leader="dot" w:pos="9062"/>
        </w:tabs>
        <w:ind w:left="220"/>
      </w:pPr>
      <w:hyperlink w:anchor="_Toc3120" w:history="1">
        <w:r>
          <w:rPr>
            <w:rFonts w:ascii="IRNazanin" w:hAnsi="IRNazanin" w:eastAsia="IRNazanin" w:cs="IRNazanin"/>
            <w:color w:val="111111"/>
            <w:sz w:val="22"/>
            <w:szCs w:val="22"/>
            <w:b w:val="0"/>
            <w:bCs w:val="0"/>
            <w:i w:val="0"/>
            <w:iCs w:val="0"/>
          </w:rPr>
          <w:t>حيري، اسماعيل بن احمد 361 - 430 ه-</w:t>
        </w:r>
        <w:r>
          <w:tab/>
        </w:r>
        <w:r>
          <w:fldChar w:fldCharType="begin"/>
        </w:r>
        <w:r>
          <w:instrText xml:space="preserve">PAGEREF 3120 \h</w:instrText>
        </w:r>
        <w:r>
          <w:fldChar w:fldCharType="end"/>
        </w:r>
      </w:hyperlink>
    </w:p>
    <w:p>
      <w:pPr>
        <w:tabs>
          <w:tab w:val="right" w:leader="dot" w:pos="9062"/>
        </w:tabs>
        <w:ind w:left="220"/>
      </w:pPr>
      <w:hyperlink w:anchor="_Toc3121" w:history="1">
        <w:r>
          <w:rPr>
            <w:rFonts w:ascii="IRNazanin" w:hAnsi="IRNazanin" w:eastAsia="IRNazanin" w:cs="IRNazanin"/>
            <w:color w:val="111111"/>
            <w:sz w:val="22"/>
            <w:szCs w:val="22"/>
            <w:b w:val="0"/>
            <w:bCs w:val="0"/>
            <w:i w:val="0"/>
            <w:iCs w:val="0"/>
          </w:rPr>
          <w:t>خائف دزفولي، قرن 14 ه-</w:t>
        </w:r>
        <w:r>
          <w:tab/>
        </w:r>
        <w:r>
          <w:fldChar w:fldCharType="begin"/>
        </w:r>
        <w:r>
          <w:instrText xml:space="preserve">PAGEREF 3121 \h</w:instrText>
        </w:r>
        <w:r>
          <w:fldChar w:fldCharType="end"/>
        </w:r>
      </w:hyperlink>
    </w:p>
    <w:p>
      <w:pPr>
        <w:tabs>
          <w:tab w:val="right" w:leader="dot" w:pos="9062"/>
        </w:tabs>
        <w:ind w:left="220"/>
      </w:pPr>
      <w:hyperlink w:anchor="_Toc3122" w:history="1">
        <w:r>
          <w:rPr>
            <w:rFonts w:ascii="IRNazanin" w:hAnsi="IRNazanin" w:eastAsia="IRNazanin" w:cs="IRNazanin"/>
            <w:color w:val="111111"/>
            <w:sz w:val="22"/>
            <w:szCs w:val="22"/>
            <w:b w:val="0"/>
            <w:bCs w:val="0"/>
            <w:i w:val="0"/>
            <w:iCs w:val="0"/>
          </w:rPr>
          <w:t>خابوري ، جاسم، قرن 14 ه-</w:t>
        </w:r>
        <w:r>
          <w:tab/>
        </w:r>
        <w:r>
          <w:fldChar w:fldCharType="begin"/>
        </w:r>
        <w:r>
          <w:instrText xml:space="preserve">PAGEREF 3122 \h</w:instrText>
        </w:r>
        <w:r>
          <w:fldChar w:fldCharType="end"/>
        </w:r>
      </w:hyperlink>
    </w:p>
    <w:p>
      <w:pPr>
        <w:tabs>
          <w:tab w:val="right" w:leader="dot" w:pos="9062"/>
        </w:tabs>
        <w:ind w:left="220"/>
      </w:pPr>
      <w:hyperlink w:anchor="_Toc3123" w:history="1">
        <w:r>
          <w:rPr>
            <w:rFonts w:ascii="IRNazanin" w:hAnsi="IRNazanin" w:eastAsia="IRNazanin" w:cs="IRNazanin"/>
            <w:color w:val="111111"/>
            <w:sz w:val="22"/>
            <w:szCs w:val="22"/>
            <w:b w:val="0"/>
            <w:bCs w:val="0"/>
            <w:i w:val="0"/>
            <w:iCs w:val="0"/>
          </w:rPr>
          <w:t>خاتون آبادي ، اسماعیل بن محمّد باقر،</w:t>
        </w:r>
        <w:r>
          <w:tab/>
        </w:r>
        <w:r>
          <w:fldChar w:fldCharType="begin"/>
        </w:r>
        <w:r>
          <w:instrText xml:space="preserve">PAGEREF 3123 \h</w:instrText>
        </w:r>
        <w:r>
          <w:fldChar w:fldCharType="end"/>
        </w:r>
      </w:hyperlink>
    </w:p>
    <w:p>
      <w:pPr>
        <w:tabs>
          <w:tab w:val="right" w:leader="dot" w:pos="9062"/>
        </w:tabs>
        <w:ind w:left="220"/>
      </w:pPr>
      <w:hyperlink w:anchor="_Toc3124" w:history="1">
        <w:r>
          <w:rPr>
            <w:rFonts w:ascii="IRNazanin" w:hAnsi="IRNazanin" w:eastAsia="IRNazanin" w:cs="IRNazanin"/>
            <w:color w:val="111111"/>
            <w:sz w:val="22"/>
            <w:szCs w:val="22"/>
            <w:b w:val="0"/>
            <w:bCs w:val="0"/>
            <w:i w:val="0"/>
            <w:iCs w:val="0"/>
          </w:rPr>
          <w:t>خاتون آبادي ، عبد الباقي بن محمّد حسين - 1207 ه-</w:t>
        </w:r>
        <w:r>
          <w:tab/>
        </w:r>
        <w:r>
          <w:fldChar w:fldCharType="begin"/>
        </w:r>
        <w:r>
          <w:instrText xml:space="preserve">PAGEREF 3124 \h</w:instrText>
        </w:r>
        <w:r>
          <w:fldChar w:fldCharType="end"/>
        </w:r>
      </w:hyperlink>
    </w:p>
    <w:p>
      <w:pPr>
        <w:tabs>
          <w:tab w:val="right" w:leader="dot" w:pos="9062"/>
        </w:tabs>
        <w:ind w:left="220"/>
      </w:pPr>
      <w:hyperlink w:anchor="_Toc3125" w:history="1">
        <w:r>
          <w:rPr>
            <w:rFonts w:ascii="IRNazanin" w:hAnsi="IRNazanin" w:eastAsia="IRNazanin" w:cs="IRNazanin"/>
            <w:color w:val="111111"/>
            <w:sz w:val="22"/>
            <w:szCs w:val="22"/>
            <w:b w:val="0"/>
            <w:bCs w:val="0"/>
            <w:i w:val="0"/>
            <w:iCs w:val="0"/>
          </w:rPr>
          <w:t>خاتون آبادي ، محمّد حسين بن صالح -</w:t>
        </w:r>
        <w:r>
          <w:tab/>
        </w:r>
        <w:r>
          <w:fldChar w:fldCharType="begin"/>
        </w:r>
        <w:r>
          <w:instrText xml:space="preserve">PAGEREF 3125 \h</w:instrText>
        </w:r>
        <w:r>
          <w:fldChar w:fldCharType="end"/>
        </w:r>
      </w:hyperlink>
    </w:p>
    <w:p>
      <w:pPr>
        <w:tabs>
          <w:tab w:val="right" w:leader="dot" w:pos="9062"/>
        </w:tabs>
        <w:ind w:left="220"/>
      </w:pPr>
      <w:hyperlink w:anchor="_Toc3126" w:history="1">
        <w:r>
          <w:rPr>
            <w:rFonts w:ascii="IRNazanin" w:hAnsi="IRNazanin" w:eastAsia="IRNazanin" w:cs="IRNazanin"/>
            <w:color w:val="111111"/>
            <w:sz w:val="22"/>
            <w:szCs w:val="22"/>
            <w:b w:val="0"/>
            <w:bCs w:val="0"/>
            <w:i w:val="0"/>
            <w:iCs w:val="0"/>
          </w:rPr>
          <w:t>خاتون آبادي ، محمّد شریف بن محمّد صادق قرن 12 ه-</w:t>
        </w:r>
        <w:r>
          <w:tab/>
        </w:r>
        <w:r>
          <w:fldChar w:fldCharType="begin"/>
        </w:r>
        <w:r>
          <w:instrText xml:space="preserve">PAGEREF 3126 \h</w:instrText>
        </w:r>
        <w:r>
          <w:fldChar w:fldCharType="end"/>
        </w:r>
      </w:hyperlink>
    </w:p>
    <w:p>
      <w:pPr>
        <w:tabs>
          <w:tab w:val="right" w:leader="dot" w:pos="9062"/>
        </w:tabs>
        <w:ind w:left="220"/>
      </w:pPr>
      <w:hyperlink w:anchor="_Toc3127" w:history="1">
        <w:r>
          <w:rPr>
            <w:rFonts w:ascii="IRNazanin" w:hAnsi="IRNazanin" w:eastAsia="IRNazanin" w:cs="IRNazanin"/>
            <w:color w:val="111111"/>
            <w:sz w:val="22"/>
            <w:szCs w:val="22"/>
            <w:b w:val="0"/>
            <w:bCs w:val="0"/>
            <w:i w:val="0"/>
            <w:iCs w:val="0"/>
          </w:rPr>
          <w:t>خادم، ابو البركات بن محمّد اسماعیل</w:t>
        </w:r>
        <w:r>
          <w:tab/>
        </w:r>
        <w:r>
          <w:fldChar w:fldCharType="begin"/>
        </w:r>
        <w:r>
          <w:instrText xml:space="preserve">PAGEREF 3127 \h</w:instrText>
        </w:r>
        <w:r>
          <w:fldChar w:fldCharType="end"/>
        </w:r>
      </w:hyperlink>
    </w:p>
    <w:p>
      <w:pPr>
        <w:tabs>
          <w:tab w:val="right" w:leader="dot" w:pos="9062"/>
        </w:tabs>
        <w:ind w:left="220"/>
      </w:pPr>
      <w:hyperlink w:anchor="_Toc3128" w:history="1">
        <w:r>
          <w:rPr>
            <w:rFonts w:ascii="IRNazanin" w:hAnsi="IRNazanin" w:eastAsia="IRNazanin" w:cs="IRNazanin"/>
            <w:color w:val="111111"/>
            <w:sz w:val="22"/>
            <w:szCs w:val="22"/>
            <w:b w:val="0"/>
            <w:bCs w:val="0"/>
            <w:i w:val="0"/>
            <w:iCs w:val="0"/>
          </w:rPr>
          <w:t>خادم استرآبادي علي بن داوود، قرن 11 ه-</w:t>
        </w:r>
        <w:r>
          <w:tab/>
        </w:r>
        <w:r>
          <w:fldChar w:fldCharType="begin"/>
        </w:r>
        <w:r>
          <w:instrText xml:space="preserve">PAGEREF 3128 \h</w:instrText>
        </w:r>
        <w:r>
          <w:fldChar w:fldCharType="end"/>
        </w:r>
      </w:hyperlink>
    </w:p>
    <w:p>
      <w:pPr>
        <w:tabs>
          <w:tab w:val="right" w:leader="dot" w:pos="9062"/>
        </w:tabs>
        <w:ind w:left="220"/>
      </w:pPr>
      <w:hyperlink w:anchor="_Toc3129" w:history="1">
        <w:r>
          <w:rPr>
            <w:rFonts w:ascii="IRNazanin" w:hAnsi="IRNazanin" w:eastAsia="IRNazanin" w:cs="IRNazanin"/>
            <w:color w:val="111111"/>
            <w:sz w:val="22"/>
            <w:szCs w:val="22"/>
            <w:b w:val="0"/>
            <w:bCs w:val="0"/>
            <w:i w:val="0"/>
            <w:iCs w:val="0"/>
          </w:rPr>
          <w:t>خادم انصاري ، محمّد تقي بن ابوالمعالي</w:t>
        </w:r>
        <w:r>
          <w:tab/>
        </w:r>
        <w:r>
          <w:fldChar w:fldCharType="begin"/>
        </w:r>
        <w:r>
          <w:instrText xml:space="preserve">PAGEREF 3129 \h</w:instrText>
        </w:r>
        <w:r>
          <w:fldChar w:fldCharType="end"/>
        </w:r>
      </w:hyperlink>
    </w:p>
    <w:p>
      <w:pPr>
        <w:tabs>
          <w:tab w:val="right" w:leader="dot" w:pos="9062"/>
        </w:tabs>
        <w:ind w:left="220"/>
      </w:pPr>
      <w:hyperlink w:anchor="_Toc3130" w:history="1">
        <w:r>
          <w:rPr>
            <w:rFonts w:ascii="IRNazanin" w:hAnsi="IRNazanin" w:eastAsia="IRNazanin" w:cs="IRNazanin"/>
            <w:color w:val="111111"/>
            <w:sz w:val="22"/>
            <w:szCs w:val="22"/>
            <w:b w:val="0"/>
            <w:bCs w:val="0"/>
            <w:i w:val="0"/>
            <w:iCs w:val="0"/>
          </w:rPr>
          <w:t>خادم حسيني، زين العابدين قرن 11 ه-</w:t>
        </w:r>
        <w:r>
          <w:tab/>
        </w:r>
        <w:r>
          <w:fldChar w:fldCharType="begin"/>
        </w:r>
        <w:r>
          <w:instrText xml:space="preserve">PAGEREF 3130 \h</w:instrText>
        </w:r>
        <w:r>
          <w:fldChar w:fldCharType="end"/>
        </w:r>
      </w:hyperlink>
    </w:p>
    <w:p>
      <w:pPr>
        <w:tabs>
          <w:tab w:val="right" w:leader="dot" w:pos="9062"/>
        </w:tabs>
        <w:ind w:left="220"/>
      </w:pPr>
      <w:hyperlink w:anchor="_Toc3131" w:history="1">
        <w:r>
          <w:rPr>
            <w:rFonts w:ascii="IRNazanin" w:hAnsi="IRNazanin" w:eastAsia="IRNazanin" w:cs="IRNazanin"/>
            <w:color w:val="111111"/>
            <w:sz w:val="22"/>
            <w:szCs w:val="22"/>
            <w:b w:val="0"/>
            <w:bCs w:val="0"/>
            <w:i w:val="0"/>
            <w:iCs w:val="0"/>
          </w:rPr>
          <w:t>خادمي ، محمّد - 1113 ه-</w:t>
        </w:r>
        <w:r>
          <w:tab/>
        </w:r>
        <w:r>
          <w:fldChar w:fldCharType="begin"/>
        </w:r>
        <w:r>
          <w:instrText xml:space="preserve">PAGEREF 3131 \h</w:instrText>
        </w:r>
        <w:r>
          <w:fldChar w:fldCharType="end"/>
        </w:r>
      </w:hyperlink>
    </w:p>
    <w:p>
      <w:pPr>
        <w:tabs>
          <w:tab w:val="right" w:leader="dot" w:pos="9062"/>
        </w:tabs>
        <w:ind w:left="220"/>
      </w:pPr>
      <w:hyperlink w:anchor="_Toc3132" w:history="1">
        <w:r>
          <w:rPr>
            <w:rFonts w:ascii="IRNazanin" w:hAnsi="IRNazanin" w:eastAsia="IRNazanin" w:cs="IRNazanin"/>
            <w:color w:val="111111"/>
            <w:sz w:val="22"/>
            <w:szCs w:val="22"/>
            <w:b w:val="0"/>
            <w:bCs w:val="0"/>
            <w:i w:val="0"/>
            <w:iCs w:val="0"/>
          </w:rPr>
          <w:t>خادمي، محمّد بن مصطفى، - 1176 ه-</w:t>
        </w:r>
        <w:r>
          <w:tab/>
        </w:r>
        <w:r>
          <w:fldChar w:fldCharType="begin"/>
        </w:r>
        <w:r>
          <w:instrText xml:space="preserve">PAGEREF 3132 \h</w:instrText>
        </w:r>
        <w:r>
          <w:fldChar w:fldCharType="end"/>
        </w:r>
      </w:hyperlink>
    </w:p>
    <w:p>
      <w:pPr>
        <w:tabs>
          <w:tab w:val="right" w:leader="dot" w:pos="9062"/>
        </w:tabs>
        <w:ind w:left="220"/>
      </w:pPr>
      <w:hyperlink w:anchor="_Toc3133" w:history="1">
        <w:r>
          <w:rPr>
            <w:rFonts w:ascii="IRNazanin" w:hAnsi="IRNazanin" w:eastAsia="IRNazanin" w:cs="IRNazanin"/>
            <w:color w:val="111111"/>
            <w:sz w:val="22"/>
            <w:szCs w:val="22"/>
            <w:b w:val="0"/>
            <w:bCs w:val="0"/>
            <w:i w:val="0"/>
            <w:iCs w:val="0"/>
          </w:rPr>
          <w:t>خازن ، علي بن محمّد، 678 - 741 ه-</w:t>
        </w:r>
        <w:r>
          <w:tab/>
        </w:r>
        <w:r>
          <w:fldChar w:fldCharType="begin"/>
        </w:r>
        <w:r>
          <w:instrText xml:space="preserve">PAGEREF 3133 \h</w:instrText>
        </w:r>
        <w:r>
          <w:fldChar w:fldCharType="end"/>
        </w:r>
      </w:hyperlink>
    </w:p>
    <w:p>
      <w:pPr>
        <w:tabs>
          <w:tab w:val="right" w:leader="dot" w:pos="9062"/>
        </w:tabs>
        <w:ind w:left="220"/>
      </w:pPr>
      <w:hyperlink w:anchor="_Toc3134" w:history="1">
        <w:r>
          <w:rPr>
            <w:rFonts w:ascii="IRNazanin" w:hAnsi="IRNazanin" w:eastAsia="IRNazanin" w:cs="IRNazanin"/>
            <w:color w:val="111111"/>
            <w:sz w:val="22"/>
            <w:szCs w:val="22"/>
            <w:b w:val="0"/>
            <w:bCs w:val="0"/>
            <w:i w:val="0"/>
            <w:iCs w:val="0"/>
          </w:rPr>
          <w:t>خازني ، محمّد بن ابراهيم</w:t>
        </w:r>
        <w:r>
          <w:tab/>
        </w:r>
        <w:r>
          <w:fldChar w:fldCharType="begin"/>
        </w:r>
        <w:r>
          <w:instrText xml:space="preserve">PAGEREF 3134 \h</w:instrText>
        </w:r>
        <w:r>
          <w:fldChar w:fldCharType="end"/>
        </w:r>
      </w:hyperlink>
    </w:p>
    <w:p>
      <w:pPr>
        <w:tabs>
          <w:tab w:val="right" w:leader="dot" w:pos="9062"/>
        </w:tabs>
        <w:ind w:left="220"/>
      </w:pPr>
      <w:hyperlink w:anchor="_Toc3135" w:history="1">
        <w:r>
          <w:rPr>
            <w:rFonts w:ascii="IRNazanin" w:hAnsi="IRNazanin" w:eastAsia="IRNazanin" w:cs="IRNazanin"/>
            <w:color w:val="111111"/>
            <w:sz w:val="22"/>
            <w:szCs w:val="22"/>
            <w:b w:val="0"/>
            <w:bCs w:val="0"/>
            <w:i w:val="0"/>
            <w:iCs w:val="0"/>
          </w:rPr>
          <w:t>خاصي ، موفق بن محمّد، 579 - 643 ه-</w:t>
        </w:r>
        <w:r>
          <w:tab/>
        </w:r>
        <w:r>
          <w:fldChar w:fldCharType="begin"/>
        </w:r>
        <w:r>
          <w:instrText xml:space="preserve">PAGEREF 3135 \h</w:instrText>
        </w:r>
        <w:r>
          <w:fldChar w:fldCharType="end"/>
        </w:r>
      </w:hyperlink>
    </w:p>
    <w:p>
      <w:pPr>
        <w:tabs>
          <w:tab w:val="right" w:leader="dot" w:pos="9062"/>
        </w:tabs>
        <w:ind w:left="220"/>
      </w:pPr>
      <w:hyperlink w:anchor="_Toc3136" w:history="1">
        <w:r>
          <w:rPr>
            <w:rFonts w:ascii="IRNazanin" w:hAnsi="IRNazanin" w:eastAsia="IRNazanin" w:cs="IRNazanin"/>
            <w:color w:val="111111"/>
            <w:sz w:val="22"/>
            <w:szCs w:val="22"/>
            <w:b w:val="0"/>
            <w:bCs w:val="0"/>
            <w:i w:val="0"/>
            <w:iCs w:val="0"/>
          </w:rPr>
          <w:t>خاقاني، بديل بن علي 520 - 595؟ ه-</w:t>
        </w:r>
        <w:r>
          <w:tab/>
        </w:r>
        <w:r>
          <w:fldChar w:fldCharType="begin"/>
        </w:r>
        <w:r>
          <w:instrText xml:space="preserve">PAGEREF 3136 \h</w:instrText>
        </w:r>
        <w:r>
          <w:fldChar w:fldCharType="end"/>
        </w:r>
      </w:hyperlink>
    </w:p>
    <w:p>
      <w:pPr>
        <w:tabs>
          <w:tab w:val="right" w:leader="dot" w:pos="9062"/>
        </w:tabs>
        <w:ind w:left="220"/>
      </w:pPr>
      <w:hyperlink w:anchor="_Toc3137" w:history="1">
        <w:r>
          <w:rPr>
            <w:rFonts w:ascii="IRNazanin" w:hAnsi="IRNazanin" w:eastAsia="IRNazanin" w:cs="IRNazanin"/>
            <w:color w:val="111111"/>
            <w:sz w:val="22"/>
            <w:szCs w:val="22"/>
            <w:b w:val="0"/>
            <w:bCs w:val="0"/>
            <w:i w:val="0"/>
            <w:iCs w:val="0"/>
          </w:rPr>
          <w:t>خاقاني ، حسن بن علي - 1381 ه-</w:t>
        </w:r>
        <w:r>
          <w:tab/>
        </w:r>
        <w:r>
          <w:fldChar w:fldCharType="begin"/>
        </w:r>
        <w:r>
          <w:instrText xml:space="preserve">PAGEREF 3137 \h</w:instrText>
        </w:r>
        <w:r>
          <w:fldChar w:fldCharType="end"/>
        </w:r>
      </w:hyperlink>
    </w:p>
    <w:p>
      <w:pPr>
        <w:tabs>
          <w:tab w:val="right" w:leader="dot" w:pos="9062"/>
        </w:tabs>
        <w:ind w:left="220"/>
      </w:pPr>
      <w:hyperlink w:anchor="_Toc3138" w:history="1">
        <w:r>
          <w:rPr>
            <w:rFonts w:ascii="IRNazanin" w:hAnsi="IRNazanin" w:eastAsia="IRNazanin" w:cs="IRNazanin"/>
            <w:color w:val="111111"/>
            <w:sz w:val="22"/>
            <w:szCs w:val="22"/>
            <w:b w:val="0"/>
            <w:bCs w:val="0"/>
            <w:i w:val="0"/>
            <w:iCs w:val="0"/>
          </w:rPr>
          <w:t>خاقاني ، علي بن حسين، 1255 - 1334 ه-</w:t>
        </w:r>
        <w:r>
          <w:tab/>
        </w:r>
        <w:r>
          <w:fldChar w:fldCharType="begin"/>
        </w:r>
        <w:r>
          <w:instrText xml:space="preserve">PAGEREF 3138 \h</w:instrText>
        </w:r>
        <w:r>
          <w:fldChar w:fldCharType="end"/>
        </w:r>
      </w:hyperlink>
    </w:p>
    <w:p>
      <w:pPr>
        <w:tabs>
          <w:tab w:val="right" w:leader="dot" w:pos="9062"/>
        </w:tabs>
        <w:ind w:left="220"/>
      </w:pPr>
      <w:hyperlink w:anchor="_Toc3139" w:history="1">
        <w:r>
          <w:rPr>
            <w:rFonts w:ascii="IRNazanin" w:hAnsi="IRNazanin" w:eastAsia="IRNazanin" w:cs="IRNazanin"/>
            <w:color w:val="111111"/>
            <w:sz w:val="22"/>
            <w:szCs w:val="22"/>
            <w:b w:val="0"/>
            <w:bCs w:val="0"/>
            <w:i w:val="0"/>
            <w:iCs w:val="0"/>
          </w:rPr>
          <w:t>خاقاني ، قاسم</w:t>
        </w:r>
        <w:r>
          <w:tab/>
        </w:r>
        <w:r>
          <w:fldChar w:fldCharType="begin"/>
        </w:r>
        <w:r>
          <w:instrText xml:space="preserve">PAGEREF 3139 \h</w:instrText>
        </w:r>
        <w:r>
          <w:fldChar w:fldCharType="end"/>
        </w:r>
      </w:hyperlink>
    </w:p>
    <w:p>
      <w:pPr>
        <w:tabs>
          <w:tab w:val="right" w:leader="dot" w:pos="9062"/>
        </w:tabs>
        <w:ind w:left="220"/>
      </w:pPr>
      <w:hyperlink w:anchor="_Toc3140" w:history="1">
        <w:r>
          <w:rPr>
            <w:rFonts w:ascii="IRNazanin" w:hAnsi="IRNazanin" w:eastAsia="IRNazanin" w:cs="IRNazanin"/>
            <w:color w:val="111111"/>
            <w:sz w:val="22"/>
            <w:szCs w:val="22"/>
            <w:b w:val="0"/>
            <w:bCs w:val="0"/>
            <w:i w:val="0"/>
            <w:iCs w:val="0"/>
          </w:rPr>
          <w:t>خاقاني ، محمّد بن نصر الله قرن 8 ه-</w:t>
        </w:r>
        <w:r>
          <w:tab/>
        </w:r>
        <w:r>
          <w:fldChar w:fldCharType="begin"/>
        </w:r>
        <w:r>
          <w:instrText xml:space="preserve">PAGEREF 3140 \h</w:instrText>
        </w:r>
        <w:r>
          <w:fldChar w:fldCharType="end"/>
        </w:r>
      </w:hyperlink>
    </w:p>
    <w:p>
      <w:pPr>
        <w:tabs>
          <w:tab w:val="right" w:leader="dot" w:pos="9062"/>
        </w:tabs>
        <w:ind w:left="220"/>
      </w:pPr>
      <w:hyperlink w:anchor="_Toc3141" w:history="1">
        <w:r>
          <w:rPr>
            <w:rFonts w:ascii="IRNazanin" w:hAnsi="IRNazanin" w:eastAsia="IRNazanin" w:cs="IRNazanin"/>
            <w:color w:val="111111"/>
            <w:sz w:val="22"/>
            <w:szCs w:val="22"/>
            <w:b w:val="0"/>
            <w:bCs w:val="0"/>
            <w:i w:val="0"/>
            <w:iCs w:val="0"/>
          </w:rPr>
          <w:t>خاك قزويني ، محمّد بن عبد الحسين قرن</w:t>
        </w:r>
        <w:r>
          <w:tab/>
        </w:r>
        <w:r>
          <w:fldChar w:fldCharType="begin"/>
        </w:r>
        <w:r>
          <w:instrText xml:space="preserve">PAGEREF 3141 \h</w:instrText>
        </w:r>
        <w:r>
          <w:fldChar w:fldCharType="end"/>
        </w:r>
      </w:hyperlink>
    </w:p>
    <w:p>
      <w:pPr>
        <w:tabs>
          <w:tab w:val="right" w:leader="dot" w:pos="9062"/>
        </w:tabs>
        <w:ind w:left="220"/>
      </w:pPr>
      <w:hyperlink w:anchor="_Toc3142" w:history="1">
        <w:r>
          <w:rPr>
            <w:rFonts w:ascii="IRNazanin" w:hAnsi="IRNazanin" w:eastAsia="IRNazanin" w:cs="IRNazanin"/>
            <w:color w:val="111111"/>
            <w:sz w:val="22"/>
            <w:szCs w:val="22"/>
            <w:b w:val="0"/>
            <w:bCs w:val="0"/>
            <w:i w:val="0"/>
            <w:iCs w:val="0"/>
          </w:rPr>
          <w:t>خاکي زاده، محمّد کمال قرن 14 ه-</w:t>
        </w:r>
        <w:r>
          <w:tab/>
        </w:r>
        <w:r>
          <w:fldChar w:fldCharType="begin"/>
        </w:r>
        <w:r>
          <w:instrText xml:space="preserve">PAGEREF 3142 \h</w:instrText>
        </w:r>
        <w:r>
          <w:fldChar w:fldCharType="end"/>
        </w:r>
      </w:hyperlink>
    </w:p>
    <w:p>
      <w:pPr>
        <w:tabs>
          <w:tab w:val="right" w:leader="dot" w:pos="9062"/>
        </w:tabs>
        <w:ind w:left="220"/>
      </w:pPr>
      <w:hyperlink w:anchor="_Toc3143" w:history="1">
        <w:r>
          <w:rPr>
            <w:rFonts w:ascii="IRNazanin" w:hAnsi="IRNazanin" w:eastAsia="IRNazanin" w:cs="IRNazanin"/>
            <w:color w:val="111111"/>
            <w:sz w:val="22"/>
            <w:szCs w:val="22"/>
            <w:b w:val="0"/>
            <w:bCs w:val="0"/>
            <w:i w:val="0"/>
            <w:iCs w:val="0"/>
          </w:rPr>
          <w:t>خاكي ، موسى</w:t>
        </w:r>
        <w:r>
          <w:tab/>
        </w:r>
        <w:r>
          <w:fldChar w:fldCharType="begin"/>
        </w:r>
        <w:r>
          <w:instrText xml:space="preserve">PAGEREF 3143 \h</w:instrText>
        </w:r>
        <w:r>
          <w:fldChar w:fldCharType="end"/>
        </w:r>
      </w:hyperlink>
    </w:p>
    <w:p>
      <w:pPr>
        <w:tabs>
          <w:tab w:val="right" w:leader="dot" w:pos="9062"/>
        </w:tabs>
        <w:ind w:left="220"/>
      </w:pPr>
      <w:hyperlink w:anchor="_Toc3144" w:history="1">
        <w:r>
          <w:rPr>
            <w:rFonts w:ascii="IRNazanin" w:hAnsi="IRNazanin" w:eastAsia="IRNazanin" w:cs="IRNazanin"/>
            <w:color w:val="111111"/>
            <w:sz w:val="22"/>
            <w:szCs w:val="22"/>
            <w:b w:val="0"/>
            <w:bCs w:val="0"/>
            <w:i w:val="0"/>
            <w:iCs w:val="0"/>
          </w:rPr>
          <w:t>خالد بن صفوان - 133 ه-</w:t>
        </w:r>
        <w:r>
          <w:tab/>
        </w:r>
        <w:r>
          <w:fldChar w:fldCharType="begin"/>
        </w:r>
        <w:r>
          <w:instrText xml:space="preserve">PAGEREF 3144 \h</w:instrText>
        </w:r>
        <w:r>
          <w:fldChar w:fldCharType="end"/>
        </w:r>
      </w:hyperlink>
    </w:p>
    <w:p>
      <w:pPr>
        <w:tabs>
          <w:tab w:val="right" w:leader="dot" w:pos="9062"/>
        </w:tabs>
        <w:ind w:left="220"/>
      </w:pPr>
      <w:hyperlink w:anchor="_Toc3145" w:history="1">
        <w:r>
          <w:rPr>
            <w:rFonts w:ascii="IRNazanin" w:hAnsi="IRNazanin" w:eastAsia="IRNazanin" w:cs="IRNazanin"/>
            <w:color w:val="111111"/>
            <w:sz w:val="22"/>
            <w:szCs w:val="22"/>
            <w:b w:val="0"/>
            <w:bCs w:val="0"/>
            <w:i w:val="0"/>
            <w:iCs w:val="0"/>
          </w:rPr>
          <w:t>خالد بن يزيد - 85 ه-</w:t>
        </w:r>
        <w:r>
          <w:tab/>
        </w:r>
        <w:r>
          <w:fldChar w:fldCharType="begin"/>
        </w:r>
        <w:r>
          <w:instrText xml:space="preserve">PAGEREF 3145 \h</w:instrText>
        </w:r>
        <w:r>
          <w:fldChar w:fldCharType="end"/>
        </w:r>
      </w:hyperlink>
    </w:p>
    <w:p>
      <w:pPr>
        <w:tabs>
          <w:tab w:val="right" w:leader="dot" w:pos="9062"/>
        </w:tabs>
        <w:ind w:left="220"/>
      </w:pPr>
      <w:hyperlink w:anchor="_Toc3146" w:history="1">
        <w:r>
          <w:rPr>
            <w:rFonts w:ascii="IRNazanin" w:hAnsi="IRNazanin" w:eastAsia="IRNazanin" w:cs="IRNazanin"/>
            <w:color w:val="111111"/>
            <w:sz w:val="22"/>
            <w:szCs w:val="22"/>
            <w:b w:val="0"/>
            <w:bCs w:val="0"/>
            <w:i w:val="0"/>
            <w:iCs w:val="0"/>
          </w:rPr>
          <w:t>؟ خالدي ، حسين بن احمد قرن 8 ه-</w:t>
        </w:r>
        <w:r>
          <w:tab/>
        </w:r>
        <w:r>
          <w:fldChar w:fldCharType="begin"/>
        </w:r>
        <w:r>
          <w:instrText xml:space="preserve">PAGEREF 3146 \h</w:instrText>
        </w:r>
        <w:r>
          <w:fldChar w:fldCharType="end"/>
        </w:r>
      </w:hyperlink>
    </w:p>
    <w:p>
      <w:pPr>
        <w:tabs>
          <w:tab w:val="right" w:leader="dot" w:pos="9062"/>
        </w:tabs>
        <w:ind w:left="220"/>
      </w:pPr>
      <w:hyperlink w:anchor="_Toc3147" w:history="1">
        <w:r>
          <w:rPr>
            <w:rFonts w:ascii="IRNazanin" w:hAnsi="IRNazanin" w:eastAsia="IRNazanin" w:cs="IRNazanin"/>
            <w:color w:val="111111"/>
            <w:sz w:val="22"/>
            <w:szCs w:val="22"/>
            <w:b w:val="0"/>
            <w:bCs w:val="0"/>
            <w:i w:val="0"/>
            <w:iCs w:val="0"/>
          </w:rPr>
          <w:t>خالدي صفدي احمد بن محمّد -1034ه-</w:t>
        </w:r>
        <w:r>
          <w:tab/>
        </w:r>
        <w:r>
          <w:fldChar w:fldCharType="begin"/>
        </w:r>
        <w:r>
          <w:instrText xml:space="preserve">PAGEREF 3147 \h</w:instrText>
        </w:r>
        <w:r>
          <w:fldChar w:fldCharType="end"/>
        </w:r>
      </w:hyperlink>
    </w:p>
    <w:p>
      <w:pPr>
        <w:tabs>
          <w:tab w:val="right" w:leader="dot" w:pos="9062"/>
        </w:tabs>
        <w:ind w:left="220"/>
      </w:pPr>
      <w:hyperlink w:anchor="_Toc3148" w:history="1">
        <w:r>
          <w:rPr>
            <w:rFonts w:ascii="IRNazanin" w:hAnsi="IRNazanin" w:eastAsia="IRNazanin" w:cs="IRNazanin"/>
            <w:color w:val="111111"/>
            <w:sz w:val="22"/>
            <w:szCs w:val="22"/>
            <w:b w:val="0"/>
            <w:bCs w:val="0"/>
            <w:i w:val="0"/>
            <w:iCs w:val="0"/>
          </w:rPr>
          <w:t>خالصي،اسدالله بن محمّد علي قرن 14 ه-</w:t>
        </w:r>
        <w:r>
          <w:tab/>
        </w:r>
        <w:r>
          <w:fldChar w:fldCharType="begin"/>
        </w:r>
        <w:r>
          <w:instrText xml:space="preserve">PAGEREF 3148 \h</w:instrText>
        </w:r>
        <w:r>
          <w:fldChar w:fldCharType="end"/>
        </w:r>
      </w:hyperlink>
    </w:p>
    <w:p>
      <w:pPr>
        <w:tabs>
          <w:tab w:val="right" w:leader="dot" w:pos="9062"/>
        </w:tabs>
        <w:ind w:left="220"/>
      </w:pPr>
      <w:hyperlink w:anchor="_Toc3149" w:history="1">
        <w:r>
          <w:rPr>
            <w:rFonts w:ascii="IRNazanin" w:hAnsi="IRNazanin" w:eastAsia="IRNazanin" w:cs="IRNazanin"/>
            <w:color w:val="111111"/>
            <w:sz w:val="22"/>
            <w:szCs w:val="22"/>
            <w:b w:val="0"/>
            <w:bCs w:val="0"/>
            <w:i w:val="0"/>
            <w:iCs w:val="0"/>
          </w:rPr>
          <w:t>خالصي ، ضياء الدين</w:t>
        </w:r>
        <w:r>
          <w:tab/>
        </w:r>
        <w:r>
          <w:fldChar w:fldCharType="begin"/>
        </w:r>
        <w:r>
          <w:instrText xml:space="preserve">PAGEREF 3149 \h</w:instrText>
        </w:r>
        <w:r>
          <w:fldChar w:fldCharType="end"/>
        </w:r>
      </w:hyperlink>
    </w:p>
    <w:p>
      <w:pPr>
        <w:tabs>
          <w:tab w:val="right" w:leader="dot" w:pos="9062"/>
        </w:tabs>
        <w:ind w:left="220"/>
      </w:pPr>
      <w:hyperlink w:anchor="_Toc3150" w:history="1">
        <w:r>
          <w:rPr>
            <w:rFonts w:ascii="IRNazanin" w:hAnsi="IRNazanin" w:eastAsia="IRNazanin" w:cs="IRNazanin"/>
            <w:color w:val="111111"/>
            <w:sz w:val="22"/>
            <w:szCs w:val="22"/>
            <w:b w:val="0"/>
            <w:bCs w:val="0"/>
            <w:i w:val="0"/>
            <w:iCs w:val="0"/>
          </w:rPr>
          <w:t>خالصي كاظمي، محمّد بن محمّد مهدي</w:t>
        </w:r>
        <w:r>
          <w:tab/>
        </w:r>
        <w:r>
          <w:fldChar w:fldCharType="begin"/>
        </w:r>
        <w:r>
          <w:instrText xml:space="preserve">PAGEREF 3150 \h</w:instrText>
        </w:r>
        <w:r>
          <w:fldChar w:fldCharType="end"/>
        </w:r>
      </w:hyperlink>
    </w:p>
    <w:p>
      <w:pPr>
        <w:tabs>
          <w:tab w:val="right" w:leader="dot" w:pos="9062"/>
        </w:tabs>
        <w:ind w:left="220"/>
      </w:pPr>
      <w:hyperlink w:anchor="_Toc3151" w:history="1">
        <w:r>
          <w:rPr>
            <w:rFonts w:ascii="IRNazanin" w:hAnsi="IRNazanin" w:eastAsia="IRNazanin" w:cs="IRNazanin"/>
            <w:color w:val="111111"/>
            <w:sz w:val="22"/>
            <w:szCs w:val="22"/>
            <w:b w:val="0"/>
            <w:bCs w:val="0"/>
            <w:i w:val="0"/>
            <w:iCs w:val="0"/>
          </w:rPr>
          <w:t>خالصي كاظمي، محمّد حسن بن باقر -</w:t>
        </w:r>
        <w:r>
          <w:tab/>
        </w:r>
        <w:r>
          <w:fldChar w:fldCharType="begin"/>
        </w:r>
        <w:r>
          <w:instrText xml:space="preserve">PAGEREF 3151 \h</w:instrText>
        </w:r>
        <w:r>
          <w:fldChar w:fldCharType="end"/>
        </w:r>
      </w:hyperlink>
    </w:p>
    <w:p>
      <w:pPr>
        <w:tabs>
          <w:tab w:val="right" w:leader="dot" w:pos="9062"/>
        </w:tabs>
        <w:ind w:left="220"/>
      </w:pPr>
      <w:hyperlink w:anchor="_Toc3152" w:history="1">
        <w:r>
          <w:rPr>
            <w:rFonts w:ascii="IRNazanin" w:hAnsi="IRNazanin" w:eastAsia="IRNazanin" w:cs="IRNazanin"/>
            <w:color w:val="111111"/>
            <w:sz w:val="22"/>
            <w:szCs w:val="22"/>
            <w:b w:val="0"/>
            <w:bCs w:val="0"/>
            <w:i w:val="0"/>
            <w:iCs w:val="0"/>
          </w:rPr>
          <w:t>خالصي كاظمي، محمّد مهدي بن حسين</w:t>
        </w:r>
        <w:r>
          <w:tab/>
        </w:r>
        <w:r>
          <w:fldChar w:fldCharType="begin"/>
        </w:r>
        <w:r>
          <w:instrText xml:space="preserve">PAGEREF 3152 \h</w:instrText>
        </w:r>
        <w:r>
          <w:fldChar w:fldCharType="end"/>
        </w:r>
      </w:hyperlink>
    </w:p>
    <w:p>
      <w:pPr>
        <w:tabs>
          <w:tab w:val="right" w:leader="dot" w:pos="9062"/>
        </w:tabs>
        <w:ind w:left="220"/>
      </w:pPr>
      <w:hyperlink w:anchor="_Toc3153" w:history="1">
        <w:r>
          <w:rPr>
            <w:rFonts w:ascii="IRNazanin" w:hAnsi="IRNazanin" w:eastAsia="IRNazanin" w:cs="IRNazanin"/>
            <w:color w:val="111111"/>
            <w:sz w:val="22"/>
            <w:szCs w:val="22"/>
            <w:b w:val="0"/>
            <w:bCs w:val="0"/>
            <w:i w:val="0"/>
            <w:iCs w:val="0"/>
          </w:rPr>
          <w:t>خالصي كاظمي، مرتضى بن راضي 1303</w:t>
        </w:r>
        <w:r>
          <w:tab/>
        </w:r>
        <w:r>
          <w:fldChar w:fldCharType="begin"/>
        </w:r>
        <w:r>
          <w:instrText xml:space="preserve">PAGEREF 3153 \h</w:instrText>
        </w:r>
        <w:r>
          <w:fldChar w:fldCharType="end"/>
        </w:r>
      </w:hyperlink>
    </w:p>
    <w:p>
      <w:pPr>
        <w:tabs>
          <w:tab w:val="right" w:leader="dot" w:pos="9062"/>
        </w:tabs>
        <w:ind w:left="220"/>
      </w:pPr>
      <w:hyperlink w:anchor="_Toc3154" w:history="1">
        <w:r>
          <w:rPr>
            <w:rFonts w:ascii="IRNazanin" w:hAnsi="IRNazanin" w:eastAsia="IRNazanin" w:cs="IRNazanin"/>
            <w:color w:val="111111"/>
            <w:sz w:val="22"/>
            <w:szCs w:val="22"/>
            <w:b w:val="0"/>
            <w:bCs w:val="0"/>
            <w:i w:val="0"/>
            <w:iCs w:val="0"/>
          </w:rPr>
          <w:t>خالصي ، محمّد</w:t>
        </w:r>
        <w:r>
          <w:tab/>
        </w:r>
        <w:r>
          <w:fldChar w:fldCharType="begin"/>
        </w:r>
        <w:r>
          <w:instrText xml:space="preserve">PAGEREF 3154 \h</w:instrText>
        </w:r>
        <w:r>
          <w:fldChar w:fldCharType="end"/>
        </w:r>
      </w:hyperlink>
    </w:p>
    <w:p>
      <w:pPr>
        <w:tabs>
          <w:tab w:val="right" w:leader="dot" w:pos="9062"/>
        </w:tabs>
        <w:ind w:left="220"/>
      </w:pPr>
      <w:hyperlink w:anchor="_Toc3155" w:history="1">
        <w:r>
          <w:rPr>
            <w:rFonts w:ascii="IRNazanin" w:hAnsi="IRNazanin" w:eastAsia="IRNazanin" w:cs="IRNazanin"/>
            <w:color w:val="111111"/>
            <w:sz w:val="22"/>
            <w:szCs w:val="22"/>
            <w:b w:val="0"/>
            <w:bCs w:val="0"/>
            <w:i w:val="0"/>
            <w:iCs w:val="0"/>
          </w:rPr>
          <w:t>خالعي، ابراهيم قرن 11 ه-</w:t>
        </w:r>
        <w:r>
          <w:tab/>
        </w:r>
        <w:r>
          <w:fldChar w:fldCharType="begin"/>
        </w:r>
        <w:r>
          <w:instrText xml:space="preserve">PAGEREF 3155 \h</w:instrText>
        </w:r>
        <w:r>
          <w:fldChar w:fldCharType="end"/>
        </w:r>
      </w:hyperlink>
    </w:p>
    <w:p>
      <w:pPr>
        <w:tabs>
          <w:tab w:val="right" w:leader="dot" w:pos="9062"/>
        </w:tabs>
        <w:ind w:left="220"/>
      </w:pPr>
      <w:hyperlink w:anchor="_Toc3156" w:history="1">
        <w:r>
          <w:rPr>
            <w:rFonts w:ascii="IRNazanin" w:hAnsi="IRNazanin" w:eastAsia="IRNazanin" w:cs="IRNazanin"/>
            <w:color w:val="111111"/>
            <w:sz w:val="22"/>
            <w:szCs w:val="22"/>
            <w:b w:val="0"/>
            <w:bCs w:val="0"/>
            <w:i w:val="0"/>
            <w:iCs w:val="0"/>
          </w:rPr>
          <w:t>خامیس</w:t>
        </w:r>
        <w:r>
          <w:tab/>
        </w:r>
        <w:r>
          <w:fldChar w:fldCharType="begin"/>
        </w:r>
        <w:r>
          <w:instrText xml:space="preserve">PAGEREF 3156 \h</w:instrText>
        </w:r>
        <w:r>
          <w:fldChar w:fldCharType="end"/>
        </w:r>
      </w:hyperlink>
    </w:p>
    <w:p>
      <w:pPr>
        <w:tabs>
          <w:tab w:val="right" w:leader="dot" w:pos="9062"/>
        </w:tabs>
        <w:ind w:left="220"/>
      </w:pPr>
      <w:hyperlink w:anchor="_Toc3157" w:history="1">
        <w:r>
          <w:rPr>
            <w:rFonts w:ascii="IRNazanin" w:hAnsi="IRNazanin" w:eastAsia="IRNazanin" w:cs="IRNazanin"/>
            <w:color w:val="111111"/>
            <w:sz w:val="22"/>
            <w:szCs w:val="22"/>
            <w:b w:val="0"/>
            <w:bCs w:val="0"/>
            <w:i w:val="0"/>
            <w:iCs w:val="0"/>
          </w:rPr>
          <w:t>خان داود ، احمد</w:t>
        </w:r>
        <w:r>
          <w:tab/>
        </w:r>
        <w:r>
          <w:fldChar w:fldCharType="begin"/>
        </w:r>
        <w:r>
          <w:instrText xml:space="preserve">PAGEREF 3157 \h</w:instrText>
        </w:r>
        <w:r>
          <w:fldChar w:fldCharType="end"/>
        </w:r>
      </w:hyperlink>
    </w:p>
    <w:p>
      <w:pPr>
        <w:tabs>
          <w:tab w:val="right" w:leader="dot" w:pos="9062"/>
        </w:tabs>
        <w:ind w:left="220"/>
      </w:pPr>
      <w:hyperlink w:anchor="_Toc3158" w:history="1">
        <w:r>
          <w:rPr>
            <w:rFonts w:ascii="IRNazanin" w:hAnsi="IRNazanin" w:eastAsia="IRNazanin" w:cs="IRNazanin"/>
            <w:color w:val="111111"/>
            <w:sz w:val="22"/>
            <w:szCs w:val="22"/>
            <w:b w:val="0"/>
            <w:bCs w:val="0"/>
            <w:i w:val="0"/>
            <w:iCs w:val="0"/>
          </w:rPr>
          <w:t>خانزاده ، عبدالجبار</w:t>
        </w:r>
        <w:r>
          <w:tab/>
        </w:r>
        <w:r>
          <w:fldChar w:fldCharType="begin"/>
        </w:r>
        <w:r>
          <w:instrText xml:space="preserve">PAGEREF 3158 \h</w:instrText>
        </w:r>
        <w:r>
          <w:fldChar w:fldCharType="end"/>
        </w:r>
      </w:hyperlink>
    </w:p>
    <w:p>
      <w:pPr>
        <w:tabs>
          <w:tab w:val="right" w:leader="dot" w:pos="9062"/>
        </w:tabs>
        <w:ind w:left="220"/>
      </w:pPr>
      <w:hyperlink w:anchor="_Toc3159" w:history="1">
        <w:r>
          <w:rPr>
            <w:rFonts w:ascii="IRNazanin" w:hAnsi="IRNazanin" w:eastAsia="IRNazanin" w:cs="IRNazanin"/>
            <w:color w:val="111111"/>
            <w:sz w:val="22"/>
            <w:szCs w:val="22"/>
            <w:b w:val="0"/>
            <w:bCs w:val="0"/>
            <w:i w:val="0"/>
            <w:iCs w:val="0"/>
          </w:rPr>
          <w:t>خانقاهي ، شمس الدين</w:t>
        </w:r>
        <w:r>
          <w:tab/>
        </w:r>
        <w:r>
          <w:fldChar w:fldCharType="begin"/>
        </w:r>
        <w:r>
          <w:instrText xml:space="preserve">PAGEREF 3159 \h</w:instrText>
        </w:r>
        <w:r>
          <w:fldChar w:fldCharType="end"/>
        </w:r>
      </w:hyperlink>
    </w:p>
    <w:p>
      <w:pPr>
        <w:tabs>
          <w:tab w:val="right" w:leader="dot" w:pos="9062"/>
        </w:tabs>
        <w:ind w:left="220"/>
      </w:pPr>
      <w:hyperlink w:anchor="_Toc3160" w:history="1">
        <w:r>
          <w:rPr>
            <w:rFonts w:ascii="IRNazanin" w:hAnsi="IRNazanin" w:eastAsia="IRNazanin" w:cs="IRNazanin"/>
            <w:color w:val="111111"/>
            <w:sz w:val="22"/>
            <w:szCs w:val="22"/>
            <w:b w:val="0"/>
            <w:bCs w:val="0"/>
            <w:i w:val="0"/>
            <w:iCs w:val="0"/>
          </w:rPr>
          <w:t>خان والي شا محمّد زمان</w:t>
        </w:r>
        <w:r>
          <w:tab/>
        </w:r>
        <w:r>
          <w:fldChar w:fldCharType="begin"/>
        </w:r>
        <w:r>
          <w:instrText xml:space="preserve">PAGEREF 3160 \h</w:instrText>
        </w:r>
        <w:r>
          <w:fldChar w:fldCharType="end"/>
        </w:r>
      </w:hyperlink>
    </w:p>
    <w:p>
      <w:pPr>
        <w:tabs>
          <w:tab w:val="right" w:leader="dot" w:pos="9062"/>
        </w:tabs>
        <w:ind w:left="220"/>
      </w:pPr>
      <w:hyperlink w:anchor="_Toc3161" w:history="1">
        <w:r>
          <w:rPr>
            <w:rFonts w:ascii="IRNazanin" w:hAnsi="IRNazanin" w:eastAsia="IRNazanin" w:cs="IRNazanin"/>
            <w:color w:val="111111"/>
            <w:sz w:val="22"/>
            <w:szCs w:val="22"/>
            <w:b w:val="0"/>
            <w:bCs w:val="0"/>
            <w:i w:val="0"/>
            <w:iCs w:val="0"/>
          </w:rPr>
          <w:t>خاني ، عبد المجيد بن محمّد 1263 -</w:t>
        </w:r>
        <w:r>
          <w:tab/>
        </w:r>
        <w:r>
          <w:fldChar w:fldCharType="begin"/>
        </w:r>
        <w:r>
          <w:instrText xml:space="preserve">PAGEREF 3161 \h</w:instrText>
        </w:r>
        <w:r>
          <w:fldChar w:fldCharType="end"/>
        </w:r>
      </w:hyperlink>
    </w:p>
    <w:p>
      <w:pPr>
        <w:tabs>
          <w:tab w:val="right" w:leader="dot" w:pos="9062"/>
        </w:tabs>
        <w:ind w:left="220"/>
      </w:pPr>
      <w:hyperlink w:anchor="_Toc3162" w:history="1">
        <w:r>
          <w:rPr>
            <w:rFonts w:ascii="IRNazanin" w:hAnsi="IRNazanin" w:eastAsia="IRNazanin" w:cs="IRNazanin"/>
            <w:color w:val="111111"/>
            <w:sz w:val="22"/>
            <w:szCs w:val="22"/>
            <w:b w:val="0"/>
            <w:bCs w:val="0"/>
            <w:i w:val="0"/>
            <w:iCs w:val="0"/>
          </w:rPr>
          <w:t>خاني ، قاسم بن صلاح الدین 1028 -</w:t>
        </w:r>
        <w:r>
          <w:tab/>
        </w:r>
        <w:r>
          <w:fldChar w:fldCharType="begin"/>
        </w:r>
        <w:r>
          <w:instrText xml:space="preserve">PAGEREF 3162 \h</w:instrText>
        </w:r>
        <w:r>
          <w:fldChar w:fldCharType="end"/>
        </w:r>
      </w:hyperlink>
    </w:p>
    <w:p>
      <w:pPr>
        <w:tabs>
          <w:tab w:val="right" w:leader="dot" w:pos="9062"/>
        </w:tabs>
        <w:ind w:left="220"/>
      </w:pPr>
      <w:hyperlink w:anchor="_Toc3163" w:history="1">
        <w:r>
          <w:rPr>
            <w:rFonts w:ascii="IRNazanin" w:hAnsi="IRNazanin" w:eastAsia="IRNazanin" w:cs="IRNazanin"/>
            <w:color w:val="111111"/>
            <w:sz w:val="22"/>
            <w:szCs w:val="22"/>
            <w:b w:val="0"/>
            <w:bCs w:val="0"/>
            <w:i w:val="0"/>
            <w:iCs w:val="0"/>
          </w:rPr>
          <w:t>خاني ، محمّد بن عبدالله - 1279 ه-</w:t>
        </w:r>
        <w:r>
          <w:tab/>
        </w:r>
        <w:r>
          <w:fldChar w:fldCharType="begin"/>
        </w:r>
        <w:r>
          <w:instrText xml:space="preserve">PAGEREF 3163 \h</w:instrText>
        </w:r>
        <w:r>
          <w:fldChar w:fldCharType="end"/>
        </w:r>
      </w:hyperlink>
    </w:p>
    <w:p>
      <w:pPr>
        <w:tabs>
          <w:tab w:val="right" w:leader="dot" w:pos="9062"/>
        </w:tabs>
        <w:ind w:left="220"/>
      </w:pPr>
      <w:hyperlink w:anchor="_Toc3164" w:history="1">
        <w:r>
          <w:rPr>
            <w:rFonts w:ascii="IRNazanin" w:hAnsi="IRNazanin" w:eastAsia="IRNazanin" w:cs="IRNazanin"/>
            <w:color w:val="111111"/>
            <w:sz w:val="22"/>
            <w:szCs w:val="22"/>
            <w:b w:val="0"/>
            <w:bCs w:val="0"/>
            <w:i w:val="0"/>
            <w:iCs w:val="0"/>
          </w:rPr>
          <w:t>خبازي ، عمر بن محمّد، 629 - 691 ه-</w:t>
        </w:r>
        <w:r>
          <w:tab/>
        </w:r>
        <w:r>
          <w:fldChar w:fldCharType="begin"/>
        </w:r>
        <w:r>
          <w:instrText xml:space="preserve">PAGEREF 3164 \h</w:instrText>
        </w:r>
        <w:r>
          <w:fldChar w:fldCharType="end"/>
        </w:r>
      </w:hyperlink>
    </w:p>
    <w:p>
      <w:pPr>
        <w:tabs>
          <w:tab w:val="right" w:leader="dot" w:pos="9062"/>
        </w:tabs>
        <w:ind w:left="220"/>
      </w:pPr>
      <w:hyperlink w:anchor="_Toc3165" w:history="1">
        <w:r>
          <w:rPr>
            <w:rFonts w:ascii="IRNazanin" w:hAnsi="IRNazanin" w:eastAsia="IRNazanin" w:cs="IRNazanin"/>
            <w:color w:val="111111"/>
            <w:sz w:val="22"/>
            <w:szCs w:val="22"/>
            <w:b w:val="0"/>
            <w:bCs w:val="0"/>
            <w:i w:val="0"/>
            <w:iCs w:val="0"/>
          </w:rPr>
          <w:t>خبري ، عبدالله بن ابراهيم - 476 ه-</w:t>
        </w:r>
        <w:r>
          <w:tab/>
        </w:r>
        <w:r>
          <w:fldChar w:fldCharType="begin"/>
        </w:r>
        <w:r>
          <w:instrText xml:space="preserve">PAGEREF 3165 \h</w:instrText>
        </w:r>
        <w:r>
          <w:fldChar w:fldCharType="end"/>
        </w:r>
      </w:hyperlink>
    </w:p>
    <w:p>
      <w:pPr>
        <w:tabs>
          <w:tab w:val="right" w:leader="dot" w:pos="9062"/>
        </w:tabs>
        <w:ind w:left="220"/>
      </w:pPr>
      <w:hyperlink w:anchor="_Toc3166" w:history="1">
        <w:r>
          <w:rPr>
            <w:rFonts w:ascii="IRNazanin" w:hAnsi="IRNazanin" w:eastAsia="IRNazanin" w:cs="IRNazanin"/>
            <w:color w:val="111111"/>
            <w:sz w:val="22"/>
            <w:szCs w:val="22"/>
            <w:b w:val="0"/>
            <w:bCs w:val="0"/>
            <w:i w:val="0"/>
            <w:iCs w:val="0"/>
          </w:rPr>
          <w:t>خبزارزي ، نصر بن احمد - 327 ه-</w:t>
        </w:r>
        <w:r>
          <w:tab/>
        </w:r>
        <w:r>
          <w:fldChar w:fldCharType="begin"/>
        </w:r>
        <w:r>
          <w:instrText xml:space="preserve">PAGEREF 3166 \h</w:instrText>
        </w:r>
        <w:r>
          <w:fldChar w:fldCharType="end"/>
        </w:r>
      </w:hyperlink>
    </w:p>
    <w:p>
      <w:pPr>
        <w:tabs>
          <w:tab w:val="right" w:leader="dot" w:pos="9062"/>
        </w:tabs>
        <w:ind w:left="220"/>
      </w:pPr>
      <w:hyperlink w:anchor="_Toc3167" w:history="1">
        <w:r>
          <w:rPr>
            <w:rFonts w:ascii="IRNazanin" w:hAnsi="IRNazanin" w:eastAsia="IRNazanin" w:cs="IRNazanin"/>
            <w:color w:val="111111"/>
            <w:sz w:val="22"/>
            <w:szCs w:val="22"/>
            <w:b w:val="0"/>
            <w:bCs w:val="0"/>
            <w:i w:val="0"/>
            <w:iCs w:val="0"/>
          </w:rPr>
          <w:t>خبوشاني ، محمّد بن موفق - 548 ه-</w:t>
        </w:r>
        <w:r>
          <w:tab/>
        </w:r>
        <w:r>
          <w:fldChar w:fldCharType="begin"/>
        </w:r>
        <w:r>
          <w:instrText xml:space="preserve">PAGEREF 3167 \h</w:instrText>
        </w:r>
        <w:r>
          <w:fldChar w:fldCharType="end"/>
        </w:r>
      </w:hyperlink>
    </w:p>
    <w:p>
      <w:pPr>
        <w:tabs>
          <w:tab w:val="right" w:leader="dot" w:pos="9062"/>
        </w:tabs>
        <w:ind w:left="220"/>
      </w:pPr>
      <w:hyperlink w:anchor="_Toc3168" w:history="1">
        <w:r>
          <w:rPr>
            <w:rFonts w:ascii="IRNazanin" w:hAnsi="IRNazanin" w:eastAsia="IRNazanin" w:cs="IRNazanin"/>
            <w:color w:val="111111"/>
            <w:sz w:val="22"/>
            <w:szCs w:val="22"/>
            <w:b w:val="0"/>
            <w:bCs w:val="0"/>
            <w:i w:val="0"/>
            <w:iCs w:val="0"/>
          </w:rPr>
          <w:t>خبيصي، عبيد الله بن فضل الله، قرن 11 ه-</w:t>
        </w:r>
        <w:r>
          <w:tab/>
        </w:r>
        <w:r>
          <w:fldChar w:fldCharType="begin"/>
        </w:r>
        <w:r>
          <w:instrText xml:space="preserve">PAGEREF 3168 \h</w:instrText>
        </w:r>
        <w:r>
          <w:fldChar w:fldCharType="end"/>
        </w:r>
      </w:hyperlink>
    </w:p>
    <w:p>
      <w:pPr>
        <w:tabs>
          <w:tab w:val="right" w:leader="dot" w:pos="9062"/>
        </w:tabs>
        <w:ind w:left="220"/>
      </w:pPr>
      <w:hyperlink w:anchor="_Toc3169" w:history="1">
        <w:r>
          <w:rPr>
            <w:rFonts w:ascii="IRNazanin" w:hAnsi="IRNazanin" w:eastAsia="IRNazanin" w:cs="IRNazanin"/>
            <w:color w:val="111111"/>
            <w:sz w:val="22"/>
            <w:szCs w:val="22"/>
            <w:b w:val="0"/>
            <w:bCs w:val="0"/>
            <w:i w:val="0"/>
            <w:iCs w:val="0"/>
          </w:rPr>
          <w:t>خبيصي ، محمّد بن ابي بكر - 731 ه-</w:t>
        </w:r>
        <w:r>
          <w:tab/>
        </w:r>
        <w:r>
          <w:fldChar w:fldCharType="begin"/>
        </w:r>
        <w:r>
          <w:instrText xml:space="preserve">PAGEREF 3169 \h</w:instrText>
        </w:r>
        <w:r>
          <w:fldChar w:fldCharType="end"/>
        </w:r>
      </w:hyperlink>
    </w:p>
    <w:p>
      <w:pPr>
        <w:tabs>
          <w:tab w:val="right" w:leader="dot" w:pos="9062"/>
        </w:tabs>
        <w:ind w:left="220"/>
      </w:pPr>
      <w:hyperlink w:anchor="_Toc3170" w:history="1">
        <w:r>
          <w:rPr>
            <w:rFonts w:ascii="IRNazanin" w:hAnsi="IRNazanin" w:eastAsia="IRNazanin" w:cs="IRNazanin"/>
            <w:color w:val="111111"/>
            <w:sz w:val="22"/>
            <w:szCs w:val="22"/>
            <w:b w:val="0"/>
            <w:bCs w:val="0"/>
            <w:i w:val="0"/>
            <w:iCs w:val="0"/>
          </w:rPr>
          <w:t>خبيصي ، محمّد بن نصير قرن 9 ه-</w:t>
        </w:r>
        <w:r>
          <w:tab/>
        </w:r>
        <w:r>
          <w:fldChar w:fldCharType="begin"/>
        </w:r>
        <w:r>
          <w:instrText xml:space="preserve">PAGEREF 3170 \h</w:instrText>
        </w:r>
        <w:r>
          <w:fldChar w:fldCharType="end"/>
        </w:r>
      </w:hyperlink>
    </w:p>
    <w:p>
      <w:pPr>
        <w:tabs>
          <w:tab w:val="right" w:leader="dot" w:pos="9062"/>
        </w:tabs>
        <w:ind w:left="220"/>
      </w:pPr>
      <w:hyperlink w:anchor="_Toc3171" w:history="1">
        <w:r>
          <w:rPr>
            <w:rFonts w:ascii="IRNazanin" w:hAnsi="IRNazanin" w:eastAsia="IRNazanin" w:cs="IRNazanin"/>
            <w:color w:val="111111"/>
            <w:sz w:val="22"/>
            <w:szCs w:val="22"/>
            <w:b w:val="0"/>
            <w:bCs w:val="0"/>
            <w:i w:val="0"/>
            <w:iCs w:val="0"/>
          </w:rPr>
          <w:t>ختني ، احمد بن محمّد قرن 12 ه-</w:t>
        </w:r>
        <w:r>
          <w:tab/>
        </w:r>
        <w:r>
          <w:fldChar w:fldCharType="begin"/>
        </w:r>
        <w:r>
          <w:instrText xml:space="preserve">PAGEREF 3171 \h</w:instrText>
        </w:r>
        <w:r>
          <w:fldChar w:fldCharType="end"/>
        </w:r>
      </w:hyperlink>
    </w:p>
    <w:p>
      <w:pPr>
        <w:tabs>
          <w:tab w:val="right" w:leader="dot" w:pos="9062"/>
        </w:tabs>
        <w:ind w:left="220"/>
      </w:pPr>
      <w:hyperlink w:anchor="_Toc3172" w:history="1">
        <w:r>
          <w:rPr>
            <w:rFonts w:ascii="IRNazanin" w:hAnsi="IRNazanin" w:eastAsia="IRNazanin" w:cs="IRNazanin"/>
            <w:color w:val="111111"/>
            <w:sz w:val="22"/>
            <w:szCs w:val="22"/>
            <w:b w:val="0"/>
            <w:bCs w:val="0"/>
            <w:i w:val="0"/>
            <w:iCs w:val="0"/>
          </w:rPr>
          <w:t>خثعمي كوفي، عبدالملك بن حكيم قرن 2 ه-</w:t>
        </w:r>
        <w:r>
          <w:tab/>
        </w:r>
        <w:r>
          <w:fldChar w:fldCharType="begin"/>
        </w:r>
        <w:r>
          <w:instrText xml:space="preserve">PAGEREF 3172 \h</w:instrText>
        </w:r>
        <w:r>
          <w:fldChar w:fldCharType="end"/>
        </w:r>
      </w:hyperlink>
    </w:p>
    <w:p>
      <w:pPr>
        <w:tabs>
          <w:tab w:val="right" w:leader="dot" w:pos="9062"/>
        </w:tabs>
        <w:ind w:left="220"/>
      </w:pPr>
      <w:hyperlink w:anchor="_Toc3173" w:history="1">
        <w:r>
          <w:rPr>
            <w:rFonts w:ascii="IRNazanin" w:hAnsi="IRNazanin" w:eastAsia="IRNazanin" w:cs="IRNazanin"/>
            <w:color w:val="111111"/>
            <w:sz w:val="22"/>
            <w:szCs w:val="22"/>
            <w:b w:val="0"/>
            <w:bCs w:val="0"/>
            <w:i w:val="0"/>
            <w:iCs w:val="0"/>
          </w:rPr>
          <w:t>خجندي ، احمد بن محمود - 700 ه-</w:t>
        </w:r>
        <w:r>
          <w:tab/>
        </w:r>
        <w:r>
          <w:fldChar w:fldCharType="begin"/>
        </w:r>
        <w:r>
          <w:instrText xml:space="preserve">PAGEREF 3173 \h</w:instrText>
        </w:r>
        <w:r>
          <w:fldChar w:fldCharType="end"/>
        </w:r>
      </w:hyperlink>
    </w:p>
    <w:p>
      <w:pPr>
        <w:tabs>
          <w:tab w:val="right" w:leader="dot" w:pos="9062"/>
        </w:tabs>
        <w:ind w:left="220"/>
      </w:pPr>
      <w:hyperlink w:anchor="_Toc3174" w:history="1">
        <w:r>
          <w:rPr>
            <w:rFonts w:ascii="IRNazanin" w:hAnsi="IRNazanin" w:eastAsia="IRNazanin" w:cs="IRNazanin"/>
            <w:color w:val="111111"/>
            <w:sz w:val="22"/>
            <w:szCs w:val="22"/>
            <w:b w:val="0"/>
            <w:bCs w:val="0"/>
            <w:i w:val="0"/>
            <w:iCs w:val="0"/>
          </w:rPr>
          <w:t>خجندي، حامد بن خضر</w:t>
        </w:r>
        <w:r>
          <w:tab/>
        </w:r>
        <w:r>
          <w:fldChar w:fldCharType="begin"/>
        </w:r>
        <w:r>
          <w:instrText xml:space="preserve">PAGEREF 3174 \h</w:instrText>
        </w:r>
        <w:r>
          <w:fldChar w:fldCharType="end"/>
        </w:r>
      </w:hyperlink>
    </w:p>
    <w:p>
      <w:pPr>
        <w:tabs>
          <w:tab w:val="right" w:leader="dot" w:pos="9062"/>
        </w:tabs>
        <w:ind w:left="220"/>
      </w:pPr>
      <w:hyperlink w:anchor="_Toc3175" w:history="1">
        <w:r>
          <w:rPr>
            <w:rFonts w:ascii="IRNazanin" w:hAnsi="IRNazanin" w:eastAsia="IRNazanin" w:cs="IRNazanin"/>
            <w:color w:val="111111"/>
            <w:sz w:val="22"/>
            <w:szCs w:val="22"/>
            <w:b w:val="0"/>
            <w:bCs w:val="0"/>
            <w:i w:val="0"/>
            <w:iCs w:val="0"/>
          </w:rPr>
          <w:t>خجندي ، عبد الجبار ، قرن 7 ه-</w:t>
        </w:r>
        <w:r>
          <w:tab/>
        </w:r>
        <w:r>
          <w:fldChar w:fldCharType="begin"/>
        </w:r>
        <w:r>
          <w:instrText xml:space="preserve">PAGEREF 3175 \h</w:instrText>
        </w:r>
        <w:r>
          <w:fldChar w:fldCharType="end"/>
        </w:r>
      </w:hyperlink>
    </w:p>
    <w:p>
      <w:pPr>
        <w:tabs>
          <w:tab w:val="right" w:leader="dot" w:pos="9062"/>
        </w:tabs>
        <w:ind w:left="220"/>
      </w:pPr>
      <w:hyperlink w:anchor="_Toc3176" w:history="1">
        <w:r>
          <w:rPr>
            <w:rFonts w:ascii="IRNazanin" w:hAnsi="IRNazanin" w:eastAsia="IRNazanin" w:cs="IRNazanin"/>
            <w:color w:val="111111"/>
            <w:sz w:val="22"/>
            <w:szCs w:val="22"/>
            <w:b w:val="0"/>
            <w:bCs w:val="0"/>
            <w:i w:val="0"/>
            <w:iCs w:val="0"/>
          </w:rPr>
          <w:t>خجندي ، علي بن احمد قرن 8 ه-</w:t>
        </w:r>
        <w:r>
          <w:tab/>
        </w:r>
        <w:r>
          <w:fldChar w:fldCharType="begin"/>
        </w:r>
        <w:r>
          <w:instrText xml:space="preserve">PAGEREF 3176 \h</w:instrText>
        </w:r>
        <w:r>
          <w:fldChar w:fldCharType="end"/>
        </w:r>
      </w:hyperlink>
    </w:p>
    <w:p>
      <w:pPr>
        <w:tabs>
          <w:tab w:val="right" w:leader="dot" w:pos="9062"/>
        </w:tabs>
        <w:ind w:left="220"/>
      </w:pPr>
      <w:hyperlink w:anchor="_Toc3177" w:history="1">
        <w:r>
          <w:rPr>
            <w:rFonts w:ascii="IRNazanin" w:hAnsi="IRNazanin" w:eastAsia="IRNazanin" w:cs="IRNazanin"/>
            <w:color w:val="111111"/>
            <w:sz w:val="22"/>
            <w:szCs w:val="22"/>
            <w:b w:val="0"/>
            <w:bCs w:val="0"/>
            <w:i w:val="0"/>
            <w:iCs w:val="0"/>
          </w:rPr>
          <w:t>خجندي ، محمّد بن عبد اللطيف - 552ه-</w:t>
        </w:r>
        <w:r>
          <w:tab/>
        </w:r>
        <w:r>
          <w:fldChar w:fldCharType="begin"/>
        </w:r>
        <w:r>
          <w:instrText xml:space="preserve">PAGEREF 3177 \h</w:instrText>
        </w:r>
        <w:r>
          <w:fldChar w:fldCharType="end"/>
        </w:r>
      </w:hyperlink>
    </w:p>
    <w:p>
      <w:pPr>
        <w:tabs>
          <w:tab w:val="right" w:leader="dot" w:pos="9062"/>
        </w:tabs>
        <w:ind w:left="220"/>
      </w:pPr>
      <w:hyperlink w:anchor="_Toc3178" w:history="1">
        <w:r>
          <w:rPr>
            <w:rFonts w:ascii="IRNazanin" w:hAnsi="IRNazanin" w:eastAsia="IRNazanin" w:cs="IRNazanin"/>
            <w:color w:val="111111"/>
            <w:sz w:val="22"/>
            <w:szCs w:val="22"/>
            <w:b w:val="0"/>
            <w:bCs w:val="0"/>
            <w:i w:val="0"/>
            <w:iCs w:val="0"/>
          </w:rPr>
          <w:t>خرائطي ، محمّد بن جعفر - 327 ه-</w:t>
        </w:r>
        <w:r>
          <w:tab/>
        </w:r>
        <w:r>
          <w:fldChar w:fldCharType="begin"/>
        </w:r>
        <w:r>
          <w:instrText xml:space="preserve">PAGEREF 3178 \h</w:instrText>
        </w:r>
        <w:r>
          <w:fldChar w:fldCharType="end"/>
        </w:r>
      </w:hyperlink>
    </w:p>
    <w:p>
      <w:pPr>
        <w:tabs>
          <w:tab w:val="right" w:leader="dot" w:pos="9062"/>
        </w:tabs>
        <w:ind w:left="220"/>
      </w:pPr>
      <w:hyperlink w:anchor="_Toc3179" w:history="1">
        <w:r>
          <w:rPr>
            <w:rFonts w:ascii="IRNazanin" w:hAnsi="IRNazanin" w:eastAsia="IRNazanin" w:cs="IRNazanin"/>
            <w:color w:val="111111"/>
            <w:sz w:val="22"/>
            <w:szCs w:val="22"/>
            <w:b w:val="0"/>
            <w:bCs w:val="0"/>
            <w:i w:val="0"/>
            <w:iCs w:val="0"/>
          </w:rPr>
          <w:t>خراز، محمّد بن محمّد - 718 ه-</w:t>
        </w:r>
        <w:r>
          <w:tab/>
        </w:r>
        <w:r>
          <w:fldChar w:fldCharType="begin"/>
        </w:r>
        <w:r>
          <w:instrText xml:space="preserve">PAGEREF 3179 \h</w:instrText>
        </w:r>
        <w:r>
          <w:fldChar w:fldCharType="end"/>
        </w:r>
      </w:hyperlink>
    </w:p>
    <w:p>
      <w:pPr>
        <w:tabs>
          <w:tab w:val="right" w:leader="dot" w:pos="9062"/>
        </w:tabs>
        <w:ind w:left="220"/>
      </w:pPr>
      <w:hyperlink w:anchor="_Toc3180" w:history="1">
        <w:r>
          <w:rPr>
            <w:rFonts w:ascii="IRNazanin" w:hAnsi="IRNazanin" w:eastAsia="IRNazanin" w:cs="IRNazanin"/>
            <w:color w:val="111111"/>
            <w:sz w:val="22"/>
            <w:szCs w:val="22"/>
            <w:b w:val="0"/>
            <w:bCs w:val="0"/>
            <w:i w:val="0"/>
            <w:iCs w:val="0"/>
          </w:rPr>
          <w:t>خراساني آملي ، محمّد حسين بن محمّد</w:t>
        </w:r>
        <w:r>
          <w:tab/>
        </w:r>
        <w:r>
          <w:fldChar w:fldCharType="begin"/>
        </w:r>
        <w:r>
          <w:instrText xml:space="preserve">PAGEREF 3180 \h</w:instrText>
        </w:r>
        <w:r>
          <w:fldChar w:fldCharType="end"/>
        </w:r>
      </w:hyperlink>
    </w:p>
    <w:p>
      <w:pPr>
        <w:tabs>
          <w:tab w:val="right" w:leader="dot" w:pos="9062"/>
        </w:tabs>
        <w:ind w:left="220"/>
      </w:pPr>
      <w:hyperlink w:anchor="_Toc3181" w:history="1">
        <w:r>
          <w:rPr>
            <w:rFonts w:ascii="IRNazanin" w:hAnsi="IRNazanin" w:eastAsia="IRNazanin" w:cs="IRNazanin"/>
            <w:color w:val="111111"/>
            <w:sz w:val="22"/>
            <w:szCs w:val="22"/>
            <w:b w:val="0"/>
            <w:bCs w:val="0"/>
            <w:i w:val="0"/>
            <w:iCs w:val="0"/>
          </w:rPr>
          <w:t>خراساني ترشيزي ، احمد بن اسماعيل</w:t>
        </w:r>
        <w:r>
          <w:tab/>
        </w:r>
        <w:r>
          <w:fldChar w:fldCharType="begin"/>
        </w:r>
        <w:r>
          <w:instrText xml:space="preserve">PAGEREF 3181 \h</w:instrText>
        </w:r>
        <w:r>
          <w:fldChar w:fldCharType="end"/>
        </w:r>
      </w:hyperlink>
    </w:p>
    <w:p>
      <w:pPr>
        <w:tabs>
          <w:tab w:val="right" w:leader="dot" w:pos="9062"/>
        </w:tabs>
        <w:ind w:left="220"/>
      </w:pPr>
      <w:hyperlink w:anchor="_Toc3182" w:history="1">
        <w:r>
          <w:rPr>
            <w:rFonts w:ascii="IRNazanin" w:hAnsi="IRNazanin" w:eastAsia="IRNazanin" w:cs="IRNazanin"/>
            <w:color w:val="111111"/>
            <w:sz w:val="22"/>
            <w:szCs w:val="22"/>
            <w:b w:val="0"/>
            <w:bCs w:val="0"/>
            <w:i w:val="0"/>
            <w:iCs w:val="0"/>
          </w:rPr>
          <w:t>خراساني ، عبدالغني</w:t>
        </w:r>
        <w:r>
          <w:tab/>
        </w:r>
        <w:r>
          <w:fldChar w:fldCharType="begin"/>
        </w:r>
        <w:r>
          <w:instrText xml:space="preserve">PAGEREF 3182 \h</w:instrText>
        </w:r>
        <w:r>
          <w:fldChar w:fldCharType="end"/>
        </w:r>
      </w:hyperlink>
    </w:p>
    <w:p>
      <w:pPr>
        <w:tabs>
          <w:tab w:val="right" w:leader="dot" w:pos="9062"/>
        </w:tabs>
        <w:ind w:left="220"/>
      </w:pPr>
      <w:hyperlink w:anchor="_Toc3183" w:history="1">
        <w:r>
          <w:rPr>
            <w:rFonts w:ascii="IRNazanin" w:hAnsi="IRNazanin" w:eastAsia="IRNazanin" w:cs="IRNazanin"/>
            <w:color w:val="111111"/>
            <w:sz w:val="22"/>
            <w:szCs w:val="22"/>
            <w:b w:val="0"/>
            <w:bCs w:val="0"/>
            <w:i w:val="0"/>
            <w:iCs w:val="0"/>
          </w:rPr>
          <w:t>خراساني ، علي بن محمّد</w:t>
        </w:r>
        <w:r>
          <w:tab/>
        </w:r>
        <w:r>
          <w:fldChar w:fldCharType="begin"/>
        </w:r>
        <w:r>
          <w:instrText xml:space="preserve">PAGEREF 3183 \h</w:instrText>
        </w:r>
        <w:r>
          <w:fldChar w:fldCharType="end"/>
        </w:r>
      </w:hyperlink>
    </w:p>
    <w:p>
      <w:pPr>
        <w:tabs>
          <w:tab w:val="right" w:leader="dot" w:pos="9062"/>
        </w:tabs>
        <w:ind w:left="220"/>
      </w:pPr>
      <w:hyperlink w:anchor="_Toc3184" w:history="1">
        <w:r>
          <w:rPr>
            <w:rFonts w:ascii="IRNazanin" w:hAnsi="IRNazanin" w:eastAsia="IRNazanin" w:cs="IRNazanin"/>
            <w:color w:val="111111"/>
            <w:sz w:val="22"/>
            <w:szCs w:val="22"/>
            <w:b w:val="0"/>
            <w:bCs w:val="0"/>
            <w:i w:val="0"/>
            <w:iCs w:val="0"/>
          </w:rPr>
          <w:t>خراساني قهستاني ، شمس الدین محمّد -</w:t>
        </w:r>
        <w:r>
          <w:tab/>
        </w:r>
        <w:r>
          <w:fldChar w:fldCharType="begin"/>
        </w:r>
        <w:r>
          <w:instrText xml:space="preserve">PAGEREF 3184 \h</w:instrText>
        </w:r>
        <w:r>
          <w:fldChar w:fldCharType="end"/>
        </w:r>
      </w:hyperlink>
    </w:p>
    <w:p>
      <w:pPr>
        <w:tabs>
          <w:tab w:val="right" w:leader="dot" w:pos="9062"/>
        </w:tabs>
        <w:ind w:left="220"/>
      </w:pPr>
      <w:hyperlink w:anchor="_Toc3185" w:history="1">
        <w:r>
          <w:rPr>
            <w:rFonts w:ascii="IRNazanin" w:hAnsi="IRNazanin" w:eastAsia="IRNazanin" w:cs="IRNazanin"/>
            <w:color w:val="111111"/>
            <w:sz w:val="22"/>
            <w:szCs w:val="22"/>
            <w:b w:val="0"/>
            <w:bCs w:val="0"/>
            <w:i w:val="0"/>
            <w:iCs w:val="0"/>
          </w:rPr>
          <w:t>خراساني ،كوفي، سلام بن ابي عمره قرن 3 ه-</w:t>
        </w:r>
        <w:r>
          <w:tab/>
        </w:r>
        <w:r>
          <w:fldChar w:fldCharType="begin"/>
        </w:r>
        <w:r>
          <w:instrText xml:space="preserve">PAGEREF 3185 \h</w:instrText>
        </w:r>
        <w:r>
          <w:fldChar w:fldCharType="end"/>
        </w:r>
      </w:hyperlink>
    </w:p>
    <w:p>
      <w:pPr>
        <w:tabs>
          <w:tab w:val="right" w:leader="dot" w:pos="9062"/>
        </w:tabs>
        <w:ind w:left="220"/>
      </w:pPr>
      <w:hyperlink w:anchor="_Toc3186" w:history="1">
        <w:r>
          <w:rPr>
            <w:rFonts w:ascii="IRNazanin" w:hAnsi="IRNazanin" w:eastAsia="IRNazanin" w:cs="IRNazanin"/>
            <w:color w:val="111111"/>
            <w:sz w:val="22"/>
            <w:szCs w:val="22"/>
            <w:b w:val="0"/>
            <w:bCs w:val="0"/>
            <w:i w:val="0"/>
            <w:iCs w:val="0"/>
          </w:rPr>
          <w:t>خراساني ، محمّد باقر</w:t>
        </w:r>
        <w:r>
          <w:tab/>
        </w:r>
        <w:r>
          <w:fldChar w:fldCharType="begin"/>
        </w:r>
        <w:r>
          <w:instrText xml:space="preserve">PAGEREF 3186 \h</w:instrText>
        </w:r>
        <w:r>
          <w:fldChar w:fldCharType="end"/>
        </w:r>
      </w:hyperlink>
    </w:p>
    <w:p>
      <w:pPr>
        <w:tabs>
          <w:tab w:val="right" w:leader="dot" w:pos="9062"/>
        </w:tabs>
        <w:ind w:left="220"/>
      </w:pPr>
      <w:hyperlink w:anchor="_Toc3187" w:history="1">
        <w:r>
          <w:rPr>
            <w:rFonts w:ascii="IRNazanin" w:hAnsi="IRNazanin" w:eastAsia="IRNazanin" w:cs="IRNazanin"/>
            <w:color w:val="111111"/>
            <w:sz w:val="22"/>
            <w:szCs w:val="22"/>
            <w:b w:val="0"/>
            <w:bCs w:val="0"/>
            <w:i w:val="0"/>
            <w:iCs w:val="0"/>
          </w:rPr>
          <w:t>خراساني ، محمّد بن عمران - 385 ه-</w:t>
        </w:r>
        <w:r>
          <w:tab/>
        </w:r>
        <w:r>
          <w:fldChar w:fldCharType="begin"/>
        </w:r>
        <w:r>
          <w:instrText xml:space="preserve">PAGEREF 3187 \h</w:instrText>
        </w:r>
        <w:r>
          <w:fldChar w:fldCharType="end"/>
        </w:r>
      </w:hyperlink>
    </w:p>
    <w:p>
      <w:pPr>
        <w:tabs>
          <w:tab w:val="right" w:leader="dot" w:pos="9062"/>
        </w:tabs>
        <w:ind w:left="220"/>
      </w:pPr>
      <w:hyperlink w:anchor="_Toc3188" w:history="1">
        <w:r>
          <w:rPr>
            <w:rFonts w:ascii="IRNazanin" w:hAnsi="IRNazanin" w:eastAsia="IRNazanin" w:cs="IRNazanin"/>
            <w:color w:val="111111"/>
            <w:sz w:val="22"/>
            <w:szCs w:val="22"/>
            <w:b w:val="0"/>
            <w:bCs w:val="0"/>
            <w:i w:val="0"/>
            <w:iCs w:val="0"/>
          </w:rPr>
          <w:t>خراساني ، محمّد بن محمّد کاظم، 1294</w:t>
        </w:r>
        <w:r>
          <w:tab/>
        </w:r>
        <w:r>
          <w:fldChar w:fldCharType="begin"/>
        </w:r>
        <w:r>
          <w:instrText xml:space="preserve">PAGEREF 3188 \h</w:instrText>
        </w:r>
        <w:r>
          <w:fldChar w:fldCharType="end"/>
        </w:r>
      </w:hyperlink>
    </w:p>
    <w:p>
      <w:pPr>
        <w:tabs>
          <w:tab w:val="right" w:leader="dot" w:pos="9062"/>
        </w:tabs>
        <w:ind w:left="220"/>
      </w:pPr>
      <w:hyperlink w:anchor="_Toc3189" w:history="1">
        <w:r>
          <w:rPr>
            <w:rFonts w:ascii="IRNazanin" w:hAnsi="IRNazanin" w:eastAsia="IRNazanin" w:cs="IRNazanin"/>
            <w:color w:val="111111"/>
            <w:sz w:val="22"/>
            <w:szCs w:val="22"/>
            <w:b w:val="0"/>
            <w:bCs w:val="0"/>
            <w:i w:val="0"/>
            <w:iCs w:val="0"/>
          </w:rPr>
          <w:t>خراساني ، محمّد جعفر بن محمّد طاهر</w:t>
        </w:r>
        <w:r>
          <w:tab/>
        </w:r>
        <w:r>
          <w:fldChar w:fldCharType="begin"/>
        </w:r>
        <w:r>
          <w:instrText xml:space="preserve">PAGEREF 3189 \h</w:instrText>
        </w:r>
        <w:r>
          <w:fldChar w:fldCharType="end"/>
        </w:r>
      </w:hyperlink>
    </w:p>
    <w:p>
      <w:pPr>
        <w:tabs>
          <w:tab w:val="right" w:leader="dot" w:pos="9062"/>
        </w:tabs>
        <w:ind w:left="220"/>
      </w:pPr>
      <w:hyperlink w:anchor="_Toc3190" w:history="1">
        <w:r>
          <w:rPr>
            <w:rFonts w:ascii="IRNazanin" w:hAnsi="IRNazanin" w:eastAsia="IRNazanin" w:cs="IRNazanin"/>
            <w:color w:val="111111"/>
            <w:sz w:val="22"/>
            <w:szCs w:val="22"/>
            <w:b w:val="0"/>
            <w:bCs w:val="0"/>
            <w:i w:val="0"/>
            <w:iCs w:val="0"/>
          </w:rPr>
          <w:t>خراساني ، محمّد حسين</w:t>
        </w:r>
        <w:r>
          <w:tab/>
        </w:r>
        <w:r>
          <w:fldChar w:fldCharType="begin"/>
        </w:r>
        <w:r>
          <w:instrText xml:space="preserve">PAGEREF 3190 \h</w:instrText>
        </w:r>
        <w:r>
          <w:fldChar w:fldCharType="end"/>
        </w:r>
      </w:hyperlink>
    </w:p>
    <w:p>
      <w:pPr>
        <w:tabs>
          <w:tab w:val="right" w:leader="dot" w:pos="9062"/>
        </w:tabs>
        <w:ind w:left="220"/>
      </w:pPr>
      <w:hyperlink w:anchor="_Toc3191" w:history="1">
        <w:r>
          <w:rPr>
            <w:rFonts w:ascii="IRNazanin" w:hAnsi="IRNazanin" w:eastAsia="IRNazanin" w:cs="IRNazanin"/>
            <w:color w:val="111111"/>
            <w:sz w:val="22"/>
            <w:szCs w:val="22"/>
            <w:b w:val="0"/>
            <w:bCs w:val="0"/>
            <w:i w:val="0"/>
            <w:iCs w:val="0"/>
          </w:rPr>
          <w:t>خراشي، محمّد بن عبدالله، 1010-1101ه-</w:t>
        </w:r>
        <w:r>
          <w:tab/>
        </w:r>
        <w:r>
          <w:fldChar w:fldCharType="begin"/>
        </w:r>
        <w:r>
          <w:instrText xml:space="preserve">PAGEREF 3191 \h</w:instrText>
        </w:r>
        <w:r>
          <w:fldChar w:fldCharType="end"/>
        </w:r>
      </w:hyperlink>
    </w:p>
    <w:p>
      <w:pPr>
        <w:tabs>
          <w:tab w:val="right" w:leader="dot" w:pos="9062"/>
        </w:tabs>
        <w:ind w:left="220"/>
      </w:pPr>
      <w:hyperlink w:anchor="_Toc3192" w:history="1">
        <w:r>
          <w:rPr>
            <w:rFonts w:ascii="IRNazanin" w:hAnsi="IRNazanin" w:eastAsia="IRNazanin" w:cs="IRNazanin"/>
            <w:color w:val="111111"/>
            <w:sz w:val="22"/>
            <w:szCs w:val="22"/>
            <w:b w:val="0"/>
            <w:bCs w:val="0"/>
            <w:i w:val="0"/>
            <w:iCs w:val="0"/>
          </w:rPr>
          <w:t>خرپوتي ، عبدالحميد بن عمر 1245 -</w:t>
        </w:r>
        <w:r>
          <w:tab/>
        </w:r>
        <w:r>
          <w:fldChar w:fldCharType="begin"/>
        </w:r>
        <w:r>
          <w:instrText xml:space="preserve">PAGEREF 3192 \h</w:instrText>
        </w:r>
        <w:r>
          <w:fldChar w:fldCharType="end"/>
        </w:r>
      </w:hyperlink>
    </w:p>
    <w:p>
      <w:pPr>
        <w:tabs>
          <w:tab w:val="right" w:leader="dot" w:pos="9062"/>
        </w:tabs>
        <w:ind w:left="220"/>
      </w:pPr>
      <w:hyperlink w:anchor="_Toc3193" w:history="1">
        <w:r>
          <w:rPr>
            <w:rFonts w:ascii="IRNazanin" w:hAnsi="IRNazanin" w:eastAsia="IRNazanin" w:cs="IRNazanin"/>
            <w:color w:val="111111"/>
            <w:sz w:val="22"/>
            <w:szCs w:val="22"/>
            <w:b w:val="0"/>
            <w:bCs w:val="0"/>
            <w:i w:val="0"/>
            <w:iCs w:val="0"/>
          </w:rPr>
          <w:t>خرتبرتي ، محمود بن اسماعيل - 915 ه-</w:t>
        </w:r>
        <w:r>
          <w:tab/>
        </w:r>
        <w:r>
          <w:fldChar w:fldCharType="begin"/>
        </w:r>
        <w:r>
          <w:instrText xml:space="preserve">PAGEREF 3193 \h</w:instrText>
        </w:r>
        <w:r>
          <w:fldChar w:fldCharType="end"/>
        </w:r>
      </w:hyperlink>
    </w:p>
    <w:p>
      <w:pPr>
        <w:tabs>
          <w:tab w:val="right" w:leader="dot" w:pos="9062"/>
        </w:tabs>
        <w:ind w:left="220"/>
      </w:pPr>
      <w:hyperlink w:anchor="_Toc3194" w:history="1">
        <w:r>
          <w:rPr>
            <w:rFonts w:ascii="IRNazanin" w:hAnsi="IRNazanin" w:eastAsia="IRNazanin" w:cs="IRNazanin"/>
            <w:color w:val="111111"/>
            <w:sz w:val="22"/>
            <w:szCs w:val="22"/>
            <w:b w:val="0"/>
            <w:bCs w:val="0"/>
            <w:i w:val="0"/>
            <w:iCs w:val="0"/>
          </w:rPr>
          <w:t>خرسان ، ابراهيم بن حسين قرن 13 ه-</w:t>
        </w:r>
        <w:r>
          <w:tab/>
        </w:r>
        <w:r>
          <w:fldChar w:fldCharType="begin"/>
        </w:r>
        <w:r>
          <w:instrText xml:space="preserve">PAGEREF 3194 \h</w:instrText>
        </w:r>
        <w:r>
          <w:fldChar w:fldCharType="end"/>
        </w:r>
      </w:hyperlink>
    </w:p>
    <w:p>
      <w:pPr>
        <w:tabs>
          <w:tab w:val="right" w:leader="dot" w:pos="9062"/>
        </w:tabs>
        <w:ind w:left="220"/>
      </w:pPr>
      <w:hyperlink w:anchor="_Toc3195" w:history="1">
        <w:r>
          <w:rPr>
            <w:rFonts w:ascii="IRNazanin" w:hAnsi="IRNazanin" w:eastAsia="IRNazanin" w:cs="IRNazanin"/>
            <w:color w:val="111111"/>
            <w:sz w:val="22"/>
            <w:szCs w:val="22"/>
            <w:b w:val="0"/>
            <w:bCs w:val="0"/>
            <w:i w:val="0"/>
            <w:iCs w:val="0"/>
          </w:rPr>
          <w:t>خرسان ، محمّد مهدي بن حسن</w:t>
        </w:r>
        <w:r>
          <w:tab/>
        </w:r>
        <w:r>
          <w:fldChar w:fldCharType="begin"/>
        </w:r>
        <w:r>
          <w:instrText xml:space="preserve">PAGEREF 3195 \h</w:instrText>
        </w:r>
        <w:r>
          <w:fldChar w:fldCharType="end"/>
        </w:r>
      </w:hyperlink>
    </w:p>
    <w:p>
      <w:pPr>
        <w:tabs>
          <w:tab w:val="right" w:leader="dot" w:pos="9062"/>
        </w:tabs>
        <w:ind w:left="220"/>
      </w:pPr>
      <w:hyperlink w:anchor="_Toc3196" w:history="1">
        <w:r>
          <w:rPr>
            <w:rFonts w:ascii="IRNazanin" w:hAnsi="IRNazanin" w:eastAsia="IRNazanin" w:cs="IRNazanin"/>
            <w:color w:val="111111"/>
            <w:sz w:val="22"/>
            <w:szCs w:val="22"/>
            <w:b w:val="0"/>
            <w:bCs w:val="0"/>
            <w:i w:val="0"/>
            <w:iCs w:val="0"/>
          </w:rPr>
          <w:t>خرسان ، موسی بن حسن - 1323 ه-</w:t>
        </w:r>
        <w:r>
          <w:tab/>
        </w:r>
        <w:r>
          <w:fldChar w:fldCharType="begin"/>
        </w:r>
        <w:r>
          <w:instrText xml:space="preserve">PAGEREF 3196 \h</w:instrText>
        </w:r>
        <w:r>
          <w:fldChar w:fldCharType="end"/>
        </w:r>
      </w:hyperlink>
    </w:p>
    <w:p>
      <w:pPr>
        <w:tabs>
          <w:tab w:val="right" w:leader="dot" w:pos="9062"/>
        </w:tabs>
        <w:ind w:left="220"/>
      </w:pPr>
      <w:hyperlink w:anchor="_Toc3197" w:history="1">
        <w:r>
          <w:rPr>
            <w:rFonts w:ascii="IRNazanin" w:hAnsi="IRNazanin" w:eastAsia="IRNazanin" w:cs="IRNazanin"/>
            <w:color w:val="111111"/>
            <w:sz w:val="22"/>
            <w:szCs w:val="22"/>
            <w:b w:val="0"/>
            <w:bCs w:val="0"/>
            <w:i w:val="0"/>
            <w:iCs w:val="0"/>
          </w:rPr>
          <w:t>خرساني ، محمّد باقر</w:t>
        </w:r>
        <w:r>
          <w:tab/>
        </w:r>
        <w:r>
          <w:fldChar w:fldCharType="begin"/>
        </w:r>
        <w:r>
          <w:instrText xml:space="preserve">PAGEREF 3197 \h</w:instrText>
        </w:r>
        <w:r>
          <w:fldChar w:fldCharType="end"/>
        </w:r>
      </w:hyperlink>
    </w:p>
    <w:p>
      <w:pPr>
        <w:tabs>
          <w:tab w:val="right" w:leader="dot" w:pos="9062"/>
        </w:tabs>
        <w:ind w:left="220"/>
      </w:pPr>
      <w:hyperlink w:anchor="_Toc3198" w:history="1">
        <w:r>
          <w:rPr>
            <w:rFonts w:ascii="IRNazanin" w:hAnsi="IRNazanin" w:eastAsia="IRNazanin" w:cs="IRNazanin"/>
            <w:color w:val="111111"/>
            <w:sz w:val="22"/>
            <w:szCs w:val="22"/>
            <w:b w:val="0"/>
            <w:bCs w:val="0"/>
            <w:i w:val="0"/>
            <w:iCs w:val="0"/>
          </w:rPr>
          <w:t>خرقاني ، قطب الدين محمّد</w:t>
        </w:r>
        <w:r>
          <w:tab/>
        </w:r>
        <w:r>
          <w:fldChar w:fldCharType="begin"/>
        </w:r>
        <w:r>
          <w:instrText xml:space="preserve">PAGEREF 3198 \h</w:instrText>
        </w:r>
        <w:r>
          <w:fldChar w:fldCharType="end"/>
        </w:r>
      </w:hyperlink>
    </w:p>
    <w:p>
      <w:pPr>
        <w:tabs>
          <w:tab w:val="right" w:leader="dot" w:pos="9062"/>
        </w:tabs>
        <w:ind w:left="220"/>
      </w:pPr>
      <w:hyperlink w:anchor="_Toc3199" w:history="1">
        <w:r>
          <w:rPr>
            <w:rFonts w:ascii="IRNazanin" w:hAnsi="IRNazanin" w:eastAsia="IRNazanin" w:cs="IRNazanin"/>
            <w:color w:val="111111"/>
            <w:sz w:val="22"/>
            <w:szCs w:val="22"/>
            <w:b w:val="0"/>
            <w:bCs w:val="0"/>
            <w:i w:val="0"/>
            <w:iCs w:val="0"/>
          </w:rPr>
          <w:t>خرقاني نجفي ، محمّد تقي</w:t>
        </w:r>
        <w:r>
          <w:tab/>
        </w:r>
        <w:r>
          <w:fldChar w:fldCharType="begin"/>
        </w:r>
        <w:r>
          <w:instrText xml:space="preserve">PAGEREF 3199 \h</w:instrText>
        </w:r>
        <w:r>
          <w:fldChar w:fldCharType="end"/>
        </w:r>
      </w:hyperlink>
    </w:p>
    <w:p>
      <w:pPr>
        <w:tabs>
          <w:tab w:val="right" w:leader="dot" w:pos="9062"/>
        </w:tabs>
        <w:ind w:left="220"/>
      </w:pPr>
      <w:hyperlink w:anchor="_Toc3200" w:history="1">
        <w:r>
          <w:rPr>
            <w:rFonts w:ascii="IRNazanin" w:hAnsi="IRNazanin" w:eastAsia="IRNazanin" w:cs="IRNazanin"/>
            <w:color w:val="111111"/>
            <w:sz w:val="22"/>
            <w:szCs w:val="22"/>
            <w:b w:val="0"/>
            <w:bCs w:val="0"/>
            <w:i w:val="0"/>
            <w:iCs w:val="0"/>
          </w:rPr>
          <w:t>خرقي ، محمّد بن احمد - 533 ه-</w:t>
        </w:r>
        <w:r>
          <w:tab/>
        </w:r>
        <w:r>
          <w:fldChar w:fldCharType="begin"/>
        </w:r>
        <w:r>
          <w:instrText xml:space="preserve">PAGEREF 3200 \h</w:instrText>
        </w:r>
        <w:r>
          <w:fldChar w:fldCharType="end"/>
        </w:r>
      </w:hyperlink>
    </w:p>
    <w:p>
      <w:pPr>
        <w:tabs>
          <w:tab w:val="right" w:leader="dot" w:pos="9062"/>
        </w:tabs>
        <w:ind w:left="220"/>
      </w:pPr>
      <w:hyperlink w:anchor="_Toc3201" w:history="1">
        <w:r>
          <w:rPr>
            <w:rFonts w:ascii="IRNazanin" w:hAnsi="IRNazanin" w:eastAsia="IRNazanin" w:cs="IRNazanin"/>
            <w:color w:val="111111"/>
            <w:sz w:val="22"/>
            <w:szCs w:val="22"/>
            <w:b w:val="0"/>
            <w:bCs w:val="0"/>
            <w:i w:val="0"/>
            <w:iCs w:val="0"/>
          </w:rPr>
          <w:t>خرگوشي ، عبدالملك بن محمّد - 407 ه-</w:t>
        </w:r>
        <w:r>
          <w:tab/>
        </w:r>
        <w:r>
          <w:fldChar w:fldCharType="begin"/>
        </w:r>
        <w:r>
          <w:instrText xml:space="preserve">PAGEREF 3201 \h</w:instrText>
        </w:r>
        <w:r>
          <w:fldChar w:fldCharType="end"/>
        </w:r>
      </w:hyperlink>
    </w:p>
    <w:p>
      <w:pPr>
        <w:tabs>
          <w:tab w:val="right" w:leader="dot" w:pos="9062"/>
        </w:tabs>
        <w:ind w:left="220"/>
      </w:pPr>
      <w:hyperlink w:anchor="_Toc3202" w:history="1">
        <w:r>
          <w:rPr>
            <w:rFonts w:ascii="IRNazanin" w:hAnsi="IRNazanin" w:eastAsia="IRNazanin" w:cs="IRNazanin"/>
            <w:color w:val="111111"/>
            <w:sz w:val="22"/>
            <w:szCs w:val="22"/>
            <w:b w:val="0"/>
            <w:bCs w:val="0"/>
            <w:i w:val="0"/>
            <w:iCs w:val="0"/>
          </w:rPr>
          <w:t>خرمابادي، زين الدين جبرئيل</w:t>
        </w:r>
        <w:r>
          <w:tab/>
        </w:r>
        <w:r>
          <w:fldChar w:fldCharType="begin"/>
        </w:r>
        <w:r>
          <w:instrText xml:space="preserve">PAGEREF 3202 \h</w:instrText>
        </w:r>
        <w:r>
          <w:fldChar w:fldCharType="end"/>
        </w:r>
      </w:hyperlink>
    </w:p>
    <w:p>
      <w:pPr>
        <w:tabs>
          <w:tab w:val="right" w:leader="dot" w:pos="9062"/>
        </w:tabs>
        <w:ind w:left="220"/>
      </w:pPr>
      <w:hyperlink w:anchor="_Toc3203" w:history="1">
        <w:r>
          <w:rPr>
            <w:rFonts w:ascii="IRNazanin" w:hAnsi="IRNazanin" w:eastAsia="IRNazanin" w:cs="IRNazanin"/>
            <w:color w:val="111111"/>
            <w:sz w:val="22"/>
            <w:szCs w:val="22"/>
            <w:b w:val="0"/>
            <w:bCs w:val="0"/>
            <w:i w:val="0"/>
            <w:iCs w:val="0"/>
          </w:rPr>
          <w:t>خرميطي ، مسلم بن قاسم</w:t>
        </w:r>
        <w:r>
          <w:tab/>
        </w:r>
        <w:r>
          <w:fldChar w:fldCharType="begin"/>
        </w:r>
        <w:r>
          <w:instrText xml:space="preserve">PAGEREF 3203 \h</w:instrText>
        </w:r>
        <w:r>
          <w:fldChar w:fldCharType="end"/>
        </w:r>
      </w:hyperlink>
    </w:p>
    <w:p>
      <w:pPr>
        <w:tabs>
          <w:tab w:val="right" w:leader="dot" w:pos="9062"/>
        </w:tabs>
        <w:ind w:left="220"/>
      </w:pPr>
      <w:hyperlink w:anchor="_Toc3204" w:history="1">
        <w:r>
          <w:rPr>
            <w:rFonts w:ascii="IRNazanin" w:hAnsi="IRNazanin" w:eastAsia="IRNazanin" w:cs="IRNazanin"/>
            <w:color w:val="111111"/>
            <w:sz w:val="22"/>
            <w:szCs w:val="22"/>
            <w:b w:val="0"/>
            <w:bCs w:val="0"/>
            <w:i w:val="0"/>
            <w:iCs w:val="0"/>
          </w:rPr>
          <w:t>خزاز رازي ، علي بن محمّد قرن 4 ه-</w:t>
        </w:r>
        <w:r>
          <w:tab/>
        </w:r>
        <w:r>
          <w:fldChar w:fldCharType="begin"/>
        </w:r>
        <w:r>
          <w:instrText xml:space="preserve">PAGEREF 3204 \h</w:instrText>
        </w:r>
        <w:r>
          <w:fldChar w:fldCharType="end"/>
        </w:r>
      </w:hyperlink>
    </w:p>
    <w:p>
      <w:pPr>
        <w:tabs>
          <w:tab w:val="right" w:leader="dot" w:pos="9062"/>
        </w:tabs>
        <w:ind w:left="220"/>
      </w:pPr>
      <w:hyperlink w:anchor="_Toc3205" w:history="1">
        <w:r>
          <w:rPr>
            <w:rFonts w:ascii="IRNazanin" w:hAnsi="IRNazanin" w:eastAsia="IRNazanin" w:cs="IRNazanin"/>
            <w:color w:val="111111"/>
            <w:sz w:val="22"/>
            <w:szCs w:val="22"/>
            <w:b w:val="0"/>
            <w:bCs w:val="0"/>
            <w:i w:val="0"/>
            <w:iCs w:val="0"/>
          </w:rPr>
          <w:t>خزاعي اصفهاني ، محمّد مقیم بن درویش</w:t>
        </w:r>
        <w:r>
          <w:tab/>
        </w:r>
        <w:r>
          <w:fldChar w:fldCharType="begin"/>
        </w:r>
        <w:r>
          <w:instrText xml:space="preserve">PAGEREF 3205 \h</w:instrText>
        </w:r>
        <w:r>
          <w:fldChar w:fldCharType="end"/>
        </w:r>
      </w:hyperlink>
    </w:p>
    <w:p>
      <w:pPr>
        <w:tabs>
          <w:tab w:val="right" w:leader="dot" w:pos="9062"/>
        </w:tabs>
        <w:ind w:left="220"/>
      </w:pPr>
      <w:hyperlink w:anchor="_Toc3206" w:history="1">
        <w:r>
          <w:rPr>
            <w:rFonts w:ascii="IRNazanin" w:hAnsi="IRNazanin" w:eastAsia="IRNazanin" w:cs="IRNazanin"/>
            <w:color w:val="111111"/>
            <w:sz w:val="22"/>
            <w:szCs w:val="22"/>
            <w:b w:val="0"/>
            <w:bCs w:val="0"/>
            <w:i w:val="0"/>
            <w:iCs w:val="0"/>
          </w:rPr>
          <w:t>خزرجي ، جمال الدين بن حسن</w:t>
        </w:r>
        <w:r>
          <w:tab/>
        </w:r>
        <w:r>
          <w:fldChar w:fldCharType="begin"/>
        </w:r>
        <w:r>
          <w:instrText xml:space="preserve">PAGEREF 3206 \h</w:instrText>
        </w:r>
        <w:r>
          <w:fldChar w:fldCharType="end"/>
        </w:r>
      </w:hyperlink>
    </w:p>
    <w:p>
      <w:pPr>
        <w:tabs>
          <w:tab w:val="right" w:leader="dot" w:pos="9062"/>
        </w:tabs>
        <w:ind w:left="220"/>
      </w:pPr>
      <w:hyperlink w:anchor="_Toc3207" w:history="1">
        <w:r>
          <w:rPr>
            <w:rFonts w:ascii="IRNazanin" w:hAnsi="IRNazanin" w:eastAsia="IRNazanin" w:cs="IRNazanin"/>
            <w:color w:val="111111"/>
            <w:sz w:val="22"/>
            <w:szCs w:val="22"/>
            <w:b w:val="0"/>
            <w:bCs w:val="0"/>
            <w:i w:val="0"/>
            <w:iCs w:val="0"/>
          </w:rPr>
          <w:t>خزرجي ، عبدالله بن محمّد - 626 ه-</w:t>
        </w:r>
        <w:r>
          <w:tab/>
        </w:r>
        <w:r>
          <w:fldChar w:fldCharType="begin"/>
        </w:r>
        <w:r>
          <w:instrText xml:space="preserve">PAGEREF 3207 \h</w:instrText>
        </w:r>
        <w:r>
          <w:fldChar w:fldCharType="end"/>
        </w:r>
      </w:hyperlink>
    </w:p>
    <w:p>
      <w:pPr>
        <w:tabs>
          <w:tab w:val="right" w:leader="dot" w:pos="9062"/>
        </w:tabs>
        <w:ind w:left="220"/>
      </w:pPr>
      <w:hyperlink w:anchor="_Toc3208" w:history="1">
        <w:r>
          <w:rPr>
            <w:rFonts w:ascii="IRNazanin" w:hAnsi="IRNazanin" w:eastAsia="IRNazanin" w:cs="IRNazanin"/>
            <w:color w:val="111111"/>
            <w:sz w:val="22"/>
            <w:szCs w:val="22"/>
            <w:b w:val="0"/>
            <w:bCs w:val="0"/>
            <w:i w:val="0"/>
            <w:iCs w:val="0"/>
          </w:rPr>
          <w:t>خزرجي ، محمّد بن نعمان</w:t>
        </w:r>
        <w:r>
          <w:tab/>
        </w:r>
        <w:r>
          <w:fldChar w:fldCharType="begin"/>
        </w:r>
        <w:r>
          <w:instrText xml:space="preserve">PAGEREF 3208 \h</w:instrText>
        </w:r>
        <w:r>
          <w:fldChar w:fldCharType="end"/>
        </w:r>
      </w:hyperlink>
    </w:p>
    <w:p>
      <w:pPr>
        <w:tabs>
          <w:tab w:val="right" w:leader="dot" w:pos="9062"/>
        </w:tabs>
        <w:ind w:left="220"/>
      </w:pPr>
      <w:hyperlink w:anchor="_Toc3209" w:history="1">
        <w:r>
          <w:rPr>
            <w:rFonts w:ascii="IRNazanin" w:hAnsi="IRNazanin" w:eastAsia="IRNazanin" w:cs="IRNazanin"/>
            <w:color w:val="111111"/>
            <w:sz w:val="22"/>
            <w:szCs w:val="22"/>
            <w:b w:val="0"/>
            <w:bCs w:val="0"/>
            <w:i w:val="0"/>
            <w:iCs w:val="0"/>
          </w:rPr>
          <w:t>خزندار لطف الله بن عبدالله قرن 13ه-</w:t>
        </w:r>
        <w:r>
          <w:tab/>
        </w:r>
        <w:r>
          <w:fldChar w:fldCharType="begin"/>
        </w:r>
        <w:r>
          <w:instrText xml:space="preserve">PAGEREF 3209 \h</w:instrText>
        </w:r>
        <w:r>
          <w:fldChar w:fldCharType="end"/>
        </w:r>
      </w:hyperlink>
    </w:p>
    <w:p>
      <w:pPr>
        <w:tabs>
          <w:tab w:val="right" w:leader="dot" w:pos="9062"/>
        </w:tabs>
        <w:ind w:left="220"/>
      </w:pPr>
      <w:hyperlink w:anchor="_Toc3210" w:history="1">
        <w:r>
          <w:rPr>
            <w:rFonts w:ascii="IRNazanin" w:hAnsi="IRNazanin" w:eastAsia="IRNazanin" w:cs="IRNazanin"/>
            <w:color w:val="111111"/>
            <w:sz w:val="22"/>
            <w:szCs w:val="22"/>
            <w:b w:val="0"/>
            <w:bCs w:val="0"/>
            <w:i w:val="0"/>
            <w:iCs w:val="0"/>
          </w:rPr>
          <w:t>خزنوي، محمّد بن عبدالرحمن</w:t>
        </w:r>
        <w:r>
          <w:tab/>
        </w:r>
        <w:r>
          <w:fldChar w:fldCharType="begin"/>
        </w:r>
        <w:r>
          <w:instrText xml:space="preserve">PAGEREF 3210 \h</w:instrText>
        </w:r>
        <w:r>
          <w:fldChar w:fldCharType="end"/>
        </w:r>
      </w:hyperlink>
    </w:p>
    <w:p>
      <w:pPr>
        <w:tabs>
          <w:tab w:val="right" w:leader="dot" w:pos="9062"/>
        </w:tabs>
        <w:ind w:left="220"/>
      </w:pPr>
      <w:hyperlink w:anchor="_Toc3211" w:history="1">
        <w:r>
          <w:rPr>
            <w:rFonts w:ascii="IRNazanin" w:hAnsi="IRNazanin" w:eastAsia="IRNazanin" w:cs="IRNazanin"/>
            <w:color w:val="111111"/>
            <w:sz w:val="22"/>
            <w:szCs w:val="22"/>
            <w:b w:val="0"/>
            <w:bCs w:val="0"/>
            <w:i w:val="0"/>
            <w:iCs w:val="0"/>
          </w:rPr>
          <w:t>خسروشاهي ، حسين بن علي، قرن 13 ه-</w:t>
        </w:r>
        <w:r>
          <w:tab/>
        </w:r>
        <w:r>
          <w:fldChar w:fldCharType="begin"/>
        </w:r>
        <w:r>
          <w:instrText xml:space="preserve">PAGEREF 3211 \h</w:instrText>
        </w:r>
        <w:r>
          <w:fldChar w:fldCharType="end"/>
        </w:r>
      </w:hyperlink>
    </w:p>
    <w:p>
      <w:pPr>
        <w:tabs>
          <w:tab w:val="right" w:leader="dot" w:pos="9062"/>
        </w:tabs>
        <w:ind w:left="220"/>
      </w:pPr>
      <w:hyperlink w:anchor="_Toc3212" w:history="1">
        <w:r>
          <w:rPr>
            <w:rFonts w:ascii="IRNazanin" w:hAnsi="IRNazanin" w:eastAsia="IRNazanin" w:cs="IRNazanin"/>
            <w:color w:val="111111"/>
            <w:sz w:val="22"/>
            <w:szCs w:val="22"/>
            <w:b w:val="0"/>
            <w:bCs w:val="0"/>
            <w:i w:val="0"/>
            <w:iCs w:val="0"/>
          </w:rPr>
          <w:t>خسروي ، محمّد باقر میرزا قرن 14 ه-</w:t>
        </w:r>
        <w:r>
          <w:tab/>
        </w:r>
        <w:r>
          <w:fldChar w:fldCharType="begin"/>
        </w:r>
        <w:r>
          <w:instrText xml:space="preserve">PAGEREF 3212 \h</w:instrText>
        </w:r>
        <w:r>
          <w:fldChar w:fldCharType="end"/>
        </w:r>
      </w:hyperlink>
    </w:p>
    <w:p>
      <w:pPr>
        <w:tabs>
          <w:tab w:val="right" w:leader="dot" w:pos="9062"/>
        </w:tabs>
        <w:ind w:left="220"/>
      </w:pPr>
      <w:hyperlink w:anchor="_Toc3213" w:history="1">
        <w:r>
          <w:rPr>
            <w:rFonts w:ascii="IRNazanin" w:hAnsi="IRNazanin" w:eastAsia="IRNazanin" w:cs="IRNazanin"/>
            <w:color w:val="111111"/>
            <w:sz w:val="22"/>
            <w:szCs w:val="22"/>
            <w:b w:val="0"/>
            <w:bCs w:val="0"/>
            <w:i w:val="0"/>
            <w:iCs w:val="0"/>
          </w:rPr>
          <w:t>خصالي، عبدالرحمن بن ايوب - 1087 ه-</w:t>
        </w:r>
        <w:r>
          <w:tab/>
        </w:r>
        <w:r>
          <w:fldChar w:fldCharType="begin"/>
        </w:r>
        <w:r>
          <w:instrText xml:space="preserve">PAGEREF 3213 \h</w:instrText>
        </w:r>
        <w:r>
          <w:fldChar w:fldCharType="end"/>
        </w:r>
      </w:hyperlink>
    </w:p>
    <w:p>
      <w:pPr>
        <w:tabs>
          <w:tab w:val="right" w:leader="dot" w:pos="9062"/>
        </w:tabs>
        <w:ind w:left="220"/>
      </w:pPr>
      <w:hyperlink w:anchor="_Toc3214" w:history="1">
        <w:r>
          <w:rPr>
            <w:rFonts w:ascii="IRNazanin" w:hAnsi="IRNazanin" w:eastAsia="IRNazanin" w:cs="IRNazanin"/>
            <w:color w:val="111111"/>
            <w:sz w:val="22"/>
            <w:szCs w:val="22"/>
            <w:b w:val="0"/>
            <w:bCs w:val="0"/>
            <w:i w:val="0"/>
            <w:iCs w:val="0"/>
          </w:rPr>
          <w:t>خصيبي ، حسين بن حمدان - 358 ه-</w:t>
        </w:r>
        <w:r>
          <w:tab/>
        </w:r>
        <w:r>
          <w:fldChar w:fldCharType="begin"/>
        </w:r>
        <w:r>
          <w:instrText xml:space="preserve">PAGEREF 3214 \h</w:instrText>
        </w:r>
        <w:r>
          <w:fldChar w:fldCharType="end"/>
        </w:r>
      </w:hyperlink>
    </w:p>
    <w:p>
      <w:pPr>
        <w:tabs>
          <w:tab w:val="right" w:leader="dot" w:pos="9062"/>
        </w:tabs>
        <w:ind w:left="220"/>
      </w:pPr>
      <w:hyperlink w:anchor="_Toc3215" w:history="1">
        <w:r>
          <w:rPr>
            <w:rFonts w:ascii="IRNazanin" w:hAnsi="IRNazanin" w:eastAsia="IRNazanin" w:cs="IRNazanin"/>
            <w:color w:val="111111"/>
            <w:sz w:val="22"/>
            <w:szCs w:val="22"/>
            <w:b w:val="0"/>
            <w:bCs w:val="0"/>
            <w:i w:val="0"/>
            <w:iCs w:val="0"/>
          </w:rPr>
          <w:t>خضر بن حسن</w:t>
        </w:r>
        <w:r>
          <w:tab/>
        </w:r>
        <w:r>
          <w:fldChar w:fldCharType="begin"/>
        </w:r>
        <w:r>
          <w:instrText xml:space="preserve">PAGEREF 3215 \h</w:instrText>
        </w:r>
        <w:r>
          <w:fldChar w:fldCharType="end"/>
        </w:r>
      </w:hyperlink>
    </w:p>
    <w:p>
      <w:pPr>
        <w:tabs>
          <w:tab w:val="right" w:leader="dot" w:pos="9062"/>
        </w:tabs>
        <w:ind w:left="220"/>
      </w:pPr>
      <w:hyperlink w:anchor="_Toc3216" w:history="1">
        <w:r>
          <w:rPr>
            <w:rFonts w:ascii="IRNazanin" w:hAnsi="IRNazanin" w:eastAsia="IRNazanin" w:cs="IRNazanin"/>
            <w:color w:val="111111"/>
            <w:sz w:val="22"/>
            <w:szCs w:val="22"/>
            <w:b w:val="0"/>
            <w:bCs w:val="0"/>
            <w:i w:val="0"/>
            <w:iCs w:val="0"/>
          </w:rPr>
          <w:t>خضري، محمّد بن احمد - 928 ه-</w:t>
        </w:r>
        <w:r>
          <w:tab/>
        </w:r>
        <w:r>
          <w:fldChar w:fldCharType="begin"/>
        </w:r>
        <w:r>
          <w:instrText xml:space="preserve">PAGEREF 3216 \h</w:instrText>
        </w:r>
        <w:r>
          <w:fldChar w:fldCharType="end"/>
        </w:r>
      </w:hyperlink>
    </w:p>
    <w:p>
      <w:pPr>
        <w:tabs>
          <w:tab w:val="right" w:leader="dot" w:pos="9062"/>
        </w:tabs>
        <w:ind w:left="220"/>
      </w:pPr>
      <w:hyperlink w:anchor="_Toc3217" w:history="1">
        <w:r>
          <w:rPr>
            <w:rFonts w:ascii="IRNazanin" w:hAnsi="IRNazanin" w:eastAsia="IRNazanin" w:cs="IRNazanin"/>
            <w:color w:val="111111"/>
            <w:sz w:val="22"/>
            <w:szCs w:val="22"/>
            <w:b w:val="0"/>
            <w:bCs w:val="0"/>
            <w:i w:val="0"/>
            <w:iCs w:val="0"/>
          </w:rPr>
          <w:t>خضري، محمّد بن محمّد - 928؟ ه-</w:t>
        </w:r>
        <w:r>
          <w:tab/>
        </w:r>
        <w:r>
          <w:fldChar w:fldCharType="begin"/>
        </w:r>
        <w:r>
          <w:instrText xml:space="preserve">PAGEREF 3217 \h</w:instrText>
        </w:r>
        <w:r>
          <w:fldChar w:fldCharType="end"/>
        </w:r>
      </w:hyperlink>
    </w:p>
    <w:p>
      <w:pPr>
        <w:tabs>
          <w:tab w:val="right" w:leader="dot" w:pos="9062"/>
        </w:tabs>
        <w:ind w:left="220"/>
      </w:pPr>
      <w:hyperlink w:anchor="_Toc3218" w:history="1">
        <w:r>
          <w:rPr>
            <w:rFonts w:ascii="IRNazanin" w:hAnsi="IRNazanin" w:eastAsia="IRNazanin" w:cs="IRNazanin"/>
            <w:color w:val="111111"/>
            <w:sz w:val="22"/>
            <w:szCs w:val="22"/>
            <w:b w:val="0"/>
            <w:bCs w:val="0"/>
            <w:i w:val="0"/>
            <w:iCs w:val="0"/>
          </w:rPr>
          <w:t>خضري، محمود بن عبدالجليل</w:t>
        </w:r>
        <w:r>
          <w:tab/>
        </w:r>
        <w:r>
          <w:fldChar w:fldCharType="begin"/>
        </w:r>
        <w:r>
          <w:instrText xml:space="preserve">PAGEREF 3218 \h</w:instrText>
        </w:r>
        <w:r>
          <w:fldChar w:fldCharType="end"/>
        </w:r>
      </w:hyperlink>
    </w:p>
    <w:p>
      <w:pPr>
        <w:tabs>
          <w:tab w:val="right" w:leader="dot" w:pos="9062"/>
        </w:tabs>
        <w:ind w:left="220"/>
      </w:pPr>
      <w:hyperlink w:anchor="_Toc3219" w:history="1">
        <w:r>
          <w:rPr>
            <w:rFonts w:ascii="IRNazanin" w:hAnsi="IRNazanin" w:eastAsia="IRNazanin" w:cs="IRNazanin"/>
            <w:color w:val="111111"/>
            <w:sz w:val="22"/>
            <w:szCs w:val="22"/>
            <w:b w:val="0"/>
            <w:bCs w:val="0"/>
            <w:i w:val="0"/>
            <w:iCs w:val="0"/>
          </w:rPr>
          <w:t>خضري ، يوسف بن عبد الجليل - 1241ه-</w:t>
        </w:r>
        <w:r>
          <w:tab/>
        </w:r>
        <w:r>
          <w:fldChar w:fldCharType="begin"/>
        </w:r>
        <w:r>
          <w:instrText xml:space="preserve">PAGEREF 3219 \h</w:instrText>
        </w:r>
        <w:r>
          <w:fldChar w:fldCharType="end"/>
        </w:r>
      </w:hyperlink>
    </w:p>
    <w:p>
      <w:pPr>
        <w:tabs>
          <w:tab w:val="right" w:leader="dot" w:pos="9062"/>
        </w:tabs>
        <w:ind w:left="220"/>
      </w:pPr>
      <w:hyperlink w:anchor="_Toc3220" w:history="1">
        <w:r>
          <w:rPr>
            <w:rFonts w:ascii="IRNazanin" w:hAnsi="IRNazanin" w:eastAsia="IRNazanin" w:cs="IRNazanin"/>
            <w:color w:val="111111"/>
            <w:sz w:val="22"/>
            <w:szCs w:val="22"/>
            <w:b w:val="0"/>
            <w:bCs w:val="0"/>
            <w:i w:val="0"/>
            <w:iCs w:val="0"/>
          </w:rPr>
          <w:t>خضيري ، معروف</w:t>
        </w:r>
        <w:r>
          <w:tab/>
        </w:r>
        <w:r>
          <w:fldChar w:fldCharType="begin"/>
        </w:r>
        <w:r>
          <w:instrText xml:space="preserve">PAGEREF 3220 \h</w:instrText>
        </w:r>
        <w:r>
          <w:fldChar w:fldCharType="end"/>
        </w:r>
      </w:hyperlink>
    </w:p>
    <w:p>
      <w:pPr>
        <w:tabs>
          <w:tab w:val="right" w:leader="dot" w:pos="9062"/>
        </w:tabs>
        <w:ind w:left="220"/>
      </w:pPr>
      <w:hyperlink w:anchor="_Toc3221" w:history="1">
        <w:r>
          <w:rPr>
            <w:rFonts w:ascii="IRNazanin" w:hAnsi="IRNazanin" w:eastAsia="IRNazanin" w:cs="IRNazanin"/>
            <w:color w:val="111111"/>
            <w:sz w:val="22"/>
            <w:szCs w:val="22"/>
            <w:b w:val="0"/>
            <w:bCs w:val="0"/>
            <w:i w:val="0"/>
            <w:iCs w:val="0"/>
          </w:rPr>
          <w:t>خطائي ، احمد بن عثمان قرن 10 ه-</w:t>
        </w:r>
        <w:r>
          <w:tab/>
        </w:r>
        <w:r>
          <w:fldChar w:fldCharType="begin"/>
        </w:r>
        <w:r>
          <w:instrText xml:space="preserve">PAGEREF 3221 \h</w:instrText>
        </w:r>
        <w:r>
          <w:fldChar w:fldCharType="end"/>
        </w:r>
      </w:hyperlink>
    </w:p>
    <w:p>
      <w:pPr>
        <w:tabs>
          <w:tab w:val="right" w:leader="dot" w:pos="9062"/>
        </w:tabs>
        <w:ind w:left="220"/>
      </w:pPr>
      <w:hyperlink w:anchor="_Toc3222" w:history="1">
        <w:r>
          <w:rPr>
            <w:rFonts w:ascii="IRNazanin" w:hAnsi="IRNazanin" w:eastAsia="IRNazanin" w:cs="IRNazanin"/>
            <w:color w:val="111111"/>
            <w:sz w:val="22"/>
            <w:szCs w:val="22"/>
            <w:b w:val="0"/>
            <w:bCs w:val="0"/>
            <w:i w:val="0"/>
            <w:iCs w:val="0"/>
          </w:rPr>
          <w:t>خطائي ، محمّد بن عبدالهادي</w:t>
        </w:r>
        <w:r>
          <w:tab/>
        </w:r>
        <w:r>
          <w:fldChar w:fldCharType="begin"/>
        </w:r>
        <w:r>
          <w:instrText xml:space="preserve">PAGEREF 3222 \h</w:instrText>
        </w:r>
        <w:r>
          <w:fldChar w:fldCharType="end"/>
        </w:r>
      </w:hyperlink>
    </w:p>
    <w:p>
      <w:pPr>
        <w:tabs>
          <w:tab w:val="right" w:leader="dot" w:pos="9062"/>
        </w:tabs>
        <w:ind w:left="220"/>
      </w:pPr>
      <w:hyperlink w:anchor="_Toc3223" w:history="1">
        <w:r>
          <w:rPr>
            <w:rFonts w:ascii="IRNazanin" w:hAnsi="IRNazanin" w:eastAsia="IRNazanin" w:cs="IRNazanin"/>
            <w:color w:val="111111"/>
            <w:sz w:val="22"/>
            <w:szCs w:val="22"/>
            <w:b w:val="0"/>
            <w:bCs w:val="0"/>
            <w:i w:val="0"/>
            <w:iCs w:val="0"/>
          </w:rPr>
          <w:t>خطابي ، احمد بن محمّد، 319 - 388</w:t>
        </w:r>
        <w:r>
          <w:tab/>
        </w:r>
        <w:r>
          <w:fldChar w:fldCharType="begin"/>
        </w:r>
        <w:r>
          <w:instrText xml:space="preserve">PAGEREF 3223 \h</w:instrText>
        </w:r>
        <w:r>
          <w:fldChar w:fldCharType="end"/>
        </w:r>
      </w:hyperlink>
    </w:p>
    <w:p>
      <w:pPr>
        <w:tabs>
          <w:tab w:val="right" w:leader="dot" w:pos="9062"/>
        </w:tabs>
        <w:ind w:left="220"/>
      </w:pPr>
      <w:hyperlink w:anchor="_Toc3224" w:history="1">
        <w:r>
          <w:rPr>
            <w:rFonts w:ascii="IRNazanin" w:hAnsi="IRNazanin" w:eastAsia="IRNazanin" w:cs="IRNazanin"/>
            <w:color w:val="111111"/>
            <w:sz w:val="22"/>
            <w:szCs w:val="22"/>
            <w:b w:val="0"/>
            <w:bCs w:val="0"/>
            <w:i w:val="0"/>
            <w:iCs w:val="0"/>
          </w:rPr>
          <w:t>خطاب ، يحيى بن محمّد، 902 - 995 ه-</w:t>
        </w:r>
        <w:r>
          <w:tab/>
        </w:r>
        <w:r>
          <w:fldChar w:fldCharType="begin"/>
        </w:r>
        <w:r>
          <w:instrText xml:space="preserve">PAGEREF 3224 \h</w:instrText>
        </w:r>
        <w:r>
          <w:fldChar w:fldCharType="end"/>
        </w:r>
      </w:hyperlink>
    </w:p>
    <w:p>
      <w:pPr>
        <w:tabs>
          <w:tab w:val="right" w:leader="dot" w:pos="9062"/>
        </w:tabs>
        <w:ind w:left="220"/>
      </w:pPr>
      <w:hyperlink w:anchor="_Toc3225" w:history="1">
        <w:r>
          <w:rPr>
            <w:rFonts w:ascii="IRNazanin" w:hAnsi="IRNazanin" w:eastAsia="IRNazanin" w:cs="IRNazanin"/>
            <w:color w:val="111111"/>
            <w:sz w:val="22"/>
            <w:szCs w:val="22"/>
            <w:b w:val="0"/>
            <w:bCs w:val="0"/>
            <w:i w:val="0"/>
            <w:iCs w:val="0"/>
          </w:rPr>
          <w:t>خطابي ، يعقوب بن اسحق</w:t>
        </w:r>
        <w:r>
          <w:tab/>
        </w:r>
        <w:r>
          <w:fldChar w:fldCharType="begin"/>
        </w:r>
        <w:r>
          <w:instrText xml:space="preserve">PAGEREF 3225 \h</w:instrText>
        </w:r>
        <w:r>
          <w:fldChar w:fldCharType="end"/>
        </w:r>
      </w:hyperlink>
    </w:p>
    <w:p>
      <w:pPr>
        <w:tabs>
          <w:tab w:val="right" w:leader="dot" w:pos="9062"/>
        </w:tabs>
        <w:ind w:left="220"/>
      </w:pPr>
      <w:hyperlink w:anchor="_Toc3226" w:history="1">
        <w:r>
          <w:rPr>
            <w:rFonts w:ascii="IRNazanin" w:hAnsi="IRNazanin" w:eastAsia="IRNazanin" w:cs="IRNazanin"/>
            <w:color w:val="111111"/>
            <w:sz w:val="22"/>
            <w:szCs w:val="22"/>
            <w:b w:val="0"/>
            <w:bCs w:val="0"/>
            <w:i w:val="0"/>
            <w:iCs w:val="0"/>
          </w:rPr>
          <w:t>خطايي ، عثمان بن عبدالله - 901 ه-</w:t>
        </w:r>
        <w:r>
          <w:tab/>
        </w:r>
        <w:r>
          <w:fldChar w:fldCharType="begin"/>
        </w:r>
        <w:r>
          <w:instrText xml:space="preserve">PAGEREF 3226 \h</w:instrText>
        </w:r>
        <w:r>
          <w:fldChar w:fldCharType="end"/>
        </w:r>
      </w:hyperlink>
    </w:p>
    <w:p>
      <w:pPr>
        <w:tabs>
          <w:tab w:val="right" w:leader="dot" w:pos="9062"/>
        </w:tabs>
        <w:ind w:left="220"/>
      </w:pPr>
      <w:hyperlink w:anchor="_Toc3227" w:history="1">
        <w:r>
          <w:rPr>
            <w:rFonts w:ascii="IRNazanin" w:hAnsi="IRNazanin" w:eastAsia="IRNazanin" w:cs="IRNazanin"/>
            <w:color w:val="111111"/>
            <w:sz w:val="22"/>
            <w:szCs w:val="22"/>
            <w:b w:val="0"/>
            <w:bCs w:val="0"/>
            <w:i w:val="0"/>
            <w:iCs w:val="0"/>
          </w:rPr>
          <w:t>خطيب، ابراهيم</w:t>
        </w:r>
        <w:r>
          <w:tab/>
        </w:r>
        <w:r>
          <w:fldChar w:fldCharType="begin"/>
        </w:r>
        <w:r>
          <w:instrText xml:space="preserve">PAGEREF 3227 \h</w:instrText>
        </w:r>
        <w:r>
          <w:fldChar w:fldCharType="end"/>
        </w:r>
      </w:hyperlink>
    </w:p>
    <w:p>
      <w:pPr>
        <w:tabs>
          <w:tab w:val="right" w:leader="dot" w:pos="9062"/>
        </w:tabs>
        <w:ind w:left="220"/>
      </w:pPr>
      <w:hyperlink w:anchor="_Toc3228" w:history="1">
        <w:r>
          <w:rPr>
            <w:rFonts w:ascii="IRNazanin" w:hAnsi="IRNazanin" w:eastAsia="IRNazanin" w:cs="IRNazanin"/>
            <w:color w:val="111111"/>
            <w:sz w:val="22"/>
            <w:szCs w:val="22"/>
            <w:b w:val="0"/>
            <w:bCs w:val="0"/>
            <w:i w:val="0"/>
            <w:iCs w:val="0"/>
          </w:rPr>
          <w:t>خطيب ، ابو عبد الله بن محمّد</w:t>
        </w:r>
        <w:r>
          <w:tab/>
        </w:r>
        <w:r>
          <w:fldChar w:fldCharType="begin"/>
        </w:r>
        <w:r>
          <w:instrText xml:space="preserve">PAGEREF 3228 \h</w:instrText>
        </w:r>
        <w:r>
          <w:fldChar w:fldCharType="end"/>
        </w:r>
      </w:hyperlink>
    </w:p>
    <w:p>
      <w:pPr>
        <w:tabs>
          <w:tab w:val="right" w:leader="dot" w:pos="9062"/>
        </w:tabs>
        <w:ind w:left="220"/>
      </w:pPr>
      <w:hyperlink w:anchor="_Toc3229" w:history="1">
        <w:r>
          <w:rPr>
            <w:rFonts w:ascii="IRNazanin" w:hAnsi="IRNazanin" w:eastAsia="IRNazanin" w:cs="IRNazanin"/>
            <w:color w:val="111111"/>
            <w:sz w:val="22"/>
            <w:szCs w:val="22"/>
            <w:b w:val="0"/>
            <w:bCs w:val="0"/>
            <w:i w:val="0"/>
            <w:iCs w:val="0"/>
          </w:rPr>
          <w:t>خطيب، احمد بن جمال الدين</w:t>
        </w:r>
        <w:r>
          <w:tab/>
        </w:r>
        <w:r>
          <w:fldChar w:fldCharType="begin"/>
        </w:r>
        <w:r>
          <w:instrText xml:space="preserve">PAGEREF 3229 \h</w:instrText>
        </w:r>
        <w:r>
          <w:fldChar w:fldCharType="end"/>
        </w:r>
      </w:hyperlink>
    </w:p>
    <w:p>
      <w:pPr>
        <w:tabs>
          <w:tab w:val="right" w:leader="dot" w:pos="9062"/>
        </w:tabs>
        <w:ind w:left="220"/>
      </w:pPr>
      <w:hyperlink w:anchor="_Toc3230" w:history="1">
        <w:r>
          <w:rPr>
            <w:rFonts w:ascii="IRNazanin" w:hAnsi="IRNazanin" w:eastAsia="IRNazanin" w:cs="IRNazanin"/>
            <w:color w:val="111111"/>
            <w:sz w:val="22"/>
            <w:szCs w:val="22"/>
            <w:b w:val="0"/>
            <w:bCs w:val="0"/>
            <w:i w:val="0"/>
            <w:iCs w:val="0"/>
          </w:rPr>
          <w:t>خطيب اسكافي ، محمّد بن عبدالله</w:t>
        </w:r>
        <w:r>
          <w:tab/>
        </w:r>
        <w:r>
          <w:fldChar w:fldCharType="begin"/>
        </w:r>
        <w:r>
          <w:instrText xml:space="preserve">PAGEREF 3230 \h</w:instrText>
        </w:r>
        <w:r>
          <w:fldChar w:fldCharType="end"/>
        </w:r>
      </w:hyperlink>
    </w:p>
    <w:p>
      <w:pPr>
        <w:tabs>
          <w:tab w:val="right" w:leader="dot" w:pos="9062"/>
        </w:tabs>
        <w:ind w:left="220"/>
      </w:pPr>
      <w:hyperlink w:anchor="_Toc3231" w:history="1">
        <w:r>
          <w:rPr>
            <w:rFonts w:ascii="IRNazanin" w:hAnsi="IRNazanin" w:eastAsia="IRNazanin" w:cs="IRNazanin"/>
            <w:color w:val="111111"/>
            <w:sz w:val="22"/>
            <w:szCs w:val="22"/>
            <w:b w:val="0"/>
            <w:bCs w:val="0"/>
            <w:i w:val="0"/>
            <w:iCs w:val="0"/>
          </w:rPr>
          <w:t>خطيب ، اسماعيل - 1401 ه-</w:t>
        </w:r>
        <w:r>
          <w:tab/>
        </w:r>
        <w:r>
          <w:fldChar w:fldCharType="begin"/>
        </w:r>
        <w:r>
          <w:instrText xml:space="preserve">PAGEREF 3231 \h</w:instrText>
        </w:r>
        <w:r>
          <w:fldChar w:fldCharType="end"/>
        </w:r>
      </w:hyperlink>
    </w:p>
    <w:p>
      <w:pPr>
        <w:tabs>
          <w:tab w:val="right" w:leader="dot" w:pos="9062"/>
        </w:tabs>
        <w:ind w:left="220"/>
      </w:pPr>
      <w:hyperlink w:anchor="_Toc3232" w:history="1">
        <w:r>
          <w:rPr>
            <w:rFonts w:ascii="IRNazanin" w:hAnsi="IRNazanin" w:eastAsia="IRNazanin" w:cs="IRNazanin"/>
            <w:color w:val="111111"/>
            <w:sz w:val="22"/>
            <w:szCs w:val="22"/>
            <w:b w:val="0"/>
            <w:bCs w:val="0"/>
            <w:i w:val="0"/>
            <w:iCs w:val="0"/>
          </w:rPr>
          <w:t>خطيب افندي ، سليمان</w:t>
        </w:r>
        <w:r>
          <w:tab/>
        </w:r>
        <w:r>
          <w:fldChar w:fldCharType="begin"/>
        </w:r>
        <w:r>
          <w:instrText xml:space="preserve">PAGEREF 3232 \h</w:instrText>
        </w:r>
        <w:r>
          <w:fldChar w:fldCharType="end"/>
        </w:r>
      </w:hyperlink>
    </w:p>
    <w:p>
      <w:pPr>
        <w:tabs>
          <w:tab w:val="right" w:leader="dot" w:pos="9062"/>
        </w:tabs>
        <w:ind w:left="220"/>
      </w:pPr>
      <w:hyperlink w:anchor="_Toc3233" w:history="1">
        <w:r>
          <w:rPr>
            <w:rFonts w:ascii="IRNazanin" w:hAnsi="IRNazanin" w:eastAsia="IRNazanin" w:cs="IRNazanin"/>
            <w:color w:val="111111"/>
            <w:sz w:val="22"/>
            <w:szCs w:val="22"/>
            <w:b w:val="0"/>
            <w:bCs w:val="0"/>
            <w:i w:val="0"/>
            <w:iCs w:val="0"/>
          </w:rPr>
          <w:t>خطيب الدهشة ، محمود بن احمد</w:t>
        </w:r>
        <w:r>
          <w:tab/>
        </w:r>
        <w:r>
          <w:fldChar w:fldCharType="begin"/>
        </w:r>
        <w:r>
          <w:instrText xml:space="preserve">PAGEREF 3233 \h</w:instrText>
        </w:r>
        <w:r>
          <w:fldChar w:fldCharType="end"/>
        </w:r>
      </w:hyperlink>
    </w:p>
    <w:p>
      <w:pPr>
        <w:tabs>
          <w:tab w:val="right" w:leader="dot" w:pos="9062"/>
        </w:tabs>
        <w:ind w:left="220"/>
      </w:pPr>
      <w:hyperlink w:anchor="_Toc3234" w:history="1">
        <w:r>
          <w:rPr>
            <w:rFonts w:ascii="IRNazanin" w:hAnsi="IRNazanin" w:eastAsia="IRNazanin" w:cs="IRNazanin"/>
            <w:color w:val="111111"/>
            <w:sz w:val="22"/>
            <w:szCs w:val="22"/>
            <w:b w:val="0"/>
            <w:bCs w:val="0"/>
            <w:i w:val="0"/>
            <w:iCs w:val="0"/>
          </w:rPr>
          <w:t>خطيب بغدادي ، احمد بن علي 392؟ -</w:t>
        </w:r>
        <w:r>
          <w:tab/>
        </w:r>
        <w:r>
          <w:fldChar w:fldCharType="begin"/>
        </w:r>
        <w:r>
          <w:instrText xml:space="preserve">PAGEREF 3234 \h</w:instrText>
        </w:r>
        <w:r>
          <w:fldChar w:fldCharType="end"/>
        </w:r>
      </w:hyperlink>
    </w:p>
    <w:p>
      <w:pPr>
        <w:tabs>
          <w:tab w:val="right" w:leader="dot" w:pos="9062"/>
        </w:tabs>
        <w:ind w:left="220"/>
      </w:pPr>
      <w:hyperlink w:anchor="_Toc3235" w:history="1">
        <w:r>
          <w:rPr>
            <w:rFonts w:ascii="IRNazanin" w:hAnsi="IRNazanin" w:eastAsia="IRNazanin" w:cs="IRNazanin"/>
            <w:color w:val="111111"/>
            <w:sz w:val="22"/>
            <w:szCs w:val="22"/>
            <w:b w:val="0"/>
            <w:bCs w:val="0"/>
            <w:i w:val="0"/>
            <w:iCs w:val="0"/>
          </w:rPr>
          <w:t>خطيب تبريزي ، يحيى بن علي 421 -</w:t>
        </w:r>
        <w:r>
          <w:tab/>
        </w:r>
        <w:r>
          <w:fldChar w:fldCharType="begin"/>
        </w:r>
        <w:r>
          <w:instrText xml:space="preserve">PAGEREF 3235 \h</w:instrText>
        </w:r>
        <w:r>
          <w:fldChar w:fldCharType="end"/>
        </w:r>
      </w:hyperlink>
    </w:p>
    <w:p>
      <w:pPr>
        <w:tabs>
          <w:tab w:val="right" w:leader="dot" w:pos="9062"/>
        </w:tabs>
        <w:ind w:left="220"/>
      </w:pPr>
      <w:hyperlink w:anchor="_Toc3236" w:history="1">
        <w:r>
          <w:rPr>
            <w:rFonts w:ascii="IRNazanin" w:hAnsi="IRNazanin" w:eastAsia="IRNazanin" w:cs="IRNazanin"/>
            <w:color w:val="111111"/>
            <w:sz w:val="22"/>
            <w:szCs w:val="22"/>
            <w:b w:val="0"/>
            <w:bCs w:val="0"/>
            <w:i w:val="0"/>
            <w:iCs w:val="0"/>
          </w:rPr>
          <w:t>خطي بحراني محمّد بن احمد قرن 12 ه-</w:t>
        </w:r>
        <w:r>
          <w:tab/>
        </w:r>
        <w:r>
          <w:fldChar w:fldCharType="begin"/>
        </w:r>
        <w:r>
          <w:instrText xml:space="preserve">PAGEREF 3236 \h</w:instrText>
        </w:r>
        <w:r>
          <w:fldChar w:fldCharType="end"/>
        </w:r>
      </w:hyperlink>
    </w:p>
    <w:p>
      <w:pPr>
        <w:tabs>
          <w:tab w:val="right" w:leader="dot" w:pos="9062"/>
        </w:tabs>
        <w:ind w:left="220"/>
      </w:pPr>
      <w:hyperlink w:anchor="_Toc3237" w:history="1">
        <w:r>
          <w:rPr>
            <w:rFonts w:ascii="IRNazanin" w:hAnsi="IRNazanin" w:eastAsia="IRNazanin" w:cs="IRNazanin"/>
            <w:color w:val="111111"/>
            <w:sz w:val="22"/>
            <w:szCs w:val="22"/>
            <w:b w:val="0"/>
            <w:bCs w:val="0"/>
            <w:i w:val="0"/>
            <w:iCs w:val="0"/>
          </w:rPr>
          <w:t>خطيب حنفي، محمّد بن محمّد قرن 10ه-</w:t>
        </w:r>
        <w:r>
          <w:tab/>
        </w:r>
        <w:r>
          <w:fldChar w:fldCharType="begin"/>
        </w:r>
        <w:r>
          <w:instrText xml:space="preserve">PAGEREF 3237 \h</w:instrText>
        </w:r>
        <w:r>
          <w:fldChar w:fldCharType="end"/>
        </w:r>
      </w:hyperlink>
    </w:p>
    <w:p>
      <w:pPr>
        <w:tabs>
          <w:tab w:val="right" w:leader="dot" w:pos="9062"/>
        </w:tabs>
        <w:ind w:left="220"/>
      </w:pPr>
      <w:hyperlink w:anchor="_Toc3238" w:history="1">
        <w:r>
          <w:rPr>
            <w:rFonts w:ascii="IRNazanin" w:hAnsi="IRNazanin" w:eastAsia="IRNazanin" w:cs="IRNazanin"/>
            <w:color w:val="111111"/>
            <w:sz w:val="22"/>
            <w:szCs w:val="22"/>
            <w:b w:val="0"/>
            <w:bCs w:val="0"/>
            <w:i w:val="0"/>
            <w:iCs w:val="0"/>
          </w:rPr>
          <w:t>خطيب خفاجي ، حمید بن محمّد جواد</w:t>
        </w:r>
        <w:r>
          <w:tab/>
        </w:r>
        <w:r>
          <w:fldChar w:fldCharType="begin"/>
        </w:r>
        <w:r>
          <w:instrText xml:space="preserve">PAGEREF 3238 \h</w:instrText>
        </w:r>
        <w:r>
          <w:fldChar w:fldCharType="end"/>
        </w:r>
      </w:hyperlink>
    </w:p>
    <w:p>
      <w:pPr>
        <w:tabs>
          <w:tab w:val="right" w:leader="dot" w:pos="9062"/>
        </w:tabs>
        <w:ind w:left="220"/>
      </w:pPr>
      <w:hyperlink w:anchor="_Toc3239" w:history="1">
        <w:r>
          <w:rPr>
            <w:rFonts w:ascii="IRNazanin" w:hAnsi="IRNazanin" w:eastAsia="IRNazanin" w:cs="IRNazanin"/>
            <w:color w:val="111111"/>
            <w:sz w:val="22"/>
            <w:szCs w:val="22"/>
            <w:b w:val="0"/>
            <w:bCs w:val="0"/>
            <w:i w:val="0"/>
            <w:iCs w:val="0"/>
          </w:rPr>
          <w:t>خطیب ،زاده محمّد بن ابراهيم - 901 ه-</w:t>
        </w:r>
        <w:r>
          <w:tab/>
        </w:r>
        <w:r>
          <w:fldChar w:fldCharType="begin"/>
        </w:r>
        <w:r>
          <w:instrText xml:space="preserve">PAGEREF 3239 \h</w:instrText>
        </w:r>
        <w:r>
          <w:fldChar w:fldCharType="end"/>
        </w:r>
      </w:hyperlink>
    </w:p>
    <w:p>
      <w:pPr>
        <w:tabs>
          <w:tab w:val="right" w:leader="dot" w:pos="9062"/>
        </w:tabs>
        <w:ind w:left="220"/>
      </w:pPr>
      <w:hyperlink w:anchor="_Toc3240" w:history="1">
        <w:r>
          <w:rPr>
            <w:rFonts w:ascii="IRNazanin" w:hAnsi="IRNazanin" w:eastAsia="IRNazanin" w:cs="IRNazanin"/>
            <w:color w:val="111111"/>
            <w:sz w:val="22"/>
            <w:szCs w:val="22"/>
            <w:b w:val="0"/>
            <w:bCs w:val="0"/>
            <w:i w:val="0"/>
            <w:iCs w:val="0"/>
          </w:rPr>
          <w:t>خطيب شامي ، علي بن غانم</w:t>
        </w:r>
        <w:r>
          <w:tab/>
        </w:r>
        <w:r>
          <w:fldChar w:fldCharType="begin"/>
        </w:r>
        <w:r>
          <w:instrText xml:space="preserve">PAGEREF 3240 \h</w:instrText>
        </w:r>
        <w:r>
          <w:fldChar w:fldCharType="end"/>
        </w:r>
      </w:hyperlink>
    </w:p>
    <w:p>
      <w:pPr>
        <w:tabs>
          <w:tab w:val="right" w:leader="dot" w:pos="9062"/>
        </w:tabs>
        <w:ind w:left="220"/>
      </w:pPr>
      <w:hyperlink w:anchor="_Toc3241" w:history="1">
        <w:r>
          <w:rPr>
            <w:rFonts w:ascii="IRNazanin" w:hAnsi="IRNazanin" w:eastAsia="IRNazanin" w:cs="IRNazanin"/>
            <w:color w:val="111111"/>
            <w:sz w:val="22"/>
            <w:szCs w:val="22"/>
            <w:b w:val="0"/>
            <w:bCs w:val="0"/>
            <w:i w:val="0"/>
            <w:iCs w:val="0"/>
          </w:rPr>
          <w:t>خطيب شربيني، محمّد بن احمد، 977ه-</w:t>
        </w:r>
        <w:r>
          <w:tab/>
        </w:r>
        <w:r>
          <w:fldChar w:fldCharType="begin"/>
        </w:r>
        <w:r>
          <w:instrText xml:space="preserve">PAGEREF 3241 \h</w:instrText>
        </w:r>
        <w:r>
          <w:fldChar w:fldCharType="end"/>
        </w:r>
      </w:hyperlink>
    </w:p>
    <w:p>
      <w:pPr>
        <w:tabs>
          <w:tab w:val="right" w:leader="dot" w:pos="9062"/>
        </w:tabs>
        <w:ind w:left="220"/>
      </w:pPr>
      <w:hyperlink w:anchor="_Toc3242" w:history="1">
        <w:r>
          <w:rPr>
            <w:rFonts w:ascii="IRNazanin" w:hAnsi="IRNazanin" w:eastAsia="IRNazanin" w:cs="IRNazanin"/>
            <w:color w:val="111111"/>
            <w:sz w:val="22"/>
            <w:szCs w:val="22"/>
            <w:b w:val="0"/>
            <w:bCs w:val="0"/>
            <w:i w:val="0"/>
            <w:iCs w:val="0"/>
          </w:rPr>
          <w:t>خطيب ، صالح بن عباس</w:t>
        </w:r>
        <w:r>
          <w:tab/>
        </w:r>
        <w:r>
          <w:fldChar w:fldCharType="begin"/>
        </w:r>
        <w:r>
          <w:instrText xml:space="preserve">PAGEREF 3242 \h</w:instrText>
        </w:r>
        <w:r>
          <w:fldChar w:fldCharType="end"/>
        </w:r>
      </w:hyperlink>
    </w:p>
    <w:p>
      <w:pPr>
        <w:tabs>
          <w:tab w:val="right" w:leader="dot" w:pos="9062"/>
        </w:tabs>
        <w:ind w:left="220"/>
      </w:pPr>
      <w:hyperlink w:anchor="_Toc3243" w:history="1">
        <w:r>
          <w:rPr>
            <w:rFonts w:ascii="IRNazanin" w:hAnsi="IRNazanin" w:eastAsia="IRNazanin" w:cs="IRNazanin"/>
            <w:color w:val="111111"/>
            <w:sz w:val="22"/>
            <w:szCs w:val="22"/>
            <w:b w:val="0"/>
            <w:bCs w:val="0"/>
            <w:i w:val="0"/>
            <w:iCs w:val="0"/>
          </w:rPr>
          <w:t>خطيب عمري محمّد بن عبدالله - 9749ه-</w:t>
        </w:r>
        <w:r>
          <w:tab/>
        </w:r>
        <w:r>
          <w:fldChar w:fldCharType="begin"/>
        </w:r>
        <w:r>
          <w:instrText xml:space="preserve">PAGEREF 3243 \h</w:instrText>
        </w:r>
        <w:r>
          <w:fldChar w:fldCharType="end"/>
        </w:r>
      </w:hyperlink>
    </w:p>
    <w:p>
      <w:pPr>
        <w:tabs>
          <w:tab w:val="right" w:leader="dot" w:pos="9062"/>
        </w:tabs>
        <w:ind w:left="220"/>
      </w:pPr>
      <w:hyperlink w:anchor="_Toc3244" w:history="1">
        <w:r>
          <w:rPr>
            <w:rFonts w:ascii="IRNazanin" w:hAnsi="IRNazanin" w:eastAsia="IRNazanin" w:cs="IRNazanin"/>
            <w:color w:val="111111"/>
            <w:sz w:val="22"/>
            <w:szCs w:val="22"/>
            <w:b w:val="0"/>
            <w:bCs w:val="0"/>
            <w:i w:val="0"/>
            <w:iCs w:val="0"/>
          </w:rPr>
          <w:t>خطيب عمري ، ياسين بن خيرالله، 1157 -</w:t>
        </w:r>
        <w:r>
          <w:tab/>
        </w:r>
        <w:r>
          <w:fldChar w:fldCharType="begin"/>
        </w:r>
        <w:r>
          <w:instrText xml:space="preserve">PAGEREF 3244 \h</w:instrText>
        </w:r>
        <w:r>
          <w:fldChar w:fldCharType="end"/>
        </w:r>
      </w:hyperlink>
    </w:p>
    <w:p>
      <w:pPr>
        <w:tabs>
          <w:tab w:val="right" w:leader="dot" w:pos="9062"/>
        </w:tabs>
        <w:ind w:left="220"/>
      </w:pPr>
      <w:hyperlink w:anchor="_Toc3245" w:history="1">
        <w:r>
          <w:rPr>
            <w:rFonts w:ascii="IRNazanin" w:hAnsi="IRNazanin" w:eastAsia="IRNazanin" w:cs="IRNazanin"/>
            <w:color w:val="111111"/>
            <w:sz w:val="22"/>
            <w:szCs w:val="22"/>
            <w:b w:val="0"/>
            <w:bCs w:val="0"/>
            <w:i w:val="0"/>
            <w:iCs w:val="0"/>
          </w:rPr>
          <w:t>خطيب قزويني ، محمّد بن عبدالرحمن</w:t>
        </w:r>
        <w:r>
          <w:tab/>
        </w:r>
        <w:r>
          <w:fldChar w:fldCharType="begin"/>
        </w:r>
        <w:r>
          <w:instrText xml:space="preserve">PAGEREF 3245 \h</w:instrText>
        </w:r>
        <w:r>
          <w:fldChar w:fldCharType="end"/>
        </w:r>
      </w:hyperlink>
    </w:p>
    <w:p>
      <w:pPr>
        <w:tabs>
          <w:tab w:val="right" w:leader="dot" w:pos="9062"/>
        </w:tabs>
        <w:ind w:left="220"/>
      </w:pPr>
      <w:hyperlink w:anchor="_Toc3246" w:history="1">
        <w:r>
          <w:rPr>
            <w:rFonts w:ascii="IRNazanin" w:hAnsi="IRNazanin" w:eastAsia="IRNazanin" w:cs="IRNazanin"/>
            <w:color w:val="111111"/>
            <w:sz w:val="22"/>
            <w:szCs w:val="22"/>
            <w:b w:val="0"/>
            <w:bCs w:val="0"/>
            <w:i w:val="0"/>
            <w:iCs w:val="0"/>
          </w:rPr>
          <w:t>خطيب ، محمّد بن احمد</w:t>
        </w:r>
        <w:r>
          <w:tab/>
        </w:r>
        <w:r>
          <w:fldChar w:fldCharType="begin"/>
        </w:r>
        <w:r>
          <w:instrText xml:space="preserve">PAGEREF 3246 \h</w:instrText>
        </w:r>
        <w:r>
          <w:fldChar w:fldCharType="end"/>
        </w:r>
      </w:hyperlink>
    </w:p>
    <w:p>
      <w:pPr>
        <w:tabs>
          <w:tab w:val="right" w:leader="dot" w:pos="9062"/>
        </w:tabs>
        <w:ind w:left="220"/>
      </w:pPr>
      <w:hyperlink w:anchor="_Toc3247" w:history="1">
        <w:r>
          <w:rPr>
            <w:rFonts w:ascii="IRNazanin" w:hAnsi="IRNazanin" w:eastAsia="IRNazanin" w:cs="IRNazanin"/>
            <w:color w:val="111111"/>
            <w:sz w:val="22"/>
            <w:szCs w:val="22"/>
            <w:b w:val="0"/>
            <w:bCs w:val="0"/>
            <w:i w:val="0"/>
            <w:iCs w:val="0"/>
          </w:rPr>
          <w:t>خطيب ، محمّد بن داود - 1380 ه-</w:t>
        </w:r>
        <w:r>
          <w:tab/>
        </w:r>
        <w:r>
          <w:fldChar w:fldCharType="begin"/>
        </w:r>
        <w:r>
          <w:instrText xml:space="preserve">PAGEREF 3247 \h</w:instrText>
        </w:r>
        <w:r>
          <w:fldChar w:fldCharType="end"/>
        </w:r>
      </w:hyperlink>
    </w:p>
    <w:p>
      <w:pPr>
        <w:tabs>
          <w:tab w:val="right" w:leader="dot" w:pos="9062"/>
        </w:tabs>
        <w:ind w:left="220"/>
      </w:pPr>
      <w:hyperlink w:anchor="_Toc3248" w:history="1">
        <w:r>
          <w:rPr>
            <w:rFonts w:ascii="IRNazanin" w:hAnsi="IRNazanin" w:eastAsia="IRNazanin" w:cs="IRNazanin"/>
            <w:color w:val="111111"/>
            <w:sz w:val="22"/>
            <w:szCs w:val="22"/>
            <w:b w:val="0"/>
            <w:bCs w:val="0"/>
            <w:i w:val="0"/>
            <w:iCs w:val="0"/>
          </w:rPr>
          <w:t>خطيب ، محمّد بن سلیمان قرن 8 ه-</w:t>
        </w:r>
        <w:r>
          <w:tab/>
        </w:r>
        <w:r>
          <w:fldChar w:fldCharType="begin"/>
        </w:r>
        <w:r>
          <w:instrText xml:space="preserve">PAGEREF 3248 \h</w:instrText>
        </w:r>
        <w:r>
          <w:fldChar w:fldCharType="end"/>
        </w:r>
      </w:hyperlink>
    </w:p>
    <w:p>
      <w:pPr>
        <w:tabs>
          <w:tab w:val="right" w:leader="dot" w:pos="9062"/>
        </w:tabs>
        <w:ind w:left="220"/>
      </w:pPr>
      <w:hyperlink w:anchor="_Toc3249" w:history="1">
        <w:r>
          <w:rPr>
            <w:rFonts w:ascii="IRNazanin" w:hAnsi="IRNazanin" w:eastAsia="IRNazanin" w:cs="IRNazanin"/>
            <w:color w:val="111111"/>
            <w:sz w:val="22"/>
            <w:szCs w:val="22"/>
            <w:b w:val="0"/>
            <w:bCs w:val="0"/>
            <w:i w:val="0"/>
            <w:iCs w:val="0"/>
          </w:rPr>
          <w:t>خطيب ،موصلي صالح بن معمار قرن 13ه-</w:t>
        </w:r>
        <w:r>
          <w:tab/>
        </w:r>
        <w:r>
          <w:fldChar w:fldCharType="begin"/>
        </w:r>
        <w:r>
          <w:instrText xml:space="preserve">PAGEREF 3249 \h</w:instrText>
        </w:r>
        <w:r>
          <w:fldChar w:fldCharType="end"/>
        </w:r>
      </w:hyperlink>
    </w:p>
    <w:p>
      <w:pPr>
        <w:tabs>
          <w:tab w:val="right" w:leader="dot" w:pos="9062"/>
        </w:tabs>
        <w:ind w:left="220"/>
      </w:pPr>
      <w:hyperlink w:anchor="_Toc3250" w:history="1">
        <w:r>
          <w:rPr>
            <w:rFonts w:ascii="IRNazanin" w:hAnsi="IRNazanin" w:eastAsia="IRNazanin" w:cs="IRNazanin"/>
            <w:color w:val="111111"/>
            <w:sz w:val="22"/>
            <w:szCs w:val="22"/>
            <w:b w:val="0"/>
            <w:bCs w:val="0"/>
            <w:i w:val="0"/>
            <w:iCs w:val="0"/>
          </w:rPr>
          <w:t>خطيب موصلي ، عثمان بن يوسف</w:t>
        </w:r>
        <w:r>
          <w:tab/>
        </w:r>
        <w:r>
          <w:fldChar w:fldCharType="begin"/>
        </w:r>
        <w:r>
          <w:instrText xml:space="preserve">PAGEREF 3250 \h</w:instrText>
        </w:r>
        <w:r>
          <w:fldChar w:fldCharType="end"/>
        </w:r>
      </w:hyperlink>
    </w:p>
    <w:p>
      <w:pPr>
        <w:tabs>
          <w:tab w:val="right" w:leader="dot" w:pos="9062"/>
        </w:tabs>
        <w:ind w:left="220"/>
      </w:pPr>
      <w:hyperlink w:anchor="_Toc3251" w:history="1">
        <w:r>
          <w:rPr>
            <w:rFonts w:ascii="IRNazanin" w:hAnsi="IRNazanin" w:eastAsia="IRNazanin" w:cs="IRNazanin"/>
            <w:color w:val="111111"/>
            <w:sz w:val="22"/>
            <w:szCs w:val="22"/>
            <w:b w:val="0"/>
            <w:bCs w:val="0"/>
            <w:i w:val="0"/>
            <w:iCs w:val="0"/>
          </w:rPr>
          <w:t>خطيب نجفي ، محمّد سعيد</w:t>
        </w:r>
        <w:r>
          <w:tab/>
        </w:r>
        <w:r>
          <w:fldChar w:fldCharType="begin"/>
        </w:r>
        <w:r>
          <w:instrText xml:space="preserve">PAGEREF 3251 \h</w:instrText>
        </w:r>
        <w:r>
          <w:fldChar w:fldCharType="end"/>
        </w:r>
      </w:hyperlink>
    </w:p>
    <w:p>
      <w:pPr>
        <w:tabs>
          <w:tab w:val="right" w:leader="dot" w:pos="9062"/>
        </w:tabs>
        <w:ind w:left="220"/>
      </w:pPr>
      <w:hyperlink w:anchor="_Toc3252" w:history="1">
        <w:r>
          <w:rPr>
            <w:rFonts w:ascii="IRNazanin" w:hAnsi="IRNazanin" w:eastAsia="IRNazanin" w:cs="IRNazanin"/>
            <w:color w:val="111111"/>
            <w:sz w:val="22"/>
            <w:szCs w:val="22"/>
            <w:b w:val="0"/>
            <w:bCs w:val="0"/>
            <w:i w:val="0"/>
            <w:iCs w:val="0"/>
          </w:rPr>
          <w:t>خطيب ، ولي بن محمّد</w:t>
        </w:r>
        <w:r>
          <w:tab/>
        </w:r>
        <w:r>
          <w:fldChar w:fldCharType="begin"/>
        </w:r>
        <w:r>
          <w:instrText xml:space="preserve">PAGEREF 3252 \h</w:instrText>
        </w:r>
        <w:r>
          <w:fldChar w:fldCharType="end"/>
        </w:r>
      </w:hyperlink>
    </w:p>
    <w:p>
      <w:pPr>
        <w:tabs>
          <w:tab w:val="right" w:leader="dot" w:pos="9062"/>
        </w:tabs>
        <w:ind w:left="220"/>
      </w:pPr>
      <w:hyperlink w:anchor="_Toc3253" w:history="1">
        <w:r>
          <w:rPr>
            <w:rFonts w:ascii="IRNazanin" w:hAnsi="IRNazanin" w:eastAsia="IRNazanin" w:cs="IRNazanin"/>
            <w:color w:val="111111"/>
            <w:sz w:val="22"/>
            <w:szCs w:val="22"/>
            <w:b w:val="0"/>
            <w:bCs w:val="0"/>
            <w:i w:val="0"/>
            <w:iCs w:val="0"/>
          </w:rPr>
          <w:t>خطيبي ، عبد القادر بن ملا ،مختار</w:t>
        </w:r>
        <w:r>
          <w:tab/>
        </w:r>
        <w:r>
          <w:fldChar w:fldCharType="begin"/>
        </w:r>
        <w:r>
          <w:instrText xml:space="preserve">PAGEREF 3253 \h</w:instrText>
        </w:r>
        <w:r>
          <w:fldChar w:fldCharType="end"/>
        </w:r>
      </w:hyperlink>
    </w:p>
    <w:p>
      <w:pPr>
        <w:tabs>
          <w:tab w:val="right" w:leader="dot" w:pos="9062"/>
        </w:tabs>
        <w:ind w:left="220"/>
      </w:pPr>
      <w:hyperlink w:anchor="_Toc3254" w:history="1">
        <w:r>
          <w:rPr>
            <w:rFonts w:ascii="IRNazanin" w:hAnsi="IRNazanin" w:eastAsia="IRNazanin" w:cs="IRNazanin"/>
            <w:color w:val="111111"/>
            <w:sz w:val="22"/>
            <w:szCs w:val="22"/>
            <w:b w:val="0"/>
            <w:bCs w:val="0"/>
            <w:i w:val="0"/>
            <w:iCs w:val="0"/>
          </w:rPr>
          <w:t>خطي، جعفر بن محمّد - 1028 ه-</w:t>
        </w:r>
        <w:r>
          <w:tab/>
        </w:r>
        <w:r>
          <w:fldChar w:fldCharType="begin"/>
        </w:r>
        <w:r>
          <w:instrText xml:space="preserve">PAGEREF 3254 \h</w:instrText>
        </w:r>
        <w:r>
          <w:fldChar w:fldCharType="end"/>
        </w:r>
      </w:hyperlink>
    </w:p>
    <w:p>
      <w:pPr>
        <w:tabs>
          <w:tab w:val="right" w:leader="dot" w:pos="9062"/>
        </w:tabs>
        <w:ind w:left="220"/>
      </w:pPr>
      <w:hyperlink w:anchor="_Toc3255" w:history="1">
        <w:r>
          <w:rPr>
            <w:rFonts w:ascii="IRNazanin" w:hAnsi="IRNazanin" w:eastAsia="IRNazanin" w:cs="IRNazanin"/>
            <w:color w:val="111111"/>
            <w:sz w:val="22"/>
            <w:szCs w:val="22"/>
            <w:b w:val="0"/>
            <w:bCs w:val="0"/>
            <w:i w:val="0"/>
            <w:iCs w:val="0"/>
          </w:rPr>
          <w:t>خطي ، حسن بن محمّد</w:t>
        </w:r>
        <w:r>
          <w:tab/>
        </w:r>
        <w:r>
          <w:fldChar w:fldCharType="begin"/>
        </w:r>
        <w:r>
          <w:instrText xml:space="preserve">PAGEREF 3255 \h</w:instrText>
        </w:r>
        <w:r>
          <w:fldChar w:fldCharType="end"/>
        </w:r>
      </w:hyperlink>
    </w:p>
    <w:p>
      <w:pPr>
        <w:tabs>
          <w:tab w:val="right" w:leader="dot" w:pos="9062"/>
        </w:tabs>
        <w:ind w:left="220"/>
      </w:pPr>
      <w:hyperlink w:anchor="_Toc3256" w:history="1">
        <w:r>
          <w:rPr>
            <w:rFonts w:ascii="IRNazanin" w:hAnsi="IRNazanin" w:eastAsia="IRNazanin" w:cs="IRNazanin"/>
            <w:color w:val="111111"/>
            <w:sz w:val="22"/>
            <w:szCs w:val="22"/>
            <w:b w:val="0"/>
            <w:bCs w:val="0"/>
            <w:i w:val="0"/>
            <w:iCs w:val="0"/>
          </w:rPr>
          <w:t>خطي ، عبدالله بن معتوق - 1364 ه-</w:t>
        </w:r>
        <w:r>
          <w:tab/>
        </w:r>
        <w:r>
          <w:fldChar w:fldCharType="begin"/>
        </w:r>
        <w:r>
          <w:instrText xml:space="preserve">PAGEREF 3256 \h</w:instrText>
        </w:r>
        <w:r>
          <w:fldChar w:fldCharType="end"/>
        </w:r>
      </w:hyperlink>
    </w:p>
    <w:p>
      <w:pPr>
        <w:tabs>
          <w:tab w:val="right" w:leader="dot" w:pos="9062"/>
        </w:tabs>
        <w:ind w:left="220"/>
      </w:pPr>
      <w:hyperlink w:anchor="_Toc3257" w:history="1">
        <w:r>
          <w:rPr>
            <w:rFonts w:ascii="IRNazanin" w:hAnsi="IRNazanin" w:eastAsia="IRNazanin" w:cs="IRNazanin"/>
            <w:color w:val="111111"/>
            <w:sz w:val="22"/>
            <w:szCs w:val="22"/>
            <w:b w:val="0"/>
            <w:bCs w:val="0"/>
            <w:i w:val="0"/>
            <w:iCs w:val="0"/>
          </w:rPr>
          <w:t>خطي ، محمّد بن عبدالله قرن 12 ه-</w:t>
        </w:r>
        <w:r>
          <w:tab/>
        </w:r>
        <w:r>
          <w:fldChar w:fldCharType="begin"/>
        </w:r>
        <w:r>
          <w:instrText xml:space="preserve">PAGEREF 3257 \h</w:instrText>
        </w:r>
        <w:r>
          <w:fldChar w:fldCharType="end"/>
        </w:r>
      </w:hyperlink>
    </w:p>
    <w:p>
      <w:pPr>
        <w:tabs>
          <w:tab w:val="right" w:leader="dot" w:pos="9062"/>
        </w:tabs>
        <w:ind w:left="220"/>
      </w:pPr>
      <w:hyperlink w:anchor="_Toc3258" w:history="1">
        <w:r>
          <w:rPr>
            <w:rFonts w:ascii="IRNazanin" w:hAnsi="IRNazanin" w:eastAsia="IRNazanin" w:cs="IRNazanin"/>
            <w:color w:val="111111"/>
            <w:sz w:val="22"/>
            <w:szCs w:val="22"/>
            <w:b w:val="0"/>
            <w:bCs w:val="0"/>
            <w:i w:val="0"/>
            <w:iCs w:val="0"/>
          </w:rPr>
          <w:t>خفاجي ، احمد بن محمّد، 9979-1069ه-</w:t>
        </w:r>
        <w:r>
          <w:tab/>
        </w:r>
        <w:r>
          <w:fldChar w:fldCharType="begin"/>
        </w:r>
        <w:r>
          <w:instrText xml:space="preserve">PAGEREF 3258 \h</w:instrText>
        </w:r>
        <w:r>
          <w:fldChar w:fldCharType="end"/>
        </w:r>
      </w:hyperlink>
    </w:p>
    <w:p>
      <w:pPr>
        <w:tabs>
          <w:tab w:val="right" w:leader="dot" w:pos="9062"/>
        </w:tabs>
        <w:ind w:left="220"/>
      </w:pPr>
      <w:hyperlink w:anchor="_Toc3259" w:history="1">
        <w:r>
          <w:rPr>
            <w:rFonts w:ascii="IRNazanin" w:hAnsi="IRNazanin" w:eastAsia="IRNazanin" w:cs="IRNazanin"/>
            <w:color w:val="111111"/>
            <w:sz w:val="22"/>
            <w:szCs w:val="22"/>
            <w:b w:val="0"/>
            <w:bCs w:val="0"/>
            <w:i w:val="0"/>
            <w:iCs w:val="0"/>
          </w:rPr>
          <w:t>خفاجي ، باقر بن حبیب، 1312-1381ه-</w:t>
        </w:r>
        <w:r>
          <w:tab/>
        </w:r>
        <w:r>
          <w:fldChar w:fldCharType="begin"/>
        </w:r>
        <w:r>
          <w:instrText xml:space="preserve">PAGEREF 3259 \h</w:instrText>
        </w:r>
        <w:r>
          <w:fldChar w:fldCharType="end"/>
        </w:r>
      </w:hyperlink>
    </w:p>
    <w:p>
      <w:pPr>
        <w:tabs>
          <w:tab w:val="right" w:leader="dot" w:pos="9062"/>
        </w:tabs>
        <w:ind w:left="220"/>
      </w:pPr>
      <w:hyperlink w:anchor="_Toc3260" w:history="1">
        <w:r>
          <w:rPr>
            <w:rFonts w:ascii="IRNazanin" w:hAnsi="IRNazanin" w:eastAsia="IRNazanin" w:cs="IRNazanin"/>
            <w:color w:val="111111"/>
            <w:sz w:val="22"/>
            <w:szCs w:val="22"/>
            <w:b w:val="0"/>
            <w:bCs w:val="0"/>
            <w:i w:val="0"/>
            <w:iCs w:val="0"/>
          </w:rPr>
          <w:t>خفاجي ، علي بن عبدالله - 1200 ه-</w:t>
        </w:r>
        <w:r>
          <w:tab/>
        </w:r>
        <w:r>
          <w:fldChar w:fldCharType="begin"/>
        </w:r>
        <w:r>
          <w:instrText xml:space="preserve">PAGEREF 3260 \h</w:instrText>
        </w:r>
        <w:r>
          <w:fldChar w:fldCharType="end"/>
        </w:r>
      </w:hyperlink>
    </w:p>
    <w:p>
      <w:pPr>
        <w:tabs>
          <w:tab w:val="right" w:leader="dot" w:pos="9062"/>
        </w:tabs>
        <w:ind w:left="220"/>
      </w:pPr>
      <w:hyperlink w:anchor="_Toc3261" w:history="1">
        <w:r>
          <w:rPr>
            <w:rFonts w:ascii="IRNazanin" w:hAnsi="IRNazanin" w:eastAsia="IRNazanin" w:cs="IRNazanin"/>
            <w:color w:val="111111"/>
            <w:sz w:val="22"/>
            <w:szCs w:val="22"/>
            <w:b w:val="0"/>
            <w:bCs w:val="0"/>
            <w:i w:val="0"/>
            <w:iCs w:val="0"/>
          </w:rPr>
          <w:t>خفري ، محمّد بن احمد - 957 ؟ ه-</w:t>
        </w:r>
        <w:r>
          <w:tab/>
        </w:r>
        <w:r>
          <w:fldChar w:fldCharType="begin"/>
        </w:r>
        <w:r>
          <w:instrText xml:space="preserve">PAGEREF 3261 \h</w:instrText>
        </w:r>
        <w:r>
          <w:fldChar w:fldCharType="end"/>
        </w:r>
      </w:hyperlink>
    </w:p>
    <w:p>
      <w:pPr>
        <w:tabs>
          <w:tab w:val="right" w:leader="dot" w:pos="9062"/>
        </w:tabs>
        <w:ind w:left="220"/>
      </w:pPr>
      <w:hyperlink w:anchor="_Toc3262" w:history="1">
        <w:r>
          <w:rPr>
            <w:rFonts w:ascii="IRNazanin" w:hAnsi="IRNazanin" w:eastAsia="IRNazanin" w:cs="IRNazanin"/>
            <w:color w:val="111111"/>
            <w:sz w:val="22"/>
            <w:szCs w:val="22"/>
            <w:b w:val="0"/>
            <w:bCs w:val="0"/>
            <w:i w:val="0"/>
            <w:iCs w:val="0"/>
          </w:rPr>
          <w:t>خفيف شيرازي ، محمّد بن خفيف، 268 -</w:t>
        </w:r>
        <w:r>
          <w:tab/>
        </w:r>
        <w:r>
          <w:fldChar w:fldCharType="begin"/>
        </w:r>
        <w:r>
          <w:instrText xml:space="preserve">PAGEREF 3262 \h</w:instrText>
        </w:r>
        <w:r>
          <w:fldChar w:fldCharType="end"/>
        </w:r>
      </w:hyperlink>
    </w:p>
    <w:p>
      <w:pPr>
        <w:tabs>
          <w:tab w:val="right" w:leader="dot" w:pos="9062"/>
        </w:tabs>
        <w:ind w:left="220"/>
      </w:pPr>
      <w:hyperlink w:anchor="_Toc3263" w:history="1">
        <w:r>
          <w:rPr>
            <w:rFonts w:ascii="IRNazanin" w:hAnsi="IRNazanin" w:eastAsia="IRNazanin" w:cs="IRNazanin"/>
            <w:color w:val="111111"/>
            <w:sz w:val="22"/>
            <w:szCs w:val="22"/>
            <w:b w:val="0"/>
            <w:bCs w:val="0"/>
            <w:i w:val="0"/>
            <w:iCs w:val="0"/>
          </w:rPr>
          <w:t>خلاطي، محمّد بن عباد - 652 ه-</w:t>
        </w:r>
        <w:r>
          <w:tab/>
        </w:r>
        <w:r>
          <w:fldChar w:fldCharType="begin"/>
        </w:r>
        <w:r>
          <w:instrText xml:space="preserve">PAGEREF 3263 \h</w:instrText>
        </w:r>
        <w:r>
          <w:fldChar w:fldCharType="end"/>
        </w:r>
      </w:hyperlink>
    </w:p>
    <w:p>
      <w:pPr>
        <w:tabs>
          <w:tab w:val="right" w:leader="dot" w:pos="9062"/>
        </w:tabs>
        <w:ind w:left="220"/>
      </w:pPr>
      <w:hyperlink w:anchor="_Toc3264" w:history="1">
        <w:r>
          <w:rPr>
            <w:rFonts w:ascii="IRNazanin" w:hAnsi="IRNazanin" w:eastAsia="IRNazanin" w:cs="IRNazanin"/>
            <w:color w:val="111111"/>
            <w:sz w:val="22"/>
            <w:szCs w:val="22"/>
            <w:b w:val="0"/>
            <w:bCs w:val="0"/>
            <w:i w:val="0"/>
            <w:iCs w:val="0"/>
          </w:rPr>
          <w:t>خلال ، احمد بن محمّد، 234؟ - 311 ه-</w:t>
        </w:r>
        <w:r>
          <w:tab/>
        </w:r>
        <w:r>
          <w:fldChar w:fldCharType="begin"/>
        </w:r>
        <w:r>
          <w:instrText xml:space="preserve">PAGEREF 3264 \h</w:instrText>
        </w:r>
        <w:r>
          <w:fldChar w:fldCharType="end"/>
        </w:r>
      </w:hyperlink>
    </w:p>
    <w:p>
      <w:pPr>
        <w:tabs>
          <w:tab w:val="right" w:leader="dot" w:pos="9062"/>
        </w:tabs>
        <w:ind w:left="220"/>
      </w:pPr>
      <w:hyperlink w:anchor="_Toc3265" w:history="1">
        <w:r>
          <w:rPr>
            <w:rFonts w:ascii="IRNazanin" w:hAnsi="IRNazanin" w:eastAsia="IRNazanin" w:cs="IRNazanin"/>
            <w:color w:val="111111"/>
            <w:sz w:val="22"/>
            <w:szCs w:val="22"/>
            <w:b w:val="0"/>
            <w:bCs w:val="0"/>
            <w:i w:val="0"/>
            <w:iCs w:val="0"/>
          </w:rPr>
          <w:t>خلال ، حسن بن محمّد - 439 ه-</w:t>
        </w:r>
        <w:r>
          <w:tab/>
        </w:r>
        <w:r>
          <w:fldChar w:fldCharType="begin"/>
        </w:r>
        <w:r>
          <w:instrText xml:space="preserve">PAGEREF 3265 \h</w:instrText>
        </w:r>
        <w:r>
          <w:fldChar w:fldCharType="end"/>
        </w:r>
      </w:hyperlink>
    </w:p>
    <w:p>
      <w:pPr>
        <w:tabs>
          <w:tab w:val="right" w:leader="dot" w:pos="9062"/>
        </w:tabs>
        <w:ind w:left="220"/>
      </w:pPr>
      <w:hyperlink w:anchor="_Toc3266" w:history="1">
        <w:r>
          <w:rPr>
            <w:rFonts w:ascii="IRNazanin" w:hAnsi="IRNazanin" w:eastAsia="IRNazanin" w:cs="IRNazanin"/>
            <w:color w:val="111111"/>
            <w:sz w:val="22"/>
            <w:szCs w:val="22"/>
            <w:b w:val="0"/>
            <w:bCs w:val="0"/>
            <w:i w:val="0"/>
            <w:iCs w:val="0"/>
          </w:rPr>
          <w:t>خلال ، عبدالله بن نجم - 616 ه-</w:t>
        </w:r>
        <w:r>
          <w:tab/>
        </w:r>
        <w:r>
          <w:fldChar w:fldCharType="begin"/>
        </w:r>
        <w:r>
          <w:instrText xml:space="preserve">PAGEREF 3266 \h</w:instrText>
        </w:r>
        <w:r>
          <w:fldChar w:fldCharType="end"/>
        </w:r>
      </w:hyperlink>
    </w:p>
    <w:p>
      <w:pPr>
        <w:tabs>
          <w:tab w:val="right" w:leader="dot" w:pos="9062"/>
        </w:tabs>
        <w:ind w:left="220"/>
      </w:pPr>
      <w:hyperlink w:anchor="_Toc3267" w:history="1">
        <w:r>
          <w:rPr>
            <w:rFonts w:ascii="IRNazanin" w:hAnsi="IRNazanin" w:eastAsia="IRNazanin" w:cs="IRNazanin"/>
            <w:color w:val="111111"/>
            <w:sz w:val="22"/>
            <w:szCs w:val="22"/>
            <w:b w:val="0"/>
            <w:bCs w:val="0"/>
            <w:i w:val="0"/>
            <w:iCs w:val="0"/>
          </w:rPr>
          <w:t>خلخالي ، حسين بن حسن - 1014 ه-</w:t>
        </w:r>
        <w:r>
          <w:tab/>
        </w:r>
        <w:r>
          <w:fldChar w:fldCharType="begin"/>
        </w:r>
        <w:r>
          <w:instrText xml:space="preserve">PAGEREF 3267 \h</w:instrText>
        </w:r>
        <w:r>
          <w:fldChar w:fldCharType="end"/>
        </w:r>
      </w:hyperlink>
    </w:p>
    <w:p>
      <w:pPr>
        <w:tabs>
          <w:tab w:val="right" w:leader="dot" w:pos="9062"/>
        </w:tabs>
        <w:ind w:left="220"/>
      </w:pPr>
      <w:hyperlink w:anchor="_Toc3268" w:history="1">
        <w:r>
          <w:rPr>
            <w:rFonts w:ascii="IRNazanin" w:hAnsi="IRNazanin" w:eastAsia="IRNazanin" w:cs="IRNazanin"/>
            <w:color w:val="111111"/>
            <w:sz w:val="22"/>
            <w:szCs w:val="22"/>
            <w:b w:val="0"/>
            <w:bCs w:val="0"/>
            <w:i w:val="0"/>
            <w:iCs w:val="0"/>
          </w:rPr>
          <w:t>خلخالي ، سعيد بن محمّد</w:t>
        </w:r>
        <w:r>
          <w:tab/>
        </w:r>
        <w:r>
          <w:fldChar w:fldCharType="begin"/>
        </w:r>
        <w:r>
          <w:instrText xml:space="preserve">PAGEREF 3268 \h</w:instrText>
        </w:r>
        <w:r>
          <w:fldChar w:fldCharType="end"/>
        </w:r>
      </w:hyperlink>
    </w:p>
    <w:p>
      <w:pPr>
        <w:tabs>
          <w:tab w:val="right" w:leader="dot" w:pos="9062"/>
        </w:tabs>
        <w:ind w:left="220"/>
      </w:pPr>
      <w:hyperlink w:anchor="_Toc3269" w:history="1">
        <w:r>
          <w:rPr>
            <w:rFonts w:ascii="IRNazanin" w:hAnsi="IRNazanin" w:eastAsia="IRNazanin" w:cs="IRNazanin"/>
            <w:color w:val="111111"/>
            <w:sz w:val="22"/>
            <w:szCs w:val="22"/>
            <w:b w:val="0"/>
            <w:bCs w:val="0"/>
            <w:i w:val="0"/>
            <w:iCs w:val="0"/>
          </w:rPr>
          <w:t>خلخالي محمّد بن مظفر الدين - 745 ه-</w:t>
        </w:r>
        <w:r>
          <w:tab/>
        </w:r>
        <w:r>
          <w:fldChar w:fldCharType="begin"/>
        </w:r>
        <w:r>
          <w:instrText xml:space="preserve">PAGEREF 3269 \h</w:instrText>
        </w:r>
        <w:r>
          <w:fldChar w:fldCharType="end"/>
        </w:r>
      </w:hyperlink>
    </w:p>
    <w:p>
      <w:pPr>
        <w:tabs>
          <w:tab w:val="right" w:leader="dot" w:pos="9062"/>
        </w:tabs>
        <w:ind w:left="220"/>
      </w:pPr>
      <w:hyperlink w:anchor="_Toc3270" w:history="1">
        <w:r>
          <w:rPr>
            <w:rFonts w:ascii="IRNazanin" w:hAnsi="IRNazanin" w:eastAsia="IRNazanin" w:cs="IRNazanin"/>
            <w:color w:val="111111"/>
            <w:sz w:val="22"/>
            <w:szCs w:val="22"/>
            <w:b w:val="0"/>
            <w:bCs w:val="0"/>
            <w:i w:val="0"/>
            <w:iCs w:val="0"/>
          </w:rPr>
          <w:t>خلخالي ، محمّد صالح بن محمّد سعید</w:t>
        </w:r>
        <w:r>
          <w:tab/>
        </w:r>
        <w:r>
          <w:fldChar w:fldCharType="begin"/>
        </w:r>
        <w:r>
          <w:instrText xml:space="preserve">PAGEREF 3270 \h</w:instrText>
        </w:r>
        <w:r>
          <w:fldChar w:fldCharType="end"/>
        </w:r>
      </w:hyperlink>
    </w:p>
    <w:p>
      <w:pPr>
        <w:tabs>
          <w:tab w:val="right" w:leader="dot" w:pos="9062"/>
        </w:tabs>
        <w:ind w:left="220"/>
      </w:pPr>
      <w:hyperlink w:anchor="_Toc3271" w:history="1">
        <w:r>
          <w:rPr>
            <w:rFonts w:ascii="IRNazanin" w:hAnsi="IRNazanin" w:eastAsia="IRNazanin" w:cs="IRNazanin"/>
            <w:color w:val="111111"/>
            <w:sz w:val="22"/>
            <w:szCs w:val="22"/>
            <w:b w:val="0"/>
            <w:bCs w:val="0"/>
            <w:i w:val="0"/>
            <w:iCs w:val="0"/>
          </w:rPr>
          <w:t>خلخالي ، مقصود علي</w:t>
        </w:r>
        <w:r>
          <w:tab/>
        </w:r>
        <w:r>
          <w:fldChar w:fldCharType="begin"/>
        </w:r>
        <w:r>
          <w:instrText xml:space="preserve">PAGEREF 3271 \h</w:instrText>
        </w:r>
        <w:r>
          <w:fldChar w:fldCharType="end"/>
        </w:r>
      </w:hyperlink>
    </w:p>
    <w:p>
      <w:pPr>
        <w:tabs>
          <w:tab w:val="right" w:leader="dot" w:pos="9062"/>
        </w:tabs>
        <w:ind w:left="220"/>
      </w:pPr>
      <w:hyperlink w:anchor="_Toc3272" w:history="1">
        <w:r>
          <w:rPr>
            <w:rFonts w:ascii="IRNazanin" w:hAnsi="IRNazanin" w:eastAsia="IRNazanin" w:cs="IRNazanin"/>
            <w:color w:val="111111"/>
            <w:sz w:val="22"/>
            <w:szCs w:val="22"/>
            <w:b w:val="0"/>
            <w:bCs w:val="0"/>
            <w:i w:val="0"/>
            <w:iCs w:val="0"/>
          </w:rPr>
          <w:t>خلخالي ، نصر الله بن محمّد - 946 ه-</w:t>
        </w:r>
        <w:r>
          <w:tab/>
        </w:r>
        <w:r>
          <w:fldChar w:fldCharType="begin"/>
        </w:r>
        <w:r>
          <w:instrText xml:space="preserve">PAGEREF 3272 \h</w:instrText>
        </w:r>
        <w:r>
          <w:fldChar w:fldCharType="end"/>
        </w:r>
      </w:hyperlink>
    </w:p>
    <w:p>
      <w:pPr>
        <w:tabs>
          <w:tab w:val="right" w:leader="dot" w:pos="9062"/>
        </w:tabs>
        <w:ind w:left="220"/>
      </w:pPr>
      <w:hyperlink w:anchor="_Toc3273" w:history="1">
        <w:r>
          <w:rPr>
            <w:rFonts w:ascii="IRNazanin" w:hAnsi="IRNazanin" w:eastAsia="IRNazanin" w:cs="IRNazanin"/>
            <w:color w:val="111111"/>
            <w:sz w:val="22"/>
            <w:szCs w:val="22"/>
            <w:b w:val="0"/>
            <w:bCs w:val="0"/>
            <w:i w:val="0"/>
            <w:iCs w:val="0"/>
          </w:rPr>
          <w:t>خلدي ، جعفر بن محمّد، 252 - 348 ه-</w:t>
        </w:r>
        <w:r>
          <w:tab/>
        </w:r>
        <w:r>
          <w:fldChar w:fldCharType="begin"/>
        </w:r>
        <w:r>
          <w:instrText xml:space="preserve">PAGEREF 3273 \h</w:instrText>
        </w:r>
        <w:r>
          <w:fldChar w:fldCharType="end"/>
        </w:r>
      </w:hyperlink>
    </w:p>
    <w:p>
      <w:pPr>
        <w:tabs>
          <w:tab w:val="right" w:leader="dot" w:pos="9062"/>
        </w:tabs>
        <w:ind w:left="220"/>
      </w:pPr>
      <w:hyperlink w:anchor="_Toc3274" w:history="1">
        <w:r>
          <w:rPr>
            <w:rFonts w:ascii="IRNazanin" w:hAnsi="IRNazanin" w:eastAsia="IRNazanin" w:cs="IRNazanin"/>
            <w:color w:val="111111"/>
            <w:sz w:val="22"/>
            <w:szCs w:val="22"/>
            <w:b w:val="0"/>
            <w:bCs w:val="0"/>
            <w:i w:val="0"/>
            <w:iCs w:val="0"/>
          </w:rPr>
          <w:t>خلعي حلي موصلي ، علي بن عبدالعزيز</w:t>
        </w:r>
        <w:r>
          <w:tab/>
        </w:r>
        <w:r>
          <w:fldChar w:fldCharType="begin"/>
        </w:r>
        <w:r>
          <w:instrText xml:space="preserve">PAGEREF 3274 \h</w:instrText>
        </w:r>
        <w:r>
          <w:fldChar w:fldCharType="end"/>
        </w:r>
      </w:hyperlink>
    </w:p>
    <w:p>
      <w:pPr>
        <w:tabs>
          <w:tab w:val="right" w:leader="dot" w:pos="9062"/>
        </w:tabs>
        <w:ind w:left="220"/>
      </w:pPr>
      <w:hyperlink w:anchor="_Toc3275" w:history="1">
        <w:r>
          <w:rPr>
            <w:rFonts w:ascii="IRNazanin" w:hAnsi="IRNazanin" w:eastAsia="IRNazanin" w:cs="IRNazanin"/>
            <w:color w:val="111111"/>
            <w:sz w:val="22"/>
            <w:szCs w:val="22"/>
            <w:b w:val="0"/>
            <w:bCs w:val="0"/>
            <w:i w:val="0"/>
            <w:iCs w:val="0"/>
          </w:rPr>
          <w:t>خلعي ، محمّد كامل بن سليمان، 1296 -</w:t>
        </w:r>
        <w:r>
          <w:tab/>
        </w:r>
        <w:r>
          <w:fldChar w:fldCharType="begin"/>
        </w:r>
        <w:r>
          <w:instrText xml:space="preserve">PAGEREF 3275 \h</w:instrText>
        </w:r>
        <w:r>
          <w:fldChar w:fldCharType="end"/>
        </w:r>
      </w:hyperlink>
    </w:p>
    <w:p>
      <w:pPr>
        <w:tabs>
          <w:tab w:val="right" w:leader="dot" w:pos="9062"/>
        </w:tabs>
        <w:ind w:left="220"/>
      </w:pPr>
      <w:hyperlink w:anchor="_Toc3276" w:history="1">
        <w:r>
          <w:rPr>
            <w:rFonts w:ascii="IRNazanin" w:hAnsi="IRNazanin" w:eastAsia="IRNazanin" w:cs="IRNazanin"/>
            <w:color w:val="111111"/>
            <w:sz w:val="22"/>
            <w:szCs w:val="22"/>
            <w:b w:val="0"/>
            <w:bCs w:val="0"/>
            <w:i w:val="0"/>
            <w:iCs w:val="0"/>
          </w:rPr>
          <w:t>خلف مصري ، عبدالرحمن احمد</w:t>
        </w:r>
        <w:r>
          <w:tab/>
        </w:r>
        <w:r>
          <w:fldChar w:fldCharType="begin"/>
        </w:r>
        <w:r>
          <w:instrText xml:space="preserve">PAGEREF 3276 \h</w:instrText>
        </w:r>
        <w:r>
          <w:fldChar w:fldCharType="end"/>
        </w:r>
      </w:hyperlink>
    </w:p>
    <w:p>
      <w:pPr>
        <w:tabs>
          <w:tab w:val="right" w:leader="dot" w:pos="9062"/>
        </w:tabs>
        <w:ind w:left="220"/>
      </w:pPr>
      <w:hyperlink w:anchor="_Toc3277" w:history="1">
        <w:r>
          <w:rPr>
            <w:rFonts w:ascii="IRNazanin" w:hAnsi="IRNazanin" w:eastAsia="IRNazanin" w:cs="IRNazanin"/>
            <w:color w:val="111111"/>
            <w:sz w:val="22"/>
            <w:szCs w:val="22"/>
            <w:b w:val="0"/>
            <w:bCs w:val="0"/>
            <w:i w:val="0"/>
            <w:iCs w:val="0"/>
          </w:rPr>
          <w:t>خلوتي ، احمد بن سالم</w:t>
        </w:r>
        <w:r>
          <w:tab/>
        </w:r>
        <w:r>
          <w:fldChar w:fldCharType="begin"/>
        </w:r>
        <w:r>
          <w:instrText xml:space="preserve">PAGEREF 3277 \h</w:instrText>
        </w:r>
        <w:r>
          <w:fldChar w:fldCharType="end"/>
        </w:r>
      </w:hyperlink>
    </w:p>
    <w:p>
      <w:pPr>
        <w:tabs>
          <w:tab w:val="right" w:leader="dot" w:pos="9062"/>
        </w:tabs>
        <w:ind w:left="220"/>
      </w:pPr>
      <w:hyperlink w:anchor="_Toc3278" w:history="1">
        <w:r>
          <w:rPr>
            <w:rFonts w:ascii="IRNazanin" w:hAnsi="IRNazanin" w:eastAsia="IRNazanin" w:cs="IRNazanin"/>
            <w:color w:val="111111"/>
            <w:sz w:val="22"/>
            <w:szCs w:val="22"/>
            <w:b w:val="0"/>
            <w:bCs w:val="0"/>
            <w:i w:val="0"/>
            <w:iCs w:val="0"/>
          </w:rPr>
          <w:t>خلوتي ، ايوب بن احمد - 1071 ه-</w:t>
        </w:r>
        <w:r>
          <w:tab/>
        </w:r>
        <w:r>
          <w:fldChar w:fldCharType="begin"/>
        </w:r>
        <w:r>
          <w:instrText xml:space="preserve">PAGEREF 3278 \h</w:instrText>
        </w:r>
        <w:r>
          <w:fldChar w:fldCharType="end"/>
        </w:r>
      </w:hyperlink>
    </w:p>
    <w:p>
      <w:pPr>
        <w:tabs>
          <w:tab w:val="right" w:leader="dot" w:pos="9062"/>
        </w:tabs>
        <w:ind w:left="220"/>
      </w:pPr>
      <w:hyperlink w:anchor="_Toc3279" w:history="1">
        <w:r>
          <w:rPr>
            <w:rFonts w:ascii="IRNazanin" w:hAnsi="IRNazanin" w:eastAsia="IRNazanin" w:cs="IRNazanin"/>
            <w:color w:val="111111"/>
            <w:sz w:val="22"/>
            <w:szCs w:val="22"/>
            <w:b w:val="0"/>
            <w:bCs w:val="0"/>
            <w:i w:val="0"/>
            <w:iCs w:val="0"/>
          </w:rPr>
          <w:t>خلوتي ، عبدالرحمن</w:t>
        </w:r>
        <w:r>
          <w:tab/>
        </w:r>
        <w:r>
          <w:fldChar w:fldCharType="begin"/>
        </w:r>
        <w:r>
          <w:instrText xml:space="preserve">PAGEREF 3279 \h</w:instrText>
        </w:r>
        <w:r>
          <w:fldChar w:fldCharType="end"/>
        </w:r>
      </w:hyperlink>
    </w:p>
    <w:p>
      <w:pPr>
        <w:tabs>
          <w:tab w:val="right" w:leader="dot" w:pos="9062"/>
        </w:tabs>
        <w:ind w:left="220"/>
      </w:pPr>
      <w:hyperlink w:anchor="_Toc3280" w:history="1">
        <w:r>
          <w:rPr>
            <w:rFonts w:ascii="IRNazanin" w:hAnsi="IRNazanin" w:eastAsia="IRNazanin" w:cs="IRNazanin"/>
            <w:color w:val="111111"/>
            <w:sz w:val="22"/>
            <w:szCs w:val="22"/>
            <w:b w:val="0"/>
            <w:bCs w:val="0"/>
            <w:i w:val="0"/>
            <w:iCs w:val="0"/>
          </w:rPr>
          <w:t>خلوصي ناصري ، محمّد قرن 14 ه-</w:t>
        </w:r>
        <w:r>
          <w:tab/>
        </w:r>
        <w:r>
          <w:fldChar w:fldCharType="begin"/>
        </w:r>
        <w:r>
          <w:instrText xml:space="preserve">PAGEREF 3280 \h</w:instrText>
        </w:r>
        <w:r>
          <w:fldChar w:fldCharType="end"/>
        </w:r>
      </w:hyperlink>
    </w:p>
    <w:p>
      <w:pPr>
        <w:tabs>
          <w:tab w:val="right" w:leader="dot" w:pos="9062"/>
        </w:tabs>
        <w:ind w:left="220"/>
      </w:pPr>
      <w:hyperlink w:anchor="_Toc3281" w:history="1">
        <w:r>
          <w:rPr>
            <w:rFonts w:ascii="IRNazanin" w:hAnsi="IRNazanin" w:eastAsia="IRNazanin" w:cs="IRNazanin"/>
            <w:color w:val="111111"/>
            <w:sz w:val="22"/>
            <w:szCs w:val="22"/>
            <w:b w:val="0"/>
            <w:bCs w:val="0"/>
            <w:i w:val="0"/>
            <w:iCs w:val="0"/>
          </w:rPr>
          <w:t>خليفة ، عبد الحسين</w:t>
        </w:r>
        <w:r>
          <w:tab/>
        </w:r>
        <w:r>
          <w:fldChar w:fldCharType="begin"/>
        </w:r>
        <w:r>
          <w:instrText xml:space="preserve">PAGEREF 3281 \h</w:instrText>
        </w:r>
        <w:r>
          <w:fldChar w:fldCharType="end"/>
        </w:r>
      </w:hyperlink>
    </w:p>
    <w:p>
      <w:pPr>
        <w:tabs>
          <w:tab w:val="right" w:leader="dot" w:pos="9062"/>
        </w:tabs>
        <w:ind w:left="220"/>
      </w:pPr>
      <w:hyperlink w:anchor="_Toc3282" w:history="1">
        <w:r>
          <w:rPr>
            <w:rFonts w:ascii="IRNazanin" w:hAnsi="IRNazanin" w:eastAsia="IRNazanin" w:cs="IRNazanin"/>
            <w:color w:val="111111"/>
            <w:sz w:val="22"/>
            <w:szCs w:val="22"/>
            <w:b w:val="0"/>
            <w:bCs w:val="0"/>
            <w:i w:val="0"/>
            <w:iCs w:val="0"/>
          </w:rPr>
          <w:t>خليفه بن خياط - 240 ه-</w:t>
        </w:r>
        <w:r>
          <w:tab/>
        </w:r>
        <w:r>
          <w:fldChar w:fldCharType="begin"/>
        </w:r>
        <w:r>
          <w:instrText xml:space="preserve">PAGEREF 3282 \h</w:instrText>
        </w:r>
        <w:r>
          <w:fldChar w:fldCharType="end"/>
        </w:r>
      </w:hyperlink>
    </w:p>
    <w:p>
      <w:pPr>
        <w:tabs>
          <w:tab w:val="right" w:leader="dot" w:pos="9062"/>
        </w:tabs>
        <w:ind w:left="220"/>
      </w:pPr>
      <w:hyperlink w:anchor="_Toc3283" w:history="1">
        <w:r>
          <w:rPr>
            <w:rFonts w:ascii="IRNazanin" w:hAnsi="IRNazanin" w:eastAsia="IRNazanin" w:cs="IRNazanin"/>
            <w:color w:val="111111"/>
            <w:sz w:val="22"/>
            <w:szCs w:val="22"/>
            <w:b w:val="0"/>
            <w:bCs w:val="0"/>
            <w:i w:val="0"/>
            <w:iCs w:val="0"/>
          </w:rPr>
          <w:t>خليفه زاده، اسماعيل بن مصطفى -</w:t>
        </w:r>
        <w:r>
          <w:tab/>
        </w:r>
        <w:r>
          <w:fldChar w:fldCharType="begin"/>
        </w:r>
        <w:r>
          <w:instrText xml:space="preserve">PAGEREF 3283 \h</w:instrText>
        </w:r>
        <w:r>
          <w:fldChar w:fldCharType="end"/>
        </w:r>
      </w:hyperlink>
    </w:p>
    <w:p>
      <w:pPr>
        <w:tabs>
          <w:tab w:val="right" w:leader="dot" w:pos="9062"/>
        </w:tabs>
        <w:ind w:left="220"/>
      </w:pPr>
      <w:hyperlink w:anchor="_Toc3284" w:history="1">
        <w:r>
          <w:rPr>
            <w:rFonts w:ascii="IRNazanin" w:hAnsi="IRNazanin" w:eastAsia="IRNazanin" w:cs="IRNazanin"/>
            <w:color w:val="111111"/>
            <w:sz w:val="22"/>
            <w:szCs w:val="22"/>
            <w:b w:val="0"/>
            <w:bCs w:val="0"/>
            <w:i w:val="0"/>
            <w:iCs w:val="0"/>
          </w:rPr>
          <w:t>خلیل بن ابراهيم - 1119 ه-</w:t>
        </w:r>
        <w:r>
          <w:tab/>
        </w:r>
        <w:r>
          <w:fldChar w:fldCharType="begin"/>
        </w:r>
        <w:r>
          <w:instrText xml:space="preserve">PAGEREF 3284 \h</w:instrText>
        </w:r>
        <w:r>
          <w:fldChar w:fldCharType="end"/>
        </w:r>
      </w:hyperlink>
    </w:p>
    <w:p>
      <w:pPr>
        <w:tabs>
          <w:tab w:val="right" w:leader="dot" w:pos="9062"/>
        </w:tabs>
        <w:ind w:left="220"/>
      </w:pPr>
      <w:hyperlink w:anchor="_Toc3285" w:history="1">
        <w:r>
          <w:rPr>
            <w:rFonts w:ascii="IRNazanin" w:hAnsi="IRNazanin" w:eastAsia="IRNazanin" w:cs="IRNazanin"/>
            <w:color w:val="111111"/>
            <w:sz w:val="22"/>
            <w:szCs w:val="22"/>
            <w:b w:val="0"/>
            <w:bCs w:val="0"/>
            <w:i w:val="0"/>
            <w:iCs w:val="0"/>
          </w:rPr>
          <w:t>خلیل بن احمد</w:t>
        </w:r>
        <w:r>
          <w:tab/>
        </w:r>
        <w:r>
          <w:fldChar w:fldCharType="begin"/>
        </w:r>
        <w:r>
          <w:instrText xml:space="preserve">PAGEREF 3285 \h</w:instrText>
        </w:r>
        <w:r>
          <w:fldChar w:fldCharType="end"/>
        </w:r>
      </w:hyperlink>
    </w:p>
    <w:p>
      <w:pPr>
        <w:tabs>
          <w:tab w:val="right" w:leader="dot" w:pos="9062"/>
        </w:tabs>
        <w:ind w:left="220"/>
      </w:pPr>
      <w:hyperlink w:anchor="_Toc3286" w:history="1">
        <w:r>
          <w:rPr>
            <w:rFonts w:ascii="IRNazanin" w:hAnsi="IRNazanin" w:eastAsia="IRNazanin" w:cs="IRNazanin"/>
            <w:color w:val="111111"/>
            <w:sz w:val="22"/>
            <w:szCs w:val="22"/>
            <w:b w:val="0"/>
            <w:bCs w:val="0"/>
            <w:i w:val="0"/>
            <w:iCs w:val="0"/>
          </w:rPr>
          <w:t>خليل بن ولي - 1106 ه-</w:t>
        </w:r>
        <w:r>
          <w:tab/>
        </w:r>
        <w:r>
          <w:fldChar w:fldCharType="begin"/>
        </w:r>
        <w:r>
          <w:instrText xml:space="preserve">PAGEREF 3286 \h</w:instrText>
        </w:r>
        <w:r>
          <w:fldChar w:fldCharType="end"/>
        </w:r>
      </w:hyperlink>
    </w:p>
    <w:p>
      <w:pPr>
        <w:tabs>
          <w:tab w:val="right" w:leader="dot" w:pos="9062"/>
        </w:tabs>
        <w:ind w:left="220"/>
      </w:pPr>
      <w:hyperlink w:anchor="_Toc3287" w:history="1">
        <w:r>
          <w:rPr>
            <w:rFonts w:ascii="IRNazanin" w:hAnsi="IRNazanin" w:eastAsia="IRNazanin" w:cs="IRNazanin"/>
            <w:color w:val="111111"/>
            <w:sz w:val="22"/>
            <w:szCs w:val="22"/>
            <w:b w:val="0"/>
            <w:bCs w:val="0"/>
            <w:i w:val="0"/>
            <w:iCs w:val="0"/>
          </w:rPr>
          <w:t>خليل حسانين</w:t>
        </w:r>
        <w:r>
          <w:tab/>
        </w:r>
        <w:r>
          <w:fldChar w:fldCharType="begin"/>
        </w:r>
        <w:r>
          <w:instrText xml:space="preserve">PAGEREF 3287 \h</w:instrText>
        </w:r>
        <w:r>
          <w:fldChar w:fldCharType="end"/>
        </w:r>
      </w:hyperlink>
    </w:p>
    <w:p>
      <w:pPr>
        <w:tabs>
          <w:tab w:val="right" w:leader="dot" w:pos="9062"/>
        </w:tabs>
        <w:ind w:left="220"/>
      </w:pPr>
      <w:hyperlink w:anchor="_Toc3288" w:history="1">
        <w:r>
          <w:rPr>
            <w:rFonts w:ascii="IRNazanin" w:hAnsi="IRNazanin" w:eastAsia="IRNazanin" w:cs="IRNazanin"/>
            <w:color w:val="111111"/>
            <w:sz w:val="22"/>
            <w:szCs w:val="22"/>
            <w:b w:val="0"/>
            <w:bCs w:val="0"/>
            <w:i w:val="0"/>
            <w:iCs w:val="0"/>
          </w:rPr>
          <w:t>خليل عبدالله بن عمر، 1105 - 1196 ه-</w:t>
        </w:r>
        <w:r>
          <w:tab/>
        </w:r>
        <w:r>
          <w:fldChar w:fldCharType="begin"/>
        </w:r>
        <w:r>
          <w:instrText xml:space="preserve">PAGEREF 3288 \h</w:instrText>
        </w:r>
        <w:r>
          <w:fldChar w:fldCharType="end"/>
        </w:r>
      </w:hyperlink>
    </w:p>
    <w:p>
      <w:pPr>
        <w:tabs>
          <w:tab w:val="right" w:leader="dot" w:pos="9062"/>
        </w:tabs>
        <w:ind w:left="220"/>
      </w:pPr>
      <w:hyperlink w:anchor="_Toc3289" w:history="1">
        <w:r>
          <w:rPr>
            <w:rFonts w:ascii="IRNazanin" w:hAnsi="IRNazanin" w:eastAsia="IRNazanin" w:cs="IRNazanin"/>
            <w:color w:val="111111"/>
            <w:sz w:val="22"/>
            <w:szCs w:val="22"/>
            <w:b w:val="0"/>
            <w:bCs w:val="0"/>
            <w:i w:val="0"/>
            <w:iCs w:val="0"/>
          </w:rPr>
          <w:t>خليل علي خان</w:t>
        </w:r>
        <w:r>
          <w:tab/>
        </w:r>
        <w:r>
          <w:fldChar w:fldCharType="begin"/>
        </w:r>
        <w:r>
          <w:instrText xml:space="preserve">PAGEREF 3289 \h</w:instrText>
        </w:r>
        <w:r>
          <w:fldChar w:fldCharType="end"/>
        </w:r>
      </w:hyperlink>
    </w:p>
    <w:p>
      <w:pPr>
        <w:tabs>
          <w:tab w:val="right" w:leader="dot" w:pos="9062"/>
        </w:tabs>
        <w:ind w:left="220"/>
      </w:pPr>
      <w:hyperlink w:anchor="_Toc3290" w:history="1">
        <w:r>
          <w:rPr>
            <w:rFonts w:ascii="IRNazanin" w:hAnsi="IRNazanin" w:eastAsia="IRNazanin" w:cs="IRNazanin"/>
            <w:color w:val="111111"/>
            <w:sz w:val="22"/>
            <w:szCs w:val="22"/>
            <w:b w:val="0"/>
            <w:bCs w:val="0"/>
            <w:i w:val="0"/>
            <w:iCs w:val="0"/>
          </w:rPr>
          <w:t>خليلي ، احمد بن تميم قرن 13 ه-</w:t>
        </w:r>
        <w:r>
          <w:tab/>
        </w:r>
        <w:r>
          <w:fldChar w:fldCharType="begin"/>
        </w:r>
        <w:r>
          <w:instrText xml:space="preserve">PAGEREF 3290 \h</w:instrText>
        </w:r>
        <w:r>
          <w:fldChar w:fldCharType="end"/>
        </w:r>
      </w:hyperlink>
    </w:p>
    <w:p>
      <w:pPr>
        <w:tabs>
          <w:tab w:val="right" w:leader="dot" w:pos="9062"/>
        </w:tabs>
        <w:ind w:left="220"/>
      </w:pPr>
      <w:hyperlink w:anchor="_Toc3291" w:history="1">
        <w:r>
          <w:rPr>
            <w:rFonts w:ascii="IRNazanin" w:hAnsi="IRNazanin" w:eastAsia="IRNazanin" w:cs="IRNazanin"/>
            <w:color w:val="111111"/>
            <w:sz w:val="22"/>
            <w:szCs w:val="22"/>
            <w:b w:val="0"/>
            <w:bCs w:val="0"/>
            <w:i w:val="0"/>
            <w:iCs w:val="0"/>
          </w:rPr>
          <w:t>خليلي ، حسين بن خليل، 1230-1326 ه-</w:t>
        </w:r>
        <w:r>
          <w:tab/>
        </w:r>
        <w:r>
          <w:fldChar w:fldCharType="begin"/>
        </w:r>
        <w:r>
          <w:instrText xml:space="preserve">PAGEREF 3291 \h</w:instrText>
        </w:r>
        <w:r>
          <w:fldChar w:fldCharType="end"/>
        </w:r>
      </w:hyperlink>
    </w:p>
    <w:p>
      <w:pPr>
        <w:tabs>
          <w:tab w:val="right" w:leader="dot" w:pos="9062"/>
        </w:tabs>
        <w:ind w:left="220"/>
      </w:pPr>
      <w:hyperlink w:anchor="_Toc3292" w:history="1">
        <w:r>
          <w:rPr>
            <w:rFonts w:ascii="IRNazanin" w:hAnsi="IRNazanin" w:eastAsia="IRNazanin" w:cs="IRNazanin"/>
            <w:color w:val="111111"/>
            <w:sz w:val="22"/>
            <w:szCs w:val="22"/>
            <w:b w:val="0"/>
            <w:bCs w:val="0"/>
            <w:i w:val="0"/>
            <w:iCs w:val="0"/>
          </w:rPr>
          <w:t>خليلي، خليل بن عبدالله - 446 ه-</w:t>
        </w:r>
        <w:r>
          <w:tab/>
        </w:r>
        <w:r>
          <w:fldChar w:fldCharType="begin"/>
        </w:r>
        <w:r>
          <w:instrText xml:space="preserve">PAGEREF 3292 \h</w:instrText>
        </w:r>
        <w:r>
          <w:fldChar w:fldCharType="end"/>
        </w:r>
      </w:hyperlink>
    </w:p>
    <w:p>
      <w:pPr>
        <w:tabs>
          <w:tab w:val="right" w:leader="dot" w:pos="9062"/>
        </w:tabs>
        <w:ind w:left="220"/>
      </w:pPr>
      <w:hyperlink w:anchor="_Toc3293" w:history="1">
        <w:r>
          <w:rPr>
            <w:rFonts w:ascii="IRNazanin" w:hAnsi="IRNazanin" w:eastAsia="IRNazanin" w:cs="IRNazanin"/>
            <w:color w:val="111111"/>
            <w:sz w:val="22"/>
            <w:szCs w:val="22"/>
            <w:b w:val="0"/>
            <w:bCs w:val="0"/>
            <w:i w:val="0"/>
            <w:iCs w:val="0"/>
          </w:rPr>
          <w:t>خليلي ، شمس الدين محمّد</w:t>
        </w:r>
        <w:r>
          <w:tab/>
        </w:r>
        <w:r>
          <w:fldChar w:fldCharType="begin"/>
        </w:r>
        <w:r>
          <w:instrText xml:space="preserve">PAGEREF 3293 \h</w:instrText>
        </w:r>
        <w:r>
          <w:fldChar w:fldCharType="end"/>
        </w:r>
      </w:hyperlink>
    </w:p>
    <w:p>
      <w:pPr>
        <w:tabs>
          <w:tab w:val="right" w:leader="dot" w:pos="9062"/>
        </w:tabs>
        <w:ind w:left="220"/>
      </w:pPr>
      <w:hyperlink w:anchor="_Toc3294" w:history="1">
        <w:r>
          <w:rPr>
            <w:rFonts w:ascii="IRNazanin" w:hAnsi="IRNazanin" w:eastAsia="IRNazanin" w:cs="IRNazanin"/>
            <w:color w:val="111111"/>
            <w:sz w:val="22"/>
            <w:szCs w:val="22"/>
            <w:b w:val="0"/>
            <w:bCs w:val="0"/>
            <w:i w:val="0"/>
            <w:iCs w:val="0"/>
          </w:rPr>
          <w:t>خليلي ، علي، ه-</w:t>
        </w:r>
        <w:r>
          <w:tab/>
        </w:r>
        <w:r>
          <w:fldChar w:fldCharType="begin"/>
        </w:r>
        <w:r>
          <w:instrText xml:space="preserve">PAGEREF 3294 \h</w:instrText>
        </w:r>
        <w:r>
          <w:fldChar w:fldCharType="end"/>
        </w:r>
      </w:hyperlink>
    </w:p>
    <w:p>
      <w:pPr>
        <w:tabs>
          <w:tab w:val="right" w:leader="dot" w:pos="9062"/>
        </w:tabs>
        <w:ind w:left="220"/>
      </w:pPr>
      <w:hyperlink w:anchor="_Toc3295" w:history="1">
        <w:r>
          <w:rPr>
            <w:rFonts w:ascii="IRNazanin" w:hAnsi="IRNazanin" w:eastAsia="IRNazanin" w:cs="IRNazanin"/>
            <w:color w:val="111111"/>
            <w:sz w:val="22"/>
            <w:szCs w:val="22"/>
            <w:b w:val="0"/>
            <w:bCs w:val="0"/>
            <w:i w:val="0"/>
            <w:iCs w:val="0"/>
          </w:rPr>
          <w:t>خليلي ، محمّد بن احمد - 1057 ه-</w:t>
        </w:r>
        <w:r>
          <w:tab/>
        </w:r>
        <w:r>
          <w:fldChar w:fldCharType="begin"/>
        </w:r>
        <w:r>
          <w:instrText xml:space="preserve">PAGEREF 3295 \h</w:instrText>
        </w:r>
        <w:r>
          <w:fldChar w:fldCharType="end"/>
        </w:r>
      </w:hyperlink>
    </w:p>
    <w:p>
      <w:pPr>
        <w:tabs>
          <w:tab w:val="right" w:leader="dot" w:pos="9062"/>
        </w:tabs>
        <w:ind w:left="220"/>
      </w:pPr>
      <w:hyperlink w:anchor="_Toc3296" w:history="1">
        <w:r>
          <w:rPr>
            <w:rFonts w:ascii="IRNazanin" w:hAnsi="IRNazanin" w:eastAsia="IRNazanin" w:cs="IRNazanin"/>
            <w:color w:val="111111"/>
            <w:sz w:val="22"/>
            <w:szCs w:val="22"/>
            <w:b w:val="0"/>
            <w:bCs w:val="0"/>
            <w:i w:val="0"/>
            <w:iCs w:val="0"/>
          </w:rPr>
          <w:t>خليلي ، محمّد بن محمّد - 800 ه-</w:t>
        </w:r>
        <w:r>
          <w:tab/>
        </w:r>
        <w:r>
          <w:fldChar w:fldCharType="begin"/>
        </w:r>
        <w:r>
          <w:instrText xml:space="preserve">PAGEREF 3296 \h</w:instrText>
        </w:r>
        <w:r>
          <w:fldChar w:fldCharType="end"/>
        </w:r>
      </w:hyperlink>
    </w:p>
    <w:p>
      <w:pPr>
        <w:tabs>
          <w:tab w:val="right" w:leader="dot" w:pos="9062"/>
        </w:tabs>
        <w:ind w:left="220"/>
      </w:pPr>
      <w:hyperlink w:anchor="_Toc3297" w:history="1">
        <w:r>
          <w:rPr>
            <w:rFonts w:ascii="IRNazanin" w:hAnsi="IRNazanin" w:eastAsia="IRNazanin" w:cs="IRNazanin"/>
            <w:color w:val="111111"/>
            <w:sz w:val="22"/>
            <w:szCs w:val="22"/>
            <w:b w:val="0"/>
            <w:bCs w:val="0"/>
            <w:i w:val="0"/>
            <w:iCs w:val="0"/>
          </w:rPr>
          <w:t>خليلي، موسى بن محمّد - 805 ه-</w:t>
        </w:r>
        <w:r>
          <w:tab/>
        </w:r>
        <w:r>
          <w:fldChar w:fldCharType="begin"/>
        </w:r>
        <w:r>
          <w:instrText xml:space="preserve">PAGEREF 3297 \h</w:instrText>
        </w:r>
        <w:r>
          <w:fldChar w:fldCharType="end"/>
        </w:r>
      </w:hyperlink>
    </w:p>
    <w:p>
      <w:pPr>
        <w:tabs>
          <w:tab w:val="right" w:leader="dot" w:pos="9062"/>
        </w:tabs>
        <w:ind w:left="220"/>
      </w:pPr>
      <w:hyperlink w:anchor="_Toc3298" w:history="1">
        <w:r>
          <w:rPr>
            <w:rFonts w:ascii="IRNazanin" w:hAnsi="IRNazanin" w:eastAsia="IRNazanin" w:cs="IRNazanin"/>
            <w:color w:val="111111"/>
            <w:sz w:val="22"/>
            <w:szCs w:val="22"/>
            <w:b w:val="0"/>
            <w:bCs w:val="0"/>
            <w:i w:val="0"/>
            <w:iCs w:val="0"/>
          </w:rPr>
          <w:t>خمايسي ، عبد علي بن محمّد</w:t>
        </w:r>
        <w:r>
          <w:tab/>
        </w:r>
        <w:r>
          <w:fldChar w:fldCharType="begin"/>
        </w:r>
        <w:r>
          <w:instrText xml:space="preserve">PAGEREF 3298 \h</w:instrText>
        </w:r>
        <w:r>
          <w:fldChar w:fldCharType="end"/>
        </w:r>
      </w:hyperlink>
    </w:p>
    <w:p>
      <w:pPr>
        <w:tabs>
          <w:tab w:val="right" w:leader="dot" w:pos="9062"/>
        </w:tabs>
        <w:ind w:left="220"/>
      </w:pPr>
      <w:hyperlink w:anchor="_Toc3299" w:history="1">
        <w:r>
          <w:rPr>
            <w:rFonts w:ascii="IRNazanin" w:hAnsi="IRNazanin" w:eastAsia="IRNazanin" w:cs="IRNazanin"/>
            <w:color w:val="111111"/>
            <w:sz w:val="22"/>
            <w:szCs w:val="22"/>
            <w:b w:val="0"/>
            <w:bCs w:val="0"/>
            <w:i w:val="0"/>
            <w:iCs w:val="0"/>
          </w:rPr>
          <w:t>خنجي ، ابوالقاسم</w:t>
        </w:r>
        <w:r>
          <w:tab/>
        </w:r>
        <w:r>
          <w:fldChar w:fldCharType="begin"/>
        </w:r>
        <w:r>
          <w:instrText xml:space="preserve">PAGEREF 3299 \h</w:instrText>
        </w:r>
        <w:r>
          <w:fldChar w:fldCharType="end"/>
        </w:r>
      </w:hyperlink>
    </w:p>
    <w:p>
      <w:pPr>
        <w:tabs>
          <w:tab w:val="right" w:leader="dot" w:pos="9062"/>
        </w:tabs>
        <w:ind w:left="220"/>
      </w:pPr>
      <w:hyperlink w:anchor="_Toc3300" w:history="1">
        <w:r>
          <w:rPr>
            <w:rFonts w:ascii="IRNazanin" w:hAnsi="IRNazanin" w:eastAsia="IRNazanin" w:cs="IRNazanin"/>
            <w:color w:val="111111"/>
            <w:sz w:val="22"/>
            <w:szCs w:val="22"/>
            <w:b w:val="0"/>
            <w:bCs w:val="0"/>
            <w:i w:val="0"/>
            <w:iCs w:val="0"/>
          </w:rPr>
          <w:t>خنساء ، تماضر بنت عمرو - 24 ه-</w:t>
        </w:r>
        <w:r>
          <w:tab/>
        </w:r>
        <w:r>
          <w:fldChar w:fldCharType="begin"/>
        </w:r>
        <w:r>
          <w:instrText xml:space="preserve">PAGEREF 3300 \h</w:instrText>
        </w:r>
        <w:r>
          <w:fldChar w:fldCharType="end"/>
        </w:r>
      </w:hyperlink>
    </w:p>
    <w:p>
      <w:pPr>
        <w:tabs>
          <w:tab w:val="right" w:leader="dot" w:pos="9062"/>
        </w:tabs>
        <w:ind w:left="220"/>
      </w:pPr>
      <w:hyperlink w:anchor="_Toc3301" w:history="1">
        <w:r>
          <w:rPr>
            <w:rFonts w:ascii="IRNazanin" w:hAnsi="IRNazanin" w:eastAsia="IRNazanin" w:cs="IRNazanin"/>
            <w:color w:val="111111"/>
            <w:sz w:val="22"/>
            <w:szCs w:val="22"/>
            <w:b w:val="0"/>
            <w:bCs w:val="0"/>
            <w:i w:val="0"/>
            <w:iCs w:val="0"/>
          </w:rPr>
          <w:t>خوئي ، ابوالقاسم، 1278 - 1371 ش</w:t>
        </w:r>
        <w:r>
          <w:tab/>
        </w:r>
        <w:r>
          <w:fldChar w:fldCharType="begin"/>
        </w:r>
        <w:r>
          <w:instrText xml:space="preserve">PAGEREF 3301 \h</w:instrText>
        </w:r>
        <w:r>
          <w:fldChar w:fldCharType="end"/>
        </w:r>
      </w:hyperlink>
    </w:p>
    <w:p>
      <w:pPr>
        <w:tabs>
          <w:tab w:val="right" w:leader="dot" w:pos="9062"/>
        </w:tabs>
        <w:ind w:left="220"/>
      </w:pPr>
      <w:hyperlink w:anchor="_Toc3302" w:history="1">
        <w:r>
          <w:rPr>
            <w:rFonts w:ascii="IRNazanin" w:hAnsi="IRNazanin" w:eastAsia="IRNazanin" w:cs="IRNazanin"/>
            <w:color w:val="111111"/>
            <w:sz w:val="22"/>
            <w:szCs w:val="22"/>
            <w:b w:val="0"/>
            <w:bCs w:val="0"/>
            <w:i w:val="0"/>
            <w:iCs w:val="0"/>
          </w:rPr>
          <w:t>خوئي ، احمد بن خليل، 2583 - 637 ؟ ه-</w:t>
        </w:r>
        <w:r>
          <w:tab/>
        </w:r>
        <w:r>
          <w:fldChar w:fldCharType="begin"/>
        </w:r>
        <w:r>
          <w:instrText xml:space="preserve">PAGEREF 3302 \h</w:instrText>
        </w:r>
        <w:r>
          <w:fldChar w:fldCharType="end"/>
        </w:r>
      </w:hyperlink>
    </w:p>
    <w:p>
      <w:pPr>
        <w:tabs>
          <w:tab w:val="right" w:leader="dot" w:pos="9062"/>
        </w:tabs>
        <w:ind w:left="220"/>
      </w:pPr>
      <w:hyperlink w:anchor="_Toc3303" w:history="1">
        <w:r>
          <w:rPr>
            <w:rFonts w:ascii="IRNazanin" w:hAnsi="IRNazanin" w:eastAsia="IRNazanin" w:cs="IRNazanin"/>
            <w:color w:val="111111"/>
            <w:sz w:val="22"/>
            <w:szCs w:val="22"/>
            <w:b w:val="0"/>
            <w:bCs w:val="0"/>
            <w:i w:val="0"/>
            <w:iCs w:val="0"/>
          </w:rPr>
          <w:t>خوئي ، حبيب الله بن محمّد هاشم 1268</w:t>
        </w:r>
        <w:r>
          <w:tab/>
        </w:r>
        <w:r>
          <w:fldChar w:fldCharType="begin"/>
        </w:r>
        <w:r>
          <w:instrText xml:space="preserve">PAGEREF 3303 \h</w:instrText>
        </w:r>
        <w:r>
          <w:fldChar w:fldCharType="end"/>
        </w:r>
      </w:hyperlink>
    </w:p>
    <w:p>
      <w:pPr>
        <w:tabs>
          <w:tab w:val="right" w:leader="dot" w:pos="9062"/>
        </w:tabs>
        <w:ind w:left="220"/>
      </w:pPr>
      <w:hyperlink w:anchor="_Toc3304" w:history="1">
        <w:r>
          <w:rPr>
            <w:rFonts w:ascii="IRNazanin" w:hAnsi="IRNazanin" w:eastAsia="IRNazanin" w:cs="IRNazanin"/>
            <w:color w:val="111111"/>
            <w:sz w:val="22"/>
            <w:szCs w:val="22"/>
            <w:b w:val="0"/>
            <w:bCs w:val="0"/>
            <w:i w:val="0"/>
            <w:iCs w:val="0"/>
          </w:rPr>
          <w:t>خوئي ، علي، 1253 - 1309 ه-</w:t>
        </w:r>
        <w:r>
          <w:tab/>
        </w:r>
        <w:r>
          <w:fldChar w:fldCharType="begin"/>
        </w:r>
        <w:r>
          <w:instrText xml:space="preserve">PAGEREF 3304 \h</w:instrText>
        </w:r>
        <w:r>
          <w:fldChar w:fldCharType="end"/>
        </w:r>
      </w:hyperlink>
    </w:p>
    <w:p>
      <w:pPr>
        <w:tabs>
          <w:tab w:val="right" w:leader="dot" w:pos="9062"/>
        </w:tabs>
        <w:ind w:left="220"/>
      </w:pPr>
      <w:hyperlink w:anchor="_Toc3305" w:history="1">
        <w:r>
          <w:rPr>
            <w:rFonts w:ascii="IRNazanin" w:hAnsi="IRNazanin" w:eastAsia="IRNazanin" w:cs="IRNazanin"/>
            <w:color w:val="111111"/>
            <w:sz w:val="22"/>
            <w:szCs w:val="22"/>
            <w:b w:val="0"/>
            <w:bCs w:val="0"/>
            <w:i w:val="0"/>
            <w:iCs w:val="0"/>
          </w:rPr>
          <w:t>خوئي، محمّدتقي بن ابوالقاسم - 1413ه-</w:t>
        </w:r>
        <w:r>
          <w:tab/>
        </w:r>
        <w:r>
          <w:fldChar w:fldCharType="begin"/>
        </w:r>
        <w:r>
          <w:instrText xml:space="preserve">PAGEREF 3305 \h</w:instrText>
        </w:r>
        <w:r>
          <w:fldChar w:fldCharType="end"/>
        </w:r>
      </w:hyperlink>
    </w:p>
    <w:p>
      <w:pPr>
        <w:tabs>
          <w:tab w:val="right" w:leader="dot" w:pos="9062"/>
        </w:tabs>
        <w:ind w:left="220"/>
      </w:pPr>
      <w:hyperlink w:anchor="_Toc3306" w:history="1">
        <w:r>
          <w:rPr>
            <w:rFonts w:ascii="IRNazanin" w:hAnsi="IRNazanin" w:eastAsia="IRNazanin" w:cs="IRNazanin"/>
            <w:color w:val="111111"/>
            <w:sz w:val="22"/>
            <w:szCs w:val="22"/>
            <w:b w:val="0"/>
            <w:bCs w:val="0"/>
            <w:i w:val="0"/>
            <w:iCs w:val="0"/>
          </w:rPr>
          <w:t>خوئي، مصطفى بن محمّد قرن 13 ه-</w:t>
        </w:r>
        <w:r>
          <w:tab/>
        </w:r>
        <w:r>
          <w:fldChar w:fldCharType="begin"/>
        </w:r>
        <w:r>
          <w:instrText xml:space="preserve">PAGEREF 3306 \h</w:instrText>
        </w:r>
        <w:r>
          <w:fldChar w:fldCharType="end"/>
        </w:r>
      </w:hyperlink>
    </w:p>
    <w:p>
      <w:pPr>
        <w:tabs>
          <w:tab w:val="right" w:leader="dot" w:pos="9062"/>
        </w:tabs>
        <w:ind w:left="220"/>
      </w:pPr>
      <w:hyperlink w:anchor="_Toc3307" w:history="1">
        <w:r>
          <w:rPr>
            <w:rFonts w:ascii="IRNazanin" w:hAnsi="IRNazanin" w:eastAsia="IRNazanin" w:cs="IRNazanin"/>
            <w:color w:val="111111"/>
            <w:sz w:val="22"/>
            <w:szCs w:val="22"/>
            <w:b w:val="0"/>
            <w:bCs w:val="0"/>
            <w:i w:val="0"/>
            <w:iCs w:val="0"/>
          </w:rPr>
          <w:t>خوئي ، ملا علي قرن 14 ه-</w:t>
        </w:r>
        <w:r>
          <w:tab/>
        </w:r>
        <w:r>
          <w:fldChar w:fldCharType="begin"/>
        </w:r>
        <w:r>
          <w:instrText xml:space="preserve">PAGEREF 3307 \h</w:instrText>
        </w:r>
        <w:r>
          <w:fldChar w:fldCharType="end"/>
        </w:r>
      </w:hyperlink>
    </w:p>
    <w:p>
      <w:pPr>
        <w:tabs>
          <w:tab w:val="right" w:leader="dot" w:pos="9062"/>
        </w:tabs>
        <w:ind w:left="220"/>
      </w:pPr>
      <w:hyperlink w:anchor="_Toc3308" w:history="1">
        <w:r>
          <w:rPr>
            <w:rFonts w:ascii="IRNazanin" w:hAnsi="IRNazanin" w:eastAsia="IRNazanin" w:cs="IRNazanin"/>
            <w:color w:val="111111"/>
            <w:sz w:val="22"/>
            <w:szCs w:val="22"/>
            <w:b w:val="0"/>
            <w:bCs w:val="0"/>
            <w:i w:val="0"/>
            <w:iCs w:val="0"/>
          </w:rPr>
          <w:t>خوئيني ، علي محمّد</w:t>
        </w:r>
        <w:r>
          <w:tab/>
        </w:r>
        <w:r>
          <w:fldChar w:fldCharType="begin"/>
        </w:r>
        <w:r>
          <w:instrText xml:space="preserve">PAGEREF 3308 \h</w:instrText>
        </w:r>
        <w:r>
          <w:fldChar w:fldCharType="end"/>
        </w:r>
      </w:hyperlink>
    </w:p>
    <w:p>
      <w:pPr>
        <w:tabs>
          <w:tab w:val="right" w:leader="dot" w:pos="9062"/>
        </w:tabs>
        <w:ind w:left="220"/>
      </w:pPr>
      <w:hyperlink w:anchor="_Toc3309" w:history="1">
        <w:r>
          <w:rPr>
            <w:rFonts w:ascii="IRNazanin" w:hAnsi="IRNazanin" w:eastAsia="IRNazanin" w:cs="IRNazanin"/>
            <w:color w:val="111111"/>
            <w:sz w:val="22"/>
            <w:szCs w:val="22"/>
            <w:b w:val="0"/>
            <w:bCs w:val="0"/>
            <w:i w:val="0"/>
            <w:iCs w:val="0"/>
          </w:rPr>
          <w:t>خوئي ، يوسف بن اسماعيل - 754؟ ه-</w:t>
        </w:r>
        <w:r>
          <w:tab/>
        </w:r>
        <w:r>
          <w:fldChar w:fldCharType="begin"/>
        </w:r>
        <w:r>
          <w:instrText xml:space="preserve">PAGEREF 3309 \h</w:instrText>
        </w:r>
        <w:r>
          <w:fldChar w:fldCharType="end"/>
        </w:r>
      </w:hyperlink>
    </w:p>
    <w:p>
      <w:pPr>
        <w:tabs>
          <w:tab w:val="right" w:leader="dot" w:pos="9062"/>
        </w:tabs>
        <w:ind w:left="220"/>
      </w:pPr>
      <w:hyperlink w:anchor="_Toc3310" w:history="1">
        <w:r>
          <w:rPr>
            <w:rFonts w:ascii="IRNazanin" w:hAnsi="IRNazanin" w:eastAsia="IRNazanin" w:cs="IRNazanin"/>
            <w:color w:val="111111"/>
            <w:sz w:val="22"/>
            <w:szCs w:val="22"/>
            <w:b w:val="0"/>
            <w:bCs w:val="0"/>
            <w:i w:val="0"/>
            <w:iCs w:val="0"/>
          </w:rPr>
          <w:t>خواجگي زاده ، مصطفى بن محمّد -</w:t>
        </w:r>
        <w:r>
          <w:tab/>
        </w:r>
        <w:r>
          <w:fldChar w:fldCharType="begin"/>
        </w:r>
        <w:r>
          <w:instrText xml:space="preserve">PAGEREF 3310 \h</w:instrText>
        </w:r>
        <w:r>
          <w:fldChar w:fldCharType="end"/>
        </w:r>
      </w:hyperlink>
    </w:p>
    <w:p>
      <w:pPr>
        <w:tabs>
          <w:tab w:val="right" w:leader="dot" w:pos="9062"/>
        </w:tabs>
        <w:ind w:left="220"/>
      </w:pPr>
      <w:hyperlink w:anchor="_Toc3311" w:history="1">
        <w:r>
          <w:rPr>
            <w:rFonts w:ascii="IRNazanin" w:hAnsi="IRNazanin" w:eastAsia="IRNazanin" w:cs="IRNazanin"/>
            <w:color w:val="111111"/>
            <w:sz w:val="22"/>
            <w:szCs w:val="22"/>
            <w:b w:val="0"/>
            <w:bCs w:val="0"/>
            <w:i w:val="0"/>
            <w:iCs w:val="0"/>
          </w:rPr>
          <w:t>خواجگي شيرازي ، محمّد بن احمد قرن</w:t>
        </w:r>
        <w:r>
          <w:tab/>
        </w:r>
        <w:r>
          <w:fldChar w:fldCharType="begin"/>
        </w:r>
        <w:r>
          <w:instrText xml:space="preserve">PAGEREF 3311 \h</w:instrText>
        </w:r>
        <w:r>
          <w:fldChar w:fldCharType="end"/>
        </w:r>
      </w:hyperlink>
    </w:p>
    <w:p>
      <w:pPr>
        <w:tabs>
          <w:tab w:val="right" w:leader="dot" w:pos="9062"/>
        </w:tabs>
        <w:ind w:left="220"/>
      </w:pPr>
      <w:hyperlink w:anchor="_Toc3312" w:history="1">
        <w:r>
          <w:rPr>
            <w:rFonts w:ascii="IRNazanin" w:hAnsi="IRNazanin" w:eastAsia="IRNazanin" w:cs="IRNazanin"/>
            <w:color w:val="111111"/>
            <w:sz w:val="22"/>
            <w:szCs w:val="22"/>
            <w:b w:val="0"/>
            <w:bCs w:val="0"/>
            <w:i w:val="0"/>
            <w:iCs w:val="0"/>
          </w:rPr>
          <w:t>خواجه جهان ، محمود بن محمّد 808 -</w:t>
        </w:r>
        <w:r>
          <w:tab/>
        </w:r>
        <w:r>
          <w:fldChar w:fldCharType="begin"/>
        </w:r>
        <w:r>
          <w:instrText xml:space="preserve">PAGEREF 3312 \h</w:instrText>
        </w:r>
        <w:r>
          <w:fldChar w:fldCharType="end"/>
        </w:r>
      </w:hyperlink>
    </w:p>
    <w:p>
      <w:pPr>
        <w:tabs>
          <w:tab w:val="right" w:leader="dot" w:pos="9062"/>
        </w:tabs>
        <w:ind w:left="220"/>
      </w:pPr>
      <w:hyperlink w:anchor="_Toc3313" w:history="1">
        <w:r>
          <w:rPr>
            <w:rFonts w:ascii="IRNazanin" w:hAnsi="IRNazanin" w:eastAsia="IRNazanin" w:cs="IRNazanin"/>
            <w:color w:val="111111"/>
            <w:sz w:val="22"/>
            <w:szCs w:val="22"/>
            <w:b w:val="0"/>
            <w:bCs w:val="0"/>
            <w:i w:val="0"/>
            <w:iCs w:val="0"/>
          </w:rPr>
          <w:t>خواجه زاده</w:t>
        </w:r>
        <w:r>
          <w:tab/>
        </w:r>
        <w:r>
          <w:fldChar w:fldCharType="begin"/>
        </w:r>
        <w:r>
          <w:instrText xml:space="preserve">PAGEREF 3313 \h</w:instrText>
        </w:r>
        <w:r>
          <w:fldChar w:fldCharType="end"/>
        </w:r>
      </w:hyperlink>
    </w:p>
    <w:p>
      <w:pPr>
        <w:tabs>
          <w:tab w:val="right" w:leader="dot" w:pos="9062"/>
        </w:tabs>
        <w:ind w:left="220"/>
      </w:pPr>
      <w:hyperlink w:anchor="_Toc3314" w:history="1">
        <w:r>
          <w:rPr>
            <w:rFonts w:ascii="IRNazanin" w:hAnsi="IRNazanin" w:eastAsia="IRNazanin" w:cs="IRNazanin"/>
            <w:color w:val="111111"/>
            <w:sz w:val="22"/>
            <w:szCs w:val="22"/>
            <w:b w:val="0"/>
            <w:bCs w:val="0"/>
            <w:i w:val="0"/>
            <w:iCs w:val="0"/>
          </w:rPr>
          <w:t>خواجه زاده مصطفی بن يوسف -893ه-</w:t>
        </w:r>
        <w:r>
          <w:tab/>
        </w:r>
        <w:r>
          <w:fldChar w:fldCharType="begin"/>
        </w:r>
        <w:r>
          <w:instrText xml:space="preserve">PAGEREF 3314 \h</w:instrText>
        </w:r>
        <w:r>
          <w:fldChar w:fldCharType="end"/>
        </w:r>
      </w:hyperlink>
    </w:p>
    <w:p>
      <w:pPr>
        <w:tabs>
          <w:tab w:val="right" w:leader="dot" w:pos="9062"/>
        </w:tabs>
        <w:ind w:left="220"/>
      </w:pPr>
      <w:hyperlink w:anchor="_Toc3315" w:history="1">
        <w:r>
          <w:rPr>
            <w:rFonts w:ascii="IRNazanin" w:hAnsi="IRNazanin" w:eastAsia="IRNazanin" w:cs="IRNazanin"/>
            <w:color w:val="111111"/>
            <w:sz w:val="22"/>
            <w:szCs w:val="22"/>
            <w:b w:val="0"/>
            <w:bCs w:val="0"/>
            <w:i w:val="0"/>
            <w:iCs w:val="0"/>
          </w:rPr>
          <w:t>خواجه سعد الله</w:t>
        </w:r>
        <w:r>
          <w:tab/>
        </w:r>
        <w:r>
          <w:fldChar w:fldCharType="begin"/>
        </w:r>
        <w:r>
          <w:instrText xml:space="preserve">PAGEREF 3315 \h</w:instrText>
        </w:r>
        <w:r>
          <w:fldChar w:fldCharType="end"/>
        </w:r>
      </w:hyperlink>
    </w:p>
    <w:p>
      <w:pPr>
        <w:tabs>
          <w:tab w:val="right" w:leader="dot" w:pos="9062"/>
        </w:tabs>
        <w:ind w:left="220"/>
      </w:pPr>
      <w:hyperlink w:anchor="_Toc3316" w:history="1">
        <w:r>
          <w:rPr>
            <w:rFonts w:ascii="IRNazanin" w:hAnsi="IRNazanin" w:eastAsia="IRNazanin" w:cs="IRNazanin"/>
            <w:color w:val="111111"/>
            <w:sz w:val="22"/>
            <w:szCs w:val="22"/>
            <w:b w:val="0"/>
            <w:bCs w:val="0"/>
            <w:i w:val="0"/>
            <w:iCs w:val="0"/>
          </w:rPr>
          <w:t>خواجه عصمت الله ، صدر بن رشید، قرن 8ه-</w:t>
        </w:r>
        <w:r>
          <w:tab/>
        </w:r>
        <w:r>
          <w:fldChar w:fldCharType="begin"/>
        </w:r>
        <w:r>
          <w:instrText xml:space="preserve">PAGEREF 3316 \h</w:instrText>
        </w:r>
        <w:r>
          <w:fldChar w:fldCharType="end"/>
        </w:r>
      </w:hyperlink>
    </w:p>
    <w:p>
      <w:pPr>
        <w:tabs>
          <w:tab w:val="right" w:leader="dot" w:pos="9062"/>
        </w:tabs>
        <w:ind w:left="220"/>
      </w:pPr>
      <w:hyperlink w:anchor="_Toc3317" w:history="1">
        <w:r>
          <w:rPr>
            <w:rFonts w:ascii="IRNazanin" w:hAnsi="IRNazanin" w:eastAsia="IRNazanin" w:cs="IRNazanin"/>
            <w:color w:val="111111"/>
            <w:sz w:val="22"/>
            <w:szCs w:val="22"/>
            <w:b w:val="0"/>
            <w:bCs w:val="0"/>
            <w:i w:val="0"/>
            <w:iCs w:val="0"/>
          </w:rPr>
          <w:t>خواجه نعمة الدين</w:t>
        </w:r>
        <w:r>
          <w:tab/>
        </w:r>
        <w:r>
          <w:fldChar w:fldCharType="begin"/>
        </w:r>
        <w:r>
          <w:instrText xml:space="preserve">PAGEREF 3317 \h</w:instrText>
        </w:r>
        <w:r>
          <w:fldChar w:fldCharType="end"/>
        </w:r>
      </w:hyperlink>
    </w:p>
    <w:p>
      <w:pPr>
        <w:tabs>
          <w:tab w:val="right" w:leader="dot" w:pos="9062"/>
        </w:tabs>
        <w:ind w:left="220"/>
      </w:pPr>
      <w:hyperlink w:anchor="_Toc3318" w:history="1">
        <w:r>
          <w:rPr>
            <w:rFonts w:ascii="IRNazanin" w:hAnsi="IRNazanin" w:eastAsia="IRNazanin" w:cs="IRNazanin"/>
            <w:color w:val="111111"/>
            <w:sz w:val="22"/>
            <w:szCs w:val="22"/>
            <w:b w:val="0"/>
            <w:bCs w:val="0"/>
            <w:i w:val="0"/>
            <w:iCs w:val="0"/>
          </w:rPr>
          <w:t>خواجوئي ، محمّد اسماعيل بن حسين - 1173ه-</w:t>
        </w:r>
        <w:r>
          <w:tab/>
        </w:r>
        <w:r>
          <w:fldChar w:fldCharType="begin"/>
        </w:r>
        <w:r>
          <w:instrText xml:space="preserve">PAGEREF 3318 \h</w:instrText>
        </w:r>
        <w:r>
          <w:fldChar w:fldCharType="end"/>
        </w:r>
      </w:hyperlink>
    </w:p>
    <w:p>
      <w:pPr>
        <w:tabs>
          <w:tab w:val="right" w:leader="dot" w:pos="9062"/>
        </w:tabs>
        <w:ind w:left="220"/>
      </w:pPr>
      <w:hyperlink w:anchor="_Toc3319" w:history="1">
        <w:r>
          <w:rPr>
            <w:rFonts w:ascii="IRNazanin" w:hAnsi="IRNazanin" w:eastAsia="IRNazanin" w:cs="IRNazanin"/>
            <w:color w:val="111111"/>
            <w:sz w:val="22"/>
            <w:szCs w:val="22"/>
            <w:b w:val="0"/>
            <w:bCs w:val="0"/>
            <w:i w:val="0"/>
            <w:iCs w:val="0"/>
          </w:rPr>
          <w:t>خواجوي كرماني ، محمود بن علي 689 -</w:t>
        </w:r>
        <w:r>
          <w:tab/>
        </w:r>
        <w:r>
          <w:fldChar w:fldCharType="begin"/>
        </w:r>
        <w:r>
          <w:instrText xml:space="preserve">PAGEREF 3319 \h</w:instrText>
        </w:r>
        <w:r>
          <w:fldChar w:fldCharType="end"/>
        </w:r>
      </w:hyperlink>
    </w:p>
    <w:p>
      <w:pPr>
        <w:tabs>
          <w:tab w:val="right" w:leader="dot" w:pos="9062"/>
        </w:tabs>
        <w:ind w:left="220"/>
      </w:pPr>
      <w:hyperlink w:anchor="_Toc3320" w:history="1">
        <w:r>
          <w:rPr>
            <w:rFonts w:ascii="IRNazanin" w:hAnsi="IRNazanin" w:eastAsia="IRNazanin" w:cs="IRNazanin"/>
            <w:color w:val="111111"/>
            <w:sz w:val="22"/>
            <w:szCs w:val="22"/>
            <w:b w:val="0"/>
            <w:bCs w:val="0"/>
            <w:i w:val="0"/>
            <w:iCs w:val="0"/>
          </w:rPr>
          <w:t>خوارزمي ، ابو علي بن عبدالجليل</w:t>
        </w:r>
        <w:r>
          <w:tab/>
        </w:r>
        <w:r>
          <w:fldChar w:fldCharType="begin"/>
        </w:r>
        <w:r>
          <w:instrText xml:space="preserve">PAGEREF 3320 \h</w:instrText>
        </w:r>
        <w:r>
          <w:fldChar w:fldCharType="end"/>
        </w:r>
      </w:hyperlink>
    </w:p>
    <w:p>
      <w:pPr>
        <w:tabs>
          <w:tab w:val="right" w:leader="dot" w:pos="9062"/>
        </w:tabs>
        <w:ind w:left="220"/>
      </w:pPr>
      <w:hyperlink w:anchor="_Toc3321" w:history="1">
        <w:r>
          <w:rPr>
            <w:rFonts w:ascii="IRNazanin" w:hAnsi="IRNazanin" w:eastAsia="IRNazanin" w:cs="IRNazanin"/>
            <w:color w:val="111111"/>
            <w:sz w:val="22"/>
            <w:szCs w:val="22"/>
            <w:b w:val="0"/>
            <w:bCs w:val="0"/>
            <w:i w:val="0"/>
            <w:iCs w:val="0"/>
          </w:rPr>
          <w:t>خوارزمي ، قاسم بن حسين 555-617 ه-</w:t>
        </w:r>
        <w:r>
          <w:tab/>
        </w:r>
        <w:r>
          <w:fldChar w:fldCharType="begin"/>
        </w:r>
        <w:r>
          <w:instrText xml:space="preserve">PAGEREF 3321 \h</w:instrText>
        </w:r>
        <w:r>
          <w:fldChar w:fldCharType="end"/>
        </w:r>
      </w:hyperlink>
    </w:p>
    <w:p>
      <w:pPr>
        <w:tabs>
          <w:tab w:val="right" w:leader="dot" w:pos="9062"/>
        </w:tabs>
        <w:ind w:left="220"/>
      </w:pPr>
      <w:hyperlink w:anchor="_Toc3322" w:history="1">
        <w:r>
          <w:rPr>
            <w:rFonts w:ascii="IRNazanin" w:hAnsi="IRNazanin" w:eastAsia="IRNazanin" w:cs="IRNazanin"/>
            <w:color w:val="111111"/>
            <w:sz w:val="22"/>
            <w:szCs w:val="22"/>
            <w:b w:val="0"/>
            <w:bCs w:val="0"/>
            <w:i w:val="0"/>
            <w:iCs w:val="0"/>
          </w:rPr>
          <w:t>خوارزمي محمّد بن عباس 323-383؟ه-</w:t>
        </w:r>
        <w:r>
          <w:tab/>
        </w:r>
        <w:r>
          <w:fldChar w:fldCharType="begin"/>
        </w:r>
        <w:r>
          <w:instrText xml:space="preserve">PAGEREF 3322 \h</w:instrText>
        </w:r>
        <w:r>
          <w:fldChar w:fldCharType="end"/>
        </w:r>
      </w:hyperlink>
    </w:p>
    <w:p>
      <w:pPr>
        <w:tabs>
          <w:tab w:val="right" w:leader="dot" w:pos="9062"/>
        </w:tabs>
        <w:ind w:left="220"/>
      </w:pPr>
      <w:hyperlink w:anchor="_Toc3323" w:history="1">
        <w:r>
          <w:rPr>
            <w:rFonts w:ascii="IRNazanin" w:hAnsi="IRNazanin" w:eastAsia="IRNazanin" w:cs="IRNazanin"/>
            <w:color w:val="111111"/>
            <w:sz w:val="22"/>
            <w:szCs w:val="22"/>
            <w:b w:val="0"/>
            <w:bCs w:val="0"/>
            <w:i w:val="0"/>
            <w:iCs w:val="0"/>
          </w:rPr>
          <w:t>خوارزمي محمّد بن محمود، 593-655ه-</w:t>
        </w:r>
        <w:r>
          <w:tab/>
        </w:r>
        <w:r>
          <w:fldChar w:fldCharType="begin"/>
        </w:r>
        <w:r>
          <w:instrText xml:space="preserve">PAGEREF 3323 \h</w:instrText>
        </w:r>
        <w:r>
          <w:fldChar w:fldCharType="end"/>
        </w:r>
      </w:hyperlink>
    </w:p>
    <w:p>
      <w:pPr>
        <w:tabs>
          <w:tab w:val="right" w:leader="dot" w:pos="9062"/>
        </w:tabs>
        <w:ind w:left="220"/>
      </w:pPr>
      <w:hyperlink w:anchor="_Toc3324" w:history="1">
        <w:r>
          <w:rPr>
            <w:rFonts w:ascii="IRNazanin" w:hAnsi="IRNazanin" w:eastAsia="IRNazanin" w:cs="IRNazanin"/>
            <w:color w:val="111111"/>
            <w:sz w:val="22"/>
            <w:szCs w:val="22"/>
            <w:b w:val="0"/>
            <w:bCs w:val="0"/>
            <w:i w:val="0"/>
            <w:iCs w:val="0"/>
          </w:rPr>
          <w:t>خوارزمي ، منصور بن احمد - 775؟ ه-</w:t>
        </w:r>
        <w:r>
          <w:tab/>
        </w:r>
        <w:r>
          <w:fldChar w:fldCharType="begin"/>
        </w:r>
        <w:r>
          <w:instrText xml:space="preserve">PAGEREF 3324 \h</w:instrText>
        </w:r>
        <w:r>
          <w:fldChar w:fldCharType="end"/>
        </w:r>
      </w:hyperlink>
    </w:p>
    <w:p>
      <w:pPr>
        <w:tabs>
          <w:tab w:val="right" w:leader="dot" w:pos="9062"/>
        </w:tabs>
        <w:ind w:left="220"/>
      </w:pPr>
      <w:hyperlink w:anchor="_Toc3325" w:history="1">
        <w:r>
          <w:rPr>
            <w:rFonts w:ascii="IRNazanin" w:hAnsi="IRNazanin" w:eastAsia="IRNazanin" w:cs="IRNazanin"/>
            <w:color w:val="111111"/>
            <w:sz w:val="22"/>
            <w:szCs w:val="22"/>
            <w:b w:val="0"/>
            <w:bCs w:val="0"/>
            <w:i w:val="0"/>
            <w:iCs w:val="0"/>
          </w:rPr>
          <w:t>خواري ، محمّد بن محمود</w:t>
        </w:r>
        <w:r>
          <w:tab/>
        </w:r>
        <w:r>
          <w:fldChar w:fldCharType="begin"/>
        </w:r>
        <w:r>
          <w:instrText xml:space="preserve">PAGEREF 3325 \h</w:instrText>
        </w:r>
        <w:r>
          <w:fldChar w:fldCharType="end"/>
        </w:r>
      </w:hyperlink>
    </w:p>
    <w:p>
      <w:pPr>
        <w:tabs>
          <w:tab w:val="right" w:leader="dot" w:pos="9062"/>
        </w:tabs>
        <w:ind w:left="220"/>
      </w:pPr>
      <w:hyperlink w:anchor="_Toc3326" w:history="1">
        <w:r>
          <w:rPr>
            <w:rFonts w:ascii="IRNazanin" w:hAnsi="IRNazanin" w:eastAsia="IRNazanin" w:cs="IRNazanin"/>
            <w:color w:val="111111"/>
            <w:sz w:val="22"/>
            <w:szCs w:val="22"/>
            <w:b w:val="0"/>
            <w:bCs w:val="0"/>
            <w:i w:val="0"/>
            <w:iCs w:val="0"/>
          </w:rPr>
          <w:t>خوافي برآبادي، محمّد بن محمّد 757 -</w:t>
        </w:r>
        <w:r>
          <w:tab/>
        </w:r>
        <w:r>
          <w:fldChar w:fldCharType="begin"/>
        </w:r>
        <w:r>
          <w:instrText xml:space="preserve">PAGEREF 3326 \h</w:instrText>
        </w:r>
        <w:r>
          <w:fldChar w:fldCharType="end"/>
        </w:r>
      </w:hyperlink>
    </w:p>
    <w:p>
      <w:pPr>
        <w:tabs>
          <w:tab w:val="right" w:leader="dot" w:pos="9062"/>
        </w:tabs>
        <w:ind w:left="220"/>
      </w:pPr>
      <w:hyperlink w:anchor="_Toc3327" w:history="1">
        <w:r>
          <w:rPr>
            <w:rFonts w:ascii="IRNazanin" w:hAnsi="IRNazanin" w:eastAsia="IRNazanin" w:cs="IRNazanin"/>
            <w:color w:val="111111"/>
            <w:sz w:val="22"/>
            <w:szCs w:val="22"/>
            <w:b w:val="0"/>
            <w:bCs w:val="0"/>
            <w:i w:val="0"/>
            <w:iCs w:val="0"/>
          </w:rPr>
          <w:t>خواند میر، غیاث الدين بن همام الدين</w:t>
        </w:r>
        <w:r>
          <w:tab/>
        </w:r>
        <w:r>
          <w:fldChar w:fldCharType="begin"/>
        </w:r>
        <w:r>
          <w:instrText xml:space="preserve">PAGEREF 3327 \h</w:instrText>
        </w:r>
        <w:r>
          <w:fldChar w:fldCharType="end"/>
        </w:r>
      </w:hyperlink>
    </w:p>
    <w:p>
      <w:pPr>
        <w:tabs>
          <w:tab w:val="right" w:leader="dot" w:pos="9062"/>
        </w:tabs>
        <w:ind w:left="220"/>
      </w:pPr>
      <w:hyperlink w:anchor="_Toc3328" w:history="1">
        <w:r>
          <w:rPr>
            <w:rFonts w:ascii="IRNazanin" w:hAnsi="IRNazanin" w:eastAsia="IRNazanin" w:cs="IRNazanin"/>
            <w:color w:val="111111"/>
            <w:sz w:val="22"/>
            <w:szCs w:val="22"/>
            <w:b w:val="0"/>
            <w:bCs w:val="0"/>
            <w:i w:val="0"/>
            <w:iCs w:val="0"/>
          </w:rPr>
          <w:t>خوانساري ، ابوتراب بن ابوالقاسم، 1271</w:t>
        </w:r>
        <w:r>
          <w:tab/>
        </w:r>
        <w:r>
          <w:fldChar w:fldCharType="begin"/>
        </w:r>
        <w:r>
          <w:instrText xml:space="preserve">PAGEREF 3328 \h</w:instrText>
        </w:r>
        <w:r>
          <w:fldChar w:fldCharType="end"/>
        </w:r>
      </w:hyperlink>
    </w:p>
    <w:p>
      <w:pPr>
        <w:tabs>
          <w:tab w:val="right" w:leader="dot" w:pos="9062"/>
        </w:tabs>
        <w:ind w:left="220"/>
      </w:pPr>
      <w:hyperlink w:anchor="_Toc3329" w:history="1">
        <w:r>
          <w:rPr>
            <w:rFonts w:ascii="IRNazanin" w:hAnsi="IRNazanin" w:eastAsia="IRNazanin" w:cs="IRNazanin"/>
            <w:color w:val="111111"/>
            <w:sz w:val="22"/>
            <w:szCs w:val="22"/>
            <w:b w:val="0"/>
            <w:bCs w:val="0"/>
            <w:i w:val="0"/>
            <w:iCs w:val="0"/>
          </w:rPr>
          <w:t>خوانساري ، حيدر بن محمّد -1050 ه-</w:t>
        </w:r>
        <w:r>
          <w:tab/>
        </w:r>
        <w:r>
          <w:fldChar w:fldCharType="begin"/>
        </w:r>
        <w:r>
          <w:instrText xml:space="preserve">PAGEREF 3329 \h</w:instrText>
        </w:r>
        <w:r>
          <w:fldChar w:fldCharType="end"/>
        </w:r>
      </w:hyperlink>
    </w:p>
    <w:p>
      <w:pPr>
        <w:tabs>
          <w:tab w:val="right" w:leader="dot" w:pos="9062"/>
        </w:tabs>
        <w:ind w:left="220"/>
      </w:pPr>
      <w:hyperlink w:anchor="_Toc3330" w:history="1">
        <w:r>
          <w:rPr>
            <w:rFonts w:ascii="IRNazanin" w:hAnsi="IRNazanin" w:eastAsia="IRNazanin" w:cs="IRNazanin"/>
            <w:color w:val="111111"/>
            <w:sz w:val="22"/>
            <w:szCs w:val="22"/>
            <w:b w:val="0"/>
            <w:bCs w:val="0"/>
            <w:i w:val="0"/>
            <w:iCs w:val="0"/>
          </w:rPr>
          <w:t>خوانساري ، رضي الدين محمّد بن حسين</w:t>
        </w:r>
        <w:r>
          <w:tab/>
        </w:r>
        <w:r>
          <w:fldChar w:fldCharType="begin"/>
        </w:r>
        <w:r>
          <w:instrText xml:space="preserve">PAGEREF 3330 \h</w:instrText>
        </w:r>
        <w:r>
          <w:fldChar w:fldCharType="end"/>
        </w:r>
      </w:hyperlink>
    </w:p>
    <w:p>
      <w:pPr>
        <w:tabs>
          <w:tab w:val="right" w:leader="dot" w:pos="9062"/>
        </w:tabs>
        <w:ind w:left="220"/>
      </w:pPr>
      <w:hyperlink w:anchor="_Toc3331" w:history="1">
        <w:r>
          <w:rPr>
            <w:rFonts w:ascii="IRNazanin" w:hAnsi="IRNazanin" w:eastAsia="IRNazanin" w:cs="IRNazanin"/>
            <w:color w:val="111111"/>
            <w:sz w:val="22"/>
            <w:szCs w:val="22"/>
            <w:b w:val="0"/>
            <w:bCs w:val="0"/>
            <w:i w:val="0"/>
            <w:iCs w:val="0"/>
          </w:rPr>
          <w:t>خوانساري ، علي اكبر بن غلام حسن</w:t>
        </w:r>
        <w:r>
          <w:tab/>
        </w:r>
        <w:r>
          <w:fldChar w:fldCharType="begin"/>
        </w:r>
        <w:r>
          <w:instrText xml:space="preserve">PAGEREF 3331 \h</w:instrText>
        </w:r>
        <w:r>
          <w:fldChar w:fldCharType="end"/>
        </w:r>
      </w:hyperlink>
    </w:p>
    <w:p>
      <w:pPr>
        <w:tabs>
          <w:tab w:val="right" w:leader="dot" w:pos="9062"/>
        </w:tabs>
        <w:ind w:left="220"/>
      </w:pPr>
      <w:hyperlink w:anchor="_Toc3332" w:history="1">
        <w:r>
          <w:rPr>
            <w:rFonts w:ascii="IRNazanin" w:hAnsi="IRNazanin" w:eastAsia="IRNazanin" w:cs="IRNazanin"/>
            <w:color w:val="111111"/>
            <w:sz w:val="22"/>
            <w:szCs w:val="22"/>
            <w:b w:val="0"/>
            <w:bCs w:val="0"/>
            <w:i w:val="0"/>
            <w:iCs w:val="0"/>
          </w:rPr>
          <w:t>خوانساري ، محمّد باقر بن زین العابدين</w:t>
        </w:r>
        <w:r>
          <w:tab/>
        </w:r>
        <w:r>
          <w:fldChar w:fldCharType="begin"/>
        </w:r>
        <w:r>
          <w:instrText xml:space="preserve">PAGEREF 3332 \h</w:instrText>
        </w:r>
        <w:r>
          <w:fldChar w:fldCharType="end"/>
        </w:r>
      </w:hyperlink>
    </w:p>
    <w:p>
      <w:pPr>
        <w:tabs>
          <w:tab w:val="right" w:leader="dot" w:pos="9062"/>
        </w:tabs>
        <w:ind w:left="220"/>
      </w:pPr>
      <w:hyperlink w:anchor="_Toc3333" w:history="1">
        <w:r>
          <w:rPr>
            <w:rFonts w:ascii="IRNazanin" w:hAnsi="IRNazanin" w:eastAsia="IRNazanin" w:cs="IRNazanin"/>
            <w:color w:val="111111"/>
            <w:sz w:val="22"/>
            <w:szCs w:val="22"/>
            <w:b w:val="0"/>
            <w:bCs w:val="0"/>
            <w:i w:val="0"/>
            <w:iCs w:val="0"/>
          </w:rPr>
          <w:t>خوانساري ، محمّد هاشم بن زين</w:t>
        </w:r>
        <w:r>
          <w:tab/>
        </w:r>
        <w:r>
          <w:fldChar w:fldCharType="begin"/>
        </w:r>
        <w:r>
          <w:instrText xml:space="preserve">PAGEREF 3333 \h</w:instrText>
        </w:r>
        <w:r>
          <w:fldChar w:fldCharType="end"/>
        </w:r>
      </w:hyperlink>
    </w:p>
    <w:p>
      <w:pPr>
        <w:tabs>
          <w:tab w:val="right" w:leader="dot" w:pos="9062"/>
        </w:tabs>
        <w:ind w:left="220"/>
      </w:pPr>
      <w:hyperlink w:anchor="_Toc3334" w:history="1">
        <w:r>
          <w:rPr>
            <w:rFonts w:ascii="IRNazanin" w:hAnsi="IRNazanin" w:eastAsia="IRNazanin" w:cs="IRNazanin"/>
            <w:color w:val="111111"/>
            <w:sz w:val="22"/>
            <w:szCs w:val="22"/>
            <w:b w:val="0"/>
            <w:bCs w:val="0"/>
            <w:i w:val="0"/>
            <w:iCs w:val="0"/>
          </w:rPr>
          <w:t>خوانساري ملايري ، احمد بن عبدالله قرن</w:t>
        </w:r>
        <w:r>
          <w:tab/>
        </w:r>
        <w:r>
          <w:fldChar w:fldCharType="begin"/>
        </w:r>
        <w:r>
          <w:instrText xml:space="preserve">PAGEREF 3334 \h</w:instrText>
        </w:r>
        <w:r>
          <w:fldChar w:fldCharType="end"/>
        </w:r>
      </w:hyperlink>
    </w:p>
    <w:p>
      <w:pPr>
        <w:tabs>
          <w:tab w:val="right" w:leader="dot" w:pos="9062"/>
        </w:tabs>
        <w:ind w:left="220"/>
      </w:pPr>
      <w:hyperlink w:anchor="_Toc3335" w:history="1">
        <w:r>
          <w:rPr>
            <w:rFonts w:ascii="IRNazanin" w:hAnsi="IRNazanin" w:eastAsia="IRNazanin" w:cs="IRNazanin"/>
            <w:color w:val="111111"/>
            <w:sz w:val="22"/>
            <w:szCs w:val="22"/>
            <w:b w:val="0"/>
            <w:bCs w:val="0"/>
            <w:i w:val="0"/>
            <w:iCs w:val="0"/>
          </w:rPr>
          <w:t>خوانساري ، ميرزا محمّد حسن</w:t>
        </w:r>
        <w:r>
          <w:tab/>
        </w:r>
        <w:r>
          <w:fldChar w:fldCharType="begin"/>
        </w:r>
        <w:r>
          <w:instrText xml:space="preserve">PAGEREF 3335 \h</w:instrText>
        </w:r>
        <w:r>
          <w:fldChar w:fldCharType="end"/>
        </w:r>
      </w:hyperlink>
    </w:p>
    <w:p>
      <w:pPr>
        <w:tabs>
          <w:tab w:val="right" w:leader="dot" w:pos="9062"/>
        </w:tabs>
        <w:ind w:left="220"/>
      </w:pPr>
      <w:hyperlink w:anchor="_Toc3336" w:history="1">
        <w:r>
          <w:rPr>
            <w:rFonts w:ascii="IRNazanin" w:hAnsi="IRNazanin" w:eastAsia="IRNazanin" w:cs="IRNazanin"/>
            <w:color w:val="111111"/>
            <w:sz w:val="22"/>
            <w:szCs w:val="22"/>
            <w:b w:val="0"/>
            <w:bCs w:val="0"/>
            <w:i w:val="0"/>
            <w:iCs w:val="0"/>
          </w:rPr>
          <w:t>خوانساري نجفي ، علي اکبر</w:t>
        </w:r>
        <w:r>
          <w:tab/>
        </w:r>
        <w:r>
          <w:fldChar w:fldCharType="begin"/>
        </w:r>
        <w:r>
          <w:instrText xml:space="preserve">PAGEREF 3336 \h</w:instrText>
        </w:r>
        <w:r>
          <w:fldChar w:fldCharType="end"/>
        </w:r>
      </w:hyperlink>
    </w:p>
    <w:p>
      <w:pPr>
        <w:tabs>
          <w:tab w:val="right" w:leader="dot" w:pos="9062"/>
        </w:tabs>
        <w:ind w:left="220"/>
      </w:pPr>
      <w:hyperlink w:anchor="_Toc3337" w:history="1">
        <w:r>
          <w:rPr>
            <w:rFonts w:ascii="IRNazanin" w:hAnsi="IRNazanin" w:eastAsia="IRNazanin" w:cs="IRNazanin"/>
            <w:color w:val="111111"/>
            <w:sz w:val="22"/>
            <w:szCs w:val="22"/>
            <w:b w:val="0"/>
            <w:bCs w:val="0"/>
            <w:i w:val="0"/>
            <w:iCs w:val="0"/>
          </w:rPr>
          <w:t>خوانساري نجفي ، موسى بن محمّد</w:t>
        </w:r>
        <w:r>
          <w:tab/>
        </w:r>
        <w:r>
          <w:fldChar w:fldCharType="begin"/>
        </w:r>
        <w:r>
          <w:instrText xml:space="preserve">PAGEREF 3337 \h</w:instrText>
        </w:r>
        <w:r>
          <w:fldChar w:fldCharType="end"/>
        </w:r>
      </w:hyperlink>
    </w:p>
    <w:p>
      <w:pPr>
        <w:tabs>
          <w:tab w:val="right" w:leader="dot" w:pos="9062"/>
        </w:tabs>
        <w:ind w:left="220"/>
      </w:pPr>
      <w:hyperlink w:anchor="_Toc3338" w:history="1">
        <w:r>
          <w:rPr>
            <w:rFonts w:ascii="IRNazanin" w:hAnsi="IRNazanin" w:eastAsia="IRNazanin" w:cs="IRNazanin"/>
            <w:color w:val="111111"/>
            <w:sz w:val="22"/>
            <w:szCs w:val="22"/>
            <w:b w:val="0"/>
            <w:bCs w:val="0"/>
            <w:i w:val="0"/>
            <w:iCs w:val="0"/>
          </w:rPr>
          <w:t>خوانساري همداني مولى علي، قرن 13 ه-</w:t>
        </w:r>
        <w:r>
          <w:tab/>
        </w:r>
        <w:r>
          <w:fldChar w:fldCharType="begin"/>
        </w:r>
        <w:r>
          <w:instrText xml:space="preserve">PAGEREF 3338 \h</w:instrText>
        </w:r>
        <w:r>
          <w:fldChar w:fldCharType="end"/>
        </w:r>
      </w:hyperlink>
    </w:p>
    <w:p>
      <w:pPr>
        <w:tabs>
          <w:tab w:val="right" w:leader="dot" w:pos="9062"/>
        </w:tabs>
        <w:ind w:left="220"/>
      </w:pPr>
      <w:hyperlink w:anchor="_Toc3339" w:history="1">
        <w:r>
          <w:rPr>
            <w:rFonts w:ascii="IRNazanin" w:hAnsi="IRNazanin" w:eastAsia="IRNazanin" w:cs="IRNazanin"/>
            <w:color w:val="111111"/>
            <w:sz w:val="22"/>
            <w:szCs w:val="22"/>
            <w:b w:val="0"/>
            <w:bCs w:val="0"/>
            <w:i w:val="0"/>
            <w:iCs w:val="0"/>
          </w:rPr>
          <w:t>خواهرزاده محمّد بن ابي بكر قرن 6 ه-</w:t>
        </w:r>
        <w:r>
          <w:tab/>
        </w:r>
        <w:r>
          <w:fldChar w:fldCharType="begin"/>
        </w:r>
        <w:r>
          <w:instrText xml:space="preserve">PAGEREF 3339 \h</w:instrText>
        </w:r>
        <w:r>
          <w:fldChar w:fldCharType="end"/>
        </w:r>
      </w:hyperlink>
    </w:p>
    <w:p>
      <w:pPr>
        <w:tabs>
          <w:tab w:val="right" w:leader="dot" w:pos="9062"/>
        </w:tabs>
        <w:ind w:left="220"/>
      </w:pPr>
      <w:hyperlink w:anchor="_Toc3340" w:history="1">
        <w:r>
          <w:rPr>
            <w:rFonts w:ascii="IRNazanin" w:hAnsi="IRNazanin" w:eastAsia="IRNazanin" w:cs="IRNazanin"/>
            <w:color w:val="111111"/>
            <w:sz w:val="22"/>
            <w:szCs w:val="22"/>
            <w:b w:val="0"/>
            <w:bCs w:val="0"/>
            <w:i w:val="0"/>
            <w:iCs w:val="0"/>
          </w:rPr>
          <w:t>خوجه پاشا ، یوسف بن خضر 844 -</w:t>
        </w:r>
        <w:r>
          <w:tab/>
        </w:r>
        <w:r>
          <w:fldChar w:fldCharType="begin"/>
        </w:r>
        <w:r>
          <w:instrText xml:space="preserve">PAGEREF 3340 \h</w:instrText>
        </w:r>
        <w:r>
          <w:fldChar w:fldCharType="end"/>
        </w:r>
      </w:hyperlink>
    </w:p>
    <w:p>
      <w:pPr>
        <w:tabs>
          <w:tab w:val="right" w:leader="dot" w:pos="9062"/>
        </w:tabs>
        <w:ind w:left="220"/>
      </w:pPr>
      <w:hyperlink w:anchor="_Toc3341" w:history="1">
        <w:r>
          <w:rPr>
            <w:rFonts w:ascii="IRNazanin" w:hAnsi="IRNazanin" w:eastAsia="IRNazanin" w:cs="IRNazanin"/>
            <w:color w:val="111111"/>
            <w:sz w:val="22"/>
            <w:szCs w:val="22"/>
            <w:b w:val="0"/>
            <w:bCs w:val="0"/>
            <w:i w:val="0"/>
            <w:iCs w:val="0"/>
          </w:rPr>
          <w:t>خوراسكاني اصفهاني ، عبدالله بن محمّد</w:t>
        </w:r>
        <w:r>
          <w:tab/>
        </w:r>
        <w:r>
          <w:fldChar w:fldCharType="begin"/>
        </w:r>
        <w:r>
          <w:instrText xml:space="preserve">PAGEREF 3341 \h</w:instrText>
        </w:r>
        <w:r>
          <w:fldChar w:fldCharType="end"/>
        </w:r>
      </w:hyperlink>
    </w:p>
    <w:p>
      <w:pPr>
        <w:tabs>
          <w:tab w:val="right" w:leader="dot" w:pos="9062"/>
        </w:tabs>
        <w:ind w:left="220"/>
      </w:pPr>
      <w:hyperlink w:anchor="_Toc3342" w:history="1">
        <w:r>
          <w:rPr>
            <w:rFonts w:ascii="IRNazanin" w:hAnsi="IRNazanin" w:eastAsia="IRNazanin" w:cs="IRNazanin"/>
            <w:color w:val="111111"/>
            <w:sz w:val="22"/>
            <w:szCs w:val="22"/>
            <w:b w:val="0"/>
            <w:bCs w:val="0"/>
            <w:i w:val="0"/>
            <w:iCs w:val="0"/>
          </w:rPr>
          <w:t>خوري، بهنام بدرية قرن 19 م</w:t>
        </w:r>
        <w:r>
          <w:tab/>
        </w:r>
        <w:r>
          <w:fldChar w:fldCharType="begin"/>
        </w:r>
        <w:r>
          <w:instrText xml:space="preserve">PAGEREF 3342 \h</w:instrText>
        </w:r>
        <w:r>
          <w:fldChar w:fldCharType="end"/>
        </w:r>
      </w:hyperlink>
    </w:p>
    <w:p>
      <w:pPr>
        <w:tabs>
          <w:tab w:val="right" w:leader="dot" w:pos="9062"/>
        </w:tabs>
        <w:ind w:left="220"/>
      </w:pPr>
      <w:hyperlink w:anchor="_Toc3343" w:history="1">
        <w:r>
          <w:rPr>
            <w:rFonts w:ascii="IRNazanin" w:hAnsi="IRNazanin" w:eastAsia="IRNazanin" w:cs="IRNazanin"/>
            <w:color w:val="111111"/>
            <w:sz w:val="22"/>
            <w:szCs w:val="22"/>
            <w:b w:val="0"/>
            <w:bCs w:val="0"/>
            <w:i w:val="0"/>
            <w:iCs w:val="0"/>
          </w:rPr>
          <w:t>خوري ، يوسف بن محمّد یوسف</w:t>
        </w:r>
        <w:r>
          <w:tab/>
        </w:r>
        <w:r>
          <w:fldChar w:fldCharType="begin"/>
        </w:r>
        <w:r>
          <w:instrText xml:space="preserve">PAGEREF 3343 \h</w:instrText>
        </w:r>
        <w:r>
          <w:fldChar w:fldCharType="end"/>
        </w:r>
      </w:hyperlink>
    </w:p>
    <w:p>
      <w:pPr>
        <w:tabs>
          <w:tab w:val="right" w:leader="dot" w:pos="9062"/>
        </w:tabs>
        <w:ind w:left="220"/>
      </w:pPr>
      <w:hyperlink w:anchor="_Toc3344" w:history="1">
        <w:r>
          <w:rPr>
            <w:rFonts w:ascii="IRNazanin" w:hAnsi="IRNazanin" w:eastAsia="IRNazanin" w:cs="IRNazanin"/>
            <w:color w:val="111111"/>
            <w:sz w:val="22"/>
            <w:szCs w:val="22"/>
            <w:b w:val="0"/>
            <w:bCs w:val="0"/>
            <w:i w:val="0"/>
            <w:iCs w:val="0"/>
          </w:rPr>
          <w:t>خوري ، يوسف داد</w:t>
        </w:r>
        <w:r>
          <w:tab/>
        </w:r>
        <w:r>
          <w:fldChar w:fldCharType="begin"/>
        </w:r>
        <w:r>
          <w:instrText xml:space="preserve">PAGEREF 3344 \h</w:instrText>
        </w:r>
        <w:r>
          <w:fldChar w:fldCharType="end"/>
        </w:r>
      </w:hyperlink>
    </w:p>
    <w:p>
      <w:pPr>
        <w:tabs>
          <w:tab w:val="right" w:leader="dot" w:pos="9062"/>
        </w:tabs>
        <w:ind w:left="220"/>
      </w:pPr>
      <w:hyperlink w:anchor="_Toc3345" w:history="1">
        <w:r>
          <w:rPr>
            <w:rFonts w:ascii="IRNazanin" w:hAnsi="IRNazanin" w:eastAsia="IRNazanin" w:cs="IRNazanin"/>
            <w:color w:val="111111"/>
            <w:sz w:val="22"/>
            <w:szCs w:val="22"/>
            <w:b w:val="0"/>
            <w:bCs w:val="0"/>
            <w:i w:val="0"/>
            <w:iCs w:val="0"/>
          </w:rPr>
          <w:t>خوستي، محمّد موسى</w:t>
        </w:r>
        <w:r>
          <w:tab/>
        </w:r>
        <w:r>
          <w:fldChar w:fldCharType="begin"/>
        </w:r>
        <w:r>
          <w:instrText xml:space="preserve">PAGEREF 3345 \h</w:instrText>
        </w:r>
        <w:r>
          <w:fldChar w:fldCharType="end"/>
        </w:r>
      </w:hyperlink>
    </w:p>
    <w:p>
      <w:pPr>
        <w:tabs>
          <w:tab w:val="right" w:leader="dot" w:pos="9062"/>
        </w:tabs>
        <w:ind w:left="220"/>
      </w:pPr>
      <w:hyperlink w:anchor="_Toc3346" w:history="1">
        <w:r>
          <w:rPr>
            <w:rFonts w:ascii="IRNazanin" w:hAnsi="IRNazanin" w:eastAsia="IRNazanin" w:cs="IRNazanin"/>
            <w:color w:val="111111"/>
            <w:sz w:val="22"/>
            <w:szCs w:val="22"/>
            <w:b w:val="0"/>
            <w:bCs w:val="0"/>
            <w:i w:val="0"/>
            <w:iCs w:val="0"/>
          </w:rPr>
          <w:t>خوشناوي عيسى بن احمد قرن 12 ه-</w:t>
        </w:r>
        <w:r>
          <w:tab/>
        </w:r>
        <w:r>
          <w:fldChar w:fldCharType="begin"/>
        </w:r>
        <w:r>
          <w:instrText xml:space="preserve">PAGEREF 3346 \h</w:instrText>
        </w:r>
        <w:r>
          <w:fldChar w:fldCharType="end"/>
        </w:r>
      </w:hyperlink>
    </w:p>
    <w:p>
      <w:pPr>
        <w:tabs>
          <w:tab w:val="right" w:leader="dot" w:pos="9062"/>
        </w:tabs>
        <w:ind w:left="220"/>
      </w:pPr>
      <w:hyperlink w:anchor="_Toc3347" w:history="1">
        <w:r>
          <w:rPr>
            <w:rFonts w:ascii="IRNazanin" w:hAnsi="IRNazanin" w:eastAsia="IRNazanin" w:cs="IRNazanin"/>
            <w:color w:val="111111"/>
            <w:sz w:val="22"/>
            <w:szCs w:val="22"/>
            <w:b w:val="0"/>
            <w:bCs w:val="0"/>
            <w:i w:val="0"/>
            <w:iCs w:val="0"/>
          </w:rPr>
          <w:t>خوشنویس خوانساري ، محمّد حسن بن ، محمّد</w:t>
        </w:r>
        <w:r>
          <w:tab/>
        </w:r>
        <w:r>
          <w:fldChar w:fldCharType="begin"/>
        </w:r>
        <w:r>
          <w:instrText xml:space="preserve">PAGEREF 3347 \h</w:instrText>
        </w:r>
        <w:r>
          <w:fldChar w:fldCharType="end"/>
        </w:r>
      </w:hyperlink>
    </w:p>
    <w:p>
      <w:pPr>
        <w:tabs>
          <w:tab w:val="right" w:leader="dot" w:pos="9062"/>
        </w:tabs>
        <w:ind w:left="220"/>
      </w:pPr>
      <w:hyperlink w:anchor="_Toc3348" w:history="1">
        <w:r>
          <w:rPr>
            <w:rFonts w:ascii="IRNazanin" w:hAnsi="IRNazanin" w:eastAsia="IRNazanin" w:cs="IRNazanin"/>
            <w:color w:val="111111"/>
            <w:sz w:val="22"/>
            <w:szCs w:val="22"/>
            <w:b w:val="0"/>
            <w:bCs w:val="0"/>
            <w:i w:val="0"/>
            <w:iCs w:val="0"/>
          </w:rPr>
          <w:t>خویش، محمّد خلیل قرن 10 ه-</w:t>
        </w:r>
        <w:r>
          <w:tab/>
        </w:r>
        <w:r>
          <w:fldChar w:fldCharType="begin"/>
        </w:r>
        <w:r>
          <w:instrText xml:space="preserve">PAGEREF 3348 \h</w:instrText>
        </w:r>
        <w:r>
          <w:fldChar w:fldCharType="end"/>
        </w:r>
      </w:hyperlink>
    </w:p>
    <w:p>
      <w:pPr>
        <w:tabs>
          <w:tab w:val="right" w:leader="dot" w:pos="9062"/>
        </w:tabs>
        <w:ind w:left="220"/>
      </w:pPr>
      <w:hyperlink w:anchor="_Toc3349" w:history="1">
        <w:r>
          <w:rPr>
            <w:rFonts w:ascii="IRNazanin" w:hAnsi="IRNazanin" w:eastAsia="IRNazanin" w:cs="IRNazanin"/>
            <w:color w:val="111111"/>
            <w:sz w:val="22"/>
            <w:szCs w:val="22"/>
            <w:b w:val="0"/>
            <w:bCs w:val="0"/>
            <w:i w:val="0"/>
            <w:iCs w:val="0"/>
          </w:rPr>
          <w:t>خياري، ابراهيم بن عبدالرحمن، 1037 -</w:t>
        </w:r>
        <w:r>
          <w:tab/>
        </w:r>
        <w:r>
          <w:fldChar w:fldCharType="begin"/>
        </w:r>
        <w:r>
          <w:instrText xml:space="preserve">PAGEREF 3349 \h</w:instrText>
        </w:r>
        <w:r>
          <w:fldChar w:fldCharType="end"/>
        </w:r>
      </w:hyperlink>
    </w:p>
    <w:p>
      <w:pPr>
        <w:tabs>
          <w:tab w:val="right" w:leader="dot" w:pos="9062"/>
        </w:tabs>
        <w:ind w:left="220"/>
      </w:pPr>
      <w:hyperlink w:anchor="_Toc3350" w:history="1">
        <w:r>
          <w:rPr>
            <w:rFonts w:ascii="IRNazanin" w:hAnsi="IRNazanin" w:eastAsia="IRNazanin" w:cs="IRNazanin"/>
            <w:color w:val="111111"/>
            <w:sz w:val="22"/>
            <w:szCs w:val="22"/>
            <w:b w:val="0"/>
            <w:bCs w:val="0"/>
            <w:i w:val="0"/>
            <w:iCs w:val="0"/>
          </w:rPr>
          <w:t>خیاط ، احمد، قرن 13 ه-</w:t>
        </w:r>
        <w:r>
          <w:tab/>
        </w:r>
        <w:r>
          <w:fldChar w:fldCharType="begin"/>
        </w:r>
        <w:r>
          <w:instrText xml:space="preserve">PAGEREF 3350 \h</w:instrText>
        </w:r>
        <w:r>
          <w:fldChar w:fldCharType="end"/>
        </w:r>
      </w:hyperlink>
    </w:p>
    <w:p>
      <w:pPr>
        <w:tabs>
          <w:tab w:val="right" w:leader="dot" w:pos="9062"/>
        </w:tabs>
        <w:ind w:left="220"/>
      </w:pPr>
      <w:hyperlink w:anchor="_Toc3351" w:history="1">
        <w:r>
          <w:rPr>
            <w:rFonts w:ascii="IRNazanin" w:hAnsi="IRNazanin" w:eastAsia="IRNazanin" w:cs="IRNazanin"/>
            <w:color w:val="111111"/>
            <w:sz w:val="22"/>
            <w:szCs w:val="22"/>
            <w:b w:val="0"/>
            <w:bCs w:val="0"/>
            <w:i w:val="0"/>
            <w:iCs w:val="0"/>
          </w:rPr>
          <w:t>خیاط زاده، محمّد بن احمد - 1285 ه-</w:t>
        </w:r>
        <w:r>
          <w:tab/>
        </w:r>
        <w:r>
          <w:fldChar w:fldCharType="begin"/>
        </w:r>
        <w:r>
          <w:instrText xml:space="preserve">PAGEREF 3351 \h</w:instrText>
        </w:r>
        <w:r>
          <w:fldChar w:fldCharType="end"/>
        </w:r>
      </w:hyperlink>
    </w:p>
    <w:p>
      <w:pPr>
        <w:tabs>
          <w:tab w:val="right" w:leader="dot" w:pos="9062"/>
        </w:tabs>
        <w:ind w:left="220"/>
      </w:pPr>
      <w:hyperlink w:anchor="_Toc3352" w:history="1">
        <w:r>
          <w:rPr>
            <w:rFonts w:ascii="IRNazanin" w:hAnsi="IRNazanin" w:eastAsia="IRNazanin" w:cs="IRNazanin"/>
            <w:color w:val="111111"/>
            <w:sz w:val="22"/>
            <w:szCs w:val="22"/>
            <w:b w:val="0"/>
            <w:bCs w:val="0"/>
            <w:i w:val="0"/>
            <w:iCs w:val="0"/>
          </w:rPr>
          <w:t>خياط ، قس جرجس</w:t>
        </w:r>
        <w:r>
          <w:tab/>
        </w:r>
        <w:r>
          <w:fldChar w:fldCharType="begin"/>
        </w:r>
        <w:r>
          <w:instrText xml:space="preserve">PAGEREF 3352 \h</w:instrText>
        </w:r>
        <w:r>
          <w:fldChar w:fldCharType="end"/>
        </w:r>
      </w:hyperlink>
    </w:p>
    <w:p>
      <w:pPr>
        <w:tabs>
          <w:tab w:val="right" w:leader="dot" w:pos="9062"/>
        </w:tabs>
        <w:ind w:left="220"/>
      </w:pPr>
      <w:hyperlink w:anchor="_Toc3353" w:history="1">
        <w:r>
          <w:rPr>
            <w:rFonts w:ascii="IRNazanin" w:hAnsi="IRNazanin" w:eastAsia="IRNazanin" w:cs="IRNazanin"/>
            <w:color w:val="111111"/>
            <w:sz w:val="22"/>
            <w:szCs w:val="22"/>
            <w:b w:val="0"/>
            <w:bCs w:val="0"/>
            <w:i w:val="0"/>
            <w:iCs w:val="0"/>
          </w:rPr>
          <w:t>خياط ، محمّد بن يوسف، قرن 14 ه-</w:t>
        </w:r>
        <w:r>
          <w:tab/>
        </w:r>
        <w:r>
          <w:fldChar w:fldCharType="begin"/>
        </w:r>
        <w:r>
          <w:instrText xml:space="preserve">PAGEREF 3353 \h</w:instrText>
        </w:r>
        <w:r>
          <w:fldChar w:fldCharType="end"/>
        </w:r>
      </w:hyperlink>
    </w:p>
    <w:p>
      <w:pPr>
        <w:tabs>
          <w:tab w:val="right" w:leader="dot" w:pos="9062"/>
        </w:tabs>
        <w:ind w:left="220"/>
      </w:pPr>
      <w:hyperlink w:anchor="_Toc3354" w:history="1">
        <w:r>
          <w:rPr>
            <w:rFonts w:ascii="IRNazanin" w:hAnsi="IRNazanin" w:eastAsia="IRNazanin" w:cs="IRNazanin"/>
            <w:color w:val="111111"/>
            <w:sz w:val="22"/>
            <w:szCs w:val="22"/>
            <w:b w:val="0"/>
            <w:bCs w:val="0"/>
            <w:i w:val="0"/>
            <w:iCs w:val="0"/>
          </w:rPr>
          <w:t>خياط ، يوسف بن عيسى - 1321 ه-</w:t>
        </w:r>
        <w:r>
          <w:tab/>
        </w:r>
        <w:r>
          <w:fldChar w:fldCharType="begin"/>
        </w:r>
        <w:r>
          <w:instrText xml:space="preserve">PAGEREF 3354 \h</w:instrText>
        </w:r>
        <w:r>
          <w:fldChar w:fldCharType="end"/>
        </w:r>
      </w:hyperlink>
    </w:p>
    <w:p>
      <w:pPr>
        <w:tabs>
          <w:tab w:val="right" w:leader="dot" w:pos="9062"/>
        </w:tabs>
        <w:ind w:left="220"/>
      </w:pPr>
      <w:hyperlink w:anchor="_Toc3355" w:history="1">
        <w:r>
          <w:rPr>
            <w:rFonts w:ascii="IRNazanin" w:hAnsi="IRNazanin" w:eastAsia="IRNazanin" w:cs="IRNazanin"/>
            <w:color w:val="111111"/>
            <w:sz w:val="22"/>
            <w:szCs w:val="22"/>
            <w:b w:val="0"/>
            <w:bCs w:val="0"/>
            <w:i w:val="0"/>
            <w:iCs w:val="0"/>
          </w:rPr>
          <w:t>خيالي ، احمد بن موسی 829 - 862؟ ه-</w:t>
        </w:r>
        <w:r>
          <w:tab/>
        </w:r>
        <w:r>
          <w:fldChar w:fldCharType="begin"/>
        </w:r>
        <w:r>
          <w:instrText xml:space="preserve">PAGEREF 3355 \h</w:instrText>
        </w:r>
        <w:r>
          <w:fldChar w:fldCharType="end"/>
        </w:r>
      </w:hyperlink>
    </w:p>
    <w:p>
      <w:pPr>
        <w:tabs>
          <w:tab w:val="right" w:leader="dot" w:pos="9062"/>
        </w:tabs>
        <w:ind w:left="220"/>
      </w:pPr>
      <w:hyperlink w:anchor="_Toc3356" w:history="1">
        <w:r>
          <w:rPr>
            <w:rFonts w:ascii="IRNazanin" w:hAnsi="IRNazanin" w:eastAsia="IRNazanin" w:cs="IRNazanin"/>
            <w:color w:val="111111"/>
            <w:sz w:val="22"/>
            <w:szCs w:val="22"/>
            <w:b w:val="0"/>
            <w:bCs w:val="0"/>
            <w:i w:val="0"/>
            <w:iCs w:val="0"/>
          </w:rPr>
          <w:t>خیام ، عمر بن ابراهيم - 517 ه-</w:t>
        </w:r>
        <w:r>
          <w:tab/>
        </w:r>
        <w:r>
          <w:fldChar w:fldCharType="begin"/>
        </w:r>
        <w:r>
          <w:instrText xml:space="preserve">PAGEREF 3356 \h</w:instrText>
        </w:r>
        <w:r>
          <w:fldChar w:fldCharType="end"/>
        </w:r>
      </w:hyperlink>
    </w:p>
    <w:p>
      <w:pPr>
        <w:tabs>
          <w:tab w:val="right" w:leader="dot" w:pos="9062"/>
        </w:tabs>
        <w:ind w:left="220"/>
      </w:pPr>
      <w:hyperlink w:anchor="_Toc3357" w:history="1">
        <w:r>
          <w:rPr>
            <w:rFonts w:ascii="IRNazanin" w:hAnsi="IRNazanin" w:eastAsia="IRNazanin" w:cs="IRNazanin"/>
            <w:color w:val="111111"/>
            <w:sz w:val="22"/>
            <w:szCs w:val="22"/>
            <w:b w:val="0"/>
            <w:bCs w:val="0"/>
            <w:i w:val="0"/>
            <w:iCs w:val="0"/>
          </w:rPr>
          <w:t>خيرآبادي، محمّد صالح بن محمّد شریف</w:t>
        </w:r>
        <w:r>
          <w:tab/>
        </w:r>
        <w:r>
          <w:fldChar w:fldCharType="begin"/>
        </w:r>
        <w:r>
          <w:instrText xml:space="preserve">PAGEREF 3357 \h</w:instrText>
        </w:r>
        <w:r>
          <w:fldChar w:fldCharType="end"/>
        </w:r>
      </w:hyperlink>
    </w:p>
    <w:p>
      <w:pPr>
        <w:tabs>
          <w:tab w:val="right" w:leader="dot" w:pos="9062"/>
        </w:tabs>
        <w:ind w:left="220"/>
      </w:pPr>
      <w:hyperlink w:anchor="_Toc3358" w:history="1">
        <w:r>
          <w:rPr>
            <w:rFonts w:ascii="IRNazanin" w:hAnsi="IRNazanin" w:eastAsia="IRNazanin" w:cs="IRNazanin"/>
            <w:color w:val="111111"/>
            <w:sz w:val="22"/>
            <w:szCs w:val="22"/>
            <w:b w:val="0"/>
            <w:bCs w:val="0"/>
            <w:i w:val="0"/>
            <w:iCs w:val="0"/>
          </w:rPr>
          <w:t>خيرالدين، محمّد علي بن حسين، 1312 -</w:t>
        </w:r>
        <w:r>
          <w:tab/>
        </w:r>
        <w:r>
          <w:fldChar w:fldCharType="begin"/>
        </w:r>
        <w:r>
          <w:instrText xml:space="preserve">PAGEREF 3358 \h</w:instrText>
        </w:r>
        <w:r>
          <w:fldChar w:fldCharType="end"/>
        </w:r>
      </w:hyperlink>
    </w:p>
    <w:p>
      <w:pPr>
        <w:tabs>
          <w:tab w:val="right" w:leader="dot" w:pos="9062"/>
        </w:tabs>
        <w:ind w:left="220"/>
      </w:pPr>
      <w:hyperlink w:anchor="_Toc3359" w:history="1">
        <w:r>
          <w:rPr>
            <w:rFonts w:ascii="IRNazanin" w:hAnsi="IRNazanin" w:eastAsia="IRNazanin" w:cs="IRNazanin"/>
            <w:color w:val="111111"/>
            <w:sz w:val="22"/>
            <w:szCs w:val="22"/>
            <w:b w:val="0"/>
            <w:bCs w:val="0"/>
            <w:i w:val="0"/>
            <w:iCs w:val="0"/>
          </w:rPr>
          <w:t>خير بزتي ، احمد بن اسماعيل</w:t>
        </w:r>
        <w:r>
          <w:tab/>
        </w:r>
        <w:r>
          <w:fldChar w:fldCharType="begin"/>
        </w:r>
        <w:r>
          <w:instrText xml:space="preserve">PAGEREF 3359 \h</w:instrText>
        </w:r>
        <w:r>
          <w:fldChar w:fldCharType="end"/>
        </w:r>
      </w:hyperlink>
    </w:p>
    <w:p>
      <w:pPr>
        <w:tabs>
          <w:tab w:val="right" w:leader="dot" w:pos="9062"/>
        </w:tabs>
        <w:ind w:left="220"/>
      </w:pPr>
      <w:hyperlink w:anchor="_Toc3360" w:history="1">
        <w:r>
          <w:rPr>
            <w:rFonts w:ascii="IRNazanin" w:hAnsi="IRNazanin" w:eastAsia="IRNazanin" w:cs="IRNazanin"/>
            <w:color w:val="111111"/>
            <w:sz w:val="22"/>
            <w:szCs w:val="22"/>
            <w:b w:val="0"/>
            <w:bCs w:val="0"/>
            <w:i w:val="0"/>
            <w:iCs w:val="0"/>
          </w:rPr>
          <w:t>خيري ، مظفر بن محمود</w:t>
        </w:r>
        <w:r>
          <w:tab/>
        </w:r>
        <w:r>
          <w:fldChar w:fldCharType="begin"/>
        </w:r>
        <w:r>
          <w:instrText xml:space="preserve">PAGEREF 3360 \h</w:instrText>
        </w:r>
        <w:r>
          <w:fldChar w:fldCharType="end"/>
        </w:r>
      </w:hyperlink>
    </w:p>
    <w:p>
      <w:pPr>
        <w:tabs>
          <w:tab w:val="right" w:leader="dot" w:pos="9062"/>
        </w:tabs>
        <w:ind w:left="220"/>
      </w:pPr>
      <w:hyperlink w:anchor="_Toc3361" w:history="1">
        <w:r>
          <w:rPr>
            <w:rFonts w:ascii="IRNazanin" w:hAnsi="IRNazanin" w:eastAsia="IRNazanin" w:cs="IRNazanin"/>
            <w:color w:val="111111"/>
            <w:sz w:val="22"/>
            <w:szCs w:val="22"/>
            <w:b w:val="0"/>
            <w:bCs w:val="0"/>
            <w:i w:val="0"/>
            <w:iCs w:val="0"/>
          </w:rPr>
          <w:t>خيضري، محمّد بن محمّد 821-894 ه-</w:t>
        </w:r>
        <w:r>
          <w:tab/>
        </w:r>
        <w:r>
          <w:fldChar w:fldCharType="begin"/>
        </w:r>
        <w:r>
          <w:instrText xml:space="preserve">PAGEREF 3361 \h</w:instrText>
        </w:r>
        <w:r>
          <w:fldChar w:fldCharType="end"/>
        </w:r>
      </w:hyperlink>
    </w:p>
    <w:p>
      <w:pPr>
        <w:tabs>
          <w:tab w:val="right" w:leader="dot" w:pos="9062"/>
        </w:tabs>
        <w:ind w:left="220"/>
      </w:pPr>
      <w:hyperlink w:anchor="_Toc3362" w:history="1">
        <w:r>
          <w:rPr>
            <w:rFonts w:ascii="IRNazanin" w:hAnsi="IRNazanin" w:eastAsia="IRNazanin" w:cs="IRNazanin"/>
            <w:color w:val="111111"/>
            <w:sz w:val="22"/>
            <w:szCs w:val="22"/>
            <w:b w:val="0"/>
            <w:bCs w:val="0"/>
            <w:i w:val="0"/>
            <w:iCs w:val="0"/>
          </w:rPr>
          <w:t>خيفي ، ابوسعيد</w:t>
        </w:r>
        <w:r>
          <w:tab/>
        </w:r>
        <w:r>
          <w:fldChar w:fldCharType="begin"/>
        </w:r>
        <w:r>
          <w:instrText xml:space="preserve">PAGEREF 3362 \h</w:instrText>
        </w:r>
        <w:r>
          <w:fldChar w:fldCharType="end"/>
        </w:r>
      </w:hyperlink>
    </w:p>
    <w:p>
      <w:pPr>
        <w:tabs>
          <w:tab w:val="right" w:leader="dot" w:pos="9062"/>
        </w:tabs>
        <w:ind w:left="220"/>
      </w:pPr>
      <w:hyperlink w:anchor="_Toc3363" w:history="1">
        <w:r>
          <w:rPr>
            <w:rFonts w:ascii="IRNazanin" w:hAnsi="IRNazanin" w:eastAsia="IRNazanin" w:cs="IRNazanin"/>
            <w:color w:val="111111"/>
            <w:sz w:val="22"/>
            <w:szCs w:val="22"/>
            <w:b w:val="0"/>
            <w:bCs w:val="0"/>
            <w:i w:val="0"/>
            <w:iCs w:val="0"/>
          </w:rPr>
          <w:t>خيقاني ، محمّد علي بن بشاره</w:t>
        </w:r>
        <w:r>
          <w:tab/>
        </w:r>
        <w:r>
          <w:fldChar w:fldCharType="begin"/>
        </w:r>
        <w:r>
          <w:instrText xml:space="preserve">PAGEREF 3363 \h</w:instrText>
        </w:r>
        <w:r>
          <w:fldChar w:fldCharType="end"/>
        </w:r>
      </w:hyperlink>
    </w:p>
    <w:p>
      <w:pPr>
        <w:tabs>
          <w:tab w:val="right" w:leader="dot" w:pos="9062"/>
        </w:tabs>
        <w:ind w:left="220"/>
      </w:pPr>
      <w:hyperlink w:anchor="_Toc3364" w:history="1">
        <w:r>
          <w:rPr>
            <w:rFonts w:ascii="IRNazanin" w:hAnsi="IRNazanin" w:eastAsia="IRNazanin" w:cs="IRNazanin"/>
            <w:color w:val="111111"/>
            <w:sz w:val="22"/>
            <w:szCs w:val="22"/>
            <w:b w:val="0"/>
            <w:bCs w:val="0"/>
            <w:i w:val="0"/>
            <w:iCs w:val="0"/>
          </w:rPr>
          <w:t>دادسي، علي بن محمّد - 1094 ه-</w:t>
        </w:r>
        <w:r>
          <w:tab/>
        </w:r>
        <w:r>
          <w:fldChar w:fldCharType="begin"/>
        </w:r>
        <w:r>
          <w:instrText xml:space="preserve">PAGEREF 3364 \h</w:instrText>
        </w:r>
        <w:r>
          <w:fldChar w:fldCharType="end"/>
        </w:r>
      </w:hyperlink>
    </w:p>
    <w:p>
      <w:pPr>
        <w:tabs>
          <w:tab w:val="right" w:leader="dot" w:pos="9062"/>
        </w:tabs>
        <w:ind w:left="220"/>
      </w:pPr>
      <w:hyperlink w:anchor="_Toc3365" w:history="1">
        <w:r>
          <w:rPr>
            <w:rFonts w:ascii="IRNazanin" w:hAnsi="IRNazanin" w:eastAsia="IRNazanin" w:cs="IRNazanin"/>
            <w:color w:val="111111"/>
            <w:sz w:val="22"/>
            <w:szCs w:val="22"/>
            <w:b w:val="0"/>
            <w:bCs w:val="0"/>
            <w:i w:val="0"/>
            <w:iCs w:val="0"/>
          </w:rPr>
          <w:t>دادیشوع نجار ، یوسف، قرن 20 م</w:t>
        </w:r>
        <w:r>
          <w:tab/>
        </w:r>
        <w:r>
          <w:fldChar w:fldCharType="begin"/>
        </w:r>
        <w:r>
          <w:instrText xml:space="preserve">PAGEREF 3365 \h</w:instrText>
        </w:r>
        <w:r>
          <w:fldChar w:fldCharType="end"/>
        </w:r>
      </w:hyperlink>
    </w:p>
    <w:p>
      <w:pPr>
        <w:tabs>
          <w:tab w:val="right" w:leader="dot" w:pos="9062"/>
        </w:tabs>
        <w:ind w:left="220"/>
      </w:pPr>
      <w:hyperlink w:anchor="_Toc3366" w:history="1">
        <w:r>
          <w:rPr>
            <w:rFonts w:ascii="IRNazanin" w:hAnsi="IRNazanin" w:eastAsia="IRNazanin" w:cs="IRNazanin"/>
            <w:color w:val="111111"/>
            <w:sz w:val="22"/>
            <w:szCs w:val="22"/>
            <w:b w:val="0"/>
            <w:bCs w:val="0"/>
            <w:i w:val="0"/>
            <w:iCs w:val="0"/>
          </w:rPr>
          <w:t>دارابي ، شاه محمّد بن محمّد 1027؟ -</w:t>
        </w:r>
        <w:r>
          <w:tab/>
        </w:r>
        <w:r>
          <w:fldChar w:fldCharType="begin"/>
        </w:r>
        <w:r>
          <w:instrText xml:space="preserve">PAGEREF 3366 \h</w:instrText>
        </w:r>
        <w:r>
          <w:fldChar w:fldCharType="end"/>
        </w:r>
      </w:hyperlink>
    </w:p>
    <w:p>
      <w:pPr>
        <w:tabs>
          <w:tab w:val="right" w:leader="dot" w:pos="9062"/>
        </w:tabs>
        <w:ind w:left="220"/>
      </w:pPr>
      <w:hyperlink w:anchor="_Toc3367" w:history="1">
        <w:r>
          <w:rPr>
            <w:rFonts w:ascii="IRNazanin" w:hAnsi="IRNazanin" w:eastAsia="IRNazanin" w:cs="IRNazanin"/>
            <w:color w:val="111111"/>
            <w:sz w:val="22"/>
            <w:szCs w:val="22"/>
            <w:b w:val="0"/>
            <w:bCs w:val="0"/>
            <w:i w:val="0"/>
            <w:iCs w:val="0"/>
          </w:rPr>
          <w:t>دارابي، صبغة الله بن جعفر، قرن 13 ه-</w:t>
        </w:r>
        <w:r>
          <w:tab/>
        </w:r>
        <w:r>
          <w:fldChar w:fldCharType="begin"/>
        </w:r>
        <w:r>
          <w:instrText xml:space="preserve">PAGEREF 3367 \h</w:instrText>
        </w:r>
        <w:r>
          <w:fldChar w:fldCharType="end"/>
        </w:r>
      </w:hyperlink>
    </w:p>
    <w:p>
      <w:pPr>
        <w:tabs>
          <w:tab w:val="right" w:leader="dot" w:pos="9062"/>
        </w:tabs>
        <w:ind w:left="220"/>
      </w:pPr>
      <w:hyperlink w:anchor="_Toc3368" w:history="1">
        <w:r>
          <w:rPr>
            <w:rFonts w:ascii="IRNazanin" w:hAnsi="IRNazanin" w:eastAsia="IRNazanin" w:cs="IRNazanin"/>
            <w:color w:val="111111"/>
            <w:sz w:val="22"/>
            <w:szCs w:val="22"/>
            <w:b w:val="0"/>
            <w:bCs w:val="0"/>
            <w:i w:val="0"/>
            <w:iCs w:val="0"/>
          </w:rPr>
          <w:t>دارارب ، شريف بن علي، قرن 10 ه-</w:t>
        </w:r>
        <w:r>
          <w:tab/>
        </w:r>
        <w:r>
          <w:fldChar w:fldCharType="begin"/>
        </w:r>
        <w:r>
          <w:instrText xml:space="preserve">PAGEREF 3368 \h</w:instrText>
        </w:r>
        <w:r>
          <w:fldChar w:fldCharType="end"/>
        </w:r>
      </w:hyperlink>
    </w:p>
    <w:p>
      <w:pPr>
        <w:tabs>
          <w:tab w:val="right" w:leader="dot" w:pos="9062"/>
        </w:tabs>
        <w:ind w:left="220"/>
      </w:pPr>
      <w:hyperlink w:anchor="_Toc3369" w:history="1">
        <w:r>
          <w:rPr>
            <w:rFonts w:ascii="IRNazanin" w:hAnsi="IRNazanin" w:eastAsia="IRNazanin" w:cs="IRNazanin"/>
            <w:color w:val="111111"/>
            <w:sz w:val="22"/>
            <w:szCs w:val="22"/>
            <w:b w:val="0"/>
            <w:bCs w:val="0"/>
            <w:i w:val="0"/>
            <w:iCs w:val="0"/>
          </w:rPr>
          <w:t>داراشکوه ،بابري، 1024 - 1069 ه-</w:t>
        </w:r>
        <w:r>
          <w:tab/>
        </w:r>
        <w:r>
          <w:fldChar w:fldCharType="begin"/>
        </w:r>
        <w:r>
          <w:instrText xml:space="preserve">PAGEREF 3369 \h</w:instrText>
        </w:r>
        <w:r>
          <w:fldChar w:fldCharType="end"/>
        </w:r>
      </w:hyperlink>
    </w:p>
    <w:p>
      <w:pPr>
        <w:tabs>
          <w:tab w:val="right" w:leader="dot" w:pos="9062"/>
        </w:tabs>
        <w:ind w:left="220"/>
      </w:pPr>
      <w:hyperlink w:anchor="_Toc3370" w:history="1">
        <w:r>
          <w:rPr>
            <w:rFonts w:ascii="IRNazanin" w:hAnsi="IRNazanin" w:eastAsia="IRNazanin" w:cs="IRNazanin"/>
            <w:color w:val="111111"/>
            <w:sz w:val="22"/>
            <w:szCs w:val="22"/>
            <w:b w:val="0"/>
            <w:bCs w:val="0"/>
            <w:i w:val="0"/>
            <w:iCs w:val="0"/>
          </w:rPr>
          <w:t>داراني ، نجم الدين</w:t>
        </w:r>
        <w:r>
          <w:tab/>
        </w:r>
        <w:r>
          <w:fldChar w:fldCharType="begin"/>
        </w:r>
        <w:r>
          <w:instrText xml:space="preserve">PAGEREF 3370 \h</w:instrText>
        </w:r>
        <w:r>
          <w:fldChar w:fldCharType="end"/>
        </w:r>
      </w:hyperlink>
    </w:p>
    <w:p>
      <w:pPr>
        <w:tabs>
          <w:tab w:val="right" w:leader="dot" w:pos="9062"/>
        </w:tabs>
        <w:ind w:left="220"/>
      </w:pPr>
      <w:hyperlink w:anchor="_Toc3371" w:history="1">
        <w:r>
          <w:rPr>
            <w:rFonts w:ascii="IRNazanin" w:hAnsi="IRNazanin" w:eastAsia="IRNazanin" w:cs="IRNazanin"/>
            <w:color w:val="111111"/>
            <w:sz w:val="22"/>
            <w:szCs w:val="22"/>
            <w:b w:val="0"/>
            <w:bCs w:val="0"/>
            <w:i w:val="0"/>
            <w:iCs w:val="0"/>
          </w:rPr>
          <w:t>دارند ، محمّد</w:t>
        </w:r>
        <w:r>
          <w:tab/>
        </w:r>
        <w:r>
          <w:fldChar w:fldCharType="begin"/>
        </w:r>
        <w:r>
          <w:instrText xml:space="preserve">PAGEREF 3371 \h</w:instrText>
        </w:r>
        <w:r>
          <w:fldChar w:fldCharType="end"/>
        </w:r>
      </w:hyperlink>
    </w:p>
    <w:p>
      <w:pPr>
        <w:tabs>
          <w:tab w:val="right" w:leader="dot" w:pos="9062"/>
        </w:tabs>
        <w:ind w:left="220"/>
      </w:pPr>
      <w:hyperlink w:anchor="_Toc3372" w:history="1">
        <w:r>
          <w:rPr>
            <w:rFonts w:ascii="IRNazanin" w:hAnsi="IRNazanin" w:eastAsia="IRNazanin" w:cs="IRNazanin"/>
            <w:color w:val="111111"/>
            <w:sz w:val="22"/>
            <w:szCs w:val="22"/>
            <w:b w:val="0"/>
            <w:bCs w:val="0"/>
            <w:i w:val="0"/>
            <w:iCs w:val="0"/>
          </w:rPr>
          <w:t>دارقطني ، علي بن عمر 306 - 385 ه-</w:t>
        </w:r>
        <w:r>
          <w:tab/>
        </w:r>
        <w:r>
          <w:fldChar w:fldCharType="begin"/>
        </w:r>
        <w:r>
          <w:instrText xml:space="preserve">PAGEREF 3372 \h</w:instrText>
        </w:r>
        <w:r>
          <w:fldChar w:fldCharType="end"/>
        </w:r>
      </w:hyperlink>
    </w:p>
    <w:p>
      <w:pPr>
        <w:tabs>
          <w:tab w:val="right" w:leader="dot" w:pos="9062"/>
        </w:tabs>
        <w:ind w:left="220"/>
      </w:pPr>
      <w:hyperlink w:anchor="_Toc3373" w:history="1">
        <w:r>
          <w:rPr>
            <w:rFonts w:ascii="IRNazanin" w:hAnsi="IRNazanin" w:eastAsia="IRNazanin" w:cs="IRNazanin"/>
            <w:color w:val="111111"/>
            <w:sz w:val="22"/>
            <w:szCs w:val="22"/>
            <w:b w:val="0"/>
            <w:bCs w:val="0"/>
            <w:i w:val="0"/>
            <w:iCs w:val="0"/>
          </w:rPr>
          <w:t>دارنده وي ، حمزه افندي - 1167</w:t>
        </w:r>
        <w:r>
          <w:tab/>
        </w:r>
        <w:r>
          <w:fldChar w:fldCharType="begin"/>
        </w:r>
        <w:r>
          <w:instrText xml:space="preserve">PAGEREF 3373 \h</w:instrText>
        </w:r>
        <w:r>
          <w:fldChar w:fldCharType="end"/>
        </w:r>
      </w:hyperlink>
    </w:p>
    <w:p>
      <w:pPr>
        <w:tabs>
          <w:tab w:val="right" w:leader="dot" w:pos="9062"/>
        </w:tabs>
        <w:ind w:left="220"/>
      </w:pPr>
      <w:hyperlink w:anchor="_Toc3374" w:history="1">
        <w:r>
          <w:rPr>
            <w:rFonts w:ascii="IRNazanin" w:hAnsi="IRNazanin" w:eastAsia="IRNazanin" w:cs="IRNazanin"/>
            <w:color w:val="111111"/>
            <w:sz w:val="22"/>
            <w:szCs w:val="22"/>
            <w:b w:val="0"/>
            <w:bCs w:val="0"/>
            <w:i w:val="0"/>
            <w:iCs w:val="0"/>
          </w:rPr>
          <w:t>دارین ، شاه محمود</w:t>
        </w:r>
        <w:r>
          <w:tab/>
        </w:r>
        <w:r>
          <w:fldChar w:fldCharType="begin"/>
        </w:r>
        <w:r>
          <w:instrText xml:space="preserve">PAGEREF 3374 \h</w:instrText>
        </w:r>
        <w:r>
          <w:fldChar w:fldCharType="end"/>
        </w:r>
      </w:hyperlink>
    </w:p>
    <w:p>
      <w:pPr>
        <w:tabs>
          <w:tab w:val="right" w:leader="dot" w:pos="9062"/>
        </w:tabs>
        <w:ind w:left="220"/>
      </w:pPr>
      <w:hyperlink w:anchor="_Toc3375" w:history="1">
        <w:r>
          <w:rPr>
            <w:rFonts w:ascii="IRNazanin" w:hAnsi="IRNazanin" w:eastAsia="IRNazanin" w:cs="IRNazanin"/>
            <w:color w:val="111111"/>
            <w:sz w:val="22"/>
            <w:szCs w:val="22"/>
            <w:b w:val="0"/>
            <w:bCs w:val="0"/>
            <w:i w:val="0"/>
            <w:iCs w:val="0"/>
          </w:rPr>
          <w:t>داعي ، ادريس الانف، 832 - 872 ه-</w:t>
        </w:r>
        <w:r>
          <w:tab/>
        </w:r>
        <w:r>
          <w:fldChar w:fldCharType="begin"/>
        </w:r>
        <w:r>
          <w:instrText xml:space="preserve">PAGEREF 3375 \h</w:instrText>
        </w:r>
        <w:r>
          <w:fldChar w:fldCharType="end"/>
        </w:r>
      </w:hyperlink>
    </w:p>
    <w:p>
      <w:pPr>
        <w:tabs>
          <w:tab w:val="right" w:leader="dot" w:pos="9062"/>
        </w:tabs>
        <w:ind w:left="220"/>
      </w:pPr>
      <w:hyperlink w:anchor="_Toc3376" w:history="1">
        <w:r>
          <w:rPr>
            <w:rFonts w:ascii="IRNazanin" w:hAnsi="IRNazanin" w:eastAsia="IRNazanin" w:cs="IRNazanin"/>
            <w:color w:val="111111"/>
            <w:sz w:val="22"/>
            <w:szCs w:val="22"/>
            <w:b w:val="0"/>
            <w:bCs w:val="0"/>
            <w:i w:val="0"/>
            <w:iCs w:val="0"/>
          </w:rPr>
          <w:t>داغستاني ، حيدر بن عبدالله قرن 14 ه-</w:t>
        </w:r>
        <w:r>
          <w:tab/>
        </w:r>
        <w:r>
          <w:fldChar w:fldCharType="begin"/>
        </w:r>
        <w:r>
          <w:instrText xml:space="preserve">PAGEREF 3376 \h</w:instrText>
        </w:r>
        <w:r>
          <w:fldChar w:fldCharType="end"/>
        </w:r>
      </w:hyperlink>
    </w:p>
    <w:p>
      <w:pPr>
        <w:tabs>
          <w:tab w:val="right" w:leader="dot" w:pos="9062"/>
        </w:tabs>
        <w:ind w:left="220"/>
      </w:pPr>
      <w:hyperlink w:anchor="_Toc3377" w:history="1">
        <w:r>
          <w:rPr>
            <w:rFonts w:ascii="IRNazanin" w:hAnsi="IRNazanin" w:eastAsia="IRNazanin" w:cs="IRNazanin"/>
            <w:color w:val="111111"/>
            <w:sz w:val="22"/>
            <w:szCs w:val="22"/>
            <w:b w:val="0"/>
            <w:bCs w:val="0"/>
            <w:i w:val="0"/>
            <w:iCs w:val="0"/>
          </w:rPr>
          <w:t>داقوقي ، سليمان بن محمّد</w:t>
        </w:r>
        <w:r>
          <w:tab/>
        </w:r>
        <w:r>
          <w:fldChar w:fldCharType="begin"/>
        </w:r>
        <w:r>
          <w:instrText xml:space="preserve">PAGEREF 3377 \h</w:instrText>
        </w:r>
        <w:r>
          <w:fldChar w:fldCharType="end"/>
        </w:r>
      </w:hyperlink>
    </w:p>
    <w:p>
      <w:pPr>
        <w:tabs>
          <w:tab w:val="right" w:leader="dot" w:pos="9062"/>
        </w:tabs>
        <w:ind w:left="220"/>
      </w:pPr>
      <w:hyperlink w:anchor="_Toc3378" w:history="1">
        <w:r>
          <w:rPr>
            <w:rFonts w:ascii="IRNazanin" w:hAnsi="IRNazanin" w:eastAsia="IRNazanin" w:cs="IRNazanin"/>
            <w:color w:val="111111"/>
            <w:sz w:val="22"/>
            <w:szCs w:val="22"/>
            <w:b w:val="0"/>
            <w:bCs w:val="0"/>
            <w:i w:val="0"/>
            <w:iCs w:val="0"/>
          </w:rPr>
          <w:t>دامادزاده ابو بکر بن احمد - 1203 ه-</w:t>
        </w:r>
        <w:r>
          <w:tab/>
        </w:r>
        <w:r>
          <w:fldChar w:fldCharType="begin"/>
        </w:r>
        <w:r>
          <w:instrText xml:space="preserve">PAGEREF 3378 \h</w:instrText>
        </w:r>
        <w:r>
          <w:fldChar w:fldCharType="end"/>
        </w:r>
      </w:hyperlink>
    </w:p>
    <w:p>
      <w:pPr>
        <w:tabs>
          <w:tab w:val="right" w:leader="dot" w:pos="9062"/>
        </w:tabs>
        <w:ind w:left="220"/>
      </w:pPr>
      <w:hyperlink w:anchor="_Toc3379" w:history="1">
        <w:r>
          <w:rPr>
            <w:rFonts w:ascii="IRNazanin" w:hAnsi="IRNazanin" w:eastAsia="IRNazanin" w:cs="IRNazanin"/>
            <w:color w:val="111111"/>
            <w:sz w:val="22"/>
            <w:szCs w:val="22"/>
            <w:b w:val="0"/>
            <w:bCs w:val="0"/>
            <w:i w:val="0"/>
            <w:iCs w:val="0"/>
          </w:rPr>
          <w:t>دامغاني ، حسين بن محمّد - 478 ه-</w:t>
        </w:r>
        <w:r>
          <w:tab/>
        </w:r>
        <w:r>
          <w:fldChar w:fldCharType="begin"/>
        </w:r>
        <w:r>
          <w:instrText xml:space="preserve">PAGEREF 3379 \h</w:instrText>
        </w:r>
        <w:r>
          <w:fldChar w:fldCharType="end"/>
        </w:r>
      </w:hyperlink>
    </w:p>
    <w:p>
      <w:pPr>
        <w:tabs>
          <w:tab w:val="right" w:leader="dot" w:pos="9062"/>
        </w:tabs>
        <w:ind w:left="220"/>
      </w:pPr>
      <w:hyperlink w:anchor="_Toc3380" w:history="1">
        <w:r>
          <w:rPr>
            <w:rFonts w:ascii="IRNazanin" w:hAnsi="IRNazanin" w:eastAsia="IRNazanin" w:cs="IRNazanin"/>
            <w:color w:val="111111"/>
            <w:sz w:val="22"/>
            <w:szCs w:val="22"/>
            <w:b w:val="0"/>
            <w:bCs w:val="0"/>
            <w:i w:val="0"/>
            <w:iCs w:val="0"/>
          </w:rPr>
          <w:t>دامغاني خراساني، ابراهيم قرن 14 ه-</w:t>
        </w:r>
        <w:r>
          <w:tab/>
        </w:r>
        <w:r>
          <w:fldChar w:fldCharType="begin"/>
        </w:r>
        <w:r>
          <w:instrText xml:space="preserve">PAGEREF 3380 \h</w:instrText>
        </w:r>
        <w:r>
          <w:fldChar w:fldCharType="end"/>
        </w:r>
      </w:hyperlink>
    </w:p>
    <w:p>
      <w:pPr>
        <w:tabs>
          <w:tab w:val="right" w:leader="dot" w:pos="9062"/>
        </w:tabs>
        <w:ind w:left="220"/>
      </w:pPr>
      <w:hyperlink w:anchor="_Toc3381" w:history="1">
        <w:r>
          <w:rPr>
            <w:rFonts w:ascii="IRNazanin" w:hAnsi="IRNazanin" w:eastAsia="IRNazanin" w:cs="IRNazanin"/>
            <w:color w:val="111111"/>
            <w:sz w:val="22"/>
            <w:szCs w:val="22"/>
            <w:b w:val="0"/>
            <w:bCs w:val="0"/>
            <w:i w:val="0"/>
            <w:iCs w:val="0"/>
          </w:rPr>
          <w:t>دامغاني ، عبدالعلي</w:t>
        </w:r>
        <w:r>
          <w:tab/>
        </w:r>
        <w:r>
          <w:fldChar w:fldCharType="begin"/>
        </w:r>
        <w:r>
          <w:instrText xml:space="preserve">PAGEREF 3381 \h</w:instrText>
        </w:r>
        <w:r>
          <w:fldChar w:fldCharType="end"/>
        </w:r>
      </w:hyperlink>
    </w:p>
    <w:p>
      <w:pPr>
        <w:tabs>
          <w:tab w:val="right" w:leader="dot" w:pos="9062"/>
        </w:tabs>
        <w:ind w:left="220"/>
      </w:pPr>
      <w:hyperlink w:anchor="_Toc3382" w:history="1">
        <w:r>
          <w:rPr>
            <w:rFonts w:ascii="IRNazanin" w:hAnsi="IRNazanin" w:eastAsia="IRNazanin" w:cs="IRNazanin"/>
            <w:color w:val="111111"/>
            <w:sz w:val="22"/>
            <w:szCs w:val="22"/>
            <w:b w:val="0"/>
            <w:bCs w:val="0"/>
            <w:i w:val="0"/>
            <w:iCs w:val="0"/>
          </w:rPr>
          <w:t>دامغاني محمّد باقر بن علي اكبر قرن 14ه-</w:t>
        </w:r>
        <w:r>
          <w:tab/>
        </w:r>
        <w:r>
          <w:fldChar w:fldCharType="begin"/>
        </w:r>
        <w:r>
          <w:instrText xml:space="preserve">PAGEREF 3382 \h</w:instrText>
        </w:r>
        <w:r>
          <w:fldChar w:fldCharType="end"/>
        </w:r>
      </w:hyperlink>
    </w:p>
    <w:p>
      <w:pPr>
        <w:tabs>
          <w:tab w:val="right" w:leader="dot" w:pos="9062"/>
        </w:tabs>
        <w:ind w:left="220"/>
      </w:pPr>
      <w:hyperlink w:anchor="_Toc3383" w:history="1">
        <w:r>
          <w:rPr>
            <w:rFonts w:ascii="IRNazanin" w:hAnsi="IRNazanin" w:eastAsia="IRNazanin" w:cs="IRNazanin"/>
            <w:color w:val="111111"/>
            <w:sz w:val="22"/>
            <w:szCs w:val="22"/>
            <w:b w:val="0"/>
            <w:bCs w:val="0"/>
            <w:i w:val="0"/>
            <w:iCs w:val="0"/>
          </w:rPr>
          <w:t>دامغاني ، محمّد بن حسين - 776 ه-</w:t>
        </w:r>
        <w:r>
          <w:tab/>
        </w:r>
        <w:r>
          <w:fldChar w:fldCharType="begin"/>
        </w:r>
        <w:r>
          <w:instrText xml:space="preserve">PAGEREF 3383 \h</w:instrText>
        </w:r>
        <w:r>
          <w:fldChar w:fldCharType="end"/>
        </w:r>
      </w:hyperlink>
    </w:p>
    <w:p>
      <w:pPr>
        <w:tabs>
          <w:tab w:val="right" w:leader="dot" w:pos="9062"/>
        </w:tabs>
        <w:ind w:left="220"/>
      </w:pPr>
      <w:hyperlink w:anchor="_Toc3384" w:history="1">
        <w:r>
          <w:rPr>
            <w:rFonts w:ascii="IRNazanin" w:hAnsi="IRNazanin" w:eastAsia="IRNazanin" w:cs="IRNazanin"/>
            <w:color w:val="111111"/>
            <w:sz w:val="22"/>
            <w:szCs w:val="22"/>
            <w:b w:val="0"/>
            <w:bCs w:val="0"/>
            <w:i w:val="0"/>
            <w:iCs w:val="0"/>
          </w:rPr>
          <w:t>دامغاني ، محمّد بن علي، 398 - 478 ه-</w:t>
        </w:r>
        <w:r>
          <w:tab/>
        </w:r>
        <w:r>
          <w:fldChar w:fldCharType="begin"/>
        </w:r>
        <w:r>
          <w:instrText xml:space="preserve">PAGEREF 3384 \h</w:instrText>
        </w:r>
        <w:r>
          <w:fldChar w:fldCharType="end"/>
        </w:r>
      </w:hyperlink>
    </w:p>
    <w:p>
      <w:pPr>
        <w:tabs>
          <w:tab w:val="right" w:leader="dot" w:pos="9062"/>
        </w:tabs>
        <w:ind w:left="220"/>
      </w:pPr>
      <w:hyperlink w:anchor="_Toc3385" w:history="1">
        <w:r>
          <w:rPr>
            <w:rFonts w:ascii="IRNazanin" w:hAnsi="IRNazanin" w:eastAsia="IRNazanin" w:cs="IRNazanin"/>
            <w:color w:val="111111"/>
            <w:sz w:val="22"/>
            <w:szCs w:val="22"/>
            <w:b w:val="0"/>
            <w:bCs w:val="0"/>
            <w:i w:val="0"/>
            <w:iCs w:val="0"/>
          </w:rPr>
          <w:t>دامغاني، محمّد بن نصر الله - 775 ه-</w:t>
        </w:r>
        <w:r>
          <w:tab/>
        </w:r>
        <w:r>
          <w:fldChar w:fldCharType="begin"/>
        </w:r>
        <w:r>
          <w:instrText xml:space="preserve">PAGEREF 3385 \h</w:instrText>
        </w:r>
        <w:r>
          <w:fldChar w:fldCharType="end"/>
        </w:r>
      </w:hyperlink>
    </w:p>
    <w:p>
      <w:pPr>
        <w:tabs>
          <w:tab w:val="right" w:leader="dot" w:pos="9062"/>
        </w:tabs>
        <w:ind w:left="220"/>
      </w:pPr>
      <w:hyperlink w:anchor="_Toc3386" w:history="1">
        <w:r>
          <w:rPr>
            <w:rFonts w:ascii="IRNazanin" w:hAnsi="IRNazanin" w:eastAsia="IRNazanin" w:cs="IRNazanin"/>
            <w:color w:val="111111"/>
            <w:sz w:val="22"/>
            <w:szCs w:val="22"/>
            <w:b w:val="0"/>
            <w:bCs w:val="0"/>
            <w:i w:val="0"/>
            <w:iCs w:val="0"/>
          </w:rPr>
          <w:t>دانش تفرشي ، محمّد تقي بن حسين</w:t>
        </w:r>
        <w:r>
          <w:tab/>
        </w:r>
        <w:r>
          <w:fldChar w:fldCharType="begin"/>
        </w:r>
        <w:r>
          <w:instrText xml:space="preserve">PAGEREF 3386 \h</w:instrText>
        </w:r>
        <w:r>
          <w:fldChar w:fldCharType="end"/>
        </w:r>
      </w:hyperlink>
    </w:p>
    <w:p>
      <w:pPr>
        <w:tabs>
          <w:tab w:val="right" w:leader="dot" w:pos="9062"/>
        </w:tabs>
        <w:ind w:left="220"/>
      </w:pPr>
      <w:hyperlink w:anchor="_Toc3387" w:history="1">
        <w:r>
          <w:rPr>
            <w:rFonts w:ascii="IRNazanin" w:hAnsi="IRNazanin" w:eastAsia="IRNazanin" w:cs="IRNazanin"/>
            <w:color w:val="111111"/>
            <w:sz w:val="22"/>
            <w:szCs w:val="22"/>
            <w:b w:val="0"/>
            <w:bCs w:val="0"/>
            <w:i w:val="0"/>
            <w:iCs w:val="0"/>
          </w:rPr>
          <w:t>داني ، عثمان بن سعيد، 371 - 444 ؟ ه-</w:t>
        </w:r>
        <w:r>
          <w:tab/>
        </w:r>
        <w:r>
          <w:fldChar w:fldCharType="begin"/>
        </w:r>
        <w:r>
          <w:instrText xml:space="preserve">PAGEREF 3387 \h</w:instrText>
        </w:r>
        <w:r>
          <w:fldChar w:fldCharType="end"/>
        </w:r>
      </w:hyperlink>
    </w:p>
    <w:p>
      <w:pPr>
        <w:tabs>
          <w:tab w:val="right" w:leader="dot" w:pos="9062"/>
        </w:tabs>
        <w:ind w:left="220"/>
      </w:pPr>
      <w:hyperlink w:anchor="_Toc3388" w:history="1">
        <w:r>
          <w:rPr>
            <w:rFonts w:ascii="IRNazanin" w:hAnsi="IRNazanin" w:eastAsia="IRNazanin" w:cs="IRNazanin"/>
            <w:color w:val="111111"/>
            <w:sz w:val="22"/>
            <w:szCs w:val="22"/>
            <w:b w:val="0"/>
            <w:bCs w:val="0"/>
            <w:i w:val="0"/>
            <w:iCs w:val="0"/>
          </w:rPr>
          <w:t>داود بن سليمان</w:t>
        </w:r>
        <w:r>
          <w:tab/>
        </w:r>
        <w:r>
          <w:fldChar w:fldCharType="begin"/>
        </w:r>
        <w:r>
          <w:instrText xml:space="preserve">PAGEREF 3388 \h</w:instrText>
        </w:r>
        <w:r>
          <w:fldChar w:fldCharType="end"/>
        </w:r>
      </w:hyperlink>
    </w:p>
    <w:p>
      <w:pPr>
        <w:tabs>
          <w:tab w:val="right" w:leader="dot" w:pos="9062"/>
        </w:tabs>
        <w:ind w:left="220"/>
      </w:pPr>
      <w:hyperlink w:anchor="_Toc3389" w:history="1">
        <w:r>
          <w:rPr>
            <w:rFonts w:ascii="IRNazanin" w:hAnsi="IRNazanin" w:eastAsia="IRNazanin" w:cs="IRNazanin"/>
            <w:color w:val="111111"/>
            <w:sz w:val="22"/>
            <w:szCs w:val="22"/>
            <w:b w:val="0"/>
            <w:bCs w:val="0"/>
            <w:i w:val="0"/>
            <w:iCs w:val="0"/>
          </w:rPr>
          <w:t>داودي ، محمّد بن علي - 945 ه-</w:t>
        </w:r>
        <w:r>
          <w:tab/>
        </w:r>
        <w:r>
          <w:fldChar w:fldCharType="begin"/>
        </w:r>
        <w:r>
          <w:instrText xml:space="preserve">PAGEREF 3389 \h</w:instrText>
        </w:r>
        <w:r>
          <w:fldChar w:fldCharType="end"/>
        </w:r>
      </w:hyperlink>
    </w:p>
    <w:p>
      <w:pPr>
        <w:tabs>
          <w:tab w:val="right" w:leader="dot" w:pos="9062"/>
        </w:tabs>
        <w:ind w:left="220"/>
      </w:pPr>
      <w:hyperlink w:anchor="_Toc3390" w:history="1">
        <w:r>
          <w:rPr>
            <w:rFonts w:ascii="IRNazanin" w:hAnsi="IRNazanin" w:eastAsia="IRNazanin" w:cs="IRNazanin"/>
            <w:color w:val="111111"/>
            <w:sz w:val="22"/>
            <w:szCs w:val="22"/>
            <w:b w:val="0"/>
            <w:bCs w:val="0"/>
            <w:i w:val="0"/>
            <w:iCs w:val="0"/>
          </w:rPr>
          <w:t>داوود النبي</w:t>
        </w:r>
        <w:r>
          <w:tab/>
        </w:r>
        <w:r>
          <w:fldChar w:fldCharType="begin"/>
        </w:r>
        <w:r>
          <w:instrText xml:space="preserve">PAGEREF 3390 \h</w:instrText>
        </w:r>
        <w:r>
          <w:fldChar w:fldCharType="end"/>
        </w:r>
      </w:hyperlink>
    </w:p>
    <w:p>
      <w:pPr>
        <w:tabs>
          <w:tab w:val="right" w:leader="dot" w:pos="9062"/>
        </w:tabs>
        <w:ind w:left="220"/>
      </w:pPr>
      <w:hyperlink w:anchor="_Toc3391" w:history="1">
        <w:r>
          <w:rPr>
            <w:rFonts w:ascii="IRNazanin" w:hAnsi="IRNazanin" w:eastAsia="IRNazanin" w:cs="IRNazanin"/>
            <w:color w:val="111111"/>
            <w:sz w:val="22"/>
            <w:szCs w:val="22"/>
            <w:b w:val="0"/>
            <w:bCs w:val="0"/>
            <w:i w:val="0"/>
            <w:iCs w:val="0"/>
          </w:rPr>
          <w:t>دباغ زاده، صالح، - 1298 ه-</w:t>
        </w:r>
        <w:r>
          <w:tab/>
        </w:r>
        <w:r>
          <w:fldChar w:fldCharType="begin"/>
        </w:r>
        <w:r>
          <w:instrText xml:space="preserve">PAGEREF 3391 \h</w:instrText>
        </w:r>
        <w:r>
          <w:fldChar w:fldCharType="end"/>
        </w:r>
      </w:hyperlink>
    </w:p>
    <w:p>
      <w:pPr>
        <w:tabs>
          <w:tab w:val="right" w:leader="dot" w:pos="9062"/>
        </w:tabs>
        <w:ind w:left="220"/>
      </w:pPr>
      <w:hyperlink w:anchor="_Toc3392" w:history="1">
        <w:r>
          <w:rPr>
            <w:rFonts w:ascii="IRNazanin" w:hAnsi="IRNazanin" w:eastAsia="IRNazanin" w:cs="IRNazanin"/>
            <w:color w:val="111111"/>
            <w:sz w:val="22"/>
            <w:szCs w:val="22"/>
            <w:b w:val="0"/>
            <w:bCs w:val="0"/>
            <w:i w:val="0"/>
            <w:iCs w:val="0"/>
          </w:rPr>
          <w:t>دباغ زاده محمّد بن محمود - 1114 ه-</w:t>
        </w:r>
        <w:r>
          <w:tab/>
        </w:r>
        <w:r>
          <w:fldChar w:fldCharType="begin"/>
        </w:r>
        <w:r>
          <w:instrText xml:space="preserve">PAGEREF 3392 \h</w:instrText>
        </w:r>
        <w:r>
          <w:fldChar w:fldCharType="end"/>
        </w:r>
      </w:hyperlink>
    </w:p>
    <w:p>
      <w:pPr>
        <w:tabs>
          <w:tab w:val="right" w:leader="dot" w:pos="9062"/>
        </w:tabs>
        <w:ind w:left="220"/>
      </w:pPr>
      <w:hyperlink w:anchor="_Toc3393" w:history="1">
        <w:r>
          <w:rPr>
            <w:rFonts w:ascii="IRNazanin" w:hAnsi="IRNazanin" w:eastAsia="IRNazanin" w:cs="IRNazanin"/>
            <w:color w:val="111111"/>
            <w:sz w:val="22"/>
            <w:szCs w:val="22"/>
            <w:b w:val="0"/>
            <w:bCs w:val="0"/>
            <w:i w:val="0"/>
            <w:iCs w:val="0"/>
          </w:rPr>
          <w:t>دباغ ، صالح افندي قرن 13 ه-</w:t>
        </w:r>
        <w:r>
          <w:tab/>
        </w:r>
        <w:r>
          <w:fldChar w:fldCharType="begin"/>
        </w:r>
        <w:r>
          <w:instrText xml:space="preserve">PAGEREF 3393 \h</w:instrText>
        </w:r>
        <w:r>
          <w:fldChar w:fldCharType="end"/>
        </w:r>
      </w:hyperlink>
    </w:p>
    <w:p>
      <w:pPr>
        <w:tabs>
          <w:tab w:val="right" w:leader="dot" w:pos="9062"/>
        </w:tabs>
        <w:ind w:left="220"/>
      </w:pPr>
      <w:hyperlink w:anchor="_Toc3394" w:history="1">
        <w:r>
          <w:rPr>
            <w:rFonts w:ascii="IRNazanin" w:hAnsi="IRNazanin" w:eastAsia="IRNazanin" w:cs="IRNazanin"/>
            <w:color w:val="111111"/>
            <w:sz w:val="22"/>
            <w:szCs w:val="22"/>
            <w:b w:val="0"/>
            <w:bCs w:val="0"/>
            <w:i w:val="0"/>
            <w:iCs w:val="0"/>
          </w:rPr>
          <w:t>دباغ، علي بن مصطفى، 1104 - 1174 ه-</w:t>
        </w:r>
        <w:r>
          <w:tab/>
        </w:r>
        <w:r>
          <w:fldChar w:fldCharType="begin"/>
        </w:r>
        <w:r>
          <w:instrText xml:space="preserve">PAGEREF 3394 \h</w:instrText>
        </w:r>
        <w:r>
          <w:fldChar w:fldCharType="end"/>
        </w:r>
      </w:hyperlink>
    </w:p>
    <w:p>
      <w:pPr>
        <w:tabs>
          <w:tab w:val="right" w:leader="dot" w:pos="9062"/>
        </w:tabs>
        <w:ind w:left="220"/>
      </w:pPr>
      <w:hyperlink w:anchor="_Toc3395" w:history="1">
        <w:r>
          <w:rPr>
            <w:rFonts w:ascii="IRNazanin" w:hAnsi="IRNazanin" w:eastAsia="IRNazanin" w:cs="IRNazanin"/>
            <w:color w:val="111111"/>
            <w:sz w:val="22"/>
            <w:szCs w:val="22"/>
            <w:b w:val="0"/>
            <w:bCs w:val="0"/>
            <w:i w:val="0"/>
            <w:iCs w:val="0"/>
          </w:rPr>
          <w:t>دباغي مرعشي، احمد بن محمّد -1165ه-</w:t>
        </w:r>
        <w:r>
          <w:tab/>
        </w:r>
        <w:r>
          <w:fldChar w:fldCharType="begin"/>
        </w:r>
        <w:r>
          <w:instrText xml:space="preserve">PAGEREF 3395 \h</w:instrText>
        </w:r>
        <w:r>
          <w:fldChar w:fldCharType="end"/>
        </w:r>
      </w:hyperlink>
    </w:p>
    <w:p>
      <w:pPr>
        <w:tabs>
          <w:tab w:val="right" w:leader="dot" w:pos="9062"/>
        </w:tabs>
        <w:ind w:left="220"/>
      </w:pPr>
      <w:hyperlink w:anchor="_Toc3396" w:history="1">
        <w:r>
          <w:rPr>
            <w:rFonts w:ascii="IRNazanin" w:hAnsi="IRNazanin" w:eastAsia="IRNazanin" w:cs="IRNazanin"/>
            <w:color w:val="111111"/>
            <w:sz w:val="22"/>
            <w:szCs w:val="22"/>
            <w:b w:val="0"/>
            <w:bCs w:val="0"/>
            <w:i w:val="0"/>
            <w:iCs w:val="0"/>
          </w:rPr>
          <w:t>دبوسي ، عبد الله بن عمر، 367 - 430 ه-</w:t>
        </w:r>
        <w:r>
          <w:tab/>
        </w:r>
        <w:r>
          <w:fldChar w:fldCharType="begin"/>
        </w:r>
        <w:r>
          <w:instrText xml:space="preserve">PAGEREF 3396 \h</w:instrText>
        </w:r>
        <w:r>
          <w:fldChar w:fldCharType="end"/>
        </w:r>
      </w:hyperlink>
    </w:p>
    <w:p>
      <w:pPr>
        <w:tabs>
          <w:tab w:val="right" w:leader="dot" w:pos="9062"/>
        </w:tabs>
        <w:ind w:left="220"/>
      </w:pPr>
      <w:hyperlink w:anchor="_Toc3397" w:history="1">
        <w:r>
          <w:rPr>
            <w:rFonts w:ascii="IRNazanin" w:hAnsi="IRNazanin" w:eastAsia="IRNazanin" w:cs="IRNazanin"/>
            <w:color w:val="111111"/>
            <w:sz w:val="22"/>
            <w:szCs w:val="22"/>
            <w:b w:val="0"/>
            <w:bCs w:val="0"/>
            <w:i w:val="0"/>
            <w:iCs w:val="0"/>
          </w:rPr>
          <w:t>دجاني ، حسين بن سليم، - 1374 ه-</w:t>
        </w:r>
        <w:r>
          <w:tab/>
        </w:r>
        <w:r>
          <w:fldChar w:fldCharType="begin"/>
        </w:r>
        <w:r>
          <w:instrText xml:space="preserve">PAGEREF 3397 \h</w:instrText>
        </w:r>
        <w:r>
          <w:fldChar w:fldCharType="end"/>
        </w:r>
      </w:hyperlink>
    </w:p>
    <w:p>
      <w:pPr>
        <w:tabs>
          <w:tab w:val="right" w:leader="dot" w:pos="9062"/>
        </w:tabs>
        <w:ind w:left="220"/>
      </w:pPr>
      <w:hyperlink w:anchor="_Toc3398" w:history="1">
        <w:r>
          <w:rPr>
            <w:rFonts w:ascii="IRNazanin" w:hAnsi="IRNazanin" w:eastAsia="IRNazanin" w:cs="IRNazanin"/>
            <w:color w:val="111111"/>
            <w:sz w:val="22"/>
            <w:szCs w:val="22"/>
            <w:b w:val="0"/>
            <w:bCs w:val="0"/>
            <w:i w:val="0"/>
            <w:iCs w:val="0"/>
          </w:rPr>
          <w:t>دجيلي ، خضر بن عباس، قرن 14 ه-</w:t>
        </w:r>
        <w:r>
          <w:tab/>
        </w:r>
        <w:r>
          <w:fldChar w:fldCharType="begin"/>
        </w:r>
        <w:r>
          <w:instrText xml:space="preserve">PAGEREF 3398 \h</w:instrText>
        </w:r>
        <w:r>
          <w:fldChar w:fldCharType="end"/>
        </w:r>
      </w:hyperlink>
    </w:p>
    <w:p>
      <w:pPr>
        <w:tabs>
          <w:tab w:val="right" w:leader="dot" w:pos="9062"/>
        </w:tabs>
        <w:ind w:left="220"/>
      </w:pPr>
      <w:hyperlink w:anchor="_Toc3399" w:history="1">
        <w:r>
          <w:rPr>
            <w:rFonts w:ascii="IRNazanin" w:hAnsi="IRNazanin" w:eastAsia="IRNazanin" w:cs="IRNazanin"/>
            <w:color w:val="111111"/>
            <w:sz w:val="22"/>
            <w:szCs w:val="22"/>
            <w:b w:val="0"/>
            <w:bCs w:val="0"/>
            <w:i w:val="0"/>
            <w:iCs w:val="0"/>
          </w:rPr>
          <w:t>دجيلي ، عبد الصاحب</w:t>
        </w:r>
        <w:r>
          <w:tab/>
        </w:r>
        <w:r>
          <w:fldChar w:fldCharType="begin"/>
        </w:r>
        <w:r>
          <w:instrText xml:space="preserve">PAGEREF 3399 \h</w:instrText>
        </w:r>
        <w:r>
          <w:fldChar w:fldCharType="end"/>
        </w:r>
      </w:hyperlink>
    </w:p>
    <w:p>
      <w:pPr>
        <w:tabs>
          <w:tab w:val="right" w:leader="dot" w:pos="9062"/>
        </w:tabs>
        <w:ind w:left="220"/>
      </w:pPr>
      <w:hyperlink w:anchor="_Toc3400" w:history="1">
        <w:r>
          <w:rPr>
            <w:rFonts w:ascii="IRNazanin" w:hAnsi="IRNazanin" w:eastAsia="IRNazanin" w:cs="IRNazanin"/>
            <w:color w:val="111111"/>
            <w:sz w:val="22"/>
            <w:szCs w:val="22"/>
            <w:b w:val="0"/>
            <w:bCs w:val="0"/>
            <w:i w:val="0"/>
            <w:iCs w:val="0"/>
          </w:rPr>
          <w:t>دحلان، احمد زيني، 91231 - 1304 ه-</w:t>
        </w:r>
        <w:r>
          <w:tab/>
        </w:r>
        <w:r>
          <w:fldChar w:fldCharType="begin"/>
        </w:r>
        <w:r>
          <w:instrText xml:space="preserve">PAGEREF 3400 \h</w:instrText>
        </w:r>
        <w:r>
          <w:fldChar w:fldCharType="end"/>
        </w:r>
      </w:hyperlink>
    </w:p>
    <w:p>
      <w:pPr>
        <w:tabs>
          <w:tab w:val="right" w:leader="dot" w:pos="9062"/>
        </w:tabs>
        <w:ind w:left="220"/>
      </w:pPr>
      <w:hyperlink w:anchor="_Toc3401" w:history="1">
        <w:r>
          <w:rPr>
            <w:rFonts w:ascii="IRNazanin" w:hAnsi="IRNazanin" w:eastAsia="IRNazanin" w:cs="IRNazanin"/>
            <w:color w:val="111111"/>
            <w:sz w:val="22"/>
            <w:szCs w:val="22"/>
            <w:b w:val="0"/>
            <w:bCs w:val="0"/>
            <w:i w:val="0"/>
            <w:iCs w:val="0"/>
          </w:rPr>
          <w:t>دخوار عبدالرحيم بن علي 565-628 ه-</w:t>
        </w:r>
        <w:r>
          <w:tab/>
        </w:r>
        <w:r>
          <w:fldChar w:fldCharType="begin"/>
        </w:r>
        <w:r>
          <w:instrText xml:space="preserve">PAGEREF 3401 \h</w:instrText>
        </w:r>
        <w:r>
          <w:fldChar w:fldCharType="end"/>
        </w:r>
      </w:hyperlink>
    </w:p>
    <w:p>
      <w:pPr>
        <w:tabs>
          <w:tab w:val="right" w:leader="dot" w:pos="9062"/>
        </w:tabs>
        <w:ind w:left="220"/>
      </w:pPr>
      <w:hyperlink w:anchor="_Toc3402" w:history="1">
        <w:r>
          <w:rPr>
            <w:rFonts w:ascii="IRNazanin" w:hAnsi="IRNazanin" w:eastAsia="IRNazanin" w:cs="IRNazanin"/>
            <w:color w:val="111111"/>
            <w:sz w:val="22"/>
            <w:szCs w:val="22"/>
            <w:b w:val="0"/>
            <w:bCs w:val="0"/>
            <w:i w:val="0"/>
            <w:iCs w:val="0"/>
          </w:rPr>
          <w:t>دخيل نجدي، سليمان بن صالح، 1294 -</w:t>
        </w:r>
        <w:r>
          <w:tab/>
        </w:r>
        <w:r>
          <w:fldChar w:fldCharType="begin"/>
        </w:r>
        <w:r>
          <w:instrText xml:space="preserve">PAGEREF 3402 \h</w:instrText>
        </w:r>
        <w:r>
          <w:fldChar w:fldCharType="end"/>
        </w:r>
      </w:hyperlink>
    </w:p>
    <w:p>
      <w:pPr>
        <w:tabs>
          <w:tab w:val="right" w:leader="dot" w:pos="9062"/>
        </w:tabs>
        <w:ind w:left="220"/>
      </w:pPr>
      <w:hyperlink w:anchor="_Toc3403" w:history="1">
        <w:r>
          <w:rPr>
            <w:rFonts w:ascii="IRNazanin" w:hAnsi="IRNazanin" w:eastAsia="IRNazanin" w:cs="IRNazanin"/>
            <w:color w:val="111111"/>
            <w:sz w:val="22"/>
            <w:szCs w:val="22"/>
            <w:b w:val="0"/>
            <w:bCs w:val="0"/>
            <w:i w:val="0"/>
            <w:iCs w:val="0"/>
          </w:rPr>
          <w:t>دده افندي محمّد بن مصطفی قرن 13ه-</w:t>
        </w:r>
        <w:r>
          <w:tab/>
        </w:r>
        <w:r>
          <w:fldChar w:fldCharType="begin"/>
        </w:r>
        <w:r>
          <w:instrText xml:space="preserve">PAGEREF 3403 \h</w:instrText>
        </w:r>
        <w:r>
          <w:fldChar w:fldCharType="end"/>
        </w:r>
      </w:hyperlink>
    </w:p>
    <w:p>
      <w:pPr>
        <w:tabs>
          <w:tab w:val="right" w:leader="dot" w:pos="9062"/>
        </w:tabs>
        <w:ind w:left="220"/>
      </w:pPr>
      <w:hyperlink w:anchor="_Toc3404" w:history="1">
        <w:r>
          <w:rPr>
            <w:rFonts w:ascii="IRNazanin" w:hAnsi="IRNazanin" w:eastAsia="IRNazanin" w:cs="IRNazanin"/>
            <w:color w:val="111111"/>
            <w:sz w:val="22"/>
            <w:szCs w:val="22"/>
            <w:b w:val="0"/>
            <w:bCs w:val="0"/>
            <w:i w:val="0"/>
            <w:iCs w:val="0"/>
          </w:rPr>
          <w:t>دده جونكي، ابراهيم بن يحيى -973ه-</w:t>
        </w:r>
        <w:r>
          <w:tab/>
        </w:r>
        <w:r>
          <w:fldChar w:fldCharType="begin"/>
        </w:r>
        <w:r>
          <w:instrText xml:space="preserve">PAGEREF 3404 \h</w:instrText>
        </w:r>
        <w:r>
          <w:fldChar w:fldCharType="end"/>
        </w:r>
      </w:hyperlink>
    </w:p>
    <w:p>
      <w:pPr>
        <w:tabs>
          <w:tab w:val="right" w:leader="dot" w:pos="9062"/>
        </w:tabs>
        <w:ind w:left="220"/>
      </w:pPr>
      <w:hyperlink w:anchor="_Toc3405" w:history="1">
        <w:r>
          <w:rPr>
            <w:rFonts w:ascii="IRNazanin" w:hAnsi="IRNazanin" w:eastAsia="IRNazanin" w:cs="IRNazanin"/>
            <w:color w:val="111111"/>
            <w:sz w:val="22"/>
            <w:szCs w:val="22"/>
            <w:b w:val="0"/>
            <w:bCs w:val="0"/>
            <w:i w:val="0"/>
            <w:iCs w:val="0"/>
          </w:rPr>
          <w:t>درازي بحراني ، عبد علي بن احمد 1116</w:t>
        </w:r>
        <w:r>
          <w:tab/>
        </w:r>
        <w:r>
          <w:fldChar w:fldCharType="begin"/>
        </w:r>
        <w:r>
          <w:instrText xml:space="preserve">PAGEREF 3405 \h</w:instrText>
        </w:r>
        <w:r>
          <w:fldChar w:fldCharType="end"/>
        </w:r>
      </w:hyperlink>
    </w:p>
    <w:p>
      <w:pPr>
        <w:tabs>
          <w:tab w:val="right" w:leader="dot" w:pos="9062"/>
        </w:tabs>
        <w:ind w:left="220"/>
      </w:pPr>
      <w:hyperlink w:anchor="_Toc3406" w:history="1">
        <w:r>
          <w:rPr>
            <w:rFonts w:ascii="IRNazanin" w:hAnsi="IRNazanin" w:eastAsia="IRNazanin" w:cs="IRNazanin"/>
            <w:color w:val="111111"/>
            <w:sz w:val="22"/>
            <w:szCs w:val="22"/>
            <w:b w:val="0"/>
            <w:bCs w:val="0"/>
            <w:i w:val="0"/>
            <w:iCs w:val="0"/>
          </w:rPr>
          <w:t>درا ، محمّد بن نورالدين 1028-1065ه-</w:t>
        </w:r>
        <w:r>
          <w:tab/>
        </w:r>
        <w:r>
          <w:fldChar w:fldCharType="begin"/>
        </w:r>
        <w:r>
          <w:instrText xml:space="preserve">PAGEREF 3406 \h</w:instrText>
        </w:r>
        <w:r>
          <w:fldChar w:fldCharType="end"/>
        </w:r>
      </w:hyperlink>
    </w:p>
    <w:p>
      <w:pPr>
        <w:tabs>
          <w:tab w:val="right" w:leader="dot" w:pos="9062"/>
        </w:tabs>
        <w:ind w:left="220"/>
      </w:pPr>
      <w:hyperlink w:anchor="_Toc3407" w:history="1">
        <w:r>
          <w:rPr>
            <w:rFonts w:ascii="IRNazanin" w:hAnsi="IRNazanin" w:eastAsia="IRNazanin" w:cs="IRNazanin"/>
            <w:color w:val="111111"/>
            <w:sz w:val="22"/>
            <w:szCs w:val="22"/>
            <w:b w:val="0"/>
            <w:bCs w:val="0"/>
            <w:i w:val="0"/>
            <w:iCs w:val="0"/>
          </w:rPr>
          <w:t>درامي ، عبدالله بن داود</w:t>
        </w:r>
        <w:r>
          <w:tab/>
        </w:r>
        <w:r>
          <w:fldChar w:fldCharType="begin"/>
        </w:r>
        <w:r>
          <w:instrText xml:space="preserve">PAGEREF 3407 \h</w:instrText>
        </w:r>
        <w:r>
          <w:fldChar w:fldCharType="end"/>
        </w:r>
      </w:hyperlink>
    </w:p>
    <w:p>
      <w:pPr>
        <w:tabs>
          <w:tab w:val="right" w:leader="dot" w:pos="9062"/>
        </w:tabs>
        <w:ind w:left="220"/>
      </w:pPr>
      <w:hyperlink w:anchor="_Toc3408" w:history="1">
        <w:r>
          <w:rPr>
            <w:rFonts w:ascii="IRNazanin" w:hAnsi="IRNazanin" w:eastAsia="IRNazanin" w:cs="IRNazanin"/>
            <w:color w:val="111111"/>
            <w:sz w:val="22"/>
            <w:szCs w:val="22"/>
            <w:b w:val="0"/>
            <w:bCs w:val="0"/>
            <w:i w:val="0"/>
            <w:iCs w:val="0"/>
          </w:rPr>
          <w:t>دربندي ، آقا بن عابد - 1285 ؟ ه-</w:t>
        </w:r>
        <w:r>
          <w:tab/>
        </w:r>
        <w:r>
          <w:fldChar w:fldCharType="begin"/>
        </w:r>
        <w:r>
          <w:instrText xml:space="preserve">PAGEREF 3408 \h</w:instrText>
        </w:r>
        <w:r>
          <w:fldChar w:fldCharType="end"/>
        </w:r>
      </w:hyperlink>
    </w:p>
    <w:p>
      <w:pPr>
        <w:tabs>
          <w:tab w:val="right" w:leader="dot" w:pos="9062"/>
        </w:tabs>
        <w:ind w:left="220"/>
      </w:pPr>
      <w:hyperlink w:anchor="_Toc3409" w:history="1">
        <w:r>
          <w:rPr>
            <w:rFonts w:ascii="IRNazanin" w:hAnsi="IRNazanin" w:eastAsia="IRNazanin" w:cs="IRNazanin"/>
            <w:color w:val="111111"/>
            <w:sz w:val="22"/>
            <w:szCs w:val="22"/>
            <w:b w:val="0"/>
            <w:bCs w:val="0"/>
            <w:i w:val="0"/>
            <w:iCs w:val="0"/>
          </w:rPr>
          <w:t>دربندي ، غلامحسين بن علي اصغر</w:t>
        </w:r>
        <w:r>
          <w:tab/>
        </w:r>
        <w:r>
          <w:fldChar w:fldCharType="begin"/>
        </w:r>
        <w:r>
          <w:instrText xml:space="preserve">PAGEREF 3409 \h</w:instrText>
        </w:r>
        <w:r>
          <w:fldChar w:fldCharType="end"/>
        </w:r>
      </w:hyperlink>
    </w:p>
    <w:p>
      <w:pPr>
        <w:tabs>
          <w:tab w:val="right" w:leader="dot" w:pos="9062"/>
        </w:tabs>
        <w:ind w:left="220"/>
      </w:pPr>
      <w:hyperlink w:anchor="_Toc3410" w:history="1">
        <w:r>
          <w:rPr>
            <w:rFonts w:ascii="IRNazanin" w:hAnsi="IRNazanin" w:eastAsia="IRNazanin" w:cs="IRNazanin"/>
            <w:color w:val="111111"/>
            <w:sz w:val="22"/>
            <w:szCs w:val="22"/>
            <w:b w:val="0"/>
            <w:bCs w:val="0"/>
            <w:i w:val="0"/>
            <w:iCs w:val="0"/>
          </w:rPr>
          <w:t>درچه اي اصفهاني ، محمّد باقر بن</w:t>
        </w:r>
        <w:r>
          <w:tab/>
        </w:r>
        <w:r>
          <w:fldChar w:fldCharType="begin"/>
        </w:r>
        <w:r>
          <w:instrText xml:space="preserve">PAGEREF 3410 \h</w:instrText>
        </w:r>
        <w:r>
          <w:fldChar w:fldCharType="end"/>
        </w:r>
      </w:hyperlink>
    </w:p>
    <w:p>
      <w:pPr>
        <w:tabs>
          <w:tab w:val="right" w:leader="dot" w:pos="9062"/>
        </w:tabs>
        <w:ind w:left="220"/>
      </w:pPr>
      <w:hyperlink w:anchor="_Toc3411" w:history="1">
        <w:r>
          <w:rPr>
            <w:rFonts w:ascii="IRNazanin" w:hAnsi="IRNazanin" w:eastAsia="IRNazanin" w:cs="IRNazanin"/>
            <w:color w:val="111111"/>
            <w:sz w:val="22"/>
            <w:szCs w:val="22"/>
            <w:b w:val="0"/>
            <w:bCs w:val="0"/>
            <w:i w:val="0"/>
            <w:iCs w:val="0"/>
          </w:rPr>
          <w:t>دردیر، احمد بن محمّد، 1127-1201 ه-</w:t>
        </w:r>
        <w:r>
          <w:tab/>
        </w:r>
        <w:r>
          <w:fldChar w:fldCharType="begin"/>
        </w:r>
        <w:r>
          <w:instrText xml:space="preserve">PAGEREF 3411 \h</w:instrText>
        </w:r>
        <w:r>
          <w:fldChar w:fldCharType="end"/>
        </w:r>
      </w:hyperlink>
    </w:p>
    <w:p>
      <w:pPr>
        <w:tabs>
          <w:tab w:val="right" w:leader="dot" w:pos="9062"/>
        </w:tabs>
        <w:ind w:left="220"/>
      </w:pPr>
      <w:hyperlink w:anchor="_Toc3412" w:history="1">
        <w:r>
          <w:rPr>
            <w:rFonts w:ascii="IRNazanin" w:hAnsi="IRNazanin" w:eastAsia="IRNazanin" w:cs="IRNazanin"/>
            <w:color w:val="111111"/>
            <w:sz w:val="22"/>
            <w:szCs w:val="22"/>
            <w:b w:val="0"/>
            <w:bCs w:val="0"/>
            <w:i w:val="0"/>
            <w:iCs w:val="0"/>
          </w:rPr>
          <w:t>دركزلي ، حسن بن اسماعيل - 1327 ه-</w:t>
        </w:r>
        <w:r>
          <w:tab/>
        </w:r>
        <w:r>
          <w:fldChar w:fldCharType="begin"/>
        </w:r>
        <w:r>
          <w:instrText xml:space="preserve">PAGEREF 3412 \h</w:instrText>
        </w:r>
        <w:r>
          <w:fldChar w:fldCharType="end"/>
        </w:r>
      </w:hyperlink>
    </w:p>
    <w:p>
      <w:pPr>
        <w:tabs>
          <w:tab w:val="right" w:leader="dot" w:pos="9062"/>
        </w:tabs>
        <w:ind w:left="220"/>
      </w:pPr>
      <w:hyperlink w:anchor="_Toc3413" w:history="1">
        <w:r>
          <w:rPr>
            <w:rFonts w:ascii="IRNazanin" w:hAnsi="IRNazanin" w:eastAsia="IRNazanin" w:cs="IRNazanin"/>
            <w:color w:val="111111"/>
            <w:sz w:val="22"/>
            <w:szCs w:val="22"/>
            <w:b w:val="0"/>
            <w:bCs w:val="0"/>
            <w:i w:val="0"/>
            <w:iCs w:val="0"/>
          </w:rPr>
          <w:t>درگزيني ، محمود بن محمّد - 911 ه-</w:t>
        </w:r>
        <w:r>
          <w:tab/>
        </w:r>
        <w:r>
          <w:fldChar w:fldCharType="begin"/>
        </w:r>
        <w:r>
          <w:instrText xml:space="preserve">PAGEREF 3413 \h</w:instrText>
        </w:r>
        <w:r>
          <w:fldChar w:fldCharType="end"/>
        </w:r>
      </w:hyperlink>
    </w:p>
    <w:p>
      <w:pPr>
        <w:tabs>
          <w:tab w:val="right" w:leader="dot" w:pos="9062"/>
        </w:tabs>
        <w:ind w:left="220"/>
      </w:pPr>
      <w:hyperlink w:anchor="_Toc3414" w:history="1">
        <w:r>
          <w:rPr>
            <w:rFonts w:ascii="IRNazanin" w:hAnsi="IRNazanin" w:eastAsia="IRNazanin" w:cs="IRNazanin"/>
            <w:color w:val="111111"/>
            <w:sz w:val="22"/>
            <w:szCs w:val="22"/>
            <w:b w:val="0"/>
            <w:bCs w:val="0"/>
            <w:i w:val="0"/>
            <w:iCs w:val="0"/>
          </w:rPr>
          <w:t>درني ، عبدالله</w:t>
        </w:r>
        <w:r>
          <w:tab/>
        </w:r>
        <w:r>
          <w:fldChar w:fldCharType="begin"/>
        </w:r>
        <w:r>
          <w:instrText xml:space="preserve">PAGEREF 3414 \h</w:instrText>
        </w:r>
        <w:r>
          <w:fldChar w:fldCharType="end"/>
        </w:r>
      </w:hyperlink>
    </w:p>
    <w:p>
      <w:pPr>
        <w:tabs>
          <w:tab w:val="right" w:leader="dot" w:pos="9062"/>
        </w:tabs>
        <w:ind w:left="220"/>
      </w:pPr>
      <w:hyperlink w:anchor="_Toc3415" w:history="1">
        <w:r>
          <w:rPr>
            <w:rFonts w:ascii="IRNazanin" w:hAnsi="IRNazanin" w:eastAsia="IRNazanin" w:cs="IRNazanin"/>
            <w:color w:val="111111"/>
            <w:sz w:val="22"/>
            <w:szCs w:val="22"/>
            <w:b w:val="0"/>
            <w:bCs w:val="0"/>
            <w:i w:val="0"/>
            <w:iCs w:val="0"/>
          </w:rPr>
          <w:t>دروبي ، ابراهيم بن عبد الغني قرن 14 ه-</w:t>
        </w:r>
        <w:r>
          <w:tab/>
        </w:r>
        <w:r>
          <w:fldChar w:fldCharType="begin"/>
        </w:r>
        <w:r>
          <w:instrText xml:space="preserve">PAGEREF 3415 \h</w:instrText>
        </w:r>
        <w:r>
          <w:fldChar w:fldCharType="end"/>
        </w:r>
      </w:hyperlink>
    </w:p>
    <w:p>
      <w:pPr>
        <w:tabs>
          <w:tab w:val="right" w:leader="dot" w:pos="9062"/>
        </w:tabs>
        <w:ind w:left="220"/>
      </w:pPr>
      <w:hyperlink w:anchor="_Toc3416" w:history="1">
        <w:r>
          <w:rPr>
            <w:rFonts w:ascii="IRNazanin" w:hAnsi="IRNazanin" w:eastAsia="IRNazanin" w:cs="IRNazanin"/>
            <w:color w:val="111111"/>
            <w:sz w:val="22"/>
            <w:szCs w:val="22"/>
            <w:b w:val="0"/>
            <w:bCs w:val="0"/>
            <w:i w:val="0"/>
            <w:iCs w:val="0"/>
          </w:rPr>
          <w:t>درویش ،برهان علي بن ابراهيم قرن 10ه-</w:t>
        </w:r>
        <w:r>
          <w:tab/>
        </w:r>
        <w:r>
          <w:fldChar w:fldCharType="begin"/>
        </w:r>
        <w:r>
          <w:instrText xml:space="preserve">PAGEREF 3416 \h</w:instrText>
        </w:r>
        <w:r>
          <w:fldChar w:fldCharType="end"/>
        </w:r>
      </w:hyperlink>
    </w:p>
    <w:p>
      <w:pPr>
        <w:tabs>
          <w:tab w:val="right" w:leader="dot" w:pos="9062"/>
        </w:tabs>
        <w:ind w:left="220"/>
      </w:pPr>
      <w:hyperlink w:anchor="_Toc3417" w:history="1">
        <w:r>
          <w:rPr>
            <w:rFonts w:ascii="IRNazanin" w:hAnsi="IRNazanin" w:eastAsia="IRNazanin" w:cs="IRNazanin"/>
            <w:color w:val="111111"/>
            <w:sz w:val="22"/>
            <w:szCs w:val="22"/>
            <w:b w:val="0"/>
            <w:bCs w:val="0"/>
            <w:i w:val="0"/>
            <w:iCs w:val="0"/>
          </w:rPr>
          <w:t>درویش بن محمّد - 1014ه-</w:t>
        </w:r>
        <w:r>
          <w:tab/>
        </w:r>
        <w:r>
          <w:fldChar w:fldCharType="begin"/>
        </w:r>
        <w:r>
          <w:instrText xml:space="preserve">PAGEREF 3417 \h</w:instrText>
        </w:r>
        <w:r>
          <w:fldChar w:fldCharType="end"/>
        </w:r>
      </w:hyperlink>
    </w:p>
    <w:p>
      <w:pPr>
        <w:tabs>
          <w:tab w:val="right" w:leader="dot" w:pos="9062"/>
        </w:tabs>
        <w:ind w:left="220"/>
      </w:pPr>
      <w:hyperlink w:anchor="_Toc3418" w:history="1">
        <w:r>
          <w:rPr>
            <w:rFonts w:ascii="IRNazanin" w:hAnsi="IRNazanin" w:eastAsia="IRNazanin" w:cs="IRNazanin"/>
            <w:color w:val="111111"/>
            <w:sz w:val="22"/>
            <w:szCs w:val="22"/>
            <w:b w:val="0"/>
            <w:bCs w:val="0"/>
            <w:i w:val="0"/>
            <w:iCs w:val="0"/>
          </w:rPr>
          <w:t>درويش بن مصطفى</w:t>
        </w:r>
        <w:r>
          <w:tab/>
        </w:r>
        <w:r>
          <w:fldChar w:fldCharType="begin"/>
        </w:r>
        <w:r>
          <w:instrText xml:space="preserve">PAGEREF 3418 \h</w:instrText>
        </w:r>
        <w:r>
          <w:fldChar w:fldCharType="end"/>
        </w:r>
      </w:hyperlink>
    </w:p>
    <w:p>
      <w:pPr>
        <w:tabs>
          <w:tab w:val="right" w:leader="dot" w:pos="9062"/>
        </w:tabs>
        <w:ind w:left="220"/>
      </w:pPr>
      <w:hyperlink w:anchor="_Toc3419" w:history="1">
        <w:r>
          <w:rPr>
            <w:rFonts w:ascii="IRNazanin" w:hAnsi="IRNazanin" w:eastAsia="IRNazanin" w:cs="IRNazanin"/>
            <w:color w:val="111111"/>
            <w:sz w:val="22"/>
            <w:szCs w:val="22"/>
            <w:b w:val="0"/>
            <w:bCs w:val="0"/>
            <w:i w:val="0"/>
            <w:iCs w:val="0"/>
          </w:rPr>
          <w:t>درویش ، علي - 1368 ه-</w:t>
        </w:r>
        <w:r>
          <w:tab/>
        </w:r>
        <w:r>
          <w:fldChar w:fldCharType="begin"/>
        </w:r>
        <w:r>
          <w:instrText xml:space="preserve">PAGEREF 3419 \h</w:instrText>
        </w:r>
        <w:r>
          <w:fldChar w:fldCharType="end"/>
        </w:r>
      </w:hyperlink>
    </w:p>
    <w:p>
      <w:pPr>
        <w:tabs>
          <w:tab w:val="right" w:leader="dot" w:pos="9062"/>
        </w:tabs>
        <w:ind w:left="220"/>
      </w:pPr>
      <w:hyperlink w:anchor="_Toc3420" w:history="1">
        <w:r>
          <w:rPr>
            <w:rFonts w:ascii="IRNazanin" w:hAnsi="IRNazanin" w:eastAsia="IRNazanin" w:cs="IRNazanin"/>
            <w:color w:val="111111"/>
            <w:sz w:val="22"/>
            <w:szCs w:val="22"/>
            <w:b w:val="0"/>
            <w:bCs w:val="0"/>
            <w:i w:val="0"/>
            <w:iCs w:val="0"/>
          </w:rPr>
          <w:t>درويش ، علي بن حسن - 1270 ه-</w:t>
        </w:r>
        <w:r>
          <w:tab/>
        </w:r>
        <w:r>
          <w:fldChar w:fldCharType="begin"/>
        </w:r>
        <w:r>
          <w:instrText xml:space="preserve">PAGEREF 3420 \h</w:instrText>
        </w:r>
        <w:r>
          <w:fldChar w:fldCharType="end"/>
        </w:r>
      </w:hyperlink>
    </w:p>
    <w:p>
      <w:pPr>
        <w:tabs>
          <w:tab w:val="right" w:leader="dot" w:pos="9062"/>
        </w:tabs>
        <w:ind w:left="220"/>
      </w:pPr>
      <w:hyperlink w:anchor="_Toc3421" w:history="1">
        <w:r>
          <w:rPr>
            <w:rFonts w:ascii="IRNazanin" w:hAnsi="IRNazanin" w:eastAsia="IRNazanin" w:cs="IRNazanin"/>
            <w:color w:val="111111"/>
            <w:sz w:val="22"/>
            <w:szCs w:val="22"/>
            <w:b w:val="0"/>
            <w:bCs w:val="0"/>
            <w:i w:val="0"/>
            <w:iCs w:val="0"/>
          </w:rPr>
          <w:t>درویش مصطفی</w:t>
        </w:r>
        <w:r>
          <w:tab/>
        </w:r>
        <w:r>
          <w:fldChar w:fldCharType="begin"/>
        </w:r>
        <w:r>
          <w:instrText xml:space="preserve">PAGEREF 3421 \h</w:instrText>
        </w:r>
        <w:r>
          <w:fldChar w:fldCharType="end"/>
        </w:r>
      </w:hyperlink>
    </w:p>
    <w:p>
      <w:pPr>
        <w:tabs>
          <w:tab w:val="right" w:leader="dot" w:pos="9062"/>
        </w:tabs>
        <w:ind w:left="220"/>
      </w:pPr>
      <w:hyperlink w:anchor="_Toc3422" w:history="1">
        <w:r>
          <w:rPr>
            <w:rFonts w:ascii="IRNazanin" w:hAnsi="IRNazanin" w:eastAsia="IRNazanin" w:cs="IRNazanin"/>
            <w:color w:val="111111"/>
            <w:sz w:val="22"/>
            <w:szCs w:val="22"/>
            <w:b w:val="0"/>
            <w:bCs w:val="0"/>
            <w:i w:val="0"/>
            <w:iCs w:val="0"/>
          </w:rPr>
          <w:t>دريديل</w:t>
        </w:r>
        <w:r>
          <w:tab/>
        </w:r>
        <w:r>
          <w:fldChar w:fldCharType="begin"/>
        </w:r>
        <w:r>
          <w:instrText xml:space="preserve">PAGEREF 3422 \h</w:instrText>
        </w:r>
        <w:r>
          <w:fldChar w:fldCharType="end"/>
        </w:r>
      </w:hyperlink>
    </w:p>
    <w:p>
      <w:pPr>
        <w:tabs>
          <w:tab w:val="right" w:leader="dot" w:pos="9062"/>
        </w:tabs>
        <w:ind w:left="220"/>
      </w:pPr>
      <w:hyperlink w:anchor="_Toc3423" w:history="1">
        <w:r>
          <w:rPr>
            <w:rFonts w:ascii="IRNazanin" w:hAnsi="IRNazanin" w:eastAsia="IRNazanin" w:cs="IRNazanin"/>
            <w:color w:val="111111"/>
            <w:sz w:val="22"/>
            <w:szCs w:val="22"/>
            <w:b w:val="0"/>
            <w:bCs w:val="0"/>
            <w:i w:val="0"/>
            <w:iCs w:val="0"/>
          </w:rPr>
          <w:t>دري ، عبدالكريم بن محمّد قرن 11 ه-</w:t>
        </w:r>
        <w:r>
          <w:tab/>
        </w:r>
        <w:r>
          <w:fldChar w:fldCharType="begin"/>
        </w:r>
        <w:r>
          <w:instrText xml:space="preserve">PAGEREF 3423 \h</w:instrText>
        </w:r>
        <w:r>
          <w:fldChar w:fldCharType="end"/>
        </w:r>
      </w:hyperlink>
    </w:p>
    <w:p>
      <w:pPr>
        <w:tabs>
          <w:tab w:val="right" w:leader="dot" w:pos="9062"/>
        </w:tabs>
        <w:ind w:left="220"/>
      </w:pPr>
      <w:hyperlink w:anchor="_Toc3424" w:history="1">
        <w:r>
          <w:rPr>
            <w:rFonts w:ascii="IRNazanin" w:hAnsi="IRNazanin" w:eastAsia="IRNazanin" w:cs="IRNazanin"/>
            <w:color w:val="111111"/>
            <w:sz w:val="22"/>
            <w:szCs w:val="22"/>
            <w:b w:val="0"/>
            <w:bCs w:val="0"/>
            <w:i w:val="0"/>
            <w:iCs w:val="0"/>
          </w:rPr>
          <w:t>دزدري ، ملاعلي قرن 14 ه-</w:t>
        </w:r>
        <w:r>
          <w:tab/>
        </w:r>
        <w:r>
          <w:fldChar w:fldCharType="begin"/>
        </w:r>
        <w:r>
          <w:instrText xml:space="preserve">PAGEREF 3424 \h</w:instrText>
        </w:r>
        <w:r>
          <w:fldChar w:fldCharType="end"/>
        </w:r>
      </w:hyperlink>
    </w:p>
    <w:p>
      <w:pPr>
        <w:tabs>
          <w:tab w:val="right" w:leader="dot" w:pos="9062"/>
        </w:tabs>
        <w:ind w:left="220"/>
      </w:pPr>
      <w:hyperlink w:anchor="_Toc3425" w:history="1">
        <w:r>
          <w:rPr>
            <w:rFonts w:ascii="IRNazanin" w:hAnsi="IRNazanin" w:eastAsia="IRNazanin" w:cs="IRNazanin"/>
            <w:color w:val="111111"/>
            <w:sz w:val="22"/>
            <w:szCs w:val="22"/>
            <w:b w:val="0"/>
            <w:bCs w:val="0"/>
            <w:i w:val="0"/>
            <w:iCs w:val="0"/>
          </w:rPr>
          <w:t>دزفولي ، عبد الحسين بن محمّدتقي</w:t>
        </w:r>
        <w:r>
          <w:tab/>
        </w:r>
        <w:r>
          <w:fldChar w:fldCharType="begin"/>
        </w:r>
        <w:r>
          <w:instrText xml:space="preserve">PAGEREF 3425 \h</w:instrText>
        </w:r>
        <w:r>
          <w:fldChar w:fldCharType="end"/>
        </w:r>
      </w:hyperlink>
    </w:p>
    <w:p>
      <w:pPr>
        <w:tabs>
          <w:tab w:val="right" w:leader="dot" w:pos="9062"/>
        </w:tabs>
        <w:ind w:left="220"/>
      </w:pPr>
      <w:hyperlink w:anchor="_Toc3426" w:history="1">
        <w:r>
          <w:rPr>
            <w:rFonts w:ascii="IRNazanin" w:hAnsi="IRNazanin" w:eastAsia="IRNazanin" w:cs="IRNazanin"/>
            <w:color w:val="111111"/>
            <w:sz w:val="22"/>
            <w:szCs w:val="22"/>
            <w:b w:val="0"/>
            <w:bCs w:val="0"/>
            <w:i w:val="0"/>
            <w:iCs w:val="0"/>
          </w:rPr>
          <w:t>دزفولي ، محمّد طاهر - 1315 ه-</w:t>
        </w:r>
        <w:r>
          <w:tab/>
        </w:r>
        <w:r>
          <w:fldChar w:fldCharType="begin"/>
        </w:r>
        <w:r>
          <w:instrText xml:space="preserve">PAGEREF 3426 \h</w:instrText>
        </w:r>
        <w:r>
          <w:fldChar w:fldCharType="end"/>
        </w:r>
      </w:hyperlink>
    </w:p>
    <w:p>
      <w:pPr>
        <w:tabs>
          <w:tab w:val="right" w:leader="dot" w:pos="9062"/>
        </w:tabs>
        <w:ind w:left="220"/>
      </w:pPr>
      <w:hyperlink w:anchor="_Toc3427" w:history="1">
        <w:r>
          <w:rPr>
            <w:rFonts w:ascii="IRNazanin" w:hAnsi="IRNazanin" w:eastAsia="IRNazanin" w:cs="IRNazanin"/>
            <w:color w:val="111111"/>
            <w:sz w:val="22"/>
            <w:szCs w:val="22"/>
            <w:b w:val="0"/>
            <w:bCs w:val="0"/>
            <w:i w:val="0"/>
            <w:iCs w:val="0"/>
          </w:rPr>
          <w:t>دستغیب ، محمّد صالح بن مسعود قرن</w:t>
        </w:r>
        <w:r>
          <w:tab/>
        </w:r>
        <w:r>
          <w:fldChar w:fldCharType="begin"/>
        </w:r>
        <w:r>
          <w:instrText xml:space="preserve">PAGEREF 3427 \h</w:instrText>
        </w:r>
        <w:r>
          <w:fldChar w:fldCharType="end"/>
        </w:r>
      </w:hyperlink>
    </w:p>
    <w:p>
      <w:pPr>
        <w:tabs>
          <w:tab w:val="right" w:leader="dot" w:pos="9062"/>
        </w:tabs>
        <w:ind w:left="220"/>
      </w:pPr>
      <w:hyperlink w:anchor="_Toc3428" w:history="1">
        <w:r>
          <w:rPr>
            <w:rFonts w:ascii="IRNazanin" w:hAnsi="IRNazanin" w:eastAsia="IRNazanin" w:cs="IRNazanin"/>
            <w:color w:val="111111"/>
            <w:sz w:val="22"/>
            <w:szCs w:val="22"/>
            <w:b w:val="0"/>
            <w:bCs w:val="0"/>
            <w:i w:val="0"/>
            <w:iCs w:val="0"/>
          </w:rPr>
          <w:t>دسوقي ، ابراهيم بن محمّد - 919 ه-</w:t>
        </w:r>
        <w:r>
          <w:tab/>
        </w:r>
        <w:r>
          <w:fldChar w:fldCharType="begin"/>
        </w:r>
        <w:r>
          <w:instrText xml:space="preserve">PAGEREF 3428 \h</w:instrText>
        </w:r>
        <w:r>
          <w:fldChar w:fldCharType="end"/>
        </w:r>
      </w:hyperlink>
    </w:p>
    <w:p>
      <w:pPr>
        <w:tabs>
          <w:tab w:val="right" w:leader="dot" w:pos="9062"/>
        </w:tabs>
        <w:ind w:left="220"/>
      </w:pPr>
      <w:hyperlink w:anchor="_Toc3429" w:history="1">
        <w:r>
          <w:rPr>
            <w:rFonts w:ascii="IRNazanin" w:hAnsi="IRNazanin" w:eastAsia="IRNazanin" w:cs="IRNazanin"/>
            <w:color w:val="111111"/>
            <w:sz w:val="22"/>
            <w:szCs w:val="22"/>
            <w:b w:val="0"/>
            <w:bCs w:val="0"/>
            <w:i w:val="0"/>
            <w:iCs w:val="0"/>
          </w:rPr>
          <w:t>دسوقي ، ابراهيم صومع</w:t>
        </w:r>
        <w:r>
          <w:tab/>
        </w:r>
        <w:r>
          <w:fldChar w:fldCharType="begin"/>
        </w:r>
        <w:r>
          <w:instrText xml:space="preserve">PAGEREF 3429 \h</w:instrText>
        </w:r>
        <w:r>
          <w:fldChar w:fldCharType="end"/>
        </w:r>
      </w:hyperlink>
    </w:p>
    <w:p>
      <w:pPr>
        <w:tabs>
          <w:tab w:val="right" w:leader="dot" w:pos="9062"/>
        </w:tabs>
        <w:ind w:left="220"/>
      </w:pPr>
      <w:hyperlink w:anchor="_Toc3430" w:history="1">
        <w:r>
          <w:rPr>
            <w:rFonts w:ascii="IRNazanin" w:hAnsi="IRNazanin" w:eastAsia="IRNazanin" w:cs="IRNazanin"/>
            <w:color w:val="111111"/>
            <w:sz w:val="22"/>
            <w:szCs w:val="22"/>
            <w:b w:val="0"/>
            <w:bCs w:val="0"/>
            <w:i w:val="0"/>
            <w:iCs w:val="0"/>
          </w:rPr>
          <w:t>دسوقي ، علي الملاح، قرن 14 ه-</w:t>
        </w:r>
        <w:r>
          <w:tab/>
        </w:r>
        <w:r>
          <w:fldChar w:fldCharType="begin"/>
        </w:r>
        <w:r>
          <w:instrText xml:space="preserve">PAGEREF 3430 \h</w:instrText>
        </w:r>
        <w:r>
          <w:fldChar w:fldCharType="end"/>
        </w:r>
      </w:hyperlink>
    </w:p>
    <w:p>
      <w:pPr>
        <w:tabs>
          <w:tab w:val="right" w:leader="dot" w:pos="9062"/>
        </w:tabs>
        <w:ind w:left="220"/>
      </w:pPr>
      <w:hyperlink w:anchor="_Toc3431" w:history="1">
        <w:r>
          <w:rPr>
            <w:rFonts w:ascii="IRNazanin" w:hAnsi="IRNazanin" w:eastAsia="IRNazanin" w:cs="IRNazanin"/>
            <w:color w:val="111111"/>
            <w:sz w:val="22"/>
            <w:szCs w:val="22"/>
            <w:b w:val="0"/>
            <w:bCs w:val="0"/>
            <w:i w:val="0"/>
            <w:iCs w:val="0"/>
          </w:rPr>
          <w:t>دشتكي شيرازي ، صدر الدين ثاني محمّد بن</w:t>
        </w:r>
        <w:r>
          <w:tab/>
        </w:r>
        <w:r>
          <w:fldChar w:fldCharType="begin"/>
        </w:r>
        <w:r>
          <w:instrText xml:space="preserve">PAGEREF 3431 \h</w:instrText>
        </w:r>
        <w:r>
          <w:fldChar w:fldCharType="end"/>
        </w:r>
      </w:hyperlink>
    </w:p>
    <w:p>
      <w:pPr>
        <w:tabs>
          <w:tab w:val="right" w:leader="dot" w:pos="9062"/>
        </w:tabs>
        <w:ind w:left="220"/>
      </w:pPr>
      <w:hyperlink w:anchor="_Toc3432" w:history="1">
        <w:r>
          <w:rPr>
            <w:rFonts w:ascii="IRNazanin" w:hAnsi="IRNazanin" w:eastAsia="IRNazanin" w:cs="IRNazanin"/>
            <w:color w:val="111111"/>
            <w:sz w:val="22"/>
            <w:szCs w:val="22"/>
            <w:b w:val="0"/>
            <w:bCs w:val="0"/>
            <w:i w:val="0"/>
            <w:iCs w:val="0"/>
          </w:rPr>
          <w:t>دشتكي شيرازي ، منصور بن صدر الدين</w:t>
        </w:r>
        <w:r>
          <w:tab/>
        </w:r>
        <w:r>
          <w:fldChar w:fldCharType="begin"/>
        </w:r>
        <w:r>
          <w:instrText xml:space="preserve">PAGEREF 3432 \h</w:instrText>
        </w:r>
        <w:r>
          <w:fldChar w:fldCharType="end"/>
        </w:r>
      </w:hyperlink>
    </w:p>
    <w:p>
      <w:pPr>
        <w:tabs>
          <w:tab w:val="right" w:leader="dot" w:pos="9062"/>
        </w:tabs>
        <w:ind w:left="220"/>
      </w:pPr>
      <w:hyperlink w:anchor="_Toc3433" w:history="1">
        <w:r>
          <w:rPr>
            <w:rFonts w:ascii="IRNazanin" w:hAnsi="IRNazanin" w:eastAsia="IRNazanin" w:cs="IRNazanin"/>
            <w:color w:val="111111"/>
            <w:sz w:val="22"/>
            <w:szCs w:val="22"/>
            <w:b w:val="0"/>
            <w:bCs w:val="0"/>
            <w:i w:val="0"/>
            <w:iCs w:val="0"/>
          </w:rPr>
          <w:t>دشتكي شيرازي ، مير صدرالدین محمّد</w:t>
        </w:r>
        <w:r>
          <w:tab/>
        </w:r>
        <w:r>
          <w:fldChar w:fldCharType="begin"/>
        </w:r>
        <w:r>
          <w:instrText xml:space="preserve">PAGEREF 3433 \h</w:instrText>
        </w:r>
        <w:r>
          <w:fldChar w:fldCharType="end"/>
        </w:r>
      </w:hyperlink>
    </w:p>
    <w:p>
      <w:pPr>
        <w:tabs>
          <w:tab w:val="right" w:leader="dot" w:pos="9062"/>
        </w:tabs>
        <w:ind w:left="220"/>
      </w:pPr>
      <w:hyperlink w:anchor="_Toc3434" w:history="1">
        <w:r>
          <w:rPr>
            <w:rFonts w:ascii="IRNazanin" w:hAnsi="IRNazanin" w:eastAsia="IRNazanin" w:cs="IRNazanin"/>
            <w:color w:val="111111"/>
            <w:sz w:val="22"/>
            <w:szCs w:val="22"/>
            <w:b w:val="0"/>
            <w:bCs w:val="0"/>
            <w:i w:val="0"/>
            <w:iCs w:val="0"/>
          </w:rPr>
          <w:t>دشتي ، محمود بن ابي القاسم ، قرن 7 ه-</w:t>
        </w:r>
        <w:r>
          <w:tab/>
        </w:r>
        <w:r>
          <w:fldChar w:fldCharType="begin"/>
        </w:r>
        <w:r>
          <w:instrText xml:space="preserve">PAGEREF 3434 \h</w:instrText>
        </w:r>
        <w:r>
          <w:fldChar w:fldCharType="end"/>
        </w:r>
      </w:hyperlink>
    </w:p>
    <w:p>
      <w:pPr>
        <w:tabs>
          <w:tab w:val="right" w:leader="dot" w:pos="9062"/>
        </w:tabs>
        <w:ind w:left="220"/>
      </w:pPr>
      <w:hyperlink w:anchor="_Toc3435" w:history="1">
        <w:r>
          <w:rPr>
            <w:rFonts w:ascii="IRNazanin" w:hAnsi="IRNazanin" w:eastAsia="IRNazanin" w:cs="IRNazanin"/>
            <w:color w:val="111111"/>
            <w:sz w:val="22"/>
            <w:szCs w:val="22"/>
            <w:b w:val="0"/>
            <w:bCs w:val="0"/>
            <w:i w:val="0"/>
            <w:iCs w:val="0"/>
          </w:rPr>
          <w:t>دعبل خزاعي، 148 - 246 ه-</w:t>
        </w:r>
        <w:r>
          <w:tab/>
        </w:r>
        <w:r>
          <w:fldChar w:fldCharType="begin"/>
        </w:r>
        <w:r>
          <w:instrText xml:space="preserve">PAGEREF 3435 \h</w:instrText>
        </w:r>
        <w:r>
          <w:fldChar w:fldCharType="end"/>
        </w:r>
      </w:hyperlink>
    </w:p>
    <w:p>
      <w:pPr>
        <w:tabs>
          <w:tab w:val="right" w:leader="dot" w:pos="9062"/>
        </w:tabs>
        <w:ind w:left="220"/>
      </w:pPr>
      <w:hyperlink w:anchor="_Toc3436" w:history="1">
        <w:r>
          <w:rPr>
            <w:rFonts w:ascii="IRNazanin" w:hAnsi="IRNazanin" w:eastAsia="IRNazanin" w:cs="IRNazanin"/>
            <w:color w:val="111111"/>
            <w:sz w:val="22"/>
            <w:szCs w:val="22"/>
            <w:b w:val="0"/>
            <w:bCs w:val="0"/>
            <w:i w:val="0"/>
            <w:iCs w:val="0"/>
          </w:rPr>
          <w:t>دعبيل ، عمران بن احمد .</w:t>
        </w:r>
        <w:r>
          <w:tab/>
        </w:r>
        <w:r>
          <w:fldChar w:fldCharType="begin"/>
        </w:r>
        <w:r>
          <w:instrText xml:space="preserve">PAGEREF 3436 \h</w:instrText>
        </w:r>
        <w:r>
          <w:fldChar w:fldCharType="end"/>
        </w:r>
      </w:hyperlink>
    </w:p>
    <w:p>
      <w:pPr>
        <w:tabs>
          <w:tab w:val="right" w:leader="dot" w:pos="9062"/>
        </w:tabs>
        <w:ind w:left="220"/>
      </w:pPr>
      <w:hyperlink w:anchor="_Toc3437" w:history="1">
        <w:r>
          <w:rPr>
            <w:rFonts w:ascii="IRNazanin" w:hAnsi="IRNazanin" w:eastAsia="IRNazanin" w:cs="IRNazanin"/>
            <w:color w:val="111111"/>
            <w:sz w:val="22"/>
            <w:szCs w:val="22"/>
            <w:b w:val="0"/>
            <w:bCs w:val="0"/>
            <w:i w:val="0"/>
            <w:iCs w:val="0"/>
          </w:rPr>
          <w:t>دكتور طلوزان، 1820 - 1898 ه</w:t>
        </w:r>
        <w:r>
          <w:tab/>
        </w:r>
        <w:r>
          <w:fldChar w:fldCharType="begin"/>
        </w:r>
        <w:r>
          <w:instrText xml:space="preserve">PAGEREF 3437 \h</w:instrText>
        </w:r>
        <w:r>
          <w:fldChar w:fldCharType="end"/>
        </w:r>
      </w:hyperlink>
    </w:p>
    <w:p>
      <w:pPr>
        <w:tabs>
          <w:tab w:val="right" w:leader="dot" w:pos="9062"/>
        </w:tabs>
        <w:ind w:left="220"/>
      </w:pPr>
      <w:hyperlink w:anchor="_Toc3438" w:history="1">
        <w:r>
          <w:rPr>
            <w:rFonts w:ascii="IRNazanin" w:hAnsi="IRNazanin" w:eastAsia="IRNazanin" w:cs="IRNazanin"/>
            <w:color w:val="111111"/>
            <w:sz w:val="22"/>
            <w:szCs w:val="22"/>
            <w:b w:val="0"/>
            <w:bCs w:val="0"/>
            <w:i w:val="0"/>
            <w:iCs w:val="0"/>
          </w:rPr>
          <w:t>دكتور مظفر، - 1921م</w:t>
        </w:r>
        <w:r>
          <w:tab/>
        </w:r>
        <w:r>
          <w:fldChar w:fldCharType="begin"/>
        </w:r>
        <w:r>
          <w:instrText xml:space="preserve">PAGEREF 3438 \h</w:instrText>
        </w:r>
        <w:r>
          <w:fldChar w:fldCharType="end"/>
        </w:r>
      </w:hyperlink>
    </w:p>
    <w:p>
      <w:pPr>
        <w:tabs>
          <w:tab w:val="right" w:leader="dot" w:pos="9062"/>
        </w:tabs>
        <w:ind w:left="220"/>
      </w:pPr>
      <w:hyperlink w:anchor="_Toc3439" w:history="1">
        <w:r>
          <w:rPr>
            <w:rFonts w:ascii="IRNazanin" w:hAnsi="IRNazanin" w:eastAsia="IRNazanin" w:cs="IRNazanin"/>
            <w:color w:val="111111"/>
            <w:sz w:val="22"/>
            <w:szCs w:val="22"/>
            <w:b w:val="0"/>
            <w:bCs w:val="0"/>
            <w:i w:val="0"/>
            <w:iCs w:val="0"/>
          </w:rPr>
          <w:t>دكتور موبو</w:t>
        </w:r>
        <w:r>
          <w:tab/>
        </w:r>
        <w:r>
          <w:fldChar w:fldCharType="begin"/>
        </w:r>
        <w:r>
          <w:instrText xml:space="preserve">PAGEREF 3439 \h</w:instrText>
        </w:r>
        <w:r>
          <w:fldChar w:fldCharType="end"/>
        </w:r>
      </w:hyperlink>
    </w:p>
    <w:p>
      <w:pPr>
        <w:tabs>
          <w:tab w:val="right" w:leader="dot" w:pos="9062"/>
        </w:tabs>
        <w:ind w:left="220"/>
      </w:pPr>
      <w:hyperlink w:anchor="_Toc3440" w:history="1">
        <w:r>
          <w:rPr>
            <w:rFonts w:ascii="IRNazanin" w:hAnsi="IRNazanin" w:eastAsia="IRNazanin" w:cs="IRNazanin"/>
            <w:color w:val="111111"/>
            <w:sz w:val="22"/>
            <w:szCs w:val="22"/>
            <w:b w:val="0"/>
            <w:bCs w:val="0"/>
            <w:i w:val="0"/>
            <w:iCs w:val="0"/>
          </w:rPr>
          <w:t>دقيقي ، سليمان بن بنين - 613 ه-</w:t>
        </w:r>
        <w:r>
          <w:tab/>
        </w:r>
        <w:r>
          <w:fldChar w:fldCharType="begin"/>
        </w:r>
        <w:r>
          <w:instrText xml:space="preserve">PAGEREF 3440 \h</w:instrText>
        </w:r>
        <w:r>
          <w:fldChar w:fldCharType="end"/>
        </w:r>
      </w:hyperlink>
    </w:p>
    <w:p>
      <w:pPr>
        <w:tabs>
          <w:tab w:val="right" w:leader="dot" w:pos="9062"/>
        </w:tabs>
        <w:ind w:left="220"/>
      </w:pPr>
      <w:hyperlink w:anchor="_Toc3441" w:history="1">
        <w:r>
          <w:rPr>
            <w:rFonts w:ascii="IRNazanin" w:hAnsi="IRNazanin" w:eastAsia="IRNazanin" w:cs="IRNazanin"/>
            <w:color w:val="111111"/>
            <w:sz w:val="22"/>
            <w:szCs w:val="22"/>
            <w:b w:val="0"/>
            <w:bCs w:val="0"/>
            <w:i w:val="0"/>
            <w:iCs w:val="0"/>
          </w:rPr>
          <w:t>دل آهيا، حسين</w:t>
        </w:r>
        <w:r>
          <w:tab/>
        </w:r>
        <w:r>
          <w:fldChar w:fldCharType="begin"/>
        </w:r>
        <w:r>
          <w:instrText xml:space="preserve">PAGEREF 3441 \h</w:instrText>
        </w:r>
        <w:r>
          <w:fldChar w:fldCharType="end"/>
        </w:r>
      </w:hyperlink>
    </w:p>
    <w:p>
      <w:pPr>
        <w:tabs>
          <w:tab w:val="right" w:leader="dot" w:pos="9062"/>
        </w:tabs>
        <w:ind w:left="220"/>
      </w:pPr>
      <w:hyperlink w:anchor="_Toc3442" w:history="1">
        <w:r>
          <w:rPr>
            <w:rFonts w:ascii="IRNazanin" w:hAnsi="IRNazanin" w:eastAsia="IRNazanin" w:cs="IRNazanin"/>
            <w:color w:val="111111"/>
            <w:sz w:val="22"/>
            <w:szCs w:val="22"/>
            <w:b w:val="0"/>
            <w:bCs w:val="0"/>
            <w:i w:val="0"/>
            <w:iCs w:val="0"/>
          </w:rPr>
          <w:t>دلجی، محمد بن محمّد، 860 - 947 ه-</w:t>
        </w:r>
        <w:r>
          <w:tab/>
        </w:r>
        <w:r>
          <w:fldChar w:fldCharType="begin"/>
        </w:r>
        <w:r>
          <w:instrText xml:space="preserve">PAGEREF 3442 \h</w:instrText>
        </w:r>
        <w:r>
          <w:fldChar w:fldCharType="end"/>
        </w:r>
      </w:hyperlink>
    </w:p>
    <w:p>
      <w:pPr>
        <w:tabs>
          <w:tab w:val="right" w:leader="dot" w:pos="9062"/>
        </w:tabs>
        <w:ind w:left="220"/>
      </w:pPr>
      <w:hyperlink w:anchor="_Toc3443" w:history="1">
        <w:r>
          <w:rPr>
            <w:rFonts w:ascii="IRNazanin" w:hAnsi="IRNazanin" w:eastAsia="IRNazanin" w:cs="IRNazanin"/>
            <w:color w:val="111111"/>
            <w:sz w:val="22"/>
            <w:szCs w:val="22"/>
            <w:b w:val="0"/>
            <w:bCs w:val="0"/>
            <w:i w:val="0"/>
            <w:iCs w:val="0"/>
          </w:rPr>
          <w:t>دلكزنلي ، حسن بن اسماعيل</w:t>
        </w:r>
        <w:r>
          <w:tab/>
        </w:r>
        <w:r>
          <w:fldChar w:fldCharType="begin"/>
        </w:r>
        <w:r>
          <w:instrText xml:space="preserve">PAGEREF 3443 \h</w:instrText>
        </w:r>
        <w:r>
          <w:fldChar w:fldCharType="end"/>
        </w:r>
      </w:hyperlink>
    </w:p>
    <w:p>
      <w:pPr>
        <w:tabs>
          <w:tab w:val="right" w:leader="dot" w:pos="9062"/>
        </w:tabs>
        <w:ind w:left="220"/>
      </w:pPr>
      <w:hyperlink w:anchor="_Toc3444" w:history="1">
        <w:r>
          <w:rPr>
            <w:rFonts w:ascii="IRNazanin" w:hAnsi="IRNazanin" w:eastAsia="IRNazanin" w:cs="IRNazanin"/>
            <w:color w:val="111111"/>
            <w:sz w:val="22"/>
            <w:szCs w:val="22"/>
            <w:b w:val="0"/>
            <w:bCs w:val="0"/>
            <w:i w:val="0"/>
            <w:iCs w:val="0"/>
          </w:rPr>
          <w:t>دمستاني ، حسن بن محمّد - 1191 ه-</w:t>
        </w:r>
        <w:r>
          <w:tab/>
        </w:r>
        <w:r>
          <w:fldChar w:fldCharType="begin"/>
        </w:r>
        <w:r>
          <w:instrText xml:space="preserve">PAGEREF 3444 \h</w:instrText>
        </w:r>
        <w:r>
          <w:fldChar w:fldCharType="end"/>
        </w:r>
      </w:hyperlink>
    </w:p>
    <w:p>
      <w:pPr>
        <w:tabs>
          <w:tab w:val="right" w:leader="dot" w:pos="9062"/>
        </w:tabs>
        <w:ind w:left="220"/>
      </w:pPr>
      <w:hyperlink w:anchor="_Toc3445" w:history="1">
        <w:r>
          <w:rPr>
            <w:rFonts w:ascii="IRNazanin" w:hAnsi="IRNazanin" w:eastAsia="IRNazanin" w:cs="IRNazanin"/>
            <w:color w:val="111111"/>
            <w:sz w:val="22"/>
            <w:szCs w:val="22"/>
            <w:b w:val="0"/>
            <w:bCs w:val="0"/>
            <w:i w:val="0"/>
            <w:iCs w:val="0"/>
          </w:rPr>
          <w:t>دمشقي، ارسلان بن يعقوب - 699 ه-</w:t>
        </w:r>
        <w:r>
          <w:tab/>
        </w:r>
        <w:r>
          <w:fldChar w:fldCharType="begin"/>
        </w:r>
        <w:r>
          <w:instrText xml:space="preserve">PAGEREF 3445 \h</w:instrText>
        </w:r>
        <w:r>
          <w:fldChar w:fldCharType="end"/>
        </w:r>
      </w:hyperlink>
    </w:p>
    <w:p>
      <w:pPr>
        <w:tabs>
          <w:tab w:val="right" w:leader="dot" w:pos="9062"/>
        </w:tabs>
        <w:ind w:left="220"/>
      </w:pPr>
      <w:hyperlink w:anchor="_Toc3446" w:history="1">
        <w:r>
          <w:rPr>
            <w:rFonts w:ascii="IRNazanin" w:hAnsi="IRNazanin" w:eastAsia="IRNazanin" w:cs="IRNazanin"/>
            <w:color w:val="111111"/>
            <w:sz w:val="22"/>
            <w:szCs w:val="22"/>
            <w:b w:val="0"/>
            <w:bCs w:val="0"/>
            <w:i w:val="0"/>
            <w:iCs w:val="0"/>
          </w:rPr>
          <w:t>دمشقي شافعي محمّد بن احمد -904ه-</w:t>
        </w:r>
        <w:r>
          <w:tab/>
        </w:r>
        <w:r>
          <w:fldChar w:fldCharType="begin"/>
        </w:r>
        <w:r>
          <w:instrText xml:space="preserve">PAGEREF 3446 \h</w:instrText>
        </w:r>
        <w:r>
          <w:fldChar w:fldCharType="end"/>
        </w:r>
      </w:hyperlink>
    </w:p>
    <w:p>
      <w:pPr>
        <w:tabs>
          <w:tab w:val="right" w:leader="dot" w:pos="9062"/>
        </w:tabs>
        <w:ind w:left="220"/>
      </w:pPr>
      <w:hyperlink w:anchor="_Toc3447" w:history="1">
        <w:r>
          <w:rPr>
            <w:rFonts w:ascii="IRNazanin" w:hAnsi="IRNazanin" w:eastAsia="IRNazanin" w:cs="IRNazanin"/>
            <w:color w:val="111111"/>
            <w:sz w:val="22"/>
            <w:szCs w:val="22"/>
            <w:b w:val="0"/>
            <w:bCs w:val="0"/>
            <w:i w:val="0"/>
            <w:iCs w:val="0"/>
          </w:rPr>
          <w:t>دمشقي ، عبد الجليل بن عبدالمواهب</w:t>
        </w:r>
        <w:r>
          <w:tab/>
        </w:r>
        <w:r>
          <w:fldChar w:fldCharType="begin"/>
        </w:r>
        <w:r>
          <w:instrText xml:space="preserve">PAGEREF 3447 \h</w:instrText>
        </w:r>
        <w:r>
          <w:fldChar w:fldCharType="end"/>
        </w:r>
      </w:hyperlink>
    </w:p>
    <w:p>
      <w:pPr>
        <w:tabs>
          <w:tab w:val="right" w:leader="dot" w:pos="9062"/>
        </w:tabs>
        <w:ind w:left="220"/>
      </w:pPr>
      <w:hyperlink w:anchor="_Toc3448" w:history="1">
        <w:r>
          <w:rPr>
            <w:rFonts w:ascii="IRNazanin" w:hAnsi="IRNazanin" w:eastAsia="IRNazanin" w:cs="IRNazanin"/>
            <w:color w:val="111111"/>
            <w:sz w:val="22"/>
            <w:szCs w:val="22"/>
            <w:b w:val="0"/>
            <w:bCs w:val="0"/>
            <w:i w:val="0"/>
            <w:iCs w:val="0"/>
          </w:rPr>
          <w:t>دمشقي ، فضل الله بن محب الله</w:t>
        </w:r>
        <w:r>
          <w:tab/>
        </w:r>
        <w:r>
          <w:fldChar w:fldCharType="begin"/>
        </w:r>
        <w:r>
          <w:instrText xml:space="preserve">PAGEREF 3448 \h</w:instrText>
        </w:r>
        <w:r>
          <w:fldChar w:fldCharType="end"/>
        </w:r>
      </w:hyperlink>
    </w:p>
    <w:p>
      <w:pPr>
        <w:tabs>
          <w:tab w:val="right" w:leader="dot" w:pos="9062"/>
        </w:tabs>
        <w:ind w:left="220"/>
      </w:pPr>
      <w:hyperlink w:anchor="_Toc3449" w:history="1">
        <w:r>
          <w:rPr>
            <w:rFonts w:ascii="IRNazanin" w:hAnsi="IRNazanin" w:eastAsia="IRNazanin" w:cs="IRNazanin"/>
            <w:color w:val="111111"/>
            <w:sz w:val="22"/>
            <w:szCs w:val="22"/>
            <w:b w:val="0"/>
            <w:bCs w:val="0"/>
            <w:i w:val="0"/>
            <w:iCs w:val="0"/>
          </w:rPr>
          <w:t>دمشقي، محمّد بن وحيد محمّد - 711ه-</w:t>
        </w:r>
        <w:r>
          <w:tab/>
        </w:r>
        <w:r>
          <w:fldChar w:fldCharType="begin"/>
        </w:r>
        <w:r>
          <w:instrText xml:space="preserve">PAGEREF 3449 \h</w:instrText>
        </w:r>
        <w:r>
          <w:fldChar w:fldCharType="end"/>
        </w:r>
      </w:hyperlink>
    </w:p>
    <w:p>
      <w:pPr>
        <w:tabs>
          <w:tab w:val="right" w:leader="dot" w:pos="9062"/>
        </w:tabs>
        <w:ind w:left="220"/>
      </w:pPr>
      <w:hyperlink w:anchor="_Toc3450" w:history="1">
        <w:r>
          <w:rPr>
            <w:rFonts w:ascii="IRNazanin" w:hAnsi="IRNazanin" w:eastAsia="IRNazanin" w:cs="IRNazanin"/>
            <w:color w:val="111111"/>
            <w:sz w:val="22"/>
            <w:szCs w:val="22"/>
            <w:b w:val="0"/>
            <w:bCs w:val="0"/>
            <w:i w:val="0"/>
            <w:iCs w:val="0"/>
          </w:rPr>
          <w:t>دملوجي ، عبدالله بن مصطفى - 1259ه-</w:t>
        </w:r>
        <w:r>
          <w:tab/>
        </w:r>
        <w:r>
          <w:fldChar w:fldCharType="begin"/>
        </w:r>
        <w:r>
          <w:instrText xml:space="preserve">PAGEREF 3450 \h</w:instrText>
        </w:r>
        <w:r>
          <w:fldChar w:fldCharType="end"/>
        </w:r>
      </w:hyperlink>
    </w:p>
    <w:p>
      <w:pPr>
        <w:tabs>
          <w:tab w:val="right" w:leader="dot" w:pos="9062"/>
        </w:tabs>
        <w:ind w:left="220"/>
      </w:pPr>
      <w:hyperlink w:anchor="_Toc3451" w:history="1">
        <w:r>
          <w:rPr>
            <w:rFonts w:ascii="IRNazanin" w:hAnsi="IRNazanin" w:eastAsia="IRNazanin" w:cs="IRNazanin"/>
            <w:color w:val="111111"/>
            <w:sz w:val="22"/>
            <w:szCs w:val="22"/>
            <w:b w:val="0"/>
            <w:bCs w:val="0"/>
            <w:i w:val="0"/>
            <w:iCs w:val="0"/>
          </w:rPr>
          <w:t>دمناتي ، علي بن سليمان - 1306 ه-</w:t>
        </w:r>
        <w:r>
          <w:tab/>
        </w:r>
        <w:r>
          <w:fldChar w:fldCharType="begin"/>
        </w:r>
        <w:r>
          <w:instrText xml:space="preserve">PAGEREF 3451 \h</w:instrText>
        </w:r>
        <w:r>
          <w:fldChar w:fldCharType="end"/>
        </w:r>
      </w:hyperlink>
    </w:p>
    <w:p>
      <w:pPr>
        <w:tabs>
          <w:tab w:val="right" w:leader="dot" w:pos="9062"/>
        </w:tabs>
        <w:ind w:left="220"/>
      </w:pPr>
      <w:hyperlink w:anchor="_Toc3452" w:history="1">
        <w:r>
          <w:rPr>
            <w:rFonts w:ascii="IRNazanin" w:hAnsi="IRNazanin" w:eastAsia="IRNazanin" w:cs="IRNazanin"/>
            <w:color w:val="111111"/>
            <w:sz w:val="22"/>
            <w:szCs w:val="22"/>
            <w:b w:val="0"/>
            <w:bCs w:val="0"/>
            <w:i w:val="0"/>
            <w:iCs w:val="0"/>
          </w:rPr>
          <w:t>دمنهوري ، احمد بن عبد المنعم 1111 -</w:t>
        </w:r>
        <w:r>
          <w:tab/>
        </w:r>
        <w:r>
          <w:fldChar w:fldCharType="begin"/>
        </w:r>
        <w:r>
          <w:instrText xml:space="preserve">PAGEREF 3452 \h</w:instrText>
        </w:r>
        <w:r>
          <w:fldChar w:fldCharType="end"/>
        </w:r>
      </w:hyperlink>
    </w:p>
    <w:p>
      <w:pPr>
        <w:tabs>
          <w:tab w:val="right" w:leader="dot" w:pos="9062"/>
        </w:tabs>
        <w:ind w:left="220"/>
      </w:pPr>
      <w:hyperlink w:anchor="_Toc3453" w:history="1">
        <w:r>
          <w:rPr>
            <w:rFonts w:ascii="IRNazanin" w:hAnsi="IRNazanin" w:eastAsia="IRNazanin" w:cs="IRNazanin"/>
            <w:color w:val="111111"/>
            <w:sz w:val="22"/>
            <w:szCs w:val="22"/>
            <w:b w:val="0"/>
            <w:bCs w:val="0"/>
            <w:i w:val="0"/>
            <w:iCs w:val="0"/>
          </w:rPr>
          <w:t>دمنهوري ، محمّد بن محمّد، - 1288 ه-</w:t>
        </w:r>
        <w:r>
          <w:tab/>
        </w:r>
        <w:r>
          <w:fldChar w:fldCharType="begin"/>
        </w:r>
        <w:r>
          <w:instrText xml:space="preserve">PAGEREF 3453 \h</w:instrText>
        </w:r>
        <w:r>
          <w:fldChar w:fldCharType="end"/>
        </w:r>
      </w:hyperlink>
    </w:p>
    <w:p>
      <w:pPr>
        <w:tabs>
          <w:tab w:val="right" w:leader="dot" w:pos="9062"/>
        </w:tabs>
        <w:ind w:left="220"/>
      </w:pPr>
      <w:hyperlink w:anchor="_Toc3454" w:history="1">
        <w:r>
          <w:rPr>
            <w:rFonts w:ascii="IRNazanin" w:hAnsi="IRNazanin" w:eastAsia="IRNazanin" w:cs="IRNazanin"/>
            <w:color w:val="111111"/>
            <w:sz w:val="22"/>
            <w:szCs w:val="22"/>
            <w:b w:val="0"/>
            <w:bCs w:val="0"/>
            <w:i w:val="0"/>
            <w:iCs w:val="0"/>
          </w:rPr>
          <w:t>دموسكي ، ژوزف لوئي</w:t>
        </w:r>
        <w:r>
          <w:tab/>
        </w:r>
        <w:r>
          <w:fldChar w:fldCharType="begin"/>
        </w:r>
        <w:r>
          <w:instrText xml:space="preserve">PAGEREF 3454 \h</w:instrText>
        </w:r>
        <w:r>
          <w:fldChar w:fldCharType="end"/>
        </w:r>
      </w:hyperlink>
    </w:p>
    <w:p>
      <w:pPr>
        <w:tabs>
          <w:tab w:val="right" w:leader="dot" w:pos="9062"/>
        </w:tabs>
        <w:ind w:left="220"/>
      </w:pPr>
      <w:hyperlink w:anchor="_Toc3455" w:history="1">
        <w:r>
          <w:rPr>
            <w:rFonts w:ascii="IRNazanin" w:hAnsi="IRNazanin" w:eastAsia="IRNazanin" w:cs="IRNazanin"/>
            <w:color w:val="111111"/>
            <w:sz w:val="22"/>
            <w:szCs w:val="22"/>
            <w:b w:val="0"/>
            <w:bCs w:val="0"/>
            <w:i w:val="0"/>
            <w:iCs w:val="0"/>
          </w:rPr>
          <w:t>دمياطي ، محمّد بن احمد - 921 ه-</w:t>
        </w:r>
        <w:r>
          <w:tab/>
        </w:r>
        <w:r>
          <w:fldChar w:fldCharType="begin"/>
        </w:r>
        <w:r>
          <w:instrText xml:space="preserve">PAGEREF 3455 \h</w:instrText>
        </w:r>
        <w:r>
          <w:fldChar w:fldCharType="end"/>
        </w:r>
      </w:hyperlink>
    </w:p>
    <w:p>
      <w:pPr>
        <w:tabs>
          <w:tab w:val="right" w:leader="dot" w:pos="9062"/>
        </w:tabs>
        <w:ind w:left="220"/>
      </w:pPr>
      <w:hyperlink w:anchor="_Toc3456" w:history="1">
        <w:r>
          <w:rPr>
            <w:rFonts w:ascii="IRNazanin" w:hAnsi="IRNazanin" w:eastAsia="IRNazanin" w:cs="IRNazanin"/>
            <w:color w:val="111111"/>
            <w:sz w:val="22"/>
            <w:szCs w:val="22"/>
            <w:b w:val="0"/>
            <w:bCs w:val="0"/>
            <w:i w:val="0"/>
            <w:iCs w:val="0"/>
          </w:rPr>
          <w:t>دميري ، اسحاق بن ابراهيم - 833 ه-</w:t>
        </w:r>
        <w:r>
          <w:tab/>
        </w:r>
        <w:r>
          <w:fldChar w:fldCharType="begin"/>
        </w:r>
        <w:r>
          <w:instrText xml:space="preserve">PAGEREF 3456 \h</w:instrText>
        </w:r>
        <w:r>
          <w:fldChar w:fldCharType="end"/>
        </w:r>
      </w:hyperlink>
    </w:p>
    <w:p>
      <w:pPr>
        <w:tabs>
          <w:tab w:val="right" w:leader="dot" w:pos="9062"/>
        </w:tabs>
        <w:ind w:left="220"/>
      </w:pPr>
      <w:hyperlink w:anchor="_Toc3457" w:history="1">
        <w:r>
          <w:rPr>
            <w:rFonts w:ascii="IRNazanin" w:hAnsi="IRNazanin" w:eastAsia="IRNazanin" w:cs="IRNazanin"/>
            <w:color w:val="111111"/>
            <w:sz w:val="22"/>
            <w:szCs w:val="22"/>
            <w:b w:val="0"/>
            <w:bCs w:val="0"/>
            <w:i w:val="0"/>
            <w:iCs w:val="0"/>
          </w:rPr>
          <w:t>دميري، بهرام بن عبد الله، 734 - 805 ه-</w:t>
        </w:r>
        <w:r>
          <w:tab/>
        </w:r>
        <w:r>
          <w:fldChar w:fldCharType="begin"/>
        </w:r>
        <w:r>
          <w:instrText xml:space="preserve">PAGEREF 3457 \h</w:instrText>
        </w:r>
        <w:r>
          <w:fldChar w:fldCharType="end"/>
        </w:r>
      </w:hyperlink>
    </w:p>
    <w:p>
      <w:pPr>
        <w:tabs>
          <w:tab w:val="right" w:leader="dot" w:pos="9062"/>
        </w:tabs>
        <w:ind w:left="220"/>
      </w:pPr>
      <w:hyperlink w:anchor="_Toc3458" w:history="1">
        <w:r>
          <w:rPr>
            <w:rFonts w:ascii="IRNazanin" w:hAnsi="IRNazanin" w:eastAsia="IRNazanin" w:cs="IRNazanin"/>
            <w:color w:val="111111"/>
            <w:sz w:val="22"/>
            <w:szCs w:val="22"/>
            <w:b w:val="0"/>
            <w:bCs w:val="0"/>
            <w:i w:val="0"/>
            <w:iCs w:val="0"/>
          </w:rPr>
          <w:t>دميري ، جمال الدين</w:t>
        </w:r>
        <w:r>
          <w:tab/>
        </w:r>
        <w:r>
          <w:fldChar w:fldCharType="begin"/>
        </w:r>
        <w:r>
          <w:instrText xml:space="preserve">PAGEREF 3458 \h</w:instrText>
        </w:r>
        <w:r>
          <w:fldChar w:fldCharType="end"/>
        </w:r>
      </w:hyperlink>
    </w:p>
    <w:p>
      <w:pPr>
        <w:tabs>
          <w:tab w:val="right" w:leader="dot" w:pos="9062"/>
        </w:tabs>
        <w:ind w:left="220"/>
      </w:pPr>
      <w:hyperlink w:anchor="_Toc3459" w:history="1">
        <w:r>
          <w:rPr>
            <w:rFonts w:ascii="IRNazanin" w:hAnsi="IRNazanin" w:eastAsia="IRNazanin" w:cs="IRNazanin"/>
            <w:color w:val="111111"/>
            <w:sz w:val="22"/>
            <w:szCs w:val="22"/>
            <w:b w:val="0"/>
            <w:bCs w:val="0"/>
            <w:i w:val="0"/>
            <w:iCs w:val="0"/>
          </w:rPr>
          <w:t>دميري ، محمّد بن عبد القادر قرن 10 ه-</w:t>
        </w:r>
        <w:r>
          <w:tab/>
        </w:r>
        <w:r>
          <w:fldChar w:fldCharType="begin"/>
        </w:r>
        <w:r>
          <w:instrText xml:space="preserve">PAGEREF 3459 \h</w:instrText>
        </w:r>
        <w:r>
          <w:fldChar w:fldCharType="end"/>
        </w:r>
      </w:hyperlink>
    </w:p>
    <w:p>
      <w:pPr>
        <w:tabs>
          <w:tab w:val="right" w:leader="dot" w:pos="9062"/>
        </w:tabs>
        <w:ind w:left="220"/>
      </w:pPr>
      <w:hyperlink w:anchor="_Toc3460" w:history="1">
        <w:r>
          <w:rPr>
            <w:rFonts w:ascii="IRNazanin" w:hAnsi="IRNazanin" w:eastAsia="IRNazanin" w:cs="IRNazanin"/>
            <w:color w:val="111111"/>
            <w:sz w:val="22"/>
            <w:szCs w:val="22"/>
            <w:b w:val="0"/>
            <w:bCs w:val="0"/>
            <w:i w:val="0"/>
            <w:iCs w:val="0"/>
          </w:rPr>
          <w:t>دميري ، محمّد بن موسى، 742 - 808 ه-</w:t>
        </w:r>
        <w:r>
          <w:tab/>
        </w:r>
        <w:r>
          <w:fldChar w:fldCharType="begin"/>
        </w:r>
        <w:r>
          <w:instrText xml:space="preserve">PAGEREF 3460 \h</w:instrText>
        </w:r>
        <w:r>
          <w:fldChar w:fldCharType="end"/>
        </w:r>
      </w:hyperlink>
    </w:p>
    <w:p>
      <w:pPr>
        <w:tabs>
          <w:tab w:val="right" w:leader="dot" w:pos="9062"/>
        </w:tabs>
        <w:ind w:left="220"/>
      </w:pPr>
      <w:hyperlink w:anchor="_Toc3461" w:history="1">
        <w:r>
          <w:rPr>
            <w:rFonts w:ascii="IRNazanin" w:hAnsi="IRNazanin" w:eastAsia="IRNazanin" w:cs="IRNazanin"/>
            <w:color w:val="111111"/>
            <w:sz w:val="22"/>
            <w:szCs w:val="22"/>
            <w:b w:val="0"/>
            <w:bCs w:val="0"/>
            <w:i w:val="0"/>
            <w:iCs w:val="0"/>
          </w:rPr>
          <w:t>دنبلي ، محمّد بن عبد الرزاق قرن 13 ه-</w:t>
        </w:r>
        <w:r>
          <w:tab/>
        </w:r>
        <w:r>
          <w:fldChar w:fldCharType="begin"/>
        </w:r>
        <w:r>
          <w:instrText xml:space="preserve">PAGEREF 3461 \h</w:instrText>
        </w:r>
        <w:r>
          <w:fldChar w:fldCharType="end"/>
        </w:r>
      </w:hyperlink>
    </w:p>
    <w:p>
      <w:pPr>
        <w:tabs>
          <w:tab w:val="right" w:leader="dot" w:pos="9062"/>
        </w:tabs>
        <w:ind w:left="220"/>
      </w:pPr>
      <w:hyperlink w:anchor="_Toc3462" w:history="1">
        <w:r>
          <w:rPr>
            <w:rFonts w:ascii="IRNazanin" w:hAnsi="IRNazanin" w:eastAsia="IRNazanin" w:cs="IRNazanin"/>
            <w:color w:val="111111"/>
            <w:sz w:val="22"/>
            <w:szCs w:val="22"/>
            <w:b w:val="0"/>
            <w:bCs w:val="0"/>
            <w:i w:val="0"/>
            <w:iCs w:val="0"/>
          </w:rPr>
          <w:t>دنوشري ، عبدالله قرن 11 ه-</w:t>
        </w:r>
        <w:r>
          <w:tab/>
        </w:r>
        <w:r>
          <w:fldChar w:fldCharType="begin"/>
        </w:r>
        <w:r>
          <w:instrText xml:space="preserve">PAGEREF 3462 \h</w:instrText>
        </w:r>
        <w:r>
          <w:fldChar w:fldCharType="end"/>
        </w:r>
      </w:hyperlink>
    </w:p>
    <w:p>
      <w:pPr>
        <w:tabs>
          <w:tab w:val="right" w:leader="dot" w:pos="9062"/>
        </w:tabs>
        <w:ind w:left="220"/>
      </w:pPr>
      <w:hyperlink w:anchor="_Toc3463" w:history="1">
        <w:r>
          <w:rPr>
            <w:rFonts w:ascii="IRNazanin" w:hAnsi="IRNazanin" w:eastAsia="IRNazanin" w:cs="IRNazanin"/>
            <w:color w:val="111111"/>
            <w:sz w:val="22"/>
            <w:szCs w:val="22"/>
            <w:b w:val="0"/>
            <w:bCs w:val="0"/>
            <w:i w:val="0"/>
            <w:iCs w:val="0"/>
          </w:rPr>
          <w:t>دنوشري ، عبد المنعم بن ابي بكر</w:t>
        </w:r>
        <w:r>
          <w:tab/>
        </w:r>
        <w:r>
          <w:fldChar w:fldCharType="begin"/>
        </w:r>
        <w:r>
          <w:instrText xml:space="preserve">PAGEREF 3463 \h</w:instrText>
        </w:r>
        <w:r>
          <w:fldChar w:fldCharType="end"/>
        </w:r>
      </w:hyperlink>
    </w:p>
    <w:p>
      <w:pPr>
        <w:tabs>
          <w:tab w:val="right" w:leader="dot" w:pos="9062"/>
        </w:tabs>
        <w:ind w:left="220"/>
      </w:pPr>
      <w:hyperlink w:anchor="_Toc3464" w:history="1">
        <w:r>
          <w:rPr>
            <w:rFonts w:ascii="IRNazanin" w:hAnsi="IRNazanin" w:eastAsia="IRNazanin" w:cs="IRNazanin"/>
            <w:color w:val="111111"/>
            <w:sz w:val="22"/>
            <w:szCs w:val="22"/>
            <w:b w:val="0"/>
            <w:bCs w:val="0"/>
            <w:i w:val="0"/>
            <w:iCs w:val="0"/>
          </w:rPr>
          <w:t>دهخوارقاني ، محمّد یوسف بن محمّد</w:t>
        </w:r>
        <w:r>
          <w:tab/>
        </w:r>
        <w:r>
          <w:fldChar w:fldCharType="begin"/>
        </w:r>
        <w:r>
          <w:instrText xml:space="preserve">PAGEREF 3464 \h</w:instrText>
        </w:r>
        <w:r>
          <w:fldChar w:fldCharType="end"/>
        </w:r>
      </w:hyperlink>
    </w:p>
    <w:p>
      <w:pPr>
        <w:tabs>
          <w:tab w:val="right" w:leader="dot" w:pos="9062"/>
        </w:tabs>
        <w:ind w:left="220"/>
      </w:pPr>
      <w:hyperlink w:anchor="_Toc3465" w:history="1">
        <w:r>
          <w:rPr>
            <w:rFonts w:ascii="IRNazanin" w:hAnsi="IRNazanin" w:eastAsia="IRNazanin" w:cs="IRNazanin"/>
            <w:color w:val="111111"/>
            <w:sz w:val="22"/>
            <w:szCs w:val="22"/>
            <w:b w:val="0"/>
            <w:bCs w:val="0"/>
            <w:i w:val="0"/>
            <w:iCs w:val="0"/>
          </w:rPr>
          <w:t>دهدار عياني محمود بن محمّد قرن 10ه-</w:t>
        </w:r>
        <w:r>
          <w:tab/>
        </w:r>
        <w:r>
          <w:fldChar w:fldCharType="begin"/>
        </w:r>
        <w:r>
          <w:instrText xml:space="preserve">PAGEREF 3465 \h</w:instrText>
        </w:r>
        <w:r>
          <w:fldChar w:fldCharType="end"/>
        </w:r>
      </w:hyperlink>
    </w:p>
    <w:p>
      <w:pPr>
        <w:tabs>
          <w:tab w:val="right" w:leader="dot" w:pos="9062"/>
        </w:tabs>
        <w:ind w:left="220"/>
      </w:pPr>
      <w:hyperlink w:anchor="_Toc3466" w:history="1">
        <w:r>
          <w:rPr>
            <w:rFonts w:ascii="IRNazanin" w:hAnsi="IRNazanin" w:eastAsia="IRNazanin" w:cs="IRNazanin"/>
            <w:color w:val="111111"/>
            <w:sz w:val="22"/>
            <w:szCs w:val="22"/>
            <w:b w:val="0"/>
            <w:bCs w:val="0"/>
            <w:i w:val="0"/>
            <w:iCs w:val="0"/>
          </w:rPr>
          <w:t>دهري ، ابراهیم بن محمّد باقر</w:t>
        </w:r>
        <w:r>
          <w:tab/>
        </w:r>
        <w:r>
          <w:fldChar w:fldCharType="begin"/>
        </w:r>
        <w:r>
          <w:instrText xml:space="preserve">PAGEREF 3466 \h</w:instrText>
        </w:r>
        <w:r>
          <w:fldChar w:fldCharType="end"/>
        </w:r>
      </w:hyperlink>
    </w:p>
    <w:p>
      <w:pPr>
        <w:tabs>
          <w:tab w:val="right" w:leader="dot" w:pos="9062"/>
        </w:tabs>
        <w:ind w:left="220"/>
      </w:pPr>
      <w:hyperlink w:anchor="_Toc3467" w:history="1">
        <w:r>
          <w:rPr>
            <w:rFonts w:ascii="IRNazanin" w:hAnsi="IRNazanin" w:eastAsia="IRNazanin" w:cs="IRNazanin"/>
            <w:color w:val="111111"/>
            <w:sz w:val="22"/>
            <w:szCs w:val="22"/>
            <w:b w:val="0"/>
            <w:bCs w:val="0"/>
            <w:i w:val="0"/>
            <w:iCs w:val="0"/>
          </w:rPr>
          <w:t>دهقان ، ابو اسحاق</w:t>
        </w:r>
        <w:r>
          <w:tab/>
        </w:r>
        <w:r>
          <w:fldChar w:fldCharType="begin"/>
        </w:r>
        <w:r>
          <w:instrText xml:space="preserve">PAGEREF 3467 \h</w:instrText>
        </w:r>
        <w:r>
          <w:fldChar w:fldCharType="end"/>
        </w:r>
      </w:hyperlink>
    </w:p>
    <w:p>
      <w:pPr>
        <w:tabs>
          <w:tab w:val="right" w:leader="dot" w:pos="9062"/>
        </w:tabs>
        <w:ind w:left="220"/>
      </w:pPr>
      <w:hyperlink w:anchor="_Toc3468" w:history="1">
        <w:r>
          <w:rPr>
            <w:rFonts w:ascii="IRNazanin" w:hAnsi="IRNazanin" w:eastAsia="IRNazanin" w:cs="IRNazanin"/>
            <w:color w:val="111111"/>
            <w:sz w:val="22"/>
            <w:szCs w:val="22"/>
            <w:b w:val="0"/>
            <w:bCs w:val="0"/>
            <w:i w:val="0"/>
            <w:iCs w:val="0"/>
          </w:rPr>
          <w:t>دهقساني ، محمّد بن محمّد - 615 ه-</w:t>
        </w:r>
        <w:r>
          <w:tab/>
        </w:r>
        <w:r>
          <w:fldChar w:fldCharType="begin"/>
        </w:r>
        <w:r>
          <w:instrText xml:space="preserve">PAGEREF 3468 \h</w:instrText>
        </w:r>
        <w:r>
          <w:fldChar w:fldCharType="end"/>
        </w:r>
      </w:hyperlink>
    </w:p>
    <w:p>
      <w:pPr>
        <w:tabs>
          <w:tab w:val="right" w:leader="dot" w:pos="9062"/>
        </w:tabs>
        <w:ind w:left="220"/>
      </w:pPr>
      <w:hyperlink w:anchor="_Toc3469" w:history="1">
        <w:r>
          <w:rPr>
            <w:rFonts w:ascii="IRNazanin" w:hAnsi="IRNazanin" w:eastAsia="IRNazanin" w:cs="IRNazanin"/>
            <w:color w:val="111111"/>
            <w:sz w:val="22"/>
            <w:szCs w:val="22"/>
            <w:b w:val="0"/>
            <w:bCs w:val="0"/>
            <w:i w:val="0"/>
            <w:iCs w:val="0"/>
          </w:rPr>
          <w:t>دهكردي ، محمّد مؤمن بن محمّد حسين</w:t>
        </w:r>
        <w:r>
          <w:tab/>
        </w:r>
        <w:r>
          <w:fldChar w:fldCharType="begin"/>
        </w:r>
        <w:r>
          <w:instrText xml:space="preserve">PAGEREF 3469 \h</w:instrText>
        </w:r>
        <w:r>
          <w:fldChar w:fldCharType="end"/>
        </w:r>
      </w:hyperlink>
    </w:p>
    <w:p>
      <w:pPr>
        <w:tabs>
          <w:tab w:val="right" w:leader="dot" w:pos="9062"/>
        </w:tabs>
        <w:ind w:left="220"/>
      </w:pPr>
      <w:hyperlink w:anchor="_Toc3470" w:history="1">
        <w:r>
          <w:rPr>
            <w:rFonts w:ascii="IRNazanin" w:hAnsi="IRNazanin" w:eastAsia="IRNazanin" w:cs="IRNazanin"/>
            <w:color w:val="111111"/>
            <w:sz w:val="22"/>
            <w:szCs w:val="22"/>
            <w:b w:val="0"/>
            <w:bCs w:val="0"/>
            <w:i w:val="0"/>
            <w:iCs w:val="0"/>
          </w:rPr>
          <w:t>دهلوي، ابراهيم قرن 11 ه-</w:t>
        </w:r>
        <w:r>
          <w:tab/>
        </w:r>
        <w:r>
          <w:fldChar w:fldCharType="begin"/>
        </w:r>
        <w:r>
          <w:instrText xml:space="preserve">PAGEREF 3470 \h</w:instrText>
        </w:r>
        <w:r>
          <w:fldChar w:fldCharType="end"/>
        </w:r>
      </w:hyperlink>
    </w:p>
    <w:p>
      <w:pPr>
        <w:tabs>
          <w:tab w:val="right" w:leader="dot" w:pos="9062"/>
        </w:tabs>
        <w:ind w:left="220"/>
      </w:pPr>
      <w:hyperlink w:anchor="_Toc3471" w:history="1">
        <w:r>
          <w:rPr>
            <w:rFonts w:ascii="IRNazanin" w:hAnsi="IRNazanin" w:eastAsia="IRNazanin" w:cs="IRNazanin"/>
            <w:color w:val="111111"/>
            <w:sz w:val="22"/>
            <w:szCs w:val="22"/>
            <w:b w:val="0"/>
            <w:bCs w:val="0"/>
            <w:i w:val="0"/>
            <w:iCs w:val="0"/>
          </w:rPr>
          <w:t>دهلوي ، حسن بن امان الله قرن 13 ه-</w:t>
        </w:r>
        <w:r>
          <w:tab/>
        </w:r>
        <w:r>
          <w:fldChar w:fldCharType="begin"/>
        </w:r>
        <w:r>
          <w:instrText xml:space="preserve">PAGEREF 3471 \h</w:instrText>
        </w:r>
        <w:r>
          <w:fldChar w:fldCharType="end"/>
        </w:r>
      </w:hyperlink>
    </w:p>
    <w:p>
      <w:pPr>
        <w:tabs>
          <w:tab w:val="right" w:leader="dot" w:pos="9062"/>
        </w:tabs>
        <w:ind w:left="220"/>
      </w:pPr>
      <w:hyperlink w:anchor="_Toc3472" w:history="1">
        <w:r>
          <w:rPr>
            <w:rFonts w:ascii="IRNazanin" w:hAnsi="IRNazanin" w:eastAsia="IRNazanin" w:cs="IRNazanin"/>
            <w:color w:val="111111"/>
            <w:sz w:val="22"/>
            <w:szCs w:val="22"/>
            <w:b w:val="0"/>
            <w:bCs w:val="0"/>
            <w:i w:val="0"/>
            <w:iCs w:val="0"/>
          </w:rPr>
          <w:t>دهلوي، سليمان بن عبد الحق -1050ه-</w:t>
        </w:r>
        <w:r>
          <w:tab/>
        </w:r>
        <w:r>
          <w:fldChar w:fldCharType="begin"/>
        </w:r>
        <w:r>
          <w:instrText xml:space="preserve">PAGEREF 3472 \h</w:instrText>
        </w:r>
        <w:r>
          <w:fldChar w:fldCharType="end"/>
        </w:r>
      </w:hyperlink>
    </w:p>
    <w:p>
      <w:pPr>
        <w:tabs>
          <w:tab w:val="right" w:leader="dot" w:pos="9062"/>
        </w:tabs>
        <w:ind w:left="220"/>
      </w:pPr>
      <w:hyperlink w:anchor="_Toc3473" w:history="1">
        <w:r>
          <w:rPr>
            <w:rFonts w:ascii="IRNazanin" w:hAnsi="IRNazanin" w:eastAsia="IRNazanin" w:cs="IRNazanin"/>
            <w:color w:val="111111"/>
            <w:sz w:val="22"/>
            <w:szCs w:val="22"/>
            <w:b w:val="0"/>
            <w:bCs w:val="0"/>
            <w:i w:val="0"/>
            <w:iCs w:val="0"/>
          </w:rPr>
          <w:t>دهلوي، صفدر علي بن حيدر علي قرن</w:t>
        </w:r>
        <w:r>
          <w:tab/>
        </w:r>
        <w:r>
          <w:fldChar w:fldCharType="begin"/>
        </w:r>
        <w:r>
          <w:instrText xml:space="preserve">PAGEREF 3473 \h</w:instrText>
        </w:r>
        <w:r>
          <w:fldChar w:fldCharType="end"/>
        </w:r>
      </w:hyperlink>
    </w:p>
    <w:p>
      <w:pPr>
        <w:tabs>
          <w:tab w:val="right" w:leader="dot" w:pos="9062"/>
        </w:tabs>
        <w:ind w:left="220"/>
      </w:pPr>
      <w:hyperlink w:anchor="_Toc3474" w:history="1">
        <w:r>
          <w:rPr>
            <w:rFonts w:ascii="IRNazanin" w:hAnsi="IRNazanin" w:eastAsia="IRNazanin" w:cs="IRNazanin"/>
            <w:color w:val="111111"/>
            <w:sz w:val="22"/>
            <w:szCs w:val="22"/>
            <w:b w:val="0"/>
            <w:bCs w:val="0"/>
            <w:i w:val="0"/>
            <w:iCs w:val="0"/>
          </w:rPr>
          <w:t>دهلوي ، عبد الحق بن سيف الدين 958</w:t>
        </w:r>
        <w:r>
          <w:tab/>
        </w:r>
        <w:r>
          <w:fldChar w:fldCharType="begin"/>
        </w:r>
        <w:r>
          <w:instrText xml:space="preserve">PAGEREF 3474 \h</w:instrText>
        </w:r>
        <w:r>
          <w:fldChar w:fldCharType="end"/>
        </w:r>
      </w:hyperlink>
    </w:p>
    <w:p>
      <w:pPr>
        <w:tabs>
          <w:tab w:val="right" w:leader="dot" w:pos="9062"/>
        </w:tabs>
        <w:ind w:left="220"/>
      </w:pPr>
      <w:hyperlink w:anchor="_Toc3475" w:history="1">
        <w:r>
          <w:rPr>
            <w:rFonts w:ascii="IRNazanin" w:hAnsi="IRNazanin" w:eastAsia="IRNazanin" w:cs="IRNazanin"/>
            <w:color w:val="111111"/>
            <w:sz w:val="22"/>
            <w:szCs w:val="22"/>
            <w:b w:val="0"/>
            <w:bCs w:val="0"/>
            <w:i w:val="0"/>
            <w:iCs w:val="0"/>
          </w:rPr>
          <w:t>دهلوي ، عبدالستار بن عبدالوهاب</w:t>
        </w:r>
        <w:r>
          <w:tab/>
        </w:r>
        <w:r>
          <w:fldChar w:fldCharType="begin"/>
        </w:r>
        <w:r>
          <w:instrText xml:space="preserve">PAGEREF 3475 \h</w:instrText>
        </w:r>
        <w:r>
          <w:fldChar w:fldCharType="end"/>
        </w:r>
      </w:hyperlink>
    </w:p>
    <w:p>
      <w:pPr>
        <w:tabs>
          <w:tab w:val="right" w:leader="dot" w:pos="9062"/>
        </w:tabs>
        <w:ind w:left="220"/>
      </w:pPr>
      <w:hyperlink w:anchor="_Toc3476" w:history="1">
        <w:r>
          <w:rPr>
            <w:rFonts w:ascii="IRNazanin" w:hAnsi="IRNazanin" w:eastAsia="IRNazanin" w:cs="IRNazanin"/>
            <w:color w:val="111111"/>
            <w:sz w:val="22"/>
            <w:szCs w:val="22"/>
            <w:b w:val="0"/>
            <w:bCs w:val="0"/>
            <w:i w:val="0"/>
            <w:iCs w:val="0"/>
          </w:rPr>
          <w:t>دهلوي ، عبدالعزيز بن احمد 1159 -</w:t>
        </w:r>
        <w:r>
          <w:tab/>
        </w:r>
        <w:r>
          <w:fldChar w:fldCharType="begin"/>
        </w:r>
        <w:r>
          <w:instrText xml:space="preserve">PAGEREF 3476 \h</w:instrText>
        </w:r>
        <w:r>
          <w:fldChar w:fldCharType="end"/>
        </w:r>
      </w:hyperlink>
    </w:p>
    <w:p>
      <w:pPr>
        <w:tabs>
          <w:tab w:val="right" w:leader="dot" w:pos="9062"/>
        </w:tabs>
        <w:ind w:left="220"/>
      </w:pPr>
      <w:hyperlink w:anchor="_Toc3477" w:history="1">
        <w:r>
          <w:rPr>
            <w:rFonts w:ascii="IRNazanin" w:hAnsi="IRNazanin" w:eastAsia="IRNazanin" w:cs="IRNazanin"/>
            <w:color w:val="111111"/>
            <w:sz w:val="22"/>
            <w:szCs w:val="22"/>
            <w:b w:val="0"/>
            <w:bCs w:val="0"/>
            <w:i w:val="0"/>
            <w:iCs w:val="0"/>
          </w:rPr>
          <w:t>دهلوي، فريد الدين مسعود، قرن 11 ه-</w:t>
        </w:r>
        <w:r>
          <w:tab/>
        </w:r>
        <w:r>
          <w:fldChar w:fldCharType="begin"/>
        </w:r>
        <w:r>
          <w:instrText xml:space="preserve">PAGEREF 3477 \h</w:instrText>
        </w:r>
        <w:r>
          <w:fldChar w:fldCharType="end"/>
        </w:r>
      </w:hyperlink>
    </w:p>
    <w:p>
      <w:pPr>
        <w:tabs>
          <w:tab w:val="right" w:leader="dot" w:pos="9062"/>
        </w:tabs>
        <w:ind w:left="220"/>
      </w:pPr>
      <w:hyperlink w:anchor="_Toc3478" w:history="1">
        <w:r>
          <w:rPr>
            <w:rFonts w:ascii="IRNazanin" w:hAnsi="IRNazanin" w:eastAsia="IRNazanin" w:cs="IRNazanin"/>
            <w:color w:val="111111"/>
            <w:sz w:val="22"/>
            <w:szCs w:val="22"/>
            <w:b w:val="0"/>
            <w:bCs w:val="0"/>
            <w:i w:val="0"/>
            <w:iCs w:val="0"/>
          </w:rPr>
          <w:t>دهلوي ، محمّد بن لاد قرن 9 ه-</w:t>
        </w:r>
        <w:r>
          <w:tab/>
        </w:r>
        <w:r>
          <w:fldChar w:fldCharType="begin"/>
        </w:r>
        <w:r>
          <w:instrText xml:space="preserve">PAGEREF 3478 \h</w:instrText>
        </w:r>
        <w:r>
          <w:fldChar w:fldCharType="end"/>
        </w:r>
      </w:hyperlink>
    </w:p>
    <w:p>
      <w:pPr>
        <w:tabs>
          <w:tab w:val="right" w:leader="dot" w:pos="9062"/>
        </w:tabs>
        <w:ind w:left="220"/>
      </w:pPr>
      <w:hyperlink w:anchor="_Toc3479" w:history="1">
        <w:r>
          <w:rPr>
            <w:rFonts w:ascii="IRNazanin" w:hAnsi="IRNazanin" w:eastAsia="IRNazanin" w:cs="IRNazanin"/>
            <w:color w:val="111111"/>
            <w:sz w:val="22"/>
            <w:szCs w:val="22"/>
            <w:b w:val="0"/>
            <w:bCs w:val="0"/>
            <w:i w:val="0"/>
            <w:iCs w:val="0"/>
          </w:rPr>
          <w:t>دهلوي ، محمّد فاضل بن محمّد عارف</w:t>
        </w:r>
        <w:r>
          <w:tab/>
        </w:r>
        <w:r>
          <w:fldChar w:fldCharType="begin"/>
        </w:r>
        <w:r>
          <w:instrText xml:space="preserve">PAGEREF 3479 \h</w:instrText>
        </w:r>
        <w:r>
          <w:fldChar w:fldCharType="end"/>
        </w:r>
      </w:hyperlink>
    </w:p>
    <w:p>
      <w:pPr>
        <w:tabs>
          <w:tab w:val="right" w:leader="dot" w:pos="9062"/>
        </w:tabs>
        <w:ind w:left="220"/>
      </w:pPr>
      <w:hyperlink w:anchor="_Toc3480" w:history="1">
        <w:r>
          <w:rPr>
            <w:rFonts w:ascii="IRNazanin" w:hAnsi="IRNazanin" w:eastAsia="IRNazanin" w:cs="IRNazanin"/>
            <w:color w:val="111111"/>
            <w:sz w:val="22"/>
            <w:szCs w:val="22"/>
            <w:b w:val="0"/>
            <w:bCs w:val="0"/>
            <w:i w:val="0"/>
            <w:iCs w:val="0"/>
          </w:rPr>
          <w:t>دهوي ، سيد حسين</w:t>
        </w:r>
        <w:r>
          <w:tab/>
        </w:r>
        <w:r>
          <w:fldChar w:fldCharType="begin"/>
        </w:r>
        <w:r>
          <w:instrText xml:space="preserve">PAGEREF 3480 \h</w:instrText>
        </w:r>
        <w:r>
          <w:fldChar w:fldCharType="end"/>
        </w:r>
      </w:hyperlink>
    </w:p>
    <w:p>
      <w:pPr>
        <w:tabs>
          <w:tab w:val="right" w:leader="dot" w:pos="9062"/>
        </w:tabs>
        <w:ind w:left="220"/>
      </w:pPr>
      <w:hyperlink w:anchor="_Toc3481" w:history="1">
        <w:r>
          <w:rPr>
            <w:rFonts w:ascii="IRNazanin" w:hAnsi="IRNazanin" w:eastAsia="IRNazanin" w:cs="IRNazanin"/>
            <w:color w:val="111111"/>
            <w:sz w:val="22"/>
            <w:szCs w:val="22"/>
            <w:b w:val="0"/>
            <w:bCs w:val="0"/>
            <w:i w:val="0"/>
            <w:iCs w:val="0"/>
          </w:rPr>
          <w:t>دواري، عبدالله بن حسن - 800 ه-</w:t>
        </w:r>
        <w:r>
          <w:tab/>
        </w:r>
        <w:r>
          <w:fldChar w:fldCharType="begin"/>
        </w:r>
        <w:r>
          <w:instrText xml:space="preserve">PAGEREF 3481 \h</w:instrText>
        </w:r>
        <w:r>
          <w:fldChar w:fldCharType="end"/>
        </w:r>
      </w:hyperlink>
    </w:p>
    <w:p>
      <w:pPr>
        <w:tabs>
          <w:tab w:val="right" w:leader="dot" w:pos="9062"/>
        </w:tabs>
        <w:ind w:left="220"/>
      </w:pPr>
      <w:hyperlink w:anchor="_Toc3482" w:history="1">
        <w:r>
          <w:rPr>
            <w:rFonts w:ascii="IRNazanin" w:hAnsi="IRNazanin" w:eastAsia="IRNazanin" w:cs="IRNazanin"/>
            <w:color w:val="111111"/>
            <w:sz w:val="22"/>
            <w:szCs w:val="22"/>
            <w:b w:val="0"/>
            <w:bCs w:val="0"/>
            <w:i w:val="0"/>
            <w:iCs w:val="0"/>
          </w:rPr>
          <w:t>دواني ، امام الدین ابويزيد</w:t>
        </w:r>
        <w:r>
          <w:tab/>
        </w:r>
        <w:r>
          <w:fldChar w:fldCharType="begin"/>
        </w:r>
        <w:r>
          <w:instrText xml:space="preserve">PAGEREF 3482 \h</w:instrText>
        </w:r>
        <w:r>
          <w:fldChar w:fldCharType="end"/>
        </w:r>
      </w:hyperlink>
    </w:p>
    <w:p>
      <w:pPr>
        <w:tabs>
          <w:tab w:val="right" w:leader="dot" w:pos="9062"/>
        </w:tabs>
        <w:ind w:left="220"/>
      </w:pPr>
      <w:hyperlink w:anchor="_Toc3483" w:history="1">
        <w:r>
          <w:rPr>
            <w:rFonts w:ascii="IRNazanin" w:hAnsi="IRNazanin" w:eastAsia="IRNazanin" w:cs="IRNazanin"/>
            <w:color w:val="111111"/>
            <w:sz w:val="22"/>
            <w:szCs w:val="22"/>
            <w:b w:val="0"/>
            <w:bCs w:val="0"/>
            <w:i w:val="0"/>
            <w:iCs w:val="0"/>
          </w:rPr>
          <w:t>دواني ، محمّد بن اسعد، 830 - 908 ؟ ه-</w:t>
        </w:r>
        <w:r>
          <w:tab/>
        </w:r>
        <w:r>
          <w:fldChar w:fldCharType="begin"/>
        </w:r>
        <w:r>
          <w:instrText xml:space="preserve">PAGEREF 3483 \h</w:instrText>
        </w:r>
        <w:r>
          <w:fldChar w:fldCharType="end"/>
        </w:r>
      </w:hyperlink>
    </w:p>
    <w:p>
      <w:pPr>
        <w:tabs>
          <w:tab w:val="right" w:leader="dot" w:pos="9062"/>
        </w:tabs>
        <w:ind w:left="220"/>
      </w:pPr>
      <w:hyperlink w:anchor="_Toc3484" w:history="1">
        <w:r>
          <w:rPr>
            <w:rFonts w:ascii="IRNazanin" w:hAnsi="IRNazanin" w:eastAsia="IRNazanin" w:cs="IRNazanin"/>
            <w:color w:val="111111"/>
            <w:sz w:val="22"/>
            <w:szCs w:val="22"/>
            <w:b w:val="0"/>
            <w:bCs w:val="0"/>
            <w:i w:val="0"/>
            <w:iCs w:val="0"/>
          </w:rPr>
          <w:t>دواني ، محمّد جعفر بن عبد الصاحب قرن</w:t>
        </w:r>
        <w:r>
          <w:tab/>
        </w:r>
        <w:r>
          <w:fldChar w:fldCharType="begin"/>
        </w:r>
        <w:r>
          <w:instrText xml:space="preserve">PAGEREF 3484 \h</w:instrText>
        </w:r>
        <w:r>
          <w:fldChar w:fldCharType="end"/>
        </w:r>
      </w:hyperlink>
    </w:p>
    <w:p>
      <w:pPr>
        <w:tabs>
          <w:tab w:val="right" w:leader="dot" w:pos="9062"/>
        </w:tabs>
        <w:ind w:left="220"/>
      </w:pPr>
      <w:hyperlink w:anchor="_Toc3485" w:history="1">
        <w:r>
          <w:rPr>
            <w:rFonts w:ascii="IRNazanin" w:hAnsi="IRNazanin" w:eastAsia="IRNazanin" w:cs="IRNazanin"/>
            <w:color w:val="111111"/>
            <w:sz w:val="22"/>
            <w:szCs w:val="22"/>
            <w:b w:val="0"/>
            <w:bCs w:val="0"/>
            <w:i w:val="0"/>
            <w:iCs w:val="0"/>
          </w:rPr>
          <w:t>دواني، محمّد علي بن محمّدنبي، قرن13ه-</w:t>
        </w:r>
        <w:r>
          <w:tab/>
        </w:r>
        <w:r>
          <w:fldChar w:fldCharType="begin"/>
        </w:r>
        <w:r>
          <w:instrText xml:space="preserve">PAGEREF 3485 \h</w:instrText>
        </w:r>
        <w:r>
          <w:fldChar w:fldCharType="end"/>
        </w:r>
      </w:hyperlink>
    </w:p>
    <w:p>
      <w:pPr>
        <w:tabs>
          <w:tab w:val="right" w:leader="dot" w:pos="9062"/>
        </w:tabs>
        <w:ind w:left="220"/>
      </w:pPr>
      <w:hyperlink w:anchor="_Toc3486" w:history="1">
        <w:r>
          <w:rPr>
            <w:rFonts w:ascii="IRNazanin" w:hAnsi="IRNazanin" w:eastAsia="IRNazanin" w:cs="IRNazanin"/>
            <w:color w:val="111111"/>
            <w:sz w:val="22"/>
            <w:szCs w:val="22"/>
            <w:b w:val="0"/>
            <w:bCs w:val="0"/>
            <w:i w:val="0"/>
            <w:iCs w:val="0"/>
          </w:rPr>
          <w:t>دوايي شيرازي ، درويش - 1004ه-</w:t>
        </w:r>
        <w:r>
          <w:tab/>
        </w:r>
        <w:r>
          <w:fldChar w:fldCharType="begin"/>
        </w:r>
        <w:r>
          <w:instrText xml:space="preserve">PAGEREF 3486 \h</w:instrText>
        </w:r>
        <w:r>
          <w:fldChar w:fldCharType="end"/>
        </w:r>
      </w:hyperlink>
    </w:p>
    <w:p>
      <w:pPr>
        <w:tabs>
          <w:tab w:val="right" w:leader="dot" w:pos="9062"/>
        </w:tabs>
        <w:ind w:left="220"/>
      </w:pPr>
      <w:hyperlink w:anchor="_Toc3487" w:history="1">
        <w:r>
          <w:rPr>
            <w:rFonts w:ascii="IRNazanin" w:hAnsi="IRNazanin" w:eastAsia="IRNazanin" w:cs="IRNazanin"/>
            <w:color w:val="111111"/>
            <w:sz w:val="22"/>
            <w:szCs w:val="22"/>
            <w:b w:val="0"/>
            <w:bCs w:val="0"/>
            <w:i w:val="0"/>
            <w:iCs w:val="0"/>
          </w:rPr>
          <w:t>دورقي ، احمد بن ابراهيم، 168 - 246 ه-</w:t>
        </w:r>
        <w:r>
          <w:tab/>
        </w:r>
        <w:r>
          <w:fldChar w:fldCharType="begin"/>
        </w:r>
        <w:r>
          <w:instrText xml:space="preserve">PAGEREF 3487 \h</w:instrText>
        </w:r>
        <w:r>
          <w:fldChar w:fldCharType="end"/>
        </w:r>
      </w:hyperlink>
    </w:p>
    <w:p>
      <w:pPr>
        <w:tabs>
          <w:tab w:val="right" w:leader="dot" w:pos="9062"/>
        </w:tabs>
        <w:ind w:left="220"/>
      </w:pPr>
      <w:hyperlink w:anchor="_Toc3488" w:history="1">
        <w:r>
          <w:rPr>
            <w:rFonts w:ascii="IRNazanin" w:hAnsi="IRNazanin" w:eastAsia="IRNazanin" w:cs="IRNazanin"/>
            <w:color w:val="111111"/>
            <w:sz w:val="22"/>
            <w:szCs w:val="22"/>
            <w:b w:val="0"/>
            <w:bCs w:val="0"/>
            <w:i w:val="0"/>
            <w:iCs w:val="0"/>
          </w:rPr>
          <w:t>دوري ، هاشم</w:t>
        </w:r>
        <w:r>
          <w:tab/>
        </w:r>
        <w:r>
          <w:fldChar w:fldCharType="begin"/>
        </w:r>
        <w:r>
          <w:instrText xml:space="preserve">PAGEREF 3488 \h</w:instrText>
        </w:r>
        <w:r>
          <w:fldChar w:fldCharType="end"/>
        </w:r>
      </w:hyperlink>
    </w:p>
    <w:p>
      <w:pPr>
        <w:tabs>
          <w:tab w:val="right" w:leader="dot" w:pos="9062"/>
        </w:tabs>
        <w:ind w:left="220"/>
      </w:pPr>
      <w:hyperlink w:anchor="_Toc3489" w:history="1">
        <w:r>
          <w:rPr>
            <w:rFonts w:ascii="IRNazanin" w:hAnsi="IRNazanin" w:eastAsia="IRNazanin" w:cs="IRNazanin"/>
            <w:color w:val="111111"/>
            <w:sz w:val="22"/>
            <w:szCs w:val="22"/>
            <w:b w:val="0"/>
            <w:bCs w:val="0"/>
            <w:i w:val="0"/>
            <w:iCs w:val="0"/>
          </w:rPr>
          <w:t>دوري ، هيثم بن خلف - 307 ه-</w:t>
        </w:r>
        <w:r>
          <w:tab/>
        </w:r>
        <w:r>
          <w:fldChar w:fldCharType="begin"/>
        </w:r>
        <w:r>
          <w:instrText xml:space="preserve">PAGEREF 3489 \h</w:instrText>
        </w:r>
        <w:r>
          <w:fldChar w:fldCharType="end"/>
        </w:r>
      </w:hyperlink>
    </w:p>
    <w:p>
      <w:pPr>
        <w:tabs>
          <w:tab w:val="right" w:leader="dot" w:pos="9062"/>
        </w:tabs>
        <w:ind w:left="220"/>
      </w:pPr>
      <w:hyperlink w:anchor="_Toc3490" w:history="1">
        <w:r>
          <w:rPr>
            <w:rFonts w:ascii="IRNazanin" w:hAnsi="IRNazanin" w:eastAsia="IRNazanin" w:cs="IRNazanin"/>
            <w:color w:val="111111"/>
            <w:sz w:val="22"/>
            <w:szCs w:val="22"/>
            <w:b w:val="0"/>
            <w:bCs w:val="0"/>
            <w:i w:val="0"/>
            <w:iCs w:val="0"/>
          </w:rPr>
          <w:t>دوسري ، حسين بن احمد - 1247 ه-</w:t>
        </w:r>
        <w:r>
          <w:tab/>
        </w:r>
        <w:r>
          <w:fldChar w:fldCharType="begin"/>
        </w:r>
        <w:r>
          <w:instrText xml:space="preserve">PAGEREF 3490 \h</w:instrText>
        </w:r>
        <w:r>
          <w:fldChar w:fldCharType="end"/>
        </w:r>
      </w:hyperlink>
    </w:p>
    <w:p>
      <w:pPr>
        <w:tabs>
          <w:tab w:val="right" w:leader="dot" w:pos="9062"/>
        </w:tabs>
        <w:ind w:left="220"/>
      </w:pPr>
      <w:hyperlink w:anchor="_Toc3491" w:history="1">
        <w:r>
          <w:rPr>
            <w:rFonts w:ascii="IRNazanin" w:hAnsi="IRNazanin" w:eastAsia="IRNazanin" w:cs="IRNazanin"/>
            <w:color w:val="111111"/>
            <w:sz w:val="22"/>
            <w:szCs w:val="22"/>
            <w:b w:val="0"/>
            <w:bCs w:val="0"/>
            <w:i w:val="0"/>
            <w:iCs w:val="0"/>
          </w:rPr>
          <w:t>دوشيواني ، محمّد طبیب بن احمد</w:t>
        </w:r>
        <w:r>
          <w:tab/>
        </w:r>
        <w:r>
          <w:fldChar w:fldCharType="begin"/>
        </w:r>
        <w:r>
          <w:instrText xml:space="preserve">PAGEREF 3491 \h</w:instrText>
        </w:r>
        <w:r>
          <w:fldChar w:fldCharType="end"/>
        </w:r>
      </w:hyperlink>
    </w:p>
    <w:p>
      <w:pPr>
        <w:tabs>
          <w:tab w:val="right" w:leader="dot" w:pos="9062"/>
        </w:tabs>
        <w:ind w:left="220"/>
      </w:pPr>
      <w:hyperlink w:anchor="_Toc3492" w:history="1">
        <w:r>
          <w:rPr>
            <w:rFonts w:ascii="IRNazanin" w:hAnsi="IRNazanin" w:eastAsia="IRNazanin" w:cs="IRNazanin"/>
            <w:color w:val="111111"/>
            <w:sz w:val="22"/>
            <w:szCs w:val="22"/>
            <w:b w:val="0"/>
            <w:bCs w:val="0"/>
            <w:i w:val="0"/>
            <w:iCs w:val="0"/>
          </w:rPr>
          <w:t>دولابي ، محمّد بن احمد 224 - 310ه-</w:t>
        </w:r>
        <w:r>
          <w:tab/>
        </w:r>
        <w:r>
          <w:fldChar w:fldCharType="begin"/>
        </w:r>
        <w:r>
          <w:instrText xml:space="preserve">PAGEREF 3492 \h</w:instrText>
        </w:r>
        <w:r>
          <w:fldChar w:fldCharType="end"/>
        </w:r>
      </w:hyperlink>
    </w:p>
    <w:p>
      <w:pPr>
        <w:tabs>
          <w:tab w:val="right" w:leader="dot" w:pos="9062"/>
        </w:tabs>
        <w:ind w:left="220"/>
      </w:pPr>
      <w:hyperlink w:anchor="_Toc3493" w:history="1">
        <w:r>
          <w:rPr>
            <w:rFonts w:ascii="IRNazanin" w:hAnsi="IRNazanin" w:eastAsia="IRNazanin" w:cs="IRNazanin"/>
            <w:color w:val="111111"/>
            <w:sz w:val="22"/>
            <w:szCs w:val="22"/>
            <w:b w:val="0"/>
            <w:bCs w:val="0"/>
            <w:i w:val="0"/>
            <w:iCs w:val="0"/>
          </w:rPr>
          <w:t>دولت آبادي ، احمد بن شمس الدين -</w:t>
        </w:r>
        <w:r>
          <w:tab/>
        </w:r>
        <w:r>
          <w:fldChar w:fldCharType="begin"/>
        </w:r>
        <w:r>
          <w:instrText xml:space="preserve">PAGEREF 3493 \h</w:instrText>
        </w:r>
        <w:r>
          <w:fldChar w:fldCharType="end"/>
        </w:r>
      </w:hyperlink>
    </w:p>
    <w:p>
      <w:pPr>
        <w:tabs>
          <w:tab w:val="right" w:leader="dot" w:pos="9062"/>
        </w:tabs>
        <w:ind w:left="220"/>
      </w:pPr>
      <w:hyperlink w:anchor="_Toc3494" w:history="1">
        <w:r>
          <w:rPr>
            <w:rFonts w:ascii="IRNazanin" w:hAnsi="IRNazanin" w:eastAsia="IRNazanin" w:cs="IRNazanin"/>
            <w:color w:val="111111"/>
            <w:sz w:val="22"/>
            <w:szCs w:val="22"/>
            <w:b w:val="0"/>
            <w:bCs w:val="0"/>
            <w:i w:val="0"/>
            <w:iCs w:val="0"/>
          </w:rPr>
          <w:t>دولتشاه دولتشاه بن بختیشاه - 900 ه-</w:t>
        </w:r>
        <w:r>
          <w:tab/>
        </w:r>
        <w:r>
          <w:fldChar w:fldCharType="begin"/>
        </w:r>
        <w:r>
          <w:instrText xml:space="preserve">PAGEREF 3494 \h</w:instrText>
        </w:r>
        <w:r>
          <w:fldChar w:fldCharType="end"/>
        </w:r>
      </w:hyperlink>
    </w:p>
    <w:p>
      <w:pPr>
        <w:tabs>
          <w:tab w:val="right" w:leader="dot" w:pos="9062"/>
        </w:tabs>
        <w:ind w:left="220"/>
      </w:pPr>
      <w:hyperlink w:anchor="_Toc3495" w:history="1">
        <w:r>
          <w:rPr>
            <w:rFonts w:ascii="IRNazanin" w:hAnsi="IRNazanin" w:eastAsia="IRNazanin" w:cs="IRNazanin"/>
            <w:color w:val="111111"/>
            <w:sz w:val="22"/>
            <w:szCs w:val="22"/>
            <w:b w:val="0"/>
            <w:bCs w:val="0"/>
            <w:i w:val="0"/>
            <w:iCs w:val="0"/>
          </w:rPr>
          <w:t>دولت قاجار ، محمّد علي بن فتحعلي</w:t>
        </w:r>
        <w:r>
          <w:tab/>
        </w:r>
        <w:r>
          <w:fldChar w:fldCharType="begin"/>
        </w:r>
        <w:r>
          <w:instrText xml:space="preserve">PAGEREF 3495 \h</w:instrText>
        </w:r>
        <w:r>
          <w:fldChar w:fldCharType="end"/>
        </w:r>
      </w:hyperlink>
    </w:p>
    <w:p>
      <w:pPr>
        <w:tabs>
          <w:tab w:val="right" w:leader="dot" w:pos="9062"/>
        </w:tabs>
        <w:ind w:left="220"/>
      </w:pPr>
      <w:hyperlink w:anchor="_Toc3496" w:history="1">
        <w:r>
          <w:rPr>
            <w:rFonts w:ascii="IRNazanin" w:hAnsi="IRNazanin" w:eastAsia="IRNazanin" w:cs="IRNazanin"/>
            <w:color w:val="111111"/>
            <w:sz w:val="22"/>
            <w:szCs w:val="22"/>
            <w:b w:val="0"/>
            <w:bCs w:val="0"/>
            <w:i w:val="0"/>
            <w:iCs w:val="0"/>
          </w:rPr>
          <w:t>دويهي، اسطفان بن میخائیل 1040 -</w:t>
        </w:r>
        <w:r>
          <w:tab/>
        </w:r>
        <w:r>
          <w:fldChar w:fldCharType="begin"/>
        </w:r>
        <w:r>
          <w:instrText xml:space="preserve">PAGEREF 3496 \h</w:instrText>
        </w:r>
        <w:r>
          <w:fldChar w:fldCharType="end"/>
        </w:r>
      </w:hyperlink>
    </w:p>
    <w:p>
      <w:pPr>
        <w:tabs>
          <w:tab w:val="right" w:leader="dot" w:pos="9062"/>
        </w:tabs>
        <w:ind w:left="220"/>
      </w:pPr>
      <w:hyperlink w:anchor="_Toc3497" w:history="1">
        <w:r>
          <w:rPr>
            <w:rFonts w:ascii="IRNazanin" w:hAnsi="IRNazanin" w:eastAsia="IRNazanin" w:cs="IRNazanin"/>
            <w:color w:val="111111"/>
            <w:sz w:val="22"/>
            <w:szCs w:val="22"/>
            <w:b w:val="0"/>
            <w:bCs w:val="0"/>
            <w:i w:val="0"/>
            <w:iCs w:val="0"/>
          </w:rPr>
          <w:t>ديار بكري ، حسين بن محمّد - 966؟ ه-</w:t>
        </w:r>
        <w:r>
          <w:tab/>
        </w:r>
        <w:r>
          <w:fldChar w:fldCharType="begin"/>
        </w:r>
        <w:r>
          <w:instrText xml:space="preserve">PAGEREF 3497 \h</w:instrText>
        </w:r>
        <w:r>
          <w:fldChar w:fldCharType="end"/>
        </w:r>
      </w:hyperlink>
    </w:p>
    <w:p>
      <w:pPr>
        <w:tabs>
          <w:tab w:val="right" w:leader="dot" w:pos="9062"/>
        </w:tabs>
        <w:ind w:left="220"/>
      </w:pPr>
      <w:hyperlink w:anchor="_Toc3498" w:history="1">
        <w:r>
          <w:rPr>
            <w:rFonts w:ascii="IRNazanin" w:hAnsi="IRNazanin" w:eastAsia="IRNazanin" w:cs="IRNazanin"/>
            <w:color w:val="111111"/>
            <w:sz w:val="22"/>
            <w:szCs w:val="22"/>
            <w:b w:val="0"/>
            <w:bCs w:val="0"/>
            <w:i w:val="0"/>
            <w:iCs w:val="0"/>
          </w:rPr>
          <w:t>ديار بكري ، عبد الصمد بن علي - 786 ه-</w:t>
        </w:r>
        <w:r>
          <w:tab/>
        </w:r>
        <w:r>
          <w:fldChar w:fldCharType="begin"/>
        </w:r>
        <w:r>
          <w:instrText xml:space="preserve">PAGEREF 3498 \h</w:instrText>
        </w:r>
        <w:r>
          <w:fldChar w:fldCharType="end"/>
        </w:r>
      </w:hyperlink>
    </w:p>
    <w:p>
      <w:pPr>
        <w:tabs>
          <w:tab w:val="right" w:leader="dot" w:pos="9062"/>
        </w:tabs>
        <w:ind w:left="220"/>
      </w:pPr>
      <w:hyperlink w:anchor="_Toc3499" w:history="1">
        <w:r>
          <w:rPr>
            <w:rFonts w:ascii="IRNazanin" w:hAnsi="IRNazanin" w:eastAsia="IRNazanin" w:cs="IRNazanin"/>
            <w:color w:val="111111"/>
            <w:sz w:val="22"/>
            <w:szCs w:val="22"/>
            <w:b w:val="0"/>
            <w:bCs w:val="0"/>
            <w:i w:val="0"/>
            <w:iCs w:val="0"/>
          </w:rPr>
          <w:t>دیباج ، اسماعيل بن حسين</w:t>
        </w:r>
        <w:r>
          <w:tab/>
        </w:r>
        <w:r>
          <w:fldChar w:fldCharType="begin"/>
        </w:r>
        <w:r>
          <w:instrText xml:space="preserve">PAGEREF 3499 \h</w:instrText>
        </w:r>
        <w:r>
          <w:fldChar w:fldCharType="end"/>
        </w:r>
      </w:hyperlink>
    </w:p>
    <w:p>
      <w:pPr>
        <w:tabs>
          <w:tab w:val="right" w:leader="dot" w:pos="9062"/>
        </w:tabs>
        <w:ind w:left="220"/>
      </w:pPr>
      <w:hyperlink w:anchor="_Toc3500" w:history="1">
        <w:r>
          <w:rPr>
            <w:rFonts w:ascii="IRNazanin" w:hAnsi="IRNazanin" w:eastAsia="IRNazanin" w:cs="IRNazanin"/>
            <w:color w:val="111111"/>
            <w:sz w:val="22"/>
            <w:szCs w:val="22"/>
            <w:b w:val="0"/>
            <w:bCs w:val="0"/>
            <w:i w:val="0"/>
            <w:iCs w:val="0"/>
          </w:rPr>
          <w:t>ديباجي عبدالله بن عبد الرحمن، قرن 6ه-</w:t>
        </w:r>
        <w:r>
          <w:tab/>
        </w:r>
        <w:r>
          <w:fldChar w:fldCharType="begin"/>
        </w:r>
        <w:r>
          <w:instrText xml:space="preserve">PAGEREF 3500 \h</w:instrText>
        </w:r>
        <w:r>
          <w:fldChar w:fldCharType="end"/>
        </w:r>
      </w:hyperlink>
    </w:p>
    <w:p>
      <w:pPr>
        <w:tabs>
          <w:tab w:val="right" w:leader="dot" w:pos="9062"/>
        </w:tabs>
        <w:ind w:left="220"/>
      </w:pPr>
      <w:hyperlink w:anchor="_Toc3501" w:history="1">
        <w:r>
          <w:rPr>
            <w:rFonts w:ascii="IRNazanin" w:hAnsi="IRNazanin" w:eastAsia="IRNazanin" w:cs="IRNazanin"/>
            <w:color w:val="111111"/>
            <w:sz w:val="22"/>
            <w:szCs w:val="22"/>
            <w:b w:val="0"/>
            <w:bCs w:val="0"/>
            <w:i w:val="0"/>
            <w:iCs w:val="0"/>
          </w:rPr>
          <w:t>ديباجي ، فتح الله بن محمّد، قرن 12</w:t>
        </w:r>
        <w:r>
          <w:tab/>
        </w:r>
        <w:r>
          <w:fldChar w:fldCharType="begin"/>
        </w:r>
        <w:r>
          <w:instrText xml:space="preserve">PAGEREF 3501 \h</w:instrText>
        </w:r>
        <w:r>
          <w:fldChar w:fldCharType="end"/>
        </w:r>
      </w:hyperlink>
    </w:p>
    <w:p>
      <w:pPr>
        <w:tabs>
          <w:tab w:val="right" w:leader="dot" w:pos="9062"/>
        </w:tabs>
        <w:ind w:left="220"/>
      </w:pPr>
      <w:hyperlink w:anchor="_Toc3502" w:history="1">
        <w:r>
          <w:rPr>
            <w:rFonts w:ascii="IRNazanin" w:hAnsi="IRNazanin" w:eastAsia="IRNazanin" w:cs="IRNazanin"/>
            <w:color w:val="111111"/>
            <w:sz w:val="22"/>
            <w:szCs w:val="22"/>
            <w:b w:val="0"/>
            <w:bCs w:val="0"/>
            <w:i w:val="0"/>
            <w:iCs w:val="0"/>
          </w:rPr>
          <w:t>دیباچه نگار اصفهاني ، طاهر بن زين</w:t>
        </w:r>
        <w:r>
          <w:tab/>
        </w:r>
        <w:r>
          <w:fldChar w:fldCharType="begin"/>
        </w:r>
        <w:r>
          <w:instrText xml:space="preserve">PAGEREF 3502 \h</w:instrText>
        </w:r>
        <w:r>
          <w:fldChar w:fldCharType="end"/>
        </w:r>
      </w:hyperlink>
    </w:p>
    <w:p>
      <w:pPr>
        <w:tabs>
          <w:tab w:val="right" w:leader="dot" w:pos="9062"/>
        </w:tabs>
        <w:ind w:left="220"/>
      </w:pPr>
      <w:hyperlink w:anchor="_Toc3503" w:history="1">
        <w:r>
          <w:rPr>
            <w:rFonts w:ascii="IRNazanin" w:hAnsi="IRNazanin" w:eastAsia="IRNazanin" w:cs="IRNazanin"/>
            <w:color w:val="111111"/>
            <w:sz w:val="22"/>
            <w:szCs w:val="22"/>
            <w:b w:val="0"/>
            <w:bCs w:val="0"/>
            <w:i w:val="0"/>
            <w:iCs w:val="0"/>
          </w:rPr>
          <w:t>ديد كوس - 1580م</w:t>
        </w:r>
        <w:r>
          <w:tab/>
        </w:r>
        <w:r>
          <w:fldChar w:fldCharType="begin"/>
        </w:r>
        <w:r>
          <w:instrText xml:space="preserve">PAGEREF 3503 \h</w:instrText>
        </w:r>
        <w:r>
          <w:fldChar w:fldCharType="end"/>
        </w:r>
      </w:hyperlink>
    </w:p>
    <w:p>
      <w:pPr>
        <w:tabs>
          <w:tab w:val="right" w:leader="dot" w:pos="9062"/>
        </w:tabs>
        <w:ind w:left="220"/>
      </w:pPr>
      <w:hyperlink w:anchor="_Toc3504" w:history="1">
        <w:r>
          <w:rPr>
            <w:rFonts w:ascii="IRNazanin" w:hAnsi="IRNazanin" w:eastAsia="IRNazanin" w:cs="IRNazanin"/>
            <w:color w:val="111111"/>
            <w:sz w:val="22"/>
            <w:szCs w:val="22"/>
            <w:b w:val="0"/>
            <w:bCs w:val="0"/>
            <w:i w:val="0"/>
            <w:iCs w:val="0"/>
          </w:rPr>
          <w:t>ديربي ، احمد بن عمر 1061 - 1151 ه-</w:t>
        </w:r>
        <w:r>
          <w:tab/>
        </w:r>
        <w:r>
          <w:fldChar w:fldCharType="begin"/>
        </w:r>
        <w:r>
          <w:instrText xml:space="preserve">PAGEREF 3504 \h</w:instrText>
        </w:r>
        <w:r>
          <w:fldChar w:fldCharType="end"/>
        </w:r>
      </w:hyperlink>
    </w:p>
    <w:p>
      <w:pPr>
        <w:tabs>
          <w:tab w:val="right" w:leader="dot" w:pos="9062"/>
        </w:tabs>
        <w:ind w:left="220"/>
      </w:pPr>
      <w:hyperlink w:anchor="_Toc3505" w:history="1">
        <w:r>
          <w:rPr>
            <w:rFonts w:ascii="IRNazanin" w:hAnsi="IRNazanin" w:eastAsia="IRNazanin" w:cs="IRNazanin"/>
            <w:color w:val="111111"/>
            <w:sz w:val="22"/>
            <w:szCs w:val="22"/>
            <w:b w:val="0"/>
            <w:bCs w:val="0"/>
            <w:i w:val="0"/>
            <w:iCs w:val="0"/>
          </w:rPr>
          <w:t>ديري ، قادر بخش بن غلام محمّد</w:t>
        </w:r>
        <w:r>
          <w:tab/>
        </w:r>
        <w:r>
          <w:fldChar w:fldCharType="begin"/>
        </w:r>
        <w:r>
          <w:instrText xml:space="preserve">PAGEREF 3505 \h</w:instrText>
        </w:r>
        <w:r>
          <w:fldChar w:fldCharType="end"/>
        </w:r>
      </w:hyperlink>
    </w:p>
    <w:p>
      <w:pPr>
        <w:tabs>
          <w:tab w:val="right" w:leader="dot" w:pos="9062"/>
        </w:tabs>
        <w:ind w:left="220"/>
      </w:pPr>
      <w:hyperlink w:anchor="_Toc3506" w:history="1">
        <w:r>
          <w:rPr>
            <w:rFonts w:ascii="IRNazanin" w:hAnsi="IRNazanin" w:eastAsia="IRNazanin" w:cs="IRNazanin"/>
            <w:color w:val="111111"/>
            <w:sz w:val="22"/>
            <w:szCs w:val="22"/>
            <w:b w:val="0"/>
            <w:bCs w:val="0"/>
            <w:i w:val="0"/>
            <w:iCs w:val="0"/>
          </w:rPr>
          <w:t>ديريني عبدالعزيز بن احمد، 612-694ه-</w:t>
        </w:r>
        <w:r>
          <w:tab/>
        </w:r>
        <w:r>
          <w:fldChar w:fldCharType="begin"/>
        </w:r>
        <w:r>
          <w:instrText xml:space="preserve">PAGEREF 3506 \h</w:instrText>
        </w:r>
        <w:r>
          <w:fldChar w:fldCharType="end"/>
        </w:r>
      </w:hyperlink>
    </w:p>
    <w:p>
      <w:pPr>
        <w:tabs>
          <w:tab w:val="right" w:leader="dot" w:pos="9062"/>
        </w:tabs>
        <w:ind w:left="220"/>
      </w:pPr>
      <w:hyperlink w:anchor="_Toc3507" w:history="1">
        <w:r>
          <w:rPr>
            <w:rFonts w:ascii="IRNazanin" w:hAnsi="IRNazanin" w:eastAsia="IRNazanin" w:cs="IRNazanin"/>
            <w:color w:val="111111"/>
            <w:sz w:val="22"/>
            <w:szCs w:val="22"/>
            <w:b w:val="0"/>
            <w:bCs w:val="0"/>
            <w:i w:val="0"/>
            <w:iCs w:val="0"/>
          </w:rPr>
          <w:t>ديري ، هبة الله محمّد - 645 ه-</w:t>
        </w:r>
        <w:r>
          <w:tab/>
        </w:r>
        <w:r>
          <w:fldChar w:fldCharType="begin"/>
        </w:r>
        <w:r>
          <w:instrText xml:space="preserve">PAGEREF 3507 \h</w:instrText>
        </w:r>
        <w:r>
          <w:fldChar w:fldCharType="end"/>
        </w:r>
      </w:hyperlink>
    </w:p>
    <w:p>
      <w:pPr>
        <w:tabs>
          <w:tab w:val="right" w:leader="dot" w:pos="9062"/>
        </w:tabs>
        <w:ind w:left="220"/>
      </w:pPr>
      <w:hyperlink w:anchor="_Toc3508" w:history="1">
        <w:r>
          <w:rPr>
            <w:rFonts w:ascii="IRNazanin" w:hAnsi="IRNazanin" w:eastAsia="IRNazanin" w:cs="IRNazanin"/>
            <w:color w:val="111111"/>
            <w:sz w:val="22"/>
            <w:szCs w:val="22"/>
            <w:b w:val="0"/>
            <w:bCs w:val="0"/>
            <w:i w:val="0"/>
            <w:iCs w:val="0"/>
          </w:rPr>
          <w:t>ديك الجن ، عبد السلام بن رغبان 161 -</w:t>
        </w:r>
        <w:r>
          <w:tab/>
        </w:r>
        <w:r>
          <w:fldChar w:fldCharType="begin"/>
        </w:r>
        <w:r>
          <w:instrText xml:space="preserve">PAGEREF 3508 \h</w:instrText>
        </w:r>
        <w:r>
          <w:fldChar w:fldCharType="end"/>
        </w:r>
      </w:hyperlink>
    </w:p>
    <w:p>
      <w:pPr>
        <w:tabs>
          <w:tab w:val="right" w:leader="dot" w:pos="9062"/>
        </w:tabs>
        <w:ind w:left="220"/>
      </w:pPr>
      <w:hyperlink w:anchor="_Toc3509" w:history="1">
        <w:r>
          <w:rPr>
            <w:rFonts w:ascii="IRNazanin" w:hAnsi="IRNazanin" w:eastAsia="IRNazanin" w:cs="IRNazanin"/>
            <w:color w:val="111111"/>
            <w:sz w:val="22"/>
            <w:szCs w:val="22"/>
            <w:b w:val="0"/>
            <w:bCs w:val="0"/>
            <w:i w:val="0"/>
            <w:iCs w:val="0"/>
          </w:rPr>
          <w:t>؟ ديكقوز ، احمد بن عبدالله قرن 9 ه-</w:t>
        </w:r>
        <w:r>
          <w:tab/>
        </w:r>
        <w:r>
          <w:fldChar w:fldCharType="begin"/>
        </w:r>
        <w:r>
          <w:instrText xml:space="preserve">PAGEREF 3509 \h</w:instrText>
        </w:r>
        <w:r>
          <w:fldChar w:fldCharType="end"/>
        </w:r>
      </w:hyperlink>
    </w:p>
    <w:p>
      <w:pPr>
        <w:tabs>
          <w:tab w:val="right" w:leader="dot" w:pos="9062"/>
        </w:tabs>
        <w:ind w:left="220"/>
      </w:pPr>
      <w:hyperlink w:anchor="_Toc3510" w:history="1">
        <w:r>
          <w:rPr>
            <w:rFonts w:ascii="IRNazanin" w:hAnsi="IRNazanin" w:eastAsia="IRNazanin" w:cs="IRNazanin"/>
            <w:color w:val="111111"/>
            <w:sz w:val="22"/>
            <w:szCs w:val="22"/>
            <w:b w:val="0"/>
            <w:bCs w:val="0"/>
            <w:i w:val="0"/>
            <w:iCs w:val="0"/>
          </w:rPr>
          <w:t>دیلماج ، محمّد بن قاسم قرن 12 ه-</w:t>
        </w:r>
        <w:r>
          <w:tab/>
        </w:r>
        <w:r>
          <w:fldChar w:fldCharType="begin"/>
        </w:r>
        <w:r>
          <w:instrText xml:space="preserve">PAGEREF 3510 \h</w:instrText>
        </w:r>
        <w:r>
          <w:fldChar w:fldCharType="end"/>
        </w:r>
      </w:hyperlink>
    </w:p>
    <w:p>
      <w:pPr>
        <w:tabs>
          <w:tab w:val="right" w:leader="dot" w:pos="9062"/>
        </w:tabs>
        <w:ind w:left="220"/>
      </w:pPr>
      <w:hyperlink w:anchor="_Toc3511" w:history="1">
        <w:r>
          <w:rPr>
            <w:rFonts w:ascii="IRNazanin" w:hAnsi="IRNazanin" w:eastAsia="IRNazanin" w:cs="IRNazanin"/>
            <w:color w:val="111111"/>
            <w:sz w:val="22"/>
            <w:szCs w:val="22"/>
            <w:b w:val="0"/>
            <w:bCs w:val="0"/>
            <w:i w:val="0"/>
            <w:iCs w:val="0"/>
          </w:rPr>
          <w:t>ديلمي ، حسن بن محمّد قرن 8 ه-</w:t>
        </w:r>
        <w:r>
          <w:tab/>
        </w:r>
        <w:r>
          <w:fldChar w:fldCharType="begin"/>
        </w:r>
        <w:r>
          <w:instrText xml:space="preserve">PAGEREF 3511 \h</w:instrText>
        </w:r>
        <w:r>
          <w:fldChar w:fldCharType="end"/>
        </w:r>
      </w:hyperlink>
    </w:p>
    <w:p>
      <w:pPr>
        <w:tabs>
          <w:tab w:val="right" w:leader="dot" w:pos="9062"/>
        </w:tabs>
        <w:ind w:left="220"/>
      </w:pPr>
      <w:hyperlink w:anchor="_Toc3512" w:history="1">
        <w:r>
          <w:rPr>
            <w:rFonts w:ascii="IRNazanin" w:hAnsi="IRNazanin" w:eastAsia="IRNazanin" w:cs="IRNazanin"/>
            <w:color w:val="111111"/>
            <w:sz w:val="22"/>
            <w:szCs w:val="22"/>
            <w:b w:val="0"/>
            <w:bCs w:val="0"/>
            <w:i w:val="0"/>
            <w:iCs w:val="0"/>
          </w:rPr>
          <w:t>ديلمي ، شيرويه بن شهردار 445-509ه-</w:t>
        </w:r>
        <w:r>
          <w:tab/>
        </w:r>
        <w:r>
          <w:fldChar w:fldCharType="begin"/>
        </w:r>
        <w:r>
          <w:instrText xml:space="preserve">PAGEREF 3512 \h</w:instrText>
        </w:r>
        <w:r>
          <w:fldChar w:fldCharType="end"/>
        </w:r>
      </w:hyperlink>
    </w:p>
    <w:p>
      <w:pPr>
        <w:tabs>
          <w:tab w:val="right" w:leader="dot" w:pos="9062"/>
        </w:tabs>
        <w:ind w:left="220"/>
      </w:pPr>
      <w:hyperlink w:anchor="_Toc3513" w:history="1">
        <w:r>
          <w:rPr>
            <w:rFonts w:ascii="IRNazanin" w:hAnsi="IRNazanin" w:eastAsia="IRNazanin" w:cs="IRNazanin"/>
            <w:color w:val="111111"/>
            <w:sz w:val="22"/>
            <w:szCs w:val="22"/>
            <w:b w:val="0"/>
            <w:bCs w:val="0"/>
            <w:i w:val="0"/>
            <w:iCs w:val="0"/>
          </w:rPr>
          <w:t>ديلمي ، محمّد بن عبدالملك - 589 ه-</w:t>
        </w:r>
        <w:r>
          <w:tab/>
        </w:r>
        <w:r>
          <w:fldChar w:fldCharType="begin"/>
        </w:r>
        <w:r>
          <w:instrText xml:space="preserve">PAGEREF 3513 \h</w:instrText>
        </w:r>
        <w:r>
          <w:fldChar w:fldCharType="end"/>
        </w:r>
      </w:hyperlink>
    </w:p>
    <w:p>
      <w:pPr>
        <w:tabs>
          <w:tab w:val="right" w:leader="dot" w:pos="9062"/>
        </w:tabs>
        <w:ind w:left="220"/>
      </w:pPr>
      <w:hyperlink w:anchor="_Toc3514" w:history="1">
        <w:r>
          <w:rPr>
            <w:rFonts w:ascii="IRNazanin" w:hAnsi="IRNazanin" w:eastAsia="IRNazanin" w:cs="IRNazanin"/>
            <w:color w:val="111111"/>
            <w:sz w:val="22"/>
            <w:szCs w:val="22"/>
            <w:b w:val="0"/>
            <w:bCs w:val="0"/>
            <w:i w:val="0"/>
            <w:iCs w:val="0"/>
          </w:rPr>
          <w:t>ديمقراطيس - 459 ؟ قبل میلاد</w:t>
        </w:r>
        <w:r>
          <w:tab/>
        </w:r>
        <w:r>
          <w:fldChar w:fldCharType="begin"/>
        </w:r>
        <w:r>
          <w:instrText xml:space="preserve">PAGEREF 3514 \h</w:instrText>
        </w:r>
        <w:r>
          <w:fldChar w:fldCharType="end"/>
        </w:r>
      </w:hyperlink>
    </w:p>
    <w:p>
      <w:pPr>
        <w:tabs>
          <w:tab w:val="right" w:leader="dot" w:pos="9062"/>
        </w:tabs>
        <w:ind w:left="220"/>
      </w:pPr>
      <w:hyperlink w:anchor="_Toc3515" w:history="1">
        <w:r>
          <w:rPr>
            <w:rFonts w:ascii="IRNazanin" w:hAnsi="IRNazanin" w:eastAsia="IRNazanin" w:cs="IRNazanin"/>
            <w:color w:val="111111"/>
            <w:sz w:val="22"/>
            <w:szCs w:val="22"/>
            <w:b w:val="0"/>
            <w:bCs w:val="0"/>
            <w:i w:val="0"/>
            <w:iCs w:val="0"/>
          </w:rPr>
          <w:t>دينوري ، محمّد سعيد، قرن 13 ه-</w:t>
        </w:r>
        <w:r>
          <w:tab/>
        </w:r>
        <w:r>
          <w:fldChar w:fldCharType="begin"/>
        </w:r>
        <w:r>
          <w:instrText xml:space="preserve">PAGEREF 3515 \h</w:instrText>
        </w:r>
        <w:r>
          <w:fldChar w:fldCharType="end"/>
        </w:r>
      </w:hyperlink>
    </w:p>
    <w:p>
      <w:pPr>
        <w:tabs>
          <w:tab w:val="right" w:leader="dot" w:pos="9062"/>
        </w:tabs>
        <w:ind w:left="220"/>
      </w:pPr>
      <w:hyperlink w:anchor="_Toc3516" w:history="1">
        <w:r>
          <w:rPr>
            <w:rFonts w:ascii="IRNazanin" w:hAnsi="IRNazanin" w:eastAsia="IRNazanin" w:cs="IRNazanin"/>
            <w:color w:val="111111"/>
            <w:sz w:val="22"/>
            <w:szCs w:val="22"/>
            <w:b w:val="0"/>
            <w:bCs w:val="0"/>
            <w:i w:val="0"/>
            <w:iCs w:val="0"/>
          </w:rPr>
          <w:t>دينوري، نصر بن يعقوب قرن 4 ه-</w:t>
        </w:r>
        <w:r>
          <w:tab/>
        </w:r>
        <w:r>
          <w:fldChar w:fldCharType="begin"/>
        </w:r>
        <w:r>
          <w:instrText xml:space="preserve">PAGEREF 3516 \h</w:instrText>
        </w:r>
        <w:r>
          <w:fldChar w:fldCharType="end"/>
        </w:r>
      </w:hyperlink>
    </w:p>
    <w:p>
      <w:pPr>
        <w:tabs>
          <w:tab w:val="right" w:leader="dot" w:pos="9062"/>
        </w:tabs>
        <w:ind w:left="220"/>
      </w:pPr>
      <w:hyperlink w:anchor="_Toc3517" w:history="1">
        <w:r>
          <w:rPr>
            <w:rFonts w:ascii="IRNazanin" w:hAnsi="IRNazanin" w:eastAsia="IRNazanin" w:cs="IRNazanin"/>
            <w:color w:val="111111"/>
            <w:sz w:val="22"/>
            <w:szCs w:val="22"/>
            <w:b w:val="0"/>
            <w:bCs w:val="0"/>
            <w:i w:val="0"/>
            <w:iCs w:val="0"/>
          </w:rPr>
          <w:t>ديوه جي ، احمد بن محمّد قرن 14 ه-</w:t>
        </w:r>
        <w:r>
          <w:tab/>
        </w:r>
        <w:r>
          <w:fldChar w:fldCharType="begin"/>
        </w:r>
        <w:r>
          <w:instrText xml:space="preserve">PAGEREF 3517 \h</w:instrText>
        </w:r>
        <w:r>
          <w:fldChar w:fldCharType="end"/>
        </w:r>
      </w:hyperlink>
    </w:p>
    <w:p>
      <w:pPr>
        <w:tabs>
          <w:tab w:val="right" w:leader="dot" w:pos="9062"/>
        </w:tabs>
        <w:ind w:left="220"/>
      </w:pPr>
      <w:hyperlink w:anchor="_Toc3518" w:history="1">
        <w:r>
          <w:rPr>
            <w:rFonts w:ascii="IRNazanin" w:hAnsi="IRNazanin" w:eastAsia="IRNazanin" w:cs="IRNazanin"/>
            <w:color w:val="111111"/>
            <w:sz w:val="22"/>
            <w:szCs w:val="22"/>
            <w:b w:val="0"/>
            <w:bCs w:val="0"/>
            <w:i w:val="0"/>
            <w:iCs w:val="0"/>
          </w:rPr>
          <w:t>ديوه جي ، عثمان</w:t>
        </w:r>
        <w:r>
          <w:tab/>
        </w:r>
        <w:r>
          <w:fldChar w:fldCharType="begin"/>
        </w:r>
        <w:r>
          <w:instrText xml:space="preserve">PAGEREF 3518 \h</w:instrText>
        </w:r>
        <w:r>
          <w:fldChar w:fldCharType="end"/>
        </w:r>
      </w:hyperlink>
    </w:p>
    <w:p>
      <w:pPr>
        <w:tabs>
          <w:tab w:val="right" w:leader="dot" w:pos="9062"/>
        </w:tabs>
        <w:ind w:left="220"/>
      </w:pPr>
      <w:hyperlink w:anchor="_Toc3519" w:history="1">
        <w:r>
          <w:rPr>
            <w:rFonts w:ascii="IRNazanin" w:hAnsi="IRNazanin" w:eastAsia="IRNazanin" w:cs="IRNazanin"/>
            <w:color w:val="111111"/>
            <w:sz w:val="22"/>
            <w:szCs w:val="22"/>
            <w:b w:val="0"/>
            <w:bCs w:val="0"/>
            <w:i w:val="0"/>
            <w:iCs w:val="0"/>
          </w:rPr>
          <w:t>ذكير ، مقبل عبد العزيز، قرن 14 ه-</w:t>
        </w:r>
        <w:r>
          <w:tab/>
        </w:r>
        <w:r>
          <w:fldChar w:fldCharType="begin"/>
        </w:r>
        <w:r>
          <w:instrText xml:space="preserve">PAGEREF 3519 \h</w:instrText>
        </w:r>
        <w:r>
          <w:fldChar w:fldCharType="end"/>
        </w:r>
      </w:hyperlink>
    </w:p>
    <w:p>
      <w:pPr>
        <w:tabs>
          <w:tab w:val="right" w:leader="dot" w:pos="9062"/>
        </w:tabs>
        <w:ind w:left="220"/>
      </w:pPr>
      <w:hyperlink w:anchor="_Toc3520" w:history="1">
        <w:r>
          <w:rPr>
            <w:rFonts w:ascii="IRNazanin" w:hAnsi="IRNazanin" w:eastAsia="IRNazanin" w:cs="IRNazanin"/>
            <w:color w:val="111111"/>
            <w:sz w:val="22"/>
            <w:szCs w:val="22"/>
            <w:b w:val="0"/>
            <w:bCs w:val="0"/>
            <w:i w:val="0"/>
            <w:iCs w:val="0"/>
          </w:rPr>
          <w:t>ذمي ، يوحنا بن اسرائيل</w:t>
        </w:r>
        <w:r>
          <w:tab/>
        </w:r>
        <w:r>
          <w:fldChar w:fldCharType="begin"/>
        </w:r>
        <w:r>
          <w:instrText xml:space="preserve">PAGEREF 3520 \h</w:instrText>
        </w:r>
        <w:r>
          <w:fldChar w:fldCharType="end"/>
        </w:r>
      </w:hyperlink>
    </w:p>
    <w:p>
      <w:pPr>
        <w:tabs>
          <w:tab w:val="right" w:leader="dot" w:pos="9062"/>
        </w:tabs>
        <w:ind w:left="220"/>
      </w:pPr>
      <w:hyperlink w:anchor="_Toc3521" w:history="1">
        <w:r>
          <w:rPr>
            <w:rFonts w:ascii="IRNazanin" w:hAnsi="IRNazanin" w:eastAsia="IRNazanin" w:cs="IRNazanin"/>
            <w:color w:val="111111"/>
            <w:sz w:val="22"/>
            <w:szCs w:val="22"/>
            <w:b w:val="0"/>
            <w:bCs w:val="0"/>
            <w:i w:val="0"/>
            <w:iCs w:val="0"/>
          </w:rPr>
          <w:t>ذهب ، محمود</w:t>
        </w:r>
        <w:r>
          <w:tab/>
        </w:r>
        <w:r>
          <w:fldChar w:fldCharType="begin"/>
        </w:r>
        <w:r>
          <w:instrText xml:space="preserve">PAGEREF 3521 \h</w:instrText>
        </w:r>
        <w:r>
          <w:fldChar w:fldCharType="end"/>
        </w:r>
      </w:hyperlink>
    </w:p>
    <w:p>
      <w:pPr>
        <w:tabs>
          <w:tab w:val="right" w:leader="dot" w:pos="9062"/>
        </w:tabs>
        <w:ind w:left="220"/>
      </w:pPr>
      <w:hyperlink w:anchor="_Toc3522" w:history="1">
        <w:r>
          <w:rPr>
            <w:rFonts w:ascii="IRNazanin" w:hAnsi="IRNazanin" w:eastAsia="IRNazanin" w:cs="IRNazanin"/>
            <w:color w:val="111111"/>
            <w:sz w:val="22"/>
            <w:szCs w:val="22"/>
            <w:b w:val="0"/>
            <w:bCs w:val="0"/>
            <w:i w:val="0"/>
            <w:iCs w:val="0"/>
          </w:rPr>
          <w:t>ذهب ، محمود بن محمّد - 1325 ه-</w:t>
        </w:r>
        <w:r>
          <w:tab/>
        </w:r>
        <w:r>
          <w:fldChar w:fldCharType="begin"/>
        </w:r>
        <w:r>
          <w:instrText xml:space="preserve">PAGEREF 3522 \h</w:instrText>
        </w:r>
        <w:r>
          <w:fldChar w:fldCharType="end"/>
        </w:r>
      </w:hyperlink>
    </w:p>
    <w:p>
      <w:pPr>
        <w:tabs>
          <w:tab w:val="right" w:leader="dot" w:pos="9062"/>
        </w:tabs>
        <w:ind w:left="220"/>
      </w:pPr>
      <w:hyperlink w:anchor="_Toc3523" w:history="1">
        <w:r>
          <w:rPr>
            <w:rFonts w:ascii="IRNazanin" w:hAnsi="IRNazanin" w:eastAsia="IRNazanin" w:cs="IRNazanin"/>
            <w:color w:val="111111"/>
            <w:sz w:val="22"/>
            <w:szCs w:val="22"/>
            <w:b w:val="0"/>
            <w:bCs w:val="0"/>
            <w:i w:val="0"/>
            <w:iCs w:val="0"/>
          </w:rPr>
          <w:t>ذهبي ، ابو عبدالله</w:t>
        </w:r>
        <w:r>
          <w:tab/>
        </w:r>
        <w:r>
          <w:fldChar w:fldCharType="begin"/>
        </w:r>
        <w:r>
          <w:instrText xml:space="preserve">PAGEREF 3523 \h</w:instrText>
        </w:r>
        <w:r>
          <w:fldChar w:fldCharType="end"/>
        </w:r>
      </w:hyperlink>
    </w:p>
    <w:p>
      <w:pPr>
        <w:tabs>
          <w:tab w:val="right" w:leader="dot" w:pos="9062"/>
        </w:tabs>
        <w:ind w:left="220"/>
      </w:pPr>
      <w:hyperlink w:anchor="_Toc3524" w:history="1">
        <w:r>
          <w:rPr>
            <w:rFonts w:ascii="IRNazanin" w:hAnsi="IRNazanin" w:eastAsia="IRNazanin" w:cs="IRNazanin"/>
            <w:color w:val="111111"/>
            <w:sz w:val="22"/>
            <w:szCs w:val="22"/>
            <w:b w:val="0"/>
            <w:bCs w:val="0"/>
            <w:i w:val="0"/>
            <w:iCs w:val="0"/>
          </w:rPr>
          <w:t>ذهبي ، محمّد بن احمد، 673 - 748 ه-</w:t>
        </w:r>
        <w:r>
          <w:tab/>
        </w:r>
        <w:r>
          <w:fldChar w:fldCharType="begin"/>
        </w:r>
        <w:r>
          <w:instrText xml:space="preserve">PAGEREF 3524 \h</w:instrText>
        </w:r>
        <w:r>
          <w:fldChar w:fldCharType="end"/>
        </w:r>
      </w:hyperlink>
    </w:p>
    <w:p>
      <w:pPr>
        <w:tabs>
          <w:tab w:val="right" w:leader="dot" w:pos="9062"/>
        </w:tabs>
        <w:ind w:left="220"/>
      </w:pPr>
      <w:hyperlink w:anchor="_Toc3525" w:history="1">
        <w:r>
          <w:rPr>
            <w:rFonts w:ascii="IRNazanin" w:hAnsi="IRNazanin" w:eastAsia="IRNazanin" w:cs="IRNazanin"/>
            <w:color w:val="111111"/>
            <w:sz w:val="22"/>
            <w:szCs w:val="22"/>
            <w:b w:val="0"/>
            <w:bCs w:val="0"/>
            <w:i w:val="0"/>
            <w:iCs w:val="0"/>
          </w:rPr>
          <w:t>ذهبي ، مصطفى بن حنفي - 1280 ه-</w:t>
        </w:r>
        <w:r>
          <w:tab/>
        </w:r>
        <w:r>
          <w:fldChar w:fldCharType="begin"/>
        </w:r>
        <w:r>
          <w:instrText xml:space="preserve">PAGEREF 3525 \h</w:instrText>
        </w:r>
        <w:r>
          <w:fldChar w:fldCharType="end"/>
        </w:r>
      </w:hyperlink>
    </w:p>
    <w:p>
      <w:pPr>
        <w:tabs>
          <w:tab w:val="right" w:leader="dot" w:pos="9062"/>
        </w:tabs>
        <w:ind w:left="220"/>
      </w:pPr>
      <w:hyperlink w:anchor="_Toc3526" w:history="1">
        <w:r>
          <w:rPr>
            <w:rFonts w:ascii="IRNazanin" w:hAnsi="IRNazanin" w:eastAsia="IRNazanin" w:cs="IRNazanin"/>
            <w:color w:val="111111"/>
            <w:sz w:val="22"/>
            <w:szCs w:val="22"/>
            <w:b w:val="0"/>
            <w:bCs w:val="0"/>
            <w:i w:val="0"/>
            <w:iCs w:val="0"/>
          </w:rPr>
          <w:t>ذوالرمه ، غيلان بن عقبه 77 - 117 ه-</w:t>
        </w:r>
        <w:r>
          <w:tab/>
        </w:r>
        <w:r>
          <w:fldChar w:fldCharType="begin"/>
        </w:r>
        <w:r>
          <w:instrText xml:space="preserve">PAGEREF 3526 \h</w:instrText>
        </w:r>
        <w:r>
          <w:fldChar w:fldCharType="end"/>
        </w:r>
      </w:hyperlink>
    </w:p>
    <w:p>
      <w:pPr>
        <w:tabs>
          <w:tab w:val="right" w:leader="dot" w:pos="9062"/>
        </w:tabs>
        <w:ind w:left="220"/>
      </w:pPr>
      <w:hyperlink w:anchor="_Toc3527" w:history="1">
        <w:r>
          <w:rPr>
            <w:rFonts w:ascii="IRNazanin" w:hAnsi="IRNazanin" w:eastAsia="IRNazanin" w:cs="IRNazanin"/>
            <w:color w:val="111111"/>
            <w:sz w:val="22"/>
            <w:szCs w:val="22"/>
            <w:b w:val="0"/>
            <w:bCs w:val="0"/>
            <w:i w:val="0"/>
            <w:iCs w:val="0"/>
          </w:rPr>
          <w:t>ذوالنون بن احمد</w:t>
        </w:r>
        <w:r>
          <w:tab/>
        </w:r>
        <w:r>
          <w:fldChar w:fldCharType="begin"/>
        </w:r>
        <w:r>
          <w:instrText xml:space="preserve">PAGEREF 3527 \h</w:instrText>
        </w:r>
        <w:r>
          <w:fldChar w:fldCharType="end"/>
        </w:r>
      </w:hyperlink>
    </w:p>
    <w:p>
      <w:pPr>
        <w:tabs>
          <w:tab w:val="right" w:leader="dot" w:pos="9062"/>
        </w:tabs>
        <w:ind w:left="220"/>
      </w:pPr>
      <w:hyperlink w:anchor="_Toc3528" w:history="1">
        <w:r>
          <w:rPr>
            <w:rFonts w:ascii="IRNazanin" w:hAnsi="IRNazanin" w:eastAsia="IRNazanin" w:cs="IRNazanin"/>
            <w:color w:val="111111"/>
            <w:sz w:val="22"/>
            <w:szCs w:val="22"/>
            <w:b w:val="0"/>
            <w:bCs w:val="0"/>
            <w:i w:val="0"/>
            <w:iCs w:val="0"/>
          </w:rPr>
          <w:t>ذوالنون مصري ، ثوبان بن ابراهیم 180 قدامه</w:t>
        </w:r>
        <w:r>
          <w:tab/>
        </w:r>
        <w:r>
          <w:fldChar w:fldCharType="begin"/>
        </w:r>
        <w:r>
          <w:instrText xml:space="preserve">PAGEREF 3528 \h</w:instrText>
        </w:r>
        <w:r>
          <w:fldChar w:fldCharType="end"/>
        </w:r>
      </w:hyperlink>
    </w:p>
    <w:p>
      <w:pPr>
        <w:tabs>
          <w:tab w:val="right" w:leader="dot" w:pos="9062"/>
        </w:tabs>
        <w:ind w:left="220"/>
      </w:pPr>
      <w:hyperlink w:anchor="_Toc3529" w:history="1">
        <w:r>
          <w:rPr>
            <w:rFonts w:ascii="IRNazanin" w:hAnsi="IRNazanin" w:eastAsia="IRNazanin" w:cs="IRNazanin"/>
            <w:color w:val="111111"/>
            <w:sz w:val="22"/>
            <w:szCs w:val="22"/>
            <w:b w:val="0"/>
            <w:bCs w:val="0"/>
            <w:i w:val="0"/>
            <w:iCs w:val="0"/>
          </w:rPr>
          <w:t>رائق ، حافظ محمّد</w:t>
        </w:r>
        <w:r>
          <w:tab/>
        </w:r>
        <w:r>
          <w:fldChar w:fldCharType="begin"/>
        </w:r>
        <w:r>
          <w:instrText xml:space="preserve">PAGEREF 3529 \h</w:instrText>
        </w:r>
        <w:r>
          <w:fldChar w:fldCharType="end"/>
        </w:r>
      </w:hyperlink>
    </w:p>
    <w:p>
      <w:pPr>
        <w:tabs>
          <w:tab w:val="right" w:leader="dot" w:pos="9062"/>
        </w:tabs>
        <w:ind w:left="220"/>
      </w:pPr>
      <w:hyperlink w:anchor="_Toc3530" w:history="1">
        <w:r>
          <w:rPr>
            <w:rFonts w:ascii="IRNazanin" w:hAnsi="IRNazanin" w:eastAsia="IRNazanin" w:cs="IRNazanin"/>
            <w:color w:val="111111"/>
            <w:sz w:val="22"/>
            <w:szCs w:val="22"/>
            <w:b w:val="0"/>
            <w:bCs w:val="0"/>
            <w:i w:val="0"/>
            <w:iCs w:val="0"/>
          </w:rPr>
          <w:t>رازي، احمد بن فارس، 326 - 395 ؟ ه-</w:t>
        </w:r>
        <w:r>
          <w:tab/>
        </w:r>
        <w:r>
          <w:fldChar w:fldCharType="begin"/>
        </w:r>
        <w:r>
          <w:instrText xml:space="preserve">PAGEREF 3530 \h</w:instrText>
        </w:r>
        <w:r>
          <w:fldChar w:fldCharType="end"/>
        </w:r>
      </w:hyperlink>
    </w:p>
    <w:p>
      <w:pPr>
        <w:tabs>
          <w:tab w:val="right" w:leader="dot" w:pos="9062"/>
        </w:tabs>
        <w:ind w:left="220"/>
      </w:pPr>
      <w:hyperlink w:anchor="_Toc3531" w:history="1">
        <w:r>
          <w:rPr>
            <w:rFonts w:ascii="IRNazanin" w:hAnsi="IRNazanin" w:eastAsia="IRNazanin" w:cs="IRNazanin"/>
            <w:color w:val="111111"/>
            <w:sz w:val="22"/>
            <w:szCs w:val="22"/>
            <w:b w:val="0"/>
            <w:bCs w:val="0"/>
            <w:i w:val="0"/>
            <w:iCs w:val="0"/>
          </w:rPr>
          <w:t>رازي ، اشرف بن محمّد قرن 11 ه-</w:t>
        </w:r>
        <w:r>
          <w:tab/>
        </w:r>
        <w:r>
          <w:fldChar w:fldCharType="begin"/>
        </w:r>
        <w:r>
          <w:instrText xml:space="preserve">PAGEREF 3531 \h</w:instrText>
        </w:r>
        <w:r>
          <w:fldChar w:fldCharType="end"/>
        </w:r>
      </w:hyperlink>
    </w:p>
    <w:p>
      <w:pPr>
        <w:tabs>
          <w:tab w:val="right" w:leader="dot" w:pos="9062"/>
        </w:tabs>
        <w:ind w:left="220"/>
      </w:pPr>
      <w:hyperlink w:anchor="_Toc3532" w:history="1">
        <w:r>
          <w:rPr>
            <w:rFonts w:ascii="IRNazanin" w:hAnsi="IRNazanin" w:eastAsia="IRNazanin" w:cs="IRNazanin"/>
            <w:color w:val="111111"/>
            <w:sz w:val="22"/>
            <w:szCs w:val="22"/>
            <w:b w:val="0"/>
            <w:bCs w:val="0"/>
            <w:i w:val="0"/>
            <w:iCs w:val="0"/>
          </w:rPr>
          <w:t>رازي، خضر بن محمّد - 850 ه-</w:t>
        </w:r>
        <w:r>
          <w:tab/>
        </w:r>
        <w:r>
          <w:fldChar w:fldCharType="begin"/>
        </w:r>
        <w:r>
          <w:instrText xml:space="preserve">PAGEREF 3532 \h</w:instrText>
        </w:r>
        <w:r>
          <w:fldChar w:fldCharType="end"/>
        </w:r>
      </w:hyperlink>
    </w:p>
    <w:p>
      <w:pPr>
        <w:tabs>
          <w:tab w:val="right" w:leader="dot" w:pos="9062"/>
        </w:tabs>
        <w:ind w:left="220"/>
      </w:pPr>
      <w:hyperlink w:anchor="_Toc3533" w:history="1">
        <w:r>
          <w:rPr>
            <w:rFonts w:ascii="IRNazanin" w:hAnsi="IRNazanin" w:eastAsia="IRNazanin" w:cs="IRNazanin"/>
            <w:color w:val="111111"/>
            <w:sz w:val="22"/>
            <w:szCs w:val="22"/>
            <w:b w:val="0"/>
            <w:bCs w:val="0"/>
            <w:i w:val="0"/>
            <w:iCs w:val="0"/>
          </w:rPr>
          <w:t>رازي ، سليم بن ايوب - 448 ه-</w:t>
        </w:r>
        <w:r>
          <w:tab/>
        </w:r>
        <w:r>
          <w:fldChar w:fldCharType="begin"/>
        </w:r>
        <w:r>
          <w:instrText xml:space="preserve">PAGEREF 3533 \h</w:instrText>
        </w:r>
        <w:r>
          <w:fldChar w:fldCharType="end"/>
        </w:r>
      </w:hyperlink>
    </w:p>
    <w:p>
      <w:pPr>
        <w:tabs>
          <w:tab w:val="right" w:leader="dot" w:pos="9062"/>
        </w:tabs>
        <w:ind w:left="220"/>
      </w:pPr>
      <w:hyperlink w:anchor="_Toc3534" w:history="1">
        <w:r>
          <w:rPr>
            <w:rFonts w:ascii="IRNazanin" w:hAnsi="IRNazanin" w:eastAsia="IRNazanin" w:cs="IRNazanin"/>
            <w:color w:val="111111"/>
            <w:sz w:val="22"/>
            <w:szCs w:val="22"/>
            <w:b w:val="0"/>
            <w:bCs w:val="0"/>
            <w:i w:val="0"/>
            <w:iCs w:val="0"/>
          </w:rPr>
          <w:t>رازي صنعاني احمد بن عبدالله قرن 5 ه-</w:t>
        </w:r>
        <w:r>
          <w:tab/>
        </w:r>
        <w:r>
          <w:fldChar w:fldCharType="begin"/>
        </w:r>
        <w:r>
          <w:instrText xml:space="preserve">PAGEREF 3534 \h</w:instrText>
        </w:r>
        <w:r>
          <w:fldChar w:fldCharType="end"/>
        </w:r>
      </w:hyperlink>
    </w:p>
    <w:p>
      <w:pPr>
        <w:tabs>
          <w:tab w:val="right" w:leader="dot" w:pos="9062"/>
        </w:tabs>
        <w:ind w:left="220"/>
      </w:pPr>
      <w:hyperlink w:anchor="_Toc3535" w:history="1">
        <w:r>
          <w:rPr>
            <w:rFonts w:ascii="IRNazanin" w:hAnsi="IRNazanin" w:eastAsia="IRNazanin" w:cs="IRNazanin"/>
            <w:color w:val="111111"/>
            <w:sz w:val="22"/>
            <w:szCs w:val="22"/>
            <w:b w:val="0"/>
            <w:bCs w:val="0"/>
            <w:i w:val="0"/>
            <w:iCs w:val="0"/>
          </w:rPr>
          <w:t>رازي ، محمّد بن احمد قرن 5 ه-</w:t>
        </w:r>
        <w:r>
          <w:tab/>
        </w:r>
        <w:r>
          <w:fldChar w:fldCharType="begin"/>
        </w:r>
        <w:r>
          <w:instrText xml:space="preserve">PAGEREF 3535 \h</w:instrText>
        </w:r>
        <w:r>
          <w:fldChar w:fldCharType="end"/>
        </w:r>
      </w:hyperlink>
    </w:p>
    <w:p>
      <w:pPr>
        <w:tabs>
          <w:tab w:val="right" w:leader="dot" w:pos="9062"/>
        </w:tabs>
        <w:ind w:left="220"/>
      </w:pPr>
      <w:hyperlink w:anchor="_Toc3536" w:history="1">
        <w:r>
          <w:rPr>
            <w:rFonts w:ascii="IRNazanin" w:hAnsi="IRNazanin" w:eastAsia="IRNazanin" w:cs="IRNazanin"/>
            <w:color w:val="111111"/>
            <w:sz w:val="22"/>
            <w:szCs w:val="22"/>
            <w:b w:val="0"/>
            <w:bCs w:val="0"/>
            <w:i w:val="0"/>
            <w:iCs w:val="0"/>
          </w:rPr>
          <w:t>رازي ، محمّد بن ادريس، 195 - 277 ه-</w:t>
        </w:r>
        <w:r>
          <w:tab/>
        </w:r>
        <w:r>
          <w:fldChar w:fldCharType="begin"/>
        </w:r>
        <w:r>
          <w:instrText xml:space="preserve">PAGEREF 3536 \h</w:instrText>
        </w:r>
        <w:r>
          <w:fldChar w:fldCharType="end"/>
        </w:r>
      </w:hyperlink>
    </w:p>
    <w:p>
      <w:pPr>
        <w:tabs>
          <w:tab w:val="right" w:leader="dot" w:pos="9062"/>
        </w:tabs>
        <w:ind w:left="220"/>
      </w:pPr>
      <w:hyperlink w:anchor="_Toc3537" w:history="1">
        <w:r>
          <w:rPr>
            <w:rFonts w:ascii="IRNazanin" w:hAnsi="IRNazanin" w:eastAsia="IRNazanin" w:cs="IRNazanin"/>
            <w:color w:val="111111"/>
            <w:sz w:val="22"/>
            <w:szCs w:val="22"/>
            <w:b w:val="0"/>
            <w:bCs w:val="0"/>
            <w:i w:val="0"/>
            <w:iCs w:val="0"/>
          </w:rPr>
          <w:t>رازي ، محمّد بن زكريا، 251 - 313 ه-</w:t>
        </w:r>
        <w:r>
          <w:tab/>
        </w:r>
        <w:r>
          <w:fldChar w:fldCharType="begin"/>
        </w:r>
        <w:r>
          <w:instrText xml:space="preserve">PAGEREF 3537 \h</w:instrText>
        </w:r>
        <w:r>
          <w:fldChar w:fldCharType="end"/>
        </w:r>
      </w:hyperlink>
    </w:p>
    <w:p>
      <w:pPr>
        <w:tabs>
          <w:tab w:val="right" w:leader="dot" w:pos="9062"/>
        </w:tabs>
        <w:ind w:left="220"/>
      </w:pPr>
      <w:hyperlink w:anchor="_Toc3538" w:history="1">
        <w:r>
          <w:rPr>
            <w:rFonts w:ascii="IRNazanin" w:hAnsi="IRNazanin" w:eastAsia="IRNazanin" w:cs="IRNazanin"/>
            <w:color w:val="111111"/>
            <w:sz w:val="22"/>
            <w:szCs w:val="22"/>
            <w:b w:val="0"/>
            <w:bCs w:val="0"/>
            <w:i w:val="0"/>
            <w:iCs w:val="0"/>
          </w:rPr>
          <w:t>رازي ، محمّد بن مسلم قرن 6 ه-</w:t>
        </w:r>
        <w:r>
          <w:tab/>
        </w:r>
        <w:r>
          <w:fldChar w:fldCharType="begin"/>
        </w:r>
        <w:r>
          <w:instrText xml:space="preserve">PAGEREF 3538 \h</w:instrText>
        </w:r>
        <w:r>
          <w:fldChar w:fldCharType="end"/>
        </w:r>
      </w:hyperlink>
    </w:p>
    <w:p>
      <w:pPr>
        <w:tabs>
          <w:tab w:val="right" w:leader="dot" w:pos="9062"/>
        </w:tabs>
        <w:ind w:left="220"/>
      </w:pPr>
      <w:hyperlink w:anchor="_Toc3539" w:history="1">
        <w:r>
          <w:rPr>
            <w:rFonts w:ascii="IRNazanin" w:hAnsi="IRNazanin" w:eastAsia="IRNazanin" w:cs="IRNazanin"/>
            <w:color w:val="111111"/>
            <w:sz w:val="22"/>
            <w:szCs w:val="22"/>
            <w:b w:val="0"/>
            <w:bCs w:val="0"/>
            <w:i w:val="0"/>
            <w:iCs w:val="0"/>
          </w:rPr>
          <w:t>رازي ، محمّد سلیم قرن 11 ه-</w:t>
        </w:r>
        <w:r>
          <w:tab/>
        </w:r>
        <w:r>
          <w:fldChar w:fldCharType="begin"/>
        </w:r>
        <w:r>
          <w:instrText xml:space="preserve">PAGEREF 3539 \h</w:instrText>
        </w:r>
        <w:r>
          <w:fldChar w:fldCharType="end"/>
        </w:r>
      </w:hyperlink>
    </w:p>
    <w:p>
      <w:pPr>
        <w:tabs>
          <w:tab w:val="right" w:leader="dot" w:pos="9062"/>
        </w:tabs>
        <w:ind w:left="220"/>
      </w:pPr>
      <w:hyperlink w:anchor="_Toc3540" w:history="1">
        <w:r>
          <w:rPr>
            <w:rFonts w:ascii="IRNazanin" w:hAnsi="IRNazanin" w:eastAsia="IRNazanin" w:cs="IRNazanin"/>
            <w:color w:val="111111"/>
            <w:sz w:val="22"/>
            <w:szCs w:val="22"/>
            <w:b w:val="0"/>
            <w:bCs w:val="0"/>
            <w:i w:val="0"/>
            <w:iCs w:val="0"/>
          </w:rPr>
          <w:t>رازي ، محمّد علي</w:t>
        </w:r>
        <w:r>
          <w:tab/>
        </w:r>
        <w:r>
          <w:fldChar w:fldCharType="begin"/>
        </w:r>
        <w:r>
          <w:instrText xml:space="preserve">PAGEREF 3540 \h</w:instrText>
        </w:r>
        <w:r>
          <w:fldChar w:fldCharType="end"/>
        </w:r>
      </w:hyperlink>
    </w:p>
    <w:p>
      <w:pPr>
        <w:tabs>
          <w:tab w:val="right" w:leader="dot" w:pos="9062"/>
        </w:tabs>
        <w:ind w:left="220"/>
      </w:pPr>
      <w:hyperlink w:anchor="_Toc3541" w:history="1">
        <w:r>
          <w:rPr>
            <w:rFonts w:ascii="IRNazanin" w:hAnsi="IRNazanin" w:eastAsia="IRNazanin" w:cs="IRNazanin"/>
            <w:color w:val="111111"/>
            <w:sz w:val="22"/>
            <w:szCs w:val="22"/>
            <w:b w:val="0"/>
            <w:bCs w:val="0"/>
            <w:i w:val="0"/>
            <w:iCs w:val="0"/>
          </w:rPr>
          <w:t>رازی، محمّد قاسم بن محمّد کاظم قرن</w:t>
        </w:r>
        <w:r>
          <w:tab/>
        </w:r>
        <w:r>
          <w:fldChar w:fldCharType="begin"/>
        </w:r>
        <w:r>
          <w:instrText xml:space="preserve">PAGEREF 3541 \h</w:instrText>
        </w:r>
        <w:r>
          <w:fldChar w:fldCharType="end"/>
        </w:r>
      </w:hyperlink>
    </w:p>
    <w:p>
      <w:pPr>
        <w:tabs>
          <w:tab w:val="right" w:leader="dot" w:pos="9062"/>
        </w:tabs>
        <w:ind w:left="220"/>
      </w:pPr>
      <w:hyperlink w:anchor="_Toc3542" w:history="1">
        <w:r>
          <w:rPr>
            <w:rFonts w:ascii="IRNazanin" w:hAnsi="IRNazanin" w:eastAsia="IRNazanin" w:cs="IRNazanin"/>
            <w:color w:val="111111"/>
            <w:sz w:val="22"/>
            <w:szCs w:val="22"/>
            <w:b w:val="0"/>
            <w:bCs w:val="0"/>
            <w:i w:val="0"/>
            <w:iCs w:val="0"/>
          </w:rPr>
          <w:t>رازي ، يوسف بن محمود - 794 ه-</w:t>
        </w:r>
        <w:r>
          <w:tab/>
        </w:r>
        <w:r>
          <w:fldChar w:fldCharType="begin"/>
        </w:r>
        <w:r>
          <w:instrText xml:space="preserve">PAGEREF 3542 \h</w:instrText>
        </w:r>
        <w:r>
          <w:fldChar w:fldCharType="end"/>
        </w:r>
      </w:hyperlink>
    </w:p>
    <w:p>
      <w:pPr>
        <w:tabs>
          <w:tab w:val="right" w:leader="dot" w:pos="9062"/>
        </w:tabs>
        <w:ind w:left="220"/>
      </w:pPr>
      <w:hyperlink w:anchor="_Toc3543" w:history="1">
        <w:r>
          <w:rPr>
            <w:rFonts w:ascii="IRNazanin" w:hAnsi="IRNazanin" w:eastAsia="IRNazanin" w:cs="IRNazanin"/>
            <w:color w:val="111111"/>
            <w:sz w:val="22"/>
            <w:szCs w:val="22"/>
            <w:b w:val="0"/>
            <w:bCs w:val="0"/>
            <w:i w:val="0"/>
            <w:iCs w:val="0"/>
          </w:rPr>
          <w:t>راسل ، برتراند، 1872 - 1970م</w:t>
        </w:r>
        <w:r>
          <w:tab/>
        </w:r>
        <w:r>
          <w:fldChar w:fldCharType="begin"/>
        </w:r>
        <w:r>
          <w:instrText xml:space="preserve">PAGEREF 3543 \h</w:instrText>
        </w:r>
        <w:r>
          <w:fldChar w:fldCharType="end"/>
        </w:r>
      </w:hyperlink>
    </w:p>
    <w:p>
      <w:pPr>
        <w:tabs>
          <w:tab w:val="right" w:leader="dot" w:pos="9062"/>
        </w:tabs>
        <w:ind w:left="220"/>
      </w:pPr>
      <w:hyperlink w:anchor="_Toc3544" w:history="1">
        <w:r>
          <w:rPr>
            <w:rFonts w:ascii="IRNazanin" w:hAnsi="IRNazanin" w:eastAsia="IRNazanin" w:cs="IRNazanin"/>
            <w:color w:val="111111"/>
            <w:sz w:val="22"/>
            <w:szCs w:val="22"/>
            <w:b w:val="0"/>
            <w:bCs w:val="0"/>
            <w:i w:val="0"/>
            <w:iCs w:val="0"/>
          </w:rPr>
          <w:t>راشد افندي، محمّد بن مصطفى .</w:t>
        </w:r>
        <w:r>
          <w:tab/>
        </w:r>
        <w:r>
          <w:fldChar w:fldCharType="begin"/>
        </w:r>
        <w:r>
          <w:instrText xml:space="preserve">PAGEREF 3544 \h</w:instrText>
        </w:r>
        <w:r>
          <w:fldChar w:fldCharType="end"/>
        </w:r>
      </w:hyperlink>
    </w:p>
    <w:p>
      <w:pPr>
        <w:tabs>
          <w:tab w:val="right" w:leader="dot" w:pos="9062"/>
        </w:tabs>
        <w:ind w:left="220"/>
      </w:pPr>
      <w:hyperlink w:anchor="_Toc3545" w:history="1">
        <w:r>
          <w:rPr>
            <w:rFonts w:ascii="IRNazanin" w:hAnsi="IRNazanin" w:eastAsia="IRNazanin" w:cs="IRNazanin"/>
            <w:color w:val="111111"/>
            <w:sz w:val="22"/>
            <w:szCs w:val="22"/>
            <w:b w:val="0"/>
            <w:bCs w:val="0"/>
            <w:i w:val="0"/>
            <w:iCs w:val="0"/>
          </w:rPr>
          <w:t>راشد رستاقي نعماني قرن 10 ه-</w:t>
        </w:r>
        <w:r>
          <w:tab/>
        </w:r>
        <w:r>
          <w:fldChar w:fldCharType="begin"/>
        </w:r>
        <w:r>
          <w:instrText xml:space="preserve">PAGEREF 3545 \h</w:instrText>
        </w:r>
        <w:r>
          <w:fldChar w:fldCharType="end"/>
        </w:r>
      </w:hyperlink>
    </w:p>
    <w:p>
      <w:pPr>
        <w:tabs>
          <w:tab w:val="right" w:leader="dot" w:pos="9062"/>
        </w:tabs>
        <w:ind w:left="220"/>
      </w:pPr>
      <w:hyperlink w:anchor="_Toc3546" w:history="1">
        <w:r>
          <w:rPr>
            <w:rFonts w:ascii="IRNazanin" w:hAnsi="IRNazanin" w:eastAsia="IRNazanin" w:cs="IRNazanin"/>
            <w:color w:val="111111"/>
            <w:sz w:val="22"/>
            <w:szCs w:val="22"/>
            <w:b w:val="0"/>
            <w:bCs w:val="0"/>
            <w:i w:val="0"/>
            <w:iCs w:val="0"/>
          </w:rPr>
          <w:t>راضي بن شيخ محمّد</w:t>
        </w:r>
        <w:r>
          <w:tab/>
        </w:r>
        <w:r>
          <w:fldChar w:fldCharType="begin"/>
        </w:r>
        <w:r>
          <w:instrText xml:space="preserve">PAGEREF 3546 \h</w:instrText>
        </w:r>
        <w:r>
          <w:fldChar w:fldCharType="end"/>
        </w:r>
      </w:hyperlink>
    </w:p>
    <w:p>
      <w:pPr>
        <w:tabs>
          <w:tab w:val="right" w:leader="dot" w:pos="9062"/>
        </w:tabs>
        <w:ind w:left="220"/>
      </w:pPr>
      <w:hyperlink w:anchor="_Toc3547" w:history="1">
        <w:r>
          <w:rPr>
            <w:rFonts w:ascii="IRNazanin" w:hAnsi="IRNazanin" w:eastAsia="IRNazanin" w:cs="IRNazanin"/>
            <w:color w:val="111111"/>
            <w:sz w:val="22"/>
            <w:szCs w:val="22"/>
            <w:b w:val="0"/>
            <w:bCs w:val="0"/>
            <w:i w:val="0"/>
            <w:iCs w:val="0"/>
          </w:rPr>
          <w:t>راضي شقاق ، حسينعلي، قرن 14 ه-</w:t>
        </w:r>
        <w:r>
          <w:tab/>
        </w:r>
        <w:r>
          <w:fldChar w:fldCharType="begin"/>
        </w:r>
        <w:r>
          <w:instrText xml:space="preserve">PAGEREF 3547 \h</w:instrText>
        </w:r>
        <w:r>
          <w:fldChar w:fldCharType="end"/>
        </w:r>
      </w:hyperlink>
    </w:p>
    <w:p>
      <w:pPr>
        <w:tabs>
          <w:tab w:val="right" w:leader="dot" w:pos="9062"/>
        </w:tabs>
        <w:ind w:left="220"/>
      </w:pPr>
      <w:hyperlink w:anchor="_Toc3548" w:history="1">
        <w:r>
          <w:rPr>
            <w:rFonts w:ascii="IRNazanin" w:hAnsi="IRNazanin" w:eastAsia="IRNazanin" w:cs="IRNazanin"/>
            <w:color w:val="111111"/>
            <w:sz w:val="22"/>
            <w:szCs w:val="22"/>
            <w:b w:val="0"/>
            <w:bCs w:val="0"/>
            <w:i w:val="0"/>
            <w:iCs w:val="0"/>
          </w:rPr>
          <w:t>راغب اصفهاني حسين بن محمّد -502ه-</w:t>
        </w:r>
        <w:r>
          <w:tab/>
        </w:r>
        <w:r>
          <w:fldChar w:fldCharType="begin"/>
        </w:r>
        <w:r>
          <w:instrText xml:space="preserve">PAGEREF 3548 \h</w:instrText>
        </w:r>
        <w:r>
          <w:fldChar w:fldCharType="end"/>
        </w:r>
      </w:hyperlink>
    </w:p>
    <w:p>
      <w:pPr>
        <w:tabs>
          <w:tab w:val="right" w:leader="dot" w:pos="9062"/>
        </w:tabs>
        <w:ind w:left="220"/>
      </w:pPr>
      <w:hyperlink w:anchor="_Toc3549" w:history="1">
        <w:r>
          <w:rPr>
            <w:rFonts w:ascii="IRNazanin" w:hAnsi="IRNazanin" w:eastAsia="IRNazanin" w:cs="IRNazanin"/>
            <w:color w:val="111111"/>
            <w:sz w:val="22"/>
            <w:szCs w:val="22"/>
            <w:b w:val="0"/>
            <w:bCs w:val="0"/>
            <w:i w:val="0"/>
            <w:iCs w:val="0"/>
          </w:rPr>
          <w:t>راغب پاشا ، محمّد بن محمّد، 1110 -</w:t>
        </w:r>
        <w:r>
          <w:tab/>
        </w:r>
        <w:r>
          <w:fldChar w:fldCharType="begin"/>
        </w:r>
        <w:r>
          <w:instrText xml:space="preserve">PAGEREF 3549 \h</w:instrText>
        </w:r>
        <w:r>
          <w:fldChar w:fldCharType="end"/>
        </w:r>
      </w:hyperlink>
    </w:p>
    <w:p>
      <w:pPr>
        <w:tabs>
          <w:tab w:val="right" w:leader="dot" w:pos="9062"/>
        </w:tabs>
        <w:ind w:left="220"/>
      </w:pPr>
      <w:hyperlink w:anchor="_Toc3550" w:history="1">
        <w:r>
          <w:rPr>
            <w:rFonts w:ascii="IRNazanin" w:hAnsi="IRNazanin" w:eastAsia="IRNazanin" w:cs="IRNazanin"/>
            <w:color w:val="111111"/>
            <w:sz w:val="22"/>
            <w:szCs w:val="22"/>
            <w:b w:val="0"/>
            <w:bCs w:val="0"/>
            <w:i w:val="0"/>
            <w:iCs w:val="0"/>
          </w:rPr>
          <w:t>رافعاني، ابو عبدالله بن محمّد حسین</w:t>
        </w:r>
        <w:r>
          <w:tab/>
        </w:r>
        <w:r>
          <w:fldChar w:fldCharType="begin"/>
        </w:r>
        <w:r>
          <w:instrText xml:space="preserve">PAGEREF 3550 \h</w:instrText>
        </w:r>
        <w:r>
          <w:fldChar w:fldCharType="end"/>
        </w:r>
      </w:hyperlink>
    </w:p>
    <w:p>
      <w:pPr>
        <w:tabs>
          <w:tab w:val="right" w:leader="dot" w:pos="9062"/>
        </w:tabs>
        <w:ind w:left="220"/>
      </w:pPr>
      <w:hyperlink w:anchor="_Toc3551" w:history="1">
        <w:r>
          <w:rPr>
            <w:rFonts w:ascii="IRNazanin" w:hAnsi="IRNazanin" w:eastAsia="IRNazanin" w:cs="IRNazanin"/>
            <w:color w:val="111111"/>
            <w:sz w:val="22"/>
            <w:szCs w:val="22"/>
            <w:b w:val="0"/>
            <w:bCs w:val="0"/>
            <w:i w:val="0"/>
            <w:iCs w:val="0"/>
          </w:rPr>
          <w:t>رافعي</w:t>
        </w:r>
        <w:r>
          <w:tab/>
        </w:r>
        <w:r>
          <w:fldChar w:fldCharType="begin"/>
        </w:r>
        <w:r>
          <w:instrText xml:space="preserve">PAGEREF 3551 \h</w:instrText>
        </w:r>
        <w:r>
          <w:fldChar w:fldCharType="end"/>
        </w:r>
      </w:hyperlink>
    </w:p>
    <w:p>
      <w:pPr>
        <w:tabs>
          <w:tab w:val="right" w:leader="dot" w:pos="9062"/>
        </w:tabs>
        <w:ind w:left="220"/>
      </w:pPr>
      <w:hyperlink w:anchor="_Toc3552" w:history="1">
        <w:r>
          <w:rPr>
            <w:rFonts w:ascii="IRNazanin" w:hAnsi="IRNazanin" w:eastAsia="IRNazanin" w:cs="IRNazanin"/>
            <w:color w:val="111111"/>
            <w:sz w:val="22"/>
            <w:szCs w:val="22"/>
            <w:b w:val="0"/>
            <w:bCs w:val="0"/>
            <w:i w:val="0"/>
            <w:iCs w:val="0"/>
          </w:rPr>
          <w:t>رافعي قزويني، عبدالكريم بن محمّد</w:t>
        </w:r>
        <w:r>
          <w:tab/>
        </w:r>
        <w:r>
          <w:fldChar w:fldCharType="begin"/>
        </w:r>
        <w:r>
          <w:instrText xml:space="preserve">PAGEREF 3552 \h</w:instrText>
        </w:r>
        <w:r>
          <w:fldChar w:fldCharType="end"/>
        </w:r>
      </w:hyperlink>
    </w:p>
    <w:p>
      <w:pPr>
        <w:tabs>
          <w:tab w:val="right" w:leader="dot" w:pos="9062"/>
        </w:tabs>
        <w:ind w:left="220"/>
      </w:pPr>
      <w:hyperlink w:anchor="_Toc3553" w:history="1">
        <w:r>
          <w:rPr>
            <w:rFonts w:ascii="IRNazanin" w:hAnsi="IRNazanin" w:eastAsia="IRNazanin" w:cs="IRNazanin"/>
            <w:color w:val="111111"/>
            <w:sz w:val="22"/>
            <w:szCs w:val="22"/>
            <w:b w:val="0"/>
            <w:bCs w:val="0"/>
            <w:i w:val="0"/>
            <w:iCs w:val="0"/>
          </w:rPr>
          <w:t>راقم ، محمّد، قرن 13 ه-</w:t>
        </w:r>
        <w:r>
          <w:tab/>
        </w:r>
        <w:r>
          <w:fldChar w:fldCharType="begin"/>
        </w:r>
        <w:r>
          <w:instrText xml:space="preserve">PAGEREF 3553 \h</w:instrText>
        </w:r>
        <w:r>
          <w:fldChar w:fldCharType="end"/>
        </w:r>
      </w:hyperlink>
    </w:p>
    <w:p>
      <w:pPr>
        <w:tabs>
          <w:tab w:val="right" w:leader="dot" w:pos="9062"/>
        </w:tabs>
        <w:ind w:left="220"/>
      </w:pPr>
      <w:hyperlink w:anchor="_Toc3554" w:history="1">
        <w:r>
          <w:rPr>
            <w:rFonts w:ascii="IRNazanin" w:hAnsi="IRNazanin" w:eastAsia="IRNazanin" w:cs="IRNazanin"/>
            <w:color w:val="111111"/>
            <w:sz w:val="22"/>
            <w:szCs w:val="22"/>
            <w:b w:val="0"/>
            <w:bCs w:val="0"/>
            <w:i w:val="0"/>
            <w:iCs w:val="0"/>
          </w:rPr>
          <w:t>رامي ، حسن بن محمّد - 795 ه-</w:t>
        </w:r>
        <w:r>
          <w:tab/>
        </w:r>
        <w:r>
          <w:fldChar w:fldCharType="begin"/>
        </w:r>
        <w:r>
          <w:instrText xml:space="preserve">PAGEREF 3554 \h</w:instrText>
        </w:r>
        <w:r>
          <w:fldChar w:fldCharType="end"/>
        </w:r>
      </w:hyperlink>
    </w:p>
    <w:p>
      <w:pPr>
        <w:tabs>
          <w:tab w:val="right" w:leader="dot" w:pos="9062"/>
        </w:tabs>
        <w:ind w:left="220"/>
      </w:pPr>
      <w:hyperlink w:anchor="_Toc3555" w:history="1">
        <w:r>
          <w:rPr>
            <w:rFonts w:ascii="IRNazanin" w:hAnsi="IRNazanin" w:eastAsia="IRNazanin" w:cs="IRNazanin"/>
            <w:color w:val="111111"/>
            <w:sz w:val="22"/>
            <w:szCs w:val="22"/>
            <w:b w:val="0"/>
            <w:bCs w:val="0"/>
            <w:i w:val="0"/>
            <w:iCs w:val="0"/>
          </w:rPr>
          <w:t>رامي ، قاسم بن مراد - 1186 ه-</w:t>
        </w:r>
        <w:r>
          <w:tab/>
        </w:r>
        <w:r>
          <w:fldChar w:fldCharType="begin"/>
        </w:r>
        <w:r>
          <w:instrText xml:space="preserve">PAGEREF 3555 \h</w:instrText>
        </w:r>
        <w:r>
          <w:fldChar w:fldCharType="end"/>
        </w:r>
      </w:hyperlink>
    </w:p>
    <w:p>
      <w:pPr>
        <w:tabs>
          <w:tab w:val="right" w:leader="dot" w:pos="9062"/>
        </w:tabs>
        <w:ind w:left="220"/>
      </w:pPr>
      <w:hyperlink w:anchor="_Toc3556" w:history="1">
        <w:r>
          <w:rPr>
            <w:rFonts w:ascii="IRNazanin" w:hAnsi="IRNazanin" w:eastAsia="IRNazanin" w:cs="IRNazanin"/>
            <w:color w:val="111111"/>
            <w:sz w:val="22"/>
            <w:szCs w:val="22"/>
            <w:b w:val="0"/>
            <w:bCs w:val="0"/>
            <w:i w:val="0"/>
            <w:iCs w:val="0"/>
          </w:rPr>
          <w:t>راهب آمدي، عبد النور - 1755 م</w:t>
        </w:r>
        <w:r>
          <w:tab/>
        </w:r>
        <w:r>
          <w:fldChar w:fldCharType="begin"/>
        </w:r>
        <w:r>
          <w:instrText xml:space="preserve">PAGEREF 3556 \h</w:instrText>
        </w:r>
        <w:r>
          <w:fldChar w:fldCharType="end"/>
        </w:r>
      </w:hyperlink>
    </w:p>
    <w:p>
      <w:pPr>
        <w:tabs>
          <w:tab w:val="right" w:leader="dot" w:pos="9062"/>
        </w:tabs>
        <w:ind w:left="220"/>
      </w:pPr>
      <w:hyperlink w:anchor="_Toc3557" w:history="1">
        <w:r>
          <w:rPr>
            <w:rFonts w:ascii="IRNazanin" w:hAnsi="IRNazanin" w:eastAsia="IRNazanin" w:cs="IRNazanin"/>
            <w:color w:val="111111"/>
            <w:sz w:val="22"/>
            <w:szCs w:val="22"/>
            <w:b w:val="0"/>
            <w:bCs w:val="0"/>
            <w:i w:val="0"/>
            <w:iCs w:val="0"/>
          </w:rPr>
          <w:t>؟ راهب، جبرائيل بن بطريق، قرن 13 ه-</w:t>
        </w:r>
        <w:r>
          <w:tab/>
        </w:r>
        <w:r>
          <w:fldChar w:fldCharType="begin"/>
        </w:r>
        <w:r>
          <w:instrText xml:space="preserve">PAGEREF 3557 \h</w:instrText>
        </w:r>
        <w:r>
          <w:fldChar w:fldCharType="end"/>
        </w:r>
      </w:hyperlink>
    </w:p>
    <w:p>
      <w:pPr>
        <w:tabs>
          <w:tab w:val="right" w:leader="dot" w:pos="9062"/>
        </w:tabs>
        <w:ind w:left="220"/>
      </w:pPr>
      <w:hyperlink w:anchor="_Toc3558" w:history="1">
        <w:r>
          <w:rPr>
            <w:rFonts w:ascii="IRNazanin" w:hAnsi="IRNazanin" w:eastAsia="IRNazanin" w:cs="IRNazanin"/>
            <w:color w:val="111111"/>
            <w:sz w:val="22"/>
            <w:szCs w:val="22"/>
            <w:b w:val="0"/>
            <w:bCs w:val="0"/>
            <w:i w:val="0"/>
            <w:iCs w:val="0"/>
          </w:rPr>
          <w:t>راوندي كاشاني ، فضل الله بن علي، 483 -</w:t>
        </w:r>
        <w:r>
          <w:tab/>
        </w:r>
        <w:r>
          <w:fldChar w:fldCharType="begin"/>
        </w:r>
        <w:r>
          <w:instrText xml:space="preserve">PAGEREF 3558 \h</w:instrText>
        </w:r>
        <w:r>
          <w:fldChar w:fldCharType="end"/>
        </w:r>
      </w:hyperlink>
    </w:p>
    <w:p>
      <w:pPr>
        <w:tabs>
          <w:tab w:val="right" w:leader="dot" w:pos="9062"/>
        </w:tabs>
        <w:ind w:left="220"/>
      </w:pPr>
      <w:hyperlink w:anchor="_Toc3559" w:history="1">
        <w:r>
          <w:rPr>
            <w:rFonts w:ascii="IRNazanin" w:hAnsi="IRNazanin" w:eastAsia="IRNazanin" w:cs="IRNazanin"/>
            <w:color w:val="111111"/>
            <w:sz w:val="22"/>
            <w:szCs w:val="22"/>
            <w:b w:val="0"/>
            <w:bCs w:val="0"/>
            <w:i w:val="0"/>
            <w:iCs w:val="0"/>
          </w:rPr>
          <w:t>راوندي، محمّد بن حسن قرن 8 ه-</w:t>
        </w:r>
        <w:r>
          <w:tab/>
        </w:r>
        <w:r>
          <w:fldChar w:fldCharType="begin"/>
        </w:r>
        <w:r>
          <w:instrText xml:space="preserve">PAGEREF 3559 \h</w:instrText>
        </w:r>
        <w:r>
          <w:fldChar w:fldCharType="end"/>
        </w:r>
      </w:hyperlink>
    </w:p>
    <w:p>
      <w:pPr>
        <w:tabs>
          <w:tab w:val="right" w:leader="dot" w:pos="9062"/>
        </w:tabs>
        <w:ind w:left="220"/>
      </w:pPr>
      <w:hyperlink w:anchor="_Toc3560" w:history="1">
        <w:r>
          <w:rPr>
            <w:rFonts w:ascii="IRNazanin" w:hAnsi="IRNazanin" w:eastAsia="IRNazanin" w:cs="IRNazanin"/>
            <w:color w:val="111111"/>
            <w:sz w:val="22"/>
            <w:szCs w:val="22"/>
            <w:b w:val="0"/>
            <w:bCs w:val="0"/>
            <w:i w:val="0"/>
            <w:iCs w:val="0"/>
          </w:rPr>
          <w:t>راوندي، محمّد بن سعيد، قرن 6 ه-</w:t>
        </w:r>
        <w:r>
          <w:tab/>
        </w:r>
        <w:r>
          <w:fldChar w:fldCharType="begin"/>
        </w:r>
        <w:r>
          <w:instrText xml:space="preserve">PAGEREF 3560 \h</w:instrText>
        </w:r>
        <w:r>
          <w:fldChar w:fldCharType="end"/>
        </w:r>
      </w:hyperlink>
    </w:p>
    <w:p>
      <w:pPr>
        <w:tabs>
          <w:tab w:val="right" w:leader="dot" w:pos="9062"/>
        </w:tabs>
        <w:ind w:left="220"/>
      </w:pPr>
      <w:hyperlink w:anchor="_Toc3561" w:history="1">
        <w:r>
          <w:rPr>
            <w:rFonts w:ascii="IRNazanin" w:hAnsi="IRNazanin" w:eastAsia="IRNazanin" w:cs="IRNazanin"/>
            <w:color w:val="111111"/>
            <w:sz w:val="22"/>
            <w:szCs w:val="22"/>
            <w:b w:val="0"/>
            <w:bCs w:val="0"/>
            <w:i w:val="0"/>
            <w:iCs w:val="0"/>
          </w:rPr>
          <w:t>راوي ، ابراهيم - 1947م</w:t>
        </w:r>
        <w:r>
          <w:tab/>
        </w:r>
        <w:r>
          <w:fldChar w:fldCharType="begin"/>
        </w:r>
        <w:r>
          <w:instrText xml:space="preserve">PAGEREF 3561 \h</w:instrText>
        </w:r>
        <w:r>
          <w:fldChar w:fldCharType="end"/>
        </w:r>
      </w:hyperlink>
    </w:p>
    <w:p>
      <w:pPr>
        <w:tabs>
          <w:tab w:val="right" w:leader="dot" w:pos="9062"/>
        </w:tabs>
        <w:ind w:left="220"/>
      </w:pPr>
      <w:hyperlink w:anchor="_Toc3562" w:history="1">
        <w:r>
          <w:rPr>
            <w:rFonts w:ascii="IRNazanin" w:hAnsi="IRNazanin" w:eastAsia="IRNazanin" w:cs="IRNazanin"/>
            <w:color w:val="111111"/>
            <w:sz w:val="22"/>
            <w:szCs w:val="22"/>
            <w:b w:val="0"/>
            <w:bCs w:val="0"/>
            <w:i w:val="0"/>
            <w:iCs w:val="0"/>
          </w:rPr>
          <w:t>راوي، ابراهيم بن محمّد - 1365 ه-</w:t>
        </w:r>
        <w:r>
          <w:tab/>
        </w:r>
        <w:r>
          <w:fldChar w:fldCharType="begin"/>
        </w:r>
        <w:r>
          <w:instrText xml:space="preserve">PAGEREF 3562 \h</w:instrText>
        </w:r>
        <w:r>
          <w:fldChar w:fldCharType="end"/>
        </w:r>
      </w:hyperlink>
    </w:p>
    <w:p>
      <w:pPr>
        <w:tabs>
          <w:tab w:val="right" w:leader="dot" w:pos="9062"/>
        </w:tabs>
        <w:ind w:left="220"/>
      </w:pPr>
      <w:hyperlink w:anchor="_Toc3563" w:history="1">
        <w:r>
          <w:rPr>
            <w:rFonts w:ascii="IRNazanin" w:hAnsi="IRNazanin" w:eastAsia="IRNazanin" w:cs="IRNazanin"/>
            <w:color w:val="111111"/>
            <w:sz w:val="22"/>
            <w:szCs w:val="22"/>
            <w:b w:val="0"/>
            <w:bCs w:val="0"/>
            <w:i w:val="0"/>
            <w:iCs w:val="0"/>
          </w:rPr>
          <w:t>راوي ، ابوابراهيم محمّد - 1289 ه-</w:t>
        </w:r>
        <w:r>
          <w:tab/>
        </w:r>
        <w:r>
          <w:fldChar w:fldCharType="begin"/>
        </w:r>
        <w:r>
          <w:instrText xml:space="preserve">PAGEREF 3563 \h</w:instrText>
        </w:r>
        <w:r>
          <w:fldChar w:fldCharType="end"/>
        </w:r>
      </w:hyperlink>
    </w:p>
    <w:p>
      <w:pPr>
        <w:tabs>
          <w:tab w:val="right" w:leader="dot" w:pos="9062"/>
        </w:tabs>
        <w:ind w:left="220"/>
      </w:pPr>
      <w:hyperlink w:anchor="_Toc3564" w:history="1">
        <w:r>
          <w:rPr>
            <w:rFonts w:ascii="IRNazanin" w:hAnsi="IRNazanin" w:eastAsia="IRNazanin" w:cs="IRNazanin"/>
            <w:color w:val="111111"/>
            <w:sz w:val="22"/>
            <w:szCs w:val="22"/>
            <w:b w:val="0"/>
            <w:bCs w:val="0"/>
            <w:i w:val="0"/>
            <w:iCs w:val="0"/>
          </w:rPr>
          <w:t>راوي بغدادي ، احمد بن عبدالرحمن 1318 ه-</w:t>
        </w:r>
        <w:r>
          <w:tab/>
        </w:r>
        <w:r>
          <w:fldChar w:fldCharType="begin"/>
        </w:r>
        <w:r>
          <w:instrText xml:space="preserve">PAGEREF 3564 \h</w:instrText>
        </w:r>
        <w:r>
          <w:fldChar w:fldCharType="end"/>
        </w:r>
      </w:hyperlink>
    </w:p>
    <w:p>
      <w:pPr>
        <w:tabs>
          <w:tab w:val="right" w:leader="dot" w:pos="9062"/>
        </w:tabs>
        <w:ind w:left="220"/>
      </w:pPr>
      <w:hyperlink w:anchor="_Toc3565" w:history="1">
        <w:r>
          <w:rPr>
            <w:rFonts w:ascii="IRNazanin" w:hAnsi="IRNazanin" w:eastAsia="IRNazanin" w:cs="IRNazanin"/>
            <w:color w:val="111111"/>
            <w:sz w:val="22"/>
            <w:szCs w:val="22"/>
            <w:b w:val="0"/>
            <w:bCs w:val="0"/>
            <w:i w:val="0"/>
            <w:iCs w:val="0"/>
          </w:rPr>
          <w:t>راوي بغدادي ، عبدالله، 12 ه-</w:t>
        </w:r>
        <w:r>
          <w:tab/>
        </w:r>
        <w:r>
          <w:fldChar w:fldCharType="begin"/>
        </w:r>
        <w:r>
          <w:instrText xml:space="preserve">PAGEREF 3565 \h</w:instrText>
        </w:r>
        <w:r>
          <w:fldChar w:fldCharType="end"/>
        </w:r>
      </w:hyperlink>
    </w:p>
    <w:p>
      <w:pPr>
        <w:tabs>
          <w:tab w:val="right" w:leader="dot" w:pos="9062"/>
        </w:tabs>
        <w:ind w:left="220"/>
      </w:pPr>
      <w:hyperlink w:anchor="_Toc3566" w:history="1">
        <w:r>
          <w:rPr>
            <w:rFonts w:ascii="IRNazanin" w:hAnsi="IRNazanin" w:eastAsia="IRNazanin" w:cs="IRNazanin"/>
            <w:color w:val="111111"/>
            <w:sz w:val="22"/>
            <w:szCs w:val="22"/>
            <w:b w:val="0"/>
            <w:bCs w:val="0"/>
            <w:i w:val="0"/>
            <w:iCs w:val="0"/>
          </w:rPr>
          <w:t>راوي رفاعي ، ابراهيم بن محمّد</w:t>
        </w:r>
        <w:r>
          <w:tab/>
        </w:r>
        <w:r>
          <w:fldChar w:fldCharType="begin"/>
        </w:r>
        <w:r>
          <w:instrText xml:space="preserve">PAGEREF 3566 \h</w:instrText>
        </w:r>
        <w:r>
          <w:fldChar w:fldCharType="end"/>
        </w:r>
      </w:hyperlink>
    </w:p>
    <w:p>
      <w:pPr>
        <w:tabs>
          <w:tab w:val="right" w:leader="dot" w:pos="9062"/>
        </w:tabs>
        <w:ind w:left="220"/>
      </w:pPr>
      <w:hyperlink w:anchor="_Toc3567" w:history="1">
        <w:r>
          <w:rPr>
            <w:rFonts w:ascii="IRNazanin" w:hAnsi="IRNazanin" w:eastAsia="IRNazanin" w:cs="IRNazanin"/>
            <w:color w:val="111111"/>
            <w:sz w:val="22"/>
            <w:szCs w:val="22"/>
            <w:b w:val="0"/>
            <w:bCs w:val="0"/>
            <w:i w:val="0"/>
            <w:iCs w:val="0"/>
          </w:rPr>
          <w:t>راوي عبدالله بن عبدالرحمن قرن 14 ه-</w:t>
        </w:r>
        <w:r>
          <w:tab/>
        </w:r>
        <w:r>
          <w:fldChar w:fldCharType="begin"/>
        </w:r>
        <w:r>
          <w:instrText xml:space="preserve">PAGEREF 3567 \h</w:instrText>
        </w:r>
        <w:r>
          <w:fldChar w:fldCharType="end"/>
        </w:r>
      </w:hyperlink>
    </w:p>
    <w:p>
      <w:pPr>
        <w:tabs>
          <w:tab w:val="right" w:leader="dot" w:pos="9062"/>
        </w:tabs>
        <w:ind w:left="220"/>
      </w:pPr>
      <w:hyperlink w:anchor="_Toc3568" w:history="1">
        <w:r>
          <w:rPr>
            <w:rFonts w:ascii="IRNazanin" w:hAnsi="IRNazanin" w:eastAsia="IRNazanin" w:cs="IRNazanin"/>
            <w:color w:val="111111"/>
            <w:sz w:val="22"/>
            <w:szCs w:val="22"/>
            <w:b w:val="0"/>
            <w:bCs w:val="0"/>
            <w:i w:val="0"/>
            <w:iCs w:val="0"/>
          </w:rPr>
          <w:t>راوي، محمّد سعيد - 1354</w:t>
        </w:r>
        <w:r>
          <w:tab/>
        </w:r>
        <w:r>
          <w:fldChar w:fldCharType="begin"/>
        </w:r>
        <w:r>
          <w:instrText xml:space="preserve">PAGEREF 3568 \h</w:instrText>
        </w:r>
        <w:r>
          <w:fldChar w:fldCharType="end"/>
        </w:r>
      </w:hyperlink>
    </w:p>
    <w:p>
      <w:pPr>
        <w:tabs>
          <w:tab w:val="right" w:leader="dot" w:pos="9062"/>
        </w:tabs>
        <w:ind w:left="220"/>
      </w:pPr>
      <w:hyperlink w:anchor="_Toc3569" w:history="1">
        <w:r>
          <w:rPr>
            <w:rFonts w:ascii="IRNazanin" w:hAnsi="IRNazanin" w:eastAsia="IRNazanin" w:cs="IRNazanin"/>
            <w:color w:val="111111"/>
            <w:sz w:val="22"/>
            <w:szCs w:val="22"/>
            <w:b w:val="0"/>
            <w:bCs w:val="0"/>
            <w:i w:val="0"/>
            <w:iCs w:val="0"/>
          </w:rPr>
          <w:t>رايض بدخشاني ، علي بن محمود - 909</w:t>
        </w:r>
        <w:r>
          <w:tab/>
        </w:r>
        <w:r>
          <w:fldChar w:fldCharType="begin"/>
        </w:r>
        <w:r>
          <w:instrText xml:space="preserve">PAGEREF 3569 \h</w:instrText>
        </w:r>
        <w:r>
          <w:fldChar w:fldCharType="end"/>
        </w:r>
      </w:hyperlink>
    </w:p>
    <w:p>
      <w:pPr>
        <w:tabs>
          <w:tab w:val="right" w:leader="dot" w:pos="9062"/>
        </w:tabs>
        <w:ind w:left="220"/>
      </w:pPr>
      <w:hyperlink w:anchor="_Toc3570" w:history="1">
        <w:r>
          <w:rPr>
            <w:rFonts w:ascii="IRNazanin" w:hAnsi="IRNazanin" w:eastAsia="IRNazanin" w:cs="IRNazanin"/>
            <w:color w:val="111111"/>
            <w:sz w:val="22"/>
            <w:szCs w:val="22"/>
            <w:b w:val="0"/>
            <w:bCs w:val="0"/>
            <w:i w:val="0"/>
            <w:iCs w:val="0"/>
          </w:rPr>
          <w:t>رباط شافعي ، ابراهيم بن عمر</w:t>
        </w:r>
        <w:r>
          <w:tab/>
        </w:r>
        <w:r>
          <w:fldChar w:fldCharType="begin"/>
        </w:r>
        <w:r>
          <w:instrText xml:space="preserve">PAGEREF 3570 \h</w:instrText>
        </w:r>
        <w:r>
          <w:fldChar w:fldCharType="end"/>
        </w:r>
      </w:hyperlink>
    </w:p>
    <w:p>
      <w:pPr>
        <w:tabs>
          <w:tab w:val="right" w:leader="dot" w:pos="9062"/>
        </w:tabs>
        <w:ind w:left="220"/>
      </w:pPr>
      <w:hyperlink w:anchor="_Toc3571" w:history="1">
        <w:r>
          <w:rPr>
            <w:rFonts w:ascii="IRNazanin" w:hAnsi="IRNazanin" w:eastAsia="IRNazanin" w:cs="IRNazanin"/>
            <w:color w:val="111111"/>
            <w:sz w:val="22"/>
            <w:szCs w:val="22"/>
            <w:b w:val="0"/>
            <w:bCs w:val="0"/>
            <w:i w:val="0"/>
            <w:iCs w:val="0"/>
          </w:rPr>
          <w:t>ربتكي ، عبدالله بن احمد، 1060 - 1159</w:t>
        </w:r>
        <w:r>
          <w:tab/>
        </w:r>
        <w:r>
          <w:fldChar w:fldCharType="begin"/>
        </w:r>
        <w:r>
          <w:instrText xml:space="preserve">PAGEREF 3571 \h</w:instrText>
        </w:r>
        <w:r>
          <w:fldChar w:fldCharType="end"/>
        </w:r>
      </w:hyperlink>
    </w:p>
    <w:p>
      <w:pPr>
        <w:tabs>
          <w:tab w:val="right" w:leader="dot" w:pos="9062"/>
        </w:tabs>
        <w:ind w:left="220"/>
      </w:pPr>
      <w:hyperlink w:anchor="_Toc3572" w:history="1">
        <w:r>
          <w:rPr>
            <w:rFonts w:ascii="IRNazanin" w:hAnsi="IRNazanin" w:eastAsia="IRNazanin" w:cs="IRNazanin"/>
            <w:color w:val="111111"/>
            <w:sz w:val="22"/>
            <w:szCs w:val="22"/>
            <w:b w:val="0"/>
            <w:bCs w:val="0"/>
            <w:i w:val="0"/>
            <w:iCs w:val="0"/>
          </w:rPr>
          <w:t>ربعي ، علي بن عيسى، 328 - 420 ه-</w:t>
        </w:r>
        <w:r>
          <w:tab/>
        </w:r>
        <w:r>
          <w:fldChar w:fldCharType="begin"/>
        </w:r>
        <w:r>
          <w:instrText xml:space="preserve">PAGEREF 3572 \h</w:instrText>
        </w:r>
        <w:r>
          <w:fldChar w:fldCharType="end"/>
        </w:r>
      </w:hyperlink>
    </w:p>
    <w:p>
      <w:pPr>
        <w:tabs>
          <w:tab w:val="right" w:leader="dot" w:pos="9062"/>
        </w:tabs>
        <w:ind w:left="220"/>
      </w:pPr>
      <w:hyperlink w:anchor="_Toc3573" w:history="1">
        <w:r>
          <w:rPr>
            <w:rFonts w:ascii="IRNazanin" w:hAnsi="IRNazanin" w:eastAsia="IRNazanin" w:cs="IRNazanin"/>
            <w:color w:val="111111"/>
            <w:sz w:val="22"/>
            <w:szCs w:val="22"/>
            <w:b w:val="0"/>
            <w:bCs w:val="0"/>
            <w:i w:val="0"/>
            <w:iCs w:val="0"/>
          </w:rPr>
          <w:t>ربعي ، عيسى بن ابراهيم - 480 ه-</w:t>
        </w:r>
        <w:r>
          <w:tab/>
        </w:r>
        <w:r>
          <w:fldChar w:fldCharType="begin"/>
        </w:r>
        <w:r>
          <w:instrText xml:space="preserve">PAGEREF 3573 \h</w:instrText>
        </w:r>
        <w:r>
          <w:fldChar w:fldCharType="end"/>
        </w:r>
      </w:hyperlink>
    </w:p>
    <w:p>
      <w:pPr>
        <w:tabs>
          <w:tab w:val="right" w:leader="dot" w:pos="9062"/>
        </w:tabs>
        <w:ind w:left="220"/>
      </w:pPr>
      <w:hyperlink w:anchor="_Toc3574" w:history="1">
        <w:r>
          <w:rPr>
            <w:rFonts w:ascii="IRNazanin" w:hAnsi="IRNazanin" w:eastAsia="IRNazanin" w:cs="IRNazanin"/>
            <w:color w:val="111111"/>
            <w:sz w:val="22"/>
            <w:szCs w:val="22"/>
            <w:b w:val="0"/>
            <w:bCs w:val="0"/>
            <w:i w:val="0"/>
            <w:iCs w:val="0"/>
          </w:rPr>
          <w:t>ربعي محمّد بن عبدالله - 379 ه-</w:t>
        </w:r>
        <w:r>
          <w:tab/>
        </w:r>
        <w:r>
          <w:fldChar w:fldCharType="begin"/>
        </w:r>
        <w:r>
          <w:instrText xml:space="preserve">PAGEREF 3574 \h</w:instrText>
        </w:r>
        <w:r>
          <w:fldChar w:fldCharType="end"/>
        </w:r>
      </w:hyperlink>
    </w:p>
    <w:p>
      <w:pPr>
        <w:tabs>
          <w:tab w:val="right" w:leader="dot" w:pos="9062"/>
        </w:tabs>
        <w:ind w:left="220"/>
      </w:pPr>
      <w:hyperlink w:anchor="_Toc3575" w:history="1">
        <w:r>
          <w:rPr>
            <w:rFonts w:ascii="IRNazanin" w:hAnsi="IRNazanin" w:eastAsia="IRNazanin" w:cs="IRNazanin"/>
            <w:color w:val="111111"/>
            <w:sz w:val="22"/>
            <w:szCs w:val="22"/>
            <w:b w:val="0"/>
            <w:bCs w:val="0"/>
            <w:i w:val="0"/>
            <w:iCs w:val="0"/>
          </w:rPr>
          <w:t>ربيعي ، عيسى بن ابراهيم</w:t>
        </w:r>
        <w:r>
          <w:tab/>
        </w:r>
        <w:r>
          <w:fldChar w:fldCharType="begin"/>
        </w:r>
        <w:r>
          <w:instrText xml:space="preserve">PAGEREF 3575 \h</w:instrText>
        </w:r>
        <w:r>
          <w:fldChar w:fldCharType="end"/>
        </w:r>
      </w:hyperlink>
    </w:p>
    <w:p>
      <w:pPr>
        <w:tabs>
          <w:tab w:val="right" w:leader="dot" w:pos="9062"/>
        </w:tabs>
        <w:ind w:left="220"/>
      </w:pPr>
      <w:hyperlink w:anchor="_Toc3576" w:history="1">
        <w:r>
          <w:rPr>
            <w:rFonts w:ascii="IRNazanin" w:hAnsi="IRNazanin" w:eastAsia="IRNazanin" w:cs="IRNazanin"/>
            <w:color w:val="111111"/>
            <w:sz w:val="22"/>
            <w:szCs w:val="22"/>
            <w:b w:val="0"/>
            <w:bCs w:val="0"/>
            <w:i w:val="0"/>
            <w:iCs w:val="0"/>
          </w:rPr>
          <w:t>ربيعي ، محمّد يونس بن راضي</w:t>
        </w:r>
        <w:r>
          <w:tab/>
        </w:r>
        <w:r>
          <w:fldChar w:fldCharType="begin"/>
        </w:r>
        <w:r>
          <w:instrText xml:space="preserve">PAGEREF 3576 \h</w:instrText>
        </w:r>
        <w:r>
          <w:fldChar w:fldCharType="end"/>
        </w:r>
      </w:hyperlink>
    </w:p>
    <w:p>
      <w:pPr>
        <w:tabs>
          <w:tab w:val="right" w:leader="dot" w:pos="9062"/>
        </w:tabs>
        <w:ind w:left="220"/>
      </w:pPr>
      <w:hyperlink w:anchor="_Toc3577" w:history="1">
        <w:r>
          <w:rPr>
            <w:rFonts w:ascii="IRNazanin" w:hAnsi="IRNazanin" w:eastAsia="IRNazanin" w:cs="IRNazanin"/>
            <w:color w:val="111111"/>
            <w:sz w:val="22"/>
            <w:szCs w:val="22"/>
            <w:b w:val="0"/>
            <w:bCs w:val="0"/>
            <w:i w:val="0"/>
            <w:iCs w:val="0"/>
          </w:rPr>
          <w:t>ربيعي نجفي ، محمّد بن يونس</w:t>
        </w:r>
        <w:r>
          <w:tab/>
        </w:r>
        <w:r>
          <w:fldChar w:fldCharType="begin"/>
        </w:r>
        <w:r>
          <w:instrText xml:space="preserve">PAGEREF 3577 \h</w:instrText>
        </w:r>
        <w:r>
          <w:fldChar w:fldCharType="end"/>
        </w:r>
      </w:hyperlink>
    </w:p>
    <w:p>
      <w:pPr>
        <w:tabs>
          <w:tab w:val="right" w:leader="dot" w:pos="9062"/>
        </w:tabs>
        <w:ind w:left="220"/>
      </w:pPr>
      <w:hyperlink w:anchor="_Toc3578" w:history="1">
        <w:r>
          <w:rPr>
            <w:rFonts w:ascii="IRNazanin" w:hAnsi="IRNazanin" w:eastAsia="IRNazanin" w:cs="IRNazanin"/>
            <w:color w:val="111111"/>
            <w:sz w:val="22"/>
            <w:szCs w:val="22"/>
            <w:b w:val="0"/>
            <w:bCs w:val="0"/>
            <w:i w:val="0"/>
            <w:iCs w:val="0"/>
          </w:rPr>
          <w:t>ربيعي نوري ، محمّد جواد</w:t>
        </w:r>
        <w:r>
          <w:tab/>
        </w:r>
        <w:r>
          <w:fldChar w:fldCharType="begin"/>
        </w:r>
        <w:r>
          <w:instrText xml:space="preserve">PAGEREF 3578 \h</w:instrText>
        </w:r>
        <w:r>
          <w:fldChar w:fldCharType="end"/>
        </w:r>
      </w:hyperlink>
    </w:p>
    <w:p>
      <w:pPr>
        <w:tabs>
          <w:tab w:val="right" w:leader="dot" w:pos="9062"/>
        </w:tabs>
        <w:ind w:left="220"/>
      </w:pPr>
      <w:hyperlink w:anchor="_Toc3579" w:history="1">
        <w:r>
          <w:rPr>
            <w:rFonts w:ascii="IRNazanin" w:hAnsi="IRNazanin" w:eastAsia="IRNazanin" w:cs="IRNazanin"/>
            <w:color w:val="111111"/>
            <w:sz w:val="22"/>
            <w:szCs w:val="22"/>
            <w:b w:val="0"/>
            <w:bCs w:val="0"/>
            <w:i w:val="0"/>
            <w:iCs w:val="0"/>
          </w:rPr>
          <w:t>ربيعي ، هاشم بن عبد الباقي</w:t>
        </w:r>
        <w:r>
          <w:tab/>
        </w:r>
        <w:r>
          <w:fldChar w:fldCharType="begin"/>
        </w:r>
        <w:r>
          <w:instrText xml:space="preserve">PAGEREF 3579 \h</w:instrText>
        </w:r>
        <w:r>
          <w:fldChar w:fldCharType="end"/>
        </w:r>
      </w:hyperlink>
    </w:p>
    <w:p>
      <w:pPr>
        <w:tabs>
          <w:tab w:val="right" w:leader="dot" w:pos="9062"/>
        </w:tabs>
        <w:ind w:left="220"/>
      </w:pPr>
      <w:hyperlink w:anchor="_Toc3580" w:history="1">
        <w:r>
          <w:rPr>
            <w:rFonts w:ascii="IRNazanin" w:hAnsi="IRNazanin" w:eastAsia="IRNazanin" w:cs="IRNazanin"/>
            <w:color w:val="111111"/>
            <w:sz w:val="22"/>
            <w:szCs w:val="22"/>
            <w:b w:val="0"/>
            <w:bCs w:val="0"/>
            <w:i w:val="0"/>
            <w:iCs w:val="0"/>
          </w:rPr>
          <w:t>رجب علي</w:t>
        </w:r>
        <w:r>
          <w:tab/>
        </w:r>
        <w:r>
          <w:fldChar w:fldCharType="begin"/>
        </w:r>
        <w:r>
          <w:instrText xml:space="preserve">PAGEREF 3580 \h</w:instrText>
        </w:r>
        <w:r>
          <w:fldChar w:fldCharType="end"/>
        </w:r>
      </w:hyperlink>
    </w:p>
    <w:p>
      <w:pPr>
        <w:tabs>
          <w:tab w:val="right" w:leader="dot" w:pos="9062"/>
        </w:tabs>
        <w:ind w:left="220"/>
      </w:pPr>
      <w:hyperlink w:anchor="_Toc3581" w:history="1">
        <w:r>
          <w:rPr>
            <w:rFonts w:ascii="IRNazanin" w:hAnsi="IRNazanin" w:eastAsia="IRNazanin" w:cs="IRNazanin"/>
            <w:color w:val="111111"/>
            <w:sz w:val="22"/>
            <w:szCs w:val="22"/>
            <w:b w:val="0"/>
            <w:bCs w:val="0"/>
            <w:i w:val="0"/>
            <w:iCs w:val="0"/>
          </w:rPr>
          <w:t>رجبي ، بكر بن محمّد قرن 12 ه-</w:t>
        </w:r>
        <w:r>
          <w:tab/>
        </w:r>
        <w:r>
          <w:fldChar w:fldCharType="begin"/>
        </w:r>
        <w:r>
          <w:instrText xml:space="preserve">PAGEREF 3581 \h</w:instrText>
        </w:r>
        <w:r>
          <w:fldChar w:fldCharType="end"/>
        </w:r>
      </w:hyperlink>
    </w:p>
    <w:p>
      <w:pPr>
        <w:tabs>
          <w:tab w:val="right" w:leader="dot" w:pos="9062"/>
        </w:tabs>
        <w:ind w:left="220"/>
      </w:pPr>
      <w:hyperlink w:anchor="_Toc3582" w:history="1">
        <w:r>
          <w:rPr>
            <w:rFonts w:ascii="IRNazanin" w:hAnsi="IRNazanin" w:eastAsia="IRNazanin" w:cs="IRNazanin"/>
            <w:color w:val="111111"/>
            <w:sz w:val="22"/>
            <w:szCs w:val="22"/>
            <w:b w:val="0"/>
            <w:bCs w:val="0"/>
            <w:i w:val="0"/>
            <w:iCs w:val="0"/>
          </w:rPr>
          <w:t>رحبي ، عبدالحميد بن عبدالله - 1242</w:t>
        </w:r>
        <w:r>
          <w:tab/>
        </w:r>
        <w:r>
          <w:fldChar w:fldCharType="begin"/>
        </w:r>
        <w:r>
          <w:instrText xml:space="preserve">PAGEREF 3582 \h</w:instrText>
        </w:r>
        <w:r>
          <w:fldChar w:fldCharType="end"/>
        </w:r>
      </w:hyperlink>
    </w:p>
    <w:p>
      <w:pPr>
        <w:tabs>
          <w:tab w:val="right" w:leader="dot" w:pos="9062"/>
        </w:tabs>
        <w:ind w:left="220"/>
      </w:pPr>
      <w:hyperlink w:anchor="_Toc3583" w:history="1">
        <w:r>
          <w:rPr>
            <w:rFonts w:ascii="IRNazanin" w:hAnsi="IRNazanin" w:eastAsia="IRNazanin" w:cs="IRNazanin"/>
            <w:color w:val="111111"/>
            <w:sz w:val="22"/>
            <w:szCs w:val="22"/>
            <w:b w:val="0"/>
            <w:bCs w:val="0"/>
            <w:i w:val="0"/>
            <w:iCs w:val="0"/>
          </w:rPr>
          <w:t>رحبي ، عبدالعزيز بن محمّد - 1193 ه-</w:t>
        </w:r>
        <w:r>
          <w:tab/>
        </w:r>
        <w:r>
          <w:fldChar w:fldCharType="begin"/>
        </w:r>
        <w:r>
          <w:instrText xml:space="preserve">PAGEREF 3583 \h</w:instrText>
        </w:r>
        <w:r>
          <w:fldChar w:fldCharType="end"/>
        </w:r>
      </w:hyperlink>
    </w:p>
    <w:p>
      <w:pPr>
        <w:tabs>
          <w:tab w:val="right" w:leader="dot" w:pos="9062"/>
        </w:tabs>
        <w:ind w:left="220"/>
      </w:pPr>
      <w:hyperlink w:anchor="_Toc3584" w:history="1">
        <w:r>
          <w:rPr>
            <w:rFonts w:ascii="IRNazanin" w:hAnsi="IRNazanin" w:eastAsia="IRNazanin" w:cs="IRNazanin"/>
            <w:color w:val="111111"/>
            <w:sz w:val="22"/>
            <w:szCs w:val="22"/>
            <w:b w:val="0"/>
            <w:bCs w:val="0"/>
            <w:i w:val="0"/>
            <w:iCs w:val="0"/>
          </w:rPr>
          <w:t>رحبي ، محمّد قرن 12 ه-</w:t>
        </w:r>
        <w:r>
          <w:tab/>
        </w:r>
        <w:r>
          <w:fldChar w:fldCharType="begin"/>
        </w:r>
        <w:r>
          <w:instrText xml:space="preserve">PAGEREF 3584 \h</w:instrText>
        </w:r>
        <w:r>
          <w:fldChar w:fldCharType="end"/>
        </w:r>
      </w:hyperlink>
    </w:p>
    <w:p>
      <w:pPr>
        <w:tabs>
          <w:tab w:val="right" w:leader="dot" w:pos="9062"/>
        </w:tabs>
        <w:ind w:left="220"/>
      </w:pPr>
      <w:hyperlink w:anchor="_Toc3585" w:history="1">
        <w:r>
          <w:rPr>
            <w:rFonts w:ascii="IRNazanin" w:hAnsi="IRNazanin" w:eastAsia="IRNazanin" w:cs="IRNazanin"/>
            <w:color w:val="111111"/>
            <w:sz w:val="22"/>
            <w:szCs w:val="22"/>
            <w:b w:val="0"/>
            <w:bCs w:val="0"/>
            <w:i w:val="0"/>
            <w:iCs w:val="0"/>
          </w:rPr>
          <w:t>رحبي، محمود بن عثمان - 1150</w:t>
        </w:r>
        <w:r>
          <w:tab/>
        </w:r>
        <w:r>
          <w:fldChar w:fldCharType="begin"/>
        </w:r>
        <w:r>
          <w:instrText xml:space="preserve">PAGEREF 3585 \h</w:instrText>
        </w:r>
        <w:r>
          <w:fldChar w:fldCharType="end"/>
        </w:r>
      </w:hyperlink>
    </w:p>
    <w:p>
      <w:pPr>
        <w:tabs>
          <w:tab w:val="right" w:leader="dot" w:pos="9062"/>
        </w:tabs>
        <w:ind w:left="220"/>
      </w:pPr>
      <w:hyperlink w:anchor="_Toc3586" w:history="1">
        <w:r>
          <w:rPr>
            <w:rFonts w:ascii="IRNazanin" w:hAnsi="IRNazanin" w:eastAsia="IRNazanin" w:cs="IRNazanin"/>
            <w:color w:val="111111"/>
            <w:sz w:val="22"/>
            <w:szCs w:val="22"/>
            <w:b w:val="0"/>
            <w:bCs w:val="0"/>
            <w:i w:val="0"/>
            <w:iCs w:val="0"/>
          </w:rPr>
          <w:t>رحمة الله بن عبدالكريم</w:t>
        </w:r>
        <w:r>
          <w:tab/>
        </w:r>
        <w:r>
          <w:fldChar w:fldCharType="begin"/>
        </w:r>
        <w:r>
          <w:instrText xml:space="preserve">PAGEREF 3586 \h</w:instrText>
        </w:r>
        <w:r>
          <w:fldChar w:fldCharType="end"/>
        </w:r>
      </w:hyperlink>
    </w:p>
    <w:p>
      <w:pPr>
        <w:tabs>
          <w:tab w:val="right" w:leader="dot" w:pos="9062"/>
        </w:tabs>
        <w:ind w:left="220"/>
      </w:pPr>
      <w:hyperlink w:anchor="_Toc3587" w:history="1">
        <w:r>
          <w:rPr>
            <w:rFonts w:ascii="IRNazanin" w:hAnsi="IRNazanin" w:eastAsia="IRNazanin" w:cs="IRNazanin"/>
            <w:color w:val="111111"/>
            <w:sz w:val="22"/>
            <w:szCs w:val="22"/>
            <w:b w:val="0"/>
            <w:bCs w:val="0"/>
            <w:i w:val="0"/>
            <w:iCs w:val="0"/>
          </w:rPr>
          <w:t>رداد ، احمد بن ابي بكر، 748 - 821 ه-</w:t>
        </w:r>
        <w:r>
          <w:tab/>
        </w:r>
        <w:r>
          <w:fldChar w:fldCharType="begin"/>
        </w:r>
        <w:r>
          <w:instrText xml:space="preserve">PAGEREF 3587 \h</w:instrText>
        </w:r>
        <w:r>
          <w:fldChar w:fldCharType="end"/>
        </w:r>
      </w:hyperlink>
    </w:p>
    <w:p>
      <w:pPr>
        <w:tabs>
          <w:tab w:val="right" w:leader="dot" w:pos="9062"/>
        </w:tabs>
        <w:ind w:left="220"/>
      </w:pPr>
      <w:hyperlink w:anchor="_Toc3588" w:history="1">
        <w:r>
          <w:rPr>
            <w:rFonts w:ascii="IRNazanin" w:hAnsi="IRNazanin" w:eastAsia="IRNazanin" w:cs="IRNazanin"/>
            <w:color w:val="111111"/>
            <w:sz w:val="22"/>
            <w:szCs w:val="22"/>
            <w:b w:val="0"/>
            <w:bCs w:val="0"/>
            <w:i w:val="0"/>
            <w:iCs w:val="0"/>
          </w:rPr>
          <w:t>رزاز ، محمّد بن عمرو، 251 - 339 ه-</w:t>
        </w:r>
        <w:r>
          <w:tab/>
        </w:r>
        <w:r>
          <w:fldChar w:fldCharType="begin"/>
        </w:r>
        <w:r>
          <w:instrText xml:space="preserve">PAGEREF 3588 \h</w:instrText>
        </w:r>
        <w:r>
          <w:fldChar w:fldCharType="end"/>
        </w:r>
      </w:hyperlink>
    </w:p>
    <w:p>
      <w:pPr>
        <w:tabs>
          <w:tab w:val="right" w:leader="dot" w:pos="9062"/>
        </w:tabs>
        <w:ind w:left="220"/>
      </w:pPr>
      <w:hyperlink w:anchor="_Toc3589" w:history="1">
        <w:r>
          <w:rPr>
            <w:rFonts w:ascii="IRNazanin" w:hAnsi="IRNazanin" w:eastAsia="IRNazanin" w:cs="IRNazanin"/>
            <w:color w:val="111111"/>
            <w:sz w:val="22"/>
            <w:szCs w:val="22"/>
            <w:b w:val="0"/>
            <w:bCs w:val="0"/>
            <w:i w:val="0"/>
            <w:iCs w:val="0"/>
          </w:rPr>
          <w:t>؟ رزق مغربي</w:t>
        </w:r>
        <w:r>
          <w:tab/>
        </w:r>
        <w:r>
          <w:fldChar w:fldCharType="begin"/>
        </w:r>
        <w:r>
          <w:instrText xml:space="preserve">PAGEREF 3589 \h</w:instrText>
        </w:r>
        <w:r>
          <w:fldChar w:fldCharType="end"/>
        </w:r>
      </w:hyperlink>
    </w:p>
    <w:p>
      <w:pPr>
        <w:tabs>
          <w:tab w:val="right" w:leader="dot" w:pos="9062"/>
        </w:tabs>
        <w:ind w:left="220"/>
      </w:pPr>
      <w:hyperlink w:anchor="_Toc3590" w:history="1">
        <w:r>
          <w:rPr>
            <w:rFonts w:ascii="IRNazanin" w:hAnsi="IRNazanin" w:eastAsia="IRNazanin" w:cs="IRNazanin"/>
            <w:color w:val="111111"/>
            <w:sz w:val="22"/>
            <w:szCs w:val="22"/>
            <w:b w:val="0"/>
            <w:bCs w:val="0"/>
            <w:i w:val="0"/>
            <w:iCs w:val="0"/>
          </w:rPr>
          <w:t>رزوق ، رزوق فرج</w:t>
        </w:r>
        <w:r>
          <w:tab/>
        </w:r>
        <w:r>
          <w:fldChar w:fldCharType="begin"/>
        </w:r>
        <w:r>
          <w:instrText xml:space="preserve">PAGEREF 3590 \h</w:instrText>
        </w:r>
        <w:r>
          <w:fldChar w:fldCharType="end"/>
        </w:r>
      </w:hyperlink>
    </w:p>
    <w:p>
      <w:pPr>
        <w:tabs>
          <w:tab w:val="right" w:leader="dot" w:pos="9062"/>
        </w:tabs>
        <w:ind w:left="220"/>
      </w:pPr>
      <w:hyperlink w:anchor="_Toc3591" w:history="1">
        <w:r>
          <w:rPr>
            <w:rFonts w:ascii="IRNazanin" w:hAnsi="IRNazanin" w:eastAsia="IRNazanin" w:cs="IRNazanin"/>
            <w:color w:val="111111"/>
            <w:sz w:val="22"/>
            <w:szCs w:val="22"/>
            <w:b w:val="0"/>
            <w:bCs w:val="0"/>
            <w:i w:val="0"/>
            <w:iCs w:val="0"/>
          </w:rPr>
          <w:t>رسعني ، عبدالرزاق بن رزق الله، 589 -</w:t>
        </w:r>
        <w:r>
          <w:tab/>
        </w:r>
        <w:r>
          <w:fldChar w:fldCharType="begin"/>
        </w:r>
        <w:r>
          <w:instrText xml:space="preserve">PAGEREF 3591 \h</w:instrText>
        </w:r>
        <w:r>
          <w:fldChar w:fldCharType="end"/>
        </w:r>
      </w:hyperlink>
    </w:p>
    <w:p>
      <w:pPr>
        <w:tabs>
          <w:tab w:val="right" w:leader="dot" w:pos="9062"/>
        </w:tabs>
        <w:ind w:left="220"/>
      </w:pPr>
      <w:hyperlink w:anchor="_Toc3592" w:history="1">
        <w:r>
          <w:rPr>
            <w:rFonts w:ascii="IRNazanin" w:hAnsi="IRNazanin" w:eastAsia="IRNazanin" w:cs="IRNazanin"/>
            <w:color w:val="111111"/>
            <w:sz w:val="22"/>
            <w:szCs w:val="22"/>
            <w:b w:val="0"/>
            <w:bCs w:val="0"/>
            <w:i w:val="0"/>
            <w:iCs w:val="0"/>
          </w:rPr>
          <w:t>رسولي ، يوسف بن عمر 619 - 694 ه-</w:t>
        </w:r>
        <w:r>
          <w:tab/>
        </w:r>
        <w:r>
          <w:fldChar w:fldCharType="begin"/>
        </w:r>
        <w:r>
          <w:instrText xml:space="preserve">PAGEREF 3592 \h</w:instrText>
        </w:r>
        <w:r>
          <w:fldChar w:fldCharType="end"/>
        </w:r>
      </w:hyperlink>
    </w:p>
    <w:p>
      <w:pPr>
        <w:tabs>
          <w:tab w:val="right" w:leader="dot" w:pos="9062"/>
        </w:tabs>
        <w:ind w:left="220"/>
      </w:pPr>
      <w:hyperlink w:anchor="_Toc3593" w:history="1">
        <w:r>
          <w:rPr>
            <w:rFonts w:ascii="IRNazanin" w:hAnsi="IRNazanin" w:eastAsia="IRNazanin" w:cs="IRNazanin"/>
            <w:color w:val="111111"/>
            <w:sz w:val="22"/>
            <w:szCs w:val="22"/>
            <w:b w:val="0"/>
            <w:bCs w:val="0"/>
            <w:i w:val="0"/>
            <w:iCs w:val="0"/>
          </w:rPr>
          <w:t>رشتاني ، برهان الدين</w:t>
        </w:r>
        <w:r>
          <w:tab/>
        </w:r>
        <w:r>
          <w:fldChar w:fldCharType="begin"/>
        </w:r>
        <w:r>
          <w:instrText xml:space="preserve">PAGEREF 3593 \h</w:instrText>
        </w:r>
        <w:r>
          <w:fldChar w:fldCharType="end"/>
        </w:r>
      </w:hyperlink>
    </w:p>
    <w:p>
      <w:pPr>
        <w:tabs>
          <w:tab w:val="right" w:leader="dot" w:pos="9062"/>
        </w:tabs>
        <w:ind w:left="220"/>
      </w:pPr>
      <w:hyperlink w:anchor="_Toc3594" w:history="1">
        <w:r>
          <w:rPr>
            <w:rFonts w:ascii="IRNazanin" w:hAnsi="IRNazanin" w:eastAsia="IRNazanin" w:cs="IRNazanin"/>
            <w:color w:val="111111"/>
            <w:sz w:val="22"/>
            <w:szCs w:val="22"/>
            <w:b w:val="0"/>
            <w:bCs w:val="0"/>
            <w:i w:val="0"/>
            <w:iCs w:val="0"/>
          </w:rPr>
          <w:t>رشتي ، احمد بن محمّد قرن 14 ه-</w:t>
        </w:r>
        <w:r>
          <w:tab/>
        </w:r>
        <w:r>
          <w:fldChar w:fldCharType="begin"/>
        </w:r>
        <w:r>
          <w:instrText xml:space="preserve">PAGEREF 3594 \h</w:instrText>
        </w:r>
        <w:r>
          <w:fldChar w:fldCharType="end"/>
        </w:r>
      </w:hyperlink>
    </w:p>
    <w:p>
      <w:pPr>
        <w:tabs>
          <w:tab w:val="right" w:leader="dot" w:pos="9062"/>
        </w:tabs>
        <w:ind w:left="220"/>
      </w:pPr>
      <w:hyperlink w:anchor="_Toc3595" w:history="1">
        <w:r>
          <w:rPr>
            <w:rFonts w:ascii="IRNazanin" w:hAnsi="IRNazanin" w:eastAsia="IRNazanin" w:cs="IRNazanin"/>
            <w:color w:val="111111"/>
            <w:sz w:val="22"/>
            <w:szCs w:val="22"/>
            <w:b w:val="0"/>
            <w:bCs w:val="0"/>
            <w:i w:val="0"/>
            <w:iCs w:val="0"/>
          </w:rPr>
          <w:t>رشتي حائري، محمّد كاظم بن علي اكبر</w:t>
        </w:r>
        <w:r>
          <w:tab/>
        </w:r>
        <w:r>
          <w:fldChar w:fldCharType="begin"/>
        </w:r>
        <w:r>
          <w:instrText xml:space="preserve">PAGEREF 3595 \h</w:instrText>
        </w:r>
        <w:r>
          <w:fldChar w:fldCharType="end"/>
        </w:r>
      </w:hyperlink>
    </w:p>
    <w:p>
      <w:pPr>
        <w:tabs>
          <w:tab w:val="right" w:leader="dot" w:pos="9062"/>
        </w:tabs>
        <w:ind w:left="220"/>
      </w:pPr>
      <w:hyperlink w:anchor="_Toc3596" w:history="1">
        <w:r>
          <w:rPr>
            <w:rFonts w:ascii="IRNazanin" w:hAnsi="IRNazanin" w:eastAsia="IRNazanin" w:cs="IRNazanin"/>
            <w:color w:val="111111"/>
            <w:sz w:val="22"/>
            <w:szCs w:val="22"/>
            <w:b w:val="0"/>
            <w:bCs w:val="0"/>
            <w:i w:val="0"/>
            <w:iCs w:val="0"/>
          </w:rPr>
          <w:t>رشتي ، حبيب الله بن محمّد علي 1234 -</w:t>
        </w:r>
        <w:r>
          <w:tab/>
        </w:r>
        <w:r>
          <w:fldChar w:fldCharType="begin"/>
        </w:r>
        <w:r>
          <w:instrText xml:space="preserve">PAGEREF 3596 \h</w:instrText>
        </w:r>
        <w:r>
          <w:fldChar w:fldCharType="end"/>
        </w:r>
      </w:hyperlink>
    </w:p>
    <w:p>
      <w:pPr>
        <w:tabs>
          <w:tab w:val="right" w:leader="dot" w:pos="9062"/>
        </w:tabs>
        <w:ind w:left="220"/>
      </w:pPr>
      <w:hyperlink w:anchor="_Toc3597" w:history="1">
        <w:r>
          <w:rPr>
            <w:rFonts w:ascii="IRNazanin" w:hAnsi="IRNazanin" w:eastAsia="IRNazanin" w:cs="IRNazanin"/>
            <w:color w:val="111111"/>
            <w:sz w:val="22"/>
            <w:szCs w:val="22"/>
            <w:b w:val="0"/>
            <w:bCs w:val="0"/>
            <w:i w:val="0"/>
            <w:iCs w:val="0"/>
          </w:rPr>
          <w:t>رشتي ، صدرالدين بن بدرالدین قرن 12</w:t>
        </w:r>
        <w:r>
          <w:tab/>
        </w:r>
        <w:r>
          <w:fldChar w:fldCharType="begin"/>
        </w:r>
        <w:r>
          <w:instrText xml:space="preserve">PAGEREF 3597 \h</w:instrText>
        </w:r>
        <w:r>
          <w:fldChar w:fldCharType="end"/>
        </w:r>
      </w:hyperlink>
    </w:p>
    <w:p>
      <w:pPr>
        <w:tabs>
          <w:tab w:val="right" w:leader="dot" w:pos="9062"/>
        </w:tabs>
        <w:ind w:left="220"/>
      </w:pPr>
      <w:hyperlink w:anchor="_Toc3598" w:history="1">
        <w:r>
          <w:rPr>
            <w:rFonts w:ascii="IRNazanin" w:hAnsi="IRNazanin" w:eastAsia="IRNazanin" w:cs="IRNazanin"/>
            <w:color w:val="111111"/>
            <w:sz w:val="22"/>
            <w:szCs w:val="22"/>
            <w:b w:val="0"/>
            <w:bCs w:val="0"/>
            <w:i w:val="0"/>
            <w:iCs w:val="0"/>
          </w:rPr>
          <w:t>رشتي صومعه سرائي ، محمّد علي</w:t>
        </w:r>
        <w:r>
          <w:tab/>
        </w:r>
        <w:r>
          <w:fldChar w:fldCharType="begin"/>
        </w:r>
        <w:r>
          <w:instrText xml:space="preserve">PAGEREF 3598 \h</w:instrText>
        </w:r>
        <w:r>
          <w:fldChar w:fldCharType="end"/>
        </w:r>
      </w:hyperlink>
    </w:p>
    <w:p>
      <w:pPr>
        <w:tabs>
          <w:tab w:val="right" w:leader="dot" w:pos="9062"/>
        </w:tabs>
        <w:ind w:left="220"/>
      </w:pPr>
      <w:hyperlink w:anchor="_Toc3599" w:history="1">
        <w:r>
          <w:rPr>
            <w:rFonts w:ascii="IRNazanin" w:hAnsi="IRNazanin" w:eastAsia="IRNazanin" w:cs="IRNazanin"/>
            <w:color w:val="111111"/>
            <w:sz w:val="22"/>
            <w:szCs w:val="22"/>
            <w:b w:val="0"/>
            <w:bCs w:val="0"/>
            <w:i w:val="0"/>
            <w:iCs w:val="0"/>
          </w:rPr>
          <w:t>رشتي ، عبدالحسين بن عيسى قرن 14</w:t>
        </w:r>
        <w:r>
          <w:tab/>
        </w:r>
        <w:r>
          <w:fldChar w:fldCharType="begin"/>
        </w:r>
        <w:r>
          <w:instrText xml:space="preserve">PAGEREF 3599 \h</w:instrText>
        </w:r>
        <w:r>
          <w:fldChar w:fldCharType="end"/>
        </w:r>
      </w:hyperlink>
    </w:p>
    <w:p>
      <w:pPr>
        <w:tabs>
          <w:tab w:val="right" w:leader="dot" w:pos="9062"/>
        </w:tabs>
        <w:ind w:left="220"/>
      </w:pPr>
      <w:hyperlink w:anchor="_Toc3600" w:history="1">
        <w:r>
          <w:rPr>
            <w:rFonts w:ascii="IRNazanin" w:hAnsi="IRNazanin" w:eastAsia="IRNazanin" w:cs="IRNazanin"/>
            <w:color w:val="111111"/>
            <w:sz w:val="22"/>
            <w:szCs w:val="22"/>
            <w:b w:val="0"/>
            <w:bCs w:val="0"/>
            <w:i w:val="0"/>
            <w:iCs w:val="0"/>
          </w:rPr>
          <w:t>رشتي ، عبد الغفار بن محمّد قرن 11 ه-</w:t>
        </w:r>
        <w:r>
          <w:tab/>
        </w:r>
        <w:r>
          <w:fldChar w:fldCharType="begin"/>
        </w:r>
        <w:r>
          <w:instrText xml:space="preserve">PAGEREF 3600 \h</w:instrText>
        </w:r>
        <w:r>
          <w:fldChar w:fldCharType="end"/>
        </w:r>
      </w:hyperlink>
    </w:p>
    <w:p>
      <w:pPr>
        <w:tabs>
          <w:tab w:val="right" w:leader="dot" w:pos="9062"/>
        </w:tabs>
        <w:ind w:left="220"/>
      </w:pPr>
      <w:hyperlink w:anchor="_Toc3601" w:history="1">
        <w:r>
          <w:rPr>
            <w:rFonts w:ascii="IRNazanin" w:hAnsi="IRNazanin" w:eastAsia="IRNazanin" w:cs="IRNazanin"/>
            <w:color w:val="111111"/>
            <w:sz w:val="22"/>
            <w:szCs w:val="22"/>
            <w:b w:val="0"/>
            <w:bCs w:val="0"/>
            <w:i w:val="0"/>
            <w:iCs w:val="0"/>
          </w:rPr>
          <w:t>رشتي ، علي بن محمّد قرن 13 ه-</w:t>
        </w:r>
        <w:r>
          <w:tab/>
        </w:r>
        <w:r>
          <w:fldChar w:fldCharType="begin"/>
        </w:r>
        <w:r>
          <w:instrText xml:space="preserve">PAGEREF 3601 \h</w:instrText>
        </w:r>
        <w:r>
          <w:fldChar w:fldCharType="end"/>
        </w:r>
      </w:hyperlink>
    </w:p>
    <w:p>
      <w:pPr>
        <w:tabs>
          <w:tab w:val="right" w:leader="dot" w:pos="9062"/>
        </w:tabs>
        <w:ind w:left="220"/>
      </w:pPr>
      <w:hyperlink w:anchor="_Toc3602" w:history="1">
        <w:r>
          <w:rPr>
            <w:rFonts w:ascii="IRNazanin" w:hAnsi="IRNazanin" w:eastAsia="IRNazanin" w:cs="IRNazanin"/>
            <w:color w:val="111111"/>
            <w:sz w:val="22"/>
            <w:szCs w:val="22"/>
            <w:b w:val="0"/>
            <w:bCs w:val="0"/>
            <w:i w:val="0"/>
            <w:iCs w:val="0"/>
          </w:rPr>
          <w:t>رشتي ، كاظم بن قاسم، 1212 - 1259 ه-</w:t>
        </w:r>
        <w:r>
          <w:tab/>
        </w:r>
        <w:r>
          <w:fldChar w:fldCharType="begin"/>
        </w:r>
        <w:r>
          <w:instrText xml:space="preserve">PAGEREF 3602 \h</w:instrText>
        </w:r>
        <w:r>
          <w:fldChar w:fldCharType="end"/>
        </w:r>
      </w:hyperlink>
    </w:p>
    <w:p>
      <w:pPr>
        <w:tabs>
          <w:tab w:val="right" w:leader="dot" w:pos="9062"/>
        </w:tabs>
        <w:ind w:left="220"/>
      </w:pPr>
      <w:hyperlink w:anchor="_Toc3603" w:history="1">
        <w:r>
          <w:rPr>
            <w:rFonts w:ascii="IRNazanin" w:hAnsi="IRNazanin" w:eastAsia="IRNazanin" w:cs="IRNazanin"/>
            <w:color w:val="111111"/>
            <w:sz w:val="22"/>
            <w:szCs w:val="22"/>
            <w:b w:val="0"/>
            <w:bCs w:val="0"/>
            <w:i w:val="0"/>
            <w:iCs w:val="0"/>
          </w:rPr>
          <w:t>رشتي لنگرودي ، محمّد کاظم بن</w:t>
        </w:r>
        <w:r>
          <w:tab/>
        </w:r>
        <w:r>
          <w:fldChar w:fldCharType="begin"/>
        </w:r>
        <w:r>
          <w:instrText xml:space="preserve">PAGEREF 3603 \h</w:instrText>
        </w:r>
        <w:r>
          <w:fldChar w:fldCharType="end"/>
        </w:r>
      </w:hyperlink>
    </w:p>
    <w:p>
      <w:pPr>
        <w:tabs>
          <w:tab w:val="right" w:leader="dot" w:pos="9062"/>
        </w:tabs>
        <w:ind w:left="220"/>
      </w:pPr>
      <w:hyperlink w:anchor="_Toc3604" w:history="1">
        <w:r>
          <w:rPr>
            <w:rFonts w:ascii="IRNazanin" w:hAnsi="IRNazanin" w:eastAsia="IRNazanin" w:cs="IRNazanin"/>
            <w:color w:val="111111"/>
            <w:sz w:val="22"/>
            <w:szCs w:val="22"/>
            <w:b w:val="0"/>
            <w:bCs w:val="0"/>
            <w:i w:val="0"/>
            <w:iCs w:val="0"/>
          </w:rPr>
          <w:t>رشتي ، محمّد باقر، قرن 13 ه-</w:t>
        </w:r>
        <w:r>
          <w:tab/>
        </w:r>
        <w:r>
          <w:fldChar w:fldCharType="begin"/>
        </w:r>
        <w:r>
          <w:instrText xml:space="preserve">PAGEREF 3604 \h</w:instrText>
        </w:r>
        <w:r>
          <w:fldChar w:fldCharType="end"/>
        </w:r>
      </w:hyperlink>
    </w:p>
    <w:p>
      <w:pPr>
        <w:tabs>
          <w:tab w:val="right" w:leader="dot" w:pos="9062"/>
        </w:tabs>
        <w:ind w:left="220"/>
      </w:pPr>
      <w:hyperlink w:anchor="_Toc3605" w:history="1">
        <w:r>
          <w:rPr>
            <w:rFonts w:ascii="IRNazanin" w:hAnsi="IRNazanin" w:eastAsia="IRNazanin" w:cs="IRNazanin"/>
            <w:color w:val="111111"/>
            <w:sz w:val="22"/>
            <w:szCs w:val="22"/>
            <w:b w:val="0"/>
            <w:bCs w:val="0"/>
            <w:i w:val="0"/>
            <w:iCs w:val="0"/>
          </w:rPr>
          <w:t>رشتي ، محمّد بن رضا قرن 13 ه-</w:t>
        </w:r>
        <w:r>
          <w:tab/>
        </w:r>
        <w:r>
          <w:fldChar w:fldCharType="begin"/>
        </w:r>
        <w:r>
          <w:instrText xml:space="preserve">PAGEREF 3605 \h</w:instrText>
        </w:r>
        <w:r>
          <w:fldChar w:fldCharType="end"/>
        </w:r>
      </w:hyperlink>
    </w:p>
    <w:p>
      <w:pPr>
        <w:tabs>
          <w:tab w:val="right" w:leader="dot" w:pos="9062"/>
        </w:tabs>
        <w:ind w:left="220"/>
      </w:pPr>
      <w:hyperlink w:anchor="_Toc3606" w:history="1">
        <w:r>
          <w:rPr>
            <w:rFonts w:ascii="IRNazanin" w:hAnsi="IRNazanin" w:eastAsia="IRNazanin" w:cs="IRNazanin"/>
            <w:color w:val="111111"/>
            <w:sz w:val="22"/>
            <w:szCs w:val="22"/>
            <w:b w:val="0"/>
            <w:bCs w:val="0"/>
            <w:i w:val="0"/>
            <w:iCs w:val="0"/>
          </w:rPr>
          <w:t>رشتي ، محمّد علي، قرن 13 ه-</w:t>
        </w:r>
        <w:r>
          <w:tab/>
        </w:r>
        <w:r>
          <w:fldChar w:fldCharType="begin"/>
        </w:r>
        <w:r>
          <w:instrText xml:space="preserve">PAGEREF 3606 \h</w:instrText>
        </w:r>
        <w:r>
          <w:fldChar w:fldCharType="end"/>
        </w:r>
      </w:hyperlink>
    </w:p>
    <w:p>
      <w:pPr>
        <w:tabs>
          <w:tab w:val="right" w:leader="dot" w:pos="9062"/>
        </w:tabs>
        <w:ind w:left="220"/>
      </w:pPr>
      <w:hyperlink w:anchor="_Toc3607" w:history="1">
        <w:r>
          <w:rPr>
            <w:rFonts w:ascii="IRNazanin" w:hAnsi="IRNazanin" w:eastAsia="IRNazanin" w:cs="IRNazanin"/>
            <w:color w:val="111111"/>
            <w:sz w:val="22"/>
            <w:szCs w:val="22"/>
            <w:b w:val="0"/>
            <w:bCs w:val="0"/>
            <w:i w:val="0"/>
            <w:iCs w:val="0"/>
          </w:rPr>
          <w:t>رشدي افندي ، احمد، قرن 12 ه-</w:t>
        </w:r>
        <w:r>
          <w:tab/>
        </w:r>
        <w:r>
          <w:fldChar w:fldCharType="begin"/>
        </w:r>
        <w:r>
          <w:instrText xml:space="preserve">PAGEREF 3607 \h</w:instrText>
        </w:r>
        <w:r>
          <w:fldChar w:fldCharType="end"/>
        </w:r>
      </w:hyperlink>
    </w:p>
    <w:p>
      <w:pPr>
        <w:tabs>
          <w:tab w:val="right" w:leader="dot" w:pos="9062"/>
        </w:tabs>
        <w:ind w:left="220"/>
      </w:pPr>
      <w:hyperlink w:anchor="_Toc3608" w:history="1">
        <w:r>
          <w:rPr>
            <w:rFonts w:ascii="IRNazanin" w:hAnsi="IRNazanin" w:eastAsia="IRNazanin" w:cs="IRNazanin"/>
            <w:color w:val="111111"/>
            <w:sz w:val="22"/>
            <w:szCs w:val="22"/>
            <w:b w:val="0"/>
            <w:bCs w:val="0"/>
            <w:i w:val="0"/>
            <w:iCs w:val="0"/>
          </w:rPr>
          <w:t>رشدي ، سليم، قرن 14 ه-</w:t>
        </w:r>
        <w:r>
          <w:tab/>
        </w:r>
        <w:r>
          <w:fldChar w:fldCharType="begin"/>
        </w:r>
        <w:r>
          <w:instrText xml:space="preserve">PAGEREF 3608 \h</w:instrText>
        </w:r>
        <w:r>
          <w:fldChar w:fldCharType="end"/>
        </w:r>
      </w:hyperlink>
    </w:p>
    <w:p>
      <w:pPr>
        <w:tabs>
          <w:tab w:val="right" w:leader="dot" w:pos="9062"/>
        </w:tabs>
        <w:ind w:left="220"/>
      </w:pPr>
      <w:hyperlink w:anchor="_Toc3609" w:history="1">
        <w:r>
          <w:rPr>
            <w:rFonts w:ascii="IRNazanin" w:hAnsi="IRNazanin" w:eastAsia="IRNazanin" w:cs="IRNazanin"/>
            <w:color w:val="111111"/>
            <w:sz w:val="22"/>
            <w:szCs w:val="22"/>
            <w:b w:val="0"/>
            <w:bCs w:val="0"/>
            <w:i w:val="0"/>
            <w:iCs w:val="0"/>
          </w:rPr>
          <w:t>رشدي ، محمّد بن مصطفى</w:t>
        </w:r>
        <w:r>
          <w:tab/>
        </w:r>
        <w:r>
          <w:fldChar w:fldCharType="begin"/>
        </w:r>
        <w:r>
          <w:instrText xml:space="preserve">PAGEREF 3609 \h</w:instrText>
        </w:r>
        <w:r>
          <w:fldChar w:fldCharType="end"/>
        </w:r>
      </w:hyperlink>
    </w:p>
    <w:p>
      <w:pPr>
        <w:tabs>
          <w:tab w:val="right" w:leader="dot" w:pos="9062"/>
        </w:tabs>
        <w:ind w:left="220"/>
      </w:pPr>
      <w:hyperlink w:anchor="_Toc3610" w:history="1">
        <w:r>
          <w:rPr>
            <w:rFonts w:ascii="IRNazanin" w:hAnsi="IRNazanin" w:eastAsia="IRNazanin" w:cs="IRNazanin"/>
            <w:color w:val="111111"/>
            <w:sz w:val="22"/>
            <w:szCs w:val="22"/>
            <w:b w:val="0"/>
            <w:bCs w:val="0"/>
            <w:i w:val="0"/>
            <w:iCs w:val="0"/>
          </w:rPr>
          <w:t>رشعني ، مارشليطا</w:t>
        </w:r>
        <w:r>
          <w:tab/>
        </w:r>
        <w:r>
          <w:fldChar w:fldCharType="begin"/>
        </w:r>
        <w:r>
          <w:instrText xml:space="preserve">PAGEREF 3610 \h</w:instrText>
        </w:r>
        <w:r>
          <w:fldChar w:fldCharType="end"/>
        </w:r>
      </w:hyperlink>
    </w:p>
    <w:p>
      <w:pPr>
        <w:tabs>
          <w:tab w:val="right" w:leader="dot" w:pos="9062"/>
        </w:tabs>
        <w:ind w:left="220"/>
      </w:pPr>
      <w:hyperlink w:anchor="_Toc3611" w:history="1">
        <w:r>
          <w:rPr>
            <w:rFonts w:ascii="IRNazanin" w:hAnsi="IRNazanin" w:eastAsia="IRNazanin" w:cs="IRNazanin"/>
            <w:color w:val="111111"/>
            <w:sz w:val="22"/>
            <w:szCs w:val="22"/>
            <w:b w:val="0"/>
            <w:bCs w:val="0"/>
            <w:i w:val="0"/>
            <w:iCs w:val="0"/>
          </w:rPr>
          <w:t>رشید ، محمّد بن اسماعيل - 768 ه-</w:t>
        </w:r>
        <w:r>
          <w:tab/>
        </w:r>
        <w:r>
          <w:fldChar w:fldCharType="begin"/>
        </w:r>
        <w:r>
          <w:instrText xml:space="preserve">PAGEREF 3611 \h</w:instrText>
        </w:r>
        <w:r>
          <w:fldChar w:fldCharType="end"/>
        </w:r>
      </w:hyperlink>
    </w:p>
    <w:p>
      <w:pPr>
        <w:tabs>
          <w:tab w:val="right" w:leader="dot" w:pos="9062"/>
        </w:tabs>
        <w:ind w:left="220"/>
      </w:pPr>
      <w:hyperlink w:anchor="_Toc3612" w:history="1">
        <w:r>
          <w:rPr>
            <w:rFonts w:ascii="IRNazanin" w:hAnsi="IRNazanin" w:eastAsia="IRNazanin" w:cs="IRNazanin"/>
            <w:color w:val="111111"/>
            <w:sz w:val="22"/>
            <w:szCs w:val="22"/>
            <w:b w:val="0"/>
            <w:bCs w:val="0"/>
            <w:i w:val="0"/>
            <w:iCs w:val="0"/>
          </w:rPr>
          <w:t>رشید وطواط ، محمّد بن محمّد - 573</w:t>
        </w:r>
        <w:r>
          <w:tab/>
        </w:r>
        <w:r>
          <w:fldChar w:fldCharType="begin"/>
        </w:r>
        <w:r>
          <w:instrText xml:space="preserve">PAGEREF 3612 \h</w:instrText>
        </w:r>
        <w:r>
          <w:fldChar w:fldCharType="end"/>
        </w:r>
      </w:hyperlink>
    </w:p>
    <w:p>
      <w:pPr>
        <w:tabs>
          <w:tab w:val="right" w:leader="dot" w:pos="9062"/>
        </w:tabs>
        <w:ind w:left="220"/>
      </w:pPr>
      <w:hyperlink w:anchor="_Toc3613" w:history="1">
        <w:r>
          <w:rPr>
            <w:rFonts w:ascii="IRNazanin" w:hAnsi="IRNazanin" w:eastAsia="IRNazanin" w:cs="IRNazanin"/>
            <w:color w:val="111111"/>
            <w:sz w:val="22"/>
            <w:szCs w:val="22"/>
            <w:b w:val="0"/>
            <w:bCs w:val="0"/>
            <w:i w:val="0"/>
            <w:iCs w:val="0"/>
          </w:rPr>
          <w:t>رشيدي حفناوي، ابراهيم</w:t>
        </w:r>
        <w:r>
          <w:tab/>
        </w:r>
        <w:r>
          <w:fldChar w:fldCharType="begin"/>
        </w:r>
        <w:r>
          <w:instrText xml:space="preserve">PAGEREF 3613 \h</w:instrText>
        </w:r>
        <w:r>
          <w:fldChar w:fldCharType="end"/>
        </w:r>
      </w:hyperlink>
    </w:p>
    <w:p>
      <w:pPr>
        <w:tabs>
          <w:tab w:val="right" w:leader="dot" w:pos="9062"/>
        </w:tabs>
        <w:ind w:left="220"/>
      </w:pPr>
      <w:hyperlink w:anchor="_Toc3614" w:history="1">
        <w:r>
          <w:rPr>
            <w:rFonts w:ascii="IRNazanin" w:hAnsi="IRNazanin" w:eastAsia="IRNazanin" w:cs="IRNazanin"/>
            <w:color w:val="111111"/>
            <w:sz w:val="22"/>
            <w:szCs w:val="22"/>
            <w:b w:val="0"/>
            <w:bCs w:val="0"/>
            <w:i w:val="0"/>
            <w:iCs w:val="0"/>
          </w:rPr>
          <w:t>رشيدي ، عبدالرحمن بن محمّد - 803</w:t>
        </w:r>
        <w:r>
          <w:tab/>
        </w:r>
        <w:r>
          <w:fldChar w:fldCharType="begin"/>
        </w:r>
        <w:r>
          <w:instrText xml:space="preserve">PAGEREF 3614 \h</w:instrText>
        </w:r>
        <w:r>
          <w:fldChar w:fldCharType="end"/>
        </w:r>
      </w:hyperlink>
    </w:p>
    <w:p>
      <w:pPr>
        <w:tabs>
          <w:tab w:val="right" w:leader="dot" w:pos="9062"/>
        </w:tabs>
        <w:ind w:left="220"/>
      </w:pPr>
      <w:hyperlink w:anchor="_Toc3615" w:history="1">
        <w:r>
          <w:rPr>
            <w:rFonts w:ascii="IRNazanin" w:hAnsi="IRNazanin" w:eastAsia="IRNazanin" w:cs="IRNazanin"/>
            <w:color w:val="111111"/>
            <w:sz w:val="22"/>
            <w:szCs w:val="22"/>
            <w:b w:val="0"/>
            <w:bCs w:val="0"/>
            <w:i w:val="0"/>
            <w:iCs w:val="0"/>
          </w:rPr>
          <w:t>رشيدي ، عبدالرشيد بن عبدالغفور 1077ه-</w:t>
        </w:r>
        <w:r>
          <w:tab/>
        </w:r>
        <w:r>
          <w:fldChar w:fldCharType="begin"/>
        </w:r>
        <w:r>
          <w:instrText xml:space="preserve">PAGEREF 3615 \h</w:instrText>
        </w:r>
        <w:r>
          <w:fldChar w:fldCharType="end"/>
        </w:r>
      </w:hyperlink>
    </w:p>
    <w:p>
      <w:pPr>
        <w:tabs>
          <w:tab w:val="right" w:leader="dot" w:pos="9062"/>
        </w:tabs>
        <w:ind w:left="220"/>
      </w:pPr>
      <w:hyperlink w:anchor="_Toc3616" w:history="1">
        <w:r>
          <w:rPr>
            <w:rFonts w:ascii="IRNazanin" w:hAnsi="IRNazanin" w:eastAsia="IRNazanin" w:cs="IRNazanin"/>
            <w:color w:val="111111"/>
            <w:sz w:val="22"/>
            <w:szCs w:val="22"/>
            <w:b w:val="0"/>
            <w:bCs w:val="0"/>
            <w:i w:val="0"/>
            <w:iCs w:val="0"/>
          </w:rPr>
          <w:t>رشيدي ، محمّد بشار</w:t>
        </w:r>
        <w:r>
          <w:tab/>
        </w:r>
        <w:r>
          <w:fldChar w:fldCharType="begin"/>
        </w:r>
        <w:r>
          <w:instrText xml:space="preserve">PAGEREF 3616 \h</w:instrText>
        </w:r>
        <w:r>
          <w:fldChar w:fldCharType="end"/>
        </w:r>
      </w:hyperlink>
    </w:p>
    <w:p>
      <w:pPr>
        <w:tabs>
          <w:tab w:val="right" w:leader="dot" w:pos="9062"/>
        </w:tabs>
        <w:ind w:left="220"/>
      </w:pPr>
      <w:hyperlink w:anchor="_Toc3617" w:history="1">
        <w:r>
          <w:rPr>
            <w:rFonts w:ascii="IRNazanin" w:hAnsi="IRNazanin" w:eastAsia="IRNazanin" w:cs="IRNazanin"/>
            <w:color w:val="111111"/>
            <w:sz w:val="22"/>
            <w:szCs w:val="22"/>
            <w:b w:val="0"/>
            <w:bCs w:val="0"/>
            <w:i w:val="0"/>
            <w:iCs w:val="0"/>
          </w:rPr>
          <w:t>رشيدي ، محمّد بن عيسى قرن 10 ه-</w:t>
        </w:r>
        <w:r>
          <w:tab/>
        </w:r>
        <w:r>
          <w:fldChar w:fldCharType="begin"/>
        </w:r>
        <w:r>
          <w:instrText xml:space="preserve">PAGEREF 3617 \h</w:instrText>
        </w:r>
        <w:r>
          <w:fldChar w:fldCharType="end"/>
        </w:r>
      </w:hyperlink>
    </w:p>
    <w:p>
      <w:pPr>
        <w:tabs>
          <w:tab w:val="right" w:leader="dot" w:pos="9062"/>
        </w:tabs>
        <w:ind w:left="220"/>
      </w:pPr>
      <w:hyperlink w:anchor="_Toc3618" w:history="1">
        <w:r>
          <w:rPr>
            <w:rFonts w:ascii="IRNazanin" w:hAnsi="IRNazanin" w:eastAsia="IRNazanin" w:cs="IRNazanin"/>
            <w:color w:val="111111"/>
            <w:sz w:val="22"/>
            <w:szCs w:val="22"/>
            <w:b w:val="0"/>
            <w:bCs w:val="0"/>
            <w:i w:val="0"/>
            <w:iCs w:val="0"/>
          </w:rPr>
          <w:t>رشيدي ، مرتضى بن احمد - 1345 ه-</w:t>
        </w:r>
        <w:r>
          <w:tab/>
        </w:r>
        <w:r>
          <w:fldChar w:fldCharType="begin"/>
        </w:r>
        <w:r>
          <w:instrText xml:space="preserve">PAGEREF 3618 \h</w:instrText>
        </w:r>
        <w:r>
          <w:fldChar w:fldCharType="end"/>
        </w:r>
      </w:hyperlink>
    </w:p>
    <w:p>
      <w:pPr>
        <w:tabs>
          <w:tab w:val="right" w:leader="dot" w:pos="9062"/>
        </w:tabs>
        <w:ind w:left="220"/>
      </w:pPr>
      <w:hyperlink w:anchor="_Toc3619" w:history="1">
        <w:r>
          <w:rPr>
            <w:rFonts w:ascii="IRNazanin" w:hAnsi="IRNazanin" w:eastAsia="IRNazanin" w:cs="IRNazanin"/>
            <w:color w:val="111111"/>
            <w:sz w:val="22"/>
            <w:szCs w:val="22"/>
            <w:b w:val="0"/>
            <w:bCs w:val="0"/>
            <w:i w:val="0"/>
            <w:iCs w:val="0"/>
          </w:rPr>
          <w:t>رشيدي ، يونس بن یونس قرن 11 ه-</w:t>
        </w:r>
        <w:r>
          <w:tab/>
        </w:r>
        <w:r>
          <w:fldChar w:fldCharType="begin"/>
        </w:r>
        <w:r>
          <w:instrText xml:space="preserve">PAGEREF 3619 \h</w:instrText>
        </w:r>
        <w:r>
          <w:fldChar w:fldCharType="end"/>
        </w:r>
      </w:hyperlink>
    </w:p>
    <w:p>
      <w:pPr>
        <w:tabs>
          <w:tab w:val="right" w:leader="dot" w:pos="9062"/>
        </w:tabs>
        <w:ind w:left="220"/>
      </w:pPr>
      <w:hyperlink w:anchor="_Toc3620" w:history="1">
        <w:r>
          <w:rPr>
            <w:rFonts w:ascii="IRNazanin" w:hAnsi="IRNazanin" w:eastAsia="IRNazanin" w:cs="IRNazanin"/>
            <w:color w:val="111111"/>
            <w:sz w:val="22"/>
            <w:szCs w:val="22"/>
            <w:b w:val="0"/>
            <w:bCs w:val="0"/>
            <w:i w:val="0"/>
            <w:iCs w:val="0"/>
          </w:rPr>
          <w:t>رصافي ، معروف بن عبد الغني، 1292 .</w:t>
        </w:r>
        <w:r>
          <w:tab/>
        </w:r>
        <w:r>
          <w:fldChar w:fldCharType="begin"/>
        </w:r>
        <w:r>
          <w:instrText xml:space="preserve">PAGEREF 3620 \h</w:instrText>
        </w:r>
        <w:r>
          <w:fldChar w:fldCharType="end"/>
        </w:r>
      </w:hyperlink>
    </w:p>
    <w:p>
      <w:pPr>
        <w:tabs>
          <w:tab w:val="right" w:leader="dot" w:pos="9062"/>
        </w:tabs>
        <w:ind w:left="220"/>
      </w:pPr>
      <w:hyperlink w:anchor="_Toc3621" w:history="1">
        <w:r>
          <w:rPr>
            <w:rFonts w:ascii="IRNazanin" w:hAnsi="IRNazanin" w:eastAsia="IRNazanin" w:cs="IRNazanin"/>
            <w:color w:val="111111"/>
            <w:sz w:val="22"/>
            <w:szCs w:val="22"/>
            <w:b w:val="0"/>
            <w:bCs w:val="0"/>
            <w:i w:val="0"/>
            <w:iCs w:val="0"/>
          </w:rPr>
          <w:t>رضائي رومي ، علي بن محمّد - 1039 ه-</w:t>
        </w:r>
        <w:r>
          <w:tab/>
        </w:r>
        <w:r>
          <w:fldChar w:fldCharType="begin"/>
        </w:r>
        <w:r>
          <w:instrText xml:space="preserve">PAGEREF 3621 \h</w:instrText>
        </w:r>
        <w:r>
          <w:fldChar w:fldCharType="end"/>
        </w:r>
      </w:hyperlink>
    </w:p>
    <w:p>
      <w:pPr>
        <w:tabs>
          <w:tab w:val="right" w:leader="dot" w:pos="9062"/>
        </w:tabs>
        <w:ind w:left="220"/>
      </w:pPr>
      <w:hyperlink w:anchor="_Toc3622" w:history="1">
        <w:r>
          <w:rPr>
            <w:rFonts w:ascii="IRNazanin" w:hAnsi="IRNazanin" w:eastAsia="IRNazanin" w:cs="IRNazanin"/>
            <w:color w:val="111111"/>
            <w:sz w:val="22"/>
            <w:szCs w:val="22"/>
            <w:b w:val="0"/>
            <w:bCs w:val="0"/>
            <w:i w:val="0"/>
            <w:iCs w:val="0"/>
          </w:rPr>
          <w:t>رضائي ، محمّد</w:t>
        </w:r>
        <w:r>
          <w:tab/>
        </w:r>
        <w:r>
          <w:fldChar w:fldCharType="begin"/>
        </w:r>
        <w:r>
          <w:instrText xml:space="preserve">PAGEREF 3622 \h</w:instrText>
        </w:r>
        <w:r>
          <w:fldChar w:fldCharType="end"/>
        </w:r>
      </w:hyperlink>
    </w:p>
    <w:p>
      <w:pPr>
        <w:tabs>
          <w:tab w:val="right" w:leader="dot" w:pos="9062"/>
        </w:tabs>
        <w:ind w:left="220"/>
      </w:pPr>
      <w:hyperlink w:anchor="_Toc3623" w:history="1">
        <w:r>
          <w:rPr>
            <w:rFonts w:ascii="IRNazanin" w:hAnsi="IRNazanin" w:eastAsia="IRNazanin" w:cs="IRNazanin"/>
            <w:color w:val="111111"/>
            <w:sz w:val="22"/>
            <w:szCs w:val="22"/>
            <w:b w:val="0"/>
            <w:bCs w:val="0"/>
            <w:i w:val="0"/>
            <w:iCs w:val="0"/>
          </w:rPr>
          <w:t>رضا ، مهدي</w:t>
        </w:r>
        <w:r>
          <w:tab/>
        </w:r>
        <w:r>
          <w:fldChar w:fldCharType="begin"/>
        </w:r>
        <w:r>
          <w:instrText xml:space="preserve">PAGEREF 3623 \h</w:instrText>
        </w:r>
        <w:r>
          <w:fldChar w:fldCharType="end"/>
        </w:r>
      </w:hyperlink>
    </w:p>
    <w:p>
      <w:pPr>
        <w:tabs>
          <w:tab w:val="right" w:leader="dot" w:pos="9062"/>
        </w:tabs>
        <w:ind w:left="220"/>
      </w:pPr>
      <w:hyperlink w:anchor="_Toc3624" w:history="1">
        <w:r>
          <w:rPr>
            <w:rFonts w:ascii="IRNazanin" w:hAnsi="IRNazanin" w:eastAsia="IRNazanin" w:cs="IRNazanin"/>
            <w:color w:val="111111"/>
            <w:sz w:val="22"/>
            <w:szCs w:val="22"/>
            <w:b w:val="0"/>
            <w:bCs w:val="0"/>
            <w:i w:val="0"/>
            <w:iCs w:val="0"/>
          </w:rPr>
          <w:t>رضوان افندي قرن 12 ه-</w:t>
        </w:r>
        <w:r>
          <w:tab/>
        </w:r>
        <w:r>
          <w:fldChar w:fldCharType="begin"/>
        </w:r>
        <w:r>
          <w:instrText xml:space="preserve">PAGEREF 3624 \h</w:instrText>
        </w:r>
        <w:r>
          <w:fldChar w:fldCharType="end"/>
        </w:r>
      </w:hyperlink>
    </w:p>
    <w:p>
      <w:pPr>
        <w:tabs>
          <w:tab w:val="right" w:leader="dot" w:pos="9062"/>
        </w:tabs>
        <w:ind w:left="220"/>
      </w:pPr>
      <w:hyperlink w:anchor="_Toc3625" w:history="1">
        <w:r>
          <w:rPr>
            <w:rFonts w:ascii="IRNazanin" w:hAnsi="IRNazanin" w:eastAsia="IRNazanin" w:cs="IRNazanin"/>
            <w:color w:val="111111"/>
            <w:sz w:val="22"/>
            <w:szCs w:val="22"/>
            <w:b w:val="0"/>
            <w:bCs w:val="0"/>
            <w:i w:val="0"/>
            <w:iCs w:val="0"/>
          </w:rPr>
          <w:t>رضوي ، ابو علي قرن 13 ه-</w:t>
        </w:r>
        <w:r>
          <w:tab/>
        </w:r>
        <w:r>
          <w:fldChar w:fldCharType="begin"/>
        </w:r>
        <w:r>
          <w:instrText xml:space="preserve">PAGEREF 3625 \h</w:instrText>
        </w:r>
        <w:r>
          <w:fldChar w:fldCharType="end"/>
        </w:r>
      </w:hyperlink>
    </w:p>
    <w:p>
      <w:pPr>
        <w:tabs>
          <w:tab w:val="right" w:leader="dot" w:pos="9062"/>
        </w:tabs>
        <w:ind w:left="220"/>
      </w:pPr>
      <w:hyperlink w:anchor="_Toc3626" w:history="1">
        <w:r>
          <w:rPr>
            <w:rFonts w:ascii="IRNazanin" w:hAnsi="IRNazanin" w:eastAsia="IRNazanin" w:cs="IRNazanin"/>
            <w:color w:val="111111"/>
            <w:sz w:val="22"/>
            <w:szCs w:val="22"/>
            <w:b w:val="0"/>
            <w:bCs w:val="0"/>
            <w:i w:val="0"/>
            <w:iCs w:val="0"/>
          </w:rPr>
          <w:t>رضوي حسيني ، عبدالرحيم بن حسن</w:t>
        </w:r>
        <w:r>
          <w:tab/>
        </w:r>
        <w:r>
          <w:fldChar w:fldCharType="begin"/>
        </w:r>
        <w:r>
          <w:instrText xml:space="preserve">PAGEREF 3626 \h</w:instrText>
        </w:r>
        <w:r>
          <w:fldChar w:fldCharType="end"/>
        </w:r>
      </w:hyperlink>
    </w:p>
    <w:p>
      <w:pPr>
        <w:tabs>
          <w:tab w:val="right" w:leader="dot" w:pos="9062"/>
        </w:tabs>
        <w:ind w:left="220"/>
      </w:pPr>
      <w:hyperlink w:anchor="_Toc3627" w:history="1">
        <w:r>
          <w:rPr>
            <w:rFonts w:ascii="IRNazanin" w:hAnsi="IRNazanin" w:eastAsia="IRNazanin" w:cs="IRNazanin"/>
            <w:color w:val="111111"/>
            <w:sz w:val="22"/>
            <w:szCs w:val="22"/>
            <w:b w:val="0"/>
            <w:bCs w:val="0"/>
            <w:i w:val="0"/>
            <w:iCs w:val="0"/>
          </w:rPr>
          <w:t>رضوي ، راحت حسین، 1297 ق 14 ه-</w:t>
        </w:r>
        <w:r>
          <w:tab/>
        </w:r>
        <w:r>
          <w:fldChar w:fldCharType="begin"/>
        </w:r>
        <w:r>
          <w:instrText xml:space="preserve">PAGEREF 3627 \h</w:instrText>
        </w:r>
        <w:r>
          <w:fldChar w:fldCharType="end"/>
        </w:r>
      </w:hyperlink>
    </w:p>
    <w:p>
      <w:pPr>
        <w:tabs>
          <w:tab w:val="right" w:leader="dot" w:pos="9062"/>
        </w:tabs>
        <w:ind w:left="220"/>
      </w:pPr>
      <w:hyperlink w:anchor="_Toc3628" w:history="1">
        <w:r>
          <w:rPr>
            <w:rFonts w:ascii="IRNazanin" w:hAnsi="IRNazanin" w:eastAsia="IRNazanin" w:cs="IRNazanin"/>
            <w:color w:val="111111"/>
            <w:sz w:val="22"/>
            <w:szCs w:val="22"/>
            <w:b w:val="0"/>
            <w:bCs w:val="0"/>
            <w:i w:val="0"/>
            <w:iCs w:val="0"/>
          </w:rPr>
          <w:t>رضوي ، سجاد، 1337 - 1390 ه-</w:t>
        </w:r>
        <w:r>
          <w:tab/>
        </w:r>
        <w:r>
          <w:fldChar w:fldCharType="begin"/>
        </w:r>
        <w:r>
          <w:instrText xml:space="preserve">PAGEREF 3628 \h</w:instrText>
        </w:r>
        <w:r>
          <w:fldChar w:fldCharType="end"/>
        </w:r>
      </w:hyperlink>
    </w:p>
    <w:p>
      <w:pPr>
        <w:tabs>
          <w:tab w:val="right" w:leader="dot" w:pos="9062"/>
        </w:tabs>
        <w:ind w:left="220"/>
      </w:pPr>
      <w:hyperlink w:anchor="_Toc3629" w:history="1">
        <w:r>
          <w:rPr>
            <w:rFonts w:ascii="IRNazanin" w:hAnsi="IRNazanin" w:eastAsia="IRNazanin" w:cs="IRNazanin"/>
            <w:color w:val="111111"/>
            <w:sz w:val="22"/>
            <w:szCs w:val="22"/>
            <w:b w:val="0"/>
            <w:bCs w:val="0"/>
            <w:i w:val="0"/>
            <w:iCs w:val="0"/>
          </w:rPr>
          <w:t>رضوي ، علينقي بن محمّد علي</w:t>
        </w:r>
        <w:r>
          <w:tab/>
        </w:r>
        <w:r>
          <w:fldChar w:fldCharType="begin"/>
        </w:r>
        <w:r>
          <w:instrText xml:space="preserve">PAGEREF 3629 \h</w:instrText>
        </w:r>
        <w:r>
          <w:fldChar w:fldCharType="end"/>
        </w:r>
      </w:hyperlink>
    </w:p>
    <w:p>
      <w:pPr>
        <w:tabs>
          <w:tab w:val="right" w:leader="dot" w:pos="9062"/>
        </w:tabs>
        <w:ind w:left="220"/>
      </w:pPr>
      <w:hyperlink w:anchor="_Toc3630" w:history="1">
        <w:r>
          <w:rPr>
            <w:rFonts w:ascii="IRNazanin" w:hAnsi="IRNazanin" w:eastAsia="IRNazanin" w:cs="IRNazanin"/>
            <w:color w:val="111111"/>
            <w:sz w:val="22"/>
            <w:szCs w:val="22"/>
            <w:b w:val="0"/>
            <w:bCs w:val="0"/>
            <w:i w:val="0"/>
            <w:iCs w:val="0"/>
          </w:rPr>
          <w:t>رضوي قمي ، محمّد بن محمّد باقر</w:t>
        </w:r>
        <w:r>
          <w:tab/>
        </w:r>
        <w:r>
          <w:fldChar w:fldCharType="begin"/>
        </w:r>
        <w:r>
          <w:instrText xml:space="preserve">PAGEREF 3630 \h</w:instrText>
        </w:r>
        <w:r>
          <w:fldChar w:fldCharType="end"/>
        </w:r>
      </w:hyperlink>
    </w:p>
    <w:p>
      <w:pPr>
        <w:tabs>
          <w:tab w:val="right" w:leader="dot" w:pos="9062"/>
        </w:tabs>
        <w:ind w:left="220"/>
      </w:pPr>
      <w:hyperlink w:anchor="_Toc3631" w:history="1">
        <w:r>
          <w:rPr>
            <w:rFonts w:ascii="IRNazanin" w:hAnsi="IRNazanin" w:eastAsia="IRNazanin" w:cs="IRNazanin"/>
            <w:color w:val="111111"/>
            <w:sz w:val="22"/>
            <w:szCs w:val="22"/>
            <w:b w:val="0"/>
            <w:bCs w:val="0"/>
            <w:i w:val="0"/>
            <w:iCs w:val="0"/>
          </w:rPr>
          <w:t>رضوي كاشاني ، عبد الحي بن عبدالرزاق</w:t>
        </w:r>
        <w:r>
          <w:tab/>
        </w:r>
        <w:r>
          <w:fldChar w:fldCharType="begin"/>
        </w:r>
        <w:r>
          <w:instrText xml:space="preserve">PAGEREF 3631 \h</w:instrText>
        </w:r>
        <w:r>
          <w:fldChar w:fldCharType="end"/>
        </w:r>
      </w:hyperlink>
    </w:p>
    <w:p>
      <w:pPr>
        <w:tabs>
          <w:tab w:val="right" w:leader="dot" w:pos="9062"/>
        </w:tabs>
        <w:ind w:left="220"/>
      </w:pPr>
      <w:hyperlink w:anchor="_Toc3632" w:history="1">
        <w:r>
          <w:rPr>
            <w:rFonts w:ascii="IRNazanin" w:hAnsi="IRNazanin" w:eastAsia="IRNazanin" w:cs="IRNazanin"/>
            <w:color w:val="111111"/>
            <w:sz w:val="22"/>
            <w:szCs w:val="22"/>
            <w:b w:val="0"/>
            <w:bCs w:val="0"/>
            <w:i w:val="0"/>
            <w:iCs w:val="0"/>
          </w:rPr>
          <w:t>رضوي ، كمال الدين بن محمّد علي</w:t>
        </w:r>
        <w:r>
          <w:tab/>
        </w:r>
        <w:r>
          <w:fldChar w:fldCharType="begin"/>
        </w:r>
        <w:r>
          <w:instrText xml:space="preserve">PAGEREF 3632 \h</w:instrText>
        </w:r>
        <w:r>
          <w:fldChar w:fldCharType="end"/>
        </w:r>
      </w:hyperlink>
    </w:p>
    <w:p>
      <w:pPr>
        <w:tabs>
          <w:tab w:val="right" w:leader="dot" w:pos="9062"/>
        </w:tabs>
        <w:ind w:left="220"/>
      </w:pPr>
      <w:hyperlink w:anchor="_Toc3633" w:history="1">
        <w:r>
          <w:rPr>
            <w:rFonts w:ascii="IRNazanin" w:hAnsi="IRNazanin" w:eastAsia="IRNazanin" w:cs="IRNazanin"/>
            <w:color w:val="111111"/>
            <w:sz w:val="22"/>
            <w:szCs w:val="22"/>
            <w:b w:val="0"/>
            <w:bCs w:val="0"/>
            <w:i w:val="0"/>
            <w:iCs w:val="0"/>
          </w:rPr>
          <w:t>رضوي ، محمّد بن معصوم - 1355 ه-</w:t>
        </w:r>
        <w:r>
          <w:tab/>
        </w:r>
        <w:r>
          <w:fldChar w:fldCharType="begin"/>
        </w:r>
        <w:r>
          <w:instrText xml:space="preserve">PAGEREF 3633 \h</w:instrText>
        </w:r>
        <w:r>
          <w:fldChar w:fldCharType="end"/>
        </w:r>
      </w:hyperlink>
    </w:p>
    <w:p>
      <w:pPr>
        <w:tabs>
          <w:tab w:val="right" w:leader="dot" w:pos="9062"/>
        </w:tabs>
        <w:ind w:left="220"/>
      </w:pPr>
      <w:hyperlink w:anchor="_Toc3634" w:history="1">
        <w:r>
          <w:rPr>
            <w:rFonts w:ascii="IRNazanin" w:hAnsi="IRNazanin" w:eastAsia="IRNazanin" w:cs="IRNazanin"/>
            <w:color w:val="111111"/>
            <w:sz w:val="22"/>
            <w:szCs w:val="22"/>
            <w:b w:val="0"/>
            <w:bCs w:val="0"/>
            <w:i w:val="0"/>
            <w:iCs w:val="0"/>
          </w:rPr>
          <w:t>رضوي مشهدي ، محمّد بديع مير</w:t>
        </w:r>
        <w:r>
          <w:tab/>
        </w:r>
        <w:r>
          <w:fldChar w:fldCharType="begin"/>
        </w:r>
        <w:r>
          <w:instrText xml:space="preserve">PAGEREF 3634 \h</w:instrText>
        </w:r>
        <w:r>
          <w:fldChar w:fldCharType="end"/>
        </w:r>
      </w:hyperlink>
    </w:p>
    <w:p>
      <w:pPr>
        <w:tabs>
          <w:tab w:val="right" w:leader="dot" w:pos="9062"/>
        </w:tabs>
        <w:ind w:left="220"/>
      </w:pPr>
      <w:hyperlink w:anchor="_Toc3635" w:history="1">
        <w:r>
          <w:rPr>
            <w:rFonts w:ascii="IRNazanin" w:hAnsi="IRNazanin" w:eastAsia="IRNazanin" w:cs="IRNazanin"/>
            <w:color w:val="111111"/>
            <w:sz w:val="22"/>
            <w:szCs w:val="22"/>
            <w:b w:val="0"/>
            <w:bCs w:val="0"/>
            <w:i w:val="0"/>
            <w:iCs w:val="0"/>
          </w:rPr>
          <w:t>رضوي نجفي ، حسين بن ميررشيد</w:t>
        </w:r>
        <w:r>
          <w:tab/>
        </w:r>
        <w:r>
          <w:fldChar w:fldCharType="begin"/>
        </w:r>
        <w:r>
          <w:instrText xml:space="preserve">PAGEREF 3635 \h</w:instrText>
        </w:r>
        <w:r>
          <w:fldChar w:fldCharType="end"/>
        </w:r>
      </w:hyperlink>
    </w:p>
    <w:p>
      <w:pPr>
        <w:tabs>
          <w:tab w:val="right" w:leader="dot" w:pos="9062"/>
        </w:tabs>
        <w:ind w:left="220"/>
      </w:pPr>
      <w:hyperlink w:anchor="_Toc3636" w:history="1">
        <w:r>
          <w:rPr>
            <w:rFonts w:ascii="IRNazanin" w:hAnsi="IRNazanin" w:eastAsia="IRNazanin" w:cs="IRNazanin"/>
            <w:color w:val="111111"/>
            <w:sz w:val="22"/>
            <w:szCs w:val="22"/>
            <w:b w:val="0"/>
            <w:bCs w:val="0"/>
            <w:i w:val="0"/>
            <w:iCs w:val="0"/>
          </w:rPr>
          <w:t>رضوي ، نعمت الله بن قريش قرن 10 ه-</w:t>
        </w:r>
        <w:r>
          <w:tab/>
        </w:r>
        <w:r>
          <w:fldChar w:fldCharType="begin"/>
        </w:r>
        <w:r>
          <w:instrText xml:space="preserve">PAGEREF 3636 \h</w:instrText>
        </w:r>
        <w:r>
          <w:fldChar w:fldCharType="end"/>
        </w:r>
      </w:hyperlink>
    </w:p>
    <w:p>
      <w:pPr>
        <w:tabs>
          <w:tab w:val="right" w:leader="dot" w:pos="9062"/>
        </w:tabs>
        <w:ind w:left="220"/>
      </w:pPr>
      <w:hyperlink w:anchor="_Toc3637" w:history="1">
        <w:r>
          <w:rPr>
            <w:rFonts w:ascii="IRNazanin" w:hAnsi="IRNazanin" w:eastAsia="IRNazanin" w:cs="IRNazanin"/>
            <w:color w:val="111111"/>
            <w:sz w:val="22"/>
            <w:szCs w:val="22"/>
            <w:b w:val="0"/>
            <w:bCs w:val="0"/>
            <w:i w:val="0"/>
            <w:iCs w:val="0"/>
          </w:rPr>
          <w:t>رضوي ، نورالله</w:t>
        </w:r>
        <w:r>
          <w:tab/>
        </w:r>
        <w:r>
          <w:fldChar w:fldCharType="begin"/>
        </w:r>
        <w:r>
          <w:instrText xml:space="preserve">PAGEREF 3637 \h</w:instrText>
        </w:r>
        <w:r>
          <w:fldChar w:fldCharType="end"/>
        </w:r>
      </w:hyperlink>
    </w:p>
    <w:p>
      <w:pPr>
        <w:tabs>
          <w:tab w:val="right" w:leader="dot" w:pos="9062"/>
        </w:tabs>
        <w:ind w:left="220"/>
      </w:pPr>
      <w:hyperlink w:anchor="_Toc3638" w:history="1">
        <w:r>
          <w:rPr>
            <w:rFonts w:ascii="IRNazanin" w:hAnsi="IRNazanin" w:eastAsia="IRNazanin" w:cs="IRNazanin"/>
            <w:color w:val="111111"/>
            <w:sz w:val="22"/>
            <w:szCs w:val="22"/>
            <w:b w:val="0"/>
            <w:bCs w:val="0"/>
            <w:i w:val="0"/>
            <w:iCs w:val="0"/>
          </w:rPr>
          <w:t>رضي الدين استرآبادي ، محمّد بن حسن</w:t>
        </w:r>
        <w:r>
          <w:tab/>
        </w:r>
        <w:r>
          <w:fldChar w:fldCharType="begin"/>
        </w:r>
        <w:r>
          <w:instrText xml:space="preserve">PAGEREF 3638 \h</w:instrText>
        </w:r>
        <w:r>
          <w:fldChar w:fldCharType="end"/>
        </w:r>
      </w:hyperlink>
    </w:p>
    <w:p>
      <w:pPr>
        <w:tabs>
          <w:tab w:val="right" w:leader="dot" w:pos="9062"/>
        </w:tabs>
        <w:ind w:left="220"/>
      </w:pPr>
      <w:hyperlink w:anchor="_Toc3639" w:history="1">
        <w:r>
          <w:rPr>
            <w:rFonts w:ascii="IRNazanin" w:hAnsi="IRNazanin" w:eastAsia="IRNazanin" w:cs="IRNazanin"/>
            <w:color w:val="111111"/>
            <w:sz w:val="22"/>
            <w:szCs w:val="22"/>
            <w:b w:val="0"/>
            <w:bCs w:val="0"/>
            <w:i w:val="0"/>
            <w:iCs w:val="0"/>
          </w:rPr>
          <w:t>رعيني ، احمد بن يوسف، 700 - 779 ه-</w:t>
        </w:r>
        <w:r>
          <w:tab/>
        </w:r>
        <w:r>
          <w:fldChar w:fldCharType="begin"/>
        </w:r>
        <w:r>
          <w:instrText xml:space="preserve">PAGEREF 3639 \h</w:instrText>
        </w:r>
        <w:r>
          <w:fldChar w:fldCharType="end"/>
        </w:r>
      </w:hyperlink>
    </w:p>
    <w:p>
      <w:pPr>
        <w:tabs>
          <w:tab w:val="right" w:leader="dot" w:pos="9062"/>
        </w:tabs>
        <w:ind w:left="220"/>
      </w:pPr>
      <w:hyperlink w:anchor="_Toc3640" w:history="1">
        <w:r>
          <w:rPr>
            <w:rFonts w:ascii="IRNazanin" w:hAnsi="IRNazanin" w:eastAsia="IRNazanin" w:cs="IRNazanin"/>
            <w:color w:val="111111"/>
            <w:sz w:val="22"/>
            <w:szCs w:val="22"/>
            <w:b w:val="0"/>
            <w:bCs w:val="0"/>
            <w:i w:val="0"/>
            <w:iCs w:val="0"/>
          </w:rPr>
          <w:t>رعيني ، شريح بن محمّد، 451 - 539 ه-</w:t>
        </w:r>
        <w:r>
          <w:tab/>
        </w:r>
        <w:r>
          <w:fldChar w:fldCharType="begin"/>
        </w:r>
        <w:r>
          <w:instrText xml:space="preserve">PAGEREF 3640 \h</w:instrText>
        </w:r>
        <w:r>
          <w:fldChar w:fldCharType="end"/>
        </w:r>
      </w:hyperlink>
    </w:p>
    <w:p>
      <w:pPr>
        <w:tabs>
          <w:tab w:val="right" w:leader="dot" w:pos="9062"/>
        </w:tabs>
        <w:ind w:left="220"/>
      </w:pPr>
      <w:hyperlink w:anchor="_Toc3641" w:history="1">
        <w:r>
          <w:rPr>
            <w:rFonts w:ascii="IRNazanin" w:hAnsi="IRNazanin" w:eastAsia="IRNazanin" w:cs="IRNazanin"/>
            <w:color w:val="111111"/>
            <w:sz w:val="22"/>
            <w:szCs w:val="22"/>
            <w:b w:val="0"/>
            <w:bCs w:val="0"/>
            <w:i w:val="0"/>
            <w:iCs w:val="0"/>
          </w:rPr>
          <w:t>رفاء كندي، سري بن احمد - 366 ؟ ه-</w:t>
        </w:r>
        <w:r>
          <w:tab/>
        </w:r>
        <w:r>
          <w:fldChar w:fldCharType="begin"/>
        </w:r>
        <w:r>
          <w:instrText xml:space="preserve">PAGEREF 3641 \h</w:instrText>
        </w:r>
        <w:r>
          <w:fldChar w:fldCharType="end"/>
        </w:r>
      </w:hyperlink>
    </w:p>
    <w:p>
      <w:pPr>
        <w:tabs>
          <w:tab w:val="right" w:leader="dot" w:pos="9062"/>
        </w:tabs>
        <w:ind w:left="220"/>
      </w:pPr>
      <w:hyperlink w:anchor="_Toc3642" w:history="1">
        <w:r>
          <w:rPr>
            <w:rFonts w:ascii="IRNazanin" w:hAnsi="IRNazanin" w:eastAsia="IRNazanin" w:cs="IRNazanin"/>
            <w:color w:val="111111"/>
            <w:sz w:val="22"/>
            <w:szCs w:val="22"/>
            <w:b w:val="0"/>
            <w:bCs w:val="0"/>
            <w:i w:val="0"/>
            <w:iCs w:val="0"/>
          </w:rPr>
          <w:t>رفاعي، ابراهيم بن بدرالدین، قرن 13</w:t>
        </w:r>
        <w:r>
          <w:tab/>
        </w:r>
        <w:r>
          <w:fldChar w:fldCharType="begin"/>
        </w:r>
        <w:r>
          <w:instrText xml:space="preserve">PAGEREF 3642 \h</w:instrText>
        </w:r>
        <w:r>
          <w:fldChar w:fldCharType="end"/>
        </w:r>
      </w:hyperlink>
    </w:p>
    <w:p>
      <w:pPr>
        <w:tabs>
          <w:tab w:val="right" w:leader="dot" w:pos="9062"/>
        </w:tabs>
        <w:ind w:left="220"/>
      </w:pPr>
      <w:hyperlink w:anchor="_Toc3643" w:history="1">
        <w:r>
          <w:rPr>
            <w:rFonts w:ascii="IRNazanin" w:hAnsi="IRNazanin" w:eastAsia="IRNazanin" w:cs="IRNazanin"/>
            <w:color w:val="111111"/>
            <w:sz w:val="22"/>
            <w:szCs w:val="22"/>
            <w:b w:val="0"/>
            <w:bCs w:val="0"/>
            <w:i w:val="0"/>
            <w:iCs w:val="0"/>
          </w:rPr>
          <w:t>رفاعي ، احمد، قرن 13 ه-</w:t>
        </w:r>
        <w:r>
          <w:tab/>
        </w:r>
        <w:r>
          <w:fldChar w:fldCharType="begin"/>
        </w:r>
        <w:r>
          <w:instrText xml:space="preserve">PAGEREF 3643 \h</w:instrText>
        </w:r>
        <w:r>
          <w:fldChar w:fldCharType="end"/>
        </w:r>
      </w:hyperlink>
    </w:p>
    <w:p>
      <w:pPr>
        <w:tabs>
          <w:tab w:val="right" w:leader="dot" w:pos="9062"/>
        </w:tabs>
        <w:ind w:left="220"/>
      </w:pPr>
      <w:hyperlink w:anchor="_Toc3644" w:history="1">
        <w:r>
          <w:rPr>
            <w:rFonts w:ascii="IRNazanin" w:hAnsi="IRNazanin" w:eastAsia="IRNazanin" w:cs="IRNazanin"/>
            <w:color w:val="111111"/>
            <w:sz w:val="22"/>
            <w:szCs w:val="22"/>
            <w:b w:val="0"/>
            <w:bCs w:val="0"/>
            <w:i w:val="0"/>
            <w:iCs w:val="0"/>
          </w:rPr>
          <w:t>رفاعي ، احمد بن علي، 4512 - 578 ه-</w:t>
        </w:r>
        <w:r>
          <w:tab/>
        </w:r>
        <w:r>
          <w:fldChar w:fldCharType="begin"/>
        </w:r>
        <w:r>
          <w:instrText xml:space="preserve">PAGEREF 3644 \h</w:instrText>
        </w:r>
        <w:r>
          <w:fldChar w:fldCharType="end"/>
        </w:r>
      </w:hyperlink>
    </w:p>
    <w:p>
      <w:pPr>
        <w:tabs>
          <w:tab w:val="right" w:leader="dot" w:pos="9062"/>
        </w:tabs>
        <w:ind w:left="220"/>
      </w:pPr>
      <w:hyperlink w:anchor="_Toc3645" w:history="1">
        <w:r>
          <w:rPr>
            <w:rFonts w:ascii="IRNazanin" w:hAnsi="IRNazanin" w:eastAsia="IRNazanin" w:cs="IRNazanin"/>
            <w:color w:val="111111"/>
            <w:sz w:val="22"/>
            <w:szCs w:val="22"/>
            <w:b w:val="0"/>
            <w:bCs w:val="0"/>
            <w:i w:val="0"/>
            <w:iCs w:val="0"/>
          </w:rPr>
          <w:t>رفاعي ، محمّد بن حسن - 1328</w:t>
        </w:r>
        <w:r>
          <w:tab/>
        </w:r>
        <w:r>
          <w:fldChar w:fldCharType="begin"/>
        </w:r>
        <w:r>
          <w:instrText xml:space="preserve">PAGEREF 3645 \h</w:instrText>
        </w:r>
        <w:r>
          <w:fldChar w:fldCharType="end"/>
        </w:r>
      </w:hyperlink>
    </w:p>
    <w:p>
      <w:pPr>
        <w:tabs>
          <w:tab w:val="right" w:leader="dot" w:pos="9062"/>
        </w:tabs>
        <w:ind w:left="220"/>
      </w:pPr>
      <w:hyperlink w:anchor="_Toc3646" w:history="1">
        <w:r>
          <w:rPr>
            <w:rFonts w:ascii="IRNazanin" w:hAnsi="IRNazanin" w:eastAsia="IRNazanin" w:cs="IRNazanin"/>
            <w:color w:val="111111"/>
            <w:sz w:val="22"/>
            <w:szCs w:val="22"/>
            <w:b w:val="0"/>
            <w:bCs w:val="0"/>
            <w:i w:val="0"/>
            <w:iCs w:val="0"/>
          </w:rPr>
          <w:t>رفاعي ، محمّد بن علي قرن 10 ه-</w:t>
        </w:r>
        <w:r>
          <w:tab/>
        </w:r>
        <w:r>
          <w:fldChar w:fldCharType="begin"/>
        </w:r>
        <w:r>
          <w:instrText xml:space="preserve">PAGEREF 3646 \h</w:instrText>
        </w:r>
        <w:r>
          <w:fldChar w:fldCharType="end"/>
        </w:r>
      </w:hyperlink>
    </w:p>
    <w:p>
      <w:pPr>
        <w:tabs>
          <w:tab w:val="right" w:leader="dot" w:pos="9062"/>
        </w:tabs>
        <w:ind w:left="220"/>
      </w:pPr>
      <w:hyperlink w:anchor="_Toc3647" w:history="1">
        <w:r>
          <w:rPr>
            <w:rFonts w:ascii="IRNazanin" w:hAnsi="IRNazanin" w:eastAsia="IRNazanin" w:cs="IRNazanin"/>
            <w:color w:val="111111"/>
            <w:sz w:val="22"/>
            <w:szCs w:val="22"/>
            <w:b w:val="0"/>
            <w:bCs w:val="0"/>
            <w:i w:val="0"/>
            <w:iCs w:val="0"/>
          </w:rPr>
          <w:t>رفعت شکور صالحي ، هاشم، قرن 14 ه-</w:t>
        </w:r>
        <w:r>
          <w:tab/>
        </w:r>
        <w:r>
          <w:fldChar w:fldCharType="begin"/>
        </w:r>
        <w:r>
          <w:instrText xml:space="preserve">PAGEREF 3647 \h</w:instrText>
        </w:r>
        <w:r>
          <w:fldChar w:fldCharType="end"/>
        </w:r>
      </w:hyperlink>
    </w:p>
    <w:p>
      <w:pPr>
        <w:tabs>
          <w:tab w:val="right" w:leader="dot" w:pos="9062"/>
        </w:tabs>
        <w:ind w:left="220"/>
      </w:pPr>
      <w:hyperlink w:anchor="_Toc3648" w:history="1">
        <w:r>
          <w:rPr>
            <w:rFonts w:ascii="IRNazanin" w:hAnsi="IRNazanin" w:eastAsia="IRNazanin" w:cs="IRNazanin"/>
            <w:color w:val="111111"/>
            <w:sz w:val="22"/>
            <w:szCs w:val="22"/>
            <w:b w:val="0"/>
            <w:bCs w:val="0"/>
            <w:i w:val="0"/>
            <w:iCs w:val="0"/>
          </w:rPr>
          <w:t>رفيعا ، محمّد بن حيدر، 997 - 1080؟</w:t>
        </w:r>
        <w:r>
          <w:tab/>
        </w:r>
        <w:r>
          <w:fldChar w:fldCharType="begin"/>
        </w:r>
        <w:r>
          <w:instrText xml:space="preserve">PAGEREF 3648 \h</w:instrText>
        </w:r>
        <w:r>
          <w:fldChar w:fldCharType="end"/>
        </w:r>
      </w:hyperlink>
    </w:p>
    <w:p>
      <w:pPr>
        <w:tabs>
          <w:tab w:val="right" w:leader="dot" w:pos="9062"/>
        </w:tabs>
        <w:ind w:left="220"/>
      </w:pPr>
      <w:hyperlink w:anchor="_Toc3649" w:history="1">
        <w:r>
          <w:rPr>
            <w:rFonts w:ascii="IRNazanin" w:hAnsi="IRNazanin" w:eastAsia="IRNazanin" w:cs="IRNazanin"/>
            <w:color w:val="111111"/>
            <w:sz w:val="22"/>
            <w:szCs w:val="22"/>
            <w:b w:val="0"/>
            <w:bCs w:val="0"/>
            <w:i w:val="0"/>
            <w:iCs w:val="0"/>
          </w:rPr>
          <w:t>رفيق اصفهاني ، محمّد حسين 1150؟ -</w:t>
        </w:r>
        <w:r>
          <w:tab/>
        </w:r>
        <w:r>
          <w:fldChar w:fldCharType="begin"/>
        </w:r>
        <w:r>
          <w:instrText xml:space="preserve">PAGEREF 3649 \h</w:instrText>
        </w:r>
        <w:r>
          <w:fldChar w:fldCharType="end"/>
        </w:r>
      </w:hyperlink>
    </w:p>
    <w:p>
      <w:pPr>
        <w:tabs>
          <w:tab w:val="right" w:leader="dot" w:pos="9062"/>
        </w:tabs>
        <w:ind w:left="220"/>
      </w:pPr>
      <w:hyperlink w:anchor="_Toc3650" w:history="1">
        <w:r>
          <w:rPr>
            <w:rFonts w:ascii="IRNazanin" w:hAnsi="IRNazanin" w:eastAsia="IRNazanin" w:cs="IRNazanin"/>
            <w:color w:val="111111"/>
            <w:sz w:val="22"/>
            <w:szCs w:val="22"/>
            <w:b w:val="0"/>
            <w:bCs w:val="0"/>
            <w:i w:val="0"/>
            <w:iCs w:val="0"/>
          </w:rPr>
          <w:t>رقا ، محمّد بن علي</w:t>
        </w:r>
        <w:r>
          <w:tab/>
        </w:r>
        <w:r>
          <w:fldChar w:fldCharType="begin"/>
        </w:r>
        <w:r>
          <w:instrText xml:space="preserve">PAGEREF 3650 \h</w:instrText>
        </w:r>
        <w:r>
          <w:fldChar w:fldCharType="end"/>
        </w:r>
      </w:hyperlink>
    </w:p>
    <w:p>
      <w:pPr>
        <w:tabs>
          <w:tab w:val="right" w:leader="dot" w:pos="9062"/>
        </w:tabs>
        <w:ind w:left="220"/>
      </w:pPr>
      <w:hyperlink w:anchor="_Toc3651" w:history="1">
        <w:r>
          <w:rPr>
            <w:rFonts w:ascii="IRNazanin" w:hAnsi="IRNazanin" w:eastAsia="IRNazanin" w:cs="IRNazanin"/>
            <w:color w:val="111111"/>
            <w:sz w:val="22"/>
            <w:szCs w:val="22"/>
            <w:b w:val="0"/>
            <w:bCs w:val="0"/>
            <w:i w:val="0"/>
            <w:iCs w:val="0"/>
          </w:rPr>
          <w:t>رقي ، ابراهيم بن احمد، 647 - 703 ه-</w:t>
        </w:r>
        <w:r>
          <w:tab/>
        </w:r>
        <w:r>
          <w:fldChar w:fldCharType="begin"/>
        </w:r>
        <w:r>
          <w:instrText xml:space="preserve">PAGEREF 3651 \h</w:instrText>
        </w:r>
        <w:r>
          <w:fldChar w:fldCharType="end"/>
        </w:r>
      </w:hyperlink>
    </w:p>
    <w:p>
      <w:pPr>
        <w:tabs>
          <w:tab w:val="right" w:leader="dot" w:pos="9062"/>
        </w:tabs>
        <w:ind w:left="220"/>
      </w:pPr>
      <w:hyperlink w:anchor="_Toc3652" w:history="1">
        <w:r>
          <w:rPr>
            <w:rFonts w:ascii="IRNazanin" w:hAnsi="IRNazanin" w:eastAsia="IRNazanin" w:cs="IRNazanin"/>
            <w:color w:val="111111"/>
            <w:sz w:val="22"/>
            <w:szCs w:val="22"/>
            <w:b w:val="0"/>
            <w:bCs w:val="0"/>
            <w:i w:val="0"/>
            <w:iCs w:val="0"/>
          </w:rPr>
          <w:t>رکن الدین احمد</w:t>
        </w:r>
        <w:r>
          <w:tab/>
        </w:r>
        <w:r>
          <w:fldChar w:fldCharType="begin"/>
        </w:r>
        <w:r>
          <w:instrText xml:space="preserve">PAGEREF 3652 \h</w:instrText>
        </w:r>
        <w:r>
          <w:fldChar w:fldCharType="end"/>
        </w:r>
      </w:hyperlink>
    </w:p>
    <w:p>
      <w:pPr>
        <w:tabs>
          <w:tab w:val="right" w:leader="dot" w:pos="9062"/>
        </w:tabs>
        <w:ind w:left="220"/>
      </w:pPr>
      <w:hyperlink w:anchor="_Toc3653" w:history="1">
        <w:r>
          <w:rPr>
            <w:rFonts w:ascii="IRNazanin" w:hAnsi="IRNazanin" w:eastAsia="IRNazanin" w:cs="IRNazanin"/>
            <w:color w:val="111111"/>
            <w:sz w:val="22"/>
            <w:szCs w:val="22"/>
            <w:b w:val="0"/>
            <w:bCs w:val="0"/>
            <w:i w:val="0"/>
            <w:iCs w:val="0"/>
          </w:rPr>
          <w:t>ركن الدين جرجاني ، محمّد بن علي قرن 8ه-</w:t>
        </w:r>
        <w:r>
          <w:tab/>
        </w:r>
        <w:r>
          <w:fldChar w:fldCharType="begin"/>
        </w:r>
        <w:r>
          <w:instrText xml:space="preserve">PAGEREF 3653 \h</w:instrText>
        </w:r>
        <w:r>
          <w:fldChar w:fldCharType="end"/>
        </w:r>
      </w:hyperlink>
    </w:p>
    <w:p>
      <w:pPr>
        <w:tabs>
          <w:tab w:val="right" w:leader="dot" w:pos="9062"/>
        </w:tabs>
        <w:ind w:left="220"/>
      </w:pPr>
      <w:hyperlink w:anchor="_Toc3654" w:history="1">
        <w:r>
          <w:rPr>
            <w:rFonts w:ascii="IRNazanin" w:hAnsi="IRNazanin" w:eastAsia="IRNazanin" w:cs="IRNazanin"/>
            <w:color w:val="111111"/>
            <w:sz w:val="22"/>
            <w:szCs w:val="22"/>
            <w:b w:val="0"/>
            <w:bCs w:val="0"/>
            <w:i w:val="0"/>
            <w:iCs w:val="0"/>
          </w:rPr>
          <w:t>ركن الدين حسيني ، حسن</w:t>
        </w:r>
        <w:r>
          <w:tab/>
        </w:r>
        <w:r>
          <w:fldChar w:fldCharType="begin"/>
        </w:r>
        <w:r>
          <w:instrText xml:space="preserve">PAGEREF 3654 \h</w:instrText>
        </w:r>
        <w:r>
          <w:fldChar w:fldCharType="end"/>
        </w:r>
      </w:hyperlink>
    </w:p>
    <w:p>
      <w:pPr>
        <w:tabs>
          <w:tab w:val="right" w:leader="dot" w:pos="9062"/>
        </w:tabs>
        <w:ind w:left="220"/>
      </w:pPr>
      <w:hyperlink w:anchor="_Toc3655" w:history="1">
        <w:r>
          <w:rPr>
            <w:rFonts w:ascii="IRNazanin" w:hAnsi="IRNazanin" w:eastAsia="IRNazanin" w:cs="IRNazanin"/>
            <w:color w:val="111111"/>
            <w:sz w:val="22"/>
            <w:szCs w:val="22"/>
            <w:b w:val="0"/>
            <w:bCs w:val="0"/>
            <w:i w:val="0"/>
            <w:iCs w:val="0"/>
          </w:rPr>
          <w:t>ركن الدين شيرازي ، مسعود بن عبدالله</w:t>
        </w:r>
        <w:r>
          <w:tab/>
        </w:r>
        <w:r>
          <w:fldChar w:fldCharType="begin"/>
        </w:r>
        <w:r>
          <w:instrText xml:space="preserve">PAGEREF 3655 \h</w:instrText>
        </w:r>
        <w:r>
          <w:fldChar w:fldCharType="end"/>
        </w:r>
      </w:hyperlink>
    </w:p>
    <w:p>
      <w:pPr>
        <w:tabs>
          <w:tab w:val="right" w:leader="dot" w:pos="9062"/>
        </w:tabs>
        <w:ind w:left="220"/>
      </w:pPr>
      <w:hyperlink w:anchor="_Toc3656" w:history="1">
        <w:r>
          <w:rPr>
            <w:rFonts w:ascii="IRNazanin" w:hAnsi="IRNazanin" w:eastAsia="IRNazanin" w:cs="IRNazanin"/>
            <w:color w:val="111111"/>
            <w:sz w:val="22"/>
            <w:szCs w:val="22"/>
            <w:b w:val="0"/>
            <w:bCs w:val="0"/>
            <w:i w:val="0"/>
            <w:iCs w:val="0"/>
          </w:rPr>
          <w:t>رمال اصفهاني، زين العابدين بن قاسم</w:t>
        </w:r>
        <w:r>
          <w:tab/>
        </w:r>
        <w:r>
          <w:fldChar w:fldCharType="begin"/>
        </w:r>
        <w:r>
          <w:instrText xml:space="preserve">PAGEREF 3656 \h</w:instrText>
        </w:r>
        <w:r>
          <w:fldChar w:fldCharType="end"/>
        </w:r>
      </w:hyperlink>
    </w:p>
    <w:p>
      <w:pPr>
        <w:tabs>
          <w:tab w:val="right" w:leader="dot" w:pos="9062"/>
        </w:tabs>
        <w:ind w:left="220"/>
      </w:pPr>
      <w:hyperlink w:anchor="_Toc3657" w:history="1">
        <w:r>
          <w:rPr>
            <w:rFonts w:ascii="IRNazanin" w:hAnsi="IRNazanin" w:eastAsia="IRNazanin" w:cs="IRNazanin"/>
            <w:color w:val="111111"/>
            <w:sz w:val="22"/>
            <w:szCs w:val="22"/>
            <w:b w:val="0"/>
            <w:bCs w:val="0"/>
            <w:i w:val="0"/>
            <w:iCs w:val="0"/>
          </w:rPr>
          <w:t>رماني ، علي بن عيسى، 296 - 384 ه-</w:t>
        </w:r>
        <w:r>
          <w:tab/>
        </w:r>
        <w:r>
          <w:fldChar w:fldCharType="begin"/>
        </w:r>
        <w:r>
          <w:instrText xml:space="preserve">PAGEREF 3657 \h</w:instrText>
        </w:r>
        <w:r>
          <w:fldChar w:fldCharType="end"/>
        </w:r>
      </w:hyperlink>
    </w:p>
    <w:p>
      <w:pPr>
        <w:tabs>
          <w:tab w:val="right" w:leader="dot" w:pos="9062"/>
        </w:tabs>
        <w:ind w:left="220"/>
      </w:pPr>
      <w:hyperlink w:anchor="_Toc3658" w:history="1">
        <w:r>
          <w:rPr>
            <w:rFonts w:ascii="IRNazanin" w:hAnsi="IRNazanin" w:eastAsia="IRNazanin" w:cs="IRNazanin"/>
            <w:color w:val="111111"/>
            <w:sz w:val="22"/>
            <w:szCs w:val="22"/>
            <w:b w:val="0"/>
            <w:bCs w:val="0"/>
            <w:i w:val="0"/>
            <w:iCs w:val="0"/>
          </w:rPr>
          <w:t>رمزي زاده، محمّد قرن 11 ه-</w:t>
        </w:r>
        <w:r>
          <w:tab/>
        </w:r>
        <w:r>
          <w:fldChar w:fldCharType="begin"/>
        </w:r>
        <w:r>
          <w:instrText xml:space="preserve">PAGEREF 3658 \h</w:instrText>
        </w:r>
        <w:r>
          <w:fldChar w:fldCharType="end"/>
        </w:r>
      </w:hyperlink>
    </w:p>
    <w:p>
      <w:pPr>
        <w:tabs>
          <w:tab w:val="right" w:leader="dot" w:pos="9062"/>
        </w:tabs>
        <w:ind w:left="220"/>
      </w:pPr>
      <w:hyperlink w:anchor="_Toc3659" w:history="1">
        <w:r>
          <w:rPr>
            <w:rFonts w:ascii="IRNazanin" w:hAnsi="IRNazanin" w:eastAsia="IRNazanin" w:cs="IRNazanin"/>
            <w:color w:val="111111"/>
            <w:sz w:val="22"/>
            <w:szCs w:val="22"/>
            <w:b w:val="0"/>
            <w:bCs w:val="0"/>
            <w:i w:val="0"/>
            <w:iCs w:val="0"/>
          </w:rPr>
          <w:t>رمزي، مصطفى بن حسن - 1100 ه-</w:t>
        </w:r>
        <w:r>
          <w:tab/>
        </w:r>
        <w:r>
          <w:fldChar w:fldCharType="begin"/>
        </w:r>
        <w:r>
          <w:instrText xml:space="preserve">PAGEREF 3659 \h</w:instrText>
        </w:r>
        <w:r>
          <w:fldChar w:fldCharType="end"/>
        </w:r>
      </w:hyperlink>
    </w:p>
    <w:p>
      <w:pPr>
        <w:tabs>
          <w:tab w:val="right" w:leader="dot" w:pos="9062"/>
        </w:tabs>
        <w:ind w:left="220"/>
      </w:pPr>
      <w:hyperlink w:anchor="_Toc3660" w:history="1">
        <w:r>
          <w:rPr>
            <w:rFonts w:ascii="IRNazanin" w:hAnsi="IRNazanin" w:eastAsia="IRNazanin" w:cs="IRNazanin"/>
            <w:color w:val="111111"/>
            <w:sz w:val="22"/>
            <w:szCs w:val="22"/>
            <w:b w:val="0"/>
            <w:bCs w:val="0"/>
            <w:i w:val="0"/>
            <w:iCs w:val="0"/>
          </w:rPr>
          <w:t>رمضان زاده، محمّد بن احمد - 1031</w:t>
        </w:r>
        <w:r>
          <w:tab/>
        </w:r>
        <w:r>
          <w:fldChar w:fldCharType="begin"/>
        </w:r>
        <w:r>
          <w:instrText xml:space="preserve">PAGEREF 3660 \h</w:instrText>
        </w:r>
        <w:r>
          <w:fldChar w:fldCharType="end"/>
        </w:r>
      </w:hyperlink>
    </w:p>
    <w:p>
      <w:pPr>
        <w:tabs>
          <w:tab w:val="right" w:leader="dot" w:pos="9062"/>
        </w:tabs>
        <w:ind w:left="220"/>
      </w:pPr>
      <w:hyperlink w:anchor="_Toc3661" w:history="1">
        <w:r>
          <w:rPr>
            <w:rFonts w:ascii="IRNazanin" w:hAnsi="IRNazanin" w:eastAsia="IRNazanin" w:cs="IRNazanin"/>
            <w:color w:val="111111"/>
            <w:sz w:val="22"/>
            <w:szCs w:val="22"/>
            <w:b w:val="0"/>
            <w:bCs w:val="0"/>
            <w:i w:val="0"/>
            <w:iCs w:val="0"/>
          </w:rPr>
          <w:t>رمضاني ، ملايوسف - 1243 ه-</w:t>
        </w:r>
        <w:r>
          <w:tab/>
        </w:r>
        <w:r>
          <w:fldChar w:fldCharType="begin"/>
        </w:r>
        <w:r>
          <w:instrText xml:space="preserve">PAGEREF 3661 \h</w:instrText>
        </w:r>
        <w:r>
          <w:fldChar w:fldCharType="end"/>
        </w:r>
      </w:hyperlink>
    </w:p>
    <w:p>
      <w:pPr>
        <w:tabs>
          <w:tab w:val="right" w:leader="dot" w:pos="9062"/>
        </w:tabs>
        <w:ind w:left="220"/>
      </w:pPr>
      <w:hyperlink w:anchor="_Toc3662" w:history="1">
        <w:r>
          <w:rPr>
            <w:rFonts w:ascii="IRNazanin" w:hAnsi="IRNazanin" w:eastAsia="IRNazanin" w:cs="IRNazanin"/>
            <w:color w:val="111111"/>
            <w:sz w:val="22"/>
            <w:szCs w:val="22"/>
            <w:b w:val="0"/>
            <w:bCs w:val="0"/>
            <w:i w:val="0"/>
            <w:iCs w:val="0"/>
          </w:rPr>
          <w:t>رملي، احمد بن احمد - 971 ه-</w:t>
        </w:r>
        <w:r>
          <w:tab/>
        </w:r>
        <w:r>
          <w:fldChar w:fldCharType="begin"/>
        </w:r>
        <w:r>
          <w:instrText xml:space="preserve">PAGEREF 3662 \h</w:instrText>
        </w:r>
        <w:r>
          <w:fldChar w:fldCharType="end"/>
        </w:r>
      </w:hyperlink>
    </w:p>
    <w:p>
      <w:pPr>
        <w:tabs>
          <w:tab w:val="right" w:leader="dot" w:pos="9062"/>
        </w:tabs>
        <w:ind w:left="220"/>
      </w:pPr>
      <w:hyperlink w:anchor="_Toc3663" w:history="1">
        <w:r>
          <w:rPr>
            <w:rFonts w:ascii="IRNazanin" w:hAnsi="IRNazanin" w:eastAsia="IRNazanin" w:cs="IRNazanin"/>
            <w:color w:val="111111"/>
            <w:sz w:val="22"/>
            <w:szCs w:val="22"/>
            <w:b w:val="0"/>
            <w:bCs w:val="0"/>
            <w:i w:val="0"/>
            <w:iCs w:val="0"/>
          </w:rPr>
          <w:t>رملي ، احمد بن حسين، 773؟ - 844 ه-</w:t>
        </w:r>
        <w:r>
          <w:tab/>
        </w:r>
        <w:r>
          <w:fldChar w:fldCharType="begin"/>
        </w:r>
        <w:r>
          <w:instrText xml:space="preserve">PAGEREF 3663 \h</w:instrText>
        </w:r>
        <w:r>
          <w:fldChar w:fldCharType="end"/>
        </w:r>
      </w:hyperlink>
    </w:p>
    <w:p>
      <w:pPr>
        <w:tabs>
          <w:tab w:val="right" w:leader="dot" w:pos="9062"/>
        </w:tabs>
        <w:ind w:left="220"/>
      </w:pPr>
      <w:hyperlink w:anchor="_Toc3664" w:history="1">
        <w:r>
          <w:rPr>
            <w:rFonts w:ascii="IRNazanin" w:hAnsi="IRNazanin" w:eastAsia="IRNazanin" w:cs="IRNazanin"/>
            <w:color w:val="111111"/>
            <w:sz w:val="22"/>
            <w:szCs w:val="22"/>
            <w:b w:val="0"/>
            <w:bCs w:val="0"/>
            <w:i w:val="0"/>
            <w:iCs w:val="0"/>
          </w:rPr>
          <w:t>رملي، خيرالدين بن احمد، 993 - 1081</w:t>
        </w:r>
        <w:r>
          <w:tab/>
        </w:r>
        <w:r>
          <w:fldChar w:fldCharType="begin"/>
        </w:r>
        <w:r>
          <w:instrText xml:space="preserve">PAGEREF 3664 \h</w:instrText>
        </w:r>
        <w:r>
          <w:fldChar w:fldCharType="end"/>
        </w:r>
      </w:hyperlink>
    </w:p>
    <w:p>
      <w:pPr>
        <w:tabs>
          <w:tab w:val="right" w:leader="dot" w:pos="9062"/>
        </w:tabs>
        <w:ind w:left="220"/>
      </w:pPr>
      <w:hyperlink w:anchor="_Toc3665" w:history="1">
        <w:r>
          <w:rPr>
            <w:rFonts w:ascii="IRNazanin" w:hAnsi="IRNazanin" w:eastAsia="IRNazanin" w:cs="IRNazanin"/>
            <w:color w:val="111111"/>
            <w:sz w:val="22"/>
            <w:szCs w:val="22"/>
            <w:b w:val="0"/>
            <w:bCs w:val="0"/>
            <w:i w:val="0"/>
            <w:iCs w:val="0"/>
          </w:rPr>
          <w:t>رملي ، محمود</w:t>
        </w:r>
        <w:r>
          <w:tab/>
        </w:r>
        <w:r>
          <w:fldChar w:fldCharType="begin"/>
        </w:r>
        <w:r>
          <w:instrText xml:space="preserve">PAGEREF 3665 \h</w:instrText>
        </w:r>
        <w:r>
          <w:fldChar w:fldCharType="end"/>
        </w:r>
      </w:hyperlink>
    </w:p>
    <w:p>
      <w:pPr>
        <w:tabs>
          <w:tab w:val="right" w:leader="dot" w:pos="9062"/>
        </w:tabs>
        <w:ind w:left="220"/>
      </w:pPr>
      <w:hyperlink w:anchor="_Toc3666" w:history="1">
        <w:r>
          <w:rPr>
            <w:rFonts w:ascii="IRNazanin" w:hAnsi="IRNazanin" w:eastAsia="IRNazanin" w:cs="IRNazanin"/>
            <w:color w:val="111111"/>
            <w:sz w:val="22"/>
            <w:szCs w:val="22"/>
            <w:b w:val="0"/>
            <w:bCs w:val="0"/>
            <w:i w:val="0"/>
            <w:iCs w:val="0"/>
          </w:rPr>
          <w:t>رملي ، نجم الدين محمّد بن خیرالدین</w:t>
        </w:r>
        <w:r>
          <w:tab/>
        </w:r>
        <w:r>
          <w:fldChar w:fldCharType="begin"/>
        </w:r>
        <w:r>
          <w:instrText xml:space="preserve">PAGEREF 3666 \h</w:instrText>
        </w:r>
        <w:r>
          <w:fldChar w:fldCharType="end"/>
        </w:r>
      </w:hyperlink>
    </w:p>
    <w:p>
      <w:pPr>
        <w:tabs>
          <w:tab w:val="right" w:leader="dot" w:pos="9062"/>
        </w:tabs>
        <w:ind w:left="220"/>
      </w:pPr>
      <w:hyperlink w:anchor="_Toc3667" w:history="1">
        <w:r>
          <w:rPr>
            <w:rFonts w:ascii="IRNazanin" w:hAnsi="IRNazanin" w:eastAsia="IRNazanin" w:cs="IRNazanin"/>
            <w:color w:val="111111"/>
            <w:sz w:val="22"/>
            <w:szCs w:val="22"/>
            <w:b w:val="0"/>
            <w:bCs w:val="0"/>
            <w:i w:val="0"/>
            <w:iCs w:val="0"/>
          </w:rPr>
          <w:t>رميثي ، محمّد بن محمّد - 895 ه-</w:t>
        </w:r>
        <w:r>
          <w:tab/>
        </w:r>
        <w:r>
          <w:fldChar w:fldCharType="begin"/>
        </w:r>
        <w:r>
          <w:instrText xml:space="preserve">PAGEREF 3667 \h</w:instrText>
        </w:r>
        <w:r>
          <w:fldChar w:fldCharType="end"/>
        </w:r>
      </w:hyperlink>
    </w:p>
    <w:p>
      <w:pPr>
        <w:tabs>
          <w:tab w:val="right" w:leader="dot" w:pos="9062"/>
        </w:tabs>
        <w:ind w:left="220"/>
      </w:pPr>
      <w:hyperlink w:anchor="_Toc3668" w:history="1">
        <w:r>
          <w:rPr>
            <w:rFonts w:ascii="IRNazanin" w:hAnsi="IRNazanin" w:eastAsia="IRNazanin" w:cs="IRNazanin"/>
            <w:color w:val="111111"/>
            <w:sz w:val="22"/>
            <w:szCs w:val="22"/>
            <w:b w:val="0"/>
            <w:bCs w:val="0"/>
            <w:i w:val="0"/>
            <w:iCs w:val="0"/>
          </w:rPr>
          <w:t>رنجوري ، دانش بن ،خالد قرن 13 ه-</w:t>
        </w:r>
        <w:r>
          <w:tab/>
        </w:r>
        <w:r>
          <w:fldChar w:fldCharType="begin"/>
        </w:r>
        <w:r>
          <w:instrText xml:space="preserve">PAGEREF 3668 \h</w:instrText>
        </w:r>
        <w:r>
          <w:fldChar w:fldCharType="end"/>
        </w:r>
      </w:hyperlink>
    </w:p>
    <w:p>
      <w:pPr>
        <w:tabs>
          <w:tab w:val="right" w:leader="dot" w:pos="9062"/>
        </w:tabs>
        <w:ind w:left="220"/>
      </w:pPr>
      <w:hyperlink w:anchor="_Toc3669" w:history="1">
        <w:r>
          <w:rPr>
            <w:rFonts w:ascii="IRNazanin" w:hAnsi="IRNazanin" w:eastAsia="IRNazanin" w:cs="IRNazanin"/>
            <w:color w:val="111111"/>
            <w:sz w:val="22"/>
            <w:szCs w:val="22"/>
            <w:b w:val="0"/>
            <w:bCs w:val="0"/>
            <w:i w:val="0"/>
            <w:iCs w:val="0"/>
          </w:rPr>
          <w:t>رندي ، صالح بن علي، 601 - 684 ه-</w:t>
        </w:r>
        <w:r>
          <w:tab/>
        </w:r>
        <w:r>
          <w:fldChar w:fldCharType="begin"/>
        </w:r>
        <w:r>
          <w:instrText xml:space="preserve">PAGEREF 3669 \h</w:instrText>
        </w:r>
        <w:r>
          <w:fldChar w:fldCharType="end"/>
        </w:r>
      </w:hyperlink>
    </w:p>
    <w:p>
      <w:pPr>
        <w:tabs>
          <w:tab w:val="right" w:leader="dot" w:pos="9062"/>
        </w:tabs>
        <w:ind w:left="220"/>
      </w:pPr>
      <w:hyperlink w:anchor="_Toc3670" w:history="1">
        <w:r>
          <w:rPr>
            <w:rFonts w:ascii="IRNazanin" w:hAnsi="IRNazanin" w:eastAsia="IRNazanin" w:cs="IRNazanin"/>
            <w:color w:val="111111"/>
            <w:sz w:val="22"/>
            <w:szCs w:val="22"/>
            <w:b w:val="0"/>
            <w:bCs w:val="0"/>
            <w:i w:val="0"/>
            <w:iCs w:val="0"/>
          </w:rPr>
          <w:t>رندي، عمر بن عبد المجيد، 543 - 616 ه-</w:t>
        </w:r>
        <w:r>
          <w:tab/>
        </w:r>
        <w:r>
          <w:fldChar w:fldCharType="begin"/>
        </w:r>
        <w:r>
          <w:instrText xml:space="preserve">PAGEREF 3670 \h</w:instrText>
        </w:r>
        <w:r>
          <w:fldChar w:fldCharType="end"/>
        </w:r>
      </w:hyperlink>
    </w:p>
    <w:p>
      <w:pPr>
        <w:tabs>
          <w:tab w:val="right" w:leader="dot" w:pos="9062"/>
        </w:tabs>
        <w:ind w:left="220"/>
      </w:pPr>
      <w:hyperlink w:anchor="_Toc3671" w:history="1">
        <w:r>
          <w:rPr>
            <w:rFonts w:ascii="IRNazanin" w:hAnsi="IRNazanin" w:eastAsia="IRNazanin" w:cs="IRNazanin"/>
            <w:color w:val="111111"/>
            <w:sz w:val="22"/>
            <w:szCs w:val="22"/>
            <w:b w:val="0"/>
            <w:bCs w:val="0"/>
            <w:i w:val="0"/>
            <w:iCs w:val="0"/>
          </w:rPr>
          <w:t>رهاوي ، عبد القادر بن عبدالله 536 -</w:t>
        </w:r>
        <w:r>
          <w:tab/>
        </w:r>
        <w:r>
          <w:fldChar w:fldCharType="begin"/>
        </w:r>
        <w:r>
          <w:instrText xml:space="preserve">PAGEREF 3671 \h</w:instrText>
        </w:r>
        <w:r>
          <w:fldChar w:fldCharType="end"/>
        </w:r>
      </w:hyperlink>
    </w:p>
    <w:p>
      <w:pPr>
        <w:tabs>
          <w:tab w:val="right" w:leader="dot" w:pos="9062"/>
        </w:tabs>
        <w:ind w:left="220"/>
      </w:pPr>
      <w:hyperlink w:anchor="_Toc3672" w:history="1">
        <w:r>
          <w:rPr>
            <w:rFonts w:ascii="IRNazanin" w:hAnsi="IRNazanin" w:eastAsia="IRNazanin" w:cs="IRNazanin"/>
            <w:color w:val="111111"/>
            <w:sz w:val="22"/>
            <w:szCs w:val="22"/>
            <w:b w:val="0"/>
            <w:bCs w:val="0"/>
            <w:i w:val="0"/>
            <w:iCs w:val="0"/>
          </w:rPr>
          <w:t>رهاوي ، محمّد بن سليمان</w:t>
        </w:r>
        <w:r>
          <w:tab/>
        </w:r>
        <w:r>
          <w:fldChar w:fldCharType="begin"/>
        </w:r>
        <w:r>
          <w:instrText xml:space="preserve">PAGEREF 3672 \h</w:instrText>
        </w:r>
        <w:r>
          <w:fldChar w:fldCharType="end"/>
        </w:r>
      </w:hyperlink>
    </w:p>
    <w:p>
      <w:pPr>
        <w:tabs>
          <w:tab w:val="right" w:leader="dot" w:pos="9062"/>
        </w:tabs>
        <w:ind w:left="220"/>
      </w:pPr>
      <w:hyperlink w:anchor="_Toc3673" w:history="1">
        <w:r>
          <w:rPr>
            <w:rFonts w:ascii="IRNazanin" w:hAnsi="IRNazanin" w:eastAsia="IRNazanin" w:cs="IRNazanin"/>
            <w:color w:val="111111"/>
            <w:sz w:val="22"/>
            <w:szCs w:val="22"/>
            <w:b w:val="0"/>
            <w:bCs w:val="0"/>
            <w:i w:val="0"/>
            <w:iCs w:val="0"/>
          </w:rPr>
          <w:t>رواس ، محمّد مهدي بن علي، 1220 - 1287 ه-</w:t>
        </w:r>
        <w:r>
          <w:tab/>
        </w:r>
        <w:r>
          <w:fldChar w:fldCharType="begin"/>
        </w:r>
        <w:r>
          <w:instrText xml:space="preserve">PAGEREF 3673 \h</w:instrText>
        </w:r>
        <w:r>
          <w:fldChar w:fldCharType="end"/>
        </w:r>
      </w:hyperlink>
    </w:p>
    <w:p>
      <w:pPr>
        <w:tabs>
          <w:tab w:val="right" w:leader="dot" w:pos="9062"/>
        </w:tabs>
        <w:ind w:left="220"/>
      </w:pPr>
      <w:hyperlink w:anchor="_Toc3674" w:history="1">
        <w:r>
          <w:rPr>
            <w:rFonts w:ascii="IRNazanin" w:hAnsi="IRNazanin" w:eastAsia="IRNazanin" w:cs="IRNazanin"/>
            <w:color w:val="111111"/>
            <w:sz w:val="22"/>
            <w:szCs w:val="22"/>
            <w:b w:val="0"/>
            <w:bCs w:val="0"/>
            <w:i w:val="0"/>
            <w:iCs w:val="0"/>
          </w:rPr>
          <w:t>رواوي ، عبدالرحمن بن احمد</w:t>
        </w:r>
        <w:r>
          <w:tab/>
        </w:r>
        <w:r>
          <w:fldChar w:fldCharType="begin"/>
        </w:r>
        <w:r>
          <w:instrText xml:space="preserve">PAGEREF 3674 \h</w:instrText>
        </w:r>
        <w:r>
          <w:fldChar w:fldCharType="end"/>
        </w:r>
      </w:hyperlink>
    </w:p>
    <w:p>
      <w:pPr>
        <w:tabs>
          <w:tab w:val="right" w:leader="dot" w:pos="9062"/>
        </w:tabs>
        <w:ind w:left="220"/>
      </w:pPr>
      <w:hyperlink w:anchor="_Toc3675" w:history="1">
        <w:r>
          <w:rPr>
            <w:rFonts w:ascii="IRNazanin" w:hAnsi="IRNazanin" w:eastAsia="IRNazanin" w:cs="IRNazanin"/>
            <w:color w:val="111111"/>
            <w:sz w:val="22"/>
            <w:szCs w:val="22"/>
            <w:b w:val="0"/>
            <w:bCs w:val="0"/>
            <w:i w:val="0"/>
            <w:iCs w:val="0"/>
          </w:rPr>
          <w:t>؟ روحي ، علي بن محمّد ، قرن 7 ه-</w:t>
        </w:r>
        <w:r>
          <w:tab/>
        </w:r>
        <w:r>
          <w:fldChar w:fldCharType="begin"/>
        </w:r>
        <w:r>
          <w:instrText xml:space="preserve">PAGEREF 3675 \h</w:instrText>
        </w:r>
        <w:r>
          <w:fldChar w:fldCharType="end"/>
        </w:r>
      </w:hyperlink>
    </w:p>
    <w:p>
      <w:pPr>
        <w:tabs>
          <w:tab w:val="right" w:leader="dot" w:pos="9062"/>
        </w:tabs>
        <w:ind w:left="220"/>
      </w:pPr>
      <w:hyperlink w:anchor="_Toc3676" w:history="1">
        <w:r>
          <w:rPr>
            <w:rFonts w:ascii="IRNazanin" w:hAnsi="IRNazanin" w:eastAsia="IRNazanin" w:cs="IRNazanin"/>
            <w:color w:val="111111"/>
            <w:sz w:val="22"/>
            <w:szCs w:val="22"/>
            <w:b w:val="0"/>
            <w:bCs w:val="0"/>
            <w:i w:val="0"/>
            <w:iCs w:val="0"/>
          </w:rPr>
          <w:t>رودريكوس ، الفونسيوس، 1537 - 1617 م</w:t>
        </w:r>
        <w:r>
          <w:tab/>
        </w:r>
        <w:r>
          <w:fldChar w:fldCharType="begin"/>
        </w:r>
        <w:r>
          <w:instrText xml:space="preserve">PAGEREF 3676 \h</w:instrText>
        </w:r>
        <w:r>
          <w:fldChar w:fldCharType="end"/>
        </w:r>
      </w:hyperlink>
    </w:p>
    <w:p>
      <w:pPr>
        <w:tabs>
          <w:tab w:val="right" w:leader="dot" w:pos="9062"/>
        </w:tabs>
        <w:ind w:left="220"/>
      </w:pPr>
      <w:hyperlink w:anchor="_Toc3677" w:history="1">
        <w:r>
          <w:rPr>
            <w:rFonts w:ascii="IRNazanin" w:hAnsi="IRNazanin" w:eastAsia="IRNazanin" w:cs="IRNazanin"/>
            <w:color w:val="111111"/>
            <w:sz w:val="22"/>
            <w:szCs w:val="22"/>
            <w:b w:val="0"/>
            <w:bCs w:val="0"/>
            <w:i w:val="0"/>
            <w:iCs w:val="0"/>
          </w:rPr>
          <w:t>روذراوري ، محمّد بن حسين، 437 - 488 ؟ ه-</w:t>
        </w:r>
        <w:r>
          <w:tab/>
        </w:r>
        <w:r>
          <w:fldChar w:fldCharType="begin"/>
        </w:r>
        <w:r>
          <w:instrText xml:space="preserve">PAGEREF 3677 \h</w:instrText>
        </w:r>
        <w:r>
          <w:fldChar w:fldCharType="end"/>
        </w:r>
      </w:hyperlink>
    </w:p>
    <w:p>
      <w:pPr>
        <w:tabs>
          <w:tab w:val="right" w:leader="dot" w:pos="9062"/>
        </w:tabs>
        <w:ind w:left="220"/>
      </w:pPr>
      <w:hyperlink w:anchor="_Toc3678" w:history="1">
        <w:r>
          <w:rPr>
            <w:rFonts w:ascii="IRNazanin" w:hAnsi="IRNazanin" w:eastAsia="IRNazanin" w:cs="IRNazanin"/>
            <w:color w:val="111111"/>
            <w:sz w:val="22"/>
            <w:szCs w:val="22"/>
            <w:b w:val="0"/>
            <w:bCs w:val="0"/>
            <w:i w:val="0"/>
            <w:iCs w:val="0"/>
          </w:rPr>
          <w:t>روزبهان بقلي ، روزبهان بن ابي نصر</w:t>
        </w:r>
        <w:r>
          <w:tab/>
        </w:r>
        <w:r>
          <w:fldChar w:fldCharType="begin"/>
        </w:r>
        <w:r>
          <w:instrText xml:space="preserve">PAGEREF 3678 \h</w:instrText>
        </w:r>
        <w:r>
          <w:fldChar w:fldCharType="end"/>
        </w:r>
      </w:hyperlink>
    </w:p>
    <w:p>
      <w:pPr>
        <w:tabs>
          <w:tab w:val="right" w:leader="dot" w:pos="9062"/>
        </w:tabs>
        <w:ind w:left="220"/>
      </w:pPr>
      <w:hyperlink w:anchor="_Toc3679" w:history="1">
        <w:r>
          <w:rPr>
            <w:rFonts w:ascii="IRNazanin" w:hAnsi="IRNazanin" w:eastAsia="IRNazanin" w:cs="IRNazanin"/>
            <w:color w:val="111111"/>
            <w:sz w:val="22"/>
            <w:szCs w:val="22"/>
            <w:b w:val="0"/>
            <w:bCs w:val="0"/>
            <w:i w:val="0"/>
            <w:iCs w:val="0"/>
          </w:rPr>
          <w:t>روزبهاني ، عبدالرحمن بن حسين قرن 13</w:t>
        </w:r>
        <w:r>
          <w:tab/>
        </w:r>
        <w:r>
          <w:fldChar w:fldCharType="begin"/>
        </w:r>
        <w:r>
          <w:instrText xml:space="preserve">PAGEREF 3679 \h</w:instrText>
        </w:r>
        <w:r>
          <w:fldChar w:fldCharType="end"/>
        </w:r>
      </w:hyperlink>
    </w:p>
    <w:p>
      <w:pPr>
        <w:tabs>
          <w:tab w:val="right" w:leader="dot" w:pos="9062"/>
        </w:tabs>
        <w:ind w:left="220"/>
      </w:pPr>
      <w:hyperlink w:anchor="_Toc3680" w:history="1">
        <w:r>
          <w:rPr>
            <w:rFonts w:ascii="IRNazanin" w:hAnsi="IRNazanin" w:eastAsia="IRNazanin" w:cs="IRNazanin"/>
            <w:color w:val="111111"/>
            <w:sz w:val="22"/>
            <w:szCs w:val="22"/>
            <w:b w:val="0"/>
            <w:bCs w:val="0"/>
            <w:i w:val="0"/>
            <w:iCs w:val="0"/>
          </w:rPr>
          <w:t>روزبهاني ، محمّد جميل قرن 14 ه-</w:t>
        </w:r>
        <w:r>
          <w:tab/>
        </w:r>
        <w:r>
          <w:fldChar w:fldCharType="begin"/>
        </w:r>
        <w:r>
          <w:instrText xml:space="preserve">PAGEREF 3680 \h</w:instrText>
        </w:r>
        <w:r>
          <w:fldChar w:fldCharType="end"/>
        </w:r>
      </w:hyperlink>
    </w:p>
    <w:p>
      <w:pPr>
        <w:tabs>
          <w:tab w:val="right" w:leader="dot" w:pos="9062"/>
        </w:tabs>
        <w:ind w:left="220"/>
      </w:pPr>
      <w:hyperlink w:anchor="_Toc3681" w:history="1">
        <w:r>
          <w:rPr>
            <w:rFonts w:ascii="IRNazanin" w:hAnsi="IRNazanin" w:eastAsia="IRNazanin" w:cs="IRNazanin"/>
            <w:color w:val="111111"/>
            <w:sz w:val="22"/>
            <w:szCs w:val="22"/>
            <w:b w:val="0"/>
            <w:bCs w:val="0"/>
            <w:i w:val="0"/>
            <w:iCs w:val="0"/>
          </w:rPr>
          <w:t>روزدري ، علي، - 1290 ه-</w:t>
        </w:r>
        <w:r>
          <w:tab/>
        </w:r>
        <w:r>
          <w:fldChar w:fldCharType="begin"/>
        </w:r>
        <w:r>
          <w:instrText xml:space="preserve">PAGEREF 3681 \h</w:instrText>
        </w:r>
        <w:r>
          <w:fldChar w:fldCharType="end"/>
        </w:r>
      </w:hyperlink>
    </w:p>
    <w:p>
      <w:pPr>
        <w:tabs>
          <w:tab w:val="right" w:leader="dot" w:pos="9062"/>
        </w:tabs>
        <w:ind w:left="220"/>
      </w:pPr>
      <w:hyperlink w:anchor="_Toc3682" w:history="1">
        <w:r>
          <w:rPr>
            <w:rFonts w:ascii="IRNazanin" w:hAnsi="IRNazanin" w:eastAsia="IRNazanin" w:cs="IRNazanin"/>
            <w:color w:val="111111"/>
            <w:sz w:val="22"/>
            <w:szCs w:val="22"/>
            <w:b w:val="0"/>
            <w:bCs w:val="0"/>
            <w:i w:val="0"/>
            <w:iCs w:val="0"/>
          </w:rPr>
          <w:t>روزي ، محمّد بن محمّد</w:t>
        </w:r>
        <w:r>
          <w:tab/>
        </w:r>
        <w:r>
          <w:fldChar w:fldCharType="begin"/>
        </w:r>
        <w:r>
          <w:instrText xml:space="preserve">PAGEREF 3682 \h</w:instrText>
        </w:r>
        <w:r>
          <w:fldChar w:fldCharType="end"/>
        </w:r>
      </w:hyperlink>
    </w:p>
    <w:p>
      <w:pPr>
        <w:tabs>
          <w:tab w:val="right" w:leader="dot" w:pos="9062"/>
        </w:tabs>
        <w:ind w:left="220"/>
      </w:pPr>
      <w:hyperlink w:anchor="_Toc3683" w:history="1">
        <w:r>
          <w:rPr>
            <w:rFonts w:ascii="IRNazanin" w:hAnsi="IRNazanin" w:eastAsia="IRNazanin" w:cs="IRNazanin"/>
            <w:color w:val="111111"/>
            <w:sz w:val="22"/>
            <w:szCs w:val="22"/>
            <w:b w:val="0"/>
            <w:bCs w:val="0"/>
            <w:i w:val="0"/>
            <w:iCs w:val="0"/>
          </w:rPr>
          <w:t>روشني زاده ، نعمت الله بن احمد</w:t>
        </w:r>
        <w:r>
          <w:tab/>
        </w:r>
        <w:r>
          <w:fldChar w:fldCharType="begin"/>
        </w:r>
        <w:r>
          <w:instrText xml:space="preserve">PAGEREF 3683 \h</w:instrText>
        </w:r>
        <w:r>
          <w:fldChar w:fldCharType="end"/>
        </w:r>
      </w:hyperlink>
    </w:p>
    <w:p>
      <w:pPr>
        <w:tabs>
          <w:tab w:val="right" w:leader="dot" w:pos="9062"/>
        </w:tabs>
        <w:ind w:left="220"/>
      </w:pPr>
      <w:hyperlink w:anchor="_Toc3684" w:history="1">
        <w:r>
          <w:rPr>
            <w:rFonts w:ascii="IRNazanin" w:hAnsi="IRNazanin" w:eastAsia="IRNazanin" w:cs="IRNazanin"/>
            <w:color w:val="111111"/>
            <w:sz w:val="22"/>
            <w:szCs w:val="22"/>
            <w:b w:val="0"/>
            <w:bCs w:val="0"/>
            <w:i w:val="0"/>
            <w:iCs w:val="0"/>
          </w:rPr>
          <w:t>روغني قزويني ، محمّد صالح بن محمّد</w:t>
        </w:r>
        <w:r>
          <w:tab/>
        </w:r>
        <w:r>
          <w:fldChar w:fldCharType="begin"/>
        </w:r>
        <w:r>
          <w:instrText xml:space="preserve">PAGEREF 3684 \h</w:instrText>
        </w:r>
        <w:r>
          <w:fldChar w:fldCharType="end"/>
        </w:r>
      </w:hyperlink>
    </w:p>
    <w:p>
      <w:pPr>
        <w:tabs>
          <w:tab w:val="right" w:leader="dot" w:pos="9062"/>
        </w:tabs>
        <w:ind w:left="220"/>
      </w:pPr>
      <w:hyperlink w:anchor="_Toc3685" w:history="1">
        <w:r>
          <w:rPr>
            <w:rFonts w:ascii="IRNazanin" w:hAnsi="IRNazanin" w:eastAsia="IRNazanin" w:cs="IRNazanin"/>
            <w:color w:val="111111"/>
            <w:sz w:val="22"/>
            <w:szCs w:val="22"/>
            <w:b w:val="0"/>
            <w:bCs w:val="0"/>
            <w:i w:val="0"/>
            <w:iCs w:val="0"/>
          </w:rPr>
          <w:t>روفائيل ، الباتري</w:t>
        </w:r>
        <w:r>
          <w:tab/>
        </w:r>
        <w:r>
          <w:fldChar w:fldCharType="begin"/>
        </w:r>
        <w:r>
          <w:instrText xml:space="preserve">PAGEREF 3685 \h</w:instrText>
        </w:r>
        <w:r>
          <w:fldChar w:fldCharType="end"/>
        </w:r>
      </w:hyperlink>
    </w:p>
    <w:p>
      <w:pPr>
        <w:tabs>
          <w:tab w:val="right" w:leader="dot" w:pos="9062"/>
        </w:tabs>
        <w:ind w:left="220"/>
      </w:pPr>
      <w:hyperlink w:anchor="_Toc3686" w:history="1">
        <w:r>
          <w:rPr>
            <w:rFonts w:ascii="IRNazanin" w:hAnsi="IRNazanin" w:eastAsia="IRNazanin" w:cs="IRNazanin"/>
            <w:color w:val="111111"/>
            <w:sz w:val="22"/>
            <w:szCs w:val="22"/>
            <w:b w:val="0"/>
            <w:bCs w:val="0"/>
            <w:i w:val="0"/>
            <w:iCs w:val="0"/>
          </w:rPr>
          <w:t>رومي، ابراهيم بن حنيف بن مصطفى</w:t>
        </w:r>
        <w:r>
          <w:tab/>
        </w:r>
        <w:r>
          <w:fldChar w:fldCharType="begin"/>
        </w:r>
        <w:r>
          <w:instrText xml:space="preserve">PAGEREF 3686 \h</w:instrText>
        </w:r>
        <w:r>
          <w:fldChar w:fldCharType="end"/>
        </w:r>
      </w:hyperlink>
    </w:p>
    <w:p>
      <w:pPr>
        <w:tabs>
          <w:tab w:val="right" w:leader="dot" w:pos="9062"/>
        </w:tabs>
        <w:ind w:left="220"/>
      </w:pPr>
      <w:hyperlink w:anchor="_Toc3687" w:history="1">
        <w:r>
          <w:rPr>
            <w:rFonts w:ascii="IRNazanin" w:hAnsi="IRNazanin" w:eastAsia="IRNazanin" w:cs="IRNazanin"/>
            <w:color w:val="111111"/>
            <w:sz w:val="22"/>
            <w:szCs w:val="22"/>
            <w:b w:val="0"/>
            <w:bCs w:val="0"/>
            <w:i w:val="0"/>
            <w:iCs w:val="0"/>
          </w:rPr>
          <w:t>رومي ، ابوالفضل احمد - 720 ؟ ه-</w:t>
        </w:r>
        <w:r>
          <w:tab/>
        </w:r>
        <w:r>
          <w:fldChar w:fldCharType="begin"/>
        </w:r>
        <w:r>
          <w:instrText xml:space="preserve">PAGEREF 3687 \h</w:instrText>
        </w:r>
        <w:r>
          <w:fldChar w:fldCharType="end"/>
        </w:r>
      </w:hyperlink>
    </w:p>
    <w:p>
      <w:pPr>
        <w:tabs>
          <w:tab w:val="right" w:leader="dot" w:pos="9062"/>
        </w:tabs>
        <w:ind w:left="220"/>
      </w:pPr>
      <w:hyperlink w:anchor="_Toc3688" w:history="1">
        <w:r>
          <w:rPr>
            <w:rFonts w:ascii="IRNazanin" w:hAnsi="IRNazanin" w:eastAsia="IRNazanin" w:cs="IRNazanin"/>
            <w:color w:val="111111"/>
            <w:sz w:val="22"/>
            <w:szCs w:val="22"/>
            <w:b w:val="0"/>
            <w:bCs w:val="0"/>
            <w:i w:val="0"/>
            <w:iCs w:val="0"/>
          </w:rPr>
          <w:t>رومي ، ابوالقاسم بن عبدالجلیل قرن 8</w:t>
        </w:r>
        <w:r>
          <w:tab/>
        </w:r>
        <w:r>
          <w:fldChar w:fldCharType="begin"/>
        </w:r>
        <w:r>
          <w:instrText xml:space="preserve">PAGEREF 3688 \h</w:instrText>
        </w:r>
        <w:r>
          <w:fldChar w:fldCharType="end"/>
        </w:r>
      </w:hyperlink>
    </w:p>
    <w:p>
      <w:pPr>
        <w:tabs>
          <w:tab w:val="right" w:leader="dot" w:pos="9062"/>
        </w:tabs>
        <w:ind w:left="220"/>
      </w:pPr>
      <w:hyperlink w:anchor="_Toc3689" w:history="1">
        <w:r>
          <w:rPr>
            <w:rFonts w:ascii="IRNazanin" w:hAnsi="IRNazanin" w:eastAsia="IRNazanin" w:cs="IRNazanin"/>
            <w:color w:val="111111"/>
            <w:sz w:val="22"/>
            <w:szCs w:val="22"/>
            <w:b w:val="0"/>
            <w:bCs w:val="0"/>
            <w:i w:val="0"/>
            <w:iCs w:val="0"/>
          </w:rPr>
          <w:t>رومي ، احمد بن محمّد - 717 ه-</w:t>
        </w:r>
        <w:r>
          <w:tab/>
        </w:r>
        <w:r>
          <w:fldChar w:fldCharType="begin"/>
        </w:r>
        <w:r>
          <w:instrText xml:space="preserve">PAGEREF 3689 \h</w:instrText>
        </w:r>
        <w:r>
          <w:fldChar w:fldCharType="end"/>
        </w:r>
      </w:hyperlink>
    </w:p>
    <w:p>
      <w:pPr>
        <w:tabs>
          <w:tab w:val="right" w:leader="dot" w:pos="9062"/>
        </w:tabs>
        <w:ind w:left="220"/>
      </w:pPr>
      <w:hyperlink w:anchor="_Toc3690" w:history="1">
        <w:r>
          <w:rPr>
            <w:rFonts w:ascii="IRNazanin" w:hAnsi="IRNazanin" w:eastAsia="IRNazanin" w:cs="IRNazanin"/>
            <w:color w:val="111111"/>
            <w:sz w:val="22"/>
            <w:szCs w:val="22"/>
            <w:b w:val="0"/>
            <w:bCs w:val="0"/>
            <w:i w:val="0"/>
            <w:iCs w:val="0"/>
          </w:rPr>
          <w:t>رومي، خضر بن جلال الدين - 863 ه-</w:t>
        </w:r>
        <w:r>
          <w:tab/>
        </w:r>
        <w:r>
          <w:fldChar w:fldCharType="begin"/>
        </w:r>
        <w:r>
          <w:instrText xml:space="preserve">PAGEREF 3690 \h</w:instrText>
        </w:r>
        <w:r>
          <w:fldChar w:fldCharType="end"/>
        </w:r>
      </w:hyperlink>
    </w:p>
    <w:p>
      <w:pPr>
        <w:tabs>
          <w:tab w:val="right" w:leader="dot" w:pos="9062"/>
        </w:tabs>
        <w:ind w:left="220"/>
      </w:pPr>
      <w:hyperlink w:anchor="_Toc3691" w:history="1">
        <w:r>
          <w:rPr>
            <w:rFonts w:ascii="IRNazanin" w:hAnsi="IRNazanin" w:eastAsia="IRNazanin" w:cs="IRNazanin"/>
            <w:color w:val="111111"/>
            <w:sz w:val="22"/>
            <w:szCs w:val="22"/>
            <w:b w:val="0"/>
            <w:bCs w:val="0"/>
            <w:i w:val="0"/>
            <w:iCs w:val="0"/>
          </w:rPr>
          <w:t>رومي ، خليل بن بوعلي، قرن 8 ه-</w:t>
        </w:r>
        <w:r>
          <w:tab/>
        </w:r>
        <w:r>
          <w:fldChar w:fldCharType="begin"/>
        </w:r>
        <w:r>
          <w:instrText xml:space="preserve">PAGEREF 3691 \h</w:instrText>
        </w:r>
        <w:r>
          <w:fldChar w:fldCharType="end"/>
        </w:r>
      </w:hyperlink>
    </w:p>
    <w:p>
      <w:pPr>
        <w:tabs>
          <w:tab w:val="right" w:leader="dot" w:pos="9062"/>
        </w:tabs>
        <w:ind w:left="220"/>
      </w:pPr>
      <w:hyperlink w:anchor="_Toc3692" w:history="1">
        <w:r>
          <w:rPr>
            <w:rFonts w:ascii="IRNazanin" w:hAnsi="IRNazanin" w:eastAsia="IRNazanin" w:cs="IRNazanin"/>
            <w:color w:val="111111"/>
            <w:sz w:val="22"/>
            <w:szCs w:val="22"/>
            <w:b w:val="0"/>
            <w:bCs w:val="0"/>
            <w:i w:val="0"/>
            <w:iCs w:val="0"/>
          </w:rPr>
          <w:t>رومي ، عبدالباقي بن احمد</w:t>
        </w:r>
        <w:r>
          <w:tab/>
        </w:r>
        <w:r>
          <w:fldChar w:fldCharType="begin"/>
        </w:r>
        <w:r>
          <w:instrText xml:space="preserve">PAGEREF 3692 \h</w:instrText>
        </w:r>
        <w:r>
          <w:fldChar w:fldCharType="end"/>
        </w:r>
      </w:hyperlink>
    </w:p>
    <w:p>
      <w:pPr>
        <w:tabs>
          <w:tab w:val="right" w:leader="dot" w:pos="9062"/>
        </w:tabs>
        <w:ind w:left="220"/>
      </w:pPr>
      <w:hyperlink w:anchor="_Toc3693" w:history="1">
        <w:r>
          <w:rPr>
            <w:rFonts w:ascii="IRNazanin" w:hAnsi="IRNazanin" w:eastAsia="IRNazanin" w:cs="IRNazanin"/>
            <w:color w:val="111111"/>
            <w:sz w:val="22"/>
            <w:szCs w:val="22"/>
            <w:b w:val="0"/>
            <w:bCs w:val="0"/>
            <w:i w:val="0"/>
            <w:iCs w:val="0"/>
          </w:rPr>
          <w:t>رومي ، عبدالرحمن بن خليل قرن 13 ه-</w:t>
        </w:r>
        <w:r>
          <w:tab/>
        </w:r>
        <w:r>
          <w:fldChar w:fldCharType="begin"/>
        </w:r>
        <w:r>
          <w:instrText xml:space="preserve">PAGEREF 3693 \h</w:instrText>
        </w:r>
        <w:r>
          <w:fldChar w:fldCharType="end"/>
        </w:r>
      </w:hyperlink>
    </w:p>
    <w:p>
      <w:pPr>
        <w:tabs>
          <w:tab w:val="right" w:leader="dot" w:pos="9062"/>
        </w:tabs>
        <w:ind w:left="220"/>
      </w:pPr>
      <w:hyperlink w:anchor="_Toc3694" w:history="1">
        <w:r>
          <w:rPr>
            <w:rFonts w:ascii="IRNazanin" w:hAnsi="IRNazanin" w:eastAsia="IRNazanin" w:cs="IRNazanin"/>
            <w:color w:val="111111"/>
            <w:sz w:val="22"/>
            <w:szCs w:val="22"/>
            <w:b w:val="0"/>
            <w:bCs w:val="0"/>
            <w:i w:val="0"/>
            <w:iCs w:val="0"/>
          </w:rPr>
          <w:t>رومي ، عبدالقادر</w:t>
        </w:r>
        <w:r>
          <w:tab/>
        </w:r>
        <w:r>
          <w:fldChar w:fldCharType="begin"/>
        </w:r>
        <w:r>
          <w:instrText xml:space="preserve">PAGEREF 3694 \h</w:instrText>
        </w:r>
        <w:r>
          <w:fldChar w:fldCharType="end"/>
        </w:r>
      </w:hyperlink>
    </w:p>
    <w:p>
      <w:pPr>
        <w:tabs>
          <w:tab w:val="right" w:leader="dot" w:pos="9062"/>
        </w:tabs>
        <w:ind w:left="220"/>
      </w:pPr>
      <w:hyperlink w:anchor="_Toc3695" w:history="1">
        <w:r>
          <w:rPr>
            <w:rFonts w:ascii="IRNazanin" w:hAnsi="IRNazanin" w:eastAsia="IRNazanin" w:cs="IRNazanin"/>
            <w:color w:val="111111"/>
            <w:sz w:val="22"/>
            <w:szCs w:val="22"/>
            <w:b w:val="0"/>
            <w:bCs w:val="0"/>
            <w:i w:val="0"/>
            <w:iCs w:val="0"/>
          </w:rPr>
          <w:t>رومي ، عبدالله بن اشرف - 889 ؟ ه-</w:t>
        </w:r>
        <w:r>
          <w:tab/>
        </w:r>
        <w:r>
          <w:fldChar w:fldCharType="begin"/>
        </w:r>
        <w:r>
          <w:instrText xml:space="preserve">PAGEREF 3695 \h</w:instrText>
        </w:r>
        <w:r>
          <w:fldChar w:fldCharType="end"/>
        </w:r>
      </w:hyperlink>
    </w:p>
    <w:p>
      <w:pPr>
        <w:tabs>
          <w:tab w:val="right" w:leader="dot" w:pos="9062"/>
        </w:tabs>
        <w:ind w:left="220"/>
      </w:pPr>
      <w:hyperlink w:anchor="_Toc3696" w:history="1">
        <w:r>
          <w:rPr>
            <w:rFonts w:ascii="IRNazanin" w:hAnsi="IRNazanin" w:eastAsia="IRNazanin" w:cs="IRNazanin"/>
            <w:color w:val="111111"/>
            <w:sz w:val="22"/>
            <w:szCs w:val="22"/>
            <w:b w:val="0"/>
            <w:bCs w:val="0"/>
            <w:i w:val="0"/>
            <w:iCs w:val="0"/>
          </w:rPr>
          <w:t>رومي ، عثمان افندي قرن 12 ه-</w:t>
        </w:r>
        <w:r>
          <w:tab/>
        </w:r>
        <w:r>
          <w:fldChar w:fldCharType="begin"/>
        </w:r>
        <w:r>
          <w:instrText xml:space="preserve">PAGEREF 3696 \h</w:instrText>
        </w:r>
        <w:r>
          <w:fldChar w:fldCharType="end"/>
        </w:r>
      </w:hyperlink>
    </w:p>
    <w:p>
      <w:pPr>
        <w:tabs>
          <w:tab w:val="right" w:leader="dot" w:pos="9062"/>
        </w:tabs>
        <w:ind w:left="220"/>
      </w:pPr>
      <w:hyperlink w:anchor="_Toc3697" w:history="1">
        <w:r>
          <w:rPr>
            <w:rFonts w:ascii="IRNazanin" w:hAnsi="IRNazanin" w:eastAsia="IRNazanin" w:cs="IRNazanin"/>
            <w:color w:val="111111"/>
            <w:sz w:val="22"/>
            <w:szCs w:val="22"/>
            <w:b w:val="0"/>
            <w:bCs w:val="0"/>
            <w:i w:val="0"/>
            <w:iCs w:val="0"/>
          </w:rPr>
          <w:t>رومي ، قاسم بن يوسف</w:t>
        </w:r>
        <w:r>
          <w:tab/>
        </w:r>
        <w:r>
          <w:fldChar w:fldCharType="begin"/>
        </w:r>
        <w:r>
          <w:instrText xml:space="preserve">PAGEREF 3697 \h</w:instrText>
        </w:r>
        <w:r>
          <w:fldChar w:fldCharType="end"/>
        </w:r>
      </w:hyperlink>
    </w:p>
    <w:p>
      <w:pPr>
        <w:tabs>
          <w:tab w:val="right" w:leader="dot" w:pos="9062"/>
        </w:tabs>
        <w:ind w:left="220"/>
      </w:pPr>
      <w:hyperlink w:anchor="_Toc3698" w:history="1">
        <w:r>
          <w:rPr>
            <w:rFonts w:ascii="IRNazanin" w:hAnsi="IRNazanin" w:eastAsia="IRNazanin" w:cs="IRNazanin"/>
            <w:color w:val="111111"/>
            <w:sz w:val="22"/>
            <w:szCs w:val="22"/>
            <w:b w:val="0"/>
            <w:bCs w:val="0"/>
            <w:i w:val="0"/>
            <w:iCs w:val="0"/>
          </w:rPr>
          <w:t>رومي، محمّد بن ابراهيم قرن 10 ه-</w:t>
        </w:r>
        <w:r>
          <w:tab/>
        </w:r>
        <w:r>
          <w:fldChar w:fldCharType="begin"/>
        </w:r>
        <w:r>
          <w:instrText xml:space="preserve">PAGEREF 3698 \h</w:instrText>
        </w:r>
        <w:r>
          <w:fldChar w:fldCharType="end"/>
        </w:r>
      </w:hyperlink>
    </w:p>
    <w:p>
      <w:pPr>
        <w:tabs>
          <w:tab w:val="right" w:leader="dot" w:pos="9062"/>
        </w:tabs>
        <w:ind w:left="220"/>
      </w:pPr>
      <w:hyperlink w:anchor="_Toc3699" w:history="1">
        <w:r>
          <w:rPr>
            <w:rFonts w:ascii="IRNazanin" w:hAnsi="IRNazanin" w:eastAsia="IRNazanin" w:cs="IRNazanin"/>
            <w:color w:val="111111"/>
            <w:sz w:val="22"/>
            <w:szCs w:val="22"/>
            <w:b w:val="0"/>
            <w:bCs w:val="0"/>
            <w:i w:val="0"/>
            <w:iCs w:val="0"/>
          </w:rPr>
          <w:t>رومي ، محمّد مفيد بن مصطفى</w:t>
        </w:r>
        <w:r>
          <w:tab/>
        </w:r>
        <w:r>
          <w:fldChar w:fldCharType="begin"/>
        </w:r>
        <w:r>
          <w:instrText xml:space="preserve">PAGEREF 3699 \h</w:instrText>
        </w:r>
        <w:r>
          <w:fldChar w:fldCharType="end"/>
        </w:r>
      </w:hyperlink>
    </w:p>
    <w:p>
      <w:pPr>
        <w:tabs>
          <w:tab w:val="right" w:leader="dot" w:pos="9062"/>
        </w:tabs>
        <w:ind w:left="220"/>
      </w:pPr>
      <w:hyperlink w:anchor="_Toc3700" w:history="1">
        <w:r>
          <w:rPr>
            <w:rFonts w:ascii="IRNazanin" w:hAnsi="IRNazanin" w:eastAsia="IRNazanin" w:cs="IRNazanin"/>
            <w:color w:val="111111"/>
            <w:sz w:val="22"/>
            <w:szCs w:val="22"/>
            <w:b w:val="0"/>
            <w:bCs w:val="0"/>
            <w:i w:val="0"/>
            <w:iCs w:val="0"/>
          </w:rPr>
          <w:t>رومي، محمود بن الياس - 851 ه-</w:t>
        </w:r>
        <w:r>
          <w:tab/>
        </w:r>
        <w:r>
          <w:fldChar w:fldCharType="begin"/>
        </w:r>
        <w:r>
          <w:instrText xml:space="preserve">PAGEREF 3700 \h</w:instrText>
        </w:r>
        <w:r>
          <w:fldChar w:fldCharType="end"/>
        </w:r>
      </w:hyperlink>
    </w:p>
    <w:p>
      <w:pPr>
        <w:tabs>
          <w:tab w:val="right" w:leader="dot" w:pos="9062"/>
        </w:tabs>
        <w:ind w:left="220"/>
      </w:pPr>
      <w:hyperlink w:anchor="_Toc3701" w:history="1">
        <w:r>
          <w:rPr>
            <w:rFonts w:ascii="IRNazanin" w:hAnsi="IRNazanin" w:eastAsia="IRNazanin" w:cs="IRNazanin"/>
            <w:color w:val="111111"/>
            <w:sz w:val="22"/>
            <w:szCs w:val="22"/>
            <w:b w:val="0"/>
            <w:bCs w:val="0"/>
            <w:i w:val="0"/>
            <w:iCs w:val="0"/>
          </w:rPr>
          <w:t>رومي، محيي الدين محمّد - 977 ه-</w:t>
        </w:r>
        <w:r>
          <w:tab/>
        </w:r>
        <w:r>
          <w:fldChar w:fldCharType="begin"/>
        </w:r>
        <w:r>
          <w:instrText xml:space="preserve">PAGEREF 3701 \h</w:instrText>
        </w:r>
        <w:r>
          <w:fldChar w:fldCharType="end"/>
        </w:r>
      </w:hyperlink>
    </w:p>
    <w:p>
      <w:pPr>
        <w:tabs>
          <w:tab w:val="right" w:leader="dot" w:pos="9062"/>
        </w:tabs>
        <w:ind w:left="220"/>
      </w:pPr>
      <w:hyperlink w:anchor="_Toc3702" w:history="1">
        <w:r>
          <w:rPr>
            <w:rFonts w:ascii="IRNazanin" w:hAnsi="IRNazanin" w:eastAsia="IRNazanin" w:cs="IRNazanin"/>
            <w:color w:val="111111"/>
            <w:sz w:val="22"/>
            <w:szCs w:val="22"/>
            <w:b w:val="0"/>
            <w:bCs w:val="0"/>
            <w:i w:val="0"/>
            <w:iCs w:val="0"/>
          </w:rPr>
          <w:t>رونقي ، قاسم بن خليل، 1108؟ - 1164</w:t>
        </w:r>
        <w:r>
          <w:tab/>
        </w:r>
        <w:r>
          <w:fldChar w:fldCharType="begin"/>
        </w:r>
        <w:r>
          <w:instrText xml:space="preserve">PAGEREF 3702 \h</w:instrText>
        </w:r>
        <w:r>
          <w:fldChar w:fldCharType="end"/>
        </w:r>
      </w:hyperlink>
    </w:p>
    <w:p>
      <w:pPr>
        <w:tabs>
          <w:tab w:val="right" w:leader="dot" w:pos="9062"/>
        </w:tabs>
        <w:ind w:left="220"/>
      </w:pPr>
      <w:hyperlink w:anchor="_Toc3703" w:history="1">
        <w:r>
          <w:rPr>
            <w:rFonts w:ascii="IRNazanin" w:hAnsi="IRNazanin" w:eastAsia="IRNazanin" w:cs="IRNazanin"/>
            <w:color w:val="111111"/>
            <w:sz w:val="22"/>
            <w:szCs w:val="22"/>
            <w:b w:val="0"/>
            <w:bCs w:val="0"/>
            <w:i w:val="0"/>
            <w:iCs w:val="0"/>
          </w:rPr>
          <w:t>روياني، شريح بن عبد الكريم - 505 ه-</w:t>
        </w:r>
        <w:r>
          <w:tab/>
        </w:r>
        <w:r>
          <w:fldChar w:fldCharType="begin"/>
        </w:r>
        <w:r>
          <w:instrText xml:space="preserve">PAGEREF 3703 \h</w:instrText>
        </w:r>
        <w:r>
          <w:fldChar w:fldCharType="end"/>
        </w:r>
      </w:hyperlink>
    </w:p>
    <w:p>
      <w:pPr>
        <w:tabs>
          <w:tab w:val="right" w:leader="dot" w:pos="9062"/>
        </w:tabs>
        <w:ind w:left="220"/>
      </w:pPr>
      <w:hyperlink w:anchor="_Toc3704" w:history="1">
        <w:r>
          <w:rPr>
            <w:rFonts w:ascii="IRNazanin" w:hAnsi="IRNazanin" w:eastAsia="IRNazanin" w:cs="IRNazanin"/>
            <w:color w:val="111111"/>
            <w:sz w:val="22"/>
            <w:szCs w:val="22"/>
            <w:b w:val="0"/>
            <w:bCs w:val="0"/>
            <w:i w:val="0"/>
            <w:iCs w:val="0"/>
          </w:rPr>
          <w:t>روياني ، عبدالواحد بن اسماعيل 415 -</w:t>
        </w:r>
        <w:r>
          <w:tab/>
        </w:r>
        <w:r>
          <w:fldChar w:fldCharType="begin"/>
        </w:r>
        <w:r>
          <w:instrText xml:space="preserve">PAGEREF 3704 \h</w:instrText>
        </w:r>
        <w:r>
          <w:fldChar w:fldCharType="end"/>
        </w:r>
      </w:hyperlink>
    </w:p>
    <w:p>
      <w:pPr>
        <w:tabs>
          <w:tab w:val="right" w:leader="dot" w:pos="9062"/>
        </w:tabs>
        <w:ind w:left="220"/>
      </w:pPr>
      <w:hyperlink w:anchor="_Toc3705" w:history="1">
        <w:r>
          <w:rPr>
            <w:rFonts w:ascii="IRNazanin" w:hAnsi="IRNazanin" w:eastAsia="IRNazanin" w:cs="IRNazanin"/>
            <w:color w:val="111111"/>
            <w:sz w:val="22"/>
            <w:szCs w:val="22"/>
            <w:b w:val="0"/>
            <w:bCs w:val="0"/>
            <w:i w:val="0"/>
            <w:iCs w:val="0"/>
          </w:rPr>
          <w:t>روياني لاهيجي ، عبد القادر بن حسن</w:t>
        </w:r>
        <w:r>
          <w:tab/>
        </w:r>
        <w:r>
          <w:fldChar w:fldCharType="begin"/>
        </w:r>
        <w:r>
          <w:instrText xml:space="preserve">PAGEREF 3705 \h</w:instrText>
        </w:r>
        <w:r>
          <w:fldChar w:fldCharType="end"/>
        </w:r>
      </w:hyperlink>
    </w:p>
    <w:p>
      <w:pPr>
        <w:tabs>
          <w:tab w:val="right" w:leader="dot" w:pos="9062"/>
        </w:tabs>
        <w:ind w:left="220"/>
      </w:pPr>
      <w:hyperlink w:anchor="_Toc3706" w:history="1">
        <w:r>
          <w:rPr>
            <w:rFonts w:ascii="IRNazanin" w:hAnsi="IRNazanin" w:eastAsia="IRNazanin" w:cs="IRNazanin"/>
            <w:color w:val="111111"/>
            <w:sz w:val="22"/>
            <w:szCs w:val="22"/>
            <w:b w:val="0"/>
            <w:bCs w:val="0"/>
            <w:i w:val="0"/>
            <w:iCs w:val="0"/>
          </w:rPr>
          <w:t>روي ، علي بن عبدالكريم</w:t>
        </w:r>
        <w:r>
          <w:tab/>
        </w:r>
        <w:r>
          <w:fldChar w:fldCharType="begin"/>
        </w:r>
        <w:r>
          <w:instrText xml:space="preserve">PAGEREF 3706 \h</w:instrText>
        </w:r>
        <w:r>
          <w:fldChar w:fldCharType="end"/>
        </w:r>
      </w:hyperlink>
    </w:p>
    <w:p>
      <w:pPr>
        <w:tabs>
          <w:tab w:val="right" w:leader="dot" w:pos="9062"/>
        </w:tabs>
        <w:ind w:left="220"/>
      </w:pPr>
      <w:hyperlink w:anchor="_Toc3707" w:history="1">
        <w:r>
          <w:rPr>
            <w:rFonts w:ascii="IRNazanin" w:hAnsi="IRNazanin" w:eastAsia="IRNazanin" w:cs="IRNazanin"/>
            <w:color w:val="111111"/>
            <w:sz w:val="22"/>
            <w:szCs w:val="22"/>
            <w:b w:val="0"/>
            <w:bCs w:val="0"/>
            <w:i w:val="0"/>
            <w:iCs w:val="0"/>
          </w:rPr>
          <w:t>رياض همداني ، محمّد جعفر، - 1368 ه-</w:t>
        </w:r>
        <w:r>
          <w:tab/>
        </w:r>
        <w:r>
          <w:fldChar w:fldCharType="begin"/>
        </w:r>
        <w:r>
          <w:instrText xml:space="preserve">PAGEREF 3707 \h</w:instrText>
        </w:r>
        <w:r>
          <w:fldChar w:fldCharType="end"/>
        </w:r>
      </w:hyperlink>
    </w:p>
    <w:p>
      <w:pPr>
        <w:tabs>
          <w:tab w:val="right" w:leader="dot" w:pos="9062"/>
        </w:tabs>
        <w:ind w:left="220"/>
      </w:pPr>
      <w:hyperlink w:anchor="_Toc3708" w:history="1">
        <w:r>
          <w:rPr>
            <w:rFonts w:ascii="IRNazanin" w:hAnsi="IRNazanin" w:eastAsia="IRNazanin" w:cs="IRNazanin"/>
            <w:color w:val="111111"/>
            <w:sz w:val="22"/>
            <w:szCs w:val="22"/>
            <w:b w:val="0"/>
            <w:bCs w:val="0"/>
            <w:i w:val="0"/>
            <w:iCs w:val="0"/>
          </w:rPr>
          <w:t>ريزي ، ابوالفضل، قرن 14 ه-</w:t>
        </w:r>
        <w:r>
          <w:tab/>
        </w:r>
        <w:r>
          <w:fldChar w:fldCharType="begin"/>
        </w:r>
        <w:r>
          <w:instrText xml:space="preserve">PAGEREF 3708 \h</w:instrText>
        </w:r>
        <w:r>
          <w:fldChar w:fldCharType="end"/>
        </w:r>
      </w:hyperlink>
    </w:p>
    <w:p>
      <w:pPr>
        <w:tabs>
          <w:tab w:val="right" w:leader="dot" w:pos="9062"/>
        </w:tabs>
        <w:ind w:left="220"/>
      </w:pPr>
      <w:hyperlink w:anchor="_Toc3709" w:history="1">
        <w:r>
          <w:rPr>
            <w:rFonts w:ascii="IRNazanin" w:hAnsi="IRNazanin" w:eastAsia="IRNazanin" w:cs="IRNazanin"/>
            <w:color w:val="111111"/>
            <w:sz w:val="22"/>
            <w:szCs w:val="22"/>
            <w:b w:val="0"/>
            <w:bCs w:val="0"/>
            <w:i w:val="0"/>
            <w:iCs w:val="0"/>
          </w:rPr>
          <w:t>ريشي ، احمد بن غلام - 836 ه-</w:t>
        </w:r>
        <w:r>
          <w:tab/>
        </w:r>
        <w:r>
          <w:fldChar w:fldCharType="begin"/>
        </w:r>
        <w:r>
          <w:instrText xml:space="preserve">PAGEREF 3709 \h</w:instrText>
        </w:r>
        <w:r>
          <w:fldChar w:fldCharType="end"/>
        </w:r>
      </w:hyperlink>
    </w:p>
    <w:p>
      <w:pPr>
        <w:tabs>
          <w:tab w:val="right" w:leader="dot" w:pos="9062"/>
        </w:tabs>
        <w:ind w:left="220"/>
      </w:pPr>
      <w:hyperlink w:anchor="_Toc3710" w:history="1">
        <w:r>
          <w:rPr>
            <w:rFonts w:ascii="IRNazanin" w:hAnsi="IRNazanin" w:eastAsia="IRNazanin" w:cs="IRNazanin"/>
            <w:color w:val="111111"/>
            <w:sz w:val="22"/>
            <w:szCs w:val="22"/>
            <w:b w:val="0"/>
            <w:bCs w:val="0"/>
            <w:i w:val="0"/>
            <w:iCs w:val="0"/>
          </w:rPr>
          <w:t>الفقه الشافعي (كتاب في)، ج12،</w:t>
        </w:r>
        <w:r>
          <w:tab/>
        </w:r>
        <w:r>
          <w:fldChar w:fldCharType="begin"/>
        </w:r>
        <w:r>
          <w:instrText xml:space="preserve">PAGEREF 3710 \h</w:instrText>
        </w:r>
        <w:r>
          <w:fldChar w:fldCharType="end"/>
        </w:r>
      </w:hyperlink>
    </w:p>
    <w:p>
      <w:pPr>
        <w:tabs>
          <w:tab w:val="right" w:leader="dot" w:pos="9062"/>
        </w:tabs>
        <w:ind w:left="220"/>
      </w:pPr>
      <w:hyperlink w:anchor="_Toc3711" w:history="1">
        <w:r>
          <w:rPr>
            <w:rFonts w:ascii="IRNazanin" w:hAnsi="IRNazanin" w:eastAsia="IRNazanin" w:cs="IRNazanin"/>
            <w:color w:val="111111"/>
            <w:sz w:val="22"/>
            <w:szCs w:val="22"/>
            <w:b w:val="0"/>
            <w:bCs w:val="0"/>
            <w:i w:val="0"/>
            <w:iCs w:val="0"/>
          </w:rPr>
          <w:t>زاكي ، عبدالسلام بن عمر قرن 13 ه-</w:t>
        </w:r>
        <w:r>
          <w:tab/>
        </w:r>
        <w:r>
          <w:fldChar w:fldCharType="begin"/>
        </w:r>
        <w:r>
          <w:instrText xml:space="preserve">PAGEREF 3711 \h</w:instrText>
        </w:r>
        <w:r>
          <w:fldChar w:fldCharType="end"/>
        </w:r>
      </w:hyperlink>
    </w:p>
    <w:p>
      <w:pPr>
        <w:tabs>
          <w:tab w:val="right" w:leader="dot" w:pos="9062"/>
        </w:tabs>
        <w:ind w:left="220"/>
      </w:pPr>
      <w:hyperlink w:anchor="_Toc3712" w:history="1">
        <w:r>
          <w:rPr>
            <w:rFonts w:ascii="IRNazanin" w:hAnsi="IRNazanin" w:eastAsia="IRNazanin" w:cs="IRNazanin"/>
            <w:color w:val="111111"/>
            <w:sz w:val="22"/>
            <w:szCs w:val="22"/>
            <w:b w:val="0"/>
            <w:bCs w:val="0"/>
            <w:i w:val="0"/>
            <w:iCs w:val="0"/>
          </w:rPr>
          <w:t>زاهد، ابوالعباس احمد</w:t>
        </w:r>
        <w:r>
          <w:tab/>
        </w:r>
        <w:r>
          <w:fldChar w:fldCharType="begin"/>
        </w:r>
        <w:r>
          <w:instrText xml:space="preserve">PAGEREF 3712 \h</w:instrText>
        </w:r>
        <w:r>
          <w:fldChar w:fldCharType="end"/>
        </w:r>
      </w:hyperlink>
    </w:p>
    <w:p>
      <w:pPr>
        <w:tabs>
          <w:tab w:val="right" w:leader="dot" w:pos="9062"/>
        </w:tabs>
        <w:ind w:left="220"/>
      </w:pPr>
      <w:hyperlink w:anchor="_Toc3713" w:history="1">
        <w:r>
          <w:rPr>
            <w:rFonts w:ascii="IRNazanin" w:hAnsi="IRNazanin" w:eastAsia="IRNazanin" w:cs="IRNazanin"/>
            <w:color w:val="111111"/>
            <w:sz w:val="22"/>
            <w:szCs w:val="22"/>
            <w:b w:val="0"/>
            <w:bCs w:val="0"/>
            <w:i w:val="0"/>
            <w:iCs w:val="0"/>
          </w:rPr>
          <w:t>زاهد ، احمد بن ابي عمر، - 470 ؟ ه-</w:t>
        </w:r>
        <w:r>
          <w:tab/>
        </w:r>
        <w:r>
          <w:fldChar w:fldCharType="begin"/>
        </w:r>
        <w:r>
          <w:instrText xml:space="preserve">PAGEREF 3713 \h</w:instrText>
        </w:r>
        <w:r>
          <w:fldChar w:fldCharType="end"/>
        </w:r>
      </w:hyperlink>
    </w:p>
    <w:p>
      <w:pPr>
        <w:tabs>
          <w:tab w:val="right" w:leader="dot" w:pos="9062"/>
        </w:tabs>
        <w:ind w:left="220"/>
      </w:pPr>
      <w:hyperlink w:anchor="_Toc3714" w:history="1">
        <w:r>
          <w:rPr>
            <w:rFonts w:ascii="IRNazanin" w:hAnsi="IRNazanin" w:eastAsia="IRNazanin" w:cs="IRNazanin"/>
            <w:color w:val="111111"/>
            <w:sz w:val="22"/>
            <w:szCs w:val="22"/>
            <w:b w:val="0"/>
            <w:bCs w:val="0"/>
            <w:i w:val="0"/>
            <w:iCs w:val="0"/>
          </w:rPr>
          <w:t>زاهد، احمد بن محمّد - 819 ه-</w:t>
        </w:r>
        <w:r>
          <w:tab/>
        </w:r>
        <w:r>
          <w:fldChar w:fldCharType="begin"/>
        </w:r>
        <w:r>
          <w:instrText xml:space="preserve">PAGEREF 3714 \h</w:instrText>
        </w:r>
        <w:r>
          <w:fldChar w:fldCharType="end"/>
        </w:r>
      </w:hyperlink>
    </w:p>
    <w:p>
      <w:pPr>
        <w:tabs>
          <w:tab w:val="right" w:leader="dot" w:pos="9062"/>
        </w:tabs>
        <w:ind w:left="220"/>
      </w:pPr>
      <w:hyperlink w:anchor="_Toc3715" w:history="1">
        <w:r>
          <w:rPr>
            <w:rFonts w:ascii="IRNazanin" w:hAnsi="IRNazanin" w:eastAsia="IRNazanin" w:cs="IRNazanin"/>
            <w:color w:val="111111"/>
            <w:sz w:val="22"/>
            <w:szCs w:val="22"/>
            <w:b w:val="0"/>
            <w:bCs w:val="0"/>
            <w:i w:val="0"/>
            <w:iCs w:val="0"/>
          </w:rPr>
          <w:t>زاهد بخاري، محمّد بن عبدالرحمن</w:t>
        </w:r>
        <w:r>
          <w:tab/>
        </w:r>
        <w:r>
          <w:fldChar w:fldCharType="begin"/>
        </w:r>
        <w:r>
          <w:instrText xml:space="preserve">PAGEREF 3715 \h</w:instrText>
        </w:r>
        <w:r>
          <w:fldChar w:fldCharType="end"/>
        </w:r>
      </w:hyperlink>
    </w:p>
    <w:p>
      <w:pPr>
        <w:tabs>
          <w:tab w:val="right" w:leader="dot" w:pos="9062"/>
        </w:tabs>
        <w:ind w:left="220"/>
      </w:pPr>
      <w:hyperlink w:anchor="_Toc3716" w:history="1">
        <w:r>
          <w:rPr>
            <w:rFonts w:ascii="IRNazanin" w:hAnsi="IRNazanin" w:eastAsia="IRNazanin" w:cs="IRNazanin"/>
            <w:color w:val="111111"/>
            <w:sz w:val="22"/>
            <w:szCs w:val="22"/>
            <w:b w:val="0"/>
            <w:bCs w:val="0"/>
            <w:i w:val="0"/>
            <w:iCs w:val="0"/>
          </w:rPr>
          <w:t>زاهد علي بن غلام حكيم</w:t>
        </w:r>
        <w:r>
          <w:tab/>
        </w:r>
        <w:r>
          <w:fldChar w:fldCharType="begin"/>
        </w:r>
        <w:r>
          <w:instrText xml:space="preserve">PAGEREF 3716 \h</w:instrText>
        </w:r>
        <w:r>
          <w:fldChar w:fldCharType="end"/>
        </w:r>
      </w:hyperlink>
    </w:p>
    <w:p>
      <w:pPr>
        <w:tabs>
          <w:tab w:val="right" w:leader="dot" w:pos="9062"/>
        </w:tabs>
        <w:ind w:left="220"/>
      </w:pPr>
      <w:hyperlink w:anchor="_Toc3717" w:history="1">
        <w:r>
          <w:rPr>
            <w:rFonts w:ascii="IRNazanin" w:hAnsi="IRNazanin" w:eastAsia="IRNazanin" w:cs="IRNazanin"/>
            <w:color w:val="111111"/>
            <w:sz w:val="22"/>
            <w:szCs w:val="22"/>
            <w:b w:val="0"/>
            <w:bCs w:val="0"/>
            <w:i w:val="0"/>
            <w:iCs w:val="0"/>
          </w:rPr>
          <w:t>زاهد نجفي، عيسى بن حسين قرن 13 ه-</w:t>
        </w:r>
        <w:r>
          <w:tab/>
        </w:r>
        <w:r>
          <w:fldChar w:fldCharType="begin"/>
        </w:r>
        <w:r>
          <w:instrText xml:space="preserve">PAGEREF 3717 \h</w:instrText>
        </w:r>
        <w:r>
          <w:fldChar w:fldCharType="end"/>
        </w:r>
      </w:hyperlink>
    </w:p>
    <w:p>
      <w:pPr>
        <w:tabs>
          <w:tab w:val="right" w:leader="dot" w:pos="9062"/>
        </w:tabs>
        <w:ind w:left="220"/>
      </w:pPr>
      <w:hyperlink w:anchor="_Toc3718" w:history="1">
        <w:r>
          <w:rPr>
            <w:rFonts w:ascii="IRNazanin" w:hAnsi="IRNazanin" w:eastAsia="IRNazanin" w:cs="IRNazanin"/>
            <w:color w:val="111111"/>
            <w:sz w:val="22"/>
            <w:szCs w:val="22"/>
            <w:b w:val="0"/>
            <w:bCs w:val="0"/>
            <w:i w:val="0"/>
            <w:iCs w:val="0"/>
          </w:rPr>
          <w:t>زاهد نجفي ، محمّد</w:t>
        </w:r>
        <w:r>
          <w:tab/>
        </w:r>
        <w:r>
          <w:fldChar w:fldCharType="begin"/>
        </w:r>
        <w:r>
          <w:instrText xml:space="preserve">PAGEREF 3718 \h</w:instrText>
        </w:r>
        <w:r>
          <w:fldChar w:fldCharType="end"/>
        </w:r>
      </w:hyperlink>
    </w:p>
    <w:p>
      <w:pPr>
        <w:tabs>
          <w:tab w:val="right" w:leader="dot" w:pos="9062"/>
        </w:tabs>
        <w:ind w:left="220"/>
      </w:pPr>
      <w:hyperlink w:anchor="_Toc3719" w:history="1">
        <w:r>
          <w:rPr>
            <w:rFonts w:ascii="IRNazanin" w:hAnsi="IRNazanin" w:eastAsia="IRNazanin" w:cs="IRNazanin"/>
            <w:color w:val="111111"/>
            <w:sz w:val="22"/>
            <w:szCs w:val="22"/>
            <w:b w:val="0"/>
            <w:bCs w:val="0"/>
            <w:i w:val="0"/>
            <w:iCs w:val="0"/>
          </w:rPr>
          <w:t>زاهدي لاري ، عبد الحي بن عزالدين</w:t>
        </w:r>
        <w:r>
          <w:tab/>
        </w:r>
        <w:r>
          <w:fldChar w:fldCharType="begin"/>
        </w:r>
        <w:r>
          <w:instrText xml:space="preserve">PAGEREF 3719 \h</w:instrText>
        </w:r>
        <w:r>
          <w:fldChar w:fldCharType="end"/>
        </w:r>
      </w:hyperlink>
    </w:p>
    <w:p>
      <w:pPr>
        <w:tabs>
          <w:tab w:val="right" w:leader="dot" w:pos="9062"/>
        </w:tabs>
        <w:ind w:left="220"/>
      </w:pPr>
      <w:hyperlink w:anchor="_Toc3720" w:history="1">
        <w:r>
          <w:rPr>
            <w:rFonts w:ascii="IRNazanin" w:hAnsi="IRNazanin" w:eastAsia="IRNazanin" w:cs="IRNazanin"/>
            <w:color w:val="111111"/>
            <w:sz w:val="22"/>
            <w:szCs w:val="22"/>
            <w:b w:val="0"/>
            <w:bCs w:val="0"/>
            <w:i w:val="0"/>
            <w:iCs w:val="0"/>
          </w:rPr>
          <w:t>زاهدي، مختار بن محمود - 658 ه-</w:t>
        </w:r>
        <w:r>
          <w:tab/>
        </w:r>
        <w:r>
          <w:fldChar w:fldCharType="begin"/>
        </w:r>
        <w:r>
          <w:instrText xml:space="preserve">PAGEREF 3720 \h</w:instrText>
        </w:r>
        <w:r>
          <w:fldChar w:fldCharType="end"/>
        </w:r>
      </w:hyperlink>
    </w:p>
    <w:p>
      <w:pPr>
        <w:tabs>
          <w:tab w:val="right" w:leader="dot" w:pos="9062"/>
        </w:tabs>
        <w:ind w:left="220"/>
      </w:pPr>
      <w:hyperlink w:anchor="_Toc3721" w:history="1">
        <w:r>
          <w:rPr>
            <w:rFonts w:ascii="IRNazanin" w:hAnsi="IRNazanin" w:eastAsia="IRNazanin" w:cs="IRNazanin"/>
            <w:color w:val="111111"/>
            <w:sz w:val="22"/>
            <w:szCs w:val="22"/>
            <w:b w:val="0"/>
            <w:bCs w:val="0"/>
            <w:i w:val="0"/>
            <w:iCs w:val="0"/>
          </w:rPr>
          <w:t>زاهي، علي بن اسحاق، 318 - 352 ه-</w:t>
        </w:r>
        <w:r>
          <w:tab/>
        </w:r>
        <w:r>
          <w:fldChar w:fldCharType="begin"/>
        </w:r>
        <w:r>
          <w:instrText xml:space="preserve">PAGEREF 3721 \h</w:instrText>
        </w:r>
        <w:r>
          <w:fldChar w:fldCharType="end"/>
        </w:r>
      </w:hyperlink>
    </w:p>
    <w:p>
      <w:pPr>
        <w:tabs>
          <w:tab w:val="right" w:leader="dot" w:pos="9062"/>
        </w:tabs>
        <w:ind w:left="220"/>
      </w:pPr>
      <w:hyperlink w:anchor="_Toc3722" w:history="1">
        <w:r>
          <w:rPr>
            <w:rFonts w:ascii="IRNazanin" w:hAnsi="IRNazanin" w:eastAsia="IRNazanin" w:cs="IRNazanin"/>
            <w:color w:val="111111"/>
            <w:sz w:val="22"/>
            <w:szCs w:val="22"/>
            <w:b w:val="0"/>
            <w:bCs w:val="0"/>
            <w:i w:val="0"/>
            <w:iCs w:val="0"/>
          </w:rPr>
          <w:t>زبزاري، عبدالرحمن بن داود ، قرن 7 ه-</w:t>
        </w:r>
        <w:r>
          <w:tab/>
        </w:r>
        <w:r>
          <w:fldChar w:fldCharType="begin"/>
        </w:r>
        <w:r>
          <w:instrText xml:space="preserve">PAGEREF 3722 \h</w:instrText>
        </w:r>
        <w:r>
          <w:fldChar w:fldCharType="end"/>
        </w:r>
      </w:hyperlink>
    </w:p>
    <w:p>
      <w:pPr>
        <w:tabs>
          <w:tab w:val="right" w:leader="dot" w:pos="9062"/>
        </w:tabs>
        <w:ind w:left="220"/>
      </w:pPr>
      <w:hyperlink w:anchor="_Toc3723" w:history="1">
        <w:r>
          <w:rPr>
            <w:rFonts w:ascii="IRNazanin" w:hAnsi="IRNazanin" w:eastAsia="IRNazanin" w:cs="IRNazanin"/>
            <w:color w:val="111111"/>
            <w:sz w:val="22"/>
            <w:szCs w:val="22"/>
            <w:b w:val="0"/>
            <w:bCs w:val="0"/>
            <w:i w:val="0"/>
            <w:iCs w:val="0"/>
          </w:rPr>
          <w:t>زبيدي ، احمد بن احمد، 812 - 893 ه-</w:t>
        </w:r>
        <w:r>
          <w:tab/>
        </w:r>
        <w:r>
          <w:fldChar w:fldCharType="begin"/>
        </w:r>
        <w:r>
          <w:instrText xml:space="preserve">PAGEREF 3723 \h</w:instrText>
        </w:r>
        <w:r>
          <w:fldChar w:fldCharType="end"/>
        </w:r>
      </w:hyperlink>
    </w:p>
    <w:p>
      <w:pPr>
        <w:tabs>
          <w:tab w:val="right" w:leader="dot" w:pos="9062"/>
        </w:tabs>
        <w:ind w:left="220"/>
      </w:pPr>
      <w:hyperlink w:anchor="_Toc3724" w:history="1">
        <w:r>
          <w:rPr>
            <w:rFonts w:ascii="IRNazanin" w:hAnsi="IRNazanin" w:eastAsia="IRNazanin" w:cs="IRNazanin"/>
            <w:color w:val="111111"/>
            <w:sz w:val="22"/>
            <w:szCs w:val="22"/>
            <w:b w:val="0"/>
            <w:bCs w:val="0"/>
            <w:i w:val="0"/>
            <w:iCs w:val="0"/>
          </w:rPr>
          <w:t>زبيدي ، احمد بن عمر، 847 - 930 ه-</w:t>
        </w:r>
        <w:r>
          <w:tab/>
        </w:r>
        <w:r>
          <w:fldChar w:fldCharType="begin"/>
        </w:r>
        <w:r>
          <w:instrText xml:space="preserve">PAGEREF 3724 \h</w:instrText>
        </w:r>
        <w:r>
          <w:fldChar w:fldCharType="end"/>
        </w:r>
      </w:hyperlink>
    </w:p>
    <w:p>
      <w:pPr>
        <w:tabs>
          <w:tab w:val="right" w:leader="dot" w:pos="9062"/>
        </w:tabs>
        <w:ind w:left="220"/>
      </w:pPr>
      <w:hyperlink w:anchor="_Toc3725" w:history="1">
        <w:r>
          <w:rPr>
            <w:rFonts w:ascii="IRNazanin" w:hAnsi="IRNazanin" w:eastAsia="IRNazanin" w:cs="IRNazanin"/>
            <w:color w:val="111111"/>
            <w:sz w:val="22"/>
            <w:szCs w:val="22"/>
            <w:b w:val="0"/>
            <w:bCs w:val="0"/>
            <w:i w:val="0"/>
            <w:iCs w:val="0"/>
          </w:rPr>
          <w:t>زبيدي، اسماعيل بن عبدالله</w:t>
        </w:r>
        <w:r>
          <w:tab/>
        </w:r>
        <w:r>
          <w:fldChar w:fldCharType="begin"/>
        </w:r>
        <w:r>
          <w:instrText xml:space="preserve">PAGEREF 3725 \h</w:instrText>
        </w:r>
        <w:r>
          <w:fldChar w:fldCharType="end"/>
        </w:r>
      </w:hyperlink>
    </w:p>
    <w:p>
      <w:pPr>
        <w:tabs>
          <w:tab w:val="right" w:leader="dot" w:pos="9062"/>
        </w:tabs>
        <w:ind w:left="220"/>
      </w:pPr>
      <w:hyperlink w:anchor="_Toc3726" w:history="1">
        <w:r>
          <w:rPr>
            <w:rFonts w:ascii="IRNazanin" w:hAnsi="IRNazanin" w:eastAsia="IRNazanin" w:cs="IRNazanin"/>
            <w:color w:val="111111"/>
            <w:sz w:val="22"/>
            <w:szCs w:val="22"/>
            <w:b w:val="0"/>
            <w:bCs w:val="0"/>
            <w:i w:val="0"/>
            <w:iCs w:val="0"/>
          </w:rPr>
          <w:t>زبيدي، صديق بن محمّد قرن 11 ه-</w:t>
        </w:r>
        <w:r>
          <w:tab/>
        </w:r>
        <w:r>
          <w:fldChar w:fldCharType="begin"/>
        </w:r>
        <w:r>
          <w:instrText xml:space="preserve">PAGEREF 3726 \h</w:instrText>
        </w:r>
        <w:r>
          <w:fldChar w:fldCharType="end"/>
        </w:r>
      </w:hyperlink>
    </w:p>
    <w:p>
      <w:pPr>
        <w:tabs>
          <w:tab w:val="right" w:leader="dot" w:pos="9062"/>
        </w:tabs>
        <w:ind w:left="220"/>
      </w:pPr>
      <w:hyperlink w:anchor="_Toc3727" w:history="1">
        <w:r>
          <w:rPr>
            <w:rFonts w:ascii="IRNazanin" w:hAnsi="IRNazanin" w:eastAsia="IRNazanin" w:cs="IRNazanin"/>
            <w:color w:val="111111"/>
            <w:sz w:val="22"/>
            <w:szCs w:val="22"/>
            <w:b w:val="0"/>
            <w:bCs w:val="0"/>
            <w:i w:val="0"/>
            <w:iCs w:val="0"/>
          </w:rPr>
          <w:t>زبيدي ، محمّد بشير بن مصطفى</w:t>
        </w:r>
        <w:r>
          <w:tab/>
        </w:r>
        <w:r>
          <w:fldChar w:fldCharType="begin"/>
        </w:r>
        <w:r>
          <w:instrText xml:space="preserve">PAGEREF 3727 \h</w:instrText>
        </w:r>
        <w:r>
          <w:fldChar w:fldCharType="end"/>
        </w:r>
      </w:hyperlink>
    </w:p>
    <w:p>
      <w:pPr>
        <w:tabs>
          <w:tab w:val="right" w:leader="dot" w:pos="9062"/>
        </w:tabs>
        <w:ind w:left="220"/>
      </w:pPr>
      <w:hyperlink w:anchor="_Toc3728" w:history="1">
        <w:r>
          <w:rPr>
            <w:rFonts w:ascii="IRNazanin" w:hAnsi="IRNazanin" w:eastAsia="IRNazanin" w:cs="IRNazanin"/>
            <w:color w:val="111111"/>
            <w:sz w:val="22"/>
            <w:szCs w:val="22"/>
            <w:b w:val="0"/>
            <w:bCs w:val="0"/>
            <w:i w:val="0"/>
            <w:iCs w:val="0"/>
          </w:rPr>
          <w:t>زبيدي، محمّد بن حسن، 316 - 379 ه-</w:t>
        </w:r>
        <w:r>
          <w:tab/>
        </w:r>
        <w:r>
          <w:fldChar w:fldCharType="begin"/>
        </w:r>
        <w:r>
          <w:instrText xml:space="preserve">PAGEREF 3728 \h</w:instrText>
        </w:r>
        <w:r>
          <w:fldChar w:fldCharType="end"/>
        </w:r>
      </w:hyperlink>
    </w:p>
    <w:p>
      <w:pPr>
        <w:tabs>
          <w:tab w:val="right" w:leader="dot" w:pos="9062"/>
        </w:tabs>
        <w:ind w:left="220"/>
      </w:pPr>
      <w:hyperlink w:anchor="_Toc3729" w:history="1">
        <w:r>
          <w:rPr>
            <w:rFonts w:ascii="IRNazanin" w:hAnsi="IRNazanin" w:eastAsia="IRNazanin" w:cs="IRNazanin"/>
            <w:color w:val="111111"/>
            <w:sz w:val="22"/>
            <w:szCs w:val="22"/>
            <w:b w:val="0"/>
            <w:bCs w:val="0"/>
            <w:i w:val="0"/>
            <w:iCs w:val="0"/>
          </w:rPr>
          <w:t>زبير ، عبدالله بن عبدالحي</w:t>
        </w:r>
        <w:r>
          <w:tab/>
        </w:r>
        <w:r>
          <w:fldChar w:fldCharType="begin"/>
        </w:r>
        <w:r>
          <w:instrText xml:space="preserve">PAGEREF 3729 \h</w:instrText>
        </w:r>
        <w:r>
          <w:fldChar w:fldCharType="end"/>
        </w:r>
      </w:hyperlink>
    </w:p>
    <w:p>
      <w:pPr>
        <w:tabs>
          <w:tab w:val="right" w:leader="dot" w:pos="9062"/>
        </w:tabs>
        <w:ind w:left="220"/>
      </w:pPr>
      <w:hyperlink w:anchor="_Toc3730" w:history="1">
        <w:r>
          <w:rPr>
            <w:rFonts w:ascii="IRNazanin" w:hAnsi="IRNazanin" w:eastAsia="IRNazanin" w:cs="IRNazanin"/>
            <w:color w:val="111111"/>
            <w:sz w:val="22"/>
            <w:szCs w:val="22"/>
            <w:b w:val="0"/>
            <w:bCs w:val="0"/>
            <w:i w:val="0"/>
            <w:iCs w:val="0"/>
          </w:rPr>
          <w:t>زبيري ، زبير بن بكار 172 - 256 ه-</w:t>
        </w:r>
        <w:r>
          <w:tab/>
        </w:r>
        <w:r>
          <w:fldChar w:fldCharType="begin"/>
        </w:r>
        <w:r>
          <w:instrText xml:space="preserve">PAGEREF 3730 \h</w:instrText>
        </w:r>
        <w:r>
          <w:fldChar w:fldCharType="end"/>
        </w:r>
      </w:hyperlink>
    </w:p>
    <w:p>
      <w:pPr>
        <w:tabs>
          <w:tab w:val="right" w:leader="dot" w:pos="9062"/>
        </w:tabs>
        <w:ind w:left="220"/>
      </w:pPr>
      <w:hyperlink w:anchor="_Toc3731" w:history="1">
        <w:r>
          <w:rPr>
            <w:rFonts w:ascii="IRNazanin" w:hAnsi="IRNazanin" w:eastAsia="IRNazanin" w:cs="IRNazanin"/>
            <w:color w:val="111111"/>
            <w:sz w:val="22"/>
            <w:szCs w:val="22"/>
            <w:b w:val="0"/>
            <w:bCs w:val="0"/>
            <w:i w:val="0"/>
            <w:iCs w:val="0"/>
          </w:rPr>
          <w:t>زبيري ، مصعب بن عبدالله 156 - 236</w:t>
        </w:r>
        <w:r>
          <w:tab/>
        </w:r>
        <w:r>
          <w:fldChar w:fldCharType="begin"/>
        </w:r>
        <w:r>
          <w:instrText xml:space="preserve">PAGEREF 3731 \h</w:instrText>
        </w:r>
        <w:r>
          <w:fldChar w:fldCharType="end"/>
        </w:r>
      </w:hyperlink>
    </w:p>
    <w:p>
      <w:pPr>
        <w:tabs>
          <w:tab w:val="right" w:leader="dot" w:pos="9062"/>
        </w:tabs>
        <w:ind w:left="220"/>
      </w:pPr>
      <w:hyperlink w:anchor="_Toc3732" w:history="1">
        <w:r>
          <w:rPr>
            <w:rFonts w:ascii="IRNazanin" w:hAnsi="IRNazanin" w:eastAsia="IRNazanin" w:cs="IRNazanin"/>
            <w:color w:val="111111"/>
            <w:sz w:val="22"/>
            <w:szCs w:val="22"/>
            <w:b w:val="0"/>
            <w:bCs w:val="0"/>
            <w:i w:val="0"/>
            <w:iCs w:val="0"/>
          </w:rPr>
          <w:t>زجاج ، ابراهیم</w:t>
        </w:r>
        <w:r>
          <w:tab/>
        </w:r>
        <w:r>
          <w:fldChar w:fldCharType="begin"/>
        </w:r>
        <w:r>
          <w:instrText xml:space="preserve">PAGEREF 3732 \h</w:instrText>
        </w:r>
        <w:r>
          <w:fldChar w:fldCharType="end"/>
        </w:r>
      </w:hyperlink>
    </w:p>
    <w:p>
      <w:pPr>
        <w:tabs>
          <w:tab w:val="right" w:leader="dot" w:pos="9062"/>
        </w:tabs>
        <w:ind w:left="220"/>
      </w:pPr>
      <w:hyperlink w:anchor="_Toc3733" w:history="1">
        <w:r>
          <w:rPr>
            <w:rFonts w:ascii="IRNazanin" w:hAnsi="IRNazanin" w:eastAsia="IRNazanin" w:cs="IRNazanin"/>
            <w:color w:val="111111"/>
            <w:sz w:val="22"/>
            <w:szCs w:val="22"/>
            <w:b w:val="0"/>
            <w:bCs w:val="0"/>
            <w:i w:val="0"/>
            <w:iCs w:val="0"/>
          </w:rPr>
          <w:t>زجاج انباري ، حسين بن عبدالله</w:t>
        </w:r>
        <w:r>
          <w:tab/>
        </w:r>
        <w:r>
          <w:fldChar w:fldCharType="begin"/>
        </w:r>
        <w:r>
          <w:instrText xml:space="preserve">PAGEREF 3733 \h</w:instrText>
        </w:r>
        <w:r>
          <w:fldChar w:fldCharType="end"/>
        </w:r>
      </w:hyperlink>
    </w:p>
    <w:p>
      <w:pPr>
        <w:tabs>
          <w:tab w:val="right" w:leader="dot" w:pos="9062"/>
        </w:tabs>
        <w:ind w:left="220"/>
      </w:pPr>
      <w:hyperlink w:anchor="_Toc3734" w:history="1">
        <w:r>
          <w:rPr>
            <w:rFonts w:ascii="IRNazanin" w:hAnsi="IRNazanin" w:eastAsia="IRNazanin" w:cs="IRNazanin"/>
            <w:color w:val="111111"/>
            <w:sz w:val="22"/>
            <w:szCs w:val="22"/>
            <w:b w:val="0"/>
            <w:bCs w:val="0"/>
            <w:i w:val="0"/>
            <w:iCs w:val="0"/>
          </w:rPr>
          <w:t>زجاجي ، عبدالرحمن بن اسحاق - 337 ؟ ه-</w:t>
        </w:r>
        <w:r>
          <w:tab/>
        </w:r>
        <w:r>
          <w:fldChar w:fldCharType="begin"/>
        </w:r>
        <w:r>
          <w:instrText xml:space="preserve">PAGEREF 3734 \h</w:instrText>
        </w:r>
        <w:r>
          <w:fldChar w:fldCharType="end"/>
        </w:r>
      </w:hyperlink>
    </w:p>
    <w:p>
      <w:pPr>
        <w:tabs>
          <w:tab w:val="right" w:leader="dot" w:pos="9062"/>
        </w:tabs>
        <w:ind w:left="220"/>
      </w:pPr>
      <w:hyperlink w:anchor="_Toc3735" w:history="1">
        <w:r>
          <w:rPr>
            <w:rFonts w:ascii="IRNazanin" w:hAnsi="IRNazanin" w:eastAsia="IRNazanin" w:cs="IRNazanin"/>
            <w:color w:val="111111"/>
            <w:sz w:val="22"/>
            <w:szCs w:val="22"/>
            <w:b w:val="0"/>
            <w:bCs w:val="0"/>
            <w:i w:val="0"/>
            <w:iCs w:val="0"/>
          </w:rPr>
          <w:t>زجاجي مدني ، احمد بن محمّد</w:t>
        </w:r>
        <w:r>
          <w:tab/>
        </w:r>
        <w:r>
          <w:fldChar w:fldCharType="begin"/>
        </w:r>
        <w:r>
          <w:instrText xml:space="preserve">PAGEREF 3735 \h</w:instrText>
        </w:r>
        <w:r>
          <w:fldChar w:fldCharType="end"/>
        </w:r>
      </w:hyperlink>
    </w:p>
    <w:p>
      <w:pPr>
        <w:tabs>
          <w:tab w:val="right" w:leader="dot" w:pos="9062"/>
        </w:tabs>
        <w:ind w:left="220"/>
      </w:pPr>
      <w:hyperlink w:anchor="_Toc3736" w:history="1">
        <w:r>
          <w:rPr>
            <w:rFonts w:ascii="IRNazanin" w:hAnsi="IRNazanin" w:eastAsia="IRNazanin" w:cs="IRNazanin"/>
            <w:color w:val="111111"/>
            <w:sz w:val="22"/>
            <w:szCs w:val="22"/>
            <w:b w:val="0"/>
            <w:bCs w:val="0"/>
            <w:i w:val="0"/>
            <w:iCs w:val="0"/>
          </w:rPr>
          <w:t>زجاجي ، يوسف بن عبدالله - 415 ه-</w:t>
        </w:r>
        <w:r>
          <w:tab/>
        </w:r>
        <w:r>
          <w:fldChar w:fldCharType="begin"/>
        </w:r>
        <w:r>
          <w:instrText xml:space="preserve">PAGEREF 3736 \h</w:instrText>
        </w:r>
        <w:r>
          <w:fldChar w:fldCharType="end"/>
        </w:r>
      </w:hyperlink>
    </w:p>
    <w:p>
      <w:pPr>
        <w:tabs>
          <w:tab w:val="right" w:leader="dot" w:pos="9062"/>
        </w:tabs>
        <w:ind w:left="220"/>
      </w:pPr>
      <w:hyperlink w:anchor="_Toc3737" w:history="1">
        <w:r>
          <w:rPr>
            <w:rFonts w:ascii="IRNazanin" w:hAnsi="IRNazanin" w:eastAsia="IRNazanin" w:cs="IRNazanin"/>
            <w:color w:val="111111"/>
            <w:sz w:val="22"/>
            <w:szCs w:val="22"/>
            <w:b w:val="0"/>
            <w:bCs w:val="0"/>
            <w:i w:val="0"/>
            <w:iCs w:val="0"/>
          </w:rPr>
          <w:t>؟ زراد ، زيد قرن 2 ه-</w:t>
        </w:r>
        <w:r>
          <w:tab/>
        </w:r>
        <w:r>
          <w:fldChar w:fldCharType="begin"/>
        </w:r>
        <w:r>
          <w:instrText xml:space="preserve">PAGEREF 3737 \h</w:instrText>
        </w:r>
        <w:r>
          <w:fldChar w:fldCharType="end"/>
        </w:r>
      </w:hyperlink>
    </w:p>
    <w:p>
      <w:pPr>
        <w:tabs>
          <w:tab w:val="right" w:leader="dot" w:pos="9062"/>
        </w:tabs>
        <w:ind w:left="220"/>
      </w:pPr>
      <w:hyperlink w:anchor="_Toc3738" w:history="1">
        <w:r>
          <w:rPr>
            <w:rFonts w:ascii="IRNazanin" w:hAnsi="IRNazanin" w:eastAsia="IRNazanin" w:cs="IRNazanin"/>
            <w:color w:val="111111"/>
            <w:sz w:val="22"/>
            <w:szCs w:val="22"/>
            <w:b w:val="0"/>
            <w:bCs w:val="0"/>
            <w:i w:val="0"/>
            <w:iCs w:val="0"/>
          </w:rPr>
          <w:t>زراره ، عبدربه بن اعين - 150ه-</w:t>
        </w:r>
        <w:r>
          <w:tab/>
        </w:r>
        <w:r>
          <w:fldChar w:fldCharType="begin"/>
        </w:r>
        <w:r>
          <w:instrText xml:space="preserve">PAGEREF 3738 \h</w:instrText>
        </w:r>
        <w:r>
          <w:fldChar w:fldCharType="end"/>
        </w:r>
      </w:hyperlink>
    </w:p>
    <w:p>
      <w:pPr>
        <w:tabs>
          <w:tab w:val="right" w:leader="dot" w:pos="9062"/>
        </w:tabs>
        <w:ind w:left="220"/>
      </w:pPr>
      <w:hyperlink w:anchor="_Toc3739" w:history="1">
        <w:r>
          <w:rPr>
            <w:rFonts w:ascii="IRNazanin" w:hAnsi="IRNazanin" w:eastAsia="IRNazanin" w:cs="IRNazanin"/>
            <w:color w:val="111111"/>
            <w:sz w:val="22"/>
            <w:szCs w:val="22"/>
            <w:b w:val="0"/>
            <w:bCs w:val="0"/>
            <w:i w:val="0"/>
            <w:iCs w:val="0"/>
          </w:rPr>
          <w:t>زراري، احمد بن محمّد، 285 - 368 ؟ ه-</w:t>
        </w:r>
        <w:r>
          <w:tab/>
        </w:r>
        <w:r>
          <w:fldChar w:fldCharType="begin"/>
        </w:r>
        <w:r>
          <w:instrText xml:space="preserve">PAGEREF 3739 \h</w:instrText>
        </w:r>
        <w:r>
          <w:fldChar w:fldCharType="end"/>
        </w:r>
      </w:hyperlink>
    </w:p>
    <w:p>
      <w:pPr>
        <w:tabs>
          <w:tab w:val="right" w:leader="dot" w:pos="9062"/>
        </w:tabs>
        <w:ind w:left="220"/>
      </w:pPr>
      <w:hyperlink w:anchor="_Toc3740" w:history="1">
        <w:r>
          <w:rPr>
            <w:rFonts w:ascii="IRNazanin" w:hAnsi="IRNazanin" w:eastAsia="IRNazanin" w:cs="IRNazanin"/>
            <w:color w:val="111111"/>
            <w:sz w:val="22"/>
            <w:szCs w:val="22"/>
            <w:b w:val="0"/>
            <w:bCs w:val="0"/>
            <w:i w:val="0"/>
            <w:iCs w:val="0"/>
          </w:rPr>
          <w:t>زرعه ، محمّد تقي الدين بن عمر</w:t>
        </w:r>
        <w:r>
          <w:tab/>
        </w:r>
        <w:r>
          <w:fldChar w:fldCharType="begin"/>
        </w:r>
        <w:r>
          <w:instrText xml:space="preserve">PAGEREF 3740 \h</w:instrText>
        </w:r>
        <w:r>
          <w:fldChar w:fldCharType="end"/>
        </w:r>
      </w:hyperlink>
    </w:p>
    <w:p>
      <w:pPr>
        <w:tabs>
          <w:tab w:val="right" w:leader="dot" w:pos="9062"/>
        </w:tabs>
        <w:ind w:left="220"/>
      </w:pPr>
      <w:hyperlink w:anchor="_Toc3741" w:history="1">
        <w:r>
          <w:rPr>
            <w:rFonts w:ascii="IRNazanin" w:hAnsi="IRNazanin" w:eastAsia="IRNazanin" w:cs="IRNazanin"/>
            <w:color w:val="111111"/>
            <w:sz w:val="22"/>
            <w:szCs w:val="22"/>
            <w:b w:val="0"/>
            <w:bCs w:val="0"/>
            <w:i w:val="0"/>
            <w:iCs w:val="0"/>
          </w:rPr>
          <w:t>زرقاني ، احمد بن محمّد، قرن 10 ه-</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زرقاني ، عبد المنعم</w:t>
        </w:r>
        <w:r>
          <w:tab/>
        </w:r>
        <w:r>
          <w:fldChar w:fldCharType="begin"/>
        </w:r>
        <w:r>
          <w:instrText xml:space="preserve">PAGEREF 3742 \h</w:instrText>
        </w:r>
        <w:r>
          <w:fldChar w:fldCharType="end"/>
        </w:r>
      </w:hyperlink>
    </w:p>
    <w:p>
      <w:pPr>
        <w:tabs>
          <w:tab w:val="right" w:leader="dot" w:pos="9062"/>
        </w:tabs>
        <w:ind w:left="220"/>
      </w:pPr>
      <w:hyperlink w:anchor="_Toc3743" w:history="1">
        <w:r>
          <w:rPr>
            <w:rFonts w:ascii="IRNazanin" w:hAnsi="IRNazanin" w:eastAsia="IRNazanin" w:cs="IRNazanin"/>
            <w:color w:val="111111"/>
            <w:sz w:val="22"/>
            <w:szCs w:val="22"/>
            <w:b w:val="0"/>
            <w:bCs w:val="0"/>
            <w:i w:val="0"/>
            <w:iCs w:val="0"/>
          </w:rPr>
          <w:t>زرقاني ، محمد بن عبد الباقي 1055 - 1122 ه-</w:t>
        </w:r>
        <w:r>
          <w:tab/>
        </w:r>
        <w:r>
          <w:fldChar w:fldCharType="begin"/>
        </w:r>
        <w:r>
          <w:instrText xml:space="preserve">PAGEREF 3743 \h</w:instrText>
        </w:r>
        <w:r>
          <w:fldChar w:fldCharType="end"/>
        </w:r>
      </w:hyperlink>
    </w:p>
    <w:p>
      <w:pPr>
        <w:tabs>
          <w:tab w:val="right" w:leader="dot" w:pos="9062"/>
        </w:tabs>
        <w:ind w:left="220"/>
      </w:pPr>
      <w:hyperlink w:anchor="_Toc3744" w:history="1">
        <w:r>
          <w:rPr>
            <w:rFonts w:ascii="IRNazanin" w:hAnsi="IRNazanin" w:eastAsia="IRNazanin" w:cs="IRNazanin"/>
            <w:color w:val="111111"/>
            <w:sz w:val="22"/>
            <w:szCs w:val="22"/>
            <w:b w:val="0"/>
            <w:bCs w:val="0"/>
            <w:i w:val="0"/>
            <w:iCs w:val="0"/>
          </w:rPr>
          <w:t>زركتي ، مولان بن موسى</w:t>
        </w:r>
        <w:r>
          <w:tab/>
        </w:r>
        <w:r>
          <w:fldChar w:fldCharType="begin"/>
        </w:r>
        <w:r>
          <w:instrText xml:space="preserve">PAGEREF 3744 \h</w:instrText>
        </w:r>
        <w:r>
          <w:fldChar w:fldCharType="end"/>
        </w:r>
      </w:hyperlink>
    </w:p>
    <w:p>
      <w:pPr>
        <w:tabs>
          <w:tab w:val="right" w:leader="dot" w:pos="9062"/>
        </w:tabs>
        <w:ind w:left="220"/>
      </w:pPr>
      <w:hyperlink w:anchor="_Toc3745" w:history="1">
        <w:r>
          <w:rPr>
            <w:rFonts w:ascii="IRNazanin" w:hAnsi="IRNazanin" w:eastAsia="IRNazanin" w:cs="IRNazanin"/>
            <w:color w:val="111111"/>
            <w:sz w:val="22"/>
            <w:szCs w:val="22"/>
            <w:b w:val="0"/>
            <w:bCs w:val="0"/>
            <w:i w:val="0"/>
            <w:iCs w:val="0"/>
          </w:rPr>
          <w:t>زركشي ، محمّد بن بهادر، 745 - 794 ه-</w:t>
        </w:r>
        <w:r>
          <w:tab/>
        </w:r>
        <w:r>
          <w:fldChar w:fldCharType="begin"/>
        </w:r>
        <w:r>
          <w:instrText xml:space="preserve">PAGEREF 3745 \h</w:instrText>
        </w:r>
        <w:r>
          <w:fldChar w:fldCharType="end"/>
        </w:r>
      </w:hyperlink>
    </w:p>
    <w:p>
      <w:pPr>
        <w:tabs>
          <w:tab w:val="right" w:leader="dot" w:pos="9062"/>
        </w:tabs>
        <w:ind w:left="220"/>
      </w:pPr>
      <w:hyperlink w:anchor="_Toc3746" w:history="1">
        <w:r>
          <w:rPr>
            <w:rFonts w:ascii="IRNazanin" w:hAnsi="IRNazanin" w:eastAsia="IRNazanin" w:cs="IRNazanin"/>
            <w:color w:val="111111"/>
            <w:sz w:val="22"/>
            <w:szCs w:val="22"/>
            <w:b w:val="0"/>
            <w:bCs w:val="0"/>
            <w:i w:val="0"/>
            <w:iCs w:val="0"/>
          </w:rPr>
          <w:t>زركشي ، محمّد بن عبدالله - 772 ه-</w:t>
        </w:r>
        <w:r>
          <w:tab/>
        </w:r>
        <w:r>
          <w:fldChar w:fldCharType="begin"/>
        </w:r>
        <w:r>
          <w:instrText xml:space="preserve">PAGEREF 3746 \h</w:instrText>
        </w:r>
        <w:r>
          <w:fldChar w:fldCharType="end"/>
        </w:r>
      </w:hyperlink>
    </w:p>
    <w:p>
      <w:pPr>
        <w:tabs>
          <w:tab w:val="right" w:leader="dot" w:pos="9062"/>
        </w:tabs>
        <w:ind w:left="220"/>
      </w:pPr>
      <w:hyperlink w:anchor="_Toc3747" w:history="1">
        <w:r>
          <w:rPr>
            <w:rFonts w:ascii="IRNazanin" w:hAnsi="IRNazanin" w:eastAsia="IRNazanin" w:cs="IRNazanin"/>
            <w:color w:val="111111"/>
            <w:sz w:val="22"/>
            <w:szCs w:val="22"/>
            <w:b w:val="0"/>
            <w:bCs w:val="0"/>
            <w:i w:val="0"/>
            <w:iCs w:val="0"/>
          </w:rPr>
          <w:t>زركشي ، محمّد بن محمّد - 813 ه-</w:t>
        </w:r>
        <w:r>
          <w:tab/>
        </w:r>
        <w:r>
          <w:fldChar w:fldCharType="begin"/>
        </w:r>
        <w:r>
          <w:instrText xml:space="preserve">PAGEREF 3747 \h</w:instrText>
        </w:r>
        <w:r>
          <w:fldChar w:fldCharType="end"/>
        </w:r>
      </w:hyperlink>
    </w:p>
    <w:p>
      <w:pPr>
        <w:tabs>
          <w:tab w:val="right" w:leader="dot" w:pos="9062"/>
        </w:tabs>
        <w:ind w:left="220"/>
      </w:pPr>
      <w:hyperlink w:anchor="_Toc3748" w:history="1">
        <w:r>
          <w:rPr>
            <w:rFonts w:ascii="IRNazanin" w:hAnsi="IRNazanin" w:eastAsia="IRNazanin" w:cs="IRNazanin"/>
            <w:color w:val="111111"/>
            <w:sz w:val="22"/>
            <w:szCs w:val="22"/>
            <w:b w:val="0"/>
            <w:bCs w:val="0"/>
            <w:i w:val="0"/>
            <w:iCs w:val="0"/>
          </w:rPr>
          <w:t>زرنوجي ، عثمان بن عمر قرن 6 ه-</w:t>
        </w:r>
        <w:r>
          <w:tab/>
        </w:r>
        <w:r>
          <w:fldChar w:fldCharType="begin"/>
        </w:r>
        <w:r>
          <w:instrText xml:space="preserve">PAGEREF 3748 \h</w:instrText>
        </w:r>
        <w:r>
          <w:fldChar w:fldCharType="end"/>
        </w:r>
      </w:hyperlink>
    </w:p>
    <w:p>
      <w:pPr>
        <w:tabs>
          <w:tab w:val="right" w:leader="dot" w:pos="9062"/>
        </w:tabs>
        <w:ind w:left="220"/>
      </w:pPr>
      <w:hyperlink w:anchor="_Toc3749" w:history="1">
        <w:r>
          <w:rPr>
            <w:rFonts w:ascii="IRNazanin" w:hAnsi="IRNazanin" w:eastAsia="IRNazanin" w:cs="IRNazanin"/>
            <w:color w:val="111111"/>
            <w:sz w:val="22"/>
            <w:szCs w:val="22"/>
            <w:b w:val="0"/>
            <w:bCs w:val="0"/>
            <w:i w:val="0"/>
            <w:iCs w:val="0"/>
          </w:rPr>
          <w:t>زريجاوي ، محمّد بن طعمه قرن 12 ه-</w:t>
        </w:r>
        <w:r>
          <w:tab/>
        </w:r>
        <w:r>
          <w:fldChar w:fldCharType="begin"/>
        </w:r>
        <w:r>
          <w:instrText xml:space="preserve">PAGEREF 3749 \h</w:instrText>
        </w:r>
        <w:r>
          <w:fldChar w:fldCharType="end"/>
        </w:r>
      </w:hyperlink>
    </w:p>
    <w:p>
      <w:pPr>
        <w:tabs>
          <w:tab w:val="right" w:leader="dot" w:pos="9062"/>
        </w:tabs>
        <w:ind w:left="220"/>
      </w:pPr>
      <w:hyperlink w:anchor="_Toc3750" w:history="1">
        <w:r>
          <w:rPr>
            <w:rFonts w:ascii="IRNazanin" w:hAnsi="IRNazanin" w:eastAsia="IRNazanin" w:cs="IRNazanin"/>
            <w:color w:val="111111"/>
            <w:sz w:val="22"/>
            <w:szCs w:val="22"/>
            <w:b w:val="0"/>
            <w:bCs w:val="0"/>
            <w:i w:val="0"/>
            <w:iCs w:val="0"/>
          </w:rPr>
          <w:t>زعفراني ، محمّد بن عيسى قرن 14 ه-</w:t>
        </w:r>
        <w:r>
          <w:tab/>
        </w:r>
        <w:r>
          <w:fldChar w:fldCharType="begin"/>
        </w:r>
        <w:r>
          <w:instrText xml:space="preserve">PAGEREF 3750 \h</w:instrText>
        </w:r>
        <w:r>
          <w:fldChar w:fldCharType="end"/>
        </w:r>
      </w:hyperlink>
    </w:p>
    <w:p>
      <w:pPr>
        <w:tabs>
          <w:tab w:val="right" w:leader="dot" w:pos="9062"/>
        </w:tabs>
        <w:ind w:left="220"/>
      </w:pPr>
      <w:hyperlink w:anchor="_Toc3751" w:history="1">
        <w:r>
          <w:rPr>
            <w:rFonts w:ascii="IRNazanin" w:hAnsi="IRNazanin" w:eastAsia="IRNazanin" w:cs="IRNazanin"/>
            <w:color w:val="111111"/>
            <w:sz w:val="22"/>
            <w:szCs w:val="22"/>
            <w:b w:val="0"/>
            <w:bCs w:val="0"/>
            <w:i w:val="0"/>
            <w:iCs w:val="0"/>
          </w:rPr>
          <w:t>زفتاوی ، ابراهیم بن محمّد - 957 ه-</w:t>
        </w:r>
        <w:r>
          <w:tab/>
        </w:r>
        <w:r>
          <w:fldChar w:fldCharType="begin"/>
        </w:r>
        <w:r>
          <w:instrText xml:space="preserve">PAGEREF 3751 \h</w:instrText>
        </w:r>
        <w:r>
          <w:fldChar w:fldCharType="end"/>
        </w:r>
      </w:hyperlink>
    </w:p>
    <w:p>
      <w:pPr>
        <w:tabs>
          <w:tab w:val="right" w:leader="dot" w:pos="9062"/>
        </w:tabs>
        <w:ind w:left="220"/>
      </w:pPr>
      <w:hyperlink w:anchor="_Toc3752" w:history="1">
        <w:r>
          <w:rPr>
            <w:rFonts w:ascii="IRNazanin" w:hAnsi="IRNazanin" w:eastAsia="IRNazanin" w:cs="IRNazanin"/>
            <w:color w:val="111111"/>
            <w:sz w:val="22"/>
            <w:szCs w:val="22"/>
            <w:b w:val="0"/>
            <w:bCs w:val="0"/>
            <w:i w:val="0"/>
            <w:iCs w:val="0"/>
          </w:rPr>
          <w:t>زكريائي ، محمّد بن شهاب الدین قرن 12</w:t>
        </w:r>
        <w:r>
          <w:tab/>
        </w:r>
        <w:r>
          <w:fldChar w:fldCharType="begin"/>
        </w:r>
        <w:r>
          <w:instrText xml:space="preserve">PAGEREF 3752 \h</w:instrText>
        </w:r>
        <w:r>
          <w:fldChar w:fldCharType="end"/>
        </w:r>
      </w:hyperlink>
    </w:p>
    <w:p>
      <w:pPr>
        <w:tabs>
          <w:tab w:val="right" w:leader="dot" w:pos="9062"/>
        </w:tabs>
        <w:ind w:left="220"/>
      </w:pPr>
      <w:hyperlink w:anchor="_Toc3753" w:history="1">
        <w:r>
          <w:rPr>
            <w:rFonts w:ascii="IRNazanin" w:hAnsi="IRNazanin" w:eastAsia="IRNazanin" w:cs="IRNazanin"/>
            <w:color w:val="111111"/>
            <w:sz w:val="22"/>
            <w:szCs w:val="22"/>
            <w:b w:val="0"/>
            <w:bCs w:val="0"/>
            <w:i w:val="0"/>
            <w:iCs w:val="0"/>
          </w:rPr>
          <w:t>زكي الدين خزرجي ، عبدالله بن محمّد</w:t>
        </w:r>
        <w:r>
          <w:tab/>
        </w:r>
        <w:r>
          <w:fldChar w:fldCharType="begin"/>
        </w:r>
        <w:r>
          <w:instrText xml:space="preserve">PAGEREF 3753 \h</w:instrText>
        </w:r>
        <w:r>
          <w:fldChar w:fldCharType="end"/>
        </w:r>
      </w:hyperlink>
    </w:p>
    <w:p>
      <w:pPr>
        <w:tabs>
          <w:tab w:val="right" w:leader="dot" w:pos="9062"/>
        </w:tabs>
        <w:ind w:left="220"/>
      </w:pPr>
      <w:hyperlink w:anchor="_Toc3754" w:history="1">
        <w:r>
          <w:rPr>
            <w:rFonts w:ascii="IRNazanin" w:hAnsi="IRNazanin" w:eastAsia="IRNazanin" w:cs="IRNazanin"/>
            <w:color w:val="111111"/>
            <w:sz w:val="22"/>
            <w:szCs w:val="22"/>
            <w:b w:val="0"/>
            <w:bCs w:val="0"/>
            <w:i w:val="0"/>
            <w:iCs w:val="0"/>
          </w:rPr>
          <w:t>زكي الدين ، محمّد بن عبدالله</w:t>
        </w:r>
        <w:r>
          <w:tab/>
        </w:r>
        <w:r>
          <w:fldChar w:fldCharType="begin"/>
        </w:r>
        <w:r>
          <w:instrText xml:space="preserve">PAGEREF 3754 \h</w:instrText>
        </w:r>
        <w:r>
          <w:fldChar w:fldCharType="end"/>
        </w:r>
      </w:hyperlink>
    </w:p>
    <w:p>
      <w:pPr>
        <w:tabs>
          <w:tab w:val="right" w:leader="dot" w:pos="9062"/>
        </w:tabs>
        <w:ind w:left="220"/>
      </w:pPr>
      <w:hyperlink w:anchor="_Toc3755" w:history="1">
        <w:r>
          <w:rPr>
            <w:rFonts w:ascii="IRNazanin" w:hAnsi="IRNazanin" w:eastAsia="IRNazanin" w:cs="IRNazanin"/>
            <w:color w:val="111111"/>
            <w:sz w:val="22"/>
            <w:szCs w:val="22"/>
            <w:b w:val="0"/>
            <w:bCs w:val="0"/>
            <w:i w:val="0"/>
            <w:iCs w:val="0"/>
          </w:rPr>
          <w:t>زكي ، علي بن رسول</w:t>
        </w:r>
        <w:r>
          <w:tab/>
        </w:r>
        <w:r>
          <w:fldChar w:fldCharType="begin"/>
        </w:r>
        <w:r>
          <w:instrText xml:space="preserve">PAGEREF 3755 \h</w:instrText>
        </w:r>
        <w:r>
          <w:fldChar w:fldCharType="end"/>
        </w:r>
      </w:hyperlink>
    </w:p>
    <w:p>
      <w:pPr>
        <w:tabs>
          <w:tab w:val="right" w:leader="dot" w:pos="9062"/>
        </w:tabs>
        <w:ind w:left="220"/>
      </w:pPr>
      <w:hyperlink w:anchor="_Toc3756" w:history="1">
        <w:r>
          <w:rPr>
            <w:rFonts w:ascii="IRNazanin" w:hAnsi="IRNazanin" w:eastAsia="IRNazanin" w:cs="IRNazanin"/>
            <w:color w:val="111111"/>
            <w:sz w:val="22"/>
            <w:szCs w:val="22"/>
            <w:b w:val="0"/>
            <w:bCs w:val="0"/>
            <w:i w:val="0"/>
            <w:iCs w:val="0"/>
          </w:rPr>
          <w:t>زكي ، محمّد امین بن زكي قرن 14 ه-</w:t>
        </w:r>
        <w:r>
          <w:tab/>
        </w:r>
        <w:r>
          <w:fldChar w:fldCharType="begin"/>
        </w:r>
        <w:r>
          <w:instrText xml:space="preserve">PAGEREF 3756 \h</w:instrText>
        </w:r>
        <w:r>
          <w:fldChar w:fldCharType="end"/>
        </w:r>
      </w:hyperlink>
    </w:p>
    <w:p>
      <w:pPr>
        <w:tabs>
          <w:tab w:val="right" w:leader="dot" w:pos="9062"/>
        </w:tabs>
        <w:ind w:left="220"/>
      </w:pPr>
      <w:hyperlink w:anchor="_Toc3757" w:history="1">
        <w:r>
          <w:rPr>
            <w:rFonts w:ascii="IRNazanin" w:hAnsi="IRNazanin" w:eastAsia="IRNazanin" w:cs="IRNazanin"/>
            <w:color w:val="111111"/>
            <w:sz w:val="22"/>
            <w:szCs w:val="22"/>
            <w:b w:val="0"/>
            <w:bCs w:val="0"/>
            <w:i w:val="0"/>
            <w:iCs w:val="0"/>
          </w:rPr>
          <w:t>زلفكوي ، خليل</w:t>
        </w:r>
        <w:r>
          <w:tab/>
        </w:r>
        <w:r>
          <w:fldChar w:fldCharType="begin"/>
        </w:r>
        <w:r>
          <w:instrText xml:space="preserve">PAGEREF 3757 \h</w:instrText>
        </w:r>
        <w:r>
          <w:fldChar w:fldCharType="end"/>
        </w:r>
      </w:hyperlink>
    </w:p>
    <w:p>
      <w:pPr>
        <w:tabs>
          <w:tab w:val="right" w:leader="dot" w:pos="9062"/>
        </w:tabs>
        <w:ind w:left="220"/>
      </w:pPr>
      <w:hyperlink w:anchor="_Toc3758" w:history="1">
        <w:r>
          <w:rPr>
            <w:rFonts w:ascii="IRNazanin" w:hAnsi="IRNazanin" w:eastAsia="IRNazanin" w:cs="IRNazanin"/>
            <w:color w:val="111111"/>
            <w:sz w:val="22"/>
            <w:szCs w:val="22"/>
            <w:b w:val="0"/>
            <w:bCs w:val="0"/>
            <w:i w:val="0"/>
            <w:iCs w:val="0"/>
          </w:rPr>
          <w:t>زمخشري ، محمود بن عمر، 467 - 538</w:t>
        </w:r>
        <w:r>
          <w:tab/>
        </w:r>
        <w:r>
          <w:fldChar w:fldCharType="begin"/>
        </w:r>
        <w:r>
          <w:instrText xml:space="preserve">PAGEREF 3758 \h</w:instrText>
        </w:r>
        <w:r>
          <w:fldChar w:fldCharType="end"/>
        </w:r>
      </w:hyperlink>
    </w:p>
    <w:p>
      <w:pPr>
        <w:tabs>
          <w:tab w:val="right" w:leader="dot" w:pos="9062"/>
        </w:tabs>
        <w:ind w:left="220"/>
      </w:pPr>
      <w:hyperlink w:anchor="_Toc3759" w:history="1">
        <w:r>
          <w:rPr>
            <w:rFonts w:ascii="IRNazanin" w:hAnsi="IRNazanin" w:eastAsia="IRNazanin" w:cs="IRNazanin"/>
            <w:color w:val="111111"/>
            <w:sz w:val="22"/>
            <w:szCs w:val="22"/>
            <w:b w:val="0"/>
            <w:bCs w:val="0"/>
            <w:i w:val="0"/>
            <w:iCs w:val="0"/>
          </w:rPr>
          <w:t>زمزمي ، ابوالفتح بن اسماعيل قرن 9 ه-</w:t>
        </w:r>
        <w:r>
          <w:tab/>
        </w:r>
        <w:r>
          <w:fldChar w:fldCharType="begin"/>
        </w:r>
        <w:r>
          <w:instrText xml:space="preserve">PAGEREF 3759 \h</w:instrText>
        </w:r>
        <w:r>
          <w:fldChar w:fldCharType="end"/>
        </w:r>
      </w:hyperlink>
    </w:p>
    <w:p>
      <w:pPr>
        <w:tabs>
          <w:tab w:val="right" w:leader="dot" w:pos="9062"/>
        </w:tabs>
        <w:ind w:left="220"/>
      </w:pPr>
      <w:hyperlink w:anchor="_Toc3760" w:history="1">
        <w:r>
          <w:rPr>
            <w:rFonts w:ascii="IRNazanin" w:hAnsi="IRNazanin" w:eastAsia="IRNazanin" w:cs="IRNazanin"/>
            <w:color w:val="111111"/>
            <w:sz w:val="22"/>
            <w:szCs w:val="22"/>
            <w:b w:val="0"/>
            <w:bCs w:val="0"/>
            <w:i w:val="0"/>
            <w:iCs w:val="0"/>
          </w:rPr>
          <w:t>زمزمي ، عبدالعزيز بن علي، 900 - 963؟</w:t>
        </w:r>
        <w:r>
          <w:tab/>
        </w:r>
        <w:r>
          <w:fldChar w:fldCharType="begin"/>
        </w:r>
        <w:r>
          <w:instrText xml:space="preserve">PAGEREF 3760 \h</w:instrText>
        </w:r>
        <w:r>
          <w:fldChar w:fldCharType="end"/>
        </w:r>
      </w:hyperlink>
    </w:p>
    <w:p>
      <w:pPr>
        <w:tabs>
          <w:tab w:val="right" w:leader="dot" w:pos="9062"/>
        </w:tabs>
        <w:ind w:left="220"/>
      </w:pPr>
      <w:hyperlink w:anchor="_Toc3761" w:history="1">
        <w:r>
          <w:rPr>
            <w:rFonts w:ascii="IRNazanin" w:hAnsi="IRNazanin" w:eastAsia="IRNazanin" w:cs="IRNazanin"/>
            <w:color w:val="111111"/>
            <w:sz w:val="22"/>
            <w:szCs w:val="22"/>
            <w:b w:val="0"/>
            <w:bCs w:val="0"/>
            <w:i w:val="0"/>
            <w:iCs w:val="0"/>
          </w:rPr>
          <w:t>زناتي ، ابوالحسن علي قرن 13 ه-</w:t>
        </w:r>
        <w:r>
          <w:tab/>
        </w:r>
        <w:r>
          <w:fldChar w:fldCharType="begin"/>
        </w:r>
        <w:r>
          <w:instrText xml:space="preserve">PAGEREF 3761 \h</w:instrText>
        </w:r>
        <w:r>
          <w:fldChar w:fldCharType="end"/>
        </w:r>
      </w:hyperlink>
    </w:p>
    <w:p>
      <w:pPr>
        <w:tabs>
          <w:tab w:val="right" w:leader="dot" w:pos="9062"/>
        </w:tabs>
        <w:ind w:left="220"/>
      </w:pPr>
      <w:hyperlink w:anchor="_Toc3762" w:history="1">
        <w:r>
          <w:rPr>
            <w:rFonts w:ascii="IRNazanin" w:hAnsi="IRNazanin" w:eastAsia="IRNazanin" w:cs="IRNazanin"/>
            <w:color w:val="111111"/>
            <w:sz w:val="22"/>
            <w:szCs w:val="22"/>
            <w:b w:val="0"/>
            <w:bCs w:val="0"/>
            <w:i w:val="0"/>
            <w:iCs w:val="0"/>
          </w:rPr>
          <w:t>زناتي ، محمّد</w:t>
        </w:r>
        <w:r>
          <w:tab/>
        </w:r>
        <w:r>
          <w:fldChar w:fldCharType="begin"/>
        </w:r>
        <w:r>
          <w:instrText xml:space="preserve">PAGEREF 3762 \h</w:instrText>
        </w:r>
        <w:r>
          <w:fldChar w:fldCharType="end"/>
        </w:r>
      </w:hyperlink>
    </w:p>
    <w:p>
      <w:pPr>
        <w:tabs>
          <w:tab w:val="right" w:leader="dot" w:pos="9062"/>
        </w:tabs>
        <w:ind w:left="220"/>
      </w:pPr>
      <w:hyperlink w:anchor="_Toc3763" w:history="1">
        <w:r>
          <w:rPr>
            <w:rFonts w:ascii="IRNazanin" w:hAnsi="IRNazanin" w:eastAsia="IRNazanin" w:cs="IRNazanin"/>
            <w:color w:val="111111"/>
            <w:sz w:val="22"/>
            <w:szCs w:val="22"/>
            <w:b w:val="0"/>
            <w:bCs w:val="0"/>
            <w:i w:val="0"/>
            <w:iCs w:val="0"/>
          </w:rPr>
          <w:t>زنجاني ، اسحاق بن حسن - 1100 ه-</w:t>
        </w:r>
        <w:r>
          <w:tab/>
        </w:r>
        <w:r>
          <w:fldChar w:fldCharType="begin"/>
        </w:r>
        <w:r>
          <w:instrText xml:space="preserve">PAGEREF 3763 \h</w:instrText>
        </w:r>
        <w:r>
          <w:fldChar w:fldCharType="end"/>
        </w:r>
      </w:hyperlink>
    </w:p>
    <w:p>
      <w:pPr>
        <w:tabs>
          <w:tab w:val="right" w:leader="dot" w:pos="9062"/>
        </w:tabs>
        <w:ind w:left="220"/>
      </w:pPr>
      <w:hyperlink w:anchor="_Toc3764" w:history="1">
        <w:r>
          <w:rPr>
            <w:rFonts w:ascii="IRNazanin" w:hAnsi="IRNazanin" w:eastAsia="IRNazanin" w:cs="IRNazanin"/>
            <w:color w:val="111111"/>
            <w:sz w:val="22"/>
            <w:szCs w:val="22"/>
            <w:b w:val="0"/>
            <w:bCs w:val="0"/>
            <w:i w:val="0"/>
            <w:iCs w:val="0"/>
          </w:rPr>
          <w:t>زنجاني ، اسدالله بن علي اكبر، 1282 -</w:t>
        </w:r>
        <w:r>
          <w:tab/>
        </w:r>
        <w:r>
          <w:fldChar w:fldCharType="begin"/>
        </w:r>
        <w:r>
          <w:instrText xml:space="preserve">PAGEREF 3764 \h</w:instrText>
        </w:r>
        <w:r>
          <w:fldChar w:fldCharType="end"/>
        </w:r>
      </w:hyperlink>
    </w:p>
    <w:p>
      <w:pPr>
        <w:tabs>
          <w:tab w:val="right" w:leader="dot" w:pos="9062"/>
        </w:tabs>
        <w:ind w:left="220"/>
      </w:pPr>
      <w:hyperlink w:anchor="_Toc3765" w:history="1">
        <w:r>
          <w:rPr>
            <w:rFonts w:ascii="IRNazanin" w:hAnsi="IRNazanin" w:eastAsia="IRNazanin" w:cs="IRNazanin"/>
            <w:color w:val="111111"/>
            <w:sz w:val="22"/>
            <w:szCs w:val="22"/>
            <w:b w:val="0"/>
            <w:bCs w:val="0"/>
            <w:i w:val="0"/>
            <w:iCs w:val="0"/>
          </w:rPr>
          <w:t>زنجاني ، عبدالوهاب بن ابراهيم - 660؟</w:t>
        </w:r>
        <w:r>
          <w:tab/>
        </w:r>
        <w:r>
          <w:fldChar w:fldCharType="begin"/>
        </w:r>
        <w:r>
          <w:instrText xml:space="preserve">PAGEREF 3765 \h</w:instrText>
        </w:r>
        <w:r>
          <w:fldChar w:fldCharType="end"/>
        </w:r>
      </w:hyperlink>
    </w:p>
    <w:p>
      <w:pPr>
        <w:tabs>
          <w:tab w:val="right" w:leader="dot" w:pos="9062"/>
        </w:tabs>
        <w:ind w:left="220"/>
      </w:pPr>
      <w:hyperlink w:anchor="_Toc3766" w:history="1">
        <w:r>
          <w:rPr>
            <w:rFonts w:ascii="IRNazanin" w:hAnsi="IRNazanin" w:eastAsia="IRNazanin" w:cs="IRNazanin"/>
            <w:color w:val="111111"/>
            <w:sz w:val="22"/>
            <w:szCs w:val="22"/>
            <w:b w:val="0"/>
            <w:bCs w:val="0"/>
            <w:i w:val="0"/>
            <w:iCs w:val="0"/>
          </w:rPr>
          <w:t>زنجاني ، عزالدين يوسف قرن 8 ه-</w:t>
        </w:r>
        <w:r>
          <w:tab/>
        </w:r>
        <w:r>
          <w:fldChar w:fldCharType="begin"/>
        </w:r>
        <w:r>
          <w:instrText xml:space="preserve">PAGEREF 3766 \h</w:instrText>
        </w:r>
        <w:r>
          <w:fldChar w:fldCharType="end"/>
        </w:r>
      </w:hyperlink>
    </w:p>
    <w:p>
      <w:pPr>
        <w:tabs>
          <w:tab w:val="right" w:leader="dot" w:pos="9062"/>
        </w:tabs>
        <w:ind w:left="220"/>
      </w:pPr>
      <w:hyperlink w:anchor="_Toc3767" w:history="1">
        <w:r>
          <w:rPr>
            <w:rFonts w:ascii="IRNazanin" w:hAnsi="IRNazanin" w:eastAsia="IRNazanin" w:cs="IRNazanin"/>
            <w:color w:val="111111"/>
            <w:sz w:val="22"/>
            <w:szCs w:val="22"/>
            <w:b w:val="0"/>
            <w:bCs w:val="0"/>
            <w:i w:val="0"/>
            <w:iCs w:val="0"/>
          </w:rPr>
          <w:t>زنجاني ، علي اكبر بن رجبعلي قرن 13 ه-</w:t>
        </w:r>
        <w:r>
          <w:tab/>
        </w:r>
        <w:r>
          <w:fldChar w:fldCharType="begin"/>
        </w:r>
        <w:r>
          <w:instrText xml:space="preserve">PAGEREF 3767 \h</w:instrText>
        </w:r>
        <w:r>
          <w:fldChar w:fldCharType="end"/>
        </w:r>
      </w:hyperlink>
    </w:p>
    <w:p>
      <w:pPr>
        <w:tabs>
          <w:tab w:val="right" w:leader="dot" w:pos="9062"/>
        </w:tabs>
        <w:ind w:left="220"/>
      </w:pPr>
      <w:hyperlink w:anchor="_Toc3768" w:history="1">
        <w:r>
          <w:rPr>
            <w:rFonts w:ascii="IRNazanin" w:hAnsi="IRNazanin" w:eastAsia="IRNazanin" w:cs="IRNazanin"/>
            <w:color w:val="111111"/>
            <w:sz w:val="22"/>
            <w:szCs w:val="22"/>
            <w:b w:val="0"/>
            <w:bCs w:val="0"/>
            <w:i w:val="0"/>
            <w:iCs w:val="0"/>
          </w:rPr>
          <w:t>زنجاني ، علي بن محمّد حسين - 1136</w:t>
        </w:r>
        <w:r>
          <w:tab/>
        </w:r>
        <w:r>
          <w:fldChar w:fldCharType="begin"/>
        </w:r>
        <w:r>
          <w:instrText xml:space="preserve">PAGEREF 3768 \h</w:instrText>
        </w:r>
        <w:r>
          <w:fldChar w:fldCharType="end"/>
        </w:r>
      </w:hyperlink>
    </w:p>
    <w:p>
      <w:pPr>
        <w:tabs>
          <w:tab w:val="right" w:leader="dot" w:pos="9062"/>
        </w:tabs>
        <w:ind w:left="220"/>
      </w:pPr>
      <w:hyperlink w:anchor="_Toc3769" w:history="1">
        <w:r>
          <w:rPr>
            <w:rFonts w:ascii="IRNazanin" w:hAnsi="IRNazanin" w:eastAsia="IRNazanin" w:cs="IRNazanin"/>
            <w:color w:val="111111"/>
            <w:sz w:val="22"/>
            <w:szCs w:val="22"/>
            <w:b w:val="0"/>
            <w:bCs w:val="0"/>
            <w:i w:val="0"/>
            <w:iCs w:val="0"/>
          </w:rPr>
          <w:t>زنجاني ، فتحعلي</w:t>
        </w:r>
        <w:r>
          <w:tab/>
        </w:r>
        <w:r>
          <w:fldChar w:fldCharType="begin"/>
        </w:r>
        <w:r>
          <w:instrText xml:space="preserve">PAGEREF 3769 \h</w:instrText>
        </w:r>
        <w:r>
          <w:fldChar w:fldCharType="end"/>
        </w:r>
      </w:hyperlink>
    </w:p>
    <w:p>
      <w:pPr>
        <w:tabs>
          <w:tab w:val="right" w:leader="dot" w:pos="9062"/>
        </w:tabs>
        <w:ind w:left="220"/>
      </w:pPr>
      <w:hyperlink w:anchor="_Toc3770" w:history="1">
        <w:r>
          <w:rPr>
            <w:rFonts w:ascii="IRNazanin" w:hAnsi="IRNazanin" w:eastAsia="IRNazanin" w:cs="IRNazanin"/>
            <w:color w:val="111111"/>
            <w:sz w:val="22"/>
            <w:szCs w:val="22"/>
            <w:b w:val="0"/>
            <w:bCs w:val="0"/>
            <w:i w:val="0"/>
            <w:iCs w:val="0"/>
          </w:rPr>
          <w:t>زنجاني ، محمّد بن علي - 1210 ه-</w:t>
        </w:r>
        <w:r>
          <w:tab/>
        </w:r>
        <w:r>
          <w:fldChar w:fldCharType="begin"/>
        </w:r>
        <w:r>
          <w:instrText xml:space="preserve">PAGEREF 3770 \h</w:instrText>
        </w:r>
        <w:r>
          <w:fldChar w:fldCharType="end"/>
        </w:r>
      </w:hyperlink>
    </w:p>
    <w:p>
      <w:pPr>
        <w:tabs>
          <w:tab w:val="right" w:leader="dot" w:pos="9062"/>
        </w:tabs>
        <w:ind w:left="220"/>
      </w:pPr>
      <w:hyperlink w:anchor="_Toc3771" w:history="1">
        <w:r>
          <w:rPr>
            <w:rFonts w:ascii="IRNazanin" w:hAnsi="IRNazanin" w:eastAsia="IRNazanin" w:cs="IRNazanin"/>
            <w:color w:val="111111"/>
            <w:sz w:val="22"/>
            <w:szCs w:val="22"/>
            <w:b w:val="0"/>
            <w:bCs w:val="0"/>
            <w:i w:val="0"/>
            <w:iCs w:val="0"/>
          </w:rPr>
          <w:t>زنجاني ، محمود بن احمد - 656 ه-</w:t>
        </w:r>
        <w:r>
          <w:tab/>
        </w:r>
        <w:r>
          <w:fldChar w:fldCharType="begin"/>
        </w:r>
        <w:r>
          <w:instrText xml:space="preserve">PAGEREF 3771 \h</w:instrText>
        </w:r>
        <w:r>
          <w:fldChar w:fldCharType="end"/>
        </w:r>
      </w:hyperlink>
    </w:p>
    <w:p>
      <w:pPr>
        <w:tabs>
          <w:tab w:val="right" w:leader="dot" w:pos="9062"/>
        </w:tabs>
        <w:ind w:left="220"/>
      </w:pPr>
      <w:hyperlink w:anchor="_Toc3772" w:history="1">
        <w:r>
          <w:rPr>
            <w:rFonts w:ascii="IRNazanin" w:hAnsi="IRNazanin" w:eastAsia="IRNazanin" w:cs="IRNazanin"/>
            <w:color w:val="111111"/>
            <w:sz w:val="22"/>
            <w:szCs w:val="22"/>
            <w:b w:val="0"/>
            <w:bCs w:val="0"/>
            <w:i w:val="0"/>
            <w:iCs w:val="0"/>
          </w:rPr>
          <w:t>زنجاني ، يحيى بن علي - 1050 ؟ ه-</w:t>
        </w:r>
        <w:r>
          <w:tab/>
        </w:r>
        <w:r>
          <w:fldChar w:fldCharType="begin"/>
        </w:r>
        <w:r>
          <w:instrText xml:space="preserve">PAGEREF 3772 \h</w:instrText>
        </w:r>
        <w:r>
          <w:fldChar w:fldCharType="end"/>
        </w:r>
      </w:hyperlink>
    </w:p>
    <w:p>
      <w:pPr>
        <w:tabs>
          <w:tab w:val="right" w:leader="dot" w:pos="9062"/>
        </w:tabs>
        <w:ind w:left="220"/>
      </w:pPr>
      <w:hyperlink w:anchor="_Toc3773" w:history="1">
        <w:r>
          <w:rPr>
            <w:rFonts w:ascii="IRNazanin" w:hAnsi="IRNazanin" w:eastAsia="IRNazanin" w:cs="IRNazanin"/>
            <w:color w:val="111111"/>
            <w:sz w:val="22"/>
            <w:szCs w:val="22"/>
            <w:b w:val="0"/>
            <w:bCs w:val="0"/>
            <w:i w:val="0"/>
            <w:iCs w:val="0"/>
          </w:rPr>
          <w:t>زندوستي ، علي بن حسين - 382 ؟ ه-</w:t>
        </w:r>
        <w:r>
          <w:tab/>
        </w:r>
        <w:r>
          <w:fldChar w:fldCharType="begin"/>
        </w:r>
        <w:r>
          <w:instrText xml:space="preserve">PAGEREF 3773 \h</w:instrText>
        </w:r>
        <w:r>
          <w:fldChar w:fldCharType="end"/>
        </w:r>
      </w:hyperlink>
    </w:p>
    <w:p>
      <w:pPr>
        <w:tabs>
          <w:tab w:val="right" w:leader="dot" w:pos="9062"/>
        </w:tabs>
        <w:ind w:left="220"/>
      </w:pPr>
      <w:hyperlink w:anchor="_Toc3774" w:history="1">
        <w:r>
          <w:rPr>
            <w:rFonts w:ascii="IRNazanin" w:hAnsi="IRNazanin" w:eastAsia="IRNazanin" w:cs="IRNazanin"/>
            <w:color w:val="111111"/>
            <w:sz w:val="22"/>
            <w:szCs w:val="22"/>
            <w:b w:val="0"/>
            <w:bCs w:val="0"/>
            <w:i w:val="0"/>
            <w:iCs w:val="0"/>
          </w:rPr>
          <w:t>زنطاح حكيم</w:t>
        </w:r>
        <w:r>
          <w:tab/>
        </w:r>
        <w:r>
          <w:fldChar w:fldCharType="begin"/>
        </w:r>
        <w:r>
          <w:instrText xml:space="preserve">PAGEREF 3774 \h</w:instrText>
        </w:r>
        <w:r>
          <w:fldChar w:fldCharType="end"/>
        </w:r>
      </w:hyperlink>
    </w:p>
    <w:p>
      <w:pPr>
        <w:tabs>
          <w:tab w:val="right" w:leader="dot" w:pos="9062"/>
        </w:tabs>
        <w:ind w:left="220"/>
      </w:pPr>
      <w:hyperlink w:anchor="_Toc3775" w:history="1">
        <w:r>
          <w:rPr>
            <w:rFonts w:ascii="IRNazanin" w:hAnsi="IRNazanin" w:eastAsia="IRNazanin" w:cs="IRNazanin"/>
            <w:color w:val="111111"/>
            <w:sz w:val="22"/>
            <w:szCs w:val="22"/>
            <w:b w:val="0"/>
            <w:bCs w:val="0"/>
            <w:i w:val="0"/>
            <w:iCs w:val="0"/>
          </w:rPr>
          <w:t>زنكلوني ، ابوبكر بن اسماعيل - 740 ه-</w:t>
        </w:r>
        <w:r>
          <w:tab/>
        </w:r>
        <w:r>
          <w:fldChar w:fldCharType="begin"/>
        </w:r>
        <w:r>
          <w:instrText xml:space="preserve">PAGEREF 3775 \h</w:instrText>
        </w:r>
        <w:r>
          <w:fldChar w:fldCharType="end"/>
        </w:r>
      </w:hyperlink>
    </w:p>
    <w:p>
      <w:pPr>
        <w:tabs>
          <w:tab w:val="right" w:leader="dot" w:pos="9062"/>
        </w:tabs>
        <w:ind w:left="220"/>
      </w:pPr>
      <w:hyperlink w:anchor="_Toc3776" w:history="1">
        <w:r>
          <w:rPr>
            <w:rFonts w:ascii="IRNazanin" w:hAnsi="IRNazanin" w:eastAsia="IRNazanin" w:cs="IRNazanin"/>
            <w:color w:val="111111"/>
            <w:sz w:val="22"/>
            <w:szCs w:val="22"/>
            <w:b w:val="0"/>
            <w:bCs w:val="0"/>
            <w:i w:val="0"/>
            <w:iCs w:val="0"/>
          </w:rPr>
          <w:t>زنگنه ، حسين علي بن علي قرن 11 ه-</w:t>
        </w:r>
        <w:r>
          <w:tab/>
        </w:r>
        <w:r>
          <w:fldChar w:fldCharType="begin"/>
        </w:r>
        <w:r>
          <w:instrText xml:space="preserve">PAGEREF 3776 \h</w:instrText>
        </w:r>
        <w:r>
          <w:fldChar w:fldCharType="end"/>
        </w:r>
      </w:hyperlink>
    </w:p>
    <w:p>
      <w:pPr>
        <w:tabs>
          <w:tab w:val="right" w:leader="dot" w:pos="9062"/>
        </w:tabs>
        <w:ind w:left="220"/>
      </w:pPr>
      <w:hyperlink w:anchor="_Toc3777" w:history="1">
        <w:r>
          <w:rPr>
            <w:rFonts w:ascii="IRNazanin" w:hAnsi="IRNazanin" w:eastAsia="IRNazanin" w:cs="IRNazanin"/>
            <w:color w:val="111111"/>
            <w:sz w:val="22"/>
            <w:szCs w:val="22"/>
            <w:b w:val="0"/>
            <w:bCs w:val="0"/>
            <w:i w:val="0"/>
            <w:iCs w:val="0"/>
          </w:rPr>
          <w:t>زنگي ، خسرو بن محمّد</w:t>
        </w:r>
        <w:r>
          <w:tab/>
        </w:r>
        <w:r>
          <w:fldChar w:fldCharType="begin"/>
        </w:r>
        <w:r>
          <w:instrText xml:space="preserve">PAGEREF 3777 \h</w:instrText>
        </w:r>
        <w:r>
          <w:fldChar w:fldCharType="end"/>
        </w:r>
      </w:hyperlink>
    </w:p>
    <w:p>
      <w:pPr>
        <w:tabs>
          <w:tab w:val="right" w:leader="dot" w:pos="9062"/>
        </w:tabs>
        <w:ind w:left="220"/>
      </w:pPr>
      <w:hyperlink w:anchor="_Toc3778" w:history="1">
        <w:r>
          <w:rPr>
            <w:rFonts w:ascii="IRNazanin" w:hAnsi="IRNazanin" w:eastAsia="IRNazanin" w:cs="IRNazanin"/>
            <w:color w:val="111111"/>
            <w:sz w:val="22"/>
            <w:szCs w:val="22"/>
            <w:b w:val="0"/>
            <w:bCs w:val="0"/>
            <w:i w:val="0"/>
            <w:iCs w:val="0"/>
          </w:rPr>
          <w:t>زنوزي ، محمّد حسن بن عبدالرسول</w:t>
        </w:r>
        <w:r>
          <w:tab/>
        </w:r>
        <w:r>
          <w:fldChar w:fldCharType="begin"/>
        </w:r>
        <w:r>
          <w:instrText xml:space="preserve">PAGEREF 3778 \h</w:instrText>
        </w:r>
        <w:r>
          <w:fldChar w:fldCharType="end"/>
        </w:r>
      </w:hyperlink>
    </w:p>
    <w:p>
      <w:pPr>
        <w:tabs>
          <w:tab w:val="right" w:leader="dot" w:pos="9062"/>
        </w:tabs>
        <w:ind w:left="220"/>
      </w:pPr>
      <w:hyperlink w:anchor="_Toc3779" w:history="1">
        <w:r>
          <w:rPr>
            <w:rFonts w:ascii="IRNazanin" w:hAnsi="IRNazanin" w:eastAsia="IRNazanin" w:cs="IRNazanin"/>
            <w:color w:val="111111"/>
            <w:sz w:val="22"/>
            <w:szCs w:val="22"/>
            <w:b w:val="0"/>
            <w:bCs w:val="0"/>
            <w:i w:val="0"/>
            <w:iCs w:val="0"/>
          </w:rPr>
          <w:t>زهاوي، جميل بن محمّد، 1280 - 1354</w:t>
        </w:r>
        <w:r>
          <w:tab/>
        </w:r>
        <w:r>
          <w:fldChar w:fldCharType="begin"/>
        </w:r>
        <w:r>
          <w:instrText xml:space="preserve">PAGEREF 3779 \h</w:instrText>
        </w:r>
        <w:r>
          <w:fldChar w:fldCharType="end"/>
        </w:r>
      </w:hyperlink>
    </w:p>
    <w:p>
      <w:pPr>
        <w:tabs>
          <w:tab w:val="right" w:leader="dot" w:pos="9062"/>
        </w:tabs>
        <w:ind w:left="220"/>
      </w:pPr>
      <w:hyperlink w:anchor="_Toc3780" w:history="1">
        <w:r>
          <w:rPr>
            <w:rFonts w:ascii="IRNazanin" w:hAnsi="IRNazanin" w:eastAsia="IRNazanin" w:cs="IRNazanin"/>
            <w:color w:val="111111"/>
            <w:sz w:val="22"/>
            <w:szCs w:val="22"/>
            <w:b w:val="0"/>
            <w:bCs w:val="0"/>
            <w:i w:val="0"/>
            <w:iCs w:val="0"/>
          </w:rPr>
          <w:t>زهاوي ، محمّد سعيد</w:t>
        </w:r>
        <w:r>
          <w:tab/>
        </w:r>
        <w:r>
          <w:fldChar w:fldCharType="begin"/>
        </w:r>
        <w:r>
          <w:instrText xml:space="preserve">PAGEREF 3780 \h</w:instrText>
        </w:r>
        <w:r>
          <w:fldChar w:fldCharType="end"/>
        </w:r>
      </w:hyperlink>
    </w:p>
    <w:p>
      <w:pPr>
        <w:tabs>
          <w:tab w:val="right" w:leader="dot" w:pos="9062"/>
        </w:tabs>
        <w:ind w:left="220"/>
      </w:pPr>
      <w:hyperlink w:anchor="_Toc3781" w:history="1">
        <w:r>
          <w:rPr>
            <w:rFonts w:ascii="IRNazanin" w:hAnsi="IRNazanin" w:eastAsia="IRNazanin" w:cs="IRNazanin"/>
            <w:color w:val="111111"/>
            <w:sz w:val="22"/>
            <w:szCs w:val="22"/>
            <w:b w:val="0"/>
            <w:bCs w:val="0"/>
            <w:i w:val="0"/>
            <w:iCs w:val="0"/>
          </w:rPr>
          <w:t>زهراوي اندلسي ، خلف بن عباس - 427</w:t>
        </w:r>
        <w:r>
          <w:tab/>
        </w:r>
        <w:r>
          <w:fldChar w:fldCharType="begin"/>
        </w:r>
        <w:r>
          <w:instrText xml:space="preserve">PAGEREF 3781 \h</w:instrText>
        </w:r>
        <w:r>
          <w:fldChar w:fldCharType="end"/>
        </w:r>
      </w:hyperlink>
    </w:p>
    <w:p>
      <w:pPr>
        <w:tabs>
          <w:tab w:val="right" w:leader="dot" w:pos="9062"/>
        </w:tabs>
        <w:ind w:left="220"/>
      </w:pPr>
      <w:hyperlink w:anchor="_Toc3782" w:history="1">
        <w:r>
          <w:rPr>
            <w:rFonts w:ascii="IRNazanin" w:hAnsi="IRNazanin" w:eastAsia="IRNazanin" w:cs="IRNazanin"/>
            <w:color w:val="111111"/>
            <w:sz w:val="22"/>
            <w:szCs w:val="22"/>
            <w:b w:val="0"/>
            <w:bCs w:val="0"/>
            <w:i w:val="0"/>
            <w:iCs w:val="0"/>
          </w:rPr>
          <w:t>زهري، عمر بن عمر - 1079 ه-</w:t>
        </w:r>
        <w:r>
          <w:tab/>
        </w:r>
        <w:r>
          <w:fldChar w:fldCharType="begin"/>
        </w:r>
        <w:r>
          <w:instrText xml:space="preserve">PAGEREF 3782 \h</w:instrText>
        </w:r>
        <w:r>
          <w:fldChar w:fldCharType="end"/>
        </w:r>
      </w:hyperlink>
    </w:p>
    <w:p>
      <w:pPr>
        <w:tabs>
          <w:tab w:val="right" w:leader="dot" w:pos="9062"/>
        </w:tabs>
        <w:ind w:left="220"/>
      </w:pPr>
      <w:hyperlink w:anchor="_Toc3783" w:history="1">
        <w:r>
          <w:rPr>
            <w:rFonts w:ascii="IRNazanin" w:hAnsi="IRNazanin" w:eastAsia="IRNazanin" w:cs="IRNazanin"/>
            <w:color w:val="111111"/>
            <w:sz w:val="22"/>
            <w:szCs w:val="22"/>
            <w:b w:val="0"/>
            <w:bCs w:val="0"/>
            <w:i w:val="0"/>
            <w:iCs w:val="0"/>
          </w:rPr>
          <w:t>زهير بن أبي سلمي - 13 قبل هجرت</w:t>
        </w:r>
        <w:r>
          <w:tab/>
        </w:r>
        <w:r>
          <w:fldChar w:fldCharType="begin"/>
        </w:r>
        <w:r>
          <w:instrText xml:space="preserve">PAGEREF 3783 \h</w:instrText>
        </w:r>
        <w:r>
          <w:fldChar w:fldCharType="end"/>
        </w:r>
      </w:hyperlink>
    </w:p>
    <w:p>
      <w:pPr>
        <w:tabs>
          <w:tab w:val="right" w:leader="dot" w:pos="9062"/>
        </w:tabs>
        <w:ind w:left="220"/>
      </w:pPr>
      <w:hyperlink w:anchor="_Toc3784" w:history="1">
        <w:r>
          <w:rPr>
            <w:rFonts w:ascii="IRNazanin" w:hAnsi="IRNazanin" w:eastAsia="IRNazanin" w:cs="IRNazanin"/>
            <w:color w:val="111111"/>
            <w:sz w:val="22"/>
            <w:szCs w:val="22"/>
            <w:b w:val="0"/>
            <w:bCs w:val="0"/>
            <w:i w:val="0"/>
            <w:iCs w:val="0"/>
          </w:rPr>
          <w:t>زهيري ، محمّد بن محمّد قرن 10 ه-</w:t>
        </w:r>
        <w:r>
          <w:tab/>
        </w:r>
        <w:r>
          <w:fldChar w:fldCharType="begin"/>
        </w:r>
        <w:r>
          <w:instrText xml:space="preserve">PAGEREF 3784 \h</w:instrText>
        </w:r>
        <w:r>
          <w:fldChar w:fldCharType="end"/>
        </w:r>
      </w:hyperlink>
    </w:p>
    <w:p>
      <w:pPr>
        <w:tabs>
          <w:tab w:val="right" w:leader="dot" w:pos="9062"/>
        </w:tabs>
        <w:ind w:left="220"/>
      </w:pPr>
      <w:hyperlink w:anchor="_Toc3785" w:history="1">
        <w:r>
          <w:rPr>
            <w:rFonts w:ascii="IRNazanin" w:hAnsi="IRNazanin" w:eastAsia="IRNazanin" w:cs="IRNazanin"/>
            <w:color w:val="111111"/>
            <w:sz w:val="22"/>
            <w:szCs w:val="22"/>
            <w:b w:val="0"/>
            <w:bCs w:val="0"/>
            <w:i w:val="0"/>
            <w:iCs w:val="0"/>
          </w:rPr>
          <w:t>زواره اي ، علي بن حسن قرن 10 ه-</w:t>
        </w:r>
        <w:r>
          <w:tab/>
        </w:r>
        <w:r>
          <w:fldChar w:fldCharType="begin"/>
        </w:r>
        <w:r>
          <w:instrText xml:space="preserve">PAGEREF 3785 \h</w:instrText>
        </w:r>
        <w:r>
          <w:fldChar w:fldCharType="end"/>
        </w:r>
      </w:hyperlink>
    </w:p>
    <w:p>
      <w:pPr>
        <w:tabs>
          <w:tab w:val="right" w:leader="dot" w:pos="9062"/>
        </w:tabs>
        <w:ind w:left="220"/>
      </w:pPr>
      <w:hyperlink w:anchor="_Toc3786" w:history="1">
        <w:r>
          <w:rPr>
            <w:rFonts w:ascii="IRNazanin" w:hAnsi="IRNazanin" w:eastAsia="IRNazanin" w:cs="IRNazanin"/>
            <w:color w:val="111111"/>
            <w:sz w:val="22"/>
            <w:szCs w:val="22"/>
            <w:b w:val="0"/>
            <w:bCs w:val="0"/>
            <w:i w:val="0"/>
            <w:iCs w:val="0"/>
          </w:rPr>
          <w:t>زواوي ، سرور بن محمّد قرن 13 ه-</w:t>
        </w:r>
        <w:r>
          <w:tab/>
        </w:r>
        <w:r>
          <w:fldChar w:fldCharType="begin"/>
        </w:r>
        <w:r>
          <w:instrText xml:space="preserve">PAGEREF 3786 \h</w:instrText>
        </w:r>
        <w:r>
          <w:fldChar w:fldCharType="end"/>
        </w:r>
      </w:hyperlink>
    </w:p>
    <w:p>
      <w:pPr>
        <w:tabs>
          <w:tab w:val="right" w:leader="dot" w:pos="9062"/>
        </w:tabs>
        <w:ind w:left="220"/>
      </w:pPr>
      <w:hyperlink w:anchor="_Toc3787" w:history="1">
        <w:r>
          <w:rPr>
            <w:rFonts w:ascii="IRNazanin" w:hAnsi="IRNazanin" w:eastAsia="IRNazanin" w:cs="IRNazanin"/>
            <w:color w:val="111111"/>
            <w:sz w:val="22"/>
            <w:szCs w:val="22"/>
            <w:b w:val="0"/>
            <w:bCs w:val="0"/>
            <w:i w:val="0"/>
            <w:iCs w:val="0"/>
          </w:rPr>
          <w:t>زوزني ، حسين بن احمد - 486 ه-</w:t>
        </w:r>
        <w:r>
          <w:tab/>
        </w:r>
        <w:r>
          <w:fldChar w:fldCharType="begin"/>
        </w:r>
        <w:r>
          <w:instrText xml:space="preserve">PAGEREF 3787 \h</w:instrText>
        </w:r>
        <w:r>
          <w:fldChar w:fldCharType="end"/>
        </w:r>
      </w:hyperlink>
    </w:p>
    <w:p>
      <w:pPr>
        <w:tabs>
          <w:tab w:val="right" w:leader="dot" w:pos="9062"/>
        </w:tabs>
        <w:ind w:left="220"/>
      </w:pPr>
      <w:hyperlink w:anchor="_Toc3788" w:history="1">
        <w:r>
          <w:rPr>
            <w:rFonts w:ascii="IRNazanin" w:hAnsi="IRNazanin" w:eastAsia="IRNazanin" w:cs="IRNazanin"/>
            <w:color w:val="111111"/>
            <w:sz w:val="22"/>
            <w:szCs w:val="22"/>
            <w:b w:val="0"/>
            <w:bCs w:val="0"/>
            <w:i w:val="0"/>
            <w:iCs w:val="0"/>
          </w:rPr>
          <w:t>زوزني ، عبدالله بن محمد - 431 ه-</w:t>
        </w:r>
        <w:r>
          <w:tab/>
        </w:r>
        <w:r>
          <w:fldChar w:fldCharType="begin"/>
        </w:r>
        <w:r>
          <w:instrText xml:space="preserve">PAGEREF 3788 \h</w:instrText>
        </w:r>
        <w:r>
          <w:fldChar w:fldCharType="end"/>
        </w:r>
      </w:hyperlink>
    </w:p>
    <w:p>
      <w:pPr>
        <w:tabs>
          <w:tab w:val="right" w:leader="dot" w:pos="9062"/>
        </w:tabs>
        <w:ind w:left="220"/>
      </w:pPr>
      <w:hyperlink w:anchor="_Toc3789" w:history="1">
        <w:r>
          <w:rPr>
            <w:rFonts w:ascii="IRNazanin" w:hAnsi="IRNazanin" w:eastAsia="IRNazanin" w:cs="IRNazanin"/>
            <w:color w:val="111111"/>
            <w:sz w:val="22"/>
            <w:szCs w:val="22"/>
            <w:b w:val="0"/>
            <w:bCs w:val="0"/>
            <w:i w:val="0"/>
            <w:iCs w:val="0"/>
          </w:rPr>
          <w:t>زوزني ، محمّد بن عثمان - 792 ه-</w:t>
        </w:r>
        <w:r>
          <w:tab/>
        </w:r>
        <w:r>
          <w:fldChar w:fldCharType="begin"/>
        </w:r>
        <w:r>
          <w:instrText xml:space="preserve">PAGEREF 3789 \h</w:instrText>
        </w:r>
        <w:r>
          <w:fldChar w:fldCharType="end"/>
        </w:r>
      </w:hyperlink>
    </w:p>
    <w:p>
      <w:pPr>
        <w:tabs>
          <w:tab w:val="right" w:leader="dot" w:pos="9062"/>
        </w:tabs>
        <w:ind w:left="220"/>
      </w:pPr>
      <w:hyperlink w:anchor="_Toc3790" w:history="1">
        <w:r>
          <w:rPr>
            <w:rFonts w:ascii="IRNazanin" w:hAnsi="IRNazanin" w:eastAsia="IRNazanin" w:cs="IRNazanin"/>
            <w:color w:val="111111"/>
            <w:sz w:val="22"/>
            <w:szCs w:val="22"/>
            <w:b w:val="0"/>
            <w:bCs w:val="0"/>
            <w:i w:val="0"/>
            <w:iCs w:val="0"/>
          </w:rPr>
          <w:t>زوقيدي ، ملانصرالدين</w:t>
        </w:r>
        <w:r>
          <w:tab/>
        </w:r>
        <w:r>
          <w:fldChar w:fldCharType="begin"/>
        </w:r>
        <w:r>
          <w:instrText xml:space="preserve">PAGEREF 3790 \h</w:instrText>
        </w:r>
        <w:r>
          <w:fldChar w:fldCharType="end"/>
        </w:r>
      </w:hyperlink>
    </w:p>
    <w:p>
      <w:pPr>
        <w:tabs>
          <w:tab w:val="right" w:leader="dot" w:pos="9062"/>
        </w:tabs>
        <w:ind w:left="220"/>
      </w:pPr>
      <w:hyperlink w:anchor="_Toc3791" w:history="1">
        <w:r>
          <w:rPr>
            <w:rFonts w:ascii="IRNazanin" w:hAnsi="IRNazanin" w:eastAsia="IRNazanin" w:cs="IRNazanin"/>
            <w:color w:val="111111"/>
            <w:sz w:val="22"/>
            <w:szCs w:val="22"/>
            <w:b w:val="0"/>
            <w:bCs w:val="0"/>
            <w:i w:val="0"/>
            <w:iCs w:val="0"/>
          </w:rPr>
          <w:t>زويعي ، خلف بن عسكر - 1246 ه-</w:t>
        </w:r>
        <w:r>
          <w:tab/>
        </w:r>
        <w:r>
          <w:fldChar w:fldCharType="begin"/>
        </w:r>
        <w:r>
          <w:instrText xml:space="preserve">PAGEREF 3791 \h</w:instrText>
        </w:r>
        <w:r>
          <w:fldChar w:fldCharType="end"/>
        </w:r>
      </w:hyperlink>
    </w:p>
    <w:p>
      <w:pPr>
        <w:tabs>
          <w:tab w:val="right" w:leader="dot" w:pos="9062"/>
        </w:tabs>
        <w:ind w:left="220"/>
      </w:pPr>
      <w:hyperlink w:anchor="_Toc3792" w:history="1">
        <w:r>
          <w:rPr>
            <w:rFonts w:ascii="IRNazanin" w:hAnsi="IRNazanin" w:eastAsia="IRNazanin" w:cs="IRNazanin"/>
            <w:color w:val="111111"/>
            <w:sz w:val="22"/>
            <w:szCs w:val="22"/>
            <w:b w:val="0"/>
            <w:bCs w:val="0"/>
            <w:i w:val="0"/>
            <w:iCs w:val="0"/>
          </w:rPr>
          <w:t>زوين، احمد بن حبيب - 1247 ه-</w:t>
        </w:r>
        <w:r>
          <w:tab/>
        </w:r>
        <w:r>
          <w:fldChar w:fldCharType="begin"/>
        </w:r>
        <w:r>
          <w:instrText xml:space="preserve">PAGEREF 3792 \h</w:instrText>
        </w:r>
        <w:r>
          <w:fldChar w:fldCharType="end"/>
        </w:r>
      </w:hyperlink>
    </w:p>
    <w:p>
      <w:pPr>
        <w:tabs>
          <w:tab w:val="right" w:leader="dot" w:pos="9062"/>
        </w:tabs>
        <w:ind w:left="220"/>
      </w:pPr>
      <w:hyperlink w:anchor="_Toc3793" w:history="1">
        <w:r>
          <w:rPr>
            <w:rFonts w:ascii="IRNazanin" w:hAnsi="IRNazanin" w:eastAsia="IRNazanin" w:cs="IRNazanin"/>
            <w:color w:val="111111"/>
            <w:sz w:val="22"/>
            <w:szCs w:val="22"/>
            <w:b w:val="0"/>
            <w:bCs w:val="0"/>
            <w:i w:val="0"/>
            <w:iCs w:val="0"/>
          </w:rPr>
          <w:t>زيات ، حمزه بن حبيب 80 - 156 ه-</w:t>
        </w:r>
        <w:r>
          <w:tab/>
        </w:r>
        <w:r>
          <w:fldChar w:fldCharType="begin"/>
        </w:r>
        <w:r>
          <w:instrText xml:space="preserve">PAGEREF 3793 \h</w:instrText>
        </w:r>
        <w:r>
          <w:fldChar w:fldCharType="end"/>
        </w:r>
      </w:hyperlink>
    </w:p>
    <w:p>
      <w:pPr>
        <w:tabs>
          <w:tab w:val="right" w:leader="dot" w:pos="9062"/>
        </w:tabs>
        <w:ind w:left="220"/>
      </w:pPr>
      <w:hyperlink w:anchor="_Toc3794" w:history="1">
        <w:r>
          <w:rPr>
            <w:rFonts w:ascii="IRNazanin" w:hAnsi="IRNazanin" w:eastAsia="IRNazanin" w:cs="IRNazanin"/>
            <w:color w:val="111111"/>
            <w:sz w:val="22"/>
            <w:szCs w:val="22"/>
            <w:b w:val="0"/>
            <w:bCs w:val="0"/>
            <w:i w:val="0"/>
            <w:iCs w:val="0"/>
          </w:rPr>
          <w:t>زيادي ، علي بن يحيى - 1024 ه-</w:t>
        </w:r>
        <w:r>
          <w:tab/>
        </w:r>
        <w:r>
          <w:fldChar w:fldCharType="begin"/>
        </w:r>
        <w:r>
          <w:instrText xml:space="preserve">PAGEREF 3794 \h</w:instrText>
        </w:r>
        <w:r>
          <w:fldChar w:fldCharType="end"/>
        </w:r>
      </w:hyperlink>
    </w:p>
    <w:p>
      <w:pPr>
        <w:tabs>
          <w:tab w:val="right" w:leader="dot" w:pos="9062"/>
        </w:tabs>
        <w:ind w:left="220"/>
      </w:pPr>
      <w:hyperlink w:anchor="_Toc3795" w:history="1">
        <w:r>
          <w:rPr>
            <w:rFonts w:ascii="IRNazanin" w:hAnsi="IRNazanin" w:eastAsia="IRNazanin" w:cs="IRNazanin"/>
            <w:color w:val="111111"/>
            <w:sz w:val="22"/>
            <w:szCs w:val="22"/>
            <w:b w:val="0"/>
            <w:bCs w:val="0"/>
            <w:i w:val="0"/>
            <w:iCs w:val="0"/>
          </w:rPr>
          <w:t>زيباري ، حسن بن محمّد ، حسن بن محمّد، - 1050 ؟ ه-</w:t>
        </w:r>
        <w:r>
          <w:tab/>
        </w:r>
        <w:r>
          <w:fldChar w:fldCharType="begin"/>
        </w:r>
        <w:r>
          <w:instrText xml:space="preserve">PAGEREF 3795 \h</w:instrText>
        </w:r>
        <w:r>
          <w:fldChar w:fldCharType="end"/>
        </w:r>
      </w:hyperlink>
    </w:p>
    <w:p>
      <w:pPr>
        <w:tabs>
          <w:tab w:val="right" w:leader="dot" w:pos="9062"/>
        </w:tabs>
        <w:ind w:left="220"/>
      </w:pPr>
      <w:hyperlink w:anchor="_Toc3796" w:history="1">
        <w:r>
          <w:rPr>
            <w:rFonts w:ascii="IRNazanin" w:hAnsi="IRNazanin" w:eastAsia="IRNazanin" w:cs="IRNazanin"/>
            <w:color w:val="111111"/>
            <w:sz w:val="22"/>
            <w:szCs w:val="22"/>
            <w:b w:val="0"/>
            <w:bCs w:val="0"/>
            <w:i w:val="0"/>
            <w:iCs w:val="0"/>
          </w:rPr>
          <w:t>زيباري خالدي ، خالد</w:t>
        </w:r>
        <w:r>
          <w:tab/>
        </w:r>
        <w:r>
          <w:fldChar w:fldCharType="begin"/>
        </w:r>
        <w:r>
          <w:instrText xml:space="preserve">PAGEREF 3796 \h</w:instrText>
        </w:r>
        <w:r>
          <w:fldChar w:fldCharType="end"/>
        </w:r>
      </w:hyperlink>
    </w:p>
    <w:p>
      <w:pPr>
        <w:tabs>
          <w:tab w:val="right" w:leader="dot" w:pos="9062"/>
        </w:tabs>
        <w:ind w:left="220"/>
      </w:pPr>
      <w:hyperlink w:anchor="_Toc3797" w:history="1">
        <w:r>
          <w:rPr>
            <w:rFonts w:ascii="IRNazanin" w:hAnsi="IRNazanin" w:eastAsia="IRNazanin" w:cs="IRNazanin"/>
            <w:color w:val="111111"/>
            <w:sz w:val="22"/>
            <w:szCs w:val="22"/>
            <w:b w:val="0"/>
            <w:bCs w:val="0"/>
            <w:i w:val="0"/>
            <w:iCs w:val="0"/>
          </w:rPr>
          <w:t>زیدان بنين</w:t>
        </w:r>
        <w:r>
          <w:tab/>
        </w:r>
        <w:r>
          <w:fldChar w:fldCharType="begin"/>
        </w:r>
        <w:r>
          <w:instrText xml:space="preserve">PAGEREF 3797 \h</w:instrText>
        </w:r>
        <w:r>
          <w:fldChar w:fldCharType="end"/>
        </w:r>
      </w:hyperlink>
    </w:p>
    <w:p>
      <w:pPr>
        <w:tabs>
          <w:tab w:val="right" w:leader="dot" w:pos="9062"/>
        </w:tabs>
        <w:ind w:left="220"/>
      </w:pPr>
      <w:hyperlink w:anchor="_Toc3798" w:history="1">
        <w:r>
          <w:rPr>
            <w:rFonts w:ascii="IRNazanin" w:hAnsi="IRNazanin" w:eastAsia="IRNazanin" w:cs="IRNazanin"/>
            <w:color w:val="111111"/>
            <w:sz w:val="22"/>
            <w:szCs w:val="22"/>
            <w:b w:val="0"/>
            <w:bCs w:val="0"/>
            <w:i w:val="0"/>
            <w:iCs w:val="0"/>
          </w:rPr>
          <w:t>زيدان ، جرجي، 1861 - 1914م</w:t>
        </w:r>
        <w:r>
          <w:tab/>
        </w:r>
        <w:r>
          <w:fldChar w:fldCharType="begin"/>
        </w:r>
        <w:r>
          <w:instrText xml:space="preserve">PAGEREF 3798 \h</w:instrText>
        </w:r>
        <w:r>
          <w:fldChar w:fldCharType="end"/>
        </w:r>
      </w:hyperlink>
    </w:p>
    <w:p>
      <w:pPr>
        <w:tabs>
          <w:tab w:val="right" w:leader="dot" w:pos="9062"/>
        </w:tabs>
        <w:ind w:left="220"/>
      </w:pPr>
      <w:hyperlink w:anchor="_Toc3799" w:history="1">
        <w:r>
          <w:rPr>
            <w:rFonts w:ascii="IRNazanin" w:hAnsi="IRNazanin" w:eastAsia="IRNazanin" w:cs="IRNazanin"/>
            <w:color w:val="111111"/>
            <w:sz w:val="22"/>
            <w:szCs w:val="22"/>
            <w:b w:val="0"/>
            <w:bCs w:val="0"/>
            <w:i w:val="0"/>
            <w:iCs w:val="0"/>
          </w:rPr>
          <w:t>زیدان، محمّد امین بن احمد</w:t>
        </w:r>
        <w:r>
          <w:tab/>
        </w:r>
        <w:r>
          <w:fldChar w:fldCharType="begin"/>
        </w:r>
        <w:r>
          <w:instrText xml:space="preserve">PAGEREF 3799 \h</w:instrText>
        </w:r>
        <w:r>
          <w:fldChar w:fldCharType="end"/>
        </w:r>
      </w:hyperlink>
    </w:p>
    <w:p>
      <w:pPr>
        <w:tabs>
          <w:tab w:val="right" w:leader="dot" w:pos="9062"/>
        </w:tabs>
        <w:ind w:left="220"/>
      </w:pPr>
      <w:hyperlink w:anchor="_Toc3800" w:history="1">
        <w:r>
          <w:rPr>
            <w:rFonts w:ascii="IRNazanin" w:hAnsi="IRNazanin" w:eastAsia="IRNazanin" w:cs="IRNazanin"/>
            <w:color w:val="111111"/>
            <w:sz w:val="22"/>
            <w:szCs w:val="22"/>
            <w:b w:val="0"/>
            <w:bCs w:val="0"/>
            <w:i w:val="0"/>
            <w:iCs w:val="0"/>
          </w:rPr>
          <w:t>زيداني ، حسين بن محمود - 662 ه-</w:t>
        </w:r>
        <w:r>
          <w:tab/>
        </w:r>
        <w:r>
          <w:fldChar w:fldCharType="begin"/>
        </w:r>
        <w:r>
          <w:instrText xml:space="preserve">PAGEREF 3800 \h</w:instrText>
        </w:r>
        <w:r>
          <w:fldChar w:fldCharType="end"/>
        </w:r>
      </w:hyperlink>
    </w:p>
    <w:p>
      <w:pPr>
        <w:tabs>
          <w:tab w:val="right" w:leader="dot" w:pos="9062"/>
        </w:tabs>
        <w:ind w:left="220"/>
      </w:pPr>
      <w:hyperlink w:anchor="_Toc3801" w:history="1">
        <w:r>
          <w:rPr>
            <w:rFonts w:ascii="IRNazanin" w:hAnsi="IRNazanin" w:eastAsia="IRNazanin" w:cs="IRNazanin"/>
            <w:color w:val="111111"/>
            <w:sz w:val="22"/>
            <w:szCs w:val="22"/>
            <w:b w:val="0"/>
            <w:bCs w:val="0"/>
            <w:i w:val="0"/>
            <w:iCs w:val="0"/>
          </w:rPr>
          <w:t>زيداني صفدي، فاضل بن علي، قرن 13</w:t>
        </w:r>
        <w:r>
          <w:tab/>
        </w:r>
        <w:r>
          <w:fldChar w:fldCharType="begin"/>
        </w:r>
        <w:r>
          <w:instrText xml:space="preserve">PAGEREF 3801 \h</w:instrText>
        </w:r>
        <w:r>
          <w:fldChar w:fldCharType="end"/>
        </w:r>
      </w:hyperlink>
    </w:p>
    <w:p>
      <w:pPr>
        <w:tabs>
          <w:tab w:val="right" w:leader="dot" w:pos="9062"/>
        </w:tabs>
        <w:ind w:left="220"/>
      </w:pPr>
      <w:hyperlink w:anchor="_Toc3802" w:history="1">
        <w:r>
          <w:rPr>
            <w:rFonts w:ascii="IRNazanin" w:hAnsi="IRNazanin" w:eastAsia="IRNazanin" w:cs="IRNazanin"/>
            <w:color w:val="111111"/>
            <w:sz w:val="22"/>
            <w:szCs w:val="22"/>
            <w:b w:val="0"/>
            <w:bCs w:val="0"/>
            <w:i w:val="0"/>
            <w:iCs w:val="0"/>
          </w:rPr>
          <w:t>زید بن حسين قرن 14 ه-</w:t>
        </w:r>
        <w:r>
          <w:tab/>
        </w:r>
        <w:r>
          <w:fldChar w:fldCharType="begin"/>
        </w:r>
        <w:r>
          <w:instrText xml:space="preserve">PAGEREF 3802 \h</w:instrText>
        </w:r>
        <w:r>
          <w:fldChar w:fldCharType="end"/>
        </w:r>
      </w:hyperlink>
    </w:p>
    <w:p>
      <w:pPr>
        <w:tabs>
          <w:tab w:val="right" w:leader="dot" w:pos="9062"/>
        </w:tabs>
        <w:ind w:left="220"/>
      </w:pPr>
      <w:hyperlink w:anchor="_Toc3803" w:history="1">
        <w:r>
          <w:rPr>
            <w:rFonts w:ascii="IRNazanin" w:hAnsi="IRNazanin" w:eastAsia="IRNazanin" w:cs="IRNazanin"/>
            <w:color w:val="111111"/>
            <w:sz w:val="22"/>
            <w:szCs w:val="22"/>
            <w:b w:val="0"/>
            <w:bCs w:val="0"/>
            <w:i w:val="0"/>
            <w:iCs w:val="0"/>
          </w:rPr>
          <w:t>زید بن علي، 79 - 122 ه-</w:t>
        </w:r>
        <w:r>
          <w:tab/>
        </w:r>
        <w:r>
          <w:fldChar w:fldCharType="begin"/>
        </w:r>
        <w:r>
          <w:instrText xml:space="preserve">PAGEREF 3803 \h</w:instrText>
        </w:r>
        <w:r>
          <w:fldChar w:fldCharType="end"/>
        </w:r>
      </w:hyperlink>
    </w:p>
    <w:p>
      <w:pPr>
        <w:tabs>
          <w:tab w:val="right" w:leader="dot" w:pos="9062"/>
        </w:tabs>
        <w:ind w:left="220"/>
      </w:pPr>
      <w:hyperlink w:anchor="_Toc3804" w:history="1">
        <w:r>
          <w:rPr>
            <w:rFonts w:ascii="IRNazanin" w:hAnsi="IRNazanin" w:eastAsia="IRNazanin" w:cs="IRNazanin"/>
            <w:color w:val="111111"/>
            <w:sz w:val="22"/>
            <w:szCs w:val="22"/>
            <w:b w:val="0"/>
            <w:bCs w:val="0"/>
            <w:i w:val="0"/>
            <w:iCs w:val="0"/>
          </w:rPr>
          <w:t>زيرك محمّد</w:t>
        </w:r>
        <w:r>
          <w:tab/>
        </w:r>
        <w:r>
          <w:fldChar w:fldCharType="begin"/>
        </w:r>
        <w:r>
          <w:instrText xml:space="preserve">PAGEREF 3804 \h</w:instrText>
        </w:r>
        <w:r>
          <w:fldChar w:fldCharType="end"/>
        </w:r>
      </w:hyperlink>
    </w:p>
    <w:p>
      <w:pPr>
        <w:tabs>
          <w:tab w:val="right" w:leader="dot" w:pos="9062"/>
        </w:tabs>
        <w:ind w:left="220"/>
      </w:pPr>
      <w:hyperlink w:anchor="_Toc3805" w:history="1">
        <w:r>
          <w:rPr>
            <w:rFonts w:ascii="IRNazanin" w:hAnsi="IRNazanin" w:eastAsia="IRNazanin" w:cs="IRNazanin"/>
            <w:color w:val="111111"/>
            <w:sz w:val="22"/>
            <w:szCs w:val="22"/>
            <w:b w:val="0"/>
            <w:bCs w:val="0"/>
            <w:i w:val="0"/>
            <w:iCs w:val="0"/>
          </w:rPr>
          <w:t>زيلعي ، عثمان بن علي - 743 ه-</w:t>
        </w:r>
        <w:r>
          <w:tab/>
        </w:r>
        <w:r>
          <w:fldChar w:fldCharType="begin"/>
        </w:r>
        <w:r>
          <w:instrText xml:space="preserve">PAGEREF 3805 \h</w:instrText>
        </w:r>
        <w:r>
          <w:fldChar w:fldCharType="end"/>
        </w:r>
      </w:hyperlink>
    </w:p>
    <w:p>
      <w:pPr>
        <w:tabs>
          <w:tab w:val="right" w:leader="dot" w:pos="9062"/>
        </w:tabs>
        <w:ind w:left="220"/>
      </w:pPr>
      <w:hyperlink w:anchor="_Toc3806" w:history="1">
        <w:r>
          <w:rPr>
            <w:rFonts w:ascii="IRNazanin" w:hAnsi="IRNazanin" w:eastAsia="IRNazanin" w:cs="IRNazanin"/>
            <w:color w:val="111111"/>
            <w:sz w:val="22"/>
            <w:szCs w:val="22"/>
            <w:b w:val="0"/>
            <w:bCs w:val="0"/>
            <w:i w:val="0"/>
            <w:iCs w:val="0"/>
          </w:rPr>
          <w:t>زيلي، محرم بن محمّد - 1000 ه-</w:t>
        </w:r>
        <w:r>
          <w:tab/>
        </w:r>
        <w:r>
          <w:fldChar w:fldCharType="begin"/>
        </w:r>
        <w:r>
          <w:instrText xml:space="preserve">PAGEREF 3806 \h</w:instrText>
        </w:r>
        <w:r>
          <w:fldChar w:fldCharType="end"/>
        </w:r>
      </w:hyperlink>
    </w:p>
    <w:p>
      <w:pPr>
        <w:tabs>
          <w:tab w:val="right" w:leader="dot" w:pos="9062"/>
        </w:tabs>
        <w:ind w:left="220"/>
      </w:pPr>
      <w:hyperlink w:anchor="_Toc3807" w:history="1">
        <w:r>
          <w:rPr>
            <w:rFonts w:ascii="IRNazanin" w:hAnsi="IRNazanin" w:eastAsia="IRNazanin" w:cs="IRNazanin"/>
            <w:color w:val="111111"/>
            <w:sz w:val="22"/>
            <w:szCs w:val="22"/>
            <w:b w:val="0"/>
            <w:bCs w:val="0"/>
            <w:i w:val="0"/>
            <w:iCs w:val="0"/>
          </w:rPr>
          <w:t>زين الدين الرازي ، محمّد بن ابي بكر</w:t>
        </w:r>
        <w:r>
          <w:tab/>
        </w:r>
        <w:r>
          <w:fldChar w:fldCharType="begin"/>
        </w:r>
        <w:r>
          <w:instrText xml:space="preserve">PAGEREF 3807 \h</w:instrText>
        </w:r>
        <w:r>
          <w:fldChar w:fldCharType="end"/>
        </w:r>
      </w:hyperlink>
    </w:p>
    <w:p>
      <w:pPr>
        <w:tabs>
          <w:tab w:val="right" w:leader="dot" w:pos="9062"/>
        </w:tabs>
        <w:ind w:left="220"/>
      </w:pPr>
      <w:hyperlink w:anchor="_Toc3808" w:history="1">
        <w:r>
          <w:rPr>
            <w:rFonts w:ascii="IRNazanin" w:hAnsi="IRNazanin" w:eastAsia="IRNazanin" w:cs="IRNazanin"/>
            <w:color w:val="111111"/>
            <w:sz w:val="22"/>
            <w:szCs w:val="22"/>
            <w:b w:val="0"/>
            <w:bCs w:val="0"/>
            <w:i w:val="0"/>
            <w:iCs w:val="0"/>
          </w:rPr>
          <w:t>زين الدين بن علي</w:t>
        </w:r>
        <w:r>
          <w:tab/>
        </w:r>
        <w:r>
          <w:fldChar w:fldCharType="begin"/>
        </w:r>
        <w:r>
          <w:instrText xml:space="preserve">PAGEREF 3808 \h</w:instrText>
        </w:r>
        <w:r>
          <w:fldChar w:fldCharType="end"/>
        </w:r>
      </w:hyperlink>
    </w:p>
    <w:p>
      <w:pPr>
        <w:tabs>
          <w:tab w:val="right" w:leader="dot" w:pos="9062"/>
        </w:tabs>
        <w:ind w:left="220"/>
      </w:pPr>
      <w:hyperlink w:anchor="_Toc3809" w:history="1">
        <w:r>
          <w:rPr>
            <w:rFonts w:ascii="IRNazanin" w:hAnsi="IRNazanin" w:eastAsia="IRNazanin" w:cs="IRNazanin"/>
            <w:color w:val="111111"/>
            <w:sz w:val="22"/>
            <w:szCs w:val="22"/>
            <w:b w:val="0"/>
            <w:bCs w:val="0"/>
            <w:i w:val="0"/>
            <w:iCs w:val="0"/>
          </w:rPr>
          <w:t>زین الدین زکریا</w:t>
        </w:r>
        <w:r>
          <w:tab/>
        </w:r>
        <w:r>
          <w:fldChar w:fldCharType="begin"/>
        </w:r>
        <w:r>
          <w:instrText xml:space="preserve">PAGEREF 3809 \h</w:instrText>
        </w:r>
        <w:r>
          <w:fldChar w:fldCharType="end"/>
        </w:r>
      </w:hyperlink>
    </w:p>
    <w:p>
      <w:pPr>
        <w:tabs>
          <w:tab w:val="right" w:leader="dot" w:pos="9062"/>
        </w:tabs>
        <w:ind w:left="220"/>
      </w:pPr>
      <w:hyperlink w:anchor="_Toc3810" w:history="1">
        <w:r>
          <w:rPr>
            <w:rFonts w:ascii="IRNazanin" w:hAnsi="IRNazanin" w:eastAsia="IRNazanin" w:cs="IRNazanin"/>
            <w:color w:val="111111"/>
            <w:sz w:val="22"/>
            <w:szCs w:val="22"/>
            <w:b w:val="0"/>
            <w:bCs w:val="0"/>
            <w:i w:val="0"/>
            <w:iCs w:val="0"/>
          </w:rPr>
          <w:t>زین الدین ، محمّد امین 1914 م</w:t>
        </w:r>
        <w:r>
          <w:tab/>
        </w:r>
        <w:r>
          <w:fldChar w:fldCharType="begin"/>
        </w:r>
        <w:r>
          <w:instrText xml:space="preserve">PAGEREF 3810 \h</w:instrText>
        </w:r>
        <w:r>
          <w:fldChar w:fldCharType="end"/>
        </w:r>
      </w:hyperlink>
    </w:p>
    <w:p>
      <w:pPr>
        <w:tabs>
          <w:tab w:val="right" w:leader="dot" w:pos="9062"/>
        </w:tabs>
        <w:ind w:left="220"/>
      </w:pPr>
      <w:hyperlink w:anchor="_Toc3811" w:history="1">
        <w:r>
          <w:rPr>
            <w:rFonts w:ascii="IRNazanin" w:hAnsi="IRNazanin" w:eastAsia="IRNazanin" w:cs="IRNazanin"/>
            <w:color w:val="111111"/>
            <w:sz w:val="22"/>
            <w:szCs w:val="22"/>
            <w:b w:val="0"/>
            <w:bCs w:val="0"/>
            <w:i w:val="0"/>
            <w:iCs w:val="0"/>
          </w:rPr>
          <w:t>زين العابدين بن محمّد علي</w:t>
        </w:r>
        <w:r>
          <w:tab/>
        </w:r>
        <w:r>
          <w:fldChar w:fldCharType="begin"/>
        </w:r>
        <w:r>
          <w:instrText xml:space="preserve">PAGEREF 3811 \h</w:instrText>
        </w:r>
        <w:r>
          <w:fldChar w:fldCharType="end"/>
        </w:r>
      </w:hyperlink>
    </w:p>
    <w:p>
      <w:pPr>
        <w:tabs>
          <w:tab w:val="right" w:leader="dot" w:pos="9062"/>
        </w:tabs>
        <w:ind w:left="220"/>
      </w:pPr>
      <w:hyperlink w:anchor="_Toc3812" w:history="1">
        <w:r>
          <w:rPr>
            <w:rFonts w:ascii="IRNazanin" w:hAnsi="IRNazanin" w:eastAsia="IRNazanin" w:cs="IRNazanin"/>
            <w:color w:val="111111"/>
            <w:sz w:val="22"/>
            <w:szCs w:val="22"/>
            <w:b w:val="0"/>
            <w:bCs w:val="0"/>
            <w:i w:val="0"/>
            <w:iCs w:val="0"/>
          </w:rPr>
          <w:t>زين العابدین عطار ، علي بن حسين</w:t>
        </w:r>
        <w:r>
          <w:tab/>
        </w:r>
        <w:r>
          <w:fldChar w:fldCharType="begin"/>
        </w:r>
        <w:r>
          <w:instrText xml:space="preserve">PAGEREF 3812 \h</w:instrText>
        </w:r>
        <w:r>
          <w:fldChar w:fldCharType="end"/>
        </w:r>
      </w:hyperlink>
    </w:p>
    <w:p>
      <w:pPr>
        <w:tabs>
          <w:tab w:val="right" w:leader="dot" w:pos="9062"/>
        </w:tabs>
        <w:ind w:left="220"/>
      </w:pPr>
      <w:hyperlink w:anchor="_Toc3813" w:history="1">
        <w:r>
          <w:rPr>
            <w:rFonts w:ascii="IRNazanin" w:hAnsi="IRNazanin" w:eastAsia="IRNazanin" w:cs="IRNazanin"/>
            <w:color w:val="111111"/>
            <w:sz w:val="22"/>
            <w:szCs w:val="22"/>
            <w:b w:val="0"/>
            <w:bCs w:val="0"/>
            <w:i w:val="0"/>
            <w:iCs w:val="0"/>
          </w:rPr>
          <w:t>زين العرب ، ابراهيم بن اسماعيل - 966</w:t>
        </w:r>
        <w:r>
          <w:tab/>
        </w:r>
        <w:r>
          <w:fldChar w:fldCharType="begin"/>
        </w:r>
        <w:r>
          <w:instrText xml:space="preserve">PAGEREF 3813 \h</w:instrText>
        </w:r>
        <w:r>
          <w:fldChar w:fldCharType="end"/>
        </w:r>
      </w:hyperlink>
    </w:p>
    <w:p>
      <w:pPr>
        <w:tabs>
          <w:tab w:val="right" w:leader="dot" w:pos="9062"/>
        </w:tabs>
        <w:ind w:left="220"/>
      </w:pPr>
      <w:hyperlink w:anchor="_Toc3814" w:history="1">
        <w:r>
          <w:rPr>
            <w:rFonts w:ascii="IRNazanin" w:hAnsi="IRNazanin" w:eastAsia="IRNazanin" w:cs="IRNazanin"/>
            <w:color w:val="111111"/>
            <w:sz w:val="22"/>
            <w:szCs w:val="22"/>
            <w:b w:val="0"/>
            <w:bCs w:val="0"/>
            <w:i w:val="0"/>
            <w:iCs w:val="0"/>
          </w:rPr>
          <w:t>زین ، محمّد حسين</w:t>
        </w:r>
        <w:r>
          <w:tab/>
        </w:r>
        <w:r>
          <w:fldChar w:fldCharType="begin"/>
        </w:r>
        <w:r>
          <w:instrText xml:space="preserve">PAGEREF 3814 \h</w:instrText>
        </w:r>
        <w:r>
          <w:fldChar w:fldCharType="end"/>
        </w:r>
      </w:hyperlink>
    </w:p>
    <w:p>
      <w:pPr>
        <w:tabs>
          <w:tab w:val="right" w:leader="dot" w:pos="9062"/>
        </w:tabs>
        <w:ind w:left="220"/>
      </w:pPr>
      <w:hyperlink w:anchor="_Toc3815" w:history="1">
        <w:r>
          <w:rPr>
            <w:rFonts w:ascii="IRNazanin" w:hAnsi="IRNazanin" w:eastAsia="IRNazanin" w:cs="IRNazanin"/>
            <w:color w:val="111111"/>
            <w:sz w:val="22"/>
            <w:szCs w:val="22"/>
            <w:b w:val="0"/>
            <w:bCs w:val="0"/>
            <w:i w:val="0"/>
            <w:iCs w:val="0"/>
          </w:rPr>
          <w:t>زيني ، جواد</w:t>
        </w:r>
        <w:r>
          <w:tab/>
        </w:r>
        <w:r>
          <w:fldChar w:fldCharType="begin"/>
        </w:r>
        <w:r>
          <w:instrText xml:space="preserve">PAGEREF 3815 \h</w:instrText>
        </w:r>
        <w:r>
          <w:fldChar w:fldCharType="end"/>
        </w:r>
      </w:hyperlink>
    </w:p>
    <w:p>
      <w:pPr>
        <w:tabs>
          <w:tab w:val="right" w:leader="dot" w:pos="9062"/>
        </w:tabs>
        <w:ind w:left="220"/>
      </w:pPr>
      <w:hyperlink w:anchor="_Toc3816" w:history="1">
        <w:r>
          <w:rPr>
            <w:rFonts w:ascii="IRNazanin" w:hAnsi="IRNazanin" w:eastAsia="IRNazanin" w:cs="IRNazanin"/>
            <w:color w:val="111111"/>
            <w:sz w:val="22"/>
            <w:szCs w:val="22"/>
            <w:b w:val="0"/>
            <w:bCs w:val="0"/>
            <w:i w:val="0"/>
            <w:iCs w:val="0"/>
          </w:rPr>
          <w:t>زيني ، حسين بن اسماعيل</w:t>
        </w:r>
        <w:r>
          <w:tab/>
        </w:r>
        <w:r>
          <w:fldChar w:fldCharType="begin"/>
        </w:r>
        <w:r>
          <w:instrText xml:space="preserve">PAGEREF 3816 \h</w:instrText>
        </w:r>
        <w:r>
          <w:fldChar w:fldCharType="end"/>
        </w:r>
      </w:hyperlink>
    </w:p>
    <w:p>
      <w:pPr>
        <w:tabs>
          <w:tab w:val="right" w:leader="dot" w:pos="9062"/>
        </w:tabs>
        <w:ind w:left="220"/>
      </w:pPr>
      <w:hyperlink w:anchor="_Toc3817" w:history="1">
        <w:r>
          <w:rPr>
            <w:rFonts w:ascii="IRNazanin" w:hAnsi="IRNazanin" w:eastAsia="IRNazanin" w:cs="IRNazanin"/>
            <w:color w:val="111111"/>
            <w:sz w:val="22"/>
            <w:szCs w:val="22"/>
            <w:b w:val="0"/>
            <w:bCs w:val="0"/>
            <w:i w:val="0"/>
            <w:iCs w:val="0"/>
          </w:rPr>
          <w:t>زيني زاده، حسين بن احمد - 1168 ه-</w:t>
        </w:r>
        <w:r>
          <w:tab/>
        </w:r>
        <w:r>
          <w:fldChar w:fldCharType="begin"/>
        </w:r>
        <w:r>
          <w:instrText xml:space="preserve">PAGEREF 3817 \h</w:instrText>
        </w:r>
        <w:r>
          <w:fldChar w:fldCharType="end"/>
        </w:r>
      </w:hyperlink>
    </w:p>
    <w:p>
      <w:pPr>
        <w:tabs>
          <w:tab w:val="right" w:leader="dot" w:pos="9062"/>
        </w:tabs>
        <w:ind w:left="220"/>
      </w:pPr>
      <w:hyperlink w:anchor="_Toc3818" w:history="1">
        <w:r>
          <w:rPr>
            <w:rFonts w:ascii="IRNazanin" w:hAnsi="IRNazanin" w:eastAsia="IRNazanin" w:cs="IRNazanin"/>
            <w:color w:val="111111"/>
            <w:sz w:val="22"/>
            <w:szCs w:val="22"/>
            <w:b w:val="0"/>
            <w:bCs w:val="0"/>
            <w:i w:val="0"/>
            <w:iCs w:val="0"/>
          </w:rPr>
          <w:t>زيوري بغدادي ، عباس بن جاسم</w:t>
        </w:r>
        <w:r>
          <w:tab/>
        </w:r>
        <w:r>
          <w:fldChar w:fldCharType="begin"/>
        </w:r>
        <w:r>
          <w:instrText xml:space="preserve">PAGEREF 3818 \h</w:instrText>
        </w:r>
        <w:r>
          <w:fldChar w:fldCharType="end"/>
        </w:r>
      </w:hyperlink>
    </w:p>
    <w:p>
      <w:pPr>
        <w:tabs>
          <w:tab w:val="right" w:leader="dot" w:pos="9062"/>
        </w:tabs>
        <w:ind w:left="220"/>
      </w:pPr>
      <w:hyperlink w:anchor="_Toc3819" w:history="1">
        <w:r>
          <w:rPr>
            <w:rFonts w:ascii="IRNazanin" w:hAnsi="IRNazanin" w:eastAsia="IRNazanin" w:cs="IRNazanin"/>
            <w:color w:val="111111"/>
            <w:sz w:val="22"/>
            <w:szCs w:val="22"/>
            <w:b w:val="0"/>
            <w:bCs w:val="0"/>
            <w:i w:val="0"/>
            <w:iCs w:val="0"/>
          </w:rPr>
          <w:t>سابوري ، مرحب</w:t>
        </w:r>
        <w:r>
          <w:tab/>
        </w:r>
        <w:r>
          <w:fldChar w:fldCharType="begin"/>
        </w:r>
        <w:r>
          <w:instrText xml:space="preserve">PAGEREF 3819 \h</w:instrText>
        </w:r>
        <w:r>
          <w:fldChar w:fldCharType="end"/>
        </w:r>
      </w:hyperlink>
    </w:p>
    <w:p>
      <w:pPr>
        <w:tabs>
          <w:tab w:val="right" w:leader="dot" w:pos="9062"/>
        </w:tabs>
        <w:ind w:left="220"/>
      </w:pPr>
      <w:hyperlink w:anchor="_Toc3820" w:history="1">
        <w:r>
          <w:rPr>
            <w:rFonts w:ascii="IRNazanin" w:hAnsi="IRNazanin" w:eastAsia="IRNazanin" w:cs="IRNazanin"/>
            <w:color w:val="111111"/>
            <w:sz w:val="22"/>
            <w:szCs w:val="22"/>
            <w:b w:val="0"/>
            <w:bCs w:val="0"/>
            <w:i w:val="0"/>
            <w:iCs w:val="0"/>
          </w:rPr>
          <w:t>ساجلو امیر قاضي روم</w:t>
        </w:r>
        <w:r>
          <w:tab/>
        </w:r>
        <w:r>
          <w:fldChar w:fldCharType="begin"/>
        </w:r>
        <w:r>
          <w:instrText xml:space="preserve">PAGEREF 3820 \h</w:instrText>
        </w:r>
        <w:r>
          <w:fldChar w:fldCharType="end"/>
        </w:r>
      </w:hyperlink>
    </w:p>
    <w:p>
      <w:pPr>
        <w:tabs>
          <w:tab w:val="right" w:leader="dot" w:pos="9062"/>
        </w:tabs>
        <w:ind w:left="220"/>
      </w:pPr>
      <w:hyperlink w:anchor="_Toc3821" w:history="1">
        <w:r>
          <w:rPr>
            <w:rFonts w:ascii="IRNazanin" w:hAnsi="IRNazanin" w:eastAsia="IRNazanin" w:cs="IRNazanin"/>
            <w:color w:val="111111"/>
            <w:sz w:val="22"/>
            <w:szCs w:val="22"/>
            <w:b w:val="0"/>
            <w:bCs w:val="0"/>
            <w:i w:val="0"/>
            <w:iCs w:val="0"/>
          </w:rPr>
          <w:t>ساچقلي زاده ، محمّد بن ابي بكر</w:t>
        </w:r>
        <w:r>
          <w:tab/>
        </w:r>
        <w:r>
          <w:fldChar w:fldCharType="begin"/>
        </w:r>
        <w:r>
          <w:instrText xml:space="preserve">PAGEREF 3821 \h</w:instrText>
        </w:r>
        <w:r>
          <w:fldChar w:fldCharType="end"/>
        </w:r>
      </w:hyperlink>
    </w:p>
    <w:p>
      <w:pPr>
        <w:tabs>
          <w:tab w:val="right" w:leader="dot" w:pos="9062"/>
        </w:tabs>
        <w:ind w:left="220"/>
      </w:pPr>
      <w:hyperlink w:anchor="_Toc3822" w:history="1">
        <w:r>
          <w:rPr>
            <w:rFonts w:ascii="IRNazanin" w:hAnsi="IRNazanin" w:eastAsia="IRNazanin" w:cs="IRNazanin"/>
            <w:color w:val="111111"/>
            <w:sz w:val="22"/>
            <w:szCs w:val="22"/>
            <w:b w:val="0"/>
            <w:bCs w:val="0"/>
            <w:i w:val="0"/>
            <w:iCs w:val="0"/>
          </w:rPr>
          <w:t>ساروي ، محمّد علي بن محمّد رضا</w:t>
        </w:r>
        <w:r>
          <w:tab/>
        </w:r>
        <w:r>
          <w:fldChar w:fldCharType="begin"/>
        </w:r>
        <w:r>
          <w:instrText xml:space="preserve">PAGEREF 3822 \h</w:instrText>
        </w:r>
        <w:r>
          <w:fldChar w:fldCharType="end"/>
        </w:r>
      </w:hyperlink>
    </w:p>
    <w:p>
      <w:pPr>
        <w:tabs>
          <w:tab w:val="right" w:leader="dot" w:pos="9062"/>
        </w:tabs>
        <w:ind w:left="220"/>
      </w:pPr>
      <w:hyperlink w:anchor="_Toc3823" w:history="1">
        <w:r>
          <w:rPr>
            <w:rFonts w:ascii="IRNazanin" w:hAnsi="IRNazanin" w:eastAsia="IRNazanin" w:cs="IRNazanin"/>
            <w:color w:val="111111"/>
            <w:sz w:val="22"/>
            <w:szCs w:val="22"/>
            <w:b w:val="0"/>
            <w:bCs w:val="0"/>
            <w:i w:val="0"/>
            <w:iCs w:val="0"/>
          </w:rPr>
          <w:t>ساعاتي ، مرتفع بن حسن</w:t>
        </w:r>
        <w:r>
          <w:tab/>
        </w:r>
        <w:r>
          <w:fldChar w:fldCharType="begin"/>
        </w:r>
        <w:r>
          <w:instrText xml:space="preserve">PAGEREF 3823 \h</w:instrText>
        </w:r>
        <w:r>
          <w:fldChar w:fldCharType="end"/>
        </w:r>
      </w:hyperlink>
    </w:p>
    <w:p>
      <w:pPr>
        <w:tabs>
          <w:tab w:val="right" w:leader="dot" w:pos="9062"/>
        </w:tabs>
        <w:ind w:left="220"/>
      </w:pPr>
      <w:hyperlink w:anchor="_Toc3824" w:history="1">
        <w:r>
          <w:rPr>
            <w:rFonts w:ascii="IRNazanin" w:hAnsi="IRNazanin" w:eastAsia="IRNazanin" w:cs="IRNazanin"/>
            <w:color w:val="111111"/>
            <w:sz w:val="22"/>
            <w:szCs w:val="22"/>
            <w:b w:val="0"/>
            <w:bCs w:val="0"/>
            <w:i w:val="0"/>
            <w:iCs w:val="0"/>
          </w:rPr>
          <w:t>ساقزي ، محمّد صادق بن علي - 1099</w:t>
        </w:r>
        <w:r>
          <w:tab/>
        </w:r>
        <w:r>
          <w:fldChar w:fldCharType="begin"/>
        </w:r>
        <w:r>
          <w:instrText xml:space="preserve">PAGEREF 3824 \h</w:instrText>
        </w:r>
        <w:r>
          <w:fldChar w:fldCharType="end"/>
        </w:r>
      </w:hyperlink>
    </w:p>
    <w:p>
      <w:pPr>
        <w:tabs>
          <w:tab w:val="right" w:leader="dot" w:pos="9062"/>
        </w:tabs>
        <w:ind w:left="220"/>
      </w:pPr>
      <w:hyperlink w:anchor="_Toc3825" w:history="1">
        <w:r>
          <w:rPr>
            <w:rFonts w:ascii="IRNazanin" w:hAnsi="IRNazanin" w:eastAsia="IRNazanin" w:cs="IRNazanin"/>
            <w:color w:val="111111"/>
            <w:sz w:val="22"/>
            <w:szCs w:val="22"/>
            <w:b w:val="0"/>
            <w:bCs w:val="0"/>
            <w:i w:val="0"/>
            <w:iCs w:val="0"/>
          </w:rPr>
          <w:t>سالم الحسيني ، شيخ</w:t>
        </w:r>
        <w:r>
          <w:tab/>
        </w:r>
        <w:r>
          <w:fldChar w:fldCharType="begin"/>
        </w:r>
        <w:r>
          <w:instrText xml:space="preserve">PAGEREF 3825 \h</w:instrText>
        </w:r>
        <w:r>
          <w:fldChar w:fldCharType="end"/>
        </w:r>
      </w:hyperlink>
    </w:p>
    <w:p>
      <w:pPr>
        <w:tabs>
          <w:tab w:val="right" w:leader="dot" w:pos="9062"/>
        </w:tabs>
        <w:ind w:left="220"/>
      </w:pPr>
      <w:hyperlink w:anchor="_Toc3826" w:history="1">
        <w:r>
          <w:rPr>
            <w:rFonts w:ascii="IRNazanin" w:hAnsi="IRNazanin" w:eastAsia="IRNazanin" w:cs="IRNazanin"/>
            <w:color w:val="111111"/>
            <w:sz w:val="22"/>
            <w:szCs w:val="22"/>
            <w:b w:val="0"/>
            <w:bCs w:val="0"/>
            <w:i w:val="0"/>
            <w:iCs w:val="0"/>
          </w:rPr>
          <w:t>سالمي ، محمّد بن احمد - 800 ه-</w:t>
        </w:r>
        <w:r>
          <w:tab/>
        </w:r>
        <w:r>
          <w:fldChar w:fldCharType="begin"/>
        </w:r>
        <w:r>
          <w:instrText xml:space="preserve">PAGEREF 3826 \h</w:instrText>
        </w:r>
        <w:r>
          <w:fldChar w:fldCharType="end"/>
        </w:r>
      </w:hyperlink>
    </w:p>
    <w:p>
      <w:pPr>
        <w:tabs>
          <w:tab w:val="right" w:leader="dot" w:pos="9062"/>
        </w:tabs>
        <w:ind w:left="220"/>
      </w:pPr>
      <w:hyperlink w:anchor="_Toc3827" w:history="1">
        <w:r>
          <w:rPr>
            <w:rFonts w:ascii="IRNazanin" w:hAnsi="IRNazanin" w:eastAsia="IRNazanin" w:cs="IRNazanin"/>
            <w:color w:val="111111"/>
            <w:sz w:val="22"/>
            <w:szCs w:val="22"/>
            <w:b w:val="0"/>
            <w:bCs w:val="0"/>
            <w:i w:val="0"/>
            <w:iCs w:val="0"/>
          </w:rPr>
          <w:t>سامري ، محمّد بن عبدالله بن حسين</w:t>
        </w:r>
        <w:r>
          <w:tab/>
        </w:r>
        <w:r>
          <w:fldChar w:fldCharType="begin"/>
        </w:r>
        <w:r>
          <w:instrText xml:space="preserve">PAGEREF 3827 \h</w:instrText>
        </w:r>
        <w:r>
          <w:fldChar w:fldCharType="end"/>
        </w:r>
      </w:hyperlink>
    </w:p>
    <w:p>
      <w:pPr>
        <w:tabs>
          <w:tab w:val="right" w:leader="dot" w:pos="9062"/>
        </w:tabs>
        <w:ind w:left="220"/>
      </w:pPr>
      <w:hyperlink w:anchor="_Toc3828" w:history="1">
        <w:r>
          <w:rPr>
            <w:rFonts w:ascii="IRNazanin" w:hAnsi="IRNazanin" w:eastAsia="IRNazanin" w:cs="IRNazanin"/>
            <w:color w:val="111111"/>
            <w:sz w:val="22"/>
            <w:szCs w:val="22"/>
            <w:b w:val="0"/>
            <w:bCs w:val="0"/>
            <w:i w:val="0"/>
            <w:iCs w:val="0"/>
          </w:rPr>
          <w:t>سامسوني ، حسن بن عبدالصمد - 891</w:t>
        </w:r>
        <w:r>
          <w:tab/>
        </w:r>
        <w:r>
          <w:fldChar w:fldCharType="begin"/>
        </w:r>
        <w:r>
          <w:instrText xml:space="preserve">PAGEREF 3828 \h</w:instrText>
        </w:r>
        <w:r>
          <w:fldChar w:fldCharType="end"/>
        </w:r>
      </w:hyperlink>
    </w:p>
    <w:p>
      <w:pPr>
        <w:tabs>
          <w:tab w:val="right" w:leader="dot" w:pos="9062"/>
        </w:tabs>
        <w:ind w:left="220"/>
      </w:pPr>
      <w:hyperlink w:anchor="_Toc3829" w:history="1">
        <w:r>
          <w:rPr>
            <w:rFonts w:ascii="IRNazanin" w:hAnsi="IRNazanin" w:eastAsia="IRNazanin" w:cs="IRNazanin"/>
            <w:color w:val="111111"/>
            <w:sz w:val="22"/>
            <w:szCs w:val="22"/>
            <w:b w:val="0"/>
            <w:bCs w:val="0"/>
            <w:i w:val="0"/>
            <w:iCs w:val="0"/>
          </w:rPr>
          <w:t>ساوجبلاغي، محمّد بن رسول 1181 -</w:t>
        </w:r>
        <w:r>
          <w:tab/>
        </w:r>
        <w:r>
          <w:fldChar w:fldCharType="begin"/>
        </w:r>
        <w:r>
          <w:instrText xml:space="preserve">PAGEREF 3829 \h</w:instrText>
        </w:r>
        <w:r>
          <w:fldChar w:fldCharType="end"/>
        </w:r>
      </w:hyperlink>
    </w:p>
    <w:p>
      <w:pPr>
        <w:tabs>
          <w:tab w:val="right" w:leader="dot" w:pos="9062"/>
        </w:tabs>
        <w:ind w:left="220"/>
      </w:pPr>
      <w:hyperlink w:anchor="_Toc3830" w:history="1">
        <w:r>
          <w:rPr>
            <w:rFonts w:ascii="IRNazanin" w:hAnsi="IRNazanin" w:eastAsia="IRNazanin" w:cs="IRNazanin"/>
            <w:color w:val="111111"/>
            <w:sz w:val="22"/>
            <w:szCs w:val="22"/>
            <w:b w:val="0"/>
            <w:bCs w:val="0"/>
            <w:i w:val="0"/>
            <w:iCs w:val="0"/>
          </w:rPr>
          <w:t>ساوجي ، محمّد قاسم قرن 11 ه-</w:t>
        </w:r>
        <w:r>
          <w:tab/>
        </w:r>
        <w:r>
          <w:fldChar w:fldCharType="begin"/>
        </w:r>
        <w:r>
          <w:instrText xml:space="preserve">PAGEREF 3830 \h</w:instrText>
        </w:r>
        <w:r>
          <w:fldChar w:fldCharType="end"/>
        </w:r>
      </w:hyperlink>
    </w:p>
    <w:p>
      <w:pPr>
        <w:tabs>
          <w:tab w:val="right" w:leader="dot" w:pos="9062"/>
        </w:tabs>
        <w:ind w:left="220"/>
      </w:pPr>
      <w:hyperlink w:anchor="_Toc3831" w:history="1">
        <w:r>
          <w:rPr>
            <w:rFonts w:ascii="IRNazanin" w:hAnsi="IRNazanin" w:eastAsia="IRNazanin" w:cs="IRNazanin"/>
            <w:color w:val="111111"/>
            <w:sz w:val="22"/>
            <w:szCs w:val="22"/>
            <w:b w:val="0"/>
            <w:bCs w:val="0"/>
            <w:i w:val="0"/>
            <w:iCs w:val="0"/>
          </w:rPr>
          <w:t>ساوجي، موسى بن عليرضا قرن 13 ه-</w:t>
        </w:r>
        <w:r>
          <w:tab/>
        </w:r>
        <w:r>
          <w:fldChar w:fldCharType="begin"/>
        </w:r>
        <w:r>
          <w:instrText xml:space="preserve">PAGEREF 3831 \h</w:instrText>
        </w:r>
        <w:r>
          <w:fldChar w:fldCharType="end"/>
        </w:r>
      </w:hyperlink>
    </w:p>
    <w:p>
      <w:pPr>
        <w:tabs>
          <w:tab w:val="right" w:leader="dot" w:pos="9062"/>
        </w:tabs>
        <w:ind w:left="220"/>
      </w:pPr>
      <w:hyperlink w:anchor="_Toc3832" w:history="1">
        <w:r>
          <w:rPr>
            <w:rFonts w:ascii="IRNazanin" w:hAnsi="IRNazanin" w:eastAsia="IRNazanin" w:cs="IRNazanin"/>
            <w:color w:val="111111"/>
            <w:sz w:val="22"/>
            <w:szCs w:val="22"/>
            <w:b w:val="0"/>
            <w:bCs w:val="0"/>
            <w:i w:val="0"/>
            <w:iCs w:val="0"/>
          </w:rPr>
          <w:t>ساوه اي ، محمّد يحيى بن محمّد شريف</w:t>
        </w:r>
        <w:r>
          <w:tab/>
        </w:r>
        <w:r>
          <w:fldChar w:fldCharType="begin"/>
        </w:r>
        <w:r>
          <w:instrText xml:space="preserve">PAGEREF 3832 \h</w:instrText>
        </w:r>
        <w:r>
          <w:fldChar w:fldCharType="end"/>
        </w:r>
      </w:hyperlink>
    </w:p>
    <w:p>
      <w:pPr>
        <w:tabs>
          <w:tab w:val="right" w:leader="dot" w:pos="9062"/>
        </w:tabs>
        <w:ind w:left="220"/>
      </w:pPr>
      <w:hyperlink w:anchor="_Toc3833" w:history="1">
        <w:r>
          <w:rPr>
            <w:rFonts w:ascii="IRNazanin" w:hAnsi="IRNazanin" w:eastAsia="IRNazanin" w:cs="IRNazanin"/>
            <w:color w:val="111111"/>
            <w:sz w:val="22"/>
            <w:szCs w:val="22"/>
            <w:b w:val="0"/>
            <w:bCs w:val="0"/>
            <w:i w:val="0"/>
            <w:iCs w:val="0"/>
          </w:rPr>
          <w:t>سباخي ، احمد بن عبد الحق</w:t>
        </w:r>
        <w:r>
          <w:tab/>
        </w:r>
        <w:r>
          <w:fldChar w:fldCharType="begin"/>
        </w:r>
        <w:r>
          <w:instrText xml:space="preserve">PAGEREF 3833 \h</w:instrText>
        </w:r>
        <w:r>
          <w:fldChar w:fldCharType="end"/>
        </w:r>
      </w:hyperlink>
    </w:p>
    <w:p>
      <w:pPr>
        <w:tabs>
          <w:tab w:val="right" w:leader="dot" w:pos="9062"/>
        </w:tabs>
        <w:ind w:left="220"/>
      </w:pPr>
      <w:hyperlink w:anchor="_Toc3834" w:history="1">
        <w:r>
          <w:rPr>
            <w:rFonts w:ascii="IRNazanin" w:hAnsi="IRNazanin" w:eastAsia="IRNazanin" w:cs="IRNazanin"/>
            <w:color w:val="111111"/>
            <w:sz w:val="22"/>
            <w:szCs w:val="22"/>
            <w:b w:val="0"/>
            <w:bCs w:val="0"/>
            <w:i w:val="0"/>
            <w:iCs w:val="0"/>
          </w:rPr>
          <w:t>سباعي، مصطفى، 1915 - 1964 م</w:t>
        </w:r>
        <w:r>
          <w:tab/>
        </w:r>
        <w:r>
          <w:fldChar w:fldCharType="begin"/>
        </w:r>
        <w:r>
          <w:instrText xml:space="preserve">PAGEREF 3834 \h</w:instrText>
        </w:r>
        <w:r>
          <w:fldChar w:fldCharType="end"/>
        </w:r>
      </w:hyperlink>
    </w:p>
    <w:p>
      <w:pPr>
        <w:tabs>
          <w:tab w:val="right" w:leader="dot" w:pos="9062"/>
        </w:tabs>
        <w:ind w:left="220"/>
      </w:pPr>
      <w:hyperlink w:anchor="_Toc3835" w:history="1">
        <w:r>
          <w:rPr>
            <w:rFonts w:ascii="IRNazanin" w:hAnsi="IRNazanin" w:eastAsia="IRNazanin" w:cs="IRNazanin"/>
            <w:color w:val="111111"/>
            <w:sz w:val="22"/>
            <w:szCs w:val="22"/>
            <w:b w:val="0"/>
            <w:bCs w:val="0"/>
            <w:i w:val="0"/>
            <w:iCs w:val="0"/>
          </w:rPr>
          <w:t>سباعي ، موسى</w:t>
        </w:r>
        <w:r>
          <w:tab/>
        </w:r>
        <w:r>
          <w:fldChar w:fldCharType="begin"/>
        </w:r>
        <w:r>
          <w:instrText xml:space="preserve">PAGEREF 3835 \h</w:instrText>
        </w:r>
        <w:r>
          <w:fldChar w:fldCharType="end"/>
        </w:r>
      </w:hyperlink>
    </w:p>
    <w:p>
      <w:pPr>
        <w:tabs>
          <w:tab w:val="right" w:leader="dot" w:pos="9062"/>
        </w:tabs>
        <w:ind w:left="220"/>
      </w:pPr>
      <w:hyperlink w:anchor="_Toc3836" w:history="1">
        <w:r>
          <w:rPr>
            <w:rFonts w:ascii="IRNazanin" w:hAnsi="IRNazanin" w:eastAsia="IRNazanin" w:cs="IRNazanin"/>
            <w:color w:val="111111"/>
            <w:sz w:val="22"/>
            <w:szCs w:val="22"/>
            <w:b w:val="0"/>
            <w:bCs w:val="0"/>
            <w:i w:val="0"/>
            <w:iCs w:val="0"/>
          </w:rPr>
          <w:t>سبتي دار المالقي ، مالك بن مرحل</w:t>
        </w:r>
        <w:r>
          <w:tab/>
        </w:r>
        <w:r>
          <w:fldChar w:fldCharType="begin"/>
        </w:r>
        <w:r>
          <w:instrText xml:space="preserve">PAGEREF 3836 \h</w:instrText>
        </w:r>
        <w:r>
          <w:fldChar w:fldCharType="end"/>
        </w:r>
      </w:hyperlink>
    </w:p>
    <w:p>
      <w:pPr>
        <w:tabs>
          <w:tab w:val="right" w:leader="dot" w:pos="9062"/>
        </w:tabs>
        <w:ind w:left="220"/>
      </w:pPr>
      <w:hyperlink w:anchor="_Toc3837" w:history="1">
        <w:r>
          <w:rPr>
            <w:rFonts w:ascii="IRNazanin" w:hAnsi="IRNazanin" w:eastAsia="IRNazanin" w:cs="IRNazanin"/>
            <w:color w:val="111111"/>
            <w:sz w:val="22"/>
            <w:szCs w:val="22"/>
            <w:b w:val="0"/>
            <w:bCs w:val="0"/>
            <w:i w:val="0"/>
            <w:iCs w:val="0"/>
          </w:rPr>
          <w:t>سبتي نجفي ، حسن بن كاظم - 1374 ه-</w:t>
        </w:r>
        <w:r>
          <w:tab/>
        </w:r>
        <w:r>
          <w:fldChar w:fldCharType="begin"/>
        </w:r>
        <w:r>
          <w:instrText xml:space="preserve">PAGEREF 3837 \h</w:instrText>
        </w:r>
        <w:r>
          <w:fldChar w:fldCharType="end"/>
        </w:r>
      </w:hyperlink>
    </w:p>
    <w:p>
      <w:pPr>
        <w:tabs>
          <w:tab w:val="right" w:leader="dot" w:pos="9062"/>
        </w:tabs>
        <w:ind w:left="220"/>
      </w:pPr>
      <w:hyperlink w:anchor="_Toc3838" w:history="1">
        <w:r>
          <w:rPr>
            <w:rFonts w:ascii="IRNazanin" w:hAnsi="IRNazanin" w:eastAsia="IRNazanin" w:cs="IRNazanin"/>
            <w:color w:val="111111"/>
            <w:sz w:val="22"/>
            <w:szCs w:val="22"/>
            <w:b w:val="0"/>
            <w:bCs w:val="0"/>
            <w:i w:val="0"/>
            <w:iCs w:val="0"/>
          </w:rPr>
          <w:t>سبروزي، شمس الدين محمّد</w:t>
        </w:r>
        <w:r>
          <w:tab/>
        </w:r>
        <w:r>
          <w:fldChar w:fldCharType="begin"/>
        </w:r>
        <w:r>
          <w:instrText xml:space="preserve">PAGEREF 3838 \h</w:instrText>
        </w:r>
        <w:r>
          <w:fldChar w:fldCharType="end"/>
        </w:r>
      </w:hyperlink>
    </w:p>
    <w:p>
      <w:pPr>
        <w:tabs>
          <w:tab w:val="right" w:leader="dot" w:pos="9062"/>
        </w:tabs>
        <w:ind w:left="220"/>
      </w:pPr>
      <w:hyperlink w:anchor="_Toc3839" w:history="1">
        <w:r>
          <w:rPr>
            <w:rFonts w:ascii="IRNazanin" w:hAnsi="IRNazanin" w:eastAsia="IRNazanin" w:cs="IRNazanin"/>
            <w:color w:val="111111"/>
            <w:sz w:val="22"/>
            <w:szCs w:val="22"/>
            <w:b w:val="0"/>
            <w:bCs w:val="0"/>
            <w:i w:val="0"/>
            <w:iCs w:val="0"/>
          </w:rPr>
          <w:t>سبزواري، جعفر علي</w:t>
        </w:r>
        <w:r>
          <w:tab/>
        </w:r>
        <w:r>
          <w:fldChar w:fldCharType="begin"/>
        </w:r>
        <w:r>
          <w:instrText xml:space="preserve">PAGEREF 3839 \h</w:instrText>
        </w:r>
        <w:r>
          <w:fldChar w:fldCharType="end"/>
        </w:r>
      </w:hyperlink>
    </w:p>
    <w:p>
      <w:pPr>
        <w:tabs>
          <w:tab w:val="right" w:leader="dot" w:pos="9062"/>
        </w:tabs>
        <w:ind w:left="220"/>
      </w:pPr>
      <w:hyperlink w:anchor="_Toc3840" w:history="1">
        <w:r>
          <w:rPr>
            <w:rFonts w:ascii="IRNazanin" w:hAnsi="IRNazanin" w:eastAsia="IRNazanin" w:cs="IRNazanin"/>
            <w:color w:val="111111"/>
            <w:sz w:val="22"/>
            <w:szCs w:val="22"/>
            <w:b w:val="0"/>
            <w:bCs w:val="0"/>
            <w:i w:val="0"/>
            <w:iCs w:val="0"/>
          </w:rPr>
          <w:t>سبزواري، زين العابدين بن محمّد علي قرن 11 ه-</w:t>
        </w:r>
        <w:r>
          <w:tab/>
        </w:r>
        <w:r>
          <w:fldChar w:fldCharType="begin"/>
        </w:r>
        <w:r>
          <w:instrText xml:space="preserve">PAGEREF 3840 \h</w:instrText>
        </w:r>
        <w:r>
          <w:fldChar w:fldCharType="end"/>
        </w:r>
      </w:hyperlink>
    </w:p>
    <w:p>
      <w:pPr>
        <w:tabs>
          <w:tab w:val="right" w:leader="dot" w:pos="9062"/>
        </w:tabs>
        <w:ind w:left="220"/>
      </w:pPr>
      <w:hyperlink w:anchor="_Toc3841" w:history="1">
        <w:r>
          <w:rPr>
            <w:rFonts w:ascii="IRNazanin" w:hAnsi="IRNazanin" w:eastAsia="IRNazanin" w:cs="IRNazanin"/>
            <w:color w:val="111111"/>
            <w:sz w:val="22"/>
            <w:szCs w:val="22"/>
            <w:b w:val="0"/>
            <w:bCs w:val="0"/>
            <w:i w:val="0"/>
            <w:iCs w:val="0"/>
          </w:rPr>
          <w:t>سبزواري، محمّد بن علاء الدین قرن 9 ه-</w:t>
        </w:r>
        <w:r>
          <w:tab/>
        </w:r>
        <w:r>
          <w:fldChar w:fldCharType="begin"/>
        </w:r>
        <w:r>
          <w:instrText xml:space="preserve">PAGEREF 3841 \h</w:instrText>
        </w:r>
        <w:r>
          <w:fldChar w:fldCharType="end"/>
        </w:r>
      </w:hyperlink>
    </w:p>
    <w:p>
      <w:pPr>
        <w:tabs>
          <w:tab w:val="right" w:leader="dot" w:pos="9062"/>
        </w:tabs>
        <w:ind w:left="220"/>
      </w:pPr>
      <w:hyperlink w:anchor="_Toc3842" w:history="1">
        <w:r>
          <w:rPr>
            <w:rFonts w:ascii="IRNazanin" w:hAnsi="IRNazanin" w:eastAsia="IRNazanin" w:cs="IRNazanin"/>
            <w:color w:val="111111"/>
            <w:sz w:val="22"/>
            <w:szCs w:val="22"/>
            <w:b w:val="0"/>
            <w:bCs w:val="0"/>
            <w:i w:val="0"/>
            <w:iCs w:val="0"/>
          </w:rPr>
          <w:t>سبزواري، محمّد حسين بن كمال الدين</w:t>
        </w:r>
        <w:r>
          <w:tab/>
        </w:r>
        <w:r>
          <w:fldChar w:fldCharType="begin"/>
        </w:r>
        <w:r>
          <w:instrText xml:space="preserve">PAGEREF 3842 \h</w:instrText>
        </w:r>
        <w:r>
          <w:fldChar w:fldCharType="end"/>
        </w:r>
      </w:hyperlink>
    </w:p>
    <w:p>
      <w:pPr>
        <w:tabs>
          <w:tab w:val="right" w:leader="dot" w:pos="9062"/>
        </w:tabs>
        <w:ind w:left="220"/>
      </w:pPr>
      <w:hyperlink w:anchor="_Toc3843" w:history="1">
        <w:r>
          <w:rPr>
            <w:rFonts w:ascii="IRNazanin" w:hAnsi="IRNazanin" w:eastAsia="IRNazanin" w:cs="IRNazanin"/>
            <w:color w:val="111111"/>
            <w:sz w:val="22"/>
            <w:szCs w:val="22"/>
            <w:b w:val="0"/>
            <w:bCs w:val="0"/>
            <w:i w:val="0"/>
            <w:iCs w:val="0"/>
          </w:rPr>
          <w:t>سبزواري، هادي بن مهدي، 1212 -</w:t>
        </w:r>
        <w:r>
          <w:tab/>
        </w:r>
        <w:r>
          <w:fldChar w:fldCharType="begin"/>
        </w:r>
        <w:r>
          <w:instrText xml:space="preserve">PAGEREF 3843 \h</w:instrText>
        </w:r>
        <w:r>
          <w:fldChar w:fldCharType="end"/>
        </w:r>
      </w:hyperlink>
    </w:p>
    <w:p>
      <w:pPr>
        <w:tabs>
          <w:tab w:val="right" w:leader="dot" w:pos="9062"/>
        </w:tabs>
        <w:ind w:left="220"/>
      </w:pPr>
      <w:hyperlink w:anchor="_Toc3844" w:history="1">
        <w:r>
          <w:rPr>
            <w:rFonts w:ascii="IRNazanin" w:hAnsi="IRNazanin" w:eastAsia="IRNazanin" w:cs="IRNazanin"/>
            <w:color w:val="111111"/>
            <w:sz w:val="22"/>
            <w:szCs w:val="22"/>
            <w:b w:val="0"/>
            <w:bCs w:val="0"/>
            <w:i w:val="0"/>
            <w:iCs w:val="0"/>
          </w:rPr>
          <w:t>سبزواري هاشم بن محمّد علي قرن 14ه-</w:t>
        </w:r>
        <w:r>
          <w:tab/>
        </w:r>
        <w:r>
          <w:fldChar w:fldCharType="begin"/>
        </w:r>
        <w:r>
          <w:instrText xml:space="preserve">PAGEREF 3844 \h</w:instrText>
        </w:r>
        <w:r>
          <w:fldChar w:fldCharType="end"/>
        </w:r>
      </w:hyperlink>
    </w:p>
    <w:p>
      <w:pPr>
        <w:tabs>
          <w:tab w:val="right" w:leader="dot" w:pos="9062"/>
        </w:tabs>
        <w:ind w:left="220"/>
      </w:pPr>
      <w:hyperlink w:anchor="_Toc3845" w:history="1">
        <w:r>
          <w:rPr>
            <w:rFonts w:ascii="IRNazanin" w:hAnsi="IRNazanin" w:eastAsia="IRNazanin" w:cs="IRNazanin"/>
            <w:color w:val="111111"/>
            <w:sz w:val="22"/>
            <w:szCs w:val="22"/>
            <w:b w:val="0"/>
            <w:bCs w:val="0"/>
            <w:i w:val="0"/>
            <w:iCs w:val="0"/>
          </w:rPr>
          <w:t>سبط ابن الفارض ، علي</w:t>
        </w:r>
        <w:r>
          <w:tab/>
        </w:r>
        <w:r>
          <w:fldChar w:fldCharType="begin"/>
        </w:r>
        <w:r>
          <w:instrText xml:space="preserve">PAGEREF 3845 \h</w:instrText>
        </w:r>
        <w:r>
          <w:fldChar w:fldCharType="end"/>
        </w:r>
      </w:hyperlink>
    </w:p>
    <w:p>
      <w:pPr>
        <w:tabs>
          <w:tab w:val="right" w:leader="dot" w:pos="9062"/>
        </w:tabs>
        <w:ind w:left="220"/>
      </w:pPr>
      <w:hyperlink w:anchor="_Toc3846" w:history="1">
        <w:r>
          <w:rPr>
            <w:rFonts w:ascii="IRNazanin" w:hAnsi="IRNazanin" w:eastAsia="IRNazanin" w:cs="IRNazanin"/>
            <w:color w:val="111111"/>
            <w:sz w:val="22"/>
            <w:szCs w:val="22"/>
            <w:b w:val="0"/>
            <w:bCs w:val="0"/>
            <w:i w:val="0"/>
            <w:iCs w:val="0"/>
          </w:rPr>
          <w:t>سبط ابن عجمي ، ابراهيم بن محمّد</w:t>
        </w:r>
        <w:r>
          <w:tab/>
        </w:r>
        <w:r>
          <w:fldChar w:fldCharType="begin"/>
        </w:r>
        <w:r>
          <w:instrText xml:space="preserve">PAGEREF 3846 \h</w:instrText>
        </w:r>
        <w:r>
          <w:fldChar w:fldCharType="end"/>
        </w:r>
      </w:hyperlink>
    </w:p>
    <w:p>
      <w:pPr>
        <w:tabs>
          <w:tab w:val="right" w:leader="dot" w:pos="9062"/>
        </w:tabs>
        <w:ind w:left="220"/>
      </w:pPr>
      <w:hyperlink w:anchor="_Toc3847" w:history="1">
        <w:r>
          <w:rPr>
            <w:rFonts w:ascii="IRNazanin" w:hAnsi="IRNazanin" w:eastAsia="IRNazanin" w:cs="IRNazanin"/>
            <w:color w:val="111111"/>
            <w:sz w:val="22"/>
            <w:szCs w:val="22"/>
            <w:b w:val="0"/>
            <w:bCs w:val="0"/>
            <w:i w:val="0"/>
            <w:iCs w:val="0"/>
          </w:rPr>
          <w:t>سبط ابن عجمي ، ابراهيم بن محمّد -</w:t>
        </w:r>
        <w:r>
          <w:tab/>
        </w:r>
        <w:r>
          <w:fldChar w:fldCharType="begin"/>
        </w:r>
        <w:r>
          <w:instrText xml:space="preserve">PAGEREF 3847 \h</w:instrText>
        </w:r>
        <w:r>
          <w:fldChar w:fldCharType="end"/>
        </w:r>
      </w:hyperlink>
    </w:p>
    <w:p>
      <w:pPr>
        <w:tabs>
          <w:tab w:val="right" w:leader="dot" w:pos="9062"/>
        </w:tabs>
        <w:ind w:left="220"/>
      </w:pPr>
      <w:hyperlink w:anchor="_Toc3848" w:history="1">
        <w:r>
          <w:rPr>
            <w:rFonts w:ascii="IRNazanin" w:hAnsi="IRNazanin" w:eastAsia="IRNazanin" w:cs="IRNazanin"/>
            <w:color w:val="111111"/>
            <w:sz w:val="22"/>
            <w:szCs w:val="22"/>
            <w:b w:val="0"/>
            <w:bCs w:val="0"/>
            <w:i w:val="0"/>
            <w:iCs w:val="0"/>
          </w:rPr>
          <w:t>سبط ابن عجمي ، ابراهيم بن محمد</w:t>
        </w:r>
        <w:r>
          <w:tab/>
        </w:r>
        <w:r>
          <w:fldChar w:fldCharType="begin"/>
        </w:r>
        <w:r>
          <w:instrText xml:space="preserve">PAGEREF 3848 \h</w:instrText>
        </w:r>
        <w:r>
          <w:fldChar w:fldCharType="end"/>
        </w:r>
      </w:hyperlink>
    </w:p>
    <w:p>
      <w:pPr>
        <w:tabs>
          <w:tab w:val="right" w:leader="dot" w:pos="9062"/>
        </w:tabs>
        <w:ind w:left="220"/>
      </w:pPr>
      <w:hyperlink w:anchor="_Toc3849" w:history="1">
        <w:r>
          <w:rPr>
            <w:rFonts w:ascii="IRNazanin" w:hAnsi="IRNazanin" w:eastAsia="IRNazanin" w:cs="IRNazanin"/>
            <w:color w:val="111111"/>
            <w:sz w:val="22"/>
            <w:szCs w:val="22"/>
            <w:b w:val="0"/>
            <w:bCs w:val="0"/>
            <w:i w:val="0"/>
            <w:iCs w:val="0"/>
          </w:rPr>
          <w:t>سبط الخياط، عبد الله بن علي - 551 ه-</w:t>
        </w:r>
        <w:r>
          <w:tab/>
        </w:r>
        <w:r>
          <w:fldChar w:fldCharType="begin"/>
        </w:r>
        <w:r>
          <w:instrText xml:space="preserve">PAGEREF 3849 \h</w:instrText>
        </w:r>
        <w:r>
          <w:fldChar w:fldCharType="end"/>
        </w:r>
      </w:hyperlink>
    </w:p>
    <w:p>
      <w:pPr>
        <w:tabs>
          <w:tab w:val="right" w:leader="dot" w:pos="9062"/>
        </w:tabs>
        <w:ind w:left="220"/>
      </w:pPr>
      <w:hyperlink w:anchor="_Toc3850" w:history="1">
        <w:r>
          <w:rPr>
            <w:rFonts w:ascii="IRNazanin" w:hAnsi="IRNazanin" w:eastAsia="IRNazanin" w:cs="IRNazanin"/>
            <w:color w:val="111111"/>
            <w:sz w:val="22"/>
            <w:szCs w:val="22"/>
            <w:b w:val="0"/>
            <w:bCs w:val="0"/>
            <w:i w:val="0"/>
            <w:iCs w:val="0"/>
          </w:rPr>
          <w:t>سبط الشهيد ، محمّد بن حسن، 980</w:t>
        </w:r>
        <w:r>
          <w:tab/>
        </w:r>
        <w:r>
          <w:fldChar w:fldCharType="begin"/>
        </w:r>
        <w:r>
          <w:instrText xml:space="preserve">PAGEREF 3850 \h</w:instrText>
        </w:r>
        <w:r>
          <w:fldChar w:fldCharType="end"/>
        </w:r>
      </w:hyperlink>
    </w:p>
    <w:p>
      <w:pPr>
        <w:tabs>
          <w:tab w:val="right" w:leader="dot" w:pos="9062"/>
        </w:tabs>
        <w:ind w:left="220"/>
      </w:pPr>
      <w:hyperlink w:anchor="_Toc3851" w:history="1">
        <w:r>
          <w:rPr>
            <w:rFonts w:ascii="IRNazanin" w:hAnsi="IRNazanin" w:eastAsia="IRNazanin" w:cs="IRNazanin"/>
            <w:color w:val="111111"/>
            <w:sz w:val="22"/>
            <w:szCs w:val="22"/>
            <w:b w:val="0"/>
            <w:bCs w:val="0"/>
            <w:i w:val="0"/>
            <w:iCs w:val="0"/>
          </w:rPr>
          <w:t>سبط المرصفي، محمّد بن محمّد - 965</w:t>
        </w:r>
        <w:r>
          <w:tab/>
        </w:r>
        <w:r>
          <w:fldChar w:fldCharType="begin"/>
        </w:r>
        <w:r>
          <w:instrText xml:space="preserve">PAGEREF 3851 \h</w:instrText>
        </w:r>
        <w:r>
          <w:fldChar w:fldCharType="end"/>
        </w:r>
      </w:hyperlink>
    </w:p>
    <w:p>
      <w:pPr>
        <w:tabs>
          <w:tab w:val="right" w:leader="dot" w:pos="9062"/>
        </w:tabs>
        <w:ind w:left="220"/>
      </w:pPr>
      <w:hyperlink w:anchor="_Toc3852" w:history="1">
        <w:r>
          <w:rPr>
            <w:rFonts w:ascii="IRNazanin" w:hAnsi="IRNazanin" w:eastAsia="IRNazanin" w:cs="IRNazanin"/>
            <w:color w:val="111111"/>
            <w:sz w:val="22"/>
            <w:szCs w:val="22"/>
            <w:b w:val="0"/>
            <w:bCs w:val="0"/>
            <w:i w:val="0"/>
            <w:iCs w:val="0"/>
          </w:rPr>
          <w:t>سبط مارديني ، محمّد بن محمّد، 826 -</w:t>
        </w:r>
        <w:r>
          <w:tab/>
        </w:r>
        <w:r>
          <w:fldChar w:fldCharType="begin"/>
        </w:r>
        <w:r>
          <w:instrText xml:space="preserve">PAGEREF 3852 \h</w:instrText>
        </w:r>
        <w:r>
          <w:fldChar w:fldCharType="end"/>
        </w:r>
      </w:hyperlink>
    </w:p>
    <w:p>
      <w:pPr>
        <w:tabs>
          <w:tab w:val="right" w:leader="dot" w:pos="9062"/>
        </w:tabs>
        <w:ind w:left="220"/>
      </w:pPr>
      <w:hyperlink w:anchor="_Toc3853" w:history="1">
        <w:r>
          <w:rPr>
            <w:rFonts w:ascii="IRNazanin" w:hAnsi="IRNazanin" w:eastAsia="IRNazanin" w:cs="IRNazanin"/>
            <w:color w:val="111111"/>
            <w:sz w:val="22"/>
            <w:szCs w:val="22"/>
            <w:b w:val="0"/>
            <w:bCs w:val="0"/>
            <w:i w:val="0"/>
            <w:iCs w:val="0"/>
          </w:rPr>
          <w:t>سبعي ، احمد بن محمّد - 960 ه-</w:t>
        </w:r>
        <w:r>
          <w:tab/>
        </w:r>
        <w:r>
          <w:fldChar w:fldCharType="begin"/>
        </w:r>
        <w:r>
          <w:instrText xml:space="preserve">PAGEREF 3853 \h</w:instrText>
        </w:r>
        <w:r>
          <w:fldChar w:fldCharType="end"/>
        </w:r>
      </w:hyperlink>
    </w:p>
    <w:p>
      <w:pPr>
        <w:tabs>
          <w:tab w:val="right" w:leader="dot" w:pos="9062"/>
        </w:tabs>
        <w:ind w:left="220"/>
      </w:pPr>
      <w:hyperlink w:anchor="_Toc3854" w:history="1">
        <w:r>
          <w:rPr>
            <w:rFonts w:ascii="IRNazanin" w:hAnsi="IRNazanin" w:eastAsia="IRNazanin" w:cs="IRNazanin"/>
            <w:color w:val="111111"/>
            <w:sz w:val="22"/>
            <w:szCs w:val="22"/>
            <w:b w:val="0"/>
            <w:bCs w:val="0"/>
            <w:i w:val="0"/>
            <w:iCs w:val="0"/>
          </w:rPr>
          <w:t>سبكي</w:t>
        </w:r>
        <w:r>
          <w:tab/>
        </w:r>
        <w:r>
          <w:fldChar w:fldCharType="begin"/>
        </w:r>
        <w:r>
          <w:instrText xml:space="preserve">PAGEREF 3854 \h</w:instrText>
        </w:r>
        <w:r>
          <w:fldChar w:fldCharType="end"/>
        </w:r>
      </w:hyperlink>
    </w:p>
    <w:p>
      <w:pPr>
        <w:tabs>
          <w:tab w:val="right" w:leader="dot" w:pos="9062"/>
        </w:tabs>
        <w:ind w:left="220"/>
      </w:pPr>
      <w:hyperlink w:anchor="_Toc3855" w:history="1">
        <w:r>
          <w:rPr>
            <w:rFonts w:ascii="IRNazanin" w:hAnsi="IRNazanin" w:eastAsia="IRNazanin" w:cs="IRNazanin"/>
            <w:color w:val="111111"/>
            <w:sz w:val="22"/>
            <w:szCs w:val="22"/>
            <w:b w:val="0"/>
            <w:bCs w:val="0"/>
            <w:i w:val="0"/>
            <w:iCs w:val="0"/>
          </w:rPr>
          <w:t>سبكي ، احمد بن خلیل 939 - 1037 ه-</w:t>
        </w:r>
        <w:r>
          <w:tab/>
        </w:r>
        <w:r>
          <w:fldChar w:fldCharType="begin"/>
        </w:r>
        <w:r>
          <w:instrText xml:space="preserve">PAGEREF 3855 \h</w:instrText>
        </w:r>
        <w:r>
          <w:fldChar w:fldCharType="end"/>
        </w:r>
      </w:hyperlink>
    </w:p>
    <w:p>
      <w:pPr>
        <w:tabs>
          <w:tab w:val="right" w:leader="dot" w:pos="9062"/>
        </w:tabs>
        <w:ind w:left="220"/>
      </w:pPr>
      <w:hyperlink w:anchor="_Toc3856" w:history="1">
        <w:r>
          <w:rPr>
            <w:rFonts w:ascii="IRNazanin" w:hAnsi="IRNazanin" w:eastAsia="IRNazanin" w:cs="IRNazanin"/>
            <w:color w:val="111111"/>
            <w:sz w:val="22"/>
            <w:szCs w:val="22"/>
            <w:b w:val="0"/>
            <w:bCs w:val="0"/>
            <w:i w:val="0"/>
            <w:iCs w:val="0"/>
          </w:rPr>
          <w:t>سبكي ، احمد بن علي، 719 - 763 ه-</w:t>
        </w:r>
        <w:r>
          <w:tab/>
        </w:r>
        <w:r>
          <w:fldChar w:fldCharType="begin"/>
        </w:r>
        <w:r>
          <w:instrText xml:space="preserve">PAGEREF 3856 \h</w:instrText>
        </w:r>
        <w:r>
          <w:fldChar w:fldCharType="end"/>
        </w:r>
      </w:hyperlink>
    </w:p>
    <w:p>
      <w:pPr>
        <w:tabs>
          <w:tab w:val="right" w:leader="dot" w:pos="9062"/>
        </w:tabs>
        <w:ind w:left="220"/>
      </w:pPr>
      <w:hyperlink w:anchor="_Toc3857" w:history="1">
        <w:r>
          <w:rPr>
            <w:rFonts w:ascii="IRNazanin" w:hAnsi="IRNazanin" w:eastAsia="IRNazanin" w:cs="IRNazanin"/>
            <w:color w:val="111111"/>
            <w:sz w:val="22"/>
            <w:szCs w:val="22"/>
            <w:b w:val="0"/>
            <w:bCs w:val="0"/>
            <w:i w:val="0"/>
            <w:iCs w:val="0"/>
          </w:rPr>
          <w:t>سبكي عبدالوهاب بن علي، 727-771؟ه-</w:t>
        </w:r>
        <w:r>
          <w:tab/>
        </w:r>
        <w:r>
          <w:fldChar w:fldCharType="begin"/>
        </w:r>
        <w:r>
          <w:instrText xml:space="preserve">PAGEREF 3857 \h</w:instrText>
        </w:r>
        <w:r>
          <w:fldChar w:fldCharType="end"/>
        </w:r>
      </w:hyperlink>
    </w:p>
    <w:p>
      <w:pPr>
        <w:tabs>
          <w:tab w:val="right" w:leader="dot" w:pos="9062"/>
        </w:tabs>
        <w:ind w:left="220"/>
      </w:pPr>
      <w:hyperlink w:anchor="_Toc3858" w:history="1">
        <w:r>
          <w:rPr>
            <w:rFonts w:ascii="IRNazanin" w:hAnsi="IRNazanin" w:eastAsia="IRNazanin" w:cs="IRNazanin"/>
            <w:color w:val="111111"/>
            <w:sz w:val="22"/>
            <w:szCs w:val="22"/>
            <w:b w:val="0"/>
            <w:bCs w:val="0"/>
            <w:i w:val="0"/>
            <w:iCs w:val="0"/>
          </w:rPr>
          <w:t>سبكي ، علي بن عبد الكافي، 683 - 756 ه-</w:t>
        </w:r>
        <w:r>
          <w:tab/>
        </w:r>
        <w:r>
          <w:fldChar w:fldCharType="begin"/>
        </w:r>
        <w:r>
          <w:instrText xml:space="preserve">PAGEREF 3858 \h</w:instrText>
        </w:r>
        <w:r>
          <w:fldChar w:fldCharType="end"/>
        </w:r>
      </w:hyperlink>
    </w:p>
    <w:p>
      <w:pPr>
        <w:tabs>
          <w:tab w:val="right" w:leader="dot" w:pos="9062"/>
        </w:tabs>
        <w:ind w:left="220"/>
      </w:pPr>
      <w:hyperlink w:anchor="_Toc3859" w:history="1">
        <w:r>
          <w:rPr>
            <w:rFonts w:ascii="IRNazanin" w:hAnsi="IRNazanin" w:eastAsia="IRNazanin" w:cs="IRNazanin"/>
            <w:color w:val="111111"/>
            <w:sz w:val="22"/>
            <w:szCs w:val="22"/>
            <w:b w:val="0"/>
            <w:bCs w:val="0"/>
            <w:i w:val="0"/>
            <w:iCs w:val="0"/>
          </w:rPr>
          <w:t>سبيتي ، كاظم، ه-</w:t>
        </w:r>
        <w:r>
          <w:tab/>
        </w:r>
        <w:r>
          <w:fldChar w:fldCharType="begin"/>
        </w:r>
        <w:r>
          <w:instrText xml:space="preserve">PAGEREF 3859 \h</w:instrText>
        </w:r>
        <w:r>
          <w:fldChar w:fldCharType="end"/>
        </w:r>
      </w:hyperlink>
    </w:p>
    <w:p>
      <w:pPr>
        <w:tabs>
          <w:tab w:val="right" w:leader="dot" w:pos="9062"/>
        </w:tabs>
        <w:ind w:left="220"/>
      </w:pPr>
      <w:hyperlink w:anchor="_Toc3860" w:history="1">
        <w:r>
          <w:rPr>
            <w:rFonts w:ascii="IRNazanin" w:hAnsi="IRNazanin" w:eastAsia="IRNazanin" w:cs="IRNazanin"/>
            <w:color w:val="111111"/>
            <w:sz w:val="22"/>
            <w:szCs w:val="22"/>
            <w:b w:val="0"/>
            <w:bCs w:val="0"/>
            <w:i w:val="0"/>
            <w:iCs w:val="0"/>
          </w:rPr>
          <w:t>سپاهي زاده، محمّد بن علي - 997 ه-</w:t>
        </w:r>
        <w:r>
          <w:tab/>
        </w:r>
        <w:r>
          <w:fldChar w:fldCharType="begin"/>
        </w:r>
        <w:r>
          <w:instrText xml:space="preserve">PAGEREF 3860 \h</w:instrText>
        </w:r>
        <w:r>
          <w:fldChar w:fldCharType="end"/>
        </w:r>
      </w:hyperlink>
    </w:p>
    <w:p>
      <w:pPr>
        <w:tabs>
          <w:tab w:val="right" w:leader="dot" w:pos="9062"/>
        </w:tabs>
        <w:ind w:left="220"/>
      </w:pPr>
      <w:hyperlink w:anchor="_Toc3861" w:history="1">
        <w:r>
          <w:rPr>
            <w:rFonts w:ascii="IRNazanin" w:hAnsi="IRNazanin" w:eastAsia="IRNazanin" w:cs="IRNazanin"/>
            <w:color w:val="111111"/>
            <w:sz w:val="22"/>
            <w:szCs w:val="22"/>
            <w:b w:val="0"/>
            <w:bCs w:val="0"/>
            <w:i w:val="0"/>
            <w:iCs w:val="0"/>
          </w:rPr>
          <w:t>سپهر ، محمّد تقي بن محمّد علي 1216</w:t>
        </w:r>
        <w:r>
          <w:tab/>
        </w:r>
        <w:r>
          <w:fldChar w:fldCharType="begin"/>
        </w:r>
        <w:r>
          <w:instrText xml:space="preserve">PAGEREF 3861 \h</w:instrText>
        </w:r>
        <w:r>
          <w:fldChar w:fldCharType="end"/>
        </w:r>
      </w:hyperlink>
    </w:p>
    <w:p>
      <w:pPr>
        <w:tabs>
          <w:tab w:val="right" w:leader="dot" w:pos="9062"/>
        </w:tabs>
        <w:ind w:left="220"/>
      </w:pPr>
      <w:hyperlink w:anchor="_Toc3862" w:history="1">
        <w:r>
          <w:rPr>
            <w:rFonts w:ascii="IRNazanin" w:hAnsi="IRNazanin" w:eastAsia="IRNazanin" w:cs="IRNazanin"/>
            <w:color w:val="111111"/>
            <w:sz w:val="22"/>
            <w:szCs w:val="22"/>
            <w:b w:val="0"/>
            <w:bCs w:val="0"/>
            <w:i w:val="0"/>
            <w:iCs w:val="0"/>
          </w:rPr>
          <w:t>ستاري ، علي بن ملاصالح</w:t>
        </w:r>
        <w:r>
          <w:tab/>
        </w:r>
        <w:r>
          <w:fldChar w:fldCharType="begin"/>
        </w:r>
        <w:r>
          <w:instrText xml:space="preserve">PAGEREF 3862 \h</w:instrText>
        </w:r>
        <w:r>
          <w:fldChar w:fldCharType="end"/>
        </w:r>
      </w:hyperlink>
    </w:p>
    <w:p>
      <w:pPr>
        <w:tabs>
          <w:tab w:val="right" w:leader="dot" w:pos="9062"/>
        </w:tabs>
        <w:ind w:left="220"/>
      </w:pPr>
      <w:hyperlink w:anchor="_Toc3863" w:history="1">
        <w:r>
          <w:rPr>
            <w:rFonts w:ascii="IRNazanin" w:hAnsi="IRNazanin" w:eastAsia="IRNazanin" w:cs="IRNazanin"/>
            <w:color w:val="111111"/>
            <w:sz w:val="22"/>
            <w:szCs w:val="22"/>
            <w:b w:val="0"/>
            <w:bCs w:val="0"/>
            <w:i w:val="0"/>
            <w:iCs w:val="0"/>
          </w:rPr>
          <w:t>ستري بحراني ، شبر علي بن مشعل</w:t>
        </w:r>
        <w:r>
          <w:tab/>
        </w:r>
        <w:r>
          <w:fldChar w:fldCharType="begin"/>
        </w:r>
        <w:r>
          <w:instrText xml:space="preserve">PAGEREF 3863 \h</w:instrText>
        </w:r>
        <w:r>
          <w:fldChar w:fldCharType="end"/>
        </w:r>
      </w:hyperlink>
    </w:p>
    <w:p>
      <w:pPr>
        <w:tabs>
          <w:tab w:val="right" w:leader="dot" w:pos="9062"/>
        </w:tabs>
        <w:ind w:left="220"/>
      </w:pPr>
      <w:hyperlink w:anchor="_Toc3864" w:history="1">
        <w:r>
          <w:rPr>
            <w:rFonts w:ascii="IRNazanin" w:hAnsi="IRNazanin" w:eastAsia="IRNazanin" w:cs="IRNazanin"/>
            <w:color w:val="111111"/>
            <w:sz w:val="22"/>
            <w:szCs w:val="22"/>
            <w:b w:val="0"/>
            <w:bCs w:val="0"/>
            <w:i w:val="0"/>
            <w:iCs w:val="0"/>
          </w:rPr>
          <w:t>ستري بحراني ، عبد الله بن احمد قرن 13</w:t>
        </w:r>
        <w:r>
          <w:tab/>
        </w:r>
        <w:r>
          <w:fldChar w:fldCharType="begin"/>
        </w:r>
        <w:r>
          <w:instrText xml:space="preserve">PAGEREF 3864 \h</w:instrText>
        </w:r>
        <w:r>
          <w:fldChar w:fldCharType="end"/>
        </w:r>
      </w:hyperlink>
    </w:p>
    <w:p>
      <w:pPr>
        <w:tabs>
          <w:tab w:val="right" w:leader="dot" w:pos="9062"/>
        </w:tabs>
        <w:ind w:left="220"/>
      </w:pPr>
      <w:hyperlink w:anchor="_Toc3865" w:history="1">
        <w:r>
          <w:rPr>
            <w:rFonts w:ascii="IRNazanin" w:hAnsi="IRNazanin" w:eastAsia="IRNazanin" w:cs="IRNazanin"/>
            <w:color w:val="111111"/>
            <w:sz w:val="22"/>
            <w:szCs w:val="22"/>
            <w:b w:val="0"/>
            <w:bCs w:val="0"/>
            <w:i w:val="0"/>
            <w:iCs w:val="0"/>
          </w:rPr>
          <w:t>ستري بحراني ، عبدالله بن عباس - 1270</w:t>
        </w:r>
        <w:r>
          <w:tab/>
        </w:r>
        <w:r>
          <w:fldChar w:fldCharType="begin"/>
        </w:r>
        <w:r>
          <w:instrText xml:space="preserve">PAGEREF 3865 \h</w:instrText>
        </w:r>
        <w:r>
          <w:fldChar w:fldCharType="end"/>
        </w:r>
      </w:hyperlink>
    </w:p>
    <w:p>
      <w:pPr>
        <w:tabs>
          <w:tab w:val="right" w:leader="dot" w:pos="9062"/>
        </w:tabs>
        <w:ind w:left="220"/>
      </w:pPr>
      <w:hyperlink w:anchor="_Toc3866" w:history="1">
        <w:r>
          <w:rPr>
            <w:rFonts w:ascii="IRNazanin" w:hAnsi="IRNazanin" w:eastAsia="IRNazanin" w:cs="IRNazanin"/>
            <w:color w:val="111111"/>
            <w:sz w:val="22"/>
            <w:szCs w:val="22"/>
            <w:b w:val="0"/>
            <w:bCs w:val="0"/>
            <w:i w:val="0"/>
            <w:iCs w:val="0"/>
          </w:rPr>
          <w:t>ستري بحراني ، علي بن عبدالله - 1319</w:t>
        </w:r>
        <w:r>
          <w:tab/>
        </w:r>
        <w:r>
          <w:fldChar w:fldCharType="begin"/>
        </w:r>
        <w:r>
          <w:instrText xml:space="preserve">PAGEREF 3866 \h</w:instrText>
        </w:r>
        <w:r>
          <w:fldChar w:fldCharType="end"/>
        </w:r>
      </w:hyperlink>
    </w:p>
    <w:p>
      <w:pPr>
        <w:tabs>
          <w:tab w:val="right" w:leader="dot" w:pos="9062"/>
        </w:tabs>
        <w:ind w:left="220"/>
      </w:pPr>
      <w:hyperlink w:anchor="_Toc3867" w:history="1">
        <w:r>
          <w:rPr>
            <w:rFonts w:ascii="IRNazanin" w:hAnsi="IRNazanin" w:eastAsia="IRNazanin" w:cs="IRNazanin"/>
            <w:color w:val="111111"/>
            <w:sz w:val="22"/>
            <w:szCs w:val="22"/>
            <w:b w:val="0"/>
            <w:bCs w:val="0"/>
            <w:i w:val="0"/>
            <w:iCs w:val="0"/>
          </w:rPr>
          <w:t>ستري ، محمّد بن خلف</w:t>
        </w:r>
        <w:r>
          <w:tab/>
        </w:r>
        <w:r>
          <w:fldChar w:fldCharType="begin"/>
        </w:r>
        <w:r>
          <w:instrText xml:space="preserve">PAGEREF 3867 \h</w:instrText>
        </w:r>
        <w:r>
          <w:fldChar w:fldCharType="end"/>
        </w:r>
      </w:hyperlink>
    </w:p>
    <w:p>
      <w:pPr>
        <w:tabs>
          <w:tab w:val="right" w:leader="dot" w:pos="9062"/>
        </w:tabs>
        <w:ind w:left="220"/>
      </w:pPr>
      <w:hyperlink w:anchor="_Toc3868" w:history="1">
        <w:r>
          <w:rPr>
            <w:rFonts w:ascii="IRNazanin" w:hAnsi="IRNazanin" w:eastAsia="IRNazanin" w:cs="IRNazanin"/>
            <w:color w:val="111111"/>
            <w:sz w:val="22"/>
            <w:szCs w:val="22"/>
            <w:b w:val="0"/>
            <w:bCs w:val="0"/>
            <w:i w:val="0"/>
            <w:iCs w:val="0"/>
          </w:rPr>
          <w:t>سجاعي ، احمد بن احمد - 1197 ه-</w:t>
        </w:r>
        <w:r>
          <w:tab/>
        </w:r>
        <w:r>
          <w:fldChar w:fldCharType="begin"/>
        </w:r>
        <w:r>
          <w:instrText xml:space="preserve">PAGEREF 3868 \h</w:instrText>
        </w:r>
        <w:r>
          <w:fldChar w:fldCharType="end"/>
        </w:r>
      </w:hyperlink>
    </w:p>
    <w:p>
      <w:pPr>
        <w:tabs>
          <w:tab w:val="right" w:leader="dot" w:pos="9062"/>
        </w:tabs>
        <w:ind w:left="220"/>
      </w:pPr>
      <w:hyperlink w:anchor="_Toc3869" w:history="1">
        <w:r>
          <w:rPr>
            <w:rFonts w:ascii="IRNazanin" w:hAnsi="IRNazanin" w:eastAsia="IRNazanin" w:cs="IRNazanin"/>
            <w:color w:val="111111"/>
            <w:sz w:val="22"/>
            <w:szCs w:val="22"/>
            <w:b w:val="0"/>
            <w:bCs w:val="0"/>
            <w:i w:val="0"/>
            <w:iCs w:val="0"/>
          </w:rPr>
          <w:t>سجاوندي، محمّد بن طيفور - 560 ه-</w:t>
        </w:r>
        <w:r>
          <w:tab/>
        </w:r>
        <w:r>
          <w:fldChar w:fldCharType="begin"/>
        </w:r>
        <w:r>
          <w:instrText xml:space="preserve">PAGEREF 3869 \h</w:instrText>
        </w:r>
        <w:r>
          <w:fldChar w:fldCharType="end"/>
        </w:r>
      </w:hyperlink>
    </w:p>
    <w:p>
      <w:pPr>
        <w:tabs>
          <w:tab w:val="right" w:leader="dot" w:pos="9062"/>
        </w:tabs>
        <w:ind w:left="220"/>
      </w:pPr>
      <w:hyperlink w:anchor="_Toc3870" w:history="1">
        <w:r>
          <w:rPr>
            <w:rFonts w:ascii="IRNazanin" w:hAnsi="IRNazanin" w:eastAsia="IRNazanin" w:cs="IRNazanin"/>
            <w:color w:val="111111"/>
            <w:sz w:val="22"/>
            <w:szCs w:val="22"/>
            <w:b w:val="0"/>
            <w:bCs w:val="0"/>
            <w:i w:val="0"/>
            <w:iCs w:val="0"/>
          </w:rPr>
          <w:t>سجاوندي ، محمّد بن محمّد قرن 6 ه-</w:t>
        </w:r>
        <w:r>
          <w:tab/>
        </w:r>
        <w:r>
          <w:fldChar w:fldCharType="begin"/>
        </w:r>
        <w:r>
          <w:instrText xml:space="preserve">PAGEREF 3870 \h</w:instrText>
        </w:r>
        <w:r>
          <w:fldChar w:fldCharType="end"/>
        </w:r>
      </w:hyperlink>
    </w:p>
    <w:p>
      <w:pPr>
        <w:tabs>
          <w:tab w:val="right" w:leader="dot" w:pos="9062"/>
        </w:tabs>
        <w:ind w:left="220"/>
      </w:pPr>
      <w:hyperlink w:anchor="_Toc3871" w:history="1">
        <w:r>
          <w:rPr>
            <w:rFonts w:ascii="IRNazanin" w:hAnsi="IRNazanin" w:eastAsia="IRNazanin" w:cs="IRNazanin"/>
            <w:color w:val="111111"/>
            <w:sz w:val="22"/>
            <w:szCs w:val="22"/>
            <w:b w:val="0"/>
            <w:bCs w:val="0"/>
            <w:i w:val="0"/>
            <w:iCs w:val="0"/>
          </w:rPr>
          <w:t>سجزي ، احمد بن محمّد 330 - 415ه-</w:t>
        </w:r>
        <w:r>
          <w:tab/>
        </w:r>
        <w:r>
          <w:fldChar w:fldCharType="begin"/>
        </w:r>
        <w:r>
          <w:instrText xml:space="preserve">PAGEREF 3871 \h</w:instrText>
        </w:r>
        <w:r>
          <w:fldChar w:fldCharType="end"/>
        </w:r>
      </w:hyperlink>
    </w:p>
    <w:p>
      <w:pPr>
        <w:tabs>
          <w:tab w:val="right" w:leader="dot" w:pos="9062"/>
        </w:tabs>
        <w:ind w:left="220"/>
      </w:pPr>
      <w:hyperlink w:anchor="_Toc3872" w:history="1">
        <w:r>
          <w:rPr>
            <w:rFonts w:ascii="IRNazanin" w:hAnsi="IRNazanin" w:eastAsia="IRNazanin" w:cs="IRNazanin"/>
            <w:color w:val="111111"/>
            <w:sz w:val="22"/>
            <w:szCs w:val="22"/>
            <w:b w:val="0"/>
            <w:bCs w:val="0"/>
            <w:i w:val="0"/>
            <w:iCs w:val="0"/>
          </w:rPr>
          <w:t>سجزي ، حسين بن غواص</w:t>
        </w:r>
        <w:r>
          <w:tab/>
        </w:r>
        <w:r>
          <w:fldChar w:fldCharType="begin"/>
        </w:r>
        <w:r>
          <w:instrText xml:space="preserve">PAGEREF 3872 \h</w:instrText>
        </w:r>
        <w:r>
          <w:fldChar w:fldCharType="end"/>
        </w:r>
      </w:hyperlink>
    </w:p>
    <w:p>
      <w:pPr>
        <w:tabs>
          <w:tab w:val="right" w:leader="dot" w:pos="9062"/>
        </w:tabs>
        <w:ind w:left="220"/>
      </w:pPr>
      <w:hyperlink w:anchor="_Toc3873" w:history="1">
        <w:r>
          <w:rPr>
            <w:rFonts w:ascii="IRNazanin" w:hAnsi="IRNazanin" w:eastAsia="IRNazanin" w:cs="IRNazanin"/>
            <w:color w:val="111111"/>
            <w:sz w:val="22"/>
            <w:szCs w:val="22"/>
            <w:b w:val="0"/>
            <w:bCs w:val="0"/>
            <w:i w:val="0"/>
            <w:iCs w:val="0"/>
          </w:rPr>
          <w:t>سجزي ، محمود بن عمر قرن 6 ه-</w:t>
        </w:r>
        <w:r>
          <w:tab/>
        </w:r>
        <w:r>
          <w:fldChar w:fldCharType="begin"/>
        </w:r>
        <w:r>
          <w:instrText xml:space="preserve">PAGEREF 3873 \h</w:instrText>
        </w:r>
        <w:r>
          <w:fldChar w:fldCharType="end"/>
        </w:r>
      </w:hyperlink>
    </w:p>
    <w:p>
      <w:pPr>
        <w:tabs>
          <w:tab w:val="right" w:leader="dot" w:pos="9062"/>
        </w:tabs>
        <w:ind w:left="220"/>
      </w:pPr>
      <w:hyperlink w:anchor="_Toc3874" w:history="1">
        <w:r>
          <w:rPr>
            <w:rFonts w:ascii="IRNazanin" w:hAnsi="IRNazanin" w:eastAsia="IRNazanin" w:cs="IRNazanin"/>
            <w:color w:val="111111"/>
            <w:sz w:val="22"/>
            <w:szCs w:val="22"/>
            <w:b w:val="0"/>
            <w:bCs w:val="0"/>
            <w:i w:val="0"/>
            <w:iCs w:val="0"/>
          </w:rPr>
          <w:t>سجستاني ، سهل بن محمّد - 255 ه-</w:t>
        </w:r>
        <w:r>
          <w:tab/>
        </w:r>
        <w:r>
          <w:fldChar w:fldCharType="begin"/>
        </w:r>
        <w:r>
          <w:instrText xml:space="preserve">PAGEREF 3874 \h</w:instrText>
        </w:r>
        <w:r>
          <w:fldChar w:fldCharType="end"/>
        </w:r>
      </w:hyperlink>
    </w:p>
    <w:p>
      <w:pPr>
        <w:tabs>
          <w:tab w:val="right" w:leader="dot" w:pos="9062"/>
        </w:tabs>
        <w:ind w:left="220"/>
      </w:pPr>
      <w:hyperlink w:anchor="_Toc3875" w:history="1">
        <w:r>
          <w:rPr>
            <w:rFonts w:ascii="IRNazanin" w:hAnsi="IRNazanin" w:eastAsia="IRNazanin" w:cs="IRNazanin"/>
            <w:color w:val="111111"/>
            <w:sz w:val="22"/>
            <w:szCs w:val="22"/>
            <w:b w:val="0"/>
            <w:bCs w:val="0"/>
            <w:i w:val="0"/>
            <w:iCs w:val="0"/>
          </w:rPr>
          <w:t>سجستاني ، عبد الله بن سليمان 230 -</w:t>
        </w:r>
        <w:r>
          <w:tab/>
        </w:r>
        <w:r>
          <w:fldChar w:fldCharType="begin"/>
        </w:r>
        <w:r>
          <w:instrText xml:space="preserve">PAGEREF 3875 \h</w:instrText>
        </w:r>
        <w:r>
          <w:fldChar w:fldCharType="end"/>
        </w:r>
      </w:hyperlink>
    </w:p>
    <w:p>
      <w:pPr>
        <w:tabs>
          <w:tab w:val="right" w:leader="dot" w:pos="9062"/>
        </w:tabs>
        <w:ind w:left="220"/>
      </w:pPr>
      <w:hyperlink w:anchor="_Toc3876" w:history="1">
        <w:r>
          <w:rPr>
            <w:rFonts w:ascii="IRNazanin" w:hAnsi="IRNazanin" w:eastAsia="IRNazanin" w:cs="IRNazanin"/>
            <w:color w:val="111111"/>
            <w:sz w:val="22"/>
            <w:szCs w:val="22"/>
            <w:b w:val="0"/>
            <w:bCs w:val="0"/>
            <w:i w:val="0"/>
            <w:iCs w:val="0"/>
          </w:rPr>
          <w:t>سجستاني ، محمّد بن طاهر، 300 - 372</w:t>
        </w:r>
        <w:r>
          <w:tab/>
        </w:r>
        <w:r>
          <w:fldChar w:fldCharType="begin"/>
        </w:r>
        <w:r>
          <w:instrText xml:space="preserve">PAGEREF 3876 \h</w:instrText>
        </w:r>
        <w:r>
          <w:fldChar w:fldCharType="end"/>
        </w:r>
      </w:hyperlink>
    </w:p>
    <w:p>
      <w:pPr>
        <w:tabs>
          <w:tab w:val="right" w:leader="dot" w:pos="9062"/>
        </w:tabs>
        <w:ind w:left="220"/>
      </w:pPr>
      <w:hyperlink w:anchor="_Toc3877" w:history="1">
        <w:r>
          <w:rPr>
            <w:rFonts w:ascii="IRNazanin" w:hAnsi="IRNazanin" w:eastAsia="IRNazanin" w:cs="IRNazanin"/>
            <w:color w:val="111111"/>
            <w:sz w:val="22"/>
            <w:szCs w:val="22"/>
            <w:b w:val="0"/>
            <w:bCs w:val="0"/>
            <w:i w:val="0"/>
            <w:iCs w:val="0"/>
          </w:rPr>
          <w:t>سجستاني ، محمّد بن عزير، - 330 ه-</w:t>
        </w:r>
        <w:r>
          <w:tab/>
        </w:r>
        <w:r>
          <w:fldChar w:fldCharType="begin"/>
        </w:r>
        <w:r>
          <w:instrText xml:space="preserve">PAGEREF 3877 \h</w:instrText>
        </w:r>
        <w:r>
          <w:fldChar w:fldCharType="end"/>
        </w:r>
      </w:hyperlink>
    </w:p>
    <w:p>
      <w:pPr>
        <w:tabs>
          <w:tab w:val="right" w:leader="dot" w:pos="9062"/>
        </w:tabs>
        <w:ind w:left="220"/>
      </w:pPr>
      <w:hyperlink w:anchor="_Toc3878" w:history="1">
        <w:r>
          <w:rPr>
            <w:rFonts w:ascii="IRNazanin" w:hAnsi="IRNazanin" w:eastAsia="IRNazanin" w:cs="IRNazanin"/>
            <w:color w:val="111111"/>
            <w:sz w:val="22"/>
            <w:szCs w:val="22"/>
            <w:b w:val="0"/>
            <w:bCs w:val="0"/>
            <w:i w:val="0"/>
            <w:iCs w:val="0"/>
          </w:rPr>
          <w:t>سجستاني ، يوسف بن احمد - 638 ه-</w:t>
        </w:r>
        <w:r>
          <w:tab/>
        </w:r>
        <w:r>
          <w:fldChar w:fldCharType="begin"/>
        </w:r>
        <w:r>
          <w:instrText xml:space="preserve">PAGEREF 3878 \h</w:instrText>
        </w:r>
        <w:r>
          <w:fldChar w:fldCharType="end"/>
        </w:r>
      </w:hyperlink>
    </w:p>
    <w:p>
      <w:pPr>
        <w:tabs>
          <w:tab w:val="right" w:leader="dot" w:pos="9062"/>
        </w:tabs>
        <w:ind w:left="220"/>
      </w:pPr>
      <w:hyperlink w:anchor="_Toc3879" w:history="1">
        <w:r>
          <w:rPr>
            <w:rFonts w:ascii="IRNazanin" w:hAnsi="IRNazanin" w:eastAsia="IRNazanin" w:cs="IRNazanin"/>
            <w:color w:val="111111"/>
            <w:sz w:val="22"/>
            <w:szCs w:val="22"/>
            <w:b w:val="0"/>
            <w:bCs w:val="0"/>
            <w:i w:val="0"/>
            <w:iCs w:val="0"/>
          </w:rPr>
          <w:t>سجلماسي ، احمد بن مبارك، 1090 -</w:t>
        </w:r>
        <w:r>
          <w:tab/>
        </w:r>
        <w:r>
          <w:fldChar w:fldCharType="begin"/>
        </w:r>
        <w:r>
          <w:instrText xml:space="preserve">PAGEREF 3879 \h</w:instrText>
        </w:r>
        <w:r>
          <w:fldChar w:fldCharType="end"/>
        </w:r>
      </w:hyperlink>
    </w:p>
    <w:p>
      <w:pPr>
        <w:tabs>
          <w:tab w:val="right" w:leader="dot" w:pos="9062"/>
        </w:tabs>
        <w:ind w:left="220"/>
      </w:pPr>
      <w:hyperlink w:anchor="_Toc3880" w:history="1">
        <w:r>
          <w:rPr>
            <w:rFonts w:ascii="IRNazanin" w:hAnsi="IRNazanin" w:eastAsia="IRNazanin" w:cs="IRNazanin"/>
            <w:color w:val="111111"/>
            <w:sz w:val="22"/>
            <w:szCs w:val="22"/>
            <w:b w:val="0"/>
            <w:bCs w:val="0"/>
            <w:i w:val="0"/>
            <w:iCs w:val="0"/>
          </w:rPr>
          <w:t>سحامي، زاهر بن طاهر، 446 - 533 ه-</w:t>
        </w:r>
        <w:r>
          <w:tab/>
        </w:r>
        <w:r>
          <w:fldChar w:fldCharType="begin"/>
        </w:r>
        <w:r>
          <w:instrText xml:space="preserve">PAGEREF 3880 \h</w:instrText>
        </w:r>
        <w:r>
          <w:fldChar w:fldCharType="end"/>
        </w:r>
      </w:hyperlink>
    </w:p>
    <w:p>
      <w:pPr>
        <w:tabs>
          <w:tab w:val="right" w:leader="dot" w:pos="9062"/>
        </w:tabs>
        <w:ind w:left="220"/>
      </w:pPr>
      <w:hyperlink w:anchor="_Toc3881" w:history="1">
        <w:r>
          <w:rPr>
            <w:rFonts w:ascii="IRNazanin" w:hAnsi="IRNazanin" w:eastAsia="IRNazanin" w:cs="IRNazanin"/>
            <w:color w:val="111111"/>
            <w:sz w:val="22"/>
            <w:szCs w:val="22"/>
            <w:b w:val="0"/>
            <w:bCs w:val="0"/>
            <w:i w:val="0"/>
            <w:iCs w:val="0"/>
          </w:rPr>
          <w:t>سحولي ، ابراهيم بن يحيى 987 - 1060</w:t>
        </w:r>
        <w:r>
          <w:tab/>
        </w:r>
        <w:r>
          <w:fldChar w:fldCharType="begin"/>
        </w:r>
        <w:r>
          <w:instrText xml:space="preserve">PAGEREF 3881 \h</w:instrText>
        </w:r>
        <w:r>
          <w:fldChar w:fldCharType="end"/>
        </w:r>
      </w:hyperlink>
    </w:p>
    <w:p>
      <w:pPr>
        <w:tabs>
          <w:tab w:val="right" w:leader="dot" w:pos="9062"/>
        </w:tabs>
        <w:ind w:left="220"/>
      </w:pPr>
      <w:hyperlink w:anchor="_Toc3882" w:history="1">
        <w:r>
          <w:rPr>
            <w:rFonts w:ascii="IRNazanin" w:hAnsi="IRNazanin" w:eastAsia="IRNazanin" w:cs="IRNazanin"/>
            <w:color w:val="111111"/>
            <w:sz w:val="22"/>
            <w:szCs w:val="22"/>
            <w:b w:val="0"/>
            <w:bCs w:val="0"/>
            <w:i w:val="0"/>
            <w:iCs w:val="0"/>
          </w:rPr>
          <w:t>سحيم، - 40 ؟ ه-</w:t>
        </w:r>
        <w:r>
          <w:tab/>
        </w:r>
        <w:r>
          <w:fldChar w:fldCharType="begin"/>
        </w:r>
        <w:r>
          <w:instrText xml:space="preserve">PAGEREF 3882 \h</w:instrText>
        </w:r>
        <w:r>
          <w:fldChar w:fldCharType="end"/>
        </w:r>
      </w:hyperlink>
    </w:p>
    <w:p>
      <w:pPr>
        <w:tabs>
          <w:tab w:val="right" w:leader="dot" w:pos="9062"/>
        </w:tabs>
        <w:ind w:left="220"/>
      </w:pPr>
      <w:hyperlink w:anchor="_Toc3883" w:history="1">
        <w:r>
          <w:rPr>
            <w:rFonts w:ascii="IRNazanin" w:hAnsi="IRNazanin" w:eastAsia="IRNazanin" w:cs="IRNazanin"/>
            <w:color w:val="111111"/>
            <w:sz w:val="22"/>
            <w:szCs w:val="22"/>
            <w:b w:val="0"/>
            <w:bCs w:val="0"/>
            <w:i w:val="0"/>
            <w:iCs w:val="0"/>
          </w:rPr>
          <w:t>سحيمي ، احمد بن محمّد - 1178 ه-</w:t>
        </w:r>
        <w:r>
          <w:tab/>
        </w:r>
        <w:r>
          <w:fldChar w:fldCharType="begin"/>
        </w:r>
        <w:r>
          <w:instrText xml:space="preserve">PAGEREF 3883 \h</w:instrText>
        </w:r>
        <w:r>
          <w:fldChar w:fldCharType="end"/>
        </w:r>
      </w:hyperlink>
    </w:p>
    <w:p>
      <w:pPr>
        <w:tabs>
          <w:tab w:val="right" w:leader="dot" w:pos="9062"/>
        </w:tabs>
        <w:ind w:left="220"/>
      </w:pPr>
      <w:hyperlink w:anchor="_Toc3884" w:history="1">
        <w:r>
          <w:rPr>
            <w:rFonts w:ascii="IRNazanin" w:hAnsi="IRNazanin" w:eastAsia="IRNazanin" w:cs="IRNazanin"/>
            <w:color w:val="111111"/>
            <w:sz w:val="22"/>
            <w:szCs w:val="22"/>
            <w:b w:val="0"/>
            <w:bCs w:val="0"/>
            <w:i w:val="0"/>
            <w:iCs w:val="0"/>
          </w:rPr>
          <w:t>سخاوي ، عبد القادر بن علي قرن 10 ه-</w:t>
        </w:r>
        <w:r>
          <w:tab/>
        </w:r>
        <w:r>
          <w:fldChar w:fldCharType="begin"/>
        </w:r>
        <w:r>
          <w:instrText xml:space="preserve">PAGEREF 3884 \h</w:instrText>
        </w:r>
        <w:r>
          <w:fldChar w:fldCharType="end"/>
        </w:r>
      </w:hyperlink>
    </w:p>
    <w:p>
      <w:pPr>
        <w:tabs>
          <w:tab w:val="right" w:leader="dot" w:pos="9062"/>
        </w:tabs>
        <w:ind w:left="220"/>
      </w:pPr>
      <w:hyperlink w:anchor="_Toc3885" w:history="1">
        <w:r>
          <w:rPr>
            <w:rFonts w:ascii="IRNazanin" w:hAnsi="IRNazanin" w:eastAsia="IRNazanin" w:cs="IRNazanin"/>
            <w:color w:val="111111"/>
            <w:sz w:val="22"/>
            <w:szCs w:val="22"/>
            <w:b w:val="0"/>
            <w:bCs w:val="0"/>
            <w:i w:val="0"/>
            <w:iCs w:val="0"/>
          </w:rPr>
          <w:t>سخاوي ، علي بن محمّد، 558 - 143 ه-</w:t>
        </w:r>
        <w:r>
          <w:tab/>
        </w:r>
        <w:r>
          <w:fldChar w:fldCharType="begin"/>
        </w:r>
        <w:r>
          <w:instrText xml:space="preserve">PAGEREF 3885 \h</w:instrText>
        </w:r>
        <w:r>
          <w:fldChar w:fldCharType="end"/>
        </w:r>
      </w:hyperlink>
    </w:p>
    <w:p>
      <w:pPr>
        <w:tabs>
          <w:tab w:val="right" w:leader="dot" w:pos="9062"/>
        </w:tabs>
        <w:ind w:left="220"/>
      </w:pPr>
      <w:hyperlink w:anchor="_Toc3886" w:history="1">
        <w:r>
          <w:rPr>
            <w:rFonts w:ascii="IRNazanin" w:hAnsi="IRNazanin" w:eastAsia="IRNazanin" w:cs="IRNazanin"/>
            <w:color w:val="111111"/>
            <w:sz w:val="22"/>
            <w:szCs w:val="22"/>
            <w:b w:val="0"/>
            <w:bCs w:val="0"/>
            <w:i w:val="0"/>
            <w:iCs w:val="0"/>
          </w:rPr>
          <w:t>سخاوي ، محمّد بن عبدالرحمن، 831 -</w:t>
        </w:r>
        <w:r>
          <w:tab/>
        </w:r>
        <w:r>
          <w:fldChar w:fldCharType="begin"/>
        </w:r>
        <w:r>
          <w:instrText xml:space="preserve">PAGEREF 3886 \h</w:instrText>
        </w:r>
        <w:r>
          <w:fldChar w:fldCharType="end"/>
        </w:r>
      </w:hyperlink>
    </w:p>
    <w:p>
      <w:pPr>
        <w:tabs>
          <w:tab w:val="right" w:leader="dot" w:pos="9062"/>
        </w:tabs>
        <w:ind w:left="220"/>
      </w:pPr>
      <w:hyperlink w:anchor="_Toc3887" w:history="1">
        <w:r>
          <w:rPr>
            <w:rFonts w:ascii="IRNazanin" w:hAnsi="IRNazanin" w:eastAsia="IRNazanin" w:cs="IRNazanin"/>
            <w:color w:val="111111"/>
            <w:sz w:val="22"/>
            <w:szCs w:val="22"/>
            <w:b w:val="0"/>
            <w:bCs w:val="0"/>
            <w:i w:val="0"/>
            <w:iCs w:val="0"/>
          </w:rPr>
          <w:t>سخوف بن عثمان</w:t>
        </w:r>
        <w:r>
          <w:tab/>
        </w:r>
        <w:r>
          <w:fldChar w:fldCharType="begin"/>
        </w:r>
        <w:r>
          <w:instrText xml:space="preserve">PAGEREF 3887 \h</w:instrText>
        </w:r>
        <w:r>
          <w:fldChar w:fldCharType="end"/>
        </w:r>
      </w:hyperlink>
    </w:p>
    <w:p>
      <w:pPr>
        <w:tabs>
          <w:tab w:val="right" w:leader="dot" w:pos="9062"/>
        </w:tabs>
        <w:ind w:left="220"/>
      </w:pPr>
      <w:hyperlink w:anchor="_Toc3888" w:history="1">
        <w:r>
          <w:rPr>
            <w:rFonts w:ascii="IRNazanin" w:hAnsi="IRNazanin" w:eastAsia="IRNazanin" w:cs="IRNazanin"/>
            <w:color w:val="111111"/>
            <w:sz w:val="22"/>
            <w:szCs w:val="22"/>
            <w:b w:val="0"/>
            <w:bCs w:val="0"/>
            <w:i w:val="0"/>
            <w:iCs w:val="0"/>
          </w:rPr>
          <w:t>سخومي ، علي بن صلاح الدين قرن 8 ه- 194 - 682 ه-</w:t>
        </w:r>
        <w:r>
          <w:tab/>
        </w:r>
        <w:r>
          <w:fldChar w:fldCharType="begin"/>
        </w:r>
        <w:r>
          <w:instrText xml:space="preserve">PAGEREF 3888 \h</w:instrText>
        </w:r>
        <w:r>
          <w:fldChar w:fldCharType="end"/>
        </w:r>
      </w:hyperlink>
    </w:p>
    <w:p>
      <w:pPr>
        <w:tabs>
          <w:tab w:val="right" w:leader="dot" w:pos="9062"/>
        </w:tabs>
        <w:ind w:left="220"/>
      </w:pPr>
      <w:hyperlink w:anchor="_Toc3889" w:history="1">
        <w:r>
          <w:rPr>
            <w:rFonts w:ascii="IRNazanin" w:hAnsi="IRNazanin" w:eastAsia="IRNazanin" w:cs="IRNazanin"/>
            <w:color w:val="111111"/>
            <w:sz w:val="22"/>
            <w:szCs w:val="22"/>
            <w:b w:val="0"/>
            <w:bCs w:val="0"/>
            <w:i w:val="0"/>
            <w:iCs w:val="0"/>
          </w:rPr>
          <w:t>سدوسي ، مؤرج بن عمرو - 195 ه-</w:t>
        </w:r>
        <w:r>
          <w:tab/>
        </w:r>
        <w:r>
          <w:fldChar w:fldCharType="begin"/>
        </w:r>
        <w:r>
          <w:instrText xml:space="preserve">PAGEREF 3889 \h</w:instrText>
        </w:r>
        <w:r>
          <w:fldChar w:fldCharType="end"/>
        </w:r>
      </w:hyperlink>
    </w:p>
    <w:p>
      <w:pPr>
        <w:tabs>
          <w:tab w:val="right" w:leader="dot" w:pos="9062"/>
        </w:tabs>
        <w:ind w:left="220"/>
      </w:pPr>
      <w:hyperlink w:anchor="_Toc3890" w:history="1">
        <w:r>
          <w:rPr>
            <w:rFonts w:ascii="IRNazanin" w:hAnsi="IRNazanin" w:eastAsia="IRNazanin" w:cs="IRNazanin"/>
            <w:color w:val="111111"/>
            <w:sz w:val="22"/>
            <w:szCs w:val="22"/>
            <w:b w:val="0"/>
            <w:bCs w:val="0"/>
            <w:i w:val="0"/>
            <w:iCs w:val="0"/>
          </w:rPr>
          <w:t>سديد السلطنه ، محمّد علي بن احمد</w:t>
        </w:r>
        <w:r>
          <w:tab/>
        </w:r>
        <w:r>
          <w:fldChar w:fldCharType="begin"/>
        </w:r>
        <w:r>
          <w:instrText xml:space="preserve">PAGEREF 3890 \h</w:instrText>
        </w:r>
        <w:r>
          <w:fldChar w:fldCharType="end"/>
        </w:r>
      </w:hyperlink>
    </w:p>
    <w:p>
      <w:pPr>
        <w:tabs>
          <w:tab w:val="right" w:leader="dot" w:pos="9062"/>
        </w:tabs>
        <w:ind w:left="220"/>
      </w:pPr>
      <w:hyperlink w:anchor="_Toc3891" w:history="1">
        <w:r>
          <w:rPr>
            <w:rFonts w:ascii="IRNazanin" w:hAnsi="IRNazanin" w:eastAsia="IRNazanin" w:cs="IRNazanin"/>
            <w:color w:val="111111"/>
            <w:sz w:val="22"/>
            <w:szCs w:val="22"/>
            <w:b w:val="0"/>
            <w:bCs w:val="0"/>
            <w:i w:val="0"/>
            <w:iCs w:val="0"/>
          </w:rPr>
          <w:t>سراج الدين ارموي ، محمود بن ابي بكر</w:t>
        </w:r>
        <w:r>
          <w:tab/>
        </w:r>
        <w:r>
          <w:fldChar w:fldCharType="begin"/>
        </w:r>
        <w:r>
          <w:instrText xml:space="preserve">PAGEREF 3891 \h</w:instrText>
        </w:r>
        <w:r>
          <w:fldChar w:fldCharType="end"/>
        </w:r>
      </w:hyperlink>
    </w:p>
    <w:p>
      <w:pPr>
        <w:tabs>
          <w:tab w:val="right" w:leader="dot" w:pos="9062"/>
        </w:tabs>
        <w:ind w:left="220"/>
      </w:pPr>
      <w:hyperlink w:anchor="_Toc3892" w:history="1">
        <w:r>
          <w:rPr>
            <w:rFonts w:ascii="IRNazanin" w:hAnsi="IRNazanin" w:eastAsia="IRNazanin" w:cs="IRNazanin"/>
            <w:color w:val="111111"/>
            <w:sz w:val="22"/>
            <w:szCs w:val="22"/>
            <w:b w:val="0"/>
            <w:bCs w:val="0"/>
            <w:i w:val="0"/>
            <w:iCs w:val="0"/>
          </w:rPr>
          <w:t>سراج الدین اوشي ، علي بن عثمان</w:t>
        </w:r>
        <w:r>
          <w:tab/>
        </w:r>
        <w:r>
          <w:fldChar w:fldCharType="begin"/>
        </w:r>
        <w:r>
          <w:instrText xml:space="preserve">PAGEREF 3892 \h</w:instrText>
        </w:r>
        <w:r>
          <w:fldChar w:fldCharType="end"/>
        </w:r>
      </w:hyperlink>
    </w:p>
    <w:p>
      <w:pPr>
        <w:tabs>
          <w:tab w:val="right" w:leader="dot" w:pos="9062"/>
        </w:tabs>
        <w:ind w:left="220"/>
      </w:pPr>
      <w:hyperlink w:anchor="_Toc3893" w:history="1">
        <w:r>
          <w:rPr>
            <w:rFonts w:ascii="IRNazanin" w:hAnsi="IRNazanin" w:eastAsia="IRNazanin" w:cs="IRNazanin"/>
            <w:color w:val="111111"/>
            <w:sz w:val="22"/>
            <w:szCs w:val="22"/>
            <w:b w:val="0"/>
            <w:bCs w:val="0"/>
            <w:i w:val="0"/>
            <w:iCs w:val="0"/>
          </w:rPr>
          <w:t>سراج الدين بن علي خان - 1232 ه-</w:t>
        </w:r>
        <w:r>
          <w:tab/>
        </w:r>
        <w:r>
          <w:fldChar w:fldCharType="begin"/>
        </w:r>
        <w:r>
          <w:instrText xml:space="preserve">PAGEREF 3893 \h</w:instrText>
        </w:r>
        <w:r>
          <w:fldChar w:fldCharType="end"/>
        </w:r>
      </w:hyperlink>
    </w:p>
    <w:p>
      <w:pPr>
        <w:tabs>
          <w:tab w:val="right" w:leader="dot" w:pos="9062"/>
        </w:tabs>
        <w:ind w:left="220"/>
      </w:pPr>
      <w:hyperlink w:anchor="_Toc3894" w:history="1">
        <w:r>
          <w:rPr>
            <w:rFonts w:ascii="IRNazanin" w:hAnsi="IRNazanin" w:eastAsia="IRNazanin" w:cs="IRNazanin"/>
            <w:color w:val="111111"/>
            <w:sz w:val="22"/>
            <w:szCs w:val="22"/>
            <w:b w:val="0"/>
            <w:bCs w:val="0"/>
            <w:i w:val="0"/>
            <w:iCs w:val="0"/>
          </w:rPr>
          <w:t>سراج الدين عمر</w:t>
        </w:r>
        <w:r>
          <w:tab/>
        </w:r>
        <w:r>
          <w:fldChar w:fldCharType="begin"/>
        </w:r>
        <w:r>
          <w:instrText xml:space="preserve">PAGEREF 3894 \h</w:instrText>
        </w:r>
        <w:r>
          <w:fldChar w:fldCharType="end"/>
        </w:r>
      </w:hyperlink>
    </w:p>
    <w:p>
      <w:pPr>
        <w:tabs>
          <w:tab w:val="right" w:leader="dot" w:pos="9062"/>
        </w:tabs>
        <w:ind w:left="220"/>
      </w:pPr>
      <w:hyperlink w:anchor="_Toc3895" w:history="1">
        <w:r>
          <w:rPr>
            <w:rFonts w:ascii="IRNazanin" w:hAnsi="IRNazanin" w:eastAsia="IRNazanin" w:cs="IRNazanin"/>
            <w:color w:val="111111"/>
            <w:sz w:val="22"/>
            <w:szCs w:val="22"/>
            <w:b w:val="0"/>
            <w:bCs w:val="0"/>
            <w:i w:val="0"/>
            <w:iCs w:val="0"/>
          </w:rPr>
          <w:t>سراج ، حسين بن احمد</w:t>
        </w:r>
        <w:r>
          <w:tab/>
        </w:r>
        <w:r>
          <w:fldChar w:fldCharType="begin"/>
        </w:r>
        <w:r>
          <w:instrText xml:space="preserve">PAGEREF 3895 \h</w:instrText>
        </w:r>
        <w:r>
          <w:fldChar w:fldCharType="end"/>
        </w:r>
      </w:hyperlink>
    </w:p>
    <w:p>
      <w:pPr>
        <w:tabs>
          <w:tab w:val="right" w:leader="dot" w:pos="9062"/>
        </w:tabs>
        <w:ind w:left="220"/>
      </w:pPr>
      <w:hyperlink w:anchor="_Toc3896" w:history="1">
        <w:r>
          <w:rPr>
            <w:rFonts w:ascii="IRNazanin" w:hAnsi="IRNazanin" w:eastAsia="IRNazanin" w:cs="IRNazanin"/>
            <w:color w:val="111111"/>
            <w:sz w:val="22"/>
            <w:szCs w:val="22"/>
            <w:b w:val="0"/>
            <w:bCs w:val="0"/>
            <w:i w:val="0"/>
            <w:iCs w:val="0"/>
          </w:rPr>
          <w:t>سراج ، عباس آل حاجي قرن 14 ه-</w:t>
        </w:r>
        <w:r>
          <w:tab/>
        </w:r>
        <w:r>
          <w:fldChar w:fldCharType="begin"/>
        </w:r>
        <w:r>
          <w:instrText xml:space="preserve">PAGEREF 3896 \h</w:instrText>
        </w:r>
        <w:r>
          <w:fldChar w:fldCharType="end"/>
        </w:r>
      </w:hyperlink>
    </w:p>
    <w:p>
      <w:pPr>
        <w:tabs>
          <w:tab w:val="right" w:leader="dot" w:pos="9062"/>
        </w:tabs>
        <w:ind w:left="220"/>
      </w:pPr>
      <w:hyperlink w:anchor="_Toc3897" w:history="1">
        <w:r>
          <w:rPr>
            <w:rFonts w:ascii="IRNazanin" w:hAnsi="IRNazanin" w:eastAsia="IRNazanin" w:cs="IRNazanin"/>
            <w:color w:val="111111"/>
            <w:sz w:val="22"/>
            <w:szCs w:val="22"/>
            <w:b w:val="0"/>
            <w:bCs w:val="0"/>
            <w:i w:val="0"/>
            <w:iCs w:val="0"/>
          </w:rPr>
          <w:t>سراج ، محمّد بن صديق قرن 10 ه-</w:t>
        </w:r>
        <w:r>
          <w:tab/>
        </w:r>
        <w:r>
          <w:fldChar w:fldCharType="begin"/>
        </w:r>
        <w:r>
          <w:instrText xml:space="preserve">PAGEREF 3897 \h</w:instrText>
        </w:r>
        <w:r>
          <w:fldChar w:fldCharType="end"/>
        </w:r>
      </w:hyperlink>
    </w:p>
    <w:p>
      <w:pPr>
        <w:tabs>
          <w:tab w:val="right" w:leader="dot" w:pos="9062"/>
        </w:tabs>
        <w:ind w:left="220"/>
      </w:pPr>
      <w:hyperlink w:anchor="_Toc3898" w:history="1">
        <w:r>
          <w:rPr>
            <w:rFonts w:ascii="IRNazanin" w:hAnsi="IRNazanin" w:eastAsia="IRNazanin" w:cs="IRNazanin"/>
            <w:color w:val="111111"/>
            <w:sz w:val="22"/>
            <w:szCs w:val="22"/>
            <w:b w:val="0"/>
            <w:bCs w:val="0"/>
            <w:i w:val="0"/>
            <w:iCs w:val="0"/>
          </w:rPr>
          <w:t>سراجي ، احمد بن عماد قرن 9 ه-</w:t>
        </w:r>
        <w:r>
          <w:tab/>
        </w:r>
        <w:r>
          <w:fldChar w:fldCharType="begin"/>
        </w:r>
        <w:r>
          <w:instrText xml:space="preserve">PAGEREF 3898 \h</w:instrText>
        </w:r>
        <w:r>
          <w:fldChar w:fldCharType="end"/>
        </w:r>
      </w:hyperlink>
    </w:p>
    <w:p>
      <w:pPr>
        <w:tabs>
          <w:tab w:val="right" w:leader="dot" w:pos="9062"/>
        </w:tabs>
        <w:ind w:left="220"/>
      </w:pPr>
      <w:hyperlink w:anchor="_Toc3899" w:history="1">
        <w:r>
          <w:rPr>
            <w:rFonts w:ascii="IRNazanin" w:hAnsi="IRNazanin" w:eastAsia="IRNazanin" w:cs="IRNazanin"/>
            <w:color w:val="111111"/>
            <w:sz w:val="22"/>
            <w:szCs w:val="22"/>
            <w:b w:val="0"/>
            <w:bCs w:val="0"/>
            <w:i w:val="0"/>
            <w:iCs w:val="0"/>
          </w:rPr>
          <w:t>سرخسي ، محمّد بن محمّد - 544 ه-</w:t>
        </w:r>
        <w:r>
          <w:tab/>
        </w:r>
        <w:r>
          <w:fldChar w:fldCharType="begin"/>
        </w:r>
        <w:r>
          <w:instrText xml:space="preserve">PAGEREF 3899 \h</w:instrText>
        </w:r>
        <w:r>
          <w:fldChar w:fldCharType="end"/>
        </w:r>
      </w:hyperlink>
    </w:p>
    <w:p>
      <w:pPr>
        <w:tabs>
          <w:tab w:val="right" w:leader="dot" w:pos="9062"/>
        </w:tabs>
        <w:ind w:left="220"/>
      </w:pPr>
      <w:hyperlink w:anchor="_Toc3900" w:history="1">
        <w:r>
          <w:rPr>
            <w:rFonts w:ascii="IRNazanin" w:hAnsi="IRNazanin" w:eastAsia="IRNazanin" w:cs="IRNazanin"/>
            <w:color w:val="111111"/>
            <w:sz w:val="22"/>
            <w:szCs w:val="22"/>
            <w:b w:val="0"/>
            <w:bCs w:val="0"/>
            <w:i w:val="0"/>
            <w:iCs w:val="0"/>
          </w:rPr>
          <w:t>سرخوش لاهوري، محمّد افضل بن محمّد</w:t>
        </w:r>
        <w:r>
          <w:tab/>
        </w:r>
        <w:r>
          <w:fldChar w:fldCharType="begin"/>
        </w:r>
        <w:r>
          <w:instrText xml:space="preserve">PAGEREF 3900 \h</w:instrText>
        </w:r>
        <w:r>
          <w:fldChar w:fldCharType="end"/>
        </w:r>
      </w:hyperlink>
    </w:p>
    <w:p>
      <w:pPr>
        <w:tabs>
          <w:tab w:val="right" w:leader="dot" w:pos="9062"/>
        </w:tabs>
        <w:ind w:left="220"/>
      </w:pPr>
      <w:hyperlink w:anchor="_Toc3901" w:history="1">
        <w:r>
          <w:rPr>
            <w:rFonts w:ascii="IRNazanin" w:hAnsi="IRNazanin" w:eastAsia="IRNazanin" w:cs="IRNazanin"/>
            <w:color w:val="111111"/>
            <w:sz w:val="22"/>
            <w:szCs w:val="22"/>
            <w:b w:val="0"/>
            <w:bCs w:val="0"/>
            <w:i w:val="0"/>
            <w:iCs w:val="0"/>
          </w:rPr>
          <w:t>سردار کابلي ، حيدر قلي، 1293 - 1368</w:t>
        </w:r>
        <w:r>
          <w:tab/>
        </w:r>
        <w:r>
          <w:fldChar w:fldCharType="begin"/>
        </w:r>
        <w:r>
          <w:instrText xml:space="preserve">PAGEREF 3901 \h</w:instrText>
        </w:r>
        <w:r>
          <w:fldChar w:fldCharType="end"/>
        </w:r>
      </w:hyperlink>
    </w:p>
    <w:p>
      <w:pPr>
        <w:tabs>
          <w:tab w:val="right" w:leader="dot" w:pos="9062"/>
        </w:tabs>
        <w:ind w:left="220"/>
      </w:pPr>
      <w:hyperlink w:anchor="_Toc3902" w:history="1">
        <w:r>
          <w:rPr>
            <w:rFonts w:ascii="IRNazanin" w:hAnsi="IRNazanin" w:eastAsia="IRNazanin" w:cs="IRNazanin"/>
            <w:color w:val="111111"/>
            <w:sz w:val="22"/>
            <w:szCs w:val="22"/>
            <w:b w:val="0"/>
            <w:bCs w:val="0"/>
            <w:i w:val="0"/>
            <w:iCs w:val="0"/>
          </w:rPr>
          <w:t>سرقسطي ، اسماعيل بن خلف - 455 ه-</w:t>
        </w:r>
        <w:r>
          <w:tab/>
        </w:r>
        <w:r>
          <w:fldChar w:fldCharType="begin"/>
        </w:r>
        <w:r>
          <w:instrText xml:space="preserve">PAGEREF 3902 \h</w:instrText>
        </w:r>
        <w:r>
          <w:fldChar w:fldCharType="end"/>
        </w:r>
      </w:hyperlink>
    </w:p>
    <w:p>
      <w:pPr>
        <w:tabs>
          <w:tab w:val="right" w:leader="dot" w:pos="9062"/>
        </w:tabs>
        <w:ind w:left="220"/>
      </w:pPr>
      <w:hyperlink w:anchor="_Toc3903" w:history="1">
        <w:r>
          <w:rPr>
            <w:rFonts w:ascii="IRNazanin" w:hAnsi="IRNazanin" w:eastAsia="IRNazanin" w:cs="IRNazanin"/>
            <w:color w:val="111111"/>
            <w:sz w:val="22"/>
            <w:szCs w:val="22"/>
            <w:b w:val="0"/>
            <w:bCs w:val="0"/>
            <w:i w:val="0"/>
            <w:iCs w:val="0"/>
          </w:rPr>
          <w:t>سرقسطي ، قاسم بن ثابت، 255 - 302</w:t>
        </w:r>
        <w:r>
          <w:tab/>
        </w:r>
        <w:r>
          <w:fldChar w:fldCharType="begin"/>
        </w:r>
        <w:r>
          <w:instrText xml:space="preserve">PAGEREF 3903 \h</w:instrText>
        </w:r>
        <w:r>
          <w:fldChar w:fldCharType="end"/>
        </w:r>
      </w:hyperlink>
    </w:p>
    <w:p>
      <w:pPr>
        <w:tabs>
          <w:tab w:val="right" w:leader="dot" w:pos="9062"/>
        </w:tabs>
        <w:ind w:left="220"/>
      </w:pPr>
      <w:hyperlink w:anchor="_Toc3904" w:history="1">
        <w:r>
          <w:rPr>
            <w:rFonts w:ascii="IRNazanin" w:hAnsi="IRNazanin" w:eastAsia="IRNazanin" w:cs="IRNazanin"/>
            <w:color w:val="111111"/>
            <w:sz w:val="22"/>
            <w:szCs w:val="22"/>
            <w:b w:val="0"/>
            <w:bCs w:val="0"/>
            <w:i w:val="0"/>
            <w:iCs w:val="0"/>
          </w:rPr>
          <w:t>سركاني ، محمّد صادق بن محمّد علي، قرن</w:t>
        </w:r>
        <w:r>
          <w:tab/>
        </w:r>
        <w:r>
          <w:fldChar w:fldCharType="begin"/>
        </w:r>
        <w:r>
          <w:instrText xml:space="preserve">PAGEREF 3904 \h</w:instrText>
        </w:r>
        <w:r>
          <w:fldChar w:fldCharType="end"/>
        </w:r>
      </w:hyperlink>
    </w:p>
    <w:p>
      <w:pPr>
        <w:tabs>
          <w:tab w:val="right" w:leader="dot" w:pos="9062"/>
        </w:tabs>
        <w:ind w:left="220"/>
      </w:pPr>
      <w:hyperlink w:anchor="_Toc3905" w:history="1">
        <w:r>
          <w:rPr>
            <w:rFonts w:ascii="IRNazanin" w:hAnsi="IRNazanin" w:eastAsia="IRNazanin" w:cs="IRNazanin"/>
            <w:color w:val="111111"/>
            <w:sz w:val="22"/>
            <w:szCs w:val="22"/>
            <w:b w:val="0"/>
            <w:bCs w:val="0"/>
            <w:i w:val="0"/>
            <w:iCs w:val="0"/>
          </w:rPr>
          <w:t>سركيس ، يعقوب، 1876 - 1959 م</w:t>
        </w:r>
        <w:r>
          <w:tab/>
        </w:r>
        <w:r>
          <w:fldChar w:fldCharType="begin"/>
        </w:r>
        <w:r>
          <w:instrText xml:space="preserve">PAGEREF 3905 \h</w:instrText>
        </w:r>
        <w:r>
          <w:fldChar w:fldCharType="end"/>
        </w:r>
      </w:hyperlink>
    </w:p>
    <w:p>
      <w:pPr>
        <w:tabs>
          <w:tab w:val="right" w:leader="dot" w:pos="9062"/>
        </w:tabs>
        <w:ind w:left="220"/>
      </w:pPr>
      <w:hyperlink w:anchor="_Toc3906" w:history="1">
        <w:r>
          <w:rPr>
            <w:rFonts w:ascii="IRNazanin" w:hAnsi="IRNazanin" w:eastAsia="IRNazanin" w:cs="IRNazanin"/>
            <w:color w:val="111111"/>
            <w:sz w:val="22"/>
            <w:szCs w:val="22"/>
            <w:b w:val="0"/>
            <w:bCs w:val="0"/>
            <w:i w:val="0"/>
            <w:iCs w:val="0"/>
          </w:rPr>
          <w:t>سرماري، احمد بن عبدالله - 219 ه-</w:t>
        </w:r>
        <w:r>
          <w:tab/>
        </w:r>
        <w:r>
          <w:fldChar w:fldCharType="begin"/>
        </w:r>
        <w:r>
          <w:instrText xml:space="preserve">PAGEREF 3906 \h</w:instrText>
        </w:r>
        <w:r>
          <w:fldChar w:fldCharType="end"/>
        </w:r>
      </w:hyperlink>
    </w:p>
    <w:p>
      <w:pPr>
        <w:tabs>
          <w:tab w:val="right" w:leader="dot" w:pos="9062"/>
        </w:tabs>
        <w:ind w:left="220"/>
      </w:pPr>
      <w:hyperlink w:anchor="_Toc3907" w:history="1">
        <w:r>
          <w:rPr>
            <w:rFonts w:ascii="IRNazanin" w:hAnsi="IRNazanin" w:eastAsia="IRNazanin" w:cs="IRNazanin"/>
            <w:color w:val="111111"/>
            <w:sz w:val="22"/>
            <w:szCs w:val="22"/>
            <w:b w:val="0"/>
            <w:bCs w:val="0"/>
            <w:i w:val="0"/>
            <w:iCs w:val="0"/>
          </w:rPr>
          <w:t>سرمدي ، يوسف بن محمّد</w:t>
        </w:r>
        <w:r>
          <w:tab/>
        </w:r>
        <w:r>
          <w:fldChar w:fldCharType="begin"/>
        </w:r>
        <w:r>
          <w:instrText xml:space="preserve">PAGEREF 3907 \h</w:instrText>
        </w:r>
        <w:r>
          <w:fldChar w:fldCharType="end"/>
        </w:r>
      </w:hyperlink>
    </w:p>
    <w:p>
      <w:pPr>
        <w:tabs>
          <w:tab w:val="right" w:leader="dot" w:pos="9062"/>
        </w:tabs>
        <w:ind w:left="220"/>
      </w:pPr>
      <w:hyperlink w:anchor="_Toc3908" w:history="1">
        <w:r>
          <w:rPr>
            <w:rFonts w:ascii="IRNazanin" w:hAnsi="IRNazanin" w:eastAsia="IRNazanin" w:cs="IRNazanin"/>
            <w:color w:val="111111"/>
            <w:sz w:val="22"/>
            <w:szCs w:val="22"/>
            <w:b w:val="0"/>
            <w:bCs w:val="0"/>
            <w:i w:val="0"/>
            <w:iCs w:val="0"/>
          </w:rPr>
          <w:t>سرمري ، يوسف بن محمّد 696 - 776</w:t>
        </w:r>
        <w:r>
          <w:tab/>
        </w:r>
        <w:r>
          <w:fldChar w:fldCharType="begin"/>
        </w:r>
        <w:r>
          <w:instrText xml:space="preserve">PAGEREF 3908 \h</w:instrText>
        </w:r>
        <w:r>
          <w:fldChar w:fldCharType="end"/>
        </w:r>
      </w:hyperlink>
    </w:p>
    <w:p>
      <w:pPr>
        <w:tabs>
          <w:tab w:val="right" w:leader="dot" w:pos="9062"/>
        </w:tabs>
        <w:ind w:left="220"/>
      </w:pPr>
      <w:hyperlink w:anchor="_Toc3909" w:history="1">
        <w:r>
          <w:rPr>
            <w:rFonts w:ascii="IRNazanin" w:hAnsi="IRNazanin" w:eastAsia="IRNazanin" w:cs="IRNazanin"/>
            <w:color w:val="111111"/>
            <w:sz w:val="22"/>
            <w:szCs w:val="22"/>
            <w:b w:val="0"/>
            <w:bCs w:val="0"/>
            <w:i w:val="0"/>
            <w:iCs w:val="0"/>
          </w:rPr>
          <w:t>سرميني ، عبدالله بن حسن</w:t>
        </w:r>
        <w:r>
          <w:tab/>
        </w:r>
        <w:r>
          <w:fldChar w:fldCharType="begin"/>
        </w:r>
        <w:r>
          <w:instrText xml:space="preserve">PAGEREF 3909 \h</w:instrText>
        </w:r>
        <w:r>
          <w:fldChar w:fldCharType="end"/>
        </w:r>
      </w:hyperlink>
    </w:p>
    <w:p>
      <w:pPr>
        <w:tabs>
          <w:tab w:val="right" w:leader="dot" w:pos="9062"/>
        </w:tabs>
        <w:ind w:left="220"/>
      </w:pPr>
      <w:hyperlink w:anchor="_Toc3910" w:history="1">
        <w:r>
          <w:rPr>
            <w:rFonts w:ascii="IRNazanin" w:hAnsi="IRNazanin" w:eastAsia="IRNazanin" w:cs="IRNazanin"/>
            <w:color w:val="111111"/>
            <w:sz w:val="22"/>
            <w:szCs w:val="22"/>
            <w:b w:val="0"/>
            <w:bCs w:val="0"/>
            <w:i w:val="0"/>
            <w:iCs w:val="0"/>
          </w:rPr>
          <w:t>سرميني ، علي بن صدقة قرن 9 ه-</w:t>
        </w:r>
        <w:r>
          <w:tab/>
        </w:r>
        <w:r>
          <w:fldChar w:fldCharType="begin"/>
        </w:r>
        <w:r>
          <w:instrText xml:space="preserve">PAGEREF 3910 \h</w:instrText>
        </w:r>
        <w:r>
          <w:fldChar w:fldCharType="end"/>
        </w:r>
      </w:hyperlink>
    </w:p>
    <w:p>
      <w:pPr>
        <w:tabs>
          <w:tab w:val="right" w:leader="dot" w:pos="9062"/>
        </w:tabs>
        <w:ind w:left="220"/>
      </w:pPr>
      <w:hyperlink w:anchor="_Toc3911" w:history="1">
        <w:r>
          <w:rPr>
            <w:rFonts w:ascii="IRNazanin" w:hAnsi="IRNazanin" w:eastAsia="IRNazanin" w:cs="IRNazanin"/>
            <w:color w:val="111111"/>
            <w:sz w:val="22"/>
            <w:szCs w:val="22"/>
            <w:b w:val="0"/>
            <w:bCs w:val="0"/>
            <w:i w:val="0"/>
            <w:iCs w:val="0"/>
          </w:rPr>
          <w:t>سرميني ، محمّد بن احمد</w:t>
        </w:r>
        <w:r>
          <w:tab/>
        </w:r>
        <w:r>
          <w:fldChar w:fldCharType="begin"/>
        </w:r>
        <w:r>
          <w:instrText xml:space="preserve">PAGEREF 3911 \h</w:instrText>
        </w:r>
        <w:r>
          <w:fldChar w:fldCharType="end"/>
        </w:r>
      </w:hyperlink>
    </w:p>
    <w:p>
      <w:pPr>
        <w:tabs>
          <w:tab w:val="right" w:leader="dot" w:pos="9062"/>
        </w:tabs>
        <w:ind w:left="220"/>
      </w:pPr>
      <w:hyperlink w:anchor="_Toc3912" w:history="1">
        <w:r>
          <w:rPr>
            <w:rFonts w:ascii="IRNazanin" w:hAnsi="IRNazanin" w:eastAsia="IRNazanin" w:cs="IRNazanin"/>
            <w:color w:val="111111"/>
            <w:sz w:val="22"/>
            <w:szCs w:val="22"/>
            <w:b w:val="0"/>
            <w:bCs w:val="0"/>
            <w:i w:val="0"/>
            <w:iCs w:val="0"/>
          </w:rPr>
          <w:t>سروجي، احمد بن ابراهيم 639 - 710</w:t>
        </w:r>
        <w:r>
          <w:tab/>
        </w:r>
        <w:r>
          <w:fldChar w:fldCharType="begin"/>
        </w:r>
        <w:r>
          <w:instrText xml:space="preserve">PAGEREF 3912 \h</w:instrText>
        </w:r>
        <w:r>
          <w:fldChar w:fldCharType="end"/>
        </w:r>
      </w:hyperlink>
    </w:p>
    <w:p>
      <w:pPr>
        <w:tabs>
          <w:tab w:val="right" w:leader="dot" w:pos="9062"/>
        </w:tabs>
        <w:ind w:left="220"/>
      </w:pPr>
      <w:hyperlink w:anchor="_Toc3913" w:history="1">
        <w:r>
          <w:rPr>
            <w:rFonts w:ascii="IRNazanin" w:hAnsi="IRNazanin" w:eastAsia="IRNazanin" w:cs="IRNazanin"/>
            <w:color w:val="111111"/>
            <w:sz w:val="22"/>
            <w:szCs w:val="22"/>
            <w:b w:val="0"/>
            <w:bCs w:val="0"/>
            <w:i w:val="0"/>
            <w:iCs w:val="0"/>
          </w:rPr>
          <w:t>سروجي زاده، علیرضا</w:t>
        </w:r>
        <w:r>
          <w:tab/>
        </w:r>
        <w:r>
          <w:fldChar w:fldCharType="begin"/>
        </w:r>
        <w:r>
          <w:instrText xml:space="preserve">PAGEREF 3913 \h</w:instrText>
        </w:r>
        <w:r>
          <w:fldChar w:fldCharType="end"/>
        </w:r>
      </w:hyperlink>
    </w:p>
    <w:p>
      <w:pPr>
        <w:tabs>
          <w:tab w:val="right" w:leader="dot" w:pos="9062"/>
        </w:tabs>
        <w:ind w:left="220"/>
      </w:pPr>
      <w:hyperlink w:anchor="_Toc3914" w:history="1">
        <w:r>
          <w:rPr>
            <w:rFonts w:ascii="IRNazanin" w:hAnsi="IRNazanin" w:eastAsia="IRNazanin" w:cs="IRNazanin"/>
            <w:color w:val="111111"/>
            <w:sz w:val="22"/>
            <w:szCs w:val="22"/>
            <w:b w:val="0"/>
            <w:bCs w:val="0"/>
            <w:i w:val="0"/>
            <w:iCs w:val="0"/>
          </w:rPr>
          <w:t>سروري ، مع ، محمّد قاسم بن محمّد قرن 11 ه-</w:t>
        </w:r>
        <w:r>
          <w:tab/>
        </w:r>
        <w:r>
          <w:fldChar w:fldCharType="begin"/>
        </w:r>
        <w:r>
          <w:instrText xml:space="preserve">PAGEREF 3914 \h</w:instrText>
        </w:r>
        <w:r>
          <w:fldChar w:fldCharType="end"/>
        </w:r>
      </w:hyperlink>
    </w:p>
    <w:p>
      <w:pPr>
        <w:tabs>
          <w:tab w:val="right" w:leader="dot" w:pos="9062"/>
        </w:tabs>
        <w:ind w:left="220"/>
      </w:pPr>
      <w:hyperlink w:anchor="_Toc3915" w:history="1">
        <w:r>
          <w:rPr>
            <w:rFonts w:ascii="IRNazanin" w:hAnsi="IRNazanin" w:eastAsia="IRNazanin" w:cs="IRNazanin"/>
            <w:color w:val="111111"/>
            <w:sz w:val="22"/>
            <w:szCs w:val="22"/>
            <w:b w:val="0"/>
            <w:bCs w:val="0"/>
            <w:i w:val="0"/>
            <w:iCs w:val="0"/>
          </w:rPr>
          <w:t>سروري، مصطفى بن شعبان 897 - 969</w:t>
        </w:r>
        <w:r>
          <w:tab/>
        </w:r>
        <w:r>
          <w:fldChar w:fldCharType="begin"/>
        </w:r>
        <w:r>
          <w:instrText xml:space="preserve">PAGEREF 3915 \h</w:instrText>
        </w:r>
        <w:r>
          <w:fldChar w:fldCharType="end"/>
        </w:r>
      </w:hyperlink>
    </w:p>
    <w:p>
      <w:pPr>
        <w:tabs>
          <w:tab w:val="right" w:leader="dot" w:pos="9062"/>
        </w:tabs>
        <w:ind w:left="220"/>
      </w:pPr>
      <w:hyperlink w:anchor="_Toc3916" w:history="1">
        <w:r>
          <w:rPr>
            <w:rFonts w:ascii="IRNazanin" w:hAnsi="IRNazanin" w:eastAsia="IRNazanin" w:cs="IRNazanin"/>
            <w:color w:val="111111"/>
            <w:sz w:val="22"/>
            <w:szCs w:val="22"/>
            <w:b w:val="0"/>
            <w:bCs w:val="0"/>
            <w:i w:val="0"/>
            <w:iCs w:val="0"/>
          </w:rPr>
          <w:t>سروي ، مجدالدين</w:t>
        </w:r>
        <w:r>
          <w:tab/>
        </w:r>
        <w:r>
          <w:fldChar w:fldCharType="begin"/>
        </w:r>
        <w:r>
          <w:instrText xml:space="preserve">PAGEREF 3916 \h</w:instrText>
        </w:r>
        <w:r>
          <w:fldChar w:fldCharType="end"/>
        </w:r>
      </w:hyperlink>
    </w:p>
    <w:p>
      <w:pPr>
        <w:tabs>
          <w:tab w:val="right" w:leader="dot" w:pos="9062"/>
        </w:tabs>
        <w:ind w:left="220"/>
      </w:pPr>
      <w:hyperlink w:anchor="_Toc3917" w:history="1">
        <w:r>
          <w:rPr>
            <w:rFonts w:ascii="IRNazanin" w:hAnsi="IRNazanin" w:eastAsia="IRNazanin" w:cs="IRNazanin"/>
            <w:color w:val="111111"/>
            <w:sz w:val="22"/>
            <w:szCs w:val="22"/>
            <w:b w:val="0"/>
            <w:bCs w:val="0"/>
            <w:i w:val="0"/>
            <w:iCs w:val="0"/>
          </w:rPr>
          <w:t>سري الدين طبيب ، احمد بن محمّد</w:t>
        </w:r>
        <w:r>
          <w:tab/>
        </w:r>
        <w:r>
          <w:fldChar w:fldCharType="begin"/>
        </w:r>
        <w:r>
          <w:instrText xml:space="preserve">PAGEREF 3917 \h</w:instrText>
        </w:r>
        <w:r>
          <w:fldChar w:fldCharType="end"/>
        </w:r>
      </w:hyperlink>
    </w:p>
    <w:p>
      <w:pPr>
        <w:tabs>
          <w:tab w:val="right" w:leader="dot" w:pos="9062"/>
        </w:tabs>
        <w:ind w:left="220"/>
      </w:pPr>
      <w:hyperlink w:anchor="_Toc3918" w:history="1">
        <w:r>
          <w:rPr>
            <w:rFonts w:ascii="IRNazanin" w:hAnsi="IRNazanin" w:eastAsia="IRNazanin" w:cs="IRNazanin"/>
            <w:color w:val="111111"/>
            <w:sz w:val="22"/>
            <w:szCs w:val="22"/>
            <w:b w:val="0"/>
            <w:bCs w:val="0"/>
            <w:i w:val="0"/>
            <w:iCs w:val="0"/>
          </w:rPr>
          <w:t>سرياني ، يوسف داود</w:t>
        </w:r>
        <w:r>
          <w:tab/>
        </w:r>
        <w:r>
          <w:fldChar w:fldCharType="begin"/>
        </w:r>
        <w:r>
          <w:instrText xml:space="preserve">PAGEREF 3918 \h</w:instrText>
        </w:r>
        <w:r>
          <w:fldChar w:fldCharType="end"/>
        </w:r>
      </w:hyperlink>
    </w:p>
    <w:p>
      <w:pPr>
        <w:tabs>
          <w:tab w:val="right" w:leader="dot" w:pos="9062"/>
        </w:tabs>
        <w:ind w:left="220"/>
      </w:pPr>
      <w:hyperlink w:anchor="_Toc3919" w:history="1">
        <w:r>
          <w:rPr>
            <w:rFonts w:ascii="IRNazanin" w:hAnsi="IRNazanin" w:eastAsia="IRNazanin" w:cs="IRNazanin"/>
            <w:color w:val="111111"/>
            <w:sz w:val="22"/>
            <w:szCs w:val="22"/>
            <w:b w:val="0"/>
            <w:bCs w:val="0"/>
            <w:i w:val="0"/>
            <w:iCs w:val="0"/>
          </w:rPr>
          <w:t>سرير الدين ، ابو علي طاهر</w:t>
        </w:r>
        <w:r>
          <w:tab/>
        </w:r>
        <w:r>
          <w:fldChar w:fldCharType="begin"/>
        </w:r>
        <w:r>
          <w:instrText xml:space="preserve">PAGEREF 3919 \h</w:instrText>
        </w:r>
        <w:r>
          <w:fldChar w:fldCharType="end"/>
        </w:r>
      </w:hyperlink>
    </w:p>
    <w:p>
      <w:pPr>
        <w:tabs>
          <w:tab w:val="right" w:leader="dot" w:pos="9062"/>
        </w:tabs>
        <w:ind w:left="220"/>
      </w:pPr>
      <w:hyperlink w:anchor="_Toc3920" w:history="1">
        <w:r>
          <w:rPr>
            <w:rFonts w:ascii="IRNazanin" w:hAnsi="IRNazanin" w:eastAsia="IRNazanin" w:cs="IRNazanin"/>
            <w:color w:val="111111"/>
            <w:sz w:val="22"/>
            <w:szCs w:val="22"/>
            <w:b w:val="0"/>
            <w:bCs w:val="0"/>
            <w:i w:val="0"/>
            <w:iCs w:val="0"/>
          </w:rPr>
          <w:t>سعادت ، حسين</w:t>
        </w:r>
        <w:r>
          <w:tab/>
        </w:r>
        <w:r>
          <w:fldChar w:fldCharType="begin"/>
        </w:r>
        <w:r>
          <w:instrText xml:space="preserve">PAGEREF 3920 \h</w:instrText>
        </w:r>
        <w:r>
          <w:fldChar w:fldCharType="end"/>
        </w:r>
      </w:hyperlink>
    </w:p>
    <w:p>
      <w:pPr>
        <w:tabs>
          <w:tab w:val="right" w:leader="dot" w:pos="9062"/>
        </w:tabs>
        <w:ind w:left="220"/>
      </w:pPr>
      <w:hyperlink w:anchor="_Toc3921" w:history="1">
        <w:r>
          <w:rPr>
            <w:rFonts w:ascii="IRNazanin" w:hAnsi="IRNazanin" w:eastAsia="IRNazanin" w:cs="IRNazanin"/>
            <w:color w:val="111111"/>
            <w:sz w:val="22"/>
            <w:szCs w:val="22"/>
            <w:b w:val="0"/>
            <w:bCs w:val="0"/>
            <w:i w:val="0"/>
            <w:iCs w:val="0"/>
          </w:rPr>
          <w:t>سعاوي ، علي بن حسين قرن 13 ه-</w:t>
        </w:r>
        <w:r>
          <w:tab/>
        </w:r>
        <w:r>
          <w:fldChar w:fldCharType="begin"/>
        </w:r>
        <w:r>
          <w:instrText xml:space="preserve">PAGEREF 3921 \h</w:instrText>
        </w:r>
        <w:r>
          <w:fldChar w:fldCharType="end"/>
        </w:r>
      </w:hyperlink>
    </w:p>
    <w:p>
      <w:pPr>
        <w:tabs>
          <w:tab w:val="right" w:leader="dot" w:pos="9062"/>
        </w:tabs>
        <w:ind w:left="220"/>
      </w:pPr>
      <w:hyperlink w:anchor="_Toc3922" w:history="1">
        <w:r>
          <w:rPr>
            <w:rFonts w:ascii="IRNazanin" w:hAnsi="IRNazanin" w:eastAsia="IRNazanin" w:cs="IRNazanin"/>
            <w:color w:val="111111"/>
            <w:sz w:val="22"/>
            <w:szCs w:val="22"/>
            <w:b w:val="0"/>
            <w:bCs w:val="0"/>
            <w:i w:val="0"/>
            <w:iCs w:val="0"/>
          </w:rPr>
          <w:t>سعد آبادي عبيد الله بن عبدالله قرن 5ه-</w:t>
        </w:r>
        <w:r>
          <w:tab/>
        </w:r>
        <w:r>
          <w:fldChar w:fldCharType="begin"/>
        </w:r>
        <w:r>
          <w:instrText xml:space="preserve">PAGEREF 3922 \h</w:instrText>
        </w:r>
        <w:r>
          <w:fldChar w:fldCharType="end"/>
        </w:r>
      </w:hyperlink>
    </w:p>
    <w:p>
      <w:pPr>
        <w:tabs>
          <w:tab w:val="right" w:leader="dot" w:pos="9062"/>
        </w:tabs>
        <w:ind w:left="220"/>
      </w:pPr>
      <w:hyperlink w:anchor="_Toc3923" w:history="1">
        <w:r>
          <w:rPr>
            <w:rFonts w:ascii="IRNazanin" w:hAnsi="IRNazanin" w:eastAsia="IRNazanin" w:cs="IRNazanin"/>
            <w:color w:val="111111"/>
            <w:sz w:val="22"/>
            <w:szCs w:val="22"/>
            <w:b w:val="0"/>
            <w:bCs w:val="0"/>
            <w:i w:val="0"/>
            <w:iCs w:val="0"/>
          </w:rPr>
          <w:t>سعد الدين</w:t>
        </w:r>
        <w:r>
          <w:tab/>
        </w:r>
        <w:r>
          <w:fldChar w:fldCharType="begin"/>
        </w:r>
        <w:r>
          <w:instrText xml:space="preserve">PAGEREF 3923 \h</w:instrText>
        </w:r>
        <w:r>
          <w:fldChar w:fldCharType="end"/>
        </w:r>
      </w:hyperlink>
    </w:p>
    <w:p>
      <w:pPr>
        <w:tabs>
          <w:tab w:val="right" w:leader="dot" w:pos="9062"/>
        </w:tabs>
        <w:ind w:left="220"/>
      </w:pPr>
      <w:hyperlink w:anchor="_Toc3924" w:history="1">
        <w:r>
          <w:rPr>
            <w:rFonts w:ascii="IRNazanin" w:hAnsi="IRNazanin" w:eastAsia="IRNazanin" w:cs="IRNazanin"/>
            <w:color w:val="111111"/>
            <w:sz w:val="22"/>
            <w:szCs w:val="22"/>
            <w:b w:val="0"/>
            <w:bCs w:val="0"/>
            <w:i w:val="0"/>
            <w:iCs w:val="0"/>
          </w:rPr>
          <w:t>سعد الدين ، مسعود بن احمد قرن 10 ه-</w:t>
        </w:r>
        <w:r>
          <w:tab/>
        </w:r>
        <w:r>
          <w:fldChar w:fldCharType="begin"/>
        </w:r>
        <w:r>
          <w:instrText xml:space="preserve">PAGEREF 3924 \h</w:instrText>
        </w:r>
        <w:r>
          <w:fldChar w:fldCharType="end"/>
        </w:r>
      </w:hyperlink>
    </w:p>
    <w:p>
      <w:pPr>
        <w:tabs>
          <w:tab w:val="right" w:leader="dot" w:pos="9062"/>
        </w:tabs>
        <w:ind w:left="220"/>
      </w:pPr>
      <w:hyperlink w:anchor="_Toc3925" w:history="1">
        <w:r>
          <w:rPr>
            <w:rFonts w:ascii="IRNazanin" w:hAnsi="IRNazanin" w:eastAsia="IRNazanin" w:cs="IRNazanin"/>
            <w:color w:val="111111"/>
            <w:sz w:val="22"/>
            <w:szCs w:val="22"/>
            <w:b w:val="0"/>
            <w:bCs w:val="0"/>
            <w:i w:val="0"/>
            <w:iCs w:val="0"/>
          </w:rPr>
          <w:t>سعد الله بن اسماعيل</w:t>
        </w:r>
        <w:r>
          <w:tab/>
        </w:r>
        <w:r>
          <w:fldChar w:fldCharType="begin"/>
        </w:r>
        <w:r>
          <w:instrText xml:space="preserve">PAGEREF 3925 \h</w:instrText>
        </w:r>
        <w:r>
          <w:fldChar w:fldCharType="end"/>
        </w:r>
      </w:hyperlink>
    </w:p>
    <w:p>
      <w:pPr>
        <w:tabs>
          <w:tab w:val="right" w:leader="dot" w:pos="9062"/>
        </w:tabs>
        <w:ind w:left="220"/>
      </w:pPr>
      <w:hyperlink w:anchor="_Toc3926" w:history="1">
        <w:r>
          <w:rPr>
            <w:rFonts w:ascii="IRNazanin" w:hAnsi="IRNazanin" w:eastAsia="IRNazanin" w:cs="IRNazanin"/>
            <w:color w:val="111111"/>
            <w:sz w:val="22"/>
            <w:szCs w:val="22"/>
            <w:b w:val="0"/>
            <w:bCs w:val="0"/>
            <w:i w:val="0"/>
            <w:iCs w:val="0"/>
          </w:rPr>
          <w:t>سعداني ، محيي الدين بن احمد</w:t>
        </w:r>
        <w:r>
          <w:tab/>
        </w:r>
        <w:r>
          <w:fldChar w:fldCharType="begin"/>
        </w:r>
        <w:r>
          <w:instrText xml:space="preserve">PAGEREF 3926 \h</w:instrText>
        </w:r>
        <w:r>
          <w:fldChar w:fldCharType="end"/>
        </w:r>
      </w:hyperlink>
    </w:p>
    <w:p>
      <w:pPr>
        <w:tabs>
          <w:tab w:val="right" w:leader="dot" w:pos="9062"/>
        </w:tabs>
        <w:ind w:left="220"/>
      </w:pPr>
      <w:hyperlink w:anchor="_Toc3927" w:history="1">
        <w:r>
          <w:rPr>
            <w:rFonts w:ascii="IRNazanin" w:hAnsi="IRNazanin" w:eastAsia="IRNazanin" w:cs="IRNazanin"/>
            <w:color w:val="111111"/>
            <w:sz w:val="22"/>
            <w:szCs w:val="22"/>
            <w:b w:val="0"/>
            <w:bCs w:val="0"/>
            <w:i w:val="0"/>
            <w:iCs w:val="0"/>
          </w:rPr>
          <w:t>سعداوي ، محمّد</w:t>
        </w:r>
        <w:r>
          <w:tab/>
        </w:r>
        <w:r>
          <w:fldChar w:fldCharType="begin"/>
        </w:r>
        <w:r>
          <w:instrText xml:space="preserve">PAGEREF 3927 \h</w:instrText>
        </w:r>
        <w:r>
          <w:fldChar w:fldCharType="end"/>
        </w:r>
      </w:hyperlink>
    </w:p>
    <w:p>
      <w:pPr>
        <w:tabs>
          <w:tab w:val="right" w:leader="dot" w:pos="9062"/>
        </w:tabs>
        <w:ind w:left="220"/>
      </w:pPr>
      <w:hyperlink w:anchor="_Toc3928" w:history="1">
        <w:r>
          <w:rPr>
            <w:rFonts w:ascii="IRNazanin" w:hAnsi="IRNazanin" w:eastAsia="IRNazanin" w:cs="IRNazanin"/>
            <w:color w:val="111111"/>
            <w:sz w:val="22"/>
            <w:szCs w:val="22"/>
            <w:b w:val="0"/>
            <w:bCs w:val="0"/>
            <w:i w:val="0"/>
            <w:iCs w:val="0"/>
          </w:rPr>
          <w:t>سعدي چلپي ، سعد الله بن عيسى - 945 ه-</w:t>
        </w:r>
        <w:r>
          <w:tab/>
        </w:r>
        <w:r>
          <w:fldChar w:fldCharType="begin"/>
        </w:r>
        <w:r>
          <w:instrText xml:space="preserve">PAGEREF 3928 \h</w:instrText>
        </w:r>
        <w:r>
          <w:fldChar w:fldCharType="end"/>
        </w:r>
      </w:hyperlink>
    </w:p>
    <w:p>
      <w:pPr>
        <w:tabs>
          <w:tab w:val="right" w:leader="dot" w:pos="9062"/>
        </w:tabs>
        <w:ind w:left="220"/>
      </w:pPr>
      <w:hyperlink w:anchor="_Toc3929" w:history="1">
        <w:r>
          <w:rPr>
            <w:rFonts w:ascii="IRNazanin" w:hAnsi="IRNazanin" w:eastAsia="IRNazanin" w:cs="IRNazanin"/>
            <w:color w:val="111111"/>
            <w:sz w:val="22"/>
            <w:szCs w:val="22"/>
            <w:b w:val="0"/>
            <w:bCs w:val="0"/>
            <w:i w:val="0"/>
            <w:iCs w:val="0"/>
          </w:rPr>
          <w:t>سعدي زاده ، عبدالله</w:t>
        </w:r>
        <w:r>
          <w:tab/>
        </w:r>
        <w:r>
          <w:fldChar w:fldCharType="begin"/>
        </w:r>
        <w:r>
          <w:instrText xml:space="preserve">PAGEREF 3929 \h</w:instrText>
        </w:r>
        <w:r>
          <w:fldChar w:fldCharType="end"/>
        </w:r>
      </w:hyperlink>
    </w:p>
    <w:p>
      <w:pPr>
        <w:tabs>
          <w:tab w:val="right" w:leader="dot" w:pos="9062"/>
        </w:tabs>
        <w:ind w:left="220"/>
      </w:pPr>
      <w:hyperlink w:anchor="_Toc3930" w:history="1">
        <w:r>
          <w:rPr>
            <w:rFonts w:ascii="IRNazanin" w:hAnsi="IRNazanin" w:eastAsia="IRNazanin" w:cs="IRNazanin"/>
            <w:color w:val="111111"/>
            <w:sz w:val="22"/>
            <w:szCs w:val="22"/>
            <w:b w:val="0"/>
            <w:bCs w:val="0"/>
            <w:i w:val="0"/>
            <w:iCs w:val="0"/>
          </w:rPr>
          <w:t>سعدي ، صالح بن يحيى 1192 - 1245</w:t>
        </w:r>
        <w:r>
          <w:tab/>
        </w:r>
        <w:r>
          <w:fldChar w:fldCharType="begin"/>
        </w:r>
        <w:r>
          <w:instrText xml:space="preserve">PAGEREF 3930 \h</w:instrText>
        </w:r>
        <w:r>
          <w:fldChar w:fldCharType="end"/>
        </w:r>
      </w:hyperlink>
    </w:p>
    <w:p>
      <w:pPr>
        <w:tabs>
          <w:tab w:val="right" w:leader="dot" w:pos="9062"/>
        </w:tabs>
        <w:ind w:left="220"/>
      </w:pPr>
      <w:hyperlink w:anchor="_Toc3931" w:history="1">
        <w:r>
          <w:rPr>
            <w:rFonts w:ascii="IRNazanin" w:hAnsi="IRNazanin" w:eastAsia="IRNazanin" w:cs="IRNazanin"/>
            <w:color w:val="111111"/>
            <w:sz w:val="22"/>
            <w:szCs w:val="22"/>
            <w:b w:val="0"/>
            <w:bCs w:val="0"/>
            <w:i w:val="0"/>
            <w:iCs w:val="0"/>
          </w:rPr>
          <w:t>سعدي ، علي بن صخر</w:t>
        </w:r>
        <w:r>
          <w:tab/>
        </w:r>
        <w:r>
          <w:fldChar w:fldCharType="begin"/>
        </w:r>
        <w:r>
          <w:instrText xml:space="preserve">PAGEREF 3931 \h</w:instrText>
        </w:r>
        <w:r>
          <w:fldChar w:fldCharType="end"/>
        </w:r>
      </w:hyperlink>
    </w:p>
    <w:p>
      <w:pPr>
        <w:tabs>
          <w:tab w:val="right" w:leader="dot" w:pos="9062"/>
        </w:tabs>
        <w:ind w:left="220"/>
      </w:pPr>
      <w:hyperlink w:anchor="_Toc3932" w:history="1">
        <w:r>
          <w:rPr>
            <w:rFonts w:ascii="IRNazanin" w:hAnsi="IRNazanin" w:eastAsia="IRNazanin" w:cs="IRNazanin"/>
            <w:color w:val="111111"/>
            <w:sz w:val="22"/>
            <w:szCs w:val="22"/>
            <w:b w:val="0"/>
            <w:bCs w:val="0"/>
            <w:i w:val="0"/>
            <w:iCs w:val="0"/>
          </w:rPr>
          <w:t>سعدي ، محمّد بن محمّد</w:t>
        </w:r>
        <w:r>
          <w:tab/>
        </w:r>
        <w:r>
          <w:fldChar w:fldCharType="begin"/>
        </w:r>
        <w:r>
          <w:instrText xml:space="preserve">PAGEREF 3932 \h</w:instrText>
        </w:r>
        <w:r>
          <w:fldChar w:fldCharType="end"/>
        </w:r>
      </w:hyperlink>
    </w:p>
    <w:p>
      <w:pPr>
        <w:tabs>
          <w:tab w:val="right" w:leader="dot" w:pos="9062"/>
        </w:tabs>
        <w:ind w:left="220"/>
      </w:pPr>
      <w:hyperlink w:anchor="_Toc3933" w:history="1">
        <w:r>
          <w:rPr>
            <w:rFonts w:ascii="IRNazanin" w:hAnsi="IRNazanin" w:eastAsia="IRNazanin" w:cs="IRNazanin"/>
            <w:color w:val="111111"/>
            <w:sz w:val="22"/>
            <w:szCs w:val="22"/>
            <w:b w:val="0"/>
            <w:bCs w:val="0"/>
            <w:i w:val="0"/>
            <w:iCs w:val="0"/>
          </w:rPr>
          <w:t>سعدي ، محمّد بن يوسف، قرن 10 ه-</w:t>
        </w:r>
        <w:r>
          <w:tab/>
        </w:r>
        <w:r>
          <w:fldChar w:fldCharType="begin"/>
        </w:r>
        <w:r>
          <w:instrText xml:space="preserve">PAGEREF 3933 \h</w:instrText>
        </w:r>
        <w:r>
          <w:fldChar w:fldCharType="end"/>
        </w:r>
      </w:hyperlink>
    </w:p>
    <w:p>
      <w:pPr>
        <w:tabs>
          <w:tab w:val="right" w:leader="dot" w:pos="9062"/>
        </w:tabs>
        <w:ind w:left="220"/>
      </w:pPr>
      <w:hyperlink w:anchor="_Toc3934" w:history="1">
        <w:r>
          <w:rPr>
            <w:rFonts w:ascii="IRNazanin" w:hAnsi="IRNazanin" w:eastAsia="IRNazanin" w:cs="IRNazanin"/>
            <w:color w:val="111111"/>
            <w:sz w:val="22"/>
            <w:szCs w:val="22"/>
            <w:b w:val="0"/>
            <w:bCs w:val="0"/>
            <w:i w:val="0"/>
            <w:iCs w:val="0"/>
          </w:rPr>
          <w:t>१ سعدي ، مصلح بن عبدالله - 691؟ ه-</w:t>
        </w:r>
        <w:r>
          <w:tab/>
        </w:r>
        <w:r>
          <w:fldChar w:fldCharType="begin"/>
        </w:r>
        <w:r>
          <w:instrText xml:space="preserve">PAGEREF 3934 \h</w:instrText>
        </w:r>
        <w:r>
          <w:fldChar w:fldCharType="end"/>
        </w:r>
      </w:hyperlink>
    </w:p>
    <w:p>
      <w:pPr>
        <w:tabs>
          <w:tab w:val="right" w:leader="dot" w:pos="9062"/>
        </w:tabs>
        <w:ind w:left="220"/>
      </w:pPr>
      <w:hyperlink w:anchor="_Toc3935" w:history="1">
        <w:r>
          <w:rPr>
            <w:rFonts w:ascii="IRNazanin" w:hAnsi="IRNazanin" w:eastAsia="IRNazanin" w:cs="IRNazanin"/>
            <w:color w:val="111111"/>
            <w:sz w:val="22"/>
            <w:szCs w:val="22"/>
            <w:b w:val="0"/>
            <w:bCs w:val="0"/>
            <w:i w:val="0"/>
            <w:iCs w:val="0"/>
          </w:rPr>
          <w:t>سعدي نجفي ، احمد بن حسن - 1293</w:t>
        </w:r>
        <w:r>
          <w:tab/>
        </w:r>
        <w:r>
          <w:fldChar w:fldCharType="begin"/>
        </w:r>
        <w:r>
          <w:instrText xml:space="preserve">PAGEREF 3935 \h</w:instrText>
        </w:r>
        <w:r>
          <w:fldChar w:fldCharType="end"/>
        </w:r>
      </w:hyperlink>
    </w:p>
    <w:p>
      <w:pPr>
        <w:tabs>
          <w:tab w:val="right" w:leader="dot" w:pos="9062"/>
        </w:tabs>
        <w:ind w:left="220"/>
      </w:pPr>
      <w:hyperlink w:anchor="_Toc3936" w:history="1">
        <w:r>
          <w:rPr>
            <w:rFonts w:ascii="IRNazanin" w:hAnsi="IRNazanin" w:eastAsia="IRNazanin" w:cs="IRNazanin"/>
            <w:color w:val="111111"/>
            <w:sz w:val="22"/>
            <w:szCs w:val="22"/>
            <w:b w:val="0"/>
            <w:bCs w:val="0"/>
            <w:i w:val="0"/>
            <w:iCs w:val="0"/>
          </w:rPr>
          <w:t>سعودي، احمد بن محمّد بن يونس - 1021ه-</w:t>
        </w:r>
        <w:r>
          <w:tab/>
        </w:r>
        <w:r>
          <w:fldChar w:fldCharType="begin"/>
        </w:r>
        <w:r>
          <w:instrText xml:space="preserve">PAGEREF 3936 \h</w:instrText>
        </w:r>
        <w:r>
          <w:fldChar w:fldCharType="end"/>
        </w:r>
      </w:hyperlink>
    </w:p>
    <w:p>
      <w:pPr>
        <w:tabs>
          <w:tab w:val="right" w:leader="dot" w:pos="9062"/>
        </w:tabs>
        <w:ind w:left="220"/>
      </w:pPr>
      <w:hyperlink w:anchor="_Toc3937" w:history="1">
        <w:r>
          <w:rPr>
            <w:rFonts w:ascii="IRNazanin" w:hAnsi="IRNazanin" w:eastAsia="IRNazanin" w:cs="IRNazanin"/>
            <w:color w:val="111111"/>
            <w:sz w:val="22"/>
            <w:szCs w:val="22"/>
            <w:b w:val="0"/>
            <w:bCs w:val="0"/>
            <w:i w:val="0"/>
            <w:iCs w:val="0"/>
          </w:rPr>
          <w:t>سعودي ، محمّد بن محمّد</w:t>
        </w:r>
        <w:r>
          <w:tab/>
        </w:r>
        <w:r>
          <w:fldChar w:fldCharType="begin"/>
        </w:r>
        <w:r>
          <w:instrText xml:space="preserve">PAGEREF 3937 \h</w:instrText>
        </w:r>
        <w:r>
          <w:fldChar w:fldCharType="end"/>
        </w:r>
      </w:hyperlink>
    </w:p>
    <w:p>
      <w:pPr>
        <w:tabs>
          <w:tab w:val="right" w:leader="dot" w:pos="9062"/>
        </w:tabs>
        <w:ind w:left="220"/>
      </w:pPr>
      <w:hyperlink w:anchor="_Toc3938" w:history="1">
        <w:r>
          <w:rPr>
            <w:rFonts w:ascii="IRNazanin" w:hAnsi="IRNazanin" w:eastAsia="IRNazanin" w:cs="IRNazanin"/>
            <w:color w:val="111111"/>
            <w:sz w:val="22"/>
            <w:szCs w:val="22"/>
            <w:b w:val="0"/>
            <w:bCs w:val="0"/>
            <w:i w:val="0"/>
            <w:iCs w:val="0"/>
          </w:rPr>
          <w:t>سعودي محمّد بن يحيى قرن 11 ه-</w:t>
        </w:r>
        <w:r>
          <w:tab/>
        </w:r>
        <w:r>
          <w:fldChar w:fldCharType="begin"/>
        </w:r>
        <w:r>
          <w:instrText xml:space="preserve">PAGEREF 3938 \h</w:instrText>
        </w:r>
        <w:r>
          <w:fldChar w:fldCharType="end"/>
        </w:r>
      </w:hyperlink>
    </w:p>
    <w:p>
      <w:pPr>
        <w:tabs>
          <w:tab w:val="right" w:leader="dot" w:pos="9062"/>
        </w:tabs>
        <w:ind w:left="220"/>
      </w:pPr>
      <w:hyperlink w:anchor="_Toc3939" w:history="1">
        <w:r>
          <w:rPr>
            <w:rFonts w:ascii="IRNazanin" w:hAnsi="IRNazanin" w:eastAsia="IRNazanin" w:cs="IRNazanin"/>
            <w:color w:val="111111"/>
            <w:sz w:val="22"/>
            <w:szCs w:val="22"/>
            <w:b w:val="0"/>
            <w:bCs w:val="0"/>
            <w:i w:val="0"/>
            <w:iCs w:val="0"/>
          </w:rPr>
          <w:t>سعید پاشا ، محمّد سعید بن سليمان</w:t>
        </w:r>
        <w:r>
          <w:tab/>
        </w:r>
        <w:r>
          <w:fldChar w:fldCharType="begin"/>
        </w:r>
        <w:r>
          <w:instrText xml:space="preserve">PAGEREF 3939 \h</w:instrText>
        </w:r>
        <w:r>
          <w:fldChar w:fldCharType="end"/>
        </w:r>
      </w:hyperlink>
    </w:p>
    <w:p>
      <w:pPr>
        <w:tabs>
          <w:tab w:val="right" w:leader="dot" w:pos="9062"/>
        </w:tabs>
        <w:ind w:left="220"/>
      </w:pPr>
      <w:hyperlink w:anchor="_Toc3940" w:history="1">
        <w:r>
          <w:rPr>
            <w:rFonts w:ascii="IRNazanin" w:hAnsi="IRNazanin" w:eastAsia="IRNazanin" w:cs="IRNazanin"/>
            <w:color w:val="111111"/>
            <w:sz w:val="22"/>
            <w:szCs w:val="22"/>
            <w:b w:val="0"/>
            <w:bCs w:val="0"/>
            <w:i w:val="0"/>
            <w:iCs w:val="0"/>
          </w:rPr>
          <w:t>سعيد هروي، - 741؟ ه-</w:t>
        </w:r>
        <w:r>
          <w:tab/>
        </w:r>
        <w:r>
          <w:fldChar w:fldCharType="begin"/>
        </w:r>
        <w:r>
          <w:instrText xml:space="preserve">PAGEREF 3940 \h</w:instrText>
        </w:r>
        <w:r>
          <w:fldChar w:fldCharType="end"/>
        </w:r>
      </w:hyperlink>
    </w:p>
    <w:p>
      <w:pPr>
        <w:tabs>
          <w:tab w:val="right" w:leader="dot" w:pos="9062"/>
        </w:tabs>
        <w:ind w:left="220"/>
      </w:pPr>
      <w:hyperlink w:anchor="_Toc3941" w:history="1">
        <w:r>
          <w:rPr>
            <w:rFonts w:ascii="IRNazanin" w:hAnsi="IRNazanin" w:eastAsia="IRNazanin" w:cs="IRNazanin"/>
            <w:color w:val="111111"/>
            <w:sz w:val="22"/>
            <w:szCs w:val="22"/>
            <w:b w:val="0"/>
            <w:bCs w:val="0"/>
            <w:i w:val="0"/>
            <w:iCs w:val="0"/>
          </w:rPr>
          <w:t>سغدي ، علي بن حسين - 461 ه-</w:t>
        </w:r>
        <w:r>
          <w:tab/>
        </w:r>
        <w:r>
          <w:fldChar w:fldCharType="begin"/>
        </w:r>
        <w:r>
          <w:instrText xml:space="preserve">PAGEREF 3941 \h</w:instrText>
        </w:r>
        <w:r>
          <w:fldChar w:fldCharType="end"/>
        </w:r>
      </w:hyperlink>
    </w:p>
    <w:p>
      <w:pPr>
        <w:tabs>
          <w:tab w:val="right" w:leader="dot" w:pos="9062"/>
        </w:tabs>
        <w:ind w:left="220"/>
      </w:pPr>
      <w:hyperlink w:anchor="_Toc3942" w:history="1">
        <w:r>
          <w:rPr>
            <w:rFonts w:ascii="IRNazanin" w:hAnsi="IRNazanin" w:eastAsia="IRNazanin" w:cs="IRNazanin"/>
            <w:color w:val="111111"/>
            <w:sz w:val="22"/>
            <w:szCs w:val="22"/>
            <w:b w:val="0"/>
            <w:bCs w:val="0"/>
            <w:i w:val="0"/>
            <w:iCs w:val="0"/>
          </w:rPr>
          <w:t>سفاقسي ، احمد بن عبدالعزیز قرن 11</w:t>
        </w:r>
        <w:r>
          <w:tab/>
        </w:r>
        <w:r>
          <w:fldChar w:fldCharType="begin"/>
        </w:r>
        <w:r>
          <w:instrText xml:space="preserve">PAGEREF 3942 \h</w:instrText>
        </w:r>
        <w:r>
          <w:fldChar w:fldCharType="end"/>
        </w:r>
      </w:hyperlink>
    </w:p>
    <w:p>
      <w:pPr>
        <w:tabs>
          <w:tab w:val="right" w:leader="dot" w:pos="9062"/>
        </w:tabs>
        <w:ind w:left="220"/>
      </w:pPr>
      <w:hyperlink w:anchor="_Toc3943" w:history="1">
        <w:r>
          <w:rPr>
            <w:rFonts w:ascii="IRNazanin" w:hAnsi="IRNazanin" w:eastAsia="IRNazanin" w:cs="IRNazanin"/>
            <w:color w:val="111111"/>
            <w:sz w:val="22"/>
            <w:szCs w:val="22"/>
            <w:b w:val="0"/>
            <w:bCs w:val="0"/>
            <w:i w:val="0"/>
            <w:iCs w:val="0"/>
          </w:rPr>
          <w:t>१ سفاقسي ، علي بن محمّد، 1040 - 1118</w:t>
        </w:r>
        <w:r>
          <w:tab/>
        </w:r>
        <w:r>
          <w:fldChar w:fldCharType="begin"/>
        </w:r>
        <w:r>
          <w:instrText xml:space="preserve">PAGEREF 3943 \h</w:instrText>
        </w:r>
        <w:r>
          <w:fldChar w:fldCharType="end"/>
        </w:r>
      </w:hyperlink>
    </w:p>
    <w:p>
      <w:pPr>
        <w:tabs>
          <w:tab w:val="right" w:leader="dot" w:pos="9062"/>
        </w:tabs>
        <w:ind w:left="220"/>
      </w:pPr>
      <w:hyperlink w:anchor="_Toc3944" w:history="1">
        <w:r>
          <w:rPr>
            <w:rFonts w:ascii="IRNazanin" w:hAnsi="IRNazanin" w:eastAsia="IRNazanin" w:cs="IRNazanin"/>
            <w:color w:val="111111"/>
            <w:sz w:val="22"/>
            <w:szCs w:val="22"/>
            <w:b w:val="0"/>
            <w:bCs w:val="0"/>
            <w:i w:val="0"/>
            <w:iCs w:val="0"/>
          </w:rPr>
          <w:t>سفرجلاني، ابراهيم بن محمّد 1055 -</w:t>
        </w:r>
        <w:r>
          <w:tab/>
        </w:r>
        <w:r>
          <w:fldChar w:fldCharType="begin"/>
        </w:r>
        <w:r>
          <w:instrText xml:space="preserve">PAGEREF 3944 \h</w:instrText>
        </w:r>
        <w:r>
          <w:fldChar w:fldCharType="end"/>
        </w:r>
      </w:hyperlink>
    </w:p>
    <w:p>
      <w:pPr>
        <w:tabs>
          <w:tab w:val="right" w:leader="dot" w:pos="9062"/>
        </w:tabs>
        <w:ind w:left="220"/>
      </w:pPr>
      <w:hyperlink w:anchor="_Toc3945" w:history="1">
        <w:r>
          <w:rPr>
            <w:rFonts w:ascii="IRNazanin" w:hAnsi="IRNazanin" w:eastAsia="IRNazanin" w:cs="IRNazanin"/>
            <w:color w:val="111111"/>
            <w:sz w:val="22"/>
            <w:szCs w:val="22"/>
            <w:b w:val="0"/>
            <w:bCs w:val="0"/>
            <w:i w:val="0"/>
            <w:iCs w:val="0"/>
          </w:rPr>
          <w:t>سفطي، رمضان بن صالح - 1158 ه-</w:t>
        </w:r>
        <w:r>
          <w:tab/>
        </w:r>
        <w:r>
          <w:fldChar w:fldCharType="begin"/>
        </w:r>
        <w:r>
          <w:instrText xml:space="preserve">PAGEREF 3945 \h</w:instrText>
        </w:r>
        <w:r>
          <w:fldChar w:fldCharType="end"/>
        </w:r>
      </w:hyperlink>
    </w:p>
    <w:p>
      <w:pPr>
        <w:tabs>
          <w:tab w:val="right" w:leader="dot" w:pos="9062"/>
        </w:tabs>
        <w:ind w:left="220"/>
      </w:pPr>
      <w:hyperlink w:anchor="_Toc3946" w:history="1">
        <w:r>
          <w:rPr>
            <w:rFonts w:ascii="IRNazanin" w:hAnsi="IRNazanin" w:eastAsia="IRNazanin" w:cs="IRNazanin"/>
            <w:color w:val="111111"/>
            <w:sz w:val="22"/>
            <w:szCs w:val="22"/>
            <w:b w:val="0"/>
            <w:bCs w:val="0"/>
            <w:i w:val="0"/>
            <w:iCs w:val="0"/>
          </w:rPr>
          <w:t>-سفطي، مصطفى</w:t>
        </w:r>
        <w:r>
          <w:tab/>
        </w:r>
        <w:r>
          <w:fldChar w:fldCharType="begin"/>
        </w:r>
        <w:r>
          <w:instrText xml:space="preserve">PAGEREF 3946 \h</w:instrText>
        </w:r>
        <w:r>
          <w:fldChar w:fldCharType="end"/>
        </w:r>
      </w:hyperlink>
    </w:p>
    <w:p>
      <w:pPr>
        <w:tabs>
          <w:tab w:val="right" w:leader="dot" w:pos="9062"/>
        </w:tabs>
        <w:ind w:left="220"/>
      </w:pPr>
      <w:hyperlink w:anchor="_Toc3947" w:history="1">
        <w:r>
          <w:rPr>
            <w:rFonts w:ascii="IRNazanin" w:hAnsi="IRNazanin" w:eastAsia="IRNazanin" w:cs="IRNazanin"/>
            <w:color w:val="111111"/>
            <w:sz w:val="22"/>
            <w:szCs w:val="22"/>
            <w:b w:val="0"/>
            <w:bCs w:val="0"/>
            <w:i w:val="0"/>
            <w:iCs w:val="0"/>
          </w:rPr>
          <w:t>سفياني ، علي بن حسن قرن 10 ه-</w:t>
        </w:r>
        <w:r>
          <w:tab/>
        </w:r>
        <w:r>
          <w:fldChar w:fldCharType="begin"/>
        </w:r>
        <w:r>
          <w:instrText xml:space="preserve">PAGEREF 3947 \h</w:instrText>
        </w:r>
        <w:r>
          <w:fldChar w:fldCharType="end"/>
        </w:r>
      </w:hyperlink>
    </w:p>
    <w:p>
      <w:pPr>
        <w:tabs>
          <w:tab w:val="right" w:leader="dot" w:pos="9062"/>
        </w:tabs>
        <w:ind w:left="220"/>
      </w:pPr>
      <w:hyperlink w:anchor="_Toc3948" w:history="1">
        <w:r>
          <w:rPr>
            <w:rFonts w:ascii="IRNazanin" w:hAnsi="IRNazanin" w:eastAsia="IRNazanin" w:cs="IRNazanin"/>
            <w:color w:val="111111"/>
            <w:sz w:val="22"/>
            <w:szCs w:val="22"/>
            <w:b w:val="0"/>
            <w:bCs w:val="0"/>
            <w:i w:val="0"/>
            <w:iCs w:val="0"/>
          </w:rPr>
          <w:t>سفيري ، محمّد بن عمر - 956 ه-</w:t>
        </w:r>
        <w:r>
          <w:tab/>
        </w:r>
        <w:r>
          <w:fldChar w:fldCharType="begin"/>
        </w:r>
        <w:r>
          <w:instrText xml:space="preserve">PAGEREF 3948 \h</w:instrText>
        </w:r>
        <w:r>
          <w:fldChar w:fldCharType="end"/>
        </w:r>
      </w:hyperlink>
    </w:p>
    <w:p>
      <w:pPr>
        <w:tabs>
          <w:tab w:val="right" w:leader="dot" w:pos="9062"/>
        </w:tabs>
        <w:ind w:left="220"/>
      </w:pPr>
      <w:hyperlink w:anchor="_Toc3949" w:history="1">
        <w:r>
          <w:rPr>
            <w:rFonts w:ascii="IRNazanin" w:hAnsi="IRNazanin" w:eastAsia="IRNazanin" w:cs="IRNazanin"/>
            <w:color w:val="111111"/>
            <w:sz w:val="22"/>
            <w:szCs w:val="22"/>
            <w:b w:val="0"/>
            <w:bCs w:val="0"/>
            <w:i w:val="0"/>
            <w:iCs w:val="0"/>
          </w:rPr>
          <w:t>سقاف ، علي بن ابي بكر، 818 - 898 ه-</w:t>
        </w:r>
        <w:r>
          <w:tab/>
        </w:r>
        <w:r>
          <w:fldChar w:fldCharType="begin"/>
        </w:r>
        <w:r>
          <w:instrText xml:space="preserve">PAGEREF 3949 \h</w:instrText>
        </w:r>
        <w:r>
          <w:fldChar w:fldCharType="end"/>
        </w:r>
      </w:hyperlink>
    </w:p>
    <w:p>
      <w:pPr>
        <w:tabs>
          <w:tab w:val="right" w:leader="dot" w:pos="9062"/>
        </w:tabs>
        <w:ind w:left="220"/>
      </w:pPr>
      <w:hyperlink w:anchor="_Toc3950" w:history="1">
        <w:r>
          <w:rPr>
            <w:rFonts w:ascii="IRNazanin" w:hAnsi="IRNazanin" w:eastAsia="IRNazanin" w:cs="IRNazanin"/>
            <w:color w:val="111111"/>
            <w:sz w:val="22"/>
            <w:szCs w:val="22"/>
            <w:b w:val="0"/>
            <w:bCs w:val="0"/>
            <w:i w:val="0"/>
            <w:iCs w:val="0"/>
          </w:rPr>
          <w:t>سقسيني، سليمان بن داود قرن 6 ه-</w:t>
        </w:r>
        <w:r>
          <w:tab/>
        </w:r>
        <w:r>
          <w:fldChar w:fldCharType="begin"/>
        </w:r>
        <w:r>
          <w:instrText xml:space="preserve">PAGEREF 3950 \h</w:instrText>
        </w:r>
        <w:r>
          <w:fldChar w:fldCharType="end"/>
        </w:r>
      </w:hyperlink>
    </w:p>
    <w:p>
      <w:pPr>
        <w:tabs>
          <w:tab w:val="right" w:leader="dot" w:pos="9062"/>
        </w:tabs>
        <w:ind w:left="220"/>
      </w:pPr>
      <w:hyperlink w:anchor="_Toc3951" w:history="1">
        <w:r>
          <w:rPr>
            <w:rFonts w:ascii="IRNazanin" w:hAnsi="IRNazanin" w:eastAsia="IRNazanin" w:cs="IRNazanin"/>
            <w:color w:val="111111"/>
            <w:sz w:val="22"/>
            <w:szCs w:val="22"/>
            <w:b w:val="0"/>
            <w:bCs w:val="0"/>
            <w:i w:val="0"/>
            <w:iCs w:val="0"/>
          </w:rPr>
          <w:t>سكاكي ، احمد بن محمّد، قرن 10 ه-</w:t>
        </w:r>
        <w:r>
          <w:tab/>
        </w:r>
        <w:r>
          <w:fldChar w:fldCharType="begin"/>
        </w:r>
        <w:r>
          <w:instrText xml:space="preserve">PAGEREF 3951 \h</w:instrText>
        </w:r>
        <w:r>
          <w:fldChar w:fldCharType="end"/>
        </w:r>
      </w:hyperlink>
    </w:p>
    <w:p>
      <w:pPr>
        <w:tabs>
          <w:tab w:val="right" w:leader="dot" w:pos="9062"/>
        </w:tabs>
        <w:ind w:left="220"/>
      </w:pPr>
      <w:hyperlink w:anchor="_Toc3952" w:history="1">
        <w:r>
          <w:rPr>
            <w:rFonts w:ascii="IRNazanin" w:hAnsi="IRNazanin" w:eastAsia="IRNazanin" w:cs="IRNazanin"/>
            <w:color w:val="111111"/>
            <w:sz w:val="22"/>
            <w:szCs w:val="22"/>
            <w:b w:val="0"/>
            <w:bCs w:val="0"/>
            <w:i w:val="0"/>
            <w:iCs w:val="0"/>
          </w:rPr>
          <w:t>سكاكي ، امير محمود</w:t>
        </w:r>
        <w:r>
          <w:tab/>
        </w:r>
        <w:r>
          <w:fldChar w:fldCharType="begin"/>
        </w:r>
        <w:r>
          <w:instrText xml:space="preserve">PAGEREF 3952 \h</w:instrText>
        </w:r>
        <w:r>
          <w:fldChar w:fldCharType="end"/>
        </w:r>
      </w:hyperlink>
    </w:p>
    <w:p>
      <w:pPr>
        <w:tabs>
          <w:tab w:val="right" w:leader="dot" w:pos="9062"/>
        </w:tabs>
        <w:ind w:left="220"/>
      </w:pPr>
      <w:hyperlink w:anchor="_Toc3953" w:history="1">
        <w:r>
          <w:rPr>
            <w:rFonts w:ascii="IRNazanin" w:hAnsi="IRNazanin" w:eastAsia="IRNazanin" w:cs="IRNazanin"/>
            <w:color w:val="111111"/>
            <w:sz w:val="22"/>
            <w:szCs w:val="22"/>
            <w:b w:val="0"/>
            <w:bCs w:val="0"/>
            <w:i w:val="0"/>
            <w:iCs w:val="0"/>
          </w:rPr>
          <w:t>سكاكي ، محمّد بن سراج الدين قرن 8 ه-</w:t>
        </w:r>
        <w:r>
          <w:tab/>
        </w:r>
        <w:r>
          <w:fldChar w:fldCharType="begin"/>
        </w:r>
        <w:r>
          <w:instrText xml:space="preserve">PAGEREF 3953 \h</w:instrText>
        </w:r>
        <w:r>
          <w:fldChar w:fldCharType="end"/>
        </w:r>
      </w:hyperlink>
    </w:p>
    <w:p>
      <w:pPr>
        <w:tabs>
          <w:tab w:val="right" w:leader="dot" w:pos="9062"/>
        </w:tabs>
        <w:ind w:left="220"/>
      </w:pPr>
      <w:hyperlink w:anchor="_Toc3954" w:history="1">
        <w:r>
          <w:rPr>
            <w:rFonts w:ascii="IRNazanin" w:hAnsi="IRNazanin" w:eastAsia="IRNazanin" w:cs="IRNazanin"/>
            <w:color w:val="111111"/>
            <w:sz w:val="22"/>
            <w:szCs w:val="22"/>
            <w:b w:val="0"/>
            <w:bCs w:val="0"/>
            <w:i w:val="0"/>
            <w:iCs w:val="0"/>
          </w:rPr>
          <w:t>سكاكي ، يوسف بن ابي بكر 555 - 626</w:t>
        </w:r>
        <w:r>
          <w:tab/>
        </w:r>
        <w:r>
          <w:fldChar w:fldCharType="begin"/>
        </w:r>
        <w:r>
          <w:instrText xml:space="preserve">PAGEREF 3954 \h</w:instrText>
        </w:r>
        <w:r>
          <w:fldChar w:fldCharType="end"/>
        </w:r>
      </w:hyperlink>
    </w:p>
    <w:p>
      <w:pPr>
        <w:tabs>
          <w:tab w:val="right" w:leader="dot" w:pos="9062"/>
        </w:tabs>
        <w:ind w:left="220"/>
      </w:pPr>
      <w:hyperlink w:anchor="_Toc3955" w:history="1">
        <w:r>
          <w:rPr>
            <w:rFonts w:ascii="IRNazanin" w:hAnsi="IRNazanin" w:eastAsia="IRNazanin" w:cs="IRNazanin"/>
            <w:color w:val="111111"/>
            <w:sz w:val="22"/>
            <w:szCs w:val="22"/>
            <w:b w:val="0"/>
            <w:bCs w:val="0"/>
            <w:i w:val="0"/>
            <w:iCs w:val="0"/>
          </w:rPr>
          <w:t>سكري ، علي بن جوهر</w:t>
        </w:r>
        <w:r>
          <w:tab/>
        </w:r>
        <w:r>
          <w:fldChar w:fldCharType="begin"/>
        </w:r>
        <w:r>
          <w:instrText xml:space="preserve">PAGEREF 3955 \h</w:instrText>
        </w:r>
        <w:r>
          <w:fldChar w:fldCharType="end"/>
        </w:r>
      </w:hyperlink>
    </w:p>
    <w:p>
      <w:pPr>
        <w:tabs>
          <w:tab w:val="right" w:leader="dot" w:pos="9062"/>
        </w:tabs>
        <w:ind w:left="220"/>
      </w:pPr>
      <w:hyperlink w:anchor="_Toc3956" w:history="1">
        <w:r>
          <w:rPr>
            <w:rFonts w:ascii="IRNazanin" w:hAnsi="IRNazanin" w:eastAsia="IRNazanin" w:cs="IRNazanin"/>
            <w:color w:val="111111"/>
            <w:sz w:val="22"/>
            <w:szCs w:val="22"/>
            <w:b w:val="0"/>
            <w:bCs w:val="0"/>
            <w:i w:val="0"/>
            <w:iCs w:val="0"/>
          </w:rPr>
          <w:t>سكوتي زاده، محمّد شريف بن ابراهيم</w:t>
        </w:r>
        <w:r>
          <w:tab/>
        </w:r>
        <w:r>
          <w:fldChar w:fldCharType="begin"/>
        </w:r>
        <w:r>
          <w:instrText xml:space="preserve">PAGEREF 3956 \h</w:instrText>
        </w:r>
        <w:r>
          <w:fldChar w:fldCharType="end"/>
        </w:r>
      </w:hyperlink>
    </w:p>
    <w:p>
      <w:pPr>
        <w:tabs>
          <w:tab w:val="right" w:leader="dot" w:pos="9062"/>
        </w:tabs>
        <w:ind w:left="220"/>
      </w:pPr>
      <w:hyperlink w:anchor="_Toc3957" w:history="1">
        <w:r>
          <w:rPr>
            <w:rFonts w:ascii="IRNazanin" w:hAnsi="IRNazanin" w:eastAsia="IRNazanin" w:cs="IRNazanin"/>
            <w:color w:val="111111"/>
            <w:sz w:val="22"/>
            <w:szCs w:val="22"/>
            <w:b w:val="0"/>
            <w:bCs w:val="0"/>
            <w:i w:val="0"/>
            <w:iCs w:val="0"/>
          </w:rPr>
          <w:t>سكوني ، عمر بن محمّد - 717 ه-</w:t>
        </w:r>
        <w:r>
          <w:tab/>
        </w:r>
        <w:r>
          <w:fldChar w:fldCharType="begin"/>
        </w:r>
        <w:r>
          <w:instrText xml:space="preserve">PAGEREF 3957 \h</w:instrText>
        </w:r>
        <w:r>
          <w:fldChar w:fldCharType="end"/>
        </w:r>
      </w:hyperlink>
    </w:p>
    <w:p>
      <w:pPr>
        <w:tabs>
          <w:tab w:val="right" w:leader="dot" w:pos="9062"/>
        </w:tabs>
        <w:ind w:left="220"/>
      </w:pPr>
      <w:hyperlink w:anchor="_Toc3958" w:history="1">
        <w:r>
          <w:rPr>
            <w:rFonts w:ascii="IRNazanin" w:hAnsi="IRNazanin" w:eastAsia="IRNazanin" w:cs="IRNazanin"/>
            <w:color w:val="111111"/>
            <w:sz w:val="22"/>
            <w:szCs w:val="22"/>
            <w:b w:val="0"/>
            <w:bCs w:val="0"/>
            <w:i w:val="0"/>
            <w:iCs w:val="0"/>
          </w:rPr>
          <w:t>سكزي ، محمود بن طاهر، قرن 6 ه-</w:t>
        </w:r>
        <w:r>
          <w:tab/>
        </w:r>
        <w:r>
          <w:fldChar w:fldCharType="begin"/>
        </w:r>
        <w:r>
          <w:instrText xml:space="preserve">PAGEREF 3958 \h</w:instrText>
        </w:r>
        <w:r>
          <w:fldChar w:fldCharType="end"/>
        </w:r>
      </w:hyperlink>
    </w:p>
    <w:p>
      <w:pPr>
        <w:tabs>
          <w:tab w:val="right" w:leader="dot" w:pos="9062"/>
        </w:tabs>
        <w:ind w:left="220"/>
      </w:pPr>
      <w:hyperlink w:anchor="_Toc3959" w:history="1">
        <w:r>
          <w:rPr>
            <w:rFonts w:ascii="IRNazanin" w:hAnsi="IRNazanin" w:eastAsia="IRNazanin" w:cs="IRNazanin"/>
            <w:color w:val="111111"/>
            <w:sz w:val="22"/>
            <w:szCs w:val="22"/>
            <w:b w:val="0"/>
            <w:bCs w:val="0"/>
            <w:i w:val="0"/>
            <w:iCs w:val="0"/>
          </w:rPr>
          <w:t>سلار ديلمي ، حمزه بن عبدالعزيز 4463 ه-</w:t>
        </w:r>
        <w:r>
          <w:tab/>
        </w:r>
        <w:r>
          <w:fldChar w:fldCharType="begin"/>
        </w:r>
        <w:r>
          <w:instrText xml:space="preserve">PAGEREF 3959 \h</w:instrText>
        </w:r>
        <w:r>
          <w:fldChar w:fldCharType="end"/>
        </w:r>
      </w:hyperlink>
    </w:p>
    <w:p>
      <w:pPr>
        <w:tabs>
          <w:tab w:val="right" w:leader="dot" w:pos="9062"/>
        </w:tabs>
        <w:ind w:left="220"/>
      </w:pPr>
      <w:hyperlink w:anchor="_Toc3960" w:history="1">
        <w:r>
          <w:rPr>
            <w:rFonts w:ascii="IRNazanin" w:hAnsi="IRNazanin" w:eastAsia="IRNazanin" w:cs="IRNazanin"/>
            <w:color w:val="111111"/>
            <w:sz w:val="22"/>
            <w:szCs w:val="22"/>
            <w:b w:val="0"/>
            <w:bCs w:val="0"/>
            <w:i w:val="0"/>
            <w:iCs w:val="0"/>
          </w:rPr>
          <w:t>سلامي ، محمّد بن ابراهیم 811 - 879</w:t>
        </w:r>
        <w:r>
          <w:tab/>
        </w:r>
        <w:r>
          <w:fldChar w:fldCharType="begin"/>
        </w:r>
        <w:r>
          <w:instrText xml:space="preserve">PAGEREF 3960 \h</w:instrText>
        </w:r>
        <w:r>
          <w:fldChar w:fldCharType="end"/>
        </w:r>
      </w:hyperlink>
    </w:p>
    <w:p>
      <w:pPr>
        <w:tabs>
          <w:tab w:val="right" w:leader="dot" w:pos="9062"/>
        </w:tabs>
        <w:ind w:left="220"/>
      </w:pPr>
      <w:hyperlink w:anchor="_Toc3961" w:history="1">
        <w:r>
          <w:rPr>
            <w:rFonts w:ascii="IRNazanin" w:hAnsi="IRNazanin" w:eastAsia="IRNazanin" w:cs="IRNazanin"/>
            <w:color w:val="111111"/>
            <w:sz w:val="22"/>
            <w:szCs w:val="22"/>
            <w:b w:val="0"/>
            <w:bCs w:val="0"/>
            <w:i w:val="0"/>
            <w:iCs w:val="0"/>
          </w:rPr>
          <w:t>سلامي ، محمّد بن رافع، 704 - 774 ه-</w:t>
        </w:r>
        <w:r>
          <w:tab/>
        </w:r>
        <w:r>
          <w:fldChar w:fldCharType="begin"/>
        </w:r>
        <w:r>
          <w:instrText xml:space="preserve">PAGEREF 3961 \h</w:instrText>
        </w:r>
        <w:r>
          <w:fldChar w:fldCharType="end"/>
        </w:r>
      </w:hyperlink>
    </w:p>
    <w:p>
      <w:pPr>
        <w:tabs>
          <w:tab w:val="right" w:leader="dot" w:pos="9062"/>
        </w:tabs>
        <w:ind w:left="220"/>
      </w:pPr>
      <w:hyperlink w:anchor="_Toc3962" w:history="1">
        <w:r>
          <w:rPr>
            <w:rFonts w:ascii="IRNazanin" w:hAnsi="IRNazanin" w:eastAsia="IRNazanin" w:cs="IRNazanin"/>
            <w:color w:val="111111"/>
            <w:sz w:val="22"/>
            <w:szCs w:val="22"/>
            <w:b w:val="0"/>
            <w:bCs w:val="0"/>
            <w:i w:val="0"/>
            <w:iCs w:val="0"/>
          </w:rPr>
          <w:t>سلامي، محمّد بن ناصر، 467 - 550 ه-</w:t>
        </w:r>
        <w:r>
          <w:tab/>
        </w:r>
        <w:r>
          <w:fldChar w:fldCharType="begin"/>
        </w:r>
        <w:r>
          <w:instrText xml:space="preserve">PAGEREF 3962 \h</w:instrText>
        </w:r>
        <w:r>
          <w:fldChar w:fldCharType="end"/>
        </w:r>
      </w:hyperlink>
    </w:p>
    <w:p>
      <w:pPr>
        <w:tabs>
          <w:tab w:val="right" w:leader="dot" w:pos="9062"/>
        </w:tabs>
        <w:ind w:left="220"/>
      </w:pPr>
      <w:hyperlink w:anchor="_Toc3963" w:history="1">
        <w:r>
          <w:rPr>
            <w:rFonts w:ascii="IRNazanin" w:hAnsi="IRNazanin" w:eastAsia="IRNazanin" w:cs="IRNazanin"/>
            <w:color w:val="111111"/>
            <w:sz w:val="22"/>
            <w:szCs w:val="22"/>
            <w:b w:val="0"/>
            <w:bCs w:val="0"/>
            <w:i w:val="0"/>
            <w:iCs w:val="0"/>
          </w:rPr>
          <w:t>سلطان الشعراء ، محمود بن محمّد 933 - 1008ه-</w:t>
        </w:r>
        <w:r>
          <w:tab/>
        </w:r>
        <w:r>
          <w:fldChar w:fldCharType="begin"/>
        </w:r>
        <w:r>
          <w:instrText xml:space="preserve">PAGEREF 3963 \h</w:instrText>
        </w:r>
        <w:r>
          <w:fldChar w:fldCharType="end"/>
        </w:r>
      </w:hyperlink>
    </w:p>
    <w:p>
      <w:pPr>
        <w:tabs>
          <w:tab w:val="right" w:leader="dot" w:pos="9062"/>
        </w:tabs>
        <w:ind w:left="220"/>
      </w:pPr>
      <w:hyperlink w:anchor="_Toc3964" w:history="1">
        <w:r>
          <w:rPr>
            <w:rFonts w:ascii="IRNazanin" w:hAnsi="IRNazanin" w:eastAsia="IRNazanin" w:cs="IRNazanin"/>
            <w:color w:val="111111"/>
            <w:sz w:val="22"/>
            <w:szCs w:val="22"/>
            <w:b w:val="0"/>
            <w:bCs w:val="0"/>
            <w:i w:val="0"/>
            <w:iCs w:val="0"/>
          </w:rPr>
          <w:t>سلطان العلماء ، حسين بن محمّد 1001</w:t>
        </w:r>
        <w:r>
          <w:tab/>
        </w:r>
        <w:r>
          <w:fldChar w:fldCharType="begin"/>
        </w:r>
        <w:r>
          <w:instrText xml:space="preserve">PAGEREF 3964 \h</w:instrText>
        </w:r>
        <w:r>
          <w:fldChar w:fldCharType="end"/>
        </w:r>
      </w:hyperlink>
    </w:p>
    <w:p>
      <w:pPr>
        <w:tabs>
          <w:tab w:val="right" w:leader="dot" w:pos="9062"/>
        </w:tabs>
        <w:ind w:left="220"/>
      </w:pPr>
      <w:hyperlink w:anchor="_Toc3965" w:history="1">
        <w:r>
          <w:rPr>
            <w:rFonts w:ascii="IRNazanin" w:hAnsi="IRNazanin" w:eastAsia="IRNazanin" w:cs="IRNazanin"/>
            <w:color w:val="111111"/>
            <w:sz w:val="22"/>
            <w:szCs w:val="22"/>
            <w:b w:val="0"/>
            <w:bCs w:val="0"/>
            <w:i w:val="0"/>
            <w:iCs w:val="0"/>
          </w:rPr>
          <w:t>سلطان العلماء ، محمّد بن دلدار علي</w:t>
        </w:r>
        <w:r>
          <w:tab/>
        </w:r>
        <w:r>
          <w:fldChar w:fldCharType="begin"/>
        </w:r>
        <w:r>
          <w:instrText xml:space="preserve">PAGEREF 3965 \h</w:instrText>
        </w:r>
        <w:r>
          <w:fldChar w:fldCharType="end"/>
        </w:r>
      </w:hyperlink>
    </w:p>
    <w:p>
      <w:pPr>
        <w:tabs>
          <w:tab w:val="right" w:leader="dot" w:pos="9062"/>
        </w:tabs>
        <w:ind w:left="220"/>
      </w:pPr>
      <w:hyperlink w:anchor="_Toc3966" w:history="1">
        <w:r>
          <w:rPr>
            <w:rFonts w:ascii="IRNazanin" w:hAnsi="IRNazanin" w:eastAsia="IRNazanin" w:cs="IRNazanin"/>
            <w:color w:val="111111"/>
            <w:sz w:val="22"/>
            <w:szCs w:val="22"/>
            <w:b w:val="0"/>
            <w:bCs w:val="0"/>
            <w:i w:val="0"/>
            <w:iCs w:val="0"/>
          </w:rPr>
          <w:t>سلطان العلما اصفهاني ، ميرزا حسن</w:t>
        </w:r>
        <w:r>
          <w:tab/>
        </w:r>
        <w:r>
          <w:fldChar w:fldCharType="begin"/>
        </w:r>
        <w:r>
          <w:instrText xml:space="preserve">PAGEREF 3966 \h</w:instrText>
        </w:r>
        <w:r>
          <w:fldChar w:fldCharType="end"/>
        </w:r>
      </w:hyperlink>
    </w:p>
    <w:p>
      <w:pPr>
        <w:tabs>
          <w:tab w:val="right" w:leader="dot" w:pos="9062"/>
        </w:tabs>
        <w:ind w:left="220"/>
      </w:pPr>
      <w:hyperlink w:anchor="_Toc3967" w:history="1">
        <w:r>
          <w:rPr>
            <w:rFonts w:ascii="IRNazanin" w:hAnsi="IRNazanin" w:eastAsia="IRNazanin" w:cs="IRNazanin"/>
            <w:color w:val="111111"/>
            <w:sz w:val="22"/>
            <w:szCs w:val="22"/>
            <w:b w:val="0"/>
            <w:bCs w:val="0"/>
            <w:i w:val="0"/>
            <w:iCs w:val="0"/>
          </w:rPr>
          <w:t>سلطان محمّد قرن 10 ه-</w:t>
        </w:r>
        <w:r>
          <w:tab/>
        </w:r>
        <w:r>
          <w:fldChar w:fldCharType="begin"/>
        </w:r>
        <w:r>
          <w:instrText xml:space="preserve">PAGEREF 3967 \h</w:instrText>
        </w:r>
        <w:r>
          <w:fldChar w:fldCharType="end"/>
        </w:r>
      </w:hyperlink>
    </w:p>
    <w:p>
      <w:pPr>
        <w:tabs>
          <w:tab w:val="right" w:leader="dot" w:pos="9062"/>
        </w:tabs>
        <w:ind w:left="220"/>
      </w:pPr>
      <w:hyperlink w:anchor="_Toc3968" w:history="1">
        <w:r>
          <w:rPr>
            <w:rFonts w:ascii="IRNazanin" w:hAnsi="IRNazanin" w:eastAsia="IRNazanin" w:cs="IRNazanin"/>
            <w:color w:val="111111"/>
            <w:sz w:val="22"/>
            <w:szCs w:val="22"/>
            <w:b w:val="0"/>
            <w:bCs w:val="0"/>
            <w:i w:val="0"/>
            <w:iCs w:val="0"/>
          </w:rPr>
          <w:t>سلطان محمّد میرزا قاجار 1227</w:t>
        </w:r>
        <w:r>
          <w:tab/>
        </w:r>
        <w:r>
          <w:fldChar w:fldCharType="begin"/>
        </w:r>
        <w:r>
          <w:instrText xml:space="preserve">PAGEREF 3968 \h</w:instrText>
        </w:r>
        <w:r>
          <w:fldChar w:fldCharType="end"/>
        </w:r>
      </w:hyperlink>
    </w:p>
    <w:p>
      <w:pPr>
        <w:tabs>
          <w:tab w:val="right" w:leader="dot" w:pos="9062"/>
        </w:tabs>
        <w:ind w:left="220"/>
      </w:pPr>
      <w:hyperlink w:anchor="_Toc3969" w:history="1">
        <w:r>
          <w:rPr>
            <w:rFonts w:ascii="IRNazanin" w:hAnsi="IRNazanin" w:eastAsia="IRNazanin" w:cs="IRNazanin"/>
            <w:color w:val="111111"/>
            <w:sz w:val="22"/>
            <w:szCs w:val="22"/>
            <w:b w:val="0"/>
            <w:bCs w:val="0"/>
            <w:i w:val="0"/>
            <w:iCs w:val="0"/>
          </w:rPr>
          <w:t>سلطان ولد ، احمد بن محمّد 623 - 712</w:t>
        </w:r>
        <w:r>
          <w:tab/>
        </w:r>
        <w:r>
          <w:fldChar w:fldCharType="begin"/>
        </w:r>
        <w:r>
          <w:instrText xml:space="preserve">PAGEREF 3969 \h</w:instrText>
        </w:r>
        <w:r>
          <w:fldChar w:fldCharType="end"/>
        </w:r>
      </w:hyperlink>
    </w:p>
    <w:p>
      <w:pPr>
        <w:tabs>
          <w:tab w:val="right" w:leader="dot" w:pos="9062"/>
        </w:tabs>
        <w:ind w:left="220"/>
      </w:pPr>
      <w:hyperlink w:anchor="_Toc3970" w:history="1">
        <w:r>
          <w:rPr>
            <w:rFonts w:ascii="IRNazanin" w:hAnsi="IRNazanin" w:eastAsia="IRNazanin" w:cs="IRNazanin"/>
            <w:color w:val="111111"/>
            <w:sz w:val="22"/>
            <w:szCs w:val="22"/>
            <w:b w:val="0"/>
            <w:bCs w:val="0"/>
            <w:i w:val="0"/>
            <w:iCs w:val="0"/>
          </w:rPr>
          <w:t>سلطي ، ابو بكر بن تقي الدين - 1103 ه-</w:t>
        </w:r>
        <w:r>
          <w:tab/>
        </w:r>
        <w:r>
          <w:fldChar w:fldCharType="begin"/>
        </w:r>
        <w:r>
          <w:instrText xml:space="preserve">PAGEREF 3970 \h</w:instrText>
        </w:r>
        <w:r>
          <w:fldChar w:fldCharType="end"/>
        </w:r>
      </w:hyperlink>
    </w:p>
    <w:p>
      <w:pPr>
        <w:tabs>
          <w:tab w:val="right" w:leader="dot" w:pos="9062"/>
        </w:tabs>
        <w:ind w:left="220"/>
      </w:pPr>
      <w:hyperlink w:anchor="_Toc3971" w:history="1">
        <w:r>
          <w:rPr>
            <w:rFonts w:ascii="IRNazanin" w:hAnsi="IRNazanin" w:eastAsia="IRNazanin" w:cs="IRNazanin"/>
            <w:color w:val="111111"/>
            <w:sz w:val="22"/>
            <w:szCs w:val="22"/>
            <w:b w:val="0"/>
            <w:bCs w:val="0"/>
            <w:i w:val="0"/>
            <w:iCs w:val="0"/>
          </w:rPr>
          <w:t>سلفي حرواني، احمد بن محمّد 475 -</w:t>
        </w:r>
        <w:r>
          <w:tab/>
        </w:r>
        <w:r>
          <w:fldChar w:fldCharType="begin"/>
        </w:r>
        <w:r>
          <w:instrText xml:space="preserve">PAGEREF 3971 \h</w:instrText>
        </w:r>
        <w:r>
          <w:fldChar w:fldCharType="end"/>
        </w:r>
      </w:hyperlink>
    </w:p>
    <w:p>
      <w:pPr>
        <w:tabs>
          <w:tab w:val="right" w:leader="dot" w:pos="9062"/>
        </w:tabs>
        <w:ind w:left="220"/>
      </w:pPr>
      <w:hyperlink w:anchor="_Toc3972" w:history="1">
        <w:r>
          <w:rPr>
            <w:rFonts w:ascii="IRNazanin" w:hAnsi="IRNazanin" w:eastAsia="IRNazanin" w:cs="IRNazanin"/>
            <w:color w:val="111111"/>
            <w:sz w:val="22"/>
            <w:szCs w:val="22"/>
            <w:b w:val="0"/>
            <w:bCs w:val="0"/>
            <w:i w:val="0"/>
            <w:iCs w:val="0"/>
          </w:rPr>
          <w:t>سلماسي ، ابوسعید محمّد بن سعيد</w:t>
        </w:r>
        <w:r>
          <w:tab/>
        </w:r>
        <w:r>
          <w:fldChar w:fldCharType="begin"/>
        </w:r>
        <w:r>
          <w:instrText xml:space="preserve">PAGEREF 3972 \h</w:instrText>
        </w:r>
        <w:r>
          <w:fldChar w:fldCharType="end"/>
        </w:r>
      </w:hyperlink>
    </w:p>
    <w:p>
      <w:pPr>
        <w:tabs>
          <w:tab w:val="right" w:leader="dot" w:pos="9062"/>
        </w:tabs>
        <w:ind w:left="220"/>
      </w:pPr>
      <w:hyperlink w:anchor="_Toc3973" w:history="1">
        <w:r>
          <w:rPr>
            <w:rFonts w:ascii="IRNazanin" w:hAnsi="IRNazanin" w:eastAsia="IRNazanin" w:cs="IRNazanin"/>
            <w:color w:val="111111"/>
            <w:sz w:val="22"/>
            <w:szCs w:val="22"/>
            <w:b w:val="0"/>
            <w:bCs w:val="0"/>
            <w:i w:val="0"/>
            <w:iCs w:val="0"/>
          </w:rPr>
          <w:t>سلمان ساوجي ، سلمان بن محمّد، 709 -</w:t>
        </w:r>
        <w:r>
          <w:tab/>
        </w:r>
        <w:r>
          <w:fldChar w:fldCharType="begin"/>
        </w:r>
        <w:r>
          <w:instrText xml:space="preserve">PAGEREF 3973 \h</w:instrText>
        </w:r>
        <w:r>
          <w:fldChar w:fldCharType="end"/>
        </w:r>
      </w:hyperlink>
    </w:p>
    <w:p>
      <w:pPr>
        <w:tabs>
          <w:tab w:val="right" w:leader="dot" w:pos="9062"/>
        </w:tabs>
        <w:ind w:left="220"/>
      </w:pPr>
      <w:hyperlink w:anchor="_Toc3974" w:history="1">
        <w:r>
          <w:rPr>
            <w:rFonts w:ascii="IRNazanin" w:hAnsi="IRNazanin" w:eastAsia="IRNazanin" w:cs="IRNazanin"/>
            <w:color w:val="111111"/>
            <w:sz w:val="22"/>
            <w:szCs w:val="22"/>
            <w:b w:val="0"/>
            <w:bCs w:val="0"/>
            <w:i w:val="0"/>
            <w:iCs w:val="0"/>
          </w:rPr>
          <w:t>سلمان فارسي، - 36 ه-</w:t>
        </w:r>
        <w:r>
          <w:tab/>
        </w:r>
        <w:r>
          <w:fldChar w:fldCharType="begin"/>
        </w:r>
        <w:r>
          <w:instrText xml:space="preserve">PAGEREF 3974 \h</w:instrText>
        </w:r>
        <w:r>
          <w:fldChar w:fldCharType="end"/>
        </w:r>
      </w:hyperlink>
    </w:p>
    <w:p>
      <w:pPr>
        <w:tabs>
          <w:tab w:val="right" w:leader="dot" w:pos="9062"/>
        </w:tabs>
        <w:ind w:left="220"/>
      </w:pPr>
      <w:hyperlink w:anchor="_Toc3975" w:history="1">
        <w:r>
          <w:rPr>
            <w:rFonts w:ascii="IRNazanin" w:hAnsi="IRNazanin" w:eastAsia="IRNazanin" w:cs="IRNazanin"/>
            <w:color w:val="111111"/>
            <w:sz w:val="22"/>
            <w:szCs w:val="22"/>
            <w:b w:val="0"/>
            <w:bCs w:val="0"/>
            <w:i w:val="0"/>
            <w:iCs w:val="0"/>
          </w:rPr>
          <w:t>سلمي ، محمّد بن حسين، 325 - 412 ه-</w:t>
        </w:r>
        <w:r>
          <w:tab/>
        </w:r>
        <w:r>
          <w:fldChar w:fldCharType="begin"/>
        </w:r>
        <w:r>
          <w:instrText xml:space="preserve">PAGEREF 3975 \h</w:instrText>
        </w:r>
        <w:r>
          <w:fldChar w:fldCharType="end"/>
        </w:r>
      </w:hyperlink>
    </w:p>
    <w:p>
      <w:pPr>
        <w:tabs>
          <w:tab w:val="right" w:leader="dot" w:pos="9062"/>
        </w:tabs>
        <w:ind w:left="220"/>
      </w:pPr>
      <w:hyperlink w:anchor="_Toc3976" w:history="1">
        <w:r>
          <w:rPr>
            <w:rFonts w:ascii="IRNazanin" w:hAnsi="IRNazanin" w:eastAsia="IRNazanin" w:cs="IRNazanin"/>
            <w:color w:val="111111"/>
            <w:sz w:val="22"/>
            <w:szCs w:val="22"/>
            <w:b w:val="0"/>
            <w:bCs w:val="0"/>
            <w:i w:val="0"/>
            <w:iCs w:val="0"/>
          </w:rPr>
          <w:t>سلمي ، يوسف بن يحيى - 685 ه-</w:t>
        </w:r>
        <w:r>
          <w:tab/>
        </w:r>
        <w:r>
          <w:fldChar w:fldCharType="begin"/>
        </w:r>
        <w:r>
          <w:instrText xml:space="preserve">PAGEREF 3976 \h</w:instrText>
        </w:r>
        <w:r>
          <w:fldChar w:fldCharType="end"/>
        </w:r>
      </w:hyperlink>
    </w:p>
    <w:p>
      <w:pPr>
        <w:tabs>
          <w:tab w:val="right" w:leader="dot" w:pos="9062"/>
        </w:tabs>
        <w:ind w:left="220"/>
      </w:pPr>
      <w:hyperlink w:anchor="_Toc3977" w:history="1">
        <w:r>
          <w:rPr>
            <w:rFonts w:ascii="IRNazanin" w:hAnsi="IRNazanin" w:eastAsia="IRNazanin" w:cs="IRNazanin"/>
            <w:color w:val="111111"/>
            <w:sz w:val="22"/>
            <w:szCs w:val="22"/>
            <w:b w:val="0"/>
            <w:bCs w:val="0"/>
            <w:i w:val="0"/>
            <w:iCs w:val="0"/>
          </w:rPr>
          <w:t>سليمان</w:t>
        </w:r>
        <w:r>
          <w:tab/>
        </w:r>
        <w:r>
          <w:fldChar w:fldCharType="begin"/>
        </w:r>
        <w:r>
          <w:instrText xml:space="preserve">PAGEREF 3977 \h</w:instrText>
        </w:r>
        <w:r>
          <w:fldChar w:fldCharType="end"/>
        </w:r>
      </w:hyperlink>
    </w:p>
    <w:p>
      <w:pPr>
        <w:tabs>
          <w:tab w:val="right" w:leader="dot" w:pos="9062"/>
        </w:tabs>
        <w:ind w:left="220"/>
      </w:pPr>
      <w:hyperlink w:anchor="_Toc3978" w:history="1">
        <w:r>
          <w:rPr>
            <w:rFonts w:ascii="IRNazanin" w:hAnsi="IRNazanin" w:eastAsia="IRNazanin" w:cs="IRNazanin"/>
            <w:color w:val="111111"/>
            <w:sz w:val="22"/>
            <w:szCs w:val="22"/>
            <w:b w:val="0"/>
            <w:bCs w:val="0"/>
            <w:i w:val="0"/>
            <w:iCs w:val="0"/>
          </w:rPr>
          <w:t>سليمان بن حسين بن سليمان بن نصر</w:t>
        </w:r>
        <w:r>
          <w:tab/>
        </w:r>
        <w:r>
          <w:fldChar w:fldCharType="begin"/>
        </w:r>
        <w:r>
          <w:instrText xml:space="preserve">PAGEREF 3978 \h</w:instrText>
        </w:r>
        <w:r>
          <w:fldChar w:fldCharType="end"/>
        </w:r>
      </w:hyperlink>
    </w:p>
    <w:p>
      <w:pPr>
        <w:tabs>
          <w:tab w:val="right" w:leader="dot" w:pos="9062"/>
        </w:tabs>
        <w:ind w:left="220"/>
      </w:pPr>
      <w:hyperlink w:anchor="_Toc3979" w:history="1">
        <w:r>
          <w:rPr>
            <w:rFonts w:ascii="IRNazanin" w:hAnsi="IRNazanin" w:eastAsia="IRNazanin" w:cs="IRNazanin"/>
            <w:color w:val="111111"/>
            <w:sz w:val="22"/>
            <w:szCs w:val="22"/>
            <w:b w:val="0"/>
            <w:bCs w:val="0"/>
            <w:i w:val="0"/>
            <w:iCs w:val="0"/>
          </w:rPr>
          <w:t>سلیمان بن عبدالرحمن</w:t>
        </w:r>
        <w:r>
          <w:tab/>
        </w:r>
        <w:r>
          <w:fldChar w:fldCharType="begin"/>
        </w:r>
        <w:r>
          <w:instrText xml:space="preserve">PAGEREF 3979 \h</w:instrText>
        </w:r>
        <w:r>
          <w:fldChar w:fldCharType="end"/>
        </w:r>
      </w:hyperlink>
    </w:p>
    <w:p>
      <w:pPr>
        <w:tabs>
          <w:tab w:val="right" w:leader="dot" w:pos="9062"/>
        </w:tabs>
        <w:ind w:left="220"/>
      </w:pPr>
      <w:hyperlink w:anchor="_Toc3980" w:history="1">
        <w:r>
          <w:rPr>
            <w:rFonts w:ascii="IRNazanin" w:hAnsi="IRNazanin" w:eastAsia="IRNazanin" w:cs="IRNazanin"/>
            <w:color w:val="111111"/>
            <w:sz w:val="22"/>
            <w:szCs w:val="22"/>
            <w:b w:val="0"/>
            <w:bCs w:val="0"/>
            <w:i w:val="0"/>
            <w:iCs w:val="0"/>
          </w:rPr>
          <w:t>سلیمان ، محمّد صالح</w:t>
        </w:r>
        <w:r>
          <w:tab/>
        </w:r>
        <w:r>
          <w:fldChar w:fldCharType="begin"/>
        </w:r>
        <w:r>
          <w:instrText xml:space="preserve">PAGEREF 3980 \h</w:instrText>
        </w:r>
        <w:r>
          <w:fldChar w:fldCharType="end"/>
        </w:r>
      </w:hyperlink>
    </w:p>
    <w:p>
      <w:pPr>
        <w:tabs>
          <w:tab w:val="right" w:leader="dot" w:pos="9062"/>
        </w:tabs>
        <w:ind w:left="220"/>
      </w:pPr>
      <w:hyperlink w:anchor="_Toc3981" w:history="1">
        <w:r>
          <w:rPr>
            <w:rFonts w:ascii="IRNazanin" w:hAnsi="IRNazanin" w:eastAsia="IRNazanin" w:cs="IRNazanin"/>
            <w:color w:val="111111"/>
            <w:sz w:val="22"/>
            <w:szCs w:val="22"/>
            <w:b w:val="0"/>
            <w:bCs w:val="0"/>
            <w:i w:val="0"/>
            <w:iCs w:val="0"/>
          </w:rPr>
          <w:t>سليماني اوغاني، اسماعيل - 892 ه-</w:t>
        </w:r>
        <w:r>
          <w:tab/>
        </w:r>
        <w:r>
          <w:fldChar w:fldCharType="begin"/>
        </w:r>
        <w:r>
          <w:instrText xml:space="preserve">PAGEREF 3981 \h</w:instrText>
        </w:r>
        <w:r>
          <w:fldChar w:fldCharType="end"/>
        </w:r>
      </w:hyperlink>
    </w:p>
    <w:p>
      <w:pPr>
        <w:tabs>
          <w:tab w:val="right" w:leader="dot" w:pos="9062"/>
        </w:tabs>
        <w:ind w:left="220"/>
      </w:pPr>
      <w:hyperlink w:anchor="_Toc3982" w:history="1">
        <w:r>
          <w:rPr>
            <w:rFonts w:ascii="IRNazanin" w:hAnsi="IRNazanin" w:eastAsia="IRNazanin" w:cs="IRNazanin"/>
            <w:color w:val="111111"/>
            <w:sz w:val="22"/>
            <w:szCs w:val="22"/>
            <w:b w:val="0"/>
            <w:bCs w:val="0"/>
            <w:i w:val="0"/>
            <w:iCs w:val="0"/>
          </w:rPr>
          <w:t>سليماني ، مقصود بن شاه</w:t>
        </w:r>
        <w:r>
          <w:tab/>
        </w:r>
        <w:r>
          <w:fldChar w:fldCharType="begin"/>
        </w:r>
        <w:r>
          <w:instrText xml:space="preserve">PAGEREF 3982 \h</w:instrText>
        </w:r>
        <w:r>
          <w:fldChar w:fldCharType="end"/>
        </w:r>
      </w:hyperlink>
    </w:p>
    <w:p>
      <w:pPr>
        <w:tabs>
          <w:tab w:val="right" w:leader="dot" w:pos="9062"/>
        </w:tabs>
        <w:ind w:left="220"/>
      </w:pPr>
      <w:hyperlink w:anchor="_Toc3983" w:history="1">
        <w:r>
          <w:rPr>
            <w:rFonts w:ascii="IRNazanin" w:hAnsi="IRNazanin" w:eastAsia="IRNazanin" w:cs="IRNazanin"/>
            <w:color w:val="111111"/>
            <w:sz w:val="22"/>
            <w:szCs w:val="22"/>
            <w:b w:val="0"/>
            <w:bCs w:val="0"/>
            <w:i w:val="0"/>
            <w:iCs w:val="0"/>
          </w:rPr>
          <w:t>سليم بن قيس هلالي - 76؟ ه-</w:t>
        </w:r>
        <w:r>
          <w:tab/>
        </w:r>
        <w:r>
          <w:fldChar w:fldCharType="begin"/>
        </w:r>
        <w:r>
          <w:instrText xml:space="preserve">PAGEREF 3983 \h</w:instrText>
        </w:r>
        <w:r>
          <w:fldChar w:fldCharType="end"/>
        </w:r>
      </w:hyperlink>
    </w:p>
    <w:p>
      <w:pPr>
        <w:tabs>
          <w:tab w:val="right" w:leader="dot" w:pos="9062"/>
        </w:tabs>
        <w:ind w:left="220"/>
      </w:pPr>
      <w:hyperlink w:anchor="_Toc3984" w:history="1">
        <w:r>
          <w:rPr>
            <w:rFonts w:ascii="IRNazanin" w:hAnsi="IRNazanin" w:eastAsia="IRNazanin" w:cs="IRNazanin"/>
            <w:color w:val="111111"/>
            <w:sz w:val="22"/>
            <w:szCs w:val="22"/>
            <w:b w:val="0"/>
            <w:bCs w:val="0"/>
            <w:i w:val="0"/>
            <w:iCs w:val="0"/>
          </w:rPr>
          <w:t>سليم تهراني ، محمّد قلي - 1057 ه-</w:t>
        </w:r>
        <w:r>
          <w:tab/>
        </w:r>
        <w:r>
          <w:fldChar w:fldCharType="begin"/>
        </w:r>
        <w:r>
          <w:instrText xml:space="preserve">PAGEREF 3984 \h</w:instrText>
        </w:r>
        <w:r>
          <w:fldChar w:fldCharType="end"/>
        </w:r>
      </w:hyperlink>
    </w:p>
    <w:p>
      <w:pPr>
        <w:tabs>
          <w:tab w:val="right" w:leader="dot" w:pos="9062"/>
        </w:tabs>
        <w:ind w:left="220"/>
      </w:pPr>
      <w:hyperlink w:anchor="_Toc3985" w:history="1">
        <w:r>
          <w:rPr>
            <w:rFonts w:ascii="IRNazanin" w:hAnsi="IRNazanin" w:eastAsia="IRNazanin" w:cs="IRNazanin"/>
            <w:color w:val="111111"/>
            <w:sz w:val="22"/>
            <w:szCs w:val="22"/>
            <w:b w:val="0"/>
            <w:bCs w:val="0"/>
            <w:i w:val="0"/>
            <w:iCs w:val="0"/>
          </w:rPr>
          <w:t>سليمي ، احمد</w:t>
        </w:r>
        <w:r>
          <w:tab/>
        </w:r>
        <w:r>
          <w:fldChar w:fldCharType="begin"/>
        </w:r>
        <w:r>
          <w:instrText xml:space="preserve">PAGEREF 3985 \h</w:instrText>
        </w:r>
        <w:r>
          <w:fldChar w:fldCharType="end"/>
        </w:r>
      </w:hyperlink>
    </w:p>
    <w:p>
      <w:pPr>
        <w:tabs>
          <w:tab w:val="right" w:leader="dot" w:pos="9062"/>
        </w:tabs>
        <w:ind w:left="220"/>
      </w:pPr>
      <w:hyperlink w:anchor="_Toc3986" w:history="1">
        <w:r>
          <w:rPr>
            <w:rFonts w:ascii="IRNazanin" w:hAnsi="IRNazanin" w:eastAsia="IRNazanin" w:cs="IRNazanin"/>
            <w:color w:val="111111"/>
            <w:sz w:val="22"/>
            <w:szCs w:val="22"/>
            <w:b w:val="0"/>
            <w:bCs w:val="0"/>
            <w:i w:val="0"/>
            <w:iCs w:val="0"/>
          </w:rPr>
          <w:t>سليمي، عبد الحي بن ابي بكر قرن 11 ه-</w:t>
        </w:r>
        <w:r>
          <w:tab/>
        </w:r>
        <w:r>
          <w:fldChar w:fldCharType="begin"/>
        </w:r>
        <w:r>
          <w:instrText xml:space="preserve">PAGEREF 3986 \h</w:instrText>
        </w:r>
        <w:r>
          <w:fldChar w:fldCharType="end"/>
        </w:r>
      </w:hyperlink>
    </w:p>
    <w:p>
      <w:pPr>
        <w:tabs>
          <w:tab w:val="right" w:leader="dot" w:pos="9062"/>
        </w:tabs>
        <w:ind w:left="220"/>
      </w:pPr>
      <w:hyperlink w:anchor="_Toc3987" w:history="1">
        <w:r>
          <w:rPr>
            <w:rFonts w:ascii="IRNazanin" w:hAnsi="IRNazanin" w:eastAsia="IRNazanin" w:cs="IRNazanin"/>
            <w:color w:val="111111"/>
            <w:sz w:val="22"/>
            <w:szCs w:val="22"/>
            <w:b w:val="0"/>
            <w:bCs w:val="0"/>
            <w:i w:val="0"/>
            <w:iCs w:val="0"/>
          </w:rPr>
          <w:t>سماتي مدني ، محمّد بن عبدالكريم</w:t>
        </w:r>
        <w:r>
          <w:tab/>
        </w:r>
        <w:r>
          <w:fldChar w:fldCharType="begin"/>
        </w:r>
        <w:r>
          <w:instrText xml:space="preserve">PAGEREF 3987 \h</w:instrText>
        </w:r>
        <w:r>
          <w:fldChar w:fldCharType="end"/>
        </w:r>
      </w:hyperlink>
    </w:p>
    <w:p>
      <w:pPr>
        <w:tabs>
          <w:tab w:val="right" w:leader="dot" w:pos="9062"/>
        </w:tabs>
        <w:ind w:left="220"/>
      </w:pPr>
      <w:hyperlink w:anchor="_Toc3988" w:history="1">
        <w:r>
          <w:rPr>
            <w:rFonts w:ascii="IRNazanin" w:hAnsi="IRNazanin" w:eastAsia="IRNazanin" w:cs="IRNazanin"/>
            <w:color w:val="111111"/>
            <w:sz w:val="22"/>
            <w:szCs w:val="22"/>
            <w:b w:val="0"/>
            <w:bCs w:val="0"/>
            <w:i w:val="0"/>
            <w:iCs w:val="0"/>
          </w:rPr>
          <w:t>سماسي ، محمّد بن سعيد</w:t>
        </w:r>
        <w:r>
          <w:tab/>
        </w:r>
        <w:r>
          <w:fldChar w:fldCharType="begin"/>
        </w:r>
        <w:r>
          <w:instrText xml:space="preserve">PAGEREF 3988 \h</w:instrText>
        </w:r>
        <w:r>
          <w:fldChar w:fldCharType="end"/>
        </w:r>
      </w:hyperlink>
    </w:p>
    <w:p>
      <w:pPr>
        <w:tabs>
          <w:tab w:val="right" w:leader="dot" w:pos="9062"/>
        </w:tabs>
        <w:ind w:left="220"/>
      </w:pPr>
      <w:hyperlink w:anchor="_Toc3989" w:history="1">
        <w:r>
          <w:rPr>
            <w:rFonts w:ascii="IRNazanin" w:hAnsi="IRNazanin" w:eastAsia="IRNazanin" w:cs="IRNazanin"/>
            <w:color w:val="111111"/>
            <w:sz w:val="22"/>
            <w:szCs w:val="22"/>
            <w:b w:val="0"/>
            <w:bCs w:val="0"/>
            <w:i w:val="0"/>
            <w:iCs w:val="0"/>
          </w:rPr>
          <w:t>سمانودي ، منصور بن عيسى قرن 11 ه-</w:t>
        </w:r>
        <w:r>
          <w:tab/>
        </w:r>
        <w:r>
          <w:fldChar w:fldCharType="begin"/>
        </w:r>
        <w:r>
          <w:instrText xml:space="preserve">PAGEREF 3989 \h</w:instrText>
        </w:r>
        <w:r>
          <w:fldChar w:fldCharType="end"/>
        </w:r>
      </w:hyperlink>
    </w:p>
    <w:p>
      <w:pPr>
        <w:tabs>
          <w:tab w:val="right" w:leader="dot" w:pos="9062"/>
        </w:tabs>
        <w:ind w:left="220"/>
      </w:pPr>
      <w:hyperlink w:anchor="_Toc3990" w:history="1">
        <w:r>
          <w:rPr>
            <w:rFonts w:ascii="IRNazanin" w:hAnsi="IRNazanin" w:eastAsia="IRNazanin" w:cs="IRNazanin"/>
            <w:color w:val="111111"/>
            <w:sz w:val="22"/>
            <w:szCs w:val="22"/>
            <w:b w:val="0"/>
            <w:bCs w:val="0"/>
            <w:i w:val="0"/>
            <w:iCs w:val="0"/>
          </w:rPr>
          <w:t>سماهيجي ، عبدالله بن صالح، 1076؟ -</w:t>
        </w:r>
        <w:r>
          <w:tab/>
        </w:r>
        <w:r>
          <w:fldChar w:fldCharType="begin"/>
        </w:r>
        <w:r>
          <w:instrText xml:space="preserve">PAGEREF 3990 \h</w:instrText>
        </w:r>
        <w:r>
          <w:fldChar w:fldCharType="end"/>
        </w:r>
      </w:hyperlink>
    </w:p>
    <w:p>
      <w:pPr>
        <w:tabs>
          <w:tab w:val="right" w:leader="dot" w:pos="9062"/>
        </w:tabs>
        <w:ind w:left="220"/>
      </w:pPr>
      <w:hyperlink w:anchor="_Toc3991" w:history="1">
        <w:r>
          <w:rPr>
            <w:rFonts w:ascii="IRNazanin" w:hAnsi="IRNazanin" w:eastAsia="IRNazanin" w:cs="IRNazanin"/>
            <w:color w:val="111111"/>
            <w:sz w:val="22"/>
            <w:szCs w:val="22"/>
            <w:b w:val="0"/>
            <w:bCs w:val="0"/>
            <w:i w:val="0"/>
            <w:iCs w:val="0"/>
          </w:rPr>
          <w:t>سماوي ، محمّد بن محمّد طاهر، 1292 -</w:t>
        </w:r>
        <w:r>
          <w:tab/>
        </w:r>
        <w:r>
          <w:fldChar w:fldCharType="begin"/>
        </w:r>
        <w:r>
          <w:instrText xml:space="preserve">PAGEREF 3991 \h</w:instrText>
        </w:r>
        <w:r>
          <w:fldChar w:fldCharType="end"/>
        </w:r>
      </w:hyperlink>
    </w:p>
    <w:p>
      <w:pPr>
        <w:tabs>
          <w:tab w:val="right" w:leader="dot" w:pos="9062"/>
        </w:tabs>
        <w:ind w:left="220"/>
      </w:pPr>
      <w:hyperlink w:anchor="_Toc3992" w:history="1">
        <w:r>
          <w:rPr>
            <w:rFonts w:ascii="IRNazanin" w:hAnsi="IRNazanin" w:eastAsia="IRNazanin" w:cs="IRNazanin"/>
            <w:color w:val="111111"/>
            <w:sz w:val="22"/>
            <w:szCs w:val="22"/>
            <w:b w:val="0"/>
            <w:bCs w:val="0"/>
            <w:i w:val="0"/>
            <w:iCs w:val="0"/>
          </w:rPr>
          <w:t>سماوي ، محمّد طاهر</w:t>
        </w:r>
        <w:r>
          <w:tab/>
        </w:r>
        <w:r>
          <w:fldChar w:fldCharType="begin"/>
        </w:r>
        <w:r>
          <w:instrText xml:space="preserve">PAGEREF 3992 \h</w:instrText>
        </w:r>
        <w:r>
          <w:fldChar w:fldCharType="end"/>
        </w:r>
      </w:hyperlink>
    </w:p>
    <w:p>
      <w:pPr>
        <w:tabs>
          <w:tab w:val="right" w:leader="dot" w:pos="9062"/>
        </w:tabs>
        <w:ind w:left="220"/>
      </w:pPr>
      <w:hyperlink w:anchor="_Toc3993" w:history="1">
        <w:r>
          <w:rPr>
            <w:rFonts w:ascii="IRNazanin" w:hAnsi="IRNazanin" w:eastAsia="IRNazanin" w:cs="IRNazanin"/>
            <w:color w:val="111111"/>
            <w:sz w:val="22"/>
            <w:szCs w:val="22"/>
            <w:b w:val="0"/>
            <w:bCs w:val="0"/>
            <w:i w:val="0"/>
            <w:iCs w:val="0"/>
          </w:rPr>
          <w:t>سمتي ، يوسف بن خالد قرن 2 ه-</w:t>
        </w:r>
        <w:r>
          <w:tab/>
        </w:r>
        <w:r>
          <w:fldChar w:fldCharType="begin"/>
        </w:r>
        <w:r>
          <w:instrText xml:space="preserve">PAGEREF 3993 \h</w:instrText>
        </w:r>
        <w:r>
          <w:fldChar w:fldCharType="end"/>
        </w:r>
      </w:hyperlink>
    </w:p>
    <w:p>
      <w:pPr>
        <w:tabs>
          <w:tab w:val="right" w:leader="dot" w:pos="9062"/>
        </w:tabs>
        <w:ind w:left="220"/>
      </w:pPr>
      <w:hyperlink w:anchor="_Toc3994" w:history="1">
        <w:r>
          <w:rPr>
            <w:rFonts w:ascii="IRNazanin" w:hAnsi="IRNazanin" w:eastAsia="IRNazanin" w:cs="IRNazanin"/>
            <w:color w:val="111111"/>
            <w:sz w:val="22"/>
            <w:szCs w:val="22"/>
            <w:b w:val="0"/>
            <w:bCs w:val="0"/>
            <w:i w:val="0"/>
            <w:iCs w:val="0"/>
          </w:rPr>
          <w:t>سمرقندي ، احمد بن محمّد - 550 ه-</w:t>
        </w:r>
        <w:r>
          <w:tab/>
        </w:r>
        <w:r>
          <w:fldChar w:fldCharType="begin"/>
        </w:r>
        <w:r>
          <w:instrText xml:space="preserve">PAGEREF 3994 \h</w:instrText>
        </w:r>
        <w:r>
          <w:fldChar w:fldCharType="end"/>
        </w:r>
      </w:hyperlink>
    </w:p>
    <w:p>
      <w:pPr>
        <w:tabs>
          <w:tab w:val="right" w:leader="dot" w:pos="9062"/>
        </w:tabs>
        <w:ind w:left="220"/>
      </w:pPr>
      <w:hyperlink w:anchor="_Toc3995" w:history="1">
        <w:r>
          <w:rPr>
            <w:rFonts w:ascii="IRNazanin" w:hAnsi="IRNazanin" w:eastAsia="IRNazanin" w:cs="IRNazanin"/>
            <w:color w:val="111111"/>
            <w:sz w:val="22"/>
            <w:szCs w:val="22"/>
            <w:b w:val="0"/>
            <w:bCs w:val="0"/>
            <w:i w:val="0"/>
            <w:iCs w:val="0"/>
          </w:rPr>
          <w:t>سمرقندي ، اسحاق بن محمّد، - 342 ه-</w:t>
        </w:r>
        <w:r>
          <w:tab/>
        </w:r>
        <w:r>
          <w:fldChar w:fldCharType="begin"/>
        </w:r>
        <w:r>
          <w:instrText xml:space="preserve">PAGEREF 3995 \h</w:instrText>
        </w:r>
        <w:r>
          <w:fldChar w:fldCharType="end"/>
        </w:r>
      </w:hyperlink>
    </w:p>
    <w:p>
      <w:pPr>
        <w:tabs>
          <w:tab w:val="right" w:leader="dot" w:pos="9062"/>
        </w:tabs>
        <w:ind w:left="220"/>
      </w:pPr>
      <w:hyperlink w:anchor="_Toc3996" w:history="1">
        <w:r>
          <w:rPr>
            <w:rFonts w:ascii="IRNazanin" w:hAnsi="IRNazanin" w:eastAsia="IRNazanin" w:cs="IRNazanin"/>
            <w:color w:val="111111"/>
            <w:sz w:val="22"/>
            <w:szCs w:val="22"/>
            <w:b w:val="0"/>
            <w:bCs w:val="0"/>
            <w:i w:val="0"/>
            <w:iCs w:val="0"/>
          </w:rPr>
          <w:t>سمرقندي، اسماعيل بن احمد - 536 ه-</w:t>
        </w:r>
        <w:r>
          <w:tab/>
        </w:r>
        <w:r>
          <w:fldChar w:fldCharType="begin"/>
        </w:r>
        <w:r>
          <w:instrText xml:space="preserve">PAGEREF 3996 \h</w:instrText>
        </w:r>
        <w:r>
          <w:fldChar w:fldCharType="end"/>
        </w:r>
      </w:hyperlink>
    </w:p>
    <w:p>
      <w:pPr>
        <w:tabs>
          <w:tab w:val="right" w:leader="dot" w:pos="9062"/>
        </w:tabs>
        <w:ind w:left="220"/>
      </w:pPr>
      <w:hyperlink w:anchor="_Toc3997" w:history="1">
        <w:r>
          <w:rPr>
            <w:rFonts w:ascii="IRNazanin" w:hAnsi="IRNazanin" w:eastAsia="IRNazanin" w:cs="IRNazanin"/>
            <w:color w:val="111111"/>
            <w:sz w:val="22"/>
            <w:szCs w:val="22"/>
            <w:b w:val="0"/>
            <w:bCs w:val="0"/>
            <w:i w:val="0"/>
            <w:iCs w:val="0"/>
          </w:rPr>
          <w:t>سمرقندي ، حسن بن احمد، 409 - 491 ؟</w:t>
        </w:r>
        <w:r>
          <w:tab/>
        </w:r>
        <w:r>
          <w:fldChar w:fldCharType="begin"/>
        </w:r>
        <w:r>
          <w:instrText xml:space="preserve">PAGEREF 3997 \h</w:instrText>
        </w:r>
        <w:r>
          <w:fldChar w:fldCharType="end"/>
        </w:r>
      </w:hyperlink>
    </w:p>
    <w:p>
      <w:pPr>
        <w:tabs>
          <w:tab w:val="right" w:leader="dot" w:pos="9062"/>
        </w:tabs>
        <w:ind w:left="220"/>
      </w:pPr>
      <w:hyperlink w:anchor="_Toc3998" w:history="1">
        <w:r>
          <w:rPr>
            <w:rFonts w:ascii="IRNazanin" w:hAnsi="IRNazanin" w:eastAsia="IRNazanin" w:cs="IRNazanin"/>
            <w:color w:val="111111"/>
            <w:sz w:val="22"/>
            <w:szCs w:val="22"/>
            <w:b w:val="0"/>
            <w:bCs w:val="0"/>
            <w:i w:val="0"/>
            <w:iCs w:val="0"/>
          </w:rPr>
          <w:t>سمرقندي ، سعيد بن علي</w:t>
        </w:r>
        <w:r>
          <w:tab/>
        </w:r>
        <w:r>
          <w:fldChar w:fldCharType="begin"/>
        </w:r>
        <w:r>
          <w:instrText xml:space="preserve">PAGEREF 3998 \h</w:instrText>
        </w:r>
        <w:r>
          <w:fldChar w:fldCharType="end"/>
        </w:r>
      </w:hyperlink>
    </w:p>
    <w:p>
      <w:pPr>
        <w:tabs>
          <w:tab w:val="right" w:leader="dot" w:pos="9062"/>
        </w:tabs>
        <w:ind w:left="220"/>
      </w:pPr>
      <w:hyperlink w:anchor="_Toc3999" w:history="1">
        <w:r>
          <w:rPr>
            <w:rFonts w:ascii="IRNazanin" w:hAnsi="IRNazanin" w:eastAsia="IRNazanin" w:cs="IRNazanin"/>
            <w:color w:val="111111"/>
            <w:sz w:val="22"/>
            <w:szCs w:val="22"/>
            <w:b w:val="0"/>
            <w:bCs w:val="0"/>
            <w:i w:val="0"/>
            <w:iCs w:val="0"/>
          </w:rPr>
          <w:t>سمرقندي ، عبدالله بن محمّد</w:t>
        </w:r>
        <w:r>
          <w:tab/>
        </w:r>
        <w:r>
          <w:fldChar w:fldCharType="begin"/>
        </w:r>
        <w:r>
          <w:instrText xml:space="preserve">PAGEREF 3999 \h</w:instrText>
        </w:r>
        <w:r>
          <w:fldChar w:fldCharType="end"/>
        </w:r>
      </w:hyperlink>
    </w:p>
    <w:p>
      <w:pPr>
        <w:tabs>
          <w:tab w:val="right" w:leader="dot" w:pos="9062"/>
        </w:tabs>
        <w:ind w:left="220"/>
      </w:pPr>
      <w:hyperlink w:anchor="_Toc4000" w:history="1">
        <w:r>
          <w:rPr>
            <w:rFonts w:ascii="IRNazanin" w:hAnsi="IRNazanin" w:eastAsia="IRNazanin" w:cs="IRNazanin"/>
            <w:color w:val="111111"/>
            <w:sz w:val="22"/>
            <w:szCs w:val="22"/>
            <w:b w:val="0"/>
            <w:bCs w:val="0"/>
            <w:i w:val="0"/>
            <w:iCs w:val="0"/>
          </w:rPr>
          <w:t>سمرقندي، عبيد الله بن محمّد - 701</w:t>
        </w:r>
        <w:r>
          <w:tab/>
        </w:r>
        <w:r>
          <w:fldChar w:fldCharType="begin"/>
        </w:r>
        <w:r>
          <w:instrText xml:space="preserve">PAGEREF 4000 \h</w:instrText>
        </w:r>
        <w:r>
          <w:fldChar w:fldCharType="end"/>
        </w:r>
      </w:hyperlink>
    </w:p>
    <w:p>
      <w:pPr>
        <w:tabs>
          <w:tab w:val="right" w:leader="dot" w:pos="9062"/>
        </w:tabs>
        <w:ind w:left="220"/>
      </w:pPr>
      <w:hyperlink w:anchor="_Toc4001" w:history="1">
        <w:r>
          <w:rPr>
            <w:rFonts w:ascii="IRNazanin" w:hAnsi="IRNazanin" w:eastAsia="IRNazanin" w:cs="IRNazanin"/>
            <w:color w:val="111111"/>
            <w:sz w:val="22"/>
            <w:szCs w:val="22"/>
            <w:b w:val="0"/>
            <w:bCs w:val="0"/>
            <w:i w:val="0"/>
            <w:iCs w:val="0"/>
          </w:rPr>
          <w:t>سمرقندي، عثمان بن احمد قرن 4 ه-</w:t>
        </w:r>
        <w:r>
          <w:tab/>
        </w:r>
        <w:r>
          <w:fldChar w:fldCharType="begin"/>
        </w:r>
        <w:r>
          <w:instrText xml:space="preserve">PAGEREF 4001 \h</w:instrText>
        </w:r>
        <w:r>
          <w:fldChar w:fldCharType="end"/>
        </w:r>
      </w:hyperlink>
    </w:p>
    <w:p>
      <w:pPr>
        <w:tabs>
          <w:tab w:val="right" w:leader="dot" w:pos="9062"/>
        </w:tabs>
        <w:ind w:left="220"/>
      </w:pPr>
      <w:hyperlink w:anchor="_Toc4002" w:history="1">
        <w:r>
          <w:rPr>
            <w:rFonts w:ascii="IRNazanin" w:hAnsi="IRNazanin" w:eastAsia="IRNazanin" w:cs="IRNazanin"/>
            <w:color w:val="111111"/>
            <w:sz w:val="22"/>
            <w:szCs w:val="22"/>
            <w:b w:val="0"/>
            <w:bCs w:val="0"/>
            <w:i w:val="0"/>
            <w:iCs w:val="0"/>
          </w:rPr>
          <w:t>سمرقندي ، علي قرن 11 ه-</w:t>
        </w:r>
        <w:r>
          <w:tab/>
        </w:r>
        <w:r>
          <w:fldChar w:fldCharType="begin"/>
        </w:r>
        <w:r>
          <w:instrText xml:space="preserve">PAGEREF 4002 \h</w:instrText>
        </w:r>
        <w:r>
          <w:fldChar w:fldCharType="end"/>
        </w:r>
      </w:hyperlink>
    </w:p>
    <w:p>
      <w:pPr>
        <w:tabs>
          <w:tab w:val="right" w:leader="dot" w:pos="9062"/>
        </w:tabs>
        <w:ind w:left="220"/>
      </w:pPr>
      <w:hyperlink w:anchor="_Toc4003" w:history="1">
        <w:r>
          <w:rPr>
            <w:rFonts w:ascii="IRNazanin" w:hAnsi="IRNazanin" w:eastAsia="IRNazanin" w:cs="IRNazanin"/>
            <w:color w:val="111111"/>
            <w:sz w:val="22"/>
            <w:szCs w:val="22"/>
            <w:b w:val="0"/>
            <w:bCs w:val="0"/>
            <w:i w:val="0"/>
            <w:iCs w:val="0"/>
          </w:rPr>
          <w:t>سمرقندي ، علي بن صدرالدين قرن 11</w:t>
        </w:r>
        <w:r>
          <w:tab/>
        </w:r>
        <w:r>
          <w:fldChar w:fldCharType="begin"/>
        </w:r>
        <w:r>
          <w:instrText xml:space="preserve">PAGEREF 4003 \h</w:instrText>
        </w:r>
        <w:r>
          <w:fldChar w:fldCharType="end"/>
        </w:r>
      </w:hyperlink>
    </w:p>
    <w:p>
      <w:pPr>
        <w:tabs>
          <w:tab w:val="right" w:leader="dot" w:pos="9062"/>
        </w:tabs>
        <w:ind w:left="220"/>
      </w:pPr>
      <w:hyperlink w:anchor="_Toc4004" w:history="1">
        <w:r>
          <w:rPr>
            <w:rFonts w:ascii="IRNazanin" w:hAnsi="IRNazanin" w:eastAsia="IRNazanin" w:cs="IRNazanin"/>
            <w:color w:val="111111"/>
            <w:sz w:val="22"/>
            <w:szCs w:val="22"/>
            <w:b w:val="0"/>
            <w:bCs w:val="0"/>
            <w:i w:val="0"/>
            <w:iCs w:val="0"/>
          </w:rPr>
          <w:t>سمرقندي، عمر بن حسن قرن 9 ه-</w:t>
        </w:r>
        <w:r>
          <w:tab/>
        </w:r>
        <w:r>
          <w:fldChar w:fldCharType="begin"/>
        </w:r>
        <w:r>
          <w:instrText xml:space="preserve">PAGEREF 4004 \h</w:instrText>
        </w:r>
        <w:r>
          <w:fldChar w:fldCharType="end"/>
        </w:r>
      </w:hyperlink>
    </w:p>
    <w:p>
      <w:pPr>
        <w:tabs>
          <w:tab w:val="right" w:leader="dot" w:pos="9062"/>
        </w:tabs>
        <w:ind w:left="220"/>
      </w:pPr>
      <w:hyperlink w:anchor="_Toc4005" w:history="1">
        <w:r>
          <w:rPr>
            <w:rFonts w:ascii="IRNazanin" w:hAnsi="IRNazanin" w:eastAsia="IRNazanin" w:cs="IRNazanin"/>
            <w:color w:val="111111"/>
            <w:sz w:val="22"/>
            <w:szCs w:val="22"/>
            <w:b w:val="0"/>
            <w:bCs w:val="0"/>
            <w:i w:val="0"/>
            <w:iCs w:val="0"/>
          </w:rPr>
          <w:t>سمرقندي ، محمّد بن أحمد - 553 ه-</w:t>
        </w:r>
        <w:r>
          <w:tab/>
        </w:r>
        <w:r>
          <w:fldChar w:fldCharType="begin"/>
        </w:r>
        <w:r>
          <w:instrText xml:space="preserve">PAGEREF 4005 \h</w:instrText>
        </w:r>
        <w:r>
          <w:fldChar w:fldCharType="end"/>
        </w:r>
      </w:hyperlink>
    </w:p>
    <w:p>
      <w:pPr>
        <w:tabs>
          <w:tab w:val="right" w:leader="dot" w:pos="9062"/>
        </w:tabs>
        <w:ind w:left="220"/>
      </w:pPr>
      <w:hyperlink w:anchor="_Toc4006" w:history="1">
        <w:r>
          <w:rPr>
            <w:rFonts w:ascii="IRNazanin" w:hAnsi="IRNazanin" w:eastAsia="IRNazanin" w:cs="IRNazanin"/>
            <w:color w:val="111111"/>
            <w:sz w:val="22"/>
            <w:szCs w:val="22"/>
            <w:b w:val="0"/>
            <w:bCs w:val="0"/>
            <w:i w:val="0"/>
            <w:iCs w:val="0"/>
          </w:rPr>
          <w:t>سمرقندي، محمّد بن اشرف - 700 ه-</w:t>
        </w:r>
        <w:r>
          <w:tab/>
        </w:r>
        <w:r>
          <w:fldChar w:fldCharType="begin"/>
        </w:r>
        <w:r>
          <w:instrText xml:space="preserve">PAGEREF 4006 \h</w:instrText>
        </w:r>
        <w:r>
          <w:fldChar w:fldCharType="end"/>
        </w:r>
      </w:hyperlink>
    </w:p>
    <w:p>
      <w:pPr>
        <w:tabs>
          <w:tab w:val="right" w:leader="dot" w:pos="9062"/>
        </w:tabs>
        <w:ind w:left="220"/>
      </w:pPr>
      <w:hyperlink w:anchor="_Toc4007" w:history="1">
        <w:r>
          <w:rPr>
            <w:rFonts w:ascii="IRNazanin" w:hAnsi="IRNazanin" w:eastAsia="IRNazanin" w:cs="IRNazanin"/>
            <w:color w:val="111111"/>
            <w:sz w:val="22"/>
            <w:szCs w:val="22"/>
            <w:b w:val="0"/>
            <w:bCs w:val="0"/>
            <w:i w:val="0"/>
            <w:iCs w:val="0"/>
          </w:rPr>
          <w:t>سمرقندي ، محمّد بن علي - 619 ه-</w:t>
        </w:r>
        <w:r>
          <w:tab/>
        </w:r>
        <w:r>
          <w:fldChar w:fldCharType="begin"/>
        </w:r>
        <w:r>
          <w:instrText xml:space="preserve">PAGEREF 4007 \h</w:instrText>
        </w:r>
        <w:r>
          <w:fldChar w:fldCharType="end"/>
        </w:r>
      </w:hyperlink>
    </w:p>
    <w:p>
      <w:pPr>
        <w:tabs>
          <w:tab w:val="right" w:leader="dot" w:pos="9062"/>
        </w:tabs>
        <w:ind w:left="220"/>
      </w:pPr>
      <w:hyperlink w:anchor="_Toc4008" w:history="1">
        <w:r>
          <w:rPr>
            <w:rFonts w:ascii="IRNazanin" w:hAnsi="IRNazanin" w:eastAsia="IRNazanin" w:cs="IRNazanin"/>
            <w:color w:val="111111"/>
            <w:sz w:val="22"/>
            <w:szCs w:val="22"/>
            <w:b w:val="0"/>
            <w:bCs w:val="0"/>
            <w:i w:val="0"/>
            <w:iCs w:val="0"/>
          </w:rPr>
          <w:t>سمرقندي، محمّد بن محمود - 780 ه-</w:t>
        </w:r>
        <w:r>
          <w:tab/>
        </w:r>
        <w:r>
          <w:fldChar w:fldCharType="begin"/>
        </w:r>
        <w:r>
          <w:instrText xml:space="preserve">PAGEREF 4008 \h</w:instrText>
        </w:r>
        <w:r>
          <w:fldChar w:fldCharType="end"/>
        </w:r>
      </w:hyperlink>
    </w:p>
    <w:p>
      <w:pPr>
        <w:tabs>
          <w:tab w:val="right" w:leader="dot" w:pos="9062"/>
        </w:tabs>
        <w:ind w:left="220"/>
      </w:pPr>
      <w:hyperlink w:anchor="_Toc4009" w:history="1">
        <w:r>
          <w:rPr>
            <w:rFonts w:ascii="IRNazanin" w:hAnsi="IRNazanin" w:eastAsia="IRNazanin" w:cs="IRNazanin"/>
            <w:color w:val="111111"/>
            <w:sz w:val="22"/>
            <w:szCs w:val="22"/>
            <w:b w:val="0"/>
            <w:bCs w:val="0"/>
            <w:i w:val="0"/>
            <w:iCs w:val="0"/>
          </w:rPr>
          <w:t>سمرقندي ، محمّد بن يوسف - 556ه-</w:t>
        </w:r>
        <w:r>
          <w:tab/>
        </w:r>
        <w:r>
          <w:fldChar w:fldCharType="begin"/>
        </w:r>
        <w:r>
          <w:instrText xml:space="preserve">PAGEREF 4009 \h</w:instrText>
        </w:r>
        <w:r>
          <w:fldChar w:fldCharType="end"/>
        </w:r>
      </w:hyperlink>
    </w:p>
    <w:p>
      <w:pPr>
        <w:tabs>
          <w:tab w:val="right" w:leader="dot" w:pos="9062"/>
        </w:tabs>
        <w:ind w:left="220"/>
      </w:pPr>
      <w:hyperlink w:anchor="_Toc4010" w:history="1">
        <w:r>
          <w:rPr>
            <w:rFonts w:ascii="IRNazanin" w:hAnsi="IRNazanin" w:eastAsia="IRNazanin" w:cs="IRNazanin"/>
            <w:color w:val="111111"/>
            <w:sz w:val="22"/>
            <w:szCs w:val="22"/>
            <w:b w:val="0"/>
            <w:bCs w:val="0"/>
            <w:i w:val="0"/>
            <w:iCs w:val="0"/>
          </w:rPr>
          <w:t>سمرقندي ، نصر بن محمّد - 375 ؟ ه-</w:t>
        </w:r>
        <w:r>
          <w:tab/>
        </w:r>
        <w:r>
          <w:fldChar w:fldCharType="begin"/>
        </w:r>
        <w:r>
          <w:instrText xml:space="preserve">PAGEREF 4010 \h</w:instrText>
        </w:r>
        <w:r>
          <w:fldChar w:fldCharType="end"/>
        </w:r>
      </w:hyperlink>
    </w:p>
    <w:p>
      <w:pPr>
        <w:tabs>
          <w:tab w:val="right" w:leader="dot" w:pos="9062"/>
        </w:tabs>
        <w:ind w:left="220"/>
      </w:pPr>
      <w:hyperlink w:anchor="_Toc4011" w:history="1">
        <w:r>
          <w:rPr>
            <w:rFonts w:ascii="IRNazanin" w:hAnsi="IRNazanin" w:eastAsia="IRNazanin" w:cs="IRNazanin"/>
            <w:color w:val="111111"/>
            <w:sz w:val="22"/>
            <w:szCs w:val="22"/>
            <w:b w:val="0"/>
            <w:bCs w:val="0"/>
            <w:i w:val="0"/>
            <w:iCs w:val="0"/>
          </w:rPr>
          <w:t>سمرقندي ، يار محمّد بن خداداد قرن 10 ه-</w:t>
        </w:r>
        <w:r>
          <w:tab/>
        </w:r>
        <w:r>
          <w:fldChar w:fldCharType="begin"/>
        </w:r>
        <w:r>
          <w:instrText xml:space="preserve">PAGEREF 4011 \h</w:instrText>
        </w:r>
        <w:r>
          <w:fldChar w:fldCharType="end"/>
        </w:r>
      </w:hyperlink>
    </w:p>
    <w:p>
      <w:pPr>
        <w:tabs>
          <w:tab w:val="right" w:leader="dot" w:pos="9062"/>
        </w:tabs>
        <w:ind w:left="220"/>
      </w:pPr>
      <w:hyperlink w:anchor="_Toc4012" w:history="1">
        <w:r>
          <w:rPr>
            <w:rFonts w:ascii="IRNazanin" w:hAnsi="IRNazanin" w:eastAsia="IRNazanin" w:cs="IRNazanin"/>
            <w:color w:val="111111"/>
            <w:sz w:val="22"/>
            <w:szCs w:val="22"/>
            <w:b w:val="0"/>
            <w:bCs w:val="0"/>
            <w:i w:val="0"/>
            <w:iCs w:val="0"/>
          </w:rPr>
          <w:t>سمعاني ، احمد بن عمر</w:t>
        </w:r>
        <w:r>
          <w:tab/>
        </w:r>
        <w:r>
          <w:fldChar w:fldCharType="begin"/>
        </w:r>
        <w:r>
          <w:instrText xml:space="preserve">PAGEREF 4012 \h</w:instrText>
        </w:r>
        <w:r>
          <w:fldChar w:fldCharType="end"/>
        </w:r>
      </w:hyperlink>
    </w:p>
    <w:p>
      <w:pPr>
        <w:tabs>
          <w:tab w:val="right" w:leader="dot" w:pos="9062"/>
        </w:tabs>
        <w:ind w:left="220"/>
      </w:pPr>
      <w:hyperlink w:anchor="_Toc4013" w:history="1">
        <w:r>
          <w:rPr>
            <w:rFonts w:ascii="IRNazanin" w:hAnsi="IRNazanin" w:eastAsia="IRNazanin" w:cs="IRNazanin"/>
            <w:color w:val="111111"/>
            <w:sz w:val="22"/>
            <w:szCs w:val="22"/>
            <w:b w:val="0"/>
            <w:bCs w:val="0"/>
            <w:i w:val="0"/>
            <w:iCs w:val="0"/>
          </w:rPr>
          <w:t>سمعاني ، عبدالكريم بن محمّد 506 -</w:t>
        </w:r>
        <w:r>
          <w:tab/>
        </w:r>
        <w:r>
          <w:fldChar w:fldCharType="begin"/>
        </w:r>
        <w:r>
          <w:instrText xml:space="preserve">PAGEREF 4013 \h</w:instrText>
        </w:r>
        <w:r>
          <w:fldChar w:fldCharType="end"/>
        </w:r>
      </w:hyperlink>
    </w:p>
    <w:p>
      <w:pPr>
        <w:tabs>
          <w:tab w:val="right" w:leader="dot" w:pos="9062"/>
        </w:tabs>
        <w:ind w:left="220"/>
      </w:pPr>
      <w:hyperlink w:anchor="_Toc4014" w:history="1">
        <w:r>
          <w:rPr>
            <w:rFonts w:ascii="IRNazanin" w:hAnsi="IRNazanin" w:eastAsia="IRNazanin" w:cs="IRNazanin"/>
            <w:color w:val="111111"/>
            <w:sz w:val="22"/>
            <w:szCs w:val="22"/>
            <w:b w:val="0"/>
            <w:bCs w:val="0"/>
            <w:i w:val="0"/>
            <w:iCs w:val="0"/>
          </w:rPr>
          <w:t>سملاوي ، عبد المعطي بن سالم - 1127</w:t>
        </w:r>
        <w:r>
          <w:tab/>
        </w:r>
        <w:r>
          <w:fldChar w:fldCharType="begin"/>
        </w:r>
        <w:r>
          <w:instrText xml:space="preserve">PAGEREF 4014 \h</w:instrText>
        </w:r>
        <w:r>
          <w:fldChar w:fldCharType="end"/>
        </w:r>
      </w:hyperlink>
    </w:p>
    <w:p>
      <w:pPr>
        <w:tabs>
          <w:tab w:val="right" w:leader="dot" w:pos="9062"/>
        </w:tabs>
        <w:ind w:left="220"/>
      </w:pPr>
      <w:hyperlink w:anchor="_Toc4015" w:history="1">
        <w:r>
          <w:rPr>
            <w:rFonts w:ascii="IRNazanin" w:hAnsi="IRNazanin" w:eastAsia="IRNazanin" w:cs="IRNazanin"/>
            <w:color w:val="111111"/>
            <w:sz w:val="22"/>
            <w:szCs w:val="22"/>
            <w:b w:val="0"/>
            <w:bCs w:val="0"/>
            <w:i w:val="0"/>
            <w:iCs w:val="0"/>
          </w:rPr>
          <w:t>سمناني ، ابوسعيد بن مهدي</w:t>
        </w:r>
        <w:r>
          <w:tab/>
        </w:r>
        <w:r>
          <w:fldChar w:fldCharType="begin"/>
        </w:r>
        <w:r>
          <w:instrText xml:space="preserve">PAGEREF 4015 \h</w:instrText>
        </w:r>
        <w:r>
          <w:fldChar w:fldCharType="end"/>
        </w:r>
      </w:hyperlink>
    </w:p>
    <w:p>
      <w:pPr>
        <w:tabs>
          <w:tab w:val="right" w:leader="dot" w:pos="9062"/>
        </w:tabs>
        <w:ind w:left="220"/>
      </w:pPr>
      <w:hyperlink w:anchor="_Toc4016" w:history="1">
        <w:r>
          <w:rPr>
            <w:rFonts w:ascii="IRNazanin" w:hAnsi="IRNazanin" w:eastAsia="IRNazanin" w:cs="IRNazanin"/>
            <w:color w:val="111111"/>
            <w:sz w:val="22"/>
            <w:szCs w:val="22"/>
            <w:b w:val="0"/>
            <w:bCs w:val="0"/>
            <w:i w:val="0"/>
            <w:iCs w:val="0"/>
          </w:rPr>
          <w:t>سمناني ، احمد بن ابراهيم</w:t>
        </w:r>
        <w:r>
          <w:tab/>
        </w:r>
        <w:r>
          <w:fldChar w:fldCharType="begin"/>
        </w:r>
        <w:r>
          <w:instrText xml:space="preserve">PAGEREF 4016 \h</w:instrText>
        </w:r>
        <w:r>
          <w:fldChar w:fldCharType="end"/>
        </w:r>
      </w:hyperlink>
    </w:p>
    <w:p>
      <w:pPr>
        <w:tabs>
          <w:tab w:val="right" w:leader="dot" w:pos="9062"/>
        </w:tabs>
        <w:ind w:left="220"/>
      </w:pPr>
      <w:hyperlink w:anchor="_Toc4017" w:history="1">
        <w:r>
          <w:rPr>
            <w:rFonts w:ascii="IRNazanin" w:hAnsi="IRNazanin" w:eastAsia="IRNazanin" w:cs="IRNazanin"/>
            <w:color w:val="111111"/>
            <w:sz w:val="22"/>
            <w:szCs w:val="22"/>
            <w:b w:val="0"/>
            <w:bCs w:val="0"/>
            <w:i w:val="0"/>
            <w:iCs w:val="0"/>
          </w:rPr>
          <w:t>سمناني ، احمد بن محمّد - 466 ه-</w:t>
        </w:r>
        <w:r>
          <w:tab/>
        </w:r>
        <w:r>
          <w:fldChar w:fldCharType="begin"/>
        </w:r>
        <w:r>
          <w:instrText xml:space="preserve">PAGEREF 4017 \h</w:instrText>
        </w:r>
        <w:r>
          <w:fldChar w:fldCharType="end"/>
        </w:r>
      </w:hyperlink>
    </w:p>
    <w:p>
      <w:pPr>
        <w:tabs>
          <w:tab w:val="right" w:leader="dot" w:pos="9062"/>
        </w:tabs>
        <w:ind w:left="220"/>
      </w:pPr>
      <w:hyperlink w:anchor="_Toc4018" w:history="1">
        <w:r>
          <w:rPr>
            <w:rFonts w:ascii="IRNazanin" w:hAnsi="IRNazanin" w:eastAsia="IRNazanin" w:cs="IRNazanin"/>
            <w:color w:val="111111"/>
            <w:sz w:val="22"/>
            <w:szCs w:val="22"/>
            <w:b w:val="0"/>
            <w:bCs w:val="0"/>
            <w:i w:val="0"/>
            <w:iCs w:val="0"/>
          </w:rPr>
          <w:t>سمناني ، سديدالدين</w:t>
        </w:r>
        <w:r>
          <w:tab/>
        </w:r>
        <w:r>
          <w:fldChar w:fldCharType="begin"/>
        </w:r>
        <w:r>
          <w:instrText xml:space="preserve">PAGEREF 4018 \h</w:instrText>
        </w:r>
        <w:r>
          <w:fldChar w:fldCharType="end"/>
        </w:r>
      </w:hyperlink>
    </w:p>
    <w:p>
      <w:pPr>
        <w:tabs>
          <w:tab w:val="right" w:leader="dot" w:pos="9062"/>
        </w:tabs>
        <w:ind w:left="220"/>
      </w:pPr>
      <w:hyperlink w:anchor="_Toc4019" w:history="1">
        <w:r>
          <w:rPr>
            <w:rFonts w:ascii="IRNazanin" w:hAnsi="IRNazanin" w:eastAsia="IRNazanin" w:cs="IRNazanin"/>
            <w:color w:val="111111"/>
            <w:sz w:val="22"/>
            <w:szCs w:val="22"/>
            <w:b w:val="0"/>
            <w:bCs w:val="0"/>
            <w:i w:val="0"/>
            <w:iCs w:val="0"/>
          </w:rPr>
          <w:t>سمناني ، علي بن عبدالله</w:t>
        </w:r>
        <w:r>
          <w:tab/>
        </w:r>
        <w:r>
          <w:fldChar w:fldCharType="begin"/>
        </w:r>
        <w:r>
          <w:instrText xml:space="preserve">PAGEREF 4019 \h</w:instrText>
        </w:r>
        <w:r>
          <w:fldChar w:fldCharType="end"/>
        </w:r>
      </w:hyperlink>
    </w:p>
    <w:p>
      <w:pPr>
        <w:tabs>
          <w:tab w:val="right" w:leader="dot" w:pos="9062"/>
        </w:tabs>
        <w:ind w:left="220"/>
      </w:pPr>
      <w:hyperlink w:anchor="_Toc4020" w:history="1">
        <w:r>
          <w:rPr>
            <w:rFonts w:ascii="IRNazanin" w:hAnsi="IRNazanin" w:eastAsia="IRNazanin" w:cs="IRNazanin"/>
            <w:color w:val="111111"/>
            <w:sz w:val="22"/>
            <w:szCs w:val="22"/>
            <w:b w:val="0"/>
            <w:bCs w:val="0"/>
            <w:i w:val="0"/>
            <w:iCs w:val="0"/>
          </w:rPr>
          <w:t>سمناني ، علي بن محمّد - 499 ه-</w:t>
        </w:r>
        <w:r>
          <w:tab/>
        </w:r>
        <w:r>
          <w:fldChar w:fldCharType="begin"/>
        </w:r>
        <w:r>
          <w:instrText xml:space="preserve">PAGEREF 4020 \h</w:instrText>
        </w:r>
        <w:r>
          <w:fldChar w:fldCharType="end"/>
        </w:r>
      </w:hyperlink>
    </w:p>
    <w:p>
      <w:pPr>
        <w:tabs>
          <w:tab w:val="right" w:leader="dot" w:pos="9062"/>
        </w:tabs>
        <w:ind w:left="220"/>
      </w:pPr>
      <w:hyperlink w:anchor="_Toc4021" w:history="1">
        <w:r>
          <w:rPr>
            <w:rFonts w:ascii="IRNazanin" w:hAnsi="IRNazanin" w:eastAsia="IRNazanin" w:cs="IRNazanin"/>
            <w:color w:val="111111"/>
            <w:sz w:val="22"/>
            <w:szCs w:val="22"/>
            <w:b w:val="0"/>
            <w:bCs w:val="0"/>
            <w:i w:val="0"/>
            <w:iCs w:val="0"/>
          </w:rPr>
          <w:t>سمنقاني ، حسين بن محمّد - 746 ه-</w:t>
        </w:r>
        <w:r>
          <w:tab/>
        </w:r>
        <w:r>
          <w:fldChar w:fldCharType="begin"/>
        </w:r>
        <w:r>
          <w:instrText xml:space="preserve">PAGEREF 4021 \h</w:instrText>
        </w:r>
        <w:r>
          <w:fldChar w:fldCharType="end"/>
        </w:r>
      </w:hyperlink>
    </w:p>
    <w:p>
      <w:pPr>
        <w:tabs>
          <w:tab w:val="right" w:leader="dot" w:pos="9062"/>
        </w:tabs>
        <w:ind w:left="220"/>
      </w:pPr>
      <w:hyperlink w:anchor="_Toc4022" w:history="1">
        <w:r>
          <w:rPr>
            <w:rFonts w:ascii="IRNazanin" w:hAnsi="IRNazanin" w:eastAsia="IRNazanin" w:cs="IRNazanin"/>
            <w:color w:val="111111"/>
            <w:sz w:val="22"/>
            <w:szCs w:val="22"/>
            <w:b w:val="0"/>
            <w:bCs w:val="0"/>
            <w:i w:val="0"/>
            <w:iCs w:val="0"/>
          </w:rPr>
          <w:t>سمهودي ، جلال الدين - 950 ه-</w:t>
        </w:r>
        <w:r>
          <w:tab/>
        </w:r>
        <w:r>
          <w:fldChar w:fldCharType="begin"/>
        </w:r>
        <w:r>
          <w:instrText xml:space="preserve">PAGEREF 4022 \h</w:instrText>
        </w:r>
        <w:r>
          <w:fldChar w:fldCharType="end"/>
        </w:r>
      </w:hyperlink>
    </w:p>
    <w:p>
      <w:pPr>
        <w:tabs>
          <w:tab w:val="right" w:leader="dot" w:pos="9062"/>
        </w:tabs>
        <w:ind w:left="220"/>
      </w:pPr>
      <w:hyperlink w:anchor="_Toc4023" w:history="1">
        <w:r>
          <w:rPr>
            <w:rFonts w:ascii="IRNazanin" w:hAnsi="IRNazanin" w:eastAsia="IRNazanin" w:cs="IRNazanin"/>
            <w:color w:val="111111"/>
            <w:sz w:val="22"/>
            <w:szCs w:val="22"/>
            <w:b w:val="0"/>
            <w:bCs w:val="0"/>
            <w:i w:val="0"/>
            <w:iCs w:val="0"/>
          </w:rPr>
          <w:t>سمهودي ، علي بن عبدالله، 844 - 911 ه-</w:t>
        </w:r>
        <w:r>
          <w:tab/>
        </w:r>
        <w:r>
          <w:fldChar w:fldCharType="begin"/>
        </w:r>
        <w:r>
          <w:instrText xml:space="preserve">PAGEREF 4023 \h</w:instrText>
        </w:r>
        <w:r>
          <w:fldChar w:fldCharType="end"/>
        </w:r>
      </w:hyperlink>
    </w:p>
    <w:p>
      <w:pPr>
        <w:tabs>
          <w:tab w:val="right" w:leader="dot" w:pos="9062"/>
        </w:tabs>
        <w:ind w:left="220"/>
      </w:pPr>
      <w:hyperlink w:anchor="_Toc4024" w:history="1">
        <w:r>
          <w:rPr>
            <w:rFonts w:ascii="IRNazanin" w:hAnsi="IRNazanin" w:eastAsia="IRNazanin" w:cs="IRNazanin"/>
            <w:color w:val="111111"/>
            <w:sz w:val="22"/>
            <w:szCs w:val="22"/>
            <w:b w:val="0"/>
            <w:bCs w:val="0"/>
            <w:i w:val="0"/>
            <w:iCs w:val="0"/>
          </w:rPr>
          <w:t>سموئل بن عاديا - 65 ؟ قبل هجرت</w:t>
        </w:r>
        <w:r>
          <w:tab/>
        </w:r>
        <w:r>
          <w:fldChar w:fldCharType="begin"/>
        </w:r>
        <w:r>
          <w:instrText xml:space="preserve">PAGEREF 4024 \h</w:instrText>
        </w:r>
        <w:r>
          <w:fldChar w:fldCharType="end"/>
        </w:r>
      </w:hyperlink>
    </w:p>
    <w:p>
      <w:pPr>
        <w:tabs>
          <w:tab w:val="right" w:leader="dot" w:pos="9062"/>
        </w:tabs>
        <w:ind w:left="220"/>
      </w:pPr>
      <w:hyperlink w:anchor="_Toc4025" w:history="1">
        <w:r>
          <w:rPr>
            <w:rFonts w:ascii="IRNazanin" w:hAnsi="IRNazanin" w:eastAsia="IRNazanin" w:cs="IRNazanin"/>
            <w:color w:val="111111"/>
            <w:sz w:val="22"/>
            <w:szCs w:val="22"/>
            <w:b w:val="0"/>
            <w:bCs w:val="0"/>
            <w:i w:val="0"/>
            <w:iCs w:val="0"/>
          </w:rPr>
          <w:t>سميعي ، حسين، 1254 - 1332 ش</w:t>
        </w:r>
        <w:r>
          <w:tab/>
        </w:r>
        <w:r>
          <w:fldChar w:fldCharType="begin"/>
        </w:r>
        <w:r>
          <w:instrText xml:space="preserve">PAGEREF 4025 \h</w:instrText>
        </w:r>
        <w:r>
          <w:fldChar w:fldCharType="end"/>
        </w:r>
      </w:hyperlink>
    </w:p>
    <w:p>
      <w:pPr>
        <w:tabs>
          <w:tab w:val="right" w:leader="dot" w:pos="9062"/>
        </w:tabs>
        <w:ind w:left="220"/>
      </w:pPr>
      <w:hyperlink w:anchor="_Toc4026" w:history="1">
        <w:r>
          <w:rPr>
            <w:rFonts w:ascii="IRNazanin" w:hAnsi="IRNazanin" w:eastAsia="IRNazanin" w:cs="IRNazanin"/>
            <w:color w:val="111111"/>
            <w:sz w:val="22"/>
            <w:szCs w:val="22"/>
            <w:b w:val="0"/>
            <w:bCs w:val="0"/>
            <w:i w:val="0"/>
            <w:iCs w:val="0"/>
          </w:rPr>
          <w:t>سمين ، احمد بن يوسف - 756 ه-</w:t>
        </w:r>
        <w:r>
          <w:tab/>
        </w:r>
        <w:r>
          <w:fldChar w:fldCharType="begin"/>
        </w:r>
        <w:r>
          <w:instrText xml:space="preserve">PAGEREF 4026 \h</w:instrText>
        </w:r>
        <w:r>
          <w:fldChar w:fldCharType="end"/>
        </w:r>
      </w:hyperlink>
    </w:p>
    <w:p>
      <w:pPr>
        <w:tabs>
          <w:tab w:val="right" w:leader="dot" w:pos="9062"/>
        </w:tabs>
        <w:ind w:left="220"/>
      </w:pPr>
      <w:hyperlink w:anchor="_Toc4027" w:history="1">
        <w:r>
          <w:rPr>
            <w:rFonts w:ascii="IRNazanin" w:hAnsi="IRNazanin" w:eastAsia="IRNazanin" w:cs="IRNazanin"/>
            <w:color w:val="111111"/>
            <w:sz w:val="22"/>
            <w:szCs w:val="22"/>
            <w:b w:val="0"/>
            <w:bCs w:val="0"/>
            <w:i w:val="0"/>
            <w:iCs w:val="0"/>
          </w:rPr>
          <w:t>سناري ، عبدالله بن ابراهيم</w:t>
        </w:r>
        <w:r>
          <w:tab/>
        </w:r>
        <w:r>
          <w:fldChar w:fldCharType="begin"/>
        </w:r>
        <w:r>
          <w:instrText xml:space="preserve">PAGEREF 4027 \h</w:instrText>
        </w:r>
        <w:r>
          <w:fldChar w:fldCharType="end"/>
        </w:r>
      </w:hyperlink>
    </w:p>
    <w:p>
      <w:pPr>
        <w:tabs>
          <w:tab w:val="right" w:leader="dot" w:pos="9062"/>
        </w:tabs>
        <w:ind w:left="220"/>
      </w:pPr>
      <w:hyperlink w:anchor="_Toc4028" w:history="1">
        <w:r>
          <w:rPr>
            <w:rFonts w:ascii="IRNazanin" w:hAnsi="IRNazanin" w:eastAsia="IRNazanin" w:cs="IRNazanin"/>
            <w:color w:val="111111"/>
            <w:sz w:val="22"/>
            <w:szCs w:val="22"/>
            <w:b w:val="0"/>
            <w:bCs w:val="0"/>
            <w:i w:val="0"/>
            <w:iCs w:val="0"/>
          </w:rPr>
          <w:t>سنان المحشي ، يوسف بن حسام الدين</w:t>
        </w:r>
        <w:r>
          <w:tab/>
        </w:r>
        <w:r>
          <w:fldChar w:fldCharType="begin"/>
        </w:r>
        <w:r>
          <w:instrText xml:space="preserve">PAGEREF 4028 \h</w:instrText>
        </w:r>
        <w:r>
          <w:fldChar w:fldCharType="end"/>
        </w:r>
      </w:hyperlink>
    </w:p>
    <w:p>
      <w:pPr>
        <w:tabs>
          <w:tab w:val="right" w:leader="dot" w:pos="9062"/>
        </w:tabs>
        <w:ind w:left="220"/>
      </w:pPr>
      <w:hyperlink w:anchor="_Toc4029" w:history="1">
        <w:r>
          <w:rPr>
            <w:rFonts w:ascii="IRNazanin" w:hAnsi="IRNazanin" w:eastAsia="IRNazanin" w:cs="IRNazanin"/>
            <w:color w:val="111111"/>
            <w:sz w:val="22"/>
            <w:szCs w:val="22"/>
            <w:b w:val="0"/>
            <w:bCs w:val="0"/>
            <w:i w:val="0"/>
            <w:iCs w:val="0"/>
          </w:rPr>
          <w:t>سنايي ، مجدود بن آدم، 473 - 525 ؟</w:t>
        </w:r>
        <w:r>
          <w:tab/>
        </w:r>
        <w:r>
          <w:fldChar w:fldCharType="begin"/>
        </w:r>
        <w:r>
          <w:instrText xml:space="preserve">PAGEREF 4029 \h</w:instrText>
        </w:r>
        <w:r>
          <w:fldChar w:fldCharType="end"/>
        </w:r>
      </w:hyperlink>
    </w:p>
    <w:p>
      <w:pPr>
        <w:tabs>
          <w:tab w:val="right" w:leader="dot" w:pos="9062"/>
        </w:tabs>
        <w:ind w:left="220"/>
      </w:pPr>
      <w:hyperlink w:anchor="_Toc4030" w:history="1">
        <w:r>
          <w:rPr>
            <w:rFonts w:ascii="IRNazanin" w:hAnsi="IRNazanin" w:eastAsia="IRNazanin" w:cs="IRNazanin"/>
            <w:color w:val="111111"/>
            <w:sz w:val="22"/>
            <w:szCs w:val="22"/>
            <w:b w:val="0"/>
            <w:bCs w:val="0"/>
            <w:i w:val="0"/>
            <w:iCs w:val="0"/>
          </w:rPr>
          <w:t>سنباطي ، احمد بن احمد - 995؟ ه-</w:t>
        </w:r>
        <w:r>
          <w:tab/>
        </w:r>
        <w:r>
          <w:fldChar w:fldCharType="begin"/>
        </w:r>
        <w:r>
          <w:instrText xml:space="preserve">PAGEREF 4030 \h</w:instrText>
        </w:r>
        <w:r>
          <w:fldChar w:fldCharType="end"/>
        </w:r>
      </w:hyperlink>
    </w:p>
    <w:p>
      <w:pPr>
        <w:tabs>
          <w:tab w:val="right" w:leader="dot" w:pos="9062"/>
        </w:tabs>
        <w:ind w:left="220"/>
      </w:pPr>
      <w:hyperlink w:anchor="_Toc4031" w:history="1">
        <w:r>
          <w:rPr>
            <w:rFonts w:ascii="IRNazanin" w:hAnsi="IRNazanin" w:eastAsia="IRNazanin" w:cs="IRNazanin"/>
            <w:color w:val="111111"/>
            <w:sz w:val="22"/>
            <w:szCs w:val="22"/>
            <w:b w:val="0"/>
            <w:bCs w:val="0"/>
            <w:i w:val="0"/>
            <w:iCs w:val="0"/>
          </w:rPr>
          <w:t>سنباوي، محمّد بن احمد - 1346 ه-</w:t>
        </w:r>
        <w:r>
          <w:tab/>
        </w:r>
        <w:r>
          <w:fldChar w:fldCharType="begin"/>
        </w:r>
        <w:r>
          <w:instrText xml:space="preserve">PAGEREF 4031 \h</w:instrText>
        </w:r>
        <w:r>
          <w:fldChar w:fldCharType="end"/>
        </w:r>
      </w:hyperlink>
    </w:p>
    <w:p>
      <w:pPr>
        <w:tabs>
          <w:tab w:val="right" w:leader="dot" w:pos="9062"/>
        </w:tabs>
        <w:ind w:left="220"/>
      </w:pPr>
      <w:hyperlink w:anchor="_Toc4032" w:history="1">
        <w:r>
          <w:rPr>
            <w:rFonts w:ascii="IRNazanin" w:hAnsi="IRNazanin" w:eastAsia="IRNazanin" w:cs="IRNazanin"/>
            <w:color w:val="111111"/>
            <w:sz w:val="22"/>
            <w:szCs w:val="22"/>
            <w:b w:val="0"/>
            <w:bCs w:val="0"/>
            <w:i w:val="0"/>
            <w:iCs w:val="0"/>
          </w:rPr>
          <w:t>سنباوي ، محمّد بن محمّد، 1154 - 1232</w:t>
        </w:r>
        <w:r>
          <w:tab/>
        </w:r>
        <w:r>
          <w:fldChar w:fldCharType="begin"/>
        </w:r>
        <w:r>
          <w:instrText xml:space="preserve">PAGEREF 4032 \h</w:instrText>
        </w:r>
        <w:r>
          <w:fldChar w:fldCharType="end"/>
        </w:r>
      </w:hyperlink>
    </w:p>
    <w:p>
      <w:pPr>
        <w:tabs>
          <w:tab w:val="right" w:leader="dot" w:pos="9062"/>
        </w:tabs>
        <w:ind w:left="220"/>
      </w:pPr>
      <w:hyperlink w:anchor="_Toc4033" w:history="1">
        <w:r>
          <w:rPr>
            <w:rFonts w:ascii="IRNazanin" w:hAnsi="IRNazanin" w:eastAsia="IRNazanin" w:cs="IRNazanin"/>
            <w:color w:val="111111"/>
            <w:sz w:val="22"/>
            <w:szCs w:val="22"/>
            <w:b w:val="0"/>
            <w:bCs w:val="0"/>
            <w:i w:val="0"/>
            <w:iCs w:val="0"/>
          </w:rPr>
          <w:t>سنبل زاده وهبي ، محمّد بن راشد</w:t>
        </w:r>
        <w:r>
          <w:tab/>
        </w:r>
        <w:r>
          <w:fldChar w:fldCharType="begin"/>
        </w:r>
        <w:r>
          <w:instrText xml:space="preserve">PAGEREF 4033 \h</w:instrText>
        </w:r>
        <w:r>
          <w:fldChar w:fldCharType="end"/>
        </w:r>
      </w:hyperlink>
    </w:p>
    <w:p>
      <w:pPr>
        <w:tabs>
          <w:tab w:val="right" w:leader="dot" w:pos="9062"/>
        </w:tabs>
        <w:ind w:left="220"/>
      </w:pPr>
      <w:hyperlink w:anchor="_Toc4034" w:history="1">
        <w:r>
          <w:rPr>
            <w:rFonts w:ascii="IRNazanin" w:hAnsi="IRNazanin" w:eastAsia="IRNazanin" w:cs="IRNazanin"/>
            <w:color w:val="111111"/>
            <w:sz w:val="22"/>
            <w:szCs w:val="22"/>
            <w:b w:val="0"/>
            <w:bCs w:val="0"/>
            <w:i w:val="0"/>
            <w:iCs w:val="0"/>
          </w:rPr>
          <w:t>سنبل محلاتي ، محمّد سعید بن محمّد،</w:t>
        </w:r>
        <w:r>
          <w:tab/>
        </w:r>
        <w:r>
          <w:fldChar w:fldCharType="begin"/>
        </w:r>
        <w:r>
          <w:instrText xml:space="preserve">PAGEREF 4034 \h</w:instrText>
        </w:r>
        <w:r>
          <w:fldChar w:fldCharType="end"/>
        </w:r>
      </w:hyperlink>
    </w:p>
    <w:p>
      <w:pPr>
        <w:tabs>
          <w:tab w:val="right" w:leader="dot" w:pos="9062"/>
        </w:tabs>
        <w:ind w:left="220"/>
      </w:pPr>
      <w:hyperlink w:anchor="_Toc4035" w:history="1">
        <w:r>
          <w:rPr>
            <w:rFonts w:ascii="IRNazanin" w:hAnsi="IRNazanin" w:eastAsia="IRNazanin" w:cs="IRNazanin"/>
            <w:color w:val="111111"/>
            <w:sz w:val="22"/>
            <w:szCs w:val="22"/>
            <w:b w:val="0"/>
            <w:bCs w:val="0"/>
            <w:i w:val="0"/>
            <w:iCs w:val="0"/>
          </w:rPr>
          <w:t>سنجاري ، اسعد بن يحيى 533 - 622 ه</w:t>
        </w:r>
        <w:r>
          <w:tab/>
        </w:r>
        <w:r>
          <w:fldChar w:fldCharType="begin"/>
        </w:r>
        <w:r>
          <w:instrText xml:space="preserve">PAGEREF 4035 \h</w:instrText>
        </w:r>
        <w:r>
          <w:fldChar w:fldCharType="end"/>
        </w:r>
      </w:hyperlink>
    </w:p>
    <w:p>
      <w:pPr>
        <w:tabs>
          <w:tab w:val="right" w:leader="dot" w:pos="9062"/>
        </w:tabs>
        <w:ind w:left="220"/>
      </w:pPr>
      <w:hyperlink w:anchor="_Toc4036" w:history="1">
        <w:r>
          <w:rPr>
            <w:rFonts w:ascii="IRNazanin" w:hAnsi="IRNazanin" w:eastAsia="IRNazanin" w:cs="IRNazanin"/>
            <w:color w:val="111111"/>
            <w:sz w:val="22"/>
            <w:szCs w:val="22"/>
            <w:b w:val="0"/>
            <w:bCs w:val="0"/>
            <w:i w:val="0"/>
            <w:iCs w:val="0"/>
          </w:rPr>
          <w:t>سنجاري، علي بن تاج الدين قرن 12 ه-</w:t>
        </w:r>
        <w:r>
          <w:tab/>
        </w:r>
        <w:r>
          <w:fldChar w:fldCharType="begin"/>
        </w:r>
        <w:r>
          <w:instrText xml:space="preserve">PAGEREF 4036 \h</w:instrText>
        </w:r>
        <w:r>
          <w:fldChar w:fldCharType="end"/>
        </w:r>
      </w:hyperlink>
    </w:p>
    <w:p>
      <w:pPr>
        <w:tabs>
          <w:tab w:val="right" w:leader="dot" w:pos="9062"/>
        </w:tabs>
        <w:ind w:left="220"/>
      </w:pPr>
      <w:hyperlink w:anchor="_Toc4037" w:history="1">
        <w:r>
          <w:rPr>
            <w:rFonts w:ascii="IRNazanin" w:hAnsi="IRNazanin" w:eastAsia="IRNazanin" w:cs="IRNazanin"/>
            <w:color w:val="111111"/>
            <w:sz w:val="22"/>
            <w:szCs w:val="22"/>
            <w:b w:val="0"/>
            <w:bCs w:val="0"/>
            <w:i w:val="0"/>
            <w:iCs w:val="0"/>
          </w:rPr>
          <w:t>سنجري ، مسعود بن محمّد قرن 8 ه-</w:t>
        </w:r>
        <w:r>
          <w:tab/>
        </w:r>
        <w:r>
          <w:fldChar w:fldCharType="begin"/>
        </w:r>
        <w:r>
          <w:instrText xml:space="preserve">PAGEREF 4037 \h</w:instrText>
        </w:r>
        <w:r>
          <w:fldChar w:fldCharType="end"/>
        </w:r>
      </w:hyperlink>
    </w:p>
    <w:p>
      <w:pPr>
        <w:tabs>
          <w:tab w:val="right" w:leader="dot" w:pos="9062"/>
        </w:tabs>
        <w:ind w:left="220"/>
      </w:pPr>
      <w:hyperlink w:anchor="_Toc4038" w:history="1">
        <w:r>
          <w:rPr>
            <w:rFonts w:ascii="IRNazanin" w:hAnsi="IRNazanin" w:eastAsia="IRNazanin" w:cs="IRNazanin"/>
            <w:color w:val="111111"/>
            <w:sz w:val="22"/>
            <w:szCs w:val="22"/>
            <w:b w:val="0"/>
            <w:bCs w:val="0"/>
            <w:i w:val="0"/>
            <w:iCs w:val="0"/>
          </w:rPr>
          <w:t>سندروسي ، محمّد بن محمّد - 1177 ه-</w:t>
        </w:r>
        <w:r>
          <w:tab/>
        </w:r>
        <w:r>
          <w:fldChar w:fldCharType="begin"/>
        </w:r>
        <w:r>
          <w:instrText xml:space="preserve">PAGEREF 4038 \h</w:instrText>
        </w:r>
        <w:r>
          <w:fldChar w:fldCharType="end"/>
        </w:r>
      </w:hyperlink>
    </w:p>
    <w:p>
      <w:pPr>
        <w:tabs>
          <w:tab w:val="right" w:leader="dot" w:pos="9062"/>
        </w:tabs>
        <w:ind w:left="220"/>
      </w:pPr>
      <w:hyperlink w:anchor="_Toc4039" w:history="1">
        <w:r>
          <w:rPr>
            <w:rFonts w:ascii="IRNazanin" w:hAnsi="IRNazanin" w:eastAsia="IRNazanin" w:cs="IRNazanin"/>
            <w:color w:val="111111"/>
            <w:sz w:val="22"/>
            <w:szCs w:val="22"/>
            <w:b w:val="0"/>
            <w:bCs w:val="0"/>
            <w:i w:val="0"/>
            <w:iCs w:val="0"/>
          </w:rPr>
          <w:t>سندوبي، احمد بن علي، 1029 - 1097 ه-</w:t>
        </w:r>
        <w:r>
          <w:tab/>
        </w:r>
        <w:r>
          <w:fldChar w:fldCharType="begin"/>
        </w:r>
        <w:r>
          <w:instrText xml:space="preserve">PAGEREF 4039 \h</w:instrText>
        </w:r>
        <w:r>
          <w:fldChar w:fldCharType="end"/>
        </w:r>
      </w:hyperlink>
    </w:p>
    <w:p>
      <w:pPr>
        <w:tabs>
          <w:tab w:val="right" w:leader="dot" w:pos="9062"/>
        </w:tabs>
        <w:ind w:left="220"/>
      </w:pPr>
      <w:hyperlink w:anchor="_Toc4040" w:history="1">
        <w:r>
          <w:rPr>
            <w:rFonts w:ascii="IRNazanin" w:hAnsi="IRNazanin" w:eastAsia="IRNazanin" w:cs="IRNazanin"/>
            <w:color w:val="111111"/>
            <w:sz w:val="22"/>
            <w:szCs w:val="22"/>
            <w:b w:val="0"/>
            <w:bCs w:val="0"/>
            <w:i w:val="0"/>
            <w:iCs w:val="0"/>
          </w:rPr>
          <w:t>سندي ، خلاد قرن 2 ه-</w:t>
        </w:r>
        <w:r>
          <w:tab/>
        </w:r>
        <w:r>
          <w:fldChar w:fldCharType="begin"/>
        </w:r>
        <w:r>
          <w:instrText xml:space="preserve">PAGEREF 4040 \h</w:instrText>
        </w:r>
        <w:r>
          <w:fldChar w:fldCharType="end"/>
        </w:r>
      </w:hyperlink>
    </w:p>
    <w:p>
      <w:pPr>
        <w:tabs>
          <w:tab w:val="right" w:leader="dot" w:pos="9062"/>
        </w:tabs>
        <w:ind w:left="220"/>
      </w:pPr>
      <w:hyperlink w:anchor="_Toc4041" w:history="1">
        <w:r>
          <w:rPr>
            <w:rFonts w:ascii="IRNazanin" w:hAnsi="IRNazanin" w:eastAsia="IRNazanin" w:cs="IRNazanin"/>
            <w:color w:val="111111"/>
            <w:sz w:val="22"/>
            <w:szCs w:val="22"/>
            <w:b w:val="0"/>
            <w:bCs w:val="0"/>
            <w:i w:val="0"/>
            <w:iCs w:val="0"/>
          </w:rPr>
          <w:t>سندي ، رحمة الله بن عبدالله - 990 ه-</w:t>
        </w:r>
        <w:r>
          <w:tab/>
        </w:r>
        <w:r>
          <w:fldChar w:fldCharType="begin"/>
        </w:r>
        <w:r>
          <w:instrText xml:space="preserve">PAGEREF 4041 \h</w:instrText>
        </w:r>
        <w:r>
          <w:fldChar w:fldCharType="end"/>
        </w:r>
      </w:hyperlink>
    </w:p>
    <w:p>
      <w:pPr>
        <w:tabs>
          <w:tab w:val="right" w:leader="dot" w:pos="9062"/>
        </w:tabs>
        <w:ind w:left="220"/>
      </w:pPr>
      <w:hyperlink w:anchor="_Toc4042" w:history="1">
        <w:r>
          <w:rPr>
            <w:rFonts w:ascii="IRNazanin" w:hAnsi="IRNazanin" w:eastAsia="IRNazanin" w:cs="IRNazanin"/>
            <w:color w:val="111111"/>
            <w:sz w:val="22"/>
            <w:szCs w:val="22"/>
            <w:b w:val="0"/>
            <w:bCs w:val="0"/>
            <w:i w:val="0"/>
            <w:iCs w:val="0"/>
          </w:rPr>
          <w:t>سنديلوي ، حمد الله بن فضل الله</w:t>
        </w:r>
        <w:r>
          <w:tab/>
        </w:r>
        <w:r>
          <w:fldChar w:fldCharType="begin"/>
        </w:r>
        <w:r>
          <w:instrText xml:space="preserve">PAGEREF 4042 \h</w:instrText>
        </w:r>
        <w:r>
          <w:fldChar w:fldCharType="end"/>
        </w:r>
      </w:hyperlink>
    </w:p>
    <w:p>
      <w:pPr>
        <w:tabs>
          <w:tab w:val="right" w:leader="dot" w:pos="9062"/>
        </w:tabs>
        <w:ind w:left="220"/>
      </w:pPr>
      <w:hyperlink w:anchor="_Toc4043" w:history="1">
        <w:r>
          <w:rPr>
            <w:rFonts w:ascii="IRNazanin" w:hAnsi="IRNazanin" w:eastAsia="IRNazanin" w:cs="IRNazanin"/>
            <w:color w:val="111111"/>
            <w:sz w:val="22"/>
            <w:szCs w:val="22"/>
            <w:b w:val="0"/>
            <w:bCs w:val="0"/>
            <w:i w:val="0"/>
            <w:iCs w:val="0"/>
          </w:rPr>
          <w:t>سندي ، محمّد بن هاشم قرن 12 ه-</w:t>
        </w:r>
        <w:r>
          <w:tab/>
        </w:r>
        <w:r>
          <w:fldChar w:fldCharType="begin"/>
        </w:r>
        <w:r>
          <w:instrText xml:space="preserve">PAGEREF 4043 \h</w:instrText>
        </w:r>
        <w:r>
          <w:fldChar w:fldCharType="end"/>
        </w:r>
      </w:hyperlink>
    </w:p>
    <w:p>
      <w:pPr>
        <w:tabs>
          <w:tab w:val="right" w:leader="dot" w:pos="9062"/>
        </w:tabs>
        <w:ind w:left="220"/>
      </w:pPr>
      <w:hyperlink w:anchor="_Toc4044" w:history="1">
        <w:r>
          <w:rPr>
            <w:rFonts w:ascii="IRNazanin" w:hAnsi="IRNazanin" w:eastAsia="IRNazanin" w:cs="IRNazanin"/>
            <w:color w:val="111111"/>
            <w:sz w:val="22"/>
            <w:szCs w:val="22"/>
            <w:b w:val="0"/>
            <w:bCs w:val="0"/>
            <w:i w:val="0"/>
            <w:iCs w:val="0"/>
          </w:rPr>
          <w:t>سندي مدني، ابوالحسن بن محمّد صادق</w:t>
        </w:r>
        <w:r>
          <w:tab/>
        </w:r>
        <w:r>
          <w:fldChar w:fldCharType="begin"/>
        </w:r>
        <w:r>
          <w:instrText xml:space="preserve">PAGEREF 4044 \h</w:instrText>
        </w:r>
        <w:r>
          <w:fldChar w:fldCharType="end"/>
        </w:r>
      </w:hyperlink>
    </w:p>
    <w:p>
      <w:pPr>
        <w:tabs>
          <w:tab w:val="right" w:leader="dot" w:pos="9062"/>
        </w:tabs>
        <w:ind w:left="220"/>
      </w:pPr>
      <w:hyperlink w:anchor="_Toc4045" w:history="1">
        <w:r>
          <w:rPr>
            <w:rFonts w:ascii="IRNazanin" w:hAnsi="IRNazanin" w:eastAsia="IRNazanin" w:cs="IRNazanin"/>
            <w:color w:val="111111"/>
            <w:sz w:val="22"/>
            <w:szCs w:val="22"/>
            <w:b w:val="0"/>
            <w:bCs w:val="0"/>
            <w:i w:val="0"/>
            <w:iCs w:val="0"/>
          </w:rPr>
          <w:t>سندي مدني ، محمّد حیات بن ابراهيم</w:t>
        </w:r>
        <w:r>
          <w:tab/>
        </w:r>
        <w:r>
          <w:fldChar w:fldCharType="begin"/>
        </w:r>
        <w:r>
          <w:instrText xml:space="preserve">PAGEREF 4045 \h</w:instrText>
        </w:r>
        <w:r>
          <w:fldChar w:fldCharType="end"/>
        </w:r>
      </w:hyperlink>
    </w:p>
    <w:p>
      <w:pPr>
        <w:tabs>
          <w:tab w:val="right" w:leader="dot" w:pos="9062"/>
        </w:tabs>
        <w:ind w:left="220"/>
      </w:pPr>
      <w:hyperlink w:anchor="_Toc4046" w:history="1">
        <w:r>
          <w:rPr>
            <w:rFonts w:ascii="IRNazanin" w:hAnsi="IRNazanin" w:eastAsia="IRNazanin" w:cs="IRNazanin"/>
            <w:color w:val="111111"/>
            <w:sz w:val="22"/>
            <w:szCs w:val="22"/>
            <w:b w:val="0"/>
            <w:bCs w:val="0"/>
            <w:i w:val="0"/>
            <w:iCs w:val="0"/>
          </w:rPr>
          <w:t>سنفي ، شهاب الدین احمد</w:t>
        </w:r>
        <w:r>
          <w:tab/>
        </w:r>
        <w:r>
          <w:fldChar w:fldCharType="begin"/>
        </w:r>
        <w:r>
          <w:instrText xml:space="preserve">PAGEREF 4046 \h</w:instrText>
        </w:r>
        <w:r>
          <w:fldChar w:fldCharType="end"/>
        </w:r>
      </w:hyperlink>
    </w:p>
    <w:p>
      <w:pPr>
        <w:tabs>
          <w:tab w:val="right" w:leader="dot" w:pos="9062"/>
        </w:tabs>
        <w:ind w:left="220"/>
      </w:pPr>
      <w:hyperlink w:anchor="_Toc4047" w:history="1">
        <w:r>
          <w:rPr>
            <w:rFonts w:ascii="IRNazanin" w:hAnsi="IRNazanin" w:eastAsia="IRNazanin" w:cs="IRNazanin"/>
            <w:color w:val="111111"/>
            <w:sz w:val="22"/>
            <w:szCs w:val="22"/>
            <w:b w:val="0"/>
            <w:bCs w:val="0"/>
            <w:i w:val="0"/>
            <w:iCs w:val="0"/>
          </w:rPr>
          <w:t>سنندجي ، احمد بن محمّد قسيم</w:t>
        </w:r>
        <w:r>
          <w:tab/>
        </w:r>
        <w:r>
          <w:fldChar w:fldCharType="begin"/>
        </w:r>
        <w:r>
          <w:instrText xml:space="preserve">PAGEREF 4047 \h</w:instrText>
        </w:r>
        <w:r>
          <w:fldChar w:fldCharType="end"/>
        </w:r>
      </w:hyperlink>
    </w:p>
    <w:p>
      <w:pPr>
        <w:tabs>
          <w:tab w:val="right" w:leader="dot" w:pos="9062"/>
        </w:tabs>
        <w:ind w:left="220"/>
      </w:pPr>
      <w:hyperlink w:anchor="_Toc4048" w:history="1">
        <w:r>
          <w:rPr>
            <w:rFonts w:ascii="IRNazanin" w:hAnsi="IRNazanin" w:eastAsia="IRNazanin" w:cs="IRNazanin"/>
            <w:color w:val="111111"/>
            <w:sz w:val="22"/>
            <w:szCs w:val="22"/>
            <w:b w:val="0"/>
            <w:bCs w:val="0"/>
            <w:i w:val="0"/>
            <w:iCs w:val="0"/>
          </w:rPr>
          <w:t>سنندجي ، محمّد بن عبدالرحيم</w:t>
        </w:r>
        <w:r>
          <w:tab/>
        </w:r>
        <w:r>
          <w:fldChar w:fldCharType="begin"/>
        </w:r>
        <w:r>
          <w:instrText xml:space="preserve">PAGEREF 4048 \h</w:instrText>
        </w:r>
        <w:r>
          <w:fldChar w:fldCharType="end"/>
        </w:r>
      </w:hyperlink>
    </w:p>
    <w:p>
      <w:pPr>
        <w:tabs>
          <w:tab w:val="right" w:leader="dot" w:pos="9062"/>
        </w:tabs>
        <w:ind w:left="220"/>
      </w:pPr>
      <w:hyperlink w:anchor="_Toc4049" w:history="1">
        <w:r>
          <w:rPr>
            <w:rFonts w:ascii="IRNazanin" w:hAnsi="IRNazanin" w:eastAsia="IRNazanin" w:cs="IRNazanin"/>
            <w:color w:val="111111"/>
            <w:sz w:val="22"/>
            <w:szCs w:val="22"/>
            <w:b w:val="0"/>
            <w:bCs w:val="0"/>
            <w:i w:val="0"/>
            <w:iCs w:val="0"/>
          </w:rPr>
          <w:t>سنهوري، علي بن عبد الله، 814 - 889 ه-</w:t>
        </w:r>
        <w:r>
          <w:tab/>
        </w:r>
        <w:r>
          <w:fldChar w:fldCharType="begin"/>
        </w:r>
        <w:r>
          <w:instrText xml:space="preserve">PAGEREF 4049 \h</w:instrText>
        </w:r>
        <w:r>
          <w:fldChar w:fldCharType="end"/>
        </w:r>
      </w:hyperlink>
    </w:p>
    <w:p>
      <w:pPr>
        <w:tabs>
          <w:tab w:val="right" w:leader="dot" w:pos="9062"/>
        </w:tabs>
        <w:ind w:left="220"/>
      </w:pPr>
      <w:hyperlink w:anchor="_Toc4050" w:history="1">
        <w:r>
          <w:rPr>
            <w:rFonts w:ascii="IRNazanin" w:hAnsi="IRNazanin" w:eastAsia="IRNazanin" w:cs="IRNazanin"/>
            <w:color w:val="111111"/>
            <w:sz w:val="22"/>
            <w:szCs w:val="22"/>
            <w:b w:val="0"/>
            <w:bCs w:val="0"/>
            <w:i w:val="0"/>
            <w:iCs w:val="0"/>
          </w:rPr>
          <w:t>سنوسي ، محمّد بن يوسف، 832 - 895</w:t>
        </w:r>
        <w:r>
          <w:tab/>
        </w:r>
        <w:r>
          <w:fldChar w:fldCharType="begin"/>
        </w:r>
        <w:r>
          <w:instrText xml:space="preserve">PAGEREF 4050 \h</w:instrText>
        </w:r>
        <w:r>
          <w:fldChar w:fldCharType="end"/>
        </w:r>
      </w:hyperlink>
    </w:p>
    <w:p>
      <w:pPr>
        <w:tabs>
          <w:tab w:val="right" w:leader="dot" w:pos="9062"/>
        </w:tabs>
        <w:ind w:left="220"/>
      </w:pPr>
      <w:hyperlink w:anchor="_Toc4051" w:history="1">
        <w:r>
          <w:rPr>
            <w:rFonts w:ascii="IRNazanin" w:hAnsi="IRNazanin" w:eastAsia="IRNazanin" w:cs="IRNazanin"/>
            <w:color w:val="111111"/>
            <w:sz w:val="22"/>
            <w:szCs w:val="22"/>
            <w:b w:val="0"/>
            <w:bCs w:val="0"/>
            <w:i w:val="0"/>
            <w:iCs w:val="0"/>
          </w:rPr>
          <w:t>سنوي ، سید عابد</w:t>
        </w:r>
        <w:r>
          <w:tab/>
        </w:r>
        <w:r>
          <w:fldChar w:fldCharType="begin"/>
        </w:r>
        <w:r>
          <w:instrText xml:space="preserve">PAGEREF 4051 \h</w:instrText>
        </w:r>
        <w:r>
          <w:fldChar w:fldCharType="end"/>
        </w:r>
      </w:hyperlink>
    </w:p>
    <w:p>
      <w:pPr>
        <w:tabs>
          <w:tab w:val="right" w:leader="dot" w:pos="9062"/>
        </w:tabs>
        <w:ind w:left="220"/>
      </w:pPr>
      <w:hyperlink w:anchor="_Toc4052" w:history="1">
        <w:r>
          <w:rPr>
            <w:rFonts w:ascii="IRNazanin" w:hAnsi="IRNazanin" w:eastAsia="IRNazanin" w:cs="IRNazanin"/>
            <w:color w:val="111111"/>
            <w:sz w:val="22"/>
            <w:szCs w:val="22"/>
            <w:b w:val="0"/>
            <w:bCs w:val="0"/>
            <w:i w:val="0"/>
            <w:iCs w:val="0"/>
          </w:rPr>
          <w:t>سنوي ، طه بن احمد - 1300 ه-</w:t>
        </w:r>
        <w:r>
          <w:tab/>
        </w:r>
        <w:r>
          <w:fldChar w:fldCharType="begin"/>
        </w:r>
        <w:r>
          <w:instrText xml:space="preserve">PAGEREF 4052 \h</w:instrText>
        </w:r>
        <w:r>
          <w:fldChar w:fldCharType="end"/>
        </w:r>
      </w:hyperlink>
    </w:p>
    <w:p>
      <w:pPr>
        <w:tabs>
          <w:tab w:val="right" w:leader="dot" w:pos="9062"/>
        </w:tabs>
        <w:ind w:left="220"/>
      </w:pPr>
      <w:hyperlink w:anchor="_Toc4053" w:history="1">
        <w:r>
          <w:rPr>
            <w:rFonts w:ascii="IRNazanin" w:hAnsi="IRNazanin" w:eastAsia="IRNazanin" w:cs="IRNazanin"/>
            <w:color w:val="111111"/>
            <w:sz w:val="22"/>
            <w:szCs w:val="22"/>
            <w:b w:val="0"/>
            <w:bCs w:val="0"/>
            <w:i w:val="0"/>
            <w:iCs w:val="0"/>
          </w:rPr>
          <w:t>سنوي كوراني ، احمد، قرن 13 ه-</w:t>
        </w:r>
        <w:r>
          <w:tab/>
        </w:r>
        <w:r>
          <w:fldChar w:fldCharType="begin"/>
        </w:r>
        <w:r>
          <w:instrText xml:space="preserve">PAGEREF 4053 \h</w:instrText>
        </w:r>
        <w:r>
          <w:fldChar w:fldCharType="end"/>
        </w:r>
      </w:hyperlink>
    </w:p>
    <w:p>
      <w:pPr>
        <w:tabs>
          <w:tab w:val="right" w:leader="dot" w:pos="9062"/>
        </w:tabs>
        <w:ind w:left="220"/>
      </w:pPr>
      <w:hyperlink w:anchor="_Toc4054" w:history="1">
        <w:r>
          <w:rPr>
            <w:rFonts w:ascii="IRNazanin" w:hAnsi="IRNazanin" w:eastAsia="IRNazanin" w:cs="IRNazanin"/>
            <w:color w:val="111111"/>
            <w:sz w:val="22"/>
            <w:szCs w:val="22"/>
            <w:b w:val="0"/>
            <w:bCs w:val="0"/>
            <w:i w:val="0"/>
            <w:iCs w:val="0"/>
          </w:rPr>
          <w:t>سهارنپوري، عابد حسین بن بخش حسین</w:t>
        </w:r>
        <w:r>
          <w:tab/>
        </w:r>
        <w:r>
          <w:fldChar w:fldCharType="begin"/>
        </w:r>
        <w:r>
          <w:instrText xml:space="preserve">PAGEREF 4054 \h</w:instrText>
        </w:r>
        <w:r>
          <w:fldChar w:fldCharType="end"/>
        </w:r>
      </w:hyperlink>
    </w:p>
    <w:p>
      <w:pPr>
        <w:tabs>
          <w:tab w:val="right" w:leader="dot" w:pos="9062"/>
        </w:tabs>
        <w:ind w:left="220"/>
      </w:pPr>
      <w:hyperlink w:anchor="_Toc4055" w:history="1">
        <w:r>
          <w:rPr>
            <w:rFonts w:ascii="IRNazanin" w:hAnsi="IRNazanin" w:eastAsia="IRNazanin" w:cs="IRNazanin"/>
            <w:color w:val="111111"/>
            <w:sz w:val="22"/>
            <w:szCs w:val="22"/>
            <w:b w:val="0"/>
            <w:bCs w:val="0"/>
            <w:i w:val="0"/>
            <w:iCs w:val="0"/>
          </w:rPr>
          <w:t>سهارنپوري ، عصمة الله بن اعظم</w:t>
        </w:r>
        <w:r>
          <w:tab/>
        </w:r>
        <w:r>
          <w:fldChar w:fldCharType="begin"/>
        </w:r>
        <w:r>
          <w:instrText xml:space="preserve">PAGEREF 4055 \h</w:instrText>
        </w:r>
        <w:r>
          <w:fldChar w:fldCharType="end"/>
        </w:r>
      </w:hyperlink>
    </w:p>
    <w:p>
      <w:pPr>
        <w:tabs>
          <w:tab w:val="right" w:leader="dot" w:pos="9062"/>
        </w:tabs>
        <w:ind w:left="220"/>
      </w:pPr>
      <w:hyperlink w:anchor="_Toc4056" w:history="1">
        <w:r>
          <w:rPr>
            <w:rFonts w:ascii="IRNazanin" w:hAnsi="IRNazanin" w:eastAsia="IRNazanin" w:cs="IRNazanin"/>
            <w:color w:val="111111"/>
            <w:sz w:val="22"/>
            <w:szCs w:val="22"/>
            <w:b w:val="0"/>
            <w:bCs w:val="0"/>
            <w:i w:val="0"/>
            <w:iCs w:val="0"/>
          </w:rPr>
          <w:t>سهارنفوري ، احمد بن علي قرن 12 ه-</w:t>
        </w:r>
        <w:r>
          <w:tab/>
        </w:r>
        <w:r>
          <w:fldChar w:fldCharType="begin"/>
        </w:r>
        <w:r>
          <w:instrText xml:space="preserve">PAGEREF 4056 \h</w:instrText>
        </w:r>
        <w:r>
          <w:fldChar w:fldCharType="end"/>
        </w:r>
      </w:hyperlink>
    </w:p>
    <w:p>
      <w:pPr>
        <w:tabs>
          <w:tab w:val="right" w:leader="dot" w:pos="9062"/>
        </w:tabs>
        <w:ind w:left="220"/>
      </w:pPr>
      <w:hyperlink w:anchor="_Toc4057" w:history="1">
        <w:r>
          <w:rPr>
            <w:rFonts w:ascii="IRNazanin" w:hAnsi="IRNazanin" w:eastAsia="IRNazanin" w:cs="IRNazanin"/>
            <w:color w:val="111111"/>
            <w:sz w:val="22"/>
            <w:szCs w:val="22"/>
            <w:b w:val="0"/>
            <w:bCs w:val="0"/>
            <w:i w:val="0"/>
            <w:iCs w:val="0"/>
          </w:rPr>
          <w:t>سهراني حسين آبادي ، علي بن عبدالله</w:t>
        </w:r>
        <w:r>
          <w:tab/>
        </w:r>
        <w:r>
          <w:fldChar w:fldCharType="begin"/>
        </w:r>
        <w:r>
          <w:instrText xml:space="preserve">PAGEREF 4057 \h</w:instrText>
        </w:r>
        <w:r>
          <w:fldChar w:fldCharType="end"/>
        </w:r>
      </w:hyperlink>
    </w:p>
    <w:p>
      <w:pPr>
        <w:tabs>
          <w:tab w:val="right" w:leader="dot" w:pos="9062"/>
        </w:tabs>
        <w:ind w:left="220"/>
      </w:pPr>
      <w:hyperlink w:anchor="_Toc4058" w:history="1">
        <w:r>
          <w:rPr>
            <w:rFonts w:ascii="IRNazanin" w:hAnsi="IRNazanin" w:eastAsia="IRNazanin" w:cs="IRNazanin"/>
            <w:color w:val="111111"/>
            <w:sz w:val="22"/>
            <w:szCs w:val="22"/>
            <w:b w:val="0"/>
            <w:bCs w:val="0"/>
            <w:i w:val="0"/>
            <w:iCs w:val="0"/>
          </w:rPr>
          <w:t>سهراني ، عبدالله بن حيدر</w:t>
        </w:r>
        <w:r>
          <w:tab/>
        </w:r>
        <w:r>
          <w:fldChar w:fldCharType="begin"/>
        </w:r>
        <w:r>
          <w:instrText xml:space="preserve">PAGEREF 4058 \h</w:instrText>
        </w:r>
        <w:r>
          <w:fldChar w:fldCharType="end"/>
        </w:r>
      </w:hyperlink>
    </w:p>
    <w:p>
      <w:pPr>
        <w:tabs>
          <w:tab w:val="right" w:leader="dot" w:pos="9062"/>
        </w:tabs>
        <w:ind w:left="220"/>
      </w:pPr>
      <w:hyperlink w:anchor="_Toc4059" w:history="1">
        <w:r>
          <w:rPr>
            <w:rFonts w:ascii="IRNazanin" w:hAnsi="IRNazanin" w:eastAsia="IRNazanin" w:cs="IRNazanin"/>
            <w:color w:val="111111"/>
            <w:sz w:val="22"/>
            <w:szCs w:val="22"/>
            <w:b w:val="0"/>
            <w:bCs w:val="0"/>
            <w:i w:val="0"/>
            <w:iCs w:val="0"/>
          </w:rPr>
          <w:t>سهراني ، محمّد بن ابي بكر قرن 11 ه-</w:t>
        </w:r>
        <w:r>
          <w:tab/>
        </w:r>
        <w:r>
          <w:fldChar w:fldCharType="begin"/>
        </w:r>
        <w:r>
          <w:instrText xml:space="preserve">PAGEREF 4059 \h</w:instrText>
        </w:r>
        <w:r>
          <w:fldChar w:fldCharType="end"/>
        </w:r>
      </w:hyperlink>
    </w:p>
    <w:p>
      <w:pPr>
        <w:tabs>
          <w:tab w:val="right" w:leader="dot" w:pos="9062"/>
        </w:tabs>
        <w:ind w:left="220"/>
      </w:pPr>
      <w:hyperlink w:anchor="_Toc4060" w:history="1">
        <w:r>
          <w:rPr>
            <w:rFonts w:ascii="IRNazanin" w:hAnsi="IRNazanin" w:eastAsia="IRNazanin" w:cs="IRNazanin"/>
            <w:color w:val="111111"/>
            <w:sz w:val="22"/>
            <w:szCs w:val="22"/>
            <w:b w:val="0"/>
            <w:bCs w:val="0"/>
            <w:i w:val="0"/>
            <w:iCs w:val="0"/>
          </w:rPr>
          <w:t>سهروردي ، عبد الرحمن بن محمّد -</w:t>
        </w:r>
        <w:r>
          <w:tab/>
        </w:r>
        <w:r>
          <w:fldChar w:fldCharType="begin"/>
        </w:r>
        <w:r>
          <w:instrText xml:space="preserve">PAGEREF 4060 \h</w:instrText>
        </w:r>
        <w:r>
          <w:fldChar w:fldCharType="end"/>
        </w:r>
      </w:hyperlink>
    </w:p>
    <w:p>
      <w:pPr>
        <w:tabs>
          <w:tab w:val="right" w:leader="dot" w:pos="9062"/>
        </w:tabs>
        <w:ind w:left="220"/>
      </w:pPr>
      <w:hyperlink w:anchor="_Toc4061" w:history="1">
        <w:r>
          <w:rPr>
            <w:rFonts w:ascii="IRNazanin" w:hAnsi="IRNazanin" w:eastAsia="IRNazanin" w:cs="IRNazanin"/>
            <w:color w:val="111111"/>
            <w:sz w:val="22"/>
            <w:szCs w:val="22"/>
            <w:b w:val="0"/>
            <w:bCs w:val="0"/>
            <w:i w:val="0"/>
            <w:iCs w:val="0"/>
          </w:rPr>
          <w:t>سهروردي ، عبد القاهر بن عبدالله 490 -</w:t>
        </w:r>
        <w:r>
          <w:tab/>
        </w:r>
        <w:r>
          <w:fldChar w:fldCharType="begin"/>
        </w:r>
        <w:r>
          <w:instrText xml:space="preserve">PAGEREF 4061 \h</w:instrText>
        </w:r>
        <w:r>
          <w:fldChar w:fldCharType="end"/>
        </w:r>
      </w:hyperlink>
    </w:p>
    <w:p>
      <w:pPr>
        <w:tabs>
          <w:tab w:val="right" w:leader="dot" w:pos="9062"/>
        </w:tabs>
        <w:ind w:left="220"/>
      </w:pPr>
      <w:hyperlink w:anchor="_Toc4062" w:history="1">
        <w:r>
          <w:rPr>
            <w:rFonts w:ascii="IRNazanin" w:hAnsi="IRNazanin" w:eastAsia="IRNazanin" w:cs="IRNazanin"/>
            <w:color w:val="111111"/>
            <w:sz w:val="22"/>
            <w:szCs w:val="22"/>
            <w:b w:val="0"/>
            <w:bCs w:val="0"/>
            <w:i w:val="0"/>
            <w:iCs w:val="0"/>
          </w:rPr>
          <w:t>سهروردي ، عمر بن محمّد، 542 - 622 ؟</w:t>
        </w:r>
        <w:r>
          <w:tab/>
        </w:r>
        <w:r>
          <w:fldChar w:fldCharType="begin"/>
        </w:r>
        <w:r>
          <w:instrText xml:space="preserve">PAGEREF 4062 \h</w:instrText>
        </w:r>
        <w:r>
          <w:fldChar w:fldCharType="end"/>
        </w:r>
      </w:hyperlink>
    </w:p>
    <w:p>
      <w:pPr>
        <w:tabs>
          <w:tab w:val="right" w:leader="dot" w:pos="9062"/>
        </w:tabs>
        <w:ind w:left="220"/>
      </w:pPr>
      <w:hyperlink w:anchor="_Toc4063" w:history="1">
        <w:r>
          <w:rPr>
            <w:rFonts w:ascii="IRNazanin" w:hAnsi="IRNazanin" w:eastAsia="IRNazanin" w:cs="IRNazanin"/>
            <w:color w:val="111111"/>
            <w:sz w:val="22"/>
            <w:szCs w:val="22"/>
            <w:b w:val="0"/>
            <w:bCs w:val="0"/>
            <w:i w:val="0"/>
            <w:iCs w:val="0"/>
          </w:rPr>
          <w:t>سهروردي ، محمّد امین بن عبدالرحمن</w:t>
        </w:r>
        <w:r>
          <w:tab/>
        </w:r>
        <w:r>
          <w:fldChar w:fldCharType="begin"/>
        </w:r>
        <w:r>
          <w:instrText xml:space="preserve">PAGEREF 4063 \h</w:instrText>
        </w:r>
        <w:r>
          <w:fldChar w:fldCharType="end"/>
        </w:r>
      </w:hyperlink>
    </w:p>
    <w:p>
      <w:pPr>
        <w:tabs>
          <w:tab w:val="right" w:leader="dot" w:pos="9062"/>
        </w:tabs>
        <w:ind w:left="220"/>
      </w:pPr>
      <w:hyperlink w:anchor="_Toc4064" w:history="1">
        <w:r>
          <w:rPr>
            <w:rFonts w:ascii="IRNazanin" w:hAnsi="IRNazanin" w:eastAsia="IRNazanin" w:cs="IRNazanin"/>
            <w:color w:val="111111"/>
            <w:sz w:val="22"/>
            <w:szCs w:val="22"/>
            <w:b w:val="0"/>
            <w:bCs w:val="0"/>
            <w:i w:val="0"/>
            <w:iCs w:val="0"/>
          </w:rPr>
          <w:t>سهروردي ، يحيى بن حبش 549 - 587</w:t>
        </w:r>
        <w:r>
          <w:tab/>
        </w:r>
        <w:r>
          <w:fldChar w:fldCharType="begin"/>
        </w:r>
        <w:r>
          <w:instrText xml:space="preserve">PAGEREF 4064 \h</w:instrText>
        </w:r>
        <w:r>
          <w:fldChar w:fldCharType="end"/>
        </w:r>
      </w:hyperlink>
    </w:p>
    <w:p>
      <w:pPr>
        <w:tabs>
          <w:tab w:val="right" w:leader="dot" w:pos="9062"/>
        </w:tabs>
        <w:ind w:left="220"/>
      </w:pPr>
      <w:hyperlink w:anchor="_Toc4065" w:history="1">
        <w:r>
          <w:rPr>
            <w:rFonts w:ascii="IRNazanin" w:hAnsi="IRNazanin" w:eastAsia="IRNazanin" w:cs="IRNazanin"/>
            <w:color w:val="111111"/>
            <w:sz w:val="22"/>
            <w:szCs w:val="22"/>
            <w:b w:val="0"/>
            <w:bCs w:val="0"/>
            <w:i w:val="0"/>
            <w:iCs w:val="0"/>
          </w:rPr>
          <w:t>سهسلوي ، كمال الدين بن نظام الدين</w:t>
        </w:r>
        <w:r>
          <w:tab/>
        </w:r>
        <w:r>
          <w:fldChar w:fldCharType="begin"/>
        </w:r>
        <w:r>
          <w:instrText xml:space="preserve">PAGEREF 4065 \h</w:instrText>
        </w:r>
        <w:r>
          <w:fldChar w:fldCharType="end"/>
        </w:r>
      </w:hyperlink>
    </w:p>
    <w:p>
      <w:pPr>
        <w:tabs>
          <w:tab w:val="right" w:leader="dot" w:pos="9062"/>
        </w:tabs>
        <w:ind w:left="220"/>
      </w:pPr>
      <w:hyperlink w:anchor="_Toc4066" w:history="1">
        <w:r>
          <w:rPr>
            <w:rFonts w:ascii="IRNazanin" w:hAnsi="IRNazanin" w:eastAsia="IRNazanin" w:cs="IRNazanin"/>
            <w:color w:val="111111"/>
            <w:sz w:val="22"/>
            <w:szCs w:val="22"/>
            <w:b w:val="0"/>
            <w:bCs w:val="0"/>
            <w:i w:val="0"/>
            <w:iCs w:val="0"/>
          </w:rPr>
          <w:t>سهمي ، حمزه بن ،یوسف، 340 - 427 ه-</w:t>
        </w:r>
        <w:r>
          <w:tab/>
        </w:r>
        <w:r>
          <w:fldChar w:fldCharType="begin"/>
        </w:r>
        <w:r>
          <w:instrText xml:space="preserve">PAGEREF 4066 \h</w:instrText>
        </w:r>
        <w:r>
          <w:fldChar w:fldCharType="end"/>
        </w:r>
      </w:hyperlink>
    </w:p>
    <w:p>
      <w:pPr>
        <w:tabs>
          <w:tab w:val="right" w:leader="dot" w:pos="9062"/>
        </w:tabs>
        <w:ind w:left="220"/>
      </w:pPr>
      <w:hyperlink w:anchor="_Toc4067" w:history="1">
        <w:r>
          <w:rPr>
            <w:rFonts w:ascii="IRNazanin" w:hAnsi="IRNazanin" w:eastAsia="IRNazanin" w:cs="IRNazanin"/>
            <w:color w:val="111111"/>
            <w:sz w:val="22"/>
            <w:szCs w:val="22"/>
            <w:b w:val="0"/>
            <w:bCs w:val="0"/>
            <w:i w:val="0"/>
            <w:iCs w:val="0"/>
          </w:rPr>
          <w:t>سهيلي ، عبدالرحمن بن عبدالله 508 -</w:t>
        </w:r>
        <w:r>
          <w:tab/>
        </w:r>
        <w:r>
          <w:fldChar w:fldCharType="begin"/>
        </w:r>
        <w:r>
          <w:instrText xml:space="preserve">PAGEREF 4067 \h</w:instrText>
        </w:r>
        <w:r>
          <w:fldChar w:fldCharType="end"/>
        </w:r>
      </w:hyperlink>
    </w:p>
    <w:p>
      <w:pPr>
        <w:tabs>
          <w:tab w:val="right" w:leader="dot" w:pos="9062"/>
        </w:tabs>
        <w:ind w:left="220"/>
      </w:pPr>
      <w:hyperlink w:anchor="_Toc4068" w:history="1">
        <w:r>
          <w:rPr>
            <w:rFonts w:ascii="IRNazanin" w:hAnsi="IRNazanin" w:eastAsia="IRNazanin" w:cs="IRNazanin"/>
            <w:color w:val="111111"/>
            <w:sz w:val="22"/>
            <w:szCs w:val="22"/>
            <w:b w:val="0"/>
            <w:bCs w:val="0"/>
            <w:i w:val="0"/>
            <w:iCs w:val="0"/>
          </w:rPr>
          <w:t>سوبيني، ابراهيم بن عمر 800 - 858 ه-</w:t>
        </w:r>
        <w:r>
          <w:tab/>
        </w:r>
        <w:r>
          <w:fldChar w:fldCharType="begin"/>
        </w:r>
        <w:r>
          <w:instrText xml:space="preserve">PAGEREF 4068 \h</w:instrText>
        </w:r>
        <w:r>
          <w:fldChar w:fldCharType="end"/>
        </w:r>
      </w:hyperlink>
    </w:p>
    <w:p>
      <w:pPr>
        <w:tabs>
          <w:tab w:val="right" w:leader="dot" w:pos="9062"/>
        </w:tabs>
        <w:ind w:left="220"/>
      </w:pPr>
      <w:hyperlink w:anchor="_Toc4069" w:history="1">
        <w:r>
          <w:rPr>
            <w:rFonts w:ascii="IRNazanin" w:hAnsi="IRNazanin" w:eastAsia="IRNazanin" w:cs="IRNazanin"/>
            <w:color w:val="111111"/>
            <w:sz w:val="22"/>
            <w:szCs w:val="22"/>
            <w:b w:val="0"/>
            <w:bCs w:val="0"/>
            <w:i w:val="0"/>
            <w:iCs w:val="0"/>
          </w:rPr>
          <w:t>سوداني ، عبدالرحيم</w:t>
        </w:r>
        <w:r>
          <w:tab/>
        </w:r>
        <w:r>
          <w:fldChar w:fldCharType="begin"/>
        </w:r>
        <w:r>
          <w:instrText xml:space="preserve">PAGEREF 4069 \h</w:instrText>
        </w:r>
        <w:r>
          <w:fldChar w:fldCharType="end"/>
        </w:r>
      </w:hyperlink>
    </w:p>
    <w:p>
      <w:pPr>
        <w:tabs>
          <w:tab w:val="right" w:leader="dot" w:pos="9062"/>
        </w:tabs>
        <w:ind w:left="220"/>
      </w:pPr>
      <w:hyperlink w:anchor="_Toc4070" w:history="1">
        <w:r>
          <w:rPr>
            <w:rFonts w:ascii="IRNazanin" w:hAnsi="IRNazanin" w:eastAsia="IRNazanin" w:cs="IRNazanin"/>
            <w:color w:val="111111"/>
            <w:sz w:val="22"/>
            <w:szCs w:val="22"/>
            <w:b w:val="0"/>
            <w:bCs w:val="0"/>
            <w:i w:val="0"/>
            <w:iCs w:val="0"/>
          </w:rPr>
          <w:t>سودي ، محمّد بن علي - 932 ه-</w:t>
        </w:r>
        <w:r>
          <w:tab/>
        </w:r>
        <w:r>
          <w:fldChar w:fldCharType="begin"/>
        </w:r>
        <w:r>
          <w:instrText xml:space="preserve">PAGEREF 4070 \h</w:instrText>
        </w:r>
        <w:r>
          <w:fldChar w:fldCharType="end"/>
        </w:r>
      </w:hyperlink>
    </w:p>
    <w:p>
      <w:pPr>
        <w:tabs>
          <w:tab w:val="right" w:leader="dot" w:pos="9062"/>
        </w:tabs>
        <w:ind w:left="220"/>
      </w:pPr>
      <w:hyperlink w:anchor="_Toc4071" w:history="1">
        <w:r>
          <w:rPr>
            <w:rFonts w:ascii="IRNazanin" w:hAnsi="IRNazanin" w:eastAsia="IRNazanin" w:cs="IRNazanin"/>
            <w:color w:val="111111"/>
            <w:sz w:val="22"/>
            <w:szCs w:val="22"/>
            <w:b w:val="0"/>
            <w:bCs w:val="0"/>
            <w:i w:val="0"/>
            <w:iCs w:val="0"/>
          </w:rPr>
          <w:t>سوربهاري، عبد الرحيم بن احمد قرن 10</w:t>
        </w:r>
        <w:r>
          <w:tab/>
        </w:r>
        <w:r>
          <w:fldChar w:fldCharType="begin"/>
        </w:r>
        <w:r>
          <w:instrText xml:space="preserve">PAGEREF 4071 \h</w:instrText>
        </w:r>
        <w:r>
          <w:fldChar w:fldCharType="end"/>
        </w:r>
      </w:hyperlink>
    </w:p>
    <w:p>
      <w:pPr>
        <w:tabs>
          <w:tab w:val="right" w:leader="dot" w:pos="9062"/>
        </w:tabs>
        <w:ind w:left="220"/>
      </w:pPr>
      <w:hyperlink w:anchor="_Toc4072" w:history="1">
        <w:r>
          <w:rPr>
            <w:rFonts w:ascii="IRNazanin" w:hAnsi="IRNazanin" w:eastAsia="IRNazanin" w:cs="IRNazanin"/>
            <w:color w:val="111111"/>
            <w:sz w:val="22"/>
            <w:szCs w:val="22"/>
            <w:b w:val="0"/>
            <w:bCs w:val="0"/>
            <w:i w:val="0"/>
            <w:iCs w:val="0"/>
          </w:rPr>
          <w:t>سوري يماني، هادي بن علي</w:t>
        </w:r>
        <w:r>
          <w:tab/>
        </w:r>
        <w:r>
          <w:fldChar w:fldCharType="begin"/>
        </w:r>
        <w:r>
          <w:instrText xml:space="preserve">PAGEREF 4072 \h</w:instrText>
        </w:r>
        <w:r>
          <w:fldChar w:fldCharType="end"/>
        </w:r>
      </w:hyperlink>
    </w:p>
    <w:p>
      <w:pPr>
        <w:tabs>
          <w:tab w:val="right" w:leader="dot" w:pos="9062"/>
        </w:tabs>
        <w:ind w:left="220"/>
      </w:pPr>
      <w:hyperlink w:anchor="_Toc4073" w:history="1">
        <w:r>
          <w:rPr>
            <w:rFonts w:ascii="IRNazanin" w:hAnsi="IRNazanin" w:eastAsia="IRNazanin" w:cs="IRNazanin"/>
            <w:color w:val="111111"/>
            <w:sz w:val="22"/>
            <w:szCs w:val="22"/>
            <w:b w:val="0"/>
            <w:bCs w:val="0"/>
            <w:i w:val="0"/>
            <w:iCs w:val="0"/>
          </w:rPr>
          <w:t>سوسي ، علي بن رسول قرن 12 ه-</w:t>
        </w:r>
        <w:r>
          <w:tab/>
        </w:r>
        <w:r>
          <w:fldChar w:fldCharType="begin"/>
        </w:r>
        <w:r>
          <w:instrText xml:space="preserve">PAGEREF 4073 \h</w:instrText>
        </w:r>
        <w:r>
          <w:fldChar w:fldCharType="end"/>
        </w:r>
      </w:hyperlink>
    </w:p>
    <w:p>
      <w:pPr>
        <w:tabs>
          <w:tab w:val="right" w:leader="dot" w:pos="9062"/>
        </w:tabs>
        <w:ind w:left="220"/>
      </w:pPr>
      <w:hyperlink w:anchor="_Toc4074" w:history="1">
        <w:r>
          <w:rPr>
            <w:rFonts w:ascii="IRNazanin" w:hAnsi="IRNazanin" w:eastAsia="IRNazanin" w:cs="IRNazanin"/>
            <w:color w:val="111111"/>
            <w:sz w:val="22"/>
            <w:szCs w:val="22"/>
            <w:b w:val="0"/>
            <w:bCs w:val="0"/>
            <w:i w:val="0"/>
            <w:iCs w:val="0"/>
          </w:rPr>
          <w:t>سوسي ، محمّد بن سعيد، 1007 - 1089</w:t>
        </w:r>
        <w:r>
          <w:tab/>
        </w:r>
        <w:r>
          <w:fldChar w:fldCharType="begin"/>
        </w:r>
        <w:r>
          <w:instrText xml:space="preserve">PAGEREF 4074 \h</w:instrText>
        </w:r>
        <w:r>
          <w:fldChar w:fldCharType="end"/>
        </w:r>
      </w:hyperlink>
    </w:p>
    <w:p>
      <w:pPr>
        <w:tabs>
          <w:tab w:val="right" w:leader="dot" w:pos="9062"/>
        </w:tabs>
        <w:ind w:left="220"/>
      </w:pPr>
      <w:hyperlink w:anchor="_Toc4075" w:history="1">
        <w:r>
          <w:rPr>
            <w:rFonts w:ascii="IRNazanin" w:hAnsi="IRNazanin" w:eastAsia="IRNazanin" w:cs="IRNazanin"/>
            <w:color w:val="111111"/>
            <w:sz w:val="22"/>
            <w:szCs w:val="22"/>
            <w:b w:val="0"/>
            <w:bCs w:val="0"/>
            <w:i w:val="0"/>
            <w:iCs w:val="0"/>
          </w:rPr>
          <w:t>سوسي ، محمّد بن محمّد، 1037 - 1094</w:t>
        </w:r>
        <w:r>
          <w:tab/>
        </w:r>
        <w:r>
          <w:fldChar w:fldCharType="begin"/>
        </w:r>
        <w:r>
          <w:instrText xml:space="preserve">PAGEREF 4075 \h</w:instrText>
        </w:r>
        <w:r>
          <w:fldChar w:fldCharType="end"/>
        </w:r>
      </w:hyperlink>
    </w:p>
    <w:p>
      <w:pPr>
        <w:tabs>
          <w:tab w:val="right" w:leader="dot" w:pos="9062"/>
        </w:tabs>
        <w:ind w:left="220"/>
      </w:pPr>
      <w:hyperlink w:anchor="_Toc4076" w:history="1">
        <w:r>
          <w:rPr>
            <w:rFonts w:ascii="IRNazanin" w:hAnsi="IRNazanin" w:eastAsia="IRNazanin" w:cs="IRNazanin"/>
            <w:color w:val="111111"/>
            <w:sz w:val="22"/>
            <w:szCs w:val="22"/>
            <w:b w:val="0"/>
            <w:bCs w:val="0"/>
            <w:i w:val="0"/>
            <w:iCs w:val="0"/>
          </w:rPr>
          <w:t>سوهائي ، ابراهيم بن محمّد - 1080 ه-</w:t>
        </w:r>
        <w:r>
          <w:tab/>
        </w:r>
        <w:r>
          <w:fldChar w:fldCharType="begin"/>
        </w:r>
        <w:r>
          <w:instrText xml:space="preserve">PAGEREF 4076 \h</w:instrText>
        </w:r>
        <w:r>
          <w:fldChar w:fldCharType="end"/>
        </w:r>
      </w:hyperlink>
    </w:p>
    <w:p>
      <w:pPr>
        <w:tabs>
          <w:tab w:val="right" w:leader="dot" w:pos="9062"/>
        </w:tabs>
        <w:ind w:left="220"/>
      </w:pPr>
      <w:hyperlink w:anchor="_Toc4077" w:history="1">
        <w:r>
          <w:rPr>
            <w:rFonts w:ascii="IRNazanin" w:hAnsi="IRNazanin" w:eastAsia="IRNazanin" w:cs="IRNazanin"/>
            <w:color w:val="111111"/>
            <w:sz w:val="22"/>
            <w:szCs w:val="22"/>
            <w:b w:val="0"/>
            <w:bCs w:val="0"/>
            <w:i w:val="0"/>
            <w:iCs w:val="0"/>
          </w:rPr>
          <w:t>سويدي، ابراهيم بن محمّد، 600 - 690</w:t>
        </w:r>
        <w:r>
          <w:tab/>
        </w:r>
        <w:r>
          <w:fldChar w:fldCharType="begin"/>
        </w:r>
        <w:r>
          <w:instrText xml:space="preserve">PAGEREF 4077 \h</w:instrText>
        </w:r>
        <w:r>
          <w:fldChar w:fldCharType="end"/>
        </w:r>
      </w:hyperlink>
    </w:p>
    <w:p>
      <w:pPr>
        <w:tabs>
          <w:tab w:val="right" w:leader="dot" w:pos="9062"/>
        </w:tabs>
        <w:ind w:left="220"/>
      </w:pPr>
      <w:hyperlink w:anchor="_Toc4078" w:history="1">
        <w:r>
          <w:rPr>
            <w:rFonts w:ascii="IRNazanin" w:hAnsi="IRNazanin" w:eastAsia="IRNazanin" w:cs="IRNazanin"/>
            <w:color w:val="111111"/>
            <w:sz w:val="22"/>
            <w:szCs w:val="22"/>
            <w:b w:val="0"/>
            <w:bCs w:val="0"/>
            <w:i w:val="0"/>
            <w:iCs w:val="0"/>
          </w:rPr>
          <w:t>سويدي ، احمد بن عبدالله 1153 - 1210</w:t>
        </w:r>
        <w:r>
          <w:tab/>
        </w:r>
        <w:r>
          <w:fldChar w:fldCharType="begin"/>
        </w:r>
        <w:r>
          <w:instrText xml:space="preserve">PAGEREF 4078 \h</w:instrText>
        </w:r>
        <w:r>
          <w:fldChar w:fldCharType="end"/>
        </w:r>
      </w:hyperlink>
    </w:p>
    <w:p>
      <w:pPr>
        <w:tabs>
          <w:tab w:val="right" w:leader="dot" w:pos="9062"/>
        </w:tabs>
        <w:ind w:left="220"/>
      </w:pPr>
      <w:hyperlink w:anchor="_Toc4079" w:history="1">
        <w:r>
          <w:rPr>
            <w:rFonts w:ascii="IRNazanin" w:hAnsi="IRNazanin" w:eastAsia="IRNazanin" w:cs="IRNazanin"/>
            <w:color w:val="111111"/>
            <w:sz w:val="22"/>
            <w:szCs w:val="22"/>
            <w:b w:val="0"/>
            <w:bCs w:val="0"/>
            <w:i w:val="0"/>
            <w:iCs w:val="0"/>
          </w:rPr>
          <w:t>سويدي، سليمان بن محمّد - 1245 ه-</w:t>
        </w:r>
        <w:r>
          <w:tab/>
        </w:r>
        <w:r>
          <w:fldChar w:fldCharType="begin"/>
        </w:r>
        <w:r>
          <w:instrText xml:space="preserve">PAGEREF 4079 \h</w:instrText>
        </w:r>
        <w:r>
          <w:fldChar w:fldCharType="end"/>
        </w:r>
      </w:hyperlink>
    </w:p>
    <w:p>
      <w:pPr>
        <w:tabs>
          <w:tab w:val="right" w:leader="dot" w:pos="9062"/>
        </w:tabs>
        <w:ind w:left="220"/>
      </w:pPr>
      <w:hyperlink w:anchor="_Toc4080" w:history="1">
        <w:r>
          <w:rPr>
            <w:rFonts w:ascii="IRNazanin" w:hAnsi="IRNazanin" w:eastAsia="IRNazanin" w:cs="IRNazanin"/>
            <w:color w:val="111111"/>
            <w:sz w:val="22"/>
            <w:szCs w:val="22"/>
            <w:b w:val="0"/>
            <w:bCs w:val="0"/>
            <w:i w:val="0"/>
            <w:iCs w:val="0"/>
          </w:rPr>
          <w:t>سويدي ، عبدالرحمن بن عبدالله، 1134 -</w:t>
        </w:r>
        <w:r>
          <w:tab/>
        </w:r>
        <w:r>
          <w:fldChar w:fldCharType="begin"/>
        </w:r>
        <w:r>
          <w:instrText xml:space="preserve">PAGEREF 4080 \h</w:instrText>
        </w:r>
        <w:r>
          <w:fldChar w:fldCharType="end"/>
        </w:r>
      </w:hyperlink>
    </w:p>
    <w:p>
      <w:pPr>
        <w:tabs>
          <w:tab w:val="right" w:leader="dot" w:pos="9062"/>
        </w:tabs>
        <w:ind w:left="220"/>
      </w:pPr>
      <w:hyperlink w:anchor="_Toc4081" w:history="1">
        <w:r>
          <w:rPr>
            <w:rFonts w:ascii="IRNazanin" w:hAnsi="IRNazanin" w:eastAsia="IRNazanin" w:cs="IRNazanin"/>
            <w:color w:val="111111"/>
            <w:sz w:val="22"/>
            <w:szCs w:val="22"/>
            <w:b w:val="0"/>
            <w:bCs w:val="0"/>
            <w:i w:val="0"/>
            <w:iCs w:val="0"/>
          </w:rPr>
          <w:t>سويدي ، عبد الرحيم بن محمّد سعيد</w:t>
        </w:r>
        <w:r>
          <w:tab/>
        </w:r>
        <w:r>
          <w:fldChar w:fldCharType="begin"/>
        </w:r>
        <w:r>
          <w:instrText xml:space="preserve">PAGEREF 4081 \h</w:instrText>
        </w:r>
        <w:r>
          <w:fldChar w:fldCharType="end"/>
        </w:r>
      </w:hyperlink>
    </w:p>
    <w:p>
      <w:pPr>
        <w:tabs>
          <w:tab w:val="right" w:leader="dot" w:pos="9062"/>
        </w:tabs>
        <w:ind w:left="220"/>
      </w:pPr>
      <w:hyperlink w:anchor="_Toc4082" w:history="1">
        <w:r>
          <w:rPr>
            <w:rFonts w:ascii="IRNazanin" w:hAnsi="IRNazanin" w:eastAsia="IRNazanin" w:cs="IRNazanin"/>
            <w:color w:val="111111"/>
            <w:sz w:val="22"/>
            <w:szCs w:val="22"/>
            <w:b w:val="0"/>
            <w:bCs w:val="0"/>
            <w:i w:val="0"/>
            <w:iCs w:val="0"/>
          </w:rPr>
          <w:t>سويدي ، عبدالله بن حسين 1104 -</w:t>
        </w:r>
        <w:r>
          <w:tab/>
        </w:r>
        <w:r>
          <w:fldChar w:fldCharType="begin"/>
        </w:r>
        <w:r>
          <w:instrText xml:space="preserve">PAGEREF 4082 \h</w:instrText>
        </w:r>
        <w:r>
          <w:fldChar w:fldCharType="end"/>
        </w:r>
      </w:hyperlink>
    </w:p>
    <w:p>
      <w:pPr>
        <w:tabs>
          <w:tab w:val="right" w:leader="dot" w:pos="9062"/>
        </w:tabs>
        <w:ind w:left="220"/>
      </w:pPr>
      <w:hyperlink w:anchor="_Toc4083" w:history="1">
        <w:r>
          <w:rPr>
            <w:rFonts w:ascii="IRNazanin" w:hAnsi="IRNazanin" w:eastAsia="IRNazanin" w:cs="IRNazanin"/>
            <w:color w:val="111111"/>
            <w:sz w:val="22"/>
            <w:szCs w:val="22"/>
            <w:b w:val="0"/>
            <w:bCs w:val="0"/>
            <w:i w:val="0"/>
            <w:iCs w:val="0"/>
          </w:rPr>
          <w:t>سويدي ، علي بن محمّد سعيد - 1237</w:t>
        </w:r>
        <w:r>
          <w:tab/>
        </w:r>
        <w:r>
          <w:fldChar w:fldCharType="begin"/>
        </w:r>
        <w:r>
          <w:instrText xml:space="preserve">PAGEREF 4083 \h</w:instrText>
        </w:r>
        <w:r>
          <w:fldChar w:fldCharType="end"/>
        </w:r>
      </w:hyperlink>
    </w:p>
    <w:p>
      <w:pPr>
        <w:tabs>
          <w:tab w:val="right" w:leader="dot" w:pos="9062"/>
        </w:tabs>
        <w:ind w:left="220"/>
      </w:pPr>
      <w:hyperlink w:anchor="_Toc4084" w:history="1">
        <w:r>
          <w:rPr>
            <w:rFonts w:ascii="IRNazanin" w:hAnsi="IRNazanin" w:eastAsia="IRNazanin" w:cs="IRNazanin"/>
            <w:color w:val="111111"/>
            <w:sz w:val="22"/>
            <w:szCs w:val="22"/>
            <w:b w:val="0"/>
            <w:bCs w:val="0"/>
            <w:i w:val="0"/>
            <w:iCs w:val="0"/>
          </w:rPr>
          <w:t>سويدي ، محمّد امين بن علي، 1200 -</w:t>
        </w:r>
        <w:r>
          <w:tab/>
        </w:r>
        <w:r>
          <w:fldChar w:fldCharType="begin"/>
        </w:r>
        <w:r>
          <w:instrText xml:space="preserve">PAGEREF 4084 \h</w:instrText>
        </w:r>
        <w:r>
          <w:fldChar w:fldCharType="end"/>
        </w:r>
      </w:hyperlink>
    </w:p>
    <w:p>
      <w:pPr>
        <w:tabs>
          <w:tab w:val="right" w:leader="dot" w:pos="9062"/>
        </w:tabs>
        <w:ind w:left="220"/>
      </w:pPr>
      <w:hyperlink w:anchor="_Toc4085" w:history="1">
        <w:r>
          <w:rPr>
            <w:rFonts w:ascii="IRNazanin" w:hAnsi="IRNazanin" w:eastAsia="IRNazanin" w:cs="IRNazanin"/>
            <w:color w:val="111111"/>
            <w:sz w:val="22"/>
            <w:szCs w:val="22"/>
            <w:b w:val="0"/>
            <w:bCs w:val="0"/>
            <w:i w:val="0"/>
            <w:iCs w:val="0"/>
          </w:rPr>
          <w:t>سويدي ، محمّد سعيد - 1223 ه-</w:t>
        </w:r>
        <w:r>
          <w:tab/>
        </w:r>
        <w:r>
          <w:fldChar w:fldCharType="begin"/>
        </w:r>
        <w:r>
          <w:instrText xml:space="preserve">PAGEREF 4085 \h</w:instrText>
        </w:r>
        <w:r>
          <w:fldChar w:fldCharType="end"/>
        </w:r>
      </w:hyperlink>
    </w:p>
    <w:p>
      <w:pPr>
        <w:tabs>
          <w:tab w:val="right" w:leader="dot" w:pos="9062"/>
        </w:tabs>
        <w:ind w:left="220"/>
      </w:pPr>
      <w:hyperlink w:anchor="_Toc4086" w:history="1">
        <w:r>
          <w:rPr>
            <w:rFonts w:ascii="IRNazanin" w:hAnsi="IRNazanin" w:eastAsia="IRNazanin" w:cs="IRNazanin"/>
            <w:color w:val="111111"/>
            <w:sz w:val="22"/>
            <w:szCs w:val="22"/>
            <w:b w:val="0"/>
            <w:bCs w:val="0"/>
            <w:i w:val="0"/>
            <w:iCs w:val="0"/>
          </w:rPr>
          <w:t>سويدي ، محمّد سعيد بن احمد 1180 - 1246ه-</w:t>
        </w:r>
        <w:r>
          <w:tab/>
        </w:r>
        <w:r>
          <w:fldChar w:fldCharType="begin"/>
        </w:r>
        <w:r>
          <w:instrText xml:space="preserve">PAGEREF 4086 \h</w:instrText>
        </w:r>
        <w:r>
          <w:fldChar w:fldCharType="end"/>
        </w:r>
      </w:hyperlink>
    </w:p>
    <w:p>
      <w:pPr>
        <w:tabs>
          <w:tab w:val="right" w:leader="dot" w:pos="9062"/>
        </w:tabs>
        <w:ind w:left="220"/>
      </w:pPr>
      <w:hyperlink w:anchor="_Toc4087" w:history="1">
        <w:r>
          <w:rPr>
            <w:rFonts w:ascii="IRNazanin" w:hAnsi="IRNazanin" w:eastAsia="IRNazanin" w:cs="IRNazanin"/>
            <w:color w:val="111111"/>
            <w:sz w:val="22"/>
            <w:szCs w:val="22"/>
            <w:b w:val="0"/>
            <w:bCs w:val="0"/>
            <w:i w:val="0"/>
            <w:iCs w:val="0"/>
          </w:rPr>
          <w:t>سويكت خطي ، احمد بن مهدي قرن 14</w:t>
        </w:r>
        <w:r>
          <w:tab/>
        </w:r>
        <w:r>
          <w:fldChar w:fldCharType="begin"/>
        </w:r>
        <w:r>
          <w:instrText xml:space="preserve">PAGEREF 4087 \h</w:instrText>
        </w:r>
        <w:r>
          <w:fldChar w:fldCharType="end"/>
        </w:r>
      </w:hyperlink>
    </w:p>
    <w:p>
      <w:pPr>
        <w:tabs>
          <w:tab w:val="right" w:leader="dot" w:pos="9062"/>
        </w:tabs>
        <w:ind w:left="220"/>
      </w:pPr>
      <w:hyperlink w:anchor="_Toc4088" w:history="1">
        <w:r>
          <w:rPr>
            <w:rFonts w:ascii="IRNazanin" w:hAnsi="IRNazanin" w:eastAsia="IRNazanin" w:cs="IRNazanin"/>
            <w:color w:val="111111"/>
            <w:sz w:val="22"/>
            <w:szCs w:val="22"/>
            <w:b w:val="0"/>
            <w:bCs w:val="0"/>
            <w:i w:val="0"/>
            <w:iCs w:val="0"/>
          </w:rPr>
          <w:t>سيادت ، عبد الرحيم</w:t>
        </w:r>
        <w:r>
          <w:tab/>
        </w:r>
        <w:r>
          <w:fldChar w:fldCharType="begin"/>
        </w:r>
        <w:r>
          <w:instrText xml:space="preserve">PAGEREF 4088 \h</w:instrText>
        </w:r>
        <w:r>
          <w:fldChar w:fldCharType="end"/>
        </w:r>
      </w:hyperlink>
    </w:p>
    <w:p>
      <w:pPr>
        <w:tabs>
          <w:tab w:val="right" w:leader="dot" w:pos="9062"/>
        </w:tabs>
        <w:ind w:left="220"/>
      </w:pPr>
      <w:hyperlink w:anchor="_Toc4089" w:history="1">
        <w:r>
          <w:rPr>
            <w:rFonts w:ascii="IRNazanin" w:hAnsi="IRNazanin" w:eastAsia="IRNazanin" w:cs="IRNazanin"/>
            <w:color w:val="111111"/>
            <w:sz w:val="22"/>
            <w:szCs w:val="22"/>
            <w:b w:val="0"/>
            <w:bCs w:val="0"/>
            <w:i w:val="0"/>
            <w:iCs w:val="0"/>
          </w:rPr>
          <w:t>سياري ، احمد بن محمّد - 368 ه-</w:t>
        </w:r>
        <w:r>
          <w:tab/>
        </w:r>
        <w:r>
          <w:fldChar w:fldCharType="begin"/>
        </w:r>
        <w:r>
          <w:instrText xml:space="preserve">PAGEREF 4089 \h</w:instrText>
        </w:r>
        <w:r>
          <w:fldChar w:fldCharType="end"/>
        </w:r>
      </w:hyperlink>
    </w:p>
    <w:p>
      <w:pPr>
        <w:tabs>
          <w:tab w:val="right" w:leader="dot" w:pos="9062"/>
        </w:tabs>
        <w:ind w:left="220"/>
      </w:pPr>
      <w:hyperlink w:anchor="_Toc4090" w:history="1">
        <w:r>
          <w:rPr>
            <w:rFonts w:ascii="IRNazanin" w:hAnsi="IRNazanin" w:eastAsia="IRNazanin" w:cs="IRNazanin"/>
            <w:color w:val="111111"/>
            <w:sz w:val="22"/>
            <w:szCs w:val="22"/>
            <w:b w:val="0"/>
            <w:bCs w:val="0"/>
            <w:i w:val="0"/>
            <w:iCs w:val="0"/>
          </w:rPr>
          <w:t>سيالكوتي رشتي ، محمد باقر</w:t>
        </w:r>
        <w:r>
          <w:tab/>
        </w:r>
        <w:r>
          <w:fldChar w:fldCharType="begin"/>
        </w:r>
        <w:r>
          <w:instrText xml:space="preserve">PAGEREF 4090 \h</w:instrText>
        </w:r>
        <w:r>
          <w:fldChar w:fldCharType="end"/>
        </w:r>
      </w:hyperlink>
    </w:p>
    <w:p>
      <w:pPr>
        <w:tabs>
          <w:tab w:val="right" w:leader="dot" w:pos="9062"/>
        </w:tabs>
        <w:ind w:left="220"/>
      </w:pPr>
      <w:hyperlink w:anchor="_Toc4091" w:history="1">
        <w:r>
          <w:rPr>
            <w:rFonts w:ascii="IRNazanin" w:hAnsi="IRNazanin" w:eastAsia="IRNazanin" w:cs="IRNazanin"/>
            <w:color w:val="111111"/>
            <w:sz w:val="22"/>
            <w:szCs w:val="22"/>
            <w:b w:val="0"/>
            <w:bCs w:val="0"/>
            <w:i w:val="0"/>
            <w:iCs w:val="0"/>
          </w:rPr>
          <w:t>سيالكوتي ، عبد الحكيم بن شمس الدین،</w:t>
        </w:r>
        <w:r>
          <w:tab/>
        </w:r>
        <w:r>
          <w:fldChar w:fldCharType="begin"/>
        </w:r>
        <w:r>
          <w:instrText xml:space="preserve">PAGEREF 4091 \h</w:instrText>
        </w:r>
        <w:r>
          <w:fldChar w:fldCharType="end"/>
        </w:r>
      </w:hyperlink>
    </w:p>
    <w:p>
      <w:pPr>
        <w:tabs>
          <w:tab w:val="right" w:leader="dot" w:pos="9062"/>
        </w:tabs>
        <w:ind w:left="220"/>
      </w:pPr>
      <w:hyperlink w:anchor="_Toc4092" w:history="1">
        <w:r>
          <w:rPr>
            <w:rFonts w:ascii="IRNazanin" w:hAnsi="IRNazanin" w:eastAsia="IRNazanin" w:cs="IRNazanin"/>
            <w:color w:val="111111"/>
            <w:sz w:val="22"/>
            <w:szCs w:val="22"/>
            <w:b w:val="0"/>
            <w:bCs w:val="0"/>
            <w:i w:val="0"/>
            <w:iCs w:val="0"/>
          </w:rPr>
          <w:t>سیاهپوش ، جواد بن محمّد - 1247 ه-</w:t>
        </w:r>
        <w:r>
          <w:tab/>
        </w:r>
        <w:r>
          <w:fldChar w:fldCharType="begin"/>
        </w:r>
        <w:r>
          <w:instrText xml:space="preserve">PAGEREF 4092 \h</w:instrText>
        </w:r>
        <w:r>
          <w:fldChar w:fldCharType="end"/>
        </w:r>
      </w:hyperlink>
    </w:p>
    <w:p>
      <w:pPr>
        <w:tabs>
          <w:tab w:val="right" w:leader="dot" w:pos="9062"/>
        </w:tabs>
        <w:ind w:left="220"/>
      </w:pPr>
      <w:hyperlink w:anchor="_Toc4093" w:history="1">
        <w:r>
          <w:rPr>
            <w:rFonts w:ascii="IRNazanin" w:hAnsi="IRNazanin" w:eastAsia="IRNazanin" w:cs="IRNazanin"/>
            <w:color w:val="111111"/>
            <w:sz w:val="22"/>
            <w:szCs w:val="22"/>
            <w:b w:val="0"/>
            <w:bCs w:val="0"/>
            <w:i w:val="0"/>
            <w:iCs w:val="0"/>
          </w:rPr>
          <w:t>سيبويه ثاني ، ابراهيم بن حسن - 915</w:t>
        </w:r>
        <w:r>
          <w:tab/>
        </w:r>
        <w:r>
          <w:fldChar w:fldCharType="begin"/>
        </w:r>
        <w:r>
          <w:instrText xml:space="preserve">PAGEREF 4093 \h</w:instrText>
        </w:r>
        <w:r>
          <w:fldChar w:fldCharType="end"/>
        </w:r>
      </w:hyperlink>
    </w:p>
    <w:p>
      <w:pPr>
        <w:tabs>
          <w:tab w:val="right" w:leader="dot" w:pos="9062"/>
        </w:tabs>
        <w:ind w:left="220"/>
      </w:pPr>
      <w:hyperlink w:anchor="_Toc4094" w:history="1">
        <w:r>
          <w:rPr>
            <w:rFonts w:ascii="IRNazanin" w:hAnsi="IRNazanin" w:eastAsia="IRNazanin" w:cs="IRNazanin"/>
            <w:color w:val="111111"/>
            <w:sz w:val="22"/>
            <w:szCs w:val="22"/>
            <w:b w:val="0"/>
            <w:bCs w:val="0"/>
            <w:i w:val="0"/>
            <w:iCs w:val="0"/>
          </w:rPr>
          <w:t>سیبویه ، عمرو بن عثمان، 148 - 180 ؟</w:t>
        </w:r>
        <w:r>
          <w:tab/>
        </w:r>
        <w:r>
          <w:fldChar w:fldCharType="begin"/>
        </w:r>
        <w:r>
          <w:instrText xml:space="preserve">PAGEREF 4094 \h</w:instrText>
        </w:r>
        <w:r>
          <w:fldChar w:fldCharType="end"/>
        </w:r>
      </w:hyperlink>
    </w:p>
    <w:p>
      <w:pPr>
        <w:tabs>
          <w:tab w:val="right" w:leader="dot" w:pos="9062"/>
        </w:tabs>
        <w:ind w:left="220"/>
      </w:pPr>
      <w:hyperlink w:anchor="_Toc4095" w:history="1">
        <w:r>
          <w:rPr>
            <w:rFonts w:ascii="IRNazanin" w:hAnsi="IRNazanin" w:eastAsia="IRNazanin" w:cs="IRNazanin"/>
            <w:color w:val="111111"/>
            <w:sz w:val="22"/>
            <w:szCs w:val="22"/>
            <w:b w:val="0"/>
            <w:bCs w:val="0"/>
            <w:i w:val="0"/>
            <w:iCs w:val="0"/>
          </w:rPr>
          <w:t>سيد باعلوي</w:t>
        </w:r>
        <w:r>
          <w:tab/>
        </w:r>
        <w:r>
          <w:fldChar w:fldCharType="begin"/>
        </w:r>
        <w:r>
          <w:instrText xml:space="preserve">PAGEREF 4095 \h</w:instrText>
        </w:r>
        <w:r>
          <w:fldChar w:fldCharType="end"/>
        </w:r>
      </w:hyperlink>
    </w:p>
    <w:p>
      <w:pPr>
        <w:tabs>
          <w:tab w:val="right" w:leader="dot" w:pos="9062"/>
        </w:tabs>
        <w:ind w:left="220"/>
      </w:pPr>
      <w:hyperlink w:anchor="_Toc4096" w:history="1">
        <w:r>
          <w:rPr>
            <w:rFonts w:ascii="IRNazanin" w:hAnsi="IRNazanin" w:eastAsia="IRNazanin" w:cs="IRNazanin"/>
            <w:color w:val="111111"/>
            <w:sz w:val="22"/>
            <w:szCs w:val="22"/>
            <w:b w:val="0"/>
            <w:bCs w:val="0"/>
            <w:i w:val="0"/>
            <w:iCs w:val="0"/>
          </w:rPr>
          <w:t>سیّد حسین بن رشيد</w:t>
        </w:r>
        <w:r>
          <w:tab/>
        </w:r>
        <w:r>
          <w:fldChar w:fldCharType="begin"/>
        </w:r>
        <w:r>
          <w:instrText xml:space="preserve">PAGEREF 4096 \h</w:instrText>
        </w:r>
        <w:r>
          <w:fldChar w:fldCharType="end"/>
        </w:r>
      </w:hyperlink>
    </w:p>
    <w:p>
      <w:pPr>
        <w:tabs>
          <w:tab w:val="right" w:leader="dot" w:pos="9062"/>
        </w:tabs>
        <w:ind w:left="220"/>
      </w:pPr>
      <w:hyperlink w:anchor="_Toc4097" w:history="1">
        <w:r>
          <w:rPr>
            <w:rFonts w:ascii="IRNazanin" w:hAnsi="IRNazanin" w:eastAsia="IRNazanin" w:cs="IRNazanin"/>
            <w:color w:val="111111"/>
            <w:sz w:val="22"/>
            <w:szCs w:val="22"/>
            <w:b w:val="0"/>
            <w:bCs w:val="0"/>
            <w:i w:val="0"/>
            <w:iCs w:val="0"/>
          </w:rPr>
          <w:t>سيّد حميري، اسماعيل بن محمّد 105 - 173ه-</w:t>
        </w:r>
        <w:r>
          <w:tab/>
        </w:r>
        <w:r>
          <w:fldChar w:fldCharType="begin"/>
        </w:r>
        <w:r>
          <w:instrText xml:space="preserve">PAGEREF 4097 \h</w:instrText>
        </w:r>
        <w:r>
          <w:fldChar w:fldCharType="end"/>
        </w:r>
      </w:hyperlink>
    </w:p>
    <w:p>
      <w:pPr>
        <w:tabs>
          <w:tab w:val="right" w:leader="dot" w:pos="9062"/>
        </w:tabs>
        <w:ind w:left="220"/>
      </w:pPr>
      <w:hyperlink w:anchor="_Toc4098" w:history="1">
        <w:r>
          <w:rPr>
            <w:rFonts w:ascii="IRNazanin" w:hAnsi="IRNazanin" w:eastAsia="IRNazanin" w:cs="IRNazanin"/>
            <w:color w:val="111111"/>
            <w:sz w:val="22"/>
            <w:szCs w:val="22"/>
            <w:b w:val="0"/>
            <w:bCs w:val="0"/>
            <w:i w:val="0"/>
            <w:iCs w:val="0"/>
          </w:rPr>
          <w:t>سیّد خطیب بغدادي قرن 12 ه-</w:t>
        </w:r>
        <w:r>
          <w:tab/>
        </w:r>
        <w:r>
          <w:fldChar w:fldCharType="begin"/>
        </w:r>
        <w:r>
          <w:instrText xml:space="preserve">PAGEREF 4098 \h</w:instrText>
        </w:r>
        <w:r>
          <w:fldChar w:fldCharType="end"/>
        </w:r>
      </w:hyperlink>
    </w:p>
    <w:p>
      <w:pPr>
        <w:tabs>
          <w:tab w:val="right" w:leader="dot" w:pos="9062"/>
        </w:tabs>
        <w:ind w:left="220"/>
      </w:pPr>
      <w:hyperlink w:anchor="_Toc4099" w:history="1">
        <w:r>
          <w:rPr>
            <w:rFonts w:ascii="IRNazanin" w:hAnsi="IRNazanin" w:eastAsia="IRNazanin" w:cs="IRNazanin"/>
            <w:color w:val="111111"/>
            <w:sz w:val="22"/>
            <w:szCs w:val="22"/>
            <w:b w:val="0"/>
            <w:bCs w:val="0"/>
            <w:i w:val="0"/>
            <w:iCs w:val="0"/>
          </w:rPr>
          <w:t>سيد شرف الدين</w:t>
        </w:r>
        <w:r>
          <w:tab/>
        </w:r>
        <w:r>
          <w:fldChar w:fldCharType="begin"/>
        </w:r>
        <w:r>
          <w:instrText xml:space="preserve">PAGEREF 4099 \h</w:instrText>
        </w:r>
        <w:r>
          <w:fldChar w:fldCharType="end"/>
        </w:r>
      </w:hyperlink>
    </w:p>
    <w:p>
      <w:pPr>
        <w:tabs>
          <w:tab w:val="right" w:leader="dot" w:pos="9062"/>
        </w:tabs>
        <w:ind w:left="220"/>
      </w:pPr>
      <w:hyperlink w:anchor="_Toc4100" w:history="1">
        <w:r>
          <w:rPr>
            <w:rFonts w:ascii="IRNazanin" w:hAnsi="IRNazanin" w:eastAsia="IRNazanin" w:cs="IRNazanin"/>
            <w:color w:val="111111"/>
            <w:sz w:val="22"/>
            <w:szCs w:val="22"/>
            <w:b w:val="0"/>
            <w:bCs w:val="0"/>
            <w:i w:val="0"/>
            <w:iCs w:val="0"/>
          </w:rPr>
          <w:t>سید شريف ، ملك مراكش</w:t>
        </w:r>
        <w:r>
          <w:tab/>
        </w:r>
        <w:r>
          <w:fldChar w:fldCharType="begin"/>
        </w:r>
        <w:r>
          <w:instrText xml:space="preserve">PAGEREF 4100 \h</w:instrText>
        </w:r>
        <w:r>
          <w:fldChar w:fldCharType="end"/>
        </w:r>
      </w:hyperlink>
    </w:p>
    <w:p>
      <w:pPr>
        <w:tabs>
          <w:tab w:val="right" w:leader="dot" w:pos="9062"/>
        </w:tabs>
        <w:ind w:left="220"/>
      </w:pPr>
      <w:hyperlink w:anchor="_Toc4101" w:history="1">
        <w:r>
          <w:rPr>
            <w:rFonts w:ascii="IRNazanin" w:hAnsi="IRNazanin" w:eastAsia="IRNazanin" w:cs="IRNazanin"/>
            <w:color w:val="111111"/>
            <w:sz w:val="22"/>
            <w:szCs w:val="22"/>
            <w:b w:val="0"/>
            <w:bCs w:val="0"/>
            <w:i w:val="0"/>
            <w:iCs w:val="0"/>
          </w:rPr>
          <w:t>سید صدرالدین ، يعقوب بن علي</w:t>
        </w:r>
        <w:r>
          <w:tab/>
        </w:r>
        <w:r>
          <w:fldChar w:fldCharType="begin"/>
        </w:r>
        <w:r>
          <w:instrText xml:space="preserve">PAGEREF 4101 \h</w:instrText>
        </w:r>
        <w:r>
          <w:fldChar w:fldCharType="end"/>
        </w:r>
      </w:hyperlink>
    </w:p>
    <w:p>
      <w:pPr>
        <w:tabs>
          <w:tab w:val="right" w:leader="dot" w:pos="9062"/>
        </w:tabs>
        <w:ind w:left="220"/>
      </w:pPr>
      <w:hyperlink w:anchor="_Toc4102" w:history="1">
        <w:r>
          <w:rPr>
            <w:rFonts w:ascii="IRNazanin" w:hAnsi="IRNazanin" w:eastAsia="IRNazanin" w:cs="IRNazanin"/>
            <w:color w:val="111111"/>
            <w:sz w:val="22"/>
            <w:szCs w:val="22"/>
            <w:b w:val="0"/>
            <w:bCs w:val="0"/>
            <w:i w:val="0"/>
            <w:iCs w:val="0"/>
          </w:rPr>
          <w:t>سیّد عبدالحلیم</w:t>
        </w:r>
        <w:r>
          <w:tab/>
        </w:r>
        <w:r>
          <w:fldChar w:fldCharType="begin"/>
        </w:r>
        <w:r>
          <w:instrText xml:space="preserve">PAGEREF 4102 \h</w:instrText>
        </w:r>
        <w:r>
          <w:fldChar w:fldCharType="end"/>
        </w:r>
      </w:hyperlink>
    </w:p>
    <w:p>
      <w:pPr>
        <w:tabs>
          <w:tab w:val="right" w:leader="dot" w:pos="9062"/>
        </w:tabs>
        <w:ind w:left="220"/>
      </w:pPr>
      <w:hyperlink w:anchor="_Toc4103" w:history="1">
        <w:r>
          <w:rPr>
            <w:rFonts w:ascii="IRNazanin" w:hAnsi="IRNazanin" w:eastAsia="IRNazanin" w:cs="IRNazanin"/>
            <w:color w:val="111111"/>
            <w:sz w:val="22"/>
            <w:szCs w:val="22"/>
            <w:b w:val="0"/>
            <w:bCs w:val="0"/>
            <w:i w:val="0"/>
            <w:iCs w:val="0"/>
          </w:rPr>
          <w:t>سید محمّد</w:t>
        </w:r>
        <w:r>
          <w:tab/>
        </w:r>
        <w:r>
          <w:fldChar w:fldCharType="begin"/>
        </w:r>
        <w:r>
          <w:instrText xml:space="preserve">PAGEREF 4103 \h</w:instrText>
        </w:r>
        <w:r>
          <w:fldChar w:fldCharType="end"/>
        </w:r>
      </w:hyperlink>
    </w:p>
    <w:p>
      <w:pPr>
        <w:tabs>
          <w:tab w:val="right" w:leader="dot" w:pos="9062"/>
        </w:tabs>
        <w:ind w:left="220"/>
      </w:pPr>
      <w:hyperlink w:anchor="_Toc4104" w:history="1">
        <w:r>
          <w:rPr>
            <w:rFonts w:ascii="IRNazanin" w:hAnsi="IRNazanin" w:eastAsia="IRNazanin" w:cs="IRNazanin"/>
            <w:color w:val="111111"/>
            <w:sz w:val="22"/>
            <w:szCs w:val="22"/>
            <w:b w:val="0"/>
            <w:bCs w:val="0"/>
            <w:i w:val="0"/>
            <w:iCs w:val="0"/>
          </w:rPr>
          <w:t>سید منجم ، محمّد حسین بن محمد قرن</w:t>
        </w:r>
        <w:r>
          <w:tab/>
        </w:r>
        <w:r>
          <w:fldChar w:fldCharType="begin"/>
        </w:r>
        <w:r>
          <w:instrText xml:space="preserve">PAGEREF 4104 \h</w:instrText>
        </w:r>
        <w:r>
          <w:fldChar w:fldCharType="end"/>
        </w:r>
      </w:hyperlink>
    </w:p>
    <w:p>
      <w:pPr>
        <w:tabs>
          <w:tab w:val="right" w:leader="dot" w:pos="9062"/>
        </w:tabs>
        <w:ind w:left="220"/>
      </w:pPr>
      <w:hyperlink w:anchor="_Toc4105" w:history="1">
        <w:r>
          <w:rPr>
            <w:rFonts w:ascii="IRNazanin" w:hAnsi="IRNazanin" w:eastAsia="IRNazanin" w:cs="IRNazanin"/>
            <w:color w:val="111111"/>
            <w:sz w:val="22"/>
            <w:szCs w:val="22"/>
            <w:b w:val="0"/>
            <w:bCs w:val="0"/>
            <w:i w:val="0"/>
            <w:iCs w:val="0"/>
          </w:rPr>
          <w:t>سيدي زاده، محمّد</w:t>
        </w:r>
        <w:r>
          <w:tab/>
        </w:r>
        <w:r>
          <w:fldChar w:fldCharType="begin"/>
        </w:r>
        <w:r>
          <w:instrText xml:space="preserve">PAGEREF 4105 \h</w:instrText>
        </w:r>
        <w:r>
          <w:fldChar w:fldCharType="end"/>
        </w:r>
      </w:hyperlink>
    </w:p>
    <w:p>
      <w:pPr>
        <w:tabs>
          <w:tab w:val="right" w:leader="dot" w:pos="9062"/>
        </w:tabs>
        <w:ind w:left="220"/>
      </w:pPr>
      <w:hyperlink w:anchor="_Toc4106" w:history="1">
        <w:r>
          <w:rPr>
            <w:rFonts w:ascii="IRNazanin" w:hAnsi="IRNazanin" w:eastAsia="IRNazanin" w:cs="IRNazanin"/>
            <w:color w:val="111111"/>
            <w:sz w:val="22"/>
            <w:szCs w:val="22"/>
            <w:b w:val="0"/>
            <w:bCs w:val="0"/>
            <w:i w:val="0"/>
            <w:iCs w:val="0"/>
          </w:rPr>
          <w:t>سيرافي فالي ، محمّد بن مسعود - 721 ه-</w:t>
        </w:r>
        <w:r>
          <w:tab/>
        </w:r>
        <w:r>
          <w:fldChar w:fldCharType="begin"/>
        </w:r>
        <w:r>
          <w:instrText xml:space="preserve">PAGEREF 4106 \h</w:instrText>
        </w:r>
        <w:r>
          <w:fldChar w:fldCharType="end"/>
        </w:r>
      </w:hyperlink>
    </w:p>
    <w:p>
      <w:pPr>
        <w:tabs>
          <w:tab w:val="right" w:leader="dot" w:pos="9062"/>
        </w:tabs>
        <w:ind w:left="220"/>
      </w:pPr>
      <w:hyperlink w:anchor="_Toc4107" w:history="1">
        <w:r>
          <w:rPr>
            <w:rFonts w:ascii="IRNazanin" w:hAnsi="IRNazanin" w:eastAsia="IRNazanin" w:cs="IRNazanin"/>
            <w:color w:val="111111"/>
            <w:sz w:val="22"/>
            <w:szCs w:val="22"/>
            <w:b w:val="0"/>
            <w:bCs w:val="0"/>
            <w:i w:val="0"/>
            <w:iCs w:val="0"/>
          </w:rPr>
          <w:t>سيرامي، يحيى بن سيف - 833 ه-</w:t>
        </w:r>
        <w:r>
          <w:tab/>
        </w:r>
        <w:r>
          <w:fldChar w:fldCharType="begin"/>
        </w:r>
        <w:r>
          <w:instrText xml:space="preserve">PAGEREF 4107 \h</w:instrText>
        </w:r>
        <w:r>
          <w:fldChar w:fldCharType="end"/>
        </w:r>
      </w:hyperlink>
    </w:p>
    <w:p>
      <w:pPr>
        <w:tabs>
          <w:tab w:val="right" w:leader="dot" w:pos="9062"/>
        </w:tabs>
        <w:ind w:left="220"/>
      </w:pPr>
      <w:hyperlink w:anchor="_Toc4108" w:history="1">
        <w:r>
          <w:rPr>
            <w:rFonts w:ascii="IRNazanin" w:hAnsi="IRNazanin" w:eastAsia="IRNazanin" w:cs="IRNazanin"/>
            <w:color w:val="111111"/>
            <w:sz w:val="22"/>
            <w:szCs w:val="22"/>
            <w:b w:val="0"/>
            <w:bCs w:val="0"/>
            <w:i w:val="0"/>
            <w:iCs w:val="0"/>
          </w:rPr>
          <w:t>سيرجي ، احمد بن يوسف - 862 ه-</w:t>
        </w:r>
        <w:r>
          <w:tab/>
        </w:r>
        <w:r>
          <w:fldChar w:fldCharType="begin"/>
        </w:r>
        <w:r>
          <w:instrText xml:space="preserve">PAGEREF 4108 \h</w:instrText>
        </w:r>
        <w:r>
          <w:fldChar w:fldCharType="end"/>
        </w:r>
      </w:hyperlink>
    </w:p>
    <w:p>
      <w:pPr>
        <w:tabs>
          <w:tab w:val="right" w:leader="dot" w:pos="9062"/>
        </w:tabs>
        <w:ind w:left="220"/>
      </w:pPr>
      <w:hyperlink w:anchor="_Toc4109" w:history="1">
        <w:r>
          <w:rPr>
            <w:rFonts w:ascii="IRNazanin" w:hAnsi="IRNazanin" w:eastAsia="IRNazanin" w:cs="IRNazanin"/>
            <w:color w:val="111111"/>
            <w:sz w:val="22"/>
            <w:szCs w:val="22"/>
            <w:b w:val="0"/>
            <w:bCs w:val="0"/>
            <w:i w:val="0"/>
            <w:iCs w:val="0"/>
          </w:rPr>
          <w:t>سيف بن ناصر</w:t>
        </w:r>
        <w:r>
          <w:tab/>
        </w:r>
        <w:r>
          <w:fldChar w:fldCharType="begin"/>
        </w:r>
        <w:r>
          <w:instrText xml:space="preserve">PAGEREF 4109 \h</w:instrText>
        </w:r>
        <w:r>
          <w:fldChar w:fldCharType="end"/>
        </w:r>
      </w:hyperlink>
    </w:p>
    <w:p>
      <w:pPr>
        <w:tabs>
          <w:tab w:val="right" w:leader="dot" w:pos="9062"/>
        </w:tabs>
        <w:ind w:left="220"/>
      </w:pPr>
      <w:hyperlink w:anchor="_Toc4110" w:history="1">
        <w:r>
          <w:rPr>
            <w:rFonts w:ascii="IRNazanin" w:hAnsi="IRNazanin" w:eastAsia="IRNazanin" w:cs="IRNazanin"/>
            <w:color w:val="111111"/>
            <w:sz w:val="22"/>
            <w:szCs w:val="22"/>
            <w:b w:val="0"/>
            <w:bCs w:val="0"/>
            <w:i w:val="0"/>
            <w:iCs w:val="0"/>
          </w:rPr>
          <w:t>سيفي ، ابوبكر بن محمّد قرن 10 ه-</w:t>
        </w:r>
        <w:r>
          <w:tab/>
        </w:r>
        <w:r>
          <w:fldChar w:fldCharType="begin"/>
        </w:r>
        <w:r>
          <w:instrText xml:space="preserve">PAGEREF 4110 \h</w:instrText>
        </w:r>
        <w:r>
          <w:fldChar w:fldCharType="end"/>
        </w:r>
      </w:hyperlink>
    </w:p>
    <w:p>
      <w:pPr>
        <w:tabs>
          <w:tab w:val="right" w:leader="dot" w:pos="9062"/>
        </w:tabs>
        <w:ind w:left="220"/>
      </w:pPr>
      <w:hyperlink w:anchor="_Toc4111" w:history="1">
        <w:r>
          <w:rPr>
            <w:rFonts w:ascii="IRNazanin" w:hAnsi="IRNazanin" w:eastAsia="IRNazanin" w:cs="IRNazanin"/>
            <w:color w:val="111111"/>
            <w:sz w:val="22"/>
            <w:szCs w:val="22"/>
            <w:b w:val="0"/>
            <w:bCs w:val="0"/>
            <w:i w:val="0"/>
            <w:iCs w:val="0"/>
          </w:rPr>
          <w:t>سيفي ،بخاراتي - 909 ه-</w:t>
        </w:r>
        <w:r>
          <w:tab/>
        </w:r>
        <w:r>
          <w:fldChar w:fldCharType="begin"/>
        </w:r>
        <w:r>
          <w:instrText xml:space="preserve">PAGEREF 4111 \h</w:instrText>
        </w:r>
        <w:r>
          <w:fldChar w:fldCharType="end"/>
        </w:r>
      </w:hyperlink>
    </w:p>
    <w:p>
      <w:pPr>
        <w:tabs>
          <w:tab w:val="right" w:leader="dot" w:pos="9062"/>
        </w:tabs>
        <w:ind w:left="220"/>
      </w:pPr>
      <w:hyperlink w:anchor="_Toc4112" w:history="1">
        <w:r>
          <w:rPr>
            <w:rFonts w:ascii="IRNazanin" w:hAnsi="IRNazanin" w:eastAsia="IRNazanin" w:cs="IRNazanin"/>
            <w:color w:val="111111"/>
            <w:sz w:val="22"/>
            <w:szCs w:val="22"/>
            <w:b w:val="0"/>
            <w:bCs w:val="0"/>
            <w:i w:val="0"/>
            <w:iCs w:val="0"/>
          </w:rPr>
          <w:t>سيلاني ، ابوبكر بن محمّد</w:t>
        </w:r>
        <w:r>
          <w:tab/>
        </w:r>
        <w:r>
          <w:fldChar w:fldCharType="begin"/>
        </w:r>
        <w:r>
          <w:instrText xml:space="preserve">PAGEREF 4112 \h</w:instrText>
        </w:r>
        <w:r>
          <w:fldChar w:fldCharType="end"/>
        </w:r>
      </w:hyperlink>
    </w:p>
    <w:p>
      <w:pPr>
        <w:tabs>
          <w:tab w:val="right" w:leader="dot" w:pos="9062"/>
        </w:tabs>
        <w:ind w:left="220"/>
      </w:pPr>
      <w:hyperlink w:anchor="_Toc4113" w:history="1">
        <w:r>
          <w:rPr>
            <w:rFonts w:ascii="IRNazanin" w:hAnsi="IRNazanin" w:eastAsia="IRNazanin" w:cs="IRNazanin"/>
            <w:color w:val="111111"/>
            <w:sz w:val="22"/>
            <w:szCs w:val="22"/>
            <w:b w:val="0"/>
            <w:bCs w:val="0"/>
            <w:i w:val="0"/>
            <w:iCs w:val="0"/>
          </w:rPr>
          <w:t>سیما نشاه سوار</w:t>
        </w:r>
        <w:r>
          <w:tab/>
        </w:r>
        <w:r>
          <w:fldChar w:fldCharType="begin"/>
        </w:r>
        <w:r>
          <w:instrText xml:space="preserve">PAGEREF 4113 \h</w:instrText>
        </w:r>
        <w:r>
          <w:fldChar w:fldCharType="end"/>
        </w:r>
      </w:hyperlink>
    </w:p>
    <w:p>
      <w:pPr>
        <w:tabs>
          <w:tab w:val="right" w:leader="dot" w:pos="9062"/>
        </w:tabs>
        <w:ind w:left="220"/>
      </w:pPr>
      <w:hyperlink w:anchor="_Toc4114" w:history="1">
        <w:r>
          <w:rPr>
            <w:rFonts w:ascii="IRNazanin" w:hAnsi="IRNazanin" w:eastAsia="IRNazanin" w:cs="IRNazanin"/>
            <w:color w:val="111111"/>
            <w:sz w:val="22"/>
            <w:szCs w:val="22"/>
            <w:b w:val="0"/>
            <w:bCs w:val="0"/>
            <w:i w:val="0"/>
            <w:iCs w:val="0"/>
          </w:rPr>
          <w:t>سيماوي ، سنان الدين يوسف - 1006</w:t>
        </w:r>
        <w:r>
          <w:tab/>
        </w:r>
        <w:r>
          <w:fldChar w:fldCharType="begin"/>
        </w:r>
        <w:r>
          <w:instrText xml:space="preserve">PAGEREF 4114 \h</w:instrText>
        </w:r>
        <w:r>
          <w:fldChar w:fldCharType="end"/>
        </w:r>
      </w:hyperlink>
    </w:p>
    <w:p>
      <w:pPr>
        <w:tabs>
          <w:tab w:val="right" w:leader="dot" w:pos="9062"/>
        </w:tabs>
        <w:ind w:left="220"/>
      </w:pPr>
      <w:hyperlink w:anchor="_Toc4115" w:history="1">
        <w:r>
          <w:rPr>
            <w:rFonts w:ascii="IRNazanin" w:hAnsi="IRNazanin" w:eastAsia="IRNazanin" w:cs="IRNazanin"/>
            <w:color w:val="111111"/>
            <w:sz w:val="22"/>
            <w:szCs w:val="22"/>
            <w:b w:val="0"/>
            <w:bCs w:val="0"/>
            <w:i w:val="0"/>
            <w:iCs w:val="0"/>
          </w:rPr>
          <w:t>سيناني ، ابو عبدالله محمّد</w:t>
        </w:r>
        <w:r>
          <w:tab/>
        </w:r>
        <w:r>
          <w:fldChar w:fldCharType="begin"/>
        </w:r>
        <w:r>
          <w:instrText xml:space="preserve">PAGEREF 4115 \h</w:instrText>
        </w:r>
        <w:r>
          <w:fldChar w:fldCharType="end"/>
        </w:r>
      </w:hyperlink>
    </w:p>
    <w:p>
      <w:pPr>
        <w:tabs>
          <w:tab w:val="right" w:leader="dot" w:pos="9062"/>
        </w:tabs>
        <w:ind w:left="220"/>
      </w:pPr>
      <w:hyperlink w:anchor="_Toc4116" w:history="1">
        <w:r>
          <w:rPr>
            <w:rFonts w:ascii="IRNazanin" w:hAnsi="IRNazanin" w:eastAsia="IRNazanin" w:cs="IRNazanin"/>
            <w:color w:val="111111"/>
            <w:sz w:val="22"/>
            <w:szCs w:val="22"/>
            <w:b w:val="0"/>
            <w:bCs w:val="0"/>
            <w:i w:val="0"/>
            <w:iCs w:val="0"/>
          </w:rPr>
          <w:t>سينوبي ، الياس بن ابراهيم - 891 ه-</w:t>
        </w:r>
        <w:r>
          <w:tab/>
        </w:r>
        <w:r>
          <w:fldChar w:fldCharType="begin"/>
        </w:r>
        <w:r>
          <w:instrText xml:space="preserve">PAGEREF 4116 \h</w:instrText>
        </w:r>
        <w:r>
          <w:fldChar w:fldCharType="end"/>
        </w:r>
      </w:hyperlink>
    </w:p>
    <w:p>
      <w:pPr>
        <w:tabs>
          <w:tab w:val="right" w:leader="dot" w:pos="9062"/>
        </w:tabs>
        <w:ind w:left="220"/>
      </w:pPr>
      <w:hyperlink w:anchor="_Toc4117" w:history="1">
        <w:r>
          <w:rPr>
            <w:rFonts w:ascii="IRNazanin" w:hAnsi="IRNazanin" w:eastAsia="IRNazanin" w:cs="IRNazanin"/>
            <w:color w:val="111111"/>
            <w:sz w:val="22"/>
            <w:szCs w:val="22"/>
            <w:b w:val="0"/>
            <w:bCs w:val="0"/>
            <w:i w:val="0"/>
            <w:iCs w:val="0"/>
          </w:rPr>
          <w:t>سيواسي ، ابراهيم بن فضل الله، قرن 12</w:t>
        </w:r>
        <w:r>
          <w:tab/>
        </w:r>
        <w:r>
          <w:fldChar w:fldCharType="begin"/>
        </w:r>
        <w:r>
          <w:instrText xml:space="preserve">PAGEREF 4117 \h</w:instrText>
        </w:r>
        <w:r>
          <w:fldChar w:fldCharType="end"/>
        </w:r>
      </w:hyperlink>
    </w:p>
    <w:p>
      <w:pPr>
        <w:tabs>
          <w:tab w:val="right" w:leader="dot" w:pos="9062"/>
        </w:tabs>
        <w:ind w:left="220"/>
      </w:pPr>
      <w:hyperlink w:anchor="_Toc4118" w:history="1">
        <w:r>
          <w:rPr>
            <w:rFonts w:ascii="IRNazanin" w:hAnsi="IRNazanin" w:eastAsia="IRNazanin" w:cs="IRNazanin"/>
            <w:color w:val="111111"/>
            <w:sz w:val="22"/>
            <w:szCs w:val="22"/>
            <w:b w:val="0"/>
            <w:bCs w:val="0"/>
            <w:i w:val="0"/>
            <w:iCs w:val="0"/>
          </w:rPr>
          <w:t>سيواسي ، احمد بن محمود - 803</w:t>
        </w:r>
        <w:r>
          <w:tab/>
        </w:r>
        <w:r>
          <w:fldChar w:fldCharType="begin"/>
        </w:r>
        <w:r>
          <w:instrText xml:space="preserve">PAGEREF 4118 \h</w:instrText>
        </w:r>
        <w:r>
          <w:fldChar w:fldCharType="end"/>
        </w:r>
      </w:hyperlink>
    </w:p>
    <w:p>
      <w:pPr>
        <w:tabs>
          <w:tab w:val="right" w:leader="dot" w:pos="9062"/>
        </w:tabs>
        <w:ind w:left="220"/>
      </w:pPr>
      <w:hyperlink w:anchor="_Toc4119" w:history="1">
        <w:r>
          <w:rPr>
            <w:rFonts w:ascii="IRNazanin" w:hAnsi="IRNazanin" w:eastAsia="IRNazanin" w:cs="IRNazanin"/>
            <w:color w:val="111111"/>
            <w:sz w:val="22"/>
            <w:szCs w:val="22"/>
            <w:b w:val="0"/>
            <w:bCs w:val="0"/>
            <w:i w:val="0"/>
            <w:iCs w:val="0"/>
          </w:rPr>
          <w:t>سيواسي، اسماعيل بن سنان - 1048 ه-</w:t>
        </w:r>
        <w:r>
          <w:tab/>
        </w:r>
        <w:r>
          <w:fldChar w:fldCharType="begin"/>
        </w:r>
        <w:r>
          <w:instrText xml:space="preserve">PAGEREF 4119 \h</w:instrText>
        </w:r>
        <w:r>
          <w:fldChar w:fldCharType="end"/>
        </w:r>
      </w:hyperlink>
    </w:p>
    <w:p>
      <w:pPr>
        <w:tabs>
          <w:tab w:val="right" w:leader="dot" w:pos="9062"/>
        </w:tabs>
        <w:ind w:left="220"/>
      </w:pPr>
      <w:hyperlink w:anchor="_Toc4120" w:history="1">
        <w:r>
          <w:rPr>
            <w:rFonts w:ascii="IRNazanin" w:hAnsi="IRNazanin" w:eastAsia="IRNazanin" w:cs="IRNazanin"/>
            <w:color w:val="111111"/>
            <w:sz w:val="22"/>
            <w:szCs w:val="22"/>
            <w:b w:val="0"/>
            <w:bCs w:val="0"/>
            <w:i w:val="0"/>
            <w:iCs w:val="0"/>
          </w:rPr>
          <w:t>سيواسي ، حسين بن محمّد، 976 - 1008</w:t>
        </w:r>
        <w:r>
          <w:tab/>
        </w:r>
        <w:r>
          <w:fldChar w:fldCharType="begin"/>
        </w:r>
        <w:r>
          <w:instrText xml:space="preserve">PAGEREF 4120 \h</w:instrText>
        </w:r>
        <w:r>
          <w:fldChar w:fldCharType="end"/>
        </w:r>
      </w:hyperlink>
    </w:p>
    <w:p>
      <w:pPr>
        <w:tabs>
          <w:tab w:val="right" w:leader="dot" w:pos="9062"/>
        </w:tabs>
        <w:ind w:left="220"/>
      </w:pPr>
      <w:hyperlink w:anchor="_Toc4121" w:history="1">
        <w:r>
          <w:rPr>
            <w:rFonts w:ascii="IRNazanin" w:hAnsi="IRNazanin" w:eastAsia="IRNazanin" w:cs="IRNazanin"/>
            <w:color w:val="111111"/>
            <w:sz w:val="22"/>
            <w:szCs w:val="22"/>
            <w:b w:val="0"/>
            <w:bCs w:val="0"/>
            <w:i w:val="0"/>
            <w:iCs w:val="0"/>
          </w:rPr>
          <w:t>سيواسي زيلي، احمد بن محمّد - 1009</w:t>
        </w:r>
        <w:r>
          <w:tab/>
        </w:r>
        <w:r>
          <w:fldChar w:fldCharType="begin"/>
        </w:r>
        <w:r>
          <w:instrText xml:space="preserve">PAGEREF 4121 \h</w:instrText>
        </w:r>
        <w:r>
          <w:fldChar w:fldCharType="end"/>
        </w:r>
      </w:hyperlink>
    </w:p>
    <w:p>
      <w:pPr>
        <w:tabs>
          <w:tab w:val="right" w:leader="dot" w:pos="9062"/>
        </w:tabs>
        <w:ind w:left="220"/>
      </w:pPr>
      <w:hyperlink w:anchor="_Toc4122" w:history="1">
        <w:r>
          <w:rPr>
            <w:rFonts w:ascii="IRNazanin" w:hAnsi="IRNazanin" w:eastAsia="IRNazanin" w:cs="IRNazanin"/>
            <w:color w:val="111111"/>
            <w:sz w:val="22"/>
            <w:szCs w:val="22"/>
            <w:b w:val="0"/>
            <w:bCs w:val="0"/>
            <w:i w:val="0"/>
            <w:iCs w:val="0"/>
          </w:rPr>
          <w:t>سيواسي ، عبدالقادر بن نور الله - 1303</w:t>
        </w:r>
        <w:r>
          <w:tab/>
        </w:r>
        <w:r>
          <w:fldChar w:fldCharType="begin"/>
        </w:r>
        <w:r>
          <w:instrText xml:space="preserve">PAGEREF 4122 \h</w:instrText>
        </w:r>
        <w:r>
          <w:fldChar w:fldCharType="end"/>
        </w:r>
      </w:hyperlink>
    </w:p>
    <w:p>
      <w:pPr>
        <w:tabs>
          <w:tab w:val="right" w:leader="dot" w:pos="9062"/>
        </w:tabs>
        <w:ind w:left="220"/>
      </w:pPr>
      <w:hyperlink w:anchor="_Toc4123" w:history="1">
        <w:r>
          <w:rPr>
            <w:rFonts w:ascii="IRNazanin" w:hAnsi="IRNazanin" w:eastAsia="IRNazanin" w:cs="IRNazanin"/>
            <w:color w:val="111111"/>
            <w:sz w:val="22"/>
            <w:szCs w:val="22"/>
            <w:b w:val="0"/>
            <w:bCs w:val="0"/>
            <w:i w:val="0"/>
            <w:iCs w:val="0"/>
          </w:rPr>
          <w:t>سيواسي ، عبد المجيد بن محرم - 1049</w:t>
        </w:r>
        <w:r>
          <w:tab/>
        </w:r>
        <w:r>
          <w:fldChar w:fldCharType="begin"/>
        </w:r>
        <w:r>
          <w:instrText xml:space="preserve">PAGEREF 4123 \h</w:instrText>
        </w:r>
        <w:r>
          <w:fldChar w:fldCharType="end"/>
        </w:r>
      </w:hyperlink>
    </w:p>
    <w:p>
      <w:pPr>
        <w:tabs>
          <w:tab w:val="right" w:leader="dot" w:pos="9062"/>
        </w:tabs>
        <w:ind w:left="220"/>
      </w:pPr>
      <w:hyperlink w:anchor="_Toc4124" w:history="1">
        <w:r>
          <w:rPr>
            <w:rFonts w:ascii="IRNazanin" w:hAnsi="IRNazanin" w:eastAsia="IRNazanin" w:cs="IRNazanin"/>
            <w:color w:val="111111"/>
            <w:sz w:val="22"/>
            <w:szCs w:val="22"/>
            <w:b w:val="0"/>
            <w:bCs w:val="0"/>
            <w:i w:val="0"/>
            <w:iCs w:val="0"/>
          </w:rPr>
          <w:t>سيواسي، مصطفى بن ابي بكر - 1240</w:t>
        </w:r>
        <w:r>
          <w:tab/>
        </w:r>
        <w:r>
          <w:fldChar w:fldCharType="begin"/>
        </w:r>
        <w:r>
          <w:instrText xml:space="preserve">PAGEREF 4124 \h</w:instrText>
        </w:r>
        <w:r>
          <w:fldChar w:fldCharType="end"/>
        </w:r>
      </w:hyperlink>
    </w:p>
    <w:p>
      <w:pPr>
        <w:tabs>
          <w:tab w:val="right" w:leader="dot" w:pos="9062"/>
        </w:tabs>
        <w:ind w:left="220"/>
      </w:pPr>
      <w:hyperlink w:anchor="_Toc4125" w:history="1">
        <w:r>
          <w:rPr>
            <w:rFonts w:ascii="IRNazanin" w:hAnsi="IRNazanin" w:eastAsia="IRNazanin" w:cs="IRNazanin"/>
            <w:color w:val="111111"/>
            <w:sz w:val="22"/>
            <w:szCs w:val="22"/>
            <w:b w:val="0"/>
            <w:bCs w:val="0"/>
            <w:i w:val="0"/>
            <w:iCs w:val="0"/>
          </w:rPr>
          <w:t>سيوطي ، عبد الرحمن بن ابي بكر، 849 -</w:t>
        </w:r>
        <w:r>
          <w:tab/>
        </w:r>
        <w:r>
          <w:fldChar w:fldCharType="begin"/>
        </w:r>
        <w:r>
          <w:instrText xml:space="preserve">PAGEREF 4125 \h</w:instrText>
        </w:r>
        <w:r>
          <w:fldChar w:fldCharType="end"/>
        </w:r>
      </w:hyperlink>
    </w:p>
    <w:p>
      <w:pPr>
        <w:tabs>
          <w:tab w:val="right" w:leader="dot" w:pos="9062"/>
        </w:tabs>
        <w:ind w:left="220"/>
      </w:pPr>
      <w:hyperlink w:anchor="_Toc4126" w:history="1">
        <w:r>
          <w:rPr>
            <w:rFonts w:ascii="IRNazanin" w:hAnsi="IRNazanin" w:eastAsia="IRNazanin" w:cs="IRNazanin"/>
            <w:color w:val="111111"/>
            <w:sz w:val="22"/>
            <w:szCs w:val="22"/>
            <w:b w:val="0"/>
            <w:bCs w:val="0"/>
            <w:i w:val="0"/>
            <w:iCs w:val="0"/>
          </w:rPr>
          <w:t>سيوطي ، محمّد بن ابي بكر، 783 - 859</w:t>
        </w:r>
        <w:r>
          <w:tab/>
        </w:r>
        <w:r>
          <w:fldChar w:fldCharType="begin"/>
        </w:r>
        <w:r>
          <w:instrText xml:space="preserve">PAGEREF 4126 \h</w:instrText>
        </w:r>
        <w:r>
          <w:fldChar w:fldCharType="end"/>
        </w:r>
      </w:hyperlink>
    </w:p>
    <w:p>
      <w:pPr>
        <w:tabs>
          <w:tab w:val="right" w:leader="dot" w:pos="9062"/>
        </w:tabs>
        <w:ind w:left="220"/>
      </w:pPr>
      <w:hyperlink w:anchor="_Toc4127" w:history="1">
        <w:r>
          <w:rPr>
            <w:rFonts w:ascii="IRNazanin" w:hAnsi="IRNazanin" w:eastAsia="IRNazanin" w:cs="IRNazanin"/>
            <w:color w:val="111111"/>
            <w:sz w:val="22"/>
            <w:szCs w:val="22"/>
            <w:b w:val="0"/>
            <w:bCs w:val="0"/>
            <w:i w:val="0"/>
            <w:iCs w:val="0"/>
          </w:rPr>
          <w:t>سيوفي اربلي ، محمّد بن محمّد</w:t>
        </w:r>
        <w:r>
          <w:tab/>
        </w:r>
        <w:r>
          <w:fldChar w:fldCharType="begin"/>
        </w:r>
        <w:r>
          <w:instrText xml:space="preserve">PAGEREF 4127 \h</w:instrText>
        </w:r>
        <w:r>
          <w:fldChar w:fldCharType="end"/>
        </w:r>
      </w:hyperlink>
    </w:p>
    <w:p>
      <w:pPr>
        <w:tabs>
          <w:tab w:val="right" w:leader="dot" w:pos="9062"/>
        </w:tabs>
        <w:ind w:left="220"/>
      </w:pPr>
      <w:hyperlink w:anchor="_Toc4128" w:history="1">
        <w:r>
          <w:rPr>
            <w:rFonts w:ascii="IRNazanin" w:hAnsi="IRNazanin" w:eastAsia="IRNazanin" w:cs="IRNazanin"/>
            <w:color w:val="111111"/>
            <w:sz w:val="22"/>
            <w:szCs w:val="22"/>
            <w:b w:val="0"/>
            <w:bCs w:val="0"/>
            <w:i w:val="0"/>
            <w:iCs w:val="0"/>
          </w:rPr>
          <w:t>شابشتي ، علي بن محمّد - 388 ه-</w:t>
        </w:r>
        <w:r>
          <w:tab/>
        </w:r>
        <w:r>
          <w:fldChar w:fldCharType="begin"/>
        </w:r>
        <w:r>
          <w:instrText xml:space="preserve">PAGEREF 4128 \h</w:instrText>
        </w:r>
        <w:r>
          <w:fldChar w:fldCharType="end"/>
        </w:r>
      </w:hyperlink>
    </w:p>
    <w:p>
      <w:pPr>
        <w:tabs>
          <w:tab w:val="right" w:leader="dot" w:pos="9062"/>
        </w:tabs>
        <w:ind w:left="220"/>
      </w:pPr>
      <w:hyperlink w:anchor="_Toc4129" w:history="1">
        <w:r>
          <w:rPr>
            <w:rFonts w:ascii="IRNazanin" w:hAnsi="IRNazanin" w:eastAsia="IRNazanin" w:cs="IRNazanin"/>
            <w:color w:val="111111"/>
            <w:sz w:val="22"/>
            <w:szCs w:val="22"/>
            <w:b w:val="0"/>
            <w:bCs w:val="0"/>
            <w:i w:val="0"/>
            <w:iCs w:val="0"/>
          </w:rPr>
          <w:t>؟ شاخوري، سليمان بن علي - 1101 ه-</w:t>
        </w:r>
        <w:r>
          <w:tab/>
        </w:r>
        <w:r>
          <w:fldChar w:fldCharType="begin"/>
        </w:r>
        <w:r>
          <w:instrText xml:space="preserve">PAGEREF 4129 \h</w:instrText>
        </w:r>
        <w:r>
          <w:fldChar w:fldCharType="end"/>
        </w:r>
      </w:hyperlink>
    </w:p>
    <w:p>
      <w:pPr>
        <w:tabs>
          <w:tab w:val="right" w:leader="dot" w:pos="9062"/>
        </w:tabs>
        <w:ind w:left="220"/>
      </w:pPr>
      <w:hyperlink w:anchor="_Toc4130" w:history="1">
        <w:r>
          <w:rPr>
            <w:rFonts w:ascii="IRNazanin" w:hAnsi="IRNazanin" w:eastAsia="IRNazanin" w:cs="IRNazanin"/>
            <w:color w:val="111111"/>
            <w:sz w:val="22"/>
            <w:szCs w:val="22"/>
            <w:b w:val="0"/>
            <w:bCs w:val="0"/>
            <w:i w:val="0"/>
            <w:iCs w:val="0"/>
          </w:rPr>
          <w:t>شاذان قمي قرن 6 ه-</w:t>
        </w:r>
        <w:r>
          <w:tab/>
        </w:r>
        <w:r>
          <w:fldChar w:fldCharType="begin"/>
        </w:r>
        <w:r>
          <w:instrText xml:space="preserve">PAGEREF 4130 \h</w:instrText>
        </w:r>
        <w:r>
          <w:fldChar w:fldCharType="end"/>
        </w:r>
      </w:hyperlink>
    </w:p>
    <w:p>
      <w:pPr>
        <w:tabs>
          <w:tab w:val="right" w:leader="dot" w:pos="9062"/>
        </w:tabs>
        <w:ind w:left="220"/>
      </w:pPr>
      <w:hyperlink w:anchor="_Toc4131" w:history="1">
        <w:r>
          <w:rPr>
            <w:rFonts w:ascii="IRNazanin" w:hAnsi="IRNazanin" w:eastAsia="IRNazanin" w:cs="IRNazanin"/>
            <w:color w:val="111111"/>
            <w:sz w:val="22"/>
            <w:szCs w:val="22"/>
            <w:b w:val="0"/>
            <w:bCs w:val="0"/>
            <w:i w:val="0"/>
            <w:iCs w:val="0"/>
          </w:rPr>
          <w:t>شاذلي ، ابو النجا</w:t>
        </w:r>
        <w:r>
          <w:tab/>
        </w:r>
        <w:r>
          <w:fldChar w:fldCharType="begin"/>
        </w:r>
        <w:r>
          <w:instrText xml:space="preserve">PAGEREF 4131 \h</w:instrText>
        </w:r>
        <w:r>
          <w:fldChar w:fldCharType="end"/>
        </w:r>
      </w:hyperlink>
    </w:p>
    <w:p>
      <w:pPr>
        <w:tabs>
          <w:tab w:val="right" w:leader="dot" w:pos="9062"/>
        </w:tabs>
        <w:ind w:left="220"/>
      </w:pPr>
      <w:hyperlink w:anchor="_Toc4132" w:history="1">
        <w:r>
          <w:rPr>
            <w:rFonts w:ascii="IRNazanin" w:hAnsi="IRNazanin" w:eastAsia="IRNazanin" w:cs="IRNazanin"/>
            <w:color w:val="111111"/>
            <w:sz w:val="22"/>
            <w:szCs w:val="22"/>
            <w:b w:val="0"/>
            <w:bCs w:val="0"/>
            <w:i w:val="0"/>
            <w:iCs w:val="0"/>
          </w:rPr>
          <w:t>شاذلي ، بدر الدين بن عمر</w:t>
        </w:r>
        <w:r>
          <w:tab/>
        </w:r>
        <w:r>
          <w:fldChar w:fldCharType="begin"/>
        </w:r>
        <w:r>
          <w:instrText xml:space="preserve">PAGEREF 4132 \h</w:instrText>
        </w:r>
        <w:r>
          <w:fldChar w:fldCharType="end"/>
        </w:r>
      </w:hyperlink>
    </w:p>
    <w:p>
      <w:pPr>
        <w:tabs>
          <w:tab w:val="right" w:leader="dot" w:pos="9062"/>
        </w:tabs>
        <w:ind w:left="220"/>
      </w:pPr>
      <w:hyperlink w:anchor="_Toc4133" w:history="1">
        <w:r>
          <w:rPr>
            <w:rFonts w:ascii="IRNazanin" w:hAnsi="IRNazanin" w:eastAsia="IRNazanin" w:cs="IRNazanin"/>
            <w:color w:val="111111"/>
            <w:sz w:val="22"/>
            <w:szCs w:val="22"/>
            <w:b w:val="0"/>
            <w:bCs w:val="0"/>
            <w:i w:val="0"/>
            <w:iCs w:val="0"/>
          </w:rPr>
          <w:t>شاذلي ، عبدالقادر بن محمّد - 935 ه-</w:t>
        </w:r>
        <w:r>
          <w:tab/>
        </w:r>
        <w:r>
          <w:fldChar w:fldCharType="begin"/>
        </w:r>
        <w:r>
          <w:instrText xml:space="preserve">PAGEREF 4133 \h</w:instrText>
        </w:r>
        <w:r>
          <w:fldChar w:fldCharType="end"/>
        </w:r>
      </w:hyperlink>
    </w:p>
    <w:p>
      <w:pPr>
        <w:tabs>
          <w:tab w:val="right" w:leader="dot" w:pos="9062"/>
        </w:tabs>
        <w:ind w:left="220"/>
      </w:pPr>
      <w:hyperlink w:anchor="_Toc4134" w:history="1">
        <w:r>
          <w:rPr>
            <w:rFonts w:ascii="IRNazanin" w:hAnsi="IRNazanin" w:eastAsia="IRNazanin" w:cs="IRNazanin"/>
            <w:color w:val="111111"/>
            <w:sz w:val="22"/>
            <w:szCs w:val="22"/>
            <w:b w:val="0"/>
            <w:bCs w:val="0"/>
            <w:i w:val="0"/>
            <w:iCs w:val="0"/>
          </w:rPr>
          <w:t>شاذلي ، عبدالمحسن بن عبدالغني</w:t>
        </w:r>
        <w:r>
          <w:tab/>
        </w:r>
        <w:r>
          <w:fldChar w:fldCharType="begin"/>
        </w:r>
        <w:r>
          <w:instrText xml:space="preserve">PAGEREF 4134 \h</w:instrText>
        </w:r>
        <w:r>
          <w:fldChar w:fldCharType="end"/>
        </w:r>
      </w:hyperlink>
    </w:p>
    <w:p>
      <w:pPr>
        <w:tabs>
          <w:tab w:val="right" w:leader="dot" w:pos="9062"/>
        </w:tabs>
        <w:ind w:left="220"/>
      </w:pPr>
      <w:hyperlink w:anchor="_Toc4135" w:history="1">
        <w:r>
          <w:rPr>
            <w:rFonts w:ascii="IRNazanin" w:hAnsi="IRNazanin" w:eastAsia="IRNazanin" w:cs="IRNazanin"/>
            <w:color w:val="111111"/>
            <w:sz w:val="22"/>
            <w:szCs w:val="22"/>
            <w:b w:val="0"/>
            <w:bCs w:val="0"/>
            <w:i w:val="0"/>
            <w:iCs w:val="0"/>
          </w:rPr>
          <w:t>شاذلي ، علي بن عبدالله 591 - 656 ه-</w:t>
        </w:r>
        <w:r>
          <w:tab/>
        </w:r>
        <w:r>
          <w:fldChar w:fldCharType="begin"/>
        </w:r>
        <w:r>
          <w:instrText xml:space="preserve">PAGEREF 4135 \h</w:instrText>
        </w:r>
        <w:r>
          <w:fldChar w:fldCharType="end"/>
        </w:r>
      </w:hyperlink>
    </w:p>
    <w:p>
      <w:pPr>
        <w:tabs>
          <w:tab w:val="right" w:leader="dot" w:pos="9062"/>
        </w:tabs>
        <w:ind w:left="220"/>
      </w:pPr>
      <w:hyperlink w:anchor="_Toc4136" w:history="1">
        <w:r>
          <w:rPr>
            <w:rFonts w:ascii="IRNazanin" w:hAnsi="IRNazanin" w:eastAsia="IRNazanin" w:cs="IRNazanin"/>
            <w:color w:val="111111"/>
            <w:sz w:val="22"/>
            <w:szCs w:val="22"/>
            <w:b w:val="0"/>
            <w:bCs w:val="0"/>
            <w:i w:val="0"/>
            <w:iCs w:val="0"/>
          </w:rPr>
          <w:t>شاذلي ، محمّد بن وفاء، 702 - 765 ه-</w:t>
        </w:r>
        <w:r>
          <w:tab/>
        </w:r>
        <w:r>
          <w:fldChar w:fldCharType="begin"/>
        </w:r>
        <w:r>
          <w:instrText xml:space="preserve">PAGEREF 4136 \h</w:instrText>
        </w:r>
        <w:r>
          <w:fldChar w:fldCharType="end"/>
        </w:r>
      </w:hyperlink>
    </w:p>
    <w:p>
      <w:pPr>
        <w:tabs>
          <w:tab w:val="right" w:leader="dot" w:pos="9062"/>
        </w:tabs>
        <w:ind w:left="220"/>
      </w:pPr>
      <w:hyperlink w:anchor="_Toc4137" w:history="1">
        <w:r>
          <w:rPr>
            <w:rFonts w:ascii="IRNazanin" w:hAnsi="IRNazanin" w:eastAsia="IRNazanin" w:cs="IRNazanin"/>
            <w:color w:val="111111"/>
            <w:sz w:val="22"/>
            <w:szCs w:val="22"/>
            <w:b w:val="0"/>
            <w:bCs w:val="0"/>
            <w:i w:val="0"/>
            <w:iCs w:val="0"/>
          </w:rPr>
          <w:t>شاراني ، ابراهيم</w:t>
        </w:r>
        <w:r>
          <w:tab/>
        </w:r>
        <w:r>
          <w:fldChar w:fldCharType="begin"/>
        </w:r>
        <w:r>
          <w:instrText xml:space="preserve">PAGEREF 4137 \h</w:instrText>
        </w:r>
        <w:r>
          <w:fldChar w:fldCharType="end"/>
        </w:r>
      </w:hyperlink>
    </w:p>
    <w:p>
      <w:pPr>
        <w:tabs>
          <w:tab w:val="right" w:leader="dot" w:pos="9062"/>
        </w:tabs>
        <w:ind w:left="220"/>
      </w:pPr>
      <w:hyperlink w:anchor="_Toc4138" w:history="1">
        <w:r>
          <w:rPr>
            <w:rFonts w:ascii="IRNazanin" w:hAnsi="IRNazanin" w:eastAsia="IRNazanin" w:cs="IRNazanin"/>
            <w:color w:val="111111"/>
            <w:sz w:val="22"/>
            <w:szCs w:val="22"/>
            <w:b w:val="0"/>
            <w:bCs w:val="0"/>
            <w:i w:val="0"/>
            <w:iCs w:val="0"/>
          </w:rPr>
          <w:t>شاشي ، اسحاق بن ابراهيم - 325 ه-</w:t>
        </w:r>
        <w:r>
          <w:tab/>
        </w:r>
        <w:r>
          <w:fldChar w:fldCharType="begin"/>
        </w:r>
        <w:r>
          <w:instrText xml:space="preserve">PAGEREF 4138 \h</w:instrText>
        </w:r>
        <w:r>
          <w:fldChar w:fldCharType="end"/>
        </w:r>
      </w:hyperlink>
    </w:p>
    <w:p>
      <w:pPr>
        <w:tabs>
          <w:tab w:val="right" w:leader="dot" w:pos="9062"/>
        </w:tabs>
        <w:ind w:left="220"/>
      </w:pPr>
      <w:hyperlink w:anchor="_Toc4139" w:history="1">
        <w:r>
          <w:rPr>
            <w:rFonts w:ascii="IRNazanin" w:hAnsi="IRNazanin" w:eastAsia="IRNazanin" w:cs="IRNazanin"/>
            <w:color w:val="111111"/>
            <w:sz w:val="22"/>
            <w:szCs w:val="22"/>
            <w:b w:val="0"/>
            <w:bCs w:val="0"/>
            <w:i w:val="0"/>
            <w:iCs w:val="0"/>
          </w:rPr>
          <w:t>شاشي ، حمیدالدین، قرن 8 ه-</w:t>
        </w:r>
        <w:r>
          <w:tab/>
        </w:r>
        <w:r>
          <w:fldChar w:fldCharType="begin"/>
        </w:r>
        <w:r>
          <w:instrText xml:space="preserve">PAGEREF 4139 \h</w:instrText>
        </w:r>
        <w:r>
          <w:fldChar w:fldCharType="end"/>
        </w:r>
      </w:hyperlink>
    </w:p>
    <w:p>
      <w:pPr>
        <w:tabs>
          <w:tab w:val="right" w:leader="dot" w:pos="9062"/>
        </w:tabs>
        <w:ind w:left="220"/>
      </w:pPr>
      <w:hyperlink w:anchor="_Toc4140" w:history="1">
        <w:r>
          <w:rPr>
            <w:rFonts w:ascii="IRNazanin" w:hAnsi="IRNazanin" w:eastAsia="IRNazanin" w:cs="IRNazanin"/>
            <w:color w:val="111111"/>
            <w:sz w:val="22"/>
            <w:szCs w:val="22"/>
            <w:b w:val="0"/>
            <w:bCs w:val="0"/>
            <w:i w:val="0"/>
            <w:iCs w:val="0"/>
          </w:rPr>
          <w:t>شاشي ، محمّد ميرك - 980 ه-</w:t>
        </w:r>
        <w:r>
          <w:tab/>
        </w:r>
        <w:r>
          <w:fldChar w:fldCharType="begin"/>
        </w:r>
        <w:r>
          <w:instrText xml:space="preserve">PAGEREF 4140 \h</w:instrText>
        </w:r>
        <w:r>
          <w:fldChar w:fldCharType="end"/>
        </w:r>
      </w:hyperlink>
    </w:p>
    <w:p>
      <w:pPr>
        <w:tabs>
          <w:tab w:val="right" w:leader="dot" w:pos="9062"/>
        </w:tabs>
        <w:ind w:left="220"/>
      </w:pPr>
      <w:hyperlink w:anchor="_Toc4141" w:history="1">
        <w:r>
          <w:rPr>
            <w:rFonts w:ascii="IRNazanin" w:hAnsi="IRNazanin" w:eastAsia="IRNazanin" w:cs="IRNazanin"/>
            <w:color w:val="111111"/>
            <w:sz w:val="22"/>
            <w:szCs w:val="22"/>
            <w:b w:val="0"/>
            <w:bCs w:val="0"/>
            <w:i w:val="0"/>
            <w:iCs w:val="0"/>
          </w:rPr>
          <w:t>شاطبي ، قاسم بن فيره 538 - 590 ه-</w:t>
        </w:r>
        <w:r>
          <w:tab/>
        </w:r>
        <w:r>
          <w:fldChar w:fldCharType="begin"/>
        </w:r>
        <w:r>
          <w:instrText xml:space="preserve">PAGEREF 4141 \h</w:instrText>
        </w:r>
        <w:r>
          <w:fldChar w:fldCharType="end"/>
        </w:r>
      </w:hyperlink>
    </w:p>
    <w:p>
      <w:pPr>
        <w:tabs>
          <w:tab w:val="right" w:leader="dot" w:pos="9062"/>
        </w:tabs>
        <w:ind w:left="220"/>
      </w:pPr>
      <w:hyperlink w:anchor="_Toc4142" w:history="1">
        <w:r>
          <w:rPr>
            <w:rFonts w:ascii="IRNazanin" w:hAnsi="IRNazanin" w:eastAsia="IRNazanin" w:cs="IRNazanin"/>
            <w:color w:val="111111"/>
            <w:sz w:val="22"/>
            <w:szCs w:val="22"/>
            <w:b w:val="0"/>
            <w:bCs w:val="0"/>
            <w:i w:val="0"/>
            <w:iCs w:val="0"/>
          </w:rPr>
          <w:t>شافعي ، ابوالفضل محمّد</w:t>
        </w:r>
        <w:r>
          <w:tab/>
        </w:r>
        <w:r>
          <w:fldChar w:fldCharType="begin"/>
        </w:r>
        <w:r>
          <w:instrText xml:space="preserve">PAGEREF 4142 \h</w:instrText>
        </w:r>
        <w:r>
          <w:fldChar w:fldCharType="end"/>
        </w:r>
      </w:hyperlink>
    </w:p>
    <w:p>
      <w:pPr>
        <w:tabs>
          <w:tab w:val="right" w:leader="dot" w:pos="9062"/>
        </w:tabs>
        <w:ind w:left="220"/>
      </w:pPr>
      <w:hyperlink w:anchor="_Toc4143" w:history="1">
        <w:r>
          <w:rPr>
            <w:rFonts w:ascii="IRNazanin" w:hAnsi="IRNazanin" w:eastAsia="IRNazanin" w:cs="IRNazanin"/>
            <w:color w:val="111111"/>
            <w:sz w:val="22"/>
            <w:szCs w:val="22"/>
            <w:b w:val="0"/>
            <w:bCs w:val="0"/>
            <w:i w:val="0"/>
            <w:iCs w:val="0"/>
          </w:rPr>
          <w:t>شافعي ، احمد بن احمد</w:t>
        </w:r>
        <w:r>
          <w:tab/>
        </w:r>
        <w:r>
          <w:fldChar w:fldCharType="begin"/>
        </w:r>
        <w:r>
          <w:instrText xml:space="preserve">PAGEREF 4143 \h</w:instrText>
        </w:r>
        <w:r>
          <w:fldChar w:fldCharType="end"/>
        </w:r>
      </w:hyperlink>
    </w:p>
    <w:p>
      <w:pPr>
        <w:tabs>
          <w:tab w:val="right" w:leader="dot" w:pos="9062"/>
        </w:tabs>
        <w:ind w:left="220"/>
      </w:pPr>
      <w:hyperlink w:anchor="_Toc4144" w:history="1">
        <w:r>
          <w:rPr>
            <w:rFonts w:ascii="IRNazanin" w:hAnsi="IRNazanin" w:eastAsia="IRNazanin" w:cs="IRNazanin"/>
            <w:color w:val="111111"/>
            <w:sz w:val="22"/>
            <w:szCs w:val="22"/>
            <w:b w:val="0"/>
            <w:bCs w:val="0"/>
            <w:i w:val="0"/>
            <w:iCs w:val="0"/>
          </w:rPr>
          <w:t>شافعي ، احمد بن تاج الدين</w:t>
        </w:r>
        <w:r>
          <w:tab/>
        </w:r>
        <w:r>
          <w:fldChar w:fldCharType="begin"/>
        </w:r>
        <w:r>
          <w:instrText xml:space="preserve">PAGEREF 4144 \h</w:instrText>
        </w:r>
        <w:r>
          <w:fldChar w:fldCharType="end"/>
        </w:r>
      </w:hyperlink>
    </w:p>
    <w:p>
      <w:pPr>
        <w:tabs>
          <w:tab w:val="right" w:leader="dot" w:pos="9062"/>
        </w:tabs>
        <w:ind w:left="220"/>
      </w:pPr>
      <w:hyperlink w:anchor="_Toc4145" w:history="1">
        <w:r>
          <w:rPr>
            <w:rFonts w:ascii="IRNazanin" w:hAnsi="IRNazanin" w:eastAsia="IRNazanin" w:cs="IRNazanin"/>
            <w:color w:val="111111"/>
            <w:sz w:val="22"/>
            <w:szCs w:val="22"/>
            <w:b w:val="0"/>
            <w:bCs w:val="0"/>
            <w:i w:val="0"/>
            <w:iCs w:val="0"/>
          </w:rPr>
          <w:t>شافعي ، سعيد بن قابل</w:t>
        </w:r>
        <w:r>
          <w:tab/>
        </w:r>
        <w:r>
          <w:fldChar w:fldCharType="begin"/>
        </w:r>
        <w:r>
          <w:instrText xml:space="preserve">PAGEREF 4145 \h</w:instrText>
        </w:r>
        <w:r>
          <w:fldChar w:fldCharType="end"/>
        </w:r>
      </w:hyperlink>
    </w:p>
    <w:p>
      <w:pPr>
        <w:tabs>
          <w:tab w:val="right" w:leader="dot" w:pos="9062"/>
        </w:tabs>
        <w:ind w:left="220"/>
      </w:pPr>
      <w:hyperlink w:anchor="_Toc4146" w:history="1">
        <w:r>
          <w:rPr>
            <w:rFonts w:ascii="IRNazanin" w:hAnsi="IRNazanin" w:eastAsia="IRNazanin" w:cs="IRNazanin"/>
            <w:color w:val="111111"/>
            <w:sz w:val="22"/>
            <w:szCs w:val="22"/>
            <w:b w:val="0"/>
            <w:bCs w:val="0"/>
            <w:i w:val="0"/>
            <w:iCs w:val="0"/>
          </w:rPr>
          <w:t>شافعي طبيب، محمّد بيك قرن 13 ه-</w:t>
        </w:r>
        <w:r>
          <w:tab/>
        </w:r>
        <w:r>
          <w:fldChar w:fldCharType="begin"/>
        </w:r>
        <w:r>
          <w:instrText xml:space="preserve">PAGEREF 4146 \h</w:instrText>
        </w:r>
        <w:r>
          <w:fldChar w:fldCharType="end"/>
        </w:r>
      </w:hyperlink>
    </w:p>
    <w:p>
      <w:pPr>
        <w:tabs>
          <w:tab w:val="right" w:leader="dot" w:pos="9062"/>
        </w:tabs>
        <w:ind w:left="220"/>
      </w:pPr>
      <w:hyperlink w:anchor="_Toc4147" w:history="1">
        <w:r>
          <w:rPr>
            <w:rFonts w:ascii="IRNazanin" w:hAnsi="IRNazanin" w:eastAsia="IRNazanin" w:cs="IRNazanin"/>
            <w:color w:val="111111"/>
            <w:sz w:val="22"/>
            <w:szCs w:val="22"/>
            <w:b w:val="0"/>
            <w:bCs w:val="0"/>
            <w:i w:val="0"/>
            <w:iCs w:val="0"/>
          </w:rPr>
          <w:t>شافعي ، عبد الله بن محمّد قرن 12 ه-</w:t>
        </w:r>
        <w:r>
          <w:tab/>
        </w:r>
        <w:r>
          <w:fldChar w:fldCharType="begin"/>
        </w:r>
        <w:r>
          <w:instrText xml:space="preserve">PAGEREF 4147 \h</w:instrText>
        </w:r>
        <w:r>
          <w:fldChar w:fldCharType="end"/>
        </w:r>
      </w:hyperlink>
    </w:p>
    <w:p>
      <w:pPr>
        <w:tabs>
          <w:tab w:val="right" w:leader="dot" w:pos="9062"/>
        </w:tabs>
        <w:ind w:left="220"/>
      </w:pPr>
      <w:hyperlink w:anchor="_Toc4148" w:history="1">
        <w:r>
          <w:rPr>
            <w:rFonts w:ascii="IRNazanin" w:hAnsi="IRNazanin" w:eastAsia="IRNazanin" w:cs="IRNazanin"/>
            <w:color w:val="111111"/>
            <w:sz w:val="22"/>
            <w:szCs w:val="22"/>
            <w:b w:val="0"/>
            <w:bCs w:val="0"/>
            <w:i w:val="0"/>
            <w:iCs w:val="0"/>
          </w:rPr>
          <w:t>شافعي ، محمّدامين بن صالح</w:t>
        </w:r>
        <w:r>
          <w:tab/>
        </w:r>
        <w:r>
          <w:fldChar w:fldCharType="begin"/>
        </w:r>
        <w:r>
          <w:instrText xml:space="preserve">PAGEREF 4148 \h</w:instrText>
        </w:r>
        <w:r>
          <w:fldChar w:fldCharType="end"/>
        </w:r>
      </w:hyperlink>
    </w:p>
    <w:p>
      <w:pPr>
        <w:tabs>
          <w:tab w:val="right" w:leader="dot" w:pos="9062"/>
        </w:tabs>
        <w:ind w:left="220"/>
      </w:pPr>
      <w:hyperlink w:anchor="_Toc4149" w:history="1">
        <w:r>
          <w:rPr>
            <w:rFonts w:ascii="IRNazanin" w:hAnsi="IRNazanin" w:eastAsia="IRNazanin" w:cs="IRNazanin"/>
            <w:color w:val="111111"/>
            <w:sz w:val="22"/>
            <w:szCs w:val="22"/>
            <w:b w:val="0"/>
            <w:bCs w:val="0"/>
            <w:i w:val="0"/>
            <w:iCs w:val="0"/>
          </w:rPr>
          <w:t>شافعي ، محمّد بن احمد</w:t>
        </w:r>
        <w:r>
          <w:tab/>
        </w:r>
        <w:r>
          <w:fldChar w:fldCharType="begin"/>
        </w:r>
        <w:r>
          <w:instrText xml:space="preserve">PAGEREF 4149 \h</w:instrText>
        </w:r>
        <w:r>
          <w:fldChar w:fldCharType="end"/>
        </w:r>
      </w:hyperlink>
    </w:p>
    <w:p>
      <w:pPr>
        <w:tabs>
          <w:tab w:val="right" w:leader="dot" w:pos="9062"/>
        </w:tabs>
        <w:ind w:left="220"/>
      </w:pPr>
      <w:hyperlink w:anchor="_Toc4150" w:history="1">
        <w:r>
          <w:rPr>
            <w:rFonts w:ascii="IRNazanin" w:hAnsi="IRNazanin" w:eastAsia="IRNazanin" w:cs="IRNazanin"/>
            <w:color w:val="111111"/>
            <w:sz w:val="22"/>
            <w:szCs w:val="22"/>
            <w:b w:val="0"/>
            <w:bCs w:val="0"/>
            <w:i w:val="0"/>
            <w:iCs w:val="0"/>
          </w:rPr>
          <w:t>شافعي ، محمّد بن ادريس 150 - 204</w:t>
        </w:r>
        <w:r>
          <w:tab/>
        </w:r>
        <w:r>
          <w:fldChar w:fldCharType="begin"/>
        </w:r>
        <w:r>
          <w:instrText xml:space="preserve">PAGEREF 4150 \h</w:instrText>
        </w:r>
        <w:r>
          <w:fldChar w:fldCharType="end"/>
        </w:r>
      </w:hyperlink>
    </w:p>
    <w:p>
      <w:pPr>
        <w:tabs>
          <w:tab w:val="right" w:leader="dot" w:pos="9062"/>
        </w:tabs>
        <w:ind w:left="220"/>
      </w:pPr>
      <w:hyperlink w:anchor="_Toc4151" w:history="1">
        <w:r>
          <w:rPr>
            <w:rFonts w:ascii="IRNazanin" w:hAnsi="IRNazanin" w:eastAsia="IRNazanin" w:cs="IRNazanin"/>
            <w:color w:val="111111"/>
            <w:sz w:val="22"/>
            <w:szCs w:val="22"/>
            <w:b w:val="0"/>
            <w:bCs w:val="0"/>
            <w:i w:val="0"/>
            <w:iCs w:val="0"/>
          </w:rPr>
          <w:t>شافعي ، محمّد بن حمزه</w:t>
        </w:r>
        <w:r>
          <w:tab/>
        </w:r>
        <w:r>
          <w:fldChar w:fldCharType="begin"/>
        </w:r>
        <w:r>
          <w:instrText xml:space="preserve">PAGEREF 4151 \h</w:instrText>
        </w:r>
        <w:r>
          <w:fldChar w:fldCharType="end"/>
        </w:r>
      </w:hyperlink>
    </w:p>
    <w:p>
      <w:pPr>
        <w:tabs>
          <w:tab w:val="right" w:leader="dot" w:pos="9062"/>
        </w:tabs>
        <w:ind w:left="220"/>
      </w:pPr>
      <w:hyperlink w:anchor="_Toc4152" w:history="1">
        <w:r>
          <w:rPr>
            <w:rFonts w:ascii="IRNazanin" w:hAnsi="IRNazanin" w:eastAsia="IRNazanin" w:cs="IRNazanin"/>
            <w:color w:val="111111"/>
            <w:sz w:val="22"/>
            <w:szCs w:val="22"/>
            <w:b w:val="0"/>
            <w:bCs w:val="0"/>
            <w:i w:val="0"/>
            <w:iCs w:val="0"/>
          </w:rPr>
          <w:t>شافعي ، محمّد بن عبدالله 260 - 354</w:t>
        </w:r>
        <w:r>
          <w:tab/>
        </w:r>
        <w:r>
          <w:fldChar w:fldCharType="begin"/>
        </w:r>
        <w:r>
          <w:instrText xml:space="preserve">PAGEREF 4152 \h</w:instrText>
        </w:r>
        <w:r>
          <w:fldChar w:fldCharType="end"/>
        </w:r>
      </w:hyperlink>
    </w:p>
    <w:p>
      <w:pPr>
        <w:tabs>
          <w:tab w:val="right" w:leader="dot" w:pos="9062"/>
        </w:tabs>
        <w:ind w:left="220"/>
      </w:pPr>
      <w:hyperlink w:anchor="_Toc4153" w:history="1">
        <w:r>
          <w:rPr>
            <w:rFonts w:ascii="IRNazanin" w:hAnsi="IRNazanin" w:eastAsia="IRNazanin" w:cs="IRNazanin"/>
            <w:color w:val="111111"/>
            <w:sz w:val="22"/>
            <w:szCs w:val="22"/>
            <w:b w:val="0"/>
            <w:bCs w:val="0"/>
            <w:i w:val="0"/>
            <w:iCs w:val="0"/>
          </w:rPr>
          <w:t>شافعي ، محمّد بن علي</w:t>
        </w:r>
        <w:r>
          <w:tab/>
        </w:r>
        <w:r>
          <w:fldChar w:fldCharType="begin"/>
        </w:r>
        <w:r>
          <w:instrText xml:space="preserve">PAGEREF 4153 \h</w:instrText>
        </w:r>
        <w:r>
          <w:fldChar w:fldCharType="end"/>
        </w:r>
      </w:hyperlink>
    </w:p>
    <w:p>
      <w:pPr>
        <w:tabs>
          <w:tab w:val="right" w:leader="dot" w:pos="9062"/>
        </w:tabs>
        <w:ind w:left="220"/>
      </w:pPr>
      <w:hyperlink w:anchor="_Toc4154" w:history="1">
        <w:r>
          <w:rPr>
            <w:rFonts w:ascii="IRNazanin" w:hAnsi="IRNazanin" w:eastAsia="IRNazanin" w:cs="IRNazanin"/>
            <w:color w:val="111111"/>
            <w:sz w:val="22"/>
            <w:szCs w:val="22"/>
            <w:b w:val="0"/>
            <w:bCs w:val="0"/>
            <w:i w:val="0"/>
            <w:iCs w:val="0"/>
          </w:rPr>
          <w:t>شافعي ، محمّد بن محمّد</w:t>
        </w:r>
        <w:r>
          <w:tab/>
        </w:r>
        <w:r>
          <w:fldChar w:fldCharType="begin"/>
        </w:r>
        <w:r>
          <w:instrText xml:space="preserve">PAGEREF 4154 \h</w:instrText>
        </w:r>
        <w:r>
          <w:fldChar w:fldCharType="end"/>
        </w:r>
      </w:hyperlink>
    </w:p>
    <w:p>
      <w:pPr>
        <w:tabs>
          <w:tab w:val="right" w:leader="dot" w:pos="9062"/>
        </w:tabs>
        <w:ind w:left="220"/>
      </w:pPr>
      <w:hyperlink w:anchor="_Toc4155" w:history="1">
        <w:r>
          <w:rPr>
            <w:rFonts w:ascii="IRNazanin" w:hAnsi="IRNazanin" w:eastAsia="IRNazanin" w:cs="IRNazanin"/>
            <w:color w:val="111111"/>
            <w:sz w:val="22"/>
            <w:szCs w:val="22"/>
            <w:b w:val="0"/>
            <w:bCs w:val="0"/>
            <w:i w:val="0"/>
            <w:iCs w:val="0"/>
          </w:rPr>
          <w:t>شافعي ، مصطفى محمّد</w:t>
        </w:r>
        <w:r>
          <w:tab/>
        </w:r>
        <w:r>
          <w:fldChar w:fldCharType="begin"/>
        </w:r>
        <w:r>
          <w:instrText xml:space="preserve">PAGEREF 4155 \h</w:instrText>
        </w:r>
        <w:r>
          <w:fldChar w:fldCharType="end"/>
        </w:r>
      </w:hyperlink>
    </w:p>
    <w:p>
      <w:pPr>
        <w:tabs>
          <w:tab w:val="right" w:leader="dot" w:pos="9062"/>
        </w:tabs>
        <w:ind w:left="220"/>
      </w:pPr>
      <w:hyperlink w:anchor="_Toc4156" w:history="1">
        <w:r>
          <w:rPr>
            <w:rFonts w:ascii="IRNazanin" w:hAnsi="IRNazanin" w:eastAsia="IRNazanin" w:cs="IRNazanin"/>
            <w:color w:val="111111"/>
            <w:sz w:val="22"/>
            <w:szCs w:val="22"/>
            <w:b w:val="0"/>
            <w:bCs w:val="0"/>
            <w:i w:val="0"/>
            <w:iCs w:val="0"/>
          </w:rPr>
          <w:t>شاکر شقير 1850 - 1896 م</w:t>
        </w:r>
        <w:r>
          <w:tab/>
        </w:r>
        <w:r>
          <w:fldChar w:fldCharType="begin"/>
        </w:r>
        <w:r>
          <w:instrText xml:space="preserve">PAGEREF 4156 \h</w:instrText>
        </w:r>
        <w:r>
          <w:fldChar w:fldCharType="end"/>
        </w:r>
      </w:hyperlink>
    </w:p>
    <w:p>
      <w:pPr>
        <w:tabs>
          <w:tab w:val="right" w:leader="dot" w:pos="9062"/>
        </w:tabs>
        <w:ind w:left="220"/>
      </w:pPr>
      <w:hyperlink w:anchor="_Toc4157" w:history="1">
        <w:r>
          <w:rPr>
            <w:rFonts w:ascii="IRNazanin" w:hAnsi="IRNazanin" w:eastAsia="IRNazanin" w:cs="IRNazanin"/>
            <w:color w:val="111111"/>
            <w:sz w:val="22"/>
            <w:szCs w:val="22"/>
            <w:b w:val="0"/>
            <w:bCs w:val="0"/>
            <w:i w:val="0"/>
            <w:iCs w:val="0"/>
          </w:rPr>
          <w:t>شاكر ، عثمان بن حسن - 1241 ه-</w:t>
        </w:r>
        <w:r>
          <w:tab/>
        </w:r>
        <w:r>
          <w:fldChar w:fldCharType="begin"/>
        </w:r>
        <w:r>
          <w:instrText xml:space="preserve">PAGEREF 4157 \h</w:instrText>
        </w:r>
        <w:r>
          <w:fldChar w:fldCharType="end"/>
        </w:r>
      </w:hyperlink>
    </w:p>
    <w:p>
      <w:pPr>
        <w:tabs>
          <w:tab w:val="right" w:leader="dot" w:pos="9062"/>
        </w:tabs>
        <w:ind w:left="220"/>
      </w:pPr>
      <w:hyperlink w:anchor="_Toc4158" w:history="1">
        <w:r>
          <w:rPr>
            <w:rFonts w:ascii="IRNazanin" w:hAnsi="IRNazanin" w:eastAsia="IRNazanin" w:cs="IRNazanin"/>
            <w:color w:val="111111"/>
            <w:sz w:val="22"/>
            <w:szCs w:val="22"/>
            <w:b w:val="0"/>
            <w:bCs w:val="0"/>
            <w:i w:val="0"/>
            <w:iCs w:val="0"/>
          </w:rPr>
          <w:t>شالجي ، صالح، - 1251 ه-</w:t>
        </w:r>
        <w:r>
          <w:tab/>
        </w:r>
        <w:r>
          <w:fldChar w:fldCharType="begin"/>
        </w:r>
        <w:r>
          <w:instrText xml:space="preserve">PAGEREF 4158 \h</w:instrText>
        </w:r>
        <w:r>
          <w:fldChar w:fldCharType="end"/>
        </w:r>
      </w:hyperlink>
    </w:p>
    <w:p>
      <w:pPr>
        <w:tabs>
          <w:tab w:val="right" w:leader="dot" w:pos="9062"/>
        </w:tabs>
        <w:ind w:left="220"/>
      </w:pPr>
      <w:hyperlink w:anchor="_Toc4159" w:history="1">
        <w:r>
          <w:rPr>
            <w:rFonts w:ascii="IRNazanin" w:hAnsi="IRNazanin" w:eastAsia="IRNazanin" w:cs="IRNazanin"/>
            <w:color w:val="111111"/>
            <w:sz w:val="22"/>
            <w:szCs w:val="22"/>
            <w:b w:val="0"/>
            <w:bCs w:val="0"/>
            <w:i w:val="0"/>
            <w:iCs w:val="0"/>
          </w:rPr>
          <w:t>شامي ، ابن سامان</w:t>
        </w:r>
        <w:r>
          <w:tab/>
        </w:r>
        <w:r>
          <w:fldChar w:fldCharType="begin"/>
        </w:r>
        <w:r>
          <w:instrText xml:space="preserve">PAGEREF 4159 \h</w:instrText>
        </w:r>
        <w:r>
          <w:fldChar w:fldCharType="end"/>
        </w:r>
      </w:hyperlink>
    </w:p>
    <w:p>
      <w:pPr>
        <w:tabs>
          <w:tab w:val="right" w:leader="dot" w:pos="9062"/>
        </w:tabs>
        <w:ind w:left="220"/>
      </w:pPr>
      <w:hyperlink w:anchor="_Toc4160" w:history="1">
        <w:r>
          <w:rPr>
            <w:rFonts w:ascii="IRNazanin" w:hAnsi="IRNazanin" w:eastAsia="IRNazanin" w:cs="IRNazanin"/>
            <w:color w:val="111111"/>
            <w:sz w:val="22"/>
            <w:szCs w:val="22"/>
            <w:b w:val="0"/>
            <w:bCs w:val="0"/>
            <w:i w:val="0"/>
            <w:iCs w:val="0"/>
          </w:rPr>
          <w:t>شامي صيداوي جبعي</w:t>
        </w:r>
        <w:r>
          <w:tab/>
        </w:r>
        <w:r>
          <w:fldChar w:fldCharType="begin"/>
        </w:r>
        <w:r>
          <w:instrText xml:space="preserve">PAGEREF 4160 \h</w:instrText>
        </w:r>
        <w:r>
          <w:fldChar w:fldCharType="end"/>
        </w:r>
      </w:hyperlink>
    </w:p>
    <w:p>
      <w:pPr>
        <w:tabs>
          <w:tab w:val="right" w:leader="dot" w:pos="9062"/>
        </w:tabs>
        <w:ind w:left="220"/>
      </w:pPr>
      <w:hyperlink w:anchor="_Toc4161" w:history="1">
        <w:r>
          <w:rPr>
            <w:rFonts w:ascii="IRNazanin" w:hAnsi="IRNazanin" w:eastAsia="IRNazanin" w:cs="IRNazanin"/>
            <w:color w:val="111111"/>
            <w:sz w:val="22"/>
            <w:szCs w:val="22"/>
            <w:b w:val="0"/>
            <w:bCs w:val="0"/>
            <w:i w:val="0"/>
            <w:iCs w:val="0"/>
          </w:rPr>
          <w:t>شامي عاملي ، علي بن احمد</w:t>
        </w:r>
        <w:r>
          <w:tab/>
        </w:r>
        <w:r>
          <w:fldChar w:fldCharType="begin"/>
        </w:r>
        <w:r>
          <w:instrText xml:space="preserve">PAGEREF 4161 \h</w:instrText>
        </w:r>
        <w:r>
          <w:fldChar w:fldCharType="end"/>
        </w:r>
      </w:hyperlink>
    </w:p>
    <w:p>
      <w:pPr>
        <w:tabs>
          <w:tab w:val="right" w:leader="dot" w:pos="9062"/>
        </w:tabs>
        <w:ind w:left="220"/>
      </w:pPr>
      <w:hyperlink w:anchor="_Toc4162" w:history="1">
        <w:r>
          <w:rPr>
            <w:rFonts w:ascii="IRNazanin" w:hAnsi="IRNazanin" w:eastAsia="IRNazanin" w:cs="IRNazanin"/>
            <w:color w:val="111111"/>
            <w:sz w:val="22"/>
            <w:szCs w:val="22"/>
            <w:b w:val="0"/>
            <w:bCs w:val="0"/>
            <w:i w:val="0"/>
            <w:iCs w:val="0"/>
          </w:rPr>
          <w:t>شامي ، عبدالرحمن بن محمّد</w:t>
        </w:r>
        <w:r>
          <w:tab/>
        </w:r>
        <w:r>
          <w:fldChar w:fldCharType="begin"/>
        </w:r>
        <w:r>
          <w:instrText xml:space="preserve">PAGEREF 4162 \h</w:instrText>
        </w:r>
        <w:r>
          <w:fldChar w:fldCharType="end"/>
        </w:r>
      </w:hyperlink>
    </w:p>
    <w:p>
      <w:pPr>
        <w:tabs>
          <w:tab w:val="right" w:leader="dot" w:pos="9062"/>
        </w:tabs>
        <w:ind w:left="220"/>
      </w:pPr>
      <w:hyperlink w:anchor="_Toc4163" w:history="1">
        <w:r>
          <w:rPr>
            <w:rFonts w:ascii="IRNazanin" w:hAnsi="IRNazanin" w:eastAsia="IRNazanin" w:cs="IRNazanin"/>
            <w:color w:val="111111"/>
            <w:sz w:val="22"/>
            <w:szCs w:val="22"/>
            <w:b w:val="0"/>
            <w:bCs w:val="0"/>
            <w:i w:val="0"/>
            <w:iCs w:val="0"/>
          </w:rPr>
          <w:t>شامي ، يوسف بن حاتم ، قرن 7 ه-</w:t>
        </w:r>
        <w:r>
          <w:tab/>
        </w:r>
        <w:r>
          <w:fldChar w:fldCharType="begin"/>
        </w:r>
        <w:r>
          <w:instrText xml:space="preserve">PAGEREF 4163 \h</w:instrText>
        </w:r>
        <w:r>
          <w:fldChar w:fldCharType="end"/>
        </w:r>
      </w:hyperlink>
    </w:p>
    <w:p>
      <w:pPr>
        <w:tabs>
          <w:tab w:val="right" w:leader="dot" w:pos="9062"/>
        </w:tabs>
        <w:ind w:left="220"/>
      </w:pPr>
      <w:hyperlink w:anchor="_Toc4164" w:history="1">
        <w:r>
          <w:rPr>
            <w:rFonts w:ascii="IRNazanin" w:hAnsi="IRNazanin" w:eastAsia="IRNazanin" w:cs="IRNazanin"/>
            <w:color w:val="111111"/>
            <w:sz w:val="22"/>
            <w:szCs w:val="22"/>
            <w:b w:val="0"/>
            <w:bCs w:val="0"/>
            <w:i w:val="0"/>
            <w:iCs w:val="0"/>
          </w:rPr>
          <w:t>شاناق هندي</w:t>
        </w:r>
        <w:r>
          <w:tab/>
        </w:r>
        <w:r>
          <w:fldChar w:fldCharType="begin"/>
        </w:r>
        <w:r>
          <w:instrText xml:space="preserve">PAGEREF 4164 \h</w:instrText>
        </w:r>
        <w:r>
          <w:fldChar w:fldCharType="end"/>
        </w:r>
      </w:hyperlink>
    </w:p>
    <w:p>
      <w:pPr>
        <w:tabs>
          <w:tab w:val="right" w:leader="dot" w:pos="9062"/>
        </w:tabs>
        <w:ind w:left="220"/>
      </w:pPr>
      <w:hyperlink w:anchor="_Toc4165" w:history="1">
        <w:r>
          <w:rPr>
            <w:rFonts w:ascii="IRNazanin" w:hAnsi="IRNazanin" w:eastAsia="IRNazanin" w:cs="IRNazanin"/>
            <w:color w:val="111111"/>
            <w:sz w:val="22"/>
            <w:szCs w:val="22"/>
            <w:b w:val="0"/>
            <w:bCs w:val="0"/>
            <w:i w:val="0"/>
            <w:iCs w:val="0"/>
          </w:rPr>
          <w:t>شاني زاده، محمّد صادق بن مصطفى</w:t>
        </w:r>
        <w:r>
          <w:tab/>
        </w:r>
        <w:r>
          <w:fldChar w:fldCharType="begin"/>
        </w:r>
        <w:r>
          <w:instrText xml:space="preserve">PAGEREF 4165 \h</w:instrText>
        </w:r>
        <w:r>
          <w:fldChar w:fldCharType="end"/>
        </w:r>
      </w:hyperlink>
    </w:p>
    <w:p>
      <w:pPr>
        <w:tabs>
          <w:tab w:val="right" w:leader="dot" w:pos="9062"/>
        </w:tabs>
        <w:ind w:left="220"/>
      </w:pPr>
      <w:hyperlink w:anchor="_Toc4166" w:history="1">
        <w:r>
          <w:rPr>
            <w:rFonts w:ascii="IRNazanin" w:hAnsi="IRNazanin" w:eastAsia="IRNazanin" w:cs="IRNazanin"/>
            <w:color w:val="111111"/>
            <w:sz w:val="22"/>
            <w:szCs w:val="22"/>
            <w:b w:val="0"/>
            <w:bCs w:val="0"/>
            <w:i w:val="0"/>
            <w:iCs w:val="0"/>
          </w:rPr>
          <w:t>شاه ارزاني ، محمّد اکبر بن محمّد</w:t>
        </w:r>
        <w:r>
          <w:tab/>
        </w:r>
        <w:r>
          <w:fldChar w:fldCharType="begin"/>
        </w:r>
        <w:r>
          <w:instrText xml:space="preserve">PAGEREF 4166 \h</w:instrText>
        </w:r>
        <w:r>
          <w:fldChar w:fldCharType="end"/>
        </w:r>
      </w:hyperlink>
    </w:p>
    <w:p>
      <w:pPr>
        <w:tabs>
          <w:tab w:val="right" w:leader="dot" w:pos="9062"/>
        </w:tabs>
        <w:ind w:left="220"/>
      </w:pPr>
      <w:hyperlink w:anchor="_Toc4167" w:history="1">
        <w:r>
          <w:rPr>
            <w:rFonts w:ascii="IRNazanin" w:hAnsi="IRNazanin" w:eastAsia="IRNazanin" w:cs="IRNazanin"/>
            <w:color w:val="111111"/>
            <w:sz w:val="22"/>
            <w:szCs w:val="22"/>
            <w:b w:val="0"/>
            <w:bCs w:val="0"/>
            <w:i w:val="0"/>
            <w:iCs w:val="0"/>
          </w:rPr>
          <w:t>شاہ الدین حسن</w:t>
        </w:r>
        <w:r>
          <w:tab/>
        </w:r>
        <w:r>
          <w:fldChar w:fldCharType="begin"/>
        </w:r>
        <w:r>
          <w:instrText xml:space="preserve">PAGEREF 4167 \h</w:instrText>
        </w:r>
        <w:r>
          <w:fldChar w:fldCharType="end"/>
        </w:r>
      </w:hyperlink>
    </w:p>
    <w:p>
      <w:pPr>
        <w:tabs>
          <w:tab w:val="right" w:leader="dot" w:pos="9062"/>
        </w:tabs>
        <w:ind w:left="220"/>
      </w:pPr>
      <w:hyperlink w:anchor="_Toc4168" w:history="1">
        <w:r>
          <w:rPr>
            <w:rFonts w:ascii="IRNazanin" w:hAnsi="IRNazanin" w:eastAsia="IRNazanin" w:cs="IRNazanin"/>
            <w:color w:val="111111"/>
            <w:sz w:val="22"/>
            <w:szCs w:val="22"/>
            <w:b w:val="0"/>
            <w:bCs w:val="0"/>
            <w:i w:val="0"/>
            <w:iCs w:val="0"/>
          </w:rPr>
          <w:t>شاهرودي ، حسين بن ابراهيم قرن 11</w:t>
        </w:r>
        <w:r>
          <w:tab/>
        </w:r>
        <w:r>
          <w:fldChar w:fldCharType="begin"/>
        </w:r>
        <w:r>
          <w:instrText xml:space="preserve">PAGEREF 4168 \h</w:instrText>
        </w:r>
        <w:r>
          <w:fldChar w:fldCharType="end"/>
        </w:r>
      </w:hyperlink>
    </w:p>
    <w:p>
      <w:pPr>
        <w:tabs>
          <w:tab w:val="right" w:leader="dot" w:pos="9062"/>
        </w:tabs>
        <w:ind w:left="220"/>
      </w:pPr>
      <w:hyperlink w:anchor="_Toc4169" w:history="1">
        <w:r>
          <w:rPr>
            <w:rFonts w:ascii="IRNazanin" w:hAnsi="IRNazanin" w:eastAsia="IRNazanin" w:cs="IRNazanin"/>
            <w:color w:val="111111"/>
            <w:sz w:val="22"/>
            <w:szCs w:val="22"/>
            <w:b w:val="0"/>
            <w:bCs w:val="0"/>
            <w:i w:val="0"/>
            <w:iCs w:val="0"/>
          </w:rPr>
          <w:t>شاهرودي حسيني ، علي بن علي اكبر</w:t>
        </w:r>
        <w:r>
          <w:tab/>
        </w:r>
        <w:r>
          <w:fldChar w:fldCharType="begin"/>
        </w:r>
        <w:r>
          <w:instrText xml:space="preserve">PAGEREF 4169 \h</w:instrText>
        </w:r>
        <w:r>
          <w:fldChar w:fldCharType="end"/>
        </w:r>
      </w:hyperlink>
    </w:p>
    <w:p>
      <w:pPr>
        <w:tabs>
          <w:tab w:val="right" w:leader="dot" w:pos="9062"/>
        </w:tabs>
        <w:ind w:left="220"/>
      </w:pPr>
      <w:hyperlink w:anchor="_Toc4170" w:history="1">
        <w:r>
          <w:rPr>
            <w:rFonts w:ascii="IRNazanin" w:hAnsi="IRNazanin" w:eastAsia="IRNazanin" w:cs="IRNazanin"/>
            <w:color w:val="111111"/>
            <w:sz w:val="22"/>
            <w:szCs w:val="22"/>
            <w:b w:val="0"/>
            <w:bCs w:val="0"/>
            <w:i w:val="0"/>
            <w:iCs w:val="0"/>
          </w:rPr>
          <w:t>شاهرودي ، علي بن محي الدين</w:t>
        </w:r>
        <w:r>
          <w:tab/>
        </w:r>
        <w:r>
          <w:fldChar w:fldCharType="begin"/>
        </w:r>
        <w:r>
          <w:instrText xml:space="preserve">PAGEREF 4170 \h</w:instrText>
        </w:r>
        <w:r>
          <w:fldChar w:fldCharType="end"/>
        </w:r>
      </w:hyperlink>
    </w:p>
    <w:p>
      <w:pPr>
        <w:tabs>
          <w:tab w:val="right" w:leader="dot" w:pos="9062"/>
        </w:tabs>
        <w:ind w:left="220"/>
      </w:pPr>
      <w:hyperlink w:anchor="_Toc4171" w:history="1">
        <w:r>
          <w:rPr>
            <w:rFonts w:ascii="IRNazanin" w:hAnsi="IRNazanin" w:eastAsia="IRNazanin" w:cs="IRNazanin"/>
            <w:color w:val="111111"/>
            <w:sz w:val="22"/>
            <w:szCs w:val="22"/>
            <w:b w:val="0"/>
            <w:bCs w:val="0"/>
            <w:i w:val="0"/>
            <w:iCs w:val="0"/>
          </w:rPr>
          <w:t>شاهرودي، محمّد ابراهيم بن علي</w:t>
        </w:r>
        <w:r>
          <w:tab/>
        </w:r>
        <w:r>
          <w:fldChar w:fldCharType="begin"/>
        </w:r>
        <w:r>
          <w:instrText xml:space="preserve">PAGEREF 4171 \h</w:instrText>
        </w:r>
        <w:r>
          <w:fldChar w:fldCharType="end"/>
        </w:r>
      </w:hyperlink>
    </w:p>
    <w:p>
      <w:pPr>
        <w:tabs>
          <w:tab w:val="right" w:leader="dot" w:pos="9062"/>
        </w:tabs>
        <w:ind w:left="220"/>
      </w:pPr>
      <w:hyperlink w:anchor="_Toc4172" w:history="1">
        <w:r>
          <w:rPr>
            <w:rFonts w:ascii="IRNazanin" w:hAnsi="IRNazanin" w:eastAsia="IRNazanin" w:cs="IRNazanin"/>
            <w:color w:val="111111"/>
            <w:sz w:val="22"/>
            <w:szCs w:val="22"/>
            <w:b w:val="0"/>
            <w:bCs w:val="0"/>
            <w:i w:val="0"/>
            <w:iCs w:val="0"/>
          </w:rPr>
          <w:t>شاهرودي، محمّد بن ابراهیم قرن 13</w:t>
        </w:r>
        <w:r>
          <w:tab/>
        </w:r>
        <w:r>
          <w:fldChar w:fldCharType="begin"/>
        </w:r>
        <w:r>
          <w:instrText xml:space="preserve">PAGEREF 4172 \h</w:instrText>
        </w:r>
        <w:r>
          <w:fldChar w:fldCharType="end"/>
        </w:r>
      </w:hyperlink>
    </w:p>
    <w:p>
      <w:pPr>
        <w:tabs>
          <w:tab w:val="right" w:leader="dot" w:pos="9062"/>
        </w:tabs>
        <w:ind w:left="220"/>
      </w:pPr>
      <w:hyperlink w:anchor="_Toc4173" w:history="1">
        <w:r>
          <w:rPr>
            <w:rFonts w:ascii="IRNazanin" w:hAnsi="IRNazanin" w:eastAsia="IRNazanin" w:cs="IRNazanin"/>
            <w:color w:val="111111"/>
            <w:sz w:val="22"/>
            <w:szCs w:val="22"/>
            <w:b w:val="0"/>
            <w:bCs w:val="0"/>
            <w:i w:val="0"/>
            <w:iCs w:val="0"/>
          </w:rPr>
          <w:t>شاهرودي ، محمّد بن شرف</w:t>
        </w:r>
        <w:r>
          <w:tab/>
        </w:r>
        <w:r>
          <w:fldChar w:fldCharType="begin"/>
        </w:r>
        <w:r>
          <w:instrText xml:space="preserve">PAGEREF 4173 \h</w:instrText>
        </w:r>
        <w:r>
          <w:fldChar w:fldCharType="end"/>
        </w:r>
      </w:hyperlink>
    </w:p>
    <w:p>
      <w:pPr>
        <w:tabs>
          <w:tab w:val="right" w:leader="dot" w:pos="9062"/>
        </w:tabs>
        <w:ind w:left="220"/>
      </w:pPr>
      <w:hyperlink w:anchor="_Toc4174" w:history="1">
        <w:r>
          <w:rPr>
            <w:rFonts w:ascii="IRNazanin" w:hAnsi="IRNazanin" w:eastAsia="IRNazanin" w:cs="IRNazanin"/>
            <w:color w:val="111111"/>
            <w:sz w:val="22"/>
            <w:szCs w:val="22"/>
            <w:b w:val="0"/>
            <w:bCs w:val="0"/>
            <w:i w:val="0"/>
            <w:iCs w:val="0"/>
          </w:rPr>
          <w:t>؟ شاه طاهر انجداني دكني - 952؟ ه-</w:t>
        </w:r>
        <w:r>
          <w:tab/>
        </w:r>
        <w:r>
          <w:fldChar w:fldCharType="begin"/>
        </w:r>
        <w:r>
          <w:instrText xml:space="preserve">PAGEREF 4174 \h</w:instrText>
        </w:r>
        <w:r>
          <w:fldChar w:fldCharType="end"/>
        </w:r>
      </w:hyperlink>
    </w:p>
    <w:p>
      <w:pPr>
        <w:tabs>
          <w:tab w:val="right" w:leader="dot" w:pos="9062"/>
        </w:tabs>
        <w:ind w:left="220"/>
      </w:pPr>
      <w:hyperlink w:anchor="_Toc4175" w:history="1">
        <w:r>
          <w:rPr>
            <w:rFonts w:ascii="IRNazanin" w:hAnsi="IRNazanin" w:eastAsia="IRNazanin" w:cs="IRNazanin"/>
            <w:color w:val="111111"/>
            <w:sz w:val="22"/>
            <w:szCs w:val="22"/>
            <w:b w:val="0"/>
            <w:bCs w:val="0"/>
            <w:i w:val="0"/>
            <w:iCs w:val="0"/>
          </w:rPr>
          <w:t>شاه عبد العظيمي ، محمّد رضا قرن 14</w:t>
        </w:r>
        <w:r>
          <w:tab/>
        </w:r>
        <w:r>
          <w:fldChar w:fldCharType="begin"/>
        </w:r>
        <w:r>
          <w:instrText xml:space="preserve">PAGEREF 4175 \h</w:instrText>
        </w:r>
        <w:r>
          <w:fldChar w:fldCharType="end"/>
        </w:r>
      </w:hyperlink>
    </w:p>
    <w:p>
      <w:pPr>
        <w:tabs>
          <w:tab w:val="right" w:leader="dot" w:pos="9062"/>
        </w:tabs>
        <w:ind w:left="220"/>
      </w:pPr>
      <w:hyperlink w:anchor="_Toc4176" w:history="1">
        <w:r>
          <w:rPr>
            <w:rFonts w:ascii="IRNazanin" w:hAnsi="IRNazanin" w:eastAsia="IRNazanin" w:cs="IRNazanin"/>
            <w:color w:val="111111"/>
            <w:sz w:val="22"/>
            <w:szCs w:val="22"/>
            <w:b w:val="0"/>
            <w:bCs w:val="0"/>
            <w:i w:val="0"/>
            <w:iCs w:val="0"/>
          </w:rPr>
          <w:t>شاه عبد العظيمي ، محمّد علي بن محمّد</w:t>
        </w:r>
        <w:r>
          <w:tab/>
        </w:r>
        <w:r>
          <w:fldChar w:fldCharType="begin"/>
        </w:r>
        <w:r>
          <w:instrText xml:space="preserve">PAGEREF 4176 \h</w:instrText>
        </w:r>
        <w:r>
          <w:fldChar w:fldCharType="end"/>
        </w:r>
      </w:hyperlink>
    </w:p>
    <w:p>
      <w:pPr>
        <w:tabs>
          <w:tab w:val="right" w:leader="dot" w:pos="9062"/>
        </w:tabs>
        <w:ind w:left="220"/>
      </w:pPr>
      <w:hyperlink w:anchor="_Toc4177" w:history="1">
        <w:r>
          <w:rPr>
            <w:rFonts w:ascii="IRNazanin" w:hAnsi="IRNazanin" w:eastAsia="IRNazanin" w:cs="IRNazanin"/>
            <w:color w:val="111111"/>
            <w:sz w:val="22"/>
            <w:szCs w:val="22"/>
            <w:b w:val="0"/>
            <w:bCs w:val="0"/>
            <w:i w:val="0"/>
            <w:iCs w:val="0"/>
          </w:rPr>
          <w:t>شاه ، علي بن عبدالوهاب</w:t>
        </w:r>
        <w:r>
          <w:tab/>
        </w:r>
        <w:r>
          <w:fldChar w:fldCharType="begin"/>
        </w:r>
        <w:r>
          <w:instrText xml:space="preserve">PAGEREF 4177 \h</w:instrText>
        </w:r>
        <w:r>
          <w:fldChar w:fldCharType="end"/>
        </w:r>
      </w:hyperlink>
    </w:p>
    <w:p>
      <w:pPr>
        <w:tabs>
          <w:tab w:val="right" w:leader="dot" w:pos="9062"/>
        </w:tabs>
        <w:ind w:left="220"/>
      </w:pPr>
      <w:hyperlink w:anchor="_Toc4178" w:history="1">
        <w:r>
          <w:rPr>
            <w:rFonts w:ascii="IRNazanin" w:hAnsi="IRNazanin" w:eastAsia="IRNazanin" w:cs="IRNazanin"/>
            <w:color w:val="111111"/>
            <w:sz w:val="22"/>
            <w:szCs w:val="22"/>
            <w:b w:val="0"/>
            <w:bCs w:val="0"/>
            <w:i w:val="0"/>
            <w:iCs w:val="0"/>
          </w:rPr>
          <w:t>شاه میر ، اسدالله بن علي، قرن 10 ه-</w:t>
        </w:r>
        <w:r>
          <w:tab/>
        </w:r>
        <w:r>
          <w:fldChar w:fldCharType="begin"/>
        </w:r>
        <w:r>
          <w:instrText xml:space="preserve">PAGEREF 4178 \h</w:instrText>
        </w:r>
        <w:r>
          <w:fldChar w:fldCharType="end"/>
        </w:r>
      </w:hyperlink>
    </w:p>
    <w:p>
      <w:pPr>
        <w:tabs>
          <w:tab w:val="right" w:leader="dot" w:pos="9062"/>
        </w:tabs>
        <w:ind w:left="220"/>
      </w:pPr>
      <w:hyperlink w:anchor="_Toc4179" w:history="1">
        <w:r>
          <w:rPr>
            <w:rFonts w:ascii="IRNazanin" w:hAnsi="IRNazanin" w:eastAsia="IRNazanin" w:cs="IRNazanin"/>
            <w:color w:val="111111"/>
            <w:sz w:val="22"/>
            <w:szCs w:val="22"/>
            <w:b w:val="0"/>
            <w:bCs w:val="0"/>
            <w:i w:val="0"/>
            <w:iCs w:val="0"/>
          </w:rPr>
          <w:t>شاه ميري شيرازي ، هبة الله بن عطاء الله 898ه-</w:t>
        </w:r>
        <w:r>
          <w:tab/>
        </w:r>
        <w:r>
          <w:fldChar w:fldCharType="begin"/>
        </w:r>
        <w:r>
          <w:instrText xml:space="preserve">PAGEREF 4179 \h</w:instrText>
        </w:r>
        <w:r>
          <w:fldChar w:fldCharType="end"/>
        </w:r>
      </w:hyperlink>
    </w:p>
    <w:p>
      <w:pPr>
        <w:tabs>
          <w:tab w:val="right" w:leader="dot" w:pos="9062"/>
        </w:tabs>
        <w:ind w:left="220"/>
      </w:pPr>
      <w:hyperlink w:anchor="_Toc4180" w:history="1">
        <w:r>
          <w:rPr>
            <w:rFonts w:ascii="IRNazanin" w:hAnsi="IRNazanin" w:eastAsia="IRNazanin" w:cs="IRNazanin"/>
            <w:color w:val="111111"/>
            <w:sz w:val="22"/>
            <w:szCs w:val="22"/>
            <w:b w:val="0"/>
            <w:bCs w:val="0"/>
            <w:i w:val="0"/>
            <w:iCs w:val="0"/>
          </w:rPr>
          <w:t>شاه ولي الله ، احمد بن عبدالرحیم، 1114</w:t>
        </w:r>
        <w:r>
          <w:tab/>
        </w:r>
        <w:r>
          <w:fldChar w:fldCharType="begin"/>
        </w:r>
        <w:r>
          <w:instrText xml:space="preserve">PAGEREF 4180 \h</w:instrText>
        </w:r>
        <w:r>
          <w:fldChar w:fldCharType="end"/>
        </w:r>
      </w:hyperlink>
    </w:p>
    <w:p>
      <w:pPr>
        <w:tabs>
          <w:tab w:val="right" w:leader="dot" w:pos="9062"/>
        </w:tabs>
        <w:ind w:left="220"/>
      </w:pPr>
      <w:hyperlink w:anchor="_Toc4181" w:history="1">
        <w:r>
          <w:rPr>
            <w:rFonts w:ascii="IRNazanin" w:hAnsi="IRNazanin" w:eastAsia="IRNazanin" w:cs="IRNazanin"/>
            <w:color w:val="111111"/>
            <w:sz w:val="22"/>
            <w:szCs w:val="22"/>
            <w:b w:val="0"/>
            <w:bCs w:val="0"/>
            <w:i w:val="0"/>
            <w:iCs w:val="0"/>
          </w:rPr>
          <w:t>شاهي ، ابراهيم</w:t>
        </w:r>
        <w:r>
          <w:tab/>
        </w:r>
        <w:r>
          <w:fldChar w:fldCharType="begin"/>
        </w:r>
        <w:r>
          <w:instrText xml:space="preserve">PAGEREF 4181 \h</w:instrText>
        </w:r>
        <w:r>
          <w:fldChar w:fldCharType="end"/>
        </w:r>
      </w:hyperlink>
    </w:p>
    <w:p>
      <w:pPr>
        <w:tabs>
          <w:tab w:val="right" w:leader="dot" w:pos="9062"/>
        </w:tabs>
        <w:ind w:left="220"/>
      </w:pPr>
      <w:hyperlink w:anchor="_Toc4182" w:history="1">
        <w:r>
          <w:rPr>
            <w:rFonts w:ascii="IRNazanin" w:hAnsi="IRNazanin" w:eastAsia="IRNazanin" w:cs="IRNazanin"/>
            <w:color w:val="111111"/>
            <w:sz w:val="22"/>
            <w:szCs w:val="22"/>
            <w:b w:val="0"/>
            <w:bCs w:val="0"/>
            <w:i w:val="0"/>
            <w:iCs w:val="0"/>
          </w:rPr>
          <w:t>شاوي ، احمد</w:t>
        </w:r>
        <w:r>
          <w:tab/>
        </w:r>
        <w:r>
          <w:fldChar w:fldCharType="begin"/>
        </w:r>
        <w:r>
          <w:instrText xml:space="preserve">PAGEREF 4182 \h</w:instrText>
        </w:r>
        <w:r>
          <w:fldChar w:fldCharType="end"/>
        </w:r>
      </w:hyperlink>
    </w:p>
    <w:p>
      <w:pPr>
        <w:tabs>
          <w:tab w:val="right" w:leader="dot" w:pos="9062"/>
        </w:tabs>
        <w:ind w:left="220"/>
      </w:pPr>
      <w:hyperlink w:anchor="_Toc4183" w:history="1">
        <w:r>
          <w:rPr>
            <w:rFonts w:ascii="IRNazanin" w:hAnsi="IRNazanin" w:eastAsia="IRNazanin" w:cs="IRNazanin"/>
            <w:color w:val="111111"/>
            <w:sz w:val="22"/>
            <w:szCs w:val="22"/>
            <w:b w:val="0"/>
            <w:bCs w:val="0"/>
            <w:i w:val="0"/>
            <w:iCs w:val="0"/>
          </w:rPr>
          <w:t>شاوي، سليمان بن عبدالله - 1029 ه-</w:t>
        </w:r>
        <w:r>
          <w:tab/>
        </w:r>
        <w:r>
          <w:fldChar w:fldCharType="begin"/>
        </w:r>
        <w:r>
          <w:instrText xml:space="preserve">PAGEREF 4183 \h</w:instrText>
        </w:r>
        <w:r>
          <w:fldChar w:fldCharType="end"/>
        </w:r>
      </w:hyperlink>
    </w:p>
    <w:p>
      <w:pPr>
        <w:tabs>
          <w:tab w:val="right" w:leader="dot" w:pos="9062"/>
        </w:tabs>
        <w:ind w:left="220"/>
      </w:pPr>
      <w:hyperlink w:anchor="_Toc4184" w:history="1">
        <w:r>
          <w:rPr>
            <w:rFonts w:ascii="IRNazanin" w:hAnsi="IRNazanin" w:eastAsia="IRNazanin" w:cs="IRNazanin"/>
            <w:color w:val="111111"/>
            <w:sz w:val="22"/>
            <w:szCs w:val="22"/>
            <w:b w:val="0"/>
            <w:bCs w:val="0"/>
            <w:i w:val="0"/>
            <w:iCs w:val="0"/>
          </w:rPr>
          <w:t>شاوي ، محمود بن سلطان - 1358 ه-</w:t>
        </w:r>
        <w:r>
          <w:tab/>
        </w:r>
        <w:r>
          <w:fldChar w:fldCharType="begin"/>
        </w:r>
        <w:r>
          <w:instrText xml:space="preserve">PAGEREF 4184 \h</w:instrText>
        </w:r>
        <w:r>
          <w:fldChar w:fldCharType="end"/>
        </w:r>
      </w:hyperlink>
    </w:p>
    <w:p>
      <w:pPr>
        <w:tabs>
          <w:tab w:val="right" w:leader="dot" w:pos="9062"/>
        </w:tabs>
        <w:ind w:left="220"/>
      </w:pPr>
      <w:hyperlink w:anchor="_Toc4185" w:history="1">
        <w:r>
          <w:rPr>
            <w:rFonts w:ascii="IRNazanin" w:hAnsi="IRNazanin" w:eastAsia="IRNazanin" w:cs="IRNazanin"/>
            <w:color w:val="111111"/>
            <w:sz w:val="22"/>
            <w:szCs w:val="22"/>
            <w:b w:val="0"/>
            <w:bCs w:val="0"/>
            <w:i w:val="0"/>
            <w:iCs w:val="0"/>
          </w:rPr>
          <w:t>شاوي ، يحيى بن محمّد، 1030 - 1096</w:t>
        </w:r>
        <w:r>
          <w:tab/>
        </w:r>
        <w:r>
          <w:fldChar w:fldCharType="begin"/>
        </w:r>
        <w:r>
          <w:instrText xml:space="preserve">PAGEREF 4185 \h</w:instrText>
        </w:r>
        <w:r>
          <w:fldChar w:fldCharType="end"/>
        </w:r>
      </w:hyperlink>
    </w:p>
    <w:p>
      <w:pPr>
        <w:tabs>
          <w:tab w:val="right" w:leader="dot" w:pos="9062"/>
        </w:tabs>
        <w:ind w:left="220"/>
      </w:pPr>
      <w:hyperlink w:anchor="_Toc4186" w:history="1">
        <w:r>
          <w:rPr>
            <w:rFonts w:ascii="IRNazanin" w:hAnsi="IRNazanin" w:eastAsia="IRNazanin" w:cs="IRNazanin"/>
            <w:color w:val="111111"/>
            <w:sz w:val="22"/>
            <w:szCs w:val="22"/>
            <w:b w:val="0"/>
            <w:bCs w:val="0"/>
            <w:i w:val="0"/>
            <w:iCs w:val="0"/>
          </w:rPr>
          <w:t>شبانکاري ، عضدالملة</w:t>
        </w:r>
        <w:r>
          <w:tab/>
        </w:r>
        <w:r>
          <w:fldChar w:fldCharType="begin"/>
        </w:r>
        <w:r>
          <w:instrText xml:space="preserve">PAGEREF 4186 \h</w:instrText>
        </w:r>
        <w:r>
          <w:fldChar w:fldCharType="end"/>
        </w:r>
      </w:hyperlink>
    </w:p>
    <w:p>
      <w:pPr>
        <w:tabs>
          <w:tab w:val="right" w:leader="dot" w:pos="9062"/>
        </w:tabs>
        <w:ind w:left="220"/>
      </w:pPr>
      <w:hyperlink w:anchor="_Toc4187" w:history="1">
        <w:r>
          <w:rPr>
            <w:rFonts w:ascii="IRNazanin" w:hAnsi="IRNazanin" w:eastAsia="IRNazanin" w:cs="IRNazanin"/>
            <w:color w:val="111111"/>
            <w:sz w:val="22"/>
            <w:szCs w:val="22"/>
            <w:b w:val="0"/>
            <w:bCs w:val="0"/>
            <w:i w:val="0"/>
            <w:iCs w:val="0"/>
          </w:rPr>
          <w:t>شبراملسي ، علي بن علي، 997 - 1087 ه-</w:t>
        </w:r>
        <w:r>
          <w:tab/>
        </w:r>
        <w:r>
          <w:fldChar w:fldCharType="begin"/>
        </w:r>
        <w:r>
          <w:instrText xml:space="preserve">PAGEREF 4187 \h</w:instrText>
        </w:r>
        <w:r>
          <w:fldChar w:fldCharType="end"/>
        </w:r>
      </w:hyperlink>
    </w:p>
    <w:p>
      <w:pPr>
        <w:tabs>
          <w:tab w:val="right" w:leader="dot" w:pos="9062"/>
        </w:tabs>
        <w:ind w:left="220"/>
      </w:pPr>
      <w:hyperlink w:anchor="_Toc4188" w:history="1">
        <w:r>
          <w:rPr>
            <w:rFonts w:ascii="IRNazanin" w:hAnsi="IRNazanin" w:eastAsia="IRNazanin" w:cs="IRNazanin"/>
            <w:color w:val="111111"/>
            <w:sz w:val="22"/>
            <w:szCs w:val="22"/>
            <w:b w:val="0"/>
            <w:bCs w:val="0"/>
            <w:i w:val="0"/>
            <w:iCs w:val="0"/>
          </w:rPr>
          <w:t>شبراملسي ، محمّد بن علي قرن 11 ه-</w:t>
        </w:r>
        <w:r>
          <w:tab/>
        </w:r>
        <w:r>
          <w:fldChar w:fldCharType="begin"/>
        </w:r>
        <w:r>
          <w:instrText xml:space="preserve">PAGEREF 4188 \h</w:instrText>
        </w:r>
        <w:r>
          <w:fldChar w:fldCharType="end"/>
        </w:r>
      </w:hyperlink>
    </w:p>
    <w:p>
      <w:pPr>
        <w:tabs>
          <w:tab w:val="right" w:leader="dot" w:pos="9062"/>
        </w:tabs>
        <w:ind w:left="220"/>
      </w:pPr>
      <w:hyperlink w:anchor="_Toc4189" w:history="1">
        <w:r>
          <w:rPr>
            <w:rFonts w:ascii="IRNazanin" w:hAnsi="IRNazanin" w:eastAsia="IRNazanin" w:cs="IRNazanin"/>
            <w:color w:val="111111"/>
            <w:sz w:val="22"/>
            <w:szCs w:val="22"/>
            <w:b w:val="0"/>
            <w:bCs w:val="0"/>
            <w:i w:val="0"/>
            <w:iCs w:val="0"/>
          </w:rPr>
          <w:t>شبراوي ، عبدالله قرن 13 ه-</w:t>
        </w:r>
        <w:r>
          <w:tab/>
        </w:r>
        <w:r>
          <w:fldChar w:fldCharType="begin"/>
        </w:r>
        <w:r>
          <w:instrText xml:space="preserve">PAGEREF 4189 \h</w:instrText>
        </w:r>
        <w:r>
          <w:fldChar w:fldCharType="end"/>
        </w:r>
      </w:hyperlink>
    </w:p>
    <w:p>
      <w:pPr>
        <w:tabs>
          <w:tab w:val="right" w:leader="dot" w:pos="9062"/>
        </w:tabs>
        <w:ind w:left="220"/>
      </w:pPr>
      <w:hyperlink w:anchor="_Toc4190" w:history="1">
        <w:r>
          <w:rPr>
            <w:rFonts w:ascii="IRNazanin" w:hAnsi="IRNazanin" w:eastAsia="IRNazanin" w:cs="IRNazanin"/>
            <w:color w:val="111111"/>
            <w:sz w:val="22"/>
            <w:szCs w:val="22"/>
            <w:b w:val="0"/>
            <w:bCs w:val="0"/>
            <w:i w:val="0"/>
            <w:iCs w:val="0"/>
          </w:rPr>
          <w:t>شبراوي ، عبدالله بن محمّد، 1091 - 1171</w:t>
        </w:r>
        <w:r>
          <w:tab/>
        </w:r>
        <w:r>
          <w:fldChar w:fldCharType="begin"/>
        </w:r>
        <w:r>
          <w:instrText xml:space="preserve">PAGEREF 4190 \h</w:instrText>
        </w:r>
        <w:r>
          <w:fldChar w:fldCharType="end"/>
        </w:r>
      </w:hyperlink>
    </w:p>
    <w:p>
      <w:pPr>
        <w:tabs>
          <w:tab w:val="right" w:leader="dot" w:pos="9062"/>
        </w:tabs>
        <w:ind w:left="220"/>
      </w:pPr>
      <w:hyperlink w:anchor="_Toc4191" w:history="1">
        <w:r>
          <w:rPr>
            <w:rFonts w:ascii="IRNazanin" w:hAnsi="IRNazanin" w:eastAsia="IRNazanin" w:cs="IRNazanin"/>
            <w:color w:val="111111"/>
            <w:sz w:val="22"/>
            <w:szCs w:val="22"/>
            <w:b w:val="0"/>
            <w:bCs w:val="0"/>
            <w:i w:val="0"/>
            <w:iCs w:val="0"/>
          </w:rPr>
          <w:t>شبر حسيني ، عبد الصاحب</w:t>
        </w:r>
        <w:r>
          <w:tab/>
        </w:r>
        <w:r>
          <w:fldChar w:fldCharType="begin"/>
        </w:r>
        <w:r>
          <w:instrText xml:space="preserve">PAGEREF 4191 \h</w:instrText>
        </w:r>
        <w:r>
          <w:fldChar w:fldCharType="end"/>
        </w:r>
      </w:hyperlink>
    </w:p>
    <w:p>
      <w:pPr>
        <w:tabs>
          <w:tab w:val="right" w:leader="dot" w:pos="9062"/>
        </w:tabs>
        <w:ind w:left="220"/>
      </w:pPr>
      <w:hyperlink w:anchor="_Toc4192" w:history="1">
        <w:r>
          <w:rPr>
            <w:rFonts w:ascii="IRNazanin" w:hAnsi="IRNazanin" w:eastAsia="IRNazanin" w:cs="IRNazanin"/>
            <w:color w:val="111111"/>
            <w:sz w:val="22"/>
            <w:szCs w:val="22"/>
            <w:b w:val="0"/>
            <w:bCs w:val="0"/>
            <w:i w:val="0"/>
            <w:iCs w:val="0"/>
          </w:rPr>
          <w:t>شير حسيني ، علي بن محمّد قرن 14 ه-</w:t>
        </w:r>
        <w:r>
          <w:tab/>
        </w:r>
        <w:r>
          <w:fldChar w:fldCharType="begin"/>
        </w:r>
        <w:r>
          <w:instrText xml:space="preserve">PAGEREF 4192 \h</w:instrText>
        </w:r>
        <w:r>
          <w:fldChar w:fldCharType="end"/>
        </w:r>
      </w:hyperlink>
    </w:p>
    <w:p>
      <w:pPr>
        <w:tabs>
          <w:tab w:val="right" w:leader="dot" w:pos="9062"/>
        </w:tabs>
        <w:ind w:left="220"/>
      </w:pPr>
      <w:hyperlink w:anchor="_Toc4193" w:history="1">
        <w:r>
          <w:rPr>
            <w:rFonts w:ascii="IRNazanin" w:hAnsi="IRNazanin" w:eastAsia="IRNazanin" w:cs="IRNazanin"/>
            <w:color w:val="111111"/>
            <w:sz w:val="22"/>
            <w:szCs w:val="22"/>
            <w:b w:val="0"/>
            <w:bCs w:val="0"/>
            <w:i w:val="0"/>
            <w:iCs w:val="0"/>
          </w:rPr>
          <w:t>شبرخيتي ، ابراهيم بن مرعي - 1106ه-</w:t>
        </w:r>
        <w:r>
          <w:tab/>
        </w:r>
        <w:r>
          <w:fldChar w:fldCharType="begin"/>
        </w:r>
        <w:r>
          <w:instrText xml:space="preserve">PAGEREF 4193 \h</w:instrText>
        </w:r>
        <w:r>
          <w:fldChar w:fldCharType="end"/>
        </w:r>
      </w:hyperlink>
    </w:p>
    <w:p>
      <w:pPr>
        <w:tabs>
          <w:tab w:val="right" w:leader="dot" w:pos="9062"/>
        </w:tabs>
        <w:ind w:left="220"/>
      </w:pPr>
      <w:hyperlink w:anchor="_Toc4194" w:history="1">
        <w:r>
          <w:rPr>
            <w:rFonts w:ascii="IRNazanin" w:hAnsi="IRNazanin" w:eastAsia="IRNazanin" w:cs="IRNazanin"/>
            <w:color w:val="111111"/>
            <w:sz w:val="22"/>
            <w:szCs w:val="22"/>
            <w:b w:val="0"/>
            <w:bCs w:val="0"/>
            <w:i w:val="0"/>
            <w:iCs w:val="0"/>
          </w:rPr>
          <w:t>شبر ، عباس بن محمّد قرن 14 ه-</w:t>
        </w:r>
        <w:r>
          <w:tab/>
        </w:r>
        <w:r>
          <w:fldChar w:fldCharType="begin"/>
        </w:r>
        <w:r>
          <w:instrText xml:space="preserve">PAGEREF 4194 \h</w:instrText>
        </w:r>
        <w:r>
          <w:fldChar w:fldCharType="end"/>
        </w:r>
      </w:hyperlink>
    </w:p>
    <w:p>
      <w:pPr>
        <w:tabs>
          <w:tab w:val="right" w:leader="dot" w:pos="9062"/>
        </w:tabs>
        <w:ind w:left="220"/>
      </w:pPr>
      <w:hyperlink w:anchor="_Toc4195" w:history="1">
        <w:r>
          <w:rPr>
            <w:rFonts w:ascii="IRNazanin" w:hAnsi="IRNazanin" w:eastAsia="IRNazanin" w:cs="IRNazanin"/>
            <w:color w:val="111111"/>
            <w:sz w:val="22"/>
            <w:szCs w:val="22"/>
            <w:b w:val="0"/>
            <w:bCs w:val="0"/>
            <w:i w:val="0"/>
            <w:iCs w:val="0"/>
          </w:rPr>
          <w:t>شبر ، عبدالرضا بن محمّد علي</w:t>
        </w:r>
        <w:r>
          <w:tab/>
        </w:r>
        <w:r>
          <w:fldChar w:fldCharType="begin"/>
        </w:r>
        <w:r>
          <w:instrText xml:space="preserve">PAGEREF 4195 \h</w:instrText>
        </w:r>
        <w:r>
          <w:fldChar w:fldCharType="end"/>
        </w:r>
      </w:hyperlink>
    </w:p>
    <w:p>
      <w:pPr>
        <w:tabs>
          <w:tab w:val="right" w:leader="dot" w:pos="9062"/>
        </w:tabs>
        <w:ind w:left="220"/>
      </w:pPr>
      <w:hyperlink w:anchor="_Toc4196" w:history="1">
        <w:r>
          <w:rPr>
            <w:rFonts w:ascii="IRNazanin" w:hAnsi="IRNazanin" w:eastAsia="IRNazanin" w:cs="IRNazanin"/>
            <w:color w:val="111111"/>
            <w:sz w:val="22"/>
            <w:szCs w:val="22"/>
            <w:b w:val="0"/>
            <w:bCs w:val="0"/>
            <w:i w:val="0"/>
            <w:iCs w:val="0"/>
          </w:rPr>
          <w:t>شبر ، عبدالله بن محمّد رضا، 1188 -</w:t>
        </w:r>
        <w:r>
          <w:tab/>
        </w:r>
        <w:r>
          <w:fldChar w:fldCharType="begin"/>
        </w:r>
        <w:r>
          <w:instrText xml:space="preserve">PAGEREF 4196 \h</w:instrText>
        </w:r>
        <w:r>
          <w:fldChar w:fldCharType="end"/>
        </w:r>
      </w:hyperlink>
    </w:p>
    <w:p>
      <w:pPr>
        <w:tabs>
          <w:tab w:val="right" w:leader="dot" w:pos="9062"/>
        </w:tabs>
        <w:ind w:left="220"/>
      </w:pPr>
      <w:hyperlink w:anchor="_Toc4197" w:history="1">
        <w:r>
          <w:rPr>
            <w:rFonts w:ascii="IRNazanin" w:hAnsi="IRNazanin" w:eastAsia="IRNazanin" w:cs="IRNazanin"/>
            <w:color w:val="111111"/>
            <w:sz w:val="22"/>
            <w:szCs w:val="22"/>
            <w:b w:val="0"/>
            <w:bCs w:val="0"/>
            <w:i w:val="0"/>
            <w:iCs w:val="0"/>
          </w:rPr>
          <w:t>شبر ، محمّد بن جعفر 1272 - 1346 ه-</w:t>
        </w:r>
        <w:r>
          <w:tab/>
        </w:r>
        <w:r>
          <w:fldChar w:fldCharType="begin"/>
        </w:r>
        <w:r>
          <w:instrText xml:space="preserve">PAGEREF 4197 \h</w:instrText>
        </w:r>
        <w:r>
          <w:fldChar w:fldCharType="end"/>
        </w:r>
      </w:hyperlink>
    </w:p>
    <w:p>
      <w:pPr>
        <w:tabs>
          <w:tab w:val="right" w:leader="dot" w:pos="9062"/>
        </w:tabs>
        <w:ind w:left="220"/>
      </w:pPr>
      <w:hyperlink w:anchor="_Toc4198" w:history="1">
        <w:r>
          <w:rPr>
            <w:rFonts w:ascii="IRNazanin" w:hAnsi="IRNazanin" w:eastAsia="IRNazanin" w:cs="IRNazanin"/>
            <w:color w:val="111111"/>
            <w:sz w:val="22"/>
            <w:szCs w:val="22"/>
            <w:b w:val="0"/>
            <w:bCs w:val="0"/>
            <w:i w:val="0"/>
            <w:iCs w:val="0"/>
          </w:rPr>
          <w:t>شبستري ، محمود بن عبدالكريم 687 -</w:t>
        </w:r>
        <w:r>
          <w:tab/>
        </w:r>
        <w:r>
          <w:fldChar w:fldCharType="begin"/>
        </w:r>
        <w:r>
          <w:instrText xml:space="preserve">PAGEREF 4198 \h</w:instrText>
        </w:r>
        <w:r>
          <w:fldChar w:fldCharType="end"/>
        </w:r>
      </w:hyperlink>
    </w:p>
    <w:p>
      <w:pPr>
        <w:tabs>
          <w:tab w:val="right" w:leader="dot" w:pos="9062"/>
        </w:tabs>
        <w:ind w:left="220"/>
      </w:pPr>
      <w:hyperlink w:anchor="_Toc4199" w:history="1">
        <w:r>
          <w:rPr>
            <w:rFonts w:ascii="IRNazanin" w:hAnsi="IRNazanin" w:eastAsia="IRNazanin" w:cs="IRNazanin"/>
            <w:color w:val="111111"/>
            <w:sz w:val="22"/>
            <w:szCs w:val="22"/>
            <w:b w:val="0"/>
            <w:bCs w:val="0"/>
            <w:i w:val="0"/>
            <w:iCs w:val="0"/>
          </w:rPr>
          <w:t>شبشيري ، محمّد ولي الدين قرن 10 ه-</w:t>
        </w:r>
        <w:r>
          <w:tab/>
        </w:r>
        <w:r>
          <w:fldChar w:fldCharType="begin"/>
        </w:r>
        <w:r>
          <w:instrText xml:space="preserve">PAGEREF 4199 \h</w:instrText>
        </w:r>
        <w:r>
          <w:fldChar w:fldCharType="end"/>
        </w:r>
      </w:hyperlink>
    </w:p>
    <w:p>
      <w:pPr>
        <w:tabs>
          <w:tab w:val="right" w:leader="dot" w:pos="9062"/>
        </w:tabs>
        <w:ind w:left="220"/>
      </w:pPr>
      <w:hyperlink w:anchor="_Toc4200" w:history="1">
        <w:r>
          <w:rPr>
            <w:rFonts w:ascii="IRNazanin" w:hAnsi="IRNazanin" w:eastAsia="IRNazanin" w:cs="IRNazanin"/>
            <w:color w:val="111111"/>
            <w:sz w:val="22"/>
            <w:szCs w:val="22"/>
            <w:b w:val="0"/>
            <w:bCs w:val="0"/>
            <w:i w:val="0"/>
            <w:iCs w:val="0"/>
          </w:rPr>
          <w:t>شبلي ، جعفر بن يونس، 247 - 334 ه-</w:t>
        </w:r>
        <w:r>
          <w:tab/>
        </w:r>
        <w:r>
          <w:fldChar w:fldCharType="begin"/>
        </w:r>
        <w:r>
          <w:instrText xml:space="preserve">PAGEREF 4200 \h</w:instrText>
        </w:r>
        <w:r>
          <w:fldChar w:fldCharType="end"/>
        </w:r>
      </w:hyperlink>
    </w:p>
    <w:p>
      <w:pPr>
        <w:tabs>
          <w:tab w:val="right" w:leader="dot" w:pos="9062"/>
        </w:tabs>
        <w:ind w:left="220"/>
      </w:pPr>
      <w:hyperlink w:anchor="_Toc4201" w:history="1">
        <w:r>
          <w:rPr>
            <w:rFonts w:ascii="IRNazanin" w:hAnsi="IRNazanin" w:eastAsia="IRNazanin" w:cs="IRNazanin"/>
            <w:color w:val="111111"/>
            <w:sz w:val="22"/>
            <w:szCs w:val="22"/>
            <w:b w:val="0"/>
            <w:bCs w:val="0"/>
            <w:i w:val="0"/>
            <w:iCs w:val="0"/>
          </w:rPr>
          <w:t>شبلي ، محمّد بن عبدالله، 712 - 769 ه-</w:t>
        </w:r>
        <w:r>
          <w:tab/>
        </w:r>
        <w:r>
          <w:fldChar w:fldCharType="begin"/>
        </w:r>
        <w:r>
          <w:instrText xml:space="preserve">PAGEREF 4201 \h</w:instrText>
        </w:r>
        <w:r>
          <w:fldChar w:fldCharType="end"/>
        </w:r>
      </w:hyperlink>
    </w:p>
    <w:p>
      <w:pPr>
        <w:tabs>
          <w:tab w:val="right" w:leader="dot" w:pos="9062"/>
        </w:tabs>
        <w:ind w:left="220"/>
      </w:pPr>
      <w:hyperlink w:anchor="_Toc4202" w:history="1">
        <w:r>
          <w:rPr>
            <w:rFonts w:ascii="IRNazanin" w:hAnsi="IRNazanin" w:eastAsia="IRNazanin" w:cs="IRNazanin"/>
            <w:color w:val="111111"/>
            <w:sz w:val="22"/>
            <w:szCs w:val="22"/>
            <w:b w:val="0"/>
            <w:bCs w:val="0"/>
            <w:i w:val="0"/>
            <w:iCs w:val="0"/>
          </w:rPr>
          <w:t>شبيبي ، جواد بن محمّد - 1363 ه-</w:t>
        </w:r>
        <w:r>
          <w:tab/>
        </w:r>
        <w:r>
          <w:fldChar w:fldCharType="begin"/>
        </w:r>
        <w:r>
          <w:instrText xml:space="preserve">PAGEREF 4202 \h</w:instrText>
        </w:r>
        <w:r>
          <w:fldChar w:fldCharType="end"/>
        </w:r>
      </w:hyperlink>
    </w:p>
    <w:p>
      <w:pPr>
        <w:tabs>
          <w:tab w:val="right" w:leader="dot" w:pos="9062"/>
        </w:tabs>
        <w:ind w:left="220"/>
      </w:pPr>
      <w:hyperlink w:anchor="_Toc4203" w:history="1">
        <w:r>
          <w:rPr>
            <w:rFonts w:ascii="IRNazanin" w:hAnsi="IRNazanin" w:eastAsia="IRNazanin" w:cs="IRNazanin"/>
            <w:color w:val="111111"/>
            <w:sz w:val="22"/>
            <w:szCs w:val="22"/>
            <w:b w:val="0"/>
            <w:bCs w:val="0"/>
            <w:i w:val="0"/>
            <w:iCs w:val="0"/>
          </w:rPr>
          <w:t>شبيبي ، محمّد باقر بن محمّد جواد 1308 - 1380ه-</w:t>
        </w:r>
        <w:r>
          <w:tab/>
        </w:r>
        <w:r>
          <w:fldChar w:fldCharType="begin"/>
        </w:r>
        <w:r>
          <w:instrText xml:space="preserve">PAGEREF 4203 \h</w:instrText>
        </w:r>
        <w:r>
          <w:fldChar w:fldCharType="end"/>
        </w:r>
      </w:hyperlink>
    </w:p>
    <w:p>
      <w:pPr>
        <w:tabs>
          <w:tab w:val="right" w:leader="dot" w:pos="9062"/>
        </w:tabs>
        <w:ind w:left="220"/>
      </w:pPr>
      <w:hyperlink w:anchor="_Toc4204" w:history="1">
        <w:r>
          <w:rPr>
            <w:rFonts w:ascii="IRNazanin" w:hAnsi="IRNazanin" w:eastAsia="IRNazanin" w:cs="IRNazanin"/>
            <w:color w:val="111111"/>
            <w:sz w:val="22"/>
            <w:szCs w:val="22"/>
            <w:b w:val="0"/>
            <w:bCs w:val="0"/>
            <w:i w:val="0"/>
            <w:iCs w:val="0"/>
          </w:rPr>
          <w:t>شبيبي ، محمّد رضا، 1886 - 1965 م</w:t>
        </w:r>
        <w:r>
          <w:tab/>
        </w:r>
        <w:r>
          <w:fldChar w:fldCharType="begin"/>
        </w:r>
        <w:r>
          <w:instrText xml:space="preserve">PAGEREF 4204 \h</w:instrText>
        </w:r>
        <w:r>
          <w:fldChar w:fldCharType="end"/>
        </w:r>
      </w:hyperlink>
    </w:p>
    <w:p>
      <w:pPr>
        <w:tabs>
          <w:tab w:val="right" w:leader="dot" w:pos="9062"/>
        </w:tabs>
        <w:ind w:left="220"/>
      </w:pPr>
      <w:hyperlink w:anchor="_Toc4205" w:history="1">
        <w:r>
          <w:rPr>
            <w:rFonts w:ascii="IRNazanin" w:hAnsi="IRNazanin" w:eastAsia="IRNazanin" w:cs="IRNazanin"/>
            <w:color w:val="111111"/>
            <w:sz w:val="22"/>
            <w:szCs w:val="22"/>
            <w:b w:val="0"/>
            <w:bCs w:val="0"/>
            <w:i w:val="0"/>
            <w:iCs w:val="0"/>
          </w:rPr>
          <w:t>شخير صيرفي ، محمّد بن عبدالله - 378</w:t>
        </w:r>
        <w:r>
          <w:tab/>
        </w:r>
        <w:r>
          <w:fldChar w:fldCharType="begin"/>
        </w:r>
        <w:r>
          <w:instrText xml:space="preserve">PAGEREF 4205 \h</w:instrText>
        </w:r>
        <w:r>
          <w:fldChar w:fldCharType="end"/>
        </w:r>
      </w:hyperlink>
    </w:p>
    <w:p>
      <w:pPr>
        <w:tabs>
          <w:tab w:val="right" w:leader="dot" w:pos="9062"/>
        </w:tabs>
        <w:ind w:left="220"/>
      </w:pPr>
      <w:hyperlink w:anchor="_Toc4206" w:history="1">
        <w:r>
          <w:rPr>
            <w:rFonts w:ascii="IRNazanin" w:hAnsi="IRNazanin" w:eastAsia="IRNazanin" w:cs="IRNazanin"/>
            <w:color w:val="111111"/>
            <w:sz w:val="22"/>
            <w:szCs w:val="22"/>
            <w:b w:val="0"/>
            <w:bCs w:val="0"/>
            <w:i w:val="0"/>
            <w:iCs w:val="0"/>
          </w:rPr>
          <w:t>شدراوي ، اسحاق</w:t>
        </w:r>
        <w:r>
          <w:tab/>
        </w:r>
        <w:r>
          <w:fldChar w:fldCharType="begin"/>
        </w:r>
        <w:r>
          <w:instrText xml:space="preserve">PAGEREF 4206 \h</w:instrText>
        </w:r>
        <w:r>
          <w:fldChar w:fldCharType="end"/>
        </w:r>
      </w:hyperlink>
    </w:p>
    <w:p>
      <w:pPr>
        <w:tabs>
          <w:tab w:val="right" w:leader="dot" w:pos="9062"/>
        </w:tabs>
        <w:ind w:left="220"/>
      </w:pPr>
      <w:hyperlink w:anchor="_Toc4207" w:history="1">
        <w:r>
          <w:rPr>
            <w:rFonts w:ascii="IRNazanin" w:hAnsi="IRNazanin" w:eastAsia="IRNazanin" w:cs="IRNazanin"/>
            <w:color w:val="111111"/>
            <w:sz w:val="22"/>
            <w:szCs w:val="22"/>
            <w:b w:val="0"/>
            <w:bCs w:val="0"/>
            <w:i w:val="0"/>
            <w:iCs w:val="0"/>
          </w:rPr>
          <w:t>شدياق احمد بن يوسف، 1219 - 1304</w:t>
        </w:r>
        <w:r>
          <w:tab/>
        </w:r>
        <w:r>
          <w:fldChar w:fldCharType="begin"/>
        </w:r>
        <w:r>
          <w:instrText xml:space="preserve">PAGEREF 4207 \h</w:instrText>
        </w:r>
        <w:r>
          <w:fldChar w:fldCharType="end"/>
        </w:r>
      </w:hyperlink>
    </w:p>
    <w:p>
      <w:pPr>
        <w:tabs>
          <w:tab w:val="right" w:leader="dot" w:pos="9062"/>
        </w:tabs>
        <w:ind w:left="220"/>
      </w:pPr>
      <w:hyperlink w:anchor="_Toc4208" w:history="1">
        <w:r>
          <w:rPr>
            <w:rFonts w:ascii="IRNazanin" w:hAnsi="IRNazanin" w:eastAsia="IRNazanin" w:cs="IRNazanin"/>
            <w:color w:val="111111"/>
            <w:sz w:val="22"/>
            <w:szCs w:val="22"/>
            <w:b w:val="0"/>
            <w:bCs w:val="0"/>
            <w:i w:val="0"/>
            <w:iCs w:val="0"/>
          </w:rPr>
          <w:t>شراره عاملي موسى بن امين - 1304 ه-</w:t>
        </w:r>
        <w:r>
          <w:tab/>
        </w:r>
        <w:r>
          <w:fldChar w:fldCharType="begin"/>
        </w:r>
        <w:r>
          <w:instrText xml:space="preserve">PAGEREF 4208 \h</w:instrText>
        </w:r>
        <w:r>
          <w:fldChar w:fldCharType="end"/>
        </w:r>
      </w:hyperlink>
    </w:p>
    <w:p>
      <w:pPr>
        <w:tabs>
          <w:tab w:val="right" w:leader="dot" w:pos="9062"/>
        </w:tabs>
        <w:ind w:left="220"/>
      </w:pPr>
      <w:hyperlink w:anchor="_Toc4209" w:history="1">
        <w:r>
          <w:rPr>
            <w:rFonts w:ascii="IRNazanin" w:hAnsi="IRNazanin" w:eastAsia="IRNazanin" w:cs="IRNazanin"/>
            <w:color w:val="111111"/>
            <w:sz w:val="22"/>
            <w:szCs w:val="22"/>
            <w:b w:val="0"/>
            <w:bCs w:val="0"/>
            <w:i w:val="0"/>
            <w:iCs w:val="0"/>
          </w:rPr>
          <w:t>شربتي، هادي بن محمّد، 1351-1415 ه-</w:t>
        </w:r>
        <w:r>
          <w:tab/>
        </w:r>
        <w:r>
          <w:fldChar w:fldCharType="begin"/>
        </w:r>
        <w:r>
          <w:instrText xml:space="preserve">PAGEREF 4209 \h</w:instrText>
        </w:r>
        <w:r>
          <w:fldChar w:fldCharType="end"/>
        </w:r>
      </w:hyperlink>
    </w:p>
    <w:p>
      <w:pPr>
        <w:tabs>
          <w:tab w:val="right" w:leader="dot" w:pos="9062"/>
        </w:tabs>
        <w:ind w:left="220"/>
      </w:pPr>
      <w:hyperlink w:anchor="_Toc4210" w:history="1">
        <w:r>
          <w:rPr>
            <w:rFonts w:ascii="IRNazanin" w:hAnsi="IRNazanin" w:eastAsia="IRNazanin" w:cs="IRNazanin"/>
            <w:color w:val="111111"/>
            <w:sz w:val="22"/>
            <w:szCs w:val="22"/>
            <w:b w:val="0"/>
            <w:bCs w:val="0"/>
            <w:i w:val="0"/>
            <w:iCs w:val="0"/>
          </w:rPr>
          <w:t>شربيني ، يوسف بن محمّد قرن 11 ه-</w:t>
        </w:r>
        <w:r>
          <w:tab/>
        </w:r>
        <w:r>
          <w:fldChar w:fldCharType="begin"/>
        </w:r>
        <w:r>
          <w:instrText xml:space="preserve">PAGEREF 4210 \h</w:instrText>
        </w:r>
        <w:r>
          <w:fldChar w:fldCharType="end"/>
        </w:r>
      </w:hyperlink>
    </w:p>
    <w:p>
      <w:pPr>
        <w:tabs>
          <w:tab w:val="right" w:leader="dot" w:pos="9062"/>
        </w:tabs>
        <w:ind w:left="220"/>
      </w:pPr>
      <w:hyperlink w:anchor="_Toc4211" w:history="1">
        <w:r>
          <w:rPr>
            <w:rFonts w:ascii="IRNazanin" w:hAnsi="IRNazanin" w:eastAsia="IRNazanin" w:cs="IRNazanin"/>
            <w:color w:val="111111"/>
            <w:sz w:val="22"/>
            <w:szCs w:val="22"/>
            <w:b w:val="0"/>
            <w:bCs w:val="0"/>
            <w:i w:val="0"/>
            <w:iCs w:val="0"/>
          </w:rPr>
          <w:t>شرجي ، عبدالله بن عبدالله - 1097 ه-</w:t>
        </w:r>
        <w:r>
          <w:tab/>
        </w:r>
        <w:r>
          <w:fldChar w:fldCharType="begin"/>
        </w:r>
        <w:r>
          <w:instrText xml:space="preserve">PAGEREF 4211 \h</w:instrText>
        </w:r>
        <w:r>
          <w:fldChar w:fldCharType="end"/>
        </w:r>
      </w:hyperlink>
    </w:p>
    <w:p>
      <w:pPr>
        <w:tabs>
          <w:tab w:val="right" w:leader="dot" w:pos="9062"/>
        </w:tabs>
        <w:ind w:left="220"/>
      </w:pPr>
      <w:hyperlink w:anchor="_Toc4212" w:history="1">
        <w:r>
          <w:rPr>
            <w:rFonts w:ascii="IRNazanin" w:hAnsi="IRNazanin" w:eastAsia="IRNazanin" w:cs="IRNazanin"/>
            <w:color w:val="111111"/>
            <w:sz w:val="22"/>
            <w:szCs w:val="22"/>
            <w:b w:val="0"/>
            <w:bCs w:val="0"/>
            <w:i w:val="0"/>
            <w:iCs w:val="0"/>
          </w:rPr>
          <w:t>شرعي ، احمد بن محمّد - 839 ه-</w:t>
        </w:r>
        <w:r>
          <w:tab/>
        </w:r>
        <w:r>
          <w:fldChar w:fldCharType="begin"/>
        </w:r>
        <w:r>
          <w:instrText xml:space="preserve">PAGEREF 4212 \h</w:instrText>
        </w:r>
        <w:r>
          <w:fldChar w:fldCharType="end"/>
        </w:r>
      </w:hyperlink>
    </w:p>
    <w:p>
      <w:pPr>
        <w:tabs>
          <w:tab w:val="right" w:leader="dot" w:pos="9062"/>
        </w:tabs>
        <w:ind w:left="220"/>
      </w:pPr>
      <w:hyperlink w:anchor="_Toc4213" w:history="1">
        <w:r>
          <w:rPr>
            <w:rFonts w:ascii="IRNazanin" w:hAnsi="IRNazanin" w:eastAsia="IRNazanin" w:cs="IRNazanin"/>
            <w:color w:val="111111"/>
            <w:sz w:val="22"/>
            <w:szCs w:val="22"/>
            <w:b w:val="0"/>
            <w:bCs w:val="0"/>
            <w:i w:val="0"/>
            <w:iCs w:val="0"/>
          </w:rPr>
          <w:t>شرف الدين، عبد الحسين، 1290 - 1377</w:t>
        </w:r>
        <w:r>
          <w:tab/>
        </w:r>
        <w:r>
          <w:fldChar w:fldCharType="begin"/>
        </w:r>
        <w:r>
          <w:instrText xml:space="preserve">PAGEREF 4213 \h</w:instrText>
        </w:r>
        <w:r>
          <w:fldChar w:fldCharType="end"/>
        </w:r>
      </w:hyperlink>
    </w:p>
    <w:p>
      <w:pPr>
        <w:tabs>
          <w:tab w:val="right" w:leader="dot" w:pos="9062"/>
        </w:tabs>
        <w:ind w:left="220"/>
      </w:pPr>
      <w:hyperlink w:anchor="_Toc4214" w:history="1">
        <w:r>
          <w:rPr>
            <w:rFonts w:ascii="IRNazanin" w:hAnsi="IRNazanin" w:eastAsia="IRNazanin" w:cs="IRNazanin"/>
            <w:color w:val="111111"/>
            <w:sz w:val="22"/>
            <w:szCs w:val="22"/>
            <w:b w:val="0"/>
            <w:bCs w:val="0"/>
            <w:i w:val="0"/>
            <w:iCs w:val="0"/>
          </w:rPr>
          <w:t>شرف الدين قزويني ، فضل الله بن</w:t>
        </w:r>
        <w:r>
          <w:tab/>
        </w:r>
        <w:r>
          <w:fldChar w:fldCharType="begin"/>
        </w:r>
        <w:r>
          <w:instrText xml:space="preserve">PAGEREF 4214 \h</w:instrText>
        </w:r>
        <w:r>
          <w:fldChar w:fldCharType="end"/>
        </w:r>
      </w:hyperlink>
    </w:p>
    <w:p>
      <w:pPr>
        <w:tabs>
          <w:tab w:val="right" w:leader="dot" w:pos="9062"/>
        </w:tabs>
        <w:ind w:left="220"/>
      </w:pPr>
      <w:hyperlink w:anchor="_Toc4215" w:history="1">
        <w:r>
          <w:rPr>
            <w:rFonts w:ascii="IRNazanin" w:hAnsi="IRNazanin" w:eastAsia="IRNazanin" w:cs="IRNazanin"/>
            <w:color w:val="111111"/>
            <w:sz w:val="22"/>
            <w:szCs w:val="22"/>
            <w:b w:val="0"/>
            <w:bCs w:val="0"/>
            <w:i w:val="0"/>
            <w:iCs w:val="0"/>
          </w:rPr>
          <w:t>شرفي ، امير</w:t>
        </w:r>
        <w:r>
          <w:tab/>
        </w:r>
        <w:r>
          <w:fldChar w:fldCharType="begin"/>
        </w:r>
        <w:r>
          <w:instrText xml:space="preserve">PAGEREF 4215 \h</w:instrText>
        </w:r>
        <w:r>
          <w:fldChar w:fldCharType="end"/>
        </w:r>
      </w:hyperlink>
    </w:p>
    <w:p>
      <w:pPr>
        <w:tabs>
          <w:tab w:val="right" w:leader="dot" w:pos="9062"/>
        </w:tabs>
        <w:ind w:left="220"/>
      </w:pPr>
      <w:hyperlink w:anchor="_Toc4216" w:history="1">
        <w:r>
          <w:rPr>
            <w:rFonts w:ascii="IRNazanin" w:hAnsi="IRNazanin" w:eastAsia="IRNazanin" w:cs="IRNazanin"/>
            <w:color w:val="111111"/>
            <w:sz w:val="22"/>
            <w:szCs w:val="22"/>
            <w:b w:val="0"/>
            <w:bCs w:val="0"/>
            <w:i w:val="0"/>
            <w:iCs w:val="0"/>
          </w:rPr>
          <w:t>شرقاوي ، عبد الله بن حجازي، 1150 -</w:t>
        </w:r>
        <w:r>
          <w:tab/>
        </w:r>
        <w:r>
          <w:fldChar w:fldCharType="begin"/>
        </w:r>
        <w:r>
          <w:instrText xml:space="preserve">PAGEREF 4216 \h</w:instrText>
        </w:r>
        <w:r>
          <w:fldChar w:fldCharType="end"/>
        </w:r>
      </w:hyperlink>
    </w:p>
    <w:p>
      <w:pPr>
        <w:tabs>
          <w:tab w:val="right" w:leader="dot" w:pos="9062"/>
        </w:tabs>
        <w:ind w:left="220"/>
      </w:pPr>
      <w:hyperlink w:anchor="_Toc4217" w:history="1">
        <w:r>
          <w:rPr>
            <w:rFonts w:ascii="IRNazanin" w:hAnsi="IRNazanin" w:eastAsia="IRNazanin" w:cs="IRNazanin"/>
            <w:color w:val="111111"/>
            <w:sz w:val="22"/>
            <w:szCs w:val="22"/>
            <w:b w:val="0"/>
            <w:bCs w:val="0"/>
            <w:i w:val="0"/>
            <w:iCs w:val="0"/>
          </w:rPr>
          <w:t>شرقاوي ، مصطفی قرن 13 ه-</w:t>
        </w:r>
        <w:r>
          <w:tab/>
        </w:r>
        <w:r>
          <w:fldChar w:fldCharType="begin"/>
        </w:r>
        <w:r>
          <w:instrText xml:space="preserve">PAGEREF 4217 \h</w:instrText>
        </w:r>
        <w:r>
          <w:fldChar w:fldCharType="end"/>
        </w:r>
      </w:hyperlink>
    </w:p>
    <w:p>
      <w:pPr>
        <w:tabs>
          <w:tab w:val="right" w:leader="dot" w:pos="9062"/>
        </w:tabs>
        <w:ind w:left="220"/>
      </w:pPr>
      <w:hyperlink w:anchor="_Toc4218" w:history="1">
        <w:r>
          <w:rPr>
            <w:rFonts w:ascii="IRNazanin" w:hAnsi="IRNazanin" w:eastAsia="IRNazanin" w:cs="IRNazanin"/>
            <w:color w:val="111111"/>
            <w:sz w:val="22"/>
            <w:szCs w:val="22"/>
            <w:b w:val="0"/>
            <w:bCs w:val="0"/>
            <w:i w:val="0"/>
            <w:iCs w:val="0"/>
          </w:rPr>
          <w:t>شرقي ، احمد بن ابراهيم قرن 13 ه-</w:t>
        </w:r>
        <w:r>
          <w:tab/>
        </w:r>
        <w:r>
          <w:fldChar w:fldCharType="begin"/>
        </w:r>
        <w:r>
          <w:instrText xml:space="preserve">PAGEREF 4218 \h</w:instrText>
        </w:r>
        <w:r>
          <w:fldChar w:fldCharType="end"/>
        </w:r>
      </w:hyperlink>
    </w:p>
    <w:p>
      <w:pPr>
        <w:tabs>
          <w:tab w:val="right" w:leader="dot" w:pos="9062"/>
        </w:tabs>
        <w:ind w:left="220"/>
      </w:pPr>
      <w:hyperlink w:anchor="_Toc4219" w:history="1">
        <w:r>
          <w:rPr>
            <w:rFonts w:ascii="IRNazanin" w:hAnsi="IRNazanin" w:eastAsia="IRNazanin" w:cs="IRNazanin"/>
            <w:color w:val="111111"/>
            <w:sz w:val="22"/>
            <w:szCs w:val="22"/>
            <w:b w:val="0"/>
            <w:bCs w:val="0"/>
            <w:i w:val="0"/>
            <w:iCs w:val="0"/>
          </w:rPr>
          <w:t>شرموطي ، محمّد بن هاشم قرن 14 ه-</w:t>
        </w:r>
        <w:r>
          <w:tab/>
        </w:r>
        <w:r>
          <w:fldChar w:fldCharType="begin"/>
        </w:r>
        <w:r>
          <w:instrText xml:space="preserve">PAGEREF 4219 \h</w:instrText>
        </w:r>
        <w:r>
          <w:fldChar w:fldCharType="end"/>
        </w:r>
      </w:hyperlink>
    </w:p>
    <w:p>
      <w:pPr>
        <w:tabs>
          <w:tab w:val="right" w:leader="dot" w:pos="9062"/>
        </w:tabs>
        <w:ind w:left="220"/>
      </w:pPr>
      <w:hyperlink w:anchor="_Toc4220" w:history="1">
        <w:r>
          <w:rPr>
            <w:rFonts w:ascii="IRNazanin" w:hAnsi="IRNazanin" w:eastAsia="IRNazanin" w:cs="IRNazanin"/>
            <w:color w:val="111111"/>
            <w:sz w:val="22"/>
            <w:szCs w:val="22"/>
            <w:b w:val="0"/>
            <w:bCs w:val="0"/>
            <w:i w:val="0"/>
            <w:iCs w:val="0"/>
          </w:rPr>
          <w:t>شرنبلالي ، حسن بن عمار - 1069ه-</w:t>
        </w:r>
        <w:r>
          <w:tab/>
        </w:r>
        <w:r>
          <w:fldChar w:fldCharType="begin"/>
        </w:r>
        <w:r>
          <w:instrText xml:space="preserve">PAGEREF 4220 \h</w:instrText>
        </w:r>
        <w:r>
          <w:fldChar w:fldCharType="end"/>
        </w:r>
      </w:hyperlink>
    </w:p>
    <w:p>
      <w:pPr>
        <w:tabs>
          <w:tab w:val="right" w:leader="dot" w:pos="9062"/>
        </w:tabs>
        <w:ind w:left="220"/>
      </w:pPr>
      <w:hyperlink w:anchor="_Toc4221" w:history="1">
        <w:r>
          <w:rPr>
            <w:rFonts w:ascii="IRNazanin" w:hAnsi="IRNazanin" w:eastAsia="IRNazanin" w:cs="IRNazanin"/>
            <w:color w:val="111111"/>
            <w:sz w:val="22"/>
            <w:szCs w:val="22"/>
            <w:b w:val="0"/>
            <w:bCs w:val="0"/>
            <w:i w:val="0"/>
            <w:iCs w:val="0"/>
          </w:rPr>
          <w:t>شرنبلالي، عبد الحي بن عبد الحق قرن 12</w:t>
        </w:r>
        <w:r>
          <w:tab/>
        </w:r>
        <w:r>
          <w:fldChar w:fldCharType="begin"/>
        </w:r>
        <w:r>
          <w:instrText xml:space="preserve">PAGEREF 4221 \h</w:instrText>
        </w:r>
        <w:r>
          <w:fldChar w:fldCharType="end"/>
        </w:r>
      </w:hyperlink>
    </w:p>
    <w:p>
      <w:pPr>
        <w:tabs>
          <w:tab w:val="right" w:leader="dot" w:pos="9062"/>
        </w:tabs>
        <w:ind w:left="220"/>
      </w:pPr>
      <w:hyperlink w:anchor="_Toc4222" w:history="1">
        <w:r>
          <w:rPr>
            <w:rFonts w:ascii="IRNazanin" w:hAnsi="IRNazanin" w:eastAsia="IRNazanin" w:cs="IRNazanin"/>
            <w:color w:val="111111"/>
            <w:sz w:val="22"/>
            <w:szCs w:val="22"/>
            <w:b w:val="0"/>
            <w:bCs w:val="0"/>
            <w:i w:val="0"/>
            <w:iCs w:val="0"/>
          </w:rPr>
          <w:t>شرنوبي ، احمد بن عثمان، 931 - 994 ه-</w:t>
        </w:r>
        <w:r>
          <w:tab/>
        </w:r>
        <w:r>
          <w:fldChar w:fldCharType="begin"/>
        </w:r>
        <w:r>
          <w:instrText xml:space="preserve">PAGEREF 4222 \h</w:instrText>
        </w:r>
        <w:r>
          <w:fldChar w:fldCharType="end"/>
        </w:r>
      </w:hyperlink>
    </w:p>
    <w:p>
      <w:pPr>
        <w:tabs>
          <w:tab w:val="right" w:leader="dot" w:pos="9062"/>
        </w:tabs>
        <w:ind w:left="220"/>
      </w:pPr>
      <w:hyperlink w:anchor="_Toc4223" w:history="1">
        <w:r>
          <w:rPr>
            <w:rFonts w:ascii="IRNazanin" w:hAnsi="IRNazanin" w:eastAsia="IRNazanin" w:cs="IRNazanin"/>
            <w:color w:val="111111"/>
            <w:sz w:val="22"/>
            <w:szCs w:val="22"/>
            <w:b w:val="0"/>
            <w:bCs w:val="0"/>
            <w:i w:val="0"/>
            <w:iCs w:val="0"/>
          </w:rPr>
          <w:t>شرواني ، احمد بن محمّد، 1200 - 1250 ؟ ه-</w:t>
        </w:r>
        <w:r>
          <w:tab/>
        </w:r>
        <w:r>
          <w:fldChar w:fldCharType="begin"/>
        </w:r>
        <w:r>
          <w:instrText xml:space="preserve">PAGEREF 4223 \h</w:instrText>
        </w:r>
        <w:r>
          <w:fldChar w:fldCharType="end"/>
        </w:r>
      </w:hyperlink>
    </w:p>
    <w:p>
      <w:pPr>
        <w:tabs>
          <w:tab w:val="right" w:leader="dot" w:pos="9062"/>
        </w:tabs>
        <w:ind w:left="220"/>
      </w:pPr>
      <w:hyperlink w:anchor="_Toc4224" w:history="1">
        <w:r>
          <w:rPr>
            <w:rFonts w:ascii="IRNazanin" w:hAnsi="IRNazanin" w:eastAsia="IRNazanin" w:cs="IRNazanin"/>
            <w:color w:val="111111"/>
            <w:sz w:val="22"/>
            <w:szCs w:val="22"/>
            <w:b w:val="0"/>
            <w:bCs w:val="0"/>
            <w:i w:val="0"/>
            <w:iCs w:val="0"/>
          </w:rPr>
          <w:t>شرواني ، حسين بن عبدالله - 974 ه-</w:t>
        </w:r>
        <w:r>
          <w:tab/>
        </w:r>
        <w:r>
          <w:fldChar w:fldCharType="begin"/>
        </w:r>
        <w:r>
          <w:instrText xml:space="preserve">PAGEREF 4224 \h</w:instrText>
        </w:r>
        <w:r>
          <w:fldChar w:fldCharType="end"/>
        </w:r>
      </w:hyperlink>
    </w:p>
    <w:p>
      <w:pPr>
        <w:tabs>
          <w:tab w:val="right" w:leader="dot" w:pos="9062"/>
        </w:tabs>
        <w:ind w:left="220"/>
      </w:pPr>
      <w:hyperlink w:anchor="_Toc4225" w:history="1">
        <w:r>
          <w:rPr>
            <w:rFonts w:ascii="IRNazanin" w:hAnsi="IRNazanin" w:eastAsia="IRNazanin" w:cs="IRNazanin"/>
            <w:color w:val="111111"/>
            <w:sz w:val="22"/>
            <w:szCs w:val="22"/>
            <w:b w:val="0"/>
            <w:bCs w:val="0"/>
            <w:i w:val="0"/>
            <w:iCs w:val="0"/>
          </w:rPr>
          <w:t>شرواني ، عبدالرحيم بن احمد - 1134</w:t>
        </w:r>
        <w:r>
          <w:tab/>
        </w:r>
        <w:r>
          <w:fldChar w:fldCharType="begin"/>
        </w:r>
        <w:r>
          <w:instrText xml:space="preserve">PAGEREF 4225 \h</w:instrText>
        </w:r>
        <w:r>
          <w:fldChar w:fldCharType="end"/>
        </w:r>
      </w:hyperlink>
    </w:p>
    <w:p>
      <w:pPr>
        <w:tabs>
          <w:tab w:val="right" w:leader="dot" w:pos="9062"/>
        </w:tabs>
        <w:ind w:left="220"/>
      </w:pPr>
      <w:hyperlink w:anchor="_Toc4226" w:history="1">
        <w:r>
          <w:rPr>
            <w:rFonts w:ascii="IRNazanin" w:hAnsi="IRNazanin" w:eastAsia="IRNazanin" w:cs="IRNazanin"/>
            <w:color w:val="111111"/>
            <w:sz w:val="22"/>
            <w:szCs w:val="22"/>
            <w:b w:val="0"/>
            <w:bCs w:val="0"/>
            <w:i w:val="0"/>
            <w:iCs w:val="0"/>
          </w:rPr>
          <w:t>شرواني ، عبد الرحيم بن محمود</w:t>
        </w:r>
        <w:r>
          <w:tab/>
        </w:r>
        <w:r>
          <w:fldChar w:fldCharType="begin"/>
        </w:r>
        <w:r>
          <w:instrText xml:space="preserve">PAGEREF 4226 \h</w:instrText>
        </w:r>
        <w:r>
          <w:fldChar w:fldCharType="end"/>
        </w:r>
      </w:hyperlink>
    </w:p>
    <w:p>
      <w:pPr>
        <w:tabs>
          <w:tab w:val="right" w:leader="dot" w:pos="9062"/>
        </w:tabs>
        <w:ind w:left="220"/>
      </w:pPr>
      <w:hyperlink w:anchor="_Toc4227" w:history="1">
        <w:r>
          <w:rPr>
            <w:rFonts w:ascii="IRNazanin" w:hAnsi="IRNazanin" w:eastAsia="IRNazanin" w:cs="IRNazanin"/>
            <w:color w:val="111111"/>
            <w:sz w:val="22"/>
            <w:szCs w:val="22"/>
            <w:b w:val="0"/>
            <w:bCs w:val="0"/>
            <w:i w:val="0"/>
            <w:iCs w:val="0"/>
          </w:rPr>
          <w:t>شرواني ، كمال الدين بن آسایش - 916</w:t>
        </w:r>
        <w:r>
          <w:tab/>
        </w:r>
        <w:r>
          <w:fldChar w:fldCharType="begin"/>
        </w:r>
        <w:r>
          <w:instrText xml:space="preserve">PAGEREF 4227 \h</w:instrText>
        </w:r>
        <w:r>
          <w:fldChar w:fldCharType="end"/>
        </w:r>
      </w:hyperlink>
    </w:p>
    <w:p>
      <w:pPr>
        <w:tabs>
          <w:tab w:val="right" w:leader="dot" w:pos="9062"/>
        </w:tabs>
        <w:ind w:left="220"/>
      </w:pPr>
      <w:hyperlink w:anchor="_Toc4228" w:history="1">
        <w:r>
          <w:rPr>
            <w:rFonts w:ascii="IRNazanin" w:hAnsi="IRNazanin" w:eastAsia="IRNazanin" w:cs="IRNazanin"/>
            <w:color w:val="111111"/>
            <w:sz w:val="22"/>
            <w:szCs w:val="22"/>
            <w:b w:val="0"/>
            <w:bCs w:val="0"/>
            <w:i w:val="0"/>
            <w:iCs w:val="0"/>
          </w:rPr>
          <w:t>شرواني ، محمّد امین بن صدرالدین</w:t>
        </w:r>
        <w:r>
          <w:tab/>
        </w:r>
        <w:r>
          <w:fldChar w:fldCharType="begin"/>
        </w:r>
        <w:r>
          <w:instrText xml:space="preserve">PAGEREF 4228 \h</w:instrText>
        </w:r>
        <w:r>
          <w:fldChar w:fldCharType="end"/>
        </w:r>
      </w:hyperlink>
    </w:p>
    <w:p>
      <w:pPr>
        <w:tabs>
          <w:tab w:val="right" w:leader="dot" w:pos="9062"/>
        </w:tabs>
        <w:ind w:left="220"/>
      </w:pPr>
      <w:hyperlink w:anchor="_Toc4229" w:history="1">
        <w:r>
          <w:rPr>
            <w:rFonts w:ascii="IRNazanin" w:hAnsi="IRNazanin" w:eastAsia="IRNazanin" w:cs="IRNazanin"/>
            <w:color w:val="111111"/>
            <w:sz w:val="22"/>
            <w:szCs w:val="22"/>
            <w:b w:val="0"/>
            <w:bCs w:val="0"/>
            <w:i w:val="0"/>
            <w:iCs w:val="0"/>
          </w:rPr>
          <w:t>شرواني ، محمّد بن جمال الدين قرن 9 ه-</w:t>
        </w:r>
        <w:r>
          <w:tab/>
        </w:r>
        <w:r>
          <w:fldChar w:fldCharType="begin"/>
        </w:r>
        <w:r>
          <w:instrText xml:space="preserve">PAGEREF 4229 \h</w:instrText>
        </w:r>
        <w:r>
          <w:fldChar w:fldCharType="end"/>
        </w:r>
      </w:hyperlink>
    </w:p>
    <w:p>
      <w:pPr>
        <w:tabs>
          <w:tab w:val="right" w:leader="dot" w:pos="9062"/>
        </w:tabs>
        <w:ind w:left="220"/>
      </w:pPr>
      <w:hyperlink w:anchor="_Toc4230" w:history="1">
        <w:r>
          <w:rPr>
            <w:rFonts w:ascii="IRNazanin" w:hAnsi="IRNazanin" w:eastAsia="IRNazanin" w:cs="IRNazanin"/>
            <w:color w:val="111111"/>
            <w:sz w:val="22"/>
            <w:szCs w:val="22"/>
            <w:b w:val="0"/>
            <w:bCs w:val="0"/>
            <w:i w:val="0"/>
            <w:iCs w:val="0"/>
          </w:rPr>
          <w:t>شرواني ، محمّد طه بن اسماعیل</w:t>
        </w:r>
        <w:r>
          <w:tab/>
        </w:r>
        <w:r>
          <w:fldChar w:fldCharType="begin"/>
        </w:r>
        <w:r>
          <w:instrText xml:space="preserve">PAGEREF 4230 \h</w:instrText>
        </w:r>
        <w:r>
          <w:fldChar w:fldCharType="end"/>
        </w:r>
      </w:hyperlink>
    </w:p>
    <w:p>
      <w:pPr>
        <w:tabs>
          <w:tab w:val="right" w:leader="dot" w:pos="9062"/>
        </w:tabs>
        <w:ind w:left="220"/>
      </w:pPr>
      <w:hyperlink w:anchor="_Toc4231" w:history="1">
        <w:r>
          <w:rPr>
            <w:rFonts w:ascii="IRNazanin" w:hAnsi="IRNazanin" w:eastAsia="IRNazanin" w:cs="IRNazanin"/>
            <w:color w:val="111111"/>
            <w:sz w:val="22"/>
            <w:szCs w:val="22"/>
            <w:b w:val="0"/>
            <w:bCs w:val="0"/>
            <w:i w:val="0"/>
            <w:iCs w:val="0"/>
          </w:rPr>
          <w:t>شروفي ، علي بن حيدر</w:t>
        </w:r>
        <w:r>
          <w:tab/>
        </w:r>
        <w:r>
          <w:fldChar w:fldCharType="begin"/>
        </w:r>
        <w:r>
          <w:instrText xml:space="preserve">PAGEREF 4231 \h</w:instrText>
        </w:r>
        <w:r>
          <w:fldChar w:fldCharType="end"/>
        </w:r>
      </w:hyperlink>
    </w:p>
    <w:p>
      <w:pPr>
        <w:tabs>
          <w:tab w:val="right" w:leader="dot" w:pos="9062"/>
        </w:tabs>
        <w:ind w:left="220"/>
      </w:pPr>
      <w:hyperlink w:anchor="_Toc4232" w:history="1">
        <w:r>
          <w:rPr>
            <w:rFonts w:ascii="IRNazanin" w:hAnsi="IRNazanin" w:eastAsia="IRNazanin" w:cs="IRNazanin"/>
            <w:color w:val="111111"/>
            <w:sz w:val="22"/>
            <w:szCs w:val="22"/>
            <w:b w:val="0"/>
            <w:bCs w:val="0"/>
            <w:i w:val="0"/>
            <w:iCs w:val="0"/>
          </w:rPr>
          <w:t>شروقي ، علي بن حيدر - 1314 ه-</w:t>
        </w:r>
        <w:r>
          <w:tab/>
        </w:r>
        <w:r>
          <w:fldChar w:fldCharType="begin"/>
        </w:r>
        <w:r>
          <w:instrText xml:space="preserve">PAGEREF 4232 \h</w:instrText>
        </w:r>
        <w:r>
          <w:fldChar w:fldCharType="end"/>
        </w:r>
      </w:hyperlink>
    </w:p>
    <w:p>
      <w:pPr>
        <w:tabs>
          <w:tab w:val="right" w:leader="dot" w:pos="9062"/>
        </w:tabs>
        <w:ind w:left="220"/>
      </w:pPr>
      <w:hyperlink w:anchor="_Toc4233" w:history="1">
        <w:r>
          <w:rPr>
            <w:rFonts w:ascii="IRNazanin" w:hAnsi="IRNazanin" w:eastAsia="IRNazanin" w:cs="IRNazanin"/>
            <w:color w:val="111111"/>
            <w:sz w:val="22"/>
            <w:szCs w:val="22"/>
            <w:b w:val="0"/>
            <w:bCs w:val="0"/>
            <w:i w:val="0"/>
            <w:iCs w:val="0"/>
          </w:rPr>
          <w:t>شروقي ، محمّد حسن بن موسی</w:t>
        </w:r>
        <w:r>
          <w:tab/>
        </w:r>
        <w:r>
          <w:fldChar w:fldCharType="begin"/>
        </w:r>
        <w:r>
          <w:instrText xml:space="preserve">PAGEREF 4233 \h</w:instrText>
        </w:r>
        <w:r>
          <w:fldChar w:fldCharType="end"/>
        </w:r>
      </w:hyperlink>
    </w:p>
    <w:p>
      <w:pPr>
        <w:tabs>
          <w:tab w:val="right" w:leader="dot" w:pos="9062"/>
        </w:tabs>
        <w:ind w:left="220"/>
      </w:pPr>
      <w:hyperlink w:anchor="_Toc4234" w:history="1">
        <w:r>
          <w:rPr>
            <w:rFonts w:ascii="IRNazanin" w:hAnsi="IRNazanin" w:eastAsia="IRNazanin" w:cs="IRNazanin"/>
            <w:color w:val="111111"/>
            <w:sz w:val="22"/>
            <w:szCs w:val="22"/>
            <w:b w:val="0"/>
            <w:bCs w:val="0"/>
            <w:i w:val="0"/>
            <w:iCs w:val="0"/>
          </w:rPr>
          <w:t>شريشي ، احمد بن عبدالمؤمن 557 - 619 ه-</w:t>
        </w:r>
        <w:r>
          <w:tab/>
        </w:r>
        <w:r>
          <w:fldChar w:fldCharType="begin"/>
        </w:r>
        <w:r>
          <w:instrText xml:space="preserve">PAGEREF 4234 \h</w:instrText>
        </w:r>
        <w:r>
          <w:fldChar w:fldCharType="end"/>
        </w:r>
      </w:hyperlink>
    </w:p>
    <w:p>
      <w:pPr>
        <w:tabs>
          <w:tab w:val="right" w:leader="dot" w:pos="9062"/>
        </w:tabs>
        <w:ind w:left="220"/>
      </w:pPr>
      <w:hyperlink w:anchor="_Toc4235" w:history="1">
        <w:r>
          <w:rPr>
            <w:rFonts w:ascii="IRNazanin" w:hAnsi="IRNazanin" w:eastAsia="IRNazanin" w:cs="IRNazanin"/>
            <w:color w:val="111111"/>
            <w:sz w:val="22"/>
            <w:szCs w:val="22"/>
            <w:b w:val="0"/>
            <w:bCs w:val="0"/>
            <w:i w:val="0"/>
            <w:iCs w:val="0"/>
          </w:rPr>
          <w:t>شریعت اصفهاني ، فتح الله بن محمّد</w:t>
        </w:r>
        <w:r>
          <w:tab/>
        </w:r>
        <w:r>
          <w:fldChar w:fldCharType="begin"/>
        </w:r>
        <w:r>
          <w:instrText xml:space="preserve">PAGEREF 4235 \h</w:instrText>
        </w:r>
        <w:r>
          <w:fldChar w:fldCharType="end"/>
        </w:r>
      </w:hyperlink>
    </w:p>
    <w:p>
      <w:pPr>
        <w:tabs>
          <w:tab w:val="right" w:leader="dot" w:pos="9062"/>
        </w:tabs>
        <w:ind w:left="220"/>
      </w:pPr>
      <w:hyperlink w:anchor="_Toc4236" w:history="1">
        <w:r>
          <w:rPr>
            <w:rFonts w:ascii="IRNazanin" w:hAnsi="IRNazanin" w:eastAsia="IRNazanin" w:cs="IRNazanin"/>
            <w:color w:val="111111"/>
            <w:sz w:val="22"/>
            <w:szCs w:val="22"/>
            <w:b w:val="0"/>
            <w:bCs w:val="0"/>
            <w:i w:val="0"/>
            <w:iCs w:val="0"/>
          </w:rPr>
          <w:t>شريف ، ابوالقاسم بن علي</w:t>
        </w:r>
        <w:r>
          <w:tab/>
        </w:r>
        <w:r>
          <w:fldChar w:fldCharType="begin"/>
        </w:r>
        <w:r>
          <w:instrText xml:space="preserve">PAGEREF 4236 \h</w:instrText>
        </w:r>
        <w:r>
          <w:fldChar w:fldCharType="end"/>
        </w:r>
      </w:hyperlink>
    </w:p>
    <w:p>
      <w:pPr>
        <w:tabs>
          <w:tab w:val="right" w:leader="dot" w:pos="9062"/>
        </w:tabs>
        <w:ind w:left="220"/>
      </w:pPr>
      <w:hyperlink w:anchor="_Toc4237" w:history="1">
        <w:r>
          <w:rPr>
            <w:rFonts w:ascii="IRNazanin" w:hAnsi="IRNazanin" w:eastAsia="IRNazanin" w:cs="IRNazanin"/>
            <w:color w:val="111111"/>
            <w:sz w:val="22"/>
            <w:szCs w:val="22"/>
            <w:b w:val="0"/>
            <w:bCs w:val="0"/>
            <w:i w:val="0"/>
            <w:iCs w:val="0"/>
          </w:rPr>
          <w:t>شریف ، احمد</w:t>
        </w:r>
        <w:r>
          <w:tab/>
        </w:r>
        <w:r>
          <w:fldChar w:fldCharType="begin"/>
        </w:r>
        <w:r>
          <w:instrText xml:space="preserve">PAGEREF 4237 \h</w:instrText>
        </w:r>
        <w:r>
          <w:fldChar w:fldCharType="end"/>
        </w:r>
      </w:hyperlink>
    </w:p>
    <w:p>
      <w:pPr>
        <w:tabs>
          <w:tab w:val="right" w:leader="dot" w:pos="9062"/>
        </w:tabs>
        <w:ind w:left="220"/>
      </w:pPr>
      <w:hyperlink w:anchor="_Toc4238" w:history="1">
        <w:r>
          <w:rPr>
            <w:rFonts w:ascii="IRNazanin" w:hAnsi="IRNazanin" w:eastAsia="IRNazanin" w:cs="IRNazanin"/>
            <w:color w:val="111111"/>
            <w:sz w:val="22"/>
            <w:szCs w:val="22"/>
            <w:b w:val="0"/>
            <w:bCs w:val="0"/>
            <w:i w:val="0"/>
            <w:iCs w:val="0"/>
          </w:rPr>
          <w:t>شریف اژه اي ، علي محمّد بن محمّد</w:t>
        </w:r>
        <w:r>
          <w:tab/>
        </w:r>
        <w:r>
          <w:fldChar w:fldCharType="begin"/>
        </w:r>
        <w:r>
          <w:instrText xml:space="preserve">PAGEREF 4238 \h</w:instrText>
        </w:r>
        <w:r>
          <w:fldChar w:fldCharType="end"/>
        </w:r>
      </w:hyperlink>
    </w:p>
    <w:p>
      <w:pPr>
        <w:tabs>
          <w:tab w:val="right" w:leader="dot" w:pos="9062"/>
        </w:tabs>
        <w:ind w:left="220"/>
      </w:pPr>
      <w:hyperlink w:anchor="_Toc4239" w:history="1">
        <w:r>
          <w:rPr>
            <w:rFonts w:ascii="IRNazanin" w:hAnsi="IRNazanin" w:eastAsia="IRNazanin" w:cs="IRNazanin"/>
            <w:color w:val="111111"/>
            <w:sz w:val="22"/>
            <w:szCs w:val="22"/>
            <w:b w:val="0"/>
            <w:bCs w:val="0"/>
            <w:i w:val="0"/>
            <w:iCs w:val="0"/>
          </w:rPr>
          <w:t>شريف استرآبادي ، علي بن علي - 995</w:t>
        </w:r>
        <w:r>
          <w:tab/>
        </w:r>
        <w:r>
          <w:fldChar w:fldCharType="begin"/>
        </w:r>
        <w:r>
          <w:instrText xml:space="preserve">PAGEREF 4239 \h</w:instrText>
        </w:r>
        <w:r>
          <w:fldChar w:fldCharType="end"/>
        </w:r>
      </w:hyperlink>
    </w:p>
    <w:p>
      <w:pPr>
        <w:tabs>
          <w:tab w:val="right" w:leader="dot" w:pos="9062"/>
        </w:tabs>
        <w:ind w:left="220"/>
      </w:pPr>
      <w:hyperlink w:anchor="_Toc4240" w:history="1">
        <w:r>
          <w:rPr>
            <w:rFonts w:ascii="IRNazanin" w:hAnsi="IRNazanin" w:eastAsia="IRNazanin" w:cs="IRNazanin"/>
            <w:color w:val="111111"/>
            <w:sz w:val="22"/>
            <w:szCs w:val="22"/>
            <w:b w:val="0"/>
            <w:bCs w:val="0"/>
            <w:i w:val="0"/>
            <w:iCs w:val="0"/>
          </w:rPr>
          <w:t>شريف اصفهاني ، ابن ملك محمّد صادق</w:t>
        </w:r>
        <w:r>
          <w:tab/>
        </w:r>
        <w:r>
          <w:fldChar w:fldCharType="begin"/>
        </w:r>
        <w:r>
          <w:instrText xml:space="preserve">PAGEREF 4240 \h</w:instrText>
        </w:r>
        <w:r>
          <w:fldChar w:fldCharType="end"/>
        </w:r>
      </w:hyperlink>
    </w:p>
    <w:p>
      <w:pPr>
        <w:tabs>
          <w:tab w:val="right" w:leader="dot" w:pos="9062"/>
        </w:tabs>
        <w:ind w:left="220"/>
      </w:pPr>
      <w:hyperlink w:anchor="_Toc4241" w:history="1">
        <w:r>
          <w:rPr>
            <w:rFonts w:ascii="IRNazanin" w:hAnsi="IRNazanin" w:eastAsia="IRNazanin" w:cs="IRNazanin"/>
            <w:color w:val="111111"/>
            <w:sz w:val="22"/>
            <w:szCs w:val="22"/>
            <w:b w:val="0"/>
            <w:bCs w:val="0"/>
            <w:i w:val="0"/>
            <w:iCs w:val="0"/>
          </w:rPr>
          <w:t>شريف الرضي ، محمّد بن حسين، 359 - 406ه-</w:t>
        </w:r>
        <w:r>
          <w:tab/>
        </w:r>
        <w:r>
          <w:fldChar w:fldCharType="begin"/>
        </w:r>
        <w:r>
          <w:instrText xml:space="preserve">PAGEREF 4241 \h</w:instrText>
        </w:r>
        <w:r>
          <w:fldChar w:fldCharType="end"/>
        </w:r>
      </w:hyperlink>
    </w:p>
    <w:p>
      <w:pPr>
        <w:tabs>
          <w:tab w:val="right" w:leader="dot" w:pos="9062"/>
        </w:tabs>
        <w:ind w:left="220"/>
      </w:pPr>
      <w:hyperlink w:anchor="_Toc4242" w:history="1">
        <w:r>
          <w:rPr>
            <w:rFonts w:ascii="IRNazanin" w:hAnsi="IRNazanin" w:eastAsia="IRNazanin" w:cs="IRNazanin"/>
            <w:color w:val="111111"/>
            <w:sz w:val="22"/>
            <w:szCs w:val="22"/>
            <w:b w:val="0"/>
            <w:bCs w:val="0"/>
            <w:i w:val="0"/>
            <w:iCs w:val="0"/>
          </w:rPr>
          <w:t>شريف العلماء ، محمّد شريف بن</w:t>
        </w:r>
        <w:r>
          <w:tab/>
        </w:r>
        <w:r>
          <w:fldChar w:fldCharType="begin"/>
        </w:r>
        <w:r>
          <w:instrText xml:space="preserve">PAGEREF 4242 \h</w:instrText>
        </w:r>
        <w:r>
          <w:fldChar w:fldCharType="end"/>
        </w:r>
      </w:hyperlink>
    </w:p>
    <w:p>
      <w:pPr>
        <w:tabs>
          <w:tab w:val="right" w:leader="dot" w:pos="9062"/>
        </w:tabs>
        <w:ind w:left="220"/>
      </w:pPr>
      <w:hyperlink w:anchor="_Toc4243" w:history="1">
        <w:r>
          <w:rPr>
            <w:rFonts w:ascii="IRNazanin" w:hAnsi="IRNazanin" w:eastAsia="IRNazanin" w:cs="IRNazanin"/>
            <w:color w:val="111111"/>
            <w:sz w:val="22"/>
            <w:szCs w:val="22"/>
            <w:b w:val="0"/>
            <w:bCs w:val="0"/>
            <w:i w:val="0"/>
            <w:iCs w:val="0"/>
          </w:rPr>
          <w:t>شريف القرشي ، باقر، قرن 14 ه-</w:t>
        </w:r>
        <w:r>
          <w:tab/>
        </w:r>
        <w:r>
          <w:fldChar w:fldCharType="begin"/>
        </w:r>
        <w:r>
          <w:instrText xml:space="preserve">PAGEREF 4243 \h</w:instrText>
        </w:r>
        <w:r>
          <w:fldChar w:fldCharType="end"/>
        </w:r>
      </w:hyperlink>
    </w:p>
    <w:p>
      <w:pPr>
        <w:tabs>
          <w:tab w:val="right" w:leader="dot" w:pos="9062"/>
        </w:tabs>
        <w:ind w:left="220"/>
      </w:pPr>
      <w:hyperlink w:anchor="_Toc4244" w:history="1">
        <w:r>
          <w:rPr>
            <w:rFonts w:ascii="IRNazanin" w:hAnsi="IRNazanin" w:eastAsia="IRNazanin" w:cs="IRNazanin"/>
            <w:color w:val="111111"/>
            <w:sz w:val="22"/>
            <w:szCs w:val="22"/>
            <w:b w:val="0"/>
            <w:bCs w:val="0"/>
            <w:i w:val="0"/>
            <w:iCs w:val="0"/>
          </w:rPr>
          <w:t>شريف بغدادي ، محمّد بن علي قرن 10</w:t>
        </w:r>
        <w:r>
          <w:tab/>
        </w:r>
        <w:r>
          <w:fldChar w:fldCharType="begin"/>
        </w:r>
        <w:r>
          <w:instrText xml:space="preserve">PAGEREF 4244 \h</w:instrText>
        </w:r>
        <w:r>
          <w:fldChar w:fldCharType="end"/>
        </w:r>
      </w:hyperlink>
    </w:p>
    <w:p>
      <w:pPr>
        <w:tabs>
          <w:tab w:val="right" w:leader="dot" w:pos="9062"/>
        </w:tabs>
        <w:ind w:left="220"/>
      </w:pPr>
      <w:hyperlink w:anchor="_Toc4245" w:history="1">
        <w:r>
          <w:rPr>
            <w:rFonts w:ascii="IRNazanin" w:hAnsi="IRNazanin" w:eastAsia="IRNazanin" w:cs="IRNazanin"/>
            <w:color w:val="111111"/>
            <w:sz w:val="22"/>
            <w:szCs w:val="22"/>
            <w:b w:val="0"/>
            <w:bCs w:val="0"/>
            <w:i w:val="0"/>
            <w:iCs w:val="0"/>
          </w:rPr>
          <w:t>شريف بكري ، علي بن محمّد ، قرن 7 ه-</w:t>
        </w:r>
        <w:r>
          <w:tab/>
        </w:r>
        <w:r>
          <w:fldChar w:fldCharType="begin"/>
        </w:r>
        <w:r>
          <w:instrText xml:space="preserve">PAGEREF 4245 \h</w:instrText>
        </w:r>
        <w:r>
          <w:fldChar w:fldCharType="end"/>
        </w:r>
      </w:hyperlink>
    </w:p>
    <w:p>
      <w:pPr>
        <w:tabs>
          <w:tab w:val="right" w:leader="dot" w:pos="9062"/>
        </w:tabs>
        <w:ind w:left="220"/>
      </w:pPr>
      <w:hyperlink w:anchor="_Toc4246" w:history="1">
        <w:r>
          <w:rPr>
            <w:rFonts w:ascii="IRNazanin" w:hAnsi="IRNazanin" w:eastAsia="IRNazanin" w:cs="IRNazanin"/>
            <w:color w:val="111111"/>
            <w:sz w:val="22"/>
            <w:szCs w:val="22"/>
            <w:b w:val="0"/>
            <w:bCs w:val="0"/>
            <w:i w:val="0"/>
            <w:iCs w:val="0"/>
          </w:rPr>
          <w:t>شريف بن سليم</w:t>
        </w:r>
        <w:r>
          <w:tab/>
        </w:r>
        <w:r>
          <w:fldChar w:fldCharType="begin"/>
        </w:r>
        <w:r>
          <w:instrText xml:space="preserve">PAGEREF 4246 \h</w:instrText>
        </w:r>
        <w:r>
          <w:fldChar w:fldCharType="end"/>
        </w:r>
      </w:hyperlink>
    </w:p>
    <w:p>
      <w:pPr>
        <w:tabs>
          <w:tab w:val="right" w:leader="dot" w:pos="9062"/>
        </w:tabs>
        <w:ind w:left="220"/>
      </w:pPr>
      <w:hyperlink w:anchor="_Toc4247" w:history="1">
        <w:r>
          <w:rPr>
            <w:rFonts w:ascii="IRNazanin" w:hAnsi="IRNazanin" w:eastAsia="IRNazanin" w:cs="IRNazanin"/>
            <w:color w:val="111111"/>
            <w:sz w:val="22"/>
            <w:szCs w:val="22"/>
            <w:b w:val="0"/>
            <w:bCs w:val="0"/>
            <w:i w:val="0"/>
            <w:iCs w:val="0"/>
          </w:rPr>
          <w:t>شريف حاج بيرام ولي</w:t>
        </w:r>
        <w:r>
          <w:tab/>
        </w:r>
        <w:r>
          <w:fldChar w:fldCharType="begin"/>
        </w:r>
        <w:r>
          <w:instrText xml:space="preserve">PAGEREF 4247 \h</w:instrText>
        </w:r>
        <w:r>
          <w:fldChar w:fldCharType="end"/>
        </w:r>
      </w:hyperlink>
    </w:p>
    <w:p>
      <w:pPr>
        <w:tabs>
          <w:tab w:val="right" w:leader="dot" w:pos="9062"/>
        </w:tabs>
        <w:ind w:left="220"/>
      </w:pPr>
      <w:hyperlink w:anchor="_Toc4248" w:history="1">
        <w:r>
          <w:rPr>
            <w:rFonts w:ascii="IRNazanin" w:hAnsi="IRNazanin" w:eastAsia="IRNazanin" w:cs="IRNazanin"/>
            <w:color w:val="111111"/>
            <w:sz w:val="22"/>
            <w:szCs w:val="22"/>
            <w:b w:val="0"/>
            <w:bCs w:val="0"/>
            <w:i w:val="0"/>
            <w:iCs w:val="0"/>
          </w:rPr>
          <w:t>شريف حسيني ، محمّد بن حسين قرن</w:t>
        </w:r>
        <w:r>
          <w:tab/>
        </w:r>
        <w:r>
          <w:fldChar w:fldCharType="begin"/>
        </w:r>
        <w:r>
          <w:instrText xml:space="preserve">PAGEREF 4248 \h</w:instrText>
        </w:r>
        <w:r>
          <w:fldChar w:fldCharType="end"/>
        </w:r>
      </w:hyperlink>
    </w:p>
    <w:p>
      <w:pPr>
        <w:tabs>
          <w:tab w:val="right" w:leader="dot" w:pos="9062"/>
        </w:tabs>
        <w:ind w:left="220"/>
      </w:pPr>
      <w:hyperlink w:anchor="_Toc4249" w:history="1">
        <w:r>
          <w:rPr>
            <w:rFonts w:ascii="IRNazanin" w:hAnsi="IRNazanin" w:eastAsia="IRNazanin" w:cs="IRNazanin"/>
            <w:color w:val="111111"/>
            <w:sz w:val="22"/>
            <w:szCs w:val="22"/>
            <w:b w:val="0"/>
            <w:bCs w:val="0"/>
            <w:i w:val="0"/>
            <w:iCs w:val="0"/>
          </w:rPr>
          <w:t>شريف خاتون آبادي ، احمد بن محمّد</w:t>
        </w:r>
        <w:r>
          <w:tab/>
        </w:r>
        <w:r>
          <w:fldChar w:fldCharType="begin"/>
        </w:r>
        <w:r>
          <w:instrText xml:space="preserve">PAGEREF 4249 \h</w:instrText>
        </w:r>
        <w:r>
          <w:fldChar w:fldCharType="end"/>
        </w:r>
      </w:hyperlink>
    </w:p>
    <w:p>
      <w:pPr>
        <w:tabs>
          <w:tab w:val="right" w:leader="dot" w:pos="9062"/>
        </w:tabs>
        <w:ind w:left="220"/>
      </w:pPr>
      <w:hyperlink w:anchor="_Toc4250" w:history="1">
        <w:r>
          <w:rPr>
            <w:rFonts w:ascii="IRNazanin" w:hAnsi="IRNazanin" w:eastAsia="IRNazanin" w:cs="IRNazanin"/>
            <w:color w:val="111111"/>
            <w:sz w:val="22"/>
            <w:szCs w:val="22"/>
            <w:b w:val="0"/>
            <w:bCs w:val="0"/>
            <w:i w:val="0"/>
            <w:iCs w:val="0"/>
          </w:rPr>
          <w:t>شريف سبزواري ، محمّد رضا بن محمّد</w:t>
        </w:r>
        <w:r>
          <w:tab/>
        </w:r>
        <w:r>
          <w:fldChar w:fldCharType="begin"/>
        </w:r>
        <w:r>
          <w:instrText xml:space="preserve">PAGEREF 4250 \h</w:instrText>
        </w:r>
        <w:r>
          <w:fldChar w:fldCharType="end"/>
        </w:r>
      </w:hyperlink>
    </w:p>
    <w:p>
      <w:pPr>
        <w:tabs>
          <w:tab w:val="right" w:leader="dot" w:pos="9062"/>
        </w:tabs>
        <w:ind w:left="220"/>
      </w:pPr>
      <w:hyperlink w:anchor="_Toc4251" w:history="1">
        <w:r>
          <w:rPr>
            <w:rFonts w:ascii="IRNazanin" w:hAnsi="IRNazanin" w:eastAsia="IRNazanin" w:cs="IRNazanin"/>
            <w:color w:val="111111"/>
            <w:sz w:val="22"/>
            <w:szCs w:val="22"/>
            <w:b w:val="0"/>
            <w:bCs w:val="0"/>
            <w:i w:val="0"/>
            <w:iCs w:val="0"/>
          </w:rPr>
          <w:t>شريف ، عبدالرحيم بن محمّد قرن 12</w:t>
        </w:r>
        <w:r>
          <w:tab/>
        </w:r>
        <w:r>
          <w:fldChar w:fldCharType="begin"/>
        </w:r>
        <w:r>
          <w:instrText xml:space="preserve">PAGEREF 4251 \h</w:instrText>
        </w:r>
        <w:r>
          <w:fldChar w:fldCharType="end"/>
        </w:r>
      </w:hyperlink>
    </w:p>
    <w:p>
      <w:pPr>
        <w:tabs>
          <w:tab w:val="right" w:leader="dot" w:pos="9062"/>
        </w:tabs>
        <w:ind w:left="220"/>
      </w:pPr>
      <w:hyperlink w:anchor="_Toc4252" w:history="1">
        <w:r>
          <w:rPr>
            <w:rFonts w:ascii="IRNazanin" w:hAnsi="IRNazanin" w:eastAsia="IRNazanin" w:cs="IRNazanin"/>
            <w:color w:val="111111"/>
            <w:sz w:val="22"/>
            <w:szCs w:val="22"/>
            <w:b w:val="0"/>
            <w:bCs w:val="0"/>
            <w:i w:val="0"/>
            <w:iCs w:val="0"/>
          </w:rPr>
          <w:t>شريف ، عبدالله بن محمّد قرن 13 ه-</w:t>
        </w:r>
        <w:r>
          <w:tab/>
        </w:r>
        <w:r>
          <w:fldChar w:fldCharType="begin"/>
        </w:r>
        <w:r>
          <w:instrText xml:space="preserve">PAGEREF 4252 \h</w:instrText>
        </w:r>
        <w:r>
          <w:fldChar w:fldCharType="end"/>
        </w:r>
      </w:hyperlink>
    </w:p>
    <w:p>
      <w:pPr>
        <w:tabs>
          <w:tab w:val="right" w:leader="dot" w:pos="9062"/>
        </w:tabs>
        <w:ind w:left="220"/>
      </w:pPr>
      <w:hyperlink w:anchor="_Toc4253" w:history="1">
        <w:r>
          <w:rPr>
            <w:rFonts w:ascii="IRNazanin" w:hAnsi="IRNazanin" w:eastAsia="IRNazanin" w:cs="IRNazanin"/>
            <w:color w:val="111111"/>
            <w:sz w:val="22"/>
            <w:szCs w:val="22"/>
            <w:b w:val="0"/>
            <w:bCs w:val="0"/>
            <w:i w:val="0"/>
            <w:iCs w:val="0"/>
          </w:rPr>
          <w:t>شريف ، علي بن فتح الله قرن 11 ه-</w:t>
        </w:r>
        <w:r>
          <w:tab/>
        </w:r>
        <w:r>
          <w:fldChar w:fldCharType="begin"/>
        </w:r>
        <w:r>
          <w:instrText xml:space="preserve">PAGEREF 4253 \h</w:instrText>
        </w:r>
        <w:r>
          <w:fldChar w:fldCharType="end"/>
        </w:r>
      </w:hyperlink>
    </w:p>
    <w:p>
      <w:pPr>
        <w:tabs>
          <w:tab w:val="right" w:leader="dot" w:pos="9062"/>
        </w:tabs>
        <w:ind w:left="220"/>
      </w:pPr>
      <w:hyperlink w:anchor="_Toc4254" w:history="1">
        <w:r>
          <w:rPr>
            <w:rFonts w:ascii="IRNazanin" w:hAnsi="IRNazanin" w:eastAsia="IRNazanin" w:cs="IRNazanin"/>
            <w:color w:val="111111"/>
            <w:sz w:val="22"/>
            <w:szCs w:val="22"/>
            <w:b w:val="0"/>
            <w:bCs w:val="0"/>
            <w:i w:val="0"/>
            <w:iCs w:val="0"/>
          </w:rPr>
          <w:t>شريف كاشاني ، فضل الله بن محمّد قرن</w:t>
        </w:r>
        <w:r>
          <w:tab/>
        </w:r>
        <w:r>
          <w:fldChar w:fldCharType="begin"/>
        </w:r>
        <w:r>
          <w:instrText xml:space="preserve">PAGEREF 4254 \h</w:instrText>
        </w:r>
        <w:r>
          <w:fldChar w:fldCharType="end"/>
        </w:r>
      </w:hyperlink>
    </w:p>
    <w:p>
      <w:pPr>
        <w:tabs>
          <w:tab w:val="right" w:leader="dot" w:pos="9062"/>
        </w:tabs>
        <w:ind w:left="220"/>
      </w:pPr>
      <w:hyperlink w:anchor="_Toc4255" w:history="1">
        <w:r>
          <w:rPr>
            <w:rFonts w:ascii="IRNazanin" w:hAnsi="IRNazanin" w:eastAsia="IRNazanin" w:cs="IRNazanin"/>
            <w:color w:val="111111"/>
            <w:sz w:val="22"/>
            <w:szCs w:val="22"/>
            <w:b w:val="0"/>
            <w:bCs w:val="0"/>
            <w:i w:val="0"/>
            <w:iCs w:val="0"/>
          </w:rPr>
          <w:t>شريف كرماني ، نظر علي بن اسماعيل</w:t>
        </w:r>
        <w:r>
          <w:tab/>
        </w:r>
        <w:r>
          <w:fldChar w:fldCharType="begin"/>
        </w:r>
        <w:r>
          <w:instrText xml:space="preserve">PAGEREF 4255 \h</w:instrText>
        </w:r>
        <w:r>
          <w:fldChar w:fldCharType="end"/>
        </w:r>
      </w:hyperlink>
    </w:p>
    <w:p>
      <w:pPr>
        <w:tabs>
          <w:tab w:val="right" w:leader="dot" w:pos="9062"/>
        </w:tabs>
        <w:ind w:left="220"/>
      </w:pPr>
      <w:hyperlink w:anchor="_Toc4256" w:history="1">
        <w:r>
          <w:rPr>
            <w:rFonts w:ascii="IRNazanin" w:hAnsi="IRNazanin" w:eastAsia="IRNazanin" w:cs="IRNazanin"/>
            <w:color w:val="111111"/>
            <w:sz w:val="22"/>
            <w:szCs w:val="22"/>
            <w:b w:val="0"/>
            <w:bCs w:val="0"/>
            <w:i w:val="0"/>
            <w:iCs w:val="0"/>
          </w:rPr>
          <w:t>شريف محسن سلطان</w:t>
        </w:r>
        <w:r>
          <w:tab/>
        </w:r>
        <w:r>
          <w:fldChar w:fldCharType="begin"/>
        </w:r>
        <w:r>
          <w:instrText xml:space="preserve">PAGEREF 4256 \h</w:instrText>
        </w:r>
        <w:r>
          <w:fldChar w:fldCharType="end"/>
        </w:r>
      </w:hyperlink>
    </w:p>
    <w:p>
      <w:pPr>
        <w:tabs>
          <w:tab w:val="right" w:leader="dot" w:pos="9062"/>
        </w:tabs>
        <w:ind w:left="220"/>
      </w:pPr>
      <w:hyperlink w:anchor="_Toc4257" w:history="1">
        <w:r>
          <w:rPr>
            <w:rFonts w:ascii="IRNazanin" w:hAnsi="IRNazanin" w:eastAsia="IRNazanin" w:cs="IRNazanin"/>
            <w:color w:val="111111"/>
            <w:sz w:val="22"/>
            <w:szCs w:val="22"/>
            <w:b w:val="0"/>
            <w:bCs w:val="0"/>
            <w:i w:val="0"/>
            <w:iCs w:val="0"/>
          </w:rPr>
          <w:t>شریف ، محمّد</w:t>
        </w:r>
        <w:r>
          <w:tab/>
        </w:r>
        <w:r>
          <w:fldChar w:fldCharType="begin"/>
        </w:r>
        <w:r>
          <w:instrText xml:space="preserve">PAGEREF 4257 \h</w:instrText>
        </w:r>
        <w:r>
          <w:fldChar w:fldCharType="end"/>
        </w:r>
      </w:hyperlink>
    </w:p>
    <w:p>
      <w:pPr>
        <w:tabs>
          <w:tab w:val="right" w:leader="dot" w:pos="9062"/>
        </w:tabs>
        <w:ind w:left="220"/>
      </w:pPr>
      <w:hyperlink w:anchor="_Toc4258" w:history="1">
        <w:r>
          <w:rPr>
            <w:rFonts w:ascii="IRNazanin" w:hAnsi="IRNazanin" w:eastAsia="IRNazanin" w:cs="IRNazanin"/>
            <w:color w:val="111111"/>
            <w:sz w:val="22"/>
            <w:szCs w:val="22"/>
            <w:b w:val="0"/>
            <w:bCs w:val="0"/>
            <w:i w:val="0"/>
            <w:iCs w:val="0"/>
          </w:rPr>
          <w:t>شريف لاهيجي ، قطب الدين محمّد بن</w:t>
        </w:r>
        <w:r>
          <w:tab/>
        </w:r>
        <w:r>
          <w:fldChar w:fldCharType="begin"/>
        </w:r>
        <w:r>
          <w:instrText xml:space="preserve">PAGEREF 4258 \h</w:instrText>
        </w:r>
        <w:r>
          <w:fldChar w:fldCharType="end"/>
        </w:r>
      </w:hyperlink>
    </w:p>
    <w:p>
      <w:pPr>
        <w:tabs>
          <w:tab w:val="right" w:leader="dot" w:pos="9062"/>
        </w:tabs>
        <w:ind w:left="220"/>
      </w:pPr>
      <w:hyperlink w:anchor="_Toc4259" w:history="1">
        <w:r>
          <w:rPr>
            <w:rFonts w:ascii="IRNazanin" w:hAnsi="IRNazanin" w:eastAsia="IRNazanin" w:cs="IRNazanin"/>
            <w:color w:val="111111"/>
            <w:sz w:val="22"/>
            <w:szCs w:val="22"/>
            <w:b w:val="0"/>
            <w:bCs w:val="0"/>
            <w:i w:val="0"/>
            <w:iCs w:val="0"/>
          </w:rPr>
          <w:t>شریف ، محمّد باقر</w:t>
        </w:r>
        <w:r>
          <w:tab/>
        </w:r>
        <w:r>
          <w:fldChar w:fldCharType="begin"/>
        </w:r>
        <w:r>
          <w:instrText xml:space="preserve">PAGEREF 4259 \h</w:instrText>
        </w:r>
        <w:r>
          <w:fldChar w:fldCharType="end"/>
        </w:r>
      </w:hyperlink>
    </w:p>
    <w:p>
      <w:pPr>
        <w:tabs>
          <w:tab w:val="right" w:leader="dot" w:pos="9062"/>
        </w:tabs>
        <w:ind w:left="220"/>
      </w:pPr>
      <w:hyperlink w:anchor="_Toc4260" w:history="1">
        <w:r>
          <w:rPr>
            <w:rFonts w:ascii="IRNazanin" w:hAnsi="IRNazanin" w:eastAsia="IRNazanin" w:cs="IRNazanin"/>
            <w:color w:val="111111"/>
            <w:sz w:val="22"/>
            <w:szCs w:val="22"/>
            <w:b w:val="0"/>
            <w:bCs w:val="0"/>
            <w:i w:val="0"/>
            <w:iCs w:val="0"/>
          </w:rPr>
          <w:t>شریف ، محمّد بن عبدالله</w:t>
        </w:r>
        <w:r>
          <w:tab/>
        </w:r>
        <w:r>
          <w:fldChar w:fldCharType="begin"/>
        </w:r>
        <w:r>
          <w:instrText xml:space="preserve">PAGEREF 4260 \h</w:instrText>
        </w:r>
        <w:r>
          <w:fldChar w:fldCharType="end"/>
        </w:r>
      </w:hyperlink>
    </w:p>
    <w:p>
      <w:pPr>
        <w:tabs>
          <w:tab w:val="right" w:leader="dot" w:pos="9062"/>
        </w:tabs>
        <w:ind w:left="220"/>
      </w:pPr>
      <w:hyperlink w:anchor="_Toc4261" w:history="1">
        <w:r>
          <w:rPr>
            <w:rFonts w:ascii="IRNazanin" w:hAnsi="IRNazanin" w:eastAsia="IRNazanin" w:cs="IRNazanin"/>
            <w:color w:val="111111"/>
            <w:sz w:val="22"/>
            <w:szCs w:val="22"/>
            <w:b w:val="0"/>
            <w:bCs w:val="0"/>
            <w:i w:val="0"/>
            <w:iCs w:val="0"/>
          </w:rPr>
          <w:t>شريف ، محمّد مهدي بن علي نقي قرن</w:t>
        </w:r>
        <w:r>
          <w:tab/>
        </w:r>
        <w:r>
          <w:fldChar w:fldCharType="begin"/>
        </w:r>
        <w:r>
          <w:instrText xml:space="preserve">PAGEREF 4261 \h</w:instrText>
        </w:r>
        <w:r>
          <w:fldChar w:fldCharType="end"/>
        </w:r>
      </w:hyperlink>
    </w:p>
    <w:p>
      <w:pPr>
        <w:tabs>
          <w:tab w:val="right" w:leader="dot" w:pos="9062"/>
        </w:tabs>
        <w:ind w:left="220"/>
      </w:pPr>
      <w:hyperlink w:anchor="_Toc4262" w:history="1">
        <w:r>
          <w:rPr>
            <w:rFonts w:ascii="IRNazanin" w:hAnsi="IRNazanin" w:eastAsia="IRNazanin" w:cs="IRNazanin"/>
            <w:color w:val="111111"/>
            <w:sz w:val="22"/>
            <w:szCs w:val="22"/>
            <w:b w:val="0"/>
            <w:bCs w:val="0"/>
            <w:i w:val="0"/>
            <w:iCs w:val="0"/>
          </w:rPr>
          <w:t>شريف موصلي ، حسن بن جرجيس</w:t>
        </w:r>
        <w:r>
          <w:tab/>
        </w:r>
        <w:r>
          <w:fldChar w:fldCharType="begin"/>
        </w:r>
        <w:r>
          <w:instrText xml:space="preserve">PAGEREF 4262 \h</w:instrText>
        </w:r>
        <w:r>
          <w:fldChar w:fldCharType="end"/>
        </w:r>
      </w:hyperlink>
    </w:p>
    <w:p>
      <w:pPr>
        <w:tabs>
          <w:tab w:val="right" w:leader="dot" w:pos="9062"/>
        </w:tabs>
        <w:ind w:left="220"/>
      </w:pPr>
      <w:hyperlink w:anchor="_Toc4263" w:history="1">
        <w:r>
          <w:rPr>
            <w:rFonts w:ascii="IRNazanin" w:hAnsi="IRNazanin" w:eastAsia="IRNazanin" w:cs="IRNazanin"/>
            <w:color w:val="111111"/>
            <w:sz w:val="22"/>
            <w:szCs w:val="22"/>
            <w:b w:val="0"/>
            <w:bCs w:val="0"/>
            <w:i w:val="0"/>
            <w:iCs w:val="0"/>
          </w:rPr>
          <w:t>شريف ، ميرزا علي</w:t>
        </w:r>
        <w:r>
          <w:tab/>
        </w:r>
        <w:r>
          <w:fldChar w:fldCharType="begin"/>
        </w:r>
        <w:r>
          <w:instrText xml:space="preserve">PAGEREF 4263 \h</w:instrText>
        </w:r>
        <w:r>
          <w:fldChar w:fldCharType="end"/>
        </w:r>
      </w:hyperlink>
    </w:p>
    <w:p>
      <w:pPr>
        <w:tabs>
          <w:tab w:val="right" w:leader="dot" w:pos="9062"/>
        </w:tabs>
        <w:ind w:left="220"/>
      </w:pPr>
      <w:hyperlink w:anchor="_Toc4264" w:history="1">
        <w:r>
          <w:rPr>
            <w:rFonts w:ascii="IRNazanin" w:hAnsi="IRNazanin" w:eastAsia="IRNazanin" w:cs="IRNazanin"/>
            <w:color w:val="111111"/>
            <w:sz w:val="22"/>
            <w:szCs w:val="22"/>
            <w:b w:val="0"/>
            <w:bCs w:val="0"/>
            <w:i w:val="0"/>
            <w:iCs w:val="0"/>
          </w:rPr>
          <w:t>شريف نائيني ، محمّد بن محمّد هادي - 1305ه-</w:t>
        </w:r>
        <w:r>
          <w:tab/>
        </w:r>
        <w:r>
          <w:fldChar w:fldCharType="begin"/>
        </w:r>
        <w:r>
          <w:instrText xml:space="preserve">PAGEREF 4264 \h</w:instrText>
        </w:r>
        <w:r>
          <w:fldChar w:fldCharType="end"/>
        </w:r>
      </w:hyperlink>
    </w:p>
    <w:p>
      <w:pPr>
        <w:tabs>
          <w:tab w:val="right" w:leader="dot" w:pos="9062"/>
        </w:tabs>
        <w:ind w:left="220"/>
      </w:pPr>
      <w:hyperlink w:anchor="_Toc4265" w:history="1">
        <w:r>
          <w:rPr>
            <w:rFonts w:ascii="IRNazanin" w:hAnsi="IRNazanin" w:eastAsia="IRNazanin" w:cs="IRNazanin"/>
            <w:color w:val="111111"/>
            <w:sz w:val="22"/>
            <w:szCs w:val="22"/>
            <w:b w:val="0"/>
            <w:bCs w:val="0"/>
            <w:i w:val="0"/>
            <w:iCs w:val="0"/>
          </w:rPr>
          <w:t>شریف نسابه ، حسن بن محمّد 767 -</w:t>
        </w:r>
        <w:r>
          <w:tab/>
        </w:r>
        <w:r>
          <w:fldChar w:fldCharType="begin"/>
        </w:r>
        <w:r>
          <w:instrText xml:space="preserve">PAGEREF 4265 \h</w:instrText>
        </w:r>
        <w:r>
          <w:fldChar w:fldCharType="end"/>
        </w:r>
      </w:hyperlink>
    </w:p>
    <w:p>
      <w:pPr>
        <w:tabs>
          <w:tab w:val="right" w:leader="dot" w:pos="9062"/>
        </w:tabs>
        <w:ind w:left="220"/>
      </w:pPr>
      <w:hyperlink w:anchor="_Toc4266" w:history="1">
        <w:r>
          <w:rPr>
            <w:rFonts w:ascii="IRNazanin" w:hAnsi="IRNazanin" w:eastAsia="IRNazanin" w:cs="IRNazanin"/>
            <w:color w:val="111111"/>
            <w:sz w:val="22"/>
            <w:szCs w:val="22"/>
            <w:b w:val="0"/>
            <w:bCs w:val="0"/>
            <w:i w:val="0"/>
            <w:iCs w:val="0"/>
          </w:rPr>
          <w:t>شريف ، هادي بن مهدي قرن 14 ه-</w:t>
        </w:r>
        <w:r>
          <w:tab/>
        </w:r>
        <w:r>
          <w:fldChar w:fldCharType="begin"/>
        </w:r>
        <w:r>
          <w:instrText xml:space="preserve">PAGEREF 4266 \h</w:instrText>
        </w:r>
        <w:r>
          <w:fldChar w:fldCharType="end"/>
        </w:r>
      </w:hyperlink>
    </w:p>
    <w:p>
      <w:pPr>
        <w:tabs>
          <w:tab w:val="right" w:leader="dot" w:pos="9062"/>
        </w:tabs>
        <w:ind w:left="220"/>
      </w:pPr>
      <w:hyperlink w:anchor="_Toc4267" w:history="1">
        <w:r>
          <w:rPr>
            <w:rFonts w:ascii="IRNazanin" w:hAnsi="IRNazanin" w:eastAsia="IRNazanin" w:cs="IRNazanin"/>
            <w:color w:val="111111"/>
            <w:sz w:val="22"/>
            <w:szCs w:val="22"/>
            <w:b w:val="0"/>
            <w:bCs w:val="0"/>
            <w:i w:val="0"/>
            <w:iCs w:val="0"/>
          </w:rPr>
          <w:t>شريفيان عطار ، حسن</w:t>
        </w:r>
        <w:r>
          <w:tab/>
        </w:r>
        <w:r>
          <w:fldChar w:fldCharType="begin"/>
        </w:r>
        <w:r>
          <w:instrText xml:space="preserve">PAGEREF 4267 \h</w:instrText>
        </w:r>
        <w:r>
          <w:fldChar w:fldCharType="end"/>
        </w:r>
      </w:hyperlink>
    </w:p>
    <w:p>
      <w:pPr>
        <w:tabs>
          <w:tab w:val="right" w:leader="dot" w:pos="9062"/>
        </w:tabs>
        <w:ind w:left="220"/>
      </w:pPr>
      <w:hyperlink w:anchor="_Toc4268" w:history="1">
        <w:r>
          <w:rPr>
            <w:rFonts w:ascii="IRNazanin" w:hAnsi="IRNazanin" w:eastAsia="IRNazanin" w:cs="IRNazanin"/>
            <w:color w:val="111111"/>
            <w:sz w:val="22"/>
            <w:szCs w:val="22"/>
            <w:b w:val="0"/>
            <w:bCs w:val="0"/>
            <w:i w:val="0"/>
            <w:iCs w:val="0"/>
          </w:rPr>
          <w:t>شريفي حائري ، علي، قرن 10 ه-</w:t>
        </w:r>
        <w:r>
          <w:tab/>
        </w:r>
        <w:r>
          <w:fldChar w:fldCharType="begin"/>
        </w:r>
        <w:r>
          <w:instrText xml:space="preserve">PAGEREF 4268 \h</w:instrText>
        </w:r>
        <w:r>
          <w:fldChar w:fldCharType="end"/>
        </w:r>
      </w:hyperlink>
    </w:p>
    <w:p>
      <w:pPr>
        <w:tabs>
          <w:tab w:val="right" w:leader="dot" w:pos="9062"/>
        </w:tabs>
        <w:ind w:left="220"/>
      </w:pPr>
      <w:hyperlink w:anchor="_Toc4269" w:history="1">
        <w:r>
          <w:rPr>
            <w:rFonts w:ascii="IRNazanin" w:hAnsi="IRNazanin" w:eastAsia="IRNazanin" w:cs="IRNazanin"/>
            <w:color w:val="111111"/>
            <w:sz w:val="22"/>
            <w:szCs w:val="22"/>
            <w:b w:val="0"/>
            <w:bCs w:val="0"/>
            <w:i w:val="0"/>
            <w:iCs w:val="0"/>
          </w:rPr>
          <w:t>شريفي حسيني، میرزا مخدوم بن سید</w:t>
        </w:r>
        <w:r>
          <w:tab/>
        </w:r>
        <w:r>
          <w:fldChar w:fldCharType="begin"/>
        </w:r>
        <w:r>
          <w:instrText xml:space="preserve">PAGEREF 4269 \h</w:instrText>
        </w:r>
        <w:r>
          <w:fldChar w:fldCharType="end"/>
        </w:r>
      </w:hyperlink>
    </w:p>
    <w:p>
      <w:pPr>
        <w:tabs>
          <w:tab w:val="right" w:leader="dot" w:pos="9062"/>
        </w:tabs>
        <w:ind w:left="220"/>
      </w:pPr>
      <w:hyperlink w:anchor="_Toc4270" w:history="1">
        <w:r>
          <w:rPr>
            <w:rFonts w:ascii="IRNazanin" w:hAnsi="IRNazanin" w:eastAsia="IRNazanin" w:cs="IRNazanin"/>
            <w:color w:val="111111"/>
            <w:sz w:val="22"/>
            <w:szCs w:val="22"/>
            <w:b w:val="0"/>
            <w:bCs w:val="0"/>
            <w:i w:val="0"/>
            <w:iCs w:val="0"/>
          </w:rPr>
          <w:t>شريف يزدي، علي اكبر بن محمّد صالح</w:t>
        </w:r>
        <w:r>
          <w:tab/>
        </w:r>
        <w:r>
          <w:fldChar w:fldCharType="begin"/>
        </w:r>
        <w:r>
          <w:instrText xml:space="preserve">PAGEREF 4270 \h</w:instrText>
        </w:r>
        <w:r>
          <w:fldChar w:fldCharType="end"/>
        </w:r>
      </w:hyperlink>
    </w:p>
    <w:p>
      <w:pPr>
        <w:tabs>
          <w:tab w:val="right" w:leader="dot" w:pos="9062"/>
        </w:tabs>
        <w:ind w:left="220"/>
      </w:pPr>
      <w:hyperlink w:anchor="_Toc4271" w:history="1">
        <w:r>
          <w:rPr>
            <w:rFonts w:ascii="IRNazanin" w:hAnsi="IRNazanin" w:eastAsia="IRNazanin" w:cs="IRNazanin"/>
            <w:color w:val="111111"/>
            <w:sz w:val="22"/>
            <w:szCs w:val="22"/>
            <w:b w:val="0"/>
            <w:bCs w:val="0"/>
            <w:i w:val="0"/>
            <w:iCs w:val="0"/>
          </w:rPr>
          <w:t>ششتري ، علي بن عبدالله - 668 ه-</w:t>
        </w:r>
        <w:r>
          <w:tab/>
        </w:r>
        <w:r>
          <w:fldChar w:fldCharType="begin"/>
        </w:r>
        <w:r>
          <w:instrText xml:space="preserve">PAGEREF 4271 \h</w:instrText>
        </w:r>
        <w:r>
          <w:fldChar w:fldCharType="end"/>
        </w:r>
      </w:hyperlink>
    </w:p>
    <w:p>
      <w:pPr>
        <w:tabs>
          <w:tab w:val="right" w:leader="dot" w:pos="9062"/>
        </w:tabs>
        <w:ind w:left="220"/>
      </w:pPr>
      <w:hyperlink w:anchor="_Toc4272" w:history="1">
        <w:r>
          <w:rPr>
            <w:rFonts w:ascii="IRNazanin" w:hAnsi="IRNazanin" w:eastAsia="IRNazanin" w:cs="IRNazanin"/>
            <w:color w:val="111111"/>
            <w:sz w:val="22"/>
            <w:szCs w:val="22"/>
            <w:b w:val="0"/>
            <w:bCs w:val="0"/>
            <w:i w:val="0"/>
            <w:iCs w:val="0"/>
          </w:rPr>
          <w:t>شطي ، حسن بن عمر، حسن بن عمر - 1274ه-</w:t>
        </w:r>
        <w:r>
          <w:tab/>
        </w:r>
        <w:r>
          <w:fldChar w:fldCharType="begin"/>
        </w:r>
        <w:r>
          <w:instrText xml:space="preserve">PAGEREF 4272 \h</w:instrText>
        </w:r>
        <w:r>
          <w:fldChar w:fldCharType="end"/>
        </w:r>
      </w:hyperlink>
    </w:p>
    <w:p>
      <w:pPr>
        <w:tabs>
          <w:tab w:val="right" w:leader="dot" w:pos="9062"/>
        </w:tabs>
        <w:ind w:left="220"/>
      </w:pPr>
      <w:hyperlink w:anchor="_Toc4273" w:history="1">
        <w:r>
          <w:rPr>
            <w:rFonts w:ascii="IRNazanin" w:hAnsi="IRNazanin" w:eastAsia="IRNazanin" w:cs="IRNazanin"/>
            <w:color w:val="111111"/>
            <w:sz w:val="22"/>
            <w:szCs w:val="22"/>
            <w:b w:val="0"/>
            <w:bCs w:val="0"/>
            <w:i w:val="0"/>
            <w:iCs w:val="0"/>
          </w:rPr>
          <w:t>شطي ، محمّد بن حسن، 1248 - 1307</w:t>
        </w:r>
        <w:r>
          <w:tab/>
        </w:r>
        <w:r>
          <w:fldChar w:fldCharType="begin"/>
        </w:r>
        <w:r>
          <w:instrText xml:space="preserve">PAGEREF 4273 \h</w:instrText>
        </w:r>
        <w:r>
          <w:fldChar w:fldCharType="end"/>
        </w:r>
      </w:hyperlink>
    </w:p>
    <w:p>
      <w:pPr>
        <w:tabs>
          <w:tab w:val="right" w:leader="dot" w:pos="9062"/>
        </w:tabs>
        <w:ind w:left="220"/>
      </w:pPr>
      <w:hyperlink w:anchor="_Toc4274" w:history="1">
        <w:r>
          <w:rPr>
            <w:rFonts w:ascii="IRNazanin" w:hAnsi="IRNazanin" w:eastAsia="IRNazanin" w:cs="IRNazanin"/>
            <w:color w:val="111111"/>
            <w:sz w:val="22"/>
            <w:szCs w:val="22"/>
            <w:b w:val="0"/>
            <w:bCs w:val="0"/>
            <w:i w:val="0"/>
            <w:iCs w:val="0"/>
          </w:rPr>
          <w:t>شعراني ، عبدالوهاب بن احمد 898 -</w:t>
        </w:r>
        <w:r>
          <w:tab/>
        </w:r>
        <w:r>
          <w:fldChar w:fldCharType="begin"/>
        </w:r>
        <w:r>
          <w:instrText xml:space="preserve">PAGEREF 4274 \h</w:instrText>
        </w:r>
        <w:r>
          <w:fldChar w:fldCharType="end"/>
        </w:r>
      </w:hyperlink>
    </w:p>
    <w:p>
      <w:pPr>
        <w:tabs>
          <w:tab w:val="right" w:leader="dot" w:pos="9062"/>
        </w:tabs>
        <w:ind w:left="220"/>
      </w:pPr>
      <w:hyperlink w:anchor="_Toc4275" w:history="1">
        <w:r>
          <w:rPr>
            <w:rFonts w:ascii="IRNazanin" w:hAnsi="IRNazanin" w:eastAsia="IRNazanin" w:cs="IRNazanin"/>
            <w:color w:val="111111"/>
            <w:sz w:val="22"/>
            <w:szCs w:val="22"/>
            <w:b w:val="0"/>
            <w:bCs w:val="0"/>
            <w:i w:val="0"/>
            <w:iCs w:val="0"/>
          </w:rPr>
          <w:t>شعسي ، محمّد بن محمّد</w:t>
        </w:r>
        <w:r>
          <w:tab/>
        </w:r>
        <w:r>
          <w:fldChar w:fldCharType="begin"/>
        </w:r>
        <w:r>
          <w:instrText xml:space="preserve">PAGEREF 4275 \h</w:instrText>
        </w:r>
        <w:r>
          <w:fldChar w:fldCharType="end"/>
        </w:r>
      </w:hyperlink>
    </w:p>
    <w:p>
      <w:pPr>
        <w:tabs>
          <w:tab w:val="right" w:leader="dot" w:pos="9062"/>
        </w:tabs>
        <w:ind w:left="220"/>
      </w:pPr>
      <w:hyperlink w:anchor="_Toc4276" w:history="1">
        <w:r>
          <w:rPr>
            <w:rFonts w:ascii="IRNazanin" w:hAnsi="IRNazanin" w:eastAsia="IRNazanin" w:cs="IRNazanin"/>
            <w:color w:val="111111"/>
            <w:sz w:val="22"/>
            <w:szCs w:val="22"/>
            <w:b w:val="0"/>
            <w:bCs w:val="0"/>
            <w:i w:val="0"/>
            <w:iCs w:val="0"/>
          </w:rPr>
          <w:t>شعيبي اسفرايني ، محمّد بن زنگي</w:t>
        </w:r>
        <w:r>
          <w:tab/>
        </w:r>
        <w:r>
          <w:fldChar w:fldCharType="begin"/>
        </w:r>
        <w:r>
          <w:instrText xml:space="preserve">PAGEREF 4276 \h</w:instrText>
        </w:r>
        <w:r>
          <w:fldChar w:fldCharType="end"/>
        </w:r>
      </w:hyperlink>
    </w:p>
    <w:p>
      <w:pPr>
        <w:tabs>
          <w:tab w:val="right" w:leader="dot" w:pos="9062"/>
        </w:tabs>
        <w:ind w:left="220"/>
      </w:pPr>
      <w:hyperlink w:anchor="_Toc4277" w:history="1">
        <w:r>
          <w:rPr>
            <w:rFonts w:ascii="IRNazanin" w:hAnsi="IRNazanin" w:eastAsia="IRNazanin" w:cs="IRNazanin"/>
            <w:color w:val="111111"/>
            <w:sz w:val="22"/>
            <w:szCs w:val="22"/>
            <w:b w:val="0"/>
            <w:bCs w:val="0"/>
            <w:i w:val="0"/>
            <w:iCs w:val="0"/>
          </w:rPr>
          <w:t>شعيري سبزواري، محمّد بن محمّد ، قرن</w:t>
        </w:r>
        <w:r>
          <w:tab/>
        </w:r>
        <w:r>
          <w:fldChar w:fldCharType="begin"/>
        </w:r>
        <w:r>
          <w:instrText xml:space="preserve">PAGEREF 4277 \h</w:instrText>
        </w:r>
        <w:r>
          <w:fldChar w:fldCharType="end"/>
        </w:r>
      </w:hyperlink>
    </w:p>
    <w:p>
      <w:pPr>
        <w:tabs>
          <w:tab w:val="right" w:leader="dot" w:pos="9062"/>
        </w:tabs>
        <w:ind w:left="220"/>
      </w:pPr>
      <w:hyperlink w:anchor="_Toc4278" w:history="1">
        <w:r>
          <w:rPr>
            <w:rFonts w:ascii="IRNazanin" w:hAnsi="IRNazanin" w:eastAsia="IRNazanin" w:cs="IRNazanin"/>
            <w:color w:val="111111"/>
            <w:sz w:val="22"/>
            <w:szCs w:val="22"/>
            <w:b w:val="0"/>
            <w:bCs w:val="0"/>
            <w:i w:val="0"/>
            <w:iCs w:val="0"/>
          </w:rPr>
          <w:t>شفائي ، مظفر بن محمّد - 963 ه-</w:t>
        </w:r>
        <w:r>
          <w:tab/>
        </w:r>
        <w:r>
          <w:fldChar w:fldCharType="begin"/>
        </w:r>
        <w:r>
          <w:instrText xml:space="preserve">PAGEREF 4278 \h</w:instrText>
        </w:r>
        <w:r>
          <w:fldChar w:fldCharType="end"/>
        </w:r>
      </w:hyperlink>
    </w:p>
    <w:p>
      <w:pPr>
        <w:tabs>
          <w:tab w:val="right" w:leader="dot" w:pos="9062"/>
        </w:tabs>
        <w:ind w:left="220"/>
      </w:pPr>
      <w:hyperlink w:anchor="_Toc4279" w:history="1">
        <w:r>
          <w:rPr>
            <w:rFonts w:ascii="IRNazanin" w:hAnsi="IRNazanin" w:eastAsia="IRNazanin" w:cs="IRNazanin"/>
            <w:color w:val="111111"/>
            <w:sz w:val="22"/>
            <w:szCs w:val="22"/>
            <w:b w:val="0"/>
            <w:bCs w:val="0"/>
            <w:i w:val="0"/>
            <w:iCs w:val="0"/>
          </w:rPr>
          <w:t>شفايي اصفهاني ، حسن بن محمّد حسين</w:t>
        </w:r>
        <w:r>
          <w:tab/>
        </w:r>
        <w:r>
          <w:fldChar w:fldCharType="begin"/>
        </w:r>
        <w:r>
          <w:instrText xml:space="preserve">PAGEREF 4279 \h</w:instrText>
        </w:r>
        <w:r>
          <w:fldChar w:fldCharType="end"/>
        </w:r>
      </w:hyperlink>
    </w:p>
    <w:p>
      <w:pPr>
        <w:tabs>
          <w:tab w:val="right" w:leader="dot" w:pos="9062"/>
        </w:tabs>
        <w:ind w:left="220"/>
      </w:pPr>
      <w:hyperlink w:anchor="_Toc4280" w:history="1">
        <w:r>
          <w:rPr>
            <w:rFonts w:ascii="IRNazanin" w:hAnsi="IRNazanin" w:eastAsia="IRNazanin" w:cs="IRNazanin"/>
            <w:color w:val="111111"/>
            <w:sz w:val="22"/>
            <w:szCs w:val="22"/>
            <w:b w:val="0"/>
            <w:bCs w:val="0"/>
            <w:i w:val="0"/>
            <w:iCs w:val="0"/>
          </w:rPr>
          <w:t>شفتي بيدآبادي ، محمّد باقر بن محمّد</w:t>
        </w:r>
        <w:r>
          <w:tab/>
        </w:r>
        <w:r>
          <w:fldChar w:fldCharType="begin"/>
        </w:r>
        <w:r>
          <w:instrText xml:space="preserve">PAGEREF 4280 \h</w:instrText>
        </w:r>
        <w:r>
          <w:fldChar w:fldCharType="end"/>
        </w:r>
      </w:hyperlink>
    </w:p>
    <w:p>
      <w:pPr>
        <w:tabs>
          <w:tab w:val="right" w:leader="dot" w:pos="9062"/>
        </w:tabs>
        <w:ind w:left="220"/>
      </w:pPr>
      <w:hyperlink w:anchor="_Toc4281" w:history="1">
        <w:r>
          <w:rPr>
            <w:rFonts w:ascii="IRNazanin" w:hAnsi="IRNazanin" w:eastAsia="IRNazanin" w:cs="IRNazanin"/>
            <w:color w:val="111111"/>
            <w:sz w:val="22"/>
            <w:szCs w:val="22"/>
            <w:b w:val="0"/>
            <w:bCs w:val="0"/>
            <w:i w:val="0"/>
            <w:iCs w:val="0"/>
          </w:rPr>
          <w:t>شفهيني ، علي</w:t>
        </w:r>
        <w:r>
          <w:tab/>
        </w:r>
        <w:r>
          <w:fldChar w:fldCharType="begin"/>
        </w:r>
        <w:r>
          <w:instrText xml:space="preserve">PAGEREF 4281 \h</w:instrText>
        </w:r>
        <w:r>
          <w:fldChar w:fldCharType="end"/>
        </w:r>
      </w:hyperlink>
    </w:p>
    <w:p>
      <w:pPr>
        <w:tabs>
          <w:tab w:val="right" w:leader="dot" w:pos="9062"/>
        </w:tabs>
        <w:ind w:left="220"/>
      </w:pPr>
      <w:hyperlink w:anchor="_Toc4282" w:history="1">
        <w:r>
          <w:rPr>
            <w:rFonts w:ascii="IRNazanin" w:hAnsi="IRNazanin" w:eastAsia="IRNazanin" w:cs="IRNazanin"/>
            <w:color w:val="111111"/>
            <w:sz w:val="22"/>
            <w:szCs w:val="22"/>
            <w:b w:val="0"/>
            <w:bCs w:val="0"/>
            <w:i w:val="0"/>
            <w:iCs w:val="0"/>
          </w:rPr>
          <w:t>شفوي ، ولد علي</w:t>
        </w:r>
        <w:r>
          <w:tab/>
        </w:r>
        <w:r>
          <w:fldChar w:fldCharType="begin"/>
        </w:r>
        <w:r>
          <w:instrText xml:space="preserve">PAGEREF 4282 \h</w:instrText>
        </w:r>
        <w:r>
          <w:fldChar w:fldCharType="end"/>
        </w:r>
      </w:hyperlink>
    </w:p>
    <w:p>
      <w:pPr>
        <w:tabs>
          <w:tab w:val="right" w:leader="dot" w:pos="9062"/>
        </w:tabs>
        <w:ind w:left="220"/>
      </w:pPr>
      <w:hyperlink w:anchor="_Toc4283" w:history="1">
        <w:r>
          <w:rPr>
            <w:rFonts w:ascii="IRNazanin" w:hAnsi="IRNazanin" w:eastAsia="IRNazanin" w:cs="IRNazanin"/>
            <w:color w:val="111111"/>
            <w:sz w:val="22"/>
            <w:szCs w:val="22"/>
            <w:b w:val="0"/>
            <w:bCs w:val="0"/>
            <w:i w:val="0"/>
            <w:iCs w:val="0"/>
          </w:rPr>
          <w:t>شقاق ، حسين بن احمد - 511 ه-</w:t>
        </w:r>
        <w:r>
          <w:tab/>
        </w:r>
        <w:r>
          <w:fldChar w:fldCharType="begin"/>
        </w:r>
        <w:r>
          <w:instrText xml:space="preserve">PAGEREF 4283 \h</w:instrText>
        </w:r>
        <w:r>
          <w:fldChar w:fldCharType="end"/>
        </w:r>
      </w:hyperlink>
    </w:p>
    <w:p>
      <w:pPr>
        <w:tabs>
          <w:tab w:val="right" w:leader="dot" w:pos="9062"/>
        </w:tabs>
        <w:ind w:left="220"/>
      </w:pPr>
      <w:hyperlink w:anchor="_Toc4284" w:history="1">
        <w:r>
          <w:rPr>
            <w:rFonts w:ascii="IRNazanin" w:hAnsi="IRNazanin" w:eastAsia="IRNazanin" w:cs="IRNazanin"/>
            <w:color w:val="111111"/>
            <w:sz w:val="22"/>
            <w:szCs w:val="22"/>
            <w:b w:val="0"/>
            <w:bCs w:val="0"/>
            <w:i w:val="0"/>
            <w:iCs w:val="0"/>
          </w:rPr>
          <w:t>شقراطسي ، يحيى بن علي - 415 ه-</w:t>
        </w:r>
        <w:r>
          <w:tab/>
        </w:r>
        <w:r>
          <w:fldChar w:fldCharType="begin"/>
        </w:r>
        <w:r>
          <w:instrText xml:space="preserve">PAGEREF 4284 \h</w:instrText>
        </w:r>
        <w:r>
          <w:fldChar w:fldCharType="end"/>
        </w:r>
      </w:hyperlink>
    </w:p>
    <w:p>
      <w:pPr>
        <w:tabs>
          <w:tab w:val="right" w:leader="dot" w:pos="9062"/>
        </w:tabs>
        <w:ind w:left="220"/>
      </w:pPr>
      <w:hyperlink w:anchor="_Toc4285" w:history="1">
        <w:r>
          <w:rPr>
            <w:rFonts w:ascii="IRNazanin" w:hAnsi="IRNazanin" w:eastAsia="IRNazanin" w:cs="IRNazanin"/>
            <w:color w:val="111111"/>
            <w:sz w:val="22"/>
            <w:szCs w:val="22"/>
            <w:b w:val="0"/>
            <w:bCs w:val="0"/>
            <w:i w:val="0"/>
            <w:iCs w:val="0"/>
          </w:rPr>
          <w:t>شقروه ، عبدالمؤمن بن هبة الله - 598</w:t>
        </w:r>
        <w:r>
          <w:tab/>
        </w:r>
        <w:r>
          <w:fldChar w:fldCharType="begin"/>
        </w:r>
        <w:r>
          <w:instrText xml:space="preserve">PAGEREF 4285 \h</w:instrText>
        </w:r>
        <w:r>
          <w:fldChar w:fldCharType="end"/>
        </w:r>
      </w:hyperlink>
    </w:p>
    <w:p>
      <w:pPr>
        <w:tabs>
          <w:tab w:val="right" w:leader="dot" w:pos="9062"/>
        </w:tabs>
        <w:ind w:left="220"/>
      </w:pPr>
      <w:hyperlink w:anchor="_Toc4286" w:history="1">
        <w:r>
          <w:rPr>
            <w:rFonts w:ascii="IRNazanin" w:hAnsi="IRNazanin" w:eastAsia="IRNazanin" w:cs="IRNazanin"/>
            <w:color w:val="111111"/>
            <w:sz w:val="22"/>
            <w:szCs w:val="22"/>
            <w:b w:val="0"/>
            <w:bCs w:val="0"/>
            <w:i w:val="0"/>
            <w:iCs w:val="0"/>
          </w:rPr>
          <w:t>شقصي ، عبدالله بن عمر</w:t>
        </w:r>
        <w:r>
          <w:tab/>
        </w:r>
        <w:r>
          <w:fldChar w:fldCharType="begin"/>
        </w:r>
        <w:r>
          <w:instrText xml:space="preserve">PAGEREF 4286 \h</w:instrText>
        </w:r>
        <w:r>
          <w:fldChar w:fldCharType="end"/>
        </w:r>
      </w:hyperlink>
    </w:p>
    <w:p>
      <w:pPr>
        <w:tabs>
          <w:tab w:val="right" w:leader="dot" w:pos="9062"/>
        </w:tabs>
        <w:ind w:left="220"/>
      </w:pPr>
      <w:hyperlink w:anchor="_Toc4287" w:history="1">
        <w:r>
          <w:rPr>
            <w:rFonts w:ascii="IRNazanin" w:hAnsi="IRNazanin" w:eastAsia="IRNazanin" w:cs="IRNazanin"/>
            <w:color w:val="111111"/>
            <w:sz w:val="22"/>
            <w:szCs w:val="22"/>
            <w:b w:val="0"/>
            <w:bCs w:val="0"/>
            <w:i w:val="0"/>
            <w:iCs w:val="0"/>
          </w:rPr>
          <w:t>شقيقي ، علي</w:t>
        </w:r>
        <w:r>
          <w:tab/>
        </w:r>
        <w:r>
          <w:fldChar w:fldCharType="begin"/>
        </w:r>
        <w:r>
          <w:instrText xml:space="preserve">PAGEREF 4287 \h</w:instrText>
        </w:r>
        <w:r>
          <w:fldChar w:fldCharType="end"/>
        </w:r>
      </w:hyperlink>
    </w:p>
    <w:p>
      <w:pPr>
        <w:tabs>
          <w:tab w:val="right" w:leader="dot" w:pos="9062"/>
        </w:tabs>
        <w:ind w:left="220"/>
      </w:pPr>
      <w:hyperlink w:anchor="_Toc4288" w:history="1">
        <w:r>
          <w:rPr>
            <w:rFonts w:ascii="IRNazanin" w:hAnsi="IRNazanin" w:eastAsia="IRNazanin" w:cs="IRNazanin"/>
            <w:color w:val="111111"/>
            <w:sz w:val="22"/>
            <w:szCs w:val="22"/>
            <w:b w:val="0"/>
            <w:bCs w:val="0"/>
            <w:i w:val="0"/>
            <w:iCs w:val="0"/>
          </w:rPr>
          <w:t>شقيقي يمني ، ابوالقاسم بن محمّد قرن 8ه-</w:t>
        </w:r>
        <w:r>
          <w:tab/>
        </w:r>
        <w:r>
          <w:fldChar w:fldCharType="begin"/>
        </w:r>
        <w:r>
          <w:instrText xml:space="preserve">PAGEREF 4288 \h</w:instrText>
        </w:r>
        <w:r>
          <w:fldChar w:fldCharType="end"/>
        </w:r>
      </w:hyperlink>
    </w:p>
    <w:p>
      <w:pPr>
        <w:tabs>
          <w:tab w:val="right" w:leader="dot" w:pos="9062"/>
        </w:tabs>
        <w:ind w:left="220"/>
      </w:pPr>
      <w:hyperlink w:anchor="_Toc4289" w:history="1">
        <w:r>
          <w:rPr>
            <w:rFonts w:ascii="IRNazanin" w:hAnsi="IRNazanin" w:eastAsia="IRNazanin" w:cs="IRNazanin"/>
            <w:color w:val="111111"/>
            <w:sz w:val="22"/>
            <w:szCs w:val="22"/>
            <w:b w:val="0"/>
            <w:bCs w:val="0"/>
            <w:i w:val="0"/>
            <w:iCs w:val="0"/>
          </w:rPr>
          <w:t>شکرزاده ، فيض الله بن مصطفى</w:t>
        </w:r>
        <w:r>
          <w:tab/>
        </w:r>
        <w:r>
          <w:fldChar w:fldCharType="begin"/>
        </w:r>
        <w:r>
          <w:instrText xml:space="preserve">PAGEREF 4289 \h</w:instrText>
        </w:r>
        <w:r>
          <w:fldChar w:fldCharType="end"/>
        </w:r>
      </w:hyperlink>
    </w:p>
    <w:p>
      <w:pPr>
        <w:tabs>
          <w:tab w:val="right" w:leader="dot" w:pos="9062"/>
        </w:tabs>
        <w:ind w:left="220"/>
      </w:pPr>
      <w:hyperlink w:anchor="_Toc4290" w:history="1">
        <w:r>
          <w:rPr>
            <w:rFonts w:ascii="IRNazanin" w:hAnsi="IRNazanin" w:eastAsia="IRNazanin" w:cs="IRNazanin"/>
            <w:color w:val="111111"/>
            <w:sz w:val="22"/>
            <w:szCs w:val="22"/>
            <w:b w:val="0"/>
            <w:bCs w:val="0"/>
            <w:i w:val="0"/>
            <w:iCs w:val="0"/>
          </w:rPr>
          <w:t>شکر ، عبدالحسين بن احمد</w:t>
        </w:r>
        <w:r>
          <w:tab/>
        </w:r>
        <w:r>
          <w:fldChar w:fldCharType="begin"/>
        </w:r>
        <w:r>
          <w:instrText xml:space="preserve">PAGEREF 4290 \h</w:instrText>
        </w:r>
        <w:r>
          <w:fldChar w:fldCharType="end"/>
        </w:r>
      </w:hyperlink>
    </w:p>
    <w:p>
      <w:pPr>
        <w:tabs>
          <w:tab w:val="right" w:leader="dot" w:pos="9062"/>
        </w:tabs>
        <w:ind w:left="220"/>
      </w:pPr>
      <w:hyperlink w:anchor="_Toc4291" w:history="1">
        <w:r>
          <w:rPr>
            <w:rFonts w:ascii="IRNazanin" w:hAnsi="IRNazanin" w:eastAsia="IRNazanin" w:cs="IRNazanin"/>
            <w:color w:val="111111"/>
            <w:sz w:val="22"/>
            <w:szCs w:val="22"/>
            <w:b w:val="0"/>
            <w:bCs w:val="0"/>
            <w:i w:val="0"/>
            <w:iCs w:val="0"/>
          </w:rPr>
          <w:t>شكري آلوسي ، محمود بن عبدالله 1275</w:t>
        </w:r>
        <w:r>
          <w:tab/>
        </w:r>
        <w:r>
          <w:fldChar w:fldCharType="begin"/>
        </w:r>
        <w:r>
          <w:instrText xml:space="preserve">PAGEREF 4291 \h</w:instrText>
        </w:r>
        <w:r>
          <w:fldChar w:fldCharType="end"/>
        </w:r>
      </w:hyperlink>
    </w:p>
    <w:p>
      <w:pPr>
        <w:tabs>
          <w:tab w:val="right" w:leader="dot" w:pos="9062"/>
        </w:tabs>
        <w:ind w:left="220"/>
      </w:pPr>
      <w:hyperlink w:anchor="_Toc4292" w:history="1">
        <w:r>
          <w:rPr>
            <w:rFonts w:ascii="IRNazanin" w:hAnsi="IRNazanin" w:eastAsia="IRNazanin" w:cs="IRNazanin"/>
            <w:color w:val="111111"/>
            <w:sz w:val="22"/>
            <w:szCs w:val="22"/>
            <w:b w:val="0"/>
            <w:bCs w:val="0"/>
            <w:i w:val="0"/>
            <w:iCs w:val="0"/>
          </w:rPr>
          <w:t>شكري ، احمد بن اسماعيل - 1317 ه-</w:t>
        </w:r>
        <w:r>
          <w:tab/>
        </w:r>
        <w:r>
          <w:fldChar w:fldCharType="begin"/>
        </w:r>
        <w:r>
          <w:instrText xml:space="preserve">PAGEREF 4292 \h</w:instrText>
        </w:r>
        <w:r>
          <w:fldChar w:fldCharType="end"/>
        </w:r>
      </w:hyperlink>
    </w:p>
    <w:p>
      <w:pPr>
        <w:tabs>
          <w:tab w:val="right" w:leader="dot" w:pos="9062"/>
        </w:tabs>
        <w:ind w:left="220"/>
      </w:pPr>
      <w:hyperlink w:anchor="_Toc4293" w:history="1">
        <w:r>
          <w:rPr>
            <w:rFonts w:ascii="IRNazanin" w:hAnsi="IRNazanin" w:eastAsia="IRNazanin" w:cs="IRNazanin"/>
            <w:color w:val="111111"/>
            <w:sz w:val="22"/>
            <w:szCs w:val="22"/>
            <w:b w:val="0"/>
            <w:bCs w:val="0"/>
            <w:i w:val="0"/>
            <w:iCs w:val="0"/>
          </w:rPr>
          <w:t>شكري ، عبدالله بن عبد الكريم قرن 13</w:t>
        </w:r>
        <w:r>
          <w:tab/>
        </w:r>
        <w:r>
          <w:fldChar w:fldCharType="begin"/>
        </w:r>
        <w:r>
          <w:instrText xml:space="preserve">PAGEREF 4293 \h</w:instrText>
        </w:r>
        <w:r>
          <w:fldChar w:fldCharType="end"/>
        </w:r>
      </w:hyperlink>
    </w:p>
    <w:p>
      <w:pPr>
        <w:tabs>
          <w:tab w:val="right" w:leader="dot" w:pos="9062"/>
        </w:tabs>
        <w:ind w:left="220"/>
      </w:pPr>
      <w:hyperlink w:anchor="_Toc4294" w:history="1">
        <w:r>
          <w:rPr>
            <w:rFonts w:ascii="IRNazanin" w:hAnsi="IRNazanin" w:eastAsia="IRNazanin" w:cs="IRNazanin"/>
            <w:color w:val="111111"/>
            <w:sz w:val="22"/>
            <w:szCs w:val="22"/>
            <w:b w:val="0"/>
            <w:bCs w:val="0"/>
            <w:i w:val="0"/>
            <w:iCs w:val="0"/>
          </w:rPr>
          <w:t>شليله همداني ، عبدالهادي بن كاظم قرن</w:t>
        </w:r>
        <w:r>
          <w:tab/>
        </w:r>
        <w:r>
          <w:fldChar w:fldCharType="begin"/>
        </w:r>
        <w:r>
          <w:instrText xml:space="preserve">PAGEREF 4294 \h</w:instrText>
        </w:r>
        <w:r>
          <w:fldChar w:fldCharType="end"/>
        </w:r>
      </w:hyperlink>
    </w:p>
    <w:p>
      <w:pPr>
        <w:tabs>
          <w:tab w:val="right" w:leader="dot" w:pos="9062"/>
        </w:tabs>
        <w:ind w:left="220"/>
      </w:pPr>
      <w:hyperlink w:anchor="_Toc4295" w:history="1">
        <w:r>
          <w:rPr>
            <w:rFonts w:ascii="IRNazanin" w:hAnsi="IRNazanin" w:eastAsia="IRNazanin" w:cs="IRNazanin"/>
            <w:color w:val="111111"/>
            <w:sz w:val="22"/>
            <w:szCs w:val="22"/>
            <w:b w:val="0"/>
            <w:bCs w:val="0"/>
            <w:i w:val="0"/>
            <w:iCs w:val="0"/>
          </w:rPr>
          <w:t>شماس عبدالله زاخر - 1742 م</w:t>
        </w:r>
        <w:r>
          <w:tab/>
        </w:r>
        <w:r>
          <w:fldChar w:fldCharType="begin"/>
        </w:r>
        <w:r>
          <w:instrText xml:space="preserve">PAGEREF 4295 \h</w:instrText>
        </w:r>
        <w:r>
          <w:fldChar w:fldCharType="end"/>
        </w:r>
      </w:hyperlink>
    </w:p>
    <w:p>
      <w:pPr>
        <w:tabs>
          <w:tab w:val="right" w:leader="dot" w:pos="9062"/>
        </w:tabs>
        <w:ind w:left="220"/>
      </w:pPr>
      <w:hyperlink w:anchor="_Toc4296" w:history="1">
        <w:r>
          <w:rPr>
            <w:rFonts w:ascii="IRNazanin" w:hAnsi="IRNazanin" w:eastAsia="IRNazanin" w:cs="IRNazanin"/>
            <w:color w:val="111111"/>
            <w:sz w:val="22"/>
            <w:szCs w:val="22"/>
            <w:b w:val="0"/>
            <w:bCs w:val="0"/>
            <w:i w:val="0"/>
            <w:iCs w:val="0"/>
          </w:rPr>
          <w:t>شماس ، عزيز بطرس قرن 20 م</w:t>
        </w:r>
        <w:r>
          <w:tab/>
        </w:r>
        <w:r>
          <w:fldChar w:fldCharType="begin"/>
        </w:r>
        <w:r>
          <w:instrText xml:space="preserve">PAGEREF 4296 \h</w:instrText>
        </w:r>
        <w:r>
          <w:fldChar w:fldCharType="end"/>
        </w:r>
      </w:hyperlink>
    </w:p>
    <w:p>
      <w:pPr>
        <w:tabs>
          <w:tab w:val="right" w:leader="dot" w:pos="9062"/>
        </w:tabs>
        <w:ind w:left="220"/>
      </w:pPr>
      <w:hyperlink w:anchor="_Toc4297" w:history="1">
        <w:r>
          <w:rPr>
            <w:rFonts w:ascii="IRNazanin" w:hAnsi="IRNazanin" w:eastAsia="IRNazanin" w:cs="IRNazanin"/>
            <w:color w:val="111111"/>
            <w:sz w:val="22"/>
            <w:szCs w:val="22"/>
            <w:b w:val="0"/>
            <w:bCs w:val="0"/>
            <w:i w:val="0"/>
            <w:iCs w:val="0"/>
          </w:rPr>
          <w:t>شمرناقي ، محمّد افندي</w:t>
        </w:r>
        <w:r>
          <w:tab/>
        </w:r>
        <w:r>
          <w:fldChar w:fldCharType="begin"/>
        </w:r>
        <w:r>
          <w:instrText xml:space="preserve">PAGEREF 4297 \h</w:instrText>
        </w:r>
        <w:r>
          <w:fldChar w:fldCharType="end"/>
        </w:r>
      </w:hyperlink>
    </w:p>
    <w:p>
      <w:pPr>
        <w:tabs>
          <w:tab w:val="right" w:leader="dot" w:pos="9062"/>
        </w:tabs>
        <w:ind w:left="220"/>
      </w:pPr>
      <w:hyperlink w:anchor="_Toc4298" w:history="1">
        <w:r>
          <w:rPr>
            <w:rFonts w:ascii="IRNazanin" w:hAnsi="IRNazanin" w:eastAsia="IRNazanin" w:cs="IRNazanin"/>
            <w:color w:val="111111"/>
            <w:sz w:val="22"/>
            <w:szCs w:val="22"/>
            <w:b w:val="0"/>
            <w:bCs w:val="0"/>
            <w:i w:val="0"/>
            <w:iCs w:val="0"/>
          </w:rPr>
          <w:t>شمس الائمه سرخسي ، محمّد بن احمد</w:t>
        </w:r>
        <w:r>
          <w:tab/>
        </w:r>
        <w:r>
          <w:fldChar w:fldCharType="begin"/>
        </w:r>
        <w:r>
          <w:instrText xml:space="preserve">PAGEREF 4298 \h</w:instrText>
        </w:r>
        <w:r>
          <w:fldChar w:fldCharType="end"/>
        </w:r>
      </w:hyperlink>
    </w:p>
    <w:p>
      <w:pPr>
        <w:tabs>
          <w:tab w:val="right" w:leader="dot" w:pos="9062"/>
        </w:tabs>
        <w:ind w:left="220"/>
      </w:pPr>
      <w:hyperlink w:anchor="_Toc4299" w:history="1">
        <w:r>
          <w:rPr>
            <w:rFonts w:ascii="IRNazanin" w:hAnsi="IRNazanin" w:eastAsia="IRNazanin" w:cs="IRNazanin"/>
            <w:color w:val="111111"/>
            <w:sz w:val="22"/>
            <w:szCs w:val="22"/>
            <w:b w:val="0"/>
            <w:bCs w:val="0"/>
            <w:i w:val="0"/>
            <w:iCs w:val="0"/>
          </w:rPr>
          <w:t>شمس الدين آملي ، محمّد بن محمود</w:t>
        </w:r>
        <w:r>
          <w:tab/>
        </w:r>
        <w:r>
          <w:fldChar w:fldCharType="begin"/>
        </w:r>
        <w:r>
          <w:instrText xml:space="preserve">PAGEREF 4299 \h</w:instrText>
        </w:r>
        <w:r>
          <w:fldChar w:fldCharType="end"/>
        </w:r>
      </w:hyperlink>
    </w:p>
    <w:p>
      <w:pPr>
        <w:tabs>
          <w:tab w:val="right" w:leader="dot" w:pos="9062"/>
        </w:tabs>
        <w:ind w:left="220"/>
      </w:pPr>
      <w:hyperlink w:anchor="_Toc4300" w:history="1">
        <w:r>
          <w:rPr>
            <w:rFonts w:ascii="IRNazanin" w:hAnsi="IRNazanin" w:eastAsia="IRNazanin" w:cs="IRNazanin"/>
            <w:color w:val="111111"/>
            <w:sz w:val="22"/>
            <w:szCs w:val="22"/>
            <w:b w:val="0"/>
            <w:bCs w:val="0"/>
            <w:i w:val="0"/>
            <w:iCs w:val="0"/>
          </w:rPr>
          <w:t>شمس الدين موصلي ، محمّد بن احمد</w:t>
        </w:r>
        <w:r>
          <w:tab/>
        </w:r>
        <w:r>
          <w:fldChar w:fldCharType="begin"/>
        </w:r>
        <w:r>
          <w:instrText xml:space="preserve">PAGEREF 4300 \h</w:instrText>
        </w:r>
        <w:r>
          <w:fldChar w:fldCharType="end"/>
        </w:r>
      </w:hyperlink>
    </w:p>
    <w:p>
      <w:pPr>
        <w:tabs>
          <w:tab w:val="right" w:leader="dot" w:pos="9062"/>
        </w:tabs>
        <w:ind w:left="220"/>
      </w:pPr>
      <w:hyperlink w:anchor="_Toc4301" w:history="1">
        <w:r>
          <w:rPr>
            <w:rFonts w:ascii="IRNazanin" w:hAnsi="IRNazanin" w:eastAsia="IRNazanin" w:cs="IRNazanin"/>
            <w:color w:val="111111"/>
            <w:sz w:val="22"/>
            <w:szCs w:val="22"/>
            <w:b w:val="0"/>
            <w:bCs w:val="0"/>
            <w:i w:val="0"/>
            <w:iCs w:val="0"/>
          </w:rPr>
          <w:t>شمس الفقهاء موسوي ، مهدي بن علي</w:t>
        </w:r>
        <w:r>
          <w:tab/>
        </w:r>
        <w:r>
          <w:fldChar w:fldCharType="begin"/>
        </w:r>
        <w:r>
          <w:instrText xml:space="preserve">PAGEREF 4301 \h</w:instrText>
        </w:r>
        <w:r>
          <w:fldChar w:fldCharType="end"/>
        </w:r>
      </w:hyperlink>
    </w:p>
    <w:p>
      <w:pPr>
        <w:tabs>
          <w:tab w:val="right" w:leader="dot" w:pos="9062"/>
        </w:tabs>
        <w:ind w:left="220"/>
      </w:pPr>
      <w:hyperlink w:anchor="_Toc4302" w:history="1">
        <w:r>
          <w:rPr>
            <w:rFonts w:ascii="IRNazanin" w:hAnsi="IRNazanin" w:eastAsia="IRNazanin" w:cs="IRNazanin"/>
            <w:color w:val="111111"/>
            <w:sz w:val="22"/>
            <w:szCs w:val="22"/>
            <w:b w:val="0"/>
            <w:bCs w:val="0"/>
            <w:i w:val="0"/>
            <w:iCs w:val="0"/>
          </w:rPr>
          <w:t>شمس تبريزي ، محمّد بن علي، 582؟ -</w:t>
        </w:r>
        <w:r>
          <w:tab/>
        </w:r>
        <w:r>
          <w:fldChar w:fldCharType="begin"/>
        </w:r>
        <w:r>
          <w:instrText xml:space="preserve">PAGEREF 4302 \h</w:instrText>
        </w:r>
        <w:r>
          <w:fldChar w:fldCharType="end"/>
        </w:r>
      </w:hyperlink>
    </w:p>
    <w:p>
      <w:pPr>
        <w:tabs>
          <w:tab w:val="right" w:leader="dot" w:pos="9062"/>
        </w:tabs>
        <w:ind w:left="220"/>
      </w:pPr>
      <w:hyperlink w:anchor="_Toc4303" w:history="1">
        <w:r>
          <w:rPr>
            <w:rFonts w:ascii="IRNazanin" w:hAnsi="IRNazanin" w:eastAsia="IRNazanin" w:cs="IRNazanin"/>
            <w:color w:val="111111"/>
            <w:sz w:val="22"/>
            <w:szCs w:val="22"/>
            <w:b w:val="0"/>
            <w:bCs w:val="0"/>
            <w:i w:val="0"/>
            <w:iCs w:val="0"/>
          </w:rPr>
          <w:t>شمشاطي ، علي بن محمّد - 380 ه-</w:t>
        </w:r>
        <w:r>
          <w:tab/>
        </w:r>
        <w:r>
          <w:fldChar w:fldCharType="begin"/>
        </w:r>
        <w:r>
          <w:instrText xml:space="preserve">PAGEREF 4303 \h</w:instrText>
        </w:r>
        <w:r>
          <w:fldChar w:fldCharType="end"/>
        </w:r>
      </w:hyperlink>
    </w:p>
    <w:p>
      <w:pPr>
        <w:tabs>
          <w:tab w:val="right" w:leader="dot" w:pos="9062"/>
        </w:tabs>
        <w:ind w:left="220"/>
      </w:pPr>
      <w:hyperlink w:anchor="_Toc4304" w:history="1">
        <w:r>
          <w:rPr>
            <w:rFonts w:ascii="IRNazanin" w:hAnsi="IRNazanin" w:eastAsia="IRNazanin" w:cs="IRNazanin"/>
            <w:color w:val="111111"/>
            <w:sz w:val="22"/>
            <w:szCs w:val="22"/>
            <w:b w:val="0"/>
            <w:bCs w:val="0"/>
            <w:i w:val="0"/>
            <w:iCs w:val="0"/>
          </w:rPr>
          <w:t>شمني ، محمّد بن محمّد، 766 - 821 ه-</w:t>
        </w:r>
        <w:r>
          <w:tab/>
        </w:r>
        <w:r>
          <w:fldChar w:fldCharType="begin"/>
        </w:r>
        <w:r>
          <w:instrText xml:space="preserve">PAGEREF 4304 \h</w:instrText>
        </w:r>
        <w:r>
          <w:fldChar w:fldCharType="end"/>
        </w:r>
      </w:hyperlink>
    </w:p>
    <w:p>
      <w:pPr>
        <w:tabs>
          <w:tab w:val="right" w:leader="dot" w:pos="9062"/>
        </w:tabs>
        <w:ind w:left="220"/>
      </w:pPr>
      <w:hyperlink w:anchor="_Toc4305" w:history="1">
        <w:r>
          <w:rPr>
            <w:rFonts w:ascii="IRNazanin" w:hAnsi="IRNazanin" w:eastAsia="IRNazanin" w:cs="IRNazanin"/>
            <w:color w:val="111111"/>
            <w:sz w:val="22"/>
            <w:szCs w:val="22"/>
            <w:b w:val="0"/>
            <w:bCs w:val="0"/>
            <w:i w:val="0"/>
            <w:iCs w:val="0"/>
          </w:rPr>
          <w:t>شناوي ، احمد بن علي، 975 - 1028 ه-</w:t>
        </w:r>
        <w:r>
          <w:tab/>
        </w:r>
        <w:r>
          <w:fldChar w:fldCharType="begin"/>
        </w:r>
        <w:r>
          <w:instrText xml:space="preserve">PAGEREF 4305 \h</w:instrText>
        </w:r>
        <w:r>
          <w:fldChar w:fldCharType="end"/>
        </w:r>
      </w:hyperlink>
    </w:p>
    <w:p>
      <w:pPr>
        <w:tabs>
          <w:tab w:val="right" w:leader="dot" w:pos="9062"/>
        </w:tabs>
        <w:ind w:left="220"/>
      </w:pPr>
      <w:hyperlink w:anchor="_Toc4306" w:history="1">
        <w:r>
          <w:rPr>
            <w:rFonts w:ascii="IRNazanin" w:hAnsi="IRNazanin" w:eastAsia="IRNazanin" w:cs="IRNazanin"/>
            <w:color w:val="111111"/>
            <w:sz w:val="22"/>
            <w:szCs w:val="22"/>
            <w:b w:val="0"/>
            <w:bCs w:val="0"/>
            <w:i w:val="0"/>
            <w:iCs w:val="0"/>
          </w:rPr>
          <w:t>شنشوري ، عبدالله بن محمّد، 935 - 999</w:t>
        </w:r>
        <w:r>
          <w:tab/>
        </w:r>
        <w:r>
          <w:fldChar w:fldCharType="begin"/>
        </w:r>
        <w:r>
          <w:instrText xml:space="preserve">PAGEREF 4306 \h</w:instrText>
        </w:r>
        <w:r>
          <w:fldChar w:fldCharType="end"/>
        </w:r>
      </w:hyperlink>
    </w:p>
    <w:p>
      <w:pPr>
        <w:tabs>
          <w:tab w:val="right" w:leader="dot" w:pos="9062"/>
        </w:tabs>
        <w:ind w:left="220"/>
      </w:pPr>
      <w:hyperlink w:anchor="_Toc4307" w:history="1">
        <w:r>
          <w:rPr>
            <w:rFonts w:ascii="IRNazanin" w:hAnsi="IRNazanin" w:eastAsia="IRNazanin" w:cs="IRNazanin"/>
            <w:color w:val="111111"/>
            <w:sz w:val="22"/>
            <w:szCs w:val="22"/>
            <w:b w:val="0"/>
            <w:bCs w:val="0"/>
            <w:i w:val="0"/>
            <w:iCs w:val="0"/>
          </w:rPr>
          <w:t>شنفري ، ثابت بن اوس - 510 م</w:t>
        </w:r>
        <w:r>
          <w:tab/>
        </w:r>
        <w:r>
          <w:fldChar w:fldCharType="begin"/>
        </w:r>
        <w:r>
          <w:instrText xml:space="preserve">PAGEREF 4307 \h</w:instrText>
        </w:r>
        <w:r>
          <w:fldChar w:fldCharType="end"/>
        </w:r>
      </w:hyperlink>
    </w:p>
    <w:p>
      <w:pPr>
        <w:tabs>
          <w:tab w:val="right" w:leader="dot" w:pos="9062"/>
        </w:tabs>
        <w:ind w:left="220"/>
      </w:pPr>
      <w:hyperlink w:anchor="_Toc4308" w:history="1">
        <w:r>
          <w:rPr>
            <w:rFonts w:ascii="IRNazanin" w:hAnsi="IRNazanin" w:eastAsia="IRNazanin" w:cs="IRNazanin"/>
            <w:color w:val="111111"/>
            <w:sz w:val="22"/>
            <w:szCs w:val="22"/>
            <w:b w:val="0"/>
            <w:bCs w:val="0"/>
            <w:i w:val="0"/>
            <w:iCs w:val="0"/>
          </w:rPr>
          <w:t>شنقيطي ، احمد، 1872 - 1913 م</w:t>
        </w:r>
        <w:r>
          <w:tab/>
        </w:r>
        <w:r>
          <w:fldChar w:fldCharType="begin"/>
        </w:r>
        <w:r>
          <w:instrText xml:space="preserve">PAGEREF 4308 \h</w:instrText>
        </w:r>
        <w:r>
          <w:fldChar w:fldCharType="end"/>
        </w:r>
      </w:hyperlink>
    </w:p>
    <w:p>
      <w:pPr>
        <w:tabs>
          <w:tab w:val="right" w:leader="dot" w:pos="9062"/>
        </w:tabs>
        <w:ind w:left="220"/>
      </w:pPr>
      <w:hyperlink w:anchor="_Toc4309" w:history="1">
        <w:r>
          <w:rPr>
            <w:rFonts w:ascii="IRNazanin" w:hAnsi="IRNazanin" w:eastAsia="IRNazanin" w:cs="IRNazanin"/>
            <w:color w:val="111111"/>
            <w:sz w:val="22"/>
            <w:szCs w:val="22"/>
            <w:b w:val="0"/>
            <w:bCs w:val="0"/>
            <w:i w:val="0"/>
            <w:iCs w:val="0"/>
          </w:rPr>
          <w:t>شنقيطي ، محمّد محمود بن احمد</w:t>
        </w:r>
        <w:r>
          <w:tab/>
        </w:r>
        <w:r>
          <w:fldChar w:fldCharType="begin"/>
        </w:r>
        <w:r>
          <w:instrText xml:space="preserve">PAGEREF 4309 \h</w:instrText>
        </w:r>
        <w:r>
          <w:fldChar w:fldCharType="end"/>
        </w:r>
      </w:hyperlink>
    </w:p>
    <w:p>
      <w:pPr>
        <w:tabs>
          <w:tab w:val="right" w:leader="dot" w:pos="9062"/>
        </w:tabs>
        <w:ind w:left="220"/>
      </w:pPr>
      <w:hyperlink w:anchor="_Toc4310" w:history="1">
        <w:r>
          <w:rPr>
            <w:rFonts w:ascii="IRNazanin" w:hAnsi="IRNazanin" w:eastAsia="IRNazanin" w:cs="IRNazanin"/>
            <w:color w:val="111111"/>
            <w:sz w:val="22"/>
            <w:szCs w:val="22"/>
            <w:b w:val="0"/>
            <w:bCs w:val="0"/>
            <w:i w:val="0"/>
            <w:iCs w:val="0"/>
          </w:rPr>
          <w:t>شنواني ، ابوبكر بن اسماعیل 959 - 1019</w:t>
        </w:r>
        <w:r>
          <w:tab/>
        </w:r>
        <w:r>
          <w:fldChar w:fldCharType="begin"/>
        </w:r>
        <w:r>
          <w:instrText xml:space="preserve">PAGEREF 4310 \h</w:instrText>
        </w:r>
        <w:r>
          <w:fldChar w:fldCharType="end"/>
        </w:r>
      </w:hyperlink>
    </w:p>
    <w:p>
      <w:pPr>
        <w:tabs>
          <w:tab w:val="right" w:leader="dot" w:pos="9062"/>
        </w:tabs>
        <w:ind w:left="220"/>
      </w:pPr>
      <w:hyperlink w:anchor="_Toc4311" w:history="1">
        <w:r>
          <w:rPr>
            <w:rFonts w:ascii="IRNazanin" w:hAnsi="IRNazanin" w:eastAsia="IRNazanin" w:cs="IRNazanin"/>
            <w:color w:val="111111"/>
            <w:sz w:val="22"/>
            <w:szCs w:val="22"/>
            <w:b w:val="0"/>
            <w:bCs w:val="0"/>
            <w:i w:val="0"/>
            <w:iCs w:val="0"/>
          </w:rPr>
          <w:t>شنواني، اسماعيل بن عمر - 1019ه-</w:t>
        </w:r>
        <w:r>
          <w:tab/>
        </w:r>
        <w:r>
          <w:fldChar w:fldCharType="begin"/>
        </w:r>
        <w:r>
          <w:instrText xml:space="preserve">PAGEREF 4311 \h</w:instrText>
        </w:r>
        <w:r>
          <w:fldChar w:fldCharType="end"/>
        </w:r>
      </w:hyperlink>
    </w:p>
    <w:p>
      <w:pPr>
        <w:tabs>
          <w:tab w:val="right" w:leader="dot" w:pos="9062"/>
        </w:tabs>
        <w:ind w:left="220"/>
      </w:pPr>
      <w:hyperlink w:anchor="_Toc4312" w:history="1">
        <w:r>
          <w:rPr>
            <w:rFonts w:ascii="IRNazanin" w:hAnsi="IRNazanin" w:eastAsia="IRNazanin" w:cs="IRNazanin"/>
            <w:color w:val="111111"/>
            <w:sz w:val="22"/>
            <w:szCs w:val="22"/>
            <w:b w:val="0"/>
            <w:bCs w:val="0"/>
            <w:i w:val="0"/>
            <w:iCs w:val="0"/>
          </w:rPr>
          <w:t>شنواني ، عبدالغني بن علي</w:t>
        </w:r>
        <w:r>
          <w:tab/>
        </w:r>
        <w:r>
          <w:fldChar w:fldCharType="begin"/>
        </w:r>
        <w:r>
          <w:instrText xml:space="preserve">PAGEREF 4312 \h</w:instrText>
        </w:r>
        <w:r>
          <w:fldChar w:fldCharType="end"/>
        </w:r>
      </w:hyperlink>
    </w:p>
    <w:p>
      <w:pPr>
        <w:tabs>
          <w:tab w:val="right" w:leader="dot" w:pos="9062"/>
        </w:tabs>
        <w:ind w:left="220"/>
      </w:pPr>
      <w:hyperlink w:anchor="_Toc4313" w:history="1">
        <w:r>
          <w:rPr>
            <w:rFonts w:ascii="IRNazanin" w:hAnsi="IRNazanin" w:eastAsia="IRNazanin" w:cs="IRNazanin"/>
            <w:color w:val="111111"/>
            <w:sz w:val="22"/>
            <w:szCs w:val="22"/>
            <w:b w:val="0"/>
            <w:bCs w:val="0"/>
            <w:i w:val="0"/>
            <w:iCs w:val="0"/>
          </w:rPr>
          <w:t>شنواني ، علي ابوالصفا</w:t>
        </w:r>
        <w:r>
          <w:tab/>
        </w:r>
        <w:r>
          <w:fldChar w:fldCharType="begin"/>
        </w:r>
        <w:r>
          <w:instrText xml:space="preserve">PAGEREF 4313 \h</w:instrText>
        </w:r>
        <w:r>
          <w:fldChar w:fldCharType="end"/>
        </w:r>
      </w:hyperlink>
    </w:p>
    <w:p>
      <w:pPr>
        <w:tabs>
          <w:tab w:val="right" w:leader="dot" w:pos="9062"/>
        </w:tabs>
        <w:ind w:left="220"/>
      </w:pPr>
      <w:hyperlink w:anchor="_Toc4314" w:history="1">
        <w:r>
          <w:rPr>
            <w:rFonts w:ascii="IRNazanin" w:hAnsi="IRNazanin" w:eastAsia="IRNazanin" w:cs="IRNazanin"/>
            <w:color w:val="111111"/>
            <w:sz w:val="22"/>
            <w:szCs w:val="22"/>
            <w:b w:val="0"/>
            <w:bCs w:val="0"/>
            <w:i w:val="0"/>
            <w:iCs w:val="0"/>
          </w:rPr>
          <w:t>شنواني ، محمّد بن علي، - 1233 ه-</w:t>
        </w:r>
        <w:r>
          <w:tab/>
        </w:r>
        <w:r>
          <w:fldChar w:fldCharType="begin"/>
        </w:r>
        <w:r>
          <w:instrText xml:space="preserve">PAGEREF 4314 \h</w:instrText>
        </w:r>
        <w:r>
          <w:fldChar w:fldCharType="end"/>
        </w:r>
      </w:hyperlink>
    </w:p>
    <w:p>
      <w:pPr>
        <w:tabs>
          <w:tab w:val="right" w:leader="dot" w:pos="9062"/>
        </w:tabs>
        <w:ind w:left="220"/>
      </w:pPr>
      <w:hyperlink w:anchor="_Toc4315" w:history="1">
        <w:r>
          <w:rPr>
            <w:rFonts w:ascii="IRNazanin" w:hAnsi="IRNazanin" w:eastAsia="IRNazanin" w:cs="IRNazanin"/>
            <w:color w:val="111111"/>
            <w:sz w:val="22"/>
            <w:szCs w:val="22"/>
            <w:b w:val="0"/>
            <w:bCs w:val="0"/>
            <w:i w:val="0"/>
            <w:iCs w:val="0"/>
          </w:rPr>
          <w:t>شهاب الدین احمد بن بنت المثلق</w:t>
        </w:r>
        <w:r>
          <w:tab/>
        </w:r>
        <w:r>
          <w:fldChar w:fldCharType="begin"/>
        </w:r>
        <w:r>
          <w:instrText xml:space="preserve">PAGEREF 4315 \h</w:instrText>
        </w:r>
        <w:r>
          <w:fldChar w:fldCharType="end"/>
        </w:r>
      </w:hyperlink>
    </w:p>
    <w:p>
      <w:pPr>
        <w:tabs>
          <w:tab w:val="right" w:leader="dot" w:pos="9062"/>
        </w:tabs>
        <w:ind w:left="220"/>
      </w:pPr>
      <w:hyperlink w:anchor="_Toc4316" w:history="1">
        <w:r>
          <w:rPr>
            <w:rFonts w:ascii="IRNazanin" w:hAnsi="IRNazanin" w:eastAsia="IRNazanin" w:cs="IRNazanin"/>
            <w:color w:val="111111"/>
            <w:sz w:val="22"/>
            <w:szCs w:val="22"/>
            <w:b w:val="0"/>
            <w:bCs w:val="0"/>
            <w:i w:val="0"/>
            <w:iCs w:val="0"/>
          </w:rPr>
          <w:t>شهاب الدين اصفهاني ، احمد بن حسين</w:t>
        </w:r>
        <w:r>
          <w:tab/>
        </w:r>
        <w:r>
          <w:fldChar w:fldCharType="begin"/>
        </w:r>
        <w:r>
          <w:instrText xml:space="preserve">PAGEREF 4316 \h</w:instrText>
        </w:r>
        <w:r>
          <w:fldChar w:fldCharType="end"/>
        </w:r>
      </w:hyperlink>
    </w:p>
    <w:p>
      <w:pPr>
        <w:tabs>
          <w:tab w:val="right" w:leader="dot" w:pos="9062"/>
        </w:tabs>
        <w:ind w:left="220"/>
      </w:pPr>
      <w:hyperlink w:anchor="_Toc4317" w:history="1">
        <w:r>
          <w:rPr>
            <w:rFonts w:ascii="IRNazanin" w:hAnsi="IRNazanin" w:eastAsia="IRNazanin" w:cs="IRNazanin"/>
            <w:color w:val="111111"/>
            <w:sz w:val="22"/>
            <w:szCs w:val="22"/>
            <w:b w:val="0"/>
            <w:bCs w:val="0"/>
            <w:i w:val="0"/>
            <w:iCs w:val="0"/>
          </w:rPr>
          <w:t>شهاب الدين بجائي ، احمد بن علي 737 ه-</w:t>
        </w:r>
        <w:r>
          <w:tab/>
        </w:r>
        <w:r>
          <w:fldChar w:fldCharType="begin"/>
        </w:r>
        <w:r>
          <w:instrText xml:space="preserve">PAGEREF 4317 \h</w:instrText>
        </w:r>
        <w:r>
          <w:fldChar w:fldCharType="end"/>
        </w:r>
      </w:hyperlink>
    </w:p>
    <w:p>
      <w:pPr>
        <w:tabs>
          <w:tab w:val="right" w:leader="dot" w:pos="9062"/>
        </w:tabs>
        <w:ind w:left="220"/>
      </w:pPr>
      <w:hyperlink w:anchor="_Toc4318" w:history="1">
        <w:r>
          <w:rPr>
            <w:rFonts w:ascii="IRNazanin" w:hAnsi="IRNazanin" w:eastAsia="IRNazanin" w:cs="IRNazanin"/>
            <w:color w:val="111111"/>
            <w:sz w:val="22"/>
            <w:szCs w:val="22"/>
            <w:b w:val="0"/>
            <w:bCs w:val="0"/>
            <w:i w:val="0"/>
            <w:iCs w:val="0"/>
          </w:rPr>
          <w:t>شهاب الدین ، محمّد بن احمد بن محمود</w:t>
        </w:r>
        <w:r>
          <w:tab/>
        </w:r>
        <w:r>
          <w:fldChar w:fldCharType="begin"/>
        </w:r>
        <w:r>
          <w:instrText xml:space="preserve">PAGEREF 4318 \h</w:instrText>
        </w:r>
        <w:r>
          <w:fldChar w:fldCharType="end"/>
        </w:r>
      </w:hyperlink>
    </w:p>
    <w:p>
      <w:pPr>
        <w:tabs>
          <w:tab w:val="right" w:leader="dot" w:pos="9062"/>
        </w:tabs>
        <w:ind w:left="220"/>
      </w:pPr>
      <w:hyperlink w:anchor="_Toc4319" w:history="1">
        <w:r>
          <w:rPr>
            <w:rFonts w:ascii="IRNazanin" w:hAnsi="IRNazanin" w:eastAsia="IRNazanin" w:cs="IRNazanin"/>
            <w:color w:val="111111"/>
            <w:sz w:val="22"/>
            <w:szCs w:val="22"/>
            <w:b w:val="0"/>
            <w:bCs w:val="0"/>
            <w:i w:val="0"/>
            <w:iCs w:val="0"/>
          </w:rPr>
          <w:t>شهاب الدين ملاوي ، احمد</w:t>
        </w:r>
        <w:r>
          <w:tab/>
        </w:r>
        <w:r>
          <w:fldChar w:fldCharType="begin"/>
        </w:r>
        <w:r>
          <w:instrText xml:space="preserve">PAGEREF 4319 \h</w:instrText>
        </w:r>
        <w:r>
          <w:fldChar w:fldCharType="end"/>
        </w:r>
      </w:hyperlink>
    </w:p>
    <w:p>
      <w:pPr>
        <w:tabs>
          <w:tab w:val="right" w:leader="dot" w:pos="9062"/>
        </w:tabs>
        <w:ind w:left="220"/>
      </w:pPr>
      <w:hyperlink w:anchor="_Toc4320" w:history="1">
        <w:r>
          <w:rPr>
            <w:rFonts w:ascii="IRNazanin" w:hAnsi="IRNazanin" w:eastAsia="IRNazanin" w:cs="IRNazanin"/>
            <w:color w:val="111111"/>
            <w:sz w:val="22"/>
            <w:szCs w:val="22"/>
            <w:b w:val="0"/>
            <w:bCs w:val="0"/>
            <w:i w:val="0"/>
            <w:iCs w:val="0"/>
          </w:rPr>
          <w:t>شهاب ، محمّد</w:t>
        </w:r>
        <w:r>
          <w:tab/>
        </w:r>
        <w:r>
          <w:fldChar w:fldCharType="begin"/>
        </w:r>
        <w:r>
          <w:instrText xml:space="preserve">PAGEREF 4320 \h</w:instrText>
        </w:r>
        <w:r>
          <w:fldChar w:fldCharType="end"/>
        </w:r>
      </w:hyperlink>
    </w:p>
    <w:p>
      <w:pPr>
        <w:tabs>
          <w:tab w:val="right" w:leader="dot" w:pos="9062"/>
        </w:tabs>
        <w:ind w:left="220"/>
      </w:pPr>
      <w:hyperlink w:anchor="_Toc4321" w:history="1">
        <w:r>
          <w:rPr>
            <w:rFonts w:ascii="IRNazanin" w:hAnsi="IRNazanin" w:eastAsia="IRNazanin" w:cs="IRNazanin"/>
            <w:color w:val="111111"/>
            <w:sz w:val="22"/>
            <w:szCs w:val="22"/>
            <w:b w:val="0"/>
            <w:bCs w:val="0"/>
            <w:i w:val="0"/>
            <w:iCs w:val="0"/>
          </w:rPr>
          <w:t>شهابي ، ابن عبدالله</w:t>
        </w:r>
        <w:r>
          <w:tab/>
        </w:r>
        <w:r>
          <w:fldChar w:fldCharType="begin"/>
        </w:r>
        <w:r>
          <w:instrText xml:space="preserve">PAGEREF 4321 \h</w:instrText>
        </w:r>
        <w:r>
          <w:fldChar w:fldCharType="end"/>
        </w:r>
      </w:hyperlink>
    </w:p>
    <w:p>
      <w:pPr>
        <w:tabs>
          <w:tab w:val="right" w:leader="dot" w:pos="9062"/>
        </w:tabs>
        <w:ind w:left="220"/>
      </w:pPr>
      <w:hyperlink w:anchor="_Toc4322" w:history="1">
        <w:r>
          <w:rPr>
            <w:rFonts w:ascii="IRNazanin" w:hAnsi="IRNazanin" w:eastAsia="IRNazanin" w:cs="IRNazanin"/>
            <w:color w:val="111111"/>
            <w:sz w:val="22"/>
            <w:szCs w:val="22"/>
            <w:b w:val="0"/>
            <w:bCs w:val="0"/>
            <w:i w:val="0"/>
            <w:iCs w:val="0"/>
          </w:rPr>
          <w:t>شهابي ، محمّد ، محمّد ولي بن مير محمّد</w:t>
        </w:r>
        <w:r>
          <w:tab/>
        </w:r>
        <w:r>
          <w:fldChar w:fldCharType="begin"/>
        </w:r>
        <w:r>
          <w:instrText xml:space="preserve">PAGEREF 4322 \h</w:instrText>
        </w:r>
        <w:r>
          <w:fldChar w:fldCharType="end"/>
        </w:r>
      </w:hyperlink>
    </w:p>
    <w:p>
      <w:pPr>
        <w:tabs>
          <w:tab w:val="right" w:leader="dot" w:pos="9062"/>
        </w:tabs>
        <w:ind w:left="220"/>
      </w:pPr>
      <w:hyperlink w:anchor="_Toc4323" w:history="1">
        <w:r>
          <w:rPr>
            <w:rFonts w:ascii="IRNazanin" w:hAnsi="IRNazanin" w:eastAsia="IRNazanin" w:cs="IRNazanin"/>
            <w:color w:val="111111"/>
            <w:sz w:val="22"/>
            <w:szCs w:val="22"/>
            <w:b w:val="0"/>
            <w:bCs w:val="0"/>
            <w:i w:val="0"/>
            <w:iCs w:val="0"/>
          </w:rPr>
          <w:t>شهراني، ابراهيم، قرن 13 ه-</w:t>
        </w:r>
        <w:r>
          <w:tab/>
        </w:r>
        <w:r>
          <w:fldChar w:fldCharType="begin"/>
        </w:r>
        <w:r>
          <w:instrText xml:space="preserve">PAGEREF 4323 \h</w:instrText>
        </w:r>
        <w:r>
          <w:fldChar w:fldCharType="end"/>
        </w:r>
      </w:hyperlink>
    </w:p>
    <w:p>
      <w:pPr>
        <w:tabs>
          <w:tab w:val="right" w:leader="dot" w:pos="9062"/>
        </w:tabs>
        <w:ind w:left="220"/>
      </w:pPr>
      <w:hyperlink w:anchor="_Toc4324" w:history="1">
        <w:r>
          <w:rPr>
            <w:rFonts w:ascii="IRNazanin" w:hAnsi="IRNazanin" w:eastAsia="IRNazanin" w:cs="IRNazanin"/>
            <w:color w:val="111111"/>
            <w:sz w:val="22"/>
            <w:szCs w:val="22"/>
            <w:b w:val="0"/>
            <w:bCs w:val="0"/>
            <w:i w:val="0"/>
            <w:iCs w:val="0"/>
          </w:rPr>
          <w:t>شهرزوري ، حسن بن هداية الله - 1014</w:t>
        </w:r>
        <w:r>
          <w:tab/>
        </w:r>
        <w:r>
          <w:fldChar w:fldCharType="begin"/>
        </w:r>
        <w:r>
          <w:instrText xml:space="preserve">PAGEREF 4324 \h</w:instrText>
        </w:r>
        <w:r>
          <w:fldChar w:fldCharType="end"/>
        </w:r>
      </w:hyperlink>
    </w:p>
    <w:p>
      <w:pPr>
        <w:tabs>
          <w:tab w:val="right" w:leader="dot" w:pos="9062"/>
        </w:tabs>
        <w:ind w:left="220"/>
      </w:pPr>
      <w:hyperlink w:anchor="_Toc4325" w:history="1">
        <w:r>
          <w:rPr>
            <w:rFonts w:ascii="IRNazanin" w:hAnsi="IRNazanin" w:eastAsia="IRNazanin" w:cs="IRNazanin"/>
            <w:color w:val="111111"/>
            <w:sz w:val="22"/>
            <w:szCs w:val="22"/>
            <w:b w:val="0"/>
            <w:bCs w:val="0"/>
            <w:i w:val="0"/>
            <w:iCs w:val="0"/>
          </w:rPr>
          <w:t>شهرزوري ، خالد بن حسين، 1193؟ -</w:t>
        </w:r>
        <w:r>
          <w:tab/>
        </w:r>
        <w:r>
          <w:fldChar w:fldCharType="begin"/>
        </w:r>
        <w:r>
          <w:instrText xml:space="preserve">PAGEREF 4325 \h</w:instrText>
        </w:r>
        <w:r>
          <w:fldChar w:fldCharType="end"/>
        </w:r>
      </w:hyperlink>
    </w:p>
    <w:p>
      <w:pPr>
        <w:tabs>
          <w:tab w:val="right" w:leader="dot" w:pos="9062"/>
        </w:tabs>
        <w:ind w:left="220"/>
      </w:pPr>
      <w:hyperlink w:anchor="_Toc4326" w:history="1">
        <w:r>
          <w:rPr>
            <w:rFonts w:ascii="IRNazanin" w:hAnsi="IRNazanin" w:eastAsia="IRNazanin" w:cs="IRNazanin"/>
            <w:color w:val="111111"/>
            <w:sz w:val="22"/>
            <w:szCs w:val="22"/>
            <w:b w:val="0"/>
            <w:bCs w:val="0"/>
            <w:i w:val="0"/>
            <w:iCs w:val="0"/>
          </w:rPr>
          <w:t>شهرزوري ، صبغة الله - 1192 ه-</w:t>
        </w:r>
        <w:r>
          <w:tab/>
        </w:r>
        <w:r>
          <w:fldChar w:fldCharType="begin"/>
        </w:r>
        <w:r>
          <w:instrText xml:space="preserve">PAGEREF 4326 \h</w:instrText>
        </w:r>
        <w:r>
          <w:fldChar w:fldCharType="end"/>
        </w:r>
      </w:hyperlink>
    </w:p>
    <w:p>
      <w:pPr>
        <w:tabs>
          <w:tab w:val="right" w:leader="dot" w:pos="9062"/>
        </w:tabs>
        <w:ind w:left="220"/>
      </w:pPr>
      <w:hyperlink w:anchor="_Toc4327" w:history="1">
        <w:r>
          <w:rPr>
            <w:rFonts w:ascii="IRNazanin" w:hAnsi="IRNazanin" w:eastAsia="IRNazanin" w:cs="IRNazanin"/>
            <w:color w:val="111111"/>
            <w:sz w:val="22"/>
            <w:szCs w:val="22"/>
            <w:b w:val="0"/>
            <w:bCs w:val="0"/>
            <w:i w:val="0"/>
            <w:iCs w:val="0"/>
          </w:rPr>
          <w:t>شهرزوري ، عبدالله بن قاسم، - 510 ه-</w:t>
        </w:r>
        <w:r>
          <w:tab/>
        </w:r>
        <w:r>
          <w:fldChar w:fldCharType="begin"/>
        </w:r>
        <w:r>
          <w:instrText xml:space="preserve">PAGEREF 4327 \h</w:instrText>
        </w:r>
        <w:r>
          <w:fldChar w:fldCharType="end"/>
        </w:r>
      </w:hyperlink>
    </w:p>
    <w:p>
      <w:pPr>
        <w:tabs>
          <w:tab w:val="right" w:leader="dot" w:pos="9062"/>
        </w:tabs>
        <w:ind w:left="220"/>
      </w:pPr>
      <w:hyperlink w:anchor="_Toc4328" w:history="1">
        <w:r>
          <w:rPr>
            <w:rFonts w:ascii="IRNazanin" w:hAnsi="IRNazanin" w:eastAsia="IRNazanin" w:cs="IRNazanin"/>
            <w:color w:val="111111"/>
            <w:sz w:val="22"/>
            <w:szCs w:val="22"/>
            <w:b w:val="0"/>
            <w:bCs w:val="0"/>
            <w:i w:val="0"/>
            <w:iCs w:val="0"/>
          </w:rPr>
          <w:t>شهرزوري ، محمّد بن محمود ، قرن 7 ه-</w:t>
        </w:r>
        <w:r>
          <w:tab/>
        </w:r>
        <w:r>
          <w:fldChar w:fldCharType="begin"/>
        </w:r>
        <w:r>
          <w:instrText xml:space="preserve">PAGEREF 4328 \h</w:instrText>
        </w:r>
        <w:r>
          <w:fldChar w:fldCharType="end"/>
        </w:r>
      </w:hyperlink>
    </w:p>
    <w:p>
      <w:pPr>
        <w:tabs>
          <w:tab w:val="right" w:leader="dot" w:pos="9062"/>
        </w:tabs>
        <w:ind w:left="220"/>
      </w:pPr>
      <w:hyperlink w:anchor="_Toc4329" w:history="1">
        <w:r>
          <w:rPr>
            <w:rFonts w:ascii="IRNazanin" w:hAnsi="IRNazanin" w:eastAsia="IRNazanin" w:cs="IRNazanin"/>
            <w:color w:val="111111"/>
            <w:sz w:val="22"/>
            <w:szCs w:val="22"/>
            <w:b w:val="0"/>
            <w:bCs w:val="0"/>
            <w:i w:val="0"/>
            <w:iCs w:val="0"/>
          </w:rPr>
          <w:t>شهرستاني ، صالح بن ابراهيم 1325 -</w:t>
        </w:r>
        <w:r>
          <w:tab/>
        </w:r>
        <w:r>
          <w:fldChar w:fldCharType="begin"/>
        </w:r>
        <w:r>
          <w:instrText xml:space="preserve">PAGEREF 4329 \h</w:instrText>
        </w:r>
        <w:r>
          <w:fldChar w:fldCharType="end"/>
        </w:r>
      </w:hyperlink>
    </w:p>
    <w:p>
      <w:pPr>
        <w:tabs>
          <w:tab w:val="right" w:leader="dot" w:pos="9062"/>
        </w:tabs>
        <w:ind w:left="220"/>
      </w:pPr>
      <w:hyperlink w:anchor="_Toc4330" w:history="1">
        <w:r>
          <w:rPr>
            <w:rFonts w:ascii="IRNazanin" w:hAnsi="IRNazanin" w:eastAsia="IRNazanin" w:cs="IRNazanin"/>
            <w:color w:val="111111"/>
            <w:sz w:val="22"/>
            <w:szCs w:val="22"/>
            <w:b w:val="0"/>
            <w:bCs w:val="0"/>
            <w:i w:val="0"/>
            <w:iCs w:val="0"/>
          </w:rPr>
          <w:t>شهرستاني ، عبد الرضا بن زين العابدين</w:t>
        </w:r>
        <w:r>
          <w:tab/>
        </w:r>
        <w:r>
          <w:fldChar w:fldCharType="begin"/>
        </w:r>
        <w:r>
          <w:instrText xml:space="preserve">PAGEREF 4330 \h</w:instrText>
        </w:r>
        <w:r>
          <w:fldChar w:fldCharType="end"/>
        </w:r>
      </w:hyperlink>
    </w:p>
    <w:p>
      <w:pPr>
        <w:tabs>
          <w:tab w:val="right" w:leader="dot" w:pos="9062"/>
        </w:tabs>
        <w:ind w:left="220"/>
      </w:pPr>
      <w:hyperlink w:anchor="_Toc4331" w:history="1">
        <w:r>
          <w:rPr>
            <w:rFonts w:ascii="IRNazanin" w:hAnsi="IRNazanin" w:eastAsia="IRNazanin" w:cs="IRNazanin"/>
            <w:color w:val="111111"/>
            <w:sz w:val="22"/>
            <w:szCs w:val="22"/>
            <w:b w:val="0"/>
            <w:bCs w:val="0"/>
            <w:i w:val="0"/>
            <w:iCs w:val="0"/>
          </w:rPr>
          <w:t>شهرستاني، فتح الله بن احمد، قرن 10 ه-</w:t>
        </w:r>
        <w:r>
          <w:tab/>
        </w:r>
        <w:r>
          <w:fldChar w:fldCharType="begin"/>
        </w:r>
        <w:r>
          <w:instrText xml:space="preserve">PAGEREF 4331 \h</w:instrText>
        </w:r>
        <w:r>
          <w:fldChar w:fldCharType="end"/>
        </w:r>
      </w:hyperlink>
    </w:p>
    <w:p>
      <w:pPr>
        <w:tabs>
          <w:tab w:val="right" w:leader="dot" w:pos="9062"/>
        </w:tabs>
        <w:ind w:left="220"/>
      </w:pPr>
      <w:hyperlink w:anchor="_Toc4332" w:history="1">
        <w:r>
          <w:rPr>
            <w:rFonts w:ascii="IRNazanin" w:hAnsi="IRNazanin" w:eastAsia="IRNazanin" w:cs="IRNazanin"/>
            <w:color w:val="111111"/>
            <w:sz w:val="22"/>
            <w:szCs w:val="22"/>
            <w:b w:val="0"/>
            <w:bCs w:val="0"/>
            <w:i w:val="0"/>
            <w:iCs w:val="0"/>
          </w:rPr>
          <w:t>شهرستاني ، محمّد، قرن 13 ه-</w:t>
        </w:r>
        <w:r>
          <w:tab/>
        </w:r>
        <w:r>
          <w:fldChar w:fldCharType="begin"/>
        </w:r>
        <w:r>
          <w:instrText xml:space="preserve">PAGEREF 4332 \h</w:instrText>
        </w:r>
        <w:r>
          <w:fldChar w:fldCharType="end"/>
        </w:r>
      </w:hyperlink>
    </w:p>
    <w:p>
      <w:pPr>
        <w:tabs>
          <w:tab w:val="right" w:leader="dot" w:pos="9062"/>
        </w:tabs>
        <w:ind w:left="220"/>
      </w:pPr>
      <w:hyperlink w:anchor="_Toc4333" w:history="1">
        <w:r>
          <w:rPr>
            <w:rFonts w:ascii="IRNazanin" w:hAnsi="IRNazanin" w:eastAsia="IRNazanin" w:cs="IRNazanin"/>
            <w:color w:val="111111"/>
            <w:sz w:val="22"/>
            <w:szCs w:val="22"/>
            <w:b w:val="0"/>
            <w:bCs w:val="0"/>
            <w:i w:val="0"/>
            <w:iCs w:val="0"/>
          </w:rPr>
          <w:t>شهرستاني ، محمّد بن عبدالكريم 479؟ -</w:t>
        </w:r>
        <w:r>
          <w:tab/>
        </w:r>
        <w:r>
          <w:fldChar w:fldCharType="begin"/>
        </w:r>
        <w:r>
          <w:instrText xml:space="preserve">PAGEREF 4333 \h</w:instrText>
        </w:r>
        <w:r>
          <w:fldChar w:fldCharType="end"/>
        </w:r>
      </w:hyperlink>
    </w:p>
    <w:p>
      <w:pPr>
        <w:tabs>
          <w:tab w:val="right" w:leader="dot" w:pos="9062"/>
        </w:tabs>
        <w:ind w:left="220"/>
      </w:pPr>
      <w:hyperlink w:anchor="_Toc4334" w:history="1">
        <w:r>
          <w:rPr>
            <w:rFonts w:ascii="IRNazanin" w:hAnsi="IRNazanin" w:eastAsia="IRNazanin" w:cs="IRNazanin"/>
            <w:color w:val="111111"/>
            <w:sz w:val="22"/>
            <w:szCs w:val="22"/>
            <w:b w:val="0"/>
            <w:bCs w:val="0"/>
            <w:i w:val="0"/>
            <w:iCs w:val="0"/>
          </w:rPr>
          <w:t>شهرستاني ، محمّد حسين بن محمّد علي</w:t>
        </w:r>
        <w:r>
          <w:tab/>
        </w:r>
        <w:r>
          <w:fldChar w:fldCharType="begin"/>
        </w:r>
        <w:r>
          <w:instrText xml:space="preserve">PAGEREF 4334 \h</w:instrText>
        </w:r>
        <w:r>
          <w:fldChar w:fldCharType="end"/>
        </w:r>
      </w:hyperlink>
    </w:p>
    <w:p>
      <w:pPr>
        <w:tabs>
          <w:tab w:val="right" w:leader="dot" w:pos="9062"/>
        </w:tabs>
        <w:ind w:left="220"/>
      </w:pPr>
      <w:hyperlink w:anchor="_Toc4335" w:history="1">
        <w:r>
          <w:rPr>
            <w:rFonts w:ascii="IRNazanin" w:hAnsi="IRNazanin" w:eastAsia="IRNazanin" w:cs="IRNazanin"/>
            <w:color w:val="111111"/>
            <w:sz w:val="22"/>
            <w:szCs w:val="22"/>
            <w:b w:val="0"/>
            <w:bCs w:val="0"/>
            <w:i w:val="0"/>
            <w:iCs w:val="0"/>
          </w:rPr>
          <w:t>شهرستاني ، محمّد علي</w:t>
        </w:r>
        <w:r>
          <w:tab/>
        </w:r>
        <w:r>
          <w:fldChar w:fldCharType="begin"/>
        </w:r>
        <w:r>
          <w:instrText xml:space="preserve">PAGEREF 4335 \h</w:instrText>
        </w:r>
        <w:r>
          <w:fldChar w:fldCharType="end"/>
        </w:r>
      </w:hyperlink>
    </w:p>
    <w:p>
      <w:pPr>
        <w:tabs>
          <w:tab w:val="right" w:leader="dot" w:pos="9062"/>
        </w:tabs>
        <w:ind w:left="220"/>
      </w:pPr>
      <w:hyperlink w:anchor="_Toc4336" w:history="1">
        <w:r>
          <w:rPr>
            <w:rFonts w:ascii="IRNazanin" w:hAnsi="IRNazanin" w:eastAsia="IRNazanin" w:cs="IRNazanin"/>
            <w:color w:val="111111"/>
            <w:sz w:val="22"/>
            <w:szCs w:val="22"/>
            <w:b w:val="0"/>
            <w:bCs w:val="0"/>
            <w:i w:val="0"/>
            <w:iCs w:val="0"/>
          </w:rPr>
          <w:t>شهرستاني ، محمّد علي بن محمّد حسين</w:t>
        </w:r>
        <w:r>
          <w:tab/>
        </w:r>
        <w:r>
          <w:fldChar w:fldCharType="begin"/>
        </w:r>
        <w:r>
          <w:instrText xml:space="preserve">PAGEREF 4336 \h</w:instrText>
        </w:r>
        <w:r>
          <w:fldChar w:fldCharType="end"/>
        </w:r>
      </w:hyperlink>
    </w:p>
    <w:p>
      <w:pPr>
        <w:tabs>
          <w:tab w:val="right" w:leader="dot" w:pos="9062"/>
        </w:tabs>
        <w:ind w:left="220"/>
      </w:pPr>
      <w:hyperlink w:anchor="_Toc4337" w:history="1">
        <w:r>
          <w:rPr>
            <w:rFonts w:ascii="IRNazanin" w:hAnsi="IRNazanin" w:eastAsia="IRNazanin" w:cs="IRNazanin"/>
            <w:color w:val="111111"/>
            <w:sz w:val="22"/>
            <w:szCs w:val="22"/>
            <w:b w:val="0"/>
            <w:bCs w:val="0"/>
            <w:i w:val="0"/>
            <w:iCs w:val="0"/>
          </w:rPr>
          <w:t>شهرستاني ، محمّد مهدي بن ابوالقاسم</w:t>
        </w:r>
        <w:r>
          <w:tab/>
        </w:r>
        <w:r>
          <w:fldChar w:fldCharType="begin"/>
        </w:r>
        <w:r>
          <w:instrText xml:space="preserve">PAGEREF 4337 \h</w:instrText>
        </w:r>
        <w:r>
          <w:fldChar w:fldCharType="end"/>
        </w:r>
      </w:hyperlink>
    </w:p>
    <w:p>
      <w:pPr>
        <w:tabs>
          <w:tab w:val="right" w:leader="dot" w:pos="9062"/>
        </w:tabs>
        <w:ind w:left="220"/>
      </w:pPr>
      <w:hyperlink w:anchor="_Toc4338" w:history="1">
        <w:r>
          <w:rPr>
            <w:rFonts w:ascii="IRNazanin" w:hAnsi="IRNazanin" w:eastAsia="IRNazanin" w:cs="IRNazanin"/>
            <w:color w:val="111111"/>
            <w:sz w:val="22"/>
            <w:szCs w:val="22"/>
            <w:b w:val="0"/>
            <w:bCs w:val="0"/>
            <w:i w:val="0"/>
            <w:iCs w:val="0"/>
          </w:rPr>
          <w:t>شهرستاني ، هبة الدين، 1301 - 1386 ه-</w:t>
        </w:r>
        <w:r>
          <w:tab/>
        </w:r>
        <w:r>
          <w:fldChar w:fldCharType="begin"/>
        </w:r>
        <w:r>
          <w:instrText xml:space="preserve">PAGEREF 4338 \h</w:instrText>
        </w:r>
        <w:r>
          <w:fldChar w:fldCharType="end"/>
        </w:r>
      </w:hyperlink>
    </w:p>
    <w:p>
      <w:pPr>
        <w:tabs>
          <w:tab w:val="right" w:leader="dot" w:pos="9062"/>
        </w:tabs>
        <w:ind w:left="220"/>
      </w:pPr>
      <w:hyperlink w:anchor="_Toc4339" w:history="1">
        <w:r>
          <w:rPr>
            <w:rFonts w:ascii="IRNazanin" w:hAnsi="IRNazanin" w:eastAsia="IRNazanin" w:cs="IRNazanin"/>
            <w:color w:val="111111"/>
            <w:sz w:val="22"/>
            <w:szCs w:val="22"/>
            <w:b w:val="0"/>
            <w:bCs w:val="0"/>
            <w:i w:val="0"/>
            <w:iCs w:val="0"/>
          </w:rPr>
          <w:t>شهزوري ، محمّد بن علي بن حسن</w:t>
        </w:r>
        <w:r>
          <w:tab/>
        </w:r>
        <w:r>
          <w:fldChar w:fldCharType="begin"/>
        </w:r>
        <w:r>
          <w:instrText xml:space="preserve">PAGEREF 4339 \h</w:instrText>
        </w:r>
        <w:r>
          <w:fldChar w:fldCharType="end"/>
        </w:r>
      </w:hyperlink>
    </w:p>
    <w:p>
      <w:pPr>
        <w:tabs>
          <w:tab w:val="right" w:leader="dot" w:pos="9062"/>
        </w:tabs>
        <w:ind w:left="220"/>
      </w:pPr>
      <w:hyperlink w:anchor="_Toc4340" w:history="1">
        <w:r>
          <w:rPr>
            <w:rFonts w:ascii="IRNazanin" w:hAnsi="IRNazanin" w:eastAsia="IRNazanin" w:cs="IRNazanin"/>
            <w:color w:val="111111"/>
            <w:sz w:val="22"/>
            <w:szCs w:val="22"/>
            <w:b w:val="0"/>
            <w:bCs w:val="0"/>
            <w:i w:val="0"/>
            <w:iCs w:val="0"/>
          </w:rPr>
          <w:t>شهميرزادي ، محمّد شریف بن محمّد</w:t>
        </w:r>
        <w:r>
          <w:tab/>
        </w:r>
        <w:r>
          <w:fldChar w:fldCharType="begin"/>
        </w:r>
        <w:r>
          <w:instrText xml:space="preserve">PAGEREF 4340 \h</w:instrText>
        </w:r>
        <w:r>
          <w:fldChar w:fldCharType="end"/>
        </w:r>
      </w:hyperlink>
    </w:p>
    <w:p>
      <w:pPr>
        <w:tabs>
          <w:tab w:val="right" w:leader="dot" w:pos="9062"/>
        </w:tabs>
        <w:ind w:left="220"/>
      </w:pPr>
      <w:hyperlink w:anchor="_Toc4341" w:history="1">
        <w:r>
          <w:rPr>
            <w:rFonts w:ascii="IRNazanin" w:hAnsi="IRNazanin" w:eastAsia="IRNazanin" w:cs="IRNazanin"/>
            <w:color w:val="111111"/>
            <w:sz w:val="22"/>
            <w:szCs w:val="22"/>
            <w:b w:val="0"/>
            <w:bCs w:val="0"/>
            <w:i w:val="0"/>
            <w:iCs w:val="0"/>
          </w:rPr>
          <w:t>شهودي ، محمّد - 1126 .</w:t>
        </w:r>
        <w:r>
          <w:tab/>
        </w:r>
        <w:r>
          <w:fldChar w:fldCharType="begin"/>
        </w:r>
        <w:r>
          <w:instrText xml:space="preserve">PAGEREF 4341 \h</w:instrText>
        </w:r>
        <w:r>
          <w:fldChar w:fldCharType="end"/>
        </w:r>
      </w:hyperlink>
    </w:p>
    <w:p>
      <w:pPr>
        <w:tabs>
          <w:tab w:val="right" w:leader="dot" w:pos="9062"/>
        </w:tabs>
        <w:ind w:left="220"/>
      </w:pPr>
      <w:hyperlink w:anchor="_Toc4342" w:history="1">
        <w:r>
          <w:rPr>
            <w:rFonts w:ascii="IRNazanin" w:hAnsi="IRNazanin" w:eastAsia="IRNazanin" w:cs="IRNazanin"/>
            <w:color w:val="111111"/>
            <w:sz w:val="22"/>
            <w:szCs w:val="22"/>
            <w:b w:val="0"/>
            <w:bCs w:val="0"/>
            <w:i w:val="0"/>
            <w:iCs w:val="0"/>
          </w:rPr>
          <w:t>شهید اول ، محمّد بن مكي، 734 - 786</w:t>
        </w:r>
        <w:r>
          <w:tab/>
        </w:r>
        <w:r>
          <w:fldChar w:fldCharType="begin"/>
        </w:r>
        <w:r>
          <w:instrText xml:space="preserve">PAGEREF 4342 \h</w:instrText>
        </w:r>
        <w:r>
          <w:fldChar w:fldCharType="end"/>
        </w:r>
      </w:hyperlink>
    </w:p>
    <w:p>
      <w:pPr>
        <w:tabs>
          <w:tab w:val="right" w:leader="dot" w:pos="9062"/>
        </w:tabs>
        <w:ind w:left="220"/>
      </w:pPr>
      <w:hyperlink w:anchor="_Toc4343" w:history="1">
        <w:r>
          <w:rPr>
            <w:rFonts w:ascii="IRNazanin" w:hAnsi="IRNazanin" w:eastAsia="IRNazanin" w:cs="IRNazanin"/>
            <w:color w:val="111111"/>
            <w:sz w:val="22"/>
            <w:szCs w:val="22"/>
            <w:b w:val="0"/>
            <w:bCs w:val="0"/>
            <w:i w:val="0"/>
            <w:iCs w:val="0"/>
          </w:rPr>
          <w:t>شهيد ثاني، زين الدين بن علي 911 -</w:t>
        </w:r>
        <w:r>
          <w:tab/>
        </w:r>
        <w:r>
          <w:fldChar w:fldCharType="begin"/>
        </w:r>
        <w:r>
          <w:instrText xml:space="preserve">PAGEREF 4343 \h</w:instrText>
        </w:r>
        <w:r>
          <w:fldChar w:fldCharType="end"/>
        </w:r>
      </w:hyperlink>
    </w:p>
    <w:p>
      <w:pPr>
        <w:tabs>
          <w:tab w:val="right" w:leader="dot" w:pos="9062"/>
        </w:tabs>
        <w:ind w:left="220"/>
      </w:pPr>
      <w:hyperlink w:anchor="_Toc4344" w:history="1">
        <w:r>
          <w:rPr>
            <w:rFonts w:ascii="IRNazanin" w:hAnsi="IRNazanin" w:eastAsia="IRNazanin" w:cs="IRNazanin"/>
            <w:color w:val="111111"/>
            <w:sz w:val="22"/>
            <w:szCs w:val="22"/>
            <w:b w:val="0"/>
            <w:bCs w:val="0"/>
            <w:i w:val="0"/>
            <w:iCs w:val="0"/>
          </w:rPr>
          <w:t>شواف زاده ، عبدالسلام بن سعيد</w:t>
        </w:r>
        <w:r>
          <w:tab/>
        </w:r>
        <w:r>
          <w:fldChar w:fldCharType="begin"/>
        </w:r>
        <w:r>
          <w:instrText xml:space="preserve">PAGEREF 4344 \h</w:instrText>
        </w:r>
        <w:r>
          <w:fldChar w:fldCharType="end"/>
        </w:r>
      </w:hyperlink>
    </w:p>
    <w:p>
      <w:pPr>
        <w:tabs>
          <w:tab w:val="right" w:leader="dot" w:pos="9062"/>
        </w:tabs>
        <w:ind w:left="220"/>
      </w:pPr>
      <w:hyperlink w:anchor="_Toc4345" w:history="1">
        <w:r>
          <w:rPr>
            <w:rFonts w:ascii="IRNazanin" w:hAnsi="IRNazanin" w:eastAsia="IRNazanin" w:cs="IRNazanin"/>
            <w:color w:val="111111"/>
            <w:sz w:val="22"/>
            <w:szCs w:val="22"/>
            <w:b w:val="0"/>
            <w:bCs w:val="0"/>
            <w:i w:val="0"/>
            <w:iCs w:val="0"/>
          </w:rPr>
          <w:t>شواف ، عبدالفتاح بن سعيد - 1262 ه-</w:t>
        </w:r>
        <w:r>
          <w:tab/>
        </w:r>
        <w:r>
          <w:fldChar w:fldCharType="begin"/>
        </w:r>
        <w:r>
          <w:instrText xml:space="preserve">PAGEREF 4345 \h</w:instrText>
        </w:r>
        <w:r>
          <w:fldChar w:fldCharType="end"/>
        </w:r>
      </w:hyperlink>
    </w:p>
    <w:p>
      <w:pPr>
        <w:tabs>
          <w:tab w:val="right" w:leader="dot" w:pos="9062"/>
        </w:tabs>
        <w:ind w:left="220"/>
      </w:pPr>
      <w:hyperlink w:anchor="_Toc4346" w:history="1">
        <w:r>
          <w:rPr>
            <w:rFonts w:ascii="IRNazanin" w:hAnsi="IRNazanin" w:eastAsia="IRNazanin" w:cs="IRNazanin"/>
            <w:color w:val="111111"/>
            <w:sz w:val="22"/>
            <w:szCs w:val="22"/>
            <w:b w:val="0"/>
            <w:bCs w:val="0"/>
            <w:i w:val="0"/>
            <w:iCs w:val="0"/>
          </w:rPr>
          <w:t>شوبري، محمّد بن احمد، 977 - 1069</w:t>
        </w:r>
        <w:r>
          <w:tab/>
        </w:r>
        <w:r>
          <w:fldChar w:fldCharType="begin"/>
        </w:r>
        <w:r>
          <w:instrText xml:space="preserve">PAGEREF 4346 \h</w:instrText>
        </w:r>
        <w:r>
          <w:fldChar w:fldCharType="end"/>
        </w:r>
      </w:hyperlink>
    </w:p>
    <w:p>
      <w:pPr>
        <w:tabs>
          <w:tab w:val="right" w:leader="dot" w:pos="9062"/>
        </w:tabs>
        <w:ind w:left="220"/>
      </w:pPr>
      <w:hyperlink w:anchor="_Toc4347" w:history="1">
        <w:r>
          <w:rPr>
            <w:rFonts w:ascii="IRNazanin" w:hAnsi="IRNazanin" w:eastAsia="IRNazanin" w:cs="IRNazanin"/>
            <w:color w:val="111111"/>
            <w:sz w:val="22"/>
            <w:szCs w:val="22"/>
            <w:b w:val="0"/>
            <w:bCs w:val="0"/>
            <w:i w:val="0"/>
            <w:iCs w:val="0"/>
          </w:rPr>
          <w:t>شوبري، محمّد بن خليفه قرن 11 ه-</w:t>
        </w:r>
        <w:r>
          <w:tab/>
        </w:r>
        <w:r>
          <w:fldChar w:fldCharType="begin"/>
        </w:r>
        <w:r>
          <w:instrText xml:space="preserve">PAGEREF 4347 \h</w:instrText>
        </w:r>
        <w:r>
          <w:fldChar w:fldCharType="end"/>
        </w:r>
      </w:hyperlink>
    </w:p>
    <w:p>
      <w:pPr>
        <w:tabs>
          <w:tab w:val="right" w:leader="dot" w:pos="9062"/>
        </w:tabs>
        <w:ind w:left="220"/>
      </w:pPr>
      <w:hyperlink w:anchor="_Toc4348" w:history="1">
        <w:r>
          <w:rPr>
            <w:rFonts w:ascii="IRNazanin" w:hAnsi="IRNazanin" w:eastAsia="IRNazanin" w:cs="IRNazanin"/>
            <w:color w:val="111111"/>
            <w:sz w:val="22"/>
            <w:szCs w:val="22"/>
            <w:b w:val="0"/>
            <w:bCs w:val="0"/>
            <w:i w:val="0"/>
            <w:iCs w:val="0"/>
          </w:rPr>
          <w:t>شوشتري ، جعفر بن حسين، 1230 -</w:t>
        </w:r>
        <w:r>
          <w:tab/>
        </w:r>
        <w:r>
          <w:fldChar w:fldCharType="begin"/>
        </w:r>
        <w:r>
          <w:instrText xml:space="preserve">PAGEREF 4348 \h</w:instrText>
        </w:r>
        <w:r>
          <w:fldChar w:fldCharType="end"/>
        </w:r>
      </w:hyperlink>
    </w:p>
    <w:p>
      <w:pPr>
        <w:tabs>
          <w:tab w:val="right" w:leader="dot" w:pos="9062"/>
        </w:tabs>
        <w:ind w:left="220"/>
      </w:pPr>
      <w:hyperlink w:anchor="_Toc4349" w:history="1">
        <w:r>
          <w:rPr>
            <w:rFonts w:ascii="IRNazanin" w:hAnsi="IRNazanin" w:eastAsia="IRNazanin" w:cs="IRNazanin"/>
            <w:color w:val="111111"/>
            <w:sz w:val="22"/>
            <w:szCs w:val="22"/>
            <w:b w:val="0"/>
            <w:bCs w:val="0"/>
            <w:i w:val="0"/>
            <w:iCs w:val="0"/>
          </w:rPr>
          <w:t>شوشتري ، حسن بن ابي الكرم</w:t>
        </w:r>
        <w:r>
          <w:tab/>
        </w:r>
        <w:r>
          <w:fldChar w:fldCharType="begin"/>
        </w:r>
        <w:r>
          <w:instrText xml:space="preserve">PAGEREF 4349 \h</w:instrText>
        </w:r>
        <w:r>
          <w:fldChar w:fldCharType="end"/>
        </w:r>
      </w:hyperlink>
    </w:p>
    <w:p>
      <w:pPr>
        <w:tabs>
          <w:tab w:val="right" w:leader="dot" w:pos="9062"/>
        </w:tabs>
        <w:ind w:left="220"/>
      </w:pPr>
      <w:hyperlink w:anchor="_Toc4350" w:history="1">
        <w:r>
          <w:rPr>
            <w:rFonts w:ascii="IRNazanin" w:hAnsi="IRNazanin" w:eastAsia="IRNazanin" w:cs="IRNazanin"/>
            <w:color w:val="111111"/>
            <w:sz w:val="22"/>
            <w:szCs w:val="22"/>
            <w:b w:val="0"/>
            <w:bCs w:val="0"/>
            <w:i w:val="0"/>
            <w:iCs w:val="0"/>
          </w:rPr>
          <w:t>شوشتري ، حسين بن حسن قرن 13 ه-</w:t>
        </w:r>
        <w:r>
          <w:tab/>
        </w:r>
        <w:r>
          <w:fldChar w:fldCharType="begin"/>
        </w:r>
        <w:r>
          <w:instrText xml:space="preserve">PAGEREF 4350 \h</w:instrText>
        </w:r>
        <w:r>
          <w:fldChar w:fldCharType="end"/>
        </w:r>
      </w:hyperlink>
    </w:p>
    <w:p>
      <w:pPr>
        <w:tabs>
          <w:tab w:val="right" w:leader="dot" w:pos="9062"/>
        </w:tabs>
        <w:ind w:left="220"/>
      </w:pPr>
      <w:hyperlink w:anchor="_Toc4351" w:history="1">
        <w:r>
          <w:rPr>
            <w:rFonts w:ascii="IRNazanin" w:hAnsi="IRNazanin" w:eastAsia="IRNazanin" w:cs="IRNazanin"/>
            <w:color w:val="111111"/>
            <w:sz w:val="22"/>
            <w:szCs w:val="22"/>
            <w:b w:val="0"/>
            <w:bCs w:val="0"/>
            <w:i w:val="0"/>
            <w:iCs w:val="0"/>
          </w:rPr>
          <w:t>شوشتري ، عبدالرحيم بن محمّد علي</w:t>
        </w:r>
        <w:r>
          <w:tab/>
        </w:r>
        <w:r>
          <w:fldChar w:fldCharType="begin"/>
        </w:r>
        <w:r>
          <w:instrText xml:space="preserve">PAGEREF 4351 \h</w:instrText>
        </w:r>
        <w:r>
          <w:fldChar w:fldCharType="end"/>
        </w:r>
      </w:hyperlink>
    </w:p>
    <w:p>
      <w:pPr>
        <w:tabs>
          <w:tab w:val="right" w:leader="dot" w:pos="9062"/>
        </w:tabs>
        <w:ind w:left="220"/>
      </w:pPr>
      <w:hyperlink w:anchor="_Toc4352" w:history="1">
        <w:r>
          <w:rPr>
            <w:rFonts w:ascii="IRNazanin" w:hAnsi="IRNazanin" w:eastAsia="IRNazanin" w:cs="IRNazanin"/>
            <w:color w:val="111111"/>
            <w:sz w:val="22"/>
            <w:szCs w:val="22"/>
            <w:b w:val="0"/>
            <w:bCs w:val="0"/>
            <w:i w:val="0"/>
            <w:iCs w:val="0"/>
          </w:rPr>
          <w:t>شوشتري ، عبدالله بن حسين - 1021 ه-</w:t>
        </w:r>
        <w:r>
          <w:tab/>
        </w:r>
        <w:r>
          <w:fldChar w:fldCharType="begin"/>
        </w:r>
        <w:r>
          <w:instrText xml:space="preserve">PAGEREF 4352 \h</w:instrText>
        </w:r>
        <w:r>
          <w:fldChar w:fldCharType="end"/>
        </w:r>
      </w:hyperlink>
    </w:p>
    <w:p>
      <w:pPr>
        <w:tabs>
          <w:tab w:val="right" w:leader="dot" w:pos="9062"/>
        </w:tabs>
        <w:ind w:left="220"/>
      </w:pPr>
      <w:hyperlink w:anchor="_Toc4353" w:history="1">
        <w:r>
          <w:rPr>
            <w:rFonts w:ascii="IRNazanin" w:hAnsi="IRNazanin" w:eastAsia="IRNazanin" w:cs="IRNazanin"/>
            <w:color w:val="111111"/>
            <w:sz w:val="22"/>
            <w:szCs w:val="22"/>
            <w:b w:val="0"/>
            <w:bCs w:val="0"/>
            <w:i w:val="0"/>
            <w:iCs w:val="0"/>
          </w:rPr>
          <w:t>شوشتري ، محمّد امین بن فرج الله قرن</w:t>
        </w:r>
        <w:r>
          <w:tab/>
        </w:r>
        <w:r>
          <w:fldChar w:fldCharType="begin"/>
        </w:r>
        <w:r>
          <w:instrText xml:space="preserve">PAGEREF 4353 \h</w:instrText>
        </w:r>
        <w:r>
          <w:fldChar w:fldCharType="end"/>
        </w:r>
      </w:hyperlink>
    </w:p>
    <w:p>
      <w:pPr>
        <w:tabs>
          <w:tab w:val="right" w:leader="dot" w:pos="9062"/>
        </w:tabs>
        <w:ind w:left="220"/>
      </w:pPr>
      <w:hyperlink w:anchor="_Toc4354" w:history="1">
        <w:r>
          <w:rPr>
            <w:rFonts w:ascii="IRNazanin" w:hAnsi="IRNazanin" w:eastAsia="IRNazanin" w:cs="IRNazanin"/>
            <w:color w:val="111111"/>
            <w:sz w:val="22"/>
            <w:szCs w:val="22"/>
            <w:b w:val="0"/>
            <w:bCs w:val="0"/>
            <w:i w:val="0"/>
            <w:iCs w:val="0"/>
          </w:rPr>
          <w:t>شوشتري ، محمّد بن حسنعلي قرن 12 ه-</w:t>
        </w:r>
        <w:r>
          <w:tab/>
        </w:r>
        <w:r>
          <w:fldChar w:fldCharType="begin"/>
        </w:r>
        <w:r>
          <w:instrText xml:space="preserve">PAGEREF 4354 \h</w:instrText>
        </w:r>
        <w:r>
          <w:fldChar w:fldCharType="end"/>
        </w:r>
      </w:hyperlink>
    </w:p>
    <w:p>
      <w:pPr>
        <w:tabs>
          <w:tab w:val="right" w:leader="dot" w:pos="9062"/>
        </w:tabs>
        <w:ind w:left="220"/>
      </w:pPr>
      <w:hyperlink w:anchor="_Toc4355" w:history="1">
        <w:r>
          <w:rPr>
            <w:rFonts w:ascii="IRNazanin" w:hAnsi="IRNazanin" w:eastAsia="IRNazanin" w:cs="IRNazanin"/>
            <w:color w:val="111111"/>
            <w:sz w:val="22"/>
            <w:szCs w:val="22"/>
            <w:b w:val="0"/>
            <w:bCs w:val="0"/>
            <w:i w:val="0"/>
            <w:iCs w:val="0"/>
          </w:rPr>
          <w:t>شوشتري ، محمّد تقي، 1282 - 1374 ش</w:t>
        </w:r>
        <w:r>
          <w:tab/>
        </w:r>
        <w:r>
          <w:fldChar w:fldCharType="begin"/>
        </w:r>
        <w:r>
          <w:instrText xml:space="preserve">PAGEREF 4355 \h</w:instrText>
        </w:r>
        <w:r>
          <w:fldChar w:fldCharType="end"/>
        </w:r>
      </w:hyperlink>
    </w:p>
    <w:p>
      <w:pPr>
        <w:tabs>
          <w:tab w:val="right" w:leader="dot" w:pos="9062"/>
        </w:tabs>
        <w:ind w:left="220"/>
      </w:pPr>
      <w:hyperlink w:anchor="_Toc4356" w:history="1">
        <w:r>
          <w:rPr>
            <w:rFonts w:ascii="IRNazanin" w:hAnsi="IRNazanin" w:eastAsia="IRNazanin" w:cs="IRNazanin"/>
            <w:color w:val="111111"/>
            <w:sz w:val="22"/>
            <w:szCs w:val="22"/>
            <w:b w:val="0"/>
            <w:bCs w:val="0"/>
            <w:i w:val="0"/>
            <w:iCs w:val="0"/>
          </w:rPr>
          <w:t>شوشتري ، محمّد جعفر بن ،آقابزرگ</w:t>
        </w:r>
        <w:r>
          <w:tab/>
        </w:r>
        <w:r>
          <w:fldChar w:fldCharType="begin"/>
        </w:r>
        <w:r>
          <w:instrText xml:space="preserve">PAGEREF 4356 \h</w:instrText>
        </w:r>
        <w:r>
          <w:fldChar w:fldCharType="end"/>
        </w:r>
      </w:hyperlink>
    </w:p>
    <w:p>
      <w:pPr>
        <w:tabs>
          <w:tab w:val="right" w:leader="dot" w:pos="9062"/>
        </w:tabs>
        <w:ind w:left="220"/>
      </w:pPr>
      <w:hyperlink w:anchor="_Toc4357" w:history="1">
        <w:r>
          <w:rPr>
            <w:rFonts w:ascii="IRNazanin" w:hAnsi="IRNazanin" w:eastAsia="IRNazanin" w:cs="IRNazanin"/>
            <w:color w:val="111111"/>
            <w:sz w:val="22"/>
            <w:szCs w:val="22"/>
            <w:b w:val="0"/>
            <w:bCs w:val="0"/>
            <w:i w:val="0"/>
            <w:iCs w:val="0"/>
          </w:rPr>
          <w:t>شوشتري ، محمّد معصوم بن كريم الدين</w:t>
        </w:r>
        <w:r>
          <w:tab/>
        </w:r>
        <w:r>
          <w:fldChar w:fldCharType="begin"/>
        </w:r>
        <w:r>
          <w:instrText xml:space="preserve">PAGEREF 4357 \h</w:instrText>
        </w:r>
        <w:r>
          <w:fldChar w:fldCharType="end"/>
        </w:r>
      </w:hyperlink>
    </w:p>
    <w:p>
      <w:pPr>
        <w:tabs>
          <w:tab w:val="right" w:leader="dot" w:pos="9062"/>
        </w:tabs>
        <w:ind w:left="220"/>
      </w:pPr>
      <w:hyperlink w:anchor="_Toc4358" w:history="1">
        <w:r>
          <w:rPr>
            <w:rFonts w:ascii="IRNazanin" w:hAnsi="IRNazanin" w:eastAsia="IRNazanin" w:cs="IRNazanin"/>
            <w:color w:val="111111"/>
            <w:sz w:val="22"/>
            <w:szCs w:val="22"/>
            <w:b w:val="0"/>
            <w:bCs w:val="0"/>
            <w:i w:val="0"/>
            <w:iCs w:val="0"/>
          </w:rPr>
          <w:t>شوشتري ، نورالله بن شرف الدين 956 -</w:t>
        </w:r>
        <w:r>
          <w:tab/>
        </w:r>
        <w:r>
          <w:fldChar w:fldCharType="begin"/>
        </w:r>
        <w:r>
          <w:instrText xml:space="preserve">PAGEREF 4358 \h</w:instrText>
        </w:r>
        <w:r>
          <w:fldChar w:fldCharType="end"/>
        </w:r>
      </w:hyperlink>
    </w:p>
    <w:p>
      <w:pPr>
        <w:tabs>
          <w:tab w:val="right" w:leader="dot" w:pos="9062"/>
        </w:tabs>
        <w:ind w:left="220"/>
      </w:pPr>
      <w:hyperlink w:anchor="_Toc4359" w:history="1">
        <w:r>
          <w:rPr>
            <w:rFonts w:ascii="IRNazanin" w:hAnsi="IRNazanin" w:eastAsia="IRNazanin" w:cs="IRNazanin"/>
            <w:color w:val="111111"/>
            <w:sz w:val="22"/>
            <w:szCs w:val="22"/>
            <w:b w:val="0"/>
            <w:bCs w:val="0"/>
            <w:i w:val="0"/>
            <w:iCs w:val="0"/>
          </w:rPr>
          <w:t>شوشتري ، نورالله بن محمّد شاه قرن 10</w:t>
        </w:r>
        <w:r>
          <w:tab/>
        </w:r>
        <w:r>
          <w:fldChar w:fldCharType="begin"/>
        </w:r>
        <w:r>
          <w:instrText xml:space="preserve">PAGEREF 4359 \h</w:instrText>
        </w:r>
        <w:r>
          <w:fldChar w:fldCharType="end"/>
        </w:r>
      </w:hyperlink>
    </w:p>
    <w:p>
      <w:pPr>
        <w:tabs>
          <w:tab w:val="right" w:leader="dot" w:pos="9062"/>
        </w:tabs>
        <w:ind w:left="220"/>
      </w:pPr>
      <w:hyperlink w:anchor="_Toc4360" w:history="1">
        <w:r>
          <w:rPr>
            <w:rFonts w:ascii="IRNazanin" w:hAnsi="IRNazanin" w:eastAsia="IRNazanin" w:cs="IRNazanin"/>
            <w:color w:val="111111"/>
            <w:sz w:val="22"/>
            <w:szCs w:val="22"/>
            <w:b w:val="0"/>
            <w:bCs w:val="0"/>
            <w:i w:val="0"/>
            <w:iCs w:val="0"/>
          </w:rPr>
          <w:t>شوق ، علي، قرن 13 ه-</w:t>
        </w:r>
        <w:r>
          <w:tab/>
        </w:r>
        <w:r>
          <w:fldChar w:fldCharType="begin"/>
        </w:r>
        <w:r>
          <w:instrText xml:space="preserve">PAGEREF 4360 \h</w:instrText>
        </w:r>
        <w:r>
          <w:fldChar w:fldCharType="end"/>
        </w:r>
      </w:hyperlink>
    </w:p>
    <w:p>
      <w:pPr>
        <w:tabs>
          <w:tab w:val="right" w:leader="dot" w:pos="9062"/>
        </w:tabs>
        <w:ind w:left="220"/>
      </w:pPr>
      <w:hyperlink w:anchor="_Toc4361" w:history="1">
        <w:r>
          <w:rPr>
            <w:rFonts w:ascii="IRNazanin" w:hAnsi="IRNazanin" w:eastAsia="IRNazanin" w:cs="IRNazanin"/>
            <w:color w:val="111111"/>
            <w:sz w:val="22"/>
            <w:szCs w:val="22"/>
            <w:b w:val="0"/>
            <w:bCs w:val="0"/>
            <w:i w:val="0"/>
            <w:iCs w:val="0"/>
          </w:rPr>
          <w:t>شوقي ، احمد بن عبدالله - 1224 ه-</w:t>
        </w:r>
        <w:r>
          <w:tab/>
        </w:r>
        <w:r>
          <w:fldChar w:fldCharType="begin"/>
        </w:r>
        <w:r>
          <w:instrText xml:space="preserve">PAGEREF 4361 \h</w:instrText>
        </w:r>
        <w:r>
          <w:fldChar w:fldCharType="end"/>
        </w:r>
      </w:hyperlink>
    </w:p>
    <w:p>
      <w:pPr>
        <w:tabs>
          <w:tab w:val="right" w:leader="dot" w:pos="9062"/>
        </w:tabs>
        <w:ind w:left="220"/>
      </w:pPr>
      <w:hyperlink w:anchor="_Toc4362" w:history="1">
        <w:r>
          <w:rPr>
            <w:rFonts w:ascii="IRNazanin" w:hAnsi="IRNazanin" w:eastAsia="IRNazanin" w:cs="IRNazanin"/>
            <w:color w:val="111111"/>
            <w:sz w:val="22"/>
            <w:szCs w:val="22"/>
            <w:b w:val="0"/>
            <w:bCs w:val="0"/>
            <w:i w:val="0"/>
            <w:iCs w:val="0"/>
          </w:rPr>
          <w:t>شوقي شفيق، قرن 15ه-</w:t>
        </w:r>
        <w:r>
          <w:tab/>
        </w:r>
        <w:r>
          <w:fldChar w:fldCharType="begin"/>
        </w:r>
        <w:r>
          <w:instrText xml:space="preserve">PAGEREF 4362 \h</w:instrText>
        </w:r>
        <w:r>
          <w:fldChar w:fldCharType="end"/>
        </w:r>
      </w:hyperlink>
    </w:p>
    <w:p>
      <w:pPr>
        <w:tabs>
          <w:tab w:val="right" w:leader="dot" w:pos="9062"/>
        </w:tabs>
        <w:ind w:left="220"/>
      </w:pPr>
      <w:hyperlink w:anchor="_Toc4363" w:history="1">
        <w:r>
          <w:rPr>
            <w:rFonts w:ascii="IRNazanin" w:hAnsi="IRNazanin" w:eastAsia="IRNazanin" w:cs="IRNazanin"/>
            <w:color w:val="111111"/>
            <w:sz w:val="22"/>
            <w:szCs w:val="22"/>
            <w:b w:val="0"/>
            <w:bCs w:val="0"/>
            <w:i w:val="0"/>
            <w:iCs w:val="0"/>
          </w:rPr>
          <w:t>شوكاني ، احمد بن محمّد 1229- 1281</w:t>
        </w:r>
        <w:r>
          <w:tab/>
        </w:r>
        <w:r>
          <w:fldChar w:fldCharType="begin"/>
        </w:r>
        <w:r>
          <w:instrText xml:space="preserve">PAGEREF 4363 \h</w:instrText>
        </w:r>
        <w:r>
          <w:fldChar w:fldCharType="end"/>
        </w:r>
      </w:hyperlink>
    </w:p>
    <w:p>
      <w:pPr>
        <w:tabs>
          <w:tab w:val="right" w:leader="dot" w:pos="9062"/>
        </w:tabs>
        <w:ind w:left="220"/>
      </w:pPr>
      <w:hyperlink w:anchor="_Toc4364" w:history="1">
        <w:r>
          <w:rPr>
            <w:rFonts w:ascii="IRNazanin" w:hAnsi="IRNazanin" w:eastAsia="IRNazanin" w:cs="IRNazanin"/>
            <w:color w:val="111111"/>
            <w:sz w:val="22"/>
            <w:szCs w:val="22"/>
            <w:b w:val="0"/>
            <w:bCs w:val="0"/>
            <w:i w:val="0"/>
            <w:iCs w:val="0"/>
          </w:rPr>
          <w:t>شوكاني ، محمّد بن علي، 1173 - 1250</w:t>
        </w:r>
        <w:r>
          <w:tab/>
        </w:r>
        <w:r>
          <w:fldChar w:fldCharType="begin"/>
        </w:r>
        <w:r>
          <w:instrText xml:space="preserve">PAGEREF 4364 \h</w:instrText>
        </w:r>
        <w:r>
          <w:fldChar w:fldCharType="end"/>
        </w:r>
      </w:hyperlink>
    </w:p>
    <w:p>
      <w:pPr>
        <w:tabs>
          <w:tab w:val="right" w:leader="dot" w:pos="9062"/>
        </w:tabs>
        <w:ind w:left="220"/>
      </w:pPr>
      <w:hyperlink w:anchor="_Toc4365" w:history="1">
        <w:r>
          <w:rPr>
            <w:rFonts w:ascii="IRNazanin" w:hAnsi="IRNazanin" w:eastAsia="IRNazanin" w:cs="IRNazanin"/>
            <w:color w:val="111111"/>
            <w:sz w:val="22"/>
            <w:szCs w:val="22"/>
            <w:b w:val="0"/>
            <w:bCs w:val="0"/>
            <w:i w:val="0"/>
            <w:iCs w:val="0"/>
          </w:rPr>
          <w:t>شوکت بخاري ، محمّد اسحاق - 1107 ه-</w:t>
        </w:r>
        <w:r>
          <w:tab/>
        </w:r>
        <w:r>
          <w:fldChar w:fldCharType="begin"/>
        </w:r>
        <w:r>
          <w:instrText xml:space="preserve">PAGEREF 4365 \h</w:instrText>
        </w:r>
        <w:r>
          <w:fldChar w:fldCharType="end"/>
        </w:r>
      </w:hyperlink>
    </w:p>
    <w:p>
      <w:pPr>
        <w:tabs>
          <w:tab w:val="right" w:leader="dot" w:pos="9062"/>
        </w:tabs>
        <w:ind w:left="220"/>
      </w:pPr>
      <w:hyperlink w:anchor="_Toc4366" w:history="1">
        <w:r>
          <w:rPr>
            <w:rFonts w:ascii="IRNazanin" w:hAnsi="IRNazanin" w:eastAsia="IRNazanin" w:cs="IRNazanin"/>
            <w:color w:val="111111"/>
            <w:sz w:val="22"/>
            <w:szCs w:val="22"/>
            <w:b w:val="0"/>
            <w:bCs w:val="0"/>
            <w:i w:val="0"/>
            <w:iCs w:val="0"/>
          </w:rPr>
          <w:t>شولستاني ، علي بن حجة الله - 1060ه-</w:t>
        </w:r>
        <w:r>
          <w:tab/>
        </w:r>
        <w:r>
          <w:fldChar w:fldCharType="begin"/>
        </w:r>
        <w:r>
          <w:instrText xml:space="preserve">PAGEREF 4366 \h</w:instrText>
        </w:r>
        <w:r>
          <w:fldChar w:fldCharType="end"/>
        </w:r>
      </w:hyperlink>
    </w:p>
    <w:p>
      <w:pPr>
        <w:tabs>
          <w:tab w:val="right" w:leader="dot" w:pos="9062"/>
        </w:tabs>
        <w:ind w:left="220"/>
      </w:pPr>
      <w:hyperlink w:anchor="_Toc4367" w:history="1">
        <w:r>
          <w:rPr>
            <w:rFonts w:ascii="IRNazanin" w:hAnsi="IRNazanin" w:eastAsia="IRNazanin" w:cs="IRNazanin"/>
            <w:color w:val="111111"/>
            <w:sz w:val="22"/>
            <w:szCs w:val="22"/>
            <w:b w:val="0"/>
            <w:bCs w:val="0"/>
            <w:i w:val="0"/>
            <w:iCs w:val="0"/>
          </w:rPr>
          <w:t>شوني ، نورالدين علي</w:t>
        </w:r>
        <w:r>
          <w:tab/>
        </w:r>
        <w:r>
          <w:fldChar w:fldCharType="begin"/>
        </w:r>
        <w:r>
          <w:instrText xml:space="preserve">PAGEREF 4367 \h</w:instrText>
        </w:r>
        <w:r>
          <w:fldChar w:fldCharType="end"/>
        </w:r>
      </w:hyperlink>
    </w:p>
    <w:p>
      <w:pPr>
        <w:tabs>
          <w:tab w:val="right" w:leader="dot" w:pos="9062"/>
        </w:tabs>
        <w:ind w:left="220"/>
      </w:pPr>
      <w:hyperlink w:anchor="_Toc4368" w:history="1">
        <w:r>
          <w:rPr>
            <w:rFonts w:ascii="IRNazanin" w:hAnsi="IRNazanin" w:eastAsia="IRNazanin" w:cs="IRNazanin"/>
            <w:color w:val="111111"/>
            <w:sz w:val="22"/>
            <w:szCs w:val="22"/>
            <w:b w:val="0"/>
            <w:bCs w:val="0"/>
            <w:i w:val="0"/>
            <w:iCs w:val="0"/>
          </w:rPr>
          <w:t>شويكي، مرزوق بن محمّد قرن 13 ه-</w:t>
        </w:r>
        <w:r>
          <w:tab/>
        </w:r>
        <w:r>
          <w:fldChar w:fldCharType="begin"/>
        </w:r>
        <w:r>
          <w:instrText xml:space="preserve">PAGEREF 4368 \h</w:instrText>
        </w:r>
        <w:r>
          <w:fldChar w:fldCharType="end"/>
        </w:r>
      </w:hyperlink>
    </w:p>
    <w:p>
      <w:pPr>
        <w:tabs>
          <w:tab w:val="right" w:leader="dot" w:pos="9062"/>
        </w:tabs>
        <w:ind w:left="220"/>
      </w:pPr>
      <w:hyperlink w:anchor="_Toc4369" w:history="1">
        <w:r>
          <w:rPr>
            <w:rFonts w:ascii="IRNazanin" w:hAnsi="IRNazanin" w:eastAsia="IRNazanin" w:cs="IRNazanin"/>
            <w:color w:val="111111"/>
            <w:sz w:val="22"/>
            <w:szCs w:val="22"/>
            <w:b w:val="0"/>
            <w:bCs w:val="0"/>
            <w:i w:val="0"/>
            <w:iCs w:val="0"/>
          </w:rPr>
          <w:t>شويهي ، محمّد بن يونس قرن 13 ه-</w:t>
        </w:r>
        <w:r>
          <w:tab/>
        </w:r>
        <w:r>
          <w:fldChar w:fldCharType="begin"/>
        </w:r>
        <w:r>
          <w:instrText xml:space="preserve">PAGEREF 4369 \h</w:instrText>
        </w:r>
        <w:r>
          <w:fldChar w:fldCharType="end"/>
        </w:r>
      </w:hyperlink>
    </w:p>
    <w:p>
      <w:pPr>
        <w:tabs>
          <w:tab w:val="right" w:leader="dot" w:pos="9062"/>
        </w:tabs>
        <w:ind w:left="220"/>
      </w:pPr>
      <w:hyperlink w:anchor="_Toc4370" w:history="1">
        <w:r>
          <w:rPr>
            <w:rFonts w:ascii="IRNazanin" w:hAnsi="IRNazanin" w:eastAsia="IRNazanin" w:cs="IRNazanin"/>
            <w:color w:val="111111"/>
            <w:sz w:val="22"/>
            <w:szCs w:val="22"/>
            <w:b w:val="0"/>
            <w:bCs w:val="0"/>
            <w:i w:val="0"/>
            <w:iCs w:val="0"/>
          </w:rPr>
          <w:t>شيباني ، احمد بن عمر، 181 - 261 ه-</w:t>
        </w:r>
        <w:r>
          <w:tab/>
        </w:r>
        <w:r>
          <w:fldChar w:fldCharType="begin"/>
        </w:r>
        <w:r>
          <w:instrText xml:space="preserve">PAGEREF 4370 \h</w:instrText>
        </w:r>
        <w:r>
          <w:fldChar w:fldCharType="end"/>
        </w:r>
      </w:hyperlink>
    </w:p>
    <w:p>
      <w:pPr>
        <w:tabs>
          <w:tab w:val="right" w:leader="dot" w:pos="9062"/>
        </w:tabs>
        <w:ind w:left="220"/>
      </w:pPr>
      <w:hyperlink w:anchor="_Toc4371" w:history="1">
        <w:r>
          <w:rPr>
            <w:rFonts w:ascii="IRNazanin" w:hAnsi="IRNazanin" w:eastAsia="IRNazanin" w:cs="IRNazanin"/>
            <w:color w:val="111111"/>
            <w:sz w:val="22"/>
            <w:szCs w:val="22"/>
            <w:b w:val="0"/>
            <w:bCs w:val="0"/>
            <w:i w:val="0"/>
            <w:iCs w:val="0"/>
          </w:rPr>
          <w:t>شيباني ، احمد بن محمّد - 241 ه-</w:t>
        </w:r>
        <w:r>
          <w:tab/>
        </w:r>
        <w:r>
          <w:fldChar w:fldCharType="begin"/>
        </w:r>
        <w:r>
          <w:instrText xml:space="preserve">PAGEREF 4371 \h</w:instrText>
        </w:r>
        <w:r>
          <w:fldChar w:fldCharType="end"/>
        </w:r>
      </w:hyperlink>
    </w:p>
    <w:p>
      <w:pPr>
        <w:tabs>
          <w:tab w:val="right" w:leader="dot" w:pos="9062"/>
        </w:tabs>
        <w:ind w:left="220"/>
      </w:pPr>
      <w:hyperlink w:anchor="_Toc4372" w:history="1">
        <w:r>
          <w:rPr>
            <w:rFonts w:ascii="IRNazanin" w:hAnsi="IRNazanin" w:eastAsia="IRNazanin" w:cs="IRNazanin"/>
            <w:color w:val="111111"/>
            <w:sz w:val="22"/>
            <w:szCs w:val="22"/>
            <w:b w:val="0"/>
            <w:bCs w:val="0"/>
            <w:i w:val="0"/>
            <w:iCs w:val="0"/>
          </w:rPr>
          <w:t>شيباني ، اسحاق بن مرار - 205 ؟ ه-</w:t>
        </w:r>
        <w:r>
          <w:tab/>
        </w:r>
        <w:r>
          <w:fldChar w:fldCharType="begin"/>
        </w:r>
        <w:r>
          <w:instrText xml:space="preserve">PAGEREF 4372 \h</w:instrText>
        </w:r>
        <w:r>
          <w:fldChar w:fldCharType="end"/>
        </w:r>
      </w:hyperlink>
    </w:p>
    <w:p>
      <w:pPr>
        <w:tabs>
          <w:tab w:val="right" w:leader="dot" w:pos="9062"/>
        </w:tabs>
        <w:ind w:left="220"/>
      </w:pPr>
      <w:hyperlink w:anchor="_Toc4373" w:history="1">
        <w:r>
          <w:rPr>
            <w:rFonts w:ascii="IRNazanin" w:hAnsi="IRNazanin" w:eastAsia="IRNazanin" w:cs="IRNazanin"/>
            <w:color w:val="111111"/>
            <w:sz w:val="22"/>
            <w:szCs w:val="22"/>
            <w:b w:val="0"/>
            <w:bCs w:val="0"/>
            <w:i w:val="0"/>
            <w:iCs w:val="0"/>
          </w:rPr>
          <w:t>شيباني ، علي بن ابي الرجال - 407 ؟ ه-</w:t>
        </w:r>
        <w:r>
          <w:tab/>
        </w:r>
        <w:r>
          <w:fldChar w:fldCharType="begin"/>
        </w:r>
        <w:r>
          <w:instrText xml:space="preserve">PAGEREF 4373 \h</w:instrText>
        </w:r>
        <w:r>
          <w:fldChar w:fldCharType="end"/>
        </w:r>
      </w:hyperlink>
    </w:p>
    <w:p>
      <w:pPr>
        <w:tabs>
          <w:tab w:val="right" w:leader="dot" w:pos="9062"/>
        </w:tabs>
        <w:ind w:left="220"/>
      </w:pPr>
      <w:hyperlink w:anchor="_Toc4374" w:history="1">
        <w:r>
          <w:rPr>
            <w:rFonts w:ascii="IRNazanin" w:hAnsi="IRNazanin" w:eastAsia="IRNazanin" w:cs="IRNazanin"/>
            <w:color w:val="111111"/>
            <w:sz w:val="22"/>
            <w:szCs w:val="22"/>
            <w:b w:val="0"/>
            <w:bCs w:val="0"/>
            <w:i w:val="0"/>
            <w:iCs w:val="0"/>
          </w:rPr>
          <w:t>شيباني ، محمّد بن حسن، 131 - 189 ه-</w:t>
        </w:r>
        <w:r>
          <w:tab/>
        </w:r>
        <w:r>
          <w:fldChar w:fldCharType="begin"/>
        </w:r>
        <w:r>
          <w:instrText xml:space="preserve">PAGEREF 4374 \h</w:instrText>
        </w:r>
        <w:r>
          <w:fldChar w:fldCharType="end"/>
        </w:r>
      </w:hyperlink>
    </w:p>
    <w:p>
      <w:pPr>
        <w:tabs>
          <w:tab w:val="right" w:leader="dot" w:pos="9062"/>
        </w:tabs>
        <w:ind w:left="220"/>
      </w:pPr>
      <w:hyperlink w:anchor="_Toc4375" w:history="1">
        <w:r>
          <w:rPr>
            <w:rFonts w:ascii="IRNazanin" w:hAnsi="IRNazanin" w:eastAsia="IRNazanin" w:cs="IRNazanin"/>
            <w:color w:val="111111"/>
            <w:sz w:val="22"/>
            <w:szCs w:val="22"/>
            <w:b w:val="0"/>
            <w:bCs w:val="0"/>
            <w:i w:val="0"/>
            <w:iCs w:val="0"/>
          </w:rPr>
          <w:t>شيباني ، محمّد بن حسن ، قرن 7 ه-</w:t>
        </w:r>
        <w:r>
          <w:tab/>
        </w:r>
        <w:r>
          <w:fldChar w:fldCharType="begin"/>
        </w:r>
        <w:r>
          <w:instrText xml:space="preserve">PAGEREF 4375 \h</w:instrText>
        </w:r>
        <w:r>
          <w:fldChar w:fldCharType="end"/>
        </w:r>
      </w:hyperlink>
    </w:p>
    <w:p>
      <w:pPr>
        <w:tabs>
          <w:tab w:val="right" w:leader="dot" w:pos="9062"/>
        </w:tabs>
        <w:ind w:left="220"/>
      </w:pPr>
      <w:hyperlink w:anchor="_Toc4376" w:history="1">
        <w:r>
          <w:rPr>
            <w:rFonts w:ascii="IRNazanin" w:hAnsi="IRNazanin" w:eastAsia="IRNazanin" w:cs="IRNazanin"/>
            <w:color w:val="111111"/>
            <w:sz w:val="22"/>
            <w:szCs w:val="22"/>
            <w:b w:val="0"/>
            <w:bCs w:val="0"/>
            <w:i w:val="0"/>
            <w:iCs w:val="0"/>
          </w:rPr>
          <w:t>شيبي ، محمّد بن علي، 779 - 837 ه-</w:t>
        </w:r>
        <w:r>
          <w:tab/>
        </w:r>
        <w:r>
          <w:fldChar w:fldCharType="begin"/>
        </w:r>
        <w:r>
          <w:instrText xml:space="preserve">PAGEREF 4376 \h</w:instrText>
        </w:r>
        <w:r>
          <w:fldChar w:fldCharType="end"/>
        </w:r>
      </w:hyperlink>
    </w:p>
    <w:p>
      <w:pPr>
        <w:tabs>
          <w:tab w:val="right" w:leader="dot" w:pos="9062"/>
        </w:tabs>
        <w:ind w:left="220"/>
      </w:pPr>
      <w:hyperlink w:anchor="_Toc4377" w:history="1">
        <w:r>
          <w:rPr>
            <w:rFonts w:ascii="IRNazanin" w:hAnsi="IRNazanin" w:eastAsia="IRNazanin" w:cs="IRNazanin"/>
            <w:color w:val="111111"/>
            <w:sz w:val="22"/>
            <w:szCs w:val="22"/>
            <w:b w:val="0"/>
            <w:bCs w:val="0"/>
            <w:i w:val="0"/>
            <w:iCs w:val="0"/>
          </w:rPr>
          <w:t>شیخ اکمل</w:t>
        </w:r>
        <w:r>
          <w:tab/>
        </w:r>
        <w:r>
          <w:fldChar w:fldCharType="begin"/>
        </w:r>
        <w:r>
          <w:instrText xml:space="preserve">PAGEREF 4377 \h</w:instrText>
        </w:r>
        <w:r>
          <w:fldChar w:fldCharType="end"/>
        </w:r>
      </w:hyperlink>
    </w:p>
    <w:p>
      <w:pPr>
        <w:tabs>
          <w:tab w:val="right" w:leader="dot" w:pos="9062"/>
        </w:tabs>
        <w:ind w:left="220"/>
      </w:pPr>
      <w:hyperlink w:anchor="_Toc4378" w:history="1">
        <w:r>
          <w:rPr>
            <w:rFonts w:ascii="IRNazanin" w:hAnsi="IRNazanin" w:eastAsia="IRNazanin" w:cs="IRNazanin"/>
            <w:color w:val="111111"/>
            <w:sz w:val="22"/>
            <w:szCs w:val="22"/>
            <w:b w:val="0"/>
            <w:bCs w:val="0"/>
            <w:i w:val="0"/>
            <w:iCs w:val="0"/>
          </w:rPr>
          <w:t>شيخ الاسلام ، داود افندي</w:t>
        </w:r>
        <w:r>
          <w:tab/>
        </w:r>
        <w:r>
          <w:fldChar w:fldCharType="begin"/>
        </w:r>
        <w:r>
          <w:instrText xml:space="preserve">PAGEREF 4378 \h</w:instrText>
        </w:r>
        <w:r>
          <w:fldChar w:fldCharType="end"/>
        </w:r>
      </w:hyperlink>
    </w:p>
    <w:p>
      <w:pPr>
        <w:tabs>
          <w:tab w:val="right" w:leader="dot" w:pos="9062"/>
        </w:tabs>
        <w:ind w:left="220"/>
      </w:pPr>
      <w:hyperlink w:anchor="_Toc4379" w:history="1">
        <w:r>
          <w:rPr>
            <w:rFonts w:ascii="IRNazanin" w:hAnsi="IRNazanin" w:eastAsia="IRNazanin" w:cs="IRNazanin"/>
            <w:color w:val="111111"/>
            <w:sz w:val="22"/>
            <w:szCs w:val="22"/>
            <w:b w:val="0"/>
            <w:bCs w:val="0"/>
            <w:i w:val="0"/>
            <w:iCs w:val="0"/>
          </w:rPr>
          <w:t>شيخ الاسلام رومي ، محمّد اسعد بن</w:t>
        </w:r>
        <w:r>
          <w:tab/>
        </w:r>
        <w:r>
          <w:fldChar w:fldCharType="begin"/>
        </w:r>
        <w:r>
          <w:instrText xml:space="preserve">PAGEREF 4379 \h</w:instrText>
        </w:r>
        <w:r>
          <w:fldChar w:fldCharType="end"/>
        </w:r>
      </w:hyperlink>
    </w:p>
    <w:p>
      <w:pPr>
        <w:tabs>
          <w:tab w:val="right" w:leader="dot" w:pos="9062"/>
        </w:tabs>
        <w:ind w:left="220"/>
      </w:pPr>
      <w:hyperlink w:anchor="_Toc4380" w:history="1">
        <w:r>
          <w:rPr>
            <w:rFonts w:ascii="IRNazanin" w:hAnsi="IRNazanin" w:eastAsia="IRNazanin" w:cs="IRNazanin"/>
            <w:color w:val="111111"/>
            <w:sz w:val="22"/>
            <w:szCs w:val="22"/>
            <w:b w:val="0"/>
            <w:bCs w:val="0"/>
            <w:i w:val="0"/>
            <w:iCs w:val="0"/>
          </w:rPr>
          <w:t>شيخ الحفاظ موسى بن حسن قرن 9 ه-</w:t>
        </w:r>
        <w:r>
          <w:tab/>
        </w:r>
        <w:r>
          <w:fldChar w:fldCharType="begin"/>
        </w:r>
        <w:r>
          <w:instrText xml:space="preserve">PAGEREF 4380 \h</w:instrText>
        </w:r>
        <w:r>
          <w:fldChar w:fldCharType="end"/>
        </w:r>
      </w:hyperlink>
    </w:p>
    <w:p>
      <w:pPr>
        <w:tabs>
          <w:tab w:val="right" w:leader="dot" w:pos="9062"/>
        </w:tabs>
        <w:ind w:left="220"/>
      </w:pPr>
      <w:hyperlink w:anchor="_Toc4381" w:history="1">
        <w:r>
          <w:rPr>
            <w:rFonts w:ascii="IRNazanin" w:hAnsi="IRNazanin" w:eastAsia="IRNazanin" w:cs="IRNazanin"/>
            <w:color w:val="111111"/>
            <w:sz w:val="22"/>
            <w:szCs w:val="22"/>
            <w:b w:val="0"/>
            <w:bCs w:val="0"/>
            <w:i w:val="0"/>
            <w:iCs w:val="0"/>
          </w:rPr>
          <w:t>شيخاني ، علي بن حامد ه-</w:t>
        </w:r>
        <w:r>
          <w:tab/>
        </w:r>
        <w:r>
          <w:fldChar w:fldCharType="begin"/>
        </w:r>
        <w:r>
          <w:instrText xml:space="preserve">PAGEREF 4381 \h</w:instrText>
        </w:r>
        <w:r>
          <w:fldChar w:fldCharType="end"/>
        </w:r>
      </w:hyperlink>
    </w:p>
    <w:p>
      <w:pPr>
        <w:tabs>
          <w:tab w:val="right" w:leader="dot" w:pos="9062"/>
        </w:tabs>
        <w:ind w:left="220"/>
      </w:pPr>
      <w:hyperlink w:anchor="_Toc4382" w:history="1">
        <w:r>
          <w:rPr>
            <w:rFonts w:ascii="IRNazanin" w:hAnsi="IRNazanin" w:eastAsia="IRNazanin" w:cs="IRNazanin"/>
            <w:color w:val="111111"/>
            <w:sz w:val="22"/>
            <w:szCs w:val="22"/>
            <w:b w:val="0"/>
            <w:bCs w:val="0"/>
            <w:i w:val="0"/>
            <w:iCs w:val="0"/>
          </w:rPr>
          <w:t>شيخاني ، علي بن عبد الله - 1092 ه-</w:t>
        </w:r>
        <w:r>
          <w:tab/>
        </w:r>
        <w:r>
          <w:fldChar w:fldCharType="begin"/>
        </w:r>
        <w:r>
          <w:instrText xml:space="preserve">PAGEREF 4382 \h</w:instrText>
        </w:r>
        <w:r>
          <w:fldChar w:fldCharType="end"/>
        </w:r>
      </w:hyperlink>
    </w:p>
    <w:p>
      <w:pPr>
        <w:tabs>
          <w:tab w:val="right" w:leader="dot" w:pos="9062"/>
        </w:tabs>
        <w:ind w:left="220"/>
      </w:pPr>
      <w:hyperlink w:anchor="_Toc4383" w:history="1">
        <w:r>
          <w:rPr>
            <w:rFonts w:ascii="IRNazanin" w:hAnsi="IRNazanin" w:eastAsia="IRNazanin" w:cs="IRNazanin"/>
            <w:color w:val="111111"/>
            <w:sz w:val="22"/>
            <w:szCs w:val="22"/>
            <w:b w:val="0"/>
            <w:bCs w:val="0"/>
            <w:i w:val="0"/>
            <w:iCs w:val="0"/>
          </w:rPr>
          <w:t>شيخاني ، محمود بن محمّد - 1119 ه-</w:t>
        </w:r>
        <w:r>
          <w:tab/>
        </w:r>
        <w:r>
          <w:fldChar w:fldCharType="begin"/>
        </w:r>
        <w:r>
          <w:instrText xml:space="preserve">PAGEREF 4383 \h</w:instrText>
        </w:r>
        <w:r>
          <w:fldChar w:fldCharType="end"/>
        </w:r>
      </w:hyperlink>
    </w:p>
    <w:p>
      <w:pPr>
        <w:tabs>
          <w:tab w:val="right" w:leader="dot" w:pos="9062"/>
        </w:tabs>
        <w:ind w:left="220"/>
      </w:pPr>
      <w:hyperlink w:anchor="_Toc4384" w:history="1">
        <w:r>
          <w:rPr>
            <w:rFonts w:ascii="IRNazanin" w:hAnsi="IRNazanin" w:eastAsia="IRNazanin" w:cs="IRNazanin"/>
            <w:color w:val="111111"/>
            <w:sz w:val="22"/>
            <w:szCs w:val="22"/>
            <w:b w:val="0"/>
            <w:bCs w:val="0"/>
            <w:i w:val="0"/>
            <w:iCs w:val="0"/>
          </w:rPr>
          <w:t>شيخ بابا نخجواني ، نعمت الله بن محمود</w:t>
        </w:r>
        <w:r>
          <w:tab/>
        </w:r>
        <w:r>
          <w:fldChar w:fldCharType="begin"/>
        </w:r>
        <w:r>
          <w:instrText xml:space="preserve">PAGEREF 4384 \h</w:instrText>
        </w:r>
        <w:r>
          <w:fldChar w:fldCharType="end"/>
        </w:r>
      </w:hyperlink>
    </w:p>
    <w:p>
      <w:pPr>
        <w:tabs>
          <w:tab w:val="right" w:leader="dot" w:pos="9062"/>
        </w:tabs>
        <w:ind w:left="220"/>
      </w:pPr>
      <w:hyperlink w:anchor="_Toc4385" w:history="1">
        <w:r>
          <w:rPr>
            <w:rFonts w:ascii="IRNazanin" w:hAnsi="IRNazanin" w:eastAsia="IRNazanin" w:cs="IRNazanin"/>
            <w:color w:val="111111"/>
            <w:sz w:val="22"/>
            <w:szCs w:val="22"/>
            <w:b w:val="0"/>
            <w:bCs w:val="0"/>
            <w:i w:val="0"/>
            <w:iCs w:val="0"/>
          </w:rPr>
          <w:t>شيخ بخاري، محمّد بن محمّد قرن 9 ه-</w:t>
        </w:r>
        <w:r>
          <w:tab/>
        </w:r>
        <w:r>
          <w:fldChar w:fldCharType="begin"/>
        </w:r>
        <w:r>
          <w:instrText xml:space="preserve">PAGEREF 4385 \h</w:instrText>
        </w:r>
        <w:r>
          <w:fldChar w:fldCharType="end"/>
        </w:r>
      </w:hyperlink>
    </w:p>
    <w:p>
      <w:pPr>
        <w:tabs>
          <w:tab w:val="right" w:leader="dot" w:pos="9062"/>
        </w:tabs>
        <w:ind w:left="220"/>
      </w:pPr>
      <w:hyperlink w:anchor="_Toc4386" w:history="1">
        <w:r>
          <w:rPr>
            <w:rFonts w:ascii="IRNazanin" w:hAnsi="IRNazanin" w:eastAsia="IRNazanin" w:cs="IRNazanin"/>
            <w:color w:val="111111"/>
            <w:sz w:val="22"/>
            <w:szCs w:val="22"/>
            <w:b w:val="0"/>
            <w:bCs w:val="0"/>
            <w:i w:val="0"/>
            <w:iCs w:val="0"/>
          </w:rPr>
          <w:t>شیخ بدرالدین حسن بن قاسم</w:t>
        </w:r>
        <w:r>
          <w:tab/>
        </w:r>
        <w:r>
          <w:fldChar w:fldCharType="begin"/>
        </w:r>
        <w:r>
          <w:instrText xml:space="preserve">PAGEREF 4386 \h</w:instrText>
        </w:r>
        <w:r>
          <w:fldChar w:fldCharType="end"/>
        </w:r>
      </w:hyperlink>
    </w:p>
    <w:p>
      <w:pPr>
        <w:tabs>
          <w:tab w:val="right" w:leader="dot" w:pos="9062"/>
        </w:tabs>
        <w:ind w:left="220"/>
      </w:pPr>
      <w:hyperlink w:anchor="_Toc4387" w:history="1">
        <w:r>
          <w:rPr>
            <w:rFonts w:ascii="IRNazanin" w:hAnsi="IRNazanin" w:eastAsia="IRNazanin" w:cs="IRNazanin"/>
            <w:color w:val="111111"/>
            <w:sz w:val="22"/>
            <w:szCs w:val="22"/>
            <w:b w:val="0"/>
            <w:bCs w:val="0"/>
            <w:i w:val="0"/>
            <w:iCs w:val="0"/>
          </w:rPr>
          <w:t>شيخ بهائي ، محمّد بن حسين 953 -</w:t>
        </w:r>
        <w:r>
          <w:tab/>
        </w:r>
        <w:r>
          <w:fldChar w:fldCharType="begin"/>
        </w:r>
        <w:r>
          <w:instrText xml:space="preserve">PAGEREF 4387 \h</w:instrText>
        </w:r>
        <w:r>
          <w:fldChar w:fldCharType="end"/>
        </w:r>
      </w:hyperlink>
    </w:p>
    <w:p>
      <w:pPr>
        <w:tabs>
          <w:tab w:val="right" w:leader="dot" w:pos="9062"/>
        </w:tabs>
        <w:ind w:left="220"/>
      </w:pPr>
      <w:hyperlink w:anchor="_Toc4388" w:history="1">
        <w:r>
          <w:rPr>
            <w:rFonts w:ascii="IRNazanin" w:hAnsi="IRNazanin" w:eastAsia="IRNazanin" w:cs="IRNazanin"/>
            <w:color w:val="111111"/>
            <w:sz w:val="22"/>
            <w:szCs w:val="22"/>
            <w:b w:val="0"/>
            <w:bCs w:val="0"/>
            <w:i w:val="0"/>
            <w:iCs w:val="0"/>
          </w:rPr>
          <w:t>شیخ جعفر</w:t>
        </w:r>
        <w:r>
          <w:tab/>
        </w:r>
        <w:r>
          <w:fldChar w:fldCharType="begin"/>
        </w:r>
        <w:r>
          <w:instrText xml:space="preserve">PAGEREF 4388 \h</w:instrText>
        </w:r>
        <w:r>
          <w:fldChar w:fldCharType="end"/>
        </w:r>
      </w:hyperlink>
    </w:p>
    <w:p>
      <w:pPr>
        <w:tabs>
          <w:tab w:val="right" w:leader="dot" w:pos="9062"/>
        </w:tabs>
        <w:ind w:left="220"/>
      </w:pPr>
      <w:hyperlink w:anchor="_Toc4389" w:history="1">
        <w:r>
          <w:rPr>
            <w:rFonts w:ascii="IRNazanin" w:hAnsi="IRNazanin" w:eastAsia="IRNazanin" w:cs="IRNazanin"/>
            <w:color w:val="111111"/>
            <w:sz w:val="22"/>
            <w:szCs w:val="22"/>
            <w:b w:val="0"/>
            <w:bCs w:val="0"/>
            <w:i w:val="0"/>
            <w:iCs w:val="0"/>
          </w:rPr>
          <w:t>شیخ جنید</w:t>
        </w:r>
        <w:r>
          <w:tab/>
        </w:r>
        <w:r>
          <w:fldChar w:fldCharType="begin"/>
        </w:r>
        <w:r>
          <w:instrText xml:space="preserve">PAGEREF 4389 \h</w:instrText>
        </w:r>
        <w:r>
          <w:fldChar w:fldCharType="end"/>
        </w:r>
      </w:hyperlink>
    </w:p>
    <w:p>
      <w:pPr>
        <w:tabs>
          <w:tab w:val="right" w:leader="dot" w:pos="9062"/>
        </w:tabs>
        <w:ind w:left="220"/>
      </w:pPr>
      <w:hyperlink w:anchor="_Toc4390" w:history="1">
        <w:r>
          <w:rPr>
            <w:rFonts w:ascii="IRNazanin" w:hAnsi="IRNazanin" w:eastAsia="IRNazanin" w:cs="IRNazanin"/>
            <w:color w:val="111111"/>
            <w:sz w:val="22"/>
            <w:szCs w:val="22"/>
            <w:b w:val="0"/>
            <w:bCs w:val="0"/>
            <w:i w:val="0"/>
            <w:iCs w:val="0"/>
          </w:rPr>
          <w:t>شيخ جيون ، احمد بن ابي سعيد، 1047 -</w:t>
        </w:r>
        <w:r>
          <w:tab/>
        </w:r>
        <w:r>
          <w:fldChar w:fldCharType="begin"/>
        </w:r>
        <w:r>
          <w:instrText xml:space="preserve">PAGEREF 4390 \h</w:instrText>
        </w:r>
        <w:r>
          <w:fldChar w:fldCharType="end"/>
        </w:r>
      </w:hyperlink>
    </w:p>
    <w:p>
      <w:pPr>
        <w:tabs>
          <w:tab w:val="right" w:leader="dot" w:pos="9062"/>
        </w:tabs>
        <w:ind w:left="220"/>
      </w:pPr>
      <w:hyperlink w:anchor="_Toc4391" w:history="1">
        <w:r>
          <w:rPr>
            <w:rFonts w:ascii="IRNazanin" w:hAnsi="IRNazanin" w:eastAsia="IRNazanin" w:cs="IRNazanin"/>
            <w:color w:val="111111"/>
            <w:sz w:val="22"/>
            <w:szCs w:val="22"/>
            <w:b w:val="0"/>
            <w:bCs w:val="0"/>
            <w:i w:val="0"/>
            <w:iCs w:val="0"/>
          </w:rPr>
          <w:t>شیخ حسین بن شیخ محمّد</w:t>
        </w:r>
        <w:r>
          <w:tab/>
        </w:r>
        <w:r>
          <w:fldChar w:fldCharType="begin"/>
        </w:r>
        <w:r>
          <w:instrText xml:space="preserve">PAGEREF 4391 \h</w:instrText>
        </w:r>
        <w:r>
          <w:fldChar w:fldCharType="end"/>
        </w:r>
      </w:hyperlink>
    </w:p>
    <w:p>
      <w:pPr>
        <w:tabs>
          <w:tab w:val="right" w:leader="dot" w:pos="9062"/>
        </w:tabs>
        <w:ind w:left="220"/>
      </w:pPr>
      <w:hyperlink w:anchor="_Toc4392" w:history="1">
        <w:r>
          <w:rPr>
            <w:rFonts w:ascii="IRNazanin" w:hAnsi="IRNazanin" w:eastAsia="IRNazanin" w:cs="IRNazanin"/>
            <w:color w:val="111111"/>
            <w:sz w:val="22"/>
            <w:szCs w:val="22"/>
            <w:b w:val="0"/>
            <w:bCs w:val="0"/>
            <w:i w:val="0"/>
            <w:iCs w:val="0"/>
          </w:rPr>
          <w:t>شيخ حلبي</w:t>
        </w:r>
        <w:r>
          <w:tab/>
        </w:r>
        <w:r>
          <w:fldChar w:fldCharType="begin"/>
        </w:r>
        <w:r>
          <w:instrText xml:space="preserve">PAGEREF 4392 \h</w:instrText>
        </w:r>
        <w:r>
          <w:fldChar w:fldCharType="end"/>
        </w:r>
      </w:hyperlink>
    </w:p>
    <w:p>
      <w:pPr>
        <w:tabs>
          <w:tab w:val="right" w:leader="dot" w:pos="9062"/>
        </w:tabs>
        <w:ind w:left="220"/>
      </w:pPr>
      <w:hyperlink w:anchor="_Toc4393" w:history="1">
        <w:r>
          <w:rPr>
            <w:rFonts w:ascii="IRNazanin" w:hAnsi="IRNazanin" w:eastAsia="IRNazanin" w:cs="IRNazanin"/>
            <w:color w:val="111111"/>
            <w:sz w:val="22"/>
            <w:szCs w:val="22"/>
            <w:b w:val="0"/>
            <w:bCs w:val="0"/>
            <w:i w:val="0"/>
            <w:iCs w:val="0"/>
          </w:rPr>
          <w:t>شيخ راضي ، جعفر</w:t>
        </w:r>
        <w:r>
          <w:tab/>
        </w:r>
        <w:r>
          <w:fldChar w:fldCharType="begin"/>
        </w:r>
        <w:r>
          <w:instrText xml:space="preserve">PAGEREF 4393 \h</w:instrText>
        </w:r>
        <w:r>
          <w:fldChar w:fldCharType="end"/>
        </w:r>
      </w:hyperlink>
    </w:p>
    <w:p>
      <w:pPr>
        <w:tabs>
          <w:tab w:val="right" w:leader="dot" w:pos="9062"/>
        </w:tabs>
        <w:ind w:left="220"/>
      </w:pPr>
      <w:hyperlink w:anchor="_Toc4394" w:history="1">
        <w:r>
          <w:rPr>
            <w:rFonts w:ascii="IRNazanin" w:hAnsi="IRNazanin" w:eastAsia="IRNazanin" w:cs="IRNazanin"/>
            <w:color w:val="111111"/>
            <w:sz w:val="22"/>
            <w:szCs w:val="22"/>
            <w:b w:val="0"/>
            <w:bCs w:val="0"/>
            <w:i w:val="0"/>
            <w:iCs w:val="0"/>
          </w:rPr>
          <w:t>شیخ زاده ، ابراهيم بن قره مصطفى</w:t>
        </w:r>
        <w:r>
          <w:tab/>
        </w:r>
        <w:r>
          <w:fldChar w:fldCharType="begin"/>
        </w:r>
        <w:r>
          <w:instrText xml:space="preserve">PAGEREF 4394 \h</w:instrText>
        </w:r>
        <w:r>
          <w:fldChar w:fldCharType="end"/>
        </w:r>
      </w:hyperlink>
    </w:p>
    <w:p>
      <w:pPr>
        <w:tabs>
          <w:tab w:val="right" w:leader="dot" w:pos="9062"/>
        </w:tabs>
        <w:ind w:left="220"/>
      </w:pPr>
      <w:hyperlink w:anchor="_Toc4395" w:history="1">
        <w:r>
          <w:rPr>
            <w:rFonts w:ascii="IRNazanin" w:hAnsi="IRNazanin" w:eastAsia="IRNazanin" w:cs="IRNazanin"/>
            <w:color w:val="111111"/>
            <w:sz w:val="22"/>
            <w:szCs w:val="22"/>
            <w:b w:val="0"/>
            <w:bCs w:val="0"/>
            <w:i w:val="0"/>
            <w:iCs w:val="0"/>
          </w:rPr>
          <w:t>شیخ زاده ، عبد الرحيم بن علي - 944</w:t>
        </w:r>
        <w:r>
          <w:tab/>
        </w:r>
        <w:r>
          <w:fldChar w:fldCharType="begin"/>
        </w:r>
        <w:r>
          <w:instrText xml:space="preserve">PAGEREF 4395 \h</w:instrText>
        </w:r>
        <w:r>
          <w:fldChar w:fldCharType="end"/>
        </w:r>
      </w:hyperlink>
    </w:p>
    <w:p>
      <w:pPr>
        <w:tabs>
          <w:tab w:val="right" w:leader="dot" w:pos="9062"/>
        </w:tabs>
        <w:ind w:left="220"/>
      </w:pPr>
      <w:hyperlink w:anchor="_Toc4396" w:history="1">
        <w:r>
          <w:rPr>
            <w:rFonts w:ascii="IRNazanin" w:hAnsi="IRNazanin" w:eastAsia="IRNazanin" w:cs="IRNazanin"/>
            <w:color w:val="111111"/>
            <w:sz w:val="22"/>
            <w:szCs w:val="22"/>
            <w:b w:val="0"/>
            <w:bCs w:val="0"/>
            <w:i w:val="0"/>
            <w:iCs w:val="0"/>
          </w:rPr>
          <w:t>شیخ زاده قادري ، ابراهيم</w:t>
        </w:r>
        <w:r>
          <w:tab/>
        </w:r>
        <w:r>
          <w:fldChar w:fldCharType="begin"/>
        </w:r>
        <w:r>
          <w:instrText xml:space="preserve">PAGEREF 4396 \h</w:instrText>
        </w:r>
        <w:r>
          <w:fldChar w:fldCharType="end"/>
        </w:r>
      </w:hyperlink>
    </w:p>
    <w:p>
      <w:pPr>
        <w:tabs>
          <w:tab w:val="right" w:leader="dot" w:pos="9062"/>
        </w:tabs>
        <w:ind w:left="220"/>
      </w:pPr>
      <w:hyperlink w:anchor="_Toc4397" w:history="1">
        <w:r>
          <w:rPr>
            <w:rFonts w:ascii="IRNazanin" w:hAnsi="IRNazanin" w:eastAsia="IRNazanin" w:cs="IRNazanin"/>
            <w:color w:val="111111"/>
            <w:sz w:val="22"/>
            <w:szCs w:val="22"/>
            <w:b w:val="0"/>
            <w:bCs w:val="0"/>
            <w:i w:val="0"/>
            <w:iCs w:val="0"/>
          </w:rPr>
          <w:t>شیخ زاده، محمّد بن مصطفى - 950؟</w:t>
        </w:r>
        <w:r>
          <w:tab/>
        </w:r>
        <w:r>
          <w:fldChar w:fldCharType="begin"/>
        </w:r>
        <w:r>
          <w:instrText xml:space="preserve">PAGEREF 4397 \h</w:instrText>
        </w:r>
        <w:r>
          <w:fldChar w:fldCharType="end"/>
        </w:r>
      </w:hyperlink>
    </w:p>
    <w:p>
      <w:pPr>
        <w:tabs>
          <w:tab w:val="right" w:leader="dot" w:pos="9062"/>
        </w:tabs>
        <w:ind w:left="220"/>
      </w:pPr>
      <w:hyperlink w:anchor="_Toc4398" w:history="1">
        <w:r>
          <w:rPr>
            <w:rFonts w:ascii="IRNazanin" w:hAnsi="IRNazanin" w:eastAsia="IRNazanin" w:cs="IRNazanin"/>
            <w:color w:val="111111"/>
            <w:sz w:val="22"/>
            <w:szCs w:val="22"/>
            <w:b w:val="0"/>
            <w:bCs w:val="0"/>
            <w:i w:val="0"/>
            <w:iCs w:val="0"/>
          </w:rPr>
          <w:t>شیخ صدوق، محمّد بن علي 311؟ -</w:t>
        </w:r>
        <w:r>
          <w:tab/>
        </w:r>
        <w:r>
          <w:fldChar w:fldCharType="begin"/>
        </w:r>
        <w:r>
          <w:instrText xml:space="preserve">PAGEREF 4398 \h</w:instrText>
        </w:r>
        <w:r>
          <w:fldChar w:fldCharType="end"/>
        </w:r>
      </w:hyperlink>
    </w:p>
    <w:p>
      <w:pPr>
        <w:tabs>
          <w:tab w:val="right" w:leader="dot" w:pos="9062"/>
        </w:tabs>
        <w:ind w:left="220"/>
      </w:pPr>
      <w:hyperlink w:anchor="_Toc4399" w:history="1">
        <w:r>
          <w:rPr>
            <w:rFonts w:ascii="IRNazanin" w:hAnsi="IRNazanin" w:eastAsia="IRNazanin" w:cs="IRNazanin"/>
            <w:color w:val="111111"/>
            <w:sz w:val="22"/>
            <w:szCs w:val="22"/>
            <w:b w:val="0"/>
            <w:bCs w:val="0"/>
            <w:i w:val="0"/>
            <w:iCs w:val="0"/>
          </w:rPr>
          <w:t>شيخ طوسي ، محمّد بن حسن، 385 -</w:t>
        </w:r>
        <w:r>
          <w:tab/>
        </w:r>
        <w:r>
          <w:fldChar w:fldCharType="begin"/>
        </w:r>
        <w:r>
          <w:instrText xml:space="preserve">PAGEREF 4399 \h</w:instrText>
        </w:r>
        <w:r>
          <w:fldChar w:fldCharType="end"/>
        </w:r>
      </w:hyperlink>
    </w:p>
    <w:p>
      <w:pPr>
        <w:tabs>
          <w:tab w:val="right" w:leader="dot" w:pos="9062"/>
        </w:tabs>
        <w:ind w:left="220"/>
      </w:pPr>
      <w:hyperlink w:anchor="_Toc4400" w:history="1">
        <w:r>
          <w:rPr>
            <w:rFonts w:ascii="IRNazanin" w:hAnsi="IRNazanin" w:eastAsia="IRNazanin" w:cs="IRNazanin"/>
            <w:color w:val="111111"/>
            <w:sz w:val="22"/>
            <w:szCs w:val="22"/>
            <w:b w:val="0"/>
            <w:bCs w:val="0"/>
            <w:i w:val="0"/>
            <w:iCs w:val="0"/>
          </w:rPr>
          <w:t>شیخ عثمان</w:t>
        </w:r>
        <w:r>
          <w:tab/>
        </w:r>
        <w:r>
          <w:fldChar w:fldCharType="begin"/>
        </w:r>
        <w:r>
          <w:instrText xml:space="preserve">PAGEREF 4400 \h</w:instrText>
        </w:r>
        <w:r>
          <w:fldChar w:fldCharType="end"/>
        </w:r>
      </w:hyperlink>
    </w:p>
    <w:p>
      <w:pPr>
        <w:tabs>
          <w:tab w:val="right" w:leader="dot" w:pos="9062"/>
        </w:tabs>
        <w:ind w:left="220"/>
      </w:pPr>
      <w:hyperlink w:anchor="_Toc4401" w:history="1">
        <w:r>
          <w:rPr>
            <w:rFonts w:ascii="IRNazanin" w:hAnsi="IRNazanin" w:eastAsia="IRNazanin" w:cs="IRNazanin"/>
            <w:color w:val="111111"/>
            <w:sz w:val="22"/>
            <w:szCs w:val="22"/>
            <w:b w:val="0"/>
            <w:bCs w:val="0"/>
            <w:i w:val="0"/>
            <w:iCs w:val="0"/>
          </w:rPr>
          <w:t>شيخ علي زين الدين</w:t>
        </w:r>
        <w:r>
          <w:tab/>
        </w:r>
        <w:r>
          <w:fldChar w:fldCharType="begin"/>
        </w:r>
        <w:r>
          <w:instrText xml:space="preserve">PAGEREF 4401 \h</w:instrText>
        </w:r>
        <w:r>
          <w:fldChar w:fldCharType="end"/>
        </w:r>
      </w:hyperlink>
    </w:p>
    <w:p>
      <w:pPr>
        <w:tabs>
          <w:tab w:val="right" w:leader="dot" w:pos="9062"/>
        </w:tabs>
        <w:ind w:left="220"/>
      </w:pPr>
      <w:hyperlink w:anchor="_Toc4402" w:history="1">
        <w:r>
          <w:rPr>
            <w:rFonts w:ascii="IRNazanin" w:hAnsi="IRNazanin" w:eastAsia="IRNazanin" w:cs="IRNazanin"/>
            <w:color w:val="111111"/>
            <w:sz w:val="22"/>
            <w:szCs w:val="22"/>
            <w:b w:val="0"/>
            <w:bCs w:val="0"/>
            <w:i w:val="0"/>
            <w:iCs w:val="0"/>
          </w:rPr>
          <w:t>شيخ عيادة</w:t>
        </w:r>
        <w:r>
          <w:tab/>
        </w:r>
        <w:r>
          <w:fldChar w:fldCharType="begin"/>
        </w:r>
        <w:r>
          <w:instrText xml:space="preserve">PAGEREF 4402 \h</w:instrText>
        </w:r>
        <w:r>
          <w:fldChar w:fldCharType="end"/>
        </w:r>
      </w:hyperlink>
    </w:p>
    <w:p>
      <w:pPr>
        <w:tabs>
          <w:tab w:val="right" w:leader="dot" w:pos="9062"/>
        </w:tabs>
        <w:ind w:left="220"/>
      </w:pPr>
      <w:hyperlink w:anchor="_Toc4403" w:history="1">
        <w:r>
          <w:rPr>
            <w:rFonts w:ascii="IRNazanin" w:hAnsi="IRNazanin" w:eastAsia="IRNazanin" w:cs="IRNazanin"/>
            <w:color w:val="111111"/>
            <w:sz w:val="22"/>
            <w:szCs w:val="22"/>
            <w:b w:val="0"/>
            <w:bCs w:val="0"/>
            <w:i w:val="0"/>
            <w:iCs w:val="0"/>
          </w:rPr>
          <w:t>شيخلماريني، عبد القادر بن محمّد -</w:t>
        </w:r>
        <w:r>
          <w:tab/>
        </w:r>
        <w:r>
          <w:fldChar w:fldCharType="begin"/>
        </w:r>
        <w:r>
          <w:instrText xml:space="preserve">PAGEREF 4403 \h</w:instrText>
        </w:r>
        <w:r>
          <w:fldChar w:fldCharType="end"/>
        </w:r>
      </w:hyperlink>
    </w:p>
    <w:p>
      <w:pPr>
        <w:tabs>
          <w:tab w:val="right" w:leader="dot" w:pos="9062"/>
        </w:tabs>
        <w:ind w:left="220"/>
      </w:pPr>
      <w:hyperlink w:anchor="_Toc4404" w:history="1">
        <w:r>
          <w:rPr>
            <w:rFonts w:ascii="IRNazanin" w:hAnsi="IRNazanin" w:eastAsia="IRNazanin" w:cs="IRNazanin"/>
            <w:color w:val="111111"/>
            <w:sz w:val="22"/>
            <w:szCs w:val="22"/>
            <w:b w:val="0"/>
            <w:bCs w:val="0"/>
            <w:i w:val="0"/>
            <w:iCs w:val="0"/>
          </w:rPr>
          <w:t>شیخ محمّد عز</w:t>
        </w:r>
        <w:r>
          <w:tab/>
        </w:r>
        <w:r>
          <w:fldChar w:fldCharType="begin"/>
        </w:r>
        <w:r>
          <w:instrText xml:space="preserve">PAGEREF 4404 \h</w:instrText>
        </w:r>
        <w:r>
          <w:fldChar w:fldCharType="end"/>
        </w:r>
      </w:hyperlink>
    </w:p>
    <w:p>
      <w:pPr>
        <w:tabs>
          <w:tab w:val="right" w:leader="dot" w:pos="9062"/>
        </w:tabs>
        <w:ind w:left="220"/>
      </w:pPr>
      <w:hyperlink w:anchor="_Toc4405" w:history="1">
        <w:r>
          <w:rPr>
            <w:rFonts w:ascii="IRNazanin" w:hAnsi="IRNazanin" w:eastAsia="IRNazanin" w:cs="IRNazanin"/>
            <w:color w:val="111111"/>
            <w:sz w:val="22"/>
            <w:szCs w:val="22"/>
            <w:b w:val="0"/>
            <w:bCs w:val="0"/>
            <w:i w:val="0"/>
            <w:iCs w:val="0"/>
          </w:rPr>
          <w:t>شیخ محمّد غانم</w:t>
        </w:r>
        <w:r>
          <w:tab/>
        </w:r>
        <w:r>
          <w:fldChar w:fldCharType="begin"/>
        </w:r>
        <w:r>
          <w:instrText xml:space="preserve">PAGEREF 4405 \h</w:instrText>
        </w:r>
        <w:r>
          <w:fldChar w:fldCharType="end"/>
        </w:r>
      </w:hyperlink>
    </w:p>
    <w:p>
      <w:pPr>
        <w:tabs>
          <w:tab w:val="right" w:leader="dot" w:pos="9062"/>
        </w:tabs>
        <w:ind w:left="220"/>
      </w:pPr>
      <w:hyperlink w:anchor="_Toc4406" w:history="1">
        <w:r>
          <w:rPr>
            <w:rFonts w:ascii="IRNazanin" w:hAnsi="IRNazanin" w:eastAsia="IRNazanin" w:cs="IRNazanin"/>
            <w:color w:val="111111"/>
            <w:sz w:val="22"/>
            <w:szCs w:val="22"/>
            <w:b w:val="0"/>
            <w:bCs w:val="0"/>
            <w:i w:val="0"/>
            <w:iCs w:val="0"/>
          </w:rPr>
          <w:t>شیخ محمّد یونس قرن 13 ه-</w:t>
        </w:r>
        <w:r>
          <w:tab/>
        </w:r>
        <w:r>
          <w:fldChar w:fldCharType="begin"/>
        </w:r>
        <w:r>
          <w:instrText xml:space="preserve">PAGEREF 4406 \h</w:instrText>
        </w:r>
        <w:r>
          <w:fldChar w:fldCharType="end"/>
        </w:r>
      </w:hyperlink>
    </w:p>
    <w:p>
      <w:pPr>
        <w:tabs>
          <w:tab w:val="right" w:leader="dot" w:pos="9062"/>
        </w:tabs>
        <w:ind w:left="220"/>
      </w:pPr>
      <w:hyperlink w:anchor="_Toc4407" w:history="1">
        <w:r>
          <w:rPr>
            <w:rFonts w:ascii="IRNazanin" w:hAnsi="IRNazanin" w:eastAsia="IRNazanin" w:cs="IRNazanin"/>
            <w:color w:val="111111"/>
            <w:sz w:val="22"/>
            <w:szCs w:val="22"/>
            <w:b w:val="0"/>
            <w:bCs w:val="0"/>
            <w:i w:val="0"/>
            <w:iCs w:val="0"/>
          </w:rPr>
          <w:t>شيخ وفا ، مصطفى بن احمد - 896 ه-</w:t>
        </w:r>
        <w:r>
          <w:tab/>
        </w:r>
        <w:r>
          <w:fldChar w:fldCharType="begin"/>
        </w:r>
        <w:r>
          <w:instrText xml:space="preserve">PAGEREF 4407 \h</w:instrText>
        </w:r>
        <w:r>
          <w:fldChar w:fldCharType="end"/>
        </w:r>
      </w:hyperlink>
    </w:p>
    <w:p>
      <w:pPr>
        <w:tabs>
          <w:tab w:val="right" w:leader="dot" w:pos="9062"/>
        </w:tabs>
        <w:ind w:left="220"/>
      </w:pPr>
      <w:hyperlink w:anchor="_Toc4408" w:history="1">
        <w:r>
          <w:rPr>
            <w:rFonts w:ascii="IRNazanin" w:hAnsi="IRNazanin" w:eastAsia="IRNazanin" w:cs="IRNazanin"/>
            <w:color w:val="111111"/>
            <w:sz w:val="22"/>
            <w:szCs w:val="22"/>
            <w:b w:val="0"/>
            <w:bCs w:val="0"/>
            <w:i w:val="0"/>
            <w:iCs w:val="0"/>
          </w:rPr>
          <w:t>شيخ يحيى</w:t>
        </w:r>
        <w:r>
          <w:tab/>
        </w:r>
        <w:r>
          <w:fldChar w:fldCharType="begin"/>
        </w:r>
        <w:r>
          <w:instrText xml:space="preserve">PAGEREF 4408 \h</w:instrText>
        </w:r>
        <w:r>
          <w:fldChar w:fldCharType="end"/>
        </w:r>
      </w:hyperlink>
    </w:p>
    <w:p>
      <w:pPr>
        <w:tabs>
          <w:tab w:val="right" w:leader="dot" w:pos="9062"/>
        </w:tabs>
        <w:ind w:left="220"/>
      </w:pPr>
      <w:hyperlink w:anchor="_Toc4409" w:history="1">
        <w:r>
          <w:rPr>
            <w:rFonts w:ascii="IRNazanin" w:hAnsi="IRNazanin" w:eastAsia="IRNazanin" w:cs="IRNazanin"/>
            <w:color w:val="111111"/>
            <w:sz w:val="22"/>
            <w:szCs w:val="22"/>
            <w:b w:val="0"/>
            <w:bCs w:val="0"/>
            <w:i w:val="0"/>
            <w:iCs w:val="0"/>
          </w:rPr>
          <w:t>شيخي زاده ، عبدالرحمن بن محمّد -</w:t>
        </w:r>
        <w:r>
          <w:tab/>
        </w:r>
        <w:r>
          <w:fldChar w:fldCharType="begin"/>
        </w:r>
        <w:r>
          <w:instrText xml:space="preserve">PAGEREF 4409 \h</w:instrText>
        </w:r>
        <w:r>
          <w:fldChar w:fldCharType="end"/>
        </w:r>
      </w:hyperlink>
    </w:p>
    <w:p>
      <w:pPr>
        <w:tabs>
          <w:tab w:val="right" w:leader="dot" w:pos="9062"/>
        </w:tabs>
        <w:ind w:left="220"/>
      </w:pPr>
      <w:hyperlink w:anchor="_Toc4410" w:history="1">
        <w:r>
          <w:rPr>
            <w:rFonts w:ascii="IRNazanin" w:hAnsi="IRNazanin" w:eastAsia="IRNazanin" w:cs="IRNazanin"/>
            <w:color w:val="111111"/>
            <w:sz w:val="22"/>
            <w:szCs w:val="22"/>
            <w:b w:val="0"/>
            <w:bCs w:val="0"/>
            <w:i w:val="0"/>
            <w:iCs w:val="0"/>
          </w:rPr>
          <w:t>شيخي ، كريم بن ابراهيم</w:t>
        </w:r>
        <w:r>
          <w:tab/>
        </w:r>
        <w:r>
          <w:fldChar w:fldCharType="begin"/>
        </w:r>
        <w:r>
          <w:instrText xml:space="preserve">PAGEREF 4410 \h</w:instrText>
        </w:r>
        <w:r>
          <w:fldChar w:fldCharType="end"/>
        </w:r>
      </w:hyperlink>
    </w:p>
    <w:p>
      <w:pPr>
        <w:tabs>
          <w:tab w:val="right" w:leader="dot" w:pos="9062"/>
        </w:tabs>
        <w:ind w:left="220"/>
      </w:pPr>
      <w:hyperlink w:anchor="_Toc4411" w:history="1">
        <w:r>
          <w:rPr>
            <w:rFonts w:ascii="IRNazanin" w:hAnsi="IRNazanin" w:eastAsia="IRNazanin" w:cs="IRNazanin"/>
            <w:color w:val="111111"/>
            <w:sz w:val="22"/>
            <w:szCs w:val="22"/>
            <w:b w:val="0"/>
            <w:bCs w:val="0"/>
            <w:i w:val="0"/>
            <w:iCs w:val="0"/>
          </w:rPr>
          <w:t>شیخ یوسف</w:t>
        </w:r>
        <w:r>
          <w:tab/>
        </w:r>
        <w:r>
          <w:fldChar w:fldCharType="begin"/>
        </w:r>
        <w:r>
          <w:instrText xml:space="preserve">PAGEREF 4411 \h</w:instrText>
        </w:r>
        <w:r>
          <w:fldChar w:fldCharType="end"/>
        </w:r>
      </w:hyperlink>
    </w:p>
    <w:p>
      <w:pPr>
        <w:tabs>
          <w:tab w:val="right" w:leader="dot" w:pos="9062"/>
        </w:tabs>
        <w:ind w:left="220"/>
      </w:pPr>
      <w:hyperlink w:anchor="_Toc4412" w:history="1">
        <w:r>
          <w:rPr>
            <w:rFonts w:ascii="IRNazanin" w:hAnsi="IRNazanin" w:eastAsia="IRNazanin" w:cs="IRNazanin"/>
            <w:color w:val="111111"/>
            <w:sz w:val="22"/>
            <w:szCs w:val="22"/>
            <w:b w:val="0"/>
            <w:bCs w:val="0"/>
            <w:i w:val="0"/>
            <w:iCs w:val="0"/>
          </w:rPr>
          <w:t>شيذله بغدادي ، عزيزي بن عبدالملك</w:t>
        </w:r>
        <w:r>
          <w:tab/>
        </w:r>
        <w:r>
          <w:fldChar w:fldCharType="begin"/>
        </w:r>
        <w:r>
          <w:instrText xml:space="preserve">PAGEREF 4412 \h</w:instrText>
        </w:r>
        <w:r>
          <w:fldChar w:fldCharType="end"/>
        </w:r>
      </w:hyperlink>
    </w:p>
    <w:p>
      <w:pPr>
        <w:tabs>
          <w:tab w:val="right" w:leader="dot" w:pos="9062"/>
        </w:tabs>
        <w:ind w:left="220"/>
      </w:pPr>
      <w:hyperlink w:anchor="_Toc4413" w:history="1">
        <w:r>
          <w:rPr>
            <w:rFonts w:ascii="IRNazanin" w:hAnsi="IRNazanin" w:eastAsia="IRNazanin" w:cs="IRNazanin"/>
            <w:color w:val="111111"/>
            <w:sz w:val="22"/>
            <w:szCs w:val="22"/>
            <w:b w:val="0"/>
            <w:bCs w:val="0"/>
            <w:i w:val="0"/>
            <w:iCs w:val="0"/>
          </w:rPr>
          <w:t>شيرازي</w:t>
        </w:r>
        <w:r>
          <w:tab/>
        </w:r>
        <w:r>
          <w:fldChar w:fldCharType="begin"/>
        </w:r>
        <w:r>
          <w:instrText xml:space="preserve">PAGEREF 4413 \h</w:instrText>
        </w:r>
        <w:r>
          <w:fldChar w:fldCharType="end"/>
        </w:r>
      </w:hyperlink>
    </w:p>
    <w:p>
      <w:pPr>
        <w:tabs>
          <w:tab w:val="right" w:leader="dot" w:pos="9062"/>
        </w:tabs>
        <w:ind w:left="220"/>
      </w:pPr>
      <w:hyperlink w:anchor="_Toc4414" w:history="1">
        <w:r>
          <w:rPr>
            <w:rFonts w:ascii="IRNazanin" w:hAnsi="IRNazanin" w:eastAsia="IRNazanin" w:cs="IRNazanin"/>
            <w:color w:val="111111"/>
            <w:sz w:val="22"/>
            <w:szCs w:val="22"/>
            <w:b w:val="0"/>
            <w:bCs w:val="0"/>
            <w:i w:val="0"/>
            <w:iCs w:val="0"/>
          </w:rPr>
          <w:t>شيرازي ، احمد بن حيدر ، قرن 7 ه-</w:t>
        </w:r>
        <w:r>
          <w:tab/>
        </w:r>
        <w:r>
          <w:fldChar w:fldCharType="begin"/>
        </w:r>
        <w:r>
          <w:instrText xml:space="preserve">PAGEREF 4414 \h</w:instrText>
        </w:r>
        <w:r>
          <w:fldChar w:fldCharType="end"/>
        </w:r>
      </w:hyperlink>
    </w:p>
    <w:p>
      <w:pPr>
        <w:tabs>
          <w:tab w:val="right" w:leader="dot" w:pos="9062"/>
        </w:tabs>
        <w:ind w:left="220"/>
      </w:pPr>
      <w:hyperlink w:anchor="_Toc4415" w:history="1">
        <w:r>
          <w:rPr>
            <w:rFonts w:ascii="IRNazanin" w:hAnsi="IRNazanin" w:eastAsia="IRNazanin" w:cs="IRNazanin"/>
            <w:color w:val="111111"/>
            <w:sz w:val="22"/>
            <w:szCs w:val="22"/>
            <w:b w:val="0"/>
            <w:bCs w:val="0"/>
            <w:i w:val="0"/>
            <w:iCs w:val="0"/>
          </w:rPr>
          <w:t>شيرازي ، احمد بن عبد الرحمن - 407 ه-</w:t>
        </w:r>
        <w:r>
          <w:tab/>
        </w:r>
        <w:r>
          <w:fldChar w:fldCharType="begin"/>
        </w:r>
        <w:r>
          <w:instrText xml:space="preserve">PAGEREF 4415 \h</w:instrText>
        </w:r>
        <w:r>
          <w:fldChar w:fldCharType="end"/>
        </w:r>
      </w:hyperlink>
    </w:p>
    <w:p>
      <w:pPr>
        <w:tabs>
          <w:tab w:val="right" w:leader="dot" w:pos="9062"/>
        </w:tabs>
        <w:ind w:left="220"/>
      </w:pPr>
      <w:hyperlink w:anchor="_Toc4416" w:history="1">
        <w:r>
          <w:rPr>
            <w:rFonts w:ascii="IRNazanin" w:hAnsi="IRNazanin" w:eastAsia="IRNazanin" w:cs="IRNazanin"/>
            <w:color w:val="111111"/>
            <w:sz w:val="22"/>
            <w:szCs w:val="22"/>
            <w:b w:val="0"/>
            <w:bCs w:val="0"/>
            <w:i w:val="0"/>
            <w:iCs w:val="0"/>
          </w:rPr>
          <w:t>شيرازي ، جمال الدين بن فتح الله قرن</w:t>
        </w:r>
        <w:r>
          <w:tab/>
        </w:r>
        <w:r>
          <w:fldChar w:fldCharType="begin"/>
        </w:r>
        <w:r>
          <w:instrText xml:space="preserve">PAGEREF 4416 \h</w:instrText>
        </w:r>
        <w:r>
          <w:fldChar w:fldCharType="end"/>
        </w:r>
      </w:hyperlink>
    </w:p>
    <w:p>
      <w:pPr>
        <w:tabs>
          <w:tab w:val="right" w:leader="dot" w:pos="9062"/>
        </w:tabs>
        <w:ind w:left="220"/>
      </w:pPr>
      <w:hyperlink w:anchor="_Toc4417" w:history="1">
        <w:r>
          <w:rPr>
            <w:rFonts w:ascii="IRNazanin" w:hAnsi="IRNazanin" w:eastAsia="IRNazanin" w:cs="IRNazanin"/>
            <w:color w:val="111111"/>
            <w:sz w:val="22"/>
            <w:szCs w:val="22"/>
            <w:b w:val="0"/>
            <w:bCs w:val="0"/>
            <w:i w:val="0"/>
            <w:iCs w:val="0"/>
          </w:rPr>
          <w:t>شيرازي جهرمي ، ابوالقاسم، قرن 13 ه-</w:t>
        </w:r>
        <w:r>
          <w:tab/>
        </w:r>
        <w:r>
          <w:fldChar w:fldCharType="begin"/>
        </w:r>
        <w:r>
          <w:instrText xml:space="preserve">PAGEREF 4417 \h</w:instrText>
        </w:r>
        <w:r>
          <w:fldChar w:fldCharType="end"/>
        </w:r>
      </w:hyperlink>
    </w:p>
    <w:p>
      <w:pPr>
        <w:tabs>
          <w:tab w:val="right" w:leader="dot" w:pos="9062"/>
        </w:tabs>
        <w:ind w:left="220"/>
      </w:pPr>
      <w:hyperlink w:anchor="_Toc4418" w:history="1">
        <w:r>
          <w:rPr>
            <w:rFonts w:ascii="IRNazanin" w:hAnsi="IRNazanin" w:eastAsia="IRNazanin" w:cs="IRNazanin"/>
            <w:color w:val="111111"/>
            <w:sz w:val="22"/>
            <w:szCs w:val="22"/>
            <w:b w:val="0"/>
            <w:bCs w:val="0"/>
            <w:i w:val="0"/>
            <w:iCs w:val="0"/>
          </w:rPr>
          <w:t>شيرازي ، صدرالدين علي بن احمد</w:t>
        </w:r>
        <w:r>
          <w:tab/>
        </w:r>
        <w:r>
          <w:fldChar w:fldCharType="begin"/>
        </w:r>
        <w:r>
          <w:instrText xml:space="preserve">PAGEREF 4418 \h</w:instrText>
        </w:r>
        <w:r>
          <w:fldChar w:fldCharType="end"/>
        </w:r>
      </w:hyperlink>
    </w:p>
    <w:p>
      <w:pPr>
        <w:tabs>
          <w:tab w:val="right" w:leader="dot" w:pos="9062"/>
        </w:tabs>
        <w:ind w:left="220"/>
      </w:pPr>
      <w:hyperlink w:anchor="_Toc4419" w:history="1">
        <w:r>
          <w:rPr>
            <w:rFonts w:ascii="IRNazanin" w:hAnsi="IRNazanin" w:eastAsia="IRNazanin" w:cs="IRNazanin"/>
            <w:color w:val="111111"/>
            <w:sz w:val="22"/>
            <w:szCs w:val="22"/>
            <w:b w:val="0"/>
            <w:bCs w:val="0"/>
            <w:i w:val="0"/>
            <w:iCs w:val="0"/>
          </w:rPr>
          <w:t>شيرازي طبيب، محمدّ بن غياث الدين</w:t>
        </w:r>
        <w:r>
          <w:tab/>
        </w:r>
        <w:r>
          <w:fldChar w:fldCharType="begin"/>
        </w:r>
        <w:r>
          <w:instrText xml:space="preserve">PAGEREF 4419 \h</w:instrText>
        </w:r>
        <w:r>
          <w:fldChar w:fldCharType="end"/>
        </w:r>
      </w:hyperlink>
    </w:p>
    <w:p>
      <w:pPr>
        <w:tabs>
          <w:tab w:val="right" w:leader="dot" w:pos="9062"/>
        </w:tabs>
        <w:ind w:left="220"/>
      </w:pPr>
      <w:hyperlink w:anchor="_Toc4420" w:history="1">
        <w:r>
          <w:rPr>
            <w:rFonts w:ascii="IRNazanin" w:hAnsi="IRNazanin" w:eastAsia="IRNazanin" w:cs="IRNazanin"/>
            <w:color w:val="111111"/>
            <w:sz w:val="22"/>
            <w:szCs w:val="22"/>
            <w:b w:val="0"/>
            <w:bCs w:val="0"/>
            <w:i w:val="0"/>
            <w:iCs w:val="0"/>
          </w:rPr>
          <w:t>شيرازي ، عبد النبي بن محمّد مفيد</w:t>
        </w:r>
        <w:r>
          <w:tab/>
        </w:r>
        <w:r>
          <w:fldChar w:fldCharType="begin"/>
        </w:r>
        <w:r>
          <w:instrText xml:space="preserve">PAGEREF 4420 \h</w:instrText>
        </w:r>
        <w:r>
          <w:fldChar w:fldCharType="end"/>
        </w:r>
      </w:hyperlink>
    </w:p>
    <w:p>
      <w:pPr>
        <w:tabs>
          <w:tab w:val="right" w:leader="dot" w:pos="9062"/>
        </w:tabs>
        <w:ind w:left="220"/>
      </w:pPr>
      <w:hyperlink w:anchor="_Toc4421" w:history="1">
        <w:r>
          <w:rPr>
            <w:rFonts w:ascii="IRNazanin" w:hAnsi="IRNazanin" w:eastAsia="IRNazanin" w:cs="IRNazanin"/>
            <w:color w:val="111111"/>
            <w:sz w:val="22"/>
            <w:szCs w:val="22"/>
            <w:b w:val="0"/>
            <w:bCs w:val="0"/>
            <w:i w:val="0"/>
            <w:iCs w:val="0"/>
          </w:rPr>
          <w:t>شيرازي ، عبدالوهاب - 1073 ؟ ه-</w:t>
        </w:r>
        <w:r>
          <w:tab/>
        </w:r>
        <w:r>
          <w:fldChar w:fldCharType="begin"/>
        </w:r>
        <w:r>
          <w:instrText xml:space="preserve">PAGEREF 4421 \h</w:instrText>
        </w:r>
        <w:r>
          <w:fldChar w:fldCharType="end"/>
        </w:r>
      </w:hyperlink>
    </w:p>
    <w:p>
      <w:pPr>
        <w:tabs>
          <w:tab w:val="right" w:leader="dot" w:pos="9062"/>
        </w:tabs>
        <w:ind w:left="220"/>
      </w:pPr>
      <w:hyperlink w:anchor="_Toc4422" w:history="1">
        <w:r>
          <w:rPr>
            <w:rFonts w:ascii="IRNazanin" w:hAnsi="IRNazanin" w:eastAsia="IRNazanin" w:cs="IRNazanin"/>
            <w:color w:val="111111"/>
            <w:sz w:val="22"/>
            <w:szCs w:val="22"/>
            <w:b w:val="0"/>
            <w:bCs w:val="0"/>
            <w:i w:val="0"/>
            <w:iCs w:val="0"/>
          </w:rPr>
          <w:t>شيرازي ، فتح الله - 1298 ه-</w:t>
        </w:r>
        <w:r>
          <w:tab/>
        </w:r>
        <w:r>
          <w:fldChar w:fldCharType="begin"/>
        </w:r>
        <w:r>
          <w:instrText xml:space="preserve">PAGEREF 4422 \h</w:instrText>
        </w:r>
        <w:r>
          <w:fldChar w:fldCharType="end"/>
        </w:r>
      </w:hyperlink>
    </w:p>
    <w:p>
      <w:pPr>
        <w:tabs>
          <w:tab w:val="right" w:leader="dot" w:pos="9062"/>
        </w:tabs>
        <w:ind w:left="220"/>
      </w:pPr>
      <w:hyperlink w:anchor="_Toc4423" w:history="1">
        <w:r>
          <w:rPr>
            <w:rFonts w:ascii="IRNazanin" w:hAnsi="IRNazanin" w:eastAsia="IRNazanin" w:cs="IRNazanin"/>
            <w:color w:val="111111"/>
            <w:sz w:val="22"/>
            <w:szCs w:val="22"/>
            <w:b w:val="0"/>
            <w:bCs w:val="0"/>
            <w:i w:val="0"/>
            <w:iCs w:val="0"/>
          </w:rPr>
          <w:t>شيرازي ، محمّد ابراهيم بن عبدالله</w:t>
        </w:r>
        <w:r>
          <w:tab/>
        </w:r>
        <w:r>
          <w:fldChar w:fldCharType="begin"/>
        </w:r>
        <w:r>
          <w:instrText xml:space="preserve">PAGEREF 4423 \h</w:instrText>
        </w:r>
        <w:r>
          <w:fldChar w:fldCharType="end"/>
        </w:r>
      </w:hyperlink>
    </w:p>
    <w:p>
      <w:pPr>
        <w:tabs>
          <w:tab w:val="right" w:leader="dot" w:pos="9062"/>
        </w:tabs>
        <w:ind w:left="220"/>
      </w:pPr>
      <w:hyperlink w:anchor="_Toc4424" w:history="1">
        <w:r>
          <w:rPr>
            <w:rFonts w:ascii="IRNazanin" w:hAnsi="IRNazanin" w:eastAsia="IRNazanin" w:cs="IRNazanin"/>
            <w:color w:val="111111"/>
            <w:sz w:val="22"/>
            <w:szCs w:val="22"/>
            <w:b w:val="0"/>
            <w:bCs w:val="0"/>
            <w:i w:val="0"/>
            <w:iCs w:val="0"/>
          </w:rPr>
          <w:t>شيرازي ، محمّد ابراهيم بن محمّد مؤمن</w:t>
        </w:r>
        <w:r>
          <w:tab/>
        </w:r>
        <w:r>
          <w:fldChar w:fldCharType="begin"/>
        </w:r>
        <w:r>
          <w:instrText xml:space="preserve">PAGEREF 4424 \h</w:instrText>
        </w:r>
        <w:r>
          <w:fldChar w:fldCharType="end"/>
        </w:r>
      </w:hyperlink>
    </w:p>
    <w:p>
      <w:pPr>
        <w:tabs>
          <w:tab w:val="right" w:leader="dot" w:pos="9062"/>
        </w:tabs>
        <w:ind w:left="220"/>
      </w:pPr>
      <w:hyperlink w:anchor="_Toc4425" w:history="1">
        <w:r>
          <w:rPr>
            <w:rFonts w:ascii="IRNazanin" w:hAnsi="IRNazanin" w:eastAsia="IRNazanin" w:cs="IRNazanin"/>
            <w:color w:val="111111"/>
            <w:sz w:val="22"/>
            <w:szCs w:val="22"/>
            <w:b w:val="0"/>
            <w:bCs w:val="0"/>
            <w:i w:val="0"/>
            <w:iCs w:val="0"/>
          </w:rPr>
          <w:t>شيرازي ، محمّد ابراهيم بن ملاصدرا</w:t>
        </w:r>
        <w:r>
          <w:tab/>
        </w:r>
        <w:r>
          <w:fldChar w:fldCharType="begin"/>
        </w:r>
        <w:r>
          <w:instrText xml:space="preserve">PAGEREF 4425 \h</w:instrText>
        </w:r>
        <w:r>
          <w:fldChar w:fldCharType="end"/>
        </w:r>
      </w:hyperlink>
    </w:p>
    <w:p>
      <w:pPr>
        <w:tabs>
          <w:tab w:val="right" w:leader="dot" w:pos="9062"/>
        </w:tabs>
        <w:ind w:left="220"/>
      </w:pPr>
      <w:hyperlink w:anchor="_Toc4426" w:history="1">
        <w:r>
          <w:rPr>
            <w:rFonts w:ascii="IRNazanin" w:hAnsi="IRNazanin" w:eastAsia="IRNazanin" w:cs="IRNazanin"/>
            <w:color w:val="111111"/>
            <w:sz w:val="22"/>
            <w:szCs w:val="22"/>
            <w:b w:val="0"/>
            <w:bCs w:val="0"/>
            <w:i w:val="0"/>
            <w:iCs w:val="0"/>
          </w:rPr>
          <w:t>شيرازي ، محمّد بن محمّد شاه</w:t>
        </w:r>
        <w:r>
          <w:tab/>
        </w:r>
        <w:r>
          <w:fldChar w:fldCharType="begin"/>
        </w:r>
        <w:r>
          <w:instrText xml:space="preserve">PAGEREF 4426 \h</w:instrText>
        </w:r>
        <w:r>
          <w:fldChar w:fldCharType="end"/>
        </w:r>
      </w:hyperlink>
    </w:p>
    <w:p>
      <w:pPr>
        <w:tabs>
          <w:tab w:val="right" w:leader="dot" w:pos="9062"/>
        </w:tabs>
        <w:ind w:left="220"/>
      </w:pPr>
      <w:hyperlink w:anchor="_Toc4427" w:history="1">
        <w:r>
          <w:rPr>
            <w:rFonts w:ascii="IRNazanin" w:hAnsi="IRNazanin" w:eastAsia="IRNazanin" w:cs="IRNazanin"/>
            <w:color w:val="111111"/>
            <w:sz w:val="22"/>
            <w:szCs w:val="22"/>
            <w:b w:val="0"/>
            <w:bCs w:val="0"/>
            <w:i w:val="0"/>
            <w:iCs w:val="0"/>
          </w:rPr>
          <w:t>شيرازي ، محمّد بن معصوم قرن 13 ه-</w:t>
        </w:r>
        <w:r>
          <w:tab/>
        </w:r>
        <w:r>
          <w:fldChar w:fldCharType="begin"/>
        </w:r>
        <w:r>
          <w:instrText xml:space="preserve">PAGEREF 4427 \h</w:instrText>
        </w:r>
        <w:r>
          <w:fldChar w:fldCharType="end"/>
        </w:r>
      </w:hyperlink>
    </w:p>
    <w:p>
      <w:pPr>
        <w:tabs>
          <w:tab w:val="right" w:leader="dot" w:pos="9062"/>
        </w:tabs>
        <w:ind w:left="220"/>
      </w:pPr>
      <w:hyperlink w:anchor="_Toc4428" w:history="1">
        <w:r>
          <w:rPr>
            <w:rFonts w:ascii="IRNazanin" w:hAnsi="IRNazanin" w:eastAsia="IRNazanin" w:cs="IRNazanin"/>
            <w:color w:val="111111"/>
            <w:sz w:val="22"/>
            <w:szCs w:val="22"/>
            <w:b w:val="0"/>
            <w:bCs w:val="0"/>
            <w:i w:val="0"/>
            <w:iCs w:val="0"/>
          </w:rPr>
          <w:t>شيرازي ، محمّد بن منصور</w:t>
        </w:r>
        <w:r>
          <w:tab/>
        </w:r>
        <w:r>
          <w:fldChar w:fldCharType="begin"/>
        </w:r>
        <w:r>
          <w:instrText xml:space="preserve">PAGEREF 4428 \h</w:instrText>
        </w:r>
        <w:r>
          <w:fldChar w:fldCharType="end"/>
        </w:r>
      </w:hyperlink>
    </w:p>
    <w:p>
      <w:pPr>
        <w:tabs>
          <w:tab w:val="right" w:leader="dot" w:pos="9062"/>
        </w:tabs>
        <w:ind w:left="220"/>
      </w:pPr>
      <w:hyperlink w:anchor="_Toc4429" w:history="1">
        <w:r>
          <w:rPr>
            <w:rFonts w:ascii="IRNazanin" w:hAnsi="IRNazanin" w:eastAsia="IRNazanin" w:cs="IRNazanin"/>
            <w:color w:val="111111"/>
            <w:sz w:val="22"/>
            <w:szCs w:val="22"/>
            <w:b w:val="0"/>
            <w:bCs w:val="0"/>
            <w:i w:val="0"/>
            <w:iCs w:val="0"/>
          </w:rPr>
          <w:t>شيرازي ، محمّد بن يوسف</w:t>
        </w:r>
        <w:r>
          <w:tab/>
        </w:r>
        <w:r>
          <w:fldChar w:fldCharType="begin"/>
        </w:r>
        <w:r>
          <w:instrText xml:space="preserve">PAGEREF 4429 \h</w:instrText>
        </w:r>
        <w:r>
          <w:fldChar w:fldCharType="end"/>
        </w:r>
      </w:hyperlink>
    </w:p>
    <w:p>
      <w:pPr>
        <w:tabs>
          <w:tab w:val="right" w:leader="dot" w:pos="9062"/>
        </w:tabs>
        <w:ind w:left="220"/>
      </w:pPr>
      <w:hyperlink w:anchor="_Toc4430" w:history="1">
        <w:r>
          <w:rPr>
            <w:rFonts w:ascii="IRNazanin" w:hAnsi="IRNazanin" w:eastAsia="IRNazanin" w:cs="IRNazanin"/>
            <w:color w:val="111111"/>
            <w:sz w:val="22"/>
            <w:szCs w:val="22"/>
            <w:b w:val="0"/>
            <w:bCs w:val="0"/>
            <w:i w:val="0"/>
            <w:iCs w:val="0"/>
          </w:rPr>
          <w:t>شيرازي ، محمّد تقي بن محبعلي 1256؟</w:t>
        </w:r>
        <w:r>
          <w:tab/>
        </w:r>
        <w:r>
          <w:fldChar w:fldCharType="begin"/>
        </w:r>
        <w:r>
          <w:instrText xml:space="preserve">PAGEREF 4430 \h</w:instrText>
        </w:r>
        <w:r>
          <w:fldChar w:fldCharType="end"/>
        </w:r>
      </w:hyperlink>
    </w:p>
    <w:p>
      <w:pPr>
        <w:tabs>
          <w:tab w:val="right" w:leader="dot" w:pos="9062"/>
        </w:tabs>
        <w:ind w:left="220"/>
      </w:pPr>
      <w:hyperlink w:anchor="_Toc4431" w:history="1">
        <w:r>
          <w:rPr>
            <w:rFonts w:ascii="IRNazanin" w:hAnsi="IRNazanin" w:eastAsia="IRNazanin" w:cs="IRNazanin"/>
            <w:color w:val="111111"/>
            <w:sz w:val="22"/>
            <w:szCs w:val="22"/>
            <w:b w:val="0"/>
            <w:bCs w:val="0"/>
            <w:i w:val="0"/>
            <w:iCs w:val="0"/>
          </w:rPr>
          <w:t>شيرازي ، محمّد حسین</w:t>
        </w:r>
        <w:r>
          <w:tab/>
        </w:r>
        <w:r>
          <w:fldChar w:fldCharType="begin"/>
        </w:r>
        <w:r>
          <w:instrText xml:space="preserve">PAGEREF 4431 \h</w:instrText>
        </w:r>
        <w:r>
          <w:fldChar w:fldCharType="end"/>
        </w:r>
      </w:hyperlink>
    </w:p>
    <w:p>
      <w:pPr>
        <w:tabs>
          <w:tab w:val="right" w:leader="dot" w:pos="9062"/>
        </w:tabs>
        <w:ind w:left="220"/>
      </w:pPr>
      <w:hyperlink w:anchor="_Toc4432" w:history="1">
        <w:r>
          <w:rPr>
            <w:rFonts w:ascii="IRNazanin" w:hAnsi="IRNazanin" w:eastAsia="IRNazanin" w:cs="IRNazanin"/>
            <w:color w:val="111111"/>
            <w:sz w:val="22"/>
            <w:szCs w:val="22"/>
            <w:b w:val="0"/>
            <w:bCs w:val="0"/>
            <w:i w:val="0"/>
            <w:iCs w:val="0"/>
          </w:rPr>
          <w:t>شيرازي ، محمّد علي بن محمّد صادق</w:t>
        </w:r>
        <w:r>
          <w:tab/>
        </w:r>
        <w:r>
          <w:fldChar w:fldCharType="begin"/>
        </w:r>
        <w:r>
          <w:instrText xml:space="preserve">PAGEREF 4432 \h</w:instrText>
        </w:r>
        <w:r>
          <w:fldChar w:fldCharType="end"/>
        </w:r>
      </w:hyperlink>
    </w:p>
    <w:p>
      <w:pPr>
        <w:tabs>
          <w:tab w:val="right" w:leader="dot" w:pos="9062"/>
        </w:tabs>
        <w:ind w:left="220"/>
      </w:pPr>
      <w:hyperlink w:anchor="_Toc4433" w:history="1">
        <w:r>
          <w:rPr>
            <w:rFonts w:ascii="IRNazanin" w:hAnsi="IRNazanin" w:eastAsia="IRNazanin" w:cs="IRNazanin"/>
            <w:color w:val="111111"/>
            <w:sz w:val="22"/>
            <w:szCs w:val="22"/>
            <w:b w:val="0"/>
            <w:bCs w:val="0"/>
            <w:i w:val="0"/>
            <w:iCs w:val="0"/>
          </w:rPr>
          <w:t>شيرازي ، محمّد کاظم، 1253 - 1326</w:t>
        </w:r>
        <w:r>
          <w:tab/>
        </w:r>
        <w:r>
          <w:fldChar w:fldCharType="begin"/>
        </w:r>
        <w:r>
          <w:instrText xml:space="preserve">PAGEREF 4433 \h</w:instrText>
        </w:r>
        <w:r>
          <w:fldChar w:fldCharType="end"/>
        </w:r>
      </w:hyperlink>
    </w:p>
    <w:p>
      <w:pPr>
        <w:tabs>
          <w:tab w:val="right" w:leader="dot" w:pos="9062"/>
        </w:tabs>
        <w:ind w:left="220"/>
      </w:pPr>
      <w:hyperlink w:anchor="_Toc4434" w:history="1">
        <w:r>
          <w:rPr>
            <w:rFonts w:ascii="IRNazanin" w:hAnsi="IRNazanin" w:eastAsia="IRNazanin" w:cs="IRNazanin"/>
            <w:color w:val="111111"/>
            <w:sz w:val="22"/>
            <w:szCs w:val="22"/>
            <w:b w:val="0"/>
            <w:bCs w:val="0"/>
            <w:i w:val="0"/>
            <w:iCs w:val="0"/>
          </w:rPr>
          <w:t>شيرازي ، محمّد هادي بن محمّد محمّد صالح</w:t>
        </w:r>
        <w:r>
          <w:tab/>
        </w:r>
        <w:r>
          <w:fldChar w:fldCharType="begin"/>
        </w:r>
        <w:r>
          <w:instrText xml:space="preserve">PAGEREF 4434 \h</w:instrText>
        </w:r>
        <w:r>
          <w:fldChar w:fldCharType="end"/>
        </w:r>
      </w:hyperlink>
    </w:p>
    <w:p>
      <w:pPr>
        <w:tabs>
          <w:tab w:val="right" w:leader="dot" w:pos="9062"/>
        </w:tabs>
        <w:ind w:left="220"/>
      </w:pPr>
      <w:hyperlink w:anchor="_Toc4435" w:history="1">
        <w:r>
          <w:rPr>
            <w:rFonts w:ascii="IRNazanin" w:hAnsi="IRNazanin" w:eastAsia="IRNazanin" w:cs="IRNazanin"/>
            <w:color w:val="111111"/>
            <w:sz w:val="22"/>
            <w:szCs w:val="22"/>
            <w:b w:val="0"/>
            <w:bCs w:val="0"/>
            <w:i w:val="0"/>
            <w:iCs w:val="0"/>
          </w:rPr>
          <w:t>شيرازي ، محمود بن يعقوب قرن 10 ه-</w:t>
        </w:r>
        <w:r>
          <w:tab/>
        </w:r>
        <w:r>
          <w:fldChar w:fldCharType="begin"/>
        </w:r>
        <w:r>
          <w:instrText xml:space="preserve">PAGEREF 4435 \h</w:instrText>
        </w:r>
        <w:r>
          <w:fldChar w:fldCharType="end"/>
        </w:r>
      </w:hyperlink>
    </w:p>
    <w:p>
      <w:pPr>
        <w:tabs>
          <w:tab w:val="right" w:leader="dot" w:pos="9062"/>
        </w:tabs>
        <w:ind w:left="220"/>
      </w:pPr>
      <w:hyperlink w:anchor="_Toc4436" w:history="1">
        <w:r>
          <w:rPr>
            <w:rFonts w:ascii="IRNazanin" w:hAnsi="IRNazanin" w:eastAsia="IRNazanin" w:cs="IRNazanin"/>
            <w:color w:val="111111"/>
            <w:sz w:val="22"/>
            <w:szCs w:val="22"/>
            <w:b w:val="0"/>
            <w:bCs w:val="0"/>
            <w:i w:val="0"/>
            <w:iCs w:val="0"/>
          </w:rPr>
          <w:t>شيرازي ، ملا محمّد علي</w:t>
        </w:r>
        <w:r>
          <w:tab/>
        </w:r>
        <w:r>
          <w:fldChar w:fldCharType="begin"/>
        </w:r>
        <w:r>
          <w:instrText xml:space="preserve">PAGEREF 4436 \h</w:instrText>
        </w:r>
        <w:r>
          <w:fldChar w:fldCharType="end"/>
        </w:r>
      </w:hyperlink>
    </w:p>
    <w:p>
      <w:pPr>
        <w:tabs>
          <w:tab w:val="right" w:leader="dot" w:pos="9062"/>
        </w:tabs>
        <w:ind w:left="220"/>
      </w:pPr>
      <w:hyperlink w:anchor="_Toc4437" w:history="1">
        <w:r>
          <w:rPr>
            <w:rFonts w:ascii="IRNazanin" w:hAnsi="IRNazanin" w:eastAsia="IRNazanin" w:cs="IRNazanin"/>
            <w:color w:val="111111"/>
            <w:sz w:val="22"/>
            <w:szCs w:val="22"/>
            <w:b w:val="0"/>
            <w:bCs w:val="0"/>
            <w:i w:val="0"/>
            <w:iCs w:val="0"/>
          </w:rPr>
          <w:t>شيرازي ، ملامسعود</w:t>
        </w:r>
        <w:r>
          <w:tab/>
        </w:r>
        <w:r>
          <w:fldChar w:fldCharType="begin"/>
        </w:r>
        <w:r>
          <w:instrText xml:space="preserve">PAGEREF 4437 \h</w:instrText>
        </w:r>
        <w:r>
          <w:fldChar w:fldCharType="end"/>
        </w:r>
      </w:hyperlink>
    </w:p>
    <w:p>
      <w:pPr>
        <w:tabs>
          <w:tab w:val="right" w:leader="dot" w:pos="9062"/>
        </w:tabs>
        <w:ind w:left="220"/>
      </w:pPr>
      <w:hyperlink w:anchor="_Toc4438" w:history="1">
        <w:r>
          <w:rPr>
            <w:rFonts w:ascii="IRNazanin" w:hAnsi="IRNazanin" w:eastAsia="IRNazanin" w:cs="IRNazanin"/>
            <w:color w:val="111111"/>
            <w:sz w:val="22"/>
            <w:szCs w:val="22"/>
            <w:b w:val="0"/>
            <w:bCs w:val="0"/>
            <w:i w:val="0"/>
            <w:iCs w:val="0"/>
          </w:rPr>
          <w:t>شيرازي ، منصور بن محمّد - 809 ه-</w:t>
        </w:r>
        <w:r>
          <w:tab/>
        </w:r>
        <w:r>
          <w:fldChar w:fldCharType="begin"/>
        </w:r>
        <w:r>
          <w:instrText xml:space="preserve">PAGEREF 4438 \h</w:instrText>
        </w:r>
        <w:r>
          <w:fldChar w:fldCharType="end"/>
        </w:r>
      </w:hyperlink>
    </w:p>
    <w:p>
      <w:pPr>
        <w:tabs>
          <w:tab w:val="right" w:leader="dot" w:pos="9062"/>
        </w:tabs>
        <w:ind w:left="220"/>
      </w:pPr>
      <w:hyperlink w:anchor="_Toc4439" w:history="1">
        <w:r>
          <w:rPr>
            <w:rFonts w:ascii="IRNazanin" w:hAnsi="IRNazanin" w:eastAsia="IRNazanin" w:cs="IRNazanin"/>
            <w:color w:val="111111"/>
            <w:sz w:val="22"/>
            <w:szCs w:val="22"/>
            <w:b w:val="0"/>
            <w:bCs w:val="0"/>
            <w:i w:val="0"/>
            <w:iCs w:val="0"/>
          </w:rPr>
          <w:t>شيرازي ، مهدي، 1304 - 1380</w:t>
        </w:r>
        <w:r>
          <w:tab/>
        </w:r>
        <w:r>
          <w:fldChar w:fldCharType="begin"/>
        </w:r>
        <w:r>
          <w:instrText xml:space="preserve">PAGEREF 4439 \h</w:instrText>
        </w:r>
        <w:r>
          <w:fldChar w:fldCharType="end"/>
        </w:r>
      </w:hyperlink>
    </w:p>
    <w:p>
      <w:pPr>
        <w:tabs>
          <w:tab w:val="right" w:leader="dot" w:pos="9062"/>
        </w:tabs>
        <w:ind w:left="220"/>
      </w:pPr>
      <w:hyperlink w:anchor="_Toc4440" w:history="1">
        <w:r>
          <w:rPr>
            <w:rFonts w:ascii="IRNazanin" w:hAnsi="IRNazanin" w:eastAsia="IRNazanin" w:cs="IRNazanin"/>
            <w:color w:val="111111"/>
            <w:sz w:val="22"/>
            <w:szCs w:val="22"/>
            <w:b w:val="0"/>
            <w:bCs w:val="0"/>
            <w:i w:val="0"/>
            <w:iCs w:val="0"/>
          </w:rPr>
          <w:t>شيرازي ، نصر بن سعد</w:t>
        </w:r>
        <w:r>
          <w:tab/>
        </w:r>
        <w:r>
          <w:fldChar w:fldCharType="begin"/>
        </w:r>
        <w:r>
          <w:instrText xml:space="preserve">PAGEREF 4440 \h</w:instrText>
        </w:r>
        <w:r>
          <w:fldChar w:fldCharType="end"/>
        </w:r>
      </w:hyperlink>
    </w:p>
    <w:p>
      <w:pPr>
        <w:tabs>
          <w:tab w:val="right" w:leader="dot" w:pos="9062"/>
        </w:tabs>
        <w:ind w:left="220"/>
      </w:pPr>
      <w:hyperlink w:anchor="_Toc4441" w:history="1">
        <w:r>
          <w:rPr>
            <w:rFonts w:ascii="IRNazanin" w:hAnsi="IRNazanin" w:eastAsia="IRNazanin" w:cs="IRNazanin"/>
            <w:color w:val="111111"/>
            <w:sz w:val="22"/>
            <w:szCs w:val="22"/>
            <w:b w:val="0"/>
            <w:bCs w:val="0"/>
            <w:i w:val="0"/>
            <w:iCs w:val="0"/>
          </w:rPr>
          <w:t>شيرازي ، يحيى بن برهان الدین ، قرن 7 ه-</w:t>
        </w:r>
        <w:r>
          <w:tab/>
        </w:r>
        <w:r>
          <w:fldChar w:fldCharType="begin"/>
        </w:r>
        <w:r>
          <w:instrText xml:space="preserve">PAGEREF 4441 \h</w:instrText>
        </w:r>
        <w:r>
          <w:fldChar w:fldCharType="end"/>
        </w:r>
      </w:hyperlink>
    </w:p>
    <w:p>
      <w:pPr>
        <w:tabs>
          <w:tab w:val="right" w:leader="dot" w:pos="9062"/>
        </w:tabs>
        <w:ind w:left="220"/>
      </w:pPr>
      <w:hyperlink w:anchor="_Toc4442" w:history="1">
        <w:r>
          <w:rPr>
            <w:rFonts w:ascii="IRNazanin" w:hAnsi="IRNazanin" w:eastAsia="IRNazanin" w:cs="IRNazanin"/>
            <w:color w:val="111111"/>
            <w:sz w:val="22"/>
            <w:szCs w:val="22"/>
            <w:b w:val="0"/>
            <w:bCs w:val="0"/>
            <w:i w:val="0"/>
            <w:iCs w:val="0"/>
          </w:rPr>
          <w:t>شيرازي ، يوسف</w:t>
        </w:r>
        <w:r>
          <w:tab/>
        </w:r>
        <w:r>
          <w:fldChar w:fldCharType="begin"/>
        </w:r>
        <w:r>
          <w:instrText xml:space="preserve">PAGEREF 4442 \h</w:instrText>
        </w:r>
        <w:r>
          <w:fldChar w:fldCharType="end"/>
        </w:r>
      </w:hyperlink>
    </w:p>
    <w:p>
      <w:pPr>
        <w:tabs>
          <w:tab w:val="right" w:leader="dot" w:pos="9062"/>
        </w:tabs>
        <w:ind w:left="220"/>
      </w:pPr>
      <w:hyperlink w:anchor="_Toc4443" w:history="1">
        <w:r>
          <w:rPr>
            <w:rFonts w:ascii="IRNazanin" w:hAnsi="IRNazanin" w:eastAsia="IRNazanin" w:cs="IRNazanin"/>
            <w:color w:val="111111"/>
            <w:sz w:val="22"/>
            <w:szCs w:val="22"/>
            <w:b w:val="0"/>
            <w:bCs w:val="0"/>
            <w:i w:val="0"/>
            <w:iCs w:val="0"/>
          </w:rPr>
          <w:t>شيرانشي كردي ، محمّد، قرن 11 ه-</w:t>
        </w:r>
        <w:r>
          <w:tab/>
        </w:r>
        <w:r>
          <w:fldChar w:fldCharType="begin"/>
        </w:r>
        <w:r>
          <w:instrText xml:space="preserve">PAGEREF 4443 \h</w:instrText>
        </w:r>
        <w:r>
          <w:fldChar w:fldCharType="end"/>
        </w:r>
      </w:hyperlink>
    </w:p>
    <w:p>
      <w:pPr>
        <w:tabs>
          <w:tab w:val="right" w:leader="dot" w:pos="9062"/>
        </w:tabs>
        <w:ind w:left="220"/>
      </w:pPr>
      <w:hyperlink w:anchor="_Toc4444" w:history="1">
        <w:r>
          <w:rPr>
            <w:rFonts w:ascii="IRNazanin" w:hAnsi="IRNazanin" w:eastAsia="IRNazanin" w:cs="IRNazanin"/>
            <w:color w:val="111111"/>
            <w:sz w:val="22"/>
            <w:szCs w:val="22"/>
            <w:b w:val="0"/>
            <w:bCs w:val="0"/>
            <w:i w:val="0"/>
            <w:iCs w:val="0"/>
          </w:rPr>
          <w:t>شيراوي ، عبد الفتاح</w:t>
        </w:r>
        <w:r>
          <w:tab/>
        </w:r>
        <w:r>
          <w:fldChar w:fldCharType="begin"/>
        </w:r>
        <w:r>
          <w:instrText xml:space="preserve">PAGEREF 4444 \h</w:instrText>
        </w:r>
        <w:r>
          <w:fldChar w:fldCharType="end"/>
        </w:r>
      </w:hyperlink>
    </w:p>
    <w:p>
      <w:pPr>
        <w:tabs>
          <w:tab w:val="right" w:leader="dot" w:pos="9062"/>
        </w:tabs>
        <w:ind w:left="220"/>
      </w:pPr>
      <w:hyperlink w:anchor="_Toc4445" w:history="1">
        <w:r>
          <w:rPr>
            <w:rFonts w:ascii="IRNazanin" w:hAnsi="IRNazanin" w:eastAsia="IRNazanin" w:cs="IRNazanin"/>
            <w:color w:val="111111"/>
            <w:sz w:val="22"/>
            <w:szCs w:val="22"/>
            <w:b w:val="0"/>
            <w:bCs w:val="0"/>
            <w:i w:val="0"/>
            <w:iCs w:val="0"/>
          </w:rPr>
          <w:t>شيرواني تبريزي ، شريف بن رضا، قرن 13</w:t>
        </w:r>
        <w:r>
          <w:tab/>
        </w:r>
        <w:r>
          <w:fldChar w:fldCharType="begin"/>
        </w:r>
        <w:r>
          <w:instrText xml:space="preserve">PAGEREF 4445 \h</w:instrText>
        </w:r>
        <w:r>
          <w:fldChar w:fldCharType="end"/>
        </w:r>
      </w:hyperlink>
    </w:p>
    <w:p>
      <w:pPr>
        <w:tabs>
          <w:tab w:val="right" w:leader="dot" w:pos="9062"/>
        </w:tabs>
        <w:ind w:left="220"/>
      </w:pPr>
      <w:hyperlink w:anchor="_Toc4446" w:history="1">
        <w:r>
          <w:rPr>
            <w:rFonts w:ascii="IRNazanin" w:hAnsi="IRNazanin" w:eastAsia="IRNazanin" w:cs="IRNazanin"/>
            <w:color w:val="111111"/>
            <w:sz w:val="22"/>
            <w:szCs w:val="22"/>
            <w:b w:val="0"/>
            <w:bCs w:val="0"/>
            <w:i w:val="0"/>
            <w:iCs w:val="0"/>
          </w:rPr>
          <w:t>شيرواني ، حسن بن رضا</w:t>
        </w:r>
        <w:r>
          <w:tab/>
        </w:r>
        <w:r>
          <w:fldChar w:fldCharType="begin"/>
        </w:r>
        <w:r>
          <w:instrText xml:space="preserve">PAGEREF 4446 \h</w:instrText>
        </w:r>
        <w:r>
          <w:fldChar w:fldCharType="end"/>
        </w:r>
      </w:hyperlink>
    </w:p>
    <w:p>
      <w:pPr>
        <w:tabs>
          <w:tab w:val="right" w:leader="dot" w:pos="9062"/>
        </w:tabs>
        <w:ind w:left="220"/>
      </w:pPr>
      <w:hyperlink w:anchor="_Toc4447" w:history="1">
        <w:r>
          <w:rPr>
            <w:rFonts w:ascii="IRNazanin" w:hAnsi="IRNazanin" w:eastAsia="IRNazanin" w:cs="IRNazanin"/>
            <w:color w:val="111111"/>
            <w:sz w:val="22"/>
            <w:szCs w:val="22"/>
            <w:b w:val="0"/>
            <w:bCs w:val="0"/>
            <w:i w:val="0"/>
            <w:iCs w:val="0"/>
          </w:rPr>
          <w:t>شيرواني ، حسين</w:t>
        </w:r>
        <w:r>
          <w:tab/>
        </w:r>
        <w:r>
          <w:fldChar w:fldCharType="begin"/>
        </w:r>
        <w:r>
          <w:instrText xml:space="preserve">PAGEREF 4447 \h</w:instrText>
        </w:r>
        <w:r>
          <w:fldChar w:fldCharType="end"/>
        </w:r>
      </w:hyperlink>
    </w:p>
    <w:p>
      <w:pPr>
        <w:tabs>
          <w:tab w:val="right" w:leader="dot" w:pos="9062"/>
        </w:tabs>
        <w:ind w:left="220"/>
      </w:pPr>
      <w:hyperlink w:anchor="_Toc4448" w:history="1">
        <w:r>
          <w:rPr>
            <w:rFonts w:ascii="IRNazanin" w:hAnsi="IRNazanin" w:eastAsia="IRNazanin" w:cs="IRNazanin"/>
            <w:color w:val="111111"/>
            <w:sz w:val="22"/>
            <w:szCs w:val="22"/>
            <w:b w:val="0"/>
            <w:bCs w:val="0"/>
            <w:i w:val="0"/>
            <w:iCs w:val="0"/>
          </w:rPr>
          <w:t>شيرواني، حيدر علي بن محمّد قرن 12</w:t>
        </w:r>
        <w:r>
          <w:tab/>
        </w:r>
        <w:r>
          <w:fldChar w:fldCharType="begin"/>
        </w:r>
        <w:r>
          <w:instrText xml:space="preserve">PAGEREF 4448 \h</w:instrText>
        </w:r>
        <w:r>
          <w:fldChar w:fldCharType="end"/>
        </w:r>
      </w:hyperlink>
    </w:p>
    <w:p>
      <w:pPr>
        <w:tabs>
          <w:tab w:val="right" w:leader="dot" w:pos="9062"/>
        </w:tabs>
        <w:ind w:left="220"/>
      </w:pPr>
      <w:hyperlink w:anchor="_Toc4449" w:history="1">
        <w:r>
          <w:rPr>
            <w:rFonts w:ascii="IRNazanin" w:hAnsi="IRNazanin" w:eastAsia="IRNazanin" w:cs="IRNazanin"/>
            <w:color w:val="111111"/>
            <w:sz w:val="22"/>
            <w:szCs w:val="22"/>
            <w:b w:val="0"/>
            <w:bCs w:val="0"/>
            <w:i w:val="0"/>
            <w:iCs w:val="0"/>
          </w:rPr>
          <w:t>شيرواني، زين العابدين بن اسكندر</w:t>
        </w:r>
        <w:r>
          <w:tab/>
        </w:r>
        <w:r>
          <w:fldChar w:fldCharType="begin"/>
        </w:r>
        <w:r>
          <w:instrText xml:space="preserve">PAGEREF 4449 \h</w:instrText>
        </w:r>
        <w:r>
          <w:fldChar w:fldCharType="end"/>
        </w:r>
      </w:hyperlink>
    </w:p>
    <w:p>
      <w:pPr>
        <w:tabs>
          <w:tab w:val="right" w:leader="dot" w:pos="9062"/>
        </w:tabs>
        <w:ind w:left="220"/>
      </w:pPr>
      <w:hyperlink w:anchor="_Toc4450" w:history="1">
        <w:r>
          <w:rPr>
            <w:rFonts w:ascii="IRNazanin" w:hAnsi="IRNazanin" w:eastAsia="IRNazanin" w:cs="IRNazanin"/>
            <w:color w:val="111111"/>
            <w:sz w:val="22"/>
            <w:szCs w:val="22"/>
            <w:b w:val="0"/>
            <w:bCs w:val="0"/>
            <w:i w:val="0"/>
            <w:iCs w:val="0"/>
          </w:rPr>
          <w:t>شيرواني ، محمّد بن حسن، 1033 - 1098</w:t>
        </w:r>
        <w:r>
          <w:tab/>
        </w:r>
        <w:r>
          <w:fldChar w:fldCharType="begin"/>
        </w:r>
        <w:r>
          <w:instrText xml:space="preserve">PAGEREF 4450 \h</w:instrText>
        </w:r>
        <w:r>
          <w:fldChar w:fldCharType="end"/>
        </w:r>
      </w:hyperlink>
    </w:p>
    <w:p>
      <w:pPr>
        <w:tabs>
          <w:tab w:val="right" w:leader="dot" w:pos="9062"/>
        </w:tabs>
        <w:ind w:left="220"/>
      </w:pPr>
      <w:hyperlink w:anchor="_Toc4451" w:history="1">
        <w:r>
          <w:rPr>
            <w:rFonts w:ascii="IRNazanin" w:hAnsi="IRNazanin" w:eastAsia="IRNazanin" w:cs="IRNazanin"/>
            <w:color w:val="111111"/>
            <w:sz w:val="22"/>
            <w:szCs w:val="22"/>
            <w:b w:val="0"/>
            <w:bCs w:val="0"/>
            <w:i w:val="0"/>
            <w:iCs w:val="0"/>
          </w:rPr>
          <w:t>شيرواني ، محمّد بن محمود - 800 ه-</w:t>
        </w:r>
        <w:r>
          <w:tab/>
        </w:r>
        <w:r>
          <w:fldChar w:fldCharType="begin"/>
        </w:r>
        <w:r>
          <w:instrText xml:space="preserve">PAGEREF 4451 \h</w:instrText>
        </w:r>
        <w:r>
          <w:fldChar w:fldCharType="end"/>
        </w:r>
      </w:hyperlink>
    </w:p>
    <w:p>
      <w:pPr>
        <w:tabs>
          <w:tab w:val="right" w:leader="dot" w:pos="9062"/>
        </w:tabs>
        <w:ind w:left="220"/>
      </w:pPr>
      <w:hyperlink w:anchor="_Toc4452" w:history="1">
        <w:r>
          <w:rPr>
            <w:rFonts w:ascii="IRNazanin" w:hAnsi="IRNazanin" w:eastAsia="IRNazanin" w:cs="IRNazanin"/>
            <w:color w:val="111111"/>
            <w:sz w:val="22"/>
            <w:szCs w:val="22"/>
            <w:b w:val="0"/>
            <w:bCs w:val="0"/>
            <w:i w:val="0"/>
            <w:iCs w:val="0"/>
          </w:rPr>
          <w:t>شيرواني ، محمّد حسين بن محمّد قرن 14</w:t>
        </w:r>
        <w:r>
          <w:tab/>
        </w:r>
        <w:r>
          <w:fldChar w:fldCharType="begin"/>
        </w:r>
        <w:r>
          <w:instrText xml:space="preserve">PAGEREF 4452 \h</w:instrText>
        </w:r>
        <w:r>
          <w:fldChar w:fldCharType="end"/>
        </w:r>
      </w:hyperlink>
    </w:p>
    <w:p>
      <w:pPr>
        <w:tabs>
          <w:tab w:val="right" w:leader="dot" w:pos="9062"/>
        </w:tabs>
        <w:ind w:left="220"/>
      </w:pPr>
      <w:hyperlink w:anchor="_Toc4453" w:history="1">
        <w:r>
          <w:rPr>
            <w:rFonts w:ascii="IRNazanin" w:hAnsi="IRNazanin" w:eastAsia="IRNazanin" w:cs="IRNazanin"/>
            <w:color w:val="111111"/>
            <w:sz w:val="22"/>
            <w:szCs w:val="22"/>
            <w:b w:val="0"/>
            <w:bCs w:val="0"/>
            <w:i w:val="0"/>
            <w:iCs w:val="0"/>
          </w:rPr>
          <w:t>شيرواني ، مسعود بن حسين - 905 ه-</w:t>
        </w:r>
        <w:r>
          <w:tab/>
        </w:r>
        <w:r>
          <w:fldChar w:fldCharType="begin"/>
        </w:r>
        <w:r>
          <w:instrText xml:space="preserve">PAGEREF 4453 \h</w:instrText>
        </w:r>
        <w:r>
          <w:fldChar w:fldCharType="end"/>
        </w:r>
      </w:hyperlink>
    </w:p>
    <w:p>
      <w:pPr>
        <w:tabs>
          <w:tab w:val="right" w:leader="dot" w:pos="9062"/>
        </w:tabs>
        <w:ind w:left="220"/>
      </w:pPr>
      <w:hyperlink w:anchor="_Toc4454" w:history="1">
        <w:r>
          <w:rPr>
            <w:rFonts w:ascii="IRNazanin" w:hAnsi="IRNazanin" w:eastAsia="IRNazanin" w:cs="IRNazanin"/>
            <w:color w:val="111111"/>
            <w:sz w:val="22"/>
            <w:szCs w:val="22"/>
            <w:b w:val="0"/>
            <w:bCs w:val="0"/>
            <w:i w:val="0"/>
            <w:iCs w:val="0"/>
          </w:rPr>
          <w:t>شيرين مغربي ، محمّد بن عزالدين 750؟</w:t>
        </w:r>
        <w:r>
          <w:tab/>
        </w:r>
        <w:r>
          <w:fldChar w:fldCharType="begin"/>
        </w:r>
        <w:r>
          <w:instrText xml:space="preserve">PAGEREF 4454 \h</w:instrText>
        </w:r>
        <w:r>
          <w:fldChar w:fldCharType="end"/>
        </w:r>
      </w:hyperlink>
    </w:p>
    <w:p>
      <w:pPr>
        <w:tabs>
          <w:tab w:val="right" w:leader="dot" w:pos="9062"/>
        </w:tabs>
        <w:ind w:left="220"/>
      </w:pPr>
      <w:hyperlink w:anchor="_Toc4455" w:history="1">
        <w:r>
          <w:rPr>
            <w:rFonts w:ascii="IRNazanin" w:hAnsi="IRNazanin" w:eastAsia="IRNazanin" w:cs="IRNazanin"/>
            <w:color w:val="111111"/>
            <w:sz w:val="22"/>
            <w:szCs w:val="22"/>
            <w:b w:val="0"/>
            <w:bCs w:val="0"/>
            <w:i w:val="0"/>
            <w:iCs w:val="0"/>
          </w:rPr>
          <w:t>شيزري ، عبدالرحمن بن نصر قرن 6 ه-</w:t>
        </w:r>
        <w:r>
          <w:tab/>
        </w:r>
        <w:r>
          <w:fldChar w:fldCharType="begin"/>
        </w:r>
        <w:r>
          <w:instrText xml:space="preserve">PAGEREF 4455 \h</w:instrText>
        </w:r>
        <w:r>
          <w:fldChar w:fldCharType="end"/>
        </w:r>
      </w:hyperlink>
    </w:p>
    <w:p>
      <w:pPr>
        <w:tabs>
          <w:tab w:val="right" w:leader="dot" w:pos="9062"/>
        </w:tabs>
        <w:ind w:left="220"/>
      </w:pPr>
      <w:hyperlink w:anchor="_Toc4456" w:history="1">
        <w:r>
          <w:rPr>
            <w:rFonts w:ascii="IRNazanin" w:hAnsi="IRNazanin" w:eastAsia="IRNazanin" w:cs="IRNazanin"/>
            <w:color w:val="111111"/>
            <w:sz w:val="22"/>
            <w:szCs w:val="22"/>
            <w:b w:val="0"/>
            <w:bCs w:val="0"/>
            <w:i w:val="0"/>
            <w:iCs w:val="0"/>
          </w:rPr>
          <w:t>شيعي ، حسن بن احمد</w:t>
        </w:r>
        <w:r>
          <w:tab/>
        </w:r>
        <w:r>
          <w:fldChar w:fldCharType="begin"/>
        </w:r>
        <w:r>
          <w:instrText xml:space="preserve">PAGEREF 4456 \h</w:instrText>
        </w:r>
        <w:r>
          <w:fldChar w:fldCharType="end"/>
        </w:r>
      </w:hyperlink>
    </w:p>
    <w:p>
      <w:pPr>
        <w:tabs>
          <w:tab w:val="right" w:leader="dot" w:pos="9062"/>
        </w:tabs>
        <w:ind w:left="220"/>
      </w:pPr>
      <w:hyperlink w:anchor="_Toc4457" w:history="1">
        <w:r>
          <w:rPr>
            <w:rFonts w:ascii="IRNazanin" w:hAnsi="IRNazanin" w:eastAsia="IRNazanin" w:cs="IRNazanin"/>
            <w:color w:val="111111"/>
            <w:sz w:val="22"/>
            <w:szCs w:val="22"/>
            <w:b w:val="0"/>
            <w:bCs w:val="0"/>
            <w:i w:val="0"/>
            <w:iCs w:val="0"/>
          </w:rPr>
          <w:t>شيعي سبزواري، حسن بن حسين - 795</w:t>
        </w:r>
        <w:r>
          <w:tab/>
        </w:r>
        <w:r>
          <w:fldChar w:fldCharType="begin"/>
        </w:r>
        <w:r>
          <w:instrText xml:space="preserve">PAGEREF 4457 \h</w:instrText>
        </w:r>
        <w:r>
          <w:fldChar w:fldCharType="end"/>
        </w:r>
      </w:hyperlink>
    </w:p>
    <w:p>
      <w:pPr>
        <w:tabs>
          <w:tab w:val="right" w:leader="dot" w:pos="9062"/>
        </w:tabs>
        <w:ind w:left="220"/>
      </w:pPr>
      <w:hyperlink w:anchor="_Toc4458" w:history="1">
        <w:r>
          <w:rPr>
            <w:rFonts w:ascii="IRNazanin" w:hAnsi="IRNazanin" w:eastAsia="IRNazanin" w:cs="IRNazanin"/>
            <w:color w:val="111111"/>
            <w:sz w:val="22"/>
            <w:szCs w:val="22"/>
            <w:b w:val="0"/>
            <w:bCs w:val="0"/>
            <w:i w:val="0"/>
            <w:iCs w:val="0"/>
          </w:rPr>
          <w:t>شيفتكي ، حسن بن عمر</w:t>
        </w:r>
        <w:r>
          <w:tab/>
        </w:r>
        <w:r>
          <w:fldChar w:fldCharType="begin"/>
        </w:r>
        <w:r>
          <w:instrText xml:space="preserve">PAGEREF 4458 \h</w:instrText>
        </w:r>
        <w:r>
          <w:fldChar w:fldCharType="end"/>
        </w:r>
      </w:hyperlink>
    </w:p>
    <w:p>
      <w:pPr>
        <w:tabs>
          <w:tab w:val="right" w:leader="dot" w:pos="9062"/>
        </w:tabs>
        <w:ind w:left="220"/>
      </w:pPr>
      <w:hyperlink w:anchor="_Toc4459" w:history="1">
        <w:r>
          <w:rPr>
            <w:rFonts w:ascii="IRNazanin" w:hAnsi="IRNazanin" w:eastAsia="IRNazanin" w:cs="IRNazanin"/>
            <w:color w:val="111111"/>
            <w:sz w:val="22"/>
            <w:szCs w:val="22"/>
            <w:b w:val="0"/>
            <w:bCs w:val="0"/>
            <w:i w:val="0"/>
            <w:iCs w:val="0"/>
          </w:rPr>
          <w:t>شيفكي ، حسين</w:t>
        </w:r>
        <w:r>
          <w:tab/>
        </w:r>
        <w:r>
          <w:fldChar w:fldCharType="begin"/>
        </w:r>
        <w:r>
          <w:instrText xml:space="preserve">PAGEREF 4459 \h</w:instrText>
        </w:r>
        <w:r>
          <w:fldChar w:fldCharType="end"/>
        </w:r>
      </w:hyperlink>
    </w:p>
    <w:p>
      <w:pPr>
        <w:tabs>
          <w:tab w:val="right" w:leader="dot" w:pos="9062"/>
        </w:tabs>
        <w:ind w:left="220"/>
      </w:pPr>
      <w:hyperlink w:anchor="_Toc4460" w:history="1">
        <w:r>
          <w:rPr>
            <w:rFonts w:ascii="IRNazanin" w:hAnsi="IRNazanin" w:eastAsia="IRNazanin" w:cs="IRNazanin"/>
            <w:color w:val="111111"/>
            <w:sz w:val="22"/>
            <w:szCs w:val="22"/>
            <w:b w:val="0"/>
            <w:bCs w:val="0"/>
            <w:i w:val="0"/>
            <w:iCs w:val="0"/>
          </w:rPr>
          <w:t>صائب تبريزي ، محمّد علي بن عبدالرحيم</w:t>
        </w:r>
        <w:r>
          <w:tab/>
        </w:r>
        <w:r>
          <w:fldChar w:fldCharType="begin"/>
        </w:r>
        <w:r>
          <w:instrText xml:space="preserve">PAGEREF 4460 \h</w:instrText>
        </w:r>
        <w:r>
          <w:fldChar w:fldCharType="end"/>
        </w:r>
      </w:hyperlink>
    </w:p>
    <w:p>
      <w:pPr>
        <w:tabs>
          <w:tab w:val="right" w:leader="dot" w:pos="9062"/>
        </w:tabs>
        <w:ind w:left="220"/>
      </w:pPr>
      <w:hyperlink w:anchor="_Toc4461" w:history="1">
        <w:r>
          <w:rPr>
            <w:rFonts w:ascii="IRNazanin" w:hAnsi="IRNazanin" w:eastAsia="IRNazanin" w:cs="IRNazanin"/>
            <w:color w:val="111111"/>
            <w:sz w:val="22"/>
            <w:szCs w:val="22"/>
            <w:b w:val="0"/>
            <w:bCs w:val="0"/>
            <w:i w:val="0"/>
            <w:iCs w:val="0"/>
          </w:rPr>
          <w:t>صائغ زاده، محمّد طاهر - 1337</w:t>
        </w:r>
        <w:r>
          <w:tab/>
        </w:r>
        <w:r>
          <w:fldChar w:fldCharType="begin"/>
        </w:r>
        <w:r>
          <w:instrText xml:space="preserve">PAGEREF 4461 \h</w:instrText>
        </w:r>
        <w:r>
          <w:fldChar w:fldCharType="end"/>
        </w:r>
      </w:hyperlink>
    </w:p>
    <w:p>
      <w:pPr>
        <w:tabs>
          <w:tab w:val="right" w:leader="dot" w:pos="9062"/>
        </w:tabs>
        <w:ind w:left="220"/>
      </w:pPr>
      <w:hyperlink w:anchor="_Toc4462" w:history="1">
        <w:r>
          <w:rPr>
            <w:rFonts w:ascii="IRNazanin" w:hAnsi="IRNazanin" w:eastAsia="IRNazanin" w:cs="IRNazanin"/>
            <w:color w:val="111111"/>
            <w:sz w:val="22"/>
            <w:szCs w:val="22"/>
            <w:b w:val="0"/>
            <w:bCs w:val="0"/>
            <w:i w:val="0"/>
            <w:iCs w:val="0"/>
          </w:rPr>
          <w:t>صائغ ، محسن بن هاشم 1255 - 1339</w:t>
        </w:r>
        <w:r>
          <w:tab/>
        </w:r>
        <w:r>
          <w:fldChar w:fldCharType="begin"/>
        </w:r>
        <w:r>
          <w:instrText xml:space="preserve">PAGEREF 4462 \h</w:instrText>
        </w:r>
        <w:r>
          <w:fldChar w:fldCharType="end"/>
        </w:r>
      </w:hyperlink>
    </w:p>
    <w:p>
      <w:pPr>
        <w:tabs>
          <w:tab w:val="right" w:leader="dot" w:pos="9062"/>
        </w:tabs>
        <w:ind w:left="220"/>
      </w:pPr>
      <w:hyperlink w:anchor="_Toc4463" w:history="1">
        <w:r>
          <w:rPr>
            <w:rFonts w:ascii="IRNazanin" w:hAnsi="IRNazanin" w:eastAsia="IRNazanin" w:cs="IRNazanin"/>
            <w:color w:val="111111"/>
            <w:sz w:val="22"/>
            <w:szCs w:val="22"/>
            <w:b w:val="0"/>
            <w:bCs w:val="0"/>
            <w:i w:val="0"/>
            <w:iCs w:val="0"/>
          </w:rPr>
          <w:t>صائم ، احمد بن محمّد</w:t>
        </w:r>
        <w:r>
          <w:tab/>
        </w:r>
        <w:r>
          <w:fldChar w:fldCharType="begin"/>
        </w:r>
        <w:r>
          <w:instrText xml:space="preserve">PAGEREF 4463 \h</w:instrText>
        </w:r>
        <w:r>
          <w:fldChar w:fldCharType="end"/>
        </w:r>
      </w:hyperlink>
    </w:p>
    <w:p>
      <w:pPr>
        <w:tabs>
          <w:tab w:val="right" w:leader="dot" w:pos="9062"/>
        </w:tabs>
        <w:ind w:left="220"/>
      </w:pPr>
      <w:hyperlink w:anchor="_Toc4464" w:history="1">
        <w:r>
          <w:rPr>
            <w:rFonts w:ascii="IRNazanin" w:hAnsi="IRNazanin" w:eastAsia="IRNazanin" w:cs="IRNazanin"/>
            <w:color w:val="111111"/>
            <w:sz w:val="22"/>
            <w:szCs w:val="22"/>
            <w:b w:val="0"/>
            <w:bCs w:val="0"/>
            <w:i w:val="0"/>
            <w:iCs w:val="0"/>
          </w:rPr>
          <w:t>صابر شيرازي ، مهدي بن محمّد - 1289</w:t>
        </w:r>
        <w:r>
          <w:tab/>
        </w:r>
        <w:r>
          <w:fldChar w:fldCharType="begin"/>
        </w:r>
        <w:r>
          <w:instrText xml:space="preserve">PAGEREF 4464 \h</w:instrText>
        </w:r>
        <w:r>
          <w:fldChar w:fldCharType="end"/>
        </w:r>
      </w:hyperlink>
    </w:p>
    <w:p>
      <w:pPr>
        <w:tabs>
          <w:tab w:val="right" w:leader="dot" w:pos="9062"/>
        </w:tabs>
        <w:ind w:left="220"/>
      </w:pPr>
      <w:hyperlink w:anchor="_Toc4465" w:history="1">
        <w:r>
          <w:rPr>
            <w:rFonts w:ascii="IRNazanin" w:hAnsi="IRNazanin" w:eastAsia="IRNazanin" w:cs="IRNazanin"/>
            <w:color w:val="111111"/>
            <w:sz w:val="22"/>
            <w:szCs w:val="22"/>
            <w:b w:val="0"/>
            <w:bCs w:val="0"/>
            <w:i w:val="0"/>
            <w:iCs w:val="0"/>
          </w:rPr>
          <w:t>صابوني ، احمد بن محمود - 580 ه-</w:t>
        </w:r>
        <w:r>
          <w:tab/>
        </w:r>
        <w:r>
          <w:fldChar w:fldCharType="begin"/>
        </w:r>
        <w:r>
          <w:instrText xml:space="preserve">PAGEREF 4465 \h</w:instrText>
        </w:r>
        <w:r>
          <w:fldChar w:fldCharType="end"/>
        </w:r>
      </w:hyperlink>
    </w:p>
    <w:p>
      <w:pPr>
        <w:tabs>
          <w:tab w:val="right" w:leader="dot" w:pos="9062"/>
        </w:tabs>
        <w:ind w:left="220"/>
      </w:pPr>
      <w:hyperlink w:anchor="_Toc4466" w:history="1">
        <w:r>
          <w:rPr>
            <w:rFonts w:ascii="IRNazanin" w:hAnsi="IRNazanin" w:eastAsia="IRNazanin" w:cs="IRNazanin"/>
            <w:color w:val="111111"/>
            <w:sz w:val="22"/>
            <w:szCs w:val="22"/>
            <w:b w:val="0"/>
            <w:bCs w:val="0"/>
            <w:i w:val="0"/>
            <w:iCs w:val="0"/>
          </w:rPr>
          <w:t>صابي ، ابراهيم بن هلال، 4313 - 384 ه-</w:t>
        </w:r>
        <w:r>
          <w:tab/>
        </w:r>
        <w:r>
          <w:fldChar w:fldCharType="begin"/>
        </w:r>
        <w:r>
          <w:instrText xml:space="preserve">PAGEREF 4466 \h</w:instrText>
        </w:r>
        <w:r>
          <w:fldChar w:fldCharType="end"/>
        </w:r>
      </w:hyperlink>
    </w:p>
    <w:p>
      <w:pPr>
        <w:tabs>
          <w:tab w:val="right" w:leader="dot" w:pos="9062"/>
        </w:tabs>
        <w:ind w:left="220"/>
      </w:pPr>
      <w:hyperlink w:anchor="_Toc4467" w:history="1">
        <w:r>
          <w:rPr>
            <w:rFonts w:ascii="IRNazanin" w:hAnsi="IRNazanin" w:eastAsia="IRNazanin" w:cs="IRNazanin"/>
            <w:color w:val="111111"/>
            <w:sz w:val="22"/>
            <w:szCs w:val="22"/>
            <w:b w:val="0"/>
            <w:bCs w:val="0"/>
            <w:i w:val="0"/>
            <w:iCs w:val="0"/>
          </w:rPr>
          <w:t>صابي ، هلال بن محسن، 359 - 448 ه-</w:t>
        </w:r>
        <w:r>
          <w:tab/>
        </w:r>
        <w:r>
          <w:fldChar w:fldCharType="begin"/>
        </w:r>
        <w:r>
          <w:instrText xml:space="preserve">PAGEREF 4467 \h</w:instrText>
        </w:r>
        <w:r>
          <w:fldChar w:fldCharType="end"/>
        </w:r>
      </w:hyperlink>
    </w:p>
    <w:p>
      <w:pPr>
        <w:tabs>
          <w:tab w:val="right" w:leader="dot" w:pos="9062"/>
        </w:tabs>
        <w:ind w:left="220"/>
      </w:pPr>
      <w:hyperlink w:anchor="_Toc4468" w:history="1">
        <w:r>
          <w:rPr>
            <w:rFonts w:ascii="IRNazanin" w:hAnsi="IRNazanin" w:eastAsia="IRNazanin" w:cs="IRNazanin"/>
            <w:color w:val="111111"/>
            <w:sz w:val="22"/>
            <w:szCs w:val="22"/>
            <w:b w:val="0"/>
            <w:bCs w:val="0"/>
            <w:i w:val="0"/>
            <w:iCs w:val="0"/>
          </w:rPr>
          <w:t>صاحب بن عباد ، اسماعيل بن عباد 326</w:t>
        </w:r>
        <w:r>
          <w:tab/>
        </w:r>
        <w:r>
          <w:fldChar w:fldCharType="begin"/>
        </w:r>
        <w:r>
          <w:instrText xml:space="preserve">PAGEREF 4468 \h</w:instrText>
        </w:r>
        <w:r>
          <w:fldChar w:fldCharType="end"/>
        </w:r>
      </w:hyperlink>
    </w:p>
    <w:p>
      <w:pPr>
        <w:tabs>
          <w:tab w:val="right" w:leader="dot" w:pos="9062"/>
        </w:tabs>
        <w:ind w:left="220"/>
      </w:pPr>
      <w:hyperlink w:anchor="_Toc4469" w:history="1">
        <w:r>
          <w:rPr>
            <w:rFonts w:ascii="IRNazanin" w:hAnsi="IRNazanin" w:eastAsia="IRNazanin" w:cs="IRNazanin"/>
            <w:color w:val="111111"/>
            <w:sz w:val="22"/>
            <w:szCs w:val="22"/>
            <w:b w:val="0"/>
            <w:bCs w:val="0"/>
            <w:i w:val="0"/>
            <w:iCs w:val="0"/>
          </w:rPr>
          <w:t>صاحب حسيني</w:t>
        </w:r>
        <w:r>
          <w:tab/>
        </w:r>
        <w:r>
          <w:fldChar w:fldCharType="begin"/>
        </w:r>
        <w:r>
          <w:instrText xml:space="preserve">PAGEREF 4469 \h</w:instrText>
        </w:r>
        <w:r>
          <w:fldChar w:fldCharType="end"/>
        </w:r>
      </w:hyperlink>
    </w:p>
    <w:p>
      <w:pPr>
        <w:tabs>
          <w:tab w:val="right" w:leader="dot" w:pos="9062"/>
        </w:tabs>
        <w:ind w:left="220"/>
      </w:pPr>
      <w:hyperlink w:anchor="_Toc4470" w:history="1">
        <w:r>
          <w:rPr>
            <w:rFonts w:ascii="IRNazanin" w:hAnsi="IRNazanin" w:eastAsia="IRNazanin" w:cs="IRNazanin"/>
            <w:color w:val="111111"/>
            <w:sz w:val="22"/>
            <w:szCs w:val="22"/>
            <w:b w:val="0"/>
            <w:bCs w:val="0"/>
            <w:i w:val="0"/>
            <w:iCs w:val="0"/>
          </w:rPr>
          <w:t>صاحب مازندراني ، محمّد تقي بن محمّد زكي، - 1256 ه-</w:t>
        </w:r>
        <w:r>
          <w:tab/>
        </w:r>
        <w:r>
          <w:fldChar w:fldCharType="begin"/>
        </w:r>
        <w:r>
          <w:instrText xml:space="preserve">PAGEREF 4470 \h</w:instrText>
        </w:r>
        <w:r>
          <w:fldChar w:fldCharType="end"/>
        </w:r>
      </w:hyperlink>
    </w:p>
    <w:p>
      <w:pPr>
        <w:tabs>
          <w:tab w:val="right" w:leader="dot" w:pos="9062"/>
        </w:tabs>
        <w:ind w:left="220"/>
      </w:pPr>
      <w:hyperlink w:anchor="_Toc4471" w:history="1">
        <w:r>
          <w:rPr>
            <w:rFonts w:ascii="IRNazanin" w:hAnsi="IRNazanin" w:eastAsia="IRNazanin" w:cs="IRNazanin"/>
            <w:color w:val="111111"/>
            <w:sz w:val="22"/>
            <w:szCs w:val="22"/>
            <w:b w:val="0"/>
            <w:bCs w:val="0"/>
            <w:i w:val="0"/>
            <w:iCs w:val="0"/>
          </w:rPr>
          <w:t>صاحب ، محمّد سعید خان قرن 12 ه-</w:t>
        </w:r>
        <w:r>
          <w:tab/>
        </w:r>
        <w:r>
          <w:fldChar w:fldCharType="begin"/>
        </w:r>
        <w:r>
          <w:instrText xml:space="preserve">PAGEREF 4471 \h</w:instrText>
        </w:r>
        <w:r>
          <w:fldChar w:fldCharType="end"/>
        </w:r>
      </w:hyperlink>
    </w:p>
    <w:p>
      <w:pPr>
        <w:tabs>
          <w:tab w:val="right" w:leader="dot" w:pos="9062"/>
        </w:tabs>
        <w:ind w:left="220"/>
      </w:pPr>
      <w:hyperlink w:anchor="_Toc4472" w:history="1">
        <w:r>
          <w:rPr>
            <w:rFonts w:ascii="IRNazanin" w:hAnsi="IRNazanin" w:eastAsia="IRNazanin" w:cs="IRNazanin"/>
            <w:color w:val="111111"/>
            <w:sz w:val="22"/>
            <w:szCs w:val="22"/>
            <w:b w:val="0"/>
            <w:bCs w:val="0"/>
            <w:i w:val="0"/>
            <w:iCs w:val="0"/>
          </w:rPr>
          <w:t>صاروخاني ، احمد بن مصطفى - 971 ه-</w:t>
        </w:r>
        <w:r>
          <w:tab/>
        </w:r>
        <w:r>
          <w:fldChar w:fldCharType="begin"/>
        </w:r>
        <w:r>
          <w:instrText xml:space="preserve">PAGEREF 4472 \h</w:instrText>
        </w:r>
        <w:r>
          <w:fldChar w:fldCharType="end"/>
        </w:r>
      </w:hyperlink>
    </w:p>
    <w:p>
      <w:pPr>
        <w:tabs>
          <w:tab w:val="right" w:leader="dot" w:pos="9062"/>
        </w:tabs>
        <w:ind w:left="220"/>
      </w:pPr>
      <w:hyperlink w:anchor="_Toc4473" w:history="1">
        <w:r>
          <w:rPr>
            <w:rFonts w:ascii="IRNazanin" w:hAnsi="IRNazanin" w:eastAsia="IRNazanin" w:cs="IRNazanin"/>
            <w:color w:val="111111"/>
            <w:sz w:val="22"/>
            <w:szCs w:val="22"/>
            <w:b w:val="0"/>
            <w:bCs w:val="0"/>
            <w:i w:val="0"/>
            <w:iCs w:val="0"/>
          </w:rPr>
          <w:t>صاري كمال - 1067ه-</w:t>
        </w:r>
        <w:r>
          <w:tab/>
        </w:r>
        <w:r>
          <w:fldChar w:fldCharType="begin"/>
        </w:r>
        <w:r>
          <w:instrText xml:space="preserve">PAGEREF 4473 \h</w:instrText>
        </w:r>
        <w:r>
          <w:fldChar w:fldCharType="end"/>
        </w:r>
      </w:hyperlink>
    </w:p>
    <w:p>
      <w:pPr>
        <w:tabs>
          <w:tab w:val="right" w:leader="dot" w:pos="9062"/>
        </w:tabs>
        <w:ind w:left="220"/>
      </w:pPr>
      <w:hyperlink w:anchor="_Toc4474" w:history="1">
        <w:r>
          <w:rPr>
            <w:rFonts w:ascii="IRNazanin" w:hAnsi="IRNazanin" w:eastAsia="IRNazanin" w:cs="IRNazanin"/>
            <w:color w:val="111111"/>
            <w:sz w:val="22"/>
            <w:szCs w:val="22"/>
            <w:b w:val="0"/>
            <w:bCs w:val="0"/>
            <w:i w:val="0"/>
            <w:iCs w:val="0"/>
          </w:rPr>
          <w:t>صاعد شيرازي</w:t>
        </w:r>
        <w:r>
          <w:tab/>
        </w:r>
        <w:r>
          <w:fldChar w:fldCharType="begin"/>
        </w:r>
        <w:r>
          <w:instrText xml:space="preserve">PAGEREF 4474 \h</w:instrText>
        </w:r>
        <w:r>
          <w:fldChar w:fldCharType="end"/>
        </w:r>
      </w:hyperlink>
    </w:p>
    <w:p>
      <w:pPr>
        <w:tabs>
          <w:tab w:val="right" w:leader="dot" w:pos="9062"/>
        </w:tabs>
        <w:ind w:left="220"/>
      </w:pPr>
      <w:hyperlink w:anchor="_Toc4475" w:history="1">
        <w:r>
          <w:rPr>
            <w:rFonts w:ascii="IRNazanin" w:hAnsi="IRNazanin" w:eastAsia="IRNazanin" w:cs="IRNazanin"/>
            <w:color w:val="111111"/>
            <w:sz w:val="22"/>
            <w:szCs w:val="22"/>
            <w:b w:val="0"/>
            <w:bCs w:val="0"/>
            <w:i w:val="0"/>
            <w:iCs w:val="0"/>
          </w:rPr>
          <w:t>صاعدي، مطهر بن مسعود ، قرن 7 ه-</w:t>
        </w:r>
        <w:r>
          <w:tab/>
        </w:r>
        <w:r>
          <w:fldChar w:fldCharType="begin"/>
        </w:r>
        <w:r>
          <w:instrText xml:space="preserve">PAGEREF 4475 \h</w:instrText>
        </w:r>
        <w:r>
          <w:fldChar w:fldCharType="end"/>
        </w:r>
      </w:hyperlink>
    </w:p>
    <w:p>
      <w:pPr>
        <w:tabs>
          <w:tab w:val="right" w:leader="dot" w:pos="9062"/>
        </w:tabs>
        <w:ind w:left="220"/>
      </w:pPr>
      <w:hyperlink w:anchor="_Toc4476" w:history="1">
        <w:r>
          <w:rPr>
            <w:rFonts w:ascii="IRNazanin" w:hAnsi="IRNazanin" w:eastAsia="IRNazanin" w:cs="IRNazanin"/>
            <w:color w:val="111111"/>
            <w:sz w:val="22"/>
            <w:szCs w:val="22"/>
            <w:b w:val="0"/>
            <w:bCs w:val="0"/>
            <w:i w:val="0"/>
            <w:iCs w:val="0"/>
          </w:rPr>
          <w:t>؟ صاغاني ، حسن بن محمّد، 577 - 650</w:t>
        </w:r>
        <w:r>
          <w:tab/>
        </w:r>
        <w:r>
          <w:fldChar w:fldCharType="begin"/>
        </w:r>
        <w:r>
          <w:instrText xml:space="preserve">PAGEREF 4476 \h</w:instrText>
        </w:r>
        <w:r>
          <w:fldChar w:fldCharType="end"/>
        </w:r>
      </w:hyperlink>
    </w:p>
    <w:p>
      <w:pPr>
        <w:tabs>
          <w:tab w:val="right" w:leader="dot" w:pos="9062"/>
        </w:tabs>
        <w:ind w:left="220"/>
      </w:pPr>
      <w:hyperlink w:anchor="_Toc4477" w:history="1">
        <w:r>
          <w:rPr>
            <w:rFonts w:ascii="IRNazanin" w:hAnsi="IRNazanin" w:eastAsia="IRNazanin" w:cs="IRNazanin"/>
            <w:color w:val="111111"/>
            <w:sz w:val="22"/>
            <w:szCs w:val="22"/>
            <w:b w:val="0"/>
            <w:bCs w:val="0"/>
            <w:i w:val="0"/>
            <w:iCs w:val="0"/>
          </w:rPr>
          <w:t>صاغري ، محمّد بن مصطفى</w:t>
        </w:r>
        <w:r>
          <w:tab/>
        </w:r>
        <w:r>
          <w:fldChar w:fldCharType="begin"/>
        </w:r>
        <w:r>
          <w:instrText xml:space="preserve">PAGEREF 4477 \h</w:instrText>
        </w:r>
        <w:r>
          <w:fldChar w:fldCharType="end"/>
        </w:r>
      </w:hyperlink>
    </w:p>
    <w:p>
      <w:pPr>
        <w:tabs>
          <w:tab w:val="right" w:leader="dot" w:pos="9062"/>
        </w:tabs>
        <w:ind w:left="220"/>
      </w:pPr>
      <w:hyperlink w:anchor="_Toc4478" w:history="1">
        <w:r>
          <w:rPr>
            <w:rFonts w:ascii="IRNazanin" w:hAnsi="IRNazanin" w:eastAsia="IRNazanin" w:cs="IRNazanin"/>
            <w:color w:val="111111"/>
            <w:sz w:val="22"/>
            <w:szCs w:val="22"/>
            <w:b w:val="0"/>
            <w:bCs w:val="0"/>
            <w:i w:val="0"/>
            <w:iCs w:val="0"/>
          </w:rPr>
          <w:t>صافي نجفي ، احمد - 1397 ه-</w:t>
        </w:r>
        <w:r>
          <w:tab/>
        </w:r>
        <w:r>
          <w:fldChar w:fldCharType="begin"/>
        </w:r>
        <w:r>
          <w:instrText xml:space="preserve">PAGEREF 4478 \h</w:instrText>
        </w:r>
        <w:r>
          <w:fldChar w:fldCharType="end"/>
        </w:r>
      </w:hyperlink>
    </w:p>
    <w:p>
      <w:pPr>
        <w:tabs>
          <w:tab w:val="right" w:leader="dot" w:pos="9062"/>
        </w:tabs>
        <w:ind w:left="220"/>
      </w:pPr>
      <w:hyperlink w:anchor="_Toc4479" w:history="1">
        <w:r>
          <w:rPr>
            <w:rFonts w:ascii="IRNazanin" w:hAnsi="IRNazanin" w:eastAsia="IRNazanin" w:cs="IRNazanin"/>
            <w:color w:val="111111"/>
            <w:sz w:val="22"/>
            <w:szCs w:val="22"/>
            <w:b w:val="0"/>
            <w:bCs w:val="0"/>
            <w:i w:val="0"/>
            <w:iCs w:val="0"/>
          </w:rPr>
          <w:t>صالاري، يوسف بن علي</w:t>
        </w:r>
        <w:r>
          <w:tab/>
        </w:r>
        <w:r>
          <w:fldChar w:fldCharType="begin"/>
        </w:r>
        <w:r>
          <w:instrText xml:space="preserve">PAGEREF 4479 \h</w:instrText>
        </w:r>
        <w:r>
          <w:fldChar w:fldCharType="end"/>
        </w:r>
      </w:hyperlink>
    </w:p>
    <w:p>
      <w:pPr>
        <w:tabs>
          <w:tab w:val="right" w:leader="dot" w:pos="9062"/>
        </w:tabs>
        <w:ind w:left="220"/>
      </w:pPr>
      <w:hyperlink w:anchor="_Toc4480" w:history="1">
        <w:r>
          <w:rPr>
            <w:rFonts w:ascii="IRNazanin" w:hAnsi="IRNazanin" w:eastAsia="IRNazanin" w:cs="IRNazanin"/>
            <w:color w:val="111111"/>
            <w:sz w:val="22"/>
            <w:szCs w:val="22"/>
            <w:b w:val="0"/>
            <w:bCs w:val="0"/>
            <w:i w:val="0"/>
            <w:iCs w:val="0"/>
          </w:rPr>
          <w:t>صالح افندي</w:t>
        </w:r>
        <w:r>
          <w:tab/>
        </w:r>
        <w:r>
          <w:fldChar w:fldCharType="begin"/>
        </w:r>
        <w:r>
          <w:instrText xml:space="preserve">PAGEREF 4480 \h</w:instrText>
        </w:r>
        <w:r>
          <w:fldChar w:fldCharType="end"/>
        </w:r>
      </w:hyperlink>
    </w:p>
    <w:p>
      <w:pPr>
        <w:tabs>
          <w:tab w:val="right" w:leader="dot" w:pos="9062"/>
        </w:tabs>
        <w:ind w:left="220"/>
      </w:pPr>
      <w:hyperlink w:anchor="_Toc4481" w:history="1">
        <w:r>
          <w:rPr>
            <w:rFonts w:ascii="IRNazanin" w:hAnsi="IRNazanin" w:eastAsia="IRNazanin" w:cs="IRNazanin"/>
            <w:color w:val="111111"/>
            <w:sz w:val="22"/>
            <w:szCs w:val="22"/>
            <w:b w:val="0"/>
            <w:bCs w:val="0"/>
            <w:i w:val="0"/>
            <w:iCs w:val="0"/>
          </w:rPr>
          <w:t>صالحاني، ابراهيم بن خلیل 1133 -</w:t>
        </w:r>
        <w:r>
          <w:tab/>
        </w:r>
        <w:r>
          <w:fldChar w:fldCharType="begin"/>
        </w:r>
        <w:r>
          <w:instrText xml:space="preserve">PAGEREF 4481 \h</w:instrText>
        </w:r>
        <w:r>
          <w:fldChar w:fldCharType="end"/>
        </w:r>
      </w:hyperlink>
    </w:p>
    <w:p>
      <w:pPr>
        <w:tabs>
          <w:tab w:val="right" w:leader="dot" w:pos="9062"/>
        </w:tabs>
        <w:ind w:left="220"/>
      </w:pPr>
      <w:hyperlink w:anchor="_Toc4482" w:history="1">
        <w:r>
          <w:rPr>
            <w:rFonts w:ascii="IRNazanin" w:hAnsi="IRNazanin" w:eastAsia="IRNazanin" w:cs="IRNazanin"/>
            <w:color w:val="111111"/>
            <w:sz w:val="22"/>
            <w:szCs w:val="22"/>
            <w:b w:val="0"/>
            <w:bCs w:val="0"/>
            <w:i w:val="0"/>
            <w:iCs w:val="0"/>
          </w:rPr>
          <w:t>صالح بن رضوان</w:t>
        </w:r>
        <w:r>
          <w:tab/>
        </w:r>
        <w:r>
          <w:fldChar w:fldCharType="begin"/>
        </w:r>
        <w:r>
          <w:instrText xml:space="preserve">PAGEREF 4482 \h</w:instrText>
        </w:r>
        <w:r>
          <w:fldChar w:fldCharType="end"/>
        </w:r>
      </w:hyperlink>
    </w:p>
    <w:p>
      <w:pPr>
        <w:tabs>
          <w:tab w:val="right" w:leader="dot" w:pos="9062"/>
        </w:tabs>
        <w:ind w:left="220"/>
      </w:pPr>
      <w:hyperlink w:anchor="_Toc4483" w:history="1">
        <w:r>
          <w:rPr>
            <w:rFonts w:ascii="IRNazanin" w:hAnsi="IRNazanin" w:eastAsia="IRNazanin" w:cs="IRNazanin"/>
            <w:color w:val="111111"/>
            <w:sz w:val="22"/>
            <w:szCs w:val="22"/>
            <w:b w:val="0"/>
            <w:bCs w:val="0"/>
            <w:i w:val="0"/>
            <w:iCs w:val="0"/>
          </w:rPr>
          <w:t>صالح بن عمر</w:t>
        </w:r>
        <w:r>
          <w:tab/>
        </w:r>
        <w:r>
          <w:fldChar w:fldCharType="begin"/>
        </w:r>
        <w:r>
          <w:instrText xml:space="preserve">PAGEREF 4483 \h</w:instrText>
        </w:r>
        <w:r>
          <w:fldChar w:fldCharType="end"/>
        </w:r>
      </w:hyperlink>
    </w:p>
    <w:p>
      <w:pPr>
        <w:tabs>
          <w:tab w:val="right" w:leader="dot" w:pos="9062"/>
        </w:tabs>
        <w:ind w:left="220"/>
      </w:pPr>
      <w:hyperlink w:anchor="_Toc4484" w:history="1">
        <w:r>
          <w:rPr>
            <w:rFonts w:ascii="IRNazanin" w:hAnsi="IRNazanin" w:eastAsia="IRNazanin" w:cs="IRNazanin"/>
            <w:color w:val="111111"/>
            <w:sz w:val="22"/>
            <w:szCs w:val="22"/>
            <w:b w:val="0"/>
            <w:bCs w:val="0"/>
            <w:i w:val="0"/>
            <w:iCs w:val="0"/>
          </w:rPr>
          <w:t>صالح بن محمّد قرن 12 ه-</w:t>
        </w:r>
        <w:r>
          <w:tab/>
        </w:r>
        <w:r>
          <w:fldChar w:fldCharType="begin"/>
        </w:r>
        <w:r>
          <w:instrText xml:space="preserve">PAGEREF 4484 \h</w:instrText>
        </w:r>
        <w:r>
          <w:fldChar w:fldCharType="end"/>
        </w:r>
      </w:hyperlink>
    </w:p>
    <w:p>
      <w:pPr>
        <w:tabs>
          <w:tab w:val="right" w:leader="dot" w:pos="9062"/>
        </w:tabs>
        <w:ind w:left="220"/>
      </w:pPr>
      <w:hyperlink w:anchor="_Toc4485" w:history="1">
        <w:r>
          <w:rPr>
            <w:rFonts w:ascii="IRNazanin" w:hAnsi="IRNazanin" w:eastAsia="IRNazanin" w:cs="IRNazanin"/>
            <w:color w:val="111111"/>
            <w:sz w:val="22"/>
            <w:szCs w:val="22"/>
            <w:b w:val="0"/>
            <w:bCs w:val="0"/>
            <w:i w:val="0"/>
            <w:iCs w:val="0"/>
          </w:rPr>
          <w:t>صالح حاج الصغير</w:t>
        </w:r>
        <w:r>
          <w:tab/>
        </w:r>
        <w:r>
          <w:fldChar w:fldCharType="begin"/>
        </w:r>
        <w:r>
          <w:instrText xml:space="preserve">PAGEREF 4485 \h</w:instrText>
        </w:r>
        <w:r>
          <w:fldChar w:fldCharType="end"/>
        </w:r>
      </w:hyperlink>
    </w:p>
    <w:p>
      <w:pPr>
        <w:tabs>
          <w:tab w:val="right" w:leader="dot" w:pos="9062"/>
        </w:tabs>
        <w:ind w:left="220"/>
      </w:pPr>
      <w:hyperlink w:anchor="_Toc4486" w:history="1">
        <w:r>
          <w:rPr>
            <w:rFonts w:ascii="IRNazanin" w:hAnsi="IRNazanin" w:eastAsia="IRNazanin" w:cs="IRNazanin"/>
            <w:color w:val="111111"/>
            <w:sz w:val="22"/>
            <w:szCs w:val="22"/>
            <w:b w:val="0"/>
            <w:bCs w:val="0"/>
            <w:i w:val="0"/>
            <w:iCs w:val="0"/>
          </w:rPr>
          <w:t>صالح شکر ، ابراهيم بن احمد 1310 -</w:t>
        </w:r>
        <w:r>
          <w:tab/>
        </w:r>
        <w:r>
          <w:fldChar w:fldCharType="begin"/>
        </w:r>
        <w:r>
          <w:instrText xml:space="preserve">PAGEREF 4486 \h</w:instrText>
        </w:r>
        <w:r>
          <w:fldChar w:fldCharType="end"/>
        </w:r>
      </w:hyperlink>
    </w:p>
    <w:p>
      <w:pPr>
        <w:tabs>
          <w:tab w:val="right" w:leader="dot" w:pos="9062"/>
        </w:tabs>
        <w:ind w:left="220"/>
      </w:pPr>
      <w:hyperlink w:anchor="_Toc4487" w:history="1">
        <w:r>
          <w:rPr>
            <w:rFonts w:ascii="IRNazanin" w:hAnsi="IRNazanin" w:eastAsia="IRNazanin" w:cs="IRNazanin"/>
            <w:color w:val="111111"/>
            <w:sz w:val="22"/>
            <w:szCs w:val="22"/>
            <w:b w:val="0"/>
            <w:bCs w:val="0"/>
            <w:i w:val="0"/>
            <w:iCs w:val="0"/>
          </w:rPr>
          <w:t>صالح معماري ، سلیم بن حافظ، قرن 13</w:t>
        </w:r>
        <w:r>
          <w:tab/>
        </w:r>
        <w:r>
          <w:fldChar w:fldCharType="begin"/>
        </w:r>
        <w:r>
          <w:instrText xml:space="preserve">PAGEREF 4487 \h</w:instrText>
        </w:r>
        <w:r>
          <w:fldChar w:fldCharType="end"/>
        </w:r>
      </w:hyperlink>
    </w:p>
    <w:p>
      <w:pPr>
        <w:tabs>
          <w:tab w:val="right" w:leader="dot" w:pos="9062"/>
        </w:tabs>
        <w:ind w:left="220"/>
      </w:pPr>
      <w:hyperlink w:anchor="_Toc4488" w:history="1">
        <w:r>
          <w:rPr>
            <w:rFonts w:ascii="IRNazanin" w:hAnsi="IRNazanin" w:eastAsia="IRNazanin" w:cs="IRNazanin"/>
            <w:color w:val="111111"/>
            <w:sz w:val="22"/>
            <w:szCs w:val="22"/>
            <w:b w:val="0"/>
            <w:bCs w:val="0"/>
            <w:i w:val="0"/>
            <w:iCs w:val="0"/>
          </w:rPr>
          <w:t>صالحي دمشقي ، علي بن عثمان</w:t>
        </w:r>
        <w:r>
          <w:tab/>
        </w:r>
        <w:r>
          <w:fldChar w:fldCharType="begin"/>
        </w:r>
        <w:r>
          <w:instrText xml:space="preserve">PAGEREF 4488 \h</w:instrText>
        </w:r>
        <w:r>
          <w:fldChar w:fldCharType="end"/>
        </w:r>
      </w:hyperlink>
    </w:p>
    <w:p>
      <w:pPr>
        <w:tabs>
          <w:tab w:val="right" w:leader="dot" w:pos="9062"/>
        </w:tabs>
        <w:ind w:left="220"/>
      </w:pPr>
      <w:hyperlink w:anchor="_Toc4489" w:history="1">
        <w:r>
          <w:rPr>
            <w:rFonts w:ascii="IRNazanin" w:hAnsi="IRNazanin" w:eastAsia="IRNazanin" w:cs="IRNazanin"/>
            <w:color w:val="111111"/>
            <w:sz w:val="22"/>
            <w:szCs w:val="22"/>
            <w:b w:val="0"/>
            <w:bCs w:val="0"/>
            <w:i w:val="0"/>
            <w:iCs w:val="0"/>
          </w:rPr>
          <w:t>صالحي ، محمّد بن يوسف - 942 ه-</w:t>
        </w:r>
        <w:r>
          <w:tab/>
        </w:r>
        <w:r>
          <w:fldChar w:fldCharType="begin"/>
        </w:r>
        <w:r>
          <w:instrText xml:space="preserve">PAGEREF 4489 \h</w:instrText>
        </w:r>
        <w:r>
          <w:fldChar w:fldCharType="end"/>
        </w:r>
      </w:hyperlink>
    </w:p>
    <w:p>
      <w:pPr>
        <w:tabs>
          <w:tab w:val="right" w:leader="dot" w:pos="9062"/>
        </w:tabs>
        <w:ind w:left="220"/>
      </w:pPr>
      <w:hyperlink w:anchor="_Toc4490" w:history="1">
        <w:r>
          <w:rPr>
            <w:rFonts w:ascii="IRNazanin" w:hAnsi="IRNazanin" w:eastAsia="IRNazanin" w:cs="IRNazanin"/>
            <w:color w:val="111111"/>
            <w:sz w:val="22"/>
            <w:szCs w:val="22"/>
            <w:b w:val="0"/>
            <w:bCs w:val="0"/>
            <w:i w:val="0"/>
            <w:iCs w:val="0"/>
          </w:rPr>
          <w:t>صالحي هلالي ، محمّد بن محمّد، 956 -</w:t>
        </w:r>
        <w:r>
          <w:tab/>
        </w:r>
        <w:r>
          <w:fldChar w:fldCharType="begin"/>
        </w:r>
        <w:r>
          <w:instrText xml:space="preserve">PAGEREF 4490 \h</w:instrText>
        </w:r>
        <w:r>
          <w:fldChar w:fldCharType="end"/>
        </w:r>
      </w:hyperlink>
    </w:p>
    <w:p>
      <w:pPr>
        <w:tabs>
          <w:tab w:val="right" w:leader="dot" w:pos="9062"/>
        </w:tabs>
        <w:ind w:left="220"/>
      </w:pPr>
      <w:hyperlink w:anchor="_Toc4491" w:history="1">
        <w:r>
          <w:rPr>
            <w:rFonts w:ascii="IRNazanin" w:hAnsi="IRNazanin" w:eastAsia="IRNazanin" w:cs="IRNazanin"/>
            <w:color w:val="111111"/>
            <w:sz w:val="22"/>
            <w:szCs w:val="22"/>
            <w:b w:val="0"/>
            <w:bCs w:val="0"/>
            <w:i w:val="0"/>
            <w:iCs w:val="0"/>
          </w:rPr>
          <w:t>صاوي، احمد بن محمّد، 1175 - 1241 ه-</w:t>
        </w:r>
        <w:r>
          <w:tab/>
        </w:r>
        <w:r>
          <w:fldChar w:fldCharType="begin"/>
        </w:r>
        <w:r>
          <w:instrText xml:space="preserve">PAGEREF 4491 \h</w:instrText>
        </w:r>
        <w:r>
          <w:fldChar w:fldCharType="end"/>
        </w:r>
      </w:hyperlink>
    </w:p>
    <w:p>
      <w:pPr>
        <w:tabs>
          <w:tab w:val="right" w:leader="dot" w:pos="9062"/>
        </w:tabs>
        <w:ind w:left="220"/>
      </w:pPr>
      <w:hyperlink w:anchor="_Toc4492" w:history="1">
        <w:r>
          <w:rPr>
            <w:rFonts w:ascii="IRNazanin" w:hAnsi="IRNazanin" w:eastAsia="IRNazanin" w:cs="IRNazanin"/>
            <w:color w:val="111111"/>
            <w:sz w:val="22"/>
            <w:szCs w:val="22"/>
            <w:b w:val="0"/>
            <w:bCs w:val="0"/>
            <w:i w:val="0"/>
            <w:iCs w:val="0"/>
          </w:rPr>
          <w:t>صباغ ، علي بن حسن</w:t>
        </w:r>
        <w:r>
          <w:tab/>
        </w:r>
        <w:r>
          <w:fldChar w:fldCharType="begin"/>
        </w:r>
        <w:r>
          <w:instrText xml:space="preserve">PAGEREF 4492 \h</w:instrText>
        </w:r>
        <w:r>
          <w:fldChar w:fldCharType="end"/>
        </w:r>
      </w:hyperlink>
    </w:p>
    <w:p>
      <w:pPr>
        <w:tabs>
          <w:tab w:val="right" w:leader="dot" w:pos="9062"/>
        </w:tabs>
        <w:ind w:left="220"/>
      </w:pPr>
      <w:hyperlink w:anchor="_Toc4493" w:history="1">
        <w:r>
          <w:rPr>
            <w:rFonts w:ascii="IRNazanin" w:hAnsi="IRNazanin" w:eastAsia="IRNazanin" w:cs="IRNazanin"/>
            <w:color w:val="111111"/>
            <w:sz w:val="22"/>
            <w:szCs w:val="22"/>
            <w:b w:val="0"/>
            <w:bCs w:val="0"/>
            <w:i w:val="0"/>
            <w:iCs w:val="0"/>
          </w:rPr>
          <w:t>صباغ ، يوحنا بن عبدالاحد</w:t>
        </w:r>
        <w:r>
          <w:tab/>
        </w:r>
        <w:r>
          <w:fldChar w:fldCharType="begin"/>
        </w:r>
        <w:r>
          <w:instrText xml:space="preserve">PAGEREF 4493 \h</w:instrText>
        </w:r>
        <w:r>
          <w:fldChar w:fldCharType="end"/>
        </w:r>
      </w:hyperlink>
    </w:p>
    <w:p>
      <w:pPr>
        <w:tabs>
          <w:tab w:val="right" w:leader="dot" w:pos="9062"/>
        </w:tabs>
        <w:ind w:left="220"/>
      </w:pPr>
      <w:hyperlink w:anchor="_Toc4494" w:history="1">
        <w:r>
          <w:rPr>
            <w:rFonts w:ascii="IRNazanin" w:hAnsi="IRNazanin" w:eastAsia="IRNazanin" w:cs="IRNazanin"/>
            <w:color w:val="111111"/>
            <w:sz w:val="22"/>
            <w:szCs w:val="22"/>
            <w:b w:val="0"/>
            <w:bCs w:val="0"/>
            <w:i w:val="0"/>
            <w:iCs w:val="0"/>
          </w:rPr>
          <w:t>صبا ، فتحعلي بن محمّد - 1238 ه-</w:t>
        </w:r>
        <w:r>
          <w:tab/>
        </w:r>
        <w:r>
          <w:fldChar w:fldCharType="begin"/>
        </w:r>
        <w:r>
          <w:instrText xml:space="preserve">PAGEREF 4494 \h</w:instrText>
        </w:r>
        <w:r>
          <w:fldChar w:fldCharType="end"/>
        </w:r>
      </w:hyperlink>
    </w:p>
    <w:p>
      <w:pPr>
        <w:tabs>
          <w:tab w:val="right" w:leader="dot" w:pos="9062"/>
        </w:tabs>
        <w:ind w:left="220"/>
      </w:pPr>
      <w:hyperlink w:anchor="_Toc4495" w:history="1">
        <w:r>
          <w:rPr>
            <w:rFonts w:ascii="IRNazanin" w:hAnsi="IRNazanin" w:eastAsia="IRNazanin" w:cs="IRNazanin"/>
            <w:color w:val="111111"/>
            <w:sz w:val="22"/>
            <w:szCs w:val="22"/>
            <w:b w:val="0"/>
            <w:bCs w:val="0"/>
            <w:i w:val="0"/>
            <w:iCs w:val="0"/>
          </w:rPr>
          <w:t>صبان ، محمّد بن علي - 1206ه-</w:t>
        </w:r>
        <w:r>
          <w:tab/>
        </w:r>
        <w:r>
          <w:fldChar w:fldCharType="begin"/>
        </w:r>
        <w:r>
          <w:instrText xml:space="preserve">PAGEREF 4495 \h</w:instrText>
        </w:r>
        <w:r>
          <w:fldChar w:fldCharType="end"/>
        </w:r>
      </w:hyperlink>
    </w:p>
    <w:p>
      <w:pPr>
        <w:tabs>
          <w:tab w:val="right" w:leader="dot" w:pos="9062"/>
        </w:tabs>
        <w:ind w:left="220"/>
      </w:pPr>
      <w:hyperlink w:anchor="_Toc4496" w:history="1">
        <w:r>
          <w:rPr>
            <w:rFonts w:ascii="IRNazanin" w:hAnsi="IRNazanin" w:eastAsia="IRNazanin" w:cs="IRNazanin"/>
            <w:color w:val="111111"/>
            <w:sz w:val="22"/>
            <w:szCs w:val="22"/>
            <w:b w:val="0"/>
            <w:bCs w:val="0"/>
            <w:i w:val="0"/>
            <w:iCs w:val="0"/>
          </w:rPr>
          <w:t>صبحي ، محمّد بن خليل - 1183 ه-</w:t>
        </w:r>
        <w:r>
          <w:tab/>
        </w:r>
        <w:r>
          <w:fldChar w:fldCharType="begin"/>
        </w:r>
        <w:r>
          <w:instrText xml:space="preserve">PAGEREF 4496 \h</w:instrText>
        </w:r>
        <w:r>
          <w:fldChar w:fldCharType="end"/>
        </w:r>
      </w:hyperlink>
    </w:p>
    <w:p>
      <w:pPr>
        <w:tabs>
          <w:tab w:val="right" w:leader="dot" w:pos="9062"/>
        </w:tabs>
        <w:ind w:left="220"/>
      </w:pPr>
      <w:hyperlink w:anchor="_Toc4497" w:history="1">
        <w:r>
          <w:rPr>
            <w:rFonts w:ascii="IRNazanin" w:hAnsi="IRNazanin" w:eastAsia="IRNazanin" w:cs="IRNazanin"/>
            <w:color w:val="111111"/>
            <w:sz w:val="22"/>
            <w:szCs w:val="22"/>
            <w:b w:val="0"/>
            <w:bCs w:val="0"/>
            <w:i w:val="0"/>
            <w:iCs w:val="0"/>
          </w:rPr>
          <w:t>صبري، حسين قرن 14 ه-</w:t>
        </w:r>
        <w:r>
          <w:tab/>
        </w:r>
        <w:r>
          <w:fldChar w:fldCharType="begin"/>
        </w:r>
        <w:r>
          <w:instrText xml:space="preserve">PAGEREF 4497 \h</w:instrText>
        </w:r>
        <w:r>
          <w:fldChar w:fldCharType="end"/>
        </w:r>
      </w:hyperlink>
    </w:p>
    <w:p>
      <w:pPr>
        <w:tabs>
          <w:tab w:val="right" w:leader="dot" w:pos="9062"/>
        </w:tabs>
        <w:ind w:left="220"/>
      </w:pPr>
      <w:hyperlink w:anchor="_Toc4498" w:history="1">
        <w:r>
          <w:rPr>
            <w:rFonts w:ascii="IRNazanin" w:hAnsi="IRNazanin" w:eastAsia="IRNazanin" w:cs="IRNazanin"/>
            <w:color w:val="111111"/>
            <w:sz w:val="22"/>
            <w:szCs w:val="22"/>
            <w:b w:val="0"/>
            <w:bCs w:val="0"/>
            <w:i w:val="0"/>
            <w:iCs w:val="0"/>
          </w:rPr>
          <w:t>صبري رشيدي ، مصطفی قرن 14 ه-</w:t>
        </w:r>
        <w:r>
          <w:tab/>
        </w:r>
        <w:r>
          <w:fldChar w:fldCharType="begin"/>
        </w:r>
        <w:r>
          <w:instrText xml:space="preserve">PAGEREF 4498 \h</w:instrText>
        </w:r>
        <w:r>
          <w:fldChar w:fldCharType="end"/>
        </w:r>
      </w:hyperlink>
    </w:p>
    <w:p>
      <w:pPr>
        <w:tabs>
          <w:tab w:val="right" w:leader="dot" w:pos="9062"/>
        </w:tabs>
        <w:ind w:left="220"/>
      </w:pPr>
      <w:hyperlink w:anchor="_Toc4499" w:history="1">
        <w:r>
          <w:rPr>
            <w:rFonts w:ascii="IRNazanin" w:hAnsi="IRNazanin" w:eastAsia="IRNazanin" w:cs="IRNazanin"/>
            <w:color w:val="111111"/>
            <w:sz w:val="22"/>
            <w:szCs w:val="22"/>
            <w:b w:val="0"/>
            <w:bCs w:val="0"/>
            <w:i w:val="0"/>
            <w:iCs w:val="0"/>
          </w:rPr>
          <w:t>صبري، عباس بن عبدالله قرن 14 ه-</w:t>
        </w:r>
        <w:r>
          <w:tab/>
        </w:r>
        <w:r>
          <w:fldChar w:fldCharType="begin"/>
        </w:r>
        <w:r>
          <w:instrText xml:space="preserve">PAGEREF 4499 \h</w:instrText>
        </w:r>
        <w:r>
          <w:fldChar w:fldCharType="end"/>
        </w:r>
      </w:hyperlink>
    </w:p>
    <w:p>
      <w:pPr>
        <w:tabs>
          <w:tab w:val="right" w:leader="dot" w:pos="9062"/>
        </w:tabs>
        <w:ind w:left="220"/>
      </w:pPr>
      <w:hyperlink w:anchor="_Toc4500" w:history="1">
        <w:r>
          <w:rPr>
            <w:rFonts w:ascii="IRNazanin" w:hAnsi="IRNazanin" w:eastAsia="IRNazanin" w:cs="IRNazanin"/>
            <w:color w:val="111111"/>
            <w:sz w:val="22"/>
            <w:szCs w:val="22"/>
            <w:b w:val="0"/>
            <w:bCs w:val="0"/>
            <w:i w:val="0"/>
            <w:iCs w:val="0"/>
          </w:rPr>
          <w:t>صدر ، اسماعیل 1921 - 1969 م</w:t>
        </w:r>
        <w:r>
          <w:tab/>
        </w:r>
        <w:r>
          <w:fldChar w:fldCharType="begin"/>
        </w:r>
        <w:r>
          <w:instrText xml:space="preserve">PAGEREF 4500 \h</w:instrText>
        </w:r>
        <w:r>
          <w:fldChar w:fldCharType="end"/>
        </w:r>
      </w:hyperlink>
    </w:p>
    <w:p>
      <w:pPr>
        <w:tabs>
          <w:tab w:val="right" w:leader="dot" w:pos="9062"/>
        </w:tabs>
        <w:ind w:left="220"/>
      </w:pPr>
      <w:hyperlink w:anchor="_Toc4501" w:history="1">
        <w:r>
          <w:rPr>
            <w:rFonts w:ascii="IRNazanin" w:hAnsi="IRNazanin" w:eastAsia="IRNazanin" w:cs="IRNazanin"/>
            <w:color w:val="111111"/>
            <w:sz w:val="22"/>
            <w:szCs w:val="22"/>
            <w:b w:val="0"/>
            <w:bCs w:val="0"/>
            <w:i w:val="0"/>
            <w:iCs w:val="0"/>
          </w:rPr>
          <w:t>صدر اصفهاني، اسماعيل بن صدرالدین</w:t>
        </w:r>
        <w:r>
          <w:tab/>
        </w:r>
        <w:r>
          <w:fldChar w:fldCharType="begin"/>
        </w:r>
        <w:r>
          <w:instrText xml:space="preserve">PAGEREF 4501 \h</w:instrText>
        </w:r>
        <w:r>
          <w:fldChar w:fldCharType="end"/>
        </w:r>
      </w:hyperlink>
    </w:p>
    <w:p>
      <w:pPr>
        <w:tabs>
          <w:tab w:val="right" w:leader="dot" w:pos="9062"/>
        </w:tabs>
        <w:ind w:left="220"/>
      </w:pPr>
      <w:hyperlink w:anchor="_Toc4502" w:history="1">
        <w:r>
          <w:rPr>
            <w:rFonts w:ascii="IRNazanin" w:hAnsi="IRNazanin" w:eastAsia="IRNazanin" w:cs="IRNazanin"/>
            <w:color w:val="111111"/>
            <w:sz w:val="22"/>
            <w:szCs w:val="22"/>
            <w:b w:val="0"/>
            <w:bCs w:val="0"/>
            <w:i w:val="0"/>
            <w:iCs w:val="0"/>
          </w:rPr>
          <w:t>صدر الدین</w:t>
        </w:r>
        <w:r>
          <w:tab/>
        </w:r>
        <w:r>
          <w:fldChar w:fldCharType="begin"/>
        </w:r>
        <w:r>
          <w:instrText xml:space="preserve">PAGEREF 4502 \h</w:instrText>
        </w:r>
        <w:r>
          <w:fldChar w:fldCharType="end"/>
        </w:r>
      </w:hyperlink>
    </w:p>
    <w:p>
      <w:pPr>
        <w:tabs>
          <w:tab w:val="right" w:leader="dot" w:pos="9062"/>
        </w:tabs>
        <w:ind w:left="220"/>
      </w:pPr>
      <w:hyperlink w:anchor="_Toc4503" w:history="1">
        <w:r>
          <w:rPr>
            <w:rFonts w:ascii="IRNazanin" w:hAnsi="IRNazanin" w:eastAsia="IRNazanin" w:cs="IRNazanin"/>
            <w:color w:val="111111"/>
            <w:sz w:val="22"/>
            <w:szCs w:val="22"/>
            <w:b w:val="0"/>
            <w:bCs w:val="0"/>
            <w:i w:val="0"/>
            <w:iCs w:val="0"/>
          </w:rPr>
          <w:t>صدر الدين تبريزي ، حسن بن محمّد</w:t>
        </w:r>
        <w:r>
          <w:tab/>
        </w:r>
        <w:r>
          <w:fldChar w:fldCharType="begin"/>
        </w:r>
        <w:r>
          <w:instrText xml:space="preserve">PAGEREF 4503 \h</w:instrText>
        </w:r>
        <w:r>
          <w:fldChar w:fldCharType="end"/>
        </w:r>
      </w:hyperlink>
    </w:p>
    <w:p>
      <w:pPr>
        <w:tabs>
          <w:tab w:val="right" w:leader="dot" w:pos="9062"/>
        </w:tabs>
        <w:ind w:left="220"/>
      </w:pPr>
      <w:hyperlink w:anchor="_Toc4504" w:history="1">
        <w:r>
          <w:rPr>
            <w:rFonts w:ascii="IRNazanin" w:hAnsi="IRNazanin" w:eastAsia="IRNazanin" w:cs="IRNazanin"/>
            <w:color w:val="111111"/>
            <w:sz w:val="22"/>
            <w:szCs w:val="22"/>
            <w:b w:val="0"/>
            <w:bCs w:val="0"/>
            <w:i w:val="0"/>
            <w:iCs w:val="0"/>
          </w:rPr>
          <w:t>صدر الدين تبريزي ، محمّد بن محب علي</w:t>
        </w:r>
        <w:r>
          <w:tab/>
        </w:r>
        <w:r>
          <w:fldChar w:fldCharType="begin"/>
        </w:r>
        <w:r>
          <w:instrText xml:space="preserve">PAGEREF 4504 \h</w:instrText>
        </w:r>
        <w:r>
          <w:fldChar w:fldCharType="end"/>
        </w:r>
      </w:hyperlink>
    </w:p>
    <w:p>
      <w:pPr>
        <w:tabs>
          <w:tab w:val="right" w:leader="dot" w:pos="9062"/>
        </w:tabs>
        <w:ind w:left="220"/>
      </w:pPr>
      <w:hyperlink w:anchor="_Toc4505" w:history="1">
        <w:r>
          <w:rPr>
            <w:rFonts w:ascii="IRNazanin" w:hAnsi="IRNazanin" w:eastAsia="IRNazanin" w:cs="IRNazanin"/>
            <w:color w:val="111111"/>
            <w:sz w:val="22"/>
            <w:szCs w:val="22"/>
            <w:b w:val="0"/>
            <w:bCs w:val="0"/>
            <w:i w:val="0"/>
            <w:iCs w:val="0"/>
          </w:rPr>
          <w:t>صدر الدين شيرازي ، محمّد بن ابراهيم</w:t>
        </w:r>
        <w:r>
          <w:tab/>
        </w:r>
        <w:r>
          <w:fldChar w:fldCharType="begin"/>
        </w:r>
        <w:r>
          <w:instrText xml:space="preserve">PAGEREF 4505 \h</w:instrText>
        </w:r>
        <w:r>
          <w:fldChar w:fldCharType="end"/>
        </w:r>
      </w:hyperlink>
    </w:p>
    <w:p>
      <w:pPr>
        <w:tabs>
          <w:tab w:val="right" w:leader="dot" w:pos="9062"/>
        </w:tabs>
        <w:ind w:left="220"/>
      </w:pPr>
      <w:hyperlink w:anchor="_Toc4506" w:history="1">
        <w:r>
          <w:rPr>
            <w:rFonts w:ascii="IRNazanin" w:hAnsi="IRNazanin" w:eastAsia="IRNazanin" w:cs="IRNazanin"/>
            <w:color w:val="111111"/>
            <w:sz w:val="22"/>
            <w:szCs w:val="22"/>
            <w:b w:val="0"/>
            <w:bCs w:val="0"/>
            <w:i w:val="0"/>
            <w:iCs w:val="0"/>
          </w:rPr>
          <w:t>صدر الدین قونيوي ، محمّد بن اسحاق،</w:t>
        </w:r>
        <w:r>
          <w:tab/>
        </w:r>
        <w:r>
          <w:fldChar w:fldCharType="begin"/>
        </w:r>
        <w:r>
          <w:instrText xml:space="preserve">PAGEREF 4506 \h</w:instrText>
        </w:r>
        <w:r>
          <w:fldChar w:fldCharType="end"/>
        </w:r>
      </w:hyperlink>
    </w:p>
    <w:p>
      <w:pPr>
        <w:tabs>
          <w:tab w:val="right" w:leader="dot" w:pos="9062"/>
        </w:tabs>
        <w:ind w:left="220"/>
      </w:pPr>
      <w:hyperlink w:anchor="_Toc4507" w:history="1">
        <w:r>
          <w:rPr>
            <w:rFonts w:ascii="IRNazanin" w:hAnsi="IRNazanin" w:eastAsia="IRNazanin" w:cs="IRNazanin"/>
            <w:color w:val="111111"/>
            <w:sz w:val="22"/>
            <w:szCs w:val="22"/>
            <w:b w:val="0"/>
            <w:bCs w:val="0"/>
            <w:i w:val="0"/>
            <w:iCs w:val="0"/>
          </w:rPr>
          <w:t>صدرالدین نورالله</w:t>
        </w:r>
        <w:r>
          <w:tab/>
        </w:r>
        <w:r>
          <w:fldChar w:fldCharType="begin"/>
        </w:r>
        <w:r>
          <w:instrText xml:space="preserve">PAGEREF 4507 \h</w:instrText>
        </w:r>
        <w:r>
          <w:fldChar w:fldCharType="end"/>
        </w:r>
      </w:hyperlink>
    </w:p>
    <w:p>
      <w:pPr>
        <w:tabs>
          <w:tab w:val="right" w:leader="dot" w:pos="9062"/>
        </w:tabs>
        <w:ind w:left="220"/>
      </w:pPr>
      <w:hyperlink w:anchor="_Toc4508" w:history="1">
        <w:r>
          <w:rPr>
            <w:rFonts w:ascii="IRNazanin" w:hAnsi="IRNazanin" w:eastAsia="IRNazanin" w:cs="IRNazanin"/>
            <w:color w:val="111111"/>
            <w:sz w:val="22"/>
            <w:szCs w:val="22"/>
            <w:b w:val="0"/>
            <w:bCs w:val="0"/>
            <w:i w:val="0"/>
            <w:iCs w:val="0"/>
          </w:rPr>
          <w:t>صدر الشريعة الثاني ، عبيد الله بن مسعود</w:t>
        </w:r>
        <w:r>
          <w:tab/>
        </w:r>
        <w:r>
          <w:fldChar w:fldCharType="begin"/>
        </w:r>
        <w:r>
          <w:instrText xml:space="preserve">PAGEREF 4508 \h</w:instrText>
        </w:r>
        <w:r>
          <w:fldChar w:fldCharType="end"/>
        </w:r>
      </w:hyperlink>
    </w:p>
    <w:p>
      <w:pPr>
        <w:tabs>
          <w:tab w:val="right" w:leader="dot" w:pos="9062"/>
        </w:tabs>
        <w:ind w:left="220"/>
      </w:pPr>
      <w:hyperlink w:anchor="_Toc4509" w:history="1">
        <w:r>
          <w:rPr>
            <w:rFonts w:ascii="IRNazanin" w:hAnsi="IRNazanin" w:eastAsia="IRNazanin" w:cs="IRNazanin"/>
            <w:color w:val="111111"/>
            <w:sz w:val="22"/>
            <w:szCs w:val="22"/>
            <w:b w:val="0"/>
            <w:bCs w:val="0"/>
            <w:i w:val="0"/>
            <w:iCs w:val="0"/>
          </w:rPr>
          <w:t>صدر الشهيد ، عمر بن عبد العزيز 483 -</w:t>
        </w:r>
        <w:r>
          <w:tab/>
        </w:r>
        <w:r>
          <w:fldChar w:fldCharType="begin"/>
        </w:r>
        <w:r>
          <w:instrText xml:space="preserve">PAGEREF 4509 \h</w:instrText>
        </w:r>
        <w:r>
          <w:fldChar w:fldCharType="end"/>
        </w:r>
      </w:hyperlink>
    </w:p>
    <w:p>
      <w:pPr>
        <w:tabs>
          <w:tab w:val="right" w:leader="dot" w:pos="9062"/>
        </w:tabs>
        <w:ind w:left="220"/>
      </w:pPr>
      <w:hyperlink w:anchor="_Toc4510" w:history="1">
        <w:r>
          <w:rPr>
            <w:rFonts w:ascii="IRNazanin" w:hAnsi="IRNazanin" w:eastAsia="IRNazanin" w:cs="IRNazanin"/>
            <w:color w:val="111111"/>
            <w:sz w:val="22"/>
            <w:szCs w:val="22"/>
            <w:b w:val="0"/>
            <w:bCs w:val="0"/>
            <w:i w:val="0"/>
            <w:iCs w:val="0"/>
          </w:rPr>
          <w:t>صدر العالم ، محمّد بن كاظم قرن 9 ه-</w:t>
        </w:r>
        <w:r>
          <w:tab/>
        </w:r>
        <w:r>
          <w:fldChar w:fldCharType="begin"/>
        </w:r>
        <w:r>
          <w:instrText xml:space="preserve">PAGEREF 4510 \h</w:instrText>
        </w:r>
        <w:r>
          <w:fldChar w:fldCharType="end"/>
        </w:r>
      </w:hyperlink>
    </w:p>
    <w:p>
      <w:pPr>
        <w:tabs>
          <w:tab w:val="right" w:leader="dot" w:pos="9062"/>
        </w:tabs>
        <w:ind w:left="220"/>
      </w:pPr>
      <w:hyperlink w:anchor="_Toc4511" w:history="1">
        <w:r>
          <w:rPr>
            <w:rFonts w:ascii="IRNazanin" w:hAnsi="IRNazanin" w:eastAsia="IRNazanin" w:cs="IRNazanin"/>
            <w:color w:val="111111"/>
            <w:sz w:val="22"/>
            <w:szCs w:val="22"/>
            <w:b w:val="0"/>
            <w:bCs w:val="0"/>
            <w:i w:val="0"/>
            <w:iCs w:val="0"/>
          </w:rPr>
          <w:t>صدر الممالك اردبيلي ، نصر الله - 1271</w:t>
        </w:r>
        <w:r>
          <w:tab/>
        </w:r>
        <w:r>
          <w:fldChar w:fldCharType="begin"/>
        </w:r>
        <w:r>
          <w:instrText xml:space="preserve">PAGEREF 4511 \h</w:instrText>
        </w:r>
        <w:r>
          <w:fldChar w:fldCharType="end"/>
        </w:r>
      </w:hyperlink>
    </w:p>
    <w:p>
      <w:pPr>
        <w:tabs>
          <w:tab w:val="right" w:leader="dot" w:pos="9062"/>
        </w:tabs>
        <w:ind w:left="220"/>
      </w:pPr>
      <w:hyperlink w:anchor="_Toc4512" w:history="1">
        <w:r>
          <w:rPr>
            <w:rFonts w:ascii="IRNazanin" w:hAnsi="IRNazanin" w:eastAsia="IRNazanin" w:cs="IRNazanin"/>
            <w:color w:val="111111"/>
            <w:sz w:val="22"/>
            <w:szCs w:val="22"/>
            <w:b w:val="0"/>
            <w:bCs w:val="0"/>
            <w:i w:val="0"/>
            <w:iCs w:val="0"/>
          </w:rPr>
          <w:t>صدر ، حسن بن هادي، 1272 - 1354 ه-</w:t>
        </w:r>
        <w:r>
          <w:tab/>
        </w:r>
        <w:r>
          <w:fldChar w:fldCharType="begin"/>
        </w:r>
        <w:r>
          <w:instrText xml:space="preserve">PAGEREF 4512 \h</w:instrText>
        </w:r>
        <w:r>
          <w:fldChar w:fldCharType="end"/>
        </w:r>
      </w:hyperlink>
    </w:p>
    <w:p>
      <w:pPr>
        <w:tabs>
          <w:tab w:val="right" w:leader="dot" w:pos="9062"/>
        </w:tabs>
        <w:ind w:left="220"/>
      </w:pPr>
      <w:hyperlink w:anchor="_Toc4513" w:history="1">
        <w:r>
          <w:rPr>
            <w:rFonts w:ascii="IRNazanin" w:hAnsi="IRNazanin" w:eastAsia="IRNazanin" w:cs="IRNazanin"/>
            <w:color w:val="111111"/>
            <w:sz w:val="22"/>
            <w:szCs w:val="22"/>
            <w:b w:val="0"/>
            <w:bCs w:val="0"/>
            <w:i w:val="0"/>
            <w:iCs w:val="0"/>
          </w:rPr>
          <w:t>صدر ، محمّد باقر - 1358 ش</w:t>
        </w:r>
        <w:r>
          <w:tab/>
        </w:r>
        <w:r>
          <w:fldChar w:fldCharType="begin"/>
        </w:r>
        <w:r>
          <w:instrText xml:space="preserve">PAGEREF 4513 \h</w:instrText>
        </w:r>
        <w:r>
          <w:fldChar w:fldCharType="end"/>
        </w:r>
      </w:hyperlink>
    </w:p>
    <w:p>
      <w:pPr>
        <w:tabs>
          <w:tab w:val="right" w:leader="dot" w:pos="9062"/>
        </w:tabs>
        <w:ind w:left="220"/>
      </w:pPr>
      <w:hyperlink w:anchor="_Toc4514" w:history="1">
        <w:r>
          <w:rPr>
            <w:rFonts w:ascii="IRNazanin" w:hAnsi="IRNazanin" w:eastAsia="IRNazanin" w:cs="IRNazanin"/>
            <w:color w:val="111111"/>
            <w:sz w:val="22"/>
            <w:szCs w:val="22"/>
            <w:b w:val="0"/>
            <w:bCs w:val="0"/>
            <w:i w:val="0"/>
            <w:iCs w:val="0"/>
          </w:rPr>
          <w:t>صدري ، محمّد بن حسين</w:t>
        </w:r>
        <w:r>
          <w:tab/>
        </w:r>
        <w:r>
          <w:fldChar w:fldCharType="begin"/>
        </w:r>
        <w:r>
          <w:instrText xml:space="preserve">PAGEREF 4514 \h</w:instrText>
        </w:r>
        <w:r>
          <w:fldChar w:fldCharType="end"/>
        </w:r>
      </w:hyperlink>
    </w:p>
    <w:p>
      <w:pPr>
        <w:tabs>
          <w:tab w:val="right" w:leader="dot" w:pos="9062"/>
        </w:tabs>
        <w:ind w:left="220"/>
      </w:pPr>
      <w:hyperlink w:anchor="_Toc4515" w:history="1">
        <w:r>
          <w:rPr>
            <w:rFonts w:ascii="IRNazanin" w:hAnsi="IRNazanin" w:eastAsia="IRNazanin" w:cs="IRNazanin"/>
            <w:color w:val="111111"/>
            <w:sz w:val="22"/>
            <w:szCs w:val="22"/>
            <w:b w:val="0"/>
            <w:bCs w:val="0"/>
            <w:i w:val="0"/>
            <w:iCs w:val="0"/>
          </w:rPr>
          <w:t>صدقي ، خليل</w:t>
        </w:r>
        <w:r>
          <w:tab/>
        </w:r>
        <w:r>
          <w:fldChar w:fldCharType="begin"/>
        </w:r>
        <w:r>
          <w:instrText xml:space="preserve">PAGEREF 4515 \h</w:instrText>
        </w:r>
        <w:r>
          <w:fldChar w:fldCharType="end"/>
        </w:r>
      </w:hyperlink>
    </w:p>
    <w:p>
      <w:pPr>
        <w:tabs>
          <w:tab w:val="right" w:leader="dot" w:pos="9062"/>
        </w:tabs>
        <w:ind w:left="220"/>
      </w:pPr>
      <w:hyperlink w:anchor="_Toc4516" w:history="1">
        <w:r>
          <w:rPr>
            <w:rFonts w:ascii="IRNazanin" w:hAnsi="IRNazanin" w:eastAsia="IRNazanin" w:cs="IRNazanin"/>
            <w:color w:val="111111"/>
            <w:sz w:val="22"/>
            <w:szCs w:val="22"/>
            <w:b w:val="0"/>
            <w:bCs w:val="0"/>
            <w:i w:val="0"/>
            <w:iCs w:val="0"/>
          </w:rPr>
          <w:t>صدقي ، عبد القادر</w:t>
        </w:r>
        <w:r>
          <w:tab/>
        </w:r>
        <w:r>
          <w:fldChar w:fldCharType="begin"/>
        </w:r>
        <w:r>
          <w:instrText xml:space="preserve">PAGEREF 4516 \h</w:instrText>
        </w:r>
        <w:r>
          <w:fldChar w:fldCharType="end"/>
        </w:r>
      </w:hyperlink>
    </w:p>
    <w:p>
      <w:pPr>
        <w:tabs>
          <w:tab w:val="right" w:leader="dot" w:pos="9062"/>
        </w:tabs>
        <w:ind w:left="220"/>
      </w:pPr>
      <w:hyperlink w:anchor="_Toc4517" w:history="1">
        <w:r>
          <w:rPr>
            <w:rFonts w:ascii="IRNazanin" w:hAnsi="IRNazanin" w:eastAsia="IRNazanin" w:cs="IRNazanin"/>
            <w:color w:val="111111"/>
            <w:sz w:val="22"/>
            <w:szCs w:val="22"/>
            <w:b w:val="0"/>
            <w:bCs w:val="0"/>
            <w:i w:val="0"/>
            <w:iCs w:val="0"/>
          </w:rPr>
          <w:t>صدقي ، عوني بكر، قرن 13 ه-</w:t>
        </w:r>
        <w:r>
          <w:tab/>
        </w:r>
        <w:r>
          <w:fldChar w:fldCharType="begin"/>
        </w:r>
        <w:r>
          <w:instrText xml:space="preserve">PAGEREF 4517 \h</w:instrText>
        </w:r>
        <w:r>
          <w:fldChar w:fldCharType="end"/>
        </w:r>
      </w:hyperlink>
    </w:p>
    <w:p>
      <w:pPr>
        <w:tabs>
          <w:tab w:val="right" w:leader="dot" w:pos="9062"/>
        </w:tabs>
        <w:ind w:left="220"/>
      </w:pPr>
      <w:hyperlink w:anchor="_Toc4518" w:history="1">
        <w:r>
          <w:rPr>
            <w:rFonts w:ascii="IRNazanin" w:hAnsi="IRNazanin" w:eastAsia="IRNazanin" w:cs="IRNazanin"/>
            <w:color w:val="111111"/>
            <w:sz w:val="22"/>
            <w:szCs w:val="22"/>
            <w:b w:val="0"/>
            <w:bCs w:val="0"/>
            <w:i w:val="0"/>
            <w:iCs w:val="0"/>
          </w:rPr>
          <w:t>صديق ، ابوبکر</w:t>
        </w:r>
        <w:r>
          <w:tab/>
        </w:r>
        <w:r>
          <w:fldChar w:fldCharType="begin"/>
        </w:r>
        <w:r>
          <w:instrText xml:space="preserve">PAGEREF 4518 \h</w:instrText>
        </w:r>
        <w:r>
          <w:fldChar w:fldCharType="end"/>
        </w:r>
      </w:hyperlink>
    </w:p>
    <w:p>
      <w:pPr>
        <w:tabs>
          <w:tab w:val="right" w:leader="dot" w:pos="9062"/>
        </w:tabs>
        <w:ind w:left="220"/>
      </w:pPr>
      <w:hyperlink w:anchor="_Toc4519" w:history="1">
        <w:r>
          <w:rPr>
            <w:rFonts w:ascii="IRNazanin" w:hAnsi="IRNazanin" w:eastAsia="IRNazanin" w:cs="IRNazanin"/>
            <w:color w:val="111111"/>
            <w:sz w:val="22"/>
            <w:szCs w:val="22"/>
            <w:b w:val="0"/>
            <w:bCs w:val="0"/>
            <w:i w:val="0"/>
            <w:iCs w:val="0"/>
          </w:rPr>
          <w:t>صديق ، بدرالدین بن سالم قرن 11 ه-</w:t>
        </w:r>
        <w:r>
          <w:tab/>
        </w:r>
        <w:r>
          <w:fldChar w:fldCharType="begin"/>
        </w:r>
        <w:r>
          <w:instrText xml:space="preserve">PAGEREF 4519 \h</w:instrText>
        </w:r>
        <w:r>
          <w:fldChar w:fldCharType="end"/>
        </w:r>
      </w:hyperlink>
    </w:p>
    <w:p>
      <w:pPr>
        <w:tabs>
          <w:tab w:val="right" w:leader="dot" w:pos="9062"/>
        </w:tabs>
        <w:ind w:left="220"/>
      </w:pPr>
      <w:hyperlink w:anchor="_Toc4520" w:history="1">
        <w:r>
          <w:rPr>
            <w:rFonts w:ascii="IRNazanin" w:hAnsi="IRNazanin" w:eastAsia="IRNazanin" w:cs="IRNazanin"/>
            <w:color w:val="111111"/>
            <w:sz w:val="22"/>
            <w:szCs w:val="22"/>
            <w:b w:val="0"/>
            <w:bCs w:val="0"/>
            <w:i w:val="0"/>
            <w:iCs w:val="0"/>
          </w:rPr>
          <w:t>صديق بن علي قرن 11 ه-</w:t>
        </w:r>
        <w:r>
          <w:tab/>
        </w:r>
        <w:r>
          <w:fldChar w:fldCharType="begin"/>
        </w:r>
        <w:r>
          <w:instrText xml:space="preserve">PAGEREF 4520 \h</w:instrText>
        </w:r>
        <w:r>
          <w:fldChar w:fldCharType="end"/>
        </w:r>
      </w:hyperlink>
    </w:p>
    <w:p>
      <w:pPr>
        <w:tabs>
          <w:tab w:val="right" w:leader="dot" w:pos="9062"/>
        </w:tabs>
        <w:ind w:left="220"/>
      </w:pPr>
      <w:hyperlink w:anchor="_Toc4521" w:history="1">
        <w:r>
          <w:rPr>
            <w:rFonts w:ascii="IRNazanin" w:hAnsi="IRNazanin" w:eastAsia="IRNazanin" w:cs="IRNazanin"/>
            <w:color w:val="111111"/>
            <w:sz w:val="22"/>
            <w:szCs w:val="22"/>
            <w:b w:val="0"/>
            <w:bCs w:val="0"/>
            <w:i w:val="0"/>
            <w:iCs w:val="0"/>
          </w:rPr>
          <w:t>صدیق تهامي - 1057 ه-</w:t>
        </w:r>
        <w:r>
          <w:tab/>
        </w:r>
        <w:r>
          <w:fldChar w:fldCharType="begin"/>
        </w:r>
        <w:r>
          <w:instrText xml:space="preserve">PAGEREF 4521 \h</w:instrText>
        </w:r>
        <w:r>
          <w:fldChar w:fldCharType="end"/>
        </w:r>
      </w:hyperlink>
    </w:p>
    <w:p>
      <w:pPr>
        <w:tabs>
          <w:tab w:val="right" w:leader="dot" w:pos="9062"/>
        </w:tabs>
        <w:ind w:left="220"/>
      </w:pPr>
      <w:hyperlink w:anchor="_Toc4522" w:history="1">
        <w:r>
          <w:rPr>
            <w:rFonts w:ascii="IRNazanin" w:hAnsi="IRNazanin" w:eastAsia="IRNazanin" w:cs="IRNazanin"/>
            <w:color w:val="111111"/>
            <w:sz w:val="22"/>
            <w:szCs w:val="22"/>
            <w:b w:val="0"/>
            <w:bCs w:val="0"/>
            <w:i w:val="0"/>
            <w:iCs w:val="0"/>
          </w:rPr>
          <w:t>صديقي ، ابراهيم بن ابي بكر، قرن 13 ه-</w:t>
        </w:r>
        <w:r>
          <w:tab/>
        </w:r>
        <w:r>
          <w:fldChar w:fldCharType="begin"/>
        </w:r>
        <w:r>
          <w:instrText xml:space="preserve">PAGEREF 4522 \h</w:instrText>
        </w:r>
        <w:r>
          <w:fldChar w:fldCharType="end"/>
        </w:r>
      </w:hyperlink>
    </w:p>
    <w:p>
      <w:pPr>
        <w:tabs>
          <w:tab w:val="right" w:leader="dot" w:pos="9062"/>
        </w:tabs>
        <w:ind w:left="220"/>
      </w:pPr>
      <w:hyperlink w:anchor="_Toc4523" w:history="1">
        <w:r>
          <w:rPr>
            <w:rFonts w:ascii="IRNazanin" w:hAnsi="IRNazanin" w:eastAsia="IRNazanin" w:cs="IRNazanin"/>
            <w:color w:val="111111"/>
            <w:sz w:val="22"/>
            <w:szCs w:val="22"/>
            <w:b w:val="0"/>
            <w:bCs w:val="0"/>
            <w:i w:val="0"/>
            <w:iCs w:val="0"/>
          </w:rPr>
          <w:t>صديقي ، احمد بن محمّد قرن 12 ه-</w:t>
        </w:r>
        <w:r>
          <w:tab/>
        </w:r>
        <w:r>
          <w:fldChar w:fldCharType="begin"/>
        </w:r>
        <w:r>
          <w:instrText xml:space="preserve">PAGEREF 4523 \h</w:instrText>
        </w:r>
        <w:r>
          <w:fldChar w:fldCharType="end"/>
        </w:r>
      </w:hyperlink>
    </w:p>
    <w:p>
      <w:pPr>
        <w:tabs>
          <w:tab w:val="right" w:leader="dot" w:pos="9062"/>
        </w:tabs>
        <w:ind w:left="220"/>
      </w:pPr>
      <w:hyperlink w:anchor="_Toc4524" w:history="1">
        <w:r>
          <w:rPr>
            <w:rFonts w:ascii="IRNazanin" w:hAnsi="IRNazanin" w:eastAsia="IRNazanin" w:cs="IRNazanin"/>
            <w:color w:val="111111"/>
            <w:sz w:val="22"/>
            <w:szCs w:val="22"/>
            <w:b w:val="0"/>
            <w:bCs w:val="0"/>
            <w:i w:val="0"/>
            <w:iCs w:val="0"/>
          </w:rPr>
          <w:t>صديقي بكري ، محمّد بن محمّد، 930 -</w:t>
        </w:r>
        <w:r>
          <w:tab/>
        </w:r>
        <w:r>
          <w:fldChar w:fldCharType="begin"/>
        </w:r>
        <w:r>
          <w:instrText xml:space="preserve">PAGEREF 4524 \h</w:instrText>
        </w:r>
        <w:r>
          <w:fldChar w:fldCharType="end"/>
        </w:r>
      </w:hyperlink>
    </w:p>
    <w:p>
      <w:pPr>
        <w:tabs>
          <w:tab w:val="right" w:leader="dot" w:pos="9062"/>
        </w:tabs>
        <w:ind w:left="220"/>
      </w:pPr>
      <w:hyperlink w:anchor="_Toc4525" w:history="1">
        <w:r>
          <w:rPr>
            <w:rFonts w:ascii="IRNazanin" w:hAnsi="IRNazanin" w:eastAsia="IRNazanin" w:cs="IRNazanin"/>
            <w:color w:val="111111"/>
            <w:sz w:val="22"/>
            <w:szCs w:val="22"/>
            <w:b w:val="0"/>
            <w:bCs w:val="0"/>
            <w:i w:val="0"/>
            <w:iCs w:val="0"/>
          </w:rPr>
          <w:t>صديقي سكري، مصطفى</w:t>
        </w:r>
        <w:r>
          <w:tab/>
        </w:r>
        <w:r>
          <w:fldChar w:fldCharType="begin"/>
        </w:r>
        <w:r>
          <w:instrText xml:space="preserve">PAGEREF 4525 \h</w:instrText>
        </w:r>
        <w:r>
          <w:fldChar w:fldCharType="end"/>
        </w:r>
      </w:hyperlink>
    </w:p>
    <w:p>
      <w:pPr>
        <w:tabs>
          <w:tab w:val="right" w:leader="dot" w:pos="9062"/>
        </w:tabs>
        <w:ind w:left="220"/>
      </w:pPr>
      <w:hyperlink w:anchor="_Toc4526" w:history="1">
        <w:r>
          <w:rPr>
            <w:rFonts w:ascii="IRNazanin" w:hAnsi="IRNazanin" w:eastAsia="IRNazanin" w:cs="IRNazanin"/>
            <w:color w:val="111111"/>
            <w:sz w:val="22"/>
            <w:szCs w:val="22"/>
            <w:b w:val="0"/>
            <w:bCs w:val="0"/>
            <w:i w:val="0"/>
            <w:iCs w:val="0"/>
          </w:rPr>
          <w:t>صديقي ، محمّد بن عبدالرحمن قرن 10</w:t>
        </w:r>
        <w:r>
          <w:tab/>
        </w:r>
        <w:r>
          <w:fldChar w:fldCharType="begin"/>
        </w:r>
        <w:r>
          <w:instrText xml:space="preserve">PAGEREF 4526 \h</w:instrText>
        </w:r>
        <w:r>
          <w:fldChar w:fldCharType="end"/>
        </w:r>
      </w:hyperlink>
    </w:p>
    <w:p>
      <w:pPr>
        <w:tabs>
          <w:tab w:val="right" w:leader="dot" w:pos="9062"/>
        </w:tabs>
        <w:ind w:left="220"/>
      </w:pPr>
      <w:hyperlink w:anchor="_Toc4527" w:history="1">
        <w:r>
          <w:rPr>
            <w:rFonts w:ascii="IRNazanin" w:hAnsi="IRNazanin" w:eastAsia="IRNazanin" w:cs="IRNazanin"/>
            <w:color w:val="111111"/>
            <w:sz w:val="22"/>
            <w:szCs w:val="22"/>
            <w:b w:val="0"/>
            <w:bCs w:val="0"/>
            <w:i w:val="0"/>
            <w:iCs w:val="0"/>
          </w:rPr>
          <w:t>صديقي ، مصطفى</w:t>
        </w:r>
        <w:r>
          <w:tab/>
        </w:r>
        <w:r>
          <w:fldChar w:fldCharType="begin"/>
        </w:r>
        <w:r>
          <w:instrText xml:space="preserve">PAGEREF 4527 \h</w:instrText>
        </w:r>
        <w:r>
          <w:fldChar w:fldCharType="end"/>
        </w:r>
      </w:hyperlink>
    </w:p>
    <w:p>
      <w:pPr>
        <w:tabs>
          <w:tab w:val="right" w:leader="dot" w:pos="9062"/>
        </w:tabs>
        <w:ind w:left="220"/>
      </w:pPr>
      <w:hyperlink w:anchor="_Toc4528" w:history="1">
        <w:r>
          <w:rPr>
            <w:rFonts w:ascii="IRNazanin" w:hAnsi="IRNazanin" w:eastAsia="IRNazanin" w:cs="IRNazanin"/>
            <w:color w:val="111111"/>
            <w:sz w:val="22"/>
            <w:szCs w:val="22"/>
            <w:b w:val="0"/>
            <w:bCs w:val="0"/>
            <w:i w:val="0"/>
            <w:iCs w:val="0"/>
          </w:rPr>
          <w:t>صديقي ، مصطفى بن كمال</w:t>
        </w:r>
        <w:r>
          <w:tab/>
        </w:r>
        <w:r>
          <w:fldChar w:fldCharType="begin"/>
        </w:r>
        <w:r>
          <w:instrText xml:space="preserve">PAGEREF 4528 \h</w:instrText>
        </w:r>
        <w:r>
          <w:fldChar w:fldCharType="end"/>
        </w:r>
      </w:hyperlink>
    </w:p>
    <w:p>
      <w:pPr>
        <w:tabs>
          <w:tab w:val="right" w:leader="dot" w:pos="9062"/>
        </w:tabs>
        <w:ind w:left="220"/>
      </w:pPr>
      <w:hyperlink w:anchor="_Toc4529" w:history="1">
        <w:r>
          <w:rPr>
            <w:rFonts w:ascii="IRNazanin" w:hAnsi="IRNazanin" w:eastAsia="IRNazanin" w:cs="IRNazanin"/>
            <w:color w:val="111111"/>
            <w:sz w:val="22"/>
            <w:szCs w:val="22"/>
            <w:b w:val="0"/>
            <w:bCs w:val="0"/>
            <w:i w:val="0"/>
            <w:iCs w:val="0"/>
          </w:rPr>
          <w:t>صراف حائري ، محمّد مهدي بن عبد الحسين</w:t>
        </w:r>
        <w:r>
          <w:tab/>
        </w:r>
        <w:r>
          <w:fldChar w:fldCharType="begin"/>
        </w:r>
        <w:r>
          <w:instrText xml:space="preserve">PAGEREF 4529 \h</w:instrText>
        </w:r>
        <w:r>
          <w:fldChar w:fldCharType="end"/>
        </w:r>
      </w:hyperlink>
    </w:p>
    <w:p>
      <w:pPr>
        <w:tabs>
          <w:tab w:val="right" w:leader="dot" w:pos="9062"/>
        </w:tabs>
        <w:ind w:left="220"/>
      </w:pPr>
      <w:hyperlink w:anchor="_Toc4530" w:history="1">
        <w:r>
          <w:rPr>
            <w:rFonts w:ascii="IRNazanin" w:hAnsi="IRNazanin" w:eastAsia="IRNazanin" w:cs="IRNazanin"/>
            <w:color w:val="111111"/>
            <w:sz w:val="22"/>
            <w:szCs w:val="22"/>
            <w:b w:val="0"/>
            <w:bCs w:val="0"/>
            <w:i w:val="0"/>
            <w:iCs w:val="0"/>
          </w:rPr>
          <w:t>صرصري ، جمال الدين</w:t>
        </w:r>
        <w:r>
          <w:tab/>
        </w:r>
        <w:r>
          <w:fldChar w:fldCharType="begin"/>
        </w:r>
        <w:r>
          <w:instrText xml:space="preserve">PAGEREF 4530 \h</w:instrText>
        </w:r>
        <w:r>
          <w:fldChar w:fldCharType="end"/>
        </w:r>
      </w:hyperlink>
    </w:p>
    <w:p>
      <w:pPr>
        <w:tabs>
          <w:tab w:val="right" w:leader="dot" w:pos="9062"/>
        </w:tabs>
        <w:ind w:left="220"/>
      </w:pPr>
      <w:hyperlink w:anchor="_Toc4531" w:history="1">
        <w:r>
          <w:rPr>
            <w:rFonts w:ascii="IRNazanin" w:hAnsi="IRNazanin" w:eastAsia="IRNazanin" w:cs="IRNazanin"/>
            <w:color w:val="111111"/>
            <w:sz w:val="22"/>
            <w:szCs w:val="22"/>
            <w:b w:val="0"/>
            <w:bCs w:val="0"/>
            <w:i w:val="0"/>
            <w:iCs w:val="0"/>
          </w:rPr>
          <w:t>صرصري ، يحيى بن يوسف، 588 - 656</w:t>
        </w:r>
        <w:r>
          <w:tab/>
        </w:r>
        <w:r>
          <w:fldChar w:fldCharType="begin"/>
        </w:r>
        <w:r>
          <w:instrText xml:space="preserve">PAGEREF 4531 \h</w:instrText>
        </w:r>
        <w:r>
          <w:fldChar w:fldCharType="end"/>
        </w:r>
      </w:hyperlink>
    </w:p>
    <w:p>
      <w:pPr>
        <w:tabs>
          <w:tab w:val="right" w:leader="dot" w:pos="9062"/>
        </w:tabs>
        <w:ind w:left="220"/>
      </w:pPr>
      <w:hyperlink w:anchor="_Toc4532" w:history="1">
        <w:r>
          <w:rPr>
            <w:rFonts w:ascii="IRNazanin" w:hAnsi="IRNazanin" w:eastAsia="IRNazanin" w:cs="IRNazanin"/>
            <w:color w:val="111111"/>
            <w:sz w:val="22"/>
            <w:szCs w:val="22"/>
            <w:b w:val="0"/>
            <w:bCs w:val="0"/>
            <w:i w:val="0"/>
            <w:iCs w:val="0"/>
          </w:rPr>
          <w:t>صعيدي، اسماعيل مصلح قرن 11 ه-</w:t>
        </w:r>
        <w:r>
          <w:tab/>
        </w:r>
        <w:r>
          <w:fldChar w:fldCharType="begin"/>
        </w:r>
        <w:r>
          <w:instrText xml:space="preserve">PAGEREF 4532 \h</w:instrText>
        </w:r>
        <w:r>
          <w:fldChar w:fldCharType="end"/>
        </w:r>
      </w:hyperlink>
    </w:p>
    <w:p>
      <w:pPr>
        <w:tabs>
          <w:tab w:val="right" w:leader="dot" w:pos="9062"/>
        </w:tabs>
        <w:ind w:left="220"/>
      </w:pPr>
      <w:hyperlink w:anchor="_Toc4533" w:history="1">
        <w:r>
          <w:rPr>
            <w:rFonts w:ascii="IRNazanin" w:hAnsi="IRNazanin" w:eastAsia="IRNazanin" w:cs="IRNazanin"/>
            <w:color w:val="111111"/>
            <w:sz w:val="22"/>
            <w:szCs w:val="22"/>
            <w:b w:val="0"/>
            <w:bCs w:val="0"/>
            <w:i w:val="0"/>
            <w:iCs w:val="0"/>
          </w:rPr>
          <w:t>صعيدي ، عبدالباري بن عبدالرحمن -</w:t>
        </w:r>
        <w:r>
          <w:tab/>
        </w:r>
        <w:r>
          <w:fldChar w:fldCharType="begin"/>
        </w:r>
        <w:r>
          <w:instrText xml:space="preserve">PAGEREF 4533 \h</w:instrText>
        </w:r>
        <w:r>
          <w:fldChar w:fldCharType="end"/>
        </w:r>
      </w:hyperlink>
    </w:p>
    <w:p>
      <w:pPr>
        <w:tabs>
          <w:tab w:val="right" w:leader="dot" w:pos="9062"/>
        </w:tabs>
        <w:ind w:left="220"/>
      </w:pPr>
      <w:hyperlink w:anchor="_Toc4534" w:history="1">
        <w:r>
          <w:rPr>
            <w:rFonts w:ascii="IRNazanin" w:hAnsi="IRNazanin" w:eastAsia="IRNazanin" w:cs="IRNazanin"/>
            <w:color w:val="111111"/>
            <w:sz w:val="22"/>
            <w:szCs w:val="22"/>
            <w:b w:val="0"/>
            <w:bCs w:val="0"/>
            <w:i w:val="0"/>
            <w:iCs w:val="0"/>
          </w:rPr>
          <w:t>صعيدي ، علي بن احمد 1112 - 1189</w:t>
        </w:r>
        <w:r>
          <w:tab/>
        </w:r>
        <w:r>
          <w:fldChar w:fldCharType="begin"/>
        </w:r>
        <w:r>
          <w:instrText xml:space="preserve">PAGEREF 4534 \h</w:instrText>
        </w:r>
        <w:r>
          <w:fldChar w:fldCharType="end"/>
        </w:r>
      </w:hyperlink>
    </w:p>
    <w:p>
      <w:pPr>
        <w:tabs>
          <w:tab w:val="right" w:leader="dot" w:pos="9062"/>
        </w:tabs>
        <w:ind w:left="220"/>
      </w:pPr>
      <w:hyperlink w:anchor="_Toc4535" w:history="1">
        <w:r>
          <w:rPr>
            <w:rFonts w:ascii="IRNazanin" w:hAnsi="IRNazanin" w:eastAsia="IRNazanin" w:cs="IRNazanin"/>
            <w:color w:val="111111"/>
            <w:sz w:val="22"/>
            <w:szCs w:val="22"/>
            <w:b w:val="0"/>
            <w:bCs w:val="0"/>
            <w:i w:val="0"/>
            <w:iCs w:val="0"/>
          </w:rPr>
          <w:t>صغار ، ابوالقاسم</w:t>
        </w:r>
        <w:r>
          <w:tab/>
        </w:r>
        <w:r>
          <w:fldChar w:fldCharType="begin"/>
        </w:r>
        <w:r>
          <w:instrText xml:space="preserve">PAGEREF 4535 \h</w:instrText>
        </w:r>
        <w:r>
          <w:fldChar w:fldCharType="end"/>
        </w:r>
      </w:hyperlink>
    </w:p>
    <w:p>
      <w:pPr>
        <w:tabs>
          <w:tab w:val="right" w:leader="dot" w:pos="9062"/>
        </w:tabs>
        <w:ind w:left="220"/>
      </w:pPr>
      <w:hyperlink w:anchor="_Toc4536" w:history="1">
        <w:r>
          <w:rPr>
            <w:rFonts w:ascii="IRNazanin" w:hAnsi="IRNazanin" w:eastAsia="IRNazanin" w:cs="IRNazanin"/>
            <w:color w:val="111111"/>
            <w:sz w:val="22"/>
            <w:szCs w:val="22"/>
            <w:b w:val="0"/>
            <w:bCs w:val="0"/>
            <w:i w:val="0"/>
            <w:iCs w:val="0"/>
          </w:rPr>
          <w:t>صغراني ، يوسف بن محمّد - 1002 ه-</w:t>
        </w:r>
        <w:r>
          <w:tab/>
        </w:r>
        <w:r>
          <w:fldChar w:fldCharType="begin"/>
        </w:r>
        <w:r>
          <w:instrText xml:space="preserve">PAGEREF 4536 \h</w:instrText>
        </w:r>
        <w:r>
          <w:fldChar w:fldCharType="end"/>
        </w:r>
      </w:hyperlink>
    </w:p>
    <w:p>
      <w:pPr>
        <w:tabs>
          <w:tab w:val="right" w:leader="dot" w:pos="9062"/>
        </w:tabs>
        <w:ind w:left="220"/>
      </w:pPr>
      <w:hyperlink w:anchor="_Toc4537" w:history="1">
        <w:r>
          <w:rPr>
            <w:rFonts w:ascii="IRNazanin" w:hAnsi="IRNazanin" w:eastAsia="IRNazanin" w:cs="IRNazanin"/>
            <w:color w:val="111111"/>
            <w:sz w:val="22"/>
            <w:szCs w:val="22"/>
            <w:b w:val="0"/>
            <w:bCs w:val="0"/>
            <w:i w:val="0"/>
            <w:iCs w:val="0"/>
          </w:rPr>
          <w:t>صغناقي ، حسين بن علي - 711 ه-</w:t>
        </w:r>
        <w:r>
          <w:tab/>
        </w:r>
        <w:r>
          <w:fldChar w:fldCharType="begin"/>
        </w:r>
        <w:r>
          <w:instrText xml:space="preserve">PAGEREF 4537 \h</w:instrText>
        </w:r>
        <w:r>
          <w:fldChar w:fldCharType="end"/>
        </w:r>
      </w:hyperlink>
    </w:p>
    <w:p>
      <w:pPr>
        <w:tabs>
          <w:tab w:val="right" w:leader="dot" w:pos="9062"/>
        </w:tabs>
        <w:ind w:left="220"/>
      </w:pPr>
      <w:hyperlink w:anchor="_Toc4538" w:history="1">
        <w:r>
          <w:rPr>
            <w:rFonts w:ascii="IRNazanin" w:hAnsi="IRNazanin" w:eastAsia="IRNazanin" w:cs="IRNazanin"/>
            <w:color w:val="111111"/>
            <w:sz w:val="22"/>
            <w:szCs w:val="22"/>
            <w:b w:val="0"/>
            <w:bCs w:val="0"/>
            <w:i w:val="0"/>
            <w:iCs w:val="0"/>
          </w:rPr>
          <w:t>صغير ، علي بن حسينعلي</w:t>
        </w:r>
        <w:r>
          <w:tab/>
        </w:r>
        <w:r>
          <w:fldChar w:fldCharType="begin"/>
        </w:r>
        <w:r>
          <w:instrText xml:space="preserve">PAGEREF 4538 \h</w:instrText>
        </w:r>
        <w:r>
          <w:fldChar w:fldCharType="end"/>
        </w:r>
      </w:hyperlink>
    </w:p>
    <w:p>
      <w:pPr>
        <w:tabs>
          <w:tab w:val="right" w:leader="dot" w:pos="9062"/>
        </w:tabs>
        <w:ind w:left="220"/>
      </w:pPr>
      <w:hyperlink w:anchor="_Toc4539" w:history="1">
        <w:r>
          <w:rPr>
            <w:rFonts w:ascii="IRNazanin" w:hAnsi="IRNazanin" w:eastAsia="IRNazanin" w:cs="IRNazanin"/>
            <w:color w:val="111111"/>
            <w:sz w:val="22"/>
            <w:szCs w:val="22"/>
            <w:b w:val="0"/>
            <w:bCs w:val="0"/>
            <w:i w:val="0"/>
            <w:iCs w:val="0"/>
          </w:rPr>
          <w:t>صفائي موصلي ، عبد القادر قرن 12 ه-</w:t>
        </w:r>
        <w:r>
          <w:tab/>
        </w:r>
        <w:r>
          <w:fldChar w:fldCharType="begin"/>
        </w:r>
        <w:r>
          <w:instrText xml:space="preserve">PAGEREF 4539 \h</w:instrText>
        </w:r>
        <w:r>
          <w:fldChar w:fldCharType="end"/>
        </w:r>
      </w:hyperlink>
    </w:p>
    <w:p>
      <w:pPr>
        <w:tabs>
          <w:tab w:val="right" w:leader="dot" w:pos="9062"/>
        </w:tabs>
        <w:ind w:left="220"/>
      </w:pPr>
      <w:hyperlink w:anchor="_Toc4540" w:history="1">
        <w:r>
          <w:rPr>
            <w:rFonts w:ascii="IRNazanin" w:hAnsi="IRNazanin" w:eastAsia="IRNazanin" w:cs="IRNazanin"/>
            <w:color w:val="111111"/>
            <w:sz w:val="22"/>
            <w:szCs w:val="22"/>
            <w:b w:val="0"/>
            <w:bCs w:val="0"/>
            <w:i w:val="0"/>
            <w:iCs w:val="0"/>
          </w:rPr>
          <w:t>صفار ، ابراهيم بن اسماعيل - 534 ه-</w:t>
        </w:r>
        <w:r>
          <w:tab/>
        </w:r>
        <w:r>
          <w:fldChar w:fldCharType="begin"/>
        </w:r>
        <w:r>
          <w:instrText xml:space="preserve">PAGEREF 4540 \h</w:instrText>
        </w:r>
        <w:r>
          <w:fldChar w:fldCharType="end"/>
        </w:r>
      </w:hyperlink>
    </w:p>
    <w:p>
      <w:pPr>
        <w:tabs>
          <w:tab w:val="right" w:leader="dot" w:pos="9062"/>
        </w:tabs>
        <w:ind w:left="220"/>
      </w:pPr>
      <w:hyperlink w:anchor="_Toc4541" w:history="1">
        <w:r>
          <w:rPr>
            <w:rFonts w:ascii="IRNazanin" w:hAnsi="IRNazanin" w:eastAsia="IRNazanin" w:cs="IRNazanin"/>
            <w:color w:val="111111"/>
            <w:sz w:val="22"/>
            <w:szCs w:val="22"/>
            <w:b w:val="0"/>
            <w:bCs w:val="0"/>
            <w:i w:val="0"/>
            <w:iCs w:val="0"/>
          </w:rPr>
          <w:t>صفار ، اسماعيل بن محمّد - 341 ه-</w:t>
        </w:r>
        <w:r>
          <w:tab/>
        </w:r>
        <w:r>
          <w:fldChar w:fldCharType="begin"/>
        </w:r>
        <w:r>
          <w:instrText xml:space="preserve">PAGEREF 4541 \h</w:instrText>
        </w:r>
        <w:r>
          <w:fldChar w:fldCharType="end"/>
        </w:r>
      </w:hyperlink>
    </w:p>
    <w:p>
      <w:pPr>
        <w:tabs>
          <w:tab w:val="right" w:leader="dot" w:pos="9062"/>
        </w:tabs>
        <w:ind w:left="220"/>
      </w:pPr>
      <w:hyperlink w:anchor="_Toc4542" w:history="1">
        <w:r>
          <w:rPr>
            <w:rFonts w:ascii="IRNazanin" w:hAnsi="IRNazanin" w:eastAsia="IRNazanin" w:cs="IRNazanin"/>
            <w:color w:val="111111"/>
            <w:sz w:val="22"/>
            <w:szCs w:val="22"/>
            <w:b w:val="0"/>
            <w:bCs w:val="0"/>
            <w:i w:val="0"/>
            <w:iCs w:val="0"/>
          </w:rPr>
          <w:t>صفار انصاري ، عفان بن مسلم - 220</w:t>
        </w:r>
        <w:r>
          <w:tab/>
        </w:r>
        <w:r>
          <w:fldChar w:fldCharType="begin"/>
        </w:r>
        <w:r>
          <w:instrText xml:space="preserve">PAGEREF 4542 \h</w:instrText>
        </w:r>
        <w:r>
          <w:fldChar w:fldCharType="end"/>
        </w:r>
      </w:hyperlink>
    </w:p>
    <w:p>
      <w:pPr>
        <w:tabs>
          <w:tab w:val="right" w:leader="dot" w:pos="9062"/>
        </w:tabs>
        <w:ind w:left="220"/>
      </w:pPr>
      <w:hyperlink w:anchor="_Toc4543" w:history="1">
        <w:r>
          <w:rPr>
            <w:rFonts w:ascii="IRNazanin" w:hAnsi="IRNazanin" w:eastAsia="IRNazanin" w:cs="IRNazanin"/>
            <w:color w:val="111111"/>
            <w:sz w:val="22"/>
            <w:szCs w:val="22"/>
            <w:b w:val="0"/>
            <w:bCs w:val="0"/>
            <w:i w:val="0"/>
            <w:iCs w:val="0"/>
          </w:rPr>
          <w:t>صفار ، قاسم بن علي ، قرن 7 ه-</w:t>
        </w:r>
        <w:r>
          <w:tab/>
        </w:r>
        <w:r>
          <w:fldChar w:fldCharType="begin"/>
        </w:r>
        <w:r>
          <w:instrText xml:space="preserve">PAGEREF 4543 \h</w:instrText>
        </w:r>
        <w:r>
          <w:fldChar w:fldCharType="end"/>
        </w:r>
      </w:hyperlink>
    </w:p>
    <w:p>
      <w:pPr>
        <w:tabs>
          <w:tab w:val="right" w:leader="dot" w:pos="9062"/>
        </w:tabs>
        <w:ind w:left="220"/>
      </w:pPr>
      <w:hyperlink w:anchor="_Toc4544" w:history="1">
        <w:r>
          <w:rPr>
            <w:rFonts w:ascii="IRNazanin" w:hAnsi="IRNazanin" w:eastAsia="IRNazanin" w:cs="IRNazanin"/>
            <w:color w:val="111111"/>
            <w:sz w:val="22"/>
            <w:szCs w:val="22"/>
            <w:b w:val="0"/>
            <w:bCs w:val="0"/>
            <w:i w:val="0"/>
            <w:iCs w:val="0"/>
          </w:rPr>
          <w:t>صفار ، محمّد بن حسن - 290 ه-</w:t>
        </w:r>
        <w:r>
          <w:tab/>
        </w:r>
        <w:r>
          <w:fldChar w:fldCharType="begin"/>
        </w:r>
        <w:r>
          <w:instrText xml:space="preserve">PAGEREF 4544 \h</w:instrText>
        </w:r>
        <w:r>
          <w:fldChar w:fldCharType="end"/>
        </w:r>
      </w:hyperlink>
    </w:p>
    <w:p>
      <w:pPr>
        <w:tabs>
          <w:tab w:val="right" w:leader="dot" w:pos="9062"/>
        </w:tabs>
        <w:ind w:left="220"/>
      </w:pPr>
      <w:hyperlink w:anchor="_Toc4545" w:history="1">
        <w:r>
          <w:rPr>
            <w:rFonts w:ascii="IRNazanin" w:hAnsi="IRNazanin" w:eastAsia="IRNazanin" w:cs="IRNazanin"/>
            <w:color w:val="111111"/>
            <w:sz w:val="22"/>
            <w:szCs w:val="22"/>
            <w:b w:val="0"/>
            <w:bCs w:val="0"/>
            <w:i w:val="0"/>
            <w:iCs w:val="0"/>
          </w:rPr>
          <w:t>صفاري ، سعد بن محمّد ه-</w:t>
        </w:r>
        <w:r>
          <w:tab/>
        </w:r>
        <w:r>
          <w:fldChar w:fldCharType="begin"/>
        </w:r>
        <w:r>
          <w:instrText xml:space="preserve">PAGEREF 4545 \h</w:instrText>
        </w:r>
        <w:r>
          <w:fldChar w:fldCharType="end"/>
        </w:r>
      </w:hyperlink>
    </w:p>
    <w:p>
      <w:pPr>
        <w:tabs>
          <w:tab w:val="right" w:leader="dot" w:pos="9062"/>
        </w:tabs>
        <w:ind w:left="220"/>
      </w:pPr>
      <w:hyperlink w:anchor="_Toc4546" w:history="1">
        <w:r>
          <w:rPr>
            <w:rFonts w:ascii="IRNazanin" w:hAnsi="IRNazanin" w:eastAsia="IRNazanin" w:cs="IRNazanin"/>
            <w:color w:val="111111"/>
            <w:sz w:val="22"/>
            <w:szCs w:val="22"/>
            <w:b w:val="0"/>
            <w:bCs w:val="0"/>
            <w:i w:val="0"/>
            <w:iCs w:val="0"/>
          </w:rPr>
          <w:t>صفاقسي ، محمود بن محمّد - 1254 ه-</w:t>
        </w:r>
        <w:r>
          <w:tab/>
        </w:r>
        <w:r>
          <w:fldChar w:fldCharType="begin"/>
        </w:r>
        <w:r>
          <w:instrText xml:space="preserve">PAGEREF 4546 \h</w:instrText>
        </w:r>
        <w:r>
          <w:fldChar w:fldCharType="end"/>
        </w:r>
      </w:hyperlink>
    </w:p>
    <w:p>
      <w:pPr>
        <w:tabs>
          <w:tab w:val="right" w:leader="dot" w:pos="9062"/>
        </w:tabs>
        <w:ind w:left="220"/>
      </w:pPr>
      <w:hyperlink w:anchor="_Toc4547" w:history="1">
        <w:r>
          <w:rPr>
            <w:rFonts w:ascii="IRNazanin" w:hAnsi="IRNazanin" w:eastAsia="IRNazanin" w:cs="IRNazanin"/>
            <w:color w:val="111111"/>
            <w:sz w:val="22"/>
            <w:szCs w:val="22"/>
            <w:b w:val="0"/>
            <w:bCs w:val="0"/>
            <w:i w:val="0"/>
            <w:iCs w:val="0"/>
          </w:rPr>
          <w:t>صفا لواساني ، علي محمّد - 1299 ه-</w:t>
        </w:r>
        <w:r>
          <w:tab/>
        </w:r>
        <w:r>
          <w:fldChar w:fldCharType="begin"/>
        </w:r>
        <w:r>
          <w:instrText xml:space="preserve">PAGEREF 4547 \h</w:instrText>
        </w:r>
        <w:r>
          <w:fldChar w:fldCharType="end"/>
        </w:r>
      </w:hyperlink>
    </w:p>
    <w:p>
      <w:pPr>
        <w:tabs>
          <w:tab w:val="right" w:leader="dot" w:pos="9062"/>
        </w:tabs>
        <w:ind w:left="220"/>
      </w:pPr>
      <w:hyperlink w:anchor="_Toc4548" w:history="1">
        <w:r>
          <w:rPr>
            <w:rFonts w:ascii="IRNazanin" w:hAnsi="IRNazanin" w:eastAsia="IRNazanin" w:cs="IRNazanin"/>
            <w:color w:val="111111"/>
            <w:sz w:val="22"/>
            <w:szCs w:val="22"/>
            <w:b w:val="0"/>
            <w:bCs w:val="0"/>
            <w:i w:val="0"/>
            <w:iCs w:val="0"/>
          </w:rPr>
          <w:t>صفتي ، عيسى بن عيسى قرن 12 ه-</w:t>
        </w:r>
        <w:r>
          <w:tab/>
        </w:r>
        <w:r>
          <w:fldChar w:fldCharType="begin"/>
        </w:r>
        <w:r>
          <w:instrText xml:space="preserve">PAGEREF 4548 \h</w:instrText>
        </w:r>
        <w:r>
          <w:fldChar w:fldCharType="end"/>
        </w:r>
      </w:hyperlink>
    </w:p>
    <w:p>
      <w:pPr>
        <w:tabs>
          <w:tab w:val="right" w:leader="dot" w:pos="9062"/>
        </w:tabs>
        <w:ind w:left="220"/>
      </w:pPr>
      <w:hyperlink w:anchor="_Toc4549" w:history="1">
        <w:r>
          <w:rPr>
            <w:rFonts w:ascii="IRNazanin" w:hAnsi="IRNazanin" w:eastAsia="IRNazanin" w:cs="IRNazanin"/>
            <w:color w:val="111111"/>
            <w:sz w:val="22"/>
            <w:szCs w:val="22"/>
            <w:b w:val="0"/>
            <w:bCs w:val="0"/>
            <w:i w:val="0"/>
            <w:iCs w:val="0"/>
          </w:rPr>
          <w:t>صفدي، احمد بن صالح - 1176 ه-</w:t>
        </w:r>
        <w:r>
          <w:tab/>
        </w:r>
        <w:r>
          <w:fldChar w:fldCharType="begin"/>
        </w:r>
        <w:r>
          <w:instrText xml:space="preserve">PAGEREF 4549 \h</w:instrText>
        </w:r>
        <w:r>
          <w:fldChar w:fldCharType="end"/>
        </w:r>
      </w:hyperlink>
    </w:p>
    <w:p>
      <w:pPr>
        <w:tabs>
          <w:tab w:val="right" w:leader="dot" w:pos="9062"/>
        </w:tabs>
        <w:ind w:left="220"/>
      </w:pPr>
      <w:hyperlink w:anchor="_Toc4550" w:history="1">
        <w:r>
          <w:rPr>
            <w:rFonts w:ascii="IRNazanin" w:hAnsi="IRNazanin" w:eastAsia="IRNazanin" w:cs="IRNazanin"/>
            <w:color w:val="111111"/>
            <w:sz w:val="22"/>
            <w:szCs w:val="22"/>
            <w:b w:val="0"/>
            <w:bCs w:val="0"/>
            <w:i w:val="0"/>
            <w:iCs w:val="0"/>
          </w:rPr>
          <w:t>صفدي، خليل بن ايبك، 696 - 764 ه-</w:t>
        </w:r>
        <w:r>
          <w:tab/>
        </w:r>
        <w:r>
          <w:fldChar w:fldCharType="begin"/>
        </w:r>
        <w:r>
          <w:instrText xml:space="preserve">PAGEREF 4550 \h</w:instrText>
        </w:r>
        <w:r>
          <w:fldChar w:fldCharType="end"/>
        </w:r>
      </w:hyperlink>
    </w:p>
    <w:p>
      <w:pPr>
        <w:tabs>
          <w:tab w:val="right" w:leader="dot" w:pos="9062"/>
        </w:tabs>
        <w:ind w:left="220"/>
      </w:pPr>
      <w:hyperlink w:anchor="_Toc4551" w:history="1">
        <w:r>
          <w:rPr>
            <w:rFonts w:ascii="IRNazanin" w:hAnsi="IRNazanin" w:eastAsia="IRNazanin" w:cs="IRNazanin"/>
            <w:color w:val="111111"/>
            <w:sz w:val="22"/>
            <w:szCs w:val="22"/>
            <w:b w:val="0"/>
            <w:bCs w:val="0"/>
            <w:i w:val="0"/>
            <w:iCs w:val="0"/>
          </w:rPr>
          <w:t>صفدي ، عبد القادر بن محمّد - 915 ه-</w:t>
        </w:r>
        <w:r>
          <w:tab/>
        </w:r>
        <w:r>
          <w:fldChar w:fldCharType="begin"/>
        </w:r>
        <w:r>
          <w:instrText xml:space="preserve">PAGEREF 4551 \h</w:instrText>
        </w:r>
        <w:r>
          <w:fldChar w:fldCharType="end"/>
        </w:r>
      </w:hyperlink>
    </w:p>
    <w:p>
      <w:pPr>
        <w:tabs>
          <w:tab w:val="right" w:leader="dot" w:pos="9062"/>
        </w:tabs>
        <w:ind w:left="220"/>
      </w:pPr>
      <w:hyperlink w:anchor="_Toc4552" w:history="1">
        <w:r>
          <w:rPr>
            <w:rFonts w:ascii="IRNazanin" w:hAnsi="IRNazanin" w:eastAsia="IRNazanin" w:cs="IRNazanin"/>
            <w:color w:val="111111"/>
            <w:sz w:val="22"/>
            <w:szCs w:val="22"/>
            <w:b w:val="0"/>
            <w:bCs w:val="0"/>
            <w:i w:val="0"/>
            <w:iCs w:val="0"/>
          </w:rPr>
          <w:t>صفدي عدوي ، خضر</w:t>
        </w:r>
        <w:r>
          <w:tab/>
        </w:r>
        <w:r>
          <w:fldChar w:fldCharType="begin"/>
        </w:r>
        <w:r>
          <w:instrText xml:space="preserve">PAGEREF 4552 \h</w:instrText>
        </w:r>
        <w:r>
          <w:fldChar w:fldCharType="end"/>
        </w:r>
      </w:hyperlink>
    </w:p>
    <w:p>
      <w:pPr>
        <w:tabs>
          <w:tab w:val="right" w:leader="dot" w:pos="9062"/>
        </w:tabs>
        <w:ind w:left="220"/>
      </w:pPr>
      <w:hyperlink w:anchor="_Toc4553" w:history="1">
        <w:r>
          <w:rPr>
            <w:rFonts w:ascii="IRNazanin" w:hAnsi="IRNazanin" w:eastAsia="IRNazanin" w:cs="IRNazanin"/>
            <w:color w:val="111111"/>
            <w:sz w:val="22"/>
            <w:szCs w:val="22"/>
            <w:b w:val="0"/>
            <w:bCs w:val="0"/>
            <w:i w:val="0"/>
            <w:iCs w:val="0"/>
          </w:rPr>
          <w:t>صفدي ، علي بن حبيب</w:t>
        </w:r>
        <w:r>
          <w:tab/>
        </w:r>
        <w:r>
          <w:fldChar w:fldCharType="begin"/>
        </w:r>
        <w:r>
          <w:instrText xml:space="preserve">PAGEREF 4553 \h</w:instrText>
        </w:r>
        <w:r>
          <w:fldChar w:fldCharType="end"/>
        </w:r>
      </w:hyperlink>
    </w:p>
    <w:p>
      <w:pPr>
        <w:tabs>
          <w:tab w:val="right" w:leader="dot" w:pos="9062"/>
        </w:tabs>
        <w:ind w:left="220"/>
      </w:pPr>
      <w:hyperlink w:anchor="_Toc4554" w:history="1">
        <w:r>
          <w:rPr>
            <w:rFonts w:ascii="IRNazanin" w:hAnsi="IRNazanin" w:eastAsia="IRNazanin" w:cs="IRNazanin"/>
            <w:color w:val="111111"/>
            <w:sz w:val="22"/>
            <w:szCs w:val="22"/>
            <w:b w:val="0"/>
            <w:bCs w:val="0"/>
            <w:i w:val="0"/>
            <w:iCs w:val="0"/>
          </w:rPr>
          <w:t>صفراوي ، محمّد بن احمد</w:t>
        </w:r>
        <w:r>
          <w:tab/>
        </w:r>
        <w:r>
          <w:fldChar w:fldCharType="begin"/>
        </w:r>
        <w:r>
          <w:instrText xml:space="preserve">PAGEREF 4554 \h</w:instrText>
        </w:r>
        <w:r>
          <w:fldChar w:fldCharType="end"/>
        </w:r>
      </w:hyperlink>
    </w:p>
    <w:p>
      <w:pPr>
        <w:tabs>
          <w:tab w:val="right" w:leader="dot" w:pos="9062"/>
        </w:tabs>
        <w:ind w:left="220"/>
      </w:pPr>
      <w:hyperlink w:anchor="_Toc4555" w:history="1">
        <w:r>
          <w:rPr>
            <w:rFonts w:ascii="IRNazanin" w:hAnsi="IRNazanin" w:eastAsia="IRNazanin" w:cs="IRNazanin"/>
            <w:color w:val="111111"/>
            <w:sz w:val="22"/>
            <w:szCs w:val="22"/>
            <w:b w:val="0"/>
            <w:bCs w:val="0"/>
            <w:i w:val="0"/>
            <w:iCs w:val="0"/>
          </w:rPr>
          <w:t>صفواني ، حسن بن محمّد</w:t>
        </w:r>
        <w:r>
          <w:tab/>
        </w:r>
        <w:r>
          <w:fldChar w:fldCharType="begin"/>
        </w:r>
        <w:r>
          <w:instrText xml:space="preserve">PAGEREF 4555 \h</w:instrText>
        </w:r>
        <w:r>
          <w:fldChar w:fldCharType="end"/>
        </w:r>
      </w:hyperlink>
    </w:p>
    <w:p>
      <w:pPr>
        <w:tabs>
          <w:tab w:val="right" w:leader="dot" w:pos="9062"/>
        </w:tabs>
        <w:ind w:left="220"/>
      </w:pPr>
      <w:hyperlink w:anchor="_Toc4556" w:history="1">
        <w:r>
          <w:rPr>
            <w:rFonts w:ascii="IRNazanin" w:hAnsi="IRNazanin" w:eastAsia="IRNazanin" w:cs="IRNazanin"/>
            <w:color w:val="111111"/>
            <w:sz w:val="22"/>
            <w:szCs w:val="22"/>
            <w:b w:val="0"/>
            <w:bCs w:val="0"/>
            <w:i w:val="0"/>
            <w:iCs w:val="0"/>
          </w:rPr>
          <w:t>صفواني ، محمّد بن احمد - 358 ه-</w:t>
        </w:r>
        <w:r>
          <w:tab/>
        </w:r>
        <w:r>
          <w:fldChar w:fldCharType="begin"/>
        </w:r>
        <w:r>
          <w:instrText xml:space="preserve">PAGEREF 4556 \h</w:instrText>
        </w:r>
        <w:r>
          <w:fldChar w:fldCharType="end"/>
        </w:r>
      </w:hyperlink>
    </w:p>
    <w:p>
      <w:pPr>
        <w:tabs>
          <w:tab w:val="right" w:leader="dot" w:pos="9062"/>
        </w:tabs>
        <w:ind w:left="220"/>
      </w:pPr>
      <w:hyperlink w:anchor="_Toc4557" w:history="1">
        <w:r>
          <w:rPr>
            <w:rFonts w:ascii="IRNazanin" w:hAnsi="IRNazanin" w:eastAsia="IRNazanin" w:cs="IRNazanin"/>
            <w:color w:val="111111"/>
            <w:sz w:val="22"/>
            <w:szCs w:val="22"/>
            <w:b w:val="0"/>
            <w:bCs w:val="0"/>
            <w:i w:val="0"/>
            <w:iCs w:val="0"/>
          </w:rPr>
          <w:t>صفوري ، عبد الرحمن بن عبد السلام</w:t>
        </w:r>
        <w:r>
          <w:tab/>
        </w:r>
        <w:r>
          <w:fldChar w:fldCharType="begin"/>
        </w:r>
        <w:r>
          <w:instrText xml:space="preserve">PAGEREF 4557 \h</w:instrText>
        </w:r>
        <w:r>
          <w:fldChar w:fldCharType="end"/>
        </w:r>
      </w:hyperlink>
    </w:p>
    <w:p>
      <w:pPr>
        <w:tabs>
          <w:tab w:val="right" w:leader="dot" w:pos="9062"/>
        </w:tabs>
        <w:ind w:left="220"/>
      </w:pPr>
      <w:hyperlink w:anchor="_Toc4558" w:history="1">
        <w:r>
          <w:rPr>
            <w:rFonts w:ascii="IRNazanin" w:hAnsi="IRNazanin" w:eastAsia="IRNazanin" w:cs="IRNazanin"/>
            <w:color w:val="111111"/>
            <w:sz w:val="22"/>
            <w:szCs w:val="22"/>
            <w:b w:val="0"/>
            <w:bCs w:val="0"/>
            <w:i w:val="0"/>
            <w:iCs w:val="0"/>
          </w:rPr>
          <w:t>صفوري ، عبدالقادر بن مصطفى</w:t>
        </w:r>
        <w:r>
          <w:tab/>
        </w:r>
        <w:r>
          <w:fldChar w:fldCharType="begin"/>
        </w:r>
        <w:r>
          <w:instrText xml:space="preserve">PAGEREF 4558 \h</w:instrText>
        </w:r>
        <w:r>
          <w:fldChar w:fldCharType="end"/>
        </w:r>
      </w:hyperlink>
    </w:p>
    <w:p>
      <w:pPr>
        <w:tabs>
          <w:tab w:val="right" w:leader="dot" w:pos="9062"/>
        </w:tabs>
        <w:ind w:left="220"/>
      </w:pPr>
      <w:hyperlink w:anchor="_Toc4559" w:history="1">
        <w:r>
          <w:rPr>
            <w:rFonts w:ascii="IRNazanin" w:hAnsi="IRNazanin" w:eastAsia="IRNazanin" w:cs="IRNazanin"/>
            <w:color w:val="111111"/>
            <w:sz w:val="22"/>
            <w:szCs w:val="22"/>
            <w:b w:val="0"/>
            <w:bCs w:val="0"/>
            <w:i w:val="0"/>
            <w:iCs w:val="0"/>
          </w:rPr>
          <w:t>صفوي ، جعفر بن سلمان</w:t>
        </w:r>
        <w:r>
          <w:tab/>
        </w:r>
        <w:r>
          <w:fldChar w:fldCharType="begin"/>
        </w:r>
        <w:r>
          <w:instrText xml:space="preserve">PAGEREF 4559 \h</w:instrText>
        </w:r>
        <w:r>
          <w:fldChar w:fldCharType="end"/>
        </w:r>
      </w:hyperlink>
    </w:p>
    <w:p>
      <w:pPr>
        <w:tabs>
          <w:tab w:val="right" w:leader="dot" w:pos="9062"/>
        </w:tabs>
        <w:ind w:left="220"/>
      </w:pPr>
      <w:hyperlink w:anchor="_Toc4560" w:history="1">
        <w:r>
          <w:rPr>
            <w:rFonts w:ascii="IRNazanin" w:hAnsi="IRNazanin" w:eastAsia="IRNazanin" w:cs="IRNazanin"/>
            <w:color w:val="111111"/>
            <w:sz w:val="22"/>
            <w:szCs w:val="22"/>
            <w:b w:val="0"/>
            <w:bCs w:val="0"/>
            <w:i w:val="0"/>
            <w:iCs w:val="0"/>
          </w:rPr>
          <w:t>صفوي ، شهاب الدين عمر قرن 14 ه-</w:t>
        </w:r>
        <w:r>
          <w:tab/>
        </w:r>
        <w:r>
          <w:fldChar w:fldCharType="begin"/>
        </w:r>
        <w:r>
          <w:instrText xml:space="preserve">PAGEREF 4560 \h</w:instrText>
        </w:r>
        <w:r>
          <w:fldChar w:fldCharType="end"/>
        </w:r>
      </w:hyperlink>
    </w:p>
    <w:p>
      <w:pPr>
        <w:tabs>
          <w:tab w:val="right" w:leader="dot" w:pos="9062"/>
        </w:tabs>
        <w:ind w:left="220"/>
      </w:pPr>
      <w:hyperlink w:anchor="_Toc4561" w:history="1">
        <w:r>
          <w:rPr>
            <w:rFonts w:ascii="IRNazanin" w:hAnsi="IRNazanin" w:eastAsia="IRNazanin" w:cs="IRNazanin"/>
            <w:color w:val="111111"/>
            <w:sz w:val="22"/>
            <w:szCs w:val="22"/>
            <w:b w:val="0"/>
            <w:bCs w:val="0"/>
            <w:i w:val="0"/>
            <w:iCs w:val="0"/>
          </w:rPr>
          <w:t>صفوي، عيسى بن محمّد، 900 - 953 953 ه-</w:t>
        </w:r>
        <w:r>
          <w:tab/>
        </w:r>
        <w:r>
          <w:fldChar w:fldCharType="begin"/>
        </w:r>
        <w:r>
          <w:instrText xml:space="preserve">PAGEREF 4561 \h</w:instrText>
        </w:r>
        <w:r>
          <w:fldChar w:fldCharType="end"/>
        </w:r>
      </w:hyperlink>
    </w:p>
    <w:p>
      <w:pPr>
        <w:tabs>
          <w:tab w:val="right" w:leader="dot" w:pos="9062"/>
        </w:tabs>
        <w:ind w:left="220"/>
      </w:pPr>
      <w:hyperlink w:anchor="_Toc4562" w:history="1">
        <w:r>
          <w:rPr>
            <w:rFonts w:ascii="IRNazanin" w:hAnsi="IRNazanin" w:eastAsia="IRNazanin" w:cs="IRNazanin"/>
            <w:color w:val="111111"/>
            <w:sz w:val="22"/>
            <w:szCs w:val="22"/>
            <w:b w:val="0"/>
            <w:bCs w:val="0"/>
            <w:i w:val="0"/>
            <w:iCs w:val="0"/>
          </w:rPr>
          <w:t>صفوي ، محمّد بن ابراهيم - 927</w:t>
        </w:r>
        <w:r>
          <w:tab/>
        </w:r>
        <w:r>
          <w:fldChar w:fldCharType="begin"/>
        </w:r>
        <w:r>
          <w:instrText xml:space="preserve">PAGEREF 4562 \h</w:instrText>
        </w:r>
        <w:r>
          <w:fldChar w:fldCharType="end"/>
        </w:r>
      </w:hyperlink>
    </w:p>
    <w:p>
      <w:pPr>
        <w:tabs>
          <w:tab w:val="right" w:leader="dot" w:pos="9062"/>
        </w:tabs>
        <w:ind w:left="220"/>
      </w:pPr>
      <w:hyperlink w:anchor="_Toc4563" w:history="1">
        <w:r>
          <w:rPr>
            <w:rFonts w:ascii="IRNazanin" w:hAnsi="IRNazanin" w:eastAsia="IRNazanin" w:cs="IRNazanin"/>
            <w:color w:val="111111"/>
            <w:sz w:val="22"/>
            <w:szCs w:val="22"/>
            <w:b w:val="0"/>
            <w:bCs w:val="0"/>
            <w:i w:val="0"/>
            <w:iCs w:val="0"/>
          </w:rPr>
          <w:t>صفي الدين اردبيلي ، اسحاق بن جبرئيل</w:t>
        </w:r>
        <w:r>
          <w:tab/>
        </w:r>
        <w:r>
          <w:fldChar w:fldCharType="begin"/>
        </w:r>
        <w:r>
          <w:instrText xml:space="preserve">PAGEREF 4563 \h</w:instrText>
        </w:r>
        <w:r>
          <w:fldChar w:fldCharType="end"/>
        </w:r>
      </w:hyperlink>
    </w:p>
    <w:p>
      <w:pPr>
        <w:tabs>
          <w:tab w:val="right" w:leader="dot" w:pos="9062"/>
        </w:tabs>
        <w:ind w:left="220"/>
      </w:pPr>
      <w:hyperlink w:anchor="_Toc4564" w:history="1">
        <w:r>
          <w:rPr>
            <w:rFonts w:ascii="IRNazanin" w:hAnsi="IRNazanin" w:eastAsia="IRNazanin" w:cs="IRNazanin"/>
            <w:color w:val="111111"/>
            <w:sz w:val="22"/>
            <w:szCs w:val="22"/>
            <w:b w:val="0"/>
            <w:bCs w:val="0"/>
            <w:i w:val="0"/>
            <w:iCs w:val="0"/>
          </w:rPr>
          <w:t>صفي الدين ارموي ، عبدالمؤمن بن</w:t>
        </w:r>
        <w:r>
          <w:tab/>
        </w:r>
        <w:r>
          <w:fldChar w:fldCharType="begin"/>
        </w:r>
        <w:r>
          <w:instrText xml:space="preserve">PAGEREF 4564 \h</w:instrText>
        </w:r>
        <w:r>
          <w:fldChar w:fldCharType="end"/>
        </w:r>
      </w:hyperlink>
    </w:p>
    <w:p>
      <w:pPr>
        <w:tabs>
          <w:tab w:val="right" w:leader="dot" w:pos="9062"/>
        </w:tabs>
        <w:ind w:left="220"/>
      </w:pPr>
      <w:hyperlink w:anchor="_Toc4565" w:history="1">
        <w:r>
          <w:rPr>
            <w:rFonts w:ascii="IRNazanin" w:hAnsi="IRNazanin" w:eastAsia="IRNazanin" w:cs="IRNazanin"/>
            <w:color w:val="111111"/>
            <w:sz w:val="22"/>
            <w:szCs w:val="22"/>
            <w:b w:val="0"/>
            <w:bCs w:val="0"/>
            <w:i w:val="0"/>
            <w:iCs w:val="0"/>
          </w:rPr>
          <w:t>صفي الدين بخاري ، محمّد بن احمد -</w:t>
        </w:r>
        <w:r>
          <w:tab/>
        </w:r>
        <w:r>
          <w:fldChar w:fldCharType="begin"/>
        </w:r>
        <w:r>
          <w:instrText xml:space="preserve">PAGEREF 4565 \h</w:instrText>
        </w:r>
        <w:r>
          <w:fldChar w:fldCharType="end"/>
        </w:r>
      </w:hyperlink>
    </w:p>
    <w:p>
      <w:pPr>
        <w:tabs>
          <w:tab w:val="right" w:leader="dot" w:pos="9062"/>
        </w:tabs>
        <w:ind w:left="220"/>
      </w:pPr>
      <w:hyperlink w:anchor="_Toc4566" w:history="1">
        <w:r>
          <w:rPr>
            <w:rFonts w:ascii="IRNazanin" w:hAnsi="IRNazanin" w:eastAsia="IRNazanin" w:cs="IRNazanin"/>
            <w:color w:val="111111"/>
            <w:sz w:val="22"/>
            <w:szCs w:val="22"/>
            <w:b w:val="0"/>
            <w:bCs w:val="0"/>
            <w:i w:val="0"/>
            <w:iCs w:val="0"/>
          </w:rPr>
          <w:t>صفي الدين حلي ، عبدالعزيز بن سرايا</w:t>
        </w:r>
        <w:r>
          <w:tab/>
        </w:r>
        <w:r>
          <w:fldChar w:fldCharType="begin"/>
        </w:r>
        <w:r>
          <w:instrText xml:space="preserve">PAGEREF 4566 \h</w:instrText>
        </w:r>
        <w:r>
          <w:fldChar w:fldCharType="end"/>
        </w:r>
      </w:hyperlink>
    </w:p>
    <w:p>
      <w:pPr>
        <w:tabs>
          <w:tab w:val="right" w:leader="dot" w:pos="9062"/>
        </w:tabs>
        <w:ind w:left="220"/>
      </w:pPr>
      <w:hyperlink w:anchor="_Toc4567" w:history="1">
        <w:r>
          <w:rPr>
            <w:rFonts w:ascii="IRNazanin" w:hAnsi="IRNazanin" w:eastAsia="IRNazanin" w:cs="IRNazanin"/>
            <w:color w:val="111111"/>
            <w:sz w:val="22"/>
            <w:szCs w:val="22"/>
            <w:b w:val="0"/>
            <w:bCs w:val="0"/>
            <w:i w:val="0"/>
            <w:iCs w:val="0"/>
          </w:rPr>
          <w:t>صفي پوري ، عبد الرحيم بن عبدالكريم</w:t>
        </w:r>
        <w:r>
          <w:tab/>
        </w:r>
        <w:r>
          <w:fldChar w:fldCharType="begin"/>
        </w:r>
        <w:r>
          <w:instrText xml:space="preserve">PAGEREF 4567 \h</w:instrText>
        </w:r>
        <w:r>
          <w:fldChar w:fldCharType="end"/>
        </w:r>
      </w:hyperlink>
    </w:p>
    <w:p>
      <w:pPr>
        <w:tabs>
          <w:tab w:val="right" w:leader="dot" w:pos="9062"/>
        </w:tabs>
        <w:ind w:left="220"/>
      </w:pPr>
      <w:hyperlink w:anchor="_Toc4568" w:history="1">
        <w:r>
          <w:rPr>
            <w:rFonts w:ascii="IRNazanin" w:hAnsi="IRNazanin" w:eastAsia="IRNazanin" w:cs="IRNazanin"/>
            <w:color w:val="111111"/>
            <w:sz w:val="22"/>
            <w:szCs w:val="22"/>
            <w:b w:val="0"/>
            <w:bCs w:val="0"/>
            <w:i w:val="0"/>
            <w:iCs w:val="0"/>
          </w:rPr>
          <w:t>صقاعي ، فضل الله بن فخر، - 726 ه-</w:t>
        </w:r>
        <w:r>
          <w:tab/>
        </w:r>
        <w:r>
          <w:fldChar w:fldCharType="begin"/>
        </w:r>
        <w:r>
          <w:instrText xml:space="preserve">PAGEREF 4568 \h</w:instrText>
        </w:r>
        <w:r>
          <w:fldChar w:fldCharType="end"/>
        </w:r>
      </w:hyperlink>
    </w:p>
    <w:p>
      <w:pPr>
        <w:tabs>
          <w:tab w:val="right" w:leader="dot" w:pos="9062"/>
        </w:tabs>
        <w:ind w:left="220"/>
      </w:pPr>
      <w:hyperlink w:anchor="_Toc4569" w:history="1">
        <w:r>
          <w:rPr>
            <w:rFonts w:ascii="IRNazanin" w:hAnsi="IRNazanin" w:eastAsia="IRNazanin" w:cs="IRNazanin"/>
            <w:color w:val="111111"/>
            <w:sz w:val="22"/>
            <w:szCs w:val="22"/>
            <w:b w:val="0"/>
            <w:bCs w:val="0"/>
            <w:i w:val="0"/>
            <w:iCs w:val="0"/>
          </w:rPr>
          <w:t>صلاحي ، عبدالحسين</w:t>
        </w:r>
        <w:r>
          <w:tab/>
        </w:r>
        <w:r>
          <w:fldChar w:fldCharType="begin"/>
        </w:r>
        <w:r>
          <w:instrText xml:space="preserve">PAGEREF 4569 \h</w:instrText>
        </w:r>
        <w:r>
          <w:fldChar w:fldCharType="end"/>
        </w:r>
      </w:hyperlink>
    </w:p>
    <w:p>
      <w:pPr>
        <w:tabs>
          <w:tab w:val="right" w:leader="dot" w:pos="9062"/>
        </w:tabs>
        <w:ind w:left="220"/>
      </w:pPr>
      <w:hyperlink w:anchor="_Toc4570" w:history="1">
        <w:r>
          <w:rPr>
            <w:rFonts w:ascii="IRNazanin" w:hAnsi="IRNazanin" w:eastAsia="IRNazanin" w:cs="IRNazanin"/>
            <w:color w:val="111111"/>
            <w:sz w:val="22"/>
            <w:szCs w:val="22"/>
            <w:b w:val="0"/>
            <w:bCs w:val="0"/>
            <w:i w:val="0"/>
            <w:iCs w:val="0"/>
          </w:rPr>
          <w:t>صلاحي ، عبدالله بن عبدالعزيز - 1196 ؟ه-</w:t>
        </w:r>
        <w:r>
          <w:tab/>
        </w:r>
        <w:r>
          <w:fldChar w:fldCharType="begin"/>
        </w:r>
        <w:r>
          <w:instrText xml:space="preserve">PAGEREF 4570 \h</w:instrText>
        </w:r>
        <w:r>
          <w:fldChar w:fldCharType="end"/>
        </w:r>
      </w:hyperlink>
    </w:p>
    <w:p>
      <w:pPr>
        <w:tabs>
          <w:tab w:val="right" w:leader="dot" w:pos="9062"/>
        </w:tabs>
        <w:ind w:left="220"/>
      </w:pPr>
      <w:hyperlink w:anchor="_Toc4571" w:history="1">
        <w:r>
          <w:rPr>
            <w:rFonts w:ascii="IRNazanin" w:hAnsi="IRNazanin" w:eastAsia="IRNazanin" w:cs="IRNazanin"/>
            <w:color w:val="111111"/>
            <w:sz w:val="22"/>
            <w:szCs w:val="22"/>
            <w:b w:val="0"/>
            <w:bCs w:val="0"/>
            <w:i w:val="0"/>
            <w:iCs w:val="0"/>
          </w:rPr>
          <w:t>صليوا ، داود - 1921م</w:t>
        </w:r>
        <w:r>
          <w:tab/>
        </w:r>
        <w:r>
          <w:fldChar w:fldCharType="begin"/>
        </w:r>
        <w:r>
          <w:instrText xml:space="preserve">PAGEREF 4571 \h</w:instrText>
        </w:r>
        <w:r>
          <w:fldChar w:fldCharType="end"/>
        </w:r>
      </w:hyperlink>
    </w:p>
    <w:p>
      <w:pPr>
        <w:tabs>
          <w:tab w:val="right" w:leader="dot" w:pos="9062"/>
        </w:tabs>
        <w:ind w:left="220"/>
      </w:pPr>
      <w:hyperlink w:anchor="_Toc4572" w:history="1">
        <w:r>
          <w:rPr>
            <w:rFonts w:ascii="IRNazanin" w:hAnsi="IRNazanin" w:eastAsia="IRNazanin" w:cs="IRNazanin"/>
            <w:color w:val="111111"/>
            <w:sz w:val="22"/>
            <w:szCs w:val="22"/>
            <w:b w:val="0"/>
            <w:bCs w:val="0"/>
            <w:i w:val="0"/>
            <w:iCs w:val="0"/>
          </w:rPr>
          <w:t>صمدي ، ابراهيم بن حسن</w:t>
        </w:r>
        <w:r>
          <w:tab/>
        </w:r>
        <w:r>
          <w:fldChar w:fldCharType="begin"/>
        </w:r>
        <w:r>
          <w:instrText xml:space="preserve">PAGEREF 4572 \h</w:instrText>
        </w:r>
        <w:r>
          <w:fldChar w:fldCharType="end"/>
        </w:r>
      </w:hyperlink>
    </w:p>
    <w:p>
      <w:pPr>
        <w:tabs>
          <w:tab w:val="right" w:leader="dot" w:pos="9062"/>
        </w:tabs>
        <w:ind w:left="220"/>
      </w:pPr>
      <w:hyperlink w:anchor="_Toc4573" w:history="1">
        <w:r>
          <w:rPr>
            <w:rFonts w:ascii="IRNazanin" w:hAnsi="IRNazanin" w:eastAsia="IRNazanin" w:cs="IRNazanin"/>
            <w:color w:val="111111"/>
            <w:sz w:val="22"/>
            <w:szCs w:val="22"/>
            <w:b w:val="0"/>
            <w:bCs w:val="0"/>
            <w:i w:val="0"/>
            <w:iCs w:val="0"/>
          </w:rPr>
          <w:t>صمدي ، محمّد بن عبد الرحيم - 1100</w:t>
        </w:r>
        <w:r>
          <w:tab/>
        </w:r>
        <w:r>
          <w:fldChar w:fldCharType="begin"/>
        </w:r>
        <w:r>
          <w:instrText xml:space="preserve">PAGEREF 4573 \h</w:instrText>
        </w:r>
        <w:r>
          <w:fldChar w:fldCharType="end"/>
        </w:r>
      </w:hyperlink>
    </w:p>
    <w:p>
      <w:pPr>
        <w:tabs>
          <w:tab w:val="right" w:leader="dot" w:pos="9062"/>
        </w:tabs>
        <w:ind w:left="220"/>
      </w:pPr>
      <w:hyperlink w:anchor="_Toc4574" w:history="1">
        <w:r>
          <w:rPr>
            <w:rFonts w:ascii="IRNazanin" w:hAnsi="IRNazanin" w:eastAsia="IRNazanin" w:cs="IRNazanin"/>
            <w:color w:val="111111"/>
            <w:sz w:val="22"/>
            <w:szCs w:val="22"/>
            <w:b w:val="0"/>
            <w:bCs w:val="0"/>
            <w:i w:val="0"/>
            <w:iCs w:val="0"/>
          </w:rPr>
          <w:t>صندوقلي ، عثمان بن عبدالمنان - 1301</w:t>
        </w:r>
        <w:r>
          <w:tab/>
        </w:r>
        <w:r>
          <w:fldChar w:fldCharType="begin"/>
        </w:r>
        <w:r>
          <w:instrText xml:space="preserve">PAGEREF 4574 \h</w:instrText>
        </w:r>
        <w:r>
          <w:fldChar w:fldCharType="end"/>
        </w:r>
      </w:hyperlink>
    </w:p>
    <w:p>
      <w:pPr>
        <w:tabs>
          <w:tab w:val="right" w:leader="dot" w:pos="9062"/>
        </w:tabs>
        <w:ind w:left="220"/>
      </w:pPr>
      <w:hyperlink w:anchor="_Toc4575" w:history="1">
        <w:r>
          <w:rPr>
            <w:rFonts w:ascii="IRNazanin" w:hAnsi="IRNazanin" w:eastAsia="IRNazanin" w:cs="IRNazanin"/>
            <w:color w:val="111111"/>
            <w:sz w:val="22"/>
            <w:szCs w:val="22"/>
            <w:b w:val="0"/>
            <w:bCs w:val="0"/>
            <w:i w:val="0"/>
            <w:iCs w:val="0"/>
          </w:rPr>
          <w:t>صنعاني ، ابراهيم بن محمّد - 914 ه-</w:t>
        </w:r>
        <w:r>
          <w:tab/>
        </w:r>
        <w:r>
          <w:fldChar w:fldCharType="begin"/>
        </w:r>
        <w:r>
          <w:instrText xml:space="preserve">PAGEREF 4575 \h</w:instrText>
        </w:r>
        <w:r>
          <w:fldChar w:fldCharType="end"/>
        </w:r>
      </w:hyperlink>
    </w:p>
    <w:p>
      <w:pPr>
        <w:tabs>
          <w:tab w:val="right" w:leader="dot" w:pos="9062"/>
        </w:tabs>
        <w:ind w:left="220"/>
      </w:pPr>
      <w:hyperlink w:anchor="_Toc4576" w:history="1">
        <w:r>
          <w:rPr>
            <w:rFonts w:ascii="IRNazanin" w:hAnsi="IRNazanin" w:eastAsia="IRNazanin" w:cs="IRNazanin"/>
            <w:color w:val="111111"/>
            <w:sz w:val="22"/>
            <w:szCs w:val="22"/>
            <w:b w:val="0"/>
            <w:bCs w:val="0"/>
            <w:i w:val="0"/>
            <w:iCs w:val="0"/>
          </w:rPr>
          <w:t>صنعاني، اسماعيل بن محمّد - 1079 ؟</w:t>
        </w:r>
        <w:r>
          <w:tab/>
        </w:r>
        <w:r>
          <w:fldChar w:fldCharType="begin"/>
        </w:r>
        <w:r>
          <w:instrText xml:space="preserve">PAGEREF 4576 \h</w:instrText>
        </w:r>
        <w:r>
          <w:fldChar w:fldCharType="end"/>
        </w:r>
      </w:hyperlink>
    </w:p>
    <w:p>
      <w:pPr>
        <w:tabs>
          <w:tab w:val="right" w:leader="dot" w:pos="9062"/>
        </w:tabs>
        <w:ind w:left="220"/>
      </w:pPr>
      <w:hyperlink w:anchor="_Toc4577" w:history="1">
        <w:r>
          <w:rPr>
            <w:rFonts w:ascii="IRNazanin" w:hAnsi="IRNazanin" w:eastAsia="IRNazanin" w:cs="IRNazanin"/>
            <w:color w:val="111111"/>
            <w:sz w:val="22"/>
            <w:szCs w:val="22"/>
            <w:b w:val="0"/>
            <w:bCs w:val="0"/>
            <w:i w:val="0"/>
            <w:iCs w:val="0"/>
          </w:rPr>
          <w:t>صنعاني ، عبدالرزاق بن همام 126 - 211</w:t>
        </w:r>
        <w:r>
          <w:tab/>
        </w:r>
        <w:r>
          <w:fldChar w:fldCharType="begin"/>
        </w:r>
        <w:r>
          <w:instrText xml:space="preserve">PAGEREF 4577 \h</w:instrText>
        </w:r>
        <w:r>
          <w:fldChar w:fldCharType="end"/>
        </w:r>
      </w:hyperlink>
    </w:p>
    <w:p>
      <w:pPr>
        <w:tabs>
          <w:tab w:val="right" w:leader="dot" w:pos="9062"/>
        </w:tabs>
        <w:ind w:left="220"/>
      </w:pPr>
      <w:hyperlink w:anchor="_Toc4578" w:history="1">
        <w:r>
          <w:rPr>
            <w:rFonts w:ascii="IRNazanin" w:hAnsi="IRNazanin" w:eastAsia="IRNazanin" w:cs="IRNazanin"/>
            <w:color w:val="111111"/>
            <w:sz w:val="22"/>
            <w:szCs w:val="22"/>
            <w:b w:val="0"/>
            <w:bCs w:val="0"/>
            <w:i w:val="0"/>
            <w:iCs w:val="0"/>
          </w:rPr>
          <w:t>صنعاني ، عيسى بن عيسى قرن 12 ه-</w:t>
        </w:r>
        <w:r>
          <w:tab/>
        </w:r>
        <w:r>
          <w:fldChar w:fldCharType="begin"/>
        </w:r>
        <w:r>
          <w:instrText xml:space="preserve">PAGEREF 4578 \h</w:instrText>
        </w:r>
        <w:r>
          <w:fldChar w:fldCharType="end"/>
        </w:r>
      </w:hyperlink>
    </w:p>
    <w:p>
      <w:pPr>
        <w:tabs>
          <w:tab w:val="right" w:leader="dot" w:pos="9062"/>
        </w:tabs>
        <w:ind w:left="220"/>
      </w:pPr>
      <w:hyperlink w:anchor="_Toc4579" w:history="1">
        <w:r>
          <w:rPr>
            <w:rFonts w:ascii="IRNazanin" w:hAnsi="IRNazanin" w:eastAsia="IRNazanin" w:cs="IRNazanin"/>
            <w:color w:val="111111"/>
            <w:sz w:val="22"/>
            <w:szCs w:val="22"/>
            <w:b w:val="0"/>
            <w:bCs w:val="0"/>
            <w:i w:val="0"/>
            <w:iCs w:val="0"/>
          </w:rPr>
          <w:t>صنعاني ، يوسف بن يحيى 1078 - 1121</w:t>
        </w:r>
        <w:r>
          <w:tab/>
        </w:r>
        <w:r>
          <w:fldChar w:fldCharType="begin"/>
        </w:r>
        <w:r>
          <w:instrText xml:space="preserve">PAGEREF 4579 \h</w:instrText>
        </w:r>
        <w:r>
          <w:fldChar w:fldCharType="end"/>
        </w:r>
      </w:hyperlink>
    </w:p>
    <w:p>
      <w:pPr>
        <w:tabs>
          <w:tab w:val="right" w:leader="dot" w:pos="9062"/>
        </w:tabs>
        <w:ind w:left="220"/>
      </w:pPr>
      <w:hyperlink w:anchor="_Toc4580" w:history="1">
        <w:r>
          <w:rPr>
            <w:rFonts w:ascii="IRNazanin" w:hAnsi="IRNazanin" w:eastAsia="IRNazanin" w:cs="IRNazanin"/>
            <w:color w:val="111111"/>
            <w:sz w:val="22"/>
            <w:szCs w:val="22"/>
            <w:b w:val="0"/>
            <w:bCs w:val="0"/>
            <w:i w:val="0"/>
            <w:iCs w:val="0"/>
          </w:rPr>
          <w:t>صنعاني ، همام بن منبه 40 - 131 ه-</w:t>
        </w:r>
        <w:r>
          <w:tab/>
        </w:r>
        <w:r>
          <w:fldChar w:fldCharType="begin"/>
        </w:r>
        <w:r>
          <w:instrText xml:space="preserve">PAGEREF 4580 \h</w:instrText>
        </w:r>
        <w:r>
          <w:fldChar w:fldCharType="end"/>
        </w:r>
      </w:hyperlink>
    </w:p>
    <w:p>
      <w:pPr>
        <w:tabs>
          <w:tab w:val="right" w:leader="dot" w:pos="9062"/>
        </w:tabs>
        <w:ind w:left="220"/>
      </w:pPr>
      <w:hyperlink w:anchor="_Toc4581" w:history="1">
        <w:r>
          <w:rPr>
            <w:rFonts w:ascii="IRNazanin" w:hAnsi="IRNazanin" w:eastAsia="IRNazanin" w:cs="IRNazanin"/>
            <w:color w:val="111111"/>
            <w:sz w:val="22"/>
            <w:szCs w:val="22"/>
            <w:b w:val="0"/>
            <w:bCs w:val="0"/>
            <w:i w:val="0"/>
            <w:iCs w:val="0"/>
          </w:rPr>
          <w:t>صنعاني ، وهب بن منبه - 110 ه-</w:t>
        </w:r>
        <w:r>
          <w:tab/>
        </w:r>
        <w:r>
          <w:fldChar w:fldCharType="begin"/>
        </w:r>
        <w:r>
          <w:instrText xml:space="preserve">PAGEREF 4581 \h</w:instrText>
        </w:r>
        <w:r>
          <w:fldChar w:fldCharType="end"/>
        </w:r>
      </w:hyperlink>
    </w:p>
    <w:p>
      <w:pPr>
        <w:tabs>
          <w:tab w:val="right" w:leader="dot" w:pos="9062"/>
        </w:tabs>
        <w:ind w:left="220"/>
      </w:pPr>
      <w:hyperlink w:anchor="_Toc4582" w:history="1">
        <w:r>
          <w:rPr>
            <w:rFonts w:ascii="IRNazanin" w:hAnsi="IRNazanin" w:eastAsia="IRNazanin" w:cs="IRNazanin"/>
            <w:color w:val="111111"/>
            <w:sz w:val="22"/>
            <w:szCs w:val="22"/>
            <w:b w:val="0"/>
            <w:bCs w:val="0"/>
            <w:i w:val="0"/>
            <w:iCs w:val="0"/>
          </w:rPr>
          <w:t>صنهاجي ، سعيد بن مسعود - 1016</w:t>
        </w:r>
        <w:r>
          <w:tab/>
        </w:r>
        <w:r>
          <w:fldChar w:fldCharType="begin"/>
        </w:r>
        <w:r>
          <w:instrText xml:space="preserve">PAGEREF 4582 \h</w:instrText>
        </w:r>
        <w:r>
          <w:fldChar w:fldCharType="end"/>
        </w:r>
      </w:hyperlink>
    </w:p>
    <w:p>
      <w:pPr>
        <w:tabs>
          <w:tab w:val="right" w:leader="dot" w:pos="9062"/>
        </w:tabs>
        <w:ind w:left="220"/>
      </w:pPr>
      <w:hyperlink w:anchor="_Toc4583" w:history="1">
        <w:r>
          <w:rPr>
            <w:rFonts w:ascii="IRNazanin" w:hAnsi="IRNazanin" w:eastAsia="IRNazanin" w:cs="IRNazanin"/>
            <w:color w:val="111111"/>
            <w:sz w:val="22"/>
            <w:szCs w:val="22"/>
            <w:b w:val="0"/>
            <w:bCs w:val="0"/>
            <w:i w:val="0"/>
            <w:iCs w:val="0"/>
          </w:rPr>
          <w:t>صنهاجي ، محمّد بن سعيد - 795 ه-</w:t>
        </w:r>
        <w:r>
          <w:tab/>
        </w:r>
        <w:r>
          <w:fldChar w:fldCharType="begin"/>
        </w:r>
        <w:r>
          <w:instrText xml:space="preserve">PAGEREF 4583 \h</w:instrText>
        </w:r>
        <w:r>
          <w:fldChar w:fldCharType="end"/>
        </w:r>
      </w:hyperlink>
    </w:p>
    <w:p>
      <w:pPr>
        <w:tabs>
          <w:tab w:val="right" w:leader="dot" w:pos="9062"/>
        </w:tabs>
        <w:ind w:left="220"/>
      </w:pPr>
      <w:hyperlink w:anchor="_Toc4584" w:history="1">
        <w:r>
          <w:rPr>
            <w:rFonts w:ascii="IRNazanin" w:hAnsi="IRNazanin" w:eastAsia="IRNazanin" w:cs="IRNazanin"/>
            <w:color w:val="111111"/>
            <w:sz w:val="22"/>
            <w:szCs w:val="22"/>
            <w:b w:val="0"/>
            <w:bCs w:val="0"/>
            <w:i w:val="0"/>
            <w:iCs w:val="0"/>
          </w:rPr>
          <w:t>صنهاجي ، معز بن باديس 398 - 454 ه-</w:t>
        </w:r>
        <w:r>
          <w:tab/>
        </w:r>
        <w:r>
          <w:fldChar w:fldCharType="begin"/>
        </w:r>
        <w:r>
          <w:instrText xml:space="preserve">PAGEREF 4584 \h</w:instrText>
        </w:r>
        <w:r>
          <w:fldChar w:fldCharType="end"/>
        </w:r>
      </w:hyperlink>
    </w:p>
    <w:p>
      <w:pPr>
        <w:tabs>
          <w:tab w:val="right" w:leader="dot" w:pos="9062"/>
        </w:tabs>
        <w:ind w:left="220"/>
      </w:pPr>
      <w:hyperlink w:anchor="_Toc4585" w:history="1">
        <w:r>
          <w:rPr>
            <w:rFonts w:ascii="IRNazanin" w:hAnsi="IRNazanin" w:eastAsia="IRNazanin" w:cs="IRNazanin"/>
            <w:color w:val="111111"/>
            <w:sz w:val="22"/>
            <w:szCs w:val="22"/>
            <w:b w:val="0"/>
            <w:bCs w:val="0"/>
            <w:i w:val="0"/>
            <w:iCs w:val="0"/>
          </w:rPr>
          <w:t>صنوبري، احمد بن محمّد - 334 ه-</w:t>
        </w:r>
        <w:r>
          <w:tab/>
        </w:r>
        <w:r>
          <w:fldChar w:fldCharType="begin"/>
        </w:r>
        <w:r>
          <w:instrText xml:space="preserve">PAGEREF 4585 \h</w:instrText>
        </w:r>
        <w:r>
          <w:fldChar w:fldCharType="end"/>
        </w:r>
      </w:hyperlink>
    </w:p>
    <w:p>
      <w:pPr>
        <w:tabs>
          <w:tab w:val="right" w:leader="dot" w:pos="9062"/>
        </w:tabs>
        <w:ind w:left="220"/>
      </w:pPr>
      <w:hyperlink w:anchor="_Toc4586" w:history="1">
        <w:r>
          <w:rPr>
            <w:rFonts w:ascii="IRNazanin" w:hAnsi="IRNazanin" w:eastAsia="IRNazanin" w:cs="IRNazanin"/>
            <w:color w:val="111111"/>
            <w:sz w:val="22"/>
            <w:szCs w:val="22"/>
            <w:b w:val="0"/>
            <w:bCs w:val="0"/>
            <w:i w:val="0"/>
            <w:iCs w:val="0"/>
          </w:rPr>
          <w:t>صهرشتي ، سليمان بن حسن قرن 5 ه-</w:t>
        </w:r>
        <w:r>
          <w:tab/>
        </w:r>
        <w:r>
          <w:fldChar w:fldCharType="begin"/>
        </w:r>
        <w:r>
          <w:instrText xml:space="preserve">PAGEREF 4586 \h</w:instrText>
        </w:r>
        <w:r>
          <w:fldChar w:fldCharType="end"/>
        </w:r>
      </w:hyperlink>
    </w:p>
    <w:p>
      <w:pPr>
        <w:tabs>
          <w:tab w:val="right" w:leader="dot" w:pos="9062"/>
        </w:tabs>
        <w:ind w:left="220"/>
      </w:pPr>
      <w:hyperlink w:anchor="_Toc4587" w:history="1">
        <w:r>
          <w:rPr>
            <w:rFonts w:ascii="IRNazanin" w:hAnsi="IRNazanin" w:eastAsia="IRNazanin" w:cs="IRNazanin"/>
            <w:color w:val="111111"/>
            <w:sz w:val="22"/>
            <w:szCs w:val="22"/>
            <w:b w:val="0"/>
            <w:bCs w:val="0"/>
            <w:i w:val="0"/>
            <w:iCs w:val="0"/>
          </w:rPr>
          <w:t>صوافي، مصطفى بن حسين قرن 12 ه-</w:t>
        </w:r>
        <w:r>
          <w:tab/>
        </w:r>
        <w:r>
          <w:fldChar w:fldCharType="begin"/>
        </w:r>
        <w:r>
          <w:instrText xml:space="preserve">PAGEREF 4587 \h</w:instrText>
        </w:r>
        <w:r>
          <w:fldChar w:fldCharType="end"/>
        </w:r>
      </w:hyperlink>
    </w:p>
    <w:p>
      <w:pPr>
        <w:tabs>
          <w:tab w:val="right" w:leader="dot" w:pos="9062"/>
        </w:tabs>
        <w:ind w:left="220"/>
      </w:pPr>
      <w:hyperlink w:anchor="_Toc4588" w:history="1">
        <w:r>
          <w:rPr>
            <w:rFonts w:ascii="IRNazanin" w:hAnsi="IRNazanin" w:eastAsia="IRNazanin" w:cs="IRNazanin"/>
            <w:color w:val="111111"/>
            <w:sz w:val="22"/>
            <w:szCs w:val="22"/>
            <w:b w:val="0"/>
            <w:bCs w:val="0"/>
            <w:i w:val="0"/>
            <w:iCs w:val="0"/>
          </w:rPr>
          <w:t>صوالحي</w:t>
        </w:r>
        <w:r>
          <w:tab/>
        </w:r>
        <w:r>
          <w:fldChar w:fldCharType="begin"/>
        </w:r>
        <w:r>
          <w:instrText xml:space="preserve">PAGEREF 4588 \h</w:instrText>
        </w:r>
        <w:r>
          <w:fldChar w:fldCharType="end"/>
        </w:r>
      </w:hyperlink>
    </w:p>
    <w:p>
      <w:pPr>
        <w:tabs>
          <w:tab w:val="right" w:leader="dot" w:pos="9062"/>
        </w:tabs>
        <w:ind w:left="220"/>
      </w:pPr>
      <w:hyperlink w:anchor="_Toc4589" w:history="1">
        <w:r>
          <w:rPr>
            <w:rFonts w:ascii="IRNazanin" w:hAnsi="IRNazanin" w:eastAsia="IRNazanin" w:cs="IRNazanin"/>
            <w:color w:val="111111"/>
            <w:sz w:val="22"/>
            <w:szCs w:val="22"/>
            <w:b w:val="0"/>
            <w:bCs w:val="0"/>
            <w:i w:val="0"/>
            <w:iCs w:val="0"/>
          </w:rPr>
          <w:t>صوباوي عبديشوع بن بريخيا - 718 ه-</w:t>
        </w:r>
        <w:r>
          <w:tab/>
        </w:r>
        <w:r>
          <w:fldChar w:fldCharType="begin"/>
        </w:r>
        <w:r>
          <w:instrText xml:space="preserve">PAGEREF 4589 \h</w:instrText>
        </w:r>
        <w:r>
          <w:fldChar w:fldCharType="end"/>
        </w:r>
      </w:hyperlink>
    </w:p>
    <w:p>
      <w:pPr>
        <w:tabs>
          <w:tab w:val="right" w:leader="dot" w:pos="9062"/>
        </w:tabs>
        <w:ind w:left="220"/>
      </w:pPr>
      <w:hyperlink w:anchor="_Toc4590" w:history="1">
        <w:r>
          <w:rPr>
            <w:rFonts w:ascii="IRNazanin" w:hAnsi="IRNazanin" w:eastAsia="IRNazanin" w:cs="IRNazanin"/>
            <w:color w:val="111111"/>
            <w:sz w:val="22"/>
            <w:szCs w:val="22"/>
            <w:b w:val="0"/>
            <w:bCs w:val="0"/>
            <w:i w:val="0"/>
            <w:iCs w:val="0"/>
          </w:rPr>
          <w:t>صوري، عبد المحسن بن محمّد 339 -</w:t>
        </w:r>
        <w:r>
          <w:tab/>
        </w:r>
        <w:r>
          <w:fldChar w:fldCharType="begin"/>
        </w:r>
        <w:r>
          <w:instrText xml:space="preserve">PAGEREF 4590 \h</w:instrText>
        </w:r>
        <w:r>
          <w:fldChar w:fldCharType="end"/>
        </w:r>
      </w:hyperlink>
    </w:p>
    <w:p>
      <w:pPr>
        <w:tabs>
          <w:tab w:val="right" w:leader="dot" w:pos="9062"/>
        </w:tabs>
        <w:ind w:left="220"/>
      </w:pPr>
      <w:hyperlink w:anchor="_Toc4591" w:history="1">
        <w:r>
          <w:rPr>
            <w:rFonts w:ascii="IRNazanin" w:hAnsi="IRNazanin" w:eastAsia="IRNazanin" w:cs="IRNazanin"/>
            <w:color w:val="111111"/>
            <w:sz w:val="22"/>
            <w:szCs w:val="22"/>
            <w:b w:val="0"/>
            <w:bCs w:val="0"/>
            <w:i w:val="0"/>
            <w:iCs w:val="0"/>
          </w:rPr>
          <w:t>صوفي ، ابوالسيادات محمّد</w:t>
        </w:r>
        <w:r>
          <w:tab/>
        </w:r>
        <w:r>
          <w:fldChar w:fldCharType="begin"/>
        </w:r>
        <w:r>
          <w:instrText xml:space="preserve">PAGEREF 4591 \h</w:instrText>
        </w:r>
        <w:r>
          <w:fldChar w:fldCharType="end"/>
        </w:r>
      </w:hyperlink>
    </w:p>
    <w:p>
      <w:pPr>
        <w:tabs>
          <w:tab w:val="right" w:leader="dot" w:pos="9062"/>
        </w:tabs>
        <w:ind w:left="220"/>
      </w:pPr>
      <w:hyperlink w:anchor="_Toc4592" w:history="1">
        <w:r>
          <w:rPr>
            <w:rFonts w:ascii="IRNazanin" w:hAnsi="IRNazanin" w:eastAsia="IRNazanin" w:cs="IRNazanin"/>
            <w:color w:val="111111"/>
            <w:sz w:val="22"/>
            <w:szCs w:val="22"/>
            <w:b w:val="0"/>
            <w:bCs w:val="0"/>
            <w:i w:val="0"/>
            <w:iCs w:val="0"/>
          </w:rPr>
          <w:t>صوفي سمرقندي ، محمّد بن احمد قرن 8</w:t>
        </w:r>
        <w:r>
          <w:tab/>
        </w:r>
        <w:r>
          <w:fldChar w:fldCharType="begin"/>
        </w:r>
        <w:r>
          <w:instrText xml:space="preserve">PAGEREF 4592 \h</w:instrText>
        </w:r>
        <w:r>
          <w:fldChar w:fldCharType="end"/>
        </w:r>
      </w:hyperlink>
    </w:p>
    <w:p>
      <w:pPr>
        <w:tabs>
          <w:tab w:val="right" w:leader="dot" w:pos="9062"/>
        </w:tabs>
        <w:ind w:left="220"/>
      </w:pPr>
      <w:hyperlink w:anchor="_Toc4593" w:history="1">
        <w:r>
          <w:rPr>
            <w:rFonts w:ascii="IRNazanin" w:hAnsi="IRNazanin" w:eastAsia="IRNazanin" w:cs="IRNazanin"/>
            <w:color w:val="111111"/>
            <w:sz w:val="22"/>
            <w:szCs w:val="22"/>
            <w:b w:val="0"/>
            <w:bCs w:val="0"/>
            <w:i w:val="0"/>
            <w:iCs w:val="0"/>
          </w:rPr>
          <w:t>صوفي، عبدالرحمن بن عمر 291 - 376</w:t>
        </w:r>
        <w:r>
          <w:tab/>
        </w:r>
        <w:r>
          <w:fldChar w:fldCharType="begin"/>
        </w:r>
        <w:r>
          <w:instrText xml:space="preserve">PAGEREF 4593 \h</w:instrText>
        </w:r>
        <w:r>
          <w:fldChar w:fldCharType="end"/>
        </w:r>
      </w:hyperlink>
    </w:p>
    <w:p>
      <w:pPr>
        <w:tabs>
          <w:tab w:val="right" w:leader="dot" w:pos="9062"/>
        </w:tabs>
        <w:ind w:left="220"/>
      </w:pPr>
      <w:hyperlink w:anchor="_Toc4594" w:history="1">
        <w:r>
          <w:rPr>
            <w:rFonts w:ascii="IRNazanin" w:hAnsi="IRNazanin" w:eastAsia="IRNazanin" w:cs="IRNazanin"/>
            <w:color w:val="111111"/>
            <w:sz w:val="22"/>
            <w:szCs w:val="22"/>
            <w:b w:val="0"/>
            <w:bCs w:val="0"/>
            <w:i w:val="0"/>
            <w:iCs w:val="0"/>
          </w:rPr>
          <w:t>صوفي مازندراني ، محمّد بن عبدالله</w:t>
        </w:r>
        <w:r>
          <w:tab/>
        </w:r>
        <w:r>
          <w:fldChar w:fldCharType="begin"/>
        </w:r>
        <w:r>
          <w:instrText xml:space="preserve">PAGEREF 4594 \h</w:instrText>
        </w:r>
        <w:r>
          <w:fldChar w:fldCharType="end"/>
        </w:r>
      </w:hyperlink>
    </w:p>
    <w:p>
      <w:pPr>
        <w:tabs>
          <w:tab w:val="right" w:leader="dot" w:pos="9062"/>
        </w:tabs>
        <w:ind w:left="220"/>
      </w:pPr>
      <w:hyperlink w:anchor="_Toc4595" w:history="1">
        <w:r>
          <w:rPr>
            <w:rFonts w:ascii="IRNazanin" w:hAnsi="IRNazanin" w:eastAsia="IRNazanin" w:cs="IRNazanin"/>
            <w:color w:val="111111"/>
            <w:sz w:val="22"/>
            <w:szCs w:val="22"/>
            <w:b w:val="0"/>
            <w:bCs w:val="0"/>
            <w:i w:val="0"/>
            <w:iCs w:val="0"/>
          </w:rPr>
          <w:t>صوفي ، محمّد بن احمد - 950؟ ه-</w:t>
        </w:r>
        <w:r>
          <w:tab/>
        </w:r>
        <w:r>
          <w:fldChar w:fldCharType="begin"/>
        </w:r>
        <w:r>
          <w:instrText xml:space="preserve">PAGEREF 4595 \h</w:instrText>
        </w:r>
        <w:r>
          <w:fldChar w:fldCharType="end"/>
        </w:r>
      </w:hyperlink>
    </w:p>
    <w:p>
      <w:pPr>
        <w:tabs>
          <w:tab w:val="right" w:leader="dot" w:pos="9062"/>
        </w:tabs>
        <w:ind w:left="220"/>
      </w:pPr>
      <w:hyperlink w:anchor="_Toc4596" w:history="1">
        <w:r>
          <w:rPr>
            <w:rFonts w:ascii="IRNazanin" w:hAnsi="IRNazanin" w:eastAsia="IRNazanin" w:cs="IRNazanin"/>
            <w:color w:val="111111"/>
            <w:sz w:val="22"/>
            <w:szCs w:val="22"/>
            <w:b w:val="0"/>
            <w:bCs w:val="0"/>
            <w:i w:val="0"/>
            <w:iCs w:val="0"/>
          </w:rPr>
          <w:t>صوفي نقشبندي ، ابوسعيد محمّد</w:t>
        </w:r>
        <w:r>
          <w:tab/>
        </w:r>
        <w:r>
          <w:fldChar w:fldCharType="begin"/>
        </w:r>
        <w:r>
          <w:instrText xml:space="preserve">PAGEREF 4596 \h</w:instrText>
        </w:r>
        <w:r>
          <w:fldChar w:fldCharType="end"/>
        </w:r>
      </w:hyperlink>
    </w:p>
    <w:p>
      <w:pPr>
        <w:tabs>
          <w:tab w:val="right" w:leader="dot" w:pos="9062"/>
        </w:tabs>
        <w:ind w:left="220"/>
      </w:pPr>
      <w:hyperlink w:anchor="_Toc4597" w:history="1">
        <w:r>
          <w:rPr>
            <w:rFonts w:ascii="IRNazanin" w:hAnsi="IRNazanin" w:eastAsia="IRNazanin" w:cs="IRNazanin"/>
            <w:color w:val="111111"/>
            <w:sz w:val="22"/>
            <w:szCs w:val="22"/>
            <w:b w:val="0"/>
            <w:bCs w:val="0"/>
            <w:i w:val="0"/>
            <w:iCs w:val="0"/>
          </w:rPr>
          <w:t>صولي ، ابراهيم بن عباس، 176 - 243 ه-</w:t>
        </w:r>
        <w:r>
          <w:tab/>
        </w:r>
        <w:r>
          <w:fldChar w:fldCharType="begin"/>
        </w:r>
        <w:r>
          <w:instrText xml:space="preserve">PAGEREF 4597 \h</w:instrText>
        </w:r>
        <w:r>
          <w:fldChar w:fldCharType="end"/>
        </w:r>
      </w:hyperlink>
    </w:p>
    <w:p>
      <w:pPr>
        <w:tabs>
          <w:tab w:val="right" w:leader="dot" w:pos="9062"/>
        </w:tabs>
        <w:ind w:left="220"/>
      </w:pPr>
      <w:hyperlink w:anchor="_Toc4598" w:history="1">
        <w:r>
          <w:rPr>
            <w:rFonts w:ascii="IRNazanin" w:hAnsi="IRNazanin" w:eastAsia="IRNazanin" w:cs="IRNazanin"/>
            <w:color w:val="111111"/>
            <w:sz w:val="22"/>
            <w:szCs w:val="22"/>
            <w:b w:val="0"/>
            <w:bCs w:val="0"/>
            <w:i w:val="0"/>
            <w:iCs w:val="0"/>
          </w:rPr>
          <w:t>صولي ، محمّد بن يحيى - 335 ؟ ه-</w:t>
        </w:r>
        <w:r>
          <w:tab/>
        </w:r>
        <w:r>
          <w:fldChar w:fldCharType="begin"/>
        </w:r>
        <w:r>
          <w:instrText xml:space="preserve">PAGEREF 4598 \h</w:instrText>
        </w:r>
        <w:r>
          <w:fldChar w:fldCharType="end"/>
        </w:r>
      </w:hyperlink>
    </w:p>
    <w:p>
      <w:pPr>
        <w:tabs>
          <w:tab w:val="right" w:leader="dot" w:pos="9062"/>
        </w:tabs>
        <w:ind w:left="220"/>
      </w:pPr>
      <w:hyperlink w:anchor="_Toc4599" w:history="1">
        <w:r>
          <w:rPr>
            <w:rFonts w:ascii="IRNazanin" w:hAnsi="IRNazanin" w:eastAsia="IRNazanin" w:cs="IRNazanin"/>
            <w:color w:val="111111"/>
            <w:sz w:val="22"/>
            <w:szCs w:val="22"/>
            <w:b w:val="0"/>
            <w:bCs w:val="0"/>
            <w:i w:val="0"/>
            <w:iCs w:val="0"/>
          </w:rPr>
          <w:t>صياد رفاعي ، محمّد بن عبدالرحیم</w:t>
        </w:r>
        <w:r>
          <w:tab/>
        </w:r>
        <w:r>
          <w:fldChar w:fldCharType="begin"/>
        </w:r>
        <w:r>
          <w:instrText xml:space="preserve">PAGEREF 4599 \h</w:instrText>
        </w:r>
        <w:r>
          <w:fldChar w:fldCharType="end"/>
        </w:r>
      </w:hyperlink>
    </w:p>
    <w:p>
      <w:pPr>
        <w:tabs>
          <w:tab w:val="right" w:leader="dot" w:pos="9062"/>
        </w:tabs>
        <w:ind w:left="220"/>
      </w:pPr>
      <w:hyperlink w:anchor="_Toc4600" w:history="1">
        <w:r>
          <w:rPr>
            <w:rFonts w:ascii="IRNazanin" w:hAnsi="IRNazanin" w:eastAsia="IRNazanin" w:cs="IRNazanin"/>
            <w:color w:val="111111"/>
            <w:sz w:val="22"/>
            <w:szCs w:val="22"/>
            <w:b w:val="0"/>
            <w:bCs w:val="0"/>
            <w:i w:val="0"/>
            <w:iCs w:val="0"/>
          </w:rPr>
          <w:t>صيرامي، عبد الباقي بن محمّد حاجي</w:t>
        </w:r>
        <w:r>
          <w:tab/>
        </w:r>
        <w:r>
          <w:fldChar w:fldCharType="begin"/>
        </w:r>
        <w:r>
          <w:instrText xml:space="preserve">PAGEREF 4600 \h</w:instrText>
        </w:r>
        <w:r>
          <w:fldChar w:fldCharType="end"/>
        </w:r>
      </w:hyperlink>
    </w:p>
    <w:p>
      <w:pPr>
        <w:tabs>
          <w:tab w:val="right" w:leader="dot" w:pos="9062"/>
        </w:tabs>
        <w:ind w:left="220"/>
      </w:pPr>
      <w:hyperlink w:anchor="_Toc4601" w:history="1">
        <w:r>
          <w:rPr>
            <w:rFonts w:ascii="IRNazanin" w:hAnsi="IRNazanin" w:eastAsia="IRNazanin" w:cs="IRNazanin"/>
            <w:color w:val="111111"/>
            <w:sz w:val="22"/>
            <w:szCs w:val="22"/>
            <w:b w:val="0"/>
            <w:bCs w:val="0"/>
            <w:i w:val="0"/>
            <w:iCs w:val="0"/>
          </w:rPr>
          <w:t>صيرفي ، اسعد بن يوسف - 1088 ه-</w:t>
        </w:r>
        <w:r>
          <w:tab/>
        </w:r>
        <w:r>
          <w:fldChar w:fldCharType="begin"/>
        </w:r>
        <w:r>
          <w:instrText xml:space="preserve">PAGEREF 4601 \h</w:instrText>
        </w:r>
        <w:r>
          <w:fldChar w:fldCharType="end"/>
        </w:r>
      </w:hyperlink>
    </w:p>
    <w:p>
      <w:pPr>
        <w:tabs>
          <w:tab w:val="right" w:leader="dot" w:pos="9062"/>
        </w:tabs>
        <w:ind w:left="220"/>
      </w:pPr>
      <w:hyperlink w:anchor="_Toc4602" w:history="1">
        <w:r>
          <w:rPr>
            <w:rFonts w:ascii="IRNazanin" w:hAnsi="IRNazanin" w:eastAsia="IRNazanin" w:cs="IRNazanin"/>
            <w:color w:val="111111"/>
            <w:sz w:val="22"/>
            <w:szCs w:val="22"/>
            <w:b w:val="0"/>
            <w:bCs w:val="0"/>
            <w:i w:val="0"/>
            <w:iCs w:val="0"/>
          </w:rPr>
          <w:t>صيمري ، عبدالله بن علي، قرن 10 ه-</w:t>
        </w:r>
        <w:r>
          <w:tab/>
        </w:r>
        <w:r>
          <w:fldChar w:fldCharType="begin"/>
        </w:r>
        <w:r>
          <w:instrText xml:space="preserve">PAGEREF 4602 \h</w:instrText>
        </w:r>
        <w:r>
          <w:fldChar w:fldCharType="end"/>
        </w:r>
      </w:hyperlink>
    </w:p>
    <w:p>
      <w:pPr>
        <w:tabs>
          <w:tab w:val="right" w:leader="dot" w:pos="9062"/>
        </w:tabs>
        <w:ind w:left="220"/>
      </w:pPr>
      <w:hyperlink w:anchor="_Toc4603" w:history="1">
        <w:r>
          <w:rPr>
            <w:rFonts w:ascii="IRNazanin" w:hAnsi="IRNazanin" w:eastAsia="IRNazanin" w:cs="IRNazanin"/>
            <w:color w:val="111111"/>
            <w:sz w:val="22"/>
            <w:szCs w:val="22"/>
            <w:b w:val="0"/>
            <w:bCs w:val="0"/>
            <w:i w:val="0"/>
            <w:iCs w:val="0"/>
          </w:rPr>
          <w:t>صيمري، محمّد بن اسحاق - 275 ه-</w:t>
        </w:r>
        <w:r>
          <w:tab/>
        </w:r>
        <w:r>
          <w:fldChar w:fldCharType="begin"/>
        </w:r>
        <w:r>
          <w:instrText xml:space="preserve">PAGEREF 4603 \h</w:instrText>
        </w:r>
        <w:r>
          <w:fldChar w:fldCharType="end"/>
        </w:r>
      </w:hyperlink>
    </w:p>
    <w:p>
      <w:pPr>
        <w:tabs>
          <w:tab w:val="right" w:leader="dot" w:pos="9062"/>
        </w:tabs>
        <w:ind w:left="220"/>
      </w:pPr>
      <w:hyperlink w:anchor="_Toc4604" w:history="1">
        <w:r>
          <w:rPr>
            <w:rFonts w:ascii="IRNazanin" w:hAnsi="IRNazanin" w:eastAsia="IRNazanin" w:cs="IRNazanin"/>
            <w:color w:val="111111"/>
            <w:sz w:val="22"/>
            <w:szCs w:val="22"/>
            <w:b w:val="0"/>
            <w:bCs w:val="0"/>
            <w:i w:val="0"/>
            <w:iCs w:val="0"/>
          </w:rPr>
          <w:t>؟ صيمري، مفلح بن حسن - 900 ه-</w:t>
        </w:r>
        <w:r>
          <w:tab/>
        </w:r>
        <w:r>
          <w:fldChar w:fldCharType="begin"/>
        </w:r>
        <w:r>
          <w:instrText xml:space="preserve">PAGEREF 4604 \h</w:instrText>
        </w:r>
        <w:r>
          <w:fldChar w:fldCharType="end"/>
        </w:r>
      </w:hyperlink>
    </w:p>
    <w:p>
      <w:pPr>
        <w:tabs>
          <w:tab w:val="right" w:leader="dot" w:pos="9062"/>
        </w:tabs>
        <w:ind w:left="220"/>
      </w:pPr>
      <w:hyperlink w:anchor="_Toc4605" w:history="1">
        <w:r>
          <w:rPr>
            <w:rFonts w:ascii="IRNazanin" w:hAnsi="IRNazanin" w:eastAsia="IRNazanin" w:cs="IRNazanin"/>
            <w:color w:val="111111"/>
            <w:sz w:val="22"/>
            <w:szCs w:val="22"/>
            <w:b w:val="0"/>
            <w:bCs w:val="0"/>
            <w:i w:val="0"/>
            <w:iCs w:val="0"/>
          </w:rPr>
          <w:t>ضبوي ، احمد بن محمّد - 1115 ه-</w:t>
        </w:r>
        <w:r>
          <w:tab/>
        </w:r>
        <w:r>
          <w:fldChar w:fldCharType="begin"/>
        </w:r>
        <w:r>
          <w:instrText xml:space="preserve">PAGEREF 4605 \h</w:instrText>
        </w:r>
        <w:r>
          <w:fldChar w:fldCharType="end"/>
        </w:r>
      </w:hyperlink>
    </w:p>
    <w:p>
      <w:pPr>
        <w:tabs>
          <w:tab w:val="right" w:leader="dot" w:pos="9062"/>
        </w:tabs>
        <w:ind w:left="220"/>
      </w:pPr>
      <w:hyperlink w:anchor="_Toc4606" w:history="1">
        <w:r>
          <w:rPr>
            <w:rFonts w:ascii="IRNazanin" w:hAnsi="IRNazanin" w:eastAsia="IRNazanin" w:cs="IRNazanin"/>
            <w:color w:val="111111"/>
            <w:sz w:val="22"/>
            <w:szCs w:val="22"/>
            <w:b w:val="0"/>
            <w:bCs w:val="0"/>
            <w:i w:val="0"/>
            <w:iCs w:val="0"/>
          </w:rPr>
          <w:t>ضبي ، عامر بن عمران - 250 ه-</w:t>
        </w:r>
        <w:r>
          <w:tab/>
        </w:r>
        <w:r>
          <w:fldChar w:fldCharType="begin"/>
        </w:r>
        <w:r>
          <w:instrText xml:space="preserve">PAGEREF 4606 \h</w:instrText>
        </w:r>
        <w:r>
          <w:fldChar w:fldCharType="end"/>
        </w:r>
      </w:hyperlink>
    </w:p>
    <w:p>
      <w:pPr>
        <w:tabs>
          <w:tab w:val="right" w:leader="dot" w:pos="9062"/>
        </w:tabs>
        <w:ind w:left="220"/>
      </w:pPr>
      <w:hyperlink w:anchor="_Toc4607" w:history="1">
        <w:r>
          <w:rPr>
            <w:rFonts w:ascii="IRNazanin" w:hAnsi="IRNazanin" w:eastAsia="IRNazanin" w:cs="IRNazanin"/>
            <w:color w:val="111111"/>
            <w:sz w:val="22"/>
            <w:szCs w:val="22"/>
            <w:b w:val="0"/>
            <w:bCs w:val="0"/>
            <w:i w:val="0"/>
            <w:iCs w:val="0"/>
          </w:rPr>
          <w:t>ضحكي ، مصطفى بن ميرزا محمّد 1011 -</w:t>
        </w:r>
        <w:r>
          <w:tab/>
        </w:r>
        <w:r>
          <w:fldChar w:fldCharType="begin"/>
        </w:r>
        <w:r>
          <w:instrText xml:space="preserve">PAGEREF 4607 \h</w:instrText>
        </w:r>
        <w:r>
          <w:fldChar w:fldCharType="end"/>
        </w:r>
      </w:hyperlink>
    </w:p>
    <w:p>
      <w:pPr>
        <w:tabs>
          <w:tab w:val="right" w:leader="dot" w:pos="9062"/>
        </w:tabs>
        <w:ind w:left="220"/>
      </w:pPr>
      <w:hyperlink w:anchor="_Toc4608" w:history="1">
        <w:r>
          <w:rPr>
            <w:rFonts w:ascii="IRNazanin" w:hAnsi="IRNazanin" w:eastAsia="IRNazanin" w:cs="IRNazanin"/>
            <w:color w:val="111111"/>
            <w:sz w:val="22"/>
            <w:szCs w:val="22"/>
            <w:b w:val="0"/>
            <w:bCs w:val="0"/>
            <w:i w:val="0"/>
            <w:iCs w:val="0"/>
          </w:rPr>
          <w:t>ضراب ، حسن بن اسماعيل - 392 ه-</w:t>
        </w:r>
        <w:r>
          <w:tab/>
        </w:r>
        <w:r>
          <w:fldChar w:fldCharType="begin"/>
        </w:r>
        <w:r>
          <w:instrText xml:space="preserve">PAGEREF 4608 \h</w:instrText>
        </w:r>
        <w:r>
          <w:fldChar w:fldCharType="end"/>
        </w:r>
      </w:hyperlink>
    </w:p>
    <w:p>
      <w:pPr>
        <w:tabs>
          <w:tab w:val="right" w:leader="dot" w:pos="9062"/>
        </w:tabs>
        <w:ind w:left="220"/>
      </w:pPr>
      <w:hyperlink w:anchor="_Toc4609" w:history="1">
        <w:r>
          <w:rPr>
            <w:rFonts w:ascii="IRNazanin" w:hAnsi="IRNazanin" w:eastAsia="IRNazanin" w:cs="IRNazanin"/>
            <w:color w:val="111111"/>
            <w:sz w:val="22"/>
            <w:szCs w:val="22"/>
            <w:b w:val="0"/>
            <w:bCs w:val="0"/>
            <w:i w:val="0"/>
            <w:iCs w:val="0"/>
          </w:rPr>
          <w:t>ضریر دمشقي ، محمّد بن نصر</w:t>
        </w:r>
        <w:r>
          <w:tab/>
        </w:r>
        <w:r>
          <w:fldChar w:fldCharType="begin"/>
        </w:r>
        <w:r>
          <w:instrText xml:space="preserve">PAGEREF 4609 \h</w:instrText>
        </w:r>
        <w:r>
          <w:fldChar w:fldCharType="end"/>
        </w:r>
      </w:hyperlink>
    </w:p>
    <w:p>
      <w:pPr>
        <w:tabs>
          <w:tab w:val="right" w:leader="dot" w:pos="9062"/>
        </w:tabs>
        <w:ind w:left="220"/>
      </w:pPr>
      <w:hyperlink w:anchor="_Toc4610" w:history="1">
        <w:r>
          <w:rPr>
            <w:rFonts w:ascii="IRNazanin" w:hAnsi="IRNazanin" w:eastAsia="IRNazanin" w:cs="IRNazanin"/>
            <w:color w:val="111111"/>
            <w:sz w:val="22"/>
            <w:szCs w:val="22"/>
            <w:b w:val="0"/>
            <w:bCs w:val="0"/>
            <w:i w:val="0"/>
            <w:iCs w:val="0"/>
          </w:rPr>
          <w:t>ضرير ، عبدالله بن عبدالعزيز، قرن 3 ه-</w:t>
        </w:r>
        <w:r>
          <w:tab/>
        </w:r>
        <w:r>
          <w:fldChar w:fldCharType="begin"/>
        </w:r>
        <w:r>
          <w:instrText xml:space="preserve">PAGEREF 4610 \h</w:instrText>
        </w:r>
        <w:r>
          <w:fldChar w:fldCharType="end"/>
        </w:r>
      </w:hyperlink>
    </w:p>
    <w:p>
      <w:pPr>
        <w:tabs>
          <w:tab w:val="right" w:leader="dot" w:pos="9062"/>
        </w:tabs>
        <w:ind w:left="220"/>
      </w:pPr>
      <w:hyperlink w:anchor="_Toc4611" w:history="1">
        <w:r>
          <w:rPr>
            <w:rFonts w:ascii="IRNazanin" w:hAnsi="IRNazanin" w:eastAsia="IRNazanin" w:cs="IRNazanin"/>
            <w:color w:val="111111"/>
            <w:sz w:val="22"/>
            <w:szCs w:val="22"/>
            <w:b w:val="0"/>
            <w:bCs w:val="0"/>
            <w:i w:val="0"/>
            <w:iCs w:val="0"/>
          </w:rPr>
          <w:t>ضرير ، مصطفى بن ملالطفي، - 1188</w:t>
        </w:r>
        <w:r>
          <w:tab/>
        </w:r>
        <w:r>
          <w:fldChar w:fldCharType="begin"/>
        </w:r>
        <w:r>
          <w:instrText xml:space="preserve">PAGEREF 4611 \h</w:instrText>
        </w:r>
        <w:r>
          <w:fldChar w:fldCharType="end"/>
        </w:r>
      </w:hyperlink>
    </w:p>
    <w:p>
      <w:pPr>
        <w:tabs>
          <w:tab w:val="right" w:leader="dot" w:pos="9062"/>
        </w:tabs>
        <w:ind w:left="220"/>
      </w:pPr>
      <w:hyperlink w:anchor="_Toc4612" w:history="1">
        <w:r>
          <w:rPr>
            <w:rFonts w:ascii="IRNazanin" w:hAnsi="IRNazanin" w:eastAsia="IRNazanin" w:cs="IRNazanin"/>
            <w:color w:val="111111"/>
            <w:sz w:val="22"/>
            <w:szCs w:val="22"/>
            <w:b w:val="0"/>
            <w:bCs w:val="0"/>
            <w:i w:val="0"/>
            <w:iCs w:val="0"/>
          </w:rPr>
          <w:t>ضريري ، داود</w:t>
        </w:r>
        <w:r>
          <w:tab/>
        </w:r>
        <w:r>
          <w:fldChar w:fldCharType="begin"/>
        </w:r>
        <w:r>
          <w:instrText xml:space="preserve">PAGEREF 4612 \h</w:instrText>
        </w:r>
        <w:r>
          <w:fldChar w:fldCharType="end"/>
        </w:r>
      </w:hyperlink>
    </w:p>
    <w:p>
      <w:pPr>
        <w:tabs>
          <w:tab w:val="right" w:leader="dot" w:pos="9062"/>
        </w:tabs>
        <w:ind w:left="220"/>
      </w:pPr>
      <w:hyperlink w:anchor="_Toc4613" w:history="1">
        <w:r>
          <w:rPr>
            <w:rFonts w:ascii="IRNazanin" w:hAnsi="IRNazanin" w:eastAsia="IRNazanin" w:cs="IRNazanin"/>
            <w:color w:val="111111"/>
            <w:sz w:val="22"/>
            <w:szCs w:val="22"/>
            <w:b w:val="0"/>
            <w:bCs w:val="0"/>
            <w:i w:val="0"/>
            <w:iCs w:val="0"/>
          </w:rPr>
          <w:t>ضیاء اردوبادي - 927 ه-</w:t>
        </w:r>
        <w:r>
          <w:tab/>
        </w:r>
        <w:r>
          <w:fldChar w:fldCharType="begin"/>
        </w:r>
        <w:r>
          <w:instrText xml:space="preserve">PAGEREF 4613 \h</w:instrText>
        </w:r>
        <w:r>
          <w:fldChar w:fldCharType="end"/>
        </w:r>
      </w:hyperlink>
    </w:p>
    <w:p>
      <w:pPr>
        <w:tabs>
          <w:tab w:val="right" w:leader="dot" w:pos="9062"/>
        </w:tabs>
        <w:ind w:left="220"/>
      </w:pPr>
      <w:hyperlink w:anchor="_Toc4614" w:history="1">
        <w:r>
          <w:rPr>
            <w:rFonts w:ascii="IRNazanin" w:hAnsi="IRNazanin" w:eastAsia="IRNazanin" w:cs="IRNazanin"/>
            <w:color w:val="111111"/>
            <w:sz w:val="22"/>
            <w:szCs w:val="22"/>
            <w:b w:val="0"/>
            <w:bCs w:val="0"/>
            <w:i w:val="0"/>
            <w:iCs w:val="0"/>
          </w:rPr>
          <w:t>ضياء الدين مقدسي ، محمّد بن</w:t>
        </w:r>
        <w:r>
          <w:tab/>
        </w:r>
        <w:r>
          <w:fldChar w:fldCharType="begin"/>
        </w:r>
        <w:r>
          <w:instrText xml:space="preserve">PAGEREF 4614 \h</w:instrText>
        </w:r>
        <w:r>
          <w:fldChar w:fldCharType="end"/>
        </w:r>
      </w:hyperlink>
    </w:p>
    <w:p>
      <w:pPr>
        <w:tabs>
          <w:tab w:val="right" w:leader="dot" w:pos="9062"/>
        </w:tabs>
        <w:ind w:left="220"/>
      </w:pPr>
      <w:hyperlink w:anchor="_Toc4615" w:history="1">
        <w:r>
          <w:rPr>
            <w:rFonts w:ascii="IRNazanin" w:hAnsi="IRNazanin" w:eastAsia="IRNazanin" w:cs="IRNazanin"/>
            <w:color w:val="111111"/>
            <w:sz w:val="22"/>
            <w:szCs w:val="22"/>
            <w:b w:val="0"/>
            <w:bCs w:val="0"/>
            <w:i w:val="0"/>
            <w:iCs w:val="0"/>
          </w:rPr>
          <w:t>ضياء الدين وتري ، احمد بن محمّد -</w:t>
        </w:r>
        <w:r>
          <w:tab/>
        </w:r>
        <w:r>
          <w:fldChar w:fldCharType="begin"/>
        </w:r>
        <w:r>
          <w:instrText xml:space="preserve">PAGEREF 4615 \h</w:instrText>
        </w:r>
        <w:r>
          <w:fldChar w:fldCharType="end"/>
        </w:r>
      </w:hyperlink>
    </w:p>
    <w:p>
      <w:pPr>
        <w:tabs>
          <w:tab w:val="right" w:leader="dot" w:pos="9062"/>
        </w:tabs>
        <w:ind w:left="220"/>
      </w:pPr>
      <w:hyperlink w:anchor="_Toc4616" w:history="1">
        <w:r>
          <w:rPr>
            <w:rFonts w:ascii="IRNazanin" w:hAnsi="IRNazanin" w:eastAsia="IRNazanin" w:cs="IRNazanin"/>
            <w:color w:val="111111"/>
            <w:sz w:val="22"/>
            <w:szCs w:val="22"/>
            <w:b w:val="0"/>
            <w:bCs w:val="0"/>
            <w:i w:val="0"/>
            <w:iCs w:val="0"/>
          </w:rPr>
          <w:t>ضياء كرماني ، علي بن محمود</w:t>
        </w:r>
        <w:r>
          <w:tab/>
        </w:r>
        <w:r>
          <w:fldChar w:fldCharType="begin"/>
        </w:r>
        <w:r>
          <w:instrText xml:space="preserve">PAGEREF 4616 \h</w:instrText>
        </w:r>
        <w:r>
          <w:fldChar w:fldCharType="end"/>
        </w:r>
      </w:hyperlink>
    </w:p>
    <w:p>
      <w:pPr>
        <w:tabs>
          <w:tab w:val="right" w:leader="dot" w:pos="9062"/>
        </w:tabs>
        <w:ind w:left="220"/>
      </w:pPr>
      <w:hyperlink w:anchor="_Toc4617" w:history="1">
        <w:r>
          <w:rPr>
            <w:rFonts w:ascii="IRNazanin" w:hAnsi="IRNazanin" w:eastAsia="IRNazanin" w:cs="IRNazanin"/>
            <w:color w:val="111111"/>
            <w:sz w:val="22"/>
            <w:szCs w:val="22"/>
            <w:b w:val="0"/>
            <w:bCs w:val="0"/>
            <w:i w:val="0"/>
            <w:iCs w:val="0"/>
          </w:rPr>
          <w:t>ضيا مغلوي ، علي رضا بن يوسف</w:t>
        </w:r>
        <w:r>
          <w:tab/>
        </w:r>
        <w:r>
          <w:fldChar w:fldCharType="begin"/>
        </w:r>
        <w:r>
          <w:instrText xml:space="preserve">PAGEREF 4617 \h</w:instrText>
        </w:r>
        <w:r>
          <w:fldChar w:fldCharType="end"/>
        </w:r>
      </w:hyperlink>
    </w:p>
    <w:p>
      <w:pPr>
        <w:tabs>
          <w:tab w:val="right" w:leader="dot" w:pos="9062"/>
        </w:tabs>
        <w:ind w:left="220"/>
      </w:pPr>
      <w:hyperlink w:anchor="_Toc4618" w:history="1">
        <w:r>
          <w:rPr>
            <w:rFonts w:ascii="IRNazanin" w:hAnsi="IRNazanin" w:eastAsia="IRNazanin" w:cs="IRNazanin"/>
            <w:color w:val="111111"/>
            <w:sz w:val="22"/>
            <w:szCs w:val="22"/>
            <w:b w:val="0"/>
            <w:bCs w:val="0"/>
            <w:i w:val="0"/>
            <w:iCs w:val="0"/>
          </w:rPr>
          <w:t>طائفي، حسين بن علي - 1206 ه-</w:t>
        </w:r>
        <w:r>
          <w:tab/>
        </w:r>
        <w:r>
          <w:fldChar w:fldCharType="begin"/>
        </w:r>
        <w:r>
          <w:instrText xml:space="preserve">PAGEREF 4618 \h</w:instrText>
        </w:r>
        <w:r>
          <w:fldChar w:fldCharType="end"/>
        </w:r>
      </w:hyperlink>
    </w:p>
    <w:p>
      <w:pPr>
        <w:tabs>
          <w:tab w:val="right" w:leader="dot" w:pos="9062"/>
        </w:tabs>
        <w:ind w:left="220"/>
      </w:pPr>
      <w:hyperlink w:anchor="_Toc4619" w:history="1">
        <w:r>
          <w:rPr>
            <w:rFonts w:ascii="IRNazanin" w:hAnsi="IRNazanin" w:eastAsia="IRNazanin" w:cs="IRNazanin"/>
            <w:color w:val="111111"/>
            <w:sz w:val="22"/>
            <w:szCs w:val="22"/>
            <w:b w:val="0"/>
            <w:bCs w:val="0"/>
            <w:i w:val="0"/>
            <w:iCs w:val="0"/>
          </w:rPr>
          <w:t>طائي ، سالم بن عبدالرزاق</w:t>
        </w:r>
        <w:r>
          <w:tab/>
        </w:r>
        <w:r>
          <w:fldChar w:fldCharType="begin"/>
        </w:r>
        <w:r>
          <w:instrText xml:space="preserve">PAGEREF 4619 \h</w:instrText>
        </w:r>
        <w:r>
          <w:fldChar w:fldCharType="end"/>
        </w:r>
      </w:hyperlink>
    </w:p>
    <w:p>
      <w:pPr>
        <w:tabs>
          <w:tab w:val="right" w:leader="dot" w:pos="9062"/>
        </w:tabs>
        <w:ind w:left="220"/>
      </w:pPr>
      <w:hyperlink w:anchor="_Toc4620" w:history="1">
        <w:r>
          <w:rPr>
            <w:rFonts w:ascii="IRNazanin" w:hAnsi="IRNazanin" w:eastAsia="IRNazanin" w:cs="IRNazanin"/>
            <w:color w:val="111111"/>
            <w:sz w:val="22"/>
            <w:szCs w:val="22"/>
            <w:b w:val="0"/>
            <w:bCs w:val="0"/>
            <w:i w:val="0"/>
            <w:iCs w:val="0"/>
          </w:rPr>
          <w:t>طائي ، طرماح بن حكيم - 125 ؟ ه-</w:t>
        </w:r>
        <w:r>
          <w:tab/>
        </w:r>
        <w:r>
          <w:fldChar w:fldCharType="begin"/>
        </w:r>
        <w:r>
          <w:instrText xml:space="preserve">PAGEREF 4620 \h</w:instrText>
        </w:r>
        <w:r>
          <w:fldChar w:fldCharType="end"/>
        </w:r>
      </w:hyperlink>
    </w:p>
    <w:p>
      <w:pPr>
        <w:tabs>
          <w:tab w:val="right" w:leader="dot" w:pos="9062"/>
        </w:tabs>
        <w:ind w:left="220"/>
      </w:pPr>
      <w:hyperlink w:anchor="_Toc4621" w:history="1">
        <w:r>
          <w:rPr>
            <w:rFonts w:ascii="IRNazanin" w:hAnsi="IRNazanin" w:eastAsia="IRNazanin" w:cs="IRNazanin"/>
            <w:color w:val="111111"/>
            <w:sz w:val="22"/>
            <w:szCs w:val="22"/>
            <w:b w:val="0"/>
            <w:bCs w:val="0"/>
            <w:i w:val="0"/>
            <w:iCs w:val="0"/>
          </w:rPr>
          <w:t>طائي ، علي بن حرب، - 265 ه-</w:t>
        </w:r>
        <w:r>
          <w:tab/>
        </w:r>
        <w:r>
          <w:fldChar w:fldCharType="begin"/>
        </w:r>
        <w:r>
          <w:instrText xml:space="preserve">PAGEREF 4621 \h</w:instrText>
        </w:r>
        <w:r>
          <w:fldChar w:fldCharType="end"/>
        </w:r>
      </w:hyperlink>
    </w:p>
    <w:p>
      <w:pPr>
        <w:tabs>
          <w:tab w:val="right" w:leader="dot" w:pos="9062"/>
        </w:tabs>
        <w:ind w:left="220"/>
      </w:pPr>
      <w:hyperlink w:anchor="_Toc4622" w:history="1">
        <w:r>
          <w:rPr>
            <w:rFonts w:ascii="IRNazanin" w:hAnsi="IRNazanin" w:eastAsia="IRNazanin" w:cs="IRNazanin"/>
            <w:color w:val="111111"/>
            <w:sz w:val="22"/>
            <w:szCs w:val="22"/>
            <w:b w:val="0"/>
            <w:bCs w:val="0"/>
            <w:i w:val="0"/>
            <w:iCs w:val="0"/>
          </w:rPr>
          <w:t>طائي ، محمّد صالح بن طه، - 1306 ه-</w:t>
        </w:r>
        <w:r>
          <w:tab/>
        </w:r>
        <w:r>
          <w:fldChar w:fldCharType="begin"/>
        </w:r>
        <w:r>
          <w:instrText xml:space="preserve">PAGEREF 4622 \h</w:instrText>
        </w:r>
        <w:r>
          <w:fldChar w:fldCharType="end"/>
        </w:r>
      </w:hyperlink>
    </w:p>
    <w:p>
      <w:pPr>
        <w:tabs>
          <w:tab w:val="right" w:leader="dot" w:pos="9062"/>
        </w:tabs>
        <w:ind w:left="220"/>
      </w:pPr>
      <w:hyperlink w:anchor="_Toc4623" w:history="1">
        <w:r>
          <w:rPr>
            <w:rFonts w:ascii="IRNazanin" w:hAnsi="IRNazanin" w:eastAsia="IRNazanin" w:cs="IRNazanin"/>
            <w:color w:val="111111"/>
            <w:sz w:val="22"/>
            <w:szCs w:val="22"/>
            <w:b w:val="0"/>
            <w:bCs w:val="0"/>
            <w:i w:val="0"/>
            <w:iCs w:val="0"/>
          </w:rPr>
          <w:t>طارمي ، جواد بن محرم علي 1263 -</w:t>
        </w:r>
        <w:r>
          <w:tab/>
        </w:r>
        <w:r>
          <w:fldChar w:fldCharType="begin"/>
        </w:r>
        <w:r>
          <w:instrText xml:space="preserve">PAGEREF 4623 \h</w:instrText>
        </w:r>
        <w:r>
          <w:fldChar w:fldCharType="end"/>
        </w:r>
      </w:hyperlink>
    </w:p>
    <w:p>
      <w:pPr>
        <w:tabs>
          <w:tab w:val="right" w:leader="dot" w:pos="9062"/>
        </w:tabs>
        <w:ind w:left="220"/>
      </w:pPr>
      <w:hyperlink w:anchor="_Toc4624" w:history="1">
        <w:r>
          <w:rPr>
            <w:rFonts w:ascii="IRNazanin" w:hAnsi="IRNazanin" w:eastAsia="IRNazanin" w:cs="IRNazanin"/>
            <w:color w:val="111111"/>
            <w:sz w:val="22"/>
            <w:szCs w:val="22"/>
            <w:b w:val="0"/>
            <w:bCs w:val="0"/>
            <w:i w:val="0"/>
            <w:iCs w:val="0"/>
          </w:rPr>
          <w:t>طارمي ، محمّد حسن</w:t>
        </w:r>
        <w:r>
          <w:tab/>
        </w:r>
        <w:r>
          <w:fldChar w:fldCharType="begin"/>
        </w:r>
        <w:r>
          <w:instrText xml:space="preserve">PAGEREF 4624 \h</w:instrText>
        </w:r>
        <w:r>
          <w:fldChar w:fldCharType="end"/>
        </w:r>
      </w:hyperlink>
    </w:p>
    <w:p>
      <w:pPr>
        <w:tabs>
          <w:tab w:val="right" w:leader="dot" w:pos="9062"/>
        </w:tabs>
        <w:ind w:left="220"/>
      </w:pPr>
      <w:hyperlink w:anchor="_Toc4625" w:history="1">
        <w:r>
          <w:rPr>
            <w:rFonts w:ascii="IRNazanin" w:hAnsi="IRNazanin" w:eastAsia="IRNazanin" w:cs="IRNazanin"/>
            <w:color w:val="111111"/>
            <w:sz w:val="22"/>
            <w:szCs w:val="22"/>
            <w:b w:val="0"/>
            <w:bCs w:val="0"/>
            <w:i w:val="0"/>
            <w:iCs w:val="0"/>
          </w:rPr>
          <w:t>طاش کبری زاده، احمد بن مصطفی 901</w:t>
        </w:r>
        <w:r>
          <w:tab/>
        </w:r>
        <w:r>
          <w:fldChar w:fldCharType="begin"/>
        </w:r>
        <w:r>
          <w:instrText xml:space="preserve">PAGEREF 4625 \h</w:instrText>
        </w:r>
        <w:r>
          <w:fldChar w:fldCharType="end"/>
        </w:r>
      </w:hyperlink>
    </w:p>
    <w:p>
      <w:pPr>
        <w:tabs>
          <w:tab w:val="right" w:leader="dot" w:pos="9062"/>
        </w:tabs>
        <w:ind w:left="220"/>
      </w:pPr>
      <w:hyperlink w:anchor="_Toc4626" w:history="1">
        <w:r>
          <w:rPr>
            <w:rFonts w:ascii="IRNazanin" w:hAnsi="IRNazanin" w:eastAsia="IRNazanin" w:cs="IRNazanin"/>
            <w:color w:val="111111"/>
            <w:sz w:val="22"/>
            <w:szCs w:val="22"/>
            <w:b w:val="0"/>
            <w:bCs w:val="0"/>
            <w:i w:val="0"/>
            <w:iCs w:val="0"/>
          </w:rPr>
          <w:t>طالب آملي ، عبد الله بن محمّد، 987؟ - 1036 ه-</w:t>
        </w:r>
        <w:r>
          <w:tab/>
        </w:r>
        <w:r>
          <w:fldChar w:fldCharType="begin"/>
        </w:r>
        <w:r>
          <w:instrText xml:space="preserve">PAGEREF 4626 \h</w:instrText>
        </w:r>
        <w:r>
          <w:fldChar w:fldCharType="end"/>
        </w:r>
      </w:hyperlink>
    </w:p>
    <w:p>
      <w:pPr>
        <w:tabs>
          <w:tab w:val="right" w:leader="dot" w:pos="9062"/>
        </w:tabs>
        <w:ind w:left="220"/>
      </w:pPr>
      <w:hyperlink w:anchor="_Toc4627" w:history="1">
        <w:r>
          <w:rPr>
            <w:rFonts w:ascii="IRNazanin" w:hAnsi="IRNazanin" w:eastAsia="IRNazanin" w:cs="IRNazanin"/>
            <w:color w:val="111111"/>
            <w:sz w:val="22"/>
            <w:szCs w:val="22"/>
            <w:b w:val="0"/>
            <w:bCs w:val="0"/>
            <w:i w:val="0"/>
            <w:iCs w:val="0"/>
          </w:rPr>
          <w:t>طالباني ، علي بن عبد الرحمن 1248 -</w:t>
        </w:r>
        <w:r>
          <w:tab/>
        </w:r>
        <w:r>
          <w:fldChar w:fldCharType="begin"/>
        </w:r>
        <w:r>
          <w:instrText xml:space="preserve">PAGEREF 4627 \h</w:instrText>
        </w:r>
        <w:r>
          <w:fldChar w:fldCharType="end"/>
        </w:r>
      </w:hyperlink>
    </w:p>
    <w:p>
      <w:pPr>
        <w:tabs>
          <w:tab w:val="right" w:leader="dot" w:pos="9062"/>
        </w:tabs>
        <w:ind w:left="220"/>
      </w:pPr>
      <w:hyperlink w:anchor="_Toc4628" w:history="1">
        <w:r>
          <w:rPr>
            <w:rFonts w:ascii="IRNazanin" w:hAnsi="IRNazanin" w:eastAsia="IRNazanin" w:cs="IRNazanin"/>
            <w:color w:val="111111"/>
            <w:sz w:val="22"/>
            <w:szCs w:val="22"/>
            <w:b w:val="0"/>
            <w:bCs w:val="0"/>
            <w:i w:val="0"/>
            <w:iCs w:val="0"/>
          </w:rPr>
          <w:t>طالباني كردستاني ، رضا، قرن 13 ه-</w:t>
        </w:r>
        <w:r>
          <w:tab/>
        </w:r>
        <w:r>
          <w:fldChar w:fldCharType="begin"/>
        </w:r>
        <w:r>
          <w:instrText xml:space="preserve">PAGEREF 4628 \h</w:instrText>
        </w:r>
        <w:r>
          <w:fldChar w:fldCharType="end"/>
        </w:r>
      </w:hyperlink>
    </w:p>
    <w:p>
      <w:pPr>
        <w:tabs>
          <w:tab w:val="right" w:leader="dot" w:pos="9062"/>
        </w:tabs>
        <w:ind w:left="220"/>
      </w:pPr>
      <w:hyperlink w:anchor="_Toc4629" w:history="1">
        <w:r>
          <w:rPr>
            <w:rFonts w:ascii="IRNazanin" w:hAnsi="IRNazanin" w:eastAsia="IRNazanin" w:cs="IRNazanin"/>
            <w:color w:val="111111"/>
            <w:sz w:val="22"/>
            <w:szCs w:val="22"/>
            <w:b w:val="0"/>
            <w:bCs w:val="0"/>
            <w:i w:val="0"/>
            <w:iCs w:val="0"/>
          </w:rPr>
          <w:t>طالقاني ، محمّد تقي</w:t>
        </w:r>
        <w:r>
          <w:tab/>
        </w:r>
        <w:r>
          <w:fldChar w:fldCharType="begin"/>
        </w:r>
        <w:r>
          <w:instrText xml:space="preserve">PAGEREF 4629 \h</w:instrText>
        </w:r>
        <w:r>
          <w:fldChar w:fldCharType="end"/>
        </w:r>
      </w:hyperlink>
    </w:p>
    <w:p>
      <w:pPr>
        <w:tabs>
          <w:tab w:val="right" w:leader="dot" w:pos="9062"/>
        </w:tabs>
        <w:ind w:left="220"/>
      </w:pPr>
      <w:hyperlink w:anchor="_Toc4630" w:history="1">
        <w:r>
          <w:rPr>
            <w:rFonts w:ascii="IRNazanin" w:hAnsi="IRNazanin" w:eastAsia="IRNazanin" w:cs="IRNazanin"/>
            <w:color w:val="111111"/>
            <w:sz w:val="22"/>
            <w:szCs w:val="22"/>
            <w:b w:val="0"/>
            <w:bCs w:val="0"/>
            <w:i w:val="0"/>
            <w:iCs w:val="0"/>
          </w:rPr>
          <w:t>طالقاني ، محمّد تقي بن احمد - 1335</w:t>
        </w:r>
        <w:r>
          <w:tab/>
        </w:r>
        <w:r>
          <w:fldChar w:fldCharType="begin"/>
        </w:r>
        <w:r>
          <w:instrText xml:space="preserve">PAGEREF 4630 \h</w:instrText>
        </w:r>
        <w:r>
          <w:fldChar w:fldCharType="end"/>
        </w:r>
      </w:hyperlink>
    </w:p>
    <w:p>
      <w:pPr>
        <w:tabs>
          <w:tab w:val="right" w:leader="dot" w:pos="9062"/>
        </w:tabs>
        <w:ind w:left="220"/>
      </w:pPr>
      <w:hyperlink w:anchor="_Toc4631" w:history="1">
        <w:r>
          <w:rPr>
            <w:rFonts w:ascii="IRNazanin" w:hAnsi="IRNazanin" w:eastAsia="IRNazanin" w:cs="IRNazanin"/>
            <w:color w:val="111111"/>
            <w:sz w:val="22"/>
            <w:szCs w:val="22"/>
            <w:b w:val="0"/>
            <w:bCs w:val="0"/>
            <w:i w:val="0"/>
            <w:iCs w:val="0"/>
          </w:rPr>
          <w:t>طالقاني ، محمّد حسين</w:t>
        </w:r>
        <w:r>
          <w:tab/>
        </w:r>
        <w:r>
          <w:fldChar w:fldCharType="begin"/>
        </w:r>
        <w:r>
          <w:instrText xml:space="preserve">PAGEREF 4631 \h</w:instrText>
        </w:r>
        <w:r>
          <w:fldChar w:fldCharType="end"/>
        </w:r>
      </w:hyperlink>
    </w:p>
    <w:p>
      <w:pPr>
        <w:tabs>
          <w:tab w:val="right" w:leader="dot" w:pos="9062"/>
        </w:tabs>
        <w:ind w:left="220"/>
      </w:pPr>
      <w:hyperlink w:anchor="_Toc4632" w:history="1">
        <w:r>
          <w:rPr>
            <w:rFonts w:ascii="IRNazanin" w:hAnsi="IRNazanin" w:eastAsia="IRNazanin" w:cs="IRNazanin"/>
            <w:color w:val="111111"/>
            <w:sz w:val="22"/>
            <w:szCs w:val="22"/>
            <w:b w:val="0"/>
            <w:bCs w:val="0"/>
            <w:i w:val="0"/>
            <w:iCs w:val="0"/>
          </w:rPr>
          <w:t>طالقاني ، محمّد حسين بن علي</w:t>
        </w:r>
        <w:r>
          <w:tab/>
        </w:r>
        <w:r>
          <w:fldChar w:fldCharType="begin"/>
        </w:r>
        <w:r>
          <w:instrText xml:space="preserve">PAGEREF 4632 \h</w:instrText>
        </w:r>
        <w:r>
          <w:fldChar w:fldCharType="end"/>
        </w:r>
      </w:hyperlink>
    </w:p>
    <w:p>
      <w:pPr>
        <w:tabs>
          <w:tab w:val="right" w:leader="dot" w:pos="9062"/>
        </w:tabs>
        <w:ind w:left="220"/>
      </w:pPr>
      <w:hyperlink w:anchor="_Toc4633" w:history="1">
        <w:r>
          <w:rPr>
            <w:rFonts w:ascii="IRNazanin" w:hAnsi="IRNazanin" w:eastAsia="IRNazanin" w:cs="IRNazanin"/>
            <w:color w:val="111111"/>
            <w:sz w:val="22"/>
            <w:szCs w:val="22"/>
            <w:b w:val="0"/>
            <w:bCs w:val="0"/>
            <w:i w:val="0"/>
            <w:iCs w:val="0"/>
          </w:rPr>
          <w:t>طالقاني ، محمّد حسین بن محمّد رضا</w:t>
        </w:r>
        <w:r>
          <w:tab/>
        </w:r>
        <w:r>
          <w:fldChar w:fldCharType="begin"/>
        </w:r>
        <w:r>
          <w:instrText xml:space="preserve">PAGEREF 4633 \h</w:instrText>
        </w:r>
        <w:r>
          <w:fldChar w:fldCharType="end"/>
        </w:r>
      </w:hyperlink>
    </w:p>
    <w:p>
      <w:pPr>
        <w:tabs>
          <w:tab w:val="right" w:leader="dot" w:pos="9062"/>
        </w:tabs>
        <w:ind w:left="220"/>
      </w:pPr>
      <w:hyperlink w:anchor="_Toc4634" w:history="1">
        <w:r>
          <w:rPr>
            <w:rFonts w:ascii="IRNazanin" w:hAnsi="IRNazanin" w:eastAsia="IRNazanin" w:cs="IRNazanin"/>
            <w:color w:val="111111"/>
            <w:sz w:val="22"/>
            <w:szCs w:val="22"/>
            <w:b w:val="0"/>
            <w:bCs w:val="0"/>
            <w:i w:val="0"/>
            <w:iCs w:val="0"/>
          </w:rPr>
          <w:t>طامذي ، عبدالله بن علي - 563 ه-</w:t>
        </w:r>
        <w:r>
          <w:tab/>
        </w:r>
        <w:r>
          <w:fldChar w:fldCharType="begin"/>
        </w:r>
        <w:r>
          <w:instrText xml:space="preserve">PAGEREF 4634 \h</w:instrText>
        </w:r>
        <w:r>
          <w:fldChar w:fldCharType="end"/>
        </w:r>
      </w:hyperlink>
    </w:p>
    <w:p>
      <w:pPr>
        <w:tabs>
          <w:tab w:val="right" w:leader="dot" w:pos="9062"/>
        </w:tabs>
        <w:ind w:left="220"/>
      </w:pPr>
      <w:hyperlink w:anchor="_Toc4635" w:history="1">
        <w:r>
          <w:rPr>
            <w:rFonts w:ascii="IRNazanin" w:hAnsi="IRNazanin" w:eastAsia="IRNazanin" w:cs="IRNazanin"/>
            <w:color w:val="111111"/>
            <w:sz w:val="22"/>
            <w:szCs w:val="22"/>
            <w:b w:val="0"/>
            <w:bCs w:val="0"/>
            <w:i w:val="0"/>
            <w:iCs w:val="0"/>
          </w:rPr>
          <w:t>طاهراني ، محمود بن محمّد</w:t>
        </w:r>
        <w:r>
          <w:tab/>
        </w:r>
        <w:r>
          <w:fldChar w:fldCharType="begin"/>
        </w:r>
        <w:r>
          <w:instrText xml:space="preserve">PAGEREF 4635 \h</w:instrText>
        </w:r>
        <w:r>
          <w:fldChar w:fldCharType="end"/>
        </w:r>
      </w:hyperlink>
    </w:p>
    <w:p>
      <w:pPr>
        <w:tabs>
          <w:tab w:val="right" w:leader="dot" w:pos="9062"/>
        </w:tabs>
        <w:ind w:left="220"/>
      </w:pPr>
      <w:hyperlink w:anchor="_Toc4636" w:history="1">
        <w:r>
          <w:rPr>
            <w:rFonts w:ascii="IRNazanin" w:hAnsi="IRNazanin" w:eastAsia="IRNazanin" w:cs="IRNazanin"/>
            <w:color w:val="111111"/>
            <w:sz w:val="22"/>
            <w:szCs w:val="22"/>
            <w:b w:val="0"/>
            <w:bCs w:val="0"/>
            <w:i w:val="0"/>
            <w:iCs w:val="0"/>
          </w:rPr>
          <w:t>طاهر بن اديب قرن 14 ه-</w:t>
        </w:r>
        <w:r>
          <w:tab/>
        </w:r>
        <w:r>
          <w:fldChar w:fldCharType="begin"/>
        </w:r>
        <w:r>
          <w:instrText xml:space="preserve">PAGEREF 4636 \h</w:instrText>
        </w:r>
        <w:r>
          <w:fldChar w:fldCharType="end"/>
        </w:r>
      </w:hyperlink>
    </w:p>
    <w:p>
      <w:pPr>
        <w:tabs>
          <w:tab w:val="right" w:leader="dot" w:pos="9062"/>
        </w:tabs>
        <w:ind w:left="220"/>
      </w:pPr>
      <w:hyperlink w:anchor="_Toc4637" w:history="1">
        <w:r>
          <w:rPr>
            <w:rFonts w:ascii="IRNazanin" w:hAnsi="IRNazanin" w:eastAsia="IRNazanin" w:cs="IRNazanin"/>
            <w:color w:val="111111"/>
            <w:sz w:val="22"/>
            <w:szCs w:val="22"/>
            <w:b w:val="0"/>
            <w:bCs w:val="0"/>
            <w:i w:val="0"/>
            <w:iCs w:val="0"/>
          </w:rPr>
          <w:t>طاهر بن عبد علي</w:t>
        </w:r>
        <w:r>
          <w:tab/>
        </w:r>
        <w:r>
          <w:fldChar w:fldCharType="begin"/>
        </w:r>
        <w:r>
          <w:instrText xml:space="preserve">PAGEREF 4637 \h</w:instrText>
        </w:r>
        <w:r>
          <w:fldChar w:fldCharType="end"/>
        </w:r>
      </w:hyperlink>
    </w:p>
    <w:p>
      <w:pPr>
        <w:tabs>
          <w:tab w:val="right" w:leader="dot" w:pos="9062"/>
        </w:tabs>
        <w:ind w:left="220"/>
      </w:pPr>
      <w:hyperlink w:anchor="_Toc4638" w:history="1">
        <w:r>
          <w:rPr>
            <w:rFonts w:ascii="IRNazanin" w:hAnsi="IRNazanin" w:eastAsia="IRNazanin" w:cs="IRNazanin"/>
            <w:color w:val="111111"/>
            <w:sz w:val="22"/>
            <w:szCs w:val="22"/>
            <w:b w:val="0"/>
            <w:bCs w:val="0"/>
            <w:i w:val="0"/>
            <w:iCs w:val="0"/>
          </w:rPr>
          <w:t>طاهري، مصطفى بن احمد قرن 11 ه-</w:t>
        </w:r>
        <w:r>
          <w:tab/>
        </w:r>
        <w:r>
          <w:fldChar w:fldCharType="begin"/>
        </w:r>
        <w:r>
          <w:instrText xml:space="preserve">PAGEREF 4638 \h</w:instrText>
        </w:r>
        <w:r>
          <w:fldChar w:fldCharType="end"/>
        </w:r>
      </w:hyperlink>
    </w:p>
    <w:p>
      <w:pPr>
        <w:tabs>
          <w:tab w:val="right" w:leader="dot" w:pos="9062"/>
        </w:tabs>
        <w:ind w:left="220"/>
      </w:pPr>
      <w:hyperlink w:anchor="_Toc4639" w:history="1">
        <w:r>
          <w:rPr>
            <w:rFonts w:ascii="IRNazanin" w:hAnsi="IRNazanin" w:eastAsia="IRNazanin" w:cs="IRNazanin"/>
            <w:color w:val="111111"/>
            <w:sz w:val="22"/>
            <w:szCs w:val="22"/>
            <w:b w:val="0"/>
            <w:bCs w:val="0"/>
            <w:i w:val="0"/>
            <w:iCs w:val="0"/>
          </w:rPr>
          <w:t>طاوسي ، محمّد بن ابي بكر</w:t>
        </w:r>
        <w:r>
          <w:tab/>
        </w:r>
        <w:r>
          <w:fldChar w:fldCharType="begin"/>
        </w:r>
        <w:r>
          <w:instrText xml:space="preserve">PAGEREF 4639 \h</w:instrText>
        </w:r>
        <w:r>
          <w:fldChar w:fldCharType="end"/>
        </w:r>
      </w:hyperlink>
    </w:p>
    <w:p>
      <w:pPr>
        <w:tabs>
          <w:tab w:val="right" w:leader="dot" w:pos="9062"/>
        </w:tabs>
        <w:ind w:left="220"/>
      </w:pPr>
      <w:hyperlink w:anchor="_Toc4640" w:history="1">
        <w:r>
          <w:rPr>
            <w:rFonts w:ascii="IRNazanin" w:hAnsi="IRNazanin" w:eastAsia="IRNazanin" w:cs="IRNazanin"/>
            <w:color w:val="111111"/>
            <w:sz w:val="22"/>
            <w:szCs w:val="22"/>
            <w:b w:val="0"/>
            <w:bCs w:val="0"/>
            <w:i w:val="0"/>
            <w:iCs w:val="0"/>
          </w:rPr>
          <w:t>طباخ ، فتح الله بن محمّد - 1204 ه-</w:t>
        </w:r>
        <w:r>
          <w:tab/>
        </w:r>
        <w:r>
          <w:fldChar w:fldCharType="begin"/>
        </w:r>
        <w:r>
          <w:instrText xml:space="preserve">PAGEREF 4640 \h</w:instrText>
        </w:r>
        <w:r>
          <w:fldChar w:fldCharType="end"/>
        </w:r>
      </w:hyperlink>
    </w:p>
    <w:p>
      <w:pPr>
        <w:tabs>
          <w:tab w:val="right" w:leader="dot" w:pos="9062"/>
        </w:tabs>
        <w:ind w:left="220"/>
      </w:pPr>
      <w:hyperlink w:anchor="_Toc4641" w:history="1">
        <w:r>
          <w:rPr>
            <w:rFonts w:ascii="IRNazanin" w:hAnsi="IRNazanin" w:eastAsia="IRNazanin" w:cs="IRNazanin"/>
            <w:color w:val="111111"/>
            <w:sz w:val="22"/>
            <w:szCs w:val="22"/>
            <w:b w:val="0"/>
            <w:bCs w:val="0"/>
            <w:i w:val="0"/>
            <w:iCs w:val="0"/>
          </w:rPr>
          <w:t>طباطبائي، ابراهيم بن حسين 1248 -</w:t>
        </w:r>
        <w:r>
          <w:tab/>
        </w:r>
        <w:r>
          <w:fldChar w:fldCharType="begin"/>
        </w:r>
        <w:r>
          <w:instrText xml:space="preserve">PAGEREF 4641 \h</w:instrText>
        </w:r>
        <w:r>
          <w:fldChar w:fldCharType="end"/>
        </w:r>
      </w:hyperlink>
    </w:p>
    <w:p>
      <w:pPr>
        <w:tabs>
          <w:tab w:val="right" w:leader="dot" w:pos="9062"/>
        </w:tabs>
        <w:ind w:left="220"/>
      </w:pPr>
      <w:hyperlink w:anchor="_Toc4642" w:history="1">
        <w:r>
          <w:rPr>
            <w:rFonts w:ascii="IRNazanin" w:hAnsi="IRNazanin" w:eastAsia="IRNazanin" w:cs="IRNazanin"/>
            <w:color w:val="111111"/>
            <w:sz w:val="22"/>
            <w:szCs w:val="22"/>
            <w:b w:val="0"/>
            <w:bCs w:val="0"/>
            <w:i w:val="0"/>
            <w:iCs w:val="0"/>
          </w:rPr>
          <w:t>طباطبائي، ابراهيم بن ناصر قرن 5 ه-</w:t>
        </w:r>
        <w:r>
          <w:tab/>
        </w:r>
        <w:r>
          <w:fldChar w:fldCharType="begin"/>
        </w:r>
        <w:r>
          <w:instrText xml:space="preserve">PAGEREF 4642 \h</w:instrText>
        </w:r>
        <w:r>
          <w:fldChar w:fldCharType="end"/>
        </w:r>
      </w:hyperlink>
    </w:p>
    <w:p>
      <w:pPr>
        <w:tabs>
          <w:tab w:val="right" w:leader="dot" w:pos="9062"/>
        </w:tabs>
        <w:ind w:left="220"/>
      </w:pPr>
      <w:hyperlink w:anchor="_Toc4643" w:history="1">
        <w:r>
          <w:rPr>
            <w:rFonts w:ascii="IRNazanin" w:hAnsi="IRNazanin" w:eastAsia="IRNazanin" w:cs="IRNazanin"/>
            <w:color w:val="111111"/>
            <w:sz w:val="22"/>
            <w:szCs w:val="22"/>
            <w:b w:val="0"/>
            <w:bCs w:val="0"/>
            <w:i w:val="0"/>
            <w:iCs w:val="0"/>
          </w:rPr>
          <w:t>طباطبائي، ابوالقاسم بن محمّد رضا - 1380 ه-</w:t>
        </w:r>
        <w:r>
          <w:tab/>
        </w:r>
        <w:r>
          <w:fldChar w:fldCharType="begin"/>
        </w:r>
        <w:r>
          <w:instrText xml:space="preserve">PAGEREF 4643 \h</w:instrText>
        </w:r>
        <w:r>
          <w:fldChar w:fldCharType="end"/>
        </w:r>
      </w:hyperlink>
    </w:p>
    <w:p>
      <w:pPr>
        <w:tabs>
          <w:tab w:val="right" w:leader="dot" w:pos="9062"/>
        </w:tabs>
        <w:ind w:left="220"/>
      </w:pPr>
      <w:hyperlink w:anchor="_Toc4644" w:history="1">
        <w:r>
          <w:rPr>
            <w:rFonts w:ascii="IRNazanin" w:hAnsi="IRNazanin" w:eastAsia="IRNazanin" w:cs="IRNazanin"/>
            <w:color w:val="111111"/>
            <w:sz w:val="22"/>
            <w:szCs w:val="22"/>
            <w:b w:val="0"/>
            <w:bCs w:val="0"/>
            <w:i w:val="0"/>
            <w:iCs w:val="0"/>
          </w:rPr>
          <w:t>طباطبائي بروجردي ، محمّد بن</w:t>
        </w:r>
        <w:r>
          <w:tab/>
        </w:r>
        <w:r>
          <w:fldChar w:fldCharType="begin"/>
        </w:r>
        <w:r>
          <w:instrText xml:space="preserve">PAGEREF 4644 \h</w:instrText>
        </w:r>
        <w:r>
          <w:fldChar w:fldCharType="end"/>
        </w:r>
      </w:hyperlink>
    </w:p>
    <w:p>
      <w:pPr>
        <w:tabs>
          <w:tab w:val="right" w:leader="dot" w:pos="9062"/>
        </w:tabs>
        <w:ind w:left="220"/>
      </w:pPr>
      <w:hyperlink w:anchor="_Toc4645" w:history="1">
        <w:r>
          <w:rPr>
            <w:rFonts w:ascii="IRNazanin" w:hAnsi="IRNazanin" w:eastAsia="IRNazanin" w:cs="IRNazanin"/>
            <w:color w:val="111111"/>
            <w:sz w:val="22"/>
            <w:szCs w:val="22"/>
            <w:b w:val="0"/>
            <w:bCs w:val="0"/>
            <w:i w:val="0"/>
            <w:iCs w:val="0"/>
          </w:rPr>
          <w:t>طباطبائي بروجردي ، محمّد تقي بن</w:t>
        </w:r>
        <w:r>
          <w:tab/>
        </w:r>
        <w:r>
          <w:fldChar w:fldCharType="begin"/>
        </w:r>
        <w:r>
          <w:instrText xml:space="preserve">PAGEREF 4645 \h</w:instrText>
        </w:r>
        <w:r>
          <w:fldChar w:fldCharType="end"/>
        </w:r>
      </w:hyperlink>
    </w:p>
    <w:p>
      <w:pPr>
        <w:tabs>
          <w:tab w:val="right" w:leader="dot" w:pos="9062"/>
        </w:tabs>
        <w:ind w:left="220"/>
      </w:pPr>
      <w:hyperlink w:anchor="_Toc4646" w:history="1">
        <w:r>
          <w:rPr>
            <w:rFonts w:ascii="IRNazanin" w:hAnsi="IRNazanin" w:eastAsia="IRNazanin" w:cs="IRNazanin"/>
            <w:color w:val="111111"/>
            <w:sz w:val="22"/>
            <w:szCs w:val="22"/>
            <w:b w:val="0"/>
            <w:bCs w:val="0"/>
            <w:i w:val="0"/>
            <w:iCs w:val="0"/>
          </w:rPr>
          <w:t>طباطبائي بروجردي ، محمّد حسن بن</w:t>
        </w:r>
        <w:r>
          <w:tab/>
        </w:r>
        <w:r>
          <w:fldChar w:fldCharType="begin"/>
        </w:r>
        <w:r>
          <w:instrText xml:space="preserve">PAGEREF 4646 \h</w:instrText>
        </w:r>
        <w:r>
          <w:fldChar w:fldCharType="end"/>
        </w:r>
      </w:hyperlink>
    </w:p>
    <w:p>
      <w:pPr>
        <w:tabs>
          <w:tab w:val="right" w:leader="dot" w:pos="9062"/>
        </w:tabs>
        <w:ind w:left="220"/>
      </w:pPr>
      <w:hyperlink w:anchor="_Toc4647" w:history="1">
        <w:r>
          <w:rPr>
            <w:rFonts w:ascii="IRNazanin" w:hAnsi="IRNazanin" w:eastAsia="IRNazanin" w:cs="IRNazanin"/>
            <w:color w:val="111111"/>
            <w:sz w:val="22"/>
            <w:szCs w:val="22"/>
            <w:b w:val="0"/>
            <w:bCs w:val="0"/>
            <w:i w:val="0"/>
            <w:iCs w:val="0"/>
          </w:rPr>
          <w:t>طباطبائي بروجردي ، محمّد حسین، 1291</w:t>
        </w:r>
        <w:r>
          <w:tab/>
        </w:r>
        <w:r>
          <w:fldChar w:fldCharType="begin"/>
        </w:r>
        <w:r>
          <w:instrText xml:space="preserve">PAGEREF 4647 \h</w:instrText>
        </w:r>
        <w:r>
          <w:fldChar w:fldCharType="end"/>
        </w:r>
      </w:hyperlink>
    </w:p>
    <w:p>
      <w:pPr>
        <w:tabs>
          <w:tab w:val="right" w:leader="dot" w:pos="9062"/>
        </w:tabs>
        <w:ind w:left="220"/>
      </w:pPr>
      <w:hyperlink w:anchor="_Toc4648" w:history="1">
        <w:r>
          <w:rPr>
            <w:rFonts w:ascii="IRNazanin" w:hAnsi="IRNazanin" w:eastAsia="IRNazanin" w:cs="IRNazanin"/>
            <w:color w:val="111111"/>
            <w:sz w:val="22"/>
            <w:szCs w:val="22"/>
            <w:b w:val="0"/>
            <w:bCs w:val="0"/>
            <w:i w:val="0"/>
            <w:iCs w:val="0"/>
          </w:rPr>
          <w:t>طباطبائي بروجردي ، محمود بن علينقي - 1300 ه-</w:t>
        </w:r>
        <w:r>
          <w:tab/>
        </w:r>
        <w:r>
          <w:fldChar w:fldCharType="begin"/>
        </w:r>
        <w:r>
          <w:instrText xml:space="preserve">PAGEREF 4648 \h</w:instrText>
        </w:r>
        <w:r>
          <w:fldChar w:fldCharType="end"/>
        </w:r>
      </w:hyperlink>
    </w:p>
    <w:p>
      <w:pPr>
        <w:tabs>
          <w:tab w:val="right" w:leader="dot" w:pos="9062"/>
        </w:tabs>
        <w:ind w:left="220"/>
      </w:pPr>
      <w:hyperlink w:anchor="_Toc4649" w:history="1">
        <w:r>
          <w:rPr>
            <w:rFonts w:ascii="IRNazanin" w:hAnsi="IRNazanin" w:eastAsia="IRNazanin" w:cs="IRNazanin"/>
            <w:color w:val="111111"/>
            <w:sz w:val="22"/>
            <w:szCs w:val="22"/>
            <w:b w:val="0"/>
            <w:bCs w:val="0"/>
            <w:i w:val="0"/>
            <w:iCs w:val="0"/>
          </w:rPr>
          <w:t>طباطبائي تبريزي ، محمّد تقي بن محمّد</w:t>
        </w:r>
        <w:r>
          <w:tab/>
        </w:r>
        <w:r>
          <w:fldChar w:fldCharType="begin"/>
        </w:r>
        <w:r>
          <w:instrText xml:space="preserve">PAGEREF 4649 \h</w:instrText>
        </w:r>
        <w:r>
          <w:fldChar w:fldCharType="end"/>
        </w:r>
      </w:hyperlink>
    </w:p>
    <w:p>
      <w:pPr>
        <w:tabs>
          <w:tab w:val="right" w:leader="dot" w:pos="9062"/>
        </w:tabs>
        <w:ind w:left="220"/>
      </w:pPr>
      <w:hyperlink w:anchor="_Toc4650" w:history="1">
        <w:r>
          <w:rPr>
            <w:rFonts w:ascii="IRNazanin" w:hAnsi="IRNazanin" w:eastAsia="IRNazanin" w:cs="IRNazanin"/>
            <w:color w:val="111111"/>
            <w:sz w:val="22"/>
            <w:szCs w:val="22"/>
            <w:b w:val="0"/>
            <w:bCs w:val="0"/>
            <w:i w:val="0"/>
            <w:iCs w:val="0"/>
          </w:rPr>
          <w:t>طباطبائي ، حسن بن ابي طالب</w:t>
        </w:r>
        <w:r>
          <w:tab/>
        </w:r>
        <w:r>
          <w:fldChar w:fldCharType="begin"/>
        </w:r>
        <w:r>
          <w:instrText xml:space="preserve">PAGEREF 4650 \h</w:instrText>
        </w:r>
        <w:r>
          <w:fldChar w:fldCharType="end"/>
        </w:r>
      </w:hyperlink>
    </w:p>
    <w:p>
      <w:pPr>
        <w:tabs>
          <w:tab w:val="right" w:leader="dot" w:pos="9062"/>
        </w:tabs>
        <w:ind w:left="220"/>
      </w:pPr>
      <w:hyperlink w:anchor="_Toc4651" w:history="1">
        <w:r>
          <w:rPr>
            <w:rFonts w:ascii="IRNazanin" w:hAnsi="IRNazanin" w:eastAsia="IRNazanin" w:cs="IRNazanin"/>
            <w:color w:val="111111"/>
            <w:sz w:val="22"/>
            <w:szCs w:val="22"/>
            <w:b w:val="0"/>
            <w:bCs w:val="0"/>
            <w:i w:val="0"/>
            <w:iCs w:val="0"/>
          </w:rPr>
          <w:t>طباطبائي ، حسن بن مرتضى</w:t>
        </w:r>
        <w:r>
          <w:tab/>
        </w:r>
        <w:r>
          <w:fldChar w:fldCharType="begin"/>
        </w:r>
        <w:r>
          <w:instrText xml:space="preserve">PAGEREF 4651 \h</w:instrText>
        </w:r>
        <w:r>
          <w:fldChar w:fldCharType="end"/>
        </w:r>
      </w:hyperlink>
    </w:p>
    <w:p>
      <w:pPr>
        <w:tabs>
          <w:tab w:val="right" w:leader="dot" w:pos="9062"/>
        </w:tabs>
        <w:ind w:left="220"/>
      </w:pPr>
      <w:hyperlink w:anchor="_Toc4652" w:history="1">
        <w:r>
          <w:rPr>
            <w:rFonts w:ascii="IRNazanin" w:hAnsi="IRNazanin" w:eastAsia="IRNazanin" w:cs="IRNazanin"/>
            <w:color w:val="111111"/>
            <w:sz w:val="22"/>
            <w:szCs w:val="22"/>
            <w:b w:val="0"/>
            <w:bCs w:val="0"/>
            <w:i w:val="0"/>
            <w:iCs w:val="0"/>
          </w:rPr>
          <w:t>طباطبائي حكيم ، محسن بن مهدي</w:t>
        </w:r>
        <w:r>
          <w:tab/>
        </w:r>
        <w:r>
          <w:fldChar w:fldCharType="begin"/>
        </w:r>
        <w:r>
          <w:instrText xml:space="preserve">PAGEREF 4652 \h</w:instrText>
        </w:r>
        <w:r>
          <w:fldChar w:fldCharType="end"/>
        </w:r>
      </w:hyperlink>
    </w:p>
    <w:p>
      <w:pPr>
        <w:tabs>
          <w:tab w:val="right" w:leader="dot" w:pos="9062"/>
        </w:tabs>
        <w:ind w:left="220"/>
      </w:pPr>
      <w:hyperlink w:anchor="_Toc4653" w:history="1">
        <w:r>
          <w:rPr>
            <w:rFonts w:ascii="IRNazanin" w:hAnsi="IRNazanin" w:eastAsia="IRNazanin" w:cs="IRNazanin"/>
            <w:color w:val="111111"/>
            <w:sz w:val="22"/>
            <w:szCs w:val="22"/>
            <w:b w:val="0"/>
            <w:bCs w:val="0"/>
            <w:i w:val="0"/>
            <w:iCs w:val="0"/>
          </w:rPr>
          <w:t>طباطبائي حكيم ، مهدي</w:t>
        </w:r>
        <w:r>
          <w:tab/>
        </w:r>
        <w:r>
          <w:fldChar w:fldCharType="begin"/>
        </w:r>
        <w:r>
          <w:instrText xml:space="preserve">PAGEREF 4653 \h</w:instrText>
        </w:r>
        <w:r>
          <w:fldChar w:fldCharType="end"/>
        </w:r>
      </w:hyperlink>
    </w:p>
    <w:p>
      <w:pPr>
        <w:tabs>
          <w:tab w:val="right" w:leader="dot" w:pos="9062"/>
        </w:tabs>
        <w:ind w:left="220"/>
      </w:pPr>
      <w:hyperlink w:anchor="_Toc4654" w:history="1">
        <w:r>
          <w:rPr>
            <w:rFonts w:ascii="IRNazanin" w:hAnsi="IRNazanin" w:eastAsia="IRNazanin" w:cs="IRNazanin"/>
            <w:color w:val="111111"/>
            <w:sz w:val="22"/>
            <w:szCs w:val="22"/>
            <w:b w:val="0"/>
            <w:bCs w:val="0"/>
            <w:i w:val="0"/>
            <w:iCs w:val="0"/>
          </w:rPr>
          <w:t>طباطبائي ، رضا بن محمّد علي</w:t>
        </w:r>
        <w:r>
          <w:tab/>
        </w:r>
        <w:r>
          <w:fldChar w:fldCharType="begin"/>
        </w:r>
        <w:r>
          <w:instrText xml:space="preserve">PAGEREF 4654 \h</w:instrText>
        </w:r>
        <w:r>
          <w:fldChar w:fldCharType="end"/>
        </w:r>
      </w:hyperlink>
    </w:p>
    <w:p>
      <w:pPr>
        <w:tabs>
          <w:tab w:val="right" w:leader="dot" w:pos="9062"/>
        </w:tabs>
        <w:ind w:left="220"/>
      </w:pPr>
      <w:hyperlink w:anchor="_Toc4655" w:history="1">
        <w:r>
          <w:rPr>
            <w:rFonts w:ascii="IRNazanin" w:hAnsi="IRNazanin" w:eastAsia="IRNazanin" w:cs="IRNazanin"/>
            <w:color w:val="111111"/>
            <w:sz w:val="22"/>
            <w:szCs w:val="22"/>
            <w:b w:val="0"/>
            <w:bCs w:val="0"/>
            <w:i w:val="0"/>
            <w:iCs w:val="0"/>
          </w:rPr>
          <w:t>طباطبائي، زين العابدين بن حسين</w:t>
        </w:r>
        <w:r>
          <w:tab/>
        </w:r>
        <w:r>
          <w:fldChar w:fldCharType="begin"/>
        </w:r>
        <w:r>
          <w:instrText xml:space="preserve">PAGEREF 4655 \h</w:instrText>
        </w:r>
        <w:r>
          <w:fldChar w:fldCharType="end"/>
        </w:r>
      </w:hyperlink>
    </w:p>
    <w:p>
      <w:pPr>
        <w:tabs>
          <w:tab w:val="right" w:leader="dot" w:pos="9062"/>
        </w:tabs>
        <w:ind w:left="220"/>
      </w:pPr>
      <w:hyperlink w:anchor="_Toc4656" w:history="1">
        <w:r>
          <w:rPr>
            <w:rFonts w:ascii="IRNazanin" w:hAnsi="IRNazanin" w:eastAsia="IRNazanin" w:cs="IRNazanin"/>
            <w:color w:val="111111"/>
            <w:sz w:val="22"/>
            <w:szCs w:val="22"/>
            <w:b w:val="0"/>
            <w:bCs w:val="0"/>
            <w:i w:val="0"/>
            <w:iCs w:val="0"/>
          </w:rPr>
          <w:t>طباطبائي، زين العابدين بن محمّد قرن</w:t>
        </w:r>
        <w:r>
          <w:tab/>
        </w:r>
        <w:r>
          <w:fldChar w:fldCharType="begin"/>
        </w:r>
        <w:r>
          <w:instrText xml:space="preserve">PAGEREF 4656 \h</w:instrText>
        </w:r>
        <w:r>
          <w:fldChar w:fldCharType="end"/>
        </w:r>
      </w:hyperlink>
    </w:p>
    <w:p>
      <w:pPr>
        <w:tabs>
          <w:tab w:val="right" w:leader="dot" w:pos="9062"/>
        </w:tabs>
        <w:ind w:left="220"/>
      </w:pPr>
      <w:hyperlink w:anchor="_Toc4657" w:history="1">
        <w:r>
          <w:rPr>
            <w:rFonts w:ascii="IRNazanin" w:hAnsi="IRNazanin" w:eastAsia="IRNazanin" w:cs="IRNazanin"/>
            <w:color w:val="111111"/>
            <w:sz w:val="22"/>
            <w:szCs w:val="22"/>
            <w:b w:val="0"/>
            <w:bCs w:val="0"/>
            <w:i w:val="0"/>
            <w:iCs w:val="0"/>
          </w:rPr>
          <w:t>طباطبائي، ضیاء الدین بن عبدالله</w:t>
        </w:r>
        <w:r>
          <w:tab/>
        </w:r>
        <w:r>
          <w:fldChar w:fldCharType="begin"/>
        </w:r>
        <w:r>
          <w:instrText xml:space="preserve">PAGEREF 4657 \h</w:instrText>
        </w:r>
        <w:r>
          <w:fldChar w:fldCharType="end"/>
        </w:r>
      </w:hyperlink>
    </w:p>
    <w:p>
      <w:pPr>
        <w:tabs>
          <w:tab w:val="right" w:leader="dot" w:pos="9062"/>
        </w:tabs>
        <w:ind w:left="220"/>
      </w:pPr>
      <w:hyperlink w:anchor="_Toc4658" w:history="1">
        <w:r>
          <w:rPr>
            <w:rFonts w:ascii="IRNazanin" w:hAnsi="IRNazanin" w:eastAsia="IRNazanin" w:cs="IRNazanin"/>
            <w:color w:val="111111"/>
            <w:sz w:val="22"/>
            <w:szCs w:val="22"/>
            <w:b w:val="0"/>
            <w:bCs w:val="0"/>
            <w:i w:val="0"/>
            <w:iCs w:val="0"/>
          </w:rPr>
          <w:t>طباطبائي ، عبد الجليل بن ياسين، 1190 -</w:t>
        </w:r>
        <w:r>
          <w:tab/>
        </w:r>
        <w:r>
          <w:fldChar w:fldCharType="begin"/>
        </w:r>
        <w:r>
          <w:instrText xml:space="preserve">PAGEREF 4658 \h</w:instrText>
        </w:r>
        <w:r>
          <w:fldChar w:fldCharType="end"/>
        </w:r>
      </w:hyperlink>
    </w:p>
    <w:p>
      <w:pPr>
        <w:tabs>
          <w:tab w:val="right" w:leader="dot" w:pos="9062"/>
        </w:tabs>
        <w:ind w:left="220"/>
      </w:pPr>
      <w:hyperlink w:anchor="_Toc4659" w:history="1">
        <w:r>
          <w:rPr>
            <w:rFonts w:ascii="IRNazanin" w:hAnsi="IRNazanin" w:eastAsia="IRNazanin" w:cs="IRNazanin"/>
            <w:color w:val="111111"/>
            <w:sz w:val="22"/>
            <w:szCs w:val="22"/>
            <w:b w:val="0"/>
            <w:bCs w:val="0"/>
            <w:i w:val="0"/>
            <w:iCs w:val="0"/>
          </w:rPr>
          <w:t>طباطبائي ، علي</w:t>
        </w:r>
        <w:r>
          <w:tab/>
        </w:r>
        <w:r>
          <w:fldChar w:fldCharType="begin"/>
        </w:r>
        <w:r>
          <w:instrText xml:space="preserve">PAGEREF 4659 \h</w:instrText>
        </w:r>
        <w:r>
          <w:fldChar w:fldCharType="end"/>
        </w:r>
      </w:hyperlink>
    </w:p>
    <w:p>
      <w:pPr>
        <w:tabs>
          <w:tab w:val="right" w:leader="dot" w:pos="9062"/>
        </w:tabs>
        <w:ind w:left="220"/>
      </w:pPr>
      <w:hyperlink w:anchor="_Toc4660" w:history="1">
        <w:r>
          <w:rPr>
            <w:rFonts w:ascii="IRNazanin" w:hAnsi="IRNazanin" w:eastAsia="IRNazanin" w:cs="IRNazanin"/>
            <w:color w:val="111111"/>
            <w:sz w:val="22"/>
            <w:szCs w:val="22"/>
            <w:b w:val="0"/>
            <w:bCs w:val="0"/>
            <w:i w:val="0"/>
            <w:iCs w:val="0"/>
          </w:rPr>
          <w:t>طباطبائي ، علي بن مراد</w:t>
        </w:r>
        <w:r>
          <w:tab/>
        </w:r>
        <w:r>
          <w:fldChar w:fldCharType="begin"/>
        </w:r>
        <w:r>
          <w:instrText xml:space="preserve">PAGEREF 4660 \h</w:instrText>
        </w:r>
        <w:r>
          <w:fldChar w:fldCharType="end"/>
        </w:r>
      </w:hyperlink>
    </w:p>
    <w:p>
      <w:pPr>
        <w:tabs>
          <w:tab w:val="right" w:leader="dot" w:pos="9062"/>
        </w:tabs>
        <w:ind w:left="220"/>
      </w:pPr>
      <w:hyperlink w:anchor="_Toc4661" w:history="1">
        <w:r>
          <w:rPr>
            <w:rFonts w:ascii="IRNazanin" w:hAnsi="IRNazanin" w:eastAsia="IRNazanin" w:cs="IRNazanin"/>
            <w:color w:val="111111"/>
            <w:sz w:val="22"/>
            <w:szCs w:val="22"/>
            <w:b w:val="0"/>
            <w:bCs w:val="0"/>
            <w:i w:val="0"/>
            <w:iCs w:val="0"/>
          </w:rPr>
          <w:t>طباطبائي، علي نقي بن جواد 1188 -</w:t>
        </w:r>
        <w:r>
          <w:tab/>
        </w:r>
        <w:r>
          <w:fldChar w:fldCharType="begin"/>
        </w:r>
        <w:r>
          <w:instrText xml:space="preserve">PAGEREF 4661 \h</w:instrText>
        </w:r>
        <w:r>
          <w:fldChar w:fldCharType="end"/>
        </w:r>
      </w:hyperlink>
    </w:p>
    <w:p>
      <w:pPr>
        <w:tabs>
          <w:tab w:val="right" w:leader="dot" w:pos="9062"/>
        </w:tabs>
        <w:ind w:left="220"/>
      </w:pPr>
      <w:hyperlink w:anchor="_Toc4662" w:history="1">
        <w:r>
          <w:rPr>
            <w:rFonts w:ascii="IRNazanin" w:hAnsi="IRNazanin" w:eastAsia="IRNazanin" w:cs="IRNazanin"/>
            <w:color w:val="111111"/>
            <w:sz w:val="22"/>
            <w:szCs w:val="22"/>
            <w:b w:val="0"/>
            <w:bCs w:val="0"/>
            <w:i w:val="0"/>
            <w:iCs w:val="0"/>
          </w:rPr>
          <w:t>طباطبائي كربلائي ، علي بن محمّد علي</w:t>
        </w:r>
        <w:r>
          <w:tab/>
        </w:r>
        <w:r>
          <w:fldChar w:fldCharType="begin"/>
        </w:r>
        <w:r>
          <w:instrText xml:space="preserve">PAGEREF 4662 \h</w:instrText>
        </w:r>
        <w:r>
          <w:fldChar w:fldCharType="end"/>
        </w:r>
      </w:hyperlink>
    </w:p>
    <w:p>
      <w:pPr>
        <w:tabs>
          <w:tab w:val="right" w:leader="dot" w:pos="9062"/>
        </w:tabs>
        <w:ind w:left="220"/>
      </w:pPr>
      <w:hyperlink w:anchor="_Toc4663" w:history="1">
        <w:r>
          <w:rPr>
            <w:rFonts w:ascii="IRNazanin" w:hAnsi="IRNazanin" w:eastAsia="IRNazanin" w:cs="IRNazanin"/>
            <w:color w:val="111111"/>
            <w:sz w:val="22"/>
            <w:szCs w:val="22"/>
            <w:b w:val="0"/>
            <w:bCs w:val="0"/>
            <w:i w:val="0"/>
            <w:iCs w:val="0"/>
          </w:rPr>
          <w:t>طباطبائي ، كريم بن حسين</w:t>
        </w:r>
        <w:r>
          <w:tab/>
        </w:r>
        <w:r>
          <w:fldChar w:fldCharType="begin"/>
        </w:r>
        <w:r>
          <w:instrText xml:space="preserve">PAGEREF 4663 \h</w:instrText>
        </w:r>
        <w:r>
          <w:fldChar w:fldCharType="end"/>
        </w:r>
      </w:hyperlink>
    </w:p>
    <w:p>
      <w:pPr>
        <w:tabs>
          <w:tab w:val="right" w:leader="dot" w:pos="9062"/>
        </w:tabs>
        <w:ind w:left="220"/>
      </w:pPr>
      <w:hyperlink w:anchor="_Toc4664" w:history="1">
        <w:r>
          <w:rPr>
            <w:rFonts w:ascii="IRNazanin" w:hAnsi="IRNazanin" w:eastAsia="IRNazanin" w:cs="IRNazanin"/>
            <w:color w:val="111111"/>
            <w:sz w:val="22"/>
            <w:szCs w:val="22"/>
            <w:b w:val="0"/>
            <w:bCs w:val="0"/>
            <w:i w:val="0"/>
            <w:iCs w:val="0"/>
          </w:rPr>
          <w:t>طباطبائي ، محمّد</w:t>
        </w:r>
        <w:r>
          <w:tab/>
        </w:r>
        <w:r>
          <w:fldChar w:fldCharType="begin"/>
        </w:r>
        <w:r>
          <w:instrText xml:space="preserve">PAGEREF 4664 \h</w:instrText>
        </w:r>
        <w:r>
          <w:fldChar w:fldCharType="end"/>
        </w:r>
      </w:hyperlink>
    </w:p>
    <w:p>
      <w:pPr>
        <w:tabs>
          <w:tab w:val="right" w:leader="dot" w:pos="9062"/>
        </w:tabs>
        <w:ind w:left="220"/>
      </w:pPr>
      <w:hyperlink w:anchor="_Toc4665" w:history="1">
        <w:r>
          <w:rPr>
            <w:rFonts w:ascii="IRNazanin" w:hAnsi="IRNazanin" w:eastAsia="IRNazanin" w:cs="IRNazanin"/>
            <w:color w:val="111111"/>
            <w:sz w:val="22"/>
            <w:szCs w:val="22"/>
            <w:b w:val="0"/>
            <w:bCs w:val="0"/>
            <w:i w:val="0"/>
            <w:iCs w:val="0"/>
          </w:rPr>
          <w:t>طباطبائي ، محمّد بن علي، 1180 - 1242</w:t>
        </w:r>
        <w:r>
          <w:tab/>
        </w:r>
        <w:r>
          <w:fldChar w:fldCharType="begin"/>
        </w:r>
        <w:r>
          <w:instrText xml:space="preserve">PAGEREF 4665 \h</w:instrText>
        </w:r>
        <w:r>
          <w:fldChar w:fldCharType="end"/>
        </w:r>
      </w:hyperlink>
    </w:p>
    <w:p>
      <w:pPr>
        <w:tabs>
          <w:tab w:val="right" w:leader="dot" w:pos="9062"/>
        </w:tabs>
        <w:ind w:left="220"/>
      </w:pPr>
      <w:hyperlink w:anchor="_Toc4666" w:history="1">
        <w:r>
          <w:rPr>
            <w:rFonts w:ascii="IRNazanin" w:hAnsi="IRNazanin" w:eastAsia="IRNazanin" w:cs="IRNazanin"/>
            <w:color w:val="111111"/>
            <w:sz w:val="22"/>
            <w:szCs w:val="22"/>
            <w:b w:val="0"/>
            <w:bCs w:val="0"/>
            <w:i w:val="0"/>
            <w:iCs w:val="0"/>
          </w:rPr>
          <w:t>طباطبائي، محمّد بن علي قرن 14 ه-</w:t>
        </w:r>
        <w:r>
          <w:tab/>
        </w:r>
        <w:r>
          <w:fldChar w:fldCharType="begin"/>
        </w:r>
        <w:r>
          <w:instrText xml:space="preserve">PAGEREF 4666 \h</w:instrText>
        </w:r>
        <w:r>
          <w:fldChar w:fldCharType="end"/>
        </w:r>
      </w:hyperlink>
    </w:p>
    <w:p>
      <w:pPr>
        <w:tabs>
          <w:tab w:val="right" w:leader="dot" w:pos="9062"/>
        </w:tabs>
        <w:ind w:left="220"/>
      </w:pPr>
      <w:hyperlink w:anchor="_Toc4667" w:history="1">
        <w:r>
          <w:rPr>
            <w:rFonts w:ascii="IRNazanin" w:hAnsi="IRNazanin" w:eastAsia="IRNazanin" w:cs="IRNazanin"/>
            <w:color w:val="111111"/>
            <w:sz w:val="22"/>
            <w:szCs w:val="22"/>
            <w:b w:val="0"/>
            <w:bCs w:val="0"/>
            <w:i w:val="0"/>
            <w:iCs w:val="0"/>
          </w:rPr>
          <w:t>طباطبائي ، محمّد بن علي، 1180 - 1242</w:t>
        </w:r>
        <w:r>
          <w:tab/>
        </w:r>
        <w:r>
          <w:fldChar w:fldCharType="begin"/>
        </w:r>
        <w:r>
          <w:instrText xml:space="preserve">PAGEREF 4667 \h</w:instrText>
        </w:r>
        <w:r>
          <w:fldChar w:fldCharType="end"/>
        </w:r>
      </w:hyperlink>
    </w:p>
    <w:p>
      <w:pPr>
        <w:tabs>
          <w:tab w:val="right" w:leader="dot" w:pos="9062"/>
        </w:tabs>
        <w:ind w:left="220"/>
      </w:pPr>
      <w:hyperlink w:anchor="_Toc4668" w:history="1">
        <w:r>
          <w:rPr>
            <w:rFonts w:ascii="IRNazanin" w:hAnsi="IRNazanin" w:eastAsia="IRNazanin" w:cs="IRNazanin"/>
            <w:color w:val="111111"/>
            <w:sz w:val="22"/>
            <w:szCs w:val="22"/>
            <w:b w:val="0"/>
            <w:bCs w:val="0"/>
            <w:i w:val="0"/>
            <w:iCs w:val="0"/>
          </w:rPr>
          <w:t>طباطبائي، محمّد سعيد بن قاسم، 1012</w:t>
        </w:r>
        <w:r>
          <w:tab/>
        </w:r>
        <w:r>
          <w:fldChar w:fldCharType="begin"/>
        </w:r>
        <w:r>
          <w:instrText xml:space="preserve">PAGEREF 4668 \h</w:instrText>
        </w:r>
        <w:r>
          <w:fldChar w:fldCharType="end"/>
        </w:r>
      </w:hyperlink>
    </w:p>
    <w:p>
      <w:pPr>
        <w:tabs>
          <w:tab w:val="right" w:leader="dot" w:pos="9062"/>
        </w:tabs>
        <w:ind w:left="220"/>
      </w:pPr>
      <w:hyperlink w:anchor="_Toc4669" w:history="1">
        <w:r>
          <w:rPr>
            <w:rFonts w:ascii="IRNazanin" w:hAnsi="IRNazanin" w:eastAsia="IRNazanin" w:cs="IRNazanin"/>
            <w:color w:val="111111"/>
            <w:sz w:val="22"/>
            <w:szCs w:val="22"/>
            <w:b w:val="0"/>
            <w:bCs w:val="0"/>
            <w:i w:val="0"/>
            <w:iCs w:val="0"/>
          </w:rPr>
          <w:t>طباطبائي، محمّد صادق</w:t>
        </w:r>
        <w:r>
          <w:tab/>
        </w:r>
        <w:r>
          <w:fldChar w:fldCharType="begin"/>
        </w:r>
        <w:r>
          <w:instrText xml:space="preserve">PAGEREF 4669 \h</w:instrText>
        </w:r>
        <w:r>
          <w:fldChar w:fldCharType="end"/>
        </w:r>
      </w:hyperlink>
    </w:p>
    <w:p>
      <w:pPr>
        <w:tabs>
          <w:tab w:val="right" w:leader="dot" w:pos="9062"/>
        </w:tabs>
        <w:ind w:left="220"/>
      </w:pPr>
      <w:hyperlink w:anchor="_Toc4670" w:history="1">
        <w:r>
          <w:rPr>
            <w:rFonts w:ascii="IRNazanin" w:hAnsi="IRNazanin" w:eastAsia="IRNazanin" w:cs="IRNazanin"/>
            <w:color w:val="111111"/>
            <w:sz w:val="22"/>
            <w:szCs w:val="22"/>
            <w:b w:val="0"/>
            <w:bCs w:val="0"/>
            <w:i w:val="0"/>
            <w:iCs w:val="0"/>
          </w:rPr>
          <w:t>طباطبائي ، محمّد مسیح بن محمّد امین</w:t>
        </w:r>
        <w:r>
          <w:tab/>
        </w:r>
        <w:r>
          <w:fldChar w:fldCharType="begin"/>
        </w:r>
        <w:r>
          <w:instrText xml:space="preserve">PAGEREF 4670 \h</w:instrText>
        </w:r>
        <w:r>
          <w:fldChar w:fldCharType="end"/>
        </w:r>
      </w:hyperlink>
    </w:p>
    <w:p>
      <w:pPr>
        <w:tabs>
          <w:tab w:val="right" w:leader="dot" w:pos="9062"/>
        </w:tabs>
        <w:ind w:left="220"/>
      </w:pPr>
      <w:hyperlink w:anchor="_Toc4671" w:history="1">
        <w:r>
          <w:rPr>
            <w:rFonts w:ascii="IRNazanin" w:hAnsi="IRNazanin" w:eastAsia="IRNazanin" w:cs="IRNazanin"/>
            <w:color w:val="111111"/>
            <w:sz w:val="22"/>
            <w:szCs w:val="22"/>
            <w:b w:val="0"/>
            <w:bCs w:val="0"/>
            <w:i w:val="0"/>
            <w:iCs w:val="0"/>
          </w:rPr>
          <w:t>طباطبائي ، محمّد مهدي</w:t>
        </w:r>
        <w:r>
          <w:tab/>
        </w:r>
        <w:r>
          <w:fldChar w:fldCharType="begin"/>
        </w:r>
        <w:r>
          <w:instrText xml:space="preserve">PAGEREF 4671 \h</w:instrText>
        </w:r>
        <w:r>
          <w:fldChar w:fldCharType="end"/>
        </w:r>
      </w:hyperlink>
    </w:p>
    <w:p>
      <w:pPr>
        <w:tabs>
          <w:tab w:val="right" w:leader="dot" w:pos="9062"/>
        </w:tabs>
        <w:ind w:left="220"/>
      </w:pPr>
      <w:hyperlink w:anchor="_Toc4672" w:history="1">
        <w:r>
          <w:rPr>
            <w:rFonts w:ascii="IRNazanin" w:hAnsi="IRNazanin" w:eastAsia="IRNazanin" w:cs="IRNazanin"/>
            <w:color w:val="111111"/>
            <w:sz w:val="22"/>
            <w:szCs w:val="22"/>
            <w:b w:val="0"/>
            <w:bCs w:val="0"/>
            <w:i w:val="0"/>
            <w:iCs w:val="0"/>
          </w:rPr>
          <w:t>طباطبائي ، مهدي</w:t>
        </w:r>
        <w:r>
          <w:tab/>
        </w:r>
        <w:r>
          <w:fldChar w:fldCharType="begin"/>
        </w:r>
        <w:r>
          <w:instrText xml:space="preserve">PAGEREF 4672 \h</w:instrText>
        </w:r>
        <w:r>
          <w:fldChar w:fldCharType="end"/>
        </w:r>
      </w:hyperlink>
    </w:p>
    <w:p>
      <w:pPr>
        <w:tabs>
          <w:tab w:val="right" w:leader="dot" w:pos="9062"/>
        </w:tabs>
        <w:ind w:left="220"/>
      </w:pPr>
      <w:hyperlink w:anchor="_Toc4673" w:history="1">
        <w:r>
          <w:rPr>
            <w:rFonts w:ascii="IRNazanin" w:hAnsi="IRNazanin" w:eastAsia="IRNazanin" w:cs="IRNazanin"/>
            <w:color w:val="111111"/>
            <w:sz w:val="22"/>
            <w:szCs w:val="22"/>
            <w:b w:val="0"/>
            <w:bCs w:val="0"/>
            <w:i w:val="0"/>
            <w:iCs w:val="0"/>
          </w:rPr>
          <w:t>طباطبائي ، مهدي بن محمّد باقر</w:t>
        </w:r>
        <w:r>
          <w:tab/>
        </w:r>
        <w:r>
          <w:fldChar w:fldCharType="begin"/>
        </w:r>
        <w:r>
          <w:instrText xml:space="preserve">PAGEREF 4673 \h</w:instrText>
        </w:r>
        <w:r>
          <w:fldChar w:fldCharType="end"/>
        </w:r>
      </w:hyperlink>
    </w:p>
    <w:p>
      <w:pPr>
        <w:tabs>
          <w:tab w:val="right" w:leader="dot" w:pos="9062"/>
        </w:tabs>
        <w:ind w:left="220"/>
      </w:pPr>
      <w:hyperlink w:anchor="_Toc4674" w:history="1">
        <w:r>
          <w:rPr>
            <w:rFonts w:ascii="IRNazanin" w:hAnsi="IRNazanin" w:eastAsia="IRNazanin" w:cs="IRNazanin"/>
            <w:color w:val="111111"/>
            <w:sz w:val="22"/>
            <w:szCs w:val="22"/>
            <w:b w:val="0"/>
            <w:bCs w:val="0"/>
            <w:i w:val="0"/>
            <w:iCs w:val="0"/>
          </w:rPr>
          <w:t>طباطبائي يزدي ، عبد العزيز بن جواد 1308 - 1374 ش</w:t>
        </w:r>
        <w:r>
          <w:tab/>
        </w:r>
        <w:r>
          <w:fldChar w:fldCharType="begin"/>
        </w:r>
        <w:r>
          <w:instrText xml:space="preserve">PAGEREF 4674 \h</w:instrText>
        </w:r>
        <w:r>
          <w:fldChar w:fldCharType="end"/>
        </w:r>
      </w:hyperlink>
    </w:p>
    <w:p>
      <w:pPr>
        <w:tabs>
          <w:tab w:val="right" w:leader="dot" w:pos="9062"/>
        </w:tabs>
        <w:ind w:left="220"/>
      </w:pPr>
      <w:hyperlink w:anchor="_Toc4675" w:history="1">
        <w:r>
          <w:rPr>
            <w:rFonts w:ascii="IRNazanin" w:hAnsi="IRNazanin" w:eastAsia="IRNazanin" w:cs="IRNazanin"/>
            <w:color w:val="111111"/>
            <w:sz w:val="22"/>
            <w:szCs w:val="22"/>
            <w:b w:val="0"/>
            <w:bCs w:val="0"/>
            <w:i w:val="0"/>
            <w:iCs w:val="0"/>
          </w:rPr>
          <w:t>طباطبي ، ياسين بن ابراهيم</w:t>
        </w:r>
        <w:r>
          <w:tab/>
        </w:r>
        <w:r>
          <w:fldChar w:fldCharType="begin"/>
        </w:r>
        <w:r>
          <w:instrText xml:space="preserve">PAGEREF 4675 \h</w:instrText>
        </w:r>
        <w:r>
          <w:fldChar w:fldCharType="end"/>
        </w:r>
      </w:hyperlink>
    </w:p>
    <w:p>
      <w:pPr>
        <w:tabs>
          <w:tab w:val="right" w:leader="dot" w:pos="9062"/>
        </w:tabs>
        <w:ind w:left="220"/>
      </w:pPr>
      <w:hyperlink w:anchor="_Toc4676" w:history="1">
        <w:r>
          <w:rPr>
            <w:rFonts w:ascii="IRNazanin" w:hAnsi="IRNazanin" w:eastAsia="IRNazanin" w:cs="IRNazanin"/>
            <w:color w:val="111111"/>
            <w:sz w:val="22"/>
            <w:szCs w:val="22"/>
            <w:b w:val="0"/>
            <w:bCs w:val="0"/>
            <w:i w:val="0"/>
            <w:iCs w:val="0"/>
          </w:rPr>
          <w:t>طبراني، سليمان بن احمد، 260 - 360 ه-</w:t>
        </w:r>
        <w:r>
          <w:tab/>
        </w:r>
        <w:r>
          <w:fldChar w:fldCharType="begin"/>
        </w:r>
        <w:r>
          <w:instrText xml:space="preserve">PAGEREF 4676 \h</w:instrText>
        </w:r>
        <w:r>
          <w:fldChar w:fldCharType="end"/>
        </w:r>
      </w:hyperlink>
    </w:p>
    <w:p>
      <w:pPr>
        <w:tabs>
          <w:tab w:val="right" w:leader="dot" w:pos="9062"/>
        </w:tabs>
        <w:ind w:left="220"/>
      </w:pPr>
      <w:hyperlink w:anchor="_Toc4677" w:history="1">
        <w:r>
          <w:rPr>
            <w:rFonts w:ascii="IRNazanin" w:hAnsi="IRNazanin" w:eastAsia="IRNazanin" w:cs="IRNazanin"/>
            <w:color w:val="111111"/>
            <w:sz w:val="22"/>
            <w:szCs w:val="22"/>
            <w:b w:val="0"/>
            <w:bCs w:val="0"/>
            <w:i w:val="0"/>
            <w:iCs w:val="0"/>
          </w:rPr>
          <w:t>طبرسي ، احمد بن علي - 620 ؟ ه-</w:t>
        </w:r>
        <w:r>
          <w:tab/>
        </w:r>
        <w:r>
          <w:fldChar w:fldCharType="begin"/>
        </w:r>
        <w:r>
          <w:instrText xml:space="preserve">PAGEREF 4677 \h</w:instrText>
        </w:r>
        <w:r>
          <w:fldChar w:fldCharType="end"/>
        </w:r>
      </w:hyperlink>
    </w:p>
    <w:p>
      <w:pPr>
        <w:tabs>
          <w:tab w:val="right" w:leader="dot" w:pos="9062"/>
        </w:tabs>
        <w:ind w:left="220"/>
      </w:pPr>
      <w:hyperlink w:anchor="_Toc4678" w:history="1">
        <w:r>
          <w:rPr>
            <w:rFonts w:ascii="IRNazanin" w:hAnsi="IRNazanin" w:eastAsia="IRNazanin" w:cs="IRNazanin"/>
            <w:color w:val="111111"/>
            <w:sz w:val="22"/>
            <w:szCs w:val="22"/>
            <w:b w:val="0"/>
            <w:bCs w:val="0"/>
            <w:i w:val="0"/>
            <w:iCs w:val="0"/>
          </w:rPr>
          <w:t>طبرسي، حسن بن فضل قرن 6 ه-</w:t>
        </w:r>
        <w:r>
          <w:tab/>
        </w:r>
        <w:r>
          <w:fldChar w:fldCharType="begin"/>
        </w:r>
        <w:r>
          <w:instrText xml:space="preserve">PAGEREF 4678 \h</w:instrText>
        </w:r>
        <w:r>
          <w:fldChar w:fldCharType="end"/>
        </w:r>
      </w:hyperlink>
    </w:p>
    <w:p>
      <w:pPr>
        <w:tabs>
          <w:tab w:val="right" w:leader="dot" w:pos="9062"/>
        </w:tabs>
        <w:ind w:left="220"/>
      </w:pPr>
      <w:hyperlink w:anchor="_Toc4679" w:history="1">
        <w:r>
          <w:rPr>
            <w:rFonts w:ascii="IRNazanin" w:hAnsi="IRNazanin" w:eastAsia="IRNazanin" w:cs="IRNazanin"/>
            <w:color w:val="111111"/>
            <w:sz w:val="22"/>
            <w:szCs w:val="22"/>
            <w:b w:val="0"/>
            <w:bCs w:val="0"/>
            <w:i w:val="0"/>
            <w:iCs w:val="0"/>
          </w:rPr>
          <w:t>طبرسي، حسين بن محمّد تقي قرن 13</w:t>
        </w:r>
        <w:r>
          <w:tab/>
        </w:r>
        <w:r>
          <w:fldChar w:fldCharType="begin"/>
        </w:r>
        <w:r>
          <w:instrText xml:space="preserve">PAGEREF 4679 \h</w:instrText>
        </w:r>
        <w:r>
          <w:fldChar w:fldCharType="end"/>
        </w:r>
      </w:hyperlink>
    </w:p>
    <w:p>
      <w:pPr>
        <w:tabs>
          <w:tab w:val="right" w:leader="dot" w:pos="9062"/>
        </w:tabs>
        <w:ind w:left="220"/>
      </w:pPr>
      <w:hyperlink w:anchor="_Toc4680" w:history="1">
        <w:r>
          <w:rPr>
            <w:rFonts w:ascii="IRNazanin" w:hAnsi="IRNazanin" w:eastAsia="IRNazanin" w:cs="IRNazanin"/>
            <w:color w:val="111111"/>
            <w:sz w:val="22"/>
            <w:szCs w:val="22"/>
            <w:b w:val="0"/>
            <w:bCs w:val="0"/>
            <w:i w:val="0"/>
            <w:iCs w:val="0"/>
          </w:rPr>
          <w:t>१ طبرسي، علي بن حسن ، قرن 7 ه-</w:t>
        </w:r>
        <w:r>
          <w:tab/>
        </w:r>
        <w:r>
          <w:fldChar w:fldCharType="begin"/>
        </w:r>
        <w:r>
          <w:instrText xml:space="preserve">PAGEREF 4680 \h</w:instrText>
        </w:r>
        <w:r>
          <w:fldChar w:fldCharType="end"/>
        </w:r>
      </w:hyperlink>
    </w:p>
    <w:p>
      <w:pPr>
        <w:tabs>
          <w:tab w:val="right" w:leader="dot" w:pos="9062"/>
        </w:tabs>
        <w:ind w:left="220"/>
      </w:pPr>
      <w:hyperlink w:anchor="_Toc4681" w:history="1">
        <w:r>
          <w:rPr>
            <w:rFonts w:ascii="IRNazanin" w:hAnsi="IRNazanin" w:eastAsia="IRNazanin" w:cs="IRNazanin"/>
            <w:color w:val="111111"/>
            <w:sz w:val="22"/>
            <w:szCs w:val="22"/>
            <w:b w:val="0"/>
            <w:bCs w:val="0"/>
            <w:i w:val="0"/>
            <w:iCs w:val="0"/>
          </w:rPr>
          <w:t>طبرسي، فضل بن حسن، 468 - 548 ؟</w:t>
        </w:r>
        <w:r>
          <w:tab/>
        </w:r>
        <w:r>
          <w:fldChar w:fldCharType="begin"/>
        </w:r>
        <w:r>
          <w:instrText xml:space="preserve">PAGEREF 4681 \h</w:instrText>
        </w:r>
        <w:r>
          <w:fldChar w:fldCharType="end"/>
        </w:r>
      </w:hyperlink>
    </w:p>
    <w:p>
      <w:pPr>
        <w:tabs>
          <w:tab w:val="right" w:leader="dot" w:pos="9062"/>
        </w:tabs>
        <w:ind w:left="220"/>
      </w:pPr>
      <w:hyperlink w:anchor="_Toc4682" w:history="1">
        <w:r>
          <w:rPr>
            <w:rFonts w:ascii="IRNazanin" w:hAnsi="IRNazanin" w:eastAsia="IRNazanin" w:cs="IRNazanin"/>
            <w:color w:val="111111"/>
            <w:sz w:val="22"/>
            <w:szCs w:val="22"/>
            <w:b w:val="0"/>
            <w:bCs w:val="0"/>
            <w:i w:val="0"/>
            <w:iCs w:val="0"/>
          </w:rPr>
          <w:t>طبرسي، محمّد صالح</w:t>
        </w:r>
        <w:r>
          <w:tab/>
        </w:r>
        <w:r>
          <w:fldChar w:fldCharType="begin"/>
        </w:r>
        <w:r>
          <w:instrText xml:space="preserve">PAGEREF 4682 \h</w:instrText>
        </w:r>
        <w:r>
          <w:fldChar w:fldCharType="end"/>
        </w:r>
      </w:hyperlink>
    </w:p>
    <w:p>
      <w:pPr>
        <w:tabs>
          <w:tab w:val="right" w:leader="dot" w:pos="9062"/>
        </w:tabs>
        <w:ind w:left="220"/>
      </w:pPr>
      <w:hyperlink w:anchor="_Toc4683" w:history="1">
        <w:r>
          <w:rPr>
            <w:rFonts w:ascii="IRNazanin" w:hAnsi="IRNazanin" w:eastAsia="IRNazanin" w:cs="IRNazanin"/>
            <w:color w:val="111111"/>
            <w:sz w:val="22"/>
            <w:szCs w:val="22"/>
            <w:b w:val="0"/>
            <w:bCs w:val="0"/>
            <w:i w:val="0"/>
            <w:iCs w:val="0"/>
          </w:rPr>
          <w:t>طبري آملي ، محمّد بن جریر، قرن 5 ه-</w:t>
        </w:r>
        <w:r>
          <w:tab/>
        </w:r>
        <w:r>
          <w:fldChar w:fldCharType="begin"/>
        </w:r>
        <w:r>
          <w:instrText xml:space="preserve">PAGEREF 4683 \h</w:instrText>
        </w:r>
        <w:r>
          <w:fldChar w:fldCharType="end"/>
        </w:r>
      </w:hyperlink>
    </w:p>
    <w:p>
      <w:pPr>
        <w:tabs>
          <w:tab w:val="right" w:leader="dot" w:pos="9062"/>
        </w:tabs>
        <w:ind w:left="220"/>
      </w:pPr>
      <w:hyperlink w:anchor="_Toc4684" w:history="1">
        <w:r>
          <w:rPr>
            <w:rFonts w:ascii="IRNazanin" w:hAnsi="IRNazanin" w:eastAsia="IRNazanin" w:cs="IRNazanin"/>
            <w:color w:val="111111"/>
            <w:sz w:val="22"/>
            <w:szCs w:val="22"/>
            <w:b w:val="0"/>
            <w:bCs w:val="0"/>
            <w:i w:val="0"/>
            <w:iCs w:val="0"/>
          </w:rPr>
          <w:t>طبري آملي ، محمّد بن علي، قرن 6 ه-</w:t>
        </w:r>
        <w:r>
          <w:tab/>
        </w:r>
        <w:r>
          <w:fldChar w:fldCharType="begin"/>
        </w:r>
        <w:r>
          <w:instrText xml:space="preserve">PAGEREF 4684 \h</w:instrText>
        </w:r>
        <w:r>
          <w:fldChar w:fldCharType="end"/>
        </w:r>
      </w:hyperlink>
    </w:p>
    <w:p>
      <w:pPr>
        <w:tabs>
          <w:tab w:val="right" w:leader="dot" w:pos="9062"/>
        </w:tabs>
        <w:ind w:left="220"/>
      </w:pPr>
      <w:hyperlink w:anchor="_Toc4685" w:history="1">
        <w:r>
          <w:rPr>
            <w:rFonts w:ascii="IRNazanin" w:hAnsi="IRNazanin" w:eastAsia="IRNazanin" w:cs="IRNazanin"/>
            <w:color w:val="111111"/>
            <w:sz w:val="22"/>
            <w:szCs w:val="22"/>
            <w:b w:val="0"/>
            <w:bCs w:val="0"/>
            <w:i w:val="0"/>
            <w:iCs w:val="0"/>
          </w:rPr>
          <w:t>طبري، احمد بن ابي احمد - 335 ؟ ه-</w:t>
        </w:r>
        <w:r>
          <w:tab/>
        </w:r>
        <w:r>
          <w:fldChar w:fldCharType="begin"/>
        </w:r>
        <w:r>
          <w:instrText xml:space="preserve">PAGEREF 4685 \h</w:instrText>
        </w:r>
        <w:r>
          <w:fldChar w:fldCharType="end"/>
        </w:r>
      </w:hyperlink>
    </w:p>
    <w:p>
      <w:pPr>
        <w:tabs>
          <w:tab w:val="right" w:leader="dot" w:pos="9062"/>
        </w:tabs>
        <w:ind w:left="220"/>
      </w:pPr>
      <w:hyperlink w:anchor="_Toc4686" w:history="1">
        <w:r>
          <w:rPr>
            <w:rFonts w:ascii="IRNazanin" w:hAnsi="IRNazanin" w:eastAsia="IRNazanin" w:cs="IRNazanin"/>
            <w:color w:val="111111"/>
            <w:sz w:val="22"/>
            <w:szCs w:val="22"/>
            <w:b w:val="0"/>
            <w:bCs w:val="0"/>
            <w:i w:val="0"/>
            <w:iCs w:val="0"/>
          </w:rPr>
          <w:t>طبري ، احمد بن عبدالله 615 - 694 ه-</w:t>
        </w:r>
        <w:r>
          <w:tab/>
        </w:r>
        <w:r>
          <w:fldChar w:fldCharType="begin"/>
        </w:r>
        <w:r>
          <w:instrText xml:space="preserve">PAGEREF 4686 \h</w:instrText>
        </w:r>
        <w:r>
          <w:fldChar w:fldCharType="end"/>
        </w:r>
      </w:hyperlink>
    </w:p>
    <w:p>
      <w:pPr>
        <w:tabs>
          <w:tab w:val="right" w:leader="dot" w:pos="9062"/>
        </w:tabs>
        <w:ind w:left="220"/>
      </w:pPr>
      <w:hyperlink w:anchor="_Toc4687" w:history="1">
        <w:r>
          <w:rPr>
            <w:rFonts w:ascii="IRNazanin" w:hAnsi="IRNazanin" w:eastAsia="IRNazanin" w:cs="IRNazanin"/>
            <w:color w:val="111111"/>
            <w:sz w:val="22"/>
            <w:szCs w:val="22"/>
            <w:b w:val="0"/>
            <w:bCs w:val="0"/>
            <w:i w:val="0"/>
            <w:iCs w:val="0"/>
          </w:rPr>
          <w:t>طبري، احمد بن محمّد - 366 ؟ ه-</w:t>
        </w:r>
        <w:r>
          <w:tab/>
        </w:r>
        <w:r>
          <w:fldChar w:fldCharType="begin"/>
        </w:r>
        <w:r>
          <w:instrText xml:space="preserve">PAGEREF 4687 \h</w:instrText>
        </w:r>
        <w:r>
          <w:fldChar w:fldCharType="end"/>
        </w:r>
      </w:hyperlink>
    </w:p>
    <w:p>
      <w:pPr>
        <w:tabs>
          <w:tab w:val="right" w:leader="dot" w:pos="9062"/>
        </w:tabs>
        <w:ind w:left="220"/>
      </w:pPr>
      <w:hyperlink w:anchor="_Toc4688" w:history="1">
        <w:r>
          <w:rPr>
            <w:rFonts w:ascii="IRNazanin" w:hAnsi="IRNazanin" w:eastAsia="IRNazanin" w:cs="IRNazanin"/>
            <w:color w:val="111111"/>
            <w:sz w:val="22"/>
            <w:szCs w:val="22"/>
            <w:b w:val="0"/>
            <w:bCs w:val="0"/>
            <w:i w:val="0"/>
            <w:iCs w:val="0"/>
          </w:rPr>
          <w:t>طبري ، حسن بن علي ، قرن 7 ه-</w:t>
        </w:r>
        <w:r>
          <w:tab/>
        </w:r>
        <w:r>
          <w:fldChar w:fldCharType="begin"/>
        </w:r>
        <w:r>
          <w:instrText xml:space="preserve">PAGEREF 4688 \h</w:instrText>
        </w:r>
        <w:r>
          <w:fldChar w:fldCharType="end"/>
        </w:r>
      </w:hyperlink>
    </w:p>
    <w:p>
      <w:pPr>
        <w:tabs>
          <w:tab w:val="right" w:leader="dot" w:pos="9062"/>
        </w:tabs>
        <w:ind w:left="220"/>
      </w:pPr>
      <w:hyperlink w:anchor="_Toc4689" w:history="1">
        <w:r>
          <w:rPr>
            <w:rFonts w:ascii="IRNazanin" w:hAnsi="IRNazanin" w:eastAsia="IRNazanin" w:cs="IRNazanin"/>
            <w:color w:val="111111"/>
            <w:sz w:val="22"/>
            <w:szCs w:val="22"/>
            <w:b w:val="0"/>
            <w:bCs w:val="0"/>
            <w:i w:val="0"/>
            <w:iCs w:val="0"/>
          </w:rPr>
          <w:t>طبري رازي ، هبة الله بن حسن - 418</w:t>
        </w:r>
        <w:r>
          <w:tab/>
        </w:r>
        <w:r>
          <w:fldChar w:fldCharType="begin"/>
        </w:r>
        <w:r>
          <w:instrText xml:space="preserve">PAGEREF 4689 \h</w:instrText>
        </w:r>
        <w:r>
          <w:fldChar w:fldCharType="end"/>
        </w:r>
      </w:hyperlink>
    </w:p>
    <w:p>
      <w:pPr>
        <w:tabs>
          <w:tab w:val="right" w:leader="dot" w:pos="9062"/>
        </w:tabs>
        <w:ind w:left="220"/>
      </w:pPr>
      <w:hyperlink w:anchor="_Toc4690" w:history="1">
        <w:r>
          <w:rPr>
            <w:rFonts w:ascii="IRNazanin" w:hAnsi="IRNazanin" w:eastAsia="IRNazanin" w:cs="IRNazanin"/>
            <w:color w:val="111111"/>
            <w:sz w:val="22"/>
            <w:szCs w:val="22"/>
            <w:b w:val="0"/>
            <w:bCs w:val="0"/>
            <w:i w:val="0"/>
            <w:iCs w:val="0"/>
          </w:rPr>
          <w:t>طبري، طاهر بن عبد الله، 348 - 450 ه-</w:t>
        </w:r>
        <w:r>
          <w:tab/>
        </w:r>
        <w:r>
          <w:fldChar w:fldCharType="begin"/>
        </w:r>
        <w:r>
          <w:instrText xml:space="preserve">PAGEREF 4690 \h</w:instrText>
        </w:r>
        <w:r>
          <w:fldChar w:fldCharType="end"/>
        </w:r>
      </w:hyperlink>
    </w:p>
    <w:p>
      <w:pPr>
        <w:tabs>
          <w:tab w:val="right" w:leader="dot" w:pos="9062"/>
        </w:tabs>
        <w:ind w:left="220"/>
      </w:pPr>
      <w:hyperlink w:anchor="_Toc4691" w:history="1">
        <w:r>
          <w:rPr>
            <w:rFonts w:ascii="IRNazanin" w:hAnsi="IRNazanin" w:eastAsia="IRNazanin" w:cs="IRNazanin"/>
            <w:color w:val="111111"/>
            <w:sz w:val="22"/>
            <w:szCs w:val="22"/>
            <w:b w:val="0"/>
            <w:bCs w:val="0"/>
            <w:i w:val="0"/>
            <w:iCs w:val="0"/>
          </w:rPr>
          <w:t>طبري، عبد القادر</w:t>
        </w:r>
        <w:r>
          <w:tab/>
        </w:r>
        <w:r>
          <w:fldChar w:fldCharType="begin"/>
        </w:r>
        <w:r>
          <w:instrText xml:space="preserve">PAGEREF 4691 \h</w:instrText>
        </w:r>
        <w:r>
          <w:fldChar w:fldCharType="end"/>
        </w:r>
      </w:hyperlink>
    </w:p>
    <w:p>
      <w:pPr>
        <w:tabs>
          <w:tab w:val="right" w:leader="dot" w:pos="9062"/>
        </w:tabs>
        <w:ind w:left="220"/>
      </w:pPr>
      <w:hyperlink w:anchor="_Toc4692" w:history="1">
        <w:r>
          <w:rPr>
            <w:rFonts w:ascii="IRNazanin" w:hAnsi="IRNazanin" w:eastAsia="IRNazanin" w:cs="IRNazanin"/>
            <w:color w:val="111111"/>
            <w:sz w:val="22"/>
            <w:szCs w:val="22"/>
            <w:b w:val="0"/>
            <w:bCs w:val="0"/>
            <w:i w:val="0"/>
            <w:iCs w:val="0"/>
          </w:rPr>
          <w:t>طبري، عبد القادر بن محمّد 976؟</w:t>
        </w:r>
        <w:r>
          <w:tab/>
        </w:r>
        <w:r>
          <w:fldChar w:fldCharType="begin"/>
        </w:r>
        <w:r>
          <w:instrText xml:space="preserve">PAGEREF 4692 \h</w:instrText>
        </w:r>
        <w:r>
          <w:fldChar w:fldCharType="end"/>
        </w:r>
      </w:hyperlink>
    </w:p>
    <w:p>
      <w:pPr>
        <w:tabs>
          <w:tab w:val="right" w:leader="dot" w:pos="9062"/>
        </w:tabs>
        <w:ind w:left="220"/>
      </w:pPr>
      <w:hyperlink w:anchor="_Toc4693" w:history="1">
        <w:r>
          <w:rPr>
            <w:rFonts w:ascii="IRNazanin" w:hAnsi="IRNazanin" w:eastAsia="IRNazanin" w:cs="IRNazanin"/>
            <w:color w:val="111111"/>
            <w:sz w:val="22"/>
            <w:szCs w:val="22"/>
            <w:b w:val="0"/>
            <w:bCs w:val="0"/>
            <w:i w:val="0"/>
            <w:iCs w:val="0"/>
          </w:rPr>
          <w:t>طبري، علي بن سهل - 247 ؟ ه-</w:t>
        </w:r>
        <w:r>
          <w:tab/>
        </w:r>
        <w:r>
          <w:fldChar w:fldCharType="begin"/>
        </w:r>
        <w:r>
          <w:instrText xml:space="preserve">PAGEREF 4693 \h</w:instrText>
        </w:r>
        <w:r>
          <w:fldChar w:fldCharType="end"/>
        </w:r>
      </w:hyperlink>
    </w:p>
    <w:p>
      <w:pPr>
        <w:tabs>
          <w:tab w:val="right" w:leader="dot" w:pos="9062"/>
        </w:tabs>
        <w:ind w:left="220"/>
      </w:pPr>
      <w:hyperlink w:anchor="_Toc4694" w:history="1">
        <w:r>
          <w:rPr>
            <w:rFonts w:ascii="IRNazanin" w:hAnsi="IRNazanin" w:eastAsia="IRNazanin" w:cs="IRNazanin"/>
            <w:color w:val="111111"/>
            <w:sz w:val="22"/>
            <w:szCs w:val="22"/>
            <w:b w:val="0"/>
            <w:bCs w:val="0"/>
            <w:i w:val="0"/>
            <w:iCs w:val="0"/>
          </w:rPr>
          <w:t>طبري، علي بن عبد القادر - 1070 ه-</w:t>
        </w:r>
        <w:r>
          <w:tab/>
        </w:r>
        <w:r>
          <w:fldChar w:fldCharType="begin"/>
        </w:r>
        <w:r>
          <w:instrText xml:space="preserve">PAGEREF 4694 \h</w:instrText>
        </w:r>
        <w:r>
          <w:fldChar w:fldCharType="end"/>
        </w:r>
      </w:hyperlink>
    </w:p>
    <w:p>
      <w:pPr>
        <w:tabs>
          <w:tab w:val="right" w:leader="dot" w:pos="9062"/>
        </w:tabs>
        <w:ind w:left="220"/>
      </w:pPr>
      <w:hyperlink w:anchor="_Toc4695" w:history="1">
        <w:r>
          <w:rPr>
            <w:rFonts w:ascii="IRNazanin" w:hAnsi="IRNazanin" w:eastAsia="IRNazanin" w:cs="IRNazanin"/>
            <w:color w:val="111111"/>
            <w:sz w:val="22"/>
            <w:szCs w:val="22"/>
            <w:b w:val="0"/>
            <w:bCs w:val="0"/>
            <w:i w:val="0"/>
            <w:iCs w:val="0"/>
          </w:rPr>
          <w:t>طبري، عمر بن فرخان - 200 ه-</w:t>
        </w:r>
        <w:r>
          <w:tab/>
        </w:r>
        <w:r>
          <w:fldChar w:fldCharType="begin"/>
        </w:r>
        <w:r>
          <w:instrText xml:space="preserve">PAGEREF 4695 \h</w:instrText>
        </w:r>
        <w:r>
          <w:fldChar w:fldCharType="end"/>
        </w:r>
      </w:hyperlink>
    </w:p>
    <w:p>
      <w:pPr>
        <w:tabs>
          <w:tab w:val="right" w:leader="dot" w:pos="9062"/>
        </w:tabs>
        <w:ind w:left="220"/>
      </w:pPr>
      <w:hyperlink w:anchor="_Toc4696" w:history="1">
        <w:r>
          <w:rPr>
            <w:rFonts w:ascii="IRNazanin" w:hAnsi="IRNazanin" w:eastAsia="IRNazanin" w:cs="IRNazanin"/>
            <w:color w:val="111111"/>
            <w:sz w:val="22"/>
            <w:szCs w:val="22"/>
            <w:b w:val="0"/>
            <w:bCs w:val="0"/>
            <w:i w:val="0"/>
            <w:iCs w:val="0"/>
          </w:rPr>
          <w:t>طبري ، محمّد بن ايوب - 485 ه-</w:t>
        </w:r>
        <w:r>
          <w:tab/>
        </w:r>
        <w:r>
          <w:fldChar w:fldCharType="begin"/>
        </w:r>
        <w:r>
          <w:instrText xml:space="preserve">PAGEREF 4696 \h</w:instrText>
        </w:r>
        <w:r>
          <w:fldChar w:fldCharType="end"/>
        </w:r>
      </w:hyperlink>
    </w:p>
    <w:p>
      <w:pPr>
        <w:tabs>
          <w:tab w:val="right" w:leader="dot" w:pos="9062"/>
        </w:tabs>
        <w:ind w:left="220"/>
      </w:pPr>
      <w:hyperlink w:anchor="_Toc4697" w:history="1">
        <w:r>
          <w:rPr>
            <w:rFonts w:ascii="IRNazanin" w:hAnsi="IRNazanin" w:eastAsia="IRNazanin" w:cs="IRNazanin"/>
            <w:color w:val="111111"/>
            <w:sz w:val="22"/>
            <w:szCs w:val="22"/>
            <w:b w:val="0"/>
            <w:bCs w:val="0"/>
            <w:i w:val="0"/>
            <w:iCs w:val="0"/>
          </w:rPr>
          <w:t>طبري ، محمّد بن ،جرير 2224 - 310 ه-</w:t>
        </w:r>
        <w:r>
          <w:tab/>
        </w:r>
        <w:r>
          <w:fldChar w:fldCharType="begin"/>
        </w:r>
        <w:r>
          <w:instrText xml:space="preserve">PAGEREF 4697 \h</w:instrText>
        </w:r>
        <w:r>
          <w:fldChar w:fldCharType="end"/>
        </w:r>
      </w:hyperlink>
    </w:p>
    <w:p>
      <w:pPr>
        <w:tabs>
          <w:tab w:val="right" w:leader="dot" w:pos="9062"/>
        </w:tabs>
        <w:ind w:left="220"/>
      </w:pPr>
      <w:hyperlink w:anchor="_Toc4698" w:history="1">
        <w:r>
          <w:rPr>
            <w:rFonts w:ascii="IRNazanin" w:hAnsi="IRNazanin" w:eastAsia="IRNazanin" w:cs="IRNazanin"/>
            <w:color w:val="111111"/>
            <w:sz w:val="22"/>
            <w:szCs w:val="22"/>
            <w:b w:val="0"/>
            <w:bCs w:val="0"/>
            <w:i w:val="0"/>
            <w:iCs w:val="0"/>
          </w:rPr>
          <w:t>طبري ، محمّد بن عبدالملك</w:t>
        </w:r>
        <w:r>
          <w:tab/>
        </w:r>
        <w:r>
          <w:fldChar w:fldCharType="begin"/>
        </w:r>
        <w:r>
          <w:instrText xml:space="preserve">PAGEREF 4698 \h</w:instrText>
        </w:r>
        <w:r>
          <w:fldChar w:fldCharType="end"/>
        </w:r>
      </w:hyperlink>
    </w:p>
    <w:p>
      <w:pPr>
        <w:tabs>
          <w:tab w:val="right" w:leader="dot" w:pos="9062"/>
        </w:tabs>
        <w:ind w:left="220"/>
      </w:pPr>
      <w:hyperlink w:anchor="_Toc4699" w:history="1">
        <w:r>
          <w:rPr>
            <w:rFonts w:ascii="IRNazanin" w:hAnsi="IRNazanin" w:eastAsia="IRNazanin" w:cs="IRNazanin"/>
            <w:color w:val="111111"/>
            <w:sz w:val="22"/>
            <w:szCs w:val="22"/>
            <w:b w:val="0"/>
            <w:bCs w:val="0"/>
            <w:i w:val="0"/>
            <w:iCs w:val="0"/>
          </w:rPr>
          <w:t>طبري، محمّد كاظم بن رضا قرن 13 ه-</w:t>
        </w:r>
        <w:r>
          <w:tab/>
        </w:r>
        <w:r>
          <w:fldChar w:fldCharType="begin"/>
        </w:r>
        <w:r>
          <w:instrText xml:space="preserve">PAGEREF 4699 \h</w:instrText>
        </w:r>
        <w:r>
          <w:fldChar w:fldCharType="end"/>
        </w:r>
      </w:hyperlink>
    </w:p>
    <w:p>
      <w:pPr>
        <w:tabs>
          <w:tab w:val="right" w:leader="dot" w:pos="9062"/>
        </w:tabs>
        <w:ind w:left="220"/>
      </w:pPr>
      <w:hyperlink w:anchor="_Toc4700" w:history="1">
        <w:r>
          <w:rPr>
            <w:rFonts w:ascii="IRNazanin" w:hAnsi="IRNazanin" w:eastAsia="IRNazanin" w:cs="IRNazanin"/>
            <w:color w:val="111111"/>
            <w:sz w:val="22"/>
            <w:szCs w:val="22"/>
            <w:b w:val="0"/>
            <w:bCs w:val="0"/>
            <w:i w:val="0"/>
            <w:iCs w:val="0"/>
          </w:rPr>
          <w:t>طبسي توني، حبيب الله بن نور الدين</w:t>
        </w:r>
        <w:r>
          <w:tab/>
        </w:r>
        <w:r>
          <w:fldChar w:fldCharType="begin"/>
        </w:r>
        <w:r>
          <w:instrText xml:space="preserve">PAGEREF 4700 \h</w:instrText>
        </w:r>
        <w:r>
          <w:fldChar w:fldCharType="end"/>
        </w:r>
      </w:hyperlink>
    </w:p>
    <w:p>
      <w:pPr>
        <w:tabs>
          <w:tab w:val="right" w:leader="dot" w:pos="9062"/>
        </w:tabs>
        <w:ind w:left="220"/>
      </w:pPr>
      <w:hyperlink w:anchor="_Toc4701" w:history="1">
        <w:r>
          <w:rPr>
            <w:rFonts w:ascii="IRNazanin" w:hAnsi="IRNazanin" w:eastAsia="IRNazanin" w:cs="IRNazanin"/>
            <w:color w:val="111111"/>
            <w:sz w:val="22"/>
            <w:szCs w:val="22"/>
            <w:b w:val="0"/>
            <w:bCs w:val="0"/>
            <w:i w:val="0"/>
            <w:iCs w:val="0"/>
          </w:rPr>
          <w:t>طبسي خراساني ، محمّد ابراهيم بن محمّد</w:t>
        </w:r>
        <w:r>
          <w:tab/>
        </w:r>
        <w:r>
          <w:fldChar w:fldCharType="begin"/>
        </w:r>
        <w:r>
          <w:instrText xml:space="preserve">PAGEREF 4701 \h</w:instrText>
        </w:r>
        <w:r>
          <w:fldChar w:fldCharType="end"/>
        </w:r>
      </w:hyperlink>
    </w:p>
    <w:p>
      <w:pPr>
        <w:tabs>
          <w:tab w:val="right" w:leader="dot" w:pos="9062"/>
        </w:tabs>
        <w:ind w:left="220"/>
      </w:pPr>
      <w:hyperlink w:anchor="_Toc4702" w:history="1">
        <w:r>
          <w:rPr>
            <w:rFonts w:ascii="IRNazanin" w:hAnsi="IRNazanin" w:eastAsia="IRNazanin" w:cs="IRNazanin"/>
            <w:color w:val="111111"/>
            <w:sz w:val="22"/>
            <w:szCs w:val="22"/>
            <w:b w:val="0"/>
            <w:bCs w:val="0"/>
            <w:i w:val="0"/>
            <w:iCs w:val="0"/>
          </w:rPr>
          <w:t>طبسي خراساني ، محمّد علي، - 1320 ه-</w:t>
        </w:r>
        <w:r>
          <w:tab/>
        </w:r>
        <w:r>
          <w:fldChar w:fldCharType="begin"/>
        </w:r>
        <w:r>
          <w:instrText xml:space="preserve">PAGEREF 4702 \h</w:instrText>
        </w:r>
        <w:r>
          <w:fldChar w:fldCharType="end"/>
        </w:r>
      </w:hyperlink>
    </w:p>
    <w:p>
      <w:pPr>
        <w:tabs>
          <w:tab w:val="right" w:leader="dot" w:pos="9062"/>
        </w:tabs>
        <w:ind w:left="220"/>
      </w:pPr>
      <w:hyperlink w:anchor="_Toc4703" w:history="1">
        <w:r>
          <w:rPr>
            <w:rFonts w:ascii="IRNazanin" w:hAnsi="IRNazanin" w:eastAsia="IRNazanin" w:cs="IRNazanin"/>
            <w:color w:val="111111"/>
            <w:sz w:val="22"/>
            <w:szCs w:val="22"/>
            <w:b w:val="0"/>
            <w:bCs w:val="0"/>
            <w:i w:val="0"/>
            <w:iCs w:val="0"/>
          </w:rPr>
          <w:t>طبسي ، محمّد بن محمود قرن 11 ه-</w:t>
        </w:r>
        <w:r>
          <w:tab/>
        </w:r>
        <w:r>
          <w:fldChar w:fldCharType="begin"/>
        </w:r>
        <w:r>
          <w:instrText xml:space="preserve">PAGEREF 4703 \h</w:instrText>
        </w:r>
        <w:r>
          <w:fldChar w:fldCharType="end"/>
        </w:r>
      </w:hyperlink>
    </w:p>
    <w:p>
      <w:pPr>
        <w:tabs>
          <w:tab w:val="right" w:leader="dot" w:pos="9062"/>
        </w:tabs>
        <w:ind w:left="220"/>
      </w:pPr>
      <w:hyperlink w:anchor="_Toc4704" w:history="1">
        <w:r>
          <w:rPr>
            <w:rFonts w:ascii="IRNazanin" w:hAnsi="IRNazanin" w:eastAsia="IRNazanin" w:cs="IRNazanin"/>
            <w:color w:val="111111"/>
            <w:sz w:val="22"/>
            <w:szCs w:val="22"/>
            <w:b w:val="0"/>
            <w:bCs w:val="0"/>
            <w:i w:val="0"/>
            <w:iCs w:val="0"/>
          </w:rPr>
          <w:t>طبسي ، محمود بن غلام علي قرن 12 ه-</w:t>
        </w:r>
        <w:r>
          <w:tab/>
        </w:r>
        <w:r>
          <w:fldChar w:fldCharType="begin"/>
        </w:r>
        <w:r>
          <w:instrText xml:space="preserve">PAGEREF 4704 \h</w:instrText>
        </w:r>
        <w:r>
          <w:fldChar w:fldCharType="end"/>
        </w:r>
      </w:hyperlink>
    </w:p>
    <w:p>
      <w:pPr>
        <w:tabs>
          <w:tab w:val="right" w:leader="dot" w:pos="9062"/>
        </w:tabs>
        <w:ind w:left="220"/>
      </w:pPr>
      <w:hyperlink w:anchor="_Toc4705" w:history="1">
        <w:r>
          <w:rPr>
            <w:rFonts w:ascii="IRNazanin" w:hAnsi="IRNazanin" w:eastAsia="IRNazanin" w:cs="IRNazanin"/>
            <w:color w:val="111111"/>
            <w:sz w:val="22"/>
            <w:szCs w:val="22"/>
            <w:b w:val="0"/>
            <w:bCs w:val="0"/>
            <w:i w:val="0"/>
            <w:iCs w:val="0"/>
          </w:rPr>
          <w:t>طبقجلي ، احمد بن اسماعيل 1150 - 1213 ه-</w:t>
        </w:r>
        <w:r>
          <w:tab/>
        </w:r>
        <w:r>
          <w:fldChar w:fldCharType="begin"/>
        </w:r>
        <w:r>
          <w:instrText xml:space="preserve">PAGEREF 4705 \h</w:instrText>
        </w:r>
        <w:r>
          <w:fldChar w:fldCharType="end"/>
        </w:r>
      </w:hyperlink>
    </w:p>
    <w:p>
      <w:pPr>
        <w:tabs>
          <w:tab w:val="right" w:leader="dot" w:pos="9062"/>
        </w:tabs>
        <w:ind w:left="220"/>
      </w:pPr>
      <w:hyperlink w:anchor="_Toc4706" w:history="1">
        <w:r>
          <w:rPr>
            <w:rFonts w:ascii="IRNazanin" w:hAnsi="IRNazanin" w:eastAsia="IRNazanin" w:cs="IRNazanin"/>
            <w:color w:val="111111"/>
            <w:sz w:val="22"/>
            <w:szCs w:val="22"/>
            <w:b w:val="0"/>
            <w:bCs w:val="0"/>
            <w:i w:val="0"/>
            <w:iCs w:val="0"/>
          </w:rPr>
          <w:t>طبقجلي ، محمّد سعيد بن محمّد امین</w:t>
        </w:r>
        <w:r>
          <w:tab/>
        </w:r>
        <w:r>
          <w:fldChar w:fldCharType="begin"/>
        </w:r>
        <w:r>
          <w:instrText xml:space="preserve">PAGEREF 4706 \h</w:instrText>
        </w:r>
        <w:r>
          <w:fldChar w:fldCharType="end"/>
        </w:r>
      </w:hyperlink>
    </w:p>
    <w:p>
      <w:pPr>
        <w:tabs>
          <w:tab w:val="right" w:leader="dot" w:pos="9062"/>
        </w:tabs>
        <w:ind w:left="220"/>
      </w:pPr>
      <w:hyperlink w:anchor="_Toc4707" w:history="1">
        <w:r>
          <w:rPr>
            <w:rFonts w:ascii="IRNazanin" w:hAnsi="IRNazanin" w:eastAsia="IRNazanin" w:cs="IRNazanin"/>
            <w:color w:val="111111"/>
            <w:sz w:val="22"/>
            <w:szCs w:val="22"/>
            <w:b w:val="0"/>
            <w:bCs w:val="0"/>
            <w:i w:val="0"/>
            <w:iCs w:val="0"/>
          </w:rPr>
          <w:t>طبلاوي ، محمّد بن سالم - 966 ه-</w:t>
        </w:r>
        <w:r>
          <w:tab/>
        </w:r>
        <w:r>
          <w:fldChar w:fldCharType="begin"/>
        </w:r>
        <w:r>
          <w:instrText xml:space="preserve">PAGEREF 4707 \h</w:instrText>
        </w:r>
        <w:r>
          <w:fldChar w:fldCharType="end"/>
        </w:r>
      </w:hyperlink>
    </w:p>
    <w:p>
      <w:pPr>
        <w:tabs>
          <w:tab w:val="right" w:leader="dot" w:pos="9062"/>
        </w:tabs>
        <w:ind w:left="220"/>
      </w:pPr>
      <w:hyperlink w:anchor="_Toc4708" w:history="1">
        <w:r>
          <w:rPr>
            <w:rFonts w:ascii="IRNazanin" w:hAnsi="IRNazanin" w:eastAsia="IRNazanin" w:cs="IRNazanin"/>
            <w:color w:val="111111"/>
            <w:sz w:val="22"/>
            <w:szCs w:val="22"/>
            <w:b w:val="0"/>
            <w:bCs w:val="0"/>
            <w:i w:val="0"/>
            <w:iCs w:val="0"/>
          </w:rPr>
          <w:t>طبلاوي ، منصور سبط ناصر الدین محمّد</w:t>
        </w:r>
        <w:r>
          <w:tab/>
        </w:r>
        <w:r>
          <w:fldChar w:fldCharType="begin"/>
        </w:r>
        <w:r>
          <w:instrText xml:space="preserve">PAGEREF 4708 \h</w:instrText>
        </w:r>
        <w:r>
          <w:fldChar w:fldCharType="end"/>
        </w:r>
      </w:hyperlink>
    </w:p>
    <w:p>
      <w:pPr>
        <w:tabs>
          <w:tab w:val="right" w:leader="dot" w:pos="9062"/>
        </w:tabs>
        <w:ind w:left="220"/>
      </w:pPr>
      <w:hyperlink w:anchor="_Toc4709" w:history="1">
        <w:r>
          <w:rPr>
            <w:rFonts w:ascii="IRNazanin" w:hAnsi="IRNazanin" w:eastAsia="IRNazanin" w:cs="IRNazanin"/>
            <w:color w:val="111111"/>
            <w:sz w:val="22"/>
            <w:szCs w:val="22"/>
            <w:b w:val="0"/>
            <w:bCs w:val="0"/>
            <w:i w:val="0"/>
            <w:iCs w:val="0"/>
          </w:rPr>
          <w:t>طبندي ، نجم الدين بن عرب</w:t>
        </w:r>
        <w:r>
          <w:tab/>
        </w:r>
        <w:r>
          <w:fldChar w:fldCharType="begin"/>
        </w:r>
        <w:r>
          <w:instrText xml:space="preserve">PAGEREF 4709 \h</w:instrText>
        </w:r>
        <w:r>
          <w:fldChar w:fldCharType="end"/>
        </w:r>
      </w:hyperlink>
    </w:p>
    <w:p>
      <w:pPr>
        <w:tabs>
          <w:tab w:val="right" w:leader="dot" w:pos="9062"/>
        </w:tabs>
        <w:ind w:left="220"/>
      </w:pPr>
      <w:hyperlink w:anchor="_Toc4710" w:history="1">
        <w:r>
          <w:rPr>
            <w:rFonts w:ascii="IRNazanin" w:hAnsi="IRNazanin" w:eastAsia="IRNazanin" w:cs="IRNazanin"/>
            <w:color w:val="111111"/>
            <w:sz w:val="22"/>
            <w:szCs w:val="22"/>
            <w:b w:val="0"/>
            <w:bCs w:val="0"/>
            <w:i w:val="0"/>
            <w:iCs w:val="0"/>
          </w:rPr>
          <w:t>طبيب ، ارسطو بن علينقي قرن 13 ه-</w:t>
        </w:r>
        <w:r>
          <w:tab/>
        </w:r>
        <w:r>
          <w:fldChar w:fldCharType="begin"/>
        </w:r>
        <w:r>
          <w:instrText xml:space="preserve">PAGEREF 4710 \h</w:instrText>
        </w:r>
        <w:r>
          <w:fldChar w:fldCharType="end"/>
        </w:r>
      </w:hyperlink>
    </w:p>
    <w:p>
      <w:pPr>
        <w:tabs>
          <w:tab w:val="right" w:leader="dot" w:pos="9062"/>
        </w:tabs>
        <w:ind w:left="220"/>
      </w:pPr>
      <w:hyperlink w:anchor="_Toc4711" w:history="1">
        <w:r>
          <w:rPr>
            <w:rFonts w:ascii="IRNazanin" w:hAnsi="IRNazanin" w:eastAsia="IRNazanin" w:cs="IRNazanin"/>
            <w:color w:val="111111"/>
            <w:sz w:val="22"/>
            <w:szCs w:val="22"/>
            <w:b w:val="0"/>
            <w:bCs w:val="0"/>
            <w:i w:val="0"/>
            <w:iCs w:val="0"/>
          </w:rPr>
          <w:t>طبيب تبريزي ، علاء الدین نورالله - 984</w:t>
        </w:r>
        <w:r>
          <w:tab/>
        </w:r>
        <w:r>
          <w:fldChar w:fldCharType="begin"/>
        </w:r>
        <w:r>
          <w:instrText xml:space="preserve">PAGEREF 4711 \h</w:instrText>
        </w:r>
        <w:r>
          <w:fldChar w:fldCharType="end"/>
        </w:r>
      </w:hyperlink>
    </w:p>
    <w:p>
      <w:pPr>
        <w:tabs>
          <w:tab w:val="right" w:leader="dot" w:pos="9062"/>
        </w:tabs>
        <w:ind w:left="220"/>
      </w:pPr>
      <w:hyperlink w:anchor="_Toc4712" w:history="1">
        <w:r>
          <w:rPr>
            <w:rFonts w:ascii="IRNazanin" w:hAnsi="IRNazanin" w:eastAsia="IRNazanin" w:cs="IRNazanin"/>
            <w:color w:val="111111"/>
            <w:sz w:val="22"/>
            <w:szCs w:val="22"/>
            <w:b w:val="0"/>
            <w:bCs w:val="0"/>
            <w:i w:val="0"/>
            <w:iCs w:val="0"/>
          </w:rPr>
          <w:t>طبيب تفرشي ، محسن بن عبدالمولى</w:t>
        </w:r>
        <w:r>
          <w:tab/>
        </w:r>
        <w:r>
          <w:fldChar w:fldCharType="begin"/>
        </w:r>
        <w:r>
          <w:instrText xml:space="preserve">PAGEREF 4712 \h</w:instrText>
        </w:r>
        <w:r>
          <w:fldChar w:fldCharType="end"/>
        </w:r>
      </w:hyperlink>
    </w:p>
    <w:p>
      <w:pPr>
        <w:tabs>
          <w:tab w:val="right" w:leader="dot" w:pos="9062"/>
        </w:tabs>
        <w:ind w:left="220"/>
      </w:pPr>
      <w:hyperlink w:anchor="_Toc4713" w:history="1">
        <w:r>
          <w:rPr>
            <w:rFonts w:ascii="IRNazanin" w:hAnsi="IRNazanin" w:eastAsia="IRNazanin" w:cs="IRNazanin"/>
            <w:color w:val="111111"/>
            <w:sz w:val="22"/>
            <w:szCs w:val="22"/>
            <w:b w:val="0"/>
            <w:bCs w:val="0"/>
            <w:i w:val="0"/>
            <w:iCs w:val="0"/>
          </w:rPr>
          <w:t>طبيب ، جلال الدين محمّد قرن 11 ه-</w:t>
        </w:r>
        <w:r>
          <w:tab/>
        </w:r>
        <w:r>
          <w:fldChar w:fldCharType="begin"/>
        </w:r>
        <w:r>
          <w:instrText xml:space="preserve">PAGEREF 4713 \h</w:instrText>
        </w:r>
        <w:r>
          <w:fldChar w:fldCharType="end"/>
        </w:r>
      </w:hyperlink>
    </w:p>
    <w:p>
      <w:pPr>
        <w:tabs>
          <w:tab w:val="right" w:leader="dot" w:pos="9062"/>
        </w:tabs>
        <w:ind w:left="220"/>
      </w:pPr>
      <w:hyperlink w:anchor="_Toc4714" w:history="1">
        <w:r>
          <w:rPr>
            <w:rFonts w:ascii="IRNazanin" w:hAnsi="IRNazanin" w:eastAsia="IRNazanin" w:cs="IRNazanin"/>
            <w:color w:val="111111"/>
            <w:sz w:val="22"/>
            <w:szCs w:val="22"/>
            <w:b w:val="0"/>
            <w:bCs w:val="0"/>
            <w:i w:val="0"/>
            <w:iCs w:val="0"/>
          </w:rPr>
          <w:t>طبيب ، حبيب بن محمّد قرن 10 ه-</w:t>
        </w:r>
        <w:r>
          <w:tab/>
        </w:r>
        <w:r>
          <w:fldChar w:fldCharType="begin"/>
        </w:r>
        <w:r>
          <w:instrText xml:space="preserve">PAGEREF 4714 \h</w:instrText>
        </w:r>
        <w:r>
          <w:fldChar w:fldCharType="end"/>
        </w:r>
      </w:hyperlink>
    </w:p>
    <w:p>
      <w:pPr>
        <w:tabs>
          <w:tab w:val="right" w:leader="dot" w:pos="9062"/>
        </w:tabs>
        <w:ind w:left="220"/>
      </w:pPr>
      <w:hyperlink w:anchor="_Toc4715" w:history="1">
        <w:r>
          <w:rPr>
            <w:rFonts w:ascii="IRNazanin" w:hAnsi="IRNazanin" w:eastAsia="IRNazanin" w:cs="IRNazanin"/>
            <w:color w:val="111111"/>
            <w:sz w:val="22"/>
            <w:szCs w:val="22"/>
            <w:b w:val="0"/>
            <w:bCs w:val="0"/>
            <w:i w:val="0"/>
            <w:iCs w:val="0"/>
          </w:rPr>
          <w:t>طبيب خاقان ، ذكاء الله بن اسحاق قرن</w:t>
        </w:r>
        <w:r>
          <w:tab/>
        </w:r>
        <w:r>
          <w:fldChar w:fldCharType="begin"/>
        </w:r>
        <w:r>
          <w:instrText xml:space="preserve">PAGEREF 4715 \h</w:instrText>
        </w:r>
        <w:r>
          <w:fldChar w:fldCharType="end"/>
        </w:r>
      </w:hyperlink>
    </w:p>
    <w:p>
      <w:pPr>
        <w:tabs>
          <w:tab w:val="right" w:leader="dot" w:pos="9062"/>
        </w:tabs>
        <w:ind w:left="220"/>
      </w:pPr>
      <w:hyperlink w:anchor="_Toc4716" w:history="1">
        <w:r>
          <w:rPr>
            <w:rFonts w:ascii="IRNazanin" w:hAnsi="IRNazanin" w:eastAsia="IRNazanin" w:cs="IRNazanin"/>
            <w:color w:val="111111"/>
            <w:sz w:val="22"/>
            <w:szCs w:val="22"/>
            <w:b w:val="0"/>
            <w:bCs w:val="0"/>
            <w:i w:val="0"/>
            <w:iCs w:val="0"/>
          </w:rPr>
          <w:t>طبيب ، رضي الدين</w:t>
        </w:r>
        <w:r>
          <w:tab/>
        </w:r>
        <w:r>
          <w:fldChar w:fldCharType="begin"/>
        </w:r>
        <w:r>
          <w:instrText xml:space="preserve">PAGEREF 4716 \h</w:instrText>
        </w:r>
        <w:r>
          <w:fldChar w:fldCharType="end"/>
        </w:r>
      </w:hyperlink>
    </w:p>
    <w:p>
      <w:pPr>
        <w:tabs>
          <w:tab w:val="right" w:leader="dot" w:pos="9062"/>
        </w:tabs>
        <w:ind w:left="220"/>
      </w:pPr>
      <w:hyperlink w:anchor="_Toc4717" w:history="1">
        <w:r>
          <w:rPr>
            <w:rFonts w:ascii="IRNazanin" w:hAnsi="IRNazanin" w:eastAsia="IRNazanin" w:cs="IRNazanin"/>
            <w:color w:val="111111"/>
            <w:sz w:val="22"/>
            <w:szCs w:val="22"/>
            <w:b w:val="0"/>
            <w:bCs w:val="0"/>
            <w:i w:val="0"/>
            <w:iCs w:val="0"/>
          </w:rPr>
          <w:t>طبيب سالياني ، علي اكبر بن محمّد كريم</w:t>
        </w:r>
        <w:r>
          <w:tab/>
        </w:r>
        <w:r>
          <w:fldChar w:fldCharType="begin"/>
        </w:r>
        <w:r>
          <w:instrText xml:space="preserve">PAGEREF 4717 \h</w:instrText>
        </w:r>
        <w:r>
          <w:fldChar w:fldCharType="end"/>
        </w:r>
      </w:hyperlink>
    </w:p>
    <w:p>
      <w:pPr>
        <w:tabs>
          <w:tab w:val="right" w:leader="dot" w:pos="9062"/>
        </w:tabs>
        <w:ind w:left="220"/>
      </w:pPr>
      <w:hyperlink w:anchor="_Toc4718" w:history="1">
        <w:r>
          <w:rPr>
            <w:rFonts w:ascii="IRNazanin" w:hAnsi="IRNazanin" w:eastAsia="IRNazanin" w:cs="IRNazanin"/>
            <w:color w:val="111111"/>
            <w:sz w:val="22"/>
            <w:szCs w:val="22"/>
            <w:b w:val="0"/>
            <w:bCs w:val="0"/>
            <w:i w:val="0"/>
            <w:iCs w:val="0"/>
          </w:rPr>
          <w:t>طبيب سمناني ، علي بن محمّد - 1363</w:t>
        </w:r>
        <w:r>
          <w:tab/>
        </w:r>
        <w:r>
          <w:fldChar w:fldCharType="begin"/>
        </w:r>
        <w:r>
          <w:instrText xml:space="preserve">PAGEREF 4718 \h</w:instrText>
        </w:r>
        <w:r>
          <w:fldChar w:fldCharType="end"/>
        </w:r>
      </w:hyperlink>
    </w:p>
    <w:p>
      <w:pPr>
        <w:tabs>
          <w:tab w:val="right" w:leader="dot" w:pos="9062"/>
        </w:tabs>
        <w:ind w:left="220"/>
      </w:pPr>
      <w:hyperlink w:anchor="_Toc4719" w:history="1">
        <w:r>
          <w:rPr>
            <w:rFonts w:ascii="IRNazanin" w:hAnsi="IRNazanin" w:eastAsia="IRNazanin" w:cs="IRNazanin"/>
            <w:color w:val="111111"/>
            <w:sz w:val="22"/>
            <w:szCs w:val="22"/>
            <w:b w:val="0"/>
            <w:bCs w:val="0"/>
            <w:i w:val="0"/>
            <w:iCs w:val="0"/>
          </w:rPr>
          <w:t>طبيب شيرازي ، ابوالحسين بن محمّد</w:t>
        </w:r>
        <w:r>
          <w:tab/>
        </w:r>
        <w:r>
          <w:fldChar w:fldCharType="begin"/>
        </w:r>
        <w:r>
          <w:instrText xml:space="preserve">PAGEREF 4719 \h</w:instrText>
        </w:r>
        <w:r>
          <w:fldChar w:fldCharType="end"/>
        </w:r>
      </w:hyperlink>
    </w:p>
    <w:p>
      <w:pPr>
        <w:tabs>
          <w:tab w:val="right" w:leader="dot" w:pos="9062"/>
        </w:tabs>
        <w:ind w:left="220"/>
      </w:pPr>
      <w:hyperlink w:anchor="_Toc4720" w:history="1">
        <w:r>
          <w:rPr>
            <w:rFonts w:ascii="IRNazanin" w:hAnsi="IRNazanin" w:eastAsia="IRNazanin" w:cs="IRNazanin"/>
            <w:color w:val="111111"/>
            <w:sz w:val="22"/>
            <w:szCs w:val="22"/>
            <w:b w:val="0"/>
            <w:bCs w:val="0"/>
            <w:i w:val="0"/>
            <w:iCs w:val="0"/>
          </w:rPr>
          <w:t>طبيب شيرازي ، محمّد رضا بن ابوالفضل</w:t>
        </w:r>
        <w:r>
          <w:tab/>
        </w:r>
        <w:r>
          <w:fldChar w:fldCharType="begin"/>
        </w:r>
        <w:r>
          <w:instrText xml:space="preserve">PAGEREF 4720 \h</w:instrText>
        </w:r>
        <w:r>
          <w:fldChar w:fldCharType="end"/>
        </w:r>
      </w:hyperlink>
    </w:p>
    <w:p>
      <w:pPr>
        <w:tabs>
          <w:tab w:val="right" w:leader="dot" w:pos="9062"/>
        </w:tabs>
        <w:ind w:left="220"/>
      </w:pPr>
      <w:hyperlink w:anchor="_Toc4721" w:history="1">
        <w:r>
          <w:rPr>
            <w:rFonts w:ascii="IRNazanin" w:hAnsi="IRNazanin" w:eastAsia="IRNazanin" w:cs="IRNazanin"/>
            <w:color w:val="111111"/>
            <w:sz w:val="22"/>
            <w:szCs w:val="22"/>
            <w:b w:val="0"/>
            <w:bCs w:val="0"/>
            <w:i w:val="0"/>
            <w:iCs w:val="0"/>
          </w:rPr>
          <w:t>طبيب ، صادق علي اصغر</w:t>
        </w:r>
        <w:r>
          <w:tab/>
        </w:r>
        <w:r>
          <w:fldChar w:fldCharType="begin"/>
        </w:r>
        <w:r>
          <w:instrText xml:space="preserve">PAGEREF 4721 \h</w:instrText>
        </w:r>
        <w:r>
          <w:fldChar w:fldCharType="end"/>
        </w:r>
      </w:hyperlink>
    </w:p>
    <w:p>
      <w:pPr>
        <w:tabs>
          <w:tab w:val="right" w:leader="dot" w:pos="9062"/>
        </w:tabs>
        <w:ind w:left="220"/>
      </w:pPr>
      <w:hyperlink w:anchor="_Toc4722" w:history="1">
        <w:r>
          <w:rPr>
            <w:rFonts w:ascii="IRNazanin" w:hAnsi="IRNazanin" w:eastAsia="IRNazanin" w:cs="IRNazanin"/>
            <w:color w:val="111111"/>
            <w:sz w:val="22"/>
            <w:szCs w:val="22"/>
            <w:b w:val="0"/>
            <w:bCs w:val="0"/>
            <w:i w:val="0"/>
            <w:iCs w:val="0"/>
          </w:rPr>
          <w:t>طبيب ، عبدالرحيم بن عبدالله قرن 8 ه-</w:t>
        </w:r>
        <w:r>
          <w:tab/>
        </w:r>
        <w:r>
          <w:fldChar w:fldCharType="begin"/>
        </w:r>
        <w:r>
          <w:instrText xml:space="preserve">PAGEREF 4722 \h</w:instrText>
        </w:r>
        <w:r>
          <w:fldChar w:fldCharType="end"/>
        </w:r>
      </w:hyperlink>
    </w:p>
    <w:p>
      <w:pPr>
        <w:tabs>
          <w:tab w:val="right" w:leader="dot" w:pos="9062"/>
        </w:tabs>
        <w:ind w:left="220"/>
      </w:pPr>
      <w:hyperlink w:anchor="_Toc4723" w:history="1">
        <w:r>
          <w:rPr>
            <w:rFonts w:ascii="IRNazanin" w:hAnsi="IRNazanin" w:eastAsia="IRNazanin" w:cs="IRNazanin"/>
            <w:color w:val="111111"/>
            <w:sz w:val="22"/>
            <w:szCs w:val="22"/>
            <w:b w:val="0"/>
            <w:bCs w:val="0"/>
            <w:i w:val="0"/>
            <w:iCs w:val="0"/>
          </w:rPr>
          <w:t>طبيب ، عبد الله، قرن 13 ه-</w:t>
        </w:r>
        <w:r>
          <w:tab/>
        </w:r>
        <w:r>
          <w:fldChar w:fldCharType="begin"/>
        </w:r>
        <w:r>
          <w:instrText xml:space="preserve">PAGEREF 4723 \h</w:instrText>
        </w:r>
        <w:r>
          <w:fldChar w:fldCharType="end"/>
        </w:r>
      </w:hyperlink>
    </w:p>
    <w:p>
      <w:pPr>
        <w:tabs>
          <w:tab w:val="right" w:leader="dot" w:pos="9062"/>
        </w:tabs>
        <w:ind w:left="220"/>
      </w:pPr>
      <w:hyperlink w:anchor="_Toc4724" w:history="1">
        <w:r>
          <w:rPr>
            <w:rFonts w:ascii="IRNazanin" w:hAnsi="IRNazanin" w:eastAsia="IRNazanin" w:cs="IRNazanin"/>
            <w:color w:val="111111"/>
            <w:sz w:val="22"/>
            <w:szCs w:val="22"/>
            <w:b w:val="0"/>
            <w:bCs w:val="0"/>
            <w:i w:val="0"/>
            <w:iCs w:val="0"/>
          </w:rPr>
          <w:t>طبيب ، علاء الدين محمّد قرن 11 ه-</w:t>
        </w:r>
        <w:r>
          <w:tab/>
        </w:r>
        <w:r>
          <w:fldChar w:fldCharType="begin"/>
        </w:r>
        <w:r>
          <w:instrText xml:space="preserve">PAGEREF 4724 \h</w:instrText>
        </w:r>
        <w:r>
          <w:fldChar w:fldCharType="end"/>
        </w:r>
      </w:hyperlink>
    </w:p>
    <w:p>
      <w:pPr>
        <w:tabs>
          <w:tab w:val="right" w:leader="dot" w:pos="9062"/>
        </w:tabs>
        <w:ind w:left="220"/>
      </w:pPr>
      <w:hyperlink w:anchor="_Toc4725" w:history="1">
        <w:r>
          <w:rPr>
            <w:rFonts w:ascii="IRNazanin" w:hAnsi="IRNazanin" w:eastAsia="IRNazanin" w:cs="IRNazanin"/>
            <w:color w:val="111111"/>
            <w:sz w:val="22"/>
            <w:szCs w:val="22"/>
            <w:b w:val="0"/>
            <w:bCs w:val="0"/>
            <w:i w:val="0"/>
            <w:iCs w:val="0"/>
          </w:rPr>
          <w:t>طبيب قوچاني ، ميرزا نصرت قرن 14 ه-</w:t>
        </w:r>
        <w:r>
          <w:tab/>
        </w:r>
        <w:r>
          <w:fldChar w:fldCharType="begin"/>
        </w:r>
        <w:r>
          <w:instrText xml:space="preserve">PAGEREF 4725 \h</w:instrText>
        </w:r>
        <w:r>
          <w:fldChar w:fldCharType="end"/>
        </w:r>
      </w:hyperlink>
    </w:p>
    <w:p>
      <w:pPr>
        <w:tabs>
          <w:tab w:val="right" w:leader="dot" w:pos="9062"/>
        </w:tabs>
        <w:ind w:left="220"/>
      </w:pPr>
      <w:hyperlink w:anchor="_Toc4726" w:history="1">
        <w:r>
          <w:rPr>
            <w:rFonts w:ascii="IRNazanin" w:hAnsi="IRNazanin" w:eastAsia="IRNazanin" w:cs="IRNazanin"/>
            <w:color w:val="111111"/>
            <w:sz w:val="22"/>
            <w:szCs w:val="22"/>
            <w:b w:val="0"/>
            <w:bCs w:val="0"/>
            <w:i w:val="0"/>
            <w:iCs w:val="0"/>
          </w:rPr>
          <w:t>طبيب كنابادي ، سلطان علي، قرن 10 ه-</w:t>
        </w:r>
        <w:r>
          <w:tab/>
        </w:r>
        <w:r>
          <w:fldChar w:fldCharType="begin"/>
        </w:r>
        <w:r>
          <w:instrText xml:space="preserve">PAGEREF 4726 \h</w:instrText>
        </w:r>
        <w:r>
          <w:fldChar w:fldCharType="end"/>
        </w:r>
      </w:hyperlink>
    </w:p>
    <w:p>
      <w:pPr>
        <w:tabs>
          <w:tab w:val="right" w:leader="dot" w:pos="9062"/>
        </w:tabs>
        <w:ind w:left="220"/>
      </w:pPr>
      <w:hyperlink w:anchor="_Toc4727" w:history="1">
        <w:r>
          <w:rPr>
            <w:rFonts w:ascii="IRNazanin" w:hAnsi="IRNazanin" w:eastAsia="IRNazanin" w:cs="IRNazanin"/>
            <w:color w:val="111111"/>
            <w:sz w:val="22"/>
            <w:szCs w:val="22"/>
            <w:b w:val="0"/>
            <w:bCs w:val="0"/>
            <w:i w:val="0"/>
            <w:iCs w:val="0"/>
          </w:rPr>
          <w:t>طبيب، محمّد بن ابي المجد قرن 10 ه-</w:t>
        </w:r>
        <w:r>
          <w:tab/>
        </w:r>
        <w:r>
          <w:fldChar w:fldCharType="begin"/>
        </w:r>
        <w:r>
          <w:instrText xml:space="preserve">PAGEREF 4727 \h</w:instrText>
        </w:r>
        <w:r>
          <w:fldChar w:fldCharType="end"/>
        </w:r>
      </w:hyperlink>
    </w:p>
    <w:p>
      <w:pPr>
        <w:tabs>
          <w:tab w:val="right" w:leader="dot" w:pos="9062"/>
        </w:tabs>
        <w:ind w:left="220"/>
      </w:pPr>
      <w:hyperlink w:anchor="_Toc4728" w:history="1">
        <w:r>
          <w:rPr>
            <w:rFonts w:ascii="IRNazanin" w:hAnsi="IRNazanin" w:eastAsia="IRNazanin" w:cs="IRNazanin"/>
            <w:color w:val="111111"/>
            <w:sz w:val="22"/>
            <w:szCs w:val="22"/>
            <w:b w:val="0"/>
            <w:bCs w:val="0"/>
            <w:i w:val="0"/>
            <w:iCs w:val="0"/>
          </w:rPr>
          <w:t>طبيب، محمّد بن محمّد قرن 10 ه-</w:t>
        </w:r>
        <w:r>
          <w:tab/>
        </w:r>
        <w:r>
          <w:fldChar w:fldCharType="begin"/>
        </w:r>
        <w:r>
          <w:instrText xml:space="preserve">PAGEREF 4728 \h</w:instrText>
        </w:r>
        <w:r>
          <w:fldChar w:fldCharType="end"/>
        </w:r>
      </w:hyperlink>
    </w:p>
    <w:p>
      <w:pPr>
        <w:tabs>
          <w:tab w:val="right" w:leader="dot" w:pos="9062"/>
        </w:tabs>
        <w:ind w:left="220"/>
      </w:pPr>
      <w:hyperlink w:anchor="_Toc4729" w:history="1">
        <w:r>
          <w:rPr>
            <w:rFonts w:ascii="IRNazanin" w:hAnsi="IRNazanin" w:eastAsia="IRNazanin" w:cs="IRNazanin"/>
            <w:color w:val="111111"/>
            <w:sz w:val="22"/>
            <w:szCs w:val="22"/>
            <w:b w:val="0"/>
            <w:bCs w:val="0"/>
            <w:i w:val="0"/>
            <w:iCs w:val="0"/>
          </w:rPr>
          <w:t>طبيب، محمّد بن يوحناء - 1363 ه-</w:t>
        </w:r>
        <w:r>
          <w:tab/>
        </w:r>
        <w:r>
          <w:fldChar w:fldCharType="begin"/>
        </w:r>
        <w:r>
          <w:instrText xml:space="preserve">PAGEREF 4729 \h</w:instrText>
        </w:r>
        <w:r>
          <w:fldChar w:fldCharType="end"/>
        </w:r>
      </w:hyperlink>
    </w:p>
    <w:p>
      <w:pPr>
        <w:tabs>
          <w:tab w:val="right" w:leader="dot" w:pos="9062"/>
        </w:tabs>
        <w:ind w:left="220"/>
      </w:pPr>
      <w:hyperlink w:anchor="_Toc4730" w:history="1">
        <w:r>
          <w:rPr>
            <w:rFonts w:ascii="IRNazanin" w:hAnsi="IRNazanin" w:eastAsia="IRNazanin" w:cs="IRNazanin"/>
            <w:color w:val="111111"/>
            <w:sz w:val="22"/>
            <w:szCs w:val="22"/>
            <w:b w:val="0"/>
            <w:bCs w:val="0"/>
            <w:i w:val="0"/>
            <w:iCs w:val="0"/>
          </w:rPr>
          <w:t>طبيب، محمّد حسین بن محمّد رضا</w:t>
        </w:r>
        <w:r>
          <w:tab/>
        </w:r>
        <w:r>
          <w:fldChar w:fldCharType="begin"/>
        </w:r>
        <w:r>
          <w:instrText xml:space="preserve">PAGEREF 4730 \h</w:instrText>
        </w:r>
        <w:r>
          <w:fldChar w:fldCharType="end"/>
        </w:r>
      </w:hyperlink>
    </w:p>
    <w:p>
      <w:pPr>
        <w:tabs>
          <w:tab w:val="right" w:leader="dot" w:pos="9062"/>
        </w:tabs>
        <w:ind w:left="220"/>
      </w:pPr>
      <w:hyperlink w:anchor="_Toc4731" w:history="1">
        <w:r>
          <w:rPr>
            <w:rFonts w:ascii="IRNazanin" w:hAnsi="IRNazanin" w:eastAsia="IRNazanin" w:cs="IRNazanin"/>
            <w:color w:val="111111"/>
            <w:sz w:val="22"/>
            <w:szCs w:val="22"/>
            <w:b w:val="0"/>
            <w:bCs w:val="0"/>
            <w:i w:val="0"/>
            <w:iCs w:val="0"/>
          </w:rPr>
          <w:t>؟ طبيب، محمّد حسین میرزا آقا قرن 13</w:t>
        </w:r>
        <w:r>
          <w:tab/>
        </w:r>
        <w:r>
          <w:fldChar w:fldCharType="begin"/>
        </w:r>
        <w:r>
          <w:instrText xml:space="preserve">PAGEREF 4731 \h</w:instrText>
        </w:r>
        <w:r>
          <w:fldChar w:fldCharType="end"/>
        </w:r>
      </w:hyperlink>
    </w:p>
    <w:p>
      <w:pPr>
        <w:tabs>
          <w:tab w:val="right" w:leader="dot" w:pos="9062"/>
        </w:tabs>
        <w:ind w:left="220"/>
      </w:pPr>
      <w:hyperlink w:anchor="_Toc4732" w:history="1">
        <w:r>
          <w:rPr>
            <w:rFonts w:ascii="IRNazanin" w:hAnsi="IRNazanin" w:eastAsia="IRNazanin" w:cs="IRNazanin"/>
            <w:color w:val="111111"/>
            <w:sz w:val="22"/>
            <w:szCs w:val="22"/>
            <w:b w:val="0"/>
            <w:bCs w:val="0"/>
            <w:i w:val="0"/>
            <w:iCs w:val="0"/>
          </w:rPr>
          <w:t>طبیب ، محمود بن محمّد حسین</w:t>
        </w:r>
        <w:r>
          <w:tab/>
        </w:r>
        <w:r>
          <w:fldChar w:fldCharType="begin"/>
        </w:r>
        <w:r>
          <w:instrText xml:space="preserve">PAGEREF 4732 \h</w:instrText>
        </w:r>
        <w:r>
          <w:fldChar w:fldCharType="end"/>
        </w:r>
      </w:hyperlink>
    </w:p>
    <w:p>
      <w:pPr>
        <w:tabs>
          <w:tab w:val="right" w:leader="dot" w:pos="9062"/>
        </w:tabs>
        <w:ind w:left="220"/>
      </w:pPr>
      <w:hyperlink w:anchor="_Toc4733" w:history="1">
        <w:r>
          <w:rPr>
            <w:rFonts w:ascii="IRNazanin" w:hAnsi="IRNazanin" w:eastAsia="IRNazanin" w:cs="IRNazanin"/>
            <w:color w:val="111111"/>
            <w:sz w:val="22"/>
            <w:szCs w:val="22"/>
            <w:b w:val="0"/>
            <w:bCs w:val="0"/>
            <w:i w:val="0"/>
            <w:iCs w:val="0"/>
          </w:rPr>
          <w:t>طبيب، مسعود بن حسين قرن 10 ه-</w:t>
        </w:r>
        <w:r>
          <w:tab/>
        </w:r>
        <w:r>
          <w:fldChar w:fldCharType="begin"/>
        </w:r>
        <w:r>
          <w:instrText xml:space="preserve">PAGEREF 4733 \h</w:instrText>
        </w:r>
        <w:r>
          <w:fldChar w:fldCharType="end"/>
        </w:r>
      </w:hyperlink>
    </w:p>
    <w:p>
      <w:pPr>
        <w:tabs>
          <w:tab w:val="right" w:leader="dot" w:pos="9062"/>
        </w:tabs>
        <w:ind w:left="220"/>
      </w:pPr>
      <w:hyperlink w:anchor="_Toc4734" w:history="1">
        <w:r>
          <w:rPr>
            <w:rFonts w:ascii="IRNazanin" w:hAnsi="IRNazanin" w:eastAsia="IRNazanin" w:cs="IRNazanin"/>
            <w:color w:val="111111"/>
            <w:sz w:val="22"/>
            <w:szCs w:val="22"/>
            <w:b w:val="0"/>
            <w:bCs w:val="0"/>
            <w:i w:val="0"/>
            <w:iCs w:val="0"/>
          </w:rPr>
          <w:t>طبيب، ميرزا علي - 1320 ه-</w:t>
        </w:r>
        <w:r>
          <w:tab/>
        </w:r>
        <w:r>
          <w:fldChar w:fldCharType="begin"/>
        </w:r>
        <w:r>
          <w:instrText xml:space="preserve">PAGEREF 4734 \h</w:instrText>
        </w:r>
        <w:r>
          <w:fldChar w:fldCharType="end"/>
        </w:r>
      </w:hyperlink>
    </w:p>
    <w:p>
      <w:pPr>
        <w:tabs>
          <w:tab w:val="right" w:leader="dot" w:pos="9062"/>
        </w:tabs>
        <w:ind w:left="220"/>
      </w:pPr>
      <w:hyperlink w:anchor="_Toc4735" w:history="1">
        <w:r>
          <w:rPr>
            <w:rFonts w:ascii="IRNazanin" w:hAnsi="IRNazanin" w:eastAsia="IRNazanin" w:cs="IRNazanin"/>
            <w:color w:val="111111"/>
            <w:sz w:val="22"/>
            <w:szCs w:val="22"/>
            <w:b w:val="0"/>
            <w:bCs w:val="0"/>
            <w:i w:val="0"/>
            <w:iCs w:val="0"/>
          </w:rPr>
          <w:t>طبيب ، يوسف بن محمّد ،یوسف قرن</w:t>
        </w:r>
        <w:r>
          <w:tab/>
        </w:r>
        <w:r>
          <w:fldChar w:fldCharType="begin"/>
        </w:r>
        <w:r>
          <w:instrText xml:space="preserve">PAGEREF 4735 \h</w:instrText>
        </w:r>
        <w:r>
          <w:fldChar w:fldCharType="end"/>
        </w:r>
      </w:hyperlink>
    </w:p>
    <w:p>
      <w:pPr>
        <w:tabs>
          <w:tab w:val="right" w:leader="dot" w:pos="9062"/>
        </w:tabs>
        <w:ind w:left="220"/>
      </w:pPr>
      <w:hyperlink w:anchor="_Toc4736" w:history="1">
        <w:r>
          <w:rPr>
            <w:rFonts w:ascii="IRNazanin" w:hAnsi="IRNazanin" w:eastAsia="IRNazanin" w:cs="IRNazanin"/>
            <w:color w:val="111111"/>
            <w:sz w:val="22"/>
            <w:szCs w:val="22"/>
            <w:b w:val="0"/>
            <w:bCs w:val="0"/>
            <w:i w:val="0"/>
            <w:iCs w:val="0"/>
          </w:rPr>
          <w:t>طحاوي ، احمد بن محمّد، 239 - 321</w:t>
        </w:r>
        <w:r>
          <w:tab/>
        </w:r>
        <w:r>
          <w:fldChar w:fldCharType="begin"/>
        </w:r>
        <w:r>
          <w:instrText xml:space="preserve">PAGEREF 4736 \h</w:instrText>
        </w:r>
        <w:r>
          <w:fldChar w:fldCharType="end"/>
        </w:r>
      </w:hyperlink>
    </w:p>
    <w:p>
      <w:pPr>
        <w:tabs>
          <w:tab w:val="right" w:leader="dot" w:pos="9062"/>
        </w:tabs>
        <w:ind w:left="220"/>
      </w:pPr>
      <w:hyperlink w:anchor="_Toc4737" w:history="1">
        <w:r>
          <w:rPr>
            <w:rFonts w:ascii="IRNazanin" w:hAnsi="IRNazanin" w:eastAsia="IRNazanin" w:cs="IRNazanin"/>
            <w:color w:val="111111"/>
            <w:sz w:val="22"/>
            <w:szCs w:val="22"/>
            <w:b w:val="0"/>
            <w:bCs w:val="0"/>
            <w:i w:val="0"/>
            <w:iCs w:val="0"/>
          </w:rPr>
          <w:t>طحلاوي ، محمّد يحيى قرن 12 ه-</w:t>
        </w:r>
        <w:r>
          <w:tab/>
        </w:r>
        <w:r>
          <w:fldChar w:fldCharType="begin"/>
        </w:r>
        <w:r>
          <w:instrText xml:space="preserve">PAGEREF 4737 \h</w:instrText>
        </w:r>
        <w:r>
          <w:fldChar w:fldCharType="end"/>
        </w:r>
      </w:hyperlink>
    </w:p>
    <w:p>
      <w:pPr>
        <w:tabs>
          <w:tab w:val="right" w:leader="dot" w:pos="9062"/>
        </w:tabs>
        <w:ind w:left="220"/>
      </w:pPr>
      <w:hyperlink w:anchor="_Toc4738" w:history="1">
        <w:r>
          <w:rPr>
            <w:rFonts w:ascii="IRNazanin" w:hAnsi="IRNazanin" w:eastAsia="IRNazanin" w:cs="IRNazanin"/>
            <w:color w:val="111111"/>
            <w:sz w:val="22"/>
            <w:szCs w:val="22"/>
            <w:b w:val="0"/>
            <w:bCs w:val="0"/>
            <w:i w:val="0"/>
            <w:iCs w:val="0"/>
          </w:rPr>
          <w:t>طرائفي، عبدالكريم بن ضرغام - 852</w:t>
        </w:r>
        <w:r>
          <w:tab/>
        </w:r>
        <w:r>
          <w:fldChar w:fldCharType="begin"/>
        </w:r>
        <w:r>
          <w:instrText xml:space="preserve">PAGEREF 4738 \h</w:instrText>
        </w:r>
        <w:r>
          <w:fldChar w:fldCharType="end"/>
        </w:r>
      </w:hyperlink>
    </w:p>
    <w:p>
      <w:pPr>
        <w:tabs>
          <w:tab w:val="right" w:leader="dot" w:pos="9062"/>
        </w:tabs>
        <w:ind w:left="220"/>
      </w:pPr>
      <w:hyperlink w:anchor="_Toc4739" w:history="1">
        <w:r>
          <w:rPr>
            <w:rFonts w:ascii="IRNazanin" w:hAnsi="IRNazanin" w:eastAsia="IRNazanin" w:cs="IRNazanin"/>
            <w:color w:val="111111"/>
            <w:sz w:val="22"/>
            <w:szCs w:val="22"/>
            <w:b w:val="0"/>
            <w:bCs w:val="0"/>
            <w:i w:val="0"/>
            <w:iCs w:val="0"/>
          </w:rPr>
          <w:t>طرابلسي ، ابراهيم بن موسى 853 -</w:t>
        </w:r>
        <w:r>
          <w:tab/>
        </w:r>
        <w:r>
          <w:fldChar w:fldCharType="begin"/>
        </w:r>
        <w:r>
          <w:instrText xml:space="preserve">PAGEREF 4739 \h</w:instrText>
        </w:r>
        <w:r>
          <w:fldChar w:fldCharType="end"/>
        </w:r>
      </w:hyperlink>
    </w:p>
    <w:p>
      <w:pPr>
        <w:tabs>
          <w:tab w:val="right" w:leader="dot" w:pos="9062"/>
        </w:tabs>
        <w:ind w:left="220"/>
      </w:pPr>
      <w:hyperlink w:anchor="_Toc4740" w:history="1">
        <w:r>
          <w:rPr>
            <w:rFonts w:ascii="IRNazanin" w:hAnsi="IRNazanin" w:eastAsia="IRNazanin" w:cs="IRNazanin"/>
            <w:color w:val="111111"/>
            <w:sz w:val="22"/>
            <w:szCs w:val="22"/>
            <w:b w:val="0"/>
            <w:bCs w:val="0"/>
            <w:i w:val="0"/>
            <w:iCs w:val="0"/>
          </w:rPr>
          <w:t>طرابلسي ، عبد الرزاق بن حمزة - 9 ه-</w:t>
        </w:r>
        <w:r>
          <w:tab/>
        </w:r>
        <w:r>
          <w:fldChar w:fldCharType="begin"/>
        </w:r>
        <w:r>
          <w:instrText xml:space="preserve">PAGEREF 4740 \h</w:instrText>
        </w:r>
        <w:r>
          <w:fldChar w:fldCharType="end"/>
        </w:r>
      </w:hyperlink>
    </w:p>
    <w:p>
      <w:pPr>
        <w:tabs>
          <w:tab w:val="right" w:leader="dot" w:pos="9062"/>
        </w:tabs>
        <w:ind w:left="220"/>
      </w:pPr>
      <w:hyperlink w:anchor="_Toc4741" w:history="1">
        <w:r>
          <w:rPr>
            <w:rFonts w:ascii="IRNazanin" w:hAnsi="IRNazanin" w:eastAsia="IRNazanin" w:cs="IRNazanin"/>
            <w:color w:val="111111"/>
            <w:sz w:val="22"/>
            <w:szCs w:val="22"/>
            <w:b w:val="0"/>
            <w:bCs w:val="0"/>
            <w:i w:val="0"/>
            <w:iCs w:val="0"/>
          </w:rPr>
          <w:t>طرابلسي ، علي بن خليل - 844 ه-</w:t>
        </w:r>
        <w:r>
          <w:tab/>
        </w:r>
        <w:r>
          <w:fldChar w:fldCharType="begin"/>
        </w:r>
        <w:r>
          <w:instrText xml:space="preserve">PAGEREF 4741 \h</w:instrText>
        </w:r>
        <w:r>
          <w:fldChar w:fldCharType="end"/>
        </w:r>
      </w:hyperlink>
    </w:p>
    <w:p>
      <w:pPr>
        <w:tabs>
          <w:tab w:val="right" w:leader="dot" w:pos="9062"/>
        </w:tabs>
        <w:ind w:left="220"/>
      </w:pPr>
      <w:hyperlink w:anchor="_Toc4742" w:history="1">
        <w:r>
          <w:rPr>
            <w:rFonts w:ascii="IRNazanin" w:hAnsi="IRNazanin" w:eastAsia="IRNazanin" w:cs="IRNazanin"/>
            <w:color w:val="111111"/>
            <w:sz w:val="22"/>
            <w:szCs w:val="22"/>
            <w:b w:val="0"/>
            <w:bCs w:val="0"/>
            <w:i w:val="0"/>
            <w:iCs w:val="0"/>
          </w:rPr>
          <w:t>طرابلسي ، علي بن محمّد، 950 - 1032</w:t>
        </w:r>
        <w:r>
          <w:tab/>
        </w:r>
        <w:r>
          <w:fldChar w:fldCharType="begin"/>
        </w:r>
        <w:r>
          <w:instrText xml:space="preserve">PAGEREF 4742 \h</w:instrText>
        </w:r>
        <w:r>
          <w:fldChar w:fldCharType="end"/>
        </w:r>
      </w:hyperlink>
    </w:p>
    <w:p>
      <w:pPr>
        <w:tabs>
          <w:tab w:val="right" w:leader="dot" w:pos="9062"/>
        </w:tabs>
        <w:ind w:left="220"/>
      </w:pPr>
      <w:hyperlink w:anchor="_Toc4743" w:history="1">
        <w:r>
          <w:rPr>
            <w:rFonts w:ascii="IRNazanin" w:hAnsi="IRNazanin" w:eastAsia="IRNazanin" w:cs="IRNazanin"/>
            <w:color w:val="111111"/>
            <w:sz w:val="22"/>
            <w:szCs w:val="22"/>
            <w:b w:val="0"/>
            <w:bCs w:val="0"/>
            <w:i w:val="0"/>
            <w:iCs w:val="0"/>
          </w:rPr>
          <w:t>طرابلسي ، علي بن ياسين</w:t>
        </w:r>
        <w:r>
          <w:tab/>
        </w:r>
        <w:r>
          <w:fldChar w:fldCharType="begin"/>
        </w:r>
        <w:r>
          <w:instrText xml:space="preserve">PAGEREF 4743 \h</w:instrText>
        </w:r>
        <w:r>
          <w:fldChar w:fldCharType="end"/>
        </w:r>
      </w:hyperlink>
    </w:p>
    <w:p>
      <w:pPr>
        <w:tabs>
          <w:tab w:val="right" w:leader="dot" w:pos="9062"/>
        </w:tabs>
        <w:ind w:left="220"/>
      </w:pPr>
      <w:hyperlink w:anchor="_Toc4744" w:history="1">
        <w:r>
          <w:rPr>
            <w:rFonts w:ascii="IRNazanin" w:hAnsi="IRNazanin" w:eastAsia="IRNazanin" w:cs="IRNazanin"/>
            <w:color w:val="111111"/>
            <w:sz w:val="22"/>
            <w:szCs w:val="22"/>
            <w:b w:val="0"/>
            <w:bCs w:val="0"/>
            <w:i w:val="0"/>
            <w:iCs w:val="0"/>
          </w:rPr>
          <w:t>طرابلسي ، محمّد بن عبدالله - 1218 ه-</w:t>
        </w:r>
        <w:r>
          <w:tab/>
        </w:r>
        <w:r>
          <w:fldChar w:fldCharType="begin"/>
        </w:r>
        <w:r>
          <w:instrText xml:space="preserve">PAGEREF 4744 \h</w:instrText>
        </w:r>
        <w:r>
          <w:fldChar w:fldCharType="end"/>
        </w:r>
      </w:hyperlink>
    </w:p>
    <w:p>
      <w:pPr>
        <w:tabs>
          <w:tab w:val="right" w:leader="dot" w:pos="9062"/>
        </w:tabs>
        <w:ind w:left="220"/>
      </w:pPr>
      <w:hyperlink w:anchor="_Toc4745" w:history="1">
        <w:r>
          <w:rPr>
            <w:rFonts w:ascii="IRNazanin" w:hAnsi="IRNazanin" w:eastAsia="IRNazanin" w:cs="IRNazanin"/>
            <w:color w:val="111111"/>
            <w:sz w:val="22"/>
            <w:szCs w:val="22"/>
            <w:b w:val="0"/>
            <w:bCs w:val="0"/>
            <w:i w:val="0"/>
            <w:iCs w:val="0"/>
          </w:rPr>
          <w:t>طرابيسي ، محمّد بن علي</w:t>
        </w:r>
        <w:r>
          <w:tab/>
        </w:r>
        <w:r>
          <w:fldChar w:fldCharType="begin"/>
        </w:r>
        <w:r>
          <w:instrText xml:space="preserve">PAGEREF 4745 \h</w:instrText>
        </w:r>
        <w:r>
          <w:fldChar w:fldCharType="end"/>
        </w:r>
      </w:hyperlink>
    </w:p>
    <w:p>
      <w:pPr>
        <w:tabs>
          <w:tab w:val="right" w:leader="dot" w:pos="9062"/>
        </w:tabs>
        <w:ind w:left="220"/>
      </w:pPr>
      <w:hyperlink w:anchor="_Toc4746" w:history="1">
        <w:r>
          <w:rPr>
            <w:rFonts w:ascii="IRNazanin" w:hAnsi="IRNazanin" w:eastAsia="IRNazanin" w:cs="IRNazanin"/>
            <w:color w:val="111111"/>
            <w:sz w:val="22"/>
            <w:szCs w:val="22"/>
            <w:b w:val="0"/>
            <w:bCs w:val="0"/>
            <w:i w:val="0"/>
            <w:iCs w:val="0"/>
          </w:rPr>
          <w:t>طرابيشي ، عمر بن محمّد - 1285 ه-</w:t>
        </w:r>
        <w:r>
          <w:tab/>
        </w:r>
        <w:r>
          <w:fldChar w:fldCharType="begin"/>
        </w:r>
        <w:r>
          <w:instrText xml:space="preserve">PAGEREF 4746 \h</w:instrText>
        </w:r>
        <w:r>
          <w:fldChar w:fldCharType="end"/>
        </w:r>
      </w:hyperlink>
    </w:p>
    <w:p>
      <w:pPr>
        <w:tabs>
          <w:tab w:val="right" w:leader="dot" w:pos="9062"/>
        </w:tabs>
        <w:ind w:left="220"/>
      </w:pPr>
      <w:hyperlink w:anchor="_Toc4747" w:history="1">
        <w:r>
          <w:rPr>
            <w:rFonts w:ascii="IRNazanin" w:hAnsi="IRNazanin" w:eastAsia="IRNazanin" w:cs="IRNazanin"/>
            <w:color w:val="111111"/>
            <w:sz w:val="22"/>
            <w:szCs w:val="22"/>
            <w:b w:val="0"/>
            <w:bCs w:val="0"/>
            <w:i w:val="0"/>
            <w:iCs w:val="0"/>
          </w:rPr>
          <w:t>طرازي ، هبة الله بن احمد - 733 ه-</w:t>
        </w:r>
        <w:r>
          <w:tab/>
        </w:r>
        <w:r>
          <w:fldChar w:fldCharType="begin"/>
        </w:r>
        <w:r>
          <w:instrText xml:space="preserve">PAGEREF 4747 \h</w:instrText>
        </w:r>
        <w:r>
          <w:fldChar w:fldCharType="end"/>
        </w:r>
      </w:hyperlink>
    </w:p>
    <w:p>
      <w:pPr>
        <w:tabs>
          <w:tab w:val="right" w:leader="dot" w:pos="9062"/>
        </w:tabs>
        <w:ind w:left="220"/>
      </w:pPr>
      <w:hyperlink w:anchor="_Toc4748" w:history="1">
        <w:r>
          <w:rPr>
            <w:rFonts w:ascii="IRNazanin" w:hAnsi="IRNazanin" w:eastAsia="IRNazanin" w:cs="IRNazanin"/>
            <w:color w:val="111111"/>
            <w:sz w:val="22"/>
            <w:szCs w:val="22"/>
            <w:b w:val="0"/>
            <w:bCs w:val="0"/>
            <w:i w:val="0"/>
            <w:iCs w:val="0"/>
          </w:rPr>
          <w:t>طرزي افشار - 1083 ه-</w:t>
        </w:r>
        <w:r>
          <w:tab/>
        </w:r>
        <w:r>
          <w:fldChar w:fldCharType="begin"/>
        </w:r>
        <w:r>
          <w:instrText xml:space="preserve">PAGEREF 4748 \h</w:instrText>
        </w:r>
        <w:r>
          <w:fldChar w:fldCharType="end"/>
        </w:r>
      </w:hyperlink>
    </w:p>
    <w:p>
      <w:pPr>
        <w:tabs>
          <w:tab w:val="right" w:leader="dot" w:pos="9062"/>
        </w:tabs>
        <w:ind w:left="220"/>
      </w:pPr>
      <w:hyperlink w:anchor="_Toc4749" w:history="1">
        <w:r>
          <w:rPr>
            <w:rFonts w:ascii="IRNazanin" w:hAnsi="IRNazanin" w:eastAsia="IRNazanin" w:cs="IRNazanin"/>
            <w:color w:val="111111"/>
            <w:sz w:val="22"/>
            <w:szCs w:val="22"/>
            <w:b w:val="0"/>
            <w:bCs w:val="0"/>
            <w:i w:val="0"/>
            <w:iCs w:val="0"/>
          </w:rPr>
          <w:t>طرطوسي ، محمّد بن احمد - 1117</w:t>
        </w:r>
        <w:r>
          <w:tab/>
        </w:r>
        <w:r>
          <w:fldChar w:fldCharType="begin"/>
        </w:r>
        <w:r>
          <w:instrText xml:space="preserve">PAGEREF 4749 \h</w:instrText>
        </w:r>
        <w:r>
          <w:fldChar w:fldCharType="end"/>
        </w:r>
      </w:hyperlink>
    </w:p>
    <w:p>
      <w:pPr>
        <w:tabs>
          <w:tab w:val="right" w:leader="dot" w:pos="9062"/>
        </w:tabs>
        <w:ind w:left="220"/>
      </w:pPr>
      <w:hyperlink w:anchor="_Toc4750" w:history="1">
        <w:r>
          <w:rPr>
            <w:rFonts w:ascii="IRNazanin" w:hAnsi="IRNazanin" w:eastAsia="IRNazanin" w:cs="IRNazanin"/>
            <w:color w:val="111111"/>
            <w:sz w:val="22"/>
            <w:szCs w:val="22"/>
            <w:b w:val="0"/>
            <w:bCs w:val="0"/>
            <w:i w:val="0"/>
            <w:iCs w:val="0"/>
          </w:rPr>
          <w:t>طرسوسي ، ابراهيم بن علي 720 - 758</w:t>
        </w:r>
        <w:r>
          <w:tab/>
        </w:r>
        <w:r>
          <w:fldChar w:fldCharType="begin"/>
        </w:r>
        <w:r>
          <w:instrText xml:space="preserve">PAGEREF 4750 \h</w:instrText>
        </w:r>
        <w:r>
          <w:fldChar w:fldCharType="end"/>
        </w:r>
      </w:hyperlink>
    </w:p>
    <w:p>
      <w:pPr>
        <w:tabs>
          <w:tab w:val="right" w:leader="dot" w:pos="9062"/>
        </w:tabs>
        <w:ind w:left="220"/>
      </w:pPr>
      <w:hyperlink w:anchor="_Toc4751" w:history="1">
        <w:r>
          <w:rPr>
            <w:rFonts w:ascii="IRNazanin" w:hAnsi="IRNazanin" w:eastAsia="IRNazanin" w:cs="IRNazanin"/>
            <w:color w:val="111111"/>
            <w:sz w:val="22"/>
            <w:szCs w:val="22"/>
            <w:b w:val="0"/>
            <w:bCs w:val="0"/>
            <w:i w:val="0"/>
            <w:iCs w:val="0"/>
          </w:rPr>
          <w:t>طرطوشي ، محمّد بن وليد 451 - 520 ه-</w:t>
        </w:r>
        <w:r>
          <w:tab/>
        </w:r>
        <w:r>
          <w:fldChar w:fldCharType="begin"/>
        </w:r>
        <w:r>
          <w:instrText xml:space="preserve">PAGEREF 4751 \h</w:instrText>
        </w:r>
        <w:r>
          <w:fldChar w:fldCharType="end"/>
        </w:r>
      </w:hyperlink>
    </w:p>
    <w:p>
      <w:pPr>
        <w:tabs>
          <w:tab w:val="right" w:leader="dot" w:pos="9062"/>
        </w:tabs>
        <w:ind w:left="220"/>
      </w:pPr>
      <w:hyperlink w:anchor="_Toc4752" w:history="1">
        <w:r>
          <w:rPr>
            <w:rFonts w:ascii="IRNazanin" w:hAnsi="IRNazanin" w:eastAsia="IRNazanin" w:cs="IRNazanin"/>
            <w:color w:val="111111"/>
            <w:sz w:val="22"/>
            <w:szCs w:val="22"/>
            <w:b w:val="0"/>
            <w:bCs w:val="0"/>
            <w:i w:val="0"/>
            <w:iCs w:val="0"/>
          </w:rPr>
          <w:t>طرفي ، ابراهيم قرن 15ه-</w:t>
        </w:r>
        <w:r>
          <w:tab/>
        </w:r>
        <w:r>
          <w:fldChar w:fldCharType="begin"/>
        </w:r>
        <w:r>
          <w:instrText xml:space="preserve">PAGEREF 4752 \h</w:instrText>
        </w:r>
        <w:r>
          <w:fldChar w:fldCharType="end"/>
        </w:r>
      </w:hyperlink>
    </w:p>
    <w:p>
      <w:pPr>
        <w:tabs>
          <w:tab w:val="right" w:leader="dot" w:pos="9062"/>
        </w:tabs>
        <w:ind w:left="220"/>
      </w:pPr>
      <w:hyperlink w:anchor="_Toc4753" w:history="1">
        <w:r>
          <w:rPr>
            <w:rFonts w:ascii="IRNazanin" w:hAnsi="IRNazanin" w:eastAsia="IRNazanin" w:cs="IRNazanin"/>
            <w:color w:val="111111"/>
            <w:sz w:val="22"/>
            <w:szCs w:val="22"/>
            <w:b w:val="0"/>
            <w:bCs w:val="0"/>
            <w:i w:val="0"/>
            <w:iCs w:val="0"/>
          </w:rPr>
          <w:t>طريثيثي ، احمد بن علي - 497 ه-</w:t>
        </w:r>
        <w:r>
          <w:tab/>
        </w:r>
        <w:r>
          <w:fldChar w:fldCharType="begin"/>
        </w:r>
        <w:r>
          <w:instrText xml:space="preserve">PAGEREF 4753 \h</w:instrText>
        </w:r>
        <w:r>
          <w:fldChar w:fldCharType="end"/>
        </w:r>
      </w:hyperlink>
    </w:p>
    <w:p>
      <w:pPr>
        <w:tabs>
          <w:tab w:val="right" w:leader="dot" w:pos="9062"/>
        </w:tabs>
        <w:ind w:left="220"/>
      </w:pPr>
      <w:hyperlink w:anchor="_Toc4754" w:history="1">
        <w:r>
          <w:rPr>
            <w:rFonts w:ascii="IRNazanin" w:hAnsi="IRNazanin" w:eastAsia="IRNazanin" w:cs="IRNazanin"/>
            <w:color w:val="111111"/>
            <w:sz w:val="22"/>
            <w:szCs w:val="22"/>
            <w:b w:val="0"/>
            <w:bCs w:val="0"/>
            <w:i w:val="0"/>
            <w:iCs w:val="0"/>
          </w:rPr>
          <w:t>طريحي ، صفي الدين بن فخرالدين</w:t>
        </w:r>
        <w:r>
          <w:tab/>
        </w:r>
        <w:r>
          <w:fldChar w:fldCharType="begin"/>
        </w:r>
        <w:r>
          <w:instrText xml:space="preserve">PAGEREF 4754 \h</w:instrText>
        </w:r>
        <w:r>
          <w:fldChar w:fldCharType="end"/>
        </w:r>
      </w:hyperlink>
    </w:p>
    <w:p>
      <w:pPr>
        <w:tabs>
          <w:tab w:val="right" w:leader="dot" w:pos="9062"/>
        </w:tabs>
        <w:ind w:left="220"/>
      </w:pPr>
      <w:hyperlink w:anchor="_Toc4755" w:history="1">
        <w:r>
          <w:rPr>
            <w:rFonts w:ascii="IRNazanin" w:hAnsi="IRNazanin" w:eastAsia="IRNazanin" w:cs="IRNazanin"/>
            <w:color w:val="111111"/>
            <w:sz w:val="22"/>
            <w:szCs w:val="22"/>
            <w:b w:val="0"/>
            <w:bCs w:val="0"/>
            <w:i w:val="0"/>
            <w:iCs w:val="0"/>
          </w:rPr>
          <w:t>طريحي ، عفيف الدين بن عبدالكريم</w:t>
        </w:r>
        <w:r>
          <w:tab/>
        </w:r>
        <w:r>
          <w:fldChar w:fldCharType="begin"/>
        </w:r>
        <w:r>
          <w:instrText xml:space="preserve">PAGEREF 4755 \h</w:instrText>
        </w:r>
        <w:r>
          <w:fldChar w:fldCharType="end"/>
        </w:r>
      </w:hyperlink>
    </w:p>
    <w:p>
      <w:pPr>
        <w:tabs>
          <w:tab w:val="right" w:leader="dot" w:pos="9062"/>
        </w:tabs>
        <w:ind w:left="220"/>
      </w:pPr>
      <w:hyperlink w:anchor="_Toc4756" w:history="1">
        <w:r>
          <w:rPr>
            <w:rFonts w:ascii="IRNazanin" w:hAnsi="IRNazanin" w:eastAsia="IRNazanin" w:cs="IRNazanin"/>
            <w:color w:val="111111"/>
            <w:sz w:val="22"/>
            <w:szCs w:val="22"/>
            <w:b w:val="0"/>
            <w:bCs w:val="0"/>
            <w:i w:val="0"/>
            <w:iCs w:val="0"/>
          </w:rPr>
          <w:t>طريحي ، فخرالدین بن محمّد 979 -</w:t>
        </w:r>
        <w:r>
          <w:tab/>
        </w:r>
        <w:r>
          <w:fldChar w:fldCharType="begin"/>
        </w:r>
        <w:r>
          <w:instrText xml:space="preserve">PAGEREF 4756 \h</w:instrText>
        </w:r>
        <w:r>
          <w:fldChar w:fldCharType="end"/>
        </w:r>
      </w:hyperlink>
    </w:p>
    <w:p>
      <w:pPr>
        <w:tabs>
          <w:tab w:val="right" w:leader="dot" w:pos="9062"/>
        </w:tabs>
        <w:ind w:left="220"/>
      </w:pPr>
      <w:hyperlink w:anchor="_Toc4757" w:history="1">
        <w:r>
          <w:rPr>
            <w:rFonts w:ascii="IRNazanin" w:hAnsi="IRNazanin" w:eastAsia="IRNazanin" w:cs="IRNazanin"/>
            <w:color w:val="111111"/>
            <w:sz w:val="22"/>
            <w:szCs w:val="22"/>
            <w:b w:val="0"/>
            <w:bCs w:val="0"/>
            <w:i w:val="0"/>
            <w:iCs w:val="0"/>
          </w:rPr>
          <w:t>طريحي نجفي ، حسام الدين بن جمال</w:t>
        </w:r>
        <w:r>
          <w:tab/>
        </w:r>
        <w:r>
          <w:fldChar w:fldCharType="begin"/>
        </w:r>
        <w:r>
          <w:instrText xml:space="preserve">PAGEREF 4757 \h</w:instrText>
        </w:r>
        <w:r>
          <w:fldChar w:fldCharType="end"/>
        </w:r>
      </w:hyperlink>
    </w:p>
    <w:p>
      <w:pPr>
        <w:tabs>
          <w:tab w:val="right" w:leader="dot" w:pos="9062"/>
        </w:tabs>
        <w:ind w:left="220"/>
      </w:pPr>
      <w:hyperlink w:anchor="_Toc4758" w:history="1">
        <w:r>
          <w:rPr>
            <w:rFonts w:ascii="IRNazanin" w:hAnsi="IRNazanin" w:eastAsia="IRNazanin" w:cs="IRNazanin"/>
            <w:color w:val="111111"/>
            <w:sz w:val="22"/>
            <w:szCs w:val="22"/>
            <w:b w:val="0"/>
            <w:bCs w:val="0"/>
            <w:i w:val="0"/>
            <w:iCs w:val="0"/>
          </w:rPr>
          <w:t>طريحي ، نورالدين</w:t>
        </w:r>
        <w:r>
          <w:tab/>
        </w:r>
        <w:r>
          <w:fldChar w:fldCharType="begin"/>
        </w:r>
        <w:r>
          <w:instrText xml:space="preserve">PAGEREF 4758 \h</w:instrText>
        </w:r>
        <w:r>
          <w:fldChar w:fldCharType="end"/>
        </w:r>
      </w:hyperlink>
    </w:p>
    <w:p>
      <w:pPr>
        <w:tabs>
          <w:tab w:val="right" w:leader="dot" w:pos="9062"/>
        </w:tabs>
        <w:ind w:left="220"/>
      </w:pPr>
      <w:hyperlink w:anchor="_Toc4759" w:history="1">
        <w:r>
          <w:rPr>
            <w:rFonts w:ascii="IRNazanin" w:hAnsi="IRNazanin" w:eastAsia="IRNazanin" w:cs="IRNazanin"/>
            <w:color w:val="111111"/>
            <w:sz w:val="22"/>
            <w:szCs w:val="22"/>
            <w:b w:val="0"/>
            <w:bCs w:val="0"/>
            <w:i w:val="0"/>
            <w:iCs w:val="0"/>
          </w:rPr>
          <w:t>طريني، عبد الجواد بن ابراهيم - 1073</w:t>
        </w:r>
        <w:r>
          <w:tab/>
        </w:r>
        <w:r>
          <w:fldChar w:fldCharType="begin"/>
        </w:r>
        <w:r>
          <w:instrText xml:space="preserve">PAGEREF 4759 \h</w:instrText>
        </w:r>
        <w:r>
          <w:fldChar w:fldCharType="end"/>
        </w:r>
      </w:hyperlink>
    </w:p>
    <w:p>
      <w:pPr>
        <w:tabs>
          <w:tab w:val="right" w:leader="dot" w:pos="9062"/>
        </w:tabs>
        <w:ind w:left="220"/>
      </w:pPr>
      <w:hyperlink w:anchor="_Toc4760" w:history="1">
        <w:r>
          <w:rPr>
            <w:rFonts w:ascii="IRNazanin" w:hAnsi="IRNazanin" w:eastAsia="IRNazanin" w:cs="IRNazanin"/>
            <w:color w:val="111111"/>
            <w:sz w:val="22"/>
            <w:szCs w:val="22"/>
            <w:b w:val="0"/>
            <w:bCs w:val="0"/>
            <w:i w:val="0"/>
            <w:iCs w:val="0"/>
          </w:rPr>
          <w:t>طغائي كمره اي ، علينقي بن محمّد</w:t>
        </w:r>
        <w:r>
          <w:tab/>
        </w:r>
        <w:r>
          <w:fldChar w:fldCharType="begin"/>
        </w:r>
        <w:r>
          <w:instrText xml:space="preserve">PAGEREF 4760 \h</w:instrText>
        </w:r>
        <w:r>
          <w:fldChar w:fldCharType="end"/>
        </w:r>
      </w:hyperlink>
    </w:p>
    <w:p>
      <w:pPr>
        <w:tabs>
          <w:tab w:val="right" w:leader="dot" w:pos="9062"/>
        </w:tabs>
        <w:ind w:left="220"/>
      </w:pPr>
      <w:hyperlink w:anchor="_Toc4761" w:history="1">
        <w:r>
          <w:rPr>
            <w:rFonts w:ascii="IRNazanin" w:hAnsi="IRNazanin" w:eastAsia="IRNazanin" w:cs="IRNazanin"/>
            <w:color w:val="111111"/>
            <w:sz w:val="22"/>
            <w:szCs w:val="22"/>
            <w:b w:val="0"/>
            <w:bCs w:val="0"/>
            <w:i w:val="0"/>
            <w:iCs w:val="0"/>
          </w:rPr>
          <w:t>طغرائي ، حسين بن علي، 455 - 514 ه-</w:t>
        </w:r>
        <w:r>
          <w:tab/>
        </w:r>
        <w:r>
          <w:fldChar w:fldCharType="begin"/>
        </w:r>
        <w:r>
          <w:instrText xml:space="preserve">PAGEREF 4761 \h</w:instrText>
        </w:r>
        <w:r>
          <w:fldChar w:fldCharType="end"/>
        </w:r>
      </w:hyperlink>
    </w:p>
    <w:p>
      <w:pPr>
        <w:tabs>
          <w:tab w:val="right" w:leader="dot" w:pos="9062"/>
        </w:tabs>
        <w:ind w:left="220"/>
      </w:pPr>
      <w:hyperlink w:anchor="_Toc4762" w:history="1">
        <w:r>
          <w:rPr>
            <w:rFonts w:ascii="IRNazanin" w:hAnsi="IRNazanin" w:eastAsia="IRNazanin" w:cs="IRNazanin"/>
            <w:color w:val="111111"/>
            <w:sz w:val="22"/>
            <w:szCs w:val="22"/>
            <w:b w:val="0"/>
            <w:bCs w:val="0"/>
            <w:i w:val="0"/>
            <w:iCs w:val="0"/>
          </w:rPr>
          <w:t>طفيلي، عبدالرضا قرن 13 ه-</w:t>
        </w:r>
        <w:r>
          <w:tab/>
        </w:r>
        <w:r>
          <w:fldChar w:fldCharType="begin"/>
        </w:r>
        <w:r>
          <w:instrText xml:space="preserve">PAGEREF 4762 \h</w:instrText>
        </w:r>
        <w:r>
          <w:fldChar w:fldCharType="end"/>
        </w:r>
      </w:hyperlink>
    </w:p>
    <w:p>
      <w:pPr>
        <w:tabs>
          <w:tab w:val="right" w:leader="dot" w:pos="9062"/>
        </w:tabs>
        <w:ind w:left="220"/>
      </w:pPr>
      <w:hyperlink w:anchor="_Toc4763" w:history="1">
        <w:r>
          <w:rPr>
            <w:rFonts w:ascii="IRNazanin" w:hAnsi="IRNazanin" w:eastAsia="IRNazanin" w:cs="IRNazanin"/>
            <w:color w:val="111111"/>
            <w:sz w:val="22"/>
            <w:szCs w:val="22"/>
            <w:b w:val="0"/>
            <w:bCs w:val="0"/>
            <w:i w:val="0"/>
            <w:iCs w:val="0"/>
          </w:rPr>
          <w:t>طلباني ، عبدالله بن محمّد</w:t>
        </w:r>
        <w:r>
          <w:tab/>
        </w:r>
        <w:r>
          <w:fldChar w:fldCharType="begin"/>
        </w:r>
        <w:r>
          <w:instrText xml:space="preserve">PAGEREF 4763 \h</w:instrText>
        </w:r>
        <w:r>
          <w:fldChar w:fldCharType="end"/>
        </w:r>
      </w:hyperlink>
    </w:p>
    <w:p>
      <w:pPr>
        <w:tabs>
          <w:tab w:val="right" w:leader="dot" w:pos="9062"/>
        </w:tabs>
        <w:ind w:left="220"/>
      </w:pPr>
      <w:hyperlink w:anchor="_Toc4764" w:history="1">
        <w:r>
          <w:rPr>
            <w:rFonts w:ascii="IRNazanin" w:hAnsi="IRNazanin" w:eastAsia="IRNazanin" w:cs="IRNazanin"/>
            <w:color w:val="111111"/>
            <w:sz w:val="22"/>
            <w:szCs w:val="22"/>
            <w:b w:val="0"/>
            <w:bCs w:val="0"/>
            <w:i w:val="0"/>
            <w:iCs w:val="0"/>
          </w:rPr>
          <w:t>طليوني مصري، 1120 - 1160 ه-</w:t>
        </w:r>
        <w:r>
          <w:tab/>
        </w:r>
        <w:r>
          <w:fldChar w:fldCharType="begin"/>
        </w:r>
        <w:r>
          <w:instrText xml:space="preserve">PAGEREF 4764 \h</w:instrText>
        </w:r>
        <w:r>
          <w:fldChar w:fldCharType="end"/>
        </w:r>
      </w:hyperlink>
    </w:p>
    <w:p>
      <w:pPr>
        <w:tabs>
          <w:tab w:val="right" w:leader="dot" w:pos="9062"/>
        </w:tabs>
        <w:ind w:left="220"/>
      </w:pPr>
      <w:hyperlink w:anchor="_Toc4765" w:history="1">
        <w:r>
          <w:rPr>
            <w:rFonts w:ascii="IRNazanin" w:hAnsi="IRNazanin" w:eastAsia="IRNazanin" w:cs="IRNazanin"/>
            <w:color w:val="111111"/>
            <w:sz w:val="22"/>
            <w:szCs w:val="22"/>
            <w:b w:val="0"/>
            <w:bCs w:val="0"/>
            <w:i w:val="0"/>
            <w:iCs w:val="0"/>
          </w:rPr>
          <w:t>طنجي</w:t>
        </w:r>
        <w:r>
          <w:tab/>
        </w:r>
        <w:r>
          <w:fldChar w:fldCharType="begin"/>
        </w:r>
        <w:r>
          <w:instrText xml:space="preserve">PAGEREF 4765 \h</w:instrText>
        </w:r>
        <w:r>
          <w:fldChar w:fldCharType="end"/>
        </w:r>
      </w:hyperlink>
    </w:p>
    <w:p>
      <w:pPr>
        <w:tabs>
          <w:tab w:val="right" w:leader="dot" w:pos="9062"/>
        </w:tabs>
        <w:ind w:left="220"/>
      </w:pPr>
      <w:hyperlink w:anchor="_Toc4766" w:history="1">
        <w:r>
          <w:rPr>
            <w:rFonts w:ascii="IRNazanin" w:hAnsi="IRNazanin" w:eastAsia="IRNazanin" w:cs="IRNazanin"/>
            <w:color w:val="111111"/>
            <w:sz w:val="22"/>
            <w:szCs w:val="22"/>
            <w:b w:val="0"/>
            <w:bCs w:val="0"/>
            <w:i w:val="0"/>
            <w:iCs w:val="0"/>
          </w:rPr>
          <w:t>طنطراني ، احمد بن عبد الرزاق - 485 ؟</w:t>
        </w:r>
        <w:r>
          <w:tab/>
        </w:r>
        <w:r>
          <w:fldChar w:fldCharType="begin"/>
        </w:r>
        <w:r>
          <w:instrText xml:space="preserve">PAGEREF 4766 \h</w:instrText>
        </w:r>
        <w:r>
          <w:fldChar w:fldCharType="end"/>
        </w:r>
      </w:hyperlink>
    </w:p>
    <w:p>
      <w:pPr>
        <w:tabs>
          <w:tab w:val="right" w:leader="dot" w:pos="9062"/>
        </w:tabs>
        <w:ind w:left="220"/>
      </w:pPr>
      <w:hyperlink w:anchor="_Toc4767" w:history="1">
        <w:r>
          <w:rPr>
            <w:rFonts w:ascii="IRNazanin" w:hAnsi="IRNazanin" w:eastAsia="IRNazanin" w:cs="IRNazanin"/>
            <w:color w:val="111111"/>
            <w:sz w:val="22"/>
            <w:szCs w:val="22"/>
            <w:b w:val="0"/>
            <w:bCs w:val="0"/>
            <w:i w:val="0"/>
            <w:iCs w:val="0"/>
          </w:rPr>
          <w:t>طهراني</w:t>
        </w:r>
        <w:r>
          <w:tab/>
        </w:r>
        <w:r>
          <w:fldChar w:fldCharType="begin"/>
        </w:r>
        <w:r>
          <w:instrText xml:space="preserve">PAGEREF 4767 \h</w:instrText>
        </w:r>
        <w:r>
          <w:fldChar w:fldCharType="end"/>
        </w:r>
      </w:hyperlink>
    </w:p>
    <w:p>
      <w:pPr>
        <w:tabs>
          <w:tab w:val="right" w:leader="dot" w:pos="9062"/>
        </w:tabs>
        <w:ind w:left="220"/>
      </w:pPr>
      <w:hyperlink w:anchor="_Toc4768" w:history="1">
        <w:r>
          <w:rPr>
            <w:rFonts w:ascii="IRNazanin" w:hAnsi="IRNazanin" w:eastAsia="IRNazanin" w:cs="IRNazanin"/>
            <w:color w:val="111111"/>
            <w:sz w:val="22"/>
            <w:szCs w:val="22"/>
            <w:b w:val="0"/>
            <w:bCs w:val="0"/>
            <w:i w:val="0"/>
            <w:iCs w:val="0"/>
          </w:rPr>
          <w:t>طهراني ، محمّد يوسف بن حسن قرن 12</w:t>
        </w:r>
        <w:r>
          <w:tab/>
        </w:r>
        <w:r>
          <w:fldChar w:fldCharType="begin"/>
        </w:r>
        <w:r>
          <w:instrText xml:space="preserve">PAGEREF 4768 \h</w:instrText>
        </w:r>
        <w:r>
          <w:fldChar w:fldCharType="end"/>
        </w:r>
      </w:hyperlink>
    </w:p>
    <w:p>
      <w:pPr>
        <w:tabs>
          <w:tab w:val="right" w:leader="dot" w:pos="9062"/>
        </w:tabs>
        <w:ind w:left="220"/>
      </w:pPr>
      <w:hyperlink w:anchor="_Toc4769" w:history="1">
        <w:r>
          <w:rPr>
            <w:rFonts w:ascii="IRNazanin" w:hAnsi="IRNazanin" w:eastAsia="IRNazanin" w:cs="IRNazanin"/>
            <w:color w:val="111111"/>
            <w:sz w:val="22"/>
            <w:szCs w:val="22"/>
            <w:b w:val="0"/>
            <w:bCs w:val="0"/>
            <w:i w:val="0"/>
            <w:iCs w:val="0"/>
          </w:rPr>
          <w:t>طهطاوي ، احمد بن عبدالرحیم 1233 -</w:t>
        </w:r>
        <w:r>
          <w:tab/>
        </w:r>
        <w:r>
          <w:fldChar w:fldCharType="begin"/>
        </w:r>
        <w:r>
          <w:instrText xml:space="preserve">PAGEREF 4769 \h</w:instrText>
        </w:r>
        <w:r>
          <w:fldChar w:fldCharType="end"/>
        </w:r>
      </w:hyperlink>
    </w:p>
    <w:p>
      <w:pPr>
        <w:tabs>
          <w:tab w:val="right" w:leader="dot" w:pos="9062"/>
        </w:tabs>
        <w:ind w:left="220"/>
      </w:pPr>
      <w:hyperlink w:anchor="_Toc4770" w:history="1">
        <w:r>
          <w:rPr>
            <w:rFonts w:ascii="IRNazanin" w:hAnsi="IRNazanin" w:eastAsia="IRNazanin" w:cs="IRNazanin"/>
            <w:color w:val="111111"/>
            <w:sz w:val="22"/>
            <w:szCs w:val="22"/>
            <w:b w:val="0"/>
            <w:bCs w:val="0"/>
            <w:i w:val="0"/>
            <w:iCs w:val="0"/>
          </w:rPr>
          <w:t>طهطاوي ، احمد بن محمّد - 1231 ه-</w:t>
        </w:r>
        <w:r>
          <w:tab/>
        </w:r>
        <w:r>
          <w:fldChar w:fldCharType="begin"/>
        </w:r>
        <w:r>
          <w:instrText xml:space="preserve">PAGEREF 4770 \h</w:instrText>
        </w:r>
        <w:r>
          <w:fldChar w:fldCharType="end"/>
        </w:r>
      </w:hyperlink>
    </w:p>
    <w:p>
      <w:pPr>
        <w:tabs>
          <w:tab w:val="right" w:leader="dot" w:pos="9062"/>
        </w:tabs>
        <w:ind w:left="220"/>
      </w:pPr>
      <w:hyperlink w:anchor="_Toc4771" w:history="1">
        <w:r>
          <w:rPr>
            <w:rFonts w:ascii="IRNazanin" w:hAnsi="IRNazanin" w:eastAsia="IRNazanin" w:cs="IRNazanin"/>
            <w:color w:val="111111"/>
            <w:sz w:val="22"/>
            <w:szCs w:val="22"/>
            <w:b w:val="0"/>
            <w:bCs w:val="0"/>
            <w:i w:val="0"/>
            <w:iCs w:val="0"/>
          </w:rPr>
          <w:t>طهماسب صفوي اول ، شاه ایران 919 -</w:t>
        </w:r>
        <w:r>
          <w:tab/>
        </w:r>
        <w:r>
          <w:fldChar w:fldCharType="begin"/>
        </w:r>
        <w:r>
          <w:instrText xml:space="preserve">PAGEREF 4771 \h</w:instrText>
        </w:r>
        <w:r>
          <w:fldChar w:fldCharType="end"/>
        </w:r>
      </w:hyperlink>
    </w:p>
    <w:p>
      <w:pPr>
        <w:tabs>
          <w:tab w:val="right" w:leader="dot" w:pos="9062"/>
        </w:tabs>
        <w:ind w:left="220"/>
      </w:pPr>
      <w:hyperlink w:anchor="_Toc4772" w:history="1">
        <w:r>
          <w:rPr>
            <w:rFonts w:ascii="IRNazanin" w:hAnsi="IRNazanin" w:eastAsia="IRNazanin" w:cs="IRNazanin"/>
            <w:color w:val="111111"/>
            <w:sz w:val="22"/>
            <w:szCs w:val="22"/>
            <w:b w:val="0"/>
            <w:bCs w:val="0"/>
            <w:i w:val="0"/>
            <w:iCs w:val="0"/>
          </w:rPr>
          <w:t>طهوائي ، نورالدين بن ابي الحسن</w:t>
        </w:r>
        <w:r>
          <w:tab/>
        </w:r>
        <w:r>
          <w:fldChar w:fldCharType="begin"/>
        </w:r>
        <w:r>
          <w:instrText xml:space="preserve">PAGEREF 4772 \h</w:instrText>
        </w:r>
        <w:r>
          <w:fldChar w:fldCharType="end"/>
        </w:r>
      </w:hyperlink>
    </w:p>
    <w:p>
      <w:pPr>
        <w:tabs>
          <w:tab w:val="right" w:leader="dot" w:pos="9062"/>
        </w:tabs>
        <w:ind w:left="220"/>
      </w:pPr>
      <w:hyperlink w:anchor="_Toc4773" w:history="1">
        <w:r>
          <w:rPr>
            <w:rFonts w:ascii="IRNazanin" w:hAnsi="IRNazanin" w:eastAsia="IRNazanin" w:cs="IRNazanin"/>
            <w:color w:val="111111"/>
            <w:sz w:val="22"/>
            <w:szCs w:val="22"/>
            <w:b w:val="0"/>
            <w:bCs w:val="0"/>
            <w:i w:val="0"/>
            <w:iCs w:val="0"/>
          </w:rPr>
          <w:t>طوري ، علي بن عبدالله - 1004 ه-</w:t>
        </w:r>
        <w:r>
          <w:tab/>
        </w:r>
        <w:r>
          <w:fldChar w:fldCharType="begin"/>
        </w:r>
        <w:r>
          <w:instrText xml:space="preserve">PAGEREF 4773 \h</w:instrText>
        </w:r>
        <w:r>
          <w:fldChar w:fldCharType="end"/>
        </w:r>
      </w:hyperlink>
    </w:p>
    <w:p>
      <w:pPr>
        <w:tabs>
          <w:tab w:val="right" w:leader="dot" w:pos="9062"/>
        </w:tabs>
        <w:ind w:left="220"/>
      </w:pPr>
      <w:hyperlink w:anchor="_Toc4774" w:history="1">
        <w:r>
          <w:rPr>
            <w:rFonts w:ascii="IRNazanin" w:hAnsi="IRNazanin" w:eastAsia="IRNazanin" w:cs="IRNazanin"/>
            <w:color w:val="111111"/>
            <w:sz w:val="22"/>
            <w:szCs w:val="22"/>
            <w:b w:val="0"/>
            <w:bCs w:val="0"/>
            <w:i w:val="0"/>
            <w:iCs w:val="0"/>
          </w:rPr>
          <w:t>طوسوي ، ابراهيم بن عبدالكريم - 900</w:t>
        </w:r>
        <w:r>
          <w:tab/>
        </w:r>
        <w:r>
          <w:fldChar w:fldCharType="begin"/>
        </w:r>
        <w:r>
          <w:instrText xml:space="preserve">PAGEREF 4774 \h</w:instrText>
        </w:r>
        <w:r>
          <w:fldChar w:fldCharType="end"/>
        </w:r>
      </w:hyperlink>
    </w:p>
    <w:p>
      <w:pPr>
        <w:tabs>
          <w:tab w:val="right" w:leader="dot" w:pos="9062"/>
        </w:tabs>
        <w:ind w:left="220"/>
      </w:pPr>
      <w:hyperlink w:anchor="_Toc4775" w:history="1">
        <w:r>
          <w:rPr>
            <w:rFonts w:ascii="IRNazanin" w:hAnsi="IRNazanin" w:eastAsia="IRNazanin" w:cs="IRNazanin"/>
            <w:color w:val="111111"/>
            <w:sz w:val="22"/>
            <w:szCs w:val="22"/>
            <w:b w:val="0"/>
            <w:bCs w:val="0"/>
            <w:i w:val="0"/>
            <w:iCs w:val="0"/>
          </w:rPr>
          <w:t>طوسي، ابراهيم بن عثمان</w:t>
        </w:r>
        <w:r>
          <w:tab/>
        </w:r>
        <w:r>
          <w:fldChar w:fldCharType="begin"/>
        </w:r>
        <w:r>
          <w:instrText xml:space="preserve">PAGEREF 4775 \h</w:instrText>
        </w:r>
        <w:r>
          <w:fldChar w:fldCharType="end"/>
        </w:r>
      </w:hyperlink>
    </w:p>
    <w:p>
      <w:pPr>
        <w:tabs>
          <w:tab w:val="right" w:leader="dot" w:pos="9062"/>
        </w:tabs>
        <w:ind w:left="220"/>
      </w:pPr>
      <w:hyperlink w:anchor="_Toc4776" w:history="1">
        <w:r>
          <w:rPr>
            <w:rFonts w:ascii="IRNazanin" w:hAnsi="IRNazanin" w:eastAsia="IRNazanin" w:cs="IRNazanin"/>
            <w:color w:val="111111"/>
            <w:sz w:val="22"/>
            <w:szCs w:val="22"/>
            <w:b w:val="0"/>
            <w:bCs w:val="0"/>
            <w:i w:val="0"/>
            <w:iCs w:val="0"/>
          </w:rPr>
          <w:t>طوسي، احمد بن حسين قرن 5 ه-</w:t>
        </w:r>
        <w:r>
          <w:tab/>
        </w:r>
        <w:r>
          <w:fldChar w:fldCharType="begin"/>
        </w:r>
        <w:r>
          <w:instrText xml:space="preserve">PAGEREF 4776 \h</w:instrText>
        </w:r>
        <w:r>
          <w:fldChar w:fldCharType="end"/>
        </w:r>
      </w:hyperlink>
    </w:p>
    <w:p>
      <w:pPr>
        <w:tabs>
          <w:tab w:val="right" w:leader="dot" w:pos="9062"/>
        </w:tabs>
        <w:ind w:left="220"/>
      </w:pPr>
      <w:hyperlink w:anchor="_Toc4777" w:history="1">
        <w:r>
          <w:rPr>
            <w:rFonts w:ascii="IRNazanin" w:hAnsi="IRNazanin" w:eastAsia="IRNazanin" w:cs="IRNazanin"/>
            <w:color w:val="111111"/>
            <w:sz w:val="22"/>
            <w:szCs w:val="22"/>
            <w:b w:val="0"/>
            <w:bCs w:val="0"/>
            <w:i w:val="0"/>
            <w:iCs w:val="0"/>
          </w:rPr>
          <w:t>طوسي، احمد بن محمّد قرن 6 ه-</w:t>
        </w:r>
        <w:r>
          <w:tab/>
        </w:r>
        <w:r>
          <w:fldChar w:fldCharType="begin"/>
        </w:r>
        <w:r>
          <w:instrText xml:space="preserve">PAGEREF 4777 \h</w:instrText>
        </w:r>
        <w:r>
          <w:fldChar w:fldCharType="end"/>
        </w:r>
      </w:hyperlink>
    </w:p>
    <w:p>
      <w:pPr>
        <w:tabs>
          <w:tab w:val="right" w:leader="dot" w:pos="9062"/>
        </w:tabs>
        <w:ind w:left="220"/>
      </w:pPr>
      <w:hyperlink w:anchor="_Toc4778" w:history="1">
        <w:r>
          <w:rPr>
            <w:rFonts w:ascii="IRNazanin" w:hAnsi="IRNazanin" w:eastAsia="IRNazanin" w:cs="IRNazanin"/>
            <w:color w:val="111111"/>
            <w:sz w:val="22"/>
            <w:szCs w:val="22"/>
            <w:b w:val="0"/>
            <w:bCs w:val="0"/>
            <w:i w:val="0"/>
            <w:iCs w:val="0"/>
          </w:rPr>
          <w:t>طوسي اصفهاني ، رجبعلي بن محمّد صالح</w:t>
        </w:r>
        <w:r>
          <w:tab/>
        </w:r>
        <w:r>
          <w:fldChar w:fldCharType="begin"/>
        </w:r>
        <w:r>
          <w:instrText xml:space="preserve">PAGEREF 4778 \h</w:instrText>
        </w:r>
        <w:r>
          <w:fldChar w:fldCharType="end"/>
        </w:r>
      </w:hyperlink>
    </w:p>
    <w:p>
      <w:pPr>
        <w:tabs>
          <w:tab w:val="right" w:leader="dot" w:pos="9062"/>
        </w:tabs>
        <w:ind w:left="220"/>
      </w:pPr>
      <w:hyperlink w:anchor="_Toc4779" w:history="1">
        <w:r>
          <w:rPr>
            <w:rFonts w:ascii="IRNazanin" w:hAnsi="IRNazanin" w:eastAsia="IRNazanin" w:cs="IRNazanin"/>
            <w:color w:val="111111"/>
            <w:sz w:val="22"/>
            <w:szCs w:val="22"/>
            <w:b w:val="0"/>
            <w:bCs w:val="0"/>
            <w:i w:val="0"/>
            <w:iCs w:val="0"/>
          </w:rPr>
          <w:t>طوسي ، شرف الدين، 7 ه-</w:t>
        </w:r>
        <w:r>
          <w:tab/>
        </w:r>
        <w:r>
          <w:fldChar w:fldCharType="begin"/>
        </w:r>
        <w:r>
          <w:instrText xml:space="preserve">PAGEREF 4779 \h</w:instrText>
        </w:r>
        <w:r>
          <w:fldChar w:fldCharType="end"/>
        </w:r>
      </w:hyperlink>
    </w:p>
    <w:p>
      <w:pPr>
        <w:tabs>
          <w:tab w:val="right" w:leader="dot" w:pos="9062"/>
        </w:tabs>
        <w:ind w:left="220"/>
      </w:pPr>
      <w:hyperlink w:anchor="_Toc4780" w:history="1">
        <w:r>
          <w:rPr>
            <w:rFonts w:ascii="IRNazanin" w:hAnsi="IRNazanin" w:eastAsia="IRNazanin" w:cs="IRNazanin"/>
            <w:color w:val="111111"/>
            <w:sz w:val="22"/>
            <w:szCs w:val="22"/>
            <w:b w:val="0"/>
            <w:bCs w:val="0"/>
            <w:i w:val="0"/>
            <w:iCs w:val="0"/>
          </w:rPr>
          <w:t>طوسي، عبدالعزيز بن محمد - 706 ه-</w:t>
        </w:r>
        <w:r>
          <w:tab/>
        </w:r>
        <w:r>
          <w:fldChar w:fldCharType="begin"/>
        </w:r>
        <w:r>
          <w:instrText xml:space="preserve">PAGEREF 4780 \h</w:instrText>
        </w:r>
        <w:r>
          <w:fldChar w:fldCharType="end"/>
        </w:r>
      </w:hyperlink>
    </w:p>
    <w:p>
      <w:pPr>
        <w:tabs>
          <w:tab w:val="right" w:leader="dot" w:pos="9062"/>
        </w:tabs>
        <w:ind w:left="220"/>
      </w:pPr>
      <w:hyperlink w:anchor="_Toc4781" w:history="1">
        <w:r>
          <w:rPr>
            <w:rFonts w:ascii="IRNazanin" w:hAnsi="IRNazanin" w:eastAsia="IRNazanin" w:cs="IRNazanin"/>
            <w:color w:val="111111"/>
            <w:sz w:val="22"/>
            <w:szCs w:val="22"/>
            <w:b w:val="0"/>
            <w:bCs w:val="0"/>
            <w:i w:val="0"/>
            <w:iCs w:val="0"/>
          </w:rPr>
          <w:t>طوسي ، عبدالله بن احمد - 568 ه-</w:t>
        </w:r>
        <w:r>
          <w:tab/>
        </w:r>
        <w:r>
          <w:fldChar w:fldCharType="begin"/>
        </w:r>
        <w:r>
          <w:instrText xml:space="preserve">PAGEREF 4781 \h</w:instrText>
        </w:r>
        <w:r>
          <w:fldChar w:fldCharType="end"/>
        </w:r>
      </w:hyperlink>
    </w:p>
    <w:p>
      <w:pPr>
        <w:tabs>
          <w:tab w:val="right" w:leader="dot" w:pos="9062"/>
        </w:tabs>
        <w:ind w:left="220"/>
      </w:pPr>
      <w:hyperlink w:anchor="_Toc4782" w:history="1">
        <w:r>
          <w:rPr>
            <w:rFonts w:ascii="IRNazanin" w:hAnsi="IRNazanin" w:eastAsia="IRNazanin" w:cs="IRNazanin"/>
            <w:color w:val="111111"/>
            <w:sz w:val="22"/>
            <w:szCs w:val="22"/>
            <w:b w:val="0"/>
            <w:bCs w:val="0"/>
            <w:i w:val="0"/>
            <w:iCs w:val="0"/>
          </w:rPr>
          <w:t>طوسي ، علي بن محمّد - 877 ؟ ه-</w:t>
        </w:r>
        <w:r>
          <w:tab/>
        </w:r>
        <w:r>
          <w:fldChar w:fldCharType="begin"/>
        </w:r>
        <w:r>
          <w:instrText xml:space="preserve">PAGEREF 4782 \h</w:instrText>
        </w:r>
        <w:r>
          <w:fldChar w:fldCharType="end"/>
        </w:r>
      </w:hyperlink>
    </w:p>
    <w:p>
      <w:pPr>
        <w:tabs>
          <w:tab w:val="right" w:leader="dot" w:pos="9062"/>
        </w:tabs>
        <w:ind w:left="220"/>
      </w:pPr>
      <w:hyperlink w:anchor="_Toc4783" w:history="1">
        <w:r>
          <w:rPr>
            <w:rFonts w:ascii="IRNazanin" w:hAnsi="IRNazanin" w:eastAsia="IRNazanin" w:cs="IRNazanin"/>
            <w:color w:val="111111"/>
            <w:sz w:val="22"/>
            <w:szCs w:val="22"/>
            <w:b w:val="0"/>
            <w:bCs w:val="0"/>
            <w:i w:val="0"/>
            <w:iCs w:val="0"/>
          </w:rPr>
          <w:t>طوسي ، محمّد بن اسلم - 242 ه-</w:t>
        </w:r>
        <w:r>
          <w:tab/>
        </w:r>
        <w:r>
          <w:fldChar w:fldCharType="begin"/>
        </w:r>
        <w:r>
          <w:instrText xml:space="preserve">PAGEREF 4783 \h</w:instrText>
        </w:r>
        <w:r>
          <w:fldChar w:fldCharType="end"/>
        </w:r>
      </w:hyperlink>
    </w:p>
    <w:p>
      <w:pPr>
        <w:tabs>
          <w:tab w:val="right" w:leader="dot" w:pos="9062"/>
        </w:tabs>
        <w:ind w:left="220"/>
      </w:pPr>
      <w:hyperlink w:anchor="_Toc4784" w:history="1">
        <w:r>
          <w:rPr>
            <w:rFonts w:ascii="IRNazanin" w:hAnsi="IRNazanin" w:eastAsia="IRNazanin" w:cs="IRNazanin"/>
            <w:color w:val="111111"/>
            <w:sz w:val="22"/>
            <w:szCs w:val="22"/>
            <w:b w:val="0"/>
            <w:bCs w:val="0"/>
            <w:i w:val="0"/>
            <w:iCs w:val="0"/>
          </w:rPr>
          <w:t>طوسي ، محمّد بن حسن</w:t>
        </w:r>
        <w:r>
          <w:tab/>
        </w:r>
        <w:r>
          <w:fldChar w:fldCharType="begin"/>
        </w:r>
        <w:r>
          <w:instrText xml:space="preserve">PAGEREF 4784 \h</w:instrText>
        </w:r>
        <w:r>
          <w:fldChar w:fldCharType="end"/>
        </w:r>
      </w:hyperlink>
    </w:p>
    <w:p>
      <w:pPr>
        <w:tabs>
          <w:tab w:val="right" w:leader="dot" w:pos="9062"/>
        </w:tabs>
        <w:ind w:left="220"/>
      </w:pPr>
      <w:hyperlink w:anchor="_Toc4785" w:history="1">
        <w:r>
          <w:rPr>
            <w:rFonts w:ascii="IRNazanin" w:hAnsi="IRNazanin" w:eastAsia="IRNazanin" w:cs="IRNazanin"/>
            <w:color w:val="111111"/>
            <w:sz w:val="22"/>
            <w:szCs w:val="22"/>
            <w:b w:val="0"/>
            <w:bCs w:val="0"/>
            <w:i w:val="0"/>
            <w:iCs w:val="0"/>
          </w:rPr>
          <w:t>طوسي ، محمّد بن علي اصغر، قرن 13 ه-</w:t>
        </w:r>
        <w:r>
          <w:tab/>
        </w:r>
        <w:r>
          <w:fldChar w:fldCharType="begin"/>
        </w:r>
        <w:r>
          <w:instrText xml:space="preserve">PAGEREF 4785 \h</w:instrText>
        </w:r>
        <w:r>
          <w:fldChar w:fldCharType="end"/>
        </w:r>
      </w:hyperlink>
    </w:p>
    <w:p>
      <w:pPr>
        <w:tabs>
          <w:tab w:val="right" w:leader="dot" w:pos="9062"/>
        </w:tabs>
        <w:ind w:left="220"/>
      </w:pPr>
      <w:hyperlink w:anchor="_Toc4786" w:history="1">
        <w:r>
          <w:rPr>
            <w:rFonts w:ascii="IRNazanin" w:hAnsi="IRNazanin" w:eastAsia="IRNazanin" w:cs="IRNazanin"/>
            <w:color w:val="111111"/>
            <w:sz w:val="22"/>
            <w:szCs w:val="22"/>
            <w:b w:val="0"/>
            <w:bCs w:val="0"/>
            <w:i w:val="0"/>
            <w:iCs w:val="0"/>
          </w:rPr>
          <w:t>طوسي ، محمّد بن محمود</w:t>
        </w:r>
        <w:r>
          <w:tab/>
        </w:r>
        <w:r>
          <w:fldChar w:fldCharType="begin"/>
        </w:r>
        <w:r>
          <w:instrText xml:space="preserve">PAGEREF 4786 \h</w:instrText>
        </w:r>
        <w:r>
          <w:fldChar w:fldCharType="end"/>
        </w:r>
      </w:hyperlink>
    </w:p>
    <w:p>
      <w:pPr>
        <w:tabs>
          <w:tab w:val="right" w:leader="dot" w:pos="9062"/>
        </w:tabs>
        <w:ind w:left="220"/>
      </w:pPr>
      <w:hyperlink w:anchor="_Toc4787" w:history="1">
        <w:r>
          <w:rPr>
            <w:rFonts w:ascii="IRNazanin" w:hAnsi="IRNazanin" w:eastAsia="IRNazanin" w:cs="IRNazanin"/>
            <w:color w:val="111111"/>
            <w:sz w:val="22"/>
            <w:szCs w:val="22"/>
            <w:b w:val="0"/>
            <w:bCs w:val="0"/>
            <w:i w:val="0"/>
            <w:iCs w:val="0"/>
          </w:rPr>
          <w:t>طوسي مشهدي، محمّد بن حسن -</w:t>
        </w:r>
        <w:r>
          <w:tab/>
        </w:r>
        <w:r>
          <w:fldChar w:fldCharType="begin"/>
        </w:r>
        <w:r>
          <w:instrText xml:space="preserve">PAGEREF 4787 \h</w:instrText>
        </w:r>
        <w:r>
          <w:fldChar w:fldCharType="end"/>
        </w:r>
      </w:hyperlink>
    </w:p>
    <w:p>
      <w:pPr>
        <w:tabs>
          <w:tab w:val="right" w:leader="dot" w:pos="9062"/>
        </w:tabs>
        <w:ind w:left="220"/>
      </w:pPr>
      <w:hyperlink w:anchor="_Toc4788" w:history="1">
        <w:r>
          <w:rPr>
            <w:rFonts w:ascii="IRNazanin" w:hAnsi="IRNazanin" w:eastAsia="IRNazanin" w:cs="IRNazanin"/>
            <w:color w:val="111111"/>
            <w:sz w:val="22"/>
            <w:szCs w:val="22"/>
            <w:b w:val="0"/>
            <w:bCs w:val="0"/>
            <w:i w:val="0"/>
            <w:iCs w:val="0"/>
          </w:rPr>
          <w:t>طوسي ، مؤيد بن محمّد - 242 ه-</w:t>
        </w:r>
        <w:r>
          <w:tab/>
        </w:r>
        <w:r>
          <w:fldChar w:fldCharType="begin"/>
        </w:r>
        <w:r>
          <w:instrText xml:space="preserve">PAGEREF 4788 \h</w:instrText>
        </w:r>
        <w:r>
          <w:fldChar w:fldCharType="end"/>
        </w:r>
      </w:hyperlink>
    </w:p>
    <w:p>
      <w:pPr>
        <w:tabs>
          <w:tab w:val="right" w:leader="dot" w:pos="9062"/>
        </w:tabs>
        <w:ind w:left="220"/>
      </w:pPr>
      <w:hyperlink w:anchor="_Toc4789" w:history="1">
        <w:r>
          <w:rPr>
            <w:rFonts w:ascii="IRNazanin" w:hAnsi="IRNazanin" w:eastAsia="IRNazanin" w:cs="IRNazanin"/>
            <w:color w:val="111111"/>
            <w:sz w:val="22"/>
            <w:szCs w:val="22"/>
            <w:b w:val="0"/>
            <w:bCs w:val="0"/>
            <w:i w:val="0"/>
            <w:iCs w:val="0"/>
          </w:rPr>
          <w:t>طولوني ، حسن بن احمد - 909 ه-</w:t>
        </w:r>
        <w:r>
          <w:tab/>
        </w:r>
        <w:r>
          <w:fldChar w:fldCharType="begin"/>
        </w:r>
        <w:r>
          <w:instrText xml:space="preserve">PAGEREF 4789 \h</w:instrText>
        </w:r>
        <w:r>
          <w:fldChar w:fldCharType="end"/>
        </w:r>
      </w:hyperlink>
    </w:p>
    <w:p>
      <w:pPr>
        <w:tabs>
          <w:tab w:val="right" w:leader="dot" w:pos="9062"/>
        </w:tabs>
        <w:ind w:left="220"/>
      </w:pPr>
      <w:hyperlink w:anchor="_Toc4790" w:history="1">
        <w:r>
          <w:rPr>
            <w:rFonts w:ascii="IRNazanin" w:hAnsi="IRNazanin" w:eastAsia="IRNazanin" w:cs="IRNazanin"/>
            <w:color w:val="111111"/>
            <w:sz w:val="22"/>
            <w:szCs w:val="22"/>
            <w:b w:val="0"/>
            <w:bCs w:val="0"/>
            <w:i w:val="0"/>
            <w:iCs w:val="0"/>
          </w:rPr>
          <w:t>طولوني ، عبدالله بن عبد الرحمن، قرن 12</w:t>
        </w:r>
        <w:r>
          <w:tab/>
        </w:r>
        <w:r>
          <w:fldChar w:fldCharType="begin"/>
        </w:r>
        <w:r>
          <w:instrText xml:space="preserve">PAGEREF 4790 \h</w:instrText>
        </w:r>
        <w:r>
          <w:fldChar w:fldCharType="end"/>
        </w:r>
      </w:hyperlink>
    </w:p>
    <w:p>
      <w:pPr>
        <w:tabs>
          <w:tab w:val="right" w:leader="dot" w:pos="9062"/>
        </w:tabs>
        <w:ind w:left="220"/>
      </w:pPr>
      <w:hyperlink w:anchor="_Toc4791" w:history="1">
        <w:r>
          <w:rPr>
            <w:rFonts w:ascii="IRNazanin" w:hAnsi="IRNazanin" w:eastAsia="IRNazanin" w:cs="IRNazanin"/>
            <w:color w:val="111111"/>
            <w:sz w:val="22"/>
            <w:szCs w:val="22"/>
            <w:b w:val="0"/>
            <w:bCs w:val="0"/>
            <w:i w:val="0"/>
            <w:iCs w:val="0"/>
          </w:rPr>
          <w:t>طولوني ، عيسى بن موسى</w:t>
        </w:r>
        <w:r>
          <w:tab/>
        </w:r>
        <w:r>
          <w:fldChar w:fldCharType="begin"/>
        </w:r>
        <w:r>
          <w:instrText xml:space="preserve">PAGEREF 4791 \h</w:instrText>
        </w:r>
        <w:r>
          <w:fldChar w:fldCharType="end"/>
        </w:r>
      </w:hyperlink>
    </w:p>
    <w:p>
      <w:pPr>
        <w:tabs>
          <w:tab w:val="right" w:leader="dot" w:pos="9062"/>
        </w:tabs>
        <w:ind w:left="220"/>
      </w:pPr>
      <w:hyperlink w:anchor="_Toc4792" w:history="1">
        <w:r>
          <w:rPr>
            <w:rFonts w:ascii="IRNazanin" w:hAnsi="IRNazanin" w:eastAsia="IRNazanin" w:cs="IRNazanin"/>
            <w:color w:val="111111"/>
            <w:sz w:val="22"/>
            <w:szCs w:val="22"/>
            <w:b w:val="0"/>
            <w:bCs w:val="0"/>
            <w:i w:val="0"/>
            <w:iCs w:val="0"/>
          </w:rPr>
          <w:t>طويراني ، حسن بن حسين عارف - 1315</w:t>
        </w:r>
        <w:r>
          <w:tab/>
        </w:r>
        <w:r>
          <w:fldChar w:fldCharType="begin"/>
        </w:r>
        <w:r>
          <w:instrText xml:space="preserve">PAGEREF 4792 \h</w:instrText>
        </w:r>
        <w:r>
          <w:fldChar w:fldCharType="end"/>
        </w:r>
      </w:hyperlink>
    </w:p>
    <w:p>
      <w:pPr>
        <w:tabs>
          <w:tab w:val="right" w:leader="dot" w:pos="9062"/>
        </w:tabs>
        <w:ind w:left="220"/>
      </w:pPr>
      <w:hyperlink w:anchor="_Toc4793" w:history="1">
        <w:r>
          <w:rPr>
            <w:rFonts w:ascii="IRNazanin" w:hAnsi="IRNazanin" w:eastAsia="IRNazanin" w:cs="IRNazanin"/>
            <w:color w:val="111111"/>
            <w:sz w:val="22"/>
            <w:szCs w:val="22"/>
            <w:b w:val="0"/>
            <w:bCs w:val="0"/>
            <w:i w:val="0"/>
            <w:iCs w:val="0"/>
          </w:rPr>
          <w:t>طيالسي ، جعفر بن محمّد قرن 4 ه-</w:t>
        </w:r>
        <w:r>
          <w:tab/>
        </w:r>
        <w:r>
          <w:fldChar w:fldCharType="begin"/>
        </w:r>
        <w:r>
          <w:instrText xml:space="preserve">PAGEREF 4793 \h</w:instrText>
        </w:r>
        <w:r>
          <w:fldChar w:fldCharType="end"/>
        </w:r>
      </w:hyperlink>
    </w:p>
    <w:p>
      <w:pPr>
        <w:tabs>
          <w:tab w:val="right" w:leader="dot" w:pos="9062"/>
        </w:tabs>
        <w:ind w:left="220"/>
      </w:pPr>
      <w:hyperlink w:anchor="_Toc4794" w:history="1">
        <w:r>
          <w:rPr>
            <w:rFonts w:ascii="IRNazanin" w:hAnsi="IRNazanin" w:eastAsia="IRNazanin" w:cs="IRNazanin"/>
            <w:color w:val="111111"/>
            <w:sz w:val="22"/>
            <w:szCs w:val="22"/>
            <w:b w:val="0"/>
            <w:bCs w:val="0"/>
            <w:i w:val="0"/>
            <w:iCs w:val="0"/>
          </w:rPr>
          <w:t>طيالسي ، سليمان بن داود 133 - 204 ه-</w:t>
        </w:r>
        <w:r>
          <w:tab/>
        </w:r>
        <w:r>
          <w:fldChar w:fldCharType="begin"/>
        </w:r>
        <w:r>
          <w:instrText xml:space="preserve">PAGEREF 4794 \h</w:instrText>
        </w:r>
        <w:r>
          <w:fldChar w:fldCharType="end"/>
        </w:r>
      </w:hyperlink>
    </w:p>
    <w:p>
      <w:pPr>
        <w:tabs>
          <w:tab w:val="right" w:leader="dot" w:pos="9062"/>
        </w:tabs>
        <w:ind w:left="220"/>
      </w:pPr>
      <w:hyperlink w:anchor="_Toc4795" w:history="1">
        <w:r>
          <w:rPr>
            <w:rFonts w:ascii="IRNazanin" w:hAnsi="IRNazanin" w:eastAsia="IRNazanin" w:cs="IRNazanin"/>
            <w:color w:val="111111"/>
            <w:sz w:val="22"/>
            <w:szCs w:val="22"/>
            <w:b w:val="0"/>
            <w:bCs w:val="0"/>
            <w:i w:val="0"/>
            <w:iCs w:val="0"/>
          </w:rPr>
          <w:t>طيب ، عبد الله</w:t>
        </w:r>
        <w:r>
          <w:tab/>
        </w:r>
        <w:r>
          <w:fldChar w:fldCharType="begin"/>
        </w:r>
        <w:r>
          <w:instrText xml:space="preserve">PAGEREF 4795 \h</w:instrText>
        </w:r>
        <w:r>
          <w:fldChar w:fldCharType="end"/>
        </w:r>
      </w:hyperlink>
    </w:p>
    <w:p>
      <w:pPr>
        <w:tabs>
          <w:tab w:val="right" w:leader="dot" w:pos="9062"/>
        </w:tabs>
        <w:ind w:left="220"/>
      </w:pPr>
      <w:hyperlink w:anchor="_Toc4796" w:history="1">
        <w:r>
          <w:rPr>
            <w:rFonts w:ascii="IRNazanin" w:hAnsi="IRNazanin" w:eastAsia="IRNazanin" w:cs="IRNazanin"/>
            <w:color w:val="111111"/>
            <w:sz w:val="22"/>
            <w:szCs w:val="22"/>
            <w:b w:val="0"/>
            <w:bCs w:val="0"/>
            <w:i w:val="0"/>
            <w:iCs w:val="0"/>
          </w:rPr>
          <w:t>طيبغا ، اشرفي، - 797 ه-</w:t>
        </w:r>
        <w:r>
          <w:tab/>
        </w:r>
        <w:r>
          <w:fldChar w:fldCharType="begin"/>
        </w:r>
        <w:r>
          <w:instrText xml:space="preserve">PAGEREF 4796 \h</w:instrText>
        </w:r>
        <w:r>
          <w:fldChar w:fldCharType="end"/>
        </w:r>
      </w:hyperlink>
    </w:p>
    <w:p>
      <w:pPr>
        <w:tabs>
          <w:tab w:val="right" w:leader="dot" w:pos="9062"/>
        </w:tabs>
        <w:ind w:left="220"/>
      </w:pPr>
      <w:hyperlink w:anchor="_Toc4797" w:history="1">
        <w:r>
          <w:rPr>
            <w:rFonts w:ascii="IRNazanin" w:hAnsi="IRNazanin" w:eastAsia="IRNazanin" w:cs="IRNazanin"/>
            <w:color w:val="111111"/>
            <w:sz w:val="22"/>
            <w:szCs w:val="22"/>
            <w:b w:val="0"/>
            <w:bCs w:val="0"/>
            <w:i w:val="0"/>
            <w:iCs w:val="0"/>
          </w:rPr>
          <w:t>طيبي ، ابراهيم بن يحيى 1154 - 1214</w:t>
        </w:r>
        <w:r>
          <w:tab/>
        </w:r>
        <w:r>
          <w:fldChar w:fldCharType="begin"/>
        </w:r>
        <w:r>
          <w:instrText xml:space="preserve">PAGEREF 4797 \h</w:instrText>
        </w:r>
        <w:r>
          <w:fldChar w:fldCharType="end"/>
        </w:r>
      </w:hyperlink>
    </w:p>
    <w:p>
      <w:pPr>
        <w:tabs>
          <w:tab w:val="right" w:leader="dot" w:pos="9062"/>
        </w:tabs>
        <w:ind w:left="220"/>
      </w:pPr>
      <w:hyperlink w:anchor="_Toc4798" w:history="1">
        <w:r>
          <w:rPr>
            <w:rFonts w:ascii="IRNazanin" w:hAnsi="IRNazanin" w:eastAsia="IRNazanin" w:cs="IRNazanin"/>
            <w:color w:val="111111"/>
            <w:sz w:val="22"/>
            <w:szCs w:val="22"/>
            <w:b w:val="0"/>
            <w:bCs w:val="0"/>
            <w:i w:val="0"/>
            <w:iCs w:val="0"/>
          </w:rPr>
          <w:t>طيبي ، حسن بن محمّد - 743ه-</w:t>
        </w:r>
        <w:r>
          <w:tab/>
        </w:r>
        <w:r>
          <w:fldChar w:fldCharType="begin"/>
        </w:r>
        <w:r>
          <w:instrText xml:space="preserve">PAGEREF 4798 \h</w:instrText>
        </w:r>
        <w:r>
          <w:fldChar w:fldCharType="end"/>
        </w:r>
      </w:hyperlink>
    </w:p>
    <w:p>
      <w:pPr>
        <w:tabs>
          <w:tab w:val="right" w:leader="dot" w:pos="9062"/>
        </w:tabs>
        <w:ind w:left="220"/>
      </w:pPr>
      <w:hyperlink w:anchor="_Toc4799" w:history="1">
        <w:r>
          <w:rPr>
            <w:rFonts w:ascii="IRNazanin" w:hAnsi="IRNazanin" w:eastAsia="IRNazanin" w:cs="IRNazanin"/>
            <w:color w:val="111111"/>
            <w:sz w:val="22"/>
            <w:szCs w:val="22"/>
            <w:b w:val="0"/>
            <w:bCs w:val="0"/>
            <w:i w:val="0"/>
            <w:iCs w:val="0"/>
          </w:rPr>
          <w:t>طيبي ، حسين بن محمّد - 743 ؟ ه-</w:t>
        </w:r>
        <w:r>
          <w:tab/>
        </w:r>
        <w:r>
          <w:fldChar w:fldCharType="begin"/>
        </w:r>
        <w:r>
          <w:instrText xml:space="preserve">PAGEREF 4799 \h</w:instrText>
        </w:r>
        <w:r>
          <w:fldChar w:fldCharType="end"/>
        </w:r>
      </w:hyperlink>
    </w:p>
    <w:p>
      <w:pPr>
        <w:tabs>
          <w:tab w:val="right" w:leader="dot" w:pos="9062"/>
        </w:tabs>
        <w:ind w:left="220"/>
      </w:pPr>
      <w:hyperlink w:anchor="_Toc4800" w:history="1">
        <w:r>
          <w:rPr>
            <w:rFonts w:ascii="IRNazanin" w:hAnsi="IRNazanin" w:eastAsia="IRNazanin" w:cs="IRNazanin"/>
            <w:color w:val="111111"/>
            <w:sz w:val="22"/>
            <w:szCs w:val="22"/>
            <w:b w:val="0"/>
            <w:bCs w:val="0"/>
            <w:i w:val="0"/>
            <w:iCs w:val="0"/>
          </w:rPr>
          <w:t>طيبي دمشقي ، احمد بن احمد 910 -</w:t>
        </w:r>
        <w:r>
          <w:tab/>
        </w:r>
        <w:r>
          <w:fldChar w:fldCharType="begin"/>
        </w:r>
        <w:r>
          <w:instrText xml:space="preserve">PAGEREF 4800 \h</w:instrText>
        </w:r>
        <w:r>
          <w:fldChar w:fldCharType="end"/>
        </w:r>
      </w:hyperlink>
    </w:p>
    <w:p>
      <w:pPr>
        <w:tabs>
          <w:tab w:val="right" w:leader="dot" w:pos="9062"/>
        </w:tabs>
        <w:ind w:left="220"/>
      </w:pPr>
      <w:hyperlink w:anchor="_Toc4801" w:history="1">
        <w:r>
          <w:rPr>
            <w:rFonts w:ascii="IRNazanin" w:hAnsi="IRNazanin" w:eastAsia="IRNazanin" w:cs="IRNazanin"/>
            <w:color w:val="111111"/>
            <w:sz w:val="22"/>
            <w:szCs w:val="22"/>
            <w:b w:val="0"/>
            <w:bCs w:val="0"/>
            <w:i w:val="0"/>
            <w:iCs w:val="0"/>
          </w:rPr>
          <w:t>طيبي ، فضل بن يحيى ، قرن 7 ه-</w:t>
        </w:r>
        <w:r>
          <w:tab/>
        </w:r>
        <w:r>
          <w:fldChar w:fldCharType="begin"/>
        </w:r>
        <w:r>
          <w:instrText xml:space="preserve">PAGEREF 4801 \h</w:instrText>
        </w:r>
        <w:r>
          <w:fldChar w:fldCharType="end"/>
        </w:r>
      </w:hyperlink>
    </w:p>
    <w:p>
      <w:pPr>
        <w:tabs>
          <w:tab w:val="right" w:leader="dot" w:pos="9062"/>
        </w:tabs>
        <w:ind w:left="220"/>
      </w:pPr>
      <w:hyperlink w:anchor="_Toc4802" w:history="1">
        <w:r>
          <w:rPr>
            <w:rFonts w:ascii="IRNazanin" w:hAnsi="IRNazanin" w:eastAsia="IRNazanin" w:cs="IRNazanin"/>
            <w:color w:val="111111"/>
            <w:sz w:val="22"/>
            <w:szCs w:val="22"/>
            <w:b w:val="0"/>
            <w:bCs w:val="0"/>
            <w:i w:val="0"/>
            <w:iCs w:val="0"/>
          </w:rPr>
          <w:t>طيبي كراديسي ، علي</w:t>
        </w:r>
        <w:r>
          <w:tab/>
        </w:r>
        <w:r>
          <w:fldChar w:fldCharType="begin"/>
        </w:r>
        <w:r>
          <w:instrText xml:space="preserve">PAGEREF 4802 \h</w:instrText>
        </w:r>
        <w:r>
          <w:fldChar w:fldCharType="end"/>
        </w:r>
      </w:hyperlink>
    </w:p>
    <w:p>
      <w:pPr>
        <w:tabs>
          <w:tab w:val="right" w:leader="dot" w:pos="9062"/>
        </w:tabs>
        <w:ind w:left="220"/>
      </w:pPr>
      <w:hyperlink w:anchor="_Toc4803" w:history="1">
        <w:r>
          <w:rPr>
            <w:rFonts w:ascii="IRNazanin" w:hAnsi="IRNazanin" w:eastAsia="IRNazanin" w:cs="IRNazanin"/>
            <w:color w:val="111111"/>
            <w:sz w:val="22"/>
            <w:szCs w:val="22"/>
            <w:b w:val="0"/>
            <w:bCs w:val="0"/>
            <w:i w:val="0"/>
            <w:iCs w:val="0"/>
          </w:rPr>
          <w:t>طيلوني مصري ، محمّد بن علاء الدين</w:t>
        </w:r>
        <w:r>
          <w:tab/>
        </w:r>
        <w:r>
          <w:fldChar w:fldCharType="begin"/>
        </w:r>
        <w:r>
          <w:instrText xml:space="preserve">PAGEREF 4803 \h</w:instrText>
        </w:r>
        <w:r>
          <w:fldChar w:fldCharType="end"/>
        </w:r>
      </w:hyperlink>
    </w:p>
    <w:p>
      <w:pPr>
        <w:tabs>
          <w:tab w:val="right" w:leader="dot" w:pos="9062"/>
        </w:tabs>
        <w:ind w:left="220"/>
      </w:pPr>
      <w:hyperlink w:anchor="_Toc4804" w:history="1">
        <w:r>
          <w:rPr>
            <w:rFonts w:ascii="IRNazanin" w:hAnsi="IRNazanin" w:eastAsia="IRNazanin" w:cs="IRNazanin"/>
            <w:color w:val="111111"/>
            <w:sz w:val="22"/>
            <w:szCs w:val="22"/>
            <w:b w:val="0"/>
            <w:bCs w:val="0"/>
            <w:i w:val="0"/>
            <w:iCs w:val="0"/>
          </w:rPr>
          <w:t>ظاهري، محمّد بن داود 255 - 297</w:t>
        </w:r>
        <w:r>
          <w:tab/>
        </w:r>
        <w:r>
          <w:fldChar w:fldCharType="begin"/>
        </w:r>
        <w:r>
          <w:instrText xml:space="preserve">PAGEREF 4804 \h</w:instrText>
        </w:r>
        <w:r>
          <w:fldChar w:fldCharType="end"/>
        </w:r>
      </w:hyperlink>
    </w:p>
    <w:p>
      <w:pPr>
        <w:tabs>
          <w:tab w:val="right" w:leader="dot" w:pos="9062"/>
        </w:tabs>
        <w:ind w:left="220"/>
      </w:pPr>
      <w:hyperlink w:anchor="_Toc4805" w:history="1">
        <w:r>
          <w:rPr>
            <w:rFonts w:ascii="IRNazanin" w:hAnsi="IRNazanin" w:eastAsia="IRNazanin" w:cs="IRNazanin"/>
            <w:color w:val="111111"/>
            <w:sz w:val="22"/>
            <w:szCs w:val="22"/>
            <w:b w:val="0"/>
            <w:bCs w:val="0"/>
            <w:i w:val="0"/>
            <w:iCs w:val="0"/>
          </w:rPr>
          <w:t>ظريف اعظمي ، حسين</w:t>
        </w:r>
        <w:r>
          <w:tab/>
        </w:r>
        <w:r>
          <w:fldChar w:fldCharType="begin"/>
        </w:r>
        <w:r>
          <w:instrText xml:space="preserve">PAGEREF 4805 \h</w:instrText>
        </w:r>
        <w:r>
          <w:fldChar w:fldCharType="end"/>
        </w:r>
      </w:hyperlink>
    </w:p>
    <w:p>
      <w:pPr>
        <w:tabs>
          <w:tab w:val="right" w:leader="dot" w:pos="9062"/>
        </w:tabs>
        <w:ind w:left="220"/>
      </w:pPr>
      <w:hyperlink w:anchor="_Toc4806" w:history="1">
        <w:r>
          <w:rPr>
            <w:rFonts w:ascii="IRNazanin" w:hAnsi="IRNazanin" w:eastAsia="IRNazanin" w:cs="IRNazanin"/>
            <w:color w:val="111111"/>
            <w:sz w:val="22"/>
            <w:szCs w:val="22"/>
            <w:b w:val="0"/>
            <w:bCs w:val="0"/>
            <w:i w:val="0"/>
            <w:iCs w:val="0"/>
          </w:rPr>
          <w:t>ظريف بن ناصح كوفي بغدادي، قرن 3 ه-</w:t>
        </w:r>
        <w:r>
          <w:tab/>
        </w:r>
        <w:r>
          <w:fldChar w:fldCharType="begin"/>
        </w:r>
        <w:r>
          <w:instrText xml:space="preserve">PAGEREF 4806 \h</w:instrText>
        </w:r>
        <w:r>
          <w:fldChar w:fldCharType="end"/>
        </w:r>
      </w:hyperlink>
    </w:p>
    <w:p>
      <w:pPr>
        <w:tabs>
          <w:tab w:val="right" w:leader="dot" w:pos="9062"/>
        </w:tabs>
        <w:ind w:left="220"/>
      </w:pPr>
      <w:hyperlink w:anchor="_Toc4807" w:history="1">
        <w:r>
          <w:rPr>
            <w:rFonts w:ascii="IRNazanin" w:hAnsi="IRNazanin" w:eastAsia="IRNazanin" w:cs="IRNazanin"/>
            <w:color w:val="111111"/>
            <w:sz w:val="22"/>
            <w:szCs w:val="22"/>
            <w:b w:val="0"/>
            <w:bCs w:val="0"/>
            <w:i w:val="0"/>
            <w:iCs w:val="0"/>
          </w:rPr>
          <w:t>ظفاري ، محمّد بن عبدالله - 691 ه-</w:t>
        </w:r>
        <w:r>
          <w:tab/>
        </w:r>
        <w:r>
          <w:fldChar w:fldCharType="begin"/>
        </w:r>
        <w:r>
          <w:instrText xml:space="preserve">PAGEREF 4807 \h</w:instrText>
        </w:r>
        <w:r>
          <w:fldChar w:fldCharType="end"/>
        </w:r>
      </w:hyperlink>
    </w:p>
    <w:p>
      <w:pPr>
        <w:tabs>
          <w:tab w:val="right" w:leader="dot" w:pos="9062"/>
        </w:tabs>
        <w:ind w:left="220"/>
      </w:pPr>
      <w:hyperlink w:anchor="_Toc4808" w:history="1">
        <w:r>
          <w:rPr>
            <w:rFonts w:ascii="IRNazanin" w:hAnsi="IRNazanin" w:eastAsia="IRNazanin" w:cs="IRNazanin"/>
            <w:color w:val="111111"/>
            <w:sz w:val="22"/>
            <w:szCs w:val="22"/>
            <w:b w:val="0"/>
            <w:bCs w:val="0"/>
            <w:i w:val="0"/>
            <w:iCs w:val="0"/>
          </w:rPr>
          <w:t>ظفيري ، لطف الله بن محمّد غیاث</w:t>
        </w:r>
        <w:r>
          <w:tab/>
        </w:r>
        <w:r>
          <w:fldChar w:fldCharType="begin"/>
        </w:r>
        <w:r>
          <w:instrText xml:space="preserve">PAGEREF 4808 \h</w:instrText>
        </w:r>
        <w:r>
          <w:fldChar w:fldCharType="end"/>
        </w:r>
      </w:hyperlink>
    </w:p>
    <w:p>
      <w:pPr>
        <w:tabs>
          <w:tab w:val="right" w:leader="dot" w:pos="9062"/>
        </w:tabs>
        <w:ind w:left="220"/>
      </w:pPr>
      <w:hyperlink w:anchor="_Toc4809" w:history="1">
        <w:r>
          <w:rPr>
            <w:rFonts w:ascii="IRNazanin" w:hAnsi="IRNazanin" w:eastAsia="IRNazanin" w:cs="IRNazanin"/>
            <w:color w:val="111111"/>
            <w:sz w:val="22"/>
            <w:szCs w:val="22"/>
            <w:b w:val="0"/>
            <w:bCs w:val="0"/>
            <w:i w:val="0"/>
            <w:iCs w:val="0"/>
          </w:rPr>
          <w:t>ظهراني ، عبدالله</w:t>
        </w:r>
        <w:r>
          <w:tab/>
        </w:r>
        <w:r>
          <w:fldChar w:fldCharType="begin"/>
        </w:r>
        <w:r>
          <w:instrText xml:space="preserve">PAGEREF 4809 \h</w:instrText>
        </w:r>
        <w:r>
          <w:fldChar w:fldCharType="end"/>
        </w:r>
      </w:hyperlink>
    </w:p>
    <w:p>
      <w:pPr>
        <w:tabs>
          <w:tab w:val="right" w:leader="dot" w:pos="9062"/>
        </w:tabs>
        <w:ind w:left="220"/>
      </w:pPr>
      <w:hyperlink w:anchor="_Toc4810" w:history="1">
        <w:r>
          <w:rPr>
            <w:rFonts w:ascii="IRNazanin" w:hAnsi="IRNazanin" w:eastAsia="IRNazanin" w:cs="IRNazanin"/>
            <w:color w:val="111111"/>
            <w:sz w:val="22"/>
            <w:szCs w:val="22"/>
            <w:b w:val="0"/>
            <w:bCs w:val="0"/>
            <w:i w:val="0"/>
            <w:iCs w:val="0"/>
          </w:rPr>
          <w:t>ظهوري ترشيزي، نورالدین محمّد -</w:t>
        </w:r>
        <w:r>
          <w:tab/>
        </w:r>
        <w:r>
          <w:fldChar w:fldCharType="begin"/>
        </w:r>
        <w:r>
          <w:instrText xml:space="preserve">PAGEREF 4810 \h</w:instrText>
        </w:r>
        <w:r>
          <w:fldChar w:fldCharType="end"/>
        </w:r>
      </w:hyperlink>
    </w:p>
    <w:p>
      <w:pPr>
        <w:tabs>
          <w:tab w:val="right" w:leader="dot" w:pos="9062"/>
        </w:tabs>
        <w:ind w:left="220"/>
      </w:pPr>
      <w:hyperlink w:anchor="_Toc4811" w:history="1">
        <w:r>
          <w:rPr>
            <w:rFonts w:ascii="IRNazanin" w:hAnsi="IRNazanin" w:eastAsia="IRNazanin" w:cs="IRNazanin"/>
            <w:color w:val="111111"/>
            <w:sz w:val="22"/>
            <w:szCs w:val="22"/>
            <w:b w:val="0"/>
            <w:bCs w:val="0"/>
            <w:i w:val="0"/>
            <w:iCs w:val="0"/>
          </w:rPr>
          <w:t>ظهوري ، محمّد بن احمد، 728 - 791</w:t>
        </w:r>
        <w:r>
          <w:tab/>
        </w:r>
        <w:r>
          <w:fldChar w:fldCharType="begin"/>
        </w:r>
        <w:r>
          <w:instrText xml:space="preserve">PAGEREF 4811 \h</w:instrText>
        </w:r>
        <w:r>
          <w:fldChar w:fldCharType="end"/>
        </w:r>
      </w:hyperlink>
    </w:p>
    <w:p>
      <w:pPr>
        <w:tabs>
          <w:tab w:val="right" w:leader="dot" w:pos="9062"/>
        </w:tabs>
        <w:ind w:left="220"/>
      </w:pPr>
      <w:hyperlink w:anchor="_Toc4812" w:history="1">
        <w:r>
          <w:rPr>
            <w:rFonts w:ascii="IRNazanin" w:hAnsi="IRNazanin" w:eastAsia="IRNazanin" w:cs="IRNazanin"/>
            <w:color w:val="111111"/>
            <w:sz w:val="22"/>
            <w:szCs w:val="22"/>
            <w:b w:val="0"/>
            <w:bCs w:val="0"/>
            <w:i w:val="0"/>
            <w:iCs w:val="0"/>
          </w:rPr>
          <w:t>ظهير فاريابي ، طاهر بن محمّد - 598 ه-</w:t>
        </w:r>
        <w:r>
          <w:tab/>
        </w:r>
        <w:r>
          <w:fldChar w:fldCharType="begin"/>
        </w:r>
        <w:r>
          <w:instrText xml:space="preserve">PAGEREF 4812 \h</w:instrText>
        </w:r>
        <w:r>
          <w:fldChar w:fldCharType="end"/>
        </w:r>
      </w:hyperlink>
    </w:p>
    <w:p>
      <w:pPr>
        <w:tabs>
          <w:tab w:val="right" w:leader="dot" w:pos="9062"/>
        </w:tabs>
        <w:ind w:left="220"/>
      </w:pPr>
      <w:hyperlink w:anchor="_Toc4813" w:history="1">
        <w:r>
          <w:rPr>
            <w:rFonts w:ascii="IRNazanin" w:hAnsi="IRNazanin" w:eastAsia="IRNazanin" w:cs="IRNazanin"/>
            <w:color w:val="111111"/>
            <w:sz w:val="22"/>
            <w:szCs w:val="22"/>
            <w:b w:val="0"/>
            <w:bCs w:val="0"/>
            <w:i w:val="0"/>
            <w:iCs w:val="0"/>
          </w:rPr>
          <w:t>عابدين ، محمّد قرن 13 ه-</w:t>
        </w:r>
        <w:r>
          <w:tab/>
        </w:r>
        <w:r>
          <w:fldChar w:fldCharType="begin"/>
        </w:r>
        <w:r>
          <w:instrText xml:space="preserve">PAGEREF 4813 \h</w:instrText>
        </w:r>
        <w:r>
          <w:fldChar w:fldCharType="end"/>
        </w:r>
      </w:hyperlink>
    </w:p>
    <w:p>
      <w:pPr>
        <w:tabs>
          <w:tab w:val="right" w:leader="dot" w:pos="9062"/>
        </w:tabs>
        <w:ind w:left="220"/>
      </w:pPr>
      <w:hyperlink w:anchor="_Toc4814" w:history="1">
        <w:r>
          <w:rPr>
            <w:rFonts w:ascii="IRNazanin" w:hAnsi="IRNazanin" w:eastAsia="IRNazanin" w:cs="IRNazanin"/>
            <w:color w:val="111111"/>
            <w:sz w:val="22"/>
            <w:szCs w:val="22"/>
            <w:b w:val="0"/>
            <w:bCs w:val="0"/>
            <w:i w:val="0"/>
            <w:iCs w:val="0"/>
          </w:rPr>
          <w:t>عارضي ، معمر بن عمر، قرن 8 ه-</w:t>
        </w:r>
        <w:r>
          <w:tab/>
        </w:r>
        <w:r>
          <w:fldChar w:fldCharType="begin"/>
        </w:r>
        <w:r>
          <w:instrText xml:space="preserve">PAGEREF 4814 \h</w:instrText>
        </w:r>
        <w:r>
          <w:fldChar w:fldCharType="end"/>
        </w:r>
      </w:hyperlink>
    </w:p>
    <w:p>
      <w:pPr>
        <w:tabs>
          <w:tab w:val="right" w:leader="dot" w:pos="9062"/>
        </w:tabs>
        <w:ind w:left="220"/>
      </w:pPr>
      <w:hyperlink w:anchor="_Toc4815" w:history="1">
        <w:r>
          <w:rPr>
            <w:rFonts w:ascii="IRNazanin" w:hAnsi="IRNazanin" w:eastAsia="IRNazanin" w:cs="IRNazanin"/>
            <w:color w:val="111111"/>
            <w:sz w:val="22"/>
            <w:szCs w:val="22"/>
            <w:b w:val="0"/>
            <w:bCs w:val="0"/>
            <w:i w:val="0"/>
            <w:iCs w:val="0"/>
          </w:rPr>
          <w:t>عارف بالله ، محمّد بن عمر قرن 14 ه-</w:t>
        </w:r>
        <w:r>
          <w:tab/>
        </w:r>
        <w:r>
          <w:fldChar w:fldCharType="begin"/>
        </w:r>
        <w:r>
          <w:instrText xml:space="preserve">PAGEREF 4815 \h</w:instrText>
        </w:r>
        <w:r>
          <w:fldChar w:fldCharType="end"/>
        </w:r>
      </w:hyperlink>
    </w:p>
    <w:p>
      <w:pPr>
        <w:tabs>
          <w:tab w:val="right" w:leader="dot" w:pos="9062"/>
        </w:tabs>
        <w:ind w:left="220"/>
      </w:pPr>
      <w:hyperlink w:anchor="_Toc4816" w:history="1">
        <w:r>
          <w:rPr>
            <w:rFonts w:ascii="IRNazanin" w:hAnsi="IRNazanin" w:eastAsia="IRNazanin" w:cs="IRNazanin"/>
            <w:color w:val="111111"/>
            <w:sz w:val="22"/>
            <w:szCs w:val="22"/>
            <w:b w:val="0"/>
            <w:bCs w:val="0"/>
            <w:i w:val="0"/>
            <w:iCs w:val="0"/>
          </w:rPr>
          <w:t>عاشق اصفهاني ، محمّد، 1101 - 1181 ه-</w:t>
        </w:r>
        <w:r>
          <w:tab/>
        </w:r>
        <w:r>
          <w:fldChar w:fldCharType="begin"/>
        </w:r>
        <w:r>
          <w:instrText xml:space="preserve">PAGEREF 4816 \h</w:instrText>
        </w:r>
        <w:r>
          <w:fldChar w:fldCharType="end"/>
        </w:r>
      </w:hyperlink>
    </w:p>
    <w:p>
      <w:pPr>
        <w:tabs>
          <w:tab w:val="right" w:leader="dot" w:pos="9062"/>
        </w:tabs>
        <w:ind w:left="220"/>
      </w:pPr>
      <w:hyperlink w:anchor="_Toc4817" w:history="1">
        <w:r>
          <w:rPr>
            <w:rFonts w:ascii="IRNazanin" w:hAnsi="IRNazanin" w:eastAsia="IRNazanin" w:cs="IRNazanin"/>
            <w:color w:val="111111"/>
            <w:sz w:val="22"/>
            <w:szCs w:val="22"/>
            <w:b w:val="0"/>
            <w:bCs w:val="0"/>
            <w:i w:val="0"/>
            <w:iCs w:val="0"/>
          </w:rPr>
          <w:t>عاشور فياض ، علي</w:t>
        </w:r>
        <w:r>
          <w:tab/>
        </w:r>
        <w:r>
          <w:fldChar w:fldCharType="begin"/>
        </w:r>
        <w:r>
          <w:instrText xml:space="preserve">PAGEREF 4817 \h</w:instrText>
        </w:r>
        <w:r>
          <w:fldChar w:fldCharType="end"/>
        </w:r>
      </w:hyperlink>
    </w:p>
    <w:p>
      <w:pPr>
        <w:tabs>
          <w:tab w:val="right" w:leader="dot" w:pos="9062"/>
        </w:tabs>
        <w:ind w:left="220"/>
      </w:pPr>
      <w:hyperlink w:anchor="_Toc4818" w:history="1">
        <w:r>
          <w:rPr>
            <w:rFonts w:ascii="IRNazanin" w:hAnsi="IRNazanin" w:eastAsia="IRNazanin" w:cs="IRNazanin"/>
            <w:color w:val="111111"/>
            <w:sz w:val="22"/>
            <w:szCs w:val="22"/>
            <w:b w:val="0"/>
            <w:bCs w:val="0"/>
            <w:i w:val="0"/>
            <w:iCs w:val="0"/>
          </w:rPr>
          <w:t>عاصمي ، احمد بن محمّد قرن 4 ه-</w:t>
        </w:r>
        <w:r>
          <w:tab/>
        </w:r>
        <w:r>
          <w:fldChar w:fldCharType="begin"/>
        </w:r>
        <w:r>
          <w:instrText xml:space="preserve">PAGEREF 4818 \h</w:instrText>
        </w:r>
        <w:r>
          <w:fldChar w:fldCharType="end"/>
        </w:r>
      </w:hyperlink>
    </w:p>
    <w:p>
      <w:pPr>
        <w:tabs>
          <w:tab w:val="right" w:leader="dot" w:pos="9062"/>
        </w:tabs>
        <w:ind w:left="220"/>
      </w:pPr>
      <w:hyperlink w:anchor="_Toc4819" w:history="1">
        <w:r>
          <w:rPr>
            <w:rFonts w:ascii="IRNazanin" w:hAnsi="IRNazanin" w:eastAsia="IRNazanin" w:cs="IRNazanin"/>
            <w:color w:val="111111"/>
            <w:sz w:val="22"/>
            <w:szCs w:val="22"/>
            <w:b w:val="0"/>
            <w:bCs w:val="0"/>
            <w:i w:val="0"/>
            <w:iCs w:val="0"/>
          </w:rPr>
          <w:t>عامي</w:t>
        </w:r>
        <w:r>
          <w:tab/>
        </w:r>
        <w:r>
          <w:fldChar w:fldCharType="begin"/>
        </w:r>
        <w:r>
          <w:instrText xml:space="preserve">PAGEREF 4819 \h</w:instrText>
        </w:r>
        <w:r>
          <w:fldChar w:fldCharType="end"/>
        </w:r>
      </w:hyperlink>
    </w:p>
    <w:p>
      <w:pPr>
        <w:tabs>
          <w:tab w:val="right" w:leader="dot" w:pos="9062"/>
        </w:tabs>
        <w:ind w:left="220"/>
      </w:pPr>
      <w:hyperlink w:anchor="_Toc4820" w:history="1">
        <w:r>
          <w:rPr>
            <w:rFonts w:ascii="IRNazanin" w:hAnsi="IRNazanin" w:eastAsia="IRNazanin" w:cs="IRNazanin"/>
            <w:color w:val="111111"/>
            <w:sz w:val="22"/>
            <w:szCs w:val="22"/>
            <w:b w:val="0"/>
            <w:bCs w:val="0"/>
            <w:i w:val="0"/>
            <w:iCs w:val="0"/>
          </w:rPr>
          <w:t>عاصي ، عبدالله، قرن 11 ه-</w:t>
        </w:r>
        <w:r>
          <w:tab/>
        </w:r>
        <w:r>
          <w:fldChar w:fldCharType="begin"/>
        </w:r>
        <w:r>
          <w:instrText xml:space="preserve">PAGEREF 4820 \h</w:instrText>
        </w:r>
        <w:r>
          <w:fldChar w:fldCharType="end"/>
        </w:r>
      </w:hyperlink>
    </w:p>
    <w:p>
      <w:pPr>
        <w:tabs>
          <w:tab w:val="right" w:leader="dot" w:pos="9062"/>
        </w:tabs>
        <w:ind w:left="220"/>
      </w:pPr>
      <w:hyperlink w:anchor="_Toc4821" w:history="1">
        <w:r>
          <w:rPr>
            <w:rFonts w:ascii="IRNazanin" w:hAnsi="IRNazanin" w:eastAsia="IRNazanin" w:cs="IRNazanin"/>
            <w:color w:val="111111"/>
            <w:sz w:val="22"/>
            <w:szCs w:val="22"/>
            <w:b w:val="0"/>
            <w:bCs w:val="0"/>
            <w:i w:val="0"/>
            <w:iCs w:val="0"/>
          </w:rPr>
          <w:t>عاصي ، محمّد رضا</w:t>
        </w:r>
        <w:r>
          <w:tab/>
        </w:r>
        <w:r>
          <w:fldChar w:fldCharType="begin"/>
        </w:r>
        <w:r>
          <w:instrText xml:space="preserve">PAGEREF 4821 \h</w:instrText>
        </w:r>
        <w:r>
          <w:fldChar w:fldCharType="end"/>
        </w:r>
      </w:hyperlink>
    </w:p>
    <w:p>
      <w:pPr>
        <w:tabs>
          <w:tab w:val="right" w:leader="dot" w:pos="9062"/>
        </w:tabs>
        <w:ind w:left="220"/>
      </w:pPr>
      <w:hyperlink w:anchor="_Toc4822" w:history="1">
        <w:r>
          <w:rPr>
            <w:rFonts w:ascii="IRNazanin" w:hAnsi="IRNazanin" w:eastAsia="IRNazanin" w:cs="IRNazanin"/>
            <w:color w:val="111111"/>
            <w:sz w:val="22"/>
            <w:szCs w:val="22"/>
            <w:b w:val="0"/>
            <w:bCs w:val="0"/>
            <w:i w:val="0"/>
            <w:iCs w:val="0"/>
          </w:rPr>
          <w:t>عاقولي ، محمّد بن محمّد - 797 ه-</w:t>
        </w:r>
        <w:r>
          <w:tab/>
        </w:r>
        <w:r>
          <w:fldChar w:fldCharType="begin"/>
        </w:r>
        <w:r>
          <w:instrText xml:space="preserve">PAGEREF 4822 \h</w:instrText>
        </w:r>
        <w:r>
          <w:fldChar w:fldCharType="end"/>
        </w:r>
      </w:hyperlink>
    </w:p>
    <w:p>
      <w:pPr>
        <w:tabs>
          <w:tab w:val="right" w:leader="dot" w:pos="9062"/>
        </w:tabs>
        <w:ind w:left="220"/>
      </w:pPr>
      <w:hyperlink w:anchor="_Toc4823" w:history="1">
        <w:r>
          <w:rPr>
            <w:rFonts w:ascii="IRNazanin" w:hAnsi="IRNazanin" w:eastAsia="IRNazanin" w:cs="IRNazanin"/>
            <w:color w:val="111111"/>
            <w:sz w:val="22"/>
            <w:szCs w:val="22"/>
            <w:b w:val="0"/>
            <w:bCs w:val="0"/>
            <w:i w:val="0"/>
            <w:iCs w:val="0"/>
          </w:rPr>
          <w:t>عالم ، محمّد صالح</w:t>
        </w:r>
        <w:r>
          <w:tab/>
        </w:r>
        <w:r>
          <w:fldChar w:fldCharType="begin"/>
        </w:r>
        <w:r>
          <w:instrText xml:space="preserve">PAGEREF 4823 \h</w:instrText>
        </w:r>
        <w:r>
          <w:fldChar w:fldCharType="end"/>
        </w:r>
      </w:hyperlink>
    </w:p>
    <w:p>
      <w:pPr>
        <w:tabs>
          <w:tab w:val="right" w:leader="dot" w:pos="9062"/>
        </w:tabs>
        <w:ind w:left="220"/>
      </w:pPr>
      <w:hyperlink w:anchor="_Toc4824" w:history="1">
        <w:r>
          <w:rPr>
            <w:rFonts w:ascii="IRNazanin" w:hAnsi="IRNazanin" w:eastAsia="IRNazanin" w:cs="IRNazanin"/>
            <w:color w:val="111111"/>
            <w:sz w:val="22"/>
            <w:szCs w:val="22"/>
            <w:b w:val="0"/>
            <w:bCs w:val="0"/>
            <w:i w:val="0"/>
            <w:iCs w:val="0"/>
          </w:rPr>
          <w:t>عالي افندي</w:t>
        </w:r>
        <w:r>
          <w:tab/>
        </w:r>
        <w:r>
          <w:fldChar w:fldCharType="begin"/>
        </w:r>
        <w:r>
          <w:instrText xml:space="preserve">PAGEREF 4824 \h</w:instrText>
        </w:r>
        <w:r>
          <w:fldChar w:fldCharType="end"/>
        </w:r>
      </w:hyperlink>
    </w:p>
    <w:p>
      <w:pPr>
        <w:tabs>
          <w:tab w:val="right" w:leader="dot" w:pos="9062"/>
        </w:tabs>
        <w:ind w:left="220"/>
      </w:pPr>
      <w:hyperlink w:anchor="_Toc4825" w:history="1">
        <w:r>
          <w:rPr>
            <w:rFonts w:ascii="IRNazanin" w:hAnsi="IRNazanin" w:eastAsia="IRNazanin" w:cs="IRNazanin"/>
            <w:color w:val="111111"/>
            <w:sz w:val="22"/>
            <w:szCs w:val="22"/>
            <w:b w:val="0"/>
            <w:bCs w:val="0"/>
            <w:i w:val="0"/>
            <w:iCs w:val="0"/>
          </w:rPr>
          <w:t>عالي شيرازي ، محمّد - 1121 ؟ ه-</w:t>
        </w:r>
        <w:r>
          <w:tab/>
        </w:r>
        <w:r>
          <w:fldChar w:fldCharType="begin"/>
        </w:r>
        <w:r>
          <w:instrText xml:space="preserve">PAGEREF 4825 \h</w:instrText>
        </w:r>
        <w:r>
          <w:fldChar w:fldCharType="end"/>
        </w:r>
      </w:hyperlink>
    </w:p>
    <w:p>
      <w:pPr>
        <w:tabs>
          <w:tab w:val="right" w:leader="dot" w:pos="9062"/>
        </w:tabs>
        <w:ind w:left="220"/>
      </w:pPr>
      <w:hyperlink w:anchor="_Toc4826" w:history="1">
        <w:r>
          <w:rPr>
            <w:rFonts w:ascii="IRNazanin" w:hAnsi="IRNazanin" w:eastAsia="IRNazanin" w:cs="IRNazanin"/>
            <w:color w:val="111111"/>
            <w:sz w:val="22"/>
            <w:szCs w:val="22"/>
            <w:b w:val="0"/>
            <w:bCs w:val="0"/>
            <w:i w:val="0"/>
            <w:iCs w:val="0"/>
          </w:rPr>
          <w:t>عالي، مصطفى بن احمد، 948 - 1008 ه-</w:t>
        </w:r>
        <w:r>
          <w:tab/>
        </w:r>
        <w:r>
          <w:fldChar w:fldCharType="begin"/>
        </w:r>
        <w:r>
          <w:instrText xml:space="preserve">PAGEREF 4826 \h</w:instrText>
        </w:r>
        <w:r>
          <w:fldChar w:fldCharType="end"/>
        </w:r>
      </w:hyperlink>
    </w:p>
    <w:p>
      <w:pPr>
        <w:tabs>
          <w:tab w:val="right" w:leader="dot" w:pos="9062"/>
        </w:tabs>
        <w:ind w:left="220"/>
      </w:pPr>
      <w:hyperlink w:anchor="_Toc4827" w:history="1">
        <w:r>
          <w:rPr>
            <w:rFonts w:ascii="IRNazanin" w:hAnsi="IRNazanin" w:eastAsia="IRNazanin" w:cs="IRNazanin"/>
            <w:color w:val="111111"/>
            <w:sz w:val="22"/>
            <w:szCs w:val="22"/>
            <w:b w:val="0"/>
            <w:bCs w:val="0"/>
            <w:i w:val="0"/>
            <w:iCs w:val="0"/>
          </w:rPr>
          <w:t>عامري كوفي ، حسين بن عثمان قرن 2 ه-</w:t>
        </w:r>
        <w:r>
          <w:tab/>
        </w:r>
        <w:r>
          <w:fldChar w:fldCharType="begin"/>
        </w:r>
        <w:r>
          <w:instrText xml:space="preserve">PAGEREF 4827 \h</w:instrText>
        </w:r>
        <w:r>
          <w:fldChar w:fldCharType="end"/>
        </w:r>
      </w:hyperlink>
    </w:p>
    <w:p>
      <w:pPr>
        <w:tabs>
          <w:tab w:val="right" w:leader="dot" w:pos="9062"/>
        </w:tabs>
        <w:ind w:left="220"/>
      </w:pPr>
      <w:hyperlink w:anchor="_Toc4828" w:history="1">
        <w:r>
          <w:rPr>
            <w:rFonts w:ascii="IRNazanin" w:hAnsi="IRNazanin" w:eastAsia="IRNazanin" w:cs="IRNazanin"/>
            <w:color w:val="111111"/>
            <w:sz w:val="22"/>
            <w:szCs w:val="22"/>
            <w:b w:val="0"/>
            <w:bCs w:val="0"/>
            <w:i w:val="0"/>
            <w:iCs w:val="0"/>
          </w:rPr>
          <w:t>عامري ، محمّد بن يوسف - 381 ه-</w:t>
        </w:r>
        <w:r>
          <w:tab/>
        </w:r>
        <w:r>
          <w:fldChar w:fldCharType="begin"/>
        </w:r>
        <w:r>
          <w:instrText xml:space="preserve">PAGEREF 4828 \h</w:instrText>
        </w:r>
        <w:r>
          <w:fldChar w:fldCharType="end"/>
        </w:r>
      </w:hyperlink>
    </w:p>
    <w:p>
      <w:pPr>
        <w:tabs>
          <w:tab w:val="right" w:leader="dot" w:pos="9062"/>
        </w:tabs>
        <w:ind w:left="220"/>
      </w:pPr>
      <w:hyperlink w:anchor="_Toc4829" w:history="1">
        <w:r>
          <w:rPr>
            <w:rFonts w:ascii="IRNazanin" w:hAnsi="IRNazanin" w:eastAsia="IRNazanin" w:cs="IRNazanin"/>
            <w:color w:val="111111"/>
            <w:sz w:val="22"/>
            <w:szCs w:val="22"/>
            <w:b w:val="0"/>
            <w:bCs w:val="0"/>
            <w:i w:val="0"/>
            <w:iCs w:val="0"/>
          </w:rPr>
          <w:t>عامري ، نجم الدين</w:t>
        </w:r>
        <w:r>
          <w:tab/>
        </w:r>
        <w:r>
          <w:fldChar w:fldCharType="begin"/>
        </w:r>
        <w:r>
          <w:instrText xml:space="preserve">PAGEREF 4829 \h</w:instrText>
        </w:r>
        <w:r>
          <w:fldChar w:fldCharType="end"/>
        </w:r>
      </w:hyperlink>
    </w:p>
    <w:p>
      <w:pPr>
        <w:tabs>
          <w:tab w:val="right" w:leader="dot" w:pos="9062"/>
        </w:tabs>
        <w:ind w:left="220"/>
      </w:pPr>
      <w:hyperlink w:anchor="_Toc4830" w:history="1">
        <w:r>
          <w:rPr>
            <w:rFonts w:ascii="IRNazanin" w:hAnsi="IRNazanin" w:eastAsia="IRNazanin" w:cs="IRNazanin"/>
            <w:color w:val="111111"/>
            <w:sz w:val="22"/>
            <w:szCs w:val="22"/>
            <w:b w:val="0"/>
            <w:bCs w:val="0"/>
            <w:i w:val="0"/>
            <w:iCs w:val="0"/>
          </w:rPr>
          <w:t>عامري، يحيى بن ابي بكر، 816 - 893 ه-</w:t>
        </w:r>
        <w:r>
          <w:tab/>
        </w:r>
        <w:r>
          <w:fldChar w:fldCharType="begin"/>
        </w:r>
        <w:r>
          <w:instrText xml:space="preserve">PAGEREF 4830 \h</w:instrText>
        </w:r>
        <w:r>
          <w:fldChar w:fldCharType="end"/>
        </w:r>
      </w:hyperlink>
    </w:p>
    <w:p>
      <w:pPr>
        <w:tabs>
          <w:tab w:val="right" w:leader="dot" w:pos="9062"/>
        </w:tabs>
        <w:ind w:left="220"/>
      </w:pPr>
      <w:hyperlink w:anchor="_Toc4831" w:history="1">
        <w:r>
          <w:rPr>
            <w:rFonts w:ascii="IRNazanin" w:hAnsi="IRNazanin" w:eastAsia="IRNazanin" w:cs="IRNazanin"/>
            <w:color w:val="111111"/>
            <w:sz w:val="22"/>
            <w:szCs w:val="22"/>
            <w:b w:val="0"/>
            <w:bCs w:val="0"/>
            <w:i w:val="0"/>
            <w:iCs w:val="0"/>
          </w:rPr>
          <w:t>عاملي ، ابراهيم قرن 14 ه-</w:t>
        </w:r>
        <w:r>
          <w:tab/>
        </w:r>
        <w:r>
          <w:fldChar w:fldCharType="begin"/>
        </w:r>
        <w:r>
          <w:instrText xml:space="preserve">PAGEREF 4831 \h</w:instrText>
        </w:r>
        <w:r>
          <w:fldChar w:fldCharType="end"/>
        </w:r>
      </w:hyperlink>
    </w:p>
    <w:p>
      <w:pPr>
        <w:tabs>
          <w:tab w:val="right" w:leader="dot" w:pos="9062"/>
        </w:tabs>
        <w:ind w:left="220"/>
      </w:pPr>
      <w:hyperlink w:anchor="_Toc4832" w:history="1">
        <w:r>
          <w:rPr>
            <w:rFonts w:ascii="IRNazanin" w:hAnsi="IRNazanin" w:eastAsia="IRNazanin" w:cs="IRNazanin"/>
            <w:color w:val="111111"/>
            <w:sz w:val="22"/>
            <w:szCs w:val="22"/>
            <w:b w:val="0"/>
            <w:bCs w:val="0"/>
            <w:i w:val="0"/>
            <w:iCs w:val="0"/>
          </w:rPr>
          <w:t>عاملي، ابراهيم صادق</w:t>
        </w:r>
        <w:r>
          <w:tab/>
        </w:r>
        <w:r>
          <w:fldChar w:fldCharType="begin"/>
        </w:r>
        <w:r>
          <w:instrText xml:space="preserve">PAGEREF 4832 \h</w:instrText>
        </w:r>
        <w:r>
          <w:fldChar w:fldCharType="end"/>
        </w:r>
      </w:hyperlink>
    </w:p>
    <w:p>
      <w:pPr>
        <w:tabs>
          <w:tab w:val="right" w:leader="dot" w:pos="9062"/>
        </w:tabs>
        <w:ind w:left="220"/>
      </w:pPr>
      <w:hyperlink w:anchor="_Toc4833" w:history="1">
        <w:r>
          <w:rPr>
            <w:rFonts w:ascii="IRNazanin" w:hAnsi="IRNazanin" w:eastAsia="IRNazanin" w:cs="IRNazanin"/>
            <w:color w:val="111111"/>
            <w:sz w:val="22"/>
            <w:szCs w:val="22"/>
            <w:b w:val="0"/>
            <w:bCs w:val="0"/>
            <w:i w:val="0"/>
            <w:iCs w:val="0"/>
          </w:rPr>
          <w:t>عاملي، احمد بن محمّد قرن 11 ه-</w:t>
        </w:r>
        <w:r>
          <w:tab/>
        </w:r>
        <w:r>
          <w:fldChar w:fldCharType="begin"/>
        </w:r>
        <w:r>
          <w:instrText xml:space="preserve">PAGEREF 4833 \h</w:instrText>
        </w:r>
        <w:r>
          <w:fldChar w:fldCharType="end"/>
        </w:r>
      </w:hyperlink>
    </w:p>
    <w:p>
      <w:pPr>
        <w:tabs>
          <w:tab w:val="right" w:leader="dot" w:pos="9062"/>
        </w:tabs>
        <w:ind w:left="220"/>
      </w:pPr>
      <w:hyperlink w:anchor="_Toc4834" w:history="1">
        <w:r>
          <w:rPr>
            <w:rFonts w:ascii="IRNazanin" w:hAnsi="IRNazanin" w:eastAsia="IRNazanin" w:cs="IRNazanin"/>
            <w:color w:val="111111"/>
            <w:sz w:val="22"/>
            <w:szCs w:val="22"/>
            <w:b w:val="0"/>
            <w:bCs w:val="0"/>
            <w:i w:val="0"/>
            <w:iCs w:val="0"/>
          </w:rPr>
          <w:t>عاملي ، اسماعيل بن محمّد</w:t>
        </w:r>
        <w:r>
          <w:tab/>
        </w:r>
        <w:r>
          <w:fldChar w:fldCharType="begin"/>
        </w:r>
        <w:r>
          <w:instrText xml:space="preserve">PAGEREF 4834 \h</w:instrText>
        </w:r>
        <w:r>
          <w:fldChar w:fldCharType="end"/>
        </w:r>
      </w:hyperlink>
    </w:p>
    <w:p>
      <w:pPr>
        <w:tabs>
          <w:tab w:val="right" w:leader="dot" w:pos="9062"/>
        </w:tabs>
        <w:ind w:left="220"/>
      </w:pPr>
      <w:hyperlink w:anchor="_Toc4835" w:history="1">
        <w:r>
          <w:rPr>
            <w:rFonts w:ascii="IRNazanin" w:hAnsi="IRNazanin" w:eastAsia="IRNazanin" w:cs="IRNazanin"/>
            <w:color w:val="111111"/>
            <w:sz w:val="22"/>
            <w:szCs w:val="22"/>
            <w:b w:val="0"/>
            <w:bCs w:val="0"/>
            <w:i w:val="0"/>
            <w:iCs w:val="0"/>
          </w:rPr>
          <w:t>عاملي اصفهاني ، محمّد بن صالح، 1193 -</w:t>
        </w:r>
        <w:r>
          <w:tab/>
        </w:r>
        <w:r>
          <w:fldChar w:fldCharType="begin"/>
        </w:r>
        <w:r>
          <w:instrText xml:space="preserve">PAGEREF 4835 \h</w:instrText>
        </w:r>
        <w:r>
          <w:fldChar w:fldCharType="end"/>
        </w:r>
      </w:hyperlink>
    </w:p>
    <w:p>
      <w:pPr>
        <w:tabs>
          <w:tab w:val="right" w:leader="dot" w:pos="9062"/>
        </w:tabs>
        <w:ind w:left="220"/>
      </w:pPr>
      <w:hyperlink w:anchor="_Toc4836" w:history="1">
        <w:r>
          <w:rPr>
            <w:rFonts w:ascii="IRNazanin" w:hAnsi="IRNazanin" w:eastAsia="IRNazanin" w:cs="IRNazanin"/>
            <w:color w:val="111111"/>
            <w:sz w:val="22"/>
            <w:szCs w:val="22"/>
            <w:b w:val="0"/>
            <w:bCs w:val="0"/>
            <w:i w:val="0"/>
            <w:iCs w:val="0"/>
          </w:rPr>
          <w:t>عاملي ، بهاء الدين محمّد قرن 14 ه-</w:t>
        </w:r>
        <w:r>
          <w:tab/>
        </w:r>
        <w:r>
          <w:fldChar w:fldCharType="begin"/>
        </w:r>
        <w:r>
          <w:instrText xml:space="preserve">PAGEREF 4836 \h</w:instrText>
        </w:r>
        <w:r>
          <w:fldChar w:fldCharType="end"/>
        </w:r>
      </w:hyperlink>
    </w:p>
    <w:p>
      <w:pPr>
        <w:tabs>
          <w:tab w:val="right" w:leader="dot" w:pos="9062"/>
        </w:tabs>
        <w:ind w:left="220"/>
      </w:pPr>
      <w:hyperlink w:anchor="_Toc4837" w:history="1">
        <w:r>
          <w:rPr>
            <w:rFonts w:ascii="IRNazanin" w:hAnsi="IRNazanin" w:eastAsia="IRNazanin" w:cs="IRNazanin"/>
            <w:color w:val="111111"/>
            <w:sz w:val="22"/>
            <w:szCs w:val="22"/>
            <w:b w:val="0"/>
            <w:bCs w:val="0"/>
            <w:i w:val="0"/>
            <w:iCs w:val="0"/>
          </w:rPr>
          <w:t>عاملي حانيني ، حسن بن علي، قرن 11 ه-</w:t>
        </w:r>
        <w:r>
          <w:tab/>
        </w:r>
        <w:r>
          <w:fldChar w:fldCharType="begin"/>
        </w:r>
        <w:r>
          <w:instrText xml:space="preserve">PAGEREF 4837 \h</w:instrText>
        </w:r>
        <w:r>
          <w:fldChar w:fldCharType="end"/>
        </w:r>
      </w:hyperlink>
    </w:p>
    <w:p>
      <w:pPr>
        <w:tabs>
          <w:tab w:val="right" w:leader="dot" w:pos="9062"/>
        </w:tabs>
        <w:ind w:left="220"/>
      </w:pPr>
      <w:hyperlink w:anchor="_Toc4838" w:history="1">
        <w:r>
          <w:rPr>
            <w:rFonts w:ascii="IRNazanin" w:hAnsi="IRNazanin" w:eastAsia="IRNazanin" w:cs="IRNazanin"/>
            <w:color w:val="111111"/>
            <w:sz w:val="22"/>
            <w:szCs w:val="22"/>
            <w:b w:val="0"/>
            <w:bCs w:val="0"/>
            <w:i w:val="0"/>
            <w:iCs w:val="0"/>
          </w:rPr>
          <w:t>عاملي ، حسن بن زين الدين 959 -</w:t>
        </w:r>
        <w:r>
          <w:tab/>
        </w:r>
        <w:r>
          <w:fldChar w:fldCharType="begin"/>
        </w:r>
        <w:r>
          <w:instrText xml:space="preserve">PAGEREF 4838 \h</w:instrText>
        </w:r>
        <w:r>
          <w:fldChar w:fldCharType="end"/>
        </w:r>
      </w:hyperlink>
    </w:p>
    <w:p>
      <w:pPr>
        <w:tabs>
          <w:tab w:val="right" w:leader="dot" w:pos="9062"/>
        </w:tabs>
        <w:ind w:left="220"/>
      </w:pPr>
      <w:hyperlink w:anchor="_Toc4839" w:history="1">
        <w:r>
          <w:rPr>
            <w:rFonts w:ascii="IRNazanin" w:hAnsi="IRNazanin" w:eastAsia="IRNazanin" w:cs="IRNazanin"/>
            <w:color w:val="111111"/>
            <w:sz w:val="22"/>
            <w:szCs w:val="22"/>
            <w:b w:val="0"/>
            <w:bCs w:val="0"/>
            <w:i w:val="0"/>
            <w:iCs w:val="0"/>
          </w:rPr>
          <w:t>عاملي ، حسن بن سليمان قرن 13 ه-</w:t>
        </w:r>
        <w:r>
          <w:tab/>
        </w:r>
        <w:r>
          <w:fldChar w:fldCharType="begin"/>
        </w:r>
        <w:r>
          <w:instrText xml:space="preserve">PAGEREF 4839 \h</w:instrText>
        </w:r>
        <w:r>
          <w:fldChar w:fldCharType="end"/>
        </w:r>
      </w:hyperlink>
    </w:p>
    <w:p>
      <w:pPr>
        <w:tabs>
          <w:tab w:val="right" w:leader="dot" w:pos="9062"/>
        </w:tabs>
        <w:ind w:left="220"/>
      </w:pPr>
      <w:hyperlink w:anchor="_Toc4840" w:history="1">
        <w:r>
          <w:rPr>
            <w:rFonts w:ascii="IRNazanin" w:hAnsi="IRNazanin" w:eastAsia="IRNazanin" w:cs="IRNazanin"/>
            <w:color w:val="111111"/>
            <w:sz w:val="22"/>
            <w:szCs w:val="22"/>
            <w:b w:val="0"/>
            <w:bCs w:val="0"/>
            <w:i w:val="0"/>
            <w:iCs w:val="0"/>
          </w:rPr>
          <w:t>عاملي ، حسين بن عبد الصمد، 918 - 984</w:t>
        </w:r>
        <w:r>
          <w:tab/>
        </w:r>
        <w:r>
          <w:fldChar w:fldCharType="begin"/>
        </w:r>
        <w:r>
          <w:instrText xml:space="preserve">PAGEREF 4840 \h</w:instrText>
        </w:r>
        <w:r>
          <w:fldChar w:fldCharType="end"/>
        </w:r>
      </w:hyperlink>
    </w:p>
    <w:p>
      <w:pPr>
        <w:tabs>
          <w:tab w:val="right" w:leader="dot" w:pos="9062"/>
        </w:tabs>
        <w:ind w:left="220"/>
      </w:pPr>
      <w:hyperlink w:anchor="_Toc4841" w:history="1">
        <w:r>
          <w:rPr>
            <w:rFonts w:ascii="IRNazanin" w:hAnsi="IRNazanin" w:eastAsia="IRNazanin" w:cs="IRNazanin"/>
            <w:color w:val="111111"/>
            <w:sz w:val="22"/>
            <w:szCs w:val="22"/>
            <w:b w:val="0"/>
            <w:bCs w:val="0"/>
            <w:i w:val="0"/>
            <w:iCs w:val="0"/>
          </w:rPr>
          <w:t>عاملي، زين الدين بن محسن قرن 10 ه-</w:t>
        </w:r>
        <w:r>
          <w:tab/>
        </w:r>
        <w:r>
          <w:fldChar w:fldCharType="begin"/>
        </w:r>
        <w:r>
          <w:instrText xml:space="preserve">PAGEREF 4841 \h</w:instrText>
        </w:r>
        <w:r>
          <w:fldChar w:fldCharType="end"/>
        </w:r>
      </w:hyperlink>
    </w:p>
    <w:p>
      <w:pPr>
        <w:tabs>
          <w:tab w:val="right" w:leader="dot" w:pos="9062"/>
        </w:tabs>
        <w:ind w:left="220"/>
      </w:pPr>
      <w:hyperlink w:anchor="_Toc4842" w:history="1">
        <w:r>
          <w:rPr>
            <w:rFonts w:ascii="IRNazanin" w:hAnsi="IRNazanin" w:eastAsia="IRNazanin" w:cs="IRNazanin"/>
            <w:color w:val="111111"/>
            <w:sz w:val="22"/>
            <w:szCs w:val="22"/>
            <w:b w:val="0"/>
            <w:bCs w:val="0"/>
            <w:i w:val="0"/>
            <w:iCs w:val="0"/>
          </w:rPr>
          <w:t>عاملي ، صالح بن محمّد</w:t>
        </w:r>
        <w:r>
          <w:tab/>
        </w:r>
        <w:r>
          <w:fldChar w:fldCharType="begin"/>
        </w:r>
        <w:r>
          <w:instrText xml:space="preserve">PAGEREF 4842 \h</w:instrText>
        </w:r>
        <w:r>
          <w:fldChar w:fldCharType="end"/>
        </w:r>
      </w:hyperlink>
    </w:p>
    <w:p>
      <w:pPr>
        <w:tabs>
          <w:tab w:val="right" w:leader="dot" w:pos="9062"/>
        </w:tabs>
        <w:ind w:left="220"/>
      </w:pPr>
      <w:hyperlink w:anchor="_Toc4843" w:history="1">
        <w:r>
          <w:rPr>
            <w:rFonts w:ascii="IRNazanin" w:hAnsi="IRNazanin" w:eastAsia="IRNazanin" w:cs="IRNazanin"/>
            <w:color w:val="111111"/>
            <w:sz w:val="22"/>
            <w:szCs w:val="22"/>
            <w:b w:val="0"/>
            <w:bCs w:val="0"/>
            <w:i w:val="0"/>
            <w:iCs w:val="0"/>
          </w:rPr>
          <w:t>عاملي ، عبدالحسين بن ابراهيم</w:t>
        </w:r>
        <w:r>
          <w:tab/>
        </w:r>
        <w:r>
          <w:fldChar w:fldCharType="begin"/>
        </w:r>
        <w:r>
          <w:instrText xml:space="preserve">PAGEREF 4843 \h</w:instrText>
        </w:r>
        <w:r>
          <w:fldChar w:fldCharType="end"/>
        </w:r>
      </w:hyperlink>
    </w:p>
    <w:p>
      <w:pPr>
        <w:tabs>
          <w:tab w:val="right" w:leader="dot" w:pos="9062"/>
        </w:tabs>
        <w:ind w:left="220"/>
      </w:pPr>
      <w:hyperlink w:anchor="_Toc4844" w:history="1">
        <w:r>
          <w:rPr>
            <w:rFonts w:ascii="IRNazanin" w:hAnsi="IRNazanin" w:eastAsia="IRNazanin" w:cs="IRNazanin"/>
            <w:color w:val="111111"/>
            <w:sz w:val="22"/>
            <w:szCs w:val="22"/>
            <w:b w:val="0"/>
            <w:bCs w:val="0"/>
            <w:i w:val="0"/>
            <w:iCs w:val="0"/>
          </w:rPr>
          <w:t>عاملي ، عبد السلام بن محمّد قرن 11 ه-</w:t>
        </w:r>
        <w:r>
          <w:tab/>
        </w:r>
        <w:r>
          <w:fldChar w:fldCharType="begin"/>
        </w:r>
        <w:r>
          <w:instrText xml:space="preserve">PAGEREF 4844 \h</w:instrText>
        </w:r>
        <w:r>
          <w:fldChar w:fldCharType="end"/>
        </w:r>
      </w:hyperlink>
    </w:p>
    <w:p>
      <w:pPr>
        <w:tabs>
          <w:tab w:val="right" w:leader="dot" w:pos="9062"/>
        </w:tabs>
        <w:ind w:left="220"/>
      </w:pPr>
      <w:hyperlink w:anchor="_Toc4845" w:history="1">
        <w:r>
          <w:rPr>
            <w:rFonts w:ascii="IRNazanin" w:hAnsi="IRNazanin" w:eastAsia="IRNazanin" w:cs="IRNazanin"/>
            <w:color w:val="111111"/>
            <w:sz w:val="22"/>
            <w:szCs w:val="22"/>
            <w:b w:val="0"/>
            <w:bCs w:val="0"/>
            <w:i w:val="0"/>
            <w:iCs w:val="0"/>
          </w:rPr>
          <w:t>عاملي، عبدالصمد بن محمّد - 935 ه-</w:t>
        </w:r>
        <w:r>
          <w:tab/>
        </w:r>
        <w:r>
          <w:fldChar w:fldCharType="begin"/>
        </w:r>
        <w:r>
          <w:instrText xml:space="preserve">PAGEREF 4845 \h</w:instrText>
        </w:r>
        <w:r>
          <w:fldChar w:fldCharType="end"/>
        </w:r>
      </w:hyperlink>
    </w:p>
    <w:p>
      <w:pPr>
        <w:tabs>
          <w:tab w:val="right" w:leader="dot" w:pos="9062"/>
        </w:tabs>
        <w:ind w:left="220"/>
      </w:pPr>
      <w:hyperlink w:anchor="_Toc4846" w:history="1">
        <w:r>
          <w:rPr>
            <w:rFonts w:ascii="IRNazanin" w:hAnsi="IRNazanin" w:eastAsia="IRNazanin" w:cs="IRNazanin"/>
            <w:color w:val="111111"/>
            <w:sz w:val="22"/>
            <w:szCs w:val="22"/>
            <w:b w:val="0"/>
            <w:bCs w:val="0"/>
            <w:i w:val="0"/>
            <w:iCs w:val="0"/>
          </w:rPr>
          <w:t>عاملي ، عبداللطيف بن علي - 1050ه-</w:t>
        </w:r>
        <w:r>
          <w:tab/>
        </w:r>
        <w:r>
          <w:fldChar w:fldCharType="begin"/>
        </w:r>
        <w:r>
          <w:instrText xml:space="preserve">PAGEREF 4846 \h</w:instrText>
        </w:r>
        <w:r>
          <w:fldChar w:fldCharType="end"/>
        </w:r>
      </w:hyperlink>
    </w:p>
    <w:p>
      <w:pPr>
        <w:tabs>
          <w:tab w:val="right" w:leader="dot" w:pos="9062"/>
        </w:tabs>
        <w:ind w:left="220"/>
      </w:pPr>
      <w:hyperlink w:anchor="_Toc4847" w:history="1">
        <w:r>
          <w:rPr>
            <w:rFonts w:ascii="IRNazanin" w:hAnsi="IRNazanin" w:eastAsia="IRNazanin" w:cs="IRNazanin"/>
            <w:color w:val="111111"/>
            <w:sz w:val="22"/>
            <w:szCs w:val="22"/>
            <w:b w:val="0"/>
            <w:bCs w:val="0"/>
            <w:i w:val="0"/>
            <w:iCs w:val="0"/>
          </w:rPr>
          <w:t>عاملي ، عدي بن رقاع - 95؟ ه-</w:t>
        </w:r>
        <w:r>
          <w:tab/>
        </w:r>
        <w:r>
          <w:fldChar w:fldCharType="begin"/>
        </w:r>
        <w:r>
          <w:instrText xml:space="preserve">PAGEREF 4847 \h</w:instrText>
        </w:r>
        <w:r>
          <w:fldChar w:fldCharType="end"/>
        </w:r>
      </w:hyperlink>
    </w:p>
    <w:p>
      <w:pPr>
        <w:tabs>
          <w:tab w:val="right" w:leader="dot" w:pos="9062"/>
        </w:tabs>
        <w:ind w:left="220"/>
      </w:pPr>
      <w:hyperlink w:anchor="_Toc4848" w:history="1">
        <w:r>
          <w:rPr>
            <w:rFonts w:ascii="IRNazanin" w:hAnsi="IRNazanin" w:eastAsia="IRNazanin" w:cs="IRNazanin"/>
            <w:color w:val="111111"/>
            <w:sz w:val="22"/>
            <w:szCs w:val="22"/>
            <w:b w:val="0"/>
            <w:bCs w:val="0"/>
            <w:i w:val="0"/>
            <w:iCs w:val="0"/>
          </w:rPr>
          <w:t>عاملي ، علي بن احمد قرن 11 ه-</w:t>
        </w:r>
        <w:r>
          <w:tab/>
        </w:r>
        <w:r>
          <w:fldChar w:fldCharType="begin"/>
        </w:r>
        <w:r>
          <w:instrText xml:space="preserve">PAGEREF 4848 \h</w:instrText>
        </w:r>
        <w:r>
          <w:fldChar w:fldCharType="end"/>
        </w:r>
      </w:hyperlink>
    </w:p>
    <w:p>
      <w:pPr>
        <w:tabs>
          <w:tab w:val="right" w:leader="dot" w:pos="9062"/>
        </w:tabs>
        <w:ind w:left="220"/>
      </w:pPr>
      <w:hyperlink w:anchor="_Toc4849" w:history="1">
        <w:r>
          <w:rPr>
            <w:rFonts w:ascii="IRNazanin" w:hAnsi="IRNazanin" w:eastAsia="IRNazanin" w:cs="IRNazanin"/>
            <w:color w:val="111111"/>
            <w:sz w:val="22"/>
            <w:szCs w:val="22"/>
            <w:b w:val="0"/>
            <w:bCs w:val="0"/>
            <w:i w:val="0"/>
            <w:iCs w:val="0"/>
          </w:rPr>
          <w:t>عاملي، علي بن حسين، 1070 - 1135 ه-</w:t>
        </w:r>
        <w:r>
          <w:tab/>
        </w:r>
        <w:r>
          <w:fldChar w:fldCharType="begin"/>
        </w:r>
        <w:r>
          <w:instrText xml:space="preserve">PAGEREF 4849 \h</w:instrText>
        </w:r>
        <w:r>
          <w:fldChar w:fldCharType="end"/>
        </w:r>
      </w:hyperlink>
    </w:p>
    <w:p>
      <w:pPr>
        <w:tabs>
          <w:tab w:val="right" w:leader="dot" w:pos="9062"/>
        </w:tabs>
        <w:ind w:left="220"/>
      </w:pPr>
      <w:hyperlink w:anchor="_Toc4850" w:history="1">
        <w:r>
          <w:rPr>
            <w:rFonts w:ascii="IRNazanin" w:hAnsi="IRNazanin" w:eastAsia="IRNazanin" w:cs="IRNazanin"/>
            <w:color w:val="111111"/>
            <w:sz w:val="22"/>
            <w:szCs w:val="22"/>
            <w:b w:val="0"/>
            <w:bCs w:val="0"/>
            <w:i w:val="0"/>
            <w:iCs w:val="0"/>
          </w:rPr>
          <w:t>عاملي، علي بن زين الدين - 1104 ه-</w:t>
        </w:r>
        <w:r>
          <w:tab/>
        </w:r>
        <w:r>
          <w:fldChar w:fldCharType="begin"/>
        </w:r>
        <w:r>
          <w:instrText xml:space="preserve">PAGEREF 4850 \h</w:instrText>
        </w:r>
        <w:r>
          <w:fldChar w:fldCharType="end"/>
        </w:r>
      </w:hyperlink>
    </w:p>
    <w:p>
      <w:pPr>
        <w:tabs>
          <w:tab w:val="right" w:leader="dot" w:pos="9062"/>
        </w:tabs>
        <w:ind w:left="220"/>
      </w:pPr>
      <w:hyperlink w:anchor="_Toc4851" w:history="1">
        <w:r>
          <w:rPr>
            <w:rFonts w:ascii="IRNazanin" w:hAnsi="IRNazanin" w:eastAsia="IRNazanin" w:cs="IRNazanin"/>
            <w:color w:val="111111"/>
            <w:sz w:val="22"/>
            <w:szCs w:val="22"/>
            <w:b w:val="0"/>
            <w:bCs w:val="0"/>
            <w:i w:val="0"/>
            <w:iCs w:val="0"/>
          </w:rPr>
          <w:t>عاملي، علي بن محمّد، 1013 - 1104 1226ه-</w:t>
        </w:r>
        <w:r>
          <w:tab/>
        </w:r>
        <w:r>
          <w:fldChar w:fldCharType="begin"/>
        </w:r>
        <w:r>
          <w:instrText xml:space="preserve">PAGEREF 4851 \h</w:instrText>
        </w:r>
        <w:r>
          <w:fldChar w:fldCharType="end"/>
        </w:r>
      </w:hyperlink>
    </w:p>
    <w:p>
      <w:pPr>
        <w:tabs>
          <w:tab w:val="right" w:leader="dot" w:pos="9062"/>
        </w:tabs>
        <w:ind w:left="220"/>
      </w:pPr>
      <w:hyperlink w:anchor="_Toc4852" w:history="1">
        <w:r>
          <w:rPr>
            <w:rFonts w:ascii="IRNazanin" w:hAnsi="IRNazanin" w:eastAsia="IRNazanin" w:cs="IRNazanin"/>
            <w:color w:val="111111"/>
            <w:sz w:val="22"/>
            <w:szCs w:val="22"/>
            <w:b w:val="0"/>
            <w:bCs w:val="0"/>
            <w:i w:val="0"/>
            <w:iCs w:val="0"/>
          </w:rPr>
          <w:t>عاملي غروي ، جواد بن محمّد، 1152؟ -</w:t>
        </w:r>
        <w:r>
          <w:tab/>
        </w:r>
        <w:r>
          <w:fldChar w:fldCharType="begin"/>
        </w:r>
        <w:r>
          <w:instrText xml:space="preserve">PAGEREF 4852 \h</w:instrText>
        </w:r>
        <w:r>
          <w:fldChar w:fldCharType="end"/>
        </w:r>
      </w:hyperlink>
    </w:p>
    <w:p>
      <w:pPr>
        <w:tabs>
          <w:tab w:val="right" w:leader="dot" w:pos="9062"/>
        </w:tabs>
        <w:ind w:left="220"/>
      </w:pPr>
      <w:hyperlink w:anchor="_Toc4853" w:history="1">
        <w:r>
          <w:rPr>
            <w:rFonts w:ascii="IRNazanin" w:hAnsi="IRNazanin" w:eastAsia="IRNazanin" w:cs="IRNazanin"/>
            <w:color w:val="111111"/>
            <w:sz w:val="22"/>
            <w:szCs w:val="22"/>
            <w:b w:val="0"/>
            <w:bCs w:val="0"/>
            <w:i w:val="0"/>
            <w:iCs w:val="0"/>
          </w:rPr>
          <w:t>عاملي فتوني ، محمّد مهدي</w:t>
        </w:r>
        <w:r>
          <w:tab/>
        </w:r>
        <w:r>
          <w:fldChar w:fldCharType="begin"/>
        </w:r>
        <w:r>
          <w:instrText xml:space="preserve">PAGEREF 4853 \h</w:instrText>
        </w:r>
        <w:r>
          <w:fldChar w:fldCharType="end"/>
        </w:r>
      </w:hyperlink>
    </w:p>
    <w:p>
      <w:pPr>
        <w:tabs>
          <w:tab w:val="right" w:leader="dot" w:pos="9062"/>
        </w:tabs>
        <w:ind w:left="220"/>
      </w:pPr>
      <w:hyperlink w:anchor="_Toc4854" w:history="1">
        <w:r>
          <w:rPr>
            <w:rFonts w:ascii="IRNazanin" w:hAnsi="IRNazanin" w:eastAsia="IRNazanin" w:cs="IRNazanin"/>
            <w:color w:val="111111"/>
            <w:sz w:val="22"/>
            <w:szCs w:val="22"/>
            <w:b w:val="0"/>
            <w:bCs w:val="0"/>
            <w:i w:val="0"/>
            <w:iCs w:val="0"/>
          </w:rPr>
          <w:t>عاملي ، قاسم بن حسن - 1375 ه-</w:t>
        </w:r>
        <w:r>
          <w:tab/>
        </w:r>
        <w:r>
          <w:fldChar w:fldCharType="begin"/>
        </w:r>
        <w:r>
          <w:instrText xml:space="preserve">PAGEREF 4854 \h</w:instrText>
        </w:r>
        <w:r>
          <w:fldChar w:fldCharType="end"/>
        </w:r>
      </w:hyperlink>
    </w:p>
    <w:p>
      <w:pPr>
        <w:tabs>
          <w:tab w:val="right" w:leader="dot" w:pos="9062"/>
        </w:tabs>
        <w:ind w:left="220"/>
      </w:pPr>
      <w:hyperlink w:anchor="_Toc4855" w:history="1">
        <w:r>
          <w:rPr>
            <w:rFonts w:ascii="IRNazanin" w:hAnsi="IRNazanin" w:eastAsia="IRNazanin" w:cs="IRNazanin"/>
            <w:color w:val="111111"/>
            <w:sz w:val="22"/>
            <w:szCs w:val="22"/>
            <w:b w:val="0"/>
            <w:bCs w:val="0"/>
            <w:i w:val="0"/>
            <w:iCs w:val="0"/>
          </w:rPr>
          <w:t>عاملي، كمال الدين بن حيدر قرن 12 ه-</w:t>
        </w:r>
        <w:r>
          <w:tab/>
        </w:r>
        <w:r>
          <w:fldChar w:fldCharType="begin"/>
        </w:r>
        <w:r>
          <w:instrText xml:space="preserve">PAGEREF 4855 \h</w:instrText>
        </w:r>
        <w:r>
          <w:fldChar w:fldCharType="end"/>
        </w:r>
      </w:hyperlink>
    </w:p>
    <w:p>
      <w:pPr>
        <w:tabs>
          <w:tab w:val="right" w:leader="dot" w:pos="9062"/>
        </w:tabs>
        <w:ind w:left="220"/>
      </w:pPr>
      <w:hyperlink w:anchor="_Toc4856" w:history="1">
        <w:r>
          <w:rPr>
            <w:rFonts w:ascii="IRNazanin" w:hAnsi="IRNazanin" w:eastAsia="IRNazanin" w:cs="IRNazanin"/>
            <w:color w:val="111111"/>
            <w:sz w:val="22"/>
            <w:szCs w:val="22"/>
            <w:b w:val="0"/>
            <w:bCs w:val="0"/>
            <w:i w:val="0"/>
            <w:iCs w:val="0"/>
          </w:rPr>
          <w:t>عاملي ، محسن بن عبدالكريم</w:t>
        </w:r>
        <w:r>
          <w:tab/>
        </w:r>
        <w:r>
          <w:fldChar w:fldCharType="begin"/>
        </w:r>
        <w:r>
          <w:instrText xml:space="preserve">PAGEREF 4856 \h</w:instrText>
        </w:r>
        <w:r>
          <w:fldChar w:fldCharType="end"/>
        </w:r>
      </w:hyperlink>
    </w:p>
    <w:p>
      <w:pPr>
        <w:tabs>
          <w:tab w:val="right" w:leader="dot" w:pos="9062"/>
        </w:tabs>
        <w:ind w:left="220"/>
      </w:pPr>
      <w:hyperlink w:anchor="_Toc4857" w:history="1">
        <w:r>
          <w:rPr>
            <w:rFonts w:ascii="IRNazanin" w:hAnsi="IRNazanin" w:eastAsia="IRNazanin" w:cs="IRNazanin"/>
            <w:color w:val="111111"/>
            <w:sz w:val="22"/>
            <w:szCs w:val="22"/>
            <w:b w:val="0"/>
            <w:bCs w:val="0"/>
            <w:i w:val="0"/>
            <w:iCs w:val="0"/>
          </w:rPr>
          <w:t>عاملي ، محمّد، قرن 11 ه-</w:t>
        </w:r>
        <w:r>
          <w:tab/>
        </w:r>
        <w:r>
          <w:fldChar w:fldCharType="begin"/>
        </w:r>
        <w:r>
          <w:instrText xml:space="preserve">PAGEREF 4857 \h</w:instrText>
        </w:r>
        <w:r>
          <w:fldChar w:fldCharType="end"/>
        </w:r>
      </w:hyperlink>
    </w:p>
    <w:p>
      <w:pPr>
        <w:tabs>
          <w:tab w:val="right" w:leader="dot" w:pos="9062"/>
        </w:tabs>
        <w:ind w:left="220"/>
      </w:pPr>
      <w:hyperlink w:anchor="_Toc4858" w:history="1">
        <w:r>
          <w:rPr>
            <w:rFonts w:ascii="IRNazanin" w:hAnsi="IRNazanin" w:eastAsia="IRNazanin" w:cs="IRNazanin"/>
            <w:color w:val="111111"/>
            <w:sz w:val="22"/>
            <w:szCs w:val="22"/>
            <w:b w:val="0"/>
            <w:bCs w:val="0"/>
            <w:i w:val="0"/>
            <w:iCs w:val="0"/>
          </w:rPr>
          <w:t>عاملي ، محمّد</w:t>
        </w:r>
        <w:r>
          <w:tab/>
        </w:r>
        <w:r>
          <w:fldChar w:fldCharType="begin"/>
        </w:r>
        <w:r>
          <w:instrText xml:space="preserve">PAGEREF 4858 \h</w:instrText>
        </w:r>
        <w:r>
          <w:fldChar w:fldCharType="end"/>
        </w:r>
      </w:hyperlink>
    </w:p>
    <w:p>
      <w:pPr>
        <w:tabs>
          <w:tab w:val="right" w:leader="dot" w:pos="9062"/>
        </w:tabs>
        <w:ind w:left="220"/>
      </w:pPr>
      <w:hyperlink w:anchor="_Toc4859" w:history="1">
        <w:r>
          <w:rPr>
            <w:rFonts w:ascii="IRNazanin" w:hAnsi="IRNazanin" w:eastAsia="IRNazanin" w:cs="IRNazanin"/>
            <w:color w:val="111111"/>
            <w:sz w:val="22"/>
            <w:szCs w:val="22"/>
            <w:b w:val="0"/>
            <w:bCs w:val="0"/>
            <w:i w:val="0"/>
            <w:iCs w:val="0"/>
          </w:rPr>
          <w:t>عاملي ، محمّد ابراهيم</w:t>
        </w:r>
        <w:r>
          <w:tab/>
        </w:r>
        <w:r>
          <w:fldChar w:fldCharType="begin"/>
        </w:r>
        <w:r>
          <w:instrText xml:space="preserve">PAGEREF 4859 \h</w:instrText>
        </w:r>
        <w:r>
          <w:fldChar w:fldCharType="end"/>
        </w:r>
      </w:hyperlink>
    </w:p>
    <w:p>
      <w:pPr>
        <w:tabs>
          <w:tab w:val="right" w:leader="dot" w:pos="9062"/>
        </w:tabs>
        <w:ind w:left="220"/>
      </w:pPr>
      <w:hyperlink w:anchor="_Toc4860" w:history="1">
        <w:r>
          <w:rPr>
            <w:rFonts w:ascii="IRNazanin" w:hAnsi="IRNazanin" w:eastAsia="IRNazanin" w:cs="IRNazanin"/>
            <w:color w:val="111111"/>
            <w:sz w:val="22"/>
            <w:szCs w:val="22"/>
            <w:b w:val="0"/>
            <w:bCs w:val="0"/>
            <w:i w:val="0"/>
            <w:iCs w:val="0"/>
          </w:rPr>
          <w:t>عاملي ، محمّد امين، 13 ه-</w:t>
        </w:r>
        <w:r>
          <w:tab/>
        </w:r>
        <w:r>
          <w:fldChar w:fldCharType="begin"/>
        </w:r>
        <w:r>
          <w:instrText xml:space="preserve">PAGEREF 4860 \h</w:instrText>
        </w:r>
        <w:r>
          <w:fldChar w:fldCharType="end"/>
        </w:r>
      </w:hyperlink>
    </w:p>
    <w:p>
      <w:pPr>
        <w:tabs>
          <w:tab w:val="right" w:leader="dot" w:pos="9062"/>
        </w:tabs>
        <w:ind w:left="220"/>
      </w:pPr>
      <w:hyperlink w:anchor="_Toc4861" w:history="1">
        <w:r>
          <w:rPr>
            <w:rFonts w:ascii="IRNazanin" w:hAnsi="IRNazanin" w:eastAsia="IRNazanin" w:cs="IRNazanin"/>
            <w:color w:val="111111"/>
            <w:sz w:val="22"/>
            <w:szCs w:val="22"/>
            <w:b w:val="0"/>
            <w:bCs w:val="0"/>
            <w:i w:val="0"/>
            <w:iCs w:val="0"/>
          </w:rPr>
          <w:t>عاملي ، محمّد بن احمد - 1008 ؟</w:t>
        </w:r>
        <w:r>
          <w:tab/>
        </w:r>
        <w:r>
          <w:fldChar w:fldCharType="begin"/>
        </w:r>
        <w:r>
          <w:instrText xml:space="preserve">PAGEREF 4861 \h</w:instrText>
        </w:r>
        <w:r>
          <w:fldChar w:fldCharType="end"/>
        </w:r>
      </w:hyperlink>
    </w:p>
    <w:p>
      <w:pPr>
        <w:tabs>
          <w:tab w:val="right" w:leader="dot" w:pos="9062"/>
        </w:tabs>
        <w:ind w:left="220"/>
      </w:pPr>
      <w:hyperlink w:anchor="_Toc4862" w:history="1">
        <w:r>
          <w:rPr>
            <w:rFonts w:ascii="IRNazanin" w:hAnsi="IRNazanin" w:eastAsia="IRNazanin" w:cs="IRNazanin"/>
            <w:color w:val="111111"/>
            <w:sz w:val="22"/>
            <w:szCs w:val="22"/>
            <w:b w:val="0"/>
            <w:bCs w:val="0"/>
            <w:i w:val="0"/>
            <w:iCs w:val="0"/>
          </w:rPr>
          <w:t>عاملي ، محمّد بن بهاء الدين</w:t>
        </w:r>
        <w:r>
          <w:tab/>
        </w:r>
        <w:r>
          <w:fldChar w:fldCharType="begin"/>
        </w:r>
        <w:r>
          <w:instrText xml:space="preserve">PAGEREF 4862 \h</w:instrText>
        </w:r>
        <w:r>
          <w:fldChar w:fldCharType="end"/>
        </w:r>
      </w:hyperlink>
    </w:p>
    <w:p>
      <w:pPr>
        <w:tabs>
          <w:tab w:val="right" w:leader="dot" w:pos="9062"/>
        </w:tabs>
        <w:ind w:left="220"/>
      </w:pPr>
      <w:hyperlink w:anchor="_Toc4863" w:history="1">
        <w:r>
          <w:rPr>
            <w:rFonts w:ascii="IRNazanin" w:hAnsi="IRNazanin" w:eastAsia="IRNazanin" w:cs="IRNazanin"/>
            <w:color w:val="111111"/>
            <w:sz w:val="22"/>
            <w:szCs w:val="22"/>
            <w:b w:val="0"/>
            <w:bCs w:val="0"/>
            <w:i w:val="0"/>
            <w:iCs w:val="0"/>
          </w:rPr>
          <w:t>عاملي ، محمّد بن عبدالعال</w:t>
        </w:r>
        <w:r>
          <w:tab/>
        </w:r>
        <w:r>
          <w:fldChar w:fldCharType="begin"/>
        </w:r>
        <w:r>
          <w:instrText xml:space="preserve">PAGEREF 4863 \h</w:instrText>
        </w:r>
        <w:r>
          <w:fldChar w:fldCharType="end"/>
        </w:r>
      </w:hyperlink>
    </w:p>
    <w:p>
      <w:pPr>
        <w:tabs>
          <w:tab w:val="right" w:leader="dot" w:pos="9062"/>
        </w:tabs>
        <w:ind w:left="220"/>
      </w:pPr>
      <w:hyperlink w:anchor="_Toc4864" w:history="1">
        <w:r>
          <w:rPr>
            <w:rFonts w:ascii="IRNazanin" w:hAnsi="IRNazanin" w:eastAsia="IRNazanin" w:cs="IRNazanin"/>
            <w:color w:val="111111"/>
            <w:sz w:val="22"/>
            <w:szCs w:val="22"/>
            <w:b w:val="0"/>
            <w:bCs w:val="0"/>
            <w:i w:val="0"/>
            <w:iCs w:val="0"/>
          </w:rPr>
          <w:t>عاملي ، محمّد بن مكي - 938 ه-</w:t>
        </w:r>
        <w:r>
          <w:tab/>
        </w:r>
        <w:r>
          <w:fldChar w:fldCharType="begin"/>
        </w:r>
        <w:r>
          <w:instrText xml:space="preserve">PAGEREF 4864 \h</w:instrText>
        </w:r>
        <w:r>
          <w:fldChar w:fldCharType="end"/>
        </w:r>
      </w:hyperlink>
    </w:p>
    <w:p>
      <w:pPr>
        <w:tabs>
          <w:tab w:val="right" w:leader="dot" w:pos="9062"/>
        </w:tabs>
        <w:ind w:left="220"/>
      </w:pPr>
      <w:hyperlink w:anchor="_Toc4865" w:history="1">
        <w:r>
          <w:rPr>
            <w:rFonts w:ascii="IRNazanin" w:hAnsi="IRNazanin" w:eastAsia="IRNazanin" w:cs="IRNazanin"/>
            <w:color w:val="111111"/>
            <w:sz w:val="22"/>
            <w:szCs w:val="22"/>
            <w:b w:val="0"/>
            <w:bCs w:val="0"/>
            <w:i w:val="0"/>
            <w:iCs w:val="0"/>
          </w:rPr>
          <w:t>عاملي ، محمّد بن نورالدين</w:t>
        </w:r>
        <w:r>
          <w:tab/>
        </w:r>
        <w:r>
          <w:fldChar w:fldCharType="begin"/>
        </w:r>
        <w:r>
          <w:instrText xml:space="preserve">PAGEREF 4865 \h</w:instrText>
        </w:r>
        <w:r>
          <w:fldChar w:fldCharType="end"/>
        </w:r>
      </w:hyperlink>
    </w:p>
    <w:p>
      <w:pPr>
        <w:tabs>
          <w:tab w:val="right" w:leader="dot" w:pos="9062"/>
        </w:tabs>
        <w:ind w:left="220"/>
      </w:pPr>
      <w:hyperlink w:anchor="_Toc4866" w:history="1">
        <w:r>
          <w:rPr>
            <w:rFonts w:ascii="IRNazanin" w:hAnsi="IRNazanin" w:eastAsia="IRNazanin" w:cs="IRNazanin"/>
            <w:color w:val="111111"/>
            <w:sz w:val="22"/>
            <w:szCs w:val="22"/>
            <w:b w:val="0"/>
            <w:bCs w:val="0"/>
            <w:i w:val="0"/>
            <w:iCs w:val="0"/>
          </w:rPr>
          <w:t>عاملي ، محمّد جواد بن حسن قرن 13</w:t>
        </w:r>
        <w:r>
          <w:tab/>
        </w:r>
        <w:r>
          <w:fldChar w:fldCharType="begin"/>
        </w:r>
        <w:r>
          <w:instrText xml:space="preserve">PAGEREF 4866 \h</w:instrText>
        </w:r>
        <w:r>
          <w:fldChar w:fldCharType="end"/>
        </w:r>
      </w:hyperlink>
    </w:p>
    <w:p>
      <w:pPr>
        <w:tabs>
          <w:tab w:val="right" w:leader="dot" w:pos="9062"/>
        </w:tabs>
        <w:ind w:left="220"/>
      </w:pPr>
      <w:hyperlink w:anchor="_Toc4867" w:history="1">
        <w:r>
          <w:rPr>
            <w:rFonts w:ascii="IRNazanin" w:hAnsi="IRNazanin" w:eastAsia="IRNazanin" w:cs="IRNazanin"/>
            <w:color w:val="111111"/>
            <w:sz w:val="22"/>
            <w:szCs w:val="22"/>
            <w:b w:val="0"/>
            <w:bCs w:val="0"/>
            <w:i w:val="0"/>
            <w:iCs w:val="0"/>
          </w:rPr>
          <w:t>عاملي ، محمّد طالب بن محمّد جعفر</w:t>
        </w:r>
        <w:r>
          <w:tab/>
        </w:r>
        <w:r>
          <w:fldChar w:fldCharType="begin"/>
        </w:r>
        <w:r>
          <w:instrText xml:space="preserve">PAGEREF 4867 \h</w:instrText>
        </w:r>
        <w:r>
          <w:fldChar w:fldCharType="end"/>
        </w:r>
      </w:hyperlink>
    </w:p>
    <w:p>
      <w:pPr>
        <w:tabs>
          <w:tab w:val="right" w:leader="dot" w:pos="9062"/>
        </w:tabs>
        <w:ind w:left="220"/>
      </w:pPr>
      <w:hyperlink w:anchor="_Toc4868" w:history="1">
        <w:r>
          <w:rPr>
            <w:rFonts w:ascii="IRNazanin" w:hAnsi="IRNazanin" w:eastAsia="IRNazanin" w:cs="IRNazanin"/>
            <w:color w:val="111111"/>
            <w:sz w:val="22"/>
            <w:szCs w:val="22"/>
            <w:b w:val="0"/>
            <w:bCs w:val="0"/>
            <w:i w:val="0"/>
            <w:iCs w:val="0"/>
          </w:rPr>
          <w:t>عاملي، محمّد مهدي بن محمّد - 1183</w:t>
        </w:r>
        <w:r>
          <w:tab/>
        </w:r>
        <w:r>
          <w:fldChar w:fldCharType="begin"/>
        </w:r>
        <w:r>
          <w:instrText xml:space="preserve">PAGEREF 4868 \h</w:instrText>
        </w:r>
        <w:r>
          <w:fldChar w:fldCharType="end"/>
        </w:r>
      </w:hyperlink>
    </w:p>
    <w:p>
      <w:pPr>
        <w:tabs>
          <w:tab w:val="right" w:leader="dot" w:pos="9062"/>
        </w:tabs>
        <w:ind w:left="220"/>
      </w:pPr>
      <w:hyperlink w:anchor="_Toc4869" w:history="1">
        <w:r>
          <w:rPr>
            <w:rFonts w:ascii="IRNazanin" w:hAnsi="IRNazanin" w:eastAsia="IRNazanin" w:cs="IRNazanin"/>
            <w:color w:val="111111"/>
            <w:sz w:val="22"/>
            <w:szCs w:val="22"/>
            <w:b w:val="0"/>
            <w:bCs w:val="0"/>
            <w:i w:val="0"/>
            <w:iCs w:val="0"/>
          </w:rPr>
          <w:t>عاملي ، نعمة الله بن حسين - 1096 ه-</w:t>
        </w:r>
        <w:r>
          <w:tab/>
        </w:r>
        <w:r>
          <w:fldChar w:fldCharType="begin"/>
        </w:r>
        <w:r>
          <w:instrText xml:space="preserve">PAGEREF 4869 \h</w:instrText>
        </w:r>
        <w:r>
          <w:fldChar w:fldCharType="end"/>
        </w:r>
      </w:hyperlink>
    </w:p>
    <w:p>
      <w:pPr>
        <w:tabs>
          <w:tab w:val="right" w:leader="dot" w:pos="9062"/>
        </w:tabs>
        <w:ind w:left="220"/>
      </w:pPr>
      <w:hyperlink w:anchor="_Toc4870" w:history="1">
        <w:r>
          <w:rPr>
            <w:rFonts w:ascii="IRNazanin" w:hAnsi="IRNazanin" w:eastAsia="IRNazanin" w:cs="IRNazanin"/>
            <w:color w:val="111111"/>
            <w:sz w:val="22"/>
            <w:szCs w:val="22"/>
            <w:b w:val="0"/>
            <w:bCs w:val="0"/>
            <w:i w:val="0"/>
            <w:iCs w:val="0"/>
          </w:rPr>
          <w:t>عاملي ، يحيى</w:t>
        </w:r>
        <w:r>
          <w:tab/>
        </w:r>
        <w:r>
          <w:fldChar w:fldCharType="begin"/>
        </w:r>
        <w:r>
          <w:instrText xml:space="preserve">PAGEREF 4870 \h</w:instrText>
        </w:r>
        <w:r>
          <w:fldChar w:fldCharType="end"/>
        </w:r>
      </w:hyperlink>
    </w:p>
    <w:p>
      <w:pPr>
        <w:tabs>
          <w:tab w:val="right" w:leader="dot" w:pos="9062"/>
        </w:tabs>
        <w:ind w:left="220"/>
      </w:pPr>
      <w:hyperlink w:anchor="_Toc4871" w:history="1">
        <w:r>
          <w:rPr>
            <w:rFonts w:ascii="IRNazanin" w:hAnsi="IRNazanin" w:eastAsia="IRNazanin" w:cs="IRNazanin"/>
            <w:color w:val="111111"/>
            <w:sz w:val="22"/>
            <w:szCs w:val="22"/>
            <w:b w:val="0"/>
            <w:bCs w:val="0"/>
            <w:i w:val="0"/>
            <w:iCs w:val="0"/>
          </w:rPr>
          <w:t>عاملي ، يوسف بن محمّد حسين - 982 ه-؟</w:t>
        </w:r>
        <w:r>
          <w:tab/>
        </w:r>
        <w:r>
          <w:fldChar w:fldCharType="begin"/>
        </w:r>
        <w:r>
          <w:instrText xml:space="preserve">PAGEREF 4871 \h</w:instrText>
        </w:r>
        <w:r>
          <w:fldChar w:fldCharType="end"/>
        </w:r>
      </w:hyperlink>
    </w:p>
    <w:p>
      <w:pPr>
        <w:tabs>
          <w:tab w:val="right" w:leader="dot" w:pos="9062"/>
        </w:tabs>
        <w:ind w:left="220"/>
      </w:pPr>
      <w:hyperlink w:anchor="_Toc4872" w:history="1">
        <w:r>
          <w:rPr>
            <w:rFonts w:ascii="IRNazanin" w:hAnsi="IRNazanin" w:eastAsia="IRNazanin" w:cs="IRNazanin"/>
            <w:color w:val="111111"/>
            <w:sz w:val="22"/>
            <w:szCs w:val="22"/>
            <w:b w:val="0"/>
            <w:bCs w:val="0"/>
            <w:i w:val="0"/>
            <w:iCs w:val="0"/>
          </w:rPr>
          <w:t>عاني ، صالح بن محمّد قرن 13 ه-</w:t>
        </w:r>
        <w:r>
          <w:tab/>
        </w:r>
        <w:r>
          <w:fldChar w:fldCharType="begin"/>
        </w:r>
        <w:r>
          <w:instrText xml:space="preserve">PAGEREF 4872 \h</w:instrText>
        </w:r>
        <w:r>
          <w:fldChar w:fldCharType="end"/>
        </w:r>
      </w:hyperlink>
    </w:p>
    <w:p>
      <w:pPr>
        <w:tabs>
          <w:tab w:val="right" w:leader="dot" w:pos="9062"/>
        </w:tabs>
        <w:ind w:left="220"/>
      </w:pPr>
      <w:hyperlink w:anchor="_Toc4873" w:history="1">
        <w:r>
          <w:rPr>
            <w:rFonts w:ascii="IRNazanin" w:hAnsi="IRNazanin" w:eastAsia="IRNazanin" w:cs="IRNazanin"/>
            <w:color w:val="111111"/>
            <w:sz w:val="22"/>
            <w:szCs w:val="22"/>
            <w:b w:val="0"/>
            <w:bCs w:val="0"/>
            <w:i w:val="0"/>
            <w:iCs w:val="0"/>
          </w:rPr>
          <w:t>عاني ، قاسم بن محمّد قرن 14 ه-</w:t>
        </w:r>
        <w:r>
          <w:tab/>
        </w:r>
        <w:r>
          <w:fldChar w:fldCharType="begin"/>
        </w:r>
        <w:r>
          <w:instrText xml:space="preserve">PAGEREF 4873 \h</w:instrText>
        </w:r>
        <w:r>
          <w:fldChar w:fldCharType="end"/>
        </w:r>
      </w:hyperlink>
    </w:p>
    <w:p>
      <w:pPr>
        <w:tabs>
          <w:tab w:val="right" w:leader="dot" w:pos="9062"/>
        </w:tabs>
        <w:ind w:left="220"/>
      </w:pPr>
      <w:hyperlink w:anchor="_Toc4874" w:history="1">
        <w:r>
          <w:rPr>
            <w:rFonts w:ascii="IRNazanin" w:hAnsi="IRNazanin" w:eastAsia="IRNazanin" w:cs="IRNazanin"/>
            <w:color w:val="111111"/>
            <w:sz w:val="22"/>
            <w:szCs w:val="22"/>
            <w:b w:val="0"/>
            <w:bCs w:val="0"/>
            <w:i w:val="0"/>
            <w:iCs w:val="0"/>
          </w:rPr>
          <w:t>عباجي، ابراهيم بن موسى - 1103 ه-</w:t>
        </w:r>
        <w:r>
          <w:tab/>
        </w:r>
        <w:r>
          <w:fldChar w:fldCharType="begin"/>
        </w:r>
        <w:r>
          <w:instrText xml:space="preserve">PAGEREF 4874 \h</w:instrText>
        </w:r>
        <w:r>
          <w:fldChar w:fldCharType="end"/>
        </w:r>
      </w:hyperlink>
    </w:p>
    <w:p>
      <w:pPr>
        <w:tabs>
          <w:tab w:val="right" w:leader="dot" w:pos="9062"/>
        </w:tabs>
        <w:ind w:left="220"/>
      </w:pPr>
      <w:hyperlink w:anchor="_Toc4875" w:history="1">
        <w:r>
          <w:rPr>
            <w:rFonts w:ascii="IRNazanin" w:hAnsi="IRNazanin" w:eastAsia="IRNazanin" w:cs="IRNazanin"/>
            <w:color w:val="111111"/>
            <w:sz w:val="22"/>
            <w:szCs w:val="22"/>
            <w:b w:val="0"/>
            <w:bCs w:val="0"/>
            <w:i w:val="0"/>
            <w:iCs w:val="0"/>
          </w:rPr>
          <w:t>عباده ، عبد الحميد بن بكر 1308 -</w:t>
        </w:r>
        <w:r>
          <w:tab/>
        </w:r>
        <w:r>
          <w:fldChar w:fldCharType="begin"/>
        </w:r>
        <w:r>
          <w:instrText xml:space="preserve">PAGEREF 4875 \h</w:instrText>
        </w:r>
        <w:r>
          <w:fldChar w:fldCharType="end"/>
        </w:r>
      </w:hyperlink>
    </w:p>
    <w:p>
      <w:pPr>
        <w:tabs>
          <w:tab w:val="right" w:leader="dot" w:pos="9062"/>
        </w:tabs>
        <w:ind w:left="220"/>
      </w:pPr>
      <w:hyperlink w:anchor="_Toc4876" w:history="1">
        <w:r>
          <w:rPr>
            <w:rFonts w:ascii="IRNazanin" w:hAnsi="IRNazanin" w:eastAsia="IRNazanin" w:cs="IRNazanin"/>
            <w:color w:val="111111"/>
            <w:sz w:val="22"/>
            <w:szCs w:val="22"/>
            <w:b w:val="0"/>
            <w:bCs w:val="0"/>
            <w:i w:val="0"/>
            <w:iCs w:val="0"/>
          </w:rPr>
          <w:t>عبادي ، احمد بن قاسم، - 994 ه-</w:t>
        </w:r>
        <w:r>
          <w:tab/>
        </w:r>
        <w:r>
          <w:fldChar w:fldCharType="begin"/>
        </w:r>
        <w:r>
          <w:instrText xml:space="preserve">PAGEREF 4876 \h</w:instrText>
        </w:r>
        <w:r>
          <w:fldChar w:fldCharType="end"/>
        </w:r>
      </w:hyperlink>
    </w:p>
    <w:p>
      <w:pPr>
        <w:tabs>
          <w:tab w:val="right" w:leader="dot" w:pos="9062"/>
        </w:tabs>
        <w:ind w:left="220"/>
      </w:pPr>
      <w:hyperlink w:anchor="_Toc4877" w:history="1">
        <w:r>
          <w:rPr>
            <w:rFonts w:ascii="IRNazanin" w:hAnsi="IRNazanin" w:eastAsia="IRNazanin" w:cs="IRNazanin"/>
            <w:color w:val="111111"/>
            <w:sz w:val="22"/>
            <w:szCs w:val="22"/>
            <w:b w:val="0"/>
            <w:bCs w:val="0"/>
            <w:i w:val="0"/>
            <w:iCs w:val="0"/>
          </w:rPr>
          <w:t>عبادي، محمّد بن احمد، 375 - 458 ه-</w:t>
        </w:r>
        <w:r>
          <w:tab/>
        </w:r>
        <w:r>
          <w:fldChar w:fldCharType="begin"/>
        </w:r>
        <w:r>
          <w:instrText xml:space="preserve">PAGEREF 4877 \h</w:instrText>
        </w:r>
        <w:r>
          <w:fldChar w:fldCharType="end"/>
        </w:r>
      </w:hyperlink>
    </w:p>
    <w:p>
      <w:pPr>
        <w:tabs>
          <w:tab w:val="right" w:leader="dot" w:pos="9062"/>
        </w:tabs>
        <w:ind w:left="220"/>
      </w:pPr>
      <w:hyperlink w:anchor="_Toc4878" w:history="1">
        <w:r>
          <w:rPr>
            <w:rFonts w:ascii="IRNazanin" w:hAnsi="IRNazanin" w:eastAsia="IRNazanin" w:cs="IRNazanin"/>
            <w:color w:val="111111"/>
            <w:sz w:val="22"/>
            <w:szCs w:val="22"/>
            <w:b w:val="0"/>
            <w:bCs w:val="0"/>
            <w:i w:val="0"/>
            <w:iCs w:val="0"/>
          </w:rPr>
          <w:t>عبادي ، محمّد بن قاسم - 992 ه-</w:t>
        </w:r>
        <w:r>
          <w:tab/>
        </w:r>
        <w:r>
          <w:fldChar w:fldCharType="begin"/>
        </w:r>
        <w:r>
          <w:instrText xml:space="preserve">PAGEREF 4878 \h</w:instrText>
        </w:r>
        <w:r>
          <w:fldChar w:fldCharType="end"/>
        </w:r>
      </w:hyperlink>
    </w:p>
    <w:p>
      <w:pPr>
        <w:tabs>
          <w:tab w:val="right" w:leader="dot" w:pos="9062"/>
        </w:tabs>
        <w:ind w:left="220"/>
      </w:pPr>
      <w:hyperlink w:anchor="_Toc4879" w:history="1">
        <w:r>
          <w:rPr>
            <w:rFonts w:ascii="IRNazanin" w:hAnsi="IRNazanin" w:eastAsia="IRNazanin" w:cs="IRNazanin"/>
            <w:color w:val="111111"/>
            <w:sz w:val="22"/>
            <w:szCs w:val="22"/>
            <w:b w:val="0"/>
            <w:bCs w:val="0"/>
            <w:i w:val="0"/>
            <w:iCs w:val="0"/>
          </w:rPr>
          <w:t>عباس بن علي قرن 13 ه-</w:t>
        </w:r>
        <w:r>
          <w:tab/>
        </w:r>
        <w:r>
          <w:fldChar w:fldCharType="begin"/>
        </w:r>
        <w:r>
          <w:instrText xml:space="preserve">PAGEREF 4879 \h</w:instrText>
        </w:r>
        <w:r>
          <w:fldChar w:fldCharType="end"/>
        </w:r>
      </w:hyperlink>
    </w:p>
    <w:p>
      <w:pPr>
        <w:tabs>
          <w:tab w:val="right" w:leader="dot" w:pos="9062"/>
        </w:tabs>
        <w:ind w:left="220"/>
      </w:pPr>
      <w:hyperlink w:anchor="_Toc4880" w:history="1">
        <w:r>
          <w:rPr>
            <w:rFonts w:ascii="IRNazanin" w:hAnsi="IRNazanin" w:eastAsia="IRNazanin" w:cs="IRNazanin"/>
            <w:color w:val="111111"/>
            <w:sz w:val="22"/>
            <w:szCs w:val="22"/>
            <w:b w:val="0"/>
            <w:bCs w:val="0"/>
            <w:i w:val="0"/>
            <w:iCs w:val="0"/>
          </w:rPr>
          <w:t>عباس بن علي بن نجف علي</w:t>
        </w:r>
        <w:r>
          <w:tab/>
        </w:r>
        <w:r>
          <w:fldChar w:fldCharType="begin"/>
        </w:r>
        <w:r>
          <w:instrText xml:space="preserve">PAGEREF 4880 \h</w:instrText>
        </w:r>
        <w:r>
          <w:fldChar w:fldCharType="end"/>
        </w:r>
      </w:hyperlink>
    </w:p>
    <w:p>
      <w:pPr>
        <w:tabs>
          <w:tab w:val="right" w:leader="dot" w:pos="9062"/>
        </w:tabs>
        <w:ind w:left="220"/>
      </w:pPr>
      <w:hyperlink w:anchor="_Toc4881" w:history="1">
        <w:r>
          <w:rPr>
            <w:rFonts w:ascii="IRNazanin" w:hAnsi="IRNazanin" w:eastAsia="IRNazanin" w:cs="IRNazanin"/>
            <w:color w:val="111111"/>
            <w:sz w:val="22"/>
            <w:szCs w:val="22"/>
            <w:b w:val="0"/>
            <w:bCs w:val="0"/>
            <w:i w:val="0"/>
            <w:iCs w:val="0"/>
          </w:rPr>
          <w:t>عباسي ، احمد بن محمّد - 901 ه-</w:t>
        </w:r>
        <w:r>
          <w:tab/>
        </w:r>
        <w:r>
          <w:fldChar w:fldCharType="begin"/>
        </w:r>
        <w:r>
          <w:instrText xml:space="preserve">PAGEREF 4881 \h</w:instrText>
        </w:r>
        <w:r>
          <w:fldChar w:fldCharType="end"/>
        </w:r>
      </w:hyperlink>
    </w:p>
    <w:p>
      <w:pPr>
        <w:tabs>
          <w:tab w:val="right" w:leader="dot" w:pos="9062"/>
        </w:tabs>
        <w:ind w:left="220"/>
      </w:pPr>
      <w:hyperlink w:anchor="_Toc4882" w:history="1">
        <w:r>
          <w:rPr>
            <w:rFonts w:ascii="IRNazanin" w:hAnsi="IRNazanin" w:eastAsia="IRNazanin" w:cs="IRNazanin"/>
            <w:color w:val="111111"/>
            <w:sz w:val="22"/>
            <w:szCs w:val="22"/>
            <w:b w:val="0"/>
            <w:bCs w:val="0"/>
            <w:i w:val="0"/>
            <w:iCs w:val="0"/>
          </w:rPr>
          <w:t>عباسي ، حسن بن عبدالله قرن 8 ه-</w:t>
        </w:r>
        <w:r>
          <w:tab/>
        </w:r>
        <w:r>
          <w:fldChar w:fldCharType="begin"/>
        </w:r>
        <w:r>
          <w:instrText xml:space="preserve">PAGEREF 4882 \h</w:instrText>
        </w:r>
        <w:r>
          <w:fldChar w:fldCharType="end"/>
        </w:r>
      </w:hyperlink>
    </w:p>
    <w:p>
      <w:pPr>
        <w:tabs>
          <w:tab w:val="right" w:leader="dot" w:pos="9062"/>
        </w:tabs>
        <w:ind w:left="220"/>
      </w:pPr>
      <w:hyperlink w:anchor="_Toc4883" w:history="1">
        <w:r>
          <w:rPr>
            <w:rFonts w:ascii="IRNazanin" w:hAnsi="IRNazanin" w:eastAsia="IRNazanin" w:cs="IRNazanin"/>
            <w:color w:val="111111"/>
            <w:sz w:val="22"/>
            <w:szCs w:val="22"/>
            <w:b w:val="0"/>
            <w:bCs w:val="0"/>
            <w:i w:val="0"/>
            <w:iCs w:val="0"/>
          </w:rPr>
          <w:t>عباسي ، عبد الرحيم بن عبد الرحمن 866</w:t>
        </w:r>
        <w:r>
          <w:tab/>
        </w:r>
        <w:r>
          <w:fldChar w:fldCharType="begin"/>
        </w:r>
        <w:r>
          <w:instrText xml:space="preserve">PAGEREF 4883 \h</w:instrText>
        </w:r>
        <w:r>
          <w:fldChar w:fldCharType="end"/>
        </w:r>
      </w:hyperlink>
    </w:p>
    <w:p>
      <w:pPr>
        <w:tabs>
          <w:tab w:val="right" w:leader="dot" w:pos="9062"/>
        </w:tabs>
        <w:ind w:left="220"/>
      </w:pPr>
      <w:hyperlink w:anchor="_Toc4884" w:history="1">
        <w:r>
          <w:rPr>
            <w:rFonts w:ascii="IRNazanin" w:hAnsi="IRNazanin" w:eastAsia="IRNazanin" w:cs="IRNazanin"/>
            <w:color w:val="111111"/>
            <w:sz w:val="22"/>
            <w:szCs w:val="22"/>
            <w:b w:val="0"/>
            <w:bCs w:val="0"/>
            <w:i w:val="0"/>
            <w:iCs w:val="0"/>
          </w:rPr>
          <w:t>عباسي ، علي بن عبد القادر - 1070 ه-</w:t>
        </w:r>
        <w:r>
          <w:tab/>
        </w:r>
        <w:r>
          <w:fldChar w:fldCharType="begin"/>
        </w:r>
        <w:r>
          <w:instrText xml:space="preserve">PAGEREF 4884 \h</w:instrText>
        </w:r>
        <w:r>
          <w:fldChar w:fldCharType="end"/>
        </w:r>
      </w:hyperlink>
    </w:p>
    <w:p>
      <w:pPr>
        <w:tabs>
          <w:tab w:val="right" w:leader="dot" w:pos="9062"/>
        </w:tabs>
        <w:ind w:left="220"/>
      </w:pPr>
      <w:hyperlink w:anchor="_Toc4885" w:history="1">
        <w:r>
          <w:rPr>
            <w:rFonts w:ascii="IRNazanin" w:hAnsi="IRNazanin" w:eastAsia="IRNazanin" w:cs="IRNazanin"/>
            <w:color w:val="111111"/>
            <w:sz w:val="22"/>
            <w:szCs w:val="22"/>
            <w:b w:val="0"/>
            <w:bCs w:val="0"/>
            <w:i w:val="0"/>
            <w:iCs w:val="0"/>
          </w:rPr>
          <w:t>عباسي ، فضل بن محمّد</w:t>
        </w:r>
        <w:r>
          <w:tab/>
        </w:r>
        <w:r>
          <w:fldChar w:fldCharType="begin"/>
        </w:r>
        <w:r>
          <w:instrText xml:space="preserve">PAGEREF 4885 \h</w:instrText>
        </w:r>
        <w:r>
          <w:fldChar w:fldCharType="end"/>
        </w:r>
      </w:hyperlink>
    </w:p>
    <w:p>
      <w:pPr>
        <w:tabs>
          <w:tab w:val="right" w:leader="dot" w:pos="9062"/>
        </w:tabs>
        <w:ind w:left="220"/>
      </w:pPr>
      <w:hyperlink w:anchor="_Toc4886" w:history="1">
        <w:r>
          <w:rPr>
            <w:rFonts w:ascii="IRNazanin" w:hAnsi="IRNazanin" w:eastAsia="IRNazanin" w:cs="IRNazanin"/>
            <w:color w:val="111111"/>
            <w:sz w:val="22"/>
            <w:szCs w:val="22"/>
            <w:b w:val="0"/>
            <w:bCs w:val="0"/>
            <w:i w:val="0"/>
            <w:iCs w:val="0"/>
          </w:rPr>
          <w:t>عباسي گجراتي ، عبد اللطيف بن عبدالله -</w:t>
        </w:r>
        <w:r>
          <w:tab/>
        </w:r>
        <w:r>
          <w:fldChar w:fldCharType="begin"/>
        </w:r>
        <w:r>
          <w:instrText xml:space="preserve">PAGEREF 4886 \h</w:instrText>
        </w:r>
        <w:r>
          <w:fldChar w:fldCharType="end"/>
        </w:r>
      </w:hyperlink>
    </w:p>
    <w:p>
      <w:pPr>
        <w:tabs>
          <w:tab w:val="right" w:leader="dot" w:pos="9062"/>
        </w:tabs>
        <w:ind w:left="220"/>
      </w:pPr>
      <w:hyperlink w:anchor="_Toc4887" w:history="1">
        <w:r>
          <w:rPr>
            <w:rFonts w:ascii="IRNazanin" w:hAnsi="IRNazanin" w:eastAsia="IRNazanin" w:cs="IRNazanin"/>
            <w:color w:val="111111"/>
            <w:sz w:val="22"/>
            <w:szCs w:val="22"/>
            <w:b w:val="0"/>
            <w:bCs w:val="0"/>
            <w:i w:val="0"/>
            <w:iCs w:val="0"/>
          </w:rPr>
          <w:t>عبد الباقي ، محمّد افضل</w:t>
        </w:r>
        <w:r>
          <w:tab/>
        </w:r>
        <w:r>
          <w:fldChar w:fldCharType="begin"/>
        </w:r>
        <w:r>
          <w:instrText xml:space="preserve">PAGEREF 4887 \h</w:instrText>
        </w:r>
        <w:r>
          <w:fldChar w:fldCharType="end"/>
        </w:r>
      </w:hyperlink>
    </w:p>
    <w:p>
      <w:pPr>
        <w:tabs>
          <w:tab w:val="right" w:leader="dot" w:pos="9062"/>
        </w:tabs>
        <w:ind w:left="220"/>
      </w:pPr>
      <w:hyperlink w:anchor="_Toc4888" w:history="1">
        <w:r>
          <w:rPr>
            <w:rFonts w:ascii="IRNazanin" w:hAnsi="IRNazanin" w:eastAsia="IRNazanin" w:cs="IRNazanin"/>
            <w:color w:val="111111"/>
            <w:sz w:val="22"/>
            <w:szCs w:val="22"/>
            <w:b w:val="0"/>
            <w:bCs w:val="0"/>
            <w:i w:val="0"/>
            <w:iCs w:val="0"/>
          </w:rPr>
          <w:t>عبدالبر</w:t>
        </w:r>
        <w:r>
          <w:tab/>
        </w:r>
        <w:r>
          <w:fldChar w:fldCharType="begin"/>
        </w:r>
        <w:r>
          <w:instrText xml:space="preserve">PAGEREF 4888 \h</w:instrText>
        </w:r>
        <w:r>
          <w:fldChar w:fldCharType="end"/>
        </w:r>
      </w:hyperlink>
    </w:p>
    <w:p>
      <w:pPr>
        <w:tabs>
          <w:tab w:val="right" w:leader="dot" w:pos="9062"/>
        </w:tabs>
        <w:ind w:left="220"/>
      </w:pPr>
      <w:hyperlink w:anchor="_Toc4889" w:history="1">
        <w:r>
          <w:rPr>
            <w:rFonts w:ascii="IRNazanin" w:hAnsi="IRNazanin" w:eastAsia="IRNazanin" w:cs="IRNazanin"/>
            <w:color w:val="111111"/>
            <w:sz w:val="22"/>
            <w:szCs w:val="22"/>
            <w:b w:val="0"/>
            <w:bCs w:val="0"/>
            <w:i w:val="0"/>
            <w:iCs w:val="0"/>
          </w:rPr>
          <w:t>عبد البسطامي ، جمال الدین ابوالمحاسن</w:t>
        </w:r>
        <w:r>
          <w:tab/>
        </w:r>
        <w:r>
          <w:fldChar w:fldCharType="begin"/>
        </w:r>
        <w:r>
          <w:instrText xml:space="preserve">PAGEREF 4889 \h</w:instrText>
        </w:r>
        <w:r>
          <w:fldChar w:fldCharType="end"/>
        </w:r>
      </w:hyperlink>
    </w:p>
    <w:p>
      <w:pPr>
        <w:tabs>
          <w:tab w:val="right" w:leader="dot" w:pos="9062"/>
        </w:tabs>
        <w:ind w:left="220"/>
      </w:pPr>
      <w:hyperlink w:anchor="_Toc4890" w:history="1">
        <w:r>
          <w:rPr>
            <w:rFonts w:ascii="IRNazanin" w:hAnsi="IRNazanin" w:eastAsia="IRNazanin" w:cs="IRNazanin"/>
            <w:color w:val="111111"/>
            <w:sz w:val="22"/>
            <w:szCs w:val="22"/>
            <w:b w:val="0"/>
            <w:bCs w:val="0"/>
            <w:i w:val="0"/>
            <w:iCs w:val="0"/>
          </w:rPr>
          <w:t>عبدالجبار احمد ، سليمان بن سليمان</w:t>
        </w:r>
        <w:r>
          <w:tab/>
        </w:r>
        <w:r>
          <w:fldChar w:fldCharType="begin"/>
        </w:r>
        <w:r>
          <w:instrText xml:space="preserve">PAGEREF 4890 \h</w:instrText>
        </w:r>
        <w:r>
          <w:fldChar w:fldCharType="end"/>
        </w:r>
      </w:hyperlink>
    </w:p>
    <w:p>
      <w:pPr>
        <w:tabs>
          <w:tab w:val="right" w:leader="dot" w:pos="9062"/>
        </w:tabs>
        <w:ind w:left="220"/>
      </w:pPr>
      <w:hyperlink w:anchor="_Toc4891" w:history="1">
        <w:r>
          <w:rPr>
            <w:rFonts w:ascii="IRNazanin" w:hAnsi="IRNazanin" w:eastAsia="IRNazanin" w:cs="IRNazanin"/>
            <w:color w:val="111111"/>
            <w:sz w:val="22"/>
            <w:szCs w:val="22"/>
            <w:b w:val="0"/>
            <w:bCs w:val="0"/>
            <w:i w:val="0"/>
            <w:iCs w:val="0"/>
          </w:rPr>
          <w:t>عبد الجبار عبدالرحمن</w:t>
        </w:r>
        <w:r>
          <w:tab/>
        </w:r>
        <w:r>
          <w:fldChar w:fldCharType="begin"/>
        </w:r>
        <w:r>
          <w:instrText xml:space="preserve">PAGEREF 4891 \h</w:instrText>
        </w:r>
        <w:r>
          <w:fldChar w:fldCharType="end"/>
        </w:r>
      </w:hyperlink>
    </w:p>
    <w:p>
      <w:pPr>
        <w:tabs>
          <w:tab w:val="right" w:leader="dot" w:pos="9062"/>
        </w:tabs>
        <w:ind w:left="220"/>
      </w:pPr>
      <w:hyperlink w:anchor="_Toc4892" w:history="1">
        <w:r>
          <w:rPr>
            <w:rFonts w:ascii="IRNazanin" w:hAnsi="IRNazanin" w:eastAsia="IRNazanin" w:cs="IRNazanin"/>
            <w:color w:val="111111"/>
            <w:sz w:val="22"/>
            <w:szCs w:val="22"/>
            <w:b w:val="0"/>
            <w:bCs w:val="0"/>
            <w:i w:val="0"/>
            <w:iCs w:val="0"/>
          </w:rPr>
          <w:t>عبد الجبار ، علي بن احمد</w:t>
        </w:r>
        <w:r>
          <w:tab/>
        </w:r>
        <w:r>
          <w:fldChar w:fldCharType="begin"/>
        </w:r>
        <w:r>
          <w:instrText xml:space="preserve">PAGEREF 4892 \h</w:instrText>
        </w:r>
        <w:r>
          <w:fldChar w:fldCharType="end"/>
        </w:r>
      </w:hyperlink>
    </w:p>
    <w:p>
      <w:pPr>
        <w:tabs>
          <w:tab w:val="right" w:leader="dot" w:pos="9062"/>
        </w:tabs>
        <w:ind w:left="220"/>
      </w:pPr>
      <w:hyperlink w:anchor="_Toc4893" w:history="1">
        <w:r>
          <w:rPr>
            <w:rFonts w:ascii="IRNazanin" w:hAnsi="IRNazanin" w:eastAsia="IRNazanin" w:cs="IRNazanin"/>
            <w:color w:val="111111"/>
            <w:sz w:val="22"/>
            <w:szCs w:val="22"/>
            <w:b w:val="0"/>
            <w:bCs w:val="0"/>
            <w:i w:val="0"/>
            <w:iCs w:val="0"/>
          </w:rPr>
          <w:t>عبد الجليل</w:t>
        </w:r>
        <w:r>
          <w:tab/>
        </w:r>
        <w:r>
          <w:fldChar w:fldCharType="begin"/>
        </w:r>
        <w:r>
          <w:instrText xml:space="preserve">PAGEREF 4893 \h</w:instrText>
        </w:r>
        <w:r>
          <w:fldChar w:fldCharType="end"/>
        </w:r>
      </w:hyperlink>
    </w:p>
    <w:p>
      <w:pPr>
        <w:tabs>
          <w:tab w:val="right" w:leader="dot" w:pos="9062"/>
        </w:tabs>
        <w:ind w:left="220"/>
      </w:pPr>
      <w:hyperlink w:anchor="_Toc4894" w:history="1">
        <w:r>
          <w:rPr>
            <w:rFonts w:ascii="IRNazanin" w:hAnsi="IRNazanin" w:eastAsia="IRNazanin" w:cs="IRNazanin"/>
            <w:color w:val="111111"/>
            <w:sz w:val="22"/>
            <w:szCs w:val="22"/>
            <w:b w:val="0"/>
            <w:bCs w:val="0"/>
            <w:i w:val="0"/>
            <w:iCs w:val="0"/>
          </w:rPr>
          <w:t>عبد الجليل بن عبد الرحمن</w:t>
        </w:r>
        <w:r>
          <w:tab/>
        </w:r>
        <w:r>
          <w:fldChar w:fldCharType="begin"/>
        </w:r>
        <w:r>
          <w:instrText xml:space="preserve">PAGEREF 4894 \h</w:instrText>
        </w:r>
        <w:r>
          <w:fldChar w:fldCharType="end"/>
        </w:r>
      </w:hyperlink>
    </w:p>
    <w:p>
      <w:pPr>
        <w:tabs>
          <w:tab w:val="right" w:leader="dot" w:pos="9062"/>
        </w:tabs>
        <w:ind w:left="220"/>
      </w:pPr>
      <w:hyperlink w:anchor="_Toc4895" w:history="1">
        <w:r>
          <w:rPr>
            <w:rFonts w:ascii="IRNazanin" w:hAnsi="IRNazanin" w:eastAsia="IRNazanin" w:cs="IRNazanin"/>
            <w:color w:val="111111"/>
            <w:sz w:val="22"/>
            <w:szCs w:val="22"/>
            <w:b w:val="0"/>
            <w:bCs w:val="0"/>
            <w:i w:val="0"/>
            <w:iCs w:val="0"/>
          </w:rPr>
          <w:t>عبد الجليل بن مصطفى</w:t>
        </w:r>
        <w:r>
          <w:tab/>
        </w:r>
        <w:r>
          <w:fldChar w:fldCharType="begin"/>
        </w:r>
        <w:r>
          <w:instrText xml:space="preserve">PAGEREF 4895 \h</w:instrText>
        </w:r>
        <w:r>
          <w:fldChar w:fldCharType="end"/>
        </w:r>
      </w:hyperlink>
    </w:p>
    <w:p>
      <w:pPr>
        <w:tabs>
          <w:tab w:val="right" w:leader="dot" w:pos="9062"/>
        </w:tabs>
        <w:ind w:left="220"/>
      </w:pPr>
      <w:hyperlink w:anchor="_Toc4896" w:history="1">
        <w:r>
          <w:rPr>
            <w:rFonts w:ascii="IRNazanin" w:hAnsi="IRNazanin" w:eastAsia="IRNazanin" w:cs="IRNazanin"/>
            <w:color w:val="111111"/>
            <w:sz w:val="22"/>
            <w:szCs w:val="22"/>
            <w:b w:val="0"/>
            <w:bCs w:val="0"/>
            <w:i w:val="0"/>
            <w:iCs w:val="0"/>
          </w:rPr>
          <w:t>عبد الحسن بن سليمان بن محمّد</w:t>
        </w:r>
        <w:r>
          <w:tab/>
        </w:r>
        <w:r>
          <w:fldChar w:fldCharType="begin"/>
        </w:r>
        <w:r>
          <w:instrText xml:space="preserve">PAGEREF 4896 \h</w:instrText>
        </w:r>
        <w:r>
          <w:fldChar w:fldCharType="end"/>
        </w:r>
      </w:hyperlink>
    </w:p>
    <w:p>
      <w:pPr>
        <w:tabs>
          <w:tab w:val="right" w:leader="dot" w:pos="9062"/>
        </w:tabs>
        <w:ind w:left="220"/>
      </w:pPr>
      <w:hyperlink w:anchor="_Toc4897" w:history="1">
        <w:r>
          <w:rPr>
            <w:rFonts w:ascii="IRNazanin" w:hAnsi="IRNazanin" w:eastAsia="IRNazanin" w:cs="IRNazanin"/>
            <w:color w:val="111111"/>
            <w:sz w:val="22"/>
            <w:szCs w:val="22"/>
            <w:b w:val="0"/>
            <w:bCs w:val="0"/>
            <w:i w:val="0"/>
            <w:iCs w:val="0"/>
          </w:rPr>
          <w:t>عبد الحسين، قرن 14 ه-</w:t>
        </w:r>
        <w:r>
          <w:tab/>
        </w:r>
        <w:r>
          <w:fldChar w:fldCharType="begin"/>
        </w:r>
        <w:r>
          <w:instrText xml:space="preserve">PAGEREF 4897 \h</w:instrText>
        </w:r>
        <w:r>
          <w:fldChar w:fldCharType="end"/>
        </w:r>
      </w:hyperlink>
    </w:p>
    <w:p>
      <w:pPr>
        <w:tabs>
          <w:tab w:val="right" w:leader="dot" w:pos="9062"/>
        </w:tabs>
        <w:ind w:left="220"/>
      </w:pPr>
      <w:hyperlink w:anchor="_Toc4898" w:history="1">
        <w:r>
          <w:rPr>
            <w:rFonts w:ascii="IRNazanin" w:hAnsi="IRNazanin" w:eastAsia="IRNazanin" w:cs="IRNazanin"/>
            <w:color w:val="111111"/>
            <w:sz w:val="22"/>
            <w:szCs w:val="22"/>
            <w:b w:val="0"/>
            <w:bCs w:val="0"/>
            <w:i w:val="0"/>
            <w:iCs w:val="0"/>
          </w:rPr>
          <w:t>عبد الحسين بن محمّد</w:t>
        </w:r>
        <w:r>
          <w:tab/>
        </w:r>
        <w:r>
          <w:fldChar w:fldCharType="begin"/>
        </w:r>
        <w:r>
          <w:instrText xml:space="preserve">PAGEREF 4898 \h</w:instrText>
        </w:r>
        <w:r>
          <w:fldChar w:fldCharType="end"/>
        </w:r>
      </w:hyperlink>
    </w:p>
    <w:p>
      <w:pPr>
        <w:tabs>
          <w:tab w:val="right" w:leader="dot" w:pos="9062"/>
        </w:tabs>
        <w:ind w:left="220"/>
      </w:pPr>
      <w:hyperlink w:anchor="_Toc4899" w:history="1">
        <w:r>
          <w:rPr>
            <w:rFonts w:ascii="IRNazanin" w:hAnsi="IRNazanin" w:eastAsia="IRNazanin" w:cs="IRNazanin"/>
            <w:color w:val="111111"/>
            <w:sz w:val="22"/>
            <w:szCs w:val="22"/>
            <w:b w:val="0"/>
            <w:bCs w:val="0"/>
            <w:i w:val="0"/>
            <w:iCs w:val="0"/>
          </w:rPr>
          <w:t>عبدالحليم بن عبدالله قرن 11 ه-</w:t>
        </w:r>
        <w:r>
          <w:tab/>
        </w:r>
        <w:r>
          <w:fldChar w:fldCharType="begin"/>
        </w:r>
        <w:r>
          <w:instrText xml:space="preserve">PAGEREF 4899 \h</w:instrText>
        </w:r>
        <w:r>
          <w:fldChar w:fldCharType="end"/>
        </w:r>
      </w:hyperlink>
    </w:p>
    <w:p>
      <w:pPr>
        <w:tabs>
          <w:tab w:val="right" w:leader="dot" w:pos="9062"/>
        </w:tabs>
        <w:ind w:left="220"/>
      </w:pPr>
      <w:hyperlink w:anchor="_Toc4900" w:history="1">
        <w:r>
          <w:rPr>
            <w:rFonts w:ascii="IRNazanin" w:hAnsi="IRNazanin" w:eastAsia="IRNazanin" w:cs="IRNazanin"/>
            <w:color w:val="111111"/>
            <w:sz w:val="22"/>
            <w:szCs w:val="22"/>
            <w:b w:val="0"/>
            <w:bCs w:val="0"/>
            <w:i w:val="0"/>
            <w:iCs w:val="0"/>
          </w:rPr>
          <w:t>عبد الحميد</w:t>
        </w:r>
        <w:r>
          <w:tab/>
        </w:r>
        <w:r>
          <w:fldChar w:fldCharType="begin"/>
        </w:r>
        <w:r>
          <w:instrText xml:space="preserve">PAGEREF 4900 \h</w:instrText>
        </w:r>
        <w:r>
          <w:fldChar w:fldCharType="end"/>
        </w:r>
      </w:hyperlink>
    </w:p>
    <w:p>
      <w:pPr>
        <w:tabs>
          <w:tab w:val="right" w:leader="dot" w:pos="9062"/>
        </w:tabs>
        <w:ind w:left="220"/>
      </w:pPr>
      <w:hyperlink w:anchor="_Toc4901" w:history="1">
        <w:r>
          <w:rPr>
            <w:rFonts w:ascii="IRNazanin" w:hAnsi="IRNazanin" w:eastAsia="IRNazanin" w:cs="IRNazanin"/>
            <w:color w:val="111111"/>
            <w:sz w:val="22"/>
            <w:szCs w:val="22"/>
            <w:b w:val="0"/>
            <w:bCs w:val="0"/>
            <w:i w:val="0"/>
            <w:iCs w:val="0"/>
          </w:rPr>
          <w:t>عبد الحميد بن عبد المجيد، قرن 13 ه-</w:t>
        </w:r>
        <w:r>
          <w:tab/>
        </w:r>
        <w:r>
          <w:fldChar w:fldCharType="begin"/>
        </w:r>
        <w:r>
          <w:instrText xml:space="preserve">PAGEREF 4901 \h</w:instrText>
        </w:r>
        <w:r>
          <w:fldChar w:fldCharType="end"/>
        </w:r>
      </w:hyperlink>
    </w:p>
    <w:p>
      <w:pPr>
        <w:tabs>
          <w:tab w:val="right" w:leader="dot" w:pos="9062"/>
        </w:tabs>
        <w:ind w:left="220"/>
      </w:pPr>
      <w:hyperlink w:anchor="_Toc4902" w:history="1">
        <w:r>
          <w:rPr>
            <w:rFonts w:ascii="IRNazanin" w:hAnsi="IRNazanin" w:eastAsia="IRNazanin" w:cs="IRNazanin"/>
            <w:color w:val="111111"/>
            <w:sz w:val="22"/>
            <w:szCs w:val="22"/>
            <w:b w:val="0"/>
            <w:bCs w:val="0"/>
            <w:i w:val="0"/>
            <w:iCs w:val="0"/>
          </w:rPr>
          <w:t>عبد الحميد بن يحيى كاتب - 132 ه-</w:t>
        </w:r>
        <w:r>
          <w:tab/>
        </w:r>
        <w:r>
          <w:fldChar w:fldCharType="begin"/>
        </w:r>
        <w:r>
          <w:instrText xml:space="preserve">PAGEREF 4902 \h</w:instrText>
        </w:r>
        <w:r>
          <w:fldChar w:fldCharType="end"/>
        </w:r>
      </w:hyperlink>
    </w:p>
    <w:p>
      <w:pPr>
        <w:tabs>
          <w:tab w:val="right" w:leader="dot" w:pos="9062"/>
        </w:tabs>
        <w:ind w:left="220"/>
      </w:pPr>
      <w:hyperlink w:anchor="_Toc4903" w:history="1">
        <w:r>
          <w:rPr>
            <w:rFonts w:ascii="IRNazanin" w:hAnsi="IRNazanin" w:eastAsia="IRNazanin" w:cs="IRNazanin"/>
            <w:color w:val="111111"/>
            <w:sz w:val="22"/>
            <w:szCs w:val="22"/>
            <w:b w:val="0"/>
            <w:bCs w:val="0"/>
            <w:i w:val="0"/>
            <w:iCs w:val="0"/>
          </w:rPr>
          <w:t>عبد الحميد ، محسن</w:t>
        </w:r>
        <w:r>
          <w:tab/>
        </w:r>
        <w:r>
          <w:fldChar w:fldCharType="begin"/>
        </w:r>
        <w:r>
          <w:instrText xml:space="preserve">PAGEREF 4903 \h</w:instrText>
        </w:r>
        <w:r>
          <w:fldChar w:fldCharType="end"/>
        </w:r>
      </w:hyperlink>
    </w:p>
    <w:p>
      <w:pPr>
        <w:tabs>
          <w:tab w:val="right" w:leader="dot" w:pos="9062"/>
        </w:tabs>
        <w:ind w:left="220"/>
      </w:pPr>
      <w:hyperlink w:anchor="_Toc4904" w:history="1">
        <w:r>
          <w:rPr>
            <w:rFonts w:ascii="IRNazanin" w:hAnsi="IRNazanin" w:eastAsia="IRNazanin" w:cs="IRNazanin"/>
            <w:color w:val="111111"/>
            <w:sz w:val="22"/>
            <w:szCs w:val="22"/>
            <w:b w:val="0"/>
            <w:bCs w:val="0"/>
            <w:i w:val="0"/>
            <w:iCs w:val="0"/>
          </w:rPr>
          <w:t>عبد الرحمن الامام قرن 11 ه-</w:t>
        </w:r>
        <w:r>
          <w:tab/>
        </w:r>
        <w:r>
          <w:fldChar w:fldCharType="begin"/>
        </w:r>
        <w:r>
          <w:instrText xml:space="preserve">PAGEREF 4904 \h</w:instrText>
        </w:r>
        <w:r>
          <w:fldChar w:fldCharType="end"/>
        </w:r>
      </w:hyperlink>
    </w:p>
    <w:p>
      <w:pPr>
        <w:tabs>
          <w:tab w:val="right" w:leader="dot" w:pos="9062"/>
        </w:tabs>
        <w:ind w:left="220"/>
      </w:pPr>
      <w:hyperlink w:anchor="_Toc4905" w:history="1">
        <w:r>
          <w:rPr>
            <w:rFonts w:ascii="IRNazanin" w:hAnsi="IRNazanin" w:eastAsia="IRNazanin" w:cs="IRNazanin"/>
            <w:color w:val="111111"/>
            <w:sz w:val="22"/>
            <w:szCs w:val="22"/>
            <w:b w:val="0"/>
            <w:bCs w:val="0"/>
            <w:i w:val="0"/>
            <w:iCs w:val="0"/>
          </w:rPr>
          <w:t>عبد الرحمن بن ابراهيم</w:t>
        </w:r>
        <w:r>
          <w:tab/>
        </w:r>
        <w:r>
          <w:fldChar w:fldCharType="begin"/>
        </w:r>
        <w:r>
          <w:instrText xml:space="preserve">PAGEREF 4905 \h</w:instrText>
        </w:r>
        <w:r>
          <w:fldChar w:fldCharType="end"/>
        </w:r>
      </w:hyperlink>
    </w:p>
    <w:p>
      <w:pPr>
        <w:tabs>
          <w:tab w:val="right" w:leader="dot" w:pos="9062"/>
        </w:tabs>
        <w:ind w:left="220"/>
      </w:pPr>
      <w:hyperlink w:anchor="_Toc4906" w:history="1">
        <w:r>
          <w:rPr>
            <w:rFonts w:ascii="IRNazanin" w:hAnsi="IRNazanin" w:eastAsia="IRNazanin" w:cs="IRNazanin"/>
            <w:color w:val="111111"/>
            <w:sz w:val="22"/>
            <w:szCs w:val="22"/>
            <w:b w:val="0"/>
            <w:bCs w:val="0"/>
            <w:i w:val="0"/>
            <w:iCs w:val="0"/>
          </w:rPr>
          <w:t>عبدالرحمن بن تريكي</w:t>
        </w:r>
        <w:r>
          <w:tab/>
        </w:r>
        <w:r>
          <w:fldChar w:fldCharType="begin"/>
        </w:r>
        <w:r>
          <w:instrText xml:space="preserve">PAGEREF 4906 \h</w:instrText>
        </w:r>
        <w:r>
          <w:fldChar w:fldCharType="end"/>
        </w:r>
      </w:hyperlink>
    </w:p>
    <w:p>
      <w:pPr>
        <w:tabs>
          <w:tab w:val="right" w:leader="dot" w:pos="9062"/>
        </w:tabs>
        <w:ind w:left="220"/>
      </w:pPr>
      <w:hyperlink w:anchor="_Toc4907" w:history="1">
        <w:r>
          <w:rPr>
            <w:rFonts w:ascii="IRNazanin" w:hAnsi="IRNazanin" w:eastAsia="IRNazanin" w:cs="IRNazanin"/>
            <w:color w:val="111111"/>
            <w:sz w:val="22"/>
            <w:szCs w:val="22"/>
            <w:b w:val="0"/>
            <w:bCs w:val="0"/>
            <w:i w:val="0"/>
            <w:iCs w:val="0"/>
          </w:rPr>
          <w:t>عبدالرحمن بن محمّد بك، 1800 - 1866</w:t>
        </w:r>
        <w:r>
          <w:tab/>
        </w:r>
        <w:r>
          <w:fldChar w:fldCharType="begin"/>
        </w:r>
        <w:r>
          <w:instrText xml:space="preserve">PAGEREF 4907 \h</w:instrText>
        </w:r>
        <w:r>
          <w:fldChar w:fldCharType="end"/>
        </w:r>
      </w:hyperlink>
    </w:p>
    <w:p>
      <w:pPr>
        <w:tabs>
          <w:tab w:val="right" w:leader="dot" w:pos="9062"/>
        </w:tabs>
        <w:ind w:left="220"/>
      </w:pPr>
      <w:hyperlink w:anchor="_Toc4908" w:history="1">
        <w:r>
          <w:rPr>
            <w:rFonts w:ascii="IRNazanin" w:hAnsi="IRNazanin" w:eastAsia="IRNazanin" w:cs="IRNazanin"/>
            <w:color w:val="111111"/>
            <w:sz w:val="22"/>
            <w:szCs w:val="22"/>
            <w:b w:val="0"/>
            <w:bCs w:val="0"/>
            <w:i w:val="0"/>
            <w:iCs w:val="0"/>
          </w:rPr>
          <w:t>عبد الرحمن محمّد بن سليمان - 974 ه-</w:t>
        </w:r>
        <w:r>
          <w:tab/>
        </w:r>
        <w:r>
          <w:fldChar w:fldCharType="begin"/>
        </w:r>
        <w:r>
          <w:instrText xml:space="preserve">PAGEREF 4908 \h</w:instrText>
        </w:r>
        <w:r>
          <w:fldChar w:fldCharType="end"/>
        </w:r>
      </w:hyperlink>
    </w:p>
    <w:p>
      <w:pPr>
        <w:tabs>
          <w:tab w:val="right" w:leader="dot" w:pos="9062"/>
        </w:tabs>
        <w:ind w:left="220"/>
      </w:pPr>
      <w:hyperlink w:anchor="_Toc4909" w:history="1">
        <w:r>
          <w:rPr>
            <w:rFonts w:ascii="IRNazanin" w:hAnsi="IRNazanin" w:eastAsia="IRNazanin" w:cs="IRNazanin"/>
            <w:color w:val="111111"/>
            <w:sz w:val="22"/>
            <w:szCs w:val="22"/>
            <w:b w:val="0"/>
            <w:bCs w:val="0"/>
            <w:i w:val="0"/>
            <w:iCs w:val="0"/>
          </w:rPr>
          <w:t>عبد الرحيم قرن 11 ه-</w:t>
        </w:r>
        <w:r>
          <w:tab/>
        </w:r>
        <w:r>
          <w:fldChar w:fldCharType="begin"/>
        </w:r>
        <w:r>
          <w:instrText xml:space="preserve">PAGEREF 4909 \h</w:instrText>
        </w:r>
        <w:r>
          <w:fldChar w:fldCharType="end"/>
        </w:r>
      </w:hyperlink>
    </w:p>
    <w:p>
      <w:pPr>
        <w:tabs>
          <w:tab w:val="right" w:leader="dot" w:pos="9062"/>
        </w:tabs>
        <w:ind w:left="220"/>
      </w:pPr>
      <w:hyperlink w:anchor="_Toc4910" w:history="1">
        <w:r>
          <w:rPr>
            <w:rFonts w:ascii="IRNazanin" w:hAnsi="IRNazanin" w:eastAsia="IRNazanin" w:cs="IRNazanin"/>
            <w:color w:val="111111"/>
            <w:sz w:val="22"/>
            <w:szCs w:val="22"/>
            <w:b w:val="0"/>
            <w:bCs w:val="0"/>
            <w:i w:val="0"/>
            <w:iCs w:val="0"/>
          </w:rPr>
          <w:t>عبد الرحيم بن علي قرن 14 ه-</w:t>
        </w:r>
        <w:r>
          <w:tab/>
        </w:r>
        <w:r>
          <w:fldChar w:fldCharType="begin"/>
        </w:r>
        <w:r>
          <w:instrText xml:space="preserve">PAGEREF 4910 \h</w:instrText>
        </w:r>
        <w:r>
          <w:fldChar w:fldCharType="end"/>
        </w:r>
      </w:hyperlink>
    </w:p>
    <w:p>
      <w:pPr>
        <w:tabs>
          <w:tab w:val="right" w:leader="dot" w:pos="9062"/>
        </w:tabs>
        <w:ind w:left="220"/>
      </w:pPr>
      <w:hyperlink w:anchor="_Toc4911" w:history="1">
        <w:r>
          <w:rPr>
            <w:rFonts w:ascii="IRNazanin" w:hAnsi="IRNazanin" w:eastAsia="IRNazanin" w:cs="IRNazanin"/>
            <w:color w:val="111111"/>
            <w:sz w:val="22"/>
            <w:szCs w:val="22"/>
            <w:b w:val="0"/>
            <w:bCs w:val="0"/>
            <w:i w:val="0"/>
            <w:iCs w:val="0"/>
          </w:rPr>
          <w:t>عبد الرزاق شاگرد قطب الدین محمّد قرن</w:t>
        </w:r>
        <w:r>
          <w:tab/>
        </w:r>
        <w:r>
          <w:fldChar w:fldCharType="begin"/>
        </w:r>
        <w:r>
          <w:instrText xml:space="preserve">PAGEREF 4911 \h</w:instrText>
        </w:r>
        <w:r>
          <w:fldChar w:fldCharType="end"/>
        </w:r>
      </w:hyperlink>
    </w:p>
    <w:p>
      <w:pPr>
        <w:tabs>
          <w:tab w:val="right" w:leader="dot" w:pos="9062"/>
        </w:tabs>
        <w:ind w:left="220"/>
      </w:pPr>
      <w:hyperlink w:anchor="_Toc4912" w:history="1">
        <w:r>
          <w:rPr>
            <w:rFonts w:ascii="IRNazanin" w:hAnsi="IRNazanin" w:eastAsia="IRNazanin" w:cs="IRNazanin"/>
            <w:color w:val="111111"/>
            <w:sz w:val="22"/>
            <w:szCs w:val="22"/>
            <w:b w:val="0"/>
            <w:bCs w:val="0"/>
            <w:i w:val="0"/>
            <w:iCs w:val="0"/>
          </w:rPr>
          <w:t>عبد الرزاق كاشي ، عبدالرزاق بن احمد</w:t>
        </w:r>
        <w:r>
          <w:tab/>
        </w:r>
        <w:r>
          <w:fldChar w:fldCharType="begin"/>
        </w:r>
        <w:r>
          <w:instrText xml:space="preserve">PAGEREF 4912 \h</w:instrText>
        </w:r>
        <w:r>
          <w:fldChar w:fldCharType="end"/>
        </w:r>
      </w:hyperlink>
    </w:p>
    <w:p>
      <w:pPr>
        <w:tabs>
          <w:tab w:val="right" w:leader="dot" w:pos="9062"/>
        </w:tabs>
        <w:ind w:left="220"/>
      </w:pPr>
      <w:hyperlink w:anchor="_Toc4913" w:history="1">
        <w:r>
          <w:rPr>
            <w:rFonts w:ascii="IRNazanin" w:hAnsi="IRNazanin" w:eastAsia="IRNazanin" w:cs="IRNazanin"/>
            <w:color w:val="111111"/>
            <w:sz w:val="22"/>
            <w:szCs w:val="22"/>
            <w:b w:val="0"/>
            <w:bCs w:val="0"/>
            <w:i w:val="0"/>
            <w:iCs w:val="0"/>
          </w:rPr>
          <w:t>عبد الزهراء حسين الصغير، 1338 ه-</w:t>
        </w:r>
        <w:r>
          <w:tab/>
        </w:r>
        <w:r>
          <w:fldChar w:fldCharType="begin"/>
        </w:r>
        <w:r>
          <w:instrText xml:space="preserve">PAGEREF 4913 \h</w:instrText>
        </w:r>
        <w:r>
          <w:fldChar w:fldCharType="end"/>
        </w:r>
      </w:hyperlink>
    </w:p>
    <w:p>
      <w:pPr>
        <w:tabs>
          <w:tab w:val="right" w:leader="dot" w:pos="9062"/>
        </w:tabs>
        <w:ind w:left="220"/>
      </w:pPr>
      <w:hyperlink w:anchor="_Toc4914" w:history="1">
        <w:r>
          <w:rPr>
            <w:rFonts w:ascii="IRNazanin" w:hAnsi="IRNazanin" w:eastAsia="IRNazanin" w:cs="IRNazanin"/>
            <w:color w:val="111111"/>
            <w:sz w:val="22"/>
            <w:szCs w:val="22"/>
            <w:b w:val="0"/>
            <w:bCs w:val="0"/>
            <w:i w:val="0"/>
            <w:iCs w:val="0"/>
          </w:rPr>
          <w:t>عبد الصمد بن ابوالحسن</w:t>
        </w:r>
        <w:r>
          <w:tab/>
        </w:r>
        <w:r>
          <w:fldChar w:fldCharType="begin"/>
        </w:r>
        <w:r>
          <w:instrText xml:space="preserve">PAGEREF 4914 \h</w:instrText>
        </w:r>
        <w:r>
          <w:fldChar w:fldCharType="end"/>
        </w:r>
      </w:hyperlink>
    </w:p>
    <w:p>
      <w:pPr>
        <w:tabs>
          <w:tab w:val="right" w:leader="dot" w:pos="9062"/>
        </w:tabs>
        <w:ind w:left="220"/>
      </w:pPr>
      <w:hyperlink w:anchor="_Toc4915" w:history="1">
        <w:r>
          <w:rPr>
            <w:rFonts w:ascii="IRNazanin" w:hAnsi="IRNazanin" w:eastAsia="IRNazanin" w:cs="IRNazanin"/>
            <w:color w:val="111111"/>
            <w:sz w:val="22"/>
            <w:szCs w:val="22"/>
            <w:b w:val="0"/>
            <w:bCs w:val="0"/>
            <w:i w:val="0"/>
            <w:iCs w:val="0"/>
          </w:rPr>
          <w:t>عبد العزيز اول ، سلطان عثماني، 1245 -</w:t>
        </w:r>
        <w:r>
          <w:tab/>
        </w:r>
        <w:r>
          <w:fldChar w:fldCharType="begin"/>
        </w:r>
        <w:r>
          <w:instrText xml:space="preserve">PAGEREF 4915 \h</w:instrText>
        </w:r>
        <w:r>
          <w:fldChar w:fldCharType="end"/>
        </w:r>
      </w:hyperlink>
    </w:p>
    <w:p>
      <w:pPr>
        <w:tabs>
          <w:tab w:val="right" w:leader="dot" w:pos="9062"/>
        </w:tabs>
        <w:ind w:left="220"/>
      </w:pPr>
      <w:hyperlink w:anchor="_Toc4916" w:history="1">
        <w:r>
          <w:rPr>
            <w:rFonts w:ascii="IRNazanin" w:hAnsi="IRNazanin" w:eastAsia="IRNazanin" w:cs="IRNazanin"/>
            <w:color w:val="111111"/>
            <w:sz w:val="22"/>
            <w:szCs w:val="22"/>
            <w:b w:val="0"/>
            <w:bCs w:val="0"/>
            <w:i w:val="0"/>
            <w:iCs w:val="0"/>
          </w:rPr>
          <w:t>عبد العزيز بن احمد ، قرن 7 ه-</w:t>
        </w:r>
        <w:r>
          <w:tab/>
        </w:r>
        <w:r>
          <w:fldChar w:fldCharType="begin"/>
        </w:r>
        <w:r>
          <w:instrText xml:space="preserve">PAGEREF 4916 \h</w:instrText>
        </w:r>
        <w:r>
          <w:fldChar w:fldCharType="end"/>
        </w:r>
      </w:hyperlink>
    </w:p>
    <w:p>
      <w:pPr>
        <w:tabs>
          <w:tab w:val="right" w:leader="dot" w:pos="9062"/>
        </w:tabs>
        <w:ind w:left="220"/>
      </w:pPr>
      <w:hyperlink w:anchor="_Toc4917" w:history="1">
        <w:r>
          <w:rPr>
            <w:rFonts w:ascii="IRNazanin" w:hAnsi="IRNazanin" w:eastAsia="IRNazanin" w:cs="IRNazanin"/>
            <w:color w:val="111111"/>
            <w:sz w:val="22"/>
            <w:szCs w:val="22"/>
            <w:b w:val="0"/>
            <w:bCs w:val="0"/>
            <w:i w:val="0"/>
            <w:iCs w:val="0"/>
          </w:rPr>
          <w:t>عبدالعزيز بن ،رضوان قرن 8 ه-</w:t>
        </w:r>
        <w:r>
          <w:tab/>
        </w:r>
        <w:r>
          <w:fldChar w:fldCharType="begin"/>
        </w:r>
        <w:r>
          <w:instrText xml:space="preserve">PAGEREF 4917 \h</w:instrText>
        </w:r>
        <w:r>
          <w:fldChar w:fldCharType="end"/>
        </w:r>
      </w:hyperlink>
    </w:p>
    <w:p>
      <w:pPr>
        <w:tabs>
          <w:tab w:val="right" w:leader="dot" w:pos="9062"/>
        </w:tabs>
        <w:ind w:left="220"/>
      </w:pPr>
      <w:hyperlink w:anchor="_Toc4918" w:history="1">
        <w:r>
          <w:rPr>
            <w:rFonts w:ascii="IRNazanin" w:hAnsi="IRNazanin" w:eastAsia="IRNazanin" w:cs="IRNazanin"/>
            <w:color w:val="111111"/>
            <w:sz w:val="22"/>
            <w:szCs w:val="22"/>
            <w:b w:val="0"/>
            <w:bCs w:val="0"/>
            <w:i w:val="0"/>
            <w:iCs w:val="0"/>
          </w:rPr>
          <w:t>عبد العظيم بن محمّد معصوم قرن 12</w:t>
        </w:r>
        <w:r>
          <w:tab/>
        </w:r>
        <w:r>
          <w:fldChar w:fldCharType="begin"/>
        </w:r>
        <w:r>
          <w:instrText xml:space="preserve">PAGEREF 4918 \h</w:instrText>
        </w:r>
        <w:r>
          <w:fldChar w:fldCharType="end"/>
        </w:r>
      </w:hyperlink>
    </w:p>
    <w:p>
      <w:pPr>
        <w:tabs>
          <w:tab w:val="right" w:leader="dot" w:pos="9062"/>
        </w:tabs>
        <w:ind w:left="220"/>
      </w:pPr>
      <w:hyperlink w:anchor="_Toc4919" w:history="1">
        <w:r>
          <w:rPr>
            <w:rFonts w:ascii="IRNazanin" w:hAnsi="IRNazanin" w:eastAsia="IRNazanin" w:cs="IRNazanin"/>
            <w:color w:val="111111"/>
            <w:sz w:val="22"/>
            <w:szCs w:val="22"/>
            <w:b w:val="0"/>
            <w:bCs w:val="0"/>
            <w:i w:val="0"/>
            <w:iCs w:val="0"/>
          </w:rPr>
          <w:t>عبد العظيمي ، حسين بن احمد، 1315 ه-</w:t>
        </w:r>
        <w:r>
          <w:tab/>
        </w:r>
        <w:r>
          <w:fldChar w:fldCharType="begin"/>
        </w:r>
        <w:r>
          <w:instrText xml:space="preserve">PAGEREF 4919 \h</w:instrText>
        </w:r>
        <w:r>
          <w:fldChar w:fldCharType="end"/>
        </w:r>
      </w:hyperlink>
    </w:p>
    <w:p>
      <w:pPr>
        <w:tabs>
          <w:tab w:val="right" w:leader="dot" w:pos="9062"/>
        </w:tabs>
        <w:ind w:left="220"/>
      </w:pPr>
      <w:hyperlink w:anchor="_Toc4920" w:history="1">
        <w:r>
          <w:rPr>
            <w:rFonts w:ascii="IRNazanin" w:hAnsi="IRNazanin" w:eastAsia="IRNazanin" w:cs="IRNazanin"/>
            <w:color w:val="111111"/>
            <w:sz w:val="22"/>
            <w:szCs w:val="22"/>
            <w:b w:val="0"/>
            <w:bCs w:val="0"/>
            <w:i w:val="0"/>
            <w:iCs w:val="0"/>
          </w:rPr>
          <w:t>عبد العلي، قرن 13 ه-</w:t>
        </w:r>
        <w:r>
          <w:tab/>
        </w:r>
        <w:r>
          <w:fldChar w:fldCharType="begin"/>
        </w:r>
        <w:r>
          <w:instrText xml:space="preserve">PAGEREF 4920 \h</w:instrText>
        </w:r>
        <w:r>
          <w:fldChar w:fldCharType="end"/>
        </w:r>
      </w:hyperlink>
    </w:p>
    <w:p>
      <w:pPr>
        <w:tabs>
          <w:tab w:val="right" w:leader="dot" w:pos="9062"/>
        </w:tabs>
        <w:ind w:left="220"/>
      </w:pPr>
      <w:hyperlink w:anchor="_Toc4921" w:history="1">
        <w:r>
          <w:rPr>
            <w:rFonts w:ascii="IRNazanin" w:hAnsi="IRNazanin" w:eastAsia="IRNazanin" w:cs="IRNazanin"/>
            <w:color w:val="111111"/>
            <w:sz w:val="22"/>
            <w:szCs w:val="22"/>
            <w:b w:val="0"/>
            <w:bCs w:val="0"/>
            <w:i w:val="0"/>
            <w:iCs w:val="0"/>
          </w:rPr>
          <w:t>عبد العلي بن عبدالوهاب</w:t>
        </w:r>
        <w:r>
          <w:tab/>
        </w:r>
        <w:r>
          <w:fldChar w:fldCharType="begin"/>
        </w:r>
        <w:r>
          <w:instrText xml:space="preserve">PAGEREF 4921 \h</w:instrText>
        </w:r>
        <w:r>
          <w:fldChar w:fldCharType="end"/>
        </w:r>
      </w:hyperlink>
    </w:p>
    <w:p>
      <w:pPr>
        <w:tabs>
          <w:tab w:val="right" w:leader="dot" w:pos="9062"/>
        </w:tabs>
        <w:ind w:left="220"/>
      </w:pPr>
      <w:hyperlink w:anchor="_Toc4922" w:history="1">
        <w:r>
          <w:rPr>
            <w:rFonts w:ascii="IRNazanin" w:hAnsi="IRNazanin" w:eastAsia="IRNazanin" w:cs="IRNazanin"/>
            <w:color w:val="111111"/>
            <w:sz w:val="22"/>
            <w:szCs w:val="22"/>
            <w:b w:val="0"/>
            <w:bCs w:val="0"/>
            <w:i w:val="0"/>
            <w:iCs w:val="0"/>
          </w:rPr>
          <w:t>عبدالغفار ، حسن بن احمد</w:t>
        </w:r>
        <w:r>
          <w:tab/>
        </w:r>
        <w:r>
          <w:fldChar w:fldCharType="begin"/>
        </w:r>
        <w:r>
          <w:instrText xml:space="preserve">PAGEREF 4922 \h</w:instrText>
        </w:r>
        <w:r>
          <w:fldChar w:fldCharType="end"/>
        </w:r>
      </w:hyperlink>
    </w:p>
    <w:p>
      <w:pPr>
        <w:tabs>
          <w:tab w:val="right" w:leader="dot" w:pos="9062"/>
        </w:tabs>
        <w:ind w:left="220"/>
      </w:pPr>
      <w:hyperlink w:anchor="_Toc4923" w:history="1">
        <w:r>
          <w:rPr>
            <w:rFonts w:ascii="IRNazanin" w:hAnsi="IRNazanin" w:eastAsia="IRNazanin" w:cs="IRNazanin"/>
            <w:color w:val="111111"/>
            <w:sz w:val="22"/>
            <w:szCs w:val="22"/>
            <w:b w:val="0"/>
            <w:bCs w:val="0"/>
            <w:i w:val="0"/>
            <w:iCs w:val="0"/>
          </w:rPr>
          <w:t>عبد الغفور بن ملا محمّد قرن 13 ه-</w:t>
        </w:r>
        <w:r>
          <w:tab/>
        </w:r>
        <w:r>
          <w:fldChar w:fldCharType="begin"/>
        </w:r>
        <w:r>
          <w:instrText xml:space="preserve">PAGEREF 4923 \h</w:instrText>
        </w:r>
        <w:r>
          <w:fldChar w:fldCharType="end"/>
        </w:r>
      </w:hyperlink>
    </w:p>
    <w:p>
      <w:pPr>
        <w:tabs>
          <w:tab w:val="right" w:leader="dot" w:pos="9062"/>
        </w:tabs>
        <w:ind w:left="220"/>
      </w:pPr>
      <w:hyperlink w:anchor="_Toc4924" w:history="1">
        <w:r>
          <w:rPr>
            <w:rFonts w:ascii="IRNazanin" w:hAnsi="IRNazanin" w:eastAsia="IRNazanin" w:cs="IRNazanin"/>
            <w:color w:val="111111"/>
            <w:sz w:val="22"/>
            <w:szCs w:val="22"/>
            <w:b w:val="0"/>
            <w:bCs w:val="0"/>
            <w:i w:val="0"/>
            <w:iCs w:val="0"/>
          </w:rPr>
          <w:t>عبد الغني بن جميل - 1279 ه-</w:t>
        </w:r>
        <w:r>
          <w:tab/>
        </w:r>
        <w:r>
          <w:fldChar w:fldCharType="begin"/>
        </w:r>
        <w:r>
          <w:instrText xml:space="preserve">PAGEREF 4924 \h</w:instrText>
        </w:r>
        <w:r>
          <w:fldChar w:fldCharType="end"/>
        </w:r>
      </w:hyperlink>
    </w:p>
    <w:p>
      <w:pPr>
        <w:tabs>
          <w:tab w:val="right" w:leader="dot" w:pos="9062"/>
        </w:tabs>
        <w:ind w:left="220"/>
      </w:pPr>
      <w:hyperlink w:anchor="_Toc4925" w:history="1">
        <w:r>
          <w:rPr>
            <w:rFonts w:ascii="IRNazanin" w:hAnsi="IRNazanin" w:eastAsia="IRNazanin" w:cs="IRNazanin"/>
            <w:color w:val="111111"/>
            <w:sz w:val="22"/>
            <w:szCs w:val="22"/>
            <w:b w:val="0"/>
            <w:bCs w:val="0"/>
            <w:i w:val="0"/>
            <w:iCs w:val="0"/>
          </w:rPr>
          <w:t>عبدالغني بن عبدالجليل</w:t>
        </w:r>
        <w:r>
          <w:tab/>
        </w:r>
        <w:r>
          <w:fldChar w:fldCharType="begin"/>
        </w:r>
        <w:r>
          <w:instrText xml:space="preserve">PAGEREF 4925 \h</w:instrText>
        </w:r>
        <w:r>
          <w:fldChar w:fldCharType="end"/>
        </w:r>
      </w:hyperlink>
    </w:p>
    <w:p>
      <w:pPr>
        <w:tabs>
          <w:tab w:val="right" w:leader="dot" w:pos="9062"/>
        </w:tabs>
        <w:ind w:left="220"/>
      </w:pPr>
      <w:hyperlink w:anchor="_Toc4926" w:history="1">
        <w:r>
          <w:rPr>
            <w:rFonts w:ascii="IRNazanin" w:hAnsi="IRNazanin" w:eastAsia="IRNazanin" w:cs="IRNazanin"/>
            <w:color w:val="111111"/>
            <w:sz w:val="22"/>
            <w:szCs w:val="22"/>
            <w:b w:val="0"/>
            <w:bCs w:val="0"/>
            <w:i w:val="0"/>
            <w:iCs w:val="0"/>
          </w:rPr>
          <w:t>عبد الغني بن محمّد رضا قرن 13 ه-</w:t>
        </w:r>
        <w:r>
          <w:tab/>
        </w:r>
        <w:r>
          <w:fldChar w:fldCharType="begin"/>
        </w:r>
        <w:r>
          <w:instrText xml:space="preserve">PAGEREF 4926 \h</w:instrText>
        </w:r>
        <w:r>
          <w:fldChar w:fldCharType="end"/>
        </w:r>
      </w:hyperlink>
    </w:p>
    <w:p>
      <w:pPr>
        <w:tabs>
          <w:tab w:val="right" w:leader="dot" w:pos="9062"/>
        </w:tabs>
        <w:ind w:left="220"/>
      </w:pPr>
      <w:hyperlink w:anchor="_Toc4927" w:history="1">
        <w:r>
          <w:rPr>
            <w:rFonts w:ascii="IRNazanin" w:hAnsi="IRNazanin" w:eastAsia="IRNazanin" w:cs="IRNazanin"/>
            <w:color w:val="111111"/>
            <w:sz w:val="22"/>
            <w:szCs w:val="22"/>
            <w:b w:val="0"/>
            <w:bCs w:val="0"/>
            <w:i w:val="0"/>
            <w:iCs w:val="0"/>
          </w:rPr>
          <w:t>عبدالغني ، محمّد</w:t>
        </w:r>
        <w:r>
          <w:tab/>
        </w:r>
        <w:r>
          <w:fldChar w:fldCharType="begin"/>
        </w:r>
        <w:r>
          <w:instrText xml:space="preserve">PAGEREF 4927 \h</w:instrText>
        </w:r>
        <w:r>
          <w:fldChar w:fldCharType="end"/>
        </w:r>
      </w:hyperlink>
    </w:p>
    <w:p>
      <w:pPr>
        <w:tabs>
          <w:tab w:val="right" w:leader="dot" w:pos="9062"/>
        </w:tabs>
        <w:ind w:left="220"/>
      </w:pPr>
      <w:hyperlink w:anchor="_Toc4928" w:history="1">
        <w:r>
          <w:rPr>
            <w:rFonts w:ascii="IRNazanin" w:hAnsi="IRNazanin" w:eastAsia="IRNazanin" w:cs="IRNazanin"/>
            <w:color w:val="111111"/>
            <w:sz w:val="22"/>
            <w:szCs w:val="22"/>
            <w:b w:val="0"/>
            <w:bCs w:val="0"/>
            <w:i w:val="0"/>
            <w:iCs w:val="0"/>
          </w:rPr>
          <w:t>عبد القادر</w:t>
        </w:r>
        <w:r>
          <w:tab/>
        </w:r>
        <w:r>
          <w:fldChar w:fldCharType="begin"/>
        </w:r>
        <w:r>
          <w:instrText xml:space="preserve">PAGEREF 4928 \h</w:instrText>
        </w:r>
        <w:r>
          <w:fldChar w:fldCharType="end"/>
        </w:r>
      </w:hyperlink>
    </w:p>
    <w:p>
      <w:pPr>
        <w:tabs>
          <w:tab w:val="right" w:leader="dot" w:pos="9062"/>
        </w:tabs>
        <w:ind w:left="220"/>
      </w:pPr>
      <w:hyperlink w:anchor="_Toc4929" w:history="1">
        <w:r>
          <w:rPr>
            <w:rFonts w:ascii="IRNazanin" w:hAnsi="IRNazanin" w:eastAsia="IRNazanin" w:cs="IRNazanin"/>
            <w:color w:val="111111"/>
            <w:sz w:val="22"/>
            <w:szCs w:val="22"/>
            <w:b w:val="0"/>
            <w:bCs w:val="0"/>
            <w:i w:val="0"/>
            <w:iCs w:val="0"/>
          </w:rPr>
          <w:t>عبد القادر بن احمد</w:t>
        </w:r>
        <w:r>
          <w:tab/>
        </w:r>
        <w:r>
          <w:fldChar w:fldCharType="begin"/>
        </w:r>
        <w:r>
          <w:instrText xml:space="preserve">PAGEREF 4929 \h</w:instrText>
        </w:r>
        <w:r>
          <w:fldChar w:fldCharType="end"/>
        </w:r>
      </w:hyperlink>
    </w:p>
    <w:p>
      <w:pPr>
        <w:tabs>
          <w:tab w:val="right" w:leader="dot" w:pos="9062"/>
        </w:tabs>
        <w:ind w:left="220"/>
      </w:pPr>
      <w:hyperlink w:anchor="_Toc4930" w:history="1">
        <w:r>
          <w:rPr>
            <w:rFonts w:ascii="IRNazanin" w:hAnsi="IRNazanin" w:eastAsia="IRNazanin" w:cs="IRNazanin"/>
            <w:color w:val="111111"/>
            <w:sz w:val="22"/>
            <w:szCs w:val="22"/>
            <w:b w:val="0"/>
            <w:bCs w:val="0"/>
            <w:i w:val="0"/>
            <w:iCs w:val="0"/>
          </w:rPr>
          <w:t>عبد القادر بن عبد الفتاح بن عبد الصمد</w:t>
        </w:r>
        <w:r>
          <w:tab/>
        </w:r>
        <w:r>
          <w:fldChar w:fldCharType="begin"/>
        </w:r>
        <w:r>
          <w:instrText xml:space="preserve">PAGEREF 4930 \h</w:instrText>
        </w:r>
        <w:r>
          <w:fldChar w:fldCharType="end"/>
        </w:r>
      </w:hyperlink>
    </w:p>
    <w:p>
      <w:pPr>
        <w:tabs>
          <w:tab w:val="right" w:leader="dot" w:pos="9062"/>
        </w:tabs>
        <w:ind w:left="220"/>
      </w:pPr>
      <w:hyperlink w:anchor="_Toc4931" w:history="1">
        <w:r>
          <w:rPr>
            <w:rFonts w:ascii="IRNazanin" w:hAnsi="IRNazanin" w:eastAsia="IRNazanin" w:cs="IRNazanin"/>
            <w:color w:val="111111"/>
            <w:sz w:val="22"/>
            <w:szCs w:val="22"/>
            <w:b w:val="0"/>
            <w:bCs w:val="0"/>
            <w:i w:val="0"/>
            <w:iCs w:val="0"/>
          </w:rPr>
          <w:t>عبد القادر بن عبد المؤمن</w:t>
        </w:r>
        <w:r>
          <w:tab/>
        </w:r>
        <w:r>
          <w:fldChar w:fldCharType="begin"/>
        </w:r>
        <w:r>
          <w:instrText xml:space="preserve">PAGEREF 4931 \h</w:instrText>
        </w:r>
        <w:r>
          <w:fldChar w:fldCharType="end"/>
        </w:r>
      </w:hyperlink>
    </w:p>
    <w:p>
      <w:pPr>
        <w:tabs>
          <w:tab w:val="right" w:leader="dot" w:pos="9062"/>
        </w:tabs>
        <w:ind w:left="220"/>
      </w:pPr>
      <w:hyperlink w:anchor="_Toc4932" w:history="1">
        <w:r>
          <w:rPr>
            <w:rFonts w:ascii="IRNazanin" w:hAnsi="IRNazanin" w:eastAsia="IRNazanin" w:cs="IRNazanin"/>
            <w:color w:val="111111"/>
            <w:sz w:val="22"/>
            <w:szCs w:val="22"/>
            <w:b w:val="0"/>
            <w:bCs w:val="0"/>
            <w:i w:val="0"/>
            <w:iCs w:val="0"/>
          </w:rPr>
          <w:t>عبد القادر بن عمر بن جرجيس، قرن 13</w:t>
        </w:r>
        <w:r>
          <w:tab/>
        </w:r>
        <w:r>
          <w:fldChar w:fldCharType="begin"/>
        </w:r>
        <w:r>
          <w:instrText xml:space="preserve">PAGEREF 4932 \h</w:instrText>
        </w:r>
        <w:r>
          <w:fldChar w:fldCharType="end"/>
        </w:r>
      </w:hyperlink>
    </w:p>
    <w:p>
      <w:pPr>
        <w:tabs>
          <w:tab w:val="right" w:leader="dot" w:pos="9062"/>
        </w:tabs>
        <w:ind w:left="220"/>
      </w:pPr>
      <w:hyperlink w:anchor="_Toc4933" w:history="1">
        <w:r>
          <w:rPr>
            <w:rFonts w:ascii="IRNazanin" w:hAnsi="IRNazanin" w:eastAsia="IRNazanin" w:cs="IRNazanin"/>
            <w:color w:val="111111"/>
            <w:sz w:val="22"/>
            <w:szCs w:val="22"/>
            <w:b w:val="0"/>
            <w:bCs w:val="0"/>
            <w:i w:val="0"/>
            <w:iCs w:val="0"/>
          </w:rPr>
          <w:t>عبد القادر جيلاني ، عبد القادر بن موسى</w:t>
        </w:r>
        <w:r>
          <w:tab/>
        </w:r>
        <w:r>
          <w:fldChar w:fldCharType="begin"/>
        </w:r>
        <w:r>
          <w:instrText xml:space="preserve">PAGEREF 4933 \h</w:instrText>
        </w:r>
        <w:r>
          <w:fldChar w:fldCharType="end"/>
        </w:r>
      </w:hyperlink>
    </w:p>
    <w:p>
      <w:pPr>
        <w:tabs>
          <w:tab w:val="right" w:leader="dot" w:pos="9062"/>
        </w:tabs>
        <w:ind w:left="220"/>
      </w:pPr>
      <w:hyperlink w:anchor="_Toc4934" w:history="1">
        <w:r>
          <w:rPr>
            <w:rFonts w:ascii="IRNazanin" w:hAnsi="IRNazanin" w:eastAsia="IRNazanin" w:cs="IRNazanin"/>
            <w:color w:val="111111"/>
            <w:sz w:val="22"/>
            <w:szCs w:val="22"/>
            <w:b w:val="0"/>
            <w:bCs w:val="0"/>
            <w:i w:val="0"/>
            <w:iCs w:val="0"/>
          </w:rPr>
          <w:t>عبدالكريم بن فارس</w:t>
        </w:r>
        <w:r>
          <w:tab/>
        </w:r>
        <w:r>
          <w:fldChar w:fldCharType="begin"/>
        </w:r>
        <w:r>
          <w:instrText xml:space="preserve">PAGEREF 4934 \h</w:instrText>
        </w:r>
        <w:r>
          <w:fldChar w:fldCharType="end"/>
        </w:r>
      </w:hyperlink>
    </w:p>
    <w:p>
      <w:pPr>
        <w:tabs>
          <w:tab w:val="right" w:leader="dot" w:pos="9062"/>
        </w:tabs>
        <w:ind w:left="220"/>
      </w:pPr>
      <w:hyperlink w:anchor="_Toc4935" w:history="1">
        <w:r>
          <w:rPr>
            <w:rFonts w:ascii="IRNazanin" w:hAnsi="IRNazanin" w:eastAsia="IRNazanin" w:cs="IRNazanin"/>
            <w:color w:val="111111"/>
            <w:sz w:val="22"/>
            <w:szCs w:val="22"/>
            <w:b w:val="0"/>
            <w:bCs w:val="0"/>
            <w:i w:val="0"/>
            <w:iCs w:val="0"/>
          </w:rPr>
          <w:t>عبد اللطيف</w:t>
        </w:r>
        <w:r>
          <w:tab/>
        </w:r>
        <w:r>
          <w:fldChar w:fldCharType="begin"/>
        </w:r>
        <w:r>
          <w:instrText xml:space="preserve">PAGEREF 4935 \h</w:instrText>
        </w:r>
        <w:r>
          <w:fldChar w:fldCharType="end"/>
        </w:r>
      </w:hyperlink>
    </w:p>
    <w:p>
      <w:pPr>
        <w:tabs>
          <w:tab w:val="right" w:leader="dot" w:pos="9062"/>
        </w:tabs>
        <w:ind w:left="220"/>
      </w:pPr>
      <w:hyperlink w:anchor="_Toc4936" w:history="1">
        <w:r>
          <w:rPr>
            <w:rFonts w:ascii="IRNazanin" w:hAnsi="IRNazanin" w:eastAsia="IRNazanin" w:cs="IRNazanin"/>
            <w:color w:val="111111"/>
            <w:sz w:val="22"/>
            <w:szCs w:val="22"/>
            <w:b w:val="0"/>
            <w:bCs w:val="0"/>
            <w:i w:val="0"/>
            <w:iCs w:val="0"/>
          </w:rPr>
          <w:t>عبداللطيف بغدادي ، عبداللطيف بن</w:t>
        </w:r>
        <w:r>
          <w:tab/>
        </w:r>
        <w:r>
          <w:fldChar w:fldCharType="begin"/>
        </w:r>
        <w:r>
          <w:instrText xml:space="preserve">PAGEREF 4936 \h</w:instrText>
        </w:r>
        <w:r>
          <w:fldChar w:fldCharType="end"/>
        </w:r>
      </w:hyperlink>
    </w:p>
    <w:p>
      <w:pPr>
        <w:tabs>
          <w:tab w:val="right" w:leader="dot" w:pos="9062"/>
        </w:tabs>
        <w:ind w:left="220"/>
      </w:pPr>
      <w:hyperlink w:anchor="_Toc4937" w:history="1">
        <w:r>
          <w:rPr>
            <w:rFonts w:ascii="IRNazanin" w:hAnsi="IRNazanin" w:eastAsia="IRNazanin" w:cs="IRNazanin"/>
            <w:color w:val="111111"/>
            <w:sz w:val="22"/>
            <w:szCs w:val="22"/>
            <w:b w:val="0"/>
            <w:bCs w:val="0"/>
            <w:i w:val="0"/>
            <w:iCs w:val="0"/>
          </w:rPr>
          <w:t>عبدالله</w:t>
        </w:r>
        <w:r>
          <w:tab/>
        </w:r>
        <w:r>
          <w:fldChar w:fldCharType="begin"/>
        </w:r>
        <w:r>
          <w:instrText xml:space="preserve">PAGEREF 4937 \h</w:instrText>
        </w:r>
        <w:r>
          <w:fldChar w:fldCharType="end"/>
        </w:r>
      </w:hyperlink>
    </w:p>
    <w:p>
      <w:pPr>
        <w:tabs>
          <w:tab w:val="right" w:leader="dot" w:pos="9062"/>
        </w:tabs>
        <w:ind w:left="220"/>
      </w:pPr>
      <w:hyperlink w:anchor="_Toc4938" w:history="1">
        <w:r>
          <w:rPr>
            <w:rFonts w:ascii="IRNazanin" w:hAnsi="IRNazanin" w:eastAsia="IRNazanin" w:cs="IRNazanin"/>
            <w:color w:val="111111"/>
            <w:sz w:val="22"/>
            <w:szCs w:val="22"/>
            <w:b w:val="0"/>
            <w:bCs w:val="0"/>
            <w:i w:val="0"/>
            <w:iCs w:val="0"/>
          </w:rPr>
          <w:t>عبدالله اسماعيل بن اميرالمؤمنين</w:t>
        </w:r>
        <w:r>
          <w:tab/>
        </w:r>
        <w:r>
          <w:fldChar w:fldCharType="begin"/>
        </w:r>
        <w:r>
          <w:instrText xml:space="preserve">PAGEREF 4938 \h</w:instrText>
        </w:r>
        <w:r>
          <w:fldChar w:fldCharType="end"/>
        </w:r>
      </w:hyperlink>
    </w:p>
    <w:p>
      <w:pPr>
        <w:tabs>
          <w:tab w:val="right" w:leader="dot" w:pos="9062"/>
        </w:tabs>
        <w:ind w:left="220"/>
      </w:pPr>
      <w:hyperlink w:anchor="_Toc4939" w:history="1">
        <w:r>
          <w:rPr>
            <w:rFonts w:ascii="IRNazanin" w:hAnsi="IRNazanin" w:eastAsia="IRNazanin" w:cs="IRNazanin"/>
            <w:color w:val="111111"/>
            <w:sz w:val="22"/>
            <w:szCs w:val="22"/>
            <w:b w:val="0"/>
            <w:bCs w:val="0"/>
            <w:i w:val="0"/>
            <w:iCs w:val="0"/>
          </w:rPr>
          <w:t>عبدالله بن احمد</w:t>
        </w:r>
        <w:r>
          <w:tab/>
        </w:r>
        <w:r>
          <w:fldChar w:fldCharType="begin"/>
        </w:r>
        <w:r>
          <w:instrText xml:space="preserve">PAGEREF 4939 \h</w:instrText>
        </w:r>
        <w:r>
          <w:fldChar w:fldCharType="end"/>
        </w:r>
      </w:hyperlink>
    </w:p>
    <w:p>
      <w:pPr>
        <w:tabs>
          <w:tab w:val="right" w:leader="dot" w:pos="9062"/>
        </w:tabs>
        <w:ind w:left="220"/>
      </w:pPr>
      <w:hyperlink w:anchor="_Toc4940" w:history="1">
        <w:r>
          <w:rPr>
            <w:rFonts w:ascii="IRNazanin" w:hAnsi="IRNazanin" w:eastAsia="IRNazanin" w:cs="IRNazanin"/>
            <w:color w:val="111111"/>
            <w:sz w:val="22"/>
            <w:szCs w:val="22"/>
            <w:b w:val="0"/>
            <w:bCs w:val="0"/>
            <w:i w:val="0"/>
            <w:iCs w:val="0"/>
          </w:rPr>
          <w:t>عبدالله بن الحلي الراسي</w:t>
        </w:r>
        <w:r>
          <w:tab/>
        </w:r>
        <w:r>
          <w:fldChar w:fldCharType="begin"/>
        </w:r>
        <w:r>
          <w:instrText xml:space="preserve">PAGEREF 4940 \h</w:instrText>
        </w:r>
        <w:r>
          <w:fldChar w:fldCharType="end"/>
        </w:r>
      </w:hyperlink>
    </w:p>
    <w:p>
      <w:pPr>
        <w:tabs>
          <w:tab w:val="right" w:leader="dot" w:pos="9062"/>
        </w:tabs>
        <w:ind w:left="220"/>
      </w:pPr>
      <w:hyperlink w:anchor="_Toc4941" w:history="1">
        <w:r>
          <w:rPr>
            <w:rFonts w:ascii="IRNazanin" w:hAnsi="IRNazanin" w:eastAsia="IRNazanin" w:cs="IRNazanin"/>
            <w:color w:val="111111"/>
            <w:sz w:val="22"/>
            <w:szCs w:val="22"/>
            <w:b w:val="0"/>
            <w:bCs w:val="0"/>
            <w:i w:val="0"/>
            <w:iCs w:val="0"/>
          </w:rPr>
          <w:t>عبدالله بن حر</w:t>
        </w:r>
        <w:r>
          <w:tab/>
        </w:r>
        <w:r>
          <w:fldChar w:fldCharType="begin"/>
        </w:r>
        <w:r>
          <w:instrText xml:space="preserve">PAGEREF 4941 \h</w:instrText>
        </w:r>
        <w:r>
          <w:fldChar w:fldCharType="end"/>
        </w:r>
      </w:hyperlink>
    </w:p>
    <w:p>
      <w:pPr>
        <w:tabs>
          <w:tab w:val="right" w:leader="dot" w:pos="9062"/>
        </w:tabs>
        <w:ind w:left="220"/>
      </w:pPr>
      <w:hyperlink w:anchor="_Toc4942" w:history="1">
        <w:r>
          <w:rPr>
            <w:rFonts w:ascii="IRNazanin" w:hAnsi="IRNazanin" w:eastAsia="IRNazanin" w:cs="IRNazanin"/>
            <w:color w:val="111111"/>
            <w:sz w:val="22"/>
            <w:szCs w:val="22"/>
            <w:b w:val="0"/>
            <w:bCs w:val="0"/>
            <w:i w:val="0"/>
            <w:iCs w:val="0"/>
          </w:rPr>
          <w:t>عبدالله بن حيدر بن احمد</w:t>
        </w:r>
        <w:r>
          <w:tab/>
        </w:r>
        <w:r>
          <w:fldChar w:fldCharType="begin"/>
        </w:r>
        <w:r>
          <w:instrText xml:space="preserve">PAGEREF 4942 \h</w:instrText>
        </w:r>
        <w:r>
          <w:fldChar w:fldCharType="end"/>
        </w:r>
      </w:hyperlink>
    </w:p>
    <w:p>
      <w:pPr>
        <w:tabs>
          <w:tab w:val="right" w:leader="dot" w:pos="9062"/>
        </w:tabs>
        <w:ind w:left="220"/>
      </w:pPr>
      <w:hyperlink w:anchor="_Toc4943" w:history="1">
        <w:r>
          <w:rPr>
            <w:rFonts w:ascii="IRNazanin" w:hAnsi="IRNazanin" w:eastAsia="IRNazanin" w:cs="IRNazanin"/>
            <w:color w:val="111111"/>
            <w:sz w:val="22"/>
            <w:szCs w:val="22"/>
            <w:b w:val="0"/>
            <w:bCs w:val="0"/>
            <w:i w:val="0"/>
            <w:iCs w:val="0"/>
          </w:rPr>
          <w:t>عبدالله بن خليل قرن 11 ه-</w:t>
        </w:r>
        <w:r>
          <w:tab/>
        </w:r>
        <w:r>
          <w:fldChar w:fldCharType="begin"/>
        </w:r>
        <w:r>
          <w:instrText xml:space="preserve">PAGEREF 4943 \h</w:instrText>
        </w:r>
        <w:r>
          <w:fldChar w:fldCharType="end"/>
        </w:r>
      </w:hyperlink>
    </w:p>
    <w:p>
      <w:pPr>
        <w:tabs>
          <w:tab w:val="right" w:leader="dot" w:pos="9062"/>
        </w:tabs>
        <w:ind w:left="220"/>
      </w:pPr>
      <w:hyperlink w:anchor="_Toc4944" w:history="1">
        <w:r>
          <w:rPr>
            <w:rFonts w:ascii="IRNazanin" w:hAnsi="IRNazanin" w:eastAsia="IRNazanin" w:cs="IRNazanin"/>
            <w:color w:val="111111"/>
            <w:sz w:val="22"/>
            <w:szCs w:val="22"/>
            <w:b w:val="0"/>
            <w:bCs w:val="0"/>
            <w:i w:val="0"/>
            <w:iCs w:val="0"/>
          </w:rPr>
          <w:t>عبدالله بن سلام - 43 ه-</w:t>
        </w:r>
        <w:r>
          <w:tab/>
        </w:r>
        <w:r>
          <w:fldChar w:fldCharType="begin"/>
        </w:r>
        <w:r>
          <w:instrText xml:space="preserve">PAGEREF 4944 \h</w:instrText>
        </w:r>
        <w:r>
          <w:fldChar w:fldCharType="end"/>
        </w:r>
      </w:hyperlink>
    </w:p>
    <w:p>
      <w:pPr>
        <w:tabs>
          <w:tab w:val="right" w:leader="dot" w:pos="9062"/>
        </w:tabs>
        <w:ind w:left="220"/>
      </w:pPr>
      <w:hyperlink w:anchor="_Toc4945" w:history="1">
        <w:r>
          <w:rPr>
            <w:rFonts w:ascii="IRNazanin" w:hAnsi="IRNazanin" w:eastAsia="IRNazanin" w:cs="IRNazanin"/>
            <w:color w:val="111111"/>
            <w:sz w:val="22"/>
            <w:szCs w:val="22"/>
            <w:b w:val="0"/>
            <w:bCs w:val="0"/>
            <w:i w:val="0"/>
            <w:iCs w:val="0"/>
          </w:rPr>
          <w:t>عبدالله بن شمس الدين قرن 12 ه-</w:t>
        </w:r>
        <w:r>
          <w:tab/>
        </w:r>
        <w:r>
          <w:fldChar w:fldCharType="begin"/>
        </w:r>
        <w:r>
          <w:instrText xml:space="preserve">PAGEREF 4945 \h</w:instrText>
        </w:r>
        <w:r>
          <w:fldChar w:fldCharType="end"/>
        </w:r>
      </w:hyperlink>
    </w:p>
    <w:p>
      <w:pPr>
        <w:tabs>
          <w:tab w:val="right" w:leader="dot" w:pos="9062"/>
        </w:tabs>
        <w:ind w:left="220"/>
      </w:pPr>
      <w:hyperlink w:anchor="_Toc4946" w:history="1">
        <w:r>
          <w:rPr>
            <w:rFonts w:ascii="IRNazanin" w:hAnsi="IRNazanin" w:eastAsia="IRNazanin" w:cs="IRNazanin"/>
            <w:color w:val="111111"/>
            <w:sz w:val="22"/>
            <w:szCs w:val="22"/>
            <w:b w:val="0"/>
            <w:bCs w:val="0"/>
            <w:i w:val="0"/>
            <w:iCs w:val="0"/>
          </w:rPr>
          <w:t>عبدالله بن عباس</w:t>
        </w:r>
        <w:r>
          <w:tab/>
        </w:r>
        <w:r>
          <w:fldChar w:fldCharType="begin"/>
        </w:r>
        <w:r>
          <w:instrText xml:space="preserve">PAGEREF 4946 \h</w:instrText>
        </w:r>
        <w:r>
          <w:fldChar w:fldCharType="end"/>
        </w:r>
      </w:hyperlink>
    </w:p>
    <w:p>
      <w:pPr>
        <w:tabs>
          <w:tab w:val="right" w:leader="dot" w:pos="9062"/>
        </w:tabs>
        <w:ind w:left="220"/>
      </w:pPr>
      <w:hyperlink w:anchor="_Toc4947" w:history="1">
        <w:r>
          <w:rPr>
            <w:rFonts w:ascii="IRNazanin" w:hAnsi="IRNazanin" w:eastAsia="IRNazanin" w:cs="IRNazanin"/>
            <w:color w:val="111111"/>
            <w:sz w:val="22"/>
            <w:szCs w:val="22"/>
            <w:b w:val="0"/>
            <w:bCs w:val="0"/>
            <w:i w:val="0"/>
            <w:iCs w:val="0"/>
          </w:rPr>
          <w:t>عبدالله بن مبارك</w:t>
        </w:r>
        <w:r>
          <w:tab/>
        </w:r>
        <w:r>
          <w:fldChar w:fldCharType="begin"/>
        </w:r>
        <w:r>
          <w:instrText xml:space="preserve">PAGEREF 4947 \h</w:instrText>
        </w:r>
        <w:r>
          <w:fldChar w:fldCharType="end"/>
        </w:r>
      </w:hyperlink>
    </w:p>
    <w:p>
      <w:pPr>
        <w:tabs>
          <w:tab w:val="right" w:leader="dot" w:pos="9062"/>
        </w:tabs>
        <w:ind w:left="220"/>
      </w:pPr>
      <w:hyperlink w:anchor="_Toc4948" w:history="1">
        <w:r>
          <w:rPr>
            <w:rFonts w:ascii="IRNazanin" w:hAnsi="IRNazanin" w:eastAsia="IRNazanin" w:cs="IRNazanin"/>
            <w:color w:val="111111"/>
            <w:sz w:val="22"/>
            <w:szCs w:val="22"/>
            <w:b w:val="0"/>
            <w:bCs w:val="0"/>
            <w:i w:val="0"/>
            <w:iCs w:val="0"/>
          </w:rPr>
          <w:t>عبدالله بن محمّد بن عبد اللطيف، قرن 12</w:t>
        </w:r>
        <w:r>
          <w:tab/>
        </w:r>
        <w:r>
          <w:fldChar w:fldCharType="begin"/>
        </w:r>
        <w:r>
          <w:instrText xml:space="preserve">PAGEREF 4948 \h</w:instrText>
        </w:r>
        <w:r>
          <w:fldChar w:fldCharType="end"/>
        </w:r>
      </w:hyperlink>
    </w:p>
    <w:p>
      <w:pPr>
        <w:tabs>
          <w:tab w:val="right" w:leader="dot" w:pos="9062"/>
        </w:tabs>
        <w:ind w:left="220"/>
      </w:pPr>
      <w:hyperlink w:anchor="_Toc4949" w:history="1">
        <w:r>
          <w:rPr>
            <w:rFonts w:ascii="IRNazanin" w:hAnsi="IRNazanin" w:eastAsia="IRNazanin" w:cs="IRNazanin"/>
            <w:color w:val="111111"/>
            <w:sz w:val="22"/>
            <w:szCs w:val="22"/>
            <w:b w:val="0"/>
            <w:bCs w:val="0"/>
            <w:i w:val="0"/>
            <w:iCs w:val="0"/>
          </w:rPr>
          <w:t>عبدالله بن مغيرة - 1355 ه-</w:t>
        </w:r>
        <w:r>
          <w:tab/>
        </w:r>
        <w:r>
          <w:fldChar w:fldCharType="begin"/>
        </w:r>
        <w:r>
          <w:instrText xml:space="preserve">PAGEREF 4949 \h</w:instrText>
        </w:r>
        <w:r>
          <w:fldChar w:fldCharType="end"/>
        </w:r>
      </w:hyperlink>
    </w:p>
    <w:p>
      <w:pPr>
        <w:tabs>
          <w:tab w:val="right" w:leader="dot" w:pos="9062"/>
        </w:tabs>
        <w:ind w:left="220"/>
      </w:pPr>
      <w:hyperlink w:anchor="_Toc4950" w:history="1">
        <w:r>
          <w:rPr>
            <w:rFonts w:ascii="IRNazanin" w:hAnsi="IRNazanin" w:eastAsia="IRNazanin" w:cs="IRNazanin"/>
            <w:color w:val="111111"/>
            <w:sz w:val="22"/>
            <w:szCs w:val="22"/>
            <w:b w:val="0"/>
            <w:bCs w:val="0"/>
            <w:i w:val="0"/>
            <w:iCs w:val="0"/>
          </w:rPr>
          <w:t>عبدالله بن نورالله</w:t>
        </w:r>
        <w:r>
          <w:tab/>
        </w:r>
        <w:r>
          <w:fldChar w:fldCharType="begin"/>
        </w:r>
        <w:r>
          <w:instrText xml:space="preserve">PAGEREF 4950 \h</w:instrText>
        </w:r>
        <w:r>
          <w:fldChar w:fldCharType="end"/>
        </w:r>
      </w:hyperlink>
    </w:p>
    <w:p>
      <w:pPr>
        <w:tabs>
          <w:tab w:val="right" w:leader="dot" w:pos="9062"/>
        </w:tabs>
        <w:ind w:left="220"/>
      </w:pPr>
      <w:hyperlink w:anchor="_Toc4951" w:history="1">
        <w:r>
          <w:rPr>
            <w:rFonts w:ascii="IRNazanin" w:hAnsi="IRNazanin" w:eastAsia="IRNazanin" w:cs="IRNazanin"/>
            <w:color w:val="111111"/>
            <w:sz w:val="22"/>
            <w:szCs w:val="22"/>
            <w:b w:val="0"/>
            <w:bCs w:val="0"/>
            <w:i w:val="0"/>
            <w:iCs w:val="0"/>
          </w:rPr>
          <w:t>عبدالله بن نور الله قرن 11 ه-</w:t>
        </w:r>
        <w:r>
          <w:tab/>
        </w:r>
        <w:r>
          <w:fldChar w:fldCharType="begin"/>
        </w:r>
        <w:r>
          <w:instrText xml:space="preserve">PAGEREF 4951 \h</w:instrText>
        </w:r>
        <w:r>
          <w:fldChar w:fldCharType="end"/>
        </w:r>
      </w:hyperlink>
    </w:p>
    <w:p>
      <w:pPr>
        <w:tabs>
          <w:tab w:val="right" w:leader="dot" w:pos="9062"/>
        </w:tabs>
        <w:ind w:left="220"/>
      </w:pPr>
      <w:hyperlink w:anchor="_Toc4952" w:history="1">
        <w:r>
          <w:rPr>
            <w:rFonts w:ascii="IRNazanin" w:hAnsi="IRNazanin" w:eastAsia="IRNazanin" w:cs="IRNazanin"/>
            <w:color w:val="111111"/>
            <w:sz w:val="22"/>
            <w:szCs w:val="22"/>
            <w:b w:val="0"/>
            <w:bCs w:val="0"/>
            <w:i w:val="0"/>
            <w:iCs w:val="0"/>
          </w:rPr>
          <w:t>عبدالله بن هلال</w:t>
        </w:r>
        <w:r>
          <w:tab/>
        </w:r>
        <w:r>
          <w:fldChar w:fldCharType="begin"/>
        </w:r>
        <w:r>
          <w:instrText xml:space="preserve">PAGEREF 4952 \h</w:instrText>
        </w:r>
        <w:r>
          <w:fldChar w:fldCharType="end"/>
        </w:r>
      </w:hyperlink>
    </w:p>
    <w:p>
      <w:pPr>
        <w:tabs>
          <w:tab w:val="right" w:leader="dot" w:pos="9062"/>
        </w:tabs>
        <w:ind w:left="220"/>
      </w:pPr>
      <w:hyperlink w:anchor="_Toc4953" w:history="1">
        <w:r>
          <w:rPr>
            <w:rFonts w:ascii="IRNazanin" w:hAnsi="IRNazanin" w:eastAsia="IRNazanin" w:cs="IRNazanin"/>
            <w:color w:val="111111"/>
            <w:sz w:val="22"/>
            <w:szCs w:val="22"/>
            <w:b w:val="0"/>
            <w:bCs w:val="0"/>
            <w:i w:val="0"/>
            <w:iCs w:val="0"/>
          </w:rPr>
          <w:t>عبدالله بن يوسف، قرن 12 ه-</w:t>
        </w:r>
        <w:r>
          <w:tab/>
        </w:r>
        <w:r>
          <w:fldChar w:fldCharType="begin"/>
        </w:r>
        <w:r>
          <w:instrText xml:space="preserve">PAGEREF 4953 \h</w:instrText>
        </w:r>
        <w:r>
          <w:fldChar w:fldCharType="end"/>
        </w:r>
      </w:hyperlink>
    </w:p>
    <w:p>
      <w:pPr>
        <w:tabs>
          <w:tab w:val="right" w:leader="dot" w:pos="9062"/>
        </w:tabs>
        <w:ind w:left="220"/>
      </w:pPr>
      <w:hyperlink w:anchor="_Toc4954" w:history="1">
        <w:r>
          <w:rPr>
            <w:rFonts w:ascii="IRNazanin" w:hAnsi="IRNazanin" w:eastAsia="IRNazanin" w:cs="IRNazanin"/>
            <w:color w:val="111111"/>
            <w:sz w:val="22"/>
            <w:szCs w:val="22"/>
            <w:b w:val="0"/>
            <w:bCs w:val="0"/>
            <w:i w:val="0"/>
            <w:iCs w:val="0"/>
          </w:rPr>
          <w:t>عبد المجيد بن لقمان</w:t>
        </w:r>
        <w:r>
          <w:tab/>
        </w:r>
        <w:r>
          <w:fldChar w:fldCharType="begin"/>
        </w:r>
        <w:r>
          <w:instrText xml:space="preserve">PAGEREF 4954 \h</w:instrText>
        </w:r>
        <w:r>
          <w:fldChar w:fldCharType="end"/>
        </w:r>
      </w:hyperlink>
    </w:p>
    <w:p>
      <w:pPr>
        <w:tabs>
          <w:tab w:val="right" w:leader="dot" w:pos="9062"/>
        </w:tabs>
        <w:ind w:left="220"/>
      </w:pPr>
      <w:hyperlink w:anchor="_Toc4955" w:history="1">
        <w:r>
          <w:rPr>
            <w:rFonts w:ascii="IRNazanin" w:hAnsi="IRNazanin" w:eastAsia="IRNazanin" w:cs="IRNazanin"/>
            <w:color w:val="111111"/>
            <w:sz w:val="22"/>
            <w:szCs w:val="22"/>
            <w:b w:val="0"/>
            <w:bCs w:val="0"/>
            <w:i w:val="0"/>
            <w:iCs w:val="0"/>
          </w:rPr>
          <w:t>عبد المجيد بن نعمان</w:t>
        </w:r>
        <w:r>
          <w:tab/>
        </w:r>
        <w:r>
          <w:fldChar w:fldCharType="begin"/>
        </w:r>
        <w:r>
          <w:instrText xml:space="preserve">PAGEREF 4955 \h</w:instrText>
        </w:r>
        <w:r>
          <w:fldChar w:fldCharType="end"/>
        </w:r>
      </w:hyperlink>
    </w:p>
    <w:p>
      <w:pPr>
        <w:tabs>
          <w:tab w:val="right" w:leader="dot" w:pos="9062"/>
        </w:tabs>
        <w:ind w:left="220"/>
      </w:pPr>
      <w:hyperlink w:anchor="_Toc4956" w:history="1">
        <w:r>
          <w:rPr>
            <w:rFonts w:ascii="IRNazanin" w:hAnsi="IRNazanin" w:eastAsia="IRNazanin" w:cs="IRNazanin"/>
            <w:color w:val="111111"/>
            <w:sz w:val="22"/>
            <w:szCs w:val="22"/>
            <w:b w:val="0"/>
            <w:bCs w:val="0"/>
            <w:i w:val="0"/>
            <w:iCs w:val="0"/>
          </w:rPr>
          <w:t>عبد المجيد دوم، سلطان عثماني، 1283 - 1363ه-</w:t>
        </w:r>
        <w:r>
          <w:tab/>
        </w:r>
        <w:r>
          <w:fldChar w:fldCharType="begin"/>
        </w:r>
        <w:r>
          <w:instrText xml:space="preserve">PAGEREF 4956 \h</w:instrText>
        </w:r>
        <w:r>
          <w:fldChar w:fldCharType="end"/>
        </w:r>
      </w:hyperlink>
    </w:p>
    <w:p>
      <w:pPr>
        <w:tabs>
          <w:tab w:val="right" w:leader="dot" w:pos="9062"/>
        </w:tabs>
        <w:ind w:left="220"/>
      </w:pPr>
      <w:hyperlink w:anchor="_Toc4957" w:history="1">
        <w:r>
          <w:rPr>
            <w:rFonts w:ascii="IRNazanin" w:hAnsi="IRNazanin" w:eastAsia="IRNazanin" w:cs="IRNazanin"/>
            <w:color w:val="111111"/>
            <w:sz w:val="22"/>
            <w:szCs w:val="22"/>
            <w:b w:val="0"/>
            <w:bCs w:val="0"/>
            <w:i w:val="0"/>
            <w:iCs w:val="0"/>
          </w:rPr>
          <w:t>عبد المحمود</w:t>
        </w:r>
        <w:r>
          <w:tab/>
        </w:r>
        <w:r>
          <w:fldChar w:fldCharType="begin"/>
        </w:r>
        <w:r>
          <w:instrText xml:space="preserve">PAGEREF 4957 \h</w:instrText>
        </w:r>
        <w:r>
          <w:fldChar w:fldCharType="end"/>
        </w:r>
      </w:hyperlink>
    </w:p>
    <w:p>
      <w:pPr>
        <w:tabs>
          <w:tab w:val="right" w:leader="dot" w:pos="9062"/>
        </w:tabs>
        <w:ind w:left="220"/>
      </w:pPr>
      <w:hyperlink w:anchor="_Toc4958" w:history="1">
        <w:r>
          <w:rPr>
            <w:rFonts w:ascii="IRNazanin" w:hAnsi="IRNazanin" w:eastAsia="IRNazanin" w:cs="IRNazanin"/>
            <w:color w:val="111111"/>
            <w:sz w:val="22"/>
            <w:szCs w:val="22"/>
            <w:b w:val="0"/>
            <w:bCs w:val="0"/>
            <w:i w:val="0"/>
            <w:iCs w:val="0"/>
          </w:rPr>
          <w:t>عبد النافع</w:t>
        </w:r>
        <w:r>
          <w:tab/>
        </w:r>
        <w:r>
          <w:fldChar w:fldCharType="begin"/>
        </w:r>
        <w:r>
          <w:instrText xml:space="preserve">PAGEREF 4958 \h</w:instrText>
        </w:r>
        <w:r>
          <w:fldChar w:fldCharType="end"/>
        </w:r>
      </w:hyperlink>
    </w:p>
    <w:p>
      <w:pPr>
        <w:tabs>
          <w:tab w:val="right" w:leader="dot" w:pos="9062"/>
        </w:tabs>
        <w:ind w:left="220"/>
      </w:pPr>
      <w:hyperlink w:anchor="_Toc4959" w:history="1">
        <w:r>
          <w:rPr>
            <w:rFonts w:ascii="IRNazanin" w:hAnsi="IRNazanin" w:eastAsia="IRNazanin" w:cs="IRNazanin"/>
            <w:color w:val="111111"/>
            <w:sz w:val="22"/>
            <w:szCs w:val="22"/>
            <w:b w:val="0"/>
            <w:bCs w:val="0"/>
            <w:i w:val="0"/>
            <w:iCs w:val="0"/>
          </w:rPr>
          <w:t>عبد الوهاب، قرن 11 ه-</w:t>
        </w:r>
        <w:r>
          <w:tab/>
        </w:r>
        <w:r>
          <w:fldChar w:fldCharType="begin"/>
        </w:r>
        <w:r>
          <w:instrText xml:space="preserve">PAGEREF 4959 \h</w:instrText>
        </w:r>
        <w:r>
          <w:fldChar w:fldCharType="end"/>
        </w:r>
      </w:hyperlink>
    </w:p>
    <w:p>
      <w:pPr>
        <w:tabs>
          <w:tab w:val="right" w:leader="dot" w:pos="9062"/>
        </w:tabs>
        <w:ind w:left="220"/>
      </w:pPr>
      <w:hyperlink w:anchor="_Toc4960" w:history="1">
        <w:r>
          <w:rPr>
            <w:rFonts w:ascii="IRNazanin" w:hAnsi="IRNazanin" w:eastAsia="IRNazanin" w:cs="IRNazanin"/>
            <w:color w:val="111111"/>
            <w:sz w:val="22"/>
            <w:szCs w:val="22"/>
            <w:b w:val="0"/>
            <w:bCs w:val="0"/>
            <w:i w:val="0"/>
            <w:iCs w:val="0"/>
          </w:rPr>
          <w:t>عبد الوهاب بن تقي الدين - 771 ه-</w:t>
        </w:r>
        <w:r>
          <w:tab/>
        </w:r>
        <w:r>
          <w:fldChar w:fldCharType="begin"/>
        </w:r>
        <w:r>
          <w:instrText xml:space="preserve">PAGEREF 4960 \h</w:instrText>
        </w:r>
        <w:r>
          <w:fldChar w:fldCharType="end"/>
        </w:r>
      </w:hyperlink>
    </w:p>
    <w:p>
      <w:pPr>
        <w:tabs>
          <w:tab w:val="right" w:leader="dot" w:pos="9062"/>
        </w:tabs>
        <w:ind w:left="220"/>
      </w:pPr>
      <w:hyperlink w:anchor="_Toc4961" w:history="1">
        <w:r>
          <w:rPr>
            <w:rFonts w:ascii="IRNazanin" w:hAnsi="IRNazanin" w:eastAsia="IRNazanin" w:cs="IRNazanin"/>
            <w:color w:val="111111"/>
            <w:sz w:val="22"/>
            <w:szCs w:val="22"/>
            <w:b w:val="0"/>
            <w:bCs w:val="0"/>
            <w:i w:val="0"/>
            <w:iCs w:val="0"/>
          </w:rPr>
          <w:t>عبدري ، احمد بن علي - 678 ه-</w:t>
        </w:r>
        <w:r>
          <w:tab/>
        </w:r>
        <w:r>
          <w:fldChar w:fldCharType="begin"/>
        </w:r>
        <w:r>
          <w:instrText xml:space="preserve">PAGEREF 4961 \h</w:instrText>
        </w:r>
        <w:r>
          <w:fldChar w:fldCharType="end"/>
        </w:r>
      </w:hyperlink>
    </w:p>
    <w:p>
      <w:pPr>
        <w:tabs>
          <w:tab w:val="right" w:leader="dot" w:pos="9062"/>
        </w:tabs>
        <w:ind w:left="220"/>
      </w:pPr>
      <w:hyperlink w:anchor="_Toc4962" w:history="1">
        <w:r>
          <w:rPr>
            <w:rFonts w:ascii="IRNazanin" w:hAnsi="IRNazanin" w:eastAsia="IRNazanin" w:cs="IRNazanin"/>
            <w:color w:val="111111"/>
            <w:sz w:val="22"/>
            <w:szCs w:val="22"/>
            <w:b w:val="0"/>
            <w:bCs w:val="0"/>
            <w:i w:val="0"/>
            <w:iCs w:val="0"/>
          </w:rPr>
          <w:t>العبد ، شمس</w:t>
        </w:r>
        <w:r>
          <w:tab/>
        </w:r>
        <w:r>
          <w:fldChar w:fldCharType="begin"/>
        </w:r>
        <w:r>
          <w:instrText xml:space="preserve">PAGEREF 4962 \h</w:instrText>
        </w:r>
        <w:r>
          <w:fldChar w:fldCharType="end"/>
        </w:r>
      </w:hyperlink>
    </w:p>
    <w:p>
      <w:pPr>
        <w:tabs>
          <w:tab w:val="right" w:leader="dot" w:pos="9062"/>
        </w:tabs>
        <w:ind w:left="220"/>
      </w:pPr>
      <w:hyperlink w:anchor="_Toc4963" w:history="1">
        <w:r>
          <w:rPr>
            <w:rFonts w:ascii="IRNazanin" w:hAnsi="IRNazanin" w:eastAsia="IRNazanin" w:cs="IRNazanin"/>
            <w:color w:val="111111"/>
            <w:sz w:val="22"/>
            <w:szCs w:val="22"/>
            <w:b w:val="0"/>
            <w:bCs w:val="0"/>
            <w:i w:val="0"/>
            <w:iCs w:val="0"/>
          </w:rPr>
          <w:t>عبد عباس بیمقدار محمّد قرن 13 ه-</w:t>
        </w:r>
        <w:r>
          <w:tab/>
        </w:r>
        <w:r>
          <w:fldChar w:fldCharType="begin"/>
        </w:r>
        <w:r>
          <w:instrText xml:space="preserve">PAGEREF 4963 \h</w:instrText>
        </w:r>
        <w:r>
          <w:fldChar w:fldCharType="end"/>
        </w:r>
      </w:hyperlink>
    </w:p>
    <w:p>
      <w:pPr>
        <w:tabs>
          <w:tab w:val="right" w:leader="dot" w:pos="9062"/>
        </w:tabs>
        <w:ind w:left="220"/>
      </w:pPr>
      <w:hyperlink w:anchor="_Toc4964" w:history="1">
        <w:r>
          <w:rPr>
            <w:rFonts w:ascii="IRNazanin" w:hAnsi="IRNazanin" w:eastAsia="IRNazanin" w:cs="IRNazanin"/>
            <w:color w:val="111111"/>
            <w:sz w:val="22"/>
            <w:szCs w:val="22"/>
            <w:b w:val="0"/>
            <w:bCs w:val="0"/>
            <w:i w:val="0"/>
            <w:iCs w:val="0"/>
          </w:rPr>
          <w:t>عبدلاني ، حسن بن ،رسول قرن 14 ه-</w:t>
        </w:r>
        <w:r>
          <w:tab/>
        </w:r>
        <w:r>
          <w:fldChar w:fldCharType="begin"/>
        </w:r>
        <w:r>
          <w:instrText xml:space="preserve">PAGEREF 4964 \h</w:instrText>
        </w:r>
        <w:r>
          <w:fldChar w:fldCharType="end"/>
        </w:r>
      </w:hyperlink>
    </w:p>
    <w:p>
      <w:pPr>
        <w:tabs>
          <w:tab w:val="right" w:leader="dot" w:pos="9062"/>
        </w:tabs>
        <w:ind w:left="220"/>
      </w:pPr>
      <w:hyperlink w:anchor="_Toc4965" w:history="1">
        <w:r>
          <w:rPr>
            <w:rFonts w:ascii="IRNazanin" w:hAnsi="IRNazanin" w:eastAsia="IRNazanin" w:cs="IRNazanin"/>
            <w:color w:val="111111"/>
            <w:sz w:val="22"/>
            <w:szCs w:val="22"/>
            <w:b w:val="0"/>
            <w:bCs w:val="0"/>
            <w:i w:val="0"/>
            <w:iCs w:val="0"/>
          </w:rPr>
          <w:t>عبدلي ، محمّد بن قاسم - 1156 ه-</w:t>
        </w:r>
        <w:r>
          <w:tab/>
        </w:r>
        <w:r>
          <w:fldChar w:fldCharType="begin"/>
        </w:r>
        <w:r>
          <w:instrText xml:space="preserve">PAGEREF 4965 \h</w:instrText>
        </w:r>
        <w:r>
          <w:fldChar w:fldCharType="end"/>
        </w:r>
      </w:hyperlink>
    </w:p>
    <w:p>
      <w:pPr>
        <w:tabs>
          <w:tab w:val="right" w:leader="dot" w:pos="9062"/>
        </w:tabs>
        <w:ind w:left="220"/>
      </w:pPr>
      <w:hyperlink w:anchor="_Toc4966" w:history="1">
        <w:r>
          <w:rPr>
            <w:rFonts w:ascii="IRNazanin" w:hAnsi="IRNazanin" w:eastAsia="IRNazanin" w:cs="IRNazanin"/>
            <w:color w:val="111111"/>
            <w:sz w:val="22"/>
            <w:szCs w:val="22"/>
            <w:b w:val="0"/>
            <w:bCs w:val="0"/>
            <w:i w:val="0"/>
            <w:iCs w:val="0"/>
          </w:rPr>
          <w:t>عبده ، محمّد، 1266 - 1323 ه-</w:t>
        </w:r>
        <w:r>
          <w:tab/>
        </w:r>
        <w:r>
          <w:fldChar w:fldCharType="begin"/>
        </w:r>
        <w:r>
          <w:instrText xml:space="preserve">PAGEREF 4966 \h</w:instrText>
        </w:r>
        <w:r>
          <w:fldChar w:fldCharType="end"/>
        </w:r>
      </w:hyperlink>
    </w:p>
    <w:p>
      <w:pPr>
        <w:tabs>
          <w:tab w:val="right" w:leader="dot" w:pos="9062"/>
        </w:tabs>
        <w:ind w:left="220"/>
      </w:pPr>
      <w:hyperlink w:anchor="_Toc4967" w:history="1">
        <w:r>
          <w:rPr>
            <w:rFonts w:ascii="IRNazanin" w:hAnsi="IRNazanin" w:eastAsia="IRNazanin" w:cs="IRNazanin"/>
            <w:color w:val="111111"/>
            <w:sz w:val="22"/>
            <w:szCs w:val="22"/>
            <w:b w:val="0"/>
            <w:bCs w:val="0"/>
            <w:i w:val="0"/>
            <w:iCs w:val="0"/>
          </w:rPr>
          <w:t>عبدي قرن 9 ه-</w:t>
        </w:r>
        <w:r>
          <w:tab/>
        </w:r>
        <w:r>
          <w:fldChar w:fldCharType="begin"/>
        </w:r>
        <w:r>
          <w:instrText xml:space="preserve">PAGEREF 4967 \h</w:instrText>
        </w:r>
        <w:r>
          <w:fldChar w:fldCharType="end"/>
        </w:r>
      </w:hyperlink>
    </w:p>
    <w:p>
      <w:pPr>
        <w:tabs>
          <w:tab w:val="right" w:leader="dot" w:pos="9062"/>
        </w:tabs>
        <w:ind w:left="220"/>
      </w:pPr>
      <w:hyperlink w:anchor="_Toc4968" w:history="1">
        <w:r>
          <w:rPr>
            <w:rFonts w:ascii="IRNazanin" w:hAnsi="IRNazanin" w:eastAsia="IRNazanin" w:cs="IRNazanin"/>
            <w:color w:val="111111"/>
            <w:sz w:val="22"/>
            <w:szCs w:val="22"/>
            <w:b w:val="0"/>
            <w:bCs w:val="0"/>
            <w:i w:val="0"/>
            <w:iCs w:val="0"/>
          </w:rPr>
          <w:t>عبدي ،پاشا ، عبدالرحمن - 1103 ه-</w:t>
        </w:r>
        <w:r>
          <w:tab/>
        </w:r>
        <w:r>
          <w:fldChar w:fldCharType="begin"/>
        </w:r>
        <w:r>
          <w:instrText xml:space="preserve">PAGEREF 4968 \h</w:instrText>
        </w:r>
        <w:r>
          <w:fldChar w:fldCharType="end"/>
        </w:r>
      </w:hyperlink>
    </w:p>
    <w:p>
      <w:pPr>
        <w:tabs>
          <w:tab w:val="right" w:leader="dot" w:pos="9062"/>
        </w:tabs>
        <w:ind w:left="220"/>
      </w:pPr>
      <w:hyperlink w:anchor="_Toc4969" w:history="1">
        <w:r>
          <w:rPr>
            <w:rFonts w:ascii="IRNazanin" w:hAnsi="IRNazanin" w:eastAsia="IRNazanin" w:cs="IRNazanin"/>
            <w:color w:val="111111"/>
            <w:sz w:val="22"/>
            <w:szCs w:val="22"/>
            <w:b w:val="0"/>
            <w:bCs w:val="0"/>
            <w:i w:val="0"/>
            <w:iCs w:val="0"/>
          </w:rPr>
          <w:t>عبدي جاهلي ، بشر بن عوانة</w:t>
        </w:r>
        <w:r>
          <w:tab/>
        </w:r>
        <w:r>
          <w:fldChar w:fldCharType="begin"/>
        </w:r>
        <w:r>
          <w:instrText xml:space="preserve">PAGEREF 4969 \h</w:instrText>
        </w:r>
        <w:r>
          <w:fldChar w:fldCharType="end"/>
        </w:r>
      </w:hyperlink>
    </w:p>
    <w:p>
      <w:pPr>
        <w:tabs>
          <w:tab w:val="right" w:leader="dot" w:pos="9062"/>
        </w:tabs>
        <w:ind w:left="220"/>
      </w:pPr>
      <w:hyperlink w:anchor="_Toc4970" w:history="1">
        <w:r>
          <w:rPr>
            <w:rFonts w:ascii="IRNazanin" w:hAnsi="IRNazanin" w:eastAsia="IRNazanin" w:cs="IRNazanin"/>
            <w:color w:val="111111"/>
            <w:sz w:val="22"/>
            <w:szCs w:val="22"/>
            <w:b w:val="0"/>
            <w:bCs w:val="0"/>
            <w:i w:val="0"/>
            <w:iCs w:val="0"/>
          </w:rPr>
          <w:t>عبدي ، حسن بن عرفه - 257 ه-</w:t>
        </w:r>
        <w:r>
          <w:tab/>
        </w:r>
        <w:r>
          <w:fldChar w:fldCharType="begin"/>
        </w:r>
        <w:r>
          <w:instrText xml:space="preserve">PAGEREF 4970 \h</w:instrText>
        </w:r>
        <w:r>
          <w:fldChar w:fldCharType="end"/>
        </w:r>
      </w:hyperlink>
    </w:p>
    <w:p>
      <w:pPr>
        <w:tabs>
          <w:tab w:val="right" w:leader="dot" w:pos="9062"/>
        </w:tabs>
        <w:ind w:left="220"/>
      </w:pPr>
      <w:hyperlink w:anchor="_Toc4971" w:history="1">
        <w:r>
          <w:rPr>
            <w:rFonts w:ascii="IRNazanin" w:hAnsi="IRNazanin" w:eastAsia="IRNazanin" w:cs="IRNazanin"/>
            <w:color w:val="111111"/>
            <w:sz w:val="22"/>
            <w:szCs w:val="22"/>
            <w:b w:val="0"/>
            <w:bCs w:val="0"/>
            <w:i w:val="0"/>
            <w:iCs w:val="0"/>
          </w:rPr>
          <w:t>عبديشوع بن ابراهيم</w:t>
        </w:r>
        <w:r>
          <w:tab/>
        </w:r>
        <w:r>
          <w:fldChar w:fldCharType="begin"/>
        </w:r>
        <w:r>
          <w:instrText xml:space="preserve">PAGEREF 4971 \h</w:instrText>
        </w:r>
        <w:r>
          <w:fldChar w:fldCharType="end"/>
        </w:r>
      </w:hyperlink>
    </w:p>
    <w:p>
      <w:pPr>
        <w:tabs>
          <w:tab w:val="right" w:leader="dot" w:pos="9062"/>
        </w:tabs>
        <w:ind w:left="220"/>
      </w:pPr>
      <w:hyperlink w:anchor="_Toc4972" w:history="1">
        <w:r>
          <w:rPr>
            <w:rFonts w:ascii="IRNazanin" w:hAnsi="IRNazanin" w:eastAsia="IRNazanin" w:cs="IRNazanin"/>
            <w:color w:val="111111"/>
            <w:sz w:val="22"/>
            <w:szCs w:val="22"/>
            <w:b w:val="0"/>
            <w:bCs w:val="0"/>
            <w:i w:val="0"/>
            <w:iCs w:val="0"/>
          </w:rPr>
          <w:t>عبري ، عبيد الله بن محمّد - 743 ه-</w:t>
        </w:r>
        <w:r>
          <w:tab/>
        </w:r>
        <w:r>
          <w:fldChar w:fldCharType="begin"/>
        </w:r>
        <w:r>
          <w:instrText xml:space="preserve">PAGEREF 4972 \h</w:instrText>
        </w:r>
        <w:r>
          <w:fldChar w:fldCharType="end"/>
        </w:r>
      </w:hyperlink>
    </w:p>
    <w:p>
      <w:pPr>
        <w:tabs>
          <w:tab w:val="right" w:leader="dot" w:pos="9062"/>
        </w:tabs>
        <w:ind w:left="220"/>
      </w:pPr>
      <w:hyperlink w:anchor="_Toc4973" w:history="1">
        <w:r>
          <w:rPr>
            <w:rFonts w:ascii="IRNazanin" w:hAnsi="IRNazanin" w:eastAsia="IRNazanin" w:cs="IRNazanin"/>
            <w:color w:val="111111"/>
            <w:sz w:val="22"/>
            <w:szCs w:val="22"/>
            <w:b w:val="0"/>
            <w:bCs w:val="0"/>
            <w:i w:val="0"/>
            <w:iCs w:val="0"/>
          </w:rPr>
          <w:t>عبسي ، محمّد بن عثمان - 297 ه-</w:t>
        </w:r>
        <w:r>
          <w:tab/>
        </w:r>
        <w:r>
          <w:fldChar w:fldCharType="begin"/>
        </w:r>
        <w:r>
          <w:instrText xml:space="preserve">PAGEREF 4973 \h</w:instrText>
        </w:r>
        <w:r>
          <w:fldChar w:fldCharType="end"/>
        </w:r>
      </w:hyperlink>
    </w:p>
    <w:p>
      <w:pPr>
        <w:tabs>
          <w:tab w:val="right" w:leader="dot" w:pos="9062"/>
        </w:tabs>
        <w:ind w:left="220"/>
      </w:pPr>
      <w:hyperlink w:anchor="_Toc4974" w:history="1">
        <w:r>
          <w:rPr>
            <w:rFonts w:ascii="IRNazanin" w:hAnsi="IRNazanin" w:eastAsia="IRNazanin" w:cs="IRNazanin"/>
            <w:color w:val="111111"/>
            <w:sz w:val="22"/>
            <w:szCs w:val="22"/>
            <w:b w:val="0"/>
            <w:bCs w:val="0"/>
            <w:i w:val="0"/>
            <w:iCs w:val="0"/>
          </w:rPr>
          <w:t>عبود عبادي قرن 14 ه-</w:t>
        </w:r>
        <w:r>
          <w:tab/>
        </w:r>
        <w:r>
          <w:fldChar w:fldCharType="begin"/>
        </w:r>
        <w:r>
          <w:instrText xml:space="preserve">PAGEREF 4974 \h</w:instrText>
        </w:r>
        <w:r>
          <w:fldChar w:fldCharType="end"/>
        </w:r>
      </w:hyperlink>
    </w:p>
    <w:p>
      <w:pPr>
        <w:tabs>
          <w:tab w:val="right" w:leader="dot" w:pos="9062"/>
        </w:tabs>
        <w:ind w:left="220"/>
      </w:pPr>
      <w:hyperlink w:anchor="_Toc4975" w:history="1">
        <w:r>
          <w:rPr>
            <w:rFonts w:ascii="IRNazanin" w:hAnsi="IRNazanin" w:eastAsia="IRNazanin" w:cs="IRNazanin"/>
            <w:color w:val="111111"/>
            <w:sz w:val="22"/>
            <w:szCs w:val="22"/>
            <w:b w:val="0"/>
            <w:bCs w:val="0"/>
            <w:i w:val="0"/>
            <w:iCs w:val="0"/>
          </w:rPr>
          <w:t>عبیدالله بن خليل</w:t>
        </w:r>
        <w:r>
          <w:tab/>
        </w:r>
        <w:r>
          <w:fldChar w:fldCharType="begin"/>
        </w:r>
        <w:r>
          <w:instrText xml:space="preserve">PAGEREF 4975 \h</w:instrText>
        </w:r>
        <w:r>
          <w:fldChar w:fldCharType="end"/>
        </w:r>
      </w:hyperlink>
    </w:p>
    <w:p>
      <w:pPr>
        <w:tabs>
          <w:tab w:val="right" w:leader="dot" w:pos="9062"/>
        </w:tabs>
        <w:ind w:left="220"/>
      </w:pPr>
      <w:hyperlink w:anchor="_Toc4976" w:history="1">
        <w:r>
          <w:rPr>
            <w:rFonts w:ascii="IRNazanin" w:hAnsi="IRNazanin" w:eastAsia="IRNazanin" w:cs="IRNazanin"/>
            <w:color w:val="111111"/>
            <w:sz w:val="22"/>
            <w:szCs w:val="22"/>
            <w:b w:val="0"/>
            <w:bCs w:val="0"/>
            <w:i w:val="0"/>
            <w:iCs w:val="0"/>
          </w:rPr>
          <w:t>عبيد زاكاني ، عبيدالله - 772 ه-</w:t>
        </w:r>
        <w:r>
          <w:tab/>
        </w:r>
        <w:r>
          <w:fldChar w:fldCharType="begin"/>
        </w:r>
        <w:r>
          <w:instrText xml:space="preserve">PAGEREF 4976 \h</w:instrText>
        </w:r>
        <w:r>
          <w:fldChar w:fldCharType="end"/>
        </w:r>
      </w:hyperlink>
    </w:p>
    <w:p>
      <w:pPr>
        <w:tabs>
          <w:tab w:val="right" w:leader="dot" w:pos="9062"/>
        </w:tabs>
        <w:ind w:left="220"/>
      </w:pPr>
      <w:hyperlink w:anchor="_Toc4977" w:history="1">
        <w:r>
          <w:rPr>
            <w:rFonts w:ascii="IRNazanin" w:hAnsi="IRNazanin" w:eastAsia="IRNazanin" w:cs="IRNazanin"/>
            <w:color w:val="111111"/>
            <w:sz w:val="22"/>
            <w:szCs w:val="22"/>
            <w:b w:val="0"/>
            <w:bCs w:val="0"/>
            <w:i w:val="0"/>
            <w:iCs w:val="0"/>
          </w:rPr>
          <w:t>عبيدي، ابراهيم بن عامر - 1091 ه-</w:t>
        </w:r>
        <w:r>
          <w:tab/>
        </w:r>
        <w:r>
          <w:fldChar w:fldCharType="begin"/>
        </w:r>
        <w:r>
          <w:instrText xml:space="preserve">PAGEREF 4977 \h</w:instrText>
        </w:r>
        <w:r>
          <w:fldChar w:fldCharType="end"/>
        </w:r>
      </w:hyperlink>
    </w:p>
    <w:p>
      <w:pPr>
        <w:tabs>
          <w:tab w:val="right" w:leader="dot" w:pos="9062"/>
        </w:tabs>
        <w:ind w:left="220"/>
      </w:pPr>
      <w:hyperlink w:anchor="_Toc4978" w:history="1">
        <w:r>
          <w:rPr>
            <w:rFonts w:ascii="IRNazanin" w:hAnsi="IRNazanin" w:eastAsia="IRNazanin" w:cs="IRNazanin"/>
            <w:color w:val="111111"/>
            <w:sz w:val="22"/>
            <w:szCs w:val="22"/>
            <w:b w:val="0"/>
            <w:bCs w:val="0"/>
            <w:i w:val="0"/>
            <w:iCs w:val="0"/>
          </w:rPr>
          <w:t>عبيدي، سليمان بن عبدالله</w:t>
        </w:r>
        <w:r>
          <w:tab/>
        </w:r>
        <w:r>
          <w:fldChar w:fldCharType="begin"/>
        </w:r>
        <w:r>
          <w:instrText xml:space="preserve">PAGEREF 4978 \h</w:instrText>
        </w:r>
        <w:r>
          <w:fldChar w:fldCharType="end"/>
        </w:r>
      </w:hyperlink>
    </w:p>
    <w:p>
      <w:pPr>
        <w:tabs>
          <w:tab w:val="right" w:leader="dot" w:pos="9062"/>
        </w:tabs>
        <w:ind w:left="220"/>
      </w:pPr>
      <w:hyperlink w:anchor="_Toc4979" w:history="1">
        <w:r>
          <w:rPr>
            <w:rFonts w:ascii="IRNazanin" w:hAnsi="IRNazanin" w:eastAsia="IRNazanin" w:cs="IRNazanin"/>
            <w:color w:val="111111"/>
            <w:sz w:val="22"/>
            <w:szCs w:val="22"/>
            <w:b w:val="0"/>
            <w:bCs w:val="0"/>
            <w:i w:val="0"/>
            <w:iCs w:val="0"/>
          </w:rPr>
          <w:t>عبيدي ، عبيدالله بن عبدالكافي، قرن 8 ه-</w:t>
        </w:r>
        <w:r>
          <w:tab/>
        </w:r>
        <w:r>
          <w:fldChar w:fldCharType="begin"/>
        </w:r>
        <w:r>
          <w:instrText xml:space="preserve">PAGEREF 4979 \h</w:instrText>
        </w:r>
        <w:r>
          <w:fldChar w:fldCharType="end"/>
        </w:r>
      </w:hyperlink>
    </w:p>
    <w:p>
      <w:pPr>
        <w:tabs>
          <w:tab w:val="right" w:leader="dot" w:pos="9062"/>
        </w:tabs>
        <w:ind w:left="220"/>
      </w:pPr>
      <w:hyperlink w:anchor="_Toc4980" w:history="1">
        <w:r>
          <w:rPr>
            <w:rFonts w:ascii="IRNazanin" w:hAnsi="IRNazanin" w:eastAsia="IRNazanin" w:cs="IRNazanin"/>
            <w:color w:val="111111"/>
            <w:sz w:val="22"/>
            <w:szCs w:val="22"/>
            <w:b w:val="0"/>
            <w:bCs w:val="0"/>
            <w:i w:val="0"/>
            <w:iCs w:val="0"/>
          </w:rPr>
          <w:t>عبيدي ، فضل الله بن عبد الرحيم قرن 8</w:t>
        </w:r>
        <w:r>
          <w:tab/>
        </w:r>
        <w:r>
          <w:fldChar w:fldCharType="begin"/>
        </w:r>
        <w:r>
          <w:instrText xml:space="preserve">PAGEREF 4980 \h</w:instrText>
        </w:r>
        <w:r>
          <w:fldChar w:fldCharType="end"/>
        </w:r>
      </w:hyperlink>
    </w:p>
    <w:p>
      <w:pPr>
        <w:tabs>
          <w:tab w:val="right" w:leader="dot" w:pos="9062"/>
        </w:tabs>
        <w:ind w:left="220"/>
      </w:pPr>
      <w:hyperlink w:anchor="_Toc4981" w:history="1">
        <w:r>
          <w:rPr>
            <w:rFonts w:ascii="IRNazanin" w:hAnsi="IRNazanin" w:eastAsia="IRNazanin" w:cs="IRNazanin"/>
            <w:color w:val="111111"/>
            <w:sz w:val="22"/>
            <w:szCs w:val="22"/>
            <w:b w:val="0"/>
            <w:bCs w:val="0"/>
            <w:i w:val="0"/>
            <w:iCs w:val="0"/>
          </w:rPr>
          <w:t>عتايقي ، عبد الرحمن بن محمّد 699 -</w:t>
        </w:r>
        <w:r>
          <w:tab/>
        </w:r>
        <w:r>
          <w:fldChar w:fldCharType="begin"/>
        </w:r>
        <w:r>
          <w:instrText xml:space="preserve">PAGEREF 4981 \h</w:instrText>
        </w:r>
        <w:r>
          <w:fldChar w:fldCharType="end"/>
        </w:r>
      </w:hyperlink>
    </w:p>
    <w:p>
      <w:pPr>
        <w:tabs>
          <w:tab w:val="right" w:leader="dot" w:pos="9062"/>
        </w:tabs>
        <w:ind w:left="220"/>
      </w:pPr>
      <w:hyperlink w:anchor="_Toc4982" w:history="1">
        <w:r>
          <w:rPr>
            <w:rFonts w:ascii="IRNazanin" w:hAnsi="IRNazanin" w:eastAsia="IRNazanin" w:cs="IRNazanin"/>
            <w:color w:val="111111"/>
            <w:sz w:val="22"/>
            <w:szCs w:val="22"/>
            <w:b w:val="0"/>
            <w:bCs w:val="0"/>
            <w:i w:val="0"/>
            <w:iCs w:val="0"/>
          </w:rPr>
          <w:t>عتبي ، محمّد بن عبد الجبار، 350 - 427</w:t>
        </w:r>
        <w:r>
          <w:tab/>
        </w:r>
        <w:r>
          <w:fldChar w:fldCharType="begin"/>
        </w:r>
        <w:r>
          <w:instrText xml:space="preserve">PAGEREF 4982 \h</w:instrText>
        </w:r>
        <w:r>
          <w:fldChar w:fldCharType="end"/>
        </w:r>
      </w:hyperlink>
    </w:p>
    <w:p>
      <w:pPr>
        <w:tabs>
          <w:tab w:val="right" w:leader="dot" w:pos="9062"/>
        </w:tabs>
        <w:ind w:left="220"/>
      </w:pPr>
      <w:hyperlink w:anchor="_Toc4983" w:history="1">
        <w:r>
          <w:rPr>
            <w:rFonts w:ascii="IRNazanin" w:hAnsi="IRNazanin" w:eastAsia="IRNazanin" w:cs="IRNazanin"/>
            <w:color w:val="111111"/>
            <w:sz w:val="22"/>
            <w:szCs w:val="22"/>
            <w:b w:val="0"/>
            <w:bCs w:val="0"/>
            <w:i w:val="0"/>
            <w:iCs w:val="0"/>
          </w:rPr>
          <w:t>عثمان بن عفان - 35 ه-</w:t>
        </w:r>
        <w:r>
          <w:tab/>
        </w:r>
        <w:r>
          <w:fldChar w:fldCharType="begin"/>
        </w:r>
        <w:r>
          <w:instrText xml:space="preserve">PAGEREF 4983 \h</w:instrText>
        </w:r>
        <w:r>
          <w:fldChar w:fldCharType="end"/>
        </w:r>
      </w:hyperlink>
    </w:p>
    <w:p>
      <w:pPr>
        <w:tabs>
          <w:tab w:val="right" w:leader="dot" w:pos="9062"/>
        </w:tabs>
        <w:ind w:left="220"/>
      </w:pPr>
      <w:hyperlink w:anchor="_Toc4984" w:history="1">
        <w:r>
          <w:rPr>
            <w:rFonts w:ascii="IRNazanin" w:hAnsi="IRNazanin" w:eastAsia="IRNazanin" w:cs="IRNazanin"/>
            <w:color w:val="111111"/>
            <w:sz w:val="22"/>
            <w:szCs w:val="22"/>
            <w:b w:val="0"/>
            <w:bCs w:val="0"/>
            <w:i w:val="0"/>
            <w:iCs w:val="0"/>
          </w:rPr>
          <w:t>عثمان زاده، احمد تائب بن عثمان</w:t>
        </w:r>
        <w:r>
          <w:tab/>
        </w:r>
        <w:r>
          <w:fldChar w:fldCharType="begin"/>
        </w:r>
        <w:r>
          <w:instrText xml:space="preserve">PAGEREF 4984 \h</w:instrText>
        </w:r>
        <w:r>
          <w:fldChar w:fldCharType="end"/>
        </w:r>
      </w:hyperlink>
    </w:p>
    <w:p>
      <w:pPr>
        <w:tabs>
          <w:tab w:val="right" w:leader="dot" w:pos="9062"/>
        </w:tabs>
        <w:ind w:left="220"/>
      </w:pPr>
      <w:hyperlink w:anchor="_Toc4985" w:history="1">
        <w:r>
          <w:rPr>
            <w:rFonts w:ascii="IRNazanin" w:hAnsi="IRNazanin" w:eastAsia="IRNazanin" w:cs="IRNazanin"/>
            <w:color w:val="111111"/>
            <w:sz w:val="22"/>
            <w:szCs w:val="22"/>
            <w:b w:val="0"/>
            <w:bCs w:val="0"/>
            <w:i w:val="0"/>
            <w:iCs w:val="0"/>
          </w:rPr>
          <w:t>عثماني ، تاج الدين بن زكريا - 1050ه-</w:t>
        </w:r>
        <w:r>
          <w:tab/>
        </w:r>
        <w:r>
          <w:fldChar w:fldCharType="begin"/>
        </w:r>
        <w:r>
          <w:instrText xml:space="preserve">PAGEREF 4985 \h</w:instrText>
        </w:r>
        <w:r>
          <w:fldChar w:fldCharType="end"/>
        </w:r>
      </w:hyperlink>
    </w:p>
    <w:p>
      <w:pPr>
        <w:tabs>
          <w:tab w:val="right" w:leader="dot" w:pos="9062"/>
        </w:tabs>
        <w:ind w:left="220"/>
      </w:pPr>
      <w:hyperlink w:anchor="_Toc4986" w:history="1">
        <w:r>
          <w:rPr>
            <w:rFonts w:ascii="IRNazanin" w:hAnsi="IRNazanin" w:eastAsia="IRNazanin" w:cs="IRNazanin"/>
            <w:color w:val="111111"/>
            <w:sz w:val="22"/>
            <w:szCs w:val="22"/>
            <w:b w:val="0"/>
            <w:bCs w:val="0"/>
            <w:i w:val="0"/>
            <w:iCs w:val="0"/>
          </w:rPr>
          <w:t>عثماني لبكني ، عماد الدين قرن 13 ه-</w:t>
        </w:r>
        <w:r>
          <w:tab/>
        </w:r>
        <w:r>
          <w:fldChar w:fldCharType="begin"/>
        </w:r>
        <w:r>
          <w:instrText xml:space="preserve">PAGEREF 4986 \h</w:instrText>
        </w:r>
        <w:r>
          <w:fldChar w:fldCharType="end"/>
        </w:r>
      </w:hyperlink>
    </w:p>
    <w:p>
      <w:pPr>
        <w:tabs>
          <w:tab w:val="right" w:leader="dot" w:pos="9062"/>
        </w:tabs>
        <w:ind w:left="220"/>
      </w:pPr>
      <w:hyperlink w:anchor="_Toc4987" w:history="1">
        <w:r>
          <w:rPr>
            <w:rFonts w:ascii="IRNazanin" w:hAnsi="IRNazanin" w:eastAsia="IRNazanin" w:cs="IRNazanin"/>
            <w:color w:val="111111"/>
            <w:sz w:val="22"/>
            <w:szCs w:val="22"/>
            <w:b w:val="0"/>
            <w:bCs w:val="0"/>
            <w:i w:val="0"/>
            <w:iCs w:val="0"/>
          </w:rPr>
          <w:t>عثماني ، محمّد بن علي قرن 12 ه-</w:t>
        </w:r>
        <w:r>
          <w:tab/>
        </w:r>
        <w:r>
          <w:fldChar w:fldCharType="begin"/>
        </w:r>
        <w:r>
          <w:instrText xml:space="preserve">PAGEREF 4987 \h</w:instrText>
        </w:r>
        <w:r>
          <w:fldChar w:fldCharType="end"/>
        </w:r>
      </w:hyperlink>
    </w:p>
    <w:p>
      <w:pPr>
        <w:tabs>
          <w:tab w:val="right" w:leader="dot" w:pos="9062"/>
        </w:tabs>
        <w:ind w:left="220"/>
      </w:pPr>
      <w:hyperlink w:anchor="_Toc4988" w:history="1">
        <w:r>
          <w:rPr>
            <w:rFonts w:ascii="IRNazanin" w:hAnsi="IRNazanin" w:eastAsia="IRNazanin" w:cs="IRNazanin"/>
            <w:color w:val="111111"/>
            <w:sz w:val="22"/>
            <w:szCs w:val="22"/>
            <w:b w:val="0"/>
            <w:bCs w:val="0"/>
            <w:i w:val="0"/>
            <w:iCs w:val="0"/>
          </w:rPr>
          <w:t>عثماني ، محمّد بن عمر - 618 ه-</w:t>
        </w:r>
        <w:r>
          <w:tab/>
        </w:r>
        <w:r>
          <w:fldChar w:fldCharType="begin"/>
        </w:r>
        <w:r>
          <w:instrText xml:space="preserve">PAGEREF 4988 \h</w:instrText>
        </w:r>
        <w:r>
          <w:fldChar w:fldCharType="end"/>
        </w:r>
      </w:hyperlink>
    </w:p>
    <w:p>
      <w:pPr>
        <w:tabs>
          <w:tab w:val="right" w:leader="dot" w:pos="9062"/>
        </w:tabs>
        <w:ind w:left="220"/>
      </w:pPr>
      <w:hyperlink w:anchor="_Toc4989" w:history="1">
        <w:r>
          <w:rPr>
            <w:rFonts w:ascii="IRNazanin" w:hAnsi="IRNazanin" w:eastAsia="IRNazanin" w:cs="IRNazanin"/>
            <w:color w:val="111111"/>
            <w:sz w:val="22"/>
            <w:szCs w:val="22"/>
            <w:b w:val="0"/>
            <w:bCs w:val="0"/>
            <w:i w:val="0"/>
            <w:iCs w:val="0"/>
          </w:rPr>
          <w:t>عثماني ، محمّد بن مسعود - 1214 ه-</w:t>
        </w:r>
        <w:r>
          <w:tab/>
        </w:r>
        <w:r>
          <w:fldChar w:fldCharType="begin"/>
        </w:r>
        <w:r>
          <w:instrText xml:space="preserve">PAGEREF 4989 \h</w:instrText>
        </w:r>
        <w:r>
          <w:fldChar w:fldCharType="end"/>
        </w:r>
      </w:hyperlink>
    </w:p>
    <w:p>
      <w:pPr>
        <w:tabs>
          <w:tab w:val="right" w:leader="dot" w:pos="9062"/>
        </w:tabs>
        <w:ind w:left="220"/>
      </w:pPr>
      <w:hyperlink w:anchor="_Toc4990" w:history="1">
        <w:r>
          <w:rPr>
            <w:rFonts w:ascii="IRNazanin" w:hAnsi="IRNazanin" w:eastAsia="IRNazanin" w:cs="IRNazanin"/>
            <w:color w:val="111111"/>
            <w:sz w:val="22"/>
            <w:szCs w:val="22"/>
            <w:b w:val="0"/>
            <w:bCs w:val="0"/>
            <w:i w:val="0"/>
            <w:iCs w:val="0"/>
          </w:rPr>
          <w:t>عجدواني ، محمود بن علي قرن 10 ه-</w:t>
        </w:r>
        <w:r>
          <w:tab/>
        </w:r>
        <w:r>
          <w:fldChar w:fldCharType="begin"/>
        </w:r>
        <w:r>
          <w:instrText xml:space="preserve">PAGEREF 4990 \h</w:instrText>
        </w:r>
        <w:r>
          <w:fldChar w:fldCharType="end"/>
        </w:r>
      </w:hyperlink>
    </w:p>
    <w:p>
      <w:pPr>
        <w:tabs>
          <w:tab w:val="right" w:leader="dot" w:pos="9062"/>
        </w:tabs>
        <w:ind w:left="220"/>
      </w:pPr>
      <w:hyperlink w:anchor="_Toc4991" w:history="1">
        <w:r>
          <w:rPr>
            <w:rFonts w:ascii="IRNazanin" w:hAnsi="IRNazanin" w:eastAsia="IRNazanin" w:cs="IRNazanin"/>
            <w:color w:val="111111"/>
            <w:sz w:val="22"/>
            <w:szCs w:val="22"/>
            <w:b w:val="0"/>
            <w:bCs w:val="0"/>
            <w:i w:val="0"/>
            <w:iCs w:val="0"/>
          </w:rPr>
          <w:t>عجلوني، اسماعيل بن محمّد، 1087 -</w:t>
        </w:r>
        <w:r>
          <w:tab/>
        </w:r>
        <w:r>
          <w:fldChar w:fldCharType="begin"/>
        </w:r>
        <w:r>
          <w:instrText xml:space="preserve">PAGEREF 4991 \h</w:instrText>
        </w:r>
        <w:r>
          <w:fldChar w:fldCharType="end"/>
        </w:r>
      </w:hyperlink>
    </w:p>
    <w:p>
      <w:pPr>
        <w:tabs>
          <w:tab w:val="right" w:leader="dot" w:pos="9062"/>
        </w:tabs>
        <w:ind w:left="220"/>
      </w:pPr>
      <w:hyperlink w:anchor="_Toc4992" w:history="1">
        <w:r>
          <w:rPr>
            <w:rFonts w:ascii="IRNazanin" w:hAnsi="IRNazanin" w:eastAsia="IRNazanin" w:cs="IRNazanin"/>
            <w:color w:val="111111"/>
            <w:sz w:val="22"/>
            <w:szCs w:val="22"/>
            <w:b w:val="0"/>
            <w:bCs w:val="0"/>
            <w:i w:val="0"/>
            <w:iCs w:val="0"/>
          </w:rPr>
          <w:t>عجلوني ، محمّد بن خليل 1060 - 1148</w:t>
        </w:r>
        <w:r>
          <w:tab/>
        </w:r>
        <w:r>
          <w:fldChar w:fldCharType="begin"/>
        </w:r>
        <w:r>
          <w:instrText xml:space="preserve">PAGEREF 4992 \h</w:instrText>
        </w:r>
        <w:r>
          <w:fldChar w:fldCharType="end"/>
        </w:r>
      </w:hyperlink>
    </w:p>
    <w:p>
      <w:pPr>
        <w:tabs>
          <w:tab w:val="right" w:leader="dot" w:pos="9062"/>
        </w:tabs>
        <w:ind w:left="220"/>
      </w:pPr>
      <w:hyperlink w:anchor="_Toc4993" w:history="1">
        <w:r>
          <w:rPr>
            <w:rFonts w:ascii="IRNazanin" w:hAnsi="IRNazanin" w:eastAsia="IRNazanin" w:cs="IRNazanin"/>
            <w:color w:val="111111"/>
            <w:sz w:val="22"/>
            <w:szCs w:val="22"/>
            <w:b w:val="0"/>
            <w:bCs w:val="0"/>
            <w:i w:val="0"/>
            <w:iCs w:val="0"/>
          </w:rPr>
          <w:t>عجلي ، فضل بن قدامه - 130 ه-</w:t>
        </w:r>
        <w:r>
          <w:tab/>
        </w:r>
        <w:r>
          <w:fldChar w:fldCharType="begin"/>
        </w:r>
        <w:r>
          <w:instrText xml:space="preserve">PAGEREF 4993 \h</w:instrText>
        </w:r>
        <w:r>
          <w:fldChar w:fldCharType="end"/>
        </w:r>
      </w:hyperlink>
    </w:p>
    <w:p>
      <w:pPr>
        <w:tabs>
          <w:tab w:val="right" w:leader="dot" w:pos="9062"/>
        </w:tabs>
        <w:ind w:left="220"/>
      </w:pPr>
      <w:hyperlink w:anchor="_Toc4994" w:history="1">
        <w:r>
          <w:rPr>
            <w:rFonts w:ascii="IRNazanin" w:hAnsi="IRNazanin" w:eastAsia="IRNazanin" w:cs="IRNazanin"/>
            <w:color w:val="111111"/>
            <w:sz w:val="22"/>
            <w:szCs w:val="22"/>
            <w:b w:val="0"/>
            <w:bCs w:val="0"/>
            <w:i w:val="0"/>
            <w:iCs w:val="0"/>
          </w:rPr>
          <w:t>عجم اوغلي ، محمّد بن علي قرن 9 ه-</w:t>
        </w:r>
        <w:r>
          <w:tab/>
        </w:r>
        <w:r>
          <w:fldChar w:fldCharType="begin"/>
        </w:r>
        <w:r>
          <w:instrText xml:space="preserve">PAGEREF 4994 \h</w:instrText>
        </w:r>
        <w:r>
          <w:fldChar w:fldCharType="end"/>
        </w:r>
      </w:hyperlink>
    </w:p>
    <w:p>
      <w:pPr>
        <w:tabs>
          <w:tab w:val="right" w:leader="dot" w:pos="9062"/>
        </w:tabs>
        <w:ind w:left="220"/>
      </w:pPr>
      <w:hyperlink w:anchor="_Toc4995" w:history="1">
        <w:r>
          <w:rPr>
            <w:rFonts w:ascii="IRNazanin" w:hAnsi="IRNazanin" w:eastAsia="IRNazanin" w:cs="IRNazanin"/>
            <w:color w:val="111111"/>
            <w:sz w:val="22"/>
            <w:szCs w:val="22"/>
            <w:b w:val="0"/>
            <w:bCs w:val="0"/>
            <w:i w:val="0"/>
            <w:iCs w:val="0"/>
          </w:rPr>
          <w:t>عجمي ، احمد بن احمد، 1014 - 1086</w:t>
        </w:r>
        <w:r>
          <w:tab/>
        </w:r>
        <w:r>
          <w:fldChar w:fldCharType="begin"/>
        </w:r>
        <w:r>
          <w:instrText xml:space="preserve">PAGEREF 4995 \h</w:instrText>
        </w:r>
        <w:r>
          <w:fldChar w:fldCharType="end"/>
        </w:r>
      </w:hyperlink>
    </w:p>
    <w:p>
      <w:pPr>
        <w:tabs>
          <w:tab w:val="right" w:leader="dot" w:pos="9062"/>
        </w:tabs>
        <w:ind w:left="220"/>
      </w:pPr>
      <w:hyperlink w:anchor="_Toc4996" w:history="1">
        <w:r>
          <w:rPr>
            <w:rFonts w:ascii="IRNazanin" w:hAnsi="IRNazanin" w:eastAsia="IRNazanin" w:cs="IRNazanin"/>
            <w:color w:val="111111"/>
            <w:sz w:val="22"/>
            <w:szCs w:val="22"/>
            <w:b w:val="0"/>
            <w:bCs w:val="0"/>
            <w:i w:val="0"/>
            <w:iCs w:val="0"/>
          </w:rPr>
          <w:t>عجمي ، سيد علي - 860 ه-</w:t>
        </w:r>
        <w:r>
          <w:tab/>
        </w:r>
        <w:r>
          <w:fldChar w:fldCharType="begin"/>
        </w:r>
        <w:r>
          <w:instrText xml:space="preserve">PAGEREF 4996 \h</w:instrText>
        </w:r>
        <w:r>
          <w:fldChar w:fldCharType="end"/>
        </w:r>
      </w:hyperlink>
    </w:p>
    <w:p>
      <w:pPr>
        <w:tabs>
          <w:tab w:val="right" w:leader="dot" w:pos="9062"/>
        </w:tabs>
        <w:ind w:left="220"/>
      </w:pPr>
      <w:hyperlink w:anchor="_Toc4997" w:history="1">
        <w:r>
          <w:rPr>
            <w:rFonts w:ascii="IRNazanin" w:hAnsi="IRNazanin" w:eastAsia="IRNazanin" w:cs="IRNazanin"/>
            <w:color w:val="111111"/>
            <w:sz w:val="22"/>
            <w:szCs w:val="22"/>
            <w:b w:val="0"/>
            <w:bCs w:val="0"/>
            <w:i w:val="0"/>
            <w:iCs w:val="0"/>
          </w:rPr>
          <w:t>عجمي ، شمس الدین احمد</w:t>
        </w:r>
        <w:r>
          <w:tab/>
        </w:r>
        <w:r>
          <w:fldChar w:fldCharType="begin"/>
        </w:r>
        <w:r>
          <w:instrText xml:space="preserve">PAGEREF 4997 \h</w:instrText>
        </w:r>
        <w:r>
          <w:fldChar w:fldCharType="end"/>
        </w:r>
      </w:hyperlink>
    </w:p>
    <w:p>
      <w:pPr>
        <w:tabs>
          <w:tab w:val="right" w:leader="dot" w:pos="9062"/>
        </w:tabs>
        <w:ind w:left="220"/>
      </w:pPr>
      <w:hyperlink w:anchor="_Toc4998" w:history="1">
        <w:r>
          <w:rPr>
            <w:rFonts w:ascii="IRNazanin" w:hAnsi="IRNazanin" w:eastAsia="IRNazanin" w:cs="IRNazanin"/>
            <w:color w:val="111111"/>
            <w:sz w:val="22"/>
            <w:szCs w:val="22"/>
            <w:b w:val="0"/>
            <w:bCs w:val="0"/>
            <w:i w:val="0"/>
            <w:iCs w:val="0"/>
          </w:rPr>
          <w:t>عجمي ، شيخ ابراهيم</w:t>
        </w:r>
        <w:r>
          <w:tab/>
        </w:r>
        <w:r>
          <w:fldChar w:fldCharType="begin"/>
        </w:r>
        <w:r>
          <w:instrText xml:space="preserve">PAGEREF 4998 \h</w:instrText>
        </w:r>
        <w:r>
          <w:fldChar w:fldCharType="end"/>
        </w:r>
      </w:hyperlink>
    </w:p>
    <w:p>
      <w:pPr>
        <w:tabs>
          <w:tab w:val="right" w:leader="dot" w:pos="9062"/>
        </w:tabs>
        <w:ind w:left="220"/>
      </w:pPr>
      <w:hyperlink w:anchor="_Toc4999" w:history="1">
        <w:r>
          <w:rPr>
            <w:rFonts w:ascii="IRNazanin" w:hAnsi="IRNazanin" w:eastAsia="IRNazanin" w:cs="IRNazanin"/>
            <w:color w:val="111111"/>
            <w:sz w:val="22"/>
            <w:szCs w:val="22"/>
            <w:b w:val="0"/>
            <w:bCs w:val="0"/>
            <w:i w:val="0"/>
            <w:iCs w:val="0"/>
          </w:rPr>
          <w:t>عجمي ، عبداللطيف شاه حسین - 920</w:t>
        </w:r>
        <w:r>
          <w:tab/>
        </w:r>
        <w:r>
          <w:fldChar w:fldCharType="begin"/>
        </w:r>
        <w:r>
          <w:instrText xml:space="preserve">PAGEREF 4999 \h</w:instrText>
        </w:r>
        <w:r>
          <w:fldChar w:fldCharType="end"/>
        </w:r>
      </w:hyperlink>
    </w:p>
    <w:p>
      <w:pPr>
        <w:tabs>
          <w:tab w:val="right" w:leader="dot" w:pos="9062"/>
        </w:tabs>
        <w:ind w:left="220"/>
      </w:pPr>
      <w:hyperlink w:anchor="_Toc5000" w:history="1">
        <w:r>
          <w:rPr>
            <w:rFonts w:ascii="IRNazanin" w:hAnsi="IRNazanin" w:eastAsia="IRNazanin" w:cs="IRNazanin"/>
            <w:color w:val="111111"/>
            <w:sz w:val="22"/>
            <w:szCs w:val="22"/>
            <w:b w:val="0"/>
            <w:bCs w:val="0"/>
            <w:i w:val="0"/>
            <w:iCs w:val="0"/>
          </w:rPr>
          <w:t>عجمي ، محمّد بن عبدالله</w:t>
        </w:r>
        <w:r>
          <w:tab/>
        </w:r>
        <w:r>
          <w:fldChar w:fldCharType="begin"/>
        </w:r>
        <w:r>
          <w:instrText xml:space="preserve">PAGEREF 5000 \h</w:instrText>
        </w:r>
        <w:r>
          <w:fldChar w:fldCharType="end"/>
        </w:r>
      </w:hyperlink>
    </w:p>
    <w:p>
      <w:pPr>
        <w:tabs>
          <w:tab w:val="right" w:leader="dot" w:pos="9062"/>
        </w:tabs>
        <w:ind w:left="220"/>
      </w:pPr>
      <w:hyperlink w:anchor="_Toc5001" w:history="1">
        <w:r>
          <w:rPr>
            <w:rFonts w:ascii="IRNazanin" w:hAnsi="IRNazanin" w:eastAsia="IRNazanin" w:cs="IRNazanin"/>
            <w:color w:val="111111"/>
            <w:sz w:val="22"/>
            <w:szCs w:val="22"/>
            <w:b w:val="0"/>
            <w:bCs w:val="0"/>
            <w:i w:val="0"/>
            <w:iCs w:val="0"/>
          </w:rPr>
          <w:t>عجمي محمّد شمس الدين</w:t>
        </w:r>
        <w:r>
          <w:tab/>
        </w:r>
        <w:r>
          <w:fldChar w:fldCharType="begin"/>
        </w:r>
        <w:r>
          <w:instrText xml:space="preserve">PAGEREF 5001 \h</w:instrText>
        </w:r>
        <w:r>
          <w:fldChar w:fldCharType="end"/>
        </w:r>
      </w:hyperlink>
    </w:p>
    <w:p>
      <w:pPr>
        <w:tabs>
          <w:tab w:val="right" w:leader="dot" w:pos="9062"/>
        </w:tabs>
        <w:ind w:left="220"/>
      </w:pPr>
      <w:hyperlink w:anchor="_Toc5002" w:history="1">
        <w:r>
          <w:rPr>
            <w:rFonts w:ascii="IRNazanin" w:hAnsi="IRNazanin" w:eastAsia="IRNazanin" w:cs="IRNazanin"/>
            <w:color w:val="111111"/>
            <w:sz w:val="22"/>
            <w:szCs w:val="22"/>
            <w:b w:val="0"/>
            <w:bCs w:val="0"/>
            <w:i w:val="0"/>
            <w:iCs w:val="0"/>
          </w:rPr>
          <w:t>عجمي ، نجم الدين سعيد</w:t>
        </w:r>
        <w:r>
          <w:tab/>
        </w:r>
        <w:r>
          <w:fldChar w:fldCharType="begin"/>
        </w:r>
        <w:r>
          <w:instrText xml:space="preserve">PAGEREF 5002 \h</w:instrText>
        </w:r>
        <w:r>
          <w:fldChar w:fldCharType="end"/>
        </w:r>
      </w:hyperlink>
    </w:p>
    <w:p>
      <w:pPr>
        <w:tabs>
          <w:tab w:val="right" w:leader="dot" w:pos="9062"/>
        </w:tabs>
        <w:ind w:left="220"/>
      </w:pPr>
      <w:hyperlink w:anchor="_Toc5003" w:history="1">
        <w:r>
          <w:rPr>
            <w:rFonts w:ascii="IRNazanin" w:hAnsi="IRNazanin" w:eastAsia="IRNazanin" w:cs="IRNazanin"/>
            <w:color w:val="111111"/>
            <w:sz w:val="22"/>
            <w:szCs w:val="22"/>
            <w:b w:val="0"/>
            <w:bCs w:val="0"/>
            <w:i w:val="0"/>
            <w:iCs w:val="0"/>
          </w:rPr>
          <w:t>؟ عجمي ، يوسف بن عبدالله - 768 ه-</w:t>
        </w:r>
        <w:r>
          <w:tab/>
        </w:r>
        <w:r>
          <w:fldChar w:fldCharType="begin"/>
        </w:r>
        <w:r>
          <w:instrText xml:space="preserve">PAGEREF 5003 \h</w:instrText>
        </w:r>
        <w:r>
          <w:fldChar w:fldCharType="end"/>
        </w:r>
      </w:hyperlink>
    </w:p>
    <w:p>
      <w:pPr>
        <w:tabs>
          <w:tab w:val="right" w:leader="dot" w:pos="9062"/>
        </w:tabs>
        <w:ind w:left="220"/>
      </w:pPr>
      <w:hyperlink w:anchor="_Toc5004" w:history="1">
        <w:r>
          <w:rPr>
            <w:rFonts w:ascii="IRNazanin" w:hAnsi="IRNazanin" w:eastAsia="IRNazanin" w:cs="IRNazanin"/>
            <w:color w:val="111111"/>
            <w:sz w:val="22"/>
            <w:szCs w:val="22"/>
            <w:b w:val="0"/>
            <w:bCs w:val="0"/>
            <w:i w:val="0"/>
            <w:iCs w:val="0"/>
          </w:rPr>
          <w:t>عجيلي ، احمد بن عبد القادر، 1140 -</w:t>
        </w:r>
        <w:r>
          <w:tab/>
        </w:r>
        <w:r>
          <w:fldChar w:fldCharType="begin"/>
        </w:r>
        <w:r>
          <w:instrText xml:space="preserve">PAGEREF 5004 \h</w:instrText>
        </w:r>
        <w:r>
          <w:fldChar w:fldCharType="end"/>
        </w:r>
      </w:hyperlink>
    </w:p>
    <w:p>
      <w:pPr>
        <w:tabs>
          <w:tab w:val="right" w:leader="dot" w:pos="9062"/>
        </w:tabs>
        <w:ind w:left="220"/>
      </w:pPr>
      <w:hyperlink w:anchor="_Toc5005" w:history="1">
        <w:r>
          <w:rPr>
            <w:rFonts w:ascii="IRNazanin" w:hAnsi="IRNazanin" w:eastAsia="IRNazanin" w:cs="IRNazanin"/>
            <w:color w:val="111111"/>
            <w:sz w:val="22"/>
            <w:szCs w:val="22"/>
            <w:b w:val="0"/>
            <w:bCs w:val="0"/>
            <w:i w:val="0"/>
            <w:iCs w:val="0"/>
          </w:rPr>
          <w:t>عجيمي ، حسن بن علي 1049 - 1113</w:t>
        </w:r>
        <w:r>
          <w:tab/>
        </w:r>
        <w:r>
          <w:fldChar w:fldCharType="begin"/>
        </w:r>
        <w:r>
          <w:instrText xml:space="preserve">PAGEREF 5005 \h</w:instrText>
        </w:r>
        <w:r>
          <w:fldChar w:fldCharType="end"/>
        </w:r>
      </w:hyperlink>
    </w:p>
    <w:p>
      <w:pPr>
        <w:tabs>
          <w:tab w:val="right" w:leader="dot" w:pos="9062"/>
        </w:tabs>
        <w:ind w:left="220"/>
      </w:pPr>
      <w:hyperlink w:anchor="_Toc5006" w:history="1">
        <w:r>
          <w:rPr>
            <w:rFonts w:ascii="IRNazanin" w:hAnsi="IRNazanin" w:eastAsia="IRNazanin" w:cs="IRNazanin"/>
            <w:color w:val="111111"/>
            <w:sz w:val="22"/>
            <w:szCs w:val="22"/>
            <w:b w:val="0"/>
            <w:bCs w:val="0"/>
            <w:i w:val="0"/>
            <w:iCs w:val="0"/>
          </w:rPr>
          <w:t>عجيمي، محمّد بن محمود قرن 11 ه-</w:t>
        </w:r>
        <w:r>
          <w:tab/>
        </w:r>
        <w:r>
          <w:fldChar w:fldCharType="begin"/>
        </w:r>
        <w:r>
          <w:instrText xml:space="preserve">PAGEREF 5006 \h</w:instrText>
        </w:r>
        <w:r>
          <w:fldChar w:fldCharType="end"/>
        </w:r>
      </w:hyperlink>
    </w:p>
    <w:p>
      <w:pPr>
        <w:tabs>
          <w:tab w:val="right" w:leader="dot" w:pos="9062"/>
        </w:tabs>
        <w:ind w:left="220"/>
      </w:pPr>
      <w:hyperlink w:anchor="_Toc5007" w:history="1">
        <w:r>
          <w:rPr>
            <w:rFonts w:ascii="IRNazanin" w:hAnsi="IRNazanin" w:eastAsia="IRNazanin" w:cs="IRNazanin"/>
            <w:color w:val="111111"/>
            <w:sz w:val="22"/>
            <w:szCs w:val="22"/>
            <w:b w:val="0"/>
            <w:bCs w:val="0"/>
            <w:i w:val="0"/>
            <w:iCs w:val="0"/>
          </w:rPr>
          <w:t>عدساني ، عبدالرحمن</w:t>
        </w:r>
        <w:r>
          <w:tab/>
        </w:r>
        <w:r>
          <w:fldChar w:fldCharType="begin"/>
        </w:r>
        <w:r>
          <w:instrText xml:space="preserve">PAGEREF 5007 \h</w:instrText>
        </w:r>
        <w:r>
          <w:fldChar w:fldCharType="end"/>
        </w:r>
      </w:hyperlink>
    </w:p>
    <w:p>
      <w:pPr>
        <w:tabs>
          <w:tab w:val="right" w:leader="dot" w:pos="9062"/>
        </w:tabs>
        <w:ind w:left="220"/>
      </w:pPr>
      <w:hyperlink w:anchor="_Toc5008" w:history="1">
        <w:r>
          <w:rPr>
            <w:rFonts w:ascii="IRNazanin" w:hAnsi="IRNazanin" w:eastAsia="IRNazanin" w:cs="IRNazanin"/>
            <w:color w:val="111111"/>
            <w:sz w:val="22"/>
            <w:szCs w:val="22"/>
            <w:b w:val="0"/>
            <w:bCs w:val="0"/>
            <w:i w:val="0"/>
            <w:iCs w:val="0"/>
          </w:rPr>
          <w:t>عدني ، محمّد بن يحيى</w:t>
        </w:r>
        <w:r>
          <w:tab/>
        </w:r>
        <w:r>
          <w:fldChar w:fldCharType="begin"/>
        </w:r>
        <w:r>
          <w:instrText xml:space="preserve">PAGEREF 5008 \h</w:instrText>
        </w:r>
        <w:r>
          <w:fldChar w:fldCharType="end"/>
        </w:r>
      </w:hyperlink>
    </w:p>
    <w:p>
      <w:pPr>
        <w:tabs>
          <w:tab w:val="right" w:leader="dot" w:pos="9062"/>
        </w:tabs>
        <w:ind w:left="220"/>
      </w:pPr>
      <w:hyperlink w:anchor="_Toc5009" w:history="1">
        <w:r>
          <w:rPr>
            <w:rFonts w:ascii="IRNazanin" w:hAnsi="IRNazanin" w:eastAsia="IRNazanin" w:cs="IRNazanin"/>
            <w:color w:val="111111"/>
            <w:sz w:val="22"/>
            <w:szCs w:val="22"/>
            <w:b w:val="0"/>
            <w:bCs w:val="0"/>
            <w:i w:val="0"/>
            <w:iCs w:val="0"/>
          </w:rPr>
          <w:t>عدوي، ابراهيم بن اسماعيل - 1099 ه-</w:t>
        </w:r>
        <w:r>
          <w:tab/>
        </w:r>
        <w:r>
          <w:fldChar w:fldCharType="begin"/>
        </w:r>
        <w:r>
          <w:instrText xml:space="preserve">PAGEREF 5009 \h</w:instrText>
        </w:r>
        <w:r>
          <w:fldChar w:fldCharType="end"/>
        </w:r>
      </w:hyperlink>
    </w:p>
    <w:p>
      <w:pPr>
        <w:tabs>
          <w:tab w:val="right" w:leader="dot" w:pos="9062"/>
        </w:tabs>
        <w:ind w:left="220"/>
      </w:pPr>
      <w:hyperlink w:anchor="_Toc5010" w:history="1">
        <w:r>
          <w:rPr>
            <w:rFonts w:ascii="IRNazanin" w:hAnsi="IRNazanin" w:eastAsia="IRNazanin" w:cs="IRNazanin"/>
            <w:color w:val="111111"/>
            <w:sz w:val="22"/>
            <w:szCs w:val="22"/>
            <w:b w:val="0"/>
            <w:bCs w:val="0"/>
            <w:i w:val="0"/>
            <w:iCs w:val="0"/>
          </w:rPr>
          <w:t>عدوي ، حسن، 91221 - 1303 ه-</w:t>
        </w:r>
        <w:r>
          <w:tab/>
        </w:r>
        <w:r>
          <w:fldChar w:fldCharType="begin"/>
        </w:r>
        <w:r>
          <w:instrText xml:space="preserve">PAGEREF 5010 \h</w:instrText>
        </w:r>
        <w:r>
          <w:fldChar w:fldCharType="end"/>
        </w:r>
      </w:hyperlink>
    </w:p>
    <w:p>
      <w:pPr>
        <w:tabs>
          <w:tab w:val="right" w:leader="dot" w:pos="9062"/>
        </w:tabs>
        <w:ind w:left="220"/>
      </w:pPr>
      <w:hyperlink w:anchor="_Toc5011" w:history="1">
        <w:r>
          <w:rPr>
            <w:rFonts w:ascii="IRNazanin" w:hAnsi="IRNazanin" w:eastAsia="IRNazanin" w:cs="IRNazanin"/>
            <w:color w:val="111111"/>
            <w:sz w:val="22"/>
            <w:szCs w:val="22"/>
            <w:b w:val="0"/>
            <w:bCs w:val="0"/>
            <w:i w:val="0"/>
            <w:iCs w:val="0"/>
          </w:rPr>
          <w:t>عدوي ، علي</w:t>
        </w:r>
        <w:r>
          <w:tab/>
        </w:r>
        <w:r>
          <w:fldChar w:fldCharType="begin"/>
        </w:r>
        <w:r>
          <w:instrText xml:space="preserve">PAGEREF 5011 \h</w:instrText>
        </w:r>
        <w:r>
          <w:fldChar w:fldCharType="end"/>
        </w:r>
      </w:hyperlink>
    </w:p>
    <w:p>
      <w:pPr>
        <w:tabs>
          <w:tab w:val="right" w:leader="dot" w:pos="9062"/>
        </w:tabs>
        <w:ind w:left="220"/>
      </w:pPr>
      <w:hyperlink w:anchor="_Toc5012" w:history="1">
        <w:r>
          <w:rPr>
            <w:rFonts w:ascii="IRNazanin" w:hAnsi="IRNazanin" w:eastAsia="IRNazanin" w:cs="IRNazanin"/>
            <w:color w:val="111111"/>
            <w:sz w:val="22"/>
            <w:szCs w:val="22"/>
            <w:b w:val="0"/>
            <w:bCs w:val="0"/>
            <w:i w:val="0"/>
            <w:iCs w:val="0"/>
          </w:rPr>
          <w:t>عدوي ، محمّد بن عباده - 1193 ه-</w:t>
        </w:r>
        <w:r>
          <w:tab/>
        </w:r>
        <w:r>
          <w:fldChar w:fldCharType="begin"/>
        </w:r>
        <w:r>
          <w:instrText xml:space="preserve">PAGEREF 5012 \h</w:instrText>
        </w:r>
        <w:r>
          <w:fldChar w:fldCharType="end"/>
        </w:r>
      </w:hyperlink>
    </w:p>
    <w:p>
      <w:pPr>
        <w:tabs>
          <w:tab w:val="right" w:leader="dot" w:pos="9062"/>
        </w:tabs>
        <w:ind w:left="220"/>
      </w:pPr>
      <w:hyperlink w:anchor="_Toc5013" w:history="1">
        <w:r>
          <w:rPr>
            <w:rFonts w:ascii="IRNazanin" w:hAnsi="IRNazanin" w:eastAsia="IRNazanin" w:cs="IRNazanin"/>
            <w:color w:val="111111"/>
            <w:sz w:val="22"/>
            <w:szCs w:val="22"/>
            <w:b w:val="0"/>
            <w:bCs w:val="0"/>
            <w:i w:val="0"/>
            <w:iCs w:val="0"/>
          </w:rPr>
          <w:t>عدوي ، محمّد قطه - 1864 م</w:t>
        </w:r>
        <w:r>
          <w:tab/>
        </w:r>
        <w:r>
          <w:fldChar w:fldCharType="begin"/>
        </w:r>
        <w:r>
          <w:instrText xml:space="preserve">PAGEREF 5013 \h</w:instrText>
        </w:r>
        <w:r>
          <w:fldChar w:fldCharType="end"/>
        </w:r>
      </w:hyperlink>
    </w:p>
    <w:p>
      <w:pPr>
        <w:tabs>
          <w:tab w:val="right" w:leader="dot" w:pos="9062"/>
        </w:tabs>
        <w:ind w:left="220"/>
      </w:pPr>
      <w:hyperlink w:anchor="_Toc5014" w:history="1">
        <w:r>
          <w:rPr>
            <w:rFonts w:ascii="IRNazanin" w:hAnsi="IRNazanin" w:eastAsia="IRNazanin" w:cs="IRNazanin"/>
            <w:color w:val="111111"/>
            <w:sz w:val="22"/>
            <w:szCs w:val="22"/>
            <w:b w:val="0"/>
            <w:bCs w:val="0"/>
            <w:i w:val="0"/>
            <w:iCs w:val="0"/>
          </w:rPr>
          <w:t>عدوي ، محمود بن محمّد قرن 11 ه-</w:t>
        </w:r>
        <w:r>
          <w:tab/>
        </w:r>
        <w:r>
          <w:fldChar w:fldCharType="begin"/>
        </w:r>
        <w:r>
          <w:instrText xml:space="preserve">PAGEREF 5014 \h</w:instrText>
        </w:r>
        <w:r>
          <w:fldChar w:fldCharType="end"/>
        </w:r>
      </w:hyperlink>
    </w:p>
    <w:p>
      <w:pPr>
        <w:tabs>
          <w:tab w:val="right" w:leader="dot" w:pos="9062"/>
        </w:tabs>
        <w:ind w:left="220"/>
      </w:pPr>
      <w:hyperlink w:anchor="_Toc5015" w:history="1">
        <w:r>
          <w:rPr>
            <w:rFonts w:ascii="IRNazanin" w:hAnsi="IRNazanin" w:eastAsia="IRNazanin" w:cs="IRNazanin"/>
            <w:color w:val="111111"/>
            <w:sz w:val="22"/>
            <w:szCs w:val="22"/>
            <w:b w:val="0"/>
            <w:bCs w:val="0"/>
            <w:i w:val="0"/>
            <w:iCs w:val="0"/>
          </w:rPr>
          <w:t>عذاري ، عباس بن علي - 1318 ه-</w:t>
        </w:r>
        <w:r>
          <w:tab/>
        </w:r>
        <w:r>
          <w:fldChar w:fldCharType="begin"/>
        </w:r>
        <w:r>
          <w:instrText xml:space="preserve">PAGEREF 5015 \h</w:instrText>
        </w:r>
        <w:r>
          <w:fldChar w:fldCharType="end"/>
        </w:r>
      </w:hyperlink>
    </w:p>
    <w:p>
      <w:pPr>
        <w:tabs>
          <w:tab w:val="right" w:leader="dot" w:pos="9062"/>
        </w:tabs>
        <w:ind w:left="220"/>
      </w:pPr>
      <w:hyperlink w:anchor="_Toc5016" w:history="1">
        <w:r>
          <w:rPr>
            <w:rFonts w:ascii="IRNazanin" w:hAnsi="IRNazanin" w:eastAsia="IRNazanin" w:cs="IRNazanin"/>
            <w:color w:val="111111"/>
            <w:sz w:val="22"/>
            <w:szCs w:val="22"/>
            <w:b w:val="0"/>
            <w:bCs w:val="0"/>
            <w:i w:val="0"/>
            <w:iCs w:val="0"/>
          </w:rPr>
          <w:t>عذري ، مرت مريم</w:t>
        </w:r>
        <w:r>
          <w:tab/>
        </w:r>
        <w:r>
          <w:fldChar w:fldCharType="begin"/>
        </w:r>
        <w:r>
          <w:instrText xml:space="preserve">PAGEREF 5016 \h</w:instrText>
        </w:r>
        <w:r>
          <w:fldChar w:fldCharType="end"/>
        </w:r>
      </w:hyperlink>
    </w:p>
    <w:p>
      <w:pPr>
        <w:tabs>
          <w:tab w:val="right" w:leader="dot" w:pos="9062"/>
        </w:tabs>
        <w:ind w:left="220"/>
      </w:pPr>
      <w:hyperlink w:anchor="_Toc5017" w:history="1">
        <w:r>
          <w:rPr>
            <w:rFonts w:ascii="IRNazanin" w:hAnsi="IRNazanin" w:eastAsia="IRNazanin" w:cs="IRNazanin"/>
            <w:color w:val="111111"/>
            <w:sz w:val="22"/>
            <w:szCs w:val="22"/>
            <w:b w:val="0"/>
            <w:bCs w:val="0"/>
            <w:i w:val="0"/>
            <w:iCs w:val="0"/>
          </w:rPr>
          <w:t>عذاري ، عبد الكريم بن عزيز</w:t>
        </w:r>
        <w:r>
          <w:tab/>
        </w:r>
        <w:r>
          <w:fldChar w:fldCharType="begin"/>
        </w:r>
        <w:r>
          <w:instrText xml:space="preserve">PAGEREF 5017 \h</w:instrText>
        </w:r>
        <w:r>
          <w:fldChar w:fldCharType="end"/>
        </w:r>
      </w:hyperlink>
    </w:p>
    <w:p>
      <w:pPr>
        <w:tabs>
          <w:tab w:val="right" w:leader="dot" w:pos="9062"/>
        </w:tabs>
        <w:ind w:left="220"/>
      </w:pPr>
      <w:hyperlink w:anchor="_Toc5018" w:history="1">
        <w:r>
          <w:rPr>
            <w:rFonts w:ascii="IRNazanin" w:hAnsi="IRNazanin" w:eastAsia="IRNazanin" w:cs="IRNazanin"/>
            <w:color w:val="111111"/>
            <w:sz w:val="22"/>
            <w:szCs w:val="22"/>
            <w:b w:val="0"/>
            <w:bCs w:val="0"/>
            <w:i w:val="0"/>
            <w:iCs w:val="0"/>
          </w:rPr>
          <w:t>عراقي ، ابراهيم بن بزرگمهر 610 - 688</w:t>
        </w:r>
        <w:r>
          <w:tab/>
        </w:r>
        <w:r>
          <w:fldChar w:fldCharType="begin"/>
        </w:r>
        <w:r>
          <w:instrText xml:space="preserve">PAGEREF 5018 \h</w:instrText>
        </w:r>
        <w:r>
          <w:fldChar w:fldCharType="end"/>
        </w:r>
      </w:hyperlink>
    </w:p>
    <w:p>
      <w:pPr>
        <w:tabs>
          <w:tab w:val="right" w:leader="dot" w:pos="9062"/>
        </w:tabs>
        <w:ind w:left="220"/>
      </w:pPr>
      <w:hyperlink w:anchor="_Toc5019" w:history="1">
        <w:r>
          <w:rPr>
            <w:rFonts w:ascii="IRNazanin" w:hAnsi="IRNazanin" w:eastAsia="IRNazanin" w:cs="IRNazanin"/>
            <w:color w:val="111111"/>
            <w:sz w:val="22"/>
            <w:szCs w:val="22"/>
            <w:b w:val="0"/>
            <w:bCs w:val="0"/>
            <w:i w:val="0"/>
            <w:iCs w:val="0"/>
          </w:rPr>
          <w:t>عراقي ، ابوزرعة</w:t>
        </w:r>
        <w:r>
          <w:tab/>
        </w:r>
        <w:r>
          <w:fldChar w:fldCharType="begin"/>
        </w:r>
        <w:r>
          <w:instrText xml:space="preserve">PAGEREF 5019 \h</w:instrText>
        </w:r>
        <w:r>
          <w:fldChar w:fldCharType="end"/>
        </w:r>
      </w:hyperlink>
    </w:p>
    <w:p>
      <w:pPr>
        <w:tabs>
          <w:tab w:val="right" w:leader="dot" w:pos="9062"/>
        </w:tabs>
        <w:ind w:left="220"/>
      </w:pPr>
      <w:hyperlink w:anchor="_Toc5020" w:history="1">
        <w:r>
          <w:rPr>
            <w:rFonts w:ascii="IRNazanin" w:hAnsi="IRNazanin" w:eastAsia="IRNazanin" w:cs="IRNazanin"/>
            <w:color w:val="111111"/>
            <w:sz w:val="22"/>
            <w:szCs w:val="22"/>
            <w:b w:val="0"/>
            <w:bCs w:val="0"/>
            <w:i w:val="0"/>
            <w:iCs w:val="0"/>
          </w:rPr>
          <w:t>عراقي ، احمد بن حسين</w:t>
        </w:r>
        <w:r>
          <w:tab/>
        </w:r>
        <w:r>
          <w:fldChar w:fldCharType="begin"/>
        </w:r>
        <w:r>
          <w:instrText xml:space="preserve">PAGEREF 5020 \h</w:instrText>
        </w:r>
        <w:r>
          <w:fldChar w:fldCharType="end"/>
        </w:r>
      </w:hyperlink>
    </w:p>
    <w:p>
      <w:pPr>
        <w:tabs>
          <w:tab w:val="right" w:leader="dot" w:pos="9062"/>
        </w:tabs>
        <w:ind w:left="220"/>
      </w:pPr>
      <w:hyperlink w:anchor="_Toc5021" w:history="1">
        <w:r>
          <w:rPr>
            <w:rFonts w:ascii="IRNazanin" w:hAnsi="IRNazanin" w:eastAsia="IRNazanin" w:cs="IRNazanin"/>
            <w:color w:val="111111"/>
            <w:sz w:val="22"/>
            <w:szCs w:val="22"/>
            <w:b w:val="0"/>
            <w:bCs w:val="0"/>
            <w:i w:val="0"/>
            <w:iCs w:val="0"/>
          </w:rPr>
          <w:t>عراقي ، جواد بن جلال الدين قرن 14 ه-</w:t>
        </w:r>
        <w:r>
          <w:tab/>
        </w:r>
        <w:r>
          <w:fldChar w:fldCharType="begin"/>
        </w:r>
        <w:r>
          <w:instrText xml:space="preserve">PAGEREF 5021 \h</w:instrText>
        </w:r>
        <w:r>
          <w:fldChar w:fldCharType="end"/>
        </w:r>
      </w:hyperlink>
    </w:p>
    <w:p>
      <w:pPr>
        <w:tabs>
          <w:tab w:val="right" w:leader="dot" w:pos="9062"/>
        </w:tabs>
        <w:ind w:left="220"/>
      </w:pPr>
      <w:hyperlink w:anchor="_Toc5022" w:history="1">
        <w:r>
          <w:rPr>
            <w:rFonts w:ascii="IRNazanin" w:hAnsi="IRNazanin" w:eastAsia="IRNazanin" w:cs="IRNazanin"/>
            <w:color w:val="111111"/>
            <w:sz w:val="22"/>
            <w:szCs w:val="22"/>
            <w:b w:val="0"/>
            <w:bCs w:val="0"/>
            <w:i w:val="0"/>
            <w:iCs w:val="0"/>
          </w:rPr>
          <w:t>عراقي ، طاهر</w:t>
        </w:r>
        <w:r>
          <w:tab/>
        </w:r>
        <w:r>
          <w:fldChar w:fldCharType="begin"/>
        </w:r>
        <w:r>
          <w:instrText xml:space="preserve">PAGEREF 5022 \h</w:instrText>
        </w:r>
        <w:r>
          <w:fldChar w:fldCharType="end"/>
        </w:r>
      </w:hyperlink>
    </w:p>
    <w:p>
      <w:pPr>
        <w:tabs>
          <w:tab w:val="right" w:leader="dot" w:pos="9062"/>
        </w:tabs>
        <w:ind w:left="220"/>
      </w:pPr>
      <w:hyperlink w:anchor="_Toc5023" w:history="1">
        <w:r>
          <w:rPr>
            <w:rFonts w:ascii="IRNazanin" w:hAnsi="IRNazanin" w:eastAsia="IRNazanin" w:cs="IRNazanin"/>
            <w:color w:val="111111"/>
            <w:sz w:val="22"/>
            <w:szCs w:val="22"/>
            <w:b w:val="0"/>
            <w:bCs w:val="0"/>
            <w:i w:val="0"/>
            <w:iCs w:val="0"/>
          </w:rPr>
          <w:t>عراقي ، عبدالرحيم بن حسين 725 - 806</w:t>
        </w:r>
        <w:r>
          <w:tab/>
        </w:r>
        <w:r>
          <w:fldChar w:fldCharType="begin"/>
        </w:r>
        <w:r>
          <w:instrText xml:space="preserve">PAGEREF 5023 \h</w:instrText>
        </w:r>
        <w:r>
          <w:fldChar w:fldCharType="end"/>
        </w:r>
      </w:hyperlink>
    </w:p>
    <w:p>
      <w:pPr>
        <w:tabs>
          <w:tab w:val="right" w:leader="dot" w:pos="9062"/>
        </w:tabs>
        <w:ind w:left="220"/>
      </w:pPr>
      <w:hyperlink w:anchor="_Toc5024" w:history="1">
        <w:r>
          <w:rPr>
            <w:rFonts w:ascii="IRNazanin" w:hAnsi="IRNazanin" w:eastAsia="IRNazanin" w:cs="IRNazanin"/>
            <w:color w:val="111111"/>
            <w:sz w:val="22"/>
            <w:szCs w:val="22"/>
            <w:b w:val="0"/>
            <w:bCs w:val="0"/>
            <w:i w:val="0"/>
            <w:iCs w:val="0"/>
          </w:rPr>
          <w:t>عراقي ، عبدالكريم بن علي 623 - 704</w:t>
        </w:r>
        <w:r>
          <w:tab/>
        </w:r>
        <w:r>
          <w:fldChar w:fldCharType="begin"/>
        </w:r>
        <w:r>
          <w:instrText xml:space="preserve">PAGEREF 5024 \h</w:instrText>
        </w:r>
        <w:r>
          <w:fldChar w:fldCharType="end"/>
        </w:r>
      </w:hyperlink>
    </w:p>
    <w:p>
      <w:pPr>
        <w:tabs>
          <w:tab w:val="right" w:leader="dot" w:pos="9062"/>
        </w:tabs>
        <w:ind w:left="220"/>
      </w:pPr>
      <w:hyperlink w:anchor="_Toc5025" w:history="1">
        <w:r>
          <w:rPr>
            <w:rFonts w:ascii="IRNazanin" w:hAnsi="IRNazanin" w:eastAsia="IRNazanin" w:cs="IRNazanin"/>
            <w:color w:val="111111"/>
            <w:sz w:val="22"/>
            <w:szCs w:val="22"/>
            <w:b w:val="0"/>
            <w:bCs w:val="0"/>
            <w:i w:val="0"/>
            <w:iCs w:val="0"/>
          </w:rPr>
          <w:t>عراقي ، عبد الله بن طيب، - 434 ؟ ه-</w:t>
        </w:r>
        <w:r>
          <w:tab/>
        </w:r>
        <w:r>
          <w:fldChar w:fldCharType="begin"/>
        </w:r>
        <w:r>
          <w:instrText xml:space="preserve">PAGEREF 5025 \h</w:instrText>
        </w:r>
        <w:r>
          <w:fldChar w:fldCharType="end"/>
        </w:r>
      </w:hyperlink>
    </w:p>
    <w:p>
      <w:pPr>
        <w:tabs>
          <w:tab w:val="right" w:leader="dot" w:pos="9062"/>
        </w:tabs>
        <w:ind w:left="220"/>
      </w:pPr>
      <w:hyperlink w:anchor="_Toc5026" w:history="1">
        <w:r>
          <w:rPr>
            <w:rFonts w:ascii="IRNazanin" w:hAnsi="IRNazanin" w:eastAsia="IRNazanin" w:cs="IRNazanin"/>
            <w:color w:val="111111"/>
            <w:sz w:val="22"/>
            <w:szCs w:val="22"/>
            <w:b w:val="0"/>
            <w:bCs w:val="0"/>
            <w:i w:val="0"/>
            <w:iCs w:val="0"/>
          </w:rPr>
          <w:t>عراقي ، محمّد بن احمد ، محمّد بن احمد، - 580 ؟ ه-</w:t>
        </w:r>
        <w:r>
          <w:tab/>
        </w:r>
        <w:r>
          <w:fldChar w:fldCharType="begin"/>
        </w:r>
        <w:r>
          <w:instrText xml:space="preserve">PAGEREF 5026 \h</w:instrText>
        </w:r>
        <w:r>
          <w:fldChar w:fldCharType="end"/>
        </w:r>
      </w:hyperlink>
    </w:p>
    <w:p>
      <w:pPr>
        <w:tabs>
          <w:tab w:val="right" w:leader="dot" w:pos="9062"/>
        </w:tabs>
        <w:ind w:left="220"/>
      </w:pPr>
      <w:hyperlink w:anchor="_Toc5027" w:history="1">
        <w:r>
          <w:rPr>
            <w:rFonts w:ascii="IRNazanin" w:hAnsi="IRNazanin" w:eastAsia="IRNazanin" w:cs="IRNazanin"/>
            <w:color w:val="111111"/>
            <w:sz w:val="22"/>
            <w:szCs w:val="22"/>
            <w:b w:val="0"/>
            <w:bCs w:val="0"/>
            <w:i w:val="0"/>
            <w:iCs w:val="0"/>
          </w:rPr>
          <w:t>عراقي ، محمود بن جعفر، 1240 - 1308</w:t>
        </w:r>
        <w:r>
          <w:tab/>
        </w:r>
        <w:r>
          <w:fldChar w:fldCharType="begin"/>
        </w:r>
        <w:r>
          <w:instrText xml:space="preserve">PAGEREF 5027 \h</w:instrText>
        </w:r>
        <w:r>
          <w:fldChar w:fldCharType="end"/>
        </w:r>
      </w:hyperlink>
    </w:p>
    <w:p>
      <w:pPr>
        <w:tabs>
          <w:tab w:val="right" w:leader="dot" w:pos="9062"/>
        </w:tabs>
        <w:ind w:left="220"/>
      </w:pPr>
      <w:hyperlink w:anchor="_Toc5028" w:history="1">
        <w:r>
          <w:rPr>
            <w:rFonts w:ascii="IRNazanin" w:hAnsi="IRNazanin" w:eastAsia="IRNazanin" w:cs="IRNazanin"/>
            <w:color w:val="111111"/>
            <w:sz w:val="22"/>
            <w:szCs w:val="22"/>
            <w:b w:val="0"/>
            <w:bCs w:val="0"/>
            <w:i w:val="0"/>
            <w:iCs w:val="0"/>
          </w:rPr>
          <w:t>عرب زاده، محمّد بن خليل - 1130 ه-</w:t>
        </w:r>
        <w:r>
          <w:tab/>
        </w:r>
        <w:r>
          <w:fldChar w:fldCharType="begin"/>
        </w:r>
        <w:r>
          <w:instrText xml:space="preserve">PAGEREF 5028 \h</w:instrText>
        </w:r>
        <w:r>
          <w:fldChar w:fldCharType="end"/>
        </w:r>
      </w:hyperlink>
    </w:p>
    <w:p>
      <w:pPr>
        <w:tabs>
          <w:tab w:val="right" w:leader="dot" w:pos="9062"/>
        </w:tabs>
        <w:ind w:left="220"/>
      </w:pPr>
      <w:hyperlink w:anchor="_Toc5029" w:history="1">
        <w:r>
          <w:rPr>
            <w:rFonts w:ascii="IRNazanin" w:hAnsi="IRNazanin" w:eastAsia="IRNazanin" w:cs="IRNazanin"/>
            <w:color w:val="111111"/>
            <w:sz w:val="22"/>
            <w:szCs w:val="22"/>
            <w:b w:val="0"/>
            <w:bCs w:val="0"/>
            <w:i w:val="0"/>
            <w:iCs w:val="0"/>
          </w:rPr>
          <w:t>عرب زاده، محمّد بن محمّد - 969 ه-</w:t>
        </w:r>
        <w:r>
          <w:tab/>
        </w:r>
        <w:r>
          <w:fldChar w:fldCharType="begin"/>
        </w:r>
        <w:r>
          <w:instrText xml:space="preserve">PAGEREF 5029 \h</w:instrText>
        </w:r>
        <w:r>
          <w:fldChar w:fldCharType="end"/>
        </w:r>
      </w:hyperlink>
    </w:p>
    <w:p>
      <w:pPr>
        <w:tabs>
          <w:tab w:val="right" w:leader="dot" w:pos="9062"/>
        </w:tabs>
        <w:ind w:left="220"/>
      </w:pPr>
      <w:hyperlink w:anchor="_Toc5030" w:history="1">
        <w:r>
          <w:rPr>
            <w:rFonts w:ascii="IRNazanin" w:hAnsi="IRNazanin" w:eastAsia="IRNazanin" w:cs="IRNazanin"/>
            <w:color w:val="111111"/>
            <w:sz w:val="22"/>
            <w:szCs w:val="22"/>
            <w:b w:val="0"/>
            <w:bCs w:val="0"/>
            <w:i w:val="0"/>
            <w:iCs w:val="0"/>
          </w:rPr>
          <w:t>عرب ، سعيد بن عبدالله</w:t>
        </w:r>
        <w:r>
          <w:tab/>
        </w:r>
        <w:r>
          <w:fldChar w:fldCharType="begin"/>
        </w:r>
        <w:r>
          <w:instrText xml:space="preserve">PAGEREF 5030 \h</w:instrText>
        </w:r>
        <w:r>
          <w:fldChar w:fldCharType="end"/>
        </w:r>
      </w:hyperlink>
    </w:p>
    <w:p>
      <w:pPr>
        <w:tabs>
          <w:tab w:val="right" w:leader="dot" w:pos="9062"/>
        </w:tabs>
        <w:ind w:left="220"/>
      </w:pPr>
      <w:hyperlink w:anchor="_Toc5031" w:history="1">
        <w:r>
          <w:rPr>
            <w:rFonts w:ascii="IRNazanin" w:hAnsi="IRNazanin" w:eastAsia="IRNazanin" w:cs="IRNazanin"/>
            <w:color w:val="111111"/>
            <w:sz w:val="22"/>
            <w:szCs w:val="22"/>
            <w:b w:val="0"/>
            <w:bCs w:val="0"/>
            <w:i w:val="0"/>
            <w:iCs w:val="0"/>
          </w:rPr>
          <w:t>؟ عربي طائي ، عساف بن حمد، قرن 13</w:t>
        </w:r>
        <w:r>
          <w:tab/>
        </w:r>
        <w:r>
          <w:fldChar w:fldCharType="begin"/>
        </w:r>
        <w:r>
          <w:instrText xml:space="preserve">PAGEREF 5031 \h</w:instrText>
        </w:r>
        <w:r>
          <w:fldChar w:fldCharType="end"/>
        </w:r>
      </w:hyperlink>
    </w:p>
    <w:p>
      <w:pPr>
        <w:tabs>
          <w:tab w:val="right" w:leader="dot" w:pos="9062"/>
        </w:tabs>
        <w:ind w:left="220"/>
      </w:pPr>
      <w:hyperlink w:anchor="_Toc5032" w:history="1">
        <w:r>
          <w:rPr>
            <w:rFonts w:ascii="IRNazanin" w:hAnsi="IRNazanin" w:eastAsia="IRNazanin" w:cs="IRNazanin"/>
            <w:color w:val="111111"/>
            <w:sz w:val="22"/>
            <w:szCs w:val="22"/>
            <w:b w:val="0"/>
            <w:bCs w:val="0"/>
            <w:i w:val="0"/>
            <w:iCs w:val="0"/>
          </w:rPr>
          <w:t>عرجي ، عبدالله بن عمر، - 120 ؟ ه-</w:t>
        </w:r>
        <w:r>
          <w:tab/>
        </w:r>
        <w:r>
          <w:fldChar w:fldCharType="begin"/>
        </w:r>
        <w:r>
          <w:instrText xml:space="preserve">PAGEREF 5032 \h</w:instrText>
        </w:r>
        <w:r>
          <w:fldChar w:fldCharType="end"/>
        </w:r>
      </w:hyperlink>
    </w:p>
    <w:p>
      <w:pPr>
        <w:tabs>
          <w:tab w:val="right" w:leader="dot" w:pos="9062"/>
        </w:tabs>
        <w:ind w:left="220"/>
      </w:pPr>
      <w:hyperlink w:anchor="_Toc5033" w:history="1">
        <w:r>
          <w:rPr>
            <w:rFonts w:ascii="IRNazanin" w:hAnsi="IRNazanin" w:eastAsia="IRNazanin" w:cs="IRNazanin"/>
            <w:color w:val="111111"/>
            <w:sz w:val="22"/>
            <w:szCs w:val="22"/>
            <w:b w:val="0"/>
            <w:bCs w:val="0"/>
            <w:i w:val="0"/>
            <w:iCs w:val="0"/>
          </w:rPr>
          <w:t>عرشي ، حسين بن احمد قرن 14 ه-</w:t>
        </w:r>
        <w:r>
          <w:tab/>
        </w:r>
        <w:r>
          <w:fldChar w:fldCharType="begin"/>
        </w:r>
        <w:r>
          <w:instrText xml:space="preserve">PAGEREF 5033 \h</w:instrText>
        </w:r>
        <w:r>
          <w:fldChar w:fldCharType="end"/>
        </w:r>
      </w:hyperlink>
    </w:p>
    <w:p>
      <w:pPr>
        <w:tabs>
          <w:tab w:val="right" w:leader="dot" w:pos="9062"/>
        </w:tabs>
        <w:ind w:left="220"/>
      </w:pPr>
      <w:hyperlink w:anchor="_Toc5034" w:history="1">
        <w:r>
          <w:rPr>
            <w:rFonts w:ascii="IRNazanin" w:hAnsi="IRNazanin" w:eastAsia="IRNazanin" w:cs="IRNazanin"/>
            <w:color w:val="111111"/>
            <w:sz w:val="22"/>
            <w:szCs w:val="22"/>
            <w:b w:val="0"/>
            <w:bCs w:val="0"/>
            <w:i w:val="0"/>
            <w:iCs w:val="0"/>
          </w:rPr>
          <w:t>عرشي هاشمي ، محمّد هاشم بن محمّد</w:t>
        </w:r>
        <w:r>
          <w:tab/>
        </w:r>
        <w:r>
          <w:fldChar w:fldCharType="begin"/>
        </w:r>
        <w:r>
          <w:instrText xml:space="preserve">PAGEREF 5034 \h</w:instrText>
        </w:r>
        <w:r>
          <w:fldChar w:fldCharType="end"/>
        </w:r>
      </w:hyperlink>
    </w:p>
    <w:p>
      <w:pPr>
        <w:tabs>
          <w:tab w:val="right" w:leader="dot" w:pos="9062"/>
        </w:tabs>
        <w:ind w:left="220"/>
      </w:pPr>
      <w:hyperlink w:anchor="_Toc5035" w:history="1">
        <w:r>
          <w:rPr>
            <w:rFonts w:ascii="IRNazanin" w:hAnsi="IRNazanin" w:eastAsia="IRNazanin" w:cs="IRNazanin"/>
            <w:color w:val="111111"/>
            <w:sz w:val="22"/>
            <w:szCs w:val="22"/>
            <w:b w:val="0"/>
            <w:bCs w:val="0"/>
            <w:i w:val="0"/>
            <w:iCs w:val="0"/>
          </w:rPr>
          <w:t>عرضي ، عبدالوهاب بن ابراهيم - 967</w:t>
        </w:r>
        <w:r>
          <w:tab/>
        </w:r>
        <w:r>
          <w:fldChar w:fldCharType="begin"/>
        </w:r>
        <w:r>
          <w:instrText xml:space="preserve">PAGEREF 5035 \h</w:instrText>
        </w:r>
        <w:r>
          <w:fldChar w:fldCharType="end"/>
        </w:r>
      </w:hyperlink>
    </w:p>
    <w:p>
      <w:pPr>
        <w:tabs>
          <w:tab w:val="right" w:leader="dot" w:pos="9062"/>
        </w:tabs>
        <w:ind w:left="220"/>
      </w:pPr>
      <w:hyperlink w:anchor="_Toc5036" w:history="1">
        <w:r>
          <w:rPr>
            <w:rFonts w:ascii="IRNazanin" w:hAnsi="IRNazanin" w:eastAsia="IRNazanin" w:cs="IRNazanin"/>
            <w:color w:val="111111"/>
            <w:sz w:val="22"/>
            <w:szCs w:val="22"/>
            <w:b w:val="0"/>
            <w:bCs w:val="0"/>
            <w:i w:val="0"/>
            <w:iCs w:val="0"/>
          </w:rPr>
          <w:t>عرضي ، عمر بن عبدالوهاب 950 -</w:t>
        </w:r>
        <w:r>
          <w:tab/>
        </w:r>
        <w:r>
          <w:fldChar w:fldCharType="begin"/>
        </w:r>
        <w:r>
          <w:instrText xml:space="preserve">PAGEREF 5036 \h</w:instrText>
        </w:r>
        <w:r>
          <w:fldChar w:fldCharType="end"/>
        </w:r>
      </w:hyperlink>
    </w:p>
    <w:p>
      <w:pPr>
        <w:tabs>
          <w:tab w:val="right" w:leader="dot" w:pos="9062"/>
        </w:tabs>
        <w:ind w:left="220"/>
      </w:pPr>
      <w:hyperlink w:anchor="_Toc5037" w:history="1">
        <w:r>
          <w:rPr>
            <w:rFonts w:ascii="IRNazanin" w:hAnsi="IRNazanin" w:eastAsia="IRNazanin" w:cs="IRNazanin"/>
            <w:color w:val="111111"/>
            <w:sz w:val="22"/>
            <w:szCs w:val="22"/>
            <w:b w:val="0"/>
            <w:bCs w:val="0"/>
            <w:i w:val="0"/>
            <w:iCs w:val="0"/>
          </w:rPr>
          <w:t>عرفان يزدي، مطيع بن محمود قرن 12</w:t>
        </w:r>
        <w:r>
          <w:tab/>
        </w:r>
        <w:r>
          <w:fldChar w:fldCharType="begin"/>
        </w:r>
        <w:r>
          <w:instrText xml:space="preserve">PAGEREF 5037 \h</w:instrText>
        </w:r>
        <w:r>
          <w:fldChar w:fldCharType="end"/>
        </w:r>
      </w:hyperlink>
    </w:p>
    <w:p>
      <w:pPr>
        <w:tabs>
          <w:tab w:val="right" w:leader="dot" w:pos="9062"/>
        </w:tabs>
        <w:ind w:left="220"/>
      </w:pPr>
      <w:hyperlink w:anchor="_Toc5038" w:history="1">
        <w:r>
          <w:rPr>
            <w:rFonts w:ascii="IRNazanin" w:hAnsi="IRNazanin" w:eastAsia="IRNazanin" w:cs="IRNazanin"/>
            <w:color w:val="111111"/>
            <w:sz w:val="22"/>
            <w:szCs w:val="22"/>
            <w:b w:val="0"/>
            <w:bCs w:val="0"/>
            <w:i w:val="0"/>
            <w:iCs w:val="0"/>
          </w:rPr>
          <w:t>عرفي شيرازي ، محمّد بن علي 963 -</w:t>
        </w:r>
        <w:r>
          <w:tab/>
        </w:r>
        <w:r>
          <w:fldChar w:fldCharType="begin"/>
        </w:r>
        <w:r>
          <w:instrText xml:space="preserve">PAGEREF 5038 \h</w:instrText>
        </w:r>
        <w:r>
          <w:fldChar w:fldCharType="end"/>
        </w:r>
      </w:hyperlink>
    </w:p>
    <w:p>
      <w:pPr>
        <w:tabs>
          <w:tab w:val="right" w:leader="dot" w:pos="9062"/>
        </w:tabs>
        <w:ind w:left="220"/>
      </w:pPr>
      <w:hyperlink w:anchor="_Toc5039" w:history="1">
        <w:r>
          <w:rPr>
            <w:rFonts w:ascii="IRNazanin" w:hAnsi="IRNazanin" w:eastAsia="IRNazanin" w:cs="IRNazanin"/>
            <w:color w:val="111111"/>
            <w:sz w:val="22"/>
            <w:szCs w:val="22"/>
            <w:b w:val="0"/>
            <w:bCs w:val="0"/>
            <w:i w:val="0"/>
            <w:iCs w:val="0"/>
          </w:rPr>
          <w:t>عرفي ، علي بن عبدالله - 1305 ه-</w:t>
        </w:r>
        <w:r>
          <w:tab/>
        </w:r>
        <w:r>
          <w:fldChar w:fldCharType="begin"/>
        </w:r>
        <w:r>
          <w:instrText xml:space="preserve">PAGEREF 5039 \h</w:instrText>
        </w:r>
        <w:r>
          <w:fldChar w:fldCharType="end"/>
        </w:r>
      </w:hyperlink>
    </w:p>
    <w:p>
      <w:pPr>
        <w:tabs>
          <w:tab w:val="right" w:leader="dot" w:pos="9062"/>
        </w:tabs>
        <w:ind w:left="220"/>
      </w:pPr>
      <w:hyperlink w:anchor="_Toc5040" w:history="1">
        <w:r>
          <w:rPr>
            <w:rFonts w:ascii="IRNazanin" w:hAnsi="IRNazanin" w:eastAsia="IRNazanin" w:cs="IRNazanin"/>
            <w:color w:val="111111"/>
            <w:sz w:val="22"/>
            <w:szCs w:val="22"/>
            <w:b w:val="0"/>
            <w:bCs w:val="0"/>
            <w:i w:val="0"/>
            <w:iCs w:val="0"/>
          </w:rPr>
          <w:t>عرنب ، علي</w:t>
        </w:r>
        <w:r>
          <w:tab/>
        </w:r>
        <w:r>
          <w:fldChar w:fldCharType="begin"/>
        </w:r>
        <w:r>
          <w:instrText xml:space="preserve">PAGEREF 5040 \h</w:instrText>
        </w:r>
        <w:r>
          <w:fldChar w:fldCharType="end"/>
        </w:r>
      </w:hyperlink>
    </w:p>
    <w:p>
      <w:pPr>
        <w:tabs>
          <w:tab w:val="right" w:leader="dot" w:pos="9062"/>
        </w:tabs>
        <w:ind w:left="220"/>
      </w:pPr>
      <w:hyperlink w:anchor="_Toc5041" w:history="1">
        <w:r>
          <w:rPr>
            <w:rFonts w:ascii="IRNazanin" w:hAnsi="IRNazanin" w:eastAsia="IRNazanin" w:cs="IRNazanin"/>
            <w:color w:val="111111"/>
            <w:sz w:val="22"/>
            <w:szCs w:val="22"/>
            <w:b w:val="0"/>
            <w:bCs w:val="0"/>
            <w:i w:val="0"/>
            <w:iCs w:val="0"/>
          </w:rPr>
          <w:t>عروضي ، عبدالله بن محمّد</w:t>
        </w:r>
        <w:r>
          <w:tab/>
        </w:r>
        <w:r>
          <w:fldChar w:fldCharType="begin"/>
        </w:r>
        <w:r>
          <w:instrText xml:space="preserve">PAGEREF 5041 \h</w:instrText>
        </w:r>
        <w:r>
          <w:fldChar w:fldCharType="end"/>
        </w:r>
      </w:hyperlink>
    </w:p>
    <w:p>
      <w:pPr>
        <w:tabs>
          <w:tab w:val="right" w:leader="dot" w:pos="9062"/>
        </w:tabs>
        <w:ind w:left="220"/>
      </w:pPr>
      <w:hyperlink w:anchor="_Toc5042" w:history="1">
        <w:r>
          <w:rPr>
            <w:rFonts w:ascii="IRNazanin" w:hAnsi="IRNazanin" w:eastAsia="IRNazanin" w:cs="IRNazanin"/>
            <w:color w:val="111111"/>
            <w:sz w:val="22"/>
            <w:szCs w:val="22"/>
            <w:b w:val="0"/>
            <w:bCs w:val="0"/>
            <w:i w:val="0"/>
            <w:iCs w:val="0"/>
          </w:rPr>
          <w:t>عرياني ، عثمان بن عبدالله - 1168 ه-</w:t>
        </w:r>
        <w:r>
          <w:tab/>
        </w:r>
        <w:r>
          <w:fldChar w:fldCharType="begin"/>
        </w:r>
        <w:r>
          <w:instrText xml:space="preserve">PAGEREF 5042 \h</w:instrText>
        </w:r>
        <w:r>
          <w:fldChar w:fldCharType="end"/>
        </w:r>
      </w:hyperlink>
    </w:p>
    <w:p>
      <w:pPr>
        <w:tabs>
          <w:tab w:val="right" w:leader="dot" w:pos="9062"/>
        </w:tabs>
        <w:ind w:left="220"/>
      </w:pPr>
      <w:hyperlink w:anchor="_Toc5043" w:history="1">
        <w:r>
          <w:rPr>
            <w:rFonts w:ascii="IRNazanin" w:hAnsi="IRNazanin" w:eastAsia="IRNazanin" w:cs="IRNazanin"/>
            <w:color w:val="111111"/>
            <w:sz w:val="22"/>
            <w:szCs w:val="22"/>
            <w:b w:val="0"/>
            <w:bCs w:val="0"/>
            <w:i w:val="0"/>
            <w:iCs w:val="0"/>
          </w:rPr>
          <w:t>عريضي ، علي بن جعفر 135؟ - 220؟</w:t>
        </w:r>
        <w:r>
          <w:tab/>
        </w:r>
        <w:r>
          <w:fldChar w:fldCharType="begin"/>
        </w:r>
        <w:r>
          <w:instrText xml:space="preserve">PAGEREF 5043 \h</w:instrText>
        </w:r>
        <w:r>
          <w:fldChar w:fldCharType="end"/>
        </w:r>
      </w:hyperlink>
    </w:p>
    <w:p>
      <w:pPr>
        <w:tabs>
          <w:tab w:val="right" w:leader="dot" w:pos="9062"/>
        </w:tabs>
        <w:ind w:left="220"/>
      </w:pPr>
      <w:hyperlink w:anchor="_Toc5044" w:history="1">
        <w:r>
          <w:rPr>
            <w:rFonts w:ascii="IRNazanin" w:hAnsi="IRNazanin" w:eastAsia="IRNazanin" w:cs="IRNazanin"/>
            <w:color w:val="111111"/>
            <w:sz w:val="22"/>
            <w:szCs w:val="22"/>
            <w:b w:val="0"/>
            <w:bCs w:val="0"/>
            <w:i w:val="0"/>
            <w:iCs w:val="0"/>
          </w:rPr>
          <w:t>عزاوي ، عباس، 1888 م</w:t>
        </w:r>
        <w:r>
          <w:tab/>
        </w:r>
        <w:r>
          <w:fldChar w:fldCharType="begin"/>
        </w:r>
        <w:r>
          <w:instrText xml:space="preserve">PAGEREF 5044 \h</w:instrText>
        </w:r>
        <w:r>
          <w:fldChar w:fldCharType="end"/>
        </w:r>
      </w:hyperlink>
    </w:p>
    <w:p>
      <w:pPr>
        <w:tabs>
          <w:tab w:val="right" w:leader="dot" w:pos="9062"/>
        </w:tabs>
        <w:ind w:left="220"/>
      </w:pPr>
      <w:hyperlink w:anchor="_Toc5045" w:history="1">
        <w:r>
          <w:rPr>
            <w:rFonts w:ascii="IRNazanin" w:hAnsi="IRNazanin" w:eastAsia="IRNazanin" w:cs="IRNazanin"/>
            <w:color w:val="111111"/>
            <w:sz w:val="22"/>
            <w:szCs w:val="22"/>
            <w:b w:val="0"/>
            <w:bCs w:val="0"/>
            <w:i w:val="0"/>
            <w:iCs w:val="0"/>
          </w:rPr>
          <w:t>عزمي زاده ، مصطفی بن محمّد، 977 -</w:t>
        </w:r>
        <w:r>
          <w:tab/>
        </w:r>
        <w:r>
          <w:fldChar w:fldCharType="begin"/>
        </w:r>
        <w:r>
          <w:instrText xml:space="preserve">PAGEREF 5045 \h</w:instrText>
        </w:r>
        <w:r>
          <w:fldChar w:fldCharType="end"/>
        </w:r>
      </w:hyperlink>
    </w:p>
    <w:p>
      <w:pPr>
        <w:tabs>
          <w:tab w:val="right" w:leader="dot" w:pos="9062"/>
        </w:tabs>
        <w:ind w:left="220"/>
      </w:pPr>
      <w:hyperlink w:anchor="_Toc5046" w:history="1">
        <w:r>
          <w:rPr>
            <w:rFonts w:ascii="IRNazanin" w:hAnsi="IRNazanin" w:eastAsia="IRNazanin" w:cs="IRNazanin"/>
            <w:color w:val="111111"/>
            <w:sz w:val="22"/>
            <w:szCs w:val="22"/>
            <w:b w:val="0"/>
            <w:bCs w:val="0"/>
            <w:i w:val="0"/>
            <w:iCs w:val="0"/>
          </w:rPr>
          <w:t>عزه ، كثير بن عبد الرحمن - 105ه-</w:t>
        </w:r>
        <w:r>
          <w:tab/>
        </w:r>
        <w:r>
          <w:fldChar w:fldCharType="begin"/>
        </w:r>
        <w:r>
          <w:instrText xml:space="preserve">PAGEREF 5046 \h</w:instrText>
        </w:r>
        <w:r>
          <w:fldChar w:fldCharType="end"/>
        </w:r>
      </w:hyperlink>
    </w:p>
    <w:p>
      <w:pPr>
        <w:tabs>
          <w:tab w:val="right" w:leader="dot" w:pos="9062"/>
        </w:tabs>
        <w:ind w:left="220"/>
      </w:pPr>
      <w:hyperlink w:anchor="_Toc5047" w:history="1">
        <w:r>
          <w:rPr>
            <w:rFonts w:ascii="IRNazanin" w:hAnsi="IRNazanin" w:eastAsia="IRNazanin" w:cs="IRNazanin"/>
            <w:color w:val="111111"/>
            <w:sz w:val="22"/>
            <w:szCs w:val="22"/>
            <w:b w:val="0"/>
            <w:bCs w:val="0"/>
            <w:i w:val="0"/>
            <w:iCs w:val="0"/>
          </w:rPr>
          <w:t>عزي ، ابراهيم بن عثمان</w:t>
        </w:r>
        <w:r>
          <w:tab/>
        </w:r>
        <w:r>
          <w:fldChar w:fldCharType="begin"/>
        </w:r>
        <w:r>
          <w:instrText xml:space="preserve">PAGEREF 5047 \h</w:instrText>
        </w:r>
        <w:r>
          <w:fldChar w:fldCharType="end"/>
        </w:r>
      </w:hyperlink>
    </w:p>
    <w:p>
      <w:pPr>
        <w:tabs>
          <w:tab w:val="right" w:leader="dot" w:pos="9062"/>
        </w:tabs>
        <w:ind w:left="220"/>
      </w:pPr>
      <w:hyperlink w:anchor="_Toc5048" w:history="1">
        <w:r>
          <w:rPr>
            <w:rFonts w:ascii="IRNazanin" w:hAnsi="IRNazanin" w:eastAsia="IRNazanin" w:cs="IRNazanin"/>
            <w:color w:val="111111"/>
            <w:sz w:val="22"/>
            <w:szCs w:val="22"/>
            <w:b w:val="0"/>
            <w:bCs w:val="0"/>
            <w:i w:val="0"/>
            <w:iCs w:val="0"/>
          </w:rPr>
          <w:t>عزي ، ابوالوفاء، قرن 10 ه-</w:t>
        </w:r>
        <w:r>
          <w:tab/>
        </w:r>
        <w:r>
          <w:fldChar w:fldCharType="begin"/>
        </w:r>
        <w:r>
          <w:instrText xml:space="preserve">PAGEREF 5048 \h</w:instrText>
        </w:r>
        <w:r>
          <w:fldChar w:fldCharType="end"/>
        </w:r>
      </w:hyperlink>
    </w:p>
    <w:p>
      <w:pPr>
        <w:tabs>
          <w:tab w:val="right" w:leader="dot" w:pos="9062"/>
        </w:tabs>
        <w:ind w:left="220"/>
      </w:pPr>
      <w:hyperlink w:anchor="_Toc5049" w:history="1">
        <w:r>
          <w:rPr>
            <w:rFonts w:ascii="IRNazanin" w:hAnsi="IRNazanin" w:eastAsia="IRNazanin" w:cs="IRNazanin"/>
            <w:color w:val="111111"/>
            <w:sz w:val="22"/>
            <w:szCs w:val="22"/>
            <w:b w:val="0"/>
            <w:bCs w:val="0"/>
            <w:i w:val="0"/>
            <w:iCs w:val="0"/>
          </w:rPr>
          <w:t>عزيز العزي</w:t>
        </w:r>
        <w:r>
          <w:tab/>
        </w:r>
        <w:r>
          <w:fldChar w:fldCharType="begin"/>
        </w:r>
        <w:r>
          <w:instrText xml:space="preserve">PAGEREF 5049 \h</w:instrText>
        </w:r>
        <w:r>
          <w:fldChar w:fldCharType="end"/>
        </w:r>
      </w:hyperlink>
    </w:p>
    <w:p>
      <w:pPr>
        <w:tabs>
          <w:tab w:val="right" w:leader="dot" w:pos="9062"/>
        </w:tabs>
        <w:ind w:left="220"/>
      </w:pPr>
      <w:hyperlink w:anchor="_Toc5050" w:history="1">
        <w:r>
          <w:rPr>
            <w:rFonts w:ascii="IRNazanin" w:hAnsi="IRNazanin" w:eastAsia="IRNazanin" w:cs="IRNazanin"/>
            <w:color w:val="111111"/>
            <w:sz w:val="22"/>
            <w:szCs w:val="22"/>
            <w:b w:val="0"/>
            <w:bCs w:val="0"/>
            <w:i w:val="0"/>
            <w:iCs w:val="0"/>
          </w:rPr>
          <w:t>عزيزي ، علي بن احمد - 1070 ه-</w:t>
        </w:r>
        <w:r>
          <w:tab/>
        </w:r>
        <w:r>
          <w:fldChar w:fldCharType="begin"/>
        </w:r>
        <w:r>
          <w:instrText xml:space="preserve">PAGEREF 5050 \h</w:instrText>
        </w:r>
        <w:r>
          <w:fldChar w:fldCharType="end"/>
        </w:r>
      </w:hyperlink>
    </w:p>
    <w:p>
      <w:pPr>
        <w:tabs>
          <w:tab w:val="right" w:leader="dot" w:pos="9062"/>
        </w:tabs>
        <w:ind w:left="220"/>
      </w:pPr>
      <w:hyperlink w:anchor="_Toc5051" w:history="1">
        <w:r>
          <w:rPr>
            <w:rFonts w:ascii="IRNazanin" w:hAnsi="IRNazanin" w:eastAsia="IRNazanin" w:cs="IRNazanin"/>
            <w:color w:val="111111"/>
            <w:sz w:val="22"/>
            <w:szCs w:val="22"/>
            <w:b w:val="0"/>
            <w:bCs w:val="0"/>
            <w:i w:val="0"/>
            <w:iCs w:val="0"/>
          </w:rPr>
          <w:t>عزي قادري ، ابوالعون، قرن 13 ه-</w:t>
        </w:r>
        <w:r>
          <w:tab/>
        </w:r>
        <w:r>
          <w:fldChar w:fldCharType="begin"/>
        </w:r>
        <w:r>
          <w:instrText xml:space="preserve">PAGEREF 5051 \h</w:instrText>
        </w:r>
        <w:r>
          <w:fldChar w:fldCharType="end"/>
        </w:r>
      </w:hyperlink>
    </w:p>
    <w:p>
      <w:pPr>
        <w:tabs>
          <w:tab w:val="right" w:leader="dot" w:pos="9062"/>
        </w:tabs>
        <w:ind w:left="220"/>
      </w:pPr>
      <w:hyperlink w:anchor="_Toc5052" w:history="1">
        <w:r>
          <w:rPr>
            <w:rFonts w:ascii="IRNazanin" w:hAnsi="IRNazanin" w:eastAsia="IRNazanin" w:cs="IRNazanin"/>
            <w:color w:val="111111"/>
            <w:sz w:val="22"/>
            <w:szCs w:val="22"/>
            <w:b w:val="0"/>
            <w:bCs w:val="0"/>
            <w:i w:val="0"/>
            <w:iCs w:val="0"/>
          </w:rPr>
          <w:t>عزي مخللاتي ، محمّد حنفي بن علي</w:t>
        </w:r>
        <w:r>
          <w:tab/>
        </w:r>
        <w:r>
          <w:fldChar w:fldCharType="begin"/>
        </w:r>
        <w:r>
          <w:instrText xml:space="preserve">PAGEREF 5052 \h</w:instrText>
        </w:r>
        <w:r>
          <w:fldChar w:fldCharType="end"/>
        </w:r>
      </w:hyperlink>
    </w:p>
    <w:p>
      <w:pPr>
        <w:tabs>
          <w:tab w:val="right" w:leader="dot" w:pos="9062"/>
        </w:tabs>
        <w:ind w:left="220"/>
      </w:pPr>
      <w:hyperlink w:anchor="_Toc5053" w:history="1">
        <w:r>
          <w:rPr>
            <w:rFonts w:ascii="IRNazanin" w:hAnsi="IRNazanin" w:eastAsia="IRNazanin" w:cs="IRNazanin"/>
            <w:color w:val="111111"/>
            <w:sz w:val="22"/>
            <w:szCs w:val="22"/>
            <w:b w:val="0"/>
            <w:bCs w:val="0"/>
            <w:i w:val="0"/>
            <w:iCs w:val="0"/>
          </w:rPr>
          <w:t>عسقلاني ، علي بن محمّد قرن 8 ه-</w:t>
        </w:r>
        <w:r>
          <w:tab/>
        </w:r>
        <w:r>
          <w:fldChar w:fldCharType="begin"/>
        </w:r>
        <w:r>
          <w:instrText xml:space="preserve">PAGEREF 5053 \h</w:instrText>
        </w:r>
        <w:r>
          <w:fldChar w:fldCharType="end"/>
        </w:r>
      </w:hyperlink>
    </w:p>
    <w:p>
      <w:pPr>
        <w:tabs>
          <w:tab w:val="right" w:leader="dot" w:pos="9062"/>
        </w:tabs>
        <w:ind w:left="220"/>
      </w:pPr>
      <w:hyperlink w:anchor="_Toc5054" w:history="1">
        <w:r>
          <w:rPr>
            <w:rFonts w:ascii="IRNazanin" w:hAnsi="IRNazanin" w:eastAsia="IRNazanin" w:cs="IRNazanin"/>
            <w:color w:val="111111"/>
            <w:sz w:val="22"/>
            <w:szCs w:val="22"/>
            <w:b w:val="0"/>
            <w:bCs w:val="0"/>
            <w:i w:val="0"/>
            <w:iCs w:val="0"/>
          </w:rPr>
          <w:t>عسكري ، ابراهيم بن حرب، قرن 3 ه-</w:t>
        </w:r>
        <w:r>
          <w:tab/>
        </w:r>
        <w:r>
          <w:fldChar w:fldCharType="begin"/>
        </w:r>
        <w:r>
          <w:instrText xml:space="preserve">PAGEREF 5054 \h</w:instrText>
        </w:r>
        <w:r>
          <w:fldChar w:fldCharType="end"/>
        </w:r>
      </w:hyperlink>
    </w:p>
    <w:p>
      <w:pPr>
        <w:tabs>
          <w:tab w:val="right" w:leader="dot" w:pos="9062"/>
        </w:tabs>
        <w:ind w:left="220"/>
      </w:pPr>
      <w:hyperlink w:anchor="_Toc5055" w:history="1">
        <w:r>
          <w:rPr>
            <w:rFonts w:ascii="IRNazanin" w:hAnsi="IRNazanin" w:eastAsia="IRNazanin" w:cs="IRNazanin"/>
            <w:color w:val="111111"/>
            <w:sz w:val="22"/>
            <w:szCs w:val="22"/>
            <w:b w:val="0"/>
            <w:bCs w:val="0"/>
            <w:i w:val="0"/>
            <w:iCs w:val="0"/>
          </w:rPr>
          <w:t>عسكري ، حرز بن علي، قرن 10 ه-</w:t>
        </w:r>
        <w:r>
          <w:tab/>
        </w:r>
        <w:r>
          <w:fldChar w:fldCharType="begin"/>
        </w:r>
        <w:r>
          <w:instrText xml:space="preserve">PAGEREF 5055 \h</w:instrText>
        </w:r>
        <w:r>
          <w:fldChar w:fldCharType="end"/>
        </w:r>
      </w:hyperlink>
    </w:p>
    <w:p>
      <w:pPr>
        <w:tabs>
          <w:tab w:val="right" w:leader="dot" w:pos="9062"/>
        </w:tabs>
        <w:ind w:left="220"/>
      </w:pPr>
      <w:hyperlink w:anchor="_Toc5056" w:history="1">
        <w:r>
          <w:rPr>
            <w:rFonts w:ascii="IRNazanin" w:hAnsi="IRNazanin" w:eastAsia="IRNazanin" w:cs="IRNazanin"/>
            <w:color w:val="111111"/>
            <w:sz w:val="22"/>
            <w:szCs w:val="22"/>
            <w:b w:val="0"/>
            <w:bCs w:val="0"/>
            <w:i w:val="0"/>
            <w:iCs w:val="0"/>
          </w:rPr>
          <w:t>عسكري ، حسن بن عبد الله 293 - 382</w:t>
        </w:r>
        <w:r>
          <w:tab/>
        </w:r>
        <w:r>
          <w:fldChar w:fldCharType="begin"/>
        </w:r>
        <w:r>
          <w:instrText xml:space="preserve">PAGEREF 5056 \h</w:instrText>
        </w:r>
        <w:r>
          <w:fldChar w:fldCharType="end"/>
        </w:r>
      </w:hyperlink>
    </w:p>
    <w:p>
      <w:pPr>
        <w:tabs>
          <w:tab w:val="right" w:leader="dot" w:pos="9062"/>
        </w:tabs>
        <w:ind w:left="220"/>
      </w:pPr>
      <w:hyperlink w:anchor="_Toc5057" w:history="1">
        <w:r>
          <w:rPr>
            <w:rFonts w:ascii="IRNazanin" w:hAnsi="IRNazanin" w:eastAsia="IRNazanin" w:cs="IRNazanin"/>
            <w:color w:val="111111"/>
            <w:sz w:val="22"/>
            <w:szCs w:val="22"/>
            <w:b w:val="0"/>
            <w:bCs w:val="0"/>
            <w:i w:val="0"/>
            <w:iCs w:val="0"/>
          </w:rPr>
          <w:t>عسكري ، علي بن عمر</w:t>
        </w:r>
        <w:r>
          <w:tab/>
        </w:r>
        <w:r>
          <w:fldChar w:fldCharType="begin"/>
        </w:r>
        <w:r>
          <w:instrText xml:space="preserve">PAGEREF 5057 \h</w:instrText>
        </w:r>
        <w:r>
          <w:fldChar w:fldCharType="end"/>
        </w:r>
      </w:hyperlink>
    </w:p>
    <w:p>
      <w:pPr>
        <w:tabs>
          <w:tab w:val="right" w:leader="dot" w:pos="9062"/>
        </w:tabs>
        <w:ind w:left="220"/>
      </w:pPr>
      <w:hyperlink w:anchor="_Toc5058" w:history="1">
        <w:r>
          <w:rPr>
            <w:rFonts w:ascii="IRNazanin" w:hAnsi="IRNazanin" w:eastAsia="IRNazanin" w:cs="IRNazanin"/>
            <w:color w:val="111111"/>
            <w:sz w:val="22"/>
            <w:szCs w:val="22"/>
            <w:b w:val="0"/>
            <w:bCs w:val="0"/>
            <w:i w:val="0"/>
            <w:iCs w:val="0"/>
          </w:rPr>
          <w:t>عسكري ، محمّد بن رجبعلي</w:t>
        </w:r>
        <w:r>
          <w:tab/>
        </w:r>
        <w:r>
          <w:fldChar w:fldCharType="begin"/>
        </w:r>
        <w:r>
          <w:instrText xml:space="preserve">PAGEREF 5058 \h</w:instrText>
        </w:r>
        <w:r>
          <w:fldChar w:fldCharType="end"/>
        </w:r>
      </w:hyperlink>
    </w:p>
    <w:p>
      <w:pPr>
        <w:tabs>
          <w:tab w:val="right" w:leader="dot" w:pos="9062"/>
        </w:tabs>
        <w:ind w:left="220"/>
      </w:pPr>
      <w:hyperlink w:anchor="_Toc5059" w:history="1">
        <w:r>
          <w:rPr>
            <w:rFonts w:ascii="IRNazanin" w:hAnsi="IRNazanin" w:eastAsia="IRNazanin" w:cs="IRNazanin"/>
            <w:color w:val="111111"/>
            <w:sz w:val="22"/>
            <w:szCs w:val="22"/>
            <w:b w:val="0"/>
            <w:bCs w:val="0"/>
            <w:i w:val="0"/>
            <w:iCs w:val="0"/>
          </w:rPr>
          <w:t>عسكري ، محمّد حسن بن هدایت الله</w:t>
        </w:r>
        <w:r>
          <w:tab/>
        </w:r>
        <w:r>
          <w:fldChar w:fldCharType="begin"/>
        </w:r>
        <w:r>
          <w:instrText xml:space="preserve">PAGEREF 5059 \h</w:instrText>
        </w:r>
        <w:r>
          <w:fldChar w:fldCharType="end"/>
        </w:r>
      </w:hyperlink>
    </w:p>
    <w:p>
      <w:pPr>
        <w:tabs>
          <w:tab w:val="right" w:leader="dot" w:pos="9062"/>
        </w:tabs>
        <w:ind w:left="220"/>
      </w:pPr>
      <w:hyperlink w:anchor="_Toc5060" w:history="1">
        <w:r>
          <w:rPr>
            <w:rFonts w:ascii="IRNazanin" w:hAnsi="IRNazanin" w:eastAsia="IRNazanin" w:cs="IRNazanin"/>
            <w:color w:val="111111"/>
            <w:sz w:val="22"/>
            <w:szCs w:val="22"/>
            <w:b w:val="0"/>
            <w:bCs w:val="0"/>
            <w:i w:val="0"/>
            <w:iCs w:val="0"/>
          </w:rPr>
          <w:t>عسيلي ، علي بن محمّد - 993 ه-</w:t>
        </w:r>
        <w:r>
          <w:tab/>
        </w:r>
        <w:r>
          <w:fldChar w:fldCharType="begin"/>
        </w:r>
        <w:r>
          <w:instrText xml:space="preserve">PAGEREF 5060 \h</w:instrText>
        </w:r>
        <w:r>
          <w:fldChar w:fldCharType="end"/>
        </w:r>
      </w:hyperlink>
    </w:p>
    <w:p>
      <w:pPr>
        <w:tabs>
          <w:tab w:val="right" w:leader="dot" w:pos="9062"/>
        </w:tabs>
        <w:ind w:left="220"/>
      </w:pPr>
      <w:hyperlink w:anchor="_Toc5061" w:history="1">
        <w:r>
          <w:rPr>
            <w:rFonts w:ascii="IRNazanin" w:hAnsi="IRNazanin" w:eastAsia="IRNazanin" w:cs="IRNazanin"/>
            <w:color w:val="111111"/>
            <w:sz w:val="22"/>
            <w:szCs w:val="22"/>
            <w:b w:val="0"/>
            <w:bCs w:val="0"/>
            <w:i w:val="0"/>
            <w:iCs w:val="0"/>
          </w:rPr>
          <w:t>عشاري ، حسين بن علي 1150 - 1195 ؟</w:t>
        </w:r>
        <w:r>
          <w:tab/>
        </w:r>
        <w:r>
          <w:fldChar w:fldCharType="begin"/>
        </w:r>
        <w:r>
          <w:instrText xml:space="preserve">PAGEREF 5061 \h</w:instrText>
        </w:r>
        <w:r>
          <w:fldChar w:fldCharType="end"/>
        </w:r>
      </w:hyperlink>
    </w:p>
    <w:p>
      <w:pPr>
        <w:tabs>
          <w:tab w:val="right" w:leader="dot" w:pos="9062"/>
        </w:tabs>
        <w:ind w:left="220"/>
      </w:pPr>
      <w:hyperlink w:anchor="_Toc5062" w:history="1">
        <w:r>
          <w:rPr>
            <w:rFonts w:ascii="IRNazanin" w:hAnsi="IRNazanin" w:eastAsia="IRNazanin" w:cs="IRNazanin"/>
            <w:color w:val="111111"/>
            <w:sz w:val="22"/>
            <w:szCs w:val="22"/>
            <w:b w:val="0"/>
            <w:bCs w:val="0"/>
            <w:i w:val="0"/>
            <w:iCs w:val="0"/>
          </w:rPr>
          <w:t>عشاقي ، مصطفى بن محمّبد - 1101 ه-</w:t>
        </w:r>
        <w:r>
          <w:tab/>
        </w:r>
        <w:r>
          <w:fldChar w:fldCharType="begin"/>
        </w:r>
        <w:r>
          <w:instrText xml:space="preserve">PAGEREF 5062 \h</w:instrText>
        </w:r>
        <w:r>
          <w:fldChar w:fldCharType="end"/>
        </w:r>
      </w:hyperlink>
    </w:p>
    <w:p>
      <w:pPr>
        <w:tabs>
          <w:tab w:val="right" w:leader="dot" w:pos="9062"/>
        </w:tabs>
        <w:ind w:left="220"/>
      </w:pPr>
      <w:hyperlink w:anchor="_Toc5063" w:history="1">
        <w:r>
          <w:rPr>
            <w:rFonts w:ascii="IRNazanin" w:hAnsi="IRNazanin" w:eastAsia="IRNazanin" w:cs="IRNazanin"/>
            <w:color w:val="111111"/>
            <w:sz w:val="22"/>
            <w:szCs w:val="22"/>
            <w:b w:val="0"/>
            <w:bCs w:val="0"/>
            <w:i w:val="0"/>
            <w:iCs w:val="0"/>
          </w:rPr>
          <w:t>عشقي ، محمّد رضا بن ابوالقاسم، 1312</w:t>
        </w:r>
        <w:r>
          <w:tab/>
        </w:r>
        <w:r>
          <w:fldChar w:fldCharType="begin"/>
        </w:r>
        <w:r>
          <w:instrText xml:space="preserve">PAGEREF 5063 \h</w:instrText>
        </w:r>
        <w:r>
          <w:fldChar w:fldCharType="end"/>
        </w:r>
      </w:hyperlink>
    </w:p>
    <w:p>
      <w:pPr>
        <w:tabs>
          <w:tab w:val="right" w:leader="dot" w:pos="9062"/>
        </w:tabs>
        <w:ind w:left="220"/>
      </w:pPr>
      <w:hyperlink w:anchor="_Toc5064" w:history="1">
        <w:r>
          <w:rPr>
            <w:rFonts w:ascii="IRNazanin" w:hAnsi="IRNazanin" w:eastAsia="IRNazanin" w:cs="IRNazanin"/>
            <w:color w:val="111111"/>
            <w:sz w:val="22"/>
            <w:szCs w:val="22"/>
            <w:b w:val="0"/>
            <w:bCs w:val="0"/>
            <w:i w:val="0"/>
            <w:iCs w:val="0"/>
          </w:rPr>
          <w:t>عشماوي ، عبدالباري، قرن 11 ه-</w:t>
        </w:r>
        <w:r>
          <w:tab/>
        </w:r>
        <w:r>
          <w:fldChar w:fldCharType="begin"/>
        </w:r>
        <w:r>
          <w:instrText xml:space="preserve">PAGEREF 5064 \h</w:instrText>
        </w:r>
        <w:r>
          <w:fldChar w:fldCharType="end"/>
        </w:r>
      </w:hyperlink>
    </w:p>
    <w:p>
      <w:pPr>
        <w:tabs>
          <w:tab w:val="right" w:leader="dot" w:pos="9062"/>
        </w:tabs>
        <w:ind w:left="220"/>
      </w:pPr>
      <w:hyperlink w:anchor="_Toc5065" w:history="1">
        <w:r>
          <w:rPr>
            <w:rFonts w:ascii="IRNazanin" w:hAnsi="IRNazanin" w:eastAsia="IRNazanin" w:cs="IRNazanin"/>
            <w:color w:val="111111"/>
            <w:sz w:val="22"/>
            <w:szCs w:val="22"/>
            <w:b w:val="0"/>
            <w:bCs w:val="0"/>
            <w:i w:val="0"/>
            <w:iCs w:val="0"/>
          </w:rPr>
          <w:t>عشماوي ، عبد اللطيف بن شرف الدين،</w:t>
        </w:r>
        <w:r>
          <w:tab/>
        </w:r>
        <w:r>
          <w:fldChar w:fldCharType="begin"/>
        </w:r>
        <w:r>
          <w:instrText xml:space="preserve">PAGEREF 5065 \h</w:instrText>
        </w:r>
        <w:r>
          <w:fldChar w:fldCharType="end"/>
        </w:r>
      </w:hyperlink>
    </w:p>
    <w:p>
      <w:pPr>
        <w:tabs>
          <w:tab w:val="right" w:leader="dot" w:pos="9062"/>
        </w:tabs>
        <w:ind w:left="220"/>
      </w:pPr>
      <w:hyperlink w:anchor="_Toc5066" w:history="1">
        <w:r>
          <w:rPr>
            <w:rFonts w:ascii="IRNazanin" w:hAnsi="IRNazanin" w:eastAsia="IRNazanin" w:cs="IRNazanin"/>
            <w:color w:val="111111"/>
            <w:sz w:val="22"/>
            <w:szCs w:val="22"/>
            <w:b w:val="0"/>
            <w:bCs w:val="0"/>
            <w:i w:val="0"/>
            <w:iCs w:val="0"/>
          </w:rPr>
          <w:t>عشماوي ، عبدالله</w:t>
        </w:r>
        <w:r>
          <w:tab/>
        </w:r>
        <w:r>
          <w:fldChar w:fldCharType="begin"/>
        </w:r>
        <w:r>
          <w:instrText xml:space="preserve">PAGEREF 5066 \h</w:instrText>
        </w:r>
        <w:r>
          <w:fldChar w:fldCharType="end"/>
        </w:r>
      </w:hyperlink>
    </w:p>
    <w:p>
      <w:pPr>
        <w:tabs>
          <w:tab w:val="right" w:leader="dot" w:pos="9062"/>
        </w:tabs>
        <w:ind w:left="220"/>
      </w:pPr>
      <w:hyperlink w:anchor="_Toc5067" w:history="1">
        <w:r>
          <w:rPr>
            <w:rFonts w:ascii="IRNazanin" w:hAnsi="IRNazanin" w:eastAsia="IRNazanin" w:cs="IRNazanin"/>
            <w:color w:val="111111"/>
            <w:sz w:val="22"/>
            <w:szCs w:val="22"/>
            <w:b w:val="0"/>
            <w:bCs w:val="0"/>
            <w:i w:val="0"/>
            <w:iCs w:val="0"/>
          </w:rPr>
          <w:t>عصام الدين اسفرايني، ابراهيم بن</w:t>
        </w:r>
        <w:r>
          <w:tab/>
        </w:r>
        <w:r>
          <w:fldChar w:fldCharType="begin"/>
        </w:r>
        <w:r>
          <w:instrText xml:space="preserve">PAGEREF 5067 \h</w:instrText>
        </w:r>
        <w:r>
          <w:fldChar w:fldCharType="end"/>
        </w:r>
      </w:hyperlink>
    </w:p>
    <w:p>
      <w:pPr>
        <w:tabs>
          <w:tab w:val="right" w:leader="dot" w:pos="9062"/>
        </w:tabs>
        <w:ind w:left="220"/>
      </w:pPr>
      <w:hyperlink w:anchor="_Toc5068" w:history="1">
        <w:r>
          <w:rPr>
            <w:rFonts w:ascii="IRNazanin" w:hAnsi="IRNazanin" w:eastAsia="IRNazanin" w:cs="IRNazanin"/>
            <w:color w:val="111111"/>
            <w:sz w:val="22"/>
            <w:szCs w:val="22"/>
            <w:b w:val="0"/>
            <w:bCs w:val="0"/>
            <w:i w:val="0"/>
            <w:iCs w:val="0"/>
          </w:rPr>
          <w:t>عصامي ، عبدالملك بن حسين 1049 -</w:t>
        </w:r>
        <w:r>
          <w:tab/>
        </w:r>
        <w:r>
          <w:fldChar w:fldCharType="begin"/>
        </w:r>
        <w:r>
          <w:instrText xml:space="preserve">PAGEREF 5068 \h</w:instrText>
        </w:r>
        <w:r>
          <w:fldChar w:fldCharType="end"/>
        </w:r>
      </w:hyperlink>
    </w:p>
    <w:p>
      <w:pPr>
        <w:tabs>
          <w:tab w:val="right" w:leader="dot" w:pos="9062"/>
        </w:tabs>
        <w:ind w:left="220"/>
      </w:pPr>
      <w:hyperlink w:anchor="_Toc5069" w:history="1">
        <w:r>
          <w:rPr>
            <w:rFonts w:ascii="IRNazanin" w:hAnsi="IRNazanin" w:eastAsia="IRNazanin" w:cs="IRNazanin"/>
            <w:color w:val="111111"/>
            <w:sz w:val="22"/>
            <w:szCs w:val="22"/>
            <w:b w:val="0"/>
            <w:bCs w:val="0"/>
            <w:i w:val="0"/>
            <w:iCs w:val="0"/>
          </w:rPr>
          <w:t>عصامي ، علي بن اسماعيل - 1007 ه-</w:t>
        </w:r>
        <w:r>
          <w:tab/>
        </w:r>
        <w:r>
          <w:fldChar w:fldCharType="begin"/>
        </w:r>
        <w:r>
          <w:instrText xml:space="preserve">PAGEREF 5069 \h</w:instrText>
        </w:r>
        <w:r>
          <w:fldChar w:fldCharType="end"/>
        </w:r>
      </w:hyperlink>
    </w:p>
    <w:p>
      <w:pPr>
        <w:tabs>
          <w:tab w:val="right" w:leader="dot" w:pos="9062"/>
        </w:tabs>
        <w:ind w:left="220"/>
      </w:pPr>
      <w:hyperlink w:anchor="_Toc5070" w:history="1">
        <w:r>
          <w:rPr>
            <w:rFonts w:ascii="IRNazanin" w:hAnsi="IRNazanin" w:eastAsia="IRNazanin" w:cs="IRNazanin"/>
            <w:color w:val="111111"/>
            <w:sz w:val="22"/>
            <w:szCs w:val="22"/>
            <w:b w:val="0"/>
            <w:bCs w:val="0"/>
            <w:i w:val="0"/>
            <w:iCs w:val="0"/>
          </w:rPr>
          <w:t>عصامي ، محمّد بن صالح قرن 13 ه-</w:t>
        </w:r>
        <w:r>
          <w:tab/>
        </w:r>
        <w:r>
          <w:fldChar w:fldCharType="begin"/>
        </w:r>
        <w:r>
          <w:instrText xml:space="preserve">PAGEREF 5070 \h</w:instrText>
        </w:r>
        <w:r>
          <w:fldChar w:fldCharType="end"/>
        </w:r>
      </w:hyperlink>
    </w:p>
    <w:p>
      <w:pPr>
        <w:tabs>
          <w:tab w:val="right" w:leader="dot" w:pos="9062"/>
        </w:tabs>
        <w:ind w:left="220"/>
      </w:pPr>
      <w:hyperlink w:anchor="_Toc5071" w:history="1">
        <w:r>
          <w:rPr>
            <w:rFonts w:ascii="IRNazanin" w:hAnsi="IRNazanin" w:eastAsia="IRNazanin" w:cs="IRNazanin"/>
            <w:color w:val="111111"/>
            <w:sz w:val="22"/>
            <w:szCs w:val="22"/>
            <w:b w:val="0"/>
            <w:bCs w:val="0"/>
            <w:i w:val="0"/>
            <w:iCs w:val="0"/>
          </w:rPr>
          <w:t>عصفري ، ابوسعید عباد، قرن 3 ه-</w:t>
        </w:r>
        <w:r>
          <w:tab/>
        </w:r>
        <w:r>
          <w:fldChar w:fldCharType="begin"/>
        </w:r>
        <w:r>
          <w:instrText xml:space="preserve">PAGEREF 5071 \h</w:instrText>
        </w:r>
        <w:r>
          <w:fldChar w:fldCharType="end"/>
        </w:r>
      </w:hyperlink>
    </w:p>
    <w:p>
      <w:pPr>
        <w:tabs>
          <w:tab w:val="right" w:leader="dot" w:pos="9062"/>
        </w:tabs>
        <w:ind w:left="220"/>
      </w:pPr>
      <w:hyperlink w:anchor="_Toc5072" w:history="1">
        <w:r>
          <w:rPr>
            <w:rFonts w:ascii="IRNazanin" w:hAnsi="IRNazanin" w:eastAsia="IRNazanin" w:cs="IRNazanin"/>
            <w:color w:val="111111"/>
            <w:sz w:val="22"/>
            <w:szCs w:val="22"/>
            <w:b w:val="0"/>
            <w:bCs w:val="0"/>
            <w:i w:val="0"/>
            <w:iCs w:val="0"/>
          </w:rPr>
          <w:t>عصمت بخاري - 840؟ ه-</w:t>
        </w:r>
        <w:r>
          <w:tab/>
        </w:r>
        <w:r>
          <w:fldChar w:fldCharType="begin"/>
        </w:r>
        <w:r>
          <w:instrText xml:space="preserve">PAGEREF 5072 \h</w:instrText>
        </w:r>
        <w:r>
          <w:fldChar w:fldCharType="end"/>
        </w:r>
      </w:hyperlink>
    </w:p>
    <w:p>
      <w:pPr>
        <w:tabs>
          <w:tab w:val="right" w:leader="dot" w:pos="9062"/>
        </w:tabs>
        <w:ind w:left="220"/>
      </w:pPr>
      <w:hyperlink w:anchor="_Toc5073" w:history="1">
        <w:r>
          <w:rPr>
            <w:rFonts w:ascii="IRNazanin" w:hAnsi="IRNazanin" w:eastAsia="IRNazanin" w:cs="IRNazanin"/>
            <w:color w:val="111111"/>
            <w:sz w:val="22"/>
            <w:szCs w:val="22"/>
            <w:b w:val="0"/>
            <w:bCs w:val="0"/>
            <w:i w:val="0"/>
            <w:iCs w:val="0"/>
          </w:rPr>
          <w:t>عضد الدين ايجي ، عبدالرحمن بن احمد</w:t>
        </w:r>
        <w:r>
          <w:tab/>
        </w:r>
        <w:r>
          <w:fldChar w:fldCharType="begin"/>
        </w:r>
        <w:r>
          <w:instrText xml:space="preserve">PAGEREF 5073 \h</w:instrText>
        </w:r>
        <w:r>
          <w:fldChar w:fldCharType="end"/>
        </w:r>
      </w:hyperlink>
    </w:p>
    <w:p>
      <w:pPr>
        <w:tabs>
          <w:tab w:val="right" w:leader="dot" w:pos="9062"/>
        </w:tabs>
        <w:ind w:left="220"/>
      </w:pPr>
      <w:hyperlink w:anchor="_Toc5074" w:history="1">
        <w:r>
          <w:rPr>
            <w:rFonts w:ascii="IRNazanin" w:hAnsi="IRNazanin" w:eastAsia="IRNazanin" w:cs="IRNazanin"/>
            <w:color w:val="111111"/>
            <w:sz w:val="22"/>
            <w:szCs w:val="22"/>
            <w:b w:val="0"/>
            <w:bCs w:val="0"/>
            <w:i w:val="0"/>
            <w:iCs w:val="0"/>
          </w:rPr>
          <w:t>عطاء الله، قرن 10 ه-</w:t>
        </w:r>
        <w:r>
          <w:tab/>
        </w:r>
        <w:r>
          <w:fldChar w:fldCharType="begin"/>
        </w:r>
        <w:r>
          <w:instrText xml:space="preserve">PAGEREF 5074 \h</w:instrText>
        </w:r>
        <w:r>
          <w:fldChar w:fldCharType="end"/>
        </w:r>
      </w:hyperlink>
    </w:p>
    <w:p>
      <w:pPr>
        <w:tabs>
          <w:tab w:val="right" w:leader="dot" w:pos="9062"/>
        </w:tabs>
        <w:ind w:left="220"/>
      </w:pPr>
      <w:hyperlink w:anchor="_Toc5075" w:history="1">
        <w:r>
          <w:rPr>
            <w:rFonts w:ascii="IRNazanin" w:hAnsi="IRNazanin" w:eastAsia="IRNazanin" w:cs="IRNazanin"/>
            <w:color w:val="111111"/>
            <w:sz w:val="22"/>
            <w:szCs w:val="22"/>
            <w:b w:val="0"/>
            <w:bCs w:val="0"/>
            <w:i w:val="0"/>
            <w:iCs w:val="0"/>
          </w:rPr>
          <w:t>عطائي ، عطاء الله بن ابراهيم - 1127 ه-</w:t>
        </w:r>
        <w:r>
          <w:tab/>
        </w:r>
        <w:r>
          <w:fldChar w:fldCharType="begin"/>
        </w:r>
        <w:r>
          <w:instrText xml:space="preserve">PAGEREF 5075 \h</w:instrText>
        </w:r>
        <w:r>
          <w:fldChar w:fldCharType="end"/>
        </w:r>
      </w:hyperlink>
    </w:p>
    <w:p>
      <w:pPr>
        <w:tabs>
          <w:tab w:val="right" w:leader="dot" w:pos="9062"/>
        </w:tabs>
        <w:ind w:left="220"/>
      </w:pPr>
      <w:hyperlink w:anchor="_Toc5076" w:history="1">
        <w:r>
          <w:rPr>
            <w:rFonts w:ascii="IRNazanin" w:hAnsi="IRNazanin" w:eastAsia="IRNazanin" w:cs="IRNazanin"/>
            <w:color w:val="111111"/>
            <w:sz w:val="22"/>
            <w:szCs w:val="22"/>
            <w:b w:val="0"/>
            <w:bCs w:val="0"/>
            <w:i w:val="0"/>
            <w:iCs w:val="0"/>
          </w:rPr>
          <w:t>عطار ، احمد بن حسن</w:t>
        </w:r>
        <w:r>
          <w:tab/>
        </w:r>
        <w:r>
          <w:fldChar w:fldCharType="begin"/>
        </w:r>
        <w:r>
          <w:instrText xml:space="preserve">PAGEREF 5076 \h</w:instrText>
        </w:r>
        <w:r>
          <w:fldChar w:fldCharType="end"/>
        </w:r>
      </w:hyperlink>
    </w:p>
    <w:p>
      <w:pPr>
        <w:tabs>
          <w:tab w:val="right" w:leader="dot" w:pos="9062"/>
        </w:tabs>
        <w:ind w:left="220"/>
      </w:pPr>
      <w:hyperlink w:anchor="_Toc5077" w:history="1">
        <w:r>
          <w:rPr>
            <w:rFonts w:ascii="IRNazanin" w:hAnsi="IRNazanin" w:eastAsia="IRNazanin" w:cs="IRNazanin"/>
            <w:color w:val="111111"/>
            <w:sz w:val="22"/>
            <w:szCs w:val="22"/>
            <w:b w:val="0"/>
            <w:bCs w:val="0"/>
            <w:i w:val="0"/>
            <w:iCs w:val="0"/>
          </w:rPr>
          <w:t>عطار ، احمد بن عبید الله، 1138 - 1218</w:t>
        </w:r>
        <w:r>
          <w:tab/>
        </w:r>
        <w:r>
          <w:fldChar w:fldCharType="begin"/>
        </w:r>
        <w:r>
          <w:instrText xml:space="preserve">PAGEREF 5077 \h</w:instrText>
        </w:r>
        <w:r>
          <w:fldChar w:fldCharType="end"/>
        </w:r>
      </w:hyperlink>
    </w:p>
    <w:p>
      <w:pPr>
        <w:tabs>
          <w:tab w:val="right" w:leader="dot" w:pos="9062"/>
        </w:tabs>
        <w:ind w:left="220"/>
      </w:pPr>
      <w:hyperlink w:anchor="_Toc5078" w:history="1">
        <w:r>
          <w:rPr>
            <w:rFonts w:ascii="IRNazanin" w:hAnsi="IRNazanin" w:eastAsia="IRNazanin" w:cs="IRNazanin"/>
            <w:color w:val="111111"/>
            <w:sz w:val="22"/>
            <w:szCs w:val="22"/>
            <w:b w:val="0"/>
            <w:bCs w:val="0"/>
            <w:i w:val="0"/>
            <w:iCs w:val="0"/>
          </w:rPr>
          <w:t>عطار ، احمد بن محمّد، 1128 - 1215 ه-</w:t>
        </w:r>
        <w:r>
          <w:tab/>
        </w:r>
        <w:r>
          <w:fldChar w:fldCharType="begin"/>
        </w:r>
        <w:r>
          <w:instrText xml:space="preserve">PAGEREF 5078 \h</w:instrText>
        </w:r>
        <w:r>
          <w:fldChar w:fldCharType="end"/>
        </w:r>
      </w:hyperlink>
    </w:p>
    <w:p>
      <w:pPr>
        <w:tabs>
          <w:tab w:val="right" w:leader="dot" w:pos="9062"/>
        </w:tabs>
        <w:ind w:left="220"/>
      </w:pPr>
      <w:hyperlink w:anchor="_Toc5079" w:history="1">
        <w:r>
          <w:rPr>
            <w:rFonts w:ascii="IRNazanin" w:hAnsi="IRNazanin" w:eastAsia="IRNazanin" w:cs="IRNazanin"/>
            <w:color w:val="111111"/>
            <w:sz w:val="22"/>
            <w:szCs w:val="22"/>
            <w:b w:val="0"/>
            <w:bCs w:val="0"/>
            <w:i w:val="0"/>
            <w:iCs w:val="0"/>
          </w:rPr>
          <w:t>عطار اسرائيلي ، داود بن ابي نصر ، قرن 7</w:t>
        </w:r>
        <w:r>
          <w:tab/>
        </w:r>
        <w:r>
          <w:fldChar w:fldCharType="begin"/>
        </w:r>
        <w:r>
          <w:instrText xml:space="preserve">PAGEREF 5079 \h</w:instrText>
        </w:r>
        <w:r>
          <w:fldChar w:fldCharType="end"/>
        </w:r>
      </w:hyperlink>
    </w:p>
    <w:p>
      <w:pPr>
        <w:tabs>
          <w:tab w:val="right" w:leader="dot" w:pos="9062"/>
        </w:tabs>
        <w:ind w:left="220"/>
      </w:pPr>
      <w:hyperlink w:anchor="_Toc5080" w:history="1">
        <w:r>
          <w:rPr>
            <w:rFonts w:ascii="IRNazanin" w:hAnsi="IRNazanin" w:eastAsia="IRNazanin" w:cs="IRNazanin"/>
            <w:color w:val="111111"/>
            <w:sz w:val="22"/>
            <w:szCs w:val="22"/>
            <w:b w:val="0"/>
            <w:bCs w:val="0"/>
            <w:i w:val="0"/>
            <w:iCs w:val="0"/>
          </w:rPr>
          <w:t>عطار ، حسن بن محمّد، 91190 - 1250</w:t>
        </w:r>
        <w:r>
          <w:tab/>
        </w:r>
        <w:r>
          <w:fldChar w:fldCharType="begin"/>
        </w:r>
        <w:r>
          <w:instrText xml:space="preserve">PAGEREF 5080 \h</w:instrText>
        </w:r>
        <w:r>
          <w:fldChar w:fldCharType="end"/>
        </w:r>
      </w:hyperlink>
    </w:p>
    <w:p>
      <w:pPr>
        <w:tabs>
          <w:tab w:val="right" w:leader="dot" w:pos="9062"/>
        </w:tabs>
        <w:ind w:left="220"/>
      </w:pPr>
      <w:hyperlink w:anchor="_Toc5081" w:history="1">
        <w:r>
          <w:rPr>
            <w:rFonts w:ascii="IRNazanin" w:hAnsi="IRNazanin" w:eastAsia="IRNazanin" w:cs="IRNazanin"/>
            <w:color w:val="111111"/>
            <w:sz w:val="22"/>
            <w:szCs w:val="22"/>
            <w:b w:val="0"/>
            <w:bCs w:val="0"/>
            <w:i w:val="0"/>
            <w:iCs w:val="0"/>
          </w:rPr>
          <w:t>عطار ، سیّد ابراهیم</w:t>
        </w:r>
        <w:r>
          <w:tab/>
        </w:r>
        <w:r>
          <w:fldChar w:fldCharType="begin"/>
        </w:r>
        <w:r>
          <w:instrText xml:space="preserve">PAGEREF 5081 \h</w:instrText>
        </w:r>
        <w:r>
          <w:fldChar w:fldCharType="end"/>
        </w:r>
      </w:hyperlink>
    </w:p>
    <w:p>
      <w:pPr>
        <w:tabs>
          <w:tab w:val="right" w:leader="dot" w:pos="9062"/>
        </w:tabs>
        <w:ind w:left="220"/>
      </w:pPr>
      <w:hyperlink w:anchor="_Toc5082" w:history="1">
        <w:r>
          <w:rPr>
            <w:rFonts w:ascii="IRNazanin" w:hAnsi="IRNazanin" w:eastAsia="IRNazanin" w:cs="IRNazanin"/>
            <w:color w:val="111111"/>
            <w:sz w:val="22"/>
            <w:szCs w:val="22"/>
            <w:b w:val="0"/>
            <w:bCs w:val="0"/>
            <w:i w:val="0"/>
            <w:iCs w:val="0"/>
          </w:rPr>
          <w:t>عطار ، سیّد حیدر</w:t>
        </w:r>
        <w:r>
          <w:tab/>
        </w:r>
        <w:r>
          <w:fldChar w:fldCharType="begin"/>
        </w:r>
        <w:r>
          <w:instrText xml:space="preserve">PAGEREF 5082 \h</w:instrText>
        </w:r>
        <w:r>
          <w:fldChar w:fldCharType="end"/>
        </w:r>
      </w:hyperlink>
    </w:p>
    <w:p>
      <w:pPr>
        <w:tabs>
          <w:tab w:val="right" w:leader="dot" w:pos="9062"/>
        </w:tabs>
        <w:ind w:left="220"/>
      </w:pPr>
      <w:hyperlink w:anchor="_Toc5083" w:history="1">
        <w:r>
          <w:rPr>
            <w:rFonts w:ascii="IRNazanin" w:hAnsi="IRNazanin" w:eastAsia="IRNazanin" w:cs="IRNazanin"/>
            <w:color w:val="111111"/>
            <w:sz w:val="22"/>
            <w:szCs w:val="22"/>
            <w:b w:val="0"/>
            <w:bCs w:val="0"/>
            <w:i w:val="0"/>
            <w:iCs w:val="0"/>
          </w:rPr>
          <w:t>عطار ، علي بن ابراهيم، 654 - 724 ه-</w:t>
        </w:r>
        <w:r>
          <w:tab/>
        </w:r>
        <w:r>
          <w:fldChar w:fldCharType="begin"/>
        </w:r>
        <w:r>
          <w:instrText xml:space="preserve">PAGEREF 5083 \h</w:instrText>
        </w:r>
        <w:r>
          <w:fldChar w:fldCharType="end"/>
        </w:r>
      </w:hyperlink>
    </w:p>
    <w:p>
      <w:pPr>
        <w:tabs>
          <w:tab w:val="right" w:leader="dot" w:pos="9062"/>
        </w:tabs>
        <w:ind w:left="220"/>
      </w:pPr>
      <w:hyperlink w:anchor="_Toc5084" w:history="1">
        <w:r>
          <w:rPr>
            <w:rFonts w:ascii="IRNazanin" w:hAnsi="IRNazanin" w:eastAsia="IRNazanin" w:cs="IRNazanin"/>
            <w:color w:val="111111"/>
            <w:sz w:val="22"/>
            <w:szCs w:val="22"/>
            <w:b w:val="0"/>
            <w:bCs w:val="0"/>
            <w:i w:val="0"/>
            <w:iCs w:val="0"/>
          </w:rPr>
          <w:t>عطار ، عمر افندي</w:t>
        </w:r>
        <w:r>
          <w:tab/>
        </w:r>
        <w:r>
          <w:fldChar w:fldCharType="begin"/>
        </w:r>
        <w:r>
          <w:instrText xml:space="preserve">PAGEREF 5084 \h</w:instrText>
        </w:r>
        <w:r>
          <w:fldChar w:fldCharType="end"/>
        </w:r>
      </w:hyperlink>
    </w:p>
    <w:p>
      <w:pPr>
        <w:tabs>
          <w:tab w:val="right" w:leader="dot" w:pos="9062"/>
        </w:tabs>
        <w:ind w:left="220"/>
      </w:pPr>
      <w:hyperlink w:anchor="_Toc5085" w:history="1">
        <w:r>
          <w:rPr>
            <w:rFonts w:ascii="IRNazanin" w:hAnsi="IRNazanin" w:eastAsia="IRNazanin" w:cs="IRNazanin"/>
            <w:color w:val="111111"/>
            <w:sz w:val="22"/>
            <w:szCs w:val="22"/>
            <w:b w:val="0"/>
            <w:bCs w:val="0"/>
            <w:i w:val="0"/>
            <w:iCs w:val="0"/>
          </w:rPr>
          <w:t>عطار ، عمر بن ،محمّد قرن 5 ه-</w:t>
        </w:r>
        <w:r>
          <w:tab/>
        </w:r>
        <w:r>
          <w:fldChar w:fldCharType="begin"/>
        </w:r>
        <w:r>
          <w:instrText xml:space="preserve">PAGEREF 5085 \h</w:instrText>
        </w:r>
        <w:r>
          <w:fldChar w:fldCharType="end"/>
        </w:r>
      </w:hyperlink>
    </w:p>
    <w:p>
      <w:pPr>
        <w:tabs>
          <w:tab w:val="right" w:leader="dot" w:pos="9062"/>
        </w:tabs>
        <w:ind w:left="220"/>
      </w:pPr>
      <w:hyperlink w:anchor="_Toc5086" w:history="1">
        <w:r>
          <w:rPr>
            <w:rFonts w:ascii="IRNazanin" w:hAnsi="IRNazanin" w:eastAsia="IRNazanin" w:cs="IRNazanin"/>
            <w:color w:val="111111"/>
            <w:sz w:val="22"/>
            <w:szCs w:val="22"/>
            <w:b w:val="0"/>
            <w:bCs w:val="0"/>
            <w:i w:val="0"/>
            <w:iCs w:val="0"/>
          </w:rPr>
          <w:t>عطار ، محمّد</w:t>
        </w:r>
        <w:r>
          <w:tab/>
        </w:r>
        <w:r>
          <w:fldChar w:fldCharType="begin"/>
        </w:r>
        <w:r>
          <w:instrText xml:space="preserve">PAGEREF 5086 \h</w:instrText>
        </w:r>
        <w:r>
          <w:fldChar w:fldCharType="end"/>
        </w:r>
      </w:hyperlink>
    </w:p>
    <w:p>
      <w:pPr>
        <w:tabs>
          <w:tab w:val="right" w:leader="dot" w:pos="9062"/>
        </w:tabs>
        <w:ind w:left="220"/>
      </w:pPr>
      <w:hyperlink w:anchor="_Toc5087" w:history="1">
        <w:r>
          <w:rPr>
            <w:rFonts w:ascii="IRNazanin" w:hAnsi="IRNazanin" w:eastAsia="IRNazanin" w:cs="IRNazanin"/>
            <w:color w:val="111111"/>
            <w:sz w:val="22"/>
            <w:szCs w:val="22"/>
            <w:b w:val="0"/>
            <w:bCs w:val="0"/>
            <w:i w:val="0"/>
            <w:iCs w:val="0"/>
          </w:rPr>
          <w:t>عطار ، محمّد بن ابراهيم 537؟ - 627 ؟</w:t>
        </w:r>
        <w:r>
          <w:tab/>
        </w:r>
        <w:r>
          <w:fldChar w:fldCharType="begin"/>
        </w:r>
        <w:r>
          <w:instrText xml:space="preserve">PAGEREF 5087 \h</w:instrText>
        </w:r>
        <w:r>
          <w:fldChar w:fldCharType="end"/>
        </w:r>
      </w:hyperlink>
    </w:p>
    <w:p>
      <w:pPr>
        <w:tabs>
          <w:tab w:val="right" w:leader="dot" w:pos="9062"/>
        </w:tabs>
        <w:ind w:left="220"/>
      </w:pPr>
      <w:hyperlink w:anchor="_Toc5088" w:history="1">
        <w:r>
          <w:rPr>
            <w:rFonts w:ascii="IRNazanin" w:hAnsi="IRNazanin" w:eastAsia="IRNazanin" w:cs="IRNazanin"/>
            <w:color w:val="111111"/>
            <w:sz w:val="22"/>
            <w:szCs w:val="22"/>
            <w:b w:val="0"/>
            <w:bCs w:val="0"/>
            <w:i w:val="0"/>
            <w:iCs w:val="0"/>
          </w:rPr>
          <w:t>عطار همداني</w:t>
        </w:r>
        <w:r>
          <w:tab/>
        </w:r>
        <w:r>
          <w:fldChar w:fldCharType="begin"/>
        </w:r>
        <w:r>
          <w:instrText xml:space="preserve">PAGEREF 5088 \h</w:instrText>
        </w:r>
        <w:r>
          <w:fldChar w:fldCharType="end"/>
        </w:r>
      </w:hyperlink>
    </w:p>
    <w:p>
      <w:pPr>
        <w:tabs>
          <w:tab w:val="right" w:leader="dot" w:pos="9062"/>
        </w:tabs>
        <w:ind w:left="220"/>
      </w:pPr>
      <w:hyperlink w:anchor="_Toc5089" w:history="1">
        <w:r>
          <w:rPr>
            <w:rFonts w:ascii="IRNazanin" w:hAnsi="IRNazanin" w:eastAsia="IRNazanin" w:cs="IRNazanin"/>
            <w:color w:val="111111"/>
            <w:sz w:val="22"/>
            <w:szCs w:val="22"/>
            <w:b w:val="0"/>
            <w:bCs w:val="0"/>
            <w:i w:val="0"/>
            <w:iCs w:val="0"/>
          </w:rPr>
          <w:t>عطار همداني ، حسن بن احمد 488 -</w:t>
        </w:r>
        <w:r>
          <w:tab/>
        </w:r>
        <w:r>
          <w:fldChar w:fldCharType="begin"/>
        </w:r>
        <w:r>
          <w:instrText xml:space="preserve">PAGEREF 5089 \h</w:instrText>
        </w:r>
        <w:r>
          <w:fldChar w:fldCharType="end"/>
        </w:r>
      </w:hyperlink>
    </w:p>
    <w:p>
      <w:pPr>
        <w:tabs>
          <w:tab w:val="right" w:leader="dot" w:pos="9062"/>
        </w:tabs>
        <w:ind w:left="220"/>
      </w:pPr>
      <w:hyperlink w:anchor="_Toc5090" w:history="1">
        <w:r>
          <w:rPr>
            <w:rFonts w:ascii="IRNazanin" w:hAnsi="IRNazanin" w:eastAsia="IRNazanin" w:cs="IRNazanin"/>
            <w:color w:val="111111"/>
            <w:sz w:val="22"/>
            <w:szCs w:val="22"/>
            <w:b w:val="0"/>
            <w:bCs w:val="0"/>
            <w:i w:val="0"/>
            <w:iCs w:val="0"/>
          </w:rPr>
          <w:t>عطاري ، عبد المنعم بن محمّد</w:t>
        </w:r>
        <w:r>
          <w:tab/>
        </w:r>
        <w:r>
          <w:fldChar w:fldCharType="begin"/>
        </w:r>
        <w:r>
          <w:instrText xml:space="preserve">PAGEREF 5090 \h</w:instrText>
        </w:r>
        <w:r>
          <w:fldChar w:fldCharType="end"/>
        </w:r>
      </w:hyperlink>
    </w:p>
    <w:p>
      <w:pPr>
        <w:tabs>
          <w:tab w:val="right" w:leader="dot" w:pos="9062"/>
        </w:tabs>
        <w:ind w:left="220"/>
      </w:pPr>
      <w:hyperlink w:anchor="_Toc5091" w:history="1">
        <w:r>
          <w:rPr>
            <w:rFonts w:ascii="IRNazanin" w:hAnsi="IRNazanin" w:eastAsia="IRNazanin" w:cs="IRNazanin"/>
            <w:color w:val="111111"/>
            <w:sz w:val="22"/>
            <w:szCs w:val="22"/>
            <w:b w:val="0"/>
            <w:bCs w:val="0"/>
            <w:i w:val="0"/>
            <w:iCs w:val="0"/>
          </w:rPr>
          <w:t>عطوفي ، خضر بن عمر، - 948 ه-</w:t>
        </w:r>
        <w:r>
          <w:tab/>
        </w:r>
        <w:r>
          <w:fldChar w:fldCharType="begin"/>
        </w:r>
        <w:r>
          <w:instrText xml:space="preserve">PAGEREF 5091 \h</w:instrText>
        </w:r>
        <w:r>
          <w:fldChar w:fldCharType="end"/>
        </w:r>
      </w:hyperlink>
    </w:p>
    <w:p>
      <w:pPr>
        <w:tabs>
          <w:tab w:val="right" w:leader="dot" w:pos="9062"/>
        </w:tabs>
        <w:ind w:left="220"/>
      </w:pPr>
      <w:hyperlink w:anchor="_Toc5092" w:history="1">
        <w:r>
          <w:rPr>
            <w:rFonts w:ascii="IRNazanin" w:hAnsi="IRNazanin" w:eastAsia="IRNazanin" w:cs="IRNazanin"/>
            <w:color w:val="111111"/>
            <w:sz w:val="22"/>
            <w:szCs w:val="22"/>
            <w:b w:val="0"/>
            <w:bCs w:val="0"/>
            <w:i w:val="0"/>
            <w:iCs w:val="0"/>
          </w:rPr>
          <w:t>عطوي، محمّد بن عبد الرحمن - 250 ؟</w:t>
        </w:r>
        <w:r>
          <w:tab/>
        </w:r>
        <w:r>
          <w:fldChar w:fldCharType="begin"/>
        </w:r>
        <w:r>
          <w:instrText xml:space="preserve">PAGEREF 5092 \h</w:instrText>
        </w:r>
        <w:r>
          <w:fldChar w:fldCharType="end"/>
        </w:r>
      </w:hyperlink>
    </w:p>
    <w:p>
      <w:pPr>
        <w:tabs>
          <w:tab w:val="right" w:leader="dot" w:pos="9062"/>
        </w:tabs>
        <w:ind w:left="220"/>
      </w:pPr>
      <w:hyperlink w:anchor="_Toc5093" w:history="1">
        <w:r>
          <w:rPr>
            <w:rFonts w:ascii="IRNazanin" w:hAnsi="IRNazanin" w:eastAsia="IRNazanin" w:cs="IRNazanin"/>
            <w:color w:val="111111"/>
            <w:sz w:val="22"/>
            <w:szCs w:val="22"/>
            <w:b w:val="0"/>
            <w:bCs w:val="0"/>
            <w:i w:val="0"/>
            <w:iCs w:val="0"/>
          </w:rPr>
          <w:t>عظم، جميل بن مصطفی، 1287 - 1352</w:t>
        </w:r>
        <w:r>
          <w:tab/>
        </w:r>
        <w:r>
          <w:fldChar w:fldCharType="begin"/>
        </w:r>
        <w:r>
          <w:instrText xml:space="preserve">PAGEREF 5093 \h</w:instrText>
        </w:r>
        <w:r>
          <w:fldChar w:fldCharType="end"/>
        </w:r>
      </w:hyperlink>
    </w:p>
    <w:p>
      <w:pPr>
        <w:tabs>
          <w:tab w:val="right" w:leader="dot" w:pos="9062"/>
        </w:tabs>
        <w:ind w:left="220"/>
      </w:pPr>
      <w:hyperlink w:anchor="_Toc5094" w:history="1">
        <w:r>
          <w:rPr>
            <w:rFonts w:ascii="IRNazanin" w:hAnsi="IRNazanin" w:eastAsia="IRNazanin" w:cs="IRNazanin"/>
            <w:color w:val="111111"/>
            <w:sz w:val="22"/>
            <w:szCs w:val="22"/>
            <w:b w:val="0"/>
            <w:bCs w:val="0"/>
            <w:i w:val="0"/>
            <w:iCs w:val="0"/>
          </w:rPr>
          <w:t>عظيم بن قيدي بن نظيري</w:t>
        </w:r>
        <w:r>
          <w:tab/>
        </w:r>
        <w:r>
          <w:fldChar w:fldCharType="begin"/>
        </w:r>
        <w:r>
          <w:instrText xml:space="preserve">PAGEREF 5094 \h</w:instrText>
        </w:r>
        <w:r>
          <w:fldChar w:fldCharType="end"/>
        </w:r>
      </w:hyperlink>
    </w:p>
    <w:p>
      <w:pPr>
        <w:tabs>
          <w:tab w:val="right" w:leader="dot" w:pos="9062"/>
        </w:tabs>
        <w:ind w:left="220"/>
      </w:pPr>
      <w:hyperlink w:anchor="_Toc5095" w:history="1">
        <w:r>
          <w:rPr>
            <w:rFonts w:ascii="IRNazanin" w:hAnsi="IRNazanin" w:eastAsia="IRNazanin" w:cs="IRNazanin"/>
            <w:color w:val="111111"/>
            <w:sz w:val="22"/>
            <w:szCs w:val="22"/>
            <w:b w:val="0"/>
            <w:bCs w:val="0"/>
            <w:i w:val="0"/>
            <w:iCs w:val="0"/>
          </w:rPr>
          <w:t>عظيمي ، محمّد بن علي - 556 ه-</w:t>
        </w:r>
        <w:r>
          <w:tab/>
        </w:r>
        <w:r>
          <w:fldChar w:fldCharType="begin"/>
        </w:r>
        <w:r>
          <w:instrText xml:space="preserve">PAGEREF 5095 \h</w:instrText>
        </w:r>
        <w:r>
          <w:fldChar w:fldCharType="end"/>
        </w:r>
      </w:hyperlink>
    </w:p>
    <w:p>
      <w:pPr>
        <w:tabs>
          <w:tab w:val="right" w:leader="dot" w:pos="9062"/>
        </w:tabs>
        <w:ind w:left="220"/>
      </w:pPr>
      <w:hyperlink w:anchor="_Toc5096" w:history="1">
        <w:r>
          <w:rPr>
            <w:rFonts w:ascii="IRNazanin" w:hAnsi="IRNazanin" w:eastAsia="IRNazanin" w:cs="IRNazanin"/>
            <w:color w:val="111111"/>
            <w:sz w:val="22"/>
            <w:szCs w:val="22"/>
            <w:b w:val="0"/>
            <w:bCs w:val="0"/>
            <w:i w:val="0"/>
            <w:iCs w:val="0"/>
          </w:rPr>
          <w:t>عفالقي محمّد بن عبد الرحمن -1164ه-</w:t>
        </w:r>
        <w:r>
          <w:tab/>
        </w:r>
        <w:r>
          <w:fldChar w:fldCharType="begin"/>
        </w:r>
        <w:r>
          <w:instrText xml:space="preserve">PAGEREF 5096 \h</w:instrText>
        </w:r>
        <w:r>
          <w:fldChar w:fldCharType="end"/>
        </w:r>
      </w:hyperlink>
    </w:p>
    <w:p>
      <w:pPr>
        <w:tabs>
          <w:tab w:val="right" w:leader="dot" w:pos="9062"/>
        </w:tabs>
        <w:ind w:left="220"/>
      </w:pPr>
      <w:hyperlink w:anchor="_Toc5097" w:history="1">
        <w:r>
          <w:rPr>
            <w:rFonts w:ascii="IRNazanin" w:hAnsi="IRNazanin" w:eastAsia="IRNazanin" w:cs="IRNazanin"/>
            <w:color w:val="111111"/>
            <w:sz w:val="22"/>
            <w:szCs w:val="22"/>
            <w:b w:val="0"/>
            <w:bCs w:val="0"/>
            <w:i w:val="0"/>
            <w:iCs w:val="0"/>
          </w:rPr>
          <w:t>عفكاوي خضر بن شلال 21180-1255ه-</w:t>
        </w:r>
        <w:r>
          <w:tab/>
        </w:r>
        <w:r>
          <w:fldChar w:fldCharType="begin"/>
        </w:r>
        <w:r>
          <w:instrText xml:space="preserve">PAGEREF 5097 \h</w:instrText>
        </w:r>
        <w:r>
          <w:fldChar w:fldCharType="end"/>
        </w:r>
      </w:hyperlink>
    </w:p>
    <w:p>
      <w:pPr>
        <w:tabs>
          <w:tab w:val="right" w:leader="dot" w:pos="9062"/>
        </w:tabs>
        <w:ind w:left="220"/>
      </w:pPr>
      <w:hyperlink w:anchor="_Toc5098" w:history="1">
        <w:r>
          <w:rPr>
            <w:rFonts w:ascii="IRNazanin" w:hAnsi="IRNazanin" w:eastAsia="IRNazanin" w:cs="IRNazanin"/>
            <w:color w:val="111111"/>
            <w:sz w:val="22"/>
            <w:szCs w:val="22"/>
            <w:b w:val="0"/>
            <w:bCs w:val="0"/>
            <w:i w:val="0"/>
            <w:iCs w:val="0"/>
          </w:rPr>
          <w:t>عفيف ، ابوسعد بن أبي السرور</w:t>
        </w:r>
        <w:r>
          <w:tab/>
        </w:r>
        <w:r>
          <w:fldChar w:fldCharType="begin"/>
        </w:r>
        <w:r>
          <w:instrText xml:space="preserve">PAGEREF 5098 \h</w:instrText>
        </w:r>
        <w:r>
          <w:fldChar w:fldCharType="end"/>
        </w:r>
      </w:hyperlink>
    </w:p>
    <w:p>
      <w:pPr>
        <w:tabs>
          <w:tab w:val="right" w:leader="dot" w:pos="9062"/>
        </w:tabs>
        <w:ind w:left="220"/>
      </w:pPr>
      <w:hyperlink w:anchor="_Toc5099" w:history="1">
        <w:r>
          <w:rPr>
            <w:rFonts w:ascii="IRNazanin" w:hAnsi="IRNazanin" w:eastAsia="IRNazanin" w:cs="IRNazanin"/>
            <w:color w:val="111111"/>
            <w:sz w:val="22"/>
            <w:szCs w:val="22"/>
            <w:b w:val="0"/>
            <w:bCs w:val="0"/>
            <w:i w:val="0"/>
            <w:iCs w:val="0"/>
          </w:rPr>
          <w:t>عفيف الدين بن مبارك قرن 6 ه-</w:t>
        </w:r>
        <w:r>
          <w:tab/>
        </w:r>
        <w:r>
          <w:fldChar w:fldCharType="begin"/>
        </w:r>
        <w:r>
          <w:instrText xml:space="preserve">PAGEREF 5099 \h</w:instrText>
        </w:r>
        <w:r>
          <w:fldChar w:fldCharType="end"/>
        </w:r>
      </w:hyperlink>
    </w:p>
    <w:p>
      <w:pPr>
        <w:tabs>
          <w:tab w:val="right" w:leader="dot" w:pos="9062"/>
        </w:tabs>
        <w:ind w:left="220"/>
      </w:pPr>
      <w:hyperlink w:anchor="_Toc5100" w:history="1">
        <w:r>
          <w:rPr>
            <w:rFonts w:ascii="IRNazanin" w:hAnsi="IRNazanin" w:eastAsia="IRNazanin" w:cs="IRNazanin"/>
            <w:color w:val="111111"/>
            <w:sz w:val="22"/>
            <w:szCs w:val="22"/>
            <w:b w:val="0"/>
            <w:bCs w:val="0"/>
            <w:i w:val="0"/>
            <w:iCs w:val="0"/>
          </w:rPr>
          <w:t>عفيف الدين عبد الله بن عبدالرحمن</w:t>
        </w:r>
        <w:r>
          <w:tab/>
        </w:r>
        <w:r>
          <w:fldChar w:fldCharType="begin"/>
        </w:r>
        <w:r>
          <w:instrText xml:space="preserve">PAGEREF 5100 \h</w:instrText>
        </w:r>
        <w:r>
          <w:fldChar w:fldCharType="end"/>
        </w:r>
      </w:hyperlink>
    </w:p>
    <w:p>
      <w:pPr>
        <w:tabs>
          <w:tab w:val="right" w:leader="dot" w:pos="9062"/>
        </w:tabs>
        <w:ind w:left="220"/>
      </w:pPr>
      <w:hyperlink w:anchor="_Toc5101" w:history="1">
        <w:r>
          <w:rPr>
            <w:rFonts w:ascii="IRNazanin" w:hAnsi="IRNazanin" w:eastAsia="IRNazanin" w:cs="IRNazanin"/>
            <w:color w:val="111111"/>
            <w:sz w:val="22"/>
            <w:szCs w:val="22"/>
            <w:b w:val="0"/>
            <w:bCs w:val="0"/>
            <w:i w:val="0"/>
            <w:iCs w:val="0"/>
          </w:rPr>
          <w:t>عقباوي، مصطفى بن احمد - 1221 ه-</w:t>
        </w:r>
        <w:r>
          <w:tab/>
        </w:r>
        <w:r>
          <w:fldChar w:fldCharType="begin"/>
        </w:r>
        <w:r>
          <w:instrText xml:space="preserve">PAGEREF 5101 \h</w:instrText>
        </w:r>
        <w:r>
          <w:fldChar w:fldCharType="end"/>
        </w:r>
      </w:hyperlink>
    </w:p>
    <w:p>
      <w:pPr>
        <w:tabs>
          <w:tab w:val="right" w:leader="dot" w:pos="9062"/>
        </w:tabs>
        <w:ind w:left="220"/>
      </w:pPr>
      <w:hyperlink w:anchor="_Toc5102" w:history="1">
        <w:r>
          <w:rPr>
            <w:rFonts w:ascii="IRNazanin" w:hAnsi="IRNazanin" w:eastAsia="IRNazanin" w:cs="IRNazanin"/>
            <w:color w:val="111111"/>
            <w:sz w:val="22"/>
            <w:szCs w:val="22"/>
            <w:b w:val="0"/>
            <w:bCs w:val="0"/>
            <w:i w:val="0"/>
            <w:iCs w:val="0"/>
          </w:rPr>
          <w:t>عقدائي، اسماعيل بن محمّد، 1188 -</w:t>
        </w:r>
        <w:r>
          <w:tab/>
        </w:r>
        <w:r>
          <w:fldChar w:fldCharType="begin"/>
        </w:r>
        <w:r>
          <w:instrText xml:space="preserve">PAGEREF 5102 \h</w:instrText>
        </w:r>
        <w:r>
          <w:fldChar w:fldCharType="end"/>
        </w:r>
      </w:hyperlink>
    </w:p>
    <w:p>
      <w:pPr>
        <w:tabs>
          <w:tab w:val="right" w:leader="dot" w:pos="9062"/>
        </w:tabs>
        <w:ind w:left="220"/>
      </w:pPr>
      <w:hyperlink w:anchor="_Toc5103" w:history="1">
        <w:r>
          <w:rPr>
            <w:rFonts w:ascii="IRNazanin" w:hAnsi="IRNazanin" w:eastAsia="IRNazanin" w:cs="IRNazanin"/>
            <w:color w:val="111111"/>
            <w:sz w:val="22"/>
            <w:szCs w:val="22"/>
            <w:b w:val="0"/>
            <w:bCs w:val="0"/>
            <w:i w:val="0"/>
            <w:iCs w:val="0"/>
          </w:rPr>
          <w:t>عقراوي ، عبد الرحمن</w:t>
        </w:r>
        <w:r>
          <w:tab/>
        </w:r>
        <w:r>
          <w:fldChar w:fldCharType="begin"/>
        </w:r>
        <w:r>
          <w:instrText xml:space="preserve">PAGEREF 5103 \h</w:instrText>
        </w:r>
        <w:r>
          <w:fldChar w:fldCharType="end"/>
        </w:r>
      </w:hyperlink>
    </w:p>
    <w:p>
      <w:pPr>
        <w:tabs>
          <w:tab w:val="right" w:leader="dot" w:pos="9062"/>
        </w:tabs>
        <w:ind w:left="220"/>
      </w:pPr>
      <w:hyperlink w:anchor="_Toc5104" w:history="1">
        <w:r>
          <w:rPr>
            <w:rFonts w:ascii="IRNazanin" w:hAnsi="IRNazanin" w:eastAsia="IRNazanin" w:cs="IRNazanin"/>
            <w:color w:val="111111"/>
            <w:sz w:val="22"/>
            <w:szCs w:val="22"/>
            <w:b w:val="0"/>
            <w:bCs w:val="0"/>
            <w:i w:val="0"/>
            <w:iCs w:val="0"/>
          </w:rPr>
          <w:t>عقيبي ، علي بن محمّد</w:t>
        </w:r>
        <w:r>
          <w:tab/>
        </w:r>
        <w:r>
          <w:fldChar w:fldCharType="begin"/>
        </w:r>
        <w:r>
          <w:instrText xml:space="preserve">PAGEREF 5104 \h</w:instrText>
        </w:r>
        <w:r>
          <w:fldChar w:fldCharType="end"/>
        </w:r>
      </w:hyperlink>
    </w:p>
    <w:p>
      <w:pPr>
        <w:tabs>
          <w:tab w:val="right" w:leader="dot" w:pos="9062"/>
        </w:tabs>
        <w:ind w:left="220"/>
      </w:pPr>
      <w:hyperlink w:anchor="_Toc5105" w:history="1">
        <w:r>
          <w:rPr>
            <w:rFonts w:ascii="IRNazanin" w:hAnsi="IRNazanin" w:eastAsia="IRNazanin" w:cs="IRNazanin"/>
            <w:color w:val="111111"/>
            <w:sz w:val="22"/>
            <w:szCs w:val="22"/>
            <w:b w:val="0"/>
            <w:bCs w:val="0"/>
            <w:i w:val="0"/>
            <w:iCs w:val="0"/>
          </w:rPr>
          <w:t>عقيلي ، توبة بن الحمير - 64 ه-</w:t>
        </w:r>
        <w:r>
          <w:tab/>
        </w:r>
        <w:r>
          <w:fldChar w:fldCharType="begin"/>
        </w:r>
        <w:r>
          <w:instrText xml:space="preserve">PAGEREF 5105 \h</w:instrText>
        </w:r>
        <w:r>
          <w:fldChar w:fldCharType="end"/>
        </w:r>
      </w:hyperlink>
    </w:p>
    <w:p>
      <w:pPr>
        <w:tabs>
          <w:tab w:val="right" w:leader="dot" w:pos="9062"/>
        </w:tabs>
        <w:ind w:left="220"/>
      </w:pPr>
      <w:hyperlink w:anchor="_Toc5106" w:history="1">
        <w:r>
          <w:rPr>
            <w:rFonts w:ascii="IRNazanin" w:hAnsi="IRNazanin" w:eastAsia="IRNazanin" w:cs="IRNazanin"/>
            <w:color w:val="111111"/>
            <w:sz w:val="22"/>
            <w:szCs w:val="22"/>
            <w:b w:val="0"/>
            <w:bCs w:val="0"/>
            <w:i w:val="0"/>
            <w:iCs w:val="0"/>
          </w:rPr>
          <w:t>عقيلي شيرازي ، محمّد حسین بن محمّد</w:t>
        </w:r>
        <w:r>
          <w:tab/>
        </w:r>
        <w:r>
          <w:fldChar w:fldCharType="begin"/>
        </w:r>
        <w:r>
          <w:instrText xml:space="preserve">PAGEREF 5106 \h</w:instrText>
        </w:r>
        <w:r>
          <w:fldChar w:fldCharType="end"/>
        </w:r>
      </w:hyperlink>
    </w:p>
    <w:p>
      <w:pPr>
        <w:tabs>
          <w:tab w:val="right" w:leader="dot" w:pos="9062"/>
        </w:tabs>
        <w:ind w:left="220"/>
      </w:pPr>
      <w:hyperlink w:anchor="_Toc5107" w:history="1">
        <w:r>
          <w:rPr>
            <w:rFonts w:ascii="IRNazanin" w:hAnsi="IRNazanin" w:eastAsia="IRNazanin" w:cs="IRNazanin"/>
            <w:color w:val="111111"/>
            <w:sz w:val="22"/>
            <w:szCs w:val="22"/>
            <w:b w:val="0"/>
            <w:bCs w:val="0"/>
            <w:i w:val="0"/>
            <w:iCs w:val="0"/>
          </w:rPr>
          <w:t>عقيلي ، محمّد - 1332 ه-</w:t>
        </w:r>
        <w:r>
          <w:tab/>
        </w:r>
        <w:r>
          <w:fldChar w:fldCharType="begin"/>
        </w:r>
        <w:r>
          <w:instrText xml:space="preserve">PAGEREF 5107 \h</w:instrText>
        </w:r>
        <w:r>
          <w:fldChar w:fldCharType="end"/>
        </w:r>
      </w:hyperlink>
    </w:p>
    <w:p>
      <w:pPr>
        <w:tabs>
          <w:tab w:val="right" w:leader="dot" w:pos="9062"/>
        </w:tabs>
        <w:ind w:left="220"/>
      </w:pPr>
      <w:hyperlink w:anchor="_Toc5108" w:history="1">
        <w:r>
          <w:rPr>
            <w:rFonts w:ascii="IRNazanin" w:hAnsi="IRNazanin" w:eastAsia="IRNazanin" w:cs="IRNazanin"/>
            <w:color w:val="111111"/>
            <w:sz w:val="22"/>
            <w:szCs w:val="22"/>
            <w:b w:val="0"/>
            <w:bCs w:val="0"/>
            <w:i w:val="0"/>
            <w:iCs w:val="0"/>
          </w:rPr>
          <w:t>عقيلي ، محمّد</w:t>
        </w:r>
        <w:r>
          <w:tab/>
        </w:r>
        <w:r>
          <w:fldChar w:fldCharType="begin"/>
        </w:r>
        <w:r>
          <w:instrText xml:space="preserve">PAGEREF 5108 \h</w:instrText>
        </w:r>
        <w:r>
          <w:fldChar w:fldCharType="end"/>
        </w:r>
      </w:hyperlink>
    </w:p>
    <w:p>
      <w:pPr>
        <w:tabs>
          <w:tab w:val="right" w:leader="dot" w:pos="9062"/>
        </w:tabs>
        <w:ind w:left="220"/>
      </w:pPr>
      <w:hyperlink w:anchor="_Toc5109" w:history="1">
        <w:r>
          <w:rPr>
            <w:rFonts w:ascii="IRNazanin" w:hAnsi="IRNazanin" w:eastAsia="IRNazanin" w:cs="IRNazanin"/>
            <w:color w:val="111111"/>
            <w:sz w:val="22"/>
            <w:szCs w:val="22"/>
            <w:b w:val="0"/>
            <w:bCs w:val="0"/>
            <w:i w:val="0"/>
            <w:iCs w:val="0"/>
          </w:rPr>
          <w:t>عقيلي ، محمّد بن عمرو - 322 ه-</w:t>
        </w:r>
        <w:r>
          <w:tab/>
        </w:r>
        <w:r>
          <w:fldChar w:fldCharType="begin"/>
        </w:r>
        <w:r>
          <w:instrText xml:space="preserve">PAGEREF 5109 \h</w:instrText>
        </w:r>
        <w:r>
          <w:fldChar w:fldCharType="end"/>
        </w:r>
      </w:hyperlink>
    </w:p>
    <w:p>
      <w:pPr>
        <w:tabs>
          <w:tab w:val="right" w:leader="dot" w:pos="9062"/>
        </w:tabs>
        <w:ind w:left="220"/>
      </w:pPr>
      <w:hyperlink w:anchor="_Toc5110" w:history="1">
        <w:r>
          <w:rPr>
            <w:rFonts w:ascii="IRNazanin" w:hAnsi="IRNazanin" w:eastAsia="IRNazanin" w:cs="IRNazanin"/>
            <w:color w:val="111111"/>
            <w:sz w:val="22"/>
            <w:szCs w:val="22"/>
            <w:b w:val="0"/>
            <w:bCs w:val="0"/>
            <w:i w:val="0"/>
            <w:iCs w:val="0"/>
          </w:rPr>
          <w:t>عکبری عبدالله بن حسين، 538 - 616 ه-</w:t>
        </w:r>
        <w:r>
          <w:tab/>
        </w:r>
        <w:r>
          <w:fldChar w:fldCharType="begin"/>
        </w:r>
        <w:r>
          <w:instrText xml:space="preserve">PAGEREF 5110 \h</w:instrText>
        </w:r>
        <w:r>
          <w:fldChar w:fldCharType="end"/>
        </w:r>
      </w:hyperlink>
    </w:p>
    <w:p>
      <w:pPr>
        <w:tabs>
          <w:tab w:val="right" w:leader="dot" w:pos="9062"/>
        </w:tabs>
        <w:ind w:left="220"/>
      </w:pPr>
      <w:hyperlink w:anchor="_Toc5111" w:history="1">
        <w:r>
          <w:rPr>
            <w:rFonts w:ascii="IRNazanin" w:hAnsi="IRNazanin" w:eastAsia="IRNazanin" w:cs="IRNazanin"/>
            <w:color w:val="111111"/>
            <w:sz w:val="22"/>
            <w:szCs w:val="22"/>
            <w:b w:val="0"/>
            <w:bCs w:val="0"/>
            <w:i w:val="0"/>
            <w:iCs w:val="0"/>
          </w:rPr>
          <w:t>عکبری ، محمّد بن بشر - 332 ه-</w:t>
        </w:r>
        <w:r>
          <w:tab/>
        </w:r>
        <w:r>
          <w:fldChar w:fldCharType="begin"/>
        </w:r>
        <w:r>
          <w:instrText xml:space="preserve">PAGEREF 5111 \h</w:instrText>
        </w:r>
        <w:r>
          <w:fldChar w:fldCharType="end"/>
        </w:r>
      </w:hyperlink>
    </w:p>
    <w:p>
      <w:pPr>
        <w:tabs>
          <w:tab w:val="right" w:leader="dot" w:pos="9062"/>
        </w:tabs>
        <w:ind w:left="220"/>
      </w:pPr>
      <w:hyperlink w:anchor="_Toc5112" w:history="1">
        <w:r>
          <w:rPr>
            <w:rFonts w:ascii="IRNazanin" w:hAnsi="IRNazanin" w:eastAsia="IRNazanin" w:cs="IRNazanin"/>
            <w:color w:val="111111"/>
            <w:sz w:val="22"/>
            <w:szCs w:val="22"/>
            <w:b w:val="0"/>
            <w:bCs w:val="0"/>
            <w:i w:val="0"/>
            <w:iCs w:val="0"/>
          </w:rPr>
          <w:t>عکبری ، محمّد بن عبدالرحمن</w:t>
        </w:r>
        <w:r>
          <w:tab/>
        </w:r>
        <w:r>
          <w:fldChar w:fldCharType="begin"/>
        </w:r>
        <w:r>
          <w:instrText xml:space="preserve">PAGEREF 5112 \h</w:instrText>
        </w:r>
        <w:r>
          <w:fldChar w:fldCharType="end"/>
        </w:r>
      </w:hyperlink>
    </w:p>
    <w:p>
      <w:pPr>
        <w:tabs>
          <w:tab w:val="right" w:leader="dot" w:pos="9062"/>
        </w:tabs>
        <w:ind w:left="220"/>
      </w:pPr>
      <w:hyperlink w:anchor="_Toc5113" w:history="1">
        <w:r>
          <w:rPr>
            <w:rFonts w:ascii="IRNazanin" w:hAnsi="IRNazanin" w:eastAsia="IRNazanin" w:cs="IRNazanin"/>
            <w:color w:val="111111"/>
            <w:sz w:val="22"/>
            <w:szCs w:val="22"/>
            <w:b w:val="0"/>
            <w:bCs w:val="0"/>
            <w:i w:val="0"/>
            <w:iCs w:val="0"/>
          </w:rPr>
          <w:t>عكوك ، علي بن جبله 160 - 213 ه-</w:t>
        </w:r>
        <w:r>
          <w:tab/>
        </w:r>
        <w:r>
          <w:fldChar w:fldCharType="begin"/>
        </w:r>
        <w:r>
          <w:instrText xml:space="preserve">PAGEREF 5113 \h</w:instrText>
        </w:r>
        <w:r>
          <w:fldChar w:fldCharType="end"/>
        </w:r>
      </w:hyperlink>
    </w:p>
    <w:p>
      <w:pPr>
        <w:tabs>
          <w:tab w:val="right" w:leader="dot" w:pos="9062"/>
        </w:tabs>
        <w:ind w:left="220"/>
      </w:pPr>
      <w:hyperlink w:anchor="_Toc5114" w:history="1">
        <w:r>
          <w:rPr>
            <w:rFonts w:ascii="IRNazanin" w:hAnsi="IRNazanin" w:eastAsia="IRNazanin" w:cs="IRNazanin"/>
            <w:color w:val="111111"/>
            <w:sz w:val="22"/>
            <w:szCs w:val="22"/>
            <w:b w:val="0"/>
            <w:bCs w:val="0"/>
            <w:i w:val="0"/>
            <w:iCs w:val="0"/>
          </w:rPr>
          <w:t>علاء الدوله سمناني ، احمد بن محمّد</w:t>
        </w:r>
        <w:r>
          <w:tab/>
        </w:r>
        <w:r>
          <w:fldChar w:fldCharType="begin"/>
        </w:r>
        <w:r>
          <w:instrText xml:space="preserve">PAGEREF 5114 \h</w:instrText>
        </w:r>
        <w:r>
          <w:fldChar w:fldCharType="end"/>
        </w:r>
      </w:hyperlink>
    </w:p>
    <w:p>
      <w:pPr>
        <w:tabs>
          <w:tab w:val="right" w:leader="dot" w:pos="9062"/>
        </w:tabs>
        <w:ind w:left="220"/>
      </w:pPr>
      <w:hyperlink w:anchor="_Toc5115" w:history="1">
        <w:r>
          <w:rPr>
            <w:rFonts w:ascii="IRNazanin" w:hAnsi="IRNazanin" w:eastAsia="IRNazanin" w:cs="IRNazanin"/>
            <w:color w:val="111111"/>
            <w:sz w:val="22"/>
            <w:szCs w:val="22"/>
            <w:b w:val="0"/>
            <w:bCs w:val="0"/>
            <w:i w:val="0"/>
            <w:iCs w:val="0"/>
          </w:rPr>
          <w:t>علاء الدين بن علي حنفي</w:t>
        </w:r>
        <w:r>
          <w:tab/>
        </w:r>
        <w:r>
          <w:fldChar w:fldCharType="begin"/>
        </w:r>
        <w:r>
          <w:instrText xml:space="preserve">PAGEREF 5115 \h</w:instrText>
        </w:r>
        <w:r>
          <w:fldChar w:fldCharType="end"/>
        </w:r>
      </w:hyperlink>
    </w:p>
    <w:p>
      <w:pPr>
        <w:tabs>
          <w:tab w:val="right" w:leader="dot" w:pos="9062"/>
        </w:tabs>
        <w:ind w:left="220"/>
      </w:pPr>
      <w:hyperlink w:anchor="_Toc5116" w:history="1">
        <w:r>
          <w:rPr>
            <w:rFonts w:ascii="IRNazanin" w:hAnsi="IRNazanin" w:eastAsia="IRNazanin" w:cs="IRNazanin"/>
            <w:color w:val="111111"/>
            <w:sz w:val="22"/>
            <w:szCs w:val="22"/>
            <w:b w:val="0"/>
            <w:bCs w:val="0"/>
            <w:i w:val="0"/>
            <w:iCs w:val="0"/>
          </w:rPr>
          <w:t>علاء الدين تبريزي ، علي بن اسماعيل</w:t>
        </w:r>
        <w:r>
          <w:tab/>
        </w:r>
        <w:r>
          <w:fldChar w:fldCharType="begin"/>
        </w:r>
        <w:r>
          <w:instrText xml:space="preserve">PAGEREF 5116 \h</w:instrText>
        </w:r>
        <w:r>
          <w:fldChar w:fldCharType="end"/>
        </w:r>
      </w:hyperlink>
    </w:p>
    <w:p>
      <w:pPr>
        <w:tabs>
          <w:tab w:val="right" w:leader="dot" w:pos="9062"/>
        </w:tabs>
        <w:ind w:left="220"/>
      </w:pPr>
      <w:hyperlink w:anchor="_Toc5117" w:history="1">
        <w:r>
          <w:rPr>
            <w:rFonts w:ascii="IRNazanin" w:hAnsi="IRNazanin" w:eastAsia="IRNazanin" w:cs="IRNazanin"/>
            <w:color w:val="111111"/>
            <w:sz w:val="22"/>
            <w:szCs w:val="22"/>
            <w:b w:val="0"/>
            <w:bCs w:val="0"/>
            <w:i w:val="0"/>
            <w:iCs w:val="0"/>
          </w:rPr>
          <w:t>علاء الدين حكيم</w:t>
        </w:r>
        <w:r>
          <w:tab/>
        </w:r>
        <w:r>
          <w:fldChar w:fldCharType="begin"/>
        </w:r>
        <w:r>
          <w:instrText xml:space="preserve">PAGEREF 5117 \h</w:instrText>
        </w:r>
        <w:r>
          <w:fldChar w:fldCharType="end"/>
        </w:r>
      </w:hyperlink>
    </w:p>
    <w:p>
      <w:pPr>
        <w:tabs>
          <w:tab w:val="right" w:leader="dot" w:pos="9062"/>
        </w:tabs>
        <w:ind w:left="220"/>
      </w:pPr>
      <w:hyperlink w:anchor="_Toc5118" w:history="1">
        <w:r>
          <w:rPr>
            <w:rFonts w:ascii="IRNazanin" w:hAnsi="IRNazanin" w:eastAsia="IRNazanin" w:cs="IRNazanin"/>
            <w:color w:val="111111"/>
            <w:sz w:val="22"/>
            <w:szCs w:val="22"/>
            <w:b w:val="0"/>
            <w:bCs w:val="0"/>
            <w:i w:val="0"/>
            <w:iCs w:val="0"/>
          </w:rPr>
          <w:t>علاء الدين كاشاني ، ابوبکر بن مسعود</w:t>
        </w:r>
        <w:r>
          <w:tab/>
        </w:r>
        <w:r>
          <w:fldChar w:fldCharType="begin"/>
        </w:r>
        <w:r>
          <w:instrText xml:space="preserve">PAGEREF 5118 \h</w:instrText>
        </w:r>
        <w:r>
          <w:fldChar w:fldCharType="end"/>
        </w:r>
      </w:hyperlink>
    </w:p>
    <w:p>
      <w:pPr>
        <w:tabs>
          <w:tab w:val="right" w:leader="dot" w:pos="9062"/>
        </w:tabs>
        <w:ind w:left="220"/>
      </w:pPr>
      <w:hyperlink w:anchor="_Toc5119" w:history="1">
        <w:r>
          <w:rPr>
            <w:rFonts w:ascii="IRNazanin" w:hAnsi="IRNazanin" w:eastAsia="IRNazanin" w:cs="IRNazanin"/>
            <w:color w:val="111111"/>
            <w:sz w:val="22"/>
            <w:szCs w:val="22"/>
            <w:b w:val="0"/>
            <w:bCs w:val="0"/>
            <w:i w:val="0"/>
            <w:iCs w:val="0"/>
          </w:rPr>
          <w:t>علاء الملك فاضل خان</w:t>
        </w:r>
        <w:r>
          <w:tab/>
        </w:r>
        <w:r>
          <w:fldChar w:fldCharType="begin"/>
        </w:r>
        <w:r>
          <w:instrText xml:space="preserve">PAGEREF 5119 \h</w:instrText>
        </w:r>
        <w:r>
          <w:fldChar w:fldCharType="end"/>
        </w:r>
      </w:hyperlink>
    </w:p>
    <w:p>
      <w:pPr>
        <w:tabs>
          <w:tab w:val="right" w:leader="dot" w:pos="9062"/>
        </w:tabs>
        <w:ind w:left="220"/>
      </w:pPr>
      <w:hyperlink w:anchor="_Toc5120" w:history="1">
        <w:r>
          <w:rPr>
            <w:rFonts w:ascii="IRNazanin" w:hAnsi="IRNazanin" w:eastAsia="IRNazanin" w:cs="IRNazanin"/>
            <w:color w:val="111111"/>
            <w:sz w:val="22"/>
            <w:szCs w:val="22"/>
            <w:b w:val="0"/>
            <w:bCs w:val="0"/>
            <w:i w:val="0"/>
            <w:iCs w:val="0"/>
          </w:rPr>
          <w:t>علائي بن محبي شريف شيرازي، قرن 10 ه-</w:t>
        </w:r>
        <w:r>
          <w:tab/>
        </w:r>
        <w:r>
          <w:fldChar w:fldCharType="begin"/>
        </w:r>
        <w:r>
          <w:instrText xml:space="preserve">PAGEREF 5120 \h</w:instrText>
        </w:r>
        <w:r>
          <w:fldChar w:fldCharType="end"/>
        </w:r>
      </w:hyperlink>
    </w:p>
    <w:p>
      <w:pPr>
        <w:tabs>
          <w:tab w:val="right" w:leader="dot" w:pos="9062"/>
        </w:tabs>
        <w:ind w:left="220"/>
      </w:pPr>
      <w:hyperlink w:anchor="_Toc5121" w:history="1">
        <w:r>
          <w:rPr>
            <w:rFonts w:ascii="IRNazanin" w:hAnsi="IRNazanin" w:eastAsia="IRNazanin" w:cs="IRNazanin"/>
            <w:color w:val="111111"/>
            <w:sz w:val="22"/>
            <w:szCs w:val="22"/>
            <w:b w:val="0"/>
            <w:bCs w:val="0"/>
            <w:i w:val="0"/>
            <w:iCs w:val="0"/>
          </w:rPr>
          <w:t>علائي ، خليل بن كيكلدي، 694 - 761 ه-</w:t>
        </w:r>
        <w:r>
          <w:tab/>
        </w:r>
        <w:r>
          <w:fldChar w:fldCharType="begin"/>
        </w:r>
        <w:r>
          <w:instrText xml:space="preserve">PAGEREF 5121 \h</w:instrText>
        </w:r>
        <w:r>
          <w:fldChar w:fldCharType="end"/>
        </w:r>
      </w:hyperlink>
    </w:p>
    <w:p>
      <w:pPr>
        <w:tabs>
          <w:tab w:val="right" w:leader="dot" w:pos="9062"/>
        </w:tabs>
        <w:ind w:left="220"/>
      </w:pPr>
      <w:hyperlink w:anchor="_Toc5122" w:history="1">
        <w:r>
          <w:rPr>
            <w:rFonts w:ascii="IRNazanin" w:hAnsi="IRNazanin" w:eastAsia="IRNazanin" w:cs="IRNazanin"/>
            <w:color w:val="111111"/>
            <w:sz w:val="22"/>
            <w:szCs w:val="22"/>
            <w:b w:val="0"/>
            <w:bCs w:val="0"/>
            <w:i w:val="0"/>
            <w:iCs w:val="0"/>
          </w:rPr>
          <w:t>علائي ، سيّد محمّد</w:t>
        </w:r>
        <w:r>
          <w:tab/>
        </w:r>
        <w:r>
          <w:fldChar w:fldCharType="begin"/>
        </w:r>
        <w:r>
          <w:instrText xml:space="preserve">PAGEREF 5122 \h</w:instrText>
        </w:r>
        <w:r>
          <w:fldChar w:fldCharType="end"/>
        </w:r>
      </w:hyperlink>
    </w:p>
    <w:p>
      <w:pPr>
        <w:tabs>
          <w:tab w:val="right" w:leader="dot" w:pos="9062"/>
        </w:tabs>
        <w:ind w:left="220"/>
      </w:pPr>
      <w:hyperlink w:anchor="_Toc5123" w:history="1">
        <w:r>
          <w:rPr>
            <w:rFonts w:ascii="IRNazanin" w:hAnsi="IRNazanin" w:eastAsia="IRNazanin" w:cs="IRNazanin"/>
            <w:color w:val="111111"/>
            <w:sz w:val="22"/>
            <w:szCs w:val="22"/>
            <w:b w:val="0"/>
            <w:bCs w:val="0"/>
            <w:i w:val="0"/>
            <w:iCs w:val="0"/>
          </w:rPr>
          <w:t>علا ، ابوبكر بن محمّد قرن 13 ه-</w:t>
        </w:r>
        <w:r>
          <w:tab/>
        </w:r>
        <w:r>
          <w:fldChar w:fldCharType="begin"/>
        </w:r>
        <w:r>
          <w:instrText xml:space="preserve">PAGEREF 5123 \h</w:instrText>
        </w:r>
        <w:r>
          <w:fldChar w:fldCharType="end"/>
        </w:r>
      </w:hyperlink>
    </w:p>
    <w:p>
      <w:pPr>
        <w:tabs>
          <w:tab w:val="right" w:leader="dot" w:pos="9062"/>
        </w:tabs>
        <w:ind w:left="220"/>
      </w:pPr>
      <w:hyperlink w:anchor="_Toc5124" w:history="1">
        <w:r>
          <w:rPr>
            <w:rFonts w:ascii="IRNazanin" w:hAnsi="IRNazanin" w:eastAsia="IRNazanin" w:cs="IRNazanin"/>
            <w:color w:val="111111"/>
            <w:sz w:val="22"/>
            <w:szCs w:val="22"/>
            <w:b w:val="0"/>
            <w:bCs w:val="0"/>
            <w:i w:val="0"/>
            <w:iCs w:val="0"/>
          </w:rPr>
          <w:t>علاف، محمّد بن هذيل، 131؟ - 235 ه-</w:t>
        </w:r>
        <w:r>
          <w:tab/>
        </w:r>
        <w:r>
          <w:fldChar w:fldCharType="begin"/>
        </w:r>
        <w:r>
          <w:instrText xml:space="preserve">PAGEREF 5124 \h</w:instrText>
        </w:r>
        <w:r>
          <w:fldChar w:fldCharType="end"/>
        </w:r>
      </w:hyperlink>
    </w:p>
    <w:p>
      <w:pPr>
        <w:tabs>
          <w:tab w:val="right" w:leader="dot" w:pos="9062"/>
        </w:tabs>
        <w:ind w:left="220"/>
      </w:pPr>
      <w:hyperlink w:anchor="_Toc5125" w:history="1">
        <w:r>
          <w:rPr>
            <w:rFonts w:ascii="IRNazanin" w:hAnsi="IRNazanin" w:eastAsia="IRNazanin" w:cs="IRNazanin"/>
            <w:color w:val="111111"/>
            <w:sz w:val="22"/>
            <w:szCs w:val="22"/>
            <w:b w:val="0"/>
            <w:bCs w:val="0"/>
            <w:i w:val="0"/>
            <w:iCs w:val="0"/>
          </w:rPr>
          <w:t>علامه بلاغي</w:t>
        </w:r>
        <w:r>
          <w:tab/>
        </w:r>
        <w:r>
          <w:fldChar w:fldCharType="begin"/>
        </w:r>
        <w:r>
          <w:instrText xml:space="preserve">PAGEREF 5125 \h</w:instrText>
        </w:r>
        <w:r>
          <w:fldChar w:fldCharType="end"/>
        </w:r>
      </w:hyperlink>
    </w:p>
    <w:p>
      <w:pPr>
        <w:tabs>
          <w:tab w:val="right" w:leader="dot" w:pos="9062"/>
        </w:tabs>
        <w:ind w:left="220"/>
      </w:pPr>
      <w:hyperlink w:anchor="_Toc5126" w:history="1">
        <w:r>
          <w:rPr>
            <w:rFonts w:ascii="IRNazanin" w:hAnsi="IRNazanin" w:eastAsia="IRNazanin" w:cs="IRNazanin"/>
            <w:color w:val="111111"/>
            <w:sz w:val="22"/>
            <w:szCs w:val="22"/>
            <w:b w:val="0"/>
            <w:bCs w:val="0"/>
            <w:i w:val="0"/>
            <w:iCs w:val="0"/>
          </w:rPr>
          <w:t>علامه حلي ، حسن بن يوسف، 648 -</w:t>
        </w:r>
        <w:r>
          <w:tab/>
        </w:r>
        <w:r>
          <w:fldChar w:fldCharType="begin"/>
        </w:r>
        <w:r>
          <w:instrText xml:space="preserve">PAGEREF 5126 \h</w:instrText>
        </w:r>
        <w:r>
          <w:fldChar w:fldCharType="end"/>
        </w:r>
      </w:hyperlink>
    </w:p>
    <w:p>
      <w:pPr>
        <w:tabs>
          <w:tab w:val="right" w:leader="dot" w:pos="9062"/>
        </w:tabs>
        <w:ind w:left="220"/>
      </w:pPr>
      <w:hyperlink w:anchor="_Toc5127" w:history="1">
        <w:r>
          <w:rPr>
            <w:rFonts w:ascii="IRNazanin" w:hAnsi="IRNazanin" w:eastAsia="IRNazanin" w:cs="IRNazanin"/>
            <w:color w:val="111111"/>
            <w:sz w:val="22"/>
            <w:szCs w:val="22"/>
            <w:b w:val="0"/>
            <w:bCs w:val="0"/>
            <w:i w:val="0"/>
            <w:iCs w:val="0"/>
          </w:rPr>
          <w:t>علقمة الفحل - 20 ؟ قبل الهجرة</w:t>
        </w:r>
        <w:r>
          <w:tab/>
        </w:r>
        <w:r>
          <w:fldChar w:fldCharType="begin"/>
        </w:r>
        <w:r>
          <w:instrText xml:space="preserve">PAGEREF 5127 \h</w:instrText>
        </w:r>
        <w:r>
          <w:fldChar w:fldCharType="end"/>
        </w:r>
      </w:hyperlink>
    </w:p>
    <w:p>
      <w:pPr>
        <w:tabs>
          <w:tab w:val="right" w:leader="dot" w:pos="9062"/>
        </w:tabs>
        <w:ind w:left="220"/>
      </w:pPr>
      <w:hyperlink w:anchor="_Toc5128" w:history="1">
        <w:r>
          <w:rPr>
            <w:rFonts w:ascii="IRNazanin" w:hAnsi="IRNazanin" w:eastAsia="IRNazanin" w:cs="IRNazanin"/>
            <w:color w:val="111111"/>
            <w:sz w:val="22"/>
            <w:szCs w:val="22"/>
            <w:b w:val="0"/>
            <w:bCs w:val="0"/>
            <w:i w:val="0"/>
            <w:iCs w:val="0"/>
          </w:rPr>
          <w:t>علقمي ، محمّد بن عبد الرحمن، 897 -</w:t>
        </w:r>
        <w:r>
          <w:tab/>
        </w:r>
        <w:r>
          <w:fldChar w:fldCharType="begin"/>
        </w:r>
        <w:r>
          <w:instrText xml:space="preserve">PAGEREF 5128 \h</w:instrText>
        </w:r>
        <w:r>
          <w:fldChar w:fldCharType="end"/>
        </w:r>
      </w:hyperlink>
    </w:p>
    <w:p>
      <w:pPr>
        <w:tabs>
          <w:tab w:val="right" w:leader="dot" w:pos="9062"/>
        </w:tabs>
        <w:ind w:left="220"/>
      </w:pPr>
      <w:hyperlink w:anchor="_Toc5129" w:history="1">
        <w:r>
          <w:rPr>
            <w:rFonts w:ascii="IRNazanin" w:hAnsi="IRNazanin" w:eastAsia="IRNazanin" w:cs="IRNazanin"/>
            <w:color w:val="111111"/>
            <w:sz w:val="22"/>
            <w:szCs w:val="22"/>
            <w:b w:val="0"/>
            <w:bCs w:val="0"/>
            <w:i w:val="0"/>
            <w:iCs w:val="0"/>
          </w:rPr>
          <w:t>علم الهدى علي بن حسين 355-436 ه-</w:t>
        </w:r>
        <w:r>
          <w:tab/>
        </w:r>
        <w:r>
          <w:fldChar w:fldCharType="begin"/>
        </w:r>
        <w:r>
          <w:instrText xml:space="preserve">PAGEREF 5129 \h</w:instrText>
        </w:r>
        <w:r>
          <w:fldChar w:fldCharType="end"/>
        </w:r>
      </w:hyperlink>
    </w:p>
    <w:p>
      <w:pPr>
        <w:tabs>
          <w:tab w:val="right" w:leader="dot" w:pos="9062"/>
        </w:tabs>
        <w:ind w:left="220"/>
      </w:pPr>
      <w:hyperlink w:anchor="_Toc5130" w:history="1">
        <w:r>
          <w:rPr>
            <w:rFonts w:ascii="IRNazanin" w:hAnsi="IRNazanin" w:eastAsia="IRNazanin" w:cs="IRNazanin"/>
            <w:color w:val="111111"/>
            <w:sz w:val="22"/>
            <w:szCs w:val="22"/>
            <w:b w:val="0"/>
            <w:bCs w:val="0"/>
            <w:i w:val="0"/>
            <w:iCs w:val="0"/>
          </w:rPr>
          <w:t>علم الهدى ، محمّد بن محسن 1039 -</w:t>
        </w:r>
        <w:r>
          <w:tab/>
        </w:r>
        <w:r>
          <w:fldChar w:fldCharType="begin"/>
        </w:r>
        <w:r>
          <w:instrText xml:space="preserve">PAGEREF 5130 \h</w:instrText>
        </w:r>
        <w:r>
          <w:fldChar w:fldCharType="end"/>
        </w:r>
      </w:hyperlink>
    </w:p>
    <w:p>
      <w:pPr>
        <w:tabs>
          <w:tab w:val="right" w:leader="dot" w:pos="9062"/>
        </w:tabs>
        <w:ind w:left="220"/>
      </w:pPr>
      <w:hyperlink w:anchor="_Toc5131" w:history="1">
        <w:r>
          <w:rPr>
            <w:rFonts w:ascii="IRNazanin" w:hAnsi="IRNazanin" w:eastAsia="IRNazanin" w:cs="IRNazanin"/>
            <w:color w:val="111111"/>
            <w:sz w:val="22"/>
            <w:szCs w:val="22"/>
            <w:b w:val="0"/>
            <w:bCs w:val="0"/>
            <w:i w:val="0"/>
            <w:iCs w:val="0"/>
          </w:rPr>
          <w:t>علم الهدی ، مرتضی بن ،داعي قرن 6 ه-</w:t>
        </w:r>
        <w:r>
          <w:tab/>
        </w:r>
        <w:r>
          <w:fldChar w:fldCharType="begin"/>
        </w:r>
        <w:r>
          <w:instrText xml:space="preserve">PAGEREF 5131 \h</w:instrText>
        </w:r>
        <w:r>
          <w:fldChar w:fldCharType="end"/>
        </w:r>
      </w:hyperlink>
    </w:p>
    <w:p>
      <w:pPr>
        <w:tabs>
          <w:tab w:val="right" w:leader="dot" w:pos="9062"/>
        </w:tabs>
        <w:ind w:left="220"/>
      </w:pPr>
      <w:hyperlink w:anchor="_Toc5132" w:history="1">
        <w:r>
          <w:rPr>
            <w:rFonts w:ascii="IRNazanin" w:hAnsi="IRNazanin" w:eastAsia="IRNazanin" w:cs="IRNazanin"/>
            <w:color w:val="111111"/>
            <w:sz w:val="22"/>
            <w:szCs w:val="22"/>
            <w:b w:val="0"/>
            <w:bCs w:val="0"/>
            <w:i w:val="0"/>
            <w:iCs w:val="0"/>
          </w:rPr>
          <w:t>علموي، عبد الباسط بن موسى 907 -</w:t>
        </w:r>
        <w:r>
          <w:tab/>
        </w:r>
        <w:r>
          <w:fldChar w:fldCharType="begin"/>
        </w:r>
        <w:r>
          <w:instrText xml:space="preserve">PAGEREF 5132 \h</w:instrText>
        </w:r>
        <w:r>
          <w:fldChar w:fldCharType="end"/>
        </w:r>
      </w:hyperlink>
    </w:p>
    <w:p>
      <w:pPr>
        <w:tabs>
          <w:tab w:val="right" w:leader="dot" w:pos="9062"/>
        </w:tabs>
        <w:ind w:left="220"/>
      </w:pPr>
      <w:hyperlink w:anchor="_Toc5133" w:history="1">
        <w:r>
          <w:rPr>
            <w:rFonts w:ascii="IRNazanin" w:hAnsi="IRNazanin" w:eastAsia="IRNazanin" w:cs="IRNazanin"/>
            <w:color w:val="111111"/>
            <w:sz w:val="22"/>
            <w:szCs w:val="22"/>
            <w:b w:val="0"/>
            <w:bCs w:val="0"/>
            <w:i w:val="0"/>
            <w:iCs w:val="0"/>
          </w:rPr>
          <w:t>علمي ، محمّد بن عمر - 1038 ه-</w:t>
        </w:r>
        <w:r>
          <w:tab/>
        </w:r>
        <w:r>
          <w:fldChar w:fldCharType="begin"/>
        </w:r>
        <w:r>
          <w:instrText xml:space="preserve">PAGEREF 5133 \h</w:instrText>
        </w:r>
        <w:r>
          <w:fldChar w:fldCharType="end"/>
        </w:r>
      </w:hyperlink>
    </w:p>
    <w:p>
      <w:pPr>
        <w:tabs>
          <w:tab w:val="right" w:leader="dot" w:pos="9062"/>
        </w:tabs>
        <w:ind w:left="220"/>
      </w:pPr>
      <w:hyperlink w:anchor="_Toc5134" w:history="1">
        <w:r>
          <w:rPr>
            <w:rFonts w:ascii="IRNazanin" w:hAnsi="IRNazanin" w:eastAsia="IRNazanin" w:cs="IRNazanin"/>
            <w:color w:val="111111"/>
            <w:sz w:val="22"/>
            <w:szCs w:val="22"/>
            <w:b w:val="0"/>
            <w:bCs w:val="0"/>
            <w:i w:val="0"/>
            <w:iCs w:val="0"/>
          </w:rPr>
          <w:t>علوان ، علي بن عطيه، 873 - 936 ه-</w:t>
        </w:r>
        <w:r>
          <w:tab/>
        </w:r>
        <w:r>
          <w:fldChar w:fldCharType="begin"/>
        </w:r>
        <w:r>
          <w:instrText xml:space="preserve">PAGEREF 5134 \h</w:instrText>
        </w:r>
        <w:r>
          <w:fldChar w:fldCharType="end"/>
        </w:r>
      </w:hyperlink>
    </w:p>
    <w:p>
      <w:pPr>
        <w:tabs>
          <w:tab w:val="right" w:leader="dot" w:pos="9062"/>
        </w:tabs>
        <w:ind w:left="220"/>
      </w:pPr>
      <w:hyperlink w:anchor="_Toc5135" w:history="1">
        <w:r>
          <w:rPr>
            <w:rFonts w:ascii="IRNazanin" w:hAnsi="IRNazanin" w:eastAsia="IRNazanin" w:cs="IRNazanin"/>
            <w:color w:val="111111"/>
            <w:sz w:val="22"/>
            <w:szCs w:val="22"/>
            <w:b w:val="0"/>
            <w:bCs w:val="0"/>
            <w:i w:val="0"/>
            <w:iCs w:val="0"/>
          </w:rPr>
          <w:t>علوي ، ابراهيم بن محمّد</w:t>
        </w:r>
        <w:r>
          <w:tab/>
        </w:r>
        <w:r>
          <w:fldChar w:fldCharType="begin"/>
        </w:r>
        <w:r>
          <w:instrText xml:space="preserve">PAGEREF 5135 \h</w:instrText>
        </w:r>
        <w:r>
          <w:fldChar w:fldCharType="end"/>
        </w:r>
      </w:hyperlink>
    </w:p>
    <w:p>
      <w:pPr>
        <w:tabs>
          <w:tab w:val="right" w:leader="dot" w:pos="9062"/>
        </w:tabs>
        <w:ind w:left="220"/>
      </w:pPr>
      <w:hyperlink w:anchor="_Toc5136" w:history="1">
        <w:r>
          <w:rPr>
            <w:rFonts w:ascii="IRNazanin" w:hAnsi="IRNazanin" w:eastAsia="IRNazanin" w:cs="IRNazanin"/>
            <w:color w:val="111111"/>
            <w:sz w:val="22"/>
            <w:szCs w:val="22"/>
            <w:b w:val="0"/>
            <w:bCs w:val="0"/>
            <w:i w:val="0"/>
            <w:iCs w:val="0"/>
          </w:rPr>
          <w:t>علوي ، ابوالحسن بن احمد ، قرن 7 ه-</w:t>
        </w:r>
        <w:r>
          <w:tab/>
        </w:r>
        <w:r>
          <w:fldChar w:fldCharType="begin"/>
        </w:r>
        <w:r>
          <w:instrText xml:space="preserve">PAGEREF 5136 \h</w:instrText>
        </w:r>
        <w:r>
          <w:fldChar w:fldCharType="end"/>
        </w:r>
      </w:hyperlink>
    </w:p>
    <w:p>
      <w:pPr>
        <w:tabs>
          <w:tab w:val="right" w:leader="dot" w:pos="9062"/>
        </w:tabs>
        <w:ind w:left="220"/>
      </w:pPr>
      <w:hyperlink w:anchor="_Toc5137" w:history="1">
        <w:r>
          <w:rPr>
            <w:rFonts w:ascii="IRNazanin" w:hAnsi="IRNazanin" w:eastAsia="IRNazanin" w:cs="IRNazanin"/>
            <w:color w:val="111111"/>
            <w:sz w:val="22"/>
            <w:szCs w:val="22"/>
            <w:b w:val="0"/>
            <w:bCs w:val="0"/>
            <w:i w:val="0"/>
            <w:iCs w:val="0"/>
          </w:rPr>
          <w:t>علوي، اسماعيل بن ابراهيم قرن 11 ه-</w:t>
        </w:r>
        <w:r>
          <w:tab/>
        </w:r>
        <w:r>
          <w:fldChar w:fldCharType="begin"/>
        </w:r>
        <w:r>
          <w:instrText xml:space="preserve">PAGEREF 5137 \h</w:instrText>
        </w:r>
        <w:r>
          <w:fldChar w:fldCharType="end"/>
        </w:r>
      </w:hyperlink>
    </w:p>
    <w:p>
      <w:pPr>
        <w:tabs>
          <w:tab w:val="right" w:leader="dot" w:pos="9062"/>
        </w:tabs>
        <w:ind w:left="220"/>
      </w:pPr>
      <w:hyperlink w:anchor="_Toc5138" w:history="1">
        <w:r>
          <w:rPr>
            <w:rFonts w:ascii="IRNazanin" w:hAnsi="IRNazanin" w:eastAsia="IRNazanin" w:cs="IRNazanin"/>
            <w:color w:val="111111"/>
            <w:sz w:val="22"/>
            <w:szCs w:val="22"/>
            <w:b w:val="0"/>
            <w:bCs w:val="0"/>
            <w:i w:val="0"/>
            <w:iCs w:val="0"/>
          </w:rPr>
          <w:t>علوي اصفهاني، مصطفى بن عقیل قرن</w:t>
        </w:r>
        <w:r>
          <w:tab/>
        </w:r>
        <w:r>
          <w:fldChar w:fldCharType="begin"/>
        </w:r>
        <w:r>
          <w:instrText xml:space="preserve">PAGEREF 5138 \h</w:instrText>
        </w:r>
        <w:r>
          <w:fldChar w:fldCharType="end"/>
        </w:r>
      </w:hyperlink>
    </w:p>
    <w:p>
      <w:pPr>
        <w:tabs>
          <w:tab w:val="right" w:leader="dot" w:pos="9062"/>
        </w:tabs>
        <w:ind w:left="220"/>
      </w:pPr>
      <w:hyperlink w:anchor="_Toc5139" w:history="1">
        <w:r>
          <w:rPr>
            <w:rFonts w:ascii="IRNazanin" w:hAnsi="IRNazanin" w:eastAsia="IRNazanin" w:cs="IRNazanin"/>
            <w:color w:val="111111"/>
            <w:sz w:val="22"/>
            <w:szCs w:val="22"/>
            <w:b w:val="0"/>
            <w:bCs w:val="0"/>
            <w:i w:val="0"/>
            <w:iCs w:val="0"/>
          </w:rPr>
          <w:t>علوي ، حسن بن محمّد - 670 ه-</w:t>
        </w:r>
        <w:r>
          <w:tab/>
        </w:r>
        <w:r>
          <w:fldChar w:fldCharType="begin"/>
        </w:r>
        <w:r>
          <w:instrText xml:space="preserve">PAGEREF 5139 \h</w:instrText>
        </w:r>
        <w:r>
          <w:fldChar w:fldCharType="end"/>
        </w:r>
      </w:hyperlink>
    </w:p>
    <w:p>
      <w:pPr>
        <w:tabs>
          <w:tab w:val="right" w:leader="dot" w:pos="9062"/>
        </w:tabs>
        <w:ind w:left="220"/>
      </w:pPr>
      <w:hyperlink w:anchor="_Toc5140" w:history="1">
        <w:r>
          <w:rPr>
            <w:rFonts w:ascii="IRNazanin" w:hAnsi="IRNazanin" w:eastAsia="IRNazanin" w:cs="IRNazanin"/>
            <w:color w:val="111111"/>
            <w:sz w:val="22"/>
            <w:szCs w:val="22"/>
            <w:b w:val="0"/>
            <w:bCs w:val="0"/>
            <w:i w:val="0"/>
            <w:iCs w:val="0"/>
          </w:rPr>
          <w:t>علوي ، حسين بن امان الله</w:t>
        </w:r>
        <w:r>
          <w:tab/>
        </w:r>
        <w:r>
          <w:fldChar w:fldCharType="begin"/>
        </w:r>
        <w:r>
          <w:instrText xml:space="preserve">PAGEREF 5140 \h</w:instrText>
        </w:r>
        <w:r>
          <w:fldChar w:fldCharType="end"/>
        </w:r>
      </w:hyperlink>
    </w:p>
    <w:p>
      <w:pPr>
        <w:tabs>
          <w:tab w:val="right" w:leader="dot" w:pos="9062"/>
        </w:tabs>
        <w:ind w:left="220"/>
      </w:pPr>
      <w:hyperlink w:anchor="_Toc5141" w:history="1">
        <w:r>
          <w:rPr>
            <w:rFonts w:ascii="IRNazanin" w:hAnsi="IRNazanin" w:eastAsia="IRNazanin" w:cs="IRNazanin"/>
            <w:color w:val="111111"/>
            <w:sz w:val="22"/>
            <w:szCs w:val="22"/>
            <w:b w:val="0"/>
            <w:bCs w:val="0"/>
            <w:i w:val="0"/>
            <w:iCs w:val="0"/>
          </w:rPr>
          <w:t>علوي حسيني ، محمّد بن علي - 445 ه-</w:t>
        </w:r>
        <w:r>
          <w:tab/>
        </w:r>
        <w:r>
          <w:fldChar w:fldCharType="begin"/>
        </w:r>
        <w:r>
          <w:instrText xml:space="preserve">PAGEREF 5141 \h</w:instrText>
        </w:r>
        <w:r>
          <w:fldChar w:fldCharType="end"/>
        </w:r>
      </w:hyperlink>
    </w:p>
    <w:p>
      <w:pPr>
        <w:tabs>
          <w:tab w:val="right" w:leader="dot" w:pos="9062"/>
        </w:tabs>
        <w:ind w:left="220"/>
      </w:pPr>
      <w:hyperlink w:anchor="_Toc5142" w:history="1">
        <w:r>
          <w:rPr>
            <w:rFonts w:ascii="IRNazanin" w:hAnsi="IRNazanin" w:eastAsia="IRNazanin" w:cs="IRNazanin"/>
            <w:color w:val="111111"/>
            <w:sz w:val="22"/>
            <w:szCs w:val="22"/>
            <w:b w:val="0"/>
            <w:bCs w:val="0"/>
            <w:i w:val="0"/>
            <w:iCs w:val="0"/>
          </w:rPr>
          <w:t>علوي حسيني، مظفر بن فضل - 656 ه-</w:t>
        </w:r>
        <w:r>
          <w:tab/>
        </w:r>
        <w:r>
          <w:fldChar w:fldCharType="begin"/>
        </w:r>
        <w:r>
          <w:instrText xml:space="preserve">PAGEREF 5142 \h</w:instrText>
        </w:r>
        <w:r>
          <w:fldChar w:fldCharType="end"/>
        </w:r>
      </w:hyperlink>
    </w:p>
    <w:p>
      <w:pPr>
        <w:tabs>
          <w:tab w:val="right" w:leader="dot" w:pos="9062"/>
        </w:tabs>
        <w:ind w:left="220"/>
      </w:pPr>
      <w:hyperlink w:anchor="_Toc5143" w:history="1">
        <w:r>
          <w:rPr>
            <w:rFonts w:ascii="IRNazanin" w:hAnsi="IRNazanin" w:eastAsia="IRNazanin" w:cs="IRNazanin"/>
            <w:color w:val="111111"/>
            <w:sz w:val="22"/>
            <w:szCs w:val="22"/>
            <w:b w:val="0"/>
            <w:bCs w:val="0"/>
            <w:i w:val="0"/>
            <w:iCs w:val="0"/>
          </w:rPr>
          <w:t>علوي سبزواري، محمّد باقر بن محمّد</w:t>
        </w:r>
        <w:r>
          <w:tab/>
        </w:r>
        <w:r>
          <w:fldChar w:fldCharType="begin"/>
        </w:r>
        <w:r>
          <w:instrText xml:space="preserve">PAGEREF 5143 \h</w:instrText>
        </w:r>
        <w:r>
          <w:fldChar w:fldCharType="end"/>
        </w:r>
      </w:hyperlink>
    </w:p>
    <w:p>
      <w:pPr>
        <w:tabs>
          <w:tab w:val="right" w:leader="dot" w:pos="9062"/>
        </w:tabs>
        <w:ind w:left="220"/>
      </w:pPr>
      <w:hyperlink w:anchor="_Toc5144" w:history="1">
        <w:r>
          <w:rPr>
            <w:rFonts w:ascii="IRNazanin" w:hAnsi="IRNazanin" w:eastAsia="IRNazanin" w:cs="IRNazanin"/>
            <w:color w:val="111111"/>
            <w:sz w:val="22"/>
            <w:szCs w:val="22"/>
            <w:b w:val="0"/>
            <w:bCs w:val="0"/>
            <w:i w:val="0"/>
            <w:iCs w:val="0"/>
          </w:rPr>
          <w:t>علوي سبزواري ، محمّد مهدي بن</w:t>
        </w:r>
        <w:r>
          <w:tab/>
        </w:r>
        <w:r>
          <w:fldChar w:fldCharType="begin"/>
        </w:r>
        <w:r>
          <w:instrText xml:space="preserve">PAGEREF 5144 \h</w:instrText>
        </w:r>
        <w:r>
          <w:fldChar w:fldCharType="end"/>
        </w:r>
      </w:hyperlink>
    </w:p>
    <w:p>
      <w:pPr>
        <w:tabs>
          <w:tab w:val="right" w:leader="dot" w:pos="9062"/>
        </w:tabs>
        <w:ind w:left="220"/>
      </w:pPr>
      <w:hyperlink w:anchor="_Toc5145" w:history="1">
        <w:r>
          <w:rPr>
            <w:rFonts w:ascii="IRNazanin" w:hAnsi="IRNazanin" w:eastAsia="IRNazanin" w:cs="IRNazanin"/>
            <w:color w:val="111111"/>
            <w:sz w:val="22"/>
            <w:szCs w:val="22"/>
            <w:b w:val="0"/>
            <w:bCs w:val="0"/>
            <w:i w:val="0"/>
            <w:iCs w:val="0"/>
          </w:rPr>
          <w:t>علوي شيرازي، ابوالحسين بن محمّد</w:t>
        </w:r>
        <w:r>
          <w:tab/>
        </w:r>
        <w:r>
          <w:fldChar w:fldCharType="begin"/>
        </w:r>
        <w:r>
          <w:instrText xml:space="preserve">PAGEREF 5145 \h</w:instrText>
        </w:r>
        <w:r>
          <w:fldChar w:fldCharType="end"/>
        </w:r>
      </w:hyperlink>
    </w:p>
    <w:p>
      <w:pPr>
        <w:tabs>
          <w:tab w:val="right" w:leader="dot" w:pos="9062"/>
        </w:tabs>
        <w:ind w:left="220"/>
      </w:pPr>
      <w:hyperlink w:anchor="_Toc5146" w:history="1">
        <w:r>
          <w:rPr>
            <w:rFonts w:ascii="IRNazanin" w:hAnsi="IRNazanin" w:eastAsia="IRNazanin" w:cs="IRNazanin"/>
            <w:color w:val="111111"/>
            <w:sz w:val="22"/>
            <w:szCs w:val="22"/>
            <w:b w:val="0"/>
            <w:bCs w:val="0"/>
            <w:i w:val="0"/>
            <w:iCs w:val="0"/>
          </w:rPr>
          <w:t>علوي عاملي ، احمد بن زين العابدين</w:t>
        </w:r>
        <w:r>
          <w:tab/>
        </w:r>
        <w:r>
          <w:fldChar w:fldCharType="begin"/>
        </w:r>
        <w:r>
          <w:instrText xml:space="preserve">PAGEREF 5146 \h</w:instrText>
        </w:r>
        <w:r>
          <w:fldChar w:fldCharType="end"/>
        </w:r>
      </w:hyperlink>
    </w:p>
    <w:p>
      <w:pPr>
        <w:tabs>
          <w:tab w:val="right" w:leader="dot" w:pos="9062"/>
        </w:tabs>
        <w:ind w:left="220"/>
      </w:pPr>
      <w:hyperlink w:anchor="_Toc5147" w:history="1">
        <w:r>
          <w:rPr>
            <w:rFonts w:ascii="IRNazanin" w:hAnsi="IRNazanin" w:eastAsia="IRNazanin" w:cs="IRNazanin"/>
            <w:color w:val="111111"/>
            <w:sz w:val="22"/>
            <w:szCs w:val="22"/>
            <w:b w:val="0"/>
            <w:bCs w:val="0"/>
            <w:i w:val="0"/>
            <w:iCs w:val="0"/>
          </w:rPr>
          <w:t>علوي، عبدالصمد بن عبدالله قرن 10 ه-</w:t>
        </w:r>
        <w:r>
          <w:tab/>
        </w:r>
        <w:r>
          <w:fldChar w:fldCharType="begin"/>
        </w:r>
        <w:r>
          <w:instrText xml:space="preserve">PAGEREF 5147 \h</w:instrText>
        </w:r>
        <w:r>
          <w:fldChar w:fldCharType="end"/>
        </w:r>
      </w:hyperlink>
    </w:p>
    <w:p>
      <w:pPr>
        <w:tabs>
          <w:tab w:val="right" w:leader="dot" w:pos="9062"/>
        </w:tabs>
        <w:ind w:left="220"/>
      </w:pPr>
      <w:hyperlink w:anchor="_Toc5148" w:history="1">
        <w:r>
          <w:rPr>
            <w:rFonts w:ascii="IRNazanin" w:hAnsi="IRNazanin" w:eastAsia="IRNazanin" w:cs="IRNazanin"/>
            <w:color w:val="111111"/>
            <w:sz w:val="22"/>
            <w:szCs w:val="22"/>
            <w:b w:val="0"/>
            <w:bCs w:val="0"/>
            <w:i w:val="0"/>
            <w:iCs w:val="0"/>
          </w:rPr>
          <w:t>علوي ، علي بن عبد الرحمن</w:t>
        </w:r>
        <w:r>
          <w:tab/>
        </w:r>
        <w:r>
          <w:fldChar w:fldCharType="begin"/>
        </w:r>
        <w:r>
          <w:instrText xml:space="preserve">PAGEREF 5148 \h</w:instrText>
        </w:r>
        <w:r>
          <w:fldChar w:fldCharType="end"/>
        </w:r>
      </w:hyperlink>
    </w:p>
    <w:p>
      <w:pPr>
        <w:tabs>
          <w:tab w:val="right" w:leader="dot" w:pos="9062"/>
        </w:tabs>
        <w:ind w:left="220"/>
      </w:pPr>
      <w:hyperlink w:anchor="_Toc5149" w:history="1">
        <w:r>
          <w:rPr>
            <w:rFonts w:ascii="IRNazanin" w:hAnsi="IRNazanin" w:eastAsia="IRNazanin" w:cs="IRNazanin"/>
            <w:color w:val="111111"/>
            <w:sz w:val="22"/>
            <w:szCs w:val="22"/>
            <w:b w:val="0"/>
            <w:bCs w:val="0"/>
            <w:i w:val="0"/>
            <w:iCs w:val="0"/>
          </w:rPr>
          <w:t>علوي ، عمر بن علي، 664 - 703 ه-</w:t>
        </w:r>
        <w:r>
          <w:tab/>
        </w:r>
        <w:r>
          <w:fldChar w:fldCharType="begin"/>
        </w:r>
        <w:r>
          <w:instrText xml:space="preserve">PAGEREF 5149 \h</w:instrText>
        </w:r>
        <w:r>
          <w:fldChar w:fldCharType="end"/>
        </w:r>
      </w:hyperlink>
    </w:p>
    <w:p>
      <w:pPr>
        <w:tabs>
          <w:tab w:val="right" w:leader="dot" w:pos="9062"/>
        </w:tabs>
        <w:ind w:left="220"/>
      </w:pPr>
      <w:hyperlink w:anchor="_Toc5150" w:history="1">
        <w:r>
          <w:rPr>
            <w:rFonts w:ascii="IRNazanin" w:hAnsi="IRNazanin" w:eastAsia="IRNazanin" w:cs="IRNazanin"/>
            <w:color w:val="111111"/>
            <w:sz w:val="22"/>
            <w:szCs w:val="22"/>
            <w:b w:val="0"/>
            <w:bCs w:val="0"/>
            <w:i w:val="0"/>
            <w:iCs w:val="0"/>
          </w:rPr>
          <w:t>علوي گجراتي وجيه الدين، 911-998 ه-</w:t>
        </w:r>
        <w:r>
          <w:tab/>
        </w:r>
        <w:r>
          <w:fldChar w:fldCharType="begin"/>
        </w:r>
        <w:r>
          <w:instrText xml:space="preserve">PAGEREF 5150 \h</w:instrText>
        </w:r>
        <w:r>
          <w:fldChar w:fldCharType="end"/>
        </w:r>
      </w:hyperlink>
    </w:p>
    <w:p>
      <w:pPr>
        <w:tabs>
          <w:tab w:val="right" w:leader="dot" w:pos="9062"/>
        </w:tabs>
        <w:ind w:left="220"/>
      </w:pPr>
      <w:hyperlink w:anchor="_Toc5151" w:history="1">
        <w:r>
          <w:rPr>
            <w:rFonts w:ascii="IRNazanin" w:hAnsi="IRNazanin" w:eastAsia="IRNazanin" w:cs="IRNazanin"/>
            <w:color w:val="111111"/>
            <w:sz w:val="22"/>
            <w:szCs w:val="22"/>
            <w:b w:val="0"/>
            <w:bCs w:val="0"/>
            <w:i w:val="0"/>
            <w:iCs w:val="0"/>
          </w:rPr>
          <w:t>علوي ، محمّد بن ابي الرضا - 1330 ه-</w:t>
        </w:r>
        <w:r>
          <w:tab/>
        </w:r>
        <w:r>
          <w:fldChar w:fldCharType="begin"/>
        </w:r>
        <w:r>
          <w:instrText xml:space="preserve">PAGEREF 5151 \h</w:instrText>
        </w:r>
        <w:r>
          <w:fldChar w:fldCharType="end"/>
        </w:r>
      </w:hyperlink>
    </w:p>
    <w:p>
      <w:pPr>
        <w:tabs>
          <w:tab w:val="right" w:leader="dot" w:pos="9062"/>
        </w:tabs>
        <w:ind w:left="220"/>
      </w:pPr>
      <w:hyperlink w:anchor="_Toc5152" w:history="1">
        <w:r>
          <w:rPr>
            <w:rFonts w:ascii="IRNazanin" w:hAnsi="IRNazanin" w:eastAsia="IRNazanin" w:cs="IRNazanin"/>
            <w:color w:val="111111"/>
            <w:sz w:val="22"/>
            <w:szCs w:val="22"/>
            <w:b w:val="0"/>
            <w:bCs w:val="0"/>
            <w:i w:val="0"/>
            <w:iCs w:val="0"/>
          </w:rPr>
          <w:t>علوي ، محمّد بن علي بن حسن</w:t>
        </w:r>
        <w:r>
          <w:tab/>
        </w:r>
        <w:r>
          <w:fldChar w:fldCharType="begin"/>
        </w:r>
        <w:r>
          <w:instrText xml:space="preserve">PAGEREF 5152 \h</w:instrText>
        </w:r>
        <w:r>
          <w:fldChar w:fldCharType="end"/>
        </w:r>
      </w:hyperlink>
    </w:p>
    <w:p>
      <w:pPr>
        <w:tabs>
          <w:tab w:val="right" w:leader="dot" w:pos="9062"/>
        </w:tabs>
        <w:ind w:left="220"/>
      </w:pPr>
      <w:hyperlink w:anchor="_Toc5153" w:history="1">
        <w:r>
          <w:rPr>
            <w:rFonts w:ascii="IRNazanin" w:hAnsi="IRNazanin" w:eastAsia="IRNazanin" w:cs="IRNazanin"/>
            <w:color w:val="111111"/>
            <w:sz w:val="22"/>
            <w:szCs w:val="22"/>
            <w:b w:val="0"/>
            <w:bCs w:val="0"/>
            <w:i w:val="0"/>
            <w:iCs w:val="0"/>
          </w:rPr>
          <w:t>علوي ، محمّد بن هاشم 1380 ه-</w:t>
        </w:r>
        <w:r>
          <w:tab/>
        </w:r>
        <w:r>
          <w:fldChar w:fldCharType="begin"/>
        </w:r>
        <w:r>
          <w:instrText xml:space="preserve">PAGEREF 5153 \h</w:instrText>
        </w:r>
        <w:r>
          <w:fldChar w:fldCharType="end"/>
        </w:r>
      </w:hyperlink>
    </w:p>
    <w:p>
      <w:pPr>
        <w:tabs>
          <w:tab w:val="right" w:leader="dot" w:pos="9062"/>
        </w:tabs>
        <w:ind w:left="220"/>
      </w:pPr>
      <w:hyperlink w:anchor="_Toc5154" w:history="1">
        <w:r>
          <w:rPr>
            <w:rFonts w:ascii="IRNazanin" w:hAnsi="IRNazanin" w:eastAsia="IRNazanin" w:cs="IRNazanin"/>
            <w:color w:val="111111"/>
            <w:sz w:val="22"/>
            <w:szCs w:val="22"/>
            <w:b w:val="0"/>
            <w:bCs w:val="0"/>
            <w:i w:val="0"/>
            <w:iCs w:val="0"/>
          </w:rPr>
          <w:t>علوي موسوي، مصطفى بن اسماعیل</w:t>
        </w:r>
        <w:r>
          <w:tab/>
        </w:r>
        <w:r>
          <w:fldChar w:fldCharType="begin"/>
        </w:r>
        <w:r>
          <w:instrText xml:space="preserve">PAGEREF 5154 \h</w:instrText>
        </w:r>
        <w:r>
          <w:fldChar w:fldCharType="end"/>
        </w:r>
      </w:hyperlink>
    </w:p>
    <w:p>
      <w:pPr>
        <w:tabs>
          <w:tab w:val="right" w:leader="dot" w:pos="9062"/>
        </w:tabs>
        <w:ind w:left="220"/>
      </w:pPr>
      <w:hyperlink w:anchor="_Toc5155" w:history="1">
        <w:r>
          <w:rPr>
            <w:rFonts w:ascii="IRNazanin" w:hAnsi="IRNazanin" w:eastAsia="IRNazanin" w:cs="IRNazanin"/>
            <w:color w:val="111111"/>
            <w:sz w:val="22"/>
            <w:szCs w:val="22"/>
            <w:b w:val="0"/>
            <w:bCs w:val="0"/>
            <w:i w:val="0"/>
            <w:iCs w:val="0"/>
          </w:rPr>
          <w:t>علوي يماني ، محمّد</w:t>
        </w:r>
        <w:r>
          <w:tab/>
        </w:r>
        <w:r>
          <w:fldChar w:fldCharType="begin"/>
        </w:r>
        <w:r>
          <w:instrText xml:space="preserve">PAGEREF 5155 \h</w:instrText>
        </w:r>
        <w:r>
          <w:fldChar w:fldCharType="end"/>
        </w:r>
      </w:hyperlink>
    </w:p>
    <w:p>
      <w:pPr>
        <w:tabs>
          <w:tab w:val="right" w:leader="dot" w:pos="9062"/>
        </w:tabs>
        <w:ind w:left="220"/>
      </w:pPr>
      <w:hyperlink w:anchor="_Toc5156" w:history="1">
        <w:r>
          <w:rPr>
            <w:rFonts w:ascii="IRNazanin" w:hAnsi="IRNazanin" w:eastAsia="IRNazanin" w:cs="IRNazanin"/>
            <w:color w:val="111111"/>
            <w:sz w:val="22"/>
            <w:szCs w:val="22"/>
            <w:b w:val="0"/>
            <w:bCs w:val="0"/>
            <w:i w:val="0"/>
            <w:iCs w:val="0"/>
          </w:rPr>
          <w:t>علياري، محمّد حسن بن علي - 1358 ه-</w:t>
        </w:r>
        <w:r>
          <w:tab/>
        </w:r>
        <w:r>
          <w:fldChar w:fldCharType="begin"/>
        </w:r>
        <w:r>
          <w:instrText xml:space="preserve">PAGEREF 5156 \h</w:instrText>
        </w:r>
        <w:r>
          <w:fldChar w:fldCharType="end"/>
        </w:r>
      </w:hyperlink>
    </w:p>
    <w:p>
      <w:pPr>
        <w:tabs>
          <w:tab w:val="right" w:leader="dot" w:pos="9062"/>
        </w:tabs>
        <w:ind w:left="220"/>
      </w:pPr>
      <w:hyperlink w:anchor="_Toc5157" w:history="1">
        <w:r>
          <w:rPr>
            <w:rFonts w:ascii="IRNazanin" w:hAnsi="IRNazanin" w:eastAsia="IRNazanin" w:cs="IRNazanin"/>
            <w:color w:val="111111"/>
            <w:sz w:val="22"/>
            <w:szCs w:val="22"/>
            <w:b w:val="0"/>
            <w:bCs w:val="0"/>
            <w:i w:val="0"/>
            <w:iCs w:val="0"/>
          </w:rPr>
          <w:t>علي افندي، علي بن محمّد - 1103 ه-</w:t>
        </w:r>
        <w:r>
          <w:tab/>
        </w:r>
        <w:r>
          <w:fldChar w:fldCharType="begin"/>
        </w:r>
        <w:r>
          <w:instrText xml:space="preserve">PAGEREF 5157 \h</w:instrText>
        </w:r>
        <w:r>
          <w:fldChar w:fldCharType="end"/>
        </w:r>
      </w:hyperlink>
    </w:p>
    <w:p>
      <w:pPr>
        <w:tabs>
          <w:tab w:val="right" w:leader="dot" w:pos="9062"/>
        </w:tabs>
        <w:ind w:left="220"/>
      </w:pPr>
      <w:hyperlink w:anchor="_Toc5158" w:history="1">
        <w:r>
          <w:rPr>
            <w:rFonts w:ascii="IRNazanin" w:hAnsi="IRNazanin" w:eastAsia="IRNazanin" w:cs="IRNazanin"/>
            <w:color w:val="111111"/>
            <w:sz w:val="22"/>
            <w:szCs w:val="22"/>
            <w:b w:val="0"/>
            <w:bCs w:val="0"/>
            <w:i w:val="0"/>
            <w:iCs w:val="0"/>
          </w:rPr>
          <w:t>علي البناء</w:t>
        </w:r>
        <w:r>
          <w:tab/>
        </w:r>
        <w:r>
          <w:fldChar w:fldCharType="begin"/>
        </w:r>
        <w:r>
          <w:instrText xml:space="preserve">PAGEREF 5158 \h</w:instrText>
        </w:r>
        <w:r>
          <w:fldChar w:fldCharType="end"/>
        </w:r>
      </w:hyperlink>
    </w:p>
    <w:p>
      <w:pPr>
        <w:tabs>
          <w:tab w:val="right" w:leader="dot" w:pos="9062"/>
        </w:tabs>
        <w:ind w:left="220"/>
      </w:pPr>
      <w:hyperlink w:anchor="_Toc5159" w:history="1">
        <w:r>
          <w:rPr>
            <w:rFonts w:ascii="IRNazanin" w:hAnsi="IRNazanin" w:eastAsia="IRNazanin" w:cs="IRNazanin"/>
            <w:color w:val="111111"/>
            <w:sz w:val="22"/>
            <w:szCs w:val="22"/>
            <w:b w:val="0"/>
            <w:bCs w:val="0"/>
            <w:i w:val="0"/>
            <w:iCs w:val="0"/>
          </w:rPr>
          <w:t>علي المحتضر السعيد</w:t>
        </w:r>
        <w:r>
          <w:tab/>
        </w:r>
        <w:r>
          <w:fldChar w:fldCharType="begin"/>
        </w:r>
        <w:r>
          <w:instrText xml:space="preserve">PAGEREF 5159 \h</w:instrText>
        </w:r>
        <w:r>
          <w:fldChar w:fldCharType="end"/>
        </w:r>
      </w:hyperlink>
    </w:p>
    <w:p>
      <w:pPr>
        <w:tabs>
          <w:tab w:val="right" w:leader="dot" w:pos="9062"/>
        </w:tabs>
        <w:ind w:left="220"/>
      </w:pPr>
      <w:hyperlink w:anchor="_Toc5160" w:history="1">
        <w:r>
          <w:rPr>
            <w:rFonts w:ascii="IRNazanin" w:hAnsi="IRNazanin" w:eastAsia="IRNazanin" w:cs="IRNazanin"/>
            <w:color w:val="111111"/>
            <w:sz w:val="22"/>
            <w:szCs w:val="22"/>
            <w:b w:val="0"/>
            <w:bCs w:val="0"/>
            <w:i w:val="0"/>
            <w:iCs w:val="0"/>
          </w:rPr>
          <w:t>علي بخش میرزا قاجار 1254 ه-</w:t>
        </w:r>
        <w:r>
          <w:tab/>
        </w:r>
        <w:r>
          <w:fldChar w:fldCharType="begin"/>
        </w:r>
        <w:r>
          <w:instrText xml:space="preserve">PAGEREF 5160 \h</w:instrText>
        </w:r>
        <w:r>
          <w:fldChar w:fldCharType="end"/>
        </w:r>
      </w:hyperlink>
    </w:p>
    <w:p>
      <w:pPr>
        <w:tabs>
          <w:tab w:val="right" w:leader="dot" w:pos="9062"/>
        </w:tabs>
        <w:ind w:left="220"/>
      </w:pPr>
      <w:hyperlink w:anchor="_Toc5161" w:history="1">
        <w:r>
          <w:rPr>
            <w:rFonts w:ascii="IRNazanin" w:hAnsi="IRNazanin" w:eastAsia="IRNazanin" w:cs="IRNazanin"/>
            <w:color w:val="111111"/>
            <w:sz w:val="22"/>
            <w:szCs w:val="22"/>
            <w:b w:val="0"/>
            <w:bCs w:val="0"/>
            <w:i w:val="0"/>
            <w:iCs w:val="0"/>
          </w:rPr>
          <w:t>علي بن ابراهيم بن هاشم</w:t>
        </w:r>
        <w:r>
          <w:tab/>
        </w:r>
        <w:r>
          <w:fldChar w:fldCharType="begin"/>
        </w:r>
        <w:r>
          <w:instrText xml:space="preserve">PAGEREF 5161 \h</w:instrText>
        </w:r>
        <w:r>
          <w:fldChar w:fldCharType="end"/>
        </w:r>
      </w:hyperlink>
    </w:p>
    <w:p>
      <w:pPr>
        <w:tabs>
          <w:tab w:val="right" w:leader="dot" w:pos="9062"/>
        </w:tabs>
        <w:ind w:left="220"/>
      </w:pPr>
      <w:hyperlink w:anchor="_Toc5162" w:history="1">
        <w:r>
          <w:rPr>
            <w:rFonts w:ascii="IRNazanin" w:hAnsi="IRNazanin" w:eastAsia="IRNazanin" w:cs="IRNazanin"/>
            <w:color w:val="111111"/>
            <w:sz w:val="22"/>
            <w:szCs w:val="22"/>
            <w:b w:val="0"/>
            <w:bCs w:val="0"/>
            <w:i w:val="0"/>
            <w:iCs w:val="0"/>
          </w:rPr>
          <w:t>علي بن ابي القاسم</w:t>
        </w:r>
        <w:r>
          <w:tab/>
        </w:r>
        <w:r>
          <w:fldChar w:fldCharType="begin"/>
        </w:r>
        <w:r>
          <w:instrText xml:space="preserve">PAGEREF 5162 \h</w:instrText>
        </w:r>
        <w:r>
          <w:fldChar w:fldCharType="end"/>
        </w:r>
      </w:hyperlink>
    </w:p>
    <w:p>
      <w:pPr>
        <w:tabs>
          <w:tab w:val="right" w:leader="dot" w:pos="9062"/>
        </w:tabs>
        <w:ind w:left="220"/>
      </w:pPr>
      <w:hyperlink w:anchor="_Toc5163" w:history="1">
        <w:r>
          <w:rPr>
            <w:rFonts w:ascii="IRNazanin" w:hAnsi="IRNazanin" w:eastAsia="IRNazanin" w:cs="IRNazanin"/>
            <w:color w:val="111111"/>
            <w:sz w:val="22"/>
            <w:szCs w:val="22"/>
            <w:b w:val="0"/>
            <w:bCs w:val="0"/>
            <w:i w:val="0"/>
            <w:iCs w:val="0"/>
          </w:rPr>
          <w:t>علي بن ابي طالب امير المؤمنين (ع) -</w:t>
        </w:r>
        <w:r>
          <w:tab/>
        </w:r>
        <w:r>
          <w:fldChar w:fldCharType="begin"/>
        </w:r>
        <w:r>
          <w:instrText xml:space="preserve">PAGEREF 5163 \h</w:instrText>
        </w:r>
        <w:r>
          <w:fldChar w:fldCharType="end"/>
        </w:r>
      </w:hyperlink>
    </w:p>
    <w:p>
      <w:pPr>
        <w:tabs>
          <w:tab w:val="right" w:leader="dot" w:pos="9062"/>
        </w:tabs>
        <w:ind w:left="220"/>
      </w:pPr>
      <w:hyperlink w:anchor="_Toc5164" w:history="1">
        <w:r>
          <w:rPr>
            <w:rFonts w:ascii="IRNazanin" w:hAnsi="IRNazanin" w:eastAsia="IRNazanin" w:cs="IRNazanin"/>
            <w:color w:val="111111"/>
            <w:sz w:val="22"/>
            <w:szCs w:val="22"/>
            <w:b w:val="0"/>
            <w:bCs w:val="0"/>
            <w:i w:val="0"/>
            <w:iCs w:val="0"/>
          </w:rPr>
          <w:t>علي بن احمد بن محمّد خان</w:t>
        </w:r>
        <w:r>
          <w:tab/>
        </w:r>
        <w:r>
          <w:fldChar w:fldCharType="begin"/>
        </w:r>
        <w:r>
          <w:instrText xml:space="preserve">PAGEREF 5164 \h</w:instrText>
        </w:r>
        <w:r>
          <w:fldChar w:fldCharType="end"/>
        </w:r>
      </w:hyperlink>
    </w:p>
    <w:p>
      <w:pPr>
        <w:tabs>
          <w:tab w:val="right" w:leader="dot" w:pos="9062"/>
        </w:tabs>
        <w:ind w:left="220"/>
      </w:pPr>
      <w:hyperlink w:anchor="_Toc5165" w:history="1">
        <w:r>
          <w:rPr>
            <w:rFonts w:ascii="IRNazanin" w:hAnsi="IRNazanin" w:eastAsia="IRNazanin" w:cs="IRNazanin"/>
            <w:color w:val="111111"/>
            <w:sz w:val="22"/>
            <w:szCs w:val="22"/>
            <w:b w:val="0"/>
            <w:bCs w:val="0"/>
            <w:i w:val="0"/>
            <w:iCs w:val="0"/>
          </w:rPr>
          <w:t>علي بن جعفر</w:t>
        </w:r>
        <w:r>
          <w:tab/>
        </w:r>
        <w:r>
          <w:fldChar w:fldCharType="begin"/>
        </w:r>
        <w:r>
          <w:instrText xml:space="preserve">PAGEREF 5165 \h</w:instrText>
        </w:r>
        <w:r>
          <w:fldChar w:fldCharType="end"/>
        </w:r>
      </w:hyperlink>
    </w:p>
    <w:p>
      <w:pPr>
        <w:tabs>
          <w:tab w:val="right" w:leader="dot" w:pos="9062"/>
        </w:tabs>
        <w:ind w:left="220"/>
      </w:pPr>
      <w:hyperlink w:anchor="_Toc5166" w:history="1">
        <w:r>
          <w:rPr>
            <w:rFonts w:ascii="IRNazanin" w:hAnsi="IRNazanin" w:eastAsia="IRNazanin" w:cs="IRNazanin"/>
            <w:color w:val="111111"/>
            <w:sz w:val="22"/>
            <w:szCs w:val="22"/>
            <w:b w:val="0"/>
            <w:bCs w:val="0"/>
            <w:i w:val="0"/>
            <w:iCs w:val="0"/>
          </w:rPr>
          <w:t>علي بن جلي</w:t>
        </w:r>
        <w:r>
          <w:tab/>
        </w:r>
        <w:r>
          <w:fldChar w:fldCharType="begin"/>
        </w:r>
        <w:r>
          <w:instrText xml:space="preserve">PAGEREF 5166 \h</w:instrText>
        </w:r>
        <w:r>
          <w:fldChar w:fldCharType="end"/>
        </w:r>
      </w:hyperlink>
    </w:p>
    <w:p>
      <w:pPr>
        <w:tabs>
          <w:tab w:val="right" w:leader="dot" w:pos="9062"/>
        </w:tabs>
        <w:ind w:left="220"/>
      </w:pPr>
      <w:hyperlink w:anchor="_Toc5167" w:history="1">
        <w:r>
          <w:rPr>
            <w:rFonts w:ascii="IRNazanin" w:hAnsi="IRNazanin" w:eastAsia="IRNazanin" w:cs="IRNazanin"/>
            <w:color w:val="111111"/>
            <w:sz w:val="22"/>
            <w:szCs w:val="22"/>
            <w:b w:val="0"/>
            <w:bCs w:val="0"/>
            <w:i w:val="0"/>
            <w:iCs w:val="0"/>
          </w:rPr>
          <w:t>علي بن حسن</w:t>
        </w:r>
        <w:r>
          <w:tab/>
        </w:r>
        <w:r>
          <w:fldChar w:fldCharType="begin"/>
        </w:r>
        <w:r>
          <w:instrText xml:space="preserve">PAGEREF 5167 \h</w:instrText>
        </w:r>
        <w:r>
          <w:fldChar w:fldCharType="end"/>
        </w:r>
      </w:hyperlink>
    </w:p>
    <w:p>
      <w:pPr>
        <w:tabs>
          <w:tab w:val="right" w:leader="dot" w:pos="9062"/>
        </w:tabs>
        <w:ind w:left="220"/>
      </w:pPr>
      <w:hyperlink w:anchor="_Toc5168" w:history="1">
        <w:r>
          <w:rPr>
            <w:rFonts w:ascii="IRNazanin" w:hAnsi="IRNazanin" w:eastAsia="IRNazanin" w:cs="IRNazanin"/>
            <w:color w:val="111111"/>
            <w:sz w:val="22"/>
            <w:szCs w:val="22"/>
            <w:b w:val="0"/>
            <w:bCs w:val="0"/>
            <w:i w:val="0"/>
            <w:iCs w:val="0"/>
          </w:rPr>
          <w:t>علي بن حسين بن علي، قرن 13 ه-</w:t>
        </w:r>
        <w:r>
          <w:tab/>
        </w:r>
        <w:r>
          <w:fldChar w:fldCharType="begin"/>
        </w:r>
        <w:r>
          <w:instrText xml:space="preserve">PAGEREF 5168 \h</w:instrText>
        </w:r>
        <w:r>
          <w:fldChar w:fldCharType="end"/>
        </w:r>
      </w:hyperlink>
    </w:p>
    <w:p>
      <w:pPr>
        <w:tabs>
          <w:tab w:val="right" w:leader="dot" w:pos="9062"/>
        </w:tabs>
        <w:ind w:left="220"/>
      </w:pPr>
      <w:hyperlink w:anchor="_Toc5169" w:history="1">
        <w:r>
          <w:rPr>
            <w:rFonts w:ascii="IRNazanin" w:hAnsi="IRNazanin" w:eastAsia="IRNazanin" w:cs="IRNazanin"/>
            <w:color w:val="111111"/>
            <w:sz w:val="22"/>
            <w:szCs w:val="22"/>
            <w:b w:val="0"/>
            <w:bCs w:val="0"/>
            <w:i w:val="0"/>
            <w:iCs w:val="0"/>
          </w:rPr>
          <w:t>علي بن حسين بن موسى</w:t>
        </w:r>
        <w:r>
          <w:tab/>
        </w:r>
        <w:r>
          <w:fldChar w:fldCharType="begin"/>
        </w:r>
        <w:r>
          <w:instrText xml:space="preserve">PAGEREF 5169 \h</w:instrText>
        </w:r>
        <w:r>
          <w:fldChar w:fldCharType="end"/>
        </w:r>
      </w:hyperlink>
    </w:p>
    <w:p>
      <w:pPr>
        <w:tabs>
          <w:tab w:val="right" w:leader="dot" w:pos="9062"/>
        </w:tabs>
        <w:ind w:left="220"/>
      </w:pPr>
      <w:hyperlink w:anchor="_Toc5170" w:history="1">
        <w:r>
          <w:rPr>
            <w:rFonts w:ascii="IRNazanin" w:hAnsi="IRNazanin" w:eastAsia="IRNazanin" w:cs="IRNazanin"/>
            <w:color w:val="111111"/>
            <w:sz w:val="22"/>
            <w:szCs w:val="22"/>
            <w:b w:val="0"/>
            <w:bCs w:val="0"/>
            <w:i w:val="0"/>
            <w:iCs w:val="0"/>
          </w:rPr>
          <w:t>علي بن حسين السجاد (ع)، 38 - 94 ه-</w:t>
        </w:r>
        <w:r>
          <w:tab/>
        </w:r>
        <w:r>
          <w:fldChar w:fldCharType="begin"/>
        </w:r>
        <w:r>
          <w:instrText xml:space="preserve">PAGEREF 5170 \h</w:instrText>
        </w:r>
        <w:r>
          <w:fldChar w:fldCharType="end"/>
        </w:r>
      </w:hyperlink>
    </w:p>
    <w:p>
      <w:pPr>
        <w:tabs>
          <w:tab w:val="right" w:leader="dot" w:pos="9062"/>
        </w:tabs>
        <w:ind w:left="220"/>
      </w:pPr>
      <w:hyperlink w:anchor="_Toc5171" w:history="1">
        <w:r>
          <w:rPr>
            <w:rFonts w:ascii="IRNazanin" w:hAnsi="IRNazanin" w:eastAsia="IRNazanin" w:cs="IRNazanin"/>
            <w:color w:val="111111"/>
            <w:sz w:val="22"/>
            <w:szCs w:val="22"/>
            <w:b w:val="0"/>
            <w:bCs w:val="0"/>
            <w:i w:val="0"/>
            <w:iCs w:val="0"/>
          </w:rPr>
          <w:t>علي بن سعيد بن محمّد</w:t>
        </w:r>
        <w:r>
          <w:tab/>
        </w:r>
        <w:r>
          <w:fldChar w:fldCharType="begin"/>
        </w:r>
        <w:r>
          <w:instrText xml:space="preserve">PAGEREF 5171 \h</w:instrText>
        </w:r>
        <w:r>
          <w:fldChar w:fldCharType="end"/>
        </w:r>
      </w:hyperlink>
    </w:p>
    <w:p>
      <w:pPr>
        <w:tabs>
          <w:tab w:val="right" w:leader="dot" w:pos="9062"/>
        </w:tabs>
        <w:ind w:left="220"/>
      </w:pPr>
      <w:hyperlink w:anchor="_Toc5172" w:history="1">
        <w:r>
          <w:rPr>
            <w:rFonts w:ascii="IRNazanin" w:hAnsi="IRNazanin" w:eastAsia="IRNazanin" w:cs="IRNazanin"/>
            <w:color w:val="111111"/>
            <w:sz w:val="22"/>
            <w:szCs w:val="22"/>
            <w:b w:val="0"/>
            <w:bCs w:val="0"/>
            <w:i w:val="0"/>
            <w:iCs w:val="0"/>
          </w:rPr>
          <w:t>علي بن محمّد</w:t>
        </w:r>
        <w:r>
          <w:tab/>
        </w:r>
        <w:r>
          <w:fldChar w:fldCharType="begin"/>
        </w:r>
        <w:r>
          <w:instrText xml:space="preserve">PAGEREF 5172 \h</w:instrText>
        </w:r>
        <w:r>
          <w:fldChar w:fldCharType="end"/>
        </w:r>
      </w:hyperlink>
    </w:p>
    <w:p>
      <w:pPr>
        <w:tabs>
          <w:tab w:val="right" w:leader="dot" w:pos="9062"/>
        </w:tabs>
        <w:ind w:left="220"/>
      </w:pPr>
      <w:hyperlink w:anchor="_Toc5173" w:history="1">
        <w:r>
          <w:rPr>
            <w:rFonts w:ascii="IRNazanin" w:hAnsi="IRNazanin" w:eastAsia="IRNazanin" w:cs="IRNazanin"/>
            <w:color w:val="111111"/>
            <w:sz w:val="22"/>
            <w:szCs w:val="22"/>
            <w:b w:val="0"/>
            <w:bCs w:val="0"/>
            <w:i w:val="0"/>
            <w:iCs w:val="0"/>
          </w:rPr>
          <w:t>علي بن محمّد قرن 13 ه-</w:t>
        </w:r>
        <w:r>
          <w:tab/>
        </w:r>
        <w:r>
          <w:fldChar w:fldCharType="begin"/>
        </w:r>
        <w:r>
          <w:instrText xml:space="preserve">PAGEREF 5173 \h</w:instrText>
        </w:r>
        <w:r>
          <w:fldChar w:fldCharType="end"/>
        </w:r>
      </w:hyperlink>
    </w:p>
    <w:p>
      <w:pPr>
        <w:tabs>
          <w:tab w:val="right" w:leader="dot" w:pos="9062"/>
        </w:tabs>
        <w:ind w:left="220"/>
      </w:pPr>
      <w:hyperlink w:anchor="_Toc5174" w:history="1">
        <w:r>
          <w:rPr>
            <w:rFonts w:ascii="IRNazanin" w:hAnsi="IRNazanin" w:eastAsia="IRNazanin" w:cs="IRNazanin"/>
            <w:color w:val="111111"/>
            <w:sz w:val="22"/>
            <w:szCs w:val="22"/>
            <w:b w:val="0"/>
            <w:bCs w:val="0"/>
            <w:i w:val="0"/>
            <w:iCs w:val="0"/>
          </w:rPr>
          <w:t>علي بن محمّد ، الهادي، 212 - 254 ه-</w:t>
        </w:r>
        <w:r>
          <w:tab/>
        </w:r>
        <w:r>
          <w:fldChar w:fldCharType="begin"/>
        </w:r>
        <w:r>
          <w:instrText xml:space="preserve">PAGEREF 5174 \h</w:instrText>
        </w:r>
        <w:r>
          <w:fldChar w:fldCharType="end"/>
        </w:r>
      </w:hyperlink>
    </w:p>
    <w:p>
      <w:pPr>
        <w:tabs>
          <w:tab w:val="right" w:leader="dot" w:pos="9062"/>
        </w:tabs>
        <w:ind w:left="220"/>
      </w:pPr>
      <w:hyperlink w:anchor="_Toc5175" w:history="1">
        <w:r>
          <w:rPr>
            <w:rFonts w:ascii="IRNazanin" w:hAnsi="IRNazanin" w:eastAsia="IRNazanin" w:cs="IRNazanin"/>
            <w:color w:val="111111"/>
            <w:sz w:val="22"/>
            <w:szCs w:val="22"/>
            <w:b w:val="0"/>
            <w:bCs w:val="0"/>
            <w:i w:val="0"/>
            <w:iCs w:val="0"/>
          </w:rPr>
          <w:t>علي بن محمّد حسين</w:t>
        </w:r>
        <w:r>
          <w:tab/>
        </w:r>
        <w:r>
          <w:fldChar w:fldCharType="begin"/>
        </w:r>
        <w:r>
          <w:instrText xml:space="preserve">PAGEREF 5175 \h</w:instrText>
        </w:r>
        <w:r>
          <w:fldChar w:fldCharType="end"/>
        </w:r>
      </w:hyperlink>
    </w:p>
    <w:p>
      <w:pPr>
        <w:tabs>
          <w:tab w:val="right" w:leader="dot" w:pos="9062"/>
        </w:tabs>
        <w:ind w:left="220"/>
      </w:pPr>
      <w:hyperlink w:anchor="_Toc5176" w:history="1">
        <w:r>
          <w:rPr>
            <w:rFonts w:ascii="IRNazanin" w:hAnsi="IRNazanin" w:eastAsia="IRNazanin" w:cs="IRNazanin"/>
            <w:color w:val="111111"/>
            <w:sz w:val="22"/>
            <w:szCs w:val="22"/>
            <w:b w:val="0"/>
            <w:bCs w:val="0"/>
            <w:i w:val="0"/>
            <w:iCs w:val="0"/>
          </w:rPr>
          <w:t>علي بن مقري</w:t>
        </w:r>
        <w:r>
          <w:tab/>
        </w:r>
        <w:r>
          <w:fldChar w:fldCharType="begin"/>
        </w:r>
        <w:r>
          <w:instrText xml:space="preserve">PAGEREF 5176 \h</w:instrText>
        </w:r>
        <w:r>
          <w:fldChar w:fldCharType="end"/>
        </w:r>
      </w:hyperlink>
    </w:p>
    <w:p>
      <w:pPr>
        <w:tabs>
          <w:tab w:val="right" w:leader="dot" w:pos="9062"/>
        </w:tabs>
        <w:ind w:left="220"/>
      </w:pPr>
      <w:hyperlink w:anchor="_Toc5177" w:history="1">
        <w:r>
          <w:rPr>
            <w:rFonts w:ascii="IRNazanin" w:hAnsi="IRNazanin" w:eastAsia="IRNazanin" w:cs="IRNazanin"/>
            <w:color w:val="111111"/>
            <w:sz w:val="22"/>
            <w:szCs w:val="22"/>
            <w:b w:val="0"/>
            <w:bCs w:val="0"/>
            <w:i w:val="0"/>
            <w:iCs w:val="0"/>
          </w:rPr>
          <w:t>علي بن موسى</w:t>
        </w:r>
        <w:r>
          <w:tab/>
        </w:r>
        <w:r>
          <w:fldChar w:fldCharType="begin"/>
        </w:r>
        <w:r>
          <w:instrText xml:space="preserve">PAGEREF 5177 \h</w:instrText>
        </w:r>
        <w:r>
          <w:fldChar w:fldCharType="end"/>
        </w:r>
      </w:hyperlink>
    </w:p>
    <w:p>
      <w:pPr>
        <w:tabs>
          <w:tab w:val="right" w:leader="dot" w:pos="9062"/>
        </w:tabs>
        <w:ind w:left="220"/>
      </w:pPr>
      <w:hyperlink w:anchor="_Toc5178" w:history="1">
        <w:r>
          <w:rPr>
            <w:rFonts w:ascii="IRNazanin" w:hAnsi="IRNazanin" w:eastAsia="IRNazanin" w:cs="IRNazanin"/>
            <w:color w:val="111111"/>
            <w:sz w:val="22"/>
            <w:szCs w:val="22"/>
            <w:b w:val="0"/>
            <w:bCs w:val="0"/>
            <w:i w:val="0"/>
            <w:iCs w:val="0"/>
          </w:rPr>
          <w:t>علي بن موسى الرضا (ع)، 153-203 ه-</w:t>
        </w:r>
        <w:r>
          <w:tab/>
        </w:r>
        <w:r>
          <w:fldChar w:fldCharType="begin"/>
        </w:r>
        <w:r>
          <w:instrText xml:space="preserve">PAGEREF 5178 \h</w:instrText>
        </w:r>
        <w:r>
          <w:fldChar w:fldCharType="end"/>
        </w:r>
      </w:hyperlink>
    </w:p>
    <w:p>
      <w:pPr>
        <w:tabs>
          <w:tab w:val="right" w:leader="dot" w:pos="9062"/>
        </w:tabs>
        <w:ind w:left="220"/>
      </w:pPr>
      <w:hyperlink w:anchor="_Toc5179" w:history="1">
        <w:r>
          <w:rPr>
            <w:rFonts w:ascii="IRNazanin" w:hAnsi="IRNazanin" w:eastAsia="IRNazanin" w:cs="IRNazanin"/>
            <w:color w:val="111111"/>
            <w:sz w:val="22"/>
            <w:szCs w:val="22"/>
            <w:b w:val="0"/>
            <w:bCs w:val="0"/>
            <w:i w:val="0"/>
            <w:iCs w:val="0"/>
          </w:rPr>
          <w:t>عليجو قلخاني ، محمّد بن ابراهيم</w:t>
        </w:r>
        <w:r>
          <w:tab/>
        </w:r>
        <w:r>
          <w:fldChar w:fldCharType="begin"/>
        </w:r>
        <w:r>
          <w:instrText xml:space="preserve">PAGEREF 5179 \h</w:instrText>
        </w:r>
        <w:r>
          <w:fldChar w:fldCharType="end"/>
        </w:r>
      </w:hyperlink>
    </w:p>
    <w:p>
      <w:pPr>
        <w:tabs>
          <w:tab w:val="right" w:leader="dot" w:pos="9062"/>
        </w:tabs>
        <w:ind w:left="220"/>
      </w:pPr>
      <w:hyperlink w:anchor="_Toc5180" w:history="1">
        <w:r>
          <w:rPr>
            <w:rFonts w:ascii="IRNazanin" w:hAnsi="IRNazanin" w:eastAsia="IRNazanin" w:cs="IRNazanin"/>
            <w:color w:val="111111"/>
            <w:sz w:val="22"/>
            <w:szCs w:val="22"/>
            <w:b w:val="0"/>
            <w:bCs w:val="0"/>
            <w:i w:val="0"/>
            <w:iCs w:val="0"/>
          </w:rPr>
          <w:t>علي حامد بن عمر</w:t>
        </w:r>
        <w:r>
          <w:tab/>
        </w:r>
        <w:r>
          <w:fldChar w:fldCharType="begin"/>
        </w:r>
        <w:r>
          <w:instrText xml:space="preserve">PAGEREF 5180 \h</w:instrText>
        </w:r>
        <w:r>
          <w:fldChar w:fldCharType="end"/>
        </w:r>
      </w:hyperlink>
    </w:p>
    <w:p>
      <w:pPr>
        <w:tabs>
          <w:tab w:val="right" w:leader="dot" w:pos="9062"/>
        </w:tabs>
        <w:ind w:left="220"/>
      </w:pPr>
      <w:hyperlink w:anchor="_Toc5181" w:history="1">
        <w:r>
          <w:rPr>
            <w:rFonts w:ascii="IRNazanin" w:hAnsi="IRNazanin" w:eastAsia="IRNazanin" w:cs="IRNazanin"/>
            <w:color w:val="111111"/>
            <w:sz w:val="22"/>
            <w:szCs w:val="22"/>
            <w:b w:val="0"/>
            <w:bCs w:val="0"/>
            <w:i w:val="0"/>
            <w:iCs w:val="0"/>
          </w:rPr>
          <w:t>عليرضا قرن 12 ه-</w:t>
        </w:r>
        <w:r>
          <w:tab/>
        </w:r>
        <w:r>
          <w:fldChar w:fldCharType="begin"/>
        </w:r>
        <w:r>
          <w:instrText xml:space="preserve">PAGEREF 5181 \h</w:instrText>
        </w:r>
        <w:r>
          <w:fldChar w:fldCharType="end"/>
        </w:r>
      </w:hyperlink>
    </w:p>
    <w:p>
      <w:pPr>
        <w:tabs>
          <w:tab w:val="right" w:leader="dot" w:pos="9062"/>
        </w:tabs>
        <w:ind w:left="220"/>
      </w:pPr>
      <w:hyperlink w:anchor="_Toc5182" w:history="1">
        <w:r>
          <w:rPr>
            <w:rFonts w:ascii="IRNazanin" w:hAnsi="IRNazanin" w:eastAsia="IRNazanin" w:cs="IRNazanin"/>
            <w:color w:val="111111"/>
            <w:sz w:val="22"/>
            <w:szCs w:val="22"/>
            <w:b w:val="0"/>
            <w:bCs w:val="0"/>
            <w:i w:val="0"/>
            <w:iCs w:val="0"/>
          </w:rPr>
          <w:t>عليرضا بن قربانعلي</w:t>
        </w:r>
        <w:r>
          <w:tab/>
        </w:r>
        <w:r>
          <w:fldChar w:fldCharType="begin"/>
        </w:r>
        <w:r>
          <w:instrText xml:space="preserve">PAGEREF 5182 \h</w:instrText>
        </w:r>
        <w:r>
          <w:fldChar w:fldCharType="end"/>
        </w:r>
      </w:hyperlink>
    </w:p>
    <w:p>
      <w:pPr>
        <w:tabs>
          <w:tab w:val="right" w:leader="dot" w:pos="9062"/>
        </w:tabs>
        <w:ind w:left="220"/>
      </w:pPr>
      <w:hyperlink w:anchor="_Toc5183" w:history="1">
        <w:r>
          <w:rPr>
            <w:rFonts w:ascii="IRNazanin" w:hAnsi="IRNazanin" w:eastAsia="IRNazanin" w:cs="IRNazanin"/>
            <w:color w:val="111111"/>
            <w:sz w:val="22"/>
            <w:szCs w:val="22"/>
            <w:b w:val="0"/>
            <w:bCs w:val="0"/>
            <w:i w:val="0"/>
            <w:iCs w:val="0"/>
          </w:rPr>
          <w:t>علي عثمان</w:t>
        </w:r>
        <w:r>
          <w:tab/>
        </w:r>
        <w:r>
          <w:fldChar w:fldCharType="begin"/>
        </w:r>
        <w:r>
          <w:instrText xml:space="preserve">PAGEREF 5183 \h</w:instrText>
        </w:r>
        <w:r>
          <w:fldChar w:fldCharType="end"/>
        </w:r>
      </w:hyperlink>
    </w:p>
    <w:p>
      <w:pPr>
        <w:tabs>
          <w:tab w:val="right" w:leader="dot" w:pos="9062"/>
        </w:tabs>
        <w:ind w:left="220"/>
      </w:pPr>
      <w:hyperlink w:anchor="_Toc5184" w:history="1">
        <w:r>
          <w:rPr>
            <w:rFonts w:ascii="IRNazanin" w:hAnsi="IRNazanin" w:eastAsia="IRNazanin" w:cs="IRNazanin"/>
            <w:color w:val="111111"/>
            <w:sz w:val="22"/>
            <w:szCs w:val="22"/>
            <w:b w:val="0"/>
            <w:bCs w:val="0"/>
            <w:i w:val="0"/>
            <w:iCs w:val="0"/>
          </w:rPr>
          <w:t>علي عطية قرن 13 ه-</w:t>
        </w:r>
        <w:r>
          <w:tab/>
        </w:r>
        <w:r>
          <w:fldChar w:fldCharType="begin"/>
        </w:r>
        <w:r>
          <w:instrText xml:space="preserve">PAGEREF 5184 \h</w:instrText>
        </w:r>
        <w:r>
          <w:fldChar w:fldCharType="end"/>
        </w:r>
      </w:hyperlink>
    </w:p>
    <w:p>
      <w:pPr>
        <w:tabs>
          <w:tab w:val="right" w:leader="dot" w:pos="9062"/>
        </w:tabs>
        <w:ind w:left="220"/>
      </w:pPr>
      <w:hyperlink w:anchor="_Toc5185" w:history="1">
        <w:r>
          <w:rPr>
            <w:rFonts w:ascii="IRNazanin" w:hAnsi="IRNazanin" w:eastAsia="IRNazanin" w:cs="IRNazanin"/>
            <w:color w:val="111111"/>
            <w:sz w:val="22"/>
            <w:szCs w:val="22"/>
            <w:b w:val="0"/>
            <w:bCs w:val="0"/>
            <w:i w:val="0"/>
            <w:iCs w:val="0"/>
          </w:rPr>
          <w:t>عليمي، ياسين بن زين الدين - 1061ه-</w:t>
        </w:r>
        <w:r>
          <w:tab/>
        </w:r>
        <w:r>
          <w:fldChar w:fldCharType="begin"/>
        </w:r>
        <w:r>
          <w:instrText xml:space="preserve">PAGEREF 5185 \h</w:instrText>
        </w:r>
        <w:r>
          <w:fldChar w:fldCharType="end"/>
        </w:r>
      </w:hyperlink>
    </w:p>
    <w:p>
      <w:pPr>
        <w:tabs>
          <w:tab w:val="right" w:leader="dot" w:pos="9062"/>
        </w:tabs>
        <w:ind w:left="220"/>
      </w:pPr>
      <w:hyperlink w:anchor="_Toc5186" w:history="1">
        <w:r>
          <w:rPr>
            <w:rFonts w:ascii="IRNazanin" w:hAnsi="IRNazanin" w:eastAsia="IRNazanin" w:cs="IRNazanin"/>
            <w:color w:val="111111"/>
            <w:sz w:val="22"/>
            <w:szCs w:val="22"/>
            <w:b w:val="0"/>
            <w:bCs w:val="0"/>
            <w:i w:val="0"/>
            <w:iCs w:val="0"/>
          </w:rPr>
          <w:t>علي نقي بن ميرزابابا اردبيلي</w:t>
        </w:r>
        <w:r>
          <w:tab/>
        </w:r>
        <w:r>
          <w:fldChar w:fldCharType="begin"/>
        </w:r>
        <w:r>
          <w:instrText xml:space="preserve">PAGEREF 5186 \h</w:instrText>
        </w:r>
        <w:r>
          <w:fldChar w:fldCharType="end"/>
        </w:r>
      </w:hyperlink>
    </w:p>
    <w:p>
      <w:pPr>
        <w:tabs>
          <w:tab w:val="right" w:leader="dot" w:pos="9062"/>
        </w:tabs>
        <w:ind w:left="220"/>
      </w:pPr>
      <w:hyperlink w:anchor="_Toc5187" w:history="1">
        <w:r>
          <w:rPr>
            <w:rFonts w:ascii="IRNazanin" w:hAnsi="IRNazanin" w:eastAsia="IRNazanin" w:cs="IRNazanin"/>
            <w:color w:val="111111"/>
            <w:sz w:val="22"/>
            <w:szCs w:val="22"/>
            <w:b w:val="0"/>
            <w:bCs w:val="0"/>
            <w:i w:val="0"/>
            <w:iCs w:val="0"/>
          </w:rPr>
          <w:t>عماد ، احمد</w:t>
        </w:r>
        <w:r>
          <w:tab/>
        </w:r>
        <w:r>
          <w:fldChar w:fldCharType="begin"/>
        </w:r>
        <w:r>
          <w:instrText xml:space="preserve">PAGEREF 5187 \h</w:instrText>
        </w:r>
        <w:r>
          <w:fldChar w:fldCharType="end"/>
        </w:r>
      </w:hyperlink>
    </w:p>
    <w:p>
      <w:pPr>
        <w:tabs>
          <w:tab w:val="right" w:leader="dot" w:pos="9062"/>
        </w:tabs>
        <w:ind w:left="220"/>
      </w:pPr>
      <w:hyperlink w:anchor="_Toc5188" w:history="1">
        <w:r>
          <w:rPr>
            <w:rFonts w:ascii="IRNazanin" w:hAnsi="IRNazanin" w:eastAsia="IRNazanin" w:cs="IRNazanin"/>
            <w:color w:val="111111"/>
            <w:sz w:val="22"/>
            <w:szCs w:val="22"/>
            <w:b w:val="0"/>
            <w:bCs w:val="0"/>
            <w:i w:val="0"/>
            <w:iCs w:val="0"/>
          </w:rPr>
          <w:t>عماد الدين بن محمّد تقي</w:t>
        </w:r>
        <w:r>
          <w:tab/>
        </w:r>
        <w:r>
          <w:fldChar w:fldCharType="begin"/>
        </w:r>
        <w:r>
          <w:instrText xml:space="preserve">PAGEREF 5188 \h</w:instrText>
        </w:r>
        <w:r>
          <w:fldChar w:fldCharType="end"/>
        </w:r>
      </w:hyperlink>
    </w:p>
    <w:p>
      <w:pPr>
        <w:tabs>
          <w:tab w:val="right" w:leader="dot" w:pos="9062"/>
        </w:tabs>
        <w:ind w:left="220"/>
      </w:pPr>
      <w:hyperlink w:anchor="_Toc5189" w:history="1">
        <w:r>
          <w:rPr>
            <w:rFonts w:ascii="IRNazanin" w:hAnsi="IRNazanin" w:eastAsia="IRNazanin" w:cs="IRNazanin"/>
            <w:color w:val="111111"/>
            <w:sz w:val="22"/>
            <w:szCs w:val="22"/>
            <w:b w:val="0"/>
            <w:bCs w:val="0"/>
            <w:i w:val="0"/>
            <w:iCs w:val="0"/>
          </w:rPr>
          <w:t>عماد الدين شيرازي ، محمود بن مسعود</w:t>
        </w:r>
        <w:r>
          <w:tab/>
        </w:r>
        <w:r>
          <w:fldChar w:fldCharType="begin"/>
        </w:r>
        <w:r>
          <w:instrText xml:space="preserve">PAGEREF 5189 \h</w:instrText>
        </w:r>
        <w:r>
          <w:fldChar w:fldCharType="end"/>
        </w:r>
      </w:hyperlink>
    </w:p>
    <w:p>
      <w:pPr>
        <w:tabs>
          <w:tab w:val="right" w:leader="dot" w:pos="9062"/>
        </w:tabs>
        <w:ind w:left="220"/>
      </w:pPr>
      <w:hyperlink w:anchor="_Toc5190" w:history="1">
        <w:r>
          <w:rPr>
            <w:rFonts w:ascii="IRNazanin" w:hAnsi="IRNazanin" w:eastAsia="IRNazanin" w:cs="IRNazanin"/>
            <w:color w:val="111111"/>
            <w:sz w:val="22"/>
            <w:szCs w:val="22"/>
            <w:b w:val="0"/>
            <w:bCs w:val="0"/>
            <w:i w:val="0"/>
            <w:iCs w:val="0"/>
          </w:rPr>
          <w:t>عماد الدين فارسي، عماد بن يحيى قرن</w:t>
        </w:r>
        <w:r>
          <w:tab/>
        </w:r>
        <w:r>
          <w:fldChar w:fldCharType="begin"/>
        </w:r>
        <w:r>
          <w:instrText xml:space="preserve">PAGEREF 5190 \h</w:instrText>
        </w:r>
        <w:r>
          <w:fldChar w:fldCharType="end"/>
        </w:r>
      </w:hyperlink>
    </w:p>
    <w:p>
      <w:pPr>
        <w:tabs>
          <w:tab w:val="right" w:leader="dot" w:pos="9062"/>
        </w:tabs>
        <w:ind w:left="220"/>
      </w:pPr>
      <w:hyperlink w:anchor="_Toc5191" w:history="1">
        <w:r>
          <w:rPr>
            <w:rFonts w:ascii="IRNazanin" w:hAnsi="IRNazanin" w:eastAsia="IRNazanin" w:cs="IRNazanin"/>
            <w:color w:val="111111"/>
            <w:sz w:val="22"/>
            <w:szCs w:val="22"/>
            <w:b w:val="0"/>
            <w:bCs w:val="0"/>
            <w:i w:val="0"/>
            <w:iCs w:val="0"/>
          </w:rPr>
          <w:t>عماد الدين كاتب ، محمّد بن محمّد 519</w:t>
        </w:r>
        <w:r>
          <w:tab/>
        </w:r>
        <w:r>
          <w:fldChar w:fldCharType="begin"/>
        </w:r>
        <w:r>
          <w:instrText xml:space="preserve">PAGEREF 5191 \h</w:instrText>
        </w:r>
        <w:r>
          <w:fldChar w:fldCharType="end"/>
        </w:r>
      </w:hyperlink>
    </w:p>
    <w:p>
      <w:pPr>
        <w:tabs>
          <w:tab w:val="right" w:leader="dot" w:pos="9062"/>
        </w:tabs>
        <w:ind w:left="220"/>
      </w:pPr>
      <w:hyperlink w:anchor="_Toc5192" w:history="1">
        <w:r>
          <w:rPr>
            <w:rFonts w:ascii="IRNazanin" w:hAnsi="IRNazanin" w:eastAsia="IRNazanin" w:cs="IRNazanin"/>
            <w:color w:val="111111"/>
            <w:sz w:val="22"/>
            <w:szCs w:val="22"/>
            <w:b w:val="0"/>
            <w:bCs w:val="0"/>
            <w:i w:val="0"/>
            <w:iCs w:val="0"/>
          </w:rPr>
          <w:t>عماد عبدالسلام رؤوف</w:t>
        </w:r>
        <w:r>
          <w:tab/>
        </w:r>
        <w:r>
          <w:fldChar w:fldCharType="begin"/>
        </w:r>
        <w:r>
          <w:instrText xml:space="preserve">PAGEREF 5192 \h</w:instrText>
        </w:r>
        <w:r>
          <w:fldChar w:fldCharType="end"/>
        </w:r>
      </w:hyperlink>
    </w:p>
    <w:p>
      <w:pPr>
        <w:tabs>
          <w:tab w:val="right" w:leader="dot" w:pos="9062"/>
        </w:tabs>
        <w:ind w:left="220"/>
      </w:pPr>
      <w:hyperlink w:anchor="_Toc5193" w:history="1">
        <w:r>
          <w:rPr>
            <w:rFonts w:ascii="IRNazanin" w:hAnsi="IRNazanin" w:eastAsia="IRNazanin" w:cs="IRNazanin"/>
            <w:color w:val="111111"/>
            <w:sz w:val="22"/>
            <w:szCs w:val="22"/>
            <w:b w:val="0"/>
            <w:bCs w:val="0"/>
            <w:i w:val="0"/>
            <w:iCs w:val="0"/>
          </w:rPr>
          <w:t>عماد فقيه علي بن محمود، 690-773ه-</w:t>
        </w:r>
        <w:r>
          <w:tab/>
        </w:r>
        <w:r>
          <w:fldChar w:fldCharType="begin"/>
        </w:r>
        <w:r>
          <w:instrText xml:space="preserve">PAGEREF 5193 \h</w:instrText>
        </w:r>
        <w:r>
          <w:fldChar w:fldCharType="end"/>
        </w:r>
      </w:hyperlink>
    </w:p>
    <w:p>
      <w:pPr>
        <w:tabs>
          <w:tab w:val="right" w:leader="dot" w:pos="9062"/>
        </w:tabs>
        <w:ind w:left="220"/>
      </w:pPr>
      <w:hyperlink w:anchor="_Toc5194" w:history="1">
        <w:r>
          <w:rPr>
            <w:rFonts w:ascii="IRNazanin" w:hAnsi="IRNazanin" w:eastAsia="IRNazanin" w:cs="IRNazanin"/>
            <w:color w:val="111111"/>
            <w:sz w:val="22"/>
            <w:szCs w:val="22"/>
            <w:b w:val="0"/>
            <w:bCs w:val="0"/>
            <w:i w:val="0"/>
            <w:iCs w:val="0"/>
          </w:rPr>
          <w:t>عماد كندي - 730 ه-</w:t>
        </w:r>
        <w:r>
          <w:tab/>
        </w:r>
        <w:r>
          <w:fldChar w:fldCharType="begin"/>
        </w:r>
        <w:r>
          <w:instrText xml:space="preserve">PAGEREF 5194 \h</w:instrText>
        </w:r>
        <w:r>
          <w:fldChar w:fldCharType="end"/>
        </w:r>
      </w:hyperlink>
    </w:p>
    <w:p>
      <w:pPr>
        <w:tabs>
          <w:tab w:val="right" w:leader="dot" w:pos="9062"/>
        </w:tabs>
        <w:ind w:left="220"/>
      </w:pPr>
      <w:hyperlink w:anchor="_Toc5195" w:history="1">
        <w:r>
          <w:rPr>
            <w:rFonts w:ascii="IRNazanin" w:hAnsi="IRNazanin" w:eastAsia="IRNazanin" w:cs="IRNazanin"/>
            <w:color w:val="111111"/>
            <w:sz w:val="22"/>
            <w:szCs w:val="22"/>
            <w:b w:val="0"/>
            <w:bCs w:val="0"/>
            <w:i w:val="0"/>
            <w:iCs w:val="0"/>
          </w:rPr>
          <w:t>عمادي ، احمد بن محمّد</w:t>
        </w:r>
        <w:r>
          <w:tab/>
        </w:r>
        <w:r>
          <w:fldChar w:fldCharType="begin"/>
        </w:r>
        <w:r>
          <w:instrText xml:space="preserve">PAGEREF 5195 \h</w:instrText>
        </w:r>
        <w:r>
          <w:fldChar w:fldCharType="end"/>
        </w:r>
      </w:hyperlink>
    </w:p>
    <w:p>
      <w:pPr>
        <w:tabs>
          <w:tab w:val="right" w:leader="dot" w:pos="9062"/>
        </w:tabs>
        <w:ind w:left="220"/>
      </w:pPr>
      <w:hyperlink w:anchor="_Toc5196" w:history="1">
        <w:r>
          <w:rPr>
            <w:rFonts w:ascii="IRNazanin" w:hAnsi="IRNazanin" w:eastAsia="IRNazanin" w:cs="IRNazanin"/>
            <w:color w:val="111111"/>
            <w:sz w:val="22"/>
            <w:szCs w:val="22"/>
            <w:b w:val="0"/>
            <w:bCs w:val="0"/>
            <w:i w:val="0"/>
            <w:iCs w:val="0"/>
          </w:rPr>
          <w:t>عمادي ، حامد افندي، قرن 12 ه-</w:t>
        </w:r>
        <w:r>
          <w:tab/>
        </w:r>
        <w:r>
          <w:fldChar w:fldCharType="begin"/>
        </w:r>
        <w:r>
          <w:instrText xml:space="preserve">PAGEREF 5196 \h</w:instrText>
        </w:r>
        <w:r>
          <w:fldChar w:fldCharType="end"/>
        </w:r>
      </w:hyperlink>
    </w:p>
    <w:p>
      <w:pPr>
        <w:tabs>
          <w:tab w:val="right" w:leader="dot" w:pos="9062"/>
        </w:tabs>
        <w:ind w:left="220"/>
      </w:pPr>
      <w:hyperlink w:anchor="_Toc5197" w:history="1">
        <w:r>
          <w:rPr>
            <w:rFonts w:ascii="IRNazanin" w:hAnsi="IRNazanin" w:eastAsia="IRNazanin" w:cs="IRNazanin"/>
            <w:color w:val="111111"/>
            <w:sz w:val="22"/>
            <w:szCs w:val="22"/>
            <w:b w:val="0"/>
            <w:bCs w:val="0"/>
            <w:i w:val="0"/>
            <w:iCs w:val="0"/>
          </w:rPr>
          <w:t>عمادي، حامد بن علي، 1103 - 1171 ه-</w:t>
        </w:r>
        <w:r>
          <w:tab/>
        </w:r>
        <w:r>
          <w:fldChar w:fldCharType="begin"/>
        </w:r>
        <w:r>
          <w:instrText xml:space="preserve">PAGEREF 5197 \h</w:instrText>
        </w:r>
        <w:r>
          <w:fldChar w:fldCharType="end"/>
        </w:r>
      </w:hyperlink>
    </w:p>
    <w:p>
      <w:pPr>
        <w:tabs>
          <w:tab w:val="right" w:leader="dot" w:pos="9062"/>
        </w:tabs>
        <w:ind w:left="220"/>
      </w:pPr>
      <w:hyperlink w:anchor="_Toc5198" w:history="1">
        <w:r>
          <w:rPr>
            <w:rFonts w:ascii="IRNazanin" w:hAnsi="IRNazanin" w:eastAsia="IRNazanin" w:cs="IRNazanin"/>
            <w:color w:val="111111"/>
            <w:sz w:val="22"/>
            <w:szCs w:val="22"/>
            <w:b w:val="0"/>
            <w:bCs w:val="0"/>
            <w:i w:val="0"/>
            <w:iCs w:val="0"/>
          </w:rPr>
          <w:t>عمادي ، عبدالرحمن بن علي - 1223</w:t>
        </w:r>
        <w:r>
          <w:tab/>
        </w:r>
        <w:r>
          <w:fldChar w:fldCharType="begin"/>
        </w:r>
        <w:r>
          <w:instrText xml:space="preserve">PAGEREF 5198 \h</w:instrText>
        </w:r>
        <w:r>
          <w:fldChar w:fldCharType="end"/>
        </w:r>
      </w:hyperlink>
    </w:p>
    <w:p>
      <w:pPr>
        <w:tabs>
          <w:tab w:val="right" w:leader="dot" w:pos="9062"/>
        </w:tabs>
        <w:ind w:left="220"/>
      </w:pPr>
      <w:hyperlink w:anchor="_Toc5199" w:history="1">
        <w:r>
          <w:rPr>
            <w:rFonts w:ascii="IRNazanin" w:hAnsi="IRNazanin" w:eastAsia="IRNazanin" w:cs="IRNazanin"/>
            <w:color w:val="111111"/>
            <w:sz w:val="22"/>
            <w:szCs w:val="22"/>
            <w:b w:val="0"/>
            <w:bCs w:val="0"/>
            <w:i w:val="0"/>
            <w:iCs w:val="0"/>
          </w:rPr>
          <w:t>عمادي ، عبدالرحمن بن محمّد 974 -</w:t>
        </w:r>
        <w:r>
          <w:tab/>
        </w:r>
        <w:r>
          <w:fldChar w:fldCharType="begin"/>
        </w:r>
        <w:r>
          <w:instrText xml:space="preserve">PAGEREF 5199 \h</w:instrText>
        </w:r>
        <w:r>
          <w:fldChar w:fldCharType="end"/>
        </w:r>
      </w:hyperlink>
    </w:p>
    <w:p>
      <w:pPr>
        <w:tabs>
          <w:tab w:val="right" w:leader="dot" w:pos="9062"/>
        </w:tabs>
        <w:ind w:left="220"/>
      </w:pPr>
      <w:hyperlink w:anchor="_Toc5200" w:history="1">
        <w:r>
          <w:rPr>
            <w:rFonts w:ascii="IRNazanin" w:hAnsi="IRNazanin" w:eastAsia="IRNazanin" w:cs="IRNazanin"/>
            <w:color w:val="111111"/>
            <w:sz w:val="22"/>
            <w:szCs w:val="22"/>
            <w:b w:val="0"/>
            <w:bCs w:val="0"/>
            <w:i w:val="0"/>
            <w:iCs w:val="0"/>
          </w:rPr>
          <w:t>عمادي ، عبدالله قرن 12 ه-</w:t>
        </w:r>
        <w:r>
          <w:tab/>
        </w:r>
        <w:r>
          <w:fldChar w:fldCharType="begin"/>
        </w:r>
        <w:r>
          <w:instrText xml:space="preserve">PAGEREF 5200 \h</w:instrText>
        </w:r>
        <w:r>
          <w:fldChar w:fldCharType="end"/>
        </w:r>
      </w:hyperlink>
    </w:p>
    <w:p>
      <w:pPr>
        <w:tabs>
          <w:tab w:val="right" w:leader="dot" w:pos="9062"/>
        </w:tabs>
        <w:ind w:left="220"/>
      </w:pPr>
      <w:hyperlink w:anchor="_Toc5201" w:history="1">
        <w:r>
          <w:rPr>
            <w:rFonts w:ascii="IRNazanin" w:hAnsi="IRNazanin" w:eastAsia="IRNazanin" w:cs="IRNazanin"/>
            <w:color w:val="111111"/>
            <w:sz w:val="22"/>
            <w:szCs w:val="22"/>
            <w:b w:val="0"/>
            <w:bCs w:val="0"/>
            <w:i w:val="0"/>
            <w:iCs w:val="0"/>
          </w:rPr>
          <w:t>عمادي ، علي</w:t>
        </w:r>
        <w:r>
          <w:tab/>
        </w:r>
        <w:r>
          <w:fldChar w:fldCharType="begin"/>
        </w:r>
        <w:r>
          <w:instrText xml:space="preserve">PAGEREF 5201 \h</w:instrText>
        </w:r>
        <w:r>
          <w:fldChar w:fldCharType="end"/>
        </w:r>
      </w:hyperlink>
    </w:p>
    <w:p>
      <w:pPr>
        <w:tabs>
          <w:tab w:val="right" w:leader="dot" w:pos="9062"/>
        </w:tabs>
        <w:ind w:left="220"/>
      </w:pPr>
      <w:hyperlink w:anchor="_Toc5202" w:history="1">
        <w:r>
          <w:rPr>
            <w:rFonts w:ascii="IRNazanin" w:hAnsi="IRNazanin" w:eastAsia="IRNazanin" w:cs="IRNazanin"/>
            <w:color w:val="111111"/>
            <w:sz w:val="22"/>
            <w:szCs w:val="22"/>
            <w:b w:val="0"/>
            <w:bCs w:val="0"/>
            <w:i w:val="0"/>
            <w:iCs w:val="0"/>
          </w:rPr>
          <w:t>عماره يمني عمارة بن علي 515-569 ه-</w:t>
        </w:r>
        <w:r>
          <w:tab/>
        </w:r>
        <w:r>
          <w:fldChar w:fldCharType="begin"/>
        </w:r>
        <w:r>
          <w:instrText xml:space="preserve">PAGEREF 5202 \h</w:instrText>
        </w:r>
        <w:r>
          <w:fldChar w:fldCharType="end"/>
        </w:r>
      </w:hyperlink>
    </w:p>
    <w:p>
      <w:pPr>
        <w:tabs>
          <w:tab w:val="right" w:leader="dot" w:pos="9062"/>
        </w:tabs>
        <w:ind w:left="220"/>
      </w:pPr>
      <w:hyperlink w:anchor="_Toc5203" w:history="1">
        <w:r>
          <w:rPr>
            <w:rFonts w:ascii="IRNazanin" w:hAnsi="IRNazanin" w:eastAsia="IRNazanin" w:cs="IRNazanin"/>
            <w:color w:val="111111"/>
            <w:sz w:val="22"/>
            <w:szCs w:val="22"/>
            <w:b w:val="0"/>
            <w:bCs w:val="0"/>
            <w:i w:val="0"/>
            <w:iCs w:val="0"/>
          </w:rPr>
          <w:t>عماري، ابراهيم قرن 12 ه-</w:t>
        </w:r>
        <w:r>
          <w:tab/>
        </w:r>
        <w:r>
          <w:fldChar w:fldCharType="begin"/>
        </w:r>
        <w:r>
          <w:instrText xml:space="preserve">PAGEREF 5203 \h</w:instrText>
        </w:r>
        <w:r>
          <w:fldChar w:fldCharType="end"/>
        </w:r>
      </w:hyperlink>
    </w:p>
    <w:p>
      <w:pPr>
        <w:tabs>
          <w:tab w:val="right" w:leader="dot" w:pos="9062"/>
        </w:tabs>
        <w:ind w:left="220"/>
      </w:pPr>
      <w:hyperlink w:anchor="_Toc5204" w:history="1">
        <w:r>
          <w:rPr>
            <w:rFonts w:ascii="IRNazanin" w:hAnsi="IRNazanin" w:eastAsia="IRNazanin" w:cs="IRNazanin"/>
            <w:color w:val="111111"/>
            <w:sz w:val="22"/>
            <w:szCs w:val="22"/>
            <w:b w:val="0"/>
            <w:bCs w:val="0"/>
            <w:i w:val="0"/>
            <w:iCs w:val="0"/>
          </w:rPr>
          <w:t>عمان ساماني، نورالله بن عبد الله، قرن 13ه-</w:t>
        </w:r>
        <w:r>
          <w:tab/>
        </w:r>
        <w:r>
          <w:fldChar w:fldCharType="begin"/>
        </w:r>
        <w:r>
          <w:instrText xml:space="preserve">PAGEREF 5204 \h</w:instrText>
        </w:r>
        <w:r>
          <w:fldChar w:fldCharType="end"/>
        </w:r>
      </w:hyperlink>
    </w:p>
    <w:p>
      <w:pPr>
        <w:tabs>
          <w:tab w:val="right" w:leader="dot" w:pos="9062"/>
        </w:tabs>
        <w:ind w:left="220"/>
      </w:pPr>
      <w:hyperlink w:anchor="_Toc5205" w:history="1">
        <w:r>
          <w:rPr>
            <w:rFonts w:ascii="IRNazanin" w:hAnsi="IRNazanin" w:eastAsia="IRNazanin" w:cs="IRNazanin"/>
            <w:color w:val="111111"/>
            <w:sz w:val="22"/>
            <w:szCs w:val="22"/>
            <w:b w:val="0"/>
            <w:bCs w:val="0"/>
            <w:i w:val="0"/>
            <w:iCs w:val="0"/>
          </w:rPr>
          <w:t>عماني ، علي بن احمد</w:t>
        </w:r>
        <w:r>
          <w:tab/>
        </w:r>
        <w:r>
          <w:fldChar w:fldCharType="begin"/>
        </w:r>
        <w:r>
          <w:instrText xml:space="preserve">PAGEREF 5205 \h</w:instrText>
        </w:r>
        <w:r>
          <w:fldChar w:fldCharType="end"/>
        </w:r>
      </w:hyperlink>
    </w:p>
    <w:p>
      <w:pPr>
        <w:tabs>
          <w:tab w:val="right" w:leader="dot" w:pos="9062"/>
        </w:tabs>
        <w:ind w:left="220"/>
      </w:pPr>
      <w:hyperlink w:anchor="_Toc5206" w:history="1">
        <w:r>
          <w:rPr>
            <w:rFonts w:ascii="IRNazanin" w:hAnsi="IRNazanin" w:eastAsia="IRNazanin" w:cs="IRNazanin"/>
            <w:color w:val="111111"/>
            <w:sz w:val="22"/>
            <w:szCs w:val="22"/>
            <w:b w:val="0"/>
            <w:bCs w:val="0"/>
            <w:i w:val="0"/>
            <w:iCs w:val="0"/>
          </w:rPr>
          <w:t>عماني ، محمّد بن خلفان</w:t>
        </w:r>
        <w:r>
          <w:tab/>
        </w:r>
        <w:r>
          <w:fldChar w:fldCharType="begin"/>
        </w:r>
        <w:r>
          <w:instrText xml:space="preserve">PAGEREF 5206 \h</w:instrText>
        </w:r>
        <w:r>
          <w:fldChar w:fldCharType="end"/>
        </w:r>
      </w:hyperlink>
    </w:p>
    <w:p>
      <w:pPr>
        <w:tabs>
          <w:tab w:val="right" w:leader="dot" w:pos="9062"/>
        </w:tabs>
        <w:ind w:left="220"/>
      </w:pPr>
      <w:hyperlink w:anchor="_Toc5207" w:history="1">
        <w:r>
          <w:rPr>
            <w:rFonts w:ascii="IRNazanin" w:hAnsi="IRNazanin" w:eastAsia="IRNazanin" w:cs="IRNazanin"/>
            <w:color w:val="111111"/>
            <w:sz w:val="22"/>
            <w:szCs w:val="22"/>
            <w:b w:val="0"/>
            <w:bCs w:val="0"/>
            <w:i w:val="0"/>
            <w:iCs w:val="0"/>
          </w:rPr>
          <w:t>عمر آغا حنفي، قرن 11 ه-</w:t>
        </w:r>
        <w:r>
          <w:tab/>
        </w:r>
        <w:r>
          <w:fldChar w:fldCharType="begin"/>
        </w:r>
        <w:r>
          <w:instrText xml:space="preserve">PAGEREF 5207 \h</w:instrText>
        </w:r>
        <w:r>
          <w:fldChar w:fldCharType="end"/>
        </w:r>
      </w:hyperlink>
    </w:p>
    <w:p>
      <w:pPr>
        <w:tabs>
          <w:tab w:val="right" w:leader="dot" w:pos="9062"/>
        </w:tabs>
        <w:ind w:left="220"/>
      </w:pPr>
      <w:hyperlink w:anchor="_Toc5208" w:history="1">
        <w:r>
          <w:rPr>
            <w:rFonts w:ascii="IRNazanin" w:hAnsi="IRNazanin" w:eastAsia="IRNazanin" w:cs="IRNazanin"/>
            <w:color w:val="111111"/>
            <w:sz w:val="22"/>
            <w:szCs w:val="22"/>
            <w:b w:val="0"/>
            <w:bCs w:val="0"/>
            <w:i w:val="0"/>
            <w:iCs w:val="0"/>
          </w:rPr>
          <w:t>عمر افندي</w:t>
        </w:r>
        <w:r>
          <w:tab/>
        </w:r>
        <w:r>
          <w:fldChar w:fldCharType="begin"/>
        </w:r>
        <w:r>
          <w:instrText xml:space="preserve">PAGEREF 5208 \h</w:instrText>
        </w:r>
        <w:r>
          <w:fldChar w:fldCharType="end"/>
        </w:r>
      </w:hyperlink>
    </w:p>
    <w:p>
      <w:pPr>
        <w:tabs>
          <w:tab w:val="right" w:leader="dot" w:pos="9062"/>
        </w:tabs>
        <w:ind w:left="220"/>
      </w:pPr>
      <w:hyperlink w:anchor="_Toc5209" w:history="1">
        <w:r>
          <w:rPr>
            <w:rFonts w:ascii="IRNazanin" w:hAnsi="IRNazanin" w:eastAsia="IRNazanin" w:cs="IRNazanin"/>
            <w:color w:val="111111"/>
            <w:sz w:val="22"/>
            <w:szCs w:val="22"/>
            <w:b w:val="0"/>
            <w:bCs w:val="0"/>
            <w:i w:val="0"/>
            <w:iCs w:val="0"/>
          </w:rPr>
          <w:t>عمراني ، رضا بن محمّد هادي</w:t>
        </w:r>
        <w:r>
          <w:tab/>
        </w:r>
        <w:r>
          <w:fldChar w:fldCharType="begin"/>
        </w:r>
        <w:r>
          <w:instrText xml:space="preserve">PAGEREF 5209 \h</w:instrText>
        </w:r>
        <w:r>
          <w:fldChar w:fldCharType="end"/>
        </w:r>
      </w:hyperlink>
    </w:p>
    <w:p>
      <w:pPr>
        <w:tabs>
          <w:tab w:val="right" w:leader="dot" w:pos="9062"/>
        </w:tabs>
        <w:ind w:left="220"/>
      </w:pPr>
      <w:hyperlink w:anchor="_Toc5210" w:history="1">
        <w:r>
          <w:rPr>
            <w:rFonts w:ascii="IRNazanin" w:hAnsi="IRNazanin" w:eastAsia="IRNazanin" w:cs="IRNazanin"/>
            <w:color w:val="111111"/>
            <w:sz w:val="22"/>
            <w:szCs w:val="22"/>
            <w:b w:val="0"/>
            <w:bCs w:val="0"/>
            <w:i w:val="0"/>
            <w:iCs w:val="0"/>
          </w:rPr>
          <w:t>عمراني ، علي بن محمد، قرن 6 ه-</w:t>
        </w:r>
        <w:r>
          <w:tab/>
        </w:r>
        <w:r>
          <w:fldChar w:fldCharType="begin"/>
        </w:r>
        <w:r>
          <w:instrText xml:space="preserve">PAGEREF 5210 \h</w:instrText>
        </w:r>
        <w:r>
          <w:fldChar w:fldCharType="end"/>
        </w:r>
      </w:hyperlink>
    </w:p>
    <w:p>
      <w:pPr>
        <w:tabs>
          <w:tab w:val="right" w:leader="dot" w:pos="9062"/>
        </w:tabs>
        <w:ind w:left="220"/>
      </w:pPr>
      <w:hyperlink w:anchor="_Toc5211" w:history="1">
        <w:r>
          <w:rPr>
            <w:rFonts w:ascii="IRNazanin" w:hAnsi="IRNazanin" w:eastAsia="IRNazanin" w:cs="IRNazanin"/>
            <w:color w:val="111111"/>
            <w:sz w:val="22"/>
            <w:szCs w:val="22"/>
            <w:b w:val="0"/>
            <w:bCs w:val="0"/>
            <w:i w:val="0"/>
            <w:iCs w:val="0"/>
          </w:rPr>
          <w:t>عمراني ، علي بن محمّد - 560 ؟ ه-</w:t>
        </w:r>
        <w:r>
          <w:tab/>
        </w:r>
        <w:r>
          <w:fldChar w:fldCharType="begin"/>
        </w:r>
        <w:r>
          <w:instrText xml:space="preserve">PAGEREF 5211 \h</w:instrText>
        </w:r>
        <w:r>
          <w:fldChar w:fldCharType="end"/>
        </w:r>
      </w:hyperlink>
    </w:p>
    <w:p>
      <w:pPr>
        <w:tabs>
          <w:tab w:val="right" w:leader="dot" w:pos="9062"/>
        </w:tabs>
        <w:ind w:left="220"/>
      </w:pPr>
      <w:hyperlink w:anchor="_Toc5212" w:history="1">
        <w:r>
          <w:rPr>
            <w:rFonts w:ascii="IRNazanin" w:hAnsi="IRNazanin" w:eastAsia="IRNazanin" w:cs="IRNazanin"/>
            <w:color w:val="111111"/>
            <w:sz w:val="22"/>
            <w:szCs w:val="22"/>
            <w:b w:val="0"/>
            <w:bCs w:val="0"/>
            <w:i w:val="0"/>
            <w:iCs w:val="0"/>
          </w:rPr>
          <w:t>عمراني ، محمّد بن علي - 559 ؟ ه-</w:t>
        </w:r>
        <w:r>
          <w:tab/>
        </w:r>
        <w:r>
          <w:fldChar w:fldCharType="begin"/>
        </w:r>
        <w:r>
          <w:instrText xml:space="preserve">PAGEREF 5212 \h</w:instrText>
        </w:r>
        <w:r>
          <w:fldChar w:fldCharType="end"/>
        </w:r>
      </w:hyperlink>
    </w:p>
    <w:p>
      <w:pPr>
        <w:tabs>
          <w:tab w:val="right" w:leader="dot" w:pos="9062"/>
        </w:tabs>
        <w:ind w:left="220"/>
      </w:pPr>
      <w:hyperlink w:anchor="_Toc5213" w:history="1">
        <w:r>
          <w:rPr>
            <w:rFonts w:ascii="IRNazanin" w:hAnsi="IRNazanin" w:eastAsia="IRNazanin" w:cs="IRNazanin"/>
            <w:color w:val="111111"/>
            <w:sz w:val="22"/>
            <w:szCs w:val="22"/>
            <w:b w:val="0"/>
            <w:bCs w:val="0"/>
            <w:i w:val="0"/>
            <w:iCs w:val="0"/>
          </w:rPr>
          <w:t>عمر بن ابراهيم</w:t>
        </w:r>
        <w:r>
          <w:tab/>
        </w:r>
        <w:r>
          <w:fldChar w:fldCharType="begin"/>
        </w:r>
        <w:r>
          <w:instrText xml:space="preserve">PAGEREF 5213 \h</w:instrText>
        </w:r>
        <w:r>
          <w:fldChar w:fldCharType="end"/>
        </w:r>
      </w:hyperlink>
    </w:p>
    <w:p>
      <w:pPr>
        <w:tabs>
          <w:tab w:val="right" w:leader="dot" w:pos="9062"/>
        </w:tabs>
        <w:ind w:left="220"/>
      </w:pPr>
      <w:hyperlink w:anchor="_Toc5214" w:history="1">
        <w:r>
          <w:rPr>
            <w:rFonts w:ascii="IRNazanin" w:hAnsi="IRNazanin" w:eastAsia="IRNazanin" w:cs="IRNazanin"/>
            <w:color w:val="111111"/>
            <w:sz w:val="22"/>
            <w:szCs w:val="22"/>
            <w:b w:val="0"/>
            <w:bCs w:val="0"/>
            <w:i w:val="0"/>
            <w:iCs w:val="0"/>
          </w:rPr>
          <w:t>عمر بن ابراهيم بن عبد الغني قرن 8 ه-</w:t>
        </w:r>
        <w:r>
          <w:tab/>
        </w:r>
        <w:r>
          <w:fldChar w:fldCharType="begin"/>
        </w:r>
        <w:r>
          <w:instrText xml:space="preserve">PAGEREF 5214 \h</w:instrText>
        </w:r>
        <w:r>
          <w:fldChar w:fldCharType="end"/>
        </w:r>
      </w:hyperlink>
    </w:p>
    <w:p>
      <w:pPr>
        <w:tabs>
          <w:tab w:val="right" w:leader="dot" w:pos="9062"/>
        </w:tabs>
        <w:ind w:left="220"/>
      </w:pPr>
      <w:hyperlink w:anchor="_Toc5215" w:history="1">
        <w:r>
          <w:rPr>
            <w:rFonts w:ascii="IRNazanin" w:hAnsi="IRNazanin" w:eastAsia="IRNazanin" w:cs="IRNazanin"/>
            <w:color w:val="111111"/>
            <w:sz w:val="22"/>
            <w:szCs w:val="22"/>
            <w:b w:val="0"/>
            <w:bCs w:val="0"/>
            <w:i w:val="0"/>
            <w:iCs w:val="0"/>
          </w:rPr>
          <w:t>عمر بن حسن بن عدي</w:t>
        </w:r>
        <w:r>
          <w:tab/>
        </w:r>
        <w:r>
          <w:fldChar w:fldCharType="begin"/>
        </w:r>
        <w:r>
          <w:instrText xml:space="preserve">PAGEREF 5215 \h</w:instrText>
        </w:r>
        <w:r>
          <w:fldChar w:fldCharType="end"/>
        </w:r>
      </w:hyperlink>
    </w:p>
    <w:p>
      <w:pPr>
        <w:tabs>
          <w:tab w:val="right" w:leader="dot" w:pos="9062"/>
        </w:tabs>
        <w:ind w:left="220"/>
      </w:pPr>
      <w:hyperlink w:anchor="_Toc5216" w:history="1">
        <w:r>
          <w:rPr>
            <w:rFonts w:ascii="IRNazanin" w:hAnsi="IRNazanin" w:eastAsia="IRNazanin" w:cs="IRNazanin"/>
            <w:color w:val="111111"/>
            <w:sz w:val="22"/>
            <w:szCs w:val="22"/>
            <w:b w:val="0"/>
            <w:bCs w:val="0"/>
            <w:i w:val="0"/>
            <w:iCs w:val="0"/>
          </w:rPr>
          <w:t>عمر بن خطاب - 23 ه-</w:t>
        </w:r>
        <w:r>
          <w:tab/>
        </w:r>
        <w:r>
          <w:fldChar w:fldCharType="begin"/>
        </w:r>
        <w:r>
          <w:instrText xml:space="preserve">PAGEREF 5216 \h</w:instrText>
        </w:r>
        <w:r>
          <w:fldChar w:fldCharType="end"/>
        </w:r>
      </w:hyperlink>
    </w:p>
    <w:p>
      <w:pPr>
        <w:tabs>
          <w:tab w:val="right" w:leader="dot" w:pos="9062"/>
        </w:tabs>
        <w:ind w:left="220"/>
      </w:pPr>
      <w:hyperlink w:anchor="_Toc5217" w:history="1">
        <w:r>
          <w:rPr>
            <w:rFonts w:ascii="IRNazanin" w:hAnsi="IRNazanin" w:eastAsia="IRNazanin" w:cs="IRNazanin"/>
            <w:color w:val="111111"/>
            <w:sz w:val="22"/>
            <w:szCs w:val="22"/>
            <w:b w:val="0"/>
            <w:bCs w:val="0"/>
            <w:i w:val="0"/>
            <w:iCs w:val="0"/>
          </w:rPr>
          <w:t>عمر بن مصطفى</w:t>
        </w:r>
        <w:r>
          <w:tab/>
        </w:r>
        <w:r>
          <w:fldChar w:fldCharType="begin"/>
        </w:r>
        <w:r>
          <w:instrText xml:space="preserve">PAGEREF 5217 \h</w:instrText>
        </w:r>
        <w:r>
          <w:fldChar w:fldCharType="end"/>
        </w:r>
      </w:hyperlink>
    </w:p>
    <w:p>
      <w:pPr>
        <w:tabs>
          <w:tab w:val="right" w:leader="dot" w:pos="9062"/>
        </w:tabs>
        <w:ind w:left="220"/>
      </w:pPr>
      <w:hyperlink w:anchor="_Toc5218" w:history="1">
        <w:r>
          <w:rPr>
            <w:rFonts w:ascii="IRNazanin" w:hAnsi="IRNazanin" w:eastAsia="IRNazanin" w:cs="IRNazanin"/>
            <w:color w:val="111111"/>
            <w:sz w:val="22"/>
            <w:szCs w:val="22"/>
            <w:b w:val="0"/>
            <w:bCs w:val="0"/>
            <w:i w:val="0"/>
            <w:iCs w:val="0"/>
          </w:rPr>
          <w:t>عمرو بن جني قرن 8 ه-</w:t>
        </w:r>
        <w:r>
          <w:tab/>
        </w:r>
        <w:r>
          <w:fldChar w:fldCharType="begin"/>
        </w:r>
        <w:r>
          <w:instrText xml:space="preserve">PAGEREF 5218 \h</w:instrText>
        </w:r>
        <w:r>
          <w:fldChar w:fldCharType="end"/>
        </w:r>
      </w:hyperlink>
    </w:p>
    <w:p>
      <w:pPr>
        <w:tabs>
          <w:tab w:val="right" w:leader="dot" w:pos="9062"/>
        </w:tabs>
        <w:ind w:left="220"/>
      </w:pPr>
      <w:hyperlink w:anchor="_Toc5219" w:history="1">
        <w:r>
          <w:rPr>
            <w:rFonts w:ascii="IRNazanin" w:hAnsi="IRNazanin" w:eastAsia="IRNazanin" w:cs="IRNazanin"/>
            <w:color w:val="111111"/>
            <w:sz w:val="22"/>
            <w:szCs w:val="22"/>
            <w:b w:val="0"/>
            <w:bCs w:val="0"/>
            <w:i w:val="0"/>
            <w:iCs w:val="0"/>
          </w:rPr>
          <w:t>عمروسي ، علي بن خضر - 1173 ه-</w:t>
        </w:r>
        <w:r>
          <w:tab/>
        </w:r>
        <w:r>
          <w:fldChar w:fldCharType="begin"/>
        </w:r>
        <w:r>
          <w:instrText xml:space="preserve">PAGEREF 5219 \h</w:instrText>
        </w:r>
        <w:r>
          <w:fldChar w:fldCharType="end"/>
        </w:r>
      </w:hyperlink>
    </w:p>
    <w:p>
      <w:pPr>
        <w:tabs>
          <w:tab w:val="right" w:leader="dot" w:pos="9062"/>
        </w:tabs>
        <w:ind w:left="220"/>
      </w:pPr>
      <w:hyperlink w:anchor="_Toc5220" w:history="1">
        <w:r>
          <w:rPr>
            <w:rFonts w:ascii="IRNazanin" w:hAnsi="IRNazanin" w:eastAsia="IRNazanin" w:cs="IRNazanin"/>
            <w:color w:val="111111"/>
            <w:sz w:val="22"/>
            <w:szCs w:val="22"/>
            <w:b w:val="0"/>
            <w:bCs w:val="0"/>
            <w:i w:val="0"/>
            <w:iCs w:val="0"/>
          </w:rPr>
          <w:t>عمري ، امين افندي</w:t>
        </w:r>
        <w:r>
          <w:tab/>
        </w:r>
        <w:r>
          <w:fldChar w:fldCharType="begin"/>
        </w:r>
        <w:r>
          <w:instrText xml:space="preserve">PAGEREF 5220 \h</w:instrText>
        </w:r>
        <w:r>
          <w:fldChar w:fldCharType="end"/>
        </w:r>
      </w:hyperlink>
    </w:p>
    <w:p>
      <w:pPr>
        <w:tabs>
          <w:tab w:val="right" w:leader="dot" w:pos="9062"/>
        </w:tabs>
        <w:ind w:left="220"/>
      </w:pPr>
      <w:hyperlink w:anchor="_Toc5221" w:history="1">
        <w:r>
          <w:rPr>
            <w:rFonts w:ascii="IRNazanin" w:hAnsi="IRNazanin" w:eastAsia="IRNazanin" w:cs="IRNazanin"/>
            <w:color w:val="111111"/>
            <w:sz w:val="22"/>
            <w:szCs w:val="22"/>
            <w:b w:val="0"/>
            <w:bCs w:val="0"/>
            <w:i w:val="0"/>
            <w:iCs w:val="0"/>
          </w:rPr>
          <w:t>عمري ، حسن بن عبد الباقي، - 1157 ه-</w:t>
        </w:r>
        <w:r>
          <w:tab/>
        </w:r>
        <w:r>
          <w:fldChar w:fldCharType="begin"/>
        </w:r>
        <w:r>
          <w:instrText xml:space="preserve">PAGEREF 5221 \h</w:instrText>
        </w:r>
        <w:r>
          <w:fldChar w:fldCharType="end"/>
        </w:r>
      </w:hyperlink>
    </w:p>
    <w:p>
      <w:pPr>
        <w:tabs>
          <w:tab w:val="right" w:leader="dot" w:pos="9062"/>
        </w:tabs>
        <w:ind w:left="220"/>
      </w:pPr>
      <w:hyperlink w:anchor="_Toc5222" w:history="1">
        <w:r>
          <w:rPr>
            <w:rFonts w:ascii="IRNazanin" w:hAnsi="IRNazanin" w:eastAsia="IRNazanin" w:cs="IRNazanin"/>
            <w:color w:val="111111"/>
            <w:sz w:val="22"/>
            <w:szCs w:val="22"/>
            <w:b w:val="0"/>
            <w:bCs w:val="0"/>
            <w:i w:val="0"/>
            <w:iCs w:val="0"/>
          </w:rPr>
          <w:t>عمري خير الله بن محمود، 1091-1182ه-</w:t>
        </w:r>
        <w:r>
          <w:tab/>
        </w:r>
        <w:r>
          <w:fldChar w:fldCharType="begin"/>
        </w:r>
        <w:r>
          <w:instrText xml:space="preserve">PAGEREF 5222 \h</w:instrText>
        </w:r>
        <w:r>
          <w:fldChar w:fldCharType="end"/>
        </w:r>
      </w:hyperlink>
    </w:p>
    <w:p>
      <w:pPr>
        <w:tabs>
          <w:tab w:val="right" w:leader="dot" w:pos="9062"/>
        </w:tabs>
        <w:ind w:left="220"/>
      </w:pPr>
      <w:hyperlink w:anchor="_Toc5223" w:history="1">
        <w:r>
          <w:rPr>
            <w:rFonts w:ascii="IRNazanin" w:hAnsi="IRNazanin" w:eastAsia="IRNazanin" w:cs="IRNazanin"/>
            <w:color w:val="111111"/>
            <w:sz w:val="22"/>
            <w:szCs w:val="22"/>
            <w:b w:val="0"/>
            <w:bCs w:val="0"/>
            <w:i w:val="0"/>
            <w:iCs w:val="0"/>
          </w:rPr>
          <w:t>عمري زاده ، عبدالله</w:t>
        </w:r>
        <w:r>
          <w:tab/>
        </w:r>
        <w:r>
          <w:fldChar w:fldCharType="begin"/>
        </w:r>
        <w:r>
          <w:instrText xml:space="preserve">PAGEREF 5223 \h</w:instrText>
        </w:r>
        <w:r>
          <w:fldChar w:fldCharType="end"/>
        </w:r>
      </w:hyperlink>
    </w:p>
    <w:p>
      <w:pPr>
        <w:tabs>
          <w:tab w:val="right" w:leader="dot" w:pos="9062"/>
        </w:tabs>
        <w:ind w:left="220"/>
      </w:pPr>
      <w:hyperlink w:anchor="_Toc5224" w:history="1">
        <w:r>
          <w:rPr>
            <w:rFonts w:ascii="IRNazanin" w:hAnsi="IRNazanin" w:eastAsia="IRNazanin" w:cs="IRNazanin"/>
            <w:color w:val="111111"/>
            <w:sz w:val="22"/>
            <w:szCs w:val="22"/>
            <w:b w:val="0"/>
            <w:bCs w:val="0"/>
            <w:i w:val="0"/>
            <w:iCs w:val="0"/>
          </w:rPr>
          <w:t>عمري سامي ، علي بن شريف، قرن 13 ه-</w:t>
        </w:r>
        <w:r>
          <w:tab/>
        </w:r>
        <w:r>
          <w:fldChar w:fldCharType="begin"/>
        </w:r>
        <w:r>
          <w:instrText xml:space="preserve">PAGEREF 5224 \h</w:instrText>
        </w:r>
        <w:r>
          <w:fldChar w:fldCharType="end"/>
        </w:r>
      </w:hyperlink>
    </w:p>
    <w:p>
      <w:pPr>
        <w:tabs>
          <w:tab w:val="right" w:leader="dot" w:pos="9062"/>
        </w:tabs>
        <w:ind w:left="220"/>
      </w:pPr>
      <w:hyperlink w:anchor="_Toc5225" w:history="1">
        <w:r>
          <w:rPr>
            <w:rFonts w:ascii="IRNazanin" w:hAnsi="IRNazanin" w:eastAsia="IRNazanin" w:cs="IRNazanin"/>
            <w:color w:val="111111"/>
            <w:sz w:val="22"/>
            <w:szCs w:val="22"/>
            <w:b w:val="0"/>
            <w:bCs w:val="0"/>
            <w:i w:val="0"/>
            <w:iCs w:val="0"/>
          </w:rPr>
          <w:t>عمري ، سلیمان قرن 13 ه-</w:t>
        </w:r>
        <w:r>
          <w:tab/>
        </w:r>
        <w:r>
          <w:fldChar w:fldCharType="begin"/>
        </w:r>
        <w:r>
          <w:instrText xml:space="preserve">PAGEREF 5225 \h</w:instrText>
        </w:r>
        <w:r>
          <w:fldChar w:fldCharType="end"/>
        </w:r>
      </w:hyperlink>
    </w:p>
    <w:p>
      <w:pPr>
        <w:tabs>
          <w:tab w:val="right" w:leader="dot" w:pos="9062"/>
        </w:tabs>
        <w:ind w:left="220"/>
      </w:pPr>
      <w:hyperlink w:anchor="_Toc5226" w:history="1">
        <w:r>
          <w:rPr>
            <w:rFonts w:ascii="IRNazanin" w:hAnsi="IRNazanin" w:eastAsia="IRNazanin" w:cs="IRNazanin"/>
            <w:color w:val="111111"/>
            <w:sz w:val="22"/>
            <w:szCs w:val="22"/>
            <w:b w:val="0"/>
            <w:bCs w:val="0"/>
            <w:i w:val="0"/>
            <w:iCs w:val="0"/>
          </w:rPr>
          <w:t>عمريطي ، يحيى بن موسى - 890 ؟ ه-</w:t>
        </w:r>
        <w:r>
          <w:tab/>
        </w:r>
        <w:r>
          <w:fldChar w:fldCharType="begin"/>
        </w:r>
        <w:r>
          <w:instrText xml:space="preserve">PAGEREF 5226 \h</w:instrText>
        </w:r>
        <w:r>
          <w:fldChar w:fldCharType="end"/>
        </w:r>
      </w:hyperlink>
    </w:p>
    <w:p>
      <w:pPr>
        <w:tabs>
          <w:tab w:val="right" w:leader="dot" w:pos="9062"/>
        </w:tabs>
        <w:ind w:left="220"/>
      </w:pPr>
      <w:hyperlink w:anchor="_Toc5227" w:history="1">
        <w:r>
          <w:rPr>
            <w:rFonts w:ascii="IRNazanin" w:hAnsi="IRNazanin" w:eastAsia="IRNazanin" w:cs="IRNazanin"/>
            <w:color w:val="111111"/>
            <w:sz w:val="22"/>
            <w:szCs w:val="22"/>
            <w:b w:val="0"/>
            <w:bCs w:val="0"/>
            <w:i w:val="0"/>
            <w:iCs w:val="0"/>
          </w:rPr>
          <w:t>عمري، عبد القادر بن محمّد قرن 11 ه-</w:t>
        </w:r>
        <w:r>
          <w:tab/>
        </w:r>
        <w:r>
          <w:fldChar w:fldCharType="begin"/>
        </w:r>
        <w:r>
          <w:instrText xml:space="preserve">PAGEREF 5227 \h</w:instrText>
        </w:r>
        <w:r>
          <w:fldChar w:fldCharType="end"/>
        </w:r>
      </w:hyperlink>
    </w:p>
    <w:p>
      <w:pPr>
        <w:tabs>
          <w:tab w:val="right" w:leader="dot" w:pos="9062"/>
        </w:tabs>
        <w:ind w:left="220"/>
      </w:pPr>
      <w:hyperlink w:anchor="_Toc5228" w:history="1">
        <w:r>
          <w:rPr>
            <w:rFonts w:ascii="IRNazanin" w:hAnsi="IRNazanin" w:eastAsia="IRNazanin" w:cs="IRNazanin"/>
            <w:color w:val="111111"/>
            <w:sz w:val="22"/>
            <w:szCs w:val="22"/>
            <w:b w:val="0"/>
            <w:bCs w:val="0"/>
            <w:i w:val="0"/>
            <w:iCs w:val="0"/>
          </w:rPr>
          <w:t>عمري ، عبدالله افندي</w:t>
        </w:r>
        <w:r>
          <w:tab/>
        </w:r>
        <w:r>
          <w:fldChar w:fldCharType="begin"/>
        </w:r>
        <w:r>
          <w:instrText xml:space="preserve">PAGEREF 5228 \h</w:instrText>
        </w:r>
        <w:r>
          <w:fldChar w:fldCharType="end"/>
        </w:r>
      </w:hyperlink>
    </w:p>
    <w:p>
      <w:pPr>
        <w:tabs>
          <w:tab w:val="right" w:leader="dot" w:pos="9062"/>
        </w:tabs>
        <w:ind w:left="220"/>
      </w:pPr>
      <w:hyperlink w:anchor="_Toc5229" w:history="1">
        <w:r>
          <w:rPr>
            <w:rFonts w:ascii="IRNazanin" w:hAnsi="IRNazanin" w:eastAsia="IRNazanin" w:cs="IRNazanin"/>
            <w:color w:val="111111"/>
            <w:sz w:val="22"/>
            <w:szCs w:val="22"/>
            <w:b w:val="0"/>
            <w:bCs w:val="0"/>
            <w:i w:val="0"/>
            <w:iCs w:val="0"/>
          </w:rPr>
          <w:t>عمري ، عبدالله بن زين الدين - 1112 ه-</w:t>
        </w:r>
        <w:r>
          <w:tab/>
        </w:r>
        <w:r>
          <w:fldChar w:fldCharType="begin"/>
        </w:r>
        <w:r>
          <w:instrText xml:space="preserve">PAGEREF 5229 \h</w:instrText>
        </w:r>
        <w:r>
          <w:fldChar w:fldCharType="end"/>
        </w:r>
      </w:hyperlink>
    </w:p>
    <w:p>
      <w:pPr>
        <w:tabs>
          <w:tab w:val="right" w:leader="dot" w:pos="9062"/>
        </w:tabs>
        <w:ind w:left="220"/>
      </w:pPr>
      <w:hyperlink w:anchor="_Toc5230" w:history="1">
        <w:r>
          <w:rPr>
            <w:rFonts w:ascii="IRNazanin" w:hAnsi="IRNazanin" w:eastAsia="IRNazanin" w:cs="IRNazanin"/>
            <w:color w:val="111111"/>
            <w:sz w:val="22"/>
            <w:szCs w:val="22"/>
            <w:b w:val="0"/>
            <w:bCs w:val="0"/>
            <w:i w:val="0"/>
            <w:iCs w:val="0"/>
          </w:rPr>
          <w:t>عمري ، عبدالله بن محمّد - 1297 ه-</w:t>
        </w:r>
        <w:r>
          <w:tab/>
        </w:r>
        <w:r>
          <w:fldChar w:fldCharType="begin"/>
        </w:r>
        <w:r>
          <w:instrText xml:space="preserve">PAGEREF 5230 \h</w:instrText>
        </w:r>
        <w:r>
          <w:fldChar w:fldCharType="end"/>
        </w:r>
      </w:hyperlink>
    </w:p>
    <w:p>
      <w:pPr>
        <w:tabs>
          <w:tab w:val="right" w:leader="dot" w:pos="9062"/>
        </w:tabs>
        <w:ind w:left="220"/>
      </w:pPr>
      <w:hyperlink w:anchor="_Toc5231" w:history="1">
        <w:r>
          <w:rPr>
            <w:rFonts w:ascii="IRNazanin" w:hAnsi="IRNazanin" w:eastAsia="IRNazanin" w:cs="IRNazanin"/>
            <w:color w:val="111111"/>
            <w:sz w:val="22"/>
            <w:szCs w:val="22"/>
            <w:b w:val="0"/>
            <w:bCs w:val="0"/>
            <w:i w:val="0"/>
            <w:iCs w:val="0"/>
          </w:rPr>
          <w:t>عمري عبدالوهاب بن عبدالله -1031ه-</w:t>
        </w:r>
        <w:r>
          <w:tab/>
        </w:r>
        <w:r>
          <w:fldChar w:fldCharType="begin"/>
        </w:r>
        <w:r>
          <w:instrText xml:space="preserve">PAGEREF 5231 \h</w:instrText>
        </w:r>
        <w:r>
          <w:fldChar w:fldCharType="end"/>
        </w:r>
      </w:hyperlink>
    </w:p>
    <w:p>
      <w:pPr>
        <w:tabs>
          <w:tab w:val="right" w:leader="dot" w:pos="9062"/>
        </w:tabs>
        <w:ind w:left="220"/>
      </w:pPr>
      <w:hyperlink w:anchor="_Toc5232" w:history="1">
        <w:r>
          <w:rPr>
            <w:rFonts w:ascii="IRNazanin" w:hAnsi="IRNazanin" w:eastAsia="IRNazanin" w:cs="IRNazanin"/>
            <w:color w:val="111111"/>
            <w:sz w:val="22"/>
            <w:szCs w:val="22"/>
            <w:b w:val="0"/>
            <w:bCs w:val="0"/>
            <w:i w:val="0"/>
            <w:iCs w:val="0"/>
          </w:rPr>
          <w:t>عمري، عثمان بن علي - 1184</w:t>
        </w:r>
        <w:r>
          <w:tab/>
        </w:r>
        <w:r>
          <w:fldChar w:fldCharType="begin"/>
        </w:r>
        <w:r>
          <w:instrText xml:space="preserve">PAGEREF 5232 \h</w:instrText>
        </w:r>
        <w:r>
          <w:fldChar w:fldCharType="end"/>
        </w:r>
      </w:hyperlink>
    </w:p>
    <w:p>
      <w:pPr>
        <w:tabs>
          <w:tab w:val="right" w:leader="dot" w:pos="9062"/>
        </w:tabs>
        <w:ind w:left="220"/>
      </w:pPr>
      <w:hyperlink w:anchor="_Toc5233" w:history="1">
        <w:r>
          <w:rPr>
            <w:rFonts w:ascii="IRNazanin" w:hAnsi="IRNazanin" w:eastAsia="IRNazanin" w:cs="IRNazanin"/>
            <w:color w:val="111111"/>
            <w:sz w:val="22"/>
            <w:szCs w:val="22"/>
            <w:b w:val="0"/>
            <w:bCs w:val="0"/>
            <w:i w:val="0"/>
            <w:iCs w:val="0"/>
          </w:rPr>
          <w:t>عمري عدوي محمّد بن محمّد قرن 10ه-</w:t>
        </w:r>
        <w:r>
          <w:tab/>
        </w:r>
        <w:r>
          <w:fldChar w:fldCharType="begin"/>
        </w:r>
        <w:r>
          <w:instrText xml:space="preserve">PAGEREF 5233 \h</w:instrText>
        </w:r>
        <w:r>
          <w:fldChar w:fldCharType="end"/>
        </w:r>
      </w:hyperlink>
    </w:p>
    <w:p>
      <w:pPr>
        <w:tabs>
          <w:tab w:val="right" w:leader="dot" w:pos="9062"/>
        </w:tabs>
        <w:ind w:left="220"/>
      </w:pPr>
      <w:hyperlink w:anchor="_Toc5234" w:history="1">
        <w:r>
          <w:rPr>
            <w:rFonts w:ascii="IRNazanin" w:hAnsi="IRNazanin" w:eastAsia="IRNazanin" w:cs="IRNazanin"/>
            <w:color w:val="111111"/>
            <w:sz w:val="22"/>
            <w:szCs w:val="22"/>
            <w:b w:val="0"/>
            <w:bCs w:val="0"/>
            <w:i w:val="0"/>
            <w:iCs w:val="0"/>
          </w:rPr>
          <w:t>عمري ، علي بن علي - 1192 ه-</w:t>
        </w:r>
        <w:r>
          <w:tab/>
        </w:r>
        <w:r>
          <w:fldChar w:fldCharType="begin"/>
        </w:r>
        <w:r>
          <w:instrText xml:space="preserve">PAGEREF 5234 \h</w:instrText>
        </w:r>
        <w:r>
          <w:fldChar w:fldCharType="end"/>
        </w:r>
      </w:hyperlink>
    </w:p>
    <w:p>
      <w:pPr>
        <w:tabs>
          <w:tab w:val="right" w:leader="dot" w:pos="9062"/>
        </w:tabs>
        <w:ind w:left="220"/>
      </w:pPr>
      <w:hyperlink w:anchor="_Toc5235" w:history="1">
        <w:r>
          <w:rPr>
            <w:rFonts w:ascii="IRNazanin" w:hAnsi="IRNazanin" w:eastAsia="IRNazanin" w:cs="IRNazanin"/>
            <w:color w:val="111111"/>
            <w:sz w:val="22"/>
            <w:szCs w:val="22"/>
            <w:b w:val="0"/>
            <w:bCs w:val="0"/>
            <w:i w:val="0"/>
            <w:iCs w:val="0"/>
          </w:rPr>
          <w:t>عمري ، عمر بن ابي بكر قرن 12 ه-</w:t>
        </w:r>
        <w:r>
          <w:tab/>
        </w:r>
        <w:r>
          <w:fldChar w:fldCharType="begin"/>
        </w:r>
        <w:r>
          <w:instrText xml:space="preserve">PAGEREF 5235 \h</w:instrText>
        </w:r>
        <w:r>
          <w:fldChar w:fldCharType="end"/>
        </w:r>
      </w:hyperlink>
    </w:p>
    <w:p>
      <w:pPr>
        <w:tabs>
          <w:tab w:val="right" w:leader="dot" w:pos="9062"/>
        </w:tabs>
        <w:ind w:left="220"/>
      </w:pPr>
      <w:hyperlink w:anchor="_Toc5236" w:history="1">
        <w:r>
          <w:rPr>
            <w:rFonts w:ascii="IRNazanin" w:hAnsi="IRNazanin" w:eastAsia="IRNazanin" w:cs="IRNazanin"/>
            <w:color w:val="111111"/>
            <w:sz w:val="22"/>
            <w:szCs w:val="22"/>
            <w:b w:val="0"/>
            <w:bCs w:val="0"/>
            <w:i w:val="0"/>
            <w:iCs w:val="0"/>
          </w:rPr>
          <w:t>عمري ، محمّد</w:t>
        </w:r>
        <w:r>
          <w:tab/>
        </w:r>
        <w:r>
          <w:fldChar w:fldCharType="begin"/>
        </w:r>
        <w:r>
          <w:instrText xml:space="preserve">PAGEREF 5236 \h</w:instrText>
        </w:r>
        <w:r>
          <w:fldChar w:fldCharType="end"/>
        </w:r>
      </w:hyperlink>
    </w:p>
    <w:p>
      <w:pPr>
        <w:tabs>
          <w:tab w:val="right" w:leader="dot" w:pos="9062"/>
        </w:tabs>
        <w:ind w:left="220"/>
      </w:pPr>
      <w:hyperlink w:anchor="_Toc5237" w:history="1">
        <w:r>
          <w:rPr>
            <w:rFonts w:ascii="IRNazanin" w:hAnsi="IRNazanin" w:eastAsia="IRNazanin" w:cs="IRNazanin"/>
            <w:color w:val="111111"/>
            <w:sz w:val="22"/>
            <w:szCs w:val="22"/>
            <w:b w:val="0"/>
            <w:bCs w:val="0"/>
            <w:i w:val="0"/>
            <w:iCs w:val="0"/>
          </w:rPr>
          <w:t>عمري محمّدامين بن خير الله - 1203 ه-</w:t>
        </w:r>
        <w:r>
          <w:tab/>
        </w:r>
        <w:r>
          <w:fldChar w:fldCharType="begin"/>
        </w:r>
        <w:r>
          <w:instrText xml:space="preserve">PAGEREF 5237 \h</w:instrText>
        </w:r>
        <w:r>
          <w:fldChar w:fldCharType="end"/>
        </w:r>
      </w:hyperlink>
    </w:p>
    <w:p>
      <w:pPr>
        <w:tabs>
          <w:tab w:val="right" w:leader="dot" w:pos="9062"/>
        </w:tabs>
        <w:ind w:left="220"/>
      </w:pPr>
      <w:hyperlink w:anchor="_Toc5238" w:history="1">
        <w:r>
          <w:rPr>
            <w:rFonts w:ascii="IRNazanin" w:hAnsi="IRNazanin" w:eastAsia="IRNazanin" w:cs="IRNazanin"/>
            <w:color w:val="111111"/>
            <w:sz w:val="22"/>
            <w:szCs w:val="22"/>
            <w:b w:val="0"/>
            <w:bCs w:val="0"/>
            <w:i w:val="0"/>
            <w:iCs w:val="0"/>
          </w:rPr>
          <w:t>عمري، محمّد امين بن محمّد نجیب قرن</w:t>
        </w:r>
        <w:r>
          <w:tab/>
        </w:r>
        <w:r>
          <w:fldChar w:fldCharType="begin"/>
        </w:r>
        <w:r>
          <w:instrText xml:space="preserve">PAGEREF 5238 \h</w:instrText>
        </w:r>
        <w:r>
          <w:fldChar w:fldCharType="end"/>
        </w:r>
      </w:hyperlink>
    </w:p>
    <w:p>
      <w:pPr>
        <w:tabs>
          <w:tab w:val="right" w:leader="dot" w:pos="9062"/>
        </w:tabs>
        <w:ind w:left="220"/>
      </w:pPr>
      <w:hyperlink w:anchor="_Toc5239" w:history="1">
        <w:r>
          <w:rPr>
            <w:rFonts w:ascii="IRNazanin" w:hAnsi="IRNazanin" w:eastAsia="IRNazanin" w:cs="IRNazanin"/>
            <w:color w:val="111111"/>
            <w:sz w:val="22"/>
            <w:szCs w:val="22"/>
            <w:b w:val="0"/>
            <w:bCs w:val="0"/>
            <w:i w:val="0"/>
            <w:iCs w:val="0"/>
          </w:rPr>
          <w:t>عمري محمّدامين بن يوسف - 1288 ه-</w:t>
        </w:r>
        <w:r>
          <w:tab/>
        </w:r>
        <w:r>
          <w:fldChar w:fldCharType="begin"/>
        </w:r>
        <w:r>
          <w:instrText xml:space="preserve">PAGEREF 5239 \h</w:instrText>
        </w:r>
        <w:r>
          <w:fldChar w:fldCharType="end"/>
        </w:r>
      </w:hyperlink>
    </w:p>
    <w:p>
      <w:pPr>
        <w:tabs>
          <w:tab w:val="right" w:leader="dot" w:pos="9062"/>
        </w:tabs>
        <w:ind w:left="220"/>
      </w:pPr>
      <w:hyperlink w:anchor="_Toc5240" w:history="1">
        <w:r>
          <w:rPr>
            <w:rFonts w:ascii="IRNazanin" w:hAnsi="IRNazanin" w:eastAsia="IRNazanin" w:cs="IRNazanin"/>
            <w:color w:val="111111"/>
            <w:sz w:val="22"/>
            <w:szCs w:val="22"/>
            <w:b w:val="0"/>
            <w:bCs w:val="0"/>
            <w:i w:val="0"/>
            <w:iCs w:val="0"/>
          </w:rPr>
          <w:t>عمري، محمّد بن احمد، 1168-1216 ه-</w:t>
        </w:r>
        <w:r>
          <w:tab/>
        </w:r>
        <w:r>
          <w:fldChar w:fldCharType="begin"/>
        </w:r>
        <w:r>
          <w:instrText xml:space="preserve">PAGEREF 5240 \h</w:instrText>
        </w:r>
        <w:r>
          <w:fldChar w:fldCharType="end"/>
        </w:r>
      </w:hyperlink>
    </w:p>
    <w:p>
      <w:pPr>
        <w:tabs>
          <w:tab w:val="right" w:leader="dot" w:pos="9062"/>
        </w:tabs>
        <w:ind w:left="220"/>
      </w:pPr>
      <w:hyperlink w:anchor="_Toc5241" w:history="1">
        <w:r>
          <w:rPr>
            <w:rFonts w:ascii="IRNazanin" w:hAnsi="IRNazanin" w:eastAsia="IRNazanin" w:cs="IRNazanin"/>
            <w:color w:val="111111"/>
            <w:sz w:val="22"/>
            <w:szCs w:val="22"/>
            <w:b w:val="0"/>
            <w:bCs w:val="0"/>
            <w:i w:val="0"/>
            <w:iCs w:val="0"/>
          </w:rPr>
          <w:t>عمري ، محمّد سعيد بن محمّد امین</w:t>
        </w:r>
        <w:r>
          <w:tab/>
        </w:r>
        <w:r>
          <w:fldChar w:fldCharType="begin"/>
        </w:r>
        <w:r>
          <w:instrText xml:space="preserve">PAGEREF 5241 \h</w:instrText>
        </w:r>
        <w:r>
          <w:fldChar w:fldCharType="end"/>
        </w:r>
      </w:hyperlink>
    </w:p>
    <w:p>
      <w:pPr>
        <w:tabs>
          <w:tab w:val="right" w:leader="dot" w:pos="9062"/>
        </w:tabs>
        <w:ind w:left="220"/>
      </w:pPr>
      <w:hyperlink w:anchor="_Toc5242" w:history="1">
        <w:r>
          <w:rPr>
            <w:rFonts w:ascii="IRNazanin" w:hAnsi="IRNazanin" w:eastAsia="IRNazanin" w:cs="IRNazanin"/>
            <w:color w:val="111111"/>
            <w:sz w:val="22"/>
            <w:szCs w:val="22"/>
            <w:b w:val="0"/>
            <w:bCs w:val="0"/>
            <w:i w:val="0"/>
            <w:iCs w:val="0"/>
          </w:rPr>
          <w:t>عمري ، محمّد ياسين بن محمّد امین قرن</w:t>
        </w:r>
        <w:r>
          <w:tab/>
        </w:r>
        <w:r>
          <w:fldChar w:fldCharType="begin"/>
        </w:r>
        <w:r>
          <w:instrText xml:space="preserve">PAGEREF 5242 \h</w:instrText>
        </w:r>
        <w:r>
          <w:fldChar w:fldCharType="end"/>
        </w:r>
      </w:hyperlink>
    </w:p>
    <w:p>
      <w:pPr>
        <w:tabs>
          <w:tab w:val="right" w:leader="dot" w:pos="9062"/>
        </w:tabs>
        <w:ind w:left="220"/>
      </w:pPr>
      <w:hyperlink w:anchor="_Toc5243" w:history="1">
        <w:r>
          <w:rPr>
            <w:rFonts w:ascii="IRNazanin" w:hAnsi="IRNazanin" w:eastAsia="IRNazanin" w:cs="IRNazanin"/>
            <w:color w:val="111111"/>
            <w:sz w:val="22"/>
            <w:szCs w:val="22"/>
            <w:b w:val="0"/>
            <w:bCs w:val="0"/>
            <w:i w:val="0"/>
            <w:iCs w:val="0"/>
          </w:rPr>
          <w:t>عمري ، محمود افندي - 1282 ه-</w:t>
        </w:r>
        <w:r>
          <w:tab/>
        </w:r>
        <w:r>
          <w:fldChar w:fldCharType="begin"/>
        </w:r>
        <w:r>
          <w:instrText xml:space="preserve">PAGEREF 5243 \h</w:instrText>
        </w:r>
        <w:r>
          <w:fldChar w:fldCharType="end"/>
        </w:r>
      </w:hyperlink>
    </w:p>
    <w:p>
      <w:pPr>
        <w:tabs>
          <w:tab w:val="right" w:leader="dot" w:pos="9062"/>
        </w:tabs>
        <w:ind w:left="220"/>
      </w:pPr>
      <w:hyperlink w:anchor="_Toc5244" w:history="1">
        <w:r>
          <w:rPr>
            <w:rFonts w:ascii="IRNazanin" w:hAnsi="IRNazanin" w:eastAsia="IRNazanin" w:cs="IRNazanin"/>
            <w:color w:val="111111"/>
            <w:sz w:val="22"/>
            <w:szCs w:val="22"/>
            <w:b w:val="0"/>
            <w:bCs w:val="0"/>
            <w:i w:val="0"/>
            <w:iCs w:val="0"/>
          </w:rPr>
          <w:t>عمري، مراد بن عثمان - 1092 ه-</w:t>
        </w:r>
        <w:r>
          <w:tab/>
        </w:r>
        <w:r>
          <w:fldChar w:fldCharType="begin"/>
        </w:r>
        <w:r>
          <w:instrText xml:space="preserve">PAGEREF 5244 \h</w:instrText>
        </w:r>
        <w:r>
          <w:fldChar w:fldCharType="end"/>
        </w:r>
      </w:hyperlink>
    </w:p>
    <w:p>
      <w:pPr>
        <w:tabs>
          <w:tab w:val="right" w:leader="dot" w:pos="9062"/>
        </w:tabs>
        <w:ind w:left="220"/>
      </w:pPr>
      <w:hyperlink w:anchor="_Toc5245" w:history="1">
        <w:r>
          <w:rPr>
            <w:rFonts w:ascii="IRNazanin" w:hAnsi="IRNazanin" w:eastAsia="IRNazanin" w:cs="IRNazanin"/>
            <w:color w:val="111111"/>
            <w:sz w:val="22"/>
            <w:szCs w:val="22"/>
            <w:b w:val="0"/>
            <w:bCs w:val="0"/>
            <w:i w:val="0"/>
            <w:iCs w:val="0"/>
          </w:rPr>
          <w:t>عمري ، مراد بن علي</w:t>
        </w:r>
        <w:r>
          <w:tab/>
        </w:r>
        <w:r>
          <w:fldChar w:fldCharType="begin"/>
        </w:r>
        <w:r>
          <w:instrText xml:space="preserve">PAGEREF 5245 \h</w:instrText>
        </w:r>
        <w:r>
          <w:fldChar w:fldCharType="end"/>
        </w:r>
      </w:hyperlink>
    </w:p>
    <w:p>
      <w:pPr>
        <w:tabs>
          <w:tab w:val="right" w:leader="dot" w:pos="9062"/>
        </w:tabs>
        <w:ind w:left="220"/>
      </w:pPr>
      <w:hyperlink w:anchor="_Toc5246" w:history="1">
        <w:r>
          <w:rPr>
            <w:rFonts w:ascii="IRNazanin" w:hAnsi="IRNazanin" w:eastAsia="IRNazanin" w:cs="IRNazanin"/>
            <w:color w:val="111111"/>
            <w:sz w:val="22"/>
            <w:szCs w:val="22"/>
            <w:b w:val="0"/>
            <w:bCs w:val="0"/>
            <w:i w:val="0"/>
            <w:iCs w:val="0"/>
          </w:rPr>
          <w:t>عمري مرشدي، محمّد بن سليمان، قرن 9ه-</w:t>
        </w:r>
        <w:r>
          <w:tab/>
        </w:r>
        <w:r>
          <w:fldChar w:fldCharType="begin"/>
        </w:r>
        <w:r>
          <w:instrText xml:space="preserve">PAGEREF 5246 \h</w:instrText>
        </w:r>
        <w:r>
          <w:fldChar w:fldCharType="end"/>
        </w:r>
      </w:hyperlink>
    </w:p>
    <w:p>
      <w:pPr>
        <w:tabs>
          <w:tab w:val="right" w:leader="dot" w:pos="9062"/>
        </w:tabs>
        <w:ind w:left="220"/>
      </w:pPr>
      <w:hyperlink w:anchor="_Toc5247" w:history="1">
        <w:r>
          <w:rPr>
            <w:rFonts w:ascii="IRNazanin" w:hAnsi="IRNazanin" w:eastAsia="IRNazanin" w:cs="IRNazanin"/>
            <w:color w:val="111111"/>
            <w:sz w:val="22"/>
            <w:szCs w:val="22"/>
            <w:b w:val="0"/>
            <w:bCs w:val="0"/>
            <w:i w:val="0"/>
            <w:iCs w:val="0"/>
          </w:rPr>
          <w:t>عمري موصلي ، محمّد</w:t>
        </w:r>
        <w:r>
          <w:tab/>
        </w:r>
        <w:r>
          <w:fldChar w:fldCharType="begin"/>
        </w:r>
        <w:r>
          <w:instrText xml:space="preserve">PAGEREF 5247 \h</w:instrText>
        </w:r>
        <w:r>
          <w:fldChar w:fldCharType="end"/>
        </w:r>
      </w:hyperlink>
    </w:p>
    <w:p>
      <w:pPr>
        <w:tabs>
          <w:tab w:val="right" w:leader="dot" w:pos="9062"/>
        </w:tabs>
        <w:ind w:left="220"/>
      </w:pPr>
      <w:hyperlink w:anchor="_Toc5248" w:history="1">
        <w:r>
          <w:rPr>
            <w:rFonts w:ascii="IRNazanin" w:hAnsi="IRNazanin" w:eastAsia="IRNazanin" w:cs="IRNazanin"/>
            <w:color w:val="111111"/>
            <w:sz w:val="22"/>
            <w:szCs w:val="22"/>
            <w:b w:val="0"/>
            <w:bCs w:val="0"/>
            <w:i w:val="0"/>
            <w:iCs w:val="0"/>
          </w:rPr>
          <w:t>عمري ، نعمان بن عثمان قرن 13 ه-</w:t>
        </w:r>
        <w:r>
          <w:tab/>
        </w:r>
        <w:r>
          <w:fldChar w:fldCharType="begin"/>
        </w:r>
        <w:r>
          <w:instrText xml:space="preserve">PAGEREF 5248 \h</w:instrText>
        </w:r>
        <w:r>
          <w:fldChar w:fldCharType="end"/>
        </w:r>
      </w:hyperlink>
    </w:p>
    <w:p>
      <w:pPr>
        <w:tabs>
          <w:tab w:val="right" w:leader="dot" w:pos="9062"/>
        </w:tabs>
        <w:ind w:left="220"/>
      </w:pPr>
      <w:hyperlink w:anchor="_Toc5249" w:history="1">
        <w:r>
          <w:rPr>
            <w:rFonts w:ascii="IRNazanin" w:hAnsi="IRNazanin" w:eastAsia="IRNazanin" w:cs="IRNazanin"/>
            <w:color w:val="111111"/>
            <w:sz w:val="22"/>
            <w:szCs w:val="22"/>
            <w:b w:val="0"/>
            <w:bCs w:val="0"/>
            <w:i w:val="0"/>
            <w:iCs w:val="0"/>
          </w:rPr>
          <w:t>عمري ، يوسف بن عبدالله قرن 13 ه-</w:t>
        </w:r>
        <w:r>
          <w:tab/>
        </w:r>
        <w:r>
          <w:fldChar w:fldCharType="begin"/>
        </w:r>
        <w:r>
          <w:instrText xml:space="preserve">PAGEREF 5249 \h</w:instrText>
        </w:r>
        <w:r>
          <w:fldChar w:fldCharType="end"/>
        </w:r>
      </w:hyperlink>
    </w:p>
    <w:p>
      <w:pPr>
        <w:tabs>
          <w:tab w:val="right" w:leader="dot" w:pos="9062"/>
        </w:tabs>
        <w:ind w:left="220"/>
      </w:pPr>
      <w:hyperlink w:anchor="_Toc5250" w:history="1">
        <w:r>
          <w:rPr>
            <w:rFonts w:ascii="IRNazanin" w:hAnsi="IRNazanin" w:eastAsia="IRNazanin" w:cs="IRNazanin"/>
            <w:color w:val="111111"/>
            <w:sz w:val="22"/>
            <w:szCs w:val="22"/>
            <w:b w:val="0"/>
            <w:bCs w:val="0"/>
            <w:i w:val="0"/>
            <w:iCs w:val="0"/>
          </w:rPr>
          <w:t>عميدي حسيني ، حسين قرن 10 ه-</w:t>
        </w:r>
        <w:r>
          <w:tab/>
        </w:r>
        <w:r>
          <w:fldChar w:fldCharType="begin"/>
        </w:r>
        <w:r>
          <w:instrText xml:space="preserve">PAGEREF 5250 \h</w:instrText>
        </w:r>
        <w:r>
          <w:fldChar w:fldCharType="end"/>
        </w:r>
      </w:hyperlink>
    </w:p>
    <w:p>
      <w:pPr>
        <w:tabs>
          <w:tab w:val="right" w:leader="dot" w:pos="9062"/>
        </w:tabs>
        <w:ind w:left="220"/>
      </w:pPr>
      <w:hyperlink w:anchor="_Toc5251" w:history="1">
        <w:r>
          <w:rPr>
            <w:rFonts w:ascii="IRNazanin" w:hAnsi="IRNazanin" w:eastAsia="IRNazanin" w:cs="IRNazanin"/>
            <w:color w:val="111111"/>
            <w:sz w:val="22"/>
            <w:szCs w:val="22"/>
            <w:b w:val="0"/>
            <w:bCs w:val="0"/>
            <w:i w:val="0"/>
            <w:iCs w:val="0"/>
          </w:rPr>
          <w:t>عميدي ، محمّد بن احمد - 433 ه-</w:t>
        </w:r>
        <w:r>
          <w:tab/>
        </w:r>
        <w:r>
          <w:fldChar w:fldCharType="begin"/>
        </w:r>
        <w:r>
          <w:instrText xml:space="preserve">PAGEREF 5251 \h</w:instrText>
        </w:r>
        <w:r>
          <w:fldChar w:fldCharType="end"/>
        </w:r>
      </w:hyperlink>
    </w:p>
    <w:p>
      <w:pPr>
        <w:tabs>
          <w:tab w:val="right" w:leader="dot" w:pos="9062"/>
        </w:tabs>
        <w:ind w:left="220"/>
      </w:pPr>
      <w:hyperlink w:anchor="_Toc5252" w:history="1">
        <w:r>
          <w:rPr>
            <w:rFonts w:ascii="IRNazanin" w:hAnsi="IRNazanin" w:eastAsia="IRNazanin" w:cs="IRNazanin"/>
            <w:color w:val="111111"/>
            <w:sz w:val="22"/>
            <w:szCs w:val="22"/>
            <w:b w:val="0"/>
            <w:bCs w:val="0"/>
            <w:i w:val="0"/>
            <w:iCs w:val="0"/>
          </w:rPr>
          <w:t>عميدي ، محمّد بن محمّد، - 615 ه-</w:t>
        </w:r>
        <w:r>
          <w:tab/>
        </w:r>
        <w:r>
          <w:fldChar w:fldCharType="begin"/>
        </w:r>
        <w:r>
          <w:instrText xml:space="preserve">PAGEREF 5252 \h</w:instrText>
        </w:r>
        <w:r>
          <w:fldChar w:fldCharType="end"/>
        </w:r>
      </w:hyperlink>
    </w:p>
    <w:p>
      <w:pPr>
        <w:tabs>
          <w:tab w:val="right" w:leader="dot" w:pos="9062"/>
        </w:tabs>
        <w:ind w:left="220"/>
      </w:pPr>
      <w:hyperlink w:anchor="_Toc5253" w:history="1">
        <w:r>
          <w:rPr>
            <w:rFonts w:ascii="IRNazanin" w:hAnsi="IRNazanin" w:eastAsia="IRNazanin" w:cs="IRNazanin"/>
            <w:color w:val="111111"/>
            <w:sz w:val="22"/>
            <w:szCs w:val="22"/>
            <w:b w:val="0"/>
            <w:bCs w:val="0"/>
            <w:i w:val="0"/>
            <w:iCs w:val="0"/>
          </w:rPr>
          <w:t>عميري ، شهاب الدین احمد</w:t>
        </w:r>
        <w:r>
          <w:tab/>
        </w:r>
        <w:r>
          <w:fldChar w:fldCharType="begin"/>
        </w:r>
        <w:r>
          <w:instrText xml:space="preserve">PAGEREF 5253 \h</w:instrText>
        </w:r>
        <w:r>
          <w:fldChar w:fldCharType="end"/>
        </w:r>
      </w:hyperlink>
    </w:p>
    <w:p>
      <w:pPr>
        <w:tabs>
          <w:tab w:val="right" w:leader="dot" w:pos="9062"/>
        </w:tabs>
        <w:ind w:left="220"/>
      </w:pPr>
      <w:hyperlink w:anchor="_Toc5254" w:history="1">
        <w:r>
          <w:rPr>
            <w:rFonts w:ascii="IRNazanin" w:hAnsi="IRNazanin" w:eastAsia="IRNazanin" w:cs="IRNazanin"/>
            <w:color w:val="111111"/>
            <w:sz w:val="22"/>
            <w:szCs w:val="22"/>
            <w:b w:val="0"/>
            <w:bCs w:val="0"/>
            <w:i w:val="0"/>
            <w:iCs w:val="0"/>
          </w:rPr>
          <w:t>عنتابي ، محمود بن ،احمد 9812 - 902 ه-</w:t>
        </w:r>
        <w:r>
          <w:tab/>
        </w:r>
        <w:r>
          <w:fldChar w:fldCharType="begin"/>
        </w:r>
        <w:r>
          <w:instrText xml:space="preserve">PAGEREF 5254 \h</w:instrText>
        </w:r>
        <w:r>
          <w:fldChar w:fldCharType="end"/>
        </w:r>
      </w:hyperlink>
    </w:p>
    <w:p>
      <w:pPr>
        <w:tabs>
          <w:tab w:val="right" w:leader="dot" w:pos="9062"/>
        </w:tabs>
        <w:ind w:left="220"/>
      </w:pPr>
      <w:hyperlink w:anchor="_Toc5255" w:history="1">
        <w:r>
          <w:rPr>
            <w:rFonts w:ascii="IRNazanin" w:hAnsi="IRNazanin" w:eastAsia="IRNazanin" w:cs="IRNazanin"/>
            <w:color w:val="111111"/>
            <w:sz w:val="22"/>
            <w:szCs w:val="22"/>
            <w:b w:val="0"/>
            <w:bCs w:val="0"/>
            <w:i w:val="0"/>
            <w:iCs w:val="0"/>
          </w:rPr>
          <w:t>عنترة بن شداد - 22 ه-</w:t>
        </w:r>
        <w:r>
          <w:tab/>
        </w:r>
        <w:r>
          <w:fldChar w:fldCharType="begin"/>
        </w:r>
        <w:r>
          <w:instrText xml:space="preserve">PAGEREF 5255 \h</w:instrText>
        </w:r>
        <w:r>
          <w:fldChar w:fldCharType="end"/>
        </w:r>
      </w:hyperlink>
    </w:p>
    <w:p>
      <w:pPr>
        <w:tabs>
          <w:tab w:val="right" w:leader="dot" w:pos="9062"/>
        </w:tabs>
        <w:ind w:left="220"/>
      </w:pPr>
      <w:hyperlink w:anchor="_Toc5256" w:history="1">
        <w:r>
          <w:rPr>
            <w:rFonts w:ascii="IRNazanin" w:hAnsi="IRNazanin" w:eastAsia="IRNazanin" w:cs="IRNazanin"/>
            <w:color w:val="111111"/>
            <w:sz w:val="22"/>
            <w:szCs w:val="22"/>
            <w:b w:val="0"/>
            <w:bCs w:val="0"/>
            <w:i w:val="0"/>
            <w:iCs w:val="0"/>
          </w:rPr>
          <w:t>عنزي ، عبدالله بن علي</w:t>
        </w:r>
        <w:r>
          <w:tab/>
        </w:r>
        <w:r>
          <w:fldChar w:fldCharType="begin"/>
        </w:r>
        <w:r>
          <w:instrText xml:space="preserve">PAGEREF 5256 \h</w:instrText>
        </w:r>
        <w:r>
          <w:fldChar w:fldCharType="end"/>
        </w:r>
      </w:hyperlink>
    </w:p>
    <w:p>
      <w:pPr>
        <w:tabs>
          <w:tab w:val="right" w:leader="dot" w:pos="9062"/>
        </w:tabs>
        <w:ind w:left="220"/>
      </w:pPr>
      <w:hyperlink w:anchor="_Toc5257" w:history="1">
        <w:r>
          <w:rPr>
            <w:rFonts w:ascii="IRNazanin" w:hAnsi="IRNazanin" w:eastAsia="IRNazanin" w:cs="IRNazanin"/>
            <w:color w:val="111111"/>
            <w:sz w:val="22"/>
            <w:szCs w:val="22"/>
            <w:b w:val="0"/>
            <w:bCs w:val="0"/>
            <w:i w:val="0"/>
            <w:iCs w:val="0"/>
          </w:rPr>
          <w:t>عنصر المعالي ، كيكاوس بن اسكندر</w:t>
        </w:r>
        <w:r>
          <w:tab/>
        </w:r>
        <w:r>
          <w:fldChar w:fldCharType="begin"/>
        </w:r>
        <w:r>
          <w:instrText xml:space="preserve">PAGEREF 5257 \h</w:instrText>
        </w:r>
        <w:r>
          <w:fldChar w:fldCharType="end"/>
        </w:r>
      </w:hyperlink>
    </w:p>
    <w:p>
      <w:pPr>
        <w:tabs>
          <w:tab w:val="right" w:leader="dot" w:pos="9062"/>
        </w:tabs>
        <w:ind w:left="220"/>
      </w:pPr>
      <w:hyperlink w:anchor="_Toc5258" w:history="1">
        <w:r>
          <w:rPr>
            <w:rFonts w:ascii="IRNazanin" w:hAnsi="IRNazanin" w:eastAsia="IRNazanin" w:cs="IRNazanin"/>
            <w:color w:val="111111"/>
            <w:sz w:val="22"/>
            <w:szCs w:val="22"/>
            <w:b w:val="0"/>
            <w:bCs w:val="0"/>
            <w:i w:val="0"/>
            <w:iCs w:val="0"/>
          </w:rPr>
          <w:t>عواد ، كوركيس 1908م</w:t>
        </w:r>
        <w:r>
          <w:tab/>
        </w:r>
        <w:r>
          <w:fldChar w:fldCharType="begin"/>
        </w:r>
        <w:r>
          <w:instrText xml:space="preserve">PAGEREF 5258 \h</w:instrText>
        </w:r>
        <w:r>
          <w:fldChar w:fldCharType="end"/>
        </w:r>
      </w:hyperlink>
    </w:p>
    <w:p>
      <w:pPr>
        <w:tabs>
          <w:tab w:val="right" w:leader="dot" w:pos="9062"/>
        </w:tabs>
        <w:ind w:left="220"/>
      </w:pPr>
      <w:hyperlink w:anchor="_Toc5259" w:history="1">
        <w:r>
          <w:rPr>
            <w:rFonts w:ascii="IRNazanin" w:hAnsi="IRNazanin" w:eastAsia="IRNazanin" w:cs="IRNazanin"/>
            <w:color w:val="111111"/>
            <w:sz w:val="22"/>
            <w:szCs w:val="22"/>
            <w:b w:val="0"/>
            <w:bCs w:val="0"/>
            <w:i w:val="0"/>
            <w:iCs w:val="0"/>
          </w:rPr>
          <w:t>عواد محمّد جواد بن عبد الرضا قرن 12ه-</w:t>
        </w:r>
        <w:r>
          <w:tab/>
        </w:r>
        <w:r>
          <w:fldChar w:fldCharType="begin"/>
        </w:r>
        <w:r>
          <w:instrText xml:space="preserve">PAGEREF 5259 \h</w:instrText>
        </w:r>
        <w:r>
          <w:fldChar w:fldCharType="end"/>
        </w:r>
      </w:hyperlink>
    </w:p>
    <w:p>
      <w:pPr>
        <w:tabs>
          <w:tab w:val="right" w:leader="dot" w:pos="9062"/>
        </w:tabs>
        <w:ind w:left="220"/>
      </w:pPr>
      <w:hyperlink w:anchor="_Toc5260" w:history="1">
        <w:r>
          <w:rPr>
            <w:rFonts w:ascii="IRNazanin" w:hAnsi="IRNazanin" w:eastAsia="IRNazanin" w:cs="IRNazanin"/>
            <w:color w:val="111111"/>
            <w:sz w:val="22"/>
            <w:szCs w:val="22"/>
            <w:b w:val="0"/>
            <w:bCs w:val="0"/>
            <w:i w:val="0"/>
            <w:iCs w:val="0"/>
          </w:rPr>
          <w:t>عوض افندي</w:t>
        </w:r>
        <w:r>
          <w:tab/>
        </w:r>
        <w:r>
          <w:fldChar w:fldCharType="begin"/>
        </w:r>
        <w:r>
          <w:instrText xml:space="preserve">PAGEREF 5260 \h</w:instrText>
        </w:r>
        <w:r>
          <w:fldChar w:fldCharType="end"/>
        </w:r>
      </w:hyperlink>
    </w:p>
    <w:p>
      <w:pPr>
        <w:tabs>
          <w:tab w:val="right" w:leader="dot" w:pos="9062"/>
        </w:tabs>
        <w:ind w:left="220"/>
      </w:pPr>
      <w:hyperlink w:anchor="_Toc5261" w:history="1">
        <w:r>
          <w:rPr>
            <w:rFonts w:ascii="IRNazanin" w:hAnsi="IRNazanin" w:eastAsia="IRNazanin" w:cs="IRNazanin"/>
            <w:color w:val="111111"/>
            <w:sz w:val="22"/>
            <w:szCs w:val="22"/>
            <w:b w:val="0"/>
            <w:bCs w:val="0"/>
            <w:i w:val="0"/>
            <w:iCs w:val="0"/>
          </w:rPr>
          <w:t>عوفي ، محمّد بن احمد - 1050 ه-</w:t>
        </w:r>
        <w:r>
          <w:tab/>
        </w:r>
        <w:r>
          <w:fldChar w:fldCharType="begin"/>
        </w:r>
        <w:r>
          <w:instrText xml:space="preserve">PAGEREF 5261 \h</w:instrText>
        </w:r>
        <w:r>
          <w:fldChar w:fldCharType="end"/>
        </w:r>
      </w:hyperlink>
    </w:p>
    <w:p>
      <w:pPr>
        <w:tabs>
          <w:tab w:val="right" w:leader="dot" w:pos="9062"/>
        </w:tabs>
        <w:ind w:left="220"/>
      </w:pPr>
      <w:hyperlink w:anchor="_Toc5262" w:history="1">
        <w:r>
          <w:rPr>
            <w:rFonts w:ascii="IRNazanin" w:hAnsi="IRNazanin" w:eastAsia="IRNazanin" w:cs="IRNazanin"/>
            <w:color w:val="111111"/>
            <w:sz w:val="22"/>
            <w:szCs w:val="22"/>
            <w:b w:val="0"/>
            <w:bCs w:val="0"/>
            <w:i w:val="0"/>
            <w:iCs w:val="0"/>
          </w:rPr>
          <w:t>عياشي ، عبدالله</w:t>
        </w:r>
        <w:r>
          <w:tab/>
        </w:r>
        <w:r>
          <w:fldChar w:fldCharType="begin"/>
        </w:r>
        <w:r>
          <w:instrText xml:space="preserve">PAGEREF 5262 \h</w:instrText>
        </w:r>
        <w:r>
          <w:fldChar w:fldCharType="end"/>
        </w:r>
      </w:hyperlink>
    </w:p>
    <w:p>
      <w:pPr>
        <w:tabs>
          <w:tab w:val="right" w:leader="dot" w:pos="9062"/>
        </w:tabs>
        <w:ind w:left="220"/>
      </w:pPr>
      <w:hyperlink w:anchor="_Toc5263" w:history="1">
        <w:r>
          <w:rPr>
            <w:rFonts w:ascii="IRNazanin" w:hAnsi="IRNazanin" w:eastAsia="IRNazanin" w:cs="IRNazanin"/>
            <w:color w:val="111111"/>
            <w:sz w:val="22"/>
            <w:szCs w:val="22"/>
            <w:b w:val="0"/>
            <w:bCs w:val="0"/>
            <w:i w:val="0"/>
            <w:iCs w:val="0"/>
          </w:rPr>
          <w:t>عياشي ، محمّد بن مسعود - 320 ؟ ه-</w:t>
        </w:r>
        <w:r>
          <w:tab/>
        </w:r>
        <w:r>
          <w:fldChar w:fldCharType="begin"/>
        </w:r>
        <w:r>
          <w:instrText xml:space="preserve">PAGEREF 5263 \h</w:instrText>
        </w:r>
        <w:r>
          <w:fldChar w:fldCharType="end"/>
        </w:r>
      </w:hyperlink>
    </w:p>
    <w:p>
      <w:pPr>
        <w:tabs>
          <w:tab w:val="right" w:leader="dot" w:pos="9062"/>
        </w:tabs>
        <w:ind w:left="220"/>
      </w:pPr>
      <w:hyperlink w:anchor="_Toc5264" w:history="1">
        <w:r>
          <w:rPr>
            <w:rFonts w:ascii="IRNazanin" w:hAnsi="IRNazanin" w:eastAsia="IRNazanin" w:cs="IRNazanin"/>
            <w:color w:val="111111"/>
            <w:sz w:val="22"/>
            <w:szCs w:val="22"/>
            <w:b w:val="0"/>
            <w:bCs w:val="0"/>
            <w:i w:val="0"/>
            <w:iCs w:val="0"/>
          </w:rPr>
          <w:t>عيدروس ابوبکر بن عبد الله، 851-914ه-</w:t>
        </w:r>
        <w:r>
          <w:tab/>
        </w:r>
        <w:r>
          <w:fldChar w:fldCharType="begin"/>
        </w:r>
        <w:r>
          <w:instrText xml:space="preserve">PAGEREF 5264 \h</w:instrText>
        </w:r>
        <w:r>
          <w:fldChar w:fldCharType="end"/>
        </w:r>
      </w:hyperlink>
    </w:p>
    <w:p>
      <w:pPr>
        <w:tabs>
          <w:tab w:val="right" w:leader="dot" w:pos="9062"/>
        </w:tabs>
        <w:ind w:left="220"/>
      </w:pPr>
      <w:hyperlink w:anchor="_Toc5265" w:history="1">
        <w:r>
          <w:rPr>
            <w:rFonts w:ascii="IRNazanin" w:hAnsi="IRNazanin" w:eastAsia="IRNazanin" w:cs="IRNazanin"/>
            <w:color w:val="111111"/>
            <w:sz w:val="22"/>
            <w:szCs w:val="22"/>
            <w:b w:val="0"/>
            <w:bCs w:val="0"/>
            <w:i w:val="0"/>
            <w:iCs w:val="0"/>
          </w:rPr>
          <w:t>عيدروس ، عبد الرحمن بن مصطفى</w:t>
        </w:r>
        <w:r>
          <w:tab/>
        </w:r>
        <w:r>
          <w:fldChar w:fldCharType="begin"/>
        </w:r>
        <w:r>
          <w:instrText xml:space="preserve">PAGEREF 5265 \h</w:instrText>
        </w:r>
        <w:r>
          <w:fldChar w:fldCharType="end"/>
        </w:r>
      </w:hyperlink>
    </w:p>
    <w:p>
      <w:pPr>
        <w:tabs>
          <w:tab w:val="right" w:leader="dot" w:pos="9062"/>
        </w:tabs>
        <w:ind w:left="220"/>
      </w:pPr>
      <w:hyperlink w:anchor="_Toc5266" w:history="1">
        <w:r>
          <w:rPr>
            <w:rFonts w:ascii="IRNazanin" w:hAnsi="IRNazanin" w:eastAsia="IRNazanin" w:cs="IRNazanin"/>
            <w:color w:val="111111"/>
            <w:sz w:val="22"/>
            <w:szCs w:val="22"/>
            <w:b w:val="0"/>
            <w:bCs w:val="0"/>
            <w:i w:val="0"/>
            <w:iCs w:val="0"/>
          </w:rPr>
          <w:t>عيدروسي ، حسن بن هاشم - 13ه-</w:t>
        </w:r>
        <w:r>
          <w:tab/>
        </w:r>
        <w:r>
          <w:fldChar w:fldCharType="begin"/>
        </w:r>
        <w:r>
          <w:instrText xml:space="preserve">PAGEREF 5266 \h</w:instrText>
        </w:r>
        <w:r>
          <w:fldChar w:fldCharType="end"/>
        </w:r>
      </w:hyperlink>
    </w:p>
    <w:p>
      <w:pPr>
        <w:tabs>
          <w:tab w:val="right" w:leader="dot" w:pos="9062"/>
        </w:tabs>
        <w:ind w:left="220"/>
      </w:pPr>
      <w:hyperlink w:anchor="_Toc5267" w:history="1">
        <w:r>
          <w:rPr>
            <w:rFonts w:ascii="IRNazanin" w:hAnsi="IRNazanin" w:eastAsia="IRNazanin" w:cs="IRNazanin"/>
            <w:color w:val="111111"/>
            <w:sz w:val="22"/>
            <w:szCs w:val="22"/>
            <w:b w:val="0"/>
            <w:bCs w:val="0"/>
            <w:i w:val="0"/>
            <w:iCs w:val="0"/>
          </w:rPr>
          <w:t>عيدروسي ، عبد القادر بن عبدالله 978 - كبه</w:t>
        </w:r>
        <w:r>
          <w:tab/>
        </w:r>
        <w:r>
          <w:fldChar w:fldCharType="begin"/>
        </w:r>
        <w:r>
          <w:instrText xml:space="preserve">PAGEREF 5267 \h</w:instrText>
        </w:r>
        <w:r>
          <w:fldChar w:fldCharType="end"/>
        </w:r>
      </w:hyperlink>
    </w:p>
    <w:p>
      <w:pPr>
        <w:tabs>
          <w:tab w:val="right" w:leader="dot" w:pos="9062"/>
        </w:tabs>
        <w:ind w:left="220"/>
      </w:pPr>
      <w:hyperlink w:anchor="_Toc5268" w:history="1">
        <w:r>
          <w:rPr>
            <w:rFonts w:ascii="IRNazanin" w:hAnsi="IRNazanin" w:eastAsia="IRNazanin" w:cs="IRNazanin"/>
            <w:color w:val="111111"/>
            <w:sz w:val="22"/>
            <w:szCs w:val="22"/>
            <w:b w:val="0"/>
            <w:bCs w:val="0"/>
            <w:i w:val="0"/>
            <w:iCs w:val="0"/>
          </w:rPr>
          <w:t>عيدروسي ، عبدالله بن ابي بكر</w:t>
        </w:r>
        <w:r>
          <w:tab/>
        </w:r>
        <w:r>
          <w:fldChar w:fldCharType="begin"/>
        </w:r>
        <w:r>
          <w:instrText xml:space="preserve">PAGEREF 5268 \h</w:instrText>
        </w:r>
        <w:r>
          <w:fldChar w:fldCharType="end"/>
        </w:r>
      </w:hyperlink>
    </w:p>
    <w:p>
      <w:pPr>
        <w:tabs>
          <w:tab w:val="right" w:leader="dot" w:pos="9062"/>
        </w:tabs>
        <w:ind w:left="220"/>
      </w:pPr>
      <w:hyperlink w:anchor="_Toc5269" w:history="1">
        <w:r>
          <w:rPr>
            <w:rFonts w:ascii="IRNazanin" w:hAnsi="IRNazanin" w:eastAsia="IRNazanin" w:cs="IRNazanin"/>
            <w:color w:val="111111"/>
            <w:sz w:val="22"/>
            <w:szCs w:val="22"/>
            <w:b w:val="0"/>
            <w:bCs w:val="0"/>
            <w:i w:val="0"/>
            <w:iCs w:val="0"/>
          </w:rPr>
          <w:t>عیسی بن احمد</w:t>
        </w:r>
        <w:r>
          <w:tab/>
        </w:r>
        <w:r>
          <w:fldChar w:fldCharType="begin"/>
        </w:r>
        <w:r>
          <w:instrText xml:space="preserve">PAGEREF 5269 \h</w:instrText>
        </w:r>
        <w:r>
          <w:fldChar w:fldCharType="end"/>
        </w:r>
      </w:hyperlink>
    </w:p>
    <w:p>
      <w:pPr>
        <w:tabs>
          <w:tab w:val="right" w:leader="dot" w:pos="9062"/>
        </w:tabs>
        <w:ind w:left="220"/>
      </w:pPr>
      <w:hyperlink w:anchor="_Toc5270" w:history="1">
        <w:r>
          <w:rPr>
            <w:rFonts w:ascii="IRNazanin" w:hAnsi="IRNazanin" w:eastAsia="IRNazanin" w:cs="IRNazanin"/>
            <w:color w:val="111111"/>
            <w:sz w:val="22"/>
            <w:szCs w:val="22"/>
            <w:b w:val="0"/>
            <w:bCs w:val="0"/>
            <w:i w:val="0"/>
            <w:iCs w:val="0"/>
          </w:rPr>
          <w:t>عيسى بن عبدالمن</w:t>
        </w:r>
        <w:r>
          <w:tab/>
        </w:r>
        <w:r>
          <w:fldChar w:fldCharType="begin"/>
        </w:r>
        <w:r>
          <w:instrText xml:space="preserve">PAGEREF 5270 \h</w:instrText>
        </w:r>
        <w:r>
          <w:fldChar w:fldCharType="end"/>
        </w:r>
      </w:hyperlink>
    </w:p>
    <w:p>
      <w:pPr>
        <w:tabs>
          <w:tab w:val="right" w:leader="dot" w:pos="9062"/>
        </w:tabs>
        <w:ind w:left="220"/>
      </w:pPr>
      <w:hyperlink w:anchor="_Toc5271" w:history="1">
        <w:r>
          <w:rPr>
            <w:rFonts w:ascii="IRNazanin" w:hAnsi="IRNazanin" w:eastAsia="IRNazanin" w:cs="IRNazanin"/>
            <w:color w:val="111111"/>
            <w:sz w:val="22"/>
            <w:szCs w:val="22"/>
            <w:b w:val="0"/>
            <w:bCs w:val="0"/>
            <w:i w:val="0"/>
            <w:iCs w:val="0"/>
          </w:rPr>
          <w:t>عينائي ، حسين بن علي، قرن 9 ه-</w:t>
        </w:r>
        <w:r>
          <w:tab/>
        </w:r>
        <w:r>
          <w:fldChar w:fldCharType="begin"/>
        </w:r>
        <w:r>
          <w:instrText xml:space="preserve">PAGEREF 5271 \h</w:instrText>
        </w:r>
        <w:r>
          <w:fldChar w:fldCharType="end"/>
        </w:r>
      </w:hyperlink>
    </w:p>
    <w:p>
      <w:pPr>
        <w:tabs>
          <w:tab w:val="right" w:leader="dot" w:pos="9062"/>
        </w:tabs>
        <w:ind w:left="220"/>
      </w:pPr>
      <w:hyperlink w:anchor="_Toc5272" w:history="1">
        <w:r>
          <w:rPr>
            <w:rFonts w:ascii="IRNazanin" w:hAnsi="IRNazanin" w:eastAsia="IRNazanin" w:cs="IRNazanin"/>
            <w:color w:val="111111"/>
            <w:sz w:val="22"/>
            <w:szCs w:val="22"/>
            <w:b w:val="0"/>
            <w:bCs w:val="0"/>
            <w:i w:val="0"/>
            <w:iCs w:val="0"/>
          </w:rPr>
          <w:t>عين القضاة ، عبدالله بن محمّد 492 -</w:t>
        </w:r>
        <w:r>
          <w:tab/>
        </w:r>
        <w:r>
          <w:fldChar w:fldCharType="begin"/>
        </w:r>
        <w:r>
          <w:instrText xml:space="preserve">PAGEREF 5272 \h</w:instrText>
        </w:r>
        <w:r>
          <w:fldChar w:fldCharType="end"/>
        </w:r>
      </w:hyperlink>
    </w:p>
    <w:p>
      <w:pPr>
        <w:tabs>
          <w:tab w:val="right" w:leader="dot" w:pos="9062"/>
        </w:tabs>
        <w:ind w:left="220"/>
      </w:pPr>
      <w:hyperlink w:anchor="_Toc5273" w:history="1">
        <w:r>
          <w:rPr>
            <w:rFonts w:ascii="IRNazanin" w:hAnsi="IRNazanin" w:eastAsia="IRNazanin" w:cs="IRNazanin"/>
            <w:color w:val="111111"/>
            <w:sz w:val="22"/>
            <w:szCs w:val="22"/>
            <w:b w:val="0"/>
            <w:bCs w:val="0"/>
            <w:i w:val="0"/>
            <w:iCs w:val="0"/>
          </w:rPr>
          <w:t>عين القضاة همداني ، محمّد بن</w:t>
        </w:r>
        <w:r>
          <w:tab/>
        </w:r>
        <w:r>
          <w:fldChar w:fldCharType="begin"/>
        </w:r>
        <w:r>
          <w:instrText xml:space="preserve">PAGEREF 5273 \h</w:instrText>
        </w:r>
        <w:r>
          <w:fldChar w:fldCharType="end"/>
        </w:r>
      </w:hyperlink>
    </w:p>
    <w:p>
      <w:pPr>
        <w:tabs>
          <w:tab w:val="right" w:leader="dot" w:pos="9062"/>
        </w:tabs>
        <w:ind w:left="220"/>
      </w:pPr>
      <w:hyperlink w:anchor="_Toc5274" w:history="1">
        <w:r>
          <w:rPr>
            <w:rFonts w:ascii="IRNazanin" w:hAnsi="IRNazanin" w:eastAsia="IRNazanin" w:cs="IRNazanin"/>
            <w:color w:val="111111"/>
            <w:sz w:val="22"/>
            <w:szCs w:val="22"/>
            <w:b w:val="0"/>
            <w:bCs w:val="0"/>
            <w:i w:val="0"/>
            <w:iCs w:val="0"/>
          </w:rPr>
          <w:t>عين الملك شيرازي ، محمّد بن عبدالله قرن</w:t>
        </w:r>
        <w:r>
          <w:tab/>
        </w:r>
        <w:r>
          <w:fldChar w:fldCharType="begin"/>
        </w:r>
        <w:r>
          <w:instrText xml:space="preserve">PAGEREF 5274 \h</w:instrText>
        </w:r>
        <w:r>
          <w:fldChar w:fldCharType="end"/>
        </w:r>
      </w:hyperlink>
    </w:p>
    <w:p>
      <w:pPr>
        <w:tabs>
          <w:tab w:val="right" w:leader="dot" w:pos="9062"/>
        </w:tabs>
        <w:ind w:left="220"/>
      </w:pPr>
      <w:hyperlink w:anchor="_Toc5275" w:history="1">
        <w:r>
          <w:rPr>
            <w:rFonts w:ascii="IRNazanin" w:hAnsi="IRNazanin" w:eastAsia="IRNazanin" w:cs="IRNazanin"/>
            <w:color w:val="111111"/>
            <w:sz w:val="22"/>
            <w:szCs w:val="22"/>
            <w:b w:val="0"/>
            <w:bCs w:val="0"/>
            <w:i w:val="0"/>
            <w:iCs w:val="0"/>
          </w:rPr>
          <w:t>عينتابي ، احمد بن ابي العباس قرن 9 ه-</w:t>
        </w:r>
        <w:r>
          <w:tab/>
        </w:r>
        <w:r>
          <w:fldChar w:fldCharType="begin"/>
        </w:r>
        <w:r>
          <w:instrText xml:space="preserve">PAGEREF 5275 \h</w:instrText>
        </w:r>
        <w:r>
          <w:fldChar w:fldCharType="end"/>
        </w:r>
      </w:hyperlink>
    </w:p>
    <w:p>
      <w:pPr>
        <w:tabs>
          <w:tab w:val="right" w:leader="dot" w:pos="9062"/>
        </w:tabs>
        <w:ind w:left="220"/>
      </w:pPr>
      <w:hyperlink w:anchor="_Toc5276" w:history="1">
        <w:r>
          <w:rPr>
            <w:rFonts w:ascii="IRNazanin" w:hAnsi="IRNazanin" w:eastAsia="IRNazanin" w:cs="IRNazanin"/>
            <w:color w:val="111111"/>
            <w:sz w:val="22"/>
            <w:szCs w:val="22"/>
            <w:b w:val="0"/>
            <w:bCs w:val="0"/>
            <w:i w:val="0"/>
            <w:iCs w:val="0"/>
          </w:rPr>
          <w:t>عينتابي ، محمّد اسعد</w:t>
        </w:r>
        <w:r>
          <w:tab/>
        </w:r>
        <w:r>
          <w:fldChar w:fldCharType="begin"/>
        </w:r>
        <w:r>
          <w:instrText xml:space="preserve">PAGEREF 5276 \h</w:instrText>
        </w:r>
        <w:r>
          <w:fldChar w:fldCharType="end"/>
        </w:r>
      </w:hyperlink>
    </w:p>
    <w:p>
      <w:pPr>
        <w:tabs>
          <w:tab w:val="right" w:leader="dot" w:pos="9062"/>
        </w:tabs>
        <w:ind w:left="220"/>
      </w:pPr>
      <w:hyperlink w:anchor="_Toc5277" w:history="1">
        <w:r>
          <w:rPr>
            <w:rFonts w:ascii="IRNazanin" w:hAnsi="IRNazanin" w:eastAsia="IRNazanin" w:cs="IRNazanin"/>
            <w:color w:val="111111"/>
            <w:sz w:val="22"/>
            <w:szCs w:val="22"/>
            <w:b w:val="0"/>
            <w:bCs w:val="0"/>
            <w:i w:val="0"/>
            <w:iCs w:val="0"/>
          </w:rPr>
          <w:t>عينتابي ، محمّد منيب بن محمّد سعید</w:t>
        </w:r>
        <w:r>
          <w:tab/>
        </w:r>
        <w:r>
          <w:fldChar w:fldCharType="begin"/>
        </w:r>
        <w:r>
          <w:instrText xml:space="preserve">PAGEREF 5277 \h</w:instrText>
        </w:r>
        <w:r>
          <w:fldChar w:fldCharType="end"/>
        </w:r>
      </w:hyperlink>
    </w:p>
    <w:p>
      <w:pPr>
        <w:tabs>
          <w:tab w:val="right" w:leader="dot" w:pos="9062"/>
        </w:tabs>
        <w:ind w:left="220"/>
      </w:pPr>
      <w:hyperlink w:anchor="_Toc5278" w:history="1">
        <w:r>
          <w:rPr>
            <w:rFonts w:ascii="IRNazanin" w:hAnsi="IRNazanin" w:eastAsia="IRNazanin" w:cs="IRNazanin"/>
            <w:color w:val="111111"/>
            <w:sz w:val="22"/>
            <w:szCs w:val="22"/>
            <w:b w:val="0"/>
            <w:bCs w:val="0"/>
            <w:i w:val="0"/>
            <w:iCs w:val="0"/>
          </w:rPr>
          <w:t>عين زربي ، عدنان بن نصر - 548 ه-</w:t>
        </w:r>
        <w:r>
          <w:tab/>
        </w:r>
        <w:r>
          <w:fldChar w:fldCharType="begin"/>
        </w:r>
        <w:r>
          <w:instrText xml:space="preserve">PAGEREF 5278 \h</w:instrText>
        </w:r>
        <w:r>
          <w:fldChar w:fldCharType="end"/>
        </w:r>
      </w:hyperlink>
    </w:p>
    <w:p>
      <w:pPr>
        <w:tabs>
          <w:tab w:val="right" w:leader="dot" w:pos="9062"/>
        </w:tabs>
        <w:ind w:left="220"/>
      </w:pPr>
      <w:hyperlink w:anchor="_Toc5279" w:history="1">
        <w:r>
          <w:rPr>
            <w:rFonts w:ascii="IRNazanin" w:hAnsi="IRNazanin" w:eastAsia="IRNazanin" w:cs="IRNazanin"/>
            <w:color w:val="111111"/>
            <w:sz w:val="22"/>
            <w:szCs w:val="22"/>
            <w:b w:val="0"/>
            <w:bCs w:val="0"/>
            <w:i w:val="0"/>
            <w:iCs w:val="0"/>
          </w:rPr>
          <w:t>عيني ، عبدالرحيم بن محمود - 864 ه-</w:t>
        </w:r>
        <w:r>
          <w:tab/>
        </w:r>
        <w:r>
          <w:fldChar w:fldCharType="begin"/>
        </w:r>
        <w:r>
          <w:instrText xml:space="preserve">PAGEREF 5279 \h</w:instrText>
        </w:r>
        <w:r>
          <w:fldChar w:fldCharType="end"/>
        </w:r>
      </w:hyperlink>
    </w:p>
    <w:p>
      <w:pPr>
        <w:tabs>
          <w:tab w:val="right" w:leader="dot" w:pos="9062"/>
        </w:tabs>
        <w:ind w:left="220"/>
      </w:pPr>
      <w:hyperlink w:anchor="_Toc5280" w:history="1">
        <w:r>
          <w:rPr>
            <w:rFonts w:ascii="IRNazanin" w:hAnsi="IRNazanin" w:eastAsia="IRNazanin" w:cs="IRNazanin"/>
            <w:color w:val="111111"/>
            <w:sz w:val="22"/>
            <w:szCs w:val="22"/>
            <w:b w:val="0"/>
            <w:bCs w:val="0"/>
            <w:i w:val="0"/>
            <w:iCs w:val="0"/>
          </w:rPr>
          <w:t>غانمي شامي ، علي</w:t>
        </w:r>
        <w:r>
          <w:tab/>
        </w:r>
        <w:r>
          <w:fldChar w:fldCharType="begin"/>
        </w:r>
        <w:r>
          <w:instrText xml:space="preserve">PAGEREF 5280 \h</w:instrText>
        </w:r>
        <w:r>
          <w:fldChar w:fldCharType="end"/>
        </w:r>
      </w:hyperlink>
    </w:p>
    <w:p>
      <w:pPr>
        <w:tabs>
          <w:tab w:val="right" w:leader="dot" w:pos="9062"/>
        </w:tabs>
        <w:ind w:left="220"/>
      </w:pPr>
      <w:hyperlink w:anchor="_Toc5281" w:history="1">
        <w:r>
          <w:rPr>
            <w:rFonts w:ascii="IRNazanin" w:hAnsi="IRNazanin" w:eastAsia="IRNazanin" w:cs="IRNazanin"/>
            <w:color w:val="111111"/>
            <w:sz w:val="22"/>
            <w:szCs w:val="22"/>
            <w:b w:val="0"/>
            <w:bCs w:val="0"/>
            <w:i w:val="0"/>
            <w:iCs w:val="0"/>
          </w:rPr>
          <w:t>غراب زاده احمد بن عبدالله - 1099 ه-</w:t>
        </w:r>
        <w:r>
          <w:tab/>
        </w:r>
        <w:r>
          <w:fldChar w:fldCharType="begin"/>
        </w:r>
        <w:r>
          <w:instrText xml:space="preserve">PAGEREF 5281 \h</w:instrText>
        </w:r>
        <w:r>
          <w:fldChar w:fldCharType="end"/>
        </w:r>
      </w:hyperlink>
    </w:p>
    <w:p>
      <w:pPr>
        <w:tabs>
          <w:tab w:val="right" w:leader="dot" w:pos="9062"/>
        </w:tabs>
        <w:ind w:left="220"/>
      </w:pPr>
      <w:hyperlink w:anchor="_Toc5282" w:history="1">
        <w:r>
          <w:rPr>
            <w:rFonts w:ascii="IRNazanin" w:hAnsi="IRNazanin" w:eastAsia="IRNazanin" w:cs="IRNazanin"/>
            <w:color w:val="111111"/>
            <w:sz w:val="22"/>
            <w:szCs w:val="22"/>
            <w:b w:val="0"/>
            <w:bCs w:val="0"/>
            <w:i w:val="0"/>
            <w:iCs w:val="0"/>
          </w:rPr>
          <w:t>غراوي، ابراهيم بن محمّد قرن 14 ه-</w:t>
        </w:r>
        <w:r>
          <w:tab/>
        </w:r>
        <w:r>
          <w:fldChar w:fldCharType="begin"/>
        </w:r>
        <w:r>
          <w:instrText xml:space="preserve">PAGEREF 5282 \h</w:instrText>
        </w:r>
        <w:r>
          <w:fldChar w:fldCharType="end"/>
        </w:r>
      </w:hyperlink>
    </w:p>
    <w:p>
      <w:pPr>
        <w:tabs>
          <w:tab w:val="right" w:leader="dot" w:pos="9062"/>
        </w:tabs>
        <w:ind w:left="220"/>
      </w:pPr>
      <w:hyperlink w:anchor="_Toc5283" w:history="1">
        <w:r>
          <w:rPr>
            <w:rFonts w:ascii="IRNazanin" w:hAnsi="IRNazanin" w:eastAsia="IRNazanin" w:cs="IRNazanin"/>
            <w:color w:val="111111"/>
            <w:sz w:val="22"/>
            <w:szCs w:val="22"/>
            <w:b w:val="0"/>
            <w:bCs w:val="0"/>
            <w:i w:val="0"/>
            <w:iCs w:val="0"/>
          </w:rPr>
          <w:t>غراوي ، ابوالمعالي</w:t>
        </w:r>
        <w:r>
          <w:tab/>
        </w:r>
        <w:r>
          <w:fldChar w:fldCharType="begin"/>
        </w:r>
        <w:r>
          <w:instrText xml:space="preserve">PAGEREF 5283 \h</w:instrText>
        </w:r>
        <w:r>
          <w:fldChar w:fldCharType="end"/>
        </w:r>
      </w:hyperlink>
    </w:p>
    <w:p>
      <w:pPr>
        <w:tabs>
          <w:tab w:val="right" w:leader="dot" w:pos="9062"/>
        </w:tabs>
        <w:ind w:left="220"/>
      </w:pPr>
      <w:hyperlink w:anchor="_Toc5284" w:history="1">
        <w:r>
          <w:rPr>
            <w:rFonts w:ascii="IRNazanin" w:hAnsi="IRNazanin" w:eastAsia="IRNazanin" w:cs="IRNazanin"/>
            <w:color w:val="111111"/>
            <w:sz w:val="22"/>
            <w:szCs w:val="22"/>
            <w:b w:val="0"/>
            <w:bCs w:val="0"/>
            <w:i w:val="0"/>
            <w:iCs w:val="0"/>
          </w:rPr>
          <w:t>غراوي ، جاسم بن محمّد رضا قرن 14 ه-</w:t>
        </w:r>
        <w:r>
          <w:tab/>
        </w:r>
        <w:r>
          <w:fldChar w:fldCharType="begin"/>
        </w:r>
        <w:r>
          <w:instrText xml:space="preserve">PAGEREF 5284 \h</w:instrText>
        </w:r>
        <w:r>
          <w:fldChar w:fldCharType="end"/>
        </w:r>
      </w:hyperlink>
    </w:p>
    <w:p>
      <w:pPr>
        <w:tabs>
          <w:tab w:val="right" w:leader="dot" w:pos="9062"/>
        </w:tabs>
        <w:ind w:left="220"/>
      </w:pPr>
      <w:hyperlink w:anchor="_Toc5285" w:history="1">
        <w:r>
          <w:rPr>
            <w:rFonts w:ascii="IRNazanin" w:hAnsi="IRNazanin" w:eastAsia="IRNazanin" w:cs="IRNazanin"/>
            <w:color w:val="111111"/>
            <w:sz w:val="22"/>
            <w:szCs w:val="22"/>
            <w:b w:val="0"/>
            <w:bCs w:val="0"/>
            <w:i w:val="0"/>
            <w:iCs w:val="0"/>
          </w:rPr>
          <w:t>غراوي ، عبد الرحيم بن محمّد</w:t>
        </w:r>
        <w:r>
          <w:tab/>
        </w:r>
        <w:r>
          <w:fldChar w:fldCharType="begin"/>
        </w:r>
        <w:r>
          <w:instrText xml:space="preserve">PAGEREF 5285 \h</w:instrText>
        </w:r>
        <w:r>
          <w:fldChar w:fldCharType="end"/>
        </w:r>
      </w:hyperlink>
    </w:p>
    <w:p>
      <w:pPr>
        <w:tabs>
          <w:tab w:val="right" w:leader="dot" w:pos="9062"/>
        </w:tabs>
        <w:ind w:left="220"/>
      </w:pPr>
      <w:hyperlink w:anchor="_Toc5286" w:history="1">
        <w:r>
          <w:rPr>
            <w:rFonts w:ascii="IRNazanin" w:hAnsi="IRNazanin" w:eastAsia="IRNazanin" w:cs="IRNazanin"/>
            <w:color w:val="111111"/>
            <w:sz w:val="22"/>
            <w:szCs w:val="22"/>
            <w:b w:val="0"/>
            <w:bCs w:val="0"/>
            <w:i w:val="0"/>
            <w:iCs w:val="0"/>
          </w:rPr>
          <w:t>غراوي ، محمّد رضا بن قاسم قرن 14 ه-</w:t>
        </w:r>
        <w:r>
          <w:tab/>
        </w:r>
        <w:r>
          <w:fldChar w:fldCharType="begin"/>
        </w:r>
        <w:r>
          <w:instrText xml:space="preserve">PAGEREF 5286 \h</w:instrText>
        </w:r>
        <w:r>
          <w:fldChar w:fldCharType="end"/>
        </w:r>
      </w:hyperlink>
    </w:p>
    <w:p>
      <w:pPr>
        <w:tabs>
          <w:tab w:val="right" w:leader="dot" w:pos="9062"/>
        </w:tabs>
        <w:ind w:left="220"/>
      </w:pPr>
      <w:hyperlink w:anchor="_Toc5287" w:history="1">
        <w:r>
          <w:rPr>
            <w:rFonts w:ascii="IRNazanin" w:hAnsi="IRNazanin" w:eastAsia="IRNazanin" w:cs="IRNazanin"/>
            <w:color w:val="111111"/>
            <w:sz w:val="22"/>
            <w:szCs w:val="22"/>
            <w:b w:val="0"/>
            <w:bCs w:val="0"/>
            <w:i w:val="0"/>
            <w:iCs w:val="0"/>
          </w:rPr>
          <w:t>غربي عامري ، احمد</w:t>
        </w:r>
        <w:r>
          <w:tab/>
        </w:r>
        <w:r>
          <w:fldChar w:fldCharType="begin"/>
        </w:r>
        <w:r>
          <w:instrText xml:space="preserve">PAGEREF 5287 \h</w:instrText>
        </w:r>
        <w:r>
          <w:fldChar w:fldCharType="end"/>
        </w:r>
      </w:hyperlink>
    </w:p>
    <w:p>
      <w:pPr>
        <w:tabs>
          <w:tab w:val="right" w:leader="dot" w:pos="9062"/>
        </w:tabs>
        <w:ind w:left="220"/>
      </w:pPr>
      <w:hyperlink w:anchor="_Toc5288" w:history="1">
        <w:r>
          <w:rPr>
            <w:rFonts w:ascii="IRNazanin" w:hAnsi="IRNazanin" w:eastAsia="IRNazanin" w:cs="IRNazanin"/>
            <w:color w:val="111111"/>
            <w:sz w:val="22"/>
            <w:szCs w:val="22"/>
            <w:b w:val="0"/>
            <w:bCs w:val="0"/>
            <w:i w:val="0"/>
            <w:iCs w:val="0"/>
          </w:rPr>
          <w:t>غرناطي ، محمّد بن احمد، 697 - 760ه-</w:t>
        </w:r>
        <w:r>
          <w:tab/>
        </w:r>
        <w:r>
          <w:fldChar w:fldCharType="begin"/>
        </w:r>
        <w:r>
          <w:instrText xml:space="preserve">PAGEREF 5288 \h</w:instrText>
        </w:r>
        <w:r>
          <w:fldChar w:fldCharType="end"/>
        </w:r>
      </w:hyperlink>
    </w:p>
    <w:p>
      <w:pPr>
        <w:tabs>
          <w:tab w:val="right" w:leader="dot" w:pos="9062"/>
        </w:tabs>
        <w:ind w:left="220"/>
      </w:pPr>
      <w:hyperlink w:anchor="_Toc5289" w:history="1">
        <w:r>
          <w:rPr>
            <w:rFonts w:ascii="IRNazanin" w:hAnsi="IRNazanin" w:eastAsia="IRNazanin" w:cs="IRNazanin"/>
            <w:color w:val="111111"/>
            <w:sz w:val="22"/>
            <w:szCs w:val="22"/>
            <w:b w:val="0"/>
            <w:bCs w:val="0"/>
            <w:i w:val="0"/>
            <w:iCs w:val="0"/>
          </w:rPr>
          <w:t>غروي ، علي بن مصطفى</w:t>
        </w:r>
        <w:r>
          <w:tab/>
        </w:r>
        <w:r>
          <w:fldChar w:fldCharType="begin"/>
        </w:r>
        <w:r>
          <w:instrText xml:space="preserve">PAGEREF 5289 \h</w:instrText>
        </w:r>
        <w:r>
          <w:fldChar w:fldCharType="end"/>
        </w:r>
      </w:hyperlink>
    </w:p>
    <w:p>
      <w:pPr>
        <w:tabs>
          <w:tab w:val="right" w:leader="dot" w:pos="9062"/>
        </w:tabs>
        <w:ind w:left="220"/>
      </w:pPr>
      <w:hyperlink w:anchor="_Toc5290" w:history="1">
        <w:r>
          <w:rPr>
            <w:rFonts w:ascii="IRNazanin" w:hAnsi="IRNazanin" w:eastAsia="IRNazanin" w:cs="IRNazanin"/>
            <w:color w:val="111111"/>
            <w:sz w:val="22"/>
            <w:szCs w:val="22"/>
            <w:b w:val="0"/>
            <w:bCs w:val="0"/>
            <w:i w:val="0"/>
            <w:iCs w:val="0"/>
          </w:rPr>
          <w:t>غروي يوسفي ، ميرزا محمود</w:t>
        </w:r>
        <w:r>
          <w:tab/>
        </w:r>
        <w:r>
          <w:fldChar w:fldCharType="begin"/>
        </w:r>
        <w:r>
          <w:instrText xml:space="preserve">PAGEREF 5290 \h</w:instrText>
        </w:r>
        <w:r>
          <w:fldChar w:fldCharType="end"/>
        </w:r>
      </w:hyperlink>
    </w:p>
    <w:p>
      <w:pPr>
        <w:tabs>
          <w:tab w:val="right" w:leader="dot" w:pos="9062"/>
        </w:tabs>
        <w:ind w:left="220"/>
      </w:pPr>
      <w:hyperlink w:anchor="_Toc5291" w:history="1">
        <w:r>
          <w:rPr>
            <w:rFonts w:ascii="IRNazanin" w:hAnsi="IRNazanin" w:eastAsia="IRNazanin" w:cs="IRNazanin"/>
            <w:color w:val="111111"/>
            <w:sz w:val="22"/>
            <w:szCs w:val="22"/>
            <w:b w:val="0"/>
            <w:bCs w:val="0"/>
            <w:i w:val="0"/>
            <w:iCs w:val="0"/>
          </w:rPr>
          <w:t>غريبي ، محمّد بن اسماعیل</w:t>
        </w:r>
        <w:r>
          <w:tab/>
        </w:r>
        <w:r>
          <w:fldChar w:fldCharType="begin"/>
        </w:r>
        <w:r>
          <w:instrText xml:space="preserve">PAGEREF 5291 \h</w:instrText>
        </w:r>
        <w:r>
          <w:fldChar w:fldCharType="end"/>
        </w:r>
      </w:hyperlink>
    </w:p>
    <w:p>
      <w:pPr>
        <w:tabs>
          <w:tab w:val="right" w:leader="dot" w:pos="9062"/>
        </w:tabs>
        <w:ind w:left="220"/>
      </w:pPr>
      <w:hyperlink w:anchor="_Toc5292" w:history="1">
        <w:r>
          <w:rPr>
            <w:rFonts w:ascii="IRNazanin" w:hAnsi="IRNazanin" w:eastAsia="IRNazanin" w:cs="IRNazanin"/>
            <w:color w:val="111111"/>
            <w:sz w:val="22"/>
            <w:szCs w:val="22"/>
            <w:b w:val="0"/>
            <w:bCs w:val="0"/>
            <w:i w:val="0"/>
            <w:iCs w:val="0"/>
          </w:rPr>
          <w:t>غريبي ، يوسف - 954 ه-</w:t>
        </w:r>
        <w:r>
          <w:tab/>
        </w:r>
        <w:r>
          <w:fldChar w:fldCharType="begin"/>
        </w:r>
        <w:r>
          <w:instrText xml:space="preserve">PAGEREF 5292 \h</w:instrText>
        </w:r>
        <w:r>
          <w:fldChar w:fldCharType="end"/>
        </w:r>
      </w:hyperlink>
    </w:p>
    <w:p>
      <w:pPr>
        <w:tabs>
          <w:tab w:val="right" w:leader="dot" w:pos="9062"/>
        </w:tabs>
        <w:ind w:left="220"/>
      </w:pPr>
      <w:hyperlink w:anchor="_Toc5293" w:history="1">
        <w:r>
          <w:rPr>
            <w:rFonts w:ascii="IRNazanin" w:hAnsi="IRNazanin" w:eastAsia="IRNazanin" w:cs="IRNazanin"/>
            <w:color w:val="111111"/>
            <w:sz w:val="22"/>
            <w:szCs w:val="22"/>
            <w:b w:val="0"/>
            <w:bCs w:val="0"/>
            <w:i w:val="0"/>
            <w:iCs w:val="0"/>
          </w:rPr>
          <w:t>غريفي ، عدنان</w:t>
        </w:r>
        <w:r>
          <w:tab/>
        </w:r>
        <w:r>
          <w:fldChar w:fldCharType="begin"/>
        </w:r>
        <w:r>
          <w:instrText xml:space="preserve">PAGEREF 5293 \h</w:instrText>
        </w:r>
        <w:r>
          <w:fldChar w:fldCharType="end"/>
        </w:r>
      </w:hyperlink>
    </w:p>
    <w:p>
      <w:pPr>
        <w:tabs>
          <w:tab w:val="right" w:leader="dot" w:pos="9062"/>
        </w:tabs>
        <w:ind w:left="220"/>
      </w:pPr>
      <w:hyperlink w:anchor="_Toc5294" w:history="1">
        <w:r>
          <w:rPr>
            <w:rFonts w:ascii="IRNazanin" w:hAnsi="IRNazanin" w:eastAsia="IRNazanin" w:cs="IRNazanin"/>
            <w:color w:val="111111"/>
            <w:sz w:val="22"/>
            <w:szCs w:val="22"/>
            <w:b w:val="0"/>
            <w:bCs w:val="0"/>
            <w:i w:val="0"/>
            <w:iCs w:val="0"/>
          </w:rPr>
          <w:t>غريفي ، علي بن محمّد قرن 13 ه-</w:t>
        </w:r>
        <w:r>
          <w:tab/>
        </w:r>
        <w:r>
          <w:fldChar w:fldCharType="begin"/>
        </w:r>
        <w:r>
          <w:instrText xml:space="preserve">PAGEREF 5294 \h</w:instrText>
        </w:r>
        <w:r>
          <w:fldChar w:fldCharType="end"/>
        </w:r>
      </w:hyperlink>
    </w:p>
    <w:p>
      <w:pPr>
        <w:tabs>
          <w:tab w:val="right" w:leader="dot" w:pos="9062"/>
        </w:tabs>
        <w:ind w:left="220"/>
      </w:pPr>
      <w:hyperlink w:anchor="_Toc5295" w:history="1">
        <w:r>
          <w:rPr>
            <w:rFonts w:ascii="IRNazanin" w:hAnsi="IRNazanin" w:eastAsia="IRNazanin" w:cs="IRNazanin"/>
            <w:color w:val="111111"/>
            <w:sz w:val="22"/>
            <w:szCs w:val="22"/>
            <w:b w:val="0"/>
            <w:bCs w:val="0"/>
            <w:i w:val="0"/>
            <w:iCs w:val="0"/>
          </w:rPr>
          <w:t>غزالي ، احمد بن تاج الدين - 1169 ه-</w:t>
        </w:r>
        <w:r>
          <w:tab/>
        </w:r>
        <w:r>
          <w:fldChar w:fldCharType="begin"/>
        </w:r>
        <w:r>
          <w:instrText xml:space="preserve">PAGEREF 5295 \h</w:instrText>
        </w:r>
        <w:r>
          <w:fldChar w:fldCharType="end"/>
        </w:r>
      </w:hyperlink>
    </w:p>
    <w:p>
      <w:pPr>
        <w:tabs>
          <w:tab w:val="right" w:leader="dot" w:pos="9062"/>
        </w:tabs>
        <w:ind w:left="220"/>
      </w:pPr>
      <w:hyperlink w:anchor="_Toc5296" w:history="1">
        <w:r>
          <w:rPr>
            <w:rFonts w:ascii="IRNazanin" w:hAnsi="IRNazanin" w:eastAsia="IRNazanin" w:cs="IRNazanin"/>
            <w:color w:val="111111"/>
            <w:sz w:val="22"/>
            <w:szCs w:val="22"/>
            <w:b w:val="0"/>
            <w:bCs w:val="0"/>
            <w:i w:val="0"/>
            <w:iCs w:val="0"/>
          </w:rPr>
          <w:t>غزالي ، احمد بن محمّد - 520 ه-</w:t>
        </w:r>
        <w:r>
          <w:tab/>
        </w:r>
        <w:r>
          <w:fldChar w:fldCharType="begin"/>
        </w:r>
        <w:r>
          <w:instrText xml:space="preserve">PAGEREF 5296 \h</w:instrText>
        </w:r>
        <w:r>
          <w:fldChar w:fldCharType="end"/>
        </w:r>
      </w:hyperlink>
    </w:p>
    <w:p>
      <w:pPr>
        <w:tabs>
          <w:tab w:val="right" w:leader="dot" w:pos="9062"/>
        </w:tabs>
        <w:ind w:left="220"/>
      </w:pPr>
      <w:hyperlink w:anchor="_Toc5297" w:history="1">
        <w:r>
          <w:rPr>
            <w:rFonts w:ascii="IRNazanin" w:hAnsi="IRNazanin" w:eastAsia="IRNazanin" w:cs="IRNazanin"/>
            <w:color w:val="111111"/>
            <w:sz w:val="22"/>
            <w:szCs w:val="22"/>
            <w:b w:val="0"/>
            <w:bCs w:val="0"/>
            <w:i w:val="0"/>
            <w:iCs w:val="0"/>
          </w:rPr>
          <w:t>غزالي، عبد النصير بن ابراهيم</w:t>
        </w:r>
        <w:r>
          <w:tab/>
        </w:r>
        <w:r>
          <w:fldChar w:fldCharType="begin"/>
        </w:r>
        <w:r>
          <w:instrText xml:space="preserve">PAGEREF 5297 \h</w:instrText>
        </w:r>
        <w:r>
          <w:fldChar w:fldCharType="end"/>
        </w:r>
      </w:hyperlink>
    </w:p>
    <w:p>
      <w:pPr>
        <w:tabs>
          <w:tab w:val="right" w:leader="dot" w:pos="9062"/>
        </w:tabs>
        <w:ind w:left="220"/>
      </w:pPr>
      <w:hyperlink w:anchor="_Toc5298" w:history="1">
        <w:r>
          <w:rPr>
            <w:rFonts w:ascii="IRNazanin" w:hAnsi="IRNazanin" w:eastAsia="IRNazanin" w:cs="IRNazanin"/>
            <w:color w:val="111111"/>
            <w:sz w:val="22"/>
            <w:szCs w:val="22"/>
            <w:b w:val="0"/>
            <w:bCs w:val="0"/>
            <w:i w:val="0"/>
            <w:iCs w:val="0"/>
          </w:rPr>
          <w:t>غزالي ، محمّد بن محمّد، 450 - 505 ه-</w:t>
        </w:r>
        <w:r>
          <w:tab/>
        </w:r>
        <w:r>
          <w:fldChar w:fldCharType="begin"/>
        </w:r>
        <w:r>
          <w:instrText xml:space="preserve">PAGEREF 5298 \h</w:instrText>
        </w:r>
        <w:r>
          <w:fldChar w:fldCharType="end"/>
        </w:r>
      </w:hyperlink>
    </w:p>
    <w:p>
      <w:pPr>
        <w:tabs>
          <w:tab w:val="right" w:leader="dot" w:pos="9062"/>
        </w:tabs>
        <w:ind w:left="220"/>
      </w:pPr>
      <w:hyperlink w:anchor="_Toc5299" w:history="1">
        <w:r>
          <w:rPr>
            <w:rFonts w:ascii="IRNazanin" w:hAnsi="IRNazanin" w:eastAsia="IRNazanin" w:cs="IRNazanin"/>
            <w:color w:val="111111"/>
            <w:sz w:val="22"/>
            <w:szCs w:val="22"/>
            <w:b w:val="0"/>
            <w:bCs w:val="0"/>
            <w:i w:val="0"/>
            <w:iCs w:val="0"/>
          </w:rPr>
          <w:t>غزايي ، محمود بن محمّد قرن 13 ه-</w:t>
        </w:r>
        <w:r>
          <w:tab/>
        </w:r>
        <w:r>
          <w:fldChar w:fldCharType="begin"/>
        </w:r>
        <w:r>
          <w:instrText xml:space="preserve">PAGEREF 5299 \h</w:instrText>
        </w:r>
        <w:r>
          <w:fldChar w:fldCharType="end"/>
        </w:r>
      </w:hyperlink>
    </w:p>
    <w:p>
      <w:pPr>
        <w:tabs>
          <w:tab w:val="right" w:leader="dot" w:pos="9062"/>
        </w:tabs>
        <w:ind w:left="220"/>
      </w:pPr>
      <w:hyperlink w:anchor="_Toc5300" w:history="1">
        <w:r>
          <w:rPr>
            <w:rFonts w:ascii="IRNazanin" w:hAnsi="IRNazanin" w:eastAsia="IRNazanin" w:cs="IRNazanin"/>
            <w:color w:val="111111"/>
            <w:sz w:val="22"/>
            <w:szCs w:val="22"/>
            <w:b w:val="0"/>
            <w:bCs w:val="0"/>
            <w:i w:val="0"/>
            <w:iCs w:val="0"/>
          </w:rPr>
          <w:t>غزنوي، ابراهيم بن يوسف ، قرن 7 ه-</w:t>
        </w:r>
        <w:r>
          <w:tab/>
        </w:r>
        <w:r>
          <w:fldChar w:fldCharType="begin"/>
        </w:r>
        <w:r>
          <w:instrText xml:space="preserve">PAGEREF 5300 \h</w:instrText>
        </w:r>
        <w:r>
          <w:fldChar w:fldCharType="end"/>
        </w:r>
      </w:hyperlink>
    </w:p>
    <w:p>
      <w:pPr>
        <w:tabs>
          <w:tab w:val="right" w:leader="dot" w:pos="9062"/>
        </w:tabs>
        <w:ind w:left="220"/>
      </w:pPr>
      <w:hyperlink w:anchor="_Toc5301" w:history="1">
        <w:r>
          <w:rPr>
            <w:rFonts w:ascii="IRNazanin" w:hAnsi="IRNazanin" w:eastAsia="IRNazanin" w:cs="IRNazanin"/>
            <w:color w:val="111111"/>
            <w:sz w:val="22"/>
            <w:szCs w:val="22"/>
            <w:b w:val="0"/>
            <w:bCs w:val="0"/>
            <w:i w:val="0"/>
            <w:iCs w:val="0"/>
          </w:rPr>
          <w:t>غزنوي ، احمد بن محمّد - 593 ه-</w:t>
        </w:r>
        <w:r>
          <w:tab/>
        </w:r>
        <w:r>
          <w:fldChar w:fldCharType="begin"/>
        </w:r>
        <w:r>
          <w:instrText xml:space="preserve">PAGEREF 5301 \h</w:instrText>
        </w:r>
        <w:r>
          <w:fldChar w:fldCharType="end"/>
        </w:r>
      </w:hyperlink>
    </w:p>
    <w:p>
      <w:pPr>
        <w:tabs>
          <w:tab w:val="right" w:leader="dot" w:pos="9062"/>
        </w:tabs>
        <w:ind w:left="220"/>
      </w:pPr>
      <w:hyperlink w:anchor="_Toc5302" w:history="1">
        <w:r>
          <w:rPr>
            <w:rFonts w:ascii="IRNazanin" w:hAnsi="IRNazanin" w:eastAsia="IRNazanin" w:cs="IRNazanin"/>
            <w:color w:val="111111"/>
            <w:sz w:val="22"/>
            <w:szCs w:val="22"/>
            <w:b w:val="0"/>
            <w:bCs w:val="0"/>
            <w:i w:val="0"/>
            <w:iCs w:val="0"/>
          </w:rPr>
          <w:t>غزنوي ، عبد الرحمن بن سيف الدين</w:t>
        </w:r>
        <w:r>
          <w:tab/>
        </w:r>
        <w:r>
          <w:fldChar w:fldCharType="begin"/>
        </w:r>
        <w:r>
          <w:instrText xml:space="preserve">PAGEREF 5302 \h</w:instrText>
        </w:r>
        <w:r>
          <w:fldChar w:fldCharType="end"/>
        </w:r>
      </w:hyperlink>
    </w:p>
    <w:p>
      <w:pPr>
        <w:tabs>
          <w:tab w:val="right" w:leader="dot" w:pos="9062"/>
        </w:tabs>
        <w:ind w:left="220"/>
      </w:pPr>
      <w:hyperlink w:anchor="_Toc5303" w:history="1">
        <w:r>
          <w:rPr>
            <w:rFonts w:ascii="IRNazanin" w:hAnsi="IRNazanin" w:eastAsia="IRNazanin" w:cs="IRNazanin"/>
            <w:color w:val="111111"/>
            <w:sz w:val="22"/>
            <w:szCs w:val="22"/>
            <w:b w:val="0"/>
            <w:bCs w:val="0"/>
            <w:i w:val="0"/>
            <w:iCs w:val="0"/>
          </w:rPr>
          <w:t>غزنوي، عبدالصمد بن محمود</w:t>
        </w:r>
        <w:r>
          <w:tab/>
        </w:r>
        <w:r>
          <w:fldChar w:fldCharType="begin"/>
        </w:r>
        <w:r>
          <w:instrText xml:space="preserve">PAGEREF 5303 \h</w:instrText>
        </w:r>
        <w:r>
          <w:fldChar w:fldCharType="end"/>
        </w:r>
      </w:hyperlink>
    </w:p>
    <w:p>
      <w:pPr>
        <w:tabs>
          <w:tab w:val="right" w:leader="dot" w:pos="9062"/>
        </w:tabs>
        <w:ind w:left="220"/>
      </w:pPr>
      <w:hyperlink w:anchor="_Toc5304" w:history="1">
        <w:r>
          <w:rPr>
            <w:rFonts w:ascii="IRNazanin" w:hAnsi="IRNazanin" w:eastAsia="IRNazanin" w:cs="IRNazanin"/>
            <w:color w:val="111111"/>
            <w:sz w:val="22"/>
            <w:szCs w:val="22"/>
            <w:b w:val="0"/>
            <w:bCs w:val="0"/>
            <w:i w:val="0"/>
            <w:iCs w:val="0"/>
          </w:rPr>
          <w:t>غزنوي، عمر بن اسحاق، 714 - 773 773 ه-</w:t>
        </w:r>
        <w:r>
          <w:tab/>
        </w:r>
        <w:r>
          <w:fldChar w:fldCharType="begin"/>
        </w:r>
        <w:r>
          <w:instrText xml:space="preserve">PAGEREF 5304 \h</w:instrText>
        </w:r>
        <w:r>
          <w:fldChar w:fldCharType="end"/>
        </w:r>
      </w:hyperlink>
    </w:p>
    <w:p>
      <w:pPr>
        <w:tabs>
          <w:tab w:val="right" w:leader="dot" w:pos="9062"/>
        </w:tabs>
        <w:ind w:left="220"/>
      </w:pPr>
      <w:hyperlink w:anchor="_Toc5305" w:history="1">
        <w:r>
          <w:rPr>
            <w:rFonts w:ascii="IRNazanin" w:hAnsi="IRNazanin" w:eastAsia="IRNazanin" w:cs="IRNazanin"/>
            <w:color w:val="111111"/>
            <w:sz w:val="22"/>
            <w:szCs w:val="22"/>
            <w:b w:val="0"/>
            <w:bCs w:val="0"/>
            <w:i w:val="0"/>
            <w:iCs w:val="0"/>
          </w:rPr>
          <w:t>غزنوي ، قاسم بن حسين - 801 ه-</w:t>
        </w:r>
        <w:r>
          <w:tab/>
        </w:r>
        <w:r>
          <w:fldChar w:fldCharType="begin"/>
        </w:r>
        <w:r>
          <w:instrText xml:space="preserve">PAGEREF 5305 \h</w:instrText>
        </w:r>
        <w:r>
          <w:fldChar w:fldCharType="end"/>
        </w:r>
      </w:hyperlink>
    </w:p>
    <w:p>
      <w:pPr>
        <w:tabs>
          <w:tab w:val="right" w:leader="dot" w:pos="9062"/>
        </w:tabs>
        <w:ind w:left="220"/>
      </w:pPr>
      <w:hyperlink w:anchor="_Toc5306" w:history="1">
        <w:r>
          <w:rPr>
            <w:rFonts w:ascii="IRNazanin" w:hAnsi="IRNazanin" w:eastAsia="IRNazanin" w:cs="IRNazanin"/>
            <w:color w:val="111111"/>
            <w:sz w:val="22"/>
            <w:szCs w:val="22"/>
            <w:b w:val="0"/>
            <w:bCs w:val="0"/>
            <w:i w:val="0"/>
            <w:iCs w:val="0"/>
          </w:rPr>
          <w:t>غزنوي، منصور بن مسعود قرن 6 ه-</w:t>
        </w:r>
        <w:r>
          <w:tab/>
        </w:r>
        <w:r>
          <w:fldChar w:fldCharType="begin"/>
        </w:r>
        <w:r>
          <w:instrText xml:space="preserve">PAGEREF 5306 \h</w:instrText>
        </w:r>
        <w:r>
          <w:fldChar w:fldCharType="end"/>
        </w:r>
      </w:hyperlink>
    </w:p>
    <w:p>
      <w:pPr>
        <w:tabs>
          <w:tab w:val="right" w:leader="dot" w:pos="9062"/>
        </w:tabs>
        <w:ind w:left="220"/>
      </w:pPr>
      <w:hyperlink w:anchor="_Toc5307" w:history="1">
        <w:r>
          <w:rPr>
            <w:rFonts w:ascii="IRNazanin" w:hAnsi="IRNazanin" w:eastAsia="IRNazanin" w:cs="IRNazanin"/>
            <w:color w:val="111111"/>
            <w:sz w:val="22"/>
            <w:szCs w:val="22"/>
            <w:b w:val="0"/>
            <w:bCs w:val="0"/>
            <w:i w:val="0"/>
            <w:iCs w:val="0"/>
          </w:rPr>
          <w:t>غزي ، ابراهيم بن عثمان، 441 - 524 ه-</w:t>
        </w:r>
        <w:r>
          <w:tab/>
        </w:r>
        <w:r>
          <w:fldChar w:fldCharType="begin"/>
        </w:r>
        <w:r>
          <w:instrText xml:space="preserve">PAGEREF 5307 \h</w:instrText>
        </w:r>
        <w:r>
          <w:fldChar w:fldCharType="end"/>
        </w:r>
      </w:hyperlink>
    </w:p>
    <w:p>
      <w:pPr>
        <w:tabs>
          <w:tab w:val="right" w:leader="dot" w:pos="9062"/>
        </w:tabs>
        <w:ind w:left="220"/>
      </w:pPr>
      <w:hyperlink w:anchor="_Toc5308" w:history="1">
        <w:r>
          <w:rPr>
            <w:rFonts w:ascii="IRNazanin" w:hAnsi="IRNazanin" w:eastAsia="IRNazanin" w:cs="IRNazanin"/>
            <w:color w:val="111111"/>
            <w:sz w:val="22"/>
            <w:szCs w:val="22"/>
            <w:b w:val="0"/>
            <w:bCs w:val="0"/>
            <w:i w:val="0"/>
            <w:iCs w:val="0"/>
          </w:rPr>
          <w:t>غزي ، احمد بن عبدالكريم - 1143 ه-</w:t>
        </w:r>
        <w:r>
          <w:tab/>
        </w:r>
        <w:r>
          <w:fldChar w:fldCharType="begin"/>
        </w:r>
        <w:r>
          <w:instrText xml:space="preserve">PAGEREF 5308 \h</w:instrText>
        </w:r>
        <w:r>
          <w:fldChar w:fldCharType="end"/>
        </w:r>
      </w:hyperlink>
    </w:p>
    <w:p>
      <w:pPr>
        <w:tabs>
          <w:tab w:val="right" w:leader="dot" w:pos="9062"/>
        </w:tabs>
        <w:ind w:left="220"/>
      </w:pPr>
      <w:hyperlink w:anchor="_Toc5309" w:history="1">
        <w:r>
          <w:rPr>
            <w:rFonts w:ascii="IRNazanin" w:hAnsi="IRNazanin" w:eastAsia="IRNazanin" w:cs="IRNazanin"/>
            <w:color w:val="111111"/>
            <w:sz w:val="22"/>
            <w:szCs w:val="22"/>
            <w:b w:val="0"/>
            <w:bCs w:val="0"/>
            <w:i w:val="0"/>
            <w:iCs w:val="0"/>
          </w:rPr>
          <w:t>غزي ، احمد بن عبدالله 760 - 822 ه-</w:t>
        </w:r>
        <w:r>
          <w:tab/>
        </w:r>
        <w:r>
          <w:fldChar w:fldCharType="begin"/>
        </w:r>
        <w:r>
          <w:instrText xml:space="preserve">PAGEREF 5309 \h</w:instrText>
        </w:r>
        <w:r>
          <w:fldChar w:fldCharType="end"/>
        </w:r>
      </w:hyperlink>
    </w:p>
    <w:p>
      <w:pPr>
        <w:tabs>
          <w:tab w:val="right" w:leader="dot" w:pos="9062"/>
        </w:tabs>
        <w:ind w:left="220"/>
      </w:pPr>
      <w:hyperlink w:anchor="_Toc5310" w:history="1">
        <w:r>
          <w:rPr>
            <w:rFonts w:ascii="IRNazanin" w:hAnsi="IRNazanin" w:eastAsia="IRNazanin" w:cs="IRNazanin"/>
            <w:color w:val="111111"/>
            <w:sz w:val="22"/>
            <w:szCs w:val="22"/>
            <w:b w:val="0"/>
            <w:bCs w:val="0"/>
            <w:i w:val="0"/>
            <w:iCs w:val="0"/>
          </w:rPr>
          <w:t>غزي ،تمرتاشي محمّد بن صالح -1035ه-</w:t>
        </w:r>
        <w:r>
          <w:tab/>
        </w:r>
        <w:r>
          <w:fldChar w:fldCharType="begin"/>
        </w:r>
        <w:r>
          <w:instrText xml:space="preserve">PAGEREF 5310 \h</w:instrText>
        </w:r>
        <w:r>
          <w:fldChar w:fldCharType="end"/>
        </w:r>
      </w:hyperlink>
    </w:p>
    <w:p>
      <w:pPr>
        <w:tabs>
          <w:tab w:val="right" w:leader="dot" w:pos="9062"/>
        </w:tabs>
        <w:ind w:left="220"/>
      </w:pPr>
      <w:hyperlink w:anchor="_Toc5311" w:history="1">
        <w:r>
          <w:rPr>
            <w:rFonts w:ascii="IRNazanin" w:hAnsi="IRNazanin" w:eastAsia="IRNazanin" w:cs="IRNazanin"/>
            <w:color w:val="111111"/>
            <w:sz w:val="22"/>
            <w:szCs w:val="22"/>
            <w:b w:val="0"/>
            <w:bCs w:val="0"/>
            <w:i w:val="0"/>
            <w:iCs w:val="0"/>
          </w:rPr>
          <w:t>غزي ، راشد بن خلف، قرن 10 ه-</w:t>
        </w:r>
        <w:r>
          <w:tab/>
        </w:r>
        <w:r>
          <w:fldChar w:fldCharType="begin"/>
        </w:r>
        <w:r>
          <w:instrText xml:space="preserve">PAGEREF 5311 \h</w:instrText>
        </w:r>
        <w:r>
          <w:fldChar w:fldCharType="end"/>
        </w:r>
      </w:hyperlink>
    </w:p>
    <w:p>
      <w:pPr>
        <w:tabs>
          <w:tab w:val="right" w:leader="dot" w:pos="9062"/>
        </w:tabs>
        <w:ind w:left="220"/>
      </w:pPr>
      <w:hyperlink w:anchor="_Toc5312" w:history="1">
        <w:r>
          <w:rPr>
            <w:rFonts w:ascii="IRNazanin" w:hAnsi="IRNazanin" w:eastAsia="IRNazanin" w:cs="IRNazanin"/>
            <w:color w:val="111111"/>
            <w:sz w:val="22"/>
            <w:szCs w:val="22"/>
            <w:b w:val="0"/>
            <w:bCs w:val="0"/>
            <w:i w:val="0"/>
            <w:iCs w:val="0"/>
          </w:rPr>
          <w:t>غزي زاده ، عبد اللطيف بن محمّد -</w:t>
        </w:r>
        <w:r>
          <w:tab/>
        </w:r>
        <w:r>
          <w:fldChar w:fldCharType="begin"/>
        </w:r>
        <w:r>
          <w:instrText xml:space="preserve">PAGEREF 5312 \h</w:instrText>
        </w:r>
        <w:r>
          <w:fldChar w:fldCharType="end"/>
        </w:r>
      </w:hyperlink>
    </w:p>
    <w:p>
      <w:pPr>
        <w:tabs>
          <w:tab w:val="right" w:leader="dot" w:pos="9062"/>
        </w:tabs>
        <w:ind w:left="220"/>
      </w:pPr>
      <w:hyperlink w:anchor="_Toc5313" w:history="1">
        <w:r>
          <w:rPr>
            <w:rFonts w:ascii="IRNazanin" w:hAnsi="IRNazanin" w:eastAsia="IRNazanin" w:cs="IRNazanin"/>
            <w:color w:val="111111"/>
            <w:sz w:val="22"/>
            <w:szCs w:val="22"/>
            <w:b w:val="0"/>
            <w:bCs w:val="0"/>
            <w:i w:val="0"/>
            <w:iCs w:val="0"/>
          </w:rPr>
          <w:t>غزي، سليمان بن حسن قرن 8 ه-</w:t>
        </w:r>
        <w:r>
          <w:tab/>
        </w:r>
        <w:r>
          <w:fldChar w:fldCharType="begin"/>
        </w:r>
        <w:r>
          <w:instrText xml:space="preserve">PAGEREF 5313 \h</w:instrText>
        </w:r>
        <w:r>
          <w:fldChar w:fldCharType="end"/>
        </w:r>
      </w:hyperlink>
    </w:p>
    <w:p>
      <w:pPr>
        <w:tabs>
          <w:tab w:val="right" w:leader="dot" w:pos="9062"/>
        </w:tabs>
        <w:ind w:left="220"/>
      </w:pPr>
      <w:hyperlink w:anchor="_Toc5314" w:history="1">
        <w:r>
          <w:rPr>
            <w:rFonts w:ascii="IRNazanin" w:hAnsi="IRNazanin" w:eastAsia="IRNazanin" w:cs="IRNazanin"/>
            <w:color w:val="111111"/>
            <w:sz w:val="22"/>
            <w:szCs w:val="22"/>
            <w:b w:val="0"/>
            <w:bCs w:val="0"/>
            <w:i w:val="0"/>
            <w:iCs w:val="0"/>
          </w:rPr>
          <w:t>غزي عامري، محمّد بن محمّد 904 -</w:t>
        </w:r>
        <w:r>
          <w:tab/>
        </w:r>
        <w:r>
          <w:fldChar w:fldCharType="begin"/>
        </w:r>
        <w:r>
          <w:instrText xml:space="preserve">PAGEREF 5314 \h</w:instrText>
        </w:r>
        <w:r>
          <w:fldChar w:fldCharType="end"/>
        </w:r>
      </w:hyperlink>
    </w:p>
    <w:p>
      <w:pPr>
        <w:tabs>
          <w:tab w:val="right" w:leader="dot" w:pos="9062"/>
        </w:tabs>
        <w:ind w:left="220"/>
      </w:pPr>
      <w:hyperlink w:anchor="_Toc5315" w:history="1">
        <w:r>
          <w:rPr>
            <w:rFonts w:ascii="IRNazanin" w:hAnsi="IRNazanin" w:eastAsia="IRNazanin" w:cs="IRNazanin"/>
            <w:color w:val="111111"/>
            <w:sz w:val="22"/>
            <w:szCs w:val="22"/>
            <w:b w:val="0"/>
            <w:bCs w:val="0"/>
            <w:i w:val="0"/>
            <w:iCs w:val="0"/>
          </w:rPr>
          <w:t>غزي عامري ، محمّد بن محمّد 977 -</w:t>
        </w:r>
        <w:r>
          <w:tab/>
        </w:r>
        <w:r>
          <w:fldChar w:fldCharType="begin"/>
        </w:r>
        <w:r>
          <w:instrText xml:space="preserve">PAGEREF 5315 \h</w:instrText>
        </w:r>
        <w:r>
          <w:fldChar w:fldCharType="end"/>
        </w:r>
      </w:hyperlink>
    </w:p>
    <w:p>
      <w:pPr>
        <w:tabs>
          <w:tab w:val="right" w:leader="dot" w:pos="9062"/>
        </w:tabs>
        <w:ind w:left="220"/>
      </w:pPr>
      <w:hyperlink w:anchor="_Toc5316" w:history="1">
        <w:r>
          <w:rPr>
            <w:rFonts w:ascii="IRNazanin" w:hAnsi="IRNazanin" w:eastAsia="IRNazanin" w:cs="IRNazanin"/>
            <w:color w:val="111111"/>
            <w:sz w:val="22"/>
            <w:szCs w:val="22"/>
            <w:b w:val="0"/>
            <w:bCs w:val="0"/>
            <w:i w:val="0"/>
            <w:iCs w:val="0"/>
          </w:rPr>
          <w:t>غزي عامري ، محمّد بن محمّد 904 -</w:t>
        </w:r>
        <w:r>
          <w:tab/>
        </w:r>
        <w:r>
          <w:fldChar w:fldCharType="begin"/>
        </w:r>
        <w:r>
          <w:instrText xml:space="preserve">PAGEREF 5316 \h</w:instrText>
        </w:r>
        <w:r>
          <w:fldChar w:fldCharType="end"/>
        </w:r>
      </w:hyperlink>
    </w:p>
    <w:p>
      <w:pPr>
        <w:tabs>
          <w:tab w:val="right" w:leader="dot" w:pos="9062"/>
        </w:tabs>
        <w:ind w:left="220"/>
      </w:pPr>
      <w:hyperlink w:anchor="_Toc5317" w:history="1">
        <w:r>
          <w:rPr>
            <w:rFonts w:ascii="IRNazanin" w:hAnsi="IRNazanin" w:eastAsia="IRNazanin" w:cs="IRNazanin"/>
            <w:color w:val="111111"/>
            <w:sz w:val="22"/>
            <w:szCs w:val="22"/>
            <w:b w:val="0"/>
            <w:bCs w:val="0"/>
            <w:i w:val="0"/>
            <w:iCs w:val="0"/>
          </w:rPr>
          <w:t>غزي عامري ، محمّد بن محمّد 862 -</w:t>
        </w:r>
        <w:r>
          <w:tab/>
        </w:r>
        <w:r>
          <w:fldChar w:fldCharType="begin"/>
        </w:r>
        <w:r>
          <w:instrText xml:space="preserve">PAGEREF 5317 \h</w:instrText>
        </w:r>
        <w:r>
          <w:fldChar w:fldCharType="end"/>
        </w:r>
      </w:hyperlink>
    </w:p>
    <w:p>
      <w:pPr>
        <w:tabs>
          <w:tab w:val="right" w:leader="dot" w:pos="9062"/>
        </w:tabs>
        <w:ind w:left="220"/>
      </w:pPr>
      <w:hyperlink w:anchor="_Toc5318" w:history="1">
        <w:r>
          <w:rPr>
            <w:rFonts w:ascii="IRNazanin" w:hAnsi="IRNazanin" w:eastAsia="IRNazanin" w:cs="IRNazanin"/>
            <w:color w:val="111111"/>
            <w:sz w:val="22"/>
            <w:szCs w:val="22"/>
            <w:b w:val="0"/>
            <w:bCs w:val="0"/>
            <w:i w:val="0"/>
            <w:iCs w:val="0"/>
          </w:rPr>
          <w:t>غزي عامري ، محمّد بن محمّد 904 - 984ه-</w:t>
        </w:r>
        <w:r>
          <w:tab/>
        </w:r>
        <w:r>
          <w:fldChar w:fldCharType="begin"/>
        </w:r>
        <w:r>
          <w:instrText xml:space="preserve">PAGEREF 5318 \h</w:instrText>
        </w:r>
        <w:r>
          <w:fldChar w:fldCharType="end"/>
        </w:r>
      </w:hyperlink>
    </w:p>
    <w:p>
      <w:pPr>
        <w:tabs>
          <w:tab w:val="right" w:leader="dot" w:pos="9062"/>
        </w:tabs>
        <w:ind w:left="220"/>
      </w:pPr>
      <w:hyperlink w:anchor="_Toc5319" w:history="1">
        <w:r>
          <w:rPr>
            <w:rFonts w:ascii="IRNazanin" w:hAnsi="IRNazanin" w:eastAsia="IRNazanin" w:cs="IRNazanin"/>
            <w:color w:val="111111"/>
            <w:sz w:val="22"/>
            <w:szCs w:val="22"/>
            <w:b w:val="0"/>
            <w:bCs w:val="0"/>
            <w:i w:val="0"/>
            <w:iCs w:val="0"/>
          </w:rPr>
          <w:t>غزي عامري ، محمّد بن محمّد، 977 -</w:t>
        </w:r>
        <w:r>
          <w:tab/>
        </w:r>
        <w:r>
          <w:fldChar w:fldCharType="begin"/>
        </w:r>
        <w:r>
          <w:instrText xml:space="preserve">PAGEREF 5319 \h</w:instrText>
        </w:r>
        <w:r>
          <w:fldChar w:fldCharType="end"/>
        </w:r>
      </w:hyperlink>
    </w:p>
    <w:p>
      <w:pPr>
        <w:tabs>
          <w:tab w:val="right" w:leader="dot" w:pos="9062"/>
        </w:tabs>
        <w:ind w:left="220"/>
      </w:pPr>
      <w:hyperlink w:anchor="_Toc5320" w:history="1">
        <w:r>
          <w:rPr>
            <w:rFonts w:ascii="IRNazanin" w:hAnsi="IRNazanin" w:eastAsia="IRNazanin" w:cs="IRNazanin"/>
            <w:color w:val="111111"/>
            <w:sz w:val="22"/>
            <w:szCs w:val="22"/>
            <w:b w:val="0"/>
            <w:bCs w:val="0"/>
            <w:i w:val="0"/>
            <w:iCs w:val="0"/>
          </w:rPr>
          <w:t>غزي عامري ، محمّد بن محمّد 862 -</w:t>
        </w:r>
        <w:r>
          <w:tab/>
        </w:r>
        <w:r>
          <w:fldChar w:fldCharType="begin"/>
        </w:r>
        <w:r>
          <w:instrText xml:space="preserve">PAGEREF 5320 \h</w:instrText>
        </w:r>
        <w:r>
          <w:fldChar w:fldCharType="end"/>
        </w:r>
      </w:hyperlink>
    </w:p>
    <w:p>
      <w:pPr>
        <w:tabs>
          <w:tab w:val="right" w:leader="dot" w:pos="9062"/>
        </w:tabs>
        <w:ind w:left="220"/>
      </w:pPr>
      <w:hyperlink w:anchor="_Toc5321" w:history="1">
        <w:r>
          <w:rPr>
            <w:rFonts w:ascii="IRNazanin" w:hAnsi="IRNazanin" w:eastAsia="IRNazanin" w:cs="IRNazanin"/>
            <w:color w:val="111111"/>
            <w:sz w:val="22"/>
            <w:szCs w:val="22"/>
            <w:b w:val="0"/>
            <w:bCs w:val="0"/>
            <w:i w:val="0"/>
            <w:iCs w:val="0"/>
          </w:rPr>
          <w:t>غزي عامري ، محمّد بن محمّد 862 -</w:t>
        </w:r>
        <w:r>
          <w:tab/>
        </w:r>
        <w:r>
          <w:fldChar w:fldCharType="begin"/>
        </w:r>
        <w:r>
          <w:instrText xml:space="preserve">PAGEREF 5321 \h</w:instrText>
        </w:r>
        <w:r>
          <w:fldChar w:fldCharType="end"/>
        </w:r>
      </w:hyperlink>
    </w:p>
    <w:p>
      <w:pPr>
        <w:tabs>
          <w:tab w:val="right" w:leader="dot" w:pos="9062"/>
        </w:tabs>
        <w:ind w:left="220"/>
      </w:pPr>
      <w:hyperlink w:anchor="_Toc5322" w:history="1">
        <w:r>
          <w:rPr>
            <w:rFonts w:ascii="IRNazanin" w:hAnsi="IRNazanin" w:eastAsia="IRNazanin" w:cs="IRNazanin"/>
            <w:color w:val="111111"/>
            <w:sz w:val="22"/>
            <w:szCs w:val="22"/>
            <w:b w:val="0"/>
            <w:bCs w:val="0"/>
            <w:i w:val="0"/>
            <w:iCs w:val="0"/>
          </w:rPr>
          <w:t>غزي عامري ، محمّد بن محمّد 904 -</w:t>
        </w:r>
        <w:r>
          <w:tab/>
        </w:r>
        <w:r>
          <w:fldChar w:fldCharType="begin"/>
        </w:r>
        <w:r>
          <w:instrText xml:space="preserve">PAGEREF 5322 \h</w:instrText>
        </w:r>
        <w:r>
          <w:fldChar w:fldCharType="end"/>
        </w:r>
      </w:hyperlink>
    </w:p>
    <w:p>
      <w:pPr>
        <w:tabs>
          <w:tab w:val="right" w:leader="dot" w:pos="9062"/>
        </w:tabs>
        <w:ind w:left="220"/>
      </w:pPr>
      <w:hyperlink w:anchor="_Toc5323" w:history="1">
        <w:r>
          <w:rPr>
            <w:rFonts w:ascii="IRNazanin" w:hAnsi="IRNazanin" w:eastAsia="IRNazanin" w:cs="IRNazanin"/>
            <w:color w:val="111111"/>
            <w:sz w:val="22"/>
            <w:szCs w:val="22"/>
            <w:b w:val="0"/>
            <w:bCs w:val="0"/>
            <w:i w:val="0"/>
            <w:iCs w:val="0"/>
          </w:rPr>
          <w:t>غزي عامري ، محمّد بن محمّد 977 - 1061ه-</w:t>
        </w:r>
        <w:r>
          <w:tab/>
        </w:r>
        <w:r>
          <w:fldChar w:fldCharType="begin"/>
        </w:r>
        <w:r>
          <w:instrText xml:space="preserve">PAGEREF 5323 \h</w:instrText>
        </w:r>
        <w:r>
          <w:fldChar w:fldCharType="end"/>
        </w:r>
      </w:hyperlink>
    </w:p>
    <w:p>
      <w:pPr>
        <w:tabs>
          <w:tab w:val="right" w:leader="dot" w:pos="9062"/>
        </w:tabs>
        <w:ind w:left="220"/>
      </w:pPr>
      <w:hyperlink w:anchor="_Toc5324" w:history="1">
        <w:r>
          <w:rPr>
            <w:rFonts w:ascii="IRNazanin" w:hAnsi="IRNazanin" w:eastAsia="IRNazanin" w:cs="IRNazanin"/>
            <w:color w:val="111111"/>
            <w:sz w:val="22"/>
            <w:szCs w:val="22"/>
            <w:b w:val="0"/>
            <w:bCs w:val="0"/>
            <w:i w:val="0"/>
            <w:iCs w:val="0"/>
          </w:rPr>
          <w:t>غزي ، عيسى بن عثمان - 799 ه-</w:t>
        </w:r>
        <w:r>
          <w:tab/>
        </w:r>
        <w:r>
          <w:fldChar w:fldCharType="begin"/>
        </w:r>
        <w:r>
          <w:instrText xml:space="preserve">PAGEREF 5324 \h</w:instrText>
        </w:r>
        <w:r>
          <w:fldChar w:fldCharType="end"/>
        </w:r>
      </w:hyperlink>
    </w:p>
    <w:p>
      <w:pPr>
        <w:tabs>
          <w:tab w:val="right" w:leader="dot" w:pos="9062"/>
        </w:tabs>
        <w:ind w:left="220"/>
      </w:pPr>
      <w:hyperlink w:anchor="_Toc5325" w:history="1">
        <w:r>
          <w:rPr>
            <w:rFonts w:ascii="IRNazanin" w:hAnsi="IRNazanin" w:eastAsia="IRNazanin" w:cs="IRNazanin"/>
            <w:color w:val="111111"/>
            <w:sz w:val="22"/>
            <w:szCs w:val="22"/>
            <w:b w:val="0"/>
            <w:bCs w:val="0"/>
            <w:i w:val="0"/>
            <w:iCs w:val="0"/>
          </w:rPr>
          <w:t>غزي ، محمّد</w:t>
        </w:r>
        <w:r>
          <w:tab/>
        </w:r>
        <w:r>
          <w:fldChar w:fldCharType="begin"/>
        </w:r>
        <w:r>
          <w:instrText xml:space="preserve">PAGEREF 5325 \h</w:instrText>
        </w:r>
        <w:r>
          <w:fldChar w:fldCharType="end"/>
        </w:r>
      </w:hyperlink>
    </w:p>
    <w:p>
      <w:pPr>
        <w:tabs>
          <w:tab w:val="right" w:leader="dot" w:pos="9062"/>
        </w:tabs>
        <w:ind w:left="220"/>
      </w:pPr>
      <w:hyperlink w:anchor="_Toc5326" w:history="1">
        <w:r>
          <w:rPr>
            <w:rFonts w:ascii="IRNazanin" w:hAnsi="IRNazanin" w:eastAsia="IRNazanin" w:cs="IRNazanin"/>
            <w:color w:val="111111"/>
            <w:sz w:val="22"/>
            <w:szCs w:val="22"/>
            <w:b w:val="0"/>
            <w:bCs w:val="0"/>
            <w:i w:val="0"/>
            <w:iCs w:val="0"/>
          </w:rPr>
          <w:t>غزي ، محمّد بشير بن محمّد هلال -</w:t>
        </w:r>
        <w:r>
          <w:tab/>
        </w:r>
        <w:r>
          <w:fldChar w:fldCharType="begin"/>
        </w:r>
        <w:r>
          <w:instrText xml:space="preserve">PAGEREF 5326 \h</w:instrText>
        </w:r>
        <w:r>
          <w:fldChar w:fldCharType="end"/>
        </w:r>
      </w:hyperlink>
    </w:p>
    <w:p>
      <w:pPr>
        <w:tabs>
          <w:tab w:val="right" w:leader="dot" w:pos="9062"/>
        </w:tabs>
        <w:ind w:left="220"/>
      </w:pPr>
      <w:hyperlink w:anchor="_Toc5327" w:history="1">
        <w:r>
          <w:rPr>
            <w:rFonts w:ascii="IRNazanin" w:hAnsi="IRNazanin" w:eastAsia="IRNazanin" w:cs="IRNazanin"/>
            <w:color w:val="111111"/>
            <w:sz w:val="22"/>
            <w:szCs w:val="22"/>
            <w:b w:val="0"/>
            <w:bCs w:val="0"/>
            <w:i w:val="0"/>
            <w:iCs w:val="0"/>
          </w:rPr>
          <w:t>غزي ، محمّد بن رمضان قرن 10 ه-</w:t>
        </w:r>
        <w:r>
          <w:tab/>
        </w:r>
        <w:r>
          <w:fldChar w:fldCharType="begin"/>
        </w:r>
        <w:r>
          <w:instrText xml:space="preserve">PAGEREF 5327 \h</w:instrText>
        </w:r>
        <w:r>
          <w:fldChar w:fldCharType="end"/>
        </w:r>
      </w:hyperlink>
    </w:p>
    <w:p>
      <w:pPr>
        <w:tabs>
          <w:tab w:val="right" w:leader="dot" w:pos="9062"/>
        </w:tabs>
        <w:ind w:left="220"/>
      </w:pPr>
      <w:hyperlink w:anchor="_Toc5328" w:history="1">
        <w:r>
          <w:rPr>
            <w:rFonts w:ascii="IRNazanin" w:hAnsi="IRNazanin" w:eastAsia="IRNazanin" w:cs="IRNazanin"/>
            <w:color w:val="111111"/>
            <w:sz w:val="22"/>
            <w:szCs w:val="22"/>
            <w:b w:val="0"/>
            <w:bCs w:val="0"/>
            <w:i w:val="0"/>
            <w:iCs w:val="0"/>
          </w:rPr>
          <w:t>غزي ، محمّد بن عبد النبي</w:t>
        </w:r>
        <w:r>
          <w:tab/>
        </w:r>
        <w:r>
          <w:fldChar w:fldCharType="begin"/>
        </w:r>
        <w:r>
          <w:instrText xml:space="preserve">PAGEREF 5328 \h</w:instrText>
        </w:r>
        <w:r>
          <w:fldChar w:fldCharType="end"/>
        </w:r>
      </w:hyperlink>
    </w:p>
    <w:p>
      <w:pPr>
        <w:tabs>
          <w:tab w:val="right" w:leader="dot" w:pos="9062"/>
        </w:tabs>
        <w:ind w:left="220"/>
      </w:pPr>
      <w:hyperlink w:anchor="_Toc5329" w:history="1">
        <w:r>
          <w:rPr>
            <w:rFonts w:ascii="IRNazanin" w:hAnsi="IRNazanin" w:eastAsia="IRNazanin" w:cs="IRNazanin"/>
            <w:color w:val="111111"/>
            <w:sz w:val="22"/>
            <w:szCs w:val="22"/>
            <w:b w:val="0"/>
            <w:bCs w:val="0"/>
            <w:i w:val="0"/>
            <w:iCs w:val="0"/>
          </w:rPr>
          <w:t>غساني، اسماعيل بن عباس 761-803ه-</w:t>
        </w:r>
        <w:r>
          <w:tab/>
        </w:r>
        <w:r>
          <w:fldChar w:fldCharType="begin"/>
        </w:r>
        <w:r>
          <w:instrText xml:space="preserve">PAGEREF 5329 \h</w:instrText>
        </w:r>
        <w:r>
          <w:fldChar w:fldCharType="end"/>
        </w:r>
      </w:hyperlink>
    </w:p>
    <w:p>
      <w:pPr>
        <w:tabs>
          <w:tab w:val="right" w:leader="dot" w:pos="9062"/>
        </w:tabs>
        <w:ind w:left="220"/>
      </w:pPr>
      <w:hyperlink w:anchor="_Toc5330" w:history="1">
        <w:r>
          <w:rPr>
            <w:rFonts w:ascii="IRNazanin" w:hAnsi="IRNazanin" w:eastAsia="IRNazanin" w:cs="IRNazanin"/>
            <w:color w:val="111111"/>
            <w:sz w:val="22"/>
            <w:szCs w:val="22"/>
            <w:b w:val="0"/>
            <w:bCs w:val="0"/>
            <w:i w:val="0"/>
            <w:iCs w:val="0"/>
          </w:rPr>
          <w:t>غساني ، امير عبد القادر بن ابراهيم</w:t>
        </w:r>
        <w:r>
          <w:tab/>
        </w:r>
        <w:r>
          <w:fldChar w:fldCharType="begin"/>
        </w:r>
        <w:r>
          <w:instrText xml:space="preserve">PAGEREF 5330 \h</w:instrText>
        </w:r>
        <w:r>
          <w:fldChar w:fldCharType="end"/>
        </w:r>
      </w:hyperlink>
    </w:p>
    <w:p>
      <w:pPr>
        <w:tabs>
          <w:tab w:val="right" w:leader="dot" w:pos="9062"/>
        </w:tabs>
        <w:ind w:left="220"/>
      </w:pPr>
      <w:hyperlink w:anchor="_Toc5331" w:history="1">
        <w:r>
          <w:rPr>
            <w:rFonts w:ascii="IRNazanin" w:hAnsi="IRNazanin" w:eastAsia="IRNazanin" w:cs="IRNazanin"/>
            <w:color w:val="111111"/>
            <w:sz w:val="22"/>
            <w:szCs w:val="22"/>
            <w:b w:val="0"/>
            <w:bCs w:val="0"/>
            <w:i w:val="0"/>
            <w:iCs w:val="0"/>
          </w:rPr>
          <w:t>غساني ، عباس بن علي - 778 ه-</w:t>
        </w:r>
        <w:r>
          <w:tab/>
        </w:r>
        <w:r>
          <w:fldChar w:fldCharType="begin"/>
        </w:r>
        <w:r>
          <w:instrText xml:space="preserve">PAGEREF 5331 \h</w:instrText>
        </w:r>
        <w:r>
          <w:fldChar w:fldCharType="end"/>
        </w:r>
      </w:hyperlink>
    </w:p>
    <w:p>
      <w:pPr>
        <w:tabs>
          <w:tab w:val="right" w:leader="dot" w:pos="9062"/>
        </w:tabs>
        <w:ind w:left="220"/>
      </w:pPr>
      <w:hyperlink w:anchor="_Toc5332" w:history="1">
        <w:r>
          <w:rPr>
            <w:rFonts w:ascii="IRNazanin" w:hAnsi="IRNazanin" w:eastAsia="IRNazanin" w:cs="IRNazanin"/>
            <w:color w:val="111111"/>
            <w:sz w:val="22"/>
            <w:szCs w:val="22"/>
            <w:b w:val="0"/>
            <w:bCs w:val="0"/>
            <w:i w:val="0"/>
            <w:iCs w:val="0"/>
          </w:rPr>
          <w:t>غساني ، محمّد بن احمد - 385 ه-</w:t>
        </w:r>
        <w:r>
          <w:tab/>
        </w:r>
        <w:r>
          <w:fldChar w:fldCharType="begin"/>
        </w:r>
        <w:r>
          <w:instrText xml:space="preserve">PAGEREF 5332 \h</w:instrText>
        </w:r>
        <w:r>
          <w:fldChar w:fldCharType="end"/>
        </w:r>
      </w:hyperlink>
    </w:p>
    <w:p>
      <w:pPr>
        <w:tabs>
          <w:tab w:val="right" w:leader="dot" w:pos="9062"/>
        </w:tabs>
        <w:ind w:left="220"/>
      </w:pPr>
      <w:hyperlink w:anchor="_Toc5333" w:history="1">
        <w:r>
          <w:rPr>
            <w:rFonts w:ascii="IRNazanin" w:hAnsi="IRNazanin" w:eastAsia="IRNazanin" w:cs="IRNazanin"/>
            <w:color w:val="111111"/>
            <w:sz w:val="22"/>
            <w:szCs w:val="22"/>
            <w:b w:val="0"/>
            <w:bCs w:val="0"/>
            <w:i w:val="0"/>
            <w:iCs w:val="0"/>
          </w:rPr>
          <w:t>غضائري، حسين بن عبيدالله - 411 ه-</w:t>
        </w:r>
        <w:r>
          <w:tab/>
        </w:r>
        <w:r>
          <w:fldChar w:fldCharType="begin"/>
        </w:r>
        <w:r>
          <w:instrText xml:space="preserve">PAGEREF 5333 \h</w:instrText>
        </w:r>
        <w:r>
          <w:fldChar w:fldCharType="end"/>
        </w:r>
      </w:hyperlink>
    </w:p>
    <w:p>
      <w:pPr>
        <w:tabs>
          <w:tab w:val="right" w:leader="dot" w:pos="9062"/>
        </w:tabs>
        <w:ind w:left="220"/>
      </w:pPr>
      <w:hyperlink w:anchor="_Toc5334" w:history="1">
        <w:r>
          <w:rPr>
            <w:rFonts w:ascii="IRNazanin" w:hAnsi="IRNazanin" w:eastAsia="IRNazanin" w:cs="IRNazanin"/>
            <w:color w:val="111111"/>
            <w:sz w:val="22"/>
            <w:szCs w:val="22"/>
            <w:b w:val="0"/>
            <w:bCs w:val="0"/>
            <w:i w:val="0"/>
            <w:iCs w:val="0"/>
          </w:rPr>
          <w:t>غضنفر تبريزي ، ابراهيم بن محمّد 624 -</w:t>
        </w:r>
        <w:r>
          <w:tab/>
        </w:r>
        <w:r>
          <w:fldChar w:fldCharType="begin"/>
        </w:r>
        <w:r>
          <w:instrText xml:space="preserve">PAGEREF 5334 \h</w:instrText>
        </w:r>
        <w:r>
          <w:fldChar w:fldCharType="end"/>
        </w:r>
      </w:hyperlink>
    </w:p>
    <w:p>
      <w:pPr>
        <w:tabs>
          <w:tab w:val="right" w:leader="dot" w:pos="9062"/>
        </w:tabs>
        <w:ind w:left="220"/>
      </w:pPr>
      <w:hyperlink w:anchor="_Toc5335" w:history="1">
        <w:r>
          <w:rPr>
            <w:rFonts w:ascii="IRNazanin" w:hAnsi="IRNazanin" w:eastAsia="IRNazanin" w:cs="IRNazanin"/>
            <w:color w:val="111111"/>
            <w:sz w:val="22"/>
            <w:szCs w:val="22"/>
            <w:b w:val="0"/>
            <w:bCs w:val="0"/>
            <w:i w:val="0"/>
            <w:iCs w:val="0"/>
          </w:rPr>
          <w:t>غطريفي ، محمد بن احمد - 377 ه-</w:t>
        </w:r>
        <w:r>
          <w:tab/>
        </w:r>
        <w:r>
          <w:fldChar w:fldCharType="begin"/>
        </w:r>
        <w:r>
          <w:instrText xml:space="preserve">PAGEREF 5335 \h</w:instrText>
        </w:r>
        <w:r>
          <w:fldChar w:fldCharType="end"/>
        </w:r>
      </w:hyperlink>
    </w:p>
    <w:p>
      <w:pPr>
        <w:tabs>
          <w:tab w:val="right" w:leader="dot" w:pos="9062"/>
        </w:tabs>
        <w:ind w:left="220"/>
      </w:pPr>
      <w:hyperlink w:anchor="_Toc5336" w:history="1">
        <w:r>
          <w:rPr>
            <w:rFonts w:ascii="IRNazanin" w:hAnsi="IRNazanin" w:eastAsia="IRNazanin" w:cs="IRNazanin"/>
            <w:color w:val="111111"/>
            <w:sz w:val="22"/>
            <w:szCs w:val="22"/>
            <w:b w:val="0"/>
            <w:bCs w:val="0"/>
            <w:i w:val="0"/>
            <w:iCs w:val="0"/>
          </w:rPr>
          <w:t>غفاري، حامد بن برهان قرن 10 ه-</w:t>
        </w:r>
        <w:r>
          <w:tab/>
        </w:r>
        <w:r>
          <w:fldChar w:fldCharType="begin"/>
        </w:r>
        <w:r>
          <w:instrText xml:space="preserve">PAGEREF 5336 \h</w:instrText>
        </w:r>
        <w:r>
          <w:fldChar w:fldCharType="end"/>
        </w:r>
      </w:hyperlink>
    </w:p>
    <w:p>
      <w:pPr>
        <w:tabs>
          <w:tab w:val="right" w:leader="dot" w:pos="9062"/>
        </w:tabs>
        <w:ind w:left="220"/>
      </w:pPr>
      <w:hyperlink w:anchor="_Toc5337" w:history="1">
        <w:r>
          <w:rPr>
            <w:rFonts w:ascii="IRNazanin" w:hAnsi="IRNazanin" w:eastAsia="IRNazanin" w:cs="IRNazanin"/>
            <w:color w:val="111111"/>
            <w:sz w:val="22"/>
            <w:szCs w:val="22"/>
            <w:b w:val="0"/>
            <w:bCs w:val="0"/>
            <w:i w:val="0"/>
            <w:iCs w:val="0"/>
          </w:rPr>
          <w:t>غفاري قزويني ، احمد بن محمّد، 900؟</w:t>
        </w:r>
        <w:r>
          <w:tab/>
        </w:r>
        <w:r>
          <w:fldChar w:fldCharType="begin"/>
        </w:r>
        <w:r>
          <w:instrText xml:space="preserve">PAGEREF 5337 \h</w:instrText>
        </w:r>
        <w:r>
          <w:fldChar w:fldCharType="end"/>
        </w:r>
      </w:hyperlink>
    </w:p>
    <w:p>
      <w:pPr>
        <w:tabs>
          <w:tab w:val="right" w:leader="dot" w:pos="9062"/>
        </w:tabs>
        <w:ind w:left="220"/>
      </w:pPr>
      <w:hyperlink w:anchor="_Toc5338" w:history="1">
        <w:r>
          <w:rPr>
            <w:rFonts w:ascii="IRNazanin" w:hAnsi="IRNazanin" w:eastAsia="IRNazanin" w:cs="IRNazanin"/>
            <w:color w:val="111111"/>
            <w:sz w:val="22"/>
            <w:szCs w:val="22"/>
            <w:b w:val="0"/>
            <w:bCs w:val="0"/>
            <w:i w:val="0"/>
            <w:iCs w:val="0"/>
          </w:rPr>
          <w:t>غلام امام بن حكيم بنده علي خان</w:t>
        </w:r>
        <w:r>
          <w:tab/>
        </w:r>
        <w:r>
          <w:fldChar w:fldCharType="begin"/>
        </w:r>
        <w:r>
          <w:instrText xml:space="preserve">PAGEREF 5338 \h</w:instrText>
        </w:r>
        <w:r>
          <w:fldChar w:fldCharType="end"/>
        </w:r>
      </w:hyperlink>
    </w:p>
    <w:p>
      <w:pPr>
        <w:tabs>
          <w:tab w:val="right" w:leader="dot" w:pos="9062"/>
        </w:tabs>
        <w:ind w:left="220"/>
      </w:pPr>
      <w:hyperlink w:anchor="_Toc5339" w:history="1">
        <w:r>
          <w:rPr>
            <w:rFonts w:ascii="IRNazanin" w:hAnsi="IRNazanin" w:eastAsia="IRNazanin" w:cs="IRNazanin"/>
            <w:color w:val="111111"/>
            <w:sz w:val="22"/>
            <w:szCs w:val="22"/>
            <w:b w:val="0"/>
            <w:bCs w:val="0"/>
            <w:i w:val="0"/>
            <w:iCs w:val="0"/>
          </w:rPr>
          <w:t>غلام ثعلب ، محمّد بن عبد الواحد 261 -</w:t>
        </w:r>
        <w:r>
          <w:tab/>
        </w:r>
        <w:r>
          <w:fldChar w:fldCharType="begin"/>
        </w:r>
        <w:r>
          <w:instrText xml:space="preserve">PAGEREF 5339 \h</w:instrText>
        </w:r>
        <w:r>
          <w:fldChar w:fldCharType="end"/>
        </w:r>
      </w:hyperlink>
    </w:p>
    <w:p>
      <w:pPr>
        <w:tabs>
          <w:tab w:val="right" w:leader="dot" w:pos="9062"/>
        </w:tabs>
        <w:ind w:left="220"/>
      </w:pPr>
      <w:hyperlink w:anchor="_Toc5340" w:history="1">
        <w:r>
          <w:rPr>
            <w:rFonts w:ascii="IRNazanin" w:hAnsi="IRNazanin" w:eastAsia="IRNazanin" w:cs="IRNazanin"/>
            <w:color w:val="111111"/>
            <w:sz w:val="22"/>
            <w:szCs w:val="22"/>
            <w:b w:val="0"/>
            <w:bCs w:val="0"/>
            <w:i w:val="0"/>
            <w:iCs w:val="0"/>
          </w:rPr>
          <w:t>غلامعلي بن محمّد</w:t>
        </w:r>
        <w:r>
          <w:tab/>
        </w:r>
        <w:r>
          <w:fldChar w:fldCharType="begin"/>
        </w:r>
        <w:r>
          <w:instrText xml:space="preserve">PAGEREF 5340 \h</w:instrText>
        </w:r>
        <w:r>
          <w:fldChar w:fldCharType="end"/>
        </w:r>
      </w:hyperlink>
    </w:p>
    <w:p>
      <w:pPr>
        <w:tabs>
          <w:tab w:val="right" w:leader="dot" w:pos="9062"/>
        </w:tabs>
        <w:ind w:left="220"/>
      </w:pPr>
      <w:hyperlink w:anchor="_Toc5341" w:history="1">
        <w:r>
          <w:rPr>
            <w:rFonts w:ascii="IRNazanin" w:hAnsi="IRNazanin" w:eastAsia="IRNazanin" w:cs="IRNazanin"/>
            <w:color w:val="111111"/>
            <w:sz w:val="22"/>
            <w:szCs w:val="22"/>
            <w:b w:val="0"/>
            <w:bCs w:val="0"/>
            <w:i w:val="0"/>
            <w:iCs w:val="0"/>
          </w:rPr>
          <w:t>غلامي ، حسين افندي</w:t>
        </w:r>
        <w:r>
          <w:tab/>
        </w:r>
        <w:r>
          <w:fldChar w:fldCharType="begin"/>
        </w:r>
        <w:r>
          <w:instrText xml:space="preserve">PAGEREF 5341 \h</w:instrText>
        </w:r>
        <w:r>
          <w:fldChar w:fldCharType="end"/>
        </w:r>
      </w:hyperlink>
    </w:p>
    <w:p>
      <w:pPr>
        <w:tabs>
          <w:tab w:val="right" w:leader="dot" w:pos="9062"/>
        </w:tabs>
        <w:ind w:left="220"/>
      </w:pPr>
      <w:hyperlink w:anchor="_Toc5342" w:history="1">
        <w:r>
          <w:rPr>
            <w:rFonts w:ascii="IRNazanin" w:hAnsi="IRNazanin" w:eastAsia="IRNazanin" w:cs="IRNazanin"/>
            <w:color w:val="111111"/>
            <w:sz w:val="22"/>
            <w:szCs w:val="22"/>
            <w:b w:val="0"/>
            <w:bCs w:val="0"/>
            <w:i w:val="0"/>
            <w:iCs w:val="0"/>
          </w:rPr>
          <w:t>غلامي ، حسين بن محمّد - 1206 ه-</w:t>
        </w:r>
        <w:r>
          <w:tab/>
        </w:r>
        <w:r>
          <w:fldChar w:fldCharType="begin"/>
        </w:r>
        <w:r>
          <w:instrText xml:space="preserve">PAGEREF 5342 \h</w:instrText>
        </w:r>
        <w:r>
          <w:fldChar w:fldCharType="end"/>
        </w:r>
      </w:hyperlink>
    </w:p>
    <w:p>
      <w:pPr>
        <w:tabs>
          <w:tab w:val="right" w:leader="dot" w:pos="9062"/>
        </w:tabs>
        <w:ind w:left="220"/>
      </w:pPr>
      <w:hyperlink w:anchor="_Toc5343" w:history="1">
        <w:r>
          <w:rPr>
            <w:rFonts w:ascii="IRNazanin" w:hAnsi="IRNazanin" w:eastAsia="IRNazanin" w:cs="IRNazanin"/>
            <w:color w:val="111111"/>
            <w:sz w:val="22"/>
            <w:szCs w:val="22"/>
            <w:b w:val="0"/>
            <w:bCs w:val="0"/>
            <w:i w:val="0"/>
            <w:iCs w:val="0"/>
          </w:rPr>
          <w:t>غلامي ، علي بن مصطفى - 1142 ه-</w:t>
        </w:r>
        <w:r>
          <w:tab/>
        </w:r>
        <w:r>
          <w:fldChar w:fldCharType="begin"/>
        </w:r>
        <w:r>
          <w:instrText xml:space="preserve">PAGEREF 5343 \h</w:instrText>
        </w:r>
        <w:r>
          <w:fldChar w:fldCharType="end"/>
        </w:r>
      </w:hyperlink>
    </w:p>
    <w:p>
      <w:pPr>
        <w:tabs>
          <w:tab w:val="right" w:leader="dot" w:pos="9062"/>
        </w:tabs>
        <w:ind w:left="220"/>
      </w:pPr>
      <w:hyperlink w:anchor="_Toc5344" w:history="1">
        <w:r>
          <w:rPr>
            <w:rFonts w:ascii="IRNazanin" w:hAnsi="IRNazanin" w:eastAsia="IRNazanin" w:cs="IRNazanin"/>
            <w:color w:val="111111"/>
            <w:sz w:val="22"/>
            <w:szCs w:val="22"/>
            <w:b w:val="0"/>
            <w:bCs w:val="0"/>
            <w:i w:val="0"/>
            <w:iCs w:val="0"/>
          </w:rPr>
          <w:t>غلامي ، محمّد بن حسن، - 1240 ؟ ه-</w:t>
        </w:r>
        <w:r>
          <w:tab/>
        </w:r>
        <w:r>
          <w:fldChar w:fldCharType="begin"/>
        </w:r>
        <w:r>
          <w:instrText xml:space="preserve">PAGEREF 5344 \h</w:instrText>
        </w:r>
        <w:r>
          <w:fldChar w:fldCharType="end"/>
        </w:r>
      </w:hyperlink>
    </w:p>
    <w:p>
      <w:pPr>
        <w:tabs>
          <w:tab w:val="right" w:leader="dot" w:pos="9062"/>
        </w:tabs>
        <w:ind w:left="220"/>
      </w:pPr>
      <w:hyperlink w:anchor="_Toc5345" w:history="1">
        <w:r>
          <w:rPr>
            <w:rFonts w:ascii="IRNazanin" w:hAnsi="IRNazanin" w:eastAsia="IRNazanin" w:cs="IRNazanin"/>
            <w:color w:val="111111"/>
            <w:sz w:val="22"/>
            <w:szCs w:val="22"/>
            <w:b w:val="0"/>
            <w:bCs w:val="0"/>
            <w:i w:val="0"/>
            <w:iCs w:val="0"/>
          </w:rPr>
          <w:t>غلامي ، محمّد بن مصطفى - 1176</w:t>
        </w:r>
        <w:r>
          <w:tab/>
        </w:r>
        <w:r>
          <w:fldChar w:fldCharType="begin"/>
        </w:r>
        <w:r>
          <w:instrText xml:space="preserve">PAGEREF 5345 \h</w:instrText>
        </w:r>
        <w:r>
          <w:fldChar w:fldCharType="end"/>
        </w:r>
      </w:hyperlink>
    </w:p>
    <w:p>
      <w:pPr>
        <w:tabs>
          <w:tab w:val="right" w:leader="dot" w:pos="9062"/>
        </w:tabs>
        <w:ind w:left="220"/>
      </w:pPr>
      <w:hyperlink w:anchor="_Toc5346" w:history="1">
        <w:r>
          <w:rPr>
            <w:rFonts w:ascii="IRNazanin" w:hAnsi="IRNazanin" w:eastAsia="IRNazanin" w:cs="IRNazanin"/>
            <w:color w:val="111111"/>
            <w:sz w:val="22"/>
            <w:szCs w:val="22"/>
            <w:b w:val="0"/>
            <w:bCs w:val="0"/>
            <w:i w:val="0"/>
            <w:iCs w:val="0"/>
          </w:rPr>
          <w:t>غمام همداني ، محمّد بن يوسف، 1253 -</w:t>
        </w:r>
        <w:r>
          <w:tab/>
        </w:r>
        <w:r>
          <w:fldChar w:fldCharType="begin"/>
        </w:r>
        <w:r>
          <w:instrText xml:space="preserve">PAGEREF 5346 \h</w:instrText>
        </w:r>
        <w:r>
          <w:fldChar w:fldCharType="end"/>
        </w:r>
      </w:hyperlink>
    </w:p>
    <w:p>
      <w:pPr>
        <w:tabs>
          <w:tab w:val="right" w:leader="dot" w:pos="9062"/>
        </w:tabs>
        <w:ind w:left="220"/>
      </w:pPr>
      <w:hyperlink w:anchor="_Toc5347" w:history="1">
        <w:r>
          <w:rPr>
            <w:rFonts w:ascii="IRNazanin" w:hAnsi="IRNazanin" w:eastAsia="IRNazanin" w:cs="IRNazanin"/>
            <w:color w:val="111111"/>
            <w:sz w:val="22"/>
            <w:szCs w:val="22"/>
            <w:b w:val="0"/>
            <w:bCs w:val="0"/>
            <w:i w:val="0"/>
            <w:iCs w:val="0"/>
          </w:rPr>
          <w:t>غمري ، احمد ، احمد بن محمّد - 905 ه-</w:t>
        </w:r>
        <w:r>
          <w:tab/>
        </w:r>
        <w:r>
          <w:fldChar w:fldCharType="begin"/>
        </w:r>
        <w:r>
          <w:instrText xml:space="preserve">PAGEREF 5347 \h</w:instrText>
        </w:r>
        <w:r>
          <w:fldChar w:fldCharType="end"/>
        </w:r>
      </w:hyperlink>
    </w:p>
    <w:p>
      <w:pPr>
        <w:tabs>
          <w:tab w:val="right" w:leader="dot" w:pos="9062"/>
        </w:tabs>
        <w:ind w:left="220"/>
      </w:pPr>
      <w:hyperlink w:anchor="_Toc5348" w:history="1">
        <w:r>
          <w:rPr>
            <w:rFonts w:ascii="IRNazanin" w:hAnsi="IRNazanin" w:eastAsia="IRNazanin" w:cs="IRNazanin"/>
            <w:color w:val="111111"/>
            <w:sz w:val="22"/>
            <w:szCs w:val="22"/>
            <w:b w:val="0"/>
            <w:bCs w:val="0"/>
            <w:i w:val="0"/>
            <w:iCs w:val="0"/>
          </w:rPr>
          <w:t>غملاس ، عبدالله بن ابراهيم قرن 14 ه-</w:t>
        </w:r>
        <w:r>
          <w:tab/>
        </w:r>
        <w:r>
          <w:fldChar w:fldCharType="begin"/>
        </w:r>
        <w:r>
          <w:instrText xml:space="preserve">PAGEREF 5348 \h</w:instrText>
        </w:r>
        <w:r>
          <w:fldChar w:fldCharType="end"/>
        </w:r>
      </w:hyperlink>
    </w:p>
    <w:p>
      <w:pPr>
        <w:tabs>
          <w:tab w:val="right" w:leader="dot" w:pos="9062"/>
        </w:tabs>
        <w:ind w:left="220"/>
      </w:pPr>
      <w:hyperlink w:anchor="_Toc5349" w:history="1">
        <w:r>
          <w:rPr>
            <w:rFonts w:ascii="IRNazanin" w:hAnsi="IRNazanin" w:eastAsia="IRNazanin" w:cs="IRNazanin"/>
            <w:color w:val="111111"/>
            <w:sz w:val="22"/>
            <w:szCs w:val="22"/>
            <w:b w:val="0"/>
            <w:bCs w:val="0"/>
            <w:i w:val="0"/>
            <w:iCs w:val="0"/>
          </w:rPr>
          <w:t>غنوي ، محمّد بن ناصر</w:t>
        </w:r>
        <w:r>
          <w:tab/>
        </w:r>
        <w:r>
          <w:fldChar w:fldCharType="begin"/>
        </w:r>
        <w:r>
          <w:instrText xml:space="preserve">PAGEREF 5349 \h</w:instrText>
        </w:r>
        <w:r>
          <w:fldChar w:fldCharType="end"/>
        </w:r>
      </w:hyperlink>
    </w:p>
    <w:p>
      <w:pPr>
        <w:tabs>
          <w:tab w:val="right" w:leader="dot" w:pos="9062"/>
        </w:tabs>
        <w:ind w:left="220"/>
      </w:pPr>
      <w:hyperlink w:anchor="_Toc5350" w:history="1">
        <w:r>
          <w:rPr>
            <w:rFonts w:ascii="IRNazanin" w:hAnsi="IRNazanin" w:eastAsia="IRNazanin" w:cs="IRNazanin"/>
            <w:color w:val="111111"/>
            <w:sz w:val="22"/>
            <w:szCs w:val="22"/>
            <w:b w:val="0"/>
            <w:bCs w:val="0"/>
            <w:i w:val="0"/>
            <w:iCs w:val="0"/>
          </w:rPr>
          <w:t>غنيم ، محمّد</w:t>
        </w:r>
        <w:r>
          <w:tab/>
        </w:r>
        <w:r>
          <w:fldChar w:fldCharType="begin"/>
        </w:r>
        <w:r>
          <w:instrText xml:space="preserve">PAGEREF 5350 \h</w:instrText>
        </w:r>
        <w:r>
          <w:fldChar w:fldCharType="end"/>
        </w:r>
      </w:hyperlink>
    </w:p>
    <w:p>
      <w:pPr>
        <w:tabs>
          <w:tab w:val="right" w:leader="dot" w:pos="9062"/>
        </w:tabs>
        <w:ind w:left="220"/>
      </w:pPr>
      <w:hyperlink w:anchor="_Toc5351" w:history="1">
        <w:r>
          <w:rPr>
            <w:rFonts w:ascii="IRNazanin" w:hAnsi="IRNazanin" w:eastAsia="IRNazanin" w:cs="IRNazanin"/>
            <w:color w:val="111111"/>
            <w:sz w:val="22"/>
            <w:szCs w:val="22"/>
            <w:b w:val="0"/>
            <w:bCs w:val="0"/>
            <w:i w:val="0"/>
            <w:iCs w:val="0"/>
          </w:rPr>
          <w:t>غنيمي، احمد بن محمّد 964-1044 ه-</w:t>
        </w:r>
        <w:r>
          <w:tab/>
        </w:r>
        <w:r>
          <w:fldChar w:fldCharType="begin"/>
        </w:r>
        <w:r>
          <w:instrText xml:space="preserve">PAGEREF 5351 \h</w:instrText>
        </w:r>
        <w:r>
          <w:fldChar w:fldCharType="end"/>
        </w:r>
      </w:hyperlink>
    </w:p>
    <w:p>
      <w:pPr>
        <w:tabs>
          <w:tab w:val="right" w:leader="dot" w:pos="9062"/>
        </w:tabs>
        <w:ind w:left="220"/>
      </w:pPr>
      <w:hyperlink w:anchor="_Toc5352" w:history="1">
        <w:r>
          <w:rPr>
            <w:rFonts w:ascii="IRNazanin" w:hAnsi="IRNazanin" w:eastAsia="IRNazanin" w:cs="IRNazanin"/>
            <w:color w:val="111111"/>
            <w:sz w:val="22"/>
            <w:szCs w:val="22"/>
            <w:b w:val="0"/>
            <w:bCs w:val="0"/>
            <w:i w:val="0"/>
            <w:iCs w:val="0"/>
          </w:rPr>
          <w:t>غوري ، علي بن احمد - 735 ه-</w:t>
        </w:r>
        <w:r>
          <w:tab/>
        </w:r>
        <w:r>
          <w:fldChar w:fldCharType="begin"/>
        </w:r>
        <w:r>
          <w:instrText xml:space="preserve">PAGEREF 5352 \h</w:instrText>
        </w:r>
        <w:r>
          <w:fldChar w:fldCharType="end"/>
        </w:r>
      </w:hyperlink>
    </w:p>
    <w:p>
      <w:pPr>
        <w:tabs>
          <w:tab w:val="right" w:leader="dot" w:pos="9062"/>
        </w:tabs>
        <w:ind w:left="220"/>
      </w:pPr>
      <w:hyperlink w:anchor="_Toc5353" w:history="1">
        <w:r>
          <w:rPr>
            <w:rFonts w:ascii="IRNazanin" w:hAnsi="IRNazanin" w:eastAsia="IRNazanin" w:cs="IRNazanin"/>
            <w:color w:val="111111"/>
            <w:sz w:val="22"/>
            <w:szCs w:val="22"/>
            <w:b w:val="0"/>
            <w:bCs w:val="0"/>
            <w:i w:val="0"/>
            <w:iCs w:val="0"/>
          </w:rPr>
          <w:t>غوطي، موسى بن محمّد قرن 12 ه-</w:t>
        </w:r>
        <w:r>
          <w:tab/>
        </w:r>
        <w:r>
          <w:fldChar w:fldCharType="begin"/>
        </w:r>
        <w:r>
          <w:instrText xml:space="preserve">PAGEREF 5353 \h</w:instrText>
        </w:r>
        <w:r>
          <w:fldChar w:fldCharType="end"/>
        </w:r>
      </w:hyperlink>
    </w:p>
    <w:p>
      <w:pPr>
        <w:tabs>
          <w:tab w:val="right" w:leader="dot" w:pos="9062"/>
        </w:tabs>
        <w:ind w:left="220"/>
      </w:pPr>
      <w:hyperlink w:anchor="_Toc5354" w:history="1">
        <w:r>
          <w:rPr>
            <w:rFonts w:ascii="IRNazanin" w:hAnsi="IRNazanin" w:eastAsia="IRNazanin" w:cs="IRNazanin"/>
            <w:color w:val="111111"/>
            <w:sz w:val="22"/>
            <w:szCs w:val="22"/>
            <w:b w:val="0"/>
            <w:bCs w:val="0"/>
            <w:i w:val="0"/>
            <w:iCs w:val="0"/>
          </w:rPr>
          <w:t>غیاث الدین رامپوري ، محمّد بن جلال</w:t>
        </w:r>
        <w:r>
          <w:tab/>
        </w:r>
        <w:r>
          <w:fldChar w:fldCharType="begin"/>
        </w:r>
        <w:r>
          <w:instrText xml:space="preserve">PAGEREF 5354 \h</w:instrText>
        </w:r>
        <w:r>
          <w:fldChar w:fldCharType="end"/>
        </w:r>
      </w:hyperlink>
    </w:p>
    <w:p>
      <w:pPr>
        <w:tabs>
          <w:tab w:val="right" w:leader="dot" w:pos="9062"/>
        </w:tabs>
        <w:ind w:left="220"/>
      </w:pPr>
      <w:hyperlink w:anchor="_Toc5355" w:history="1">
        <w:r>
          <w:rPr>
            <w:rFonts w:ascii="IRNazanin" w:hAnsi="IRNazanin" w:eastAsia="IRNazanin" w:cs="IRNazanin"/>
            <w:color w:val="111111"/>
            <w:sz w:val="22"/>
            <w:szCs w:val="22"/>
            <w:b w:val="0"/>
            <w:bCs w:val="0"/>
            <w:i w:val="0"/>
            <w:iCs w:val="0"/>
          </w:rPr>
          <w:t>غياث دهلوي، صادق حسين قرن 14 ه-</w:t>
        </w:r>
        <w:r>
          <w:tab/>
        </w:r>
        <w:r>
          <w:fldChar w:fldCharType="begin"/>
        </w:r>
        <w:r>
          <w:instrText xml:space="preserve">PAGEREF 5355 \h</w:instrText>
        </w:r>
        <w:r>
          <w:fldChar w:fldCharType="end"/>
        </w:r>
      </w:hyperlink>
    </w:p>
    <w:p>
      <w:pPr>
        <w:tabs>
          <w:tab w:val="right" w:leader="dot" w:pos="9062"/>
        </w:tabs>
        <w:ind w:left="220"/>
      </w:pPr>
      <w:hyperlink w:anchor="_Toc5356" w:history="1">
        <w:r>
          <w:rPr>
            <w:rFonts w:ascii="IRNazanin" w:hAnsi="IRNazanin" w:eastAsia="IRNazanin" w:cs="IRNazanin"/>
            <w:color w:val="111111"/>
            <w:sz w:val="22"/>
            <w:szCs w:val="22"/>
            <w:b w:val="0"/>
            <w:bCs w:val="0"/>
            <w:i w:val="0"/>
            <w:iCs w:val="0"/>
          </w:rPr>
          <w:t>غيطي، محمّد بن احمد - 984؟ ه-</w:t>
        </w:r>
        <w:r>
          <w:tab/>
        </w:r>
        <w:r>
          <w:fldChar w:fldCharType="begin"/>
        </w:r>
        <w:r>
          <w:instrText xml:space="preserve">PAGEREF 5356 \h</w:instrText>
        </w:r>
        <w:r>
          <w:fldChar w:fldCharType="end"/>
        </w:r>
      </w:hyperlink>
    </w:p>
    <w:p>
      <w:pPr>
        <w:tabs>
          <w:tab w:val="right" w:leader="dot" w:pos="9062"/>
        </w:tabs>
        <w:ind w:left="220"/>
      </w:pPr>
      <w:hyperlink w:anchor="_Toc5357" w:history="1">
        <w:r>
          <w:rPr>
            <w:rFonts w:ascii="IRNazanin" w:hAnsi="IRNazanin" w:eastAsia="IRNazanin" w:cs="IRNazanin"/>
            <w:color w:val="111111"/>
            <w:sz w:val="22"/>
            <w:szCs w:val="22"/>
            <w:b w:val="0"/>
            <w:bCs w:val="0"/>
            <w:i w:val="0"/>
            <w:iCs w:val="0"/>
          </w:rPr>
          <w:t>فائق بيك ، سليمان بن طالب اغا، 1816؟</w:t>
        </w:r>
        <w:r>
          <w:tab/>
        </w:r>
        <w:r>
          <w:fldChar w:fldCharType="begin"/>
        </w:r>
        <w:r>
          <w:instrText xml:space="preserve">PAGEREF 5357 \h</w:instrText>
        </w:r>
        <w:r>
          <w:fldChar w:fldCharType="end"/>
        </w:r>
      </w:hyperlink>
    </w:p>
    <w:p>
      <w:pPr>
        <w:tabs>
          <w:tab w:val="right" w:leader="dot" w:pos="9062"/>
        </w:tabs>
        <w:ind w:left="220"/>
      </w:pPr>
      <w:hyperlink w:anchor="_Toc5358" w:history="1">
        <w:r>
          <w:rPr>
            <w:rFonts w:ascii="IRNazanin" w:hAnsi="IRNazanin" w:eastAsia="IRNazanin" w:cs="IRNazanin"/>
            <w:color w:val="111111"/>
            <w:sz w:val="22"/>
            <w:szCs w:val="22"/>
            <w:b w:val="0"/>
            <w:bCs w:val="0"/>
            <w:i w:val="0"/>
            <w:iCs w:val="0"/>
          </w:rPr>
          <w:t>فارابي ، اسحاق بن ابراهيم - 350 ؟ ه-</w:t>
        </w:r>
        <w:r>
          <w:tab/>
        </w:r>
        <w:r>
          <w:fldChar w:fldCharType="begin"/>
        </w:r>
        <w:r>
          <w:instrText xml:space="preserve">PAGEREF 5358 \h</w:instrText>
        </w:r>
        <w:r>
          <w:fldChar w:fldCharType="end"/>
        </w:r>
      </w:hyperlink>
    </w:p>
    <w:p>
      <w:pPr>
        <w:tabs>
          <w:tab w:val="right" w:leader="dot" w:pos="9062"/>
        </w:tabs>
        <w:ind w:left="220"/>
      </w:pPr>
      <w:hyperlink w:anchor="_Toc5359" w:history="1">
        <w:r>
          <w:rPr>
            <w:rFonts w:ascii="IRNazanin" w:hAnsi="IRNazanin" w:eastAsia="IRNazanin" w:cs="IRNazanin"/>
            <w:color w:val="111111"/>
            <w:sz w:val="22"/>
            <w:szCs w:val="22"/>
            <w:b w:val="0"/>
            <w:bCs w:val="0"/>
            <w:i w:val="0"/>
            <w:iCs w:val="0"/>
          </w:rPr>
          <w:t>فارابي تبريزي، امیر اسماعيل بن حسين</w:t>
        </w:r>
        <w:r>
          <w:tab/>
        </w:r>
        <w:r>
          <w:fldChar w:fldCharType="begin"/>
        </w:r>
        <w:r>
          <w:instrText xml:space="preserve">PAGEREF 5359 \h</w:instrText>
        </w:r>
        <w:r>
          <w:fldChar w:fldCharType="end"/>
        </w:r>
      </w:hyperlink>
    </w:p>
    <w:p>
      <w:pPr>
        <w:tabs>
          <w:tab w:val="right" w:leader="dot" w:pos="9062"/>
        </w:tabs>
        <w:ind w:left="220"/>
      </w:pPr>
      <w:hyperlink w:anchor="_Toc5360" w:history="1">
        <w:r>
          <w:rPr>
            <w:rFonts w:ascii="IRNazanin" w:hAnsi="IRNazanin" w:eastAsia="IRNazanin" w:cs="IRNazanin"/>
            <w:color w:val="111111"/>
            <w:sz w:val="22"/>
            <w:szCs w:val="22"/>
            <w:b w:val="0"/>
            <w:bCs w:val="0"/>
            <w:i w:val="0"/>
            <w:iCs w:val="0"/>
          </w:rPr>
          <w:t>فارابي ، محمّد بن احمد</w:t>
        </w:r>
        <w:r>
          <w:tab/>
        </w:r>
        <w:r>
          <w:fldChar w:fldCharType="begin"/>
        </w:r>
        <w:r>
          <w:instrText xml:space="preserve">PAGEREF 5360 \h</w:instrText>
        </w:r>
        <w:r>
          <w:fldChar w:fldCharType="end"/>
        </w:r>
      </w:hyperlink>
    </w:p>
    <w:p>
      <w:pPr>
        <w:tabs>
          <w:tab w:val="right" w:leader="dot" w:pos="9062"/>
        </w:tabs>
        <w:ind w:left="220"/>
      </w:pPr>
      <w:hyperlink w:anchor="_Toc5361" w:history="1">
        <w:r>
          <w:rPr>
            <w:rFonts w:ascii="IRNazanin" w:hAnsi="IRNazanin" w:eastAsia="IRNazanin" w:cs="IRNazanin"/>
            <w:color w:val="111111"/>
            <w:sz w:val="22"/>
            <w:szCs w:val="22"/>
            <w:b w:val="0"/>
            <w:bCs w:val="0"/>
            <w:i w:val="0"/>
            <w:iCs w:val="0"/>
          </w:rPr>
          <w:t>فارابي محمّد بن محمّد، 4260 - 339 ه-</w:t>
        </w:r>
        <w:r>
          <w:tab/>
        </w:r>
        <w:r>
          <w:fldChar w:fldCharType="begin"/>
        </w:r>
        <w:r>
          <w:instrText xml:space="preserve">PAGEREF 5361 \h</w:instrText>
        </w:r>
        <w:r>
          <w:fldChar w:fldCharType="end"/>
        </w:r>
      </w:hyperlink>
    </w:p>
    <w:p>
      <w:pPr>
        <w:tabs>
          <w:tab w:val="right" w:leader="dot" w:pos="9062"/>
        </w:tabs>
        <w:ind w:left="220"/>
      </w:pPr>
      <w:hyperlink w:anchor="_Toc5362" w:history="1">
        <w:r>
          <w:rPr>
            <w:rFonts w:ascii="IRNazanin" w:hAnsi="IRNazanin" w:eastAsia="IRNazanin" w:cs="IRNazanin"/>
            <w:color w:val="111111"/>
            <w:sz w:val="22"/>
            <w:szCs w:val="22"/>
            <w:b w:val="0"/>
            <w:bCs w:val="0"/>
            <w:i w:val="0"/>
            <w:iCs w:val="0"/>
          </w:rPr>
          <w:t>فارسكوري ، عمر بن محمّد - 1018 ه-</w:t>
        </w:r>
        <w:r>
          <w:tab/>
        </w:r>
        <w:r>
          <w:fldChar w:fldCharType="begin"/>
        </w:r>
        <w:r>
          <w:instrText xml:space="preserve">PAGEREF 5362 \h</w:instrText>
        </w:r>
        <w:r>
          <w:fldChar w:fldCharType="end"/>
        </w:r>
      </w:hyperlink>
    </w:p>
    <w:p>
      <w:pPr>
        <w:tabs>
          <w:tab w:val="right" w:leader="dot" w:pos="9062"/>
        </w:tabs>
        <w:ind w:left="220"/>
      </w:pPr>
      <w:hyperlink w:anchor="_Toc5363" w:history="1">
        <w:r>
          <w:rPr>
            <w:rFonts w:ascii="IRNazanin" w:hAnsi="IRNazanin" w:eastAsia="IRNazanin" w:cs="IRNazanin"/>
            <w:color w:val="111111"/>
            <w:sz w:val="22"/>
            <w:szCs w:val="22"/>
            <w:b w:val="0"/>
            <w:bCs w:val="0"/>
            <w:i w:val="0"/>
            <w:iCs w:val="0"/>
          </w:rPr>
          <w:t>فارسي ، حسن بن احمد، 288 - 377 ه-</w:t>
        </w:r>
        <w:r>
          <w:tab/>
        </w:r>
        <w:r>
          <w:fldChar w:fldCharType="begin"/>
        </w:r>
        <w:r>
          <w:instrText xml:space="preserve">PAGEREF 5363 \h</w:instrText>
        </w:r>
        <w:r>
          <w:fldChar w:fldCharType="end"/>
        </w:r>
      </w:hyperlink>
    </w:p>
    <w:p>
      <w:pPr>
        <w:tabs>
          <w:tab w:val="right" w:leader="dot" w:pos="9062"/>
        </w:tabs>
        <w:ind w:left="220"/>
      </w:pPr>
      <w:hyperlink w:anchor="_Toc5364" w:history="1">
        <w:r>
          <w:rPr>
            <w:rFonts w:ascii="IRNazanin" w:hAnsi="IRNazanin" w:eastAsia="IRNazanin" w:cs="IRNazanin"/>
            <w:color w:val="111111"/>
            <w:sz w:val="22"/>
            <w:szCs w:val="22"/>
            <w:b w:val="0"/>
            <w:bCs w:val="0"/>
            <w:i w:val="0"/>
            <w:iCs w:val="0"/>
          </w:rPr>
          <w:t>فارسي ، حسن بن زكردان</w:t>
        </w:r>
        <w:r>
          <w:tab/>
        </w:r>
        <w:r>
          <w:fldChar w:fldCharType="begin"/>
        </w:r>
        <w:r>
          <w:instrText xml:space="preserve">PAGEREF 5364 \h</w:instrText>
        </w:r>
        <w:r>
          <w:fldChar w:fldCharType="end"/>
        </w:r>
      </w:hyperlink>
    </w:p>
    <w:p>
      <w:pPr>
        <w:tabs>
          <w:tab w:val="right" w:leader="dot" w:pos="9062"/>
        </w:tabs>
        <w:ind w:left="220"/>
      </w:pPr>
      <w:hyperlink w:anchor="_Toc5365" w:history="1">
        <w:r>
          <w:rPr>
            <w:rFonts w:ascii="IRNazanin" w:hAnsi="IRNazanin" w:eastAsia="IRNazanin" w:cs="IRNazanin"/>
            <w:color w:val="111111"/>
            <w:sz w:val="22"/>
            <w:szCs w:val="22"/>
            <w:b w:val="0"/>
            <w:bCs w:val="0"/>
            <w:i w:val="0"/>
            <w:iCs w:val="0"/>
          </w:rPr>
          <w:t>فارسي ، حسن بن علي 668 - 718 ؟ ه-</w:t>
        </w:r>
        <w:r>
          <w:tab/>
        </w:r>
        <w:r>
          <w:fldChar w:fldCharType="begin"/>
        </w:r>
        <w:r>
          <w:instrText xml:space="preserve">PAGEREF 5365 \h</w:instrText>
        </w:r>
        <w:r>
          <w:fldChar w:fldCharType="end"/>
        </w:r>
      </w:hyperlink>
    </w:p>
    <w:p>
      <w:pPr>
        <w:tabs>
          <w:tab w:val="right" w:leader="dot" w:pos="9062"/>
        </w:tabs>
        <w:ind w:left="220"/>
      </w:pPr>
      <w:hyperlink w:anchor="_Toc5366" w:history="1">
        <w:r>
          <w:rPr>
            <w:rFonts w:ascii="IRNazanin" w:hAnsi="IRNazanin" w:eastAsia="IRNazanin" w:cs="IRNazanin"/>
            <w:color w:val="111111"/>
            <w:sz w:val="22"/>
            <w:szCs w:val="22"/>
            <w:b w:val="0"/>
            <w:bCs w:val="0"/>
            <w:i w:val="0"/>
            <w:iCs w:val="0"/>
          </w:rPr>
          <w:t>فارسي شيرازي ، منصور بن عبدالله قرن 10ه-</w:t>
        </w:r>
        <w:r>
          <w:tab/>
        </w:r>
        <w:r>
          <w:fldChar w:fldCharType="begin"/>
        </w:r>
        <w:r>
          <w:instrText xml:space="preserve">PAGEREF 5366 \h</w:instrText>
        </w:r>
        <w:r>
          <w:fldChar w:fldCharType="end"/>
        </w:r>
      </w:hyperlink>
    </w:p>
    <w:p>
      <w:pPr>
        <w:tabs>
          <w:tab w:val="right" w:leader="dot" w:pos="9062"/>
        </w:tabs>
        <w:ind w:left="220"/>
      </w:pPr>
      <w:hyperlink w:anchor="_Toc5367" w:history="1">
        <w:r>
          <w:rPr>
            <w:rFonts w:ascii="IRNazanin" w:hAnsi="IRNazanin" w:eastAsia="IRNazanin" w:cs="IRNazanin"/>
            <w:color w:val="111111"/>
            <w:sz w:val="22"/>
            <w:szCs w:val="22"/>
            <w:b w:val="0"/>
            <w:bCs w:val="0"/>
            <w:i w:val="0"/>
            <w:iCs w:val="0"/>
          </w:rPr>
          <w:t>فارسی ، عبدالعزيز</w:t>
        </w:r>
        <w:r>
          <w:tab/>
        </w:r>
        <w:r>
          <w:fldChar w:fldCharType="begin"/>
        </w:r>
        <w:r>
          <w:instrText xml:space="preserve">PAGEREF 5367 \h</w:instrText>
        </w:r>
        <w:r>
          <w:fldChar w:fldCharType="end"/>
        </w:r>
      </w:hyperlink>
    </w:p>
    <w:p>
      <w:pPr>
        <w:tabs>
          <w:tab w:val="right" w:leader="dot" w:pos="9062"/>
        </w:tabs>
        <w:ind w:left="220"/>
      </w:pPr>
      <w:hyperlink w:anchor="_Toc5368" w:history="1">
        <w:r>
          <w:rPr>
            <w:rFonts w:ascii="IRNazanin" w:hAnsi="IRNazanin" w:eastAsia="IRNazanin" w:cs="IRNazanin"/>
            <w:color w:val="111111"/>
            <w:sz w:val="22"/>
            <w:szCs w:val="22"/>
            <w:b w:val="0"/>
            <w:bCs w:val="0"/>
            <w:i w:val="0"/>
            <w:iCs w:val="0"/>
          </w:rPr>
          <w:t>فارسي فسوي ، يعقوب بن سفيان 191 -</w:t>
        </w:r>
        <w:r>
          <w:tab/>
        </w:r>
        <w:r>
          <w:fldChar w:fldCharType="begin"/>
        </w:r>
        <w:r>
          <w:instrText xml:space="preserve">PAGEREF 5368 \h</w:instrText>
        </w:r>
        <w:r>
          <w:fldChar w:fldCharType="end"/>
        </w:r>
      </w:hyperlink>
    </w:p>
    <w:p>
      <w:pPr>
        <w:tabs>
          <w:tab w:val="right" w:leader="dot" w:pos="9062"/>
        </w:tabs>
        <w:ind w:left="220"/>
      </w:pPr>
      <w:hyperlink w:anchor="_Toc5369" w:history="1">
        <w:r>
          <w:rPr>
            <w:rFonts w:ascii="IRNazanin" w:hAnsi="IRNazanin" w:eastAsia="IRNazanin" w:cs="IRNazanin"/>
            <w:color w:val="111111"/>
            <w:sz w:val="22"/>
            <w:szCs w:val="22"/>
            <w:b w:val="0"/>
            <w:bCs w:val="0"/>
            <w:i w:val="0"/>
            <w:iCs w:val="0"/>
          </w:rPr>
          <w:t>فارسي ، محمّد بن ابي بكر - 677؟ ه-</w:t>
        </w:r>
        <w:r>
          <w:tab/>
        </w:r>
        <w:r>
          <w:fldChar w:fldCharType="begin"/>
        </w:r>
        <w:r>
          <w:instrText xml:space="preserve">PAGEREF 5369 \h</w:instrText>
        </w:r>
        <w:r>
          <w:fldChar w:fldCharType="end"/>
        </w:r>
      </w:hyperlink>
    </w:p>
    <w:p>
      <w:pPr>
        <w:tabs>
          <w:tab w:val="right" w:leader="dot" w:pos="9062"/>
        </w:tabs>
        <w:ind w:left="220"/>
      </w:pPr>
      <w:hyperlink w:anchor="_Toc5370" w:history="1">
        <w:r>
          <w:rPr>
            <w:rFonts w:ascii="IRNazanin" w:hAnsi="IRNazanin" w:eastAsia="IRNazanin" w:cs="IRNazanin"/>
            <w:color w:val="111111"/>
            <w:sz w:val="22"/>
            <w:szCs w:val="22"/>
            <w:b w:val="0"/>
            <w:bCs w:val="0"/>
            <w:i w:val="0"/>
            <w:iCs w:val="0"/>
          </w:rPr>
          <w:t>فارسي ، محمّد بن احمد</w:t>
        </w:r>
        <w:r>
          <w:tab/>
        </w:r>
        <w:r>
          <w:fldChar w:fldCharType="begin"/>
        </w:r>
        <w:r>
          <w:instrText xml:space="preserve">PAGEREF 5370 \h</w:instrText>
        </w:r>
        <w:r>
          <w:fldChar w:fldCharType="end"/>
        </w:r>
      </w:hyperlink>
    </w:p>
    <w:p>
      <w:pPr>
        <w:tabs>
          <w:tab w:val="right" w:leader="dot" w:pos="9062"/>
        </w:tabs>
        <w:ind w:left="220"/>
      </w:pPr>
      <w:hyperlink w:anchor="_Toc5371" w:history="1">
        <w:r>
          <w:rPr>
            <w:rFonts w:ascii="IRNazanin" w:hAnsi="IRNazanin" w:eastAsia="IRNazanin" w:cs="IRNazanin"/>
            <w:color w:val="111111"/>
            <w:sz w:val="22"/>
            <w:szCs w:val="22"/>
            <w:b w:val="0"/>
            <w:bCs w:val="0"/>
            <w:i w:val="0"/>
            <w:iCs w:val="0"/>
          </w:rPr>
          <w:t>فارسي ، محمّد بن علي قرن 11 ه-</w:t>
        </w:r>
        <w:r>
          <w:tab/>
        </w:r>
        <w:r>
          <w:fldChar w:fldCharType="begin"/>
        </w:r>
        <w:r>
          <w:instrText xml:space="preserve">PAGEREF 5371 \h</w:instrText>
        </w:r>
        <w:r>
          <w:fldChar w:fldCharType="end"/>
        </w:r>
      </w:hyperlink>
    </w:p>
    <w:p>
      <w:pPr>
        <w:tabs>
          <w:tab w:val="right" w:leader="dot" w:pos="9062"/>
        </w:tabs>
        <w:ind w:left="220"/>
      </w:pPr>
      <w:hyperlink w:anchor="_Toc5372" w:history="1">
        <w:r>
          <w:rPr>
            <w:rFonts w:ascii="IRNazanin" w:hAnsi="IRNazanin" w:eastAsia="IRNazanin" w:cs="IRNazanin"/>
            <w:color w:val="111111"/>
            <w:sz w:val="22"/>
            <w:szCs w:val="22"/>
            <w:b w:val="0"/>
            <w:bCs w:val="0"/>
            <w:i w:val="0"/>
            <w:iCs w:val="0"/>
          </w:rPr>
          <w:t>فارسي، نصر بن عبدالعزيز - 461 ه-</w:t>
        </w:r>
        <w:r>
          <w:tab/>
        </w:r>
        <w:r>
          <w:fldChar w:fldCharType="begin"/>
        </w:r>
        <w:r>
          <w:instrText xml:space="preserve">PAGEREF 5372 \h</w:instrText>
        </w:r>
        <w:r>
          <w:fldChar w:fldCharType="end"/>
        </w:r>
      </w:hyperlink>
    </w:p>
    <w:p>
      <w:pPr>
        <w:tabs>
          <w:tab w:val="right" w:leader="dot" w:pos="9062"/>
        </w:tabs>
        <w:ind w:left="220"/>
      </w:pPr>
      <w:hyperlink w:anchor="_Toc5373" w:history="1">
        <w:r>
          <w:rPr>
            <w:rFonts w:ascii="IRNazanin" w:hAnsi="IRNazanin" w:eastAsia="IRNazanin" w:cs="IRNazanin"/>
            <w:color w:val="111111"/>
            <w:sz w:val="22"/>
            <w:szCs w:val="22"/>
            <w:b w:val="0"/>
            <w:bCs w:val="0"/>
            <w:i w:val="0"/>
            <w:iCs w:val="0"/>
          </w:rPr>
          <w:t>فارسي ، محمّد بن محمّد، - 1134 ه-</w:t>
        </w:r>
        <w:r>
          <w:tab/>
        </w:r>
        <w:r>
          <w:fldChar w:fldCharType="begin"/>
        </w:r>
        <w:r>
          <w:instrText xml:space="preserve">PAGEREF 5373 \h</w:instrText>
        </w:r>
        <w:r>
          <w:fldChar w:fldCharType="end"/>
        </w:r>
      </w:hyperlink>
    </w:p>
    <w:p>
      <w:pPr>
        <w:tabs>
          <w:tab w:val="right" w:leader="dot" w:pos="9062"/>
        </w:tabs>
        <w:ind w:left="220"/>
      </w:pPr>
      <w:hyperlink w:anchor="_Toc5374" w:history="1">
        <w:r>
          <w:rPr>
            <w:rFonts w:ascii="IRNazanin" w:hAnsi="IRNazanin" w:eastAsia="IRNazanin" w:cs="IRNazanin"/>
            <w:color w:val="111111"/>
            <w:sz w:val="22"/>
            <w:szCs w:val="22"/>
            <w:b w:val="0"/>
            <w:bCs w:val="0"/>
            <w:i w:val="0"/>
            <w:iCs w:val="0"/>
          </w:rPr>
          <w:t>فارسي ، محمّد بن محمّد</w:t>
        </w:r>
        <w:r>
          <w:tab/>
        </w:r>
        <w:r>
          <w:fldChar w:fldCharType="begin"/>
        </w:r>
        <w:r>
          <w:instrText xml:space="preserve">PAGEREF 5374 \h</w:instrText>
        </w:r>
        <w:r>
          <w:fldChar w:fldCharType="end"/>
        </w:r>
      </w:hyperlink>
    </w:p>
    <w:p>
      <w:pPr>
        <w:tabs>
          <w:tab w:val="right" w:leader="dot" w:pos="9062"/>
        </w:tabs>
        <w:ind w:left="220"/>
      </w:pPr>
      <w:hyperlink w:anchor="_Toc5375" w:history="1">
        <w:r>
          <w:rPr>
            <w:rFonts w:ascii="IRNazanin" w:hAnsi="IRNazanin" w:eastAsia="IRNazanin" w:cs="IRNazanin"/>
            <w:color w:val="111111"/>
            <w:sz w:val="22"/>
            <w:szCs w:val="22"/>
            <w:b w:val="0"/>
            <w:bCs w:val="0"/>
            <w:i w:val="0"/>
            <w:iCs w:val="0"/>
          </w:rPr>
          <w:t>فارسي ، محمّد بن محمّد، - 1134 ه-</w:t>
        </w:r>
        <w:r>
          <w:tab/>
        </w:r>
        <w:r>
          <w:fldChar w:fldCharType="begin"/>
        </w:r>
        <w:r>
          <w:instrText xml:space="preserve">PAGEREF 5375 \h</w:instrText>
        </w:r>
        <w:r>
          <w:fldChar w:fldCharType="end"/>
        </w:r>
      </w:hyperlink>
    </w:p>
    <w:p>
      <w:pPr>
        <w:tabs>
          <w:tab w:val="right" w:leader="dot" w:pos="9062"/>
        </w:tabs>
        <w:ind w:left="220"/>
      </w:pPr>
      <w:hyperlink w:anchor="_Toc5376" w:history="1">
        <w:r>
          <w:rPr>
            <w:rFonts w:ascii="IRNazanin" w:hAnsi="IRNazanin" w:eastAsia="IRNazanin" w:cs="IRNazanin"/>
            <w:color w:val="111111"/>
            <w:sz w:val="22"/>
            <w:szCs w:val="22"/>
            <w:b w:val="0"/>
            <w:bCs w:val="0"/>
            <w:i w:val="0"/>
            <w:iCs w:val="0"/>
          </w:rPr>
          <w:t>فارسي، محمّد تقي بن محمّد قرن 10 ه-</w:t>
        </w:r>
        <w:r>
          <w:tab/>
        </w:r>
        <w:r>
          <w:fldChar w:fldCharType="begin"/>
        </w:r>
        <w:r>
          <w:instrText xml:space="preserve">PAGEREF 5376 \h</w:instrText>
        </w:r>
        <w:r>
          <w:fldChar w:fldCharType="end"/>
        </w:r>
      </w:hyperlink>
    </w:p>
    <w:p>
      <w:pPr>
        <w:tabs>
          <w:tab w:val="right" w:leader="dot" w:pos="9062"/>
        </w:tabs>
        <w:ind w:left="220"/>
      </w:pPr>
      <w:hyperlink w:anchor="_Toc5377" w:history="1">
        <w:r>
          <w:rPr>
            <w:rFonts w:ascii="IRNazanin" w:hAnsi="IRNazanin" w:eastAsia="IRNazanin" w:cs="IRNazanin"/>
            <w:color w:val="111111"/>
            <w:sz w:val="22"/>
            <w:szCs w:val="22"/>
            <w:b w:val="0"/>
            <w:bCs w:val="0"/>
            <w:i w:val="0"/>
            <w:iCs w:val="0"/>
          </w:rPr>
          <w:t>فارسي ، يزدجرد بن مهمندار قرن 3 ه-</w:t>
        </w:r>
        <w:r>
          <w:tab/>
        </w:r>
        <w:r>
          <w:fldChar w:fldCharType="begin"/>
        </w:r>
        <w:r>
          <w:instrText xml:space="preserve">PAGEREF 5377 \h</w:instrText>
        </w:r>
        <w:r>
          <w:fldChar w:fldCharType="end"/>
        </w:r>
      </w:hyperlink>
    </w:p>
    <w:p>
      <w:pPr>
        <w:tabs>
          <w:tab w:val="right" w:leader="dot" w:pos="9062"/>
        </w:tabs>
        <w:ind w:left="220"/>
      </w:pPr>
      <w:hyperlink w:anchor="_Toc5378" w:history="1">
        <w:r>
          <w:rPr>
            <w:rFonts w:ascii="IRNazanin" w:hAnsi="IRNazanin" w:eastAsia="IRNazanin" w:cs="IRNazanin"/>
            <w:color w:val="111111"/>
            <w:sz w:val="22"/>
            <w:szCs w:val="22"/>
            <w:b w:val="0"/>
            <w:bCs w:val="0"/>
            <w:i w:val="0"/>
            <w:iCs w:val="0"/>
          </w:rPr>
          <w:t>فارقي ، حسن بن اسد - 487 ه-</w:t>
        </w:r>
        <w:r>
          <w:tab/>
        </w:r>
        <w:r>
          <w:fldChar w:fldCharType="begin"/>
        </w:r>
        <w:r>
          <w:instrText xml:space="preserve">PAGEREF 5378 \h</w:instrText>
        </w:r>
        <w:r>
          <w:fldChar w:fldCharType="end"/>
        </w:r>
      </w:hyperlink>
    </w:p>
    <w:p>
      <w:pPr>
        <w:tabs>
          <w:tab w:val="right" w:leader="dot" w:pos="9062"/>
        </w:tabs>
        <w:ind w:left="220"/>
      </w:pPr>
      <w:hyperlink w:anchor="_Toc5379" w:history="1">
        <w:r>
          <w:rPr>
            <w:rFonts w:ascii="IRNazanin" w:hAnsi="IRNazanin" w:eastAsia="IRNazanin" w:cs="IRNazanin"/>
            <w:color w:val="111111"/>
            <w:sz w:val="22"/>
            <w:szCs w:val="22"/>
            <w:b w:val="0"/>
            <w:bCs w:val="0"/>
            <w:i w:val="0"/>
            <w:iCs w:val="0"/>
          </w:rPr>
          <w:t>فارقي ، محمود بن عبدالصمد</w:t>
        </w:r>
        <w:r>
          <w:tab/>
        </w:r>
        <w:r>
          <w:fldChar w:fldCharType="begin"/>
        </w:r>
        <w:r>
          <w:instrText xml:space="preserve">PAGEREF 5379 \h</w:instrText>
        </w:r>
        <w:r>
          <w:fldChar w:fldCharType="end"/>
        </w:r>
      </w:hyperlink>
    </w:p>
    <w:p>
      <w:pPr>
        <w:tabs>
          <w:tab w:val="right" w:leader="dot" w:pos="9062"/>
        </w:tabs>
        <w:ind w:left="220"/>
      </w:pPr>
      <w:hyperlink w:anchor="_Toc5380" w:history="1">
        <w:r>
          <w:rPr>
            <w:rFonts w:ascii="IRNazanin" w:hAnsi="IRNazanin" w:eastAsia="IRNazanin" w:cs="IRNazanin"/>
            <w:color w:val="111111"/>
            <w:sz w:val="22"/>
            <w:szCs w:val="22"/>
            <w:b w:val="0"/>
            <w:bCs w:val="0"/>
            <w:i w:val="0"/>
            <w:iCs w:val="0"/>
          </w:rPr>
          <w:t>فاروقي ، احمد بن عبد الاحد، 971 -</w:t>
        </w:r>
        <w:r>
          <w:tab/>
        </w:r>
        <w:r>
          <w:fldChar w:fldCharType="begin"/>
        </w:r>
        <w:r>
          <w:instrText xml:space="preserve">PAGEREF 5380 \h</w:instrText>
        </w:r>
        <w:r>
          <w:fldChar w:fldCharType="end"/>
        </w:r>
      </w:hyperlink>
    </w:p>
    <w:p>
      <w:pPr>
        <w:tabs>
          <w:tab w:val="right" w:leader="dot" w:pos="9062"/>
        </w:tabs>
        <w:ind w:left="220"/>
      </w:pPr>
      <w:hyperlink w:anchor="_Toc5381" w:history="1">
        <w:r>
          <w:rPr>
            <w:rFonts w:ascii="IRNazanin" w:hAnsi="IRNazanin" w:eastAsia="IRNazanin" w:cs="IRNazanin"/>
            <w:color w:val="111111"/>
            <w:sz w:val="22"/>
            <w:szCs w:val="22"/>
            <w:b w:val="0"/>
            <w:bCs w:val="0"/>
            <w:i w:val="0"/>
            <w:iCs w:val="0"/>
          </w:rPr>
          <w:t>فاروقي ، احمد عزت بن محمود، 1244 -</w:t>
        </w:r>
        <w:r>
          <w:tab/>
        </w:r>
        <w:r>
          <w:fldChar w:fldCharType="begin"/>
        </w:r>
        <w:r>
          <w:instrText xml:space="preserve">PAGEREF 5381 \h</w:instrText>
        </w:r>
        <w:r>
          <w:fldChar w:fldCharType="end"/>
        </w:r>
      </w:hyperlink>
    </w:p>
    <w:p>
      <w:pPr>
        <w:tabs>
          <w:tab w:val="right" w:leader="dot" w:pos="9062"/>
        </w:tabs>
        <w:ind w:left="220"/>
      </w:pPr>
      <w:hyperlink w:anchor="_Toc5382" w:history="1">
        <w:r>
          <w:rPr>
            <w:rFonts w:ascii="IRNazanin" w:hAnsi="IRNazanin" w:eastAsia="IRNazanin" w:cs="IRNazanin"/>
            <w:color w:val="111111"/>
            <w:sz w:val="22"/>
            <w:szCs w:val="22"/>
            <w:b w:val="0"/>
            <w:bCs w:val="0"/>
            <w:i w:val="0"/>
            <w:iCs w:val="0"/>
          </w:rPr>
          <w:t>فاروقي سمرقندي ، احمد</w:t>
        </w:r>
        <w:r>
          <w:tab/>
        </w:r>
        <w:r>
          <w:fldChar w:fldCharType="begin"/>
        </w:r>
        <w:r>
          <w:instrText xml:space="preserve">PAGEREF 5382 \h</w:instrText>
        </w:r>
        <w:r>
          <w:fldChar w:fldCharType="end"/>
        </w:r>
      </w:hyperlink>
    </w:p>
    <w:p>
      <w:pPr>
        <w:tabs>
          <w:tab w:val="right" w:leader="dot" w:pos="9062"/>
        </w:tabs>
        <w:ind w:left="220"/>
      </w:pPr>
      <w:hyperlink w:anchor="_Toc5383" w:history="1">
        <w:r>
          <w:rPr>
            <w:rFonts w:ascii="IRNazanin" w:hAnsi="IRNazanin" w:eastAsia="IRNazanin" w:cs="IRNazanin"/>
            <w:color w:val="111111"/>
            <w:sz w:val="22"/>
            <w:szCs w:val="22"/>
            <w:b w:val="0"/>
            <w:bCs w:val="0"/>
            <w:i w:val="0"/>
            <w:iCs w:val="0"/>
          </w:rPr>
          <w:t>فاروقي ، عبدالباقي بن سليمان، 1204</w:t>
        </w:r>
        <w:r>
          <w:tab/>
        </w:r>
        <w:r>
          <w:fldChar w:fldCharType="begin"/>
        </w:r>
        <w:r>
          <w:instrText xml:space="preserve">PAGEREF 5383 \h</w:instrText>
        </w:r>
        <w:r>
          <w:fldChar w:fldCharType="end"/>
        </w:r>
      </w:hyperlink>
    </w:p>
    <w:p>
      <w:pPr>
        <w:tabs>
          <w:tab w:val="right" w:leader="dot" w:pos="9062"/>
        </w:tabs>
        <w:ind w:left="220"/>
      </w:pPr>
      <w:hyperlink w:anchor="_Toc5384" w:history="1">
        <w:r>
          <w:rPr>
            <w:rFonts w:ascii="IRNazanin" w:hAnsi="IRNazanin" w:eastAsia="IRNazanin" w:cs="IRNazanin"/>
            <w:color w:val="111111"/>
            <w:sz w:val="22"/>
            <w:szCs w:val="22"/>
            <w:b w:val="0"/>
            <w:bCs w:val="0"/>
            <w:i w:val="0"/>
            <w:iCs w:val="0"/>
          </w:rPr>
          <w:t>فاروقي كوفاموي ، محمّد مبارك بن</w:t>
        </w:r>
        <w:r>
          <w:tab/>
        </w:r>
        <w:r>
          <w:fldChar w:fldCharType="begin"/>
        </w:r>
        <w:r>
          <w:instrText xml:space="preserve">PAGEREF 5384 \h</w:instrText>
        </w:r>
        <w:r>
          <w:fldChar w:fldCharType="end"/>
        </w:r>
      </w:hyperlink>
    </w:p>
    <w:p>
      <w:pPr>
        <w:tabs>
          <w:tab w:val="right" w:leader="dot" w:pos="9062"/>
        </w:tabs>
        <w:ind w:left="220"/>
      </w:pPr>
      <w:hyperlink w:anchor="_Toc5385" w:history="1">
        <w:r>
          <w:rPr>
            <w:rFonts w:ascii="IRNazanin" w:hAnsi="IRNazanin" w:eastAsia="IRNazanin" w:cs="IRNazanin"/>
            <w:color w:val="111111"/>
            <w:sz w:val="22"/>
            <w:szCs w:val="22"/>
            <w:b w:val="0"/>
            <w:bCs w:val="0"/>
            <w:i w:val="0"/>
            <w:iCs w:val="0"/>
          </w:rPr>
          <w:t>فاروقي ، محمّد معصوم بن احمد 1007</w:t>
        </w:r>
        <w:r>
          <w:tab/>
        </w:r>
        <w:r>
          <w:fldChar w:fldCharType="begin"/>
        </w:r>
        <w:r>
          <w:instrText xml:space="preserve">PAGEREF 5385 \h</w:instrText>
        </w:r>
        <w:r>
          <w:fldChar w:fldCharType="end"/>
        </w:r>
      </w:hyperlink>
    </w:p>
    <w:p>
      <w:pPr>
        <w:tabs>
          <w:tab w:val="right" w:leader="dot" w:pos="9062"/>
        </w:tabs>
        <w:ind w:left="220"/>
      </w:pPr>
      <w:hyperlink w:anchor="_Toc5386" w:history="1">
        <w:r>
          <w:rPr>
            <w:rFonts w:ascii="IRNazanin" w:hAnsi="IRNazanin" w:eastAsia="IRNazanin" w:cs="IRNazanin"/>
            <w:color w:val="111111"/>
            <w:sz w:val="22"/>
            <w:szCs w:val="22"/>
            <w:b w:val="0"/>
            <w:bCs w:val="0"/>
            <w:i w:val="0"/>
            <w:iCs w:val="0"/>
          </w:rPr>
          <w:t>فاروقي ، محيي الدين</w:t>
        </w:r>
        <w:r>
          <w:tab/>
        </w:r>
        <w:r>
          <w:fldChar w:fldCharType="begin"/>
        </w:r>
        <w:r>
          <w:instrText xml:space="preserve">PAGEREF 5386 \h</w:instrText>
        </w:r>
        <w:r>
          <w:fldChar w:fldCharType="end"/>
        </w:r>
      </w:hyperlink>
    </w:p>
    <w:p>
      <w:pPr>
        <w:tabs>
          <w:tab w:val="right" w:leader="dot" w:pos="9062"/>
        </w:tabs>
        <w:ind w:left="220"/>
      </w:pPr>
      <w:hyperlink w:anchor="_Toc5387" w:history="1">
        <w:r>
          <w:rPr>
            <w:rFonts w:ascii="IRNazanin" w:hAnsi="IRNazanin" w:eastAsia="IRNazanin" w:cs="IRNazanin"/>
            <w:color w:val="111111"/>
            <w:sz w:val="22"/>
            <w:szCs w:val="22"/>
            <w:b w:val="0"/>
            <w:bCs w:val="0"/>
            <w:i w:val="0"/>
            <w:iCs w:val="0"/>
          </w:rPr>
          <w:t>فاريابي، محمود بن احمد - 607 ه-</w:t>
        </w:r>
        <w:r>
          <w:tab/>
        </w:r>
        <w:r>
          <w:fldChar w:fldCharType="begin"/>
        </w:r>
        <w:r>
          <w:instrText xml:space="preserve">PAGEREF 5387 \h</w:instrText>
        </w:r>
        <w:r>
          <w:fldChar w:fldCharType="end"/>
        </w:r>
      </w:hyperlink>
    </w:p>
    <w:p>
      <w:pPr>
        <w:tabs>
          <w:tab w:val="right" w:leader="dot" w:pos="9062"/>
        </w:tabs>
        <w:ind w:left="220"/>
      </w:pPr>
      <w:hyperlink w:anchor="_Toc5388" w:history="1">
        <w:r>
          <w:rPr>
            <w:rFonts w:ascii="IRNazanin" w:hAnsi="IRNazanin" w:eastAsia="IRNazanin" w:cs="IRNazanin"/>
            <w:color w:val="111111"/>
            <w:sz w:val="22"/>
            <w:szCs w:val="22"/>
            <w:b w:val="0"/>
            <w:bCs w:val="0"/>
            <w:i w:val="0"/>
            <w:iCs w:val="0"/>
          </w:rPr>
          <w:t>فاسي ، احمد بن عيسى</w:t>
        </w:r>
        <w:r>
          <w:tab/>
        </w:r>
        <w:r>
          <w:fldChar w:fldCharType="begin"/>
        </w:r>
        <w:r>
          <w:instrText xml:space="preserve">PAGEREF 5388 \h</w:instrText>
        </w:r>
        <w:r>
          <w:fldChar w:fldCharType="end"/>
        </w:r>
      </w:hyperlink>
    </w:p>
    <w:p>
      <w:pPr>
        <w:tabs>
          <w:tab w:val="right" w:leader="dot" w:pos="9062"/>
        </w:tabs>
        <w:ind w:left="220"/>
      </w:pPr>
      <w:hyperlink w:anchor="_Toc5389" w:history="1">
        <w:r>
          <w:rPr>
            <w:rFonts w:ascii="IRNazanin" w:hAnsi="IRNazanin" w:eastAsia="IRNazanin" w:cs="IRNazanin"/>
            <w:color w:val="111111"/>
            <w:sz w:val="22"/>
            <w:szCs w:val="22"/>
            <w:b w:val="0"/>
            <w:bCs w:val="0"/>
            <w:i w:val="0"/>
            <w:iCs w:val="0"/>
          </w:rPr>
          <w:t>فاسي ، حسین بن احمد قرن 13 ه-</w:t>
        </w:r>
        <w:r>
          <w:tab/>
        </w:r>
        <w:r>
          <w:fldChar w:fldCharType="begin"/>
        </w:r>
        <w:r>
          <w:instrText xml:space="preserve">PAGEREF 5389 \h</w:instrText>
        </w:r>
        <w:r>
          <w:fldChar w:fldCharType="end"/>
        </w:r>
      </w:hyperlink>
    </w:p>
    <w:p>
      <w:pPr>
        <w:tabs>
          <w:tab w:val="right" w:leader="dot" w:pos="9062"/>
        </w:tabs>
        <w:ind w:left="220"/>
      </w:pPr>
      <w:hyperlink w:anchor="_Toc5390" w:history="1">
        <w:r>
          <w:rPr>
            <w:rFonts w:ascii="IRNazanin" w:hAnsi="IRNazanin" w:eastAsia="IRNazanin" w:cs="IRNazanin"/>
            <w:color w:val="111111"/>
            <w:sz w:val="22"/>
            <w:szCs w:val="22"/>
            <w:b w:val="0"/>
            <w:bCs w:val="0"/>
            <w:i w:val="0"/>
            <w:iCs w:val="0"/>
          </w:rPr>
          <w:t>فاسي ،قصري محمّد بن يوسف -1052ه-</w:t>
        </w:r>
        <w:r>
          <w:tab/>
        </w:r>
        <w:r>
          <w:fldChar w:fldCharType="begin"/>
        </w:r>
        <w:r>
          <w:instrText xml:space="preserve">PAGEREF 5390 \h</w:instrText>
        </w:r>
        <w:r>
          <w:fldChar w:fldCharType="end"/>
        </w:r>
      </w:hyperlink>
    </w:p>
    <w:p>
      <w:pPr>
        <w:tabs>
          <w:tab w:val="right" w:leader="dot" w:pos="9062"/>
        </w:tabs>
        <w:ind w:left="220"/>
      </w:pPr>
      <w:hyperlink w:anchor="_Toc5391" w:history="1">
        <w:r>
          <w:rPr>
            <w:rFonts w:ascii="IRNazanin" w:hAnsi="IRNazanin" w:eastAsia="IRNazanin" w:cs="IRNazanin"/>
            <w:color w:val="111111"/>
            <w:sz w:val="22"/>
            <w:szCs w:val="22"/>
            <w:b w:val="0"/>
            <w:bCs w:val="0"/>
            <w:i w:val="0"/>
            <w:iCs w:val="0"/>
          </w:rPr>
          <w:t>فاسي ، محمّد بن ،احمد، 775 - 832 ه-</w:t>
        </w:r>
        <w:r>
          <w:tab/>
        </w:r>
        <w:r>
          <w:fldChar w:fldCharType="begin"/>
        </w:r>
        <w:r>
          <w:instrText xml:space="preserve">PAGEREF 5391 \h</w:instrText>
        </w:r>
        <w:r>
          <w:fldChar w:fldCharType="end"/>
        </w:r>
      </w:hyperlink>
    </w:p>
    <w:p>
      <w:pPr>
        <w:tabs>
          <w:tab w:val="right" w:leader="dot" w:pos="9062"/>
        </w:tabs>
        <w:ind w:left="220"/>
      </w:pPr>
      <w:hyperlink w:anchor="_Toc5392" w:history="1">
        <w:r>
          <w:rPr>
            <w:rFonts w:ascii="IRNazanin" w:hAnsi="IRNazanin" w:eastAsia="IRNazanin" w:cs="IRNazanin"/>
            <w:color w:val="111111"/>
            <w:sz w:val="22"/>
            <w:szCs w:val="22"/>
            <w:b w:val="0"/>
            <w:bCs w:val="0"/>
            <w:i w:val="0"/>
            <w:iCs w:val="0"/>
          </w:rPr>
          <w:t>فاسي محمّد بن حسن، 2580-672 ؟ ه-</w:t>
        </w:r>
        <w:r>
          <w:tab/>
        </w:r>
        <w:r>
          <w:fldChar w:fldCharType="begin"/>
        </w:r>
        <w:r>
          <w:instrText xml:space="preserve">PAGEREF 5392 \h</w:instrText>
        </w:r>
        <w:r>
          <w:fldChar w:fldCharType="end"/>
        </w:r>
      </w:hyperlink>
    </w:p>
    <w:p>
      <w:pPr>
        <w:tabs>
          <w:tab w:val="right" w:leader="dot" w:pos="9062"/>
        </w:tabs>
        <w:ind w:left="220"/>
      </w:pPr>
      <w:hyperlink w:anchor="_Toc5393" w:history="1">
        <w:r>
          <w:rPr>
            <w:rFonts w:ascii="IRNazanin" w:hAnsi="IRNazanin" w:eastAsia="IRNazanin" w:cs="IRNazanin"/>
            <w:color w:val="111111"/>
            <w:sz w:val="22"/>
            <w:szCs w:val="22"/>
            <w:b w:val="0"/>
            <w:bCs w:val="0"/>
            <w:i w:val="0"/>
            <w:iCs w:val="0"/>
          </w:rPr>
          <w:t>فاسي ، محمّد بن يوسف - 1052 ه-</w:t>
        </w:r>
        <w:r>
          <w:tab/>
        </w:r>
        <w:r>
          <w:fldChar w:fldCharType="begin"/>
        </w:r>
        <w:r>
          <w:instrText xml:space="preserve">PAGEREF 5393 \h</w:instrText>
        </w:r>
        <w:r>
          <w:fldChar w:fldCharType="end"/>
        </w:r>
      </w:hyperlink>
    </w:p>
    <w:p>
      <w:pPr>
        <w:tabs>
          <w:tab w:val="right" w:leader="dot" w:pos="9062"/>
        </w:tabs>
        <w:ind w:left="220"/>
      </w:pPr>
      <w:hyperlink w:anchor="_Toc5394" w:history="1">
        <w:r>
          <w:rPr>
            <w:rFonts w:ascii="IRNazanin" w:hAnsi="IRNazanin" w:eastAsia="IRNazanin" w:cs="IRNazanin"/>
            <w:color w:val="111111"/>
            <w:sz w:val="22"/>
            <w:szCs w:val="22"/>
            <w:b w:val="0"/>
            <w:bCs w:val="0"/>
            <w:i w:val="0"/>
            <w:iCs w:val="0"/>
          </w:rPr>
          <w:t>فاسي ، محمّد مهدي بن احمد 1033 -</w:t>
        </w:r>
        <w:r>
          <w:tab/>
        </w:r>
        <w:r>
          <w:fldChar w:fldCharType="begin"/>
        </w:r>
        <w:r>
          <w:instrText xml:space="preserve">PAGEREF 5394 \h</w:instrText>
        </w:r>
        <w:r>
          <w:fldChar w:fldCharType="end"/>
        </w:r>
      </w:hyperlink>
    </w:p>
    <w:p>
      <w:pPr>
        <w:tabs>
          <w:tab w:val="right" w:leader="dot" w:pos="9062"/>
        </w:tabs>
        <w:ind w:left="220"/>
      </w:pPr>
      <w:hyperlink w:anchor="_Toc5395" w:history="1">
        <w:r>
          <w:rPr>
            <w:rFonts w:ascii="IRNazanin" w:hAnsi="IRNazanin" w:eastAsia="IRNazanin" w:cs="IRNazanin"/>
            <w:color w:val="111111"/>
            <w:sz w:val="22"/>
            <w:szCs w:val="22"/>
            <w:b w:val="0"/>
            <w:bCs w:val="0"/>
            <w:i w:val="0"/>
            <w:iCs w:val="0"/>
          </w:rPr>
          <w:t>فاضل التميمي</w:t>
        </w:r>
        <w:r>
          <w:tab/>
        </w:r>
        <w:r>
          <w:fldChar w:fldCharType="begin"/>
        </w:r>
        <w:r>
          <w:instrText xml:space="preserve">PAGEREF 5395 \h</w:instrText>
        </w:r>
        <w:r>
          <w:fldChar w:fldCharType="end"/>
        </w:r>
      </w:hyperlink>
    </w:p>
    <w:p>
      <w:pPr>
        <w:tabs>
          <w:tab w:val="right" w:leader="dot" w:pos="9062"/>
        </w:tabs>
        <w:ind w:left="220"/>
      </w:pPr>
      <w:hyperlink w:anchor="_Toc5396" w:history="1">
        <w:r>
          <w:rPr>
            <w:rFonts w:ascii="IRNazanin" w:hAnsi="IRNazanin" w:eastAsia="IRNazanin" w:cs="IRNazanin"/>
            <w:color w:val="111111"/>
            <w:sz w:val="22"/>
            <w:szCs w:val="22"/>
            <w:b w:val="0"/>
            <w:bCs w:val="0"/>
            <w:i w:val="0"/>
            <w:iCs w:val="0"/>
          </w:rPr>
          <w:t>فاضل بسطامي ، نوروز علي بن محمّد</w:t>
        </w:r>
        <w:r>
          <w:tab/>
        </w:r>
        <w:r>
          <w:fldChar w:fldCharType="begin"/>
        </w:r>
        <w:r>
          <w:instrText xml:space="preserve">PAGEREF 5396 \h</w:instrText>
        </w:r>
        <w:r>
          <w:fldChar w:fldCharType="end"/>
        </w:r>
      </w:hyperlink>
    </w:p>
    <w:p>
      <w:pPr>
        <w:tabs>
          <w:tab w:val="right" w:leader="dot" w:pos="9062"/>
        </w:tabs>
        <w:ind w:left="220"/>
      </w:pPr>
      <w:hyperlink w:anchor="_Toc5397" w:history="1">
        <w:r>
          <w:rPr>
            <w:rFonts w:ascii="IRNazanin" w:hAnsi="IRNazanin" w:eastAsia="IRNazanin" w:cs="IRNazanin"/>
            <w:color w:val="111111"/>
            <w:sz w:val="22"/>
            <w:szCs w:val="22"/>
            <w:b w:val="0"/>
            <w:bCs w:val="0"/>
            <w:i w:val="0"/>
            <w:iCs w:val="0"/>
          </w:rPr>
          <w:t>فاضل بيك ، حسين بن امير - 1222 ه-</w:t>
        </w:r>
        <w:r>
          <w:tab/>
        </w:r>
        <w:r>
          <w:fldChar w:fldCharType="begin"/>
        </w:r>
        <w:r>
          <w:instrText xml:space="preserve">PAGEREF 5397 \h</w:instrText>
        </w:r>
        <w:r>
          <w:fldChar w:fldCharType="end"/>
        </w:r>
      </w:hyperlink>
    </w:p>
    <w:p>
      <w:pPr>
        <w:tabs>
          <w:tab w:val="right" w:leader="dot" w:pos="9062"/>
        </w:tabs>
        <w:ind w:left="220"/>
      </w:pPr>
      <w:hyperlink w:anchor="_Toc5398" w:history="1">
        <w:r>
          <w:rPr>
            <w:rFonts w:ascii="IRNazanin" w:hAnsi="IRNazanin" w:eastAsia="IRNazanin" w:cs="IRNazanin"/>
            <w:color w:val="111111"/>
            <w:sz w:val="22"/>
            <w:szCs w:val="22"/>
            <w:b w:val="0"/>
            <w:bCs w:val="0"/>
            <w:i w:val="0"/>
            <w:iCs w:val="0"/>
          </w:rPr>
          <w:t>فاضل جواد، جواد بن سعيد - 1065 ه-</w:t>
        </w:r>
        <w:r>
          <w:tab/>
        </w:r>
        <w:r>
          <w:fldChar w:fldCharType="begin"/>
        </w:r>
        <w:r>
          <w:instrText xml:space="preserve">PAGEREF 5398 \h</w:instrText>
        </w:r>
        <w:r>
          <w:fldChar w:fldCharType="end"/>
        </w:r>
      </w:hyperlink>
    </w:p>
    <w:p>
      <w:pPr>
        <w:tabs>
          <w:tab w:val="right" w:leader="dot" w:pos="9062"/>
        </w:tabs>
        <w:ind w:left="220"/>
      </w:pPr>
      <w:hyperlink w:anchor="_Toc5399" w:history="1">
        <w:r>
          <w:rPr>
            <w:rFonts w:ascii="IRNazanin" w:hAnsi="IRNazanin" w:eastAsia="IRNazanin" w:cs="IRNazanin"/>
            <w:color w:val="111111"/>
            <w:sz w:val="22"/>
            <w:szCs w:val="22"/>
            <w:b w:val="0"/>
            <w:bCs w:val="0"/>
            <w:i w:val="0"/>
            <w:iCs w:val="0"/>
          </w:rPr>
          <w:t>فاضل چلبي</w:t>
        </w:r>
        <w:r>
          <w:tab/>
        </w:r>
        <w:r>
          <w:fldChar w:fldCharType="begin"/>
        </w:r>
        <w:r>
          <w:instrText xml:space="preserve">PAGEREF 5399 \h</w:instrText>
        </w:r>
        <w:r>
          <w:fldChar w:fldCharType="end"/>
        </w:r>
      </w:hyperlink>
    </w:p>
    <w:p>
      <w:pPr>
        <w:tabs>
          <w:tab w:val="right" w:leader="dot" w:pos="9062"/>
        </w:tabs>
        <w:ind w:left="220"/>
      </w:pPr>
      <w:hyperlink w:anchor="_Toc5400" w:history="1">
        <w:r>
          <w:rPr>
            <w:rFonts w:ascii="IRNazanin" w:hAnsi="IRNazanin" w:eastAsia="IRNazanin" w:cs="IRNazanin"/>
            <w:color w:val="111111"/>
            <w:sz w:val="22"/>
            <w:szCs w:val="22"/>
            <w:b w:val="0"/>
            <w:bCs w:val="0"/>
            <w:i w:val="0"/>
            <w:iCs w:val="0"/>
          </w:rPr>
          <w:t>فاضل رهاوي ، يحيى، - 1000 ؟ ه-</w:t>
        </w:r>
        <w:r>
          <w:tab/>
        </w:r>
        <w:r>
          <w:fldChar w:fldCharType="begin"/>
        </w:r>
        <w:r>
          <w:instrText xml:space="preserve">PAGEREF 5400 \h</w:instrText>
        </w:r>
        <w:r>
          <w:fldChar w:fldCharType="end"/>
        </w:r>
      </w:hyperlink>
    </w:p>
    <w:p>
      <w:pPr>
        <w:tabs>
          <w:tab w:val="right" w:leader="dot" w:pos="9062"/>
        </w:tabs>
        <w:ind w:left="220"/>
      </w:pPr>
      <w:hyperlink w:anchor="_Toc5401" w:history="1">
        <w:r>
          <w:rPr>
            <w:rFonts w:ascii="IRNazanin" w:hAnsi="IRNazanin" w:eastAsia="IRNazanin" w:cs="IRNazanin"/>
            <w:color w:val="111111"/>
            <w:sz w:val="22"/>
            <w:szCs w:val="22"/>
            <w:b w:val="0"/>
            <w:bCs w:val="0"/>
            <w:i w:val="0"/>
            <w:iCs w:val="0"/>
          </w:rPr>
          <w:t>فاضل شربياني، محمّد بن فضلعلي 1248 - 1322 ه-</w:t>
        </w:r>
        <w:r>
          <w:tab/>
        </w:r>
        <w:r>
          <w:fldChar w:fldCharType="begin"/>
        </w:r>
        <w:r>
          <w:instrText xml:space="preserve">PAGEREF 5401 \h</w:instrText>
        </w:r>
        <w:r>
          <w:fldChar w:fldCharType="end"/>
        </w:r>
      </w:hyperlink>
    </w:p>
    <w:p>
      <w:pPr>
        <w:tabs>
          <w:tab w:val="right" w:leader="dot" w:pos="9062"/>
        </w:tabs>
        <w:ind w:left="220"/>
      </w:pPr>
      <w:hyperlink w:anchor="_Toc5402" w:history="1">
        <w:r>
          <w:rPr>
            <w:rFonts w:ascii="IRNazanin" w:hAnsi="IRNazanin" w:eastAsia="IRNazanin" w:cs="IRNazanin"/>
            <w:color w:val="111111"/>
            <w:sz w:val="22"/>
            <w:szCs w:val="22"/>
            <w:b w:val="0"/>
            <w:bCs w:val="0"/>
            <w:i w:val="0"/>
            <w:iCs w:val="0"/>
          </w:rPr>
          <w:t>فاضل شيرواني</w:t>
        </w:r>
        <w:r>
          <w:tab/>
        </w:r>
        <w:r>
          <w:fldChar w:fldCharType="begin"/>
        </w:r>
        <w:r>
          <w:instrText xml:space="preserve">PAGEREF 5402 \h</w:instrText>
        </w:r>
        <w:r>
          <w:fldChar w:fldCharType="end"/>
        </w:r>
      </w:hyperlink>
    </w:p>
    <w:p>
      <w:pPr>
        <w:tabs>
          <w:tab w:val="right" w:leader="dot" w:pos="9062"/>
        </w:tabs>
        <w:ind w:left="220"/>
      </w:pPr>
      <w:hyperlink w:anchor="_Toc5403" w:history="1">
        <w:r>
          <w:rPr>
            <w:rFonts w:ascii="IRNazanin" w:hAnsi="IRNazanin" w:eastAsia="IRNazanin" w:cs="IRNazanin"/>
            <w:color w:val="111111"/>
            <w:sz w:val="22"/>
            <w:szCs w:val="22"/>
            <w:b w:val="0"/>
            <w:bCs w:val="0"/>
            <w:i w:val="0"/>
            <w:iCs w:val="0"/>
          </w:rPr>
          <w:t>فاضل مقداد مقداد بن عبدالله - 826 ه-</w:t>
        </w:r>
        <w:r>
          <w:tab/>
        </w:r>
        <w:r>
          <w:fldChar w:fldCharType="begin"/>
        </w:r>
        <w:r>
          <w:instrText xml:space="preserve">PAGEREF 5403 \h</w:instrText>
        </w:r>
        <w:r>
          <w:fldChar w:fldCharType="end"/>
        </w:r>
      </w:hyperlink>
    </w:p>
    <w:p>
      <w:pPr>
        <w:tabs>
          <w:tab w:val="right" w:leader="dot" w:pos="9062"/>
        </w:tabs>
        <w:ind w:left="220"/>
      </w:pPr>
      <w:hyperlink w:anchor="_Toc5404" w:history="1">
        <w:r>
          <w:rPr>
            <w:rFonts w:ascii="IRNazanin" w:hAnsi="IRNazanin" w:eastAsia="IRNazanin" w:cs="IRNazanin"/>
            <w:color w:val="111111"/>
            <w:sz w:val="22"/>
            <w:szCs w:val="22"/>
            <w:b w:val="0"/>
            <w:bCs w:val="0"/>
            <w:i w:val="0"/>
            <w:iCs w:val="0"/>
          </w:rPr>
          <w:t>فاضل ، ملا علي</w:t>
        </w:r>
        <w:r>
          <w:tab/>
        </w:r>
        <w:r>
          <w:fldChar w:fldCharType="begin"/>
        </w:r>
        <w:r>
          <w:instrText xml:space="preserve">PAGEREF 5404 \h</w:instrText>
        </w:r>
        <w:r>
          <w:fldChar w:fldCharType="end"/>
        </w:r>
      </w:hyperlink>
    </w:p>
    <w:p>
      <w:pPr>
        <w:tabs>
          <w:tab w:val="right" w:leader="dot" w:pos="9062"/>
        </w:tabs>
        <w:ind w:left="220"/>
      </w:pPr>
      <w:hyperlink w:anchor="_Toc5405" w:history="1">
        <w:r>
          <w:rPr>
            <w:rFonts w:ascii="IRNazanin" w:hAnsi="IRNazanin" w:eastAsia="IRNazanin" w:cs="IRNazanin"/>
            <w:color w:val="111111"/>
            <w:sz w:val="22"/>
            <w:szCs w:val="22"/>
            <w:b w:val="0"/>
            <w:bCs w:val="0"/>
            <w:i w:val="0"/>
            <w:iCs w:val="0"/>
          </w:rPr>
          <w:t>فاضل هندي ، محمّد بن حسن، 1062 -</w:t>
        </w:r>
        <w:r>
          <w:tab/>
        </w:r>
        <w:r>
          <w:fldChar w:fldCharType="begin"/>
        </w:r>
        <w:r>
          <w:instrText xml:space="preserve">PAGEREF 5405 \h</w:instrText>
        </w:r>
        <w:r>
          <w:fldChar w:fldCharType="end"/>
        </w:r>
      </w:hyperlink>
    </w:p>
    <w:p>
      <w:pPr>
        <w:tabs>
          <w:tab w:val="right" w:leader="dot" w:pos="9062"/>
        </w:tabs>
        <w:ind w:left="220"/>
      </w:pPr>
      <w:hyperlink w:anchor="_Toc5406" w:history="1">
        <w:r>
          <w:rPr>
            <w:rFonts w:ascii="IRNazanin" w:hAnsi="IRNazanin" w:eastAsia="IRNazanin" w:cs="IRNazanin"/>
            <w:color w:val="111111"/>
            <w:sz w:val="22"/>
            <w:szCs w:val="22"/>
            <w:b w:val="0"/>
            <w:bCs w:val="0"/>
            <w:i w:val="0"/>
            <w:iCs w:val="0"/>
          </w:rPr>
          <w:t>فاضل يمني يحيى بن قاسم 680-750 ه-</w:t>
        </w:r>
        <w:r>
          <w:tab/>
        </w:r>
        <w:r>
          <w:fldChar w:fldCharType="begin"/>
        </w:r>
        <w:r>
          <w:instrText xml:space="preserve">PAGEREF 5406 \h</w:instrText>
        </w:r>
        <w:r>
          <w:fldChar w:fldCharType="end"/>
        </w:r>
      </w:hyperlink>
    </w:p>
    <w:p>
      <w:pPr>
        <w:tabs>
          <w:tab w:val="right" w:leader="dot" w:pos="9062"/>
        </w:tabs>
        <w:ind w:left="220"/>
      </w:pPr>
      <w:hyperlink w:anchor="_Toc5407" w:history="1">
        <w:r>
          <w:rPr>
            <w:rFonts w:ascii="IRNazanin" w:hAnsi="IRNazanin" w:eastAsia="IRNazanin" w:cs="IRNazanin"/>
            <w:color w:val="111111"/>
            <w:sz w:val="22"/>
            <w:szCs w:val="22"/>
            <w:b w:val="0"/>
            <w:bCs w:val="0"/>
            <w:i w:val="0"/>
            <w:iCs w:val="0"/>
          </w:rPr>
          <w:t>فاطر ، محمّد درویش بن محمّد حسن زاد</w:t>
        </w:r>
        <w:r>
          <w:tab/>
        </w:r>
        <w:r>
          <w:fldChar w:fldCharType="begin"/>
        </w:r>
        <w:r>
          <w:instrText xml:space="preserve">PAGEREF 5407 \h</w:instrText>
        </w:r>
        <w:r>
          <w:fldChar w:fldCharType="end"/>
        </w:r>
      </w:hyperlink>
    </w:p>
    <w:p>
      <w:pPr>
        <w:tabs>
          <w:tab w:val="right" w:leader="dot" w:pos="9062"/>
        </w:tabs>
        <w:ind w:left="220"/>
      </w:pPr>
      <w:hyperlink w:anchor="_Toc5408" w:history="1">
        <w:r>
          <w:rPr>
            <w:rFonts w:ascii="IRNazanin" w:hAnsi="IRNazanin" w:eastAsia="IRNazanin" w:cs="IRNazanin"/>
            <w:color w:val="111111"/>
            <w:sz w:val="22"/>
            <w:szCs w:val="22"/>
            <w:b w:val="0"/>
            <w:bCs w:val="0"/>
            <w:i w:val="0"/>
            <w:iCs w:val="0"/>
          </w:rPr>
          <w:t>فاطمة الزهرا (س) - 11ه-</w:t>
        </w:r>
        <w:r>
          <w:tab/>
        </w:r>
        <w:r>
          <w:fldChar w:fldCharType="begin"/>
        </w:r>
        <w:r>
          <w:instrText xml:space="preserve">PAGEREF 5408 \h</w:instrText>
        </w:r>
        <w:r>
          <w:fldChar w:fldCharType="end"/>
        </w:r>
      </w:hyperlink>
    </w:p>
    <w:p>
      <w:pPr>
        <w:tabs>
          <w:tab w:val="right" w:leader="dot" w:pos="9062"/>
        </w:tabs>
        <w:ind w:left="220"/>
      </w:pPr>
      <w:hyperlink w:anchor="_Toc5409" w:history="1">
        <w:r>
          <w:rPr>
            <w:rFonts w:ascii="IRNazanin" w:hAnsi="IRNazanin" w:eastAsia="IRNazanin" w:cs="IRNazanin"/>
            <w:color w:val="111111"/>
            <w:sz w:val="22"/>
            <w:szCs w:val="22"/>
            <w:b w:val="0"/>
            <w:bCs w:val="0"/>
            <w:i w:val="0"/>
            <w:iCs w:val="0"/>
          </w:rPr>
          <w:t>فاكهي ، عبد القادر بن احمد 920-989ه-</w:t>
        </w:r>
        <w:r>
          <w:tab/>
        </w:r>
        <w:r>
          <w:fldChar w:fldCharType="begin"/>
        </w:r>
        <w:r>
          <w:instrText xml:space="preserve">PAGEREF 5409 \h</w:instrText>
        </w:r>
        <w:r>
          <w:fldChar w:fldCharType="end"/>
        </w:r>
      </w:hyperlink>
    </w:p>
    <w:p>
      <w:pPr>
        <w:tabs>
          <w:tab w:val="right" w:leader="dot" w:pos="9062"/>
        </w:tabs>
        <w:ind w:left="220"/>
      </w:pPr>
      <w:hyperlink w:anchor="_Toc5410" w:history="1">
        <w:r>
          <w:rPr>
            <w:rFonts w:ascii="IRNazanin" w:hAnsi="IRNazanin" w:eastAsia="IRNazanin" w:cs="IRNazanin"/>
            <w:color w:val="111111"/>
            <w:sz w:val="22"/>
            <w:szCs w:val="22"/>
            <w:b w:val="0"/>
            <w:bCs w:val="0"/>
            <w:i w:val="0"/>
            <w:iCs w:val="0"/>
          </w:rPr>
          <w:t>فاكهي ، عبدالله بن احمد، 899 - 972 ه-</w:t>
        </w:r>
        <w:r>
          <w:tab/>
        </w:r>
        <w:r>
          <w:fldChar w:fldCharType="begin"/>
        </w:r>
        <w:r>
          <w:instrText xml:space="preserve">PAGEREF 5410 \h</w:instrText>
        </w:r>
        <w:r>
          <w:fldChar w:fldCharType="end"/>
        </w:r>
      </w:hyperlink>
    </w:p>
    <w:p>
      <w:pPr>
        <w:tabs>
          <w:tab w:val="right" w:leader="dot" w:pos="9062"/>
        </w:tabs>
        <w:ind w:left="220"/>
      </w:pPr>
      <w:hyperlink w:anchor="_Toc5411" w:history="1">
        <w:r>
          <w:rPr>
            <w:rFonts w:ascii="IRNazanin" w:hAnsi="IRNazanin" w:eastAsia="IRNazanin" w:cs="IRNazanin"/>
            <w:color w:val="111111"/>
            <w:sz w:val="22"/>
            <w:szCs w:val="22"/>
            <w:b w:val="0"/>
            <w:bCs w:val="0"/>
            <w:i w:val="0"/>
            <w:iCs w:val="0"/>
          </w:rPr>
          <w:t>فاكهي ، علي بن محمّد، قرن 9 ه-</w:t>
        </w:r>
        <w:r>
          <w:tab/>
        </w:r>
        <w:r>
          <w:fldChar w:fldCharType="begin"/>
        </w:r>
        <w:r>
          <w:instrText xml:space="preserve">PAGEREF 5411 \h</w:instrText>
        </w:r>
        <w:r>
          <w:fldChar w:fldCharType="end"/>
        </w:r>
      </w:hyperlink>
    </w:p>
    <w:p>
      <w:pPr>
        <w:tabs>
          <w:tab w:val="right" w:leader="dot" w:pos="9062"/>
        </w:tabs>
        <w:ind w:left="220"/>
      </w:pPr>
      <w:hyperlink w:anchor="_Toc5412" w:history="1">
        <w:r>
          <w:rPr>
            <w:rFonts w:ascii="IRNazanin" w:hAnsi="IRNazanin" w:eastAsia="IRNazanin" w:cs="IRNazanin"/>
            <w:color w:val="111111"/>
            <w:sz w:val="22"/>
            <w:szCs w:val="22"/>
            <w:b w:val="0"/>
            <w:bCs w:val="0"/>
            <w:i w:val="0"/>
            <w:iCs w:val="0"/>
          </w:rPr>
          <w:t>فالي ، اسعد بن نصر، - 624 ه-</w:t>
        </w:r>
        <w:r>
          <w:tab/>
        </w:r>
        <w:r>
          <w:fldChar w:fldCharType="begin"/>
        </w:r>
        <w:r>
          <w:instrText xml:space="preserve">PAGEREF 5412 \h</w:instrText>
        </w:r>
        <w:r>
          <w:fldChar w:fldCharType="end"/>
        </w:r>
      </w:hyperlink>
    </w:p>
    <w:p>
      <w:pPr>
        <w:tabs>
          <w:tab w:val="right" w:leader="dot" w:pos="9062"/>
        </w:tabs>
        <w:ind w:left="220"/>
      </w:pPr>
      <w:hyperlink w:anchor="_Toc5413" w:history="1">
        <w:r>
          <w:rPr>
            <w:rFonts w:ascii="IRNazanin" w:hAnsi="IRNazanin" w:eastAsia="IRNazanin" w:cs="IRNazanin"/>
            <w:color w:val="111111"/>
            <w:sz w:val="22"/>
            <w:szCs w:val="22"/>
            <w:b w:val="0"/>
            <w:bCs w:val="0"/>
            <w:i w:val="0"/>
            <w:iCs w:val="0"/>
          </w:rPr>
          <w:t>فاني شيرازي دهدار ، محمّد بن محمود</w:t>
        </w:r>
        <w:r>
          <w:tab/>
        </w:r>
        <w:r>
          <w:fldChar w:fldCharType="begin"/>
        </w:r>
        <w:r>
          <w:instrText xml:space="preserve">PAGEREF 5413 \h</w:instrText>
        </w:r>
        <w:r>
          <w:fldChar w:fldCharType="end"/>
        </w:r>
      </w:hyperlink>
    </w:p>
    <w:p>
      <w:pPr>
        <w:tabs>
          <w:tab w:val="right" w:leader="dot" w:pos="9062"/>
        </w:tabs>
        <w:ind w:left="220"/>
      </w:pPr>
      <w:hyperlink w:anchor="_Toc5414" w:history="1">
        <w:r>
          <w:rPr>
            <w:rFonts w:ascii="IRNazanin" w:hAnsi="IRNazanin" w:eastAsia="IRNazanin" w:cs="IRNazanin"/>
            <w:color w:val="111111"/>
            <w:sz w:val="22"/>
            <w:szCs w:val="22"/>
            <w:b w:val="0"/>
            <w:bCs w:val="0"/>
            <w:i w:val="0"/>
            <w:iCs w:val="0"/>
          </w:rPr>
          <w:t>فاني ،كشميري محسن بن حسن - 1081ه-</w:t>
        </w:r>
        <w:r>
          <w:tab/>
        </w:r>
        <w:r>
          <w:fldChar w:fldCharType="begin"/>
        </w:r>
        <w:r>
          <w:instrText xml:space="preserve">PAGEREF 5414 \h</w:instrText>
        </w:r>
        <w:r>
          <w:fldChar w:fldCharType="end"/>
        </w:r>
      </w:hyperlink>
    </w:p>
    <w:p>
      <w:pPr>
        <w:tabs>
          <w:tab w:val="right" w:leader="dot" w:pos="9062"/>
        </w:tabs>
        <w:ind w:left="220"/>
      </w:pPr>
      <w:hyperlink w:anchor="_Toc5415" w:history="1">
        <w:r>
          <w:rPr>
            <w:rFonts w:ascii="IRNazanin" w:hAnsi="IRNazanin" w:eastAsia="IRNazanin" w:cs="IRNazanin"/>
            <w:color w:val="111111"/>
            <w:sz w:val="22"/>
            <w:szCs w:val="22"/>
            <w:b w:val="0"/>
            <w:bCs w:val="0"/>
            <w:i w:val="0"/>
            <w:iCs w:val="0"/>
          </w:rPr>
          <w:t>فاوجي ، محمود بن عبد المجيد</w:t>
        </w:r>
        <w:r>
          <w:tab/>
        </w:r>
        <w:r>
          <w:fldChar w:fldCharType="begin"/>
        </w:r>
        <w:r>
          <w:instrText xml:space="preserve">PAGEREF 5415 \h</w:instrText>
        </w:r>
        <w:r>
          <w:fldChar w:fldCharType="end"/>
        </w:r>
      </w:hyperlink>
    </w:p>
    <w:p>
      <w:pPr>
        <w:tabs>
          <w:tab w:val="right" w:leader="dot" w:pos="9062"/>
        </w:tabs>
        <w:ind w:left="220"/>
      </w:pPr>
      <w:hyperlink w:anchor="_Toc5416" w:history="1">
        <w:r>
          <w:rPr>
            <w:rFonts w:ascii="IRNazanin" w:hAnsi="IRNazanin" w:eastAsia="IRNazanin" w:cs="IRNazanin"/>
            <w:color w:val="111111"/>
            <w:sz w:val="22"/>
            <w:szCs w:val="22"/>
            <w:b w:val="0"/>
            <w:bCs w:val="0"/>
            <w:i w:val="0"/>
            <w:iCs w:val="0"/>
          </w:rPr>
          <w:t>فتال ، خليل بن محمّد 1117 - 1184 ه-</w:t>
        </w:r>
        <w:r>
          <w:tab/>
        </w:r>
        <w:r>
          <w:fldChar w:fldCharType="begin"/>
        </w:r>
        <w:r>
          <w:instrText xml:space="preserve">PAGEREF 5416 \h</w:instrText>
        </w:r>
        <w:r>
          <w:fldChar w:fldCharType="end"/>
        </w:r>
      </w:hyperlink>
    </w:p>
    <w:p>
      <w:pPr>
        <w:tabs>
          <w:tab w:val="right" w:leader="dot" w:pos="9062"/>
        </w:tabs>
        <w:ind w:left="220"/>
      </w:pPr>
      <w:hyperlink w:anchor="_Toc5417" w:history="1">
        <w:r>
          <w:rPr>
            <w:rFonts w:ascii="IRNazanin" w:hAnsi="IRNazanin" w:eastAsia="IRNazanin" w:cs="IRNazanin"/>
            <w:color w:val="111111"/>
            <w:sz w:val="22"/>
            <w:szCs w:val="22"/>
            <w:b w:val="0"/>
            <w:bCs w:val="0"/>
            <w:i w:val="0"/>
            <w:iCs w:val="0"/>
          </w:rPr>
          <w:t>فتال دمشقي، ابراهيم بن منصور</w:t>
        </w:r>
        <w:r>
          <w:tab/>
        </w:r>
        <w:r>
          <w:fldChar w:fldCharType="begin"/>
        </w:r>
        <w:r>
          <w:instrText xml:space="preserve">PAGEREF 5417 \h</w:instrText>
        </w:r>
        <w:r>
          <w:fldChar w:fldCharType="end"/>
        </w:r>
      </w:hyperlink>
    </w:p>
    <w:p>
      <w:pPr>
        <w:tabs>
          <w:tab w:val="right" w:leader="dot" w:pos="9062"/>
        </w:tabs>
        <w:ind w:left="220"/>
      </w:pPr>
      <w:hyperlink w:anchor="_Toc5418" w:history="1">
        <w:r>
          <w:rPr>
            <w:rFonts w:ascii="IRNazanin" w:hAnsi="IRNazanin" w:eastAsia="IRNazanin" w:cs="IRNazanin"/>
            <w:color w:val="111111"/>
            <w:sz w:val="22"/>
            <w:szCs w:val="22"/>
            <w:b w:val="0"/>
            <w:bCs w:val="0"/>
            <w:i w:val="0"/>
            <w:iCs w:val="0"/>
          </w:rPr>
          <w:t>فتال ، عبد القادر بن محمّد قرن 12 ه-</w:t>
        </w:r>
        <w:r>
          <w:tab/>
        </w:r>
        <w:r>
          <w:fldChar w:fldCharType="begin"/>
        </w:r>
        <w:r>
          <w:instrText xml:space="preserve">PAGEREF 5418 \h</w:instrText>
        </w:r>
        <w:r>
          <w:fldChar w:fldCharType="end"/>
        </w:r>
      </w:hyperlink>
    </w:p>
    <w:p>
      <w:pPr>
        <w:tabs>
          <w:tab w:val="right" w:leader="dot" w:pos="9062"/>
        </w:tabs>
        <w:ind w:left="220"/>
      </w:pPr>
      <w:hyperlink w:anchor="_Toc5419" w:history="1">
        <w:r>
          <w:rPr>
            <w:rFonts w:ascii="IRNazanin" w:hAnsi="IRNazanin" w:eastAsia="IRNazanin" w:cs="IRNazanin"/>
            <w:color w:val="111111"/>
            <w:sz w:val="22"/>
            <w:szCs w:val="22"/>
            <w:b w:val="0"/>
            <w:bCs w:val="0"/>
            <w:i w:val="0"/>
            <w:iCs w:val="0"/>
          </w:rPr>
          <w:t>فتال نیشابوري، محمّد بن حسن -508ه-</w:t>
        </w:r>
        <w:r>
          <w:tab/>
        </w:r>
        <w:r>
          <w:fldChar w:fldCharType="begin"/>
        </w:r>
        <w:r>
          <w:instrText xml:space="preserve">PAGEREF 5419 \h</w:instrText>
        </w:r>
        <w:r>
          <w:fldChar w:fldCharType="end"/>
        </w:r>
      </w:hyperlink>
    </w:p>
    <w:p>
      <w:pPr>
        <w:tabs>
          <w:tab w:val="right" w:leader="dot" w:pos="9062"/>
        </w:tabs>
        <w:ind w:left="220"/>
      </w:pPr>
      <w:hyperlink w:anchor="_Toc5420" w:history="1">
        <w:r>
          <w:rPr>
            <w:rFonts w:ascii="IRNazanin" w:hAnsi="IRNazanin" w:eastAsia="IRNazanin" w:cs="IRNazanin"/>
            <w:color w:val="111111"/>
            <w:sz w:val="22"/>
            <w:szCs w:val="22"/>
            <w:b w:val="0"/>
            <w:bCs w:val="0"/>
            <w:i w:val="0"/>
            <w:iCs w:val="0"/>
          </w:rPr>
          <w:t>فتني ، محمّد طاهر بن علي 910-986ه-</w:t>
        </w:r>
        <w:r>
          <w:tab/>
        </w:r>
        <w:r>
          <w:fldChar w:fldCharType="begin"/>
        </w:r>
        <w:r>
          <w:instrText xml:space="preserve">PAGEREF 5420 \h</w:instrText>
        </w:r>
        <w:r>
          <w:fldChar w:fldCharType="end"/>
        </w:r>
      </w:hyperlink>
    </w:p>
    <w:p>
      <w:pPr>
        <w:tabs>
          <w:tab w:val="right" w:leader="dot" w:pos="9062"/>
        </w:tabs>
        <w:ind w:left="220"/>
      </w:pPr>
      <w:hyperlink w:anchor="_Toc5421" w:history="1">
        <w:r>
          <w:rPr>
            <w:rFonts w:ascii="IRNazanin" w:hAnsi="IRNazanin" w:eastAsia="IRNazanin" w:cs="IRNazanin"/>
            <w:color w:val="111111"/>
            <w:sz w:val="22"/>
            <w:szCs w:val="22"/>
            <w:b w:val="0"/>
            <w:bCs w:val="0"/>
            <w:i w:val="0"/>
            <w:iCs w:val="0"/>
          </w:rPr>
          <w:t>فته ، ابراهيم بن محمّد سعيد، 1204؟ -</w:t>
        </w:r>
        <w:r>
          <w:tab/>
        </w:r>
        <w:r>
          <w:fldChar w:fldCharType="begin"/>
        </w:r>
        <w:r>
          <w:instrText xml:space="preserve">PAGEREF 5421 \h</w:instrText>
        </w:r>
        <w:r>
          <w:fldChar w:fldCharType="end"/>
        </w:r>
      </w:hyperlink>
    </w:p>
    <w:p>
      <w:pPr>
        <w:tabs>
          <w:tab w:val="right" w:leader="dot" w:pos="9062"/>
        </w:tabs>
        <w:ind w:left="220"/>
      </w:pPr>
      <w:hyperlink w:anchor="_Toc5422" w:history="1">
        <w:r>
          <w:rPr>
            <w:rFonts w:ascii="IRNazanin" w:hAnsi="IRNazanin" w:eastAsia="IRNazanin" w:cs="IRNazanin"/>
            <w:color w:val="111111"/>
            <w:sz w:val="22"/>
            <w:szCs w:val="22"/>
            <w:b w:val="0"/>
            <w:bCs w:val="0"/>
            <w:i w:val="0"/>
            <w:iCs w:val="0"/>
          </w:rPr>
          <w:t>فتوحي، احمد بن عبدالعزيز 949 ه-</w:t>
        </w:r>
        <w:r>
          <w:tab/>
        </w:r>
        <w:r>
          <w:fldChar w:fldCharType="begin"/>
        </w:r>
        <w:r>
          <w:instrText xml:space="preserve">PAGEREF 5422 \h</w:instrText>
        </w:r>
        <w:r>
          <w:fldChar w:fldCharType="end"/>
        </w:r>
      </w:hyperlink>
    </w:p>
    <w:p>
      <w:pPr>
        <w:tabs>
          <w:tab w:val="right" w:leader="dot" w:pos="9062"/>
        </w:tabs>
        <w:ind w:left="220"/>
      </w:pPr>
      <w:hyperlink w:anchor="_Toc5423" w:history="1">
        <w:r>
          <w:rPr>
            <w:rFonts w:ascii="IRNazanin" w:hAnsi="IRNazanin" w:eastAsia="IRNazanin" w:cs="IRNazanin"/>
            <w:color w:val="111111"/>
            <w:sz w:val="22"/>
            <w:szCs w:val="22"/>
            <w:b w:val="0"/>
            <w:bCs w:val="0"/>
            <w:i w:val="0"/>
            <w:iCs w:val="0"/>
          </w:rPr>
          <w:t>فتوني</w:t>
        </w:r>
        <w:r>
          <w:tab/>
        </w:r>
        <w:r>
          <w:fldChar w:fldCharType="begin"/>
        </w:r>
        <w:r>
          <w:instrText xml:space="preserve">PAGEREF 5423 \h</w:instrText>
        </w:r>
        <w:r>
          <w:fldChar w:fldCharType="end"/>
        </w:r>
      </w:hyperlink>
    </w:p>
    <w:p>
      <w:pPr>
        <w:tabs>
          <w:tab w:val="right" w:leader="dot" w:pos="9062"/>
        </w:tabs>
        <w:ind w:left="220"/>
      </w:pPr>
      <w:hyperlink w:anchor="_Toc5424" w:history="1">
        <w:r>
          <w:rPr>
            <w:rFonts w:ascii="IRNazanin" w:hAnsi="IRNazanin" w:eastAsia="IRNazanin" w:cs="IRNazanin"/>
            <w:color w:val="111111"/>
            <w:sz w:val="22"/>
            <w:szCs w:val="22"/>
            <w:b w:val="0"/>
            <w:bCs w:val="0"/>
            <w:i w:val="0"/>
            <w:iCs w:val="0"/>
          </w:rPr>
          <w:t>فتوني اصفهاني ، ابوالحسن بن محمّد</w:t>
        </w:r>
        <w:r>
          <w:tab/>
        </w:r>
        <w:r>
          <w:fldChar w:fldCharType="begin"/>
        </w:r>
        <w:r>
          <w:instrText xml:space="preserve">PAGEREF 5424 \h</w:instrText>
        </w:r>
        <w:r>
          <w:fldChar w:fldCharType="end"/>
        </w:r>
      </w:hyperlink>
    </w:p>
    <w:p>
      <w:pPr>
        <w:tabs>
          <w:tab w:val="right" w:leader="dot" w:pos="9062"/>
        </w:tabs>
        <w:ind w:left="220"/>
      </w:pPr>
      <w:hyperlink w:anchor="_Toc5425" w:history="1">
        <w:r>
          <w:rPr>
            <w:rFonts w:ascii="IRNazanin" w:hAnsi="IRNazanin" w:eastAsia="IRNazanin" w:cs="IRNazanin"/>
            <w:color w:val="111111"/>
            <w:sz w:val="22"/>
            <w:szCs w:val="22"/>
            <w:b w:val="0"/>
            <w:bCs w:val="0"/>
            <w:i w:val="0"/>
            <w:iCs w:val="0"/>
          </w:rPr>
          <w:t>فتوني ، حسين بن علي</w:t>
        </w:r>
        <w:r>
          <w:tab/>
        </w:r>
        <w:r>
          <w:fldChar w:fldCharType="begin"/>
        </w:r>
        <w:r>
          <w:instrText xml:space="preserve">PAGEREF 5425 \h</w:instrText>
        </w:r>
        <w:r>
          <w:fldChar w:fldCharType="end"/>
        </w:r>
      </w:hyperlink>
    </w:p>
    <w:p>
      <w:pPr>
        <w:tabs>
          <w:tab w:val="right" w:leader="dot" w:pos="9062"/>
        </w:tabs>
        <w:ind w:left="220"/>
      </w:pPr>
      <w:hyperlink w:anchor="_Toc5426" w:history="1">
        <w:r>
          <w:rPr>
            <w:rFonts w:ascii="IRNazanin" w:hAnsi="IRNazanin" w:eastAsia="IRNazanin" w:cs="IRNazanin"/>
            <w:color w:val="111111"/>
            <w:sz w:val="22"/>
            <w:szCs w:val="22"/>
            <w:b w:val="0"/>
            <w:bCs w:val="0"/>
            <w:i w:val="0"/>
            <w:iCs w:val="0"/>
          </w:rPr>
          <w:t>فتي ، عمر بن محمّد، 801 - 887 ه-</w:t>
        </w:r>
        <w:r>
          <w:tab/>
        </w:r>
        <w:r>
          <w:fldChar w:fldCharType="begin"/>
        </w:r>
        <w:r>
          <w:instrText xml:space="preserve">PAGEREF 5426 \h</w:instrText>
        </w:r>
        <w:r>
          <w:fldChar w:fldCharType="end"/>
        </w:r>
      </w:hyperlink>
    </w:p>
    <w:p>
      <w:pPr>
        <w:tabs>
          <w:tab w:val="right" w:leader="dot" w:pos="9062"/>
        </w:tabs>
        <w:ind w:left="220"/>
      </w:pPr>
      <w:hyperlink w:anchor="_Toc5427" w:history="1">
        <w:r>
          <w:rPr>
            <w:rFonts w:ascii="IRNazanin" w:hAnsi="IRNazanin" w:eastAsia="IRNazanin" w:cs="IRNazanin"/>
            <w:color w:val="111111"/>
            <w:sz w:val="22"/>
            <w:szCs w:val="22"/>
            <w:b w:val="0"/>
            <w:bCs w:val="0"/>
            <w:i w:val="0"/>
            <w:iCs w:val="0"/>
          </w:rPr>
          <w:t>فحام ،اعرجي صادق بن علي - 1205 ه-</w:t>
        </w:r>
        <w:r>
          <w:tab/>
        </w:r>
        <w:r>
          <w:fldChar w:fldCharType="begin"/>
        </w:r>
        <w:r>
          <w:instrText xml:space="preserve">PAGEREF 5427 \h</w:instrText>
        </w:r>
        <w:r>
          <w:fldChar w:fldCharType="end"/>
        </w:r>
      </w:hyperlink>
    </w:p>
    <w:p>
      <w:pPr>
        <w:tabs>
          <w:tab w:val="right" w:leader="dot" w:pos="9062"/>
        </w:tabs>
        <w:ind w:left="220"/>
      </w:pPr>
      <w:hyperlink w:anchor="_Toc5428" w:history="1">
        <w:r>
          <w:rPr>
            <w:rFonts w:ascii="IRNazanin" w:hAnsi="IRNazanin" w:eastAsia="IRNazanin" w:cs="IRNazanin"/>
            <w:color w:val="111111"/>
            <w:sz w:val="22"/>
            <w:szCs w:val="22"/>
            <w:b w:val="0"/>
            <w:bCs w:val="0"/>
            <w:i w:val="0"/>
            <w:iCs w:val="0"/>
          </w:rPr>
          <w:t>فخرالدين حسيني ، محمّد بن حسين</w:t>
        </w:r>
        <w:r>
          <w:tab/>
        </w:r>
        <w:r>
          <w:fldChar w:fldCharType="begin"/>
        </w:r>
        <w:r>
          <w:instrText xml:space="preserve">PAGEREF 5428 \h</w:instrText>
        </w:r>
        <w:r>
          <w:fldChar w:fldCharType="end"/>
        </w:r>
      </w:hyperlink>
    </w:p>
    <w:p>
      <w:pPr>
        <w:tabs>
          <w:tab w:val="right" w:leader="dot" w:pos="9062"/>
        </w:tabs>
        <w:ind w:left="220"/>
      </w:pPr>
      <w:hyperlink w:anchor="_Toc5429" w:history="1">
        <w:r>
          <w:rPr>
            <w:rFonts w:ascii="IRNazanin" w:hAnsi="IRNazanin" w:eastAsia="IRNazanin" w:cs="IRNazanin"/>
            <w:color w:val="111111"/>
            <w:sz w:val="22"/>
            <w:szCs w:val="22"/>
            <w:b w:val="0"/>
            <w:bCs w:val="0"/>
            <w:i w:val="0"/>
            <w:iCs w:val="0"/>
          </w:rPr>
          <w:t>فخرالدين رومي ، يحيى بن عبدالله</w:t>
        </w:r>
        <w:r>
          <w:tab/>
        </w:r>
        <w:r>
          <w:fldChar w:fldCharType="begin"/>
        </w:r>
        <w:r>
          <w:instrText xml:space="preserve">PAGEREF 5429 \h</w:instrText>
        </w:r>
        <w:r>
          <w:fldChar w:fldCharType="end"/>
        </w:r>
      </w:hyperlink>
    </w:p>
    <w:p>
      <w:pPr>
        <w:tabs>
          <w:tab w:val="right" w:leader="dot" w:pos="9062"/>
        </w:tabs>
        <w:ind w:left="220"/>
      </w:pPr>
      <w:hyperlink w:anchor="_Toc5430" w:history="1">
        <w:r>
          <w:rPr>
            <w:rFonts w:ascii="IRNazanin" w:hAnsi="IRNazanin" w:eastAsia="IRNazanin" w:cs="IRNazanin"/>
            <w:color w:val="111111"/>
            <w:sz w:val="22"/>
            <w:szCs w:val="22"/>
            <w:b w:val="0"/>
            <w:bCs w:val="0"/>
            <w:i w:val="0"/>
            <w:iCs w:val="0"/>
          </w:rPr>
          <w:t>فخرالدين صفي ، علي بن حسين 868 -</w:t>
        </w:r>
        <w:r>
          <w:tab/>
        </w:r>
        <w:r>
          <w:fldChar w:fldCharType="begin"/>
        </w:r>
        <w:r>
          <w:instrText xml:space="preserve">PAGEREF 5430 \h</w:instrText>
        </w:r>
        <w:r>
          <w:fldChar w:fldCharType="end"/>
        </w:r>
      </w:hyperlink>
    </w:p>
    <w:p>
      <w:pPr>
        <w:tabs>
          <w:tab w:val="right" w:leader="dot" w:pos="9062"/>
        </w:tabs>
        <w:ind w:left="220"/>
      </w:pPr>
      <w:hyperlink w:anchor="_Toc5431" w:history="1">
        <w:r>
          <w:rPr>
            <w:rFonts w:ascii="IRNazanin" w:hAnsi="IRNazanin" w:eastAsia="IRNazanin" w:cs="IRNazanin"/>
            <w:color w:val="111111"/>
            <w:sz w:val="22"/>
            <w:szCs w:val="22"/>
            <w:b w:val="0"/>
            <w:bCs w:val="0"/>
            <w:i w:val="0"/>
            <w:iCs w:val="0"/>
          </w:rPr>
          <w:t>فخرالدین محمّد التباني</w:t>
        </w:r>
        <w:r>
          <w:tab/>
        </w:r>
        <w:r>
          <w:fldChar w:fldCharType="begin"/>
        </w:r>
        <w:r>
          <w:instrText xml:space="preserve">PAGEREF 5431 \h</w:instrText>
        </w:r>
        <w:r>
          <w:fldChar w:fldCharType="end"/>
        </w:r>
      </w:hyperlink>
    </w:p>
    <w:p>
      <w:pPr>
        <w:tabs>
          <w:tab w:val="right" w:leader="dot" w:pos="9062"/>
        </w:tabs>
        <w:ind w:left="220"/>
      </w:pPr>
      <w:hyperlink w:anchor="_Toc5432" w:history="1">
        <w:r>
          <w:rPr>
            <w:rFonts w:ascii="IRNazanin" w:hAnsi="IRNazanin" w:eastAsia="IRNazanin" w:cs="IRNazanin"/>
            <w:color w:val="111111"/>
            <w:sz w:val="22"/>
            <w:szCs w:val="22"/>
            <w:b w:val="0"/>
            <w:bCs w:val="0"/>
            <w:i w:val="0"/>
            <w:iCs w:val="0"/>
          </w:rPr>
          <w:t>فخر المحققين ، محمّد بن حسن 682</w:t>
        </w:r>
        <w:r>
          <w:tab/>
        </w:r>
        <w:r>
          <w:fldChar w:fldCharType="begin"/>
        </w:r>
        <w:r>
          <w:instrText xml:space="preserve">PAGEREF 5432 \h</w:instrText>
        </w:r>
        <w:r>
          <w:fldChar w:fldCharType="end"/>
        </w:r>
      </w:hyperlink>
    </w:p>
    <w:p>
      <w:pPr>
        <w:tabs>
          <w:tab w:val="right" w:leader="dot" w:pos="9062"/>
        </w:tabs>
        <w:ind w:left="220"/>
      </w:pPr>
      <w:hyperlink w:anchor="_Toc5433" w:history="1">
        <w:r>
          <w:rPr>
            <w:rFonts w:ascii="IRNazanin" w:hAnsi="IRNazanin" w:eastAsia="IRNazanin" w:cs="IRNazanin"/>
            <w:color w:val="111111"/>
            <w:sz w:val="22"/>
            <w:szCs w:val="22"/>
            <w:b w:val="0"/>
            <w:bCs w:val="0"/>
            <w:i w:val="0"/>
            <w:iCs w:val="0"/>
          </w:rPr>
          <w:t>فخر رازي محمّد بن عمر 9544-606 ه-</w:t>
        </w:r>
        <w:r>
          <w:tab/>
        </w:r>
        <w:r>
          <w:fldChar w:fldCharType="begin"/>
        </w:r>
        <w:r>
          <w:instrText xml:space="preserve">PAGEREF 5433 \h</w:instrText>
        </w:r>
        <w:r>
          <w:fldChar w:fldCharType="end"/>
        </w:r>
      </w:hyperlink>
    </w:p>
    <w:p>
      <w:pPr>
        <w:tabs>
          <w:tab w:val="right" w:leader="dot" w:pos="9062"/>
        </w:tabs>
        <w:ind w:left="220"/>
      </w:pPr>
      <w:hyperlink w:anchor="_Toc5434" w:history="1">
        <w:r>
          <w:rPr>
            <w:rFonts w:ascii="IRNazanin" w:hAnsi="IRNazanin" w:eastAsia="IRNazanin" w:cs="IRNazanin"/>
            <w:color w:val="111111"/>
            <w:sz w:val="22"/>
            <w:szCs w:val="22"/>
            <w:b w:val="0"/>
            <w:bCs w:val="0"/>
            <w:i w:val="0"/>
            <w:iCs w:val="0"/>
          </w:rPr>
          <w:t>فخري بصير ، خليل</w:t>
        </w:r>
        <w:r>
          <w:tab/>
        </w:r>
        <w:r>
          <w:fldChar w:fldCharType="begin"/>
        </w:r>
        <w:r>
          <w:instrText xml:space="preserve">PAGEREF 5434 \h</w:instrText>
        </w:r>
        <w:r>
          <w:fldChar w:fldCharType="end"/>
        </w:r>
      </w:hyperlink>
    </w:p>
    <w:p>
      <w:pPr>
        <w:tabs>
          <w:tab w:val="right" w:leader="dot" w:pos="9062"/>
        </w:tabs>
        <w:ind w:left="220"/>
      </w:pPr>
      <w:hyperlink w:anchor="_Toc5435" w:history="1">
        <w:r>
          <w:rPr>
            <w:rFonts w:ascii="IRNazanin" w:hAnsi="IRNazanin" w:eastAsia="IRNazanin" w:cs="IRNazanin"/>
            <w:color w:val="111111"/>
            <w:sz w:val="22"/>
            <w:szCs w:val="22"/>
            <w:b w:val="0"/>
            <w:bCs w:val="0"/>
            <w:i w:val="0"/>
            <w:iCs w:val="0"/>
          </w:rPr>
          <w:t>فخري زاده، احمد بن حامد - 1219 ه-</w:t>
        </w:r>
        <w:r>
          <w:tab/>
        </w:r>
        <w:r>
          <w:fldChar w:fldCharType="begin"/>
        </w:r>
        <w:r>
          <w:instrText xml:space="preserve">PAGEREF 5435 \h</w:instrText>
        </w:r>
        <w:r>
          <w:fldChar w:fldCharType="end"/>
        </w:r>
      </w:hyperlink>
    </w:p>
    <w:p>
      <w:pPr>
        <w:tabs>
          <w:tab w:val="right" w:leader="dot" w:pos="9062"/>
        </w:tabs>
        <w:ind w:left="220"/>
      </w:pPr>
      <w:hyperlink w:anchor="_Toc5436" w:history="1">
        <w:r>
          <w:rPr>
            <w:rFonts w:ascii="IRNazanin" w:hAnsi="IRNazanin" w:eastAsia="IRNazanin" w:cs="IRNazanin"/>
            <w:color w:val="111111"/>
            <w:sz w:val="22"/>
            <w:szCs w:val="22"/>
            <w:b w:val="0"/>
            <w:bCs w:val="0"/>
            <w:i w:val="0"/>
            <w:iCs w:val="0"/>
          </w:rPr>
          <w:t>فخري زاده اسعد بن عبدالله - 1203 ه-</w:t>
        </w:r>
        <w:r>
          <w:tab/>
        </w:r>
        <w:r>
          <w:fldChar w:fldCharType="begin"/>
        </w:r>
        <w:r>
          <w:instrText xml:space="preserve">PAGEREF 5436 \h</w:instrText>
        </w:r>
        <w:r>
          <w:fldChar w:fldCharType="end"/>
        </w:r>
      </w:hyperlink>
    </w:p>
    <w:p>
      <w:pPr>
        <w:tabs>
          <w:tab w:val="right" w:leader="dot" w:pos="9062"/>
        </w:tabs>
        <w:ind w:left="220"/>
      </w:pPr>
      <w:hyperlink w:anchor="_Toc5437" w:history="1">
        <w:r>
          <w:rPr>
            <w:rFonts w:ascii="IRNazanin" w:hAnsi="IRNazanin" w:eastAsia="IRNazanin" w:cs="IRNazanin"/>
            <w:color w:val="111111"/>
            <w:sz w:val="22"/>
            <w:szCs w:val="22"/>
            <w:b w:val="0"/>
            <w:bCs w:val="0"/>
            <w:i w:val="0"/>
            <w:iCs w:val="0"/>
          </w:rPr>
          <w:t>فخري زاده، خليل بن ابراهیم قرن 13</w:t>
        </w:r>
        <w:r>
          <w:tab/>
        </w:r>
        <w:r>
          <w:fldChar w:fldCharType="begin"/>
        </w:r>
        <w:r>
          <w:instrText xml:space="preserve">PAGEREF 5437 \h</w:instrText>
        </w:r>
        <w:r>
          <w:fldChar w:fldCharType="end"/>
        </w:r>
      </w:hyperlink>
    </w:p>
    <w:p>
      <w:pPr>
        <w:tabs>
          <w:tab w:val="right" w:leader="dot" w:pos="9062"/>
        </w:tabs>
        <w:ind w:left="220"/>
      </w:pPr>
      <w:hyperlink w:anchor="_Toc5438" w:history="1">
        <w:r>
          <w:rPr>
            <w:rFonts w:ascii="IRNazanin" w:hAnsi="IRNazanin" w:eastAsia="IRNazanin" w:cs="IRNazanin"/>
            <w:color w:val="111111"/>
            <w:sz w:val="22"/>
            <w:szCs w:val="22"/>
            <w:b w:val="0"/>
            <w:bCs w:val="0"/>
            <w:i w:val="0"/>
            <w:iCs w:val="0"/>
          </w:rPr>
          <w:t>فخري ، عبدالله</w:t>
        </w:r>
        <w:r>
          <w:tab/>
        </w:r>
        <w:r>
          <w:fldChar w:fldCharType="begin"/>
        </w:r>
        <w:r>
          <w:instrText xml:space="preserve">PAGEREF 5438 \h</w:instrText>
        </w:r>
        <w:r>
          <w:fldChar w:fldCharType="end"/>
        </w:r>
      </w:hyperlink>
    </w:p>
    <w:p>
      <w:pPr>
        <w:tabs>
          <w:tab w:val="right" w:leader="dot" w:pos="9062"/>
        </w:tabs>
        <w:ind w:left="220"/>
      </w:pPr>
      <w:hyperlink w:anchor="_Toc5439" w:history="1">
        <w:r>
          <w:rPr>
            <w:rFonts w:ascii="IRNazanin" w:hAnsi="IRNazanin" w:eastAsia="IRNazanin" w:cs="IRNazanin"/>
            <w:color w:val="111111"/>
            <w:sz w:val="22"/>
            <w:szCs w:val="22"/>
            <w:b w:val="0"/>
            <w:bCs w:val="0"/>
            <w:i w:val="0"/>
            <w:iCs w:val="0"/>
          </w:rPr>
          <w:t>فخري ،موصلي، محمود، 1243 - 1385 ه-</w:t>
        </w:r>
        <w:r>
          <w:tab/>
        </w:r>
        <w:r>
          <w:fldChar w:fldCharType="begin"/>
        </w:r>
        <w:r>
          <w:instrText xml:space="preserve">PAGEREF 5439 \h</w:instrText>
        </w:r>
        <w:r>
          <w:fldChar w:fldCharType="end"/>
        </w:r>
      </w:hyperlink>
    </w:p>
    <w:p>
      <w:pPr>
        <w:tabs>
          <w:tab w:val="right" w:leader="dot" w:pos="9062"/>
        </w:tabs>
        <w:ind w:left="220"/>
      </w:pPr>
      <w:hyperlink w:anchor="_Toc5440" w:history="1">
        <w:r>
          <w:rPr>
            <w:rFonts w:ascii="IRNazanin" w:hAnsi="IRNazanin" w:eastAsia="IRNazanin" w:cs="IRNazanin"/>
            <w:color w:val="111111"/>
            <w:sz w:val="22"/>
            <w:szCs w:val="22"/>
            <w:b w:val="0"/>
            <w:bCs w:val="0"/>
            <w:i w:val="0"/>
            <w:iCs w:val="0"/>
          </w:rPr>
          <w:t>فدايي كزازي ، ابوالشجاع محمّد اسماعيل</w:t>
        </w:r>
        <w:r>
          <w:tab/>
        </w:r>
        <w:r>
          <w:fldChar w:fldCharType="begin"/>
        </w:r>
        <w:r>
          <w:instrText xml:space="preserve">PAGEREF 5440 \h</w:instrText>
        </w:r>
        <w:r>
          <w:fldChar w:fldCharType="end"/>
        </w:r>
      </w:hyperlink>
    </w:p>
    <w:p>
      <w:pPr>
        <w:tabs>
          <w:tab w:val="right" w:leader="dot" w:pos="9062"/>
        </w:tabs>
        <w:ind w:left="220"/>
      </w:pPr>
      <w:hyperlink w:anchor="_Toc5441" w:history="1">
        <w:r>
          <w:rPr>
            <w:rFonts w:ascii="IRNazanin" w:hAnsi="IRNazanin" w:eastAsia="IRNazanin" w:cs="IRNazanin"/>
            <w:color w:val="111111"/>
            <w:sz w:val="22"/>
            <w:szCs w:val="22"/>
            <w:b w:val="0"/>
            <w:bCs w:val="0"/>
            <w:i w:val="0"/>
            <w:iCs w:val="0"/>
          </w:rPr>
          <w:t>فرائضي زاده، محمّد سعید بن عبدالله</w:t>
        </w:r>
        <w:r>
          <w:tab/>
        </w:r>
        <w:r>
          <w:fldChar w:fldCharType="begin"/>
        </w:r>
        <w:r>
          <w:instrText xml:space="preserve">PAGEREF 5441 \h</w:instrText>
        </w:r>
        <w:r>
          <w:fldChar w:fldCharType="end"/>
        </w:r>
      </w:hyperlink>
    </w:p>
    <w:p>
      <w:pPr>
        <w:tabs>
          <w:tab w:val="right" w:leader="dot" w:pos="9062"/>
        </w:tabs>
        <w:ind w:left="220"/>
      </w:pPr>
      <w:hyperlink w:anchor="_Toc5442" w:history="1">
        <w:r>
          <w:rPr>
            <w:rFonts w:ascii="IRNazanin" w:hAnsi="IRNazanin" w:eastAsia="IRNazanin" w:cs="IRNazanin"/>
            <w:color w:val="111111"/>
            <w:sz w:val="22"/>
            <w:szCs w:val="22"/>
            <w:b w:val="0"/>
            <w:bCs w:val="0"/>
            <w:i w:val="0"/>
            <w:iCs w:val="0"/>
          </w:rPr>
          <w:t>فراء ، محمّد بن حسين، 380 - 458 ه-</w:t>
        </w:r>
        <w:r>
          <w:tab/>
        </w:r>
        <w:r>
          <w:fldChar w:fldCharType="begin"/>
        </w:r>
        <w:r>
          <w:instrText xml:space="preserve">PAGEREF 5442 \h</w:instrText>
        </w:r>
        <w:r>
          <w:fldChar w:fldCharType="end"/>
        </w:r>
      </w:hyperlink>
    </w:p>
    <w:p>
      <w:pPr>
        <w:tabs>
          <w:tab w:val="right" w:leader="dot" w:pos="9062"/>
        </w:tabs>
        <w:ind w:left="220"/>
      </w:pPr>
      <w:hyperlink w:anchor="_Toc5443" w:history="1">
        <w:r>
          <w:rPr>
            <w:rFonts w:ascii="IRNazanin" w:hAnsi="IRNazanin" w:eastAsia="IRNazanin" w:cs="IRNazanin"/>
            <w:color w:val="111111"/>
            <w:sz w:val="22"/>
            <w:szCs w:val="22"/>
            <w:b w:val="0"/>
            <w:bCs w:val="0"/>
            <w:i w:val="0"/>
            <w:iCs w:val="0"/>
          </w:rPr>
          <w:t>فراء ، محمّد جعفر بن سليمان</w:t>
        </w:r>
        <w:r>
          <w:tab/>
        </w:r>
        <w:r>
          <w:fldChar w:fldCharType="begin"/>
        </w:r>
        <w:r>
          <w:instrText xml:space="preserve">PAGEREF 5443 \h</w:instrText>
        </w:r>
        <w:r>
          <w:fldChar w:fldCharType="end"/>
        </w:r>
      </w:hyperlink>
    </w:p>
    <w:p>
      <w:pPr>
        <w:tabs>
          <w:tab w:val="right" w:leader="dot" w:pos="9062"/>
        </w:tabs>
        <w:ind w:left="220"/>
      </w:pPr>
      <w:hyperlink w:anchor="_Toc5444" w:history="1">
        <w:r>
          <w:rPr>
            <w:rFonts w:ascii="IRNazanin" w:hAnsi="IRNazanin" w:eastAsia="IRNazanin" w:cs="IRNazanin"/>
            <w:color w:val="111111"/>
            <w:sz w:val="22"/>
            <w:szCs w:val="22"/>
            <w:b w:val="0"/>
            <w:bCs w:val="0"/>
            <w:i w:val="0"/>
            <w:iCs w:val="0"/>
          </w:rPr>
          <w:t>فراء ، یحیی بن زیاد، 144 - 207 ه-</w:t>
        </w:r>
        <w:r>
          <w:tab/>
        </w:r>
        <w:r>
          <w:fldChar w:fldCharType="begin"/>
        </w:r>
        <w:r>
          <w:instrText xml:space="preserve">PAGEREF 5444 \h</w:instrText>
        </w:r>
        <w:r>
          <w:fldChar w:fldCharType="end"/>
        </w:r>
      </w:hyperlink>
    </w:p>
    <w:p>
      <w:pPr>
        <w:tabs>
          <w:tab w:val="right" w:leader="dot" w:pos="9062"/>
        </w:tabs>
        <w:ind w:left="220"/>
      </w:pPr>
      <w:hyperlink w:anchor="_Toc5445" w:history="1">
        <w:r>
          <w:rPr>
            <w:rFonts w:ascii="IRNazanin" w:hAnsi="IRNazanin" w:eastAsia="IRNazanin" w:cs="IRNazanin"/>
            <w:color w:val="111111"/>
            <w:sz w:val="22"/>
            <w:szCs w:val="22"/>
            <w:b w:val="0"/>
            <w:bCs w:val="0"/>
            <w:i w:val="0"/>
            <w:iCs w:val="0"/>
          </w:rPr>
          <w:t>فرات ، عباس 1273 ش</w:t>
        </w:r>
        <w:r>
          <w:tab/>
        </w:r>
        <w:r>
          <w:fldChar w:fldCharType="begin"/>
        </w:r>
        <w:r>
          <w:instrText xml:space="preserve">PAGEREF 5445 \h</w:instrText>
        </w:r>
        <w:r>
          <w:fldChar w:fldCharType="end"/>
        </w:r>
      </w:hyperlink>
    </w:p>
    <w:p>
      <w:pPr>
        <w:tabs>
          <w:tab w:val="right" w:leader="dot" w:pos="9062"/>
        </w:tabs>
        <w:ind w:left="220"/>
      </w:pPr>
      <w:hyperlink w:anchor="_Toc5446" w:history="1">
        <w:r>
          <w:rPr>
            <w:rFonts w:ascii="IRNazanin" w:hAnsi="IRNazanin" w:eastAsia="IRNazanin" w:cs="IRNazanin"/>
            <w:color w:val="111111"/>
            <w:sz w:val="22"/>
            <w:szCs w:val="22"/>
            <w:b w:val="0"/>
            <w:bCs w:val="0"/>
            <w:i w:val="0"/>
            <w:iCs w:val="0"/>
          </w:rPr>
          <w:t>فراهاني ، علي بن عبدالله قرن 13 ه-</w:t>
        </w:r>
        <w:r>
          <w:tab/>
        </w:r>
        <w:r>
          <w:fldChar w:fldCharType="begin"/>
        </w:r>
        <w:r>
          <w:instrText xml:space="preserve">PAGEREF 5446 \h</w:instrText>
        </w:r>
        <w:r>
          <w:fldChar w:fldCharType="end"/>
        </w:r>
      </w:hyperlink>
    </w:p>
    <w:p>
      <w:pPr>
        <w:tabs>
          <w:tab w:val="right" w:leader="dot" w:pos="9062"/>
        </w:tabs>
        <w:ind w:left="220"/>
      </w:pPr>
      <w:hyperlink w:anchor="_Toc5447" w:history="1">
        <w:r>
          <w:rPr>
            <w:rFonts w:ascii="IRNazanin" w:hAnsi="IRNazanin" w:eastAsia="IRNazanin" w:cs="IRNazanin"/>
            <w:color w:val="111111"/>
            <w:sz w:val="22"/>
            <w:szCs w:val="22"/>
            <w:b w:val="0"/>
            <w:bCs w:val="0"/>
            <w:i w:val="0"/>
            <w:iCs w:val="0"/>
          </w:rPr>
          <w:t>فراهي ، برخوردار بن محمود قرن 10 ه-</w:t>
        </w:r>
        <w:r>
          <w:tab/>
        </w:r>
        <w:r>
          <w:fldChar w:fldCharType="begin"/>
        </w:r>
        <w:r>
          <w:instrText xml:space="preserve">PAGEREF 5447 \h</w:instrText>
        </w:r>
        <w:r>
          <w:fldChar w:fldCharType="end"/>
        </w:r>
      </w:hyperlink>
    </w:p>
    <w:p>
      <w:pPr>
        <w:tabs>
          <w:tab w:val="right" w:leader="dot" w:pos="9062"/>
        </w:tabs>
        <w:ind w:left="220"/>
      </w:pPr>
      <w:hyperlink w:anchor="_Toc5448" w:history="1">
        <w:r>
          <w:rPr>
            <w:rFonts w:ascii="IRNazanin" w:hAnsi="IRNazanin" w:eastAsia="IRNazanin" w:cs="IRNazanin"/>
            <w:color w:val="111111"/>
            <w:sz w:val="22"/>
            <w:szCs w:val="22"/>
            <w:b w:val="0"/>
            <w:bCs w:val="0"/>
            <w:i w:val="0"/>
            <w:iCs w:val="0"/>
          </w:rPr>
          <w:t>فراهيدي خليل بن احمد 100-175؟ ه-</w:t>
        </w:r>
        <w:r>
          <w:tab/>
        </w:r>
        <w:r>
          <w:fldChar w:fldCharType="begin"/>
        </w:r>
        <w:r>
          <w:instrText xml:space="preserve">PAGEREF 5448 \h</w:instrText>
        </w:r>
        <w:r>
          <w:fldChar w:fldCharType="end"/>
        </w:r>
      </w:hyperlink>
    </w:p>
    <w:p>
      <w:pPr>
        <w:tabs>
          <w:tab w:val="right" w:leader="dot" w:pos="9062"/>
        </w:tabs>
        <w:ind w:left="220"/>
      </w:pPr>
      <w:hyperlink w:anchor="_Toc5449" w:history="1">
        <w:r>
          <w:rPr>
            <w:rFonts w:ascii="IRNazanin" w:hAnsi="IRNazanin" w:eastAsia="IRNazanin" w:cs="IRNazanin"/>
            <w:color w:val="111111"/>
            <w:sz w:val="22"/>
            <w:szCs w:val="22"/>
            <w:b w:val="0"/>
            <w:bCs w:val="0"/>
            <w:i w:val="0"/>
            <w:iCs w:val="0"/>
          </w:rPr>
          <w:t>فراهي ، عبد الحميد بن عبدالوهاب</w:t>
        </w:r>
        <w:r>
          <w:tab/>
        </w:r>
        <w:r>
          <w:fldChar w:fldCharType="begin"/>
        </w:r>
        <w:r>
          <w:instrText xml:space="preserve">PAGEREF 5449 \h</w:instrText>
        </w:r>
        <w:r>
          <w:fldChar w:fldCharType="end"/>
        </w:r>
      </w:hyperlink>
    </w:p>
    <w:p>
      <w:pPr>
        <w:tabs>
          <w:tab w:val="right" w:leader="dot" w:pos="9062"/>
        </w:tabs>
        <w:ind w:left="220"/>
      </w:pPr>
      <w:hyperlink w:anchor="_Toc5450" w:history="1">
        <w:r>
          <w:rPr>
            <w:rFonts w:ascii="IRNazanin" w:hAnsi="IRNazanin" w:eastAsia="IRNazanin" w:cs="IRNazanin"/>
            <w:color w:val="111111"/>
            <w:sz w:val="22"/>
            <w:szCs w:val="22"/>
            <w:b w:val="0"/>
            <w:bCs w:val="0"/>
            <w:i w:val="0"/>
            <w:iCs w:val="0"/>
          </w:rPr>
          <w:t>فراهي ، محمّد حسین</w:t>
        </w:r>
        <w:r>
          <w:tab/>
        </w:r>
        <w:r>
          <w:fldChar w:fldCharType="begin"/>
        </w:r>
        <w:r>
          <w:instrText xml:space="preserve">PAGEREF 5450 \h</w:instrText>
        </w:r>
        <w:r>
          <w:fldChar w:fldCharType="end"/>
        </w:r>
      </w:hyperlink>
    </w:p>
    <w:p>
      <w:pPr>
        <w:tabs>
          <w:tab w:val="right" w:leader="dot" w:pos="9062"/>
        </w:tabs>
        <w:ind w:left="220"/>
      </w:pPr>
      <w:hyperlink w:anchor="_Toc5451" w:history="1">
        <w:r>
          <w:rPr>
            <w:rFonts w:ascii="IRNazanin" w:hAnsi="IRNazanin" w:eastAsia="IRNazanin" w:cs="IRNazanin"/>
            <w:color w:val="111111"/>
            <w:sz w:val="22"/>
            <w:szCs w:val="22"/>
            <w:b w:val="0"/>
            <w:bCs w:val="0"/>
            <w:i w:val="0"/>
            <w:iCs w:val="0"/>
          </w:rPr>
          <w:t>فراهي معين الدين بن محمّد - 909 ه-</w:t>
        </w:r>
        <w:r>
          <w:tab/>
        </w:r>
        <w:r>
          <w:fldChar w:fldCharType="begin"/>
        </w:r>
        <w:r>
          <w:instrText xml:space="preserve">PAGEREF 5451 \h</w:instrText>
        </w:r>
        <w:r>
          <w:fldChar w:fldCharType="end"/>
        </w:r>
      </w:hyperlink>
    </w:p>
    <w:p>
      <w:pPr>
        <w:tabs>
          <w:tab w:val="right" w:leader="dot" w:pos="9062"/>
        </w:tabs>
        <w:ind w:left="220"/>
      </w:pPr>
      <w:hyperlink w:anchor="_Toc5452" w:history="1">
        <w:r>
          <w:rPr>
            <w:rFonts w:ascii="IRNazanin" w:hAnsi="IRNazanin" w:eastAsia="IRNazanin" w:cs="IRNazanin"/>
            <w:color w:val="111111"/>
            <w:sz w:val="22"/>
            <w:szCs w:val="22"/>
            <w:b w:val="0"/>
            <w:bCs w:val="0"/>
            <w:i w:val="0"/>
            <w:iCs w:val="0"/>
          </w:rPr>
          <w:t>فراوي عبد المنعم بن عبد الله، 497-587ه-</w:t>
        </w:r>
        <w:r>
          <w:tab/>
        </w:r>
        <w:r>
          <w:fldChar w:fldCharType="begin"/>
        </w:r>
        <w:r>
          <w:instrText xml:space="preserve">PAGEREF 5452 \h</w:instrText>
        </w:r>
        <w:r>
          <w:fldChar w:fldCharType="end"/>
        </w:r>
      </w:hyperlink>
    </w:p>
    <w:p>
      <w:pPr>
        <w:tabs>
          <w:tab w:val="right" w:leader="dot" w:pos="9062"/>
        </w:tabs>
        <w:ind w:left="220"/>
      </w:pPr>
      <w:hyperlink w:anchor="_Toc5453" w:history="1">
        <w:r>
          <w:rPr>
            <w:rFonts w:ascii="IRNazanin" w:hAnsi="IRNazanin" w:eastAsia="IRNazanin" w:cs="IRNazanin"/>
            <w:color w:val="111111"/>
            <w:sz w:val="22"/>
            <w:szCs w:val="22"/>
            <w:b w:val="0"/>
            <w:bCs w:val="0"/>
            <w:i w:val="0"/>
            <w:iCs w:val="0"/>
          </w:rPr>
          <w:t>فراوي ، محمّد بن فضل، 441 - 530 ه-</w:t>
        </w:r>
        <w:r>
          <w:tab/>
        </w:r>
        <w:r>
          <w:fldChar w:fldCharType="begin"/>
        </w:r>
        <w:r>
          <w:instrText xml:space="preserve">PAGEREF 5453 \h</w:instrText>
        </w:r>
        <w:r>
          <w:fldChar w:fldCharType="end"/>
        </w:r>
      </w:hyperlink>
    </w:p>
    <w:p>
      <w:pPr>
        <w:tabs>
          <w:tab w:val="right" w:leader="dot" w:pos="9062"/>
        </w:tabs>
        <w:ind w:left="220"/>
      </w:pPr>
      <w:hyperlink w:anchor="_Toc5454" w:history="1">
        <w:r>
          <w:rPr>
            <w:rFonts w:ascii="IRNazanin" w:hAnsi="IRNazanin" w:eastAsia="IRNazanin" w:cs="IRNazanin"/>
            <w:color w:val="111111"/>
            <w:sz w:val="22"/>
            <w:szCs w:val="22"/>
            <w:b w:val="0"/>
            <w:bCs w:val="0"/>
            <w:i w:val="0"/>
            <w:iCs w:val="0"/>
          </w:rPr>
          <w:t>فرج الله ، احمد</w:t>
        </w:r>
        <w:r>
          <w:tab/>
        </w:r>
        <w:r>
          <w:fldChar w:fldCharType="begin"/>
        </w:r>
        <w:r>
          <w:instrText xml:space="preserve">PAGEREF 5454 \h</w:instrText>
        </w:r>
        <w:r>
          <w:fldChar w:fldCharType="end"/>
        </w:r>
      </w:hyperlink>
    </w:p>
    <w:p>
      <w:pPr>
        <w:tabs>
          <w:tab w:val="right" w:leader="dot" w:pos="9062"/>
        </w:tabs>
        <w:ind w:left="220"/>
      </w:pPr>
      <w:hyperlink w:anchor="_Toc5455" w:history="1">
        <w:r>
          <w:rPr>
            <w:rFonts w:ascii="IRNazanin" w:hAnsi="IRNazanin" w:eastAsia="IRNazanin" w:cs="IRNazanin"/>
            <w:color w:val="111111"/>
            <w:sz w:val="22"/>
            <w:szCs w:val="22"/>
            <w:b w:val="0"/>
            <w:bCs w:val="0"/>
            <w:i w:val="0"/>
            <w:iCs w:val="0"/>
          </w:rPr>
          <w:t>فرحات، جرمانوس 1081 - 1145 ه-</w:t>
        </w:r>
        <w:r>
          <w:tab/>
        </w:r>
        <w:r>
          <w:fldChar w:fldCharType="begin"/>
        </w:r>
        <w:r>
          <w:instrText xml:space="preserve">PAGEREF 5455 \h</w:instrText>
        </w:r>
        <w:r>
          <w:fldChar w:fldCharType="end"/>
        </w:r>
      </w:hyperlink>
    </w:p>
    <w:p>
      <w:pPr>
        <w:tabs>
          <w:tab w:val="right" w:leader="dot" w:pos="9062"/>
        </w:tabs>
        <w:ind w:left="220"/>
      </w:pPr>
      <w:hyperlink w:anchor="_Toc5456" w:history="1">
        <w:r>
          <w:rPr>
            <w:rFonts w:ascii="IRNazanin" w:hAnsi="IRNazanin" w:eastAsia="IRNazanin" w:cs="IRNazanin"/>
            <w:color w:val="111111"/>
            <w:sz w:val="22"/>
            <w:szCs w:val="22"/>
            <w:b w:val="0"/>
            <w:bCs w:val="0"/>
            <w:i w:val="0"/>
            <w:iCs w:val="0"/>
          </w:rPr>
          <w:t>فرحاتي ، مصطفى، - 1140 ه-</w:t>
        </w:r>
        <w:r>
          <w:tab/>
        </w:r>
        <w:r>
          <w:fldChar w:fldCharType="begin"/>
        </w:r>
        <w:r>
          <w:instrText xml:space="preserve">PAGEREF 5456 \h</w:instrText>
        </w:r>
        <w:r>
          <w:fldChar w:fldCharType="end"/>
        </w:r>
      </w:hyperlink>
    </w:p>
    <w:p>
      <w:pPr>
        <w:tabs>
          <w:tab w:val="right" w:leader="dot" w:pos="9062"/>
        </w:tabs>
        <w:ind w:left="220"/>
      </w:pPr>
      <w:hyperlink w:anchor="_Toc5457" w:history="1">
        <w:r>
          <w:rPr>
            <w:rFonts w:ascii="IRNazanin" w:hAnsi="IRNazanin" w:eastAsia="IRNazanin" w:cs="IRNazanin"/>
            <w:color w:val="111111"/>
            <w:sz w:val="22"/>
            <w:szCs w:val="22"/>
            <w:b w:val="0"/>
            <w:bCs w:val="0"/>
            <w:i w:val="0"/>
            <w:iCs w:val="0"/>
          </w:rPr>
          <w:t>فرخي سيستاني ، علي بن جولوغ، -429ه-</w:t>
        </w:r>
        <w:r>
          <w:tab/>
        </w:r>
        <w:r>
          <w:fldChar w:fldCharType="begin"/>
        </w:r>
        <w:r>
          <w:instrText xml:space="preserve">PAGEREF 5457 \h</w:instrText>
        </w:r>
        <w:r>
          <w:fldChar w:fldCharType="end"/>
        </w:r>
      </w:hyperlink>
    </w:p>
    <w:p>
      <w:pPr>
        <w:tabs>
          <w:tab w:val="right" w:leader="dot" w:pos="9062"/>
        </w:tabs>
        <w:ind w:left="220"/>
      </w:pPr>
      <w:hyperlink w:anchor="_Toc5458" w:history="1">
        <w:r>
          <w:rPr>
            <w:rFonts w:ascii="IRNazanin" w:hAnsi="IRNazanin" w:eastAsia="IRNazanin" w:cs="IRNazanin"/>
            <w:color w:val="111111"/>
            <w:sz w:val="22"/>
            <w:szCs w:val="22"/>
            <w:b w:val="0"/>
            <w:bCs w:val="0"/>
            <w:i w:val="0"/>
            <w:iCs w:val="0"/>
          </w:rPr>
          <w:t>؟ فردوسي ، ابوالقاسم، 329 - 411 ه-</w:t>
        </w:r>
        <w:r>
          <w:tab/>
        </w:r>
        <w:r>
          <w:fldChar w:fldCharType="begin"/>
        </w:r>
        <w:r>
          <w:instrText xml:space="preserve">PAGEREF 5458 \h</w:instrText>
        </w:r>
        <w:r>
          <w:fldChar w:fldCharType="end"/>
        </w:r>
      </w:hyperlink>
    </w:p>
    <w:p>
      <w:pPr>
        <w:tabs>
          <w:tab w:val="right" w:leader="dot" w:pos="9062"/>
        </w:tabs>
        <w:ind w:left="220"/>
      </w:pPr>
      <w:hyperlink w:anchor="_Toc5459" w:history="1">
        <w:r>
          <w:rPr>
            <w:rFonts w:ascii="IRNazanin" w:hAnsi="IRNazanin" w:eastAsia="IRNazanin" w:cs="IRNazanin"/>
            <w:color w:val="111111"/>
            <w:sz w:val="22"/>
            <w:szCs w:val="22"/>
            <w:b w:val="0"/>
            <w:bCs w:val="0"/>
            <w:i w:val="0"/>
            <w:iCs w:val="0"/>
          </w:rPr>
          <w:t>فردي ، علي بن مصطفى - 1145 ه-</w:t>
        </w:r>
        <w:r>
          <w:tab/>
        </w:r>
        <w:r>
          <w:fldChar w:fldCharType="begin"/>
        </w:r>
        <w:r>
          <w:instrText xml:space="preserve">PAGEREF 5459 \h</w:instrText>
        </w:r>
        <w:r>
          <w:fldChar w:fldCharType="end"/>
        </w:r>
      </w:hyperlink>
    </w:p>
    <w:p>
      <w:pPr>
        <w:tabs>
          <w:tab w:val="right" w:leader="dot" w:pos="9062"/>
        </w:tabs>
        <w:ind w:left="220"/>
      </w:pPr>
      <w:hyperlink w:anchor="_Toc5460" w:history="1">
        <w:r>
          <w:rPr>
            <w:rFonts w:ascii="IRNazanin" w:hAnsi="IRNazanin" w:eastAsia="IRNazanin" w:cs="IRNazanin"/>
            <w:color w:val="111111"/>
            <w:sz w:val="22"/>
            <w:szCs w:val="22"/>
            <w:b w:val="0"/>
            <w:bCs w:val="0"/>
            <w:i w:val="0"/>
            <w:iCs w:val="0"/>
          </w:rPr>
          <w:t>فرزدق، همام بن غالب - 110 ه-</w:t>
        </w:r>
        <w:r>
          <w:tab/>
        </w:r>
        <w:r>
          <w:fldChar w:fldCharType="begin"/>
        </w:r>
        <w:r>
          <w:instrText xml:space="preserve">PAGEREF 5460 \h</w:instrText>
        </w:r>
        <w:r>
          <w:fldChar w:fldCharType="end"/>
        </w:r>
      </w:hyperlink>
    </w:p>
    <w:p>
      <w:pPr>
        <w:tabs>
          <w:tab w:val="right" w:leader="dot" w:pos="9062"/>
        </w:tabs>
        <w:ind w:left="220"/>
      </w:pPr>
      <w:hyperlink w:anchor="_Toc5461" w:history="1">
        <w:r>
          <w:rPr>
            <w:rFonts w:ascii="IRNazanin" w:hAnsi="IRNazanin" w:eastAsia="IRNazanin" w:cs="IRNazanin"/>
            <w:color w:val="111111"/>
            <w:sz w:val="22"/>
            <w:szCs w:val="22"/>
            <w:b w:val="0"/>
            <w:bCs w:val="0"/>
            <w:i w:val="0"/>
            <w:iCs w:val="0"/>
          </w:rPr>
          <w:t>فرشته ، محمّد قاسم بن غلامعلي، 960 -</w:t>
        </w:r>
        <w:r>
          <w:tab/>
        </w:r>
        <w:r>
          <w:fldChar w:fldCharType="begin"/>
        </w:r>
        <w:r>
          <w:instrText xml:space="preserve">PAGEREF 5461 \h</w:instrText>
        </w:r>
        <w:r>
          <w:fldChar w:fldCharType="end"/>
        </w:r>
      </w:hyperlink>
    </w:p>
    <w:p>
      <w:pPr>
        <w:tabs>
          <w:tab w:val="right" w:leader="dot" w:pos="9062"/>
        </w:tabs>
        <w:ind w:left="220"/>
      </w:pPr>
      <w:hyperlink w:anchor="_Toc5462" w:history="1">
        <w:r>
          <w:rPr>
            <w:rFonts w:ascii="IRNazanin" w:hAnsi="IRNazanin" w:eastAsia="IRNazanin" w:cs="IRNazanin"/>
            <w:color w:val="111111"/>
            <w:sz w:val="22"/>
            <w:szCs w:val="22"/>
            <w:b w:val="0"/>
            <w:bCs w:val="0"/>
            <w:i w:val="0"/>
            <w:iCs w:val="0"/>
          </w:rPr>
          <w:t>فرضي، ابراهيم بن حسين - 880 ه-</w:t>
        </w:r>
        <w:r>
          <w:tab/>
        </w:r>
        <w:r>
          <w:fldChar w:fldCharType="begin"/>
        </w:r>
        <w:r>
          <w:instrText xml:space="preserve">PAGEREF 5462 \h</w:instrText>
        </w:r>
        <w:r>
          <w:fldChar w:fldCharType="end"/>
        </w:r>
      </w:hyperlink>
    </w:p>
    <w:p>
      <w:pPr>
        <w:tabs>
          <w:tab w:val="right" w:leader="dot" w:pos="9062"/>
        </w:tabs>
        <w:ind w:left="220"/>
      </w:pPr>
      <w:hyperlink w:anchor="_Toc5463" w:history="1">
        <w:r>
          <w:rPr>
            <w:rFonts w:ascii="IRNazanin" w:hAnsi="IRNazanin" w:eastAsia="IRNazanin" w:cs="IRNazanin"/>
            <w:color w:val="111111"/>
            <w:sz w:val="22"/>
            <w:szCs w:val="22"/>
            <w:b w:val="0"/>
            <w:bCs w:val="0"/>
            <w:i w:val="0"/>
            <w:iCs w:val="0"/>
          </w:rPr>
          <w:t>فرضي حلي ، علي بن حسين قرن 14 ه-</w:t>
        </w:r>
        <w:r>
          <w:tab/>
        </w:r>
        <w:r>
          <w:fldChar w:fldCharType="begin"/>
        </w:r>
        <w:r>
          <w:instrText xml:space="preserve">PAGEREF 5463 \h</w:instrText>
        </w:r>
        <w:r>
          <w:fldChar w:fldCharType="end"/>
        </w:r>
      </w:hyperlink>
    </w:p>
    <w:p>
      <w:pPr>
        <w:tabs>
          <w:tab w:val="right" w:leader="dot" w:pos="9062"/>
        </w:tabs>
        <w:ind w:left="220"/>
      </w:pPr>
      <w:hyperlink w:anchor="_Toc5464" w:history="1">
        <w:r>
          <w:rPr>
            <w:rFonts w:ascii="IRNazanin" w:hAnsi="IRNazanin" w:eastAsia="IRNazanin" w:cs="IRNazanin"/>
            <w:color w:val="111111"/>
            <w:sz w:val="22"/>
            <w:szCs w:val="22"/>
            <w:b w:val="0"/>
            <w:bCs w:val="0"/>
            <w:i w:val="0"/>
            <w:iCs w:val="0"/>
          </w:rPr>
          <w:t>فرضي ، محمّد بن محمّد - 815 ه-</w:t>
        </w:r>
        <w:r>
          <w:tab/>
        </w:r>
        <w:r>
          <w:fldChar w:fldCharType="begin"/>
        </w:r>
        <w:r>
          <w:instrText xml:space="preserve">PAGEREF 5464 \h</w:instrText>
        </w:r>
        <w:r>
          <w:fldChar w:fldCharType="end"/>
        </w:r>
      </w:hyperlink>
    </w:p>
    <w:p>
      <w:pPr>
        <w:tabs>
          <w:tab w:val="right" w:leader="dot" w:pos="9062"/>
        </w:tabs>
        <w:ind w:left="220"/>
      </w:pPr>
      <w:hyperlink w:anchor="_Toc5465" w:history="1">
        <w:r>
          <w:rPr>
            <w:rFonts w:ascii="IRNazanin" w:hAnsi="IRNazanin" w:eastAsia="IRNazanin" w:cs="IRNazanin"/>
            <w:color w:val="111111"/>
            <w:sz w:val="22"/>
            <w:szCs w:val="22"/>
            <w:b w:val="0"/>
            <w:bCs w:val="0"/>
            <w:i w:val="0"/>
            <w:iCs w:val="0"/>
          </w:rPr>
          <w:t>فرضي، محمود بن ابي بكر، 644 - 700 ه-</w:t>
        </w:r>
        <w:r>
          <w:tab/>
        </w:r>
        <w:r>
          <w:fldChar w:fldCharType="begin"/>
        </w:r>
        <w:r>
          <w:instrText xml:space="preserve">PAGEREF 5465 \h</w:instrText>
        </w:r>
        <w:r>
          <w:fldChar w:fldCharType="end"/>
        </w:r>
      </w:hyperlink>
    </w:p>
    <w:p>
      <w:pPr>
        <w:tabs>
          <w:tab w:val="right" w:leader="dot" w:pos="9062"/>
        </w:tabs>
        <w:ind w:left="220"/>
      </w:pPr>
      <w:hyperlink w:anchor="_Toc5466" w:history="1">
        <w:r>
          <w:rPr>
            <w:rFonts w:ascii="IRNazanin" w:hAnsi="IRNazanin" w:eastAsia="IRNazanin" w:cs="IRNazanin"/>
            <w:color w:val="111111"/>
            <w:sz w:val="22"/>
            <w:szCs w:val="22"/>
            <w:b w:val="0"/>
            <w:bCs w:val="0"/>
            <w:i w:val="0"/>
            <w:iCs w:val="0"/>
          </w:rPr>
          <w:t>فرضي ، يحيى بن تقي الدين، 953</w:t>
        </w:r>
        <w:r>
          <w:tab/>
        </w:r>
        <w:r>
          <w:fldChar w:fldCharType="begin"/>
        </w:r>
        <w:r>
          <w:instrText xml:space="preserve">PAGEREF 5466 \h</w:instrText>
        </w:r>
        <w:r>
          <w:fldChar w:fldCharType="end"/>
        </w:r>
      </w:hyperlink>
    </w:p>
    <w:p>
      <w:pPr>
        <w:tabs>
          <w:tab w:val="right" w:leader="dot" w:pos="9062"/>
        </w:tabs>
        <w:ind w:left="220"/>
      </w:pPr>
      <w:hyperlink w:anchor="_Toc5467" w:history="1">
        <w:r>
          <w:rPr>
            <w:rFonts w:ascii="IRNazanin" w:hAnsi="IRNazanin" w:eastAsia="IRNazanin" w:cs="IRNazanin"/>
            <w:color w:val="111111"/>
            <w:sz w:val="22"/>
            <w:szCs w:val="22"/>
            <w:b w:val="0"/>
            <w:bCs w:val="0"/>
            <w:i w:val="0"/>
            <w:iCs w:val="0"/>
          </w:rPr>
          <w:t>فرغاني ، احمد بن محمّد قرن 3 ه-</w:t>
        </w:r>
        <w:r>
          <w:tab/>
        </w:r>
        <w:r>
          <w:fldChar w:fldCharType="begin"/>
        </w:r>
        <w:r>
          <w:instrText xml:space="preserve">PAGEREF 5467 \h</w:instrText>
        </w:r>
        <w:r>
          <w:fldChar w:fldCharType="end"/>
        </w:r>
      </w:hyperlink>
    </w:p>
    <w:p>
      <w:pPr>
        <w:tabs>
          <w:tab w:val="right" w:leader="dot" w:pos="9062"/>
        </w:tabs>
        <w:ind w:left="220"/>
      </w:pPr>
      <w:hyperlink w:anchor="_Toc5468" w:history="1">
        <w:r>
          <w:rPr>
            <w:rFonts w:ascii="IRNazanin" w:hAnsi="IRNazanin" w:eastAsia="IRNazanin" w:cs="IRNazanin"/>
            <w:color w:val="111111"/>
            <w:sz w:val="22"/>
            <w:szCs w:val="22"/>
            <w:b w:val="0"/>
            <w:bCs w:val="0"/>
            <w:i w:val="0"/>
            <w:iCs w:val="0"/>
          </w:rPr>
          <w:t>فرغاني شرف الدین احمد بن ،اسد قرن 9ه-</w:t>
        </w:r>
        <w:r>
          <w:tab/>
        </w:r>
        <w:r>
          <w:fldChar w:fldCharType="begin"/>
        </w:r>
        <w:r>
          <w:instrText xml:space="preserve">PAGEREF 5468 \h</w:instrText>
        </w:r>
        <w:r>
          <w:fldChar w:fldCharType="end"/>
        </w:r>
      </w:hyperlink>
    </w:p>
    <w:p>
      <w:pPr>
        <w:tabs>
          <w:tab w:val="right" w:leader="dot" w:pos="9062"/>
        </w:tabs>
        <w:ind w:left="220"/>
      </w:pPr>
      <w:hyperlink w:anchor="_Toc5469" w:history="1">
        <w:r>
          <w:rPr>
            <w:rFonts w:ascii="IRNazanin" w:hAnsi="IRNazanin" w:eastAsia="IRNazanin" w:cs="IRNazanin"/>
            <w:color w:val="111111"/>
            <w:sz w:val="22"/>
            <w:szCs w:val="22"/>
            <w:b w:val="0"/>
            <w:bCs w:val="0"/>
            <w:i w:val="0"/>
            <w:iCs w:val="0"/>
          </w:rPr>
          <w:t>فرغاني ،كاشغري سعيد بن محمّد -691ه-</w:t>
        </w:r>
        <w:r>
          <w:tab/>
        </w:r>
        <w:r>
          <w:fldChar w:fldCharType="begin"/>
        </w:r>
        <w:r>
          <w:instrText xml:space="preserve">PAGEREF 5469 \h</w:instrText>
        </w:r>
        <w:r>
          <w:fldChar w:fldCharType="end"/>
        </w:r>
      </w:hyperlink>
    </w:p>
    <w:p>
      <w:pPr>
        <w:tabs>
          <w:tab w:val="right" w:leader="dot" w:pos="9062"/>
        </w:tabs>
        <w:ind w:left="220"/>
      </w:pPr>
      <w:hyperlink w:anchor="_Toc5470" w:history="1">
        <w:r>
          <w:rPr>
            <w:rFonts w:ascii="IRNazanin" w:hAnsi="IRNazanin" w:eastAsia="IRNazanin" w:cs="IRNazanin"/>
            <w:color w:val="111111"/>
            <w:sz w:val="22"/>
            <w:szCs w:val="22"/>
            <w:b w:val="0"/>
            <w:bCs w:val="0"/>
            <w:i w:val="0"/>
            <w:iCs w:val="0"/>
          </w:rPr>
          <w:t>فرغلي شمس الدين بن عبدالله - 1210 ه-</w:t>
        </w:r>
        <w:r>
          <w:tab/>
        </w:r>
        <w:r>
          <w:fldChar w:fldCharType="begin"/>
        </w:r>
        <w:r>
          <w:instrText xml:space="preserve">PAGEREF 5470 \h</w:instrText>
        </w:r>
        <w:r>
          <w:fldChar w:fldCharType="end"/>
        </w:r>
      </w:hyperlink>
    </w:p>
    <w:p>
      <w:pPr>
        <w:tabs>
          <w:tab w:val="right" w:leader="dot" w:pos="9062"/>
        </w:tabs>
        <w:ind w:left="220"/>
      </w:pPr>
      <w:hyperlink w:anchor="_Toc5471" w:history="1">
        <w:r>
          <w:rPr>
            <w:rFonts w:ascii="IRNazanin" w:hAnsi="IRNazanin" w:eastAsia="IRNazanin" w:cs="IRNazanin"/>
            <w:color w:val="111111"/>
            <w:sz w:val="22"/>
            <w:szCs w:val="22"/>
            <w:b w:val="0"/>
            <w:bCs w:val="0"/>
            <w:i w:val="0"/>
            <w:iCs w:val="0"/>
          </w:rPr>
          <w:t>فرقاني ، عبدالحسين</w:t>
        </w:r>
        <w:r>
          <w:tab/>
        </w:r>
        <w:r>
          <w:fldChar w:fldCharType="begin"/>
        </w:r>
        <w:r>
          <w:instrText xml:space="preserve">PAGEREF 5471 \h</w:instrText>
        </w:r>
        <w:r>
          <w:fldChar w:fldCharType="end"/>
        </w:r>
      </w:hyperlink>
    </w:p>
    <w:p>
      <w:pPr>
        <w:tabs>
          <w:tab w:val="right" w:leader="dot" w:pos="9062"/>
        </w:tabs>
        <w:ind w:left="220"/>
      </w:pPr>
      <w:hyperlink w:anchor="_Toc5472" w:history="1">
        <w:r>
          <w:rPr>
            <w:rFonts w:ascii="IRNazanin" w:hAnsi="IRNazanin" w:eastAsia="IRNazanin" w:cs="IRNazanin"/>
            <w:color w:val="111111"/>
            <w:sz w:val="22"/>
            <w:szCs w:val="22"/>
            <w:b w:val="0"/>
            <w:bCs w:val="0"/>
            <w:i w:val="0"/>
            <w:iCs w:val="0"/>
          </w:rPr>
          <w:t>فرکاح ، عبدالرحمن بن ابراهيم 624 -</w:t>
        </w:r>
        <w:r>
          <w:tab/>
        </w:r>
        <w:r>
          <w:fldChar w:fldCharType="begin"/>
        </w:r>
        <w:r>
          <w:instrText xml:space="preserve">PAGEREF 5472 \h</w:instrText>
        </w:r>
        <w:r>
          <w:fldChar w:fldCharType="end"/>
        </w:r>
      </w:hyperlink>
    </w:p>
    <w:p>
      <w:pPr>
        <w:tabs>
          <w:tab w:val="right" w:leader="dot" w:pos="9062"/>
        </w:tabs>
        <w:ind w:left="220"/>
      </w:pPr>
      <w:hyperlink w:anchor="_Toc5473" w:history="1">
        <w:r>
          <w:rPr>
            <w:rFonts w:ascii="IRNazanin" w:hAnsi="IRNazanin" w:eastAsia="IRNazanin" w:cs="IRNazanin"/>
            <w:color w:val="111111"/>
            <w:sz w:val="22"/>
            <w:szCs w:val="22"/>
            <w:b w:val="0"/>
            <w:bCs w:val="0"/>
            <w:i w:val="0"/>
            <w:iCs w:val="0"/>
          </w:rPr>
          <w:t>فرنسيسكاني ، مار يوسف</w:t>
        </w:r>
        <w:r>
          <w:tab/>
        </w:r>
        <w:r>
          <w:fldChar w:fldCharType="begin"/>
        </w:r>
        <w:r>
          <w:instrText xml:space="preserve">PAGEREF 5473 \h</w:instrText>
        </w:r>
        <w:r>
          <w:fldChar w:fldCharType="end"/>
        </w:r>
      </w:hyperlink>
    </w:p>
    <w:p>
      <w:pPr>
        <w:tabs>
          <w:tab w:val="right" w:leader="dot" w:pos="9062"/>
        </w:tabs>
        <w:ind w:left="220"/>
      </w:pPr>
      <w:hyperlink w:anchor="_Toc5474" w:history="1">
        <w:r>
          <w:rPr>
            <w:rFonts w:ascii="IRNazanin" w:hAnsi="IRNazanin" w:eastAsia="IRNazanin" w:cs="IRNazanin"/>
            <w:color w:val="111111"/>
            <w:sz w:val="22"/>
            <w:szCs w:val="22"/>
            <w:b w:val="0"/>
            <w:bCs w:val="0"/>
            <w:i w:val="0"/>
            <w:iCs w:val="0"/>
          </w:rPr>
          <w:t>فرهادي ، عبدالله</w:t>
        </w:r>
        <w:r>
          <w:tab/>
        </w:r>
        <w:r>
          <w:fldChar w:fldCharType="begin"/>
        </w:r>
        <w:r>
          <w:instrText xml:space="preserve">PAGEREF 5474 \h</w:instrText>
        </w:r>
        <w:r>
          <w:fldChar w:fldCharType="end"/>
        </w:r>
      </w:hyperlink>
    </w:p>
    <w:p>
      <w:pPr>
        <w:tabs>
          <w:tab w:val="right" w:leader="dot" w:pos="9062"/>
        </w:tabs>
        <w:ind w:left="220"/>
      </w:pPr>
      <w:hyperlink w:anchor="_Toc5475" w:history="1">
        <w:r>
          <w:rPr>
            <w:rFonts w:ascii="IRNazanin" w:hAnsi="IRNazanin" w:eastAsia="IRNazanin" w:cs="IRNazanin"/>
            <w:color w:val="111111"/>
            <w:sz w:val="22"/>
            <w:szCs w:val="22"/>
            <w:b w:val="0"/>
            <w:bCs w:val="0"/>
            <w:i w:val="0"/>
            <w:iCs w:val="0"/>
          </w:rPr>
          <w:t>فروغ اصفهاني ، محمّد مهدي بن باقر</w:t>
        </w:r>
        <w:r>
          <w:tab/>
        </w:r>
        <w:r>
          <w:fldChar w:fldCharType="begin"/>
        </w:r>
        <w:r>
          <w:instrText xml:space="preserve">PAGEREF 5475 \h</w:instrText>
        </w:r>
        <w:r>
          <w:fldChar w:fldCharType="end"/>
        </w:r>
      </w:hyperlink>
    </w:p>
    <w:p>
      <w:pPr>
        <w:tabs>
          <w:tab w:val="right" w:leader="dot" w:pos="9062"/>
        </w:tabs>
        <w:ind w:left="220"/>
      </w:pPr>
      <w:hyperlink w:anchor="_Toc5476" w:history="1">
        <w:r>
          <w:rPr>
            <w:rFonts w:ascii="IRNazanin" w:hAnsi="IRNazanin" w:eastAsia="IRNazanin" w:cs="IRNazanin"/>
            <w:color w:val="111111"/>
            <w:sz w:val="22"/>
            <w:szCs w:val="22"/>
            <w:b w:val="0"/>
            <w:bCs w:val="0"/>
            <w:i w:val="0"/>
            <w:iCs w:val="0"/>
          </w:rPr>
          <w:t>فروغي، عباس بن موسى 1213-1274ه-</w:t>
        </w:r>
        <w:r>
          <w:tab/>
        </w:r>
        <w:r>
          <w:fldChar w:fldCharType="begin"/>
        </w:r>
        <w:r>
          <w:instrText xml:space="preserve">PAGEREF 5476 \h</w:instrText>
        </w:r>
        <w:r>
          <w:fldChar w:fldCharType="end"/>
        </w:r>
      </w:hyperlink>
    </w:p>
    <w:p>
      <w:pPr>
        <w:tabs>
          <w:tab w:val="right" w:leader="dot" w:pos="9062"/>
        </w:tabs>
        <w:ind w:left="220"/>
      </w:pPr>
      <w:hyperlink w:anchor="_Toc5477" w:history="1">
        <w:r>
          <w:rPr>
            <w:rFonts w:ascii="IRNazanin" w:hAnsi="IRNazanin" w:eastAsia="IRNazanin" w:cs="IRNazanin"/>
            <w:color w:val="111111"/>
            <w:sz w:val="22"/>
            <w:szCs w:val="22"/>
            <w:b w:val="0"/>
            <w:bCs w:val="0"/>
            <w:i w:val="0"/>
            <w:iCs w:val="0"/>
          </w:rPr>
          <w:t>فروماج ، بطرس ، قرن 18 م</w:t>
        </w:r>
        <w:r>
          <w:tab/>
        </w:r>
        <w:r>
          <w:fldChar w:fldCharType="begin"/>
        </w:r>
        <w:r>
          <w:instrText xml:space="preserve">PAGEREF 5477 \h</w:instrText>
        </w:r>
        <w:r>
          <w:fldChar w:fldCharType="end"/>
        </w:r>
      </w:hyperlink>
    </w:p>
    <w:p>
      <w:pPr>
        <w:tabs>
          <w:tab w:val="right" w:leader="dot" w:pos="9062"/>
        </w:tabs>
        <w:ind w:left="220"/>
      </w:pPr>
      <w:hyperlink w:anchor="_Toc5478" w:history="1">
        <w:r>
          <w:rPr>
            <w:rFonts w:ascii="IRNazanin" w:hAnsi="IRNazanin" w:eastAsia="IRNazanin" w:cs="IRNazanin"/>
            <w:color w:val="111111"/>
            <w:sz w:val="22"/>
            <w:szCs w:val="22"/>
            <w:b w:val="0"/>
            <w:bCs w:val="0"/>
            <w:i w:val="0"/>
            <w:iCs w:val="0"/>
          </w:rPr>
          <w:t>فروماج يسوعي ، آب پطرس - 1740م</w:t>
        </w:r>
        <w:r>
          <w:tab/>
        </w:r>
        <w:r>
          <w:fldChar w:fldCharType="begin"/>
        </w:r>
        <w:r>
          <w:instrText xml:space="preserve">PAGEREF 5478 \h</w:instrText>
        </w:r>
        <w:r>
          <w:fldChar w:fldCharType="end"/>
        </w:r>
      </w:hyperlink>
    </w:p>
    <w:p>
      <w:pPr>
        <w:tabs>
          <w:tab w:val="right" w:leader="dot" w:pos="9062"/>
        </w:tabs>
        <w:ind w:left="220"/>
      </w:pPr>
      <w:hyperlink w:anchor="_Toc5479" w:history="1">
        <w:r>
          <w:rPr>
            <w:rFonts w:ascii="IRNazanin" w:hAnsi="IRNazanin" w:eastAsia="IRNazanin" w:cs="IRNazanin"/>
            <w:color w:val="111111"/>
            <w:sz w:val="22"/>
            <w:szCs w:val="22"/>
            <w:b w:val="0"/>
            <w:bCs w:val="0"/>
            <w:i w:val="0"/>
            <w:iCs w:val="0"/>
          </w:rPr>
          <w:t>فريابي، جعفر بن محمّد، 207 - 301 ه-</w:t>
        </w:r>
        <w:r>
          <w:tab/>
        </w:r>
        <w:r>
          <w:fldChar w:fldCharType="begin"/>
        </w:r>
        <w:r>
          <w:instrText xml:space="preserve">PAGEREF 5479 \h</w:instrText>
        </w:r>
        <w:r>
          <w:fldChar w:fldCharType="end"/>
        </w:r>
      </w:hyperlink>
    </w:p>
    <w:p>
      <w:pPr>
        <w:tabs>
          <w:tab w:val="right" w:leader="dot" w:pos="9062"/>
        </w:tabs>
        <w:ind w:left="220"/>
      </w:pPr>
      <w:hyperlink w:anchor="_Toc5480" w:history="1">
        <w:r>
          <w:rPr>
            <w:rFonts w:ascii="IRNazanin" w:hAnsi="IRNazanin" w:eastAsia="IRNazanin" w:cs="IRNazanin"/>
            <w:color w:val="111111"/>
            <w:sz w:val="22"/>
            <w:szCs w:val="22"/>
            <w:b w:val="0"/>
            <w:bCs w:val="0"/>
            <w:i w:val="0"/>
            <w:iCs w:val="0"/>
          </w:rPr>
          <w:t>فريدي ، جلال الدين</w:t>
        </w:r>
        <w:r>
          <w:tab/>
        </w:r>
        <w:r>
          <w:fldChar w:fldCharType="begin"/>
        </w:r>
        <w:r>
          <w:instrText xml:space="preserve">PAGEREF 5480 \h</w:instrText>
        </w:r>
        <w:r>
          <w:fldChar w:fldCharType="end"/>
        </w:r>
      </w:hyperlink>
    </w:p>
    <w:p>
      <w:pPr>
        <w:tabs>
          <w:tab w:val="right" w:leader="dot" w:pos="9062"/>
        </w:tabs>
        <w:ind w:left="220"/>
      </w:pPr>
      <w:hyperlink w:anchor="_Toc5481" w:history="1">
        <w:r>
          <w:rPr>
            <w:rFonts w:ascii="IRNazanin" w:hAnsi="IRNazanin" w:eastAsia="IRNazanin" w:cs="IRNazanin"/>
            <w:color w:val="111111"/>
            <w:sz w:val="22"/>
            <w:szCs w:val="22"/>
            <w:b w:val="0"/>
            <w:bCs w:val="0"/>
            <w:i w:val="0"/>
            <w:iCs w:val="0"/>
          </w:rPr>
          <w:t>فزاري، عبد الرحمن بن ابي سعيد</w:t>
        </w:r>
        <w:r>
          <w:tab/>
        </w:r>
        <w:r>
          <w:fldChar w:fldCharType="begin"/>
        </w:r>
        <w:r>
          <w:instrText xml:space="preserve">PAGEREF 5481 \h</w:instrText>
        </w:r>
        <w:r>
          <w:fldChar w:fldCharType="end"/>
        </w:r>
      </w:hyperlink>
    </w:p>
    <w:p>
      <w:pPr>
        <w:tabs>
          <w:tab w:val="right" w:leader="dot" w:pos="9062"/>
        </w:tabs>
        <w:ind w:left="220"/>
      </w:pPr>
      <w:hyperlink w:anchor="_Toc5482" w:history="1">
        <w:r>
          <w:rPr>
            <w:rFonts w:ascii="IRNazanin" w:hAnsi="IRNazanin" w:eastAsia="IRNazanin" w:cs="IRNazanin"/>
            <w:color w:val="111111"/>
            <w:sz w:val="22"/>
            <w:szCs w:val="22"/>
            <w:b w:val="0"/>
            <w:bCs w:val="0"/>
            <w:i w:val="0"/>
            <w:iCs w:val="0"/>
          </w:rPr>
          <w:t>فزازي ، علي بن محمّد - 557 ه-</w:t>
        </w:r>
        <w:r>
          <w:tab/>
        </w:r>
        <w:r>
          <w:fldChar w:fldCharType="begin"/>
        </w:r>
        <w:r>
          <w:instrText xml:space="preserve">PAGEREF 5482 \h</w:instrText>
        </w:r>
        <w:r>
          <w:fldChar w:fldCharType="end"/>
        </w:r>
      </w:hyperlink>
    </w:p>
    <w:p>
      <w:pPr>
        <w:tabs>
          <w:tab w:val="right" w:leader="dot" w:pos="9062"/>
        </w:tabs>
        <w:ind w:left="220"/>
      </w:pPr>
      <w:hyperlink w:anchor="_Toc5483" w:history="1">
        <w:r>
          <w:rPr>
            <w:rFonts w:ascii="IRNazanin" w:hAnsi="IRNazanin" w:eastAsia="IRNazanin" w:cs="IRNazanin"/>
            <w:color w:val="111111"/>
            <w:sz w:val="22"/>
            <w:szCs w:val="22"/>
            <w:b w:val="0"/>
            <w:bCs w:val="0"/>
            <w:i w:val="0"/>
            <w:iCs w:val="0"/>
          </w:rPr>
          <w:t>فسائي ، حسن بن حسن، 1237-1316 ه-</w:t>
        </w:r>
        <w:r>
          <w:tab/>
        </w:r>
        <w:r>
          <w:fldChar w:fldCharType="begin"/>
        </w:r>
        <w:r>
          <w:instrText xml:space="preserve">PAGEREF 5483 \h</w:instrText>
        </w:r>
        <w:r>
          <w:fldChar w:fldCharType="end"/>
        </w:r>
      </w:hyperlink>
    </w:p>
    <w:p>
      <w:pPr>
        <w:tabs>
          <w:tab w:val="right" w:leader="dot" w:pos="9062"/>
        </w:tabs>
        <w:ind w:left="220"/>
      </w:pPr>
      <w:hyperlink w:anchor="_Toc5484" w:history="1">
        <w:r>
          <w:rPr>
            <w:rFonts w:ascii="IRNazanin" w:hAnsi="IRNazanin" w:eastAsia="IRNazanin" w:cs="IRNazanin"/>
            <w:color w:val="111111"/>
            <w:sz w:val="22"/>
            <w:szCs w:val="22"/>
            <w:b w:val="0"/>
            <w:bCs w:val="0"/>
            <w:i w:val="0"/>
            <w:iCs w:val="0"/>
          </w:rPr>
          <w:t>فسطوني ، علي بن محمّد</w:t>
        </w:r>
        <w:r>
          <w:tab/>
        </w:r>
        <w:r>
          <w:fldChar w:fldCharType="begin"/>
        </w:r>
        <w:r>
          <w:instrText xml:space="preserve">PAGEREF 5484 \h</w:instrText>
        </w:r>
        <w:r>
          <w:fldChar w:fldCharType="end"/>
        </w:r>
      </w:hyperlink>
    </w:p>
    <w:p>
      <w:pPr>
        <w:tabs>
          <w:tab w:val="right" w:leader="dot" w:pos="9062"/>
        </w:tabs>
        <w:ind w:left="220"/>
      </w:pPr>
      <w:hyperlink w:anchor="_Toc5485" w:history="1">
        <w:r>
          <w:rPr>
            <w:rFonts w:ascii="IRNazanin" w:hAnsi="IRNazanin" w:eastAsia="IRNazanin" w:cs="IRNazanin"/>
            <w:color w:val="111111"/>
            <w:sz w:val="22"/>
            <w:szCs w:val="22"/>
            <w:b w:val="0"/>
            <w:bCs w:val="0"/>
            <w:i w:val="0"/>
            <w:iCs w:val="0"/>
          </w:rPr>
          <w:t>فشاركي ، محمّد باقر بن محمّد جعفر،</w:t>
        </w:r>
        <w:r>
          <w:tab/>
        </w:r>
        <w:r>
          <w:fldChar w:fldCharType="begin"/>
        </w:r>
        <w:r>
          <w:instrText xml:space="preserve">PAGEREF 5485 \h</w:instrText>
        </w:r>
        <w:r>
          <w:fldChar w:fldCharType="end"/>
        </w:r>
      </w:hyperlink>
    </w:p>
    <w:p>
      <w:pPr>
        <w:tabs>
          <w:tab w:val="right" w:leader="dot" w:pos="9062"/>
        </w:tabs>
        <w:ind w:left="220"/>
      </w:pPr>
      <w:hyperlink w:anchor="_Toc5486" w:history="1">
        <w:r>
          <w:rPr>
            <w:rFonts w:ascii="IRNazanin" w:hAnsi="IRNazanin" w:eastAsia="IRNazanin" w:cs="IRNazanin"/>
            <w:color w:val="111111"/>
            <w:sz w:val="22"/>
            <w:szCs w:val="22"/>
            <w:b w:val="0"/>
            <w:bCs w:val="0"/>
            <w:i w:val="0"/>
            <w:iCs w:val="0"/>
          </w:rPr>
          <w:t>فشتالي ، محمّد بن عيسى - 1021 ه-</w:t>
        </w:r>
        <w:r>
          <w:tab/>
        </w:r>
        <w:r>
          <w:fldChar w:fldCharType="begin"/>
        </w:r>
        <w:r>
          <w:instrText xml:space="preserve">PAGEREF 5486 \h</w:instrText>
        </w:r>
        <w:r>
          <w:fldChar w:fldCharType="end"/>
        </w:r>
      </w:hyperlink>
    </w:p>
    <w:p>
      <w:pPr>
        <w:tabs>
          <w:tab w:val="right" w:leader="dot" w:pos="9062"/>
        </w:tabs>
        <w:ind w:left="220"/>
      </w:pPr>
      <w:hyperlink w:anchor="_Toc5487" w:history="1">
        <w:r>
          <w:rPr>
            <w:rFonts w:ascii="IRNazanin" w:hAnsi="IRNazanin" w:eastAsia="IRNazanin" w:cs="IRNazanin"/>
            <w:color w:val="111111"/>
            <w:sz w:val="22"/>
            <w:szCs w:val="22"/>
            <w:b w:val="0"/>
            <w:bCs w:val="0"/>
            <w:i w:val="0"/>
            <w:iCs w:val="0"/>
          </w:rPr>
          <w:t>فشني ، احمد بن حجازي - 978؟ ه-</w:t>
        </w:r>
        <w:r>
          <w:tab/>
        </w:r>
        <w:r>
          <w:fldChar w:fldCharType="begin"/>
        </w:r>
        <w:r>
          <w:instrText xml:space="preserve">PAGEREF 5487 \h</w:instrText>
        </w:r>
        <w:r>
          <w:fldChar w:fldCharType="end"/>
        </w:r>
      </w:hyperlink>
    </w:p>
    <w:p>
      <w:pPr>
        <w:tabs>
          <w:tab w:val="right" w:leader="dot" w:pos="9062"/>
        </w:tabs>
        <w:ind w:left="220"/>
      </w:pPr>
      <w:hyperlink w:anchor="_Toc5488" w:history="1">
        <w:r>
          <w:rPr>
            <w:rFonts w:ascii="IRNazanin" w:hAnsi="IRNazanin" w:eastAsia="IRNazanin" w:cs="IRNazanin"/>
            <w:color w:val="111111"/>
            <w:sz w:val="22"/>
            <w:szCs w:val="22"/>
            <w:b w:val="0"/>
            <w:bCs w:val="0"/>
            <w:i w:val="0"/>
            <w:iCs w:val="0"/>
          </w:rPr>
          <w:t>فصیح ، محمّد باقر</w:t>
        </w:r>
        <w:r>
          <w:tab/>
        </w:r>
        <w:r>
          <w:fldChar w:fldCharType="begin"/>
        </w:r>
        <w:r>
          <w:instrText xml:space="preserve">PAGEREF 5488 \h</w:instrText>
        </w:r>
        <w:r>
          <w:fldChar w:fldCharType="end"/>
        </w:r>
      </w:hyperlink>
    </w:p>
    <w:p>
      <w:pPr>
        <w:tabs>
          <w:tab w:val="right" w:leader="dot" w:pos="9062"/>
        </w:tabs>
        <w:ind w:left="220"/>
      </w:pPr>
      <w:hyperlink w:anchor="_Toc5489" w:history="1">
        <w:r>
          <w:rPr>
            <w:rFonts w:ascii="IRNazanin" w:hAnsi="IRNazanin" w:eastAsia="IRNazanin" w:cs="IRNazanin"/>
            <w:color w:val="111111"/>
            <w:sz w:val="22"/>
            <w:szCs w:val="22"/>
            <w:b w:val="0"/>
            <w:bCs w:val="0"/>
            <w:i w:val="0"/>
            <w:iCs w:val="0"/>
          </w:rPr>
          <w:t>فصيح ، ميرزا محمّد قرن 12 ه-</w:t>
        </w:r>
        <w:r>
          <w:tab/>
        </w:r>
        <w:r>
          <w:fldChar w:fldCharType="begin"/>
        </w:r>
        <w:r>
          <w:instrText xml:space="preserve">PAGEREF 5489 \h</w:instrText>
        </w:r>
        <w:r>
          <w:fldChar w:fldCharType="end"/>
        </w:r>
      </w:hyperlink>
    </w:p>
    <w:p>
      <w:pPr>
        <w:tabs>
          <w:tab w:val="right" w:leader="dot" w:pos="9062"/>
        </w:tabs>
        <w:ind w:left="220"/>
      </w:pPr>
      <w:hyperlink w:anchor="_Toc5490" w:history="1">
        <w:r>
          <w:rPr>
            <w:rFonts w:ascii="IRNazanin" w:hAnsi="IRNazanin" w:eastAsia="IRNazanin" w:cs="IRNazanin"/>
            <w:color w:val="111111"/>
            <w:sz w:val="22"/>
            <w:szCs w:val="22"/>
            <w:b w:val="0"/>
            <w:bCs w:val="0"/>
            <w:i w:val="0"/>
            <w:iCs w:val="0"/>
          </w:rPr>
          <w:t>فصيحي ، حسن بن محمّد قرن 11 ه</w:t>
        </w:r>
        <w:r>
          <w:tab/>
        </w:r>
        <w:r>
          <w:fldChar w:fldCharType="begin"/>
        </w:r>
        <w:r>
          <w:instrText xml:space="preserve">PAGEREF 5490 \h</w:instrText>
        </w:r>
        <w:r>
          <w:fldChar w:fldCharType="end"/>
        </w:r>
      </w:hyperlink>
    </w:p>
    <w:p>
      <w:pPr>
        <w:tabs>
          <w:tab w:val="right" w:leader="dot" w:pos="9062"/>
        </w:tabs>
        <w:ind w:left="220"/>
      </w:pPr>
      <w:hyperlink w:anchor="_Toc5491" w:history="1">
        <w:r>
          <w:rPr>
            <w:rFonts w:ascii="IRNazanin" w:hAnsi="IRNazanin" w:eastAsia="IRNazanin" w:cs="IRNazanin"/>
            <w:color w:val="111111"/>
            <w:sz w:val="22"/>
            <w:szCs w:val="22"/>
            <w:b w:val="0"/>
            <w:bCs w:val="0"/>
            <w:i w:val="0"/>
            <w:iCs w:val="0"/>
          </w:rPr>
          <w:t>فضالي سيف الدين بن عطاء الله - 1020ه-</w:t>
        </w:r>
        <w:r>
          <w:tab/>
        </w:r>
        <w:r>
          <w:fldChar w:fldCharType="begin"/>
        </w:r>
        <w:r>
          <w:instrText xml:space="preserve">PAGEREF 5491 \h</w:instrText>
        </w:r>
        <w:r>
          <w:fldChar w:fldCharType="end"/>
        </w:r>
      </w:hyperlink>
    </w:p>
    <w:p>
      <w:pPr>
        <w:tabs>
          <w:tab w:val="right" w:leader="dot" w:pos="9062"/>
        </w:tabs>
        <w:ind w:left="220"/>
      </w:pPr>
      <w:hyperlink w:anchor="_Toc5492" w:history="1">
        <w:r>
          <w:rPr>
            <w:rFonts w:ascii="IRNazanin" w:hAnsi="IRNazanin" w:eastAsia="IRNazanin" w:cs="IRNazanin"/>
            <w:color w:val="111111"/>
            <w:sz w:val="22"/>
            <w:szCs w:val="22"/>
            <w:b w:val="0"/>
            <w:bCs w:val="0"/>
            <w:i w:val="0"/>
            <w:iCs w:val="0"/>
          </w:rPr>
          <w:t>فضالي ، محمّد بن شافع، - 1236 ه-</w:t>
        </w:r>
        <w:r>
          <w:tab/>
        </w:r>
        <w:r>
          <w:fldChar w:fldCharType="begin"/>
        </w:r>
        <w:r>
          <w:instrText xml:space="preserve">PAGEREF 5492 \h</w:instrText>
        </w:r>
        <w:r>
          <w:fldChar w:fldCharType="end"/>
        </w:r>
      </w:hyperlink>
    </w:p>
    <w:p>
      <w:pPr>
        <w:tabs>
          <w:tab w:val="right" w:leader="dot" w:pos="9062"/>
        </w:tabs>
        <w:ind w:left="220"/>
      </w:pPr>
      <w:hyperlink w:anchor="_Toc5493" w:history="1">
        <w:r>
          <w:rPr>
            <w:rFonts w:ascii="IRNazanin" w:hAnsi="IRNazanin" w:eastAsia="IRNazanin" w:cs="IRNazanin"/>
            <w:color w:val="111111"/>
            <w:sz w:val="22"/>
            <w:szCs w:val="22"/>
            <w:b w:val="0"/>
            <w:bCs w:val="0"/>
            <w:i w:val="0"/>
            <w:iCs w:val="0"/>
          </w:rPr>
          <w:t>فضل الله ، قرن 7 ه-</w:t>
        </w:r>
        <w:r>
          <w:tab/>
        </w:r>
        <w:r>
          <w:fldChar w:fldCharType="begin"/>
        </w:r>
        <w:r>
          <w:instrText xml:space="preserve">PAGEREF 5493 \h</w:instrText>
        </w:r>
        <w:r>
          <w:fldChar w:fldCharType="end"/>
        </w:r>
      </w:hyperlink>
    </w:p>
    <w:p>
      <w:pPr>
        <w:tabs>
          <w:tab w:val="right" w:leader="dot" w:pos="9062"/>
        </w:tabs>
        <w:ind w:left="220"/>
      </w:pPr>
      <w:hyperlink w:anchor="_Toc5494" w:history="1">
        <w:r>
          <w:rPr>
            <w:rFonts w:ascii="IRNazanin" w:hAnsi="IRNazanin" w:eastAsia="IRNazanin" w:cs="IRNazanin"/>
            <w:color w:val="111111"/>
            <w:sz w:val="22"/>
            <w:szCs w:val="22"/>
            <w:b w:val="0"/>
            <w:bCs w:val="0"/>
            <w:i w:val="0"/>
            <w:iCs w:val="0"/>
          </w:rPr>
          <w:t>فضل الله بن روزبهان 4860 - 925 ه-</w:t>
        </w:r>
        <w:r>
          <w:tab/>
        </w:r>
        <w:r>
          <w:fldChar w:fldCharType="begin"/>
        </w:r>
        <w:r>
          <w:instrText xml:space="preserve">PAGEREF 5494 \h</w:instrText>
        </w:r>
        <w:r>
          <w:fldChar w:fldCharType="end"/>
        </w:r>
      </w:hyperlink>
    </w:p>
    <w:p>
      <w:pPr>
        <w:tabs>
          <w:tab w:val="right" w:leader="dot" w:pos="9062"/>
        </w:tabs>
        <w:ind w:left="220"/>
      </w:pPr>
      <w:hyperlink w:anchor="_Toc5495" w:history="1">
        <w:r>
          <w:rPr>
            <w:rFonts w:ascii="IRNazanin" w:hAnsi="IRNazanin" w:eastAsia="IRNazanin" w:cs="IRNazanin"/>
            <w:color w:val="111111"/>
            <w:sz w:val="22"/>
            <w:szCs w:val="22"/>
            <w:b w:val="0"/>
            <w:bCs w:val="0"/>
            <w:i w:val="0"/>
            <w:iCs w:val="0"/>
          </w:rPr>
          <w:t>فضلي بغدادي ، عبدالرحمن بن جواد</w:t>
        </w:r>
        <w:r>
          <w:tab/>
        </w:r>
        <w:r>
          <w:fldChar w:fldCharType="begin"/>
        </w:r>
        <w:r>
          <w:instrText xml:space="preserve">PAGEREF 5495 \h</w:instrText>
        </w:r>
        <w:r>
          <w:fldChar w:fldCharType="end"/>
        </w:r>
      </w:hyperlink>
    </w:p>
    <w:p>
      <w:pPr>
        <w:tabs>
          <w:tab w:val="right" w:leader="dot" w:pos="9062"/>
        </w:tabs>
        <w:ind w:left="220"/>
      </w:pPr>
      <w:hyperlink w:anchor="_Toc5496" w:history="1">
        <w:r>
          <w:rPr>
            <w:rFonts w:ascii="IRNazanin" w:hAnsi="IRNazanin" w:eastAsia="IRNazanin" w:cs="IRNazanin"/>
            <w:color w:val="111111"/>
            <w:sz w:val="22"/>
            <w:szCs w:val="22"/>
            <w:b w:val="0"/>
            <w:bCs w:val="0"/>
            <w:i w:val="0"/>
            <w:iCs w:val="0"/>
          </w:rPr>
          <w:t>فضلي زبيدي ، محمّد علي، قرن 14 ه-</w:t>
        </w:r>
        <w:r>
          <w:tab/>
        </w:r>
        <w:r>
          <w:fldChar w:fldCharType="begin"/>
        </w:r>
        <w:r>
          <w:instrText xml:space="preserve">PAGEREF 5496 \h</w:instrText>
        </w:r>
        <w:r>
          <w:fldChar w:fldCharType="end"/>
        </w:r>
      </w:hyperlink>
    </w:p>
    <w:p>
      <w:pPr>
        <w:tabs>
          <w:tab w:val="right" w:leader="dot" w:pos="9062"/>
        </w:tabs>
        <w:ind w:left="220"/>
      </w:pPr>
      <w:hyperlink w:anchor="_Toc5497" w:history="1">
        <w:r>
          <w:rPr>
            <w:rFonts w:ascii="IRNazanin" w:hAnsi="IRNazanin" w:eastAsia="IRNazanin" w:cs="IRNazanin"/>
            <w:color w:val="111111"/>
            <w:sz w:val="22"/>
            <w:szCs w:val="22"/>
            <w:b w:val="0"/>
            <w:bCs w:val="0"/>
            <w:i w:val="0"/>
            <w:iCs w:val="0"/>
          </w:rPr>
          <w:t>فضلي شكادري ، محمّد بن حسين</w:t>
        </w:r>
        <w:r>
          <w:tab/>
        </w:r>
        <w:r>
          <w:fldChar w:fldCharType="begin"/>
        </w:r>
        <w:r>
          <w:instrText xml:space="preserve">PAGEREF 5497 \h</w:instrText>
        </w:r>
        <w:r>
          <w:fldChar w:fldCharType="end"/>
        </w:r>
      </w:hyperlink>
    </w:p>
    <w:p>
      <w:pPr>
        <w:tabs>
          <w:tab w:val="right" w:leader="dot" w:pos="9062"/>
        </w:tabs>
        <w:ind w:left="220"/>
      </w:pPr>
      <w:hyperlink w:anchor="_Toc5498" w:history="1">
        <w:r>
          <w:rPr>
            <w:rFonts w:ascii="IRNazanin" w:hAnsi="IRNazanin" w:eastAsia="IRNazanin" w:cs="IRNazanin"/>
            <w:color w:val="111111"/>
            <w:sz w:val="22"/>
            <w:szCs w:val="22"/>
            <w:b w:val="0"/>
            <w:bCs w:val="0"/>
            <w:i w:val="0"/>
            <w:iCs w:val="0"/>
          </w:rPr>
          <w:t>فضلي ، عبدالرزاق، قرن 14 ه-</w:t>
        </w:r>
        <w:r>
          <w:tab/>
        </w:r>
        <w:r>
          <w:fldChar w:fldCharType="begin"/>
        </w:r>
        <w:r>
          <w:instrText xml:space="preserve">PAGEREF 5498 \h</w:instrText>
        </w:r>
        <w:r>
          <w:fldChar w:fldCharType="end"/>
        </w:r>
      </w:hyperlink>
    </w:p>
    <w:p>
      <w:pPr>
        <w:tabs>
          <w:tab w:val="right" w:leader="dot" w:pos="9062"/>
        </w:tabs>
        <w:ind w:left="220"/>
      </w:pPr>
      <w:hyperlink w:anchor="_Toc5499" w:history="1">
        <w:r>
          <w:rPr>
            <w:rFonts w:ascii="IRNazanin" w:hAnsi="IRNazanin" w:eastAsia="IRNazanin" w:cs="IRNazanin"/>
            <w:color w:val="111111"/>
            <w:sz w:val="22"/>
            <w:szCs w:val="22"/>
            <w:b w:val="0"/>
            <w:bCs w:val="0"/>
            <w:i w:val="0"/>
            <w:iCs w:val="0"/>
          </w:rPr>
          <w:t>فضلي ، عبدالصاحب، قرن 14 ه-</w:t>
        </w:r>
        <w:r>
          <w:tab/>
        </w:r>
        <w:r>
          <w:fldChar w:fldCharType="begin"/>
        </w:r>
        <w:r>
          <w:instrText xml:space="preserve">PAGEREF 5499 \h</w:instrText>
        </w:r>
        <w:r>
          <w:fldChar w:fldCharType="end"/>
        </w:r>
      </w:hyperlink>
    </w:p>
    <w:p>
      <w:pPr>
        <w:tabs>
          <w:tab w:val="right" w:leader="dot" w:pos="9062"/>
        </w:tabs>
        <w:ind w:left="220"/>
      </w:pPr>
      <w:hyperlink w:anchor="_Toc5500" w:history="1">
        <w:r>
          <w:rPr>
            <w:rFonts w:ascii="IRNazanin" w:hAnsi="IRNazanin" w:eastAsia="IRNazanin" w:cs="IRNazanin"/>
            <w:color w:val="111111"/>
            <w:sz w:val="22"/>
            <w:szCs w:val="22"/>
            <w:b w:val="0"/>
            <w:bCs w:val="0"/>
            <w:i w:val="0"/>
            <w:iCs w:val="0"/>
          </w:rPr>
          <w:t>فضلي ، عبدالهادي، 1934 م</w:t>
        </w:r>
        <w:r>
          <w:tab/>
        </w:r>
        <w:r>
          <w:fldChar w:fldCharType="begin"/>
        </w:r>
        <w:r>
          <w:instrText xml:space="preserve">PAGEREF 5500 \h</w:instrText>
        </w:r>
        <w:r>
          <w:fldChar w:fldCharType="end"/>
        </w:r>
      </w:hyperlink>
    </w:p>
    <w:p>
      <w:pPr>
        <w:tabs>
          <w:tab w:val="right" w:leader="dot" w:pos="9062"/>
        </w:tabs>
        <w:ind w:left="220"/>
      </w:pPr>
      <w:hyperlink w:anchor="_Toc5501" w:history="1">
        <w:r>
          <w:rPr>
            <w:rFonts w:ascii="IRNazanin" w:hAnsi="IRNazanin" w:eastAsia="IRNazanin" w:cs="IRNazanin"/>
            <w:color w:val="111111"/>
            <w:sz w:val="22"/>
            <w:szCs w:val="22"/>
            <w:b w:val="0"/>
            <w:bCs w:val="0"/>
            <w:i w:val="0"/>
            <w:iCs w:val="0"/>
          </w:rPr>
          <w:t>فضولي بغدادي ، محمّد بن سلیمان، 913؟ 976؟ه-</w:t>
        </w:r>
        <w:r>
          <w:tab/>
        </w:r>
        <w:r>
          <w:fldChar w:fldCharType="begin"/>
        </w:r>
        <w:r>
          <w:instrText xml:space="preserve">PAGEREF 5501 \h</w:instrText>
        </w:r>
        <w:r>
          <w:fldChar w:fldCharType="end"/>
        </w:r>
      </w:hyperlink>
    </w:p>
    <w:p>
      <w:pPr>
        <w:tabs>
          <w:tab w:val="right" w:leader="dot" w:pos="9062"/>
        </w:tabs>
        <w:ind w:left="220"/>
      </w:pPr>
      <w:hyperlink w:anchor="_Toc5502" w:history="1">
        <w:r>
          <w:rPr>
            <w:rFonts w:ascii="IRNazanin" w:hAnsi="IRNazanin" w:eastAsia="IRNazanin" w:cs="IRNazanin"/>
            <w:color w:val="111111"/>
            <w:sz w:val="22"/>
            <w:szCs w:val="22"/>
            <w:b w:val="0"/>
            <w:bCs w:val="0"/>
            <w:i w:val="0"/>
            <w:iCs w:val="0"/>
          </w:rPr>
          <w:t>فقهي عيني ، محمّد بن عبدالله - 1147ه-</w:t>
        </w:r>
        <w:r>
          <w:tab/>
        </w:r>
        <w:r>
          <w:fldChar w:fldCharType="begin"/>
        </w:r>
        <w:r>
          <w:instrText xml:space="preserve">PAGEREF 5502 \h</w:instrText>
        </w:r>
        <w:r>
          <w:fldChar w:fldCharType="end"/>
        </w:r>
      </w:hyperlink>
    </w:p>
    <w:p>
      <w:pPr>
        <w:tabs>
          <w:tab w:val="right" w:leader="dot" w:pos="9062"/>
        </w:tabs>
        <w:ind w:left="220"/>
      </w:pPr>
      <w:hyperlink w:anchor="_Toc5503" w:history="1">
        <w:r>
          <w:rPr>
            <w:rFonts w:ascii="IRNazanin" w:hAnsi="IRNazanin" w:eastAsia="IRNazanin" w:cs="IRNazanin"/>
            <w:color w:val="111111"/>
            <w:sz w:val="22"/>
            <w:szCs w:val="22"/>
            <w:b w:val="0"/>
            <w:bCs w:val="0"/>
            <w:i w:val="0"/>
            <w:iCs w:val="0"/>
          </w:rPr>
          <w:t>فقیر دهلوي ، مير شمس الدين، 1115 -</w:t>
        </w:r>
        <w:r>
          <w:tab/>
        </w:r>
        <w:r>
          <w:fldChar w:fldCharType="begin"/>
        </w:r>
        <w:r>
          <w:instrText xml:space="preserve">PAGEREF 5503 \h</w:instrText>
        </w:r>
        <w:r>
          <w:fldChar w:fldCharType="end"/>
        </w:r>
      </w:hyperlink>
    </w:p>
    <w:p>
      <w:pPr>
        <w:tabs>
          <w:tab w:val="right" w:leader="dot" w:pos="9062"/>
        </w:tabs>
        <w:ind w:left="220"/>
      </w:pPr>
      <w:hyperlink w:anchor="_Toc5504" w:history="1">
        <w:r>
          <w:rPr>
            <w:rFonts w:ascii="IRNazanin" w:hAnsi="IRNazanin" w:eastAsia="IRNazanin" w:cs="IRNazanin"/>
            <w:color w:val="111111"/>
            <w:sz w:val="22"/>
            <w:szCs w:val="22"/>
            <w:b w:val="0"/>
            <w:bCs w:val="0"/>
            <w:i w:val="0"/>
            <w:iCs w:val="0"/>
          </w:rPr>
          <w:t>فقير ، محمّد بن عبدالله</w:t>
        </w:r>
        <w:r>
          <w:tab/>
        </w:r>
        <w:r>
          <w:fldChar w:fldCharType="begin"/>
        </w:r>
        <w:r>
          <w:instrText xml:space="preserve">PAGEREF 5504 \h</w:instrText>
        </w:r>
        <w:r>
          <w:fldChar w:fldCharType="end"/>
        </w:r>
      </w:hyperlink>
    </w:p>
    <w:p>
      <w:pPr>
        <w:tabs>
          <w:tab w:val="right" w:leader="dot" w:pos="9062"/>
        </w:tabs>
        <w:ind w:left="220"/>
      </w:pPr>
      <w:hyperlink w:anchor="_Toc5505" w:history="1">
        <w:r>
          <w:rPr>
            <w:rFonts w:ascii="IRNazanin" w:hAnsi="IRNazanin" w:eastAsia="IRNazanin" w:cs="IRNazanin"/>
            <w:color w:val="111111"/>
            <w:sz w:val="22"/>
            <w:szCs w:val="22"/>
            <w:b w:val="0"/>
            <w:bCs w:val="0"/>
            <w:i w:val="0"/>
            <w:iCs w:val="0"/>
          </w:rPr>
          <w:t>فقیه ، محمّد قاسم بن محمّد</w:t>
        </w:r>
        <w:r>
          <w:tab/>
        </w:r>
        <w:r>
          <w:fldChar w:fldCharType="begin"/>
        </w:r>
        <w:r>
          <w:instrText xml:space="preserve">PAGEREF 5505 \h</w:instrText>
        </w:r>
        <w:r>
          <w:fldChar w:fldCharType="end"/>
        </w:r>
      </w:hyperlink>
    </w:p>
    <w:p>
      <w:pPr>
        <w:tabs>
          <w:tab w:val="right" w:leader="dot" w:pos="9062"/>
        </w:tabs>
        <w:ind w:left="220"/>
      </w:pPr>
      <w:hyperlink w:anchor="_Toc5506" w:history="1">
        <w:r>
          <w:rPr>
            <w:rFonts w:ascii="IRNazanin" w:hAnsi="IRNazanin" w:eastAsia="IRNazanin" w:cs="IRNazanin"/>
            <w:color w:val="111111"/>
            <w:sz w:val="22"/>
            <w:szCs w:val="22"/>
            <w:b w:val="0"/>
            <w:bCs w:val="0"/>
            <w:i w:val="0"/>
            <w:iCs w:val="0"/>
          </w:rPr>
          <w:t>فقيه يماني ، حميد بن احمد - 652 ه-</w:t>
        </w:r>
        <w:r>
          <w:tab/>
        </w:r>
        <w:r>
          <w:fldChar w:fldCharType="begin"/>
        </w:r>
        <w:r>
          <w:instrText xml:space="preserve">PAGEREF 5506 \h</w:instrText>
        </w:r>
        <w:r>
          <w:fldChar w:fldCharType="end"/>
        </w:r>
      </w:hyperlink>
    </w:p>
    <w:p>
      <w:pPr>
        <w:tabs>
          <w:tab w:val="right" w:leader="dot" w:pos="9062"/>
        </w:tabs>
        <w:ind w:left="220"/>
      </w:pPr>
      <w:hyperlink w:anchor="_Toc5507" w:history="1">
        <w:r>
          <w:rPr>
            <w:rFonts w:ascii="IRNazanin" w:hAnsi="IRNazanin" w:eastAsia="IRNazanin" w:cs="IRNazanin"/>
            <w:color w:val="111111"/>
            <w:sz w:val="22"/>
            <w:szCs w:val="22"/>
            <w:b w:val="0"/>
            <w:bCs w:val="0"/>
            <w:i w:val="0"/>
            <w:iCs w:val="0"/>
          </w:rPr>
          <w:t>فلاني ، صالح بن محمّد - 1218 ه-</w:t>
        </w:r>
        <w:r>
          <w:tab/>
        </w:r>
        <w:r>
          <w:fldChar w:fldCharType="begin"/>
        </w:r>
        <w:r>
          <w:instrText xml:space="preserve">PAGEREF 5507 \h</w:instrText>
        </w:r>
        <w:r>
          <w:fldChar w:fldCharType="end"/>
        </w:r>
      </w:hyperlink>
    </w:p>
    <w:p>
      <w:pPr>
        <w:tabs>
          <w:tab w:val="right" w:leader="dot" w:pos="9062"/>
        </w:tabs>
        <w:ind w:left="220"/>
      </w:pPr>
      <w:hyperlink w:anchor="_Toc5508" w:history="1">
        <w:r>
          <w:rPr>
            <w:rFonts w:ascii="IRNazanin" w:hAnsi="IRNazanin" w:eastAsia="IRNazanin" w:cs="IRNazanin"/>
            <w:color w:val="111111"/>
            <w:sz w:val="22"/>
            <w:szCs w:val="22"/>
            <w:b w:val="0"/>
            <w:bCs w:val="0"/>
            <w:i w:val="0"/>
            <w:iCs w:val="0"/>
          </w:rPr>
          <w:t>فلاورجاني، محمّد زمان بن عزیز الله</w:t>
        </w:r>
        <w:r>
          <w:tab/>
        </w:r>
        <w:r>
          <w:fldChar w:fldCharType="begin"/>
        </w:r>
        <w:r>
          <w:instrText xml:space="preserve">PAGEREF 5508 \h</w:instrText>
        </w:r>
        <w:r>
          <w:fldChar w:fldCharType="end"/>
        </w:r>
      </w:hyperlink>
    </w:p>
    <w:p>
      <w:pPr>
        <w:tabs>
          <w:tab w:val="right" w:leader="dot" w:pos="9062"/>
        </w:tabs>
        <w:ind w:left="220"/>
      </w:pPr>
      <w:hyperlink w:anchor="_Toc5509" w:history="1">
        <w:r>
          <w:rPr>
            <w:rFonts w:ascii="IRNazanin" w:hAnsi="IRNazanin" w:eastAsia="IRNazanin" w:cs="IRNazanin"/>
            <w:color w:val="111111"/>
            <w:sz w:val="22"/>
            <w:szCs w:val="22"/>
            <w:b w:val="0"/>
            <w:bCs w:val="0"/>
            <w:i w:val="0"/>
            <w:iCs w:val="0"/>
          </w:rPr>
          <w:t>فلكي ، علي بن احمد</w:t>
        </w:r>
        <w:r>
          <w:tab/>
        </w:r>
        <w:r>
          <w:fldChar w:fldCharType="begin"/>
        </w:r>
        <w:r>
          <w:instrText xml:space="preserve">PAGEREF 5509 \h</w:instrText>
        </w:r>
        <w:r>
          <w:fldChar w:fldCharType="end"/>
        </w:r>
      </w:hyperlink>
    </w:p>
    <w:p>
      <w:pPr>
        <w:tabs>
          <w:tab w:val="right" w:leader="dot" w:pos="9062"/>
        </w:tabs>
        <w:ind w:left="220"/>
      </w:pPr>
      <w:hyperlink w:anchor="_Toc5510" w:history="1">
        <w:r>
          <w:rPr>
            <w:rFonts w:ascii="IRNazanin" w:hAnsi="IRNazanin" w:eastAsia="IRNazanin" w:cs="IRNazanin"/>
            <w:color w:val="111111"/>
            <w:sz w:val="22"/>
            <w:szCs w:val="22"/>
            <w:b w:val="0"/>
            <w:bCs w:val="0"/>
            <w:i w:val="0"/>
            <w:iCs w:val="0"/>
          </w:rPr>
          <w:t>فلمنكي ، يوهان شلیمر قرن 13 ه-</w:t>
        </w:r>
        <w:r>
          <w:tab/>
        </w:r>
        <w:r>
          <w:fldChar w:fldCharType="begin"/>
        </w:r>
        <w:r>
          <w:instrText xml:space="preserve">PAGEREF 5510 \h</w:instrText>
        </w:r>
        <w:r>
          <w:fldChar w:fldCharType="end"/>
        </w:r>
      </w:hyperlink>
    </w:p>
    <w:p>
      <w:pPr>
        <w:tabs>
          <w:tab w:val="right" w:leader="dot" w:pos="9062"/>
        </w:tabs>
        <w:ind w:left="220"/>
      </w:pPr>
      <w:hyperlink w:anchor="_Toc5511" w:history="1">
        <w:r>
          <w:rPr>
            <w:rFonts w:ascii="IRNazanin" w:hAnsi="IRNazanin" w:eastAsia="IRNazanin" w:cs="IRNazanin"/>
            <w:color w:val="111111"/>
            <w:sz w:val="22"/>
            <w:szCs w:val="22"/>
            <w:b w:val="0"/>
            <w:bCs w:val="0"/>
            <w:i w:val="0"/>
            <w:iCs w:val="0"/>
          </w:rPr>
          <w:t>فلوطين، 9204 - 270م</w:t>
        </w:r>
        <w:r>
          <w:tab/>
        </w:r>
        <w:r>
          <w:fldChar w:fldCharType="begin"/>
        </w:r>
        <w:r>
          <w:instrText xml:space="preserve">PAGEREF 5511 \h</w:instrText>
        </w:r>
        <w:r>
          <w:fldChar w:fldCharType="end"/>
        </w:r>
      </w:hyperlink>
    </w:p>
    <w:p>
      <w:pPr>
        <w:tabs>
          <w:tab w:val="right" w:leader="dot" w:pos="9062"/>
        </w:tabs>
        <w:ind w:left="220"/>
      </w:pPr>
      <w:hyperlink w:anchor="_Toc5512" w:history="1">
        <w:r>
          <w:rPr>
            <w:rFonts w:ascii="IRNazanin" w:hAnsi="IRNazanin" w:eastAsia="IRNazanin" w:cs="IRNazanin"/>
            <w:color w:val="111111"/>
            <w:sz w:val="22"/>
            <w:szCs w:val="22"/>
            <w:b w:val="0"/>
            <w:bCs w:val="0"/>
            <w:i w:val="0"/>
            <w:iCs w:val="0"/>
          </w:rPr>
          <w:t>فنائي اصفهاني ، علي، - 1350 ه-</w:t>
        </w:r>
        <w:r>
          <w:tab/>
        </w:r>
        <w:r>
          <w:fldChar w:fldCharType="begin"/>
        </w:r>
        <w:r>
          <w:instrText xml:space="preserve">PAGEREF 5512 \h</w:instrText>
        </w:r>
        <w:r>
          <w:fldChar w:fldCharType="end"/>
        </w:r>
      </w:hyperlink>
    </w:p>
    <w:p>
      <w:pPr>
        <w:tabs>
          <w:tab w:val="right" w:leader="dot" w:pos="9062"/>
        </w:tabs>
        <w:ind w:left="220"/>
      </w:pPr>
      <w:hyperlink w:anchor="_Toc5513" w:history="1">
        <w:r>
          <w:rPr>
            <w:rFonts w:ascii="IRNazanin" w:hAnsi="IRNazanin" w:eastAsia="IRNazanin" w:cs="IRNazanin"/>
            <w:color w:val="111111"/>
            <w:sz w:val="22"/>
            <w:szCs w:val="22"/>
            <w:b w:val="0"/>
            <w:bCs w:val="0"/>
            <w:i w:val="0"/>
            <w:iCs w:val="0"/>
          </w:rPr>
          <w:t>فناري ، احمد علي</w:t>
        </w:r>
        <w:r>
          <w:tab/>
        </w:r>
        <w:r>
          <w:fldChar w:fldCharType="begin"/>
        </w:r>
        <w:r>
          <w:instrText xml:space="preserve">PAGEREF 5513 \h</w:instrText>
        </w:r>
        <w:r>
          <w:fldChar w:fldCharType="end"/>
        </w:r>
      </w:hyperlink>
    </w:p>
    <w:p>
      <w:pPr>
        <w:tabs>
          <w:tab w:val="right" w:leader="dot" w:pos="9062"/>
        </w:tabs>
        <w:ind w:left="220"/>
      </w:pPr>
      <w:hyperlink w:anchor="_Toc5514" w:history="1">
        <w:r>
          <w:rPr>
            <w:rFonts w:ascii="IRNazanin" w:hAnsi="IRNazanin" w:eastAsia="IRNazanin" w:cs="IRNazanin"/>
            <w:color w:val="111111"/>
            <w:sz w:val="22"/>
            <w:szCs w:val="22"/>
            <w:b w:val="0"/>
            <w:bCs w:val="0"/>
            <w:i w:val="0"/>
            <w:iCs w:val="0"/>
          </w:rPr>
          <w:t>فناري زاده، ابراهيم بن مصطفى</w:t>
        </w:r>
        <w:r>
          <w:tab/>
        </w:r>
        <w:r>
          <w:fldChar w:fldCharType="begin"/>
        </w:r>
        <w:r>
          <w:instrText xml:space="preserve">PAGEREF 5514 \h</w:instrText>
        </w:r>
        <w:r>
          <w:fldChar w:fldCharType="end"/>
        </w:r>
      </w:hyperlink>
    </w:p>
    <w:p>
      <w:pPr>
        <w:tabs>
          <w:tab w:val="right" w:leader="dot" w:pos="9062"/>
        </w:tabs>
        <w:ind w:left="220"/>
      </w:pPr>
      <w:hyperlink w:anchor="_Toc5515" w:history="1">
        <w:r>
          <w:rPr>
            <w:rFonts w:ascii="IRNazanin" w:hAnsi="IRNazanin" w:eastAsia="IRNazanin" w:cs="IRNazanin"/>
            <w:color w:val="111111"/>
            <w:sz w:val="22"/>
            <w:szCs w:val="22"/>
            <w:b w:val="0"/>
            <w:bCs w:val="0"/>
            <w:i w:val="0"/>
            <w:iCs w:val="0"/>
          </w:rPr>
          <w:t>فناري ، علي بن يوسف - 903 ه-</w:t>
        </w:r>
        <w:r>
          <w:tab/>
        </w:r>
        <w:r>
          <w:fldChar w:fldCharType="begin"/>
        </w:r>
        <w:r>
          <w:instrText xml:space="preserve">PAGEREF 5515 \h</w:instrText>
        </w:r>
        <w:r>
          <w:fldChar w:fldCharType="end"/>
        </w:r>
      </w:hyperlink>
    </w:p>
    <w:p>
      <w:pPr>
        <w:tabs>
          <w:tab w:val="right" w:leader="dot" w:pos="9062"/>
        </w:tabs>
        <w:ind w:left="220"/>
      </w:pPr>
      <w:hyperlink w:anchor="_Toc5516" w:history="1">
        <w:r>
          <w:rPr>
            <w:rFonts w:ascii="IRNazanin" w:hAnsi="IRNazanin" w:eastAsia="IRNazanin" w:cs="IRNazanin"/>
            <w:color w:val="111111"/>
            <w:sz w:val="22"/>
            <w:szCs w:val="22"/>
            <w:b w:val="0"/>
            <w:bCs w:val="0"/>
            <w:i w:val="0"/>
            <w:iCs w:val="0"/>
          </w:rPr>
          <w:t>فناري ، محمّد بن حمزه، 751 - 834 ه-</w:t>
        </w:r>
        <w:r>
          <w:tab/>
        </w:r>
        <w:r>
          <w:fldChar w:fldCharType="begin"/>
        </w:r>
        <w:r>
          <w:instrText xml:space="preserve">PAGEREF 5516 \h</w:instrText>
        </w:r>
        <w:r>
          <w:fldChar w:fldCharType="end"/>
        </w:r>
      </w:hyperlink>
    </w:p>
    <w:p>
      <w:pPr>
        <w:tabs>
          <w:tab w:val="right" w:leader="dot" w:pos="9062"/>
        </w:tabs>
        <w:ind w:left="220"/>
      </w:pPr>
      <w:hyperlink w:anchor="_Toc5517" w:history="1">
        <w:r>
          <w:rPr>
            <w:rFonts w:ascii="IRNazanin" w:hAnsi="IRNazanin" w:eastAsia="IRNazanin" w:cs="IRNazanin"/>
            <w:color w:val="111111"/>
            <w:sz w:val="22"/>
            <w:szCs w:val="22"/>
            <w:b w:val="0"/>
            <w:bCs w:val="0"/>
            <w:i w:val="0"/>
            <w:iCs w:val="0"/>
          </w:rPr>
          <w:t>فناري ، محمّد شاه بن علي - 929 ه-</w:t>
        </w:r>
        <w:r>
          <w:tab/>
        </w:r>
        <w:r>
          <w:fldChar w:fldCharType="begin"/>
        </w:r>
        <w:r>
          <w:instrText xml:space="preserve">PAGEREF 5517 \h</w:instrText>
        </w:r>
        <w:r>
          <w:fldChar w:fldCharType="end"/>
        </w:r>
      </w:hyperlink>
    </w:p>
    <w:p>
      <w:pPr>
        <w:tabs>
          <w:tab w:val="right" w:leader="dot" w:pos="9062"/>
        </w:tabs>
        <w:ind w:left="220"/>
      </w:pPr>
      <w:hyperlink w:anchor="_Toc5518" w:history="1">
        <w:r>
          <w:rPr>
            <w:rFonts w:ascii="IRNazanin" w:hAnsi="IRNazanin" w:eastAsia="IRNazanin" w:cs="IRNazanin"/>
            <w:color w:val="111111"/>
            <w:sz w:val="22"/>
            <w:szCs w:val="22"/>
            <w:b w:val="0"/>
            <w:bCs w:val="0"/>
            <w:i w:val="0"/>
            <w:iCs w:val="0"/>
          </w:rPr>
          <w:t>فنجي ، احمد بن محمّد</w:t>
        </w:r>
        <w:r>
          <w:tab/>
        </w:r>
        <w:r>
          <w:fldChar w:fldCharType="begin"/>
        </w:r>
        <w:r>
          <w:instrText xml:space="preserve">PAGEREF 5518 \h</w:instrText>
        </w:r>
        <w:r>
          <w:fldChar w:fldCharType="end"/>
        </w:r>
      </w:hyperlink>
    </w:p>
    <w:p>
      <w:pPr>
        <w:tabs>
          <w:tab w:val="right" w:leader="dot" w:pos="9062"/>
        </w:tabs>
        <w:ind w:left="220"/>
      </w:pPr>
      <w:hyperlink w:anchor="_Toc5519" w:history="1">
        <w:r>
          <w:rPr>
            <w:rFonts w:ascii="IRNazanin" w:hAnsi="IRNazanin" w:eastAsia="IRNazanin" w:cs="IRNazanin"/>
            <w:color w:val="111111"/>
            <w:sz w:val="22"/>
            <w:szCs w:val="22"/>
            <w:b w:val="0"/>
            <w:bCs w:val="0"/>
            <w:i w:val="0"/>
            <w:iCs w:val="0"/>
          </w:rPr>
          <w:t>فهمي ، ليث بن سعد، 94 - 175 ه-</w:t>
        </w:r>
        <w:r>
          <w:tab/>
        </w:r>
        <w:r>
          <w:fldChar w:fldCharType="begin"/>
        </w:r>
        <w:r>
          <w:instrText xml:space="preserve">PAGEREF 5519 \h</w:instrText>
        </w:r>
        <w:r>
          <w:fldChar w:fldCharType="end"/>
        </w:r>
      </w:hyperlink>
    </w:p>
    <w:p>
      <w:pPr>
        <w:tabs>
          <w:tab w:val="right" w:leader="dot" w:pos="9062"/>
        </w:tabs>
        <w:ind w:left="220"/>
      </w:pPr>
      <w:hyperlink w:anchor="_Toc5520" w:history="1">
        <w:r>
          <w:rPr>
            <w:rFonts w:ascii="IRNazanin" w:hAnsi="IRNazanin" w:eastAsia="IRNazanin" w:cs="IRNazanin"/>
            <w:color w:val="111111"/>
            <w:sz w:val="22"/>
            <w:szCs w:val="22"/>
            <w:b w:val="0"/>
            <w:bCs w:val="0"/>
            <w:i w:val="0"/>
            <w:iCs w:val="0"/>
          </w:rPr>
          <w:t>فهمي ، محمّد بن عبد الله، 1195ق 13 ه-</w:t>
        </w:r>
        <w:r>
          <w:tab/>
        </w:r>
        <w:r>
          <w:fldChar w:fldCharType="begin"/>
        </w:r>
        <w:r>
          <w:instrText xml:space="preserve">PAGEREF 5520 \h</w:instrText>
        </w:r>
        <w:r>
          <w:fldChar w:fldCharType="end"/>
        </w:r>
      </w:hyperlink>
    </w:p>
    <w:p>
      <w:pPr>
        <w:tabs>
          <w:tab w:val="right" w:leader="dot" w:pos="9062"/>
        </w:tabs>
        <w:ind w:left="220"/>
      </w:pPr>
      <w:hyperlink w:anchor="_Toc5521" w:history="1">
        <w:r>
          <w:rPr>
            <w:rFonts w:ascii="IRNazanin" w:hAnsi="IRNazanin" w:eastAsia="IRNazanin" w:cs="IRNazanin"/>
            <w:color w:val="111111"/>
            <w:sz w:val="22"/>
            <w:szCs w:val="22"/>
            <w:b w:val="0"/>
            <w:bCs w:val="0"/>
            <w:i w:val="0"/>
            <w:iCs w:val="0"/>
          </w:rPr>
          <w:t>فهمي، محمّد بن مصطفى - 1290 ه-</w:t>
        </w:r>
        <w:r>
          <w:tab/>
        </w:r>
        <w:r>
          <w:fldChar w:fldCharType="begin"/>
        </w:r>
        <w:r>
          <w:instrText xml:space="preserve">PAGEREF 5521 \h</w:instrText>
        </w:r>
        <w:r>
          <w:fldChar w:fldCharType="end"/>
        </w:r>
      </w:hyperlink>
    </w:p>
    <w:p>
      <w:pPr>
        <w:tabs>
          <w:tab w:val="right" w:leader="dot" w:pos="9062"/>
        </w:tabs>
        <w:ind w:left="220"/>
      </w:pPr>
      <w:hyperlink w:anchor="_Toc5522" w:history="1">
        <w:r>
          <w:rPr>
            <w:rFonts w:ascii="IRNazanin" w:hAnsi="IRNazanin" w:eastAsia="IRNazanin" w:cs="IRNazanin"/>
            <w:color w:val="111111"/>
            <w:sz w:val="22"/>
            <w:szCs w:val="22"/>
            <w:b w:val="0"/>
            <w:bCs w:val="0"/>
            <w:i w:val="0"/>
            <w:iCs w:val="0"/>
          </w:rPr>
          <w:t>فوتي ، محمّد بن احمد</w:t>
        </w:r>
        <w:r>
          <w:tab/>
        </w:r>
        <w:r>
          <w:fldChar w:fldCharType="begin"/>
        </w:r>
        <w:r>
          <w:instrText xml:space="preserve">PAGEREF 5522 \h</w:instrText>
        </w:r>
        <w:r>
          <w:fldChar w:fldCharType="end"/>
        </w:r>
      </w:hyperlink>
    </w:p>
    <w:p>
      <w:pPr>
        <w:tabs>
          <w:tab w:val="right" w:leader="dot" w:pos="9062"/>
        </w:tabs>
        <w:ind w:left="220"/>
      </w:pPr>
      <w:hyperlink w:anchor="_Toc5523" w:history="1">
        <w:r>
          <w:rPr>
            <w:rFonts w:ascii="IRNazanin" w:hAnsi="IRNazanin" w:eastAsia="IRNazanin" w:cs="IRNazanin"/>
            <w:color w:val="111111"/>
            <w:sz w:val="22"/>
            <w:szCs w:val="22"/>
            <w:b w:val="0"/>
            <w:bCs w:val="0"/>
            <w:i w:val="0"/>
            <w:iCs w:val="0"/>
          </w:rPr>
          <w:t>فوقي يزدي ، احمد - 1050ه-</w:t>
        </w:r>
        <w:r>
          <w:tab/>
        </w:r>
        <w:r>
          <w:fldChar w:fldCharType="begin"/>
        </w:r>
        <w:r>
          <w:instrText xml:space="preserve">PAGEREF 5523 \h</w:instrText>
        </w:r>
        <w:r>
          <w:fldChar w:fldCharType="end"/>
        </w:r>
      </w:hyperlink>
    </w:p>
    <w:p>
      <w:pPr>
        <w:tabs>
          <w:tab w:val="right" w:leader="dot" w:pos="9062"/>
        </w:tabs>
        <w:ind w:left="220"/>
      </w:pPr>
      <w:hyperlink w:anchor="_Toc5524" w:history="1">
        <w:r>
          <w:rPr>
            <w:rFonts w:ascii="IRNazanin" w:hAnsi="IRNazanin" w:eastAsia="IRNazanin" w:cs="IRNazanin"/>
            <w:color w:val="111111"/>
            <w:sz w:val="22"/>
            <w:szCs w:val="22"/>
            <w:b w:val="0"/>
            <w:bCs w:val="0"/>
            <w:i w:val="0"/>
            <w:iCs w:val="0"/>
          </w:rPr>
          <w:t>فيثاغورس ، 570 - 495</w:t>
        </w:r>
        <w:r>
          <w:tab/>
        </w:r>
        <w:r>
          <w:fldChar w:fldCharType="begin"/>
        </w:r>
        <w:r>
          <w:instrText xml:space="preserve">PAGEREF 5524 \h</w:instrText>
        </w:r>
        <w:r>
          <w:fldChar w:fldCharType="end"/>
        </w:r>
      </w:hyperlink>
    </w:p>
    <w:p>
      <w:pPr>
        <w:tabs>
          <w:tab w:val="right" w:leader="dot" w:pos="9062"/>
        </w:tabs>
        <w:ind w:left="220"/>
      </w:pPr>
      <w:hyperlink w:anchor="_Toc5525" w:history="1">
        <w:r>
          <w:rPr>
            <w:rFonts w:ascii="IRNazanin" w:hAnsi="IRNazanin" w:eastAsia="IRNazanin" w:cs="IRNazanin"/>
            <w:color w:val="111111"/>
            <w:sz w:val="22"/>
            <w:szCs w:val="22"/>
            <w:b w:val="0"/>
            <w:bCs w:val="0"/>
            <w:i w:val="0"/>
            <w:iCs w:val="0"/>
          </w:rPr>
          <w:t>فيروزآبادي ، محمّد - 1305 ش</w:t>
        </w:r>
        <w:r>
          <w:tab/>
        </w:r>
        <w:r>
          <w:fldChar w:fldCharType="begin"/>
        </w:r>
        <w:r>
          <w:instrText xml:space="preserve">PAGEREF 5525 \h</w:instrText>
        </w:r>
        <w:r>
          <w:fldChar w:fldCharType="end"/>
        </w:r>
      </w:hyperlink>
    </w:p>
    <w:p>
      <w:pPr>
        <w:tabs>
          <w:tab w:val="right" w:leader="dot" w:pos="9062"/>
        </w:tabs>
        <w:ind w:left="220"/>
      </w:pPr>
      <w:hyperlink w:anchor="_Toc5526" w:history="1">
        <w:r>
          <w:rPr>
            <w:rFonts w:ascii="IRNazanin" w:hAnsi="IRNazanin" w:eastAsia="IRNazanin" w:cs="IRNazanin"/>
            <w:color w:val="111111"/>
            <w:sz w:val="22"/>
            <w:szCs w:val="22"/>
            <w:b w:val="0"/>
            <w:bCs w:val="0"/>
            <w:i w:val="0"/>
            <w:iCs w:val="0"/>
          </w:rPr>
          <w:t>فيروزآبادي ، محمّد بن يعقوب، 729 -</w:t>
        </w:r>
        <w:r>
          <w:tab/>
        </w:r>
        <w:r>
          <w:fldChar w:fldCharType="begin"/>
        </w:r>
        <w:r>
          <w:instrText xml:space="preserve">PAGEREF 5526 \h</w:instrText>
        </w:r>
        <w:r>
          <w:fldChar w:fldCharType="end"/>
        </w:r>
      </w:hyperlink>
    </w:p>
    <w:p>
      <w:pPr>
        <w:tabs>
          <w:tab w:val="right" w:leader="dot" w:pos="9062"/>
        </w:tabs>
        <w:ind w:left="220"/>
      </w:pPr>
      <w:hyperlink w:anchor="_Toc5527" w:history="1">
        <w:r>
          <w:rPr>
            <w:rFonts w:ascii="IRNazanin" w:hAnsi="IRNazanin" w:eastAsia="IRNazanin" w:cs="IRNazanin"/>
            <w:color w:val="111111"/>
            <w:sz w:val="22"/>
            <w:szCs w:val="22"/>
            <w:b w:val="0"/>
            <w:bCs w:val="0"/>
            <w:i w:val="0"/>
            <w:iCs w:val="0"/>
          </w:rPr>
          <w:t>فيروز بن كاووس قرن 10 ه-</w:t>
        </w:r>
        <w:r>
          <w:tab/>
        </w:r>
        <w:r>
          <w:fldChar w:fldCharType="begin"/>
        </w:r>
        <w:r>
          <w:instrText xml:space="preserve">PAGEREF 5527 \h</w:instrText>
        </w:r>
        <w:r>
          <w:fldChar w:fldCharType="end"/>
        </w:r>
      </w:hyperlink>
    </w:p>
    <w:p>
      <w:pPr>
        <w:tabs>
          <w:tab w:val="right" w:leader="dot" w:pos="9062"/>
        </w:tabs>
        <w:ind w:left="220"/>
      </w:pPr>
      <w:hyperlink w:anchor="_Toc5528" w:history="1">
        <w:r>
          <w:rPr>
            <w:rFonts w:ascii="IRNazanin" w:hAnsi="IRNazanin" w:eastAsia="IRNazanin" w:cs="IRNazanin"/>
            <w:color w:val="111111"/>
            <w:sz w:val="22"/>
            <w:szCs w:val="22"/>
            <w:b w:val="0"/>
            <w:bCs w:val="0"/>
            <w:i w:val="0"/>
            <w:iCs w:val="0"/>
          </w:rPr>
          <w:t>فيشي ، محمّد ، محمّد بن محمّد - 917 ه-</w:t>
        </w:r>
        <w:r>
          <w:tab/>
        </w:r>
        <w:r>
          <w:fldChar w:fldCharType="begin"/>
        </w:r>
        <w:r>
          <w:instrText xml:space="preserve">PAGEREF 5528 \h</w:instrText>
        </w:r>
        <w:r>
          <w:fldChar w:fldCharType="end"/>
        </w:r>
      </w:hyperlink>
    </w:p>
    <w:p>
      <w:pPr>
        <w:tabs>
          <w:tab w:val="right" w:leader="dot" w:pos="9062"/>
        </w:tabs>
        <w:ind w:left="220"/>
      </w:pPr>
      <w:hyperlink w:anchor="_Toc5529" w:history="1">
        <w:r>
          <w:rPr>
            <w:rFonts w:ascii="IRNazanin" w:hAnsi="IRNazanin" w:eastAsia="IRNazanin" w:cs="IRNazanin"/>
            <w:color w:val="111111"/>
            <w:sz w:val="22"/>
            <w:szCs w:val="22"/>
            <w:b w:val="0"/>
            <w:bCs w:val="0"/>
            <w:i w:val="0"/>
            <w:iCs w:val="0"/>
          </w:rPr>
          <w:t>فيشي ، يوسف بن احمد - 1061 ه-</w:t>
        </w:r>
        <w:r>
          <w:tab/>
        </w:r>
        <w:r>
          <w:fldChar w:fldCharType="begin"/>
        </w:r>
        <w:r>
          <w:instrText xml:space="preserve">PAGEREF 5529 \h</w:instrText>
        </w:r>
        <w:r>
          <w:fldChar w:fldCharType="end"/>
        </w:r>
      </w:hyperlink>
    </w:p>
    <w:p>
      <w:pPr>
        <w:tabs>
          <w:tab w:val="right" w:leader="dot" w:pos="9062"/>
        </w:tabs>
        <w:ind w:left="220"/>
      </w:pPr>
      <w:hyperlink w:anchor="_Toc5530" w:history="1">
        <w:r>
          <w:rPr>
            <w:rFonts w:ascii="IRNazanin" w:hAnsi="IRNazanin" w:eastAsia="IRNazanin" w:cs="IRNazanin"/>
            <w:color w:val="111111"/>
            <w:sz w:val="22"/>
            <w:szCs w:val="22"/>
            <w:b w:val="0"/>
            <w:bCs w:val="0"/>
            <w:i w:val="0"/>
            <w:iCs w:val="0"/>
          </w:rPr>
          <w:t>فيض كاشاني ، محمّد بن شاه مرتضی</w:t>
        </w:r>
        <w:r>
          <w:tab/>
        </w:r>
        <w:r>
          <w:fldChar w:fldCharType="begin"/>
        </w:r>
        <w:r>
          <w:instrText xml:space="preserve">PAGEREF 5530 \h</w:instrText>
        </w:r>
        <w:r>
          <w:fldChar w:fldCharType="end"/>
        </w:r>
      </w:hyperlink>
    </w:p>
    <w:p>
      <w:pPr>
        <w:tabs>
          <w:tab w:val="right" w:leader="dot" w:pos="9062"/>
        </w:tabs>
        <w:ind w:left="220"/>
      </w:pPr>
      <w:hyperlink w:anchor="_Toc5531" w:history="1">
        <w:r>
          <w:rPr>
            <w:rFonts w:ascii="IRNazanin" w:hAnsi="IRNazanin" w:eastAsia="IRNazanin" w:cs="IRNazanin"/>
            <w:color w:val="111111"/>
            <w:sz w:val="22"/>
            <w:szCs w:val="22"/>
            <w:b w:val="0"/>
            <w:bCs w:val="0"/>
            <w:i w:val="0"/>
            <w:iCs w:val="0"/>
          </w:rPr>
          <w:t>فيضي، ابوالفيض بن مبارك، 954-1004ه-</w:t>
        </w:r>
        <w:r>
          <w:tab/>
        </w:r>
        <w:r>
          <w:fldChar w:fldCharType="begin"/>
        </w:r>
        <w:r>
          <w:instrText xml:space="preserve">PAGEREF 5531 \h</w:instrText>
        </w:r>
        <w:r>
          <w:fldChar w:fldCharType="end"/>
        </w:r>
      </w:hyperlink>
    </w:p>
    <w:p>
      <w:pPr>
        <w:tabs>
          <w:tab w:val="right" w:leader="dot" w:pos="9062"/>
        </w:tabs>
        <w:ind w:left="220"/>
      </w:pPr>
      <w:hyperlink w:anchor="_Toc5532" w:history="1">
        <w:r>
          <w:rPr>
            <w:rFonts w:ascii="IRNazanin" w:hAnsi="IRNazanin" w:eastAsia="IRNazanin" w:cs="IRNazanin"/>
            <w:color w:val="111111"/>
            <w:sz w:val="22"/>
            <w:szCs w:val="22"/>
            <w:b w:val="0"/>
            <w:bCs w:val="0"/>
            <w:i w:val="0"/>
            <w:iCs w:val="0"/>
          </w:rPr>
          <w:t>فيضي، احمد بن محمّد محسن قرن 13 ه-</w:t>
        </w:r>
        <w:r>
          <w:tab/>
        </w:r>
        <w:r>
          <w:fldChar w:fldCharType="begin"/>
        </w:r>
        <w:r>
          <w:instrText xml:space="preserve">PAGEREF 5532 \h</w:instrText>
        </w:r>
        <w:r>
          <w:fldChar w:fldCharType="end"/>
        </w:r>
      </w:hyperlink>
    </w:p>
    <w:p>
      <w:pPr>
        <w:tabs>
          <w:tab w:val="right" w:leader="dot" w:pos="9062"/>
        </w:tabs>
        <w:ind w:left="220"/>
      </w:pPr>
      <w:hyperlink w:anchor="_Toc5533" w:history="1">
        <w:r>
          <w:rPr>
            <w:rFonts w:ascii="IRNazanin" w:hAnsi="IRNazanin" w:eastAsia="IRNazanin" w:cs="IRNazanin"/>
            <w:color w:val="111111"/>
            <w:sz w:val="22"/>
            <w:szCs w:val="22"/>
            <w:b w:val="0"/>
            <w:bCs w:val="0"/>
            <w:i w:val="0"/>
            <w:iCs w:val="0"/>
          </w:rPr>
          <w:t>فيضي زهاوي ، محمّد - 1308 ه-</w:t>
        </w:r>
        <w:r>
          <w:tab/>
        </w:r>
        <w:r>
          <w:fldChar w:fldCharType="begin"/>
        </w:r>
        <w:r>
          <w:instrText xml:space="preserve">PAGEREF 5533 \h</w:instrText>
        </w:r>
        <w:r>
          <w:fldChar w:fldCharType="end"/>
        </w:r>
      </w:hyperlink>
    </w:p>
    <w:p>
      <w:pPr>
        <w:tabs>
          <w:tab w:val="right" w:leader="dot" w:pos="9062"/>
        </w:tabs>
        <w:ind w:left="220"/>
      </w:pPr>
      <w:hyperlink w:anchor="_Toc5534" w:history="1">
        <w:r>
          <w:rPr>
            <w:rFonts w:ascii="IRNazanin" w:hAnsi="IRNazanin" w:eastAsia="IRNazanin" w:cs="IRNazanin"/>
            <w:color w:val="111111"/>
            <w:sz w:val="22"/>
            <w:szCs w:val="22"/>
            <w:b w:val="0"/>
            <w:bCs w:val="0"/>
            <w:i w:val="0"/>
            <w:iCs w:val="0"/>
          </w:rPr>
          <w:t>فيضي ، عبد الله</w:t>
        </w:r>
        <w:r>
          <w:tab/>
        </w:r>
        <w:r>
          <w:fldChar w:fldCharType="begin"/>
        </w:r>
        <w:r>
          <w:instrText xml:space="preserve">PAGEREF 5534 \h</w:instrText>
        </w:r>
        <w:r>
          <w:fldChar w:fldCharType="end"/>
        </w:r>
      </w:hyperlink>
    </w:p>
    <w:p>
      <w:pPr>
        <w:tabs>
          <w:tab w:val="right" w:leader="dot" w:pos="9062"/>
        </w:tabs>
        <w:ind w:left="220"/>
      </w:pPr>
      <w:hyperlink w:anchor="_Toc5535" w:history="1">
        <w:r>
          <w:rPr>
            <w:rFonts w:ascii="IRNazanin" w:hAnsi="IRNazanin" w:eastAsia="IRNazanin" w:cs="IRNazanin"/>
            <w:color w:val="111111"/>
            <w:sz w:val="22"/>
            <w:szCs w:val="22"/>
            <w:b w:val="0"/>
            <w:bCs w:val="0"/>
            <w:i w:val="0"/>
            <w:iCs w:val="0"/>
          </w:rPr>
          <w:t>فيضي فضل الهي</w:t>
        </w:r>
        <w:r>
          <w:tab/>
        </w:r>
        <w:r>
          <w:fldChar w:fldCharType="begin"/>
        </w:r>
        <w:r>
          <w:instrText xml:space="preserve">PAGEREF 5535 \h</w:instrText>
        </w:r>
        <w:r>
          <w:fldChar w:fldCharType="end"/>
        </w:r>
      </w:hyperlink>
    </w:p>
    <w:p>
      <w:pPr>
        <w:tabs>
          <w:tab w:val="right" w:leader="dot" w:pos="9062"/>
        </w:tabs>
        <w:ind w:left="220"/>
      </w:pPr>
      <w:hyperlink w:anchor="_Toc5536" w:history="1">
        <w:r>
          <w:rPr>
            <w:rFonts w:ascii="IRNazanin" w:hAnsi="IRNazanin" w:eastAsia="IRNazanin" w:cs="IRNazanin"/>
            <w:color w:val="111111"/>
            <w:sz w:val="22"/>
            <w:szCs w:val="22"/>
            <w:b w:val="0"/>
            <w:bCs w:val="0"/>
            <w:i w:val="0"/>
            <w:iCs w:val="0"/>
          </w:rPr>
          <w:t>فيضي، مصطفى بن عبدالله - 1103 ه-</w:t>
        </w:r>
        <w:r>
          <w:tab/>
        </w:r>
        <w:r>
          <w:fldChar w:fldCharType="begin"/>
        </w:r>
        <w:r>
          <w:instrText xml:space="preserve">PAGEREF 5536 \h</w:instrText>
        </w:r>
        <w:r>
          <w:fldChar w:fldCharType="end"/>
        </w:r>
      </w:hyperlink>
    </w:p>
    <w:p>
      <w:pPr>
        <w:tabs>
          <w:tab w:val="right" w:leader="dot" w:pos="9062"/>
        </w:tabs>
        <w:ind w:left="220"/>
      </w:pPr>
      <w:hyperlink w:anchor="_Toc5537" w:history="1">
        <w:r>
          <w:rPr>
            <w:rFonts w:ascii="IRNazanin" w:hAnsi="IRNazanin" w:eastAsia="IRNazanin" w:cs="IRNazanin"/>
            <w:color w:val="111111"/>
            <w:sz w:val="22"/>
            <w:szCs w:val="22"/>
            <w:b w:val="0"/>
            <w:bCs w:val="0"/>
            <w:i w:val="0"/>
            <w:iCs w:val="0"/>
          </w:rPr>
          <w:t>فيضي موصلي ، عبدالله بن مصطفى</w:t>
        </w:r>
        <w:r>
          <w:tab/>
        </w:r>
        <w:r>
          <w:fldChar w:fldCharType="begin"/>
        </w:r>
        <w:r>
          <w:instrText xml:space="preserve">PAGEREF 5537 \h</w:instrText>
        </w:r>
        <w:r>
          <w:fldChar w:fldCharType="end"/>
        </w:r>
      </w:hyperlink>
    </w:p>
    <w:p>
      <w:pPr>
        <w:tabs>
          <w:tab w:val="right" w:leader="dot" w:pos="9062"/>
        </w:tabs>
        <w:ind w:left="220"/>
      </w:pPr>
      <w:hyperlink w:anchor="_Toc5538" w:history="1">
        <w:r>
          <w:rPr>
            <w:rFonts w:ascii="IRNazanin" w:hAnsi="IRNazanin" w:eastAsia="IRNazanin" w:cs="IRNazanin"/>
            <w:color w:val="111111"/>
            <w:sz w:val="22"/>
            <w:szCs w:val="22"/>
            <w:b w:val="0"/>
            <w:bCs w:val="0"/>
            <w:i w:val="0"/>
            <w:iCs w:val="0"/>
          </w:rPr>
          <w:t>فيلوي ، شهاب الدين</w:t>
        </w:r>
        <w:r>
          <w:tab/>
        </w:r>
        <w:r>
          <w:fldChar w:fldCharType="begin"/>
        </w:r>
        <w:r>
          <w:instrText xml:space="preserve">PAGEREF 5538 \h</w:instrText>
        </w:r>
        <w:r>
          <w:fldChar w:fldCharType="end"/>
        </w:r>
      </w:hyperlink>
    </w:p>
    <w:p>
      <w:pPr>
        <w:tabs>
          <w:tab w:val="right" w:leader="dot" w:pos="9062"/>
        </w:tabs>
        <w:ind w:left="220"/>
      </w:pPr>
      <w:hyperlink w:anchor="_Toc5539" w:history="1">
        <w:r>
          <w:rPr>
            <w:rFonts w:ascii="IRNazanin" w:hAnsi="IRNazanin" w:eastAsia="IRNazanin" w:cs="IRNazanin"/>
            <w:color w:val="111111"/>
            <w:sz w:val="22"/>
            <w:szCs w:val="22"/>
            <w:b w:val="0"/>
            <w:bCs w:val="0"/>
            <w:i w:val="0"/>
            <w:iCs w:val="0"/>
          </w:rPr>
          <w:t>فيلي ، نعمة الله بن شهواز قرن 13 ه-</w:t>
        </w:r>
        <w:r>
          <w:tab/>
        </w:r>
        <w:r>
          <w:fldChar w:fldCharType="begin"/>
        </w:r>
        <w:r>
          <w:instrText xml:space="preserve">PAGEREF 5539 \h</w:instrText>
        </w:r>
        <w:r>
          <w:fldChar w:fldCharType="end"/>
        </w:r>
      </w:hyperlink>
    </w:p>
    <w:p>
      <w:pPr>
        <w:tabs>
          <w:tab w:val="right" w:leader="dot" w:pos="9062"/>
        </w:tabs>
        <w:ind w:left="220"/>
      </w:pPr>
      <w:hyperlink w:anchor="_Toc5540" w:history="1">
        <w:r>
          <w:rPr>
            <w:rFonts w:ascii="IRNazanin" w:hAnsi="IRNazanin" w:eastAsia="IRNazanin" w:cs="IRNazanin"/>
            <w:color w:val="111111"/>
            <w:sz w:val="22"/>
            <w:szCs w:val="22"/>
            <w:b w:val="0"/>
            <w:bCs w:val="0"/>
            <w:i w:val="0"/>
            <w:iCs w:val="0"/>
          </w:rPr>
          <w:t>فيومي ، احمد بن محمّد - 770؟</w:t>
        </w:r>
        <w:r>
          <w:tab/>
        </w:r>
        <w:r>
          <w:fldChar w:fldCharType="begin"/>
        </w:r>
        <w:r>
          <w:instrText xml:space="preserve">PAGEREF 5540 \h</w:instrText>
        </w:r>
        <w:r>
          <w:fldChar w:fldCharType="end"/>
        </w:r>
      </w:hyperlink>
    </w:p>
    <w:p>
      <w:pPr>
        <w:tabs>
          <w:tab w:val="right" w:leader="dot" w:pos="9062"/>
        </w:tabs>
        <w:ind w:left="220"/>
      </w:pPr>
      <w:hyperlink w:anchor="_Toc5541" w:history="1">
        <w:r>
          <w:rPr>
            <w:rFonts w:ascii="IRNazanin" w:hAnsi="IRNazanin" w:eastAsia="IRNazanin" w:cs="IRNazanin"/>
            <w:color w:val="111111"/>
            <w:sz w:val="22"/>
            <w:szCs w:val="22"/>
            <w:b w:val="0"/>
            <w:bCs w:val="0"/>
            <w:i w:val="0"/>
            <w:iCs w:val="0"/>
          </w:rPr>
          <w:t>فيومي عبد البر بن عبد القادر - 1071 ه-</w:t>
        </w:r>
        <w:r>
          <w:tab/>
        </w:r>
        <w:r>
          <w:fldChar w:fldCharType="begin"/>
        </w:r>
        <w:r>
          <w:instrText xml:space="preserve">PAGEREF 5541 \h</w:instrText>
        </w:r>
        <w:r>
          <w:fldChar w:fldCharType="end"/>
        </w:r>
      </w:hyperlink>
    </w:p>
    <w:p>
      <w:pPr>
        <w:tabs>
          <w:tab w:val="right" w:leader="dot" w:pos="9062"/>
        </w:tabs>
        <w:ind w:left="220"/>
      </w:pPr>
      <w:hyperlink w:anchor="_Toc5542" w:history="1">
        <w:r>
          <w:rPr>
            <w:rFonts w:ascii="IRNazanin" w:hAnsi="IRNazanin" w:eastAsia="IRNazanin" w:cs="IRNazanin"/>
            <w:color w:val="111111"/>
            <w:sz w:val="22"/>
            <w:szCs w:val="22"/>
            <w:b w:val="0"/>
            <w:bCs w:val="0"/>
            <w:i w:val="0"/>
            <w:iCs w:val="0"/>
          </w:rPr>
          <w:t>فيومي ، محمّد بن عبد الصمد، قرن 8 ه-</w:t>
        </w:r>
        <w:r>
          <w:tab/>
        </w:r>
        <w:r>
          <w:fldChar w:fldCharType="begin"/>
        </w:r>
        <w:r>
          <w:instrText xml:space="preserve">PAGEREF 5542 \h</w:instrText>
        </w:r>
        <w:r>
          <w:fldChar w:fldCharType="end"/>
        </w:r>
      </w:hyperlink>
    </w:p>
    <w:p>
      <w:pPr>
        <w:tabs>
          <w:tab w:val="right" w:leader="dot" w:pos="9062"/>
        </w:tabs>
        <w:ind w:left="220"/>
      </w:pPr>
      <w:hyperlink w:anchor="_Toc5543" w:history="1">
        <w:r>
          <w:rPr>
            <w:rFonts w:ascii="IRNazanin" w:hAnsi="IRNazanin" w:eastAsia="IRNazanin" w:cs="IRNazanin"/>
            <w:color w:val="111111"/>
            <w:sz w:val="22"/>
            <w:szCs w:val="22"/>
            <w:b w:val="0"/>
            <w:bCs w:val="0"/>
            <w:i w:val="0"/>
            <w:iCs w:val="0"/>
          </w:rPr>
          <w:t>؟ قائم مقام ، ابوالقاسم بن عيسى</w:t>
        </w:r>
        <w:r>
          <w:tab/>
        </w:r>
        <w:r>
          <w:fldChar w:fldCharType="begin"/>
        </w:r>
        <w:r>
          <w:instrText xml:space="preserve">PAGEREF 5543 \h</w:instrText>
        </w:r>
        <w:r>
          <w:fldChar w:fldCharType="end"/>
        </w:r>
      </w:hyperlink>
    </w:p>
    <w:p>
      <w:pPr>
        <w:tabs>
          <w:tab w:val="right" w:leader="dot" w:pos="9062"/>
        </w:tabs>
        <w:ind w:left="220"/>
      </w:pPr>
      <w:hyperlink w:anchor="_Toc5544" w:history="1">
        <w:r>
          <w:rPr>
            <w:rFonts w:ascii="IRNazanin" w:hAnsi="IRNazanin" w:eastAsia="IRNazanin" w:cs="IRNazanin"/>
            <w:color w:val="111111"/>
            <w:sz w:val="22"/>
            <w:szCs w:val="22"/>
            <w:b w:val="0"/>
            <w:bCs w:val="0"/>
            <w:i w:val="0"/>
            <w:iCs w:val="0"/>
          </w:rPr>
          <w:t>قائني، اسماعيل بن جعفر قرن 13 ه-</w:t>
        </w:r>
        <w:r>
          <w:tab/>
        </w:r>
        <w:r>
          <w:fldChar w:fldCharType="begin"/>
        </w:r>
        <w:r>
          <w:instrText xml:space="preserve">PAGEREF 5544 \h</w:instrText>
        </w:r>
        <w:r>
          <w:fldChar w:fldCharType="end"/>
        </w:r>
      </w:hyperlink>
    </w:p>
    <w:p>
      <w:pPr>
        <w:tabs>
          <w:tab w:val="right" w:leader="dot" w:pos="9062"/>
        </w:tabs>
        <w:ind w:left="220"/>
      </w:pPr>
      <w:hyperlink w:anchor="_Toc5545" w:history="1">
        <w:r>
          <w:rPr>
            <w:rFonts w:ascii="IRNazanin" w:hAnsi="IRNazanin" w:eastAsia="IRNazanin" w:cs="IRNazanin"/>
            <w:color w:val="111111"/>
            <w:sz w:val="22"/>
            <w:szCs w:val="22"/>
            <w:b w:val="0"/>
            <w:bCs w:val="0"/>
            <w:i w:val="0"/>
            <w:iCs w:val="0"/>
          </w:rPr>
          <w:t>قائني اصفهاني ، خليل بن محمّد اشرف -</w:t>
        </w:r>
        <w:r>
          <w:tab/>
        </w:r>
        <w:r>
          <w:fldChar w:fldCharType="begin"/>
        </w:r>
        <w:r>
          <w:instrText xml:space="preserve">PAGEREF 5545 \h</w:instrText>
        </w:r>
        <w:r>
          <w:fldChar w:fldCharType="end"/>
        </w:r>
      </w:hyperlink>
    </w:p>
    <w:p>
      <w:pPr>
        <w:tabs>
          <w:tab w:val="right" w:leader="dot" w:pos="9062"/>
        </w:tabs>
        <w:ind w:left="220"/>
      </w:pPr>
      <w:hyperlink w:anchor="_Toc5546" w:history="1">
        <w:r>
          <w:rPr>
            <w:rFonts w:ascii="IRNazanin" w:hAnsi="IRNazanin" w:eastAsia="IRNazanin" w:cs="IRNazanin"/>
            <w:color w:val="111111"/>
            <w:sz w:val="22"/>
            <w:szCs w:val="22"/>
            <w:b w:val="0"/>
            <w:bCs w:val="0"/>
            <w:i w:val="0"/>
            <w:iCs w:val="0"/>
          </w:rPr>
          <w:t>قاآني ، حبيب الله بن محمّد علي، 1223 -</w:t>
        </w:r>
        <w:r>
          <w:tab/>
        </w:r>
        <w:r>
          <w:fldChar w:fldCharType="begin"/>
        </w:r>
        <w:r>
          <w:instrText xml:space="preserve">PAGEREF 5546 \h</w:instrText>
        </w:r>
        <w:r>
          <w:fldChar w:fldCharType="end"/>
        </w:r>
      </w:hyperlink>
    </w:p>
    <w:p>
      <w:pPr>
        <w:tabs>
          <w:tab w:val="right" w:leader="dot" w:pos="9062"/>
        </w:tabs>
        <w:ind w:left="220"/>
      </w:pPr>
      <w:hyperlink w:anchor="_Toc5547" w:history="1">
        <w:r>
          <w:rPr>
            <w:rFonts w:ascii="IRNazanin" w:hAnsi="IRNazanin" w:eastAsia="IRNazanin" w:cs="IRNazanin"/>
            <w:color w:val="111111"/>
            <w:sz w:val="22"/>
            <w:szCs w:val="22"/>
            <w:b w:val="0"/>
            <w:bCs w:val="0"/>
            <w:i w:val="0"/>
            <w:iCs w:val="0"/>
          </w:rPr>
          <w:t>قائني ، محمّد جعفر بن محمّد کاظم</w:t>
        </w:r>
        <w:r>
          <w:tab/>
        </w:r>
        <w:r>
          <w:fldChar w:fldCharType="begin"/>
        </w:r>
        <w:r>
          <w:instrText xml:space="preserve">PAGEREF 5547 \h</w:instrText>
        </w:r>
        <w:r>
          <w:fldChar w:fldCharType="end"/>
        </w:r>
      </w:hyperlink>
    </w:p>
    <w:p>
      <w:pPr>
        <w:tabs>
          <w:tab w:val="right" w:leader="dot" w:pos="9062"/>
        </w:tabs>
        <w:ind w:left="220"/>
      </w:pPr>
      <w:hyperlink w:anchor="_Toc5548" w:history="1">
        <w:r>
          <w:rPr>
            <w:rFonts w:ascii="IRNazanin" w:hAnsi="IRNazanin" w:eastAsia="IRNazanin" w:cs="IRNazanin"/>
            <w:color w:val="111111"/>
            <w:sz w:val="22"/>
            <w:szCs w:val="22"/>
            <w:b w:val="0"/>
            <w:bCs w:val="0"/>
            <w:i w:val="0"/>
            <w:iCs w:val="0"/>
          </w:rPr>
          <w:t>قائيني ، سلطان محمّد قرن 11 ه-</w:t>
        </w:r>
        <w:r>
          <w:tab/>
        </w:r>
        <w:r>
          <w:fldChar w:fldCharType="begin"/>
        </w:r>
        <w:r>
          <w:instrText xml:space="preserve">PAGEREF 5548 \h</w:instrText>
        </w:r>
        <w:r>
          <w:fldChar w:fldCharType="end"/>
        </w:r>
      </w:hyperlink>
    </w:p>
    <w:p>
      <w:pPr>
        <w:tabs>
          <w:tab w:val="right" w:leader="dot" w:pos="9062"/>
        </w:tabs>
        <w:ind w:left="220"/>
      </w:pPr>
      <w:hyperlink w:anchor="_Toc5549" w:history="1">
        <w:r>
          <w:rPr>
            <w:rFonts w:ascii="IRNazanin" w:hAnsi="IRNazanin" w:eastAsia="IRNazanin" w:cs="IRNazanin"/>
            <w:color w:val="111111"/>
            <w:sz w:val="22"/>
            <w:szCs w:val="22"/>
            <w:b w:val="0"/>
            <w:bCs w:val="0"/>
            <w:i w:val="0"/>
            <w:iCs w:val="0"/>
          </w:rPr>
          <w:t>قابوس بن وشمگیر - 403 ه-</w:t>
        </w:r>
        <w:r>
          <w:tab/>
        </w:r>
        <w:r>
          <w:fldChar w:fldCharType="begin"/>
        </w:r>
        <w:r>
          <w:instrText xml:space="preserve">PAGEREF 5549 \h</w:instrText>
        </w:r>
        <w:r>
          <w:fldChar w:fldCharType="end"/>
        </w:r>
      </w:hyperlink>
    </w:p>
    <w:p>
      <w:pPr>
        <w:tabs>
          <w:tab w:val="right" w:leader="dot" w:pos="9062"/>
        </w:tabs>
        <w:ind w:left="220"/>
      </w:pPr>
      <w:hyperlink w:anchor="_Toc5550" w:history="1">
        <w:r>
          <w:rPr>
            <w:rFonts w:ascii="IRNazanin" w:hAnsi="IRNazanin" w:eastAsia="IRNazanin" w:cs="IRNazanin"/>
            <w:color w:val="111111"/>
            <w:sz w:val="22"/>
            <w:szCs w:val="22"/>
            <w:b w:val="0"/>
            <w:bCs w:val="0"/>
            <w:i w:val="0"/>
            <w:iCs w:val="0"/>
          </w:rPr>
          <w:t>قاجار ، عبد الحسين بن مؤيد الدوله ه-</w:t>
        </w:r>
        <w:r>
          <w:tab/>
        </w:r>
        <w:r>
          <w:fldChar w:fldCharType="begin"/>
        </w:r>
        <w:r>
          <w:instrText xml:space="preserve">PAGEREF 5550 \h</w:instrText>
        </w:r>
        <w:r>
          <w:fldChar w:fldCharType="end"/>
        </w:r>
      </w:hyperlink>
    </w:p>
    <w:p>
      <w:pPr>
        <w:tabs>
          <w:tab w:val="right" w:leader="dot" w:pos="9062"/>
        </w:tabs>
        <w:ind w:left="220"/>
      </w:pPr>
      <w:hyperlink w:anchor="_Toc5551" w:history="1">
        <w:r>
          <w:rPr>
            <w:rFonts w:ascii="IRNazanin" w:hAnsi="IRNazanin" w:eastAsia="IRNazanin" w:cs="IRNazanin"/>
            <w:color w:val="111111"/>
            <w:sz w:val="22"/>
            <w:szCs w:val="22"/>
            <w:b w:val="0"/>
            <w:bCs w:val="0"/>
            <w:i w:val="0"/>
            <w:iCs w:val="0"/>
          </w:rPr>
          <w:t>قاجار ، مهدي بن مؤيد الدولة</w:t>
        </w:r>
        <w:r>
          <w:tab/>
        </w:r>
        <w:r>
          <w:fldChar w:fldCharType="begin"/>
        </w:r>
        <w:r>
          <w:instrText xml:space="preserve">PAGEREF 5551 \h</w:instrText>
        </w:r>
        <w:r>
          <w:fldChar w:fldCharType="end"/>
        </w:r>
      </w:hyperlink>
    </w:p>
    <w:p>
      <w:pPr>
        <w:tabs>
          <w:tab w:val="right" w:leader="dot" w:pos="9062"/>
        </w:tabs>
        <w:ind w:left="220"/>
      </w:pPr>
      <w:hyperlink w:anchor="_Toc5552" w:history="1">
        <w:r>
          <w:rPr>
            <w:rFonts w:ascii="IRNazanin" w:hAnsi="IRNazanin" w:eastAsia="IRNazanin" w:cs="IRNazanin"/>
            <w:color w:val="111111"/>
            <w:sz w:val="22"/>
            <w:szCs w:val="22"/>
            <w:b w:val="0"/>
            <w:bCs w:val="0"/>
            <w:i w:val="0"/>
            <w:iCs w:val="0"/>
          </w:rPr>
          <w:t>قادري، ابراهيم بن مصطفى</w:t>
        </w:r>
        <w:r>
          <w:tab/>
        </w:r>
        <w:r>
          <w:fldChar w:fldCharType="begin"/>
        </w:r>
        <w:r>
          <w:instrText xml:space="preserve">PAGEREF 5552 \h</w:instrText>
        </w:r>
        <w:r>
          <w:fldChar w:fldCharType="end"/>
        </w:r>
      </w:hyperlink>
    </w:p>
    <w:p>
      <w:pPr>
        <w:tabs>
          <w:tab w:val="right" w:leader="dot" w:pos="9062"/>
        </w:tabs>
        <w:ind w:left="220"/>
      </w:pPr>
      <w:hyperlink w:anchor="_Toc5553" w:history="1">
        <w:r>
          <w:rPr>
            <w:rFonts w:ascii="IRNazanin" w:hAnsi="IRNazanin" w:eastAsia="IRNazanin" w:cs="IRNazanin"/>
            <w:color w:val="111111"/>
            <w:sz w:val="22"/>
            <w:szCs w:val="22"/>
            <w:b w:val="0"/>
            <w:bCs w:val="0"/>
            <w:i w:val="0"/>
            <w:iCs w:val="0"/>
          </w:rPr>
          <w:t>قادري ، ابوبكر بن داود</w:t>
        </w:r>
        <w:r>
          <w:tab/>
        </w:r>
        <w:r>
          <w:fldChar w:fldCharType="begin"/>
        </w:r>
        <w:r>
          <w:instrText xml:space="preserve">PAGEREF 5553 \h</w:instrText>
        </w:r>
        <w:r>
          <w:fldChar w:fldCharType="end"/>
        </w:r>
      </w:hyperlink>
    </w:p>
    <w:p>
      <w:pPr>
        <w:tabs>
          <w:tab w:val="right" w:leader="dot" w:pos="9062"/>
        </w:tabs>
        <w:ind w:left="220"/>
      </w:pPr>
      <w:hyperlink w:anchor="_Toc5554" w:history="1">
        <w:r>
          <w:rPr>
            <w:rFonts w:ascii="IRNazanin" w:hAnsi="IRNazanin" w:eastAsia="IRNazanin" w:cs="IRNazanin"/>
            <w:color w:val="111111"/>
            <w:sz w:val="22"/>
            <w:szCs w:val="22"/>
            <w:b w:val="0"/>
            <w:bCs w:val="0"/>
            <w:i w:val="0"/>
            <w:iCs w:val="0"/>
          </w:rPr>
          <w:t>قادري، احمد بن حسين قرن 13</w:t>
        </w:r>
        <w:r>
          <w:tab/>
        </w:r>
        <w:r>
          <w:fldChar w:fldCharType="begin"/>
        </w:r>
        <w:r>
          <w:instrText xml:space="preserve">PAGEREF 5554 \h</w:instrText>
        </w:r>
        <w:r>
          <w:fldChar w:fldCharType="end"/>
        </w:r>
      </w:hyperlink>
    </w:p>
    <w:p>
      <w:pPr>
        <w:tabs>
          <w:tab w:val="right" w:leader="dot" w:pos="9062"/>
        </w:tabs>
        <w:ind w:left="220"/>
      </w:pPr>
      <w:hyperlink w:anchor="_Toc5555" w:history="1">
        <w:r>
          <w:rPr>
            <w:rFonts w:ascii="IRNazanin" w:hAnsi="IRNazanin" w:eastAsia="IRNazanin" w:cs="IRNazanin"/>
            <w:color w:val="111111"/>
            <w:sz w:val="22"/>
            <w:szCs w:val="22"/>
            <w:b w:val="0"/>
            <w:bCs w:val="0"/>
            <w:i w:val="0"/>
            <w:iCs w:val="0"/>
          </w:rPr>
          <w:t>قادري ، احمد بن عبدالله</w:t>
        </w:r>
        <w:r>
          <w:tab/>
        </w:r>
        <w:r>
          <w:fldChar w:fldCharType="begin"/>
        </w:r>
        <w:r>
          <w:instrText xml:space="preserve">PAGEREF 5555 \h</w:instrText>
        </w:r>
        <w:r>
          <w:fldChar w:fldCharType="end"/>
        </w:r>
      </w:hyperlink>
    </w:p>
    <w:p>
      <w:pPr>
        <w:tabs>
          <w:tab w:val="right" w:leader="dot" w:pos="9062"/>
        </w:tabs>
        <w:ind w:left="220"/>
      </w:pPr>
      <w:hyperlink w:anchor="_Toc5556" w:history="1">
        <w:r>
          <w:rPr>
            <w:rFonts w:ascii="IRNazanin" w:hAnsi="IRNazanin" w:eastAsia="IRNazanin" w:cs="IRNazanin"/>
            <w:color w:val="111111"/>
            <w:sz w:val="22"/>
            <w:szCs w:val="22"/>
            <w:b w:val="0"/>
            <w:bCs w:val="0"/>
            <w:i w:val="0"/>
            <w:iCs w:val="0"/>
          </w:rPr>
          <w:t>قادري انصاري محمّد بن ابي بكر -903ه-</w:t>
        </w:r>
        <w:r>
          <w:tab/>
        </w:r>
        <w:r>
          <w:fldChar w:fldCharType="begin"/>
        </w:r>
        <w:r>
          <w:instrText xml:space="preserve">PAGEREF 5556 \h</w:instrText>
        </w:r>
        <w:r>
          <w:fldChar w:fldCharType="end"/>
        </w:r>
      </w:hyperlink>
    </w:p>
    <w:p>
      <w:pPr>
        <w:tabs>
          <w:tab w:val="right" w:leader="dot" w:pos="9062"/>
        </w:tabs>
        <w:ind w:left="220"/>
      </w:pPr>
      <w:hyperlink w:anchor="_Toc5557" w:history="1">
        <w:r>
          <w:rPr>
            <w:rFonts w:ascii="IRNazanin" w:hAnsi="IRNazanin" w:eastAsia="IRNazanin" w:cs="IRNazanin"/>
            <w:color w:val="111111"/>
            <w:sz w:val="22"/>
            <w:szCs w:val="22"/>
            <w:b w:val="0"/>
            <w:bCs w:val="0"/>
            <w:i w:val="0"/>
            <w:iCs w:val="0"/>
          </w:rPr>
          <w:t>قادري بتالوي ، محمّد بن غلام غوث</w:t>
        </w:r>
        <w:r>
          <w:tab/>
        </w:r>
        <w:r>
          <w:fldChar w:fldCharType="begin"/>
        </w:r>
        <w:r>
          <w:instrText xml:space="preserve">PAGEREF 5557 \h</w:instrText>
        </w:r>
        <w:r>
          <w:fldChar w:fldCharType="end"/>
        </w:r>
      </w:hyperlink>
    </w:p>
    <w:p>
      <w:pPr>
        <w:tabs>
          <w:tab w:val="right" w:leader="dot" w:pos="9062"/>
        </w:tabs>
        <w:ind w:left="220"/>
      </w:pPr>
      <w:hyperlink w:anchor="_Toc5558" w:history="1">
        <w:r>
          <w:rPr>
            <w:rFonts w:ascii="IRNazanin" w:hAnsi="IRNazanin" w:eastAsia="IRNazanin" w:cs="IRNazanin"/>
            <w:color w:val="111111"/>
            <w:sz w:val="22"/>
            <w:szCs w:val="22"/>
            <w:b w:val="0"/>
            <w:bCs w:val="0"/>
            <w:i w:val="0"/>
            <w:iCs w:val="0"/>
          </w:rPr>
          <w:t>قادري، سليمان بن خالد قرن 13 ه-</w:t>
        </w:r>
        <w:r>
          <w:tab/>
        </w:r>
        <w:r>
          <w:fldChar w:fldCharType="begin"/>
        </w:r>
        <w:r>
          <w:instrText xml:space="preserve">PAGEREF 5558 \h</w:instrText>
        </w:r>
        <w:r>
          <w:fldChar w:fldCharType="end"/>
        </w:r>
      </w:hyperlink>
    </w:p>
    <w:p>
      <w:pPr>
        <w:tabs>
          <w:tab w:val="right" w:leader="dot" w:pos="9062"/>
        </w:tabs>
        <w:ind w:left="220"/>
      </w:pPr>
      <w:hyperlink w:anchor="_Toc5559" w:history="1">
        <w:r>
          <w:rPr>
            <w:rFonts w:ascii="IRNazanin" w:hAnsi="IRNazanin" w:eastAsia="IRNazanin" w:cs="IRNazanin"/>
            <w:color w:val="111111"/>
            <w:sz w:val="22"/>
            <w:szCs w:val="22"/>
            <w:b w:val="0"/>
            <w:bCs w:val="0"/>
            <w:i w:val="0"/>
            <w:iCs w:val="0"/>
          </w:rPr>
          <w:t>قادري، صالح بن عبد الرحيم قرن 13 ه-</w:t>
        </w:r>
        <w:r>
          <w:tab/>
        </w:r>
        <w:r>
          <w:fldChar w:fldCharType="begin"/>
        </w:r>
        <w:r>
          <w:instrText xml:space="preserve">PAGEREF 5559 \h</w:instrText>
        </w:r>
        <w:r>
          <w:fldChar w:fldCharType="end"/>
        </w:r>
      </w:hyperlink>
    </w:p>
    <w:p>
      <w:pPr>
        <w:tabs>
          <w:tab w:val="right" w:leader="dot" w:pos="9062"/>
        </w:tabs>
        <w:ind w:left="220"/>
      </w:pPr>
      <w:hyperlink w:anchor="_Toc5560" w:history="1">
        <w:r>
          <w:rPr>
            <w:rFonts w:ascii="IRNazanin" w:hAnsi="IRNazanin" w:eastAsia="IRNazanin" w:cs="IRNazanin"/>
            <w:color w:val="111111"/>
            <w:sz w:val="22"/>
            <w:szCs w:val="22"/>
            <w:b w:val="0"/>
            <w:bCs w:val="0"/>
            <w:i w:val="0"/>
            <w:iCs w:val="0"/>
          </w:rPr>
          <w:t>قادري، عبد الرحمن بن علي 1261 -</w:t>
        </w:r>
        <w:r>
          <w:tab/>
        </w:r>
        <w:r>
          <w:fldChar w:fldCharType="begin"/>
        </w:r>
        <w:r>
          <w:instrText xml:space="preserve">PAGEREF 5560 \h</w:instrText>
        </w:r>
        <w:r>
          <w:fldChar w:fldCharType="end"/>
        </w:r>
      </w:hyperlink>
    </w:p>
    <w:p>
      <w:pPr>
        <w:tabs>
          <w:tab w:val="right" w:leader="dot" w:pos="9062"/>
        </w:tabs>
        <w:ind w:left="220"/>
      </w:pPr>
      <w:hyperlink w:anchor="_Toc5561" w:history="1">
        <w:r>
          <w:rPr>
            <w:rFonts w:ascii="IRNazanin" w:hAnsi="IRNazanin" w:eastAsia="IRNazanin" w:cs="IRNazanin"/>
            <w:color w:val="111111"/>
            <w:sz w:val="22"/>
            <w:szCs w:val="22"/>
            <w:b w:val="0"/>
            <w:bCs w:val="0"/>
            <w:i w:val="0"/>
            <w:iCs w:val="0"/>
          </w:rPr>
          <w:t>قادري ، عبد الرزاق، قرن 14 ه-</w:t>
        </w:r>
        <w:r>
          <w:tab/>
        </w:r>
        <w:r>
          <w:fldChar w:fldCharType="begin"/>
        </w:r>
        <w:r>
          <w:instrText xml:space="preserve">PAGEREF 5561 \h</w:instrText>
        </w:r>
        <w:r>
          <w:fldChar w:fldCharType="end"/>
        </w:r>
      </w:hyperlink>
    </w:p>
    <w:p>
      <w:pPr>
        <w:tabs>
          <w:tab w:val="right" w:leader="dot" w:pos="9062"/>
        </w:tabs>
        <w:ind w:left="220"/>
      </w:pPr>
      <w:hyperlink w:anchor="_Toc5562" w:history="1">
        <w:r>
          <w:rPr>
            <w:rFonts w:ascii="IRNazanin" w:hAnsi="IRNazanin" w:eastAsia="IRNazanin" w:cs="IRNazanin"/>
            <w:color w:val="111111"/>
            <w:sz w:val="22"/>
            <w:szCs w:val="22"/>
            <w:b w:val="0"/>
            <w:bCs w:val="0"/>
            <w:i w:val="0"/>
            <w:iCs w:val="0"/>
          </w:rPr>
          <w:t>قادري، عثمان بن يوسف - 1146ه-</w:t>
        </w:r>
        <w:r>
          <w:tab/>
        </w:r>
        <w:r>
          <w:fldChar w:fldCharType="begin"/>
        </w:r>
        <w:r>
          <w:instrText xml:space="preserve">PAGEREF 5562 \h</w:instrText>
        </w:r>
        <w:r>
          <w:fldChar w:fldCharType="end"/>
        </w:r>
      </w:hyperlink>
    </w:p>
    <w:p>
      <w:pPr>
        <w:tabs>
          <w:tab w:val="right" w:leader="dot" w:pos="9062"/>
        </w:tabs>
        <w:ind w:left="220"/>
      </w:pPr>
      <w:hyperlink w:anchor="_Toc5563" w:history="1">
        <w:r>
          <w:rPr>
            <w:rFonts w:ascii="IRNazanin" w:hAnsi="IRNazanin" w:eastAsia="IRNazanin" w:cs="IRNazanin"/>
            <w:color w:val="111111"/>
            <w:sz w:val="22"/>
            <w:szCs w:val="22"/>
            <w:b w:val="0"/>
            <w:bCs w:val="0"/>
            <w:i w:val="0"/>
            <w:iCs w:val="0"/>
          </w:rPr>
          <w:t>قادري ، علي بن سليمان بن مصطفى</w:t>
        </w:r>
        <w:r>
          <w:tab/>
        </w:r>
        <w:r>
          <w:fldChar w:fldCharType="begin"/>
        </w:r>
        <w:r>
          <w:instrText xml:space="preserve">PAGEREF 5563 \h</w:instrText>
        </w:r>
        <w:r>
          <w:fldChar w:fldCharType="end"/>
        </w:r>
      </w:hyperlink>
    </w:p>
    <w:p>
      <w:pPr>
        <w:tabs>
          <w:tab w:val="right" w:leader="dot" w:pos="9062"/>
        </w:tabs>
        <w:ind w:left="220"/>
      </w:pPr>
      <w:hyperlink w:anchor="_Toc5564" w:history="1">
        <w:r>
          <w:rPr>
            <w:rFonts w:ascii="IRNazanin" w:hAnsi="IRNazanin" w:eastAsia="IRNazanin" w:cs="IRNazanin"/>
            <w:color w:val="111111"/>
            <w:sz w:val="22"/>
            <w:szCs w:val="22"/>
            <w:b w:val="0"/>
            <w:bCs w:val="0"/>
            <w:i w:val="0"/>
            <w:iCs w:val="0"/>
          </w:rPr>
          <w:t>قادري، محمّد بن عمر - 1195 ه-</w:t>
        </w:r>
        <w:r>
          <w:tab/>
        </w:r>
        <w:r>
          <w:fldChar w:fldCharType="begin"/>
        </w:r>
        <w:r>
          <w:instrText xml:space="preserve">PAGEREF 5564 \h</w:instrText>
        </w:r>
        <w:r>
          <w:fldChar w:fldCharType="end"/>
        </w:r>
      </w:hyperlink>
    </w:p>
    <w:p>
      <w:pPr>
        <w:tabs>
          <w:tab w:val="right" w:leader="dot" w:pos="9062"/>
        </w:tabs>
        <w:ind w:left="220"/>
      </w:pPr>
      <w:hyperlink w:anchor="_Toc5565" w:history="1">
        <w:r>
          <w:rPr>
            <w:rFonts w:ascii="IRNazanin" w:hAnsi="IRNazanin" w:eastAsia="IRNazanin" w:cs="IRNazanin"/>
            <w:color w:val="111111"/>
            <w:sz w:val="22"/>
            <w:szCs w:val="22"/>
            <w:b w:val="0"/>
            <w:bCs w:val="0"/>
            <w:i w:val="0"/>
            <w:iCs w:val="0"/>
          </w:rPr>
          <w:t>قادري مدني ، محمّد بن عبدالكريم</w:t>
        </w:r>
        <w:r>
          <w:tab/>
        </w:r>
        <w:r>
          <w:fldChar w:fldCharType="begin"/>
        </w:r>
        <w:r>
          <w:instrText xml:space="preserve">PAGEREF 5565 \h</w:instrText>
        </w:r>
        <w:r>
          <w:fldChar w:fldCharType="end"/>
        </w:r>
      </w:hyperlink>
    </w:p>
    <w:p>
      <w:pPr>
        <w:tabs>
          <w:tab w:val="right" w:leader="dot" w:pos="9062"/>
        </w:tabs>
        <w:ind w:left="220"/>
      </w:pPr>
      <w:hyperlink w:anchor="_Toc5566" w:history="1">
        <w:r>
          <w:rPr>
            <w:rFonts w:ascii="IRNazanin" w:hAnsi="IRNazanin" w:eastAsia="IRNazanin" w:cs="IRNazanin"/>
            <w:color w:val="111111"/>
            <w:sz w:val="22"/>
            <w:szCs w:val="22"/>
            <w:b w:val="0"/>
            <w:bCs w:val="0"/>
            <w:i w:val="0"/>
            <w:iCs w:val="0"/>
          </w:rPr>
          <w:t>قادري، مصطفى بن سلمان بن علي</w:t>
        </w:r>
        <w:r>
          <w:tab/>
        </w:r>
        <w:r>
          <w:fldChar w:fldCharType="begin"/>
        </w:r>
        <w:r>
          <w:instrText xml:space="preserve">PAGEREF 5566 \h</w:instrText>
        </w:r>
        <w:r>
          <w:fldChar w:fldCharType="end"/>
        </w:r>
      </w:hyperlink>
    </w:p>
    <w:p>
      <w:pPr>
        <w:tabs>
          <w:tab w:val="right" w:leader="dot" w:pos="9062"/>
        </w:tabs>
        <w:ind w:left="220"/>
      </w:pPr>
      <w:hyperlink w:anchor="_Toc5567" w:history="1">
        <w:r>
          <w:rPr>
            <w:rFonts w:ascii="IRNazanin" w:hAnsi="IRNazanin" w:eastAsia="IRNazanin" w:cs="IRNazanin"/>
            <w:color w:val="111111"/>
            <w:sz w:val="22"/>
            <w:szCs w:val="22"/>
            <w:b w:val="0"/>
            <w:bCs w:val="0"/>
            <w:i w:val="0"/>
            <w:iCs w:val="0"/>
          </w:rPr>
          <w:t>قادري، مصطفى بن عبدالله</w:t>
        </w:r>
        <w:r>
          <w:tab/>
        </w:r>
        <w:r>
          <w:fldChar w:fldCharType="begin"/>
        </w:r>
        <w:r>
          <w:instrText xml:space="preserve">PAGEREF 5567 \h</w:instrText>
        </w:r>
        <w:r>
          <w:fldChar w:fldCharType="end"/>
        </w:r>
      </w:hyperlink>
    </w:p>
    <w:p>
      <w:pPr>
        <w:tabs>
          <w:tab w:val="right" w:leader="dot" w:pos="9062"/>
        </w:tabs>
        <w:ind w:left="220"/>
      </w:pPr>
      <w:hyperlink w:anchor="_Toc5568" w:history="1">
        <w:r>
          <w:rPr>
            <w:rFonts w:ascii="IRNazanin" w:hAnsi="IRNazanin" w:eastAsia="IRNazanin" w:cs="IRNazanin"/>
            <w:color w:val="111111"/>
            <w:sz w:val="22"/>
            <w:szCs w:val="22"/>
            <w:b w:val="0"/>
            <w:bCs w:val="0"/>
            <w:i w:val="0"/>
            <w:iCs w:val="0"/>
          </w:rPr>
          <w:t>قادري نقشبندي ، علي</w:t>
        </w:r>
        <w:r>
          <w:tab/>
        </w:r>
        <w:r>
          <w:fldChar w:fldCharType="begin"/>
        </w:r>
        <w:r>
          <w:instrText xml:space="preserve">PAGEREF 5568 \h</w:instrText>
        </w:r>
        <w:r>
          <w:fldChar w:fldCharType="end"/>
        </w:r>
      </w:hyperlink>
    </w:p>
    <w:p>
      <w:pPr>
        <w:tabs>
          <w:tab w:val="right" w:leader="dot" w:pos="9062"/>
        </w:tabs>
        <w:ind w:left="220"/>
      </w:pPr>
      <w:hyperlink w:anchor="_Toc5569" w:history="1">
        <w:r>
          <w:rPr>
            <w:rFonts w:ascii="IRNazanin" w:hAnsi="IRNazanin" w:eastAsia="IRNazanin" w:cs="IRNazanin"/>
            <w:color w:val="111111"/>
            <w:sz w:val="22"/>
            <w:szCs w:val="22"/>
            <w:b w:val="0"/>
            <w:bCs w:val="0"/>
            <w:i w:val="0"/>
            <w:iCs w:val="0"/>
          </w:rPr>
          <w:t>قادري نقيب الاشراف ، سلمان بن سلمان</w:t>
        </w:r>
        <w:r>
          <w:tab/>
        </w:r>
        <w:r>
          <w:fldChar w:fldCharType="begin"/>
        </w:r>
        <w:r>
          <w:instrText xml:space="preserve">PAGEREF 5569 \h</w:instrText>
        </w:r>
        <w:r>
          <w:fldChar w:fldCharType="end"/>
        </w:r>
      </w:hyperlink>
    </w:p>
    <w:p>
      <w:pPr>
        <w:tabs>
          <w:tab w:val="right" w:leader="dot" w:pos="9062"/>
        </w:tabs>
        <w:ind w:left="220"/>
      </w:pPr>
      <w:hyperlink w:anchor="_Toc5570" w:history="1">
        <w:r>
          <w:rPr>
            <w:rFonts w:ascii="IRNazanin" w:hAnsi="IRNazanin" w:eastAsia="IRNazanin" w:cs="IRNazanin"/>
            <w:color w:val="111111"/>
            <w:sz w:val="22"/>
            <w:szCs w:val="22"/>
            <w:b w:val="0"/>
            <w:bCs w:val="0"/>
            <w:i w:val="0"/>
            <w:iCs w:val="0"/>
          </w:rPr>
          <w:t>قارصي ، داود بن محمّد - 1172 ؟ ه-</w:t>
        </w:r>
        <w:r>
          <w:tab/>
        </w:r>
        <w:r>
          <w:fldChar w:fldCharType="begin"/>
        </w:r>
        <w:r>
          <w:instrText xml:space="preserve">PAGEREF 5570 \h</w:instrText>
        </w:r>
        <w:r>
          <w:fldChar w:fldCharType="end"/>
        </w:r>
      </w:hyperlink>
    </w:p>
    <w:p>
      <w:pPr>
        <w:tabs>
          <w:tab w:val="right" w:leader="dot" w:pos="9062"/>
        </w:tabs>
        <w:ind w:left="220"/>
      </w:pPr>
      <w:hyperlink w:anchor="_Toc5571" w:history="1">
        <w:r>
          <w:rPr>
            <w:rFonts w:ascii="IRNazanin" w:hAnsi="IRNazanin" w:eastAsia="IRNazanin" w:cs="IRNazanin"/>
            <w:color w:val="111111"/>
            <w:sz w:val="22"/>
            <w:szCs w:val="22"/>
            <w:b w:val="0"/>
            <w:bCs w:val="0"/>
            <w:i w:val="0"/>
            <w:iCs w:val="0"/>
          </w:rPr>
          <w:t>قارصي ، عثمان بن حبيب</w:t>
        </w:r>
        <w:r>
          <w:tab/>
        </w:r>
        <w:r>
          <w:fldChar w:fldCharType="begin"/>
        </w:r>
        <w:r>
          <w:instrText xml:space="preserve">PAGEREF 5571 \h</w:instrText>
        </w:r>
        <w:r>
          <w:fldChar w:fldCharType="end"/>
        </w:r>
      </w:hyperlink>
    </w:p>
    <w:p>
      <w:pPr>
        <w:tabs>
          <w:tab w:val="right" w:leader="dot" w:pos="9062"/>
        </w:tabs>
        <w:ind w:left="220"/>
      </w:pPr>
      <w:hyperlink w:anchor="_Toc5572" w:history="1">
        <w:r>
          <w:rPr>
            <w:rFonts w:ascii="IRNazanin" w:hAnsi="IRNazanin" w:eastAsia="IRNazanin" w:cs="IRNazanin"/>
            <w:color w:val="111111"/>
            <w:sz w:val="22"/>
            <w:szCs w:val="22"/>
            <w:b w:val="0"/>
            <w:bCs w:val="0"/>
            <w:i w:val="0"/>
            <w:iCs w:val="0"/>
          </w:rPr>
          <w:t>قاري الهداية ، عمر بن علي - 829 ه-</w:t>
        </w:r>
        <w:r>
          <w:tab/>
        </w:r>
        <w:r>
          <w:fldChar w:fldCharType="begin"/>
        </w:r>
        <w:r>
          <w:instrText xml:space="preserve">PAGEREF 5572 \h</w:instrText>
        </w:r>
        <w:r>
          <w:fldChar w:fldCharType="end"/>
        </w:r>
      </w:hyperlink>
    </w:p>
    <w:p>
      <w:pPr>
        <w:tabs>
          <w:tab w:val="right" w:leader="dot" w:pos="9062"/>
        </w:tabs>
        <w:ind w:left="220"/>
      </w:pPr>
      <w:hyperlink w:anchor="_Toc5573" w:history="1">
        <w:r>
          <w:rPr>
            <w:rFonts w:ascii="IRNazanin" w:hAnsi="IRNazanin" w:eastAsia="IRNazanin" w:cs="IRNazanin"/>
            <w:color w:val="111111"/>
            <w:sz w:val="22"/>
            <w:szCs w:val="22"/>
            <w:b w:val="0"/>
            <w:bCs w:val="0"/>
            <w:i w:val="0"/>
            <w:iCs w:val="0"/>
          </w:rPr>
          <w:t>قاري بخاري، حافظ کلان بن بدرالدین</w:t>
        </w:r>
        <w:r>
          <w:tab/>
        </w:r>
        <w:r>
          <w:fldChar w:fldCharType="begin"/>
        </w:r>
        <w:r>
          <w:instrText xml:space="preserve">PAGEREF 5573 \h</w:instrText>
        </w:r>
        <w:r>
          <w:fldChar w:fldCharType="end"/>
        </w:r>
      </w:hyperlink>
    </w:p>
    <w:p>
      <w:pPr>
        <w:tabs>
          <w:tab w:val="right" w:leader="dot" w:pos="9062"/>
        </w:tabs>
        <w:ind w:left="220"/>
      </w:pPr>
      <w:hyperlink w:anchor="_Toc5574" w:history="1">
        <w:r>
          <w:rPr>
            <w:rFonts w:ascii="IRNazanin" w:hAnsi="IRNazanin" w:eastAsia="IRNazanin" w:cs="IRNazanin"/>
            <w:color w:val="111111"/>
            <w:sz w:val="22"/>
            <w:szCs w:val="22"/>
            <w:b w:val="0"/>
            <w:bCs w:val="0"/>
            <w:i w:val="0"/>
            <w:iCs w:val="0"/>
          </w:rPr>
          <w:t>قاري ، حسين بن عيدان</w:t>
        </w:r>
        <w:r>
          <w:tab/>
        </w:r>
        <w:r>
          <w:fldChar w:fldCharType="begin"/>
        </w:r>
        <w:r>
          <w:instrText xml:space="preserve">PAGEREF 5574 \h</w:instrText>
        </w:r>
        <w:r>
          <w:fldChar w:fldCharType="end"/>
        </w:r>
      </w:hyperlink>
    </w:p>
    <w:p>
      <w:pPr>
        <w:tabs>
          <w:tab w:val="right" w:leader="dot" w:pos="9062"/>
        </w:tabs>
        <w:ind w:left="220"/>
      </w:pPr>
      <w:hyperlink w:anchor="_Toc5575" w:history="1">
        <w:r>
          <w:rPr>
            <w:rFonts w:ascii="IRNazanin" w:hAnsi="IRNazanin" w:eastAsia="IRNazanin" w:cs="IRNazanin"/>
            <w:color w:val="111111"/>
            <w:sz w:val="22"/>
            <w:szCs w:val="22"/>
            <w:b w:val="0"/>
            <w:bCs w:val="0"/>
            <w:i w:val="0"/>
            <w:iCs w:val="0"/>
          </w:rPr>
          <w:t>قاري ،حنفي ابراهيم بن محمد قرن 10ه-</w:t>
        </w:r>
        <w:r>
          <w:tab/>
        </w:r>
        <w:r>
          <w:fldChar w:fldCharType="begin"/>
        </w:r>
        <w:r>
          <w:instrText xml:space="preserve">PAGEREF 5575 \h</w:instrText>
        </w:r>
        <w:r>
          <w:fldChar w:fldCharType="end"/>
        </w:r>
      </w:hyperlink>
    </w:p>
    <w:p>
      <w:pPr>
        <w:tabs>
          <w:tab w:val="right" w:leader="dot" w:pos="9062"/>
        </w:tabs>
        <w:ind w:left="220"/>
      </w:pPr>
      <w:hyperlink w:anchor="_Toc5576" w:history="1">
        <w:r>
          <w:rPr>
            <w:rFonts w:ascii="IRNazanin" w:hAnsi="IRNazanin" w:eastAsia="IRNazanin" w:cs="IRNazanin"/>
            <w:color w:val="111111"/>
            <w:sz w:val="22"/>
            <w:szCs w:val="22"/>
            <w:b w:val="0"/>
            <w:bCs w:val="0"/>
            <w:i w:val="0"/>
            <w:iCs w:val="0"/>
          </w:rPr>
          <w:t>قاري شيرازي ابويحيى بن محمّد قرن 9ه-</w:t>
        </w:r>
        <w:r>
          <w:tab/>
        </w:r>
        <w:r>
          <w:fldChar w:fldCharType="begin"/>
        </w:r>
        <w:r>
          <w:instrText xml:space="preserve">PAGEREF 5576 \h</w:instrText>
        </w:r>
        <w:r>
          <w:fldChar w:fldCharType="end"/>
        </w:r>
      </w:hyperlink>
    </w:p>
    <w:p>
      <w:pPr>
        <w:tabs>
          <w:tab w:val="right" w:leader="dot" w:pos="9062"/>
        </w:tabs>
        <w:ind w:left="220"/>
      </w:pPr>
      <w:hyperlink w:anchor="_Toc5577" w:history="1">
        <w:r>
          <w:rPr>
            <w:rFonts w:ascii="IRNazanin" w:hAnsi="IRNazanin" w:eastAsia="IRNazanin" w:cs="IRNazanin"/>
            <w:color w:val="111111"/>
            <w:sz w:val="22"/>
            <w:szCs w:val="22"/>
            <w:b w:val="0"/>
            <w:bCs w:val="0"/>
            <w:i w:val="0"/>
            <w:iCs w:val="0"/>
          </w:rPr>
          <w:t>قاري مازندراني ، محمّد بن ،اسدالله قرن</w:t>
        </w:r>
        <w:r>
          <w:tab/>
        </w:r>
        <w:r>
          <w:fldChar w:fldCharType="begin"/>
        </w:r>
        <w:r>
          <w:instrText xml:space="preserve">PAGEREF 5577 \h</w:instrText>
        </w:r>
        <w:r>
          <w:fldChar w:fldCharType="end"/>
        </w:r>
      </w:hyperlink>
    </w:p>
    <w:p>
      <w:pPr>
        <w:tabs>
          <w:tab w:val="right" w:leader="dot" w:pos="9062"/>
        </w:tabs>
        <w:ind w:left="220"/>
      </w:pPr>
      <w:hyperlink w:anchor="_Toc5578" w:history="1">
        <w:r>
          <w:rPr>
            <w:rFonts w:ascii="IRNazanin" w:hAnsi="IRNazanin" w:eastAsia="IRNazanin" w:cs="IRNazanin"/>
            <w:color w:val="111111"/>
            <w:sz w:val="22"/>
            <w:szCs w:val="22"/>
            <w:b w:val="0"/>
            <w:bCs w:val="0"/>
            <w:i w:val="0"/>
            <w:iCs w:val="0"/>
          </w:rPr>
          <w:t>قاري ، محمّد بن حيدر قرن 11 ه-</w:t>
        </w:r>
        <w:r>
          <w:tab/>
        </w:r>
        <w:r>
          <w:fldChar w:fldCharType="begin"/>
        </w:r>
        <w:r>
          <w:instrText xml:space="preserve">PAGEREF 5578 \h</w:instrText>
        </w:r>
        <w:r>
          <w:fldChar w:fldCharType="end"/>
        </w:r>
      </w:hyperlink>
    </w:p>
    <w:p>
      <w:pPr>
        <w:tabs>
          <w:tab w:val="right" w:leader="dot" w:pos="9062"/>
        </w:tabs>
        <w:ind w:left="220"/>
      </w:pPr>
      <w:hyperlink w:anchor="_Toc5579" w:history="1">
        <w:r>
          <w:rPr>
            <w:rFonts w:ascii="IRNazanin" w:hAnsi="IRNazanin" w:eastAsia="IRNazanin" w:cs="IRNazanin"/>
            <w:color w:val="111111"/>
            <w:sz w:val="22"/>
            <w:szCs w:val="22"/>
            <w:b w:val="0"/>
            <w:bCs w:val="0"/>
            <w:i w:val="0"/>
            <w:iCs w:val="0"/>
          </w:rPr>
          <w:t>قاري محمّد محسن بن سليمان قرن 13ه-</w:t>
        </w:r>
        <w:r>
          <w:tab/>
        </w:r>
        <w:r>
          <w:fldChar w:fldCharType="begin"/>
        </w:r>
        <w:r>
          <w:instrText xml:space="preserve">PAGEREF 5579 \h</w:instrText>
        </w:r>
        <w:r>
          <w:fldChar w:fldCharType="end"/>
        </w:r>
      </w:hyperlink>
    </w:p>
    <w:p>
      <w:pPr>
        <w:tabs>
          <w:tab w:val="right" w:leader="dot" w:pos="9062"/>
        </w:tabs>
        <w:ind w:left="220"/>
      </w:pPr>
      <w:hyperlink w:anchor="_Toc5580" w:history="1">
        <w:r>
          <w:rPr>
            <w:rFonts w:ascii="IRNazanin" w:hAnsi="IRNazanin" w:eastAsia="IRNazanin" w:cs="IRNazanin"/>
            <w:color w:val="111111"/>
            <w:sz w:val="22"/>
            <w:szCs w:val="22"/>
            <w:b w:val="0"/>
            <w:bCs w:val="0"/>
            <w:i w:val="0"/>
            <w:iCs w:val="0"/>
          </w:rPr>
          <w:t>قاري مشهدي ، ابوالقاسم، قرن 11 ه-</w:t>
        </w:r>
        <w:r>
          <w:tab/>
        </w:r>
        <w:r>
          <w:fldChar w:fldCharType="begin"/>
        </w:r>
        <w:r>
          <w:instrText xml:space="preserve">PAGEREF 5580 \h</w:instrText>
        </w:r>
        <w:r>
          <w:fldChar w:fldCharType="end"/>
        </w:r>
      </w:hyperlink>
    </w:p>
    <w:p>
      <w:pPr>
        <w:tabs>
          <w:tab w:val="right" w:leader="dot" w:pos="9062"/>
        </w:tabs>
        <w:ind w:left="220"/>
      </w:pPr>
      <w:hyperlink w:anchor="_Toc5581" w:history="1">
        <w:r>
          <w:rPr>
            <w:rFonts w:ascii="IRNazanin" w:hAnsi="IRNazanin" w:eastAsia="IRNazanin" w:cs="IRNazanin"/>
            <w:color w:val="111111"/>
            <w:sz w:val="22"/>
            <w:szCs w:val="22"/>
            <w:b w:val="0"/>
            <w:bCs w:val="0"/>
            <w:i w:val="0"/>
            <w:iCs w:val="0"/>
          </w:rPr>
          <w:t>قاريني ، محمّد بن احمد</w:t>
        </w:r>
        <w:r>
          <w:tab/>
        </w:r>
        <w:r>
          <w:fldChar w:fldCharType="begin"/>
        </w:r>
        <w:r>
          <w:instrText xml:space="preserve">PAGEREF 5581 \h</w:instrText>
        </w:r>
        <w:r>
          <w:fldChar w:fldCharType="end"/>
        </w:r>
      </w:hyperlink>
    </w:p>
    <w:p>
      <w:pPr>
        <w:tabs>
          <w:tab w:val="right" w:leader="dot" w:pos="9062"/>
        </w:tabs>
        <w:ind w:left="220"/>
      </w:pPr>
      <w:hyperlink w:anchor="_Toc5582" w:history="1">
        <w:r>
          <w:rPr>
            <w:rFonts w:ascii="IRNazanin" w:hAnsi="IRNazanin" w:eastAsia="IRNazanin" w:cs="IRNazanin"/>
            <w:color w:val="111111"/>
            <w:sz w:val="22"/>
            <w:szCs w:val="22"/>
            <w:b w:val="0"/>
            <w:bCs w:val="0"/>
            <w:i w:val="0"/>
            <w:iCs w:val="0"/>
          </w:rPr>
          <w:t>قاري هروي، علي بن سلطان محمّد -</w:t>
        </w:r>
        <w:r>
          <w:tab/>
        </w:r>
        <w:r>
          <w:fldChar w:fldCharType="begin"/>
        </w:r>
        <w:r>
          <w:instrText xml:space="preserve">PAGEREF 5582 \h</w:instrText>
        </w:r>
        <w:r>
          <w:fldChar w:fldCharType="end"/>
        </w:r>
      </w:hyperlink>
    </w:p>
    <w:p>
      <w:pPr>
        <w:tabs>
          <w:tab w:val="right" w:leader="dot" w:pos="9062"/>
        </w:tabs>
        <w:ind w:left="220"/>
      </w:pPr>
      <w:hyperlink w:anchor="_Toc5583" w:history="1">
        <w:r>
          <w:rPr>
            <w:rFonts w:ascii="IRNazanin" w:hAnsi="IRNazanin" w:eastAsia="IRNazanin" w:cs="IRNazanin"/>
            <w:color w:val="111111"/>
            <w:sz w:val="22"/>
            <w:szCs w:val="22"/>
            <w:b w:val="0"/>
            <w:bCs w:val="0"/>
            <w:i w:val="0"/>
            <w:iCs w:val="0"/>
          </w:rPr>
          <w:t>قاز آبادي ، احمد بن محمّد، - 1163 ه-</w:t>
        </w:r>
        <w:r>
          <w:tab/>
        </w:r>
        <w:r>
          <w:fldChar w:fldCharType="begin"/>
        </w:r>
        <w:r>
          <w:instrText xml:space="preserve">PAGEREF 5583 \h</w:instrText>
        </w:r>
        <w:r>
          <w:fldChar w:fldCharType="end"/>
        </w:r>
      </w:hyperlink>
    </w:p>
    <w:p>
      <w:pPr>
        <w:tabs>
          <w:tab w:val="right" w:leader="dot" w:pos="9062"/>
        </w:tabs>
        <w:ind w:left="220"/>
      </w:pPr>
      <w:hyperlink w:anchor="_Toc5584" w:history="1">
        <w:r>
          <w:rPr>
            <w:rFonts w:ascii="IRNazanin" w:hAnsi="IRNazanin" w:eastAsia="IRNazanin" w:cs="IRNazanin"/>
            <w:color w:val="111111"/>
            <w:sz w:val="22"/>
            <w:szCs w:val="22"/>
            <w:b w:val="0"/>
            <w:bCs w:val="0"/>
            <w:i w:val="0"/>
            <w:iCs w:val="0"/>
          </w:rPr>
          <w:t>قاسم افندي</w:t>
        </w:r>
        <w:r>
          <w:tab/>
        </w:r>
        <w:r>
          <w:fldChar w:fldCharType="begin"/>
        </w:r>
        <w:r>
          <w:instrText xml:space="preserve">PAGEREF 5584 \h</w:instrText>
        </w:r>
        <w:r>
          <w:fldChar w:fldCharType="end"/>
        </w:r>
      </w:hyperlink>
    </w:p>
    <w:p>
      <w:pPr>
        <w:tabs>
          <w:tab w:val="right" w:leader="dot" w:pos="9062"/>
        </w:tabs>
        <w:ind w:left="220"/>
      </w:pPr>
      <w:hyperlink w:anchor="_Toc5585" w:history="1">
        <w:r>
          <w:rPr>
            <w:rFonts w:ascii="IRNazanin" w:hAnsi="IRNazanin" w:eastAsia="IRNazanin" w:cs="IRNazanin"/>
            <w:color w:val="111111"/>
            <w:sz w:val="22"/>
            <w:szCs w:val="22"/>
            <w:b w:val="0"/>
            <w:bCs w:val="0"/>
            <w:i w:val="0"/>
            <w:iCs w:val="0"/>
          </w:rPr>
          <w:t>قاسم ،پاشا قرن 13 ه-</w:t>
        </w:r>
        <w:r>
          <w:tab/>
        </w:r>
        <w:r>
          <w:fldChar w:fldCharType="begin"/>
        </w:r>
        <w:r>
          <w:instrText xml:space="preserve">PAGEREF 5585 \h</w:instrText>
        </w:r>
        <w:r>
          <w:fldChar w:fldCharType="end"/>
        </w:r>
      </w:hyperlink>
    </w:p>
    <w:p>
      <w:pPr>
        <w:tabs>
          <w:tab w:val="right" w:leader="dot" w:pos="9062"/>
        </w:tabs>
        <w:ind w:left="220"/>
      </w:pPr>
      <w:hyperlink w:anchor="_Toc5586" w:history="1">
        <w:r>
          <w:rPr>
            <w:rFonts w:ascii="IRNazanin" w:hAnsi="IRNazanin" w:eastAsia="IRNazanin" w:cs="IRNazanin"/>
            <w:color w:val="111111"/>
            <w:sz w:val="22"/>
            <w:szCs w:val="22"/>
            <w:b w:val="0"/>
            <w:bCs w:val="0"/>
            <w:i w:val="0"/>
            <w:iCs w:val="0"/>
          </w:rPr>
          <w:t>قاسمي ، ابوبكر بن يوسف</w:t>
        </w:r>
        <w:r>
          <w:tab/>
        </w:r>
        <w:r>
          <w:fldChar w:fldCharType="begin"/>
        </w:r>
        <w:r>
          <w:instrText xml:space="preserve">PAGEREF 5586 \h</w:instrText>
        </w:r>
        <w:r>
          <w:fldChar w:fldCharType="end"/>
        </w:r>
      </w:hyperlink>
    </w:p>
    <w:p>
      <w:pPr>
        <w:tabs>
          <w:tab w:val="right" w:leader="dot" w:pos="9062"/>
        </w:tabs>
        <w:ind w:left="220"/>
      </w:pPr>
      <w:hyperlink w:anchor="_Toc5587" w:history="1">
        <w:r>
          <w:rPr>
            <w:rFonts w:ascii="IRNazanin" w:hAnsi="IRNazanin" w:eastAsia="IRNazanin" w:cs="IRNazanin"/>
            <w:color w:val="111111"/>
            <w:sz w:val="22"/>
            <w:szCs w:val="22"/>
            <w:b w:val="0"/>
            <w:bCs w:val="0"/>
            <w:i w:val="0"/>
            <w:iCs w:val="0"/>
          </w:rPr>
          <w:t>قاضي ، ابراهيم</w:t>
        </w:r>
        <w:r>
          <w:tab/>
        </w:r>
        <w:r>
          <w:fldChar w:fldCharType="begin"/>
        </w:r>
        <w:r>
          <w:instrText xml:space="preserve">PAGEREF 5587 \h</w:instrText>
        </w:r>
        <w:r>
          <w:fldChar w:fldCharType="end"/>
        </w:r>
      </w:hyperlink>
    </w:p>
    <w:p>
      <w:pPr>
        <w:tabs>
          <w:tab w:val="right" w:leader="dot" w:pos="9062"/>
        </w:tabs>
        <w:ind w:left="220"/>
      </w:pPr>
      <w:hyperlink w:anchor="_Toc5588" w:history="1">
        <w:r>
          <w:rPr>
            <w:rFonts w:ascii="IRNazanin" w:hAnsi="IRNazanin" w:eastAsia="IRNazanin" w:cs="IRNazanin"/>
            <w:color w:val="111111"/>
            <w:sz w:val="22"/>
            <w:szCs w:val="22"/>
            <w:b w:val="0"/>
            <w:bCs w:val="0"/>
            <w:i w:val="0"/>
            <w:iCs w:val="0"/>
          </w:rPr>
          <w:t>قاضي ، ابي جعفر قرن 11 ه-</w:t>
        </w:r>
        <w:r>
          <w:tab/>
        </w:r>
        <w:r>
          <w:fldChar w:fldCharType="begin"/>
        </w:r>
        <w:r>
          <w:instrText xml:space="preserve">PAGEREF 5588 \h</w:instrText>
        </w:r>
        <w:r>
          <w:fldChar w:fldCharType="end"/>
        </w:r>
      </w:hyperlink>
    </w:p>
    <w:p>
      <w:pPr>
        <w:tabs>
          <w:tab w:val="right" w:leader="dot" w:pos="9062"/>
        </w:tabs>
        <w:ind w:left="220"/>
      </w:pPr>
      <w:hyperlink w:anchor="_Toc5589" w:history="1">
        <w:r>
          <w:rPr>
            <w:rFonts w:ascii="IRNazanin" w:hAnsi="IRNazanin" w:eastAsia="IRNazanin" w:cs="IRNazanin"/>
            <w:color w:val="111111"/>
            <w:sz w:val="22"/>
            <w:szCs w:val="22"/>
            <w:b w:val="0"/>
            <w:bCs w:val="0"/>
            <w:i w:val="0"/>
            <w:iCs w:val="0"/>
          </w:rPr>
          <w:t>قاضي ، بدر الدين</w:t>
        </w:r>
        <w:r>
          <w:tab/>
        </w:r>
        <w:r>
          <w:fldChar w:fldCharType="begin"/>
        </w:r>
        <w:r>
          <w:instrText xml:space="preserve">PAGEREF 5589 \h</w:instrText>
        </w:r>
        <w:r>
          <w:fldChar w:fldCharType="end"/>
        </w:r>
      </w:hyperlink>
    </w:p>
    <w:p>
      <w:pPr>
        <w:tabs>
          <w:tab w:val="right" w:leader="dot" w:pos="9062"/>
        </w:tabs>
        <w:ind w:left="220"/>
      </w:pPr>
      <w:hyperlink w:anchor="_Toc5590" w:history="1">
        <w:r>
          <w:rPr>
            <w:rFonts w:ascii="IRNazanin" w:hAnsi="IRNazanin" w:eastAsia="IRNazanin" w:cs="IRNazanin"/>
            <w:color w:val="111111"/>
            <w:sz w:val="22"/>
            <w:szCs w:val="22"/>
            <w:b w:val="0"/>
            <w:bCs w:val="0"/>
            <w:i w:val="0"/>
            <w:iCs w:val="0"/>
          </w:rPr>
          <w:t>قاضي بوسنه ، عبدالحلیم بن لطف الله</w:t>
        </w:r>
        <w:r>
          <w:tab/>
        </w:r>
        <w:r>
          <w:fldChar w:fldCharType="begin"/>
        </w:r>
        <w:r>
          <w:instrText xml:space="preserve">PAGEREF 5590 \h</w:instrText>
        </w:r>
        <w:r>
          <w:fldChar w:fldCharType="end"/>
        </w:r>
      </w:hyperlink>
    </w:p>
    <w:p>
      <w:pPr>
        <w:tabs>
          <w:tab w:val="right" w:leader="dot" w:pos="9062"/>
        </w:tabs>
        <w:ind w:left="220"/>
      </w:pPr>
      <w:hyperlink w:anchor="_Toc5591" w:history="1">
        <w:r>
          <w:rPr>
            <w:rFonts w:ascii="IRNazanin" w:hAnsi="IRNazanin" w:eastAsia="IRNazanin" w:cs="IRNazanin"/>
            <w:color w:val="111111"/>
            <w:sz w:val="22"/>
            <w:szCs w:val="22"/>
            <w:b w:val="0"/>
            <w:bCs w:val="0"/>
            <w:i w:val="0"/>
            <w:iCs w:val="0"/>
          </w:rPr>
          <w:t>قاضي حسين بن محمود، 1225-1292 ه-</w:t>
        </w:r>
        <w:r>
          <w:tab/>
        </w:r>
        <w:r>
          <w:fldChar w:fldCharType="begin"/>
        </w:r>
        <w:r>
          <w:instrText xml:space="preserve">PAGEREF 5591 \h</w:instrText>
        </w:r>
        <w:r>
          <w:fldChar w:fldCharType="end"/>
        </w:r>
      </w:hyperlink>
    </w:p>
    <w:p>
      <w:pPr>
        <w:tabs>
          <w:tab w:val="right" w:leader="dot" w:pos="9062"/>
        </w:tabs>
        <w:ind w:left="220"/>
      </w:pPr>
      <w:hyperlink w:anchor="_Toc5592" w:history="1">
        <w:r>
          <w:rPr>
            <w:rFonts w:ascii="IRNazanin" w:hAnsi="IRNazanin" w:eastAsia="IRNazanin" w:cs="IRNazanin"/>
            <w:color w:val="111111"/>
            <w:sz w:val="22"/>
            <w:szCs w:val="22"/>
            <w:b w:val="0"/>
            <w:bCs w:val="0"/>
            <w:i w:val="0"/>
            <w:iCs w:val="0"/>
          </w:rPr>
          <w:t>قاضیخان ، حسن بن منصور - 592</w:t>
        </w:r>
        <w:r>
          <w:tab/>
        </w:r>
        <w:r>
          <w:fldChar w:fldCharType="begin"/>
        </w:r>
        <w:r>
          <w:instrText xml:space="preserve">PAGEREF 5592 \h</w:instrText>
        </w:r>
        <w:r>
          <w:fldChar w:fldCharType="end"/>
        </w:r>
      </w:hyperlink>
    </w:p>
    <w:p>
      <w:pPr>
        <w:tabs>
          <w:tab w:val="right" w:leader="dot" w:pos="9062"/>
        </w:tabs>
        <w:ind w:left="220"/>
      </w:pPr>
      <w:hyperlink w:anchor="_Toc5593" w:history="1">
        <w:r>
          <w:rPr>
            <w:rFonts w:ascii="IRNazanin" w:hAnsi="IRNazanin" w:eastAsia="IRNazanin" w:cs="IRNazanin"/>
            <w:color w:val="111111"/>
            <w:sz w:val="22"/>
            <w:szCs w:val="22"/>
            <w:b w:val="0"/>
            <w:bCs w:val="0"/>
            <w:i w:val="0"/>
            <w:iCs w:val="0"/>
          </w:rPr>
          <w:t>قاضي دانيال</w:t>
        </w:r>
        <w:r>
          <w:tab/>
        </w:r>
        <w:r>
          <w:fldChar w:fldCharType="begin"/>
        </w:r>
        <w:r>
          <w:instrText xml:space="preserve">PAGEREF 5593 \h</w:instrText>
        </w:r>
        <w:r>
          <w:fldChar w:fldCharType="end"/>
        </w:r>
      </w:hyperlink>
    </w:p>
    <w:p>
      <w:pPr>
        <w:tabs>
          <w:tab w:val="right" w:leader="dot" w:pos="9062"/>
        </w:tabs>
        <w:ind w:left="220"/>
      </w:pPr>
      <w:hyperlink w:anchor="_Toc5594" w:history="1">
        <w:r>
          <w:rPr>
            <w:rFonts w:ascii="IRNazanin" w:hAnsi="IRNazanin" w:eastAsia="IRNazanin" w:cs="IRNazanin"/>
            <w:color w:val="111111"/>
            <w:sz w:val="22"/>
            <w:szCs w:val="22"/>
            <w:b w:val="0"/>
            <w:bCs w:val="0"/>
            <w:i w:val="0"/>
            <w:iCs w:val="0"/>
          </w:rPr>
          <w:t>قاضي ،زاده احمد بن محمود - 988 ه- 1037ه-</w:t>
        </w:r>
        <w:r>
          <w:tab/>
        </w:r>
        <w:r>
          <w:fldChar w:fldCharType="begin"/>
        </w:r>
        <w:r>
          <w:instrText xml:space="preserve">PAGEREF 5594 \h</w:instrText>
        </w:r>
        <w:r>
          <w:fldChar w:fldCharType="end"/>
        </w:r>
      </w:hyperlink>
    </w:p>
    <w:p>
      <w:pPr>
        <w:tabs>
          <w:tab w:val="right" w:leader="dot" w:pos="9062"/>
        </w:tabs>
        <w:ind w:left="220"/>
      </w:pPr>
      <w:hyperlink w:anchor="_Toc5595" w:history="1">
        <w:r>
          <w:rPr>
            <w:rFonts w:ascii="IRNazanin" w:hAnsi="IRNazanin" w:eastAsia="IRNazanin" w:cs="IRNazanin"/>
            <w:color w:val="111111"/>
            <w:sz w:val="22"/>
            <w:szCs w:val="22"/>
            <w:b w:val="0"/>
            <w:bCs w:val="0"/>
            <w:i w:val="0"/>
            <w:iCs w:val="0"/>
          </w:rPr>
          <w:t>قاضي زاده افندي</w:t>
        </w:r>
        <w:r>
          <w:tab/>
        </w:r>
        <w:r>
          <w:fldChar w:fldCharType="begin"/>
        </w:r>
        <w:r>
          <w:instrText xml:space="preserve">PAGEREF 5595 \h</w:instrText>
        </w:r>
        <w:r>
          <w:fldChar w:fldCharType="end"/>
        </w:r>
      </w:hyperlink>
    </w:p>
    <w:p>
      <w:pPr>
        <w:tabs>
          <w:tab w:val="right" w:leader="dot" w:pos="9062"/>
        </w:tabs>
        <w:ind w:left="220"/>
      </w:pPr>
      <w:hyperlink w:anchor="_Toc5596" w:history="1">
        <w:r>
          <w:rPr>
            <w:rFonts w:ascii="IRNazanin" w:hAnsi="IRNazanin" w:eastAsia="IRNazanin" w:cs="IRNazanin"/>
            <w:color w:val="111111"/>
            <w:sz w:val="22"/>
            <w:szCs w:val="22"/>
            <w:b w:val="0"/>
            <w:bCs w:val="0"/>
            <w:i w:val="0"/>
            <w:iCs w:val="0"/>
          </w:rPr>
          <w:t>قاضي زاده ، حسن، 1326 ه-</w:t>
        </w:r>
        <w:r>
          <w:tab/>
        </w:r>
        <w:r>
          <w:fldChar w:fldCharType="begin"/>
        </w:r>
        <w:r>
          <w:instrText xml:space="preserve">PAGEREF 5596 \h</w:instrText>
        </w:r>
        <w:r>
          <w:fldChar w:fldCharType="end"/>
        </w:r>
      </w:hyperlink>
    </w:p>
    <w:p>
      <w:pPr>
        <w:tabs>
          <w:tab w:val="right" w:leader="dot" w:pos="9062"/>
        </w:tabs>
        <w:ind w:left="220"/>
      </w:pPr>
      <w:hyperlink w:anchor="_Toc5597" w:history="1">
        <w:r>
          <w:rPr>
            <w:rFonts w:ascii="IRNazanin" w:hAnsi="IRNazanin" w:eastAsia="IRNazanin" w:cs="IRNazanin"/>
            <w:color w:val="111111"/>
            <w:sz w:val="22"/>
            <w:szCs w:val="22"/>
            <w:b w:val="0"/>
            <w:bCs w:val="0"/>
            <w:i w:val="0"/>
            <w:iCs w:val="0"/>
          </w:rPr>
          <w:t>قاضي زاده رومي، محمود بن محمّد</w:t>
        </w:r>
        <w:r>
          <w:tab/>
        </w:r>
        <w:r>
          <w:fldChar w:fldCharType="begin"/>
        </w:r>
        <w:r>
          <w:instrText xml:space="preserve">PAGEREF 5597 \h</w:instrText>
        </w:r>
        <w:r>
          <w:fldChar w:fldCharType="end"/>
        </w:r>
      </w:hyperlink>
    </w:p>
    <w:p>
      <w:pPr>
        <w:tabs>
          <w:tab w:val="right" w:leader="dot" w:pos="9062"/>
        </w:tabs>
        <w:ind w:left="220"/>
      </w:pPr>
      <w:hyperlink w:anchor="_Toc5598" w:history="1">
        <w:r>
          <w:rPr>
            <w:rFonts w:ascii="IRNazanin" w:hAnsi="IRNazanin" w:eastAsia="IRNazanin" w:cs="IRNazanin"/>
            <w:color w:val="111111"/>
            <w:sz w:val="22"/>
            <w:szCs w:val="22"/>
            <w:b w:val="0"/>
            <w:bCs w:val="0"/>
            <w:i w:val="0"/>
            <w:iCs w:val="0"/>
          </w:rPr>
          <w:t>قاضي زاده رومي، موسى بن محمود</w:t>
        </w:r>
        <w:r>
          <w:tab/>
        </w:r>
        <w:r>
          <w:fldChar w:fldCharType="begin"/>
        </w:r>
        <w:r>
          <w:instrText xml:space="preserve">PAGEREF 5598 \h</w:instrText>
        </w:r>
        <w:r>
          <w:fldChar w:fldCharType="end"/>
        </w:r>
      </w:hyperlink>
    </w:p>
    <w:p>
      <w:pPr>
        <w:tabs>
          <w:tab w:val="right" w:leader="dot" w:pos="9062"/>
        </w:tabs>
        <w:ind w:left="220"/>
      </w:pPr>
      <w:hyperlink w:anchor="_Toc5599" w:history="1">
        <w:r>
          <w:rPr>
            <w:rFonts w:ascii="IRNazanin" w:hAnsi="IRNazanin" w:eastAsia="IRNazanin" w:cs="IRNazanin"/>
            <w:color w:val="111111"/>
            <w:sz w:val="22"/>
            <w:szCs w:val="22"/>
            <w:b w:val="0"/>
            <w:bCs w:val="0"/>
            <w:i w:val="0"/>
            <w:iCs w:val="0"/>
          </w:rPr>
          <w:t>قاضي زاده ، شرف</w:t>
        </w:r>
        <w:r>
          <w:tab/>
        </w:r>
        <w:r>
          <w:fldChar w:fldCharType="begin"/>
        </w:r>
        <w:r>
          <w:instrText xml:space="preserve">PAGEREF 5599 \h</w:instrText>
        </w:r>
        <w:r>
          <w:fldChar w:fldCharType="end"/>
        </w:r>
      </w:hyperlink>
    </w:p>
    <w:p>
      <w:pPr>
        <w:tabs>
          <w:tab w:val="right" w:leader="dot" w:pos="9062"/>
        </w:tabs>
        <w:ind w:left="220"/>
      </w:pPr>
      <w:hyperlink w:anchor="_Toc5600" w:history="1">
        <w:r>
          <w:rPr>
            <w:rFonts w:ascii="IRNazanin" w:hAnsi="IRNazanin" w:eastAsia="IRNazanin" w:cs="IRNazanin"/>
            <w:color w:val="111111"/>
            <w:sz w:val="22"/>
            <w:szCs w:val="22"/>
            <w:b w:val="0"/>
            <w:bCs w:val="0"/>
            <w:i w:val="0"/>
            <w:iCs w:val="0"/>
          </w:rPr>
          <w:t>قاضي زاده کرهرودي ، عبد الخالق، 995 -</w:t>
        </w:r>
        <w:r>
          <w:tab/>
        </w:r>
        <w:r>
          <w:fldChar w:fldCharType="begin"/>
        </w:r>
        <w:r>
          <w:instrText xml:space="preserve">PAGEREF 5600 \h</w:instrText>
        </w:r>
        <w:r>
          <w:fldChar w:fldCharType="end"/>
        </w:r>
      </w:hyperlink>
    </w:p>
    <w:p>
      <w:pPr>
        <w:tabs>
          <w:tab w:val="right" w:leader="dot" w:pos="9062"/>
        </w:tabs>
        <w:ind w:left="220"/>
      </w:pPr>
      <w:hyperlink w:anchor="_Toc5601" w:history="1">
        <w:r>
          <w:rPr>
            <w:rFonts w:ascii="IRNazanin" w:hAnsi="IRNazanin" w:eastAsia="IRNazanin" w:cs="IRNazanin"/>
            <w:color w:val="111111"/>
            <w:sz w:val="22"/>
            <w:szCs w:val="22"/>
            <w:b w:val="0"/>
            <w:bCs w:val="0"/>
            <w:i w:val="0"/>
            <w:iCs w:val="0"/>
          </w:rPr>
          <w:t>قاضي زاده، محمّد، قرن 11 ه-</w:t>
        </w:r>
        <w:r>
          <w:tab/>
        </w:r>
        <w:r>
          <w:fldChar w:fldCharType="begin"/>
        </w:r>
        <w:r>
          <w:instrText xml:space="preserve">PAGEREF 5601 \h</w:instrText>
        </w:r>
        <w:r>
          <w:fldChar w:fldCharType="end"/>
        </w:r>
      </w:hyperlink>
    </w:p>
    <w:p>
      <w:pPr>
        <w:tabs>
          <w:tab w:val="right" w:leader="dot" w:pos="9062"/>
        </w:tabs>
        <w:ind w:left="220"/>
      </w:pPr>
      <w:hyperlink w:anchor="_Toc5602" w:history="1">
        <w:r>
          <w:rPr>
            <w:rFonts w:ascii="IRNazanin" w:hAnsi="IRNazanin" w:eastAsia="IRNazanin" w:cs="IRNazanin"/>
            <w:color w:val="111111"/>
            <w:sz w:val="22"/>
            <w:szCs w:val="22"/>
            <w:b w:val="0"/>
            <w:bCs w:val="0"/>
            <w:i w:val="0"/>
            <w:iCs w:val="0"/>
          </w:rPr>
          <w:t>قاضي زاده محمّد بن مصطفى -1044؟ه-</w:t>
        </w:r>
        <w:r>
          <w:tab/>
        </w:r>
        <w:r>
          <w:fldChar w:fldCharType="begin"/>
        </w:r>
        <w:r>
          <w:instrText xml:space="preserve">PAGEREF 5602 \h</w:instrText>
        </w:r>
        <w:r>
          <w:fldChar w:fldCharType="end"/>
        </w:r>
      </w:hyperlink>
    </w:p>
    <w:p>
      <w:pPr>
        <w:tabs>
          <w:tab w:val="right" w:leader="dot" w:pos="9062"/>
        </w:tabs>
        <w:ind w:left="220"/>
      </w:pPr>
      <w:hyperlink w:anchor="_Toc5603" w:history="1">
        <w:r>
          <w:rPr>
            <w:rFonts w:ascii="IRNazanin" w:hAnsi="IRNazanin" w:eastAsia="IRNazanin" w:cs="IRNazanin"/>
            <w:color w:val="111111"/>
            <w:sz w:val="22"/>
            <w:szCs w:val="22"/>
            <w:b w:val="0"/>
            <w:bCs w:val="0"/>
            <w:i w:val="0"/>
            <w:iCs w:val="0"/>
          </w:rPr>
          <w:t>قاضي سعيد قمي ، محمّد سعيد بن</w:t>
        </w:r>
        <w:r>
          <w:tab/>
        </w:r>
        <w:r>
          <w:fldChar w:fldCharType="begin"/>
        </w:r>
        <w:r>
          <w:instrText xml:space="preserve">PAGEREF 5603 \h</w:instrText>
        </w:r>
        <w:r>
          <w:fldChar w:fldCharType="end"/>
        </w:r>
      </w:hyperlink>
    </w:p>
    <w:p>
      <w:pPr>
        <w:tabs>
          <w:tab w:val="right" w:leader="dot" w:pos="9062"/>
        </w:tabs>
        <w:ind w:left="220"/>
      </w:pPr>
      <w:hyperlink w:anchor="_Toc5604" w:history="1">
        <w:r>
          <w:rPr>
            <w:rFonts w:ascii="IRNazanin" w:hAnsi="IRNazanin" w:eastAsia="IRNazanin" w:cs="IRNazanin"/>
            <w:color w:val="111111"/>
            <w:sz w:val="22"/>
            <w:szCs w:val="22"/>
            <w:b w:val="0"/>
            <w:bCs w:val="0"/>
            <w:i w:val="0"/>
            <w:iCs w:val="0"/>
          </w:rPr>
          <w:t>قاضي صفدي، محمّد بن عبدالرحمن</w:t>
        </w:r>
        <w:r>
          <w:tab/>
        </w:r>
        <w:r>
          <w:fldChar w:fldCharType="begin"/>
        </w:r>
        <w:r>
          <w:instrText xml:space="preserve">PAGEREF 5604 \h</w:instrText>
        </w:r>
        <w:r>
          <w:fldChar w:fldCharType="end"/>
        </w:r>
      </w:hyperlink>
    </w:p>
    <w:p>
      <w:pPr>
        <w:tabs>
          <w:tab w:val="right" w:leader="dot" w:pos="9062"/>
        </w:tabs>
        <w:ind w:left="220"/>
      </w:pPr>
      <w:hyperlink w:anchor="_Toc5605" w:history="1">
        <w:r>
          <w:rPr>
            <w:rFonts w:ascii="IRNazanin" w:hAnsi="IRNazanin" w:eastAsia="IRNazanin" w:cs="IRNazanin"/>
            <w:color w:val="111111"/>
            <w:sz w:val="22"/>
            <w:szCs w:val="22"/>
            <w:b w:val="0"/>
            <w:bCs w:val="0"/>
            <w:i w:val="0"/>
            <w:iCs w:val="0"/>
          </w:rPr>
          <w:t>قاضي ، عبدالرحيم بن احمد</w:t>
        </w:r>
        <w:r>
          <w:tab/>
        </w:r>
        <w:r>
          <w:fldChar w:fldCharType="begin"/>
        </w:r>
        <w:r>
          <w:instrText xml:space="preserve">PAGEREF 5605 \h</w:instrText>
        </w:r>
        <w:r>
          <w:fldChar w:fldCharType="end"/>
        </w:r>
      </w:hyperlink>
    </w:p>
    <w:p>
      <w:pPr>
        <w:tabs>
          <w:tab w:val="right" w:leader="dot" w:pos="9062"/>
        </w:tabs>
        <w:ind w:left="220"/>
      </w:pPr>
      <w:hyperlink w:anchor="_Toc5606" w:history="1">
        <w:r>
          <w:rPr>
            <w:rFonts w:ascii="IRNazanin" w:hAnsi="IRNazanin" w:eastAsia="IRNazanin" w:cs="IRNazanin"/>
            <w:color w:val="111111"/>
            <w:sz w:val="22"/>
            <w:szCs w:val="22"/>
            <w:b w:val="0"/>
            <w:bCs w:val="0"/>
            <w:i w:val="0"/>
            <w:iCs w:val="0"/>
          </w:rPr>
          <w:t>قاضي عقدالدين</w:t>
        </w:r>
        <w:r>
          <w:tab/>
        </w:r>
        <w:r>
          <w:fldChar w:fldCharType="begin"/>
        </w:r>
        <w:r>
          <w:instrText xml:space="preserve">PAGEREF 5606 \h</w:instrText>
        </w:r>
        <w:r>
          <w:fldChar w:fldCharType="end"/>
        </w:r>
      </w:hyperlink>
    </w:p>
    <w:p>
      <w:pPr>
        <w:tabs>
          <w:tab w:val="right" w:leader="dot" w:pos="9062"/>
        </w:tabs>
        <w:ind w:left="220"/>
      </w:pPr>
      <w:hyperlink w:anchor="_Toc5607" w:history="1">
        <w:r>
          <w:rPr>
            <w:rFonts w:ascii="IRNazanin" w:hAnsi="IRNazanin" w:eastAsia="IRNazanin" w:cs="IRNazanin"/>
            <w:color w:val="111111"/>
            <w:sz w:val="22"/>
            <w:szCs w:val="22"/>
            <w:b w:val="0"/>
            <w:bCs w:val="0"/>
            <w:i w:val="0"/>
            <w:iCs w:val="0"/>
          </w:rPr>
          <w:t>قاضي عياض ، عياض بن موسى، 476؟ -</w:t>
        </w:r>
        <w:r>
          <w:tab/>
        </w:r>
        <w:r>
          <w:fldChar w:fldCharType="begin"/>
        </w:r>
        <w:r>
          <w:instrText xml:space="preserve">PAGEREF 5607 \h</w:instrText>
        </w:r>
        <w:r>
          <w:fldChar w:fldCharType="end"/>
        </w:r>
      </w:hyperlink>
    </w:p>
    <w:p>
      <w:pPr>
        <w:tabs>
          <w:tab w:val="right" w:leader="dot" w:pos="9062"/>
        </w:tabs>
        <w:ind w:left="220"/>
      </w:pPr>
      <w:hyperlink w:anchor="_Toc5608" w:history="1">
        <w:r>
          <w:rPr>
            <w:rFonts w:ascii="IRNazanin" w:hAnsi="IRNazanin" w:eastAsia="IRNazanin" w:cs="IRNazanin"/>
            <w:color w:val="111111"/>
            <w:sz w:val="22"/>
            <w:szCs w:val="22"/>
            <w:b w:val="0"/>
            <w:bCs w:val="0"/>
            <w:i w:val="0"/>
            <w:iCs w:val="0"/>
          </w:rPr>
          <w:t>قاضي مبارك، قرن 12 ه-</w:t>
        </w:r>
        <w:r>
          <w:tab/>
        </w:r>
        <w:r>
          <w:fldChar w:fldCharType="begin"/>
        </w:r>
        <w:r>
          <w:instrText xml:space="preserve">PAGEREF 5608 \h</w:instrText>
        </w:r>
        <w:r>
          <w:fldChar w:fldCharType="end"/>
        </w:r>
      </w:hyperlink>
    </w:p>
    <w:p>
      <w:pPr>
        <w:tabs>
          <w:tab w:val="right" w:leader="dot" w:pos="9062"/>
        </w:tabs>
        <w:ind w:left="220"/>
      </w:pPr>
      <w:hyperlink w:anchor="_Toc5609" w:history="1">
        <w:r>
          <w:rPr>
            <w:rFonts w:ascii="IRNazanin" w:hAnsi="IRNazanin" w:eastAsia="IRNazanin" w:cs="IRNazanin"/>
            <w:color w:val="111111"/>
            <w:sz w:val="22"/>
            <w:szCs w:val="22"/>
            <w:b w:val="0"/>
            <w:bCs w:val="0"/>
            <w:i w:val="0"/>
            <w:iCs w:val="0"/>
          </w:rPr>
          <w:t>قاضي ، محمّد بن منصور</w:t>
        </w:r>
        <w:r>
          <w:tab/>
        </w:r>
        <w:r>
          <w:fldChar w:fldCharType="begin"/>
        </w:r>
        <w:r>
          <w:instrText xml:space="preserve">PAGEREF 5609 \h</w:instrText>
        </w:r>
        <w:r>
          <w:fldChar w:fldCharType="end"/>
        </w:r>
      </w:hyperlink>
    </w:p>
    <w:p>
      <w:pPr>
        <w:tabs>
          <w:tab w:val="right" w:leader="dot" w:pos="9062"/>
        </w:tabs>
        <w:ind w:left="220"/>
      </w:pPr>
      <w:hyperlink w:anchor="_Toc5610" w:history="1">
        <w:r>
          <w:rPr>
            <w:rFonts w:ascii="IRNazanin" w:hAnsi="IRNazanin" w:eastAsia="IRNazanin" w:cs="IRNazanin"/>
            <w:color w:val="111111"/>
            <w:sz w:val="22"/>
            <w:szCs w:val="22"/>
            <w:b w:val="0"/>
            <w:bCs w:val="0"/>
            <w:i w:val="0"/>
            <w:iCs w:val="0"/>
          </w:rPr>
          <w:t>قاضي مدينه ، مصطفى بن محمّد</w:t>
        </w:r>
        <w:r>
          <w:tab/>
        </w:r>
        <w:r>
          <w:fldChar w:fldCharType="begin"/>
        </w:r>
        <w:r>
          <w:instrText xml:space="preserve">PAGEREF 5610 \h</w:instrText>
        </w:r>
        <w:r>
          <w:fldChar w:fldCharType="end"/>
        </w:r>
      </w:hyperlink>
    </w:p>
    <w:p>
      <w:pPr>
        <w:tabs>
          <w:tab w:val="right" w:leader="dot" w:pos="9062"/>
        </w:tabs>
        <w:ind w:left="220"/>
      </w:pPr>
      <w:hyperlink w:anchor="_Toc5611" w:history="1">
        <w:r>
          <w:rPr>
            <w:rFonts w:ascii="IRNazanin" w:hAnsi="IRNazanin" w:eastAsia="IRNazanin" w:cs="IRNazanin"/>
            <w:color w:val="111111"/>
            <w:sz w:val="22"/>
            <w:szCs w:val="22"/>
            <w:b w:val="0"/>
            <w:bCs w:val="0"/>
            <w:i w:val="0"/>
            <w:iCs w:val="0"/>
          </w:rPr>
          <w:t>قاضي مقدمي محمّد بن احمد -301ه-</w:t>
        </w:r>
        <w:r>
          <w:tab/>
        </w:r>
        <w:r>
          <w:fldChar w:fldCharType="begin"/>
        </w:r>
        <w:r>
          <w:instrText xml:space="preserve">PAGEREF 5611 \h</w:instrText>
        </w:r>
        <w:r>
          <w:fldChar w:fldCharType="end"/>
        </w:r>
      </w:hyperlink>
    </w:p>
    <w:p>
      <w:pPr>
        <w:tabs>
          <w:tab w:val="right" w:leader="dot" w:pos="9062"/>
        </w:tabs>
        <w:ind w:left="220"/>
      </w:pPr>
      <w:hyperlink w:anchor="_Toc5612" w:history="1">
        <w:r>
          <w:rPr>
            <w:rFonts w:ascii="IRNazanin" w:hAnsi="IRNazanin" w:eastAsia="IRNazanin" w:cs="IRNazanin"/>
            <w:color w:val="111111"/>
            <w:sz w:val="22"/>
            <w:szCs w:val="22"/>
            <w:b w:val="0"/>
            <w:bCs w:val="0"/>
            <w:i w:val="0"/>
            <w:iCs w:val="0"/>
          </w:rPr>
          <w:t>قاضي ، منير بن خضر، 1892 - 1969م</w:t>
        </w:r>
        <w:r>
          <w:tab/>
        </w:r>
        <w:r>
          <w:fldChar w:fldCharType="begin"/>
        </w:r>
        <w:r>
          <w:instrText xml:space="preserve">PAGEREF 5612 \h</w:instrText>
        </w:r>
        <w:r>
          <w:fldChar w:fldCharType="end"/>
        </w:r>
      </w:hyperlink>
    </w:p>
    <w:p>
      <w:pPr>
        <w:tabs>
          <w:tab w:val="right" w:leader="dot" w:pos="9062"/>
        </w:tabs>
        <w:ind w:left="220"/>
      </w:pPr>
      <w:hyperlink w:anchor="_Toc5613" w:history="1">
        <w:r>
          <w:rPr>
            <w:rFonts w:ascii="IRNazanin" w:hAnsi="IRNazanin" w:eastAsia="IRNazanin" w:cs="IRNazanin"/>
            <w:color w:val="111111"/>
            <w:sz w:val="22"/>
            <w:szCs w:val="22"/>
            <w:b w:val="0"/>
            <w:bCs w:val="0"/>
            <w:i w:val="0"/>
            <w:iCs w:val="0"/>
          </w:rPr>
          <w:t>قاعدي ، فخرالدين مصطفى</w:t>
        </w:r>
        <w:r>
          <w:tab/>
        </w:r>
        <w:r>
          <w:fldChar w:fldCharType="begin"/>
        </w:r>
        <w:r>
          <w:instrText xml:space="preserve">PAGEREF 5613 \h</w:instrText>
        </w:r>
        <w:r>
          <w:fldChar w:fldCharType="end"/>
        </w:r>
      </w:hyperlink>
    </w:p>
    <w:p>
      <w:pPr>
        <w:tabs>
          <w:tab w:val="right" w:leader="dot" w:pos="9062"/>
        </w:tabs>
        <w:ind w:left="220"/>
      </w:pPr>
      <w:hyperlink w:anchor="_Toc5614" w:history="1">
        <w:r>
          <w:rPr>
            <w:rFonts w:ascii="IRNazanin" w:hAnsi="IRNazanin" w:eastAsia="IRNazanin" w:cs="IRNazanin"/>
            <w:color w:val="111111"/>
            <w:sz w:val="22"/>
            <w:szCs w:val="22"/>
            <w:b w:val="0"/>
            <w:bCs w:val="0"/>
            <w:i w:val="0"/>
            <w:iCs w:val="0"/>
          </w:rPr>
          <w:t>قالي، اسماعيل بن قاسم، 288 - 356 ه-</w:t>
        </w:r>
        <w:r>
          <w:tab/>
        </w:r>
        <w:r>
          <w:fldChar w:fldCharType="begin"/>
        </w:r>
        <w:r>
          <w:instrText xml:space="preserve">PAGEREF 5614 \h</w:instrText>
        </w:r>
        <w:r>
          <w:fldChar w:fldCharType="end"/>
        </w:r>
      </w:hyperlink>
    </w:p>
    <w:p>
      <w:pPr>
        <w:tabs>
          <w:tab w:val="right" w:leader="dot" w:pos="9062"/>
        </w:tabs>
        <w:ind w:left="220"/>
      </w:pPr>
      <w:hyperlink w:anchor="_Toc5615" w:history="1">
        <w:r>
          <w:rPr>
            <w:rFonts w:ascii="IRNazanin" w:hAnsi="IRNazanin" w:eastAsia="IRNazanin" w:cs="IRNazanin"/>
            <w:color w:val="111111"/>
            <w:sz w:val="22"/>
            <w:szCs w:val="22"/>
            <w:b w:val="0"/>
            <w:bCs w:val="0"/>
            <w:i w:val="0"/>
            <w:iCs w:val="0"/>
          </w:rPr>
          <w:t>قاهر اصفهاني ، محمّد جواد قرن 13 ه-</w:t>
        </w:r>
        <w:r>
          <w:tab/>
        </w:r>
        <w:r>
          <w:fldChar w:fldCharType="begin"/>
        </w:r>
        <w:r>
          <w:instrText xml:space="preserve">PAGEREF 5615 \h</w:instrText>
        </w:r>
        <w:r>
          <w:fldChar w:fldCharType="end"/>
        </w:r>
      </w:hyperlink>
    </w:p>
    <w:p>
      <w:pPr>
        <w:tabs>
          <w:tab w:val="right" w:leader="dot" w:pos="9062"/>
        </w:tabs>
        <w:ind w:left="220"/>
      </w:pPr>
      <w:hyperlink w:anchor="_Toc5616" w:history="1">
        <w:r>
          <w:rPr>
            <w:rFonts w:ascii="IRNazanin" w:hAnsi="IRNazanin" w:eastAsia="IRNazanin" w:cs="IRNazanin"/>
            <w:color w:val="111111"/>
            <w:sz w:val="22"/>
            <w:szCs w:val="22"/>
            <w:b w:val="0"/>
            <w:bCs w:val="0"/>
            <w:i w:val="0"/>
            <w:iCs w:val="0"/>
          </w:rPr>
          <w:t>قاوقجي ، محمّد بن خليل - 1305 ه-</w:t>
        </w:r>
        <w:r>
          <w:tab/>
        </w:r>
        <w:r>
          <w:fldChar w:fldCharType="begin"/>
        </w:r>
        <w:r>
          <w:instrText xml:space="preserve">PAGEREF 5616 \h</w:instrText>
        </w:r>
        <w:r>
          <w:fldChar w:fldCharType="end"/>
        </w:r>
      </w:hyperlink>
    </w:p>
    <w:p>
      <w:pPr>
        <w:tabs>
          <w:tab w:val="right" w:leader="dot" w:pos="9062"/>
        </w:tabs>
        <w:ind w:left="220"/>
      </w:pPr>
      <w:hyperlink w:anchor="_Toc5617" w:history="1">
        <w:r>
          <w:rPr>
            <w:rFonts w:ascii="IRNazanin" w:hAnsi="IRNazanin" w:eastAsia="IRNazanin" w:cs="IRNazanin"/>
            <w:color w:val="111111"/>
            <w:sz w:val="22"/>
            <w:szCs w:val="22"/>
            <w:b w:val="0"/>
            <w:bCs w:val="0"/>
            <w:i w:val="0"/>
            <w:iCs w:val="0"/>
          </w:rPr>
          <w:t>قباقبي ، ابراهيم بن محمّد قرن 10 ه-</w:t>
        </w:r>
        <w:r>
          <w:tab/>
        </w:r>
        <w:r>
          <w:fldChar w:fldCharType="begin"/>
        </w:r>
        <w:r>
          <w:instrText xml:space="preserve">PAGEREF 5617 \h</w:instrText>
        </w:r>
        <w:r>
          <w:fldChar w:fldCharType="end"/>
        </w:r>
      </w:hyperlink>
    </w:p>
    <w:p>
      <w:pPr>
        <w:tabs>
          <w:tab w:val="right" w:leader="dot" w:pos="9062"/>
        </w:tabs>
        <w:ind w:left="220"/>
      </w:pPr>
      <w:hyperlink w:anchor="_Toc5618" w:history="1">
        <w:r>
          <w:rPr>
            <w:rFonts w:ascii="IRNazanin" w:hAnsi="IRNazanin" w:eastAsia="IRNazanin" w:cs="IRNazanin"/>
            <w:color w:val="111111"/>
            <w:sz w:val="22"/>
            <w:szCs w:val="22"/>
            <w:b w:val="0"/>
            <w:bCs w:val="0"/>
            <w:i w:val="0"/>
            <w:iCs w:val="0"/>
          </w:rPr>
          <w:t>قباقبي، محمّد بن خليل 777 - 849 ه-</w:t>
        </w:r>
        <w:r>
          <w:tab/>
        </w:r>
        <w:r>
          <w:fldChar w:fldCharType="begin"/>
        </w:r>
        <w:r>
          <w:instrText xml:space="preserve">PAGEREF 5618 \h</w:instrText>
        </w:r>
        <w:r>
          <w:fldChar w:fldCharType="end"/>
        </w:r>
      </w:hyperlink>
    </w:p>
    <w:p>
      <w:pPr>
        <w:tabs>
          <w:tab w:val="right" w:leader="dot" w:pos="9062"/>
        </w:tabs>
        <w:ind w:left="220"/>
      </w:pPr>
      <w:hyperlink w:anchor="_Toc5619" w:history="1">
        <w:r>
          <w:rPr>
            <w:rFonts w:ascii="IRNazanin" w:hAnsi="IRNazanin" w:eastAsia="IRNazanin" w:cs="IRNazanin"/>
            <w:color w:val="111111"/>
            <w:sz w:val="22"/>
            <w:szCs w:val="22"/>
            <w:b w:val="0"/>
            <w:bCs w:val="0"/>
            <w:i w:val="0"/>
            <w:iCs w:val="0"/>
          </w:rPr>
          <w:t>قبالي زاده ، علي چلبي</w:t>
        </w:r>
        <w:r>
          <w:tab/>
        </w:r>
        <w:r>
          <w:fldChar w:fldCharType="begin"/>
        </w:r>
        <w:r>
          <w:instrText xml:space="preserve">PAGEREF 5619 \h</w:instrText>
        </w:r>
        <w:r>
          <w:fldChar w:fldCharType="end"/>
        </w:r>
      </w:hyperlink>
    </w:p>
    <w:p>
      <w:pPr>
        <w:tabs>
          <w:tab w:val="right" w:leader="dot" w:pos="9062"/>
        </w:tabs>
        <w:ind w:left="220"/>
      </w:pPr>
      <w:hyperlink w:anchor="_Toc5620" w:history="1">
        <w:r>
          <w:rPr>
            <w:rFonts w:ascii="IRNazanin" w:hAnsi="IRNazanin" w:eastAsia="IRNazanin" w:cs="IRNazanin"/>
            <w:color w:val="111111"/>
            <w:sz w:val="22"/>
            <w:szCs w:val="22"/>
            <w:b w:val="0"/>
            <w:bCs w:val="0"/>
            <w:i w:val="0"/>
            <w:iCs w:val="0"/>
          </w:rPr>
          <w:t>قباني ، احمد بن ملا علي - 1138 ه-</w:t>
        </w:r>
        <w:r>
          <w:tab/>
        </w:r>
        <w:r>
          <w:fldChar w:fldCharType="begin"/>
        </w:r>
        <w:r>
          <w:instrText xml:space="preserve">PAGEREF 5620 \h</w:instrText>
        </w:r>
        <w:r>
          <w:fldChar w:fldCharType="end"/>
        </w:r>
      </w:hyperlink>
    </w:p>
    <w:p>
      <w:pPr>
        <w:tabs>
          <w:tab w:val="right" w:leader="dot" w:pos="9062"/>
        </w:tabs>
        <w:ind w:left="220"/>
      </w:pPr>
      <w:hyperlink w:anchor="_Toc5621" w:history="1">
        <w:r>
          <w:rPr>
            <w:rFonts w:ascii="IRNazanin" w:hAnsi="IRNazanin" w:eastAsia="IRNazanin" w:cs="IRNazanin"/>
            <w:color w:val="111111"/>
            <w:sz w:val="22"/>
            <w:szCs w:val="22"/>
            <w:b w:val="0"/>
            <w:bCs w:val="0"/>
            <w:i w:val="0"/>
            <w:iCs w:val="0"/>
          </w:rPr>
          <w:t>قباني ، عبد الرحمن، قرن 13 ه-</w:t>
        </w:r>
        <w:r>
          <w:tab/>
        </w:r>
        <w:r>
          <w:fldChar w:fldCharType="begin"/>
        </w:r>
        <w:r>
          <w:instrText xml:space="preserve">PAGEREF 5621 \h</w:instrText>
        </w:r>
        <w:r>
          <w:fldChar w:fldCharType="end"/>
        </w:r>
      </w:hyperlink>
    </w:p>
    <w:p>
      <w:pPr>
        <w:tabs>
          <w:tab w:val="right" w:leader="dot" w:pos="9062"/>
        </w:tabs>
        <w:ind w:left="220"/>
      </w:pPr>
      <w:hyperlink w:anchor="_Toc5622" w:history="1">
        <w:r>
          <w:rPr>
            <w:rFonts w:ascii="IRNazanin" w:hAnsi="IRNazanin" w:eastAsia="IRNazanin" w:cs="IRNazanin"/>
            <w:color w:val="111111"/>
            <w:sz w:val="22"/>
            <w:szCs w:val="22"/>
            <w:b w:val="0"/>
            <w:bCs w:val="0"/>
            <w:i w:val="0"/>
            <w:iCs w:val="0"/>
          </w:rPr>
          <w:t>قباني ، محمّد، قرن 12 ه-</w:t>
        </w:r>
        <w:r>
          <w:tab/>
        </w:r>
        <w:r>
          <w:fldChar w:fldCharType="begin"/>
        </w:r>
        <w:r>
          <w:instrText xml:space="preserve">PAGEREF 5622 \h</w:instrText>
        </w:r>
        <w:r>
          <w:fldChar w:fldCharType="end"/>
        </w:r>
      </w:hyperlink>
    </w:p>
    <w:p>
      <w:pPr>
        <w:tabs>
          <w:tab w:val="right" w:leader="dot" w:pos="9062"/>
        </w:tabs>
        <w:ind w:left="220"/>
      </w:pPr>
      <w:hyperlink w:anchor="_Toc5623" w:history="1">
        <w:r>
          <w:rPr>
            <w:rFonts w:ascii="IRNazanin" w:hAnsi="IRNazanin" w:eastAsia="IRNazanin" w:cs="IRNazanin"/>
            <w:color w:val="111111"/>
            <w:sz w:val="22"/>
            <w:szCs w:val="22"/>
            <w:b w:val="0"/>
            <w:bCs w:val="0"/>
            <w:i w:val="0"/>
            <w:iCs w:val="0"/>
          </w:rPr>
          <w:t>قبرصي سينائي ، تاوفیطس ،رودنیس قرن</w:t>
        </w:r>
        <w:r>
          <w:tab/>
        </w:r>
        <w:r>
          <w:fldChar w:fldCharType="begin"/>
        </w:r>
        <w:r>
          <w:instrText xml:space="preserve">PAGEREF 5623 \h</w:instrText>
        </w:r>
        <w:r>
          <w:fldChar w:fldCharType="end"/>
        </w:r>
      </w:hyperlink>
    </w:p>
    <w:p>
      <w:pPr>
        <w:tabs>
          <w:tab w:val="right" w:leader="dot" w:pos="9062"/>
        </w:tabs>
        <w:ind w:left="220"/>
      </w:pPr>
      <w:hyperlink w:anchor="_Toc5624" w:history="1">
        <w:r>
          <w:rPr>
            <w:rFonts w:ascii="IRNazanin" w:hAnsi="IRNazanin" w:eastAsia="IRNazanin" w:cs="IRNazanin"/>
            <w:color w:val="111111"/>
            <w:sz w:val="22"/>
            <w:szCs w:val="22"/>
            <w:b w:val="0"/>
            <w:bCs w:val="0"/>
            <w:i w:val="0"/>
            <w:iCs w:val="0"/>
          </w:rPr>
          <w:t>قبيصي، عبدالعزيز بن عثمان - 380ه-</w:t>
        </w:r>
        <w:r>
          <w:tab/>
        </w:r>
        <w:r>
          <w:fldChar w:fldCharType="begin"/>
        </w:r>
        <w:r>
          <w:instrText xml:space="preserve">PAGEREF 5624 \h</w:instrText>
        </w:r>
        <w:r>
          <w:fldChar w:fldCharType="end"/>
        </w:r>
      </w:hyperlink>
    </w:p>
    <w:p>
      <w:pPr>
        <w:tabs>
          <w:tab w:val="right" w:leader="dot" w:pos="9062"/>
        </w:tabs>
        <w:ind w:left="220"/>
      </w:pPr>
      <w:hyperlink w:anchor="_Toc5625" w:history="1">
        <w:r>
          <w:rPr>
            <w:rFonts w:ascii="IRNazanin" w:hAnsi="IRNazanin" w:eastAsia="IRNazanin" w:cs="IRNazanin"/>
            <w:color w:val="111111"/>
            <w:sz w:val="22"/>
            <w:szCs w:val="22"/>
            <w:b w:val="0"/>
            <w:bCs w:val="0"/>
            <w:i w:val="0"/>
            <w:iCs w:val="0"/>
          </w:rPr>
          <w:t>قتيل لاهوري ، محمّد حسن بن درگاهي</w:t>
        </w:r>
        <w:r>
          <w:tab/>
        </w:r>
        <w:r>
          <w:fldChar w:fldCharType="begin"/>
        </w:r>
        <w:r>
          <w:instrText xml:space="preserve">PAGEREF 5625 \h</w:instrText>
        </w:r>
        <w:r>
          <w:fldChar w:fldCharType="end"/>
        </w:r>
      </w:hyperlink>
    </w:p>
    <w:p>
      <w:pPr>
        <w:tabs>
          <w:tab w:val="right" w:leader="dot" w:pos="9062"/>
        </w:tabs>
        <w:ind w:left="220"/>
      </w:pPr>
      <w:hyperlink w:anchor="_Toc5626" w:history="1">
        <w:r>
          <w:rPr>
            <w:rFonts w:ascii="IRNazanin" w:hAnsi="IRNazanin" w:eastAsia="IRNazanin" w:cs="IRNazanin"/>
            <w:color w:val="111111"/>
            <w:sz w:val="22"/>
            <w:szCs w:val="22"/>
            <w:b w:val="0"/>
            <w:bCs w:val="0"/>
            <w:i w:val="0"/>
            <w:iCs w:val="0"/>
          </w:rPr>
          <w:t>قحطاني ، علي بن سليمان</w:t>
        </w:r>
        <w:r>
          <w:tab/>
        </w:r>
        <w:r>
          <w:fldChar w:fldCharType="begin"/>
        </w:r>
        <w:r>
          <w:instrText xml:space="preserve">PAGEREF 5626 \h</w:instrText>
        </w:r>
        <w:r>
          <w:fldChar w:fldCharType="end"/>
        </w:r>
      </w:hyperlink>
    </w:p>
    <w:p>
      <w:pPr>
        <w:tabs>
          <w:tab w:val="right" w:leader="dot" w:pos="9062"/>
        </w:tabs>
        <w:ind w:left="220"/>
      </w:pPr>
      <w:hyperlink w:anchor="_Toc5627" w:history="1">
        <w:r>
          <w:rPr>
            <w:rFonts w:ascii="IRNazanin" w:hAnsi="IRNazanin" w:eastAsia="IRNazanin" w:cs="IRNazanin"/>
            <w:color w:val="111111"/>
            <w:sz w:val="22"/>
            <w:szCs w:val="22"/>
            <w:b w:val="0"/>
            <w:bCs w:val="0"/>
            <w:i w:val="0"/>
            <w:iCs w:val="0"/>
          </w:rPr>
          <w:t>قدامي ، يوسف بن محمّد - 993 ه-</w:t>
        </w:r>
        <w:r>
          <w:tab/>
        </w:r>
        <w:r>
          <w:fldChar w:fldCharType="begin"/>
        </w:r>
        <w:r>
          <w:instrText xml:space="preserve">PAGEREF 5627 \h</w:instrText>
        </w:r>
        <w:r>
          <w:fldChar w:fldCharType="end"/>
        </w:r>
      </w:hyperlink>
    </w:p>
    <w:p>
      <w:pPr>
        <w:tabs>
          <w:tab w:val="right" w:leader="dot" w:pos="9062"/>
        </w:tabs>
        <w:ind w:left="220"/>
      </w:pPr>
      <w:hyperlink w:anchor="_Toc5628" w:history="1">
        <w:r>
          <w:rPr>
            <w:rFonts w:ascii="IRNazanin" w:hAnsi="IRNazanin" w:eastAsia="IRNazanin" w:cs="IRNazanin"/>
            <w:color w:val="111111"/>
            <w:sz w:val="22"/>
            <w:szCs w:val="22"/>
            <w:b w:val="0"/>
            <w:bCs w:val="0"/>
            <w:i w:val="0"/>
            <w:iCs w:val="0"/>
          </w:rPr>
          <w:t>قدسي ، احمد</w:t>
        </w:r>
        <w:r>
          <w:tab/>
        </w:r>
        <w:r>
          <w:fldChar w:fldCharType="begin"/>
        </w:r>
        <w:r>
          <w:instrText xml:space="preserve">PAGEREF 5628 \h</w:instrText>
        </w:r>
        <w:r>
          <w:fldChar w:fldCharType="end"/>
        </w:r>
      </w:hyperlink>
    </w:p>
    <w:p>
      <w:pPr>
        <w:tabs>
          <w:tab w:val="right" w:leader="dot" w:pos="9062"/>
        </w:tabs>
        <w:ind w:left="220"/>
      </w:pPr>
      <w:hyperlink w:anchor="_Toc5629" w:history="1">
        <w:r>
          <w:rPr>
            <w:rFonts w:ascii="IRNazanin" w:hAnsi="IRNazanin" w:eastAsia="IRNazanin" w:cs="IRNazanin"/>
            <w:color w:val="111111"/>
            <w:sz w:val="22"/>
            <w:szCs w:val="22"/>
            <w:b w:val="0"/>
            <w:bCs w:val="0"/>
            <w:i w:val="0"/>
            <w:iCs w:val="0"/>
          </w:rPr>
          <w:t>قدسي ، حسن بن ابي بكر - 836 ه-</w:t>
        </w:r>
        <w:r>
          <w:tab/>
        </w:r>
        <w:r>
          <w:fldChar w:fldCharType="begin"/>
        </w:r>
        <w:r>
          <w:instrText xml:space="preserve">PAGEREF 5629 \h</w:instrText>
        </w:r>
        <w:r>
          <w:fldChar w:fldCharType="end"/>
        </w:r>
      </w:hyperlink>
    </w:p>
    <w:p>
      <w:pPr>
        <w:tabs>
          <w:tab w:val="right" w:leader="dot" w:pos="9062"/>
        </w:tabs>
        <w:ind w:left="220"/>
      </w:pPr>
      <w:hyperlink w:anchor="_Toc5630" w:history="1">
        <w:r>
          <w:rPr>
            <w:rFonts w:ascii="IRNazanin" w:hAnsi="IRNazanin" w:eastAsia="IRNazanin" w:cs="IRNazanin"/>
            <w:color w:val="111111"/>
            <w:sz w:val="22"/>
            <w:szCs w:val="22"/>
            <w:b w:val="0"/>
            <w:bCs w:val="0"/>
            <w:i w:val="0"/>
            <w:iCs w:val="0"/>
          </w:rPr>
          <w:t>قدسي ، عباسقلي بن ميرزا محمّد ثاني قرن 13 ه-</w:t>
        </w:r>
        <w:r>
          <w:tab/>
        </w:r>
        <w:r>
          <w:fldChar w:fldCharType="begin"/>
        </w:r>
        <w:r>
          <w:instrText xml:space="preserve">PAGEREF 5630 \h</w:instrText>
        </w:r>
        <w:r>
          <w:fldChar w:fldCharType="end"/>
        </w:r>
      </w:hyperlink>
    </w:p>
    <w:p>
      <w:pPr>
        <w:tabs>
          <w:tab w:val="right" w:leader="dot" w:pos="9062"/>
        </w:tabs>
        <w:ind w:left="220"/>
      </w:pPr>
      <w:hyperlink w:anchor="_Toc5631" w:history="1">
        <w:r>
          <w:rPr>
            <w:rFonts w:ascii="IRNazanin" w:hAnsi="IRNazanin" w:eastAsia="IRNazanin" w:cs="IRNazanin"/>
            <w:color w:val="111111"/>
            <w:sz w:val="22"/>
            <w:szCs w:val="22"/>
            <w:b w:val="0"/>
            <w:bCs w:val="0"/>
            <w:i w:val="0"/>
            <w:iCs w:val="0"/>
          </w:rPr>
          <w:t>قدسي علي اكبر بن عبدالوهاب قرن 13</w:t>
        </w:r>
        <w:r>
          <w:tab/>
        </w:r>
        <w:r>
          <w:fldChar w:fldCharType="begin"/>
        </w:r>
        <w:r>
          <w:instrText xml:space="preserve">PAGEREF 5631 \h</w:instrText>
        </w:r>
        <w:r>
          <w:fldChar w:fldCharType="end"/>
        </w:r>
      </w:hyperlink>
    </w:p>
    <w:p>
      <w:pPr>
        <w:tabs>
          <w:tab w:val="right" w:leader="dot" w:pos="9062"/>
        </w:tabs>
        <w:ind w:left="220"/>
      </w:pPr>
      <w:hyperlink w:anchor="_Toc5632" w:history="1">
        <w:r>
          <w:rPr>
            <w:rFonts w:ascii="IRNazanin" w:hAnsi="IRNazanin" w:eastAsia="IRNazanin" w:cs="IRNazanin"/>
            <w:color w:val="111111"/>
            <w:sz w:val="22"/>
            <w:szCs w:val="22"/>
            <w:b w:val="0"/>
            <w:bCs w:val="0"/>
            <w:i w:val="0"/>
            <w:iCs w:val="0"/>
          </w:rPr>
          <w:t>قدوري، احمد بن محمّد، 362 - 428 ه-</w:t>
        </w:r>
        <w:r>
          <w:tab/>
        </w:r>
        <w:r>
          <w:fldChar w:fldCharType="begin"/>
        </w:r>
        <w:r>
          <w:instrText xml:space="preserve">PAGEREF 5632 \h</w:instrText>
        </w:r>
        <w:r>
          <w:fldChar w:fldCharType="end"/>
        </w:r>
      </w:hyperlink>
    </w:p>
    <w:p>
      <w:pPr>
        <w:tabs>
          <w:tab w:val="right" w:leader="dot" w:pos="9062"/>
        </w:tabs>
        <w:ind w:left="220"/>
      </w:pPr>
      <w:hyperlink w:anchor="_Toc5633" w:history="1">
        <w:r>
          <w:rPr>
            <w:rFonts w:ascii="IRNazanin" w:hAnsi="IRNazanin" w:eastAsia="IRNazanin" w:cs="IRNazanin"/>
            <w:color w:val="111111"/>
            <w:sz w:val="22"/>
            <w:szCs w:val="22"/>
            <w:b w:val="0"/>
            <w:bCs w:val="0"/>
            <w:i w:val="0"/>
            <w:iCs w:val="0"/>
          </w:rPr>
          <w:t>قديحي زين بن حسين الزين قرن 14ه-</w:t>
        </w:r>
        <w:r>
          <w:tab/>
        </w:r>
        <w:r>
          <w:fldChar w:fldCharType="begin"/>
        </w:r>
        <w:r>
          <w:instrText xml:space="preserve">PAGEREF 5633 \h</w:instrText>
        </w:r>
        <w:r>
          <w:fldChar w:fldCharType="end"/>
        </w:r>
      </w:hyperlink>
    </w:p>
    <w:p>
      <w:pPr>
        <w:tabs>
          <w:tab w:val="right" w:leader="dot" w:pos="9062"/>
        </w:tabs>
        <w:ind w:left="220"/>
      </w:pPr>
      <w:hyperlink w:anchor="_Toc5634" w:history="1">
        <w:r>
          <w:rPr>
            <w:rFonts w:ascii="IRNazanin" w:hAnsi="IRNazanin" w:eastAsia="IRNazanin" w:cs="IRNazanin"/>
            <w:color w:val="111111"/>
            <w:sz w:val="22"/>
            <w:szCs w:val="22"/>
            <w:b w:val="0"/>
            <w:bCs w:val="0"/>
            <w:i w:val="0"/>
            <w:iCs w:val="0"/>
          </w:rPr>
          <w:t>قديس سينائي ، انطاسبوس - 700 ؟ م</w:t>
        </w:r>
        <w:r>
          <w:tab/>
        </w:r>
        <w:r>
          <w:fldChar w:fldCharType="begin"/>
        </w:r>
        <w:r>
          <w:instrText xml:space="preserve">PAGEREF 5634 \h</w:instrText>
        </w:r>
        <w:r>
          <w:fldChar w:fldCharType="end"/>
        </w:r>
      </w:hyperlink>
    </w:p>
    <w:p>
      <w:pPr>
        <w:tabs>
          <w:tab w:val="right" w:leader="dot" w:pos="9062"/>
        </w:tabs>
        <w:ind w:left="220"/>
      </w:pPr>
      <w:hyperlink w:anchor="_Toc5635" w:history="1">
        <w:r>
          <w:rPr>
            <w:rFonts w:ascii="IRNazanin" w:hAnsi="IRNazanin" w:eastAsia="IRNazanin" w:cs="IRNazanin"/>
            <w:color w:val="111111"/>
            <w:sz w:val="22"/>
            <w:szCs w:val="22"/>
            <w:b w:val="0"/>
            <w:bCs w:val="0"/>
            <w:i w:val="0"/>
            <w:iCs w:val="0"/>
          </w:rPr>
          <w:t>قديمي، ابراهيم بن محمّد</w:t>
        </w:r>
        <w:r>
          <w:tab/>
        </w:r>
        <w:r>
          <w:fldChar w:fldCharType="begin"/>
        </w:r>
        <w:r>
          <w:instrText xml:space="preserve">PAGEREF 5635 \h</w:instrText>
        </w:r>
        <w:r>
          <w:fldChar w:fldCharType="end"/>
        </w:r>
      </w:hyperlink>
    </w:p>
    <w:p>
      <w:pPr>
        <w:tabs>
          <w:tab w:val="right" w:leader="dot" w:pos="9062"/>
        </w:tabs>
        <w:ind w:left="220"/>
      </w:pPr>
      <w:hyperlink w:anchor="_Toc5636" w:history="1">
        <w:r>
          <w:rPr>
            <w:rFonts w:ascii="IRNazanin" w:hAnsi="IRNazanin" w:eastAsia="IRNazanin" w:cs="IRNazanin"/>
            <w:color w:val="111111"/>
            <w:sz w:val="22"/>
            <w:szCs w:val="22"/>
            <w:b w:val="0"/>
            <w:bCs w:val="0"/>
            <w:i w:val="0"/>
            <w:iCs w:val="0"/>
          </w:rPr>
          <w:t>قراء شمني ، محمّد - 1180 ؟ ه-</w:t>
        </w:r>
        <w:r>
          <w:tab/>
        </w:r>
        <w:r>
          <w:fldChar w:fldCharType="begin"/>
        </w:r>
        <w:r>
          <w:instrText xml:space="preserve">PAGEREF 5636 \h</w:instrText>
        </w:r>
        <w:r>
          <w:fldChar w:fldCharType="end"/>
        </w:r>
      </w:hyperlink>
    </w:p>
    <w:p>
      <w:pPr>
        <w:tabs>
          <w:tab w:val="right" w:leader="dot" w:pos="9062"/>
        </w:tabs>
        <w:ind w:left="220"/>
      </w:pPr>
      <w:hyperlink w:anchor="_Toc5637" w:history="1">
        <w:r>
          <w:rPr>
            <w:rFonts w:ascii="IRNazanin" w:hAnsi="IRNazanin" w:eastAsia="IRNazanin" w:cs="IRNazanin"/>
            <w:color w:val="111111"/>
            <w:sz w:val="22"/>
            <w:szCs w:val="22"/>
            <w:b w:val="0"/>
            <w:bCs w:val="0"/>
            <w:i w:val="0"/>
            <w:iCs w:val="0"/>
          </w:rPr>
          <w:t>قراب اسحاق بن ابراهيم 352-429ه-</w:t>
        </w:r>
        <w:r>
          <w:tab/>
        </w:r>
        <w:r>
          <w:fldChar w:fldCharType="begin"/>
        </w:r>
        <w:r>
          <w:instrText xml:space="preserve">PAGEREF 5637 \h</w:instrText>
        </w:r>
        <w:r>
          <w:fldChar w:fldCharType="end"/>
        </w:r>
      </w:hyperlink>
    </w:p>
    <w:p>
      <w:pPr>
        <w:tabs>
          <w:tab w:val="right" w:leader="dot" w:pos="9062"/>
        </w:tabs>
        <w:ind w:left="220"/>
      </w:pPr>
      <w:hyperlink w:anchor="_Toc5638" w:history="1">
        <w:r>
          <w:rPr>
            <w:rFonts w:ascii="IRNazanin" w:hAnsi="IRNazanin" w:eastAsia="IRNazanin" w:cs="IRNazanin"/>
            <w:color w:val="111111"/>
            <w:sz w:val="22"/>
            <w:szCs w:val="22"/>
            <w:b w:val="0"/>
            <w:bCs w:val="0"/>
            <w:i w:val="0"/>
            <w:iCs w:val="0"/>
          </w:rPr>
          <w:t>قراباغي ، عبد الرحيم بن محمّد باقر، قرن</w:t>
        </w:r>
        <w:r>
          <w:tab/>
        </w:r>
        <w:r>
          <w:fldChar w:fldCharType="begin"/>
        </w:r>
        <w:r>
          <w:instrText xml:space="preserve">PAGEREF 5638 \h</w:instrText>
        </w:r>
        <w:r>
          <w:fldChar w:fldCharType="end"/>
        </w:r>
      </w:hyperlink>
    </w:p>
    <w:p>
      <w:pPr>
        <w:tabs>
          <w:tab w:val="right" w:leader="dot" w:pos="9062"/>
        </w:tabs>
        <w:ind w:left="220"/>
      </w:pPr>
      <w:hyperlink w:anchor="_Toc5639" w:history="1">
        <w:r>
          <w:rPr>
            <w:rFonts w:ascii="IRNazanin" w:hAnsi="IRNazanin" w:eastAsia="IRNazanin" w:cs="IRNazanin"/>
            <w:color w:val="111111"/>
            <w:sz w:val="22"/>
            <w:szCs w:val="22"/>
            <w:b w:val="0"/>
            <w:bCs w:val="0"/>
            <w:i w:val="0"/>
            <w:iCs w:val="0"/>
          </w:rPr>
          <w:t>قراباغي ، محمّد بن محمّد</w:t>
        </w:r>
        <w:r>
          <w:tab/>
        </w:r>
        <w:r>
          <w:fldChar w:fldCharType="begin"/>
        </w:r>
        <w:r>
          <w:instrText xml:space="preserve">PAGEREF 5639 \h</w:instrText>
        </w:r>
        <w:r>
          <w:fldChar w:fldCharType="end"/>
        </w:r>
      </w:hyperlink>
    </w:p>
    <w:p>
      <w:pPr>
        <w:tabs>
          <w:tab w:val="right" w:leader="dot" w:pos="9062"/>
        </w:tabs>
        <w:ind w:left="220"/>
      </w:pPr>
      <w:hyperlink w:anchor="_Toc5640" w:history="1">
        <w:r>
          <w:rPr>
            <w:rFonts w:ascii="IRNazanin" w:hAnsi="IRNazanin" w:eastAsia="IRNazanin" w:cs="IRNazanin"/>
            <w:color w:val="111111"/>
            <w:sz w:val="22"/>
            <w:szCs w:val="22"/>
            <w:b w:val="0"/>
            <w:bCs w:val="0"/>
            <w:i w:val="0"/>
            <w:iCs w:val="0"/>
          </w:rPr>
          <w:t>قرافي ، احمد بن ادريس، 626 - 684 ه-</w:t>
        </w:r>
        <w:r>
          <w:tab/>
        </w:r>
        <w:r>
          <w:fldChar w:fldCharType="begin"/>
        </w:r>
        <w:r>
          <w:instrText xml:space="preserve">PAGEREF 5640 \h</w:instrText>
        </w:r>
        <w:r>
          <w:fldChar w:fldCharType="end"/>
        </w:r>
      </w:hyperlink>
    </w:p>
    <w:p>
      <w:pPr>
        <w:tabs>
          <w:tab w:val="right" w:leader="dot" w:pos="9062"/>
        </w:tabs>
        <w:ind w:left="220"/>
      </w:pPr>
      <w:hyperlink w:anchor="_Toc5641" w:history="1">
        <w:r>
          <w:rPr>
            <w:rFonts w:ascii="IRNazanin" w:hAnsi="IRNazanin" w:eastAsia="IRNazanin" w:cs="IRNazanin"/>
            <w:color w:val="111111"/>
            <w:sz w:val="22"/>
            <w:szCs w:val="22"/>
            <w:b w:val="0"/>
            <w:bCs w:val="0"/>
            <w:i w:val="0"/>
            <w:iCs w:val="0"/>
          </w:rPr>
          <w:t>قرافي ، علي بن احمد قرن 10 ه-</w:t>
        </w:r>
        <w:r>
          <w:tab/>
        </w:r>
        <w:r>
          <w:fldChar w:fldCharType="begin"/>
        </w:r>
        <w:r>
          <w:instrText xml:space="preserve">PAGEREF 5641 \h</w:instrText>
        </w:r>
        <w:r>
          <w:fldChar w:fldCharType="end"/>
        </w:r>
      </w:hyperlink>
    </w:p>
    <w:p>
      <w:pPr>
        <w:tabs>
          <w:tab w:val="right" w:leader="dot" w:pos="9062"/>
        </w:tabs>
        <w:ind w:left="220"/>
      </w:pPr>
      <w:hyperlink w:anchor="_Toc5642" w:history="1">
        <w:r>
          <w:rPr>
            <w:rFonts w:ascii="IRNazanin" w:hAnsi="IRNazanin" w:eastAsia="IRNazanin" w:cs="IRNazanin"/>
            <w:color w:val="111111"/>
            <w:sz w:val="22"/>
            <w:szCs w:val="22"/>
            <w:b w:val="0"/>
            <w:bCs w:val="0"/>
            <w:i w:val="0"/>
            <w:iCs w:val="0"/>
          </w:rPr>
          <w:t>قرافي ، محمّد بن يحيى، 939 - 1008 ه-</w:t>
        </w:r>
        <w:r>
          <w:tab/>
        </w:r>
        <w:r>
          <w:fldChar w:fldCharType="begin"/>
        </w:r>
        <w:r>
          <w:instrText xml:space="preserve">PAGEREF 5642 \h</w:instrText>
        </w:r>
        <w:r>
          <w:fldChar w:fldCharType="end"/>
        </w:r>
      </w:hyperlink>
    </w:p>
    <w:p>
      <w:pPr>
        <w:tabs>
          <w:tab w:val="right" w:leader="dot" w:pos="9062"/>
        </w:tabs>
        <w:ind w:left="220"/>
      </w:pPr>
      <w:hyperlink w:anchor="_Toc5643" w:history="1">
        <w:r>
          <w:rPr>
            <w:rFonts w:ascii="IRNazanin" w:hAnsi="IRNazanin" w:eastAsia="IRNazanin" w:cs="IRNazanin"/>
            <w:color w:val="111111"/>
            <w:sz w:val="22"/>
            <w:szCs w:val="22"/>
            <w:b w:val="0"/>
            <w:bCs w:val="0"/>
            <w:i w:val="0"/>
            <w:iCs w:val="0"/>
          </w:rPr>
          <w:t>قرافي ، يحيى بن عبدالرحمن - 608 ه-</w:t>
        </w:r>
        <w:r>
          <w:tab/>
        </w:r>
        <w:r>
          <w:fldChar w:fldCharType="begin"/>
        </w:r>
        <w:r>
          <w:instrText xml:space="preserve">PAGEREF 5643 \h</w:instrText>
        </w:r>
        <w:r>
          <w:fldChar w:fldCharType="end"/>
        </w:r>
      </w:hyperlink>
    </w:p>
    <w:p>
      <w:pPr>
        <w:tabs>
          <w:tab w:val="right" w:leader="dot" w:pos="9062"/>
        </w:tabs>
        <w:ind w:left="220"/>
      </w:pPr>
      <w:hyperlink w:anchor="_Toc5644" w:history="1">
        <w:r>
          <w:rPr>
            <w:rFonts w:ascii="IRNazanin" w:hAnsi="IRNazanin" w:eastAsia="IRNazanin" w:cs="IRNazanin"/>
            <w:color w:val="111111"/>
            <w:sz w:val="22"/>
            <w:szCs w:val="22"/>
            <w:b w:val="0"/>
            <w:bCs w:val="0"/>
            <w:i w:val="0"/>
            <w:iCs w:val="0"/>
          </w:rPr>
          <w:t>قراماني ، ولي الدين محمّد بن مصطفى</w:t>
        </w:r>
        <w:r>
          <w:tab/>
        </w:r>
        <w:r>
          <w:fldChar w:fldCharType="begin"/>
        </w:r>
        <w:r>
          <w:instrText xml:space="preserve">PAGEREF 5644 \h</w:instrText>
        </w:r>
        <w:r>
          <w:fldChar w:fldCharType="end"/>
        </w:r>
      </w:hyperlink>
    </w:p>
    <w:p>
      <w:pPr>
        <w:tabs>
          <w:tab w:val="right" w:leader="dot" w:pos="9062"/>
        </w:tabs>
        <w:ind w:left="220"/>
      </w:pPr>
      <w:hyperlink w:anchor="_Toc5645" w:history="1">
        <w:r>
          <w:rPr>
            <w:rFonts w:ascii="IRNazanin" w:hAnsi="IRNazanin" w:eastAsia="IRNazanin" w:cs="IRNazanin"/>
            <w:color w:val="111111"/>
            <w:sz w:val="22"/>
            <w:szCs w:val="22"/>
            <w:b w:val="0"/>
            <w:bCs w:val="0"/>
            <w:i w:val="0"/>
            <w:iCs w:val="0"/>
          </w:rPr>
          <w:t>قراماني ، يعقوب بن ادريس - 833 ه-</w:t>
        </w:r>
        <w:r>
          <w:tab/>
        </w:r>
        <w:r>
          <w:fldChar w:fldCharType="begin"/>
        </w:r>
        <w:r>
          <w:instrText xml:space="preserve">PAGEREF 5645 \h</w:instrText>
        </w:r>
        <w:r>
          <w:fldChar w:fldCharType="end"/>
        </w:r>
      </w:hyperlink>
    </w:p>
    <w:p>
      <w:pPr>
        <w:tabs>
          <w:tab w:val="right" w:leader="dot" w:pos="9062"/>
        </w:tabs>
        <w:ind w:left="220"/>
      </w:pPr>
      <w:hyperlink w:anchor="_Toc5646" w:history="1">
        <w:r>
          <w:rPr>
            <w:rFonts w:ascii="IRNazanin" w:hAnsi="IRNazanin" w:eastAsia="IRNazanin" w:cs="IRNazanin"/>
            <w:color w:val="111111"/>
            <w:sz w:val="22"/>
            <w:szCs w:val="22"/>
            <w:b w:val="0"/>
            <w:bCs w:val="0"/>
            <w:i w:val="0"/>
            <w:iCs w:val="0"/>
          </w:rPr>
          <w:t>قرتبي ، شرف الدين بن عبد العليم قرن</w:t>
        </w:r>
        <w:r>
          <w:tab/>
        </w:r>
        <w:r>
          <w:fldChar w:fldCharType="begin"/>
        </w:r>
        <w:r>
          <w:instrText xml:space="preserve">PAGEREF 5646 \h</w:instrText>
        </w:r>
        <w:r>
          <w:fldChar w:fldCharType="end"/>
        </w:r>
      </w:hyperlink>
    </w:p>
    <w:p>
      <w:pPr>
        <w:tabs>
          <w:tab w:val="right" w:leader="dot" w:pos="9062"/>
        </w:tabs>
        <w:ind w:left="220"/>
      </w:pPr>
      <w:hyperlink w:anchor="_Toc5647" w:history="1">
        <w:r>
          <w:rPr>
            <w:rFonts w:ascii="IRNazanin" w:hAnsi="IRNazanin" w:eastAsia="IRNazanin" w:cs="IRNazanin"/>
            <w:color w:val="111111"/>
            <w:sz w:val="22"/>
            <w:szCs w:val="22"/>
            <w:b w:val="0"/>
            <w:bCs w:val="0"/>
            <w:i w:val="0"/>
            <w:iCs w:val="0"/>
          </w:rPr>
          <w:t>قرجه احمد - 854 ه-</w:t>
        </w:r>
        <w:r>
          <w:tab/>
        </w:r>
        <w:r>
          <w:fldChar w:fldCharType="begin"/>
        </w:r>
        <w:r>
          <w:instrText xml:space="preserve">PAGEREF 5647 \h</w:instrText>
        </w:r>
        <w:r>
          <w:fldChar w:fldCharType="end"/>
        </w:r>
      </w:hyperlink>
    </w:p>
    <w:p>
      <w:pPr>
        <w:tabs>
          <w:tab w:val="right" w:leader="dot" w:pos="9062"/>
        </w:tabs>
        <w:ind w:left="220"/>
      </w:pPr>
      <w:hyperlink w:anchor="_Toc5648" w:history="1">
        <w:r>
          <w:rPr>
            <w:rFonts w:ascii="IRNazanin" w:hAnsi="IRNazanin" w:eastAsia="IRNazanin" w:cs="IRNazanin"/>
            <w:color w:val="111111"/>
            <w:sz w:val="22"/>
            <w:szCs w:val="22"/>
            <w:b w:val="0"/>
            <w:bCs w:val="0"/>
            <w:i w:val="0"/>
            <w:iCs w:val="0"/>
          </w:rPr>
          <w:t>قرچه ،احمد احمد بن بايزيد 854 ه-</w:t>
        </w:r>
        <w:r>
          <w:tab/>
        </w:r>
        <w:r>
          <w:fldChar w:fldCharType="begin"/>
        </w:r>
        <w:r>
          <w:instrText xml:space="preserve">PAGEREF 5648 \h</w:instrText>
        </w:r>
        <w:r>
          <w:fldChar w:fldCharType="end"/>
        </w:r>
      </w:hyperlink>
    </w:p>
    <w:p>
      <w:pPr>
        <w:tabs>
          <w:tab w:val="right" w:leader="dot" w:pos="9062"/>
        </w:tabs>
        <w:ind w:left="220"/>
      </w:pPr>
      <w:hyperlink w:anchor="_Toc5649" w:history="1">
        <w:r>
          <w:rPr>
            <w:rFonts w:ascii="IRNazanin" w:hAnsi="IRNazanin" w:eastAsia="IRNazanin" w:cs="IRNazanin"/>
            <w:color w:val="111111"/>
            <w:sz w:val="22"/>
            <w:szCs w:val="22"/>
            <w:b w:val="0"/>
            <w:bCs w:val="0"/>
            <w:i w:val="0"/>
            <w:iCs w:val="0"/>
          </w:rPr>
          <w:t>قرشي ، ابو عبدالله</w:t>
        </w:r>
        <w:r>
          <w:tab/>
        </w:r>
        <w:r>
          <w:fldChar w:fldCharType="begin"/>
        </w:r>
        <w:r>
          <w:instrText xml:space="preserve">PAGEREF 5649 \h</w:instrText>
        </w:r>
        <w:r>
          <w:fldChar w:fldCharType="end"/>
        </w:r>
      </w:hyperlink>
    </w:p>
    <w:p>
      <w:pPr>
        <w:tabs>
          <w:tab w:val="right" w:leader="dot" w:pos="9062"/>
        </w:tabs>
        <w:ind w:left="220"/>
      </w:pPr>
      <w:hyperlink w:anchor="_Toc5650" w:history="1">
        <w:r>
          <w:rPr>
            <w:rFonts w:ascii="IRNazanin" w:hAnsi="IRNazanin" w:eastAsia="IRNazanin" w:cs="IRNazanin"/>
            <w:color w:val="111111"/>
            <w:sz w:val="22"/>
            <w:szCs w:val="22"/>
            <w:b w:val="0"/>
            <w:bCs w:val="0"/>
            <w:i w:val="0"/>
            <w:iCs w:val="0"/>
          </w:rPr>
          <w:t>قرشي ، جعفر بن حسن</w:t>
        </w:r>
        <w:r>
          <w:tab/>
        </w:r>
        <w:r>
          <w:fldChar w:fldCharType="begin"/>
        </w:r>
        <w:r>
          <w:instrText xml:space="preserve">PAGEREF 5650 \h</w:instrText>
        </w:r>
        <w:r>
          <w:fldChar w:fldCharType="end"/>
        </w:r>
      </w:hyperlink>
    </w:p>
    <w:p>
      <w:pPr>
        <w:tabs>
          <w:tab w:val="right" w:leader="dot" w:pos="9062"/>
        </w:tabs>
        <w:ind w:left="220"/>
      </w:pPr>
      <w:hyperlink w:anchor="_Toc5651" w:history="1">
        <w:r>
          <w:rPr>
            <w:rFonts w:ascii="IRNazanin" w:hAnsi="IRNazanin" w:eastAsia="IRNazanin" w:cs="IRNazanin"/>
            <w:color w:val="111111"/>
            <w:sz w:val="22"/>
            <w:szCs w:val="22"/>
            <w:b w:val="0"/>
            <w:bCs w:val="0"/>
            <w:i w:val="0"/>
            <w:iCs w:val="0"/>
          </w:rPr>
          <w:t>قرشي ساوجي، محمّد بن حسين قرن 11ه-</w:t>
        </w:r>
        <w:r>
          <w:tab/>
        </w:r>
        <w:r>
          <w:fldChar w:fldCharType="begin"/>
        </w:r>
        <w:r>
          <w:instrText xml:space="preserve">PAGEREF 5651 \h</w:instrText>
        </w:r>
        <w:r>
          <w:fldChar w:fldCharType="end"/>
        </w:r>
      </w:hyperlink>
    </w:p>
    <w:p>
      <w:pPr>
        <w:tabs>
          <w:tab w:val="right" w:leader="dot" w:pos="9062"/>
        </w:tabs>
        <w:ind w:left="220"/>
      </w:pPr>
      <w:hyperlink w:anchor="_Toc5652" w:history="1">
        <w:r>
          <w:rPr>
            <w:rFonts w:ascii="IRNazanin" w:hAnsi="IRNazanin" w:eastAsia="IRNazanin" w:cs="IRNazanin"/>
            <w:color w:val="111111"/>
            <w:sz w:val="22"/>
            <w:szCs w:val="22"/>
            <w:b w:val="0"/>
            <w:bCs w:val="0"/>
            <w:i w:val="0"/>
            <w:iCs w:val="0"/>
          </w:rPr>
          <w:t>قرشي ، عباس بن محمّد - 1299 ه-</w:t>
        </w:r>
        <w:r>
          <w:tab/>
        </w:r>
        <w:r>
          <w:fldChar w:fldCharType="begin"/>
        </w:r>
        <w:r>
          <w:instrText xml:space="preserve">PAGEREF 5652 \h</w:instrText>
        </w:r>
        <w:r>
          <w:fldChar w:fldCharType="end"/>
        </w:r>
      </w:hyperlink>
    </w:p>
    <w:p>
      <w:pPr>
        <w:tabs>
          <w:tab w:val="right" w:leader="dot" w:pos="9062"/>
        </w:tabs>
        <w:ind w:left="220"/>
      </w:pPr>
      <w:hyperlink w:anchor="_Toc5653" w:history="1">
        <w:r>
          <w:rPr>
            <w:rFonts w:ascii="IRNazanin" w:hAnsi="IRNazanin" w:eastAsia="IRNazanin" w:cs="IRNazanin"/>
            <w:color w:val="111111"/>
            <w:sz w:val="22"/>
            <w:szCs w:val="22"/>
            <w:b w:val="0"/>
            <w:bCs w:val="0"/>
            <w:i w:val="0"/>
            <w:iCs w:val="0"/>
          </w:rPr>
          <w:t>قرشي ، عبد الرحمن بن علي</w:t>
        </w:r>
        <w:r>
          <w:tab/>
        </w:r>
        <w:r>
          <w:fldChar w:fldCharType="begin"/>
        </w:r>
        <w:r>
          <w:instrText xml:space="preserve">PAGEREF 5653 \h</w:instrText>
        </w:r>
        <w:r>
          <w:fldChar w:fldCharType="end"/>
        </w:r>
      </w:hyperlink>
    </w:p>
    <w:p>
      <w:pPr>
        <w:tabs>
          <w:tab w:val="right" w:leader="dot" w:pos="9062"/>
        </w:tabs>
        <w:ind w:left="220"/>
      </w:pPr>
      <w:hyperlink w:anchor="_Toc5654" w:history="1">
        <w:r>
          <w:rPr>
            <w:rFonts w:ascii="IRNazanin" w:hAnsi="IRNazanin" w:eastAsia="IRNazanin" w:cs="IRNazanin"/>
            <w:color w:val="111111"/>
            <w:sz w:val="22"/>
            <w:szCs w:val="22"/>
            <w:b w:val="0"/>
            <w:bCs w:val="0"/>
            <w:i w:val="0"/>
            <w:iCs w:val="0"/>
          </w:rPr>
          <w:t>قرشي ، عبدالرحمن بن يحيى</w:t>
        </w:r>
        <w:r>
          <w:tab/>
        </w:r>
        <w:r>
          <w:fldChar w:fldCharType="begin"/>
        </w:r>
        <w:r>
          <w:instrText xml:space="preserve">PAGEREF 5654 \h</w:instrText>
        </w:r>
        <w:r>
          <w:fldChar w:fldCharType="end"/>
        </w:r>
      </w:hyperlink>
    </w:p>
    <w:p>
      <w:pPr>
        <w:tabs>
          <w:tab w:val="right" w:leader="dot" w:pos="9062"/>
        </w:tabs>
        <w:ind w:left="220"/>
      </w:pPr>
      <w:hyperlink w:anchor="_Toc5655" w:history="1">
        <w:r>
          <w:rPr>
            <w:rFonts w:ascii="IRNazanin" w:hAnsi="IRNazanin" w:eastAsia="IRNazanin" w:cs="IRNazanin"/>
            <w:color w:val="111111"/>
            <w:sz w:val="22"/>
            <w:szCs w:val="22"/>
            <w:b w:val="0"/>
            <w:bCs w:val="0"/>
            <w:i w:val="0"/>
            <w:iCs w:val="0"/>
          </w:rPr>
          <w:t>قرشي ، عمر بن عبد المجيد قرن 6 ه-</w:t>
        </w:r>
        <w:r>
          <w:tab/>
        </w:r>
        <w:r>
          <w:fldChar w:fldCharType="begin"/>
        </w:r>
        <w:r>
          <w:instrText xml:space="preserve">PAGEREF 5655 \h</w:instrText>
        </w:r>
        <w:r>
          <w:fldChar w:fldCharType="end"/>
        </w:r>
      </w:hyperlink>
    </w:p>
    <w:p>
      <w:pPr>
        <w:tabs>
          <w:tab w:val="right" w:leader="dot" w:pos="9062"/>
        </w:tabs>
        <w:ind w:left="220"/>
      </w:pPr>
      <w:hyperlink w:anchor="_Toc5656" w:history="1">
        <w:r>
          <w:rPr>
            <w:rFonts w:ascii="IRNazanin" w:hAnsi="IRNazanin" w:eastAsia="IRNazanin" w:cs="IRNazanin"/>
            <w:color w:val="111111"/>
            <w:sz w:val="22"/>
            <w:szCs w:val="22"/>
            <w:b w:val="0"/>
            <w:bCs w:val="0"/>
            <w:i w:val="0"/>
            <w:iCs w:val="0"/>
          </w:rPr>
          <w:t>قرشي، محمّد بن ابي الخطاب - 170 ه-</w:t>
        </w:r>
        <w:r>
          <w:tab/>
        </w:r>
        <w:r>
          <w:fldChar w:fldCharType="begin"/>
        </w:r>
        <w:r>
          <w:instrText xml:space="preserve">PAGEREF 5656 \h</w:instrText>
        </w:r>
        <w:r>
          <w:fldChar w:fldCharType="end"/>
        </w:r>
      </w:hyperlink>
    </w:p>
    <w:p>
      <w:pPr>
        <w:tabs>
          <w:tab w:val="right" w:leader="dot" w:pos="9062"/>
        </w:tabs>
        <w:ind w:left="220"/>
      </w:pPr>
      <w:hyperlink w:anchor="_Toc5657" w:history="1">
        <w:r>
          <w:rPr>
            <w:rFonts w:ascii="IRNazanin" w:hAnsi="IRNazanin" w:eastAsia="IRNazanin" w:cs="IRNazanin"/>
            <w:color w:val="111111"/>
            <w:sz w:val="22"/>
            <w:szCs w:val="22"/>
            <w:b w:val="0"/>
            <w:bCs w:val="0"/>
            <w:i w:val="0"/>
            <w:iCs w:val="0"/>
          </w:rPr>
          <w:t>قرشي، محمّد صالح بن حسن قرن 12ه-</w:t>
        </w:r>
        <w:r>
          <w:tab/>
        </w:r>
        <w:r>
          <w:fldChar w:fldCharType="begin"/>
        </w:r>
        <w:r>
          <w:instrText xml:space="preserve">PAGEREF 5657 \h</w:instrText>
        </w:r>
        <w:r>
          <w:fldChar w:fldCharType="end"/>
        </w:r>
      </w:hyperlink>
    </w:p>
    <w:p>
      <w:pPr>
        <w:tabs>
          <w:tab w:val="right" w:leader="dot" w:pos="9062"/>
        </w:tabs>
        <w:ind w:left="220"/>
      </w:pPr>
      <w:hyperlink w:anchor="_Toc5658" w:history="1">
        <w:r>
          <w:rPr>
            <w:rFonts w:ascii="IRNazanin" w:hAnsi="IRNazanin" w:eastAsia="IRNazanin" w:cs="IRNazanin"/>
            <w:color w:val="111111"/>
            <w:sz w:val="22"/>
            <w:szCs w:val="22"/>
            <w:b w:val="0"/>
            <w:bCs w:val="0"/>
            <w:i w:val="0"/>
            <w:iCs w:val="0"/>
          </w:rPr>
          <w:t>قرشي مرجاني ، عبدالرحمن بن محمّد ،</w:t>
        </w:r>
        <w:r>
          <w:tab/>
        </w:r>
        <w:r>
          <w:fldChar w:fldCharType="begin"/>
        </w:r>
        <w:r>
          <w:instrText xml:space="preserve">PAGEREF 5658 \h</w:instrText>
        </w:r>
        <w:r>
          <w:fldChar w:fldCharType="end"/>
        </w:r>
      </w:hyperlink>
    </w:p>
    <w:p>
      <w:pPr>
        <w:tabs>
          <w:tab w:val="right" w:leader="dot" w:pos="9062"/>
        </w:tabs>
        <w:ind w:left="220"/>
      </w:pPr>
      <w:hyperlink w:anchor="_Toc5659" w:history="1">
        <w:r>
          <w:rPr>
            <w:rFonts w:ascii="IRNazanin" w:hAnsi="IRNazanin" w:eastAsia="IRNazanin" w:cs="IRNazanin"/>
            <w:color w:val="111111"/>
            <w:sz w:val="22"/>
            <w:szCs w:val="22"/>
            <w:b w:val="0"/>
            <w:bCs w:val="0"/>
            <w:i w:val="0"/>
            <w:iCs w:val="0"/>
          </w:rPr>
          <w:t>قرطبي ، احمد بن علي - 640؟ ه-</w:t>
        </w:r>
        <w:r>
          <w:tab/>
        </w:r>
        <w:r>
          <w:fldChar w:fldCharType="begin"/>
        </w:r>
        <w:r>
          <w:instrText xml:space="preserve">PAGEREF 5659 \h</w:instrText>
        </w:r>
        <w:r>
          <w:fldChar w:fldCharType="end"/>
        </w:r>
      </w:hyperlink>
    </w:p>
    <w:p>
      <w:pPr>
        <w:tabs>
          <w:tab w:val="right" w:leader="dot" w:pos="9062"/>
        </w:tabs>
        <w:ind w:left="220"/>
      </w:pPr>
      <w:hyperlink w:anchor="_Toc5660" w:history="1">
        <w:r>
          <w:rPr>
            <w:rFonts w:ascii="IRNazanin" w:hAnsi="IRNazanin" w:eastAsia="IRNazanin" w:cs="IRNazanin"/>
            <w:color w:val="111111"/>
            <w:sz w:val="22"/>
            <w:szCs w:val="22"/>
            <w:b w:val="0"/>
            <w:bCs w:val="0"/>
            <w:i w:val="0"/>
            <w:iCs w:val="0"/>
          </w:rPr>
          <w:t>قرطبي ، احمد بن عمر 578 - 656 ه-</w:t>
        </w:r>
        <w:r>
          <w:tab/>
        </w:r>
        <w:r>
          <w:fldChar w:fldCharType="begin"/>
        </w:r>
        <w:r>
          <w:instrText xml:space="preserve">PAGEREF 5660 \h</w:instrText>
        </w:r>
        <w:r>
          <w:fldChar w:fldCharType="end"/>
        </w:r>
      </w:hyperlink>
    </w:p>
    <w:p>
      <w:pPr>
        <w:tabs>
          <w:tab w:val="right" w:leader="dot" w:pos="9062"/>
        </w:tabs>
        <w:ind w:left="220"/>
      </w:pPr>
      <w:hyperlink w:anchor="_Toc5661" w:history="1">
        <w:r>
          <w:rPr>
            <w:rFonts w:ascii="IRNazanin" w:hAnsi="IRNazanin" w:eastAsia="IRNazanin" w:cs="IRNazanin"/>
            <w:color w:val="111111"/>
            <w:sz w:val="22"/>
            <w:szCs w:val="22"/>
            <w:b w:val="0"/>
            <w:bCs w:val="0"/>
            <w:i w:val="0"/>
            <w:iCs w:val="0"/>
          </w:rPr>
          <w:t>قرطبي خلف بن عبد الملك ، 494-578ه-</w:t>
        </w:r>
        <w:r>
          <w:tab/>
        </w:r>
        <w:r>
          <w:fldChar w:fldCharType="begin"/>
        </w:r>
        <w:r>
          <w:instrText xml:space="preserve">PAGEREF 5661 \h</w:instrText>
        </w:r>
        <w:r>
          <w:fldChar w:fldCharType="end"/>
        </w:r>
      </w:hyperlink>
    </w:p>
    <w:p>
      <w:pPr>
        <w:tabs>
          <w:tab w:val="right" w:leader="dot" w:pos="9062"/>
        </w:tabs>
        <w:ind w:left="220"/>
      </w:pPr>
      <w:hyperlink w:anchor="_Toc5662" w:history="1">
        <w:r>
          <w:rPr>
            <w:rFonts w:ascii="IRNazanin" w:hAnsi="IRNazanin" w:eastAsia="IRNazanin" w:cs="IRNazanin"/>
            <w:color w:val="111111"/>
            <w:sz w:val="22"/>
            <w:szCs w:val="22"/>
            <w:b w:val="0"/>
            <w:bCs w:val="0"/>
            <w:i w:val="0"/>
            <w:iCs w:val="0"/>
          </w:rPr>
          <w:t>قرطبي ، محمّد بن احمد - 671 ه-</w:t>
        </w:r>
        <w:r>
          <w:tab/>
        </w:r>
        <w:r>
          <w:fldChar w:fldCharType="begin"/>
        </w:r>
        <w:r>
          <w:instrText xml:space="preserve">PAGEREF 5662 \h</w:instrText>
        </w:r>
        <w:r>
          <w:fldChar w:fldCharType="end"/>
        </w:r>
      </w:hyperlink>
    </w:p>
    <w:p>
      <w:pPr>
        <w:tabs>
          <w:tab w:val="right" w:leader="dot" w:pos="9062"/>
        </w:tabs>
        <w:ind w:left="220"/>
      </w:pPr>
      <w:hyperlink w:anchor="_Toc5663" w:history="1">
        <w:r>
          <w:rPr>
            <w:rFonts w:ascii="IRNazanin" w:hAnsi="IRNazanin" w:eastAsia="IRNazanin" w:cs="IRNazanin"/>
            <w:color w:val="111111"/>
            <w:sz w:val="22"/>
            <w:szCs w:val="22"/>
            <w:b w:val="0"/>
            <w:bCs w:val="0"/>
            <w:i w:val="0"/>
            <w:iCs w:val="0"/>
          </w:rPr>
          <w:t>قرطبي موسى بن میمون 529-601 ه-</w:t>
        </w:r>
        <w:r>
          <w:tab/>
        </w:r>
        <w:r>
          <w:fldChar w:fldCharType="begin"/>
        </w:r>
        <w:r>
          <w:instrText xml:space="preserve">PAGEREF 5663 \h</w:instrText>
        </w:r>
        <w:r>
          <w:fldChar w:fldCharType="end"/>
        </w:r>
      </w:hyperlink>
    </w:p>
    <w:p>
      <w:pPr>
        <w:tabs>
          <w:tab w:val="right" w:leader="dot" w:pos="9062"/>
        </w:tabs>
        <w:ind w:left="220"/>
      </w:pPr>
      <w:hyperlink w:anchor="_Toc5664" w:history="1">
        <w:r>
          <w:rPr>
            <w:rFonts w:ascii="IRNazanin" w:hAnsi="IRNazanin" w:eastAsia="IRNazanin" w:cs="IRNazanin"/>
            <w:color w:val="111111"/>
            <w:sz w:val="22"/>
            <w:szCs w:val="22"/>
            <w:b w:val="0"/>
            <w:bCs w:val="0"/>
            <w:i w:val="0"/>
            <w:iCs w:val="0"/>
          </w:rPr>
          <w:t>قرطبي ، يحيى</w:t>
        </w:r>
        <w:r>
          <w:tab/>
        </w:r>
        <w:r>
          <w:fldChar w:fldCharType="begin"/>
        </w:r>
        <w:r>
          <w:instrText xml:space="preserve">PAGEREF 5664 \h</w:instrText>
        </w:r>
        <w:r>
          <w:fldChar w:fldCharType="end"/>
        </w:r>
      </w:hyperlink>
    </w:p>
    <w:p>
      <w:pPr>
        <w:tabs>
          <w:tab w:val="right" w:leader="dot" w:pos="9062"/>
        </w:tabs>
        <w:ind w:left="220"/>
      </w:pPr>
      <w:hyperlink w:anchor="_Toc5665" w:history="1">
        <w:r>
          <w:rPr>
            <w:rFonts w:ascii="IRNazanin" w:hAnsi="IRNazanin" w:eastAsia="IRNazanin" w:cs="IRNazanin"/>
            <w:color w:val="111111"/>
            <w:sz w:val="22"/>
            <w:szCs w:val="22"/>
            <w:b w:val="0"/>
            <w:bCs w:val="0"/>
            <w:i w:val="0"/>
            <w:iCs w:val="0"/>
          </w:rPr>
          <w:t>قرق اغاجي، سليمان بن سليمان</w:t>
        </w:r>
        <w:r>
          <w:tab/>
        </w:r>
        <w:r>
          <w:fldChar w:fldCharType="begin"/>
        </w:r>
        <w:r>
          <w:instrText xml:space="preserve">PAGEREF 5665 \h</w:instrText>
        </w:r>
        <w:r>
          <w:fldChar w:fldCharType="end"/>
        </w:r>
      </w:hyperlink>
    </w:p>
    <w:p>
      <w:pPr>
        <w:tabs>
          <w:tab w:val="right" w:leader="dot" w:pos="9062"/>
        </w:tabs>
        <w:ind w:left="220"/>
      </w:pPr>
      <w:hyperlink w:anchor="_Toc5666" w:history="1">
        <w:r>
          <w:rPr>
            <w:rFonts w:ascii="IRNazanin" w:hAnsi="IRNazanin" w:eastAsia="IRNazanin" w:cs="IRNazanin"/>
            <w:color w:val="111111"/>
            <w:sz w:val="22"/>
            <w:szCs w:val="22"/>
            <w:b w:val="0"/>
            <w:bCs w:val="0"/>
            <w:i w:val="0"/>
            <w:iCs w:val="0"/>
          </w:rPr>
          <w:t>قرماني ابراهيم بن عبد الرحمن قرن 11ه-</w:t>
        </w:r>
        <w:r>
          <w:tab/>
        </w:r>
        <w:r>
          <w:fldChar w:fldCharType="begin"/>
        </w:r>
        <w:r>
          <w:instrText xml:space="preserve">PAGEREF 5666 \h</w:instrText>
        </w:r>
        <w:r>
          <w:fldChar w:fldCharType="end"/>
        </w:r>
      </w:hyperlink>
    </w:p>
    <w:p>
      <w:pPr>
        <w:tabs>
          <w:tab w:val="right" w:leader="dot" w:pos="9062"/>
        </w:tabs>
        <w:ind w:left="220"/>
      </w:pPr>
      <w:hyperlink w:anchor="_Toc5667" w:history="1">
        <w:r>
          <w:rPr>
            <w:rFonts w:ascii="IRNazanin" w:hAnsi="IRNazanin" w:eastAsia="IRNazanin" w:cs="IRNazanin"/>
            <w:color w:val="111111"/>
            <w:sz w:val="22"/>
            <w:szCs w:val="22"/>
            <w:b w:val="0"/>
            <w:bCs w:val="0"/>
            <w:i w:val="0"/>
            <w:iCs w:val="0"/>
          </w:rPr>
          <w:t>قرماني ، احمد بن حسن - 1190 ه-</w:t>
        </w:r>
        <w:r>
          <w:tab/>
        </w:r>
        <w:r>
          <w:fldChar w:fldCharType="begin"/>
        </w:r>
        <w:r>
          <w:instrText xml:space="preserve">PAGEREF 5667 \h</w:instrText>
        </w:r>
        <w:r>
          <w:fldChar w:fldCharType="end"/>
        </w:r>
      </w:hyperlink>
    </w:p>
    <w:p>
      <w:pPr>
        <w:tabs>
          <w:tab w:val="right" w:leader="dot" w:pos="9062"/>
        </w:tabs>
        <w:ind w:left="220"/>
      </w:pPr>
      <w:hyperlink w:anchor="_Toc5668" w:history="1">
        <w:r>
          <w:rPr>
            <w:rFonts w:ascii="IRNazanin" w:hAnsi="IRNazanin" w:eastAsia="IRNazanin" w:cs="IRNazanin"/>
            <w:color w:val="111111"/>
            <w:sz w:val="22"/>
            <w:szCs w:val="22"/>
            <w:b w:val="0"/>
            <w:bCs w:val="0"/>
            <w:i w:val="0"/>
            <w:iCs w:val="0"/>
          </w:rPr>
          <w:t>قرماني ، احمد بن يوسف، 939-1019ه-</w:t>
        </w:r>
        <w:r>
          <w:tab/>
        </w:r>
        <w:r>
          <w:fldChar w:fldCharType="begin"/>
        </w:r>
        <w:r>
          <w:instrText xml:space="preserve">PAGEREF 5668 \h</w:instrText>
        </w:r>
        <w:r>
          <w:fldChar w:fldCharType="end"/>
        </w:r>
      </w:hyperlink>
    </w:p>
    <w:p>
      <w:pPr>
        <w:tabs>
          <w:tab w:val="right" w:leader="dot" w:pos="9062"/>
        </w:tabs>
        <w:ind w:left="220"/>
      </w:pPr>
      <w:hyperlink w:anchor="_Toc5669" w:history="1">
        <w:r>
          <w:rPr>
            <w:rFonts w:ascii="IRNazanin" w:hAnsi="IRNazanin" w:eastAsia="IRNazanin" w:cs="IRNazanin"/>
            <w:color w:val="111111"/>
            <w:sz w:val="22"/>
            <w:szCs w:val="22"/>
            <w:b w:val="0"/>
            <w:bCs w:val="0"/>
            <w:i w:val="0"/>
            <w:iCs w:val="0"/>
          </w:rPr>
          <w:t>قرماني ، جمال الدین اسحاق، - 930 ه-</w:t>
        </w:r>
        <w:r>
          <w:tab/>
        </w:r>
        <w:r>
          <w:fldChar w:fldCharType="begin"/>
        </w:r>
        <w:r>
          <w:instrText xml:space="preserve">PAGEREF 5669 \h</w:instrText>
        </w:r>
        <w:r>
          <w:fldChar w:fldCharType="end"/>
        </w:r>
      </w:hyperlink>
    </w:p>
    <w:p>
      <w:pPr>
        <w:tabs>
          <w:tab w:val="right" w:leader="dot" w:pos="9062"/>
        </w:tabs>
        <w:ind w:left="220"/>
      </w:pPr>
      <w:hyperlink w:anchor="_Toc5670" w:history="1">
        <w:r>
          <w:rPr>
            <w:rFonts w:ascii="IRNazanin" w:hAnsi="IRNazanin" w:eastAsia="IRNazanin" w:cs="IRNazanin"/>
            <w:color w:val="111111"/>
            <w:sz w:val="22"/>
            <w:szCs w:val="22"/>
            <w:b w:val="0"/>
            <w:bCs w:val="0"/>
            <w:i w:val="0"/>
            <w:iCs w:val="0"/>
          </w:rPr>
          <w:t>قرماني ، حمزة بن محمود - 871 ه-</w:t>
        </w:r>
        <w:r>
          <w:tab/>
        </w:r>
        <w:r>
          <w:fldChar w:fldCharType="begin"/>
        </w:r>
        <w:r>
          <w:instrText xml:space="preserve">PAGEREF 5670 \h</w:instrText>
        </w:r>
        <w:r>
          <w:fldChar w:fldCharType="end"/>
        </w:r>
      </w:hyperlink>
    </w:p>
    <w:p>
      <w:pPr>
        <w:tabs>
          <w:tab w:val="right" w:leader="dot" w:pos="9062"/>
        </w:tabs>
        <w:ind w:left="220"/>
      </w:pPr>
      <w:hyperlink w:anchor="_Toc5671" w:history="1">
        <w:r>
          <w:rPr>
            <w:rFonts w:ascii="IRNazanin" w:hAnsi="IRNazanin" w:eastAsia="IRNazanin" w:cs="IRNazanin"/>
            <w:color w:val="111111"/>
            <w:sz w:val="22"/>
            <w:szCs w:val="22"/>
            <w:b w:val="0"/>
            <w:bCs w:val="0"/>
            <w:i w:val="0"/>
            <w:iCs w:val="0"/>
          </w:rPr>
          <w:t>قرماني ، عبدالرحمن</w:t>
        </w:r>
        <w:r>
          <w:tab/>
        </w:r>
        <w:r>
          <w:fldChar w:fldCharType="begin"/>
        </w:r>
        <w:r>
          <w:instrText xml:space="preserve">PAGEREF 5671 \h</w:instrText>
        </w:r>
        <w:r>
          <w:fldChar w:fldCharType="end"/>
        </w:r>
      </w:hyperlink>
    </w:p>
    <w:p>
      <w:pPr>
        <w:tabs>
          <w:tab w:val="right" w:leader="dot" w:pos="9062"/>
        </w:tabs>
        <w:ind w:left="220"/>
      </w:pPr>
      <w:hyperlink w:anchor="_Toc5672" w:history="1">
        <w:r>
          <w:rPr>
            <w:rFonts w:ascii="IRNazanin" w:hAnsi="IRNazanin" w:eastAsia="IRNazanin" w:cs="IRNazanin"/>
            <w:color w:val="111111"/>
            <w:sz w:val="22"/>
            <w:szCs w:val="22"/>
            <w:b w:val="0"/>
            <w:bCs w:val="0"/>
            <w:i w:val="0"/>
            <w:iCs w:val="0"/>
          </w:rPr>
          <w:t>قرماني ، علي بن محمّد</w:t>
        </w:r>
        <w:r>
          <w:tab/>
        </w:r>
        <w:r>
          <w:fldChar w:fldCharType="begin"/>
        </w:r>
        <w:r>
          <w:instrText xml:space="preserve">PAGEREF 5672 \h</w:instrText>
        </w:r>
        <w:r>
          <w:fldChar w:fldCharType="end"/>
        </w:r>
      </w:hyperlink>
    </w:p>
    <w:p>
      <w:pPr>
        <w:tabs>
          <w:tab w:val="right" w:leader="dot" w:pos="9062"/>
        </w:tabs>
        <w:ind w:left="220"/>
      </w:pPr>
      <w:hyperlink w:anchor="_Toc5673" w:history="1">
        <w:r>
          <w:rPr>
            <w:rFonts w:ascii="IRNazanin" w:hAnsi="IRNazanin" w:eastAsia="IRNazanin" w:cs="IRNazanin"/>
            <w:color w:val="111111"/>
            <w:sz w:val="22"/>
            <w:szCs w:val="22"/>
            <w:b w:val="0"/>
            <w:bCs w:val="0"/>
            <w:i w:val="0"/>
            <w:iCs w:val="0"/>
          </w:rPr>
          <w:t>قرماني كمال الدين اسماعيل - 920ه-</w:t>
        </w:r>
        <w:r>
          <w:tab/>
        </w:r>
        <w:r>
          <w:fldChar w:fldCharType="begin"/>
        </w:r>
        <w:r>
          <w:instrText xml:space="preserve">PAGEREF 5673 \h</w:instrText>
        </w:r>
        <w:r>
          <w:fldChar w:fldCharType="end"/>
        </w:r>
      </w:hyperlink>
    </w:p>
    <w:p>
      <w:pPr>
        <w:tabs>
          <w:tab w:val="right" w:leader="dot" w:pos="9062"/>
        </w:tabs>
        <w:ind w:left="220"/>
      </w:pPr>
      <w:hyperlink w:anchor="_Toc5674" w:history="1">
        <w:r>
          <w:rPr>
            <w:rFonts w:ascii="IRNazanin" w:hAnsi="IRNazanin" w:eastAsia="IRNazanin" w:cs="IRNazanin"/>
            <w:color w:val="111111"/>
            <w:sz w:val="22"/>
            <w:szCs w:val="22"/>
            <w:b w:val="0"/>
            <w:bCs w:val="0"/>
            <w:i w:val="0"/>
            <w:iCs w:val="0"/>
          </w:rPr>
          <w:t>قرماني، مصطفى بن زكريا - 809 ه-</w:t>
        </w:r>
        <w:r>
          <w:tab/>
        </w:r>
        <w:r>
          <w:fldChar w:fldCharType="begin"/>
        </w:r>
        <w:r>
          <w:instrText xml:space="preserve">PAGEREF 5674 \h</w:instrText>
        </w:r>
        <w:r>
          <w:fldChar w:fldCharType="end"/>
        </w:r>
      </w:hyperlink>
    </w:p>
    <w:p>
      <w:pPr>
        <w:tabs>
          <w:tab w:val="right" w:leader="dot" w:pos="9062"/>
        </w:tabs>
        <w:ind w:left="220"/>
      </w:pPr>
      <w:hyperlink w:anchor="_Toc5675" w:history="1">
        <w:r>
          <w:rPr>
            <w:rFonts w:ascii="IRNazanin" w:hAnsi="IRNazanin" w:eastAsia="IRNazanin" w:cs="IRNazanin"/>
            <w:color w:val="111111"/>
            <w:sz w:val="22"/>
            <w:szCs w:val="22"/>
            <w:b w:val="0"/>
            <w:bCs w:val="0"/>
            <w:i w:val="0"/>
            <w:iCs w:val="0"/>
          </w:rPr>
          <w:t>قره باغي</w:t>
        </w:r>
        <w:r>
          <w:tab/>
        </w:r>
        <w:r>
          <w:fldChar w:fldCharType="begin"/>
        </w:r>
        <w:r>
          <w:instrText xml:space="preserve">PAGEREF 5675 \h</w:instrText>
        </w:r>
        <w:r>
          <w:fldChar w:fldCharType="end"/>
        </w:r>
      </w:hyperlink>
    </w:p>
    <w:p>
      <w:pPr>
        <w:tabs>
          <w:tab w:val="right" w:leader="dot" w:pos="9062"/>
        </w:tabs>
        <w:ind w:left="220"/>
      </w:pPr>
      <w:hyperlink w:anchor="_Toc5676" w:history="1">
        <w:r>
          <w:rPr>
            <w:rFonts w:ascii="IRNazanin" w:hAnsi="IRNazanin" w:eastAsia="IRNazanin" w:cs="IRNazanin"/>
            <w:color w:val="111111"/>
            <w:sz w:val="22"/>
            <w:szCs w:val="22"/>
            <w:b w:val="0"/>
            <w:bCs w:val="0"/>
            <w:i w:val="0"/>
            <w:iCs w:val="0"/>
          </w:rPr>
          <w:t>قره باغي ، ابوالفتح، قرن 12 ه-</w:t>
        </w:r>
        <w:r>
          <w:tab/>
        </w:r>
        <w:r>
          <w:fldChar w:fldCharType="begin"/>
        </w:r>
        <w:r>
          <w:instrText xml:space="preserve">PAGEREF 5676 \h</w:instrText>
        </w:r>
        <w:r>
          <w:fldChar w:fldCharType="end"/>
        </w:r>
      </w:hyperlink>
    </w:p>
    <w:p>
      <w:pPr>
        <w:tabs>
          <w:tab w:val="right" w:leader="dot" w:pos="9062"/>
        </w:tabs>
        <w:ind w:left="220"/>
      </w:pPr>
      <w:hyperlink w:anchor="_Toc5677" w:history="1">
        <w:r>
          <w:rPr>
            <w:rFonts w:ascii="IRNazanin" w:hAnsi="IRNazanin" w:eastAsia="IRNazanin" w:cs="IRNazanin"/>
            <w:color w:val="111111"/>
            <w:sz w:val="22"/>
            <w:szCs w:val="22"/>
            <w:b w:val="0"/>
            <w:bCs w:val="0"/>
            <w:i w:val="0"/>
            <w:iCs w:val="0"/>
          </w:rPr>
          <w:t>قره باغي ، محمّد بن علي، - 942 ه-</w:t>
        </w:r>
        <w:r>
          <w:tab/>
        </w:r>
        <w:r>
          <w:fldChar w:fldCharType="begin"/>
        </w:r>
        <w:r>
          <w:instrText xml:space="preserve">PAGEREF 5677 \h</w:instrText>
        </w:r>
        <w:r>
          <w:fldChar w:fldCharType="end"/>
        </w:r>
      </w:hyperlink>
    </w:p>
    <w:p>
      <w:pPr>
        <w:tabs>
          <w:tab w:val="right" w:leader="dot" w:pos="9062"/>
        </w:tabs>
        <w:ind w:left="220"/>
      </w:pPr>
      <w:hyperlink w:anchor="_Toc5678" w:history="1">
        <w:r>
          <w:rPr>
            <w:rFonts w:ascii="IRNazanin" w:hAnsi="IRNazanin" w:eastAsia="IRNazanin" w:cs="IRNazanin"/>
            <w:color w:val="111111"/>
            <w:sz w:val="22"/>
            <w:szCs w:val="22"/>
            <w:b w:val="0"/>
            <w:bCs w:val="0"/>
            <w:i w:val="0"/>
            <w:iCs w:val="0"/>
          </w:rPr>
          <w:t>قره باغي نجفعلي بن فضلعلي، قرن 13ه-</w:t>
        </w:r>
        <w:r>
          <w:tab/>
        </w:r>
        <w:r>
          <w:fldChar w:fldCharType="begin"/>
        </w:r>
        <w:r>
          <w:instrText xml:space="preserve">PAGEREF 5678 \h</w:instrText>
        </w:r>
        <w:r>
          <w:fldChar w:fldCharType="end"/>
        </w:r>
      </w:hyperlink>
    </w:p>
    <w:p>
      <w:pPr>
        <w:tabs>
          <w:tab w:val="right" w:leader="dot" w:pos="9062"/>
        </w:tabs>
        <w:ind w:left="220"/>
      </w:pPr>
      <w:hyperlink w:anchor="_Toc5679" w:history="1">
        <w:r>
          <w:rPr>
            <w:rFonts w:ascii="IRNazanin" w:hAnsi="IRNazanin" w:eastAsia="IRNazanin" w:cs="IRNazanin"/>
            <w:color w:val="111111"/>
            <w:sz w:val="22"/>
            <w:szCs w:val="22"/>
            <w:b w:val="0"/>
            <w:bCs w:val="0"/>
            <w:i w:val="0"/>
            <w:iCs w:val="0"/>
          </w:rPr>
          <w:t>قره باغي ، يوسف بن محمّد جان</w:t>
        </w:r>
        <w:r>
          <w:tab/>
        </w:r>
        <w:r>
          <w:fldChar w:fldCharType="begin"/>
        </w:r>
        <w:r>
          <w:instrText xml:space="preserve">PAGEREF 5679 \h</w:instrText>
        </w:r>
        <w:r>
          <w:fldChar w:fldCharType="end"/>
        </w:r>
      </w:hyperlink>
    </w:p>
    <w:p>
      <w:pPr>
        <w:tabs>
          <w:tab w:val="right" w:leader="dot" w:pos="9062"/>
        </w:tabs>
        <w:ind w:left="220"/>
      </w:pPr>
      <w:hyperlink w:anchor="_Toc5680" w:history="1">
        <w:r>
          <w:rPr>
            <w:rFonts w:ascii="IRNazanin" w:hAnsi="IRNazanin" w:eastAsia="IRNazanin" w:cs="IRNazanin"/>
            <w:color w:val="111111"/>
            <w:sz w:val="22"/>
            <w:szCs w:val="22"/>
            <w:b w:val="0"/>
            <w:bCs w:val="0"/>
            <w:i w:val="0"/>
            <w:iCs w:val="0"/>
          </w:rPr>
          <w:t>قره پيري، محمّد بن يوسف - 890 ه-</w:t>
        </w:r>
        <w:r>
          <w:tab/>
        </w:r>
        <w:r>
          <w:fldChar w:fldCharType="begin"/>
        </w:r>
        <w:r>
          <w:instrText xml:space="preserve">PAGEREF 5680 \h</w:instrText>
        </w:r>
        <w:r>
          <w:fldChar w:fldCharType="end"/>
        </w:r>
      </w:hyperlink>
    </w:p>
    <w:p>
      <w:pPr>
        <w:tabs>
          <w:tab w:val="right" w:leader="dot" w:pos="9062"/>
        </w:tabs>
        <w:ind w:left="220"/>
      </w:pPr>
      <w:hyperlink w:anchor="_Toc5681" w:history="1">
        <w:r>
          <w:rPr>
            <w:rFonts w:ascii="IRNazanin" w:hAnsi="IRNazanin" w:eastAsia="IRNazanin" w:cs="IRNazanin"/>
            <w:color w:val="111111"/>
            <w:sz w:val="22"/>
            <w:szCs w:val="22"/>
            <w:b w:val="0"/>
            <w:bCs w:val="0"/>
            <w:i w:val="0"/>
            <w:iCs w:val="0"/>
          </w:rPr>
          <w:t>قره جه داغي ، محمّد باقر بن محمّد</w:t>
        </w:r>
        <w:r>
          <w:tab/>
        </w:r>
        <w:r>
          <w:fldChar w:fldCharType="begin"/>
        </w:r>
        <w:r>
          <w:instrText xml:space="preserve">PAGEREF 5681 \h</w:instrText>
        </w:r>
        <w:r>
          <w:fldChar w:fldCharType="end"/>
        </w:r>
      </w:hyperlink>
    </w:p>
    <w:p>
      <w:pPr>
        <w:tabs>
          <w:tab w:val="right" w:leader="dot" w:pos="9062"/>
        </w:tabs>
        <w:ind w:left="220"/>
      </w:pPr>
      <w:hyperlink w:anchor="_Toc5682" w:history="1">
        <w:r>
          <w:rPr>
            <w:rFonts w:ascii="IRNazanin" w:hAnsi="IRNazanin" w:eastAsia="IRNazanin" w:cs="IRNazanin"/>
            <w:color w:val="111111"/>
            <w:sz w:val="22"/>
            <w:szCs w:val="22"/>
            <w:b w:val="0"/>
            <w:bCs w:val="0"/>
            <w:i w:val="0"/>
            <w:iCs w:val="0"/>
          </w:rPr>
          <w:t>قره حصاري حمزة بن عبدالله -978ه-</w:t>
        </w:r>
        <w:r>
          <w:tab/>
        </w:r>
        <w:r>
          <w:fldChar w:fldCharType="begin"/>
        </w:r>
        <w:r>
          <w:instrText xml:space="preserve">PAGEREF 5682 \h</w:instrText>
        </w:r>
        <w:r>
          <w:fldChar w:fldCharType="end"/>
        </w:r>
      </w:hyperlink>
    </w:p>
    <w:p>
      <w:pPr>
        <w:tabs>
          <w:tab w:val="right" w:leader="dot" w:pos="9062"/>
        </w:tabs>
        <w:ind w:left="220"/>
      </w:pPr>
      <w:hyperlink w:anchor="_Toc5683" w:history="1">
        <w:r>
          <w:rPr>
            <w:rFonts w:ascii="IRNazanin" w:hAnsi="IRNazanin" w:eastAsia="IRNazanin" w:cs="IRNazanin"/>
            <w:color w:val="111111"/>
            <w:sz w:val="22"/>
            <w:szCs w:val="22"/>
            <w:b w:val="0"/>
            <w:bCs w:val="0"/>
            <w:i w:val="0"/>
            <w:iCs w:val="0"/>
          </w:rPr>
          <w:t>قره حصاري، محمّد بن نجيب - 950ه-</w:t>
        </w:r>
        <w:r>
          <w:tab/>
        </w:r>
        <w:r>
          <w:fldChar w:fldCharType="begin"/>
        </w:r>
        <w:r>
          <w:instrText xml:space="preserve">PAGEREF 5683 \h</w:instrText>
        </w:r>
        <w:r>
          <w:fldChar w:fldCharType="end"/>
        </w:r>
      </w:hyperlink>
    </w:p>
    <w:p>
      <w:pPr>
        <w:tabs>
          <w:tab w:val="right" w:leader="dot" w:pos="9062"/>
        </w:tabs>
        <w:ind w:left="220"/>
      </w:pPr>
      <w:hyperlink w:anchor="_Toc5684" w:history="1">
        <w:r>
          <w:rPr>
            <w:rFonts w:ascii="IRNazanin" w:hAnsi="IRNazanin" w:eastAsia="IRNazanin" w:cs="IRNazanin"/>
            <w:color w:val="111111"/>
            <w:sz w:val="22"/>
            <w:szCs w:val="22"/>
            <w:b w:val="0"/>
            <w:bCs w:val="0"/>
            <w:i w:val="0"/>
            <w:iCs w:val="0"/>
          </w:rPr>
          <w:t>قره حصاري ، محمود قرن 13 ه-</w:t>
        </w:r>
        <w:r>
          <w:tab/>
        </w:r>
        <w:r>
          <w:fldChar w:fldCharType="begin"/>
        </w:r>
        <w:r>
          <w:instrText xml:space="preserve">PAGEREF 5684 \h</w:instrText>
        </w:r>
        <w:r>
          <w:fldChar w:fldCharType="end"/>
        </w:r>
      </w:hyperlink>
    </w:p>
    <w:p>
      <w:pPr>
        <w:tabs>
          <w:tab w:val="right" w:leader="dot" w:pos="9062"/>
        </w:tabs>
        <w:ind w:left="220"/>
      </w:pPr>
      <w:hyperlink w:anchor="_Toc5685" w:history="1">
        <w:r>
          <w:rPr>
            <w:rFonts w:ascii="IRNazanin" w:hAnsi="IRNazanin" w:eastAsia="IRNazanin" w:cs="IRNazanin"/>
            <w:color w:val="111111"/>
            <w:sz w:val="22"/>
            <w:szCs w:val="22"/>
            <w:b w:val="0"/>
            <w:bCs w:val="0"/>
            <w:i w:val="0"/>
            <w:iCs w:val="0"/>
          </w:rPr>
          <w:t>قره خليل بن حسن - 1123 ه-</w:t>
        </w:r>
        <w:r>
          <w:tab/>
        </w:r>
        <w:r>
          <w:fldChar w:fldCharType="begin"/>
        </w:r>
        <w:r>
          <w:instrText xml:space="preserve">PAGEREF 5685 \h</w:instrText>
        </w:r>
        <w:r>
          <w:fldChar w:fldCharType="end"/>
        </w:r>
      </w:hyperlink>
    </w:p>
    <w:p>
      <w:pPr>
        <w:tabs>
          <w:tab w:val="right" w:leader="dot" w:pos="9062"/>
        </w:tabs>
        <w:ind w:left="220"/>
      </w:pPr>
      <w:hyperlink w:anchor="_Toc5686" w:history="1">
        <w:r>
          <w:rPr>
            <w:rFonts w:ascii="IRNazanin" w:hAnsi="IRNazanin" w:eastAsia="IRNazanin" w:cs="IRNazanin"/>
            <w:color w:val="111111"/>
            <w:sz w:val="22"/>
            <w:szCs w:val="22"/>
            <w:b w:val="0"/>
            <w:bCs w:val="0"/>
            <w:i w:val="0"/>
            <w:iCs w:val="0"/>
          </w:rPr>
          <w:t>قره داغي ، عبد الرحمن بن محمّد 1253 - 1335 ه-</w:t>
        </w:r>
        <w:r>
          <w:tab/>
        </w:r>
        <w:r>
          <w:fldChar w:fldCharType="begin"/>
        </w:r>
        <w:r>
          <w:instrText xml:space="preserve">PAGEREF 5686 \h</w:instrText>
        </w:r>
        <w:r>
          <w:fldChar w:fldCharType="end"/>
        </w:r>
      </w:hyperlink>
    </w:p>
    <w:p>
      <w:pPr>
        <w:tabs>
          <w:tab w:val="right" w:leader="dot" w:pos="9062"/>
        </w:tabs>
        <w:ind w:left="220"/>
      </w:pPr>
      <w:hyperlink w:anchor="_Toc5687" w:history="1">
        <w:r>
          <w:rPr>
            <w:rFonts w:ascii="IRNazanin" w:hAnsi="IRNazanin" w:eastAsia="IRNazanin" w:cs="IRNazanin"/>
            <w:color w:val="111111"/>
            <w:sz w:val="22"/>
            <w:szCs w:val="22"/>
            <w:b w:val="0"/>
            <w:bCs w:val="0"/>
            <w:i w:val="0"/>
            <w:iCs w:val="0"/>
          </w:rPr>
          <w:t>قره داغي ، محمّد امین بن محمّد</w:t>
        </w:r>
        <w:r>
          <w:tab/>
        </w:r>
        <w:r>
          <w:fldChar w:fldCharType="begin"/>
        </w:r>
        <w:r>
          <w:instrText xml:space="preserve">PAGEREF 5687 \h</w:instrText>
        </w:r>
        <w:r>
          <w:fldChar w:fldCharType="end"/>
        </w:r>
      </w:hyperlink>
    </w:p>
    <w:p>
      <w:pPr>
        <w:tabs>
          <w:tab w:val="right" w:leader="dot" w:pos="9062"/>
        </w:tabs>
        <w:ind w:left="220"/>
      </w:pPr>
      <w:hyperlink w:anchor="_Toc5688" w:history="1">
        <w:r>
          <w:rPr>
            <w:rFonts w:ascii="IRNazanin" w:hAnsi="IRNazanin" w:eastAsia="IRNazanin" w:cs="IRNazanin"/>
            <w:color w:val="111111"/>
            <w:sz w:val="22"/>
            <w:szCs w:val="22"/>
            <w:b w:val="0"/>
            <w:bCs w:val="0"/>
            <w:i w:val="0"/>
            <w:iCs w:val="0"/>
          </w:rPr>
          <w:t>قره داغي ، محمّد بن عبدالله، قرن 20 م</w:t>
        </w:r>
        <w:r>
          <w:tab/>
        </w:r>
        <w:r>
          <w:fldChar w:fldCharType="begin"/>
        </w:r>
        <w:r>
          <w:instrText xml:space="preserve">PAGEREF 5688 \h</w:instrText>
        </w:r>
        <w:r>
          <w:fldChar w:fldCharType="end"/>
        </w:r>
      </w:hyperlink>
    </w:p>
    <w:p>
      <w:pPr>
        <w:tabs>
          <w:tab w:val="right" w:leader="dot" w:pos="9062"/>
        </w:tabs>
        <w:ind w:left="220"/>
      </w:pPr>
      <w:hyperlink w:anchor="_Toc5689" w:history="1">
        <w:r>
          <w:rPr>
            <w:rFonts w:ascii="IRNazanin" w:hAnsi="IRNazanin" w:eastAsia="IRNazanin" w:cs="IRNazanin"/>
            <w:color w:val="111111"/>
            <w:sz w:val="22"/>
            <w:szCs w:val="22"/>
            <w:b w:val="0"/>
            <w:bCs w:val="0"/>
            <w:i w:val="0"/>
            <w:iCs w:val="0"/>
          </w:rPr>
          <w:t>قره داود شيرواني، قرن 9 ه-</w:t>
        </w:r>
        <w:r>
          <w:tab/>
        </w:r>
        <w:r>
          <w:fldChar w:fldCharType="begin"/>
        </w:r>
        <w:r>
          <w:instrText xml:space="preserve">PAGEREF 5689 \h</w:instrText>
        </w:r>
        <w:r>
          <w:fldChar w:fldCharType="end"/>
        </w:r>
      </w:hyperlink>
    </w:p>
    <w:p>
      <w:pPr>
        <w:tabs>
          <w:tab w:val="right" w:leader="dot" w:pos="9062"/>
        </w:tabs>
        <w:ind w:left="220"/>
      </w:pPr>
      <w:hyperlink w:anchor="_Toc5690" w:history="1">
        <w:r>
          <w:rPr>
            <w:rFonts w:ascii="IRNazanin" w:hAnsi="IRNazanin" w:eastAsia="IRNazanin" w:cs="IRNazanin"/>
            <w:color w:val="111111"/>
            <w:sz w:val="22"/>
            <w:szCs w:val="22"/>
            <w:b w:val="0"/>
            <w:bCs w:val="0"/>
            <w:i w:val="0"/>
            <w:iCs w:val="0"/>
          </w:rPr>
          <w:t>قره ،سنان یوسف بن عبد الملك -885ه-</w:t>
        </w:r>
        <w:r>
          <w:tab/>
        </w:r>
        <w:r>
          <w:fldChar w:fldCharType="begin"/>
        </w:r>
        <w:r>
          <w:instrText xml:space="preserve">PAGEREF 5690 \h</w:instrText>
        </w:r>
        <w:r>
          <w:fldChar w:fldCharType="end"/>
        </w:r>
      </w:hyperlink>
    </w:p>
    <w:p>
      <w:pPr>
        <w:tabs>
          <w:tab w:val="right" w:leader="dot" w:pos="9062"/>
        </w:tabs>
        <w:ind w:left="220"/>
      </w:pPr>
      <w:hyperlink w:anchor="_Toc5691" w:history="1">
        <w:r>
          <w:rPr>
            <w:rFonts w:ascii="IRNazanin" w:hAnsi="IRNazanin" w:eastAsia="IRNazanin" w:cs="IRNazanin"/>
            <w:color w:val="111111"/>
            <w:sz w:val="22"/>
            <w:szCs w:val="22"/>
            <w:b w:val="0"/>
            <w:bCs w:val="0"/>
            <w:i w:val="0"/>
            <w:iCs w:val="0"/>
          </w:rPr>
          <w:t>قره فضلي ، علي - 971؟ ه-</w:t>
        </w:r>
        <w:r>
          <w:tab/>
        </w:r>
        <w:r>
          <w:fldChar w:fldCharType="begin"/>
        </w:r>
        <w:r>
          <w:instrText xml:space="preserve">PAGEREF 5691 \h</w:instrText>
        </w:r>
        <w:r>
          <w:fldChar w:fldCharType="end"/>
        </w:r>
      </w:hyperlink>
    </w:p>
    <w:p>
      <w:pPr>
        <w:tabs>
          <w:tab w:val="right" w:leader="dot" w:pos="9062"/>
        </w:tabs>
        <w:ind w:left="220"/>
      </w:pPr>
      <w:hyperlink w:anchor="_Toc5692" w:history="1">
        <w:r>
          <w:rPr>
            <w:rFonts w:ascii="IRNazanin" w:hAnsi="IRNazanin" w:eastAsia="IRNazanin" w:cs="IRNazanin"/>
            <w:color w:val="111111"/>
            <w:sz w:val="22"/>
            <w:szCs w:val="22"/>
            <w:b w:val="0"/>
            <w:bCs w:val="0"/>
            <w:i w:val="0"/>
            <w:iCs w:val="0"/>
          </w:rPr>
          <w:t>قريشي زبيدي ، محمّد بن شرف</w:t>
        </w:r>
        <w:r>
          <w:tab/>
        </w:r>
        <w:r>
          <w:fldChar w:fldCharType="begin"/>
        </w:r>
        <w:r>
          <w:instrText xml:space="preserve">PAGEREF 5692 \h</w:instrText>
        </w:r>
        <w:r>
          <w:fldChar w:fldCharType="end"/>
        </w:r>
      </w:hyperlink>
    </w:p>
    <w:p>
      <w:pPr>
        <w:tabs>
          <w:tab w:val="right" w:leader="dot" w:pos="9062"/>
        </w:tabs>
        <w:ind w:left="220"/>
      </w:pPr>
      <w:hyperlink w:anchor="_Toc5693" w:history="1">
        <w:r>
          <w:rPr>
            <w:rFonts w:ascii="IRNazanin" w:hAnsi="IRNazanin" w:eastAsia="IRNazanin" w:cs="IRNazanin"/>
            <w:color w:val="111111"/>
            <w:sz w:val="22"/>
            <w:szCs w:val="22"/>
            <w:b w:val="0"/>
            <w:bCs w:val="0"/>
            <w:i w:val="0"/>
            <w:iCs w:val="0"/>
          </w:rPr>
          <w:t>قريشي ، عباس</w:t>
        </w:r>
        <w:r>
          <w:tab/>
        </w:r>
        <w:r>
          <w:fldChar w:fldCharType="begin"/>
        </w:r>
        <w:r>
          <w:instrText xml:space="preserve">PAGEREF 5693 \h</w:instrText>
        </w:r>
        <w:r>
          <w:fldChar w:fldCharType="end"/>
        </w:r>
      </w:hyperlink>
    </w:p>
    <w:p>
      <w:pPr>
        <w:tabs>
          <w:tab w:val="right" w:leader="dot" w:pos="9062"/>
        </w:tabs>
        <w:ind w:left="220"/>
      </w:pPr>
      <w:hyperlink w:anchor="_Toc5694" w:history="1">
        <w:r>
          <w:rPr>
            <w:rFonts w:ascii="IRNazanin" w:hAnsi="IRNazanin" w:eastAsia="IRNazanin" w:cs="IRNazanin"/>
            <w:color w:val="111111"/>
            <w:sz w:val="22"/>
            <w:szCs w:val="22"/>
            <w:b w:val="0"/>
            <w:bCs w:val="0"/>
            <w:i w:val="0"/>
            <w:iCs w:val="0"/>
          </w:rPr>
          <w:t>قريشي ، عبدالله بن عثمان قرن 13 ه-</w:t>
        </w:r>
        <w:r>
          <w:tab/>
        </w:r>
        <w:r>
          <w:fldChar w:fldCharType="begin"/>
        </w:r>
        <w:r>
          <w:instrText xml:space="preserve">PAGEREF 5694 \h</w:instrText>
        </w:r>
        <w:r>
          <w:fldChar w:fldCharType="end"/>
        </w:r>
      </w:hyperlink>
    </w:p>
    <w:p>
      <w:pPr>
        <w:tabs>
          <w:tab w:val="right" w:leader="dot" w:pos="9062"/>
        </w:tabs>
        <w:ind w:left="220"/>
      </w:pPr>
      <w:hyperlink w:anchor="_Toc5695" w:history="1">
        <w:r>
          <w:rPr>
            <w:rFonts w:ascii="IRNazanin" w:hAnsi="IRNazanin" w:eastAsia="IRNazanin" w:cs="IRNazanin"/>
            <w:color w:val="111111"/>
            <w:sz w:val="22"/>
            <w:szCs w:val="22"/>
            <w:b w:val="0"/>
            <w:bCs w:val="0"/>
            <w:i w:val="0"/>
            <w:iCs w:val="0"/>
          </w:rPr>
          <w:t>قريني، محمّد بن عبدالله، 1316-1398ه-</w:t>
        </w:r>
        <w:r>
          <w:tab/>
        </w:r>
        <w:r>
          <w:fldChar w:fldCharType="begin"/>
        </w:r>
        <w:r>
          <w:instrText xml:space="preserve">PAGEREF 5695 \h</w:instrText>
        </w:r>
        <w:r>
          <w:fldChar w:fldCharType="end"/>
        </w:r>
      </w:hyperlink>
    </w:p>
    <w:p>
      <w:pPr>
        <w:tabs>
          <w:tab w:val="right" w:leader="dot" w:pos="9062"/>
        </w:tabs>
        <w:ind w:left="220"/>
      </w:pPr>
      <w:hyperlink w:anchor="_Toc5696" w:history="1">
        <w:r>
          <w:rPr>
            <w:rFonts w:ascii="IRNazanin" w:hAnsi="IRNazanin" w:eastAsia="IRNazanin" w:cs="IRNazanin"/>
            <w:color w:val="111111"/>
            <w:sz w:val="22"/>
            <w:szCs w:val="22"/>
            <w:b w:val="0"/>
            <w:bCs w:val="0"/>
            <w:i w:val="0"/>
            <w:iCs w:val="0"/>
          </w:rPr>
          <w:t>قزاز ، محمّد بن سنان - 271 ه-</w:t>
        </w:r>
        <w:r>
          <w:tab/>
        </w:r>
        <w:r>
          <w:fldChar w:fldCharType="begin"/>
        </w:r>
        <w:r>
          <w:instrText xml:space="preserve">PAGEREF 5696 \h</w:instrText>
        </w:r>
        <w:r>
          <w:fldChar w:fldCharType="end"/>
        </w:r>
      </w:hyperlink>
    </w:p>
    <w:p>
      <w:pPr>
        <w:tabs>
          <w:tab w:val="right" w:leader="dot" w:pos="9062"/>
        </w:tabs>
        <w:ind w:left="220"/>
      </w:pPr>
      <w:hyperlink w:anchor="_Toc5697" w:history="1">
        <w:r>
          <w:rPr>
            <w:rFonts w:ascii="IRNazanin" w:hAnsi="IRNazanin" w:eastAsia="IRNazanin" w:cs="IRNazanin"/>
            <w:color w:val="111111"/>
            <w:sz w:val="22"/>
            <w:szCs w:val="22"/>
            <w:b w:val="0"/>
            <w:bCs w:val="0"/>
            <w:i w:val="0"/>
            <w:iCs w:val="0"/>
          </w:rPr>
          <w:t>قزلجي علي بن محمّد، 1220-1295ه-</w:t>
        </w:r>
        <w:r>
          <w:tab/>
        </w:r>
        <w:r>
          <w:fldChar w:fldCharType="begin"/>
        </w:r>
        <w:r>
          <w:instrText xml:space="preserve">PAGEREF 5697 \h</w:instrText>
        </w:r>
        <w:r>
          <w:fldChar w:fldCharType="end"/>
        </w:r>
      </w:hyperlink>
    </w:p>
    <w:p>
      <w:pPr>
        <w:tabs>
          <w:tab w:val="right" w:leader="dot" w:pos="9062"/>
        </w:tabs>
        <w:ind w:left="220"/>
      </w:pPr>
      <w:hyperlink w:anchor="_Toc5698" w:history="1">
        <w:r>
          <w:rPr>
            <w:rFonts w:ascii="IRNazanin" w:hAnsi="IRNazanin" w:eastAsia="IRNazanin" w:cs="IRNazanin"/>
            <w:color w:val="111111"/>
            <w:sz w:val="22"/>
            <w:szCs w:val="22"/>
            <w:b w:val="0"/>
            <w:bCs w:val="0"/>
            <w:i w:val="0"/>
            <w:iCs w:val="0"/>
          </w:rPr>
          <w:t>قزلجي ، محمّد حسن بن علي</w:t>
        </w:r>
        <w:r>
          <w:tab/>
        </w:r>
        <w:r>
          <w:fldChar w:fldCharType="begin"/>
        </w:r>
        <w:r>
          <w:instrText xml:space="preserve">PAGEREF 5698 \h</w:instrText>
        </w:r>
        <w:r>
          <w:fldChar w:fldCharType="end"/>
        </w:r>
      </w:hyperlink>
    </w:p>
    <w:p>
      <w:pPr>
        <w:tabs>
          <w:tab w:val="right" w:leader="dot" w:pos="9062"/>
        </w:tabs>
        <w:ind w:left="220"/>
      </w:pPr>
      <w:hyperlink w:anchor="_Toc5699" w:history="1">
        <w:r>
          <w:rPr>
            <w:rFonts w:ascii="IRNazanin" w:hAnsi="IRNazanin" w:eastAsia="IRNazanin" w:cs="IRNazanin"/>
            <w:color w:val="111111"/>
            <w:sz w:val="22"/>
            <w:szCs w:val="22"/>
            <w:b w:val="0"/>
            <w:bCs w:val="0"/>
            <w:i w:val="0"/>
            <w:iCs w:val="0"/>
          </w:rPr>
          <w:t>قزويني، ابراهيم بن محمّد باقر، 1214 -</w:t>
        </w:r>
        <w:r>
          <w:tab/>
        </w:r>
        <w:r>
          <w:fldChar w:fldCharType="begin"/>
        </w:r>
        <w:r>
          <w:instrText xml:space="preserve">PAGEREF 5699 \h</w:instrText>
        </w:r>
        <w:r>
          <w:fldChar w:fldCharType="end"/>
        </w:r>
      </w:hyperlink>
    </w:p>
    <w:p>
      <w:pPr>
        <w:tabs>
          <w:tab w:val="right" w:leader="dot" w:pos="9062"/>
        </w:tabs>
        <w:ind w:left="220"/>
      </w:pPr>
      <w:hyperlink w:anchor="_Toc5700" w:history="1">
        <w:r>
          <w:rPr>
            <w:rFonts w:ascii="IRNazanin" w:hAnsi="IRNazanin" w:eastAsia="IRNazanin" w:cs="IRNazanin"/>
            <w:color w:val="111111"/>
            <w:sz w:val="22"/>
            <w:szCs w:val="22"/>
            <w:b w:val="0"/>
            <w:bCs w:val="0"/>
            <w:i w:val="0"/>
            <w:iCs w:val="0"/>
          </w:rPr>
          <w:t>قزويني ابراهيم شمس الدین 1318 ه-</w:t>
        </w:r>
        <w:r>
          <w:tab/>
        </w:r>
        <w:r>
          <w:fldChar w:fldCharType="begin"/>
        </w:r>
        <w:r>
          <w:instrText xml:space="preserve">PAGEREF 5700 \h</w:instrText>
        </w:r>
        <w:r>
          <w:fldChar w:fldCharType="end"/>
        </w:r>
      </w:hyperlink>
    </w:p>
    <w:p>
      <w:pPr>
        <w:tabs>
          <w:tab w:val="right" w:leader="dot" w:pos="9062"/>
        </w:tabs>
        <w:ind w:left="220"/>
      </w:pPr>
      <w:hyperlink w:anchor="_Toc5701" w:history="1">
        <w:r>
          <w:rPr>
            <w:rFonts w:ascii="IRNazanin" w:hAnsi="IRNazanin" w:eastAsia="IRNazanin" w:cs="IRNazanin"/>
            <w:color w:val="111111"/>
            <w:sz w:val="22"/>
            <w:szCs w:val="22"/>
            <w:b w:val="0"/>
            <w:bCs w:val="0"/>
            <w:i w:val="0"/>
            <w:iCs w:val="0"/>
          </w:rPr>
          <w:t>قزويني، ابوطالب بن محمّد هادي قرن</w:t>
        </w:r>
        <w:r>
          <w:tab/>
        </w:r>
        <w:r>
          <w:fldChar w:fldCharType="begin"/>
        </w:r>
        <w:r>
          <w:instrText xml:space="preserve">PAGEREF 5701 \h</w:instrText>
        </w:r>
        <w:r>
          <w:fldChar w:fldCharType="end"/>
        </w:r>
      </w:hyperlink>
    </w:p>
    <w:p>
      <w:pPr>
        <w:tabs>
          <w:tab w:val="right" w:leader="dot" w:pos="9062"/>
        </w:tabs>
        <w:ind w:left="220"/>
      </w:pPr>
      <w:hyperlink w:anchor="_Toc5702" w:history="1">
        <w:r>
          <w:rPr>
            <w:rFonts w:ascii="IRNazanin" w:hAnsi="IRNazanin" w:eastAsia="IRNazanin" w:cs="IRNazanin"/>
            <w:color w:val="111111"/>
            <w:sz w:val="22"/>
            <w:szCs w:val="22"/>
            <w:b w:val="0"/>
            <w:bCs w:val="0"/>
            <w:i w:val="0"/>
            <w:iCs w:val="0"/>
          </w:rPr>
          <w:t>قزويني ، احمد - 1273 ه-</w:t>
        </w:r>
        <w:r>
          <w:tab/>
        </w:r>
        <w:r>
          <w:fldChar w:fldCharType="begin"/>
        </w:r>
        <w:r>
          <w:instrText xml:space="preserve">PAGEREF 5702 \h</w:instrText>
        </w:r>
        <w:r>
          <w:fldChar w:fldCharType="end"/>
        </w:r>
      </w:hyperlink>
    </w:p>
    <w:p>
      <w:pPr>
        <w:tabs>
          <w:tab w:val="right" w:leader="dot" w:pos="9062"/>
        </w:tabs>
        <w:ind w:left="220"/>
      </w:pPr>
      <w:hyperlink w:anchor="_Toc5703" w:history="1">
        <w:r>
          <w:rPr>
            <w:rFonts w:ascii="IRNazanin" w:hAnsi="IRNazanin" w:eastAsia="IRNazanin" w:cs="IRNazanin"/>
            <w:color w:val="111111"/>
            <w:sz w:val="22"/>
            <w:szCs w:val="22"/>
            <w:b w:val="0"/>
            <w:bCs w:val="0"/>
            <w:i w:val="0"/>
            <w:iCs w:val="0"/>
          </w:rPr>
          <w:t>قزويني ، احمد بن اسماعيل 512-590 ؟ه-</w:t>
        </w:r>
        <w:r>
          <w:tab/>
        </w:r>
        <w:r>
          <w:fldChar w:fldCharType="begin"/>
        </w:r>
        <w:r>
          <w:instrText xml:space="preserve">PAGEREF 5703 \h</w:instrText>
        </w:r>
        <w:r>
          <w:fldChar w:fldCharType="end"/>
        </w:r>
      </w:hyperlink>
    </w:p>
    <w:p>
      <w:pPr>
        <w:tabs>
          <w:tab w:val="right" w:leader="dot" w:pos="9062"/>
        </w:tabs>
        <w:ind w:left="220"/>
      </w:pPr>
      <w:hyperlink w:anchor="_Toc5704" w:history="1">
        <w:r>
          <w:rPr>
            <w:rFonts w:ascii="IRNazanin" w:hAnsi="IRNazanin" w:eastAsia="IRNazanin" w:cs="IRNazanin"/>
            <w:color w:val="111111"/>
            <w:sz w:val="22"/>
            <w:szCs w:val="22"/>
            <w:b w:val="0"/>
            <w:bCs w:val="0"/>
            <w:i w:val="0"/>
            <w:iCs w:val="0"/>
          </w:rPr>
          <w:t>قزويني ، احمد بن محمّد</w:t>
        </w:r>
        <w:r>
          <w:tab/>
        </w:r>
        <w:r>
          <w:fldChar w:fldCharType="begin"/>
        </w:r>
        <w:r>
          <w:instrText xml:space="preserve">PAGEREF 5704 \h</w:instrText>
        </w:r>
        <w:r>
          <w:fldChar w:fldCharType="end"/>
        </w:r>
      </w:hyperlink>
    </w:p>
    <w:p>
      <w:pPr>
        <w:tabs>
          <w:tab w:val="right" w:leader="dot" w:pos="9062"/>
        </w:tabs>
        <w:ind w:left="220"/>
      </w:pPr>
      <w:hyperlink w:anchor="_Toc5705" w:history="1">
        <w:r>
          <w:rPr>
            <w:rFonts w:ascii="IRNazanin" w:hAnsi="IRNazanin" w:eastAsia="IRNazanin" w:cs="IRNazanin"/>
            <w:color w:val="111111"/>
            <w:sz w:val="22"/>
            <w:szCs w:val="22"/>
            <w:b w:val="0"/>
            <w:bCs w:val="0"/>
            <w:i w:val="0"/>
            <w:iCs w:val="0"/>
          </w:rPr>
          <w:t>قزويني احمد بن محمّدامین قرن 11ه-</w:t>
        </w:r>
        <w:r>
          <w:tab/>
        </w:r>
        <w:r>
          <w:fldChar w:fldCharType="begin"/>
        </w:r>
        <w:r>
          <w:instrText xml:space="preserve">PAGEREF 5705 \h</w:instrText>
        </w:r>
        <w:r>
          <w:fldChar w:fldCharType="end"/>
        </w:r>
      </w:hyperlink>
    </w:p>
    <w:p>
      <w:pPr>
        <w:tabs>
          <w:tab w:val="right" w:leader="dot" w:pos="9062"/>
        </w:tabs>
        <w:ind w:left="220"/>
      </w:pPr>
      <w:hyperlink w:anchor="_Toc5706" w:history="1">
        <w:r>
          <w:rPr>
            <w:rFonts w:ascii="IRNazanin" w:hAnsi="IRNazanin" w:eastAsia="IRNazanin" w:cs="IRNazanin"/>
            <w:color w:val="111111"/>
            <w:sz w:val="22"/>
            <w:szCs w:val="22"/>
            <w:b w:val="0"/>
            <w:bCs w:val="0"/>
            <w:i w:val="0"/>
            <w:iCs w:val="0"/>
          </w:rPr>
          <w:t>قزويني، اسماعيل بن علي قرن 12 ه-</w:t>
        </w:r>
        <w:r>
          <w:tab/>
        </w:r>
        <w:r>
          <w:fldChar w:fldCharType="begin"/>
        </w:r>
        <w:r>
          <w:instrText xml:space="preserve">PAGEREF 5706 \h</w:instrText>
        </w:r>
        <w:r>
          <w:fldChar w:fldCharType="end"/>
        </w:r>
      </w:hyperlink>
    </w:p>
    <w:p>
      <w:pPr>
        <w:tabs>
          <w:tab w:val="right" w:leader="dot" w:pos="9062"/>
        </w:tabs>
        <w:ind w:left="220"/>
      </w:pPr>
      <w:hyperlink w:anchor="_Toc5707" w:history="1">
        <w:r>
          <w:rPr>
            <w:rFonts w:ascii="IRNazanin" w:hAnsi="IRNazanin" w:eastAsia="IRNazanin" w:cs="IRNazanin"/>
            <w:color w:val="111111"/>
            <w:sz w:val="22"/>
            <w:szCs w:val="22"/>
            <w:b w:val="0"/>
            <w:bCs w:val="0"/>
            <w:i w:val="0"/>
            <w:iCs w:val="0"/>
          </w:rPr>
          <w:t>قزويني جعفر بن مهدي 1253-1298ه-</w:t>
        </w:r>
        <w:r>
          <w:tab/>
        </w:r>
        <w:r>
          <w:fldChar w:fldCharType="begin"/>
        </w:r>
        <w:r>
          <w:instrText xml:space="preserve">PAGEREF 5707 \h</w:instrText>
        </w:r>
        <w:r>
          <w:fldChar w:fldCharType="end"/>
        </w:r>
      </w:hyperlink>
    </w:p>
    <w:p>
      <w:pPr>
        <w:tabs>
          <w:tab w:val="right" w:leader="dot" w:pos="9062"/>
        </w:tabs>
        <w:ind w:left="220"/>
      </w:pPr>
      <w:hyperlink w:anchor="_Toc5708" w:history="1">
        <w:r>
          <w:rPr>
            <w:rFonts w:ascii="IRNazanin" w:hAnsi="IRNazanin" w:eastAsia="IRNazanin" w:cs="IRNazanin"/>
            <w:color w:val="111111"/>
            <w:sz w:val="22"/>
            <w:szCs w:val="22"/>
            <w:b w:val="0"/>
            <w:bCs w:val="0"/>
            <w:i w:val="0"/>
            <w:iCs w:val="0"/>
          </w:rPr>
          <w:t>قزويني حائري، حسين بن محمّد باقر</w:t>
        </w:r>
        <w:r>
          <w:tab/>
        </w:r>
        <w:r>
          <w:fldChar w:fldCharType="begin"/>
        </w:r>
        <w:r>
          <w:instrText xml:space="preserve">PAGEREF 5708 \h</w:instrText>
        </w:r>
        <w:r>
          <w:fldChar w:fldCharType="end"/>
        </w:r>
      </w:hyperlink>
    </w:p>
    <w:p>
      <w:pPr>
        <w:tabs>
          <w:tab w:val="right" w:leader="dot" w:pos="9062"/>
        </w:tabs>
        <w:ind w:left="220"/>
      </w:pPr>
      <w:hyperlink w:anchor="_Toc5709" w:history="1">
        <w:r>
          <w:rPr>
            <w:rFonts w:ascii="IRNazanin" w:hAnsi="IRNazanin" w:eastAsia="IRNazanin" w:cs="IRNazanin"/>
            <w:color w:val="111111"/>
            <w:sz w:val="22"/>
            <w:szCs w:val="22"/>
            <w:b w:val="0"/>
            <w:bCs w:val="0"/>
            <w:i w:val="0"/>
            <w:iCs w:val="0"/>
          </w:rPr>
          <w:t>قزويني حائري ، محمد ابراهيم بن علي</w:t>
        </w:r>
        <w:r>
          <w:tab/>
        </w:r>
        <w:r>
          <w:fldChar w:fldCharType="begin"/>
        </w:r>
        <w:r>
          <w:instrText xml:space="preserve">PAGEREF 5709 \h</w:instrText>
        </w:r>
        <w:r>
          <w:fldChar w:fldCharType="end"/>
        </w:r>
      </w:hyperlink>
    </w:p>
    <w:p>
      <w:pPr>
        <w:tabs>
          <w:tab w:val="right" w:leader="dot" w:pos="9062"/>
        </w:tabs>
        <w:ind w:left="220"/>
      </w:pPr>
      <w:hyperlink w:anchor="_Toc5710" w:history="1">
        <w:r>
          <w:rPr>
            <w:rFonts w:ascii="IRNazanin" w:hAnsi="IRNazanin" w:eastAsia="IRNazanin" w:cs="IRNazanin"/>
            <w:color w:val="111111"/>
            <w:sz w:val="22"/>
            <w:szCs w:val="22"/>
            <w:b w:val="0"/>
            <w:bCs w:val="0"/>
            <w:i w:val="0"/>
            <w:iCs w:val="0"/>
          </w:rPr>
          <w:t>قزويني حائري، محمّد حسن بن محمّد</w:t>
        </w:r>
        <w:r>
          <w:tab/>
        </w:r>
        <w:r>
          <w:fldChar w:fldCharType="begin"/>
        </w:r>
        <w:r>
          <w:instrText xml:space="preserve">PAGEREF 5710 \h</w:instrText>
        </w:r>
        <w:r>
          <w:fldChar w:fldCharType="end"/>
        </w:r>
      </w:hyperlink>
    </w:p>
    <w:p>
      <w:pPr>
        <w:tabs>
          <w:tab w:val="right" w:leader="dot" w:pos="9062"/>
        </w:tabs>
        <w:ind w:left="220"/>
      </w:pPr>
      <w:hyperlink w:anchor="_Toc5711" w:history="1">
        <w:r>
          <w:rPr>
            <w:rFonts w:ascii="IRNazanin" w:hAnsi="IRNazanin" w:eastAsia="IRNazanin" w:cs="IRNazanin"/>
            <w:color w:val="111111"/>
            <w:sz w:val="22"/>
            <w:szCs w:val="22"/>
            <w:b w:val="0"/>
            <w:bCs w:val="0"/>
            <w:i w:val="0"/>
            <w:iCs w:val="0"/>
          </w:rPr>
          <w:t>قزويني حائري ، محمّد حسين بن</w:t>
        </w:r>
        <w:r>
          <w:tab/>
        </w:r>
        <w:r>
          <w:fldChar w:fldCharType="begin"/>
        </w:r>
        <w:r>
          <w:instrText xml:space="preserve">PAGEREF 5711 \h</w:instrText>
        </w:r>
        <w:r>
          <w:fldChar w:fldCharType="end"/>
        </w:r>
      </w:hyperlink>
    </w:p>
    <w:p>
      <w:pPr>
        <w:tabs>
          <w:tab w:val="right" w:leader="dot" w:pos="9062"/>
        </w:tabs>
        <w:ind w:left="220"/>
      </w:pPr>
      <w:hyperlink w:anchor="_Toc5712" w:history="1">
        <w:r>
          <w:rPr>
            <w:rFonts w:ascii="IRNazanin" w:hAnsi="IRNazanin" w:eastAsia="IRNazanin" w:cs="IRNazanin"/>
            <w:color w:val="111111"/>
            <w:sz w:val="22"/>
            <w:szCs w:val="22"/>
            <w:b w:val="0"/>
            <w:bCs w:val="0"/>
            <w:i w:val="0"/>
            <w:iCs w:val="0"/>
          </w:rPr>
          <w:t>قزويني حائري ، ميرزا آقا قرن 13 ه-</w:t>
        </w:r>
        <w:r>
          <w:tab/>
        </w:r>
        <w:r>
          <w:fldChar w:fldCharType="begin"/>
        </w:r>
        <w:r>
          <w:instrText xml:space="preserve">PAGEREF 5712 \h</w:instrText>
        </w:r>
        <w:r>
          <w:fldChar w:fldCharType="end"/>
        </w:r>
      </w:hyperlink>
    </w:p>
    <w:p>
      <w:pPr>
        <w:tabs>
          <w:tab w:val="right" w:leader="dot" w:pos="9062"/>
        </w:tabs>
        <w:ind w:left="220"/>
      </w:pPr>
      <w:hyperlink w:anchor="_Toc5713" w:history="1">
        <w:r>
          <w:rPr>
            <w:rFonts w:ascii="IRNazanin" w:hAnsi="IRNazanin" w:eastAsia="IRNazanin" w:cs="IRNazanin"/>
            <w:color w:val="111111"/>
            <w:sz w:val="22"/>
            <w:szCs w:val="22"/>
            <w:b w:val="0"/>
            <w:bCs w:val="0"/>
            <w:i w:val="0"/>
            <w:iCs w:val="0"/>
          </w:rPr>
          <w:t>قزويني ، حاج بابا بن محمّد اسماعیل</w:t>
        </w:r>
        <w:r>
          <w:tab/>
        </w:r>
        <w:r>
          <w:fldChar w:fldCharType="begin"/>
        </w:r>
        <w:r>
          <w:instrText xml:space="preserve">PAGEREF 5713 \h</w:instrText>
        </w:r>
        <w:r>
          <w:fldChar w:fldCharType="end"/>
        </w:r>
      </w:hyperlink>
    </w:p>
    <w:p>
      <w:pPr>
        <w:tabs>
          <w:tab w:val="right" w:leader="dot" w:pos="9062"/>
        </w:tabs>
        <w:ind w:left="220"/>
      </w:pPr>
      <w:hyperlink w:anchor="_Toc5714" w:history="1">
        <w:r>
          <w:rPr>
            <w:rFonts w:ascii="IRNazanin" w:hAnsi="IRNazanin" w:eastAsia="IRNazanin" w:cs="IRNazanin"/>
            <w:color w:val="111111"/>
            <w:sz w:val="22"/>
            <w:szCs w:val="22"/>
            <w:b w:val="0"/>
            <w:bCs w:val="0"/>
            <w:i w:val="0"/>
            <w:iCs w:val="0"/>
          </w:rPr>
          <w:t>قزويني ، حسين بن احمد قرن 4 ه-</w:t>
        </w:r>
        <w:r>
          <w:tab/>
        </w:r>
        <w:r>
          <w:fldChar w:fldCharType="begin"/>
        </w:r>
        <w:r>
          <w:instrText xml:space="preserve">PAGEREF 5714 \h</w:instrText>
        </w:r>
        <w:r>
          <w:fldChar w:fldCharType="end"/>
        </w:r>
      </w:hyperlink>
    </w:p>
    <w:p>
      <w:pPr>
        <w:tabs>
          <w:tab w:val="right" w:leader="dot" w:pos="9062"/>
        </w:tabs>
        <w:ind w:left="220"/>
      </w:pPr>
      <w:hyperlink w:anchor="_Toc5715" w:history="1">
        <w:r>
          <w:rPr>
            <w:rFonts w:ascii="IRNazanin" w:hAnsi="IRNazanin" w:eastAsia="IRNazanin" w:cs="IRNazanin"/>
            <w:color w:val="111111"/>
            <w:sz w:val="22"/>
            <w:szCs w:val="22"/>
            <w:b w:val="0"/>
            <w:bCs w:val="0"/>
            <w:i w:val="0"/>
            <w:iCs w:val="0"/>
          </w:rPr>
          <w:t>قزويني ، حسین بن محمد ابراهيم</w:t>
        </w:r>
        <w:r>
          <w:tab/>
        </w:r>
        <w:r>
          <w:fldChar w:fldCharType="begin"/>
        </w:r>
        <w:r>
          <w:instrText xml:space="preserve">PAGEREF 5715 \h</w:instrText>
        </w:r>
        <w:r>
          <w:fldChar w:fldCharType="end"/>
        </w:r>
      </w:hyperlink>
    </w:p>
    <w:p>
      <w:pPr>
        <w:tabs>
          <w:tab w:val="right" w:leader="dot" w:pos="9062"/>
        </w:tabs>
        <w:ind w:left="220"/>
      </w:pPr>
      <w:hyperlink w:anchor="_Toc5716" w:history="1">
        <w:r>
          <w:rPr>
            <w:rFonts w:ascii="IRNazanin" w:hAnsi="IRNazanin" w:eastAsia="IRNazanin" w:cs="IRNazanin"/>
            <w:color w:val="111111"/>
            <w:sz w:val="22"/>
            <w:szCs w:val="22"/>
            <w:b w:val="0"/>
            <w:bCs w:val="0"/>
            <w:i w:val="0"/>
            <w:iCs w:val="0"/>
          </w:rPr>
          <w:t>قزويني خليل بن غازي، 1001-1089ه-</w:t>
        </w:r>
        <w:r>
          <w:tab/>
        </w:r>
        <w:r>
          <w:fldChar w:fldCharType="begin"/>
        </w:r>
        <w:r>
          <w:instrText xml:space="preserve">PAGEREF 5716 \h</w:instrText>
        </w:r>
        <w:r>
          <w:fldChar w:fldCharType="end"/>
        </w:r>
      </w:hyperlink>
    </w:p>
    <w:p>
      <w:pPr>
        <w:tabs>
          <w:tab w:val="right" w:leader="dot" w:pos="9062"/>
        </w:tabs>
        <w:ind w:left="220"/>
      </w:pPr>
      <w:hyperlink w:anchor="_Toc5717" w:history="1">
        <w:r>
          <w:rPr>
            <w:rFonts w:ascii="IRNazanin" w:hAnsi="IRNazanin" w:eastAsia="IRNazanin" w:cs="IRNazanin"/>
            <w:color w:val="111111"/>
            <w:sz w:val="22"/>
            <w:szCs w:val="22"/>
            <w:b w:val="0"/>
            <w:bCs w:val="0"/>
            <w:i w:val="0"/>
            <w:iCs w:val="0"/>
          </w:rPr>
          <w:t>قزويني خوئيني ، ملاعلي - 1318 ه-</w:t>
        </w:r>
        <w:r>
          <w:tab/>
        </w:r>
        <w:r>
          <w:fldChar w:fldCharType="begin"/>
        </w:r>
        <w:r>
          <w:instrText xml:space="preserve">PAGEREF 5717 \h</w:instrText>
        </w:r>
        <w:r>
          <w:fldChar w:fldCharType="end"/>
        </w:r>
      </w:hyperlink>
    </w:p>
    <w:p>
      <w:pPr>
        <w:tabs>
          <w:tab w:val="right" w:leader="dot" w:pos="9062"/>
        </w:tabs>
        <w:ind w:left="220"/>
      </w:pPr>
      <w:hyperlink w:anchor="_Toc5718" w:history="1">
        <w:r>
          <w:rPr>
            <w:rFonts w:ascii="IRNazanin" w:hAnsi="IRNazanin" w:eastAsia="IRNazanin" w:cs="IRNazanin"/>
            <w:color w:val="111111"/>
            <w:sz w:val="22"/>
            <w:szCs w:val="22"/>
            <w:b w:val="0"/>
            <w:bCs w:val="0"/>
            <w:i w:val="0"/>
            <w:iCs w:val="0"/>
          </w:rPr>
          <w:t>قزويني ، راضي بن صالح - 1385 ه-</w:t>
        </w:r>
        <w:r>
          <w:tab/>
        </w:r>
        <w:r>
          <w:fldChar w:fldCharType="begin"/>
        </w:r>
        <w:r>
          <w:instrText xml:space="preserve">PAGEREF 5718 \h</w:instrText>
        </w:r>
        <w:r>
          <w:fldChar w:fldCharType="end"/>
        </w:r>
      </w:hyperlink>
    </w:p>
    <w:p>
      <w:pPr>
        <w:tabs>
          <w:tab w:val="right" w:leader="dot" w:pos="9062"/>
        </w:tabs>
        <w:ind w:left="220"/>
      </w:pPr>
      <w:hyperlink w:anchor="_Toc5719" w:history="1">
        <w:r>
          <w:rPr>
            <w:rFonts w:ascii="IRNazanin" w:hAnsi="IRNazanin" w:eastAsia="IRNazanin" w:cs="IRNazanin"/>
            <w:color w:val="111111"/>
            <w:sz w:val="22"/>
            <w:szCs w:val="22"/>
            <w:b w:val="0"/>
            <w:bCs w:val="0"/>
            <w:i w:val="0"/>
            <w:iCs w:val="0"/>
          </w:rPr>
          <w:t>قزويني، زكريا بن محمّد، 2605-682ه-</w:t>
        </w:r>
        <w:r>
          <w:tab/>
        </w:r>
        <w:r>
          <w:fldChar w:fldCharType="begin"/>
        </w:r>
        <w:r>
          <w:instrText xml:space="preserve">PAGEREF 5719 \h</w:instrText>
        </w:r>
        <w:r>
          <w:fldChar w:fldCharType="end"/>
        </w:r>
      </w:hyperlink>
    </w:p>
    <w:p>
      <w:pPr>
        <w:tabs>
          <w:tab w:val="right" w:leader="dot" w:pos="9062"/>
        </w:tabs>
        <w:ind w:left="220"/>
      </w:pPr>
      <w:hyperlink w:anchor="_Toc5720" w:history="1">
        <w:r>
          <w:rPr>
            <w:rFonts w:ascii="IRNazanin" w:hAnsi="IRNazanin" w:eastAsia="IRNazanin" w:cs="IRNazanin"/>
            <w:color w:val="111111"/>
            <w:sz w:val="22"/>
            <w:szCs w:val="22"/>
            <w:b w:val="0"/>
            <w:bCs w:val="0"/>
            <w:i w:val="0"/>
            <w:iCs w:val="0"/>
          </w:rPr>
          <w:t>قزويني ، سيّد حسين</w:t>
        </w:r>
        <w:r>
          <w:tab/>
        </w:r>
        <w:r>
          <w:fldChar w:fldCharType="begin"/>
        </w:r>
        <w:r>
          <w:instrText xml:space="preserve">PAGEREF 5720 \h</w:instrText>
        </w:r>
        <w:r>
          <w:fldChar w:fldCharType="end"/>
        </w:r>
      </w:hyperlink>
    </w:p>
    <w:p>
      <w:pPr>
        <w:tabs>
          <w:tab w:val="right" w:leader="dot" w:pos="9062"/>
        </w:tabs>
        <w:ind w:left="220"/>
      </w:pPr>
      <w:hyperlink w:anchor="_Toc5721" w:history="1">
        <w:r>
          <w:rPr>
            <w:rFonts w:ascii="IRNazanin" w:hAnsi="IRNazanin" w:eastAsia="IRNazanin" w:cs="IRNazanin"/>
            <w:color w:val="111111"/>
            <w:sz w:val="22"/>
            <w:szCs w:val="22"/>
            <w:b w:val="0"/>
            <w:bCs w:val="0"/>
            <w:i w:val="0"/>
            <w:iCs w:val="0"/>
          </w:rPr>
          <w:t>قزويني ، طاهر بن احمد - 756 ه-</w:t>
        </w:r>
        <w:r>
          <w:tab/>
        </w:r>
        <w:r>
          <w:fldChar w:fldCharType="begin"/>
        </w:r>
        <w:r>
          <w:instrText xml:space="preserve">PAGEREF 5721 \h</w:instrText>
        </w:r>
        <w:r>
          <w:fldChar w:fldCharType="end"/>
        </w:r>
      </w:hyperlink>
    </w:p>
    <w:p>
      <w:pPr>
        <w:tabs>
          <w:tab w:val="right" w:leader="dot" w:pos="9062"/>
        </w:tabs>
        <w:ind w:left="220"/>
      </w:pPr>
      <w:hyperlink w:anchor="_Toc5722" w:history="1">
        <w:r>
          <w:rPr>
            <w:rFonts w:ascii="IRNazanin" w:hAnsi="IRNazanin" w:eastAsia="IRNazanin" w:cs="IRNazanin"/>
            <w:color w:val="111111"/>
            <w:sz w:val="22"/>
            <w:szCs w:val="22"/>
            <w:b w:val="0"/>
            <w:bCs w:val="0"/>
            <w:i w:val="0"/>
            <w:iCs w:val="0"/>
          </w:rPr>
          <w:t>قزويني ، عبدالرحمن بن محمود</w:t>
        </w:r>
        <w:r>
          <w:tab/>
        </w:r>
        <w:r>
          <w:fldChar w:fldCharType="begin"/>
        </w:r>
        <w:r>
          <w:instrText xml:space="preserve">PAGEREF 5722 \h</w:instrText>
        </w:r>
        <w:r>
          <w:fldChar w:fldCharType="end"/>
        </w:r>
      </w:hyperlink>
    </w:p>
    <w:p>
      <w:pPr>
        <w:tabs>
          <w:tab w:val="right" w:leader="dot" w:pos="9062"/>
        </w:tabs>
        <w:ind w:left="220"/>
      </w:pPr>
      <w:hyperlink w:anchor="_Toc5723" w:history="1">
        <w:r>
          <w:rPr>
            <w:rFonts w:ascii="IRNazanin" w:hAnsi="IRNazanin" w:eastAsia="IRNazanin" w:cs="IRNazanin"/>
            <w:color w:val="111111"/>
            <w:sz w:val="22"/>
            <w:szCs w:val="22"/>
            <w:b w:val="0"/>
            <w:bCs w:val="0"/>
            <w:i w:val="0"/>
            <w:iCs w:val="0"/>
          </w:rPr>
          <w:t>قزويني ، عبدالغفار بن عبدالكريم</w:t>
        </w:r>
        <w:r>
          <w:tab/>
        </w:r>
        <w:r>
          <w:fldChar w:fldCharType="begin"/>
        </w:r>
        <w:r>
          <w:instrText xml:space="preserve">PAGEREF 5723 \h</w:instrText>
        </w:r>
        <w:r>
          <w:fldChar w:fldCharType="end"/>
        </w:r>
      </w:hyperlink>
    </w:p>
    <w:p>
      <w:pPr>
        <w:tabs>
          <w:tab w:val="right" w:leader="dot" w:pos="9062"/>
        </w:tabs>
        <w:ind w:left="220"/>
      </w:pPr>
      <w:hyperlink w:anchor="_Toc5724" w:history="1">
        <w:r>
          <w:rPr>
            <w:rFonts w:ascii="IRNazanin" w:hAnsi="IRNazanin" w:eastAsia="IRNazanin" w:cs="IRNazanin"/>
            <w:color w:val="111111"/>
            <w:sz w:val="22"/>
            <w:szCs w:val="22"/>
            <w:b w:val="0"/>
            <w:bCs w:val="0"/>
            <w:i w:val="0"/>
            <w:iCs w:val="0"/>
          </w:rPr>
          <w:t>قزويني، عبد النبي بن محمّد تقي 1125</w:t>
        </w:r>
        <w:r>
          <w:tab/>
        </w:r>
        <w:r>
          <w:fldChar w:fldCharType="begin"/>
        </w:r>
        <w:r>
          <w:instrText xml:space="preserve">PAGEREF 5724 \h</w:instrText>
        </w:r>
        <w:r>
          <w:fldChar w:fldCharType="end"/>
        </w:r>
      </w:hyperlink>
    </w:p>
    <w:p>
      <w:pPr>
        <w:tabs>
          <w:tab w:val="right" w:leader="dot" w:pos="9062"/>
        </w:tabs>
        <w:ind w:left="220"/>
      </w:pPr>
      <w:hyperlink w:anchor="_Toc5725" w:history="1">
        <w:r>
          <w:rPr>
            <w:rFonts w:ascii="IRNazanin" w:hAnsi="IRNazanin" w:eastAsia="IRNazanin" w:cs="IRNazanin"/>
            <w:color w:val="111111"/>
            <w:sz w:val="22"/>
            <w:szCs w:val="22"/>
            <w:b w:val="0"/>
            <w:bCs w:val="0"/>
            <w:i w:val="0"/>
            <w:iCs w:val="0"/>
          </w:rPr>
          <w:t>قزويني ، عبد الوهاب بن محمّد علي</w:t>
        </w:r>
        <w:r>
          <w:tab/>
        </w:r>
        <w:r>
          <w:fldChar w:fldCharType="begin"/>
        </w:r>
        <w:r>
          <w:instrText xml:space="preserve">PAGEREF 5725 \h</w:instrText>
        </w:r>
        <w:r>
          <w:fldChar w:fldCharType="end"/>
        </w:r>
      </w:hyperlink>
    </w:p>
    <w:p>
      <w:pPr>
        <w:tabs>
          <w:tab w:val="right" w:leader="dot" w:pos="9062"/>
        </w:tabs>
        <w:ind w:left="220"/>
      </w:pPr>
      <w:hyperlink w:anchor="_Toc5726" w:history="1">
        <w:r>
          <w:rPr>
            <w:rFonts w:ascii="IRNazanin" w:hAnsi="IRNazanin" w:eastAsia="IRNazanin" w:cs="IRNazanin"/>
            <w:color w:val="111111"/>
            <w:sz w:val="22"/>
            <w:szCs w:val="22"/>
            <w:b w:val="0"/>
            <w:bCs w:val="0"/>
            <w:i w:val="0"/>
            <w:iCs w:val="0"/>
          </w:rPr>
          <w:t>قزويني ، علي اصغر بن محمّد یوسف</w:t>
        </w:r>
        <w:r>
          <w:tab/>
        </w:r>
        <w:r>
          <w:fldChar w:fldCharType="begin"/>
        </w:r>
        <w:r>
          <w:instrText xml:space="preserve">PAGEREF 5726 \h</w:instrText>
        </w:r>
        <w:r>
          <w:fldChar w:fldCharType="end"/>
        </w:r>
      </w:hyperlink>
    </w:p>
    <w:p>
      <w:pPr>
        <w:tabs>
          <w:tab w:val="right" w:leader="dot" w:pos="9062"/>
        </w:tabs>
        <w:ind w:left="220"/>
      </w:pPr>
      <w:hyperlink w:anchor="_Toc5727" w:history="1">
        <w:r>
          <w:rPr>
            <w:rFonts w:ascii="IRNazanin" w:hAnsi="IRNazanin" w:eastAsia="IRNazanin" w:cs="IRNazanin"/>
            <w:color w:val="111111"/>
            <w:sz w:val="22"/>
            <w:szCs w:val="22"/>
            <w:b w:val="0"/>
            <w:bCs w:val="0"/>
            <w:i w:val="0"/>
            <w:iCs w:val="0"/>
          </w:rPr>
          <w:t>قزويني ، علي بن ابي القاسم محمّد -</w:t>
        </w:r>
        <w:r>
          <w:tab/>
        </w:r>
        <w:r>
          <w:fldChar w:fldCharType="begin"/>
        </w:r>
        <w:r>
          <w:instrText xml:space="preserve">PAGEREF 5727 \h</w:instrText>
        </w:r>
        <w:r>
          <w:fldChar w:fldCharType="end"/>
        </w:r>
      </w:hyperlink>
    </w:p>
    <w:p>
      <w:pPr>
        <w:tabs>
          <w:tab w:val="right" w:leader="dot" w:pos="9062"/>
        </w:tabs>
        <w:ind w:left="220"/>
      </w:pPr>
      <w:hyperlink w:anchor="_Toc5728" w:history="1">
        <w:r>
          <w:rPr>
            <w:rFonts w:ascii="IRNazanin" w:hAnsi="IRNazanin" w:eastAsia="IRNazanin" w:cs="IRNazanin"/>
            <w:color w:val="111111"/>
            <w:sz w:val="22"/>
            <w:szCs w:val="22"/>
            <w:b w:val="0"/>
            <w:bCs w:val="0"/>
            <w:i w:val="0"/>
            <w:iCs w:val="0"/>
          </w:rPr>
          <w:t>قزويني ، علي بن اسماعيل - 1298 ه-</w:t>
        </w:r>
        <w:r>
          <w:tab/>
        </w:r>
        <w:r>
          <w:fldChar w:fldCharType="begin"/>
        </w:r>
        <w:r>
          <w:instrText xml:space="preserve">PAGEREF 5728 \h</w:instrText>
        </w:r>
        <w:r>
          <w:fldChar w:fldCharType="end"/>
        </w:r>
      </w:hyperlink>
    </w:p>
    <w:p>
      <w:pPr>
        <w:tabs>
          <w:tab w:val="right" w:leader="dot" w:pos="9062"/>
        </w:tabs>
        <w:ind w:left="220"/>
      </w:pPr>
      <w:hyperlink w:anchor="_Toc5729" w:history="1">
        <w:r>
          <w:rPr>
            <w:rFonts w:ascii="IRNazanin" w:hAnsi="IRNazanin" w:eastAsia="IRNazanin" w:cs="IRNazanin"/>
            <w:color w:val="111111"/>
            <w:sz w:val="22"/>
            <w:szCs w:val="22"/>
            <w:b w:val="0"/>
            <w:bCs w:val="0"/>
            <w:i w:val="0"/>
            <w:iCs w:val="0"/>
          </w:rPr>
          <w:t>قزويني ، علي، قرن 13 ه-</w:t>
        </w:r>
        <w:r>
          <w:tab/>
        </w:r>
        <w:r>
          <w:fldChar w:fldCharType="begin"/>
        </w:r>
        <w:r>
          <w:instrText xml:space="preserve">PAGEREF 5729 \h</w:instrText>
        </w:r>
        <w:r>
          <w:fldChar w:fldCharType="end"/>
        </w:r>
      </w:hyperlink>
    </w:p>
    <w:p>
      <w:pPr>
        <w:tabs>
          <w:tab w:val="right" w:leader="dot" w:pos="9062"/>
        </w:tabs>
        <w:ind w:left="220"/>
      </w:pPr>
      <w:hyperlink w:anchor="_Toc5730" w:history="1">
        <w:r>
          <w:rPr>
            <w:rFonts w:ascii="IRNazanin" w:hAnsi="IRNazanin" w:eastAsia="IRNazanin" w:cs="IRNazanin"/>
            <w:color w:val="111111"/>
            <w:sz w:val="22"/>
            <w:szCs w:val="22"/>
            <w:b w:val="0"/>
            <w:bCs w:val="0"/>
            <w:i w:val="0"/>
            <w:iCs w:val="0"/>
          </w:rPr>
          <w:t>قزويني علي بن محمّد، 1209-1290ه-</w:t>
        </w:r>
        <w:r>
          <w:tab/>
        </w:r>
        <w:r>
          <w:fldChar w:fldCharType="begin"/>
        </w:r>
        <w:r>
          <w:instrText xml:space="preserve">PAGEREF 5730 \h</w:instrText>
        </w:r>
        <w:r>
          <w:fldChar w:fldCharType="end"/>
        </w:r>
      </w:hyperlink>
    </w:p>
    <w:p>
      <w:pPr>
        <w:tabs>
          <w:tab w:val="right" w:leader="dot" w:pos="9062"/>
        </w:tabs>
        <w:ind w:left="220"/>
      </w:pPr>
      <w:hyperlink w:anchor="_Toc5731" w:history="1">
        <w:r>
          <w:rPr>
            <w:rFonts w:ascii="IRNazanin" w:hAnsi="IRNazanin" w:eastAsia="IRNazanin" w:cs="IRNazanin"/>
            <w:color w:val="111111"/>
            <w:sz w:val="22"/>
            <w:szCs w:val="22"/>
            <w:b w:val="0"/>
            <w:bCs w:val="0"/>
            <w:i w:val="0"/>
            <w:iCs w:val="0"/>
          </w:rPr>
          <w:t>قزويني ، عمر بن عبدالرحمن 683 -</w:t>
        </w:r>
        <w:r>
          <w:tab/>
        </w:r>
        <w:r>
          <w:fldChar w:fldCharType="begin"/>
        </w:r>
        <w:r>
          <w:instrText xml:space="preserve">PAGEREF 5731 \h</w:instrText>
        </w:r>
        <w:r>
          <w:fldChar w:fldCharType="end"/>
        </w:r>
      </w:hyperlink>
    </w:p>
    <w:p>
      <w:pPr>
        <w:tabs>
          <w:tab w:val="right" w:leader="dot" w:pos="9062"/>
        </w:tabs>
        <w:ind w:left="220"/>
      </w:pPr>
      <w:hyperlink w:anchor="_Toc5732" w:history="1">
        <w:r>
          <w:rPr>
            <w:rFonts w:ascii="IRNazanin" w:hAnsi="IRNazanin" w:eastAsia="IRNazanin" w:cs="IRNazanin"/>
            <w:color w:val="111111"/>
            <w:sz w:val="22"/>
            <w:szCs w:val="22"/>
            <w:b w:val="0"/>
            <w:bCs w:val="0"/>
            <w:i w:val="0"/>
            <w:iCs w:val="0"/>
          </w:rPr>
          <w:t>قزويني ، عمر بن علي، 683 - 750 ه-</w:t>
        </w:r>
        <w:r>
          <w:tab/>
        </w:r>
        <w:r>
          <w:fldChar w:fldCharType="begin"/>
        </w:r>
        <w:r>
          <w:instrText xml:space="preserve">PAGEREF 5732 \h</w:instrText>
        </w:r>
        <w:r>
          <w:fldChar w:fldCharType="end"/>
        </w:r>
      </w:hyperlink>
    </w:p>
    <w:p>
      <w:pPr>
        <w:tabs>
          <w:tab w:val="right" w:leader="dot" w:pos="9062"/>
        </w:tabs>
        <w:ind w:left="220"/>
      </w:pPr>
      <w:hyperlink w:anchor="_Toc5733" w:history="1">
        <w:r>
          <w:rPr>
            <w:rFonts w:ascii="IRNazanin" w:hAnsi="IRNazanin" w:eastAsia="IRNazanin" w:cs="IRNazanin"/>
            <w:color w:val="111111"/>
            <w:sz w:val="22"/>
            <w:szCs w:val="22"/>
            <w:b w:val="0"/>
            <w:bCs w:val="0"/>
            <w:i w:val="0"/>
            <w:iCs w:val="0"/>
          </w:rPr>
          <w:t>قزويني ، محسن بن محمّد طاهر -</w:t>
        </w:r>
        <w:r>
          <w:tab/>
        </w:r>
        <w:r>
          <w:fldChar w:fldCharType="begin"/>
        </w:r>
        <w:r>
          <w:instrText xml:space="preserve">PAGEREF 5733 \h</w:instrText>
        </w:r>
        <w:r>
          <w:fldChar w:fldCharType="end"/>
        </w:r>
      </w:hyperlink>
    </w:p>
    <w:p>
      <w:pPr>
        <w:tabs>
          <w:tab w:val="right" w:leader="dot" w:pos="9062"/>
        </w:tabs>
        <w:ind w:left="220"/>
      </w:pPr>
      <w:hyperlink w:anchor="_Toc5734" w:history="1">
        <w:r>
          <w:rPr>
            <w:rFonts w:ascii="IRNazanin" w:hAnsi="IRNazanin" w:eastAsia="IRNazanin" w:cs="IRNazanin"/>
            <w:color w:val="111111"/>
            <w:sz w:val="22"/>
            <w:szCs w:val="22"/>
            <w:b w:val="0"/>
            <w:bCs w:val="0"/>
            <w:i w:val="0"/>
            <w:iCs w:val="0"/>
          </w:rPr>
          <w:t>قزويني ، محمّد</w:t>
        </w:r>
        <w:r>
          <w:tab/>
        </w:r>
        <w:r>
          <w:fldChar w:fldCharType="begin"/>
        </w:r>
        <w:r>
          <w:instrText xml:space="preserve">PAGEREF 5734 \h</w:instrText>
        </w:r>
        <w:r>
          <w:fldChar w:fldCharType="end"/>
        </w:r>
      </w:hyperlink>
    </w:p>
    <w:p>
      <w:pPr>
        <w:tabs>
          <w:tab w:val="right" w:leader="dot" w:pos="9062"/>
        </w:tabs>
        <w:ind w:left="220"/>
      </w:pPr>
      <w:hyperlink w:anchor="_Toc5735" w:history="1">
        <w:r>
          <w:rPr>
            <w:rFonts w:ascii="IRNazanin" w:hAnsi="IRNazanin" w:eastAsia="IRNazanin" w:cs="IRNazanin"/>
            <w:color w:val="111111"/>
            <w:sz w:val="22"/>
            <w:szCs w:val="22"/>
            <w:b w:val="0"/>
            <w:bCs w:val="0"/>
            <w:i w:val="0"/>
            <w:iCs w:val="0"/>
          </w:rPr>
          <w:t>قزويني ، محمّد بن حسن 1025</w:t>
        </w:r>
        <w:r>
          <w:tab/>
        </w:r>
        <w:r>
          <w:fldChar w:fldCharType="begin"/>
        </w:r>
        <w:r>
          <w:instrText xml:space="preserve">PAGEREF 5735 \h</w:instrText>
        </w:r>
        <w:r>
          <w:fldChar w:fldCharType="end"/>
        </w:r>
      </w:hyperlink>
    </w:p>
    <w:p>
      <w:pPr>
        <w:tabs>
          <w:tab w:val="right" w:leader="dot" w:pos="9062"/>
        </w:tabs>
        <w:ind w:left="220"/>
      </w:pPr>
      <w:hyperlink w:anchor="_Toc5736" w:history="1">
        <w:r>
          <w:rPr>
            <w:rFonts w:ascii="IRNazanin" w:hAnsi="IRNazanin" w:eastAsia="IRNazanin" w:cs="IRNazanin"/>
            <w:color w:val="111111"/>
            <w:sz w:val="22"/>
            <w:szCs w:val="22"/>
            <w:b w:val="0"/>
            <w:bCs w:val="0"/>
            <w:i w:val="0"/>
            <w:iCs w:val="0"/>
          </w:rPr>
          <w:t>قزويني محمّد بن مبارك شاه 928ه-</w:t>
        </w:r>
        <w:r>
          <w:tab/>
        </w:r>
        <w:r>
          <w:fldChar w:fldCharType="begin"/>
        </w:r>
        <w:r>
          <w:instrText xml:space="preserve">PAGEREF 5736 \h</w:instrText>
        </w:r>
        <w:r>
          <w:fldChar w:fldCharType="end"/>
        </w:r>
      </w:hyperlink>
    </w:p>
    <w:p>
      <w:pPr>
        <w:tabs>
          <w:tab w:val="right" w:leader="dot" w:pos="9062"/>
        </w:tabs>
        <w:ind w:left="220"/>
      </w:pPr>
      <w:hyperlink w:anchor="_Toc5737" w:history="1">
        <w:r>
          <w:rPr>
            <w:rFonts w:ascii="IRNazanin" w:hAnsi="IRNazanin" w:eastAsia="IRNazanin" w:cs="IRNazanin"/>
            <w:color w:val="111111"/>
            <w:sz w:val="22"/>
            <w:szCs w:val="22"/>
            <w:b w:val="0"/>
            <w:bCs w:val="0"/>
            <w:i w:val="0"/>
            <w:iCs w:val="0"/>
          </w:rPr>
          <w:t>قزويني ، محمّد حسن بن محمّد باقر -</w:t>
        </w:r>
        <w:r>
          <w:tab/>
        </w:r>
        <w:r>
          <w:fldChar w:fldCharType="begin"/>
        </w:r>
        <w:r>
          <w:instrText xml:space="preserve">PAGEREF 5737 \h</w:instrText>
        </w:r>
        <w:r>
          <w:fldChar w:fldCharType="end"/>
        </w:r>
      </w:hyperlink>
    </w:p>
    <w:p>
      <w:pPr>
        <w:tabs>
          <w:tab w:val="right" w:leader="dot" w:pos="9062"/>
        </w:tabs>
        <w:ind w:left="220"/>
      </w:pPr>
      <w:hyperlink w:anchor="_Toc5738" w:history="1">
        <w:r>
          <w:rPr>
            <w:rFonts w:ascii="IRNazanin" w:hAnsi="IRNazanin" w:eastAsia="IRNazanin" w:cs="IRNazanin"/>
            <w:color w:val="111111"/>
            <w:sz w:val="22"/>
            <w:szCs w:val="22"/>
            <w:b w:val="0"/>
            <w:bCs w:val="0"/>
            <w:i w:val="0"/>
            <w:iCs w:val="0"/>
          </w:rPr>
          <w:t>قزويني ، محمّد حسن بن محمّد باقر</w:t>
        </w:r>
        <w:r>
          <w:tab/>
        </w:r>
        <w:r>
          <w:fldChar w:fldCharType="begin"/>
        </w:r>
        <w:r>
          <w:instrText xml:space="preserve">PAGEREF 5738 \h</w:instrText>
        </w:r>
        <w:r>
          <w:fldChar w:fldCharType="end"/>
        </w:r>
      </w:hyperlink>
    </w:p>
    <w:p>
      <w:pPr>
        <w:tabs>
          <w:tab w:val="right" w:leader="dot" w:pos="9062"/>
        </w:tabs>
        <w:ind w:left="220"/>
      </w:pPr>
      <w:hyperlink w:anchor="_Toc5739" w:history="1">
        <w:r>
          <w:rPr>
            <w:rFonts w:ascii="IRNazanin" w:hAnsi="IRNazanin" w:eastAsia="IRNazanin" w:cs="IRNazanin"/>
            <w:color w:val="111111"/>
            <w:sz w:val="22"/>
            <w:szCs w:val="22"/>
            <w:b w:val="0"/>
            <w:bCs w:val="0"/>
            <w:i w:val="0"/>
            <w:iCs w:val="0"/>
          </w:rPr>
          <w:t>قزويني ، محمّد حسن بن محمّد باقر</w:t>
        </w:r>
        <w:r>
          <w:tab/>
        </w:r>
        <w:r>
          <w:fldChar w:fldCharType="begin"/>
        </w:r>
        <w:r>
          <w:instrText xml:space="preserve">PAGEREF 5739 \h</w:instrText>
        </w:r>
        <w:r>
          <w:fldChar w:fldCharType="end"/>
        </w:r>
      </w:hyperlink>
    </w:p>
    <w:p>
      <w:pPr>
        <w:tabs>
          <w:tab w:val="right" w:leader="dot" w:pos="9062"/>
        </w:tabs>
        <w:ind w:left="220"/>
      </w:pPr>
      <w:hyperlink w:anchor="_Toc5740" w:history="1">
        <w:r>
          <w:rPr>
            <w:rFonts w:ascii="IRNazanin" w:hAnsi="IRNazanin" w:eastAsia="IRNazanin" w:cs="IRNazanin"/>
            <w:color w:val="111111"/>
            <w:sz w:val="22"/>
            <w:szCs w:val="22"/>
            <w:b w:val="0"/>
            <w:bCs w:val="0"/>
            <w:i w:val="0"/>
            <w:iCs w:val="0"/>
          </w:rPr>
          <w:t>قزويني ، محمّد حسن بن محمّد باقر</w:t>
        </w:r>
        <w:r>
          <w:tab/>
        </w:r>
        <w:r>
          <w:fldChar w:fldCharType="begin"/>
        </w:r>
        <w:r>
          <w:instrText xml:space="preserve">PAGEREF 5740 \h</w:instrText>
        </w:r>
        <w:r>
          <w:fldChar w:fldCharType="end"/>
        </w:r>
      </w:hyperlink>
    </w:p>
    <w:p>
      <w:pPr>
        <w:tabs>
          <w:tab w:val="right" w:leader="dot" w:pos="9062"/>
        </w:tabs>
        <w:ind w:left="220"/>
      </w:pPr>
      <w:hyperlink w:anchor="_Toc5741" w:history="1">
        <w:r>
          <w:rPr>
            <w:rFonts w:ascii="IRNazanin" w:hAnsi="IRNazanin" w:eastAsia="IRNazanin" w:cs="IRNazanin"/>
            <w:color w:val="111111"/>
            <w:sz w:val="22"/>
            <w:szCs w:val="22"/>
            <w:b w:val="0"/>
            <w:bCs w:val="0"/>
            <w:i w:val="0"/>
            <w:iCs w:val="0"/>
          </w:rPr>
          <w:t>قزويني ، محمّد حسن بن محمّد باقر -</w:t>
        </w:r>
        <w:r>
          <w:tab/>
        </w:r>
        <w:r>
          <w:fldChar w:fldCharType="begin"/>
        </w:r>
        <w:r>
          <w:instrText xml:space="preserve">PAGEREF 5741 \h</w:instrText>
        </w:r>
        <w:r>
          <w:fldChar w:fldCharType="end"/>
        </w:r>
      </w:hyperlink>
    </w:p>
    <w:p>
      <w:pPr>
        <w:tabs>
          <w:tab w:val="right" w:leader="dot" w:pos="9062"/>
        </w:tabs>
        <w:ind w:left="220"/>
      </w:pPr>
      <w:hyperlink w:anchor="_Toc5742" w:history="1">
        <w:r>
          <w:rPr>
            <w:rFonts w:ascii="IRNazanin" w:hAnsi="IRNazanin" w:eastAsia="IRNazanin" w:cs="IRNazanin"/>
            <w:color w:val="111111"/>
            <w:sz w:val="22"/>
            <w:szCs w:val="22"/>
            <w:b w:val="0"/>
            <w:bCs w:val="0"/>
            <w:i w:val="0"/>
            <w:iCs w:val="0"/>
          </w:rPr>
          <w:t>قزويني ، محمّد حسن بن محمّد معصوم</w:t>
        </w:r>
        <w:r>
          <w:tab/>
        </w:r>
        <w:r>
          <w:fldChar w:fldCharType="begin"/>
        </w:r>
        <w:r>
          <w:instrText xml:space="preserve">PAGEREF 5742 \h</w:instrText>
        </w:r>
        <w:r>
          <w:fldChar w:fldCharType="end"/>
        </w:r>
      </w:hyperlink>
    </w:p>
    <w:p>
      <w:pPr>
        <w:tabs>
          <w:tab w:val="right" w:leader="dot" w:pos="9062"/>
        </w:tabs>
        <w:ind w:left="220"/>
      </w:pPr>
      <w:hyperlink w:anchor="_Toc5743" w:history="1">
        <w:r>
          <w:rPr>
            <w:rFonts w:ascii="IRNazanin" w:hAnsi="IRNazanin" w:eastAsia="IRNazanin" w:cs="IRNazanin"/>
            <w:color w:val="111111"/>
            <w:sz w:val="22"/>
            <w:szCs w:val="22"/>
            <w:b w:val="0"/>
            <w:bCs w:val="0"/>
            <w:i w:val="0"/>
            <w:iCs w:val="0"/>
          </w:rPr>
          <w:t>قزويني ، محمّد حسین قرن 13 ه-</w:t>
        </w:r>
        <w:r>
          <w:tab/>
        </w:r>
        <w:r>
          <w:fldChar w:fldCharType="begin"/>
        </w:r>
        <w:r>
          <w:instrText xml:space="preserve">PAGEREF 5743 \h</w:instrText>
        </w:r>
        <w:r>
          <w:fldChar w:fldCharType="end"/>
        </w:r>
      </w:hyperlink>
    </w:p>
    <w:p>
      <w:pPr>
        <w:tabs>
          <w:tab w:val="right" w:leader="dot" w:pos="9062"/>
        </w:tabs>
        <w:ind w:left="220"/>
      </w:pPr>
      <w:hyperlink w:anchor="_Toc5744" w:history="1">
        <w:r>
          <w:rPr>
            <w:rFonts w:ascii="IRNazanin" w:hAnsi="IRNazanin" w:eastAsia="IRNazanin" w:cs="IRNazanin"/>
            <w:color w:val="111111"/>
            <w:sz w:val="22"/>
            <w:szCs w:val="22"/>
            <w:b w:val="0"/>
            <w:bCs w:val="0"/>
            <w:i w:val="0"/>
            <w:iCs w:val="0"/>
          </w:rPr>
          <w:t>قزويني ، محمّد رضي بن محمّد نبي</w:t>
        </w:r>
        <w:r>
          <w:tab/>
        </w:r>
        <w:r>
          <w:fldChar w:fldCharType="begin"/>
        </w:r>
        <w:r>
          <w:instrText xml:space="preserve">PAGEREF 5744 \h</w:instrText>
        </w:r>
        <w:r>
          <w:fldChar w:fldCharType="end"/>
        </w:r>
      </w:hyperlink>
    </w:p>
    <w:p>
      <w:pPr>
        <w:tabs>
          <w:tab w:val="right" w:leader="dot" w:pos="9062"/>
        </w:tabs>
        <w:ind w:left="220"/>
      </w:pPr>
      <w:hyperlink w:anchor="_Toc5745" w:history="1">
        <w:r>
          <w:rPr>
            <w:rFonts w:ascii="IRNazanin" w:hAnsi="IRNazanin" w:eastAsia="IRNazanin" w:cs="IRNazanin"/>
            <w:color w:val="111111"/>
            <w:sz w:val="22"/>
            <w:szCs w:val="22"/>
            <w:b w:val="0"/>
            <w:bCs w:val="0"/>
            <w:i w:val="0"/>
            <w:iCs w:val="0"/>
          </w:rPr>
          <w:t>قزويني ، محمّد طاهر بن محمد مؤمن</w:t>
        </w:r>
        <w:r>
          <w:tab/>
        </w:r>
        <w:r>
          <w:fldChar w:fldCharType="begin"/>
        </w:r>
        <w:r>
          <w:instrText xml:space="preserve">PAGEREF 5745 \h</w:instrText>
        </w:r>
        <w:r>
          <w:fldChar w:fldCharType="end"/>
        </w:r>
      </w:hyperlink>
    </w:p>
    <w:p>
      <w:pPr>
        <w:tabs>
          <w:tab w:val="right" w:leader="dot" w:pos="9062"/>
        </w:tabs>
        <w:ind w:left="220"/>
      </w:pPr>
      <w:hyperlink w:anchor="_Toc5746" w:history="1">
        <w:r>
          <w:rPr>
            <w:rFonts w:ascii="IRNazanin" w:hAnsi="IRNazanin" w:eastAsia="IRNazanin" w:cs="IRNazanin"/>
            <w:color w:val="111111"/>
            <w:sz w:val="22"/>
            <w:szCs w:val="22"/>
            <w:b w:val="0"/>
            <w:bCs w:val="0"/>
            <w:i w:val="0"/>
            <w:iCs w:val="0"/>
          </w:rPr>
          <w:t>قزويني ، محمّد مهدي بن حسن 1222 -</w:t>
        </w:r>
        <w:r>
          <w:tab/>
        </w:r>
        <w:r>
          <w:fldChar w:fldCharType="begin"/>
        </w:r>
        <w:r>
          <w:instrText xml:space="preserve">PAGEREF 5746 \h</w:instrText>
        </w:r>
        <w:r>
          <w:fldChar w:fldCharType="end"/>
        </w:r>
      </w:hyperlink>
    </w:p>
    <w:p>
      <w:pPr>
        <w:tabs>
          <w:tab w:val="right" w:leader="dot" w:pos="9062"/>
        </w:tabs>
        <w:ind w:left="220"/>
      </w:pPr>
      <w:hyperlink w:anchor="_Toc5747" w:history="1">
        <w:r>
          <w:rPr>
            <w:rFonts w:ascii="IRNazanin" w:hAnsi="IRNazanin" w:eastAsia="IRNazanin" w:cs="IRNazanin"/>
            <w:color w:val="111111"/>
            <w:sz w:val="22"/>
            <w:szCs w:val="22"/>
            <w:b w:val="0"/>
            <w:bCs w:val="0"/>
            <w:i w:val="0"/>
            <w:iCs w:val="0"/>
          </w:rPr>
          <w:t>قزويني ، محمّد مهدي بن علي اصغر</w:t>
        </w:r>
        <w:r>
          <w:tab/>
        </w:r>
        <w:r>
          <w:fldChar w:fldCharType="begin"/>
        </w:r>
        <w:r>
          <w:instrText xml:space="preserve">PAGEREF 5747 \h</w:instrText>
        </w:r>
        <w:r>
          <w:fldChar w:fldCharType="end"/>
        </w:r>
      </w:hyperlink>
    </w:p>
    <w:p>
      <w:pPr>
        <w:tabs>
          <w:tab w:val="right" w:leader="dot" w:pos="9062"/>
        </w:tabs>
        <w:ind w:left="220"/>
      </w:pPr>
      <w:hyperlink w:anchor="_Toc5748" w:history="1">
        <w:r>
          <w:rPr>
            <w:rFonts w:ascii="IRNazanin" w:hAnsi="IRNazanin" w:eastAsia="IRNazanin" w:cs="IRNazanin"/>
            <w:color w:val="111111"/>
            <w:sz w:val="22"/>
            <w:szCs w:val="22"/>
            <w:b w:val="0"/>
            <w:bCs w:val="0"/>
            <w:i w:val="0"/>
            <w:iCs w:val="0"/>
          </w:rPr>
          <w:t>قزويني ، محمّد هاشم بن مهدي</w:t>
        </w:r>
        <w:r>
          <w:tab/>
        </w:r>
        <w:r>
          <w:fldChar w:fldCharType="begin"/>
        </w:r>
        <w:r>
          <w:instrText xml:space="preserve">PAGEREF 5748 \h</w:instrText>
        </w:r>
        <w:r>
          <w:fldChar w:fldCharType="end"/>
        </w:r>
      </w:hyperlink>
    </w:p>
    <w:p>
      <w:pPr>
        <w:tabs>
          <w:tab w:val="right" w:leader="dot" w:pos="9062"/>
        </w:tabs>
        <w:ind w:left="220"/>
      </w:pPr>
      <w:hyperlink w:anchor="_Toc5749" w:history="1">
        <w:r>
          <w:rPr>
            <w:rFonts w:ascii="IRNazanin" w:hAnsi="IRNazanin" w:eastAsia="IRNazanin" w:cs="IRNazanin"/>
            <w:color w:val="111111"/>
            <w:sz w:val="22"/>
            <w:szCs w:val="22"/>
            <w:b w:val="0"/>
            <w:bCs w:val="0"/>
            <w:i w:val="0"/>
            <w:iCs w:val="0"/>
          </w:rPr>
          <w:t>قزويني ، محمّد يحيى</w:t>
        </w:r>
        <w:r>
          <w:tab/>
        </w:r>
        <w:r>
          <w:fldChar w:fldCharType="begin"/>
        </w:r>
        <w:r>
          <w:instrText xml:space="preserve">PAGEREF 5749 \h</w:instrText>
        </w:r>
        <w:r>
          <w:fldChar w:fldCharType="end"/>
        </w:r>
      </w:hyperlink>
    </w:p>
    <w:p>
      <w:pPr>
        <w:tabs>
          <w:tab w:val="right" w:leader="dot" w:pos="9062"/>
        </w:tabs>
        <w:ind w:left="220"/>
      </w:pPr>
      <w:hyperlink w:anchor="_Toc5750" w:history="1">
        <w:r>
          <w:rPr>
            <w:rFonts w:ascii="IRNazanin" w:hAnsi="IRNazanin" w:eastAsia="IRNazanin" w:cs="IRNazanin"/>
            <w:color w:val="111111"/>
            <w:sz w:val="22"/>
            <w:szCs w:val="22"/>
            <w:b w:val="0"/>
            <w:bCs w:val="0"/>
            <w:i w:val="0"/>
            <w:iCs w:val="0"/>
          </w:rPr>
          <w:t>قزويني ، محمّد يحيى بن محمّد شفیع</w:t>
        </w:r>
        <w:r>
          <w:tab/>
        </w:r>
        <w:r>
          <w:fldChar w:fldCharType="begin"/>
        </w:r>
        <w:r>
          <w:instrText xml:space="preserve">PAGEREF 5750 \h</w:instrText>
        </w:r>
        <w:r>
          <w:fldChar w:fldCharType="end"/>
        </w:r>
      </w:hyperlink>
    </w:p>
    <w:p>
      <w:pPr>
        <w:tabs>
          <w:tab w:val="right" w:leader="dot" w:pos="9062"/>
        </w:tabs>
        <w:ind w:left="220"/>
      </w:pPr>
      <w:hyperlink w:anchor="_Toc5751" w:history="1">
        <w:r>
          <w:rPr>
            <w:rFonts w:ascii="IRNazanin" w:hAnsi="IRNazanin" w:eastAsia="IRNazanin" w:cs="IRNazanin"/>
            <w:color w:val="111111"/>
            <w:sz w:val="22"/>
            <w:szCs w:val="22"/>
            <w:b w:val="0"/>
            <w:bCs w:val="0"/>
            <w:i w:val="0"/>
            <w:iCs w:val="0"/>
          </w:rPr>
          <w:t>قزويني ، محمود بن حسن - 414 ه-</w:t>
        </w:r>
        <w:r>
          <w:tab/>
        </w:r>
        <w:r>
          <w:fldChar w:fldCharType="begin"/>
        </w:r>
        <w:r>
          <w:instrText xml:space="preserve">PAGEREF 5751 \h</w:instrText>
        </w:r>
        <w:r>
          <w:fldChar w:fldCharType="end"/>
        </w:r>
      </w:hyperlink>
    </w:p>
    <w:p>
      <w:pPr>
        <w:tabs>
          <w:tab w:val="right" w:leader="dot" w:pos="9062"/>
        </w:tabs>
        <w:ind w:left="220"/>
      </w:pPr>
      <w:hyperlink w:anchor="_Toc5752" w:history="1">
        <w:r>
          <w:rPr>
            <w:rFonts w:ascii="IRNazanin" w:hAnsi="IRNazanin" w:eastAsia="IRNazanin" w:cs="IRNazanin"/>
            <w:color w:val="111111"/>
            <w:sz w:val="22"/>
            <w:szCs w:val="22"/>
            <w:b w:val="0"/>
            <w:bCs w:val="0"/>
            <w:i w:val="0"/>
            <w:iCs w:val="0"/>
          </w:rPr>
          <w:t>قزويني ، مهدي</w:t>
        </w:r>
        <w:r>
          <w:tab/>
        </w:r>
        <w:r>
          <w:fldChar w:fldCharType="begin"/>
        </w:r>
        <w:r>
          <w:instrText xml:space="preserve">PAGEREF 5752 \h</w:instrText>
        </w:r>
        <w:r>
          <w:fldChar w:fldCharType="end"/>
        </w:r>
      </w:hyperlink>
    </w:p>
    <w:p>
      <w:pPr>
        <w:tabs>
          <w:tab w:val="right" w:leader="dot" w:pos="9062"/>
        </w:tabs>
        <w:ind w:left="220"/>
      </w:pPr>
      <w:hyperlink w:anchor="_Toc5753" w:history="1">
        <w:r>
          <w:rPr>
            <w:rFonts w:ascii="IRNazanin" w:hAnsi="IRNazanin" w:eastAsia="IRNazanin" w:cs="IRNazanin"/>
            <w:color w:val="111111"/>
            <w:sz w:val="22"/>
            <w:szCs w:val="22"/>
            <w:b w:val="0"/>
            <w:bCs w:val="0"/>
            <w:i w:val="0"/>
            <w:iCs w:val="0"/>
          </w:rPr>
          <w:t>قزويني ، ميرزا يحيى قرن 13 ه-</w:t>
        </w:r>
        <w:r>
          <w:tab/>
        </w:r>
        <w:r>
          <w:fldChar w:fldCharType="begin"/>
        </w:r>
        <w:r>
          <w:instrText xml:space="preserve">PAGEREF 5753 \h</w:instrText>
        </w:r>
        <w:r>
          <w:fldChar w:fldCharType="end"/>
        </w:r>
      </w:hyperlink>
    </w:p>
    <w:p>
      <w:pPr>
        <w:tabs>
          <w:tab w:val="right" w:leader="dot" w:pos="9062"/>
        </w:tabs>
        <w:ind w:left="220"/>
      </w:pPr>
      <w:hyperlink w:anchor="_Toc5754" w:history="1">
        <w:r>
          <w:rPr>
            <w:rFonts w:ascii="IRNazanin" w:hAnsi="IRNazanin" w:eastAsia="IRNazanin" w:cs="IRNazanin"/>
            <w:color w:val="111111"/>
            <w:sz w:val="22"/>
            <w:szCs w:val="22"/>
            <w:b w:val="0"/>
            <w:bCs w:val="0"/>
            <w:i w:val="0"/>
            <w:iCs w:val="0"/>
          </w:rPr>
          <w:t>قزويني نجفي ، راضي - 1287 ه-</w:t>
        </w:r>
        <w:r>
          <w:tab/>
        </w:r>
        <w:r>
          <w:fldChar w:fldCharType="begin"/>
        </w:r>
        <w:r>
          <w:instrText xml:space="preserve">PAGEREF 5754 \h</w:instrText>
        </w:r>
        <w:r>
          <w:fldChar w:fldCharType="end"/>
        </w:r>
      </w:hyperlink>
    </w:p>
    <w:p>
      <w:pPr>
        <w:tabs>
          <w:tab w:val="right" w:leader="dot" w:pos="9062"/>
        </w:tabs>
        <w:ind w:left="220"/>
      </w:pPr>
      <w:hyperlink w:anchor="_Toc5755" w:history="1">
        <w:r>
          <w:rPr>
            <w:rFonts w:ascii="IRNazanin" w:hAnsi="IRNazanin" w:eastAsia="IRNazanin" w:cs="IRNazanin"/>
            <w:color w:val="111111"/>
            <w:sz w:val="22"/>
            <w:szCs w:val="22"/>
            <w:b w:val="0"/>
            <w:bCs w:val="0"/>
            <w:i w:val="0"/>
            <w:iCs w:val="0"/>
          </w:rPr>
          <w:t>قزويني نجفي، صالح بن محمّد مهدي</w:t>
        </w:r>
        <w:r>
          <w:tab/>
        </w:r>
        <w:r>
          <w:fldChar w:fldCharType="begin"/>
        </w:r>
        <w:r>
          <w:instrText xml:space="preserve">PAGEREF 5755 \h</w:instrText>
        </w:r>
        <w:r>
          <w:fldChar w:fldCharType="end"/>
        </w:r>
      </w:hyperlink>
    </w:p>
    <w:p>
      <w:pPr>
        <w:tabs>
          <w:tab w:val="right" w:leader="dot" w:pos="9062"/>
        </w:tabs>
        <w:ind w:left="220"/>
      </w:pPr>
      <w:hyperlink w:anchor="_Toc5756" w:history="1">
        <w:r>
          <w:rPr>
            <w:rFonts w:ascii="IRNazanin" w:hAnsi="IRNazanin" w:eastAsia="IRNazanin" w:cs="IRNazanin"/>
            <w:color w:val="111111"/>
            <w:sz w:val="22"/>
            <w:szCs w:val="22"/>
            <w:b w:val="0"/>
            <w:bCs w:val="0"/>
            <w:i w:val="0"/>
            <w:iCs w:val="0"/>
          </w:rPr>
          <w:t>قزويني ، يحيى بن شفيع</w:t>
        </w:r>
        <w:r>
          <w:tab/>
        </w:r>
        <w:r>
          <w:fldChar w:fldCharType="begin"/>
        </w:r>
        <w:r>
          <w:instrText xml:space="preserve">PAGEREF 5756 \h</w:instrText>
        </w:r>
        <w:r>
          <w:fldChar w:fldCharType="end"/>
        </w:r>
      </w:hyperlink>
    </w:p>
    <w:p>
      <w:pPr>
        <w:tabs>
          <w:tab w:val="right" w:leader="dot" w:pos="9062"/>
        </w:tabs>
        <w:ind w:left="220"/>
      </w:pPr>
      <w:hyperlink w:anchor="_Toc5757" w:history="1">
        <w:r>
          <w:rPr>
            <w:rFonts w:ascii="IRNazanin" w:hAnsi="IRNazanin" w:eastAsia="IRNazanin" w:cs="IRNazanin"/>
            <w:color w:val="111111"/>
            <w:sz w:val="22"/>
            <w:szCs w:val="22"/>
            <w:b w:val="0"/>
            <w:bCs w:val="0"/>
            <w:i w:val="0"/>
            <w:iCs w:val="0"/>
          </w:rPr>
          <w:t>قزويني ، يحيى بن عبد اللطيف، 885 -</w:t>
        </w:r>
        <w:r>
          <w:tab/>
        </w:r>
        <w:r>
          <w:fldChar w:fldCharType="begin"/>
        </w:r>
        <w:r>
          <w:instrText xml:space="preserve">PAGEREF 5757 \h</w:instrText>
        </w:r>
        <w:r>
          <w:fldChar w:fldCharType="end"/>
        </w:r>
      </w:hyperlink>
    </w:p>
    <w:p>
      <w:pPr>
        <w:tabs>
          <w:tab w:val="right" w:leader="dot" w:pos="9062"/>
        </w:tabs>
        <w:ind w:left="220"/>
      </w:pPr>
      <w:hyperlink w:anchor="_Toc5758" w:history="1">
        <w:r>
          <w:rPr>
            <w:rFonts w:ascii="IRNazanin" w:hAnsi="IRNazanin" w:eastAsia="IRNazanin" w:cs="IRNazanin"/>
            <w:color w:val="111111"/>
            <w:sz w:val="22"/>
            <w:szCs w:val="22"/>
            <w:b w:val="0"/>
            <w:bCs w:val="0"/>
            <w:i w:val="0"/>
            <w:iCs w:val="0"/>
          </w:rPr>
          <w:t>قزويني ، يوسف بن محمّد</w:t>
        </w:r>
        <w:r>
          <w:tab/>
        </w:r>
        <w:r>
          <w:fldChar w:fldCharType="begin"/>
        </w:r>
        <w:r>
          <w:instrText xml:space="preserve">PAGEREF 5758 \h</w:instrText>
        </w:r>
        <w:r>
          <w:fldChar w:fldCharType="end"/>
        </w:r>
      </w:hyperlink>
    </w:p>
    <w:p>
      <w:pPr>
        <w:tabs>
          <w:tab w:val="right" w:leader="dot" w:pos="9062"/>
        </w:tabs>
        <w:ind w:left="220"/>
      </w:pPr>
      <w:hyperlink w:anchor="_Toc5759" w:history="1">
        <w:r>
          <w:rPr>
            <w:rFonts w:ascii="IRNazanin" w:hAnsi="IRNazanin" w:eastAsia="IRNazanin" w:cs="IRNazanin"/>
            <w:color w:val="111111"/>
            <w:sz w:val="22"/>
            <w:szCs w:val="22"/>
            <w:b w:val="0"/>
            <w:bCs w:val="0"/>
            <w:i w:val="0"/>
            <w:iCs w:val="0"/>
          </w:rPr>
          <w:t>قس بن ساعدة - 23 ؟ قبل هجرت</w:t>
        </w:r>
        <w:r>
          <w:tab/>
        </w:r>
        <w:r>
          <w:fldChar w:fldCharType="begin"/>
        </w:r>
        <w:r>
          <w:instrText xml:space="preserve">PAGEREF 5759 \h</w:instrText>
        </w:r>
        <w:r>
          <w:fldChar w:fldCharType="end"/>
        </w:r>
      </w:hyperlink>
    </w:p>
    <w:p>
      <w:pPr>
        <w:tabs>
          <w:tab w:val="right" w:leader="dot" w:pos="9062"/>
        </w:tabs>
        <w:ind w:left="220"/>
      </w:pPr>
      <w:hyperlink w:anchor="_Toc5760" w:history="1">
        <w:r>
          <w:rPr>
            <w:rFonts w:ascii="IRNazanin" w:hAnsi="IRNazanin" w:eastAsia="IRNazanin" w:cs="IRNazanin"/>
            <w:color w:val="111111"/>
            <w:sz w:val="22"/>
            <w:szCs w:val="22"/>
            <w:b w:val="0"/>
            <w:bCs w:val="0"/>
            <w:i w:val="0"/>
            <w:iCs w:val="0"/>
          </w:rPr>
          <w:t>قسطا بن لوقا، قرن 3 ه-</w:t>
        </w:r>
        <w:r>
          <w:tab/>
        </w:r>
        <w:r>
          <w:fldChar w:fldCharType="begin"/>
        </w:r>
        <w:r>
          <w:instrText xml:space="preserve">PAGEREF 5760 \h</w:instrText>
        </w:r>
        <w:r>
          <w:fldChar w:fldCharType="end"/>
        </w:r>
      </w:hyperlink>
    </w:p>
    <w:p>
      <w:pPr>
        <w:tabs>
          <w:tab w:val="right" w:leader="dot" w:pos="9062"/>
        </w:tabs>
        <w:ind w:left="220"/>
      </w:pPr>
      <w:hyperlink w:anchor="_Toc5761" w:history="1">
        <w:r>
          <w:rPr>
            <w:rFonts w:ascii="IRNazanin" w:hAnsi="IRNazanin" w:eastAsia="IRNazanin" w:cs="IRNazanin"/>
            <w:color w:val="111111"/>
            <w:sz w:val="22"/>
            <w:szCs w:val="22"/>
            <w:b w:val="0"/>
            <w:bCs w:val="0"/>
            <w:i w:val="0"/>
            <w:iCs w:val="0"/>
          </w:rPr>
          <w:t>قسطلاني ابو السعود بن علي 1033ه-</w:t>
        </w:r>
        <w:r>
          <w:tab/>
        </w:r>
        <w:r>
          <w:fldChar w:fldCharType="begin"/>
        </w:r>
        <w:r>
          <w:instrText xml:space="preserve">PAGEREF 5761 \h</w:instrText>
        </w:r>
        <w:r>
          <w:fldChar w:fldCharType="end"/>
        </w:r>
      </w:hyperlink>
    </w:p>
    <w:p>
      <w:pPr>
        <w:tabs>
          <w:tab w:val="right" w:leader="dot" w:pos="9062"/>
        </w:tabs>
        <w:ind w:left="220"/>
      </w:pPr>
      <w:hyperlink w:anchor="_Toc5762" w:history="1">
        <w:r>
          <w:rPr>
            <w:rFonts w:ascii="IRNazanin" w:hAnsi="IRNazanin" w:eastAsia="IRNazanin" w:cs="IRNazanin"/>
            <w:color w:val="111111"/>
            <w:sz w:val="22"/>
            <w:szCs w:val="22"/>
            <w:b w:val="0"/>
            <w:bCs w:val="0"/>
            <w:i w:val="0"/>
            <w:iCs w:val="0"/>
          </w:rPr>
          <w:t>قسطلاني، احمد بن محمّد 851-923 ه-</w:t>
        </w:r>
        <w:r>
          <w:tab/>
        </w:r>
        <w:r>
          <w:fldChar w:fldCharType="begin"/>
        </w:r>
        <w:r>
          <w:instrText xml:space="preserve">PAGEREF 5762 \h</w:instrText>
        </w:r>
        <w:r>
          <w:fldChar w:fldCharType="end"/>
        </w:r>
      </w:hyperlink>
    </w:p>
    <w:p>
      <w:pPr>
        <w:tabs>
          <w:tab w:val="right" w:leader="dot" w:pos="9062"/>
        </w:tabs>
        <w:ind w:left="220"/>
      </w:pPr>
      <w:hyperlink w:anchor="_Toc5763" w:history="1">
        <w:r>
          <w:rPr>
            <w:rFonts w:ascii="IRNazanin" w:hAnsi="IRNazanin" w:eastAsia="IRNazanin" w:cs="IRNazanin"/>
            <w:color w:val="111111"/>
            <w:sz w:val="22"/>
            <w:szCs w:val="22"/>
            <w:b w:val="0"/>
            <w:bCs w:val="0"/>
            <w:i w:val="0"/>
            <w:iCs w:val="0"/>
          </w:rPr>
          <w:t>قسطلاني مصطفى بن محمّد - 901 ه-</w:t>
        </w:r>
        <w:r>
          <w:tab/>
        </w:r>
        <w:r>
          <w:fldChar w:fldCharType="begin"/>
        </w:r>
        <w:r>
          <w:instrText xml:space="preserve">PAGEREF 5763 \h</w:instrText>
        </w:r>
        <w:r>
          <w:fldChar w:fldCharType="end"/>
        </w:r>
      </w:hyperlink>
    </w:p>
    <w:p>
      <w:pPr>
        <w:tabs>
          <w:tab w:val="right" w:leader="dot" w:pos="9062"/>
        </w:tabs>
        <w:ind w:left="220"/>
      </w:pPr>
      <w:hyperlink w:anchor="_Toc5764" w:history="1">
        <w:r>
          <w:rPr>
            <w:rFonts w:ascii="IRNazanin" w:hAnsi="IRNazanin" w:eastAsia="IRNazanin" w:cs="IRNazanin"/>
            <w:color w:val="111111"/>
            <w:sz w:val="22"/>
            <w:szCs w:val="22"/>
            <w:b w:val="0"/>
            <w:bCs w:val="0"/>
            <w:i w:val="0"/>
            <w:iCs w:val="0"/>
          </w:rPr>
          <w:t>قسطموني ، علي بن محمّد - 1081 ه-</w:t>
        </w:r>
        <w:r>
          <w:tab/>
        </w:r>
        <w:r>
          <w:fldChar w:fldCharType="begin"/>
        </w:r>
        <w:r>
          <w:instrText xml:space="preserve">PAGEREF 5764 \h</w:instrText>
        </w:r>
        <w:r>
          <w:fldChar w:fldCharType="end"/>
        </w:r>
      </w:hyperlink>
    </w:p>
    <w:p>
      <w:pPr>
        <w:tabs>
          <w:tab w:val="right" w:leader="dot" w:pos="9062"/>
        </w:tabs>
        <w:ind w:left="220"/>
      </w:pPr>
      <w:hyperlink w:anchor="_Toc5765" w:history="1">
        <w:r>
          <w:rPr>
            <w:rFonts w:ascii="IRNazanin" w:hAnsi="IRNazanin" w:eastAsia="IRNazanin" w:cs="IRNazanin"/>
            <w:color w:val="111111"/>
            <w:sz w:val="22"/>
            <w:szCs w:val="22"/>
            <w:b w:val="0"/>
            <w:bCs w:val="0"/>
            <w:i w:val="0"/>
            <w:iCs w:val="0"/>
          </w:rPr>
          <w:t>قسطموني محرم بن ،پیر محمّد قرن 13ه-</w:t>
        </w:r>
        <w:r>
          <w:tab/>
        </w:r>
        <w:r>
          <w:fldChar w:fldCharType="begin"/>
        </w:r>
        <w:r>
          <w:instrText xml:space="preserve">PAGEREF 5765 \h</w:instrText>
        </w:r>
        <w:r>
          <w:fldChar w:fldCharType="end"/>
        </w:r>
      </w:hyperlink>
    </w:p>
    <w:p>
      <w:pPr>
        <w:tabs>
          <w:tab w:val="right" w:leader="dot" w:pos="9062"/>
        </w:tabs>
        <w:ind w:left="220"/>
      </w:pPr>
      <w:hyperlink w:anchor="_Toc5766" w:history="1">
        <w:r>
          <w:rPr>
            <w:rFonts w:ascii="IRNazanin" w:hAnsi="IRNazanin" w:eastAsia="IRNazanin" w:cs="IRNazanin"/>
            <w:color w:val="111111"/>
            <w:sz w:val="22"/>
            <w:szCs w:val="22"/>
            <w:b w:val="0"/>
            <w:bCs w:val="0"/>
            <w:i w:val="0"/>
            <w:iCs w:val="0"/>
          </w:rPr>
          <w:t>قسطن ، بولس</w:t>
        </w:r>
        <w:r>
          <w:tab/>
        </w:r>
        <w:r>
          <w:fldChar w:fldCharType="begin"/>
        </w:r>
        <w:r>
          <w:instrText xml:space="preserve">PAGEREF 5766 \h</w:instrText>
        </w:r>
        <w:r>
          <w:fldChar w:fldCharType="end"/>
        </w:r>
      </w:hyperlink>
    </w:p>
    <w:p>
      <w:pPr>
        <w:tabs>
          <w:tab w:val="right" w:leader="dot" w:pos="9062"/>
        </w:tabs>
        <w:ind w:left="220"/>
      </w:pPr>
      <w:hyperlink w:anchor="_Toc5767" w:history="1">
        <w:r>
          <w:rPr>
            <w:rFonts w:ascii="IRNazanin" w:hAnsi="IRNazanin" w:eastAsia="IRNazanin" w:cs="IRNazanin"/>
            <w:color w:val="111111"/>
            <w:sz w:val="22"/>
            <w:szCs w:val="22"/>
            <w:b w:val="0"/>
            <w:bCs w:val="0"/>
            <w:i w:val="0"/>
            <w:iCs w:val="0"/>
          </w:rPr>
          <w:t>قسطنطيني ، احمد بن محمّد</w:t>
        </w:r>
        <w:r>
          <w:tab/>
        </w:r>
        <w:r>
          <w:fldChar w:fldCharType="begin"/>
        </w:r>
        <w:r>
          <w:instrText xml:space="preserve">PAGEREF 5767 \h</w:instrText>
        </w:r>
        <w:r>
          <w:fldChar w:fldCharType="end"/>
        </w:r>
      </w:hyperlink>
    </w:p>
    <w:p>
      <w:pPr>
        <w:tabs>
          <w:tab w:val="right" w:leader="dot" w:pos="9062"/>
        </w:tabs>
        <w:ind w:left="220"/>
      </w:pPr>
      <w:hyperlink w:anchor="_Toc5768" w:history="1">
        <w:r>
          <w:rPr>
            <w:rFonts w:ascii="IRNazanin" w:hAnsi="IRNazanin" w:eastAsia="IRNazanin" w:cs="IRNazanin"/>
            <w:color w:val="111111"/>
            <w:sz w:val="22"/>
            <w:szCs w:val="22"/>
            <w:b w:val="0"/>
            <w:bCs w:val="0"/>
            <w:i w:val="0"/>
            <w:iCs w:val="0"/>
          </w:rPr>
          <w:t>قسطنطيني، مصطفى بن علي - 979ه-</w:t>
        </w:r>
        <w:r>
          <w:tab/>
        </w:r>
        <w:r>
          <w:fldChar w:fldCharType="begin"/>
        </w:r>
        <w:r>
          <w:instrText xml:space="preserve">PAGEREF 5768 \h</w:instrText>
        </w:r>
        <w:r>
          <w:fldChar w:fldCharType="end"/>
        </w:r>
      </w:hyperlink>
    </w:p>
    <w:p>
      <w:pPr>
        <w:tabs>
          <w:tab w:val="right" w:leader="dot" w:pos="9062"/>
        </w:tabs>
        <w:ind w:left="220"/>
      </w:pPr>
      <w:hyperlink w:anchor="_Toc5769" w:history="1">
        <w:r>
          <w:rPr>
            <w:rFonts w:ascii="IRNazanin" w:hAnsi="IRNazanin" w:eastAsia="IRNazanin" w:cs="IRNazanin"/>
            <w:color w:val="111111"/>
            <w:sz w:val="22"/>
            <w:szCs w:val="22"/>
            <w:b w:val="0"/>
            <w:bCs w:val="0"/>
            <w:i w:val="0"/>
            <w:iCs w:val="0"/>
          </w:rPr>
          <w:t>قس لاو نديوس سابا - 1755 م</w:t>
        </w:r>
        <w:r>
          <w:tab/>
        </w:r>
        <w:r>
          <w:fldChar w:fldCharType="begin"/>
        </w:r>
        <w:r>
          <w:instrText xml:space="preserve">PAGEREF 5769 \h</w:instrText>
        </w:r>
        <w:r>
          <w:fldChar w:fldCharType="end"/>
        </w:r>
      </w:hyperlink>
    </w:p>
    <w:p>
      <w:pPr>
        <w:tabs>
          <w:tab w:val="right" w:leader="dot" w:pos="9062"/>
        </w:tabs>
        <w:ind w:left="220"/>
      </w:pPr>
      <w:hyperlink w:anchor="_Toc5770" w:history="1">
        <w:r>
          <w:rPr>
            <w:rFonts w:ascii="IRNazanin" w:hAnsi="IRNazanin" w:eastAsia="IRNazanin" w:cs="IRNazanin"/>
            <w:color w:val="111111"/>
            <w:sz w:val="22"/>
            <w:szCs w:val="22"/>
            <w:b w:val="0"/>
            <w:bCs w:val="0"/>
            <w:i w:val="0"/>
            <w:iCs w:val="0"/>
          </w:rPr>
          <w:t>قسنطيني ، عبدالكريم بن محمّد - 1073 ه-</w:t>
        </w:r>
        <w:r>
          <w:tab/>
        </w:r>
        <w:r>
          <w:fldChar w:fldCharType="begin"/>
        </w:r>
        <w:r>
          <w:instrText xml:space="preserve">PAGEREF 5770 \h</w:instrText>
        </w:r>
        <w:r>
          <w:fldChar w:fldCharType="end"/>
        </w:r>
      </w:hyperlink>
    </w:p>
    <w:p>
      <w:pPr>
        <w:tabs>
          <w:tab w:val="right" w:leader="dot" w:pos="9062"/>
        </w:tabs>
        <w:ind w:left="220"/>
      </w:pPr>
      <w:hyperlink w:anchor="_Toc5771" w:history="1">
        <w:r>
          <w:rPr>
            <w:rFonts w:ascii="IRNazanin" w:hAnsi="IRNazanin" w:eastAsia="IRNazanin" w:cs="IRNazanin"/>
            <w:color w:val="111111"/>
            <w:sz w:val="22"/>
            <w:szCs w:val="22"/>
            <w:b w:val="0"/>
            <w:bCs w:val="0"/>
            <w:i w:val="0"/>
            <w:iCs w:val="0"/>
          </w:rPr>
          <w:t>قشاني ، احمد</w:t>
        </w:r>
        <w:r>
          <w:tab/>
        </w:r>
        <w:r>
          <w:fldChar w:fldCharType="begin"/>
        </w:r>
        <w:r>
          <w:instrText xml:space="preserve">PAGEREF 5771 \h</w:instrText>
        </w:r>
        <w:r>
          <w:fldChar w:fldCharType="end"/>
        </w:r>
      </w:hyperlink>
    </w:p>
    <w:p>
      <w:pPr>
        <w:tabs>
          <w:tab w:val="right" w:leader="dot" w:pos="9062"/>
        </w:tabs>
        <w:ind w:left="220"/>
      </w:pPr>
      <w:hyperlink w:anchor="_Toc5772" w:history="1">
        <w:r>
          <w:rPr>
            <w:rFonts w:ascii="IRNazanin" w:hAnsi="IRNazanin" w:eastAsia="IRNazanin" w:cs="IRNazanin"/>
            <w:color w:val="111111"/>
            <w:sz w:val="22"/>
            <w:szCs w:val="22"/>
            <w:b w:val="0"/>
            <w:bCs w:val="0"/>
            <w:i w:val="0"/>
            <w:iCs w:val="0"/>
          </w:rPr>
          <w:t>قشلاقي ، محمّد ابراهيم بن محمّد مهدي</w:t>
        </w:r>
        <w:r>
          <w:tab/>
        </w:r>
        <w:r>
          <w:fldChar w:fldCharType="begin"/>
        </w:r>
        <w:r>
          <w:instrText xml:space="preserve">PAGEREF 5772 \h</w:instrText>
        </w:r>
        <w:r>
          <w:fldChar w:fldCharType="end"/>
        </w:r>
      </w:hyperlink>
    </w:p>
    <w:p>
      <w:pPr>
        <w:tabs>
          <w:tab w:val="right" w:leader="dot" w:pos="9062"/>
        </w:tabs>
        <w:ind w:left="220"/>
      </w:pPr>
      <w:hyperlink w:anchor="_Toc5773" w:history="1">
        <w:r>
          <w:rPr>
            <w:rFonts w:ascii="IRNazanin" w:hAnsi="IRNazanin" w:eastAsia="IRNazanin" w:cs="IRNazanin"/>
            <w:color w:val="111111"/>
            <w:sz w:val="22"/>
            <w:szCs w:val="22"/>
            <w:b w:val="0"/>
            <w:bCs w:val="0"/>
            <w:i w:val="0"/>
            <w:iCs w:val="0"/>
          </w:rPr>
          <w:t>قشيري ، عبدالكريم بن هوازن 386 -</w:t>
        </w:r>
        <w:r>
          <w:tab/>
        </w:r>
        <w:r>
          <w:fldChar w:fldCharType="begin"/>
        </w:r>
        <w:r>
          <w:instrText xml:space="preserve">PAGEREF 5773 \h</w:instrText>
        </w:r>
        <w:r>
          <w:fldChar w:fldCharType="end"/>
        </w:r>
      </w:hyperlink>
    </w:p>
    <w:p>
      <w:pPr>
        <w:tabs>
          <w:tab w:val="right" w:leader="dot" w:pos="9062"/>
        </w:tabs>
        <w:ind w:left="220"/>
      </w:pPr>
      <w:hyperlink w:anchor="_Toc5774" w:history="1">
        <w:r>
          <w:rPr>
            <w:rFonts w:ascii="IRNazanin" w:hAnsi="IRNazanin" w:eastAsia="IRNazanin" w:cs="IRNazanin"/>
            <w:color w:val="111111"/>
            <w:sz w:val="22"/>
            <w:szCs w:val="22"/>
            <w:b w:val="0"/>
            <w:bCs w:val="0"/>
            <w:i w:val="0"/>
            <w:iCs w:val="0"/>
          </w:rPr>
          <w:t>قشيري ، محمّد بن سعيد - 334 ه-</w:t>
        </w:r>
        <w:r>
          <w:tab/>
        </w:r>
        <w:r>
          <w:fldChar w:fldCharType="begin"/>
        </w:r>
        <w:r>
          <w:instrText xml:space="preserve">PAGEREF 5774 \h</w:instrText>
        </w:r>
        <w:r>
          <w:fldChar w:fldCharType="end"/>
        </w:r>
      </w:hyperlink>
    </w:p>
    <w:p>
      <w:pPr>
        <w:tabs>
          <w:tab w:val="right" w:leader="dot" w:pos="9062"/>
        </w:tabs>
        <w:ind w:left="220"/>
      </w:pPr>
      <w:hyperlink w:anchor="_Toc5775" w:history="1">
        <w:r>
          <w:rPr>
            <w:rFonts w:ascii="IRNazanin" w:hAnsi="IRNazanin" w:eastAsia="IRNazanin" w:cs="IRNazanin"/>
            <w:color w:val="111111"/>
            <w:sz w:val="22"/>
            <w:szCs w:val="22"/>
            <w:b w:val="0"/>
            <w:bCs w:val="0"/>
            <w:i w:val="0"/>
            <w:iCs w:val="0"/>
          </w:rPr>
          <w:t>قشيري نيشابوري ، مسلم بن الحجاج</w:t>
        </w:r>
        <w:r>
          <w:tab/>
        </w:r>
        <w:r>
          <w:fldChar w:fldCharType="begin"/>
        </w:r>
        <w:r>
          <w:instrText xml:space="preserve">PAGEREF 5775 \h</w:instrText>
        </w:r>
        <w:r>
          <w:fldChar w:fldCharType="end"/>
        </w:r>
      </w:hyperlink>
    </w:p>
    <w:p>
      <w:pPr>
        <w:tabs>
          <w:tab w:val="right" w:leader="dot" w:pos="9062"/>
        </w:tabs>
        <w:ind w:left="220"/>
      </w:pPr>
      <w:hyperlink w:anchor="_Toc5776" w:history="1">
        <w:r>
          <w:rPr>
            <w:rFonts w:ascii="IRNazanin" w:hAnsi="IRNazanin" w:eastAsia="IRNazanin" w:cs="IRNazanin"/>
            <w:color w:val="111111"/>
            <w:sz w:val="22"/>
            <w:szCs w:val="22"/>
            <w:b w:val="0"/>
            <w:bCs w:val="0"/>
            <w:i w:val="0"/>
            <w:iCs w:val="0"/>
          </w:rPr>
          <w:t>قشيري ، هبة الرحمن بن عبد الواحد 460</w:t>
        </w:r>
        <w:r>
          <w:tab/>
        </w:r>
        <w:r>
          <w:fldChar w:fldCharType="begin"/>
        </w:r>
        <w:r>
          <w:instrText xml:space="preserve">PAGEREF 5776 \h</w:instrText>
        </w:r>
        <w:r>
          <w:fldChar w:fldCharType="end"/>
        </w:r>
      </w:hyperlink>
    </w:p>
    <w:p>
      <w:pPr>
        <w:tabs>
          <w:tab w:val="right" w:leader="dot" w:pos="9062"/>
        </w:tabs>
        <w:ind w:left="220"/>
      </w:pPr>
      <w:hyperlink w:anchor="_Toc5777" w:history="1">
        <w:r>
          <w:rPr>
            <w:rFonts w:ascii="IRNazanin" w:hAnsi="IRNazanin" w:eastAsia="IRNazanin" w:cs="IRNazanin"/>
            <w:color w:val="111111"/>
            <w:sz w:val="22"/>
            <w:szCs w:val="22"/>
            <w:b w:val="0"/>
            <w:bCs w:val="0"/>
            <w:i w:val="0"/>
            <w:iCs w:val="0"/>
          </w:rPr>
          <w:t>قصاب زاده، ابراهیم بن قصاب -1029ه-</w:t>
        </w:r>
        <w:r>
          <w:tab/>
        </w:r>
        <w:r>
          <w:fldChar w:fldCharType="begin"/>
        </w:r>
        <w:r>
          <w:instrText xml:space="preserve">PAGEREF 5777 \h</w:instrText>
        </w:r>
        <w:r>
          <w:fldChar w:fldCharType="end"/>
        </w:r>
      </w:hyperlink>
    </w:p>
    <w:p>
      <w:pPr>
        <w:tabs>
          <w:tab w:val="right" w:leader="dot" w:pos="9062"/>
        </w:tabs>
        <w:ind w:left="220"/>
      </w:pPr>
      <w:hyperlink w:anchor="_Toc5778" w:history="1">
        <w:r>
          <w:rPr>
            <w:rFonts w:ascii="IRNazanin" w:hAnsi="IRNazanin" w:eastAsia="IRNazanin" w:cs="IRNazanin"/>
            <w:color w:val="111111"/>
            <w:sz w:val="22"/>
            <w:szCs w:val="22"/>
            <w:b w:val="0"/>
            <w:bCs w:val="0"/>
            <w:i w:val="0"/>
            <w:iCs w:val="0"/>
          </w:rPr>
          <w:t>قصراني ، يعقوب بن علي، قرن 4 ه-</w:t>
        </w:r>
        <w:r>
          <w:tab/>
        </w:r>
        <w:r>
          <w:fldChar w:fldCharType="begin"/>
        </w:r>
        <w:r>
          <w:instrText xml:space="preserve">PAGEREF 5778 \h</w:instrText>
        </w:r>
        <w:r>
          <w:fldChar w:fldCharType="end"/>
        </w:r>
      </w:hyperlink>
    </w:p>
    <w:p>
      <w:pPr>
        <w:tabs>
          <w:tab w:val="right" w:leader="dot" w:pos="9062"/>
        </w:tabs>
        <w:ind w:left="220"/>
      </w:pPr>
      <w:hyperlink w:anchor="_Toc5779" w:history="1">
        <w:r>
          <w:rPr>
            <w:rFonts w:ascii="IRNazanin" w:hAnsi="IRNazanin" w:eastAsia="IRNazanin" w:cs="IRNazanin"/>
            <w:color w:val="111111"/>
            <w:sz w:val="22"/>
            <w:szCs w:val="22"/>
            <w:b w:val="0"/>
            <w:bCs w:val="0"/>
            <w:i w:val="0"/>
            <w:iCs w:val="0"/>
          </w:rPr>
          <w:t>قصيري زاده، محمّد امین بن محمّد</w:t>
        </w:r>
        <w:r>
          <w:tab/>
        </w:r>
        <w:r>
          <w:fldChar w:fldCharType="begin"/>
        </w:r>
        <w:r>
          <w:instrText xml:space="preserve">PAGEREF 5779 \h</w:instrText>
        </w:r>
        <w:r>
          <w:fldChar w:fldCharType="end"/>
        </w:r>
      </w:hyperlink>
    </w:p>
    <w:p>
      <w:pPr>
        <w:tabs>
          <w:tab w:val="right" w:leader="dot" w:pos="9062"/>
        </w:tabs>
        <w:ind w:left="220"/>
      </w:pPr>
      <w:hyperlink w:anchor="_Toc5780" w:history="1">
        <w:r>
          <w:rPr>
            <w:rFonts w:ascii="IRNazanin" w:hAnsi="IRNazanin" w:eastAsia="IRNazanin" w:cs="IRNazanin"/>
            <w:color w:val="111111"/>
            <w:sz w:val="22"/>
            <w:szCs w:val="22"/>
            <w:b w:val="0"/>
            <w:bCs w:val="0"/>
            <w:i w:val="0"/>
            <w:iCs w:val="0"/>
          </w:rPr>
          <w:t>قضاعي ، محمّد بن احمد قرن 6 ه-</w:t>
        </w:r>
        <w:r>
          <w:tab/>
        </w:r>
        <w:r>
          <w:fldChar w:fldCharType="begin"/>
        </w:r>
        <w:r>
          <w:instrText xml:space="preserve">PAGEREF 5780 \h</w:instrText>
        </w:r>
        <w:r>
          <w:fldChar w:fldCharType="end"/>
        </w:r>
      </w:hyperlink>
    </w:p>
    <w:p>
      <w:pPr>
        <w:tabs>
          <w:tab w:val="right" w:leader="dot" w:pos="9062"/>
        </w:tabs>
        <w:ind w:left="220"/>
      </w:pPr>
      <w:hyperlink w:anchor="_Toc5781" w:history="1">
        <w:r>
          <w:rPr>
            <w:rFonts w:ascii="IRNazanin" w:hAnsi="IRNazanin" w:eastAsia="IRNazanin" w:cs="IRNazanin"/>
            <w:color w:val="111111"/>
            <w:sz w:val="22"/>
            <w:szCs w:val="22"/>
            <w:b w:val="0"/>
            <w:bCs w:val="0"/>
            <w:i w:val="0"/>
            <w:iCs w:val="0"/>
          </w:rPr>
          <w:t>قضاعي ، محمّد بن سلامه - 454 ه-</w:t>
        </w:r>
        <w:r>
          <w:tab/>
        </w:r>
        <w:r>
          <w:fldChar w:fldCharType="begin"/>
        </w:r>
        <w:r>
          <w:instrText xml:space="preserve">PAGEREF 5781 \h</w:instrText>
        </w:r>
        <w:r>
          <w:fldChar w:fldCharType="end"/>
        </w:r>
      </w:hyperlink>
    </w:p>
    <w:p>
      <w:pPr>
        <w:tabs>
          <w:tab w:val="right" w:leader="dot" w:pos="9062"/>
        </w:tabs>
        <w:ind w:left="220"/>
      </w:pPr>
      <w:hyperlink w:anchor="_Toc5782" w:history="1">
        <w:r>
          <w:rPr>
            <w:rFonts w:ascii="IRNazanin" w:hAnsi="IRNazanin" w:eastAsia="IRNazanin" w:cs="IRNazanin"/>
            <w:color w:val="111111"/>
            <w:sz w:val="22"/>
            <w:szCs w:val="22"/>
            <w:b w:val="0"/>
            <w:bCs w:val="0"/>
            <w:i w:val="0"/>
            <w:iCs w:val="0"/>
          </w:rPr>
          <w:t>قطان حلي ، محمّد بن شجاع قرن 9 ه-</w:t>
        </w:r>
        <w:r>
          <w:tab/>
        </w:r>
        <w:r>
          <w:fldChar w:fldCharType="begin"/>
        </w:r>
        <w:r>
          <w:instrText xml:space="preserve">PAGEREF 5782 \h</w:instrText>
        </w:r>
        <w:r>
          <w:fldChar w:fldCharType="end"/>
        </w:r>
      </w:hyperlink>
    </w:p>
    <w:p>
      <w:pPr>
        <w:tabs>
          <w:tab w:val="right" w:leader="dot" w:pos="9062"/>
        </w:tabs>
        <w:ind w:left="220"/>
      </w:pPr>
      <w:hyperlink w:anchor="_Toc5783" w:history="1">
        <w:r>
          <w:rPr>
            <w:rFonts w:ascii="IRNazanin" w:hAnsi="IRNazanin" w:eastAsia="IRNazanin" w:cs="IRNazanin"/>
            <w:color w:val="111111"/>
            <w:sz w:val="22"/>
            <w:szCs w:val="22"/>
            <w:b w:val="0"/>
            <w:bCs w:val="0"/>
            <w:i w:val="0"/>
            <w:iCs w:val="0"/>
          </w:rPr>
          <w:t>قطان عبدالكريم بن عبد الصمد -478ه-</w:t>
        </w:r>
        <w:r>
          <w:tab/>
        </w:r>
        <w:r>
          <w:fldChar w:fldCharType="begin"/>
        </w:r>
        <w:r>
          <w:instrText xml:space="preserve">PAGEREF 5783 \h</w:instrText>
        </w:r>
        <w:r>
          <w:fldChar w:fldCharType="end"/>
        </w:r>
      </w:hyperlink>
    </w:p>
    <w:p>
      <w:pPr>
        <w:tabs>
          <w:tab w:val="right" w:leader="dot" w:pos="9062"/>
        </w:tabs>
        <w:ind w:left="220"/>
      </w:pPr>
      <w:hyperlink w:anchor="_Toc5784" w:history="1">
        <w:r>
          <w:rPr>
            <w:rFonts w:ascii="IRNazanin" w:hAnsi="IRNazanin" w:eastAsia="IRNazanin" w:cs="IRNazanin"/>
            <w:color w:val="111111"/>
            <w:sz w:val="22"/>
            <w:szCs w:val="22"/>
            <w:b w:val="0"/>
            <w:bCs w:val="0"/>
            <w:i w:val="0"/>
            <w:iCs w:val="0"/>
          </w:rPr>
          <w:t>قطان غزنوي، سعيد بن محمّد قرن 6ه-</w:t>
        </w:r>
        <w:r>
          <w:tab/>
        </w:r>
        <w:r>
          <w:fldChar w:fldCharType="begin"/>
        </w:r>
        <w:r>
          <w:instrText xml:space="preserve">PAGEREF 5784 \h</w:instrText>
        </w:r>
        <w:r>
          <w:fldChar w:fldCharType="end"/>
        </w:r>
      </w:hyperlink>
    </w:p>
    <w:p>
      <w:pPr>
        <w:tabs>
          <w:tab w:val="right" w:leader="dot" w:pos="9062"/>
        </w:tabs>
        <w:ind w:left="220"/>
      </w:pPr>
      <w:hyperlink w:anchor="_Toc5785" w:history="1">
        <w:r>
          <w:rPr>
            <w:rFonts w:ascii="IRNazanin" w:hAnsi="IRNazanin" w:eastAsia="IRNazanin" w:cs="IRNazanin"/>
            <w:color w:val="111111"/>
            <w:sz w:val="22"/>
            <w:szCs w:val="22"/>
            <w:b w:val="0"/>
            <w:bCs w:val="0"/>
            <w:i w:val="0"/>
            <w:iCs w:val="0"/>
          </w:rPr>
          <w:t>قطب الدین رازي ، محمّد بن محمّد، 694</w:t>
        </w:r>
        <w:r>
          <w:tab/>
        </w:r>
        <w:r>
          <w:fldChar w:fldCharType="begin"/>
        </w:r>
        <w:r>
          <w:instrText xml:space="preserve">PAGEREF 5785 \h</w:instrText>
        </w:r>
        <w:r>
          <w:fldChar w:fldCharType="end"/>
        </w:r>
      </w:hyperlink>
    </w:p>
    <w:p>
      <w:pPr>
        <w:tabs>
          <w:tab w:val="right" w:leader="dot" w:pos="9062"/>
        </w:tabs>
        <w:ind w:left="220"/>
      </w:pPr>
      <w:hyperlink w:anchor="_Toc5786" w:history="1">
        <w:r>
          <w:rPr>
            <w:rFonts w:ascii="IRNazanin" w:hAnsi="IRNazanin" w:eastAsia="IRNazanin" w:cs="IRNazanin"/>
            <w:color w:val="111111"/>
            <w:sz w:val="22"/>
            <w:szCs w:val="22"/>
            <w:b w:val="0"/>
            <w:bCs w:val="0"/>
            <w:i w:val="0"/>
            <w:iCs w:val="0"/>
          </w:rPr>
          <w:t>قطب الدین سبزواري، قرن 6 ه-</w:t>
        </w:r>
        <w:r>
          <w:tab/>
        </w:r>
        <w:r>
          <w:fldChar w:fldCharType="begin"/>
        </w:r>
        <w:r>
          <w:instrText xml:space="preserve">PAGEREF 5786 \h</w:instrText>
        </w:r>
        <w:r>
          <w:fldChar w:fldCharType="end"/>
        </w:r>
      </w:hyperlink>
    </w:p>
    <w:p>
      <w:pPr>
        <w:tabs>
          <w:tab w:val="right" w:leader="dot" w:pos="9062"/>
        </w:tabs>
        <w:ind w:left="220"/>
      </w:pPr>
      <w:hyperlink w:anchor="_Toc5787" w:history="1">
        <w:r>
          <w:rPr>
            <w:rFonts w:ascii="IRNazanin" w:hAnsi="IRNazanin" w:eastAsia="IRNazanin" w:cs="IRNazanin"/>
            <w:color w:val="111111"/>
            <w:sz w:val="22"/>
            <w:szCs w:val="22"/>
            <w:b w:val="0"/>
            <w:bCs w:val="0"/>
            <w:i w:val="0"/>
            <w:iCs w:val="0"/>
          </w:rPr>
          <w:t>قطب الدين شيرازي ، عبدالله بن محيي الدین ،محمّد قرن 9 ه-</w:t>
        </w:r>
        <w:r>
          <w:tab/>
        </w:r>
        <w:r>
          <w:fldChar w:fldCharType="begin"/>
        </w:r>
        <w:r>
          <w:instrText xml:space="preserve">PAGEREF 5787 \h</w:instrText>
        </w:r>
        <w:r>
          <w:fldChar w:fldCharType="end"/>
        </w:r>
      </w:hyperlink>
    </w:p>
    <w:p>
      <w:pPr>
        <w:tabs>
          <w:tab w:val="right" w:leader="dot" w:pos="9062"/>
        </w:tabs>
        <w:ind w:left="220"/>
      </w:pPr>
      <w:hyperlink w:anchor="_Toc5788" w:history="1">
        <w:r>
          <w:rPr>
            <w:rFonts w:ascii="IRNazanin" w:hAnsi="IRNazanin" w:eastAsia="IRNazanin" w:cs="IRNazanin"/>
            <w:color w:val="111111"/>
            <w:sz w:val="22"/>
            <w:szCs w:val="22"/>
            <w:b w:val="0"/>
            <w:bCs w:val="0"/>
            <w:i w:val="0"/>
            <w:iCs w:val="0"/>
          </w:rPr>
          <w:t>قطب الدين شيرازي ، محمود بن مسعود</w:t>
        </w:r>
        <w:r>
          <w:tab/>
        </w:r>
        <w:r>
          <w:fldChar w:fldCharType="begin"/>
        </w:r>
        <w:r>
          <w:instrText xml:space="preserve">PAGEREF 5788 \h</w:instrText>
        </w:r>
        <w:r>
          <w:fldChar w:fldCharType="end"/>
        </w:r>
      </w:hyperlink>
    </w:p>
    <w:p>
      <w:pPr>
        <w:tabs>
          <w:tab w:val="right" w:leader="dot" w:pos="9062"/>
        </w:tabs>
        <w:ind w:left="220"/>
      </w:pPr>
      <w:hyperlink w:anchor="_Toc5789" w:history="1">
        <w:r>
          <w:rPr>
            <w:rFonts w:ascii="IRNazanin" w:hAnsi="IRNazanin" w:eastAsia="IRNazanin" w:cs="IRNazanin"/>
            <w:color w:val="111111"/>
            <w:sz w:val="22"/>
            <w:szCs w:val="22"/>
            <w:b w:val="0"/>
            <w:bCs w:val="0"/>
            <w:i w:val="0"/>
            <w:iCs w:val="0"/>
          </w:rPr>
          <w:t>قطب الدين مكي ، محمّد بن علاء الدين</w:t>
        </w:r>
        <w:r>
          <w:tab/>
        </w:r>
        <w:r>
          <w:fldChar w:fldCharType="begin"/>
        </w:r>
        <w:r>
          <w:instrText xml:space="preserve">PAGEREF 5789 \h</w:instrText>
        </w:r>
        <w:r>
          <w:fldChar w:fldCharType="end"/>
        </w:r>
      </w:hyperlink>
    </w:p>
    <w:p>
      <w:pPr>
        <w:tabs>
          <w:tab w:val="right" w:leader="dot" w:pos="9062"/>
        </w:tabs>
        <w:ind w:left="220"/>
      </w:pPr>
      <w:hyperlink w:anchor="_Toc5790" w:history="1">
        <w:r>
          <w:rPr>
            <w:rFonts w:ascii="IRNazanin" w:hAnsi="IRNazanin" w:eastAsia="IRNazanin" w:cs="IRNazanin"/>
            <w:color w:val="111111"/>
            <w:sz w:val="22"/>
            <w:szCs w:val="22"/>
            <w:b w:val="0"/>
            <w:bCs w:val="0"/>
            <w:i w:val="0"/>
            <w:iCs w:val="0"/>
          </w:rPr>
          <w:t>قطب راوندي، سعيد بن هبة الله -573ه-</w:t>
        </w:r>
        <w:r>
          <w:tab/>
        </w:r>
        <w:r>
          <w:fldChar w:fldCharType="begin"/>
        </w:r>
        <w:r>
          <w:instrText xml:space="preserve">PAGEREF 5790 \h</w:instrText>
        </w:r>
        <w:r>
          <w:fldChar w:fldCharType="end"/>
        </w:r>
      </w:hyperlink>
    </w:p>
    <w:p>
      <w:pPr>
        <w:tabs>
          <w:tab w:val="right" w:leader="dot" w:pos="9062"/>
        </w:tabs>
        <w:ind w:left="220"/>
      </w:pPr>
      <w:hyperlink w:anchor="_Toc5791" w:history="1">
        <w:r>
          <w:rPr>
            <w:rFonts w:ascii="IRNazanin" w:hAnsi="IRNazanin" w:eastAsia="IRNazanin" w:cs="IRNazanin"/>
            <w:color w:val="111111"/>
            <w:sz w:val="22"/>
            <w:szCs w:val="22"/>
            <w:b w:val="0"/>
            <w:bCs w:val="0"/>
            <w:i w:val="0"/>
            <w:iCs w:val="0"/>
          </w:rPr>
          <w:t>قطب مصري ابراهيم بن علي 618 ه-</w:t>
        </w:r>
        <w:r>
          <w:tab/>
        </w:r>
        <w:r>
          <w:fldChar w:fldCharType="begin"/>
        </w:r>
        <w:r>
          <w:instrText xml:space="preserve">PAGEREF 5791 \h</w:instrText>
        </w:r>
        <w:r>
          <w:fldChar w:fldCharType="end"/>
        </w:r>
      </w:hyperlink>
    </w:p>
    <w:p>
      <w:pPr>
        <w:tabs>
          <w:tab w:val="right" w:leader="dot" w:pos="9062"/>
        </w:tabs>
        <w:ind w:left="220"/>
      </w:pPr>
      <w:hyperlink w:anchor="_Toc5792" w:history="1">
        <w:r>
          <w:rPr>
            <w:rFonts w:ascii="IRNazanin" w:hAnsi="IRNazanin" w:eastAsia="IRNazanin" w:cs="IRNazanin"/>
            <w:color w:val="111111"/>
            <w:sz w:val="22"/>
            <w:szCs w:val="22"/>
            <w:b w:val="0"/>
            <w:bCs w:val="0"/>
            <w:i w:val="0"/>
            <w:iCs w:val="0"/>
          </w:rPr>
          <w:t>قطبي ، عبدالكريم بن محب الدین 921</w:t>
        </w:r>
        <w:r>
          <w:tab/>
        </w:r>
        <w:r>
          <w:fldChar w:fldCharType="begin"/>
        </w:r>
        <w:r>
          <w:instrText xml:space="preserve">PAGEREF 5792 \h</w:instrText>
        </w:r>
        <w:r>
          <w:fldChar w:fldCharType="end"/>
        </w:r>
      </w:hyperlink>
    </w:p>
    <w:p>
      <w:pPr>
        <w:tabs>
          <w:tab w:val="right" w:leader="dot" w:pos="9062"/>
        </w:tabs>
        <w:ind w:left="220"/>
      </w:pPr>
      <w:hyperlink w:anchor="_Toc5793" w:history="1">
        <w:r>
          <w:rPr>
            <w:rFonts w:ascii="IRNazanin" w:hAnsi="IRNazanin" w:eastAsia="IRNazanin" w:cs="IRNazanin"/>
            <w:color w:val="111111"/>
            <w:sz w:val="22"/>
            <w:szCs w:val="22"/>
            <w:b w:val="0"/>
            <w:bCs w:val="0"/>
            <w:i w:val="0"/>
            <w:iCs w:val="0"/>
          </w:rPr>
          <w:t>قطرب ، محمّد بن مستنير - 206 ه-</w:t>
        </w:r>
        <w:r>
          <w:tab/>
        </w:r>
        <w:r>
          <w:fldChar w:fldCharType="begin"/>
        </w:r>
        <w:r>
          <w:instrText xml:space="preserve">PAGEREF 5793 \h</w:instrText>
        </w:r>
        <w:r>
          <w:fldChar w:fldCharType="end"/>
        </w:r>
      </w:hyperlink>
    </w:p>
    <w:p>
      <w:pPr>
        <w:tabs>
          <w:tab w:val="right" w:leader="dot" w:pos="9062"/>
        </w:tabs>
        <w:ind w:left="220"/>
      </w:pPr>
      <w:hyperlink w:anchor="_Toc5794" w:history="1">
        <w:r>
          <w:rPr>
            <w:rFonts w:ascii="IRNazanin" w:hAnsi="IRNazanin" w:eastAsia="IRNazanin" w:cs="IRNazanin"/>
            <w:color w:val="111111"/>
            <w:sz w:val="22"/>
            <w:szCs w:val="22"/>
            <w:b w:val="0"/>
            <w:bCs w:val="0"/>
            <w:i w:val="0"/>
            <w:iCs w:val="0"/>
          </w:rPr>
          <w:t>قطيعي ، احمد بن جعفر 274-368 ه-</w:t>
        </w:r>
        <w:r>
          <w:tab/>
        </w:r>
        <w:r>
          <w:fldChar w:fldCharType="begin"/>
        </w:r>
        <w:r>
          <w:instrText xml:space="preserve">PAGEREF 5794 \h</w:instrText>
        </w:r>
        <w:r>
          <w:fldChar w:fldCharType="end"/>
        </w:r>
      </w:hyperlink>
    </w:p>
    <w:p>
      <w:pPr>
        <w:tabs>
          <w:tab w:val="right" w:leader="dot" w:pos="9062"/>
        </w:tabs>
        <w:ind w:left="220"/>
      </w:pPr>
      <w:hyperlink w:anchor="_Toc5795" w:history="1">
        <w:r>
          <w:rPr>
            <w:rFonts w:ascii="IRNazanin" w:hAnsi="IRNazanin" w:eastAsia="IRNazanin" w:cs="IRNazanin"/>
            <w:color w:val="111111"/>
            <w:sz w:val="22"/>
            <w:szCs w:val="22"/>
            <w:b w:val="0"/>
            <w:bCs w:val="0"/>
            <w:i w:val="0"/>
            <w:iCs w:val="0"/>
          </w:rPr>
          <w:t>قطيفي، ابوالحسن بن حسن قرن 10ه-</w:t>
        </w:r>
        <w:r>
          <w:tab/>
        </w:r>
        <w:r>
          <w:fldChar w:fldCharType="begin"/>
        </w:r>
        <w:r>
          <w:instrText xml:space="preserve">PAGEREF 5795 \h</w:instrText>
        </w:r>
        <w:r>
          <w:fldChar w:fldCharType="end"/>
        </w:r>
      </w:hyperlink>
    </w:p>
    <w:p>
      <w:pPr>
        <w:tabs>
          <w:tab w:val="right" w:leader="dot" w:pos="9062"/>
        </w:tabs>
        <w:ind w:left="220"/>
      </w:pPr>
      <w:hyperlink w:anchor="_Toc5796" w:history="1">
        <w:r>
          <w:rPr>
            <w:rFonts w:ascii="IRNazanin" w:hAnsi="IRNazanin" w:eastAsia="IRNazanin" w:cs="IRNazanin"/>
            <w:color w:val="111111"/>
            <w:sz w:val="22"/>
            <w:szCs w:val="22"/>
            <w:b w:val="0"/>
            <w:bCs w:val="0"/>
            <w:i w:val="0"/>
            <w:iCs w:val="0"/>
          </w:rPr>
          <w:t>قطيفي بحراني ، ابراهيم بن سليمان</w:t>
        </w:r>
        <w:r>
          <w:tab/>
        </w:r>
        <w:r>
          <w:fldChar w:fldCharType="begin"/>
        </w:r>
        <w:r>
          <w:instrText xml:space="preserve">PAGEREF 5796 \h</w:instrText>
        </w:r>
        <w:r>
          <w:fldChar w:fldCharType="end"/>
        </w:r>
      </w:hyperlink>
    </w:p>
    <w:p>
      <w:pPr>
        <w:tabs>
          <w:tab w:val="right" w:leader="dot" w:pos="9062"/>
        </w:tabs>
        <w:ind w:left="220"/>
      </w:pPr>
      <w:hyperlink w:anchor="_Toc5797" w:history="1">
        <w:r>
          <w:rPr>
            <w:rFonts w:ascii="IRNazanin" w:hAnsi="IRNazanin" w:eastAsia="IRNazanin" w:cs="IRNazanin"/>
            <w:color w:val="111111"/>
            <w:sz w:val="22"/>
            <w:szCs w:val="22"/>
            <w:b w:val="0"/>
            <w:bCs w:val="0"/>
            <w:i w:val="0"/>
            <w:iCs w:val="0"/>
          </w:rPr>
          <w:t>قطيفي بحراني ، محمّد بن عبدالجبار</w:t>
        </w:r>
        <w:r>
          <w:tab/>
        </w:r>
        <w:r>
          <w:fldChar w:fldCharType="begin"/>
        </w:r>
        <w:r>
          <w:instrText xml:space="preserve">PAGEREF 5797 \h</w:instrText>
        </w:r>
        <w:r>
          <w:fldChar w:fldCharType="end"/>
        </w:r>
      </w:hyperlink>
    </w:p>
    <w:p>
      <w:pPr>
        <w:tabs>
          <w:tab w:val="right" w:leader="dot" w:pos="9062"/>
        </w:tabs>
        <w:ind w:left="220"/>
      </w:pPr>
      <w:hyperlink w:anchor="_Toc5798" w:history="1">
        <w:r>
          <w:rPr>
            <w:rFonts w:ascii="IRNazanin" w:hAnsi="IRNazanin" w:eastAsia="IRNazanin" w:cs="IRNazanin"/>
            <w:color w:val="111111"/>
            <w:sz w:val="22"/>
            <w:szCs w:val="22"/>
            <w:b w:val="0"/>
            <w:bCs w:val="0"/>
            <w:i w:val="0"/>
            <w:iCs w:val="0"/>
          </w:rPr>
          <w:t>قطيفي خطي ابراهيم بن عرب</w:t>
        </w:r>
        <w:r>
          <w:tab/>
        </w:r>
        <w:r>
          <w:fldChar w:fldCharType="begin"/>
        </w:r>
        <w:r>
          <w:instrText xml:space="preserve">PAGEREF 5798 \h</w:instrText>
        </w:r>
        <w:r>
          <w:fldChar w:fldCharType="end"/>
        </w:r>
      </w:hyperlink>
    </w:p>
    <w:p>
      <w:pPr>
        <w:tabs>
          <w:tab w:val="right" w:leader="dot" w:pos="9062"/>
        </w:tabs>
        <w:ind w:left="220"/>
      </w:pPr>
      <w:hyperlink w:anchor="_Toc5799" w:history="1">
        <w:r>
          <w:rPr>
            <w:rFonts w:ascii="IRNazanin" w:hAnsi="IRNazanin" w:eastAsia="IRNazanin" w:cs="IRNazanin"/>
            <w:color w:val="111111"/>
            <w:sz w:val="22"/>
            <w:szCs w:val="22"/>
            <w:b w:val="0"/>
            <w:bCs w:val="0"/>
            <w:i w:val="0"/>
            <w:iCs w:val="0"/>
          </w:rPr>
          <w:t>قطيفي، سليمان بن احمد - 1266 ه-</w:t>
        </w:r>
        <w:r>
          <w:tab/>
        </w:r>
        <w:r>
          <w:fldChar w:fldCharType="begin"/>
        </w:r>
        <w:r>
          <w:instrText xml:space="preserve">PAGEREF 5799 \h</w:instrText>
        </w:r>
        <w:r>
          <w:fldChar w:fldCharType="end"/>
        </w:r>
      </w:hyperlink>
    </w:p>
    <w:p>
      <w:pPr>
        <w:tabs>
          <w:tab w:val="right" w:leader="dot" w:pos="9062"/>
        </w:tabs>
        <w:ind w:left="220"/>
      </w:pPr>
      <w:hyperlink w:anchor="_Toc5800" w:history="1">
        <w:r>
          <w:rPr>
            <w:rFonts w:ascii="IRNazanin" w:hAnsi="IRNazanin" w:eastAsia="IRNazanin" w:cs="IRNazanin"/>
            <w:color w:val="111111"/>
            <w:sz w:val="22"/>
            <w:szCs w:val="22"/>
            <w:b w:val="0"/>
            <w:bCs w:val="0"/>
            <w:i w:val="0"/>
            <w:iCs w:val="0"/>
          </w:rPr>
          <w:t>قطيفي ، عبدالله بن فرج - 1160 ه-</w:t>
        </w:r>
        <w:r>
          <w:tab/>
        </w:r>
        <w:r>
          <w:fldChar w:fldCharType="begin"/>
        </w:r>
        <w:r>
          <w:instrText xml:space="preserve">PAGEREF 5800 \h</w:instrText>
        </w:r>
        <w:r>
          <w:fldChar w:fldCharType="end"/>
        </w:r>
      </w:hyperlink>
    </w:p>
    <w:p>
      <w:pPr>
        <w:tabs>
          <w:tab w:val="right" w:leader="dot" w:pos="9062"/>
        </w:tabs>
        <w:ind w:left="220"/>
      </w:pPr>
      <w:hyperlink w:anchor="_Toc5801" w:history="1">
        <w:r>
          <w:rPr>
            <w:rFonts w:ascii="IRNazanin" w:hAnsi="IRNazanin" w:eastAsia="IRNazanin" w:cs="IRNazanin"/>
            <w:color w:val="111111"/>
            <w:sz w:val="22"/>
            <w:szCs w:val="22"/>
            <w:b w:val="0"/>
            <w:bCs w:val="0"/>
            <w:i w:val="0"/>
            <w:iCs w:val="0"/>
          </w:rPr>
          <w:t>قطيفي ، عبدالله بن معتوق</w:t>
        </w:r>
        <w:r>
          <w:tab/>
        </w:r>
        <w:r>
          <w:fldChar w:fldCharType="begin"/>
        </w:r>
        <w:r>
          <w:instrText xml:space="preserve">PAGEREF 5801 \h</w:instrText>
        </w:r>
        <w:r>
          <w:fldChar w:fldCharType="end"/>
        </w:r>
      </w:hyperlink>
    </w:p>
    <w:p>
      <w:pPr>
        <w:tabs>
          <w:tab w:val="right" w:leader="dot" w:pos="9062"/>
        </w:tabs>
        <w:ind w:left="220"/>
      </w:pPr>
      <w:hyperlink w:anchor="_Toc5802" w:history="1">
        <w:r>
          <w:rPr>
            <w:rFonts w:ascii="IRNazanin" w:hAnsi="IRNazanin" w:eastAsia="IRNazanin" w:cs="IRNazanin"/>
            <w:color w:val="111111"/>
            <w:sz w:val="22"/>
            <w:szCs w:val="22"/>
            <w:b w:val="0"/>
            <w:bCs w:val="0"/>
            <w:i w:val="0"/>
            <w:iCs w:val="0"/>
          </w:rPr>
          <w:t>قطيفي، علي بن احمد - 1287 ه-</w:t>
        </w:r>
        <w:r>
          <w:tab/>
        </w:r>
        <w:r>
          <w:fldChar w:fldCharType="begin"/>
        </w:r>
        <w:r>
          <w:instrText xml:space="preserve">PAGEREF 5802 \h</w:instrText>
        </w:r>
        <w:r>
          <w:fldChar w:fldCharType="end"/>
        </w:r>
      </w:hyperlink>
    </w:p>
    <w:p>
      <w:pPr>
        <w:tabs>
          <w:tab w:val="right" w:leader="dot" w:pos="9062"/>
        </w:tabs>
        <w:ind w:left="220"/>
      </w:pPr>
      <w:hyperlink w:anchor="_Toc5803" w:history="1">
        <w:r>
          <w:rPr>
            <w:rFonts w:ascii="IRNazanin" w:hAnsi="IRNazanin" w:eastAsia="IRNazanin" w:cs="IRNazanin"/>
            <w:color w:val="111111"/>
            <w:sz w:val="22"/>
            <w:szCs w:val="22"/>
            <w:b w:val="0"/>
            <w:bCs w:val="0"/>
            <w:i w:val="0"/>
            <w:iCs w:val="0"/>
          </w:rPr>
          <w:t>قطيفي، فرج بن حسن قرن 14 ه-</w:t>
        </w:r>
        <w:r>
          <w:tab/>
        </w:r>
        <w:r>
          <w:fldChar w:fldCharType="begin"/>
        </w:r>
        <w:r>
          <w:instrText xml:space="preserve">PAGEREF 5803 \h</w:instrText>
        </w:r>
        <w:r>
          <w:fldChar w:fldCharType="end"/>
        </w:r>
      </w:hyperlink>
    </w:p>
    <w:p>
      <w:pPr>
        <w:tabs>
          <w:tab w:val="right" w:leader="dot" w:pos="9062"/>
        </w:tabs>
        <w:ind w:left="220"/>
      </w:pPr>
      <w:hyperlink w:anchor="_Toc5804" w:history="1">
        <w:r>
          <w:rPr>
            <w:rFonts w:ascii="IRNazanin" w:hAnsi="IRNazanin" w:eastAsia="IRNazanin" w:cs="IRNazanin"/>
            <w:color w:val="111111"/>
            <w:sz w:val="22"/>
            <w:szCs w:val="22"/>
            <w:b w:val="0"/>
            <w:bCs w:val="0"/>
            <w:i w:val="0"/>
            <w:iCs w:val="0"/>
          </w:rPr>
          <w:t>قطيفي ، محمّد بن مال الله - 1271 ه-</w:t>
        </w:r>
        <w:r>
          <w:tab/>
        </w:r>
        <w:r>
          <w:fldChar w:fldCharType="begin"/>
        </w:r>
        <w:r>
          <w:instrText xml:space="preserve">PAGEREF 5804 \h</w:instrText>
        </w:r>
        <w:r>
          <w:fldChar w:fldCharType="end"/>
        </w:r>
      </w:hyperlink>
    </w:p>
    <w:p>
      <w:pPr>
        <w:tabs>
          <w:tab w:val="right" w:leader="dot" w:pos="9062"/>
        </w:tabs>
        <w:ind w:left="220"/>
      </w:pPr>
      <w:hyperlink w:anchor="_Toc5805" w:history="1">
        <w:r>
          <w:rPr>
            <w:rFonts w:ascii="IRNazanin" w:hAnsi="IRNazanin" w:eastAsia="IRNazanin" w:cs="IRNazanin"/>
            <w:color w:val="111111"/>
            <w:sz w:val="22"/>
            <w:szCs w:val="22"/>
            <w:b w:val="0"/>
            <w:bCs w:val="0"/>
            <w:i w:val="0"/>
            <w:iCs w:val="0"/>
          </w:rPr>
          <w:t>قفاعي ، محمّد بن سلامة</w:t>
        </w:r>
        <w:r>
          <w:tab/>
        </w:r>
        <w:r>
          <w:fldChar w:fldCharType="begin"/>
        </w:r>
        <w:r>
          <w:instrText xml:space="preserve">PAGEREF 5805 \h</w:instrText>
        </w:r>
        <w:r>
          <w:fldChar w:fldCharType="end"/>
        </w:r>
      </w:hyperlink>
    </w:p>
    <w:p>
      <w:pPr>
        <w:tabs>
          <w:tab w:val="right" w:leader="dot" w:pos="9062"/>
        </w:tabs>
        <w:ind w:left="220"/>
      </w:pPr>
      <w:hyperlink w:anchor="_Toc5806" w:history="1">
        <w:r>
          <w:rPr>
            <w:rFonts w:ascii="IRNazanin" w:hAnsi="IRNazanin" w:eastAsia="IRNazanin" w:cs="IRNazanin"/>
            <w:color w:val="111111"/>
            <w:sz w:val="22"/>
            <w:szCs w:val="22"/>
            <w:b w:val="0"/>
            <w:bCs w:val="0"/>
            <w:i w:val="0"/>
            <w:iCs w:val="0"/>
          </w:rPr>
          <w:t>قفالة ، محمّد</w:t>
        </w:r>
        <w:r>
          <w:tab/>
        </w:r>
        <w:r>
          <w:fldChar w:fldCharType="begin"/>
        </w:r>
        <w:r>
          <w:instrText xml:space="preserve">PAGEREF 5806 \h</w:instrText>
        </w:r>
        <w:r>
          <w:fldChar w:fldCharType="end"/>
        </w:r>
      </w:hyperlink>
    </w:p>
    <w:p>
      <w:pPr>
        <w:tabs>
          <w:tab w:val="right" w:leader="dot" w:pos="9062"/>
        </w:tabs>
        <w:ind w:left="220"/>
      </w:pPr>
      <w:hyperlink w:anchor="_Toc5807" w:history="1">
        <w:r>
          <w:rPr>
            <w:rFonts w:ascii="IRNazanin" w:hAnsi="IRNazanin" w:eastAsia="IRNazanin" w:cs="IRNazanin"/>
            <w:color w:val="111111"/>
            <w:sz w:val="22"/>
            <w:szCs w:val="22"/>
            <w:b w:val="0"/>
            <w:bCs w:val="0"/>
            <w:i w:val="0"/>
            <w:iCs w:val="0"/>
          </w:rPr>
          <w:t>قفطامي ، حسن بن علي</w:t>
        </w:r>
        <w:r>
          <w:tab/>
        </w:r>
        <w:r>
          <w:fldChar w:fldCharType="begin"/>
        </w:r>
        <w:r>
          <w:instrText xml:space="preserve">PAGEREF 5807 \h</w:instrText>
        </w:r>
        <w:r>
          <w:fldChar w:fldCharType="end"/>
        </w:r>
      </w:hyperlink>
    </w:p>
    <w:p>
      <w:pPr>
        <w:tabs>
          <w:tab w:val="right" w:leader="dot" w:pos="9062"/>
        </w:tabs>
        <w:ind w:left="220"/>
      </w:pPr>
      <w:hyperlink w:anchor="_Toc5808" w:history="1">
        <w:r>
          <w:rPr>
            <w:rFonts w:ascii="IRNazanin" w:hAnsi="IRNazanin" w:eastAsia="IRNazanin" w:cs="IRNazanin"/>
            <w:color w:val="111111"/>
            <w:sz w:val="22"/>
            <w:szCs w:val="22"/>
            <w:b w:val="0"/>
            <w:bCs w:val="0"/>
            <w:i w:val="0"/>
            <w:iCs w:val="0"/>
          </w:rPr>
          <w:t>قفطان ، محمّد بن علي</w:t>
        </w:r>
        <w:r>
          <w:tab/>
        </w:r>
        <w:r>
          <w:fldChar w:fldCharType="begin"/>
        </w:r>
        <w:r>
          <w:instrText xml:space="preserve">PAGEREF 5808 \h</w:instrText>
        </w:r>
        <w:r>
          <w:fldChar w:fldCharType="end"/>
        </w:r>
      </w:hyperlink>
    </w:p>
    <w:p>
      <w:pPr>
        <w:tabs>
          <w:tab w:val="right" w:leader="dot" w:pos="9062"/>
        </w:tabs>
        <w:ind w:left="220"/>
      </w:pPr>
      <w:hyperlink w:anchor="_Toc5809" w:history="1">
        <w:r>
          <w:rPr>
            <w:rFonts w:ascii="IRNazanin" w:hAnsi="IRNazanin" w:eastAsia="IRNazanin" w:cs="IRNazanin"/>
            <w:color w:val="111111"/>
            <w:sz w:val="22"/>
            <w:szCs w:val="22"/>
            <w:b w:val="0"/>
            <w:bCs w:val="0"/>
            <w:i w:val="0"/>
            <w:iCs w:val="0"/>
          </w:rPr>
          <w:t>قفطي ، علي بن يوسف، 568 - 646 ه-</w:t>
        </w:r>
        <w:r>
          <w:tab/>
        </w:r>
        <w:r>
          <w:fldChar w:fldCharType="begin"/>
        </w:r>
        <w:r>
          <w:instrText xml:space="preserve">PAGEREF 5809 \h</w:instrText>
        </w:r>
        <w:r>
          <w:fldChar w:fldCharType="end"/>
        </w:r>
      </w:hyperlink>
    </w:p>
    <w:p>
      <w:pPr>
        <w:tabs>
          <w:tab w:val="right" w:leader="dot" w:pos="9062"/>
        </w:tabs>
        <w:ind w:left="220"/>
      </w:pPr>
      <w:hyperlink w:anchor="_Toc5810" w:history="1">
        <w:r>
          <w:rPr>
            <w:rFonts w:ascii="IRNazanin" w:hAnsi="IRNazanin" w:eastAsia="IRNazanin" w:cs="IRNazanin"/>
            <w:color w:val="111111"/>
            <w:sz w:val="22"/>
            <w:szCs w:val="22"/>
            <w:b w:val="0"/>
            <w:bCs w:val="0"/>
            <w:i w:val="0"/>
            <w:iCs w:val="0"/>
          </w:rPr>
          <w:t>قلانسي ، محمّد بن بهرام ، قرن 7 ه-</w:t>
        </w:r>
        <w:r>
          <w:tab/>
        </w:r>
        <w:r>
          <w:fldChar w:fldCharType="begin"/>
        </w:r>
        <w:r>
          <w:instrText xml:space="preserve">PAGEREF 5810 \h</w:instrText>
        </w:r>
        <w:r>
          <w:fldChar w:fldCharType="end"/>
        </w:r>
      </w:hyperlink>
    </w:p>
    <w:p>
      <w:pPr>
        <w:tabs>
          <w:tab w:val="right" w:leader="dot" w:pos="9062"/>
        </w:tabs>
        <w:ind w:left="220"/>
      </w:pPr>
      <w:hyperlink w:anchor="_Toc5811" w:history="1">
        <w:r>
          <w:rPr>
            <w:rFonts w:ascii="IRNazanin" w:hAnsi="IRNazanin" w:eastAsia="IRNazanin" w:cs="IRNazanin"/>
            <w:color w:val="111111"/>
            <w:sz w:val="22"/>
            <w:szCs w:val="22"/>
            <w:b w:val="0"/>
            <w:bCs w:val="0"/>
            <w:i w:val="0"/>
            <w:iCs w:val="0"/>
          </w:rPr>
          <w:t>قلانسي ، محمّد بن عبدالله قرن 6 ه-</w:t>
        </w:r>
        <w:r>
          <w:tab/>
        </w:r>
        <w:r>
          <w:fldChar w:fldCharType="begin"/>
        </w:r>
        <w:r>
          <w:instrText xml:space="preserve">PAGEREF 5811 \h</w:instrText>
        </w:r>
        <w:r>
          <w:fldChar w:fldCharType="end"/>
        </w:r>
      </w:hyperlink>
    </w:p>
    <w:p>
      <w:pPr>
        <w:tabs>
          <w:tab w:val="right" w:leader="dot" w:pos="9062"/>
        </w:tabs>
        <w:ind w:left="220"/>
      </w:pPr>
      <w:hyperlink w:anchor="_Toc5812" w:history="1">
        <w:r>
          <w:rPr>
            <w:rFonts w:ascii="IRNazanin" w:hAnsi="IRNazanin" w:eastAsia="IRNazanin" w:cs="IRNazanin"/>
            <w:color w:val="111111"/>
            <w:sz w:val="22"/>
            <w:szCs w:val="22"/>
            <w:b w:val="0"/>
            <w:bCs w:val="0"/>
            <w:i w:val="0"/>
            <w:iCs w:val="0"/>
          </w:rPr>
          <w:t>قلصادي، علي بن محمّد، 815-891 ه-</w:t>
        </w:r>
        <w:r>
          <w:tab/>
        </w:r>
        <w:r>
          <w:fldChar w:fldCharType="begin"/>
        </w:r>
        <w:r>
          <w:instrText xml:space="preserve">PAGEREF 5812 \h</w:instrText>
        </w:r>
        <w:r>
          <w:fldChar w:fldCharType="end"/>
        </w:r>
      </w:hyperlink>
    </w:p>
    <w:p>
      <w:pPr>
        <w:tabs>
          <w:tab w:val="right" w:leader="dot" w:pos="9062"/>
        </w:tabs>
        <w:ind w:left="220"/>
      </w:pPr>
      <w:hyperlink w:anchor="_Toc5813" w:history="1">
        <w:r>
          <w:rPr>
            <w:rFonts w:ascii="IRNazanin" w:hAnsi="IRNazanin" w:eastAsia="IRNazanin" w:cs="IRNazanin"/>
            <w:color w:val="111111"/>
            <w:sz w:val="22"/>
            <w:szCs w:val="22"/>
            <w:b w:val="0"/>
            <w:bCs w:val="0"/>
            <w:i w:val="0"/>
            <w:iCs w:val="0"/>
          </w:rPr>
          <w:t>قلعاوي، مصطفى بن محمّد - 1230ه-</w:t>
        </w:r>
        <w:r>
          <w:tab/>
        </w:r>
        <w:r>
          <w:fldChar w:fldCharType="begin"/>
        </w:r>
        <w:r>
          <w:instrText xml:space="preserve">PAGEREF 5813 \h</w:instrText>
        </w:r>
        <w:r>
          <w:fldChar w:fldCharType="end"/>
        </w:r>
      </w:hyperlink>
    </w:p>
    <w:p>
      <w:pPr>
        <w:tabs>
          <w:tab w:val="right" w:leader="dot" w:pos="9062"/>
        </w:tabs>
        <w:ind w:left="220"/>
      </w:pPr>
      <w:hyperlink w:anchor="_Toc5814" w:history="1">
        <w:r>
          <w:rPr>
            <w:rFonts w:ascii="IRNazanin" w:hAnsi="IRNazanin" w:eastAsia="IRNazanin" w:cs="IRNazanin"/>
            <w:color w:val="111111"/>
            <w:sz w:val="22"/>
            <w:szCs w:val="22"/>
            <w:b w:val="0"/>
            <w:bCs w:val="0"/>
            <w:i w:val="0"/>
            <w:iCs w:val="0"/>
          </w:rPr>
          <w:t>قلعي محمّد بن عبد المحسن -1147ه-</w:t>
        </w:r>
        <w:r>
          <w:tab/>
        </w:r>
        <w:r>
          <w:fldChar w:fldCharType="begin"/>
        </w:r>
        <w:r>
          <w:instrText xml:space="preserve">PAGEREF 5814 \h</w:instrText>
        </w:r>
        <w:r>
          <w:fldChar w:fldCharType="end"/>
        </w:r>
      </w:hyperlink>
    </w:p>
    <w:p>
      <w:pPr>
        <w:tabs>
          <w:tab w:val="right" w:leader="dot" w:pos="9062"/>
        </w:tabs>
        <w:ind w:left="220"/>
      </w:pPr>
      <w:hyperlink w:anchor="_Toc5815" w:history="1">
        <w:r>
          <w:rPr>
            <w:rFonts w:ascii="IRNazanin" w:hAnsi="IRNazanin" w:eastAsia="IRNazanin" w:cs="IRNazanin"/>
            <w:color w:val="111111"/>
            <w:sz w:val="22"/>
            <w:szCs w:val="22"/>
            <w:b w:val="0"/>
            <w:bCs w:val="0"/>
            <w:i w:val="0"/>
            <w:iCs w:val="0"/>
          </w:rPr>
          <w:t>قلقشندي ، احمد بن علي 756-821ه-</w:t>
        </w:r>
        <w:r>
          <w:tab/>
        </w:r>
        <w:r>
          <w:fldChar w:fldCharType="begin"/>
        </w:r>
        <w:r>
          <w:instrText xml:space="preserve">PAGEREF 5815 \h</w:instrText>
        </w:r>
        <w:r>
          <w:fldChar w:fldCharType="end"/>
        </w:r>
      </w:hyperlink>
    </w:p>
    <w:p>
      <w:pPr>
        <w:tabs>
          <w:tab w:val="right" w:leader="dot" w:pos="9062"/>
        </w:tabs>
        <w:ind w:left="220"/>
      </w:pPr>
      <w:hyperlink w:anchor="_Toc5816" w:history="1">
        <w:r>
          <w:rPr>
            <w:rFonts w:ascii="IRNazanin" w:hAnsi="IRNazanin" w:eastAsia="IRNazanin" w:cs="IRNazanin"/>
            <w:color w:val="111111"/>
            <w:sz w:val="22"/>
            <w:szCs w:val="22"/>
            <w:b w:val="0"/>
            <w:bCs w:val="0"/>
            <w:i w:val="0"/>
            <w:iCs w:val="0"/>
          </w:rPr>
          <w:t>قلقشندي، عبدالرحمن بن محمّد -826ه-</w:t>
        </w:r>
        <w:r>
          <w:tab/>
        </w:r>
        <w:r>
          <w:fldChar w:fldCharType="begin"/>
        </w:r>
        <w:r>
          <w:instrText xml:space="preserve">PAGEREF 5816 \h</w:instrText>
        </w:r>
        <w:r>
          <w:fldChar w:fldCharType="end"/>
        </w:r>
      </w:hyperlink>
    </w:p>
    <w:p>
      <w:pPr>
        <w:tabs>
          <w:tab w:val="right" w:leader="dot" w:pos="9062"/>
        </w:tabs>
        <w:ind w:left="220"/>
      </w:pPr>
      <w:hyperlink w:anchor="_Toc5817" w:history="1">
        <w:r>
          <w:rPr>
            <w:rFonts w:ascii="IRNazanin" w:hAnsi="IRNazanin" w:eastAsia="IRNazanin" w:cs="IRNazanin"/>
            <w:color w:val="111111"/>
            <w:sz w:val="22"/>
            <w:szCs w:val="22"/>
            <w:b w:val="0"/>
            <w:bCs w:val="0"/>
            <w:i w:val="0"/>
            <w:iCs w:val="0"/>
          </w:rPr>
          <w:t>قليوبي، احمد بن احمد - 1069 ه-</w:t>
        </w:r>
        <w:r>
          <w:tab/>
        </w:r>
        <w:r>
          <w:fldChar w:fldCharType="begin"/>
        </w:r>
        <w:r>
          <w:instrText xml:space="preserve">PAGEREF 5817 \h</w:instrText>
        </w:r>
        <w:r>
          <w:fldChar w:fldCharType="end"/>
        </w:r>
      </w:hyperlink>
    </w:p>
    <w:p>
      <w:pPr>
        <w:tabs>
          <w:tab w:val="right" w:leader="dot" w:pos="9062"/>
        </w:tabs>
        <w:ind w:left="220"/>
      </w:pPr>
      <w:hyperlink w:anchor="_Toc5818" w:history="1">
        <w:r>
          <w:rPr>
            <w:rFonts w:ascii="IRNazanin" w:hAnsi="IRNazanin" w:eastAsia="IRNazanin" w:cs="IRNazanin"/>
            <w:color w:val="111111"/>
            <w:sz w:val="22"/>
            <w:szCs w:val="22"/>
            <w:b w:val="0"/>
            <w:bCs w:val="0"/>
            <w:i w:val="0"/>
            <w:iCs w:val="0"/>
          </w:rPr>
          <w:t>قليوبي ، محمّد بن محمّد، - 849 ه-</w:t>
        </w:r>
        <w:r>
          <w:tab/>
        </w:r>
        <w:r>
          <w:fldChar w:fldCharType="begin"/>
        </w:r>
        <w:r>
          <w:instrText xml:space="preserve">PAGEREF 5818 \h</w:instrText>
        </w:r>
        <w:r>
          <w:fldChar w:fldCharType="end"/>
        </w:r>
      </w:hyperlink>
    </w:p>
    <w:p>
      <w:pPr>
        <w:tabs>
          <w:tab w:val="right" w:leader="dot" w:pos="9062"/>
        </w:tabs>
        <w:ind w:left="220"/>
      </w:pPr>
      <w:hyperlink w:anchor="_Toc5819" w:history="1">
        <w:r>
          <w:rPr>
            <w:rFonts w:ascii="IRNazanin" w:hAnsi="IRNazanin" w:eastAsia="IRNazanin" w:cs="IRNazanin"/>
            <w:color w:val="111111"/>
            <w:sz w:val="22"/>
            <w:szCs w:val="22"/>
            <w:b w:val="0"/>
            <w:bCs w:val="0"/>
            <w:i w:val="0"/>
            <w:iCs w:val="0"/>
          </w:rPr>
          <w:t>قمرالدین راز</w:t>
        </w:r>
        <w:r>
          <w:tab/>
        </w:r>
        <w:r>
          <w:fldChar w:fldCharType="begin"/>
        </w:r>
        <w:r>
          <w:instrText xml:space="preserve">PAGEREF 5819 \h</w:instrText>
        </w:r>
        <w:r>
          <w:fldChar w:fldCharType="end"/>
        </w:r>
      </w:hyperlink>
    </w:p>
    <w:p>
      <w:pPr>
        <w:tabs>
          <w:tab w:val="right" w:leader="dot" w:pos="9062"/>
        </w:tabs>
        <w:ind w:left="220"/>
      </w:pPr>
      <w:hyperlink w:anchor="_Toc5820" w:history="1">
        <w:r>
          <w:rPr>
            <w:rFonts w:ascii="IRNazanin" w:hAnsi="IRNazanin" w:eastAsia="IRNazanin" w:cs="IRNazanin"/>
            <w:color w:val="111111"/>
            <w:sz w:val="22"/>
            <w:szCs w:val="22"/>
            <w:b w:val="0"/>
            <w:bCs w:val="0"/>
            <w:i w:val="0"/>
            <w:iCs w:val="0"/>
          </w:rPr>
          <w:t>قمري ، محمّد قرن 5 ه-</w:t>
        </w:r>
        <w:r>
          <w:tab/>
        </w:r>
        <w:r>
          <w:fldChar w:fldCharType="begin"/>
        </w:r>
        <w:r>
          <w:instrText xml:space="preserve">PAGEREF 5820 \h</w:instrText>
        </w:r>
        <w:r>
          <w:fldChar w:fldCharType="end"/>
        </w:r>
      </w:hyperlink>
    </w:p>
    <w:p>
      <w:pPr>
        <w:tabs>
          <w:tab w:val="right" w:leader="dot" w:pos="9062"/>
        </w:tabs>
        <w:ind w:left="220"/>
      </w:pPr>
      <w:hyperlink w:anchor="_Toc5821" w:history="1">
        <w:r>
          <w:rPr>
            <w:rFonts w:ascii="IRNazanin" w:hAnsi="IRNazanin" w:eastAsia="IRNazanin" w:cs="IRNazanin"/>
            <w:color w:val="111111"/>
            <w:sz w:val="22"/>
            <w:szCs w:val="22"/>
            <w:b w:val="0"/>
            <w:bCs w:val="0"/>
            <w:i w:val="0"/>
            <w:iCs w:val="0"/>
          </w:rPr>
          <w:t>قمشه اي اصفهاني ملا مهدي - 1281 ه-</w:t>
        </w:r>
        <w:r>
          <w:tab/>
        </w:r>
        <w:r>
          <w:fldChar w:fldCharType="begin"/>
        </w:r>
        <w:r>
          <w:instrText xml:space="preserve">PAGEREF 5821 \h</w:instrText>
        </w:r>
        <w:r>
          <w:fldChar w:fldCharType="end"/>
        </w:r>
      </w:hyperlink>
    </w:p>
    <w:p>
      <w:pPr>
        <w:tabs>
          <w:tab w:val="right" w:leader="dot" w:pos="9062"/>
        </w:tabs>
        <w:ind w:left="220"/>
      </w:pPr>
      <w:hyperlink w:anchor="_Toc5822" w:history="1">
        <w:r>
          <w:rPr>
            <w:rFonts w:ascii="IRNazanin" w:hAnsi="IRNazanin" w:eastAsia="IRNazanin" w:cs="IRNazanin"/>
            <w:color w:val="111111"/>
            <w:sz w:val="22"/>
            <w:szCs w:val="22"/>
            <w:b w:val="0"/>
            <w:bCs w:val="0"/>
            <w:i w:val="0"/>
            <w:iCs w:val="0"/>
          </w:rPr>
          <w:t>قمشه اي ، محمّد حسين بن محمّد قاسم</w:t>
        </w:r>
        <w:r>
          <w:tab/>
        </w:r>
        <w:r>
          <w:fldChar w:fldCharType="begin"/>
        </w:r>
        <w:r>
          <w:instrText xml:space="preserve">PAGEREF 5822 \h</w:instrText>
        </w:r>
        <w:r>
          <w:fldChar w:fldCharType="end"/>
        </w:r>
      </w:hyperlink>
    </w:p>
    <w:p>
      <w:pPr>
        <w:tabs>
          <w:tab w:val="right" w:leader="dot" w:pos="9062"/>
        </w:tabs>
        <w:ind w:left="220"/>
      </w:pPr>
      <w:hyperlink w:anchor="_Toc5823" w:history="1">
        <w:r>
          <w:rPr>
            <w:rFonts w:ascii="IRNazanin" w:hAnsi="IRNazanin" w:eastAsia="IRNazanin" w:cs="IRNazanin"/>
            <w:color w:val="111111"/>
            <w:sz w:val="22"/>
            <w:szCs w:val="22"/>
            <w:b w:val="0"/>
            <w:bCs w:val="0"/>
            <w:i w:val="0"/>
            <w:iCs w:val="0"/>
          </w:rPr>
          <w:t>قمشهي ، محمّد ، محمّد حسن</w:t>
        </w:r>
        <w:r>
          <w:tab/>
        </w:r>
        <w:r>
          <w:fldChar w:fldCharType="begin"/>
        </w:r>
        <w:r>
          <w:instrText xml:space="preserve">PAGEREF 5823 \h</w:instrText>
        </w:r>
        <w:r>
          <w:fldChar w:fldCharType="end"/>
        </w:r>
      </w:hyperlink>
    </w:p>
    <w:p>
      <w:pPr>
        <w:tabs>
          <w:tab w:val="right" w:leader="dot" w:pos="9062"/>
        </w:tabs>
        <w:ind w:left="220"/>
      </w:pPr>
      <w:hyperlink w:anchor="_Toc5824" w:history="1">
        <w:r>
          <w:rPr>
            <w:rFonts w:ascii="IRNazanin" w:hAnsi="IRNazanin" w:eastAsia="IRNazanin" w:cs="IRNazanin"/>
            <w:color w:val="111111"/>
            <w:sz w:val="22"/>
            <w:szCs w:val="22"/>
            <w:b w:val="0"/>
            <w:bCs w:val="0"/>
            <w:i w:val="0"/>
            <w:iCs w:val="0"/>
          </w:rPr>
          <w:t>قمي ، ابوالحسن بن علي</w:t>
        </w:r>
        <w:r>
          <w:tab/>
        </w:r>
        <w:r>
          <w:fldChar w:fldCharType="begin"/>
        </w:r>
        <w:r>
          <w:instrText xml:space="preserve">PAGEREF 5824 \h</w:instrText>
        </w:r>
        <w:r>
          <w:fldChar w:fldCharType="end"/>
        </w:r>
      </w:hyperlink>
    </w:p>
    <w:p>
      <w:pPr>
        <w:tabs>
          <w:tab w:val="right" w:leader="dot" w:pos="9062"/>
        </w:tabs>
        <w:ind w:left="220"/>
      </w:pPr>
      <w:hyperlink w:anchor="_Toc5825" w:history="1">
        <w:r>
          <w:rPr>
            <w:rFonts w:ascii="IRNazanin" w:hAnsi="IRNazanin" w:eastAsia="IRNazanin" w:cs="IRNazanin"/>
            <w:color w:val="111111"/>
            <w:sz w:val="22"/>
            <w:szCs w:val="22"/>
            <w:b w:val="0"/>
            <w:bCs w:val="0"/>
            <w:i w:val="0"/>
            <w:iCs w:val="0"/>
          </w:rPr>
          <w:t>قمي، عباس بن محمّد رضا 1292 -</w:t>
        </w:r>
        <w:r>
          <w:tab/>
        </w:r>
        <w:r>
          <w:fldChar w:fldCharType="begin"/>
        </w:r>
        <w:r>
          <w:instrText xml:space="preserve">PAGEREF 5825 \h</w:instrText>
        </w:r>
        <w:r>
          <w:fldChar w:fldCharType="end"/>
        </w:r>
      </w:hyperlink>
    </w:p>
    <w:p>
      <w:pPr>
        <w:tabs>
          <w:tab w:val="right" w:leader="dot" w:pos="9062"/>
        </w:tabs>
        <w:ind w:left="220"/>
      </w:pPr>
      <w:hyperlink w:anchor="_Toc5826" w:history="1">
        <w:r>
          <w:rPr>
            <w:rFonts w:ascii="IRNazanin" w:hAnsi="IRNazanin" w:eastAsia="IRNazanin" w:cs="IRNazanin"/>
            <w:color w:val="111111"/>
            <w:sz w:val="22"/>
            <w:szCs w:val="22"/>
            <w:b w:val="0"/>
            <w:bCs w:val="0"/>
            <w:i w:val="0"/>
            <w:iCs w:val="0"/>
          </w:rPr>
          <w:t>قمي ، علي بن ابراهيم قرن 4 ه-</w:t>
        </w:r>
        <w:r>
          <w:tab/>
        </w:r>
        <w:r>
          <w:fldChar w:fldCharType="begin"/>
        </w:r>
        <w:r>
          <w:instrText xml:space="preserve">PAGEREF 5826 \h</w:instrText>
        </w:r>
        <w:r>
          <w:fldChar w:fldCharType="end"/>
        </w:r>
      </w:hyperlink>
    </w:p>
    <w:p>
      <w:pPr>
        <w:tabs>
          <w:tab w:val="right" w:leader="dot" w:pos="9062"/>
        </w:tabs>
        <w:ind w:left="220"/>
      </w:pPr>
      <w:hyperlink w:anchor="_Toc5827" w:history="1">
        <w:r>
          <w:rPr>
            <w:rFonts w:ascii="IRNazanin" w:hAnsi="IRNazanin" w:eastAsia="IRNazanin" w:cs="IRNazanin"/>
            <w:color w:val="111111"/>
            <w:sz w:val="22"/>
            <w:szCs w:val="22"/>
            <w:b w:val="0"/>
            <w:bCs w:val="0"/>
            <w:i w:val="0"/>
            <w:iCs w:val="0"/>
          </w:rPr>
          <w:t>قمي ، علي بن محمّد حسن</w:t>
        </w:r>
        <w:r>
          <w:tab/>
        </w:r>
        <w:r>
          <w:fldChar w:fldCharType="begin"/>
        </w:r>
        <w:r>
          <w:instrText xml:space="preserve">PAGEREF 5827 \h</w:instrText>
        </w:r>
        <w:r>
          <w:fldChar w:fldCharType="end"/>
        </w:r>
      </w:hyperlink>
    </w:p>
    <w:p>
      <w:pPr>
        <w:tabs>
          <w:tab w:val="right" w:leader="dot" w:pos="9062"/>
        </w:tabs>
        <w:ind w:left="220"/>
      </w:pPr>
      <w:hyperlink w:anchor="_Toc5828" w:history="1">
        <w:r>
          <w:rPr>
            <w:rFonts w:ascii="IRNazanin" w:hAnsi="IRNazanin" w:eastAsia="IRNazanin" w:cs="IRNazanin"/>
            <w:color w:val="111111"/>
            <w:sz w:val="22"/>
            <w:szCs w:val="22"/>
            <w:b w:val="0"/>
            <w:bCs w:val="0"/>
            <w:i w:val="0"/>
            <w:iCs w:val="0"/>
          </w:rPr>
          <w:t>قمي ، عليقلي بن قره ،چغاي 1020 قرن ه-11ه-</w:t>
        </w:r>
        <w:r>
          <w:tab/>
        </w:r>
        <w:r>
          <w:fldChar w:fldCharType="begin"/>
        </w:r>
        <w:r>
          <w:instrText xml:space="preserve">PAGEREF 5828 \h</w:instrText>
        </w:r>
        <w:r>
          <w:fldChar w:fldCharType="end"/>
        </w:r>
      </w:hyperlink>
    </w:p>
    <w:p>
      <w:pPr>
        <w:tabs>
          <w:tab w:val="right" w:leader="dot" w:pos="9062"/>
        </w:tabs>
        <w:ind w:left="220"/>
      </w:pPr>
      <w:hyperlink w:anchor="_Toc5829" w:history="1">
        <w:r>
          <w:rPr>
            <w:rFonts w:ascii="IRNazanin" w:hAnsi="IRNazanin" w:eastAsia="IRNazanin" w:cs="IRNazanin"/>
            <w:color w:val="111111"/>
            <w:sz w:val="22"/>
            <w:szCs w:val="22"/>
            <w:b w:val="0"/>
            <w:bCs w:val="0"/>
            <w:i w:val="0"/>
            <w:iCs w:val="0"/>
          </w:rPr>
          <w:t>قمي ، محمّد حسين بن بهاء الدين محمّد</w:t>
        </w:r>
        <w:r>
          <w:tab/>
        </w:r>
        <w:r>
          <w:fldChar w:fldCharType="begin"/>
        </w:r>
        <w:r>
          <w:instrText xml:space="preserve">PAGEREF 5829 \h</w:instrText>
        </w:r>
        <w:r>
          <w:fldChar w:fldCharType="end"/>
        </w:r>
      </w:hyperlink>
    </w:p>
    <w:p>
      <w:pPr>
        <w:tabs>
          <w:tab w:val="right" w:leader="dot" w:pos="9062"/>
        </w:tabs>
        <w:ind w:left="220"/>
      </w:pPr>
      <w:hyperlink w:anchor="_Toc5830" w:history="1">
        <w:r>
          <w:rPr>
            <w:rFonts w:ascii="IRNazanin" w:hAnsi="IRNazanin" w:eastAsia="IRNazanin" w:cs="IRNazanin"/>
            <w:color w:val="111111"/>
            <w:sz w:val="22"/>
            <w:szCs w:val="22"/>
            <w:b w:val="0"/>
            <w:bCs w:val="0"/>
            <w:i w:val="0"/>
            <w:iCs w:val="0"/>
          </w:rPr>
          <w:t>قمي ، محمّد طاهر بن محمّد حسين .</w:t>
        </w:r>
        <w:r>
          <w:tab/>
        </w:r>
        <w:r>
          <w:fldChar w:fldCharType="begin"/>
        </w:r>
        <w:r>
          <w:instrText xml:space="preserve">PAGEREF 5830 \h</w:instrText>
        </w:r>
        <w:r>
          <w:fldChar w:fldCharType="end"/>
        </w:r>
      </w:hyperlink>
    </w:p>
    <w:p>
      <w:pPr>
        <w:tabs>
          <w:tab w:val="right" w:leader="dot" w:pos="9062"/>
        </w:tabs>
        <w:ind w:left="220"/>
      </w:pPr>
      <w:hyperlink w:anchor="_Toc5831" w:history="1">
        <w:r>
          <w:rPr>
            <w:rFonts w:ascii="IRNazanin" w:hAnsi="IRNazanin" w:eastAsia="IRNazanin" w:cs="IRNazanin"/>
            <w:color w:val="111111"/>
            <w:sz w:val="22"/>
            <w:szCs w:val="22"/>
            <w:b w:val="0"/>
            <w:bCs w:val="0"/>
            <w:i w:val="0"/>
            <w:iCs w:val="0"/>
          </w:rPr>
          <w:t>قمي ، محمّد علي محمّود</w:t>
        </w:r>
        <w:r>
          <w:tab/>
        </w:r>
        <w:r>
          <w:fldChar w:fldCharType="begin"/>
        </w:r>
        <w:r>
          <w:instrText xml:space="preserve">PAGEREF 5831 \h</w:instrText>
        </w:r>
        <w:r>
          <w:fldChar w:fldCharType="end"/>
        </w:r>
      </w:hyperlink>
    </w:p>
    <w:p>
      <w:pPr>
        <w:tabs>
          <w:tab w:val="right" w:leader="dot" w:pos="9062"/>
        </w:tabs>
        <w:ind w:left="220"/>
      </w:pPr>
      <w:hyperlink w:anchor="_Toc5832" w:history="1">
        <w:r>
          <w:rPr>
            <w:rFonts w:ascii="IRNazanin" w:hAnsi="IRNazanin" w:eastAsia="IRNazanin" w:cs="IRNazanin"/>
            <w:color w:val="111111"/>
            <w:sz w:val="22"/>
            <w:szCs w:val="22"/>
            <w:b w:val="0"/>
            <w:bCs w:val="0"/>
            <w:i w:val="0"/>
            <w:iCs w:val="0"/>
          </w:rPr>
          <w:t>قمي مشهدي ، محمّد بن محمّد رضا</w:t>
        </w:r>
        <w:r>
          <w:tab/>
        </w:r>
        <w:r>
          <w:fldChar w:fldCharType="begin"/>
        </w:r>
        <w:r>
          <w:instrText xml:space="preserve">PAGEREF 5832 \h</w:instrText>
        </w:r>
        <w:r>
          <w:fldChar w:fldCharType="end"/>
        </w:r>
      </w:hyperlink>
    </w:p>
    <w:p>
      <w:pPr>
        <w:tabs>
          <w:tab w:val="right" w:leader="dot" w:pos="9062"/>
        </w:tabs>
        <w:ind w:left="220"/>
      </w:pPr>
      <w:hyperlink w:anchor="_Toc5833" w:history="1">
        <w:r>
          <w:rPr>
            <w:rFonts w:ascii="IRNazanin" w:hAnsi="IRNazanin" w:eastAsia="IRNazanin" w:cs="IRNazanin"/>
            <w:color w:val="111111"/>
            <w:sz w:val="22"/>
            <w:szCs w:val="22"/>
            <w:b w:val="0"/>
            <w:bCs w:val="0"/>
            <w:i w:val="0"/>
            <w:iCs w:val="0"/>
          </w:rPr>
          <w:t>قمي ، مهدي بن عليرضا</w:t>
        </w:r>
        <w:r>
          <w:tab/>
        </w:r>
        <w:r>
          <w:fldChar w:fldCharType="begin"/>
        </w:r>
        <w:r>
          <w:instrText xml:space="preserve">PAGEREF 5833 \h</w:instrText>
        </w:r>
        <w:r>
          <w:fldChar w:fldCharType="end"/>
        </w:r>
      </w:hyperlink>
    </w:p>
    <w:p>
      <w:pPr>
        <w:tabs>
          <w:tab w:val="right" w:leader="dot" w:pos="9062"/>
        </w:tabs>
        <w:ind w:left="220"/>
      </w:pPr>
      <w:hyperlink w:anchor="_Toc5834" w:history="1">
        <w:r>
          <w:rPr>
            <w:rFonts w:ascii="IRNazanin" w:hAnsi="IRNazanin" w:eastAsia="IRNazanin" w:cs="IRNazanin"/>
            <w:color w:val="111111"/>
            <w:sz w:val="22"/>
            <w:szCs w:val="22"/>
            <w:b w:val="0"/>
            <w:bCs w:val="0"/>
            <w:i w:val="0"/>
            <w:iCs w:val="0"/>
          </w:rPr>
          <w:t>قمي ، ميرزا مسيح</w:t>
        </w:r>
        <w:r>
          <w:tab/>
        </w:r>
        <w:r>
          <w:fldChar w:fldCharType="begin"/>
        </w:r>
        <w:r>
          <w:instrText xml:space="preserve">PAGEREF 5834 \h</w:instrText>
        </w:r>
        <w:r>
          <w:fldChar w:fldCharType="end"/>
        </w:r>
      </w:hyperlink>
    </w:p>
    <w:p>
      <w:pPr>
        <w:tabs>
          <w:tab w:val="right" w:leader="dot" w:pos="9062"/>
        </w:tabs>
        <w:ind w:left="220"/>
      </w:pPr>
      <w:hyperlink w:anchor="_Toc5835" w:history="1">
        <w:r>
          <w:rPr>
            <w:rFonts w:ascii="IRNazanin" w:hAnsi="IRNazanin" w:eastAsia="IRNazanin" w:cs="IRNazanin"/>
            <w:color w:val="111111"/>
            <w:sz w:val="22"/>
            <w:szCs w:val="22"/>
            <w:b w:val="0"/>
            <w:bCs w:val="0"/>
            <w:i w:val="0"/>
            <w:iCs w:val="0"/>
          </w:rPr>
          <w:t>قمي ، هدایت الله بن رضا، قرن 13 ه-</w:t>
        </w:r>
        <w:r>
          <w:tab/>
        </w:r>
        <w:r>
          <w:fldChar w:fldCharType="begin"/>
        </w:r>
        <w:r>
          <w:instrText xml:space="preserve">PAGEREF 5835 \h</w:instrText>
        </w:r>
        <w:r>
          <w:fldChar w:fldCharType="end"/>
        </w:r>
      </w:hyperlink>
    </w:p>
    <w:p>
      <w:pPr>
        <w:tabs>
          <w:tab w:val="right" w:leader="dot" w:pos="9062"/>
        </w:tabs>
        <w:ind w:left="220"/>
      </w:pPr>
      <w:hyperlink w:anchor="_Toc5836" w:history="1">
        <w:r>
          <w:rPr>
            <w:rFonts w:ascii="IRNazanin" w:hAnsi="IRNazanin" w:eastAsia="IRNazanin" w:cs="IRNazanin"/>
            <w:color w:val="111111"/>
            <w:sz w:val="22"/>
            <w:szCs w:val="22"/>
            <w:b w:val="0"/>
            <w:bCs w:val="0"/>
            <w:i w:val="0"/>
            <w:iCs w:val="0"/>
          </w:rPr>
          <w:t>قنائي ، احمد بن عباد - 859؟ ه-</w:t>
        </w:r>
        <w:r>
          <w:tab/>
        </w:r>
        <w:r>
          <w:fldChar w:fldCharType="begin"/>
        </w:r>
        <w:r>
          <w:instrText xml:space="preserve">PAGEREF 5836 \h</w:instrText>
        </w:r>
        <w:r>
          <w:fldChar w:fldCharType="end"/>
        </w:r>
      </w:hyperlink>
    </w:p>
    <w:p>
      <w:pPr>
        <w:tabs>
          <w:tab w:val="right" w:leader="dot" w:pos="9062"/>
        </w:tabs>
        <w:ind w:left="220"/>
      </w:pPr>
      <w:hyperlink w:anchor="_Toc5837" w:history="1">
        <w:r>
          <w:rPr>
            <w:rFonts w:ascii="IRNazanin" w:hAnsi="IRNazanin" w:eastAsia="IRNazanin" w:cs="IRNazanin"/>
            <w:color w:val="111111"/>
            <w:sz w:val="22"/>
            <w:szCs w:val="22"/>
            <w:b w:val="0"/>
            <w:bCs w:val="0"/>
            <w:i w:val="0"/>
            <w:iCs w:val="0"/>
          </w:rPr>
          <w:t>قندوزي ، سليمان بن ابراهيم 1220 -</w:t>
        </w:r>
        <w:r>
          <w:tab/>
        </w:r>
        <w:r>
          <w:fldChar w:fldCharType="begin"/>
        </w:r>
        <w:r>
          <w:instrText xml:space="preserve">PAGEREF 5837 \h</w:instrText>
        </w:r>
        <w:r>
          <w:fldChar w:fldCharType="end"/>
        </w:r>
      </w:hyperlink>
    </w:p>
    <w:p>
      <w:pPr>
        <w:tabs>
          <w:tab w:val="right" w:leader="dot" w:pos="9062"/>
        </w:tabs>
        <w:ind w:left="220"/>
      </w:pPr>
      <w:hyperlink w:anchor="_Toc5838" w:history="1">
        <w:r>
          <w:rPr>
            <w:rFonts w:ascii="IRNazanin" w:hAnsi="IRNazanin" w:eastAsia="IRNazanin" w:cs="IRNazanin"/>
            <w:color w:val="111111"/>
            <w:sz w:val="22"/>
            <w:szCs w:val="22"/>
            <w:b w:val="0"/>
            <w:bCs w:val="0"/>
            <w:i w:val="0"/>
            <w:iCs w:val="0"/>
          </w:rPr>
          <w:t>قنوجي ، محمّد امجد</w:t>
        </w:r>
        <w:r>
          <w:tab/>
        </w:r>
        <w:r>
          <w:fldChar w:fldCharType="begin"/>
        </w:r>
        <w:r>
          <w:instrText xml:space="preserve">PAGEREF 5838 \h</w:instrText>
        </w:r>
        <w:r>
          <w:fldChar w:fldCharType="end"/>
        </w:r>
      </w:hyperlink>
    </w:p>
    <w:p>
      <w:pPr>
        <w:tabs>
          <w:tab w:val="right" w:leader="dot" w:pos="9062"/>
        </w:tabs>
        <w:ind w:left="220"/>
      </w:pPr>
      <w:hyperlink w:anchor="_Toc5839" w:history="1">
        <w:r>
          <w:rPr>
            <w:rFonts w:ascii="IRNazanin" w:hAnsi="IRNazanin" w:eastAsia="IRNazanin" w:cs="IRNazanin"/>
            <w:color w:val="111111"/>
            <w:sz w:val="22"/>
            <w:szCs w:val="22"/>
            <w:b w:val="0"/>
            <w:bCs w:val="0"/>
            <w:i w:val="0"/>
            <w:iCs w:val="0"/>
          </w:rPr>
          <w:t>قنوي ، خليل بن محمّد - 1324 ه-</w:t>
        </w:r>
        <w:r>
          <w:tab/>
        </w:r>
        <w:r>
          <w:fldChar w:fldCharType="begin"/>
        </w:r>
        <w:r>
          <w:instrText xml:space="preserve">PAGEREF 5839 \h</w:instrText>
        </w:r>
        <w:r>
          <w:fldChar w:fldCharType="end"/>
        </w:r>
      </w:hyperlink>
    </w:p>
    <w:p>
      <w:pPr>
        <w:tabs>
          <w:tab w:val="right" w:leader="dot" w:pos="9062"/>
        </w:tabs>
        <w:ind w:left="220"/>
      </w:pPr>
      <w:hyperlink w:anchor="_Toc5840" w:history="1">
        <w:r>
          <w:rPr>
            <w:rFonts w:ascii="IRNazanin" w:hAnsi="IRNazanin" w:eastAsia="IRNazanin" w:cs="IRNazanin"/>
            <w:color w:val="111111"/>
            <w:sz w:val="22"/>
            <w:szCs w:val="22"/>
            <w:b w:val="0"/>
            <w:bCs w:val="0"/>
            <w:i w:val="0"/>
            <w:iCs w:val="0"/>
          </w:rPr>
          <w:t>قنوي ، عبدالله</w:t>
        </w:r>
        <w:r>
          <w:tab/>
        </w:r>
        <w:r>
          <w:fldChar w:fldCharType="begin"/>
        </w:r>
        <w:r>
          <w:instrText xml:space="preserve">PAGEREF 5840 \h</w:instrText>
        </w:r>
        <w:r>
          <w:fldChar w:fldCharType="end"/>
        </w:r>
      </w:hyperlink>
    </w:p>
    <w:p>
      <w:pPr>
        <w:tabs>
          <w:tab w:val="right" w:leader="dot" w:pos="9062"/>
        </w:tabs>
        <w:ind w:left="220"/>
      </w:pPr>
      <w:hyperlink w:anchor="_Toc5841" w:history="1">
        <w:r>
          <w:rPr>
            <w:rFonts w:ascii="IRNazanin" w:hAnsi="IRNazanin" w:eastAsia="IRNazanin" w:cs="IRNazanin"/>
            <w:color w:val="111111"/>
            <w:sz w:val="22"/>
            <w:szCs w:val="22"/>
            <w:b w:val="0"/>
            <w:bCs w:val="0"/>
            <w:i w:val="0"/>
            <w:iCs w:val="0"/>
          </w:rPr>
          <w:t>قهپائي ، عناية الله بن علي، قرن 11 ه-</w:t>
        </w:r>
        <w:r>
          <w:tab/>
        </w:r>
        <w:r>
          <w:fldChar w:fldCharType="begin"/>
        </w:r>
        <w:r>
          <w:instrText xml:space="preserve">PAGEREF 5841 \h</w:instrText>
        </w:r>
        <w:r>
          <w:fldChar w:fldCharType="end"/>
        </w:r>
      </w:hyperlink>
    </w:p>
    <w:p>
      <w:pPr>
        <w:tabs>
          <w:tab w:val="right" w:leader="dot" w:pos="9062"/>
        </w:tabs>
        <w:ind w:left="220"/>
      </w:pPr>
      <w:hyperlink w:anchor="_Toc5842" w:history="1">
        <w:r>
          <w:rPr>
            <w:rFonts w:ascii="IRNazanin" w:hAnsi="IRNazanin" w:eastAsia="IRNazanin" w:cs="IRNazanin"/>
            <w:color w:val="111111"/>
            <w:sz w:val="22"/>
            <w:szCs w:val="22"/>
            <w:b w:val="0"/>
            <w:bCs w:val="0"/>
            <w:i w:val="0"/>
            <w:iCs w:val="0"/>
          </w:rPr>
          <w:t>قهرمان، عبدالحسين بن مصطفى</w:t>
        </w:r>
        <w:r>
          <w:tab/>
        </w:r>
        <w:r>
          <w:fldChar w:fldCharType="begin"/>
        </w:r>
        <w:r>
          <w:instrText xml:space="preserve">PAGEREF 5842 \h</w:instrText>
        </w:r>
        <w:r>
          <w:fldChar w:fldCharType="end"/>
        </w:r>
      </w:hyperlink>
    </w:p>
    <w:p>
      <w:pPr>
        <w:tabs>
          <w:tab w:val="right" w:leader="dot" w:pos="9062"/>
        </w:tabs>
        <w:ind w:left="220"/>
      </w:pPr>
      <w:hyperlink w:anchor="_Toc5843" w:history="1">
        <w:r>
          <w:rPr>
            <w:rFonts w:ascii="IRNazanin" w:hAnsi="IRNazanin" w:eastAsia="IRNazanin" w:cs="IRNazanin"/>
            <w:color w:val="111111"/>
            <w:sz w:val="22"/>
            <w:szCs w:val="22"/>
            <w:b w:val="0"/>
            <w:bCs w:val="0"/>
            <w:i w:val="0"/>
            <w:iCs w:val="0"/>
          </w:rPr>
          <w:t>قهوتي ، عطية بن احمد قرن 12 ه-</w:t>
        </w:r>
        <w:r>
          <w:tab/>
        </w:r>
        <w:r>
          <w:fldChar w:fldCharType="begin"/>
        </w:r>
        <w:r>
          <w:instrText xml:space="preserve">PAGEREF 5843 \h</w:instrText>
        </w:r>
        <w:r>
          <w:fldChar w:fldCharType="end"/>
        </w:r>
      </w:hyperlink>
    </w:p>
    <w:p>
      <w:pPr>
        <w:tabs>
          <w:tab w:val="right" w:leader="dot" w:pos="9062"/>
        </w:tabs>
        <w:ind w:left="220"/>
      </w:pPr>
      <w:hyperlink w:anchor="_Toc5844" w:history="1">
        <w:r>
          <w:rPr>
            <w:rFonts w:ascii="IRNazanin" w:hAnsi="IRNazanin" w:eastAsia="IRNazanin" w:cs="IRNazanin"/>
            <w:color w:val="111111"/>
            <w:sz w:val="22"/>
            <w:szCs w:val="22"/>
            <w:b w:val="0"/>
            <w:bCs w:val="0"/>
            <w:i w:val="0"/>
            <w:iCs w:val="0"/>
          </w:rPr>
          <w:t>قوام الدين</w:t>
        </w:r>
        <w:r>
          <w:tab/>
        </w:r>
        <w:r>
          <w:fldChar w:fldCharType="begin"/>
        </w:r>
        <w:r>
          <w:instrText xml:space="preserve">PAGEREF 5844 \h</w:instrText>
        </w:r>
        <w:r>
          <w:fldChar w:fldCharType="end"/>
        </w:r>
      </w:hyperlink>
    </w:p>
    <w:p>
      <w:pPr>
        <w:tabs>
          <w:tab w:val="right" w:leader="dot" w:pos="9062"/>
        </w:tabs>
        <w:ind w:left="220"/>
      </w:pPr>
      <w:hyperlink w:anchor="_Toc5845" w:history="1">
        <w:r>
          <w:rPr>
            <w:rFonts w:ascii="IRNazanin" w:hAnsi="IRNazanin" w:eastAsia="IRNazanin" w:cs="IRNazanin"/>
            <w:color w:val="111111"/>
            <w:sz w:val="22"/>
            <w:szCs w:val="22"/>
            <w:b w:val="0"/>
            <w:bCs w:val="0"/>
            <w:i w:val="0"/>
            <w:iCs w:val="0"/>
          </w:rPr>
          <w:t>قوام الدین ، احمد</w:t>
        </w:r>
        <w:r>
          <w:tab/>
        </w:r>
        <w:r>
          <w:fldChar w:fldCharType="begin"/>
        </w:r>
        <w:r>
          <w:instrText xml:space="preserve">PAGEREF 5845 \h</w:instrText>
        </w:r>
        <w:r>
          <w:fldChar w:fldCharType="end"/>
        </w:r>
      </w:hyperlink>
    </w:p>
    <w:p>
      <w:pPr>
        <w:tabs>
          <w:tab w:val="right" w:leader="dot" w:pos="9062"/>
        </w:tabs>
        <w:ind w:left="220"/>
      </w:pPr>
      <w:hyperlink w:anchor="_Toc5846" w:history="1">
        <w:r>
          <w:rPr>
            <w:rFonts w:ascii="IRNazanin" w:hAnsi="IRNazanin" w:eastAsia="IRNazanin" w:cs="IRNazanin"/>
            <w:color w:val="111111"/>
            <w:sz w:val="22"/>
            <w:szCs w:val="22"/>
            <w:b w:val="0"/>
            <w:bCs w:val="0"/>
            <w:i w:val="0"/>
            <w:iCs w:val="0"/>
          </w:rPr>
          <w:t>قوام السنة ، اسماعيل بن محمّد 457 .</w:t>
        </w:r>
        <w:r>
          <w:tab/>
        </w:r>
        <w:r>
          <w:fldChar w:fldCharType="begin"/>
        </w:r>
        <w:r>
          <w:instrText xml:space="preserve">PAGEREF 5846 \h</w:instrText>
        </w:r>
        <w:r>
          <w:fldChar w:fldCharType="end"/>
        </w:r>
      </w:hyperlink>
    </w:p>
    <w:p>
      <w:pPr>
        <w:tabs>
          <w:tab w:val="right" w:leader="dot" w:pos="9062"/>
        </w:tabs>
        <w:ind w:left="220"/>
      </w:pPr>
      <w:hyperlink w:anchor="_Toc5847" w:history="1">
        <w:r>
          <w:rPr>
            <w:rFonts w:ascii="IRNazanin" w:hAnsi="IRNazanin" w:eastAsia="IRNazanin" w:cs="IRNazanin"/>
            <w:color w:val="111111"/>
            <w:sz w:val="22"/>
            <w:szCs w:val="22"/>
            <w:b w:val="0"/>
            <w:bCs w:val="0"/>
            <w:i w:val="0"/>
            <w:iCs w:val="0"/>
          </w:rPr>
          <w:t>قوامی گنجوی، احمد بن ابي بكر 576</w:t>
        </w:r>
        <w:r>
          <w:tab/>
        </w:r>
        <w:r>
          <w:fldChar w:fldCharType="begin"/>
        </w:r>
        <w:r>
          <w:instrText xml:space="preserve">PAGEREF 5847 \h</w:instrText>
        </w:r>
        <w:r>
          <w:fldChar w:fldCharType="end"/>
        </w:r>
      </w:hyperlink>
    </w:p>
    <w:p>
      <w:pPr>
        <w:tabs>
          <w:tab w:val="right" w:leader="dot" w:pos="9062"/>
        </w:tabs>
        <w:ind w:left="220"/>
      </w:pPr>
      <w:hyperlink w:anchor="_Toc5848" w:history="1">
        <w:r>
          <w:rPr>
            <w:rFonts w:ascii="IRNazanin" w:hAnsi="IRNazanin" w:eastAsia="IRNazanin" w:cs="IRNazanin"/>
            <w:color w:val="111111"/>
            <w:sz w:val="22"/>
            <w:szCs w:val="22"/>
            <w:b w:val="0"/>
            <w:bCs w:val="0"/>
            <w:i w:val="0"/>
            <w:iCs w:val="0"/>
          </w:rPr>
          <w:t>قوج حصاري ، يحيى، قرن 9 ه-</w:t>
        </w:r>
        <w:r>
          <w:tab/>
        </w:r>
        <w:r>
          <w:fldChar w:fldCharType="begin"/>
        </w:r>
        <w:r>
          <w:instrText xml:space="preserve">PAGEREF 5848 \h</w:instrText>
        </w:r>
        <w:r>
          <w:fldChar w:fldCharType="end"/>
        </w:r>
      </w:hyperlink>
    </w:p>
    <w:p>
      <w:pPr>
        <w:tabs>
          <w:tab w:val="right" w:leader="dot" w:pos="9062"/>
        </w:tabs>
        <w:ind w:left="220"/>
      </w:pPr>
      <w:hyperlink w:anchor="_Toc5849" w:history="1">
        <w:r>
          <w:rPr>
            <w:rFonts w:ascii="IRNazanin" w:hAnsi="IRNazanin" w:eastAsia="IRNazanin" w:cs="IRNazanin"/>
            <w:color w:val="111111"/>
            <w:sz w:val="22"/>
            <w:szCs w:val="22"/>
            <w:b w:val="0"/>
            <w:bCs w:val="0"/>
            <w:i w:val="0"/>
            <w:iCs w:val="0"/>
          </w:rPr>
          <w:t>قوجوي ، قره داود بن كمال - 948 ه-</w:t>
        </w:r>
        <w:r>
          <w:tab/>
        </w:r>
        <w:r>
          <w:fldChar w:fldCharType="begin"/>
        </w:r>
        <w:r>
          <w:instrText xml:space="preserve">PAGEREF 5849 \h</w:instrText>
        </w:r>
        <w:r>
          <w:fldChar w:fldCharType="end"/>
        </w:r>
      </w:hyperlink>
    </w:p>
    <w:p>
      <w:pPr>
        <w:tabs>
          <w:tab w:val="right" w:leader="dot" w:pos="9062"/>
        </w:tabs>
        <w:ind w:left="220"/>
      </w:pPr>
      <w:hyperlink w:anchor="_Toc5850" w:history="1">
        <w:r>
          <w:rPr>
            <w:rFonts w:ascii="IRNazanin" w:hAnsi="IRNazanin" w:eastAsia="IRNazanin" w:cs="IRNazanin"/>
            <w:color w:val="111111"/>
            <w:sz w:val="22"/>
            <w:szCs w:val="22"/>
            <w:b w:val="0"/>
            <w:bCs w:val="0"/>
            <w:i w:val="0"/>
            <w:iCs w:val="0"/>
          </w:rPr>
          <w:t>قوچاني ، عباس</w:t>
        </w:r>
        <w:r>
          <w:tab/>
        </w:r>
        <w:r>
          <w:fldChar w:fldCharType="begin"/>
        </w:r>
        <w:r>
          <w:instrText xml:space="preserve">PAGEREF 5850 \h</w:instrText>
        </w:r>
        <w:r>
          <w:fldChar w:fldCharType="end"/>
        </w:r>
      </w:hyperlink>
    </w:p>
    <w:p>
      <w:pPr>
        <w:tabs>
          <w:tab w:val="right" w:leader="dot" w:pos="9062"/>
        </w:tabs>
        <w:ind w:left="220"/>
      </w:pPr>
      <w:hyperlink w:anchor="_Toc5851" w:history="1">
        <w:r>
          <w:rPr>
            <w:rFonts w:ascii="IRNazanin" w:hAnsi="IRNazanin" w:eastAsia="IRNazanin" w:cs="IRNazanin"/>
            <w:color w:val="111111"/>
            <w:sz w:val="22"/>
            <w:szCs w:val="22"/>
            <w:b w:val="0"/>
            <w:bCs w:val="0"/>
            <w:i w:val="0"/>
            <w:iCs w:val="0"/>
          </w:rPr>
          <w:t>قوسي تبريزي، علي جان بن اسماعيل</w:t>
        </w:r>
        <w:r>
          <w:tab/>
        </w:r>
        <w:r>
          <w:fldChar w:fldCharType="begin"/>
        </w:r>
        <w:r>
          <w:instrText xml:space="preserve">PAGEREF 5851 \h</w:instrText>
        </w:r>
        <w:r>
          <w:fldChar w:fldCharType="end"/>
        </w:r>
      </w:hyperlink>
    </w:p>
    <w:p>
      <w:pPr>
        <w:tabs>
          <w:tab w:val="right" w:leader="dot" w:pos="9062"/>
        </w:tabs>
        <w:ind w:left="220"/>
      </w:pPr>
      <w:hyperlink w:anchor="_Toc5852" w:history="1">
        <w:r>
          <w:rPr>
            <w:rFonts w:ascii="IRNazanin" w:hAnsi="IRNazanin" w:eastAsia="IRNazanin" w:cs="IRNazanin"/>
            <w:color w:val="111111"/>
            <w:sz w:val="22"/>
            <w:szCs w:val="22"/>
            <w:b w:val="0"/>
            <w:bCs w:val="0"/>
            <w:i w:val="0"/>
            <w:iCs w:val="0"/>
          </w:rPr>
          <w:t>قوشچي ، علي بن محمّد - 879 ه-</w:t>
        </w:r>
        <w:r>
          <w:tab/>
        </w:r>
        <w:r>
          <w:fldChar w:fldCharType="begin"/>
        </w:r>
        <w:r>
          <w:instrText xml:space="preserve">PAGEREF 5852 \h</w:instrText>
        </w:r>
        <w:r>
          <w:fldChar w:fldCharType="end"/>
        </w:r>
      </w:hyperlink>
    </w:p>
    <w:p>
      <w:pPr>
        <w:tabs>
          <w:tab w:val="right" w:leader="dot" w:pos="9062"/>
        </w:tabs>
        <w:ind w:left="220"/>
      </w:pPr>
      <w:hyperlink w:anchor="_Toc5853" w:history="1">
        <w:r>
          <w:rPr>
            <w:rFonts w:ascii="IRNazanin" w:hAnsi="IRNazanin" w:eastAsia="IRNazanin" w:cs="IRNazanin"/>
            <w:color w:val="111111"/>
            <w:sz w:val="22"/>
            <w:szCs w:val="22"/>
            <w:b w:val="0"/>
            <w:bCs w:val="0"/>
            <w:i w:val="0"/>
            <w:iCs w:val="0"/>
          </w:rPr>
          <w:t>قوشي اطرسي ، احمد</w:t>
        </w:r>
        <w:r>
          <w:tab/>
        </w:r>
        <w:r>
          <w:fldChar w:fldCharType="begin"/>
        </w:r>
        <w:r>
          <w:instrText xml:space="preserve">PAGEREF 5853 \h</w:instrText>
        </w:r>
        <w:r>
          <w:fldChar w:fldCharType="end"/>
        </w:r>
      </w:hyperlink>
    </w:p>
    <w:p>
      <w:pPr>
        <w:tabs>
          <w:tab w:val="right" w:leader="dot" w:pos="9062"/>
        </w:tabs>
        <w:ind w:left="220"/>
      </w:pPr>
      <w:hyperlink w:anchor="_Toc5854" w:history="1">
        <w:r>
          <w:rPr>
            <w:rFonts w:ascii="IRNazanin" w:hAnsi="IRNazanin" w:eastAsia="IRNazanin" w:cs="IRNazanin"/>
            <w:color w:val="111111"/>
            <w:sz w:val="22"/>
            <w:szCs w:val="22"/>
            <w:b w:val="0"/>
            <w:bCs w:val="0"/>
            <w:i w:val="0"/>
            <w:iCs w:val="0"/>
          </w:rPr>
          <w:t>قوشي ، علي</w:t>
        </w:r>
        <w:r>
          <w:tab/>
        </w:r>
        <w:r>
          <w:fldChar w:fldCharType="begin"/>
        </w:r>
        <w:r>
          <w:instrText xml:space="preserve">PAGEREF 5854 \h</w:instrText>
        </w:r>
        <w:r>
          <w:fldChar w:fldCharType="end"/>
        </w:r>
      </w:hyperlink>
    </w:p>
    <w:p>
      <w:pPr>
        <w:tabs>
          <w:tab w:val="right" w:leader="dot" w:pos="9062"/>
        </w:tabs>
        <w:ind w:left="220"/>
      </w:pPr>
      <w:hyperlink w:anchor="_Toc5855" w:history="1">
        <w:r>
          <w:rPr>
            <w:rFonts w:ascii="IRNazanin" w:hAnsi="IRNazanin" w:eastAsia="IRNazanin" w:cs="IRNazanin"/>
            <w:color w:val="111111"/>
            <w:sz w:val="22"/>
            <w:szCs w:val="22"/>
            <w:b w:val="0"/>
            <w:bCs w:val="0"/>
            <w:i w:val="0"/>
            <w:iCs w:val="0"/>
          </w:rPr>
          <w:t>قوصوني ، محمّد بن محمّد - 931 ه-</w:t>
        </w:r>
        <w:r>
          <w:tab/>
        </w:r>
        <w:r>
          <w:fldChar w:fldCharType="begin"/>
        </w:r>
        <w:r>
          <w:instrText xml:space="preserve">PAGEREF 5855 \h</w:instrText>
        </w:r>
        <w:r>
          <w:fldChar w:fldCharType="end"/>
        </w:r>
      </w:hyperlink>
    </w:p>
    <w:p>
      <w:pPr>
        <w:tabs>
          <w:tab w:val="right" w:leader="dot" w:pos="9062"/>
        </w:tabs>
        <w:ind w:left="220"/>
      </w:pPr>
      <w:hyperlink w:anchor="_Toc5856" w:history="1">
        <w:r>
          <w:rPr>
            <w:rFonts w:ascii="IRNazanin" w:hAnsi="IRNazanin" w:eastAsia="IRNazanin" w:cs="IRNazanin"/>
            <w:color w:val="111111"/>
            <w:sz w:val="22"/>
            <w:szCs w:val="22"/>
            <w:b w:val="0"/>
            <w:bCs w:val="0"/>
            <w:i w:val="0"/>
            <w:iCs w:val="0"/>
          </w:rPr>
          <w:t>قول احمد احمد بن محمّد -950 ه-</w:t>
        </w:r>
        <w:r>
          <w:tab/>
        </w:r>
        <w:r>
          <w:fldChar w:fldCharType="begin"/>
        </w:r>
        <w:r>
          <w:instrText xml:space="preserve">PAGEREF 5856 \h</w:instrText>
        </w:r>
        <w:r>
          <w:fldChar w:fldCharType="end"/>
        </w:r>
      </w:hyperlink>
    </w:p>
    <w:p>
      <w:pPr>
        <w:tabs>
          <w:tab w:val="right" w:leader="dot" w:pos="9062"/>
        </w:tabs>
        <w:ind w:left="220"/>
      </w:pPr>
      <w:hyperlink w:anchor="_Toc5857" w:history="1">
        <w:r>
          <w:rPr>
            <w:rFonts w:ascii="IRNazanin" w:hAnsi="IRNazanin" w:eastAsia="IRNazanin" w:cs="IRNazanin"/>
            <w:color w:val="111111"/>
            <w:sz w:val="22"/>
            <w:szCs w:val="22"/>
            <w:b w:val="0"/>
            <w:bCs w:val="0"/>
            <w:i w:val="0"/>
            <w:iCs w:val="0"/>
          </w:rPr>
          <w:t>قول احمد ، احمد بن محمّد بن خضر</w:t>
        </w:r>
        <w:r>
          <w:tab/>
        </w:r>
        <w:r>
          <w:fldChar w:fldCharType="begin"/>
        </w:r>
        <w:r>
          <w:instrText xml:space="preserve">PAGEREF 5857 \h</w:instrText>
        </w:r>
        <w:r>
          <w:fldChar w:fldCharType="end"/>
        </w:r>
      </w:hyperlink>
    </w:p>
    <w:p>
      <w:pPr>
        <w:tabs>
          <w:tab w:val="right" w:leader="dot" w:pos="9062"/>
        </w:tabs>
        <w:ind w:left="220"/>
      </w:pPr>
      <w:hyperlink w:anchor="_Toc5858" w:history="1">
        <w:r>
          <w:rPr>
            <w:rFonts w:ascii="IRNazanin" w:hAnsi="IRNazanin" w:eastAsia="IRNazanin" w:cs="IRNazanin"/>
            <w:color w:val="111111"/>
            <w:sz w:val="22"/>
            <w:szCs w:val="22"/>
            <w:b w:val="0"/>
            <w:bCs w:val="0"/>
            <w:i w:val="0"/>
            <w:iCs w:val="0"/>
          </w:rPr>
          <w:t>قومري ، عمر بن عبد النصير</w:t>
        </w:r>
        <w:r>
          <w:tab/>
        </w:r>
        <w:r>
          <w:fldChar w:fldCharType="begin"/>
        </w:r>
        <w:r>
          <w:instrText xml:space="preserve">PAGEREF 5858 \h</w:instrText>
        </w:r>
        <w:r>
          <w:fldChar w:fldCharType="end"/>
        </w:r>
      </w:hyperlink>
    </w:p>
    <w:p>
      <w:pPr>
        <w:tabs>
          <w:tab w:val="right" w:leader="dot" w:pos="9062"/>
        </w:tabs>
        <w:ind w:left="220"/>
      </w:pPr>
      <w:hyperlink w:anchor="_Toc5859" w:history="1">
        <w:r>
          <w:rPr>
            <w:rFonts w:ascii="IRNazanin" w:hAnsi="IRNazanin" w:eastAsia="IRNazanin" w:cs="IRNazanin"/>
            <w:color w:val="111111"/>
            <w:sz w:val="22"/>
            <w:szCs w:val="22"/>
            <w:b w:val="0"/>
            <w:bCs w:val="0"/>
            <w:i w:val="0"/>
            <w:iCs w:val="0"/>
          </w:rPr>
          <w:t>قومناتي ، حسين بن علي - 840 ه-</w:t>
        </w:r>
        <w:r>
          <w:tab/>
        </w:r>
        <w:r>
          <w:fldChar w:fldCharType="begin"/>
        </w:r>
        <w:r>
          <w:instrText xml:space="preserve">PAGEREF 5859 \h</w:instrText>
        </w:r>
        <w:r>
          <w:fldChar w:fldCharType="end"/>
        </w:r>
      </w:hyperlink>
    </w:p>
    <w:p>
      <w:pPr>
        <w:tabs>
          <w:tab w:val="right" w:leader="dot" w:pos="9062"/>
        </w:tabs>
        <w:ind w:left="220"/>
      </w:pPr>
      <w:hyperlink w:anchor="_Toc5860" w:history="1">
        <w:r>
          <w:rPr>
            <w:rFonts w:ascii="IRNazanin" w:hAnsi="IRNazanin" w:eastAsia="IRNazanin" w:cs="IRNazanin"/>
            <w:color w:val="111111"/>
            <w:sz w:val="22"/>
            <w:szCs w:val="22"/>
            <w:b w:val="0"/>
            <w:bCs w:val="0"/>
            <w:i w:val="0"/>
            <w:iCs w:val="0"/>
          </w:rPr>
          <w:t>قومي زاده، محمّد بن عبدالله</w:t>
        </w:r>
        <w:r>
          <w:tab/>
        </w:r>
        <w:r>
          <w:fldChar w:fldCharType="begin"/>
        </w:r>
        <w:r>
          <w:instrText xml:space="preserve">PAGEREF 5860 \h</w:instrText>
        </w:r>
        <w:r>
          <w:fldChar w:fldCharType="end"/>
        </w:r>
      </w:hyperlink>
    </w:p>
    <w:p>
      <w:pPr>
        <w:tabs>
          <w:tab w:val="right" w:leader="dot" w:pos="9062"/>
        </w:tabs>
        <w:ind w:left="220"/>
      </w:pPr>
      <w:hyperlink w:anchor="_Toc5861" w:history="1">
        <w:r>
          <w:rPr>
            <w:rFonts w:ascii="IRNazanin" w:hAnsi="IRNazanin" w:eastAsia="IRNazanin" w:cs="IRNazanin"/>
            <w:color w:val="111111"/>
            <w:sz w:val="22"/>
            <w:szCs w:val="22"/>
            <w:b w:val="0"/>
            <w:bCs w:val="0"/>
            <w:i w:val="0"/>
            <w:iCs w:val="0"/>
          </w:rPr>
          <w:t>قونوي اسماعيل بن محمّد - 1195 ه-</w:t>
        </w:r>
        <w:r>
          <w:tab/>
        </w:r>
        <w:r>
          <w:fldChar w:fldCharType="begin"/>
        </w:r>
        <w:r>
          <w:instrText xml:space="preserve">PAGEREF 5861 \h</w:instrText>
        </w:r>
        <w:r>
          <w:fldChar w:fldCharType="end"/>
        </w:r>
      </w:hyperlink>
    </w:p>
    <w:p>
      <w:pPr>
        <w:tabs>
          <w:tab w:val="right" w:leader="dot" w:pos="9062"/>
        </w:tabs>
        <w:ind w:left="220"/>
      </w:pPr>
      <w:hyperlink w:anchor="_Toc5862" w:history="1">
        <w:r>
          <w:rPr>
            <w:rFonts w:ascii="IRNazanin" w:hAnsi="IRNazanin" w:eastAsia="IRNazanin" w:cs="IRNazanin"/>
            <w:color w:val="111111"/>
            <w:sz w:val="22"/>
            <w:szCs w:val="22"/>
            <w:b w:val="0"/>
            <w:bCs w:val="0"/>
            <w:i w:val="0"/>
            <w:iCs w:val="0"/>
          </w:rPr>
          <w:t>قونوي ، حامد بن محمّد - 985 ه-</w:t>
        </w:r>
        <w:r>
          <w:tab/>
        </w:r>
        <w:r>
          <w:fldChar w:fldCharType="begin"/>
        </w:r>
        <w:r>
          <w:instrText xml:space="preserve">PAGEREF 5862 \h</w:instrText>
        </w:r>
        <w:r>
          <w:fldChar w:fldCharType="end"/>
        </w:r>
      </w:hyperlink>
    </w:p>
    <w:p>
      <w:pPr>
        <w:tabs>
          <w:tab w:val="right" w:leader="dot" w:pos="9062"/>
        </w:tabs>
        <w:ind w:left="220"/>
      </w:pPr>
      <w:hyperlink w:anchor="_Toc5863" w:history="1">
        <w:r>
          <w:rPr>
            <w:rFonts w:ascii="IRNazanin" w:hAnsi="IRNazanin" w:eastAsia="IRNazanin" w:cs="IRNazanin"/>
            <w:color w:val="111111"/>
            <w:sz w:val="22"/>
            <w:szCs w:val="22"/>
            <w:b w:val="0"/>
            <w:bCs w:val="0"/>
            <w:i w:val="0"/>
            <w:iCs w:val="0"/>
          </w:rPr>
          <w:t>قونوي ، حسام بن حسن</w:t>
        </w:r>
        <w:r>
          <w:tab/>
        </w:r>
        <w:r>
          <w:fldChar w:fldCharType="begin"/>
        </w:r>
        <w:r>
          <w:instrText xml:space="preserve">PAGEREF 5863 \h</w:instrText>
        </w:r>
        <w:r>
          <w:fldChar w:fldCharType="end"/>
        </w:r>
      </w:hyperlink>
    </w:p>
    <w:p>
      <w:pPr>
        <w:tabs>
          <w:tab w:val="right" w:leader="dot" w:pos="9062"/>
        </w:tabs>
        <w:ind w:left="220"/>
      </w:pPr>
      <w:hyperlink w:anchor="_Toc5864" w:history="1">
        <w:r>
          <w:rPr>
            <w:rFonts w:ascii="IRNazanin" w:hAnsi="IRNazanin" w:eastAsia="IRNazanin" w:cs="IRNazanin"/>
            <w:color w:val="111111"/>
            <w:sz w:val="22"/>
            <w:szCs w:val="22"/>
            <w:b w:val="0"/>
            <w:bCs w:val="0"/>
            <w:i w:val="0"/>
            <w:iCs w:val="0"/>
          </w:rPr>
          <w:t>قونوي ، محمّد بن عثمان - 1085 ه-</w:t>
        </w:r>
        <w:r>
          <w:tab/>
        </w:r>
        <w:r>
          <w:fldChar w:fldCharType="begin"/>
        </w:r>
        <w:r>
          <w:instrText xml:space="preserve">PAGEREF 5864 \h</w:instrText>
        </w:r>
        <w:r>
          <w:fldChar w:fldCharType="end"/>
        </w:r>
      </w:hyperlink>
    </w:p>
    <w:p>
      <w:pPr>
        <w:tabs>
          <w:tab w:val="right" w:leader="dot" w:pos="9062"/>
        </w:tabs>
        <w:ind w:left="220"/>
      </w:pPr>
      <w:hyperlink w:anchor="_Toc5865" w:history="1">
        <w:r>
          <w:rPr>
            <w:rFonts w:ascii="IRNazanin" w:hAnsi="IRNazanin" w:eastAsia="IRNazanin" w:cs="IRNazanin"/>
            <w:color w:val="111111"/>
            <w:sz w:val="22"/>
            <w:szCs w:val="22"/>
            <w:b w:val="0"/>
            <w:bCs w:val="0"/>
            <w:i w:val="0"/>
            <w:iCs w:val="0"/>
          </w:rPr>
          <w:t>قونوي ، محمّد بن يحيى</w:t>
        </w:r>
        <w:r>
          <w:tab/>
        </w:r>
        <w:r>
          <w:fldChar w:fldCharType="begin"/>
        </w:r>
        <w:r>
          <w:instrText xml:space="preserve">PAGEREF 5865 \h</w:instrText>
        </w:r>
        <w:r>
          <w:fldChar w:fldCharType="end"/>
        </w:r>
      </w:hyperlink>
    </w:p>
    <w:p>
      <w:pPr>
        <w:tabs>
          <w:tab w:val="right" w:leader="dot" w:pos="9062"/>
        </w:tabs>
        <w:ind w:left="220"/>
      </w:pPr>
      <w:hyperlink w:anchor="_Toc5866" w:history="1">
        <w:r>
          <w:rPr>
            <w:rFonts w:ascii="IRNazanin" w:hAnsi="IRNazanin" w:eastAsia="IRNazanin" w:cs="IRNazanin"/>
            <w:color w:val="111111"/>
            <w:sz w:val="22"/>
            <w:szCs w:val="22"/>
            <w:b w:val="0"/>
            <w:bCs w:val="0"/>
            <w:i w:val="0"/>
            <w:iCs w:val="0"/>
          </w:rPr>
          <w:t>قونوي ، محمّد بن يوسف - 788 ه-</w:t>
        </w:r>
        <w:r>
          <w:tab/>
        </w:r>
        <w:r>
          <w:fldChar w:fldCharType="begin"/>
        </w:r>
        <w:r>
          <w:instrText xml:space="preserve">PAGEREF 5866 \h</w:instrText>
        </w:r>
        <w:r>
          <w:fldChar w:fldCharType="end"/>
        </w:r>
      </w:hyperlink>
    </w:p>
    <w:p>
      <w:pPr>
        <w:tabs>
          <w:tab w:val="right" w:leader="dot" w:pos="9062"/>
        </w:tabs>
        <w:ind w:left="220"/>
      </w:pPr>
      <w:hyperlink w:anchor="_Toc5867" w:history="1">
        <w:r>
          <w:rPr>
            <w:rFonts w:ascii="IRNazanin" w:hAnsi="IRNazanin" w:eastAsia="IRNazanin" w:cs="IRNazanin"/>
            <w:color w:val="111111"/>
            <w:sz w:val="22"/>
            <w:szCs w:val="22"/>
            <w:b w:val="0"/>
            <w:bCs w:val="0"/>
            <w:i w:val="0"/>
            <w:iCs w:val="0"/>
          </w:rPr>
          <w:t>قونوي ، محمود بن احمد</w:t>
        </w:r>
        <w:r>
          <w:tab/>
        </w:r>
        <w:r>
          <w:fldChar w:fldCharType="begin"/>
        </w:r>
        <w:r>
          <w:instrText xml:space="preserve">PAGEREF 5867 \h</w:instrText>
        </w:r>
        <w:r>
          <w:fldChar w:fldCharType="end"/>
        </w:r>
      </w:hyperlink>
    </w:p>
    <w:p>
      <w:pPr>
        <w:tabs>
          <w:tab w:val="right" w:leader="dot" w:pos="9062"/>
        </w:tabs>
        <w:ind w:left="220"/>
      </w:pPr>
      <w:hyperlink w:anchor="_Toc5868" w:history="1">
        <w:r>
          <w:rPr>
            <w:rFonts w:ascii="IRNazanin" w:hAnsi="IRNazanin" w:eastAsia="IRNazanin" w:cs="IRNazanin"/>
            <w:color w:val="111111"/>
            <w:sz w:val="22"/>
            <w:szCs w:val="22"/>
            <w:b w:val="0"/>
            <w:bCs w:val="0"/>
            <w:i w:val="0"/>
            <w:iCs w:val="0"/>
          </w:rPr>
          <w:t>قياني ، عبد السلام</w:t>
        </w:r>
        <w:r>
          <w:tab/>
        </w:r>
        <w:r>
          <w:fldChar w:fldCharType="begin"/>
        </w:r>
        <w:r>
          <w:instrText xml:space="preserve">PAGEREF 5868 \h</w:instrText>
        </w:r>
        <w:r>
          <w:fldChar w:fldCharType="end"/>
        </w:r>
      </w:hyperlink>
    </w:p>
    <w:p>
      <w:pPr>
        <w:tabs>
          <w:tab w:val="right" w:leader="dot" w:pos="9062"/>
        </w:tabs>
        <w:ind w:left="220"/>
      </w:pPr>
      <w:hyperlink w:anchor="_Toc5869" w:history="1">
        <w:r>
          <w:rPr>
            <w:rFonts w:ascii="IRNazanin" w:hAnsi="IRNazanin" w:eastAsia="IRNazanin" w:cs="IRNazanin"/>
            <w:color w:val="111111"/>
            <w:sz w:val="22"/>
            <w:szCs w:val="22"/>
            <w:b w:val="0"/>
            <w:bCs w:val="0"/>
            <w:i w:val="0"/>
            <w:iCs w:val="0"/>
          </w:rPr>
          <w:t>قيراطي، ابراهيم بن شرف الدين - 781ه-</w:t>
        </w:r>
        <w:r>
          <w:tab/>
        </w:r>
        <w:r>
          <w:fldChar w:fldCharType="begin"/>
        </w:r>
        <w:r>
          <w:instrText xml:space="preserve">PAGEREF 5869 \h</w:instrText>
        </w:r>
        <w:r>
          <w:fldChar w:fldCharType="end"/>
        </w:r>
      </w:hyperlink>
    </w:p>
    <w:p>
      <w:pPr>
        <w:tabs>
          <w:tab w:val="right" w:leader="dot" w:pos="9062"/>
        </w:tabs>
        <w:ind w:left="220"/>
      </w:pPr>
      <w:hyperlink w:anchor="_Toc5870" w:history="1">
        <w:r>
          <w:rPr>
            <w:rFonts w:ascii="IRNazanin" w:hAnsi="IRNazanin" w:eastAsia="IRNazanin" w:cs="IRNazanin"/>
            <w:color w:val="111111"/>
            <w:sz w:val="22"/>
            <w:szCs w:val="22"/>
            <w:b w:val="0"/>
            <w:bCs w:val="0"/>
            <w:i w:val="0"/>
            <w:iCs w:val="0"/>
          </w:rPr>
          <w:t>قير شهري ، محمّد بن ولي - 1165 ه-</w:t>
        </w:r>
        <w:r>
          <w:tab/>
        </w:r>
        <w:r>
          <w:fldChar w:fldCharType="begin"/>
        </w:r>
        <w:r>
          <w:instrText xml:space="preserve">PAGEREF 5870 \h</w:instrText>
        </w:r>
        <w:r>
          <w:fldChar w:fldCharType="end"/>
        </w:r>
      </w:hyperlink>
    </w:p>
    <w:p>
      <w:pPr>
        <w:tabs>
          <w:tab w:val="right" w:leader="dot" w:pos="9062"/>
        </w:tabs>
        <w:ind w:left="220"/>
      </w:pPr>
      <w:hyperlink w:anchor="_Toc5871" w:history="1">
        <w:r>
          <w:rPr>
            <w:rFonts w:ascii="IRNazanin" w:hAnsi="IRNazanin" w:eastAsia="IRNazanin" w:cs="IRNazanin"/>
            <w:color w:val="111111"/>
            <w:sz w:val="22"/>
            <w:szCs w:val="22"/>
            <w:b w:val="0"/>
            <w:bCs w:val="0"/>
            <w:i w:val="0"/>
            <w:iCs w:val="0"/>
          </w:rPr>
          <w:t>قيرواني</w:t>
        </w:r>
        <w:r>
          <w:tab/>
        </w:r>
        <w:r>
          <w:fldChar w:fldCharType="begin"/>
        </w:r>
        <w:r>
          <w:instrText xml:space="preserve">PAGEREF 5871 \h</w:instrText>
        </w:r>
        <w:r>
          <w:fldChar w:fldCharType="end"/>
        </w:r>
      </w:hyperlink>
    </w:p>
    <w:p>
      <w:pPr>
        <w:tabs>
          <w:tab w:val="right" w:leader="dot" w:pos="9062"/>
        </w:tabs>
        <w:ind w:left="220"/>
      </w:pPr>
      <w:hyperlink w:anchor="_Toc5872" w:history="1">
        <w:r>
          <w:rPr>
            <w:rFonts w:ascii="IRNazanin" w:hAnsi="IRNazanin" w:eastAsia="IRNazanin" w:cs="IRNazanin"/>
            <w:color w:val="111111"/>
            <w:sz w:val="22"/>
            <w:szCs w:val="22"/>
            <w:b w:val="0"/>
            <w:bCs w:val="0"/>
            <w:i w:val="0"/>
            <w:iCs w:val="0"/>
          </w:rPr>
          <w:t>قيرواني، حسن بن رشيق، 390-4463ه-</w:t>
        </w:r>
        <w:r>
          <w:tab/>
        </w:r>
        <w:r>
          <w:fldChar w:fldCharType="begin"/>
        </w:r>
        <w:r>
          <w:instrText xml:space="preserve">PAGEREF 5872 \h</w:instrText>
        </w:r>
        <w:r>
          <w:fldChar w:fldCharType="end"/>
        </w:r>
      </w:hyperlink>
    </w:p>
    <w:p>
      <w:pPr>
        <w:tabs>
          <w:tab w:val="right" w:leader="dot" w:pos="9062"/>
        </w:tabs>
        <w:ind w:left="220"/>
      </w:pPr>
      <w:hyperlink w:anchor="_Toc5873" w:history="1">
        <w:r>
          <w:rPr>
            <w:rFonts w:ascii="IRNazanin" w:hAnsi="IRNazanin" w:eastAsia="IRNazanin" w:cs="IRNazanin"/>
            <w:color w:val="111111"/>
            <w:sz w:val="22"/>
            <w:szCs w:val="22"/>
            <w:b w:val="0"/>
            <w:bCs w:val="0"/>
            <w:i w:val="0"/>
            <w:iCs w:val="0"/>
          </w:rPr>
          <w:t>قيرواني عبد الجليل بن محمّد - 960ه-</w:t>
        </w:r>
        <w:r>
          <w:tab/>
        </w:r>
        <w:r>
          <w:fldChar w:fldCharType="begin"/>
        </w:r>
        <w:r>
          <w:instrText xml:space="preserve">PAGEREF 5873 \h</w:instrText>
        </w:r>
        <w:r>
          <w:fldChar w:fldCharType="end"/>
        </w:r>
      </w:hyperlink>
    </w:p>
    <w:p>
      <w:pPr>
        <w:tabs>
          <w:tab w:val="right" w:leader="dot" w:pos="9062"/>
        </w:tabs>
        <w:ind w:left="220"/>
      </w:pPr>
      <w:hyperlink w:anchor="_Toc5874" w:history="1">
        <w:r>
          <w:rPr>
            <w:rFonts w:ascii="IRNazanin" w:hAnsi="IRNazanin" w:eastAsia="IRNazanin" w:cs="IRNazanin"/>
            <w:color w:val="111111"/>
            <w:sz w:val="22"/>
            <w:szCs w:val="22"/>
            <w:b w:val="0"/>
            <w:bCs w:val="0"/>
            <w:i w:val="0"/>
            <w:iCs w:val="0"/>
          </w:rPr>
          <w:t>قيسي</w:t>
        </w:r>
        <w:r>
          <w:tab/>
        </w:r>
        <w:r>
          <w:fldChar w:fldCharType="begin"/>
        </w:r>
        <w:r>
          <w:instrText xml:space="preserve">PAGEREF 5874 \h</w:instrText>
        </w:r>
        <w:r>
          <w:fldChar w:fldCharType="end"/>
        </w:r>
      </w:hyperlink>
    </w:p>
    <w:p>
      <w:pPr>
        <w:tabs>
          <w:tab w:val="right" w:leader="dot" w:pos="9062"/>
        </w:tabs>
        <w:ind w:left="220"/>
      </w:pPr>
      <w:hyperlink w:anchor="_Toc5875" w:history="1">
        <w:r>
          <w:rPr>
            <w:rFonts w:ascii="IRNazanin" w:hAnsi="IRNazanin" w:eastAsia="IRNazanin" w:cs="IRNazanin"/>
            <w:color w:val="111111"/>
            <w:sz w:val="22"/>
            <w:szCs w:val="22"/>
            <w:b w:val="0"/>
            <w:bCs w:val="0"/>
            <w:i w:val="0"/>
            <w:iCs w:val="0"/>
          </w:rPr>
          <w:t>قيسي ابراهيم بن محمّد، 2697-742 ه-</w:t>
        </w:r>
        <w:r>
          <w:tab/>
        </w:r>
        <w:r>
          <w:fldChar w:fldCharType="begin"/>
        </w:r>
        <w:r>
          <w:instrText xml:space="preserve">PAGEREF 5875 \h</w:instrText>
        </w:r>
        <w:r>
          <w:fldChar w:fldCharType="end"/>
        </w:r>
      </w:hyperlink>
    </w:p>
    <w:p>
      <w:pPr>
        <w:tabs>
          <w:tab w:val="right" w:leader="dot" w:pos="9062"/>
        </w:tabs>
        <w:ind w:left="220"/>
      </w:pPr>
      <w:hyperlink w:anchor="_Toc5876" w:history="1">
        <w:r>
          <w:rPr>
            <w:rFonts w:ascii="IRNazanin" w:hAnsi="IRNazanin" w:eastAsia="IRNazanin" w:cs="IRNazanin"/>
            <w:color w:val="111111"/>
            <w:sz w:val="22"/>
            <w:szCs w:val="22"/>
            <w:b w:val="0"/>
            <w:bCs w:val="0"/>
            <w:i w:val="0"/>
            <w:iCs w:val="0"/>
          </w:rPr>
          <w:t>قيسي ، احمد بن عثمان - 657 ه-</w:t>
        </w:r>
        <w:r>
          <w:tab/>
        </w:r>
        <w:r>
          <w:fldChar w:fldCharType="begin"/>
        </w:r>
        <w:r>
          <w:instrText xml:space="preserve">PAGEREF 5876 \h</w:instrText>
        </w:r>
        <w:r>
          <w:fldChar w:fldCharType="end"/>
        </w:r>
      </w:hyperlink>
    </w:p>
    <w:p>
      <w:pPr>
        <w:tabs>
          <w:tab w:val="right" w:leader="dot" w:pos="9062"/>
        </w:tabs>
        <w:ind w:left="220"/>
      </w:pPr>
      <w:hyperlink w:anchor="_Toc5877" w:history="1">
        <w:r>
          <w:rPr>
            <w:rFonts w:ascii="IRNazanin" w:hAnsi="IRNazanin" w:eastAsia="IRNazanin" w:cs="IRNazanin"/>
            <w:color w:val="111111"/>
            <w:sz w:val="22"/>
            <w:szCs w:val="22"/>
            <w:b w:val="0"/>
            <w:bCs w:val="0"/>
            <w:i w:val="0"/>
            <w:iCs w:val="0"/>
          </w:rPr>
          <w:t>قيسي ، علي بن ابي الفرج</w:t>
        </w:r>
        <w:r>
          <w:tab/>
        </w:r>
        <w:r>
          <w:fldChar w:fldCharType="begin"/>
        </w:r>
        <w:r>
          <w:instrText xml:space="preserve">PAGEREF 5877 \h</w:instrText>
        </w:r>
        <w:r>
          <w:fldChar w:fldCharType="end"/>
        </w:r>
      </w:hyperlink>
    </w:p>
    <w:p>
      <w:pPr>
        <w:tabs>
          <w:tab w:val="right" w:leader="dot" w:pos="9062"/>
        </w:tabs>
        <w:ind w:left="220"/>
      </w:pPr>
      <w:hyperlink w:anchor="_Toc5878" w:history="1">
        <w:r>
          <w:rPr>
            <w:rFonts w:ascii="IRNazanin" w:hAnsi="IRNazanin" w:eastAsia="IRNazanin" w:cs="IRNazanin"/>
            <w:color w:val="111111"/>
            <w:sz w:val="22"/>
            <w:szCs w:val="22"/>
            <w:b w:val="0"/>
            <w:bCs w:val="0"/>
            <w:i w:val="0"/>
            <w:iCs w:val="0"/>
          </w:rPr>
          <w:t>قيسي ، قاسم بن احمد - 1375 ه-</w:t>
        </w:r>
        <w:r>
          <w:tab/>
        </w:r>
        <w:r>
          <w:fldChar w:fldCharType="begin"/>
        </w:r>
        <w:r>
          <w:instrText xml:space="preserve">PAGEREF 5878 \h</w:instrText>
        </w:r>
        <w:r>
          <w:fldChar w:fldCharType="end"/>
        </w:r>
      </w:hyperlink>
    </w:p>
    <w:p>
      <w:pPr>
        <w:tabs>
          <w:tab w:val="right" w:leader="dot" w:pos="9062"/>
        </w:tabs>
        <w:ind w:left="220"/>
      </w:pPr>
      <w:hyperlink w:anchor="_Toc5879" w:history="1">
        <w:r>
          <w:rPr>
            <w:rFonts w:ascii="IRNazanin" w:hAnsi="IRNazanin" w:eastAsia="IRNazanin" w:cs="IRNazanin"/>
            <w:color w:val="111111"/>
            <w:sz w:val="22"/>
            <w:szCs w:val="22"/>
            <w:b w:val="0"/>
            <w:bCs w:val="0"/>
            <w:i w:val="0"/>
            <w:iCs w:val="0"/>
          </w:rPr>
          <w:t>قيصراني ، يعقوب بن علي</w:t>
        </w:r>
        <w:r>
          <w:tab/>
        </w:r>
        <w:r>
          <w:fldChar w:fldCharType="begin"/>
        </w:r>
        <w:r>
          <w:instrText xml:space="preserve">PAGEREF 5879 \h</w:instrText>
        </w:r>
        <w:r>
          <w:fldChar w:fldCharType="end"/>
        </w:r>
      </w:hyperlink>
    </w:p>
    <w:p>
      <w:pPr>
        <w:tabs>
          <w:tab w:val="right" w:leader="dot" w:pos="9062"/>
        </w:tabs>
        <w:ind w:left="220"/>
      </w:pPr>
      <w:hyperlink w:anchor="_Toc5880" w:history="1">
        <w:r>
          <w:rPr>
            <w:rFonts w:ascii="IRNazanin" w:hAnsi="IRNazanin" w:eastAsia="IRNazanin" w:cs="IRNazanin"/>
            <w:color w:val="111111"/>
            <w:sz w:val="22"/>
            <w:szCs w:val="22"/>
            <w:b w:val="0"/>
            <w:bCs w:val="0"/>
            <w:i w:val="0"/>
            <w:iCs w:val="0"/>
          </w:rPr>
          <w:t>قيصري ، احمد</w:t>
        </w:r>
        <w:r>
          <w:tab/>
        </w:r>
        <w:r>
          <w:fldChar w:fldCharType="begin"/>
        </w:r>
        <w:r>
          <w:instrText xml:space="preserve">PAGEREF 5880 \h</w:instrText>
        </w:r>
        <w:r>
          <w:fldChar w:fldCharType="end"/>
        </w:r>
      </w:hyperlink>
    </w:p>
    <w:p>
      <w:pPr>
        <w:tabs>
          <w:tab w:val="right" w:leader="dot" w:pos="9062"/>
        </w:tabs>
        <w:ind w:left="220"/>
      </w:pPr>
      <w:hyperlink w:anchor="_Toc5881" w:history="1">
        <w:r>
          <w:rPr>
            <w:rFonts w:ascii="IRNazanin" w:hAnsi="IRNazanin" w:eastAsia="IRNazanin" w:cs="IRNazanin"/>
            <w:color w:val="111111"/>
            <w:sz w:val="22"/>
            <w:szCs w:val="22"/>
            <w:b w:val="0"/>
            <w:bCs w:val="0"/>
            <w:i w:val="0"/>
            <w:iCs w:val="0"/>
          </w:rPr>
          <w:t>قيصري، داود بن محمود - 751 ه-</w:t>
        </w:r>
        <w:r>
          <w:tab/>
        </w:r>
        <w:r>
          <w:fldChar w:fldCharType="begin"/>
        </w:r>
        <w:r>
          <w:instrText xml:space="preserve">PAGEREF 5881 \h</w:instrText>
        </w:r>
        <w:r>
          <w:fldChar w:fldCharType="end"/>
        </w:r>
      </w:hyperlink>
    </w:p>
    <w:p>
      <w:pPr>
        <w:tabs>
          <w:tab w:val="right" w:leader="dot" w:pos="9062"/>
        </w:tabs>
        <w:ind w:left="220"/>
      </w:pPr>
      <w:hyperlink w:anchor="_Toc5882" w:history="1">
        <w:r>
          <w:rPr>
            <w:rFonts w:ascii="IRNazanin" w:hAnsi="IRNazanin" w:eastAsia="IRNazanin" w:cs="IRNazanin"/>
            <w:color w:val="111111"/>
            <w:sz w:val="22"/>
            <w:szCs w:val="22"/>
            <w:b w:val="0"/>
            <w:bCs w:val="0"/>
            <w:i w:val="0"/>
            <w:iCs w:val="0"/>
          </w:rPr>
          <w:t>قيصري ، رجب بن احمد - 1087 ؟ ه-</w:t>
        </w:r>
        <w:r>
          <w:tab/>
        </w:r>
        <w:r>
          <w:fldChar w:fldCharType="begin"/>
        </w:r>
        <w:r>
          <w:instrText xml:space="preserve">PAGEREF 5882 \h</w:instrText>
        </w:r>
        <w:r>
          <w:fldChar w:fldCharType="end"/>
        </w:r>
      </w:hyperlink>
    </w:p>
    <w:p>
      <w:pPr>
        <w:tabs>
          <w:tab w:val="right" w:leader="dot" w:pos="9062"/>
        </w:tabs>
        <w:ind w:left="220"/>
      </w:pPr>
      <w:hyperlink w:anchor="_Toc5883" w:history="1">
        <w:r>
          <w:rPr>
            <w:rFonts w:ascii="IRNazanin" w:hAnsi="IRNazanin" w:eastAsia="IRNazanin" w:cs="IRNazanin"/>
            <w:color w:val="111111"/>
            <w:sz w:val="22"/>
            <w:szCs w:val="22"/>
            <w:b w:val="0"/>
            <w:bCs w:val="0"/>
            <w:i w:val="0"/>
            <w:iCs w:val="0"/>
          </w:rPr>
          <w:t>قيصري، عبد الحليم بن محمّد - 1115</w:t>
        </w:r>
        <w:r>
          <w:tab/>
        </w:r>
        <w:r>
          <w:fldChar w:fldCharType="begin"/>
        </w:r>
        <w:r>
          <w:instrText xml:space="preserve">PAGEREF 5883 \h</w:instrText>
        </w:r>
        <w:r>
          <w:fldChar w:fldCharType="end"/>
        </w:r>
      </w:hyperlink>
    </w:p>
    <w:p>
      <w:pPr>
        <w:tabs>
          <w:tab w:val="right" w:leader="dot" w:pos="9062"/>
        </w:tabs>
        <w:ind w:left="220"/>
      </w:pPr>
      <w:hyperlink w:anchor="_Toc5884" w:history="1">
        <w:r>
          <w:rPr>
            <w:rFonts w:ascii="IRNazanin" w:hAnsi="IRNazanin" w:eastAsia="IRNazanin" w:cs="IRNazanin"/>
            <w:color w:val="111111"/>
            <w:sz w:val="22"/>
            <w:szCs w:val="22"/>
            <w:b w:val="0"/>
            <w:bCs w:val="0"/>
            <w:i w:val="0"/>
            <w:iCs w:val="0"/>
          </w:rPr>
          <w:t>قيصري عبد المحسن بن محمّد-872؟ه-</w:t>
        </w:r>
        <w:r>
          <w:tab/>
        </w:r>
        <w:r>
          <w:fldChar w:fldCharType="begin"/>
        </w:r>
        <w:r>
          <w:instrText xml:space="preserve">PAGEREF 5884 \h</w:instrText>
        </w:r>
        <w:r>
          <w:fldChar w:fldCharType="end"/>
        </w:r>
      </w:hyperlink>
    </w:p>
    <w:p>
      <w:pPr>
        <w:tabs>
          <w:tab w:val="right" w:leader="dot" w:pos="9062"/>
        </w:tabs>
        <w:ind w:left="220"/>
      </w:pPr>
      <w:hyperlink w:anchor="_Toc5885" w:history="1">
        <w:r>
          <w:rPr>
            <w:rFonts w:ascii="IRNazanin" w:hAnsi="IRNazanin" w:eastAsia="IRNazanin" w:cs="IRNazanin"/>
            <w:color w:val="111111"/>
            <w:sz w:val="22"/>
            <w:szCs w:val="22"/>
            <w:b w:val="0"/>
            <w:bCs w:val="0"/>
            <w:i w:val="0"/>
            <w:iCs w:val="0"/>
          </w:rPr>
          <w:t>قيصوني ، محّمد بن محمّد - 931 ه-</w:t>
        </w:r>
        <w:r>
          <w:tab/>
        </w:r>
        <w:r>
          <w:fldChar w:fldCharType="begin"/>
        </w:r>
        <w:r>
          <w:instrText xml:space="preserve">PAGEREF 5885 \h</w:instrText>
        </w:r>
        <w:r>
          <w:fldChar w:fldCharType="end"/>
        </w:r>
      </w:hyperlink>
    </w:p>
    <w:p>
      <w:pPr>
        <w:tabs>
          <w:tab w:val="right" w:leader="dot" w:pos="9062"/>
        </w:tabs>
        <w:ind w:left="220"/>
      </w:pPr>
      <w:hyperlink w:anchor="_Toc5886" w:history="1">
        <w:r>
          <w:rPr>
            <w:rFonts w:ascii="IRNazanin" w:hAnsi="IRNazanin" w:eastAsia="IRNazanin" w:cs="IRNazanin"/>
            <w:color w:val="111111"/>
            <w:sz w:val="22"/>
            <w:szCs w:val="22"/>
            <w:b w:val="0"/>
            <w:bCs w:val="0"/>
            <w:i w:val="0"/>
            <w:iCs w:val="0"/>
          </w:rPr>
          <w:t>قيلوبي ، محمّد بن محمّد</w:t>
        </w:r>
        <w:r>
          <w:tab/>
        </w:r>
        <w:r>
          <w:fldChar w:fldCharType="begin"/>
        </w:r>
        <w:r>
          <w:instrText xml:space="preserve">PAGEREF 5886 \h</w:instrText>
        </w:r>
        <w:r>
          <w:fldChar w:fldCharType="end"/>
        </w:r>
      </w:hyperlink>
    </w:p>
    <w:p>
      <w:pPr>
        <w:tabs>
          <w:tab w:val="right" w:leader="dot" w:pos="9062"/>
        </w:tabs>
        <w:ind w:left="220"/>
      </w:pPr>
      <w:hyperlink w:anchor="_Toc5887" w:history="1">
        <w:r>
          <w:rPr>
            <w:rFonts w:ascii="IRNazanin" w:hAnsi="IRNazanin" w:eastAsia="IRNazanin" w:cs="IRNazanin"/>
            <w:color w:val="111111"/>
            <w:sz w:val="22"/>
            <w:szCs w:val="22"/>
            <w:b w:val="0"/>
            <w:bCs w:val="0"/>
            <w:i w:val="0"/>
            <w:iCs w:val="0"/>
          </w:rPr>
          <w:t>قيم ، حسن بن محمّد</w:t>
        </w:r>
        <w:r>
          <w:tab/>
        </w:r>
        <w:r>
          <w:fldChar w:fldCharType="begin"/>
        </w:r>
        <w:r>
          <w:instrText xml:space="preserve">PAGEREF 5887 \h</w:instrText>
        </w:r>
        <w:r>
          <w:fldChar w:fldCharType="end"/>
        </w:r>
      </w:hyperlink>
    </w:p>
    <w:p>
      <w:pPr>
        <w:tabs>
          <w:tab w:val="right" w:leader="dot" w:pos="9062"/>
        </w:tabs>
        <w:ind w:left="220"/>
      </w:pPr>
      <w:hyperlink w:anchor="_Toc5888" w:history="1">
        <w:r>
          <w:rPr>
            <w:rFonts w:ascii="IRNazanin" w:hAnsi="IRNazanin" w:eastAsia="IRNazanin" w:cs="IRNazanin"/>
            <w:color w:val="111111"/>
            <w:sz w:val="22"/>
            <w:szCs w:val="22"/>
            <w:b w:val="0"/>
            <w:bCs w:val="0"/>
            <w:i w:val="0"/>
            <w:iCs w:val="0"/>
          </w:rPr>
          <w:t>قيوجاقي ، عبدالله بن محمّد - 1123ه-</w:t>
        </w:r>
        <w:r>
          <w:tab/>
        </w:r>
        <w:r>
          <w:fldChar w:fldCharType="begin"/>
        </w:r>
        <w:r>
          <w:instrText xml:space="preserve">PAGEREF 5888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730_69194"/>
    <w:bookmarkEnd w:id="0"/>
    <w:p>
      <w:pPr>
        <w:pStyle w:val="Heading2"/>
      </w:pPr>
      <w:bookmarkStart w:id="899" w:name="_Toc1"/>
      <w:r>
        <w:t>هوية الکتاب</w:t>
      </w:r>
      <w:bookmarkEnd w:id="899"/>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۱7/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900" w:name="_Toc2"/>
      <w:r>
        <w:t>اشارة</w:t>
      </w:r>
      <w:bookmarkEnd w:id="90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المخطوظات العراقية</w:t>
      </w: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اعداد</w:t>
      </w:r>
    </w:p>
    <w:p>
      <w:pPr>
        <w:pStyle w:val="BookText"/>
      </w:pPr>
      <w:r>
        <w:rPr>
          <w:rFonts w:ascii="IRNazanin" w:hAnsi="IRNazanin" w:eastAsia="IRNazanin" w:cs="IRNazanin"/>
          <w:lang w:bidi="fa-IR"/>
          <w:color w:val="111111"/>
          <w:sz w:val="28"/>
          <w:szCs w:val="28"/>
          <w:rtl/>
        </w:rPr>
        <w:t xml:space="preserve">مصطفى الدرایتی</w:t>
      </w:r>
    </w:p>
    <w:p>
      <w:pPr>
        <w:pStyle w:val="BookText"/>
      </w:pPr>
      <w:r>
        <w:rPr>
          <w:rFonts w:ascii="Amiri" w:hAnsi="Amiri" w:eastAsia="Amiri" w:cs="Amiri"/>
          <w:lang w:bidi="ar-SA"/>
          <w:color w:val="111111"/>
          <w:sz w:val="28"/>
          <w:szCs w:val="28"/>
          <w:rtl/>
        </w:rPr>
        <w:t xml:space="preserve">بمعاونة</w:t>
      </w:r>
    </w:p>
    <w:p>
      <w:pPr>
        <w:pStyle w:val="BookText"/>
      </w:pPr>
      <w:r>
        <w:rPr>
          <w:rFonts w:ascii="IRNazanin" w:hAnsi="IRNazanin" w:eastAsia="IRNazanin" w:cs="IRNazanin"/>
          <w:lang w:bidi="fa-IR"/>
          <w:color w:val="111111"/>
          <w:sz w:val="28"/>
          <w:szCs w:val="28"/>
          <w:rtl/>
        </w:rPr>
        <w:t xml:space="preserve">الدكتور مجتبی الدرايتي</w:t>
      </w:r>
    </w:p>
    <w:p>
      <w:pPr>
        <w:pStyle w:val="BookText"/>
      </w:pPr>
      <w:r>
        <w:rPr>
          <w:rFonts w:ascii="IRNazanin" w:hAnsi="IRNazanin" w:eastAsia="IRNazanin" w:cs="IRNazanin"/>
          <w:lang w:bidi="fa-IR"/>
          <w:color w:val="111111"/>
          <w:sz w:val="28"/>
          <w:szCs w:val="28"/>
          <w:rtl/>
        </w:rPr>
        <w:t xml:space="preserve">الجزء السابع عشر (17)</w:t>
      </w:r>
    </w:p>
    <w:p>
      <w:pPr>
        <w:pStyle w:val="BookText"/>
      </w:pPr>
      <w:r>
        <w:rPr>
          <w:rFonts w:ascii="IRNazanin" w:hAnsi="IRNazanin" w:eastAsia="IRNazanin" w:cs="IRNazanin"/>
          <w:lang w:bidi="fa-IR"/>
          <w:color w:val="111111"/>
          <w:sz w:val="28"/>
          <w:szCs w:val="28"/>
          <w:rtl/>
        </w:rPr>
        <w:t xml:space="preserve">فهرس المؤلفین : آباده ای - قیوجاقی</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اسلام وایران</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العطاء الحملة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الشيعي و موسسه كاشف الغطاء العامه</w:t>
      </w:r>
    </w:p>
    <w:p>
      <w:pPr>
        <w:pStyle w:val="BookText"/>
      </w:pPr>
      <w:r>
        <w:rPr>
          <w:rFonts w:ascii="IRNazanin" w:hAnsi="IRNazanin" w:eastAsia="IRNazanin" w:cs="IRNazanin"/>
          <w:lang w:bidi="fa-IR"/>
          <w:color w:val="111111"/>
          <w:sz w:val="28"/>
          <w:szCs w:val="28"/>
          <w:rtl/>
        </w:rPr>
        <w:t xml:space="preserve">جلد هفدهم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حسین متدین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8-517-446-964-978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81633315 دورنگار: 81633301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w:t>
      </w:r>
    </w:p>
    <w:p>
      <w:pPr>
        <w:pStyle w:val="BookText"/>
      </w:pPr>
      <w:r>
        <w:rPr>
          <w:rFonts w:ascii="Amiri" w:hAnsi="Amiri" w:eastAsia="Amiri" w:cs="Amiri"/>
          <w:lang w:bidi="ar-SA"/>
          <w:color w:val="111111"/>
          <w:sz w:val="28"/>
          <w:szCs w:val="28"/>
          <w:rtl/>
        </w:rPr>
        <w:t xml:space="preserve">و موسسة كاشف الغطاء العامة</w:t>
      </w:r>
    </w:p>
    <w:p>
      <w:pPr>
        <w:pStyle w:val="BookText"/>
      </w:pPr>
      <w:r>
        <w:rPr>
          <w:rFonts w:ascii="Amiri" w:hAnsi="Amiri" w:eastAsia="Amiri" w:cs="Amiri"/>
          <w:lang w:bidi="ar-SA"/>
          <w:color w:val="111111"/>
          <w:sz w:val="28"/>
          <w:szCs w:val="28"/>
          <w:rtl/>
        </w:rPr>
        <w:t xml:space="preserve">الجزء السابع عشر / العدد: 300 نسخه / الطبعة الاولى 1439 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IRNazanin" w:hAnsi="IRNazanin" w:eastAsia="IRNazanin" w:cs="IRNazanin"/>
          <w:lang w:bidi="fa-IR"/>
          <w:color w:val="111111"/>
          <w:sz w:val="28"/>
          <w:szCs w:val="28"/>
          <w:rtl/>
        </w:rPr>
        <w:t xml:space="preserve">آدرس : طهران شارع شهید حقاني (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فاكس: +982181633301 +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 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المؤلفين</w:t>
      </w:r>
    </w:p>
    <w:p>
      <w:pPr>
        <w:pStyle w:val="BookText"/>
      </w:pPr>
      <w:r>
        <w:rPr>
          <w:rFonts w:ascii="IRNazanin" w:hAnsi="IRNazanin" w:eastAsia="IRNazanin" w:cs="IRNazanin"/>
          <w:lang w:bidi="fa-IR"/>
          <w:color w:val="111111"/>
          <w:sz w:val="28"/>
          <w:szCs w:val="28"/>
          <w:rtl/>
        </w:rPr>
        <w:t xml:space="preserve">آباده ای - قیوجاقی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1" w:name="pg7742_69329"/>
    <w:bookmarkEnd w:id="1"/>
    <w:p>
      <w:pPr>
        <w:pStyle w:val="Heading2"/>
      </w:pPr>
      <w:bookmarkStart w:id="901" w:name="_Toc3"/>
      <w:r>
        <w:t>فهرس المؤلّفين</w:t>
      </w:r>
      <w:bookmarkEnd w:id="901"/>
    </w:p>
    <w:p>
      <w:pPr>
        <w:pStyle w:val="BookText"/>
      </w:pPr>
      <w:r>
        <w:rPr>
          <w:rFonts w:ascii="Amiri" w:hAnsi="Amiri" w:eastAsia="Amiri" w:cs="Amiri"/>
          <w:lang w:bidi="ar-SA"/>
          <w:color w:val="111111"/>
          <w:sz w:val="28"/>
          <w:szCs w:val="28"/>
          <w:rtl/>
        </w:rPr>
        <w:t xml:space="preserve">رُتَّبت المعلومات في هذا الكشّاف على وفق أسماء المؤلّفين الموثّقة ترتيباً أبجديّاً. وتُذكَر الصور الأخرى لتسجيل أسماء المؤلّفين في مكانها الأبجديّ، ويتمَّ إرجاعها بعلامة ؟ إلى الاسم الموثق. الاسم الموثّق للمؤلّف يتكوّن عادةً من: شهرته (مثال: الجرجانيّ) + اسمه مع اسم أبيه (مثال: عليّ بن محمّد + تاريخ ولادته ووفاته :(مثال: (816-740) ويذكر التقويم الذي ذُكٍر على أساسه تاريخ الولادة والوفاة (ه-= هجريّ قمريّ؛ ش = هجري ّشمسيّ؛ م = ميلاديّ؛ ق. م. = قبل الميلاد؛ ق. ه- = قبل الهجرة). حينما يلفّ الإبهام اسم المؤلّف أو شهرته أو اسم أبيه، يُستغنى بما هو معلوم (مثال: عبدالوهّاب بن تقيّ الدين» أو «الأصفهانيّ، حسين» أو «سيّد شرف</w:t>
      </w:r>
    </w:p>
    <w:p>
      <w:pPr>
        <w:pStyle w:val="BookText"/>
      </w:pPr>
      <w:r>
        <w:rPr>
          <w:rFonts w:ascii="Amiri" w:hAnsi="Amiri" w:eastAsia="Amiri" w:cs="Amiri"/>
          <w:lang w:bidi="ar-SA"/>
          <w:color w:val="111111"/>
          <w:sz w:val="28"/>
          <w:szCs w:val="28"/>
          <w:rtl/>
        </w:rPr>
        <w:t xml:space="preserve">الدين »).</w:t>
      </w:r>
    </w:p>
    <w:p>
      <w:pPr>
        <w:pStyle w:val="BookText"/>
      </w:pPr>
      <w:r>
        <w:rPr>
          <w:rFonts w:ascii="Amiri" w:hAnsi="Amiri" w:eastAsia="Amiri" w:cs="Amiri"/>
          <w:lang w:bidi="ar-SA"/>
          <w:color w:val="111111"/>
          <w:sz w:val="28"/>
          <w:szCs w:val="28"/>
          <w:rtl/>
        </w:rPr>
        <w:t xml:space="preserve">تميَّز أسماء المؤلّفين عن بعضها بعلامة ؟. وتُذكَّر أعمال المؤلّف المذكورة في هذا الكشّاف أسفل اسمه على وفق الترتيب الأبجديّ، ويُذكَر أمامها رقم الجزء وصفحة هذا المعجم التي ذُكٍرت فيها تلك الأعمال.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7742_69331"/>
    <w:bookmarkEnd w:id="2"/>
    <w:p>
      <w:pPr>
        <w:pStyle w:val="Heading2"/>
      </w:pPr>
      <w:bookmarkStart w:id="902" w:name="_Toc4"/>
      <w:r>
        <w:t>نمایه مؤلفان</w:t>
      </w:r>
      <w:bookmarkEnd w:id="902"/>
    </w:p>
    <w:p>
      <w:pPr>
        <w:pStyle w:val="BookText"/>
      </w:pPr>
      <w:r>
        <w:rPr>
          <w:rFonts w:ascii="IRNazanin" w:hAnsi="IRNazanin" w:eastAsia="IRNazanin" w:cs="IRNazanin"/>
          <w:lang w:bidi="fa-IR"/>
          <w:color w:val="111111"/>
          <w:sz w:val="28"/>
          <w:szCs w:val="28"/>
          <w:rtl/>
        </w:rPr>
        <w:t xml:space="preserve">اطلاعات در این نمایه بر اساس نام مستند مؤلف و به ترتیب الفبایی مرتب شده است. صورتهای دیگر ثبت اسم مؤلفان در جای الفبایی خود آورده شده اند، و با علامت ؟ به نام مستند ارجاع داده شده اند نام مستند مؤلف عموماً تشکیل شده است از شهرت</w:t>
      </w:r>
    </w:p>
    <w:p>
      <w:pPr>
        <w:pStyle w:val="BookText"/>
      </w:pPr>
      <w:r>
        <w:rPr>
          <w:rFonts w:ascii="IRNazanin" w:hAnsi="IRNazanin" w:eastAsia="IRNazanin" w:cs="IRNazanin"/>
          <w:lang w:bidi="fa-IR"/>
          <w:color w:val="111111"/>
          <w:sz w:val="28"/>
          <w:szCs w:val="28"/>
          <w:rtl/>
        </w:rPr>
        <w:t xml:space="preserve">وی برای) مثال (جرجانی + نام وی همراه با نام پدرش برای مثال: علی بن محمّد + تاریخ تولد و وفات وی برای مثال: 740-816) ، تقویمی که بر اساس آن تاریخ تولد و وفات ذکر شده است ه-= هجری قمری؛ ش = هجری شمسی؛ م = میلادی؛ ق. م. = قبل از میلاد؛ ق ه- = قبل از هجرت در جایی که شهرت یا نام مؤلف یا نام پدرش معلوم نبوده است به آنچه معلوم بوده است اکتفا شده است برای مثال: عبدالوهاب بن</w:t>
      </w:r>
    </w:p>
    <w:p>
      <w:pPr>
        <w:pStyle w:val="BookText"/>
      </w:pPr>
      <w:r>
        <w:rPr>
          <w:rFonts w:ascii="IRNazanin" w:hAnsi="IRNazanin" w:eastAsia="IRNazanin" w:cs="IRNazanin"/>
          <w:lang w:bidi="fa-IR"/>
          <w:color w:val="111111"/>
          <w:sz w:val="28"/>
          <w:szCs w:val="28"/>
          <w:rtl/>
        </w:rPr>
        <w:t xml:space="preserve">تقی الدین یا اصفهانی «حسین» یا «سید شرف الدین»)</w:t>
      </w:r>
    </w:p>
    <w:p>
      <w:pPr>
        <w:pStyle w:val="BookText"/>
      </w:pPr>
      <w:r>
        <w:rPr>
          <w:rFonts w:ascii="IRNazanin" w:hAnsi="IRNazanin" w:eastAsia="IRNazanin" w:cs="IRNazanin"/>
          <w:lang w:bidi="fa-IR"/>
          <w:color w:val="111111"/>
          <w:sz w:val="28"/>
          <w:szCs w:val="28"/>
          <w:rtl/>
        </w:rPr>
        <w:t xml:space="preserve">نام مؤلفان با علامت ؟ از هم متمایز شدهاند در زیر نام ،مؤلف آثاری از مؤلف که در این فهرست معرفی شدهاند به ترتیب حروف الفبا ذکر میشوند و در جلو آنها شماره جلد و صفحه این فهرست که این آثار در آنجا معرفی شدهاند ذکر می شود.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7742_69333"/>
    <w:bookmarkEnd w:id="3"/>
    <w:p>
      <w:pPr>
        <w:pStyle w:val="BookText"/>
      </w:pPr>
      <w:r>
        <w:rPr>
          <w:rFonts w:ascii="Amiri" w:hAnsi="Amiri" w:eastAsia="Amiri" w:cs="Amiri"/>
          <w:lang w:bidi="ar-SA"/>
          <w:color w:val="111111"/>
          <w:sz w:val="28"/>
          <w:szCs w:val="28"/>
          <w:rtl/>
        </w:rPr>
        <w:t xml:space="preserve">فهرس المؤلفين</w:t>
      </w:r>
    </w:p>
    <w:p>
      <w:pPr>
        <w:pStyle w:val="Heading2"/>
      </w:pPr>
      <w:bookmarkStart w:id="903" w:name="_Toc5"/>
      <w:r>
        <w:t>آباده اي ، محمّد جعفر بن محمّد صفي،</w:t>
      </w:r>
      <w:bookmarkEnd w:id="9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1280 ه-</w:t>
      </w:r>
    </w:p>
    <w:p>
      <w:pPr>
        <w:pStyle w:val="BookText"/>
      </w:pPr>
      <w:r>
        <w:rPr>
          <w:rFonts w:ascii="Amiri" w:hAnsi="Amiri" w:eastAsia="Amiri" w:cs="Amiri"/>
          <w:lang w:bidi="ar-SA"/>
          <w:color w:val="111111"/>
          <w:sz w:val="28"/>
          <w:szCs w:val="28"/>
          <w:rtl/>
        </w:rPr>
        <w:t xml:space="preserve">1 .حاشية الروضة البهية في شرح اللمعة الدمشقية ، ج 5، ص 884.</w:t>
      </w:r>
    </w:p>
    <w:p>
      <w:pPr>
        <w:pStyle w:val="BookText"/>
      </w:pPr>
      <w:r>
        <w:rPr>
          <w:rFonts w:ascii="Amiri" w:hAnsi="Amiri" w:eastAsia="Amiri" w:cs="Amiri"/>
          <w:lang w:bidi="ar-SA"/>
          <w:color w:val="111111"/>
          <w:sz w:val="28"/>
          <w:szCs w:val="28"/>
          <w:rtl/>
        </w:rPr>
        <w:t xml:space="preserve">2 .المجموعة الفقهية =القواعد</w:t>
      </w:r>
    </w:p>
    <w:p>
      <w:pPr>
        <w:pStyle w:val="BookText"/>
      </w:pPr>
      <w:r>
        <w:rPr>
          <w:rFonts w:ascii="Amiri" w:hAnsi="Amiri" w:eastAsia="Amiri" w:cs="Amiri"/>
          <w:lang w:bidi="ar-SA"/>
          <w:color w:val="111111"/>
          <w:sz w:val="28"/>
          <w:szCs w:val="28"/>
          <w:rtl/>
        </w:rPr>
        <w:t xml:space="preserve">الفقهية، ج 14، ص 45.</w:t>
      </w:r>
    </w:p>
    <w:p>
      <w:pPr>
        <w:pStyle w:val="BookText"/>
      </w:pPr>
      <w:r>
        <w:rPr>
          <w:rFonts w:ascii="Amiri" w:hAnsi="Amiri" w:eastAsia="Amiri" w:cs="Amiri"/>
          <w:lang w:bidi="ar-SA"/>
          <w:color w:val="111111"/>
          <w:sz w:val="28"/>
          <w:szCs w:val="28"/>
          <w:rtl/>
        </w:rPr>
        <w:t xml:space="preserve">3.المعاملات( كتاب في)، ج 14، ص 882.</w:t>
      </w:r>
    </w:p>
    <w:p>
      <w:pPr>
        <w:pStyle w:val="BookText"/>
      </w:pPr>
      <w:r>
        <w:rPr>
          <w:rFonts w:ascii="IRNazanin" w:hAnsi="IRNazanin" w:eastAsia="IRNazanin" w:cs="IRNazanin"/>
          <w:lang w:bidi="fa-IR"/>
          <w:color w:val="111111"/>
          <w:sz w:val="28"/>
          <w:szCs w:val="28"/>
          <w:rtl/>
        </w:rPr>
        <w:t xml:space="preserve">4 .الوجيزة في الصلاة - تحفة الابرار (مختصر) - احکام نماز = آداب نماز = رساله عمليه = ترجمة الصلاة، ج 16، ص 749 .</w:t>
      </w:r>
    </w:p>
    <w:p>
      <w:pPr>
        <w:pStyle w:val="Heading2"/>
      </w:pPr>
      <w:bookmarkStart w:id="904" w:name="_Toc6"/>
      <w:r>
        <w:t>آبذي ، احمد بن محمّد 800 - 860 ه-</w:t>
      </w:r>
      <w:bookmarkEnd w:id="904"/>
    </w:p>
    <w:p>
      <w:pPr>
        <w:pStyle w:val="BookText"/>
      </w:pPr>
      <w:r>
        <w:rPr>
          <w:rFonts w:ascii="Amiri" w:hAnsi="Amiri" w:eastAsia="Amiri" w:cs="Amiri"/>
          <w:lang w:bidi="ar-SA"/>
          <w:color w:val="111111"/>
          <w:sz w:val="28"/>
          <w:szCs w:val="28"/>
          <w:rtl/>
        </w:rPr>
        <w:t xml:space="preserve">حدود الاصطلاحات النحوية، ج 6،</w:t>
      </w:r>
    </w:p>
    <w:p>
      <w:pPr>
        <w:pStyle w:val="BookText"/>
      </w:pPr>
      <w:r>
        <w:rPr>
          <w:rFonts w:ascii="IRNazanin" w:hAnsi="IRNazanin" w:eastAsia="IRNazanin" w:cs="IRNazanin"/>
          <w:lang w:bidi="fa-IR"/>
          <w:color w:val="111111"/>
          <w:sz w:val="28"/>
          <w:szCs w:val="28"/>
          <w:rtl/>
        </w:rPr>
        <w:t xml:space="preserve">ص 549.</w:t>
      </w:r>
    </w:p>
    <w:p>
      <w:pPr>
        <w:pStyle w:val="Heading2"/>
      </w:pPr>
      <w:bookmarkStart w:id="905" w:name="_Toc7"/>
      <w:r>
        <w:t>آبي ، حسن بن ابي طالب ، قرن 7 ه- كشف الرموز = شرح مختصر نافع</w:t>
      </w:r>
      <w:bookmarkEnd w:id="905"/>
    </w:p>
    <w:p>
      <w:pPr>
        <w:pStyle w:val="BookText"/>
      </w:pPr>
      <w:r>
        <w:rPr>
          <w:rFonts w:ascii="IRNazanin" w:hAnsi="IRNazanin" w:eastAsia="IRNazanin" w:cs="IRNazanin"/>
          <w:lang w:bidi="fa-IR"/>
          <w:color w:val="111111"/>
          <w:sz w:val="28"/>
          <w:szCs w:val="28"/>
          <w:rtl/>
        </w:rPr>
        <w:t xml:space="preserve">ج 13، ص 212.</w:t>
      </w:r>
    </w:p>
    <w:p>
      <w:pPr>
        <w:pStyle w:val="Heading2"/>
      </w:pPr>
      <w:bookmarkStart w:id="906" w:name="_Toc8"/>
      <w:r>
        <w:t>آبي ، منصور بن حسين - 421 ه- نثر الدرر في المحاضرات، ج 16،</w:t>
      </w:r>
      <w:bookmarkEnd w:id="906"/>
    </w:p>
    <w:p>
      <w:pPr>
        <w:pStyle w:val="BookText"/>
      </w:pPr>
      <w:r>
        <w:rPr>
          <w:rFonts w:ascii="IRNazanin" w:hAnsi="IRNazanin" w:eastAsia="IRNazanin" w:cs="IRNazanin"/>
          <w:lang w:bidi="fa-IR"/>
          <w:color w:val="111111"/>
          <w:sz w:val="28"/>
          <w:szCs w:val="28"/>
          <w:rtl/>
        </w:rPr>
        <w:t xml:space="preserve">ص 139.</w:t>
      </w:r>
    </w:p>
    <w:p>
      <w:pPr>
        <w:pStyle w:val="Heading2"/>
      </w:pPr>
      <w:bookmarkStart w:id="907" w:name="_Toc9"/>
      <w:r>
        <w:t>آثاري ، شعبان بن محمّد، 765 - 828 ه-</w:t>
      </w:r>
      <w:bookmarkEnd w:id="907"/>
    </w:p>
    <w:p>
      <w:pPr>
        <w:pStyle w:val="BookText"/>
      </w:pPr>
      <w:r>
        <w:rPr>
          <w:rFonts w:ascii="IRNazanin" w:hAnsi="IRNazanin" w:eastAsia="IRNazanin" w:cs="IRNazanin"/>
          <w:lang w:bidi="fa-IR"/>
          <w:color w:val="111111"/>
          <w:sz w:val="28"/>
          <w:szCs w:val="28"/>
          <w:rtl/>
        </w:rPr>
        <w:t xml:space="preserve">1 .آثار المعشوق، ج1، ص10.</w:t>
      </w:r>
    </w:p>
    <w:p>
      <w:pPr>
        <w:pStyle w:val="BookText"/>
      </w:pPr>
      <w:r>
        <w:rPr>
          <w:rFonts w:ascii="Amiri" w:hAnsi="Amiri" w:eastAsia="Amiri" w:cs="Amiri"/>
          <w:lang w:bidi="ar-SA"/>
          <w:color w:val="111111"/>
          <w:sz w:val="28"/>
          <w:szCs w:val="28"/>
          <w:rtl/>
        </w:rPr>
        <w:t xml:space="preserve">2 .اربعون حديثا في الصلاة والتسليم</w:t>
      </w:r>
    </w:p>
    <w:p>
      <w:pPr>
        <w:pStyle w:val="BookText"/>
      </w:pPr>
      <w:r>
        <w:rPr>
          <w:rFonts w:ascii="Amiri" w:hAnsi="Amiri" w:eastAsia="Amiri" w:cs="Amiri"/>
          <w:lang w:bidi="ar-SA"/>
          <w:color w:val="111111"/>
          <w:sz w:val="28"/>
          <w:szCs w:val="28"/>
          <w:rtl/>
        </w:rPr>
        <w:t xml:space="preserve">على النبي الكريم، ج 1، ص 726.</w:t>
      </w:r>
    </w:p>
    <w:p>
      <w:pPr>
        <w:pStyle w:val="BookText"/>
      </w:pPr>
      <w:r>
        <w:rPr>
          <w:rFonts w:ascii="Amiri" w:hAnsi="Amiri" w:eastAsia="Amiri" w:cs="Amiri"/>
          <w:lang w:bidi="ar-SA"/>
          <w:color w:val="111111"/>
          <w:sz w:val="28"/>
          <w:szCs w:val="28"/>
          <w:rtl/>
        </w:rPr>
        <w:t xml:space="preserve">3 .بديعية، ج3، ص 286.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ثبت، ج 5، ص 208.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شفاء السقام في نوادر الصلاة و</w:t>
      </w:r>
    </w:p>
    <w:p>
      <w:pPr>
        <w:pStyle w:val="BookText"/>
      </w:pPr>
      <w:r>
        <w:rPr>
          <w:rFonts w:ascii="Amiri" w:hAnsi="Amiri" w:eastAsia="Amiri" w:cs="Amiri"/>
          <w:lang w:bidi="ar-SA"/>
          <w:color w:val="111111"/>
          <w:sz w:val="28"/>
          <w:szCs w:val="28"/>
          <w:rtl/>
        </w:rPr>
        <w:t xml:space="preserve">السلام على خير الانام، ج10، ص 383.</w:t>
      </w:r>
    </w:p>
    <w:p>
      <w:pPr>
        <w:pStyle w:val="BookText"/>
      </w:pPr>
      <w:r>
        <w:rPr>
          <w:rFonts w:ascii="Amiri" w:hAnsi="Amiri" w:eastAsia="Amiri" w:cs="Amiri"/>
          <w:lang w:bidi="ar-SA"/>
          <w:color w:val="111111"/>
          <w:sz w:val="28"/>
          <w:szCs w:val="28"/>
          <w:rtl/>
        </w:rPr>
        <w:t xml:space="preserve">6 .العقد البديع في مدح الشفيع = البديعية الكبرى، ج 11، ص 156.</w:t>
      </w:r>
    </w:p>
    <w:p>
      <w:pPr>
        <w:pStyle w:val="BookText"/>
      </w:pPr>
      <w:r>
        <w:rPr>
          <w:rFonts w:ascii="Amiri" w:hAnsi="Amiri" w:eastAsia="Amiri" w:cs="Amiri"/>
          <w:lang w:bidi="ar-SA"/>
          <w:color w:val="111111"/>
          <w:sz w:val="28"/>
          <w:szCs w:val="28"/>
          <w:rtl/>
        </w:rPr>
        <w:t xml:space="preserve">7 .الفرج القريب في معجزات الحبيب</w:t>
      </w:r>
    </w:p>
    <w:p>
      <w:pPr>
        <w:pStyle w:val="BookText"/>
      </w:pPr>
      <w:r>
        <w:rPr>
          <w:rFonts w:ascii="IRNazanin" w:hAnsi="IRNazanin" w:eastAsia="IRNazanin" w:cs="IRNazanin"/>
          <w:lang w:bidi="fa-IR"/>
          <w:color w:val="111111"/>
          <w:sz w:val="28"/>
          <w:szCs w:val="28"/>
          <w:rtl/>
        </w:rPr>
        <w:t xml:space="preserve">ج 11، ص 774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القلادة الجوهرية في شرح الحلاوة</w:t>
      </w:r>
    </w:p>
    <w:p>
      <w:pPr>
        <w:pStyle w:val="BookText"/>
      </w:pPr>
      <w:r>
        <w:rPr>
          <w:rFonts w:ascii="Amiri" w:hAnsi="Amiri" w:eastAsia="Amiri" w:cs="Amiri"/>
          <w:lang w:bidi="ar-SA"/>
          <w:color w:val="111111"/>
          <w:sz w:val="28"/>
          <w:szCs w:val="28"/>
          <w:rtl/>
        </w:rPr>
        <w:t xml:space="preserve">السكرية، ج 12، ص 766.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كفاية الغلام في اعراب الكلام، ج13،</w:t>
      </w:r>
    </w:p>
    <w:p>
      <w:pPr>
        <w:pStyle w:val="BookText"/>
      </w:pPr>
      <w:r>
        <w:rPr>
          <w:rFonts w:ascii="IRNazanin" w:hAnsi="IRNazanin" w:eastAsia="IRNazanin" w:cs="IRNazanin"/>
          <w:lang w:bidi="fa-IR"/>
          <w:color w:val="111111"/>
          <w:sz w:val="28"/>
          <w:szCs w:val="28"/>
          <w:rtl/>
        </w:rPr>
        <w:t xml:space="preserve">ص323.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لسان العرب في علوم الادب، ج 13،</w:t>
      </w:r>
    </w:p>
    <w:p>
      <w:pPr>
        <w:pStyle w:val="BookText"/>
      </w:pPr>
      <w:r>
        <w:rPr>
          <w:rFonts w:ascii="IRNazanin" w:hAnsi="IRNazanin" w:eastAsia="IRNazanin" w:cs="IRNazanin"/>
          <w:lang w:bidi="fa-IR"/>
          <w:color w:val="111111"/>
          <w:sz w:val="28"/>
          <w:szCs w:val="28"/>
          <w:rtl/>
        </w:rPr>
        <w:t xml:space="preserve">ص 572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مسك الختام في اشعاره عليه</w:t>
      </w:r>
    </w:p>
    <w:p>
      <w:pPr>
        <w:pStyle w:val="BookText"/>
      </w:pPr>
      <w:r>
        <w:rPr>
          <w:rFonts w:ascii="IRNazanin" w:hAnsi="IRNazanin" w:eastAsia="IRNazanin" w:cs="IRNazanin"/>
          <w:lang w:bidi="fa-IR"/>
          <w:color w:val="111111"/>
          <w:sz w:val="28"/>
          <w:szCs w:val="28"/>
          <w:rtl/>
        </w:rPr>
        <w:t xml:space="preserve">السلام، ج 14، ص 575.</w:t>
      </w:r>
    </w:p>
    <w:p>
      <w:pPr>
        <w:pStyle w:val="BookText"/>
      </w:pPr>
      <w:r>
        <w:rPr>
          <w:rFonts w:ascii="Amiri" w:hAnsi="Amiri" w:eastAsia="Amiri" w:cs="Amiri"/>
          <w:lang w:bidi="ar-SA"/>
          <w:color w:val="111111"/>
          <w:sz w:val="28"/>
          <w:szCs w:val="28"/>
          <w:rtl/>
        </w:rPr>
        <w:t xml:space="preserve">12 .نزهة الكرام في مدح طيبة و البيت</w:t>
      </w:r>
    </w:p>
    <w:p>
      <w:pPr>
        <w:pStyle w:val="BookText"/>
      </w:pPr>
      <w:r>
        <w:rPr>
          <w:rFonts w:ascii="IRNazanin" w:hAnsi="IRNazanin" w:eastAsia="IRNazanin" w:cs="IRNazanin"/>
          <w:lang w:bidi="fa-IR"/>
          <w:color w:val="111111"/>
          <w:sz w:val="28"/>
          <w:szCs w:val="28"/>
          <w:rtl/>
        </w:rPr>
        <w:t xml:space="preserve">الحرام، ج، 16، ص 240.</w:t>
      </w:r>
    </w:p>
    <w:p>
      <w:pPr>
        <w:pStyle w:val="BookText"/>
      </w:pPr>
      <w:r>
        <w:rPr>
          <w:rFonts w:ascii="Amiri" w:hAnsi="Amiri" w:eastAsia="Amiri" w:cs="Amiri"/>
          <w:lang w:bidi="ar-SA"/>
          <w:color w:val="111111"/>
          <w:sz w:val="28"/>
          <w:szCs w:val="28"/>
          <w:rtl/>
        </w:rPr>
        <w:t xml:space="preserve">13 .نيل المراد في تخميس بانت سعاد</w:t>
      </w:r>
    </w:p>
    <w:p>
      <w:pPr>
        <w:pStyle w:val="BookText"/>
      </w:pPr>
      <w:r>
        <w:rPr>
          <w:rFonts w:ascii="IRNazanin" w:hAnsi="IRNazanin" w:eastAsia="IRNazanin" w:cs="IRNazanin"/>
          <w:lang w:bidi="fa-IR"/>
          <w:color w:val="111111"/>
          <w:sz w:val="28"/>
          <w:szCs w:val="28"/>
          <w:rtl/>
        </w:rPr>
        <w:t xml:space="preserve">ج 16، ص 580.</w:t>
      </w:r>
    </w:p>
    <w:p>
      <w:pPr>
        <w:pStyle w:val="BookText"/>
      </w:pPr>
      <w:r>
        <w:rPr>
          <w:rFonts w:ascii="Amiri" w:hAnsi="Amiri" w:eastAsia="Amiri" w:cs="Amiri"/>
          <w:lang w:bidi="ar-SA"/>
          <w:color w:val="111111"/>
          <w:sz w:val="28"/>
          <w:szCs w:val="28"/>
          <w:rtl/>
        </w:rPr>
        <w:t xml:space="preserve">14 .وسيلة الملهوت إلى اهل المعروف</w:t>
      </w:r>
    </w:p>
    <w:p>
      <w:pPr>
        <w:pStyle w:val="BookText"/>
      </w:pPr>
      <w:r>
        <w:rPr>
          <w:rFonts w:ascii="IRNazanin" w:hAnsi="IRNazanin" w:eastAsia="IRNazanin" w:cs="IRNazanin"/>
          <w:lang w:bidi="fa-IR"/>
          <w:color w:val="111111"/>
          <w:sz w:val="28"/>
          <w:szCs w:val="28"/>
          <w:rtl/>
        </w:rPr>
        <w:t xml:space="preserve">ج 16، ص 789.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7742_69335"/>
    <w:bookmarkEnd w:id="4"/>
    <w:p>
      <w:pPr>
        <w:pStyle w:val="Heading2"/>
      </w:pPr>
      <w:bookmarkStart w:id="908" w:name="_Toc10"/>
      <w:r>
        <w:t>آجري ، محمّد بن حسين - 360 ه-</w:t>
      </w:r>
      <w:bookmarkEnd w:id="908"/>
    </w:p>
    <w:p>
      <w:pPr>
        <w:pStyle w:val="BookText"/>
      </w:pPr>
      <w:r>
        <w:rPr>
          <w:rFonts w:ascii="Amiri" w:hAnsi="Amiri" w:eastAsia="Amiri" w:cs="Amiri"/>
          <w:lang w:bidi="ar-SA"/>
          <w:color w:val="111111"/>
          <w:sz w:val="28"/>
          <w:szCs w:val="28"/>
          <w:rtl/>
        </w:rPr>
        <w:t xml:space="preserve">1 .اخبار ابي حفص عمر بن عبدالعزيز</w:t>
      </w:r>
    </w:p>
    <w:p>
      <w:pPr>
        <w:pStyle w:val="BookText"/>
      </w:pPr>
      <w:r>
        <w:rPr>
          <w:rFonts w:ascii="Amiri" w:hAnsi="Amiri" w:eastAsia="Amiri" w:cs="Amiri"/>
          <w:lang w:bidi="ar-SA"/>
          <w:color w:val="111111"/>
          <w:sz w:val="28"/>
          <w:szCs w:val="28"/>
          <w:rtl/>
        </w:rPr>
        <w:t xml:space="preserve">وسيرته، ج1، ص 521.</w:t>
      </w:r>
    </w:p>
    <w:p>
      <w:pPr>
        <w:pStyle w:val="BookText"/>
      </w:pPr>
      <w:r>
        <w:rPr>
          <w:rFonts w:ascii="Amiri" w:hAnsi="Amiri" w:eastAsia="Amiri" w:cs="Amiri"/>
          <w:lang w:bidi="ar-SA"/>
          <w:color w:val="111111"/>
          <w:sz w:val="28"/>
          <w:szCs w:val="28"/>
          <w:rtl/>
        </w:rPr>
        <w:t xml:space="preserve">2 .الاربعون حديثا، ج 1، ص 681 .</w:t>
      </w:r>
    </w:p>
    <w:p>
      <w:pPr>
        <w:pStyle w:val="BookText"/>
      </w:pPr>
      <w:r>
        <w:rPr>
          <w:rFonts w:ascii="IRNazanin" w:hAnsi="IRNazanin" w:eastAsia="IRNazanin" w:cs="IRNazanin"/>
          <w:lang w:bidi="fa-IR"/>
          <w:color w:val="111111"/>
          <w:sz w:val="28"/>
          <w:szCs w:val="28"/>
          <w:rtl/>
        </w:rPr>
        <w:t xml:space="preserve">آذر بيگدلي ، لطفعلي بن آقا خان 1134 -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تحريم النرد والشطرنج و الملاهي، 1195 ه-</w:t>
      </w:r>
    </w:p>
    <w:p>
      <w:pPr>
        <w:pStyle w:val="BookText"/>
      </w:pPr>
      <w:r>
        <w:rPr>
          <w:rFonts w:ascii="IRNazanin" w:hAnsi="IRNazanin" w:eastAsia="IRNazanin" w:cs="IRNazanin"/>
          <w:lang w:bidi="fa-IR"/>
          <w:color w:val="111111"/>
          <w:sz w:val="28"/>
          <w:szCs w:val="28"/>
          <w:rtl/>
        </w:rPr>
        <w:t xml:space="preserve">ج 3، ص 763 .</w:t>
      </w:r>
    </w:p>
    <w:p>
      <w:pPr>
        <w:pStyle w:val="BookText"/>
      </w:pPr>
      <w:r>
        <w:rPr>
          <w:rFonts w:ascii="Amiri" w:hAnsi="Amiri" w:eastAsia="Amiri" w:cs="Amiri"/>
          <w:lang w:bidi="ar-SA"/>
          <w:color w:val="111111"/>
          <w:sz w:val="28"/>
          <w:szCs w:val="28"/>
          <w:rtl/>
        </w:rPr>
        <w:t xml:space="preserve">4 .التصديق بالنظر إلى الله، جع،</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IRNazanin" w:hAnsi="IRNazanin" w:eastAsia="IRNazanin" w:cs="IRNazanin"/>
          <w:lang w:bidi="fa-IR"/>
          <w:color w:val="111111"/>
          <w:sz w:val="28"/>
          <w:szCs w:val="28"/>
          <w:rtl/>
        </w:rPr>
        <w:t xml:space="preserve">5 .الغرباء، ج 11، ص 469. .6 الفرائض، ج 11، ص 749 .</w:t>
      </w:r>
    </w:p>
    <w:p>
      <w:pPr>
        <w:pStyle w:val="BookText"/>
      </w:pPr>
      <w:r>
        <w:rPr>
          <w:rFonts w:ascii="Amiri" w:hAnsi="Amiri" w:eastAsia="Amiri" w:cs="Amiri"/>
          <w:lang w:bidi="ar-SA"/>
          <w:color w:val="111111"/>
          <w:sz w:val="28"/>
          <w:szCs w:val="28"/>
          <w:rtl/>
        </w:rPr>
        <w:t xml:space="preserve">آجري ، محمّد بن خلف ابن مرزبان ،</w:t>
      </w:r>
    </w:p>
    <w:p>
      <w:pPr>
        <w:pStyle w:val="BookText"/>
      </w:pPr>
      <w:r>
        <w:rPr>
          <w:rFonts w:ascii="Amiri" w:hAnsi="Amiri" w:eastAsia="Amiri" w:cs="Amiri"/>
          <w:lang w:bidi="ar-SA"/>
          <w:color w:val="111111"/>
          <w:sz w:val="28"/>
          <w:szCs w:val="28"/>
          <w:rtl/>
        </w:rPr>
        <w:t xml:space="preserve">محمّد بن خلف</w:t>
      </w:r>
    </w:p>
    <w:p>
      <w:pPr>
        <w:pStyle w:val="Heading2"/>
      </w:pPr>
      <w:bookmarkStart w:id="909" w:name="_Toc11"/>
      <w:r>
        <w:t>آخوند خراساني ، محمّد کاظم بن حسين</w:t>
      </w:r>
      <w:bookmarkEnd w:id="909"/>
    </w:p>
    <w:p>
      <w:pPr>
        <w:pStyle w:val="BookText"/>
      </w:pPr>
      <w:r>
        <w:rPr>
          <w:rFonts w:ascii="IRNazanin" w:hAnsi="IRNazanin" w:eastAsia="IRNazanin" w:cs="IRNazanin"/>
          <w:lang w:bidi="fa-IR"/>
          <w:color w:val="111111"/>
          <w:sz w:val="28"/>
          <w:szCs w:val="28"/>
          <w:rtl/>
        </w:rPr>
        <w:t xml:space="preserve">1255 - 1329 ه-</w:t>
      </w:r>
    </w:p>
    <w:p>
      <w:pPr>
        <w:pStyle w:val="BookText"/>
      </w:pPr>
      <w:r>
        <w:rPr>
          <w:rFonts w:ascii="Amiri" w:hAnsi="Amiri" w:eastAsia="Amiri" w:cs="Amiri"/>
          <w:lang w:bidi="ar-SA"/>
          <w:color w:val="111111"/>
          <w:sz w:val="28"/>
          <w:szCs w:val="28"/>
          <w:rtl/>
        </w:rPr>
        <w:t xml:space="preserve">1 .اجازة لثقة الاسلام الساروي، ج 1،</w:t>
      </w:r>
    </w:p>
    <w:p>
      <w:pPr>
        <w:pStyle w:val="BookText"/>
      </w:pPr>
      <w:r>
        <w:rPr>
          <w:rFonts w:ascii="IRNazanin" w:hAnsi="IRNazanin" w:eastAsia="IRNazanin" w:cs="IRNazanin"/>
          <w:lang w:bidi="fa-IR"/>
          <w:color w:val="111111"/>
          <w:sz w:val="28"/>
          <w:szCs w:val="28"/>
          <w:rtl/>
        </w:rPr>
        <w:t xml:space="preserve">ص 237 .</w:t>
      </w:r>
    </w:p>
    <w:p>
      <w:pPr>
        <w:pStyle w:val="BookText"/>
      </w:pPr>
      <w:r>
        <w:rPr>
          <w:rFonts w:ascii="Amiri" w:hAnsi="Amiri" w:eastAsia="Amiri" w:cs="Amiri"/>
          <w:lang w:bidi="ar-SA"/>
          <w:color w:val="111111"/>
          <w:sz w:val="28"/>
          <w:szCs w:val="28"/>
          <w:rtl/>
        </w:rPr>
        <w:t xml:space="preserve">2 .تعليق على رسالة الاستصحاب، ج 4،</w:t>
      </w:r>
    </w:p>
    <w:p>
      <w:pPr>
        <w:pStyle w:val="BookText"/>
      </w:pPr>
      <w:r>
        <w:rPr>
          <w:rFonts w:ascii="IRNazanin" w:hAnsi="IRNazanin" w:eastAsia="IRNazanin" w:cs="IRNazanin"/>
          <w:lang w:bidi="fa-IR"/>
          <w:color w:val="111111"/>
          <w:sz w:val="28"/>
          <w:szCs w:val="28"/>
          <w:rtl/>
        </w:rPr>
        <w:t xml:space="preserve">ص 547 .</w:t>
      </w:r>
    </w:p>
    <w:p>
      <w:pPr>
        <w:pStyle w:val="BookText"/>
      </w:pPr>
      <w:r>
        <w:rPr>
          <w:rFonts w:ascii="Amiri" w:hAnsi="Amiri" w:eastAsia="Amiri" w:cs="Amiri"/>
          <w:lang w:bidi="ar-SA"/>
          <w:color w:val="111111"/>
          <w:sz w:val="28"/>
          <w:szCs w:val="28"/>
          <w:rtl/>
        </w:rPr>
        <w:t xml:space="preserve">3 .حاشية فرائد الاصول، ج 6 ، ص 263 .</w:t>
      </w:r>
    </w:p>
    <w:p>
      <w:pPr>
        <w:pStyle w:val="BookText"/>
      </w:pPr>
      <w:r>
        <w:rPr>
          <w:rFonts w:ascii="Amiri" w:hAnsi="Amiri" w:eastAsia="Amiri" w:cs="Amiri"/>
          <w:lang w:bidi="ar-SA"/>
          <w:color w:val="111111"/>
          <w:sz w:val="28"/>
          <w:szCs w:val="28"/>
          <w:rtl/>
        </w:rPr>
        <w:t xml:space="preserve">4 .درر الفوائد = حاشية رسائل - حاشية فرائد الاصول، ج 7، ص 305.</w:t>
      </w:r>
    </w:p>
    <w:p>
      <w:pPr>
        <w:pStyle w:val="BookText"/>
      </w:pPr>
      <w:r>
        <w:rPr>
          <w:rFonts w:ascii="Amiri" w:hAnsi="Amiri" w:eastAsia="Amiri" w:cs="Amiri"/>
          <w:lang w:bidi="ar-SA"/>
          <w:color w:val="111111"/>
          <w:sz w:val="28"/>
          <w:szCs w:val="28"/>
          <w:rtl/>
        </w:rPr>
        <w:t xml:space="preserve">5 .دليل الانسداد، ج 7، ص 465.</w:t>
      </w:r>
    </w:p>
    <w:p>
      <w:pPr>
        <w:pStyle w:val="BookText"/>
      </w:pPr>
      <w:r>
        <w:rPr>
          <w:rFonts w:ascii="Amiri" w:hAnsi="Amiri" w:eastAsia="Amiri" w:cs="Amiri"/>
          <w:lang w:bidi="ar-SA"/>
          <w:color w:val="111111"/>
          <w:sz w:val="28"/>
          <w:szCs w:val="28"/>
          <w:rtl/>
        </w:rPr>
        <w:t xml:space="preserve">6 .شرح المكاسب، ج 10، ص213.</w:t>
      </w:r>
    </w:p>
    <w:p>
      <w:pPr>
        <w:pStyle w:val="BookText"/>
      </w:pPr>
      <w:r>
        <w:rPr>
          <w:rFonts w:ascii="Amiri" w:hAnsi="Amiri" w:eastAsia="Amiri" w:cs="Amiri"/>
          <w:lang w:bidi="ar-SA"/>
          <w:color w:val="111111"/>
          <w:sz w:val="28"/>
          <w:szCs w:val="28"/>
          <w:rtl/>
        </w:rPr>
        <w:t xml:space="preserve">7 .الفوائد الاصولية، ج 12، ص179 .</w:t>
      </w:r>
    </w:p>
    <w:p>
      <w:pPr>
        <w:pStyle w:val="BookText"/>
      </w:pPr>
      <w:r>
        <w:rPr>
          <w:rFonts w:ascii="Amiri" w:hAnsi="Amiri" w:eastAsia="Amiri" w:cs="Amiri"/>
          <w:lang w:bidi="ar-SA"/>
          <w:color w:val="111111"/>
          <w:sz w:val="28"/>
          <w:szCs w:val="28"/>
          <w:rtl/>
        </w:rPr>
        <w:t xml:space="preserve">كفاية الاصول، ج13، ص311.</w:t>
      </w:r>
    </w:p>
    <w:p>
      <w:pPr>
        <w:pStyle w:val="BookText"/>
      </w:pPr>
      <w:r>
        <w:rPr>
          <w:rFonts w:ascii="Amiri" w:hAnsi="Amiri" w:eastAsia="Amiri" w:cs="Amiri"/>
          <w:lang w:bidi="ar-SA"/>
          <w:color w:val="111111"/>
          <w:sz w:val="28"/>
          <w:szCs w:val="28"/>
          <w:rtl/>
        </w:rPr>
        <w:t xml:space="preserve">آخوند قمي ، غلامرضا بن رجبعلي- حاج</w:t>
      </w:r>
    </w:p>
    <w:p>
      <w:pPr>
        <w:pStyle w:val="BookText"/>
      </w:pPr>
      <w:r>
        <w:rPr>
          <w:rFonts w:ascii="IRNazanin" w:hAnsi="IRNazanin" w:eastAsia="IRNazanin" w:cs="IRNazanin"/>
          <w:lang w:bidi="fa-IR"/>
          <w:color w:val="111111"/>
          <w:sz w:val="28"/>
          <w:szCs w:val="28"/>
          <w:rtl/>
        </w:rPr>
        <w:t xml:space="preserve">آخوند قمي ، غلامرضا بن رجبعلي آخوند ملا اسماعیل- عقدائي ، اسماعيل</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آدم بن ابي اياس بن عبدالرحمن الخراساني المروزي-ابن ابي اياس ، آدم بن ابي اياس</w:t>
      </w:r>
    </w:p>
    <w:p>
      <w:pPr>
        <w:pStyle w:val="BookText"/>
      </w:pPr>
      <w:r>
        <w:rPr>
          <w:rFonts w:ascii="IRNazanin" w:hAnsi="IRNazanin" w:eastAsia="IRNazanin" w:cs="IRNazanin"/>
          <w:lang w:bidi="fa-IR"/>
          <w:color w:val="111111"/>
          <w:sz w:val="28"/>
          <w:szCs w:val="28"/>
          <w:rtl/>
        </w:rPr>
        <w:t xml:space="preserve">آتشکده آذر، ج1، ص3.</w:t>
      </w:r>
    </w:p>
    <w:p>
      <w:pPr>
        <w:pStyle w:val="Heading2"/>
      </w:pPr>
      <w:bookmarkStart w:id="910" w:name="_Toc12"/>
      <w:r>
        <w:t>آذري طوسي ، حمزة بن علي، 784-866ه-</w:t>
      </w:r>
      <w:bookmarkEnd w:id="910"/>
    </w:p>
    <w:p>
      <w:pPr>
        <w:pStyle w:val="BookText"/>
      </w:pPr>
      <w:r>
        <w:rPr>
          <w:rFonts w:ascii="IRNazanin" w:hAnsi="IRNazanin" w:eastAsia="IRNazanin" w:cs="IRNazanin"/>
          <w:lang w:bidi="fa-IR"/>
          <w:color w:val="111111"/>
          <w:sz w:val="28"/>
          <w:szCs w:val="28"/>
          <w:rtl/>
        </w:rPr>
        <w:t xml:space="preserve">جواهر الاسرار = منتخب مفتاح</w:t>
      </w:r>
    </w:p>
    <w:p>
      <w:pPr>
        <w:pStyle w:val="BookText"/>
      </w:pPr>
      <w:r>
        <w:rPr>
          <w:rFonts w:ascii="IRNazanin" w:hAnsi="IRNazanin" w:eastAsia="IRNazanin" w:cs="IRNazanin"/>
          <w:lang w:bidi="fa-IR"/>
          <w:color w:val="111111"/>
          <w:sz w:val="28"/>
          <w:szCs w:val="28"/>
          <w:rtl/>
        </w:rPr>
        <w:t xml:space="preserve">الاسرار، ج 5، ص 538</w:t>
      </w:r>
    </w:p>
    <w:p>
      <w:pPr>
        <w:pStyle w:val="Heading2"/>
      </w:pPr>
      <w:bookmarkStart w:id="911" w:name="_Toc13"/>
      <w:r>
        <w:t>آراني كاشاني ، ابوطالب بن محمّد حسن ،</w:t>
      </w:r>
      <w:bookmarkEnd w:id="911"/>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مباحث الأدلة الشرعية و العقلية</w:t>
      </w:r>
    </w:p>
    <w:p>
      <w:pPr>
        <w:pStyle w:val="BookText"/>
      </w:pPr>
      <w:r>
        <w:rPr>
          <w:rFonts w:ascii="IRNazanin" w:hAnsi="IRNazanin" w:eastAsia="IRNazanin" w:cs="IRNazanin"/>
          <w:lang w:bidi="fa-IR"/>
          <w:color w:val="111111"/>
          <w:sz w:val="28"/>
          <w:szCs w:val="28"/>
          <w:rtl/>
        </w:rPr>
        <w:t xml:space="preserve">ج 13، ص 708.</w:t>
      </w:r>
    </w:p>
    <w:p>
      <w:pPr>
        <w:pStyle w:val="Heading2"/>
      </w:pPr>
      <w:bookmarkStart w:id="912" w:name="_Toc14"/>
      <w:r>
        <w:t>آراني كاشاني ، محمّد علي بن محمّد حسن</w:t>
      </w:r>
      <w:bookmarkEnd w:id="912"/>
    </w:p>
    <w:p>
      <w:pPr>
        <w:pStyle w:val="BookText"/>
      </w:pPr>
      <w:r>
        <w:rPr>
          <w:rFonts w:ascii="IRNazanin" w:hAnsi="IRNazanin" w:eastAsia="IRNazanin" w:cs="IRNazanin"/>
          <w:lang w:bidi="fa-IR"/>
          <w:color w:val="111111"/>
          <w:sz w:val="28"/>
          <w:szCs w:val="28"/>
          <w:rtl/>
        </w:rPr>
        <w:t xml:space="preserve">1177 - 1244ه-</w:t>
      </w:r>
    </w:p>
    <w:p>
      <w:pPr>
        <w:pStyle w:val="BookText"/>
      </w:pPr>
      <w:r>
        <w:rPr>
          <w:rFonts w:ascii="Amiri" w:hAnsi="Amiri" w:eastAsia="Amiri" w:cs="Amiri"/>
          <w:lang w:bidi="ar-SA"/>
          <w:color w:val="111111"/>
          <w:sz w:val="28"/>
          <w:szCs w:val="28"/>
          <w:rtl/>
        </w:rPr>
        <w:t xml:space="preserve">.1 .البهجة المرضية، ج 3، ص 424.</w:t>
      </w:r>
    </w:p>
    <w:p>
      <w:pPr>
        <w:pStyle w:val="BookText"/>
      </w:pPr>
      <w:r>
        <w:rPr>
          <w:rFonts w:ascii="Amiri" w:hAnsi="Amiri" w:eastAsia="Amiri" w:cs="Amiri"/>
          <w:lang w:bidi="ar-SA"/>
          <w:color w:val="111111"/>
          <w:sz w:val="28"/>
          <w:szCs w:val="28"/>
          <w:rtl/>
        </w:rPr>
        <w:t xml:space="preserve">2 .تحفة الاخيار في الرد على القائلين بعدم العمل بالظن و قطعية</w:t>
      </w:r>
    </w:p>
    <w:p>
      <w:pPr>
        <w:pStyle w:val="BookText"/>
      </w:pPr>
      <w:r>
        <w:rPr>
          <w:rFonts w:ascii="IRNazanin" w:hAnsi="IRNazanin" w:eastAsia="IRNazanin" w:cs="IRNazanin"/>
          <w:lang w:bidi="fa-IR"/>
          <w:color w:val="111111"/>
          <w:sz w:val="28"/>
          <w:szCs w:val="28"/>
          <w:rtl/>
        </w:rPr>
        <w:t xml:space="preserve">الاخبار، ج 3، ص793.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تلخيص العمدة في شرح اشكالات</w:t>
      </w:r>
    </w:p>
    <w:p>
      <w:pPr>
        <w:pStyle w:val="BookText"/>
      </w:pPr>
      <w:r>
        <w:rPr>
          <w:rFonts w:ascii="Amiri" w:hAnsi="Amiri" w:eastAsia="Amiri" w:cs="Amiri"/>
          <w:lang w:bidi="ar-SA"/>
          <w:color w:val="111111"/>
          <w:sz w:val="28"/>
          <w:szCs w:val="28"/>
          <w:rtl/>
        </w:rPr>
        <w:t xml:space="preserve">الزبدة، ج 4، ص 850.</w:t>
      </w:r>
    </w:p>
    <w:p>
      <w:pPr>
        <w:pStyle w:val="BookText"/>
      </w:pPr>
      <w:r>
        <w:rPr>
          <w:rFonts w:ascii="Amiri" w:hAnsi="Amiri" w:eastAsia="Amiri" w:cs="Amiri"/>
          <w:lang w:bidi="ar-SA"/>
          <w:color w:val="111111"/>
          <w:sz w:val="28"/>
          <w:szCs w:val="28"/>
          <w:rtl/>
        </w:rPr>
        <w:t xml:space="preserve">4 .الدرة البهية، ج 7، ص 226.</w:t>
      </w:r>
    </w:p>
    <w:p>
      <w:pPr>
        <w:pStyle w:val="BookText"/>
      </w:pPr>
      <w:r>
        <w:rPr>
          <w:rFonts w:ascii="IRNazanin" w:hAnsi="IRNazanin" w:eastAsia="IRNazanin" w:cs="IRNazanin"/>
          <w:lang w:bidi="fa-IR"/>
          <w:color w:val="111111"/>
          <w:sz w:val="28"/>
          <w:szCs w:val="28"/>
          <w:rtl/>
        </w:rPr>
        <w:t xml:space="preserve">5 .السؤال والجواب، ج8، ص 682.</w:t>
      </w:r>
    </w:p>
    <w:p>
      <w:pPr>
        <w:pStyle w:val="BookText"/>
      </w:pPr>
      <w:r>
        <w:rPr>
          <w:rFonts w:ascii="Amiri" w:hAnsi="Amiri" w:eastAsia="Amiri" w:cs="Amiri"/>
          <w:lang w:bidi="ar-SA"/>
          <w:color w:val="111111"/>
          <w:sz w:val="28"/>
          <w:szCs w:val="28"/>
          <w:rtl/>
        </w:rPr>
        <w:t xml:space="preserve">6 .الغرة الجلية في شرح الدرة البهية</w:t>
      </w:r>
    </w:p>
    <w:p>
      <w:pPr>
        <w:pStyle w:val="BookText"/>
      </w:pPr>
      <w:r>
        <w:rPr>
          <w:rFonts w:ascii="IRNazanin" w:hAnsi="IRNazanin" w:eastAsia="IRNazanin" w:cs="IRNazanin"/>
          <w:lang w:bidi="fa-IR"/>
          <w:color w:val="111111"/>
          <w:sz w:val="28"/>
          <w:szCs w:val="28"/>
          <w:rtl/>
        </w:rPr>
        <w:t xml:space="preserve">ج 11، ص 472.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مطلع الانوار، ج 14 ، ص788.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7742_69337"/>
    <w:bookmarkEnd w:id="5"/>
    <w:p>
      <w:pPr>
        <w:pStyle w:val="Heading2"/>
      </w:pPr>
      <w:bookmarkStart w:id="913" w:name="_Toc15"/>
      <w:r>
        <w:t>آرزو ، سراج الدين علي بن حسام الدين</w:t>
      </w:r>
      <w:bookmarkEnd w:id="913"/>
    </w:p>
    <w:p>
      <w:pPr>
        <w:pStyle w:val="BookText"/>
      </w:pPr>
      <w:r>
        <w:rPr>
          <w:rFonts w:ascii="IRNazanin" w:hAnsi="IRNazanin" w:eastAsia="IRNazanin" w:cs="IRNazanin"/>
          <w:lang w:bidi="fa-IR"/>
          <w:color w:val="111111"/>
          <w:sz w:val="28"/>
          <w:szCs w:val="28"/>
          <w:rtl/>
        </w:rPr>
        <w:t xml:space="preserve">1101 - 1119ه-</w:t>
      </w:r>
    </w:p>
    <w:p>
      <w:pPr>
        <w:pStyle w:val="BookText"/>
      </w:pPr>
      <w:r>
        <w:rPr>
          <w:rFonts w:ascii="Amiri" w:hAnsi="Amiri" w:eastAsia="Amiri" w:cs="Amiri"/>
          <w:lang w:bidi="ar-SA"/>
          <w:color w:val="111111"/>
          <w:sz w:val="28"/>
          <w:szCs w:val="28"/>
          <w:rtl/>
        </w:rPr>
        <w:t xml:space="preserve">سراج اللغة = سراج اللغات، ج8،</w:t>
      </w:r>
    </w:p>
    <w:p>
      <w:pPr>
        <w:pStyle w:val="BookText"/>
      </w:pPr>
      <w:r>
        <w:rPr>
          <w:rFonts w:ascii="IRNazanin" w:hAnsi="IRNazanin" w:eastAsia="IRNazanin" w:cs="IRNazanin"/>
          <w:lang w:bidi="fa-IR"/>
          <w:color w:val="111111"/>
          <w:sz w:val="28"/>
          <w:szCs w:val="28"/>
          <w:rtl/>
        </w:rPr>
        <w:t xml:space="preserve">ص 736 .</w:t>
      </w:r>
    </w:p>
    <w:p>
      <w:pPr>
        <w:pStyle w:val="BookText"/>
      </w:pPr>
      <w:r>
        <w:rPr>
          <w:rFonts w:ascii="Amiri" w:hAnsi="Amiri" w:eastAsia="Amiri" w:cs="Amiri"/>
          <w:lang w:bidi="ar-SA"/>
          <w:color w:val="111111"/>
          <w:sz w:val="28"/>
          <w:szCs w:val="28"/>
          <w:rtl/>
        </w:rPr>
        <w:t xml:space="preserve">آريجي زاده ، علي بن مصطفى فردي ،</w:t>
      </w:r>
    </w:p>
    <w:p>
      <w:pPr>
        <w:pStyle w:val="BookText"/>
      </w:pPr>
      <w:r>
        <w:rPr>
          <w:rFonts w:ascii="Amiri" w:hAnsi="Amiri" w:eastAsia="Amiri" w:cs="Amiri"/>
          <w:lang w:bidi="ar-SA"/>
          <w:color w:val="111111"/>
          <w:sz w:val="28"/>
          <w:szCs w:val="28"/>
          <w:rtl/>
        </w:rPr>
        <w:t xml:space="preserve">علي بن مصطفى</w:t>
      </w:r>
    </w:p>
    <w:p>
      <w:pPr>
        <w:pStyle w:val="Heading2"/>
      </w:pPr>
      <w:bookmarkStart w:id="914" w:name="_Toc16"/>
      <w:r>
        <w:t>آزاد بلگرامي ، مير غلامعلي بن نوح</w:t>
      </w:r>
      <w:bookmarkEnd w:id="914"/>
    </w:p>
    <w:p>
      <w:pPr>
        <w:pStyle w:val="BookText"/>
      </w:pPr>
      <w:r>
        <w:rPr>
          <w:rFonts w:ascii="IRNazanin" w:hAnsi="IRNazanin" w:eastAsia="IRNazanin" w:cs="IRNazanin"/>
          <w:lang w:bidi="fa-IR"/>
          <w:color w:val="111111"/>
          <w:sz w:val="28"/>
          <w:szCs w:val="28"/>
          <w:rtl/>
        </w:rPr>
        <w:t xml:space="preserve">1116 - 1200ه-</w:t>
      </w:r>
    </w:p>
    <w:p>
      <w:pPr>
        <w:pStyle w:val="BookText"/>
      </w:pPr>
      <w:r>
        <w:rPr>
          <w:rFonts w:ascii="IRNazanin" w:hAnsi="IRNazanin" w:eastAsia="IRNazanin" w:cs="IRNazanin"/>
          <w:lang w:bidi="fa-IR"/>
          <w:color w:val="111111"/>
          <w:sz w:val="28"/>
          <w:szCs w:val="28"/>
          <w:rtl/>
        </w:rPr>
        <w:t xml:space="preserve">1 .دیوان آزاد بلگرامي، ج7، ص508.</w:t>
      </w:r>
    </w:p>
    <w:p>
      <w:pPr>
        <w:pStyle w:val="BookText"/>
      </w:pPr>
      <w:r>
        <w:rPr>
          <w:rFonts w:ascii="Amiri" w:hAnsi="Amiri" w:eastAsia="Amiri" w:cs="Amiri"/>
          <w:lang w:bidi="ar-SA"/>
          <w:color w:val="111111"/>
          <w:sz w:val="28"/>
          <w:szCs w:val="28"/>
          <w:rtl/>
        </w:rPr>
        <w:t xml:space="preserve">2 .سبحة المرجان في آثار هندوستان</w:t>
      </w:r>
    </w:p>
    <w:p>
      <w:pPr>
        <w:pStyle w:val="BookText"/>
      </w:pPr>
      <w:r>
        <w:rPr>
          <w:rFonts w:ascii="IRNazanin" w:hAnsi="IRNazanin" w:eastAsia="IRNazanin" w:cs="IRNazanin"/>
          <w:lang w:bidi="fa-IR"/>
          <w:color w:val="111111"/>
          <w:sz w:val="28"/>
          <w:szCs w:val="28"/>
          <w:rtl/>
        </w:rPr>
        <w:t xml:space="preserve">ج 8، ص 697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ديوان حسان الهند، ج9،</w:t>
      </w:r>
    </w:p>
    <w:p>
      <w:pPr>
        <w:pStyle w:val="BookText"/>
      </w:pPr>
      <w:r>
        <w:rPr>
          <w:rFonts w:ascii="IRNazanin" w:hAnsi="IRNazanin" w:eastAsia="IRNazanin" w:cs="IRNazanin"/>
          <w:lang w:bidi="fa-IR"/>
          <w:color w:val="111111"/>
          <w:sz w:val="28"/>
          <w:szCs w:val="28"/>
          <w:rtl/>
        </w:rPr>
        <w:t xml:space="preserve">ص 486 .</w:t>
      </w:r>
    </w:p>
    <w:p>
      <w:pPr>
        <w:pStyle w:val="BookText"/>
      </w:pPr>
      <w:r>
        <w:rPr>
          <w:rFonts w:ascii="IRNazanin" w:hAnsi="IRNazanin" w:eastAsia="IRNazanin" w:cs="IRNazanin"/>
          <w:lang w:bidi="fa-IR"/>
          <w:color w:val="111111"/>
          <w:sz w:val="28"/>
          <w:szCs w:val="28"/>
          <w:rtl/>
        </w:rPr>
        <w:t xml:space="preserve">آسواني ، احمد بن زبیر ابن زبیر ، احمد</w:t>
      </w:r>
    </w:p>
    <w:p>
      <w:pPr>
        <w:pStyle w:val="BookText"/>
      </w:pPr>
      <w:r>
        <w:rPr>
          <w:rFonts w:ascii="Amiri" w:hAnsi="Amiri" w:eastAsia="Amiri" w:cs="Amiri"/>
          <w:lang w:bidi="ar-SA"/>
          <w:color w:val="111111"/>
          <w:sz w:val="28"/>
          <w:szCs w:val="28"/>
          <w:rtl/>
        </w:rPr>
        <w:t xml:space="preserve">بن علي</w:t>
      </w:r>
    </w:p>
    <w:p>
      <w:pPr>
        <w:pStyle w:val="Heading2"/>
      </w:pPr>
      <w:bookmarkStart w:id="915" w:name="_Toc17"/>
      <w:r>
        <w:t>آشتياني، محمّد حسن بن جعفر، 1248؟ -</w:t>
      </w:r>
      <w:bookmarkEnd w:id="915"/>
    </w:p>
    <w:p>
      <w:pPr>
        <w:pStyle w:val="BookText"/>
      </w:pPr>
      <w:r>
        <w:rPr>
          <w:rFonts w:ascii="IRNazanin" w:hAnsi="IRNazanin" w:eastAsia="IRNazanin" w:cs="IRNazanin"/>
          <w:lang w:bidi="fa-IR"/>
          <w:color w:val="111111"/>
          <w:sz w:val="28"/>
          <w:szCs w:val="28"/>
          <w:rtl/>
        </w:rPr>
        <w:t xml:space="preserve">1319ه-</w:t>
      </w:r>
    </w:p>
    <w:p>
      <w:pPr>
        <w:pStyle w:val="BookText"/>
      </w:pPr>
      <w:r>
        <w:rPr>
          <w:rFonts w:ascii="Amiri" w:hAnsi="Amiri" w:eastAsia="Amiri" w:cs="Amiri"/>
          <w:lang w:bidi="ar-SA"/>
          <w:color w:val="111111"/>
          <w:sz w:val="28"/>
          <w:szCs w:val="28"/>
          <w:rtl/>
        </w:rPr>
        <w:t xml:space="preserve">بحر الفوائد في شرح الفرائد، ج3،</w:t>
      </w:r>
    </w:p>
    <w:p>
      <w:pPr>
        <w:pStyle w:val="BookText"/>
      </w:pPr>
      <w:r>
        <w:rPr>
          <w:rFonts w:ascii="IRNazanin" w:hAnsi="IRNazanin" w:eastAsia="IRNazanin" w:cs="IRNazanin"/>
          <w:lang w:bidi="fa-IR"/>
          <w:color w:val="111111"/>
          <w:sz w:val="28"/>
          <w:szCs w:val="28"/>
          <w:rtl/>
        </w:rPr>
        <w:t xml:space="preserve">ص 224.</w:t>
      </w:r>
    </w:p>
    <w:p>
      <w:pPr>
        <w:pStyle w:val="Heading2"/>
      </w:pPr>
      <w:bookmarkStart w:id="916" w:name="_Toc18"/>
      <w:r>
        <w:t>آشتياني، محمود بن مرتضى 1304 -</w:t>
      </w:r>
      <w:bookmarkEnd w:id="916"/>
    </w:p>
    <w:p>
      <w:pPr>
        <w:pStyle w:val="BookText"/>
      </w:pPr>
      <w:r>
        <w:rPr>
          <w:rFonts w:ascii="IRNazanin" w:hAnsi="IRNazanin" w:eastAsia="IRNazanin" w:cs="IRNazanin"/>
          <w:lang w:bidi="fa-IR"/>
          <w:color w:val="111111"/>
          <w:sz w:val="28"/>
          <w:szCs w:val="28"/>
          <w:rtl/>
        </w:rPr>
        <w:t xml:space="preserve">1401ه-</w:t>
      </w:r>
    </w:p>
    <w:p>
      <w:pPr>
        <w:pStyle w:val="BookText"/>
      </w:pPr>
      <w:r>
        <w:rPr>
          <w:rFonts w:ascii="Amiri" w:hAnsi="Amiri" w:eastAsia="Amiri" w:cs="Amiri"/>
          <w:lang w:bidi="ar-SA"/>
          <w:color w:val="111111"/>
          <w:sz w:val="28"/>
          <w:szCs w:val="28"/>
          <w:rtl/>
        </w:rPr>
        <w:t xml:space="preserve">1 .شرح شرايع الاسلام، ج 9، ص 627 .</w:t>
      </w:r>
    </w:p>
    <w:p>
      <w:pPr>
        <w:pStyle w:val="BookText"/>
      </w:pPr>
      <w:r>
        <w:rPr>
          <w:rFonts w:ascii="Amiri" w:hAnsi="Amiri" w:eastAsia="Amiri" w:cs="Amiri"/>
          <w:lang w:bidi="ar-SA"/>
          <w:color w:val="111111"/>
          <w:sz w:val="28"/>
          <w:szCs w:val="28"/>
          <w:rtl/>
        </w:rPr>
        <w:t xml:space="preserve">2 .نجاسة اهل الكتاب (رسالة في)</w:t>
      </w:r>
    </w:p>
    <w:p>
      <w:pPr>
        <w:pStyle w:val="BookText"/>
      </w:pPr>
      <w:r>
        <w:rPr>
          <w:rFonts w:ascii="IRNazanin" w:hAnsi="IRNazanin" w:eastAsia="IRNazanin" w:cs="IRNazanin"/>
          <w:lang w:bidi="fa-IR"/>
          <w:color w:val="111111"/>
          <w:sz w:val="28"/>
          <w:szCs w:val="28"/>
          <w:rtl/>
        </w:rPr>
        <w:t xml:space="preserve">ج 16 ، ص 155.</w:t>
      </w:r>
    </w:p>
    <w:p>
      <w:pPr>
        <w:pStyle w:val="Heading2"/>
      </w:pPr>
      <w:bookmarkStart w:id="917" w:name="_Toc19"/>
      <w:r>
        <w:t>آشني ، عبدالله بن محمود</w:t>
      </w:r>
      <w:bookmarkEnd w:id="917"/>
    </w:p>
    <w:p>
      <w:pPr>
        <w:pStyle w:val="BookText"/>
      </w:pPr>
      <w:r>
        <w:rPr>
          <w:rFonts w:ascii="Amiri" w:hAnsi="Amiri" w:eastAsia="Amiri" w:cs="Amiri"/>
          <w:lang w:bidi="ar-SA"/>
          <w:color w:val="111111"/>
          <w:sz w:val="28"/>
          <w:szCs w:val="28"/>
          <w:rtl/>
        </w:rPr>
        <w:t xml:space="preserve">الحدائق القدسي في شرح آية الكرسي</w:t>
      </w:r>
    </w:p>
    <w:p>
      <w:pPr>
        <w:pStyle w:val="BookText"/>
      </w:pPr>
      <w:r>
        <w:rPr>
          <w:rFonts w:ascii="IRNazanin" w:hAnsi="IRNazanin" w:eastAsia="IRNazanin" w:cs="IRNazanin"/>
          <w:lang w:bidi="fa-IR"/>
          <w:color w:val="111111"/>
          <w:sz w:val="28"/>
          <w:szCs w:val="28"/>
          <w:rtl/>
        </w:rPr>
        <w:t xml:space="preserve">ج 6، ص 524.</w:t>
      </w:r>
    </w:p>
    <w:p>
      <w:pPr>
        <w:pStyle w:val="Heading2"/>
      </w:pPr>
      <w:bookmarkStart w:id="918" w:name="_Toc20"/>
      <w:r>
        <w:t>آطه وي ، عبد الرحيم بن مظفر</w:t>
      </w:r>
      <w:bookmarkEnd w:id="918"/>
    </w:p>
    <w:p>
      <w:pPr>
        <w:pStyle w:val="BookText"/>
      </w:pPr>
      <w:r>
        <w:rPr>
          <w:rFonts w:ascii="Amiri" w:hAnsi="Amiri" w:eastAsia="Amiri" w:cs="Amiri"/>
          <w:lang w:bidi="ar-SA"/>
          <w:color w:val="111111"/>
          <w:sz w:val="28"/>
          <w:szCs w:val="28"/>
          <w:rtl/>
        </w:rPr>
        <w:t xml:space="preserve">حاشية مختصر المنتهي، ج 6، ص 363.</w:t>
      </w:r>
    </w:p>
    <w:p>
      <w:pPr>
        <w:pStyle w:val="Heading2"/>
      </w:pPr>
      <w:bookmarkStart w:id="919" w:name="_Toc21"/>
      <w:r>
        <w:t>آطه وي ، مصطفى بن حمزه ، قرن 11 ه- نتائج الأفكار في شرح اظهار الاسرار</w:t>
      </w:r>
      <w:bookmarkEnd w:id="919"/>
    </w:p>
    <w:p>
      <w:pPr>
        <w:pStyle w:val="BookText"/>
      </w:pPr>
      <w:r>
        <w:rPr>
          <w:rFonts w:ascii="IRNazanin" w:hAnsi="IRNazanin" w:eastAsia="IRNazanin" w:cs="IRNazanin"/>
          <w:lang w:bidi="fa-IR"/>
          <w:color w:val="111111"/>
          <w:sz w:val="28"/>
          <w:szCs w:val="28"/>
          <w:rtl/>
        </w:rPr>
        <w:t xml:space="preserve">ج 16، ص 128.</w:t>
      </w:r>
    </w:p>
    <w:p>
      <w:pPr>
        <w:pStyle w:val="BookText"/>
      </w:pPr>
      <w:r>
        <w:rPr>
          <w:rFonts w:ascii="Amiri" w:hAnsi="Amiri" w:eastAsia="Amiri" w:cs="Amiri"/>
          <w:lang w:bidi="ar-SA"/>
          <w:color w:val="111111"/>
          <w:sz w:val="28"/>
          <w:szCs w:val="28"/>
          <w:rtl/>
        </w:rPr>
        <w:t xml:space="preserve">آغا دولت آبادي ، كمال الدين بن محمّد</w:t>
      </w:r>
    </w:p>
    <w:p>
      <w:pPr>
        <w:pStyle w:val="BookText"/>
      </w:pPr>
      <w:r>
        <w:rPr>
          <w:rFonts w:ascii="Amiri" w:hAnsi="Amiri" w:eastAsia="Amiri" w:cs="Amiri"/>
          <w:lang w:bidi="ar-SA"/>
          <w:color w:val="111111"/>
          <w:sz w:val="28"/>
          <w:szCs w:val="28"/>
          <w:rtl/>
        </w:rPr>
        <w:t xml:space="preserve">علي رضوي ، كمال الدين بن محمّد علي</w:t>
      </w:r>
    </w:p>
    <w:p>
      <w:pPr>
        <w:pStyle w:val="Heading2"/>
      </w:pPr>
      <w:bookmarkStart w:id="920" w:name="_Toc22"/>
      <w:r>
        <w:t>آغاجليلي ، علي بن يونس - 1147 ه-</w:t>
      </w:r>
      <w:bookmarkEnd w:id="920"/>
    </w:p>
    <w:p>
      <w:pPr>
        <w:pStyle w:val="BookText"/>
      </w:pPr>
      <w:r>
        <w:rPr>
          <w:rFonts w:ascii="Amiri" w:hAnsi="Amiri" w:eastAsia="Amiri" w:cs="Amiri"/>
          <w:lang w:bidi="ar-SA"/>
          <w:color w:val="111111"/>
          <w:sz w:val="28"/>
          <w:szCs w:val="28"/>
          <w:rtl/>
        </w:rPr>
        <w:t xml:space="preserve">1 .الروضة المزهرة في شرح نظمنا المسمى بالميسرة، ج8، ص 453.</w:t>
      </w:r>
    </w:p>
    <w:p>
      <w:pPr>
        <w:pStyle w:val="BookText"/>
      </w:pPr>
      <w:r>
        <w:rPr>
          <w:rFonts w:ascii="Amiri" w:hAnsi="Amiri" w:eastAsia="Amiri" w:cs="Amiri"/>
          <w:lang w:bidi="ar-SA"/>
          <w:color w:val="111111"/>
          <w:sz w:val="28"/>
          <w:szCs w:val="28"/>
          <w:rtl/>
        </w:rPr>
        <w:t xml:space="preserve">2 .شرح الرسالة الوضعية العضدية.</w:t>
      </w:r>
    </w:p>
    <w:p>
      <w:pPr>
        <w:pStyle w:val="BookText"/>
      </w:pPr>
      <w:r>
        <w:rPr>
          <w:rFonts w:ascii="IRNazanin" w:hAnsi="IRNazanin" w:eastAsia="IRNazanin" w:cs="IRNazanin"/>
          <w:lang w:bidi="fa-IR"/>
          <w:color w:val="111111"/>
          <w:sz w:val="28"/>
          <w:szCs w:val="28"/>
          <w:rtl/>
        </w:rPr>
        <w:t xml:space="preserve">ج 9، ص 568.</w:t>
      </w:r>
    </w:p>
    <w:p>
      <w:pPr>
        <w:pStyle w:val="BookText"/>
      </w:pPr>
      <w:r>
        <w:rPr>
          <w:rFonts w:ascii="IRNazanin" w:hAnsi="IRNazanin" w:eastAsia="IRNazanin" w:cs="IRNazanin"/>
          <w:lang w:bidi="fa-IR"/>
          <w:color w:val="111111"/>
          <w:sz w:val="28"/>
          <w:szCs w:val="28"/>
          <w:rtl/>
        </w:rPr>
        <w:t xml:space="preserve">الفتوح للوضوح، ج 11، ص 715.</w:t>
      </w:r>
    </w:p>
    <w:p>
      <w:pPr>
        <w:pStyle w:val="Heading2"/>
      </w:pPr>
      <w:bookmarkStart w:id="921" w:name="_Toc23"/>
      <w:r>
        <w:t>آغازاده، احمد بن اسماعیل قرن 12 ه- شرح الايساغوجي، ج9، ص270</w:t>
      </w:r>
      <w:bookmarkEnd w:id="921"/>
    </w:p>
    <w:p>
      <w:pPr>
        <w:pStyle w:val="BookText"/>
      </w:pPr>
      <w:r>
        <w:rPr>
          <w:rFonts w:ascii="Amiri" w:hAnsi="Amiri" w:eastAsia="Amiri" w:cs="Amiri"/>
          <w:lang w:bidi="ar-SA"/>
          <w:color w:val="111111"/>
          <w:sz w:val="28"/>
          <w:szCs w:val="28"/>
          <w:rtl/>
        </w:rPr>
        <w:t xml:space="preserve">آقا بابا طبيب شيرازي- ملك الاطباء ،</w:t>
      </w:r>
    </w:p>
    <w:p>
      <w:pPr>
        <w:pStyle w:val="BookText"/>
      </w:pPr>
      <w:r>
        <w:rPr>
          <w:rFonts w:ascii="Amiri" w:hAnsi="Amiri" w:eastAsia="Amiri" w:cs="Amiri"/>
          <w:lang w:bidi="ar-SA"/>
          <w:color w:val="111111"/>
          <w:sz w:val="28"/>
          <w:szCs w:val="28"/>
          <w:rtl/>
        </w:rPr>
        <w:t xml:space="preserve">محمّد تقي</w:t>
      </w:r>
    </w:p>
    <w:p>
      <w:pPr>
        <w:pStyle w:val="Heading2"/>
      </w:pPr>
      <w:bookmarkStart w:id="922" w:name="_Toc24"/>
      <w:r>
        <w:t>آقابزرگ طهراني ، محمّد محسن، 1293 -</w:t>
      </w:r>
      <w:bookmarkEnd w:id="922"/>
    </w:p>
    <w:p>
      <w:pPr>
        <w:pStyle w:val="BookText"/>
      </w:pPr>
      <w:r>
        <w:rPr>
          <w:rFonts w:ascii="IRNazanin" w:hAnsi="IRNazanin" w:eastAsia="IRNazanin" w:cs="IRNazanin"/>
          <w:lang w:bidi="fa-IR"/>
          <w:color w:val="111111"/>
          <w:sz w:val="28"/>
          <w:szCs w:val="28"/>
          <w:rtl/>
        </w:rPr>
        <w:t xml:space="preserve">1389 ه-</w:t>
      </w:r>
    </w:p>
    <w:p>
      <w:pPr>
        <w:pStyle w:val="BookText"/>
      </w:pPr>
      <w:r>
        <w:rPr>
          <w:rFonts w:ascii="Amiri" w:hAnsi="Amiri" w:eastAsia="Amiri" w:cs="Amiri"/>
          <w:lang w:bidi="ar-SA"/>
          <w:color w:val="111111"/>
          <w:sz w:val="28"/>
          <w:szCs w:val="28"/>
          <w:rtl/>
        </w:rPr>
        <w:t xml:space="preserve">1 .إجازات الرواية و الوراثة في القرون</w:t>
      </w:r>
    </w:p>
    <w:p>
      <w:pPr>
        <w:pStyle w:val="BookText"/>
      </w:pPr>
      <w:r>
        <w:rPr>
          <w:rFonts w:ascii="Amiri" w:hAnsi="Amiri" w:eastAsia="Amiri" w:cs="Amiri"/>
          <w:lang w:bidi="ar-SA"/>
          <w:color w:val="111111"/>
          <w:sz w:val="28"/>
          <w:szCs w:val="28"/>
          <w:rtl/>
        </w:rPr>
        <w:t xml:space="preserve">الاخيرة، ج 1، ص 205.</w:t>
      </w:r>
    </w:p>
    <w:p>
      <w:pPr>
        <w:pStyle w:val="BookText"/>
      </w:pPr>
      <w:r>
        <w:rPr>
          <w:rFonts w:ascii="Amiri" w:hAnsi="Amiri" w:eastAsia="Amiri" w:cs="Amiri"/>
          <w:lang w:bidi="ar-SA"/>
          <w:color w:val="111111"/>
          <w:sz w:val="28"/>
          <w:szCs w:val="28"/>
          <w:rtl/>
        </w:rPr>
        <w:t xml:space="preserve">2 .اجازة للسيد محمّد صادق آل</w:t>
      </w:r>
    </w:p>
    <w:p>
      <w:pPr>
        <w:pStyle w:val="BookText"/>
      </w:pPr>
      <w:r>
        <w:rPr>
          <w:rFonts w:ascii="IRNazanin" w:hAnsi="IRNazanin" w:eastAsia="IRNazanin" w:cs="IRNazanin"/>
          <w:lang w:bidi="fa-IR"/>
          <w:color w:val="111111"/>
          <w:sz w:val="28"/>
          <w:szCs w:val="28"/>
          <w:rtl/>
        </w:rPr>
        <w:t xml:space="preserve">بحر العلوم، ج1، ص 256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تعريف الانام في ترجمة المدينة و</w:t>
      </w:r>
    </w:p>
    <w:p>
      <w:pPr>
        <w:pStyle w:val="BookText"/>
      </w:pPr>
      <w:r>
        <w:rPr>
          <w:rFonts w:ascii="IRNazanin" w:hAnsi="IRNazanin" w:eastAsia="IRNazanin" w:cs="IRNazanin"/>
          <w:lang w:bidi="fa-IR"/>
          <w:color w:val="111111"/>
          <w:sz w:val="28"/>
          <w:szCs w:val="28"/>
          <w:rtl/>
        </w:rPr>
        <w:t xml:space="preserve">الاسلام، ج 4، ص 473.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7742_69339"/>
    <w:bookmarkEnd w:id="6"/>
    <w:p>
      <w:pPr>
        <w:pStyle w:val="BookText"/>
      </w:pPr>
      <w:r>
        <w:rPr>
          <w:rFonts w:ascii="Amiri" w:hAnsi="Amiri" w:eastAsia="Amiri" w:cs="Amiri"/>
          <w:lang w:bidi="ar-SA"/>
          <w:color w:val="111111"/>
          <w:sz w:val="28"/>
          <w:szCs w:val="28"/>
          <w:rtl/>
        </w:rPr>
        <w:t xml:space="preserve">4 .تلخيص رسالة نيجرية، ج 4، ص846.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رسائل و تقريرات، ج8، ص 154 .</w:t>
      </w:r>
    </w:p>
    <w:p>
      <w:pPr>
        <w:pStyle w:val="BookText"/>
      </w:pPr>
      <w:r>
        <w:rPr>
          <w:rFonts w:ascii="Amiri" w:hAnsi="Amiri" w:eastAsia="Amiri" w:cs="Amiri"/>
          <w:lang w:bidi="ar-SA"/>
          <w:color w:val="111111"/>
          <w:sz w:val="28"/>
          <w:szCs w:val="28"/>
          <w:rtl/>
        </w:rPr>
        <w:t xml:space="preserve">6 .العقيدة الاسلامية (ترجمه)، ج11،</w:t>
      </w:r>
    </w:p>
    <w:p>
      <w:pPr>
        <w:pStyle w:val="BookText"/>
      </w:pPr>
      <w:r>
        <w:rPr>
          <w:rFonts w:ascii="IRNazanin" w:hAnsi="IRNazanin" w:eastAsia="IRNazanin" w:cs="IRNazanin"/>
          <w:lang w:bidi="fa-IR"/>
          <w:color w:val="111111"/>
          <w:sz w:val="28"/>
          <w:szCs w:val="28"/>
          <w:rtl/>
        </w:rPr>
        <w:t xml:space="preserve">ص 198.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مجموعة رجالية و تاريخية، ج 14،</w:t>
      </w:r>
    </w:p>
    <w:p>
      <w:pPr>
        <w:pStyle w:val="BookText"/>
      </w:pPr>
      <w:r>
        <w:rPr>
          <w:rFonts w:ascii="IRNazanin" w:hAnsi="IRNazanin" w:eastAsia="IRNazanin" w:cs="IRNazanin"/>
          <w:lang w:bidi="fa-IR"/>
          <w:color w:val="111111"/>
          <w:sz w:val="28"/>
          <w:szCs w:val="28"/>
          <w:rtl/>
        </w:rPr>
        <w:t xml:space="preserve">ص 32.</w:t>
      </w:r>
    </w:p>
    <w:p>
      <w:pPr>
        <w:pStyle w:val="BookText"/>
      </w:pPr>
      <w:r>
        <w:rPr>
          <w:rFonts w:ascii="Amiri" w:hAnsi="Amiri" w:eastAsia="Amiri" w:cs="Amiri"/>
          <w:lang w:bidi="ar-SA"/>
          <w:color w:val="111111"/>
          <w:sz w:val="28"/>
          <w:szCs w:val="28"/>
          <w:rtl/>
        </w:rPr>
        <w:t xml:space="preserve">آقا بن ابوالقاسم شيرازي جهرمي شيرازي</w:t>
      </w:r>
    </w:p>
    <w:p>
      <w:pPr>
        <w:pStyle w:val="BookText"/>
      </w:pPr>
      <w:r>
        <w:rPr>
          <w:rFonts w:ascii="Amiri" w:hAnsi="Amiri" w:eastAsia="Amiri" w:cs="Amiri"/>
          <w:lang w:bidi="ar-SA"/>
          <w:color w:val="111111"/>
          <w:sz w:val="28"/>
          <w:szCs w:val="28"/>
          <w:rtl/>
        </w:rPr>
        <w:t xml:space="preserve">جهرمي ، ابوالقاسم</w:t>
      </w:r>
    </w:p>
    <w:p>
      <w:pPr>
        <w:pStyle w:val="BookText"/>
      </w:pPr>
      <w:r>
        <w:rPr>
          <w:rFonts w:ascii="Amiri" w:hAnsi="Amiri" w:eastAsia="Amiri" w:cs="Amiri"/>
          <w:lang w:bidi="ar-SA"/>
          <w:color w:val="111111"/>
          <w:sz w:val="28"/>
          <w:szCs w:val="28"/>
          <w:rtl/>
        </w:rPr>
        <w:t xml:space="preserve">آقا بن عابد بن رمضان شيرواني</w:t>
      </w:r>
    </w:p>
    <w:p>
      <w:pPr>
        <w:pStyle w:val="BookText"/>
      </w:pPr>
      <w:r>
        <w:rPr>
          <w:rFonts w:ascii="Amiri" w:hAnsi="Amiri" w:eastAsia="Amiri" w:cs="Amiri"/>
          <w:lang w:bidi="ar-SA"/>
          <w:color w:val="111111"/>
          <w:sz w:val="28"/>
          <w:szCs w:val="28"/>
          <w:rtl/>
        </w:rPr>
        <w:t xml:space="preserve">دربندي- دربندي ، آقا بن عابد</w:t>
      </w:r>
    </w:p>
    <w:p>
      <w:pPr>
        <w:pStyle w:val="Heading2"/>
      </w:pPr>
      <w:bookmarkStart w:id="923" w:name="_Toc25"/>
      <w:r>
        <w:t>آقا جمال خوانساری ، محمّد بن حسين .</w:t>
      </w:r>
      <w:bookmarkEnd w:id="923"/>
    </w:p>
    <w:p>
      <w:pPr>
        <w:pStyle w:val="BookText"/>
      </w:pPr>
      <w:r>
        <w:rPr>
          <w:rFonts w:ascii="IRNazanin" w:hAnsi="IRNazanin" w:eastAsia="IRNazanin" w:cs="IRNazanin"/>
          <w:lang w:bidi="fa-IR"/>
          <w:color w:val="111111"/>
          <w:sz w:val="28"/>
          <w:szCs w:val="28"/>
          <w:rtl/>
        </w:rPr>
        <w:t xml:space="preserve">1125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الأدعية، ج 1، ص 604.</w:t>
      </w:r>
    </w:p>
    <w:p>
      <w:pPr>
        <w:pStyle w:val="BookText"/>
      </w:pPr>
      <w:r>
        <w:rPr>
          <w:rFonts w:ascii="IRNazanin" w:hAnsi="IRNazanin" w:eastAsia="IRNazanin" w:cs="IRNazanin"/>
          <w:lang w:bidi="fa-IR"/>
          <w:color w:val="111111"/>
          <w:sz w:val="28"/>
          <w:szCs w:val="28"/>
          <w:rtl/>
        </w:rPr>
        <w:t xml:space="preserve">2 .جبر و اختيار = جواب مكتوب امیر</w:t>
      </w:r>
    </w:p>
    <w:p>
      <w:pPr>
        <w:pStyle w:val="BookText"/>
      </w:pPr>
      <w:r>
        <w:rPr>
          <w:rFonts w:ascii="Amiri" w:hAnsi="Amiri" w:eastAsia="Amiri" w:cs="Amiri"/>
          <w:lang w:bidi="ar-SA"/>
          <w:color w:val="111111"/>
          <w:sz w:val="28"/>
          <w:szCs w:val="28"/>
          <w:rtl/>
        </w:rPr>
        <w:t xml:space="preserve">حسينعلي خان، ج 5، ص 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آقا جمال بر مبحث اخبار</w:t>
      </w:r>
    </w:p>
    <w:p>
      <w:pPr>
        <w:pStyle w:val="BookText"/>
      </w:pPr>
      <w:r>
        <w:rPr>
          <w:rFonts w:ascii="IRNazanin" w:hAnsi="IRNazanin" w:eastAsia="IRNazanin" w:cs="IRNazanin"/>
          <w:lang w:bidi="fa-IR"/>
          <w:color w:val="111111"/>
          <w:sz w:val="28"/>
          <w:szCs w:val="28"/>
          <w:rtl/>
        </w:rPr>
        <w:t xml:space="preserve">ج 5، ص 647.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الروضة البهية في شرح اللمعة الدمشقية، ج 5، ص 880.</w:t>
      </w:r>
    </w:p>
    <w:p>
      <w:pPr>
        <w:pStyle w:val="BookText"/>
      </w:pPr>
      <w:r>
        <w:rPr>
          <w:rFonts w:ascii="Amiri" w:hAnsi="Amiri" w:eastAsia="Amiri" w:cs="Amiri"/>
          <w:lang w:bidi="ar-SA"/>
          <w:color w:val="111111"/>
          <w:sz w:val="28"/>
          <w:szCs w:val="28"/>
          <w:rtl/>
        </w:rPr>
        <w:t xml:space="preserve">5 .حاشية الشفاء، ج 6، ص219</w:t>
      </w:r>
    </w:p>
    <w:p>
      <w:pPr>
        <w:pStyle w:val="BookText"/>
      </w:pPr>
      <w:r>
        <w:rPr>
          <w:rFonts w:ascii="Amiri" w:hAnsi="Amiri" w:eastAsia="Amiri" w:cs="Amiri"/>
          <w:lang w:bidi="ar-SA"/>
          <w:color w:val="111111"/>
          <w:sz w:val="28"/>
          <w:szCs w:val="28"/>
          <w:rtl/>
        </w:rPr>
        <w:t xml:space="preserve">6 .حاشية حاشية الباغنوي على شرح مختصر الاصول عضدي، ج 5،</w:t>
      </w:r>
    </w:p>
    <w:p>
      <w:pPr>
        <w:pStyle w:val="BookText"/>
      </w:pPr>
      <w:r>
        <w:rPr>
          <w:rFonts w:ascii="IRNazanin" w:hAnsi="IRNazanin" w:eastAsia="IRNazanin" w:cs="IRNazanin"/>
          <w:lang w:bidi="fa-IR"/>
          <w:color w:val="111111"/>
          <w:sz w:val="28"/>
          <w:szCs w:val="28"/>
          <w:rtl/>
        </w:rPr>
        <w:t xml:space="preserve">ص 770.</w:t>
      </w:r>
    </w:p>
    <w:p>
      <w:pPr>
        <w:pStyle w:val="BookText"/>
      </w:pPr>
      <w:r>
        <w:rPr>
          <w:rFonts w:ascii="Amiri" w:hAnsi="Amiri" w:eastAsia="Amiri" w:cs="Amiri"/>
          <w:lang w:bidi="ar-SA"/>
          <w:color w:val="111111"/>
          <w:sz w:val="28"/>
          <w:szCs w:val="28"/>
          <w:rtl/>
        </w:rPr>
        <w:t xml:space="preserve">7 .حاشية حاشية الخفري على شرح</w:t>
      </w:r>
    </w:p>
    <w:p>
      <w:pPr>
        <w:pStyle w:val="BookText"/>
      </w:pPr>
      <w:r>
        <w:rPr>
          <w:rFonts w:ascii="IRNazanin" w:hAnsi="IRNazanin" w:eastAsia="IRNazanin" w:cs="IRNazanin"/>
          <w:lang w:bidi="fa-IR"/>
          <w:color w:val="111111"/>
          <w:sz w:val="28"/>
          <w:szCs w:val="28"/>
          <w:rtl/>
        </w:rPr>
        <w:t xml:space="preserve">التجريد = حاشیه جمالیه، جه،</w:t>
      </w:r>
    </w:p>
    <w:p>
      <w:pPr>
        <w:pStyle w:val="BookText"/>
      </w:pPr>
      <w:r>
        <w:rPr>
          <w:rFonts w:ascii="IRNazanin" w:hAnsi="IRNazanin" w:eastAsia="IRNazanin" w:cs="IRNazanin"/>
          <w:lang w:bidi="fa-IR"/>
          <w:color w:val="111111"/>
          <w:sz w:val="28"/>
          <w:szCs w:val="28"/>
          <w:rtl/>
        </w:rPr>
        <w:t xml:space="preserve">ص 801</w:t>
      </w:r>
    </w:p>
    <w:p>
      <w:pPr>
        <w:pStyle w:val="BookText"/>
      </w:pPr>
      <w:r>
        <w:rPr>
          <w:rFonts w:ascii="IRNazanin" w:hAnsi="IRNazanin" w:eastAsia="IRNazanin" w:cs="IRNazanin"/>
          <w:lang w:bidi="fa-IR"/>
          <w:color w:val="111111"/>
          <w:sz w:val="28"/>
          <w:szCs w:val="28"/>
          <w:rtl/>
        </w:rPr>
        <w:t xml:space="preserve">8.حاشية حاشية الدوی علی تهذیب المنطق،ج5،ص816</w:t>
      </w:r>
    </w:p>
    <w:p>
      <w:pPr>
        <w:pStyle w:val="BookText"/>
      </w:pPr>
      <w:r>
        <w:rPr>
          <w:rFonts w:ascii="Amiri" w:hAnsi="Amiri" w:eastAsia="Amiri" w:cs="Amiri"/>
          <w:lang w:bidi="ar-SA"/>
          <w:color w:val="111111"/>
          <w:sz w:val="28"/>
          <w:szCs w:val="28"/>
          <w:rtl/>
        </w:rPr>
        <w:t xml:space="preserve">9 .حاشية شرح مختصر الاصول، ج 6،</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حاشية في علم الكلام - حاشية</w:t>
      </w:r>
    </w:p>
    <w:p>
      <w:pPr>
        <w:pStyle w:val="BookText"/>
      </w:pPr>
      <w:r>
        <w:rPr>
          <w:rFonts w:ascii="Amiri" w:hAnsi="Amiri" w:eastAsia="Amiri" w:cs="Amiri"/>
          <w:lang w:bidi="ar-SA"/>
          <w:color w:val="111111"/>
          <w:sz w:val="28"/>
          <w:szCs w:val="28"/>
          <w:rtl/>
        </w:rPr>
        <w:t xml:space="preserve">جمالية، ج 6، ص 297.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شرح اثبات الواجب، ج 9، ص 154.</w:t>
      </w:r>
    </w:p>
    <w:p>
      <w:pPr>
        <w:pStyle w:val="BookText"/>
      </w:pPr>
      <w:r>
        <w:rPr>
          <w:rFonts w:ascii="IRNazanin" w:hAnsi="IRNazanin" w:eastAsia="IRNazanin" w:cs="IRNazanin"/>
          <w:lang w:bidi="fa-IR"/>
          <w:color w:val="111111"/>
          <w:sz w:val="28"/>
          <w:szCs w:val="28"/>
          <w:rtl/>
        </w:rPr>
        <w:t xml:space="preserve">12 شرح احادیث طینت، ج9،</w:t>
      </w:r>
    </w:p>
    <w:p>
      <w:pPr>
        <w:pStyle w:val="BookText"/>
      </w:pPr>
      <w:r>
        <w:rPr>
          <w:rFonts w:ascii="IRNazanin" w:hAnsi="IRNazanin" w:eastAsia="IRNazanin" w:cs="IRNazanin"/>
          <w:lang w:bidi="fa-IR"/>
          <w:color w:val="111111"/>
          <w:sz w:val="28"/>
          <w:szCs w:val="28"/>
          <w:rtl/>
        </w:rPr>
        <w:t xml:space="preserve">ص 160 .</w:t>
      </w:r>
    </w:p>
    <w:p>
      <w:pPr>
        <w:pStyle w:val="BookText"/>
      </w:pPr>
      <w:r>
        <w:rPr>
          <w:rFonts w:ascii="Amiri" w:hAnsi="Amiri" w:eastAsia="Amiri" w:cs="Amiri"/>
          <w:lang w:bidi="ar-SA"/>
          <w:color w:val="111111"/>
          <w:sz w:val="28"/>
          <w:szCs w:val="28"/>
          <w:rtl/>
        </w:rPr>
        <w:t xml:space="preserve">13 .عقايد النساء = كلثوم ننه، ج11،</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Amiri" w:hAnsi="Amiri" w:eastAsia="Amiri" w:cs="Amiri"/>
          <w:lang w:bidi="ar-SA"/>
          <w:color w:val="111111"/>
          <w:sz w:val="28"/>
          <w:szCs w:val="28"/>
          <w:rtl/>
        </w:rPr>
        <w:t xml:space="preserve">14 .الفقه (كتاب في)، ج 12، ص 43.</w:t>
      </w:r>
    </w:p>
    <w:p>
      <w:pPr>
        <w:pStyle w:val="BookText"/>
      </w:pPr>
      <w:r>
        <w:rPr>
          <w:rFonts w:ascii="IRNazanin" w:hAnsi="IRNazanin" w:eastAsia="IRNazanin" w:cs="IRNazanin"/>
          <w:lang w:bidi="fa-IR"/>
          <w:color w:val="111111"/>
          <w:sz w:val="28"/>
          <w:szCs w:val="28"/>
          <w:rtl/>
        </w:rPr>
        <w:t xml:space="preserve">15 .مفتاح الفلاح (ترجمه)، ج 15،</w:t>
      </w:r>
    </w:p>
    <w:p>
      <w:pPr>
        <w:pStyle w:val="BookText"/>
      </w:pPr>
      <w:r>
        <w:rPr>
          <w:rFonts w:ascii="IRNazanin" w:hAnsi="IRNazanin" w:eastAsia="IRNazanin" w:cs="IRNazanin"/>
          <w:lang w:bidi="fa-IR"/>
          <w:color w:val="111111"/>
          <w:sz w:val="28"/>
          <w:szCs w:val="28"/>
          <w:rtl/>
        </w:rPr>
        <w:t xml:space="preserve">ص 216 .</w:t>
      </w:r>
    </w:p>
    <w:p>
      <w:pPr>
        <w:pStyle w:val="BookText"/>
      </w:pPr>
      <w:r>
        <w:rPr>
          <w:rFonts w:ascii="Amiri" w:hAnsi="Amiri" w:eastAsia="Amiri" w:cs="Amiri"/>
          <w:lang w:bidi="ar-SA"/>
          <w:color w:val="111111"/>
          <w:sz w:val="28"/>
          <w:szCs w:val="28"/>
          <w:rtl/>
        </w:rPr>
        <w:t xml:space="preserve">آقا حسن تهراني -تهراني ، آقاحسن</w:t>
      </w:r>
    </w:p>
    <w:p>
      <w:pPr>
        <w:pStyle w:val="BookText"/>
      </w:pPr>
      <w:r>
        <w:rPr>
          <w:rFonts w:ascii="Amiri" w:hAnsi="Amiri" w:eastAsia="Amiri" w:cs="Amiri"/>
          <w:lang w:bidi="ar-SA"/>
          <w:color w:val="111111"/>
          <w:sz w:val="28"/>
          <w:szCs w:val="28"/>
          <w:rtl/>
        </w:rPr>
        <w:t xml:space="preserve">آقا حسين خلخالي- خلخالي ، حسين بن حسن</w:t>
      </w:r>
    </w:p>
    <w:p>
      <w:pPr>
        <w:pStyle w:val="BookText"/>
      </w:pPr>
      <w:r>
        <w:rPr>
          <w:rFonts w:ascii="IRNazanin" w:hAnsi="IRNazanin" w:eastAsia="IRNazanin" w:cs="IRNazanin"/>
          <w:lang w:bidi="fa-IR"/>
          <w:color w:val="111111"/>
          <w:sz w:val="28"/>
          <w:szCs w:val="28"/>
          <w:rtl/>
        </w:rPr>
        <w:t xml:space="preserve">آقا خان کرماني ، ميرزا -میرزا آقا خان</w:t>
      </w:r>
    </w:p>
    <w:p>
      <w:pPr>
        <w:pStyle w:val="BookText"/>
      </w:pPr>
      <w:r>
        <w:rPr>
          <w:rFonts w:ascii="Amiri" w:hAnsi="Amiri" w:eastAsia="Amiri" w:cs="Amiri"/>
          <w:lang w:bidi="ar-SA"/>
          <w:color w:val="111111"/>
          <w:sz w:val="28"/>
          <w:szCs w:val="28"/>
          <w:rtl/>
        </w:rPr>
        <w:t xml:space="preserve">كرماني ، عبدالحسين</w:t>
      </w:r>
    </w:p>
    <w:p>
      <w:pPr>
        <w:pStyle w:val="Heading2"/>
      </w:pPr>
      <w:bookmarkStart w:id="924" w:name="_Toc26"/>
      <w:r>
        <w:t>آقا ضياء عراقي، 1278 - 1361 ه-</w:t>
      </w:r>
      <w:bookmarkEnd w:id="924"/>
    </w:p>
    <w:p>
      <w:pPr>
        <w:pStyle w:val="BookText"/>
      </w:pPr>
      <w:r>
        <w:rPr>
          <w:rFonts w:ascii="Amiri" w:hAnsi="Amiri" w:eastAsia="Amiri" w:cs="Amiri"/>
          <w:lang w:bidi="ar-SA"/>
          <w:color w:val="111111"/>
          <w:sz w:val="28"/>
          <w:szCs w:val="28"/>
          <w:rtl/>
        </w:rPr>
        <w:t xml:space="preserve">1 .البيع، ج 3، ص 505.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تقريرات الشيخ محمّد كاظم الخراساني، ج4، ص 761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العروة الوثقى، ج 1، ص 229</w:t>
      </w:r>
    </w:p>
    <w:p>
      <w:pPr>
        <w:pStyle w:val="BookText"/>
      </w:pPr>
      <w:r>
        <w:rPr>
          <w:rFonts w:ascii="Amiri" w:hAnsi="Amiri" w:eastAsia="Amiri" w:cs="Amiri"/>
          <w:lang w:bidi="ar-SA"/>
          <w:color w:val="111111"/>
          <w:sz w:val="28"/>
          <w:szCs w:val="28"/>
          <w:rtl/>
        </w:rPr>
        <w:t xml:space="preserve">4 .الطهارة، ج 10، ص 859.</w:t>
      </w:r>
    </w:p>
    <w:p>
      <w:pPr>
        <w:pStyle w:val="BookText"/>
      </w:pPr>
      <w:r>
        <w:rPr>
          <w:rFonts w:ascii="Amiri" w:hAnsi="Amiri" w:eastAsia="Amiri" w:cs="Amiri"/>
          <w:lang w:bidi="ar-SA"/>
          <w:color w:val="111111"/>
          <w:sz w:val="28"/>
          <w:szCs w:val="28"/>
          <w:rtl/>
        </w:rPr>
        <w:t xml:space="preserve">5 .عدم جواز الصلاة فما شك فيه (رسالة في)، ج 11، ص 67.</w:t>
      </w:r>
    </w:p>
    <w:p>
      <w:pPr>
        <w:pStyle w:val="BookText"/>
      </w:pPr>
      <w:r>
        <w:rPr>
          <w:rFonts w:ascii="Amiri" w:hAnsi="Amiri" w:eastAsia="Amiri" w:cs="Amiri"/>
          <w:lang w:bidi="ar-SA"/>
          <w:color w:val="111111"/>
          <w:sz w:val="28"/>
          <w:szCs w:val="28"/>
          <w:rtl/>
        </w:rPr>
        <w:t xml:space="preserve">6 .اللباس المشكوك، ج 13، ص 552.</w:t>
      </w:r>
    </w:p>
    <w:p>
      <w:pPr>
        <w:pStyle w:val="BookText"/>
      </w:pPr>
      <w:r>
        <w:rPr>
          <w:rFonts w:ascii="IRNazanin" w:hAnsi="IRNazanin" w:eastAsia="IRNazanin" w:cs="IRNazanin"/>
          <w:lang w:bidi="fa-IR"/>
          <w:color w:val="111111"/>
          <w:sz w:val="28"/>
          <w:szCs w:val="28"/>
          <w:rtl/>
        </w:rPr>
        <w:t xml:space="preserve">آقا محمّد شیخا -مقبل اصفهاني ، آقا محمّد شيخا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7742_69341"/>
    <w:bookmarkEnd w:id="7"/>
    <w:p>
      <w:pPr>
        <w:pStyle w:val="Heading2"/>
      </w:pPr>
      <w:bookmarkStart w:id="925" w:name="_Toc27"/>
      <w:r>
        <w:t>آقا محمّد علي كرمانشاهي، 1144-1216ه-</w:t>
      </w:r>
      <w:bookmarkEnd w:id="925"/>
    </w:p>
    <w:p>
      <w:pPr>
        <w:pStyle w:val="BookText"/>
      </w:pPr>
      <w:r>
        <w:rPr>
          <w:rFonts w:ascii="Amiri" w:hAnsi="Amiri" w:eastAsia="Amiri" w:cs="Amiri"/>
          <w:lang w:bidi="ar-SA"/>
          <w:color w:val="111111"/>
          <w:sz w:val="28"/>
          <w:szCs w:val="28"/>
          <w:rtl/>
        </w:rPr>
        <w:t xml:space="preserve">1 .حاشية الروضة البهية في شرح اللمعة الدمشقية، ج 5، ص 884.</w:t>
      </w:r>
    </w:p>
    <w:p>
      <w:pPr>
        <w:pStyle w:val="BookText"/>
      </w:pPr>
      <w:r>
        <w:rPr>
          <w:rFonts w:ascii="Amiri" w:hAnsi="Amiri" w:eastAsia="Amiri" w:cs="Amiri"/>
          <w:lang w:bidi="ar-SA"/>
          <w:color w:val="111111"/>
          <w:sz w:val="28"/>
          <w:szCs w:val="28"/>
          <w:rtl/>
        </w:rPr>
        <w:t xml:space="preserve">2 .سنة الهداية لهداية السنة، ج 8،</w:t>
      </w:r>
    </w:p>
    <w:p>
      <w:pPr>
        <w:pStyle w:val="BookText"/>
      </w:pPr>
      <w:r>
        <w:rPr>
          <w:rFonts w:ascii="IRNazanin" w:hAnsi="IRNazanin" w:eastAsia="IRNazanin" w:cs="IRNazanin"/>
          <w:lang w:bidi="fa-IR"/>
          <w:color w:val="111111"/>
          <w:sz w:val="28"/>
          <w:szCs w:val="28"/>
          <w:rtl/>
        </w:rPr>
        <w:t xml:space="preserve">ص 839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صيغ النكاح، ج 10، ص 684.</w:t>
      </w:r>
    </w:p>
    <w:p>
      <w:pPr>
        <w:pStyle w:val="BookText"/>
      </w:pPr>
      <w:r>
        <w:rPr>
          <w:rFonts w:ascii="Amiri" w:hAnsi="Amiri" w:eastAsia="Amiri" w:cs="Amiri"/>
          <w:lang w:bidi="ar-SA"/>
          <w:color w:val="111111"/>
          <w:sz w:val="28"/>
          <w:szCs w:val="28"/>
          <w:rtl/>
        </w:rPr>
        <w:t xml:space="preserve">4 .فتاح المجامع بمفاتيح الشرايع، ج11،</w:t>
      </w:r>
    </w:p>
    <w:p>
      <w:pPr>
        <w:pStyle w:val="BookText"/>
      </w:pPr>
      <w:r>
        <w:rPr>
          <w:rFonts w:ascii="IRNazanin" w:hAnsi="IRNazanin" w:eastAsia="IRNazanin" w:cs="IRNazanin"/>
          <w:lang w:bidi="fa-IR"/>
          <w:color w:val="111111"/>
          <w:sz w:val="28"/>
          <w:szCs w:val="28"/>
          <w:rtl/>
        </w:rPr>
        <w:t xml:space="preserve">ص 589.</w:t>
      </w:r>
    </w:p>
    <w:p>
      <w:pPr>
        <w:pStyle w:val="BookText"/>
      </w:pPr>
      <w:r>
        <w:rPr>
          <w:rFonts w:ascii="Amiri" w:hAnsi="Amiri" w:eastAsia="Amiri" w:cs="Amiri"/>
          <w:lang w:bidi="ar-SA"/>
          <w:color w:val="111111"/>
          <w:sz w:val="28"/>
          <w:szCs w:val="28"/>
          <w:rtl/>
        </w:rPr>
        <w:t xml:space="preserve">5 .الفذالك في شرح المدارك و المسالك</w:t>
      </w:r>
    </w:p>
    <w:p>
      <w:pPr>
        <w:pStyle w:val="BookText"/>
      </w:pPr>
      <w:r>
        <w:rPr>
          <w:rFonts w:ascii="IRNazanin" w:hAnsi="IRNazanin" w:eastAsia="IRNazanin" w:cs="IRNazanin"/>
          <w:lang w:bidi="fa-IR"/>
          <w:color w:val="111111"/>
          <w:sz w:val="28"/>
          <w:szCs w:val="28"/>
          <w:rtl/>
        </w:rPr>
        <w:t xml:space="preserve">ج 11، ص 724 .</w:t>
      </w:r>
    </w:p>
    <w:p>
      <w:pPr>
        <w:pStyle w:val="BookText"/>
      </w:pPr>
      <w:r>
        <w:rPr>
          <w:rFonts w:ascii="IRNazanin" w:hAnsi="IRNazanin" w:eastAsia="IRNazanin" w:cs="IRNazanin"/>
          <w:lang w:bidi="fa-IR"/>
          <w:color w:val="111111"/>
          <w:sz w:val="28"/>
          <w:szCs w:val="28"/>
          <w:rtl/>
        </w:rPr>
        <w:t xml:space="preserve">6 .مقامع الفضل، ج 15، ص 322.</w:t>
      </w:r>
    </w:p>
    <w:p>
      <w:pPr>
        <w:pStyle w:val="Heading2"/>
      </w:pPr>
      <w:bookmarkStart w:id="926" w:name="_Toc28"/>
      <w:r>
        <w:t>آقا نجفي ،</w:t>
      </w:r>
      <w:bookmarkEnd w:id="926"/>
    </w:p>
    <w:p>
      <w:pPr>
        <w:pStyle w:val="BookText"/>
      </w:pPr>
      <w:r>
        <w:rPr>
          <w:rFonts w:ascii="Amiri" w:hAnsi="Amiri" w:eastAsia="Amiri" w:cs="Amiri"/>
          <w:lang w:bidi="ar-SA"/>
          <w:color w:val="111111"/>
          <w:sz w:val="28"/>
          <w:szCs w:val="28"/>
          <w:rtl/>
        </w:rPr>
        <w:t xml:space="preserve">محمّد باقر بن محمّد تقي</w:t>
      </w:r>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IRNazanin" w:hAnsi="IRNazanin" w:eastAsia="IRNazanin" w:cs="IRNazanin"/>
          <w:lang w:bidi="fa-IR"/>
          <w:color w:val="111111"/>
          <w:sz w:val="28"/>
          <w:szCs w:val="28"/>
          <w:rtl/>
        </w:rPr>
        <w:t xml:space="preserve">ابواب الروضات = فهرست روضات</w:t>
      </w:r>
    </w:p>
    <w:p>
      <w:pPr>
        <w:pStyle w:val="BookText"/>
      </w:pPr>
      <w:r>
        <w:rPr>
          <w:rFonts w:ascii="IRNazanin" w:hAnsi="IRNazanin" w:eastAsia="IRNazanin" w:cs="IRNazanin"/>
          <w:lang w:bidi="fa-IR"/>
          <w:color w:val="111111"/>
          <w:sz w:val="28"/>
          <w:szCs w:val="28"/>
          <w:rtl/>
        </w:rPr>
        <w:t xml:space="preserve">الجنات، ج 1، ص 114.</w:t>
      </w:r>
    </w:p>
    <w:p>
      <w:pPr>
        <w:pStyle w:val="Heading2"/>
      </w:pPr>
      <w:bookmarkStart w:id="927" w:name="_Toc29"/>
      <w:r>
        <w:t>آقا نجفي ، محمّد تقي بن محمّد باقر،</w:t>
      </w:r>
      <w:bookmarkEnd w:id="927"/>
    </w:p>
    <w:p>
      <w:pPr>
        <w:pStyle w:val="BookText"/>
      </w:pPr>
      <w:r>
        <w:rPr>
          <w:rFonts w:ascii="IRNazanin" w:hAnsi="IRNazanin" w:eastAsia="IRNazanin" w:cs="IRNazanin"/>
          <w:lang w:bidi="fa-IR"/>
          <w:color w:val="111111"/>
          <w:sz w:val="28"/>
          <w:szCs w:val="28"/>
          <w:rtl/>
        </w:rPr>
        <w:t xml:space="preserve">1262 - 1331 ؟ ه-</w:t>
      </w:r>
    </w:p>
    <w:p>
      <w:pPr>
        <w:pStyle w:val="BookText"/>
      </w:pPr>
      <w:r>
        <w:rPr>
          <w:rFonts w:ascii="IRNazanin" w:hAnsi="IRNazanin" w:eastAsia="IRNazanin" w:cs="IRNazanin"/>
          <w:lang w:bidi="fa-IR"/>
          <w:color w:val="111111"/>
          <w:sz w:val="28"/>
          <w:szCs w:val="28"/>
          <w:rtl/>
        </w:rPr>
        <w:t xml:space="preserve">1 .مجمع الإجازات و منبع الإفادات</w:t>
      </w:r>
    </w:p>
    <w:p>
      <w:pPr>
        <w:pStyle w:val="BookText"/>
      </w:pPr>
      <w:r>
        <w:rPr>
          <w:rFonts w:ascii="IRNazanin" w:hAnsi="IRNazanin" w:eastAsia="IRNazanin" w:cs="IRNazanin"/>
          <w:lang w:bidi="fa-IR"/>
          <w:color w:val="111111"/>
          <w:sz w:val="28"/>
          <w:szCs w:val="28"/>
          <w:rtl/>
        </w:rPr>
        <w:t xml:space="preserve">ج 13، ص 822.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مجمع الانوار، ج13، ص828</w:t>
      </w:r>
    </w:p>
    <w:p>
      <w:pPr>
        <w:pStyle w:val="BookText"/>
      </w:pPr>
      <w:r>
        <w:rPr>
          <w:rFonts w:ascii="Amiri" w:hAnsi="Amiri" w:eastAsia="Amiri" w:cs="Amiri"/>
          <w:lang w:bidi="ar-SA"/>
          <w:color w:val="111111"/>
          <w:sz w:val="28"/>
          <w:szCs w:val="28"/>
          <w:rtl/>
        </w:rPr>
        <w:t xml:space="preserve">آقحصاري ، حسن بن طورخان- كافي آق</w:t>
      </w:r>
    </w:p>
    <w:p>
      <w:pPr>
        <w:pStyle w:val="BookText"/>
      </w:pPr>
      <w:r>
        <w:rPr>
          <w:rFonts w:ascii="Amiri" w:hAnsi="Amiri" w:eastAsia="Amiri" w:cs="Amiri"/>
          <w:lang w:bidi="ar-SA"/>
          <w:color w:val="111111"/>
          <w:sz w:val="28"/>
          <w:szCs w:val="28"/>
          <w:rtl/>
        </w:rPr>
        <w:t xml:space="preserve">حصاري ، حسن بن طرخان</w:t>
      </w:r>
    </w:p>
    <w:p>
      <w:pPr>
        <w:pStyle w:val="Heading2"/>
      </w:pPr>
      <w:bookmarkStart w:id="928" w:name="_Toc30"/>
      <w:r>
        <w:t>آقحصاري رومي ، احمد بن محمّد -</w:t>
      </w:r>
      <w:bookmarkEnd w:id="928"/>
    </w:p>
    <w:p>
      <w:pPr>
        <w:pStyle w:val="BookText"/>
      </w:pPr>
      <w:r>
        <w:rPr>
          <w:rFonts w:ascii="IRNazanin" w:hAnsi="IRNazanin" w:eastAsia="IRNazanin" w:cs="IRNazanin"/>
          <w:lang w:bidi="fa-IR"/>
          <w:color w:val="111111"/>
          <w:sz w:val="28"/>
          <w:szCs w:val="28"/>
          <w:rtl/>
        </w:rPr>
        <w:t xml:space="preserve">1041 ؟ ه-</w:t>
      </w:r>
    </w:p>
    <w:p>
      <w:pPr>
        <w:pStyle w:val="Heading2"/>
      </w:pPr>
      <w:bookmarkStart w:id="929" w:name="_Toc31"/>
      <w:r>
        <w:t>آقحصاري ، لطف الله بن شجاع الدین</w:t>
      </w:r>
      <w:bookmarkEnd w:id="929"/>
    </w:p>
    <w:p>
      <w:pPr>
        <w:pStyle w:val="BookText"/>
      </w:pPr>
      <w:r>
        <w:rPr>
          <w:rFonts w:ascii="IRNazanin" w:hAnsi="IRNazanin" w:eastAsia="IRNazanin" w:cs="IRNazanin"/>
          <w:lang w:bidi="fa-IR"/>
          <w:color w:val="111111"/>
          <w:sz w:val="28"/>
          <w:szCs w:val="28"/>
          <w:rtl/>
        </w:rPr>
        <w:t xml:space="preserve">940ه-</w:t>
      </w:r>
    </w:p>
    <w:p>
      <w:pPr>
        <w:pStyle w:val="BookText"/>
      </w:pPr>
      <w:r>
        <w:rPr>
          <w:rFonts w:ascii="Amiri" w:hAnsi="Amiri" w:eastAsia="Amiri" w:cs="Amiri"/>
          <w:lang w:bidi="ar-SA"/>
          <w:color w:val="111111"/>
          <w:sz w:val="28"/>
          <w:szCs w:val="28"/>
          <w:rtl/>
        </w:rPr>
        <w:t xml:space="preserve">حاشية شرح آداب البحث السمرقندية =</w:t>
      </w:r>
    </w:p>
    <w:p>
      <w:pPr>
        <w:pStyle w:val="BookText"/>
      </w:pPr>
      <w:r>
        <w:rPr>
          <w:rFonts w:ascii="Amiri" w:hAnsi="Amiri" w:eastAsia="Amiri" w:cs="Amiri"/>
          <w:lang w:bidi="ar-SA"/>
          <w:color w:val="111111"/>
          <w:sz w:val="28"/>
          <w:szCs w:val="28"/>
          <w:rtl/>
        </w:rPr>
        <w:t xml:space="preserve">حاشية شرح الشيرواني على آداب</w:t>
      </w:r>
    </w:p>
    <w:p>
      <w:pPr>
        <w:pStyle w:val="BookText"/>
      </w:pPr>
      <w:r>
        <w:rPr>
          <w:rFonts w:ascii="IRNazanin" w:hAnsi="IRNazanin" w:eastAsia="IRNazanin" w:cs="IRNazanin"/>
          <w:lang w:bidi="fa-IR"/>
          <w:color w:val="111111"/>
          <w:sz w:val="28"/>
          <w:szCs w:val="28"/>
          <w:rtl/>
        </w:rPr>
        <w:t xml:space="preserve">البحث، ج 6، ص 14.</w:t>
      </w:r>
    </w:p>
    <w:p>
      <w:pPr>
        <w:pStyle w:val="BookText"/>
      </w:pPr>
      <w:r>
        <w:rPr>
          <w:rFonts w:ascii="Amiri" w:hAnsi="Amiri" w:eastAsia="Amiri" w:cs="Amiri"/>
          <w:lang w:bidi="ar-SA"/>
          <w:color w:val="111111"/>
          <w:sz w:val="28"/>
          <w:szCs w:val="28"/>
          <w:rtl/>
        </w:rPr>
        <w:t xml:space="preserve">آق حصاري، محمّد بن بدر الدين- منشي</w:t>
      </w:r>
    </w:p>
    <w:p>
      <w:pPr>
        <w:pStyle w:val="BookText"/>
      </w:pPr>
      <w:r>
        <w:rPr>
          <w:rFonts w:ascii="Amiri" w:hAnsi="Amiri" w:eastAsia="Amiri" w:cs="Amiri"/>
          <w:lang w:bidi="ar-SA"/>
          <w:color w:val="111111"/>
          <w:sz w:val="28"/>
          <w:szCs w:val="28"/>
          <w:rtl/>
        </w:rPr>
        <w:t xml:space="preserve">محمّد بن بدر الدين</w:t>
      </w:r>
    </w:p>
    <w:p>
      <w:pPr>
        <w:pStyle w:val="Heading2"/>
      </w:pPr>
      <w:bookmarkStart w:id="930" w:name="_Toc32"/>
      <w:r>
        <w:t>آقسرائي ، سعد بن اسماعيل</w:t>
      </w:r>
      <w:bookmarkEnd w:id="930"/>
    </w:p>
    <w:p>
      <w:pPr>
        <w:pStyle w:val="BookText"/>
      </w:pPr>
      <w:r>
        <w:rPr>
          <w:rFonts w:ascii="IRNazanin" w:hAnsi="IRNazanin" w:eastAsia="IRNazanin" w:cs="IRNazanin"/>
          <w:lang w:bidi="fa-IR"/>
          <w:color w:val="111111"/>
          <w:sz w:val="28"/>
          <w:szCs w:val="28"/>
          <w:rtl/>
        </w:rPr>
        <w:t xml:space="preserve">سياسة الدنيا والدین، ج8، ص868</w:t>
      </w:r>
    </w:p>
    <w:p>
      <w:pPr>
        <w:pStyle w:val="Heading2"/>
      </w:pPr>
      <w:bookmarkStart w:id="931" w:name="_Toc33"/>
      <w:r>
        <w:t>آقسرائي عبد الرحمن بن يوسف، قرن 10ه-</w:t>
      </w:r>
      <w:bookmarkEnd w:id="931"/>
    </w:p>
    <w:p>
      <w:pPr>
        <w:pStyle w:val="BookText"/>
      </w:pPr>
      <w:r>
        <w:rPr>
          <w:rFonts w:ascii="IRNazanin" w:hAnsi="IRNazanin" w:eastAsia="IRNazanin" w:cs="IRNazanin"/>
          <w:lang w:bidi="fa-IR"/>
          <w:color w:val="111111"/>
          <w:sz w:val="28"/>
          <w:szCs w:val="28"/>
          <w:rtl/>
        </w:rPr>
        <w:t xml:space="preserve">عماد الاسلام، ج11، ص281</w:t>
      </w:r>
    </w:p>
    <w:p>
      <w:pPr>
        <w:pStyle w:val="Heading2"/>
      </w:pPr>
      <w:bookmarkStart w:id="932" w:name="_Toc34"/>
      <w:r>
        <w:t>آقسرائي ، محمّد بن محمّد - 771؟ ه-</w:t>
      </w:r>
      <w:bookmarkEnd w:id="932"/>
    </w:p>
    <w:p>
      <w:pPr>
        <w:pStyle w:val="BookText"/>
      </w:pPr>
      <w:r>
        <w:rPr>
          <w:rFonts w:ascii="Amiri" w:hAnsi="Amiri" w:eastAsia="Amiri" w:cs="Amiri"/>
          <w:lang w:bidi="ar-SA"/>
          <w:color w:val="111111"/>
          <w:sz w:val="28"/>
          <w:szCs w:val="28"/>
          <w:rtl/>
        </w:rPr>
        <w:t xml:space="preserve">1 .ايضاح الايضاح - شرح الايضاح في المعاني و البيان، ج3، ص111.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 الموجز، ج6، ص803.</w:t>
      </w:r>
    </w:p>
    <w:p>
      <w:pPr>
        <w:pStyle w:val="BookText"/>
      </w:pPr>
      <w:r>
        <w:rPr>
          <w:rFonts w:ascii="Amiri" w:hAnsi="Amiri" w:eastAsia="Amiri" w:cs="Amiri"/>
          <w:lang w:bidi="ar-SA"/>
          <w:color w:val="111111"/>
          <w:sz w:val="28"/>
          <w:szCs w:val="28"/>
          <w:rtl/>
        </w:rPr>
        <w:t xml:space="preserve">آقسرائي ، محمّد بن محمود ابن جمال</w:t>
      </w:r>
    </w:p>
    <w:p>
      <w:pPr>
        <w:pStyle w:val="BookText"/>
      </w:pPr>
      <w:r>
        <w:rPr>
          <w:rFonts w:ascii="Amiri" w:hAnsi="Amiri" w:eastAsia="Amiri" w:cs="Amiri"/>
          <w:lang w:bidi="ar-SA"/>
          <w:color w:val="111111"/>
          <w:sz w:val="28"/>
          <w:szCs w:val="28"/>
          <w:rtl/>
        </w:rPr>
        <w:t xml:space="preserve">آقسرائي ، محمّد ، محمّد بن محمود</w:t>
      </w:r>
    </w:p>
    <w:p>
      <w:pPr>
        <w:pStyle w:val="BookText"/>
      </w:pPr>
      <w:r>
        <w:rPr>
          <w:rFonts w:ascii="IRNazanin" w:hAnsi="IRNazanin" w:eastAsia="IRNazanin" w:cs="IRNazanin"/>
          <w:lang w:bidi="fa-IR"/>
          <w:color w:val="111111"/>
          <w:sz w:val="28"/>
          <w:szCs w:val="28"/>
          <w:rtl/>
        </w:rPr>
        <w:t xml:space="preserve">آق شمس الدین ، محمّد بن حمزه 729 -</w:t>
      </w:r>
    </w:p>
    <w:p>
      <w:pPr>
        <w:pStyle w:val="BookText"/>
      </w:pPr>
      <w:r>
        <w:rPr>
          <w:rFonts w:ascii="IRNazanin" w:hAnsi="IRNazanin" w:eastAsia="IRNazanin" w:cs="IRNazanin"/>
          <w:lang w:bidi="fa-IR"/>
          <w:color w:val="111111"/>
          <w:sz w:val="28"/>
          <w:szCs w:val="28"/>
          <w:rtl/>
        </w:rPr>
        <w:t xml:space="preserve">بیطار نامه، ج3، ص503</w:t>
      </w:r>
    </w:p>
    <w:p>
      <w:pPr>
        <w:pStyle w:val="BookText"/>
      </w:pPr>
      <w:r>
        <w:rPr>
          <w:rFonts w:ascii="Amiri" w:hAnsi="Amiri" w:eastAsia="Amiri" w:cs="Amiri"/>
          <w:lang w:bidi="ar-SA"/>
          <w:color w:val="111111"/>
          <w:sz w:val="28"/>
          <w:szCs w:val="28"/>
          <w:rtl/>
        </w:rPr>
        <w:t xml:space="preserve">1 شرح الدر اليتيم، ج9، ص 458 .</w:t>
      </w:r>
    </w:p>
    <w:p>
      <w:pPr>
        <w:pStyle w:val="BookText"/>
      </w:pPr>
      <w:r>
        <w:rPr>
          <w:rFonts w:ascii="Amiri" w:hAnsi="Amiri" w:eastAsia="Amiri" w:cs="Amiri"/>
          <w:lang w:bidi="ar-SA"/>
          <w:color w:val="111111"/>
          <w:sz w:val="28"/>
          <w:szCs w:val="28"/>
          <w:rtl/>
        </w:rPr>
        <w:t xml:space="preserve">2 مجالس الابرار و مسالك الاخبار و</w:t>
      </w:r>
    </w:p>
    <w:p>
      <w:pPr>
        <w:pStyle w:val="BookText"/>
      </w:pPr>
      <w:r>
        <w:rPr>
          <w:rFonts w:ascii="Amiri" w:hAnsi="Amiri" w:eastAsia="Amiri" w:cs="Amiri"/>
          <w:lang w:bidi="ar-SA"/>
          <w:color w:val="111111"/>
          <w:sz w:val="28"/>
          <w:szCs w:val="28"/>
          <w:rtl/>
        </w:rPr>
        <w:t xml:space="preserve">محايق البدع و مقامع الاشرار</w:t>
      </w:r>
    </w:p>
    <w:p>
      <w:pPr>
        <w:pStyle w:val="BookText"/>
      </w:pPr>
      <w:r>
        <w:rPr>
          <w:rFonts w:ascii="IRNazanin" w:hAnsi="IRNazanin" w:eastAsia="IRNazanin" w:cs="IRNazanin"/>
          <w:lang w:bidi="fa-IR"/>
          <w:color w:val="111111"/>
          <w:sz w:val="28"/>
          <w:szCs w:val="28"/>
          <w:rtl/>
        </w:rPr>
        <w:t xml:space="preserve">ج 13، ص 786.</w:t>
      </w:r>
    </w:p>
    <w:p>
      <w:pPr>
        <w:pStyle w:val="BookText"/>
      </w:pPr>
      <w:r>
        <w:rPr>
          <w:rFonts w:ascii="Amiri" w:hAnsi="Amiri" w:eastAsia="Amiri" w:cs="Amiri"/>
          <w:lang w:bidi="ar-SA"/>
          <w:color w:val="111111"/>
          <w:sz w:val="28"/>
          <w:szCs w:val="28"/>
          <w:rtl/>
        </w:rPr>
        <w:t xml:space="preserve">اقشهري ، محمّد بن ولي- قير شهري ، محمّد بن ولي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7742_69343"/>
    <w:bookmarkEnd w:id="8"/>
    <w:p>
      <w:pPr>
        <w:pStyle w:val="Heading2"/>
      </w:pPr>
      <w:bookmarkStart w:id="933" w:name="_Toc35"/>
      <w:r>
        <w:t>آقكرماني كفوي ، محمّد بن مصطفى</w:t>
      </w:r>
      <w:bookmarkEnd w:id="933"/>
    </w:p>
    <w:p>
      <w:pPr>
        <w:pStyle w:val="BookText"/>
      </w:pPr>
      <w:r>
        <w:rPr>
          <w:rFonts w:ascii="Amiri" w:hAnsi="Amiri" w:eastAsia="Amiri" w:cs="Amiri"/>
          <w:lang w:bidi="ar-SA"/>
          <w:color w:val="111111"/>
          <w:sz w:val="28"/>
          <w:szCs w:val="28"/>
          <w:rtl/>
        </w:rPr>
        <w:t xml:space="preserve">حميد - 1174 ه-</w:t>
      </w:r>
    </w:p>
    <w:p>
      <w:pPr>
        <w:pStyle w:val="BookText"/>
      </w:pPr>
      <w:r>
        <w:rPr>
          <w:rFonts w:ascii="Amiri" w:hAnsi="Amiri" w:eastAsia="Amiri" w:cs="Amiri"/>
          <w:lang w:bidi="ar-SA"/>
          <w:color w:val="111111"/>
          <w:sz w:val="28"/>
          <w:szCs w:val="28"/>
          <w:rtl/>
        </w:rPr>
        <w:t xml:space="preserve">1 .تعليقات على حاشية الجرجاني على شرح مختصر المنتهي، جع،</w:t>
      </w:r>
    </w:p>
    <w:p>
      <w:pPr>
        <w:pStyle w:val="BookText"/>
      </w:pPr>
      <w:r>
        <w:rPr>
          <w:rFonts w:ascii="IRNazanin" w:hAnsi="IRNazanin" w:eastAsia="IRNazanin" w:cs="IRNazanin"/>
          <w:lang w:bidi="fa-IR"/>
          <w:color w:val="111111"/>
          <w:sz w:val="28"/>
          <w:szCs w:val="28"/>
          <w:rtl/>
        </w:rPr>
        <w:t xml:space="preserve">ص 493 .</w:t>
      </w:r>
    </w:p>
    <w:p>
      <w:pPr>
        <w:pStyle w:val="BookText"/>
      </w:pPr>
      <w:r>
        <w:rPr>
          <w:rFonts w:ascii="Amiri" w:hAnsi="Amiri" w:eastAsia="Amiri" w:cs="Amiri"/>
          <w:lang w:bidi="ar-SA"/>
          <w:color w:val="111111"/>
          <w:sz w:val="28"/>
          <w:szCs w:val="28"/>
          <w:rtl/>
        </w:rPr>
        <w:t xml:space="preserve">2 .حاشية حاشية شرح آداب البحث</w:t>
      </w:r>
    </w:p>
    <w:p>
      <w:pPr>
        <w:pStyle w:val="BookText"/>
      </w:pPr>
      <w:r>
        <w:rPr>
          <w:rFonts w:ascii="Amiri" w:hAnsi="Amiri" w:eastAsia="Amiri" w:cs="Amiri"/>
          <w:lang w:bidi="ar-SA"/>
          <w:color w:val="111111"/>
          <w:sz w:val="28"/>
          <w:szCs w:val="28"/>
          <w:rtl/>
        </w:rPr>
        <w:t xml:space="preserve">العضدية، ج 5، ص 827.</w:t>
      </w:r>
    </w:p>
    <w:p>
      <w:pPr>
        <w:pStyle w:val="BookText"/>
      </w:pPr>
      <w:r>
        <w:rPr>
          <w:rFonts w:ascii="Amiri" w:hAnsi="Amiri" w:eastAsia="Amiri" w:cs="Amiri"/>
          <w:lang w:bidi="ar-SA"/>
          <w:color w:val="111111"/>
          <w:sz w:val="28"/>
          <w:szCs w:val="28"/>
          <w:rtl/>
        </w:rPr>
        <w:t xml:space="preserve">3 .حاشية شرح الحسينية، ج 6، ص 81.</w:t>
      </w:r>
    </w:p>
    <w:p>
      <w:pPr>
        <w:pStyle w:val="BookText"/>
      </w:pPr>
      <w:r>
        <w:rPr>
          <w:rFonts w:ascii="IRNazanin" w:hAnsi="IRNazanin" w:eastAsia="IRNazanin" w:cs="IRNazanin"/>
          <w:lang w:bidi="fa-IR"/>
          <w:color w:val="111111"/>
          <w:sz w:val="28"/>
          <w:szCs w:val="28"/>
          <w:rtl/>
        </w:rPr>
        <w:t xml:space="preserve">آل باش اعیان ، عبدالله بن</w:t>
      </w:r>
    </w:p>
    <w:p>
      <w:pPr>
        <w:pStyle w:val="BookText"/>
      </w:pPr>
      <w:r>
        <w:rPr>
          <w:rFonts w:ascii="Amiri" w:hAnsi="Amiri" w:eastAsia="Amiri" w:cs="Amiri"/>
          <w:lang w:bidi="ar-SA"/>
          <w:color w:val="111111"/>
          <w:sz w:val="28"/>
          <w:szCs w:val="28"/>
          <w:rtl/>
        </w:rPr>
        <w:t xml:space="preserve">4 .شرح ابواب التصريف، ج 9، ص 142.</w:t>
      </w:r>
    </w:p>
    <w:p>
      <w:pPr>
        <w:pStyle w:val="BookText"/>
      </w:pPr>
      <w:r>
        <w:rPr>
          <w:rFonts w:ascii="Amiri" w:hAnsi="Amiri" w:eastAsia="Amiri" w:cs="Amiri"/>
          <w:lang w:bidi="ar-SA"/>
          <w:color w:val="111111"/>
          <w:sz w:val="28"/>
          <w:szCs w:val="28"/>
          <w:rtl/>
        </w:rPr>
        <w:t xml:space="preserve">5 .شرح الامثلة، ج 9، ص 236. 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البناء، ج 9، ص289.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حديث الاربعين مع البركوي،</w:t>
      </w:r>
    </w:p>
    <w:p>
      <w:pPr>
        <w:pStyle w:val="BookText"/>
      </w:pPr>
      <w:r>
        <w:rPr>
          <w:rFonts w:ascii="IRNazanin" w:hAnsi="IRNazanin" w:eastAsia="IRNazanin" w:cs="IRNazanin"/>
          <w:lang w:bidi="fa-IR"/>
          <w:color w:val="111111"/>
          <w:sz w:val="28"/>
          <w:szCs w:val="28"/>
          <w:rtl/>
        </w:rPr>
        <w:t xml:space="preserve">ج 9، ص 382.</w:t>
      </w:r>
    </w:p>
    <w:p>
      <w:pPr>
        <w:pStyle w:val="BookText"/>
      </w:pPr>
      <w:r>
        <w:rPr>
          <w:rFonts w:ascii="Amiri" w:hAnsi="Amiri" w:eastAsia="Amiri" w:cs="Amiri"/>
          <w:lang w:bidi="ar-SA"/>
          <w:color w:val="111111"/>
          <w:sz w:val="28"/>
          <w:szCs w:val="28"/>
          <w:rtl/>
        </w:rPr>
        <w:t xml:space="preserve">8 .شرح رسالة البركوي في «لا اله الا</w:t>
      </w:r>
    </w:p>
    <w:p>
      <w:pPr>
        <w:pStyle w:val="BookText"/>
      </w:pPr>
      <w:r>
        <w:rPr>
          <w:rFonts w:ascii="IRNazanin" w:hAnsi="IRNazanin" w:eastAsia="IRNazanin" w:cs="IRNazanin"/>
          <w:lang w:bidi="fa-IR"/>
          <w:color w:val="111111"/>
          <w:sz w:val="28"/>
          <w:szCs w:val="28"/>
          <w:rtl/>
        </w:rPr>
        <w:t xml:space="preserve">الله»، ج 9، ص 528.</w:t>
      </w:r>
    </w:p>
    <w:p>
      <w:pPr>
        <w:pStyle w:val="BookText"/>
      </w:pPr>
      <w:r>
        <w:rPr>
          <w:rFonts w:ascii="Amiri" w:hAnsi="Amiri" w:eastAsia="Amiri" w:cs="Amiri"/>
          <w:lang w:bidi="ar-SA"/>
          <w:color w:val="111111"/>
          <w:sz w:val="28"/>
          <w:szCs w:val="28"/>
          <w:rtl/>
        </w:rPr>
        <w:t xml:space="preserve">آقويراني ، خليل بن محمّد -قنوي ، خليل</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آل آقا ، احمد بن محمّد-علي بهبهاني ،</w:t>
      </w:r>
    </w:p>
    <w:p>
      <w:pPr>
        <w:pStyle w:val="BookText"/>
      </w:pPr>
      <w:r>
        <w:rPr>
          <w:rFonts w:ascii="Amiri" w:hAnsi="Amiri" w:eastAsia="Amiri" w:cs="Amiri"/>
          <w:lang w:bidi="ar-SA"/>
          <w:color w:val="111111"/>
          <w:sz w:val="28"/>
          <w:szCs w:val="28"/>
          <w:rtl/>
        </w:rPr>
        <w:t xml:space="preserve">احمد بن محمّد علي</w:t>
      </w:r>
    </w:p>
    <w:p>
      <w:pPr>
        <w:pStyle w:val="BookText"/>
      </w:pPr>
      <w:r>
        <w:rPr>
          <w:rFonts w:ascii="IRNazanin" w:hAnsi="IRNazanin" w:eastAsia="IRNazanin" w:cs="IRNazanin"/>
          <w:lang w:bidi="fa-IR"/>
          <w:color w:val="111111"/>
          <w:sz w:val="28"/>
          <w:szCs w:val="28"/>
          <w:rtl/>
        </w:rPr>
        <w:t xml:space="preserve">آل آقا ، محمّد جعفر بن محمّد -</w:t>
      </w:r>
    </w:p>
    <w:p>
      <w:pPr>
        <w:pStyle w:val="BookText"/>
      </w:pPr>
      <w:r>
        <w:rPr>
          <w:rFonts w:ascii="Amiri" w:hAnsi="Amiri" w:eastAsia="Amiri" w:cs="Amiri"/>
          <w:lang w:bidi="ar-SA"/>
          <w:color w:val="111111"/>
          <w:sz w:val="28"/>
          <w:szCs w:val="28"/>
          <w:rtl/>
        </w:rPr>
        <w:t xml:space="preserve">علي بهبهاني ، محمّد جعفر بن محمّد علي</w:t>
      </w:r>
    </w:p>
    <w:p>
      <w:pPr>
        <w:pStyle w:val="Heading2"/>
      </w:pPr>
      <w:bookmarkStart w:id="934" w:name="_Toc36"/>
      <w:r>
        <w:t>آل ابي جامع ، جواد بن علي - 1322 ه- 1315 - 1397ه-</w:t>
      </w:r>
      <w:bookmarkEnd w:id="934"/>
    </w:p>
    <w:p>
      <w:pPr>
        <w:pStyle w:val="BookText"/>
      </w:pPr>
      <w:r>
        <w:rPr>
          <w:rFonts w:ascii="Amiri" w:hAnsi="Amiri" w:eastAsia="Amiri" w:cs="Amiri"/>
          <w:lang w:bidi="ar-SA"/>
          <w:color w:val="111111"/>
          <w:sz w:val="28"/>
          <w:szCs w:val="28"/>
          <w:rtl/>
        </w:rPr>
        <w:t xml:space="preserve">ملحق امل الآمل (في احوال آل ابي</w:t>
      </w:r>
    </w:p>
    <w:p>
      <w:pPr>
        <w:pStyle w:val="BookText"/>
      </w:pPr>
      <w:r>
        <w:rPr>
          <w:rFonts w:ascii="IRNazanin" w:hAnsi="IRNazanin" w:eastAsia="IRNazanin" w:cs="IRNazanin"/>
          <w:lang w:bidi="fa-IR"/>
          <w:color w:val="111111"/>
          <w:sz w:val="28"/>
          <w:szCs w:val="28"/>
          <w:rtl/>
        </w:rPr>
        <w:t xml:space="preserve">جامع)، ج 15، ص 453.</w:t>
      </w:r>
    </w:p>
    <w:p>
      <w:pPr>
        <w:pStyle w:val="Heading2"/>
      </w:pPr>
      <w:bookmarkStart w:id="935" w:name="_Toc37"/>
      <w:r>
        <w:t>آل اسد الله ، محمّد باقر بن حسن</w:t>
      </w:r>
      <w:bookmarkEnd w:id="935"/>
    </w:p>
    <w:p>
      <w:pPr>
        <w:pStyle w:val="BookText"/>
      </w:pPr>
      <w:r>
        <w:rPr>
          <w:rFonts w:ascii="Amiri" w:hAnsi="Amiri" w:eastAsia="Amiri" w:cs="Amiri"/>
          <w:lang w:bidi="ar-SA"/>
          <w:color w:val="111111"/>
          <w:sz w:val="28"/>
          <w:szCs w:val="28"/>
          <w:rtl/>
        </w:rPr>
        <w:t xml:space="preserve">ارشاد العوام إلى معرفة الامام بعد</w:t>
      </w:r>
    </w:p>
    <w:p>
      <w:pPr>
        <w:pStyle w:val="BookText"/>
      </w:pPr>
      <w:r>
        <w:rPr>
          <w:rFonts w:ascii="Amiri" w:hAnsi="Amiri" w:eastAsia="Amiri" w:cs="Amiri"/>
          <w:lang w:bidi="ar-SA"/>
          <w:color w:val="111111"/>
          <w:sz w:val="28"/>
          <w:szCs w:val="28"/>
          <w:rtl/>
        </w:rPr>
        <w:t xml:space="preserve">سيد الانام، ج2، ص36.</w:t>
      </w:r>
    </w:p>
    <w:p>
      <w:pPr>
        <w:pStyle w:val="Heading2"/>
      </w:pPr>
      <w:bookmarkStart w:id="936" w:name="_Toc38"/>
      <w:r>
        <w:t>ألاني ، محمّد بن سعد، قرن 12 ه-</w:t>
      </w:r>
      <w:bookmarkEnd w:id="936"/>
    </w:p>
    <w:p>
      <w:pPr>
        <w:pStyle w:val="BookText"/>
      </w:pPr>
      <w:r>
        <w:rPr>
          <w:rFonts w:ascii="Amiri" w:hAnsi="Amiri" w:eastAsia="Amiri" w:cs="Amiri"/>
          <w:lang w:bidi="ar-SA"/>
          <w:color w:val="111111"/>
          <w:sz w:val="28"/>
          <w:szCs w:val="28"/>
          <w:rtl/>
        </w:rPr>
        <w:t xml:space="preserve">شرح قصيدة البردة، ج 9، ص 853.</w:t>
      </w:r>
    </w:p>
    <w:p>
      <w:pPr>
        <w:pStyle w:val="BookText"/>
      </w:pPr>
      <w:r>
        <w:rPr>
          <w:rFonts w:ascii="Amiri" w:hAnsi="Amiri" w:eastAsia="Amiri" w:cs="Amiri"/>
          <w:lang w:bidi="ar-SA"/>
          <w:color w:val="111111"/>
          <w:sz w:val="28"/>
          <w:szCs w:val="28"/>
          <w:rtl/>
        </w:rPr>
        <w:t xml:space="preserve">عبد الواحد -بصري ، عبدالله بن عبد الواحد</w:t>
      </w:r>
    </w:p>
    <w:p>
      <w:pPr>
        <w:pStyle w:val="Heading2"/>
      </w:pPr>
      <w:bookmarkStart w:id="937" w:name="_Toc39"/>
      <w:r>
        <w:t>آل باش اعیان ، محمّد امين عالي بن</w:t>
      </w:r>
      <w:bookmarkEnd w:id="937"/>
    </w:p>
    <w:p>
      <w:pPr>
        <w:pStyle w:val="BookText"/>
      </w:pPr>
      <w:r>
        <w:rPr>
          <w:rFonts w:ascii="IRNazanin" w:hAnsi="IRNazanin" w:eastAsia="IRNazanin" w:cs="IRNazanin"/>
          <w:lang w:bidi="fa-IR"/>
          <w:color w:val="111111"/>
          <w:sz w:val="28"/>
          <w:szCs w:val="28"/>
          <w:rtl/>
        </w:rPr>
        <w:t xml:space="preserve">عبدالله - 1346 ه-</w:t>
      </w:r>
    </w:p>
    <w:p>
      <w:pPr>
        <w:pStyle w:val="BookText"/>
      </w:pPr>
      <w:r>
        <w:rPr>
          <w:rFonts w:ascii="Amiri" w:hAnsi="Amiri" w:eastAsia="Amiri" w:cs="Amiri"/>
          <w:lang w:bidi="ar-SA"/>
          <w:color w:val="111111"/>
          <w:sz w:val="28"/>
          <w:szCs w:val="28"/>
          <w:rtl/>
        </w:rPr>
        <w:t xml:space="preserve">1 .اسماء مشاهير البصرة، ج 2،</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Amiri" w:hAnsi="Amiri" w:eastAsia="Amiri" w:cs="Amiri"/>
          <w:lang w:bidi="ar-SA"/>
          <w:color w:val="111111"/>
          <w:sz w:val="28"/>
          <w:szCs w:val="28"/>
          <w:rtl/>
        </w:rPr>
        <w:t xml:space="preserve">2 .جولة في ربوع الهند، ج 5، ص 610.</w:t>
      </w:r>
    </w:p>
    <w:p>
      <w:pPr>
        <w:pStyle w:val="Heading2"/>
      </w:pPr>
      <w:bookmarkStart w:id="938" w:name="_Toc40"/>
      <w:r>
        <w:t>آل بحر العلوم ، ابراهيم بن حسين، 1248</w:t>
      </w:r>
      <w:bookmarkEnd w:id="9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1319 ه-</w:t>
      </w:r>
    </w:p>
    <w:p>
      <w:pPr>
        <w:pStyle w:val="BookText"/>
      </w:pPr>
      <w:r>
        <w:rPr>
          <w:rFonts w:ascii="IRNazanin" w:hAnsi="IRNazanin" w:eastAsia="IRNazanin" w:cs="IRNazanin"/>
          <w:lang w:bidi="fa-IR"/>
          <w:color w:val="111111"/>
          <w:sz w:val="28"/>
          <w:szCs w:val="28"/>
          <w:rtl/>
        </w:rPr>
        <w:t xml:space="preserve">دیوان ابراهيم آل بحر العلوم، ج7،</w:t>
      </w:r>
    </w:p>
    <w:p>
      <w:pPr>
        <w:pStyle w:val="BookText"/>
      </w:pPr>
      <w:r>
        <w:rPr>
          <w:rFonts w:ascii="IRNazanin" w:hAnsi="IRNazanin" w:eastAsia="IRNazanin" w:cs="IRNazanin"/>
          <w:lang w:bidi="fa-IR"/>
          <w:color w:val="111111"/>
          <w:sz w:val="28"/>
          <w:szCs w:val="28"/>
          <w:rtl/>
        </w:rPr>
        <w:t xml:space="preserve">ص 510.</w:t>
      </w:r>
    </w:p>
    <w:p>
      <w:pPr>
        <w:pStyle w:val="Heading2"/>
      </w:pPr>
      <w:bookmarkStart w:id="939" w:name="_Toc41"/>
      <w:r>
        <w:t>آل بحر العلوم ، حسن بن ابراهیم 1282 -</w:t>
      </w:r>
      <w:bookmarkEnd w:id="939"/>
    </w:p>
    <w:p>
      <w:pPr>
        <w:pStyle w:val="BookText"/>
      </w:pPr>
      <w:r>
        <w:rPr>
          <w:rFonts w:ascii="Amiri" w:hAnsi="Amiri" w:eastAsia="Amiri" w:cs="Amiri"/>
          <w:lang w:bidi="ar-SA"/>
          <w:color w:val="111111"/>
          <w:sz w:val="28"/>
          <w:szCs w:val="28"/>
          <w:rtl/>
        </w:rPr>
        <w:t xml:space="preserve">1355 ه- آل آقا ، محمود بن محمّد علي بهبهاني ،</w:t>
      </w:r>
    </w:p>
    <w:p>
      <w:pPr>
        <w:pStyle w:val="BookText"/>
      </w:pPr>
      <w:r>
        <w:rPr>
          <w:rFonts w:ascii="Amiri" w:hAnsi="Amiri" w:eastAsia="Amiri" w:cs="Amiri"/>
          <w:lang w:bidi="ar-SA"/>
          <w:color w:val="111111"/>
          <w:sz w:val="28"/>
          <w:szCs w:val="28"/>
          <w:rtl/>
        </w:rPr>
        <w:t xml:space="preserve">محمود بن محمّد علي</w:t>
      </w:r>
    </w:p>
    <w:p>
      <w:pPr>
        <w:pStyle w:val="BookText"/>
      </w:pPr>
      <w:r>
        <w:rPr>
          <w:rFonts w:ascii="Amiri" w:hAnsi="Amiri" w:eastAsia="Amiri" w:cs="Amiri"/>
          <w:lang w:bidi="ar-SA"/>
          <w:color w:val="111111"/>
          <w:sz w:val="28"/>
          <w:szCs w:val="28"/>
          <w:rtl/>
        </w:rPr>
        <w:t xml:space="preserve">التاريخ المنظوم، ج 3، ص 609.</w:t>
      </w:r>
    </w:p>
    <w:p>
      <w:pPr>
        <w:pStyle w:val="Heading2"/>
      </w:pPr>
      <w:bookmarkStart w:id="940" w:name="_Toc42"/>
      <w:r>
        <w:t>آل بحر العلوم ، محمّد صادق بن حسن</w:t>
      </w:r>
      <w:bookmarkEnd w:id="940"/>
    </w:p>
    <w:p>
      <w:pPr>
        <w:pStyle w:val="BookText"/>
      </w:pPr>
      <w:r>
        <w:rPr>
          <w:rFonts w:ascii="Amiri" w:hAnsi="Amiri" w:eastAsia="Amiri" w:cs="Amiri"/>
          <w:lang w:bidi="ar-SA"/>
          <w:color w:val="111111"/>
          <w:sz w:val="28"/>
          <w:szCs w:val="28"/>
          <w:rtl/>
        </w:rPr>
        <w:t xml:space="preserve">1 إجازاتي، ج 1، ص 206.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الأزاهير العطرة = المجموعة</w:t>
      </w:r>
    </w:p>
    <w:p>
      <w:pPr>
        <w:pStyle w:val="BookText"/>
      </w:pPr>
      <w:r>
        <w:rPr>
          <w:rFonts w:ascii="Amiri" w:hAnsi="Amiri" w:eastAsia="Amiri" w:cs="Amiri"/>
          <w:lang w:bidi="ar-SA"/>
          <w:color w:val="111111"/>
          <w:sz w:val="28"/>
          <w:szCs w:val="28"/>
          <w:rtl/>
        </w:rPr>
        <w:t xml:space="preserve">السورية، ج 2، ص 62.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أزهار الرياض، ج 2، ص 65 .</w:t>
      </w:r>
    </w:p>
    <w:p>
      <w:pPr>
        <w:pStyle w:val="BookText"/>
      </w:pPr>
      <w:r>
        <w:rPr>
          <w:rFonts w:ascii="Amiri" w:hAnsi="Amiri" w:eastAsia="Amiri" w:cs="Amiri"/>
          <w:lang w:bidi="ar-SA"/>
          <w:color w:val="111111"/>
          <w:sz w:val="28"/>
          <w:szCs w:val="28"/>
          <w:rtl/>
        </w:rPr>
        <w:t xml:space="preserve">4 .أين حقي، ج 3، ص 162.</w:t>
      </w:r>
    </w:p>
    <w:p>
      <w:pPr>
        <w:pStyle w:val="BookText"/>
      </w:pPr>
      <w:r>
        <w:rPr>
          <w:rFonts w:ascii="IRNazanin" w:hAnsi="IRNazanin" w:eastAsia="IRNazanin" w:cs="IRNazanin"/>
          <w:lang w:bidi="fa-IR"/>
          <w:color w:val="111111"/>
          <w:sz w:val="28"/>
          <w:szCs w:val="28"/>
          <w:rtl/>
        </w:rPr>
        <w:t xml:space="preserve">5.تراجم الشعراء، ج 4، ص 227.</w:t>
      </w:r>
    </w:p>
    <w:p>
      <w:pPr>
        <w:pStyle w:val="BookText"/>
      </w:pPr>
      <w:r>
        <w:rPr>
          <w:rFonts w:ascii="Amiri" w:hAnsi="Amiri" w:eastAsia="Amiri" w:cs="Amiri"/>
          <w:lang w:bidi="ar-SA"/>
          <w:color w:val="111111"/>
          <w:sz w:val="28"/>
          <w:szCs w:val="28"/>
          <w:rtl/>
        </w:rPr>
        <w:t xml:space="preserve">6 .ترجمة السيد محمّد صادق آل</w:t>
      </w:r>
    </w:p>
    <w:p>
      <w:pPr>
        <w:pStyle w:val="BookText"/>
      </w:pPr>
      <w:r>
        <w:rPr>
          <w:rFonts w:ascii="IRNazanin" w:hAnsi="IRNazanin" w:eastAsia="IRNazanin" w:cs="IRNazanin"/>
          <w:lang w:bidi="fa-IR"/>
          <w:color w:val="111111"/>
          <w:sz w:val="28"/>
          <w:szCs w:val="28"/>
          <w:rtl/>
        </w:rPr>
        <w:t xml:space="preserve">بحر العلوم، ج4، ص277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تعليقة على الفوائد الرجالية، ج 4،</w:t>
      </w:r>
    </w:p>
    <w:p>
      <w:pPr>
        <w:pStyle w:val="BookText"/>
      </w:pPr>
      <w:r>
        <w:rPr>
          <w:rFonts w:ascii="IRNazanin" w:hAnsi="IRNazanin" w:eastAsia="IRNazanin" w:cs="IRNazanin"/>
          <w:lang w:bidi="fa-IR"/>
          <w:color w:val="111111"/>
          <w:sz w:val="28"/>
          <w:szCs w:val="28"/>
          <w:rtl/>
        </w:rPr>
        <w:t xml:space="preserve">ص 525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تعليقة على كتاب الإجازات من بحار الأنوار، ج 4، ص526.</w:t>
      </w:r>
    </w:p>
    <w:p>
      <w:pPr>
        <w:pStyle w:val="BookText"/>
      </w:pPr>
      <w:r>
        <w:rPr>
          <w:rFonts w:ascii="Amiri" w:hAnsi="Amiri" w:eastAsia="Amiri" w:cs="Amiri"/>
          <w:lang w:bidi="ar-SA"/>
          <w:color w:val="111111"/>
          <w:sz w:val="28"/>
          <w:szCs w:val="28"/>
          <w:rtl/>
        </w:rPr>
        <w:t xml:space="preserve">9 .تعليقة على كتاب الاستغاثة في بدع</w:t>
      </w:r>
    </w:p>
    <w:p>
      <w:pPr>
        <w:pStyle w:val="BookText"/>
      </w:pPr>
      <w:r>
        <w:rPr>
          <w:rFonts w:ascii="Amiri" w:hAnsi="Amiri" w:eastAsia="Amiri" w:cs="Amiri"/>
          <w:lang w:bidi="ar-SA"/>
          <w:color w:val="111111"/>
          <w:sz w:val="28"/>
          <w:szCs w:val="28"/>
          <w:rtl/>
        </w:rPr>
        <w:t xml:space="preserve">الثلاثة، ج 4، ص 526.</w:t>
      </w:r>
    </w:p>
    <w:p>
      <w:pPr>
        <w:pStyle w:val="BookText"/>
      </w:pPr>
      <w:r>
        <w:rPr>
          <w:rFonts w:ascii="Amiri" w:hAnsi="Amiri" w:eastAsia="Amiri" w:cs="Amiri"/>
          <w:lang w:bidi="ar-SA"/>
          <w:color w:val="111111"/>
          <w:sz w:val="28"/>
          <w:szCs w:val="28"/>
          <w:rtl/>
        </w:rPr>
        <w:t xml:space="preserve">10 .تعليقة على كتاب الحجة على الذاهب إلى تكفير أبي طالب، ج 4،</w:t>
      </w:r>
    </w:p>
    <w:p>
      <w:pPr>
        <w:pStyle w:val="BookText"/>
      </w:pPr>
      <w:r>
        <w:rPr>
          <w:rFonts w:ascii="IRNazanin" w:hAnsi="IRNazanin" w:eastAsia="IRNazanin" w:cs="IRNazanin"/>
          <w:lang w:bidi="fa-IR"/>
          <w:color w:val="111111"/>
          <w:sz w:val="28"/>
          <w:szCs w:val="28"/>
          <w:rtl/>
        </w:rPr>
        <w:t xml:space="preserve">ص 527.</w:t>
      </w:r>
    </w:p>
    <w:p>
      <w:pPr>
        <w:pStyle w:val="BookText"/>
      </w:pPr>
      <w:r>
        <w:rPr>
          <w:rFonts w:ascii="Amiri" w:hAnsi="Amiri" w:eastAsia="Amiri" w:cs="Amiri"/>
          <w:lang w:bidi="ar-SA"/>
          <w:color w:val="111111"/>
          <w:sz w:val="28"/>
          <w:szCs w:val="28"/>
          <w:rtl/>
        </w:rPr>
        <w:t xml:space="preserve">11 .تعليقة على كتاب الذريعة إلى تصانيف الشيعة و تصحيحه، ج4،</w:t>
      </w:r>
    </w:p>
    <w:p>
      <w:pPr>
        <w:pStyle w:val="BookText"/>
      </w:pPr>
      <w:r>
        <w:rPr>
          <w:rFonts w:ascii="IRNazanin" w:hAnsi="IRNazanin" w:eastAsia="IRNazanin" w:cs="IRNazanin"/>
          <w:lang w:bidi="fa-IR"/>
          <w:color w:val="111111"/>
          <w:sz w:val="28"/>
          <w:szCs w:val="28"/>
          <w:rtl/>
        </w:rPr>
        <w:t xml:space="preserve">ص 527.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تعليقة على كتاب الشيعة و فنون</w:t>
      </w:r>
    </w:p>
    <w:p>
      <w:pPr>
        <w:pStyle w:val="BookText"/>
      </w:pPr>
      <w:r>
        <w:rPr>
          <w:rFonts w:ascii="IRNazanin" w:hAnsi="IRNazanin" w:eastAsia="IRNazanin" w:cs="IRNazanin"/>
          <w:lang w:bidi="fa-IR"/>
          <w:color w:val="111111"/>
          <w:sz w:val="28"/>
          <w:szCs w:val="28"/>
          <w:rtl/>
        </w:rPr>
        <w:t xml:space="preserve">الإسلام، ج 4، ص 528.</w:t>
      </w:r>
    </w:p>
    <w:p>
      <w:pPr>
        <w:pStyle w:val="BookText"/>
      </w:pPr>
      <w:r>
        <w:rPr>
          <w:rFonts w:ascii="Amiri" w:hAnsi="Amiri" w:eastAsia="Amiri" w:cs="Amiri"/>
          <w:lang w:bidi="ar-SA"/>
          <w:color w:val="111111"/>
          <w:sz w:val="28"/>
          <w:szCs w:val="28"/>
          <w:rtl/>
        </w:rPr>
        <w:t xml:space="preserve">13 .تعليقة على كتاب الفهرست، ج4،</w:t>
      </w:r>
    </w:p>
    <w:p>
      <w:pPr>
        <w:pStyle w:val="BookText"/>
      </w:pPr>
      <w:r>
        <w:rPr>
          <w:rFonts w:ascii="IRNazanin" w:hAnsi="IRNazanin" w:eastAsia="IRNazanin" w:cs="IRNazanin"/>
          <w:lang w:bidi="fa-IR"/>
          <w:color w:val="111111"/>
          <w:sz w:val="28"/>
          <w:szCs w:val="28"/>
          <w:rtl/>
        </w:rPr>
        <w:t xml:space="preserve">ص 528.</w:t>
      </w:r>
    </w:p>
    <w:p>
      <w:pPr>
        <w:pStyle w:val="BookText"/>
      </w:pPr>
      <w:r>
        <w:rPr>
          <w:rFonts w:ascii="Amiri" w:hAnsi="Amiri" w:eastAsia="Amiri" w:cs="Amiri"/>
          <w:lang w:bidi="ar-SA"/>
          <w:color w:val="111111"/>
          <w:sz w:val="28"/>
          <w:szCs w:val="28"/>
          <w:rtl/>
        </w:rPr>
        <w:t xml:space="preserve">14 .تعليقة على كتاب المكاسب</w:t>
      </w:r>
    </w:p>
    <w:p>
      <w:pPr>
        <w:pStyle w:val="BookText"/>
      </w:pPr>
      <w:r>
        <w:rPr>
          <w:rFonts w:ascii="Amiri" w:hAnsi="Amiri" w:eastAsia="Amiri" w:cs="Amiri"/>
          <w:lang w:bidi="ar-SA"/>
          <w:color w:val="111111"/>
          <w:sz w:val="28"/>
          <w:szCs w:val="28"/>
          <w:rtl/>
        </w:rPr>
        <w:t xml:space="preserve">المحرمة، ج 4، ص 529.</w:t>
      </w:r>
    </w:p>
    <w:p>
      <w:pPr>
        <w:pStyle w:val="BookText"/>
      </w:pPr>
      <w:r>
        <w:rPr>
          <w:rFonts w:ascii="Amiri" w:hAnsi="Amiri" w:eastAsia="Amiri" w:cs="Amiri"/>
          <w:lang w:bidi="ar-SA"/>
          <w:color w:val="111111"/>
          <w:sz w:val="28"/>
          <w:szCs w:val="28"/>
          <w:rtl/>
        </w:rPr>
        <w:t xml:space="preserve">15 .تعليقة على كتاب تاريخ الكوفة ،</w:t>
      </w:r>
    </w:p>
    <w:p>
      <w:pPr>
        <w:pStyle w:val="BookText"/>
      </w:pPr>
      <w:r>
        <w:rPr>
          <w:rFonts w:ascii="IRNazanin" w:hAnsi="IRNazanin" w:eastAsia="IRNazanin" w:cs="IRNazanin"/>
          <w:lang w:bidi="fa-IR"/>
          <w:color w:val="111111"/>
          <w:sz w:val="28"/>
          <w:szCs w:val="28"/>
          <w:rtl/>
        </w:rPr>
        <w:t xml:space="preserve">ج 4، ص 529. 16</w:t>
      </w:r>
    </w:p>
    <w:p>
      <w:pPr>
        <w:pStyle w:val="BookText"/>
      </w:pPr>
      <w:r>
        <w:rPr>
          <w:rFonts w:ascii="Amiri" w:hAnsi="Amiri" w:eastAsia="Amiri" w:cs="Amiri"/>
          <w:lang w:bidi="ar-SA"/>
          <w:color w:val="111111"/>
          <w:sz w:val="28"/>
          <w:szCs w:val="28"/>
          <w:rtl/>
        </w:rPr>
        <w:t xml:space="preserve">16 .تعليقة على كتاب تنقيح المقال ،</w:t>
      </w:r>
    </w:p>
    <w:p>
      <w:pPr>
        <w:pStyle w:val="BookText"/>
      </w:pPr>
      <w:r>
        <w:rPr>
          <w:rFonts w:ascii="IRNazanin" w:hAnsi="IRNazanin" w:eastAsia="IRNazanin" w:cs="IRNazanin"/>
          <w:lang w:bidi="fa-IR"/>
          <w:color w:val="111111"/>
          <w:sz w:val="28"/>
          <w:szCs w:val="28"/>
          <w:rtl/>
        </w:rPr>
        <w:t xml:space="preserve">ج4، ص 529.</w:t>
      </w:r>
    </w:p>
    <w:p>
      <w:pPr>
        <w:pStyle w:val="BookText"/>
      </w:pPr>
      <w:r>
        <w:rPr>
          <w:rFonts w:ascii="Amiri" w:hAnsi="Amiri" w:eastAsia="Amiri" w:cs="Amiri"/>
          <w:lang w:bidi="ar-SA"/>
          <w:color w:val="111111"/>
          <w:sz w:val="28"/>
          <w:szCs w:val="28"/>
          <w:rtl/>
        </w:rPr>
        <w:t xml:space="preserve">17 .تعليقة على كتاب خلاصة الأقوال ،</w:t>
      </w:r>
    </w:p>
    <w:p>
      <w:pPr>
        <w:pStyle w:val="BookText"/>
      </w:pPr>
      <w:r>
        <w:rPr>
          <w:rFonts w:ascii="IRNazanin" w:hAnsi="IRNazanin" w:eastAsia="IRNazanin" w:cs="IRNazanin"/>
          <w:lang w:bidi="fa-IR"/>
          <w:color w:val="111111"/>
          <w:sz w:val="28"/>
          <w:szCs w:val="28"/>
          <w:rtl/>
        </w:rPr>
        <w:t xml:space="preserve">ج 4، ص 530.</w:t>
      </w:r>
    </w:p>
    <w:p>
      <w:pPr>
        <w:pStyle w:val="BookText"/>
      </w:pPr>
      <w:r>
        <w:rPr>
          <w:rFonts w:ascii="Amiri" w:hAnsi="Amiri" w:eastAsia="Amiri" w:cs="Amiri"/>
          <w:lang w:bidi="ar-SA"/>
          <w:color w:val="111111"/>
          <w:sz w:val="28"/>
          <w:szCs w:val="28"/>
          <w:rtl/>
        </w:rPr>
        <w:t xml:space="preserve">18 .تعليقة على كتاب فرائد الأصول ،</w:t>
      </w:r>
    </w:p>
    <w:p>
      <w:pPr>
        <w:pStyle w:val="BookText"/>
      </w:pPr>
      <w:r>
        <w:rPr>
          <w:rFonts w:ascii="IRNazanin" w:hAnsi="IRNazanin" w:eastAsia="IRNazanin" w:cs="IRNazanin"/>
          <w:lang w:bidi="fa-IR"/>
          <w:color w:val="111111"/>
          <w:sz w:val="28"/>
          <w:szCs w:val="28"/>
          <w:rtl/>
        </w:rPr>
        <w:t xml:space="preserve">ج 4، ص 530.</w:t>
      </w:r>
    </w:p>
    <w:p>
      <w:pPr>
        <w:pStyle w:val="BookText"/>
      </w:pPr>
      <w:r>
        <w:rPr>
          <w:rFonts w:ascii="Amiri" w:hAnsi="Amiri" w:eastAsia="Amiri" w:cs="Amiri"/>
          <w:lang w:bidi="ar-SA"/>
          <w:color w:val="111111"/>
          <w:sz w:val="28"/>
          <w:szCs w:val="28"/>
          <w:rtl/>
        </w:rPr>
        <w:t xml:space="preserve">19 .تعليقة على كتاب كفاية الأصول،</w:t>
      </w:r>
    </w:p>
    <w:p>
      <w:pPr>
        <w:pStyle w:val="BookText"/>
      </w:pPr>
      <w:r>
        <w:rPr>
          <w:rFonts w:ascii="IRNazanin" w:hAnsi="IRNazanin" w:eastAsia="IRNazanin" w:cs="IRNazanin"/>
          <w:lang w:bidi="fa-IR"/>
          <w:color w:val="111111"/>
          <w:sz w:val="28"/>
          <w:szCs w:val="28"/>
          <w:rtl/>
        </w:rPr>
        <w:t xml:space="preserve">ج 4، ص 530.</w:t>
      </w:r>
    </w:p>
    <w:p>
      <w:pPr>
        <w:pStyle w:val="BookText"/>
      </w:pPr>
      <w:r>
        <w:rPr>
          <w:rFonts w:ascii="IRNazanin" w:hAnsi="IRNazanin" w:eastAsia="IRNazanin" w:cs="IRNazanin"/>
          <w:lang w:bidi="fa-IR"/>
          <w:color w:val="111111"/>
          <w:sz w:val="28"/>
          <w:szCs w:val="28"/>
          <w:rtl/>
        </w:rPr>
        <w:t xml:space="preserve">آقکرماني - آل بحر العلوم 11</w:t>
      </w:r>
    </w:p>
    <w:p>
      <w:pPr>
        <w:pStyle w:val="BookText"/>
      </w:pPr>
      <w:r>
        <w:rPr>
          <w:rFonts w:ascii="Amiri" w:hAnsi="Amiri" w:eastAsia="Amiri" w:cs="Amiri"/>
          <w:lang w:bidi="ar-SA"/>
          <w:color w:val="111111"/>
          <w:sz w:val="28"/>
          <w:szCs w:val="28"/>
          <w:rtl/>
        </w:rPr>
        <w:t xml:space="preserve">20 .تعليقة على كتاب نقباء البشر في</w:t>
      </w:r>
    </w:p>
    <w:p>
      <w:pPr>
        <w:pStyle w:val="BookText"/>
      </w:pPr>
      <w:r>
        <w:rPr>
          <w:rFonts w:ascii="IRNazanin" w:hAnsi="IRNazanin" w:eastAsia="IRNazanin" w:cs="IRNazanin"/>
          <w:lang w:bidi="fa-IR"/>
          <w:color w:val="111111"/>
          <w:sz w:val="28"/>
          <w:szCs w:val="28"/>
          <w:rtl/>
        </w:rPr>
        <w:t xml:space="preserve">القرن الرابع عشر، ج 4، ص 531.</w:t>
      </w:r>
    </w:p>
    <w:p>
      <w:pPr>
        <w:pStyle w:val="BookText"/>
      </w:pPr>
      <w:r>
        <w:rPr>
          <w:rFonts w:ascii="Amiri" w:hAnsi="Amiri" w:eastAsia="Amiri" w:cs="Amiri"/>
          <w:lang w:bidi="ar-SA"/>
          <w:color w:val="111111"/>
          <w:sz w:val="28"/>
          <w:szCs w:val="28"/>
          <w:rtl/>
        </w:rPr>
        <w:t xml:space="preserve">21 .تعليقة على منظومة الدرة</w:t>
      </w:r>
    </w:p>
    <w:p>
      <w:pPr>
        <w:pStyle w:val="BookText"/>
      </w:pPr>
      <w:r>
        <w:rPr>
          <w:rFonts w:ascii="Amiri" w:hAnsi="Amiri" w:eastAsia="Amiri" w:cs="Amiri"/>
          <w:lang w:bidi="ar-SA"/>
          <w:color w:val="111111"/>
          <w:sz w:val="28"/>
          <w:szCs w:val="28"/>
          <w:rtl/>
        </w:rPr>
        <w:t xml:space="preserve">الغروية، ج4، ص534.</w:t>
      </w:r>
    </w:p>
    <w:p>
      <w:pPr>
        <w:pStyle w:val="BookText"/>
      </w:pPr>
      <w:r>
        <w:rPr>
          <w:rFonts w:ascii="Amiri" w:hAnsi="Amiri" w:eastAsia="Amiri" w:cs="Amiri"/>
          <w:lang w:bidi="ar-SA"/>
          <w:color w:val="111111"/>
          <w:sz w:val="28"/>
          <w:szCs w:val="28"/>
          <w:rtl/>
        </w:rPr>
        <w:t xml:space="preserve">22 .تعليقة واستدراك على كتاب كشف الظنون عن أسامي الكتب و</w:t>
      </w:r>
    </w:p>
    <w:p>
      <w:pPr>
        <w:pStyle w:val="BookText"/>
      </w:pPr>
      <w:r>
        <w:rPr>
          <w:rFonts w:ascii="IRNazanin" w:hAnsi="IRNazanin" w:eastAsia="IRNazanin" w:cs="IRNazanin"/>
          <w:lang w:bidi="fa-IR"/>
          <w:color w:val="111111"/>
          <w:sz w:val="28"/>
          <w:szCs w:val="28"/>
          <w:rtl/>
        </w:rPr>
        <w:t xml:space="preserve">الفنون، ج 4، ص 541.</w:t>
      </w:r>
    </w:p>
    <w:p>
      <w:pPr>
        <w:pStyle w:val="BookText"/>
      </w:pPr>
      <w:r>
        <w:rPr>
          <w:rFonts w:ascii="Amiri" w:hAnsi="Amiri" w:eastAsia="Amiri" w:cs="Amiri"/>
          <w:lang w:bidi="ar-SA"/>
          <w:color w:val="111111"/>
          <w:sz w:val="28"/>
          <w:szCs w:val="28"/>
          <w:rtl/>
        </w:rPr>
        <w:t xml:space="preserve">23 .حديقة الغناء، ج 6، ص 590. 24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الدرر البهية في تراجم علماء</w:t>
      </w:r>
    </w:p>
    <w:p>
      <w:pPr>
        <w:pStyle w:val="BookText"/>
      </w:pPr>
      <w:r>
        <w:rPr>
          <w:rFonts w:ascii="Amiri" w:hAnsi="Amiri" w:eastAsia="Amiri" w:cs="Amiri"/>
          <w:lang w:bidi="ar-SA"/>
          <w:color w:val="111111"/>
          <w:sz w:val="28"/>
          <w:szCs w:val="28"/>
          <w:rtl/>
        </w:rPr>
        <w:t xml:space="preserve">الإمامية، ج 7، ص 285.</w:t>
      </w:r>
    </w:p>
    <w:p>
      <w:pPr>
        <w:pStyle w:val="BookText"/>
      </w:pPr>
      <w:r>
        <w:rPr>
          <w:rFonts w:ascii="Amiri" w:hAnsi="Amiri" w:eastAsia="Amiri" w:cs="Amiri"/>
          <w:lang w:bidi="ar-SA"/>
          <w:color w:val="111111"/>
          <w:sz w:val="28"/>
          <w:szCs w:val="28"/>
          <w:rtl/>
        </w:rPr>
        <w:t xml:space="preserve">25 .الدرر المنثورة، ج 7، ص 316. 26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دليل القضاء الشرعي = أصوله و</w:t>
      </w:r>
    </w:p>
    <w:p>
      <w:pPr>
        <w:pStyle w:val="BookText"/>
      </w:pPr>
      <w:r>
        <w:rPr>
          <w:rFonts w:ascii="IRNazanin" w:hAnsi="IRNazanin" w:eastAsia="IRNazanin" w:cs="IRNazanin"/>
          <w:lang w:bidi="fa-IR"/>
          <w:color w:val="111111"/>
          <w:sz w:val="28"/>
          <w:szCs w:val="28"/>
          <w:rtl/>
        </w:rPr>
        <w:t xml:space="preserve">فروعه، ج7، ص 468.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الرحيق المختوم في ما قيل في آل بحر العلوم من المنظوم، ج8، ص81</w:t>
      </w:r>
    </w:p>
    <w:p>
      <w:pPr>
        <w:pStyle w:val="BookText"/>
      </w:pPr>
      <w:r>
        <w:rPr>
          <w:rFonts w:ascii="Amiri" w:hAnsi="Amiri" w:eastAsia="Amiri" w:cs="Amiri"/>
          <w:lang w:bidi="ar-SA"/>
          <w:color w:val="111111"/>
          <w:sz w:val="28"/>
          <w:szCs w:val="28"/>
          <w:rtl/>
        </w:rPr>
        <w:t xml:space="preserve">28 .الروضة الزاهرة، ج8، ص 433 .</w:t>
      </w:r>
    </w:p>
    <w:p>
      <w:pPr>
        <w:pStyle w:val="BookText"/>
      </w:pPr>
      <w:r>
        <w:rPr>
          <w:rFonts w:ascii="Amiri" w:hAnsi="Amiri" w:eastAsia="Amiri" w:cs="Amiri"/>
          <w:lang w:bidi="ar-SA"/>
          <w:color w:val="111111"/>
          <w:sz w:val="28"/>
          <w:szCs w:val="28"/>
          <w:rtl/>
        </w:rPr>
        <w:t xml:space="preserve">29 .الروضة المبهجة، ج8، ص 451.</w:t>
      </w:r>
    </w:p>
    <w:p>
      <w:pPr>
        <w:pStyle w:val="BookText"/>
      </w:pPr>
      <w:r>
        <w:rPr>
          <w:rFonts w:ascii="Amiri" w:hAnsi="Amiri" w:eastAsia="Amiri" w:cs="Amiri"/>
          <w:lang w:bidi="ar-SA"/>
          <w:color w:val="111111"/>
          <w:sz w:val="28"/>
          <w:szCs w:val="28"/>
          <w:rtl/>
        </w:rPr>
        <w:t xml:space="preserve">30 .الرياض النضرة، ج 8، ص 515.</w:t>
      </w:r>
    </w:p>
    <w:p>
      <w:pPr>
        <w:pStyle w:val="BookText"/>
      </w:pPr>
      <w:r>
        <w:rPr>
          <w:rFonts w:ascii="Amiri" w:hAnsi="Amiri" w:eastAsia="Amiri" w:cs="Amiri"/>
          <w:lang w:bidi="ar-SA"/>
          <w:color w:val="111111"/>
          <w:sz w:val="28"/>
          <w:szCs w:val="28"/>
          <w:rtl/>
        </w:rPr>
        <w:t xml:space="preserve">31 .السلاسل الذهبية، ج8، ص 794.</w:t>
      </w:r>
    </w:p>
    <w:p>
      <w:pPr>
        <w:pStyle w:val="BookText"/>
      </w:pPr>
      <w:r>
        <w:rPr>
          <w:rFonts w:ascii="Amiri" w:hAnsi="Amiri" w:eastAsia="Amiri" w:cs="Amiri"/>
          <w:lang w:bidi="ar-SA"/>
          <w:color w:val="111111"/>
          <w:sz w:val="28"/>
          <w:szCs w:val="28"/>
          <w:rtl/>
        </w:rPr>
        <w:t xml:space="preserve">32 سلاسل الرواة وطرق الإجازات</w:t>
      </w:r>
    </w:p>
    <w:p>
      <w:pPr>
        <w:pStyle w:val="BookText"/>
      </w:pPr>
      <w:r>
        <w:rPr>
          <w:rFonts w:ascii="IRNazanin" w:hAnsi="IRNazanin" w:eastAsia="IRNazanin" w:cs="IRNazanin"/>
          <w:lang w:bidi="fa-IR"/>
          <w:color w:val="111111"/>
          <w:sz w:val="28"/>
          <w:szCs w:val="28"/>
          <w:rtl/>
        </w:rPr>
        <w:t xml:space="preserve">ج 8، ص 795 .</w:t>
      </w:r>
    </w:p>
    <w:p>
      <w:pPr>
        <w:pStyle w:val="BookText"/>
      </w:pPr>
      <w:r>
        <w:rPr>
          <w:rFonts w:ascii="Amiri" w:hAnsi="Amiri" w:eastAsia="Amiri" w:cs="Amiri"/>
          <w:lang w:bidi="ar-SA"/>
          <w:color w:val="111111"/>
          <w:sz w:val="28"/>
          <w:szCs w:val="28"/>
          <w:rtl/>
        </w:rPr>
        <w:t xml:space="preserve">33 .سمير المسافر، ج8، ص837 34</w:t>
      </w:r>
    </w:p>
    <w:p>
      <w:pPr>
        <w:pStyle w:val="BookText"/>
      </w:pPr>
      <w:r>
        <w:rPr>
          <w:rFonts w:ascii="Amiri" w:hAnsi="Amiri" w:eastAsia="Amiri" w:cs="Amiri"/>
          <w:lang w:bidi="ar-SA"/>
          <w:color w:val="111111"/>
          <w:sz w:val="28"/>
          <w:szCs w:val="28"/>
          <w:rtl/>
        </w:rPr>
        <w:t xml:space="preserve">34.الشذور الذهبية، ج 9، ص 91</w:t>
      </w:r>
    </w:p>
    <w:p>
      <w:pPr>
        <w:pStyle w:val="BookText"/>
      </w:pPr>
      <w:r>
        <w:rPr>
          <w:rFonts w:ascii="Amiri" w:hAnsi="Amiri" w:eastAsia="Amiri" w:cs="Amiri"/>
          <w:lang w:bidi="ar-SA"/>
          <w:color w:val="111111"/>
          <w:sz w:val="28"/>
          <w:szCs w:val="28"/>
          <w:rtl/>
        </w:rPr>
        <w:t xml:space="preserve">35 .صكوك الإعلامات و الحجج</w:t>
      </w:r>
    </w:p>
    <w:p>
      <w:pPr>
        <w:pStyle w:val="BookText"/>
      </w:pPr>
      <w:r>
        <w:rPr>
          <w:rFonts w:ascii="Amiri" w:hAnsi="Amiri" w:eastAsia="Amiri" w:cs="Amiri"/>
          <w:lang w:bidi="ar-SA"/>
          <w:color w:val="111111"/>
          <w:sz w:val="28"/>
          <w:szCs w:val="28"/>
          <w:rtl/>
        </w:rPr>
        <w:t xml:space="preserve">الشرعية، ج 10، ص 581.</w:t>
      </w:r>
    </w:p>
    <w:p>
      <w:pPr>
        <w:pStyle w:val="BookText"/>
      </w:pPr>
      <w:r>
        <w:rPr>
          <w:rFonts w:ascii="Amiri" w:hAnsi="Amiri" w:eastAsia="Amiri" w:cs="Amiri"/>
          <w:lang w:bidi="ar-SA"/>
          <w:color w:val="111111"/>
          <w:sz w:val="28"/>
          <w:szCs w:val="28"/>
          <w:rtl/>
        </w:rPr>
        <w:t xml:space="preserve">36 .الصولة العلوية على القصيدة</w:t>
      </w:r>
    </w:p>
    <w:p>
      <w:pPr>
        <w:pStyle w:val="BookText"/>
      </w:pPr>
      <w:r>
        <w:rPr>
          <w:rFonts w:ascii="Amiri" w:hAnsi="Amiri" w:eastAsia="Amiri" w:cs="Amiri"/>
          <w:lang w:bidi="ar-SA"/>
          <w:color w:val="111111"/>
          <w:sz w:val="28"/>
          <w:szCs w:val="28"/>
          <w:rtl/>
        </w:rPr>
        <w:t xml:space="preserve">البغدادية، ج 10، ص 663.</w:t>
      </w:r>
    </w:p>
    <w:p>
      <w:pPr>
        <w:pStyle w:val="BookText"/>
      </w:pPr>
      <w:r>
        <w:rPr>
          <w:rFonts w:ascii="IRNazanin" w:hAnsi="IRNazanin" w:eastAsia="IRNazanin" w:cs="IRNazanin"/>
          <w:lang w:bidi="fa-IR"/>
          <w:color w:val="111111"/>
          <w:sz w:val="28"/>
          <w:szCs w:val="28"/>
          <w:rtl/>
        </w:rPr>
        <w:t xml:space="preserve">37 .فهرس أبواب الروضات، ج 12،</w:t>
      </w:r>
    </w:p>
    <w:p>
      <w:pPr>
        <w:pStyle w:val="BookText"/>
      </w:pPr>
      <w:r>
        <w:rPr>
          <w:rFonts w:ascii="IRNazanin" w:hAnsi="IRNazanin" w:eastAsia="IRNazanin" w:cs="IRNazanin"/>
          <w:lang w:bidi="fa-IR"/>
          <w:color w:val="111111"/>
          <w:sz w:val="28"/>
          <w:szCs w:val="28"/>
          <w:rtl/>
        </w:rPr>
        <w:t xml:space="preserve">ص 142.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الكراريس الإحدي عشرة، ج13،</w:t>
      </w:r>
    </w:p>
    <w:p>
      <w:pPr>
        <w:pStyle w:val="BookText"/>
      </w:pPr>
      <w:r>
        <w:rPr>
          <w:rFonts w:ascii="IRNazanin" w:hAnsi="IRNazanin" w:eastAsia="IRNazanin" w:cs="IRNazanin"/>
          <w:lang w:bidi="fa-IR"/>
          <w:color w:val="111111"/>
          <w:sz w:val="28"/>
          <w:szCs w:val="28"/>
          <w:rtl/>
        </w:rPr>
        <w:t xml:space="preserve">ص 151 .</w:t>
      </w:r>
    </w:p>
    <w:p>
      <w:pPr>
        <w:pStyle w:val="BookText"/>
      </w:pPr>
      <w:r>
        <w:rPr>
          <w:rFonts w:ascii="Amiri" w:hAnsi="Amiri" w:eastAsia="Amiri" w:cs="Amiri"/>
          <w:lang w:bidi="ar-SA"/>
          <w:color w:val="111111"/>
          <w:sz w:val="28"/>
          <w:szCs w:val="28"/>
          <w:rtl/>
        </w:rPr>
        <w:t xml:space="preserve">39 .الكشكول، ج13، ص290.</w:t>
      </w:r>
    </w:p>
    <w:p>
      <w:pPr>
        <w:pStyle w:val="BookText"/>
      </w:pPr>
      <w:r>
        <w:rPr>
          <w:rFonts w:ascii="Amiri" w:hAnsi="Amiri" w:eastAsia="Amiri" w:cs="Amiri"/>
          <w:lang w:bidi="ar-SA"/>
          <w:color w:val="111111"/>
          <w:sz w:val="28"/>
          <w:szCs w:val="28"/>
          <w:rtl/>
        </w:rPr>
        <w:t xml:space="preserve">40 .اللآلي المنظومة، ج13، ص 523.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7742_69347"/>
    <w:bookmarkEnd w:id="9"/>
    <w:p>
      <w:pPr>
        <w:pStyle w:val="BookText"/>
      </w:pPr>
      <w:r>
        <w:rPr>
          <w:rFonts w:ascii="Amiri" w:hAnsi="Amiri" w:eastAsia="Amiri" w:cs="Amiri"/>
          <w:lang w:bidi="ar-SA"/>
          <w:color w:val="111111"/>
          <w:sz w:val="28"/>
          <w:szCs w:val="28"/>
          <w:rtl/>
        </w:rPr>
        <w:t xml:space="preserve">41 .لمحة عن مؤلفات الشيخ الطوسي</w:t>
      </w:r>
    </w:p>
    <w:p>
      <w:pPr>
        <w:pStyle w:val="BookText"/>
      </w:pPr>
      <w:r>
        <w:rPr>
          <w:rFonts w:ascii="IRNazanin" w:hAnsi="IRNazanin" w:eastAsia="IRNazanin" w:cs="IRNazanin"/>
          <w:lang w:bidi="fa-IR"/>
          <w:color w:val="111111"/>
          <w:sz w:val="28"/>
          <w:szCs w:val="28"/>
          <w:rtl/>
        </w:rPr>
        <w:t xml:space="preserve">ج 13، ص 610.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اللؤلؤ المنظوم في نسب آل</w:t>
      </w:r>
    </w:p>
    <w:p>
      <w:pPr>
        <w:pStyle w:val="BookText"/>
      </w:pPr>
      <w:r>
        <w:rPr>
          <w:rFonts w:ascii="IRNazanin" w:hAnsi="IRNazanin" w:eastAsia="IRNazanin" w:cs="IRNazanin"/>
          <w:lang w:bidi="fa-IR"/>
          <w:color w:val="111111"/>
          <w:sz w:val="28"/>
          <w:szCs w:val="28"/>
          <w:rtl/>
        </w:rPr>
        <w:t xml:space="preserve">بحر العلوم، ج13، ص538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المجموع الرائق، ج 14، ص 64.</w:t>
      </w:r>
    </w:p>
    <w:p>
      <w:pPr>
        <w:pStyle w:val="BookText"/>
      </w:pPr>
      <w:r>
        <w:rPr>
          <w:rFonts w:ascii="Amiri" w:hAnsi="Amiri" w:eastAsia="Amiri" w:cs="Amiri"/>
          <w:lang w:bidi="ar-SA"/>
          <w:color w:val="111111"/>
          <w:sz w:val="28"/>
          <w:szCs w:val="28"/>
          <w:rtl/>
        </w:rPr>
        <w:t xml:space="preserve">44 .مجموعة فوائد، ج 14، ص 46.</w:t>
      </w:r>
    </w:p>
    <w:p>
      <w:pPr>
        <w:pStyle w:val="BookText"/>
      </w:pPr>
      <w:r>
        <w:rPr>
          <w:rFonts w:ascii="Amiri" w:hAnsi="Amiri" w:eastAsia="Amiri" w:cs="Amiri"/>
          <w:lang w:bidi="ar-SA"/>
          <w:color w:val="111111"/>
          <w:sz w:val="28"/>
          <w:szCs w:val="28"/>
          <w:rtl/>
        </w:rPr>
        <w:t xml:space="preserve">45 .وفيات الأعلام، ج16، ص 851.</w:t>
      </w:r>
    </w:p>
    <w:p>
      <w:pPr>
        <w:pStyle w:val="Heading2"/>
      </w:pPr>
      <w:bookmarkStart w:id="941" w:name="_Toc43"/>
      <w:r>
        <w:t>آلتي برمق محمّد بن محمّد - 1033 ه-</w:t>
      </w:r>
      <w:bookmarkEnd w:id="941"/>
    </w:p>
    <w:p>
      <w:pPr>
        <w:pStyle w:val="BookText"/>
      </w:pPr>
      <w:r>
        <w:rPr>
          <w:rFonts w:ascii="Amiri" w:hAnsi="Amiri" w:eastAsia="Amiri" w:cs="Amiri"/>
          <w:lang w:bidi="ar-SA"/>
          <w:color w:val="111111"/>
          <w:sz w:val="28"/>
          <w:szCs w:val="28"/>
          <w:rtl/>
        </w:rPr>
        <w:t xml:space="preserve">الاربعون حديثا و شرحها، ج1،</w:t>
      </w:r>
    </w:p>
    <w:p>
      <w:pPr>
        <w:pStyle w:val="BookText"/>
      </w:pPr>
      <w:r>
        <w:rPr>
          <w:rFonts w:ascii="IRNazanin" w:hAnsi="IRNazanin" w:eastAsia="IRNazanin" w:cs="IRNazanin"/>
          <w:lang w:bidi="fa-IR"/>
          <w:color w:val="111111"/>
          <w:sz w:val="28"/>
          <w:szCs w:val="28"/>
          <w:rtl/>
        </w:rPr>
        <w:t xml:space="preserve">ص 734.</w:t>
      </w:r>
    </w:p>
    <w:p>
      <w:pPr>
        <w:pStyle w:val="Heading2"/>
      </w:pPr>
      <w:bookmarkStart w:id="942" w:name="_Toc44"/>
      <w:r>
        <w:t>آل جمال الدين ، ميرزا عناية الله</w:t>
      </w:r>
      <w:bookmarkEnd w:id="942"/>
    </w:p>
    <w:p>
      <w:pPr>
        <w:pStyle w:val="BookText"/>
      </w:pPr>
      <w:r>
        <w:rPr>
          <w:rFonts w:ascii="Amiri" w:hAnsi="Amiri" w:eastAsia="Amiri" w:cs="Amiri"/>
          <w:lang w:bidi="ar-SA"/>
          <w:color w:val="111111"/>
          <w:sz w:val="28"/>
          <w:szCs w:val="28"/>
          <w:rtl/>
        </w:rPr>
        <w:t xml:space="preserve">الدرة الفاخرة، ج 7، ص 248.</w:t>
      </w:r>
    </w:p>
    <w:p>
      <w:pPr>
        <w:pStyle w:val="BookText"/>
      </w:pPr>
      <w:r>
        <w:rPr>
          <w:rFonts w:ascii="Amiri" w:hAnsi="Amiri" w:eastAsia="Amiri" w:cs="Amiri"/>
          <w:lang w:bidi="ar-SA"/>
          <w:color w:val="111111"/>
          <w:sz w:val="28"/>
          <w:szCs w:val="28"/>
          <w:rtl/>
        </w:rPr>
        <w:t xml:space="preserve">آل حسيني ، حسين بن مطهر - جزايري</w:t>
      </w:r>
    </w:p>
    <w:p>
      <w:pPr>
        <w:pStyle w:val="BookText"/>
      </w:pPr>
      <w:r>
        <w:rPr>
          <w:rFonts w:ascii="Amiri" w:hAnsi="Amiri" w:eastAsia="Amiri" w:cs="Amiri"/>
          <w:lang w:bidi="ar-SA"/>
          <w:color w:val="111111"/>
          <w:sz w:val="28"/>
          <w:szCs w:val="28"/>
          <w:rtl/>
        </w:rPr>
        <w:t xml:space="preserve">آل حسيني ، حسين بن مطهر</w:t>
      </w:r>
    </w:p>
    <w:p>
      <w:pPr>
        <w:pStyle w:val="BookText"/>
      </w:pPr>
      <w:r>
        <w:rPr>
          <w:rFonts w:ascii="Amiri" w:hAnsi="Amiri" w:eastAsia="Amiri" w:cs="Amiri"/>
          <w:lang w:bidi="ar-SA"/>
          <w:color w:val="111111"/>
          <w:sz w:val="28"/>
          <w:szCs w:val="28"/>
          <w:rtl/>
        </w:rPr>
        <w:t xml:space="preserve">آل خدام ، خضر بن شلال عفكاوي ، خضر</w:t>
      </w:r>
    </w:p>
    <w:p>
      <w:pPr>
        <w:pStyle w:val="BookText"/>
      </w:pPr>
      <w:r>
        <w:rPr>
          <w:rFonts w:ascii="Amiri" w:hAnsi="Amiri" w:eastAsia="Amiri" w:cs="Amiri"/>
          <w:lang w:bidi="ar-SA"/>
          <w:color w:val="111111"/>
          <w:sz w:val="28"/>
          <w:szCs w:val="28"/>
          <w:rtl/>
        </w:rPr>
        <w:t xml:space="preserve">آل شيخ راضي ، شبيب جزائري ماجدي ،</w:t>
      </w:r>
    </w:p>
    <w:p>
      <w:pPr>
        <w:pStyle w:val="BookText"/>
      </w:pPr>
      <w:r>
        <w:rPr>
          <w:rFonts w:ascii="IRNazanin" w:hAnsi="IRNazanin" w:eastAsia="IRNazanin" w:cs="IRNazanin"/>
          <w:lang w:bidi="fa-IR"/>
          <w:color w:val="111111"/>
          <w:sz w:val="28"/>
          <w:szCs w:val="28"/>
          <w:rtl/>
        </w:rPr>
        <w:t xml:space="preserve">بن شلال</w:t>
      </w:r>
    </w:p>
    <w:p>
      <w:pPr>
        <w:pStyle w:val="BookText"/>
      </w:pPr>
      <w:r>
        <w:rPr>
          <w:rFonts w:ascii="Amiri" w:hAnsi="Amiri" w:eastAsia="Amiri" w:cs="Amiri"/>
          <w:lang w:bidi="ar-SA"/>
          <w:color w:val="111111"/>
          <w:sz w:val="28"/>
          <w:szCs w:val="28"/>
          <w:rtl/>
        </w:rPr>
        <w:t xml:space="preserve">آل دراج ، مصطفى بن حسين موسوي</w:t>
      </w:r>
    </w:p>
    <w:p>
      <w:pPr>
        <w:pStyle w:val="BookText"/>
      </w:pPr>
      <w:r>
        <w:rPr>
          <w:rFonts w:ascii="Amiri" w:hAnsi="Amiri" w:eastAsia="Amiri" w:cs="Amiri"/>
          <w:lang w:bidi="ar-SA"/>
          <w:color w:val="111111"/>
          <w:sz w:val="28"/>
          <w:szCs w:val="28"/>
          <w:rtl/>
        </w:rPr>
        <w:t xml:space="preserve">دراج ، مصطفى بن حسين</w:t>
      </w:r>
    </w:p>
    <w:p>
      <w:pPr>
        <w:pStyle w:val="Heading2"/>
      </w:pPr>
      <w:bookmarkStart w:id="943" w:name="_Toc45"/>
      <w:r>
        <w:t>آل راضي نجفي ، جعفر بن عبدالحسن</w:t>
      </w:r>
      <w:bookmarkEnd w:id="943"/>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آل سميح ، عبدالله بن فارس - ابن آل</w:t>
      </w:r>
    </w:p>
    <w:p>
      <w:pPr>
        <w:pStyle w:val="BookText"/>
      </w:pPr>
      <w:r>
        <w:rPr>
          <w:rFonts w:ascii="Amiri" w:hAnsi="Amiri" w:eastAsia="Amiri" w:cs="Amiri"/>
          <w:lang w:bidi="ar-SA"/>
          <w:color w:val="111111"/>
          <w:sz w:val="28"/>
          <w:szCs w:val="28"/>
          <w:rtl/>
        </w:rPr>
        <w:t xml:space="preserve">سميح ، عبدالله بن فارس</w:t>
      </w:r>
    </w:p>
    <w:p>
      <w:pPr>
        <w:pStyle w:val="Heading2"/>
      </w:pPr>
      <w:bookmarkStart w:id="944" w:name="_Toc46"/>
      <w:r>
        <w:t>آل سميسم محمّد حسين . منهاج المتقين، ج 15، ص 777</w:t>
      </w:r>
      <w:bookmarkEnd w:id="944"/>
    </w:p>
    <w:p>
      <w:pPr>
        <w:pStyle w:val="Heading2"/>
      </w:pPr>
      <w:bookmarkStart w:id="945" w:name="_Toc47"/>
      <w:r>
        <w:t>آل سید فیاض ، محسن بن حسن ارشاد الغافلين في اخبار الائمة</w:t>
      </w:r>
      <w:bookmarkEnd w:id="945"/>
    </w:p>
    <w:p>
      <w:pPr>
        <w:pStyle w:val="BookText"/>
      </w:pPr>
      <w:r>
        <w:rPr>
          <w:rFonts w:ascii="Amiri" w:hAnsi="Amiri" w:eastAsia="Amiri" w:cs="Amiri"/>
          <w:lang w:bidi="ar-SA"/>
          <w:color w:val="111111"/>
          <w:sz w:val="28"/>
          <w:szCs w:val="28"/>
          <w:rtl/>
        </w:rPr>
        <w:t xml:space="preserve">الطاهرين، ج2، ص37.</w:t>
      </w:r>
    </w:p>
    <w:p>
      <w:pPr>
        <w:pStyle w:val="BookText"/>
      </w:pPr>
      <w:r>
        <w:rPr>
          <w:rFonts w:ascii="Amiri" w:hAnsi="Amiri" w:eastAsia="Amiri" w:cs="Amiri"/>
          <w:lang w:bidi="ar-SA"/>
          <w:color w:val="111111"/>
          <w:sz w:val="28"/>
          <w:szCs w:val="28"/>
          <w:rtl/>
        </w:rPr>
        <w:t xml:space="preserve">آل شهاب ، ياسين بن حمزه قرن 11 ه-</w:t>
      </w:r>
    </w:p>
    <w:p>
      <w:pPr>
        <w:pStyle w:val="BookText"/>
      </w:pPr>
      <w:r>
        <w:rPr>
          <w:rFonts w:ascii="Amiri" w:hAnsi="Amiri" w:eastAsia="Amiri" w:cs="Amiri"/>
          <w:lang w:bidi="ar-SA"/>
          <w:color w:val="111111"/>
          <w:sz w:val="28"/>
          <w:szCs w:val="28"/>
          <w:rtl/>
        </w:rPr>
        <w:t xml:space="preserve">1 .تاريخ البصرة (منظومة في)، ج3،</w:t>
      </w:r>
    </w:p>
    <w:p>
      <w:pPr>
        <w:pStyle w:val="BookText"/>
      </w:pPr>
      <w:r>
        <w:rPr>
          <w:rFonts w:ascii="IRNazanin" w:hAnsi="IRNazanin" w:eastAsia="IRNazanin" w:cs="IRNazanin"/>
          <w:lang w:bidi="fa-IR"/>
          <w:color w:val="111111"/>
          <w:sz w:val="28"/>
          <w:szCs w:val="28"/>
          <w:rtl/>
        </w:rPr>
        <w:t xml:space="preserve">ص 560.</w:t>
      </w:r>
    </w:p>
    <w:p>
      <w:pPr>
        <w:pStyle w:val="BookText"/>
      </w:pPr>
      <w:r>
        <w:rPr>
          <w:rFonts w:ascii="Amiri" w:hAnsi="Amiri" w:eastAsia="Amiri" w:cs="Amiri"/>
          <w:lang w:bidi="ar-SA"/>
          <w:color w:val="111111"/>
          <w:sz w:val="28"/>
          <w:szCs w:val="28"/>
          <w:rtl/>
        </w:rPr>
        <w:t xml:space="preserve">2 .تفسير سورة الكوثر، ج 4، ص 640.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العروض (منظومة في)، ج 11، ص 97.</w:t>
      </w:r>
    </w:p>
    <w:p>
      <w:pPr>
        <w:pStyle w:val="BookText"/>
      </w:pPr>
      <w:r>
        <w:rPr>
          <w:rFonts w:ascii="Amiri" w:hAnsi="Amiri" w:eastAsia="Amiri" w:cs="Amiri"/>
          <w:lang w:bidi="ar-SA"/>
          <w:color w:val="111111"/>
          <w:sz w:val="28"/>
          <w:szCs w:val="28"/>
          <w:rtl/>
        </w:rPr>
        <w:t xml:space="preserve">4 فضائل القرآن الكريم، ج 12، ص17.</w:t>
      </w:r>
    </w:p>
    <w:p>
      <w:pPr>
        <w:pStyle w:val="BookText"/>
      </w:pPr>
      <w:r>
        <w:rPr>
          <w:rFonts w:ascii="Amiri" w:hAnsi="Amiri" w:eastAsia="Amiri" w:cs="Amiri"/>
          <w:lang w:bidi="ar-SA"/>
          <w:color w:val="111111"/>
          <w:sz w:val="28"/>
          <w:szCs w:val="28"/>
          <w:rtl/>
        </w:rPr>
        <w:t xml:space="preserve">المباني الجعفرية، ج13، ص728.</w:t>
      </w:r>
    </w:p>
    <w:p>
      <w:pPr>
        <w:pStyle w:val="BookText"/>
      </w:pPr>
      <w:r>
        <w:rPr>
          <w:rFonts w:ascii="Amiri" w:hAnsi="Amiri" w:eastAsia="Amiri" w:cs="Amiri"/>
          <w:lang w:bidi="ar-SA"/>
          <w:color w:val="111111"/>
          <w:sz w:val="28"/>
          <w:szCs w:val="28"/>
          <w:rtl/>
        </w:rPr>
        <w:t xml:space="preserve">شبيب راضي</w:t>
      </w:r>
    </w:p>
    <w:p>
      <w:pPr>
        <w:pStyle w:val="BookText"/>
      </w:pPr>
      <w:r>
        <w:rPr>
          <w:rFonts w:ascii="Amiri" w:hAnsi="Amiri" w:eastAsia="Amiri" w:cs="Amiri"/>
          <w:lang w:bidi="ar-SA"/>
          <w:color w:val="111111"/>
          <w:sz w:val="28"/>
          <w:szCs w:val="28"/>
          <w:rtl/>
        </w:rPr>
        <w:t xml:space="preserve">به آل رسول ، محمّد شريف - ابن آل رسول</w:t>
      </w:r>
    </w:p>
    <w:p>
      <w:pPr>
        <w:pStyle w:val="BookText"/>
      </w:pPr>
      <w:r>
        <w:rPr>
          <w:rFonts w:ascii="Amiri" w:hAnsi="Amiri" w:eastAsia="Amiri" w:cs="Amiri"/>
          <w:lang w:bidi="ar-SA"/>
          <w:color w:val="111111"/>
          <w:sz w:val="28"/>
          <w:szCs w:val="28"/>
          <w:rtl/>
        </w:rPr>
        <w:t xml:space="preserve">، محمّد شریف</w:t>
      </w:r>
    </w:p>
    <w:p>
      <w:pPr>
        <w:pStyle w:val="BookText"/>
      </w:pPr>
      <w:r>
        <w:rPr>
          <w:rFonts w:ascii="Amiri" w:hAnsi="Amiri" w:eastAsia="Amiri" w:cs="Amiri"/>
          <w:lang w:bidi="ar-SA"/>
          <w:color w:val="111111"/>
          <w:sz w:val="28"/>
          <w:szCs w:val="28"/>
          <w:rtl/>
        </w:rPr>
        <w:t xml:space="preserve">آل سايح ، ابراهيم بن حمد &gt; ابن آل</w:t>
      </w:r>
    </w:p>
    <w:p>
      <w:pPr>
        <w:pStyle w:val="BookText"/>
      </w:pPr>
      <w:r>
        <w:rPr>
          <w:rFonts w:ascii="Amiri" w:hAnsi="Amiri" w:eastAsia="Amiri" w:cs="Amiri"/>
          <w:lang w:bidi="ar-SA"/>
          <w:color w:val="111111"/>
          <w:sz w:val="28"/>
          <w:szCs w:val="28"/>
          <w:rtl/>
        </w:rPr>
        <w:t xml:space="preserve">سايح ، ابراهيم بن حمد</w:t>
      </w:r>
    </w:p>
    <w:p>
      <w:pPr>
        <w:pStyle w:val="Heading2"/>
      </w:pPr>
      <w:bookmarkStart w:id="946" w:name="_Toc48"/>
      <w:r>
        <w:t>آل صاحب الرياض ، محمّد حسن قرن</w:t>
      </w:r>
      <w:bookmarkEnd w:id="946"/>
    </w:p>
    <w:p>
      <w:pPr>
        <w:pStyle w:val="BookText"/>
      </w:pPr>
      <w:r>
        <w:rPr>
          <w:rFonts w:ascii="IRNazanin" w:hAnsi="IRNazanin" w:eastAsia="IRNazanin" w:cs="IRNazanin"/>
          <w:lang w:bidi="fa-IR"/>
          <w:color w:val="111111"/>
          <w:sz w:val="28"/>
          <w:szCs w:val="28"/>
          <w:rtl/>
        </w:rPr>
        <w:t xml:space="preserve">14 ه-</w:t>
      </w:r>
    </w:p>
    <w:p>
      <w:pPr>
        <w:pStyle w:val="BookText"/>
      </w:pPr>
      <w:r>
        <w:rPr>
          <w:rFonts w:ascii="IRNazanin" w:hAnsi="IRNazanin" w:eastAsia="IRNazanin" w:cs="IRNazanin"/>
          <w:lang w:bidi="fa-IR"/>
          <w:color w:val="111111"/>
          <w:sz w:val="28"/>
          <w:szCs w:val="28"/>
          <w:rtl/>
        </w:rPr>
        <w:t xml:space="preserve">اصول الفقه = علم الأصول، ج2،</w:t>
      </w:r>
    </w:p>
    <w:p>
      <w:pPr>
        <w:pStyle w:val="BookText"/>
      </w:pPr>
      <w:r>
        <w:rPr>
          <w:rFonts w:ascii="IRNazanin" w:hAnsi="IRNazanin" w:eastAsia="IRNazanin" w:cs="IRNazanin"/>
          <w:lang w:bidi="fa-IR"/>
          <w:color w:val="111111"/>
          <w:sz w:val="28"/>
          <w:szCs w:val="28"/>
          <w:rtl/>
        </w:rPr>
        <w:t xml:space="preserve">ص 440.</w:t>
      </w:r>
    </w:p>
    <w:p>
      <w:pPr>
        <w:pStyle w:val="BookText"/>
      </w:pPr>
      <w:r>
        <w:rPr>
          <w:rFonts w:ascii="Amiri" w:hAnsi="Amiri" w:eastAsia="Amiri" w:cs="Amiri"/>
          <w:lang w:bidi="ar-SA"/>
          <w:color w:val="111111"/>
          <w:sz w:val="28"/>
          <w:szCs w:val="28"/>
          <w:rtl/>
        </w:rPr>
        <w:t xml:space="preserve">آل صاحب الرياض ، محمّد صادق بن محمّد باقر حجت طباطبائي ، محمّد صادق</w:t>
      </w:r>
    </w:p>
    <w:p>
      <w:pPr>
        <w:pStyle w:val="BookText"/>
      </w:pPr>
      <w:r>
        <w:rPr>
          <w:rFonts w:ascii="Amiri" w:hAnsi="Amiri" w:eastAsia="Amiri" w:cs="Amiri"/>
          <w:lang w:bidi="ar-SA"/>
          <w:color w:val="111111"/>
          <w:sz w:val="28"/>
          <w:szCs w:val="28"/>
          <w:rtl/>
        </w:rPr>
        <w:t xml:space="preserve">بن محمّد باقر آل طعان ستري ، عبدالله بن احمد ستري</w:t>
      </w:r>
    </w:p>
    <w:p>
      <w:pPr>
        <w:pStyle w:val="BookText"/>
      </w:pPr>
      <w:r>
        <w:rPr>
          <w:rFonts w:ascii="Amiri" w:hAnsi="Amiri" w:eastAsia="Amiri" w:cs="Amiri"/>
          <w:lang w:bidi="ar-SA"/>
          <w:color w:val="111111"/>
          <w:sz w:val="28"/>
          <w:szCs w:val="28"/>
          <w:rtl/>
        </w:rPr>
        <w:t xml:space="preserve">بحراني ، عبدالله بن احمد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7742_69349"/>
    <w:bookmarkEnd w:id="10"/>
    <w:p>
      <w:pPr>
        <w:pStyle w:val="Heading2"/>
      </w:pPr>
      <w:bookmarkStart w:id="947" w:name="_Toc49"/>
      <w:r>
        <w:t>آل طعمة ، محمّد هادي بن محمّد مهدي</w:t>
      </w:r>
      <w:bookmarkEnd w:id="947"/>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مجموعة أشعار، ج 14، ص 20.</w:t>
      </w:r>
    </w:p>
    <w:p>
      <w:pPr>
        <w:pStyle w:val="Heading2"/>
      </w:pPr>
      <w:bookmarkStart w:id="948" w:name="_Toc50"/>
      <w:r>
        <w:t>آل طعمه ، احمد بن صالح - 1388 ه- تلخيص الخبر في أحداث القرن الرابع</w:t>
      </w:r>
      <w:bookmarkEnd w:id="948"/>
    </w:p>
    <w:p>
      <w:pPr>
        <w:pStyle w:val="BookText"/>
      </w:pPr>
      <w:r>
        <w:rPr>
          <w:rFonts w:ascii="Amiri" w:hAnsi="Amiri" w:eastAsia="Amiri" w:cs="Amiri"/>
          <w:lang w:bidi="ar-SA"/>
          <w:color w:val="111111"/>
          <w:sz w:val="28"/>
          <w:szCs w:val="28"/>
          <w:rtl/>
        </w:rPr>
        <w:t xml:space="preserve">عشر في التاريخ، ج 4، ص 845</w:t>
      </w:r>
    </w:p>
    <w:p>
      <w:pPr>
        <w:pStyle w:val="BookText"/>
      </w:pPr>
      <w:r>
        <w:rPr>
          <w:rFonts w:ascii="Amiri" w:hAnsi="Amiri" w:eastAsia="Amiri" w:cs="Amiri"/>
          <w:lang w:bidi="ar-SA"/>
          <w:color w:val="111111"/>
          <w:sz w:val="28"/>
          <w:szCs w:val="28"/>
          <w:rtl/>
        </w:rPr>
        <w:t xml:space="preserve">آل طعمه ، عبدالحسين بن علي كليدار-</w:t>
      </w:r>
    </w:p>
    <w:p>
      <w:pPr>
        <w:pStyle w:val="BookText"/>
      </w:pPr>
      <w:r>
        <w:rPr>
          <w:rFonts w:ascii="Amiri" w:hAnsi="Amiri" w:eastAsia="Amiri" w:cs="Amiri"/>
          <w:lang w:bidi="ar-SA"/>
          <w:color w:val="111111"/>
          <w:sz w:val="28"/>
          <w:szCs w:val="28"/>
          <w:rtl/>
        </w:rPr>
        <w:t xml:space="preserve">عبد الحسين بن علي</w:t>
      </w:r>
    </w:p>
    <w:p>
      <w:pPr>
        <w:pStyle w:val="BookText"/>
      </w:pPr>
      <w:r>
        <w:rPr>
          <w:rFonts w:ascii="Amiri" w:hAnsi="Amiri" w:eastAsia="Amiri" w:cs="Amiri"/>
          <w:lang w:bidi="ar-SA"/>
          <w:color w:val="111111"/>
          <w:sz w:val="28"/>
          <w:szCs w:val="28"/>
          <w:rtl/>
        </w:rPr>
        <w:t xml:space="preserve">التي - آل عبدالجبار خطي 13</w:t>
      </w:r>
    </w:p>
    <w:p>
      <w:pPr>
        <w:pStyle w:val="BookText"/>
      </w:pPr>
      <w:r>
        <w:rPr>
          <w:rFonts w:ascii="Amiri" w:hAnsi="Amiri" w:eastAsia="Amiri" w:cs="Amiri"/>
          <w:lang w:bidi="ar-SA"/>
          <w:color w:val="111111"/>
          <w:sz w:val="28"/>
          <w:szCs w:val="28"/>
          <w:rtl/>
        </w:rPr>
        <w:t xml:space="preserve">آل طعمه موسوي ، محمّد مهدي بن</w:t>
      </w:r>
    </w:p>
    <w:p>
      <w:pPr>
        <w:pStyle w:val="Heading2"/>
      </w:pPr>
      <w:bookmarkStart w:id="949" w:name="_Toc51"/>
      <w:r>
        <w:t>آل طعمه ، مجيد بن سلمان - 1393 ه- سليمان - 1324 ه-</w:t>
      </w:r>
      <w:bookmarkEnd w:id="949"/>
    </w:p>
    <w:p>
      <w:pPr>
        <w:pStyle w:val="BookText"/>
      </w:pPr>
      <w:r>
        <w:rPr>
          <w:rFonts w:ascii="Amiri" w:hAnsi="Amiri" w:eastAsia="Amiri" w:cs="Amiri"/>
          <w:lang w:bidi="ar-SA"/>
          <w:color w:val="111111"/>
          <w:sz w:val="28"/>
          <w:szCs w:val="28"/>
          <w:rtl/>
        </w:rPr>
        <w:t xml:space="preserve">مذكرات، ج 14 ، ص 339</w:t>
      </w:r>
    </w:p>
    <w:p>
      <w:pPr>
        <w:pStyle w:val="Heading2"/>
      </w:pPr>
      <w:bookmarkStart w:id="950" w:name="_Toc52"/>
      <w:r>
        <w:t>آل طعمه ، مصطفى بن سعيد -1383ه-</w:t>
      </w:r>
      <w:bookmarkEnd w:id="9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أقوال كونفوشيوس، ج 2، ص 636.</w:t>
      </w:r>
    </w:p>
    <w:p>
      <w:pPr>
        <w:pStyle w:val="BookText"/>
      </w:pPr>
      <w:r>
        <w:rPr>
          <w:rFonts w:ascii="Amiri" w:hAnsi="Amiri" w:eastAsia="Amiri" w:cs="Amiri"/>
          <w:lang w:bidi="ar-SA"/>
          <w:color w:val="111111"/>
          <w:sz w:val="28"/>
          <w:szCs w:val="28"/>
          <w:rtl/>
        </w:rPr>
        <w:t xml:space="preserve">2 .التاريخ الاساسي للولايات المتحدة</w:t>
      </w:r>
    </w:p>
    <w:p>
      <w:pPr>
        <w:pStyle w:val="BookText"/>
      </w:pPr>
      <w:r>
        <w:rPr>
          <w:rFonts w:ascii="Amiri" w:hAnsi="Amiri" w:eastAsia="Amiri" w:cs="Amiri"/>
          <w:lang w:bidi="ar-SA"/>
          <w:color w:val="111111"/>
          <w:sz w:val="28"/>
          <w:szCs w:val="28"/>
          <w:rtl/>
        </w:rPr>
        <w:t xml:space="preserve">الامريكية، ج3، ص 546.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التعاليم الطاوية، ج4، ص 451.</w:t>
      </w:r>
    </w:p>
    <w:p>
      <w:pPr>
        <w:pStyle w:val="BookText"/>
      </w:pPr>
      <w:r>
        <w:rPr>
          <w:rFonts w:ascii="Amiri" w:hAnsi="Amiri" w:eastAsia="Amiri" w:cs="Amiri"/>
          <w:lang w:bidi="ar-SA"/>
          <w:color w:val="111111"/>
          <w:sz w:val="28"/>
          <w:szCs w:val="28"/>
          <w:rtl/>
        </w:rPr>
        <w:t xml:space="preserve">4 .ديانة السيك، ج7، ص 495 .</w:t>
      </w:r>
    </w:p>
    <w:p>
      <w:pPr>
        <w:pStyle w:val="BookText"/>
      </w:pPr>
      <w:r>
        <w:rPr>
          <w:rFonts w:ascii="IRNazanin" w:hAnsi="IRNazanin" w:eastAsia="IRNazanin" w:cs="IRNazanin"/>
          <w:lang w:bidi="fa-IR"/>
          <w:color w:val="111111"/>
          <w:sz w:val="28"/>
          <w:szCs w:val="28"/>
          <w:rtl/>
        </w:rPr>
        <w:t xml:space="preserve">5 .عظماء العلم، ج11، ص 130.</w:t>
      </w:r>
    </w:p>
    <w:p>
      <w:pPr>
        <w:pStyle w:val="BookText"/>
      </w:pPr>
      <w:r>
        <w:rPr>
          <w:rFonts w:ascii="Amiri" w:hAnsi="Amiri" w:eastAsia="Amiri" w:cs="Amiri"/>
          <w:lang w:bidi="ar-SA"/>
          <w:color w:val="111111"/>
          <w:sz w:val="28"/>
          <w:szCs w:val="28"/>
          <w:rtl/>
        </w:rPr>
        <w:t xml:space="preserve">6 .لم نحطم الذرة، ج13، ص 629.</w:t>
      </w:r>
    </w:p>
    <w:p>
      <w:pPr>
        <w:pStyle w:val="BookText"/>
      </w:pPr>
      <w:r>
        <w:rPr>
          <w:rFonts w:ascii="Amiri" w:hAnsi="Amiri" w:eastAsia="Amiri" w:cs="Amiri"/>
          <w:lang w:bidi="ar-SA"/>
          <w:color w:val="111111"/>
          <w:sz w:val="28"/>
          <w:szCs w:val="28"/>
          <w:rtl/>
        </w:rPr>
        <w:t xml:space="preserve">7 .منطق العلوم الطبيعية و العلوم - 1359 ه-</w:t>
      </w:r>
    </w:p>
    <w:p>
      <w:pPr>
        <w:pStyle w:val="BookText"/>
      </w:pPr>
      <w:r>
        <w:rPr>
          <w:rFonts w:ascii="Amiri" w:hAnsi="Amiri" w:eastAsia="Amiri" w:cs="Amiri"/>
          <w:lang w:bidi="ar-SA"/>
          <w:color w:val="111111"/>
          <w:sz w:val="28"/>
          <w:szCs w:val="28"/>
          <w:rtl/>
        </w:rPr>
        <w:t xml:space="preserve">الأنسانية، ج 15، ص710.</w:t>
      </w:r>
    </w:p>
    <w:p>
      <w:pPr>
        <w:pStyle w:val="BookText"/>
      </w:pPr>
      <w:r>
        <w:rPr>
          <w:rFonts w:ascii="Amiri" w:hAnsi="Amiri" w:eastAsia="Amiri" w:cs="Amiri"/>
          <w:lang w:bidi="ar-SA"/>
          <w:color w:val="111111"/>
          <w:sz w:val="28"/>
          <w:szCs w:val="28"/>
          <w:rtl/>
        </w:rPr>
        <w:t xml:space="preserve">الزيارات المخصوصة، ج8، ص 649.</w:t>
      </w:r>
    </w:p>
    <w:p>
      <w:pPr>
        <w:pStyle w:val="Heading2"/>
      </w:pPr>
      <w:bookmarkStart w:id="951" w:name="_Toc53"/>
      <w:r>
        <w:t>آل طعمه موسوي، هادي بن محمّد</w:t>
      </w:r>
      <w:bookmarkEnd w:id="951"/>
    </w:p>
    <w:p>
      <w:pPr>
        <w:pStyle w:val="BookText"/>
      </w:pPr>
      <w:r>
        <w:rPr>
          <w:rFonts w:ascii="Amiri" w:hAnsi="Amiri" w:eastAsia="Amiri" w:cs="Amiri"/>
          <w:lang w:bidi="ar-SA"/>
          <w:color w:val="111111"/>
          <w:sz w:val="28"/>
          <w:szCs w:val="28"/>
          <w:rtl/>
        </w:rPr>
        <w:t xml:space="preserve">مهدي، قرن 14 ه-</w:t>
      </w:r>
    </w:p>
    <w:p>
      <w:pPr>
        <w:pStyle w:val="BookText"/>
      </w:pPr>
      <w:r>
        <w:rPr>
          <w:rFonts w:ascii="IRNazanin" w:hAnsi="IRNazanin" w:eastAsia="IRNazanin" w:cs="IRNazanin"/>
          <w:lang w:bidi="fa-IR"/>
          <w:color w:val="111111"/>
          <w:sz w:val="28"/>
          <w:szCs w:val="28"/>
          <w:rtl/>
        </w:rPr>
        <w:t xml:space="preserve">1 دیوان آل طعمه موسوي، ج7،</w:t>
      </w:r>
    </w:p>
    <w:p>
      <w:pPr>
        <w:pStyle w:val="BookText"/>
      </w:pPr>
      <w:r>
        <w:rPr>
          <w:rFonts w:ascii="IRNazanin" w:hAnsi="IRNazanin" w:eastAsia="IRNazanin" w:cs="IRNazanin"/>
          <w:lang w:bidi="fa-IR"/>
          <w:color w:val="111111"/>
          <w:sz w:val="28"/>
          <w:szCs w:val="28"/>
          <w:rtl/>
        </w:rPr>
        <w:t xml:space="preserve">ص 508.</w:t>
      </w:r>
    </w:p>
    <w:p>
      <w:pPr>
        <w:pStyle w:val="BookText"/>
      </w:pPr>
      <w:r>
        <w:rPr>
          <w:rFonts w:ascii="Amiri" w:hAnsi="Amiri" w:eastAsia="Amiri" w:cs="Amiri"/>
          <w:lang w:bidi="ar-SA"/>
          <w:color w:val="111111"/>
          <w:sz w:val="28"/>
          <w:szCs w:val="28"/>
          <w:rtl/>
        </w:rPr>
        <w:t xml:space="preserve">2 .كنوز المعارف الألهية، ج 13، ص 444</w:t>
      </w:r>
    </w:p>
    <w:p>
      <w:pPr>
        <w:pStyle w:val="BookText"/>
      </w:pPr>
      <w:r>
        <w:rPr>
          <w:rFonts w:ascii="IRNazanin" w:hAnsi="IRNazanin" w:eastAsia="IRNazanin" w:cs="IRNazanin"/>
          <w:lang w:bidi="fa-IR"/>
          <w:color w:val="111111"/>
          <w:sz w:val="28"/>
          <w:szCs w:val="28"/>
          <w:rtl/>
        </w:rPr>
        <w:t xml:space="preserve">منتخب الدعوات، ج 15، ص 604.</w:t>
      </w:r>
    </w:p>
    <w:p>
      <w:pPr>
        <w:pStyle w:val="Heading2"/>
      </w:pPr>
      <w:bookmarkStart w:id="952" w:name="_Toc54"/>
      <w:r>
        <w:t>آل طعمه ، مصطفى بن مجيد 1341 -</w:t>
      </w:r>
      <w:bookmarkEnd w:id="952"/>
    </w:p>
    <w:p>
      <w:pPr>
        <w:pStyle w:val="BookText"/>
      </w:pPr>
      <w:r>
        <w:rPr>
          <w:rFonts w:ascii="IRNazanin" w:hAnsi="IRNazanin" w:eastAsia="IRNazanin" w:cs="IRNazanin"/>
          <w:lang w:bidi="fa-IR"/>
          <w:color w:val="111111"/>
          <w:sz w:val="28"/>
          <w:szCs w:val="28"/>
          <w:rtl/>
        </w:rPr>
        <w:t xml:space="preserve">1431ه-</w:t>
      </w:r>
    </w:p>
    <w:p>
      <w:pPr>
        <w:pStyle w:val="BookText"/>
      </w:pPr>
      <w:r>
        <w:rPr>
          <w:rFonts w:ascii="Amiri" w:hAnsi="Amiri" w:eastAsia="Amiri" w:cs="Amiri"/>
          <w:lang w:bidi="ar-SA"/>
          <w:color w:val="111111"/>
          <w:sz w:val="28"/>
          <w:szCs w:val="28"/>
          <w:rtl/>
        </w:rPr>
        <w:t xml:space="preserve">1 .أيام في الهند، ج3، ص91.</w:t>
      </w:r>
    </w:p>
    <w:p>
      <w:pPr>
        <w:pStyle w:val="BookText"/>
      </w:pPr>
      <w:r>
        <w:rPr>
          <w:rFonts w:ascii="Amiri" w:hAnsi="Amiri" w:eastAsia="Amiri" w:cs="Amiri"/>
          <w:lang w:bidi="ar-SA"/>
          <w:color w:val="111111"/>
          <w:sz w:val="28"/>
          <w:szCs w:val="28"/>
          <w:rtl/>
        </w:rPr>
        <w:t xml:space="preserve">2 .ذكرياتي في سوق الشيوخ، ج7،</w:t>
      </w:r>
    </w:p>
    <w:p>
      <w:pPr>
        <w:pStyle w:val="BookText"/>
      </w:pPr>
      <w:r>
        <w:rPr>
          <w:rFonts w:ascii="IRNazanin" w:hAnsi="IRNazanin" w:eastAsia="IRNazanin" w:cs="IRNazanin"/>
          <w:lang w:bidi="fa-IR"/>
          <w:color w:val="111111"/>
          <w:sz w:val="28"/>
          <w:szCs w:val="28"/>
          <w:rtl/>
        </w:rPr>
        <w:t xml:space="preserve">ص 859.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طرف من الشعر العربي، ج10،</w:t>
      </w:r>
    </w:p>
    <w:p>
      <w:pPr>
        <w:pStyle w:val="BookText"/>
      </w:pPr>
      <w:r>
        <w:rPr>
          <w:rFonts w:ascii="IRNazanin" w:hAnsi="IRNazanin" w:eastAsia="IRNazanin" w:cs="IRNazanin"/>
          <w:lang w:bidi="fa-IR"/>
          <w:color w:val="111111"/>
          <w:sz w:val="28"/>
          <w:szCs w:val="28"/>
          <w:rtl/>
        </w:rPr>
        <w:t xml:space="preserve">ص 814.</w:t>
      </w:r>
    </w:p>
    <w:p>
      <w:pPr>
        <w:pStyle w:val="BookText"/>
      </w:pPr>
      <w:r>
        <w:rPr>
          <w:rFonts w:ascii="IRNazanin" w:hAnsi="IRNazanin" w:eastAsia="IRNazanin" w:cs="IRNazanin"/>
          <w:lang w:bidi="fa-IR"/>
          <w:color w:val="111111"/>
          <w:sz w:val="28"/>
          <w:szCs w:val="28"/>
          <w:rtl/>
        </w:rPr>
        <w:t xml:space="preserve">4.کشکول،ج13،ص291.</w:t>
      </w:r>
    </w:p>
    <w:p>
      <w:pPr>
        <w:pStyle w:val="BookText"/>
      </w:pPr>
      <w:r>
        <w:rPr>
          <w:rFonts w:ascii="IRNazanin" w:hAnsi="IRNazanin" w:eastAsia="IRNazanin" w:cs="IRNazanin"/>
          <w:lang w:bidi="fa-IR"/>
          <w:color w:val="111111"/>
          <w:sz w:val="28"/>
          <w:szCs w:val="28"/>
          <w:rtl/>
        </w:rPr>
        <w:t xml:space="preserve">5.المجالس الفایزیه ،ج13،ص798</w:t>
      </w:r>
    </w:p>
    <w:p>
      <w:pPr>
        <w:pStyle w:val="BookText"/>
      </w:pPr>
      <w:r>
        <w:rPr>
          <w:rFonts w:ascii="IRNazanin" w:hAnsi="IRNazanin" w:eastAsia="IRNazanin" w:cs="IRNazanin"/>
          <w:lang w:bidi="fa-IR"/>
          <w:color w:val="111111"/>
          <w:sz w:val="28"/>
          <w:szCs w:val="28"/>
          <w:rtl/>
        </w:rPr>
        <w:t xml:space="preserve">6.موجز مقتل الامام الحسین(ع)،ج16،ص10.</w:t>
      </w:r>
    </w:p>
    <w:p>
      <w:pPr>
        <w:pStyle w:val="BookText"/>
      </w:pPr>
      <w:r>
        <w:rPr>
          <w:rFonts w:ascii="Amiri" w:hAnsi="Amiri" w:eastAsia="Amiri" w:cs="Amiri"/>
          <w:lang w:bidi="ar-SA"/>
          <w:color w:val="111111"/>
          <w:sz w:val="28"/>
          <w:szCs w:val="28"/>
          <w:rtl/>
        </w:rPr>
        <w:t xml:space="preserve">7.نفحة الزائر، ج 16 ، ص 390.</w:t>
      </w:r>
    </w:p>
    <w:p>
      <w:pPr>
        <w:pStyle w:val="Heading2"/>
      </w:pPr>
      <w:bookmarkStart w:id="953" w:name="_Toc55"/>
      <w:r>
        <w:t>آل طعمه موسوي ، عبد الرزاق بن</w:t>
      </w:r>
      <w:bookmarkEnd w:id="953"/>
    </w:p>
    <w:p>
      <w:pPr>
        <w:pStyle w:val="BookText"/>
      </w:pPr>
      <w:r>
        <w:rPr>
          <w:rFonts w:ascii="IRNazanin" w:hAnsi="IRNazanin" w:eastAsia="IRNazanin" w:cs="IRNazanin"/>
          <w:lang w:bidi="fa-IR"/>
          <w:color w:val="111111"/>
          <w:sz w:val="28"/>
          <w:szCs w:val="28"/>
          <w:rtl/>
        </w:rPr>
        <w:t xml:space="preserve">عبدالوهاب - 1378 ه-</w:t>
      </w:r>
    </w:p>
    <w:p>
      <w:pPr>
        <w:pStyle w:val="BookText"/>
      </w:pPr>
      <w:r>
        <w:rPr>
          <w:rFonts w:ascii="Amiri" w:hAnsi="Amiri" w:eastAsia="Amiri" w:cs="Amiri"/>
          <w:lang w:bidi="ar-SA"/>
          <w:color w:val="111111"/>
          <w:sz w:val="28"/>
          <w:szCs w:val="28"/>
          <w:rtl/>
        </w:rPr>
        <w:t xml:space="preserve">كربلاء في التاريخ، ج13، ص 154.</w:t>
      </w:r>
    </w:p>
    <w:p>
      <w:pPr>
        <w:pStyle w:val="Heading2"/>
      </w:pPr>
      <w:bookmarkStart w:id="954" w:name="_Toc56"/>
      <w:r>
        <w:t>آل عبدالجبار خطي ، محمّد بن عبد علي</w:t>
      </w:r>
      <w:bookmarkEnd w:id="954"/>
    </w:p>
    <w:p>
      <w:pPr>
        <w:pStyle w:val="BookText"/>
      </w:pPr>
      <w:r>
        <w:rPr>
          <w:rFonts w:ascii="IRNazanin" w:hAnsi="IRNazanin" w:eastAsia="IRNazanin" w:cs="IRNazanin"/>
          <w:lang w:bidi="fa-IR"/>
          <w:color w:val="111111"/>
          <w:sz w:val="28"/>
          <w:szCs w:val="28"/>
          <w:rtl/>
        </w:rPr>
        <w:t xml:space="preserve">1259ه-</w:t>
      </w:r>
    </w:p>
    <w:p>
      <w:pPr>
        <w:pStyle w:val="BookText"/>
      </w:pPr>
      <w:r>
        <w:rPr>
          <w:rFonts w:ascii="Amiri" w:hAnsi="Amiri" w:eastAsia="Amiri" w:cs="Amiri"/>
          <w:lang w:bidi="ar-SA"/>
          <w:color w:val="111111"/>
          <w:sz w:val="28"/>
          <w:szCs w:val="28"/>
          <w:rtl/>
        </w:rPr>
        <w:t xml:space="preserve">1 .البارقة الحسينية في رد الشبه</w:t>
      </w:r>
    </w:p>
    <w:p>
      <w:pPr>
        <w:pStyle w:val="BookText"/>
      </w:pPr>
      <w:r>
        <w:rPr>
          <w:rFonts w:ascii="Amiri" w:hAnsi="Amiri" w:eastAsia="Amiri" w:cs="Amiri"/>
          <w:lang w:bidi="ar-SA"/>
          <w:color w:val="111111"/>
          <w:sz w:val="28"/>
          <w:szCs w:val="28"/>
          <w:rtl/>
        </w:rPr>
        <w:t xml:space="preserve">الوهمية، ج3، ص177.</w:t>
      </w:r>
    </w:p>
    <w:p>
      <w:pPr>
        <w:pStyle w:val="BookText"/>
      </w:pPr>
      <w:r>
        <w:rPr>
          <w:rFonts w:ascii="Amiri" w:hAnsi="Amiri" w:eastAsia="Amiri" w:cs="Amiri"/>
          <w:lang w:bidi="ar-SA"/>
          <w:color w:val="111111"/>
          <w:sz w:val="28"/>
          <w:szCs w:val="28"/>
          <w:rtl/>
        </w:rPr>
        <w:t xml:space="preserve">2 .الرضاع (رسالة في)، ج8، ص319.</w:t>
      </w:r>
    </w:p>
    <w:p>
      <w:pPr>
        <w:pStyle w:val="BookText"/>
      </w:pPr>
      <w:r>
        <w:rPr>
          <w:rFonts w:ascii="Amiri" w:hAnsi="Amiri" w:eastAsia="Amiri" w:cs="Amiri"/>
          <w:lang w:bidi="ar-SA"/>
          <w:color w:val="111111"/>
          <w:sz w:val="28"/>
          <w:szCs w:val="28"/>
          <w:rtl/>
        </w:rPr>
        <w:t xml:space="preserve">3 .شرح حديث» «اعرف نفسك»، ج 9،</w:t>
      </w:r>
    </w:p>
    <w:p>
      <w:pPr>
        <w:pStyle w:val="BookText"/>
      </w:pPr>
      <w:r>
        <w:rPr>
          <w:rFonts w:ascii="IRNazanin" w:hAnsi="IRNazanin" w:eastAsia="IRNazanin" w:cs="IRNazanin"/>
          <w:lang w:bidi="fa-IR"/>
          <w:color w:val="111111"/>
          <w:sz w:val="28"/>
          <w:szCs w:val="28"/>
          <w:rtl/>
        </w:rPr>
        <w:t xml:space="preserve">ص 383.</w:t>
      </w:r>
    </w:p>
    <w:p>
      <w:pPr>
        <w:pStyle w:val="BookText"/>
      </w:pPr>
      <w:r>
        <w:rPr>
          <w:rFonts w:ascii="Amiri" w:hAnsi="Amiri" w:eastAsia="Amiri" w:cs="Amiri"/>
          <w:lang w:bidi="ar-SA"/>
          <w:color w:val="111111"/>
          <w:sz w:val="28"/>
          <w:szCs w:val="28"/>
          <w:rtl/>
        </w:rPr>
        <w:t xml:space="preserve">4 .هدي العقول لبيان (الي) احاديث</w:t>
      </w:r>
    </w:p>
    <w:p>
      <w:pPr>
        <w:pStyle w:val="BookText"/>
      </w:pPr>
      <w:r>
        <w:rPr>
          <w:rFonts w:ascii="IRNazanin" w:hAnsi="IRNazanin" w:eastAsia="IRNazanin" w:cs="IRNazanin"/>
          <w:lang w:bidi="fa-IR"/>
          <w:color w:val="111111"/>
          <w:sz w:val="28"/>
          <w:szCs w:val="28"/>
          <w:rtl/>
        </w:rPr>
        <w:t xml:space="preserve">الاصول، ج 16، ص 645.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7742_69351"/>
    <w:bookmarkEnd w:id="11"/>
    <w:p>
      <w:pPr>
        <w:pStyle w:val="BookText"/>
      </w:pPr>
      <w:r>
        <w:rPr>
          <w:rFonts w:ascii="IRNazanin" w:hAnsi="IRNazanin" w:eastAsia="IRNazanin" w:cs="IRNazanin"/>
          <w:lang w:bidi="fa-IR"/>
          <w:color w:val="111111"/>
          <w:sz w:val="28"/>
          <w:szCs w:val="28"/>
          <w:rtl/>
        </w:rPr>
        <w:t xml:space="preserve">آل عبد الجبار ، سلیمان بن احمد- قطيفي</w:t>
      </w:r>
    </w:p>
    <w:p>
      <w:pPr>
        <w:pStyle w:val="BookText"/>
      </w:pPr>
      <w:r>
        <w:rPr>
          <w:rFonts w:ascii="IRNazanin" w:hAnsi="IRNazanin" w:eastAsia="IRNazanin" w:cs="IRNazanin"/>
          <w:lang w:bidi="fa-IR"/>
          <w:color w:val="111111"/>
          <w:sz w:val="28"/>
          <w:szCs w:val="28"/>
          <w:rtl/>
        </w:rPr>
        <w:t xml:space="preserve">سلیمان بن احمد</w:t>
      </w:r>
    </w:p>
    <w:p>
      <w:pPr>
        <w:pStyle w:val="BookText"/>
      </w:pPr>
      <w:r>
        <w:rPr>
          <w:rFonts w:ascii="Amiri" w:hAnsi="Amiri" w:eastAsia="Amiri" w:cs="Amiri"/>
          <w:lang w:bidi="ar-SA"/>
          <w:color w:val="111111"/>
          <w:sz w:val="28"/>
          <w:szCs w:val="28"/>
          <w:rtl/>
        </w:rPr>
        <w:t xml:space="preserve">آل عبد الجبار ، علي بن احمد- قطيفي ،</w:t>
      </w:r>
    </w:p>
    <w:p>
      <w:pPr>
        <w:pStyle w:val="BookText"/>
      </w:pPr>
      <w:r>
        <w:rPr>
          <w:rFonts w:ascii="Amiri" w:hAnsi="Amiri" w:eastAsia="Amiri" w:cs="Amiri"/>
          <w:lang w:bidi="ar-SA"/>
          <w:color w:val="111111"/>
          <w:sz w:val="28"/>
          <w:szCs w:val="28"/>
          <w:rtl/>
        </w:rPr>
        <w:t xml:space="preserve">علي بن احمد</w:t>
      </w:r>
    </w:p>
    <w:p>
      <w:pPr>
        <w:pStyle w:val="BookText"/>
      </w:pPr>
      <w:r>
        <w:rPr>
          <w:rFonts w:ascii="IRNazanin" w:hAnsi="IRNazanin" w:eastAsia="IRNazanin" w:cs="IRNazanin"/>
          <w:lang w:bidi="fa-IR"/>
          <w:color w:val="111111"/>
          <w:sz w:val="28"/>
          <w:szCs w:val="28"/>
          <w:rtl/>
        </w:rPr>
        <w:t xml:space="preserve">آل عبد السلام ، عبدالله بن</w:t>
      </w:r>
    </w:p>
    <w:p>
      <w:pPr>
        <w:pStyle w:val="BookText"/>
      </w:pPr>
      <w:r>
        <w:rPr>
          <w:rFonts w:ascii="Amiri" w:hAnsi="Amiri" w:eastAsia="Amiri" w:cs="Amiri"/>
          <w:lang w:bidi="ar-SA"/>
          <w:color w:val="111111"/>
          <w:sz w:val="28"/>
          <w:szCs w:val="28"/>
          <w:rtl/>
        </w:rPr>
        <w:t xml:space="preserve">عبد الواحد بصري ، عبدالله بن عبد الواحد</w:t>
      </w:r>
    </w:p>
    <w:p>
      <w:pPr>
        <w:pStyle w:val="Heading2"/>
      </w:pPr>
      <w:bookmarkStart w:id="955" w:name="_Toc57"/>
      <w:r>
        <w:t>آل عبداللطيف راوي ، عبدالغني بن</w:t>
      </w:r>
      <w:bookmarkEnd w:id="955"/>
    </w:p>
    <w:p>
      <w:pPr>
        <w:pStyle w:val="BookText"/>
      </w:pPr>
      <w:r>
        <w:rPr>
          <w:rFonts w:ascii="Amiri" w:hAnsi="Amiri" w:eastAsia="Amiri" w:cs="Amiri"/>
          <w:lang w:bidi="ar-SA"/>
          <w:color w:val="111111"/>
          <w:sz w:val="28"/>
          <w:szCs w:val="28"/>
          <w:rtl/>
        </w:rPr>
        <w:t xml:space="preserve">محمّد قرن 14 ه-</w:t>
      </w:r>
    </w:p>
    <w:p>
      <w:pPr>
        <w:pStyle w:val="BookText"/>
      </w:pPr>
      <w:r>
        <w:rPr>
          <w:rFonts w:ascii="Amiri" w:hAnsi="Amiri" w:eastAsia="Amiri" w:cs="Amiri"/>
          <w:lang w:bidi="ar-SA"/>
          <w:color w:val="111111"/>
          <w:sz w:val="28"/>
          <w:szCs w:val="28"/>
          <w:rtl/>
        </w:rPr>
        <w:t xml:space="preserve">التجويد = علم التجويد (رسالة في)</w:t>
      </w:r>
    </w:p>
    <w:p>
      <w:pPr>
        <w:pStyle w:val="BookText"/>
      </w:pPr>
      <w:r>
        <w:rPr>
          <w:rFonts w:ascii="IRNazanin" w:hAnsi="IRNazanin" w:eastAsia="IRNazanin" w:cs="IRNazanin"/>
          <w:lang w:bidi="fa-IR"/>
          <w:color w:val="111111"/>
          <w:sz w:val="28"/>
          <w:szCs w:val="28"/>
          <w:rtl/>
        </w:rPr>
        <w:t xml:space="preserve">ج 3، ص 707 .</w:t>
      </w:r>
    </w:p>
    <w:p>
      <w:pPr>
        <w:pStyle w:val="BookText"/>
      </w:pPr>
      <w:r>
        <w:rPr>
          <w:rFonts w:ascii="Amiri" w:hAnsi="Amiri" w:eastAsia="Amiri" w:cs="Amiri"/>
          <w:lang w:bidi="ar-SA"/>
          <w:color w:val="111111"/>
          <w:sz w:val="28"/>
          <w:szCs w:val="28"/>
          <w:rtl/>
        </w:rPr>
        <w:t xml:space="preserve">آل عرفات ، ابراهيم بن عرب قطيفي</w:t>
      </w:r>
    </w:p>
    <w:p>
      <w:pPr>
        <w:pStyle w:val="BookText"/>
      </w:pPr>
      <w:r>
        <w:rPr>
          <w:rFonts w:ascii="Amiri" w:hAnsi="Amiri" w:eastAsia="Amiri" w:cs="Amiri"/>
          <w:lang w:bidi="ar-SA"/>
          <w:color w:val="111111"/>
          <w:sz w:val="28"/>
          <w:szCs w:val="28"/>
          <w:rtl/>
        </w:rPr>
        <w:t xml:space="preserve">خطي ، ابراهيم بن عرب</w:t>
      </w:r>
    </w:p>
    <w:p>
      <w:pPr>
        <w:pStyle w:val="Heading2"/>
      </w:pPr>
      <w:bookmarkStart w:id="956" w:name="_Toc58"/>
      <w:r>
        <w:t>آل عصفور ، احمد بن محمّد - 1230 ه-</w:t>
      </w:r>
      <w:bookmarkEnd w:id="956"/>
    </w:p>
    <w:p>
      <w:pPr>
        <w:pStyle w:val="BookText"/>
      </w:pPr>
      <w:r>
        <w:rPr>
          <w:rFonts w:ascii="Amiri" w:hAnsi="Amiri" w:eastAsia="Amiri" w:cs="Amiri"/>
          <w:lang w:bidi="ar-SA"/>
          <w:color w:val="111111"/>
          <w:sz w:val="28"/>
          <w:szCs w:val="28"/>
          <w:rtl/>
        </w:rPr>
        <w:t xml:space="preserve">ترجمة الشيخ احمد بن محمّد البحراني، ج4، ص280.</w:t>
      </w:r>
    </w:p>
    <w:p>
      <w:pPr>
        <w:pStyle w:val="Heading2"/>
      </w:pPr>
      <w:bookmarkStart w:id="957" w:name="_Toc59"/>
      <w:r>
        <w:t>آل عصفور بحراني ، احمد بن ابراهيم</w:t>
      </w:r>
      <w:bookmarkEnd w:id="957"/>
    </w:p>
    <w:p>
      <w:pPr>
        <w:pStyle w:val="BookText"/>
      </w:pPr>
      <w:r>
        <w:rPr>
          <w:rFonts w:ascii="IRNazanin" w:hAnsi="IRNazanin" w:eastAsia="IRNazanin" w:cs="IRNazanin"/>
          <w:lang w:bidi="fa-IR"/>
          <w:color w:val="111111"/>
          <w:sz w:val="28"/>
          <w:szCs w:val="28"/>
          <w:rtl/>
        </w:rPr>
        <w:t xml:space="preserve">108 - 1131 ه-</w:t>
      </w:r>
    </w:p>
    <w:p>
      <w:pPr>
        <w:pStyle w:val="BookText"/>
      </w:pPr>
      <w:r>
        <w:rPr>
          <w:rFonts w:ascii="Amiri" w:hAnsi="Amiri" w:eastAsia="Amiri" w:cs="Amiri"/>
          <w:lang w:bidi="ar-SA"/>
          <w:color w:val="111111"/>
          <w:sz w:val="28"/>
          <w:szCs w:val="28"/>
          <w:rtl/>
        </w:rPr>
        <w:t xml:space="preserve">حياة الاموات، ج 6، ص 851.</w:t>
      </w:r>
    </w:p>
    <w:p>
      <w:pPr>
        <w:pStyle w:val="Heading2"/>
      </w:pPr>
      <w:bookmarkStart w:id="958" w:name="_Toc60"/>
      <w:r>
        <w:t>آل عصفور بحراني ، خلف بن عبدعلي</w:t>
      </w:r>
      <w:bookmarkEnd w:id="958"/>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زاد المعاد في شرح سداد العباد، ج8،</w:t>
      </w:r>
    </w:p>
    <w:p>
      <w:pPr>
        <w:pStyle w:val="BookText"/>
      </w:pPr>
      <w:r>
        <w:rPr>
          <w:rFonts w:ascii="IRNazanin" w:hAnsi="IRNazanin" w:eastAsia="IRNazanin" w:cs="IRNazanin"/>
          <w:lang w:bidi="fa-IR"/>
          <w:color w:val="111111"/>
          <w:sz w:val="28"/>
          <w:szCs w:val="28"/>
          <w:rtl/>
        </w:rPr>
        <w:t xml:space="preserve">ص 542 .</w:t>
      </w:r>
    </w:p>
    <w:p>
      <w:pPr>
        <w:pStyle w:val="Heading2"/>
      </w:pPr>
      <w:bookmarkStart w:id="959" w:name="_Toc61"/>
      <w:r>
        <w:t>آل عصفور ، حسين بن محمّد، 1147 -</w:t>
      </w:r>
      <w:bookmarkEnd w:id="959"/>
    </w:p>
    <w:p>
      <w:pPr>
        <w:pStyle w:val="BookText"/>
      </w:pPr>
      <w:r>
        <w:rPr>
          <w:rFonts w:ascii="IRNazanin" w:hAnsi="IRNazanin" w:eastAsia="IRNazanin" w:cs="IRNazanin"/>
          <w:lang w:bidi="fa-IR"/>
          <w:color w:val="111111"/>
          <w:sz w:val="28"/>
          <w:szCs w:val="28"/>
          <w:rtl/>
        </w:rPr>
        <w:t xml:space="preserve">1216ه-</w:t>
      </w:r>
    </w:p>
    <w:p>
      <w:pPr>
        <w:pStyle w:val="BookText"/>
      </w:pPr>
      <w:r>
        <w:rPr>
          <w:rFonts w:ascii="Amiri" w:hAnsi="Amiri" w:eastAsia="Amiri" w:cs="Amiri"/>
          <w:lang w:bidi="ar-SA"/>
          <w:color w:val="111111"/>
          <w:sz w:val="28"/>
          <w:szCs w:val="28"/>
          <w:rtl/>
        </w:rPr>
        <w:t xml:space="preserve">1 .أجوبة مسائل السيد علي بن</w:t>
      </w:r>
    </w:p>
    <w:p>
      <w:pPr>
        <w:pStyle w:val="BookText"/>
      </w:pPr>
      <w:r>
        <w:rPr>
          <w:rFonts w:ascii="Amiri" w:hAnsi="Amiri" w:eastAsia="Amiri" w:cs="Amiri"/>
          <w:lang w:bidi="ar-SA"/>
          <w:color w:val="111111"/>
          <w:sz w:val="28"/>
          <w:szCs w:val="28"/>
          <w:rtl/>
        </w:rPr>
        <w:t xml:space="preserve">عبد اللطيف، ج 1، ص 353.</w:t>
      </w:r>
    </w:p>
    <w:p>
      <w:pPr>
        <w:pStyle w:val="BookText"/>
      </w:pPr>
      <w:r>
        <w:rPr>
          <w:rFonts w:ascii="Amiri" w:hAnsi="Amiri" w:eastAsia="Amiri" w:cs="Amiri"/>
          <w:lang w:bidi="ar-SA"/>
          <w:color w:val="111111"/>
          <w:sz w:val="28"/>
          <w:szCs w:val="28"/>
          <w:rtl/>
        </w:rPr>
        <w:t xml:space="preserve">2 .التهاب نيران الاحزان، ج 2، ص 660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الانوار اللوامع في شرح مفاتيح</w:t>
      </w:r>
    </w:p>
    <w:p>
      <w:pPr>
        <w:pStyle w:val="BookText"/>
      </w:pPr>
      <w:r>
        <w:rPr>
          <w:rFonts w:ascii="Amiri" w:hAnsi="Amiri" w:eastAsia="Amiri" w:cs="Amiri"/>
          <w:lang w:bidi="ar-SA"/>
          <w:color w:val="111111"/>
          <w:sz w:val="28"/>
          <w:szCs w:val="28"/>
          <w:rtl/>
        </w:rPr>
        <w:t xml:space="preserve">الشرايع، ج 3، ص 20.</w:t>
      </w:r>
    </w:p>
    <w:p>
      <w:pPr>
        <w:pStyle w:val="BookText"/>
      </w:pPr>
      <w:r>
        <w:rPr>
          <w:rFonts w:ascii="Amiri" w:hAnsi="Amiri" w:eastAsia="Amiri" w:cs="Amiri"/>
          <w:lang w:bidi="ar-SA"/>
          <w:color w:val="111111"/>
          <w:sz w:val="28"/>
          <w:szCs w:val="28"/>
          <w:rtl/>
        </w:rPr>
        <w:t xml:space="preserve">4 .الدرة الغراء في وفاة الزهراء (ع)،</w:t>
      </w:r>
    </w:p>
    <w:p>
      <w:pPr>
        <w:pStyle w:val="BookText"/>
      </w:pPr>
      <w:r>
        <w:rPr>
          <w:rFonts w:ascii="IRNazanin" w:hAnsi="IRNazanin" w:eastAsia="IRNazanin" w:cs="IRNazanin"/>
          <w:lang w:bidi="fa-IR"/>
          <w:color w:val="111111"/>
          <w:sz w:val="28"/>
          <w:szCs w:val="28"/>
          <w:rtl/>
        </w:rPr>
        <w:t xml:space="preserve">ج 7، ص 242.</w:t>
      </w:r>
    </w:p>
    <w:p>
      <w:pPr>
        <w:pStyle w:val="BookText"/>
      </w:pPr>
      <w:r>
        <w:rPr>
          <w:rFonts w:ascii="IRNazanin" w:hAnsi="IRNazanin" w:eastAsia="IRNazanin" w:cs="IRNazanin"/>
          <w:lang w:bidi="fa-IR"/>
          <w:color w:val="111111"/>
          <w:sz w:val="28"/>
          <w:szCs w:val="28"/>
          <w:rtl/>
        </w:rPr>
        <w:t xml:space="preserve">5 .سداد العباد و رشاد العباد، ج8،</w:t>
      </w:r>
    </w:p>
    <w:p>
      <w:pPr>
        <w:pStyle w:val="BookText"/>
      </w:pPr>
      <w:r>
        <w:rPr>
          <w:rFonts w:ascii="IRNazanin" w:hAnsi="IRNazanin" w:eastAsia="IRNazanin" w:cs="IRNazanin"/>
          <w:lang w:bidi="fa-IR"/>
          <w:color w:val="111111"/>
          <w:sz w:val="28"/>
          <w:szCs w:val="28"/>
          <w:rtl/>
        </w:rPr>
        <w:t xml:space="preserve">ص 722 .</w:t>
      </w:r>
    </w:p>
    <w:p>
      <w:pPr>
        <w:pStyle w:val="BookText"/>
      </w:pPr>
      <w:r>
        <w:rPr>
          <w:rFonts w:ascii="Amiri" w:hAnsi="Amiri" w:eastAsia="Amiri" w:cs="Amiri"/>
          <w:lang w:bidi="ar-SA"/>
          <w:color w:val="111111"/>
          <w:sz w:val="28"/>
          <w:szCs w:val="28"/>
          <w:rtl/>
        </w:rPr>
        <w:t xml:space="preserve">6 .السوانح النظرية في شرح البداية</w:t>
      </w:r>
    </w:p>
    <w:p>
      <w:pPr>
        <w:pStyle w:val="BookText"/>
      </w:pPr>
      <w:r>
        <w:rPr>
          <w:rFonts w:ascii="Amiri" w:hAnsi="Amiri" w:eastAsia="Amiri" w:cs="Amiri"/>
          <w:lang w:bidi="ar-SA"/>
          <w:color w:val="111111"/>
          <w:sz w:val="28"/>
          <w:szCs w:val="28"/>
          <w:rtl/>
        </w:rPr>
        <w:t xml:space="preserve">الحرية، ج 8، ص 864.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شارحة الصدور [و] دافعة العذاب</w:t>
      </w:r>
    </w:p>
    <w:p>
      <w:pPr>
        <w:pStyle w:val="BookText"/>
      </w:pPr>
      <w:r>
        <w:rPr>
          <w:rFonts w:ascii="IRNazanin" w:hAnsi="IRNazanin" w:eastAsia="IRNazanin" w:cs="IRNazanin"/>
          <w:lang w:bidi="fa-IR"/>
          <w:color w:val="111111"/>
          <w:sz w:val="28"/>
          <w:szCs w:val="28"/>
          <w:rtl/>
        </w:rPr>
        <w:t xml:space="preserve">و المخدور، ج9، ص 54.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الصلواتية الصغيرة، ج 10، ص 634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عيون الحقايق الناظرة في تتمة الحدائق الناظرة، ج 11، ص 402.</w:t>
      </w:r>
    </w:p>
    <w:p>
      <w:pPr>
        <w:pStyle w:val="BookText"/>
      </w:pPr>
      <w:r>
        <w:rPr>
          <w:rFonts w:ascii="Amiri" w:hAnsi="Amiri" w:eastAsia="Amiri" w:cs="Amiri"/>
          <w:lang w:bidi="ar-SA"/>
          <w:color w:val="111111"/>
          <w:sz w:val="28"/>
          <w:szCs w:val="28"/>
          <w:rtl/>
        </w:rPr>
        <w:t xml:space="preserve">10 .الفرحة في شرح النفحة، ج 11،</w:t>
      </w:r>
    </w:p>
    <w:p>
      <w:pPr>
        <w:pStyle w:val="BookText"/>
      </w:pPr>
      <w:r>
        <w:rPr>
          <w:rFonts w:ascii="IRNazanin" w:hAnsi="IRNazanin" w:eastAsia="IRNazanin" w:cs="IRNazanin"/>
          <w:lang w:bidi="fa-IR"/>
          <w:color w:val="111111"/>
          <w:sz w:val="28"/>
          <w:szCs w:val="28"/>
          <w:rtl/>
        </w:rPr>
        <w:t xml:space="preserve">ص 0777</w:t>
      </w:r>
    </w:p>
    <w:p>
      <w:pPr>
        <w:pStyle w:val="BookText"/>
      </w:pPr>
      <w:r>
        <w:rPr>
          <w:rFonts w:ascii="Amiri" w:hAnsi="Amiri" w:eastAsia="Amiri" w:cs="Amiri"/>
          <w:lang w:bidi="ar-SA"/>
          <w:color w:val="111111"/>
          <w:sz w:val="28"/>
          <w:szCs w:val="28"/>
          <w:rtl/>
        </w:rPr>
        <w:t xml:space="preserve">11 .قدح الزناد بمصيبة زين العابدين عليه السلام و مقام العباد، ج 12،</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Amiri" w:hAnsi="Amiri" w:eastAsia="Amiri" w:cs="Amiri"/>
          <w:lang w:bidi="ar-SA"/>
          <w:color w:val="111111"/>
          <w:sz w:val="28"/>
          <w:szCs w:val="28"/>
          <w:rtl/>
        </w:rPr>
        <w:t xml:space="preserve">12 .محاسن الاعتقاد و اليقين في أصول</w:t>
      </w:r>
    </w:p>
    <w:p>
      <w:pPr>
        <w:pStyle w:val="BookText"/>
      </w:pPr>
      <w:r>
        <w:rPr>
          <w:rFonts w:ascii="Amiri" w:hAnsi="Amiri" w:eastAsia="Amiri" w:cs="Amiri"/>
          <w:lang w:bidi="ar-SA"/>
          <w:color w:val="111111"/>
          <w:sz w:val="28"/>
          <w:szCs w:val="28"/>
          <w:rtl/>
        </w:rPr>
        <w:t xml:space="preserve">الدين، ج 14، ص 93.</w:t>
      </w:r>
    </w:p>
    <w:p>
      <w:pPr>
        <w:pStyle w:val="BookText"/>
      </w:pPr>
      <w:r>
        <w:rPr>
          <w:rFonts w:ascii="Amiri" w:hAnsi="Amiri" w:eastAsia="Amiri" w:cs="Amiri"/>
          <w:lang w:bidi="ar-SA"/>
          <w:color w:val="111111"/>
          <w:sz w:val="28"/>
          <w:szCs w:val="28"/>
          <w:rtl/>
        </w:rPr>
        <w:t xml:space="preserve">13 .مريق الدموع في مراثي الحسين في</w:t>
      </w:r>
    </w:p>
    <w:p>
      <w:pPr>
        <w:pStyle w:val="BookText"/>
      </w:pPr>
      <w:r>
        <w:rPr>
          <w:rFonts w:ascii="Amiri" w:hAnsi="Amiri" w:eastAsia="Amiri" w:cs="Amiri"/>
          <w:lang w:bidi="ar-SA"/>
          <w:color w:val="111111"/>
          <w:sz w:val="28"/>
          <w:szCs w:val="28"/>
          <w:rtl/>
        </w:rPr>
        <w:t xml:space="preserve">ليالي الاسبوع، ج 14، ص 414. 14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النفحة القدسية في فقه الصلوات</w:t>
      </w:r>
    </w:p>
    <w:p>
      <w:pPr>
        <w:pStyle w:val="BookText"/>
      </w:pPr>
      <w:r>
        <w:rPr>
          <w:rFonts w:ascii="Amiri" w:hAnsi="Amiri" w:eastAsia="Amiri" w:cs="Amiri"/>
          <w:lang w:bidi="ar-SA"/>
          <w:color w:val="111111"/>
          <w:sz w:val="28"/>
          <w:szCs w:val="28"/>
          <w:rtl/>
        </w:rPr>
        <w:t xml:space="preserve">اليومية، ج 16، ص 392.</w:t>
      </w:r>
    </w:p>
    <w:p>
      <w:pPr>
        <w:pStyle w:val="BookText"/>
      </w:pPr>
      <w:r>
        <w:rPr>
          <w:rFonts w:ascii="Amiri" w:hAnsi="Amiri" w:eastAsia="Amiri" w:cs="Amiri"/>
          <w:lang w:bidi="ar-SA"/>
          <w:color w:val="111111"/>
          <w:sz w:val="28"/>
          <w:szCs w:val="28"/>
          <w:rtl/>
        </w:rPr>
        <w:t xml:space="preserve">15 .وفيات المعصومين، ج 16، ص 858.</w:t>
      </w:r>
    </w:p>
    <w:p>
      <w:pPr>
        <w:pStyle w:val="BookText"/>
      </w:pPr>
      <w:r>
        <w:rPr>
          <w:rFonts w:ascii="IRNazanin" w:hAnsi="IRNazanin" w:eastAsia="IRNazanin" w:cs="IRNazanin"/>
          <w:lang w:bidi="fa-IR"/>
          <w:color w:val="111111"/>
          <w:sz w:val="28"/>
          <w:szCs w:val="28"/>
          <w:rtl/>
        </w:rPr>
        <w:t xml:space="preserve">آل عصفور ، شیخ محمّد بن احمد -بحراني</w:t>
      </w:r>
    </w:p>
    <w:p>
      <w:pPr>
        <w:pStyle w:val="BookText"/>
      </w:pPr>
      <w:r>
        <w:rPr>
          <w:rFonts w:ascii="IRNazanin" w:hAnsi="IRNazanin" w:eastAsia="IRNazanin" w:cs="IRNazanin"/>
          <w:lang w:bidi="fa-IR"/>
          <w:color w:val="111111"/>
          <w:sz w:val="28"/>
          <w:szCs w:val="28"/>
          <w:rtl/>
        </w:rPr>
        <w:t xml:space="preserve">محمّد بن احمد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7742_69353"/>
    <w:bookmarkEnd w:id="12"/>
    <w:p>
      <w:pPr>
        <w:pStyle w:val="BookText"/>
      </w:pPr>
      <w:r>
        <w:rPr>
          <w:rFonts w:ascii="Amiri" w:hAnsi="Amiri" w:eastAsia="Amiri" w:cs="Amiri"/>
          <w:lang w:bidi="ar-SA"/>
          <w:color w:val="111111"/>
          <w:sz w:val="28"/>
          <w:szCs w:val="28"/>
          <w:rtl/>
        </w:rPr>
        <w:t xml:space="preserve">آل عصفور ، عبد علي بن احمد درازي</w:t>
      </w:r>
    </w:p>
    <w:p>
      <w:pPr>
        <w:pStyle w:val="BookText"/>
      </w:pPr>
      <w:r>
        <w:rPr>
          <w:rFonts w:ascii="Amiri" w:hAnsi="Amiri" w:eastAsia="Amiri" w:cs="Amiri"/>
          <w:lang w:bidi="ar-SA"/>
          <w:color w:val="111111"/>
          <w:sz w:val="28"/>
          <w:szCs w:val="28"/>
          <w:rtl/>
        </w:rPr>
        <w:t xml:space="preserve">بحراني ، عبد علي بن احمد</w:t>
      </w:r>
    </w:p>
    <w:p>
      <w:pPr>
        <w:pStyle w:val="BookText"/>
      </w:pPr>
      <w:r>
        <w:rPr>
          <w:rFonts w:ascii="Amiri" w:hAnsi="Amiri" w:eastAsia="Amiri" w:cs="Amiri"/>
          <w:lang w:bidi="ar-SA"/>
          <w:color w:val="111111"/>
          <w:sz w:val="28"/>
          <w:szCs w:val="28"/>
          <w:rtl/>
        </w:rPr>
        <w:t xml:space="preserve">آل عصفور ، عبد النبي بن احمد- بحراني</w:t>
      </w:r>
    </w:p>
    <w:p>
      <w:pPr>
        <w:pStyle w:val="BookText"/>
      </w:pPr>
      <w:r>
        <w:rPr>
          <w:rFonts w:ascii="Amiri" w:hAnsi="Amiri" w:eastAsia="Amiri" w:cs="Amiri"/>
          <w:lang w:bidi="ar-SA"/>
          <w:color w:val="111111"/>
          <w:sz w:val="28"/>
          <w:szCs w:val="28"/>
          <w:rtl/>
        </w:rPr>
        <w:t xml:space="preserve">عبدالنبي بن احمد</w:t>
      </w:r>
    </w:p>
    <w:p>
      <w:pPr>
        <w:pStyle w:val="BookText"/>
      </w:pPr>
      <w:r>
        <w:rPr>
          <w:rFonts w:ascii="Amiri" w:hAnsi="Amiri" w:eastAsia="Amiri" w:cs="Amiri"/>
          <w:lang w:bidi="ar-SA"/>
          <w:color w:val="111111"/>
          <w:sz w:val="28"/>
          <w:szCs w:val="28"/>
          <w:rtl/>
        </w:rPr>
        <w:t xml:space="preserve">آل عصفور ، محمد بن احمد -بحراني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آل عصفور ، يوسف بن احمد -حراني ،</w:t>
      </w:r>
    </w:p>
    <w:p>
      <w:pPr>
        <w:pStyle w:val="BookText"/>
      </w:pPr>
      <w:r>
        <w:rPr>
          <w:rFonts w:ascii="Amiri" w:hAnsi="Amiri" w:eastAsia="Amiri" w:cs="Amiri"/>
          <w:lang w:bidi="ar-SA"/>
          <w:color w:val="111111"/>
          <w:sz w:val="28"/>
          <w:szCs w:val="28"/>
          <w:rtl/>
        </w:rPr>
        <w:t xml:space="preserve">يوسف بن احمد</w:t>
      </w:r>
    </w:p>
    <w:p>
      <w:pPr>
        <w:pStyle w:val="Heading2"/>
      </w:pPr>
      <w:bookmarkStart w:id="960" w:name="_Toc62"/>
      <w:r>
        <w:t>آل عطاء ، يوسف بن محمّد نجيب -</w:t>
      </w:r>
      <w:bookmarkEnd w:id="960"/>
    </w:p>
    <w:p>
      <w:pPr>
        <w:pStyle w:val="BookText"/>
      </w:pPr>
      <w:r>
        <w:rPr>
          <w:rFonts w:ascii="IRNazanin" w:hAnsi="IRNazanin" w:eastAsia="IRNazanin" w:cs="IRNazanin"/>
          <w:lang w:bidi="fa-IR"/>
          <w:color w:val="111111"/>
          <w:sz w:val="28"/>
          <w:szCs w:val="28"/>
          <w:rtl/>
        </w:rPr>
        <w:t xml:space="preserve">1371ه-</w:t>
      </w:r>
    </w:p>
    <w:p>
      <w:pPr>
        <w:pStyle w:val="BookText"/>
      </w:pPr>
      <w:r>
        <w:rPr>
          <w:rFonts w:ascii="Amiri" w:hAnsi="Amiri" w:eastAsia="Amiri" w:cs="Amiri"/>
          <w:lang w:bidi="ar-SA"/>
          <w:color w:val="111111"/>
          <w:sz w:val="28"/>
          <w:szCs w:val="28"/>
          <w:rtl/>
        </w:rPr>
        <w:t xml:space="preserve">1 .تقرير عن علماء بغداد في مطلع القرن الرابع عشر، ج4، ص 776.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 الحديث، ج 11، ص239</w:t>
      </w:r>
    </w:p>
    <w:p>
      <w:pPr>
        <w:pStyle w:val="Heading2"/>
      </w:pPr>
      <w:bookmarkStart w:id="961" w:name="_Toc63"/>
      <w:r>
        <w:t>آل كاشف الغطاء، احمد بن علي 1295 -</w:t>
      </w:r>
      <w:bookmarkEnd w:id="961"/>
    </w:p>
    <w:p>
      <w:pPr>
        <w:pStyle w:val="BookText"/>
      </w:pPr>
      <w:r>
        <w:rPr>
          <w:rFonts w:ascii="IRNazanin" w:hAnsi="IRNazanin" w:eastAsia="IRNazanin" w:cs="IRNazanin"/>
          <w:lang w:bidi="fa-IR"/>
          <w:color w:val="111111"/>
          <w:sz w:val="28"/>
          <w:szCs w:val="28"/>
          <w:rtl/>
        </w:rPr>
        <w:t xml:space="preserve">1344ه-</w:t>
      </w:r>
    </w:p>
    <w:p>
      <w:pPr>
        <w:pStyle w:val="BookText"/>
      </w:pPr>
      <w:r>
        <w:rPr>
          <w:rFonts w:ascii="Amiri" w:hAnsi="Amiri" w:eastAsia="Amiri" w:cs="Amiri"/>
          <w:lang w:bidi="ar-SA"/>
          <w:color w:val="111111"/>
          <w:sz w:val="28"/>
          <w:szCs w:val="28"/>
          <w:rtl/>
        </w:rPr>
        <w:t xml:space="preserve">1 .مجموعة أدبية و فقهية، ج 14،</w:t>
      </w:r>
    </w:p>
    <w:p>
      <w:pPr>
        <w:pStyle w:val="BookText"/>
      </w:pPr>
      <w:r>
        <w:rPr>
          <w:rFonts w:ascii="IRNazanin" w:hAnsi="IRNazanin" w:eastAsia="IRNazanin" w:cs="IRNazanin"/>
          <w:lang w:bidi="fa-IR"/>
          <w:color w:val="111111"/>
          <w:sz w:val="28"/>
          <w:szCs w:val="28"/>
          <w:rtl/>
        </w:rPr>
        <w:t xml:space="preserve">ص 19.</w:t>
      </w:r>
    </w:p>
    <w:p>
      <w:pPr>
        <w:pStyle w:val="BookText"/>
      </w:pPr>
      <w:r>
        <w:rPr>
          <w:rFonts w:ascii="Amiri" w:hAnsi="Amiri" w:eastAsia="Amiri" w:cs="Amiri"/>
          <w:lang w:bidi="ar-SA"/>
          <w:color w:val="111111"/>
          <w:sz w:val="28"/>
          <w:szCs w:val="28"/>
          <w:rtl/>
        </w:rPr>
        <w:t xml:space="preserve">2 .مناسك الحج، ج 15، ص 505.</w:t>
      </w:r>
    </w:p>
    <w:p>
      <w:pPr>
        <w:pStyle w:val="Heading2"/>
      </w:pPr>
      <w:bookmarkStart w:id="962" w:name="_Toc64"/>
      <w:r>
        <w:t>آل كاشف الغطاء ، جعفر بن محمّد رضا</w:t>
      </w:r>
      <w:bookmarkEnd w:id="962"/>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الدرر الفاخرة، ج 7، ص303</w:t>
      </w:r>
    </w:p>
    <w:p>
      <w:pPr>
        <w:pStyle w:val="Heading2"/>
      </w:pPr>
      <w:bookmarkStart w:id="963" w:name="_Toc65"/>
      <w:r>
        <w:t>آل كاشف الغطاء ، حسن بن جعفر</w:t>
      </w:r>
      <w:bookmarkEnd w:id="963"/>
    </w:p>
    <w:p>
      <w:pPr>
        <w:pStyle w:val="BookText"/>
      </w:pPr>
      <w:r>
        <w:rPr>
          <w:rFonts w:ascii="IRNazanin" w:hAnsi="IRNazanin" w:eastAsia="IRNazanin" w:cs="IRNazanin"/>
          <w:lang w:bidi="fa-IR"/>
          <w:color w:val="111111"/>
          <w:sz w:val="28"/>
          <w:szCs w:val="28"/>
          <w:rtl/>
        </w:rPr>
        <w:t xml:space="preserve">1201 - 1262ه-</w:t>
      </w:r>
    </w:p>
    <w:p>
      <w:pPr>
        <w:pStyle w:val="BookText"/>
      </w:pPr>
      <w:r>
        <w:rPr>
          <w:rFonts w:ascii="Amiri" w:hAnsi="Amiri" w:eastAsia="Amiri" w:cs="Amiri"/>
          <w:lang w:bidi="ar-SA"/>
          <w:color w:val="111111"/>
          <w:sz w:val="28"/>
          <w:szCs w:val="28"/>
          <w:rtl/>
        </w:rPr>
        <w:t xml:space="preserve">1.انوار الفقاهة، ج3، ص8.</w:t>
      </w:r>
    </w:p>
    <w:p>
      <w:pPr>
        <w:pStyle w:val="BookText"/>
      </w:pPr>
      <w:r>
        <w:rPr>
          <w:rFonts w:ascii="Amiri" w:hAnsi="Amiri" w:eastAsia="Amiri" w:cs="Amiri"/>
          <w:lang w:bidi="ar-SA"/>
          <w:color w:val="111111"/>
          <w:sz w:val="28"/>
          <w:szCs w:val="28"/>
          <w:rtl/>
        </w:rPr>
        <w:t xml:space="preserve">2 .تكملة بغية الطالب، ج 4، ص 814.</w:t>
      </w:r>
    </w:p>
    <w:p>
      <w:pPr>
        <w:pStyle w:val="BookText"/>
      </w:pPr>
      <w:r>
        <w:rPr>
          <w:rFonts w:ascii="Amiri" w:hAnsi="Amiri" w:eastAsia="Amiri" w:cs="Amiri"/>
          <w:lang w:bidi="ar-SA"/>
          <w:color w:val="111111"/>
          <w:sz w:val="28"/>
          <w:szCs w:val="28"/>
          <w:rtl/>
        </w:rPr>
        <w:t xml:space="preserve">3.شرح قواعد الأحكام، ج10، ص18.</w:t>
      </w:r>
    </w:p>
    <w:p>
      <w:pPr>
        <w:pStyle w:val="BookText"/>
      </w:pPr>
      <w:r>
        <w:rPr>
          <w:rFonts w:ascii="Amiri" w:hAnsi="Amiri" w:eastAsia="Amiri" w:cs="Amiri"/>
          <w:lang w:bidi="ar-SA"/>
          <w:color w:val="111111"/>
          <w:sz w:val="28"/>
          <w:szCs w:val="28"/>
          <w:rtl/>
        </w:rPr>
        <w:t xml:space="preserve">4 .شرح مقدمة كشف الغطاء، ج 10،</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الصلاة، ج 10، ص 585.</w:t>
      </w:r>
    </w:p>
    <w:p>
      <w:pPr>
        <w:pStyle w:val="BookText"/>
      </w:pPr>
      <w:r>
        <w:rPr>
          <w:rFonts w:ascii="Amiri" w:hAnsi="Amiri" w:eastAsia="Amiri" w:cs="Amiri"/>
          <w:lang w:bidi="ar-SA"/>
          <w:color w:val="111111"/>
          <w:sz w:val="28"/>
          <w:szCs w:val="28"/>
          <w:rtl/>
        </w:rPr>
        <w:t xml:space="preserve">6 .الصيام والاعتكاف، ج 10، ص 672.</w:t>
      </w:r>
    </w:p>
    <w:p>
      <w:pPr>
        <w:pStyle w:val="BookText"/>
      </w:pPr>
      <w:r>
        <w:rPr>
          <w:rFonts w:ascii="Amiri" w:hAnsi="Amiri" w:eastAsia="Amiri" w:cs="Amiri"/>
          <w:lang w:bidi="ar-SA"/>
          <w:color w:val="111111"/>
          <w:sz w:val="28"/>
          <w:szCs w:val="28"/>
          <w:rtl/>
        </w:rPr>
        <w:t xml:space="preserve">7.العروة الوثقى في الدين، ج11،</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Amiri" w:hAnsi="Amiri" w:eastAsia="Amiri" w:cs="Amiri"/>
          <w:lang w:bidi="ar-SA"/>
          <w:color w:val="111111"/>
          <w:sz w:val="28"/>
          <w:szCs w:val="28"/>
          <w:rtl/>
        </w:rPr>
        <w:t xml:space="preserve">8 .فقه الزيدية في العبادات، ج 12،</w:t>
      </w:r>
    </w:p>
    <w:p>
      <w:pPr>
        <w:pStyle w:val="BookText"/>
      </w:pPr>
      <w:r>
        <w:rPr>
          <w:rFonts w:ascii="IRNazanin" w:hAnsi="IRNazanin" w:eastAsia="IRNazanin" w:cs="IRNazanin"/>
          <w:lang w:bidi="fa-IR"/>
          <w:color w:val="111111"/>
          <w:sz w:val="28"/>
          <w:szCs w:val="28"/>
          <w:rtl/>
        </w:rPr>
        <w:t xml:space="preserve">ص 101.</w:t>
      </w:r>
    </w:p>
    <w:p>
      <w:pPr>
        <w:pStyle w:val="BookText"/>
      </w:pPr>
      <w:r>
        <w:rPr>
          <w:rFonts w:ascii="IRNazanin" w:hAnsi="IRNazanin" w:eastAsia="IRNazanin" w:cs="IRNazanin"/>
          <w:lang w:bidi="fa-IR"/>
          <w:color w:val="111111"/>
          <w:sz w:val="28"/>
          <w:szCs w:val="28"/>
          <w:rtl/>
        </w:rPr>
        <w:t xml:space="preserve">9 .قواعد المعاملات، ج 12، ص 806.</w:t>
      </w:r>
    </w:p>
    <w:p>
      <w:pPr>
        <w:pStyle w:val="Heading2"/>
      </w:pPr>
      <w:bookmarkStart w:id="964" w:name="_Toc66"/>
      <w:r>
        <w:t>آل كاشف الغطاء ، علي بن جعفر -</w:t>
      </w:r>
      <w:bookmarkEnd w:id="964"/>
    </w:p>
    <w:p>
      <w:pPr>
        <w:pStyle w:val="BookText"/>
      </w:pPr>
      <w:r>
        <w:rPr>
          <w:rFonts w:ascii="IRNazanin" w:hAnsi="IRNazanin" w:eastAsia="IRNazanin" w:cs="IRNazanin"/>
          <w:lang w:bidi="fa-IR"/>
          <w:color w:val="111111"/>
          <w:sz w:val="28"/>
          <w:szCs w:val="28"/>
          <w:rtl/>
        </w:rPr>
        <w:t xml:space="preserve">1253 ه-</w:t>
      </w:r>
    </w:p>
    <w:p>
      <w:pPr>
        <w:pStyle w:val="BookText"/>
      </w:pPr>
      <w:r>
        <w:rPr>
          <w:rFonts w:ascii="Amiri" w:hAnsi="Amiri" w:eastAsia="Amiri" w:cs="Amiri"/>
          <w:lang w:bidi="ar-SA"/>
          <w:color w:val="111111"/>
          <w:sz w:val="28"/>
          <w:szCs w:val="28"/>
          <w:rtl/>
        </w:rPr>
        <w:t xml:space="preserve">1 .احكام الاجتهاد والتقليد (رسالة</w:t>
      </w:r>
    </w:p>
    <w:p>
      <w:pPr>
        <w:pStyle w:val="BookText"/>
      </w:pPr>
      <w:r>
        <w:rPr>
          <w:rFonts w:ascii="Amiri" w:hAnsi="Amiri" w:eastAsia="Amiri" w:cs="Amiri"/>
          <w:lang w:bidi="ar-SA"/>
          <w:color w:val="111111"/>
          <w:sz w:val="28"/>
          <w:szCs w:val="28"/>
          <w:rtl/>
        </w:rPr>
        <w:t xml:space="preserve">في)، ج 1 ، ص 452.</w:t>
      </w:r>
    </w:p>
    <w:p>
      <w:pPr>
        <w:pStyle w:val="BookText"/>
      </w:pPr>
      <w:r>
        <w:rPr>
          <w:rFonts w:ascii="Amiri" w:hAnsi="Amiri" w:eastAsia="Amiri" w:cs="Amiri"/>
          <w:lang w:bidi="ar-SA"/>
          <w:color w:val="111111"/>
          <w:sz w:val="28"/>
          <w:szCs w:val="28"/>
          <w:rtl/>
        </w:rPr>
        <w:t xml:space="preserve">2 .افادات الشيخ علي بن جعفر، ج 2،</w:t>
      </w:r>
    </w:p>
    <w:p>
      <w:pPr>
        <w:pStyle w:val="BookText"/>
      </w:pPr>
      <w:r>
        <w:rPr>
          <w:rFonts w:ascii="IRNazanin" w:hAnsi="IRNazanin" w:eastAsia="IRNazanin" w:cs="IRNazanin"/>
          <w:lang w:bidi="fa-IR"/>
          <w:color w:val="111111"/>
          <w:sz w:val="28"/>
          <w:szCs w:val="28"/>
          <w:rtl/>
        </w:rPr>
        <w:t xml:space="preserve">ص 587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تراجم اصحاب الائمة و الخلفاء و غير ذلك (رسالة في)، ج 4، ص 225 .</w:t>
      </w:r>
    </w:p>
    <w:p>
      <w:pPr>
        <w:pStyle w:val="BookText"/>
      </w:pPr>
      <w:r>
        <w:rPr>
          <w:rFonts w:ascii="Amiri" w:hAnsi="Amiri" w:eastAsia="Amiri" w:cs="Amiri"/>
          <w:lang w:bidi="ar-SA"/>
          <w:color w:val="111111"/>
          <w:sz w:val="28"/>
          <w:szCs w:val="28"/>
          <w:rtl/>
        </w:rPr>
        <w:t xml:space="preserve">4 .حجية المظنة، ج 6، ص 506.</w:t>
      </w:r>
    </w:p>
    <w:p>
      <w:pPr>
        <w:pStyle w:val="BookText"/>
      </w:pPr>
      <w:r>
        <w:rPr>
          <w:rFonts w:ascii="Amiri" w:hAnsi="Amiri" w:eastAsia="Amiri" w:cs="Amiri"/>
          <w:lang w:bidi="ar-SA"/>
          <w:color w:val="111111"/>
          <w:sz w:val="28"/>
          <w:szCs w:val="28"/>
          <w:rtl/>
        </w:rPr>
        <w:t xml:space="preserve">حواشي شرايع الاسلام، ج 6، ص 834.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اللمعة الدمشقية، ج 10،</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Amiri" w:hAnsi="Amiri" w:eastAsia="Amiri" w:cs="Amiri"/>
          <w:lang w:bidi="ar-SA"/>
          <w:color w:val="111111"/>
          <w:sz w:val="28"/>
          <w:szCs w:val="28"/>
          <w:rtl/>
        </w:rPr>
        <w:t xml:space="preserve">7 .شرح كتاب الاجارة، ج 10، ص 44 .</w:t>
      </w:r>
    </w:p>
    <w:p>
      <w:pPr>
        <w:pStyle w:val="BookText"/>
      </w:pPr>
      <w:r>
        <w:rPr>
          <w:rFonts w:ascii="Amiri" w:hAnsi="Amiri" w:eastAsia="Amiri" w:cs="Amiri"/>
          <w:lang w:bidi="ar-SA"/>
          <w:color w:val="111111"/>
          <w:sz w:val="28"/>
          <w:szCs w:val="28"/>
          <w:rtl/>
        </w:rPr>
        <w:t xml:space="preserve">فوائد على خيارات اللمعة الدمشقية، ج 12، ص 247.</w:t>
      </w:r>
    </w:p>
    <w:p>
      <w:pPr>
        <w:pStyle w:val="BookText"/>
      </w:pPr>
      <w:r>
        <w:rPr>
          <w:rFonts w:ascii="Amiri" w:hAnsi="Amiri" w:eastAsia="Amiri" w:cs="Amiri"/>
          <w:lang w:bidi="ar-SA"/>
          <w:color w:val="111111"/>
          <w:sz w:val="28"/>
          <w:szCs w:val="28"/>
          <w:rtl/>
        </w:rPr>
        <w:t xml:space="preserve">9 .مجموعة أدبية لرسائل الشعر و غير</w:t>
      </w:r>
    </w:p>
    <w:p>
      <w:pPr>
        <w:pStyle w:val="BookText"/>
      </w:pPr>
      <w:r>
        <w:rPr>
          <w:rFonts w:ascii="Amiri" w:hAnsi="Amiri" w:eastAsia="Amiri" w:cs="Amiri"/>
          <w:lang w:bidi="ar-SA"/>
          <w:color w:val="111111"/>
          <w:sz w:val="28"/>
          <w:szCs w:val="28"/>
          <w:rtl/>
        </w:rPr>
        <w:t xml:space="preserve">ذلك، ج 14، ص 19.</w:t>
      </w:r>
    </w:p>
    <w:p>
      <w:pPr>
        <w:pStyle w:val="BookText"/>
      </w:pPr>
      <w:r>
        <w:rPr>
          <w:rFonts w:ascii="Amiri" w:hAnsi="Amiri" w:eastAsia="Amiri" w:cs="Amiri"/>
          <w:lang w:bidi="ar-SA"/>
          <w:color w:val="111111"/>
          <w:sz w:val="28"/>
          <w:szCs w:val="28"/>
          <w:rtl/>
        </w:rPr>
        <w:t xml:space="preserve">10 .موارد الانام في شرح شرائع الاسلام</w:t>
      </w:r>
    </w:p>
    <w:p>
      <w:pPr>
        <w:pStyle w:val="BookText"/>
      </w:pPr>
      <w:r>
        <w:rPr>
          <w:rFonts w:ascii="IRNazanin" w:hAnsi="IRNazanin" w:eastAsia="IRNazanin" w:cs="IRNazanin"/>
          <w:lang w:bidi="fa-IR"/>
          <w:color w:val="111111"/>
          <w:sz w:val="28"/>
          <w:szCs w:val="28"/>
          <w:rtl/>
        </w:rPr>
        <w:t xml:space="preserve">ج 15 ، ص 851.</w:t>
      </w:r>
    </w:p>
    <w:p>
      <w:pPr>
        <w:pStyle w:val="Heading2"/>
      </w:pPr>
      <w:bookmarkStart w:id="965" w:name="_Toc67"/>
      <w:r>
        <w:t>آل كاشف الغطاء ، محمّد بن علي، قرن</w:t>
      </w:r>
      <w:bookmarkEnd w:id="965"/>
    </w:p>
    <w:p>
      <w:pPr>
        <w:pStyle w:val="BookText"/>
      </w:pPr>
      <w:r>
        <w:rPr>
          <w:rFonts w:ascii="IRNazanin" w:hAnsi="IRNazanin" w:eastAsia="IRNazanin" w:cs="IRNazanin"/>
          <w:lang w:bidi="fa-IR"/>
          <w:color w:val="111111"/>
          <w:sz w:val="28"/>
          <w:szCs w:val="28"/>
          <w:rtl/>
        </w:rPr>
        <w:t xml:space="preserve">13ه-</w:t>
      </w:r>
    </w:p>
    <w:p>
      <w:pPr>
        <w:pStyle w:val="BookText"/>
      </w:pPr>
      <w:r>
        <w:rPr>
          <w:rFonts w:ascii="Amiri" w:hAnsi="Amiri" w:eastAsia="Amiri" w:cs="Amiri"/>
          <w:lang w:bidi="ar-SA"/>
          <w:color w:val="111111"/>
          <w:sz w:val="28"/>
          <w:szCs w:val="28"/>
          <w:rtl/>
        </w:rPr>
        <w:t xml:space="preserve">1 .الصوم و الاعتكاف (رسالة في)</w:t>
      </w:r>
    </w:p>
    <w:p>
      <w:pPr>
        <w:pStyle w:val="BookText"/>
      </w:pPr>
      <w:r>
        <w:rPr>
          <w:rFonts w:ascii="IRNazanin" w:hAnsi="IRNazanin" w:eastAsia="IRNazanin" w:cs="IRNazanin"/>
          <w:lang w:bidi="fa-IR"/>
          <w:color w:val="111111"/>
          <w:sz w:val="28"/>
          <w:szCs w:val="28"/>
          <w:rtl/>
        </w:rPr>
        <w:t xml:space="preserve">ج 10، ص 667 .</w:t>
      </w:r>
    </w:p>
    <w:p>
      <w:pPr>
        <w:pStyle w:val="BookText"/>
      </w:pPr>
      <w:r>
        <w:rPr>
          <w:rFonts w:ascii="Amiri" w:hAnsi="Amiri" w:eastAsia="Amiri" w:cs="Amiri"/>
          <w:lang w:bidi="ar-SA"/>
          <w:color w:val="111111"/>
          <w:sz w:val="28"/>
          <w:szCs w:val="28"/>
          <w:rtl/>
        </w:rPr>
        <w:t xml:space="preserve">2 .الطهارة والصلاة( رسالة في)، ج10،</w:t>
      </w:r>
    </w:p>
    <w:p>
      <w:pPr>
        <w:pStyle w:val="BookText"/>
      </w:pPr>
      <w:r>
        <w:rPr>
          <w:rFonts w:ascii="IRNazanin" w:hAnsi="IRNazanin" w:eastAsia="IRNazanin" w:cs="IRNazanin"/>
          <w:lang w:bidi="fa-IR"/>
          <w:color w:val="111111"/>
          <w:sz w:val="28"/>
          <w:szCs w:val="28"/>
          <w:rtl/>
        </w:rPr>
        <w:t xml:space="preserve">ص 866.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7742_69355"/>
    <w:bookmarkEnd w:id="13"/>
    <w:p>
      <w:pPr>
        <w:pStyle w:val="Heading2"/>
      </w:pPr>
      <w:bookmarkStart w:id="966" w:name="_Toc68"/>
      <w:r>
        <w:t>آل كاشف الغطاء ، محمّد حسين، 1294 -</w:t>
      </w:r>
      <w:bookmarkEnd w:id="966"/>
    </w:p>
    <w:p>
      <w:pPr>
        <w:pStyle w:val="BookText"/>
      </w:pPr>
      <w:r>
        <w:rPr>
          <w:rFonts w:ascii="IRNazanin" w:hAnsi="IRNazanin" w:eastAsia="IRNazanin" w:cs="IRNazanin"/>
          <w:lang w:bidi="fa-IR"/>
          <w:color w:val="111111"/>
          <w:sz w:val="28"/>
          <w:szCs w:val="28"/>
          <w:rtl/>
        </w:rPr>
        <w:t xml:space="preserve">1373ه-</w:t>
      </w:r>
    </w:p>
    <w:p>
      <w:pPr>
        <w:pStyle w:val="BookText"/>
      </w:pPr>
      <w:r>
        <w:rPr>
          <w:rFonts w:ascii="Amiri" w:hAnsi="Amiri" w:eastAsia="Amiri" w:cs="Amiri"/>
          <w:lang w:bidi="ar-SA"/>
          <w:color w:val="111111"/>
          <w:sz w:val="28"/>
          <w:szCs w:val="28"/>
          <w:rtl/>
        </w:rPr>
        <w:t xml:space="preserve">1.الأغاني (مختصر)، ج2، ص578.</w:t>
      </w:r>
    </w:p>
    <w:p>
      <w:pPr>
        <w:pStyle w:val="BookText"/>
      </w:pPr>
      <w:r>
        <w:rPr>
          <w:rFonts w:ascii="Amiri" w:hAnsi="Amiri" w:eastAsia="Amiri" w:cs="Amiri"/>
          <w:lang w:bidi="ar-SA"/>
          <w:color w:val="111111"/>
          <w:sz w:val="28"/>
          <w:szCs w:val="28"/>
          <w:rtl/>
        </w:rPr>
        <w:t xml:space="preserve">2 .الجمع بين الحكم الظاهري و الواقعي (رسالة في)، ج 5، ص426.</w:t>
      </w:r>
    </w:p>
    <w:p>
      <w:pPr>
        <w:pStyle w:val="BookText"/>
      </w:pPr>
      <w:r>
        <w:rPr>
          <w:rFonts w:ascii="Amiri" w:hAnsi="Amiri" w:eastAsia="Amiri" w:cs="Amiri"/>
          <w:lang w:bidi="ar-SA"/>
          <w:color w:val="111111"/>
          <w:sz w:val="28"/>
          <w:szCs w:val="28"/>
          <w:rtl/>
        </w:rPr>
        <w:t xml:space="preserve">3 .دائرة المعارف العليا، ج 7، ص207.</w:t>
      </w:r>
    </w:p>
    <w:p>
      <w:pPr>
        <w:pStyle w:val="BookText"/>
      </w:pPr>
      <w:r>
        <w:rPr>
          <w:rFonts w:ascii="IRNazanin" w:hAnsi="IRNazanin" w:eastAsia="IRNazanin" w:cs="IRNazanin"/>
          <w:lang w:bidi="fa-IR"/>
          <w:color w:val="111111"/>
          <w:sz w:val="28"/>
          <w:szCs w:val="28"/>
          <w:rtl/>
        </w:rPr>
        <w:t xml:space="preserve">4.دیوان محمّد حسین آل كاشف</w:t>
      </w:r>
    </w:p>
    <w:p>
      <w:pPr>
        <w:pStyle w:val="BookText"/>
      </w:pPr>
      <w:r>
        <w:rPr>
          <w:rFonts w:ascii="IRNazanin" w:hAnsi="IRNazanin" w:eastAsia="IRNazanin" w:cs="IRNazanin"/>
          <w:lang w:bidi="fa-IR"/>
          <w:color w:val="111111"/>
          <w:sz w:val="28"/>
          <w:szCs w:val="28"/>
          <w:rtl/>
        </w:rPr>
        <w:t xml:space="preserve">الغطاء، ج 7، ص 766 .</w:t>
      </w:r>
    </w:p>
    <w:p>
      <w:pPr>
        <w:pStyle w:val="BookText"/>
      </w:pPr>
      <w:r>
        <w:rPr>
          <w:rFonts w:ascii="Amiri" w:hAnsi="Amiri" w:eastAsia="Amiri" w:cs="Amiri"/>
          <w:lang w:bidi="ar-SA"/>
          <w:color w:val="111111"/>
          <w:sz w:val="28"/>
          <w:szCs w:val="28"/>
          <w:rtl/>
        </w:rPr>
        <w:t xml:space="preserve">5 .الرد على كتاب خير الزاد (رسالة</w:t>
      </w:r>
    </w:p>
    <w:p>
      <w:pPr>
        <w:pStyle w:val="BookText"/>
      </w:pPr>
      <w:r>
        <w:rPr>
          <w:rFonts w:ascii="Amiri" w:hAnsi="Amiri" w:eastAsia="Amiri" w:cs="Amiri"/>
          <w:lang w:bidi="ar-SA"/>
          <w:color w:val="111111"/>
          <w:sz w:val="28"/>
          <w:szCs w:val="28"/>
          <w:rtl/>
        </w:rPr>
        <w:t xml:space="preserve">في)، ج 8، ص 100.</w:t>
      </w:r>
    </w:p>
    <w:p>
      <w:pPr>
        <w:pStyle w:val="BookText"/>
      </w:pPr>
      <w:r>
        <w:rPr>
          <w:rFonts w:ascii="Amiri" w:hAnsi="Amiri" w:eastAsia="Amiri" w:cs="Amiri"/>
          <w:lang w:bidi="ar-SA"/>
          <w:color w:val="111111"/>
          <w:sz w:val="28"/>
          <w:szCs w:val="28"/>
          <w:rtl/>
        </w:rPr>
        <w:t xml:space="preserve">6 .شذور من عقود حياتي، ج 9، ص92.</w:t>
      </w:r>
    </w:p>
    <w:p>
      <w:pPr>
        <w:pStyle w:val="BookText"/>
      </w:pPr>
      <w:r>
        <w:rPr>
          <w:rFonts w:ascii="Amiri" w:hAnsi="Amiri" w:eastAsia="Amiri" w:cs="Amiri"/>
          <w:lang w:bidi="ar-SA"/>
          <w:color w:val="111111"/>
          <w:sz w:val="28"/>
          <w:szCs w:val="28"/>
          <w:rtl/>
        </w:rPr>
        <w:t xml:space="preserve">7 .شرح العروة الوثقى، ج 9، ص 689 .</w:t>
      </w:r>
    </w:p>
    <w:p>
      <w:pPr>
        <w:pStyle w:val="BookText"/>
      </w:pPr>
      <w:r>
        <w:rPr>
          <w:rFonts w:ascii="IRNazanin" w:hAnsi="IRNazanin" w:eastAsia="IRNazanin" w:cs="IRNazanin"/>
          <w:lang w:bidi="fa-IR"/>
          <w:color w:val="111111"/>
          <w:sz w:val="28"/>
          <w:szCs w:val="28"/>
          <w:rtl/>
        </w:rPr>
        <w:t xml:space="preserve">8.صحائف الابرار، ج 10، ص 483.</w:t>
      </w:r>
    </w:p>
    <w:p>
      <w:pPr>
        <w:pStyle w:val="BookText"/>
      </w:pPr>
      <w:r>
        <w:rPr>
          <w:rFonts w:ascii="Amiri" w:hAnsi="Amiri" w:eastAsia="Amiri" w:cs="Amiri"/>
          <w:lang w:bidi="ar-SA"/>
          <w:color w:val="111111"/>
          <w:sz w:val="28"/>
          <w:szCs w:val="28"/>
          <w:rtl/>
        </w:rPr>
        <w:t xml:space="preserve">9 .العبقات العنبرية في طبقات الجعفرية، ج 11، ص19.</w:t>
      </w:r>
    </w:p>
    <w:p>
      <w:pPr>
        <w:pStyle w:val="BookText"/>
      </w:pPr>
      <w:r>
        <w:rPr>
          <w:rFonts w:ascii="Amiri" w:hAnsi="Amiri" w:eastAsia="Amiri" w:cs="Amiri"/>
          <w:lang w:bidi="ar-SA"/>
          <w:color w:val="111111"/>
          <w:sz w:val="28"/>
          <w:szCs w:val="28"/>
          <w:rtl/>
        </w:rPr>
        <w:t xml:space="preserve">10 .قصيدة في الامام الحجة، ج 12،</w:t>
      </w:r>
    </w:p>
    <w:p>
      <w:pPr>
        <w:pStyle w:val="BookText"/>
      </w:pPr>
      <w:r>
        <w:rPr>
          <w:rFonts w:ascii="IRNazanin" w:hAnsi="IRNazanin" w:eastAsia="IRNazanin" w:cs="IRNazanin"/>
          <w:lang w:bidi="fa-IR"/>
          <w:color w:val="111111"/>
          <w:sz w:val="28"/>
          <w:szCs w:val="28"/>
          <w:rtl/>
        </w:rPr>
        <w:t xml:space="preserve">ص 689 .</w:t>
      </w:r>
    </w:p>
    <w:p>
      <w:pPr>
        <w:pStyle w:val="BookText"/>
      </w:pPr>
      <w:r>
        <w:rPr>
          <w:rFonts w:ascii="Amiri" w:hAnsi="Amiri" w:eastAsia="Amiri" w:cs="Amiri"/>
          <w:lang w:bidi="ar-SA"/>
          <w:color w:val="111111"/>
          <w:sz w:val="28"/>
          <w:szCs w:val="28"/>
          <w:rtl/>
        </w:rPr>
        <w:t xml:space="preserve">11 .الكناشه، ج13، ص399.</w:t>
      </w:r>
    </w:p>
    <w:p>
      <w:pPr>
        <w:pStyle w:val="BookText"/>
      </w:pPr>
      <w:r>
        <w:rPr>
          <w:rFonts w:ascii="Amiri" w:hAnsi="Amiri" w:eastAsia="Amiri" w:cs="Amiri"/>
          <w:lang w:bidi="ar-SA"/>
          <w:color w:val="111111"/>
          <w:sz w:val="28"/>
          <w:szCs w:val="28"/>
          <w:rtl/>
        </w:rPr>
        <w:t xml:space="preserve">12 .مجموعة في الشعر و النثر وغير</w:t>
      </w:r>
    </w:p>
    <w:p>
      <w:pPr>
        <w:pStyle w:val="BookText"/>
      </w:pPr>
      <w:r>
        <w:rPr>
          <w:rFonts w:ascii="Amiri" w:hAnsi="Amiri" w:eastAsia="Amiri" w:cs="Amiri"/>
          <w:lang w:bidi="ar-SA"/>
          <w:color w:val="111111"/>
          <w:sz w:val="28"/>
          <w:szCs w:val="28"/>
          <w:rtl/>
        </w:rPr>
        <w:t xml:space="preserve">ذلك، ج 14، ص 49.</w:t>
      </w:r>
    </w:p>
    <w:p>
      <w:pPr>
        <w:pStyle w:val="BookText"/>
      </w:pPr>
      <w:r>
        <w:rPr>
          <w:rFonts w:ascii="Amiri" w:hAnsi="Amiri" w:eastAsia="Amiri" w:cs="Amiri"/>
          <w:lang w:bidi="ar-SA"/>
          <w:color w:val="111111"/>
          <w:sz w:val="28"/>
          <w:szCs w:val="28"/>
          <w:rtl/>
        </w:rPr>
        <w:t xml:space="preserve">13 .مختارات من كتب الأدب و</w:t>
      </w:r>
    </w:p>
    <w:p>
      <w:pPr>
        <w:pStyle w:val="BookText"/>
      </w:pPr>
      <w:r>
        <w:rPr>
          <w:rFonts w:ascii="Amiri" w:hAnsi="Amiri" w:eastAsia="Amiri" w:cs="Amiri"/>
          <w:lang w:bidi="ar-SA"/>
          <w:color w:val="111111"/>
          <w:sz w:val="28"/>
          <w:szCs w:val="28"/>
          <w:rtl/>
        </w:rPr>
        <w:t xml:space="preserve">البلاغة، ج 14 ، ص 147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مقتل الامام الحسين (ع) (مختصر)، ج 15، ص 334.</w:t>
      </w:r>
    </w:p>
    <w:p>
      <w:pPr>
        <w:pStyle w:val="Heading2"/>
      </w:pPr>
      <w:bookmarkStart w:id="967" w:name="_Toc69"/>
      <w:r>
        <w:t>آل كاشف الغطاء ، محمّد رضا بن هادي</w:t>
      </w:r>
      <w:bookmarkEnd w:id="967"/>
    </w:p>
    <w:p>
      <w:pPr>
        <w:pStyle w:val="BookText"/>
      </w:pPr>
      <w:r>
        <w:rPr>
          <w:rFonts w:ascii="IRNazanin" w:hAnsi="IRNazanin" w:eastAsia="IRNazanin" w:cs="IRNazanin"/>
          <w:lang w:bidi="fa-IR"/>
          <w:color w:val="111111"/>
          <w:sz w:val="28"/>
          <w:szCs w:val="28"/>
          <w:rtl/>
        </w:rPr>
        <w:t xml:space="preserve">1311 - 1366ه-</w:t>
      </w:r>
    </w:p>
    <w:p>
      <w:pPr>
        <w:pStyle w:val="BookText"/>
      </w:pPr>
      <w:r>
        <w:rPr>
          <w:rFonts w:ascii="Amiri" w:hAnsi="Amiri" w:eastAsia="Amiri" w:cs="Amiri"/>
          <w:lang w:bidi="ar-SA"/>
          <w:color w:val="111111"/>
          <w:sz w:val="28"/>
          <w:szCs w:val="28"/>
          <w:rtl/>
        </w:rPr>
        <w:t xml:space="preserve">1 .تعليقات على المكاسب، ج 4،</w:t>
      </w:r>
    </w:p>
    <w:p>
      <w:pPr>
        <w:pStyle w:val="BookText"/>
      </w:pPr>
      <w:r>
        <w:rPr>
          <w:rFonts w:ascii="IRNazanin" w:hAnsi="IRNazanin" w:eastAsia="IRNazanin" w:cs="IRNazanin"/>
          <w:lang w:bidi="fa-IR"/>
          <w:color w:val="111111"/>
          <w:sz w:val="28"/>
          <w:szCs w:val="28"/>
          <w:rtl/>
        </w:rPr>
        <w:t xml:space="preserve">ص 504 .</w:t>
      </w:r>
    </w:p>
    <w:p>
      <w:pPr>
        <w:pStyle w:val="BookText"/>
      </w:pPr>
      <w:r>
        <w:rPr>
          <w:rFonts w:ascii="IRNazanin" w:hAnsi="IRNazanin" w:eastAsia="IRNazanin" w:cs="IRNazanin"/>
          <w:lang w:bidi="fa-IR"/>
          <w:color w:val="111111"/>
          <w:sz w:val="28"/>
          <w:szCs w:val="28"/>
          <w:rtl/>
        </w:rPr>
        <w:t xml:space="preserve">2 .الصوت و ماهیته و الفرق بين الضاد والظاء، ج 10، ص 651 .</w:t>
      </w:r>
    </w:p>
    <w:p>
      <w:pPr>
        <w:pStyle w:val="BookText"/>
      </w:pPr>
      <w:r>
        <w:rPr>
          <w:rFonts w:ascii="Amiri" w:hAnsi="Amiri" w:eastAsia="Amiri" w:cs="Amiri"/>
          <w:lang w:bidi="ar-SA"/>
          <w:color w:val="111111"/>
          <w:sz w:val="28"/>
          <w:szCs w:val="28"/>
          <w:rtl/>
        </w:rPr>
        <w:t xml:space="preserve">3 .الفقه الكبير (رسالة في)، ج12،</w:t>
      </w:r>
    </w:p>
    <w:p>
      <w:pPr>
        <w:pStyle w:val="BookText"/>
      </w:pPr>
      <w:r>
        <w:rPr>
          <w:rFonts w:ascii="IRNazanin" w:hAnsi="IRNazanin" w:eastAsia="IRNazanin" w:cs="IRNazanin"/>
          <w:lang w:bidi="fa-IR"/>
          <w:color w:val="111111"/>
          <w:sz w:val="28"/>
          <w:szCs w:val="28"/>
          <w:rtl/>
        </w:rPr>
        <w:t xml:space="preserve">ص 110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مباحث اصولية، ج13، ص 709.</w:t>
      </w:r>
    </w:p>
    <w:p>
      <w:pPr>
        <w:pStyle w:val="BookText"/>
      </w:pPr>
      <w:r>
        <w:rPr>
          <w:rFonts w:ascii="Amiri" w:hAnsi="Amiri" w:eastAsia="Amiri" w:cs="Amiri"/>
          <w:lang w:bidi="ar-SA"/>
          <w:color w:val="111111"/>
          <w:sz w:val="28"/>
          <w:szCs w:val="28"/>
          <w:rtl/>
        </w:rPr>
        <w:t xml:space="preserve">5 .نقد الاقتراحات المصرية، ج 16،</w:t>
      </w:r>
    </w:p>
    <w:p>
      <w:pPr>
        <w:pStyle w:val="BookText"/>
      </w:pPr>
      <w:r>
        <w:rPr>
          <w:rFonts w:ascii="IRNazanin" w:hAnsi="IRNazanin" w:eastAsia="IRNazanin" w:cs="IRNazanin"/>
          <w:lang w:bidi="fa-IR"/>
          <w:color w:val="111111"/>
          <w:sz w:val="28"/>
          <w:szCs w:val="28"/>
          <w:rtl/>
        </w:rPr>
        <w:t xml:space="preserve">ص 413.</w:t>
      </w:r>
    </w:p>
    <w:p>
      <w:pPr>
        <w:pStyle w:val="Heading2"/>
      </w:pPr>
      <w:bookmarkStart w:id="968" w:name="_Toc70"/>
      <w:r>
        <w:t>آل كاشف الغطاء ، هادي بن عباس</w:t>
      </w:r>
      <w:bookmarkEnd w:id="968"/>
    </w:p>
    <w:p>
      <w:pPr>
        <w:pStyle w:val="BookText"/>
      </w:pPr>
      <w:r>
        <w:rPr>
          <w:rFonts w:ascii="IRNazanin" w:hAnsi="IRNazanin" w:eastAsia="IRNazanin" w:cs="IRNazanin"/>
          <w:lang w:bidi="fa-IR"/>
          <w:color w:val="111111"/>
          <w:sz w:val="28"/>
          <w:szCs w:val="28"/>
          <w:rtl/>
        </w:rPr>
        <w:t xml:space="preserve">1389 - 1361ه-</w:t>
      </w:r>
    </w:p>
    <w:p>
      <w:pPr>
        <w:pStyle w:val="BookText"/>
      </w:pPr>
      <w:r>
        <w:rPr>
          <w:rFonts w:ascii="Amiri" w:hAnsi="Amiri" w:eastAsia="Amiri" w:cs="Amiri"/>
          <w:lang w:bidi="ar-SA"/>
          <w:color w:val="111111"/>
          <w:sz w:val="28"/>
          <w:szCs w:val="28"/>
          <w:rtl/>
        </w:rPr>
        <w:t xml:space="preserve">1 .احدهما في جواب ايهما، ج1،</w:t>
      </w:r>
    </w:p>
    <w:p>
      <w:pPr>
        <w:pStyle w:val="BookText"/>
      </w:pPr>
      <w:r>
        <w:rPr>
          <w:rFonts w:ascii="IRNazanin" w:hAnsi="IRNazanin" w:eastAsia="IRNazanin" w:cs="IRNazanin"/>
          <w:lang w:bidi="fa-IR"/>
          <w:color w:val="111111"/>
          <w:sz w:val="28"/>
          <w:szCs w:val="28"/>
          <w:rtl/>
        </w:rPr>
        <w:t xml:space="preserve">ص 441 .</w:t>
      </w:r>
    </w:p>
    <w:p>
      <w:pPr>
        <w:pStyle w:val="BookText"/>
      </w:pPr>
      <w:r>
        <w:rPr>
          <w:rFonts w:ascii="Amiri" w:hAnsi="Amiri" w:eastAsia="Amiri" w:cs="Amiri"/>
          <w:lang w:bidi="ar-SA"/>
          <w:color w:val="111111"/>
          <w:sz w:val="28"/>
          <w:szCs w:val="28"/>
          <w:rtl/>
        </w:rPr>
        <w:t xml:space="preserve">2 .التجويد( رسالة في)، ج 3، ص 707.</w:t>
      </w:r>
    </w:p>
    <w:p>
      <w:pPr>
        <w:pStyle w:val="BookText"/>
      </w:pPr>
      <w:r>
        <w:rPr>
          <w:rFonts w:ascii="Amiri" w:hAnsi="Amiri" w:eastAsia="Amiri" w:cs="Amiri"/>
          <w:lang w:bidi="ar-SA"/>
          <w:color w:val="111111"/>
          <w:sz w:val="28"/>
          <w:szCs w:val="28"/>
          <w:rtl/>
        </w:rPr>
        <w:t xml:space="preserve">3.تقريرات الشيخ ضياء العراقي، جع،</w:t>
      </w:r>
    </w:p>
    <w:p>
      <w:pPr>
        <w:pStyle w:val="BookText"/>
      </w:pPr>
      <w:r>
        <w:rPr>
          <w:rFonts w:ascii="IRNazanin" w:hAnsi="IRNazanin" w:eastAsia="IRNazanin" w:cs="IRNazanin"/>
          <w:lang w:bidi="fa-IR"/>
          <w:color w:val="111111"/>
          <w:sz w:val="28"/>
          <w:szCs w:val="28"/>
          <w:rtl/>
        </w:rPr>
        <w:t xml:space="preserve">ص 759 .</w:t>
      </w:r>
    </w:p>
    <w:p>
      <w:pPr>
        <w:pStyle w:val="BookText"/>
      </w:pPr>
      <w:r>
        <w:rPr>
          <w:rFonts w:ascii="Amiri" w:hAnsi="Amiri" w:eastAsia="Amiri" w:cs="Amiri"/>
          <w:lang w:bidi="ar-SA"/>
          <w:color w:val="111111"/>
          <w:sz w:val="28"/>
          <w:szCs w:val="28"/>
          <w:rtl/>
        </w:rPr>
        <w:t xml:space="preserve">4 .تقريرات الفقه من بحث النائيني</w:t>
      </w:r>
    </w:p>
    <w:p>
      <w:pPr>
        <w:pStyle w:val="BookText"/>
      </w:pPr>
      <w:r>
        <w:rPr>
          <w:rFonts w:ascii="IRNazanin" w:hAnsi="IRNazanin" w:eastAsia="IRNazanin" w:cs="IRNazanin"/>
          <w:lang w:bidi="fa-IR"/>
          <w:color w:val="111111"/>
          <w:sz w:val="28"/>
          <w:szCs w:val="28"/>
          <w:rtl/>
        </w:rPr>
        <w:t xml:space="preserve">، ج 4، ص 766 .</w:t>
      </w:r>
    </w:p>
    <w:p>
      <w:pPr>
        <w:pStyle w:val="BookText"/>
      </w:pPr>
      <w:r>
        <w:rPr>
          <w:rFonts w:ascii="Amiri" w:hAnsi="Amiri" w:eastAsia="Amiri" w:cs="Amiri"/>
          <w:lang w:bidi="ar-SA"/>
          <w:color w:val="111111"/>
          <w:sz w:val="28"/>
          <w:szCs w:val="28"/>
          <w:rtl/>
        </w:rPr>
        <w:t xml:space="preserve">5 .الرسائل الجعفرية في الرد على</w:t>
      </w:r>
    </w:p>
    <w:p>
      <w:pPr>
        <w:pStyle w:val="BookText"/>
      </w:pPr>
      <w:r>
        <w:rPr>
          <w:rFonts w:ascii="Amiri" w:hAnsi="Amiri" w:eastAsia="Amiri" w:cs="Amiri"/>
          <w:lang w:bidi="ar-SA"/>
          <w:color w:val="111111"/>
          <w:sz w:val="28"/>
          <w:szCs w:val="28"/>
          <w:rtl/>
        </w:rPr>
        <w:t xml:space="preserve">الوهابية، ج8، ص137.</w:t>
      </w:r>
    </w:p>
    <w:p>
      <w:pPr>
        <w:pStyle w:val="BookText"/>
      </w:pPr>
      <w:r>
        <w:rPr>
          <w:rFonts w:ascii="IRNazanin" w:hAnsi="IRNazanin" w:eastAsia="IRNazanin" w:cs="IRNazanin"/>
          <w:lang w:bidi="fa-IR"/>
          <w:color w:val="111111"/>
          <w:sz w:val="28"/>
          <w:szCs w:val="28"/>
          <w:rtl/>
        </w:rPr>
        <w:t xml:space="preserve">6 .شرح شرائع الاسلام، ج9، ص 627.</w:t>
      </w:r>
    </w:p>
    <w:p>
      <w:pPr>
        <w:pStyle w:val="BookText"/>
      </w:pPr>
      <w:r>
        <w:rPr>
          <w:rFonts w:ascii="Amiri" w:hAnsi="Amiri" w:eastAsia="Amiri" w:cs="Amiri"/>
          <w:lang w:bidi="ar-SA"/>
          <w:color w:val="111111"/>
          <w:sz w:val="28"/>
          <w:szCs w:val="28"/>
          <w:rtl/>
        </w:rPr>
        <w:t xml:space="preserve">7 .شرح على الطهارة، ج 9، ص 749.</w:t>
      </w:r>
    </w:p>
    <w:p>
      <w:pPr>
        <w:pStyle w:val="BookText"/>
      </w:pPr>
      <w:r>
        <w:rPr>
          <w:rFonts w:ascii="Amiri" w:hAnsi="Amiri" w:eastAsia="Amiri" w:cs="Amiri"/>
          <w:lang w:bidi="ar-SA"/>
          <w:color w:val="111111"/>
          <w:sz w:val="28"/>
          <w:szCs w:val="28"/>
          <w:rtl/>
        </w:rPr>
        <w:t xml:space="preserve">8 .الفائقة في النحو، ج11، ص 580</w:t>
      </w:r>
    </w:p>
    <w:p>
      <w:pPr>
        <w:pStyle w:val="BookText"/>
      </w:pPr>
      <w:r>
        <w:rPr>
          <w:rFonts w:ascii="Amiri" w:hAnsi="Amiri" w:eastAsia="Amiri" w:cs="Amiri"/>
          <w:lang w:bidi="ar-SA"/>
          <w:color w:val="111111"/>
          <w:sz w:val="28"/>
          <w:szCs w:val="28"/>
          <w:rtl/>
        </w:rPr>
        <w:t xml:space="preserve">9 .اللمعة البهية و الرد عليها = الرد على اللمعة البهية، ج13، ص 618.</w:t>
      </w:r>
    </w:p>
    <w:p>
      <w:pPr>
        <w:pStyle w:val="BookText"/>
      </w:pPr>
      <w:r>
        <w:rPr>
          <w:rFonts w:ascii="Amiri" w:hAnsi="Amiri" w:eastAsia="Amiri" w:cs="Amiri"/>
          <w:lang w:bidi="ar-SA"/>
          <w:color w:val="111111"/>
          <w:sz w:val="28"/>
          <w:szCs w:val="28"/>
          <w:rtl/>
        </w:rPr>
        <w:t xml:space="preserve">10 .مسائل اصولية، ج 14، ص 436 .</w:t>
      </w:r>
    </w:p>
    <w:p>
      <w:pPr>
        <w:pStyle w:val="BookText"/>
      </w:pPr>
      <w:r>
        <w:rPr>
          <w:rFonts w:ascii="Amiri" w:hAnsi="Amiri" w:eastAsia="Amiri" w:cs="Amiri"/>
          <w:lang w:bidi="ar-SA"/>
          <w:color w:val="111111"/>
          <w:sz w:val="28"/>
          <w:szCs w:val="28"/>
          <w:rtl/>
        </w:rPr>
        <w:t xml:space="preserve">11 .مسائل فقهية، ج 14، ص 465.</w:t>
      </w:r>
    </w:p>
    <w:p>
      <w:pPr>
        <w:pStyle w:val="BookText"/>
      </w:pPr>
      <w:r>
        <w:rPr>
          <w:rFonts w:ascii="Amiri" w:hAnsi="Amiri" w:eastAsia="Amiri" w:cs="Amiri"/>
          <w:lang w:bidi="ar-SA"/>
          <w:color w:val="111111"/>
          <w:sz w:val="28"/>
          <w:szCs w:val="28"/>
          <w:rtl/>
        </w:rPr>
        <w:t xml:space="preserve">12 .المكاسب والمعايش ج 15</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Amiri" w:hAnsi="Amiri" w:eastAsia="Amiri" w:cs="Amiri"/>
          <w:lang w:bidi="ar-SA"/>
          <w:color w:val="111111"/>
          <w:sz w:val="28"/>
          <w:szCs w:val="28"/>
          <w:rtl/>
        </w:rPr>
        <w:t xml:space="preserve">13 .مناسك الحج، ج 15، ص 505.</w:t>
      </w:r>
    </w:p>
    <w:p>
      <w:pPr>
        <w:pStyle w:val="BookText"/>
      </w:pPr>
      <w:r>
        <w:rPr>
          <w:rFonts w:ascii="IRNazanin" w:hAnsi="IRNazanin" w:eastAsia="IRNazanin" w:cs="IRNazanin"/>
          <w:lang w:bidi="fa-IR"/>
          <w:color w:val="111111"/>
          <w:sz w:val="28"/>
          <w:szCs w:val="28"/>
          <w:rtl/>
        </w:rPr>
        <w:t xml:space="preserve">14 .نظم الزهر من نثر القطر، ج 16،</w:t>
      </w:r>
    </w:p>
    <w:p>
      <w:pPr>
        <w:pStyle w:val="BookText"/>
      </w:pPr>
      <w:r>
        <w:rPr>
          <w:rFonts w:ascii="IRNazanin" w:hAnsi="IRNazanin" w:eastAsia="IRNazanin" w:cs="IRNazanin"/>
          <w:lang w:bidi="fa-IR"/>
          <w:color w:val="111111"/>
          <w:sz w:val="28"/>
          <w:szCs w:val="28"/>
          <w:rtl/>
        </w:rPr>
        <w:t xml:space="preserve">ص 343.</w:t>
      </w:r>
    </w:p>
    <w:p>
      <w:pPr>
        <w:pStyle w:val="Heading2"/>
      </w:pPr>
      <w:bookmarkStart w:id="969" w:name="_Toc71"/>
      <w:r>
        <w:t>آل كاظم ، محمّد علي</w:t>
      </w:r>
      <w:bookmarkEnd w:id="969"/>
    </w:p>
    <w:p>
      <w:pPr>
        <w:pStyle w:val="BookText"/>
      </w:pPr>
      <w:r>
        <w:rPr>
          <w:rFonts w:ascii="Amiri" w:hAnsi="Amiri" w:eastAsia="Amiri" w:cs="Amiri"/>
          <w:lang w:bidi="ar-SA"/>
          <w:color w:val="111111"/>
          <w:sz w:val="28"/>
          <w:szCs w:val="28"/>
          <w:rtl/>
        </w:rPr>
        <w:t xml:space="preserve">الخطب المنبرية في المواعظ العصرية</w:t>
      </w:r>
    </w:p>
    <w:p>
      <w:pPr>
        <w:pStyle w:val="BookText"/>
      </w:pPr>
      <w:r>
        <w:rPr>
          <w:rFonts w:ascii="IRNazanin" w:hAnsi="IRNazanin" w:eastAsia="IRNazanin" w:cs="IRNazanin"/>
          <w:lang w:bidi="fa-IR"/>
          <w:color w:val="111111"/>
          <w:sz w:val="28"/>
          <w:szCs w:val="28"/>
          <w:rtl/>
        </w:rPr>
        <w:t xml:space="preserve">ج 7، ص 59.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7742_69357"/>
    <w:bookmarkEnd w:id="14"/>
    <w:p>
      <w:pPr>
        <w:pStyle w:val="BookText"/>
      </w:pPr>
      <w:r>
        <w:rPr>
          <w:rFonts w:ascii="IRNazanin" w:hAnsi="IRNazanin" w:eastAsia="IRNazanin" w:cs="IRNazanin"/>
          <w:lang w:bidi="fa-IR"/>
          <w:color w:val="111111"/>
          <w:sz w:val="28"/>
          <w:szCs w:val="28"/>
          <w:rtl/>
        </w:rPr>
        <w:t xml:space="preserve">آل کبه ، محمّد حسن بن محمّد</w:t>
      </w:r>
    </w:p>
    <w:p>
      <w:pPr>
        <w:pStyle w:val="BookText"/>
      </w:pPr>
      <w:r>
        <w:rPr>
          <w:rFonts w:ascii="Amiri" w:hAnsi="Amiri" w:eastAsia="Amiri" w:cs="Amiri"/>
          <w:lang w:bidi="ar-SA"/>
          <w:color w:val="111111"/>
          <w:sz w:val="28"/>
          <w:szCs w:val="28"/>
          <w:rtl/>
        </w:rPr>
        <w:t xml:space="preserve">صالح -كبه ، محمّد حسن بن محمّد صالح</w:t>
      </w:r>
    </w:p>
    <w:p>
      <w:pPr>
        <w:pStyle w:val="BookText"/>
      </w:pPr>
      <w:r>
        <w:rPr>
          <w:rFonts w:ascii="Amiri" w:hAnsi="Amiri" w:eastAsia="Amiri" w:cs="Amiri"/>
          <w:lang w:bidi="ar-SA"/>
          <w:color w:val="111111"/>
          <w:sz w:val="28"/>
          <w:szCs w:val="28"/>
          <w:rtl/>
        </w:rPr>
        <w:t xml:space="preserve">آل كبه بغدادي ، عيسى بن</w:t>
      </w:r>
    </w:p>
    <w:p>
      <w:pPr>
        <w:pStyle w:val="BookText"/>
      </w:pPr>
      <w:r>
        <w:rPr>
          <w:rFonts w:ascii="Amiri" w:hAnsi="Amiri" w:eastAsia="Amiri" w:cs="Amiri"/>
          <w:lang w:bidi="ar-SA"/>
          <w:color w:val="111111"/>
          <w:sz w:val="28"/>
          <w:szCs w:val="28"/>
          <w:rtl/>
        </w:rPr>
        <w:t xml:space="preserve">حسينعلي -ابن كبه ، عيسى بن حسينعلي</w:t>
      </w:r>
    </w:p>
    <w:p>
      <w:pPr>
        <w:pStyle w:val="Heading2"/>
      </w:pPr>
      <w:bookmarkStart w:id="970" w:name="_Toc72"/>
      <w:r>
        <w:t>آل كمال الدين حلي ، جعفر بن حمد</w:t>
      </w:r>
      <w:bookmarkEnd w:id="970"/>
    </w:p>
    <w:p>
      <w:pPr>
        <w:pStyle w:val="BookText"/>
      </w:pPr>
      <w:r>
        <w:rPr>
          <w:rFonts w:ascii="IRNazanin" w:hAnsi="IRNazanin" w:eastAsia="IRNazanin" w:cs="IRNazanin"/>
          <w:lang w:bidi="fa-IR"/>
          <w:color w:val="111111"/>
          <w:sz w:val="28"/>
          <w:szCs w:val="28"/>
          <w:rtl/>
        </w:rPr>
        <w:t xml:space="preserve">سحر بابل و سجع البلابل، ج8،</w:t>
      </w:r>
    </w:p>
    <w:p>
      <w:pPr>
        <w:pStyle w:val="BookText"/>
      </w:pPr>
      <w:r>
        <w:rPr>
          <w:rFonts w:ascii="IRNazanin" w:hAnsi="IRNazanin" w:eastAsia="IRNazanin" w:cs="IRNazanin"/>
          <w:lang w:bidi="fa-IR"/>
          <w:color w:val="111111"/>
          <w:sz w:val="28"/>
          <w:szCs w:val="28"/>
          <w:rtl/>
        </w:rPr>
        <w:t xml:space="preserve">ص 719.</w:t>
      </w:r>
    </w:p>
    <w:p>
      <w:pPr>
        <w:pStyle w:val="Heading2"/>
      </w:pPr>
      <w:bookmarkStart w:id="971" w:name="_Toc73"/>
      <w:r>
        <w:t>آل كمون حسيني ، محمّد علي بن محمّد</w:t>
      </w:r>
      <w:bookmarkEnd w:id="971"/>
    </w:p>
    <w:p>
      <w:pPr>
        <w:pStyle w:val="BookText"/>
      </w:pPr>
      <w:r>
        <w:rPr>
          <w:rFonts w:ascii="IRNazanin" w:hAnsi="IRNazanin" w:eastAsia="IRNazanin" w:cs="IRNazanin"/>
          <w:lang w:bidi="fa-IR"/>
          <w:color w:val="111111"/>
          <w:sz w:val="28"/>
          <w:szCs w:val="28"/>
          <w:rtl/>
        </w:rPr>
        <w:t xml:space="preserve">صادق قرن 12 ه-</w:t>
      </w:r>
    </w:p>
    <w:p>
      <w:pPr>
        <w:pStyle w:val="BookText"/>
      </w:pPr>
      <w:r>
        <w:rPr>
          <w:rFonts w:ascii="IRNazanin" w:hAnsi="IRNazanin" w:eastAsia="IRNazanin" w:cs="IRNazanin"/>
          <w:lang w:bidi="fa-IR"/>
          <w:color w:val="111111"/>
          <w:sz w:val="28"/>
          <w:szCs w:val="28"/>
          <w:rtl/>
        </w:rPr>
        <w:t xml:space="preserve">دیوان ابن كمونه محمّد علي بن محمّد آل کمونه اسدي، ج7، ص 537</w:t>
      </w:r>
    </w:p>
    <w:p>
      <w:pPr>
        <w:pStyle w:val="BookText"/>
      </w:pPr>
      <w:r>
        <w:rPr>
          <w:rFonts w:ascii="Amiri" w:hAnsi="Amiri" w:eastAsia="Amiri" w:cs="Amiri"/>
          <w:lang w:bidi="ar-SA"/>
          <w:color w:val="111111"/>
          <w:sz w:val="28"/>
          <w:szCs w:val="28"/>
          <w:rtl/>
        </w:rPr>
        <w:t xml:space="preserve">آل كمونه ، عبدالحسين بن علي حسيني</w:t>
      </w:r>
    </w:p>
    <w:p>
      <w:pPr>
        <w:pStyle w:val="BookText"/>
      </w:pPr>
      <w:r>
        <w:rPr>
          <w:rFonts w:ascii="Amiri" w:hAnsi="Amiri" w:eastAsia="Amiri" w:cs="Amiri"/>
          <w:lang w:bidi="ar-SA"/>
          <w:color w:val="111111"/>
          <w:sz w:val="28"/>
          <w:szCs w:val="28"/>
          <w:rtl/>
        </w:rPr>
        <w:t xml:space="preserve">آل كمونه ، عبدالحسين بن علي</w:t>
      </w:r>
    </w:p>
    <w:p>
      <w:pPr>
        <w:pStyle w:val="Heading2"/>
      </w:pPr>
      <w:bookmarkStart w:id="972" w:name="_Toc74"/>
      <w:r>
        <w:t>آل لطف الله ، حسين بن علي دیوان بحراني، ج7، ص588</w:t>
      </w:r>
      <w:bookmarkEnd w:id="972"/>
    </w:p>
    <w:p>
      <w:pPr>
        <w:pStyle w:val="BookText"/>
      </w:pPr>
      <w:r>
        <w:rPr>
          <w:rFonts w:ascii="Amiri" w:hAnsi="Amiri" w:eastAsia="Amiri" w:cs="Amiri"/>
          <w:lang w:bidi="ar-SA"/>
          <w:color w:val="111111"/>
          <w:sz w:val="28"/>
          <w:szCs w:val="28"/>
          <w:rtl/>
        </w:rPr>
        <w:t xml:space="preserve">آل محسن ، محمّد حسن بن حمادي ابي</w:t>
      </w:r>
    </w:p>
    <w:p>
      <w:pPr>
        <w:pStyle w:val="BookText"/>
      </w:pPr>
      <w:r>
        <w:rPr>
          <w:rFonts w:ascii="Amiri" w:hAnsi="Amiri" w:eastAsia="Amiri" w:cs="Amiri"/>
          <w:lang w:bidi="ar-SA"/>
          <w:color w:val="111111"/>
          <w:sz w:val="28"/>
          <w:szCs w:val="28"/>
          <w:rtl/>
        </w:rPr>
        <w:t xml:space="preserve">المحاسن كربلائي ، محمّد حسن بن حمادي آل محضر باشي ، قاسم بن يحيى - موصلي ،</w:t>
      </w:r>
    </w:p>
    <w:p>
      <w:pPr>
        <w:pStyle w:val="BookText"/>
      </w:pPr>
      <w:r>
        <w:rPr>
          <w:rFonts w:ascii="Amiri" w:hAnsi="Amiri" w:eastAsia="Amiri" w:cs="Amiri"/>
          <w:lang w:bidi="ar-SA"/>
          <w:color w:val="111111"/>
          <w:sz w:val="28"/>
          <w:szCs w:val="28"/>
          <w:rtl/>
        </w:rPr>
        <w:t xml:space="preserve">قاسم بن يحيى آل محضر باشي ، محمّد بن عبدالله فهمي</w:t>
      </w:r>
    </w:p>
    <w:p>
      <w:pPr>
        <w:pStyle w:val="BookText"/>
      </w:pPr>
      <w:r>
        <w:rPr>
          <w:rFonts w:ascii="IRNazanin" w:hAnsi="IRNazanin" w:eastAsia="IRNazanin" w:cs="IRNazanin"/>
          <w:lang w:bidi="fa-IR"/>
          <w:color w:val="111111"/>
          <w:sz w:val="28"/>
          <w:szCs w:val="28"/>
          <w:rtl/>
        </w:rPr>
        <w:t xml:space="preserve">، محمد بن عبدالله</w:t>
      </w:r>
    </w:p>
    <w:p>
      <w:pPr>
        <w:pStyle w:val="Heading2"/>
      </w:pPr>
      <w:bookmarkStart w:id="973" w:name="_Toc75"/>
      <w:r>
        <w:t>آل محي الدين عاملي ، محمّد بن يوسف</w:t>
      </w:r>
      <w:bookmarkEnd w:id="973"/>
    </w:p>
    <w:p>
      <w:pPr>
        <w:pStyle w:val="BookText"/>
      </w:pPr>
      <w:r>
        <w:rPr>
          <w:rFonts w:ascii="Amiri" w:hAnsi="Amiri" w:eastAsia="Amiri" w:cs="Amiri"/>
          <w:lang w:bidi="ar-SA"/>
          <w:color w:val="111111"/>
          <w:sz w:val="28"/>
          <w:szCs w:val="28"/>
          <w:rtl/>
        </w:rPr>
        <w:t xml:space="preserve">شرح شرح مفاتيح الشرايع، ج9،</w:t>
      </w:r>
    </w:p>
    <w:p>
      <w:pPr>
        <w:pStyle w:val="BookText"/>
      </w:pPr>
      <w:r>
        <w:rPr>
          <w:rFonts w:ascii="IRNazanin" w:hAnsi="IRNazanin" w:eastAsia="IRNazanin" w:cs="IRNazanin"/>
          <w:lang w:bidi="fa-IR"/>
          <w:color w:val="111111"/>
          <w:sz w:val="28"/>
          <w:szCs w:val="28"/>
          <w:rtl/>
        </w:rPr>
        <w:t xml:space="preserve">ص 634 .</w:t>
      </w:r>
    </w:p>
    <w:p>
      <w:pPr>
        <w:pStyle w:val="BookText"/>
      </w:pPr>
      <w:r>
        <w:rPr>
          <w:rFonts w:ascii="IRNazanin" w:hAnsi="IRNazanin" w:eastAsia="IRNazanin" w:cs="IRNazanin"/>
          <w:lang w:bidi="fa-IR"/>
          <w:color w:val="111111"/>
          <w:sz w:val="28"/>
          <w:szCs w:val="28"/>
          <w:rtl/>
        </w:rPr>
        <w:t xml:space="preserve">آل مظفر ، محمّد حسن بن محمّد مظفر</w:t>
      </w:r>
    </w:p>
    <w:p>
      <w:pPr>
        <w:pStyle w:val="BookText"/>
      </w:pPr>
      <w:r>
        <w:rPr>
          <w:rFonts w:ascii="Amiri" w:hAnsi="Amiri" w:eastAsia="Amiri" w:cs="Amiri"/>
          <w:lang w:bidi="ar-SA"/>
          <w:color w:val="111111"/>
          <w:sz w:val="28"/>
          <w:szCs w:val="28"/>
          <w:rtl/>
        </w:rPr>
        <w:t xml:space="preserve">، محمّد حسن بن محمّد</w:t>
      </w:r>
    </w:p>
    <w:p>
      <w:pPr>
        <w:pStyle w:val="Heading2"/>
      </w:pPr>
      <w:bookmarkStart w:id="974" w:name="_Toc76"/>
      <w:r>
        <w:t>آل ملا یوسف ، اکرم عبدالوهاب محمّد</w:t>
      </w:r>
      <w:bookmarkEnd w:id="974"/>
    </w:p>
    <w:p>
      <w:pPr>
        <w:pStyle w:val="BookText"/>
      </w:pPr>
      <w:r>
        <w:rPr>
          <w:rFonts w:ascii="Amiri" w:hAnsi="Amiri" w:eastAsia="Amiri" w:cs="Amiri"/>
          <w:lang w:bidi="ar-SA"/>
          <w:color w:val="111111"/>
          <w:sz w:val="28"/>
          <w:szCs w:val="28"/>
          <w:rtl/>
        </w:rPr>
        <w:t xml:space="preserve">امين 1374 ه-</w:t>
      </w:r>
    </w:p>
    <w:p>
      <w:pPr>
        <w:pStyle w:val="BookText"/>
      </w:pPr>
      <w:r>
        <w:rPr>
          <w:rFonts w:ascii="Amiri" w:hAnsi="Amiri" w:eastAsia="Amiri" w:cs="Amiri"/>
          <w:lang w:bidi="ar-SA"/>
          <w:color w:val="111111"/>
          <w:sz w:val="28"/>
          <w:szCs w:val="28"/>
          <w:rtl/>
        </w:rPr>
        <w:t xml:space="preserve">1 .الروض العطر في ما يتعلق بسيدي</w:t>
      </w:r>
    </w:p>
    <w:p>
      <w:pPr>
        <w:pStyle w:val="BookText"/>
      </w:pPr>
      <w:r>
        <w:rPr>
          <w:rFonts w:ascii="Amiri" w:hAnsi="Amiri" w:eastAsia="Amiri" w:cs="Amiri"/>
          <w:lang w:bidi="ar-SA"/>
          <w:color w:val="111111"/>
          <w:sz w:val="28"/>
          <w:szCs w:val="28"/>
          <w:rtl/>
        </w:rPr>
        <w:t xml:space="preserve">ابي العباس الخضر، ج8، ص 466 .</w:t>
      </w:r>
    </w:p>
    <w:p>
      <w:pPr>
        <w:pStyle w:val="BookText"/>
      </w:pPr>
      <w:r>
        <w:rPr>
          <w:rFonts w:ascii="Amiri" w:hAnsi="Amiri" w:eastAsia="Amiri" w:cs="Amiri"/>
          <w:lang w:bidi="ar-SA"/>
          <w:color w:val="111111"/>
          <w:sz w:val="28"/>
          <w:szCs w:val="28"/>
          <w:rtl/>
        </w:rPr>
        <w:t xml:space="preserve">2 .فتح السلام في تحقيق رسالة كف</w:t>
      </w:r>
    </w:p>
    <w:p>
      <w:pPr>
        <w:pStyle w:val="BookText"/>
      </w:pPr>
      <w:r>
        <w:rPr>
          <w:rFonts w:ascii="IRNazanin" w:hAnsi="IRNazanin" w:eastAsia="IRNazanin" w:cs="IRNazanin"/>
          <w:lang w:bidi="fa-IR"/>
          <w:color w:val="111111"/>
          <w:sz w:val="28"/>
          <w:szCs w:val="28"/>
          <w:rtl/>
        </w:rPr>
        <w:t xml:space="preserve">الملام، ج 11، ص 657.</w:t>
      </w:r>
    </w:p>
    <w:p>
      <w:pPr>
        <w:pStyle w:val="BookText"/>
      </w:pPr>
      <w:r>
        <w:rPr>
          <w:rFonts w:ascii="IRNazanin" w:hAnsi="IRNazanin" w:eastAsia="IRNazanin" w:cs="IRNazanin"/>
          <w:lang w:bidi="fa-IR"/>
          <w:color w:val="111111"/>
          <w:sz w:val="28"/>
          <w:szCs w:val="28"/>
          <w:rtl/>
        </w:rPr>
        <w:t xml:space="preserve">آل ملا یوسف ، محمبد امین بن محمّد سعيد افندي ، محمّد امین بن محمّد سعید</w:t>
      </w:r>
    </w:p>
    <w:p>
      <w:pPr>
        <w:pStyle w:val="Heading2"/>
      </w:pPr>
      <w:bookmarkStart w:id="975" w:name="_Toc77"/>
      <w:r>
        <w:t>آلوسي ابراهيم بن محمّد ثابت - 1951م</w:t>
      </w:r>
      <w:bookmarkEnd w:id="975"/>
    </w:p>
    <w:p>
      <w:pPr>
        <w:pStyle w:val="BookText"/>
      </w:pPr>
      <w:r>
        <w:rPr>
          <w:rFonts w:ascii="Amiri" w:hAnsi="Amiri" w:eastAsia="Amiri" w:cs="Amiri"/>
          <w:lang w:bidi="ar-SA"/>
          <w:color w:val="111111"/>
          <w:sz w:val="28"/>
          <w:szCs w:val="28"/>
          <w:rtl/>
        </w:rPr>
        <w:t xml:space="preserve">1 .التوحيد و الادعية (مجموعة في)،</w:t>
      </w:r>
    </w:p>
    <w:p>
      <w:pPr>
        <w:pStyle w:val="BookText"/>
      </w:pPr>
      <w:r>
        <w:rPr>
          <w:rFonts w:ascii="IRNazanin" w:hAnsi="IRNazanin" w:eastAsia="IRNazanin" w:cs="IRNazanin"/>
          <w:lang w:bidi="fa-IR"/>
          <w:color w:val="111111"/>
          <w:sz w:val="28"/>
          <w:szCs w:val="28"/>
          <w:rtl/>
        </w:rPr>
        <w:t xml:space="preserve">ج 5، ص 159.</w:t>
      </w:r>
    </w:p>
    <w:p>
      <w:pPr>
        <w:pStyle w:val="BookText"/>
      </w:pPr>
      <w:r>
        <w:rPr>
          <w:rFonts w:ascii="Amiri" w:hAnsi="Amiri" w:eastAsia="Amiri" w:cs="Amiri"/>
          <w:lang w:bidi="ar-SA"/>
          <w:color w:val="111111"/>
          <w:sz w:val="28"/>
          <w:szCs w:val="28"/>
          <w:rtl/>
        </w:rPr>
        <w:t xml:space="preserve">2 .شواهد قطر الندى للفاكهي، ج 10،</w:t>
      </w:r>
    </w:p>
    <w:p>
      <w:pPr>
        <w:pStyle w:val="BookText"/>
      </w:pPr>
      <w:r>
        <w:rPr>
          <w:rFonts w:ascii="IRNazanin" w:hAnsi="IRNazanin" w:eastAsia="IRNazanin" w:cs="IRNazanin"/>
          <w:lang w:bidi="fa-IR"/>
          <w:color w:val="111111"/>
          <w:sz w:val="28"/>
          <w:szCs w:val="28"/>
          <w:rtl/>
        </w:rPr>
        <w:t xml:space="preserve">ص 453 .</w:t>
      </w:r>
    </w:p>
    <w:p>
      <w:pPr>
        <w:pStyle w:val="Heading2"/>
      </w:pPr>
      <w:bookmarkStart w:id="976" w:name="_Toc78"/>
      <w:r>
        <w:t>آلوسي ، ابوبکر بن خضر</w:t>
      </w:r>
      <w:bookmarkEnd w:id="976"/>
    </w:p>
    <w:p>
      <w:pPr>
        <w:pStyle w:val="BookText"/>
      </w:pPr>
      <w:r>
        <w:rPr>
          <w:rFonts w:ascii="Amiri" w:hAnsi="Amiri" w:eastAsia="Amiri" w:cs="Amiri"/>
          <w:lang w:bidi="ar-SA"/>
          <w:color w:val="111111"/>
          <w:sz w:val="28"/>
          <w:szCs w:val="28"/>
          <w:rtl/>
        </w:rPr>
        <w:t xml:space="preserve">اجازة لمحمود بن عبد الجليل الخضري</w:t>
      </w:r>
    </w:p>
    <w:p>
      <w:pPr>
        <w:pStyle w:val="BookText"/>
      </w:pPr>
      <w:r>
        <w:rPr>
          <w:rFonts w:ascii="Amiri" w:hAnsi="Amiri" w:eastAsia="Amiri" w:cs="Amiri"/>
          <w:lang w:bidi="ar-SA"/>
          <w:color w:val="111111"/>
          <w:sz w:val="28"/>
          <w:szCs w:val="28"/>
          <w:rtl/>
        </w:rPr>
        <w:t xml:space="preserve">الموصلي، ج 1، ص288</w:t>
      </w:r>
    </w:p>
    <w:p>
      <w:pPr>
        <w:pStyle w:val="Heading2"/>
      </w:pPr>
      <w:bookmarkStart w:id="977" w:name="_Toc79"/>
      <w:r>
        <w:t>آلوسي ، ابوبكر بن مصطفى</w:t>
      </w:r>
      <w:bookmarkEnd w:id="977"/>
    </w:p>
    <w:p>
      <w:pPr>
        <w:pStyle w:val="BookText"/>
      </w:pPr>
      <w:r>
        <w:rPr>
          <w:rFonts w:ascii="IRNazanin" w:hAnsi="IRNazanin" w:eastAsia="IRNazanin" w:cs="IRNazanin"/>
          <w:lang w:bidi="fa-IR"/>
          <w:color w:val="111111"/>
          <w:sz w:val="28"/>
          <w:szCs w:val="28"/>
          <w:rtl/>
        </w:rPr>
        <w:t xml:space="preserve">ديوان ابوبکر الآلوسي، ج7، ص 550.</w:t>
      </w:r>
    </w:p>
    <w:p>
      <w:pPr>
        <w:pStyle w:val="BookText"/>
      </w:pPr>
      <w:r>
        <w:rPr>
          <w:rFonts w:ascii="Amiri" w:hAnsi="Amiri" w:eastAsia="Amiri" w:cs="Amiri"/>
          <w:lang w:bidi="ar-SA"/>
          <w:color w:val="111111"/>
          <w:sz w:val="28"/>
          <w:szCs w:val="28"/>
          <w:rtl/>
        </w:rPr>
        <w:t xml:space="preserve">آلوسي ، احمد بن عبد الحميد قرن 13 ه-</w:t>
      </w:r>
    </w:p>
    <w:p>
      <w:pPr>
        <w:pStyle w:val="BookText"/>
      </w:pPr>
      <w:r>
        <w:rPr>
          <w:rFonts w:ascii="Amiri" w:hAnsi="Amiri" w:eastAsia="Amiri" w:cs="Amiri"/>
          <w:lang w:bidi="ar-SA"/>
          <w:color w:val="111111"/>
          <w:sz w:val="28"/>
          <w:szCs w:val="28"/>
          <w:rtl/>
        </w:rPr>
        <w:t xml:space="preserve">ارشاد العباد إلى طريق الجهاد، ج 2،</w:t>
      </w:r>
    </w:p>
    <w:p>
      <w:pPr>
        <w:pStyle w:val="BookText"/>
      </w:pPr>
      <w:r>
        <w:rPr>
          <w:rFonts w:ascii="IRNazanin" w:hAnsi="IRNazanin" w:eastAsia="IRNazanin" w:cs="IRNazanin"/>
          <w:lang w:bidi="fa-IR"/>
          <w:color w:val="111111"/>
          <w:sz w:val="28"/>
          <w:szCs w:val="28"/>
          <w:rtl/>
        </w:rPr>
        <w:t xml:space="preserve">ص 32.</w:t>
      </w:r>
    </w:p>
    <w:p>
      <w:pPr>
        <w:pStyle w:val="Heading2"/>
      </w:pPr>
      <w:bookmarkStart w:id="978" w:name="_Toc80"/>
      <w:r>
        <w:t>آلوسي احمد شاكر بن محمود - 1330ه-</w:t>
      </w:r>
      <w:bookmarkEnd w:id="978"/>
    </w:p>
    <w:p>
      <w:pPr>
        <w:pStyle w:val="BookText"/>
      </w:pPr>
      <w:r>
        <w:rPr>
          <w:rFonts w:ascii="Amiri" w:hAnsi="Amiri" w:eastAsia="Amiri" w:cs="Amiri"/>
          <w:lang w:bidi="ar-SA"/>
          <w:color w:val="111111"/>
          <w:sz w:val="28"/>
          <w:szCs w:val="28"/>
          <w:rtl/>
        </w:rPr>
        <w:t xml:space="preserve">مجموعة أحمد شاكر، ج 14، ص 17.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7742_69359"/>
    <w:bookmarkEnd w:id="15"/>
    <w:p>
      <w:pPr>
        <w:pStyle w:val="Heading2"/>
      </w:pPr>
      <w:bookmarkStart w:id="979" w:name="_Toc81"/>
      <w:r>
        <w:t>آلوسي ، عبدالباقي بن محمود 1250 -</w:t>
      </w:r>
      <w:bookmarkEnd w:id="979"/>
    </w:p>
    <w:p>
      <w:pPr>
        <w:pStyle w:val="BookText"/>
      </w:pPr>
      <w:r>
        <w:rPr>
          <w:rFonts w:ascii="IRNazanin" w:hAnsi="IRNazanin" w:eastAsia="IRNazanin" w:cs="IRNazanin"/>
          <w:lang w:bidi="fa-IR"/>
          <w:color w:val="111111"/>
          <w:sz w:val="28"/>
          <w:szCs w:val="28"/>
          <w:rtl/>
        </w:rPr>
        <w:t xml:space="preserve">1298 ه-</w:t>
      </w:r>
    </w:p>
    <w:p>
      <w:pPr>
        <w:pStyle w:val="BookText"/>
      </w:pPr>
      <w:r>
        <w:rPr>
          <w:rFonts w:ascii="Amiri" w:hAnsi="Amiri" w:eastAsia="Amiri" w:cs="Amiri"/>
          <w:lang w:bidi="ar-SA"/>
          <w:color w:val="111111"/>
          <w:sz w:val="28"/>
          <w:szCs w:val="28"/>
          <w:rtl/>
        </w:rPr>
        <w:t xml:space="preserve">1 .البهجة البهية في اعراب الآجرومية</w:t>
      </w:r>
    </w:p>
    <w:p>
      <w:pPr>
        <w:pStyle w:val="BookText"/>
      </w:pPr>
      <w:r>
        <w:rPr>
          <w:rFonts w:ascii="IRNazanin" w:hAnsi="IRNazanin" w:eastAsia="IRNazanin" w:cs="IRNazanin"/>
          <w:lang w:bidi="fa-IR"/>
          <w:color w:val="111111"/>
          <w:sz w:val="28"/>
          <w:szCs w:val="28"/>
          <w:rtl/>
        </w:rPr>
        <w:t xml:space="preserve">ج 3، ص 416.</w:t>
      </w:r>
    </w:p>
    <w:p>
      <w:pPr>
        <w:pStyle w:val="BookText"/>
      </w:pPr>
      <w:r>
        <w:rPr>
          <w:rFonts w:ascii="Amiri" w:hAnsi="Amiri" w:eastAsia="Amiri" w:cs="Amiri"/>
          <w:lang w:bidi="ar-SA"/>
          <w:color w:val="111111"/>
          <w:sz w:val="28"/>
          <w:szCs w:val="28"/>
          <w:rtl/>
        </w:rPr>
        <w:t xml:space="preserve">2 .الفوائد الآلوسة على الرسالة</w:t>
      </w:r>
    </w:p>
    <w:p>
      <w:pPr>
        <w:pStyle w:val="BookText"/>
      </w:pPr>
      <w:r>
        <w:rPr>
          <w:rFonts w:ascii="Amiri" w:hAnsi="Amiri" w:eastAsia="Amiri" w:cs="Amiri"/>
          <w:lang w:bidi="ar-SA"/>
          <w:color w:val="111111"/>
          <w:sz w:val="28"/>
          <w:szCs w:val="28"/>
          <w:rtl/>
        </w:rPr>
        <w:t xml:space="preserve">الاندلسية، ج 12، ص 174.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فيوضات القريحة في شرح الصفيحة</w:t>
      </w:r>
    </w:p>
    <w:p>
      <w:pPr>
        <w:pStyle w:val="BookText"/>
      </w:pPr>
      <w:r>
        <w:rPr>
          <w:rFonts w:ascii="IRNazanin" w:hAnsi="IRNazanin" w:eastAsia="IRNazanin" w:cs="IRNazanin"/>
          <w:lang w:bidi="fa-IR"/>
          <w:color w:val="111111"/>
          <w:sz w:val="28"/>
          <w:szCs w:val="28"/>
          <w:rtl/>
        </w:rPr>
        <w:t xml:space="preserve">ج 12، ص320.</w:t>
      </w:r>
    </w:p>
    <w:p>
      <w:pPr>
        <w:pStyle w:val="Heading2"/>
      </w:pPr>
      <w:bookmarkStart w:id="980" w:name="_Toc82"/>
      <w:r>
        <w:t>آلوسي ، عبدالحميد بن عبدالله، 1232 -</w:t>
      </w:r>
      <w:bookmarkEnd w:id="980"/>
    </w:p>
    <w:p>
      <w:pPr>
        <w:pStyle w:val="BookText"/>
      </w:pPr>
      <w:r>
        <w:rPr>
          <w:rFonts w:ascii="IRNazanin" w:hAnsi="IRNazanin" w:eastAsia="IRNazanin" w:cs="IRNazanin"/>
          <w:lang w:bidi="fa-IR"/>
          <w:color w:val="111111"/>
          <w:sz w:val="28"/>
          <w:szCs w:val="28"/>
          <w:rtl/>
        </w:rPr>
        <w:t xml:space="preserve">1324ه-</w:t>
      </w:r>
    </w:p>
    <w:p>
      <w:pPr>
        <w:pStyle w:val="BookText"/>
      </w:pPr>
      <w:r>
        <w:rPr>
          <w:rFonts w:ascii="Amiri" w:hAnsi="Amiri" w:eastAsia="Amiri" w:cs="Amiri"/>
          <w:lang w:bidi="ar-SA"/>
          <w:color w:val="111111"/>
          <w:sz w:val="28"/>
          <w:szCs w:val="28"/>
          <w:rtl/>
        </w:rPr>
        <w:t xml:space="preserve">1 .اجازة للخضر البغدادي العاني، ج1،</w:t>
      </w:r>
    </w:p>
    <w:p>
      <w:pPr>
        <w:pStyle w:val="BookText"/>
      </w:pPr>
      <w:r>
        <w:rPr>
          <w:rFonts w:ascii="IRNazanin" w:hAnsi="IRNazanin" w:eastAsia="IRNazanin" w:cs="IRNazanin"/>
          <w:lang w:bidi="fa-IR"/>
          <w:color w:val="111111"/>
          <w:sz w:val="28"/>
          <w:szCs w:val="28"/>
          <w:rtl/>
        </w:rPr>
        <w:t xml:space="preserve">ص 242 .</w:t>
      </w:r>
    </w:p>
    <w:p>
      <w:pPr>
        <w:pStyle w:val="BookText"/>
      </w:pPr>
      <w:r>
        <w:rPr>
          <w:rFonts w:ascii="Amiri" w:hAnsi="Amiri" w:eastAsia="Amiri" w:cs="Amiri"/>
          <w:lang w:bidi="ar-SA"/>
          <w:color w:val="111111"/>
          <w:sz w:val="28"/>
          <w:szCs w:val="28"/>
          <w:rtl/>
        </w:rPr>
        <w:t xml:space="preserve">2 .حياة عبد الحميد الالوسي، ج6،</w:t>
      </w:r>
    </w:p>
    <w:p>
      <w:pPr>
        <w:pStyle w:val="BookText"/>
      </w:pPr>
      <w:r>
        <w:rPr>
          <w:rFonts w:ascii="IRNazanin" w:hAnsi="IRNazanin" w:eastAsia="IRNazanin" w:cs="IRNazanin"/>
          <w:lang w:bidi="fa-IR"/>
          <w:color w:val="111111"/>
          <w:sz w:val="28"/>
          <w:szCs w:val="28"/>
          <w:rtl/>
        </w:rPr>
        <w:t xml:space="preserve">ص 858.</w:t>
      </w:r>
    </w:p>
    <w:p>
      <w:pPr>
        <w:pStyle w:val="Heading2"/>
      </w:pPr>
      <w:bookmarkStart w:id="981" w:name="_Toc83"/>
      <w:r>
        <w:t>آلوسي ، عبدالرحمن - 1284 ه-</w:t>
      </w:r>
      <w:bookmarkEnd w:id="981"/>
    </w:p>
    <w:p>
      <w:pPr>
        <w:pStyle w:val="BookText"/>
      </w:pPr>
      <w:r>
        <w:rPr>
          <w:rFonts w:ascii="Amiri" w:hAnsi="Amiri" w:eastAsia="Amiri" w:cs="Amiri"/>
          <w:lang w:bidi="ar-SA"/>
          <w:color w:val="111111"/>
          <w:sz w:val="28"/>
          <w:szCs w:val="28"/>
          <w:rtl/>
        </w:rPr>
        <w:t xml:space="preserve">المواعظ (كتاب في)، ج 15 ، ص 863.</w:t>
      </w:r>
    </w:p>
    <w:p>
      <w:pPr>
        <w:pStyle w:val="Heading2"/>
      </w:pPr>
      <w:bookmarkStart w:id="982" w:name="_Toc84"/>
      <w:r>
        <w:t>آلوسي ، عبد الله بن محمود، 1248 -</w:t>
      </w:r>
      <w:bookmarkEnd w:id="982"/>
    </w:p>
    <w:p>
      <w:pPr>
        <w:pStyle w:val="BookText"/>
      </w:pPr>
      <w:r>
        <w:rPr>
          <w:rFonts w:ascii="IRNazanin" w:hAnsi="IRNazanin" w:eastAsia="IRNazanin" w:cs="IRNazanin"/>
          <w:lang w:bidi="fa-IR"/>
          <w:color w:val="111111"/>
          <w:sz w:val="28"/>
          <w:szCs w:val="28"/>
          <w:rtl/>
        </w:rPr>
        <w:t xml:space="preserve">1291 ه-</w:t>
      </w:r>
    </w:p>
    <w:p>
      <w:pPr>
        <w:pStyle w:val="BookText"/>
      </w:pPr>
      <w:r>
        <w:rPr>
          <w:rFonts w:ascii="Amiri" w:hAnsi="Amiri" w:eastAsia="Amiri" w:cs="Amiri"/>
          <w:lang w:bidi="ar-SA"/>
          <w:color w:val="111111"/>
          <w:sz w:val="28"/>
          <w:szCs w:val="28"/>
          <w:rtl/>
        </w:rPr>
        <w:t xml:space="preserve">1 .التعطف على التعرّف في الاصلين و</w:t>
      </w:r>
    </w:p>
    <w:p>
      <w:pPr>
        <w:pStyle w:val="BookText"/>
      </w:pPr>
      <w:r>
        <w:rPr>
          <w:rFonts w:ascii="Amiri" w:hAnsi="Amiri" w:eastAsia="Amiri" w:cs="Amiri"/>
          <w:lang w:bidi="ar-SA"/>
          <w:color w:val="111111"/>
          <w:sz w:val="28"/>
          <w:szCs w:val="28"/>
          <w:rtl/>
        </w:rPr>
        <w:t xml:space="preserve">التصوّف - تلخيص قلائد الدرر في شرح رسالة ابن حجر، ج4، ص 481.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شرح الايساغوجي، ج6،</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الروض الخميل في مدائح الجميل</w:t>
      </w:r>
    </w:p>
    <w:p>
      <w:pPr>
        <w:pStyle w:val="BookText"/>
      </w:pPr>
      <w:r>
        <w:rPr>
          <w:rFonts w:ascii="Amiri" w:hAnsi="Amiri" w:eastAsia="Amiri" w:cs="Amiri"/>
          <w:lang w:bidi="ar-SA"/>
          <w:color w:val="111111"/>
          <w:sz w:val="28"/>
          <w:szCs w:val="28"/>
          <w:rtl/>
        </w:rPr>
        <w:t xml:space="preserve">بن الجميل، ج8، ص 461.</w:t>
      </w:r>
    </w:p>
    <w:p>
      <w:pPr>
        <w:pStyle w:val="BookText"/>
      </w:pPr>
      <w:r>
        <w:rPr>
          <w:rFonts w:ascii="Amiri" w:hAnsi="Amiri" w:eastAsia="Amiri" w:cs="Amiri"/>
          <w:lang w:bidi="ar-SA"/>
          <w:color w:val="111111"/>
          <w:sz w:val="28"/>
          <w:szCs w:val="28"/>
          <w:rtl/>
        </w:rPr>
        <w:t xml:space="preserve">4 .محكم النظام في مدائح نقيب مدينة السلام و أنجاله الكرام</w:t>
      </w:r>
    </w:p>
    <w:p>
      <w:pPr>
        <w:pStyle w:val="BookText"/>
      </w:pPr>
      <w:r>
        <w:rPr>
          <w:rFonts w:ascii="IRNazanin" w:hAnsi="IRNazanin" w:eastAsia="IRNazanin" w:cs="IRNazanin"/>
          <w:lang w:bidi="fa-IR"/>
          <w:color w:val="111111"/>
          <w:sz w:val="28"/>
          <w:szCs w:val="28"/>
          <w:rtl/>
        </w:rPr>
        <w:t xml:space="preserve">ج 14 ، ص 130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الواضح، ج 16، ص 679.</w:t>
      </w:r>
    </w:p>
    <w:p>
      <w:pPr>
        <w:pStyle w:val="Heading2"/>
      </w:pPr>
      <w:bookmarkStart w:id="983" w:name="_Toc85"/>
      <w:r>
        <w:t>آلوسي ، علي بن نعمان، 1277 - 1340 ه-</w:t>
      </w:r>
      <w:bookmarkEnd w:id="9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تراجم العلماء، ج 4، ص 229.</w:t>
      </w:r>
    </w:p>
    <w:p>
      <w:pPr>
        <w:pStyle w:val="BookText"/>
      </w:pPr>
      <w:r>
        <w:rPr>
          <w:rFonts w:ascii="Amiri" w:hAnsi="Amiri" w:eastAsia="Amiri" w:cs="Amiri"/>
          <w:lang w:bidi="ar-SA"/>
          <w:color w:val="111111"/>
          <w:sz w:val="28"/>
          <w:szCs w:val="28"/>
          <w:rtl/>
        </w:rPr>
        <w:t xml:space="preserve">2 .تعريب سي فصل في معرفة</w:t>
      </w:r>
    </w:p>
    <w:p>
      <w:pPr>
        <w:pStyle w:val="BookText"/>
      </w:pPr>
      <w:r>
        <w:rPr>
          <w:rFonts w:ascii="IRNazanin" w:hAnsi="IRNazanin" w:eastAsia="IRNazanin" w:cs="IRNazanin"/>
          <w:lang w:bidi="fa-IR"/>
          <w:color w:val="111111"/>
          <w:sz w:val="28"/>
          <w:szCs w:val="28"/>
          <w:rtl/>
        </w:rPr>
        <w:t xml:space="preserve">الاسطرلاب، ج 4، ص 465.</w:t>
      </w:r>
    </w:p>
    <w:p>
      <w:pPr>
        <w:pStyle w:val="BookText"/>
      </w:pPr>
      <w:r>
        <w:rPr>
          <w:rFonts w:ascii="Amiri" w:hAnsi="Amiri" w:eastAsia="Amiri" w:cs="Amiri"/>
          <w:lang w:bidi="ar-SA"/>
          <w:color w:val="111111"/>
          <w:sz w:val="28"/>
          <w:szCs w:val="28"/>
          <w:rtl/>
        </w:rPr>
        <w:t xml:space="preserve">.3 .الدر المنتثر في رجال القرنين الثاني و</w:t>
      </w:r>
    </w:p>
    <w:p>
      <w:pPr>
        <w:pStyle w:val="BookText"/>
      </w:pPr>
      <w:r>
        <w:rPr>
          <w:rFonts w:ascii="IRNazanin" w:hAnsi="IRNazanin" w:eastAsia="IRNazanin" w:cs="IRNazanin"/>
          <w:lang w:bidi="fa-IR"/>
          <w:color w:val="111111"/>
          <w:sz w:val="28"/>
          <w:szCs w:val="28"/>
          <w:rtl/>
        </w:rPr>
        <w:t xml:space="preserve">الثالث عشر، ج 7، ص338</w:t>
      </w:r>
    </w:p>
    <w:p>
      <w:pPr>
        <w:pStyle w:val="BookText"/>
      </w:pPr>
      <w:r>
        <w:rPr>
          <w:rFonts w:ascii="Amiri" w:hAnsi="Amiri" w:eastAsia="Amiri" w:cs="Amiri"/>
          <w:lang w:bidi="ar-SA"/>
          <w:color w:val="111111"/>
          <w:sz w:val="28"/>
          <w:szCs w:val="28"/>
          <w:rtl/>
        </w:rPr>
        <w:t xml:space="preserve">4 .ديوان آلوسي، ج 7، ص 509.</w:t>
      </w:r>
    </w:p>
    <w:p>
      <w:pPr>
        <w:pStyle w:val="BookText"/>
      </w:pPr>
      <w:r>
        <w:rPr>
          <w:rFonts w:ascii="Amiri" w:hAnsi="Amiri" w:eastAsia="Amiri" w:cs="Amiri"/>
          <w:lang w:bidi="ar-SA"/>
          <w:color w:val="111111"/>
          <w:sz w:val="28"/>
          <w:szCs w:val="28"/>
          <w:rtl/>
        </w:rPr>
        <w:t xml:space="preserve">5 .ديوان عزة باشا الفاروقي (منتخب)</w:t>
      </w:r>
    </w:p>
    <w:p>
      <w:pPr>
        <w:pStyle w:val="BookText"/>
      </w:pPr>
      <w:r>
        <w:rPr>
          <w:rFonts w:ascii="Amiri" w:hAnsi="Amiri" w:eastAsia="Amiri" w:cs="Amiri"/>
          <w:lang w:bidi="ar-SA"/>
          <w:color w:val="111111"/>
          <w:sz w:val="28"/>
          <w:szCs w:val="28"/>
          <w:rtl/>
        </w:rPr>
        <w:t xml:space="preserve">= ديوان العمري (الفاروقي)، ج7، ص 719.</w:t>
      </w:r>
    </w:p>
    <w:p>
      <w:pPr>
        <w:pStyle w:val="BookText"/>
      </w:pPr>
      <w:r>
        <w:rPr>
          <w:rFonts w:ascii="Amiri" w:hAnsi="Amiri" w:eastAsia="Amiri" w:cs="Amiri"/>
          <w:lang w:bidi="ar-SA"/>
          <w:color w:val="111111"/>
          <w:sz w:val="28"/>
          <w:szCs w:val="28"/>
          <w:rtl/>
        </w:rPr>
        <w:t xml:space="preserve">6 .الظاء و الضاد (منظومة في)، ج10،</w:t>
      </w:r>
    </w:p>
    <w:p>
      <w:pPr>
        <w:pStyle w:val="BookText"/>
      </w:pPr>
      <w:r>
        <w:rPr>
          <w:rFonts w:ascii="IRNazanin" w:hAnsi="IRNazanin" w:eastAsia="IRNazanin" w:cs="IRNazanin"/>
          <w:lang w:bidi="fa-IR"/>
          <w:color w:val="111111"/>
          <w:sz w:val="28"/>
          <w:szCs w:val="28"/>
          <w:rtl/>
        </w:rPr>
        <w:t xml:space="preserve">ص 883</w:t>
      </w:r>
    </w:p>
    <w:p>
      <w:pPr>
        <w:pStyle w:val="BookText"/>
      </w:pPr>
      <w:r>
        <w:rPr>
          <w:rFonts w:ascii="Amiri" w:hAnsi="Amiri" w:eastAsia="Amiri" w:cs="Amiri"/>
          <w:lang w:bidi="ar-SA"/>
          <w:color w:val="111111"/>
          <w:sz w:val="28"/>
          <w:szCs w:val="28"/>
          <w:rtl/>
        </w:rPr>
        <w:t xml:space="preserve">7 .عدد الاسنان (منظومة في)، ج11،</w:t>
      </w:r>
    </w:p>
    <w:p>
      <w:pPr>
        <w:pStyle w:val="BookText"/>
      </w:pPr>
      <w:r>
        <w:rPr>
          <w:rFonts w:ascii="IRNazanin" w:hAnsi="IRNazanin" w:eastAsia="IRNazanin" w:cs="IRNazanin"/>
          <w:lang w:bidi="fa-IR"/>
          <w:color w:val="111111"/>
          <w:sz w:val="28"/>
          <w:szCs w:val="28"/>
          <w:rtl/>
        </w:rPr>
        <w:t xml:space="preserve">ص 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قصيدة، ج 12، ص 639.</w:t>
      </w:r>
    </w:p>
    <w:p>
      <w:pPr>
        <w:pStyle w:val="BookText"/>
      </w:pPr>
      <w:r>
        <w:rPr>
          <w:rFonts w:ascii="IRNazanin" w:hAnsi="IRNazanin" w:eastAsia="IRNazanin" w:cs="IRNazanin"/>
          <w:lang w:bidi="fa-IR"/>
          <w:color w:val="111111"/>
          <w:sz w:val="28"/>
          <w:szCs w:val="28"/>
          <w:rtl/>
        </w:rPr>
        <w:t xml:space="preserve">9 .قطعتان، ج 12، ص 751 .</w:t>
      </w:r>
    </w:p>
    <w:p>
      <w:pPr>
        <w:pStyle w:val="BookText"/>
      </w:pPr>
      <w:r>
        <w:rPr>
          <w:rFonts w:ascii="Amiri" w:hAnsi="Amiri" w:eastAsia="Amiri" w:cs="Amiri"/>
          <w:lang w:bidi="ar-SA"/>
          <w:color w:val="111111"/>
          <w:sz w:val="28"/>
          <w:szCs w:val="28"/>
          <w:rtl/>
        </w:rPr>
        <w:t xml:space="preserve">10 .منية الطالب و غنية الراغب في</w:t>
      </w:r>
    </w:p>
    <w:p>
      <w:pPr>
        <w:pStyle w:val="BookText"/>
      </w:pPr>
      <w:r>
        <w:rPr>
          <w:rFonts w:ascii="Amiri" w:hAnsi="Amiri" w:eastAsia="Amiri" w:cs="Amiri"/>
          <w:lang w:bidi="ar-SA"/>
          <w:color w:val="111111"/>
          <w:sz w:val="28"/>
          <w:szCs w:val="28"/>
          <w:rtl/>
        </w:rPr>
        <w:t xml:space="preserve">علم البيان، ج 15 ، ص 822.</w:t>
      </w:r>
    </w:p>
    <w:p>
      <w:pPr>
        <w:pStyle w:val="BookText"/>
      </w:pPr>
      <w:r>
        <w:rPr>
          <w:rFonts w:ascii="IRNazanin" w:hAnsi="IRNazanin" w:eastAsia="IRNazanin" w:cs="IRNazanin"/>
          <w:lang w:bidi="fa-IR"/>
          <w:color w:val="111111"/>
          <w:sz w:val="28"/>
          <w:szCs w:val="28"/>
          <w:rtl/>
        </w:rPr>
        <w:t xml:space="preserve">11 نظم سور القرآن، ج16، ص344.</w:t>
      </w:r>
    </w:p>
    <w:p>
      <w:pPr>
        <w:pStyle w:val="BookText"/>
      </w:pPr>
      <w:r>
        <w:rPr>
          <w:rFonts w:ascii="IRNazanin" w:hAnsi="IRNazanin" w:eastAsia="IRNazanin" w:cs="IRNazanin"/>
          <w:lang w:bidi="fa-IR"/>
          <w:color w:val="111111"/>
          <w:sz w:val="28"/>
          <w:szCs w:val="28"/>
          <w:rtl/>
        </w:rPr>
        <w:t xml:space="preserve">12 .نظم علاقات المجاز، ج 16، ص 349.</w:t>
      </w:r>
    </w:p>
    <w:p>
      <w:pPr>
        <w:pStyle w:val="BookText"/>
      </w:pPr>
      <w:r>
        <w:rPr>
          <w:rFonts w:ascii="Amiri" w:hAnsi="Amiri" w:eastAsia="Amiri" w:cs="Amiri"/>
          <w:lang w:bidi="ar-SA"/>
          <w:color w:val="111111"/>
          <w:sz w:val="28"/>
          <w:szCs w:val="28"/>
          <w:rtl/>
        </w:rPr>
        <w:t xml:space="preserve">13 .نظم مقدمة الآجرومية، ج 16،</w:t>
      </w:r>
    </w:p>
    <w:p>
      <w:pPr>
        <w:pStyle w:val="BookText"/>
      </w:pPr>
      <w:r>
        <w:rPr>
          <w:rFonts w:ascii="IRNazanin" w:hAnsi="IRNazanin" w:eastAsia="IRNazanin" w:cs="IRNazanin"/>
          <w:lang w:bidi="fa-IR"/>
          <w:color w:val="111111"/>
          <w:sz w:val="28"/>
          <w:szCs w:val="28"/>
          <w:rtl/>
        </w:rPr>
        <w:t xml:space="preserve">ص 365 .</w:t>
      </w:r>
    </w:p>
    <w:p>
      <w:pPr>
        <w:pStyle w:val="Heading2"/>
      </w:pPr>
      <w:bookmarkStart w:id="984" w:name="_Toc86"/>
      <w:r>
        <w:t>آلوسي، محمّد حامد بن محمود - 1290ه-</w:t>
      </w:r>
      <w:bookmarkEnd w:id="984"/>
    </w:p>
    <w:p>
      <w:pPr>
        <w:pStyle w:val="BookText"/>
      </w:pPr>
      <w:r>
        <w:rPr>
          <w:rFonts w:ascii="Amiri" w:hAnsi="Amiri" w:eastAsia="Amiri" w:cs="Amiri"/>
          <w:lang w:bidi="ar-SA"/>
          <w:color w:val="111111"/>
          <w:sz w:val="28"/>
          <w:szCs w:val="28"/>
          <w:rtl/>
        </w:rPr>
        <w:t xml:space="preserve">1 .اربعون حديثا، ج 1، ص 709.</w:t>
      </w:r>
    </w:p>
    <w:p>
      <w:pPr>
        <w:pStyle w:val="BookText"/>
      </w:pPr>
      <w:r>
        <w:rPr>
          <w:rFonts w:ascii="Amiri" w:hAnsi="Amiri" w:eastAsia="Amiri" w:cs="Amiri"/>
          <w:lang w:bidi="ar-SA"/>
          <w:color w:val="111111"/>
          <w:sz w:val="28"/>
          <w:szCs w:val="28"/>
          <w:rtl/>
        </w:rPr>
        <w:t xml:space="preserve">2.حصول الآمال بمدح كمال، ج 6،</w:t>
      </w:r>
    </w:p>
    <w:p>
      <w:pPr>
        <w:pStyle w:val="BookText"/>
      </w:pPr>
      <w:r>
        <w:rPr>
          <w:rFonts w:ascii="Times New Roman" w:hAnsi="Times New Roman" w:eastAsia="Times New Roman" w:cs="Times New Roman"/>
          <w:lang w:val="en-US" w:bidi="en-US"/>
          <w:color w:val="111111"/>
          <w:sz w:val="28"/>
          <w:szCs w:val="28"/>
          <w:rtl/>
        </w:rPr>
        <w:t xml:space="preserve">.7790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السحر (كتاب في)، ج 8، ص 719.</w:t>
      </w:r>
    </w:p>
    <w:p>
      <w:pPr>
        <w:pStyle w:val="BookText"/>
      </w:pPr>
      <w:r>
        <w:rPr>
          <w:rFonts w:ascii="Amiri" w:hAnsi="Amiri" w:eastAsia="Amiri" w:cs="Amiri"/>
          <w:lang w:bidi="ar-SA"/>
          <w:color w:val="111111"/>
          <w:sz w:val="28"/>
          <w:szCs w:val="28"/>
          <w:rtl/>
        </w:rPr>
        <w:t xml:space="preserve">4 .شرح الجلجلوتية، ج 9، ص 365.</w:t>
      </w:r>
    </w:p>
    <w:p>
      <w:pPr>
        <w:pStyle w:val="BookText"/>
      </w:pPr>
      <w:r>
        <w:rPr>
          <w:rFonts w:ascii="Amiri" w:hAnsi="Amiri" w:eastAsia="Amiri" w:cs="Amiri"/>
          <w:lang w:bidi="ar-SA"/>
          <w:color w:val="111111"/>
          <w:sz w:val="28"/>
          <w:szCs w:val="28"/>
          <w:rtl/>
        </w:rPr>
        <w:t xml:space="preserve">الصلاة (رسالة في)، ج 10، ص 587.</w:t>
      </w:r>
    </w:p>
    <w:p>
      <w:pPr>
        <w:pStyle w:val="BookText"/>
      </w:pPr>
      <w:r>
        <w:rPr>
          <w:rFonts w:ascii="Amiri" w:hAnsi="Amiri" w:eastAsia="Amiri" w:cs="Amiri"/>
          <w:lang w:bidi="ar-SA"/>
          <w:color w:val="111111"/>
          <w:sz w:val="28"/>
          <w:szCs w:val="28"/>
          <w:rtl/>
        </w:rPr>
        <w:t xml:space="preserve">6 .مجموعة، ج 14، ص 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نظم العضدية، ج 16 ، ص 348.</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7742_69361"/>
    <w:bookmarkEnd w:id="16"/>
    <w:p>
      <w:pPr>
        <w:pStyle w:val="Heading2"/>
      </w:pPr>
      <w:bookmarkStart w:id="985" w:name="_Toc87"/>
      <w:r>
        <w:t>آلوسي ، محمود بن عبدالله 1217 -</w:t>
      </w:r>
      <w:bookmarkEnd w:id="985"/>
    </w:p>
    <w:p>
      <w:pPr>
        <w:pStyle w:val="BookText"/>
      </w:pPr>
      <w:r>
        <w:rPr>
          <w:rFonts w:ascii="IRNazanin" w:hAnsi="IRNazanin" w:eastAsia="IRNazanin" w:cs="IRNazanin"/>
          <w:lang w:bidi="fa-IR"/>
          <w:color w:val="111111"/>
          <w:sz w:val="28"/>
          <w:szCs w:val="28"/>
          <w:rtl/>
        </w:rPr>
        <w:t xml:space="preserve">1270 ه-</w:t>
      </w:r>
    </w:p>
    <w:p>
      <w:pPr>
        <w:pStyle w:val="BookText"/>
      </w:pPr>
      <w:r>
        <w:rPr>
          <w:rFonts w:ascii="Amiri" w:hAnsi="Amiri" w:eastAsia="Amiri" w:cs="Amiri"/>
          <w:lang w:bidi="ar-SA"/>
          <w:color w:val="111111"/>
          <w:sz w:val="28"/>
          <w:szCs w:val="28"/>
          <w:rtl/>
        </w:rPr>
        <w:t xml:space="preserve">1 .الاجابة عن اسئلة فرسنل بك (رسالة في)، ج 1، ص197.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الاجازات، ج 1، ص200.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الاجازات، ج 1، ص 202.</w:t>
      </w:r>
    </w:p>
    <w:p>
      <w:pPr>
        <w:pStyle w:val="BookText"/>
      </w:pPr>
      <w:r>
        <w:rPr>
          <w:rFonts w:ascii="Amiri" w:hAnsi="Amiri" w:eastAsia="Amiri" w:cs="Amiri"/>
          <w:lang w:bidi="ar-SA"/>
          <w:color w:val="111111"/>
          <w:sz w:val="28"/>
          <w:szCs w:val="28"/>
          <w:rtl/>
        </w:rPr>
        <w:t xml:space="preserve">4 .اجازات الامام ابي الثناء الالوسي،</w:t>
      </w:r>
    </w:p>
    <w:p>
      <w:pPr>
        <w:pStyle w:val="BookText"/>
      </w:pPr>
      <w:r>
        <w:rPr>
          <w:rFonts w:ascii="IRNazanin" w:hAnsi="IRNazanin" w:eastAsia="IRNazanin" w:cs="IRNazanin"/>
          <w:lang w:bidi="fa-IR"/>
          <w:color w:val="111111"/>
          <w:sz w:val="28"/>
          <w:szCs w:val="28"/>
          <w:rtl/>
        </w:rPr>
        <w:t xml:space="preserve">ج 1، ص 204.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اجازة لعبد السلام بن جلال الدين</w:t>
      </w:r>
    </w:p>
    <w:p>
      <w:pPr>
        <w:pStyle w:val="BookText"/>
      </w:pPr>
      <w:r>
        <w:rPr>
          <w:rFonts w:ascii="IRNazanin" w:hAnsi="IRNazanin" w:eastAsia="IRNazanin" w:cs="IRNazanin"/>
          <w:lang w:bidi="fa-IR"/>
          <w:color w:val="111111"/>
          <w:sz w:val="28"/>
          <w:szCs w:val="28"/>
          <w:rtl/>
        </w:rPr>
        <w:t xml:space="preserve">ج 1، ص278.</w:t>
      </w:r>
    </w:p>
    <w:p>
      <w:pPr>
        <w:pStyle w:val="BookText"/>
      </w:pPr>
      <w:r>
        <w:rPr>
          <w:rFonts w:ascii="Amiri" w:hAnsi="Amiri" w:eastAsia="Amiri" w:cs="Amiri"/>
          <w:lang w:bidi="ar-SA"/>
          <w:color w:val="111111"/>
          <w:sz w:val="28"/>
          <w:szCs w:val="28"/>
          <w:rtl/>
        </w:rPr>
        <w:t xml:space="preserve">6 .اجازة للسيد محمّد الداغستاني، ج1،</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7 .اجازة لمحمّد بن احمد القدسي، ج1،</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الاجوبة العراقية عن الاسئلة</w:t>
      </w:r>
    </w:p>
    <w:p>
      <w:pPr>
        <w:pStyle w:val="BookText"/>
      </w:pPr>
      <w:r>
        <w:rPr>
          <w:rFonts w:ascii="Amiri" w:hAnsi="Amiri" w:eastAsia="Amiri" w:cs="Amiri"/>
          <w:lang w:bidi="ar-SA"/>
          <w:color w:val="111111"/>
          <w:sz w:val="28"/>
          <w:szCs w:val="28"/>
          <w:rtl/>
        </w:rPr>
        <w:t xml:space="preserve">الايرانية، ج1، ص323.</w:t>
      </w:r>
    </w:p>
    <w:p>
      <w:pPr>
        <w:pStyle w:val="BookText"/>
      </w:pPr>
      <w:r>
        <w:rPr>
          <w:rFonts w:ascii="Amiri" w:hAnsi="Amiri" w:eastAsia="Amiri" w:cs="Amiri"/>
          <w:lang w:bidi="ar-SA"/>
          <w:color w:val="111111"/>
          <w:sz w:val="28"/>
          <w:szCs w:val="28"/>
          <w:rtl/>
        </w:rPr>
        <w:t xml:space="preserve">9 .الاجوبة العراقية عن الاسئلة اللاهوتية (اللاهورية)، ج 1، ص 323.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اعتذار الوزير نجيب باشا عما فعله باهل كربلاء، ج 2، ص 496.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البرهان في اطاعة السلطان، ج3،</w:t>
      </w:r>
    </w:p>
    <w:p>
      <w:pPr>
        <w:pStyle w:val="BookText"/>
      </w:pPr>
      <w:r>
        <w:rPr>
          <w:rFonts w:ascii="IRNazanin" w:hAnsi="IRNazanin" w:eastAsia="IRNazanin" w:cs="IRNazanin"/>
          <w:lang w:bidi="fa-IR"/>
          <w:color w:val="111111"/>
          <w:sz w:val="28"/>
          <w:szCs w:val="28"/>
          <w:rtl/>
        </w:rPr>
        <w:t xml:space="preserve">ص 309.</w:t>
      </w:r>
    </w:p>
    <w:p>
      <w:pPr>
        <w:pStyle w:val="BookText"/>
      </w:pPr>
      <w:r>
        <w:rPr>
          <w:rFonts w:ascii="Amiri" w:hAnsi="Amiri" w:eastAsia="Amiri" w:cs="Amiri"/>
          <w:lang w:bidi="ar-SA"/>
          <w:color w:val="111111"/>
          <w:sz w:val="28"/>
          <w:szCs w:val="28"/>
          <w:rtl/>
        </w:rPr>
        <w:t xml:space="preserve">12 .بلوغ الارب في معرفة احوال</w:t>
      </w:r>
    </w:p>
    <w:p>
      <w:pPr>
        <w:pStyle w:val="BookText"/>
      </w:pPr>
      <w:r>
        <w:rPr>
          <w:rFonts w:ascii="IRNazanin" w:hAnsi="IRNazanin" w:eastAsia="IRNazanin" w:cs="IRNazanin"/>
          <w:lang w:bidi="fa-IR"/>
          <w:color w:val="111111"/>
          <w:sz w:val="28"/>
          <w:szCs w:val="28"/>
          <w:rtl/>
        </w:rPr>
        <w:t xml:space="preserve">العرب، ج 3، ص 396. 13</w:t>
      </w:r>
    </w:p>
    <w:p>
      <w:pPr>
        <w:pStyle w:val="BookText"/>
      </w:pPr>
      <w:r>
        <w:rPr>
          <w:rFonts w:ascii="Amiri" w:hAnsi="Amiri" w:eastAsia="Amiri" w:cs="Amiri"/>
          <w:lang w:bidi="ar-SA"/>
          <w:color w:val="111111"/>
          <w:sz w:val="28"/>
          <w:szCs w:val="28"/>
          <w:rtl/>
        </w:rPr>
        <w:t xml:space="preserve">13.التبيان شرح البرهان في اطاعة</w:t>
      </w:r>
    </w:p>
    <w:p>
      <w:pPr>
        <w:pStyle w:val="BookText"/>
      </w:pPr>
      <w:r>
        <w:rPr>
          <w:rFonts w:ascii="IRNazanin" w:hAnsi="IRNazanin" w:eastAsia="IRNazanin" w:cs="IRNazanin"/>
          <w:lang w:bidi="fa-IR"/>
          <w:color w:val="111111"/>
          <w:sz w:val="28"/>
          <w:szCs w:val="28"/>
          <w:rtl/>
        </w:rPr>
        <w:t xml:space="preserve">السلطان، ج 3، ص 651.</w:t>
      </w:r>
    </w:p>
    <w:p>
      <w:pPr>
        <w:pStyle w:val="BookText"/>
      </w:pPr>
      <w:r>
        <w:rPr>
          <w:rFonts w:ascii="Amiri" w:hAnsi="Amiri" w:eastAsia="Amiri" w:cs="Amiri"/>
          <w:lang w:bidi="ar-SA"/>
          <w:color w:val="111111"/>
          <w:sz w:val="28"/>
          <w:szCs w:val="28"/>
          <w:rtl/>
        </w:rPr>
        <w:t xml:space="preserve">14 .ترجمة الاصمعي، ج4، ص 259.</w:t>
      </w:r>
    </w:p>
    <w:p>
      <w:pPr>
        <w:pStyle w:val="BookText"/>
      </w:pPr>
      <w:r>
        <w:rPr>
          <w:rFonts w:ascii="Amiri" w:hAnsi="Amiri" w:eastAsia="Amiri" w:cs="Amiri"/>
          <w:lang w:bidi="ar-SA"/>
          <w:color w:val="111111"/>
          <w:sz w:val="28"/>
          <w:szCs w:val="28"/>
          <w:rtl/>
        </w:rPr>
        <w:t xml:space="preserve">15 .تعليقات على البهجة المرضية في</w:t>
      </w:r>
    </w:p>
    <w:p>
      <w:pPr>
        <w:pStyle w:val="BookText"/>
      </w:pPr>
      <w:r>
        <w:rPr>
          <w:rFonts w:ascii="Amiri" w:hAnsi="Amiri" w:eastAsia="Amiri" w:cs="Amiri"/>
          <w:lang w:bidi="ar-SA"/>
          <w:color w:val="111111"/>
          <w:sz w:val="28"/>
          <w:szCs w:val="28"/>
          <w:rtl/>
        </w:rPr>
        <w:t xml:space="preserve">شرح الالفية، ج4، ص 491. 16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تعليقات في ردود الشيعة، ج 4،</w:t>
      </w:r>
    </w:p>
    <w:p>
      <w:pPr>
        <w:pStyle w:val="BookText"/>
      </w:pPr>
      <w:r>
        <w:rPr>
          <w:rFonts w:ascii="IRNazanin" w:hAnsi="IRNazanin" w:eastAsia="IRNazanin" w:cs="IRNazanin"/>
          <w:lang w:bidi="fa-IR"/>
          <w:color w:val="111111"/>
          <w:sz w:val="28"/>
          <w:szCs w:val="28"/>
          <w:rtl/>
        </w:rPr>
        <w:t xml:space="preserve">ص 506.</w:t>
      </w:r>
    </w:p>
    <w:p>
      <w:pPr>
        <w:pStyle w:val="BookText"/>
      </w:pPr>
      <w:r>
        <w:rPr>
          <w:rFonts w:ascii="Amiri" w:hAnsi="Amiri" w:eastAsia="Amiri" w:cs="Amiri"/>
          <w:lang w:bidi="ar-SA"/>
          <w:color w:val="111111"/>
          <w:sz w:val="28"/>
          <w:szCs w:val="28"/>
          <w:rtl/>
        </w:rPr>
        <w:t xml:space="preserve">17 .الجمرات (رسالة في)، ج 5، ص 424.</w:t>
      </w:r>
    </w:p>
    <w:p>
      <w:pPr>
        <w:pStyle w:val="BookText"/>
      </w:pPr>
      <w:r>
        <w:rPr>
          <w:rFonts w:ascii="Amiri" w:hAnsi="Amiri" w:eastAsia="Amiri" w:cs="Amiri"/>
          <w:lang w:bidi="ar-SA"/>
          <w:color w:val="111111"/>
          <w:sz w:val="28"/>
          <w:szCs w:val="28"/>
          <w:rtl/>
        </w:rPr>
        <w:t xml:space="preserve">18 .حاشية حاشية عبد الحكيم على</w:t>
      </w:r>
    </w:p>
    <w:p>
      <w:pPr>
        <w:pStyle w:val="BookText"/>
      </w:pPr>
      <w:r>
        <w:rPr>
          <w:rFonts w:ascii="Amiri" w:hAnsi="Amiri" w:eastAsia="Amiri" w:cs="Amiri"/>
          <w:lang w:bidi="ar-SA"/>
          <w:color w:val="111111"/>
          <w:sz w:val="28"/>
          <w:szCs w:val="28"/>
          <w:rtl/>
        </w:rPr>
        <w:t xml:space="preserve">شرح الشمسية، ج 5، ص 834. 19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حاشية شرح بلوغ الارب، ج 6،</w:t>
      </w:r>
    </w:p>
    <w:p>
      <w:pPr>
        <w:pStyle w:val="BookText"/>
      </w:pPr>
      <w:r>
        <w:rPr>
          <w:rFonts w:ascii="IRNazanin" w:hAnsi="IRNazanin" w:eastAsia="IRNazanin" w:cs="IRNazanin"/>
          <w:lang w:bidi="fa-IR"/>
          <w:color w:val="111111"/>
          <w:sz w:val="28"/>
          <w:szCs w:val="28"/>
          <w:rtl/>
        </w:rPr>
        <w:t xml:space="preserve">ص 54.</w:t>
      </w:r>
    </w:p>
    <w:p>
      <w:pPr>
        <w:pStyle w:val="BookText"/>
      </w:pPr>
      <w:r>
        <w:rPr>
          <w:rFonts w:ascii="Amiri" w:hAnsi="Amiri" w:eastAsia="Amiri" w:cs="Amiri"/>
          <w:lang w:bidi="ar-SA"/>
          <w:color w:val="111111"/>
          <w:sz w:val="28"/>
          <w:szCs w:val="28"/>
          <w:rtl/>
        </w:rPr>
        <w:t xml:space="preserve">20 .حاشية شرح رسالة الاستعارة، ج 6،</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Amiri" w:hAnsi="Amiri" w:eastAsia="Amiri" w:cs="Amiri"/>
          <w:lang w:bidi="ar-SA"/>
          <w:color w:val="111111"/>
          <w:sz w:val="28"/>
          <w:szCs w:val="28"/>
          <w:rtl/>
        </w:rPr>
        <w:t xml:space="preserve">21 .حاشية شرح قطر الندى و بل</w:t>
      </w:r>
    </w:p>
    <w:p>
      <w:pPr>
        <w:pStyle w:val="BookText"/>
      </w:pPr>
      <w:r>
        <w:rPr>
          <w:rFonts w:ascii="IRNazanin" w:hAnsi="IRNazanin" w:eastAsia="IRNazanin" w:cs="IRNazanin"/>
          <w:lang w:bidi="fa-IR"/>
          <w:color w:val="111111"/>
          <w:sz w:val="28"/>
          <w:szCs w:val="28"/>
          <w:rtl/>
        </w:rPr>
        <w:t xml:space="preserve">الصدى، ج 1، ص 157.</w:t>
      </w:r>
    </w:p>
    <w:p>
      <w:pPr>
        <w:pStyle w:val="BookText"/>
      </w:pPr>
      <w:r>
        <w:rPr>
          <w:rFonts w:ascii="Amiri" w:hAnsi="Amiri" w:eastAsia="Amiri" w:cs="Amiri"/>
          <w:lang w:bidi="ar-SA"/>
          <w:color w:val="111111"/>
          <w:sz w:val="28"/>
          <w:szCs w:val="28"/>
          <w:rtl/>
        </w:rPr>
        <w:t xml:space="preserve">22 .الخريدة الغيبية في شرح القصيدة</w:t>
      </w:r>
    </w:p>
    <w:p>
      <w:pPr>
        <w:pStyle w:val="BookText"/>
      </w:pPr>
      <w:r>
        <w:rPr>
          <w:rFonts w:ascii="Amiri" w:hAnsi="Amiri" w:eastAsia="Amiri" w:cs="Amiri"/>
          <w:lang w:bidi="ar-SA"/>
          <w:color w:val="111111"/>
          <w:sz w:val="28"/>
          <w:szCs w:val="28"/>
          <w:rtl/>
        </w:rPr>
        <w:t xml:space="preserve">العينية، ج 7، ص8.</w:t>
      </w:r>
    </w:p>
    <w:p>
      <w:pPr>
        <w:pStyle w:val="BookText"/>
      </w:pPr>
      <w:r>
        <w:rPr>
          <w:rFonts w:ascii="Amiri" w:hAnsi="Amiri" w:eastAsia="Amiri" w:cs="Amiri"/>
          <w:lang w:bidi="ar-SA"/>
          <w:color w:val="111111"/>
          <w:sz w:val="28"/>
          <w:szCs w:val="28"/>
          <w:rtl/>
        </w:rPr>
        <w:t xml:space="preserve">23 .رحلة ابي الثناء محمود شهاب الدين الالوسي، ج8، ص 65.</w:t>
      </w:r>
    </w:p>
    <w:p>
      <w:pPr>
        <w:pStyle w:val="BookText"/>
      </w:pPr>
      <w:r>
        <w:rPr>
          <w:rFonts w:ascii="Amiri" w:hAnsi="Amiri" w:eastAsia="Amiri" w:cs="Amiri"/>
          <w:lang w:bidi="ar-SA"/>
          <w:color w:val="111111"/>
          <w:sz w:val="28"/>
          <w:szCs w:val="28"/>
          <w:rtl/>
        </w:rPr>
        <w:t xml:space="preserve">24 .رد الرافضة (رسالة في)، ج8، ص 85.</w:t>
      </w:r>
    </w:p>
    <w:p>
      <w:pPr>
        <w:pStyle w:val="BookText"/>
      </w:pPr>
      <w:r>
        <w:rPr>
          <w:rFonts w:ascii="Amiri" w:hAnsi="Amiri" w:eastAsia="Amiri" w:cs="Amiri"/>
          <w:lang w:bidi="ar-SA"/>
          <w:color w:val="111111"/>
          <w:sz w:val="28"/>
          <w:szCs w:val="28"/>
          <w:rtl/>
        </w:rPr>
        <w:t xml:space="preserve">25 .روح المعاني في تفسير القرآن العظيم و السبع المثاني، ج8،</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زجر المغرور عن رجز الغرور، ج8،</w:t>
      </w:r>
    </w:p>
    <w:p>
      <w:pPr>
        <w:pStyle w:val="BookText"/>
      </w:pPr>
      <w:r>
        <w:rPr>
          <w:rFonts w:ascii="IRNazanin" w:hAnsi="IRNazanin" w:eastAsia="IRNazanin" w:cs="IRNazanin"/>
          <w:lang w:bidi="fa-IR"/>
          <w:color w:val="111111"/>
          <w:sz w:val="28"/>
          <w:szCs w:val="28"/>
          <w:rtl/>
        </w:rPr>
        <w:t xml:space="preserve">ص 599.</w:t>
      </w:r>
    </w:p>
    <w:p>
      <w:pPr>
        <w:pStyle w:val="BookText"/>
      </w:pPr>
      <w:r>
        <w:rPr>
          <w:rFonts w:ascii="Amiri" w:hAnsi="Amiri" w:eastAsia="Amiri" w:cs="Amiri"/>
          <w:lang w:bidi="ar-SA"/>
          <w:color w:val="111111"/>
          <w:sz w:val="28"/>
          <w:szCs w:val="28"/>
          <w:rtl/>
        </w:rPr>
        <w:t xml:space="preserve">27 .سجع القمرية في ربع مدرسة</w:t>
      </w:r>
    </w:p>
    <w:p>
      <w:pPr>
        <w:pStyle w:val="BookText"/>
      </w:pPr>
      <w:r>
        <w:rPr>
          <w:rFonts w:ascii="Amiri" w:hAnsi="Amiri" w:eastAsia="Amiri" w:cs="Amiri"/>
          <w:lang w:bidi="ar-SA"/>
          <w:color w:val="111111"/>
          <w:sz w:val="28"/>
          <w:szCs w:val="28"/>
          <w:rtl/>
        </w:rPr>
        <w:t xml:space="preserve">العمرية، ج8، ص711.</w:t>
      </w:r>
    </w:p>
    <w:p>
      <w:pPr>
        <w:pStyle w:val="BookText"/>
      </w:pPr>
      <w:r>
        <w:rPr>
          <w:rFonts w:ascii="Amiri" w:hAnsi="Amiri" w:eastAsia="Amiri" w:cs="Amiri"/>
          <w:lang w:bidi="ar-SA"/>
          <w:color w:val="111111"/>
          <w:sz w:val="28"/>
          <w:szCs w:val="28"/>
          <w:rtl/>
        </w:rPr>
        <w:t xml:space="preserve">28 .سفرة الزاد لسفرة الجهاد، ج8،</w:t>
      </w:r>
    </w:p>
    <w:p>
      <w:pPr>
        <w:pStyle w:val="BookText"/>
      </w:pPr>
      <w:r>
        <w:rPr>
          <w:rFonts w:ascii="IRNazanin" w:hAnsi="IRNazanin" w:eastAsia="IRNazanin" w:cs="IRNazanin"/>
          <w:lang w:bidi="fa-IR"/>
          <w:color w:val="111111"/>
          <w:sz w:val="28"/>
          <w:szCs w:val="28"/>
          <w:rtl/>
        </w:rPr>
        <w:t xml:space="preserve">ص 776 .</w:t>
      </w:r>
    </w:p>
    <w:p>
      <w:pPr>
        <w:pStyle w:val="BookText"/>
      </w:pPr>
      <w:r>
        <w:rPr>
          <w:rFonts w:ascii="Amiri" w:hAnsi="Amiri" w:eastAsia="Amiri" w:cs="Amiri"/>
          <w:lang w:bidi="ar-SA"/>
          <w:color w:val="111111"/>
          <w:sz w:val="28"/>
          <w:szCs w:val="28"/>
          <w:rtl/>
        </w:rPr>
        <w:t xml:space="preserve">29 .شجرة الانوار و نوار الازهار، ج9،</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شجرة نسب الآلوسيين، ج 9،</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IRNazanin" w:hAnsi="IRNazanin" w:eastAsia="IRNazanin" w:cs="IRNazanin"/>
          <w:lang w:bidi="fa-IR"/>
          <w:color w:val="111111"/>
          <w:sz w:val="28"/>
          <w:szCs w:val="28"/>
          <w:rtl/>
        </w:rPr>
        <w:t xml:space="preserve">31 .شرح ديباچة البرهان و خاتمته</w:t>
      </w:r>
    </w:p>
    <w:p>
      <w:pPr>
        <w:pStyle w:val="BookText"/>
      </w:pPr>
      <w:r>
        <w:rPr>
          <w:rFonts w:ascii="IRNazanin" w:hAnsi="IRNazanin" w:eastAsia="IRNazanin" w:cs="IRNazanin"/>
          <w:lang w:bidi="fa-IR"/>
          <w:color w:val="111111"/>
          <w:sz w:val="28"/>
          <w:szCs w:val="28"/>
          <w:rtl/>
        </w:rPr>
        <w:t xml:space="preserve">ج 9، ص 475.</w:t>
      </w:r>
    </w:p>
    <w:p>
      <w:pPr>
        <w:pStyle w:val="BookText"/>
      </w:pPr>
      <w:r>
        <w:rPr>
          <w:rFonts w:ascii="IRNazanin" w:hAnsi="IRNazanin" w:eastAsia="IRNazanin" w:cs="IRNazanin"/>
          <w:lang w:bidi="fa-IR"/>
          <w:color w:val="111111"/>
          <w:sz w:val="28"/>
          <w:szCs w:val="28"/>
          <w:rtl/>
        </w:rPr>
        <w:t xml:space="preserve">32 .شرح قطر الندى وبل الصدى</w:t>
      </w:r>
    </w:p>
    <w:p>
      <w:pPr>
        <w:pStyle w:val="BookText"/>
      </w:pPr>
      <w:r>
        <w:rPr>
          <w:rFonts w:ascii="IRNazanin" w:hAnsi="IRNazanin" w:eastAsia="IRNazanin" w:cs="IRNazanin"/>
          <w:lang w:bidi="fa-IR"/>
          <w:color w:val="111111"/>
          <w:sz w:val="28"/>
          <w:szCs w:val="28"/>
          <w:rtl/>
        </w:rPr>
        <w:t xml:space="preserve">ج 10، ص 13.</w:t>
      </w:r>
    </w:p>
    <w:p>
      <w:pPr>
        <w:pStyle w:val="BookText"/>
      </w:pPr>
      <w:r>
        <w:rPr>
          <w:rFonts w:ascii="Amiri" w:hAnsi="Amiri" w:eastAsia="Amiri" w:cs="Amiri"/>
          <w:lang w:bidi="ar-SA"/>
          <w:color w:val="111111"/>
          <w:sz w:val="28"/>
          <w:szCs w:val="28"/>
          <w:rtl/>
        </w:rPr>
        <w:t xml:space="preserve">33 .شرح مختصر المنتهي، ج10،</w:t>
      </w:r>
    </w:p>
    <w:p>
      <w:pPr>
        <w:pStyle w:val="BookText"/>
      </w:pPr>
      <w:r>
        <w:rPr>
          <w:rFonts w:ascii="IRNazanin" w:hAnsi="IRNazanin" w:eastAsia="IRNazanin" w:cs="IRNazanin"/>
          <w:lang w:bidi="fa-IR"/>
          <w:color w:val="111111"/>
          <w:sz w:val="28"/>
          <w:szCs w:val="28"/>
          <w:rtl/>
        </w:rPr>
        <w:t xml:space="preserve">ص 124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7742_69363"/>
    <w:bookmarkEnd w:id="17"/>
    <w:p>
      <w:pPr>
        <w:pStyle w:val="BookText"/>
      </w:pPr>
      <w:r>
        <w:rPr>
          <w:rFonts w:ascii="Amiri" w:hAnsi="Amiri" w:eastAsia="Amiri" w:cs="Amiri"/>
          <w:lang w:bidi="ar-SA"/>
          <w:color w:val="111111"/>
          <w:sz w:val="28"/>
          <w:szCs w:val="28"/>
          <w:rtl/>
        </w:rPr>
        <w:t xml:space="preserve">34 .شرح مسئلة في الصرف، ج10،</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Amiri" w:hAnsi="Amiri" w:eastAsia="Amiri" w:cs="Amiri"/>
          <w:lang w:bidi="ar-SA"/>
          <w:color w:val="111111"/>
          <w:sz w:val="28"/>
          <w:szCs w:val="28"/>
          <w:rtl/>
        </w:rPr>
        <w:t xml:space="preserve">35 .شهي النغم في ترجمة شيخ الاسلام</w:t>
      </w:r>
    </w:p>
    <w:p>
      <w:pPr>
        <w:pStyle w:val="BookText"/>
      </w:pPr>
      <w:r>
        <w:rPr>
          <w:rFonts w:ascii="Amiri" w:hAnsi="Amiri" w:eastAsia="Amiri" w:cs="Amiri"/>
          <w:lang w:bidi="ar-SA"/>
          <w:color w:val="111111"/>
          <w:sz w:val="28"/>
          <w:szCs w:val="28"/>
          <w:rtl/>
        </w:rPr>
        <w:t xml:space="preserve">عارف الحكم، ج 10، ص 437.</w:t>
      </w:r>
    </w:p>
    <w:p>
      <w:pPr>
        <w:pStyle w:val="BookText"/>
      </w:pPr>
      <w:r>
        <w:rPr>
          <w:rFonts w:ascii="Amiri" w:hAnsi="Amiri" w:eastAsia="Amiri" w:cs="Amiri"/>
          <w:lang w:bidi="ar-SA"/>
          <w:color w:val="111111"/>
          <w:sz w:val="28"/>
          <w:szCs w:val="28"/>
          <w:rtl/>
        </w:rPr>
        <w:t xml:space="preserve">36 .الطراز المذهب على مديحة الباز</w:t>
      </w:r>
    </w:p>
    <w:p>
      <w:pPr>
        <w:pStyle w:val="BookText"/>
      </w:pPr>
      <w:r>
        <w:rPr>
          <w:rFonts w:ascii="IRNazanin" w:hAnsi="IRNazanin" w:eastAsia="IRNazanin" w:cs="IRNazanin"/>
          <w:lang w:bidi="fa-IR"/>
          <w:color w:val="111111"/>
          <w:sz w:val="28"/>
          <w:szCs w:val="28"/>
          <w:rtl/>
        </w:rPr>
        <w:t xml:space="preserve">الاشهب، ج 10، ص 809.</w:t>
      </w:r>
    </w:p>
    <w:p>
      <w:pPr>
        <w:pStyle w:val="BookText"/>
      </w:pPr>
      <w:r>
        <w:rPr>
          <w:rFonts w:ascii="Amiri" w:hAnsi="Amiri" w:eastAsia="Amiri" w:cs="Amiri"/>
          <w:lang w:bidi="ar-SA"/>
          <w:color w:val="111111"/>
          <w:sz w:val="28"/>
          <w:szCs w:val="28"/>
          <w:rtl/>
        </w:rPr>
        <w:t xml:space="preserve">37 .غرائب الاغتراب في الذهاب و الاقامة والاياب، ج 11، ص 464.</w:t>
      </w:r>
    </w:p>
    <w:p>
      <w:pPr>
        <w:pStyle w:val="BookText"/>
      </w:pPr>
      <w:r>
        <w:rPr>
          <w:rFonts w:ascii="Amiri" w:hAnsi="Amiri" w:eastAsia="Amiri" w:cs="Amiri"/>
          <w:lang w:bidi="ar-SA"/>
          <w:color w:val="111111"/>
          <w:sz w:val="28"/>
          <w:szCs w:val="28"/>
          <w:rtl/>
        </w:rPr>
        <w:t xml:space="preserve">38 .فتوى في الصوفية، ج 11، ص718.</w:t>
      </w:r>
    </w:p>
    <w:p>
      <w:pPr>
        <w:pStyle w:val="BookText"/>
      </w:pPr>
      <w:r>
        <w:rPr>
          <w:rFonts w:ascii="Amiri" w:hAnsi="Amiri" w:eastAsia="Amiri" w:cs="Amiri"/>
          <w:lang w:bidi="ar-SA"/>
          <w:color w:val="111111"/>
          <w:sz w:val="28"/>
          <w:szCs w:val="28"/>
          <w:rtl/>
        </w:rPr>
        <w:t xml:space="preserve">39 .الفوائد السنية من الحواشي الكلنبوية، ج 12، ص209.</w:t>
      </w:r>
    </w:p>
    <w:p>
      <w:pPr>
        <w:pStyle w:val="BookText"/>
      </w:pPr>
      <w:r>
        <w:rPr>
          <w:rFonts w:ascii="Amiri" w:hAnsi="Amiri" w:eastAsia="Amiri" w:cs="Amiri"/>
          <w:lang w:bidi="ar-SA"/>
          <w:color w:val="111111"/>
          <w:sz w:val="28"/>
          <w:szCs w:val="28"/>
          <w:rtl/>
        </w:rPr>
        <w:t xml:space="preserve">40 .فوائد و تعليقات في النحو، ج12،</w:t>
      </w:r>
    </w:p>
    <w:p>
      <w:pPr>
        <w:pStyle w:val="BookText"/>
      </w:pPr>
      <w:r>
        <w:rPr>
          <w:rFonts w:ascii="IRNazanin" w:hAnsi="IRNazanin" w:eastAsia="IRNazanin" w:cs="IRNazanin"/>
          <w:lang w:bidi="fa-IR"/>
          <w:color w:val="111111"/>
          <w:sz w:val="28"/>
          <w:szCs w:val="28"/>
          <w:rtl/>
        </w:rPr>
        <w:t xml:space="preserve">ص 289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الفيض الوارد على مرثية مولانا</w:t>
      </w:r>
    </w:p>
    <w:p>
      <w:pPr>
        <w:pStyle w:val="BookText"/>
      </w:pPr>
      <w:r>
        <w:rPr>
          <w:rFonts w:ascii="IRNazanin" w:hAnsi="IRNazanin" w:eastAsia="IRNazanin" w:cs="IRNazanin"/>
          <w:lang w:bidi="fa-IR"/>
          <w:color w:val="111111"/>
          <w:sz w:val="28"/>
          <w:szCs w:val="28"/>
          <w:rtl/>
        </w:rPr>
        <w:t xml:space="preserve">خالد، ج 12، ص317</w:t>
      </w:r>
    </w:p>
    <w:p>
      <w:pPr>
        <w:pStyle w:val="BookText"/>
      </w:pPr>
      <w:r>
        <w:rPr>
          <w:rFonts w:ascii="Amiri" w:hAnsi="Amiri" w:eastAsia="Amiri" w:cs="Amiri"/>
          <w:lang w:bidi="ar-SA"/>
          <w:color w:val="111111"/>
          <w:sz w:val="28"/>
          <w:szCs w:val="28"/>
          <w:rtl/>
        </w:rPr>
        <w:t xml:space="preserve">42 .كشف الطرة عن الدرة، ج13،</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Amiri" w:hAnsi="Amiri" w:eastAsia="Amiri" w:cs="Amiri"/>
          <w:lang w:bidi="ar-SA"/>
          <w:color w:val="111111"/>
          <w:sz w:val="28"/>
          <w:szCs w:val="28"/>
          <w:rtl/>
        </w:rPr>
        <w:t xml:space="preserve">43 .مقامات الآلوسي، ج 15، ص292.</w:t>
      </w:r>
    </w:p>
    <w:p>
      <w:pPr>
        <w:pStyle w:val="BookText"/>
      </w:pPr>
      <w:r>
        <w:rPr>
          <w:rFonts w:ascii="Amiri" w:hAnsi="Amiri" w:eastAsia="Amiri" w:cs="Amiri"/>
          <w:lang w:bidi="ar-SA"/>
          <w:color w:val="111111"/>
          <w:sz w:val="28"/>
          <w:szCs w:val="28"/>
          <w:rtl/>
        </w:rPr>
        <w:t xml:space="preserve">44 .المقامة الزهدية، ج 15 ، ص317.</w:t>
      </w:r>
    </w:p>
    <w:p>
      <w:pPr>
        <w:pStyle w:val="BookText"/>
      </w:pPr>
      <w:r>
        <w:rPr>
          <w:rFonts w:ascii="Amiri" w:hAnsi="Amiri" w:eastAsia="Amiri" w:cs="Amiri"/>
          <w:lang w:bidi="ar-SA"/>
          <w:color w:val="111111"/>
          <w:sz w:val="28"/>
          <w:szCs w:val="28"/>
          <w:rtl/>
        </w:rPr>
        <w:t xml:space="preserve">45 .نشوة الشمول في السفر إلى</w:t>
      </w:r>
    </w:p>
    <w:p>
      <w:pPr>
        <w:pStyle w:val="BookText"/>
      </w:pPr>
      <w:r>
        <w:rPr>
          <w:rFonts w:ascii="IRNazanin" w:hAnsi="IRNazanin" w:eastAsia="IRNazanin" w:cs="IRNazanin"/>
          <w:lang w:bidi="fa-IR"/>
          <w:color w:val="111111"/>
          <w:sz w:val="28"/>
          <w:szCs w:val="28"/>
          <w:rtl/>
        </w:rPr>
        <w:t xml:space="preserve">اسلامبول، ج 16، ص292.</w:t>
      </w:r>
    </w:p>
    <w:p>
      <w:pPr>
        <w:pStyle w:val="BookText"/>
      </w:pPr>
      <w:r>
        <w:rPr>
          <w:rFonts w:ascii="Amiri" w:hAnsi="Amiri" w:eastAsia="Amiri" w:cs="Amiri"/>
          <w:lang w:bidi="ar-SA"/>
          <w:color w:val="111111"/>
          <w:sz w:val="28"/>
          <w:szCs w:val="28"/>
          <w:rtl/>
        </w:rPr>
        <w:t xml:space="preserve">46 .نشوة المدام في العودة إلى مدينة</w:t>
      </w:r>
    </w:p>
    <w:p>
      <w:pPr>
        <w:pStyle w:val="BookText"/>
      </w:pPr>
      <w:r>
        <w:rPr>
          <w:rFonts w:ascii="IRNazanin" w:hAnsi="IRNazanin" w:eastAsia="IRNazanin" w:cs="IRNazanin"/>
          <w:lang w:bidi="fa-IR"/>
          <w:color w:val="111111"/>
          <w:sz w:val="28"/>
          <w:szCs w:val="28"/>
          <w:rtl/>
        </w:rPr>
        <w:t xml:space="preserve">السلام، ج 16 ، ص292.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النفحات القدسية في رد الامامية</w:t>
      </w:r>
    </w:p>
    <w:p>
      <w:pPr>
        <w:pStyle w:val="BookText"/>
      </w:pPr>
      <w:r>
        <w:rPr>
          <w:rFonts w:ascii="IRNazanin" w:hAnsi="IRNazanin" w:eastAsia="IRNazanin" w:cs="IRNazanin"/>
          <w:lang w:bidi="fa-IR"/>
          <w:color w:val="111111"/>
          <w:sz w:val="28"/>
          <w:szCs w:val="28"/>
          <w:rtl/>
        </w:rPr>
        <w:t xml:space="preserve">ج 16، ص 383.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نهج السلامة إلى مباحث الامامة</w:t>
      </w:r>
    </w:p>
    <w:p>
      <w:pPr>
        <w:pStyle w:val="BookText"/>
      </w:pPr>
      <w:r>
        <w:rPr>
          <w:rFonts w:ascii="IRNazanin" w:hAnsi="IRNazanin" w:eastAsia="IRNazanin" w:cs="IRNazanin"/>
          <w:lang w:bidi="fa-IR"/>
          <w:color w:val="111111"/>
          <w:sz w:val="28"/>
          <w:szCs w:val="28"/>
          <w:rtl/>
        </w:rPr>
        <w:t xml:space="preserve">ج 16، ص 528.</w:t>
      </w:r>
    </w:p>
    <w:p>
      <w:pPr>
        <w:pStyle w:val="BookText"/>
      </w:pPr>
      <w:r>
        <w:rPr>
          <w:rFonts w:ascii="Amiri" w:hAnsi="Amiri" w:eastAsia="Amiri" w:cs="Amiri"/>
          <w:lang w:bidi="ar-SA"/>
          <w:color w:val="111111"/>
          <w:sz w:val="28"/>
          <w:szCs w:val="28"/>
          <w:rtl/>
        </w:rPr>
        <w:t xml:space="preserve">آلوسي ، محمود بن عبدالله- شكري</w:t>
      </w:r>
    </w:p>
    <w:p>
      <w:pPr>
        <w:pStyle w:val="BookText"/>
      </w:pPr>
      <w:r>
        <w:rPr>
          <w:rFonts w:ascii="Amiri" w:hAnsi="Amiri" w:eastAsia="Amiri" w:cs="Amiri"/>
          <w:lang w:bidi="ar-SA"/>
          <w:color w:val="111111"/>
          <w:sz w:val="28"/>
          <w:szCs w:val="28"/>
          <w:rtl/>
        </w:rPr>
        <w:t xml:space="preserve">آلوسي ، محمود بن عبدالله</w:t>
      </w:r>
    </w:p>
    <w:p>
      <w:pPr>
        <w:pStyle w:val="Heading2"/>
      </w:pPr>
      <w:bookmarkStart w:id="986" w:name="_Toc88"/>
      <w:r>
        <w:t>آلوسي نعمان بن محمود، 1252-1317ه-</w:t>
      </w:r>
      <w:bookmarkEnd w:id="986"/>
    </w:p>
    <w:p>
      <w:pPr>
        <w:pStyle w:val="BookText"/>
      </w:pPr>
      <w:r>
        <w:rPr>
          <w:rFonts w:ascii="Amiri" w:hAnsi="Amiri" w:eastAsia="Amiri" w:cs="Amiri"/>
          <w:lang w:bidi="ar-SA"/>
          <w:color w:val="111111"/>
          <w:sz w:val="28"/>
          <w:szCs w:val="28"/>
          <w:rtl/>
        </w:rPr>
        <w:t xml:space="preserve">1 .الآيات البينات في عدم سماع الأموات عند الحنفية السادات</w:t>
      </w:r>
    </w:p>
    <w:p>
      <w:pPr>
        <w:pStyle w:val="BookText"/>
      </w:pPr>
      <w:r>
        <w:rPr>
          <w:rFonts w:ascii="IRNazanin" w:hAnsi="IRNazanin" w:eastAsia="IRNazanin" w:cs="IRNazanin"/>
          <w:lang w:bidi="fa-IR"/>
          <w:color w:val="111111"/>
          <w:sz w:val="28"/>
          <w:szCs w:val="28"/>
          <w:rtl/>
        </w:rPr>
        <w:t xml:space="preserve">ج 1، ص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الاجازات، ج 1، ص 202.</w:t>
      </w:r>
    </w:p>
    <w:p>
      <w:pPr>
        <w:pStyle w:val="BookText"/>
      </w:pPr>
      <w:r>
        <w:rPr>
          <w:rFonts w:ascii="Amiri" w:hAnsi="Amiri" w:eastAsia="Amiri" w:cs="Amiri"/>
          <w:lang w:bidi="ar-SA"/>
          <w:color w:val="111111"/>
          <w:sz w:val="28"/>
          <w:szCs w:val="28"/>
          <w:rtl/>
        </w:rPr>
        <w:t xml:space="preserve">3.اجازات الآلوسيين، ج 1، ص 204.</w:t>
      </w:r>
    </w:p>
    <w:p>
      <w:pPr>
        <w:pStyle w:val="BookText"/>
      </w:pPr>
      <w:r>
        <w:rPr>
          <w:rFonts w:ascii="Amiri" w:hAnsi="Amiri" w:eastAsia="Amiri" w:cs="Amiri"/>
          <w:lang w:bidi="ar-SA"/>
          <w:color w:val="111111"/>
          <w:sz w:val="28"/>
          <w:szCs w:val="28"/>
          <w:rtl/>
        </w:rPr>
        <w:t xml:space="preserve">4 .اجازة للخضر البغدادي العاني، ج 1،</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Amiri" w:hAnsi="Amiri" w:eastAsia="Amiri" w:cs="Amiri"/>
          <w:lang w:bidi="ar-SA"/>
          <w:color w:val="111111"/>
          <w:sz w:val="28"/>
          <w:szCs w:val="28"/>
          <w:rtl/>
        </w:rPr>
        <w:t xml:space="preserve">5 .اجازة للسيد خضر بن يوسف، ج1،</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Amiri" w:hAnsi="Amiri" w:eastAsia="Amiri" w:cs="Amiri"/>
          <w:lang w:bidi="ar-SA"/>
          <w:color w:val="111111"/>
          <w:sz w:val="28"/>
          <w:szCs w:val="28"/>
          <w:rtl/>
        </w:rPr>
        <w:t xml:space="preserve">6 .اجازة لولديه، ج 1، ص 293.</w:t>
      </w:r>
    </w:p>
    <w:p>
      <w:pPr>
        <w:pStyle w:val="BookText"/>
      </w:pPr>
      <w:r>
        <w:rPr>
          <w:rFonts w:ascii="Amiri" w:hAnsi="Amiri" w:eastAsia="Amiri" w:cs="Amiri"/>
          <w:lang w:bidi="ar-SA"/>
          <w:color w:val="111111"/>
          <w:sz w:val="28"/>
          <w:szCs w:val="28"/>
          <w:rtl/>
        </w:rPr>
        <w:t xml:space="preserve">7 .الاجوبة العقلية لاشرفية الشريعة</w:t>
      </w:r>
    </w:p>
    <w:p>
      <w:pPr>
        <w:pStyle w:val="BookText"/>
      </w:pPr>
      <w:r>
        <w:rPr>
          <w:rFonts w:ascii="Amiri" w:hAnsi="Amiri" w:eastAsia="Amiri" w:cs="Amiri"/>
          <w:lang w:bidi="ar-SA"/>
          <w:color w:val="111111"/>
          <w:sz w:val="28"/>
          <w:szCs w:val="28"/>
          <w:rtl/>
        </w:rPr>
        <w:t xml:space="preserve">المحمّدية، ج1، ص 324.</w:t>
      </w:r>
    </w:p>
    <w:p>
      <w:pPr>
        <w:pStyle w:val="BookText"/>
      </w:pPr>
      <w:r>
        <w:rPr>
          <w:rFonts w:ascii="Amiri" w:hAnsi="Amiri" w:eastAsia="Amiri" w:cs="Amiri"/>
          <w:lang w:bidi="ar-SA"/>
          <w:color w:val="111111"/>
          <w:sz w:val="28"/>
          <w:szCs w:val="28"/>
          <w:rtl/>
        </w:rPr>
        <w:t xml:space="preserve">8 .الاجوبة النعمانية على الاسئلة</w:t>
      </w:r>
    </w:p>
    <w:p>
      <w:pPr>
        <w:pStyle w:val="BookText"/>
      </w:pPr>
      <w:r>
        <w:rPr>
          <w:rFonts w:ascii="Amiri" w:hAnsi="Amiri" w:eastAsia="Amiri" w:cs="Amiri"/>
          <w:lang w:bidi="ar-SA"/>
          <w:color w:val="111111"/>
          <w:sz w:val="28"/>
          <w:szCs w:val="28"/>
          <w:rtl/>
        </w:rPr>
        <w:t xml:space="preserve">الهندية، ج 1، ص 383.</w:t>
      </w:r>
    </w:p>
    <w:p>
      <w:pPr>
        <w:pStyle w:val="BookText"/>
      </w:pPr>
      <w:r>
        <w:rPr>
          <w:rFonts w:ascii="Amiri" w:hAnsi="Amiri" w:eastAsia="Amiri" w:cs="Amiri"/>
          <w:lang w:bidi="ar-SA"/>
          <w:color w:val="111111"/>
          <w:sz w:val="28"/>
          <w:szCs w:val="28"/>
          <w:rtl/>
        </w:rPr>
        <w:t xml:space="preserve">9 .اسئلة نعمان إلى صديق خان ملك</w:t>
      </w:r>
    </w:p>
    <w:p>
      <w:pPr>
        <w:pStyle w:val="BookText"/>
      </w:pPr>
      <w:r>
        <w:rPr>
          <w:rFonts w:ascii="IRNazanin" w:hAnsi="IRNazanin" w:eastAsia="IRNazanin" w:cs="IRNazanin"/>
          <w:lang w:bidi="fa-IR"/>
          <w:color w:val="111111"/>
          <w:sz w:val="28"/>
          <w:szCs w:val="28"/>
          <w:rtl/>
        </w:rPr>
        <w:t xml:space="preserve">بهوبال، ج 2، ص89.</w:t>
      </w:r>
    </w:p>
    <w:p>
      <w:pPr>
        <w:pStyle w:val="BookText"/>
      </w:pPr>
      <w:r>
        <w:rPr>
          <w:rFonts w:ascii="Amiri" w:hAnsi="Amiri" w:eastAsia="Amiri" w:cs="Amiri"/>
          <w:lang w:bidi="ar-SA"/>
          <w:color w:val="111111"/>
          <w:sz w:val="28"/>
          <w:szCs w:val="28"/>
          <w:rtl/>
        </w:rPr>
        <w:t xml:space="preserve">10 . الاصابة في منع النساء من الكتابة</w:t>
      </w:r>
    </w:p>
    <w:p>
      <w:pPr>
        <w:pStyle w:val="BookText"/>
      </w:pPr>
      <w:r>
        <w:rPr>
          <w:rFonts w:ascii="IRNazanin" w:hAnsi="IRNazanin" w:eastAsia="IRNazanin" w:cs="IRNazanin"/>
          <w:lang w:bidi="fa-IR"/>
          <w:color w:val="111111"/>
          <w:sz w:val="28"/>
          <w:szCs w:val="28"/>
          <w:rtl/>
        </w:rPr>
        <w:t xml:space="preserve">ج 2، ص 350.</w:t>
      </w:r>
    </w:p>
    <w:p>
      <w:pPr>
        <w:pStyle w:val="BookText"/>
      </w:pPr>
      <w:r>
        <w:rPr>
          <w:rFonts w:ascii="Amiri" w:hAnsi="Amiri" w:eastAsia="Amiri" w:cs="Amiri"/>
          <w:lang w:bidi="ar-SA"/>
          <w:color w:val="111111"/>
          <w:sz w:val="28"/>
          <w:szCs w:val="28"/>
          <w:rtl/>
        </w:rPr>
        <w:t xml:space="preserve">11 . البابية (رسالة في)، ج 3، ص 174.</w:t>
      </w:r>
    </w:p>
    <w:p>
      <w:pPr>
        <w:pStyle w:val="BookText"/>
      </w:pPr>
      <w:r>
        <w:rPr>
          <w:rFonts w:ascii="Amiri" w:hAnsi="Amiri" w:eastAsia="Amiri" w:cs="Amiri"/>
          <w:lang w:bidi="ar-SA"/>
          <w:color w:val="111111"/>
          <w:sz w:val="28"/>
          <w:szCs w:val="28"/>
          <w:rtl/>
        </w:rPr>
        <w:t xml:space="preserve">12 .تحريم الخمر، ج 3، ص 760 .</w:t>
      </w:r>
    </w:p>
    <w:p>
      <w:pPr>
        <w:pStyle w:val="BookText"/>
      </w:pPr>
      <w:r>
        <w:rPr>
          <w:rFonts w:ascii="Amiri" w:hAnsi="Amiri" w:eastAsia="Amiri" w:cs="Amiri"/>
          <w:lang w:bidi="ar-SA"/>
          <w:color w:val="111111"/>
          <w:sz w:val="28"/>
          <w:szCs w:val="28"/>
          <w:rtl/>
        </w:rPr>
        <w:t xml:space="preserve">13 .تشطير أبيات للميرزا جعفر</w:t>
      </w:r>
    </w:p>
    <w:p>
      <w:pPr>
        <w:pStyle w:val="BookText"/>
      </w:pPr>
      <w:r>
        <w:rPr>
          <w:rFonts w:ascii="Amiri" w:hAnsi="Amiri" w:eastAsia="Amiri" w:cs="Amiri"/>
          <w:lang w:bidi="ar-SA"/>
          <w:color w:val="111111"/>
          <w:sz w:val="28"/>
          <w:szCs w:val="28"/>
          <w:rtl/>
        </w:rPr>
        <w:t xml:space="preserve">القزويني، ج 4، ص383.</w:t>
      </w:r>
    </w:p>
    <w:p>
      <w:pPr>
        <w:pStyle w:val="BookText"/>
      </w:pPr>
      <w:r>
        <w:rPr>
          <w:rFonts w:ascii="Amiri" w:hAnsi="Amiri" w:eastAsia="Amiri" w:cs="Amiri"/>
          <w:lang w:bidi="ar-SA"/>
          <w:color w:val="111111"/>
          <w:sz w:val="28"/>
          <w:szCs w:val="28"/>
          <w:rtl/>
        </w:rPr>
        <w:t xml:space="preserve">14.جلاء العينين بمحاكمة الاحمدين( ابن تيمية و ابن حجر مكي)، ج5،</w:t>
      </w:r>
    </w:p>
    <w:p>
      <w:pPr>
        <w:pStyle w:val="BookText"/>
      </w:pPr>
      <w:r>
        <w:rPr>
          <w:rFonts w:ascii="IRNazanin" w:hAnsi="IRNazanin" w:eastAsia="IRNazanin" w:cs="IRNazanin"/>
          <w:lang w:bidi="fa-IR"/>
          <w:color w:val="111111"/>
          <w:sz w:val="28"/>
          <w:szCs w:val="28"/>
          <w:rtl/>
        </w:rPr>
        <w:t xml:space="preserve">ص 407 .</w:t>
      </w:r>
    </w:p>
    <w:p>
      <w:pPr>
        <w:pStyle w:val="BookText"/>
      </w:pPr>
      <w:r>
        <w:rPr>
          <w:rFonts w:ascii="Amiri" w:hAnsi="Amiri" w:eastAsia="Amiri" w:cs="Amiri"/>
          <w:lang w:bidi="ar-SA"/>
          <w:color w:val="111111"/>
          <w:sz w:val="28"/>
          <w:szCs w:val="28"/>
          <w:rtl/>
        </w:rPr>
        <w:t xml:space="preserve">15 .الجواب الفسيح لما لفقه</w:t>
      </w:r>
    </w:p>
    <w:p>
      <w:pPr>
        <w:pStyle w:val="BookText"/>
      </w:pPr>
      <w:r>
        <w:rPr>
          <w:rFonts w:ascii="Amiri" w:hAnsi="Amiri" w:eastAsia="Amiri" w:cs="Amiri"/>
          <w:lang w:bidi="ar-SA"/>
          <w:color w:val="111111"/>
          <w:sz w:val="28"/>
          <w:szCs w:val="28"/>
          <w:rtl/>
        </w:rPr>
        <w:t xml:space="preserve">عبد المسيح، ج 5، ص 506.</w:t>
      </w:r>
    </w:p>
    <w:p>
      <w:pPr>
        <w:pStyle w:val="BookText"/>
      </w:pPr>
      <w:r>
        <w:rPr>
          <w:rFonts w:ascii="Amiri" w:hAnsi="Amiri" w:eastAsia="Amiri" w:cs="Amiri"/>
          <w:lang w:bidi="ar-SA"/>
          <w:color w:val="111111"/>
          <w:sz w:val="28"/>
          <w:szCs w:val="28"/>
          <w:rtl/>
        </w:rPr>
        <w:t xml:space="preserve">16 .جواب سؤال بصري، ج 5، ص 499</w:t>
      </w:r>
    </w:p>
    <w:p>
      <w:pPr>
        <w:pStyle w:val="BookText"/>
      </w:pPr>
      <w:r>
        <w:rPr>
          <w:rFonts w:ascii="Amiri" w:hAnsi="Amiri" w:eastAsia="Amiri" w:cs="Amiri"/>
          <w:lang w:bidi="ar-SA"/>
          <w:color w:val="111111"/>
          <w:sz w:val="28"/>
          <w:szCs w:val="28"/>
          <w:rtl/>
        </w:rPr>
        <w:t xml:space="preserve">17 .الحباء في الايصاء، ج 6، ص 467.</w:t>
      </w:r>
    </w:p>
    <w:p>
      <w:pPr>
        <w:pStyle w:val="BookText"/>
      </w:pPr>
      <w:r>
        <w:rPr>
          <w:rFonts w:ascii="Amiri" w:hAnsi="Amiri" w:eastAsia="Amiri" w:cs="Amiri"/>
          <w:lang w:bidi="ar-SA"/>
          <w:color w:val="111111"/>
          <w:sz w:val="28"/>
          <w:szCs w:val="28"/>
          <w:rtl/>
        </w:rPr>
        <w:t xml:space="preserve">18 .حور عيون الحور فيما لنا من منظوم و منثور، ج 6، ص 847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7742_69365"/>
    <w:bookmarkEnd w:id="18"/>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دیوان آلوسي، ج 7، ص509</w:t>
      </w:r>
    </w:p>
    <w:p>
      <w:pPr>
        <w:pStyle w:val="BookText"/>
      </w:pPr>
      <w:r>
        <w:rPr>
          <w:rFonts w:ascii="Amiri" w:hAnsi="Amiri" w:eastAsia="Amiri" w:cs="Amiri"/>
          <w:lang w:bidi="ar-SA"/>
          <w:color w:val="111111"/>
          <w:sz w:val="28"/>
          <w:szCs w:val="28"/>
          <w:rtl/>
        </w:rPr>
        <w:t xml:space="preserve">20 .الذبالة الوهاجة في ديباجي الديباجة، ج 7، ص 811</w:t>
      </w:r>
    </w:p>
    <w:p>
      <w:pPr>
        <w:pStyle w:val="BookText"/>
      </w:pPr>
      <w:r>
        <w:rPr>
          <w:rFonts w:ascii="Amiri" w:hAnsi="Amiri" w:eastAsia="Amiri" w:cs="Amiri"/>
          <w:lang w:bidi="ar-SA"/>
          <w:color w:val="111111"/>
          <w:sz w:val="28"/>
          <w:szCs w:val="28"/>
          <w:rtl/>
        </w:rPr>
        <w:t xml:space="preserve">21 .الرد على البهائية (رسالة في)، ج8،</w:t>
      </w:r>
    </w:p>
    <w:p>
      <w:pPr>
        <w:pStyle w:val="BookText"/>
      </w:pPr>
      <w:r>
        <w:rPr>
          <w:rFonts w:ascii="IRNazanin" w:hAnsi="IRNazanin" w:eastAsia="IRNazanin" w:cs="IRNazanin"/>
          <w:lang w:bidi="fa-IR"/>
          <w:color w:val="111111"/>
          <w:sz w:val="28"/>
          <w:szCs w:val="28"/>
          <w:rtl/>
        </w:rPr>
        <w:t xml:space="preserve">ص 92 .</w:t>
      </w:r>
    </w:p>
    <w:p>
      <w:pPr>
        <w:pStyle w:val="BookText"/>
      </w:pPr>
      <w:r>
        <w:rPr>
          <w:rFonts w:ascii="Amiri" w:hAnsi="Amiri" w:eastAsia="Amiri" w:cs="Amiri"/>
          <w:lang w:bidi="ar-SA"/>
          <w:color w:val="111111"/>
          <w:sz w:val="28"/>
          <w:szCs w:val="28"/>
          <w:rtl/>
        </w:rPr>
        <w:t xml:space="preserve">22 .رسالة مسجوعة في الانشاء، ج8،</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Amiri" w:hAnsi="Amiri" w:eastAsia="Amiri" w:cs="Amiri"/>
          <w:lang w:bidi="ar-SA"/>
          <w:color w:val="111111"/>
          <w:sz w:val="28"/>
          <w:szCs w:val="28"/>
          <w:rtl/>
        </w:rPr>
        <w:t xml:space="preserve">23 .سلس الغانيات في ذوات الطرفين</w:t>
      </w:r>
    </w:p>
    <w:p>
      <w:pPr>
        <w:pStyle w:val="BookText"/>
      </w:pPr>
      <w:r>
        <w:rPr>
          <w:rFonts w:ascii="Amiri" w:hAnsi="Amiri" w:eastAsia="Amiri" w:cs="Amiri"/>
          <w:lang w:bidi="ar-SA"/>
          <w:color w:val="111111"/>
          <w:sz w:val="28"/>
          <w:szCs w:val="28"/>
          <w:rtl/>
        </w:rPr>
        <w:t xml:space="preserve">من الكلمات، ج 8، ص800</w:t>
      </w:r>
    </w:p>
    <w:p>
      <w:pPr>
        <w:pStyle w:val="BookText"/>
      </w:pPr>
      <w:r>
        <w:rPr>
          <w:rFonts w:ascii="Amiri" w:hAnsi="Amiri" w:eastAsia="Amiri" w:cs="Amiri"/>
          <w:lang w:bidi="ar-SA"/>
          <w:color w:val="111111"/>
          <w:sz w:val="28"/>
          <w:szCs w:val="28"/>
          <w:rtl/>
        </w:rPr>
        <w:t xml:space="preserve">24 .شقايق النعمان في شقاشق ابن</w:t>
      </w:r>
    </w:p>
    <w:p>
      <w:pPr>
        <w:pStyle w:val="BookText"/>
      </w:pPr>
      <w:r>
        <w:rPr>
          <w:rFonts w:ascii="Amiri" w:hAnsi="Amiri" w:eastAsia="Amiri" w:cs="Amiri"/>
          <w:lang w:bidi="ar-SA"/>
          <w:color w:val="111111"/>
          <w:sz w:val="28"/>
          <w:szCs w:val="28"/>
          <w:rtl/>
        </w:rPr>
        <w:t xml:space="preserve">سليمان ، ج 10، ص 395.</w:t>
      </w:r>
    </w:p>
    <w:p>
      <w:pPr>
        <w:pStyle w:val="BookText"/>
      </w:pPr>
      <w:r>
        <w:rPr>
          <w:rFonts w:ascii="Amiri" w:hAnsi="Amiri" w:eastAsia="Amiri" w:cs="Amiri"/>
          <w:lang w:bidi="ar-SA"/>
          <w:color w:val="111111"/>
          <w:sz w:val="28"/>
          <w:szCs w:val="28"/>
          <w:rtl/>
        </w:rPr>
        <w:t xml:space="preserve">25 .صادق الفجرين في جواب</w:t>
      </w:r>
    </w:p>
    <w:p>
      <w:pPr>
        <w:pStyle w:val="BookText"/>
      </w:pPr>
      <w:r>
        <w:rPr>
          <w:rFonts w:ascii="Amiri" w:hAnsi="Amiri" w:eastAsia="Amiri" w:cs="Amiri"/>
          <w:lang w:bidi="ar-SA"/>
          <w:color w:val="111111"/>
          <w:sz w:val="28"/>
          <w:szCs w:val="28"/>
          <w:rtl/>
        </w:rPr>
        <w:t xml:space="preserve">البحرين، ج 10، ص 466.</w:t>
      </w:r>
    </w:p>
    <w:p>
      <w:pPr>
        <w:pStyle w:val="BookText"/>
      </w:pPr>
      <w:r>
        <w:rPr>
          <w:rFonts w:ascii="Amiri" w:hAnsi="Amiri" w:eastAsia="Amiri" w:cs="Amiri"/>
          <w:lang w:bidi="ar-SA"/>
          <w:color w:val="111111"/>
          <w:sz w:val="28"/>
          <w:szCs w:val="28"/>
          <w:rtl/>
        </w:rPr>
        <w:t xml:space="preserve">26 .الطارف و التالد في اكمال حاشية</w:t>
      </w:r>
    </w:p>
    <w:p>
      <w:pPr>
        <w:pStyle w:val="BookText"/>
      </w:pPr>
      <w:r>
        <w:rPr>
          <w:rFonts w:ascii="Amiri" w:hAnsi="Amiri" w:eastAsia="Amiri" w:cs="Amiri"/>
          <w:lang w:bidi="ar-SA"/>
          <w:color w:val="111111"/>
          <w:sz w:val="28"/>
          <w:szCs w:val="28"/>
          <w:rtl/>
        </w:rPr>
        <w:t xml:space="preserve">الوالد = حاشية على شرح قطر</w:t>
      </w:r>
    </w:p>
    <w:p>
      <w:pPr>
        <w:pStyle w:val="BookText"/>
      </w:pPr>
      <w:r>
        <w:rPr>
          <w:rFonts w:ascii="IRNazanin" w:hAnsi="IRNazanin" w:eastAsia="IRNazanin" w:cs="IRNazanin"/>
          <w:lang w:bidi="fa-IR"/>
          <w:color w:val="111111"/>
          <w:sz w:val="28"/>
          <w:szCs w:val="28"/>
          <w:rtl/>
        </w:rPr>
        <w:t xml:space="preserve">الندى، ج 10، ص 731.</w:t>
      </w:r>
    </w:p>
    <w:p>
      <w:pPr>
        <w:pStyle w:val="BookText"/>
      </w:pPr>
      <w:r>
        <w:rPr>
          <w:rFonts w:ascii="Amiri" w:hAnsi="Amiri" w:eastAsia="Amiri" w:cs="Amiri"/>
          <w:lang w:bidi="ar-SA"/>
          <w:color w:val="111111"/>
          <w:sz w:val="28"/>
          <w:szCs w:val="28"/>
          <w:rtl/>
        </w:rPr>
        <w:t xml:space="preserve">27 .غاية المواعظ و مصباح المتعظ،</w:t>
      </w:r>
    </w:p>
    <w:p>
      <w:pPr>
        <w:pStyle w:val="BookText"/>
      </w:pPr>
      <w:r>
        <w:rPr>
          <w:rFonts w:ascii="IRNazanin" w:hAnsi="IRNazanin" w:eastAsia="IRNazanin" w:cs="IRNazanin"/>
          <w:lang w:bidi="fa-IR"/>
          <w:color w:val="111111"/>
          <w:sz w:val="28"/>
          <w:szCs w:val="28"/>
          <w:rtl/>
        </w:rPr>
        <w:t xml:space="preserve">ج 11، ص 457 .</w:t>
      </w:r>
    </w:p>
    <w:p>
      <w:pPr>
        <w:pStyle w:val="BookText"/>
      </w:pPr>
      <w:r>
        <w:rPr>
          <w:rFonts w:ascii="Amiri" w:hAnsi="Amiri" w:eastAsia="Amiri" w:cs="Amiri"/>
          <w:lang w:bidi="ar-SA"/>
          <w:color w:val="111111"/>
          <w:sz w:val="28"/>
          <w:szCs w:val="28"/>
          <w:rtl/>
        </w:rPr>
        <w:t xml:space="preserve">28 .الفقه والتفسير و العقائد (نقول</w:t>
      </w:r>
    </w:p>
    <w:p>
      <w:pPr>
        <w:pStyle w:val="BookText"/>
      </w:pPr>
      <w:r>
        <w:rPr>
          <w:rFonts w:ascii="Amiri" w:hAnsi="Amiri" w:eastAsia="Amiri" w:cs="Amiri"/>
          <w:lang w:bidi="ar-SA"/>
          <w:color w:val="111111"/>
          <w:sz w:val="28"/>
          <w:szCs w:val="28"/>
          <w:rtl/>
        </w:rPr>
        <w:t xml:space="preserve">فيه)، ج 12، ص 115.</w:t>
      </w:r>
    </w:p>
    <w:p>
      <w:pPr>
        <w:pStyle w:val="BookText"/>
      </w:pPr>
      <w:r>
        <w:rPr>
          <w:rFonts w:ascii="Amiri" w:hAnsi="Amiri" w:eastAsia="Amiri" w:cs="Amiri"/>
          <w:lang w:bidi="ar-SA"/>
          <w:color w:val="111111"/>
          <w:sz w:val="28"/>
          <w:szCs w:val="28"/>
          <w:rtl/>
        </w:rPr>
        <w:t xml:space="preserve">29 .فهرس الكتب التي وقفها نعمان</w:t>
      </w:r>
    </w:p>
    <w:p>
      <w:pPr>
        <w:pStyle w:val="BookText"/>
      </w:pPr>
      <w:r>
        <w:rPr>
          <w:rFonts w:ascii="Amiri" w:hAnsi="Amiri" w:eastAsia="Amiri" w:cs="Amiri"/>
          <w:lang w:bidi="ar-SA"/>
          <w:color w:val="111111"/>
          <w:sz w:val="28"/>
          <w:szCs w:val="28"/>
          <w:rtl/>
        </w:rPr>
        <w:t xml:space="preserve">بن محمود الالوسي، ج 12، ص 161.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مجموعة، ج 14 ، ص 6.</w:t>
      </w:r>
    </w:p>
    <w:p>
      <w:pPr>
        <w:pStyle w:val="BookText"/>
      </w:pPr>
      <w:r>
        <w:rPr>
          <w:rFonts w:ascii="Amiri" w:hAnsi="Amiri" w:eastAsia="Amiri" w:cs="Amiri"/>
          <w:lang w:bidi="ar-SA"/>
          <w:color w:val="111111"/>
          <w:sz w:val="28"/>
          <w:szCs w:val="28"/>
          <w:rtl/>
        </w:rPr>
        <w:t xml:space="preserve">31 .مجموعة نعمان الالوسي، ج 14،</w:t>
      </w:r>
    </w:p>
    <w:p>
      <w:pPr>
        <w:pStyle w:val="BookText"/>
      </w:pPr>
      <w:r>
        <w:rPr>
          <w:rFonts w:ascii="IRNazanin" w:hAnsi="IRNazanin" w:eastAsia="IRNazanin" w:cs="IRNazanin"/>
          <w:lang w:bidi="fa-IR"/>
          <w:color w:val="111111"/>
          <w:sz w:val="28"/>
          <w:szCs w:val="28"/>
          <w:rtl/>
        </w:rPr>
        <w:t xml:space="preserve">ص 61 .</w:t>
      </w:r>
    </w:p>
    <w:p>
      <w:pPr>
        <w:pStyle w:val="BookText"/>
      </w:pPr>
      <w:r>
        <w:rPr>
          <w:rFonts w:ascii="Amiri" w:hAnsi="Amiri" w:eastAsia="Amiri" w:cs="Amiri"/>
          <w:lang w:bidi="ar-SA"/>
          <w:color w:val="111111"/>
          <w:sz w:val="28"/>
          <w:szCs w:val="28"/>
          <w:rtl/>
        </w:rPr>
        <w:t xml:space="preserve">32 .مسودات الكتب، ج 14، ص 603.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مطالع السعود (مختصر) = مختصر مطالع السعود لعثمان بن سند الوائلي، ج 14 ، ص 779.</w:t>
      </w:r>
    </w:p>
    <w:p>
      <w:pPr>
        <w:pStyle w:val="Heading2"/>
      </w:pPr>
      <w:bookmarkStart w:id="987" w:name="_Toc89"/>
      <w:r>
        <w:t>آل ياسين ، محمّد حسن - 1350 ه-</w:t>
      </w:r>
      <w:bookmarkEnd w:id="987"/>
    </w:p>
    <w:p>
      <w:pPr>
        <w:pStyle w:val="BookText"/>
      </w:pPr>
      <w:r>
        <w:rPr>
          <w:rFonts w:ascii="Amiri" w:hAnsi="Amiri" w:eastAsia="Amiri" w:cs="Amiri"/>
          <w:lang w:bidi="ar-SA"/>
          <w:color w:val="111111"/>
          <w:sz w:val="28"/>
          <w:szCs w:val="28"/>
          <w:rtl/>
        </w:rPr>
        <w:t xml:space="preserve">1 .اسرار الفقاهة، ج 2، ص178.</w:t>
      </w:r>
    </w:p>
    <w:p>
      <w:pPr>
        <w:pStyle w:val="BookText"/>
      </w:pPr>
      <w:r>
        <w:rPr>
          <w:rFonts w:ascii="Amiri" w:hAnsi="Amiri" w:eastAsia="Amiri" w:cs="Amiri"/>
          <w:lang w:bidi="ar-SA"/>
          <w:color w:val="111111"/>
          <w:sz w:val="28"/>
          <w:szCs w:val="28"/>
          <w:rtl/>
        </w:rPr>
        <w:t xml:space="preserve">2 .افعال الحج و العمرة، ج 2، ص 600.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الخمس، ج 7، ص 161.</w:t>
      </w:r>
    </w:p>
    <w:p>
      <w:pPr>
        <w:pStyle w:val="BookText"/>
      </w:pPr>
      <w:r>
        <w:rPr>
          <w:rFonts w:ascii="Amiri" w:hAnsi="Amiri" w:eastAsia="Amiri" w:cs="Amiri"/>
          <w:lang w:bidi="ar-SA"/>
          <w:color w:val="111111"/>
          <w:sz w:val="28"/>
          <w:szCs w:val="28"/>
          <w:rtl/>
        </w:rPr>
        <w:t xml:space="preserve">4 .رسالة عملية، ج8، ص230.</w:t>
      </w:r>
    </w:p>
    <w:p>
      <w:pPr>
        <w:pStyle w:val="BookText"/>
      </w:pPr>
      <w:r>
        <w:rPr>
          <w:rFonts w:ascii="Amiri" w:hAnsi="Amiri" w:eastAsia="Amiri" w:cs="Amiri"/>
          <w:lang w:bidi="ar-SA"/>
          <w:color w:val="111111"/>
          <w:sz w:val="28"/>
          <w:szCs w:val="28"/>
          <w:rtl/>
        </w:rPr>
        <w:t xml:space="preserve">5 .الوجيزة، ج 16، ص 740.</w:t>
      </w:r>
    </w:p>
    <w:p>
      <w:pPr>
        <w:pStyle w:val="Heading2"/>
      </w:pPr>
      <w:bookmarkStart w:id="988" w:name="_Toc90"/>
      <w:r>
        <w:t>آل ياسين ، مّحمد حسين، 1947 م</w:t>
      </w:r>
      <w:bookmarkEnd w:id="988"/>
    </w:p>
    <w:p>
      <w:pPr>
        <w:pStyle w:val="BookText"/>
      </w:pPr>
      <w:r>
        <w:rPr>
          <w:rFonts w:ascii="IRNazanin" w:hAnsi="IRNazanin" w:eastAsia="IRNazanin" w:cs="IRNazanin"/>
          <w:lang w:bidi="fa-IR"/>
          <w:color w:val="111111"/>
          <w:sz w:val="28"/>
          <w:szCs w:val="28"/>
          <w:rtl/>
        </w:rPr>
        <w:t xml:space="preserve">دیوان محمّّد حسين آل ياسين، ج7،</w:t>
      </w:r>
    </w:p>
    <w:p>
      <w:pPr>
        <w:pStyle w:val="BookText"/>
      </w:pPr>
      <w:r>
        <w:rPr>
          <w:rFonts w:ascii="IRNazanin" w:hAnsi="IRNazanin" w:eastAsia="IRNazanin" w:cs="IRNazanin"/>
          <w:lang w:bidi="fa-IR"/>
          <w:color w:val="111111"/>
          <w:sz w:val="28"/>
          <w:szCs w:val="28"/>
          <w:rtl/>
        </w:rPr>
        <w:t xml:space="preserve">ص 766 .</w:t>
      </w:r>
    </w:p>
    <w:p>
      <w:pPr>
        <w:pStyle w:val="BookText"/>
      </w:pPr>
      <w:r>
        <w:rPr>
          <w:rFonts w:ascii="Amiri" w:hAnsi="Amiri" w:eastAsia="Amiri" w:cs="Amiri"/>
          <w:lang w:bidi="ar-SA"/>
          <w:color w:val="111111"/>
          <w:sz w:val="28"/>
          <w:szCs w:val="28"/>
          <w:rtl/>
        </w:rPr>
        <w:t xml:space="preserve">آماسي ، ابراهيم بن يحيى- دده جونكي :</w:t>
      </w:r>
    </w:p>
    <w:p>
      <w:pPr>
        <w:pStyle w:val="BookText"/>
      </w:pPr>
      <w:r>
        <w:rPr>
          <w:rFonts w:ascii="Amiri" w:hAnsi="Amiri" w:eastAsia="Amiri" w:cs="Amiri"/>
          <w:lang w:bidi="ar-SA"/>
          <w:color w:val="111111"/>
          <w:sz w:val="28"/>
          <w:szCs w:val="28"/>
          <w:rtl/>
        </w:rPr>
        <w:t xml:space="preserve">ابراهيم بن يحيى</w:t>
      </w:r>
    </w:p>
    <w:p>
      <w:pPr>
        <w:pStyle w:val="Heading2"/>
      </w:pPr>
      <w:bookmarkStart w:id="989" w:name="_Toc91"/>
      <w:r>
        <w:t>آماسي ، حسين بن علي - 1064 ه- الفوائد الكثيرة الطريفة في رسم</w:t>
      </w:r>
      <w:bookmarkEnd w:id="989"/>
    </w:p>
    <w:p>
      <w:pPr>
        <w:pStyle w:val="BookText"/>
      </w:pPr>
      <w:r>
        <w:rPr>
          <w:rFonts w:ascii="Amiri" w:hAnsi="Amiri" w:eastAsia="Amiri" w:cs="Amiri"/>
          <w:lang w:bidi="ar-SA"/>
          <w:color w:val="111111"/>
          <w:sz w:val="28"/>
          <w:szCs w:val="28"/>
          <w:rtl/>
        </w:rPr>
        <w:t xml:space="preserve">المصاحف القرآنية الشريفة، ج 12،</w:t>
      </w:r>
    </w:p>
    <w:p>
      <w:pPr>
        <w:pStyle w:val="BookText"/>
      </w:pPr>
      <w:r>
        <w:rPr>
          <w:rFonts w:ascii="IRNazanin" w:hAnsi="IRNazanin" w:eastAsia="IRNazanin" w:cs="IRNazanin"/>
          <w:lang w:bidi="fa-IR"/>
          <w:color w:val="111111"/>
          <w:sz w:val="28"/>
          <w:szCs w:val="28"/>
          <w:rtl/>
        </w:rPr>
        <w:t xml:space="preserve">ص 263.</w:t>
      </w:r>
    </w:p>
    <w:p>
      <w:pPr>
        <w:pStyle w:val="BookText"/>
      </w:pPr>
      <w:r>
        <w:rPr>
          <w:rFonts w:ascii="Amiri" w:hAnsi="Amiri" w:eastAsia="Amiri" w:cs="Amiri"/>
          <w:lang w:bidi="ar-SA"/>
          <w:color w:val="111111"/>
          <w:sz w:val="28"/>
          <w:szCs w:val="28"/>
          <w:rtl/>
        </w:rPr>
        <w:t xml:space="preserve">آماسي ، خضر بن محمّد -مفتي آماسي ،</w:t>
      </w:r>
    </w:p>
    <w:p>
      <w:pPr>
        <w:pStyle w:val="BookText"/>
      </w:pPr>
      <w:r>
        <w:rPr>
          <w:rFonts w:ascii="Amiri" w:hAnsi="Amiri" w:eastAsia="Amiri" w:cs="Amiri"/>
          <w:lang w:bidi="ar-SA"/>
          <w:color w:val="111111"/>
          <w:sz w:val="28"/>
          <w:szCs w:val="28"/>
          <w:rtl/>
        </w:rPr>
        <w:t xml:space="preserve">خضر بن محمّد</w:t>
      </w:r>
    </w:p>
    <w:p>
      <w:pPr>
        <w:pStyle w:val="BookText"/>
      </w:pPr>
      <w:r>
        <w:rPr>
          <w:rFonts w:ascii="Amiri" w:hAnsi="Amiri" w:eastAsia="Amiri" w:cs="Amiri"/>
          <w:lang w:bidi="ar-SA"/>
          <w:color w:val="111111"/>
          <w:sz w:val="28"/>
          <w:szCs w:val="28"/>
          <w:rtl/>
        </w:rPr>
        <w:t xml:space="preserve">آماسي ، عبدالرحمن بن علي -ابن المؤيد ،</w:t>
      </w:r>
    </w:p>
    <w:p>
      <w:pPr>
        <w:pStyle w:val="BookText"/>
      </w:pPr>
      <w:r>
        <w:rPr>
          <w:rFonts w:ascii="Amiri" w:hAnsi="Amiri" w:eastAsia="Amiri" w:cs="Amiri"/>
          <w:lang w:bidi="ar-SA"/>
          <w:color w:val="111111"/>
          <w:sz w:val="28"/>
          <w:szCs w:val="28"/>
          <w:rtl/>
        </w:rPr>
        <w:t xml:space="preserve">آماسي ، عبدالرحيم بن علي شيخ زاده ،</w:t>
      </w:r>
    </w:p>
    <w:p>
      <w:pPr>
        <w:pStyle w:val="BookText"/>
      </w:pPr>
      <w:r>
        <w:rPr>
          <w:rFonts w:ascii="Amiri" w:hAnsi="Amiri" w:eastAsia="Amiri" w:cs="Amiri"/>
          <w:lang w:bidi="ar-SA"/>
          <w:color w:val="111111"/>
          <w:sz w:val="28"/>
          <w:szCs w:val="28"/>
          <w:rtl/>
        </w:rPr>
        <w:t xml:space="preserve">عبدالرحيم بن علي- آماسي ، عبدالله بن محمّد- افندي زاده</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آماسي ، عبد المجيد بن نصوح- لادكي</w:t>
      </w:r>
    </w:p>
    <w:p>
      <w:pPr>
        <w:pStyle w:val="BookText"/>
      </w:pPr>
      <w:r>
        <w:rPr>
          <w:rFonts w:ascii="Amiri" w:hAnsi="Amiri" w:eastAsia="Amiri" w:cs="Amiri"/>
          <w:lang w:bidi="ar-SA"/>
          <w:color w:val="111111"/>
          <w:sz w:val="28"/>
          <w:szCs w:val="28"/>
          <w:rtl/>
        </w:rPr>
        <w:t xml:space="preserve">عبد المجيد بن نصوح</w:t>
      </w:r>
    </w:p>
    <w:p>
      <w:pPr>
        <w:pStyle w:val="BookText"/>
      </w:pPr>
      <w:r>
        <w:rPr>
          <w:rFonts w:ascii="Amiri" w:hAnsi="Amiri" w:eastAsia="Amiri" w:cs="Amiri"/>
          <w:lang w:bidi="ar-SA"/>
          <w:color w:val="111111"/>
          <w:sz w:val="28"/>
          <w:szCs w:val="28"/>
          <w:rtl/>
        </w:rPr>
        <w:t xml:space="preserve">آماسي ، علي بن محمّد- رضائي رومي ،</w:t>
      </w:r>
    </w:p>
    <w:p>
      <w:pPr>
        <w:pStyle w:val="BookText"/>
      </w:pPr>
      <w:r>
        <w:rPr>
          <w:rFonts w:ascii="Amiri" w:hAnsi="Amiri" w:eastAsia="Amiri" w:cs="Amiri"/>
          <w:lang w:bidi="ar-SA"/>
          <w:color w:val="111111"/>
          <w:sz w:val="28"/>
          <w:szCs w:val="28"/>
          <w:rtl/>
        </w:rPr>
        <w:t xml:space="preserve">علي بن محمّد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7742_69367"/>
    <w:bookmarkEnd w:id="19"/>
    <w:p>
      <w:pPr>
        <w:pStyle w:val="Heading2"/>
      </w:pPr>
      <w:bookmarkStart w:id="990" w:name="_Toc92"/>
      <w:r>
        <w:t>آماسي ، عمر بن عبدالغفار، قرن 12</w:t>
      </w:r>
      <w:bookmarkEnd w:id="990"/>
    </w:p>
    <w:p>
      <w:pPr>
        <w:pStyle w:val="BookText"/>
      </w:pPr>
      <w:r>
        <w:rPr>
          <w:rFonts w:ascii="Amiri" w:hAnsi="Amiri" w:eastAsia="Amiri" w:cs="Amiri"/>
          <w:lang w:bidi="ar-SA"/>
          <w:color w:val="111111"/>
          <w:sz w:val="28"/>
          <w:szCs w:val="28"/>
          <w:rtl/>
        </w:rPr>
        <w:t xml:space="preserve">تفضيل الايمان، ج4، ص 709 ه-</w:t>
      </w:r>
    </w:p>
    <w:p>
      <w:pPr>
        <w:pStyle w:val="Heading2"/>
      </w:pPr>
      <w:bookmarkStart w:id="991" w:name="_Toc93"/>
      <w:r>
        <w:t>آماسي ، محمّد بن قاسم، 864 - 940 ه-</w:t>
      </w:r>
      <w:bookmarkEnd w:id="991"/>
    </w:p>
    <w:p>
      <w:pPr>
        <w:pStyle w:val="BookText"/>
      </w:pPr>
      <w:r>
        <w:rPr>
          <w:rFonts w:ascii="Amiri" w:hAnsi="Amiri" w:eastAsia="Amiri" w:cs="Amiri"/>
          <w:lang w:bidi="ar-SA"/>
          <w:color w:val="111111"/>
          <w:sz w:val="28"/>
          <w:szCs w:val="28"/>
          <w:rtl/>
        </w:rPr>
        <w:t xml:space="preserve">1 حاشية حاشية السيد الشريف على</w:t>
      </w:r>
    </w:p>
    <w:p>
      <w:pPr>
        <w:pStyle w:val="BookText"/>
      </w:pPr>
      <w:r>
        <w:rPr>
          <w:rFonts w:ascii="Amiri" w:hAnsi="Amiri" w:eastAsia="Amiri" w:cs="Amiri"/>
          <w:lang w:bidi="ar-SA"/>
          <w:color w:val="111111"/>
          <w:sz w:val="28"/>
          <w:szCs w:val="28"/>
          <w:rtl/>
        </w:rPr>
        <w:t xml:space="preserve">شرح التجريد، ج 5، ص 821</w:t>
      </w:r>
    </w:p>
    <w:p>
      <w:pPr>
        <w:pStyle w:val="BookText"/>
      </w:pPr>
      <w:r>
        <w:rPr>
          <w:rFonts w:ascii="Amiri" w:hAnsi="Amiri" w:eastAsia="Amiri" w:cs="Amiri"/>
          <w:lang w:bidi="ar-SA"/>
          <w:color w:val="111111"/>
          <w:sz w:val="28"/>
          <w:szCs w:val="28"/>
          <w:rtl/>
        </w:rPr>
        <w:t xml:space="preserve">2 روض الاخيار الاخبار المنتخب من</w:t>
      </w:r>
    </w:p>
    <w:p>
      <w:pPr>
        <w:pStyle w:val="BookText"/>
      </w:pPr>
      <w:r>
        <w:rPr>
          <w:rFonts w:ascii="Amiri" w:hAnsi="Amiri" w:eastAsia="Amiri" w:cs="Amiri"/>
          <w:lang w:bidi="ar-SA"/>
          <w:color w:val="111111"/>
          <w:sz w:val="28"/>
          <w:szCs w:val="28"/>
          <w:rtl/>
        </w:rPr>
        <w:t xml:space="preserve">ربيع الابرار، ج8، ص 395.</w:t>
      </w:r>
    </w:p>
    <w:p>
      <w:pPr>
        <w:pStyle w:val="Heading2"/>
      </w:pPr>
      <w:bookmarkStart w:id="992" w:name="_Toc94"/>
      <w:r>
        <w:t>آماسي ، مصلح الدين</w:t>
      </w:r>
      <w:bookmarkEnd w:id="992"/>
    </w:p>
    <w:p>
      <w:pPr>
        <w:pStyle w:val="BookText"/>
      </w:pPr>
      <w:r>
        <w:rPr>
          <w:rFonts w:ascii="Amiri" w:hAnsi="Amiri" w:eastAsia="Amiri" w:cs="Amiri"/>
          <w:lang w:bidi="ar-SA"/>
          <w:color w:val="111111"/>
          <w:sz w:val="28"/>
          <w:szCs w:val="28"/>
          <w:rtl/>
        </w:rPr>
        <w:t xml:space="preserve">كشف الأسرار في شرح الاظهار، ج 13،</w:t>
      </w:r>
    </w:p>
    <w:p>
      <w:pPr>
        <w:pStyle w:val="BookText"/>
      </w:pPr>
      <w:r>
        <w:rPr>
          <w:rFonts w:ascii="IRNazanin" w:hAnsi="IRNazanin" w:eastAsia="IRNazanin" w:cs="IRNazanin"/>
          <w:lang w:bidi="fa-IR"/>
          <w:color w:val="111111"/>
          <w:sz w:val="28"/>
          <w:szCs w:val="28"/>
          <w:rtl/>
        </w:rPr>
        <w:t xml:space="preserve">ص 192 .</w:t>
      </w:r>
    </w:p>
    <w:p>
      <w:pPr>
        <w:pStyle w:val="BookText"/>
      </w:pPr>
      <w:r>
        <w:rPr>
          <w:rFonts w:ascii="IRNazanin" w:hAnsi="IRNazanin" w:eastAsia="IRNazanin" w:cs="IRNazanin"/>
          <w:lang w:bidi="fa-IR"/>
          <w:color w:val="111111"/>
          <w:sz w:val="28"/>
          <w:szCs w:val="28"/>
          <w:rtl/>
        </w:rPr>
        <w:t xml:space="preserve">آماسي ، يوسف بن عبدالله -سنان الدین</w:t>
      </w:r>
    </w:p>
    <w:p>
      <w:pPr>
        <w:pStyle w:val="BookText"/>
      </w:pPr>
      <w:r>
        <w:rPr>
          <w:rFonts w:ascii="Amiri" w:hAnsi="Amiri" w:eastAsia="Amiri" w:cs="Amiri"/>
          <w:lang w:bidi="ar-SA"/>
          <w:color w:val="111111"/>
          <w:sz w:val="28"/>
          <w:szCs w:val="28"/>
          <w:rtl/>
        </w:rPr>
        <w:t xml:space="preserve">آماسي ، يوسف بن عبدالله</w:t>
      </w:r>
    </w:p>
    <w:p>
      <w:pPr>
        <w:pStyle w:val="BookText"/>
      </w:pPr>
      <w:r>
        <w:rPr>
          <w:rFonts w:ascii="IRNazanin" w:hAnsi="IRNazanin" w:eastAsia="IRNazanin" w:cs="IRNazanin"/>
          <w:lang w:bidi="fa-IR"/>
          <w:color w:val="111111"/>
          <w:sz w:val="28"/>
          <w:szCs w:val="28"/>
          <w:rtl/>
        </w:rPr>
        <w:t xml:space="preserve">آماسیه وي ، حسين شاه چلبي- انطاكي</w:t>
      </w:r>
    </w:p>
    <w:p>
      <w:pPr>
        <w:pStyle w:val="BookText"/>
      </w:pPr>
      <w:r>
        <w:rPr>
          <w:rFonts w:ascii="Amiri" w:hAnsi="Amiri" w:eastAsia="Amiri" w:cs="Amiri"/>
          <w:lang w:bidi="ar-SA"/>
          <w:color w:val="111111"/>
          <w:sz w:val="28"/>
          <w:szCs w:val="28"/>
          <w:rtl/>
        </w:rPr>
        <w:t xml:space="preserve">حسين بن عبدالله</w:t>
      </w:r>
    </w:p>
    <w:p>
      <w:pPr>
        <w:pStyle w:val="Heading2"/>
      </w:pPr>
      <w:bookmarkStart w:id="993" w:name="_Toc95"/>
      <w:r>
        <w:t>آمجي ، علي بن حسين</w:t>
      </w:r>
      <w:bookmarkEnd w:id="993"/>
    </w:p>
    <w:p>
      <w:pPr>
        <w:pStyle w:val="BookText"/>
      </w:pPr>
      <w:r>
        <w:rPr>
          <w:rFonts w:ascii="IRNazanin" w:hAnsi="IRNazanin" w:eastAsia="IRNazanin" w:cs="IRNazanin"/>
          <w:lang w:bidi="fa-IR"/>
          <w:color w:val="111111"/>
          <w:sz w:val="28"/>
          <w:szCs w:val="28"/>
          <w:rtl/>
        </w:rPr>
        <w:t xml:space="preserve">کتاب فارسي، ج 13، ص112.</w:t>
      </w:r>
    </w:p>
    <w:p>
      <w:pPr>
        <w:pStyle w:val="BookText"/>
      </w:pPr>
      <w:r>
        <w:rPr>
          <w:rFonts w:ascii="Amiri" w:hAnsi="Amiri" w:eastAsia="Amiri" w:cs="Amiri"/>
          <w:lang w:bidi="ar-SA"/>
          <w:color w:val="111111"/>
          <w:sz w:val="28"/>
          <w:szCs w:val="28"/>
          <w:rtl/>
        </w:rPr>
        <w:t xml:space="preserve">آمدي ، ابراهيم -قرماني ، ابراهيم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آمدي ، رجب بن احمد -قيصري ، رجب بن احمد</w:t>
      </w:r>
    </w:p>
    <w:p>
      <w:pPr>
        <w:pStyle w:val="Heading2"/>
      </w:pPr>
      <w:bookmarkStart w:id="994" w:name="_Toc96"/>
      <w:r>
        <w:t>آمدي ، عبدالرحمن</w:t>
      </w:r>
      <w:bookmarkEnd w:id="994"/>
    </w:p>
    <w:p>
      <w:pPr>
        <w:pStyle w:val="BookText"/>
      </w:pPr>
      <w:r>
        <w:rPr>
          <w:rFonts w:ascii="Amiri" w:hAnsi="Amiri" w:eastAsia="Amiri" w:cs="Amiri"/>
          <w:lang w:bidi="ar-SA"/>
          <w:color w:val="111111"/>
          <w:sz w:val="28"/>
          <w:szCs w:val="28"/>
          <w:rtl/>
        </w:rPr>
        <w:t xml:space="preserve">اصول الجبر والمقابلة، ج 2، ص 407</w:t>
      </w:r>
    </w:p>
    <w:p>
      <w:pPr>
        <w:pStyle w:val="Heading2"/>
      </w:pPr>
      <w:bookmarkStart w:id="995" w:name="_Toc97"/>
      <w:r>
        <w:t>آمدي ، عبدالرحيم بن علي قرن 10 ه-</w:t>
      </w:r>
      <w:bookmarkEnd w:id="995"/>
    </w:p>
    <w:p>
      <w:pPr>
        <w:pStyle w:val="BookText"/>
      </w:pPr>
      <w:r>
        <w:rPr>
          <w:rFonts w:ascii="Amiri" w:hAnsi="Amiri" w:eastAsia="Amiri" w:cs="Amiri"/>
          <w:lang w:bidi="ar-SA"/>
          <w:color w:val="111111"/>
          <w:sz w:val="28"/>
          <w:szCs w:val="28"/>
          <w:rtl/>
        </w:rPr>
        <w:t xml:space="preserve">مخطوطة للقاضي الاجل عبد الرحيم</w:t>
      </w:r>
    </w:p>
    <w:p>
      <w:pPr>
        <w:pStyle w:val="BookText"/>
      </w:pPr>
      <w:r>
        <w:rPr>
          <w:rFonts w:ascii="Amiri" w:hAnsi="Amiri" w:eastAsia="Amiri" w:cs="Amiri"/>
          <w:lang w:bidi="ar-SA"/>
          <w:color w:val="111111"/>
          <w:sz w:val="28"/>
          <w:szCs w:val="28"/>
          <w:rtl/>
        </w:rPr>
        <w:t xml:space="preserve">بن علي، ج 14، ص 296 .</w:t>
      </w:r>
    </w:p>
    <w:p>
      <w:pPr>
        <w:pStyle w:val="Heading2"/>
      </w:pPr>
      <w:bookmarkStart w:id="996" w:name="_Toc98"/>
      <w:r>
        <w:t>آمدي، عبدالواحد بن محمّد - 510؟ ه-</w:t>
      </w:r>
      <w:bookmarkEnd w:id="996"/>
    </w:p>
    <w:p>
      <w:pPr>
        <w:pStyle w:val="BookText"/>
      </w:pPr>
      <w:r>
        <w:rPr>
          <w:rFonts w:ascii="IRNazanin" w:hAnsi="IRNazanin" w:eastAsia="IRNazanin" w:cs="IRNazanin"/>
          <w:lang w:bidi="fa-IR"/>
          <w:color w:val="111111"/>
          <w:sz w:val="28"/>
          <w:szCs w:val="28"/>
          <w:rtl/>
        </w:rPr>
        <w:t xml:space="preserve">غرر الحكم و درر الكلم = کشاف العقول و الاديان، ج 11، ص 478.</w:t>
      </w:r>
    </w:p>
    <w:p>
      <w:pPr>
        <w:pStyle w:val="Heading2"/>
      </w:pPr>
      <w:bookmarkStart w:id="997" w:name="_Toc99"/>
      <w:r>
        <w:t>آمدي ، علي بن محمّد، 551 - 631 ه-</w:t>
      </w:r>
      <w:bookmarkEnd w:id="997"/>
    </w:p>
    <w:p>
      <w:pPr>
        <w:pStyle w:val="BookText"/>
      </w:pPr>
      <w:r>
        <w:rPr>
          <w:rFonts w:ascii="Amiri" w:hAnsi="Amiri" w:eastAsia="Amiri" w:cs="Amiri"/>
          <w:lang w:bidi="ar-SA"/>
          <w:color w:val="111111"/>
          <w:sz w:val="28"/>
          <w:szCs w:val="28"/>
          <w:rtl/>
        </w:rPr>
        <w:t xml:space="preserve">1 .ابكار الافكار في اصول الدين، ج1،</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إحكام الأحكام في اصول الأحكام = الإحكام في اصول الأحكام، ج1، ص 453 .</w:t>
      </w:r>
    </w:p>
    <w:p>
      <w:pPr>
        <w:pStyle w:val="BookText"/>
      </w:pPr>
      <w:r>
        <w:rPr>
          <w:rFonts w:ascii="Amiri" w:hAnsi="Amiri" w:eastAsia="Amiri" w:cs="Amiri"/>
          <w:lang w:bidi="ar-SA"/>
          <w:color w:val="111111"/>
          <w:sz w:val="28"/>
          <w:szCs w:val="28"/>
          <w:rtl/>
        </w:rPr>
        <w:t xml:space="preserve">3 .تفسير سورة يس ج4، ص 644.</w:t>
      </w:r>
    </w:p>
    <w:p>
      <w:pPr>
        <w:pStyle w:val="BookText"/>
      </w:pPr>
      <w:r>
        <w:rPr>
          <w:rFonts w:ascii="Amiri" w:hAnsi="Amiri" w:eastAsia="Amiri" w:cs="Amiri"/>
          <w:lang w:bidi="ar-SA"/>
          <w:color w:val="111111"/>
          <w:sz w:val="28"/>
          <w:szCs w:val="28"/>
          <w:rtl/>
        </w:rPr>
        <w:t xml:space="preserve">4 .المبين في شرح ألفاظ الحكماء و المتكلمين، ج13، ص 745.</w:t>
      </w:r>
    </w:p>
    <w:p>
      <w:pPr>
        <w:pStyle w:val="Heading2"/>
      </w:pPr>
      <w:bookmarkStart w:id="998" w:name="_Toc100"/>
      <w:r>
        <w:t>آمدي ، عمر بن حسين - 1200 ه-</w:t>
      </w:r>
      <w:bookmarkEnd w:id="998"/>
    </w:p>
    <w:p>
      <w:pPr>
        <w:pStyle w:val="BookText"/>
      </w:pPr>
      <w:r>
        <w:rPr>
          <w:rFonts w:ascii="Amiri" w:hAnsi="Amiri" w:eastAsia="Amiri" w:cs="Amiri"/>
          <w:lang w:bidi="ar-SA"/>
          <w:color w:val="111111"/>
          <w:sz w:val="28"/>
          <w:szCs w:val="28"/>
          <w:rtl/>
        </w:rPr>
        <w:t xml:space="preserve">شرح الولدية، ج 10، ص 342.</w:t>
      </w:r>
    </w:p>
    <w:p>
      <w:pPr>
        <w:pStyle w:val="BookText"/>
      </w:pPr>
      <w:r>
        <w:rPr>
          <w:rFonts w:ascii="Amiri" w:hAnsi="Amiri" w:eastAsia="Amiri" w:cs="Amiri"/>
          <w:lang w:bidi="ar-SA"/>
          <w:color w:val="111111"/>
          <w:sz w:val="28"/>
          <w:szCs w:val="28"/>
          <w:rtl/>
        </w:rPr>
        <w:t xml:space="preserve">آمدي كردي ، محمّد بن علي- ملاجلبي محمّد بن علي</w:t>
      </w:r>
    </w:p>
    <w:p>
      <w:pPr>
        <w:pStyle w:val="Heading2"/>
      </w:pPr>
      <w:bookmarkStart w:id="999" w:name="_Toc101"/>
      <w:r>
        <w:t>آمدي ، نعمان</w:t>
      </w:r>
      <w:bookmarkEnd w:id="999"/>
    </w:p>
    <w:p>
      <w:pPr>
        <w:pStyle w:val="BookText"/>
      </w:pPr>
      <w:r>
        <w:rPr>
          <w:rFonts w:ascii="Amiri" w:hAnsi="Amiri" w:eastAsia="Amiri" w:cs="Amiri"/>
          <w:lang w:bidi="ar-SA"/>
          <w:color w:val="111111"/>
          <w:sz w:val="28"/>
          <w:szCs w:val="28"/>
          <w:rtl/>
        </w:rPr>
        <w:t xml:space="preserve">حديث، ج 6، ص 561.</w:t>
      </w:r>
    </w:p>
    <w:p>
      <w:pPr>
        <w:pStyle w:val="Heading2"/>
      </w:pPr>
      <w:bookmarkStart w:id="1000" w:name="_Toc102"/>
      <w:r>
        <w:t>آملي ، حيدر بن علي، 720 - 782 ؟ ه-</w:t>
      </w:r>
      <w:bookmarkEnd w:id="1000"/>
    </w:p>
    <w:p>
      <w:pPr>
        <w:pStyle w:val="BookText"/>
      </w:pPr>
      <w:r>
        <w:rPr>
          <w:rFonts w:ascii="IRNazanin" w:hAnsi="IRNazanin" w:eastAsia="IRNazanin" w:cs="IRNazanin"/>
          <w:lang w:bidi="fa-IR"/>
          <w:color w:val="111111"/>
          <w:sz w:val="28"/>
          <w:szCs w:val="28"/>
          <w:rtl/>
        </w:rPr>
        <w:t xml:space="preserve">1 .جامع الاسرار و منبع الانوار، ج5،</w:t>
      </w:r>
    </w:p>
    <w:p>
      <w:pPr>
        <w:pStyle w:val="BookText"/>
      </w:pPr>
      <w:r>
        <w:rPr>
          <w:rFonts w:ascii="IRNazanin" w:hAnsi="IRNazanin" w:eastAsia="IRNazanin" w:cs="IRNazanin"/>
          <w:lang w:bidi="fa-IR"/>
          <w:color w:val="111111"/>
          <w:sz w:val="28"/>
          <w:szCs w:val="28"/>
          <w:rtl/>
        </w:rPr>
        <w:t xml:space="preserve">ص 250.</w:t>
      </w:r>
    </w:p>
    <w:p>
      <w:pPr>
        <w:pStyle w:val="BookText"/>
      </w:pPr>
      <w:r>
        <w:rPr>
          <w:rFonts w:ascii="Amiri" w:hAnsi="Amiri" w:eastAsia="Amiri" w:cs="Amiri"/>
          <w:lang w:bidi="ar-SA"/>
          <w:color w:val="111111"/>
          <w:sz w:val="28"/>
          <w:szCs w:val="28"/>
          <w:rtl/>
        </w:rPr>
        <w:t xml:space="preserve">2 .ديوان حيدر الآملي، ج7، ص 631.</w:t>
      </w:r>
    </w:p>
    <w:p>
      <w:pPr>
        <w:pStyle w:val="BookText"/>
      </w:pPr>
      <w:r>
        <w:rPr>
          <w:rFonts w:ascii="Amiri" w:hAnsi="Amiri" w:eastAsia="Amiri" w:cs="Amiri"/>
          <w:lang w:bidi="ar-SA"/>
          <w:color w:val="111111"/>
          <w:sz w:val="28"/>
          <w:szCs w:val="28"/>
          <w:rtl/>
        </w:rPr>
        <w:t xml:space="preserve">3.العلوم العالية (رسالة في)، ج11،</w:t>
      </w:r>
    </w:p>
    <w:p>
      <w:pPr>
        <w:pStyle w:val="BookText"/>
      </w:pPr>
      <w:r>
        <w:rPr>
          <w:rFonts w:ascii="IRNazanin" w:hAnsi="IRNazanin" w:eastAsia="IRNazanin" w:cs="IRNazanin"/>
          <w:lang w:bidi="fa-IR"/>
          <w:color w:val="111111"/>
          <w:sz w:val="28"/>
          <w:szCs w:val="28"/>
          <w:rtl/>
        </w:rPr>
        <w:t xml:space="preserve">ص 276 .</w:t>
      </w:r>
    </w:p>
    <w:p>
      <w:pPr>
        <w:pStyle w:val="BookText"/>
      </w:pPr>
      <w:r>
        <w:rPr>
          <w:rFonts w:ascii="Amiri" w:hAnsi="Amiri" w:eastAsia="Amiri" w:cs="Amiri"/>
          <w:lang w:bidi="ar-SA"/>
          <w:color w:val="111111"/>
          <w:sz w:val="28"/>
          <w:szCs w:val="28"/>
          <w:rtl/>
        </w:rPr>
        <w:t xml:space="preserve">4 .الكشكول فيما جرى لآل الرسول بعد الرسول، ج 13، ص 300.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7742_69369"/>
    <w:bookmarkEnd w:id="20"/>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المحيط الاعظم و البحر الخضم في</w:t>
      </w:r>
    </w:p>
    <w:p>
      <w:pPr>
        <w:pStyle w:val="BookText"/>
      </w:pPr>
      <w:r>
        <w:rPr>
          <w:rFonts w:ascii="Amiri" w:hAnsi="Amiri" w:eastAsia="Amiri" w:cs="Amiri"/>
          <w:lang w:bidi="ar-SA"/>
          <w:color w:val="111111"/>
          <w:sz w:val="28"/>
          <w:szCs w:val="28"/>
          <w:rtl/>
        </w:rPr>
        <w:t xml:space="preserve">تأويل كتاب الله العزيز المحكم</w:t>
      </w:r>
    </w:p>
    <w:p>
      <w:pPr>
        <w:pStyle w:val="BookText"/>
      </w:pPr>
      <w:r>
        <w:rPr>
          <w:rFonts w:ascii="IRNazanin" w:hAnsi="IRNazanin" w:eastAsia="IRNazanin" w:cs="IRNazanin"/>
          <w:lang w:bidi="fa-IR"/>
          <w:color w:val="111111"/>
          <w:sz w:val="28"/>
          <w:szCs w:val="28"/>
          <w:rtl/>
        </w:rPr>
        <w:t xml:space="preserve">ج 14، ص 135.</w:t>
      </w:r>
    </w:p>
    <w:p>
      <w:pPr>
        <w:pStyle w:val="BookText"/>
      </w:pPr>
      <w:r>
        <w:rPr>
          <w:rFonts w:ascii="Amiri" w:hAnsi="Amiri" w:eastAsia="Amiri" w:cs="Amiri"/>
          <w:lang w:bidi="ar-SA"/>
          <w:color w:val="111111"/>
          <w:sz w:val="28"/>
          <w:szCs w:val="28"/>
          <w:rtl/>
        </w:rPr>
        <w:t xml:space="preserve">6 .نقد النقود في معرفة الوجود، ج 16،</w:t>
      </w:r>
    </w:p>
    <w:p>
      <w:pPr>
        <w:pStyle w:val="BookText"/>
      </w:pPr>
      <w:r>
        <w:rPr>
          <w:rFonts w:ascii="IRNazanin" w:hAnsi="IRNazanin" w:eastAsia="IRNazanin" w:cs="IRNazanin"/>
          <w:lang w:bidi="fa-IR"/>
          <w:color w:val="111111"/>
          <w:sz w:val="28"/>
          <w:szCs w:val="28"/>
          <w:rtl/>
        </w:rPr>
        <w:t xml:space="preserve">ص 420.</w:t>
      </w:r>
    </w:p>
    <w:p>
      <w:pPr>
        <w:pStyle w:val="BookText"/>
      </w:pPr>
      <w:r>
        <w:rPr>
          <w:rFonts w:ascii="IRNazanin" w:hAnsi="IRNazanin" w:eastAsia="IRNazanin" w:cs="IRNazanin"/>
          <w:lang w:bidi="fa-IR"/>
          <w:color w:val="111111"/>
          <w:sz w:val="28"/>
          <w:szCs w:val="28"/>
          <w:rtl/>
        </w:rPr>
        <w:t xml:space="preserve">آملي روشن ، سیّد روشن علي- فيض</w:t>
      </w:r>
    </w:p>
    <w:p>
      <w:pPr>
        <w:pStyle w:val="BookText"/>
      </w:pPr>
      <w:r>
        <w:rPr>
          <w:rFonts w:ascii="Amiri" w:hAnsi="Amiri" w:eastAsia="Amiri" w:cs="Amiri"/>
          <w:lang w:bidi="ar-SA"/>
          <w:color w:val="111111"/>
          <w:sz w:val="28"/>
          <w:szCs w:val="28"/>
          <w:rtl/>
        </w:rPr>
        <w:t xml:space="preserve">آبادي ، روشنعلي بن عبدالرسول</w:t>
      </w:r>
    </w:p>
    <w:p>
      <w:pPr>
        <w:pStyle w:val="BookText"/>
      </w:pPr>
      <w:r>
        <w:rPr>
          <w:rFonts w:ascii="Amiri" w:hAnsi="Amiri" w:eastAsia="Amiri" w:cs="Amiri"/>
          <w:lang w:bidi="ar-SA"/>
          <w:color w:val="111111"/>
          <w:sz w:val="28"/>
          <w:szCs w:val="28"/>
          <w:rtl/>
        </w:rPr>
        <w:t xml:space="preserve">آملي ، طالب-طالب آملي ، عبدالله بن</w:t>
      </w:r>
    </w:p>
    <w:p>
      <w:pPr>
        <w:pStyle w:val="BookText"/>
      </w:pPr>
      <w:r>
        <w:rPr>
          <w:rFonts w:ascii="Amiri" w:hAnsi="Amiri" w:eastAsia="Amiri" w:cs="Amiri"/>
          <w:lang w:bidi="ar-SA"/>
          <w:color w:val="111111"/>
          <w:sz w:val="28"/>
          <w:szCs w:val="28"/>
          <w:rtl/>
        </w:rPr>
        <w:t xml:space="preserve">محمّد</w:t>
      </w:r>
    </w:p>
    <w:p>
      <w:pPr>
        <w:pStyle w:val="Heading2"/>
      </w:pPr>
      <w:bookmarkStart w:id="1001" w:name="_Toc103"/>
      <w:r>
        <w:t>آملي طبري ، احمد بن محمّد - 275 ه-</w:t>
      </w:r>
      <w:bookmarkEnd w:id="1001"/>
    </w:p>
    <w:p>
      <w:pPr>
        <w:pStyle w:val="BookText"/>
      </w:pPr>
      <w:r>
        <w:rPr>
          <w:rFonts w:ascii="Amiri" w:hAnsi="Amiri" w:eastAsia="Amiri" w:cs="Amiri"/>
          <w:lang w:bidi="ar-SA"/>
          <w:color w:val="111111"/>
          <w:sz w:val="28"/>
          <w:szCs w:val="28"/>
          <w:rtl/>
        </w:rPr>
        <w:t xml:space="preserve">شرح السنة، ج 9، ص 589.</w:t>
      </w:r>
    </w:p>
    <w:p>
      <w:pPr>
        <w:pStyle w:val="Heading2"/>
      </w:pPr>
      <w:bookmarkStart w:id="1002" w:name="_Toc104"/>
      <w:r>
        <w:t>آملي ، عزالدين بن جعفر - 904 ه-</w:t>
      </w:r>
      <w:bookmarkEnd w:id="1002"/>
    </w:p>
    <w:p>
      <w:pPr>
        <w:pStyle w:val="BookText"/>
      </w:pPr>
      <w:r>
        <w:rPr>
          <w:rFonts w:ascii="Amiri" w:hAnsi="Amiri" w:eastAsia="Amiri" w:cs="Amiri"/>
          <w:lang w:bidi="ar-SA"/>
          <w:color w:val="111111"/>
          <w:sz w:val="28"/>
          <w:szCs w:val="28"/>
          <w:rtl/>
        </w:rPr>
        <w:t xml:space="preserve">1 .الحسنية في اصول الدين و الفروع</w:t>
      </w:r>
    </w:p>
    <w:p>
      <w:pPr>
        <w:pStyle w:val="BookText"/>
      </w:pPr>
      <w:r>
        <w:rPr>
          <w:rFonts w:ascii="Amiri" w:hAnsi="Amiri" w:eastAsia="Amiri" w:cs="Amiri"/>
          <w:lang w:bidi="ar-SA"/>
          <w:color w:val="111111"/>
          <w:sz w:val="28"/>
          <w:szCs w:val="28"/>
          <w:rtl/>
        </w:rPr>
        <w:t xml:space="preserve">العبادية، ج6، ص 655.</w:t>
      </w:r>
    </w:p>
    <w:p>
      <w:pPr>
        <w:pStyle w:val="BookText"/>
      </w:pPr>
      <w:r>
        <w:rPr>
          <w:rFonts w:ascii="IRNazanin" w:hAnsi="IRNazanin" w:eastAsia="IRNazanin" w:cs="IRNazanin"/>
          <w:lang w:bidi="fa-IR"/>
          <w:color w:val="111111"/>
          <w:sz w:val="28"/>
          <w:szCs w:val="28"/>
          <w:rtl/>
        </w:rPr>
        <w:t xml:space="preserve">2 .لمعه مؤدي در نکاح دائم و متعه</w:t>
      </w:r>
    </w:p>
    <w:p>
      <w:pPr>
        <w:pStyle w:val="BookText"/>
      </w:pPr>
      <w:r>
        <w:rPr>
          <w:rFonts w:ascii="IRNazanin" w:hAnsi="IRNazanin" w:eastAsia="IRNazanin" w:cs="IRNazanin"/>
          <w:lang w:bidi="fa-IR"/>
          <w:color w:val="111111"/>
          <w:sz w:val="28"/>
          <w:szCs w:val="28"/>
          <w:rtl/>
        </w:rPr>
        <w:t xml:space="preserve">ج 13، ص 625.</w:t>
      </w:r>
    </w:p>
    <w:p>
      <w:pPr>
        <w:pStyle w:val="Heading2"/>
      </w:pPr>
      <w:bookmarkStart w:id="1003" w:name="_Toc105"/>
      <w:r>
        <w:t>آملي ، عطاء الله بن مسيح، قرن 10 ه-</w:t>
      </w:r>
      <w:bookmarkEnd w:id="1003"/>
    </w:p>
    <w:p>
      <w:pPr>
        <w:pStyle w:val="BookText"/>
      </w:pPr>
      <w:r>
        <w:rPr>
          <w:rFonts w:ascii="Amiri" w:hAnsi="Amiri" w:eastAsia="Amiri" w:cs="Amiri"/>
          <w:lang w:bidi="ar-SA"/>
          <w:color w:val="111111"/>
          <w:sz w:val="28"/>
          <w:szCs w:val="28"/>
          <w:rtl/>
        </w:rPr>
        <w:t xml:space="preserve">حاشية النافع يوم الحشر، ج 6،</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Amiri" w:hAnsi="Amiri" w:eastAsia="Amiri" w:cs="Amiri"/>
          <w:lang w:bidi="ar-SA"/>
          <w:color w:val="111111"/>
          <w:sz w:val="28"/>
          <w:szCs w:val="28"/>
          <w:rtl/>
        </w:rPr>
        <w:t xml:space="preserve">آملي كاشي ، حسن بن محمود كاشي ،</w:t>
      </w:r>
    </w:p>
    <w:p>
      <w:pPr>
        <w:pStyle w:val="BookText"/>
      </w:pPr>
      <w:r>
        <w:rPr>
          <w:rFonts w:ascii="IRNazanin" w:hAnsi="IRNazanin" w:eastAsia="IRNazanin" w:cs="IRNazanin"/>
          <w:lang w:bidi="fa-IR"/>
          <w:color w:val="111111"/>
          <w:sz w:val="28"/>
          <w:szCs w:val="28"/>
          <w:rtl/>
        </w:rPr>
        <w:t xml:space="preserve">حسن بن محمود</w:t>
      </w:r>
    </w:p>
    <w:p>
      <w:pPr>
        <w:pStyle w:val="BookText"/>
      </w:pPr>
      <w:r>
        <w:rPr>
          <w:rFonts w:ascii="Amiri" w:hAnsi="Amiri" w:eastAsia="Amiri" w:cs="Amiri"/>
          <w:lang w:bidi="ar-SA"/>
          <w:color w:val="111111"/>
          <w:sz w:val="28"/>
          <w:szCs w:val="28"/>
          <w:rtl/>
        </w:rPr>
        <w:t xml:space="preserve">آملي مازندراني ، حسن بن علي طبري</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آملي ، محمّد بن ابي القاسم علي طبري</w:t>
      </w:r>
    </w:p>
    <w:p>
      <w:pPr>
        <w:pStyle w:val="BookText"/>
      </w:pPr>
      <w:r>
        <w:rPr>
          <w:rFonts w:ascii="Amiri" w:hAnsi="Amiri" w:eastAsia="Amiri" w:cs="Amiri"/>
          <w:lang w:bidi="ar-SA"/>
          <w:color w:val="111111"/>
          <w:sz w:val="28"/>
          <w:szCs w:val="28"/>
          <w:rtl/>
        </w:rPr>
        <w:t xml:space="preserve">آملي ، محمّد بن علي</w:t>
      </w:r>
    </w:p>
    <w:p>
      <w:pPr>
        <w:pStyle w:val="BookText"/>
      </w:pPr>
      <w:r>
        <w:rPr>
          <w:rFonts w:ascii="IRNazanin" w:hAnsi="IRNazanin" w:eastAsia="IRNazanin" w:cs="IRNazanin"/>
          <w:lang w:bidi="fa-IR"/>
          <w:color w:val="111111"/>
          <w:sz w:val="28"/>
          <w:szCs w:val="28"/>
          <w:rtl/>
        </w:rPr>
        <w:t xml:space="preserve">آملي ، محمّد بن محمود -شمس الدین</w:t>
      </w:r>
    </w:p>
    <w:p>
      <w:pPr>
        <w:pStyle w:val="BookText"/>
      </w:pPr>
      <w:r>
        <w:rPr>
          <w:rFonts w:ascii="Amiri" w:hAnsi="Amiri" w:eastAsia="Amiri" w:cs="Amiri"/>
          <w:lang w:bidi="ar-SA"/>
          <w:color w:val="111111"/>
          <w:sz w:val="28"/>
          <w:szCs w:val="28"/>
          <w:rtl/>
        </w:rPr>
        <w:t xml:space="preserve">آملي ، محمّد بن محمود</w:t>
      </w:r>
    </w:p>
    <w:p>
      <w:pPr>
        <w:pStyle w:val="BookText"/>
      </w:pPr>
      <w:r>
        <w:rPr>
          <w:rFonts w:ascii="Amiri" w:hAnsi="Amiri" w:eastAsia="Amiri" w:cs="Amiri"/>
          <w:lang w:bidi="ar-SA"/>
          <w:color w:val="111111"/>
          <w:sz w:val="28"/>
          <w:szCs w:val="28"/>
          <w:rtl/>
        </w:rPr>
        <w:t xml:space="preserve">آملي ، محمّد حسين بن محمّد</w:t>
      </w:r>
    </w:p>
    <w:p>
      <w:pPr>
        <w:pStyle w:val="BookText"/>
      </w:pPr>
      <w:r>
        <w:rPr>
          <w:rFonts w:ascii="Amiri" w:hAnsi="Amiri" w:eastAsia="Amiri" w:cs="Amiri"/>
          <w:lang w:bidi="ar-SA"/>
          <w:color w:val="111111"/>
          <w:sz w:val="28"/>
          <w:szCs w:val="28"/>
          <w:rtl/>
        </w:rPr>
        <w:t xml:space="preserve">اسماعيل - خراساني آملي ، محمّد حسين بن</w:t>
      </w:r>
    </w:p>
    <w:p>
      <w:pPr>
        <w:pStyle w:val="BookText"/>
      </w:pPr>
      <w:r>
        <w:rPr>
          <w:rFonts w:ascii="Amiri" w:hAnsi="Amiri" w:eastAsia="Amiri" w:cs="Amiri"/>
          <w:lang w:bidi="ar-SA"/>
          <w:color w:val="111111"/>
          <w:sz w:val="28"/>
          <w:szCs w:val="28"/>
          <w:rtl/>
        </w:rPr>
        <w:t xml:space="preserve">محمّد اسماعيل</w:t>
      </w:r>
    </w:p>
    <w:p>
      <w:pPr>
        <w:pStyle w:val="BookText"/>
      </w:pPr>
      <w:r>
        <w:rPr>
          <w:rFonts w:ascii="Amiri" w:hAnsi="Amiri" w:eastAsia="Amiri" w:cs="Amiri"/>
          <w:lang w:bidi="ar-SA"/>
          <w:color w:val="111111"/>
          <w:sz w:val="28"/>
          <w:szCs w:val="28"/>
          <w:rtl/>
        </w:rPr>
        <w:t xml:space="preserve">آملي ، محمّد شريف بن</w:t>
      </w:r>
    </w:p>
    <w:p>
      <w:pPr>
        <w:pStyle w:val="BookText"/>
      </w:pPr>
      <w:r>
        <w:rPr>
          <w:rFonts w:ascii="Amiri" w:hAnsi="Amiri" w:eastAsia="Amiri" w:cs="Amiri"/>
          <w:lang w:bidi="ar-SA"/>
          <w:color w:val="111111"/>
          <w:sz w:val="28"/>
          <w:szCs w:val="28"/>
          <w:rtl/>
        </w:rPr>
        <w:t xml:space="preserve">حسينعلي- شريف العلماء ، محمّد شريف بن حسينعلي</w:t>
      </w:r>
    </w:p>
    <w:p>
      <w:pPr>
        <w:pStyle w:val="Heading2"/>
      </w:pPr>
      <w:bookmarkStart w:id="1004" w:name="_Toc106"/>
      <w:r>
        <w:t>آنقروي ،صالح</w:t>
      </w:r>
      <w:bookmarkEnd w:id="1004"/>
    </w:p>
    <w:p>
      <w:pPr>
        <w:pStyle w:val="BookText"/>
      </w:pPr>
      <w:r>
        <w:rPr>
          <w:rFonts w:ascii="Amiri" w:hAnsi="Amiri" w:eastAsia="Amiri" w:cs="Amiri"/>
          <w:lang w:bidi="ar-SA"/>
          <w:color w:val="111111"/>
          <w:sz w:val="28"/>
          <w:szCs w:val="28"/>
          <w:rtl/>
        </w:rPr>
        <w:t xml:space="preserve">العقائد (رسالة في)، ج11، ص136.</w:t>
      </w:r>
    </w:p>
    <w:p>
      <w:pPr>
        <w:pStyle w:val="Heading2"/>
      </w:pPr>
      <w:bookmarkStart w:id="1005" w:name="_Toc107"/>
      <w:r>
        <w:t>آنقروي ، عبدالحميد بن عبد الرحمن،</w:t>
      </w:r>
      <w:bookmarkEnd w:id="1005"/>
    </w:p>
    <w:p>
      <w:pPr>
        <w:pStyle w:val="BookText"/>
      </w:pPr>
      <w:r>
        <w:rPr>
          <w:rFonts w:ascii="IRNazanin" w:hAnsi="IRNazanin" w:eastAsia="IRNazanin" w:cs="IRNazanin"/>
          <w:lang w:bidi="fa-IR"/>
          <w:color w:val="111111"/>
          <w:sz w:val="28"/>
          <w:szCs w:val="28"/>
          <w:rtl/>
        </w:rPr>
        <w:t xml:space="preserve">قرن 8 ه-</w:t>
      </w:r>
    </w:p>
    <w:p>
      <w:pPr>
        <w:pStyle w:val="BookText"/>
      </w:pPr>
      <w:r>
        <w:rPr>
          <w:rFonts w:ascii="Amiri" w:hAnsi="Amiri" w:eastAsia="Amiri" w:cs="Amiri"/>
          <w:lang w:bidi="ar-SA"/>
          <w:color w:val="111111"/>
          <w:sz w:val="28"/>
          <w:szCs w:val="28"/>
          <w:rtl/>
        </w:rPr>
        <w:t xml:space="preserve">سلك جواهر = سلك الجواهر و</w:t>
      </w:r>
    </w:p>
    <w:p>
      <w:pPr>
        <w:pStyle w:val="BookText"/>
      </w:pPr>
      <w:r>
        <w:rPr>
          <w:rFonts w:ascii="Amiri" w:hAnsi="Amiri" w:eastAsia="Amiri" w:cs="Amiri"/>
          <w:lang w:bidi="ar-SA"/>
          <w:color w:val="111111"/>
          <w:sz w:val="28"/>
          <w:szCs w:val="28"/>
          <w:rtl/>
        </w:rPr>
        <w:t xml:space="preserve">نصيب الفتيان، ج8، ص809.</w:t>
      </w:r>
    </w:p>
    <w:p>
      <w:pPr>
        <w:pStyle w:val="Heading2"/>
      </w:pPr>
      <w:bookmarkStart w:id="1006" w:name="_Toc108"/>
      <w:r>
        <w:t>آنقره وي ، محمّد امين بن حسين -</w:t>
      </w:r>
      <w:bookmarkEnd w:id="1006"/>
    </w:p>
    <w:p>
      <w:pPr>
        <w:pStyle w:val="BookText"/>
      </w:pPr>
      <w:r>
        <w:rPr>
          <w:rFonts w:ascii="IRNazanin" w:hAnsi="IRNazanin" w:eastAsia="IRNazanin" w:cs="IRNazanin"/>
          <w:lang w:bidi="fa-IR"/>
          <w:color w:val="111111"/>
          <w:sz w:val="28"/>
          <w:szCs w:val="28"/>
          <w:rtl/>
        </w:rPr>
        <w:t xml:space="preserve">1098ه-</w:t>
      </w:r>
    </w:p>
    <w:p>
      <w:pPr>
        <w:pStyle w:val="BookText"/>
      </w:pPr>
      <w:r>
        <w:rPr>
          <w:rFonts w:ascii="Amiri" w:hAnsi="Amiri" w:eastAsia="Amiri" w:cs="Amiri"/>
          <w:lang w:bidi="ar-SA"/>
          <w:color w:val="111111"/>
          <w:sz w:val="28"/>
          <w:szCs w:val="28"/>
          <w:rtl/>
        </w:rPr>
        <w:t xml:space="preserve">الفتاوى الأنقروية، ج 11، ص 604.</w:t>
      </w:r>
    </w:p>
    <w:p>
      <w:pPr>
        <w:pStyle w:val="BookText"/>
      </w:pPr>
      <w:r>
        <w:rPr>
          <w:rFonts w:ascii="Amiri" w:hAnsi="Amiri" w:eastAsia="Amiri" w:cs="Amiri"/>
          <w:lang w:bidi="ar-SA"/>
          <w:color w:val="111111"/>
          <w:sz w:val="28"/>
          <w:szCs w:val="28"/>
          <w:rtl/>
        </w:rPr>
        <w:t xml:space="preserve">آوشي ، علي بن عثمان سراج الدين اوشي</w:t>
      </w:r>
    </w:p>
    <w:p>
      <w:pPr>
        <w:pStyle w:val="BookText"/>
      </w:pPr>
      <w:r>
        <w:rPr>
          <w:rFonts w:ascii="Amiri" w:hAnsi="Amiri" w:eastAsia="Amiri" w:cs="Amiri"/>
          <w:lang w:bidi="ar-SA"/>
          <w:color w:val="111111"/>
          <w:sz w:val="28"/>
          <w:szCs w:val="28"/>
          <w:rtl/>
        </w:rPr>
        <w:t xml:space="preserve">، علي بن عثمان</w:t>
      </w:r>
    </w:p>
    <w:p>
      <w:pPr>
        <w:pStyle w:val="BookText"/>
      </w:pPr>
      <w:r>
        <w:rPr>
          <w:rFonts w:ascii="Amiri" w:hAnsi="Amiri" w:eastAsia="Amiri" w:cs="Amiri"/>
          <w:lang w:bidi="ar-SA"/>
          <w:color w:val="111111"/>
          <w:sz w:val="28"/>
          <w:szCs w:val="28"/>
          <w:rtl/>
        </w:rPr>
        <w:t xml:space="preserve">آهو ، اسعد بن يوسف صيرفي صيرفي ،</w:t>
      </w:r>
    </w:p>
    <w:p>
      <w:pPr>
        <w:pStyle w:val="BookText"/>
      </w:pPr>
      <w:r>
        <w:rPr>
          <w:rFonts w:ascii="Amiri" w:hAnsi="Amiri" w:eastAsia="Amiri" w:cs="Amiri"/>
          <w:lang w:bidi="ar-SA"/>
          <w:color w:val="111111"/>
          <w:sz w:val="28"/>
          <w:szCs w:val="28"/>
          <w:rtl/>
        </w:rPr>
        <w:t xml:space="preserve">اسعد بن يوسف</w:t>
      </w:r>
    </w:p>
    <w:p>
      <w:pPr>
        <w:pStyle w:val="Heading2"/>
      </w:pPr>
      <w:bookmarkStart w:id="1007" w:name="_Toc109"/>
      <w:r>
        <w:t>آهي ، جهانگير بن مجید، قرن 14 ه-</w:t>
      </w:r>
      <w:bookmarkEnd w:id="1007"/>
    </w:p>
    <w:p>
      <w:pPr>
        <w:pStyle w:val="BookText"/>
      </w:pPr>
      <w:r>
        <w:rPr>
          <w:rFonts w:ascii="Amiri" w:hAnsi="Amiri" w:eastAsia="Amiri" w:cs="Amiri"/>
          <w:lang w:bidi="ar-SA"/>
          <w:color w:val="111111"/>
          <w:sz w:val="28"/>
          <w:szCs w:val="28"/>
          <w:rtl/>
        </w:rPr>
        <w:t xml:space="preserve">اطلس آهي، ج2، ص 483.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1" w:name="pg7742_69370"/>
    <w:bookmarkEnd w:id="21"/>
    <w:p>
      <w:pPr>
        <w:pStyle w:val="BookText"/>
      </w:pPr>
      <w:r>
        <w:rPr>
          <w:rFonts w:ascii="Amiri" w:hAnsi="Amiri" w:eastAsia="Amiri" w:cs="Amiri"/>
          <w:lang w:bidi="ar-SA"/>
          <w:color w:val="111111"/>
          <w:sz w:val="28"/>
          <w:szCs w:val="28"/>
          <w:rtl/>
        </w:rPr>
        <w:t xml:space="preserve">آيتي بيرجندي ، محمّد باقر -بيرجندي</w:t>
      </w:r>
    </w:p>
    <w:p>
      <w:pPr>
        <w:pStyle w:val="BookText"/>
      </w:pPr>
      <w:r>
        <w:rPr>
          <w:rFonts w:ascii="Amiri" w:hAnsi="Amiri" w:eastAsia="Amiri" w:cs="Amiri"/>
          <w:lang w:bidi="ar-SA"/>
          <w:color w:val="111111"/>
          <w:sz w:val="28"/>
          <w:szCs w:val="28"/>
          <w:rtl/>
        </w:rPr>
        <w:t xml:space="preserve">محمّد باقر بن محمّد حسن</w:t>
      </w:r>
    </w:p>
    <w:p>
      <w:pPr>
        <w:pStyle w:val="BookText"/>
      </w:pPr>
      <w:r>
        <w:rPr>
          <w:rFonts w:ascii="Amiri" w:hAnsi="Amiri" w:eastAsia="Amiri" w:cs="Amiri"/>
          <w:lang w:bidi="ar-SA"/>
          <w:color w:val="111111"/>
          <w:sz w:val="28"/>
          <w:szCs w:val="28"/>
          <w:rtl/>
        </w:rPr>
        <w:t xml:space="preserve">آيتي بيرجندي ، محمّد باقر بن محمّد حسن -بيرجندي ، محمّد باقر بن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آيتي قائيني ، محمّد باقر-بيرجندي ،</w:t>
      </w:r>
    </w:p>
    <w:p>
      <w:pPr>
        <w:pStyle w:val="BookText"/>
      </w:pPr>
      <w:r>
        <w:rPr>
          <w:rFonts w:ascii="Amiri" w:hAnsi="Amiri" w:eastAsia="Amiri" w:cs="Amiri"/>
          <w:lang w:bidi="ar-SA"/>
          <w:color w:val="111111"/>
          <w:sz w:val="28"/>
          <w:szCs w:val="28"/>
          <w:rtl/>
        </w:rPr>
        <w:t xml:space="preserve">محمّد باقر بن محمّد حسن</w:t>
      </w:r>
    </w:p>
    <w:p>
      <w:pPr>
        <w:pStyle w:val="BookText"/>
      </w:pPr>
      <w:r>
        <w:rPr>
          <w:rFonts w:ascii="Amiri" w:hAnsi="Amiri" w:eastAsia="Amiri" w:cs="Amiri"/>
          <w:lang w:bidi="ar-SA"/>
          <w:color w:val="111111"/>
          <w:sz w:val="28"/>
          <w:szCs w:val="28"/>
          <w:rtl/>
        </w:rPr>
        <w:t xml:space="preserve">آيديني ، حمزة بن درغود- ابن طورغود ،</w:t>
      </w:r>
    </w:p>
    <w:p>
      <w:pPr>
        <w:pStyle w:val="BookText"/>
      </w:pPr>
      <w:r>
        <w:rPr>
          <w:rFonts w:ascii="Amiri" w:hAnsi="Amiri" w:eastAsia="Amiri" w:cs="Amiri"/>
          <w:lang w:bidi="ar-SA"/>
          <w:color w:val="111111"/>
          <w:sz w:val="28"/>
          <w:szCs w:val="28"/>
          <w:rtl/>
        </w:rPr>
        <w:t xml:space="preserve">حمزة بن طورغود</w:t>
      </w:r>
    </w:p>
    <w:p>
      <w:pPr>
        <w:pStyle w:val="Heading2"/>
      </w:pPr>
      <w:bookmarkStart w:id="1008" w:name="_Toc110"/>
      <w:r>
        <w:t>آيديني ، رسول بن صالح - 978 ه-</w:t>
      </w:r>
      <w:bookmarkEnd w:id="1008"/>
    </w:p>
    <w:p>
      <w:pPr>
        <w:pStyle w:val="BookText"/>
      </w:pPr>
      <w:r>
        <w:rPr>
          <w:rFonts w:ascii="Amiri" w:hAnsi="Amiri" w:eastAsia="Amiri" w:cs="Amiri"/>
          <w:lang w:bidi="ar-SA"/>
          <w:color w:val="111111"/>
          <w:sz w:val="28"/>
          <w:szCs w:val="28"/>
          <w:rtl/>
        </w:rPr>
        <w:t xml:space="preserve">الفتاوى العدلية على اصح الروايات القولية، ج 11، ص 620 .</w:t>
      </w:r>
    </w:p>
    <w:p>
      <w:pPr>
        <w:pStyle w:val="BookText"/>
      </w:pPr>
      <w:r>
        <w:rPr>
          <w:rFonts w:ascii="Amiri" w:hAnsi="Amiri" w:eastAsia="Amiri" w:cs="Amiri"/>
          <w:lang w:bidi="ar-SA"/>
          <w:color w:val="111111"/>
          <w:sz w:val="28"/>
          <w:szCs w:val="28"/>
          <w:rtl/>
        </w:rPr>
        <w:t xml:space="preserve">آيديني ، عبدالله بن محمّد قيوجاقي ،عبدالله بن محمّد</w:t>
      </w:r>
    </w:p>
    <w:p>
      <w:pPr>
        <w:pStyle w:val="Heading2"/>
      </w:pPr>
      <w:bookmarkStart w:id="1009" w:name="_Toc111"/>
      <w:r>
        <w:t>آيديني ، محمّد بن حمزه - 1010 ه-</w:t>
      </w:r>
      <w:bookmarkEnd w:id="1009"/>
    </w:p>
    <w:p>
      <w:pPr>
        <w:pStyle w:val="BookText"/>
      </w:pPr>
      <w:r>
        <w:rPr>
          <w:rFonts w:ascii="Amiri" w:hAnsi="Amiri" w:eastAsia="Amiri" w:cs="Amiri"/>
          <w:lang w:bidi="ar-SA"/>
          <w:color w:val="111111"/>
          <w:sz w:val="28"/>
          <w:szCs w:val="28"/>
          <w:rtl/>
        </w:rPr>
        <w:t xml:space="preserve">1 الاستنجاء (رسالة في)، ج2، ص 154.</w:t>
      </w:r>
    </w:p>
    <w:p>
      <w:pPr>
        <w:pStyle w:val="BookText"/>
      </w:pPr>
      <w:r>
        <w:rPr>
          <w:rFonts w:ascii="Amiri" w:hAnsi="Amiri" w:eastAsia="Amiri" w:cs="Amiri"/>
          <w:lang w:bidi="ar-SA"/>
          <w:color w:val="111111"/>
          <w:sz w:val="28"/>
          <w:szCs w:val="28"/>
          <w:rtl/>
        </w:rPr>
        <w:t xml:space="preserve">2 بيع الدخان، ج 3، ص 507.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الجمعة فريضة محكمة (رسالة في</w:t>
      </w:r>
    </w:p>
    <w:p>
      <w:pPr>
        <w:pStyle w:val="BookText"/>
      </w:pPr>
      <w:r>
        <w:rPr>
          <w:rFonts w:ascii="IRNazanin" w:hAnsi="IRNazanin" w:eastAsia="IRNazanin" w:cs="IRNazanin"/>
          <w:lang w:bidi="fa-IR"/>
          <w:color w:val="111111"/>
          <w:sz w:val="28"/>
          <w:szCs w:val="28"/>
          <w:rtl/>
        </w:rPr>
        <w:t xml:space="preserve">ان)، ج 5، ص 434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درر الحكام، ج 7، ص288</w:t>
      </w:r>
    </w:p>
    <w:p>
      <w:pPr>
        <w:pStyle w:val="BookText"/>
      </w:pPr>
      <w:r>
        <w:rPr>
          <w:rFonts w:ascii="Amiri" w:hAnsi="Amiri" w:eastAsia="Amiri" w:cs="Amiri"/>
          <w:lang w:bidi="ar-SA"/>
          <w:color w:val="111111"/>
          <w:sz w:val="28"/>
          <w:szCs w:val="28"/>
          <w:rtl/>
        </w:rPr>
        <w:t xml:space="preserve">5.دود الطعام (رسالة في)، ج7،ص 4904</w:t>
      </w:r>
    </w:p>
    <w:p>
      <w:pPr>
        <w:pStyle w:val="BookText"/>
      </w:pPr>
      <w:r>
        <w:rPr>
          <w:rFonts w:ascii="Amiri" w:hAnsi="Amiri" w:eastAsia="Amiri" w:cs="Amiri"/>
          <w:lang w:bidi="ar-SA"/>
          <w:color w:val="111111"/>
          <w:sz w:val="28"/>
          <w:szCs w:val="28"/>
          <w:rtl/>
        </w:rPr>
        <w:t xml:space="preserve">.6 القدر المسنون من اللحية، ج 12،</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القصاص (رسالة في) = ثبوت</w:t>
      </w:r>
    </w:p>
    <w:p>
      <w:pPr>
        <w:pStyle w:val="BookText"/>
      </w:pPr>
      <w:r>
        <w:rPr>
          <w:rFonts w:ascii="Amiri" w:hAnsi="Amiri" w:eastAsia="Amiri" w:cs="Amiri"/>
          <w:lang w:bidi="ar-SA"/>
          <w:color w:val="111111"/>
          <w:sz w:val="28"/>
          <w:szCs w:val="28"/>
          <w:rtl/>
        </w:rPr>
        <w:t xml:space="preserve">القصاص و استيفاء الحقوق يوم</w:t>
      </w:r>
    </w:p>
    <w:p>
      <w:pPr>
        <w:pStyle w:val="BookText"/>
      </w:pPr>
      <w:r>
        <w:rPr>
          <w:rFonts w:ascii="Amiri" w:hAnsi="Amiri" w:eastAsia="Amiri" w:cs="Amiri"/>
          <w:lang w:bidi="ar-SA"/>
          <w:color w:val="111111"/>
          <w:sz w:val="28"/>
          <w:szCs w:val="28"/>
          <w:rtl/>
        </w:rPr>
        <w:t xml:space="preserve">الجزاء (رسالة في)، ج 12، ص 587.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نظر الذمية إلى المسلمة، ج 16</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Amiri" w:hAnsi="Amiri" w:eastAsia="Amiri" w:cs="Amiri"/>
          <w:lang w:bidi="ar-SA"/>
          <w:color w:val="111111"/>
          <w:sz w:val="28"/>
          <w:szCs w:val="28"/>
          <w:rtl/>
        </w:rPr>
        <w:t xml:space="preserve">.9 ورقات من رسالة في الفقه، ج 16،</w:t>
      </w:r>
    </w:p>
    <w:p>
      <w:pPr>
        <w:pStyle w:val="BookText"/>
      </w:pPr>
      <w:r>
        <w:rPr>
          <w:rFonts w:ascii="IRNazanin" w:hAnsi="IRNazanin" w:eastAsia="IRNazanin" w:cs="IRNazanin"/>
          <w:lang w:bidi="fa-IR"/>
          <w:color w:val="111111"/>
          <w:sz w:val="28"/>
          <w:szCs w:val="28"/>
          <w:rtl/>
        </w:rPr>
        <w:t xml:space="preserve">ص 766 .</w:t>
      </w:r>
    </w:p>
    <w:p>
      <w:pPr>
        <w:pStyle w:val="BookText"/>
      </w:pPr>
      <w:r>
        <w:rPr>
          <w:rFonts w:ascii="Amiri" w:hAnsi="Amiri" w:eastAsia="Amiri" w:cs="Amiri"/>
          <w:lang w:bidi="ar-SA"/>
          <w:color w:val="111111"/>
          <w:sz w:val="28"/>
          <w:szCs w:val="28"/>
          <w:rtl/>
        </w:rPr>
        <w:t xml:space="preserve">اب انطون فنتوري يسوعي- يسوعي ، اب</w:t>
      </w:r>
    </w:p>
    <w:p>
      <w:pPr>
        <w:pStyle w:val="BookText"/>
      </w:pPr>
      <w:r>
        <w:rPr>
          <w:rFonts w:ascii="Amiri" w:hAnsi="Amiri" w:eastAsia="Amiri" w:cs="Amiri"/>
          <w:lang w:bidi="ar-SA"/>
          <w:color w:val="111111"/>
          <w:sz w:val="28"/>
          <w:szCs w:val="28"/>
          <w:rtl/>
        </w:rPr>
        <w:t xml:space="preserve">انطون فنتوري</w:t>
      </w:r>
    </w:p>
    <w:p>
      <w:pPr>
        <w:pStyle w:val="Heading2"/>
      </w:pPr>
      <w:bookmarkStart w:id="1010" w:name="_Toc112"/>
      <w:r>
        <w:t>اباوردي ، حسن بن علي - 816 ه-</w:t>
      </w:r>
      <w:bookmarkEnd w:id="1010"/>
    </w:p>
    <w:p>
      <w:pPr>
        <w:pStyle w:val="BookText"/>
      </w:pPr>
      <w:r>
        <w:rPr>
          <w:rFonts w:ascii="Amiri" w:hAnsi="Amiri" w:eastAsia="Amiri" w:cs="Amiri"/>
          <w:lang w:bidi="ar-SA"/>
          <w:color w:val="111111"/>
          <w:sz w:val="28"/>
          <w:szCs w:val="28"/>
          <w:rtl/>
        </w:rPr>
        <w:t xml:space="preserve">حاشية لوامع الاسرار في شرح مطالع الانوار، ج 6، ص 341.</w:t>
      </w:r>
    </w:p>
    <w:p>
      <w:pPr>
        <w:pStyle w:val="BookText"/>
      </w:pPr>
      <w:r>
        <w:rPr>
          <w:rFonts w:ascii="Amiri" w:hAnsi="Amiri" w:eastAsia="Amiri" w:cs="Amiri"/>
          <w:lang w:bidi="ar-SA"/>
          <w:color w:val="111111"/>
          <w:sz w:val="28"/>
          <w:szCs w:val="28"/>
          <w:rtl/>
        </w:rPr>
        <w:t xml:space="preserve">اب بادري بوناونتور لودني الاب البادري</w:t>
      </w:r>
    </w:p>
    <w:p>
      <w:pPr>
        <w:pStyle w:val="BookText"/>
      </w:pPr>
      <w:r>
        <w:rPr>
          <w:rFonts w:ascii="IRNazanin" w:hAnsi="IRNazanin" w:eastAsia="IRNazanin" w:cs="IRNazanin"/>
          <w:lang w:bidi="fa-IR"/>
          <w:color w:val="111111"/>
          <w:sz w:val="28"/>
          <w:szCs w:val="28"/>
          <w:rtl/>
        </w:rPr>
        <w:t xml:space="preserve">بوناونتور</w:t>
      </w:r>
    </w:p>
    <w:p>
      <w:pPr>
        <w:pStyle w:val="BookText"/>
      </w:pPr>
      <w:r>
        <w:rPr>
          <w:rFonts w:ascii="IRNazanin" w:hAnsi="IRNazanin" w:eastAsia="IRNazanin" w:cs="IRNazanin"/>
          <w:lang w:bidi="fa-IR"/>
          <w:color w:val="111111"/>
          <w:sz w:val="28"/>
          <w:szCs w:val="28"/>
          <w:rtl/>
        </w:rPr>
        <w:t xml:space="preserve">آب پطرس فروماج يسوعي -فروماج</w:t>
      </w:r>
    </w:p>
    <w:p>
      <w:pPr>
        <w:pStyle w:val="BookText"/>
      </w:pPr>
      <w:r>
        <w:rPr>
          <w:rFonts w:ascii="IRNazanin" w:hAnsi="IRNazanin" w:eastAsia="IRNazanin" w:cs="IRNazanin"/>
          <w:lang w:bidi="fa-IR"/>
          <w:color w:val="111111"/>
          <w:sz w:val="28"/>
          <w:szCs w:val="28"/>
          <w:rtl/>
        </w:rPr>
        <w:t xml:space="preserve">يسوعي ، أب پطرس</w:t>
      </w:r>
    </w:p>
    <w:p>
      <w:pPr>
        <w:pStyle w:val="BookText"/>
      </w:pPr>
      <w:r>
        <w:rPr>
          <w:rFonts w:ascii="Amiri" w:hAnsi="Amiri" w:eastAsia="Amiri" w:cs="Amiri"/>
          <w:lang w:bidi="ar-SA"/>
          <w:color w:val="111111"/>
          <w:sz w:val="28"/>
          <w:szCs w:val="28"/>
          <w:rtl/>
        </w:rPr>
        <w:t xml:space="preserve">ابراهيم احدب- احدب ، ابراهيم بن علي</w:t>
      </w:r>
    </w:p>
    <w:p>
      <w:pPr>
        <w:pStyle w:val="Heading2"/>
      </w:pPr>
      <w:bookmarkStart w:id="1011" w:name="_Toc113"/>
      <w:r>
        <w:t>ابراهیم ادهم، 112 - 161 ؟ ه-</w:t>
      </w:r>
      <w:bookmarkEnd w:id="1011"/>
    </w:p>
    <w:p>
      <w:pPr>
        <w:pStyle w:val="BookText"/>
      </w:pPr>
      <w:r>
        <w:rPr>
          <w:rFonts w:ascii="IRNazanin" w:hAnsi="IRNazanin" w:eastAsia="IRNazanin" w:cs="IRNazanin"/>
          <w:lang w:bidi="fa-IR"/>
          <w:color w:val="111111"/>
          <w:sz w:val="28"/>
          <w:szCs w:val="28"/>
          <w:rtl/>
        </w:rPr>
        <w:t xml:space="preserve">1 .الدعاء، ج 7، ص 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قصيدة ابراهيم بن ادهم، ج12،</w:t>
      </w:r>
    </w:p>
    <w:p>
      <w:pPr>
        <w:pStyle w:val="BookText"/>
      </w:pPr>
      <w:r>
        <w:rPr>
          <w:rFonts w:ascii="IRNazanin" w:hAnsi="IRNazanin" w:eastAsia="IRNazanin" w:cs="IRNazanin"/>
          <w:lang w:bidi="fa-IR"/>
          <w:color w:val="111111"/>
          <w:sz w:val="28"/>
          <w:szCs w:val="28"/>
          <w:rtl/>
        </w:rPr>
        <w:t xml:space="preserve">ص 648 .</w:t>
      </w:r>
    </w:p>
    <w:p>
      <w:pPr>
        <w:pStyle w:val="BookText"/>
      </w:pPr>
      <w:r>
        <w:rPr>
          <w:rFonts w:ascii="Amiri" w:hAnsi="Amiri" w:eastAsia="Amiri" w:cs="Amiri"/>
          <w:lang w:bidi="ar-SA"/>
          <w:color w:val="111111"/>
          <w:sz w:val="28"/>
          <w:szCs w:val="28"/>
          <w:rtl/>
        </w:rPr>
        <w:t xml:space="preserve">3 .مناجاة لابراهيم بن ادهم ج 15</w:t>
      </w:r>
    </w:p>
    <w:p>
      <w:pPr>
        <w:pStyle w:val="BookText"/>
      </w:pPr>
      <w:r>
        <w:rPr>
          <w:rFonts w:ascii="IRNazanin" w:hAnsi="IRNazanin" w:eastAsia="IRNazanin" w:cs="IRNazanin"/>
          <w:lang w:bidi="fa-IR"/>
          <w:color w:val="111111"/>
          <w:sz w:val="28"/>
          <w:szCs w:val="28"/>
          <w:rtl/>
        </w:rPr>
        <w:t xml:space="preserve">ص 478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موعظة، ج 16، ص 40 .</w:t>
      </w:r>
    </w:p>
    <w:p>
      <w:pPr>
        <w:pStyle w:val="BookText"/>
      </w:pPr>
      <w:r>
        <w:rPr>
          <w:rFonts w:ascii="Amiri" w:hAnsi="Amiri" w:eastAsia="Amiri" w:cs="Amiri"/>
          <w:lang w:bidi="ar-SA"/>
          <w:color w:val="111111"/>
          <w:sz w:val="28"/>
          <w:szCs w:val="28"/>
          <w:rtl/>
        </w:rPr>
        <w:t xml:space="preserve">ابراهيم ازهري ازهري- ابراهيم بن</w:t>
      </w:r>
    </w:p>
    <w:p>
      <w:pPr>
        <w:pStyle w:val="BookText"/>
      </w:pPr>
      <w:r>
        <w:rPr>
          <w:rFonts w:ascii="Amiri" w:hAnsi="Amiri" w:eastAsia="Amiri" w:cs="Amiri"/>
          <w:lang w:bidi="ar-SA"/>
          <w:color w:val="111111"/>
          <w:sz w:val="28"/>
          <w:szCs w:val="28"/>
          <w:rtl/>
        </w:rPr>
        <w:t xml:space="preserve">شمس الدين</w:t>
      </w:r>
    </w:p>
    <w:p>
      <w:pPr>
        <w:pStyle w:val="Heading2"/>
      </w:pPr>
      <w:bookmarkStart w:id="1012" w:name="_Toc114"/>
      <w:r>
        <w:t>ابراهيم افندي</w:t>
      </w:r>
      <w:bookmarkEnd w:id="1012"/>
    </w:p>
    <w:p>
      <w:pPr>
        <w:pStyle w:val="BookText"/>
      </w:pPr>
      <w:r>
        <w:rPr>
          <w:rFonts w:ascii="Amiri" w:hAnsi="Amiri" w:eastAsia="Amiri" w:cs="Amiri"/>
          <w:lang w:bidi="ar-SA"/>
          <w:color w:val="111111"/>
          <w:sz w:val="28"/>
          <w:szCs w:val="28"/>
          <w:rtl/>
        </w:rPr>
        <w:t xml:space="preserve">تقريض، ج4، ص780.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2" w:name="pg7742_69373"/>
    <w:bookmarkEnd w:id="22"/>
    <w:p>
      <w:pPr>
        <w:pStyle w:val="BookText"/>
      </w:pPr>
      <w:r>
        <w:rPr>
          <w:rFonts w:ascii="Amiri" w:hAnsi="Amiri" w:eastAsia="Amiri" w:cs="Amiri"/>
          <w:lang w:bidi="ar-SA"/>
          <w:color w:val="111111"/>
          <w:sz w:val="28"/>
          <w:szCs w:val="28"/>
          <w:rtl/>
        </w:rPr>
        <w:t xml:space="preserve">ابراهيم برزنجي- ابن برزنجي ، ابراهيم</w:t>
      </w:r>
    </w:p>
    <w:p>
      <w:pPr>
        <w:pStyle w:val="BookText"/>
      </w:pPr>
      <w:r>
        <w:rPr>
          <w:rFonts w:ascii="Amiri" w:hAnsi="Amiri" w:eastAsia="Amiri" w:cs="Amiri"/>
          <w:lang w:bidi="ar-SA"/>
          <w:color w:val="111111"/>
          <w:sz w:val="28"/>
          <w:szCs w:val="28"/>
          <w:rtl/>
        </w:rPr>
        <w:t xml:space="preserve">ابراهيم بن ابراهيم لقاني -لقاني ، ابراهيم</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ابراهيم بن أبي الفتح بن خفاجه- ابن</w:t>
      </w:r>
    </w:p>
    <w:p>
      <w:pPr>
        <w:pStyle w:val="BookText"/>
      </w:pPr>
      <w:r>
        <w:rPr>
          <w:rFonts w:ascii="Amiri" w:hAnsi="Amiri" w:eastAsia="Amiri" w:cs="Amiri"/>
          <w:lang w:bidi="ar-SA"/>
          <w:color w:val="111111"/>
          <w:sz w:val="28"/>
          <w:szCs w:val="28"/>
          <w:rtl/>
        </w:rPr>
        <w:t xml:space="preserve">خفاجه، ابراهيم بن ابي الفتح</w:t>
      </w:r>
    </w:p>
    <w:p>
      <w:pPr>
        <w:pStyle w:val="BookText"/>
      </w:pPr>
      <w:r>
        <w:rPr>
          <w:rFonts w:ascii="Amiri" w:hAnsi="Amiri" w:eastAsia="Amiri" w:cs="Amiri"/>
          <w:lang w:bidi="ar-SA"/>
          <w:color w:val="111111"/>
          <w:sz w:val="28"/>
          <w:szCs w:val="28"/>
          <w:rtl/>
        </w:rPr>
        <w:t xml:space="preserve">ابراهيم بن أبي القاسم حكيمي- حكيمي</w:t>
      </w:r>
    </w:p>
    <w:p>
      <w:pPr>
        <w:pStyle w:val="BookText"/>
      </w:pPr>
      <w:r>
        <w:rPr>
          <w:rFonts w:ascii="Amiri" w:hAnsi="Amiri" w:eastAsia="Amiri" w:cs="Amiri"/>
          <w:lang w:bidi="ar-SA"/>
          <w:color w:val="111111"/>
          <w:sz w:val="28"/>
          <w:szCs w:val="28"/>
          <w:rtl/>
        </w:rPr>
        <w:t xml:space="preserve">ابراهيم بن ابي القاسم</w:t>
      </w:r>
    </w:p>
    <w:p>
      <w:pPr>
        <w:pStyle w:val="Heading2"/>
      </w:pPr>
      <w:bookmarkStart w:id="1013" w:name="_Toc115"/>
      <w:r>
        <w:t>ابراهيم بن احمد</w:t>
      </w:r>
      <w:bookmarkEnd w:id="1013"/>
    </w:p>
    <w:p>
      <w:pPr>
        <w:pStyle w:val="BookText"/>
      </w:pPr>
      <w:r>
        <w:rPr>
          <w:rFonts w:ascii="Amiri" w:hAnsi="Amiri" w:eastAsia="Amiri" w:cs="Amiri"/>
          <w:lang w:bidi="ar-SA"/>
          <w:color w:val="111111"/>
          <w:sz w:val="28"/>
          <w:szCs w:val="28"/>
          <w:rtl/>
        </w:rPr>
        <w:t xml:space="preserve">شرح تحفة الملوك، ج 9، ص320.</w:t>
      </w:r>
    </w:p>
    <w:p>
      <w:pPr>
        <w:pStyle w:val="BookText"/>
      </w:pPr>
      <w:r>
        <w:rPr>
          <w:rFonts w:ascii="Amiri" w:hAnsi="Amiri" w:eastAsia="Amiri" w:cs="Amiri"/>
          <w:lang w:bidi="ar-SA"/>
          <w:color w:val="111111"/>
          <w:sz w:val="28"/>
          <w:szCs w:val="28"/>
          <w:rtl/>
        </w:rPr>
        <w:t xml:space="preserve">ابراهيم بن احمد بن عبدالكافي</w:t>
      </w:r>
    </w:p>
    <w:p>
      <w:pPr>
        <w:pStyle w:val="BookText"/>
      </w:pPr>
      <w:r>
        <w:rPr>
          <w:rFonts w:ascii="Amiri" w:hAnsi="Amiri" w:eastAsia="Amiri" w:cs="Amiri"/>
          <w:lang w:bidi="ar-SA"/>
          <w:color w:val="111111"/>
          <w:sz w:val="28"/>
          <w:szCs w:val="28"/>
          <w:rtl/>
        </w:rPr>
        <w:t xml:space="preserve">حسيني- حسيني طباطبائي، ابراهيم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ابراهيم بن احمد حلي عباسي- حلبي</w:t>
      </w:r>
    </w:p>
    <w:p>
      <w:pPr>
        <w:pStyle w:val="BookText"/>
      </w:pPr>
      <w:r>
        <w:rPr>
          <w:rFonts w:ascii="Amiri" w:hAnsi="Amiri" w:eastAsia="Amiri" w:cs="Amiri"/>
          <w:lang w:bidi="ar-SA"/>
          <w:color w:val="111111"/>
          <w:sz w:val="28"/>
          <w:szCs w:val="28"/>
          <w:rtl/>
        </w:rPr>
        <w:t xml:space="preserve">ابراهيم بن احمد</w:t>
      </w:r>
    </w:p>
    <w:p>
      <w:pPr>
        <w:pStyle w:val="BookText"/>
      </w:pPr>
      <w:r>
        <w:rPr>
          <w:rFonts w:ascii="IRNazanin" w:hAnsi="IRNazanin" w:eastAsia="IRNazanin" w:cs="IRNazanin"/>
          <w:lang w:bidi="fa-IR"/>
          <w:color w:val="111111"/>
          <w:sz w:val="28"/>
          <w:szCs w:val="28"/>
          <w:rtl/>
        </w:rPr>
        <w:t xml:space="preserve">ابراهيم بن احمد صالح شکر -صالح شکر ، ابراهيم بن احمد</w:t>
      </w:r>
    </w:p>
    <w:p>
      <w:pPr>
        <w:pStyle w:val="BookText"/>
      </w:pPr>
      <w:r>
        <w:rPr>
          <w:rFonts w:ascii="Amiri" w:hAnsi="Amiri" w:eastAsia="Amiri" w:cs="Amiri"/>
          <w:lang w:bidi="ar-SA"/>
          <w:color w:val="111111"/>
          <w:sz w:val="28"/>
          <w:szCs w:val="28"/>
          <w:rtl/>
        </w:rPr>
        <w:t xml:space="preserve">ابراهيم بن ادهم- ابراهيم ادهم</w:t>
      </w:r>
    </w:p>
    <w:p>
      <w:pPr>
        <w:pStyle w:val="BookText"/>
      </w:pPr>
      <w:r>
        <w:rPr>
          <w:rFonts w:ascii="Amiri" w:hAnsi="Amiri" w:eastAsia="Amiri" w:cs="Amiri"/>
          <w:lang w:bidi="ar-SA"/>
          <w:color w:val="111111"/>
          <w:sz w:val="28"/>
          <w:szCs w:val="28"/>
          <w:rtl/>
        </w:rPr>
        <w:t xml:space="preserve">ابراهيم بن اسحاق نوبختي- نوبختي</w:t>
      </w:r>
    </w:p>
    <w:p>
      <w:pPr>
        <w:pStyle w:val="BookText"/>
      </w:pPr>
      <w:r>
        <w:rPr>
          <w:rFonts w:ascii="Amiri" w:hAnsi="Amiri" w:eastAsia="Amiri" w:cs="Amiri"/>
          <w:lang w:bidi="ar-SA"/>
          <w:color w:val="111111"/>
          <w:sz w:val="28"/>
          <w:szCs w:val="28"/>
          <w:rtl/>
        </w:rPr>
        <w:t xml:space="preserve">ابراهيم بن اسحاق</w:t>
      </w:r>
    </w:p>
    <w:p>
      <w:pPr>
        <w:pStyle w:val="BookText"/>
      </w:pPr>
      <w:r>
        <w:rPr>
          <w:rFonts w:ascii="Amiri" w:hAnsi="Amiri" w:eastAsia="Amiri" w:cs="Amiri"/>
          <w:lang w:bidi="ar-SA"/>
          <w:color w:val="111111"/>
          <w:sz w:val="28"/>
          <w:szCs w:val="28"/>
          <w:rtl/>
        </w:rPr>
        <w:t xml:space="preserve">ابراهيم بن اسماعيل اجدابي- ابن اجدابي ،</w:t>
      </w:r>
    </w:p>
    <w:p>
      <w:pPr>
        <w:pStyle w:val="BookText"/>
      </w:pPr>
      <w:r>
        <w:rPr>
          <w:rFonts w:ascii="Amiri" w:hAnsi="Amiri" w:eastAsia="Amiri" w:cs="Amiri"/>
          <w:lang w:bidi="ar-SA"/>
          <w:color w:val="111111"/>
          <w:sz w:val="28"/>
          <w:szCs w:val="28"/>
          <w:rtl/>
        </w:rPr>
        <w:t xml:space="preserve">ابراهيم بن اسماعيل</w:t>
      </w:r>
    </w:p>
    <w:p>
      <w:pPr>
        <w:pStyle w:val="BookText"/>
      </w:pPr>
      <w:r>
        <w:rPr>
          <w:rFonts w:ascii="Amiri" w:hAnsi="Amiri" w:eastAsia="Amiri" w:cs="Amiri"/>
          <w:lang w:bidi="ar-SA"/>
          <w:color w:val="111111"/>
          <w:sz w:val="28"/>
          <w:szCs w:val="28"/>
          <w:rtl/>
        </w:rPr>
        <w:t xml:space="preserve">ابراهيم بن اسماعيل- زين العرب ،</w:t>
      </w:r>
    </w:p>
    <w:p>
      <w:pPr>
        <w:pStyle w:val="BookText"/>
      </w:pPr>
      <w:r>
        <w:rPr>
          <w:rFonts w:ascii="IRNazanin" w:hAnsi="IRNazanin" w:eastAsia="IRNazanin" w:cs="IRNazanin"/>
          <w:lang w:bidi="fa-IR"/>
          <w:color w:val="111111"/>
          <w:sz w:val="28"/>
          <w:szCs w:val="28"/>
          <w:rtl/>
        </w:rPr>
        <w:t xml:space="preserve">ابراهيم بن اسماعیل</w:t>
      </w:r>
    </w:p>
    <w:p>
      <w:pPr>
        <w:pStyle w:val="BookText"/>
      </w:pPr>
      <w:r>
        <w:rPr>
          <w:rFonts w:ascii="Amiri" w:hAnsi="Amiri" w:eastAsia="Amiri" w:cs="Amiri"/>
          <w:lang w:bidi="ar-SA"/>
          <w:color w:val="111111"/>
          <w:sz w:val="28"/>
          <w:szCs w:val="28"/>
          <w:rtl/>
        </w:rPr>
        <w:t xml:space="preserve">آيتي بيرجندي - ابراهيم بن حمزه</w:t>
      </w:r>
    </w:p>
    <w:p>
      <w:pPr>
        <w:pStyle w:val="Heading2"/>
      </w:pPr>
      <w:bookmarkStart w:id="1014" w:name="_Toc116"/>
      <w:r>
        <w:t>ابراهيم بن امر الله بن عبد القادر قرن 11ه-</w:t>
      </w:r>
      <w:bookmarkEnd w:id="1014"/>
    </w:p>
    <w:p>
      <w:pPr>
        <w:pStyle w:val="BookText"/>
      </w:pPr>
      <w:r>
        <w:rPr>
          <w:rFonts w:ascii="Amiri" w:hAnsi="Amiri" w:eastAsia="Amiri" w:cs="Amiri"/>
          <w:lang w:bidi="ar-SA"/>
          <w:color w:val="111111"/>
          <w:sz w:val="28"/>
          <w:szCs w:val="28"/>
          <w:rtl/>
        </w:rPr>
        <w:t xml:space="preserve">اقامة البرهان على مسائل تذكرة الإخوان لمشكلات احكام القرآن، ج2،</w:t>
      </w:r>
    </w:p>
    <w:p>
      <w:pPr>
        <w:pStyle w:val="BookText"/>
      </w:pPr>
      <w:r>
        <w:rPr>
          <w:rFonts w:ascii="IRNazanin" w:hAnsi="IRNazanin" w:eastAsia="IRNazanin" w:cs="IRNazanin"/>
          <w:lang w:bidi="fa-IR"/>
          <w:color w:val="111111"/>
          <w:sz w:val="28"/>
          <w:szCs w:val="28"/>
          <w:rtl/>
        </w:rPr>
        <w:t xml:space="preserve">ص 606 .</w:t>
      </w:r>
    </w:p>
    <w:p>
      <w:pPr>
        <w:pStyle w:val="BookText"/>
      </w:pPr>
      <w:r>
        <w:rPr>
          <w:rFonts w:ascii="Amiri" w:hAnsi="Amiri" w:eastAsia="Amiri" w:cs="Amiri"/>
          <w:lang w:bidi="ar-SA"/>
          <w:color w:val="111111"/>
          <w:sz w:val="28"/>
          <w:szCs w:val="28"/>
          <w:rtl/>
        </w:rPr>
        <w:t xml:space="preserve">ابراهيم بن امير محمّد نسابه- نسابه</w:t>
      </w:r>
    </w:p>
    <w:p>
      <w:pPr>
        <w:pStyle w:val="BookText"/>
      </w:pPr>
      <w:r>
        <w:rPr>
          <w:rFonts w:ascii="IRNazanin" w:hAnsi="IRNazanin" w:eastAsia="IRNazanin" w:cs="IRNazanin"/>
          <w:lang w:bidi="fa-IR"/>
          <w:color w:val="111111"/>
          <w:sz w:val="28"/>
          <w:szCs w:val="28"/>
          <w:rtl/>
        </w:rPr>
        <w:t xml:space="preserve">حسيني، ابراهيم بن امیر محمّد</w:t>
      </w:r>
    </w:p>
    <w:p>
      <w:pPr>
        <w:pStyle w:val="BookText"/>
      </w:pPr>
      <w:r>
        <w:rPr>
          <w:rFonts w:ascii="Amiri" w:hAnsi="Amiri" w:eastAsia="Amiri" w:cs="Amiri"/>
          <w:lang w:bidi="ar-SA"/>
          <w:color w:val="111111"/>
          <w:sz w:val="28"/>
          <w:szCs w:val="28"/>
          <w:rtl/>
        </w:rPr>
        <w:t xml:space="preserve">ابراهيم بن بدر الدين الرفاعي شافعي -رفاعي ، ابراهيم بن بدر الدين</w:t>
      </w:r>
    </w:p>
    <w:p>
      <w:pPr>
        <w:pStyle w:val="BookText"/>
      </w:pPr>
      <w:r>
        <w:rPr>
          <w:rFonts w:ascii="Amiri" w:hAnsi="Amiri" w:eastAsia="Amiri" w:cs="Amiri"/>
          <w:lang w:bidi="ar-SA"/>
          <w:color w:val="111111"/>
          <w:sz w:val="28"/>
          <w:szCs w:val="28"/>
          <w:rtl/>
        </w:rPr>
        <w:t xml:space="preserve">ابراهيم بن برزنجي ابن برزنجي ،</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Amiri" w:hAnsi="Amiri" w:eastAsia="Amiri" w:cs="Amiri"/>
          <w:lang w:bidi="ar-SA"/>
          <w:color w:val="111111"/>
          <w:sz w:val="28"/>
          <w:szCs w:val="28"/>
          <w:rtl/>
        </w:rPr>
        <w:t xml:space="preserve">ابراهيم بن حرب سمسار- عسكري</w:t>
      </w:r>
    </w:p>
    <w:p>
      <w:pPr>
        <w:pStyle w:val="BookText"/>
      </w:pPr>
      <w:r>
        <w:rPr>
          <w:rFonts w:ascii="Amiri" w:hAnsi="Amiri" w:eastAsia="Amiri" w:cs="Amiri"/>
          <w:lang w:bidi="ar-SA"/>
          <w:color w:val="111111"/>
          <w:sz w:val="28"/>
          <w:szCs w:val="28"/>
          <w:rtl/>
        </w:rPr>
        <w:t xml:space="preserve">ابراهيم بن حرب</w:t>
      </w:r>
    </w:p>
    <w:p>
      <w:pPr>
        <w:pStyle w:val="BookText"/>
      </w:pPr>
      <w:r>
        <w:rPr>
          <w:rFonts w:ascii="Amiri" w:hAnsi="Amiri" w:eastAsia="Amiri" w:cs="Amiri"/>
          <w:lang w:bidi="ar-SA"/>
          <w:color w:val="111111"/>
          <w:sz w:val="28"/>
          <w:szCs w:val="28"/>
          <w:rtl/>
        </w:rPr>
        <w:t xml:space="preserve">ابراهيم بن حسن احسائي حنفي -احسائي</w:t>
      </w:r>
    </w:p>
    <w:p>
      <w:pPr>
        <w:pStyle w:val="BookText"/>
      </w:pPr>
      <w:r>
        <w:rPr>
          <w:rFonts w:ascii="Amiri" w:hAnsi="Amiri" w:eastAsia="Amiri" w:cs="Amiri"/>
          <w:lang w:bidi="ar-SA"/>
          <w:color w:val="111111"/>
          <w:sz w:val="28"/>
          <w:szCs w:val="28"/>
          <w:rtl/>
        </w:rPr>
        <w:t xml:space="preserve">، ابراهيم بن حسن</w:t>
      </w:r>
    </w:p>
    <w:p>
      <w:pPr>
        <w:pStyle w:val="BookText"/>
      </w:pPr>
      <w:r>
        <w:rPr>
          <w:rFonts w:ascii="Amiri" w:hAnsi="Amiri" w:eastAsia="Amiri" w:cs="Amiri"/>
          <w:lang w:bidi="ar-SA"/>
          <w:color w:val="111111"/>
          <w:sz w:val="28"/>
          <w:szCs w:val="28"/>
          <w:rtl/>
        </w:rPr>
        <w:t xml:space="preserve">ابراهيم بن حسن شبستري- سيبويه ثاني ،</w:t>
      </w:r>
    </w:p>
    <w:p>
      <w:pPr>
        <w:pStyle w:val="BookText"/>
      </w:pPr>
      <w:r>
        <w:rPr>
          <w:rFonts w:ascii="Amiri" w:hAnsi="Amiri" w:eastAsia="Amiri" w:cs="Amiri"/>
          <w:lang w:bidi="ar-SA"/>
          <w:color w:val="111111"/>
          <w:sz w:val="28"/>
          <w:szCs w:val="28"/>
          <w:rtl/>
        </w:rPr>
        <w:t xml:space="preserve">ابراهيم بن حسن</w:t>
      </w:r>
    </w:p>
    <w:p>
      <w:pPr>
        <w:pStyle w:val="BookText"/>
      </w:pPr>
      <w:r>
        <w:rPr>
          <w:rFonts w:ascii="Amiri" w:hAnsi="Amiri" w:eastAsia="Amiri" w:cs="Amiri"/>
          <w:lang w:bidi="ar-SA"/>
          <w:color w:val="111111"/>
          <w:sz w:val="28"/>
          <w:szCs w:val="28"/>
          <w:rtl/>
        </w:rPr>
        <w:t xml:space="preserve">ابراهيم بن حسن مشهدي - مشهدي ،</w:t>
      </w:r>
    </w:p>
    <w:p>
      <w:pPr>
        <w:pStyle w:val="BookText"/>
      </w:pPr>
      <w:r>
        <w:rPr>
          <w:rFonts w:ascii="Amiri" w:hAnsi="Amiri" w:eastAsia="Amiri" w:cs="Amiri"/>
          <w:lang w:bidi="ar-SA"/>
          <w:color w:val="111111"/>
          <w:sz w:val="28"/>
          <w:szCs w:val="28"/>
          <w:rtl/>
        </w:rPr>
        <w:t xml:space="preserve">ابراهيم بن حسن</w:t>
      </w:r>
    </w:p>
    <w:p>
      <w:pPr>
        <w:pStyle w:val="BookText"/>
      </w:pPr>
      <w:r>
        <w:rPr>
          <w:rFonts w:ascii="Amiri" w:hAnsi="Amiri" w:eastAsia="Amiri" w:cs="Amiri"/>
          <w:lang w:bidi="ar-SA"/>
          <w:color w:val="111111"/>
          <w:sz w:val="28"/>
          <w:szCs w:val="28"/>
          <w:rtl/>
        </w:rPr>
        <w:t xml:space="preserve">ابراهيم بن حسين بن احمد بن</w:t>
      </w:r>
    </w:p>
    <w:p>
      <w:pPr>
        <w:pStyle w:val="BookText"/>
      </w:pPr>
      <w:r>
        <w:rPr>
          <w:rFonts w:ascii="IRNazanin" w:hAnsi="IRNazanin" w:eastAsia="IRNazanin" w:cs="IRNazanin"/>
          <w:lang w:bidi="fa-IR"/>
          <w:color w:val="111111"/>
          <w:sz w:val="28"/>
          <w:szCs w:val="28"/>
          <w:rtl/>
        </w:rPr>
        <w:t xml:space="preserve">بيري -پيري زاده، ابراهیم بن حسين</w:t>
      </w:r>
    </w:p>
    <w:p>
      <w:pPr>
        <w:pStyle w:val="BookText"/>
      </w:pPr>
      <w:r>
        <w:rPr>
          <w:rFonts w:ascii="IRNazanin" w:hAnsi="IRNazanin" w:eastAsia="IRNazanin" w:cs="IRNazanin"/>
          <w:lang w:bidi="fa-IR"/>
          <w:color w:val="111111"/>
          <w:sz w:val="28"/>
          <w:szCs w:val="28"/>
          <w:rtl/>
        </w:rPr>
        <w:t xml:space="preserve">ابراهيم بن حسين پيري زاده-پيري زاده</w:t>
      </w:r>
    </w:p>
    <w:p>
      <w:pPr>
        <w:pStyle w:val="BookText"/>
      </w:pPr>
      <w:r>
        <w:rPr>
          <w:rFonts w:ascii="Amiri" w:hAnsi="Amiri" w:eastAsia="Amiri" w:cs="Amiri"/>
          <w:lang w:bidi="ar-SA"/>
          <w:color w:val="111111"/>
          <w:sz w:val="28"/>
          <w:szCs w:val="28"/>
          <w:rtl/>
        </w:rPr>
        <w:t xml:space="preserve">ابراهيم بن حسين</w:t>
      </w:r>
    </w:p>
    <w:p>
      <w:pPr>
        <w:pStyle w:val="BookText"/>
      </w:pPr>
      <w:r>
        <w:rPr>
          <w:rFonts w:ascii="Amiri" w:hAnsi="Amiri" w:eastAsia="Amiri" w:cs="Amiri"/>
          <w:lang w:bidi="ar-SA"/>
          <w:color w:val="111111"/>
          <w:sz w:val="28"/>
          <w:szCs w:val="28"/>
          <w:rtl/>
        </w:rPr>
        <w:t xml:space="preserve">ابراهيم بن حسين خرسان- خرسان ،</w:t>
      </w:r>
    </w:p>
    <w:p>
      <w:pPr>
        <w:pStyle w:val="BookText"/>
      </w:pPr>
      <w:r>
        <w:rPr>
          <w:rFonts w:ascii="Amiri" w:hAnsi="Amiri" w:eastAsia="Amiri" w:cs="Amiri"/>
          <w:lang w:bidi="ar-SA"/>
          <w:color w:val="111111"/>
          <w:sz w:val="28"/>
          <w:szCs w:val="28"/>
          <w:rtl/>
        </w:rPr>
        <w:t xml:space="preserve">ابراهيم بن حسين</w:t>
      </w:r>
    </w:p>
    <w:p>
      <w:pPr>
        <w:pStyle w:val="BookText"/>
      </w:pPr>
      <w:r>
        <w:rPr>
          <w:rFonts w:ascii="Amiri" w:hAnsi="Amiri" w:eastAsia="Amiri" w:cs="Amiri"/>
          <w:lang w:bidi="ar-SA"/>
          <w:color w:val="111111"/>
          <w:sz w:val="28"/>
          <w:szCs w:val="28"/>
          <w:rtl/>
        </w:rPr>
        <w:t xml:space="preserve">ابراهيم بن حمزه بن مسعود التيروي- تيروي، ابراهيم بن حمزه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حنيف بن مصطفى</w:t>
      </w:r>
    </w:p>
    <w:p>
      <w:pPr>
        <w:pStyle w:val="BookText"/>
      </w:pPr>
      <w:r>
        <w:rPr>
          <w:rFonts w:ascii="Amiri" w:hAnsi="Amiri" w:eastAsia="Amiri" w:cs="Amiri"/>
          <w:lang w:bidi="ar-SA"/>
          <w:color w:val="111111"/>
          <w:sz w:val="28"/>
          <w:szCs w:val="28"/>
          <w:rtl/>
        </w:rPr>
        <w:t xml:space="preserve">رومي- رومي ، ابراهيم بن حنيف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ابراهيم بن خليفة السلطان -مرعشي</w:t>
      </w:r>
    </w:p>
    <w:p>
      <w:pPr>
        <w:pStyle w:val="BookText"/>
      </w:pPr>
      <w:r>
        <w:rPr>
          <w:rFonts w:ascii="Amiri" w:hAnsi="Amiri" w:eastAsia="Amiri" w:cs="Amiri"/>
          <w:lang w:bidi="ar-SA"/>
          <w:color w:val="111111"/>
          <w:sz w:val="28"/>
          <w:szCs w:val="28"/>
          <w:rtl/>
        </w:rPr>
        <w:t xml:space="preserve">ابراهيم بن حسين</w:t>
      </w:r>
    </w:p>
    <w:p>
      <w:pPr>
        <w:pStyle w:val="BookText"/>
      </w:pPr>
      <w:r>
        <w:rPr>
          <w:rFonts w:ascii="Amiri" w:hAnsi="Amiri" w:eastAsia="Amiri" w:cs="Amiri"/>
          <w:lang w:bidi="ar-SA"/>
          <w:color w:val="111111"/>
          <w:sz w:val="28"/>
          <w:szCs w:val="28"/>
          <w:rtl/>
        </w:rPr>
        <w:t xml:space="preserve">ابراهيم بن خليل اكيني- اكيني ، ابراهيم بن عباس</w:t>
      </w:r>
    </w:p>
    <w:p>
      <w:pPr>
        <w:pStyle w:val="BookText"/>
      </w:pPr>
      <w:r>
        <w:rPr>
          <w:rFonts w:ascii="Amiri" w:hAnsi="Amiri" w:eastAsia="Amiri" w:cs="Amiri"/>
          <w:lang w:bidi="ar-SA"/>
          <w:color w:val="111111"/>
          <w:sz w:val="28"/>
          <w:szCs w:val="28"/>
          <w:rtl/>
        </w:rPr>
        <w:t xml:space="preserve">بن خليل</w:t>
      </w:r>
    </w:p>
    <w:p>
      <w:pPr>
        <w:pStyle w:val="BookText"/>
      </w:pPr>
      <w:r>
        <w:rPr>
          <w:rFonts w:ascii="Amiri" w:hAnsi="Amiri" w:eastAsia="Amiri" w:cs="Amiri"/>
          <w:lang w:bidi="ar-SA"/>
          <w:color w:val="111111"/>
          <w:sz w:val="28"/>
          <w:szCs w:val="28"/>
          <w:rtl/>
        </w:rPr>
        <w:t xml:space="preserve">ابراهيم بن خليل صالحاني- صالحاني ،</w:t>
      </w:r>
    </w:p>
    <w:p>
      <w:pPr>
        <w:pStyle w:val="BookText"/>
      </w:pPr>
      <w:r>
        <w:rPr>
          <w:rFonts w:ascii="Amiri" w:hAnsi="Amiri" w:eastAsia="Amiri" w:cs="Amiri"/>
          <w:lang w:bidi="ar-SA"/>
          <w:color w:val="111111"/>
          <w:sz w:val="28"/>
          <w:szCs w:val="28"/>
          <w:rtl/>
        </w:rPr>
        <w:t xml:space="preserve">ابراهيم بن خليل</w:t>
      </w:r>
    </w:p>
    <w:p>
      <w:pPr>
        <w:pStyle w:val="BookText"/>
      </w:pPr>
      <w:r>
        <w:rPr>
          <w:rFonts w:ascii="Amiri" w:hAnsi="Amiri" w:eastAsia="Amiri" w:cs="Amiri"/>
          <w:lang w:bidi="ar-SA"/>
          <w:color w:val="111111"/>
          <w:sz w:val="28"/>
          <w:szCs w:val="28"/>
          <w:rtl/>
        </w:rPr>
        <w:t xml:space="preserve">ابراهيم بن درويش بخاري- بخاري ،</w:t>
      </w:r>
    </w:p>
    <w:p>
      <w:pPr>
        <w:pStyle w:val="BookText"/>
      </w:pPr>
      <w:r>
        <w:rPr>
          <w:rFonts w:ascii="IRNazanin" w:hAnsi="IRNazanin" w:eastAsia="IRNazanin" w:cs="IRNazanin"/>
          <w:lang w:bidi="fa-IR"/>
          <w:color w:val="111111"/>
          <w:sz w:val="28"/>
          <w:szCs w:val="28"/>
          <w:rtl/>
        </w:rPr>
        <w:t xml:space="preserve">ابراهیم بن درویش</w:t>
      </w:r>
    </w:p>
    <w:p>
      <w:pPr>
        <w:pStyle w:val="BookText"/>
      </w:pPr>
      <w:r>
        <w:rPr>
          <w:rFonts w:ascii="Amiri" w:hAnsi="Amiri" w:eastAsia="Amiri" w:cs="Amiri"/>
          <w:lang w:bidi="ar-SA"/>
          <w:color w:val="111111"/>
          <w:sz w:val="28"/>
          <w:szCs w:val="28"/>
          <w:rtl/>
        </w:rPr>
        <w:t xml:space="preserve">ابراهيم بن زين العابدين</w:t>
      </w:r>
    </w:p>
    <w:p>
      <w:pPr>
        <w:pStyle w:val="BookText"/>
      </w:pPr>
      <w:r>
        <w:rPr>
          <w:rFonts w:ascii="Amiri" w:hAnsi="Amiri" w:eastAsia="Amiri" w:cs="Amiri"/>
          <w:lang w:bidi="ar-SA"/>
          <w:color w:val="111111"/>
          <w:sz w:val="28"/>
          <w:szCs w:val="28"/>
          <w:rtl/>
        </w:rPr>
        <w:t xml:space="preserve">مازندراني - مازندراني ، ابراهيم بن زين</w:t>
      </w:r>
    </w:p>
    <w:p>
      <w:pPr>
        <w:pStyle w:val="BookText"/>
      </w:pPr>
      <w:r>
        <w:rPr>
          <w:rFonts w:ascii="Amiri" w:hAnsi="Amiri" w:eastAsia="Amiri" w:cs="Amiri"/>
          <w:lang w:bidi="ar-SA"/>
          <w:color w:val="111111"/>
          <w:sz w:val="28"/>
          <w:szCs w:val="28"/>
          <w:rtl/>
        </w:rPr>
        <w:t xml:space="preserve">العابدين</w:t>
      </w:r>
    </w:p>
    <w:p>
      <w:pPr>
        <w:pStyle w:val="BookText"/>
      </w:pPr>
      <w:r>
        <w:rPr>
          <w:rFonts w:ascii="IRNazanin" w:hAnsi="IRNazanin" w:eastAsia="IRNazanin" w:cs="IRNazanin"/>
          <w:lang w:bidi="fa-IR"/>
          <w:color w:val="111111"/>
          <w:sz w:val="28"/>
          <w:szCs w:val="28"/>
          <w:rtl/>
        </w:rPr>
        <w:t xml:space="preserve">ابراهيم بن سعدالدین محمّد</w:t>
      </w:r>
    </w:p>
    <w:p>
      <w:pPr>
        <w:pStyle w:val="BookText"/>
      </w:pPr>
      <w:r>
        <w:rPr>
          <w:rFonts w:ascii="Amiri" w:hAnsi="Amiri" w:eastAsia="Amiri" w:cs="Amiri"/>
          <w:lang w:bidi="ar-SA"/>
          <w:color w:val="111111"/>
          <w:sz w:val="28"/>
          <w:szCs w:val="28"/>
          <w:rtl/>
        </w:rPr>
        <w:t xml:space="preserve">حموي -حموي، ابراهيم بن محمّد</w:t>
      </w:r>
    </w:p>
    <w:p>
      <w:pPr>
        <w:pStyle w:val="BookText"/>
      </w:pPr>
      <w:r>
        <w:rPr>
          <w:rFonts w:ascii="Amiri" w:hAnsi="Amiri" w:eastAsia="Amiri" w:cs="Amiri"/>
          <w:lang w:bidi="ar-SA"/>
          <w:color w:val="111111"/>
          <w:sz w:val="28"/>
          <w:szCs w:val="28"/>
          <w:rtl/>
        </w:rPr>
        <w:t xml:space="preserve">ابراهيم بن سليمان حموي قونوي- حموي</w:t>
      </w:r>
    </w:p>
    <w:p>
      <w:pPr>
        <w:pStyle w:val="BookText"/>
      </w:pPr>
      <w:r>
        <w:rPr>
          <w:rFonts w:ascii="Amiri" w:hAnsi="Amiri" w:eastAsia="Amiri" w:cs="Amiri"/>
          <w:lang w:bidi="ar-SA"/>
          <w:color w:val="111111"/>
          <w:sz w:val="28"/>
          <w:szCs w:val="28"/>
          <w:rtl/>
        </w:rPr>
        <w:t xml:space="preserve">، ابراهيم بن سليمان</w:t>
      </w:r>
    </w:p>
    <w:p>
      <w:pPr>
        <w:pStyle w:val="BookText"/>
      </w:pPr>
      <w:r>
        <w:rPr>
          <w:rFonts w:ascii="Amiri" w:hAnsi="Amiri" w:eastAsia="Amiri" w:cs="Amiri"/>
          <w:lang w:bidi="ar-SA"/>
          <w:color w:val="111111"/>
          <w:sz w:val="28"/>
          <w:szCs w:val="28"/>
          <w:rtl/>
        </w:rPr>
        <w:t xml:space="preserve">ابراهيم بن سليمان قطيفي</w:t>
      </w:r>
    </w:p>
    <w:p>
      <w:pPr>
        <w:pStyle w:val="BookText"/>
      </w:pPr>
      <w:r>
        <w:rPr>
          <w:rFonts w:ascii="Amiri" w:hAnsi="Amiri" w:eastAsia="Amiri" w:cs="Amiri"/>
          <w:lang w:bidi="ar-SA"/>
          <w:color w:val="111111"/>
          <w:sz w:val="28"/>
          <w:szCs w:val="28"/>
          <w:rtl/>
        </w:rPr>
        <w:t xml:space="preserve">بحراني -قطيفي بحراني ، ابراهيم بن سليمان عبدالوهاب بن ابراهيم</w:t>
      </w:r>
    </w:p>
    <w:p>
      <w:pPr>
        <w:pStyle w:val="BookText"/>
      </w:pPr>
      <w:r>
        <w:rPr>
          <w:rFonts w:ascii="Amiri" w:hAnsi="Amiri" w:eastAsia="Amiri" w:cs="Amiri"/>
          <w:lang w:bidi="ar-SA"/>
          <w:color w:val="111111"/>
          <w:sz w:val="28"/>
          <w:szCs w:val="28"/>
          <w:rtl/>
        </w:rPr>
        <w:t xml:space="preserve">ابراهيم بن سليمان كردي حلبي- حلبي ،</w:t>
      </w:r>
    </w:p>
    <w:p>
      <w:pPr>
        <w:pStyle w:val="BookText"/>
      </w:pPr>
      <w:r>
        <w:rPr>
          <w:rFonts w:ascii="Amiri" w:hAnsi="Amiri" w:eastAsia="Amiri" w:cs="Amiri"/>
          <w:lang w:bidi="ar-SA"/>
          <w:color w:val="111111"/>
          <w:sz w:val="28"/>
          <w:szCs w:val="28"/>
          <w:rtl/>
        </w:rPr>
        <w:t xml:space="preserve">ابراهيم بن سليمان</w:t>
      </w:r>
    </w:p>
    <w:p>
      <w:pPr>
        <w:pStyle w:val="BookText"/>
      </w:pPr>
      <w:r>
        <w:rPr>
          <w:rFonts w:ascii="Amiri" w:hAnsi="Amiri" w:eastAsia="Amiri" w:cs="Amiri"/>
          <w:lang w:bidi="ar-SA"/>
          <w:color w:val="111111"/>
          <w:sz w:val="28"/>
          <w:szCs w:val="28"/>
          <w:rtl/>
        </w:rPr>
        <w:t xml:space="preserve">ابراهيم بن سهل -ابن سهل ، ابراهيم بن</w:t>
      </w:r>
    </w:p>
    <w:p>
      <w:pPr>
        <w:pStyle w:val="BookText"/>
      </w:pPr>
      <w:r>
        <w:rPr>
          <w:rFonts w:ascii="IRNazanin" w:hAnsi="IRNazanin" w:eastAsia="IRNazanin" w:cs="IRNazanin"/>
          <w:lang w:bidi="fa-IR"/>
          <w:color w:val="111111"/>
          <w:sz w:val="28"/>
          <w:szCs w:val="28"/>
          <w:rtl/>
        </w:rPr>
        <w:t xml:space="preserve">سهل</w:t>
      </w:r>
    </w:p>
    <w:p>
      <w:pPr>
        <w:pStyle w:val="BookText"/>
      </w:pPr>
      <w:r>
        <w:rPr>
          <w:rFonts w:ascii="Amiri" w:hAnsi="Amiri" w:eastAsia="Amiri" w:cs="Amiri"/>
          <w:lang w:bidi="ar-SA"/>
          <w:color w:val="111111"/>
          <w:sz w:val="28"/>
          <w:szCs w:val="28"/>
          <w:rtl/>
        </w:rPr>
        <w:t xml:space="preserve">ابراهيم بن صالح مغلوي- مغلوي</w:t>
      </w:r>
    </w:p>
    <w:p>
      <w:pPr>
        <w:pStyle w:val="BookText"/>
      </w:pPr>
      <w:r>
        <w:rPr>
          <w:rFonts w:ascii="Amiri" w:hAnsi="Amiri" w:eastAsia="Amiri" w:cs="Amiri"/>
          <w:lang w:bidi="ar-SA"/>
          <w:color w:val="111111"/>
          <w:sz w:val="28"/>
          <w:szCs w:val="28"/>
          <w:rtl/>
        </w:rPr>
        <w:t xml:space="preserve">ابراهيم بن صالح</w:t>
      </w:r>
    </w:p>
    <w:p>
      <w:pPr>
        <w:pStyle w:val="BookText"/>
      </w:pPr>
      <w:r>
        <w:rPr>
          <w:rFonts w:ascii="Amiri" w:hAnsi="Amiri" w:eastAsia="Amiri" w:cs="Amiri"/>
          <w:lang w:bidi="ar-SA"/>
          <w:color w:val="111111"/>
          <w:sz w:val="28"/>
          <w:szCs w:val="28"/>
          <w:rtl/>
        </w:rPr>
        <w:t xml:space="preserve">ابراهيم بن صبغة الله حيدري</w:t>
      </w:r>
    </w:p>
    <w:p>
      <w:pPr>
        <w:pStyle w:val="BookText"/>
      </w:pPr>
      <w:r>
        <w:rPr>
          <w:rFonts w:ascii="Amiri" w:hAnsi="Amiri" w:eastAsia="Amiri" w:cs="Amiri"/>
          <w:lang w:bidi="ar-SA"/>
          <w:color w:val="111111"/>
          <w:sz w:val="28"/>
          <w:szCs w:val="28"/>
          <w:rtl/>
        </w:rPr>
        <w:t xml:space="preserve">بغدادي -حيدري ، ابراهيم بن صبغة الله</w:t>
      </w:r>
    </w:p>
    <w:p>
      <w:pPr>
        <w:pStyle w:val="BookText"/>
      </w:pPr>
      <w:r>
        <w:rPr>
          <w:rFonts w:ascii="Amiri" w:hAnsi="Amiri" w:eastAsia="Amiri" w:cs="Amiri"/>
          <w:lang w:bidi="ar-SA"/>
          <w:color w:val="111111"/>
          <w:sz w:val="28"/>
          <w:szCs w:val="28"/>
          <w:rtl/>
        </w:rPr>
        <w:t xml:space="preserve">ابراهيم بن عامر بن علي العبيدي -عبيدي</w:t>
      </w:r>
    </w:p>
    <w:p>
      <w:pPr>
        <w:pStyle w:val="BookText"/>
      </w:pPr>
      <w:r>
        <w:rPr>
          <w:rFonts w:ascii="Amiri" w:hAnsi="Amiri" w:eastAsia="Amiri" w:cs="Amiri"/>
          <w:lang w:bidi="ar-SA"/>
          <w:color w:val="111111"/>
          <w:sz w:val="28"/>
          <w:szCs w:val="28"/>
          <w:rtl/>
        </w:rPr>
        <w:t xml:space="preserve">، ابراهيم بن عامر</w:t>
      </w:r>
    </w:p>
    <w:p>
      <w:pPr>
        <w:pStyle w:val="BookText"/>
      </w:pPr>
      <w:r>
        <w:rPr>
          <w:rFonts w:ascii="Amiri" w:hAnsi="Amiri" w:eastAsia="Amiri" w:cs="Amiri"/>
          <w:lang w:bidi="ar-SA"/>
          <w:color w:val="111111"/>
          <w:sz w:val="28"/>
          <w:szCs w:val="28"/>
          <w:rtl/>
        </w:rPr>
        <w:t xml:space="preserve">ابراهيم بن عباس صولي -صولي ، ابراهيم</w:t>
      </w:r>
    </w:p>
    <w:p>
      <w:pPr>
        <w:pStyle w:val="BookText"/>
      </w:pPr>
      <w:r>
        <w:rPr>
          <w:rFonts w:ascii="Amiri" w:hAnsi="Amiri" w:eastAsia="Amiri" w:cs="Amiri"/>
          <w:lang w:bidi="ar-SA"/>
          <w:color w:val="111111"/>
          <w:sz w:val="28"/>
          <w:szCs w:val="28"/>
          <w:rtl/>
        </w:rPr>
        <w:t xml:space="preserve">ابراهيم بن عبد الرحمن بن ابراهيم</w:t>
      </w:r>
    </w:p>
    <w:p>
      <w:pPr>
        <w:pStyle w:val="BookText"/>
      </w:pPr>
      <w:r>
        <w:rPr>
          <w:rFonts w:ascii="Amiri" w:hAnsi="Amiri" w:eastAsia="Amiri" w:cs="Amiri"/>
          <w:lang w:bidi="ar-SA"/>
          <w:color w:val="111111"/>
          <w:sz w:val="28"/>
          <w:szCs w:val="28"/>
          <w:rtl/>
        </w:rPr>
        <w:t xml:space="preserve">فزازي -فزاري ، ابراهيم بن عبدالرحمن</w:t>
      </w:r>
    </w:p>
    <w:p>
      <w:pPr>
        <w:pStyle w:val="BookText"/>
      </w:pPr>
      <w:r>
        <w:rPr>
          <w:rFonts w:ascii="Amiri" w:hAnsi="Amiri" w:eastAsia="Amiri" w:cs="Amiri"/>
          <w:lang w:bidi="ar-SA"/>
          <w:color w:val="111111"/>
          <w:sz w:val="28"/>
          <w:szCs w:val="28"/>
          <w:rtl/>
        </w:rPr>
        <w:t xml:space="preserve">ابراهيم بن عبد الرحمن بن ازرق- ابن</w:t>
      </w:r>
    </w:p>
    <w:p>
      <w:pPr>
        <w:pStyle w:val="BookText"/>
      </w:pPr>
      <w:r>
        <w:rPr>
          <w:rFonts w:ascii="Amiri" w:hAnsi="Amiri" w:eastAsia="Amiri" w:cs="Amiri"/>
          <w:lang w:bidi="ar-SA"/>
          <w:color w:val="111111"/>
          <w:sz w:val="28"/>
          <w:szCs w:val="28"/>
          <w:rtl/>
        </w:rPr>
        <w:t xml:space="preserve">ازرق ، ابراهيم بن عبدالرحمن</w:t>
      </w:r>
    </w:p>
    <w:p>
      <w:pPr>
        <w:pStyle w:val="BookText"/>
      </w:pPr>
      <w:r>
        <w:rPr>
          <w:rFonts w:ascii="Amiri" w:hAnsi="Amiri" w:eastAsia="Amiri" w:cs="Amiri"/>
          <w:lang w:bidi="ar-SA"/>
          <w:color w:val="111111"/>
          <w:sz w:val="28"/>
          <w:szCs w:val="28"/>
          <w:rtl/>
        </w:rPr>
        <w:t xml:space="preserve">ابراهيم بن عبد الرحيم ابن جماعه- ابن</w:t>
      </w:r>
    </w:p>
    <w:p>
      <w:pPr>
        <w:pStyle w:val="BookText"/>
      </w:pPr>
      <w:r>
        <w:rPr>
          <w:rFonts w:ascii="Amiri" w:hAnsi="Amiri" w:eastAsia="Amiri" w:cs="Amiri"/>
          <w:lang w:bidi="ar-SA"/>
          <w:color w:val="111111"/>
          <w:sz w:val="28"/>
          <w:szCs w:val="28"/>
          <w:rtl/>
        </w:rPr>
        <w:t xml:space="preserve">جماعه، ابراهيم بن عبد الرحيم</w:t>
      </w:r>
    </w:p>
    <w:p>
      <w:pPr>
        <w:pStyle w:val="BookText"/>
      </w:pPr>
      <w:r>
        <w:rPr>
          <w:rFonts w:ascii="IRNazanin" w:hAnsi="IRNazanin" w:eastAsia="IRNazanin" w:cs="IRNazanin"/>
          <w:lang w:bidi="fa-IR"/>
          <w:color w:val="111111"/>
          <w:sz w:val="28"/>
          <w:szCs w:val="28"/>
          <w:rtl/>
        </w:rPr>
        <w:t xml:space="preserve">ابراهیم بن عبدالغني الدروبي البغدادي- دروبي ، ابراهيم بن عبد الغني</w:t>
      </w:r>
    </w:p>
    <w:p>
      <w:pPr>
        <w:pStyle w:val="BookText"/>
      </w:pPr>
      <w:r>
        <w:rPr>
          <w:rFonts w:ascii="Amiri" w:hAnsi="Amiri" w:eastAsia="Amiri" w:cs="Amiri"/>
          <w:lang w:bidi="ar-SA"/>
          <w:color w:val="111111"/>
          <w:sz w:val="28"/>
          <w:szCs w:val="28"/>
          <w:rtl/>
        </w:rPr>
        <w:t xml:space="preserve">ابراهيم بن عبد الكريم طوساوي - طوسوي</w:t>
      </w:r>
    </w:p>
    <w:p>
      <w:pPr>
        <w:pStyle w:val="BookText"/>
      </w:pPr>
      <w:r>
        <w:rPr>
          <w:rFonts w:ascii="Amiri" w:hAnsi="Amiri" w:eastAsia="Amiri" w:cs="Amiri"/>
          <w:lang w:bidi="ar-SA"/>
          <w:color w:val="111111"/>
          <w:sz w:val="28"/>
          <w:szCs w:val="28"/>
          <w:rtl/>
        </w:rPr>
        <w:t xml:space="preserve">ابراهيم بن عبدالكريم</w:t>
      </w:r>
    </w:p>
    <w:p>
      <w:pPr>
        <w:pStyle w:val="BookText"/>
      </w:pPr>
      <w:r>
        <w:rPr>
          <w:rFonts w:ascii="Amiri" w:hAnsi="Amiri" w:eastAsia="Amiri" w:cs="Amiri"/>
          <w:lang w:bidi="ar-SA"/>
          <w:color w:val="111111"/>
          <w:sz w:val="28"/>
          <w:szCs w:val="28"/>
          <w:rtl/>
        </w:rPr>
        <w:t xml:space="preserve">ابراهيم بن عبد المحسن كاشاني- كاشاني ،</w:t>
      </w:r>
    </w:p>
    <w:p>
      <w:pPr>
        <w:pStyle w:val="BookText"/>
      </w:pPr>
      <w:r>
        <w:rPr>
          <w:rFonts w:ascii="Amiri" w:hAnsi="Amiri" w:eastAsia="Amiri" w:cs="Amiri"/>
          <w:lang w:bidi="ar-SA"/>
          <w:color w:val="111111"/>
          <w:sz w:val="28"/>
          <w:szCs w:val="28"/>
          <w:rtl/>
        </w:rPr>
        <w:t xml:space="preserve">ابراهيم بن عبدالمحسن</w:t>
      </w:r>
    </w:p>
    <w:p>
      <w:pPr>
        <w:pStyle w:val="BookText"/>
      </w:pPr>
      <w:r>
        <w:rPr>
          <w:rFonts w:ascii="Amiri" w:hAnsi="Amiri" w:eastAsia="Amiri" w:cs="Amiri"/>
          <w:lang w:bidi="ar-SA"/>
          <w:color w:val="111111"/>
          <w:sz w:val="28"/>
          <w:szCs w:val="28"/>
          <w:rtl/>
        </w:rPr>
        <w:t xml:space="preserve">ابراهيم بن عبد الوهاب زنجاني- زنجاني ،</w:t>
      </w:r>
    </w:p>
    <w:p>
      <w:pPr>
        <w:pStyle w:val="BookText"/>
      </w:pPr>
      <w:r>
        <w:rPr>
          <w:rFonts w:ascii="Amiri" w:hAnsi="Amiri" w:eastAsia="Amiri" w:cs="Amiri"/>
          <w:lang w:bidi="ar-SA"/>
          <w:color w:val="111111"/>
          <w:sz w:val="28"/>
          <w:szCs w:val="28"/>
          <w:rtl/>
        </w:rPr>
        <w:t xml:space="preserve">ابراهيم بن عثمان الغزي- غزي ، ابراهيم</w:t>
      </w:r>
    </w:p>
    <w:p>
      <w:pPr>
        <w:pStyle w:val="BookText"/>
      </w:pPr>
      <w:r>
        <w:rPr>
          <w:rFonts w:ascii="IRNazanin" w:hAnsi="IRNazanin" w:eastAsia="IRNazanin" w:cs="IRNazanin"/>
          <w:lang w:bidi="fa-IR"/>
          <w:color w:val="111111"/>
          <w:sz w:val="28"/>
          <w:szCs w:val="28"/>
          <w:rtl/>
        </w:rPr>
        <w:t xml:space="preserve">بن عثمان</w:t>
      </w:r>
    </w:p>
    <w:p>
      <w:pPr>
        <w:pStyle w:val="BookText"/>
      </w:pPr>
      <w:r>
        <w:rPr>
          <w:rFonts w:ascii="Amiri" w:hAnsi="Amiri" w:eastAsia="Amiri" w:cs="Amiri"/>
          <w:lang w:bidi="ar-SA"/>
          <w:color w:val="111111"/>
          <w:sz w:val="28"/>
          <w:szCs w:val="28"/>
          <w:rtl/>
        </w:rPr>
        <w:t xml:space="preserve">ابراهيم بن عرب آل عرفات قديجي قطيفي</w:t>
      </w:r>
    </w:p>
    <w:p>
      <w:pPr>
        <w:pStyle w:val="BookText"/>
      </w:pPr>
      <w:r>
        <w:rPr>
          <w:rFonts w:ascii="Amiri" w:hAnsi="Amiri" w:eastAsia="Amiri" w:cs="Amiri"/>
          <w:lang w:bidi="ar-SA"/>
          <w:color w:val="111111"/>
          <w:sz w:val="28"/>
          <w:szCs w:val="28"/>
          <w:rtl/>
        </w:rPr>
        <w:t xml:space="preserve">خطي-قطيفي خطي ، ابراهيم بن عرب</w:t>
      </w:r>
    </w:p>
    <w:p>
      <w:pPr>
        <w:pStyle w:val="BookText"/>
      </w:pPr>
      <w:r>
        <w:rPr>
          <w:rFonts w:ascii="Amiri" w:hAnsi="Amiri" w:eastAsia="Amiri" w:cs="Amiri"/>
          <w:lang w:bidi="ar-SA"/>
          <w:color w:val="111111"/>
          <w:sz w:val="28"/>
          <w:szCs w:val="28"/>
          <w:rtl/>
        </w:rPr>
        <w:t xml:space="preserve">ابراهيم بن علي ( قطب مصري )- قطب</w:t>
      </w:r>
    </w:p>
    <w:p>
      <w:pPr>
        <w:pStyle w:val="BookText"/>
      </w:pPr>
      <w:r>
        <w:rPr>
          <w:rFonts w:ascii="Amiri" w:hAnsi="Amiri" w:eastAsia="Amiri" w:cs="Amiri"/>
          <w:lang w:bidi="ar-SA"/>
          <w:color w:val="111111"/>
          <w:sz w:val="28"/>
          <w:szCs w:val="28"/>
          <w:rtl/>
        </w:rPr>
        <w:t xml:space="preserve">مصري ، ابراهيم بن علي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7742_69377"/>
    <w:bookmarkEnd w:id="23"/>
    <w:p>
      <w:pPr>
        <w:pStyle w:val="BookText"/>
      </w:pPr>
      <w:r>
        <w:rPr>
          <w:rFonts w:ascii="Amiri" w:hAnsi="Amiri" w:eastAsia="Amiri" w:cs="Amiri"/>
          <w:lang w:bidi="ar-SA"/>
          <w:color w:val="111111"/>
          <w:sz w:val="28"/>
          <w:szCs w:val="28"/>
          <w:rtl/>
        </w:rPr>
        <w:t xml:space="preserve">ابراهيم بن علي ارموي -ارموي ، ابراهيم بن علي</w:t>
      </w:r>
    </w:p>
    <w:p>
      <w:pPr>
        <w:pStyle w:val="BookText"/>
      </w:pPr>
      <w:r>
        <w:rPr>
          <w:rFonts w:ascii="Amiri" w:hAnsi="Amiri" w:eastAsia="Amiri" w:cs="Amiri"/>
          <w:lang w:bidi="ar-SA"/>
          <w:color w:val="111111"/>
          <w:sz w:val="28"/>
          <w:szCs w:val="28"/>
          <w:rtl/>
        </w:rPr>
        <w:t xml:space="preserve">ابراهيم بن علي بن محمّد بن منصور اصبحي -اصبحي ، ابراهيم بن علي</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ابراهيم بن علي شيرازي- ابواسحاق</w:t>
      </w:r>
    </w:p>
    <w:p>
      <w:pPr>
        <w:pStyle w:val="BookText"/>
      </w:pPr>
      <w:r>
        <w:rPr>
          <w:rFonts w:ascii="Amiri" w:hAnsi="Amiri" w:eastAsia="Amiri" w:cs="Amiri"/>
          <w:lang w:bidi="ar-SA"/>
          <w:color w:val="111111"/>
          <w:sz w:val="28"/>
          <w:szCs w:val="28"/>
          <w:rtl/>
        </w:rPr>
        <w:t xml:space="preserve">شيرازي ، ابراهيم بن علي</w:t>
      </w:r>
    </w:p>
    <w:p>
      <w:pPr>
        <w:pStyle w:val="BookText"/>
      </w:pPr>
      <w:r>
        <w:rPr>
          <w:rFonts w:ascii="Amiri" w:hAnsi="Amiri" w:eastAsia="Amiri" w:cs="Amiri"/>
          <w:lang w:bidi="ar-SA"/>
          <w:color w:val="111111"/>
          <w:sz w:val="28"/>
          <w:szCs w:val="28"/>
          <w:rtl/>
        </w:rPr>
        <w:t xml:space="preserve">ابراهيم بن علي طرسوسي -طرسوسي ،</w:t>
      </w:r>
    </w:p>
    <w:p>
      <w:pPr>
        <w:pStyle w:val="BookText"/>
      </w:pPr>
      <w:r>
        <w:rPr>
          <w:rFonts w:ascii="Amiri" w:hAnsi="Amiri" w:eastAsia="Amiri" w:cs="Amiri"/>
          <w:lang w:bidi="ar-SA"/>
          <w:color w:val="111111"/>
          <w:sz w:val="28"/>
          <w:szCs w:val="28"/>
          <w:rtl/>
        </w:rPr>
        <w:t xml:space="preserve">ابراهيم بن علي</w:t>
      </w:r>
    </w:p>
    <w:p>
      <w:pPr>
        <w:pStyle w:val="BookText"/>
      </w:pPr>
      <w:r>
        <w:rPr>
          <w:rFonts w:ascii="Amiri" w:hAnsi="Amiri" w:eastAsia="Amiri" w:cs="Amiri"/>
          <w:lang w:bidi="ar-SA"/>
          <w:color w:val="111111"/>
          <w:sz w:val="28"/>
          <w:szCs w:val="28"/>
          <w:rtl/>
        </w:rPr>
        <w:t xml:space="preserve">ابراهيم بن علي عاملي ميسي- ابن مفلح ، ابراهيم بن علي</w:t>
      </w:r>
    </w:p>
    <w:p>
      <w:pPr>
        <w:pStyle w:val="BookText"/>
      </w:pPr>
      <w:r>
        <w:rPr>
          <w:rFonts w:ascii="Amiri" w:hAnsi="Amiri" w:eastAsia="Amiri" w:cs="Amiri"/>
          <w:lang w:bidi="ar-SA"/>
          <w:color w:val="111111"/>
          <w:sz w:val="28"/>
          <w:szCs w:val="28"/>
          <w:rtl/>
        </w:rPr>
        <w:t xml:space="preserve">ابراهيم بن علي كفعمي- كفعمي</w:t>
      </w:r>
    </w:p>
    <w:p>
      <w:pPr>
        <w:pStyle w:val="BookText"/>
      </w:pPr>
      <w:r>
        <w:rPr>
          <w:rFonts w:ascii="Amiri" w:hAnsi="Amiri" w:eastAsia="Amiri" w:cs="Amiri"/>
          <w:lang w:bidi="ar-SA"/>
          <w:color w:val="111111"/>
          <w:sz w:val="28"/>
          <w:szCs w:val="28"/>
          <w:rtl/>
        </w:rPr>
        <w:t xml:space="preserve">ابراهيم بن علي</w:t>
      </w:r>
    </w:p>
    <w:p>
      <w:pPr>
        <w:pStyle w:val="BookText"/>
      </w:pPr>
      <w:r>
        <w:rPr>
          <w:rFonts w:ascii="Amiri" w:hAnsi="Amiri" w:eastAsia="Amiri" w:cs="Amiri"/>
          <w:lang w:bidi="ar-SA"/>
          <w:color w:val="111111"/>
          <w:sz w:val="28"/>
          <w:szCs w:val="28"/>
          <w:rtl/>
        </w:rPr>
        <w:t xml:space="preserve">ابراهيم بن علي لوزي جبعي - لوزي ،</w:t>
      </w:r>
    </w:p>
    <w:p>
      <w:pPr>
        <w:pStyle w:val="BookText"/>
      </w:pPr>
      <w:r>
        <w:rPr>
          <w:rFonts w:ascii="Amiri" w:hAnsi="Amiri" w:eastAsia="Amiri" w:cs="Amiri"/>
          <w:lang w:bidi="ar-SA"/>
          <w:color w:val="111111"/>
          <w:sz w:val="28"/>
          <w:szCs w:val="28"/>
          <w:rtl/>
        </w:rPr>
        <w:t xml:space="preserve">ابراهيم بن علي</w:t>
      </w:r>
    </w:p>
    <w:p>
      <w:pPr>
        <w:pStyle w:val="BookText"/>
      </w:pPr>
      <w:r>
        <w:rPr>
          <w:rFonts w:ascii="Amiri" w:hAnsi="Amiri" w:eastAsia="Amiri" w:cs="Amiri"/>
          <w:lang w:bidi="ar-SA"/>
          <w:color w:val="111111"/>
          <w:sz w:val="28"/>
          <w:szCs w:val="28"/>
          <w:rtl/>
        </w:rPr>
        <w:t xml:space="preserve">ابراهيم بن علي يعمري (ابن</w:t>
      </w:r>
    </w:p>
    <w:p>
      <w:pPr>
        <w:pStyle w:val="BookText"/>
      </w:pPr>
      <w:r>
        <w:rPr>
          <w:rFonts w:ascii="Amiri" w:hAnsi="Amiri" w:eastAsia="Amiri" w:cs="Amiri"/>
          <w:lang w:bidi="ar-SA"/>
          <w:color w:val="111111"/>
          <w:sz w:val="28"/>
          <w:szCs w:val="28"/>
          <w:rtl/>
        </w:rPr>
        <w:t xml:space="preserve">فرحون )-ابن فرحون ، ابراهيم بن علي</w:t>
      </w:r>
    </w:p>
    <w:p>
      <w:pPr>
        <w:pStyle w:val="BookText"/>
      </w:pPr>
      <w:r>
        <w:rPr>
          <w:rFonts w:ascii="Amiri" w:hAnsi="Amiri" w:eastAsia="Amiri" w:cs="Amiri"/>
          <w:lang w:bidi="ar-SA"/>
          <w:color w:val="111111"/>
          <w:sz w:val="28"/>
          <w:szCs w:val="28"/>
          <w:rtl/>
        </w:rPr>
        <w:t xml:space="preserve">ابراهيم بن عمر بقاعي -بقاعي ، ابراهيم</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ابراهيم بن عمر رباط بقاعي رباط</w:t>
      </w:r>
    </w:p>
    <w:p>
      <w:pPr>
        <w:pStyle w:val="BookText"/>
      </w:pPr>
      <w:r>
        <w:rPr>
          <w:rFonts w:ascii="Amiri" w:hAnsi="Amiri" w:eastAsia="Amiri" w:cs="Amiri"/>
          <w:lang w:bidi="ar-SA"/>
          <w:color w:val="111111"/>
          <w:sz w:val="28"/>
          <w:szCs w:val="28"/>
          <w:rtl/>
        </w:rPr>
        <w:t xml:space="preserve">شافعي ، ابراهيم بن عمر</w:t>
      </w:r>
    </w:p>
    <w:p>
      <w:pPr>
        <w:pStyle w:val="BookText"/>
      </w:pPr>
      <w:r>
        <w:rPr>
          <w:rFonts w:ascii="Amiri" w:hAnsi="Amiri" w:eastAsia="Amiri" w:cs="Amiri"/>
          <w:lang w:bidi="ar-SA"/>
          <w:color w:val="111111"/>
          <w:sz w:val="28"/>
          <w:szCs w:val="28"/>
          <w:rtl/>
        </w:rPr>
        <w:t xml:space="preserve">ابراهيم بن فضل بن ابي سهل نوبختي- نوبختي ، ابراهيم بن اسحاق</w:t>
      </w:r>
    </w:p>
    <w:p>
      <w:pPr>
        <w:pStyle w:val="BookText"/>
      </w:pPr>
      <w:r>
        <w:rPr>
          <w:rFonts w:ascii="Amiri" w:hAnsi="Amiri" w:eastAsia="Amiri" w:cs="Amiri"/>
          <w:lang w:bidi="ar-SA"/>
          <w:color w:val="111111"/>
          <w:sz w:val="28"/>
          <w:szCs w:val="28"/>
          <w:rtl/>
        </w:rPr>
        <w:t xml:space="preserve">ابراهيم بن قره مصطفى البرغمه اي- شيخ</w:t>
      </w:r>
    </w:p>
    <w:p>
      <w:pPr>
        <w:pStyle w:val="BookText"/>
      </w:pPr>
      <w:r>
        <w:rPr>
          <w:rFonts w:ascii="Amiri" w:hAnsi="Amiri" w:eastAsia="Amiri" w:cs="Amiri"/>
          <w:lang w:bidi="ar-SA"/>
          <w:color w:val="111111"/>
          <w:sz w:val="28"/>
          <w:szCs w:val="28"/>
          <w:rtl/>
        </w:rPr>
        <w:t xml:space="preserve">زاده، ابراهيم بن قره مصطفى</w:t>
      </w:r>
    </w:p>
    <w:p>
      <w:pPr>
        <w:pStyle w:val="BookText"/>
      </w:pPr>
      <w:r>
        <w:rPr>
          <w:rFonts w:ascii="Amiri" w:hAnsi="Amiri" w:eastAsia="Amiri" w:cs="Amiri"/>
          <w:lang w:bidi="ar-SA"/>
          <w:color w:val="111111"/>
          <w:sz w:val="28"/>
          <w:szCs w:val="28"/>
          <w:rtl/>
        </w:rPr>
        <w:t xml:space="preserve">ابراهيم بن قصاب باشا- قصاب زاده ابراهيم بن قصاب</w:t>
      </w:r>
    </w:p>
    <w:p>
      <w:pPr>
        <w:pStyle w:val="BookText"/>
      </w:pPr>
      <w:r>
        <w:rPr>
          <w:rFonts w:ascii="Amiri" w:hAnsi="Amiri" w:eastAsia="Amiri" w:cs="Amiri"/>
          <w:lang w:bidi="ar-SA"/>
          <w:color w:val="111111"/>
          <w:sz w:val="28"/>
          <w:szCs w:val="28"/>
          <w:rtl/>
        </w:rPr>
        <w:t xml:space="preserve">ابراهيم بن مبارك بصير -بصير رقيبي ، ابراهيم بن مبارك</w:t>
      </w:r>
    </w:p>
    <w:p>
      <w:pPr>
        <w:pStyle w:val="BookText"/>
      </w:pPr>
      <w:r>
        <w:rPr>
          <w:rFonts w:ascii="Amiri" w:hAnsi="Amiri" w:eastAsia="Amiri" w:cs="Amiri"/>
          <w:lang w:bidi="ar-SA"/>
          <w:color w:val="111111"/>
          <w:sz w:val="28"/>
          <w:szCs w:val="28"/>
          <w:rtl/>
        </w:rPr>
        <w:t xml:space="preserve">ابراهيم بن علي حصري - حصري ، ابراهيم</w:t>
      </w:r>
    </w:p>
    <w:p>
      <w:pPr>
        <w:pStyle w:val="BookText"/>
      </w:pPr>
      <w:r>
        <w:rPr>
          <w:rFonts w:ascii="Amiri" w:hAnsi="Amiri" w:eastAsia="Amiri" w:cs="Amiri"/>
          <w:lang w:bidi="ar-SA"/>
          <w:color w:val="111111"/>
          <w:sz w:val="28"/>
          <w:szCs w:val="28"/>
          <w:rtl/>
        </w:rPr>
        <w:t xml:space="preserve">ابراهيم بن محسن كاشاني- كاشاني ، ابراهيم بن محسن</w:t>
      </w:r>
    </w:p>
    <w:p>
      <w:pPr>
        <w:pStyle w:val="BookText"/>
      </w:pPr>
      <w:r>
        <w:rPr>
          <w:rFonts w:ascii="Amiri" w:hAnsi="Amiri" w:eastAsia="Amiri" w:cs="Amiri"/>
          <w:lang w:bidi="ar-SA"/>
          <w:color w:val="111111"/>
          <w:sz w:val="28"/>
          <w:szCs w:val="28"/>
          <w:rtl/>
        </w:rPr>
        <w:t xml:space="preserve">ابراهيم بن محسن</w:t>
      </w:r>
    </w:p>
    <w:p>
      <w:pPr>
        <w:pStyle w:val="Heading2"/>
      </w:pPr>
      <w:bookmarkStart w:id="1015" w:name="_Toc117"/>
      <w:r>
        <w:t>ابراهيم بن محمّد</w:t>
      </w:r>
      <w:bookmarkEnd w:id="1015"/>
    </w:p>
    <w:p>
      <w:pPr>
        <w:pStyle w:val="BookText"/>
      </w:pPr>
      <w:r>
        <w:rPr>
          <w:rFonts w:ascii="Amiri" w:hAnsi="Amiri" w:eastAsia="Amiri" w:cs="Amiri"/>
          <w:lang w:bidi="ar-SA"/>
          <w:color w:val="111111"/>
          <w:sz w:val="28"/>
          <w:szCs w:val="28"/>
          <w:rtl/>
        </w:rPr>
        <w:t xml:space="preserve">حاشية الفوائد الضيائية في شرح الكافية، ج 6، ص282.</w:t>
      </w:r>
    </w:p>
    <w:p>
      <w:pPr>
        <w:pStyle w:val="BookText"/>
      </w:pPr>
      <w:r>
        <w:rPr>
          <w:rFonts w:ascii="Amiri" w:hAnsi="Amiri" w:eastAsia="Amiri" w:cs="Amiri"/>
          <w:lang w:bidi="ar-SA"/>
          <w:color w:val="111111"/>
          <w:sz w:val="28"/>
          <w:szCs w:val="28"/>
          <w:rtl/>
        </w:rPr>
        <w:t xml:space="preserve">ابراهيم بن محمّد ابن ابي عون- ابن ابي</w:t>
      </w:r>
    </w:p>
    <w:p>
      <w:pPr>
        <w:pStyle w:val="BookText"/>
      </w:pPr>
      <w:r>
        <w:rPr>
          <w:rFonts w:ascii="Amiri" w:hAnsi="Amiri" w:eastAsia="Amiri" w:cs="Amiri"/>
          <w:lang w:bidi="ar-SA"/>
          <w:color w:val="111111"/>
          <w:sz w:val="28"/>
          <w:szCs w:val="28"/>
          <w:rtl/>
        </w:rPr>
        <w:t xml:space="preserve">عون ، ابراهيم بن محمّد</w:t>
      </w:r>
    </w:p>
    <w:p>
      <w:pPr>
        <w:pStyle w:val="BookText"/>
      </w:pPr>
      <w:r>
        <w:rPr>
          <w:rFonts w:ascii="Amiri" w:hAnsi="Amiri" w:eastAsia="Amiri" w:cs="Amiri"/>
          <w:lang w:bidi="ar-SA"/>
          <w:color w:val="111111"/>
          <w:sz w:val="28"/>
          <w:szCs w:val="28"/>
          <w:rtl/>
        </w:rPr>
        <w:t xml:space="preserve">ابراهيم بن محمّد (ابن دقماق)- ابن</w:t>
      </w:r>
    </w:p>
    <w:p>
      <w:pPr>
        <w:pStyle w:val="BookText"/>
      </w:pPr>
      <w:r>
        <w:rPr>
          <w:rFonts w:ascii="Amiri" w:hAnsi="Amiri" w:eastAsia="Amiri" w:cs="Amiri"/>
          <w:lang w:bidi="ar-SA"/>
          <w:color w:val="111111"/>
          <w:sz w:val="28"/>
          <w:szCs w:val="28"/>
          <w:rtl/>
        </w:rPr>
        <w:t xml:space="preserve">دقماق ، ابراهيم بن محمّد</w:t>
      </w:r>
    </w:p>
    <w:p>
      <w:pPr>
        <w:pStyle w:val="BookText"/>
      </w:pPr>
      <w:r>
        <w:rPr>
          <w:rFonts w:ascii="Amiri" w:hAnsi="Amiri" w:eastAsia="Amiri" w:cs="Amiri"/>
          <w:lang w:bidi="ar-SA"/>
          <w:color w:val="111111"/>
          <w:sz w:val="28"/>
          <w:szCs w:val="28"/>
          <w:rtl/>
        </w:rPr>
        <w:t xml:space="preserve">ابراهيم بن محمّد ابي الاخرس- ابو</w:t>
      </w:r>
    </w:p>
    <w:p>
      <w:pPr>
        <w:pStyle w:val="BookText"/>
      </w:pPr>
      <w:r>
        <w:rPr>
          <w:rFonts w:ascii="Amiri" w:hAnsi="Amiri" w:eastAsia="Amiri" w:cs="Amiri"/>
          <w:lang w:bidi="ar-SA"/>
          <w:color w:val="111111"/>
          <w:sz w:val="28"/>
          <w:szCs w:val="28"/>
          <w:rtl/>
        </w:rPr>
        <w:t xml:space="preserve">الاخرس ، ابراهيم بن محمّد</w:t>
      </w:r>
    </w:p>
    <w:p>
      <w:pPr>
        <w:pStyle w:val="BookText"/>
      </w:pPr>
      <w:r>
        <w:rPr>
          <w:rFonts w:ascii="Amiri" w:hAnsi="Amiri" w:eastAsia="Amiri" w:cs="Amiri"/>
          <w:lang w:bidi="ar-SA"/>
          <w:color w:val="111111"/>
          <w:sz w:val="28"/>
          <w:szCs w:val="28"/>
          <w:rtl/>
        </w:rPr>
        <w:t xml:space="preserve">ابراهيم بن محمّد باقر جوهري- جوهري</w:t>
      </w:r>
    </w:p>
    <w:p>
      <w:pPr>
        <w:pStyle w:val="BookText"/>
      </w:pPr>
      <w:r>
        <w:rPr>
          <w:rFonts w:ascii="Amiri" w:hAnsi="Amiri" w:eastAsia="Amiri" w:cs="Amiri"/>
          <w:lang w:bidi="ar-SA"/>
          <w:color w:val="111111"/>
          <w:sz w:val="28"/>
          <w:szCs w:val="28"/>
          <w:rtl/>
        </w:rPr>
        <w:t xml:space="preserve">، محمّد ابراهيم بن محمّد باقر</w:t>
      </w:r>
    </w:p>
    <w:p>
      <w:pPr>
        <w:pStyle w:val="BookText"/>
      </w:pPr>
      <w:r>
        <w:rPr>
          <w:rFonts w:ascii="Amiri" w:hAnsi="Amiri" w:eastAsia="Amiri" w:cs="Amiri"/>
          <w:lang w:bidi="ar-SA"/>
          <w:color w:val="111111"/>
          <w:sz w:val="28"/>
          <w:szCs w:val="28"/>
          <w:rtl/>
        </w:rPr>
        <w:t xml:space="preserve">ابراهيم بن محمّد باقر موسوي قزويني- قزويني ، ابراهيم بن محمد باقر</w:t>
      </w:r>
    </w:p>
    <w:p>
      <w:pPr>
        <w:pStyle w:val="BookText"/>
      </w:pPr>
      <w:r>
        <w:rPr>
          <w:rFonts w:ascii="Amiri" w:hAnsi="Amiri" w:eastAsia="Amiri" w:cs="Amiri"/>
          <w:lang w:bidi="ar-SA"/>
          <w:color w:val="111111"/>
          <w:sz w:val="28"/>
          <w:szCs w:val="28"/>
          <w:rtl/>
        </w:rPr>
        <w:t xml:space="preserve">ابراهيم بن محمّد بغدادي -بغدادي</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IRNazanin" w:hAnsi="IRNazanin" w:eastAsia="IRNazanin" w:cs="IRNazanin"/>
          <w:lang w:bidi="fa-IR"/>
          <w:color w:val="111111"/>
          <w:sz w:val="28"/>
          <w:szCs w:val="28"/>
          <w:rtl/>
        </w:rPr>
        <w:t xml:space="preserve">ابراهيم بن محمّد بن ابي بكر دمشقي- ابن قيم جوزيه ، ابراهیم بن محمّد</w:t>
      </w:r>
    </w:p>
    <w:p>
      <w:pPr>
        <w:pStyle w:val="BookText"/>
      </w:pPr>
      <w:r>
        <w:rPr>
          <w:rFonts w:ascii="Amiri" w:hAnsi="Amiri" w:eastAsia="Amiri" w:cs="Amiri"/>
          <w:lang w:bidi="ar-SA"/>
          <w:color w:val="111111"/>
          <w:sz w:val="28"/>
          <w:szCs w:val="28"/>
          <w:rtl/>
        </w:rPr>
        <w:t xml:space="preserve">ابراهيم بن محمّد بن ابي شريف -ابن ابي</w:t>
      </w:r>
    </w:p>
    <w:p>
      <w:pPr>
        <w:pStyle w:val="BookText"/>
      </w:pPr>
      <w:r>
        <w:rPr>
          <w:rFonts w:ascii="IRNazanin" w:hAnsi="IRNazanin" w:eastAsia="IRNazanin" w:cs="IRNazanin"/>
          <w:lang w:bidi="fa-IR"/>
          <w:color w:val="111111"/>
          <w:sz w:val="28"/>
          <w:szCs w:val="28"/>
          <w:rtl/>
        </w:rPr>
        <w:t xml:space="preserve">شریف ، ابراهيم بن محمّد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محمّد بن حمزه- ابن حمزه</w:t>
      </w:r>
    </w:p>
    <w:p>
      <w:pPr>
        <w:pStyle w:val="BookText"/>
      </w:pPr>
      <w:r>
        <w:rPr>
          <w:rFonts w:ascii="Amiri" w:hAnsi="Amiri" w:eastAsia="Amiri" w:cs="Amiri"/>
          <w:lang w:bidi="ar-SA"/>
          <w:color w:val="111111"/>
          <w:sz w:val="28"/>
          <w:szCs w:val="28"/>
          <w:rtl/>
        </w:rPr>
        <w:t xml:space="preserve">حسيني، ابراهيم بن محمّد</w:t>
      </w:r>
    </w:p>
    <w:p>
      <w:pPr>
        <w:pStyle w:val="BookText"/>
      </w:pPr>
      <w:r>
        <w:rPr>
          <w:rFonts w:ascii="Amiri" w:hAnsi="Amiri" w:eastAsia="Amiri" w:cs="Amiri"/>
          <w:lang w:bidi="ar-SA"/>
          <w:color w:val="111111"/>
          <w:sz w:val="28"/>
          <w:szCs w:val="28"/>
          <w:rtl/>
        </w:rPr>
        <w:t xml:space="preserve">ابراهيم بن محمّد بن ضويان- ابن ضويان</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ابراهيم بن محمّد بن عبدالرحمن</w:t>
      </w:r>
    </w:p>
    <w:p>
      <w:pPr>
        <w:pStyle w:val="BookText"/>
      </w:pPr>
      <w:r>
        <w:rPr>
          <w:rFonts w:ascii="Amiri" w:hAnsi="Amiri" w:eastAsia="Amiri" w:cs="Amiri"/>
          <w:lang w:bidi="ar-SA"/>
          <w:color w:val="111111"/>
          <w:sz w:val="28"/>
          <w:szCs w:val="28"/>
          <w:rtl/>
        </w:rPr>
        <w:t xml:space="preserve">سوهائي- سوهائي ، ابراهيم بن محمّد</w:t>
      </w:r>
    </w:p>
    <w:p>
      <w:pPr>
        <w:pStyle w:val="BookText"/>
      </w:pPr>
      <w:r>
        <w:rPr>
          <w:rFonts w:ascii="IRNazanin" w:hAnsi="IRNazanin" w:eastAsia="IRNazanin" w:cs="IRNazanin"/>
          <w:lang w:bidi="fa-IR"/>
          <w:color w:val="111111"/>
          <w:sz w:val="28"/>
          <w:szCs w:val="28"/>
          <w:rtl/>
        </w:rPr>
        <w:t xml:space="preserve">ابراهیم بن محمّد بن عبدالله بن وزیر</w:t>
      </w:r>
    </w:p>
    <w:p>
      <w:pPr>
        <w:pStyle w:val="BookText"/>
      </w:pPr>
      <w:r>
        <w:rPr>
          <w:rFonts w:ascii="Amiri" w:hAnsi="Amiri" w:eastAsia="Amiri" w:cs="Amiri"/>
          <w:lang w:bidi="ar-SA"/>
          <w:color w:val="111111"/>
          <w:sz w:val="28"/>
          <w:szCs w:val="28"/>
          <w:rtl/>
        </w:rPr>
        <w:t xml:space="preserve">صنعاني -صنعاني ، ابراهيم بن محمد</w:t>
      </w:r>
    </w:p>
    <w:p>
      <w:pPr>
        <w:pStyle w:val="BookText"/>
      </w:pPr>
      <w:r>
        <w:rPr>
          <w:rFonts w:ascii="Amiri" w:hAnsi="Amiri" w:eastAsia="Amiri" w:cs="Amiri"/>
          <w:lang w:bidi="ar-SA"/>
          <w:color w:val="111111"/>
          <w:sz w:val="28"/>
          <w:szCs w:val="28"/>
          <w:rtl/>
        </w:rPr>
        <w:t xml:space="preserve">ابراهيم بن محمّد ثابت آلوسي - آلوسي :</w:t>
      </w:r>
    </w:p>
    <w:p>
      <w:pPr>
        <w:pStyle w:val="BookText"/>
      </w:pPr>
      <w:r>
        <w:rPr>
          <w:rFonts w:ascii="Amiri" w:hAnsi="Amiri" w:eastAsia="Amiri" w:cs="Amiri"/>
          <w:lang w:bidi="ar-SA"/>
          <w:color w:val="111111"/>
          <w:sz w:val="28"/>
          <w:szCs w:val="28"/>
          <w:rtl/>
        </w:rPr>
        <w:t xml:space="preserve">ابراهيم بن محمّد ثابت</w:t>
      </w:r>
    </w:p>
    <w:p>
      <w:pPr>
        <w:pStyle w:val="BookText"/>
      </w:pPr>
      <w:r>
        <w:rPr>
          <w:rFonts w:ascii="Amiri" w:hAnsi="Amiri" w:eastAsia="Amiri" w:cs="Amiri"/>
          <w:lang w:bidi="ar-SA"/>
          <w:color w:val="111111"/>
          <w:sz w:val="28"/>
          <w:szCs w:val="28"/>
          <w:rtl/>
        </w:rPr>
        <w:t xml:space="preserve">ابراهيم بن محمّد حسن كرباسي- كرباسي</w:t>
      </w:r>
    </w:p>
    <w:p>
      <w:pPr>
        <w:pStyle w:val="BookText"/>
      </w:pPr>
      <w:r>
        <w:rPr>
          <w:rFonts w:ascii="Amiri" w:hAnsi="Amiri" w:eastAsia="Amiri" w:cs="Amiri"/>
          <w:lang w:bidi="ar-SA"/>
          <w:color w:val="111111"/>
          <w:sz w:val="28"/>
          <w:szCs w:val="28"/>
          <w:rtl/>
        </w:rPr>
        <w:t xml:space="preserve">، محمد ابراهيم بن محمّد حسن</w:t>
      </w:r>
    </w:p>
    <w:p>
      <w:pPr>
        <w:pStyle w:val="BookText"/>
      </w:pPr>
      <w:r>
        <w:rPr>
          <w:rFonts w:ascii="Amiri" w:hAnsi="Amiri" w:eastAsia="Amiri" w:cs="Amiri"/>
          <w:lang w:bidi="ar-SA"/>
          <w:color w:val="111111"/>
          <w:sz w:val="28"/>
          <w:szCs w:val="28"/>
          <w:rtl/>
        </w:rPr>
        <w:t xml:space="preserve">ابراهيم بن محمّد حلبي- قباقبي</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ابراهيم بن محمّد خراساني كاخي- كرباسي</w:t>
      </w:r>
    </w:p>
    <w:p>
      <w:pPr>
        <w:pStyle w:val="BookText"/>
      </w:pPr>
      <w:r>
        <w:rPr>
          <w:rFonts w:ascii="Amiri" w:hAnsi="Amiri" w:eastAsia="Amiri" w:cs="Amiri"/>
          <w:lang w:bidi="ar-SA"/>
          <w:color w:val="111111"/>
          <w:sz w:val="28"/>
          <w:szCs w:val="28"/>
          <w:rtl/>
        </w:rPr>
        <w:t xml:space="preserve">، محمّد ابراهيم بن محمّد حسن</w:t>
      </w:r>
    </w:p>
    <w:p>
      <w:pPr>
        <w:pStyle w:val="BookText"/>
      </w:pPr>
      <w:r>
        <w:rPr>
          <w:rFonts w:ascii="Amiri" w:hAnsi="Amiri" w:eastAsia="Amiri" w:cs="Amiri"/>
          <w:lang w:bidi="ar-SA"/>
          <w:color w:val="111111"/>
          <w:sz w:val="28"/>
          <w:szCs w:val="28"/>
          <w:rtl/>
        </w:rPr>
        <w:t xml:space="preserve">ابراهيم بن محمّد راوي رفاعي - راوي</w:t>
      </w:r>
    </w:p>
    <w:p>
      <w:pPr>
        <w:pStyle w:val="BookText"/>
      </w:pPr>
      <w:r>
        <w:rPr>
          <w:rFonts w:ascii="Amiri" w:hAnsi="Amiri" w:eastAsia="Amiri" w:cs="Amiri"/>
          <w:lang w:bidi="ar-SA"/>
          <w:color w:val="111111"/>
          <w:sz w:val="28"/>
          <w:szCs w:val="28"/>
          <w:rtl/>
        </w:rPr>
        <w:t xml:space="preserve">رفاعي ، ابراهيم بن محمّد</w:t>
      </w:r>
    </w:p>
    <w:p>
      <w:pPr>
        <w:pStyle w:val="BookText"/>
      </w:pPr>
      <w:r>
        <w:rPr>
          <w:rFonts w:ascii="Amiri" w:hAnsi="Amiri" w:eastAsia="Amiri" w:cs="Amiri"/>
          <w:lang w:bidi="ar-SA"/>
          <w:color w:val="111111"/>
          <w:sz w:val="28"/>
          <w:szCs w:val="28"/>
          <w:rtl/>
        </w:rPr>
        <w:t xml:space="preserve">ابراهيم بن محمّد شيرازي- شيرازي ،</w:t>
      </w:r>
    </w:p>
    <w:p>
      <w:pPr>
        <w:pStyle w:val="BookText"/>
      </w:pPr>
      <w:r>
        <w:rPr>
          <w:rFonts w:ascii="Amiri" w:hAnsi="Amiri" w:eastAsia="Amiri" w:cs="Amiri"/>
          <w:lang w:bidi="ar-SA"/>
          <w:color w:val="111111"/>
          <w:sz w:val="28"/>
          <w:szCs w:val="28"/>
          <w:rtl/>
        </w:rPr>
        <w:t xml:space="preserve">محمد ابراهيم بن ملاصدرا</w:t>
      </w:r>
    </w:p>
    <w:p>
      <w:pPr>
        <w:pStyle w:val="BookText"/>
      </w:pPr>
      <w:r>
        <w:rPr>
          <w:rFonts w:ascii="Amiri" w:hAnsi="Amiri" w:eastAsia="Amiri" w:cs="Amiri"/>
          <w:lang w:bidi="ar-SA"/>
          <w:color w:val="111111"/>
          <w:sz w:val="28"/>
          <w:szCs w:val="28"/>
          <w:rtl/>
        </w:rPr>
        <w:t xml:space="preserve">ابراهيم بن محمّد طرابلسي - سبط ابن</w:t>
      </w:r>
    </w:p>
    <w:p>
      <w:pPr>
        <w:pStyle w:val="BookText"/>
      </w:pPr>
      <w:r>
        <w:rPr>
          <w:rFonts w:ascii="Amiri" w:hAnsi="Amiri" w:eastAsia="Amiri" w:cs="Amiri"/>
          <w:lang w:bidi="ar-SA"/>
          <w:color w:val="111111"/>
          <w:sz w:val="28"/>
          <w:szCs w:val="28"/>
          <w:rtl/>
        </w:rPr>
        <w:t xml:space="preserve">عجمي ، ابراهيم بن محمّد</w:t>
      </w:r>
    </w:p>
    <w:p>
      <w:pPr>
        <w:pStyle w:val="BookText"/>
      </w:pPr>
      <w:r>
        <w:rPr>
          <w:rFonts w:ascii="Amiri" w:hAnsi="Amiri" w:eastAsia="Amiri" w:cs="Amiri"/>
          <w:lang w:bidi="ar-SA"/>
          <w:color w:val="111111"/>
          <w:sz w:val="28"/>
          <w:szCs w:val="28"/>
          <w:rtl/>
        </w:rPr>
        <w:t xml:space="preserve">ابراهيم بن محمّد عصام اسفرايني- عصام</w:t>
      </w:r>
    </w:p>
    <w:p>
      <w:pPr>
        <w:pStyle w:val="BookText"/>
      </w:pPr>
      <w:r>
        <w:rPr>
          <w:rFonts w:ascii="Amiri" w:hAnsi="Amiri" w:eastAsia="Amiri" w:cs="Amiri"/>
          <w:lang w:bidi="ar-SA"/>
          <w:color w:val="111111"/>
          <w:sz w:val="28"/>
          <w:szCs w:val="28"/>
          <w:rtl/>
        </w:rPr>
        <w:t xml:space="preserve">الدين اسفرايني، ابراهيم بن محمّد</w:t>
      </w:r>
    </w:p>
    <w:p>
      <w:pPr>
        <w:pStyle w:val="BookText"/>
      </w:pPr>
      <w:r>
        <w:rPr>
          <w:rFonts w:ascii="Amiri" w:hAnsi="Amiri" w:eastAsia="Amiri" w:cs="Amiri"/>
          <w:lang w:bidi="ar-SA"/>
          <w:color w:val="111111"/>
          <w:sz w:val="28"/>
          <w:szCs w:val="28"/>
          <w:rtl/>
        </w:rPr>
        <w:t xml:space="preserve">ابراهيم بن محمّد علوي -علوي ، ابراهيم</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ابراهيم بن محمّد غضنفر تبريزي- غضنفر</w:t>
      </w:r>
    </w:p>
    <w:p>
      <w:pPr>
        <w:pStyle w:val="BookText"/>
      </w:pPr>
      <w:r>
        <w:rPr>
          <w:rFonts w:ascii="Amiri" w:hAnsi="Amiri" w:eastAsia="Amiri" w:cs="Amiri"/>
          <w:lang w:bidi="ar-SA"/>
          <w:color w:val="111111"/>
          <w:sz w:val="28"/>
          <w:szCs w:val="28"/>
          <w:rtl/>
        </w:rPr>
        <w:t xml:space="preserve">تبريزي ، ابراهيم بن محمّد</w:t>
      </w:r>
    </w:p>
    <w:p>
      <w:pPr>
        <w:pStyle w:val="BookText"/>
      </w:pPr>
      <w:r>
        <w:rPr>
          <w:rFonts w:ascii="Amiri" w:hAnsi="Amiri" w:eastAsia="Amiri" w:cs="Amiri"/>
          <w:lang w:bidi="ar-SA"/>
          <w:color w:val="111111"/>
          <w:sz w:val="28"/>
          <w:szCs w:val="28"/>
          <w:rtl/>
        </w:rPr>
        <w:t xml:space="preserve">ابراهيم بن محمّد قاري حنفي- قاري</w:t>
      </w:r>
    </w:p>
    <w:p>
      <w:pPr>
        <w:pStyle w:val="BookText"/>
      </w:pPr>
      <w:r>
        <w:rPr>
          <w:rFonts w:ascii="Amiri" w:hAnsi="Amiri" w:eastAsia="Amiri" w:cs="Amiri"/>
          <w:lang w:bidi="ar-SA"/>
          <w:color w:val="111111"/>
          <w:sz w:val="28"/>
          <w:szCs w:val="28"/>
          <w:rtl/>
        </w:rPr>
        <w:t xml:space="preserve">حنفي ، ابراهيم بن محمّد</w:t>
      </w:r>
    </w:p>
    <w:p>
      <w:pPr>
        <w:pStyle w:val="BookText"/>
      </w:pPr>
      <w:r>
        <w:rPr>
          <w:rFonts w:ascii="Amiri" w:hAnsi="Amiri" w:eastAsia="Amiri" w:cs="Amiri"/>
          <w:lang w:bidi="ar-SA"/>
          <w:color w:val="111111"/>
          <w:sz w:val="28"/>
          <w:szCs w:val="28"/>
          <w:rtl/>
        </w:rPr>
        <w:t xml:space="preserve">ابراهيم بن محمّد قيسي- قيسي ، ابراهيم</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ابراهيم بن محمّد كوزي بيوك</w:t>
      </w:r>
    </w:p>
    <w:p>
      <w:pPr>
        <w:pStyle w:val="BookText"/>
      </w:pPr>
      <w:r>
        <w:rPr>
          <w:rFonts w:ascii="IRNazanin" w:hAnsi="IRNazanin" w:eastAsia="IRNazanin" w:cs="IRNazanin"/>
          <w:lang w:bidi="fa-IR"/>
          <w:color w:val="111111"/>
          <w:sz w:val="28"/>
          <w:szCs w:val="28"/>
          <w:rtl/>
        </w:rPr>
        <w:t xml:space="preserve">زاده -كوزي بيوك زاده ، ابراهیم بن محمّد</w:t>
      </w:r>
    </w:p>
    <w:p>
      <w:pPr>
        <w:pStyle w:val="BookText"/>
      </w:pPr>
      <w:r>
        <w:rPr>
          <w:rFonts w:ascii="Amiri" w:hAnsi="Amiri" w:eastAsia="Amiri" w:cs="Amiri"/>
          <w:lang w:bidi="ar-SA"/>
          <w:color w:val="111111"/>
          <w:sz w:val="28"/>
          <w:szCs w:val="28"/>
          <w:rtl/>
        </w:rPr>
        <w:t xml:space="preserve">ابراهيم بن محمّد مأموني مأموني</w:t>
      </w:r>
    </w:p>
    <w:p>
      <w:pPr>
        <w:pStyle w:val="BookText"/>
      </w:pPr>
      <w:r>
        <w:rPr>
          <w:rFonts w:ascii="Amiri" w:hAnsi="Amiri" w:eastAsia="Amiri" w:cs="Amiri"/>
          <w:lang w:bidi="ar-SA"/>
          <w:color w:val="111111"/>
          <w:sz w:val="28"/>
          <w:szCs w:val="28"/>
          <w:rtl/>
        </w:rPr>
        <w:t xml:space="preserve">ابراهيم بن محمّد مقدسي- مقدسي ،</w:t>
      </w:r>
    </w:p>
    <w:p>
      <w:pPr>
        <w:pStyle w:val="BookText"/>
      </w:pPr>
      <w:r>
        <w:rPr>
          <w:rFonts w:ascii="Amiri" w:hAnsi="Amiri" w:eastAsia="Amiri" w:cs="Amiri"/>
          <w:lang w:bidi="ar-SA"/>
          <w:color w:val="111111"/>
          <w:sz w:val="28"/>
          <w:szCs w:val="28"/>
          <w:rtl/>
        </w:rPr>
        <w:t xml:space="preserve">ابراهيم بن مفلح</w:t>
      </w:r>
    </w:p>
    <w:p>
      <w:pPr>
        <w:pStyle w:val="BookText"/>
      </w:pPr>
      <w:r>
        <w:rPr>
          <w:rFonts w:ascii="Amiri" w:hAnsi="Amiri" w:eastAsia="Amiri" w:cs="Amiri"/>
          <w:lang w:bidi="ar-SA"/>
          <w:color w:val="111111"/>
          <w:sz w:val="28"/>
          <w:szCs w:val="28"/>
          <w:rtl/>
        </w:rPr>
        <w:t xml:space="preserve">ابراهيم بن محمّد موسوي دزفولي- موسوي دزفولي، ابراهيم بن محمّد</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IRNazanin" w:hAnsi="IRNazanin" w:eastAsia="IRNazanin" w:cs="IRNazanin"/>
          <w:lang w:bidi="fa-IR"/>
          <w:color w:val="111111"/>
          <w:sz w:val="28"/>
          <w:szCs w:val="28"/>
          <w:rtl/>
        </w:rPr>
        <w:t xml:space="preserve">ابراهيم بن محمّد زجاج- زجاج ، ابراهیم</w:t>
      </w:r>
    </w:p>
    <w:p>
      <w:pPr>
        <w:pStyle w:val="BookText"/>
      </w:pPr>
      <w:r>
        <w:rPr>
          <w:rFonts w:ascii="Amiri" w:hAnsi="Amiri" w:eastAsia="Amiri" w:cs="Amiri"/>
          <w:lang w:bidi="ar-SA"/>
          <w:color w:val="111111"/>
          <w:sz w:val="28"/>
          <w:szCs w:val="28"/>
          <w:rtl/>
        </w:rPr>
        <w:t xml:space="preserve">بن سري</w:t>
      </w:r>
    </w:p>
    <w:p>
      <w:pPr>
        <w:pStyle w:val="BookText"/>
      </w:pPr>
      <w:r>
        <w:rPr>
          <w:rFonts w:ascii="Amiri" w:hAnsi="Amiri" w:eastAsia="Amiri" w:cs="Amiri"/>
          <w:lang w:bidi="ar-SA"/>
          <w:color w:val="111111"/>
          <w:sz w:val="28"/>
          <w:szCs w:val="28"/>
          <w:rtl/>
        </w:rPr>
        <w:t xml:space="preserve">ابراهيم بن محمّد زفتاري- رفتاري</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IRNazanin" w:hAnsi="IRNazanin" w:eastAsia="IRNazanin" w:cs="IRNazanin"/>
          <w:lang w:bidi="fa-IR"/>
          <w:color w:val="111111"/>
          <w:sz w:val="28"/>
          <w:szCs w:val="28"/>
          <w:rtl/>
        </w:rPr>
        <w:t xml:space="preserve">ابراهيم بن محمّد سعید فته -فته ،</w:t>
      </w:r>
    </w:p>
    <w:p>
      <w:pPr>
        <w:pStyle w:val="BookText"/>
      </w:pPr>
      <w:r>
        <w:rPr>
          <w:rFonts w:ascii="IRNazanin" w:hAnsi="IRNazanin" w:eastAsia="IRNazanin" w:cs="IRNazanin"/>
          <w:lang w:bidi="fa-IR"/>
          <w:color w:val="111111"/>
          <w:sz w:val="28"/>
          <w:szCs w:val="28"/>
          <w:rtl/>
        </w:rPr>
        <w:t xml:space="preserve">ابراهيم بن محمّد سعید</w:t>
      </w:r>
    </w:p>
    <w:p>
      <w:pPr>
        <w:pStyle w:val="BookText"/>
      </w:pPr>
      <w:r>
        <w:rPr>
          <w:rFonts w:ascii="Amiri" w:hAnsi="Amiri" w:eastAsia="Amiri" w:cs="Amiri"/>
          <w:lang w:bidi="ar-SA"/>
          <w:color w:val="111111"/>
          <w:sz w:val="28"/>
          <w:szCs w:val="28"/>
          <w:rtl/>
        </w:rPr>
        <w:t xml:space="preserve">ابراهيم بن محمّد سفر جلاني -سفر جلاني ،</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ابراهيم بن محمود اقصرايي</w:t>
      </w:r>
    </w:p>
    <w:p>
      <w:pPr>
        <w:pStyle w:val="BookText"/>
      </w:pPr>
      <w:r>
        <w:rPr>
          <w:rFonts w:ascii="Amiri" w:hAnsi="Amiri" w:eastAsia="Amiri" w:cs="Amiri"/>
          <w:lang w:bidi="ar-SA"/>
          <w:color w:val="111111"/>
          <w:sz w:val="28"/>
          <w:szCs w:val="28"/>
          <w:rtl/>
        </w:rPr>
        <w:t xml:space="preserve">شاذلي - اقصرايي شاذلي ،</w:t>
      </w:r>
    </w:p>
    <w:p>
      <w:pPr>
        <w:pStyle w:val="BookText"/>
      </w:pPr>
      <w:r>
        <w:rPr>
          <w:rFonts w:ascii="Amiri" w:hAnsi="Amiri" w:eastAsia="Amiri" w:cs="Amiri"/>
          <w:lang w:bidi="ar-SA"/>
          <w:color w:val="111111"/>
          <w:sz w:val="28"/>
          <w:szCs w:val="28"/>
          <w:rtl/>
        </w:rPr>
        <w:t xml:space="preserve">ابراهيم بن محمّد نفطويه- نفطويه</w:t>
      </w:r>
    </w:p>
    <w:p>
      <w:pPr>
        <w:pStyle w:val="BookText"/>
      </w:pPr>
      <w:r>
        <w:rPr>
          <w:rFonts w:ascii="Amiri" w:hAnsi="Amiri" w:eastAsia="Amiri" w:cs="Amiri"/>
          <w:lang w:bidi="ar-SA"/>
          <w:color w:val="111111"/>
          <w:sz w:val="28"/>
          <w:szCs w:val="28"/>
          <w:rtl/>
        </w:rPr>
        <w:t xml:space="preserve">ابراهيم بن محمّد ابراهيم بن محمّد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7742_69380"/>
    <w:bookmarkEnd w:id="24"/>
    <w:p>
      <w:pPr>
        <w:pStyle w:val="BookText"/>
      </w:pPr>
      <w:r>
        <w:rPr>
          <w:rFonts w:ascii="Amiri" w:hAnsi="Amiri" w:eastAsia="Amiri" w:cs="Amiri"/>
          <w:lang w:bidi="ar-SA"/>
          <w:color w:val="111111"/>
          <w:sz w:val="28"/>
          <w:szCs w:val="28"/>
          <w:rtl/>
        </w:rPr>
        <w:t xml:space="preserve">ابراهيم بن محمّد بن حمزه - ابراهيم حسيني</w:t>
      </w:r>
    </w:p>
    <w:p>
      <w:pPr>
        <w:pStyle w:val="BookText"/>
      </w:pPr>
      <w:r>
        <w:rPr>
          <w:rFonts w:ascii="Amiri" w:hAnsi="Amiri" w:eastAsia="Amiri" w:cs="Amiri"/>
          <w:lang w:bidi="ar-SA"/>
          <w:color w:val="111111"/>
          <w:sz w:val="28"/>
          <w:szCs w:val="28"/>
          <w:rtl/>
        </w:rPr>
        <w:t xml:space="preserve">ابراهيم بن محمود بن جوهر البعلبكي- بعلبكي ، ابراهيم بن محمود</w:t>
      </w:r>
    </w:p>
    <w:p>
      <w:pPr>
        <w:pStyle w:val="BookText"/>
      </w:pPr>
      <w:r>
        <w:rPr>
          <w:rFonts w:ascii="Amiri" w:hAnsi="Amiri" w:eastAsia="Amiri" w:cs="Amiri"/>
          <w:lang w:bidi="ar-SA"/>
          <w:color w:val="111111"/>
          <w:sz w:val="28"/>
          <w:szCs w:val="28"/>
          <w:rtl/>
        </w:rPr>
        <w:t xml:space="preserve">ابراهيم بن مرعي شبرخيتي -</w:t>
      </w:r>
    </w:p>
    <w:p>
      <w:pPr>
        <w:pStyle w:val="BookText"/>
      </w:pPr>
      <w:r>
        <w:rPr>
          <w:rFonts w:ascii="Amiri" w:hAnsi="Amiri" w:eastAsia="Amiri" w:cs="Amiri"/>
          <w:lang w:bidi="ar-SA"/>
          <w:color w:val="111111"/>
          <w:sz w:val="28"/>
          <w:szCs w:val="28"/>
          <w:rtl/>
        </w:rPr>
        <w:t xml:space="preserve">مالكي شبرخيتي ، ابراهيم بن مرعي</w:t>
      </w:r>
    </w:p>
    <w:p>
      <w:pPr>
        <w:pStyle w:val="BookText"/>
      </w:pPr>
      <w:r>
        <w:rPr>
          <w:rFonts w:ascii="Amiri" w:hAnsi="Amiri" w:eastAsia="Amiri" w:cs="Amiri"/>
          <w:lang w:bidi="ar-SA"/>
          <w:color w:val="111111"/>
          <w:sz w:val="28"/>
          <w:szCs w:val="28"/>
          <w:rtl/>
        </w:rPr>
        <w:t xml:space="preserve">ابراهيم بن مصطفى بن عباس موصلي -موصلي، ابراهيم بن مصطفى</w:t>
      </w:r>
    </w:p>
    <w:p>
      <w:pPr>
        <w:pStyle w:val="BookText"/>
      </w:pPr>
      <w:r>
        <w:rPr>
          <w:rFonts w:ascii="Amiri" w:hAnsi="Amiri" w:eastAsia="Amiri" w:cs="Amiri"/>
          <w:lang w:bidi="ar-SA"/>
          <w:color w:val="111111"/>
          <w:sz w:val="28"/>
          <w:szCs w:val="28"/>
          <w:rtl/>
        </w:rPr>
        <w:t xml:space="preserve">ابراهيم بن مصطفى قادري -قادري ،</w:t>
      </w:r>
    </w:p>
    <w:p>
      <w:pPr>
        <w:pStyle w:val="BookText"/>
      </w:pPr>
      <w:r>
        <w:rPr>
          <w:rFonts w:ascii="Amiri" w:hAnsi="Amiri" w:eastAsia="Amiri" w:cs="Amiri"/>
          <w:lang w:bidi="ar-SA"/>
          <w:color w:val="111111"/>
          <w:sz w:val="28"/>
          <w:szCs w:val="28"/>
          <w:rtl/>
        </w:rPr>
        <w:t xml:space="preserve">ابراهيم بن مصطفى</w:t>
      </w:r>
    </w:p>
    <w:p>
      <w:pPr>
        <w:pStyle w:val="BookText"/>
      </w:pPr>
      <w:r>
        <w:rPr>
          <w:rFonts w:ascii="Amiri" w:hAnsi="Amiri" w:eastAsia="Amiri" w:cs="Amiri"/>
          <w:lang w:bidi="ar-SA"/>
          <w:color w:val="111111"/>
          <w:sz w:val="28"/>
          <w:szCs w:val="28"/>
          <w:rtl/>
        </w:rPr>
        <w:t xml:space="preserve">ابراهيم بن موسى طرابلسي - طرابلسي</w:t>
      </w:r>
    </w:p>
    <w:p>
      <w:pPr>
        <w:pStyle w:val="BookText"/>
      </w:pPr>
      <w:r>
        <w:rPr>
          <w:rFonts w:ascii="IRNazanin" w:hAnsi="IRNazanin" w:eastAsia="IRNazanin" w:cs="IRNazanin"/>
          <w:lang w:bidi="fa-IR"/>
          <w:color w:val="111111"/>
          <w:sz w:val="28"/>
          <w:szCs w:val="28"/>
          <w:rtl/>
        </w:rPr>
        <w:t xml:space="preserve">ابراهيم بن موسى ابراهیم بن موسى عباجي- عباجي ،</w:t>
      </w:r>
    </w:p>
    <w:p>
      <w:pPr>
        <w:pStyle w:val="BookText"/>
      </w:pPr>
      <w:r>
        <w:rPr>
          <w:rFonts w:ascii="Amiri" w:hAnsi="Amiri" w:eastAsia="Amiri" w:cs="Amiri"/>
          <w:lang w:bidi="ar-SA"/>
          <w:color w:val="111111"/>
          <w:sz w:val="28"/>
          <w:szCs w:val="28"/>
          <w:rtl/>
        </w:rPr>
        <w:t xml:space="preserve">ابراهيم بن موسى ابراهيم بن موسى كركي- كركي ، ابراهيم</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ابراهيم بن مير درويش بخاري -بخاري</w:t>
      </w:r>
    </w:p>
    <w:p>
      <w:pPr>
        <w:pStyle w:val="BookText"/>
      </w:pPr>
      <w:r>
        <w:rPr>
          <w:rFonts w:ascii="Amiri" w:hAnsi="Amiri" w:eastAsia="Amiri" w:cs="Amiri"/>
          <w:lang w:bidi="ar-SA"/>
          <w:color w:val="111111"/>
          <w:sz w:val="28"/>
          <w:szCs w:val="28"/>
          <w:rtl/>
        </w:rPr>
        <w:t xml:space="preserve">ابراهيم بن درويش ابراهيم بن ناصر مبارك توبلي</w:t>
      </w:r>
    </w:p>
    <w:p>
      <w:pPr>
        <w:pStyle w:val="BookText"/>
      </w:pPr>
      <w:r>
        <w:rPr>
          <w:rFonts w:ascii="Amiri" w:hAnsi="Amiri" w:eastAsia="Amiri" w:cs="Amiri"/>
          <w:lang w:bidi="ar-SA"/>
          <w:color w:val="111111"/>
          <w:sz w:val="28"/>
          <w:szCs w:val="28"/>
          <w:rtl/>
        </w:rPr>
        <w:t xml:space="preserve">بحراني توبلي بحراني ، ابراهيم بن ناصر</w:t>
      </w:r>
    </w:p>
    <w:p>
      <w:pPr>
        <w:pStyle w:val="BookText"/>
      </w:pPr>
      <w:r>
        <w:rPr>
          <w:rFonts w:ascii="Amiri" w:hAnsi="Amiri" w:eastAsia="Amiri" w:cs="Amiri"/>
          <w:lang w:bidi="ar-SA"/>
          <w:color w:val="111111"/>
          <w:sz w:val="28"/>
          <w:szCs w:val="28"/>
          <w:rtl/>
        </w:rPr>
        <w:t xml:space="preserve">ابراهيم بن ناصيف يازجي- يازجي</w:t>
      </w:r>
    </w:p>
    <w:p>
      <w:pPr>
        <w:pStyle w:val="BookText"/>
      </w:pPr>
      <w:r>
        <w:rPr>
          <w:rFonts w:ascii="Amiri" w:hAnsi="Amiri" w:eastAsia="Amiri" w:cs="Amiri"/>
          <w:lang w:bidi="ar-SA"/>
          <w:color w:val="111111"/>
          <w:sz w:val="28"/>
          <w:szCs w:val="28"/>
          <w:rtl/>
        </w:rPr>
        <w:t xml:space="preserve">ابراهيم بن ناصيف</w:t>
      </w:r>
    </w:p>
    <w:p>
      <w:pPr>
        <w:pStyle w:val="BookText"/>
      </w:pPr>
      <w:r>
        <w:rPr>
          <w:rFonts w:ascii="Amiri" w:hAnsi="Amiri" w:eastAsia="Amiri" w:cs="Amiri"/>
          <w:lang w:bidi="ar-SA"/>
          <w:color w:val="111111"/>
          <w:sz w:val="28"/>
          <w:szCs w:val="28"/>
          <w:rtl/>
        </w:rPr>
        <w:t xml:space="preserve">ابراهيم بن يحيى مخزومي قرشي طيبي</w:t>
      </w:r>
    </w:p>
    <w:p>
      <w:pPr>
        <w:pStyle w:val="BookText"/>
      </w:pPr>
      <w:r>
        <w:rPr>
          <w:rFonts w:ascii="Amiri" w:hAnsi="Amiri" w:eastAsia="Amiri" w:cs="Amiri"/>
          <w:lang w:bidi="ar-SA"/>
          <w:color w:val="111111"/>
          <w:sz w:val="28"/>
          <w:szCs w:val="28"/>
          <w:rtl/>
        </w:rPr>
        <w:t xml:space="preserve">ابراهيم بن يحيى</w:t>
      </w:r>
    </w:p>
    <w:p>
      <w:pPr>
        <w:pStyle w:val="Heading2"/>
      </w:pPr>
      <w:bookmarkStart w:id="1016" w:name="_Toc118"/>
      <w:r>
        <w:t>ابراهيم بن يوسف</w:t>
      </w:r>
      <w:bookmarkEnd w:id="1016"/>
    </w:p>
    <w:p>
      <w:pPr>
        <w:pStyle w:val="BookText"/>
      </w:pPr>
      <w:r>
        <w:rPr>
          <w:rFonts w:ascii="IRNazanin" w:hAnsi="IRNazanin" w:eastAsia="IRNazanin" w:cs="IRNazanin"/>
          <w:lang w:bidi="fa-IR"/>
          <w:color w:val="111111"/>
          <w:sz w:val="28"/>
          <w:szCs w:val="28"/>
          <w:rtl/>
        </w:rPr>
        <w:t xml:space="preserve">ايضاح الرموز و کشف الكنوز ، ج 3،</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Amiri" w:hAnsi="Amiri" w:eastAsia="Amiri" w:cs="Amiri"/>
          <w:lang w:bidi="ar-SA"/>
          <w:color w:val="111111"/>
          <w:sz w:val="28"/>
          <w:szCs w:val="28"/>
          <w:rtl/>
        </w:rPr>
        <w:t xml:space="preserve">ابراهيم بن يوسف غزنوي- غزنوي ،</w:t>
      </w:r>
    </w:p>
    <w:p>
      <w:pPr>
        <w:pStyle w:val="BookText"/>
      </w:pPr>
      <w:r>
        <w:rPr>
          <w:rFonts w:ascii="Amiri" w:hAnsi="Amiri" w:eastAsia="Amiri" w:cs="Amiri"/>
          <w:lang w:bidi="ar-SA"/>
          <w:color w:val="111111"/>
          <w:sz w:val="28"/>
          <w:szCs w:val="28"/>
          <w:rtl/>
        </w:rPr>
        <w:t xml:space="preserve">ابراهيم بن يوسف ابراهيم بن يوسف قرمي طرابلسي - ابن</w:t>
      </w:r>
    </w:p>
    <w:p>
      <w:pPr>
        <w:pStyle w:val="BookText"/>
      </w:pPr>
      <w:r>
        <w:rPr>
          <w:rFonts w:ascii="Amiri" w:hAnsi="Amiri" w:eastAsia="Amiri" w:cs="Amiri"/>
          <w:lang w:bidi="ar-SA"/>
          <w:color w:val="111111"/>
          <w:sz w:val="28"/>
          <w:szCs w:val="28"/>
          <w:rtl/>
        </w:rPr>
        <w:t xml:space="preserve">قرقول ، ابراهيم بن يوسف</w:t>
      </w:r>
    </w:p>
    <w:p>
      <w:pPr>
        <w:pStyle w:val="BookText"/>
      </w:pPr>
      <w:r>
        <w:rPr>
          <w:rFonts w:ascii="Amiri" w:hAnsi="Amiri" w:eastAsia="Amiri" w:cs="Amiri"/>
          <w:lang w:bidi="ar-SA"/>
          <w:color w:val="111111"/>
          <w:sz w:val="28"/>
          <w:szCs w:val="28"/>
          <w:rtl/>
        </w:rPr>
        <w:t xml:space="preserve">ابراهيم بن يوسف وهراني ابن قرقول ،</w:t>
      </w:r>
    </w:p>
    <w:p>
      <w:pPr>
        <w:pStyle w:val="BookText"/>
      </w:pPr>
      <w:r>
        <w:rPr>
          <w:rFonts w:ascii="Amiri" w:hAnsi="Amiri" w:eastAsia="Amiri" w:cs="Amiri"/>
          <w:lang w:bidi="ar-SA"/>
          <w:color w:val="111111"/>
          <w:sz w:val="28"/>
          <w:szCs w:val="28"/>
          <w:rtl/>
        </w:rPr>
        <w:t xml:space="preserve">ابراهيم بن يوسف</w:t>
      </w:r>
    </w:p>
    <w:p>
      <w:pPr>
        <w:pStyle w:val="BookText"/>
      </w:pPr>
      <w:r>
        <w:rPr>
          <w:rFonts w:ascii="Amiri" w:hAnsi="Amiri" w:eastAsia="Amiri" w:cs="Amiri"/>
          <w:lang w:bidi="ar-SA"/>
          <w:color w:val="111111"/>
          <w:sz w:val="28"/>
          <w:szCs w:val="28"/>
          <w:rtl/>
        </w:rPr>
        <w:t xml:space="preserve">ابراهيم تهراني- تهراني ، ابراهيم</w:t>
      </w:r>
    </w:p>
    <w:p>
      <w:pPr>
        <w:pStyle w:val="BookText"/>
      </w:pPr>
      <w:r>
        <w:rPr>
          <w:rFonts w:ascii="Amiri" w:hAnsi="Amiri" w:eastAsia="Amiri" w:cs="Amiri"/>
          <w:lang w:bidi="ar-SA"/>
          <w:color w:val="111111"/>
          <w:sz w:val="28"/>
          <w:szCs w:val="28"/>
          <w:rtl/>
        </w:rPr>
        <w:t xml:space="preserve">ابراهيم جامع حسيني -حسني جامع</w:t>
      </w:r>
    </w:p>
    <w:p>
      <w:pPr>
        <w:pStyle w:val="BookText"/>
      </w:pPr>
      <w:r>
        <w:rPr>
          <w:rFonts w:ascii="Amiri" w:hAnsi="Amiri" w:eastAsia="Amiri" w:cs="Amiri"/>
          <w:lang w:bidi="ar-SA"/>
          <w:color w:val="111111"/>
          <w:sz w:val="28"/>
          <w:szCs w:val="28"/>
          <w:rtl/>
        </w:rPr>
        <w:t xml:space="preserve">حسيني ، ابراهيم</w:t>
      </w:r>
    </w:p>
    <w:p>
      <w:pPr>
        <w:pStyle w:val="BookText"/>
      </w:pPr>
      <w:r>
        <w:rPr>
          <w:rFonts w:ascii="Amiri" w:hAnsi="Amiri" w:eastAsia="Amiri" w:cs="Amiri"/>
          <w:lang w:bidi="ar-SA"/>
          <w:color w:val="111111"/>
          <w:sz w:val="28"/>
          <w:szCs w:val="28"/>
          <w:rtl/>
        </w:rPr>
        <w:t xml:space="preserve">ابراهيم جبرتي - جبرتي ، ابراهيم</w:t>
      </w:r>
    </w:p>
    <w:p>
      <w:pPr>
        <w:pStyle w:val="BookText"/>
      </w:pPr>
      <w:r>
        <w:rPr>
          <w:rFonts w:ascii="Amiri" w:hAnsi="Amiri" w:eastAsia="Amiri" w:cs="Amiri"/>
          <w:lang w:bidi="ar-SA"/>
          <w:color w:val="111111"/>
          <w:sz w:val="28"/>
          <w:szCs w:val="28"/>
          <w:rtl/>
        </w:rPr>
        <w:t xml:space="preserve">ابراهيم جزيري - جزيري ، ابراهيم</w:t>
      </w:r>
    </w:p>
    <w:p>
      <w:pPr>
        <w:pStyle w:val="BookText"/>
      </w:pPr>
      <w:r>
        <w:rPr>
          <w:rFonts w:ascii="Amiri" w:hAnsi="Amiri" w:eastAsia="Amiri" w:cs="Amiri"/>
          <w:lang w:bidi="ar-SA"/>
          <w:color w:val="111111"/>
          <w:sz w:val="28"/>
          <w:szCs w:val="28"/>
          <w:rtl/>
        </w:rPr>
        <w:t xml:space="preserve">ابراهيم جوري- جوري ، ابراهيم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ابراهيم بن نوبخت نوبختي ، ابراهيم بن ابراهیم چلبي كبير -چلبي كبير ، ابراهيم</w:t>
      </w:r>
    </w:p>
    <w:p>
      <w:pPr>
        <w:pStyle w:val="BookText"/>
      </w:pPr>
      <w:r>
        <w:rPr>
          <w:rFonts w:ascii="IRNazanin" w:hAnsi="IRNazanin" w:eastAsia="IRNazanin" w:cs="IRNazanin"/>
          <w:lang w:bidi="fa-IR"/>
          <w:color w:val="111111"/>
          <w:sz w:val="28"/>
          <w:szCs w:val="28"/>
          <w:rtl/>
        </w:rPr>
        <w:t xml:space="preserve">اسحاق</w:t>
      </w:r>
    </w:p>
    <w:p>
      <w:pPr>
        <w:pStyle w:val="BookText"/>
      </w:pPr>
      <w:r>
        <w:rPr>
          <w:rFonts w:ascii="Amiri" w:hAnsi="Amiri" w:eastAsia="Amiri" w:cs="Amiri"/>
          <w:lang w:bidi="ar-SA"/>
          <w:color w:val="111111"/>
          <w:sz w:val="28"/>
          <w:szCs w:val="28"/>
          <w:rtl/>
        </w:rPr>
        <w:t xml:space="preserve">ابراهيم بن ولي الله استرآبادي -استرآبادي ،</w:t>
      </w:r>
    </w:p>
    <w:p>
      <w:pPr>
        <w:pStyle w:val="BookText"/>
      </w:pPr>
      <w:r>
        <w:rPr>
          <w:rFonts w:ascii="Amiri" w:hAnsi="Amiri" w:eastAsia="Amiri" w:cs="Amiri"/>
          <w:lang w:bidi="ar-SA"/>
          <w:color w:val="111111"/>
          <w:sz w:val="28"/>
          <w:szCs w:val="28"/>
          <w:rtl/>
        </w:rPr>
        <w:t xml:space="preserve">ابراهيم بن ولي الله</w:t>
      </w:r>
    </w:p>
    <w:p>
      <w:pPr>
        <w:pStyle w:val="BookText"/>
      </w:pPr>
      <w:r>
        <w:rPr>
          <w:rFonts w:ascii="Amiri" w:hAnsi="Amiri" w:eastAsia="Amiri" w:cs="Amiri"/>
          <w:lang w:bidi="ar-SA"/>
          <w:color w:val="111111"/>
          <w:sz w:val="28"/>
          <w:szCs w:val="28"/>
          <w:rtl/>
        </w:rPr>
        <w:t xml:space="preserve">ابراهيم بن يحيى بن غنام ابو اسحاق</w:t>
      </w:r>
    </w:p>
    <w:p>
      <w:pPr>
        <w:pStyle w:val="BookText"/>
      </w:pPr>
      <w:r>
        <w:rPr>
          <w:rFonts w:ascii="Amiri" w:hAnsi="Amiri" w:eastAsia="Amiri" w:cs="Amiri"/>
          <w:lang w:bidi="ar-SA"/>
          <w:color w:val="111111"/>
          <w:sz w:val="28"/>
          <w:szCs w:val="28"/>
          <w:rtl/>
        </w:rPr>
        <w:t xml:space="preserve">(نميري ، ابراهيم بن يحيى</w:t>
      </w:r>
    </w:p>
    <w:p>
      <w:pPr>
        <w:pStyle w:val="Heading2"/>
      </w:pPr>
      <w:bookmarkStart w:id="1017" w:name="_Toc119"/>
      <w:r>
        <w:t>ابراهيم حسين</w:t>
      </w:r>
      <w:bookmarkEnd w:id="1017"/>
    </w:p>
    <w:p>
      <w:pPr>
        <w:pStyle w:val="BookText"/>
      </w:pPr>
      <w:r>
        <w:rPr>
          <w:rFonts w:ascii="Amiri" w:hAnsi="Amiri" w:eastAsia="Amiri" w:cs="Amiri"/>
          <w:lang w:bidi="ar-SA"/>
          <w:color w:val="111111"/>
          <w:sz w:val="28"/>
          <w:szCs w:val="28"/>
          <w:rtl/>
        </w:rPr>
        <w:t xml:space="preserve">رسالة فقهية في مسألة، ج8، ص238.</w:t>
      </w:r>
    </w:p>
    <w:p>
      <w:pPr>
        <w:pStyle w:val="BookText"/>
      </w:pPr>
      <w:r>
        <w:rPr>
          <w:rFonts w:ascii="Amiri" w:hAnsi="Amiri" w:eastAsia="Amiri" w:cs="Amiri"/>
          <w:lang w:bidi="ar-SA"/>
          <w:color w:val="111111"/>
          <w:sz w:val="28"/>
          <w:szCs w:val="28"/>
          <w:rtl/>
        </w:rPr>
        <w:t xml:space="preserve">ابراهيم حسيني- حسيني ، محمد ابراهيم</w:t>
      </w:r>
    </w:p>
    <w:p>
      <w:pPr>
        <w:pStyle w:val="BookText"/>
      </w:pPr>
      <w:r>
        <w:rPr>
          <w:rFonts w:ascii="Amiri" w:hAnsi="Amiri" w:eastAsia="Amiri" w:cs="Amiri"/>
          <w:lang w:bidi="ar-SA"/>
          <w:color w:val="111111"/>
          <w:sz w:val="28"/>
          <w:szCs w:val="28"/>
          <w:rtl/>
        </w:rPr>
        <w:t xml:space="preserve">ابراهيم حسيني لوذعي- حسيني لوذعي</w:t>
      </w:r>
    </w:p>
    <w:p>
      <w:pPr>
        <w:pStyle w:val="BookText"/>
      </w:pPr>
      <w:r>
        <w:rPr>
          <w:rFonts w:ascii="Amiri" w:hAnsi="Amiri" w:eastAsia="Amiri" w:cs="Amiri"/>
          <w:lang w:bidi="ar-SA"/>
          <w:color w:val="111111"/>
          <w:sz w:val="28"/>
          <w:szCs w:val="28"/>
          <w:rtl/>
        </w:rPr>
        <w:t xml:space="preserve">ابراهيم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7742_69382"/>
    <w:bookmarkEnd w:id="25"/>
    <w:p>
      <w:pPr>
        <w:pStyle w:val="BookText"/>
      </w:pPr>
      <w:r>
        <w:rPr>
          <w:rFonts w:ascii="Amiri" w:hAnsi="Amiri" w:eastAsia="Amiri" w:cs="Amiri"/>
          <w:lang w:bidi="ar-SA"/>
          <w:color w:val="111111"/>
          <w:sz w:val="28"/>
          <w:szCs w:val="28"/>
          <w:rtl/>
        </w:rPr>
        <w:t xml:space="preserve">ابراهيم حقي- حقي ، ابراهيم بن عثمان</w:t>
      </w:r>
    </w:p>
    <w:p>
      <w:pPr>
        <w:pStyle w:val="BookText"/>
      </w:pPr>
      <w:r>
        <w:rPr>
          <w:rFonts w:ascii="Amiri" w:hAnsi="Amiri" w:eastAsia="Amiri" w:cs="Amiri"/>
          <w:lang w:bidi="ar-SA"/>
          <w:color w:val="111111"/>
          <w:sz w:val="28"/>
          <w:szCs w:val="28"/>
          <w:rtl/>
        </w:rPr>
        <w:t xml:space="preserve">ابراهيم حنيف بن مصطفى رومي -رومي</w:t>
      </w:r>
    </w:p>
    <w:p>
      <w:pPr>
        <w:pStyle w:val="BookText"/>
      </w:pPr>
      <w:r>
        <w:rPr>
          <w:rFonts w:ascii="Amiri" w:hAnsi="Amiri" w:eastAsia="Amiri" w:cs="Amiri"/>
          <w:lang w:bidi="ar-SA"/>
          <w:color w:val="111111"/>
          <w:sz w:val="28"/>
          <w:szCs w:val="28"/>
          <w:rtl/>
        </w:rPr>
        <w:t xml:space="preserve">، ابراهيم بن حنيف بن مصطفى</w:t>
      </w:r>
    </w:p>
    <w:p>
      <w:pPr>
        <w:pStyle w:val="Heading2"/>
      </w:pPr>
      <w:bookmarkStart w:id="1018" w:name="_Toc120"/>
      <w:r>
        <w:t>ابراهيم خان بن علي مراد خان قرن 12 ه-</w:t>
      </w:r>
      <w:bookmarkEnd w:id="1018"/>
    </w:p>
    <w:p>
      <w:pPr>
        <w:pStyle w:val="BookText"/>
      </w:pPr>
      <w:r>
        <w:rPr>
          <w:rFonts w:ascii="Amiri" w:hAnsi="Amiri" w:eastAsia="Amiri" w:cs="Amiri"/>
          <w:lang w:bidi="ar-SA"/>
          <w:color w:val="111111"/>
          <w:sz w:val="28"/>
          <w:szCs w:val="28"/>
          <w:rtl/>
        </w:rPr>
        <w:t xml:space="preserve">بياض ابراهيمي - سفينة النجات ج 3، ص 449.</w:t>
      </w:r>
    </w:p>
    <w:p>
      <w:pPr>
        <w:pStyle w:val="BookText"/>
      </w:pPr>
      <w:r>
        <w:rPr>
          <w:rFonts w:ascii="IRNazanin" w:hAnsi="IRNazanin" w:eastAsia="IRNazanin" w:cs="IRNazanin"/>
          <w:lang w:bidi="fa-IR"/>
          <w:color w:val="111111"/>
          <w:sz w:val="28"/>
          <w:szCs w:val="28"/>
          <w:rtl/>
        </w:rPr>
        <w:t xml:space="preserve">ابراهیم خطیب - خطيب ، ابراهيم</w:t>
      </w:r>
    </w:p>
    <w:p>
      <w:pPr>
        <w:pStyle w:val="BookText"/>
      </w:pPr>
      <w:r>
        <w:rPr>
          <w:rFonts w:ascii="Amiri" w:hAnsi="Amiri" w:eastAsia="Amiri" w:cs="Amiri"/>
          <w:lang w:bidi="ar-SA"/>
          <w:color w:val="111111"/>
          <w:sz w:val="28"/>
          <w:szCs w:val="28"/>
          <w:rtl/>
        </w:rPr>
        <w:t xml:space="preserve">ابراهيم خليل بن ميرزا عبدالباقي اعتضاد</w:t>
      </w:r>
    </w:p>
    <w:p>
      <w:pPr>
        <w:pStyle w:val="BookText"/>
      </w:pPr>
      <w:r>
        <w:rPr>
          <w:rFonts w:ascii="Amiri" w:hAnsi="Amiri" w:eastAsia="Amiri" w:cs="Amiri"/>
          <w:lang w:bidi="ar-SA"/>
          <w:color w:val="111111"/>
          <w:sz w:val="28"/>
          <w:szCs w:val="28"/>
          <w:rtl/>
        </w:rPr>
        <w:t xml:space="preserve">الاطباء -ثقفي ، خليل بن عبد الباقي</w:t>
      </w:r>
    </w:p>
    <w:p>
      <w:pPr>
        <w:pStyle w:val="BookText"/>
      </w:pPr>
      <w:r>
        <w:rPr>
          <w:rFonts w:ascii="Amiri" w:hAnsi="Amiri" w:eastAsia="Amiri" w:cs="Amiri"/>
          <w:lang w:bidi="ar-SA"/>
          <w:color w:val="111111"/>
          <w:sz w:val="28"/>
          <w:szCs w:val="28"/>
          <w:rtl/>
        </w:rPr>
        <w:t xml:space="preserve">ابراهيم دامغاني خراساني -نجفي دامغاني</w:t>
      </w:r>
    </w:p>
    <w:p>
      <w:pPr>
        <w:pStyle w:val="BookText"/>
      </w:pPr>
      <w:r>
        <w:rPr>
          <w:rFonts w:ascii="Amiri" w:hAnsi="Amiri" w:eastAsia="Amiri" w:cs="Amiri"/>
          <w:lang w:bidi="ar-SA"/>
          <w:color w:val="111111"/>
          <w:sz w:val="28"/>
          <w:szCs w:val="28"/>
          <w:rtl/>
        </w:rPr>
        <w:t xml:space="preserve">خراساني ، ابراهيم ابراهيم دده جوري - جوري ، ابراهيم بن</w:t>
      </w:r>
    </w:p>
    <w:p>
      <w:pPr>
        <w:pStyle w:val="BookText"/>
      </w:pPr>
      <w:r>
        <w:rPr>
          <w:rFonts w:ascii="Amiri" w:hAnsi="Amiri" w:eastAsia="Amiri" w:cs="Amiri"/>
          <w:lang w:bidi="ar-SA"/>
          <w:color w:val="111111"/>
          <w:sz w:val="28"/>
          <w:szCs w:val="28"/>
          <w:rtl/>
        </w:rPr>
        <w:t xml:space="preserve">عبدالله ابراهيم دده مغلوي، ابراهيم بن صالح</w:t>
      </w:r>
    </w:p>
    <w:p>
      <w:pPr>
        <w:pStyle w:val="BookText"/>
      </w:pPr>
      <w:r>
        <w:rPr>
          <w:rFonts w:ascii="Amiri" w:hAnsi="Amiri" w:eastAsia="Amiri" w:cs="Amiri"/>
          <w:lang w:bidi="ar-SA"/>
          <w:color w:val="111111"/>
          <w:sz w:val="28"/>
          <w:szCs w:val="28"/>
          <w:rtl/>
        </w:rPr>
        <w:t xml:space="preserve">ابراهيم دهلوي - دهلوي ، طبيب ابراهيم</w:t>
      </w:r>
    </w:p>
    <w:p>
      <w:pPr>
        <w:pStyle w:val="BookText"/>
      </w:pPr>
      <w:r>
        <w:rPr>
          <w:rFonts w:ascii="Amiri" w:hAnsi="Amiri" w:eastAsia="Amiri" w:cs="Amiri"/>
          <w:lang w:bidi="ar-SA"/>
          <w:color w:val="111111"/>
          <w:sz w:val="28"/>
          <w:szCs w:val="28"/>
          <w:rtl/>
        </w:rPr>
        <w:t xml:space="preserve">ابراهيم راوي - راوي ، ابراهيم</w:t>
      </w:r>
    </w:p>
    <w:p>
      <w:pPr>
        <w:pStyle w:val="BookText"/>
      </w:pPr>
      <w:r>
        <w:rPr>
          <w:rFonts w:ascii="Amiri" w:hAnsi="Amiri" w:eastAsia="Amiri" w:cs="Amiri"/>
          <w:lang w:bidi="ar-SA"/>
          <w:color w:val="111111"/>
          <w:sz w:val="28"/>
          <w:szCs w:val="28"/>
          <w:rtl/>
        </w:rPr>
        <w:t xml:space="preserve">ابراهيم رشيدي حفناوي رشيدي- حفناوي</w:t>
      </w:r>
    </w:p>
    <w:p>
      <w:pPr>
        <w:pStyle w:val="BookText"/>
      </w:pPr>
      <w:r>
        <w:rPr>
          <w:rFonts w:ascii="IRNazanin" w:hAnsi="IRNazanin" w:eastAsia="IRNazanin" w:cs="IRNazanin"/>
          <w:lang w:bidi="fa-IR"/>
          <w:color w:val="111111"/>
          <w:sz w:val="28"/>
          <w:szCs w:val="28"/>
          <w:rtl/>
        </w:rPr>
        <w:t xml:space="preserve">، ابراهیم</w:t>
      </w:r>
    </w:p>
    <w:p>
      <w:pPr>
        <w:pStyle w:val="BookText"/>
      </w:pPr>
      <w:r>
        <w:rPr>
          <w:rFonts w:ascii="Amiri" w:hAnsi="Amiri" w:eastAsia="Amiri" w:cs="Amiri"/>
          <w:lang w:bidi="ar-SA"/>
          <w:color w:val="111111"/>
          <w:sz w:val="28"/>
          <w:szCs w:val="28"/>
          <w:rtl/>
        </w:rPr>
        <w:t xml:space="preserve">ابراهيم شاراني - شاراني ، ابراهيم</w:t>
      </w:r>
    </w:p>
    <w:p>
      <w:pPr>
        <w:pStyle w:val="BookText"/>
      </w:pPr>
      <w:r>
        <w:rPr>
          <w:rFonts w:ascii="Amiri" w:hAnsi="Amiri" w:eastAsia="Amiri" w:cs="Amiri"/>
          <w:lang w:bidi="ar-SA"/>
          <w:color w:val="111111"/>
          <w:sz w:val="28"/>
          <w:szCs w:val="28"/>
          <w:rtl/>
        </w:rPr>
        <w:t xml:space="preserve">ابراهيم شاهي -شاهي ، ابراهيم</w:t>
      </w:r>
    </w:p>
    <w:p>
      <w:pPr>
        <w:pStyle w:val="BookText"/>
      </w:pPr>
      <w:r>
        <w:rPr>
          <w:rFonts w:ascii="Amiri" w:hAnsi="Amiri" w:eastAsia="Amiri" w:cs="Amiri"/>
          <w:lang w:bidi="ar-SA"/>
          <w:color w:val="111111"/>
          <w:sz w:val="28"/>
          <w:szCs w:val="28"/>
          <w:rtl/>
        </w:rPr>
        <w:t xml:space="preserve">ابراهيم شيرواني - شهراني ، ابراهيم</w:t>
      </w:r>
    </w:p>
    <w:p>
      <w:pPr>
        <w:pStyle w:val="BookText"/>
      </w:pPr>
      <w:r>
        <w:rPr>
          <w:rFonts w:ascii="Amiri" w:hAnsi="Amiri" w:eastAsia="Amiri" w:cs="Amiri"/>
          <w:lang w:bidi="ar-SA"/>
          <w:color w:val="111111"/>
          <w:sz w:val="28"/>
          <w:szCs w:val="28"/>
          <w:rtl/>
        </w:rPr>
        <w:t xml:space="preserve">ابراهيم صابي ، ابواسحاق حراني- صابي ،</w:t>
      </w:r>
    </w:p>
    <w:p>
      <w:pPr>
        <w:pStyle w:val="BookText"/>
      </w:pPr>
      <w:r>
        <w:rPr>
          <w:rFonts w:ascii="Amiri" w:hAnsi="Amiri" w:eastAsia="Amiri" w:cs="Amiri"/>
          <w:lang w:bidi="ar-SA"/>
          <w:color w:val="111111"/>
          <w:sz w:val="28"/>
          <w:szCs w:val="28"/>
          <w:rtl/>
        </w:rPr>
        <w:t xml:space="preserve">ابراهيم بن هلال ابراهيم صادق عاملي -عاملي ، ابراهيم</w:t>
      </w:r>
    </w:p>
    <w:p>
      <w:pPr>
        <w:pStyle w:val="BookText"/>
      </w:pPr>
      <w:r>
        <w:rPr>
          <w:rFonts w:ascii="IRNazanin" w:hAnsi="IRNazanin" w:eastAsia="IRNazanin" w:cs="IRNazanin"/>
          <w:lang w:bidi="fa-IR"/>
          <w:color w:val="111111"/>
          <w:sz w:val="28"/>
          <w:szCs w:val="28"/>
          <w:rtl/>
        </w:rPr>
        <w:t xml:space="preserve">صادق</w:t>
      </w:r>
    </w:p>
    <w:p>
      <w:pPr>
        <w:pStyle w:val="BookText"/>
      </w:pPr>
      <w:r>
        <w:rPr>
          <w:rFonts w:ascii="Amiri" w:hAnsi="Amiri" w:eastAsia="Amiri" w:cs="Amiri"/>
          <w:lang w:bidi="ar-SA"/>
          <w:color w:val="111111"/>
          <w:sz w:val="28"/>
          <w:szCs w:val="28"/>
          <w:rtl/>
        </w:rPr>
        <w:t xml:space="preserve">حسين آبادي ، ابراهيم بن حيدر</w:t>
      </w:r>
    </w:p>
    <w:p>
      <w:pPr>
        <w:pStyle w:val="BookText"/>
      </w:pPr>
      <w:r>
        <w:rPr>
          <w:rFonts w:ascii="Amiri" w:hAnsi="Amiri" w:eastAsia="Amiri" w:cs="Amiri"/>
          <w:lang w:bidi="ar-SA"/>
          <w:color w:val="111111"/>
          <w:sz w:val="28"/>
          <w:szCs w:val="28"/>
          <w:rtl/>
        </w:rPr>
        <w:t xml:space="preserve">ابراهيم صفوي حسين آبادي كردي</w:t>
      </w:r>
    </w:p>
    <w:p>
      <w:pPr>
        <w:pStyle w:val="BookText"/>
      </w:pPr>
      <w:r>
        <w:rPr>
          <w:rFonts w:ascii="Amiri" w:hAnsi="Amiri" w:eastAsia="Amiri" w:cs="Amiri"/>
          <w:lang w:bidi="ar-SA"/>
          <w:color w:val="111111"/>
          <w:sz w:val="28"/>
          <w:szCs w:val="28"/>
          <w:rtl/>
        </w:rPr>
        <w:t xml:space="preserve">ابراهيم صومع دسوقي- دسوقي ، ابراهيم</w:t>
      </w:r>
    </w:p>
    <w:p>
      <w:pPr>
        <w:pStyle w:val="BookText"/>
      </w:pPr>
      <w:r>
        <w:rPr>
          <w:rFonts w:ascii="IRNazanin" w:hAnsi="IRNazanin" w:eastAsia="IRNazanin" w:cs="IRNazanin"/>
          <w:lang w:bidi="fa-IR"/>
          <w:color w:val="111111"/>
          <w:sz w:val="28"/>
          <w:szCs w:val="28"/>
          <w:rtl/>
        </w:rPr>
        <w:t xml:space="preserve">صومع</w:t>
      </w:r>
    </w:p>
    <w:p>
      <w:pPr>
        <w:pStyle w:val="BookText"/>
      </w:pPr>
      <w:r>
        <w:rPr>
          <w:rFonts w:ascii="Amiri" w:hAnsi="Amiri" w:eastAsia="Amiri" w:cs="Amiri"/>
          <w:lang w:bidi="ar-SA"/>
          <w:color w:val="111111"/>
          <w:sz w:val="28"/>
          <w:szCs w:val="28"/>
          <w:rtl/>
        </w:rPr>
        <w:t xml:space="preserve">ابراهيم طباطبائي (ابواسماعيل)- طباطبائي</w:t>
      </w:r>
    </w:p>
    <w:p>
      <w:pPr>
        <w:pStyle w:val="BookText"/>
      </w:pPr>
      <w:r>
        <w:rPr>
          <w:rFonts w:ascii="Amiri" w:hAnsi="Amiri" w:eastAsia="Amiri" w:cs="Amiri"/>
          <w:lang w:bidi="ar-SA"/>
          <w:color w:val="111111"/>
          <w:sz w:val="28"/>
          <w:szCs w:val="28"/>
          <w:rtl/>
        </w:rPr>
        <w:t xml:space="preserve">، ابراهيم بن ناصر</w:t>
      </w:r>
    </w:p>
    <w:p>
      <w:pPr>
        <w:pStyle w:val="BookText"/>
      </w:pPr>
      <w:r>
        <w:rPr>
          <w:rFonts w:ascii="Amiri" w:hAnsi="Amiri" w:eastAsia="Amiri" w:cs="Amiri"/>
          <w:lang w:bidi="ar-SA"/>
          <w:color w:val="111111"/>
          <w:sz w:val="28"/>
          <w:szCs w:val="28"/>
          <w:rtl/>
        </w:rPr>
        <w:t xml:space="preserve">ابراهيم طرفي -طرفي ، ابراهيم</w:t>
      </w:r>
    </w:p>
    <w:p>
      <w:pPr>
        <w:pStyle w:val="BookText"/>
      </w:pPr>
      <w:r>
        <w:rPr>
          <w:rFonts w:ascii="Amiri" w:hAnsi="Amiri" w:eastAsia="Amiri" w:cs="Amiri"/>
          <w:lang w:bidi="ar-SA"/>
          <w:color w:val="111111"/>
          <w:sz w:val="28"/>
          <w:szCs w:val="28"/>
          <w:rtl/>
        </w:rPr>
        <w:t xml:space="preserve">ابراهيم عدوي برهان الدين</w:t>
      </w:r>
    </w:p>
    <w:p>
      <w:pPr>
        <w:pStyle w:val="BookText"/>
      </w:pPr>
      <w:r>
        <w:rPr>
          <w:rFonts w:ascii="Amiri" w:hAnsi="Amiri" w:eastAsia="Amiri" w:cs="Amiri"/>
          <w:lang w:bidi="ar-SA"/>
          <w:color w:val="111111"/>
          <w:sz w:val="28"/>
          <w:szCs w:val="28"/>
          <w:rtl/>
        </w:rPr>
        <w:t xml:space="preserve">خالعي- خالعي ، ابراهيم</w:t>
      </w:r>
    </w:p>
    <w:p>
      <w:pPr>
        <w:pStyle w:val="BookText"/>
      </w:pPr>
      <w:r>
        <w:rPr>
          <w:rFonts w:ascii="Amiri" w:hAnsi="Amiri" w:eastAsia="Amiri" w:cs="Amiri"/>
          <w:lang w:bidi="ar-SA"/>
          <w:color w:val="111111"/>
          <w:sz w:val="28"/>
          <w:szCs w:val="28"/>
          <w:rtl/>
        </w:rPr>
        <w:t xml:space="preserve">ابراهيم عماري- عماري ، ابراهيم</w:t>
      </w:r>
    </w:p>
    <w:p>
      <w:pPr>
        <w:pStyle w:val="BookText"/>
      </w:pPr>
      <w:r>
        <w:rPr>
          <w:rFonts w:ascii="IRNazanin" w:hAnsi="IRNazanin" w:eastAsia="IRNazanin" w:cs="IRNazanin"/>
          <w:lang w:bidi="fa-IR"/>
          <w:color w:val="111111"/>
          <w:sz w:val="28"/>
          <w:szCs w:val="28"/>
          <w:rtl/>
        </w:rPr>
        <w:t xml:space="preserve">ابراهیم فتال - فتال دمشقي، ابراهيم بن</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IRNazanin" w:hAnsi="IRNazanin" w:eastAsia="IRNazanin" w:cs="IRNazanin"/>
          <w:lang w:bidi="fa-IR"/>
          <w:color w:val="111111"/>
          <w:sz w:val="28"/>
          <w:szCs w:val="28"/>
          <w:rtl/>
        </w:rPr>
        <w:t xml:space="preserve">ابراهیم فته ، ابن محمد فته ، ابراهیم</w:t>
      </w:r>
    </w:p>
    <w:p>
      <w:pPr>
        <w:pStyle w:val="BookText"/>
      </w:pPr>
      <w:r>
        <w:rPr>
          <w:rFonts w:ascii="IRNazanin" w:hAnsi="IRNazanin" w:eastAsia="IRNazanin" w:cs="IRNazanin"/>
          <w:lang w:bidi="fa-IR"/>
          <w:color w:val="111111"/>
          <w:sz w:val="28"/>
          <w:szCs w:val="28"/>
          <w:rtl/>
        </w:rPr>
        <w:t xml:space="preserve">بن محمّد سعید</w:t>
      </w:r>
    </w:p>
    <w:p>
      <w:pPr>
        <w:pStyle w:val="BookText"/>
      </w:pPr>
      <w:r>
        <w:rPr>
          <w:rFonts w:ascii="Amiri" w:hAnsi="Amiri" w:eastAsia="Amiri" w:cs="Amiri"/>
          <w:lang w:bidi="ar-SA"/>
          <w:color w:val="111111"/>
          <w:sz w:val="28"/>
          <w:szCs w:val="28"/>
          <w:rtl/>
        </w:rPr>
        <w:t xml:space="preserve">ابراهيم قاضي قاضي ، ابراهيم</w:t>
      </w:r>
    </w:p>
    <w:p>
      <w:pPr>
        <w:pStyle w:val="BookText"/>
      </w:pPr>
      <w:r>
        <w:rPr>
          <w:rFonts w:ascii="Amiri" w:hAnsi="Amiri" w:eastAsia="Amiri" w:cs="Amiri"/>
          <w:lang w:bidi="ar-SA"/>
          <w:color w:val="111111"/>
          <w:sz w:val="28"/>
          <w:szCs w:val="28"/>
          <w:rtl/>
        </w:rPr>
        <w:t xml:space="preserve">ابراهيم قرماني -آمدي قرماني ، ابراهيم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ابراهيم كرماني -كرماني ، ابراهيم</w:t>
      </w:r>
    </w:p>
    <w:p>
      <w:pPr>
        <w:pStyle w:val="BookText"/>
      </w:pPr>
      <w:r>
        <w:rPr>
          <w:rFonts w:ascii="Amiri" w:hAnsi="Amiri" w:eastAsia="Amiri" w:cs="Amiri"/>
          <w:lang w:bidi="ar-SA"/>
          <w:color w:val="111111"/>
          <w:sz w:val="28"/>
          <w:szCs w:val="28"/>
          <w:rtl/>
        </w:rPr>
        <w:t xml:space="preserve">ابراهيم لويزاني - لويزاني ، ابراهيم</w:t>
      </w:r>
    </w:p>
    <w:p>
      <w:pPr>
        <w:pStyle w:val="BookText"/>
      </w:pPr>
      <w:r>
        <w:rPr>
          <w:rFonts w:ascii="Amiri" w:hAnsi="Amiri" w:eastAsia="Amiri" w:cs="Amiri"/>
          <w:lang w:bidi="ar-SA"/>
          <w:color w:val="111111"/>
          <w:sz w:val="28"/>
          <w:szCs w:val="28"/>
          <w:rtl/>
        </w:rPr>
        <w:t xml:space="preserve">ابراهيم منطقي حموي ، ابراهيم بن</w:t>
      </w:r>
    </w:p>
    <w:p>
      <w:pPr>
        <w:pStyle w:val="BookText"/>
      </w:pPr>
      <w:r>
        <w:rPr>
          <w:rFonts w:ascii="IRNazanin" w:hAnsi="IRNazanin" w:eastAsia="IRNazanin" w:cs="IRNazanin"/>
          <w:lang w:bidi="fa-IR"/>
          <w:color w:val="111111"/>
          <w:sz w:val="28"/>
          <w:szCs w:val="28"/>
          <w:rtl/>
        </w:rPr>
        <w:t xml:space="preserve">سلیمان ابراهيم نايب الصدر مدرس مشهدي ،</w:t>
      </w:r>
    </w:p>
    <w:p>
      <w:pPr>
        <w:pStyle w:val="BookText"/>
      </w:pPr>
      <w:r>
        <w:rPr>
          <w:rFonts w:ascii="IRNazanin" w:hAnsi="IRNazanin" w:eastAsia="IRNazanin" w:cs="IRNazanin"/>
          <w:lang w:bidi="fa-IR"/>
          <w:color w:val="111111"/>
          <w:sz w:val="28"/>
          <w:szCs w:val="28"/>
          <w:rtl/>
        </w:rPr>
        <w:t xml:space="preserve">محمّد ابراهيم بن محمّد نصیر</w:t>
      </w:r>
    </w:p>
    <w:p>
      <w:pPr>
        <w:pStyle w:val="BookText"/>
      </w:pPr>
      <w:r>
        <w:rPr>
          <w:rFonts w:ascii="Amiri" w:hAnsi="Amiri" w:eastAsia="Amiri" w:cs="Amiri"/>
          <w:lang w:bidi="ar-SA"/>
          <w:color w:val="111111"/>
          <w:sz w:val="28"/>
          <w:szCs w:val="28"/>
          <w:rtl/>
        </w:rPr>
        <w:t xml:space="preserve">ابراهيم نقشبندي -نقشبندي ، ابراهيم</w:t>
      </w:r>
    </w:p>
    <w:p>
      <w:pPr>
        <w:pStyle w:val="BookText"/>
      </w:pPr>
      <w:r>
        <w:rPr>
          <w:rFonts w:ascii="Amiri" w:hAnsi="Amiri" w:eastAsia="Amiri" w:cs="Amiri"/>
          <w:lang w:bidi="ar-SA"/>
          <w:color w:val="111111"/>
          <w:sz w:val="28"/>
          <w:szCs w:val="28"/>
          <w:rtl/>
        </w:rPr>
        <w:t xml:space="preserve">ابراهيم واعظ -واعظ ، ابراهيم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7742_69384"/>
    <w:bookmarkEnd w:id="26"/>
    <w:p>
      <w:pPr>
        <w:pStyle w:val="BookText"/>
      </w:pPr>
      <w:r>
        <w:rPr>
          <w:rFonts w:ascii="Amiri" w:hAnsi="Amiri" w:eastAsia="Amiri" w:cs="Amiri"/>
          <w:lang w:bidi="ar-SA"/>
          <w:color w:val="111111"/>
          <w:sz w:val="28"/>
          <w:szCs w:val="28"/>
          <w:rtl/>
        </w:rPr>
        <w:t xml:space="preserve">ابراهيم هجر بن عمر العمار- هجر ،</w:t>
      </w:r>
    </w:p>
    <w:p>
      <w:pPr>
        <w:pStyle w:val="BookText"/>
      </w:pPr>
      <w:r>
        <w:rPr>
          <w:rFonts w:ascii="Amiri" w:hAnsi="Amiri" w:eastAsia="Amiri" w:cs="Amiri"/>
          <w:lang w:bidi="ar-SA"/>
          <w:color w:val="111111"/>
          <w:sz w:val="28"/>
          <w:szCs w:val="28"/>
          <w:rtl/>
        </w:rPr>
        <w:t xml:space="preserve">ابراهيم بن عمر</w:t>
      </w:r>
    </w:p>
    <w:p>
      <w:pPr>
        <w:pStyle w:val="BookText"/>
      </w:pPr>
      <w:r>
        <w:rPr>
          <w:rFonts w:ascii="Amiri" w:hAnsi="Amiri" w:eastAsia="Amiri" w:cs="Amiri"/>
          <w:lang w:bidi="ar-SA"/>
          <w:color w:val="111111"/>
          <w:sz w:val="28"/>
          <w:szCs w:val="28"/>
          <w:rtl/>
        </w:rPr>
        <w:t xml:space="preserve">ابراهيم هندي صنعاني- هندي صنعاني</w:t>
      </w:r>
    </w:p>
    <w:p>
      <w:pPr>
        <w:pStyle w:val="BookText"/>
      </w:pPr>
      <w:r>
        <w:rPr>
          <w:rFonts w:ascii="Amiri" w:hAnsi="Amiri" w:eastAsia="Amiri" w:cs="Amiri"/>
          <w:lang w:bidi="ar-SA"/>
          <w:color w:val="111111"/>
          <w:sz w:val="28"/>
          <w:szCs w:val="28"/>
          <w:rtl/>
        </w:rPr>
        <w:t xml:space="preserve">ابراهيم بن صالح</w:t>
      </w:r>
    </w:p>
    <w:p>
      <w:pPr>
        <w:pStyle w:val="BookText"/>
      </w:pPr>
      <w:r>
        <w:rPr>
          <w:rFonts w:ascii="Amiri" w:hAnsi="Amiri" w:eastAsia="Amiri" w:cs="Amiri"/>
          <w:lang w:bidi="ar-SA"/>
          <w:color w:val="111111"/>
          <w:sz w:val="28"/>
          <w:szCs w:val="28"/>
          <w:rtl/>
        </w:rPr>
        <w:t xml:space="preserve">ابراهيم يزدي -يزدي ، ابراهيم</w:t>
      </w:r>
    </w:p>
    <w:p>
      <w:pPr>
        <w:pStyle w:val="BookText"/>
      </w:pPr>
      <w:r>
        <w:rPr>
          <w:rFonts w:ascii="Amiri" w:hAnsi="Amiri" w:eastAsia="Amiri" w:cs="Amiri"/>
          <w:lang w:bidi="ar-SA"/>
          <w:color w:val="111111"/>
          <w:sz w:val="28"/>
          <w:szCs w:val="28"/>
          <w:rtl/>
        </w:rPr>
        <w:t xml:space="preserve">ابراهيم يماني- يماني ، ابراهيم</w:t>
      </w:r>
    </w:p>
    <w:p>
      <w:pPr>
        <w:pStyle w:val="BookText"/>
      </w:pPr>
      <w:r>
        <w:rPr>
          <w:rFonts w:ascii="Amiri" w:hAnsi="Amiri" w:eastAsia="Amiri" w:cs="Amiri"/>
          <w:lang w:bidi="ar-SA"/>
          <w:color w:val="111111"/>
          <w:sz w:val="28"/>
          <w:szCs w:val="28"/>
          <w:rtl/>
        </w:rPr>
        <w:t xml:space="preserve">ابراهيمي عيوني ، محمّد بن مقرب- ابن</w:t>
      </w:r>
    </w:p>
    <w:p>
      <w:pPr>
        <w:pStyle w:val="BookText"/>
      </w:pPr>
      <w:r>
        <w:rPr>
          <w:rFonts w:ascii="Amiri" w:hAnsi="Amiri" w:eastAsia="Amiri" w:cs="Amiri"/>
          <w:lang w:bidi="ar-SA"/>
          <w:color w:val="111111"/>
          <w:sz w:val="28"/>
          <w:szCs w:val="28"/>
          <w:rtl/>
        </w:rPr>
        <w:t xml:space="preserve">مقرب ، علي بن مقرب</w:t>
      </w:r>
    </w:p>
    <w:p>
      <w:pPr>
        <w:pStyle w:val="BookText"/>
      </w:pPr>
      <w:r>
        <w:rPr>
          <w:rFonts w:ascii="Amiri" w:hAnsi="Amiri" w:eastAsia="Amiri" w:cs="Amiri"/>
          <w:lang w:bidi="ar-SA"/>
          <w:color w:val="111111"/>
          <w:sz w:val="28"/>
          <w:szCs w:val="28"/>
          <w:rtl/>
        </w:rPr>
        <w:t xml:space="preserve">ابرزي، مفرج بن ابي الحسن -برزي ،</w:t>
      </w:r>
    </w:p>
    <w:p>
      <w:pPr>
        <w:pStyle w:val="BookText"/>
      </w:pPr>
      <w:r>
        <w:rPr>
          <w:rFonts w:ascii="Amiri" w:hAnsi="Amiri" w:eastAsia="Amiri" w:cs="Amiri"/>
          <w:lang w:bidi="ar-SA"/>
          <w:color w:val="111111"/>
          <w:sz w:val="28"/>
          <w:szCs w:val="28"/>
          <w:rtl/>
        </w:rPr>
        <w:t xml:space="preserve">مفرج بن ابي مفرج</w:t>
      </w:r>
    </w:p>
    <w:p>
      <w:pPr>
        <w:pStyle w:val="Heading2"/>
      </w:pPr>
      <w:bookmarkStart w:id="1019" w:name="_Toc121"/>
      <w:r>
        <w:t>ابرقوهي ، احمد بن اسحاق ، قرن 7 ه-</w:t>
      </w:r>
      <w:bookmarkEnd w:id="1019"/>
    </w:p>
    <w:p>
      <w:pPr>
        <w:pStyle w:val="BookText"/>
      </w:pPr>
      <w:r>
        <w:rPr>
          <w:rFonts w:ascii="Amiri" w:hAnsi="Amiri" w:eastAsia="Amiri" w:cs="Amiri"/>
          <w:lang w:bidi="ar-SA"/>
          <w:color w:val="111111"/>
          <w:sz w:val="28"/>
          <w:szCs w:val="28"/>
          <w:rtl/>
        </w:rPr>
        <w:t xml:space="preserve">معجم الأبرقوهي، ج 15، ص 11.</w:t>
      </w:r>
    </w:p>
    <w:p>
      <w:pPr>
        <w:pStyle w:val="Heading2"/>
      </w:pPr>
      <w:bookmarkStart w:id="1020" w:name="_Toc122"/>
      <w:r>
        <w:t>ابرقوهي ، حيدر علي 1288 - 1355 ه-</w:t>
      </w:r>
      <w:bookmarkEnd w:id="1020"/>
    </w:p>
    <w:p>
      <w:pPr>
        <w:pStyle w:val="BookText"/>
      </w:pPr>
      <w:r>
        <w:rPr>
          <w:rFonts w:ascii="IRNazanin" w:hAnsi="IRNazanin" w:eastAsia="IRNazanin" w:cs="IRNazanin"/>
          <w:lang w:bidi="fa-IR"/>
          <w:color w:val="111111"/>
          <w:sz w:val="28"/>
          <w:szCs w:val="28"/>
          <w:rtl/>
        </w:rPr>
        <w:t xml:space="preserve">دیوان كمالي، ج 7، ص 743 .</w:t>
      </w:r>
    </w:p>
    <w:p>
      <w:pPr>
        <w:pStyle w:val="Heading2"/>
      </w:pPr>
      <w:bookmarkStart w:id="1021" w:name="_Toc123"/>
      <w:r>
        <w:t>ابرقوهي ، شهاب الدين</w:t>
      </w:r>
      <w:bookmarkEnd w:id="1021"/>
    </w:p>
    <w:p>
      <w:pPr>
        <w:pStyle w:val="BookText"/>
      </w:pPr>
      <w:r>
        <w:rPr>
          <w:rFonts w:ascii="Amiri" w:hAnsi="Amiri" w:eastAsia="Amiri" w:cs="Amiri"/>
          <w:lang w:bidi="ar-SA"/>
          <w:color w:val="111111"/>
          <w:sz w:val="28"/>
          <w:szCs w:val="28"/>
          <w:rtl/>
        </w:rPr>
        <w:t xml:space="preserve">معجم شيوخ، ج 15، ص 15.</w:t>
      </w:r>
    </w:p>
    <w:p>
      <w:pPr>
        <w:pStyle w:val="Heading2"/>
      </w:pPr>
      <w:bookmarkStart w:id="1022" w:name="_Toc124"/>
      <w:r>
        <w:t>ابرقوهي ، محمّد بن اسحاق قرن 8 ه-</w:t>
      </w:r>
      <w:bookmarkEnd w:id="1022"/>
    </w:p>
    <w:p>
      <w:pPr>
        <w:pStyle w:val="BookText"/>
      </w:pPr>
      <w:r>
        <w:rPr>
          <w:rFonts w:ascii="Amiri" w:hAnsi="Amiri" w:eastAsia="Amiri" w:cs="Amiri"/>
          <w:lang w:bidi="ar-SA"/>
          <w:color w:val="111111"/>
          <w:sz w:val="28"/>
          <w:szCs w:val="28"/>
          <w:rtl/>
        </w:rPr>
        <w:t xml:space="preserve">التذكرة المفيدة (مختصر) = تلخيص</w:t>
      </w:r>
    </w:p>
    <w:p>
      <w:pPr>
        <w:pStyle w:val="BookText"/>
      </w:pPr>
      <w:r>
        <w:rPr>
          <w:rFonts w:ascii="Amiri" w:hAnsi="Amiri" w:eastAsia="Amiri" w:cs="Amiri"/>
          <w:lang w:bidi="ar-SA"/>
          <w:color w:val="111111"/>
          <w:sz w:val="28"/>
          <w:szCs w:val="28"/>
          <w:rtl/>
        </w:rPr>
        <w:t xml:space="preserve">التذكرة، ج4، ص 212.</w:t>
      </w:r>
    </w:p>
    <w:p>
      <w:pPr>
        <w:pStyle w:val="Heading2"/>
      </w:pPr>
      <w:bookmarkStart w:id="1023" w:name="_Toc125"/>
      <w:r>
        <w:t>ابرهي ، محمّد بن عبدالله</w:t>
      </w:r>
      <w:bookmarkEnd w:id="1023"/>
    </w:p>
    <w:p>
      <w:pPr>
        <w:pStyle w:val="BookText"/>
      </w:pPr>
      <w:r>
        <w:rPr>
          <w:rFonts w:ascii="Amiri" w:hAnsi="Amiri" w:eastAsia="Amiri" w:cs="Amiri"/>
          <w:lang w:bidi="ar-SA"/>
          <w:color w:val="111111"/>
          <w:sz w:val="28"/>
          <w:szCs w:val="28"/>
          <w:rtl/>
        </w:rPr>
        <w:t xml:space="preserve">تفسير القرآن الكريم، ج4، ص 671.</w:t>
      </w:r>
    </w:p>
    <w:p>
      <w:pPr>
        <w:pStyle w:val="BookText"/>
      </w:pPr>
      <w:r>
        <w:rPr>
          <w:rFonts w:ascii="Amiri" w:hAnsi="Amiri" w:eastAsia="Amiri" w:cs="Amiri"/>
          <w:lang w:bidi="ar-SA"/>
          <w:color w:val="111111"/>
          <w:sz w:val="28"/>
          <w:szCs w:val="28"/>
          <w:rtl/>
        </w:rPr>
        <w:t xml:space="preserve">ابزري ، اسعد بن نصر فالي ، اسعد بن نصر-</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ابزري ، علي بن محمّد -متطبب ابزري ،</w:t>
      </w:r>
    </w:p>
    <w:p>
      <w:pPr>
        <w:pStyle w:val="BookText"/>
      </w:pPr>
      <w:r>
        <w:rPr>
          <w:rFonts w:ascii="Amiri" w:hAnsi="Amiri" w:eastAsia="Amiri" w:cs="Amiri"/>
          <w:lang w:bidi="ar-SA"/>
          <w:color w:val="111111"/>
          <w:sz w:val="28"/>
          <w:szCs w:val="28"/>
          <w:rtl/>
        </w:rPr>
        <w:t xml:space="preserve">ابزري ، عميد الملك اسعد بن نصر -فالي ، اسعد بن نصر</w:t>
      </w:r>
    </w:p>
    <w:p>
      <w:pPr>
        <w:pStyle w:val="Heading2"/>
      </w:pPr>
      <w:bookmarkStart w:id="1024" w:name="_Toc126"/>
      <w:r>
        <w:t>ابزاري ، محمّد بن زيد - 377 ه-</w:t>
      </w:r>
      <w:bookmarkEnd w:id="1024"/>
    </w:p>
    <w:p>
      <w:pPr>
        <w:pStyle w:val="BookText"/>
      </w:pPr>
      <w:r>
        <w:rPr>
          <w:rFonts w:ascii="Amiri" w:hAnsi="Amiri" w:eastAsia="Amiri" w:cs="Amiri"/>
          <w:lang w:bidi="ar-SA"/>
          <w:color w:val="111111"/>
          <w:sz w:val="28"/>
          <w:szCs w:val="28"/>
          <w:rtl/>
        </w:rPr>
        <w:t xml:space="preserve">الأزل في حلل الغزل، ج 2، ص 63.</w:t>
      </w:r>
    </w:p>
    <w:p>
      <w:pPr>
        <w:pStyle w:val="Heading2"/>
      </w:pPr>
      <w:bookmarkStart w:id="1025" w:name="_Toc127"/>
      <w:r>
        <w:t>ابشيهي ، محمّد بن احمد 790-850 ه-</w:t>
      </w:r>
      <w:bookmarkEnd w:id="1025"/>
    </w:p>
    <w:p>
      <w:pPr>
        <w:pStyle w:val="BookText"/>
      </w:pPr>
      <w:r>
        <w:rPr>
          <w:rFonts w:ascii="Amiri" w:hAnsi="Amiri" w:eastAsia="Amiri" w:cs="Amiri"/>
          <w:lang w:bidi="ar-SA"/>
          <w:color w:val="111111"/>
          <w:sz w:val="28"/>
          <w:szCs w:val="28"/>
          <w:rtl/>
        </w:rPr>
        <w:t xml:space="preserve">المستطرف من كل فن مستظرف</w:t>
      </w:r>
    </w:p>
    <w:p>
      <w:pPr>
        <w:pStyle w:val="BookText"/>
      </w:pPr>
      <w:r>
        <w:rPr>
          <w:rFonts w:ascii="IRNazanin" w:hAnsi="IRNazanin" w:eastAsia="IRNazanin" w:cs="IRNazanin"/>
          <w:lang w:bidi="fa-IR"/>
          <w:color w:val="111111"/>
          <w:sz w:val="28"/>
          <w:szCs w:val="28"/>
          <w:rtl/>
        </w:rPr>
        <w:t xml:space="preserve">ج 14، ص 559.</w:t>
      </w:r>
    </w:p>
    <w:p>
      <w:pPr>
        <w:pStyle w:val="Heading2"/>
      </w:pPr>
      <w:bookmarkStart w:id="1026" w:name="_Toc128"/>
      <w:r>
        <w:t>ابکاریوس اسکندر بن يعقوب -1303 م</w:t>
      </w:r>
      <w:bookmarkEnd w:id="1026"/>
    </w:p>
    <w:p>
      <w:pPr>
        <w:pStyle w:val="BookText"/>
      </w:pPr>
      <w:r>
        <w:rPr>
          <w:rFonts w:ascii="Amiri" w:hAnsi="Amiri" w:eastAsia="Amiri" w:cs="Amiri"/>
          <w:lang w:bidi="ar-SA"/>
          <w:color w:val="111111"/>
          <w:sz w:val="28"/>
          <w:szCs w:val="28"/>
          <w:rtl/>
        </w:rPr>
        <w:t xml:space="preserve">نهاية الارب في اخبار العرب، ج 16،</w:t>
      </w:r>
    </w:p>
    <w:p>
      <w:pPr>
        <w:pStyle w:val="BookText"/>
      </w:pPr>
      <w:r>
        <w:rPr>
          <w:rFonts w:ascii="IRNazanin" w:hAnsi="IRNazanin" w:eastAsia="IRNazanin" w:cs="IRNazanin"/>
          <w:lang w:bidi="fa-IR"/>
          <w:color w:val="111111"/>
          <w:sz w:val="28"/>
          <w:szCs w:val="28"/>
          <w:rtl/>
        </w:rPr>
        <w:t xml:space="preserve">ص 483.</w:t>
      </w:r>
    </w:p>
    <w:p>
      <w:pPr>
        <w:pStyle w:val="Heading2"/>
      </w:pPr>
      <w:bookmarkStart w:id="1027" w:name="_Toc129"/>
      <w:r>
        <w:t>ابله بغدادي، محمّد بن بختیار - 579؟ه-</w:t>
      </w:r>
      <w:bookmarkEnd w:id="1027"/>
    </w:p>
    <w:p>
      <w:pPr>
        <w:pStyle w:val="BookText"/>
      </w:pPr>
      <w:r>
        <w:rPr>
          <w:rFonts w:ascii="IRNazanin" w:hAnsi="IRNazanin" w:eastAsia="IRNazanin" w:cs="IRNazanin"/>
          <w:lang w:bidi="fa-IR"/>
          <w:color w:val="111111"/>
          <w:sz w:val="28"/>
          <w:szCs w:val="28"/>
          <w:rtl/>
        </w:rPr>
        <w:t xml:space="preserve">دیوان ابله، ج 7، ص 511</w:t>
      </w:r>
    </w:p>
    <w:p>
      <w:pPr>
        <w:pStyle w:val="Heading2"/>
      </w:pPr>
      <w:bookmarkStart w:id="1028" w:name="_Toc130"/>
      <w:r>
        <w:t>ابلونيوس نجار - 250 ق م</w:t>
      </w:r>
      <w:bookmarkEnd w:id="10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 ج 8، ص 749.</w:t>
      </w:r>
    </w:p>
    <w:p>
      <w:pPr>
        <w:pStyle w:val="BookText"/>
      </w:pPr>
      <w:r>
        <w:rPr>
          <w:rFonts w:ascii="IRNazanin" w:hAnsi="IRNazanin" w:eastAsia="IRNazanin" w:cs="IRNazanin"/>
          <w:lang w:bidi="fa-IR"/>
          <w:color w:val="111111"/>
          <w:sz w:val="28"/>
          <w:szCs w:val="28"/>
          <w:rtl/>
        </w:rPr>
        <w:t xml:space="preserve">2 .مخروطات، ج 14 ، ص287.</w:t>
      </w:r>
    </w:p>
    <w:p>
      <w:pPr>
        <w:pStyle w:val="Heading2"/>
      </w:pPr>
      <w:bookmarkStart w:id="1029" w:name="_Toc131"/>
      <w:r>
        <w:t>ابن آجروم محمّد بن محمّد، 672-723ه-</w:t>
      </w:r>
      <w:bookmarkEnd w:id="1029"/>
    </w:p>
    <w:p>
      <w:pPr>
        <w:pStyle w:val="BookText"/>
      </w:pPr>
      <w:r>
        <w:rPr>
          <w:rFonts w:ascii="Amiri" w:hAnsi="Amiri" w:eastAsia="Amiri" w:cs="Amiri"/>
          <w:lang w:bidi="ar-SA"/>
          <w:color w:val="111111"/>
          <w:sz w:val="28"/>
          <w:szCs w:val="28"/>
          <w:rtl/>
        </w:rPr>
        <w:t xml:space="preserve">الآجرومية = مقدمة الآجرومية، ج 1،</w:t>
      </w:r>
    </w:p>
    <w:p>
      <w:pPr>
        <w:pStyle w:val="BookText"/>
      </w:pPr>
      <w:r>
        <w:rPr>
          <w:rFonts w:ascii="IRNazanin" w:hAnsi="IRNazanin" w:eastAsia="IRNazanin" w:cs="IRNazanin"/>
          <w:lang w:bidi="fa-IR"/>
          <w:color w:val="111111"/>
          <w:sz w:val="28"/>
          <w:szCs w:val="28"/>
          <w:rtl/>
        </w:rPr>
        <w:t xml:space="preserve">ص 10.</w:t>
      </w:r>
    </w:p>
    <w:p>
      <w:pPr>
        <w:pStyle w:val="Heading2"/>
      </w:pPr>
      <w:bookmarkStart w:id="1030" w:name="_Toc132"/>
      <w:r>
        <w:t>ابن آدم ، احمد بن محمّد، قرن 13 ه-</w:t>
      </w:r>
      <w:bookmarkEnd w:id="1030"/>
    </w:p>
    <w:p>
      <w:pPr>
        <w:pStyle w:val="BookText"/>
      </w:pPr>
      <w:r>
        <w:rPr>
          <w:rFonts w:ascii="Amiri" w:hAnsi="Amiri" w:eastAsia="Amiri" w:cs="Amiri"/>
          <w:lang w:bidi="ar-SA"/>
          <w:color w:val="111111"/>
          <w:sz w:val="28"/>
          <w:szCs w:val="28"/>
          <w:rtl/>
        </w:rPr>
        <w:t xml:space="preserve">1 .البحر الجمان في بيان معضلات</w:t>
      </w:r>
    </w:p>
    <w:p>
      <w:pPr>
        <w:pStyle w:val="BookText"/>
      </w:pPr>
      <w:r>
        <w:rPr>
          <w:rFonts w:ascii="IRNazanin" w:hAnsi="IRNazanin" w:eastAsia="IRNazanin" w:cs="IRNazanin"/>
          <w:lang w:bidi="fa-IR"/>
          <w:color w:val="111111"/>
          <w:sz w:val="28"/>
          <w:szCs w:val="28"/>
          <w:rtl/>
        </w:rPr>
        <w:t xml:space="preserve">القرآن، ج 3، ص 209.</w:t>
      </w:r>
    </w:p>
    <w:p>
      <w:pPr>
        <w:pStyle w:val="BookText"/>
      </w:pPr>
      <w:r>
        <w:rPr>
          <w:rFonts w:ascii="IRNazanin" w:hAnsi="IRNazanin" w:eastAsia="IRNazanin" w:cs="IRNazanin"/>
          <w:lang w:bidi="fa-IR"/>
          <w:color w:val="111111"/>
          <w:sz w:val="28"/>
          <w:szCs w:val="28"/>
          <w:rtl/>
        </w:rPr>
        <w:t xml:space="preserve">2 .الناسخ والمنسوخ، ج 16، ص 90.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7742_69386"/>
    <w:bookmarkEnd w:id="27"/>
    <w:p>
      <w:pPr>
        <w:pStyle w:val="Heading2"/>
      </w:pPr>
      <w:bookmarkStart w:id="1031" w:name="_Toc133"/>
      <w:r>
        <w:t>ابن آق شمس الدین ، حمدالله بن محمّد،</w:t>
      </w:r>
      <w:bookmarkEnd w:id="10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909ه-</w:t>
      </w:r>
    </w:p>
    <w:p>
      <w:pPr>
        <w:pStyle w:val="BookText"/>
      </w:pPr>
      <w:r>
        <w:rPr>
          <w:rFonts w:ascii="IRNazanin" w:hAnsi="IRNazanin" w:eastAsia="IRNazanin" w:cs="IRNazanin"/>
          <w:lang w:bidi="fa-IR"/>
          <w:color w:val="111111"/>
          <w:sz w:val="28"/>
          <w:szCs w:val="28"/>
          <w:rtl/>
        </w:rPr>
        <w:t xml:space="preserve">یوسف و زلیخا ج 16 ، ص 909.</w:t>
      </w:r>
    </w:p>
    <w:p>
      <w:pPr>
        <w:pStyle w:val="BookText"/>
      </w:pPr>
      <w:r>
        <w:rPr>
          <w:rFonts w:ascii="Amiri" w:hAnsi="Amiri" w:eastAsia="Amiri" w:cs="Amiri"/>
          <w:lang w:bidi="ar-SA"/>
          <w:color w:val="111111"/>
          <w:sz w:val="28"/>
          <w:szCs w:val="28"/>
          <w:rtl/>
        </w:rPr>
        <w:t xml:space="preserve">ابن آلوسي ، عبد الحميد بن عبدالله آلوسي</w:t>
      </w:r>
    </w:p>
    <w:p>
      <w:pPr>
        <w:pStyle w:val="BookText"/>
      </w:pPr>
      <w:r>
        <w:rPr>
          <w:rFonts w:ascii="Amiri" w:hAnsi="Amiri" w:eastAsia="Amiri" w:cs="Amiri"/>
          <w:lang w:bidi="ar-SA"/>
          <w:color w:val="111111"/>
          <w:sz w:val="28"/>
          <w:szCs w:val="28"/>
          <w:rtl/>
        </w:rPr>
        <w:t xml:space="preserve">، عبدالحميد بن عبدالله</w:t>
      </w:r>
    </w:p>
    <w:p>
      <w:pPr>
        <w:pStyle w:val="Heading2"/>
      </w:pPr>
      <w:bookmarkStart w:id="1032" w:name="_Toc134"/>
      <w:r>
        <w:t>ابن ابار ، سید احمد</w:t>
      </w:r>
      <w:bookmarkEnd w:id="1032"/>
    </w:p>
    <w:p>
      <w:pPr>
        <w:pStyle w:val="BookText"/>
      </w:pPr>
      <w:r>
        <w:rPr>
          <w:rFonts w:ascii="Amiri" w:hAnsi="Amiri" w:eastAsia="Amiri" w:cs="Amiri"/>
          <w:lang w:bidi="ar-SA"/>
          <w:color w:val="111111"/>
          <w:sz w:val="28"/>
          <w:szCs w:val="28"/>
          <w:rtl/>
        </w:rPr>
        <w:t xml:space="preserve">1 .الحساب والمساحة، ج 6، ص 648.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الزواق عن صرف الجامعة</w:t>
      </w:r>
    </w:p>
    <w:p>
      <w:pPr>
        <w:pStyle w:val="BookText"/>
      </w:pPr>
      <w:r>
        <w:rPr>
          <w:rFonts w:ascii="IRNazanin" w:hAnsi="IRNazanin" w:eastAsia="IRNazanin" w:cs="IRNazanin"/>
          <w:lang w:bidi="fa-IR"/>
          <w:color w:val="111111"/>
          <w:sz w:val="28"/>
          <w:szCs w:val="28"/>
          <w:rtl/>
        </w:rPr>
        <w:t xml:space="preserve">للأواق، ج13، ص218.</w:t>
      </w:r>
    </w:p>
    <w:p>
      <w:pPr>
        <w:pStyle w:val="Heading2"/>
      </w:pPr>
      <w:bookmarkStart w:id="1033" w:name="_Toc135"/>
      <w:r>
        <w:t>ابن ابار ، محمّد بن عبد الله، 595-658 ه-</w:t>
      </w:r>
      <w:bookmarkEnd w:id="1033"/>
    </w:p>
    <w:p>
      <w:pPr>
        <w:pStyle w:val="BookText"/>
      </w:pPr>
      <w:r>
        <w:rPr>
          <w:rFonts w:ascii="Amiri" w:hAnsi="Amiri" w:eastAsia="Amiri" w:cs="Amiri"/>
          <w:lang w:bidi="ar-SA"/>
          <w:color w:val="111111"/>
          <w:sz w:val="28"/>
          <w:szCs w:val="28"/>
          <w:rtl/>
        </w:rPr>
        <w:t xml:space="preserve">إعتاب الكتاب، ج 2، ص 495.</w:t>
      </w:r>
    </w:p>
    <w:p>
      <w:pPr>
        <w:pStyle w:val="Heading2"/>
      </w:pPr>
      <w:bookmarkStart w:id="1034" w:name="_Toc136"/>
      <w:r>
        <w:t>ابن ابان ، عیسی بن ابان - 220 ه-</w:t>
      </w:r>
      <w:bookmarkEnd w:id="1034"/>
    </w:p>
    <w:p>
      <w:pPr>
        <w:pStyle w:val="BookText"/>
      </w:pPr>
      <w:r>
        <w:rPr>
          <w:rFonts w:ascii="Amiri" w:hAnsi="Amiri" w:eastAsia="Amiri" w:cs="Amiri"/>
          <w:lang w:bidi="ar-SA"/>
          <w:color w:val="111111"/>
          <w:sz w:val="28"/>
          <w:szCs w:val="28"/>
          <w:rtl/>
        </w:rPr>
        <w:t xml:space="preserve">الحجة الصغيرة، ج 6، ص 484.</w:t>
      </w:r>
    </w:p>
    <w:p>
      <w:pPr>
        <w:pStyle w:val="BookText"/>
      </w:pPr>
      <w:r>
        <w:rPr>
          <w:rFonts w:ascii="IRNazanin" w:hAnsi="IRNazanin" w:eastAsia="IRNazanin" w:cs="IRNazanin"/>
          <w:lang w:bidi="fa-IR"/>
          <w:color w:val="111111"/>
          <w:sz w:val="28"/>
          <w:szCs w:val="28"/>
          <w:rtl/>
        </w:rPr>
        <w:t xml:space="preserve">ابن ابراهیم احمد بن قمر عبدالله- جوهري ، احمد بن محمد</w:t>
      </w:r>
    </w:p>
    <w:p>
      <w:pPr>
        <w:pStyle w:val="Heading2"/>
      </w:pPr>
      <w:bookmarkStart w:id="1035" w:name="_Toc137"/>
      <w:r>
        <w:t>ابن ابي الاشعث احمد بن محمّد، 2360ه-</w:t>
      </w:r>
      <w:bookmarkEnd w:id="1035"/>
    </w:p>
    <w:p>
      <w:pPr>
        <w:pStyle w:val="BookText"/>
      </w:pPr>
      <w:r>
        <w:rPr>
          <w:rFonts w:ascii="Amiri" w:hAnsi="Amiri" w:eastAsia="Amiri" w:cs="Amiri"/>
          <w:lang w:bidi="ar-SA"/>
          <w:color w:val="111111"/>
          <w:sz w:val="28"/>
          <w:szCs w:val="28"/>
          <w:rtl/>
        </w:rPr>
        <w:t xml:space="preserve">الحيوان، ج 6 ، ص 871.</w:t>
      </w:r>
    </w:p>
    <w:p>
      <w:pPr>
        <w:pStyle w:val="Heading2"/>
      </w:pPr>
      <w:bookmarkStart w:id="1036" w:name="_Toc138"/>
      <w:r>
        <w:t>ابن ابي الاصبع ، عبد العظيم بن</w:t>
      </w:r>
      <w:bookmarkEnd w:id="1036"/>
    </w:p>
    <w:p>
      <w:pPr>
        <w:pStyle w:val="BookText"/>
      </w:pPr>
      <w:r>
        <w:rPr>
          <w:rFonts w:ascii="IRNazanin" w:hAnsi="IRNazanin" w:eastAsia="IRNazanin" w:cs="IRNazanin"/>
          <w:lang w:bidi="fa-IR"/>
          <w:color w:val="111111"/>
          <w:sz w:val="28"/>
          <w:szCs w:val="28"/>
          <w:rtl/>
        </w:rPr>
        <w:t xml:space="preserve">عبد الواحد، 589 - 654 ه-</w:t>
      </w:r>
    </w:p>
    <w:p>
      <w:pPr>
        <w:pStyle w:val="BookText"/>
      </w:pPr>
      <w:r>
        <w:rPr>
          <w:rFonts w:ascii="Amiri" w:hAnsi="Amiri" w:eastAsia="Amiri" w:cs="Amiri"/>
          <w:lang w:bidi="ar-SA"/>
          <w:color w:val="111111"/>
          <w:sz w:val="28"/>
          <w:szCs w:val="28"/>
          <w:rtl/>
        </w:rPr>
        <w:t xml:space="preserve">1 .تحرير التحبير في علم البديع، ج 3،</w:t>
      </w:r>
    </w:p>
    <w:p>
      <w:pPr>
        <w:pStyle w:val="BookText"/>
      </w:pPr>
      <w:r>
        <w:rPr>
          <w:rFonts w:ascii="IRNazanin" w:hAnsi="IRNazanin" w:eastAsia="IRNazanin" w:cs="IRNazanin"/>
          <w:lang w:bidi="fa-IR"/>
          <w:color w:val="111111"/>
          <w:sz w:val="28"/>
          <w:szCs w:val="28"/>
          <w:rtl/>
        </w:rPr>
        <w:t xml:space="preserve">ص 735 .</w:t>
      </w:r>
    </w:p>
    <w:p>
      <w:pPr>
        <w:pStyle w:val="BookText"/>
      </w:pPr>
      <w:r>
        <w:rPr>
          <w:rFonts w:ascii="Amiri" w:hAnsi="Amiri" w:eastAsia="Amiri" w:cs="Amiri"/>
          <w:lang w:bidi="ar-SA"/>
          <w:color w:val="111111"/>
          <w:sz w:val="28"/>
          <w:szCs w:val="28"/>
          <w:rtl/>
        </w:rPr>
        <w:t xml:space="preserve">2 .الخواطر السوانح في كشف اسرار</w:t>
      </w:r>
    </w:p>
    <w:p>
      <w:pPr>
        <w:pStyle w:val="BookText"/>
      </w:pPr>
      <w:r>
        <w:rPr>
          <w:rFonts w:ascii="IRNazanin" w:hAnsi="IRNazanin" w:eastAsia="IRNazanin" w:cs="IRNazanin"/>
          <w:lang w:bidi="fa-IR"/>
          <w:color w:val="111111"/>
          <w:sz w:val="28"/>
          <w:szCs w:val="28"/>
          <w:rtl/>
        </w:rPr>
        <w:t xml:space="preserve">الفواتح، ج 7، ص 184.</w:t>
      </w:r>
    </w:p>
    <w:p>
      <w:pPr>
        <w:pStyle w:val="Heading2"/>
      </w:pPr>
      <w:bookmarkStart w:id="1037" w:name="_Toc139"/>
      <w:r>
        <w:t>ابن ابي اصيبعه ، احمد بن قاسم 600 -</w:t>
      </w:r>
      <w:bookmarkEnd w:id="1037"/>
    </w:p>
    <w:p>
      <w:pPr>
        <w:pStyle w:val="BookText"/>
      </w:pPr>
      <w:r>
        <w:rPr>
          <w:rFonts w:ascii="IRNazanin" w:hAnsi="IRNazanin" w:eastAsia="IRNazanin" w:cs="IRNazanin"/>
          <w:lang w:bidi="fa-IR"/>
          <w:color w:val="111111"/>
          <w:sz w:val="28"/>
          <w:szCs w:val="28"/>
          <w:rtl/>
        </w:rPr>
        <w:t xml:space="preserve">668 ه-</w:t>
      </w:r>
    </w:p>
    <w:p>
      <w:pPr>
        <w:pStyle w:val="BookText"/>
      </w:pPr>
      <w:r>
        <w:rPr>
          <w:rFonts w:ascii="Amiri" w:hAnsi="Amiri" w:eastAsia="Amiri" w:cs="Amiri"/>
          <w:lang w:bidi="ar-SA"/>
          <w:color w:val="111111"/>
          <w:sz w:val="28"/>
          <w:szCs w:val="28"/>
          <w:rtl/>
        </w:rPr>
        <w:t xml:space="preserve">عيون الانباء في طبقات الاطباء، ج11،</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Amiri" w:hAnsi="Amiri" w:eastAsia="Amiri" w:cs="Amiri"/>
          <w:lang w:bidi="ar-SA"/>
          <w:color w:val="111111"/>
          <w:sz w:val="28"/>
          <w:szCs w:val="28"/>
          <w:rtl/>
        </w:rPr>
        <w:t xml:space="preserve">ابن ابي اصيبعه ، رشيد الدين ابوالحسن- ابن ابي اصيبعه ، علي بن خليفه</w:t>
      </w:r>
    </w:p>
    <w:p>
      <w:pPr>
        <w:pStyle w:val="Heading2"/>
      </w:pPr>
      <w:bookmarkStart w:id="1038" w:name="_Toc140"/>
      <w:r>
        <w:t>ابن ابي اصيبعه ، علي بن خليفه، 579 -</w:t>
      </w:r>
      <w:bookmarkEnd w:id="1038"/>
    </w:p>
    <w:p>
      <w:pPr>
        <w:pStyle w:val="BookText"/>
      </w:pPr>
      <w:r>
        <w:rPr>
          <w:rFonts w:ascii="IRNazanin" w:hAnsi="IRNazanin" w:eastAsia="IRNazanin" w:cs="IRNazanin"/>
          <w:lang w:bidi="fa-IR"/>
          <w:color w:val="111111"/>
          <w:sz w:val="28"/>
          <w:szCs w:val="28"/>
          <w:rtl/>
        </w:rPr>
        <w:t xml:space="preserve">616 ه-</w:t>
      </w:r>
    </w:p>
    <w:p>
      <w:pPr>
        <w:pStyle w:val="BookText"/>
      </w:pPr>
      <w:r>
        <w:rPr>
          <w:rFonts w:ascii="Amiri" w:hAnsi="Amiri" w:eastAsia="Amiri" w:cs="Amiri"/>
          <w:lang w:bidi="ar-SA"/>
          <w:color w:val="111111"/>
          <w:sz w:val="28"/>
          <w:szCs w:val="28"/>
          <w:rtl/>
        </w:rPr>
        <w:t xml:space="preserve">ترجمة علاء الدين علي بن أبي الحزم</w:t>
      </w:r>
    </w:p>
    <w:p>
      <w:pPr>
        <w:pStyle w:val="BookText"/>
      </w:pPr>
      <w:r>
        <w:rPr>
          <w:rFonts w:ascii="Amiri" w:hAnsi="Amiri" w:eastAsia="Amiri" w:cs="Amiri"/>
          <w:lang w:bidi="ar-SA"/>
          <w:color w:val="111111"/>
          <w:sz w:val="28"/>
          <w:szCs w:val="28"/>
          <w:rtl/>
        </w:rPr>
        <w:t xml:space="preserve">القرشي، ج4، ص289.</w:t>
      </w:r>
    </w:p>
    <w:p>
      <w:pPr>
        <w:pStyle w:val="Heading2"/>
      </w:pPr>
      <w:bookmarkStart w:id="1039" w:name="_Toc141"/>
      <w:r>
        <w:t>ابن ابي اياس آدم بن ابي اياس - 220 ه-</w:t>
      </w:r>
      <w:bookmarkEnd w:id="1039"/>
    </w:p>
    <w:p>
      <w:pPr>
        <w:pStyle w:val="BookText"/>
      </w:pPr>
      <w:r>
        <w:rPr>
          <w:rFonts w:ascii="IRNazanin" w:hAnsi="IRNazanin" w:eastAsia="IRNazanin" w:cs="IRNazanin"/>
          <w:lang w:bidi="fa-IR"/>
          <w:color w:val="111111"/>
          <w:sz w:val="28"/>
          <w:szCs w:val="28"/>
          <w:rtl/>
        </w:rPr>
        <w:t xml:space="preserve">احادیث، ج1، ص387.</w:t>
      </w:r>
    </w:p>
    <w:p>
      <w:pPr>
        <w:pStyle w:val="BookText"/>
      </w:pPr>
      <w:r>
        <w:rPr>
          <w:rFonts w:ascii="Amiri" w:hAnsi="Amiri" w:eastAsia="Amiri" w:cs="Amiri"/>
          <w:lang w:bidi="ar-SA"/>
          <w:color w:val="111111"/>
          <w:sz w:val="28"/>
          <w:szCs w:val="28"/>
          <w:rtl/>
        </w:rPr>
        <w:t xml:space="preserve">ابن ابي البشائر ، علي بن</w:t>
      </w:r>
    </w:p>
    <w:p>
      <w:pPr>
        <w:pStyle w:val="BookText"/>
      </w:pPr>
      <w:r>
        <w:rPr>
          <w:rFonts w:ascii="Amiri" w:hAnsi="Amiri" w:eastAsia="Amiri" w:cs="Amiri"/>
          <w:lang w:bidi="ar-SA"/>
          <w:color w:val="111111"/>
          <w:sz w:val="28"/>
          <w:szCs w:val="28"/>
          <w:rtl/>
        </w:rPr>
        <w:t xml:space="preserve">عبد الرحمن- كاتب صقلي ، علي بن عبد الرحمن</w:t>
      </w:r>
    </w:p>
    <w:p>
      <w:pPr>
        <w:pStyle w:val="BookText"/>
      </w:pPr>
      <w:r>
        <w:rPr>
          <w:rFonts w:ascii="Amiri" w:hAnsi="Amiri" w:eastAsia="Amiri" w:cs="Amiri"/>
          <w:lang w:bidi="ar-SA"/>
          <w:color w:val="111111"/>
          <w:sz w:val="28"/>
          <w:szCs w:val="28"/>
          <w:rtl/>
        </w:rPr>
        <w:t xml:space="preserve">ابن ابي البشر ، علي بن اسماعيل - اشعري ،</w:t>
      </w:r>
    </w:p>
    <w:p>
      <w:pPr>
        <w:pStyle w:val="BookText"/>
      </w:pPr>
      <w:r>
        <w:rPr>
          <w:rFonts w:ascii="Amiri" w:hAnsi="Amiri" w:eastAsia="Amiri" w:cs="Amiri"/>
          <w:lang w:bidi="ar-SA"/>
          <w:color w:val="111111"/>
          <w:sz w:val="28"/>
          <w:szCs w:val="28"/>
          <w:rtl/>
        </w:rPr>
        <w:t xml:space="preserve">علي بن اسماعيل</w:t>
      </w:r>
    </w:p>
    <w:p>
      <w:pPr>
        <w:pStyle w:val="BookText"/>
      </w:pPr>
      <w:r>
        <w:rPr>
          <w:rFonts w:ascii="IRNazanin" w:hAnsi="IRNazanin" w:eastAsia="IRNazanin" w:cs="IRNazanin"/>
          <w:lang w:bidi="fa-IR"/>
          <w:color w:val="111111"/>
          <w:sz w:val="28"/>
          <w:szCs w:val="28"/>
          <w:rtl/>
        </w:rPr>
        <w:t xml:space="preserve">ابن ابي پيروال -ابن ابي سروال ، حسين بن</w:t>
      </w:r>
    </w:p>
    <w:p>
      <w:pPr>
        <w:pStyle w:val="BookText"/>
      </w:pPr>
      <w:r>
        <w:rPr>
          <w:rFonts w:ascii="Amiri" w:hAnsi="Amiri" w:eastAsia="Amiri" w:cs="Amiri"/>
          <w:lang w:bidi="ar-SA"/>
          <w:color w:val="111111"/>
          <w:sz w:val="28"/>
          <w:szCs w:val="28"/>
          <w:rtl/>
        </w:rPr>
        <w:t xml:space="preserve">علي</w:t>
      </w:r>
    </w:p>
    <w:p>
      <w:pPr>
        <w:pStyle w:val="Heading2"/>
      </w:pPr>
      <w:bookmarkStart w:id="1040" w:name="_Toc142"/>
      <w:r>
        <w:t>ابن ابي الثلج ، محمّد بن احمد - 325 ه-</w:t>
      </w:r>
      <w:bookmarkEnd w:id="1040"/>
    </w:p>
    <w:p>
      <w:pPr>
        <w:pStyle w:val="BookText"/>
      </w:pPr>
      <w:r>
        <w:rPr>
          <w:rFonts w:ascii="Amiri" w:hAnsi="Amiri" w:eastAsia="Amiri" w:cs="Amiri"/>
          <w:lang w:bidi="ar-SA"/>
          <w:color w:val="111111"/>
          <w:sz w:val="28"/>
          <w:szCs w:val="28"/>
          <w:rtl/>
        </w:rPr>
        <w:t xml:space="preserve">1 تاريخ الائمة، ج 3، ص 541</w:t>
      </w:r>
    </w:p>
    <w:p>
      <w:pPr>
        <w:pStyle w:val="BookText"/>
      </w:pPr>
      <w:r>
        <w:rPr>
          <w:rFonts w:ascii="Amiri" w:hAnsi="Amiri" w:eastAsia="Amiri" w:cs="Amiri"/>
          <w:lang w:bidi="ar-SA"/>
          <w:color w:val="111111"/>
          <w:sz w:val="28"/>
          <w:szCs w:val="28"/>
          <w:rtl/>
        </w:rPr>
        <w:t xml:space="preserve">2 .توزيع أهل البيت، ج 5، ص 161</w:t>
      </w:r>
    </w:p>
    <w:p>
      <w:pPr>
        <w:pStyle w:val="Heading2"/>
      </w:pPr>
      <w:bookmarkStart w:id="1041" w:name="_Toc143"/>
      <w:r>
        <w:t>ابن ابي الثناء ، داود بن صالح - 674 ه-</w:t>
      </w:r>
      <w:bookmarkEnd w:id="1041"/>
    </w:p>
    <w:p>
      <w:pPr>
        <w:pStyle w:val="BookText"/>
      </w:pPr>
      <w:r>
        <w:rPr>
          <w:rFonts w:ascii="Amiri" w:hAnsi="Amiri" w:eastAsia="Amiri" w:cs="Amiri"/>
          <w:lang w:bidi="ar-SA"/>
          <w:color w:val="111111"/>
          <w:sz w:val="28"/>
          <w:szCs w:val="28"/>
          <w:rtl/>
        </w:rPr>
        <w:t xml:space="preserve">تشنيف الاسماع باحكام السماع، ج4،</w:t>
      </w:r>
    </w:p>
    <w:p>
      <w:pPr>
        <w:pStyle w:val="BookText"/>
      </w:pPr>
      <w:r>
        <w:rPr>
          <w:rFonts w:ascii="IRNazanin" w:hAnsi="IRNazanin" w:eastAsia="IRNazanin" w:cs="IRNazanin"/>
          <w:lang w:bidi="fa-IR"/>
          <w:color w:val="111111"/>
          <w:sz w:val="28"/>
          <w:szCs w:val="28"/>
          <w:rtl/>
        </w:rPr>
        <w:t xml:space="preserve">ص393.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7742_69388"/>
    <w:bookmarkEnd w:id="28"/>
    <w:p>
      <w:pPr>
        <w:pStyle w:val="BookText"/>
      </w:pPr>
      <w:r>
        <w:rPr>
          <w:rFonts w:ascii="Amiri" w:hAnsi="Amiri" w:eastAsia="Amiri" w:cs="Amiri"/>
          <w:lang w:bidi="ar-SA"/>
          <w:color w:val="111111"/>
          <w:sz w:val="28"/>
          <w:szCs w:val="28"/>
          <w:rtl/>
        </w:rPr>
        <w:t xml:space="preserve">ابن ابي جامع عاملي ، عبداللطيف بن</w:t>
      </w:r>
    </w:p>
    <w:p>
      <w:pPr>
        <w:pStyle w:val="BookText"/>
      </w:pPr>
      <w:r>
        <w:rPr>
          <w:rFonts w:ascii="Amiri" w:hAnsi="Amiri" w:eastAsia="Amiri" w:cs="Amiri"/>
          <w:lang w:bidi="ar-SA"/>
          <w:color w:val="111111"/>
          <w:sz w:val="28"/>
          <w:szCs w:val="28"/>
          <w:rtl/>
        </w:rPr>
        <w:t xml:space="preserve">علي -عاملي ، عبداللطيف بن علي</w:t>
      </w:r>
    </w:p>
    <w:p>
      <w:pPr>
        <w:pStyle w:val="Heading2"/>
      </w:pPr>
      <w:bookmarkStart w:id="1042" w:name="_Toc144"/>
      <w:r>
        <w:t>ابن ابي جمرة ، عبد الله بن سعد، -9675ه-</w:t>
      </w:r>
      <w:bookmarkEnd w:id="1042"/>
    </w:p>
    <w:p>
      <w:pPr>
        <w:pStyle w:val="BookText"/>
      </w:pPr>
      <w:r>
        <w:rPr>
          <w:rFonts w:ascii="IRNazanin" w:hAnsi="IRNazanin" w:eastAsia="IRNazanin" w:cs="IRNazanin"/>
          <w:lang w:bidi="fa-IR"/>
          <w:color w:val="111111"/>
          <w:sz w:val="28"/>
          <w:szCs w:val="28"/>
          <w:rtl/>
        </w:rPr>
        <w:t xml:space="preserve">1 .بهجة النفوس و تحلیلها و معرفة</w:t>
      </w:r>
    </w:p>
    <w:p>
      <w:pPr>
        <w:pStyle w:val="BookText"/>
      </w:pPr>
      <w:r>
        <w:rPr>
          <w:rFonts w:ascii="Amiri" w:hAnsi="Amiri" w:eastAsia="Amiri" w:cs="Amiri"/>
          <w:lang w:bidi="ar-SA"/>
          <w:color w:val="111111"/>
          <w:sz w:val="28"/>
          <w:szCs w:val="28"/>
          <w:rtl/>
        </w:rPr>
        <w:t xml:space="preserve">ما لها وما عليها = شرح جمع النهاية في مختصر الجامع الصحيح للبخاري، ج 3، ص 441</w:t>
      </w:r>
    </w:p>
    <w:p>
      <w:pPr>
        <w:pStyle w:val="BookText"/>
      </w:pPr>
      <w:r>
        <w:rPr>
          <w:rFonts w:ascii="Amiri" w:hAnsi="Amiri" w:eastAsia="Amiri" w:cs="Amiri"/>
          <w:lang w:bidi="ar-SA"/>
          <w:color w:val="111111"/>
          <w:sz w:val="28"/>
          <w:szCs w:val="28"/>
          <w:rtl/>
        </w:rPr>
        <w:t xml:space="preserve">2 .جمع النهاية في بدء الخير وغاية الغاية = مختصر ابن ابي جمرة = مختصر البخاري، ج 5، ص 439 .</w:t>
      </w:r>
    </w:p>
    <w:p>
      <w:pPr>
        <w:pStyle w:val="Heading2"/>
      </w:pPr>
      <w:bookmarkStart w:id="1043" w:name="_Toc145"/>
      <w:r>
        <w:t>ابن ابي جمهور ، محمّد بن علي، 838؟ -</w:t>
      </w:r>
      <w:bookmarkEnd w:id="1043"/>
    </w:p>
    <w:p>
      <w:pPr>
        <w:pStyle w:val="BookText"/>
      </w:pPr>
      <w:r>
        <w:rPr>
          <w:rFonts w:ascii="IRNazanin" w:hAnsi="IRNazanin" w:eastAsia="IRNazanin" w:cs="IRNazanin"/>
          <w:lang w:bidi="fa-IR"/>
          <w:color w:val="111111"/>
          <w:sz w:val="28"/>
          <w:szCs w:val="28"/>
          <w:rtl/>
        </w:rPr>
        <w:t xml:space="preserve">906؟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للسيد محسن بن محمّد بن ناد شاه رضوي مشهدي، ج1،</w:t>
      </w:r>
    </w:p>
    <w:p>
      <w:pPr>
        <w:pStyle w:val="BookText"/>
      </w:pPr>
      <w:r>
        <w:rPr>
          <w:rFonts w:ascii="IRNazanin" w:hAnsi="IRNazanin" w:eastAsia="IRNazanin" w:cs="IRNazanin"/>
          <w:lang w:bidi="fa-IR"/>
          <w:color w:val="111111"/>
          <w:sz w:val="28"/>
          <w:szCs w:val="28"/>
          <w:rtl/>
        </w:rPr>
        <w:t xml:space="preserve">ص 255 .</w:t>
      </w:r>
    </w:p>
    <w:p>
      <w:pPr>
        <w:pStyle w:val="BookText"/>
      </w:pPr>
      <w:r>
        <w:rPr>
          <w:rFonts w:ascii="Amiri" w:hAnsi="Amiri" w:eastAsia="Amiri" w:cs="Amiri"/>
          <w:lang w:bidi="ar-SA"/>
          <w:color w:val="111111"/>
          <w:sz w:val="28"/>
          <w:szCs w:val="28"/>
          <w:rtl/>
        </w:rPr>
        <w:t xml:space="preserve">2 .الاقطاب الفقهية على مذهب</w:t>
      </w:r>
    </w:p>
    <w:p>
      <w:pPr>
        <w:pStyle w:val="BookText"/>
      </w:pPr>
      <w:r>
        <w:rPr>
          <w:rFonts w:ascii="Amiri" w:hAnsi="Amiri" w:eastAsia="Amiri" w:cs="Amiri"/>
          <w:lang w:bidi="ar-SA"/>
          <w:color w:val="111111"/>
          <w:sz w:val="28"/>
          <w:szCs w:val="28"/>
          <w:rtl/>
        </w:rPr>
        <w:t xml:space="preserve">الامامية، ج 2، ص 628.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غوالي اللئالي العزيزية في الاحاديث الدينية، ج6، ص 259.</w:t>
      </w:r>
    </w:p>
    <w:p>
      <w:pPr>
        <w:pStyle w:val="BookText"/>
      </w:pPr>
      <w:r>
        <w:rPr>
          <w:rFonts w:ascii="Amiri" w:hAnsi="Amiri" w:eastAsia="Amiri" w:cs="Amiri"/>
          <w:lang w:bidi="ar-SA"/>
          <w:color w:val="111111"/>
          <w:sz w:val="28"/>
          <w:szCs w:val="28"/>
          <w:rtl/>
        </w:rPr>
        <w:t xml:space="preserve">4 .درر اللآلي العمادية في الاحاديث</w:t>
      </w:r>
    </w:p>
    <w:p>
      <w:pPr>
        <w:pStyle w:val="BookText"/>
      </w:pPr>
      <w:r>
        <w:rPr>
          <w:rFonts w:ascii="Amiri" w:hAnsi="Amiri" w:eastAsia="Amiri" w:cs="Amiri"/>
          <w:lang w:bidi="ar-SA"/>
          <w:color w:val="111111"/>
          <w:sz w:val="28"/>
          <w:szCs w:val="28"/>
          <w:rtl/>
        </w:rPr>
        <w:t xml:space="preserve">الفقهية، ج 7، ص 309.</w:t>
      </w:r>
    </w:p>
    <w:p>
      <w:pPr>
        <w:pStyle w:val="BookText"/>
      </w:pPr>
      <w:r>
        <w:rPr>
          <w:rFonts w:ascii="Amiri" w:hAnsi="Amiri" w:eastAsia="Amiri" w:cs="Amiri"/>
          <w:lang w:bidi="ar-SA"/>
          <w:color w:val="111111"/>
          <w:sz w:val="28"/>
          <w:szCs w:val="28"/>
          <w:rtl/>
        </w:rPr>
        <w:t xml:space="preserve">5 .عوالي اللآلي العزيزية في الاحاديث</w:t>
      </w:r>
    </w:p>
    <w:p>
      <w:pPr>
        <w:pStyle w:val="BookText"/>
      </w:pPr>
      <w:r>
        <w:rPr>
          <w:rFonts w:ascii="Amiri" w:hAnsi="Amiri" w:eastAsia="Amiri" w:cs="Amiri"/>
          <w:lang w:bidi="ar-SA"/>
          <w:color w:val="111111"/>
          <w:sz w:val="28"/>
          <w:szCs w:val="28"/>
          <w:rtl/>
        </w:rPr>
        <w:t xml:space="preserve">الدينية، ج 11، ص 351.</w:t>
      </w:r>
    </w:p>
    <w:p>
      <w:pPr>
        <w:pStyle w:val="BookText"/>
      </w:pPr>
      <w:r>
        <w:rPr>
          <w:rFonts w:ascii="Amiri" w:hAnsi="Amiri" w:eastAsia="Amiri" w:cs="Amiri"/>
          <w:lang w:bidi="ar-SA"/>
          <w:color w:val="111111"/>
          <w:sz w:val="28"/>
          <w:szCs w:val="28"/>
          <w:rtl/>
        </w:rPr>
        <w:t xml:space="preserve">6 .كاشفة الحال عن احوال الاستدلال</w:t>
      </w:r>
    </w:p>
    <w:p>
      <w:pPr>
        <w:pStyle w:val="BookText"/>
      </w:pPr>
      <w:r>
        <w:rPr>
          <w:rFonts w:ascii="Amiri" w:hAnsi="Amiri" w:eastAsia="Amiri" w:cs="Amiri"/>
          <w:lang w:bidi="ar-SA"/>
          <w:color w:val="111111"/>
          <w:sz w:val="28"/>
          <w:szCs w:val="28"/>
          <w:rtl/>
        </w:rPr>
        <w:t xml:space="preserve">كاشفة الجمال، ج 13، ص 5.</w:t>
      </w:r>
    </w:p>
    <w:p>
      <w:pPr>
        <w:pStyle w:val="BookText"/>
      </w:pPr>
      <w:r>
        <w:rPr>
          <w:rFonts w:ascii="Amiri" w:hAnsi="Amiri" w:eastAsia="Amiri" w:cs="Amiri"/>
          <w:lang w:bidi="ar-SA"/>
          <w:color w:val="111111"/>
          <w:sz w:val="28"/>
          <w:szCs w:val="28"/>
          <w:rtl/>
        </w:rPr>
        <w:t xml:space="preserve">7 .كشف البراهين في شرح زاد المسافرين، ج13، ص197.</w:t>
      </w:r>
    </w:p>
    <w:p>
      <w:pPr>
        <w:pStyle w:val="BookText"/>
      </w:pPr>
      <w:r>
        <w:rPr>
          <w:rFonts w:ascii="Amiri" w:hAnsi="Amiri" w:eastAsia="Amiri" w:cs="Amiri"/>
          <w:lang w:bidi="ar-SA"/>
          <w:color w:val="111111"/>
          <w:sz w:val="28"/>
          <w:szCs w:val="28"/>
          <w:rtl/>
        </w:rPr>
        <w:t xml:space="preserve">8 .المجلّي لمرآة المنجي = جمع الجمع و جامع الجميع في الكلامين و الحكمتين و التصوف، ج 13،</w:t>
      </w:r>
    </w:p>
    <w:p>
      <w:pPr>
        <w:pStyle w:val="BookText"/>
      </w:pPr>
      <w:r>
        <w:rPr>
          <w:rFonts w:ascii="IRNazanin" w:hAnsi="IRNazanin" w:eastAsia="IRNazanin" w:cs="IRNazanin"/>
          <w:lang w:bidi="fa-IR"/>
          <w:color w:val="111111"/>
          <w:sz w:val="28"/>
          <w:szCs w:val="28"/>
          <w:rtl/>
        </w:rPr>
        <w:t xml:space="preserve">ص 821</w:t>
      </w:r>
    </w:p>
    <w:p>
      <w:pPr>
        <w:pStyle w:val="BookText"/>
      </w:pPr>
      <w:r>
        <w:rPr>
          <w:rFonts w:ascii="Amiri" w:hAnsi="Amiri" w:eastAsia="Amiri" w:cs="Amiri"/>
          <w:lang w:bidi="ar-SA"/>
          <w:color w:val="111111"/>
          <w:sz w:val="28"/>
          <w:szCs w:val="28"/>
          <w:rtl/>
        </w:rPr>
        <w:t xml:space="preserve">ابن آق - ابن ابي حجله</w:t>
      </w:r>
    </w:p>
    <w:p>
      <w:pPr>
        <w:pStyle w:val="BookText"/>
      </w:pPr>
      <w:r>
        <w:rPr>
          <w:rFonts w:ascii="Amiri" w:hAnsi="Amiri" w:eastAsia="Amiri" w:cs="Amiri"/>
          <w:lang w:bidi="ar-SA"/>
          <w:color w:val="111111"/>
          <w:sz w:val="28"/>
          <w:szCs w:val="28"/>
          <w:rtl/>
        </w:rPr>
        <w:t xml:space="preserve">9 .مسالك الافهام في علم الكلام ج 14</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المسالك الجامعية في شرح الرسالة</w:t>
      </w:r>
    </w:p>
    <w:p>
      <w:pPr>
        <w:pStyle w:val="BookText"/>
      </w:pPr>
      <w:r>
        <w:rPr>
          <w:rFonts w:ascii="Amiri" w:hAnsi="Amiri" w:eastAsia="Amiri" w:cs="Amiri"/>
          <w:lang w:bidi="ar-SA"/>
          <w:color w:val="111111"/>
          <w:sz w:val="28"/>
          <w:szCs w:val="28"/>
          <w:rtl/>
        </w:rPr>
        <w:t xml:space="preserve">الالفية، ج 14، ص 531.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المعتصم بولاية أمير المؤمنين، ج 15،</w:t>
      </w:r>
    </w:p>
    <w:p>
      <w:pPr>
        <w:pStyle w:val="BookText"/>
      </w:pPr>
      <w:r>
        <w:rPr>
          <w:rFonts w:ascii="IRNazanin" w:hAnsi="IRNazanin" w:eastAsia="IRNazanin" w:cs="IRNazanin"/>
          <w:lang w:bidi="fa-IR"/>
          <w:color w:val="111111"/>
          <w:sz w:val="28"/>
          <w:szCs w:val="28"/>
          <w:rtl/>
        </w:rPr>
        <w:t xml:space="preserve">ص 4.</w:t>
      </w:r>
    </w:p>
    <w:p>
      <w:pPr>
        <w:pStyle w:val="BookText"/>
      </w:pPr>
      <w:r>
        <w:rPr>
          <w:rFonts w:ascii="Amiri" w:hAnsi="Amiri" w:eastAsia="Amiri" w:cs="Amiri"/>
          <w:lang w:bidi="ar-SA"/>
          <w:color w:val="111111"/>
          <w:sz w:val="28"/>
          <w:szCs w:val="28"/>
          <w:rtl/>
        </w:rPr>
        <w:t xml:space="preserve">.12 مناظرة مع الفاضل الهروي =</w:t>
      </w:r>
    </w:p>
    <w:p>
      <w:pPr>
        <w:pStyle w:val="BookText"/>
      </w:pPr>
      <w:r>
        <w:rPr>
          <w:rFonts w:ascii="Amiri" w:hAnsi="Amiri" w:eastAsia="Amiri" w:cs="Amiri"/>
          <w:lang w:bidi="ar-SA"/>
          <w:color w:val="111111"/>
          <w:sz w:val="28"/>
          <w:szCs w:val="28"/>
          <w:rtl/>
        </w:rPr>
        <w:t xml:space="preserve">مناظرة ابن ابي جمهور ج 15</w:t>
      </w:r>
    </w:p>
    <w:p>
      <w:pPr>
        <w:pStyle w:val="BookText"/>
      </w:pPr>
      <w:r>
        <w:rPr>
          <w:rFonts w:ascii="IRNazanin" w:hAnsi="IRNazanin" w:eastAsia="IRNazanin" w:cs="IRNazanin"/>
          <w:lang w:bidi="fa-IR"/>
          <w:color w:val="111111"/>
          <w:sz w:val="28"/>
          <w:szCs w:val="28"/>
          <w:rtl/>
        </w:rPr>
        <w:t xml:space="preserve">ص 526.</w:t>
      </w:r>
    </w:p>
    <w:p>
      <w:pPr>
        <w:pStyle w:val="BookText"/>
      </w:pPr>
      <w:r>
        <w:rPr>
          <w:rFonts w:ascii="Amiri" w:hAnsi="Amiri" w:eastAsia="Amiri" w:cs="Amiri"/>
          <w:lang w:bidi="ar-SA"/>
          <w:color w:val="111111"/>
          <w:sz w:val="28"/>
          <w:szCs w:val="28"/>
          <w:rtl/>
        </w:rPr>
        <w:t xml:space="preserve">.13 نثر اللآلي مع ترجمة المنظومة من</w:t>
      </w:r>
    </w:p>
    <w:p>
      <w:pPr>
        <w:pStyle w:val="BookText"/>
      </w:pPr>
      <w:r>
        <w:rPr>
          <w:rFonts w:ascii="Amiri" w:hAnsi="Amiri" w:eastAsia="Amiri" w:cs="Amiri"/>
          <w:lang w:bidi="ar-SA"/>
          <w:color w:val="111111"/>
          <w:sz w:val="28"/>
          <w:szCs w:val="28"/>
          <w:rtl/>
        </w:rPr>
        <w:t xml:space="preserve">الفاظ امير المؤمنين و امام المتقين علي بن ابيطالب عليه السلام ج 16، ص 143.</w:t>
      </w:r>
    </w:p>
    <w:p>
      <w:pPr>
        <w:pStyle w:val="BookText"/>
      </w:pPr>
      <w:r>
        <w:rPr>
          <w:rFonts w:ascii="Amiri" w:hAnsi="Amiri" w:eastAsia="Amiri" w:cs="Amiri"/>
          <w:lang w:bidi="ar-SA"/>
          <w:color w:val="111111"/>
          <w:sz w:val="28"/>
          <w:szCs w:val="28"/>
          <w:rtl/>
        </w:rPr>
        <w:t xml:space="preserve">ابن ابي الجيش - انصاري ، محمّد بن ابي</w:t>
      </w:r>
    </w:p>
    <w:p>
      <w:pPr>
        <w:pStyle w:val="BookText"/>
      </w:pPr>
      <w:r>
        <w:rPr>
          <w:rFonts w:ascii="Amiri" w:hAnsi="Amiri" w:eastAsia="Amiri" w:cs="Amiri"/>
          <w:lang w:bidi="ar-SA"/>
          <w:color w:val="111111"/>
          <w:sz w:val="28"/>
          <w:szCs w:val="28"/>
          <w:rtl/>
        </w:rPr>
        <w:t xml:space="preserve">الجيش</w:t>
      </w:r>
    </w:p>
    <w:p>
      <w:pPr>
        <w:pStyle w:val="Heading2"/>
      </w:pPr>
      <w:bookmarkStart w:id="1044" w:name="_Toc146"/>
      <w:r>
        <w:t>ابن ابي حاتم ، عبدالرحمن بن محمّد</w:t>
      </w:r>
      <w:bookmarkEnd w:id="1044"/>
    </w:p>
    <w:p>
      <w:pPr>
        <w:pStyle w:val="BookText"/>
      </w:pPr>
      <w:r>
        <w:rPr>
          <w:rFonts w:ascii="IRNazanin" w:hAnsi="IRNazanin" w:eastAsia="IRNazanin" w:cs="IRNazanin"/>
          <w:lang w:bidi="fa-IR"/>
          <w:color w:val="111111"/>
          <w:sz w:val="28"/>
          <w:szCs w:val="28"/>
          <w:rtl/>
        </w:rPr>
        <w:t xml:space="preserve">240 - 327 ه-</w:t>
      </w:r>
    </w:p>
    <w:p>
      <w:pPr>
        <w:pStyle w:val="BookText"/>
      </w:pPr>
      <w:r>
        <w:rPr>
          <w:rFonts w:ascii="Amiri" w:hAnsi="Amiri" w:eastAsia="Amiri" w:cs="Amiri"/>
          <w:lang w:bidi="ar-SA"/>
          <w:color w:val="111111"/>
          <w:sz w:val="28"/>
          <w:szCs w:val="28"/>
          <w:rtl/>
        </w:rPr>
        <w:t xml:space="preserve">1 .أصل السنة و اعتقاد الدين، ج2</w:t>
      </w:r>
    </w:p>
    <w:p>
      <w:pPr>
        <w:pStyle w:val="BookText"/>
      </w:pPr>
      <w:r>
        <w:rPr>
          <w:rFonts w:ascii="IRNazanin" w:hAnsi="IRNazanin" w:eastAsia="IRNazanin" w:cs="IRNazanin"/>
          <w:lang w:bidi="fa-IR"/>
          <w:color w:val="111111"/>
          <w:sz w:val="28"/>
          <w:szCs w:val="28"/>
          <w:rtl/>
        </w:rPr>
        <w:t xml:space="preserve">ص389.</w:t>
      </w:r>
    </w:p>
    <w:p>
      <w:pPr>
        <w:pStyle w:val="BookText"/>
      </w:pPr>
      <w:r>
        <w:rPr>
          <w:rFonts w:ascii="Amiri" w:hAnsi="Amiri" w:eastAsia="Amiri" w:cs="Amiri"/>
          <w:lang w:bidi="ar-SA"/>
          <w:color w:val="111111"/>
          <w:sz w:val="28"/>
          <w:szCs w:val="28"/>
          <w:rtl/>
        </w:rPr>
        <w:t xml:space="preserve">2 .تفسير القرآن الكريم، ج 4، ص 657.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زهد الثمانية من التابعين، ج8،</w:t>
      </w:r>
    </w:p>
    <w:p>
      <w:pPr>
        <w:pStyle w:val="BookText"/>
      </w:pPr>
      <w:r>
        <w:rPr>
          <w:rFonts w:ascii="IRNazanin" w:hAnsi="IRNazanin" w:eastAsia="IRNazanin" w:cs="IRNazanin"/>
          <w:lang w:bidi="fa-IR"/>
          <w:color w:val="111111"/>
          <w:sz w:val="28"/>
          <w:szCs w:val="28"/>
          <w:rtl/>
        </w:rPr>
        <w:t xml:space="preserve">ص 613.</w:t>
      </w:r>
    </w:p>
    <w:p>
      <w:pPr>
        <w:pStyle w:val="Heading2"/>
      </w:pPr>
      <w:bookmarkStart w:id="1045" w:name="_Toc147"/>
      <w:r>
        <w:t>ابن ابي حجله ، احمد بن يحيى 725</w:t>
      </w:r>
      <w:bookmarkEnd w:id="1045"/>
    </w:p>
    <w:p>
      <w:pPr>
        <w:pStyle w:val="BookText"/>
      </w:pPr>
      <w:r>
        <w:rPr>
          <w:rFonts w:ascii="IRNazanin" w:hAnsi="IRNazanin" w:eastAsia="IRNazanin" w:cs="IRNazanin"/>
          <w:lang w:bidi="fa-IR"/>
          <w:color w:val="111111"/>
          <w:sz w:val="28"/>
          <w:szCs w:val="28"/>
          <w:rtl/>
        </w:rPr>
        <w:t xml:space="preserve">76 ؟ ه-</w:t>
      </w:r>
    </w:p>
    <w:p>
      <w:pPr>
        <w:pStyle w:val="BookText"/>
      </w:pPr>
      <w:r>
        <w:rPr>
          <w:rFonts w:ascii="Amiri" w:hAnsi="Amiri" w:eastAsia="Amiri" w:cs="Amiri"/>
          <w:lang w:bidi="ar-SA"/>
          <w:color w:val="111111"/>
          <w:sz w:val="28"/>
          <w:szCs w:val="28"/>
          <w:rtl/>
        </w:rPr>
        <w:t xml:space="preserve">1 .أنموذج القتال في نقل العوال، ج2،</w:t>
      </w:r>
    </w:p>
    <w:p>
      <w:pPr>
        <w:pStyle w:val="BookText"/>
      </w:pPr>
      <w:r>
        <w:rPr>
          <w:rFonts w:ascii="IRNazanin" w:hAnsi="IRNazanin" w:eastAsia="IRNazanin" w:cs="IRNazanin"/>
          <w:lang w:bidi="fa-IR"/>
          <w:color w:val="111111"/>
          <w:sz w:val="28"/>
          <w:szCs w:val="28"/>
          <w:rtl/>
        </w:rPr>
        <w:t xml:space="preserve">ص 832.</w:t>
      </w:r>
    </w:p>
    <w:p>
      <w:pPr>
        <w:pStyle w:val="BookText"/>
      </w:pPr>
      <w:r>
        <w:rPr>
          <w:rFonts w:ascii="Amiri" w:hAnsi="Amiri" w:eastAsia="Amiri" w:cs="Amiri"/>
          <w:lang w:bidi="ar-SA"/>
          <w:color w:val="111111"/>
          <w:sz w:val="28"/>
          <w:szCs w:val="28"/>
          <w:rtl/>
        </w:rPr>
        <w:t xml:space="preserve">2 .ديوان الصبابة - قصايد الصبابة</w:t>
      </w:r>
    </w:p>
    <w:p>
      <w:pPr>
        <w:pStyle w:val="BookText"/>
      </w:pPr>
      <w:r>
        <w:rPr>
          <w:rFonts w:ascii="IRNazanin" w:hAnsi="IRNazanin" w:eastAsia="IRNazanin" w:cs="IRNazanin"/>
          <w:lang w:bidi="fa-IR"/>
          <w:color w:val="111111"/>
          <w:sz w:val="28"/>
          <w:szCs w:val="28"/>
          <w:rtl/>
        </w:rPr>
        <w:t xml:space="preserve">ج 7، ص 684 .</w:t>
      </w:r>
    </w:p>
    <w:p>
      <w:pPr>
        <w:pStyle w:val="BookText"/>
      </w:pPr>
      <w:r>
        <w:rPr>
          <w:rFonts w:ascii="Times New Roman" w:hAnsi="Times New Roman" w:eastAsia="Times New Roman" w:cs="Times New Roman"/>
          <w:lang w:val="en-US" w:bidi="en-US"/>
          <w:color w:val="111111"/>
          <w:sz w:val="28"/>
          <w:szCs w:val="28"/>
          <w:rtl/>
        </w:rPr>
        <w:t xml:space="preserve">33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7742_69390"/>
    <w:bookmarkEnd w:id="2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سكردان السلطان، ج8، ص791.</w:t>
      </w:r>
    </w:p>
    <w:p>
      <w:pPr>
        <w:pStyle w:val="BookText"/>
      </w:pPr>
      <w:r>
        <w:rPr>
          <w:rFonts w:ascii="Amiri" w:hAnsi="Amiri" w:eastAsia="Amiri" w:cs="Amiri"/>
          <w:lang w:bidi="ar-SA"/>
          <w:color w:val="111111"/>
          <w:sz w:val="28"/>
          <w:szCs w:val="28"/>
          <w:rtl/>
        </w:rPr>
        <w:t xml:space="preserve">4 .سلوة الحزين في موت البنين، ج8،</w:t>
      </w:r>
    </w:p>
    <w:p>
      <w:pPr>
        <w:pStyle w:val="BookText"/>
      </w:pPr>
      <w:r>
        <w:rPr>
          <w:rFonts w:ascii="IRNazanin" w:hAnsi="IRNazanin" w:eastAsia="IRNazanin" w:cs="IRNazanin"/>
          <w:lang w:bidi="fa-IR"/>
          <w:color w:val="111111"/>
          <w:sz w:val="28"/>
          <w:szCs w:val="28"/>
          <w:rtl/>
        </w:rPr>
        <w:t xml:space="preserve">ص 822</w:t>
      </w:r>
    </w:p>
    <w:p>
      <w:pPr>
        <w:pStyle w:val="BookText"/>
      </w:pPr>
      <w:r>
        <w:rPr>
          <w:rFonts w:ascii="Amiri" w:hAnsi="Amiri" w:eastAsia="Amiri" w:cs="Amiri"/>
          <w:lang w:bidi="ar-SA"/>
          <w:color w:val="111111"/>
          <w:sz w:val="28"/>
          <w:szCs w:val="28"/>
          <w:rtl/>
        </w:rPr>
        <w:t xml:space="preserve">5 .سلوك السنن في وصف السكن، ج8، 279؟ ه-</w:t>
      </w:r>
    </w:p>
    <w:p>
      <w:pPr>
        <w:pStyle w:val="BookText"/>
      </w:pPr>
      <w:r>
        <w:rPr>
          <w:rFonts w:ascii="IRNazanin" w:hAnsi="IRNazanin" w:eastAsia="IRNazanin" w:cs="IRNazanin"/>
          <w:lang w:bidi="fa-IR"/>
          <w:color w:val="111111"/>
          <w:sz w:val="28"/>
          <w:szCs w:val="28"/>
          <w:rtl/>
        </w:rPr>
        <w:t xml:space="preserve">ص 825</w:t>
      </w:r>
    </w:p>
    <w:p>
      <w:pPr>
        <w:pStyle w:val="BookText"/>
      </w:pPr>
      <w:r>
        <w:rPr>
          <w:rFonts w:ascii="Amiri" w:hAnsi="Amiri" w:eastAsia="Amiri" w:cs="Amiri"/>
          <w:lang w:bidi="ar-SA"/>
          <w:color w:val="111111"/>
          <w:sz w:val="28"/>
          <w:szCs w:val="28"/>
          <w:rtl/>
        </w:rPr>
        <w:t xml:space="preserve">6 .منطق الطير، ج 15 ، ص 709.</w:t>
      </w:r>
    </w:p>
    <w:p>
      <w:pPr>
        <w:pStyle w:val="Heading2"/>
      </w:pPr>
      <w:bookmarkStart w:id="1046" w:name="_Toc148"/>
      <w:r>
        <w:t>ابن ابي الحديد ، عبد الحميد بن هبة الله</w:t>
      </w:r>
      <w:bookmarkEnd w:id="1046"/>
    </w:p>
    <w:p>
      <w:pPr>
        <w:pStyle w:val="BookText"/>
      </w:pPr>
      <w:r>
        <w:rPr>
          <w:rFonts w:ascii="IRNazanin" w:hAnsi="IRNazanin" w:eastAsia="IRNazanin" w:cs="IRNazanin"/>
          <w:lang w:bidi="fa-IR"/>
          <w:color w:val="111111"/>
          <w:sz w:val="28"/>
          <w:szCs w:val="28"/>
          <w:rtl/>
        </w:rPr>
        <w:t xml:space="preserve">586 - 655 ه-</w:t>
      </w:r>
    </w:p>
    <w:p>
      <w:pPr>
        <w:pStyle w:val="BookText"/>
      </w:pPr>
      <w:r>
        <w:rPr>
          <w:rFonts w:ascii="Amiri" w:hAnsi="Amiri" w:eastAsia="Amiri" w:cs="Amiri"/>
          <w:lang w:bidi="ar-SA"/>
          <w:color w:val="111111"/>
          <w:sz w:val="28"/>
          <w:szCs w:val="28"/>
          <w:rtl/>
        </w:rPr>
        <w:t xml:space="preserve">1 .ديوان ابن ابي الحديد، ج7،</w:t>
      </w:r>
    </w:p>
    <w:p>
      <w:pPr>
        <w:pStyle w:val="BookText"/>
      </w:pPr>
      <w:r>
        <w:rPr>
          <w:rFonts w:ascii="IRNazanin" w:hAnsi="IRNazanin" w:eastAsia="IRNazanin" w:cs="IRNazanin"/>
          <w:lang w:bidi="fa-IR"/>
          <w:color w:val="111111"/>
          <w:sz w:val="28"/>
          <w:szCs w:val="28"/>
          <w:rtl/>
        </w:rPr>
        <w:t xml:space="preserve">ص 512.</w:t>
      </w:r>
    </w:p>
    <w:p>
      <w:pPr>
        <w:pStyle w:val="BookText"/>
      </w:pPr>
      <w:r>
        <w:rPr>
          <w:rFonts w:ascii="Amiri" w:hAnsi="Amiri" w:eastAsia="Amiri" w:cs="Amiri"/>
          <w:lang w:bidi="ar-SA"/>
          <w:color w:val="111111"/>
          <w:sz w:val="28"/>
          <w:szCs w:val="28"/>
          <w:rtl/>
        </w:rPr>
        <w:t xml:space="preserve">ابن ابي الخير همداني ، رشيد الدين فضل</w:t>
      </w:r>
    </w:p>
    <w:p>
      <w:pPr>
        <w:pStyle w:val="BookText"/>
      </w:pPr>
      <w:r>
        <w:rPr>
          <w:rFonts w:ascii="Amiri" w:hAnsi="Amiri" w:eastAsia="Amiri" w:cs="Amiri"/>
          <w:lang w:bidi="ar-SA"/>
          <w:color w:val="111111"/>
          <w:sz w:val="28"/>
          <w:szCs w:val="28"/>
          <w:rtl/>
        </w:rPr>
        <w:t xml:space="preserve">ابن ابي داود سجستاني ، عبدالله بن</w:t>
      </w:r>
    </w:p>
    <w:p>
      <w:pPr>
        <w:pStyle w:val="BookText"/>
      </w:pPr>
      <w:r>
        <w:rPr>
          <w:rFonts w:ascii="Amiri" w:hAnsi="Amiri" w:eastAsia="Amiri" w:cs="Amiri"/>
          <w:lang w:bidi="ar-SA"/>
          <w:color w:val="111111"/>
          <w:sz w:val="28"/>
          <w:szCs w:val="28"/>
          <w:rtl/>
        </w:rPr>
        <w:t xml:space="preserve">2 .شرح نهج البلاغة، ج 10، ص 296.</w:t>
      </w:r>
    </w:p>
    <w:p>
      <w:pPr>
        <w:pStyle w:val="BookText"/>
      </w:pPr>
      <w:r>
        <w:rPr>
          <w:rFonts w:ascii="Amiri" w:hAnsi="Amiri" w:eastAsia="Amiri" w:cs="Amiri"/>
          <w:lang w:bidi="ar-SA"/>
          <w:color w:val="111111"/>
          <w:sz w:val="28"/>
          <w:szCs w:val="28"/>
          <w:rtl/>
        </w:rPr>
        <w:t xml:space="preserve">سليمان - سجستاني ، عبدالله بن سليمان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القصائد السبع العلويات، ج 12،</w:t>
      </w:r>
    </w:p>
    <w:p>
      <w:pPr>
        <w:pStyle w:val="BookText"/>
      </w:pPr>
      <w:r>
        <w:rPr>
          <w:rFonts w:ascii="IRNazanin" w:hAnsi="IRNazanin" w:eastAsia="IRNazanin" w:cs="IRNazanin"/>
          <w:lang w:bidi="fa-IR"/>
          <w:color w:val="111111"/>
          <w:sz w:val="28"/>
          <w:szCs w:val="28"/>
          <w:rtl/>
        </w:rPr>
        <w:t xml:space="preserve">ص 590.</w:t>
      </w:r>
    </w:p>
    <w:p>
      <w:pPr>
        <w:pStyle w:val="BookText"/>
      </w:pPr>
      <w:r>
        <w:rPr>
          <w:rFonts w:ascii="Amiri" w:hAnsi="Amiri" w:eastAsia="Amiri" w:cs="Amiri"/>
          <w:lang w:bidi="ar-SA"/>
          <w:color w:val="111111"/>
          <w:sz w:val="28"/>
          <w:szCs w:val="28"/>
          <w:rtl/>
        </w:rPr>
        <w:t xml:space="preserve">4 .المستنصريات، ج 14 ، ص 569.</w:t>
      </w:r>
    </w:p>
    <w:p>
      <w:pPr>
        <w:pStyle w:val="BookText"/>
      </w:pPr>
      <w:r>
        <w:rPr>
          <w:rFonts w:ascii="Amiri" w:hAnsi="Amiri" w:eastAsia="Amiri" w:cs="Amiri"/>
          <w:lang w:bidi="ar-SA"/>
          <w:color w:val="111111"/>
          <w:sz w:val="28"/>
          <w:szCs w:val="28"/>
          <w:rtl/>
        </w:rPr>
        <w:t xml:space="preserve">ابن ابي الحزم - ابن نفيس ، علي بن ابي</w:t>
      </w:r>
    </w:p>
    <w:p>
      <w:pPr>
        <w:pStyle w:val="BookText"/>
      </w:pPr>
      <w:r>
        <w:rPr>
          <w:rFonts w:ascii="IRNazanin" w:hAnsi="IRNazanin" w:eastAsia="IRNazanin" w:cs="IRNazanin"/>
          <w:lang w:bidi="fa-IR"/>
          <w:color w:val="111111"/>
          <w:sz w:val="28"/>
          <w:szCs w:val="28"/>
          <w:rtl/>
        </w:rPr>
        <w:t xml:space="preserve">الحزم</w:t>
      </w:r>
    </w:p>
    <w:p>
      <w:pPr>
        <w:pStyle w:val="Heading2"/>
      </w:pPr>
      <w:bookmarkStart w:id="1047" w:name="_Toc149"/>
      <w:r>
        <w:t>ابن ابي حصينه ، حسن بن عبدالله 388 -</w:t>
      </w:r>
      <w:bookmarkEnd w:id="1047"/>
    </w:p>
    <w:p>
      <w:pPr>
        <w:pStyle w:val="BookText"/>
      </w:pPr>
      <w:r>
        <w:rPr>
          <w:rFonts w:ascii="IRNazanin" w:hAnsi="IRNazanin" w:eastAsia="IRNazanin" w:cs="IRNazanin"/>
          <w:lang w:bidi="fa-IR"/>
          <w:color w:val="111111"/>
          <w:sz w:val="28"/>
          <w:szCs w:val="28"/>
          <w:rtl/>
        </w:rPr>
        <w:t xml:space="preserve">457 ه-</w:t>
      </w:r>
    </w:p>
    <w:p>
      <w:pPr>
        <w:pStyle w:val="BookText"/>
      </w:pPr>
      <w:r>
        <w:rPr>
          <w:rFonts w:ascii="Amiri" w:hAnsi="Amiri" w:eastAsia="Amiri" w:cs="Amiri"/>
          <w:lang w:bidi="ar-SA"/>
          <w:color w:val="111111"/>
          <w:sz w:val="28"/>
          <w:szCs w:val="28"/>
          <w:rtl/>
        </w:rPr>
        <w:t xml:space="preserve">ديوان ابن ابي حصينه = ديوان الامير ابي الفتح الحسن بن عبدالله ج 7، ص 512.</w:t>
      </w:r>
    </w:p>
    <w:p>
      <w:pPr>
        <w:pStyle w:val="BookText"/>
      </w:pPr>
      <w:r>
        <w:rPr>
          <w:rFonts w:ascii="Amiri" w:hAnsi="Amiri" w:eastAsia="Amiri" w:cs="Amiri"/>
          <w:lang w:bidi="ar-SA"/>
          <w:color w:val="111111"/>
          <w:sz w:val="28"/>
          <w:szCs w:val="28"/>
          <w:rtl/>
        </w:rPr>
        <w:t xml:space="preserve">ابن ابي حصينة المعري ، ابوالفتح حسن بن</w:t>
      </w:r>
    </w:p>
    <w:p>
      <w:pPr>
        <w:pStyle w:val="BookText"/>
      </w:pPr>
      <w:r>
        <w:rPr>
          <w:rFonts w:ascii="Amiri" w:hAnsi="Amiri" w:eastAsia="Amiri" w:cs="Amiri"/>
          <w:lang w:bidi="ar-SA"/>
          <w:color w:val="111111"/>
          <w:sz w:val="28"/>
          <w:szCs w:val="28"/>
          <w:rtl/>
        </w:rPr>
        <w:t xml:space="preserve">عبدالله -ابن ابي حصينه ، حسن بن عبدالله</w:t>
      </w:r>
    </w:p>
    <w:p>
      <w:pPr>
        <w:pStyle w:val="BookText"/>
      </w:pPr>
      <w:r>
        <w:rPr>
          <w:rFonts w:ascii="Amiri" w:hAnsi="Amiri" w:eastAsia="Amiri" w:cs="Amiri"/>
          <w:lang w:bidi="ar-SA"/>
          <w:color w:val="111111"/>
          <w:sz w:val="28"/>
          <w:szCs w:val="28"/>
          <w:rtl/>
        </w:rPr>
        <w:t xml:space="preserve">ابن ابي الحوافر ، احمد بن عثمان- قيسي</w:t>
      </w:r>
    </w:p>
    <w:p>
      <w:pPr>
        <w:pStyle w:val="BookText"/>
      </w:pPr>
      <w:r>
        <w:rPr>
          <w:rFonts w:ascii="IRNazanin" w:hAnsi="IRNazanin" w:eastAsia="IRNazanin" w:cs="IRNazanin"/>
          <w:lang w:bidi="fa-IR"/>
          <w:color w:val="111111"/>
          <w:sz w:val="28"/>
          <w:szCs w:val="28"/>
          <w:rtl/>
        </w:rPr>
        <w:t xml:space="preserve">احمد بن عثمان</w:t>
      </w:r>
    </w:p>
    <w:p>
      <w:pPr>
        <w:pStyle w:val="Heading2"/>
      </w:pPr>
      <w:bookmarkStart w:id="1048" w:name="_Toc150"/>
      <w:r>
        <w:t>ابن ابي الحوافر ، عثمان بن هبة الله -</w:t>
      </w:r>
      <w:bookmarkEnd w:id="1048"/>
    </w:p>
    <w:p>
      <w:pPr>
        <w:pStyle w:val="BookText"/>
      </w:pPr>
      <w:r>
        <w:rPr>
          <w:rFonts w:ascii="IRNazanin" w:hAnsi="IRNazanin" w:eastAsia="IRNazanin" w:cs="IRNazanin"/>
          <w:lang w:bidi="fa-IR"/>
          <w:color w:val="111111"/>
          <w:sz w:val="28"/>
          <w:szCs w:val="28"/>
          <w:rtl/>
        </w:rPr>
        <w:t xml:space="preserve">620 ه-</w:t>
      </w:r>
    </w:p>
    <w:p>
      <w:pPr>
        <w:pStyle w:val="BookText"/>
      </w:pPr>
      <w:r>
        <w:rPr>
          <w:rFonts w:ascii="IRNazanin" w:hAnsi="IRNazanin" w:eastAsia="IRNazanin" w:cs="IRNazanin"/>
          <w:lang w:bidi="fa-IR"/>
          <w:color w:val="111111"/>
          <w:sz w:val="28"/>
          <w:szCs w:val="28"/>
          <w:rtl/>
        </w:rPr>
        <w:t xml:space="preserve">الطب (مختصر)، ج 10، ص739.</w:t>
      </w:r>
    </w:p>
    <w:p>
      <w:pPr>
        <w:pStyle w:val="Heading2"/>
      </w:pPr>
      <w:bookmarkStart w:id="1049" w:name="_Toc151"/>
      <w:r>
        <w:t>ابن ابي خيثمه ، احمد بن زهير 185 -</w:t>
      </w:r>
      <w:bookmarkEnd w:id="1049"/>
    </w:p>
    <w:p>
      <w:pPr>
        <w:pStyle w:val="BookText"/>
      </w:pPr>
      <w:r>
        <w:rPr>
          <w:rFonts w:ascii="Amiri" w:hAnsi="Amiri" w:eastAsia="Amiri" w:cs="Amiri"/>
          <w:lang w:bidi="ar-SA"/>
          <w:color w:val="111111"/>
          <w:sz w:val="28"/>
          <w:szCs w:val="28"/>
          <w:rtl/>
        </w:rPr>
        <w:t xml:space="preserve">التاريخ الكبير = تاريخ إبن أبي خيثمة</w:t>
      </w:r>
    </w:p>
    <w:p>
      <w:pPr>
        <w:pStyle w:val="BookText"/>
      </w:pPr>
      <w:r>
        <w:rPr>
          <w:rFonts w:ascii="Amiri" w:hAnsi="Amiri" w:eastAsia="Amiri" w:cs="Amiri"/>
          <w:lang w:bidi="ar-SA"/>
          <w:color w:val="111111"/>
          <w:sz w:val="28"/>
          <w:szCs w:val="28"/>
          <w:rtl/>
        </w:rPr>
        <w:t xml:space="preserve">= تاريخ رواة الحديث، ج 3، ص 587.</w:t>
      </w:r>
    </w:p>
    <w:p>
      <w:pPr>
        <w:pStyle w:val="Heading2"/>
      </w:pPr>
      <w:bookmarkStart w:id="1050" w:name="_Toc152"/>
      <w:r>
        <w:t>ابن ابي الدنيا ، عبدالله بن محمِد، 208 -</w:t>
      </w:r>
      <w:bookmarkEnd w:id="1050"/>
    </w:p>
    <w:p>
      <w:pPr>
        <w:pStyle w:val="BookText"/>
      </w:pPr>
      <w:r>
        <w:rPr>
          <w:rFonts w:ascii="IRNazanin" w:hAnsi="IRNazanin" w:eastAsia="IRNazanin" w:cs="IRNazanin"/>
          <w:lang w:bidi="fa-IR"/>
          <w:color w:val="111111"/>
          <w:sz w:val="28"/>
          <w:szCs w:val="28"/>
          <w:rtl/>
        </w:rPr>
        <w:t xml:space="preserve">281 ه-</w:t>
      </w:r>
    </w:p>
    <w:p>
      <w:pPr>
        <w:pStyle w:val="BookText"/>
      </w:pPr>
      <w:r>
        <w:rPr>
          <w:rFonts w:ascii="IRNazanin" w:hAnsi="IRNazanin" w:eastAsia="IRNazanin" w:cs="IRNazanin"/>
          <w:lang w:bidi="fa-IR"/>
          <w:color w:val="111111"/>
          <w:sz w:val="28"/>
          <w:szCs w:val="28"/>
          <w:rtl/>
        </w:rPr>
        <w:t xml:space="preserve">1 .اصلاح المال، ج2، ص 373.</w:t>
      </w:r>
    </w:p>
    <w:p>
      <w:pPr>
        <w:pStyle w:val="BookText"/>
      </w:pPr>
      <w:r>
        <w:rPr>
          <w:rFonts w:ascii="Amiri" w:hAnsi="Amiri" w:eastAsia="Amiri" w:cs="Amiri"/>
          <w:lang w:bidi="ar-SA"/>
          <w:color w:val="111111"/>
          <w:sz w:val="28"/>
          <w:szCs w:val="28"/>
          <w:rtl/>
        </w:rPr>
        <w:t xml:space="preserve">2 .التوكل على الله، ج 5، ص187.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الجوع، ج 5، ص 608.</w:t>
      </w:r>
    </w:p>
    <w:p>
      <w:pPr>
        <w:pStyle w:val="BookText"/>
      </w:pPr>
      <w:r>
        <w:rPr>
          <w:rFonts w:ascii="Amiri" w:hAnsi="Amiri" w:eastAsia="Amiri" w:cs="Amiri"/>
          <w:lang w:bidi="ar-SA"/>
          <w:color w:val="111111"/>
          <w:sz w:val="28"/>
          <w:szCs w:val="28"/>
          <w:rtl/>
        </w:rPr>
        <w:t xml:space="preserve">4 .صفة الجنة وما اعد الله لاهلها من</w:t>
      </w:r>
    </w:p>
    <w:p>
      <w:pPr>
        <w:pStyle w:val="BookText"/>
      </w:pPr>
      <w:r>
        <w:rPr>
          <w:rFonts w:ascii="IRNazanin" w:hAnsi="IRNazanin" w:eastAsia="IRNazanin" w:cs="IRNazanin"/>
          <w:lang w:bidi="fa-IR"/>
          <w:color w:val="111111"/>
          <w:sz w:val="28"/>
          <w:szCs w:val="28"/>
          <w:rtl/>
        </w:rPr>
        <w:t xml:space="preserve">النعم، ج 10، ص 568.</w:t>
      </w:r>
    </w:p>
    <w:p>
      <w:pPr>
        <w:pStyle w:val="BookText"/>
      </w:pPr>
      <w:r>
        <w:rPr>
          <w:rFonts w:ascii="IRNazanin" w:hAnsi="IRNazanin" w:eastAsia="IRNazanin" w:cs="IRNazanin"/>
          <w:lang w:bidi="fa-IR"/>
          <w:color w:val="111111"/>
          <w:sz w:val="28"/>
          <w:szCs w:val="28"/>
          <w:rtl/>
        </w:rPr>
        <w:t xml:space="preserve">5 .الصمت و آداب اللسان، ج10،</w:t>
      </w:r>
    </w:p>
    <w:p>
      <w:pPr>
        <w:pStyle w:val="BookText"/>
      </w:pPr>
      <w:r>
        <w:rPr>
          <w:rFonts w:ascii="IRNazanin" w:hAnsi="IRNazanin" w:eastAsia="IRNazanin" w:cs="IRNazanin"/>
          <w:lang w:bidi="fa-IR"/>
          <w:color w:val="111111"/>
          <w:sz w:val="28"/>
          <w:szCs w:val="28"/>
          <w:rtl/>
        </w:rPr>
        <w:t xml:space="preserve">ص 634 .</w:t>
      </w:r>
    </w:p>
    <w:p>
      <w:pPr>
        <w:pStyle w:val="BookText"/>
      </w:pPr>
      <w:r>
        <w:rPr>
          <w:rFonts w:ascii="IRNazanin" w:hAnsi="IRNazanin" w:eastAsia="IRNazanin" w:cs="IRNazanin"/>
          <w:lang w:bidi="fa-IR"/>
          <w:color w:val="111111"/>
          <w:sz w:val="28"/>
          <w:szCs w:val="28"/>
          <w:rtl/>
        </w:rPr>
        <w:t xml:space="preserve">6 .العقل وفضله، ج 11، ص181</w:t>
      </w:r>
    </w:p>
    <w:p>
      <w:pPr>
        <w:pStyle w:val="BookText"/>
      </w:pPr>
      <w:r>
        <w:rPr>
          <w:rFonts w:ascii="Amiri" w:hAnsi="Amiri" w:eastAsia="Amiri" w:cs="Amiri"/>
          <w:lang w:bidi="ar-SA"/>
          <w:color w:val="111111"/>
          <w:sz w:val="28"/>
          <w:szCs w:val="28"/>
          <w:rtl/>
        </w:rPr>
        <w:t xml:space="preserve">7.الفرج بعد الشدة، ج 11، ص 773.</w:t>
      </w:r>
    </w:p>
    <w:p>
      <w:pPr>
        <w:pStyle w:val="BookText"/>
      </w:pPr>
      <w:r>
        <w:rPr>
          <w:rFonts w:ascii="Amiri" w:hAnsi="Amiri" w:eastAsia="Amiri" w:cs="Amiri"/>
          <w:lang w:bidi="ar-SA"/>
          <w:color w:val="111111"/>
          <w:sz w:val="28"/>
          <w:szCs w:val="28"/>
          <w:rtl/>
        </w:rPr>
        <w:t xml:space="preserve">8 .كتاب الاخوان = المتحابون الله</w:t>
      </w:r>
    </w:p>
    <w:p>
      <w:pPr>
        <w:pStyle w:val="BookText"/>
      </w:pPr>
      <w:r>
        <w:rPr>
          <w:rFonts w:ascii="IRNazanin" w:hAnsi="IRNazanin" w:eastAsia="IRNazanin" w:cs="IRNazanin"/>
          <w:lang w:bidi="fa-IR"/>
          <w:color w:val="111111"/>
          <w:sz w:val="28"/>
          <w:szCs w:val="28"/>
          <w:rtl/>
        </w:rPr>
        <w:t xml:space="preserve">ج 13، ص 87</w:t>
      </w:r>
    </w:p>
    <w:p>
      <w:pPr>
        <w:pStyle w:val="BookText"/>
      </w:pPr>
      <w:r>
        <w:rPr>
          <w:rFonts w:ascii="Amiri" w:hAnsi="Amiri" w:eastAsia="Amiri" w:cs="Amiri"/>
          <w:lang w:bidi="ar-SA"/>
          <w:color w:val="111111"/>
          <w:sz w:val="28"/>
          <w:szCs w:val="28"/>
          <w:rtl/>
        </w:rPr>
        <w:t xml:space="preserve">9 .مقتل امير المؤمنين (ع)، ج 15،</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IRNazanin" w:hAnsi="IRNazanin" w:eastAsia="IRNazanin" w:cs="IRNazanin"/>
          <w:lang w:bidi="fa-IR"/>
          <w:color w:val="111111"/>
          <w:sz w:val="28"/>
          <w:szCs w:val="28"/>
          <w:rtl/>
        </w:rPr>
        <w:t xml:space="preserve">10 .هواتف الجن، ج 16، ص 658.</w:t>
      </w:r>
    </w:p>
    <w:p>
      <w:pPr>
        <w:pStyle w:val="BookText"/>
      </w:pPr>
      <w:r>
        <w:rPr>
          <w:rFonts w:ascii="Amiri" w:hAnsi="Amiri" w:eastAsia="Amiri" w:cs="Amiri"/>
          <w:lang w:bidi="ar-SA"/>
          <w:color w:val="111111"/>
          <w:sz w:val="28"/>
          <w:szCs w:val="28"/>
          <w:rtl/>
        </w:rPr>
        <w:t xml:space="preserve">ابن ابي ذر ، محمّد بن يوسف- عامري ،</w:t>
      </w:r>
    </w:p>
    <w:p>
      <w:pPr>
        <w:pStyle w:val="BookText"/>
      </w:pPr>
      <w:r>
        <w:rPr>
          <w:rFonts w:ascii="Amiri" w:hAnsi="Amiri" w:eastAsia="Amiri" w:cs="Amiri"/>
          <w:lang w:bidi="ar-SA"/>
          <w:color w:val="111111"/>
          <w:sz w:val="28"/>
          <w:szCs w:val="28"/>
          <w:rtl/>
        </w:rPr>
        <w:t xml:space="preserve">محمّد بن يوسف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7742_69392"/>
    <w:bookmarkEnd w:id="30"/>
    <w:p>
      <w:pPr>
        <w:pStyle w:val="Heading2"/>
      </w:pPr>
      <w:bookmarkStart w:id="1051" w:name="_Toc153"/>
      <w:r>
        <w:t>ابن ابي ربيع ، احمد بن محمّد 218 -</w:t>
      </w:r>
      <w:bookmarkEnd w:id="1051"/>
    </w:p>
    <w:p>
      <w:pPr>
        <w:pStyle w:val="BookText"/>
      </w:pPr>
      <w:r>
        <w:rPr>
          <w:rFonts w:ascii="IRNazanin" w:hAnsi="IRNazanin" w:eastAsia="IRNazanin" w:cs="IRNazanin"/>
          <w:lang w:bidi="fa-IR"/>
          <w:color w:val="111111"/>
          <w:sz w:val="28"/>
          <w:szCs w:val="28"/>
          <w:rtl/>
        </w:rPr>
        <w:t xml:space="preserve">272 ه-</w:t>
      </w:r>
    </w:p>
    <w:p>
      <w:pPr>
        <w:pStyle w:val="BookText"/>
      </w:pPr>
      <w:r>
        <w:rPr>
          <w:rFonts w:ascii="Amiri" w:hAnsi="Amiri" w:eastAsia="Amiri" w:cs="Amiri"/>
          <w:lang w:bidi="ar-SA"/>
          <w:color w:val="111111"/>
          <w:sz w:val="28"/>
          <w:szCs w:val="28"/>
          <w:rtl/>
        </w:rPr>
        <w:t xml:space="preserve">سلوك المالك في تدبير الممالك = اخلاق</w:t>
      </w:r>
    </w:p>
    <w:p>
      <w:pPr>
        <w:pStyle w:val="BookText"/>
      </w:pPr>
      <w:r>
        <w:rPr>
          <w:rFonts w:ascii="Amiri" w:hAnsi="Amiri" w:eastAsia="Amiri" w:cs="Amiri"/>
          <w:lang w:bidi="ar-SA"/>
          <w:color w:val="111111"/>
          <w:sz w:val="28"/>
          <w:szCs w:val="28"/>
          <w:rtl/>
        </w:rPr>
        <w:t xml:space="preserve">المشجرة، ج8، ص827</w:t>
      </w:r>
    </w:p>
    <w:p>
      <w:pPr>
        <w:pStyle w:val="Heading2"/>
      </w:pPr>
      <w:bookmarkStart w:id="1052" w:name="_Toc154"/>
      <w:r>
        <w:t>ابن ابي ربيع ، عبدالسلام بن محمود</w:t>
      </w:r>
      <w:bookmarkEnd w:id="1052"/>
    </w:p>
    <w:p>
      <w:pPr>
        <w:pStyle w:val="BookText"/>
      </w:pPr>
      <w:r>
        <w:rPr>
          <w:rFonts w:ascii="IRNazanin" w:hAnsi="IRNazanin" w:eastAsia="IRNazanin" w:cs="IRNazanin"/>
          <w:lang w:bidi="fa-IR"/>
          <w:color w:val="111111"/>
          <w:sz w:val="28"/>
          <w:szCs w:val="28"/>
          <w:rtl/>
        </w:rPr>
        <w:t xml:space="preserve">661 ه-</w:t>
      </w:r>
    </w:p>
    <w:p>
      <w:pPr>
        <w:pStyle w:val="BookText"/>
      </w:pPr>
      <w:r>
        <w:rPr>
          <w:rFonts w:ascii="Amiri" w:hAnsi="Amiri" w:eastAsia="Amiri" w:cs="Amiri"/>
          <w:lang w:bidi="ar-SA"/>
          <w:color w:val="111111"/>
          <w:sz w:val="28"/>
          <w:szCs w:val="28"/>
          <w:rtl/>
        </w:rPr>
        <w:t xml:space="preserve">صنوان الرواية وقنوان الدراية، ج 10، - 807 ه- ص641</w:t>
      </w:r>
    </w:p>
    <w:p>
      <w:pPr>
        <w:pStyle w:val="BookText"/>
      </w:pPr>
      <w:r>
        <w:rPr>
          <w:rFonts w:ascii="Amiri" w:hAnsi="Amiri" w:eastAsia="Amiri" w:cs="Amiri"/>
          <w:lang w:bidi="ar-SA"/>
          <w:color w:val="111111"/>
          <w:sz w:val="28"/>
          <w:szCs w:val="28"/>
          <w:rtl/>
        </w:rPr>
        <w:t xml:space="preserve">ابن ابي الرجال ، ابوالحسن علي- شيباني ؟ ه-</w:t>
      </w:r>
    </w:p>
    <w:p>
      <w:pPr>
        <w:pStyle w:val="BookText"/>
      </w:pPr>
      <w:r>
        <w:rPr>
          <w:rFonts w:ascii="Amiri" w:hAnsi="Amiri" w:eastAsia="Amiri" w:cs="Amiri"/>
          <w:lang w:bidi="ar-SA"/>
          <w:color w:val="111111"/>
          <w:sz w:val="28"/>
          <w:szCs w:val="28"/>
          <w:rtl/>
        </w:rPr>
        <w:t xml:space="preserve">علي بن ابي الرجال</w:t>
      </w:r>
    </w:p>
    <w:p>
      <w:pPr>
        <w:pStyle w:val="Heading2"/>
      </w:pPr>
      <w:bookmarkStart w:id="1053" w:name="_Toc155"/>
      <w:r>
        <w:t>ابن ابي الرجال ، احمد بن صالح 1029 -</w:t>
      </w:r>
      <w:bookmarkEnd w:id="1053"/>
    </w:p>
    <w:p>
      <w:pPr>
        <w:pStyle w:val="BookText"/>
      </w:pPr>
      <w:r>
        <w:rPr>
          <w:rFonts w:ascii="IRNazanin" w:hAnsi="IRNazanin" w:eastAsia="IRNazanin" w:cs="IRNazanin"/>
          <w:lang w:bidi="fa-IR"/>
          <w:color w:val="111111"/>
          <w:sz w:val="28"/>
          <w:szCs w:val="28"/>
          <w:rtl/>
        </w:rPr>
        <w:t xml:space="preserve">1092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اعلام الموالي بكلام سادته الأعلام</w:t>
      </w:r>
    </w:p>
    <w:p>
      <w:pPr>
        <w:pStyle w:val="BookText"/>
      </w:pPr>
      <w:r>
        <w:rPr>
          <w:rFonts w:ascii="Amiri" w:hAnsi="Amiri" w:eastAsia="Amiri" w:cs="Amiri"/>
          <w:lang w:bidi="ar-SA"/>
          <w:color w:val="111111"/>
          <w:sz w:val="28"/>
          <w:szCs w:val="28"/>
          <w:rtl/>
        </w:rPr>
        <w:t xml:space="preserve">الموالي، ج 2، ص 565.</w:t>
      </w:r>
    </w:p>
    <w:p>
      <w:pPr>
        <w:pStyle w:val="BookText"/>
      </w:pPr>
      <w:r>
        <w:rPr>
          <w:rFonts w:ascii="Amiri" w:hAnsi="Amiri" w:eastAsia="Amiri" w:cs="Amiri"/>
          <w:lang w:bidi="ar-SA"/>
          <w:color w:val="111111"/>
          <w:sz w:val="28"/>
          <w:szCs w:val="28"/>
          <w:rtl/>
        </w:rPr>
        <w:t xml:space="preserve">2 .بحار من اراد الحقيقة من حماة</w:t>
      </w:r>
    </w:p>
    <w:p>
      <w:pPr>
        <w:pStyle w:val="BookText"/>
      </w:pPr>
      <w:r>
        <w:rPr>
          <w:rFonts w:ascii="Amiri" w:hAnsi="Amiri" w:eastAsia="Amiri" w:cs="Amiri"/>
          <w:lang w:bidi="ar-SA"/>
          <w:color w:val="111111"/>
          <w:sz w:val="28"/>
          <w:szCs w:val="28"/>
          <w:rtl/>
        </w:rPr>
        <w:t xml:space="preserve">الحقيقة، ج3، ص201.</w:t>
      </w:r>
    </w:p>
    <w:p>
      <w:pPr>
        <w:pStyle w:val="BookText"/>
      </w:pPr>
      <w:r>
        <w:rPr>
          <w:rFonts w:ascii="Amiri" w:hAnsi="Amiri" w:eastAsia="Amiri" w:cs="Amiri"/>
          <w:lang w:bidi="ar-SA"/>
          <w:color w:val="111111"/>
          <w:sz w:val="28"/>
          <w:szCs w:val="28"/>
          <w:rtl/>
        </w:rPr>
        <w:t xml:space="preserve">3 .تفسير الشريعة = تفسير الشريعة لوراد الشريعة ج4، ص 646 .</w:t>
      </w:r>
    </w:p>
    <w:p>
      <w:pPr>
        <w:pStyle w:val="BookText"/>
      </w:pPr>
      <w:r>
        <w:rPr>
          <w:rFonts w:ascii="Amiri" w:hAnsi="Amiri" w:eastAsia="Amiri" w:cs="Amiri"/>
          <w:lang w:bidi="ar-SA"/>
          <w:color w:val="111111"/>
          <w:sz w:val="28"/>
          <w:szCs w:val="28"/>
          <w:rtl/>
        </w:rPr>
        <w:t xml:space="preserve">4 .مجاز من أراد الحقيقة من مراد</w:t>
      </w:r>
    </w:p>
    <w:p>
      <w:pPr>
        <w:pStyle w:val="BookText"/>
      </w:pPr>
      <w:r>
        <w:rPr>
          <w:rFonts w:ascii="Amiri" w:hAnsi="Amiri" w:eastAsia="Amiri" w:cs="Amiri"/>
          <w:lang w:bidi="ar-SA"/>
          <w:color w:val="111111"/>
          <w:sz w:val="28"/>
          <w:szCs w:val="28"/>
          <w:rtl/>
        </w:rPr>
        <w:t xml:space="preserve">حماة الحقيقة، ج13، ص 782.</w:t>
      </w:r>
    </w:p>
    <w:p>
      <w:pPr>
        <w:pStyle w:val="BookText"/>
      </w:pPr>
      <w:r>
        <w:rPr>
          <w:rFonts w:ascii="IRNazanin" w:hAnsi="IRNazanin" w:eastAsia="IRNazanin" w:cs="IRNazanin"/>
          <w:lang w:bidi="fa-IR"/>
          <w:color w:val="111111"/>
          <w:sz w:val="28"/>
          <w:szCs w:val="28"/>
          <w:rtl/>
        </w:rPr>
        <w:t xml:space="preserve">5 .مطلع البدور و مجمع البحور</w:t>
      </w:r>
    </w:p>
    <w:p>
      <w:pPr>
        <w:pStyle w:val="BookText"/>
      </w:pPr>
      <w:r>
        <w:rPr>
          <w:rFonts w:ascii="IRNazanin" w:hAnsi="IRNazanin" w:eastAsia="IRNazanin" w:cs="IRNazanin"/>
          <w:lang w:bidi="fa-IR"/>
          <w:color w:val="111111"/>
          <w:sz w:val="28"/>
          <w:szCs w:val="28"/>
          <w:rtl/>
        </w:rPr>
        <w:t xml:space="preserve">ج 14، ص 795.</w:t>
      </w:r>
    </w:p>
    <w:p>
      <w:pPr>
        <w:pStyle w:val="Heading2"/>
      </w:pPr>
      <w:bookmarkStart w:id="1054" w:name="_Toc156"/>
      <w:r>
        <w:t>ابن ابي زيد ، عبدالله بن عبدالرحمن، 310</w:t>
      </w:r>
      <w:bookmarkEnd w:id="105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386؟ ه-</w:t>
      </w:r>
    </w:p>
    <w:p>
      <w:pPr>
        <w:pStyle w:val="BookText"/>
      </w:pPr>
      <w:r>
        <w:rPr>
          <w:rFonts w:ascii="Amiri" w:hAnsi="Amiri" w:eastAsia="Amiri" w:cs="Amiri"/>
          <w:lang w:bidi="ar-SA"/>
          <w:color w:val="111111"/>
          <w:sz w:val="28"/>
          <w:szCs w:val="28"/>
          <w:rtl/>
        </w:rPr>
        <w:t xml:space="preserve">الفقه المالكي و اصوله = رسالة ابن ابي</w:t>
      </w:r>
    </w:p>
    <w:p>
      <w:pPr>
        <w:pStyle w:val="BookText"/>
      </w:pPr>
      <w:r>
        <w:rPr>
          <w:rFonts w:ascii="IRNazanin" w:hAnsi="IRNazanin" w:eastAsia="IRNazanin" w:cs="IRNazanin"/>
          <w:lang w:bidi="fa-IR"/>
          <w:color w:val="111111"/>
          <w:sz w:val="28"/>
          <w:szCs w:val="28"/>
          <w:rtl/>
        </w:rPr>
        <w:t xml:space="preserve">زید، ج 12، ص 110.</w:t>
      </w:r>
    </w:p>
    <w:p>
      <w:pPr>
        <w:pStyle w:val="BookText"/>
      </w:pPr>
      <w:r>
        <w:rPr>
          <w:rFonts w:ascii="Amiri" w:hAnsi="Amiri" w:eastAsia="Amiri" w:cs="Amiri"/>
          <w:lang w:bidi="ar-SA"/>
          <w:color w:val="111111"/>
          <w:sz w:val="28"/>
          <w:szCs w:val="28"/>
          <w:rtl/>
        </w:rPr>
        <w:t xml:space="preserve">ابن ابي الرجال ، علي بن ابي الرجال- شيباني ، علي بن ابي الرجال</w:t>
      </w:r>
    </w:p>
    <w:p>
      <w:pPr>
        <w:pStyle w:val="BookText"/>
      </w:pPr>
      <w:r>
        <w:rPr>
          <w:rFonts w:ascii="Amiri" w:hAnsi="Amiri" w:eastAsia="Amiri" w:cs="Amiri"/>
          <w:lang w:bidi="ar-SA"/>
          <w:color w:val="111111"/>
          <w:sz w:val="28"/>
          <w:szCs w:val="28"/>
          <w:rtl/>
        </w:rPr>
        <w:t xml:space="preserve">ابن ابي رندقه ، محمّد بن الوليد - طرطوشي ، محمّد بن وليد</w:t>
      </w:r>
    </w:p>
    <w:p>
      <w:pPr>
        <w:pStyle w:val="Heading2"/>
      </w:pPr>
      <w:bookmarkStart w:id="1055" w:name="_Toc157"/>
      <w:r>
        <w:t>ابن ابي زيد ، محمّد بن عبدالرحمن، 739</w:t>
      </w:r>
      <w:bookmarkEnd w:id="1055"/>
    </w:p>
    <w:p>
      <w:pPr>
        <w:pStyle w:val="BookText"/>
      </w:pPr>
      <w:r>
        <w:rPr>
          <w:rFonts w:ascii="IRNazanin" w:hAnsi="IRNazanin" w:eastAsia="IRNazanin" w:cs="IRNazanin"/>
          <w:lang w:bidi="fa-IR"/>
          <w:color w:val="111111"/>
          <w:sz w:val="28"/>
          <w:szCs w:val="28"/>
          <w:rtl/>
        </w:rPr>
        <w:t xml:space="preserve">ص 641 .</w:t>
      </w:r>
    </w:p>
    <w:p>
      <w:pPr>
        <w:pStyle w:val="BookText"/>
      </w:pPr>
      <w:r>
        <w:rPr>
          <w:rFonts w:ascii="Amiri" w:hAnsi="Amiri" w:eastAsia="Amiri" w:cs="Amiri"/>
          <w:lang w:bidi="ar-SA"/>
          <w:color w:val="111111"/>
          <w:sz w:val="28"/>
          <w:szCs w:val="28"/>
          <w:rtl/>
        </w:rPr>
        <w:t xml:space="preserve">ترجيز المصباح، ج4، ص 304.</w:t>
      </w:r>
    </w:p>
    <w:p>
      <w:pPr>
        <w:pStyle w:val="Heading2"/>
      </w:pPr>
      <w:bookmarkStart w:id="1056" w:name="_Toc158"/>
      <w:r>
        <w:t>ابن ابي زينب ، محمّد بن ابراهيم - 360</w:t>
      </w:r>
      <w:bookmarkEnd w:id="1056"/>
    </w:p>
    <w:p>
      <w:pPr>
        <w:pStyle w:val="BookText"/>
      </w:pPr>
      <w:r>
        <w:rPr>
          <w:rFonts w:ascii="Amiri" w:hAnsi="Amiri" w:eastAsia="Amiri" w:cs="Amiri"/>
          <w:lang w:bidi="ar-SA"/>
          <w:color w:val="111111"/>
          <w:sz w:val="28"/>
          <w:szCs w:val="28"/>
          <w:rtl/>
        </w:rPr>
        <w:t xml:space="preserve">1 .تفسير النعماني = المحكم و المتشابه، ج4، ص 695.</w:t>
      </w:r>
    </w:p>
    <w:p>
      <w:pPr>
        <w:pStyle w:val="BookText"/>
      </w:pPr>
      <w:r>
        <w:rPr>
          <w:rFonts w:ascii="Amiri" w:hAnsi="Amiri" w:eastAsia="Amiri" w:cs="Amiri"/>
          <w:lang w:bidi="ar-SA"/>
          <w:color w:val="111111"/>
          <w:sz w:val="28"/>
          <w:szCs w:val="28"/>
          <w:rtl/>
        </w:rPr>
        <w:t xml:space="preserve">2 .الغيبة = غيبت نعماني = ملأ العيبة في طول الغيبة، ج 11، ص 546.</w:t>
      </w:r>
    </w:p>
    <w:p>
      <w:pPr>
        <w:pStyle w:val="BookText"/>
      </w:pPr>
      <w:r>
        <w:rPr>
          <w:rFonts w:ascii="Amiri" w:hAnsi="Amiri" w:eastAsia="Amiri" w:cs="Amiri"/>
          <w:lang w:bidi="ar-SA"/>
          <w:color w:val="111111"/>
          <w:sz w:val="28"/>
          <w:szCs w:val="28"/>
          <w:rtl/>
        </w:rPr>
        <w:t xml:space="preserve">ابن ابي الرضا، محمّد بن حسن- راوندي ،</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ابن ابي الركائب- ابن ماجد ، احمد بن</w:t>
      </w:r>
    </w:p>
    <w:p>
      <w:pPr>
        <w:pStyle w:val="BookText"/>
      </w:pPr>
      <w:r>
        <w:rPr>
          <w:rFonts w:ascii="IRNazanin" w:hAnsi="IRNazanin" w:eastAsia="IRNazanin" w:cs="IRNazanin"/>
          <w:lang w:bidi="fa-IR"/>
          <w:color w:val="111111"/>
          <w:sz w:val="28"/>
          <w:szCs w:val="28"/>
          <w:rtl/>
        </w:rPr>
        <w:t xml:space="preserve">ماجد</w:t>
      </w:r>
    </w:p>
    <w:p>
      <w:pPr>
        <w:pStyle w:val="Heading2"/>
      </w:pPr>
      <w:bookmarkStart w:id="1057" w:name="_Toc159"/>
      <w:r>
        <w:t>ابن ابي سروال حسين بن علي قرن 10 ه-</w:t>
      </w:r>
      <w:bookmarkEnd w:id="1057"/>
    </w:p>
    <w:p>
      <w:pPr>
        <w:pStyle w:val="BookText"/>
      </w:pPr>
      <w:r>
        <w:rPr>
          <w:rFonts w:ascii="Amiri" w:hAnsi="Amiri" w:eastAsia="Amiri" w:cs="Amiri"/>
          <w:lang w:bidi="ar-SA"/>
          <w:color w:val="111111"/>
          <w:sz w:val="28"/>
          <w:szCs w:val="28"/>
          <w:rtl/>
        </w:rPr>
        <w:t xml:space="preserve">الأعلام الجلية في شرح الألفية، ج 2،</w:t>
      </w:r>
    </w:p>
    <w:p>
      <w:pPr>
        <w:pStyle w:val="BookText"/>
      </w:pPr>
      <w:r>
        <w:rPr>
          <w:rFonts w:ascii="IRNazanin" w:hAnsi="IRNazanin" w:eastAsia="IRNazanin" w:cs="IRNazanin"/>
          <w:lang w:bidi="fa-IR"/>
          <w:color w:val="111111"/>
          <w:sz w:val="28"/>
          <w:szCs w:val="28"/>
          <w:rtl/>
        </w:rPr>
        <w:t xml:space="preserve">ص 558 .</w:t>
      </w:r>
    </w:p>
    <w:p>
      <w:pPr>
        <w:pStyle w:val="Heading2"/>
      </w:pPr>
      <w:bookmarkStart w:id="1058" w:name="_Toc160"/>
      <w:r>
        <w:t>ابن ابي سرور ، عبد الرزاق بن فرج قرن</w:t>
      </w:r>
      <w:bookmarkEnd w:id="1058"/>
    </w:p>
    <w:p>
      <w:pPr>
        <w:pStyle w:val="BookText"/>
      </w:pPr>
      <w:r>
        <w:rPr>
          <w:rFonts w:ascii="Amiri" w:hAnsi="Amiri" w:eastAsia="Amiri" w:cs="Amiri"/>
          <w:lang w:bidi="ar-SA"/>
          <w:color w:val="111111"/>
          <w:sz w:val="28"/>
          <w:szCs w:val="28"/>
          <w:rtl/>
        </w:rPr>
        <w:t xml:space="preserve">الصنائع الحسان و الأدوية المجربة</w:t>
      </w:r>
    </w:p>
    <w:p>
      <w:pPr>
        <w:pStyle w:val="BookText"/>
      </w:pPr>
      <w:r>
        <w:rPr>
          <w:rFonts w:ascii="IRNazanin" w:hAnsi="IRNazanin" w:eastAsia="IRNazanin" w:cs="IRNazanin"/>
          <w:lang w:bidi="fa-IR"/>
          <w:color w:val="111111"/>
          <w:sz w:val="28"/>
          <w:szCs w:val="28"/>
          <w:rtl/>
        </w:rPr>
        <w:t xml:space="preserve">ج 10، ص 639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7742_69394"/>
    <w:bookmarkEnd w:id="31"/>
    <w:p>
      <w:pPr>
        <w:pStyle w:val="BookText"/>
      </w:pPr>
      <w:r>
        <w:rPr>
          <w:rFonts w:ascii="Amiri" w:hAnsi="Amiri" w:eastAsia="Amiri" w:cs="Amiri"/>
          <w:lang w:bidi="ar-SA"/>
          <w:color w:val="111111"/>
          <w:sz w:val="28"/>
          <w:szCs w:val="28"/>
          <w:rtl/>
        </w:rPr>
        <w:t xml:space="preserve">ابن ابي السرور عسقلاني -عفيف</w:t>
      </w:r>
    </w:p>
    <w:p>
      <w:pPr>
        <w:pStyle w:val="BookText"/>
      </w:pPr>
      <w:r>
        <w:rPr>
          <w:rFonts w:ascii="Amiri" w:hAnsi="Amiri" w:eastAsia="Amiri" w:cs="Amiri"/>
          <w:lang w:bidi="ar-SA"/>
          <w:color w:val="111111"/>
          <w:sz w:val="28"/>
          <w:szCs w:val="28"/>
          <w:rtl/>
        </w:rPr>
        <w:t xml:space="preserve">ابوسعد بن أبي السرور</w:t>
      </w:r>
    </w:p>
    <w:p>
      <w:pPr>
        <w:pStyle w:val="Heading2"/>
      </w:pPr>
      <w:bookmarkStart w:id="1059" w:name="_Toc161"/>
      <w:r>
        <w:t>ابن ابي السرور ، محمّد بن محمّد، 1005 -1087ه-</w:t>
      </w:r>
      <w:bookmarkEnd w:id="1059"/>
    </w:p>
    <w:p>
      <w:pPr>
        <w:pStyle w:val="BookText"/>
      </w:pPr>
      <w:r>
        <w:rPr>
          <w:rFonts w:ascii="Amiri" w:hAnsi="Amiri" w:eastAsia="Amiri" w:cs="Amiri"/>
          <w:lang w:bidi="ar-SA"/>
          <w:color w:val="111111"/>
          <w:sz w:val="28"/>
          <w:szCs w:val="28"/>
          <w:rtl/>
        </w:rPr>
        <w:t xml:space="preserve">1 .عيون الاخبار و نزهة الابصار</w:t>
      </w:r>
    </w:p>
    <w:p>
      <w:pPr>
        <w:pStyle w:val="BookText"/>
      </w:pPr>
      <w:r>
        <w:rPr>
          <w:rFonts w:ascii="IRNazanin" w:hAnsi="IRNazanin" w:eastAsia="IRNazanin" w:cs="IRNazanin"/>
          <w:lang w:bidi="fa-IR"/>
          <w:color w:val="111111"/>
          <w:sz w:val="28"/>
          <w:szCs w:val="28"/>
          <w:rtl/>
        </w:rPr>
        <w:t xml:space="preserve">ج 11، ص 395.</w:t>
      </w:r>
    </w:p>
    <w:p>
      <w:pPr>
        <w:pStyle w:val="BookText"/>
      </w:pPr>
      <w:r>
        <w:rPr>
          <w:rFonts w:ascii="Amiri" w:hAnsi="Amiri" w:eastAsia="Amiri" w:cs="Amiri"/>
          <w:lang w:bidi="ar-SA"/>
          <w:color w:val="111111"/>
          <w:sz w:val="28"/>
          <w:szCs w:val="28"/>
          <w:rtl/>
        </w:rPr>
        <w:t xml:space="preserve">2 .القول المقتضب فيما وافق لغة اهل</w:t>
      </w:r>
    </w:p>
    <w:p>
      <w:pPr>
        <w:pStyle w:val="BookText"/>
      </w:pPr>
      <w:r>
        <w:rPr>
          <w:rFonts w:ascii="Amiri" w:hAnsi="Amiri" w:eastAsia="Amiri" w:cs="Amiri"/>
          <w:lang w:bidi="ar-SA"/>
          <w:color w:val="111111"/>
          <w:sz w:val="28"/>
          <w:szCs w:val="28"/>
          <w:rtl/>
        </w:rPr>
        <w:t xml:space="preserve">مصر من لغة العرب، ج 12،</w:t>
      </w:r>
    </w:p>
    <w:p>
      <w:pPr>
        <w:pStyle w:val="BookText"/>
      </w:pPr>
      <w:r>
        <w:rPr>
          <w:rFonts w:ascii="IRNazanin" w:hAnsi="IRNazanin" w:eastAsia="IRNazanin" w:cs="IRNazanin"/>
          <w:lang w:bidi="fa-IR"/>
          <w:color w:val="111111"/>
          <w:sz w:val="28"/>
          <w:szCs w:val="28"/>
          <w:rtl/>
        </w:rPr>
        <w:t xml:space="preserve">ص 865.</w:t>
      </w:r>
    </w:p>
    <w:p>
      <w:pPr>
        <w:pStyle w:val="Heading2"/>
      </w:pPr>
      <w:bookmarkStart w:id="1060" w:name="_Toc162"/>
      <w:r>
        <w:t>ابن ابي السعود ، خيرالدين</w:t>
      </w:r>
      <w:bookmarkEnd w:id="1060"/>
    </w:p>
    <w:p>
      <w:pPr>
        <w:pStyle w:val="BookText"/>
      </w:pPr>
      <w:r>
        <w:rPr>
          <w:rFonts w:ascii="Amiri" w:hAnsi="Amiri" w:eastAsia="Amiri" w:cs="Amiri"/>
          <w:lang w:bidi="ar-SA"/>
          <w:color w:val="111111"/>
          <w:sz w:val="28"/>
          <w:szCs w:val="28"/>
          <w:rtl/>
        </w:rPr>
        <w:t xml:space="preserve">رشف الشرابات السنية من مزج الفاظ</w:t>
      </w:r>
    </w:p>
    <w:p>
      <w:pPr>
        <w:pStyle w:val="BookText"/>
      </w:pPr>
      <w:r>
        <w:rPr>
          <w:rFonts w:ascii="Amiri" w:hAnsi="Amiri" w:eastAsia="Amiri" w:cs="Amiri"/>
          <w:lang w:bidi="ar-SA"/>
          <w:color w:val="111111"/>
          <w:sz w:val="28"/>
          <w:szCs w:val="28"/>
          <w:rtl/>
        </w:rPr>
        <w:t xml:space="preserve">الآجرومية، ج8، ص312</w:t>
      </w:r>
    </w:p>
    <w:p>
      <w:pPr>
        <w:pStyle w:val="Heading2"/>
      </w:pPr>
      <w:bookmarkStart w:id="1061" w:name="_Toc163"/>
      <w:r>
        <w:t>ابن ابي سعود ، محمّد بن صالح حفناوي</w:t>
      </w:r>
      <w:bookmarkEnd w:id="10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1268ه-</w:t>
      </w:r>
    </w:p>
    <w:p>
      <w:pPr>
        <w:pStyle w:val="BookText"/>
      </w:pPr>
      <w:r>
        <w:rPr>
          <w:rFonts w:ascii="Amiri" w:hAnsi="Amiri" w:eastAsia="Amiri" w:cs="Amiri"/>
          <w:lang w:bidi="ar-SA"/>
          <w:color w:val="111111"/>
          <w:sz w:val="28"/>
          <w:szCs w:val="28"/>
          <w:rtl/>
        </w:rPr>
        <w:t xml:space="preserve">تقريرات على شرح المحلي على الورقات، ج 4 ، ص 763 .</w:t>
      </w:r>
    </w:p>
    <w:p>
      <w:pPr>
        <w:pStyle w:val="BookText"/>
      </w:pPr>
      <w:r>
        <w:rPr>
          <w:rFonts w:ascii="Amiri" w:hAnsi="Amiri" w:eastAsia="Amiri" w:cs="Amiri"/>
          <w:lang w:bidi="ar-SA"/>
          <w:color w:val="111111"/>
          <w:sz w:val="28"/>
          <w:szCs w:val="28"/>
          <w:rtl/>
        </w:rPr>
        <w:t xml:space="preserve">ابن ابي سلمي زهير بن أبي سلمي ابن ابي شبانة ، محمّد بن علي اوالي</w:t>
      </w:r>
    </w:p>
    <w:p>
      <w:pPr>
        <w:pStyle w:val="BookText"/>
      </w:pPr>
      <w:r>
        <w:rPr>
          <w:rFonts w:ascii="Amiri" w:hAnsi="Amiri" w:eastAsia="Amiri" w:cs="Amiri"/>
          <w:lang w:bidi="ar-SA"/>
          <w:color w:val="111111"/>
          <w:sz w:val="28"/>
          <w:szCs w:val="28"/>
          <w:rtl/>
        </w:rPr>
        <w:t xml:space="preserve">بحراني ، محمّد بن علي</w:t>
      </w:r>
    </w:p>
    <w:p>
      <w:pPr>
        <w:pStyle w:val="BookText"/>
      </w:pPr>
      <w:r>
        <w:rPr>
          <w:rFonts w:ascii="Amiri" w:hAnsi="Amiri" w:eastAsia="Amiri" w:cs="Amiri"/>
          <w:lang w:bidi="ar-SA"/>
          <w:color w:val="111111"/>
          <w:sz w:val="28"/>
          <w:szCs w:val="28"/>
          <w:rtl/>
        </w:rPr>
        <w:t xml:space="preserve">ابن ابي شبانه بحراني ، علي بن ابراهيم بحراني ، علي بن ابراهيم</w:t>
      </w:r>
    </w:p>
    <w:p>
      <w:pPr>
        <w:pStyle w:val="Heading2"/>
      </w:pPr>
      <w:bookmarkStart w:id="1062" w:name="_Toc164"/>
      <w:r>
        <w:t>ابن أبي شريح ، عبد الرحمن بن احمد</w:t>
      </w:r>
      <w:bookmarkEnd w:id="1062"/>
    </w:p>
    <w:p>
      <w:pPr>
        <w:pStyle w:val="BookText"/>
      </w:pPr>
      <w:r>
        <w:rPr>
          <w:rFonts w:ascii="IRNazanin" w:hAnsi="IRNazanin" w:eastAsia="IRNazanin" w:cs="IRNazanin"/>
          <w:lang w:bidi="fa-IR"/>
          <w:color w:val="111111"/>
          <w:sz w:val="28"/>
          <w:szCs w:val="28"/>
          <w:rtl/>
        </w:rPr>
        <w:t xml:space="preserve">307 - 392 ه-</w:t>
      </w:r>
    </w:p>
    <w:p>
      <w:pPr>
        <w:pStyle w:val="BookText"/>
      </w:pPr>
      <w:r>
        <w:rPr>
          <w:rFonts w:ascii="IRNazanin" w:hAnsi="IRNazanin" w:eastAsia="IRNazanin" w:cs="IRNazanin"/>
          <w:lang w:bidi="fa-IR"/>
          <w:color w:val="111111"/>
          <w:sz w:val="28"/>
          <w:szCs w:val="28"/>
          <w:rtl/>
        </w:rPr>
        <w:t xml:space="preserve">الأحاديث المائة، ج 1، ص 417. پ</w:t>
      </w:r>
    </w:p>
    <w:p>
      <w:pPr>
        <w:pStyle w:val="Heading2"/>
      </w:pPr>
      <w:bookmarkStart w:id="1063" w:name="_Toc165"/>
      <w:r>
        <w:t>ابن ابي شريف ، ابراهيم بن محمّد 836 -</w:t>
      </w:r>
      <w:bookmarkEnd w:id="1063"/>
    </w:p>
    <w:p>
      <w:pPr>
        <w:pStyle w:val="BookText"/>
      </w:pPr>
      <w:r>
        <w:rPr>
          <w:rFonts w:ascii="IRNazanin" w:hAnsi="IRNazanin" w:eastAsia="IRNazanin" w:cs="IRNazanin"/>
          <w:lang w:bidi="fa-IR"/>
          <w:color w:val="111111"/>
          <w:sz w:val="28"/>
          <w:szCs w:val="28"/>
          <w:rtl/>
        </w:rPr>
        <w:t xml:space="preserve">923 ه-</w:t>
      </w:r>
    </w:p>
    <w:p>
      <w:pPr>
        <w:pStyle w:val="BookText"/>
      </w:pPr>
      <w:r>
        <w:rPr>
          <w:rFonts w:ascii="IRNazanin" w:hAnsi="IRNazanin" w:eastAsia="IRNazanin" w:cs="IRNazanin"/>
          <w:lang w:bidi="fa-IR"/>
          <w:color w:val="111111"/>
          <w:sz w:val="28"/>
          <w:szCs w:val="28"/>
          <w:rtl/>
        </w:rPr>
        <w:t xml:space="preserve">جواز الاقتداء بالمخالف و عدمه</w:t>
      </w:r>
    </w:p>
    <w:p>
      <w:pPr>
        <w:pStyle w:val="BookText"/>
      </w:pPr>
      <w:r>
        <w:rPr>
          <w:rFonts w:ascii="Amiri" w:hAnsi="Amiri" w:eastAsia="Amiri" w:cs="Amiri"/>
          <w:lang w:bidi="ar-SA"/>
          <w:color w:val="111111"/>
          <w:sz w:val="28"/>
          <w:szCs w:val="28"/>
          <w:rtl/>
        </w:rPr>
        <w:t xml:space="preserve">(رسالة في)، ج 5، ص 514.</w:t>
      </w:r>
    </w:p>
    <w:p>
      <w:pPr>
        <w:pStyle w:val="Heading2"/>
      </w:pPr>
      <w:bookmarkStart w:id="1064" w:name="_Toc166"/>
      <w:r>
        <w:t>ابن ابي شريف ، محمّد بن محمّد 822 -</w:t>
      </w:r>
      <w:bookmarkEnd w:id="1064"/>
    </w:p>
    <w:p>
      <w:pPr>
        <w:pStyle w:val="BookText"/>
      </w:pPr>
      <w:r>
        <w:rPr>
          <w:rFonts w:ascii="Amiri" w:hAnsi="Amiri" w:eastAsia="Amiri" w:cs="Amiri"/>
          <w:lang w:bidi="ar-SA"/>
          <w:color w:val="111111"/>
          <w:sz w:val="28"/>
          <w:szCs w:val="28"/>
          <w:rtl/>
        </w:rPr>
        <w:t xml:space="preserve">1 .تفسير قوله تعالى «سبحانك ما عرفناك حق معرفتك»، ج 4</w:t>
      </w:r>
    </w:p>
    <w:p>
      <w:pPr>
        <w:pStyle w:val="BookText"/>
      </w:pPr>
      <w:r>
        <w:rPr>
          <w:rFonts w:ascii="IRNazanin" w:hAnsi="IRNazanin" w:eastAsia="IRNazanin" w:cs="IRNazanin"/>
          <w:lang w:bidi="fa-IR"/>
          <w:color w:val="111111"/>
          <w:sz w:val="28"/>
          <w:szCs w:val="28"/>
          <w:rtl/>
        </w:rPr>
        <w:t xml:space="preserve">ص 690 .</w:t>
      </w:r>
    </w:p>
    <w:p>
      <w:pPr>
        <w:pStyle w:val="BookText"/>
      </w:pPr>
      <w:r>
        <w:rPr>
          <w:rFonts w:ascii="Amiri" w:hAnsi="Amiri" w:eastAsia="Amiri" w:cs="Amiri"/>
          <w:lang w:bidi="ar-SA"/>
          <w:color w:val="111111"/>
          <w:sz w:val="28"/>
          <w:szCs w:val="28"/>
          <w:rtl/>
        </w:rPr>
        <w:t xml:space="preserve">2 .جواز الاقتداء بالمخالف (رسالة في)</w:t>
      </w:r>
    </w:p>
    <w:p>
      <w:pPr>
        <w:pStyle w:val="BookText"/>
      </w:pPr>
      <w:r>
        <w:rPr>
          <w:rFonts w:ascii="IRNazanin" w:hAnsi="IRNazanin" w:eastAsia="IRNazanin" w:cs="IRNazanin"/>
          <w:lang w:bidi="fa-IR"/>
          <w:color w:val="111111"/>
          <w:sz w:val="28"/>
          <w:szCs w:val="28"/>
          <w:rtl/>
        </w:rPr>
        <w:t xml:space="preserve">ج 5، ص 514.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انوار التنزيل - التاج و الإكليل على انوار التنزيل، ج5،</w:t>
      </w:r>
    </w:p>
    <w:p>
      <w:pPr>
        <w:pStyle w:val="BookText"/>
      </w:pPr>
      <w:r>
        <w:rPr>
          <w:rFonts w:ascii="IRNazanin" w:hAnsi="IRNazanin" w:eastAsia="IRNazanin" w:cs="IRNazanin"/>
          <w:lang w:bidi="fa-IR"/>
          <w:color w:val="111111"/>
          <w:sz w:val="28"/>
          <w:szCs w:val="28"/>
          <w:rtl/>
        </w:rPr>
        <w:t xml:space="preserve">ص 675 .</w:t>
      </w:r>
    </w:p>
    <w:p>
      <w:pPr>
        <w:pStyle w:val="BookText"/>
      </w:pPr>
      <w:r>
        <w:rPr>
          <w:rFonts w:ascii="Amiri" w:hAnsi="Amiri" w:eastAsia="Amiri" w:cs="Amiri"/>
          <w:lang w:bidi="ar-SA"/>
          <w:color w:val="111111"/>
          <w:sz w:val="28"/>
          <w:szCs w:val="28"/>
          <w:rtl/>
        </w:rPr>
        <w:t xml:space="preserve">4 .حاشية شرح العقائد، ج 6، ص 134.</w:t>
      </w:r>
    </w:p>
    <w:p>
      <w:pPr>
        <w:pStyle w:val="BookText"/>
      </w:pPr>
      <w:r>
        <w:rPr>
          <w:rFonts w:ascii="Amiri" w:hAnsi="Amiri" w:eastAsia="Amiri" w:cs="Amiri"/>
          <w:lang w:bidi="ar-SA"/>
          <w:color w:val="111111"/>
          <w:sz w:val="28"/>
          <w:szCs w:val="28"/>
          <w:rtl/>
        </w:rPr>
        <w:t xml:space="preserve">5 .حاشية شرح المحلي على جمع</w:t>
      </w:r>
    </w:p>
    <w:p>
      <w:pPr>
        <w:pStyle w:val="BookText"/>
      </w:pPr>
      <w:r>
        <w:rPr>
          <w:rFonts w:ascii="IRNazanin" w:hAnsi="IRNazanin" w:eastAsia="IRNazanin" w:cs="IRNazanin"/>
          <w:lang w:bidi="fa-IR"/>
          <w:color w:val="111111"/>
          <w:sz w:val="28"/>
          <w:szCs w:val="28"/>
          <w:rtl/>
        </w:rPr>
        <w:t xml:space="preserve">الجوامع، ج 6 ، ص 166 .</w:t>
      </w:r>
    </w:p>
    <w:p>
      <w:pPr>
        <w:pStyle w:val="BookText"/>
      </w:pPr>
      <w:r>
        <w:rPr>
          <w:rFonts w:ascii="Amiri" w:hAnsi="Amiri" w:eastAsia="Amiri" w:cs="Amiri"/>
          <w:lang w:bidi="ar-SA"/>
          <w:color w:val="111111"/>
          <w:sz w:val="28"/>
          <w:szCs w:val="28"/>
          <w:rtl/>
        </w:rPr>
        <w:t xml:space="preserve">6 .حاشية في الفقه و الاصول، ج 6،</w:t>
      </w:r>
    </w:p>
    <w:p>
      <w:pPr>
        <w:pStyle w:val="BookText"/>
      </w:pPr>
      <w:r>
        <w:rPr>
          <w:rFonts w:ascii="IRNazanin" w:hAnsi="IRNazanin" w:eastAsia="IRNazanin" w:cs="IRNazanin"/>
          <w:lang w:bidi="fa-IR"/>
          <w:color w:val="111111"/>
          <w:sz w:val="28"/>
          <w:szCs w:val="28"/>
          <w:rtl/>
        </w:rPr>
        <w:t xml:space="preserve">ص 299</w:t>
      </w:r>
    </w:p>
    <w:p>
      <w:pPr>
        <w:pStyle w:val="BookText"/>
      </w:pPr>
      <w:r>
        <w:rPr>
          <w:rFonts w:ascii="Amiri" w:hAnsi="Amiri" w:eastAsia="Amiri" w:cs="Amiri"/>
          <w:lang w:bidi="ar-SA"/>
          <w:color w:val="111111"/>
          <w:sz w:val="28"/>
          <w:szCs w:val="28"/>
          <w:rtl/>
        </w:rPr>
        <w:t xml:space="preserve">7 .حاشية نخبة الفكر، ج 6، ص 436 .</w:t>
      </w:r>
    </w:p>
    <w:p>
      <w:pPr>
        <w:pStyle w:val="BookText"/>
      </w:pPr>
      <w:r>
        <w:rPr>
          <w:rFonts w:ascii="Amiri" w:hAnsi="Amiri" w:eastAsia="Amiri" w:cs="Amiri"/>
          <w:lang w:bidi="ar-SA"/>
          <w:color w:val="111111"/>
          <w:sz w:val="28"/>
          <w:szCs w:val="28"/>
          <w:rtl/>
        </w:rPr>
        <w:t xml:space="preserve">8.حواشي على نزهة النظر في توضيح</w:t>
      </w:r>
    </w:p>
    <w:p>
      <w:pPr>
        <w:pStyle w:val="BookText"/>
      </w:pPr>
      <w:r>
        <w:rPr>
          <w:rFonts w:ascii="Amiri" w:hAnsi="Amiri" w:eastAsia="Amiri" w:cs="Amiri"/>
          <w:lang w:bidi="ar-SA"/>
          <w:color w:val="111111"/>
          <w:sz w:val="28"/>
          <w:szCs w:val="28"/>
          <w:rtl/>
        </w:rPr>
        <w:t xml:space="preserve">نخبة الفكر، ج 6، ص 841.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الدور اللوامع بتحرير جمع الجوامع، ج 7، ص311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سر الماعون في دفع شر الطاعون</w:t>
      </w:r>
    </w:p>
    <w:p>
      <w:pPr>
        <w:pStyle w:val="BookText"/>
      </w:pPr>
      <w:r>
        <w:rPr>
          <w:rFonts w:ascii="IRNazanin" w:hAnsi="IRNazanin" w:eastAsia="IRNazanin" w:cs="IRNazanin"/>
          <w:lang w:bidi="fa-IR"/>
          <w:color w:val="111111"/>
          <w:sz w:val="28"/>
          <w:szCs w:val="28"/>
          <w:rtl/>
        </w:rPr>
        <w:t xml:space="preserve">ج8، ص 762 .</w:t>
      </w:r>
    </w:p>
    <w:p>
      <w:pPr>
        <w:pStyle w:val="BookText"/>
      </w:pPr>
      <w:r>
        <w:rPr>
          <w:rFonts w:ascii="Amiri" w:hAnsi="Amiri" w:eastAsia="Amiri" w:cs="Amiri"/>
          <w:lang w:bidi="ar-SA"/>
          <w:color w:val="111111"/>
          <w:sz w:val="28"/>
          <w:szCs w:val="28"/>
          <w:rtl/>
        </w:rPr>
        <w:t xml:space="preserve">11 .شرح ارشاد الغاوي في مسالك</w:t>
      </w:r>
    </w:p>
    <w:p>
      <w:pPr>
        <w:pStyle w:val="BookText"/>
      </w:pPr>
      <w:r>
        <w:rPr>
          <w:rFonts w:ascii="Amiri" w:hAnsi="Amiri" w:eastAsia="Amiri" w:cs="Amiri"/>
          <w:lang w:bidi="ar-SA"/>
          <w:color w:val="111111"/>
          <w:sz w:val="28"/>
          <w:szCs w:val="28"/>
          <w:rtl/>
        </w:rPr>
        <w:t xml:space="preserve">الحاوي، ج 9، ص 186.</w:t>
      </w:r>
    </w:p>
    <w:p>
      <w:pPr>
        <w:pStyle w:val="BookText"/>
      </w:pPr>
      <w:r>
        <w:rPr>
          <w:rFonts w:ascii="Amiri" w:hAnsi="Amiri" w:eastAsia="Amiri" w:cs="Amiri"/>
          <w:lang w:bidi="ar-SA"/>
          <w:color w:val="111111"/>
          <w:sz w:val="28"/>
          <w:szCs w:val="28"/>
          <w:rtl/>
        </w:rPr>
        <w:t xml:space="preserve">12 .شرح المسايرة = المسامرة في شرح المسايرة في العقائد المنجية في الآخرة، ج 10، ص 135.</w:t>
      </w:r>
    </w:p>
    <w:p>
      <w:pPr>
        <w:pStyle w:val="BookText"/>
      </w:pPr>
      <w:r>
        <w:rPr>
          <w:rFonts w:ascii="Amiri" w:hAnsi="Amiri" w:eastAsia="Amiri" w:cs="Amiri"/>
          <w:lang w:bidi="ar-SA"/>
          <w:color w:val="111111"/>
          <w:sz w:val="28"/>
          <w:szCs w:val="28"/>
          <w:rtl/>
        </w:rPr>
        <w:t xml:space="preserve">13.الفرائد( الفوائد) في حل شرح العقائد النسفية، ج11، ص738.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7742_69396"/>
    <w:bookmarkEnd w:id="32"/>
    <w:p>
      <w:pPr>
        <w:pStyle w:val="BookText"/>
      </w:pPr>
      <w:r>
        <w:rPr>
          <w:rFonts w:ascii="Amiri" w:hAnsi="Amiri" w:eastAsia="Amiri" w:cs="Amiri"/>
          <w:lang w:bidi="ar-SA"/>
          <w:color w:val="111111"/>
          <w:sz w:val="28"/>
          <w:szCs w:val="28"/>
          <w:rtl/>
        </w:rPr>
        <w:t xml:space="preserve">ابن أبي الشكر ، يحيى بن محمّد- مغربي ،</w:t>
      </w:r>
    </w:p>
    <w:p>
      <w:pPr>
        <w:pStyle w:val="BookText"/>
      </w:pPr>
      <w:r>
        <w:rPr>
          <w:rFonts w:ascii="Amiri" w:hAnsi="Amiri" w:eastAsia="Amiri" w:cs="Amiri"/>
          <w:lang w:bidi="ar-SA"/>
          <w:color w:val="111111"/>
          <w:sz w:val="28"/>
          <w:szCs w:val="28"/>
          <w:rtl/>
        </w:rPr>
        <w:t xml:space="preserve">يحيى بن محمّد</w:t>
      </w:r>
    </w:p>
    <w:p>
      <w:pPr>
        <w:pStyle w:val="Heading2"/>
      </w:pPr>
      <w:bookmarkStart w:id="1065" w:name="_Toc167"/>
      <w:r>
        <w:t>ابن ابي شيبة</w:t>
      </w:r>
      <w:bookmarkEnd w:id="1065"/>
    </w:p>
    <w:p>
      <w:pPr>
        <w:pStyle w:val="BookText"/>
      </w:pPr>
      <w:r>
        <w:rPr>
          <w:rFonts w:ascii="Amiri" w:hAnsi="Amiri" w:eastAsia="Amiri" w:cs="Amiri"/>
          <w:lang w:bidi="ar-SA"/>
          <w:color w:val="111111"/>
          <w:sz w:val="28"/>
          <w:szCs w:val="28"/>
          <w:rtl/>
        </w:rPr>
        <w:t xml:space="preserve">الايمان = كتاب الايمان، ج3، ص 154 .</w:t>
      </w:r>
    </w:p>
    <w:p>
      <w:pPr>
        <w:pStyle w:val="Heading2"/>
      </w:pPr>
      <w:bookmarkStart w:id="1066" w:name="_Toc168"/>
      <w:r>
        <w:t>ابن ابي طي ، يحيى بن حميده، 575</w:t>
      </w:r>
      <w:bookmarkEnd w:id="1066"/>
    </w:p>
    <w:p>
      <w:pPr>
        <w:pStyle w:val="BookText"/>
      </w:pPr>
      <w:r>
        <w:rPr>
          <w:rFonts w:ascii="IRNazanin" w:hAnsi="IRNazanin" w:eastAsia="IRNazanin" w:cs="IRNazanin"/>
          <w:lang w:bidi="fa-IR"/>
          <w:color w:val="111111"/>
          <w:sz w:val="28"/>
          <w:szCs w:val="28"/>
          <w:rtl/>
        </w:rPr>
        <w:t xml:space="preserve">630 ه-</w:t>
      </w:r>
    </w:p>
    <w:p>
      <w:pPr>
        <w:pStyle w:val="BookText"/>
      </w:pPr>
      <w:r>
        <w:rPr>
          <w:rFonts w:ascii="Amiri" w:hAnsi="Amiri" w:eastAsia="Amiri" w:cs="Amiri"/>
          <w:lang w:bidi="ar-SA"/>
          <w:color w:val="111111"/>
          <w:sz w:val="28"/>
          <w:szCs w:val="28"/>
          <w:rtl/>
        </w:rPr>
        <w:t xml:space="preserve">طبقات العلماء مستلة من كتاب الطريقة المحمّدية (رسالة بيان)، ج 10،</w:t>
      </w:r>
    </w:p>
    <w:p>
      <w:pPr>
        <w:pStyle w:val="Heading2"/>
      </w:pPr>
      <w:bookmarkStart w:id="1067" w:name="_Toc169"/>
      <w:r>
        <w:t>ابن ابي شيبه ، عبدالله بن محمّد، 159 -</w:t>
      </w:r>
      <w:bookmarkEnd w:id="1067"/>
    </w:p>
    <w:p>
      <w:pPr>
        <w:pStyle w:val="BookText"/>
      </w:pPr>
      <w:r>
        <w:rPr>
          <w:rFonts w:ascii="IRNazanin" w:hAnsi="IRNazanin" w:eastAsia="IRNazanin" w:cs="IRNazanin"/>
          <w:lang w:bidi="fa-IR"/>
          <w:color w:val="111111"/>
          <w:sz w:val="28"/>
          <w:szCs w:val="28"/>
          <w:rtl/>
        </w:rPr>
        <w:t xml:space="preserve">235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الكتاب المصنف، ج13، ص123.</w:t>
      </w:r>
    </w:p>
    <w:p>
      <w:pPr>
        <w:pStyle w:val="BookText"/>
      </w:pPr>
      <w:r>
        <w:rPr>
          <w:rFonts w:ascii="Amiri" w:hAnsi="Amiri" w:eastAsia="Amiri" w:cs="Amiri"/>
          <w:lang w:bidi="ar-SA"/>
          <w:color w:val="111111"/>
          <w:sz w:val="28"/>
          <w:szCs w:val="28"/>
          <w:rtl/>
        </w:rPr>
        <w:t xml:space="preserve">2 .المصنف = مصنف ابن ابي شيبة</w:t>
      </w:r>
    </w:p>
    <w:p>
      <w:pPr>
        <w:pStyle w:val="BookText"/>
      </w:pPr>
      <w:r>
        <w:rPr>
          <w:rFonts w:ascii="IRNazanin" w:hAnsi="IRNazanin" w:eastAsia="IRNazanin" w:cs="IRNazanin"/>
          <w:lang w:bidi="fa-IR"/>
          <w:color w:val="111111"/>
          <w:sz w:val="28"/>
          <w:szCs w:val="28"/>
          <w:rtl/>
        </w:rPr>
        <w:t xml:space="preserve">ج 14، ص 751.</w:t>
      </w:r>
    </w:p>
    <w:p>
      <w:pPr>
        <w:pStyle w:val="BookText"/>
      </w:pPr>
      <w:r>
        <w:rPr>
          <w:rFonts w:ascii="Amiri" w:hAnsi="Amiri" w:eastAsia="Amiri" w:cs="Amiri"/>
          <w:lang w:bidi="ar-SA"/>
          <w:color w:val="111111"/>
          <w:sz w:val="28"/>
          <w:szCs w:val="28"/>
          <w:rtl/>
        </w:rPr>
        <w:t xml:space="preserve">ابن ابي شيبه ، محمّد بن عثمان- عبسي ،</w:t>
      </w:r>
    </w:p>
    <w:p>
      <w:pPr>
        <w:pStyle w:val="BookText"/>
      </w:pPr>
      <w:r>
        <w:rPr>
          <w:rFonts w:ascii="IRNazanin" w:hAnsi="IRNazanin" w:eastAsia="IRNazanin" w:cs="IRNazanin"/>
          <w:lang w:bidi="fa-IR"/>
          <w:color w:val="111111"/>
          <w:sz w:val="28"/>
          <w:szCs w:val="28"/>
          <w:rtl/>
        </w:rPr>
        <w:t xml:space="preserve">محمّد بن عثمان</w:t>
      </w:r>
    </w:p>
    <w:p>
      <w:pPr>
        <w:pStyle w:val="BookText"/>
      </w:pPr>
      <w:r>
        <w:rPr>
          <w:rFonts w:ascii="Amiri" w:hAnsi="Amiri" w:eastAsia="Amiri" w:cs="Amiri"/>
          <w:lang w:bidi="ar-SA"/>
          <w:color w:val="111111"/>
          <w:sz w:val="28"/>
          <w:szCs w:val="28"/>
          <w:rtl/>
        </w:rPr>
        <w:t xml:space="preserve">ابن ابي صادق نيشابوري ، ابا القاسم عبد الرحمن بن علي- نيشابوري ، عبد الرحمن</w:t>
      </w:r>
    </w:p>
    <w:p>
      <w:pPr>
        <w:pStyle w:val="BookText"/>
      </w:pPr>
      <w:r>
        <w:rPr>
          <w:rFonts w:ascii="Amiri" w:hAnsi="Amiri" w:eastAsia="Amiri" w:cs="Amiri"/>
          <w:lang w:bidi="ar-SA"/>
          <w:color w:val="111111"/>
          <w:sz w:val="28"/>
          <w:szCs w:val="28"/>
          <w:rtl/>
        </w:rPr>
        <w:t xml:space="preserve">بن علي</w:t>
      </w:r>
    </w:p>
    <w:p>
      <w:pPr>
        <w:pStyle w:val="Heading2"/>
      </w:pPr>
      <w:bookmarkStart w:id="1068" w:name="_Toc170"/>
      <w:r>
        <w:t>ابن أبي الصلت ، امية بن عبدالعزيز 460</w:t>
      </w:r>
      <w:bookmarkEnd w:id="106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529 ه-</w:t>
      </w:r>
    </w:p>
    <w:p>
      <w:pPr>
        <w:pStyle w:val="BookText"/>
      </w:pPr>
      <w:r>
        <w:rPr>
          <w:rFonts w:ascii="IRNazanin" w:hAnsi="IRNazanin" w:eastAsia="IRNazanin" w:cs="IRNazanin"/>
          <w:lang w:bidi="fa-IR"/>
          <w:color w:val="111111"/>
          <w:sz w:val="28"/>
          <w:szCs w:val="28"/>
          <w:rtl/>
        </w:rPr>
        <w:t xml:space="preserve">الاسطرلاب، ج 2، ص187</w:t>
      </w:r>
    </w:p>
    <w:p>
      <w:pPr>
        <w:pStyle w:val="Heading2"/>
      </w:pPr>
      <w:bookmarkStart w:id="1069" w:name="_Toc171"/>
      <w:r>
        <w:t>ابن ابي طاهر ، احمد بن ابي طاهر 204 -</w:t>
      </w:r>
      <w:bookmarkEnd w:id="1069"/>
    </w:p>
    <w:p>
      <w:pPr>
        <w:pStyle w:val="BookText"/>
      </w:pPr>
      <w:r>
        <w:rPr>
          <w:rFonts w:ascii="IRNazanin" w:hAnsi="IRNazanin" w:eastAsia="IRNazanin" w:cs="IRNazanin"/>
          <w:lang w:bidi="fa-IR"/>
          <w:color w:val="111111"/>
          <w:sz w:val="28"/>
          <w:szCs w:val="28"/>
          <w:rtl/>
        </w:rPr>
        <w:t xml:space="preserve">280 ه-</w:t>
      </w:r>
    </w:p>
    <w:p>
      <w:pPr>
        <w:pStyle w:val="BookText"/>
      </w:pPr>
      <w:r>
        <w:rPr>
          <w:rFonts w:ascii="IRNazanin" w:hAnsi="IRNazanin" w:eastAsia="IRNazanin" w:cs="IRNazanin"/>
          <w:lang w:bidi="fa-IR"/>
          <w:color w:val="111111"/>
          <w:sz w:val="28"/>
          <w:szCs w:val="28"/>
          <w:rtl/>
        </w:rPr>
        <w:t xml:space="preserve">1 .كتاب بغداد = تاریخ بغداد، ج13</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IRNazanin" w:hAnsi="IRNazanin" w:eastAsia="IRNazanin" w:cs="IRNazanin"/>
          <w:lang w:bidi="fa-IR"/>
          <w:color w:val="111111"/>
          <w:sz w:val="28"/>
          <w:szCs w:val="28"/>
          <w:rtl/>
        </w:rPr>
        <w:t xml:space="preserve">2 .المنثور والمنظوم = بلاغات النساء</w:t>
      </w:r>
    </w:p>
    <w:p>
      <w:pPr>
        <w:pStyle w:val="BookText"/>
      </w:pPr>
      <w:r>
        <w:rPr>
          <w:rFonts w:ascii="IRNazanin" w:hAnsi="IRNazanin" w:eastAsia="IRNazanin" w:cs="IRNazanin"/>
          <w:lang w:bidi="fa-IR"/>
          <w:color w:val="111111"/>
          <w:sz w:val="28"/>
          <w:szCs w:val="28"/>
          <w:rtl/>
        </w:rPr>
        <w:t xml:space="preserve">ܘܠ، ܡ ܼܘ ܵ.</w:t>
      </w:r>
    </w:p>
    <w:p>
      <w:pPr>
        <w:pStyle w:val="BookText"/>
      </w:pPr>
      <w:r>
        <w:rPr>
          <w:rFonts w:ascii="Amiri" w:hAnsi="Amiri" w:eastAsia="Amiri" w:cs="Amiri"/>
          <w:lang w:bidi="ar-SA"/>
          <w:color w:val="111111"/>
          <w:sz w:val="28"/>
          <w:szCs w:val="28"/>
          <w:rtl/>
        </w:rPr>
        <w:t xml:space="preserve">ابن ابي طلحه نصيبي- نصيبي ، محمد بن</w:t>
      </w:r>
    </w:p>
    <w:p>
      <w:pPr>
        <w:pStyle w:val="BookText"/>
      </w:pPr>
      <w:r>
        <w:rPr>
          <w:rFonts w:ascii="IRNazanin" w:hAnsi="IRNazanin" w:eastAsia="IRNazanin" w:cs="IRNazanin"/>
          <w:lang w:bidi="fa-IR"/>
          <w:color w:val="111111"/>
          <w:sz w:val="28"/>
          <w:szCs w:val="28"/>
          <w:rtl/>
        </w:rPr>
        <w:t xml:space="preserve">طلحه</w:t>
      </w:r>
    </w:p>
    <w:p>
      <w:pPr>
        <w:pStyle w:val="BookText"/>
      </w:pPr>
      <w:r>
        <w:rPr>
          <w:rFonts w:ascii="IRNazanin" w:hAnsi="IRNazanin" w:eastAsia="IRNazanin" w:cs="IRNazanin"/>
          <w:lang w:bidi="fa-IR"/>
          <w:color w:val="111111"/>
          <w:sz w:val="28"/>
          <w:szCs w:val="28"/>
          <w:rtl/>
        </w:rPr>
        <w:t xml:space="preserve">ص 782.</w:t>
      </w:r>
    </w:p>
    <w:p>
      <w:pPr>
        <w:pStyle w:val="Heading2"/>
      </w:pPr>
      <w:bookmarkStart w:id="1070" w:name="_Toc172"/>
      <w:r>
        <w:t>ابن ابي عاصم ، احمد بن عمرو 206 -</w:t>
      </w:r>
      <w:bookmarkEnd w:id="1070"/>
    </w:p>
    <w:p>
      <w:pPr>
        <w:pStyle w:val="BookText"/>
      </w:pPr>
      <w:r>
        <w:rPr>
          <w:rFonts w:ascii="IRNazanin" w:hAnsi="IRNazanin" w:eastAsia="IRNazanin" w:cs="IRNazanin"/>
          <w:lang w:bidi="fa-IR"/>
          <w:color w:val="111111"/>
          <w:sz w:val="28"/>
          <w:szCs w:val="28"/>
          <w:rtl/>
        </w:rPr>
        <w:t xml:space="preserve">287 ه-</w:t>
      </w:r>
    </w:p>
    <w:p>
      <w:pPr>
        <w:pStyle w:val="BookText"/>
      </w:pPr>
      <w:r>
        <w:rPr>
          <w:rFonts w:ascii="IRNazanin" w:hAnsi="IRNazanin" w:eastAsia="IRNazanin" w:cs="IRNazanin"/>
          <w:lang w:bidi="fa-IR"/>
          <w:color w:val="111111"/>
          <w:sz w:val="28"/>
          <w:szCs w:val="28"/>
          <w:rtl/>
        </w:rPr>
        <w:t xml:space="preserve">الجهاد، ج 5، ص 477.</w:t>
      </w:r>
    </w:p>
    <w:p>
      <w:pPr>
        <w:pStyle w:val="Heading2"/>
      </w:pPr>
      <w:bookmarkStart w:id="1071" w:name="_Toc173"/>
      <w:r>
        <w:t>ابن ابي العاصم، احمد بن عمر</w:t>
      </w:r>
      <w:bookmarkEnd w:id="1071"/>
    </w:p>
    <w:p>
      <w:pPr>
        <w:pStyle w:val="BookText"/>
      </w:pPr>
      <w:r>
        <w:rPr>
          <w:rFonts w:ascii="IRNazanin" w:hAnsi="IRNazanin" w:eastAsia="IRNazanin" w:cs="IRNazanin"/>
          <w:lang w:bidi="fa-IR"/>
          <w:color w:val="111111"/>
          <w:sz w:val="28"/>
          <w:szCs w:val="28"/>
          <w:rtl/>
        </w:rPr>
        <w:t xml:space="preserve">الاوائل، ج 3، ص 57.</w:t>
      </w:r>
    </w:p>
    <w:p>
      <w:pPr>
        <w:pStyle w:val="Heading2"/>
      </w:pPr>
      <w:bookmarkStart w:id="1072" w:name="_Toc174"/>
      <w:r>
        <w:t>ابن ابي العباس ، محمّد بن شهاب الدین</w:t>
      </w:r>
      <w:bookmarkEnd w:id="1072"/>
    </w:p>
    <w:p>
      <w:pPr>
        <w:pStyle w:val="BookText"/>
      </w:pPr>
      <w:r>
        <w:rPr>
          <w:rFonts w:ascii="Amiri" w:hAnsi="Amiri" w:eastAsia="Amiri" w:cs="Amiri"/>
          <w:lang w:bidi="ar-SA"/>
          <w:color w:val="111111"/>
          <w:sz w:val="28"/>
          <w:szCs w:val="28"/>
          <w:rtl/>
        </w:rPr>
        <w:t xml:space="preserve">ديوان ابن أبي العباس، ج 7، ص 512.</w:t>
      </w:r>
    </w:p>
    <w:p>
      <w:pPr>
        <w:pStyle w:val="Heading2"/>
      </w:pPr>
      <w:bookmarkStart w:id="1073" w:name="_Toc175"/>
      <w:r>
        <w:t>ابن ابي عذيبة ، احمد بن محمّد 819-</w:t>
      </w:r>
      <w:bookmarkEnd w:id="1073"/>
    </w:p>
    <w:p>
      <w:pPr>
        <w:pStyle w:val="BookText"/>
      </w:pPr>
      <w:r>
        <w:rPr>
          <w:rFonts w:ascii="IRNazanin" w:hAnsi="IRNazanin" w:eastAsia="IRNazanin" w:cs="IRNazanin"/>
          <w:lang w:bidi="fa-IR"/>
          <w:color w:val="111111"/>
          <w:sz w:val="28"/>
          <w:szCs w:val="28"/>
          <w:rtl/>
        </w:rPr>
        <w:t xml:space="preserve">856 ه-</w:t>
      </w:r>
    </w:p>
    <w:p>
      <w:pPr>
        <w:pStyle w:val="BookText"/>
      </w:pPr>
      <w:r>
        <w:rPr>
          <w:rFonts w:ascii="Amiri" w:hAnsi="Amiri" w:eastAsia="Amiri" w:cs="Amiri"/>
          <w:lang w:bidi="ar-SA"/>
          <w:color w:val="111111"/>
          <w:sz w:val="28"/>
          <w:szCs w:val="28"/>
          <w:rtl/>
        </w:rPr>
        <w:t xml:space="preserve">1 .تاريخ دول الاعيان شرح قصيدة نظم الجمان في ذكر من سلف من</w:t>
      </w:r>
    </w:p>
    <w:p>
      <w:pPr>
        <w:pStyle w:val="BookText"/>
      </w:pPr>
      <w:r>
        <w:rPr>
          <w:rFonts w:ascii="Amiri" w:hAnsi="Amiri" w:eastAsia="Amiri" w:cs="Amiri"/>
          <w:lang w:bidi="ar-SA"/>
          <w:color w:val="111111"/>
          <w:sz w:val="28"/>
          <w:szCs w:val="28"/>
          <w:rtl/>
        </w:rPr>
        <w:t xml:space="preserve">أهل الزمان - تاريخ ابن ابي عذيبة</w:t>
      </w:r>
    </w:p>
    <w:p>
      <w:pPr>
        <w:pStyle w:val="BookText"/>
      </w:pPr>
      <w:r>
        <w:rPr>
          <w:rFonts w:ascii="IRNazanin" w:hAnsi="IRNazanin" w:eastAsia="IRNazanin" w:cs="IRNazanin"/>
          <w:lang w:bidi="fa-IR"/>
          <w:color w:val="111111"/>
          <w:sz w:val="28"/>
          <w:szCs w:val="28"/>
          <w:rtl/>
        </w:rPr>
        <w:t xml:space="preserve">ج 3، ص 572.</w:t>
      </w:r>
    </w:p>
    <w:p>
      <w:pPr>
        <w:pStyle w:val="BookText"/>
      </w:pPr>
      <w:r>
        <w:rPr>
          <w:rFonts w:ascii="Amiri" w:hAnsi="Amiri" w:eastAsia="Amiri" w:cs="Amiri"/>
          <w:lang w:bidi="ar-SA"/>
          <w:color w:val="111111"/>
          <w:sz w:val="28"/>
          <w:szCs w:val="28"/>
          <w:rtl/>
        </w:rPr>
        <w:t xml:space="preserve">2 .مختصر التاريخ الكبير، ج 14،</w:t>
      </w:r>
    </w:p>
    <w:p>
      <w:pPr>
        <w:pStyle w:val="BookText"/>
      </w:pPr>
      <w:r>
        <w:rPr>
          <w:rFonts w:ascii="IRNazanin" w:hAnsi="IRNazanin" w:eastAsia="IRNazanin" w:cs="IRNazanin"/>
          <w:lang w:bidi="fa-IR"/>
          <w:color w:val="111111"/>
          <w:sz w:val="28"/>
          <w:szCs w:val="28"/>
          <w:rtl/>
        </w:rPr>
        <w:t xml:space="preserve">ص 179</w:t>
      </w:r>
    </w:p>
    <w:p>
      <w:pPr>
        <w:pStyle w:val="Heading2"/>
      </w:pPr>
      <w:bookmarkStart w:id="1074" w:name="_Toc176"/>
      <w:r>
        <w:t>ابن ابي العز ، علي بن علي، 731 - 792 ه-</w:t>
      </w:r>
      <w:bookmarkEnd w:id="1074"/>
    </w:p>
    <w:p>
      <w:pPr>
        <w:pStyle w:val="BookText"/>
      </w:pPr>
      <w:r>
        <w:rPr>
          <w:rFonts w:ascii="Amiri" w:hAnsi="Amiri" w:eastAsia="Amiri" w:cs="Amiri"/>
          <w:lang w:bidi="ar-SA"/>
          <w:color w:val="111111"/>
          <w:sz w:val="28"/>
          <w:szCs w:val="28"/>
          <w:rtl/>
        </w:rPr>
        <w:t xml:space="preserve">1 .التهذيب لذهن اللبيب، ج 5،</w:t>
      </w:r>
    </w:p>
    <w:p>
      <w:pPr>
        <w:pStyle w:val="BookText"/>
      </w:pPr>
      <w:r>
        <w:rPr>
          <w:rFonts w:ascii="IRNazanin" w:hAnsi="IRNazanin" w:eastAsia="IRNazanin" w:cs="IRNazanin"/>
          <w:lang w:bidi="fa-IR"/>
          <w:color w:val="111111"/>
          <w:sz w:val="28"/>
          <w:szCs w:val="28"/>
          <w:rtl/>
        </w:rPr>
        <w:t xml:space="preserve">ص 121 .</w:t>
      </w:r>
    </w:p>
    <w:p>
      <w:pPr>
        <w:pStyle w:val="BookText"/>
      </w:pPr>
      <w:r>
        <w:rPr>
          <w:rFonts w:ascii="Amiri" w:hAnsi="Amiri" w:eastAsia="Amiri" w:cs="Amiri"/>
          <w:lang w:bidi="ar-SA"/>
          <w:color w:val="111111"/>
          <w:sz w:val="28"/>
          <w:szCs w:val="28"/>
          <w:rtl/>
        </w:rPr>
        <w:t xml:space="preserve">2 .مسائل ملغزة (رسالة في)، ج 14،</w:t>
      </w:r>
    </w:p>
    <w:p>
      <w:pPr>
        <w:pStyle w:val="BookText"/>
      </w:pPr>
      <w:r>
        <w:rPr>
          <w:rFonts w:ascii="IRNazanin" w:hAnsi="IRNazanin" w:eastAsia="IRNazanin" w:cs="IRNazanin"/>
          <w:lang w:bidi="fa-IR"/>
          <w:color w:val="111111"/>
          <w:sz w:val="28"/>
          <w:szCs w:val="28"/>
          <w:rtl/>
        </w:rPr>
        <w:t xml:space="preserve">ص 490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7742_69398"/>
    <w:bookmarkEnd w:id="33"/>
    <w:p>
      <w:pPr>
        <w:pStyle w:val="Heading2"/>
      </w:pPr>
      <w:bookmarkStart w:id="1075" w:name="_Toc177"/>
      <w:r>
        <w:t>ابن ابي عصرون كنجي، محمّد بن احمد</w:t>
      </w:r>
      <w:bookmarkEnd w:id="1075"/>
    </w:p>
    <w:p>
      <w:pPr>
        <w:pStyle w:val="BookText"/>
      </w:pPr>
      <w:r>
        <w:rPr>
          <w:rFonts w:ascii="Amiri" w:hAnsi="Amiri" w:eastAsia="Amiri" w:cs="Amiri"/>
          <w:lang w:bidi="ar-SA"/>
          <w:color w:val="111111"/>
          <w:sz w:val="28"/>
          <w:szCs w:val="28"/>
          <w:rtl/>
        </w:rPr>
        <w:t xml:space="preserve">رشف النبيه بما جاء في التشابيه، ج8،</w:t>
      </w:r>
    </w:p>
    <w:p>
      <w:pPr>
        <w:pStyle w:val="BookText"/>
      </w:pPr>
      <w:r>
        <w:rPr>
          <w:rFonts w:ascii="IRNazanin" w:hAnsi="IRNazanin" w:eastAsia="IRNazanin" w:cs="IRNazanin"/>
          <w:lang w:bidi="fa-IR"/>
          <w:color w:val="111111"/>
          <w:sz w:val="28"/>
          <w:szCs w:val="28"/>
          <w:rtl/>
        </w:rPr>
        <w:t xml:space="preserve">ص 314.</w:t>
      </w:r>
    </w:p>
    <w:p>
      <w:pPr>
        <w:pStyle w:val="Heading2"/>
      </w:pPr>
      <w:bookmarkStart w:id="1076" w:name="_Toc178"/>
      <w:r>
        <w:t>ابن ابي عطاء ، عبيد الله بن محمّد فتح من له ان يمن بالكلام = شرح</w:t>
      </w:r>
      <w:bookmarkEnd w:id="1076"/>
    </w:p>
    <w:p>
      <w:pPr>
        <w:pStyle w:val="BookText"/>
      </w:pPr>
      <w:r>
        <w:rPr>
          <w:rFonts w:ascii="Amiri" w:hAnsi="Amiri" w:eastAsia="Amiri" w:cs="Amiri"/>
          <w:lang w:bidi="ar-SA"/>
          <w:color w:val="111111"/>
          <w:sz w:val="28"/>
          <w:szCs w:val="28"/>
          <w:rtl/>
        </w:rPr>
        <w:t xml:space="preserve">حديث عبدالله بن عباس، ج11،</w:t>
      </w:r>
    </w:p>
    <w:p>
      <w:pPr>
        <w:pStyle w:val="BookText"/>
      </w:pPr>
      <w:r>
        <w:rPr>
          <w:rFonts w:ascii="IRNazanin" w:hAnsi="IRNazanin" w:eastAsia="IRNazanin" w:cs="IRNazanin"/>
          <w:lang w:bidi="fa-IR"/>
          <w:color w:val="111111"/>
          <w:sz w:val="28"/>
          <w:szCs w:val="28"/>
          <w:rtl/>
        </w:rPr>
        <w:t xml:space="preserve">ص 686 .</w:t>
      </w:r>
    </w:p>
    <w:p>
      <w:pPr>
        <w:pStyle w:val="BookText"/>
      </w:pPr>
      <w:r>
        <w:rPr>
          <w:rFonts w:ascii="Amiri" w:hAnsi="Amiri" w:eastAsia="Amiri" w:cs="Amiri"/>
          <w:lang w:bidi="ar-SA"/>
          <w:color w:val="111111"/>
          <w:sz w:val="28"/>
          <w:szCs w:val="28"/>
          <w:rtl/>
        </w:rPr>
        <w:t xml:space="preserve">ابن ابي العلاء ، عبدالله بن محمّد- طلباني ،</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1077" w:name="_Toc179"/>
      <w:r>
        <w:t>ابن ابي عمير، محمّد بن زیاد - 217 ه-</w:t>
      </w:r>
      <w:bookmarkEnd w:id="1077"/>
    </w:p>
    <w:p>
      <w:pPr>
        <w:pStyle w:val="BookText"/>
      </w:pPr>
      <w:r>
        <w:rPr>
          <w:rFonts w:ascii="IRNazanin" w:hAnsi="IRNazanin" w:eastAsia="IRNazanin" w:cs="IRNazanin"/>
          <w:lang w:bidi="fa-IR"/>
          <w:color w:val="111111"/>
          <w:sz w:val="28"/>
          <w:szCs w:val="28"/>
          <w:rtl/>
        </w:rPr>
        <w:t xml:space="preserve">کتاب سلام بن ابي عميرة، ج13،</w:t>
      </w:r>
    </w:p>
    <w:p>
      <w:pPr>
        <w:pStyle w:val="BookText"/>
      </w:pPr>
      <w:r>
        <w:rPr>
          <w:rFonts w:ascii="IRNazanin" w:hAnsi="IRNazanin" w:eastAsia="IRNazanin" w:cs="IRNazanin"/>
          <w:lang w:bidi="fa-IR"/>
          <w:color w:val="111111"/>
          <w:sz w:val="28"/>
          <w:szCs w:val="28"/>
          <w:rtl/>
        </w:rPr>
        <w:t xml:space="preserve">ص 102.</w:t>
      </w:r>
    </w:p>
    <w:p>
      <w:pPr>
        <w:pStyle w:val="Heading2"/>
      </w:pPr>
      <w:bookmarkStart w:id="1078" w:name="_Toc180"/>
      <w:r>
        <w:t>ابن ابي عون ، ابراهيم بن محمّد -322ه-</w:t>
      </w:r>
      <w:bookmarkEnd w:id="1078"/>
    </w:p>
    <w:p>
      <w:pPr>
        <w:pStyle w:val="BookText"/>
      </w:pPr>
      <w:r>
        <w:rPr>
          <w:rFonts w:ascii="Amiri" w:hAnsi="Amiri" w:eastAsia="Amiri" w:cs="Amiri"/>
          <w:lang w:bidi="ar-SA"/>
          <w:color w:val="111111"/>
          <w:sz w:val="28"/>
          <w:szCs w:val="28"/>
          <w:rtl/>
        </w:rPr>
        <w:t xml:space="preserve">الاجوبة المسكتة، ج 1، ص 382.</w:t>
      </w:r>
    </w:p>
    <w:p>
      <w:pPr>
        <w:pStyle w:val="BookText"/>
      </w:pPr>
      <w:r>
        <w:rPr>
          <w:rFonts w:ascii="Amiri" w:hAnsi="Amiri" w:eastAsia="Amiri" w:cs="Amiri"/>
          <w:lang w:bidi="ar-SA"/>
          <w:color w:val="111111"/>
          <w:sz w:val="28"/>
          <w:szCs w:val="28"/>
          <w:rtl/>
        </w:rPr>
        <w:t xml:space="preserve">ابن ابي الغنائم ، علي بن محمّد -ابن</w:t>
      </w:r>
    </w:p>
    <w:p>
      <w:pPr>
        <w:pStyle w:val="BookText"/>
      </w:pPr>
      <w:r>
        <w:rPr>
          <w:rFonts w:ascii="Amiri" w:hAnsi="Amiri" w:eastAsia="Amiri" w:cs="Amiri"/>
          <w:lang w:bidi="ar-SA"/>
          <w:color w:val="111111"/>
          <w:sz w:val="28"/>
          <w:szCs w:val="28"/>
          <w:rtl/>
        </w:rPr>
        <w:t xml:space="preserve">صوفي ، علي بن محمّد ابن ابي فتح ، محمّد صوفي صوفي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ابن ابي فراس ، ورام بن عيسى- ورام ،</w:t>
      </w:r>
    </w:p>
    <w:p>
      <w:pPr>
        <w:pStyle w:val="BookText"/>
      </w:pPr>
      <w:r>
        <w:rPr>
          <w:rFonts w:ascii="Amiri" w:hAnsi="Amiri" w:eastAsia="Amiri" w:cs="Amiri"/>
          <w:lang w:bidi="ar-SA"/>
          <w:color w:val="111111"/>
          <w:sz w:val="28"/>
          <w:szCs w:val="28"/>
          <w:rtl/>
        </w:rPr>
        <w:t xml:space="preserve">مسعود بن عيسى</w:t>
      </w:r>
    </w:p>
    <w:p>
      <w:pPr>
        <w:pStyle w:val="Heading2"/>
      </w:pPr>
      <w:bookmarkStart w:id="1079" w:name="_Toc181"/>
      <w:r>
        <w:t>ابن ابي الفضل ، محمّد حسن</w:t>
      </w:r>
      <w:bookmarkEnd w:id="1079"/>
    </w:p>
    <w:p>
      <w:pPr>
        <w:pStyle w:val="BookText"/>
      </w:pPr>
      <w:r>
        <w:rPr>
          <w:rFonts w:ascii="Amiri" w:hAnsi="Amiri" w:eastAsia="Amiri" w:cs="Amiri"/>
          <w:lang w:bidi="ar-SA"/>
          <w:color w:val="111111"/>
          <w:sz w:val="28"/>
          <w:szCs w:val="28"/>
          <w:rtl/>
        </w:rPr>
        <w:t xml:space="preserve">العقائد (منظومة في)، ج 11، ص138.</w:t>
      </w:r>
    </w:p>
    <w:p>
      <w:pPr>
        <w:pStyle w:val="BookText"/>
      </w:pPr>
      <w:r>
        <w:rPr>
          <w:rFonts w:ascii="Amiri" w:hAnsi="Amiri" w:eastAsia="Amiri" w:cs="Amiri"/>
          <w:lang w:bidi="ar-SA"/>
          <w:color w:val="111111"/>
          <w:sz w:val="28"/>
          <w:szCs w:val="28"/>
          <w:rtl/>
        </w:rPr>
        <w:t xml:space="preserve">ابن ابي الفوارس- ابن وردي ، عمر بن</w:t>
      </w:r>
    </w:p>
    <w:p>
      <w:pPr>
        <w:pStyle w:val="BookText"/>
      </w:pPr>
      <w:r>
        <w:rPr>
          <w:rFonts w:ascii="IRNazanin" w:hAnsi="IRNazanin" w:eastAsia="IRNazanin" w:cs="IRNazanin"/>
          <w:lang w:bidi="fa-IR"/>
          <w:color w:val="111111"/>
          <w:sz w:val="28"/>
          <w:szCs w:val="28"/>
          <w:rtl/>
        </w:rPr>
        <w:t xml:space="preserve">مظفر</w:t>
      </w:r>
    </w:p>
    <w:p>
      <w:pPr>
        <w:pStyle w:val="Heading2"/>
      </w:pPr>
      <w:bookmarkStart w:id="1080" w:name="_Toc182"/>
      <w:r>
        <w:t>ابن ابي الفوارس ، ابوالفتوح ، قرن 7 ه-</w:t>
      </w:r>
      <w:bookmarkEnd w:id="1080"/>
    </w:p>
    <w:p>
      <w:pPr>
        <w:pStyle w:val="BookText"/>
      </w:pPr>
      <w:r>
        <w:rPr>
          <w:rFonts w:ascii="Amiri" w:hAnsi="Amiri" w:eastAsia="Amiri" w:cs="Amiri"/>
          <w:lang w:bidi="ar-SA"/>
          <w:color w:val="111111"/>
          <w:sz w:val="28"/>
          <w:szCs w:val="28"/>
          <w:rtl/>
        </w:rPr>
        <w:t xml:space="preserve">الفوائد المنتقاة، ج 12، ص278</w:t>
      </w:r>
    </w:p>
    <w:p>
      <w:pPr>
        <w:pStyle w:val="BookText"/>
      </w:pPr>
      <w:r>
        <w:rPr>
          <w:rFonts w:ascii="Amiri" w:hAnsi="Amiri" w:eastAsia="Amiri" w:cs="Amiri"/>
          <w:lang w:bidi="ar-SA"/>
          <w:color w:val="111111"/>
          <w:sz w:val="28"/>
          <w:szCs w:val="28"/>
          <w:rtl/>
        </w:rPr>
        <w:t xml:space="preserve">ابن ابي الفوارس الرازي- رازي ، محمّد بن</w:t>
      </w:r>
    </w:p>
    <w:p>
      <w:pPr>
        <w:pStyle w:val="BookText"/>
      </w:pPr>
      <w:r>
        <w:rPr>
          <w:rFonts w:ascii="IRNazanin" w:hAnsi="IRNazanin" w:eastAsia="IRNazanin" w:cs="IRNazanin"/>
          <w:lang w:bidi="fa-IR"/>
          <w:color w:val="111111"/>
          <w:sz w:val="28"/>
          <w:szCs w:val="28"/>
          <w:rtl/>
        </w:rPr>
        <w:t xml:space="preserve">مسلم</w:t>
      </w:r>
    </w:p>
    <w:p>
      <w:pPr>
        <w:pStyle w:val="BookText"/>
      </w:pPr>
      <w:r>
        <w:rPr>
          <w:rFonts w:ascii="Amiri" w:hAnsi="Amiri" w:eastAsia="Amiri" w:cs="Amiri"/>
          <w:lang w:bidi="ar-SA"/>
          <w:color w:val="111111"/>
          <w:sz w:val="28"/>
          <w:szCs w:val="28"/>
          <w:rtl/>
        </w:rPr>
        <w:t xml:space="preserve">ابن ابي قحافه- ابوبكر ، عبدالله بن ابي</w:t>
      </w:r>
    </w:p>
    <w:p>
      <w:pPr>
        <w:pStyle w:val="BookText"/>
      </w:pPr>
      <w:r>
        <w:rPr>
          <w:rFonts w:ascii="IRNazanin" w:hAnsi="IRNazanin" w:eastAsia="IRNazanin" w:cs="IRNazanin"/>
          <w:lang w:bidi="fa-IR"/>
          <w:color w:val="111111"/>
          <w:sz w:val="28"/>
          <w:szCs w:val="28"/>
          <w:rtl/>
        </w:rPr>
        <w:t xml:space="preserve">قحافه</w:t>
      </w:r>
    </w:p>
    <w:p>
      <w:pPr>
        <w:pStyle w:val="Heading2"/>
      </w:pPr>
      <w:bookmarkStart w:id="1081" w:name="_Toc183"/>
      <w:r>
        <w:t>ابن ابي كراب حسيني ، عبدالله، قرن 13 ه-</w:t>
      </w:r>
      <w:bookmarkEnd w:id="1081"/>
    </w:p>
    <w:p>
      <w:pPr>
        <w:pStyle w:val="BookText"/>
      </w:pPr>
      <w:r>
        <w:rPr>
          <w:rFonts w:ascii="Amiri" w:hAnsi="Amiri" w:eastAsia="Amiri" w:cs="Amiri"/>
          <w:lang w:bidi="ar-SA"/>
          <w:color w:val="111111"/>
          <w:sz w:val="28"/>
          <w:szCs w:val="28"/>
          <w:rtl/>
        </w:rPr>
        <w:t xml:space="preserve">العروة الوثقى و الطريقة الوسطى</w:t>
      </w:r>
    </w:p>
    <w:p>
      <w:pPr>
        <w:pStyle w:val="BookText"/>
      </w:pPr>
      <w:r>
        <w:rPr>
          <w:rFonts w:ascii="IRNazanin" w:hAnsi="IRNazanin" w:eastAsia="IRNazanin" w:cs="IRNazanin"/>
          <w:lang w:bidi="fa-IR"/>
          <w:color w:val="111111"/>
          <w:sz w:val="28"/>
          <w:szCs w:val="28"/>
          <w:rtl/>
        </w:rPr>
        <w:t xml:space="preserve">ج 11، ص 87.</w:t>
      </w:r>
    </w:p>
    <w:p>
      <w:pPr>
        <w:pStyle w:val="BookText"/>
      </w:pPr>
      <w:r>
        <w:rPr>
          <w:rFonts w:ascii="Amiri" w:hAnsi="Amiri" w:eastAsia="Amiri" w:cs="Amiri"/>
          <w:lang w:bidi="ar-SA"/>
          <w:color w:val="111111"/>
          <w:sz w:val="28"/>
          <w:szCs w:val="28"/>
          <w:rtl/>
        </w:rPr>
        <w:t xml:space="preserve">ابن ابي اللطف عبد الرحيم حسيني- لطفي</w:t>
      </w:r>
    </w:p>
    <w:p>
      <w:pPr>
        <w:pStyle w:val="BookText"/>
      </w:pPr>
      <w:r>
        <w:rPr>
          <w:rFonts w:ascii="IRNazanin" w:hAnsi="IRNazanin" w:eastAsia="IRNazanin" w:cs="IRNazanin"/>
          <w:lang w:bidi="fa-IR"/>
          <w:color w:val="111111"/>
          <w:sz w:val="28"/>
          <w:szCs w:val="28"/>
          <w:rtl/>
        </w:rPr>
        <w:t xml:space="preserve">، محمّد بن عبدالرحیم</w:t>
      </w:r>
    </w:p>
    <w:p>
      <w:pPr>
        <w:pStyle w:val="BookText"/>
      </w:pPr>
      <w:r>
        <w:rPr>
          <w:rFonts w:ascii="Amiri" w:hAnsi="Amiri" w:eastAsia="Amiri" w:cs="Amiri"/>
          <w:lang w:bidi="ar-SA"/>
          <w:color w:val="111111"/>
          <w:sz w:val="28"/>
          <w:szCs w:val="28"/>
          <w:rtl/>
        </w:rPr>
        <w:t xml:space="preserve">ابن ابي اللطف مقدسي - مقدسي ، محمّد</w:t>
      </w:r>
    </w:p>
    <w:p>
      <w:pPr>
        <w:pStyle w:val="BookText"/>
      </w:pPr>
      <w:r>
        <w:rPr>
          <w:rFonts w:ascii="Amiri" w:hAnsi="Amiri" w:eastAsia="Amiri" w:cs="Amiri"/>
          <w:lang w:bidi="ar-SA"/>
          <w:color w:val="111111"/>
          <w:sz w:val="28"/>
          <w:szCs w:val="28"/>
          <w:rtl/>
        </w:rPr>
        <w:t xml:space="preserve">بن محمّد</w:t>
      </w:r>
    </w:p>
    <w:p>
      <w:pPr>
        <w:pStyle w:val="Heading2"/>
      </w:pPr>
      <w:bookmarkStart w:id="1082" w:name="_Toc184"/>
      <w:r>
        <w:t>ابن ابي المؤيد نسفي ، احمد بن محمود قرن 10 ه-</w:t>
      </w:r>
      <w:bookmarkEnd w:id="1082"/>
    </w:p>
    <w:p>
      <w:pPr>
        <w:pStyle w:val="BookText"/>
      </w:pPr>
      <w:r>
        <w:rPr>
          <w:rFonts w:ascii="Amiri" w:hAnsi="Amiri" w:eastAsia="Amiri" w:cs="Amiri"/>
          <w:lang w:bidi="ar-SA"/>
          <w:color w:val="111111"/>
          <w:sz w:val="28"/>
          <w:szCs w:val="28"/>
          <w:rtl/>
        </w:rPr>
        <w:t xml:space="preserve">مختصر شرح كنز الدقائق، ج 14،</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Amiri" w:hAnsi="Amiri" w:eastAsia="Amiri" w:cs="Amiri"/>
          <w:lang w:bidi="ar-SA"/>
          <w:color w:val="111111"/>
          <w:sz w:val="28"/>
          <w:szCs w:val="28"/>
          <w:rtl/>
        </w:rPr>
        <w:t xml:space="preserve">ابن ابي المجد حلبي- حلبي ، علي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ابن ابي المناقب ، محمّد بن محمّد- اخسيكتي ، محمّد بن محمّد</w:t>
      </w:r>
    </w:p>
    <w:p>
      <w:pPr>
        <w:pStyle w:val="BookText"/>
      </w:pPr>
      <w:r>
        <w:rPr>
          <w:rFonts w:ascii="Amiri" w:hAnsi="Amiri" w:eastAsia="Amiri" w:cs="Amiri"/>
          <w:lang w:bidi="ar-SA"/>
          <w:color w:val="111111"/>
          <w:sz w:val="28"/>
          <w:szCs w:val="28"/>
          <w:rtl/>
        </w:rPr>
        <w:t xml:space="preserve">ابن ابي منصور فارسي ، محمّد بن</w:t>
      </w:r>
    </w:p>
    <w:p>
      <w:pPr>
        <w:pStyle w:val="BookText"/>
      </w:pPr>
      <w:r>
        <w:rPr>
          <w:rFonts w:ascii="Amiri" w:hAnsi="Amiri" w:eastAsia="Amiri" w:cs="Amiri"/>
          <w:lang w:bidi="ar-SA"/>
          <w:color w:val="111111"/>
          <w:sz w:val="28"/>
          <w:szCs w:val="28"/>
          <w:rtl/>
        </w:rPr>
        <w:t xml:space="preserve">ناصر -سلامي ، محمّد بن ناصر</w:t>
      </w:r>
    </w:p>
    <w:p>
      <w:pPr>
        <w:pStyle w:val="BookText"/>
      </w:pPr>
      <w:r>
        <w:rPr>
          <w:rFonts w:ascii="Amiri" w:hAnsi="Amiri" w:eastAsia="Amiri" w:cs="Amiri"/>
          <w:lang w:bidi="ar-SA"/>
          <w:color w:val="111111"/>
          <w:sz w:val="28"/>
          <w:szCs w:val="28"/>
          <w:rtl/>
        </w:rPr>
        <w:t xml:space="preserve">ابن ابي نصر نسوي -ابن حبيب ، محمّد</w:t>
      </w:r>
    </w:p>
    <w:p>
      <w:pPr>
        <w:pStyle w:val="BookText"/>
      </w:pPr>
      <w:r>
        <w:rPr>
          <w:rFonts w:ascii="IRNazanin" w:hAnsi="IRNazanin" w:eastAsia="IRNazanin" w:cs="IRNazanin"/>
          <w:lang w:bidi="fa-IR"/>
          <w:color w:val="111111"/>
          <w:sz w:val="28"/>
          <w:szCs w:val="28"/>
          <w:rtl/>
        </w:rPr>
        <w:t xml:space="preserve">بن قاسم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7742_69400"/>
    <w:bookmarkEnd w:id="34"/>
    <w:p>
      <w:pPr>
        <w:pStyle w:val="BookText"/>
      </w:pPr>
      <w:r>
        <w:rPr>
          <w:rFonts w:ascii="Amiri" w:hAnsi="Amiri" w:eastAsia="Amiri" w:cs="Amiri"/>
          <w:lang w:bidi="ar-SA"/>
          <w:color w:val="111111"/>
          <w:sz w:val="28"/>
          <w:szCs w:val="28"/>
          <w:rtl/>
        </w:rPr>
        <w:t xml:space="preserve">ابن ابي نعيم ، عبدالله بن فضل الله -وصاف الحضره ، عبدالله بن فضل الله</w:t>
      </w:r>
    </w:p>
    <w:p>
      <w:pPr>
        <w:pStyle w:val="Heading2"/>
      </w:pPr>
      <w:bookmarkStart w:id="1083" w:name="_Toc185"/>
      <w:r>
        <w:t>ابن ابي نعيم ليثي ، نافع بن عبدالرحمن</w:t>
      </w:r>
      <w:bookmarkEnd w:id="10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169ه-</w:t>
      </w:r>
    </w:p>
    <w:p>
      <w:pPr>
        <w:pStyle w:val="BookText"/>
      </w:pPr>
      <w:r>
        <w:rPr>
          <w:rFonts w:ascii="Amiri" w:hAnsi="Amiri" w:eastAsia="Amiri" w:cs="Amiri"/>
          <w:lang w:bidi="ar-SA"/>
          <w:color w:val="111111"/>
          <w:sz w:val="28"/>
          <w:szCs w:val="28"/>
          <w:rtl/>
        </w:rPr>
        <w:t xml:space="preserve">قرائة الامام نافع، ج 12، ص 548.</w:t>
      </w:r>
    </w:p>
    <w:p>
      <w:pPr>
        <w:pStyle w:val="BookText"/>
      </w:pPr>
      <w:r>
        <w:rPr>
          <w:rFonts w:ascii="Amiri" w:hAnsi="Amiri" w:eastAsia="Amiri" w:cs="Amiri"/>
          <w:lang w:bidi="ar-SA"/>
          <w:color w:val="111111"/>
          <w:sz w:val="28"/>
          <w:szCs w:val="28"/>
          <w:rtl/>
        </w:rPr>
        <w:t xml:space="preserve">ابن ابي وحش ، عبد الله بن بري - ابن بري ،</w:t>
      </w:r>
    </w:p>
    <w:p>
      <w:pPr>
        <w:pStyle w:val="BookText"/>
      </w:pPr>
      <w:r>
        <w:rPr>
          <w:rFonts w:ascii="Amiri" w:hAnsi="Amiri" w:eastAsia="Amiri" w:cs="Amiri"/>
          <w:lang w:bidi="ar-SA"/>
          <w:color w:val="111111"/>
          <w:sz w:val="28"/>
          <w:szCs w:val="28"/>
          <w:rtl/>
        </w:rPr>
        <w:t xml:space="preserve">عبدالله بن بري</w:t>
      </w:r>
    </w:p>
    <w:p>
      <w:pPr>
        <w:pStyle w:val="Heading2"/>
      </w:pPr>
      <w:bookmarkStart w:id="1084" w:name="_Toc186"/>
      <w:r>
        <w:t>ابن ابي الوفا ، محمّد بن ابي بكر 841 -</w:t>
      </w:r>
      <w:bookmarkEnd w:id="1084"/>
    </w:p>
    <w:p>
      <w:pPr>
        <w:pStyle w:val="BookText"/>
      </w:pPr>
      <w:r>
        <w:rPr>
          <w:rFonts w:ascii="IRNazanin" w:hAnsi="IRNazanin" w:eastAsia="IRNazanin" w:cs="IRNazanin"/>
          <w:lang w:bidi="fa-IR"/>
          <w:color w:val="111111"/>
          <w:sz w:val="28"/>
          <w:szCs w:val="28"/>
          <w:rtl/>
        </w:rPr>
        <w:t xml:space="preserve">891 ه-</w:t>
      </w:r>
    </w:p>
    <w:p>
      <w:pPr>
        <w:pStyle w:val="BookText"/>
      </w:pPr>
      <w:r>
        <w:rPr>
          <w:rFonts w:ascii="Amiri" w:hAnsi="Amiri" w:eastAsia="Amiri" w:cs="Amiri"/>
          <w:lang w:bidi="ar-SA"/>
          <w:color w:val="111111"/>
          <w:sz w:val="28"/>
          <w:szCs w:val="28"/>
          <w:rtl/>
        </w:rPr>
        <w:t xml:space="preserve">سراج اهل الصفا في مناقب ابي الوفا</w:t>
      </w:r>
    </w:p>
    <w:p>
      <w:pPr>
        <w:pStyle w:val="BookText"/>
      </w:pPr>
      <w:r>
        <w:rPr>
          <w:rFonts w:ascii="IRNazanin" w:hAnsi="IRNazanin" w:eastAsia="IRNazanin" w:cs="IRNazanin"/>
          <w:lang w:bidi="fa-IR"/>
          <w:color w:val="111111"/>
          <w:sz w:val="28"/>
          <w:szCs w:val="28"/>
          <w:rtl/>
        </w:rPr>
        <w:t xml:space="preserve">ج 8، ص727</w:t>
      </w:r>
    </w:p>
    <w:p>
      <w:pPr>
        <w:pStyle w:val="BookText"/>
      </w:pPr>
      <w:r>
        <w:rPr>
          <w:rFonts w:ascii="Amiri" w:hAnsi="Amiri" w:eastAsia="Amiri" w:cs="Amiri"/>
          <w:lang w:bidi="ar-SA"/>
          <w:color w:val="111111"/>
          <w:sz w:val="28"/>
          <w:szCs w:val="28"/>
          <w:rtl/>
        </w:rPr>
        <w:t xml:space="preserve">ابن ابي الهيجاء ، محمّد بن علي ابن</w:t>
      </w:r>
    </w:p>
    <w:p>
      <w:pPr>
        <w:pStyle w:val="BookText"/>
      </w:pPr>
      <w:r>
        <w:rPr>
          <w:rFonts w:ascii="Amiri" w:hAnsi="Amiri" w:eastAsia="Amiri" w:cs="Amiri"/>
          <w:lang w:bidi="ar-SA"/>
          <w:color w:val="111111"/>
          <w:sz w:val="28"/>
          <w:szCs w:val="28"/>
          <w:rtl/>
        </w:rPr>
        <w:t xml:space="preserve">حمدان ، محمّد بن علي ابن ابي يعقوب ، احمد بن موسى يعقوبي ، احمد بن اسحاق</w:t>
      </w:r>
    </w:p>
    <w:p>
      <w:pPr>
        <w:pStyle w:val="Heading2"/>
      </w:pPr>
      <w:bookmarkStart w:id="1085" w:name="_Toc187"/>
      <w:r>
        <w:t>ابن اثردي ، علي بن هبة الله - 507؟ ه- شرح دعوة الاطباء، ج 9، ص 470.</w:t>
      </w:r>
      <w:bookmarkEnd w:id="1085"/>
    </w:p>
    <w:p>
      <w:pPr>
        <w:pStyle w:val="Heading2"/>
      </w:pPr>
      <w:bookmarkStart w:id="1086" w:name="_Toc188"/>
      <w:r>
        <w:t>ابن اثیر</w:t>
      </w:r>
      <w:bookmarkEnd w:id="1086"/>
    </w:p>
    <w:p>
      <w:pPr>
        <w:pStyle w:val="BookText"/>
      </w:pPr>
      <w:r>
        <w:rPr>
          <w:rFonts w:ascii="Amiri" w:hAnsi="Amiri" w:eastAsia="Amiri" w:cs="Amiri"/>
          <w:lang w:bidi="ar-SA"/>
          <w:color w:val="111111"/>
          <w:sz w:val="28"/>
          <w:szCs w:val="28"/>
          <w:rtl/>
        </w:rPr>
        <w:t xml:space="preserve">امالي، ج 2، ص 725.</w:t>
      </w:r>
    </w:p>
    <w:p>
      <w:pPr>
        <w:pStyle w:val="Heading2"/>
      </w:pPr>
      <w:bookmarkStart w:id="1087" w:name="_Toc189"/>
      <w:r>
        <w:t>ابن اثير، اسماعيل بن احمد، 652-2699ه-</w:t>
      </w:r>
      <w:bookmarkEnd w:id="1087"/>
    </w:p>
    <w:p>
      <w:pPr>
        <w:pStyle w:val="BookText"/>
      </w:pPr>
      <w:r>
        <w:rPr>
          <w:rFonts w:ascii="Amiri" w:hAnsi="Amiri" w:eastAsia="Amiri" w:cs="Amiri"/>
          <w:lang w:bidi="ar-SA"/>
          <w:color w:val="111111"/>
          <w:sz w:val="28"/>
          <w:szCs w:val="28"/>
          <w:rtl/>
        </w:rPr>
        <w:t xml:space="preserve">1 .أحكام الأحكام في شرح احاديث</w:t>
      </w:r>
    </w:p>
    <w:p>
      <w:pPr>
        <w:pStyle w:val="BookText"/>
      </w:pPr>
      <w:r>
        <w:rPr>
          <w:rFonts w:ascii="Amiri" w:hAnsi="Amiri" w:eastAsia="Amiri" w:cs="Amiri"/>
          <w:lang w:bidi="ar-SA"/>
          <w:color w:val="111111"/>
          <w:sz w:val="28"/>
          <w:szCs w:val="28"/>
          <w:rtl/>
        </w:rPr>
        <w:t xml:space="preserve">سيد الأنام، ج1، ص 454.</w:t>
      </w:r>
    </w:p>
    <w:p>
      <w:pPr>
        <w:pStyle w:val="BookText"/>
      </w:pPr>
      <w:r>
        <w:rPr>
          <w:rFonts w:ascii="Amiri" w:hAnsi="Amiri" w:eastAsia="Amiri" w:cs="Amiri"/>
          <w:lang w:bidi="ar-SA"/>
          <w:color w:val="111111"/>
          <w:sz w:val="28"/>
          <w:szCs w:val="28"/>
          <w:rtl/>
        </w:rPr>
        <w:t xml:space="preserve">2 .العدة في شرح العمدة، ج 11،</w:t>
      </w:r>
    </w:p>
    <w:p>
      <w:pPr>
        <w:pStyle w:val="BookText"/>
      </w:pPr>
      <w:r>
        <w:rPr>
          <w:rFonts w:ascii="IRNazanin" w:hAnsi="IRNazanin" w:eastAsia="IRNazanin" w:cs="IRNazanin"/>
          <w:lang w:bidi="fa-IR"/>
          <w:color w:val="111111"/>
          <w:sz w:val="28"/>
          <w:szCs w:val="28"/>
          <w:rtl/>
        </w:rPr>
        <w:t xml:space="preserve">ص 55 .</w:t>
      </w:r>
    </w:p>
    <w:p>
      <w:pPr>
        <w:pStyle w:val="BookText"/>
      </w:pPr>
      <w:r>
        <w:rPr>
          <w:rFonts w:ascii="IRNazanin" w:hAnsi="IRNazanin" w:eastAsia="IRNazanin" w:cs="IRNazanin"/>
          <w:lang w:bidi="fa-IR"/>
          <w:color w:val="111111"/>
          <w:sz w:val="28"/>
          <w:szCs w:val="28"/>
          <w:rtl/>
        </w:rPr>
        <w:t xml:space="preserve">ابن ابي عصرون - ابن اثیر 39</w:t>
      </w:r>
    </w:p>
    <w:p>
      <w:pPr>
        <w:pStyle w:val="Heading2"/>
      </w:pPr>
      <w:bookmarkStart w:id="1088" w:name="_Toc190"/>
      <w:r>
        <w:t>ابن اثير، علي بن محمّد، 555 - 630 ه-</w:t>
      </w:r>
      <w:bookmarkEnd w:id="1088"/>
    </w:p>
    <w:p>
      <w:pPr>
        <w:pStyle w:val="BookText"/>
      </w:pPr>
      <w:r>
        <w:rPr>
          <w:rFonts w:ascii="Amiri" w:hAnsi="Amiri" w:eastAsia="Amiri" w:cs="Amiri"/>
          <w:lang w:bidi="ar-SA"/>
          <w:color w:val="111111"/>
          <w:sz w:val="28"/>
          <w:szCs w:val="28"/>
          <w:rtl/>
        </w:rPr>
        <w:t xml:space="preserve">1 .اسماء الرجال = مختصر اسد الغابة في معرفة الصحابة، ج2،</w:t>
      </w:r>
    </w:p>
    <w:p>
      <w:pPr>
        <w:pStyle w:val="BookText"/>
      </w:pPr>
      <w:r>
        <w:rPr>
          <w:rFonts w:ascii="IRNazanin" w:hAnsi="IRNazanin" w:eastAsia="IRNazanin" w:cs="IRNazanin"/>
          <w:lang w:bidi="fa-IR"/>
          <w:color w:val="111111"/>
          <w:sz w:val="28"/>
          <w:szCs w:val="28"/>
          <w:rtl/>
        </w:rPr>
        <w:t xml:space="preserve">ص 221 .</w:t>
      </w:r>
    </w:p>
    <w:p>
      <w:pPr>
        <w:pStyle w:val="BookText"/>
      </w:pPr>
      <w:r>
        <w:rPr>
          <w:rFonts w:ascii="Amiri" w:hAnsi="Amiri" w:eastAsia="Amiri" w:cs="Amiri"/>
          <w:lang w:bidi="ar-SA"/>
          <w:color w:val="111111"/>
          <w:sz w:val="28"/>
          <w:szCs w:val="28"/>
          <w:rtl/>
        </w:rPr>
        <w:t xml:space="preserve">2 .تحفة العجائب وطرفة الغرائب</w:t>
      </w:r>
    </w:p>
    <w:p>
      <w:pPr>
        <w:pStyle w:val="BookText"/>
      </w:pPr>
      <w:r>
        <w:rPr>
          <w:rFonts w:ascii="IRNazanin" w:hAnsi="IRNazanin" w:eastAsia="IRNazanin" w:cs="IRNazanin"/>
          <w:lang w:bidi="fa-IR"/>
          <w:color w:val="111111"/>
          <w:sz w:val="28"/>
          <w:szCs w:val="28"/>
          <w:rtl/>
        </w:rPr>
        <w:t xml:space="preserve">ج 3، ص 867.</w:t>
      </w:r>
    </w:p>
    <w:p>
      <w:pPr>
        <w:pStyle w:val="BookText"/>
      </w:pPr>
      <w:r>
        <w:rPr>
          <w:rFonts w:ascii="Amiri" w:hAnsi="Amiri" w:eastAsia="Amiri" w:cs="Amiri"/>
          <w:lang w:bidi="ar-SA"/>
          <w:color w:val="111111"/>
          <w:sz w:val="28"/>
          <w:szCs w:val="28"/>
          <w:rtl/>
        </w:rPr>
        <w:t xml:space="preserve">.3 الكامل في التاريخ = تاريخ الكامل =</w:t>
      </w:r>
    </w:p>
    <w:p>
      <w:pPr>
        <w:pStyle w:val="BookText"/>
      </w:pPr>
      <w:r>
        <w:rPr>
          <w:rFonts w:ascii="Amiri" w:hAnsi="Amiri" w:eastAsia="Amiri" w:cs="Amiri"/>
          <w:lang w:bidi="ar-SA"/>
          <w:color w:val="111111"/>
          <w:sz w:val="28"/>
          <w:szCs w:val="28"/>
          <w:rtl/>
        </w:rPr>
        <w:t xml:space="preserve">كامل التواريخ، ج13، ص73.</w:t>
      </w:r>
    </w:p>
    <w:p>
      <w:pPr>
        <w:pStyle w:val="Heading2"/>
      </w:pPr>
      <w:bookmarkStart w:id="1089" w:name="_Toc191"/>
      <w:r>
        <w:t>ابن اثير، مبارك بن محمّد، 544 - 606 ه-</w:t>
      </w:r>
      <w:bookmarkEnd w:id="1089"/>
    </w:p>
    <w:p>
      <w:pPr>
        <w:pStyle w:val="BookText"/>
      </w:pPr>
      <w:r>
        <w:rPr>
          <w:rFonts w:ascii="IRNazanin" w:hAnsi="IRNazanin" w:eastAsia="IRNazanin" w:cs="IRNazanin"/>
          <w:lang w:bidi="fa-IR"/>
          <w:color w:val="111111"/>
          <w:sz w:val="28"/>
          <w:szCs w:val="28"/>
          <w:rtl/>
        </w:rPr>
        <w:t xml:space="preserve">1 .أسماء الرجال من جامع الاصول</w:t>
      </w:r>
    </w:p>
    <w:p>
      <w:pPr>
        <w:pStyle w:val="BookText"/>
      </w:pPr>
      <w:r>
        <w:rPr>
          <w:rFonts w:ascii="IRNazanin" w:hAnsi="IRNazanin" w:eastAsia="IRNazanin" w:cs="IRNazanin"/>
          <w:lang w:bidi="fa-IR"/>
          <w:color w:val="111111"/>
          <w:sz w:val="28"/>
          <w:szCs w:val="28"/>
          <w:rtl/>
        </w:rPr>
        <w:t xml:space="preserve">ج 2، ص 225.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الاصول الاحاديث الرسول</w:t>
      </w:r>
    </w:p>
    <w:p>
      <w:pPr>
        <w:pStyle w:val="BookText"/>
      </w:pPr>
      <w:r>
        <w:rPr>
          <w:rFonts w:ascii="IRNazanin" w:hAnsi="IRNazanin" w:eastAsia="IRNazanin" w:cs="IRNazanin"/>
          <w:lang w:bidi="fa-IR"/>
          <w:color w:val="111111"/>
          <w:sz w:val="28"/>
          <w:szCs w:val="28"/>
          <w:rtl/>
        </w:rPr>
        <w:t xml:space="preserve">(ص)، ج 5، ص 251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الكتاب الشافي في شرح مسند</w:t>
      </w:r>
    </w:p>
    <w:p>
      <w:pPr>
        <w:pStyle w:val="BookText"/>
      </w:pPr>
      <w:r>
        <w:rPr>
          <w:rFonts w:ascii="Amiri" w:hAnsi="Amiri" w:eastAsia="Amiri" w:cs="Amiri"/>
          <w:lang w:bidi="ar-SA"/>
          <w:color w:val="111111"/>
          <w:sz w:val="28"/>
          <w:szCs w:val="28"/>
          <w:rtl/>
        </w:rPr>
        <w:t xml:space="preserve">الشافعي، ج 13، ص 105.</w:t>
      </w:r>
    </w:p>
    <w:p>
      <w:pPr>
        <w:pStyle w:val="BookText"/>
      </w:pPr>
      <w:r>
        <w:rPr>
          <w:rFonts w:ascii="Amiri" w:hAnsi="Amiri" w:eastAsia="Amiri" w:cs="Amiri"/>
          <w:lang w:bidi="ar-SA"/>
          <w:color w:val="111111"/>
          <w:sz w:val="28"/>
          <w:szCs w:val="28"/>
          <w:rtl/>
        </w:rPr>
        <w:t xml:space="preserve">4 .المرصع في الاباء والامهات و الابناء والبنات والأذواء و الذوات، ج 14،</w:t>
      </w:r>
    </w:p>
    <w:p>
      <w:pPr>
        <w:pStyle w:val="BookText"/>
      </w:pPr>
      <w:r>
        <w:rPr>
          <w:rFonts w:ascii="IRNazanin" w:hAnsi="IRNazanin" w:eastAsia="IRNazanin" w:cs="IRNazanin"/>
          <w:lang w:bidi="fa-IR"/>
          <w:color w:val="111111"/>
          <w:sz w:val="28"/>
          <w:szCs w:val="28"/>
          <w:rtl/>
        </w:rPr>
        <w:t xml:space="preserve">ص 402 .</w:t>
      </w:r>
    </w:p>
    <w:p>
      <w:pPr>
        <w:pStyle w:val="BookText"/>
      </w:pPr>
      <w:r>
        <w:rPr>
          <w:rFonts w:ascii="Amiri" w:hAnsi="Amiri" w:eastAsia="Amiri" w:cs="Amiri"/>
          <w:lang w:bidi="ar-SA"/>
          <w:color w:val="111111"/>
          <w:sz w:val="28"/>
          <w:szCs w:val="28"/>
          <w:rtl/>
        </w:rPr>
        <w:t xml:space="preserve">5 .النهاية في غريب الحديث والاثر</w:t>
      </w:r>
    </w:p>
    <w:p>
      <w:pPr>
        <w:pStyle w:val="BookText"/>
      </w:pPr>
      <w:r>
        <w:rPr>
          <w:rFonts w:ascii="IRNazanin" w:hAnsi="IRNazanin" w:eastAsia="IRNazanin" w:cs="IRNazanin"/>
          <w:lang w:bidi="fa-IR"/>
          <w:color w:val="111111"/>
          <w:sz w:val="28"/>
          <w:szCs w:val="28"/>
          <w:rtl/>
        </w:rPr>
        <w:t xml:space="preserve">ج 16، ص 499.</w:t>
      </w:r>
    </w:p>
    <w:p>
      <w:pPr>
        <w:pStyle w:val="Heading2"/>
      </w:pPr>
      <w:bookmarkStart w:id="1090" w:name="_Toc192"/>
      <w:r>
        <w:t>ابن اثیر، نصر الله بن محمّد 558-637 ه-</w:t>
      </w:r>
      <w:bookmarkEnd w:id="1090"/>
    </w:p>
    <w:p>
      <w:pPr>
        <w:pStyle w:val="BookText"/>
      </w:pPr>
      <w:r>
        <w:rPr>
          <w:rFonts w:ascii="Amiri" w:hAnsi="Amiri" w:eastAsia="Amiri" w:cs="Amiri"/>
          <w:lang w:bidi="ar-SA"/>
          <w:color w:val="111111"/>
          <w:sz w:val="28"/>
          <w:szCs w:val="28"/>
          <w:rtl/>
        </w:rPr>
        <w:t xml:space="preserve">1 .الجامع الكبير في صناعة المنظوم من الكلام و المنثور، ج 5، ص 317.</w:t>
      </w:r>
    </w:p>
    <w:p>
      <w:pPr>
        <w:pStyle w:val="BookText"/>
      </w:pPr>
      <w:r>
        <w:rPr>
          <w:rFonts w:ascii="Amiri" w:hAnsi="Amiri" w:eastAsia="Amiri" w:cs="Amiri"/>
          <w:lang w:bidi="ar-SA"/>
          <w:color w:val="111111"/>
          <w:sz w:val="28"/>
          <w:szCs w:val="28"/>
          <w:rtl/>
        </w:rPr>
        <w:t xml:space="preserve">2 .المثل السائر في ادب الكاتب و</w:t>
      </w:r>
    </w:p>
    <w:p>
      <w:pPr>
        <w:pStyle w:val="BookText"/>
      </w:pPr>
      <w:r>
        <w:rPr>
          <w:rFonts w:ascii="IRNazanin" w:hAnsi="IRNazanin" w:eastAsia="IRNazanin" w:cs="IRNazanin"/>
          <w:lang w:bidi="fa-IR"/>
          <w:color w:val="111111"/>
          <w:sz w:val="28"/>
          <w:szCs w:val="28"/>
          <w:rtl/>
        </w:rPr>
        <w:t xml:space="preserve">الشاعر ، ج 13، ص 768.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الوشي المرقوم في حل المنظوم، ج 16،</w:t>
      </w:r>
    </w:p>
    <w:p>
      <w:pPr>
        <w:pStyle w:val="BookText"/>
      </w:pPr>
      <w:r>
        <w:rPr>
          <w:rFonts w:ascii="IRNazanin" w:hAnsi="IRNazanin" w:eastAsia="IRNazanin" w:cs="IRNazanin"/>
          <w:lang w:bidi="fa-IR"/>
          <w:color w:val="111111"/>
          <w:sz w:val="28"/>
          <w:szCs w:val="28"/>
          <w:rtl/>
        </w:rPr>
        <w:t xml:space="preserve">ص 0795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7742_69402"/>
    <w:bookmarkEnd w:id="35"/>
    <w:p>
      <w:pPr>
        <w:pStyle w:val="Heading2"/>
      </w:pPr>
      <w:bookmarkStart w:id="1091" w:name="_Toc193"/>
      <w:r>
        <w:t>ابن اجدابي ، ابراهيم بن اسماعيل - 4470ه-</w:t>
      </w:r>
      <w:bookmarkEnd w:id="1091"/>
    </w:p>
    <w:p>
      <w:pPr>
        <w:pStyle w:val="BookText"/>
      </w:pPr>
      <w:r>
        <w:rPr>
          <w:rFonts w:ascii="Amiri" w:hAnsi="Amiri" w:eastAsia="Amiri" w:cs="Amiri"/>
          <w:lang w:bidi="ar-SA"/>
          <w:color w:val="111111"/>
          <w:sz w:val="28"/>
          <w:szCs w:val="28"/>
          <w:rtl/>
        </w:rPr>
        <w:t xml:space="preserve">كفاية المتحفظ و نهاية المتلفظ، ج 13،</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Amiri" w:hAnsi="Amiri" w:eastAsia="Amiri" w:cs="Amiri"/>
          <w:lang w:bidi="ar-SA"/>
          <w:color w:val="111111"/>
          <w:sz w:val="28"/>
          <w:szCs w:val="28"/>
          <w:rtl/>
        </w:rPr>
        <w:t xml:space="preserve">ابن احمد بن محمّد لخمي لخمي ، ابن</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092" w:name="_Toc194"/>
      <w:r>
        <w:t>ابن احمد رقباني ، محمّد بن حجازي ديوان الرقباني، ج 7، ص 646 .</w:t>
      </w:r>
      <w:bookmarkEnd w:id="1092"/>
    </w:p>
    <w:p>
      <w:pPr>
        <w:pStyle w:val="BookText"/>
      </w:pPr>
      <w:r>
        <w:rPr>
          <w:rFonts w:ascii="IRNazanin" w:hAnsi="IRNazanin" w:eastAsia="IRNazanin" w:cs="IRNazanin"/>
          <w:lang w:bidi="fa-IR"/>
          <w:color w:val="111111"/>
          <w:sz w:val="28"/>
          <w:szCs w:val="28"/>
          <w:rtl/>
        </w:rPr>
        <w:t xml:space="preserve">ابن اخت قولویه ابن شاذان ، محمد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ابن اخلاص ، حسن بن عمار شرنبلالي ،</w:t>
      </w:r>
    </w:p>
    <w:p>
      <w:pPr>
        <w:pStyle w:val="BookText"/>
      </w:pPr>
      <w:r>
        <w:rPr>
          <w:rFonts w:ascii="IRNazanin" w:hAnsi="IRNazanin" w:eastAsia="IRNazanin" w:cs="IRNazanin"/>
          <w:lang w:bidi="fa-IR"/>
          <w:color w:val="111111"/>
          <w:sz w:val="28"/>
          <w:szCs w:val="28"/>
          <w:rtl/>
        </w:rPr>
        <w:t xml:space="preserve">حسن بن عمار</w:t>
      </w:r>
    </w:p>
    <w:p>
      <w:pPr>
        <w:pStyle w:val="BookText"/>
      </w:pPr>
      <w:r>
        <w:rPr>
          <w:rFonts w:ascii="Amiri" w:hAnsi="Amiri" w:eastAsia="Amiri" w:cs="Amiri"/>
          <w:lang w:bidi="ar-SA"/>
          <w:color w:val="111111"/>
          <w:sz w:val="28"/>
          <w:szCs w:val="28"/>
          <w:rtl/>
        </w:rPr>
        <w:t xml:space="preserve">ابن اخي حزام ، محمد بن يعقوب ؟</w:t>
      </w:r>
    </w:p>
    <w:p>
      <w:pPr>
        <w:pStyle w:val="BookText"/>
      </w:pPr>
      <w:r>
        <w:rPr>
          <w:rFonts w:ascii="IRNazanin" w:hAnsi="IRNazanin" w:eastAsia="IRNazanin" w:cs="IRNazanin"/>
          <w:lang w:bidi="fa-IR"/>
          <w:color w:val="111111"/>
          <w:sz w:val="28"/>
          <w:szCs w:val="28"/>
          <w:rtl/>
        </w:rPr>
        <w:t xml:space="preserve">250 ه- ؟</w:t>
      </w:r>
    </w:p>
    <w:p>
      <w:pPr>
        <w:pStyle w:val="BookText"/>
      </w:pPr>
      <w:r>
        <w:rPr>
          <w:rFonts w:ascii="IRNazanin" w:hAnsi="IRNazanin" w:eastAsia="IRNazanin" w:cs="IRNazanin"/>
          <w:lang w:bidi="fa-IR"/>
          <w:color w:val="111111"/>
          <w:sz w:val="28"/>
          <w:szCs w:val="28"/>
          <w:rtl/>
        </w:rPr>
        <w:t xml:space="preserve">المخزون جامع الفنون، ج 14، ص292.</w:t>
      </w:r>
    </w:p>
    <w:p>
      <w:pPr>
        <w:pStyle w:val="Heading2"/>
      </w:pPr>
      <w:bookmarkStart w:id="1093" w:name="_Toc195"/>
      <w:r>
        <w:t>ابن اخوه ، محمّد بن محمّد 648-729ه-</w:t>
      </w:r>
      <w:bookmarkEnd w:id="1093"/>
    </w:p>
    <w:p>
      <w:pPr>
        <w:pStyle w:val="BookText"/>
      </w:pPr>
      <w:r>
        <w:rPr>
          <w:rFonts w:ascii="Amiri" w:hAnsi="Amiri" w:eastAsia="Amiri" w:cs="Amiri"/>
          <w:lang w:bidi="ar-SA"/>
          <w:color w:val="111111"/>
          <w:sz w:val="28"/>
          <w:szCs w:val="28"/>
          <w:rtl/>
        </w:rPr>
        <w:t xml:space="preserve">القربة في احكام الحسبة = معالم</w:t>
      </w:r>
    </w:p>
    <w:p>
      <w:pPr>
        <w:pStyle w:val="BookText"/>
      </w:pPr>
      <w:r>
        <w:rPr>
          <w:rFonts w:ascii="Amiri" w:hAnsi="Amiri" w:eastAsia="Amiri" w:cs="Amiri"/>
          <w:lang w:bidi="ar-SA"/>
          <w:color w:val="111111"/>
          <w:sz w:val="28"/>
          <w:szCs w:val="28"/>
          <w:rtl/>
        </w:rPr>
        <w:t xml:space="preserve">القربة في احكام الحسبة = كتاب المحبة والرغبة في معرفة احكام الحسبة، ج 12، ص 564.</w:t>
      </w:r>
    </w:p>
    <w:p>
      <w:pPr>
        <w:pStyle w:val="BookText"/>
      </w:pPr>
      <w:r>
        <w:rPr>
          <w:rFonts w:ascii="Amiri" w:hAnsi="Amiri" w:eastAsia="Amiri" w:cs="Amiri"/>
          <w:lang w:bidi="ar-SA"/>
          <w:color w:val="111111"/>
          <w:sz w:val="28"/>
          <w:szCs w:val="28"/>
          <w:rtl/>
        </w:rPr>
        <w:t xml:space="preserve">ابن اخي العزيز - عماد الدين كاتب ،</w:t>
      </w:r>
    </w:p>
    <w:p>
      <w:pPr>
        <w:pStyle w:val="BookText"/>
      </w:pPr>
      <w:r>
        <w:rPr>
          <w:rFonts w:ascii="Amiri" w:hAnsi="Amiri" w:eastAsia="Amiri" w:cs="Amiri"/>
          <w:lang w:bidi="ar-SA"/>
          <w:color w:val="111111"/>
          <w:sz w:val="28"/>
          <w:szCs w:val="28"/>
          <w:rtl/>
        </w:rPr>
        <w:t xml:space="preserve">محمّد بن محمّد</w:t>
      </w:r>
    </w:p>
    <w:p>
      <w:pPr>
        <w:pStyle w:val="Heading2"/>
      </w:pPr>
      <w:bookmarkStart w:id="1094" w:name="_Toc196"/>
      <w:r>
        <w:t>ابن ادريس محمّد بن احمد، 543-598ه-</w:t>
      </w:r>
      <w:bookmarkEnd w:id="1094"/>
    </w:p>
    <w:p>
      <w:pPr>
        <w:pStyle w:val="BookText"/>
      </w:pPr>
      <w:r>
        <w:rPr>
          <w:rFonts w:ascii="Amiri" w:hAnsi="Amiri" w:eastAsia="Amiri" w:cs="Amiri"/>
          <w:lang w:bidi="ar-SA"/>
          <w:color w:val="111111"/>
          <w:sz w:val="28"/>
          <w:szCs w:val="28"/>
          <w:rtl/>
        </w:rPr>
        <w:t xml:space="preserve">.1 .اجوبة المسائل، ج 1، ص 331.</w:t>
      </w:r>
    </w:p>
    <w:p>
      <w:pPr>
        <w:pStyle w:val="BookText"/>
      </w:pPr>
      <w:r>
        <w:rPr>
          <w:rFonts w:ascii="Amiri" w:hAnsi="Amiri" w:eastAsia="Amiri" w:cs="Amiri"/>
          <w:lang w:bidi="ar-SA"/>
          <w:color w:val="111111"/>
          <w:sz w:val="28"/>
          <w:szCs w:val="28"/>
          <w:rtl/>
        </w:rPr>
        <w:t xml:space="preserve">.2 .التبيان في تفسير القرآن (منتخب) =</w:t>
      </w:r>
    </w:p>
    <w:p>
      <w:pPr>
        <w:pStyle w:val="BookText"/>
      </w:pPr>
      <w:r>
        <w:rPr>
          <w:rFonts w:ascii="Amiri" w:hAnsi="Amiri" w:eastAsia="Amiri" w:cs="Amiri"/>
          <w:lang w:bidi="ar-SA"/>
          <w:color w:val="111111"/>
          <w:sz w:val="28"/>
          <w:szCs w:val="28"/>
          <w:rtl/>
        </w:rPr>
        <w:t xml:space="preserve">المنتخب من تفسير القرآن و النكت المستخرجة من كتاب</w:t>
      </w:r>
    </w:p>
    <w:p>
      <w:pPr>
        <w:pStyle w:val="BookText"/>
      </w:pPr>
      <w:r>
        <w:rPr>
          <w:rFonts w:ascii="Amiri" w:hAnsi="Amiri" w:eastAsia="Amiri" w:cs="Amiri"/>
          <w:lang w:bidi="ar-SA"/>
          <w:color w:val="111111"/>
          <w:sz w:val="28"/>
          <w:szCs w:val="28"/>
          <w:rtl/>
        </w:rPr>
        <w:t xml:space="preserve">التبيان = مختصر التبيان =</w:t>
      </w:r>
    </w:p>
    <w:p>
      <w:pPr>
        <w:pStyle w:val="BookText"/>
      </w:pPr>
      <w:r>
        <w:rPr>
          <w:rFonts w:ascii="Amiri" w:hAnsi="Amiri" w:eastAsia="Amiri" w:cs="Amiri"/>
          <w:lang w:bidi="ar-SA"/>
          <w:color w:val="111111"/>
          <w:sz w:val="28"/>
          <w:szCs w:val="28"/>
          <w:rtl/>
        </w:rPr>
        <w:t xml:space="preserve">التعليقة على التبيان في تفسير القرآن، ج 3، ص 660.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السرائر الحاوي لتحرير الفتاوى</w:t>
      </w:r>
    </w:p>
    <w:p>
      <w:pPr>
        <w:pStyle w:val="BookText"/>
      </w:pPr>
      <w:r>
        <w:rPr>
          <w:rFonts w:ascii="IRNazanin" w:hAnsi="IRNazanin" w:eastAsia="IRNazanin" w:cs="IRNazanin"/>
          <w:lang w:bidi="fa-IR"/>
          <w:color w:val="111111"/>
          <w:sz w:val="28"/>
          <w:szCs w:val="28"/>
          <w:rtl/>
        </w:rPr>
        <w:t xml:space="preserve">ج 8، ص 724.</w:t>
      </w:r>
    </w:p>
    <w:p>
      <w:pPr>
        <w:pStyle w:val="BookText"/>
      </w:pPr>
      <w:r>
        <w:rPr>
          <w:rFonts w:ascii="IRNazanin" w:hAnsi="IRNazanin" w:eastAsia="IRNazanin" w:cs="IRNazanin"/>
          <w:lang w:bidi="fa-IR"/>
          <w:color w:val="111111"/>
          <w:sz w:val="28"/>
          <w:szCs w:val="28"/>
          <w:rtl/>
        </w:rPr>
        <w:t xml:space="preserve">4 .مستطرقات الرائد، ج 14 ، ص 561.</w:t>
      </w:r>
    </w:p>
    <w:p>
      <w:pPr>
        <w:pStyle w:val="BookText"/>
      </w:pPr>
      <w:r>
        <w:rPr>
          <w:rFonts w:ascii="Amiri" w:hAnsi="Amiri" w:eastAsia="Amiri" w:cs="Amiri"/>
          <w:lang w:bidi="ar-SA"/>
          <w:color w:val="111111"/>
          <w:sz w:val="28"/>
          <w:szCs w:val="28"/>
          <w:rtl/>
        </w:rPr>
        <w:t xml:space="preserve">ابن ادهم- ابراهيم ادهم</w:t>
      </w:r>
    </w:p>
    <w:p>
      <w:pPr>
        <w:pStyle w:val="BookText"/>
      </w:pPr>
      <w:r>
        <w:rPr>
          <w:rFonts w:ascii="Amiri" w:hAnsi="Amiri" w:eastAsia="Amiri" w:cs="Amiri"/>
          <w:lang w:bidi="ar-SA"/>
          <w:color w:val="111111"/>
          <w:sz w:val="28"/>
          <w:szCs w:val="28"/>
          <w:rtl/>
        </w:rPr>
        <w:t xml:space="preserve">ابن ارسلان ، احمد بن حسين -رملي ،</w:t>
      </w:r>
    </w:p>
    <w:p>
      <w:pPr>
        <w:pStyle w:val="BookText"/>
      </w:pPr>
      <w:r>
        <w:rPr>
          <w:rFonts w:ascii="Amiri" w:hAnsi="Amiri" w:eastAsia="Amiri" w:cs="Amiri"/>
          <w:lang w:bidi="ar-SA"/>
          <w:color w:val="111111"/>
          <w:sz w:val="28"/>
          <w:szCs w:val="28"/>
          <w:rtl/>
        </w:rPr>
        <w:t xml:space="preserve">احمد بن حسين</w:t>
      </w:r>
    </w:p>
    <w:p>
      <w:pPr>
        <w:pStyle w:val="BookText"/>
      </w:pPr>
      <w:r>
        <w:rPr>
          <w:rFonts w:ascii="IRNazanin" w:hAnsi="IRNazanin" w:eastAsia="IRNazanin" w:cs="IRNazanin"/>
          <w:lang w:bidi="fa-IR"/>
          <w:color w:val="111111"/>
          <w:sz w:val="28"/>
          <w:szCs w:val="28"/>
          <w:rtl/>
        </w:rPr>
        <w:t xml:space="preserve">ابن ارفع رأس -انصاري مغربي ، علي بن موسی</w:t>
      </w:r>
    </w:p>
    <w:p>
      <w:pPr>
        <w:pStyle w:val="Heading2"/>
      </w:pPr>
      <w:bookmarkStart w:id="1095" w:name="_Toc197"/>
      <w:r>
        <w:t>ابن ادريس ، احمد بن ادريس -1253ه-</w:t>
      </w:r>
      <w:bookmarkEnd w:id="1095"/>
    </w:p>
    <w:p>
      <w:pPr>
        <w:pStyle w:val="BookText"/>
      </w:pPr>
      <w:r>
        <w:rPr>
          <w:rFonts w:ascii="Amiri" w:hAnsi="Amiri" w:eastAsia="Amiri" w:cs="Amiri"/>
          <w:lang w:bidi="ar-SA"/>
          <w:color w:val="111111"/>
          <w:sz w:val="28"/>
          <w:szCs w:val="28"/>
          <w:rtl/>
        </w:rPr>
        <w:t xml:space="preserve">الوضوء والصلاة( رسالة في)، ج 16،</w:t>
      </w:r>
    </w:p>
    <w:p>
      <w:pPr>
        <w:pStyle w:val="BookText"/>
      </w:pPr>
      <w:r>
        <w:rPr>
          <w:rFonts w:ascii="IRNazanin" w:hAnsi="IRNazanin" w:eastAsia="IRNazanin" w:cs="IRNazanin"/>
          <w:lang w:bidi="fa-IR"/>
          <w:color w:val="111111"/>
          <w:sz w:val="28"/>
          <w:szCs w:val="28"/>
          <w:rtl/>
        </w:rPr>
        <w:t xml:space="preserve">ص 835.</w:t>
      </w:r>
    </w:p>
    <w:p>
      <w:pPr>
        <w:pStyle w:val="Heading2"/>
      </w:pPr>
      <w:bookmarkStart w:id="1096" w:name="_Toc198"/>
      <w:r>
        <w:t>ابن ازرق ابراهيم بن عبد الرحمن، قرن 9 ه-</w:t>
      </w:r>
      <w:bookmarkEnd w:id="1096"/>
    </w:p>
    <w:p>
      <w:pPr>
        <w:pStyle w:val="BookText"/>
      </w:pPr>
      <w:r>
        <w:rPr>
          <w:rFonts w:ascii="Amiri" w:hAnsi="Amiri" w:eastAsia="Amiri" w:cs="Amiri"/>
          <w:lang w:bidi="ar-SA"/>
          <w:color w:val="111111"/>
          <w:sz w:val="28"/>
          <w:szCs w:val="28"/>
          <w:rtl/>
        </w:rPr>
        <w:t xml:space="preserve">تسهيل المنافع في الطب و الحكمة</w:t>
      </w:r>
    </w:p>
    <w:p>
      <w:pPr>
        <w:pStyle w:val="BookText"/>
      </w:pPr>
      <w:r>
        <w:rPr>
          <w:rFonts w:ascii="IRNazanin" w:hAnsi="IRNazanin" w:eastAsia="IRNazanin" w:cs="IRNazanin"/>
          <w:lang w:bidi="fa-IR"/>
          <w:color w:val="111111"/>
          <w:sz w:val="28"/>
          <w:szCs w:val="28"/>
          <w:rtl/>
        </w:rPr>
        <w:t xml:space="preserve">ج 4، ص 355.</w:t>
      </w:r>
    </w:p>
    <w:p>
      <w:pPr>
        <w:pStyle w:val="BookText"/>
      </w:pPr>
      <w:r>
        <w:rPr>
          <w:rFonts w:ascii="Amiri" w:hAnsi="Amiri" w:eastAsia="Amiri" w:cs="Amiri"/>
          <w:lang w:bidi="ar-SA"/>
          <w:color w:val="111111"/>
          <w:sz w:val="28"/>
          <w:szCs w:val="28"/>
          <w:rtl/>
        </w:rPr>
        <w:t xml:space="preserve">ابن اسامه -اصفهاني ، محمّد بن اسامه</w:t>
      </w:r>
    </w:p>
    <w:p>
      <w:pPr>
        <w:pStyle w:val="Heading2"/>
      </w:pPr>
      <w:bookmarkStart w:id="1097" w:name="_Toc199"/>
      <w:r>
        <w:t>ابن استطال ، عبدالله ادعية، ج 1، ص 607.</w:t>
      </w:r>
      <w:bookmarkEnd w:id="1097"/>
    </w:p>
    <w:p>
      <w:pPr>
        <w:pStyle w:val="Heading2"/>
      </w:pPr>
      <w:bookmarkStart w:id="1098" w:name="_Toc200"/>
      <w:r>
        <w:t>ابن اسحاق ، كمال بن علي</w:t>
      </w:r>
      <w:bookmarkEnd w:id="1098"/>
    </w:p>
    <w:p>
      <w:pPr>
        <w:pStyle w:val="BookText"/>
      </w:pPr>
      <w:r>
        <w:rPr>
          <w:rFonts w:ascii="Amiri" w:hAnsi="Amiri" w:eastAsia="Amiri" w:cs="Amiri"/>
          <w:lang w:bidi="ar-SA"/>
          <w:color w:val="111111"/>
          <w:sz w:val="28"/>
          <w:szCs w:val="28"/>
          <w:rtl/>
        </w:rPr>
        <w:t xml:space="preserve">1 .شرح شواهد ضوء الدرة، ج9،</w:t>
      </w:r>
    </w:p>
    <w:p>
      <w:pPr>
        <w:pStyle w:val="BookText"/>
      </w:pPr>
      <w:r>
        <w:rPr>
          <w:rFonts w:ascii="IRNazanin" w:hAnsi="IRNazanin" w:eastAsia="IRNazanin" w:cs="IRNazanin"/>
          <w:lang w:bidi="fa-IR"/>
          <w:color w:val="111111"/>
          <w:sz w:val="28"/>
          <w:szCs w:val="28"/>
          <w:rtl/>
        </w:rPr>
        <w:t xml:space="preserve">ص 655 .</w:t>
      </w:r>
    </w:p>
    <w:p>
      <w:pPr>
        <w:pStyle w:val="BookText"/>
      </w:pPr>
      <w:r>
        <w:rPr>
          <w:rFonts w:ascii="Amiri" w:hAnsi="Amiri" w:eastAsia="Amiri" w:cs="Amiri"/>
          <w:lang w:bidi="ar-SA"/>
          <w:color w:val="111111"/>
          <w:sz w:val="28"/>
          <w:szCs w:val="28"/>
          <w:rtl/>
        </w:rPr>
        <w:t xml:space="preserve">2 .عون الوافية في شرح الكافية، ج 11،</w:t>
      </w:r>
    </w:p>
    <w:p>
      <w:pPr>
        <w:pStyle w:val="BookText"/>
      </w:pPr>
      <w:r>
        <w:rPr>
          <w:rFonts w:ascii="IRNazanin" w:hAnsi="IRNazanin" w:eastAsia="IRNazanin" w:cs="IRNazanin"/>
          <w:lang w:bidi="fa-IR"/>
          <w:color w:val="111111"/>
          <w:sz w:val="28"/>
          <w:szCs w:val="28"/>
          <w:rtl/>
        </w:rPr>
        <w:t xml:space="preserve">ص 370.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7742_69404"/>
    <w:bookmarkEnd w:id="36"/>
    <w:p>
      <w:pPr>
        <w:pStyle w:val="BookText"/>
      </w:pPr>
      <w:r>
        <w:rPr>
          <w:rFonts w:ascii="Amiri" w:hAnsi="Amiri" w:eastAsia="Amiri" w:cs="Amiri"/>
          <w:lang w:bidi="ar-SA"/>
          <w:color w:val="111111"/>
          <w:sz w:val="28"/>
          <w:szCs w:val="28"/>
          <w:rtl/>
        </w:rPr>
        <w:t xml:space="preserve">ابن اسرائيل ، عبد المجيد بن نصوح- لادكي</w:t>
      </w:r>
    </w:p>
    <w:p>
      <w:pPr>
        <w:pStyle w:val="BookText"/>
      </w:pPr>
      <w:r>
        <w:rPr>
          <w:rFonts w:ascii="Amiri" w:hAnsi="Amiri" w:eastAsia="Amiri" w:cs="Amiri"/>
          <w:lang w:bidi="ar-SA"/>
          <w:color w:val="111111"/>
          <w:sz w:val="28"/>
          <w:szCs w:val="28"/>
          <w:rtl/>
        </w:rPr>
        <w:t xml:space="preserve">عبد المجيد بن نصوح</w:t>
      </w:r>
    </w:p>
    <w:p>
      <w:pPr>
        <w:pStyle w:val="Heading2"/>
      </w:pPr>
      <w:bookmarkStart w:id="1099" w:name="_Toc201"/>
      <w:r>
        <w:t>ابن اسفندیار ، اسماعیل بن ابراهيم</w:t>
      </w:r>
      <w:bookmarkEnd w:id="1099"/>
    </w:p>
    <w:p>
      <w:pPr>
        <w:pStyle w:val="BookText"/>
      </w:pPr>
      <w:r>
        <w:rPr>
          <w:rFonts w:ascii="IRNazanin" w:hAnsi="IRNazanin" w:eastAsia="IRNazanin" w:cs="IRNazanin"/>
          <w:lang w:bidi="fa-IR"/>
          <w:color w:val="111111"/>
          <w:sz w:val="28"/>
          <w:szCs w:val="28"/>
          <w:rtl/>
        </w:rPr>
        <w:t xml:space="preserve">862 ه-</w:t>
      </w:r>
    </w:p>
    <w:p>
      <w:pPr>
        <w:pStyle w:val="BookText"/>
      </w:pPr>
      <w:r>
        <w:rPr>
          <w:rFonts w:ascii="IRNazanin" w:hAnsi="IRNazanin" w:eastAsia="IRNazanin" w:cs="IRNazanin"/>
          <w:lang w:bidi="fa-IR"/>
          <w:color w:val="111111"/>
          <w:sz w:val="28"/>
          <w:szCs w:val="28"/>
          <w:rtl/>
        </w:rPr>
        <w:t xml:space="preserve">فقه، ج 12، ص 41.</w:t>
      </w:r>
    </w:p>
    <w:p>
      <w:pPr>
        <w:pStyle w:val="Heading2"/>
      </w:pPr>
      <w:bookmarkStart w:id="1100" w:name="_Toc202"/>
      <w:r>
        <w:t>ابن ،اسکندر حسین بن اسکندر -1084ه-</w:t>
      </w:r>
      <w:bookmarkEnd w:id="1100"/>
    </w:p>
    <w:p>
      <w:pPr>
        <w:pStyle w:val="BookText"/>
      </w:pPr>
      <w:r>
        <w:rPr>
          <w:rFonts w:ascii="Amiri" w:hAnsi="Amiri" w:eastAsia="Amiri" w:cs="Amiri"/>
          <w:lang w:bidi="ar-SA"/>
          <w:color w:val="111111"/>
          <w:sz w:val="28"/>
          <w:szCs w:val="28"/>
          <w:rtl/>
        </w:rPr>
        <w:t xml:space="preserve">1 .بيان المشكلات على المبتدئين من جهة التجويد في القرآن المبين، ج3،</w:t>
      </w:r>
    </w:p>
    <w:p>
      <w:pPr>
        <w:pStyle w:val="BookText"/>
      </w:pPr>
      <w:r>
        <w:rPr>
          <w:rFonts w:ascii="IRNazanin" w:hAnsi="IRNazanin" w:eastAsia="IRNazanin" w:cs="IRNazanin"/>
          <w:lang w:bidi="fa-IR"/>
          <w:color w:val="111111"/>
          <w:sz w:val="28"/>
          <w:szCs w:val="28"/>
          <w:rtl/>
        </w:rPr>
        <w:t xml:space="preserve">ص 492 .</w:t>
      </w:r>
    </w:p>
    <w:p>
      <w:pPr>
        <w:pStyle w:val="BookText"/>
      </w:pPr>
      <w:r>
        <w:rPr>
          <w:rFonts w:ascii="Amiri" w:hAnsi="Amiri" w:eastAsia="Amiri" w:cs="Amiri"/>
          <w:lang w:bidi="ar-SA"/>
          <w:color w:val="111111"/>
          <w:sz w:val="28"/>
          <w:szCs w:val="28"/>
          <w:rtl/>
        </w:rPr>
        <w:t xml:space="preserve">2 .التجويد (رسالة في)، ج 3، ص 699.</w:t>
      </w:r>
    </w:p>
    <w:p>
      <w:pPr>
        <w:pStyle w:val="BookText"/>
      </w:pPr>
      <w:r>
        <w:rPr>
          <w:rFonts w:ascii="Amiri" w:hAnsi="Amiri" w:eastAsia="Amiri" w:cs="Amiri"/>
          <w:lang w:bidi="ar-SA"/>
          <w:color w:val="111111"/>
          <w:sz w:val="28"/>
          <w:szCs w:val="28"/>
          <w:rtl/>
        </w:rPr>
        <w:t xml:space="preserve">3 .جواهر المسائل فيما يحتاج اليه كل</w:t>
      </w:r>
    </w:p>
    <w:p>
      <w:pPr>
        <w:pStyle w:val="BookText"/>
      </w:pPr>
      <w:r>
        <w:rPr>
          <w:rFonts w:ascii="IRNazanin" w:hAnsi="IRNazanin" w:eastAsia="IRNazanin" w:cs="IRNazanin"/>
          <w:lang w:bidi="fa-IR"/>
          <w:color w:val="111111"/>
          <w:sz w:val="28"/>
          <w:szCs w:val="28"/>
          <w:rtl/>
        </w:rPr>
        <w:t xml:space="preserve">عاقل و جاهل، ج5، ص 597</w:t>
      </w:r>
    </w:p>
    <w:p>
      <w:pPr>
        <w:pStyle w:val="BookText"/>
      </w:pPr>
      <w:r>
        <w:rPr>
          <w:rFonts w:ascii="Amiri" w:hAnsi="Amiri" w:eastAsia="Amiri" w:cs="Amiri"/>
          <w:lang w:bidi="ar-SA"/>
          <w:color w:val="111111"/>
          <w:sz w:val="28"/>
          <w:szCs w:val="28"/>
          <w:rtl/>
        </w:rPr>
        <w:t xml:space="preserve">4 .الجوهرة المنيفة في شرح وصية أبي</w:t>
      </w:r>
    </w:p>
    <w:p>
      <w:pPr>
        <w:pStyle w:val="BookText"/>
      </w:pPr>
      <w:r>
        <w:rPr>
          <w:rFonts w:ascii="Amiri" w:hAnsi="Amiri" w:eastAsia="Amiri" w:cs="Amiri"/>
          <w:lang w:bidi="ar-SA"/>
          <w:color w:val="111111"/>
          <w:sz w:val="28"/>
          <w:szCs w:val="28"/>
          <w:rtl/>
        </w:rPr>
        <w:t xml:space="preserve">حنيفة، ج5، ص 617.</w:t>
      </w:r>
    </w:p>
    <w:p>
      <w:pPr>
        <w:pStyle w:val="BookText"/>
      </w:pPr>
      <w:r>
        <w:rPr>
          <w:rFonts w:ascii="Amiri" w:hAnsi="Amiri" w:eastAsia="Amiri" w:cs="Amiri"/>
          <w:lang w:bidi="ar-SA"/>
          <w:color w:val="111111"/>
          <w:sz w:val="28"/>
          <w:szCs w:val="28"/>
          <w:rtl/>
        </w:rPr>
        <w:t xml:space="preserve">5 .لباب التجويد للقرآن المجيد، ج13،</w:t>
      </w:r>
    </w:p>
    <w:p>
      <w:pPr>
        <w:pStyle w:val="BookText"/>
      </w:pPr>
      <w:r>
        <w:rPr>
          <w:rFonts w:ascii="IRNazanin" w:hAnsi="IRNazanin" w:eastAsia="IRNazanin" w:cs="IRNazanin"/>
          <w:lang w:bidi="fa-IR"/>
          <w:color w:val="111111"/>
          <w:sz w:val="28"/>
          <w:szCs w:val="28"/>
          <w:rtl/>
        </w:rPr>
        <w:t xml:space="preserve">ص 546 .</w:t>
      </w:r>
    </w:p>
    <w:p>
      <w:pPr>
        <w:pStyle w:val="BookText"/>
      </w:pPr>
      <w:r>
        <w:rPr>
          <w:rFonts w:ascii="Amiri" w:hAnsi="Amiri" w:eastAsia="Amiri" w:cs="Amiri"/>
          <w:lang w:bidi="ar-SA"/>
          <w:color w:val="111111"/>
          <w:sz w:val="28"/>
          <w:szCs w:val="28"/>
          <w:rtl/>
        </w:rPr>
        <w:t xml:space="preserve">6 .مجمع المهمات اللدنية على مذهب السادة الحنفية، ج 13، ص 864.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مختصر الاسباب في تجويد القرآن</w:t>
      </w:r>
    </w:p>
    <w:p>
      <w:pPr>
        <w:pStyle w:val="BookText"/>
      </w:pPr>
      <w:r>
        <w:rPr>
          <w:rFonts w:ascii="IRNazanin" w:hAnsi="IRNazanin" w:eastAsia="IRNazanin" w:cs="IRNazanin"/>
          <w:lang w:bidi="fa-IR"/>
          <w:color w:val="111111"/>
          <w:sz w:val="28"/>
          <w:szCs w:val="28"/>
          <w:rtl/>
        </w:rPr>
        <w:t xml:space="preserve">ج 14، ص 171.</w:t>
      </w:r>
    </w:p>
    <w:p>
      <w:pPr>
        <w:pStyle w:val="BookText"/>
      </w:pPr>
      <w:r>
        <w:rPr>
          <w:rFonts w:ascii="IRNazanin" w:hAnsi="IRNazanin" w:eastAsia="IRNazanin" w:cs="IRNazanin"/>
          <w:lang w:bidi="fa-IR"/>
          <w:color w:val="111111"/>
          <w:sz w:val="28"/>
          <w:szCs w:val="28"/>
          <w:rtl/>
        </w:rPr>
        <w:t xml:space="preserve">ابن اسكندر ، زین العابدين- شيرواني ،</w:t>
      </w:r>
    </w:p>
    <w:p>
      <w:pPr>
        <w:pStyle w:val="BookText"/>
      </w:pPr>
      <w:r>
        <w:rPr>
          <w:rFonts w:ascii="Amiri" w:hAnsi="Amiri" w:eastAsia="Amiri" w:cs="Amiri"/>
          <w:lang w:bidi="ar-SA"/>
          <w:color w:val="111111"/>
          <w:sz w:val="28"/>
          <w:szCs w:val="28"/>
          <w:rtl/>
        </w:rPr>
        <w:t xml:space="preserve">زين العابدين بن اسكندر</w:t>
      </w:r>
    </w:p>
    <w:p>
      <w:pPr>
        <w:pStyle w:val="BookText"/>
      </w:pPr>
      <w:r>
        <w:rPr>
          <w:rFonts w:ascii="Amiri" w:hAnsi="Amiri" w:eastAsia="Amiri" w:cs="Amiri"/>
          <w:lang w:bidi="ar-SA"/>
          <w:color w:val="111111"/>
          <w:sz w:val="28"/>
          <w:szCs w:val="28"/>
          <w:rtl/>
        </w:rPr>
        <w:t xml:space="preserve">ابن اسلم ، محمّد بن اسلم - طوسي</w:t>
      </w:r>
    </w:p>
    <w:p>
      <w:pPr>
        <w:pStyle w:val="BookText"/>
      </w:pPr>
      <w:r>
        <w:rPr>
          <w:rFonts w:ascii="IRNazanin" w:hAnsi="IRNazanin" w:eastAsia="IRNazanin" w:cs="IRNazanin"/>
          <w:lang w:bidi="fa-IR"/>
          <w:color w:val="111111"/>
          <w:sz w:val="28"/>
          <w:szCs w:val="28"/>
          <w:rtl/>
        </w:rPr>
        <w:t xml:space="preserve">محمّد بن اسلم</w:t>
      </w:r>
    </w:p>
    <w:p>
      <w:pPr>
        <w:pStyle w:val="BookText"/>
      </w:pPr>
      <w:r>
        <w:rPr>
          <w:rFonts w:ascii="IRNazanin" w:hAnsi="IRNazanin" w:eastAsia="IRNazanin" w:cs="IRNazanin"/>
          <w:lang w:bidi="fa-IR"/>
          <w:color w:val="111111"/>
          <w:sz w:val="28"/>
          <w:szCs w:val="28"/>
          <w:rtl/>
        </w:rPr>
        <w:t xml:space="preserve">ابن اسلم حاسب ، شجاع بن</w:t>
      </w:r>
    </w:p>
    <w:p>
      <w:pPr>
        <w:pStyle w:val="BookText"/>
      </w:pPr>
      <w:r>
        <w:rPr>
          <w:rFonts w:ascii="IRNazanin" w:hAnsi="IRNazanin" w:eastAsia="IRNazanin" w:cs="IRNazanin"/>
          <w:lang w:bidi="fa-IR"/>
          <w:color w:val="111111"/>
          <w:sz w:val="28"/>
          <w:szCs w:val="28"/>
          <w:rtl/>
        </w:rPr>
        <w:t xml:space="preserve">اسلم ابوکامل ، شجاع بن اسلم -</w:t>
      </w:r>
    </w:p>
    <w:p>
      <w:pPr>
        <w:pStyle w:val="Heading2"/>
      </w:pPr>
      <w:bookmarkStart w:id="1101" w:name="_Toc203"/>
      <w:r>
        <w:t>ابن اسماعیل ، عبدالله بن عيسى - 1247</w:t>
      </w:r>
      <w:bookmarkEnd w:id="1101"/>
    </w:p>
    <w:p>
      <w:pPr>
        <w:pStyle w:val="BookText"/>
      </w:pPr>
      <w:r>
        <w:rPr>
          <w:rFonts w:ascii="Amiri" w:hAnsi="Amiri" w:eastAsia="Amiri" w:cs="Amiri"/>
          <w:lang w:bidi="ar-SA"/>
          <w:color w:val="111111"/>
          <w:sz w:val="28"/>
          <w:szCs w:val="28"/>
          <w:rtl/>
        </w:rPr>
        <w:t xml:space="preserve">ارجاع الشوارد من الاوراق القديمة</w:t>
      </w:r>
    </w:p>
    <w:p>
      <w:pPr>
        <w:pStyle w:val="BookText"/>
      </w:pPr>
      <w:r>
        <w:rPr>
          <w:rFonts w:ascii="IRNazanin" w:hAnsi="IRNazanin" w:eastAsia="IRNazanin" w:cs="IRNazanin"/>
          <w:lang w:bidi="fa-IR"/>
          <w:color w:val="111111"/>
          <w:sz w:val="28"/>
          <w:szCs w:val="28"/>
          <w:rtl/>
        </w:rPr>
        <w:t xml:space="preserve">ذات الفوائد، ج 1، ص758.</w:t>
      </w:r>
    </w:p>
    <w:p>
      <w:pPr>
        <w:pStyle w:val="BookText"/>
      </w:pPr>
      <w:r>
        <w:rPr>
          <w:rFonts w:ascii="IRNazanin" w:hAnsi="IRNazanin" w:eastAsia="IRNazanin" w:cs="IRNazanin"/>
          <w:lang w:bidi="fa-IR"/>
          <w:color w:val="111111"/>
          <w:sz w:val="28"/>
          <w:szCs w:val="28"/>
          <w:rtl/>
        </w:rPr>
        <w:t xml:space="preserve">ابن اسود ، حسن -پاشا اسود ، حسن بن</w:t>
      </w:r>
    </w:p>
    <w:p>
      <w:pPr>
        <w:pStyle w:val="BookText"/>
      </w:pPr>
      <w:r>
        <w:rPr>
          <w:rFonts w:ascii="Amiri" w:hAnsi="Amiri" w:eastAsia="Amiri" w:cs="Amiri"/>
          <w:lang w:bidi="ar-SA"/>
          <w:color w:val="111111"/>
          <w:sz w:val="28"/>
          <w:szCs w:val="28"/>
          <w:rtl/>
        </w:rPr>
        <w:t xml:space="preserve">علاء الدين</w:t>
      </w:r>
    </w:p>
    <w:p>
      <w:pPr>
        <w:pStyle w:val="Heading2"/>
      </w:pPr>
      <w:bookmarkStart w:id="1102" w:name="_Toc204"/>
      <w:r>
        <w:t>ابن اشتركوني ، محمّد بن يوسف - 538ه-</w:t>
      </w:r>
      <w:bookmarkEnd w:id="1102"/>
    </w:p>
    <w:p>
      <w:pPr>
        <w:pStyle w:val="BookText"/>
      </w:pPr>
      <w:r>
        <w:rPr>
          <w:rFonts w:ascii="Amiri" w:hAnsi="Amiri" w:eastAsia="Amiri" w:cs="Amiri"/>
          <w:lang w:bidi="ar-SA"/>
          <w:color w:val="111111"/>
          <w:sz w:val="28"/>
          <w:szCs w:val="28"/>
          <w:rtl/>
        </w:rPr>
        <w:t xml:space="preserve">.1 المقامات اللزومية، ج 15، ص 308.</w:t>
      </w:r>
    </w:p>
    <w:p>
      <w:pPr>
        <w:pStyle w:val="BookText"/>
      </w:pPr>
      <w:r>
        <w:rPr>
          <w:rFonts w:ascii="Amiri" w:hAnsi="Amiri" w:eastAsia="Amiri" w:cs="Amiri"/>
          <w:lang w:bidi="ar-SA"/>
          <w:color w:val="111111"/>
          <w:sz w:val="28"/>
          <w:szCs w:val="28"/>
          <w:rtl/>
        </w:rPr>
        <w:t xml:space="preserve">2 مقامة الشعراء من المقامات اللزومية، ج 15، ص 318.</w:t>
      </w:r>
    </w:p>
    <w:p>
      <w:pPr>
        <w:pStyle w:val="BookText"/>
      </w:pPr>
      <w:r>
        <w:rPr>
          <w:rFonts w:ascii="Amiri" w:hAnsi="Amiri" w:eastAsia="Amiri" w:cs="Amiri"/>
          <w:lang w:bidi="ar-SA"/>
          <w:color w:val="111111"/>
          <w:sz w:val="28"/>
          <w:szCs w:val="28"/>
          <w:rtl/>
        </w:rPr>
        <w:t xml:space="preserve">ابن اشته ، محمّد بن عبد الله- اصفهاني ،</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ابن اشته اصفهاني- اصفهاني ، محمد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ابن اشرف ، شمس الدين محمّد -سمرقندي ، محمّد بن اشرف</w:t>
      </w:r>
    </w:p>
    <w:p>
      <w:pPr>
        <w:pStyle w:val="BookText"/>
      </w:pPr>
      <w:r>
        <w:rPr>
          <w:rFonts w:ascii="Amiri" w:hAnsi="Amiri" w:eastAsia="Amiri" w:cs="Amiri"/>
          <w:lang w:bidi="ar-SA"/>
          <w:color w:val="111111"/>
          <w:sz w:val="28"/>
          <w:szCs w:val="28"/>
          <w:rtl/>
        </w:rPr>
        <w:t xml:space="preserve">ابن اشرف ، عبدالله بن اشرف - رومي ،</w:t>
      </w:r>
    </w:p>
    <w:p>
      <w:pPr>
        <w:pStyle w:val="BookText"/>
      </w:pPr>
      <w:r>
        <w:rPr>
          <w:rFonts w:ascii="Amiri" w:hAnsi="Amiri" w:eastAsia="Amiri" w:cs="Amiri"/>
          <w:lang w:bidi="ar-SA"/>
          <w:color w:val="111111"/>
          <w:sz w:val="28"/>
          <w:szCs w:val="28"/>
          <w:rtl/>
        </w:rPr>
        <w:t xml:space="preserve">عبدالله بن اشرف ابن اشرف سمرقندي- سمرقندي ، محمّد</w:t>
      </w:r>
    </w:p>
    <w:p>
      <w:pPr>
        <w:pStyle w:val="BookText"/>
      </w:pPr>
      <w:r>
        <w:rPr>
          <w:rFonts w:ascii="IRNazanin" w:hAnsi="IRNazanin" w:eastAsia="IRNazanin" w:cs="IRNazanin"/>
          <w:lang w:bidi="fa-IR"/>
          <w:color w:val="111111"/>
          <w:sz w:val="28"/>
          <w:szCs w:val="28"/>
          <w:rtl/>
        </w:rPr>
        <w:t xml:space="preserve">بن اشرف</w:t>
      </w:r>
    </w:p>
    <w:p>
      <w:pPr>
        <w:pStyle w:val="BookText"/>
      </w:pPr>
      <w:r>
        <w:rPr>
          <w:rFonts w:ascii="Amiri" w:hAnsi="Amiri" w:eastAsia="Amiri" w:cs="Amiri"/>
          <w:lang w:bidi="ar-SA"/>
          <w:color w:val="111111"/>
          <w:sz w:val="28"/>
          <w:szCs w:val="28"/>
          <w:rtl/>
        </w:rPr>
        <w:t xml:space="preserve">ابن اشعث ، عبدالله بن سليمان - سجستاني</w:t>
      </w:r>
    </w:p>
    <w:p>
      <w:pPr>
        <w:pStyle w:val="BookText"/>
      </w:pPr>
      <w:r>
        <w:rPr>
          <w:rFonts w:ascii="Amiri" w:hAnsi="Amiri" w:eastAsia="Amiri" w:cs="Amiri"/>
          <w:lang w:bidi="ar-SA"/>
          <w:color w:val="111111"/>
          <w:sz w:val="28"/>
          <w:szCs w:val="28"/>
          <w:rtl/>
        </w:rPr>
        <w:t xml:space="preserve">، عبدالله بن سليمان</w:t>
      </w:r>
    </w:p>
    <w:p>
      <w:pPr>
        <w:pStyle w:val="Heading2"/>
      </w:pPr>
      <w:bookmarkStart w:id="1103" w:name="_Toc205"/>
      <w:r>
        <w:t>ابن اشعث محمّد بن محمّد - 314 ؟ ه-</w:t>
      </w:r>
      <w:bookmarkEnd w:id="1103"/>
    </w:p>
    <w:p>
      <w:pPr>
        <w:pStyle w:val="BookText"/>
      </w:pPr>
      <w:r>
        <w:rPr>
          <w:rFonts w:ascii="Amiri" w:hAnsi="Amiri" w:eastAsia="Amiri" w:cs="Amiri"/>
          <w:lang w:bidi="ar-SA"/>
          <w:color w:val="111111"/>
          <w:sz w:val="28"/>
          <w:szCs w:val="28"/>
          <w:rtl/>
        </w:rPr>
        <w:t xml:space="preserve">الاشعثيات - جعفريات، ج2، ص 342.</w:t>
      </w:r>
    </w:p>
    <w:p>
      <w:pPr>
        <w:pStyle w:val="BookText"/>
      </w:pPr>
      <w:r>
        <w:rPr>
          <w:rFonts w:ascii="Amiri" w:hAnsi="Amiri" w:eastAsia="Amiri" w:cs="Amiri"/>
          <w:lang w:bidi="ar-SA"/>
          <w:color w:val="111111"/>
          <w:sz w:val="28"/>
          <w:szCs w:val="28"/>
          <w:rtl/>
        </w:rPr>
        <w:t xml:space="preserve">ابن اشنويه ، علي بن حسن- يزدي ، علي</w:t>
      </w:r>
    </w:p>
    <w:p>
      <w:pPr>
        <w:pStyle w:val="BookText"/>
      </w:pPr>
      <w:r>
        <w:rPr>
          <w:rFonts w:ascii="IRNazanin" w:hAnsi="IRNazanin" w:eastAsia="IRNazanin" w:cs="IRNazanin"/>
          <w:lang w:bidi="fa-IR"/>
          <w:color w:val="111111"/>
          <w:sz w:val="28"/>
          <w:szCs w:val="28"/>
          <w:rtl/>
        </w:rPr>
        <w:t xml:space="preserve">بن حسن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7742_69406"/>
    <w:bookmarkEnd w:id="37"/>
    <w:p>
      <w:pPr>
        <w:pStyle w:val="BookText"/>
      </w:pPr>
      <w:r>
        <w:rPr>
          <w:rFonts w:ascii="Amiri" w:hAnsi="Amiri" w:eastAsia="Amiri" w:cs="Amiri"/>
          <w:lang w:bidi="ar-SA"/>
          <w:color w:val="111111"/>
          <w:sz w:val="28"/>
          <w:szCs w:val="28"/>
          <w:rtl/>
        </w:rPr>
        <w:t xml:space="preserve">ابن اصبع ، عبد العظيم بن</w:t>
      </w:r>
    </w:p>
    <w:p>
      <w:pPr>
        <w:pStyle w:val="BookText"/>
      </w:pPr>
      <w:r>
        <w:rPr>
          <w:rFonts w:ascii="Amiri" w:hAnsi="Amiri" w:eastAsia="Amiri" w:cs="Amiri"/>
          <w:lang w:bidi="ar-SA"/>
          <w:color w:val="111111"/>
          <w:sz w:val="28"/>
          <w:szCs w:val="28"/>
          <w:rtl/>
        </w:rPr>
        <w:t xml:space="preserve">عبد الواحد -ابن ابي الاصبع ، عبدالعظيم بن عبدالعزيز بن محمّد</w:t>
      </w:r>
    </w:p>
    <w:p>
      <w:pPr>
        <w:pStyle w:val="BookText"/>
      </w:pPr>
      <w:r>
        <w:rPr>
          <w:rFonts w:ascii="IRNazanin" w:hAnsi="IRNazanin" w:eastAsia="IRNazanin" w:cs="IRNazanin"/>
          <w:lang w:bidi="fa-IR"/>
          <w:color w:val="111111"/>
          <w:sz w:val="28"/>
          <w:szCs w:val="28"/>
          <w:rtl/>
        </w:rPr>
        <w:t xml:space="preserve">عبد الواحد</w:t>
      </w:r>
    </w:p>
    <w:p>
      <w:pPr>
        <w:pStyle w:val="BookText"/>
      </w:pPr>
      <w:r>
        <w:rPr>
          <w:rFonts w:ascii="Amiri" w:hAnsi="Amiri" w:eastAsia="Amiri" w:cs="Amiri"/>
          <w:lang w:bidi="ar-SA"/>
          <w:color w:val="111111"/>
          <w:sz w:val="28"/>
          <w:szCs w:val="28"/>
          <w:rtl/>
        </w:rPr>
        <w:t xml:space="preserve">ابن اصبهاني ، يحيى بن عبدالرحمن- قرافي احمد بن محمّد</w:t>
      </w:r>
    </w:p>
    <w:p>
      <w:pPr>
        <w:pStyle w:val="BookText"/>
      </w:pPr>
      <w:r>
        <w:rPr>
          <w:rFonts w:ascii="Amiri" w:hAnsi="Amiri" w:eastAsia="Amiri" w:cs="Amiri"/>
          <w:lang w:bidi="ar-SA"/>
          <w:color w:val="111111"/>
          <w:sz w:val="28"/>
          <w:szCs w:val="28"/>
          <w:rtl/>
        </w:rPr>
        <w:t xml:space="preserve">، يحيى بن عبدالرحمن</w:t>
      </w:r>
    </w:p>
    <w:p>
      <w:pPr>
        <w:pStyle w:val="Heading2"/>
      </w:pPr>
      <w:bookmarkStart w:id="1104" w:name="_Toc206"/>
      <w:r>
        <w:t>ابن اعرابي ، محمّد بن زياد 150-231ه-</w:t>
      </w:r>
      <w:bookmarkEnd w:id="1104"/>
    </w:p>
    <w:p>
      <w:pPr>
        <w:pStyle w:val="BookText"/>
      </w:pPr>
      <w:r>
        <w:rPr>
          <w:rFonts w:ascii="Amiri" w:hAnsi="Amiri" w:eastAsia="Amiri" w:cs="Amiri"/>
          <w:lang w:bidi="ar-SA"/>
          <w:color w:val="111111"/>
          <w:sz w:val="28"/>
          <w:szCs w:val="28"/>
          <w:rtl/>
        </w:rPr>
        <w:t xml:space="preserve">1 .اسماء الخيل و فوارسها من العرب</w:t>
      </w:r>
    </w:p>
    <w:p>
      <w:pPr>
        <w:pStyle w:val="BookText"/>
      </w:pPr>
      <w:r>
        <w:rPr>
          <w:rFonts w:ascii="IRNazanin" w:hAnsi="IRNazanin" w:eastAsia="IRNazanin" w:cs="IRNazanin"/>
          <w:lang w:bidi="fa-IR"/>
          <w:color w:val="111111"/>
          <w:sz w:val="28"/>
          <w:szCs w:val="28"/>
          <w:rtl/>
        </w:rPr>
        <w:t xml:space="preserve">ج 2، ص219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البئر، ج 3، ص 169.</w:t>
      </w:r>
    </w:p>
    <w:p>
      <w:pPr>
        <w:pStyle w:val="BookText"/>
      </w:pPr>
      <w:r>
        <w:rPr>
          <w:rFonts w:ascii="Amiri" w:hAnsi="Amiri" w:eastAsia="Amiri" w:cs="Amiri"/>
          <w:lang w:bidi="ar-SA"/>
          <w:color w:val="111111"/>
          <w:sz w:val="28"/>
          <w:szCs w:val="28"/>
          <w:rtl/>
        </w:rPr>
        <w:t xml:space="preserve">3 والفاضل في صفة الادب الكامل</w:t>
      </w:r>
    </w:p>
    <w:p>
      <w:pPr>
        <w:pStyle w:val="BookText"/>
      </w:pPr>
      <w:r>
        <w:rPr>
          <w:rFonts w:ascii="IRNazanin" w:hAnsi="IRNazanin" w:eastAsia="IRNazanin" w:cs="IRNazanin"/>
          <w:lang w:bidi="fa-IR"/>
          <w:color w:val="111111"/>
          <w:sz w:val="28"/>
          <w:szCs w:val="28"/>
          <w:rtl/>
        </w:rPr>
        <w:t xml:space="preserve">ج 11، ص 585.</w:t>
      </w:r>
    </w:p>
    <w:p>
      <w:pPr>
        <w:pStyle w:val="BookText"/>
      </w:pPr>
      <w:r>
        <w:rPr>
          <w:rFonts w:ascii="Amiri" w:hAnsi="Amiri" w:eastAsia="Amiri" w:cs="Amiri"/>
          <w:lang w:bidi="ar-SA"/>
          <w:color w:val="111111"/>
          <w:sz w:val="28"/>
          <w:szCs w:val="28"/>
          <w:rtl/>
        </w:rPr>
        <w:t xml:space="preserve">ابن اعرج، احمد -اعرجي ،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ابن اعرج ، عبد المطلب بن مجد الدين- اعرجي حلي ، عبد المطلب بن محمّد</w:t>
      </w:r>
    </w:p>
    <w:p>
      <w:pPr>
        <w:pStyle w:val="Heading2"/>
      </w:pPr>
      <w:bookmarkStart w:id="1105" w:name="_Toc207"/>
      <w:r>
        <w:t>ابن افراسیاب حسين بن علي - 1087 ه-</w:t>
      </w:r>
      <w:bookmarkEnd w:id="1105"/>
    </w:p>
    <w:p>
      <w:pPr>
        <w:pStyle w:val="BookText"/>
      </w:pPr>
      <w:r>
        <w:rPr>
          <w:rFonts w:ascii="Amiri" w:hAnsi="Amiri" w:eastAsia="Amiri" w:cs="Amiri"/>
          <w:lang w:bidi="ar-SA"/>
          <w:color w:val="111111"/>
          <w:sz w:val="28"/>
          <w:szCs w:val="28"/>
          <w:rtl/>
        </w:rPr>
        <w:t xml:space="preserve">الاخبار القرآنية و الآثار الرحمانية</w:t>
      </w:r>
    </w:p>
    <w:p>
      <w:pPr>
        <w:pStyle w:val="BookText"/>
      </w:pPr>
      <w:r>
        <w:rPr>
          <w:rFonts w:ascii="IRNazanin" w:hAnsi="IRNazanin" w:eastAsia="IRNazanin" w:cs="IRNazanin"/>
          <w:lang w:bidi="fa-IR"/>
          <w:color w:val="111111"/>
          <w:sz w:val="28"/>
          <w:szCs w:val="28"/>
          <w:rtl/>
        </w:rPr>
        <w:t xml:space="preserve">ج 1، ص 534.</w:t>
      </w:r>
    </w:p>
    <w:p>
      <w:pPr>
        <w:pStyle w:val="BookText"/>
      </w:pPr>
      <w:r>
        <w:rPr>
          <w:rFonts w:ascii="Amiri" w:hAnsi="Amiri" w:eastAsia="Amiri" w:cs="Amiri"/>
          <w:lang w:bidi="ar-SA"/>
          <w:color w:val="111111"/>
          <w:sz w:val="28"/>
          <w:szCs w:val="28"/>
          <w:rtl/>
        </w:rPr>
        <w:t xml:space="preserve">ابن افراسياب ، علي بن افراسياب- ابن</w:t>
      </w:r>
    </w:p>
    <w:p>
      <w:pPr>
        <w:pStyle w:val="BookText"/>
      </w:pPr>
      <w:r>
        <w:rPr>
          <w:rFonts w:ascii="IRNazanin" w:hAnsi="IRNazanin" w:eastAsia="IRNazanin" w:cs="IRNazanin"/>
          <w:lang w:bidi="fa-IR"/>
          <w:color w:val="111111"/>
          <w:sz w:val="28"/>
          <w:szCs w:val="28"/>
          <w:rtl/>
        </w:rPr>
        <w:t xml:space="preserve">سنادست ، علي بن افراسیاب</w:t>
      </w:r>
    </w:p>
    <w:p>
      <w:pPr>
        <w:pStyle w:val="BookText"/>
      </w:pPr>
      <w:r>
        <w:rPr>
          <w:rFonts w:ascii="IRNazanin" w:hAnsi="IRNazanin" w:eastAsia="IRNazanin" w:cs="IRNazanin"/>
          <w:lang w:bidi="fa-IR"/>
          <w:color w:val="111111"/>
          <w:sz w:val="28"/>
          <w:szCs w:val="28"/>
          <w:rtl/>
        </w:rPr>
        <w:t xml:space="preserve">ابن افضل ، حمیدالدین بن افضل الدين- حسيني ، حميدالدين بن افضل الدين</w:t>
      </w:r>
    </w:p>
    <w:p>
      <w:pPr>
        <w:pStyle w:val="BookText"/>
      </w:pPr>
      <w:r>
        <w:rPr>
          <w:rFonts w:ascii="IRNazanin" w:hAnsi="IRNazanin" w:eastAsia="IRNazanin" w:cs="IRNazanin"/>
          <w:lang w:bidi="fa-IR"/>
          <w:color w:val="111111"/>
          <w:sz w:val="28"/>
          <w:szCs w:val="28"/>
          <w:rtl/>
        </w:rPr>
        <w:t xml:space="preserve">ابن افضل الزمان ، احمد بن</w:t>
      </w:r>
    </w:p>
    <w:p>
      <w:pPr>
        <w:pStyle w:val="BookText"/>
      </w:pPr>
      <w:r>
        <w:rPr>
          <w:rFonts w:ascii="Amiri" w:hAnsi="Amiri" w:eastAsia="Amiri" w:cs="Amiri"/>
          <w:lang w:bidi="ar-SA"/>
          <w:color w:val="111111"/>
          <w:sz w:val="28"/>
          <w:szCs w:val="28"/>
          <w:rtl/>
        </w:rPr>
        <w:t xml:space="preserve">وهبان حموي ، احمد بن وهبان -</w:t>
      </w:r>
    </w:p>
    <w:p>
      <w:pPr>
        <w:pStyle w:val="BookText"/>
      </w:pPr>
      <w:r>
        <w:rPr>
          <w:rFonts w:ascii="Amiri" w:hAnsi="Amiri" w:eastAsia="Amiri" w:cs="Amiri"/>
          <w:lang w:bidi="ar-SA"/>
          <w:color w:val="111111"/>
          <w:sz w:val="28"/>
          <w:szCs w:val="28"/>
          <w:rtl/>
        </w:rPr>
        <w:t xml:space="preserve">ابن اقباعي ، عبد العزيز بن محمد- وفائي</w:t>
      </w:r>
    </w:p>
    <w:p>
      <w:pPr>
        <w:pStyle w:val="BookText"/>
      </w:pPr>
      <w:r>
        <w:rPr>
          <w:rFonts w:ascii="IRNazanin" w:hAnsi="IRNazanin" w:eastAsia="IRNazanin" w:cs="IRNazanin"/>
          <w:lang w:bidi="fa-IR"/>
          <w:color w:val="111111"/>
          <w:sz w:val="28"/>
          <w:szCs w:val="28"/>
          <w:rtl/>
        </w:rPr>
        <w:t xml:space="preserve">ابن اقطع ، احمد بن محمّد- اقطع</w:t>
      </w:r>
    </w:p>
    <w:p>
      <w:pPr>
        <w:pStyle w:val="BookText"/>
      </w:pPr>
      <w:r>
        <w:rPr>
          <w:rFonts w:ascii="Amiri" w:hAnsi="Amiri" w:eastAsia="Amiri" w:cs="Amiri"/>
          <w:lang w:bidi="ar-SA"/>
          <w:color w:val="111111"/>
          <w:sz w:val="28"/>
          <w:szCs w:val="28"/>
          <w:rtl/>
        </w:rPr>
        <w:t xml:space="preserve">ابن اقليشي ، احمد بن معد- اقليشي</w:t>
      </w:r>
    </w:p>
    <w:p>
      <w:pPr>
        <w:pStyle w:val="BookText"/>
      </w:pPr>
      <w:r>
        <w:rPr>
          <w:rFonts w:ascii="IRNazanin" w:hAnsi="IRNazanin" w:eastAsia="IRNazanin" w:cs="IRNazanin"/>
          <w:lang w:bidi="fa-IR"/>
          <w:color w:val="111111"/>
          <w:sz w:val="28"/>
          <w:szCs w:val="28"/>
          <w:rtl/>
        </w:rPr>
        <w:t xml:space="preserve">احمد بن معد</w:t>
      </w:r>
    </w:p>
    <w:p>
      <w:pPr>
        <w:pStyle w:val="BookText"/>
      </w:pPr>
      <w:r>
        <w:rPr>
          <w:rFonts w:ascii="Amiri" w:hAnsi="Amiri" w:eastAsia="Amiri" w:cs="Amiri"/>
          <w:lang w:bidi="ar-SA"/>
          <w:color w:val="111111"/>
          <w:sz w:val="28"/>
          <w:szCs w:val="28"/>
          <w:rtl/>
        </w:rPr>
        <w:t xml:space="preserve">ابن اكفاني ، محمّد بن ابراهيم- انصاري ،</w:t>
      </w:r>
    </w:p>
    <w:p>
      <w:pPr>
        <w:pStyle w:val="BookText"/>
      </w:pPr>
      <w:r>
        <w:rPr>
          <w:rFonts w:ascii="Amiri" w:hAnsi="Amiri" w:eastAsia="Amiri" w:cs="Amiri"/>
          <w:lang w:bidi="ar-SA"/>
          <w:color w:val="111111"/>
          <w:sz w:val="28"/>
          <w:szCs w:val="28"/>
          <w:rtl/>
        </w:rPr>
        <w:t xml:space="preserve">محمّد بن ابراهيم</w:t>
      </w:r>
    </w:p>
    <w:p>
      <w:pPr>
        <w:pStyle w:val="Heading2"/>
      </w:pPr>
      <w:bookmarkStart w:id="1106" w:name="_Toc208"/>
      <w:r>
        <w:t>ابن امام، احمد بن محمّد - 1015 ه-</w:t>
      </w:r>
      <w:bookmarkEnd w:id="1106"/>
    </w:p>
    <w:p>
      <w:pPr>
        <w:pStyle w:val="BookText"/>
      </w:pPr>
      <w:r>
        <w:rPr>
          <w:rFonts w:ascii="Amiri" w:hAnsi="Amiri" w:eastAsia="Amiri" w:cs="Amiri"/>
          <w:lang w:bidi="ar-SA"/>
          <w:color w:val="111111"/>
          <w:sz w:val="28"/>
          <w:szCs w:val="28"/>
          <w:rtl/>
        </w:rPr>
        <w:t xml:space="preserve">1 .تحفة الانام في فضائل الشام، ج3،</w:t>
      </w:r>
    </w:p>
    <w:p>
      <w:pPr>
        <w:pStyle w:val="BookText"/>
      </w:pPr>
      <w:r>
        <w:rPr>
          <w:rFonts w:ascii="IRNazanin" w:hAnsi="IRNazanin" w:eastAsia="IRNazanin" w:cs="IRNazanin"/>
          <w:lang w:bidi="fa-IR"/>
          <w:color w:val="111111"/>
          <w:sz w:val="28"/>
          <w:szCs w:val="28"/>
          <w:rtl/>
        </w:rPr>
        <w:t xml:space="preserve">ص 808</w:t>
      </w:r>
    </w:p>
    <w:p>
      <w:pPr>
        <w:pStyle w:val="BookText"/>
      </w:pPr>
      <w:r>
        <w:rPr>
          <w:rFonts w:ascii="Amiri" w:hAnsi="Amiri" w:eastAsia="Amiri" w:cs="Amiri"/>
          <w:lang w:bidi="ar-SA"/>
          <w:color w:val="111111"/>
          <w:sz w:val="28"/>
          <w:szCs w:val="28"/>
          <w:rtl/>
        </w:rPr>
        <w:t xml:space="preserve">2 .تعليقة على النتيجة الوردية، ج 4،</w:t>
      </w:r>
    </w:p>
    <w:p>
      <w:pPr>
        <w:pStyle w:val="BookText"/>
      </w:pPr>
      <w:r>
        <w:rPr>
          <w:rFonts w:ascii="IRNazanin" w:hAnsi="IRNazanin" w:eastAsia="IRNazanin" w:cs="IRNazanin"/>
          <w:lang w:bidi="fa-IR"/>
          <w:color w:val="111111"/>
          <w:sz w:val="28"/>
          <w:szCs w:val="28"/>
          <w:rtl/>
        </w:rPr>
        <w:t xml:space="preserve">ص 534.</w:t>
      </w:r>
    </w:p>
    <w:p>
      <w:pPr>
        <w:pStyle w:val="Heading2"/>
      </w:pPr>
      <w:bookmarkStart w:id="1107" w:name="_Toc209"/>
      <w:r>
        <w:t>ابن الامام ، كاظم بن رجب</w:t>
      </w:r>
      <w:bookmarkEnd w:id="1107"/>
    </w:p>
    <w:p>
      <w:pPr>
        <w:pStyle w:val="BookText"/>
      </w:pPr>
      <w:r>
        <w:rPr>
          <w:rFonts w:ascii="Amiri" w:hAnsi="Amiri" w:eastAsia="Amiri" w:cs="Amiri"/>
          <w:lang w:bidi="ar-SA"/>
          <w:color w:val="111111"/>
          <w:sz w:val="28"/>
          <w:szCs w:val="28"/>
          <w:rtl/>
        </w:rPr>
        <w:t xml:space="preserve">شرح دلائل الخيرات، ج9، ص 471.</w:t>
      </w:r>
    </w:p>
    <w:p>
      <w:pPr>
        <w:pStyle w:val="BookText"/>
      </w:pPr>
      <w:r>
        <w:rPr>
          <w:rFonts w:ascii="Amiri" w:hAnsi="Amiri" w:eastAsia="Amiri" w:cs="Amiri"/>
          <w:lang w:bidi="ar-SA"/>
          <w:color w:val="111111"/>
          <w:sz w:val="28"/>
          <w:szCs w:val="28"/>
          <w:rtl/>
        </w:rPr>
        <w:t xml:space="preserve">ابن امام الكاملية ، محمّد بن محمّد امام</w:t>
      </w:r>
    </w:p>
    <w:p>
      <w:pPr>
        <w:pStyle w:val="BookText"/>
      </w:pPr>
      <w:r>
        <w:rPr>
          <w:rFonts w:ascii="Amiri" w:hAnsi="Amiri" w:eastAsia="Amiri" w:cs="Amiri"/>
          <w:lang w:bidi="ar-SA"/>
          <w:color w:val="111111"/>
          <w:sz w:val="28"/>
          <w:szCs w:val="28"/>
          <w:rtl/>
        </w:rPr>
        <w:t xml:space="preserve">الكاملية ، محمّد بن محمّد</w:t>
      </w:r>
    </w:p>
    <w:p>
      <w:pPr>
        <w:pStyle w:val="Heading2"/>
      </w:pPr>
      <w:bookmarkStart w:id="1108" w:name="_Toc210"/>
      <w:r>
        <w:t>ابن امام محمّد بن محمّد 2677-745ه-</w:t>
      </w:r>
      <w:bookmarkEnd w:id="1108"/>
    </w:p>
    <w:p>
      <w:pPr>
        <w:pStyle w:val="BookText"/>
      </w:pPr>
      <w:r>
        <w:rPr>
          <w:rFonts w:ascii="Amiri" w:hAnsi="Amiri" w:eastAsia="Amiri" w:cs="Amiri"/>
          <w:lang w:bidi="ar-SA"/>
          <w:color w:val="111111"/>
          <w:sz w:val="28"/>
          <w:szCs w:val="28"/>
          <w:rtl/>
        </w:rPr>
        <w:t xml:space="preserve">سلاح المؤمن و عدة المحسن، ج8،</w:t>
      </w:r>
    </w:p>
    <w:p>
      <w:pPr>
        <w:pStyle w:val="BookText"/>
      </w:pPr>
      <w:r>
        <w:rPr>
          <w:rFonts w:ascii="IRNazanin" w:hAnsi="IRNazanin" w:eastAsia="IRNazanin" w:cs="IRNazanin"/>
          <w:lang w:bidi="fa-IR"/>
          <w:color w:val="111111"/>
          <w:sz w:val="28"/>
          <w:szCs w:val="28"/>
          <w:rtl/>
        </w:rPr>
        <w:t xml:space="preserve">ص 793</w:t>
      </w:r>
    </w:p>
    <w:p>
      <w:pPr>
        <w:pStyle w:val="BookText"/>
      </w:pPr>
      <w:r>
        <w:rPr>
          <w:rFonts w:ascii="Amiri" w:hAnsi="Amiri" w:eastAsia="Amiri" w:cs="Amiri"/>
          <w:lang w:bidi="ar-SA"/>
          <w:color w:val="111111"/>
          <w:sz w:val="28"/>
          <w:szCs w:val="28"/>
          <w:rtl/>
        </w:rPr>
        <w:t xml:space="preserve">ابن امشاطي ، محمود بن احمد- عنتابي</w:t>
      </w:r>
    </w:p>
    <w:p>
      <w:pPr>
        <w:pStyle w:val="BookText"/>
      </w:pPr>
      <w:r>
        <w:rPr>
          <w:rFonts w:ascii="IRNazanin" w:hAnsi="IRNazanin" w:eastAsia="IRNazanin" w:cs="IRNazanin"/>
          <w:lang w:bidi="fa-IR"/>
          <w:color w:val="111111"/>
          <w:sz w:val="28"/>
          <w:szCs w:val="28"/>
          <w:rtl/>
        </w:rPr>
        <w:t xml:space="preserve">محمود بن احمد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7742_69408"/>
    <w:bookmarkEnd w:id="38"/>
    <w:p>
      <w:pPr>
        <w:pStyle w:val="Heading2"/>
      </w:pPr>
      <w:bookmarkStart w:id="1109" w:name="_Toc211"/>
      <w:r>
        <w:t>ابن ام قاسم حسن بن قاسم -749؟ ه-</w:t>
      </w:r>
      <w:bookmarkEnd w:id="1109"/>
    </w:p>
    <w:p>
      <w:pPr>
        <w:pStyle w:val="BookText"/>
      </w:pPr>
      <w:r>
        <w:rPr>
          <w:rFonts w:ascii="Amiri" w:hAnsi="Amiri" w:eastAsia="Amiri" w:cs="Amiri"/>
          <w:lang w:bidi="ar-SA"/>
          <w:color w:val="111111"/>
          <w:sz w:val="28"/>
          <w:szCs w:val="28"/>
          <w:rtl/>
        </w:rPr>
        <w:t xml:space="preserve">1 .الجنى الداني في حروف المعاني، ج5،</w:t>
      </w:r>
    </w:p>
    <w:p>
      <w:pPr>
        <w:pStyle w:val="BookText"/>
      </w:pPr>
      <w:r>
        <w:rPr>
          <w:rFonts w:ascii="IRNazanin" w:hAnsi="IRNazanin" w:eastAsia="IRNazanin" w:cs="IRNazanin"/>
          <w:lang w:bidi="fa-IR"/>
          <w:color w:val="111111"/>
          <w:sz w:val="28"/>
          <w:szCs w:val="28"/>
          <w:rtl/>
        </w:rPr>
        <w:t xml:space="preserve">ص 474 .</w:t>
      </w:r>
    </w:p>
    <w:p>
      <w:pPr>
        <w:pStyle w:val="BookText"/>
      </w:pPr>
      <w:r>
        <w:rPr>
          <w:rFonts w:ascii="Amiri" w:hAnsi="Amiri" w:eastAsia="Amiri" w:cs="Amiri"/>
          <w:lang w:bidi="ar-SA"/>
          <w:color w:val="111111"/>
          <w:sz w:val="28"/>
          <w:szCs w:val="28"/>
          <w:rtl/>
        </w:rPr>
        <w:t xml:space="preserve">2 .شرح الفية ابن مالك = شرح الخلاصة في النحو، ج9، ص217</w:t>
      </w:r>
    </w:p>
    <w:p>
      <w:pPr>
        <w:pStyle w:val="BookText"/>
      </w:pPr>
      <w:r>
        <w:rPr>
          <w:rFonts w:ascii="Amiri" w:hAnsi="Amiri" w:eastAsia="Amiri" w:cs="Amiri"/>
          <w:lang w:bidi="ar-SA"/>
          <w:color w:val="111111"/>
          <w:sz w:val="28"/>
          <w:szCs w:val="28"/>
          <w:rtl/>
        </w:rPr>
        <w:t xml:space="preserve">3 .شرح تسهيل الفوائد و تكميل</w:t>
      </w:r>
    </w:p>
    <w:p>
      <w:pPr>
        <w:pStyle w:val="BookText"/>
      </w:pPr>
      <w:r>
        <w:rPr>
          <w:rFonts w:ascii="IRNazanin" w:hAnsi="IRNazanin" w:eastAsia="IRNazanin" w:cs="IRNazanin"/>
          <w:lang w:bidi="fa-IR"/>
          <w:color w:val="111111"/>
          <w:sz w:val="28"/>
          <w:szCs w:val="28"/>
          <w:rtl/>
        </w:rPr>
        <w:t xml:space="preserve">المقاصد، ج9، ص327</w:t>
      </w:r>
    </w:p>
    <w:p>
      <w:pPr>
        <w:pStyle w:val="Heading2"/>
      </w:pPr>
      <w:bookmarkStart w:id="1110" w:name="_Toc212"/>
      <w:r>
        <w:t>ابن امير جزائري ، علي بن عبد القادر قرن</w:t>
      </w:r>
      <w:bookmarkEnd w:id="1110"/>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«اما» «بعد» (رسالة في)، ج2، ص703.</w:t>
      </w:r>
    </w:p>
    <w:p>
      <w:pPr>
        <w:pStyle w:val="Heading2"/>
      </w:pPr>
      <w:bookmarkStart w:id="1111" w:name="_Toc213"/>
      <w:r>
        <w:t>ابن امير الحاج ، محمّد بن محمّد 825 -</w:t>
      </w:r>
      <w:bookmarkEnd w:id="1111"/>
    </w:p>
    <w:p>
      <w:pPr>
        <w:pStyle w:val="BookText"/>
      </w:pPr>
      <w:r>
        <w:rPr>
          <w:rFonts w:ascii="IRNazanin" w:hAnsi="IRNazanin" w:eastAsia="IRNazanin" w:cs="IRNazanin"/>
          <w:lang w:bidi="fa-IR"/>
          <w:color w:val="111111"/>
          <w:sz w:val="28"/>
          <w:szCs w:val="28"/>
          <w:rtl/>
        </w:rPr>
        <w:t xml:space="preserve">879 ه-</w:t>
      </w:r>
    </w:p>
    <w:p>
      <w:pPr>
        <w:pStyle w:val="BookText"/>
      </w:pPr>
      <w:r>
        <w:rPr>
          <w:rFonts w:ascii="Amiri" w:hAnsi="Amiri" w:eastAsia="Amiri" w:cs="Amiri"/>
          <w:lang w:bidi="ar-SA"/>
          <w:color w:val="111111"/>
          <w:sz w:val="28"/>
          <w:szCs w:val="28"/>
          <w:rtl/>
        </w:rPr>
        <w:t xml:space="preserve">1 .تعريف المسترشد حكم الغرس في</w:t>
      </w:r>
    </w:p>
    <w:p>
      <w:pPr>
        <w:pStyle w:val="BookText"/>
      </w:pPr>
      <w:r>
        <w:rPr>
          <w:rFonts w:ascii="IRNazanin" w:hAnsi="IRNazanin" w:eastAsia="IRNazanin" w:cs="IRNazanin"/>
          <w:lang w:bidi="fa-IR"/>
          <w:color w:val="111111"/>
          <w:sz w:val="28"/>
          <w:szCs w:val="28"/>
          <w:rtl/>
        </w:rPr>
        <w:t xml:space="preserve">المسجد، ج 4، ص 479.</w:t>
      </w:r>
    </w:p>
    <w:p>
      <w:pPr>
        <w:pStyle w:val="BookText"/>
      </w:pPr>
      <w:r>
        <w:rPr>
          <w:rFonts w:ascii="Amiri" w:hAnsi="Amiri" w:eastAsia="Amiri" w:cs="Amiri"/>
          <w:lang w:bidi="ar-SA"/>
          <w:color w:val="111111"/>
          <w:sz w:val="28"/>
          <w:szCs w:val="28"/>
          <w:rtl/>
        </w:rPr>
        <w:t xml:space="preserve">2 .حلية المحلي و بغية المبتدي في شرح</w:t>
      </w:r>
    </w:p>
    <w:p>
      <w:pPr>
        <w:pStyle w:val="BookText"/>
      </w:pPr>
      <w:r>
        <w:rPr>
          <w:rFonts w:ascii="Amiri" w:hAnsi="Amiri" w:eastAsia="Amiri" w:cs="Amiri"/>
          <w:lang w:bidi="ar-SA"/>
          <w:color w:val="111111"/>
          <w:sz w:val="28"/>
          <w:szCs w:val="28"/>
          <w:rtl/>
        </w:rPr>
        <w:t xml:space="preserve">منية المصلي و غنية المبتدي، ج 6،</w:t>
      </w:r>
    </w:p>
    <w:p>
      <w:pPr>
        <w:pStyle w:val="BookText"/>
      </w:pPr>
      <w:r>
        <w:rPr>
          <w:rFonts w:ascii="IRNazanin" w:hAnsi="IRNazanin" w:eastAsia="IRNazanin" w:cs="IRNazanin"/>
          <w:lang w:bidi="fa-IR"/>
          <w:color w:val="111111"/>
          <w:sz w:val="28"/>
          <w:szCs w:val="28"/>
          <w:rtl/>
        </w:rPr>
        <w:t xml:space="preserve">ص 818</w:t>
      </w:r>
    </w:p>
    <w:p>
      <w:pPr>
        <w:pStyle w:val="BookText"/>
      </w:pPr>
      <w:r>
        <w:rPr>
          <w:rFonts w:ascii="Amiri" w:hAnsi="Amiri" w:eastAsia="Amiri" w:cs="Amiri"/>
          <w:lang w:bidi="ar-SA"/>
          <w:color w:val="111111"/>
          <w:sz w:val="28"/>
          <w:szCs w:val="28"/>
          <w:rtl/>
        </w:rPr>
        <w:t xml:space="preserve">3 .شرح شافية ابي فراس في مناقب آل الرسول و مثالب بني العباس، ج 9،</w:t>
      </w:r>
    </w:p>
    <w:p>
      <w:pPr>
        <w:pStyle w:val="BookText"/>
      </w:pPr>
      <w:r>
        <w:rPr>
          <w:rFonts w:ascii="IRNazanin" w:hAnsi="IRNazanin" w:eastAsia="IRNazanin" w:cs="IRNazanin"/>
          <w:lang w:bidi="fa-IR"/>
          <w:color w:val="111111"/>
          <w:sz w:val="28"/>
          <w:szCs w:val="28"/>
          <w:rtl/>
        </w:rPr>
        <w:t xml:space="preserve">ص 612.</w:t>
      </w:r>
    </w:p>
    <w:p>
      <w:pPr>
        <w:pStyle w:val="BookText"/>
      </w:pPr>
      <w:r>
        <w:rPr>
          <w:rFonts w:ascii="IRNazanin" w:hAnsi="IRNazanin" w:eastAsia="IRNazanin" w:cs="IRNazanin"/>
          <w:lang w:bidi="fa-IR"/>
          <w:color w:val="111111"/>
          <w:sz w:val="28"/>
          <w:szCs w:val="28"/>
          <w:rtl/>
        </w:rPr>
        <w:t xml:space="preserve">ابن امیل ، ابو عبد الله محمّد- تميمي ،</w:t>
      </w:r>
    </w:p>
    <w:p>
      <w:pPr>
        <w:pStyle w:val="BookText"/>
      </w:pPr>
      <w:r>
        <w:rPr>
          <w:rFonts w:ascii="IRNazanin" w:hAnsi="IRNazanin" w:eastAsia="IRNazanin" w:cs="IRNazanin"/>
          <w:lang w:bidi="fa-IR"/>
          <w:color w:val="111111"/>
          <w:sz w:val="28"/>
          <w:szCs w:val="28"/>
          <w:rtl/>
        </w:rPr>
        <w:t xml:space="preserve">محمّد بن امیل</w:t>
      </w:r>
    </w:p>
    <w:p>
      <w:pPr>
        <w:pStyle w:val="Heading2"/>
      </w:pPr>
      <w:bookmarkStart w:id="1112" w:name="_Toc214"/>
      <w:r>
        <w:t>ابن امين ابراهيم بن يحيى 489-544 ه-</w:t>
      </w:r>
      <w:bookmarkEnd w:id="1112"/>
    </w:p>
    <w:p>
      <w:pPr>
        <w:pStyle w:val="BookText"/>
      </w:pPr>
      <w:r>
        <w:rPr>
          <w:rFonts w:ascii="Amiri" w:hAnsi="Amiri" w:eastAsia="Amiri" w:cs="Amiri"/>
          <w:lang w:bidi="ar-SA"/>
          <w:color w:val="111111"/>
          <w:sz w:val="28"/>
          <w:szCs w:val="28"/>
          <w:rtl/>
        </w:rPr>
        <w:t xml:space="preserve">الإستدراك على الاستيعاب لابن</w:t>
      </w:r>
    </w:p>
    <w:p>
      <w:pPr>
        <w:pStyle w:val="BookText"/>
      </w:pPr>
      <w:r>
        <w:rPr>
          <w:rFonts w:ascii="Amiri" w:hAnsi="Amiri" w:eastAsia="Amiri" w:cs="Amiri"/>
          <w:lang w:bidi="ar-SA"/>
          <w:color w:val="111111"/>
          <w:sz w:val="28"/>
          <w:szCs w:val="28"/>
          <w:rtl/>
        </w:rPr>
        <w:t xml:space="preserve">عبد البر في تراجم الصحابة = الإعلام</w:t>
      </w:r>
    </w:p>
    <w:p>
      <w:pPr>
        <w:pStyle w:val="BookText"/>
      </w:pPr>
      <w:r>
        <w:rPr>
          <w:rFonts w:ascii="Amiri" w:hAnsi="Amiri" w:eastAsia="Amiri" w:cs="Amiri"/>
          <w:lang w:bidi="ar-SA"/>
          <w:color w:val="111111"/>
          <w:sz w:val="28"/>
          <w:szCs w:val="28"/>
          <w:rtl/>
        </w:rPr>
        <w:t xml:space="preserve">بالخيرة الأعلام من اصحاب النبي (ص)</w:t>
      </w:r>
    </w:p>
    <w:p>
      <w:pPr>
        <w:pStyle w:val="BookText"/>
      </w:pPr>
      <w:r>
        <w:rPr>
          <w:rFonts w:ascii="IRNazanin" w:hAnsi="IRNazanin" w:eastAsia="IRNazanin" w:cs="IRNazanin"/>
          <w:lang w:bidi="fa-IR"/>
          <w:color w:val="111111"/>
          <w:sz w:val="28"/>
          <w:szCs w:val="28"/>
          <w:rtl/>
        </w:rPr>
        <w:t xml:space="preserve">ج 2، ص 127</w:t>
      </w:r>
    </w:p>
    <w:p>
      <w:pPr>
        <w:pStyle w:val="Heading2"/>
      </w:pPr>
      <w:bookmarkStart w:id="1113" w:name="_Toc215"/>
      <w:r>
        <w:t>ابن امين ، عبد القادر بن جار الله</w:t>
      </w:r>
      <w:bookmarkEnd w:id="1113"/>
    </w:p>
    <w:p>
      <w:pPr>
        <w:pStyle w:val="BookText"/>
      </w:pPr>
      <w:r>
        <w:rPr>
          <w:rFonts w:ascii="IRNazanin" w:hAnsi="IRNazanin" w:eastAsia="IRNazanin" w:cs="IRNazanin"/>
          <w:lang w:bidi="fa-IR"/>
          <w:color w:val="111111"/>
          <w:sz w:val="28"/>
          <w:szCs w:val="28"/>
          <w:rtl/>
        </w:rPr>
        <w:t xml:space="preserve">مرآت الجنان (مختصر)، ج 14،</w:t>
      </w:r>
    </w:p>
    <w:p>
      <w:pPr>
        <w:pStyle w:val="BookText"/>
      </w:pPr>
      <w:r>
        <w:rPr>
          <w:rFonts w:ascii="IRNazanin" w:hAnsi="IRNazanin" w:eastAsia="IRNazanin" w:cs="IRNazanin"/>
          <w:lang w:bidi="fa-IR"/>
          <w:color w:val="111111"/>
          <w:sz w:val="28"/>
          <w:szCs w:val="28"/>
          <w:rtl/>
        </w:rPr>
        <w:t xml:space="preserve">ص 347 .</w:t>
      </w:r>
    </w:p>
    <w:p>
      <w:pPr>
        <w:pStyle w:val="Heading2"/>
      </w:pPr>
      <w:bookmarkStart w:id="1114" w:name="_Toc216"/>
      <w:r>
        <w:t>ابن انباري ، عبدالرحمن بن محمّد 513 -</w:t>
      </w:r>
      <w:bookmarkEnd w:id="1114"/>
    </w:p>
    <w:p>
      <w:pPr>
        <w:pStyle w:val="BookText"/>
      </w:pPr>
      <w:r>
        <w:rPr>
          <w:rFonts w:ascii="IRNazanin" w:hAnsi="IRNazanin" w:eastAsia="IRNazanin" w:cs="IRNazanin"/>
          <w:lang w:bidi="fa-IR"/>
          <w:color w:val="111111"/>
          <w:sz w:val="28"/>
          <w:szCs w:val="28"/>
          <w:rtl/>
        </w:rPr>
        <w:t xml:space="preserve">577 ه-</w:t>
      </w:r>
    </w:p>
    <w:p>
      <w:pPr>
        <w:pStyle w:val="BookText"/>
      </w:pPr>
      <w:r>
        <w:rPr>
          <w:rFonts w:ascii="Amiri" w:hAnsi="Amiri" w:eastAsia="Amiri" w:cs="Amiri"/>
          <w:lang w:bidi="ar-SA"/>
          <w:color w:val="111111"/>
          <w:sz w:val="28"/>
          <w:szCs w:val="28"/>
          <w:rtl/>
        </w:rPr>
        <w:t xml:space="preserve">1 .اسرار العربية، ج 2، ص 176.</w:t>
      </w:r>
    </w:p>
    <w:p>
      <w:pPr>
        <w:pStyle w:val="BookText"/>
      </w:pPr>
      <w:r>
        <w:rPr>
          <w:rFonts w:ascii="Amiri" w:hAnsi="Amiri" w:eastAsia="Amiri" w:cs="Amiri"/>
          <w:lang w:bidi="ar-SA"/>
          <w:color w:val="111111"/>
          <w:sz w:val="28"/>
          <w:szCs w:val="28"/>
          <w:rtl/>
        </w:rPr>
        <w:t xml:space="preserve">2 .حلية العقود في الفرق بين المقصور</w:t>
      </w:r>
    </w:p>
    <w:p>
      <w:pPr>
        <w:pStyle w:val="BookText"/>
      </w:pPr>
      <w:r>
        <w:rPr>
          <w:rFonts w:ascii="IRNazanin" w:hAnsi="IRNazanin" w:eastAsia="IRNazanin" w:cs="IRNazanin"/>
          <w:lang w:bidi="fa-IR"/>
          <w:color w:val="111111"/>
          <w:sz w:val="28"/>
          <w:szCs w:val="28"/>
          <w:rtl/>
        </w:rPr>
        <w:t xml:space="preserve">و الممدود، ج 6، ص 815</w:t>
      </w:r>
    </w:p>
    <w:p>
      <w:pPr>
        <w:pStyle w:val="BookText"/>
      </w:pPr>
      <w:r>
        <w:rPr>
          <w:rFonts w:ascii="Amiri" w:hAnsi="Amiri" w:eastAsia="Amiri" w:cs="Amiri"/>
          <w:lang w:bidi="ar-SA"/>
          <w:color w:val="111111"/>
          <w:sz w:val="28"/>
          <w:szCs w:val="28"/>
          <w:rtl/>
        </w:rPr>
        <w:t xml:space="preserve">3 .الموجز في علم القوافي، ج 16، ص 5.</w:t>
      </w:r>
    </w:p>
    <w:p>
      <w:pPr>
        <w:pStyle w:val="BookText"/>
      </w:pPr>
      <w:r>
        <w:rPr>
          <w:rFonts w:ascii="Amiri" w:hAnsi="Amiri" w:eastAsia="Amiri" w:cs="Amiri"/>
          <w:lang w:bidi="ar-SA"/>
          <w:color w:val="111111"/>
          <w:sz w:val="28"/>
          <w:szCs w:val="28"/>
          <w:rtl/>
        </w:rPr>
        <w:t xml:space="preserve">4 .نزهة الالباء في طبقات الادباء</w:t>
      </w:r>
    </w:p>
    <w:p>
      <w:pPr>
        <w:pStyle w:val="BookText"/>
      </w:pPr>
      <w:r>
        <w:rPr>
          <w:rFonts w:ascii="IRNazanin" w:hAnsi="IRNazanin" w:eastAsia="IRNazanin" w:cs="IRNazanin"/>
          <w:lang w:bidi="fa-IR"/>
          <w:color w:val="111111"/>
          <w:sz w:val="28"/>
          <w:szCs w:val="28"/>
          <w:rtl/>
        </w:rPr>
        <w:t xml:space="preserve">ج 16، ص 222.</w:t>
      </w:r>
    </w:p>
    <w:p>
      <w:pPr>
        <w:pStyle w:val="Heading2"/>
      </w:pPr>
      <w:bookmarkStart w:id="1115" w:name="_Toc217"/>
      <w:r>
        <w:t>ابن انباري ، محمّد بن قاسم، 271-327ه-</w:t>
      </w:r>
      <w:bookmarkEnd w:id="1115"/>
    </w:p>
    <w:p>
      <w:pPr>
        <w:pStyle w:val="BookText"/>
      </w:pPr>
      <w:r>
        <w:rPr>
          <w:rFonts w:ascii="Amiri" w:hAnsi="Amiri" w:eastAsia="Amiri" w:cs="Amiri"/>
          <w:lang w:bidi="ar-SA"/>
          <w:color w:val="111111"/>
          <w:sz w:val="28"/>
          <w:szCs w:val="28"/>
          <w:rtl/>
        </w:rPr>
        <w:t xml:space="preserve">1 .إيضاح الوقف والإبتداء في كتاب</w:t>
      </w:r>
    </w:p>
    <w:p>
      <w:pPr>
        <w:pStyle w:val="BookText"/>
      </w:pPr>
      <w:r>
        <w:rPr>
          <w:rFonts w:ascii="Amiri" w:hAnsi="Amiri" w:eastAsia="Amiri" w:cs="Amiri"/>
          <w:lang w:bidi="ar-SA"/>
          <w:color w:val="111111"/>
          <w:sz w:val="28"/>
          <w:szCs w:val="28"/>
          <w:rtl/>
        </w:rPr>
        <w:t xml:space="preserve">الله العزيز، ج 3، ص 141.</w:t>
      </w:r>
    </w:p>
    <w:p>
      <w:pPr>
        <w:pStyle w:val="BookText"/>
      </w:pPr>
      <w:r>
        <w:rPr>
          <w:rFonts w:ascii="Amiri" w:hAnsi="Amiri" w:eastAsia="Amiri" w:cs="Amiri"/>
          <w:lang w:bidi="ar-SA"/>
          <w:color w:val="111111"/>
          <w:sz w:val="28"/>
          <w:szCs w:val="28"/>
          <w:rtl/>
        </w:rPr>
        <w:t xml:space="preserve">2 .شرح المفضليات، ج 10، ص 170.</w:t>
      </w:r>
    </w:p>
    <w:p>
      <w:pPr>
        <w:pStyle w:val="BookText"/>
      </w:pPr>
      <w:r>
        <w:rPr>
          <w:rFonts w:ascii="Amiri" w:hAnsi="Amiri" w:eastAsia="Amiri" w:cs="Amiri"/>
          <w:lang w:bidi="ar-SA"/>
          <w:color w:val="111111"/>
          <w:sz w:val="28"/>
          <w:szCs w:val="28"/>
          <w:rtl/>
        </w:rPr>
        <w:t xml:space="preserve">3 .المرشد في الوقوف، ج 14، ص 399.</w:t>
      </w:r>
    </w:p>
    <w:p>
      <w:pPr>
        <w:pStyle w:val="BookText"/>
      </w:pPr>
      <w:r>
        <w:rPr>
          <w:rFonts w:ascii="Amiri" w:hAnsi="Amiri" w:eastAsia="Amiri" w:cs="Amiri"/>
          <w:lang w:bidi="ar-SA"/>
          <w:color w:val="111111"/>
          <w:sz w:val="28"/>
          <w:szCs w:val="28"/>
          <w:rtl/>
        </w:rPr>
        <w:t xml:space="preserve">4 .الهاءات في القرآن، ج 16، ص 585.</w:t>
      </w:r>
    </w:p>
    <w:p>
      <w:pPr>
        <w:pStyle w:val="BookText"/>
      </w:pPr>
      <w:r>
        <w:rPr>
          <w:rFonts w:ascii="Amiri" w:hAnsi="Amiri" w:eastAsia="Amiri" w:cs="Amiri"/>
          <w:lang w:bidi="ar-SA"/>
          <w:color w:val="111111"/>
          <w:sz w:val="28"/>
          <w:szCs w:val="28"/>
          <w:rtl/>
        </w:rPr>
        <w:t xml:space="preserve">ابن انجب ، علي بن انجب ابن ساعي- ابن ساعي ، علي بن انجب</w:t>
      </w:r>
    </w:p>
    <w:p>
      <w:pPr>
        <w:pStyle w:val="BookText"/>
      </w:pPr>
      <w:r>
        <w:rPr>
          <w:rFonts w:ascii="Amiri" w:hAnsi="Amiri" w:eastAsia="Amiri" w:cs="Amiri"/>
          <w:lang w:bidi="ar-SA"/>
          <w:color w:val="111111"/>
          <w:sz w:val="28"/>
          <w:szCs w:val="28"/>
          <w:rtl/>
        </w:rPr>
        <w:t xml:space="preserve">ابن انس ، مالك بن انس -مالك بن انس</w:t>
      </w:r>
    </w:p>
    <w:p>
      <w:pPr>
        <w:pStyle w:val="BookText"/>
      </w:pPr>
      <w:r>
        <w:rPr>
          <w:rFonts w:ascii="Amiri" w:hAnsi="Amiri" w:eastAsia="Amiri" w:cs="Amiri"/>
          <w:lang w:bidi="ar-SA"/>
          <w:color w:val="111111"/>
          <w:sz w:val="28"/>
          <w:szCs w:val="28"/>
          <w:rtl/>
        </w:rPr>
        <w:t xml:space="preserve">ابن انف ، ادريس- داعي ، ادريس الانف</w:t>
      </w:r>
    </w:p>
    <w:p>
      <w:pPr>
        <w:pStyle w:val="BookText"/>
      </w:pPr>
      <w:r>
        <w:rPr>
          <w:rFonts w:ascii="IRNazanin" w:hAnsi="IRNazanin" w:eastAsia="IRNazanin" w:cs="IRNazanin"/>
          <w:lang w:bidi="fa-IR"/>
          <w:color w:val="111111"/>
          <w:sz w:val="28"/>
          <w:szCs w:val="28"/>
          <w:rtl/>
        </w:rPr>
        <w:t xml:space="preserve">ابن اهتم -خالد بن صفوان</w:t>
      </w:r>
    </w:p>
    <w:p>
      <w:pPr>
        <w:pStyle w:val="BookText"/>
      </w:pPr>
      <w:r>
        <w:rPr>
          <w:rFonts w:ascii="Amiri" w:hAnsi="Amiri" w:eastAsia="Amiri" w:cs="Amiri"/>
          <w:lang w:bidi="ar-SA"/>
          <w:color w:val="111111"/>
          <w:sz w:val="28"/>
          <w:szCs w:val="28"/>
          <w:rtl/>
        </w:rPr>
        <w:t xml:space="preserve">ابن اهدل ، ابوبكر بن أبي القاسم- اهدل</w:t>
      </w:r>
    </w:p>
    <w:p>
      <w:pPr>
        <w:pStyle w:val="BookText"/>
      </w:pPr>
      <w:r>
        <w:rPr>
          <w:rFonts w:ascii="Amiri" w:hAnsi="Amiri" w:eastAsia="Amiri" w:cs="Amiri"/>
          <w:lang w:bidi="ar-SA"/>
          <w:color w:val="111111"/>
          <w:sz w:val="28"/>
          <w:szCs w:val="28"/>
          <w:rtl/>
        </w:rPr>
        <w:t xml:space="preserve">ابوبكر بن ابي القاسم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7742_69410"/>
    <w:bookmarkEnd w:id="39"/>
    <w:p>
      <w:pPr>
        <w:pStyle w:val="Heading2"/>
      </w:pPr>
      <w:bookmarkStart w:id="1116" w:name="_Toc218"/>
      <w:r>
        <w:t>ابن اهدل ، حسين بن عبد الرحمن، 779؟</w:t>
      </w:r>
      <w:bookmarkEnd w:id="11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قصيدة في التوسل بالرسول (ص)</w:t>
      </w:r>
    </w:p>
    <w:p>
      <w:pPr>
        <w:pStyle w:val="BookText"/>
      </w:pPr>
      <w:r>
        <w:rPr>
          <w:rFonts w:ascii="IRNazanin" w:hAnsi="IRNazanin" w:eastAsia="IRNazanin" w:cs="IRNazanin"/>
          <w:lang w:bidi="fa-IR"/>
          <w:color w:val="111111"/>
          <w:sz w:val="28"/>
          <w:szCs w:val="28"/>
          <w:rtl/>
        </w:rPr>
        <w:t xml:space="preserve">ج 12 ، ص 691 .</w:t>
      </w:r>
    </w:p>
    <w:p>
      <w:pPr>
        <w:pStyle w:val="BookText"/>
      </w:pPr>
      <w:r>
        <w:rPr>
          <w:rFonts w:ascii="Amiri" w:hAnsi="Amiri" w:eastAsia="Amiri" w:cs="Amiri"/>
          <w:lang w:bidi="ar-SA"/>
          <w:color w:val="111111"/>
          <w:sz w:val="28"/>
          <w:szCs w:val="28"/>
          <w:rtl/>
        </w:rPr>
        <w:t xml:space="preserve">2.اللمعة المقنعة في ذكر مذهب الفرق المبتدعة، ج 13، ص 625.</w:t>
      </w:r>
    </w:p>
    <w:p>
      <w:pPr>
        <w:pStyle w:val="Heading2"/>
      </w:pPr>
      <w:bookmarkStart w:id="1117" w:name="_Toc219"/>
      <w:r>
        <w:t>ابن باب، عمرو بن عبيد 80 - 144 ه-</w:t>
      </w:r>
      <w:bookmarkEnd w:id="1117"/>
    </w:p>
    <w:p>
      <w:pPr>
        <w:pStyle w:val="BookText"/>
      </w:pPr>
      <w:r>
        <w:rPr>
          <w:rFonts w:ascii="Amiri" w:hAnsi="Amiri" w:eastAsia="Amiri" w:cs="Amiri"/>
          <w:lang w:bidi="ar-SA"/>
          <w:color w:val="111111"/>
          <w:sz w:val="28"/>
          <w:szCs w:val="28"/>
          <w:rtl/>
        </w:rPr>
        <w:t xml:space="preserve">أجزاء القرآن الكريم = اجزاء ثلاث مأة</w:t>
      </w:r>
    </w:p>
    <w:p>
      <w:pPr>
        <w:pStyle w:val="BookText"/>
      </w:pPr>
      <w:r>
        <w:rPr>
          <w:rFonts w:ascii="Amiri" w:hAnsi="Amiri" w:eastAsia="Amiri" w:cs="Amiri"/>
          <w:lang w:bidi="ar-SA"/>
          <w:color w:val="111111"/>
          <w:sz w:val="28"/>
          <w:szCs w:val="28"/>
          <w:rtl/>
        </w:rPr>
        <w:t xml:space="preserve">و ستين من علوم القرآن، ج1، ص309</w:t>
      </w:r>
    </w:p>
    <w:p>
      <w:pPr>
        <w:pStyle w:val="Heading2"/>
      </w:pPr>
      <w:bookmarkStart w:id="1118" w:name="_Toc220"/>
      <w:r>
        <w:t>ابن بابويه ، علي بن حسين - 329 ه-</w:t>
      </w:r>
      <w:bookmarkEnd w:id="1118"/>
    </w:p>
    <w:p>
      <w:pPr>
        <w:pStyle w:val="BookText"/>
      </w:pPr>
      <w:r>
        <w:rPr>
          <w:rFonts w:ascii="Amiri" w:hAnsi="Amiri" w:eastAsia="Amiri" w:cs="Amiri"/>
          <w:lang w:bidi="ar-SA"/>
          <w:color w:val="111111"/>
          <w:sz w:val="28"/>
          <w:szCs w:val="28"/>
          <w:rtl/>
        </w:rPr>
        <w:t xml:space="preserve">مناظرة علي بن بابويه، ج 15، ص 520.</w:t>
      </w:r>
    </w:p>
    <w:p>
      <w:pPr>
        <w:pStyle w:val="BookText"/>
      </w:pPr>
      <w:r>
        <w:rPr>
          <w:rFonts w:ascii="Amiri" w:hAnsi="Amiri" w:eastAsia="Amiri" w:cs="Amiri"/>
          <w:lang w:bidi="ar-SA"/>
          <w:color w:val="111111"/>
          <w:sz w:val="28"/>
          <w:szCs w:val="28"/>
          <w:rtl/>
        </w:rPr>
        <w:t xml:space="preserve">ابناوي ، علي بن جبله -عكوك ، علي بن</w:t>
      </w:r>
    </w:p>
    <w:p>
      <w:pPr>
        <w:pStyle w:val="BookText"/>
      </w:pPr>
      <w:r>
        <w:rPr>
          <w:rFonts w:ascii="IRNazanin" w:hAnsi="IRNazanin" w:eastAsia="IRNazanin" w:cs="IRNazanin"/>
          <w:lang w:bidi="fa-IR"/>
          <w:color w:val="111111"/>
          <w:sz w:val="28"/>
          <w:szCs w:val="28"/>
          <w:rtl/>
        </w:rPr>
        <w:t xml:space="preserve">جبله</w:t>
      </w:r>
    </w:p>
    <w:p>
      <w:pPr>
        <w:pStyle w:val="BookText"/>
      </w:pPr>
      <w:r>
        <w:rPr>
          <w:rFonts w:ascii="Amiri" w:hAnsi="Amiri" w:eastAsia="Amiri" w:cs="Amiri"/>
          <w:lang w:bidi="ar-SA"/>
          <w:color w:val="111111"/>
          <w:sz w:val="28"/>
          <w:szCs w:val="28"/>
          <w:rtl/>
        </w:rPr>
        <w:t xml:space="preserve">ابن بابويه ، محمّد بن علي- شيخ صدوق ،</w:t>
      </w:r>
    </w:p>
    <w:p>
      <w:pPr>
        <w:pStyle w:val="BookText"/>
      </w:pPr>
      <w:r>
        <w:rPr>
          <w:rFonts w:ascii="Amiri" w:hAnsi="Amiri" w:eastAsia="Amiri" w:cs="Amiri"/>
          <w:lang w:bidi="ar-SA"/>
          <w:color w:val="111111"/>
          <w:sz w:val="28"/>
          <w:szCs w:val="28"/>
          <w:rtl/>
        </w:rPr>
        <w:t xml:space="preserve">محمّد بن علي ابن بادي ، حسن بن علي واسطي</w:t>
      </w:r>
    </w:p>
    <w:p>
      <w:pPr>
        <w:pStyle w:val="BookText"/>
      </w:pPr>
      <w:r>
        <w:rPr>
          <w:rFonts w:ascii="Amiri" w:hAnsi="Amiri" w:eastAsia="Amiri" w:cs="Amiri"/>
          <w:lang w:bidi="ar-SA"/>
          <w:color w:val="111111"/>
          <w:sz w:val="28"/>
          <w:szCs w:val="28"/>
          <w:rtl/>
        </w:rPr>
        <w:t xml:space="preserve">حسن بن علي</w:t>
      </w:r>
    </w:p>
    <w:p>
      <w:pPr>
        <w:pStyle w:val="Heading2"/>
      </w:pPr>
      <w:bookmarkStart w:id="1119" w:name="_Toc221"/>
      <w:r>
        <w:t>ابن ایاس ، محمّد بن احمد، 852-2920ه-</w:t>
      </w:r>
      <w:bookmarkEnd w:id="1119"/>
    </w:p>
    <w:p>
      <w:pPr>
        <w:pStyle w:val="BookText"/>
      </w:pPr>
      <w:r>
        <w:rPr>
          <w:rFonts w:ascii="IRNazanin" w:hAnsi="IRNazanin" w:eastAsia="IRNazanin" w:cs="IRNazanin"/>
          <w:lang w:bidi="fa-IR"/>
          <w:color w:val="111111"/>
          <w:sz w:val="28"/>
          <w:szCs w:val="28"/>
          <w:rtl/>
        </w:rPr>
        <w:t xml:space="preserve">1 .بدائع الزهور في وقائع الدهور = تاریخ چراکسه، ج3، ص258.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جواهر السلوك في الخلفاء والملوك</w:t>
      </w:r>
    </w:p>
    <w:p>
      <w:pPr>
        <w:pStyle w:val="BookText"/>
      </w:pPr>
      <w:r>
        <w:rPr>
          <w:rFonts w:ascii="IRNazanin" w:hAnsi="IRNazanin" w:eastAsia="IRNazanin" w:cs="IRNazanin"/>
          <w:lang w:bidi="fa-IR"/>
          <w:color w:val="111111"/>
          <w:sz w:val="28"/>
          <w:szCs w:val="28"/>
          <w:rtl/>
        </w:rPr>
        <w:t xml:space="preserve">ج 5، ص 547.</w:t>
      </w:r>
    </w:p>
    <w:p>
      <w:pPr>
        <w:pStyle w:val="BookText"/>
      </w:pPr>
      <w:r>
        <w:rPr>
          <w:rFonts w:ascii="Amiri" w:hAnsi="Amiri" w:eastAsia="Amiri" w:cs="Amiri"/>
          <w:lang w:bidi="ar-SA"/>
          <w:color w:val="111111"/>
          <w:sz w:val="28"/>
          <w:szCs w:val="28"/>
          <w:rtl/>
        </w:rPr>
        <w:t xml:space="preserve">3 .الدر المكنون في سبعة فنون، ج 7،</w:t>
      </w:r>
    </w:p>
    <w:p>
      <w:pPr>
        <w:pStyle w:val="BookText"/>
      </w:pPr>
      <w:r>
        <w:rPr>
          <w:rFonts w:ascii="IRNazanin" w:hAnsi="IRNazanin" w:eastAsia="IRNazanin" w:cs="IRNazanin"/>
          <w:lang w:bidi="fa-IR"/>
          <w:color w:val="111111"/>
          <w:sz w:val="28"/>
          <w:szCs w:val="28"/>
          <w:rtl/>
        </w:rPr>
        <w:t xml:space="preserve">ص 336.</w:t>
      </w:r>
    </w:p>
    <w:p>
      <w:pPr>
        <w:pStyle w:val="Heading2"/>
      </w:pPr>
      <w:bookmarkStart w:id="1120" w:name="_Toc222"/>
      <w:r>
        <w:t>ابن بارزي، عبدالرحيم بن ابراهيم 608 -</w:t>
      </w:r>
      <w:bookmarkEnd w:id="1120"/>
    </w:p>
    <w:p>
      <w:pPr>
        <w:pStyle w:val="BookText"/>
      </w:pPr>
      <w:r>
        <w:rPr>
          <w:rFonts w:ascii="IRNazanin" w:hAnsi="IRNazanin" w:eastAsia="IRNazanin" w:cs="IRNazanin"/>
          <w:lang w:bidi="fa-IR"/>
          <w:color w:val="111111"/>
          <w:sz w:val="28"/>
          <w:szCs w:val="28"/>
          <w:rtl/>
        </w:rPr>
        <w:t xml:space="preserve">683 ه-</w:t>
      </w:r>
    </w:p>
    <w:p>
      <w:pPr>
        <w:pStyle w:val="BookText"/>
      </w:pPr>
      <w:r>
        <w:rPr>
          <w:rFonts w:ascii="Amiri" w:hAnsi="Amiri" w:eastAsia="Amiri" w:cs="Amiri"/>
          <w:lang w:bidi="ar-SA"/>
          <w:color w:val="111111"/>
          <w:sz w:val="28"/>
          <w:szCs w:val="28"/>
          <w:rtl/>
        </w:rPr>
        <w:t xml:space="preserve">قصيدة في مديح سيد المرسلين، ج12،</w:t>
      </w:r>
    </w:p>
    <w:p>
      <w:pPr>
        <w:pStyle w:val="BookText"/>
      </w:pPr>
      <w:r>
        <w:rPr>
          <w:rFonts w:ascii="IRNazanin" w:hAnsi="IRNazanin" w:eastAsia="IRNazanin" w:cs="IRNazanin"/>
          <w:lang w:bidi="fa-IR"/>
          <w:color w:val="111111"/>
          <w:sz w:val="28"/>
          <w:szCs w:val="28"/>
          <w:rtl/>
        </w:rPr>
        <w:t xml:space="preserve">ص 702 .</w:t>
      </w:r>
    </w:p>
    <w:p>
      <w:pPr>
        <w:pStyle w:val="Heading2"/>
      </w:pPr>
      <w:bookmarkStart w:id="1121" w:name="_Toc223"/>
      <w:r>
        <w:t>ابن ایاس محمّد بن عبد الجليل -1015ه-</w:t>
      </w:r>
      <w:bookmarkEnd w:id="1121"/>
    </w:p>
    <w:p>
      <w:pPr>
        <w:pStyle w:val="BookText"/>
      </w:pPr>
      <w:r>
        <w:rPr>
          <w:rFonts w:ascii="IRNazanin" w:hAnsi="IRNazanin" w:eastAsia="IRNazanin" w:cs="IRNazanin"/>
          <w:lang w:bidi="fa-IR"/>
          <w:color w:val="111111"/>
          <w:sz w:val="28"/>
          <w:szCs w:val="28"/>
          <w:rtl/>
        </w:rPr>
        <w:t xml:space="preserve">حليه شريف = حلية النبي = مفتاح فتوحات = هدیه خاقاني، ج6، ص814.</w:t>
      </w:r>
    </w:p>
    <w:p>
      <w:pPr>
        <w:pStyle w:val="BookText"/>
      </w:pPr>
      <w:r>
        <w:rPr>
          <w:rFonts w:ascii="Amiri" w:hAnsi="Amiri" w:eastAsia="Amiri" w:cs="Amiri"/>
          <w:lang w:bidi="ar-SA"/>
          <w:color w:val="111111"/>
          <w:sz w:val="28"/>
          <w:szCs w:val="28"/>
          <w:rtl/>
        </w:rPr>
        <w:t xml:space="preserve">ابن ايبك ، احمد بن ايبك - حسامي ،</w:t>
      </w:r>
    </w:p>
    <w:p>
      <w:pPr>
        <w:pStyle w:val="BookText"/>
      </w:pPr>
      <w:r>
        <w:rPr>
          <w:rFonts w:ascii="Amiri" w:hAnsi="Amiri" w:eastAsia="Amiri" w:cs="Amiri"/>
          <w:lang w:bidi="ar-SA"/>
          <w:color w:val="111111"/>
          <w:sz w:val="28"/>
          <w:szCs w:val="28"/>
          <w:rtl/>
        </w:rPr>
        <w:t xml:space="preserve">احمد بن ايبك</w:t>
      </w:r>
    </w:p>
    <w:p>
      <w:pPr>
        <w:pStyle w:val="BookText"/>
      </w:pPr>
      <w:r>
        <w:rPr>
          <w:rFonts w:ascii="IRNazanin" w:hAnsi="IRNazanin" w:eastAsia="IRNazanin" w:cs="IRNazanin"/>
          <w:lang w:bidi="fa-IR"/>
          <w:color w:val="111111"/>
          <w:sz w:val="28"/>
          <w:szCs w:val="28"/>
          <w:rtl/>
        </w:rPr>
        <w:t xml:space="preserve">ابن ایوب ، اسماعیل بن علي- ابوالفداء</w:t>
      </w:r>
    </w:p>
    <w:p>
      <w:pPr>
        <w:pStyle w:val="BookText"/>
      </w:pPr>
      <w:r>
        <w:rPr>
          <w:rFonts w:ascii="Amiri" w:hAnsi="Amiri" w:eastAsia="Amiri" w:cs="Amiri"/>
          <w:lang w:bidi="ar-SA"/>
          <w:color w:val="111111"/>
          <w:sz w:val="28"/>
          <w:szCs w:val="28"/>
          <w:rtl/>
        </w:rPr>
        <w:t xml:space="preserve">اسماعيل بن علي</w:t>
      </w:r>
    </w:p>
    <w:p>
      <w:pPr>
        <w:pStyle w:val="Heading2"/>
      </w:pPr>
      <w:bookmarkStart w:id="1122" w:name="_Toc224"/>
      <w:r>
        <w:t>ابن بابشاذ ، طاهر بن احمد - 469 ؟ ه-</w:t>
      </w:r>
      <w:bookmarkEnd w:id="1122"/>
    </w:p>
    <w:p>
      <w:pPr>
        <w:pStyle w:val="BookText"/>
      </w:pPr>
      <w:r>
        <w:rPr>
          <w:rFonts w:ascii="Amiri" w:hAnsi="Amiri" w:eastAsia="Amiri" w:cs="Amiri"/>
          <w:lang w:bidi="ar-SA"/>
          <w:color w:val="111111"/>
          <w:sz w:val="28"/>
          <w:szCs w:val="28"/>
          <w:rtl/>
        </w:rPr>
        <w:t xml:space="preserve">مقدمة ابن بابشاذ = المقدمة</w:t>
      </w:r>
    </w:p>
    <w:p>
      <w:pPr>
        <w:pStyle w:val="BookText"/>
      </w:pPr>
      <w:r>
        <w:rPr>
          <w:rFonts w:ascii="Amiri" w:hAnsi="Amiri" w:eastAsia="Amiri" w:cs="Amiri"/>
          <w:lang w:bidi="ar-SA"/>
          <w:color w:val="111111"/>
          <w:sz w:val="28"/>
          <w:szCs w:val="28"/>
          <w:rtl/>
        </w:rPr>
        <w:t xml:space="preserve">المحسنية في فن العربية، ج 15 ، ص 347.</w:t>
      </w:r>
    </w:p>
    <w:p>
      <w:pPr>
        <w:pStyle w:val="Heading2"/>
      </w:pPr>
      <w:bookmarkStart w:id="1123" w:name="_Toc225"/>
      <w:r>
        <w:t>ابن بارزي ، هبة الله بن عبد الرحيم، 645</w:t>
      </w:r>
      <w:bookmarkEnd w:id="11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738 ه-</w:t>
      </w:r>
    </w:p>
    <w:p>
      <w:pPr>
        <w:pStyle w:val="BookText"/>
      </w:pPr>
      <w:r>
        <w:rPr>
          <w:rFonts w:ascii="Amiri" w:hAnsi="Amiri" w:eastAsia="Amiri" w:cs="Amiri"/>
          <w:lang w:bidi="ar-SA"/>
          <w:color w:val="111111"/>
          <w:sz w:val="28"/>
          <w:szCs w:val="28"/>
          <w:rtl/>
        </w:rPr>
        <w:t xml:space="preserve">1 .تجريد الاصول في احاديث الرسول</w:t>
      </w:r>
    </w:p>
    <w:p>
      <w:pPr>
        <w:pStyle w:val="BookText"/>
      </w:pPr>
      <w:r>
        <w:rPr>
          <w:rFonts w:ascii="Amiri" w:hAnsi="Amiri" w:eastAsia="Amiri" w:cs="Amiri"/>
          <w:lang w:bidi="ar-SA"/>
          <w:color w:val="111111"/>
          <w:sz w:val="28"/>
          <w:szCs w:val="28"/>
          <w:rtl/>
        </w:rPr>
        <w:t xml:space="preserve">تجريد جامع الاصول الاحاديث</w:t>
      </w:r>
    </w:p>
    <w:p>
      <w:pPr>
        <w:pStyle w:val="BookText"/>
      </w:pPr>
      <w:r>
        <w:rPr>
          <w:rFonts w:ascii="IRNazanin" w:hAnsi="IRNazanin" w:eastAsia="IRNazanin" w:cs="IRNazanin"/>
          <w:lang w:bidi="fa-IR"/>
          <w:color w:val="111111"/>
          <w:sz w:val="28"/>
          <w:szCs w:val="28"/>
          <w:rtl/>
        </w:rPr>
        <w:t xml:space="preserve">الرسول، ج 3، ص 685 .</w:t>
      </w:r>
    </w:p>
    <w:p>
      <w:pPr>
        <w:pStyle w:val="BookText"/>
      </w:pPr>
      <w:r>
        <w:rPr>
          <w:rFonts w:ascii="Amiri" w:hAnsi="Amiri" w:eastAsia="Amiri" w:cs="Amiri"/>
          <w:lang w:bidi="ar-SA"/>
          <w:color w:val="111111"/>
          <w:sz w:val="28"/>
          <w:szCs w:val="28"/>
          <w:rtl/>
        </w:rPr>
        <w:t xml:space="preserve">2 .توثيق عري الايمان في تفضيل حبيب</w:t>
      </w:r>
    </w:p>
    <w:p>
      <w:pPr>
        <w:pStyle w:val="BookText"/>
      </w:pPr>
      <w:r>
        <w:rPr>
          <w:rFonts w:ascii="IRNazanin" w:hAnsi="IRNazanin" w:eastAsia="IRNazanin" w:cs="IRNazanin"/>
          <w:lang w:bidi="fa-IR"/>
          <w:color w:val="111111"/>
          <w:sz w:val="28"/>
          <w:szCs w:val="28"/>
          <w:rtl/>
        </w:rPr>
        <w:t xml:space="preserve">الرحمن، ج 5، ص 143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تيسير الفتاوى في تحرير الحاوي =</w:t>
      </w:r>
    </w:p>
    <w:p>
      <w:pPr>
        <w:pStyle w:val="BookText"/>
      </w:pPr>
      <w:r>
        <w:rPr>
          <w:rFonts w:ascii="Amiri" w:hAnsi="Amiri" w:eastAsia="Amiri" w:cs="Amiri"/>
          <w:lang w:bidi="ar-SA"/>
          <w:color w:val="111111"/>
          <w:sz w:val="28"/>
          <w:szCs w:val="28"/>
          <w:rtl/>
        </w:rPr>
        <w:t xml:space="preserve">اظهار الفتاوى من اسرار الحاوي</w:t>
      </w:r>
    </w:p>
    <w:p>
      <w:pPr>
        <w:pStyle w:val="BookText"/>
      </w:pPr>
      <w:r>
        <w:rPr>
          <w:rFonts w:ascii="IRNazanin" w:hAnsi="IRNazanin" w:eastAsia="IRNazanin" w:cs="IRNazanin"/>
          <w:lang w:bidi="fa-IR"/>
          <w:color w:val="111111"/>
          <w:sz w:val="28"/>
          <w:szCs w:val="28"/>
          <w:rtl/>
        </w:rPr>
        <w:t xml:space="preserve">ج 5، ص 193.</w:t>
      </w:r>
    </w:p>
    <w:p>
      <w:pPr>
        <w:pStyle w:val="BookText"/>
      </w:pPr>
      <w:r>
        <w:rPr>
          <w:rFonts w:ascii="Amiri" w:hAnsi="Amiri" w:eastAsia="Amiri" w:cs="Amiri"/>
          <w:lang w:bidi="ar-SA"/>
          <w:color w:val="111111"/>
          <w:sz w:val="28"/>
          <w:szCs w:val="28"/>
          <w:rtl/>
        </w:rPr>
        <w:t xml:space="preserve">4 طواف المرآة و هي الحائض، ج10،</w:t>
      </w:r>
    </w:p>
    <w:p>
      <w:pPr>
        <w:pStyle w:val="BookText"/>
      </w:pPr>
      <w:r>
        <w:rPr>
          <w:rFonts w:ascii="IRNazanin" w:hAnsi="IRNazanin" w:eastAsia="IRNazanin" w:cs="IRNazanin"/>
          <w:lang w:bidi="fa-IR"/>
          <w:color w:val="111111"/>
          <w:sz w:val="28"/>
          <w:szCs w:val="28"/>
          <w:rtl/>
        </w:rPr>
        <w:t xml:space="preserve">ص 867.</w:t>
      </w:r>
    </w:p>
    <w:p>
      <w:pPr>
        <w:pStyle w:val="BookText"/>
      </w:pPr>
      <w:r>
        <w:rPr>
          <w:rFonts w:ascii="Amiri" w:hAnsi="Amiri" w:eastAsia="Amiri" w:cs="Amiri"/>
          <w:lang w:bidi="ar-SA"/>
          <w:color w:val="111111"/>
          <w:sz w:val="28"/>
          <w:szCs w:val="28"/>
          <w:rtl/>
        </w:rPr>
        <w:t xml:space="preserve">ابن بازيار بغدادي ، محمّد بن</w:t>
      </w:r>
    </w:p>
    <w:p>
      <w:pPr>
        <w:pStyle w:val="BookText"/>
      </w:pPr>
      <w:r>
        <w:rPr>
          <w:rFonts w:ascii="Amiri" w:hAnsi="Amiri" w:eastAsia="Amiri" w:cs="Amiri"/>
          <w:lang w:bidi="ar-SA"/>
          <w:color w:val="111111"/>
          <w:sz w:val="28"/>
          <w:szCs w:val="28"/>
          <w:rtl/>
        </w:rPr>
        <w:t xml:space="preserve">عبد الله بازياراني ، احمد بن محمد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7742_69412"/>
    <w:bookmarkEnd w:id="40"/>
    <w:p>
      <w:pPr>
        <w:pStyle w:val="Heading2"/>
      </w:pPr>
      <w:bookmarkStart w:id="1124" w:name="_Toc226"/>
      <w:r>
        <w:t>ابن باطيش ، اسماعيل بن هبة الله، 575 -</w:t>
      </w:r>
      <w:bookmarkEnd w:id="1124"/>
    </w:p>
    <w:p>
      <w:pPr>
        <w:pStyle w:val="BookText"/>
      </w:pPr>
      <w:r>
        <w:rPr>
          <w:rFonts w:ascii="IRNazanin" w:hAnsi="IRNazanin" w:eastAsia="IRNazanin" w:cs="IRNazanin"/>
          <w:lang w:bidi="fa-IR"/>
          <w:color w:val="111111"/>
          <w:sz w:val="28"/>
          <w:szCs w:val="28"/>
          <w:rtl/>
        </w:rPr>
        <w:t xml:space="preserve">655 ه-</w:t>
      </w:r>
    </w:p>
    <w:p>
      <w:pPr>
        <w:pStyle w:val="BookText"/>
      </w:pPr>
      <w:r>
        <w:rPr>
          <w:rFonts w:ascii="Amiri" w:hAnsi="Amiri" w:eastAsia="Amiri" w:cs="Amiri"/>
          <w:lang w:bidi="ar-SA"/>
          <w:color w:val="111111"/>
          <w:sz w:val="28"/>
          <w:szCs w:val="28"/>
          <w:rtl/>
        </w:rPr>
        <w:t xml:space="preserve">1 .غاية الوسائل إلى معرفة الاوائل</w:t>
      </w:r>
    </w:p>
    <w:p>
      <w:pPr>
        <w:pStyle w:val="BookText"/>
      </w:pPr>
      <w:r>
        <w:rPr>
          <w:rFonts w:ascii="IRNazanin" w:hAnsi="IRNazanin" w:eastAsia="IRNazanin" w:cs="IRNazanin"/>
          <w:lang w:bidi="fa-IR"/>
          <w:color w:val="111111"/>
          <w:sz w:val="28"/>
          <w:szCs w:val="28"/>
          <w:rtl/>
        </w:rPr>
        <w:t xml:space="preserve">ج 11، ص 458.</w:t>
      </w:r>
    </w:p>
    <w:p>
      <w:pPr>
        <w:pStyle w:val="BookText"/>
      </w:pPr>
      <w:r>
        <w:rPr>
          <w:rFonts w:ascii="Amiri" w:hAnsi="Amiri" w:eastAsia="Amiri" w:cs="Amiri"/>
          <w:lang w:bidi="ar-SA"/>
          <w:color w:val="111111"/>
          <w:sz w:val="28"/>
          <w:szCs w:val="28"/>
          <w:rtl/>
        </w:rPr>
        <w:t xml:space="preserve">2 .المغني في الانباء عن غريب المهذب</w:t>
      </w:r>
    </w:p>
    <w:p>
      <w:pPr>
        <w:pStyle w:val="BookText"/>
      </w:pPr>
      <w:r>
        <w:rPr>
          <w:rFonts w:ascii="IRNazanin" w:hAnsi="IRNazanin" w:eastAsia="IRNazanin" w:cs="IRNazanin"/>
          <w:lang w:bidi="fa-IR"/>
          <w:color w:val="111111"/>
          <w:sz w:val="28"/>
          <w:szCs w:val="28"/>
          <w:rtl/>
        </w:rPr>
        <w:t xml:space="preserve">و الاسماء، ج 15، ص 121 .</w:t>
      </w:r>
    </w:p>
    <w:p>
      <w:pPr>
        <w:pStyle w:val="Heading2"/>
      </w:pPr>
      <w:bookmarkStart w:id="1125" w:name="_Toc227"/>
      <w:r>
        <w:t>ابن باقي ، علي بن حسين ، قرن 7 ه-</w:t>
      </w:r>
      <w:bookmarkEnd w:id="1125"/>
    </w:p>
    <w:p>
      <w:pPr>
        <w:pStyle w:val="BookText"/>
      </w:pPr>
      <w:r>
        <w:rPr>
          <w:rFonts w:ascii="Amiri" w:hAnsi="Amiri" w:eastAsia="Amiri" w:cs="Amiri"/>
          <w:lang w:bidi="ar-SA"/>
          <w:color w:val="111111"/>
          <w:sz w:val="28"/>
          <w:szCs w:val="28"/>
          <w:rtl/>
        </w:rPr>
        <w:t xml:space="preserve">الاختيار من المصباح، ج 1، ص 565.</w:t>
      </w:r>
    </w:p>
    <w:p>
      <w:pPr>
        <w:pStyle w:val="BookText"/>
      </w:pPr>
      <w:r>
        <w:rPr>
          <w:rFonts w:ascii="Amiri" w:hAnsi="Amiri" w:eastAsia="Amiri" w:cs="Amiri"/>
          <w:lang w:bidi="ar-SA"/>
          <w:color w:val="111111"/>
          <w:sz w:val="28"/>
          <w:szCs w:val="28"/>
          <w:rtl/>
        </w:rPr>
        <w:t xml:space="preserve">ابن باكثير ، احمد بن فضل باكثير ، احمد</w:t>
      </w:r>
    </w:p>
    <w:p>
      <w:pPr>
        <w:pStyle w:val="BookText"/>
      </w:pPr>
      <w:r>
        <w:rPr>
          <w:rFonts w:ascii="IRNazanin" w:hAnsi="IRNazanin" w:eastAsia="IRNazanin" w:cs="IRNazanin"/>
          <w:lang w:bidi="fa-IR"/>
          <w:color w:val="111111"/>
          <w:sz w:val="28"/>
          <w:szCs w:val="28"/>
          <w:rtl/>
        </w:rPr>
        <w:t xml:space="preserve">بن فضل</w:t>
      </w:r>
    </w:p>
    <w:p>
      <w:pPr>
        <w:pStyle w:val="Heading2"/>
      </w:pPr>
      <w:bookmarkStart w:id="1126" w:name="_Toc228"/>
      <w:r>
        <w:t>ابن باكير ، عبد الرحمن بن باكير</w:t>
      </w:r>
      <w:bookmarkEnd w:id="1126"/>
    </w:p>
    <w:p>
      <w:pPr>
        <w:pStyle w:val="BookText"/>
      </w:pPr>
      <w:r>
        <w:rPr>
          <w:rFonts w:ascii="Amiri" w:hAnsi="Amiri" w:eastAsia="Amiri" w:cs="Amiri"/>
          <w:lang w:bidi="ar-SA"/>
          <w:color w:val="111111"/>
          <w:sz w:val="28"/>
          <w:szCs w:val="28"/>
          <w:rtl/>
        </w:rPr>
        <w:t xml:space="preserve">عمل المعميات (رسالة في)، ج11،</w:t>
      </w:r>
    </w:p>
    <w:p>
      <w:pPr>
        <w:pStyle w:val="BookText"/>
      </w:pPr>
      <w:r>
        <w:rPr>
          <w:rFonts w:ascii="IRNazanin" w:hAnsi="IRNazanin" w:eastAsia="IRNazanin" w:cs="IRNazanin"/>
          <w:lang w:bidi="fa-IR"/>
          <w:color w:val="111111"/>
          <w:sz w:val="28"/>
          <w:szCs w:val="28"/>
          <w:rtl/>
        </w:rPr>
        <w:t xml:space="preserve">ص 324.</w:t>
      </w:r>
    </w:p>
    <w:p>
      <w:pPr>
        <w:pStyle w:val="Heading2"/>
      </w:pPr>
      <w:bookmarkStart w:id="1127" w:name="_Toc229"/>
      <w:r>
        <w:t>ابن بتنوني ، علي بن عمر قرن 10 ه-</w:t>
      </w:r>
      <w:bookmarkEnd w:id="1127"/>
    </w:p>
    <w:p>
      <w:pPr>
        <w:pStyle w:val="BookText"/>
      </w:pPr>
      <w:r>
        <w:rPr>
          <w:rFonts w:ascii="Amiri" w:hAnsi="Amiri" w:eastAsia="Amiri" w:cs="Amiri"/>
          <w:lang w:bidi="ar-SA"/>
          <w:color w:val="111111"/>
          <w:sz w:val="28"/>
          <w:szCs w:val="28"/>
          <w:rtl/>
        </w:rPr>
        <w:t xml:space="preserve">السر الصفي في مناقب سيدي شمس</w:t>
      </w:r>
    </w:p>
    <w:p>
      <w:pPr>
        <w:pStyle w:val="BookText"/>
      </w:pPr>
      <w:r>
        <w:rPr>
          <w:rFonts w:ascii="Amiri" w:hAnsi="Amiri" w:eastAsia="Amiri" w:cs="Amiri"/>
          <w:lang w:bidi="ar-SA"/>
          <w:color w:val="111111"/>
          <w:sz w:val="28"/>
          <w:szCs w:val="28"/>
          <w:rtl/>
        </w:rPr>
        <w:t xml:space="preserve">الدين محمّد البكري الحنفي، ج 8،</w:t>
      </w:r>
    </w:p>
    <w:p>
      <w:pPr>
        <w:pStyle w:val="BookText"/>
      </w:pPr>
      <w:r>
        <w:rPr>
          <w:rFonts w:ascii="IRNazanin" w:hAnsi="IRNazanin" w:eastAsia="IRNazanin" w:cs="IRNazanin"/>
          <w:lang w:bidi="fa-IR"/>
          <w:color w:val="111111"/>
          <w:sz w:val="28"/>
          <w:szCs w:val="28"/>
          <w:rtl/>
        </w:rPr>
        <w:t xml:space="preserve">ص 755 .</w:t>
      </w:r>
    </w:p>
    <w:p>
      <w:pPr>
        <w:pStyle w:val="Heading2"/>
      </w:pPr>
      <w:bookmarkStart w:id="1128" w:name="_Toc230"/>
      <w:r>
        <w:t>ابن بجير ، احمد بن نصر قرن 4 ه-</w:t>
      </w:r>
      <w:bookmarkEnd w:id="1128"/>
    </w:p>
    <w:p>
      <w:pPr>
        <w:pStyle w:val="BookText"/>
      </w:pPr>
      <w:r>
        <w:rPr>
          <w:rFonts w:ascii="IRNazanin" w:hAnsi="IRNazanin" w:eastAsia="IRNazanin" w:cs="IRNazanin"/>
          <w:lang w:bidi="fa-IR"/>
          <w:color w:val="111111"/>
          <w:sz w:val="28"/>
          <w:szCs w:val="28"/>
          <w:rtl/>
        </w:rPr>
        <w:t xml:space="preserve">الفوائد، ج 12، ص 168.</w:t>
      </w:r>
    </w:p>
    <w:p>
      <w:pPr>
        <w:pStyle w:val="BookText"/>
      </w:pPr>
      <w:r>
        <w:rPr>
          <w:rFonts w:ascii="IRNazanin" w:hAnsi="IRNazanin" w:eastAsia="IRNazanin" w:cs="IRNazanin"/>
          <w:lang w:bidi="fa-IR"/>
          <w:color w:val="111111"/>
          <w:sz w:val="28"/>
          <w:szCs w:val="28"/>
          <w:rtl/>
        </w:rPr>
        <w:t xml:space="preserve">ابن بحرق ، محمّد بن عمر بحرق ،</w:t>
      </w:r>
    </w:p>
    <w:p>
      <w:pPr>
        <w:pStyle w:val="BookText"/>
      </w:pPr>
      <w:r>
        <w:rPr>
          <w:rFonts w:ascii="Amiri" w:hAnsi="Amiri" w:eastAsia="Amiri" w:cs="Amiri"/>
          <w:lang w:bidi="ar-SA"/>
          <w:color w:val="111111"/>
          <w:sz w:val="28"/>
          <w:szCs w:val="28"/>
          <w:rtl/>
        </w:rPr>
        <w:t xml:space="preserve">محمّد بن عمر</w:t>
      </w:r>
    </w:p>
    <w:p>
      <w:pPr>
        <w:pStyle w:val="Heading2"/>
      </w:pPr>
      <w:bookmarkStart w:id="1129" w:name="_Toc231"/>
      <w:r>
        <w:t>ابن بخاري علي بن احمد، 595 - 690 ه-</w:t>
      </w:r>
      <w:bookmarkEnd w:id="1129"/>
    </w:p>
    <w:p>
      <w:pPr>
        <w:pStyle w:val="BookText"/>
      </w:pPr>
      <w:r>
        <w:rPr>
          <w:rFonts w:ascii="Amiri" w:hAnsi="Amiri" w:eastAsia="Amiri" w:cs="Amiri"/>
          <w:lang w:bidi="ar-SA"/>
          <w:color w:val="111111"/>
          <w:sz w:val="28"/>
          <w:szCs w:val="28"/>
          <w:rtl/>
        </w:rPr>
        <w:t xml:space="preserve">المنقي من مشيخة ابن البخاري ج 15</w:t>
      </w:r>
    </w:p>
    <w:p>
      <w:pPr>
        <w:pStyle w:val="BookText"/>
      </w:pPr>
      <w:r>
        <w:rPr>
          <w:rFonts w:ascii="IRNazanin" w:hAnsi="IRNazanin" w:eastAsia="IRNazanin" w:cs="IRNazanin"/>
          <w:lang w:bidi="fa-IR"/>
          <w:color w:val="111111"/>
          <w:sz w:val="28"/>
          <w:szCs w:val="28"/>
          <w:rtl/>
        </w:rPr>
        <w:t xml:space="preserve">ص 740.</w:t>
      </w:r>
    </w:p>
    <w:p>
      <w:pPr>
        <w:pStyle w:val="BookText"/>
      </w:pPr>
      <w:r>
        <w:rPr>
          <w:rFonts w:ascii="Amiri" w:hAnsi="Amiri" w:eastAsia="Amiri" w:cs="Amiri"/>
          <w:lang w:bidi="ar-SA"/>
          <w:color w:val="111111"/>
          <w:sz w:val="28"/>
          <w:szCs w:val="28"/>
          <w:rtl/>
        </w:rPr>
        <w:t xml:space="preserve">ابن بختري ، محمّد بن عمرو- رزاز ،</w:t>
      </w:r>
    </w:p>
    <w:p>
      <w:pPr>
        <w:pStyle w:val="BookText"/>
      </w:pPr>
      <w:r>
        <w:rPr>
          <w:rFonts w:ascii="IRNazanin" w:hAnsi="IRNazanin" w:eastAsia="IRNazanin" w:cs="IRNazanin"/>
          <w:lang w:bidi="fa-IR"/>
          <w:color w:val="111111"/>
          <w:sz w:val="28"/>
          <w:szCs w:val="28"/>
          <w:rtl/>
        </w:rPr>
        <w:t xml:space="preserve">محمّد بن عمرو</w:t>
      </w:r>
    </w:p>
    <w:p>
      <w:pPr>
        <w:pStyle w:val="Heading2"/>
      </w:pPr>
      <w:bookmarkStart w:id="1130" w:name="_Toc232"/>
      <w:r>
        <w:t>ابن بختیشوع، عبدالله بن جبرئيل - 4453ه-</w:t>
      </w:r>
      <w:bookmarkEnd w:id="1130"/>
    </w:p>
    <w:p>
      <w:pPr>
        <w:pStyle w:val="BookText"/>
      </w:pPr>
      <w:r>
        <w:rPr>
          <w:rFonts w:ascii="Amiri" w:hAnsi="Amiri" w:eastAsia="Amiri" w:cs="Amiri"/>
          <w:lang w:bidi="ar-SA"/>
          <w:color w:val="111111"/>
          <w:sz w:val="28"/>
          <w:szCs w:val="28"/>
          <w:rtl/>
        </w:rPr>
        <w:t xml:space="preserve">منافع الحيوانات والطيور، ج 15</w:t>
      </w:r>
    </w:p>
    <w:p>
      <w:pPr>
        <w:pStyle w:val="BookText"/>
      </w:pPr>
      <w:r>
        <w:rPr>
          <w:rFonts w:ascii="IRNazanin" w:hAnsi="IRNazanin" w:eastAsia="IRNazanin" w:cs="IRNazanin"/>
          <w:lang w:bidi="fa-IR"/>
          <w:color w:val="111111"/>
          <w:sz w:val="28"/>
          <w:szCs w:val="28"/>
          <w:rtl/>
        </w:rPr>
        <w:t xml:space="preserve">ص 529.</w:t>
      </w:r>
    </w:p>
    <w:p>
      <w:pPr>
        <w:pStyle w:val="BookText"/>
      </w:pPr>
      <w:r>
        <w:rPr>
          <w:rFonts w:ascii="Amiri" w:hAnsi="Amiri" w:eastAsia="Amiri" w:cs="Amiri"/>
          <w:lang w:bidi="ar-SA"/>
          <w:color w:val="111111"/>
          <w:sz w:val="28"/>
          <w:szCs w:val="28"/>
          <w:rtl/>
        </w:rPr>
        <w:t xml:space="preserve">ابن بدران ، سالم بن بدران- مازني ، سالم</w:t>
      </w:r>
    </w:p>
    <w:p>
      <w:pPr>
        <w:pStyle w:val="BookText"/>
      </w:pPr>
      <w:r>
        <w:rPr>
          <w:rFonts w:ascii="IRNazanin" w:hAnsi="IRNazanin" w:eastAsia="IRNazanin" w:cs="IRNazanin"/>
          <w:lang w:bidi="fa-IR"/>
          <w:color w:val="111111"/>
          <w:sz w:val="28"/>
          <w:szCs w:val="28"/>
          <w:rtl/>
        </w:rPr>
        <w:t xml:space="preserve">بن بدران</w:t>
      </w:r>
    </w:p>
    <w:p>
      <w:pPr>
        <w:pStyle w:val="BookText"/>
      </w:pPr>
      <w:r>
        <w:rPr>
          <w:rFonts w:ascii="Amiri" w:hAnsi="Amiri" w:eastAsia="Amiri" w:cs="Amiri"/>
          <w:lang w:bidi="ar-SA"/>
          <w:color w:val="111111"/>
          <w:sz w:val="28"/>
          <w:szCs w:val="28"/>
          <w:rtl/>
        </w:rPr>
        <w:t xml:space="preserve">ابن بدران ، محمود بن ابي القاسم- دشتي</w:t>
      </w:r>
    </w:p>
    <w:p>
      <w:pPr>
        <w:pStyle w:val="BookText"/>
      </w:pPr>
      <w:r>
        <w:rPr>
          <w:rFonts w:ascii="Amiri" w:hAnsi="Amiri" w:eastAsia="Amiri" w:cs="Amiri"/>
          <w:lang w:bidi="ar-SA"/>
          <w:color w:val="111111"/>
          <w:sz w:val="28"/>
          <w:szCs w:val="28"/>
          <w:rtl/>
        </w:rPr>
        <w:t xml:space="preserve">، محمود بن ابي القاسم</w:t>
      </w:r>
    </w:p>
    <w:p>
      <w:pPr>
        <w:pStyle w:val="Heading2"/>
      </w:pPr>
      <w:bookmarkStart w:id="1131" w:name="_Toc233"/>
      <w:r>
        <w:t>ابن بدر ، عبدالباقي بن عبد الباقي 1005</w:t>
      </w:r>
      <w:bookmarkEnd w:id="11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1071ه-</w:t>
      </w:r>
    </w:p>
    <w:p>
      <w:pPr>
        <w:pStyle w:val="BookText"/>
      </w:pPr>
      <w:r>
        <w:rPr>
          <w:rFonts w:ascii="Amiri" w:hAnsi="Amiri" w:eastAsia="Amiri" w:cs="Amiri"/>
          <w:lang w:bidi="ar-SA"/>
          <w:color w:val="111111"/>
          <w:sz w:val="28"/>
          <w:szCs w:val="28"/>
          <w:rtl/>
        </w:rPr>
        <w:t xml:space="preserve">ثبت عبد الباقي بن فقيه فصة، جه،</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Amiri" w:hAnsi="Amiri" w:eastAsia="Amiri" w:cs="Amiri"/>
          <w:lang w:bidi="ar-SA"/>
          <w:color w:val="111111"/>
          <w:sz w:val="28"/>
          <w:szCs w:val="28"/>
          <w:rtl/>
        </w:rPr>
        <w:t xml:space="preserve">ابن بدر ، محمّد بن عبد الباقي- بعلي</w:t>
      </w:r>
    </w:p>
    <w:p>
      <w:pPr>
        <w:pStyle w:val="BookText"/>
      </w:pPr>
      <w:r>
        <w:rPr>
          <w:rFonts w:ascii="Amiri" w:hAnsi="Amiri" w:eastAsia="Amiri" w:cs="Amiri"/>
          <w:lang w:bidi="ar-SA"/>
          <w:color w:val="111111"/>
          <w:sz w:val="28"/>
          <w:szCs w:val="28"/>
          <w:rtl/>
        </w:rPr>
        <w:t xml:space="preserve">محمّد بن عبد الباقي</w:t>
      </w:r>
    </w:p>
    <w:p>
      <w:pPr>
        <w:pStyle w:val="Heading2"/>
      </w:pPr>
      <w:bookmarkStart w:id="1132" w:name="_Toc234"/>
      <w:r>
        <w:t>ابن بدرون عبدالملك بن عبدالله -2608ه-</w:t>
      </w:r>
      <w:bookmarkEnd w:id="1132"/>
    </w:p>
    <w:p>
      <w:pPr>
        <w:pStyle w:val="BookText"/>
      </w:pPr>
      <w:r>
        <w:rPr>
          <w:rFonts w:ascii="Amiri" w:hAnsi="Amiri" w:eastAsia="Amiri" w:cs="Amiri"/>
          <w:lang w:bidi="ar-SA"/>
          <w:color w:val="111111"/>
          <w:sz w:val="28"/>
          <w:szCs w:val="28"/>
          <w:rtl/>
        </w:rPr>
        <w:t xml:space="preserve">شرح قصيدة عبدونية = كمامة الزهر و فريدة الدهر، ج9، ص 876.</w:t>
      </w:r>
    </w:p>
    <w:p>
      <w:pPr>
        <w:pStyle w:val="BookText"/>
      </w:pPr>
      <w:r>
        <w:rPr>
          <w:rFonts w:ascii="Amiri" w:hAnsi="Amiri" w:eastAsia="Amiri" w:cs="Amiri"/>
          <w:lang w:bidi="ar-SA"/>
          <w:color w:val="111111"/>
          <w:sz w:val="28"/>
          <w:szCs w:val="28"/>
          <w:rtl/>
        </w:rPr>
        <w:t xml:space="preserve">ابن بدري ، ابوبكر بن عبدالله بدري</w:t>
      </w:r>
    </w:p>
    <w:p>
      <w:pPr>
        <w:pStyle w:val="BookText"/>
      </w:pPr>
      <w:r>
        <w:rPr>
          <w:rFonts w:ascii="Amiri" w:hAnsi="Amiri" w:eastAsia="Amiri" w:cs="Amiri"/>
          <w:lang w:bidi="ar-SA"/>
          <w:color w:val="111111"/>
          <w:sz w:val="28"/>
          <w:szCs w:val="28"/>
          <w:rtl/>
        </w:rPr>
        <w:t xml:space="preserve">دمشقي ، ابوبكر بن عبدالله</w:t>
      </w:r>
    </w:p>
    <w:p>
      <w:pPr>
        <w:pStyle w:val="Heading2"/>
      </w:pPr>
      <w:bookmarkStart w:id="1133" w:name="_Toc235"/>
      <w:r>
        <w:t>ابن بدیر محمّد بن بدير 1160-1220ه-</w:t>
      </w:r>
      <w:bookmarkEnd w:id="1133"/>
    </w:p>
    <w:p>
      <w:pPr>
        <w:pStyle w:val="BookText"/>
      </w:pPr>
      <w:r>
        <w:rPr>
          <w:rFonts w:ascii="Amiri" w:hAnsi="Amiri" w:eastAsia="Amiri" w:cs="Amiri"/>
          <w:lang w:bidi="ar-SA"/>
          <w:color w:val="111111"/>
          <w:sz w:val="28"/>
          <w:szCs w:val="28"/>
          <w:rtl/>
        </w:rPr>
        <w:t xml:space="preserve">1 .اسماء اهل بدر (منظومة في)، ج2،</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Amiri" w:hAnsi="Amiri" w:eastAsia="Amiri" w:cs="Amiri"/>
          <w:lang w:bidi="ar-SA"/>
          <w:color w:val="111111"/>
          <w:sz w:val="28"/>
          <w:szCs w:val="28"/>
          <w:rtl/>
        </w:rPr>
        <w:t xml:space="preserve">2 .التوحيد (منظومة في)، ج 5، ص 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مولد النبي (ص)، ج 16، ص 48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7742_69414"/>
    <w:bookmarkEnd w:id="41"/>
    <w:p>
      <w:pPr>
        <w:pStyle w:val="Heading2"/>
      </w:pPr>
      <w:bookmarkStart w:id="1134" w:name="_Toc236"/>
      <w:r>
        <w:t>ابن براج، عبد العزيز بن تحرير 400؟ -</w:t>
      </w:r>
      <w:bookmarkEnd w:id="1134"/>
    </w:p>
    <w:p>
      <w:pPr>
        <w:pStyle w:val="BookText"/>
      </w:pPr>
      <w:r>
        <w:rPr>
          <w:rFonts w:ascii="IRNazanin" w:hAnsi="IRNazanin" w:eastAsia="IRNazanin" w:cs="IRNazanin"/>
          <w:lang w:bidi="fa-IR"/>
          <w:color w:val="111111"/>
          <w:sz w:val="28"/>
          <w:szCs w:val="28"/>
          <w:rtl/>
        </w:rPr>
        <w:t xml:space="preserve">481 ه-</w:t>
      </w:r>
    </w:p>
    <w:p>
      <w:pPr>
        <w:pStyle w:val="BookText"/>
      </w:pPr>
      <w:r>
        <w:rPr>
          <w:rFonts w:ascii="IRNazanin" w:hAnsi="IRNazanin" w:eastAsia="IRNazanin" w:cs="IRNazanin"/>
          <w:lang w:bidi="fa-IR"/>
          <w:color w:val="111111"/>
          <w:sz w:val="28"/>
          <w:szCs w:val="28"/>
          <w:rtl/>
        </w:rPr>
        <w:t xml:space="preserve">1 .جواهر الفقه، ج 5 ص 556.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جمل العلم و العمل، ج9،</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Amiri" w:hAnsi="Amiri" w:eastAsia="Amiri" w:cs="Amiri"/>
          <w:lang w:bidi="ar-SA"/>
          <w:color w:val="111111"/>
          <w:sz w:val="28"/>
          <w:szCs w:val="28"/>
          <w:rtl/>
        </w:rPr>
        <w:t xml:space="preserve">.3 القاضي في الفقه، ج 12، ص327.</w:t>
      </w:r>
    </w:p>
    <w:p>
      <w:pPr>
        <w:pStyle w:val="BookText"/>
      </w:pPr>
      <w:r>
        <w:rPr>
          <w:rFonts w:ascii="IRNazanin" w:hAnsi="IRNazanin" w:eastAsia="IRNazanin" w:cs="IRNazanin"/>
          <w:lang w:bidi="fa-IR"/>
          <w:color w:val="111111"/>
          <w:sz w:val="28"/>
          <w:szCs w:val="28"/>
          <w:rtl/>
        </w:rPr>
        <w:t xml:space="preserve">4 .المهذب، ج 15، ص 842.</w:t>
      </w:r>
    </w:p>
    <w:p>
      <w:pPr>
        <w:pStyle w:val="Heading2"/>
      </w:pPr>
      <w:bookmarkStart w:id="1135" w:name="_Toc237"/>
      <w:r>
        <w:t>ابن برخوردار ، محمّد</w:t>
      </w:r>
      <w:bookmarkEnd w:id="1135"/>
    </w:p>
    <w:p>
      <w:pPr>
        <w:pStyle w:val="BookText"/>
      </w:pPr>
      <w:r>
        <w:rPr>
          <w:rFonts w:ascii="Amiri" w:hAnsi="Amiri" w:eastAsia="Amiri" w:cs="Amiri"/>
          <w:lang w:bidi="ar-SA"/>
          <w:color w:val="111111"/>
          <w:sz w:val="28"/>
          <w:szCs w:val="28"/>
          <w:rtl/>
        </w:rPr>
        <w:t xml:space="preserve">درج اللآلي، ج 7، ص279</w:t>
      </w:r>
    </w:p>
    <w:p>
      <w:pPr>
        <w:pStyle w:val="Heading2"/>
      </w:pPr>
      <w:bookmarkStart w:id="1136" w:name="_Toc238"/>
      <w:r>
        <w:t>ابن بردس ، اسماعیل بن محمّد، 720 -</w:t>
      </w:r>
      <w:bookmarkEnd w:id="1136"/>
    </w:p>
    <w:p>
      <w:pPr>
        <w:pStyle w:val="BookText"/>
      </w:pPr>
      <w:r>
        <w:rPr>
          <w:rFonts w:ascii="IRNazanin" w:hAnsi="IRNazanin" w:eastAsia="IRNazanin" w:cs="IRNazanin"/>
          <w:lang w:bidi="fa-IR"/>
          <w:color w:val="111111"/>
          <w:sz w:val="28"/>
          <w:szCs w:val="28"/>
          <w:rtl/>
        </w:rPr>
        <w:t xml:space="preserve">786 ه-</w:t>
      </w:r>
    </w:p>
    <w:p>
      <w:pPr>
        <w:pStyle w:val="BookText"/>
      </w:pPr>
      <w:r>
        <w:rPr>
          <w:rFonts w:ascii="IRNazanin" w:hAnsi="IRNazanin" w:eastAsia="IRNazanin" w:cs="IRNazanin"/>
          <w:lang w:bidi="fa-IR"/>
          <w:color w:val="111111"/>
          <w:sz w:val="28"/>
          <w:szCs w:val="28"/>
          <w:rtl/>
        </w:rPr>
        <w:t xml:space="preserve">1 .الروح (مختصر)، ج8، ص373.</w:t>
      </w:r>
    </w:p>
    <w:p>
      <w:pPr>
        <w:pStyle w:val="BookText"/>
      </w:pPr>
      <w:r>
        <w:rPr>
          <w:rFonts w:ascii="Amiri" w:hAnsi="Amiri" w:eastAsia="Amiri" w:cs="Amiri"/>
          <w:lang w:bidi="ar-SA"/>
          <w:color w:val="111111"/>
          <w:sz w:val="28"/>
          <w:szCs w:val="28"/>
          <w:rtl/>
        </w:rPr>
        <w:t xml:space="preserve">2 .شرح الكفاية في نظم النهاية، ج 10،</w:t>
      </w:r>
    </w:p>
    <w:p>
      <w:pPr>
        <w:pStyle w:val="BookText"/>
      </w:pPr>
      <w:r>
        <w:rPr>
          <w:rFonts w:ascii="IRNazanin" w:hAnsi="IRNazanin" w:eastAsia="IRNazanin" w:cs="IRNazanin"/>
          <w:lang w:bidi="fa-IR"/>
          <w:color w:val="111111"/>
          <w:sz w:val="28"/>
          <w:szCs w:val="28"/>
          <w:rtl/>
        </w:rPr>
        <w:t xml:space="preserve">ص 58.</w:t>
      </w:r>
    </w:p>
    <w:p>
      <w:pPr>
        <w:pStyle w:val="BookText"/>
      </w:pPr>
      <w:r>
        <w:rPr>
          <w:rFonts w:ascii="Amiri" w:hAnsi="Amiri" w:eastAsia="Amiri" w:cs="Amiri"/>
          <w:lang w:bidi="ar-SA"/>
          <w:color w:val="111111"/>
          <w:sz w:val="28"/>
          <w:szCs w:val="28"/>
          <w:rtl/>
        </w:rPr>
        <w:t xml:space="preserve">ابن بردي ، علي بن هبة الله- ابن اثردي ، محمّد بن محمّد</w:t>
      </w:r>
    </w:p>
    <w:p>
      <w:pPr>
        <w:pStyle w:val="BookText"/>
      </w:pPr>
      <w:r>
        <w:rPr>
          <w:rFonts w:ascii="Amiri" w:hAnsi="Amiri" w:eastAsia="Amiri" w:cs="Amiri"/>
          <w:lang w:bidi="ar-SA"/>
          <w:color w:val="111111"/>
          <w:sz w:val="28"/>
          <w:szCs w:val="28"/>
          <w:rtl/>
        </w:rPr>
        <w:t xml:space="preserve">علي بن هبة الله</w:t>
      </w:r>
    </w:p>
    <w:p>
      <w:pPr>
        <w:pStyle w:val="BookText"/>
      </w:pPr>
      <w:r>
        <w:rPr>
          <w:rFonts w:ascii="Amiri" w:hAnsi="Amiri" w:eastAsia="Amiri" w:cs="Amiri"/>
          <w:lang w:bidi="ar-SA"/>
          <w:color w:val="111111"/>
          <w:sz w:val="28"/>
          <w:szCs w:val="28"/>
          <w:rtl/>
        </w:rPr>
        <w:t xml:space="preserve">ابن برزالي ، قاسم بن محمّد- برزالي</w:t>
      </w:r>
    </w:p>
    <w:p>
      <w:pPr>
        <w:pStyle w:val="BookText"/>
      </w:pPr>
      <w:r>
        <w:rPr>
          <w:rFonts w:ascii="IRNazanin" w:hAnsi="IRNazanin" w:eastAsia="IRNazanin" w:cs="IRNazanin"/>
          <w:lang w:bidi="fa-IR"/>
          <w:color w:val="111111"/>
          <w:sz w:val="28"/>
          <w:szCs w:val="28"/>
          <w:rtl/>
        </w:rPr>
        <w:t xml:space="preserve">قاسم بن محمّد</w:t>
      </w:r>
    </w:p>
    <w:p>
      <w:pPr>
        <w:pStyle w:val="Heading2"/>
      </w:pPr>
      <w:bookmarkStart w:id="1137" w:name="_Toc239"/>
      <w:r>
        <w:t>ابن برزنجي ، ابراهيم</w:t>
      </w:r>
      <w:bookmarkEnd w:id="1137"/>
    </w:p>
    <w:p>
      <w:pPr>
        <w:pStyle w:val="BookText"/>
      </w:pPr>
      <w:r>
        <w:rPr>
          <w:rFonts w:ascii="Amiri" w:hAnsi="Amiri" w:eastAsia="Amiri" w:cs="Amiri"/>
          <w:lang w:bidi="ar-SA"/>
          <w:color w:val="111111"/>
          <w:sz w:val="28"/>
          <w:szCs w:val="28"/>
          <w:rtl/>
        </w:rPr>
        <w:t xml:space="preserve">اجابة الداعي، ج 1، ص 195.</w:t>
      </w:r>
    </w:p>
    <w:p>
      <w:pPr>
        <w:pStyle w:val="Heading2"/>
      </w:pPr>
      <w:bookmarkStart w:id="1138" w:name="_Toc240"/>
      <w:r>
        <w:t>ابن بركات ، تقي الدين بن بركات</w:t>
      </w:r>
      <w:bookmarkEnd w:id="1138"/>
    </w:p>
    <w:p>
      <w:pPr>
        <w:pStyle w:val="BookText"/>
      </w:pPr>
      <w:r>
        <w:rPr>
          <w:rFonts w:ascii="Amiri" w:hAnsi="Amiri" w:eastAsia="Amiri" w:cs="Amiri"/>
          <w:lang w:bidi="ar-SA"/>
          <w:color w:val="111111"/>
          <w:sz w:val="28"/>
          <w:szCs w:val="28"/>
          <w:rtl/>
        </w:rPr>
        <w:t xml:space="preserve">الحديث للفروع و الاصول (كتاب في)</w:t>
      </w:r>
    </w:p>
    <w:p>
      <w:pPr>
        <w:pStyle w:val="BookText"/>
      </w:pPr>
      <w:r>
        <w:rPr>
          <w:rFonts w:ascii="IRNazanin" w:hAnsi="IRNazanin" w:eastAsia="IRNazanin" w:cs="IRNazanin"/>
          <w:lang w:bidi="fa-IR"/>
          <w:color w:val="111111"/>
          <w:sz w:val="28"/>
          <w:szCs w:val="28"/>
          <w:rtl/>
        </w:rPr>
        <w:t xml:space="preserve">ج 6، ص 576.</w:t>
      </w:r>
    </w:p>
    <w:p>
      <w:pPr>
        <w:pStyle w:val="BookText"/>
      </w:pPr>
      <w:r>
        <w:rPr>
          <w:rFonts w:ascii="Amiri" w:hAnsi="Amiri" w:eastAsia="Amiri" w:cs="Amiri"/>
          <w:lang w:bidi="ar-SA"/>
          <w:color w:val="111111"/>
          <w:sz w:val="28"/>
          <w:szCs w:val="28"/>
          <w:rtl/>
        </w:rPr>
        <w:t xml:space="preserve">ابن بركة موصلي ، محمّد بن ابي الفرج- موصلي ، محمّد بن ابي الفرج</w:t>
      </w:r>
    </w:p>
    <w:p>
      <w:pPr>
        <w:pStyle w:val="Heading2"/>
      </w:pPr>
      <w:bookmarkStart w:id="1139" w:name="_Toc241"/>
      <w:r>
        <w:t>ابن برهان ، احمد بن ابراهيم - 738 ه-</w:t>
      </w:r>
      <w:bookmarkEnd w:id="1139"/>
    </w:p>
    <w:p>
      <w:pPr>
        <w:pStyle w:val="BookText"/>
      </w:pPr>
      <w:r>
        <w:rPr>
          <w:rFonts w:ascii="Amiri" w:hAnsi="Amiri" w:eastAsia="Amiri" w:cs="Amiri"/>
          <w:lang w:bidi="ar-SA"/>
          <w:color w:val="111111"/>
          <w:sz w:val="28"/>
          <w:szCs w:val="28"/>
          <w:rtl/>
        </w:rPr>
        <w:t xml:space="preserve">التخليص في شرح التلخيص، ج 4،</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Amiri" w:hAnsi="Amiri" w:eastAsia="Amiri" w:cs="Amiri"/>
          <w:lang w:bidi="ar-SA"/>
          <w:color w:val="111111"/>
          <w:sz w:val="28"/>
          <w:szCs w:val="28"/>
          <w:rtl/>
        </w:rPr>
        <w:t xml:space="preserve">ابن بريخيا ، عبديشوع- صوباوي ،</w:t>
      </w:r>
    </w:p>
    <w:p>
      <w:pPr>
        <w:pStyle w:val="BookText"/>
      </w:pPr>
      <w:r>
        <w:rPr>
          <w:rFonts w:ascii="Amiri" w:hAnsi="Amiri" w:eastAsia="Amiri" w:cs="Amiri"/>
          <w:lang w:bidi="ar-SA"/>
          <w:color w:val="111111"/>
          <w:sz w:val="28"/>
          <w:szCs w:val="28"/>
          <w:rtl/>
        </w:rPr>
        <w:t xml:space="preserve">عبديشوع بن بريخيا</w:t>
      </w:r>
    </w:p>
    <w:p>
      <w:pPr>
        <w:pStyle w:val="Heading2"/>
      </w:pPr>
      <w:bookmarkStart w:id="1140" w:name="_Toc242"/>
      <w:r>
        <w:t>ابن بري عبدالله بن بري، 449-582 ؟ ه-</w:t>
      </w:r>
      <w:bookmarkEnd w:id="1140"/>
    </w:p>
    <w:p>
      <w:pPr>
        <w:pStyle w:val="BookText"/>
      </w:pPr>
      <w:r>
        <w:rPr>
          <w:rFonts w:ascii="Amiri" w:hAnsi="Amiri" w:eastAsia="Amiri" w:cs="Amiri"/>
          <w:lang w:bidi="ar-SA"/>
          <w:color w:val="111111"/>
          <w:sz w:val="28"/>
          <w:szCs w:val="28"/>
          <w:rtl/>
        </w:rPr>
        <w:t xml:space="preserve">استدراكات ابن الخشاب على مقامات الحريري و جواب ابن بري، ج2،</w:t>
      </w:r>
    </w:p>
    <w:p>
      <w:pPr>
        <w:pStyle w:val="BookText"/>
      </w:pPr>
      <w:r>
        <w:rPr>
          <w:rFonts w:ascii="IRNazanin" w:hAnsi="IRNazanin" w:eastAsia="IRNazanin" w:cs="IRNazanin"/>
          <w:lang w:bidi="fa-IR"/>
          <w:color w:val="111111"/>
          <w:sz w:val="28"/>
          <w:szCs w:val="28"/>
          <w:rtl/>
        </w:rPr>
        <w:t xml:space="preserve">ص 126 .</w:t>
      </w:r>
    </w:p>
    <w:p>
      <w:pPr>
        <w:pStyle w:val="Heading2"/>
      </w:pPr>
      <w:bookmarkStart w:id="1141" w:name="_Toc243"/>
      <w:r>
        <w:t>ابن بري ، علي بن محمّد، 660 - 730 ه-</w:t>
      </w:r>
      <w:bookmarkEnd w:id="1141"/>
    </w:p>
    <w:p>
      <w:pPr>
        <w:pStyle w:val="BookText"/>
      </w:pPr>
      <w:r>
        <w:rPr>
          <w:rFonts w:ascii="IRNazanin" w:hAnsi="IRNazanin" w:eastAsia="IRNazanin" w:cs="IRNazanin"/>
          <w:lang w:bidi="fa-IR"/>
          <w:color w:val="111111"/>
          <w:sz w:val="28"/>
          <w:szCs w:val="28"/>
          <w:rtl/>
        </w:rPr>
        <w:t xml:space="preserve">الدرر اللوامع، ج7، ص310.</w:t>
      </w:r>
    </w:p>
    <w:p>
      <w:pPr>
        <w:pStyle w:val="BookText"/>
      </w:pPr>
      <w:r>
        <w:rPr>
          <w:rFonts w:ascii="Amiri" w:hAnsi="Amiri" w:eastAsia="Amiri" w:cs="Amiri"/>
          <w:lang w:bidi="ar-SA"/>
          <w:color w:val="111111"/>
          <w:sz w:val="28"/>
          <w:szCs w:val="28"/>
          <w:rtl/>
        </w:rPr>
        <w:t xml:space="preserve">ابن بزازي ، محمّد بن محمّد -كردري ،</w:t>
      </w:r>
    </w:p>
    <w:p>
      <w:pPr>
        <w:pStyle w:val="BookText"/>
      </w:pPr>
      <w:r>
        <w:rPr>
          <w:rFonts w:ascii="Amiri" w:hAnsi="Amiri" w:eastAsia="Amiri" w:cs="Amiri"/>
          <w:lang w:bidi="ar-SA"/>
          <w:color w:val="111111"/>
          <w:sz w:val="28"/>
          <w:szCs w:val="28"/>
          <w:rtl/>
        </w:rPr>
        <w:t xml:space="preserve">ابن بزري ، عمر بن محمّد- بزري ، عمر</w:t>
      </w:r>
    </w:p>
    <w:p>
      <w:pPr>
        <w:pStyle w:val="BookText"/>
      </w:pPr>
      <w:r>
        <w:rPr>
          <w:rFonts w:ascii="Amiri" w:hAnsi="Amiri" w:eastAsia="Amiri" w:cs="Amiri"/>
          <w:lang w:bidi="ar-SA"/>
          <w:color w:val="111111"/>
          <w:sz w:val="28"/>
          <w:szCs w:val="28"/>
          <w:rtl/>
        </w:rPr>
        <w:t xml:space="preserve">بن محمّد</w:t>
      </w:r>
    </w:p>
    <w:p>
      <w:pPr>
        <w:pStyle w:val="Heading2"/>
      </w:pPr>
      <w:bookmarkStart w:id="1142" w:name="_Toc244"/>
      <w:r>
        <w:t>ابن بسام ، علي بن بسام 477 - 542 ه-</w:t>
      </w:r>
      <w:bookmarkEnd w:id="1142"/>
    </w:p>
    <w:p>
      <w:pPr>
        <w:pStyle w:val="BookText"/>
      </w:pPr>
      <w:r>
        <w:rPr>
          <w:rFonts w:ascii="Amiri" w:hAnsi="Amiri" w:eastAsia="Amiri" w:cs="Amiri"/>
          <w:lang w:bidi="ar-SA"/>
          <w:color w:val="111111"/>
          <w:sz w:val="28"/>
          <w:szCs w:val="28"/>
          <w:rtl/>
        </w:rPr>
        <w:t xml:space="preserve">الذخيرة في محاسن اهل الجزيرة، ج7،</w:t>
      </w:r>
    </w:p>
    <w:p>
      <w:pPr>
        <w:pStyle w:val="BookText"/>
      </w:pPr>
      <w:r>
        <w:rPr>
          <w:rFonts w:ascii="IRNazanin" w:hAnsi="IRNazanin" w:eastAsia="IRNazanin" w:cs="IRNazanin"/>
          <w:lang w:bidi="fa-IR"/>
          <w:color w:val="111111"/>
          <w:sz w:val="28"/>
          <w:szCs w:val="28"/>
          <w:rtl/>
        </w:rPr>
        <w:t xml:space="preserve">ص830.</w:t>
      </w:r>
    </w:p>
    <w:p>
      <w:pPr>
        <w:pStyle w:val="Heading2"/>
      </w:pPr>
      <w:bookmarkStart w:id="1143" w:name="_Toc245"/>
      <w:r>
        <w:t>ابن بسام ، محمّد بن احمد قرن 8 ه-</w:t>
      </w:r>
      <w:bookmarkEnd w:id="1143"/>
    </w:p>
    <w:p>
      <w:pPr>
        <w:pStyle w:val="BookText"/>
      </w:pPr>
      <w:r>
        <w:rPr>
          <w:rFonts w:ascii="Amiri" w:hAnsi="Amiri" w:eastAsia="Amiri" w:cs="Amiri"/>
          <w:lang w:bidi="ar-SA"/>
          <w:color w:val="111111"/>
          <w:sz w:val="28"/>
          <w:szCs w:val="28"/>
          <w:rtl/>
        </w:rPr>
        <w:t xml:space="preserve">نهاية الرتبة في طلب الحسبة، ج 16،</w:t>
      </w:r>
    </w:p>
    <w:p>
      <w:pPr>
        <w:pStyle w:val="BookText"/>
      </w:pPr>
      <w:r>
        <w:rPr>
          <w:rFonts w:ascii="IRNazanin" w:hAnsi="IRNazanin" w:eastAsia="IRNazanin" w:cs="IRNazanin"/>
          <w:lang w:bidi="fa-IR"/>
          <w:color w:val="111111"/>
          <w:sz w:val="28"/>
          <w:szCs w:val="28"/>
          <w:rtl/>
        </w:rPr>
        <w:t xml:space="preserve">ص 493 .</w:t>
      </w:r>
    </w:p>
    <w:p>
      <w:pPr>
        <w:pStyle w:val="Heading2"/>
      </w:pPr>
      <w:bookmarkStart w:id="1144" w:name="_Toc246"/>
      <w:r>
        <w:t>ابن بسطام ، حسين بن بسطام، قرن 4 ه-</w:t>
      </w:r>
      <w:bookmarkEnd w:id="1144"/>
    </w:p>
    <w:p>
      <w:pPr>
        <w:pStyle w:val="BookText"/>
      </w:pPr>
      <w:r>
        <w:rPr>
          <w:rFonts w:ascii="Amiri" w:hAnsi="Amiri" w:eastAsia="Amiri" w:cs="Amiri"/>
          <w:lang w:bidi="ar-SA"/>
          <w:color w:val="111111"/>
          <w:sz w:val="28"/>
          <w:szCs w:val="28"/>
          <w:rtl/>
        </w:rPr>
        <w:t xml:space="preserve">طب الائمة، ج 10، ص 758.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7742_69416"/>
    <w:bookmarkEnd w:id="42"/>
    <w:p>
      <w:pPr>
        <w:pStyle w:val="BookText"/>
      </w:pPr>
      <w:r>
        <w:rPr>
          <w:rFonts w:ascii="Amiri" w:hAnsi="Amiri" w:eastAsia="Amiri" w:cs="Amiri"/>
          <w:lang w:bidi="ar-SA"/>
          <w:color w:val="111111"/>
          <w:sz w:val="28"/>
          <w:szCs w:val="28"/>
          <w:rtl/>
        </w:rPr>
        <w:t xml:space="preserve">ابن بشار انباري ، محمد بن قاسم- ابن</w:t>
      </w:r>
    </w:p>
    <w:p>
      <w:pPr>
        <w:pStyle w:val="BookText"/>
      </w:pPr>
      <w:r>
        <w:rPr>
          <w:rFonts w:ascii="Amiri" w:hAnsi="Amiri" w:eastAsia="Amiri" w:cs="Amiri"/>
          <w:lang w:bidi="ar-SA"/>
          <w:color w:val="111111"/>
          <w:sz w:val="28"/>
          <w:szCs w:val="28"/>
          <w:rtl/>
        </w:rPr>
        <w:t xml:space="preserve">انباري ، محمد بن قاسم</w:t>
      </w:r>
    </w:p>
    <w:p>
      <w:pPr>
        <w:pStyle w:val="BookText"/>
      </w:pPr>
      <w:r>
        <w:rPr>
          <w:rFonts w:ascii="Amiri" w:hAnsi="Amiri" w:eastAsia="Amiri" w:cs="Amiri"/>
          <w:lang w:bidi="ar-SA"/>
          <w:color w:val="111111"/>
          <w:sz w:val="28"/>
          <w:szCs w:val="28"/>
          <w:rtl/>
        </w:rPr>
        <w:t xml:space="preserve">ابن بشر ، ابوعثمان اسرائيلي- اسرائيلي</w:t>
      </w:r>
    </w:p>
    <w:p>
      <w:pPr>
        <w:pStyle w:val="BookText"/>
      </w:pPr>
      <w:r>
        <w:rPr>
          <w:rFonts w:ascii="IRNazanin" w:hAnsi="IRNazanin" w:eastAsia="IRNazanin" w:cs="IRNazanin"/>
          <w:lang w:bidi="fa-IR"/>
          <w:color w:val="111111"/>
          <w:sz w:val="28"/>
          <w:szCs w:val="28"/>
          <w:rtl/>
        </w:rPr>
        <w:t xml:space="preserve">سهل بن بشر</w:t>
      </w:r>
    </w:p>
    <w:p>
      <w:pPr>
        <w:pStyle w:val="Heading2"/>
      </w:pPr>
      <w:bookmarkStart w:id="1145" w:name="_Toc247"/>
      <w:r>
        <w:t>ابن بشران ، عبدالملك بن محمّد 339 -</w:t>
      </w:r>
      <w:bookmarkEnd w:id="1145"/>
    </w:p>
    <w:p>
      <w:pPr>
        <w:pStyle w:val="BookText"/>
      </w:pPr>
      <w:r>
        <w:rPr>
          <w:rFonts w:ascii="IRNazanin" w:hAnsi="IRNazanin" w:eastAsia="IRNazanin" w:cs="IRNazanin"/>
          <w:lang w:bidi="fa-IR"/>
          <w:color w:val="111111"/>
          <w:sz w:val="28"/>
          <w:szCs w:val="28"/>
          <w:rtl/>
        </w:rPr>
        <w:t xml:space="preserve">430؟ ه-</w:t>
      </w:r>
    </w:p>
    <w:p>
      <w:pPr>
        <w:pStyle w:val="BookText"/>
      </w:pPr>
      <w:r>
        <w:rPr>
          <w:rFonts w:ascii="Amiri" w:hAnsi="Amiri" w:eastAsia="Amiri" w:cs="Amiri"/>
          <w:lang w:bidi="ar-SA"/>
          <w:color w:val="111111"/>
          <w:sz w:val="28"/>
          <w:szCs w:val="28"/>
          <w:rtl/>
        </w:rPr>
        <w:t xml:space="preserve">1 .اسلام كعب بن زهير و قصيدته</w:t>
      </w:r>
    </w:p>
    <w:p>
      <w:pPr>
        <w:pStyle w:val="BookText"/>
      </w:pPr>
      <w:r>
        <w:rPr>
          <w:rFonts w:ascii="IRNazanin" w:hAnsi="IRNazanin" w:eastAsia="IRNazanin" w:cs="IRNazanin"/>
          <w:lang w:bidi="fa-IR"/>
          <w:color w:val="111111"/>
          <w:sz w:val="28"/>
          <w:szCs w:val="28"/>
          <w:rtl/>
        </w:rPr>
        <w:t xml:space="preserve">ج 2، ص208.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الامالي، ج2، ص718.</w:t>
      </w:r>
    </w:p>
    <w:p>
      <w:pPr>
        <w:pStyle w:val="Heading2"/>
      </w:pPr>
      <w:bookmarkStart w:id="1146" w:name="_Toc248"/>
      <w:r>
        <w:t>ابن بشران ، علي بن محمّد - 415 ه-</w:t>
      </w:r>
      <w:bookmarkEnd w:id="1146"/>
    </w:p>
    <w:p>
      <w:pPr>
        <w:pStyle w:val="BookText"/>
      </w:pPr>
      <w:r>
        <w:rPr>
          <w:rFonts w:ascii="Amiri" w:hAnsi="Amiri" w:eastAsia="Amiri" w:cs="Amiri"/>
          <w:lang w:bidi="ar-SA"/>
          <w:color w:val="111111"/>
          <w:sz w:val="28"/>
          <w:szCs w:val="28"/>
          <w:rtl/>
        </w:rPr>
        <w:t xml:space="preserve">امالي ابن بشران = فوائد ابن بشران</w:t>
      </w:r>
    </w:p>
    <w:p>
      <w:pPr>
        <w:pStyle w:val="BookText"/>
      </w:pPr>
      <w:r>
        <w:rPr>
          <w:rFonts w:ascii="IRNazanin" w:hAnsi="IRNazanin" w:eastAsia="IRNazanin" w:cs="IRNazanin"/>
          <w:lang w:bidi="fa-IR"/>
          <w:color w:val="111111"/>
          <w:sz w:val="28"/>
          <w:szCs w:val="28"/>
          <w:rtl/>
        </w:rPr>
        <w:t xml:space="preserve">ج 2، ص 726 .</w:t>
      </w:r>
    </w:p>
    <w:p>
      <w:pPr>
        <w:pStyle w:val="BookText"/>
      </w:pPr>
      <w:r>
        <w:rPr>
          <w:rFonts w:ascii="Amiri" w:hAnsi="Amiri" w:eastAsia="Amiri" w:cs="Amiri"/>
          <w:lang w:bidi="ar-SA"/>
          <w:color w:val="111111"/>
          <w:sz w:val="28"/>
          <w:szCs w:val="28"/>
          <w:rtl/>
        </w:rPr>
        <w:t xml:space="preserve">ابن بشر ، سهل بن بشر -اسرائيلي ، سهل</w:t>
      </w:r>
    </w:p>
    <w:p>
      <w:pPr>
        <w:pStyle w:val="BookText"/>
      </w:pPr>
      <w:r>
        <w:rPr>
          <w:rFonts w:ascii="IRNazanin" w:hAnsi="IRNazanin" w:eastAsia="IRNazanin" w:cs="IRNazanin"/>
          <w:lang w:bidi="fa-IR"/>
          <w:color w:val="111111"/>
          <w:sz w:val="28"/>
          <w:szCs w:val="28"/>
          <w:rtl/>
        </w:rPr>
        <w:t xml:space="preserve">بن بشر</w:t>
      </w:r>
    </w:p>
    <w:p>
      <w:pPr>
        <w:pStyle w:val="BookText"/>
      </w:pPr>
      <w:r>
        <w:rPr>
          <w:rFonts w:ascii="Amiri" w:hAnsi="Amiri" w:eastAsia="Amiri" w:cs="Amiri"/>
          <w:lang w:bidi="ar-SA"/>
          <w:color w:val="111111"/>
          <w:sz w:val="28"/>
          <w:szCs w:val="28"/>
          <w:rtl/>
        </w:rPr>
        <w:t xml:space="preserve">ابن بشكوال ، ابوالقاسم خلف بن عبد الملك - قرطبي ، خلف بن عبد الملك</w:t>
      </w:r>
    </w:p>
    <w:p>
      <w:pPr>
        <w:pStyle w:val="BookText"/>
      </w:pPr>
      <w:r>
        <w:rPr>
          <w:rFonts w:ascii="Amiri" w:hAnsi="Amiri" w:eastAsia="Amiri" w:cs="Amiri"/>
          <w:lang w:bidi="ar-SA"/>
          <w:color w:val="111111"/>
          <w:sz w:val="28"/>
          <w:szCs w:val="28"/>
          <w:rtl/>
        </w:rPr>
        <w:t xml:space="preserve">ابن بشكوال ، خلف بن عبد الملك - قرطبي</w:t>
      </w:r>
    </w:p>
    <w:p>
      <w:pPr>
        <w:pStyle w:val="BookText"/>
      </w:pPr>
      <w:r>
        <w:rPr>
          <w:rFonts w:ascii="Amiri" w:hAnsi="Amiri" w:eastAsia="Amiri" w:cs="Amiri"/>
          <w:lang w:bidi="ar-SA"/>
          <w:color w:val="111111"/>
          <w:sz w:val="28"/>
          <w:szCs w:val="28"/>
          <w:rtl/>
        </w:rPr>
        <w:t xml:space="preserve">، خلف بن عبدالملك</w:t>
      </w:r>
    </w:p>
    <w:p>
      <w:pPr>
        <w:pStyle w:val="Heading2"/>
      </w:pPr>
      <w:bookmarkStart w:id="1147" w:name="_Toc249"/>
      <w:r>
        <w:t>ابن بطريق يحيى بن حسن، 523-2600ه-</w:t>
      </w:r>
      <w:bookmarkEnd w:id="1147"/>
    </w:p>
    <w:p>
      <w:pPr>
        <w:pStyle w:val="BookText"/>
      </w:pPr>
      <w:r>
        <w:rPr>
          <w:rFonts w:ascii="Amiri" w:hAnsi="Amiri" w:eastAsia="Amiri" w:cs="Amiri"/>
          <w:lang w:bidi="ar-SA"/>
          <w:color w:val="111111"/>
          <w:sz w:val="28"/>
          <w:szCs w:val="28"/>
          <w:rtl/>
        </w:rPr>
        <w:t xml:space="preserve">1 .العمدة في عيون صحاح الاخبار في مناقب امام الابرار، ج 11، ص 304.</w:t>
      </w:r>
    </w:p>
    <w:p>
      <w:pPr>
        <w:pStyle w:val="BookText"/>
      </w:pPr>
      <w:r>
        <w:rPr>
          <w:rFonts w:ascii="Amiri" w:hAnsi="Amiri" w:eastAsia="Amiri" w:cs="Amiri"/>
          <w:lang w:bidi="ar-SA"/>
          <w:color w:val="111111"/>
          <w:sz w:val="28"/>
          <w:szCs w:val="28"/>
          <w:rtl/>
        </w:rPr>
        <w:t xml:space="preserve">2 .المستدرك المختار في مناقب وصي المختار = المستطرف، ج 14،</w:t>
      </w:r>
    </w:p>
    <w:p>
      <w:pPr>
        <w:pStyle w:val="BookText"/>
      </w:pPr>
      <w:r>
        <w:rPr>
          <w:rFonts w:ascii="IRNazanin" w:hAnsi="IRNazanin" w:eastAsia="IRNazanin" w:cs="IRNazanin"/>
          <w:lang w:bidi="fa-IR"/>
          <w:color w:val="111111"/>
          <w:sz w:val="28"/>
          <w:szCs w:val="28"/>
          <w:rtl/>
        </w:rPr>
        <w:t xml:space="preserve">ص 553 .</w:t>
      </w:r>
    </w:p>
    <w:p>
      <w:pPr>
        <w:pStyle w:val="Heading2"/>
      </w:pPr>
      <w:bookmarkStart w:id="1148" w:name="_Toc250"/>
      <w:r>
        <w:t>ابن بطلان ، مختار بن حسن - 458؟ ه-</w:t>
      </w:r>
      <w:bookmarkEnd w:id="1148"/>
    </w:p>
    <w:p>
      <w:pPr>
        <w:pStyle w:val="BookText"/>
      </w:pPr>
      <w:r>
        <w:rPr>
          <w:rFonts w:ascii="IRNazanin" w:hAnsi="IRNazanin" w:eastAsia="IRNazanin" w:cs="IRNazanin"/>
          <w:lang w:bidi="fa-IR"/>
          <w:color w:val="111111"/>
          <w:sz w:val="28"/>
          <w:szCs w:val="28"/>
          <w:rtl/>
        </w:rPr>
        <w:t xml:space="preserve">1 .الاعتراض على من قال ان الفروج</w:t>
      </w:r>
    </w:p>
    <w:p>
      <w:pPr>
        <w:pStyle w:val="BookText"/>
      </w:pPr>
      <w:r>
        <w:rPr>
          <w:rFonts w:ascii="Amiri" w:hAnsi="Amiri" w:eastAsia="Amiri" w:cs="Amiri"/>
          <w:lang w:bidi="ar-SA"/>
          <w:color w:val="111111"/>
          <w:sz w:val="28"/>
          <w:szCs w:val="28"/>
          <w:rtl/>
        </w:rPr>
        <w:t xml:space="preserve">احر من الفرخ( مقاله في)، ج2،</w:t>
      </w:r>
    </w:p>
    <w:p>
      <w:pPr>
        <w:pStyle w:val="BookText"/>
      </w:pPr>
      <w:r>
        <w:rPr>
          <w:rFonts w:ascii="IRNazanin" w:hAnsi="IRNazanin" w:eastAsia="IRNazanin" w:cs="IRNazanin"/>
          <w:lang w:bidi="fa-IR"/>
          <w:color w:val="111111"/>
          <w:sz w:val="28"/>
          <w:szCs w:val="28"/>
          <w:rtl/>
        </w:rPr>
        <w:t xml:space="preserve">ص 497 .</w:t>
      </w:r>
    </w:p>
    <w:p>
      <w:pPr>
        <w:pStyle w:val="BookText"/>
      </w:pPr>
      <w:r>
        <w:rPr>
          <w:rFonts w:ascii="Amiri" w:hAnsi="Amiri" w:eastAsia="Amiri" w:cs="Amiri"/>
          <w:lang w:bidi="ar-SA"/>
          <w:color w:val="111111"/>
          <w:sz w:val="28"/>
          <w:szCs w:val="28"/>
          <w:rtl/>
        </w:rPr>
        <w:t xml:space="preserve">2 .دعوة الاطباء على مذهب صاحب</w:t>
      </w:r>
    </w:p>
    <w:p>
      <w:pPr>
        <w:pStyle w:val="BookText"/>
      </w:pPr>
      <w:r>
        <w:rPr>
          <w:rFonts w:ascii="Amiri" w:hAnsi="Amiri" w:eastAsia="Amiri" w:cs="Amiri"/>
          <w:lang w:bidi="ar-SA"/>
          <w:color w:val="111111"/>
          <w:sz w:val="28"/>
          <w:szCs w:val="28"/>
          <w:rtl/>
        </w:rPr>
        <w:t xml:space="preserve">كليلة ودمنة، ج 7، ص 417.</w:t>
      </w:r>
    </w:p>
    <w:p>
      <w:pPr>
        <w:pStyle w:val="BookText"/>
      </w:pPr>
      <w:r>
        <w:rPr>
          <w:rFonts w:ascii="Amiri" w:hAnsi="Amiri" w:eastAsia="Amiri" w:cs="Amiri"/>
          <w:lang w:bidi="ar-SA"/>
          <w:color w:val="111111"/>
          <w:sz w:val="28"/>
          <w:szCs w:val="28"/>
          <w:rtl/>
        </w:rPr>
        <w:t xml:space="preserve">3 .الفروج (رسالة في)، ج 11، ص812.</w:t>
      </w:r>
    </w:p>
    <w:p>
      <w:pPr>
        <w:pStyle w:val="BookText"/>
      </w:pPr>
      <w:r>
        <w:rPr>
          <w:rFonts w:ascii="Amiri" w:hAnsi="Amiri" w:eastAsia="Amiri" w:cs="Amiri"/>
          <w:lang w:bidi="ar-SA"/>
          <w:color w:val="111111"/>
          <w:sz w:val="28"/>
          <w:szCs w:val="28"/>
          <w:rtl/>
        </w:rPr>
        <w:t xml:space="preserve">4 .المقالة المصرية في مناقضات علي بن</w:t>
      </w:r>
    </w:p>
    <w:p>
      <w:pPr>
        <w:pStyle w:val="BookText"/>
      </w:pPr>
      <w:r>
        <w:rPr>
          <w:rFonts w:ascii="IRNazanin" w:hAnsi="IRNazanin" w:eastAsia="IRNazanin" w:cs="IRNazanin"/>
          <w:lang w:bidi="fa-IR"/>
          <w:color w:val="111111"/>
          <w:sz w:val="28"/>
          <w:szCs w:val="28"/>
          <w:rtl/>
        </w:rPr>
        <w:t xml:space="preserve">رضوان، ج 15، ص 286.</w:t>
      </w:r>
    </w:p>
    <w:p>
      <w:pPr>
        <w:pStyle w:val="Heading2"/>
      </w:pPr>
      <w:bookmarkStart w:id="1149" w:name="_Toc251"/>
      <w:r>
        <w:t>ابن بطه ، محمّد بن جعفر قرن 4 ه-</w:t>
      </w:r>
      <w:bookmarkEnd w:id="1149"/>
    </w:p>
    <w:p>
      <w:pPr>
        <w:pStyle w:val="BookText"/>
      </w:pPr>
      <w:r>
        <w:rPr>
          <w:rFonts w:ascii="Amiri" w:hAnsi="Amiri" w:eastAsia="Amiri" w:cs="Amiri"/>
          <w:lang w:bidi="ar-SA"/>
          <w:color w:val="111111"/>
          <w:sz w:val="28"/>
          <w:szCs w:val="28"/>
          <w:rtl/>
        </w:rPr>
        <w:t xml:space="preserve">الجامع في الحديث، ج 5، ص 315.</w:t>
      </w:r>
    </w:p>
    <w:p>
      <w:pPr>
        <w:pStyle w:val="Heading2"/>
      </w:pPr>
      <w:bookmarkStart w:id="1150" w:name="_Toc252"/>
      <w:r>
        <w:t>ابن بغوي ، احمد بن محمّد - 295 ؟ ه-</w:t>
      </w:r>
      <w:bookmarkEnd w:id="1150"/>
    </w:p>
    <w:p>
      <w:pPr>
        <w:pStyle w:val="BookText"/>
      </w:pPr>
      <w:r>
        <w:rPr>
          <w:rFonts w:ascii="IRNazanin" w:hAnsi="IRNazanin" w:eastAsia="IRNazanin" w:cs="IRNazanin"/>
          <w:lang w:bidi="fa-IR"/>
          <w:color w:val="111111"/>
          <w:sz w:val="28"/>
          <w:szCs w:val="28"/>
          <w:rtl/>
        </w:rPr>
        <w:t xml:space="preserve">مقامات القلوب، ج 15، ص 307.</w:t>
      </w:r>
    </w:p>
    <w:p>
      <w:pPr>
        <w:pStyle w:val="Heading2"/>
      </w:pPr>
      <w:bookmarkStart w:id="1151" w:name="_Toc253"/>
      <w:r>
        <w:t>ابن بقي ، احمد بن يزيد 537 - 625 ه-</w:t>
      </w:r>
      <w:bookmarkEnd w:id="1151"/>
    </w:p>
    <w:p>
      <w:pPr>
        <w:pStyle w:val="BookText"/>
      </w:pPr>
      <w:r>
        <w:rPr>
          <w:rFonts w:ascii="Amiri" w:hAnsi="Amiri" w:eastAsia="Amiri" w:cs="Amiri"/>
          <w:lang w:bidi="ar-SA"/>
          <w:color w:val="111111"/>
          <w:sz w:val="28"/>
          <w:szCs w:val="28"/>
          <w:rtl/>
        </w:rPr>
        <w:t xml:space="preserve">مشيخة ابن بقي، ج 14 ، ص 650.</w:t>
      </w:r>
    </w:p>
    <w:p>
      <w:pPr>
        <w:pStyle w:val="BookText"/>
      </w:pPr>
      <w:r>
        <w:rPr>
          <w:rFonts w:ascii="Amiri" w:hAnsi="Amiri" w:eastAsia="Amiri" w:cs="Amiri"/>
          <w:lang w:bidi="ar-SA"/>
          <w:color w:val="111111"/>
          <w:sz w:val="28"/>
          <w:szCs w:val="28"/>
          <w:rtl/>
        </w:rPr>
        <w:t xml:space="preserve">ابن بقيره ، حسن بن ابي بكر قدسي</w:t>
      </w:r>
    </w:p>
    <w:p>
      <w:pPr>
        <w:pStyle w:val="BookText"/>
      </w:pPr>
      <w:r>
        <w:rPr>
          <w:rFonts w:ascii="Amiri" w:hAnsi="Amiri" w:eastAsia="Amiri" w:cs="Amiri"/>
          <w:lang w:bidi="ar-SA"/>
          <w:color w:val="111111"/>
          <w:sz w:val="28"/>
          <w:szCs w:val="28"/>
          <w:rtl/>
        </w:rPr>
        <w:t xml:space="preserve">حسن بن ابي بكر</w:t>
      </w:r>
    </w:p>
    <w:p>
      <w:pPr>
        <w:pStyle w:val="Heading2"/>
      </w:pPr>
      <w:bookmarkStart w:id="1152" w:name="_Toc254"/>
      <w:r>
        <w:t>ابن بكاء، عبدالمعين بن احمد - 1040 ه-</w:t>
      </w:r>
      <w:bookmarkEnd w:id="1152"/>
    </w:p>
    <w:p>
      <w:pPr>
        <w:pStyle w:val="BookText"/>
      </w:pPr>
      <w:r>
        <w:rPr>
          <w:rFonts w:ascii="Amiri" w:hAnsi="Amiri" w:eastAsia="Amiri" w:cs="Amiri"/>
          <w:lang w:bidi="ar-SA"/>
          <w:color w:val="111111"/>
          <w:sz w:val="28"/>
          <w:szCs w:val="28"/>
          <w:rtl/>
        </w:rPr>
        <w:t xml:space="preserve">1 .الطراز الاسما على كنز المعما</w:t>
      </w:r>
    </w:p>
    <w:p>
      <w:pPr>
        <w:pStyle w:val="BookText"/>
      </w:pPr>
      <w:r>
        <w:rPr>
          <w:rFonts w:ascii="IRNazanin" w:hAnsi="IRNazanin" w:eastAsia="IRNazanin" w:cs="IRNazanin"/>
          <w:lang w:bidi="fa-IR"/>
          <w:color w:val="111111"/>
          <w:sz w:val="28"/>
          <w:szCs w:val="28"/>
          <w:rtl/>
        </w:rPr>
        <w:t xml:space="preserve">ج 10، ص 806.</w:t>
      </w:r>
    </w:p>
    <w:p>
      <w:pPr>
        <w:pStyle w:val="BookText"/>
      </w:pPr>
      <w:r>
        <w:rPr>
          <w:rFonts w:ascii="Amiri" w:hAnsi="Amiri" w:eastAsia="Amiri" w:cs="Amiri"/>
          <w:lang w:bidi="ar-SA"/>
          <w:color w:val="111111"/>
          <w:sz w:val="28"/>
          <w:szCs w:val="28"/>
          <w:rtl/>
        </w:rPr>
        <w:t xml:space="preserve">2 .غواني الاشواق في مغاني العشاق</w:t>
      </w:r>
    </w:p>
    <w:p>
      <w:pPr>
        <w:pStyle w:val="BookText"/>
      </w:pPr>
      <w:r>
        <w:rPr>
          <w:rFonts w:ascii="IRNazanin" w:hAnsi="IRNazanin" w:eastAsia="IRNazanin" w:cs="IRNazanin"/>
          <w:lang w:bidi="fa-IR"/>
          <w:color w:val="111111"/>
          <w:sz w:val="28"/>
          <w:szCs w:val="28"/>
          <w:rtl/>
        </w:rPr>
        <w:t xml:space="preserve">ج 11، ص 542.3</w:t>
      </w:r>
    </w:p>
    <w:p>
      <w:pPr>
        <w:pStyle w:val="BookText"/>
      </w:pPr>
      <w:r>
        <w:rPr>
          <w:rFonts w:ascii="Amiri" w:hAnsi="Amiri" w:eastAsia="Amiri" w:cs="Amiri"/>
          <w:lang w:bidi="ar-SA"/>
          <w:color w:val="111111"/>
          <w:sz w:val="28"/>
          <w:szCs w:val="28"/>
          <w:rtl/>
        </w:rPr>
        <w:t xml:space="preserve">3.فن المعميات (رسالة في)، ج 12،</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Amiri" w:hAnsi="Amiri" w:eastAsia="Amiri" w:cs="Amiri"/>
          <w:lang w:bidi="ar-SA"/>
          <w:color w:val="111111"/>
          <w:sz w:val="28"/>
          <w:szCs w:val="28"/>
          <w:rtl/>
        </w:rPr>
        <w:t xml:space="preserve">ابن بلال ، احمد بن محمّد -مرسي</w:t>
      </w:r>
    </w:p>
    <w:p>
      <w:pPr>
        <w:pStyle w:val="BookText"/>
      </w:pPr>
      <w:r>
        <w:rPr>
          <w:rFonts w:ascii="Amiri" w:hAnsi="Amiri" w:eastAsia="Amiri" w:cs="Amiri"/>
          <w:lang w:bidi="ar-SA"/>
          <w:color w:val="111111"/>
          <w:sz w:val="28"/>
          <w:szCs w:val="28"/>
          <w:rtl/>
        </w:rPr>
        <w:t xml:space="preserve">بن محمّد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7742_69418"/>
    <w:bookmarkEnd w:id="43"/>
    <w:p>
      <w:pPr>
        <w:pStyle w:val="Heading2"/>
      </w:pPr>
      <w:bookmarkStart w:id="1153" w:name="_Toc255"/>
      <w:r>
        <w:t>ابن بلبان ، علي بن احمد - 684 ه-</w:t>
      </w:r>
      <w:bookmarkEnd w:id="1153"/>
    </w:p>
    <w:p>
      <w:pPr>
        <w:pStyle w:val="BookText"/>
      </w:pPr>
      <w:r>
        <w:rPr>
          <w:rFonts w:ascii="Amiri" w:hAnsi="Amiri" w:eastAsia="Amiri" w:cs="Amiri"/>
          <w:lang w:bidi="ar-SA"/>
          <w:color w:val="111111"/>
          <w:sz w:val="28"/>
          <w:szCs w:val="28"/>
          <w:rtl/>
        </w:rPr>
        <w:t xml:space="preserve">الأحاديث العوال من المصافحات و</w:t>
      </w:r>
    </w:p>
    <w:p>
      <w:pPr>
        <w:pStyle w:val="BookText"/>
      </w:pPr>
      <w:r>
        <w:rPr>
          <w:rFonts w:ascii="IRNazanin" w:hAnsi="IRNazanin" w:eastAsia="IRNazanin" w:cs="IRNazanin"/>
          <w:lang w:bidi="fa-IR"/>
          <w:color w:val="111111"/>
          <w:sz w:val="28"/>
          <w:szCs w:val="28"/>
          <w:rtl/>
        </w:rPr>
        <w:t xml:space="preserve">الموافقات و الأبدال، ج 1، ص 411.</w:t>
      </w:r>
    </w:p>
    <w:p>
      <w:pPr>
        <w:pStyle w:val="Heading2"/>
      </w:pPr>
      <w:bookmarkStart w:id="1154" w:name="_Toc256"/>
      <w:r>
        <w:t>ابن بلبان ، علي بن بلبان 675 - 739 ه-</w:t>
      </w:r>
      <w:bookmarkEnd w:id="1154"/>
    </w:p>
    <w:p>
      <w:pPr>
        <w:pStyle w:val="BookText"/>
      </w:pPr>
      <w:r>
        <w:rPr>
          <w:rFonts w:ascii="Amiri" w:hAnsi="Amiri" w:eastAsia="Amiri" w:cs="Amiri"/>
          <w:lang w:bidi="ar-SA"/>
          <w:color w:val="111111"/>
          <w:sz w:val="28"/>
          <w:szCs w:val="28"/>
          <w:rtl/>
        </w:rPr>
        <w:t xml:space="preserve">1 .تحفة الصديق في فضائل ابي بكر</w:t>
      </w:r>
    </w:p>
    <w:p>
      <w:pPr>
        <w:pStyle w:val="BookText"/>
      </w:pPr>
      <w:r>
        <w:rPr>
          <w:rFonts w:ascii="Amiri" w:hAnsi="Amiri" w:eastAsia="Amiri" w:cs="Amiri"/>
          <w:lang w:bidi="ar-SA"/>
          <w:color w:val="111111"/>
          <w:sz w:val="28"/>
          <w:szCs w:val="28"/>
          <w:rtl/>
        </w:rPr>
        <w:t xml:space="preserve">الصديق، ج3، ص 857.</w:t>
      </w:r>
    </w:p>
    <w:p>
      <w:pPr>
        <w:pStyle w:val="BookText"/>
      </w:pPr>
      <w:r>
        <w:rPr>
          <w:rFonts w:ascii="Amiri" w:hAnsi="Amiri" w:eastAsia="Amiri" w:cs="Amiri"/>
          <w:lang w:bidi="ar-SA"/>
          <w:color w:val="111111"/>
          <w:sz w:val="28"/>
          <w:szCs w:val="28"/>
          <w:rtl/>
        </w:rPr>
        <w:t xml:space="preserve">.2 .تحفة الصغير، ج 3، ص 858.</w:t>
      </w:r>
    </w:p>
    <w:p>
      <w:pPr>
        <w:pStyle w:val="BookText"/>
      </w:pPr>
      <w:r>
        <w:rPr>
          <w:rFonts w:ascii="Amiri" w:hAnsi="Amiri" w:eastAsia="Amiri" w:cs="Amiri"/>
          <w:lang w:bidi="ar-SA"/>
          <w:color w:val="111111"/>
          <w:sz w:val="28"/>
          <w:szCs w:val="28"/>
          <w:rtl/>
        </w:rPr>
        <w:t xml:space="preserve">ابن بلبان ، محمّد بن بلبان -بلباني ،</w:t>
      </w:r>
    </w:p>
    <w:p>
      <w:pPr>
        <w:pStyle w:val="BookText"/>
      </w:pPr>
      <w:r>
        <w:rPr>
          <w:rFonts w:ascii="IRNazanin" w:hAnsi="IRNazanin" w:eastAsia="IRNazanin" w:cs="IRNazanin"/>
          <w:lang w:bidi="fa-IR"/>
          <w:color w:val="111111"/>
          <w:sz w:val="28"/>
          <w:szCs w:val="28"/>
          <w:rtl/>
        </w:rPr>
        <w:t xml:space="preserve">محمّد بن بدرالدین</w:t>
      </w:r>
    </w:p>
    <w:p>
      <w:pPr>
        <w:pStyle w:val="BookText"/>
      </w:pPr>
      <w:r>
        <w:rPr>
          <w:rFonts w:ascii="Amiri" w:hAnsi="Amiri" w:eastAsia="Amiri" w:cs="Amiri"/>
          <w:lang w:bidi="ar-SA"/>
          <w:color w:val="111111"/>
          <w:sz w:val="28"/>
          <w:szCs w:val="28"/>
          <w:rtl/>
        </w:rPr>
        <w:t xml:space="preserve">ابن بلبان ، محمّد بن عمر- كفيري</w:t>
      </w:r>
    </w:p>
    <w:p>
      <w:pPr>
        <w:pStyle w:val="BookText"/>
      </w:pPr>
      <w:r>
        <w:rPr>
          <w:rFonts w:ascii="Amiri" w:hAnsi="Amiri" w:eastAsia="Amiri" w:cs="Amiri"/>
          <w:lang w:bidi="ar-SA"/>
          <w:color w:val="111111"/>
          <w:sz w:val="28"/>
          <w:szCs w:val="28"/>
          <w:rtl/>
        </w:rPr>
        <w:t xml:space="preserve">محمّد بن عمر</w:t>
      </w:r>
    </w:p>
    <w:p>
      <w:pPr>
        <w:pStyle w:val="Heading2"/>
      </w:pPr>
      <w:bookmarkStart w:id="1155" w:name="_Toc257"/>
      <w:r>
        <w:t>ابن بلدجي ، عبدالله بن محمود، 599 -</w:t>
      </w:r>
      <w:bookmarkEnd w:id="1155"/>
    </w:p>
    <w:p>
      <w:pPr>
        <w:pStyle w:val="BookText"/>
      </w:pPr>
      <w:r>
        <w:rPr>
          <w:rFonts w:ascii="IRNazanin" w:hAnsi="IRNazanin" w:eastAsia="IRNazanin" w:cs="IRNazanin"/>
          <w:lang w:bidi="fa-IR"/>
          <w:color w:val="111111"/>
          <w:sz w:val="28"/>
          <w:szCs w:val="28"/>
          <w:rtl/>
        </w:rPr>
        <w:t xml:space="preserve">683 ه-</w:t>
      </w:r>
    </w:p>
    <w:p>
      <w:pPr>
        <w:pStyle w:val="BookText"/>
      </w:pPr>
      <w:r>
        <w:rPr>
          <w:rFonts w:ascii="Amiri" w:hAnsi="Amiri" w:eastAsia="Amiri" w:cs="Amiri"/>
          <w:lang w:bidi="ar-SA"/>
          <w:color w:val="111111"/>
          <w:sz w:val="28"/>
          <w:szCs w:val="28"/>
          <w:rtl/>
        </w:rPr>
        <w:t xml:space="preserve">1 .الاختيار في شرح المختار = الاختيار</w:t>
      </w:r>
    </w:p>
    <w:p>
      <w:pPr>
        <w:pStyle w:val="BookText"/>
      </w:pPr>
      <w:r>
        <w:rPr>
          <w:rFonts w:ascii="Amiri" w:hAnsi="Amiri" w:eastAsia="Amiri" w:cs="Amiri"/>
          <w:lang w:bidi="ar-SA"/>
          <w:color w:val="111111"/>
          <w:sz w:val="28"/>
          <w:szCs w:val="28"/>
          <w:rtl/>
        </w:rPr>
        <w:t xml:space="preserve">التعليل المختار ج 1 ص 561.</w:t>
      </w:r>
    </w:p>
    <w:p>
      <w:pPr>
        <w:pStyle w:val="BookText"/>
      </w:pPr>
      <w:r>
        <w:rPr>
          <w:rFonts w:ascii="Amiri" w:hAnsi="Amiri" w:eastAsia="Amiri" w:cs="Amiri"/>
          <w:lang w:bidi="ar-SA"/>
          <w:color w:val="111111"/>
          <w:sz w:val="28"/>
          <w:szCs w:val="28"/>
          <w:rtl/>
        </w:rPr>
        <w:t xml:space="preserve">2 .المختار في فروع الحنفية، ج 14،</w:t>
      </w:r>
    </w:p>
    <w:p>
      <w:pPr>
        <w:pStyle w:val="BookText"/>
      </w:pPr>
      <w:r>
        <w:rPr>
          <w:rFonts w:ascii="IRNazanin" w:hAnsi="IRNazanin" w:eastAsia="IRNazanin" w:cs="IRNazanin"/>
          <w:lang w:bidi="fa-IR"/>
          <w:color w:val="111111"/>
          <w:sz w:val="28"/>
          <w:szCs w:val="28"/>
          <w:rtl/>
        </w:rPr>
        <w:t xml:space="preserve">ص 155 .</w:t>
      </w:r>
    </w:p>
    <w:p>
      <w:pPr>
        <w:pStyle w:val="BookText"/>
      </w:pPr>
      <w:r>
        <w:rPr>
          <w:rFonts w:ascii="IRNazanin" w:hAnsi="IRNazanin" w:eastAsia="IRNazanin" w:cs="IRNazanin"/>
          <w:lang w:bidi="fa-IR"/>
          <w:color w:val="111111"/>
          <w:sz w:val="28"/>
          <w:szCs w:val="28"/>
          <w:rtl/>
        </w:rPr>
        <w:t xml:space="preserve">3 .المختار للفتوى، ج 14، ص 158.</w:t>
      </w:r>
    </w:p>
    <w:p>
      <w:pPr>
        <w:pStyle w:val="BookText"/>
      </w:pPr>
      <w:r>
        <w:rPr>
          <w:rFonts w:ascii="IRNazanin" w:hAnsi="IRNazanin" w:eastAsia="IRNazanin" w:cs="IRNazanin"/>
          <w:lang w:bidi="fa-IR"/>
          <w:color w:val="111111"/>
          <w:sz w:val="28"/>
          <w:szCs w:val="28"/>
          <w:rtl/>
        </w:rPr>
        <w:t xml:space="preserve">ابن بلده بدخشان ، محمّد بن</w:t>
      </w:r>
    </w:p>
    <w:p>
      <w:pPr>
        <w:pStyle w:val="BookText"/>
      </w:pPr>
      <w:r>
        <w:rPr>
          <w:rFonts w:ascii="Amiri" w:hAnsi="Amiri" w:eastAsia="Amiri" w:cs="Amiri"/>
          <w:lang w:bidi="ar-SA"/>
          <w:color w:val="111111"/>
          <w:sz w:val="28"/>
          <w:szCs w:val="28"/>
          <w:rtl/>
        </w:rPr>
        <w:t xml:space="preserve">محمّد -بدخشاني ، محمّد بن محمّد</w:t>
      </w:r>
    </w:p>
    <w:p>
      <w:pPr>
        <w:pStyle w:val="BookText"/>
      </w:pPr>
      <w:r>
        <w:rPr>
          <w:rFonts w:ascii="IRNazanin" w:hAnsi="IRNazanin" w:eastAsia="IRNazanin" w:cs="IRNazanin"/>
          <w:lang w:bidi="fa-IR"/>
          <w:color w:val="111111"/>
          <w:sz w:val="28"/>
          <w:szCs w:val="28"/>
          <w:rtl/>
        </w:rPr>
        <w:t xml:space="preserve">ابن بناء ، احمد بن محمّد- بناء ، احمد</w:t>
      </w:r>
    </w:p>
    <w:p>
      <w:pPr>
        <w:pStyle w:val="BookText"/>
      </w:pPr>
      <w:r>
        <w:rPr>
          <w:rFonts w:ascii="Amiri" w:hAnsi="Amiri" w:eastAsia="Amiri" w:cs="Amiri"/>
          <w:lang w:bidi="ar-SA"/>
          <w:color w:val="111111"/>
          <w:sz w:val="28"/>
          <w:szCs w:val="28"/>
          <w:rtl/>
        </w:rPr>
        <w:t xml:space="preserve">بن محمّد</w:t>
      </w:r>
    </w:p>
    <w:p>
      <w:pPr>
        <w:pStyle w:val="Heading2"/>
      </w:pPr>
      <w:bookmarkStart w:id="1156" w:name="_Toc258"/>
      <w:r>
        <w:t>ابن بناء ، احمد بن محمّد، 2654-2721ه-</w:t>
      </w:r>
      <w:bookmarkEnd w:id="1156"/>
    </w:p>
    <w:p>
      <w:pPr>
        <w:pStyle w:val="BookText"/>
      </w:pPr>
      <w:r>
        <w:rPr>
          <w:rFonts w:ascii="Amiri" w:hAnsi="Amiri" w:eastAsia="Amiri" w:cs="Amiri"/>
          <w:lang w:bidi="ar-SA"/>
          <w:color w:val="111111"/>
          <w:sz w:val="28"/>
          <w:szCs w:val="28"/>
          <w:rtl/>
        </w:rPr>
        <w:t xml:space="preserve">زايرجة العالم، ج8، ص 547.</w:t>
      </w:r>
    </w:p>
    <w:p>
      <w:pPr>
        <w:pStyle w:val="Heading2"/>
      </w:pPr>
      <w:bookmarkStart w:id="1157" w:name="_Toc259"/>
      <w:r>
        <w:t>ابن بنا ، احمد بن حسن - 527 ه-</w:t>
      </w:r>
      <w:bookmarkEnd w:id="1157"/>
    </w:p>
    <w:p>
      <w:pPr>
        <w:pStyle w:val="BookText"/>
      </w:pPr>
      <w:r>
        <w:rPr>
          <w:rFonts w:ascii="Amiri" w:hAnsi="Amiri" w:eastAsia="Amiri" w:cs="Amiri"/>
          <w:lang w:bidi="ar-SA"/>
          <w:color w:val="111111"/>
          <w:sz w:val="28"/>
          <w:szCs w:val="28"/>
          <w:rtl/>
        </w:rPr>
        <w:t xml:space="preserve">مشيخة ابن البناء، ج 14 ، ص 650 .</w:t>
      </w:r>
    </w:p>
    <w:p>
      <w:pPr>
        <w:pStyle w:val="BookText"/>
      </w:pPr>
      <w:r>
        <w:rPr>
          <w:rFonts w:ascii="Amiri" w:hAnsi="Amiri" w:eastAsia="Amiri" w:cs="Amiri"/>
          <w:lang w:bidi="ar-SA"/>
          <w:color w:val="111111"/>
          <w:sz w:val="28"/>
          <w:szCs w:val="28"/>
          <w:rtl/>
        </w:rPr>
        <w:t xml:space="preserve">ابن بنان انباري ، محمّد بن ابي الفضل- انباري ، محمّد بن محمّد</w:t>
      </w:r>
    </w:p>
    <w:p>
      <w:pPr>
        <w:pStyle w:val="BookText"/>
      </w:pPr>
      <w:r>
        <w:rPr>
          <w:rFonts w:ascii="IRNazanin" w:hAnsi="IRNazanin" w:eastAsia="IRNazanin" w:cs="IRNazanin"/>
          <w:lang w:bidi="fa-IR"/>
          <w:color w:val="111111"/>
          <w:sz w:val="28"/>
          <w:szCs w:val="28"/>
          <w:rtl/>
        </w:rPr>
        <w:t xml:space="preserve">ابن بنت مثلق ، شهاب الدین احمد شهاب الدین احمد- بن بنت المثلق</w:t>
      </w:r>
    </w:p>
    <w:p>
      <w:pPr>
        <w:pStyle w:val="BookText"/>
      </w:pPr>
      <w:r>
        <w:rPr>
          <w:rFonts w:ascii="Amiri" w:hAnsi="Amiri" w:eastAsia="Amiri" w:cs="Amiri"/>
          <w:lang w:bidi="ar-SA"/>
          <w:color w:val="111111"/>
          <w:sz w:val="28"/>
          <w:szCs w:val="28"/>
          <w:rtl/>
        </w:rPr>
        <w:t xml:space="preserve">ابن بنت منيع ، عبدالله بن محمّد- بغوي</w:t>
      </w:r>
    </w:p>
    <w:p>
      <w:pPr>
        <w:pStyle w:val="BookText"/>
      </w:pPr>
      <w:r>
        <w:rPr>
          <w:rFonts w:ascii="IRNazanin" w:hAnsi="IRNazanin" w:eastAsia="IRNazanin" w:cs="IRNazanin"/>
          <w:lang w:bidi="fa-IR"/>
          <w:color w:val="111111"/>
          <w:sz w:val="28"/>
          <w:szCs w:val="28"/>
          <w:rtl/>
        </w:rPr>
        <w:t xml:space="preserve">، عبدالله بن محمّد</w:t>
      </w:r>
    </w:p>
    <w:p>
      <w:pPr>
        <w:pStyle w:val="Heading2"/>
      </w:pPr>
      <w:bookmarkStart w:id="1158" w:name="_Toc260"/>
      <w:r>
        <w:t>ابن بواب ، علي بن هلال - 423 ؟ ه-</w:t>
      </w:r>
      <w:bookmarkEnd w:id="1158"/>
    </w:p>
    <w:p>
      <w:pPr>
        <w:pStyle w:val="BookText"/>
      </w:pPr>
      <w:r>
        <w:rPr>
          <w:rFonts w:ascii="Amiri" w:hAnsi="Amiri" w:eastAsia="Amiri" w:cs="Amiri"/>
          <w:lang w:bidi="ar-SA"/>
          <w:color w:val="111111"/>
          <w:sz w:val="28"/>
          <w:szCs w:val="28"/>
          <w:rtl/>
        </w:rPr>
        <w:t xml:space="preserve">أوراق أدبية، ج3، ص 68.</w:t>
      </w:r>
    </w:p>
    <w:p>
      <w:pPr>
        <w:pStyle w:val="BookText"/>
      </w:pPr>
      <w:r>
        <w:rPr>
          <w:rFonts w:ascii="Amiri" w:hAnsi="Amiri" w:eastAsia="Amiri" w:cs="Amiri"/>
          <w:lang w:bidi="ar-SA"/>
          <w:color w:val="111111"/>
          <w:sz w:val="28"/>
          <w:szCs w:val="28"/>
          <w:rtl/>
        </w:rPr>
        <w:t xml:space="preserve">ابن بهاء الدين</w:t>
      </w:r>
    </w:p>
    <w:p>
      <w:pPr>
        <w:pStyle w:val="BookText"/>
      </w:pPr>
      <w:r>
        <w:rPr>
          <w:rFonts w:ascii="Amiri" w:hAnsi="Amiri" w:eastAsia="Amiri" w:cs="Amiri"/>
          <w:lang w:bidi="ar-SA"/>
          <w:color w:val="111111"/>
          <w:sz w:val="28"/>
          <w:szCs w:val="28"/>
          <w:rtl/>
        </w:rPr>
        <w:t xml:space="preserve">الوجود (رسالة في)، ج 16، ص 732.</w:t>
      </w:r>
    </w:p>
    <w:p>
      <w:pPr>
        <w:pStyle w:val="BookText"/>
      </w:pPr>
      <w:r>
        <w:rPr>
          <w:rFonts w:ascii="Amiri" w:hAnsi="Amiri" w:eastAsia="Amiri" w:cs="Amiri"/>
          <w:lang w:bidi="ar-SA"/>
          <w:color w:val="111111"/>
          <w:sz w:val="28"/>
          <w:szCs w:val="28"/>
          <w:rtl/>
        </w:rPr>
        <w:t xml:space="preserve">ابن بهائي - بهاء الدين ، محمّد بن حاجي</w:t>
      </w:r>
    </w:p>
    <w:p>
      <w:pPr>
        <w:pStyle w:val="BookText"/>
      </w:pPr>
      <w:r>
        <w:rPr>
          <w:rFonts w:ascii="Amiri" w:hAnsi="Amiri" w:eastAsia="Amiri" w:cs="Amiri"/>
          <w:lang w:bidi="ar-SA"/>
          <w:color w:val="111111"/>
          <w:sz w:val="28"/>
          <w:szCs w:val="28"/>
          <w:rtl/>
        </w:rPr>
        <w:t xml:space="preserve">ابن بهرام يماني -يماني ، ابن بهرام</w:t>
      </w:r>
    </w:p>
    <w:p>
      <w:pPr>
        <w:pStyle w:val="BookText"/>
      </w:pPr>
      <w:r>
        <w:rPr>
          <w:rFonts w:ascii="Amiri" w:hAnsi="Amiri" w:eastAsia="Amiri" w:cs="Amiri"/>
          <w:lang w:bidi="ar-SA"/>
          <w:color w:val="111111"/>
          <w:sz w:val="28"/>
          <w:szCs w:val="28"/>
          <w:rtl/>
        </w:rPr>
        <w:t xml:space="preserve">ابن بهران ، محمّد بن يحيى- بهران ،</w:t>
      </w:r>
    </w:p>
    <w:p>
      <w:pPr>
        <w:pStyle w:val="BookText"/>
      </w:pPr>
      <w:r>
        <w:rPr>
          <w:rFonts w:ascii="Amiri" w:hAnsi="Amiri" w:eastAsia="Amiri" w:cs="Amiri"/>
          <w:lang w:bidi="ar-SA"/>
          <w:color w:val="111111"/>
          <w:sz w:val="28"/>
          <w:szCs w:val="28"/>
          <w:rtl/>
        </w:rPr>
        <w:t xml:space="preserve">محمّد بن يحيى</w:t>
      </w:r>
    </w:p>
    <w:p>
      <w:pPr>
        <w:pStyle w:val="BookText"/>
      </w:pPr>
      <w:r>
        <w:rPr>
          <w:rFonts w:ascii="IRNazanin" w:hAnsi="IRNazanin" w:eastAsia="IRNazanin" w:cs="IRNazanin"/>
          <w:lang w:bidi="fa-IR"/>
          <w:color w:val="111111"/>
          <w:sz w:val="28"/>
          <w:szCs w:val="28"/>
          <w:rtl/>
        </w:rPr>
        <w:t xml:space="preserve">ابن بيري ، ابراهيم بن حسين بن احمد -پيري زاده ، ابراهیم بن حسين</w:t>
      </w:r>
    </w:p>
    <w:p>
      <w:pPr>
        <w:pStyle w:val="Heading2"/>
      </w:pPr>
      <w:bookmarkStart w:id="1159" w:name="_Toc261"/>
      <w:r>
        <w:t>ابن بیطار ، عبدالله بن احمد - 646 ه-</w:t>
      </w:r>
      <w:bookmarkEnd w:id="1159"/>
    </w:p>
    <w:p>
      <w:pPr>
        <w:pStyle w:val="BookText"/>
      </w:pPr>
      <w:r>
        <w:rPr>
          <w:rFonts w:ascii="Amiri" w:hAnsi="Amiri" w:eastAsia="Amiri" w:cs="Amiri"/>
          <w:lang w:bidi="ar-SA"/>
          <w:color w:val="111111"/>
          <w:sz w:val="28"/>
          <w:szCs w:val="28"/>
          <w:rtl/>
        </w:rPr>
        <w:t xml:space="preserve">1 .الجامع المفردات الادوية و الاغذية</w:t>
      </w:r>
    </w:p>
    <w:p>
      <w:pPr>
        <w:pStyle w:val="BookText"/>
      </w:pPr>
      <w:r>
        <w:rPr>
          <w:rFonts w:ascii="IRNazanin" w:hAnsi="IRNazanin" w:eastAsia="IRNazanin" w:cs="IRNazanin"/>
          <w:lang w:bidi="fa-IR"/>
          <w:color w:val="111111"/>
          <w:sz w:val="28"/>
          <w:szCs w:val="28"/>
          <w:rtl/>
        </w:rPr>
        <w:t xml:space="preserve">المفردات، ج 5، ص 324.</w:t>
      </w:r>
    </w:p>
    <w:p>
      <w:pPr>
        <w:pStyle w:val="BookText"/>
      </w:pPr>
      <w:r>
        <w:rPr>
          <w:rFonts w:ascii="Amiri" w:hAnsi="Amiri" w:eastAsia="Amiri" w:cs="Amiri"/>
          <w:lang w:bidi="ar-SA"/>
          <w:color w:val="111111"/>
          <w:sz w:val="28"/>
          <w:szCs w:val="28"/>
          <w:rtl/>
        </w:rPr>
        <w:t xml:space="preserve">2 .الطب في الاعشاب، ج 10، ص770.</w:t>
      </w:r>
    </w:p>
    <w:p>
      <w:pPr>
        <w:pStyle w:val="BookText"/>
      </w:pPr>
      <w:r>
        <w:rPr>
          <w:rFonts w:ascii="Amiri" w:hAnsi="Amiri" w:eastAsia="Amiri" w:cs="Amiri"/>
          <w:lang w:bidi="ar-SA"/>
          <w:color w:val="111111"/>
          <w:sz w:val="28"/>
          <w:szCs w:val="28"/>
          <w:rtl/>
        </w:rPr>
        <w:t xml:space="preserve">ابن بيع ، محمّد بن عبدالله -حاكم</w:t>
      </w:r>
    </w:p>
    <w:p>
      <w:pPr>
        <w:pStyle w:val="BookText"/>
      </w:pPr>
      <w:r>
        <w:rPr>
          <w:rFonts w:ascii="Amiri" w:hAnsi="Amiri" w:eastAsia="Amiri" w:cs="Amiri"/>
          <w:lang w:bidi="ar-SA"/>
          <w:color w:val="111111"/>
          <w:sz w:val="28"/>
          <w:szCs w:val="28"/>
          <w:rtl/>
        </w:rPr>
        <w:t xml:space="preserve">نيشابوري ، محمّد بن عبدالله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7742_69420"/>
    <w:bookmarkEnd w:id="44"/>
    <w:p>
      <w:pPr>
        <w:pStyle w:val="Heading2"/>
      </w:pPr>
      <w:bookmarkStart w:id="1160" w:name="_Toc262"/>
      <w:r>
        <w:t>ابن بيلبك ، احمد بن سيف الدين 699 -</w:t>
      </w:r>
      <w:bookmarkEnd w:id="1160"/>
    </w:p>
    <w:p>
      <w:pPr>
        <w:pStyle w:val="BookText"/>
      </w:pPr>
      <w:r>
        <w:rPr>
          <w:rFonts w:ascii="IRNazanin" w:hAnsi="IRNazanin" w:eastAsia="IRNazanin" w:cs="IRNazanin"/>
          <w:lang w:bidi="fa-IR"/>
          <w:color w:val="111111"/>
          <w:sz w:val="28"/>
          <w:szCs w:val="28"/>
          <w:rtl/>
        </w:rPr>
        <w:t xml:space="preserve">753 ه-</w:t>
      </w:r>
    </w:p>
    <w:p>
      <w:pPr>
        <w:pStyle w:val="BookText"/>
      </w:pPr>
      <w:r>
        <w:rPr>
          <w:rFonts w:ascii="Amiri" w:hAnsi="Amiri" w:eastAsia="Amiri" w:cs="Amiri"/>
          <w:lang w:bidi="ar-SA"/>
          <w:color w:val="111111"/>
          <w:sz w:val="28"/>
          <w:szCs w:val="28"/>
          <w:rtl/>
        </w:rPr>
        <w:t xml:space="preserve">الروض النزيه في نظم التنبيه، ج8،</w:t>
      </w:r>
    </w:p>
    <w:p>
      <w:pPr>
        <w:pStyle w:val="BookText"/>
      </w:pPr>
      <w:r>
        <w:rPr>
          <w:rFonts w:ascii="IRNazanin" w:hAnsi="IRNazanin" w:eastAsia="IRNazanin" w:cs="IRNazanin"/>
          <w:lang w:bidi="fa-IR"/>
          <w:color w:val="111111"/>
          <w:sz w:val="28"/>
          <w:szCs w:val="28"/>
          <w:rtl/>
        </w:rPr>
        <w:t xml:space="preserve">ص 469 .</w:t>
      </w:r>
    </w:p>
    <w:p>
      <w:pPr>
        <w:pStyle w:val="BookText"/>
      </w:pPr>
      <w:r>
        <w:rPr>
          <w:rFonts w:ascii="IRNazanin" w:hAnsi="IRNazanin" w:eastAsia="IRNazanin" w:cs="IRNazanin"/>
          <w:lang w:bidi="fa-IR"/>
          <w:color w:val="111111"/>
          <w:sz w:val="28"/>
          <w:szCs w:val="28"/>
          <w:rtl/>
        </w:rPr>
        <w:t xml:space="preserve">ابن پيري، ابراهيم بن حسين بن احمد -پيري زاده، ابراهيم بن حسين</w:t>
      </w:r>
    </w:p>
    <w:p>
      <w:pPr>
        <w:pStyle w:val="Heading2"/>
      </w:pPr>
      <w:bookmarkStart w:id="1161" w:name="_Toc263"/>
      <w:r>
        <w:t>ابن پیشقدم ، عبدالحلیم بن پیشقدم</w:t>
      </w:r>
      <w:bookmarkEnd w:id="1161"/>
    </w:p>
    <w:p>
      <w:pPr>
        <w:pStyle w:val="BookText"/>
      </w:pPr>
      <w:r>
        <w:rPr>
          <w:rFonts w:ascii="Amiri" w:hAnsi="Amiri" w:eastAsia="Amiri" w:cs="Amiri"/>
          <w:lang w:bidi="ar-SA"/>
          <w:color w:val="111111"/>
          <w:sz w:val="28"/>
          <w:szCs w:val="28"/>
          <w:rtl/>
        </w:rPr>
        <w:t xml:space="preserve">رومي، - 1088 ه-</w:t>
      </w:r>
    </w:p>
    <w:p>
      <w:pPr>
        <w:pStyle w:val="BookText"/>
      </w:pPr>
      <w:r>
        <w:rPr>
          <w:rFonts w:ascii="IRNazanin" w:hAnsi="IRNazanin" w:eastAsia="IRNazanin" w:cs="IRNazanin"/>
          <w:lang w:bidi="fa-IR"/>
          <w:color w:val="111111"/>
          <w:sz w:val="28"/>
          <w:szCs w:val="28"/>
          <w:rtl/>
        </w:rPr>
        <w:t xml:space="preserve">كشف رموز غرر الاحکام و تنویر درر الحكام الملاخسرو، ج13، ص 214.</w:t>
      </w:r>
    </w:p>
    <w:p>
      <w:pPr>
        <w:pStyle w:val="BookText"/>
      </w:pPr>
      <w:r>
        <w:rPr>
          <w:rFonts w:ascii="Amiri" w:hAnsi="Amiri" w:eastAsia="Amiri" w:cs="Amiri"/>
          <w:lang w:bidi="ar-SA"/>
          <w:color w:val="111111"/>
          <w:sz w:val="28"/>
          <w:szCs w:val="28"/>
          <w:rtl/>
        </w:rPr>
        <w:t xml:space="preserve">ابنة الكمال ، زينب بنت احمد- مقدسي ،</w:t>
      </w:r>
    </w:p>
    <w:p>
      <w:pPr>
        <w:pStyle w:val="BookText"/>
      </w:pPr>
      <w:r>
        <w:rPr>
          <w:rFonts w:ascii="Amiri" w:hAnsi="Amiri" w:eastAsia="Amiri" w:cs="Amiri"/>
          <w:lang w:bidi="ar-SA"/>
          <w:color w:val="111111"/>
          <w:sz w:val="28"/>
          <w:szCs w:val="28"/>
          <w:rtl/>
        </w:rPr>
        <w:t xml:space="preserve">زينب بنت احمد</w:t>
      </w:r>
    </w:p>
    <w:p>
      <w:pPr>
        <w:pStyle w:val="BookText"/>
      </w:pPr>
      <w:r>
        <w:rPr>
          <w:rFonts w:ascii="Amiri" w:hAnsi="Amiri" w:eastAsia="Amiri" w:cs="Amiri"/>
          <w:lang w:bidi="ar-SA"/>
          <w:color w:val="111111"/>
          <w:sz w:val="28"/>
          <w:szCs w:val="28"/>
          <w:rtl/>
        </w:rPr>
        <w:t xml:space="preserve">ابن ترسي ، محمّد بن علي -نرسي ، محمّد</w:t>
      </w:r>
    </w:p>
    <w:p>
      <w:pPr>
        <w:pStyle w:val="BookText"/>
      </w:pPr>
      <w:r>
        <w:rPr>
          <w:rFonts w:ascii="Amiri" w:hAnsi="Amiri" w:eastAsia="Amiri" w:cs="Amiri"/>
          <w:lang w:bidi="ar-SA"/>
          <w:color w:val="111111"/>
          <w:sz w:val="28"/>
          <w:szCs w:val="28"/>
          <w:rtl/>
        </w:rPr>
        <w:t xml:space="preserve">بن علي ابن تركماني ، صدرالدين ادريس بن</w:t>
      </w:r>
    </w:p>
    <w:p>
      <w:pPr>
        <w:pStyle w:val="BookText"/>
      </w:pPr>
      <w:r>
        <w:rPr>
          <w:rFonts w:ascii="Amiri" w:hAnsi="Amiri" w:eastAsia="Amiri" w:cs="Amiri"/>
          <w:lang w:bidi="ar-SA"/>
          <w:color w:val="111111"/>
          <w:sz w:val="28"/>
          <w:szCs w:val="28"/>
          <w:rtl/>
        </w:rPr>
        <w:t xml:space="preserve">عبد الله تركماني ، ادريس بن بيدكين</w:t>
      </w:r>
    </w:p>
    <w:p>
      <w:pPr>
        <w:pStyle w:val="Heading2"/>
      </w:pPr>
      <w:bookmarkStart w:id="1162" w:name="_Toc264"/>
      <w:r>
        <w:t>ابن تركماني ، علي بن عثمان 683-750ه-</w:t>
      </w:r>
      <w:bookmarkEnd w:id="1162"/>
    </w:p>
    <w:p>
      <w:pPr>
        <w:pStyle w:val="BookText"/>
      </w:pPr>
      <w:r>
        <w:rPr>
          <w:rFonts w:ascii="Amiri" w:hAnsi="Amiri" w:eastAsia="Amiri" w:cs="Amiri"/>
          <w:lang w:bidi="ar-SA"/>
          <w:color w:val="111111"/>
          <w:sz w:val="28"/>
          <w:szCs w:val="28"/>
          <w:rtl/>
        </w:rPr>
        <w:t xml:space="preserve">الجوهر الفرد في المناظرة بين النرجس</w:t>
      </w:r>
    </w:p>
    <w:p>
      <w:pPr>
        <w:pStyle w:val="BookText"/>
      </w:pPr>
      <w:r>
        <w:rPr>
          <w:rFonts w:ascii="IRNazanin" w:hAnsi="IRNazanin" w:eastAsia="IRNazanin" w:cs="IRNazanin"/>
          <w:lang w:bidi="fa-IR"/>
          <w:color w:val="111111"/>
          <w:sz w:val="28"/>
          <w:szCs w:val="28"/>
          <w:rtl/>
        </w:rPr>
        <w:t xml:space="preserve">و الورد، ج 5، ص 622.</w:t>
      </w:r>
    </w:p>
    <w:p>
      <w:pPr>
        <w:pStyle w:val="BookText"/>
      </w:pPr>
      <w:r>
        <w:rPr>
          <w:rFonts w:ascii="IRNazanin" w:hAnsi="IRNazanin" w:eastAsia="IRNazanin" w:cs="IRNazanin"/>
          <w:lang w:bidi="fa-IR"/>
          <w:color w:val="111111"/>
          <w:sz w:val="28"/>
          <w:szCs w:val="28"/>
          <w:rtl/>
        </w:rPr>
        <w:t xml:space="preserve">ابن ترکه اصفهاني، خواجه افضل الدين- تركه اصفهاني، خواجه افضل الدين</w:t>
      </w:r>
    </w:p>
    <w:p>
      <w:pPr>
        <w:pStyle w:val="Heading2"/>
      </w:pPr>
      <w:bookmarkStart w:id="1163" w:name="_Toc265"/>
      <w:r>
        <w:t>ابن تركي ، احمد بن تركي - 979؟ ه-</w:t>
      </w:r>
      <w:bookmarkEnd w:id="1163"/>
    </w:p>
    <w:p>
      <w:pPr>
        <w:pStyle w:val="BookText"/>
      </w:pPr>
      <w:r>
        <w:rPr>
          <w:rFonts w:ascii="Amiri" w:hAnsi="Amiri" w:eastAsia="Amiri" w:cs="Amiri"/>
          <w:lang w:bidi="ar-SA"/>
          <w:color w:val="111111"/>
          <w:sz w:val="28"/>
          <w:szCs w:val="28"/>
          <w:rtl/>
        </w:rPr>
        <w:t xml:space="preserve">1.الجواهر الزكية في حل ألفاظ العشماوية، ج 5، ص 546.</w:t>
      </w:r>
    </w:p>
    <w:p>
      <w:pPr>
        <w:pStyle w:val="BookText"/>
      </w:pPr>
      <w:r>
        <w:rPr>
          <w:rFonts w:ascii="Amiri" w:hAnsi="Amiri" w:eastAsia="Amiri" w:cs="Amiri"/>
          <w:lang w:bidi="ar-SA"/>
          <w:color w:val="111111"/>
          <w:sz w:val="28"/>
          <w:szCs w:val="28"/>
          <w:rtl/>
        </w:rPr>
        <w:t xml:space="preserve">2 .شرح مقدمة عبد الباري العشماوي</w:t>
      </w:r>
    </w:p>
    <w:p>
      <w:pPr>
        <w:pStyle w:val="BookText"/>
      </w:pPr>
      <w:r>
        <w:rPr>
          <w:rFonts w:ascii="Amiri" w:hAnsi="Amiri" w:eastAsia="Amiri" w:cs="Amiri"/>
          <w:lang w:bidi="ar-SA"/>
          <w:color w:val="111111"/>
          <w:sz w:val="28"/>
          <w:szCs w:val="28"/>
          <w:rtl/>
        </w:rPr>
        <w:t xml:space="preserve">ابن بلبان - ابن تمريغا 49</w:t>
      </w:r>
    </w:p>
    <w:p>
      <w:pPr>
        <w:pStyle w:val="BookText"/>
      </w:pPr>
      <w:r>
        <w:rPr>
          <w:rFonts w:ascii="IRNazanin" w:hAnsi="IRNazanin" w:eastAsia="IRNazanin" w:cs="IRNazanin"/>
          <w:lang w:bidi="fa-IR"/>
          <w:color w:val="111111"/>
          <w:sz w:val="28"/>
          <w:szCs w:val="28"/>
          <w:rtl/>
        </w:rPr>
        <w:t xml:space="preserve">ج 10 ، ص 203.</w:t>
      </w:r>
    </w:p>
    <w:p>
      <w:pPr>
        <w:pStyle w:val="BookText"/>
      </w:pPr>
      <w:r>
        <w:rPr>
          <w:rFonts w:ascii="Amiri" w:hAnsi="Amiri" w:eastAsia="Amiri" w:cs="Amiri"/>
          <w:lang w:bidi="ar-SA"/>
          <w:color w:val="111111"/>
          <w:sz w:val="28"/>
          <w:szCs w:val="28"/>
          <w:rtl/>
        </w:rPr>
        <w:t xml:space="preserve">3 .مختصر مقدمة العشماوية، ج 14،</w:t>
      </w:r>
    </w:p>
    <w:p>
      <w:pPr>
        <w:pStyle w:val="BookText"/>
      </w:pPr>
      <w:r>
        <w:rPr>
          <w:rFonts w:ascii="IRNazanin" w:hAnsi="IRNazanin" w:eastAsia="IRNazanin" w:cs="IRNazanin"/>
          <w:lang w:bidi="fa-IR"/>
          <w:color w:val="111111"/>
          <w:sz w:val="28"/>
          <w:szCs w:val="28"/>
          <w:rtl/>
        </w:rPr>
        <w:t xml:space="preserve">ص 262 .</w:t>
      </w:r>
    </w:p>
    <w:p>
      <w:pPr>
        <w:pStyle w:val="Heading2"/>
      </w:pPr>
      <w:bookmarkStart w:id="1164" w:name="_Toc266"/>
      <w:r>
        <w:t>ابن تعاويذي، محمّد بن عبیدالله 519 -</w:t>
      </w:r>
      <w:bookmarkEnd w:id="1164"/>
    </w:p>
    <w:p>
      <w:pPr>
        <w:pStyle w:val="BookText"/>
      </w:pPr>
      <w:r>
        <w:rPr>
          <w:rFonts w:ascii="IRNazanin" w:hAnsi="IRNazanin" w:eastAsia="IRNazanin" w:cs="IRNazanin"/>
          <w:lang w:bidi="fa-IR"/>
          <w:color w:val="111111"/>
          <w:sz w:val="28"/>
          <w:szCs w:val="28"/>
          <w:rtl/>
        </w:rPr>
        <w:t xml:space="preserve">4584 ه-</w:t>
      </w:r>
    </w:p>
    <w:p>
      <w:pPr>
        <w:pStyle w:val="BookText"/>
      </w:pPr>
      <w:r>
        <w:rPr>
          <w:rFonts w:ascii="IRNazanin" w:hAnsi="IRNazanin" w:eastAsia="IRNazanin" w:cs="IRNazanin"/>
          <w:lang w:bidi="fa-IR"/>
          <w:color w:val="111111"/>
          <w:sz w:val="28"/>
          <w:szCs w:val="28"/>
          <w:rtl/>
        </w:rPr>
        <w:t xml:space="preserve">دیوان سبط، ج 7، ص 649.</w:t>
      </w:r>
    </w:p>
    <w:p>
      <w:pPr>
        <w:pStyle w:val="Heading2"/>
      </w:pPr>
      <w:bookmarkStart w:id="1165" w:name="_Toc267"/>
      <w:r>
        <w:t>ابن تغري بردي ، يوسف بن تغري 813</w:t>
      </w:r>
      <w:bookmarkEnd w:id="1165"/>
    </w:p>
    <w:p>
      <w:pPr>
        <w:pStyle w:val="BookText"/>
      </w:pPr>
      <w:r>
        <w:rPr>
          <w:rFonts w:ascii="IRNazanin" w:hAnsi="IRNazanin" w:eastAsia="IRNazanin" w:cs="IRNazanin"/>
          <w:lang w:bidi="fa-IR"/>
          <w:color w:val="111111"/>
          <w:sz w:val="28"/>
          <w:szCs w:val="28"/>
          <w:rtl/>
        </w:rPr>
        <w:t xml:space="preserve">874 ه-</w:t>
      </w:r>
    </w:p>
    <w:p>
      <w:pPr>
        <w:pStyle w:val="BookText"/>
      </w:pPr>
      <w:r>
        <w:rPr>
          <w:rFonts w:ascii="Amiri" w:hAnsi="Amiri" w:eastAsia="Amiri" w:cs="Amiri"/>
          <w:lang w:bidi="ar-SA"/>
          <w:color w:val="111111"/>
          <w:sz w:val="28"/>
          <w:szCs w:val="28"/>
          <w:rtl/>
        </w:rPr>
        <w:t xml:space="preserve">مورد اللطافة فيمن ولي السلطنة الخلافة، ج 16، ص 13.</w:t>
      </w:r>
    </w:p>
    <w:p>
      <w:pPr>
        <w:pStyle w:val="BookText"/>
      </w:pPr>
      <w:r>
        <w:rPr>
          <w:rFonts w:ascii="Amiri" w:hAnsi="Amiri" w:eastAsia="Amiri" w:cs="Amiri"/>
          <w:lang w:bidi="ar-SA"/>
          <w:color w:val="111111"/>
          <w:sz w:val="28"/>
          <w:szCs w:val="28"/>
          <w:rtl/>
        </w:rPr>
        <w:t xml:space="preserve">ابن تلاميذ ، محمّد محمود بن احمد شنقطي تركزي -شنقيطي ، محمّد محمود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1166" w:name="_Toc268"/>
      <w:r>
        <w:t>ابن تلميذ ، هبة الله بن صاعد 465 -</w:t>
      </w:r>
      <w:bookmarkEnd w:id="1166"/>
    </w:p>
    <w:p>
      <w:pPr>
        <w:pStyle w:val="BookText"/>
      </w:pPr>
      <w:r>
        <w:rPr>
          <w:rFonts w:ascii="IRNazanin" w:hAnsi="IRNazanin" w:eastAsia="IRNazanin" w:cs="IRNazanin"/>
          <w:lang w:bidi="fa-IR"/>
          <w:color w:val="111111"/>
          <w:sz w:val="28"/>
          <w:szCs w:val="28"/>
          <w:rtl/>
        </w:rPr>
        <w:t xml:space="preserve">506 ه-</w:t>
      </w:r>
    </w:p>
    <w:p>
      <w:pPr>
        <w:pStyle w:val="BookText"/>
      </w:pPr>
      <w:r>
        <w:rPr>
          <w:rFonts w:ascii="IRNazanin" w:hAnsi="IRNazanin" w:eastAsia="IRNazanin" w:cs="IRNazanin"/>
          <w:lang w:bidi="fa-IR"/>
          <w:color w:val="111111"/>
          <w:sz w:val="28"/>
          <w:szCs w:val="28"/>
          <w:rtl/>
        </w:rPr>
        <w:t xml:space="preserve">القرابادین، ج 12، ص 551</w:t>
      </w:r>
    </w:p>
    <w:p>
      <w:pPr>
        <w:pStyle w:val="BookText"/>
      </w:pPr>
      <w:r>
        <w:rPr>
          <w:rFonts w:ascii="Amiri" w:hAnsi="Amiri" w:eastAsia="Amiri" w:cs="Amiri"/>
          <w:lang w:bidi="ar-SA"/>
          <w:color w:val="111111"/>
          <w:sz w:val="28"/>
          <w:szCs w:val="28"/>
          <w:rtl/>
        </w:rPr>
        <w:t xml:space="preserve">ابن تمات، احمد بن علي -واسطي ، احمد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ابن تماتي- ابن مهذب ، اسعد بن مينا</w:t>
      </w:r>
    </w:p>
    <w:p>
      <w:pPr>
        <w:pStyle w:val="Heading2"/>
      </w:pPr>
      <w:bookmarkStart w:id="1167" w:name="_Toc269"/>
      <w:r>
        <w:t>ابن تمجید مصطفى بن ابراهيم - 9842ه-</w:t>
      </w:r>
      <w:bookmarkEnd w:id="1167"/>
    </w:p>
    <w:p>
      <w:pPr>
        <w:pStyle w:val="BookText"/>
      </w:pPr>
      <w:r>
        <w:rPr>
          <w:rFonts w:ascii="Amiri" w:hAnsi="Amiri" w:eastAsia="Amiri" w:cs="Amiri"/>
          <w:lang w:bidi="ar-SA"/>
          <w:color w:val="111111"/>
          <w:sz w:val="28"/>
          <w:szCs w:val="28"/>
          <w:rtl/>
        </w:rPr>
        <w:t xml:space="preserve">حاشية انوار التنزيل = حاشيه تفسير</w:t>
      </w:r>
    </w:p>
    <w:p>
      <w:pPr>
        <w:pStyle w:val="BookText"/>
      </w:pPr>
      <w:r>
        <w:rPr>
          <w:rFonts w:ascii="Amiri" w:hAnsi="Amiri" w:eastAsia="Amiri" w:cs="Amiri"/>
          <w:lang w:bidi="ar-SA"/>
          <w:color w:val="111111"/>
          <w:sz w:val="28"/>
          <w:szCs w:val="28"/>
          <w:rtl/>
        </w:rPr>
        <w:t xml:space="preserve">بيضاوي، ج 5، ص 672.</w:t>
      </w:r>
    </w:p>
    <w:p>
      <w:pPr>
        <w:pStyle w:val="Heading2"/>
      </w:pPr>
      <w:bookmarkStart w:id="1168" w:name="_Toc270"/>
      <w:r>
        <w:t>ابن تمريغا ، احمد</w:t>
      </w:r>
      <w:bookmarkEnd w:id="1168"/>
    </w:p>
    <w:p>
      <w:pPr>
        <w:pStyle w:val="BookText"/>
      </w:pPr>
      <w:r>
        <w:rPr>
          <w:rFonts w:ascii="IRNazanin" w:hAnsi="IRNazanin" w:eastAsia="IRNazanin" w:cs="IRNazanin"/>
          <w:lang w:bidi="fa-IR"/>
          <w:color w:val="111111"/>
          <w:sz w:val="28"/>
          <w:szCs w:val="28"/>
          <w:rtl/>
        </w:rPr>
        <w:t xml:space="preserve">البرق الساطع، ج 3، ص302.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7742_69422"/>
    <w:bookmarkEnd w:id="45"/>
    <w:p>
      <w:pPr>
        <w:pStyle w:val="Heading2"/>
      </w:pPr>
      <w:bookmarkStart w:id="1169" w:name="_Toc271"/>
      <w:r>
        <w:t>ابن توبي ، حسن بن توبي</w:t>
      </w:r>
      <w:bookmarkEnd w:id="1169"/>
    </w:p>
    <w:p>
      <w:pPr>
        <w:pStyle w:val="BookText"/>
      </w:pPr>
      <w:r>
        <w:rPr>
          <w:rFonts w:ascii="Amiri" w:hAnsi="Amiri" w:eastAsia="Amiri" w:cs="Amiri"/>
          <w:lang w:bidi="ar-SA"/>
          <w:color w:val="111111"/>
          <w:sz w:val="28"/>
          <w:szCs w:val="28"/>
          <w:rtl/>
        </w:rPr>
        <w:t xml:space="preserve">المفيد في علم التجويد، ج 15، ص 262.</w:t>
      </w:r>
    </w:p>
    <w:p>
      <w:pPr>
        <w:pStyle w:val="Heading2"/>
      </w:pPr>
      <w:bookmarkStart w:id="1170" w:name="_Toc272"/>
      <w:r>
        <w:t>ابن تومرت ، محمّد بن عبدالله 485 -</w:t>
      </w:r>
      <w:bookmarkEnd w:id="1170"/>
    </w:p>
    <w:p>
      <w:pPr>
        <w:pStyle w:val="BookText"/>
      </w:pPr>
      <w:r>
        <w:rPr>
          <w:rFonts w:ascii="IRNazanin" w:hAnsi="IRNazanin" w:eastAsia="IRNazanin" w:cs="IRNazanin"/>
          <w:lang w:bidi="fa-IR"/>
          <w:color w:val="111111"/>
          <w:sz w:val="28"/>
          <w:szCs w:val="28"/>
          <w:rtl/>
        </w:rPr>
        <w:t xml:space="preserve">524 ه-</w:t>
      </w:r>
    </w:p>
    <w:p>
      <w:pPr>
        <w:pStyle w:val="BookText"/>
      </w:pPr>
      <w:r>
        <w:rPr>
          <w:rFonts w:ascii="Amiri" w:hAnsi="Amiri" w:eastAsia="Amiri" w:cs="Amiri"/>
          <w:lang w:bidi="ar-SA"/>
          <w:color w:val="111111"/>
          <w:sz w:val="28"/>
          <w:szCs w:val="28"/>
          <w:rtl/>
        </w:rPr>
        <w:t xml:space="preserve">كنز العلوم والدر المنظوم في حقائق</w:t>
      </w:r>
    </w:p>
    <w:p>
      <w:pPr>
        <w:pStyle w:val="BookText"/>
      </w:pPr>
      <w:r>
        <w:rPr>
          <w:rFonts w:ascii="Amiri" w:hAnsi="Amiri" w:eastAsia="Amiri" w:cs="Amiri"/>
          <w:lang w:bidi="ar-SA"/>
          <w:color w:val="111111"/>
          <w:sz w:val="28"/>
          <w:szCs w:val="28"/>
          <w:rtl/>
        </w:rPr>
        <w:t xml:space="preserve">علم الشريعة و دقائق علم الطبيعة ج 13، ص 429.</w:t>
      </w:r>
    </w:p>
    <w:p>
      <w:pPr>
        <w:pStyle w:val="Heading2"/>
      </w:pPr>
      <w:bookmarkStart w:id="1171" w:name="_Toc273"/>
      <w:r>
        <w:t>ابن تیمیه ، احمد بن عبد الحليم 661 -</w:t>
      </w:r>
      <w:bookmarkEnd w:id="1171"/>
    </w:p>
    <w:p>
      <w:pPr>
        <w:pStyle w:val="BookText"/>
      </w:pPr>
      <w:r>
        <w:rPr>
          <w:rFonts w:ascii="IRNazanin" w:hAnsi="IRNazanin" w:eastAsia="IRNazanin" w:cs="IRNazanin"/>
          <w:lang w:bidi="fa-IR"/>
          <w:color w:val="111111"/>
          <w:sz w:val="28"/>
          <w:szCs w:val="28"/>
          <w:rtl/>
        </w:rPr>
        <w:t xml:space="preserve">728 ه-</w:t>
      </w:r>
    </w:p>
    <w:p>
      <w:pPr>
        <w:pStyle w:val="BookText"/>
      </w:pPr>
      <w:r>
        <w:rPr>
          <w:rFonts w:ascii="Amiri" w:hAnsi="Amiri" w:eastAsia="Amiri" w:cs="Amiri"/>
          <w:lang w:bidi="ar-SA"/>
          <w:color w:val="111111"/>
          <w:sz w:val="28"/>
          <w:szCs w:val="28"/>
          <w:rtl/>
        </w:rPr>
        <w:t xml:space="preserve">1 .الاجتهاد (رسالة في)، ج1، ص298.</w:t>
      </w:r>
    </w:p>
    <w:p>
      <w:pPr>
        <w:pStyle w:val="BookText"/>
      </w:pPr>
      <w:r>
        <w:rPr>
          <w:rFonts w:ascii="IRNazanin" w:hAnsi="IRNazanin" w:eastAsia="IRNazanin" w:cs="IRNazanin"/>
          <w:lang w:bidi="fa-IR"/>
          <w:color w:val="111111"/>
          <w:sz w:val="28"/>
          <w:szCs w:val="28"/>
          <w:rtl/>
        </w:rPr>
        <w:t xml:space="preserve">2 .اجوبة المسائل = پرسش و پاسخ</w:t>
      </w:r>
    </w:p>
    <w:p>
      <w:pPr>
        <w:pStyle w:val="BookText"/>
      </w:pPr>
      <w:r>
        <w:rPr>
          <w:rFonts w:ascii="IRNazanin" w:hAnsi="IRNazanin" w:eastAsia="IRNazanin" w:cs="IRNazanin"/>
          <w:lang w:bidi="fa-IR"/>
          <w:color w:val="111111"/>
          <w:sz w:val="28"/>
          <w:szCs w:val="28"/>
          <w:rtl/>
        </w:rPr>
        <w:t xml:space="preserve">ج 1، ص332.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اجوبة المسائل، ج 1، ص 333.</w:t>
      </w:r>
    </w:p>
    <w:p>
      <w:pPr>
        <w:pStyle w:val="BookText"/>
      </w:pPr>
      <w:r>
        <w:rPr>
          <w:rFonts w:ascii="Amiri" w:hAnsi="Amiri" w:eastAsia="Amiri" w:cs="Amiri"/>
          <w:lang w:bidi="ar-SA"/>
          <w:color w:val="111111"/>
          <w:sz w:val="28"/>
          <w:szCs w:val="28"/>
          <w:rtl/>
        </w:rPr>
        <w:t xml:space="preserve">4 .أجوبة فقهية (رسالة في)، ج1،</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Amiri" w:hAnsi="Amiri" w:eastAsia="Amiri" w:cs="Amiri"/>
          <w:lang w:bidi="ar-SA"/>
          <w:color w:val="111111"/>
          <w:sz w:val="28"/>
          <w:szCs w:val="28"/>
          <w:rtl/>
        </w:rPr>
        <w:t xml:space="preserve">5 .اجوبة في الفقه و التوحيد، ج1،</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Amiri" w:hAnsi="Amiri" w:eastAsia="Amiri" w:cs="Amiri"/>
          <w:lang w:bidi="ar-SA"/>
          <w:color w:val="111111"/>
          <w:sz w:val="28"/>
          <w:szCs w:val="28"/>
          <w:rtl/>
        </w:rPr>
        <w:t xml:space="preserve">6 .الاحاديث الضعيفة، ج 1، ص 410.</w:t>
      </w:r>
    </w:p>
    <w:p>
      <w:pPr>
        <w:pStyle w:val="BookText"/>
      </w:pPr>
      <w:r>
        <w:rPr>
          <w:rFonts w:ascii="Amiri" w:hAnsi="Amiri" w:eastAsia="Amiri" w:cs="Amiri"/>
          <w:lang w:bidi="ar-SA"/>
          <w:color w:val="111111"/>
          <w:sz w:val="28"/>
          <w:szCs w:val="28"/>
          <w:rtl/>
        </w:rPr>
        <w:t xml:space="preserve">7.احاديث يرويها القصاص عن النبي</w:t>
      </w:r>
    </w:p>
    <w:p>
      <w:pPr>
        <w:pStyle w:val="BookText"/>
      </w:pPr>
      <w:r>
        <w:rPr>
          <w:rFonts w:ascii="IRNazanin" w:hAnsi="IRNazanin" w:eastAsia="IRNazanin" w:cs="IRNazanin"/>
          <w:lang w:bidi="fa-IR"/>
          <w:color w:val="111111"/>
          <w:sz w:val="28"/>
          <w:szCs w:val="28"/>
          <w:rtl/>
        </w:rPr>
        <w:t xml:space="preserve">(ص)، ج 1، ص 432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الأحرف الذي أنزلت على آدم عليه</w:t>
      </w:r>
    </w:p>
    <w:p>
      <w:pPr>
        <w:pStyle w:val="BookText"/>
      </w:pPr>
      <w:r>
        <w:rPr>
          <w:rFonts w:ascii="Amiri" w:hAnsi="Amiri" w:eastAsia="Amiri" w:cs="Amiri"/>
          <w:lang w:bidi="ar-SA"/>
          <w:color w:val="111111"/>
          <w:sz w:val="28"/>
          <w:szCs w:val="28"/>
          <w:rtl/>
        </w:rPr>
        <w:t xml:space="preserve">السلام (رسالة في)، ج 1، ص 444.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الاحكام التي تختلف بالسفر و الإقامة (قاعدة في)، ج 1 ، ص 456 .</w:t>
      </w:r>
    </w:p>
    <w:p>
      <w:pPr>
        <w:pStyle w:val="BookText"/>
      </w:pPr>
      <w:r>
        <w:rPr>
          <w:rFonts w:ascii="Amiri" w:hAnsi="Amiri" w:eastAsia="Amiri" w:cs="Amiri"/>
          <w:lang w:bidi="ar-SA"/>
          <w:color w:val="111111"/>
          <w:sz w:val="28"/>
          <w:szCs w:val="28"/>
          <w:rtl/>
        </w:rPr>
        <w:t xml:space="preserve">10 .احكام الكنائس، ج 1، ص 482.</w:t>
      </w:r>
    </w:p>
    <w:p>
      <w:pPr>
        <w:pStyle w:val="BookText"/>
      </w:pPr>
      <w:r>
        <w:rPr>
          <w:rFonts w:ascii="Amiri" w:hAnsi="Amiri" w:eastAsia="Amiri" w:cs="Amiri"/>
          <w:lang w:bidi="ar-SA"/>
          <w:color w:val="111111"/>
          <w:sz w:val="28"/>
          <w:szCs w:val="28"/>
          <w:rtl/>
        </w:rPr>
        <w:t xml:space="preserve">11 .الإختبارات العلمية، ج1، ص 539.</w:t>
      </w:r>
    </w:p>
    <w:p>
      <w:pPr>
        <w:pStyle w:val="BookText"/>
      </w:pPr>
      <w:r>
        <w:rPr>
          <w:rFonts w:ascii="Amiri" w:hAnsi="Amiri" w:eastAsia="Amiri" w:cs="Amiri"/>
          <w:lang w:bidi="ar-SA"/>
          <w:color w:val="111111"/>
          <w:sz w:val="28"/>
          <w:szCs w:val="28"/>
          <w:rtl/>
        </w:rPr>
        <w:t xml:space="preserve">12 .الادلة البينة، ج 1 ، ص 660 .</w:t>
      </w:r>
    </w:p>
    <w:p>
      <w:pPr>
        <w:pStyle w:val="BookText"/>
      </w:pPr>
      <w:r>
        <w:rPr>
          <w:rFonts w:ascii="Amiri" w:hAnsi="Amiri" w:eastAsia="Amiri" w:cs="Amiri"/>
          <w:lang w:bidi="ar-SA"/>
          <w:color w:val="111111"/>
          <w:sz w:val="28"/>
          <w:szCs w:val="28"/>
          <w:rtl/>
        </w:rPr>
        <w:t xml:space="preserve">13 .اصول الفقه = صحة اصول مذهب اهل المدينة، ج 2، ص 431.</w:t>
      </w:r>
    </w:p>
    <w:p>
      <w:pPr>
        <w:pStyle w:val="BookText"/>
      </w:pPr>
      <w:r>
        <w:rPr>
          <w:rFonts w:ascii="Amiri" w:hAnsi="Amiri" w:eastAsia="Amiri" w:cs="Amiri"/>
          <w:lang w:bidi="ar-SA"/>
          <w:color w:val="111111"/>
          <w:sz w:val="28"/>
          <w:szCs w:val="28"/>
          <w:rtl/>
        </w:rPr>
        <w:t xml:space="preserve">14 .اعتقاد الفرقة الناجية = العقيدة الواسطية = الرسالة الواسطية، ج 2،</w:t>
      </w:r>
    </w:p>
    <w:p>
      <w:pPr>
        <w:pStyle w:val="BookText"/>
      </w:pPr>
      <w:r>
        <w:rPr>
          <w:rFonts w:ascii="IRNazanin" w:hAnsi="IRNazanin" w:eastAsia="IRNazanin" w:cs="IRNazanin"/>
          <w:lang w:bidi="fa-IR"/>
          <w:color w:val="111111"/>
          <w:sz w:val="28"/>
          <w:szCs w:val="28"/>
          <w:rtl/>
        </w:rPr>
        <w:t xml:space="preserve">ص 515</w:t>
      </w:r>
    </w:p>
    <w:p>
      <w:pPr>
        <w:pStyle w:val="BookText"/>
      </w:pPr>
      <w:r>
        <w:rPr>
          <w:rFonts w:ascii="Amiri" w:hAnsi="Amiri" w:eastAsia="Amiri" w:cs="Amiri"/>
          <w:lang w:bidi="ar-SA"/>
          <w:color w:val="111111"/>
          <w:sz w:val="28"/>
          <w:szCs w:val="28"/>
          <w:rtl/>
        </w:rPr>
        <w:t xml:space="preserve">15 .افعال العباد الاختيارية و حسن إرادة الله (رسالة في)، ج 2، ص 602.</w:t>
      </w:r>
    </w:p>
    <w:p>
      <w:pPr>
        <w:pStyle w:val="BookText"/>
      </w:pPr>
      <w:r>
        <w:rPr>
          <w:rFonts w:ascii="Amiri" w:hAnsi="Amiri" w:eastAsia="Amiri" w:cs="Amiri"/>
          <w:lang w:bidi="ar-SA"/>
          <w:color w:val="111111"/>
          <w:sz w:val="28"/>
          <w:szCs w:val="28"/>
          <w:rtl/>
        </w:rPr>
        <w:t xml:space="preserve">16 .إقامة الدليل على إبطال التحليل</w:t>
      </w:r>
    </w:p>
    <w:p>
      <w:pPr>
        <w:pStyle w:val="BookText"/>
      </w:pPr>
      <w:r>
        <w:rPr>
          <w:rFonts w:ascii="IRNazanin" w:hAnsi="IRNazanin" w:eastAsia="IRNazanin" w:cs="IRNazanin"/>
          <w:lang w:bidi="fa-IR"/>
          <w:color w:val="111111"/>
          <w:sz w:val="28"/>
          <w:szCs w:val="28"/>
          <w:rtl/>
        </w:rPr>
        <w:t xml:space="preserve">ج 2، ص 607 .</w:t>
      </w:r>
    </w:p>
    <w:p>
      <w:pPr>
        <w:pStyle w:val="BookText"/>
      </w:pPr>
      <w:r>
        <w:rPr>
          <w:rFonts w:ascii="Amiri" w:hAnsi="Amiri" w:eastAsia="Amiri" w:cs="Amiri"/>
          <w:lang w:bidi="ar-SA"/>
          <w:color w:val="111111"/>
          <w:sz w:val="28"/>
          <w:szCs w:val="28"/>
          <w:rtl/>
        </w:rPr>
        <w:t xml:space="preserve">17 .اقتضاء الصراط المستقيم في مخالفة اصحاب الجحيم، ج2،</w:t>
      </w:r>
    </w:p>
    <w:p>
      <w:pPr>
        <w:pStyle w:val="BookText"/>
      </w:pPr>
      <w:r>
        <w:rPr>
          <w:rFonts w:ascii="IRNazanin" w:hAnsi="IRNazanin" w:eastAsia="IRNazanin" w:cs="IRNazanin"/>
          <w:lang w:bidi="fa-IR"/>
          <w:color w:val="111111"/>
          <w:sz w:val="28"/>
          <w:szCs w:val="28"/>
          <w:rtl/>
        </w:rPr>
        <w:t xml:space="preserve">ص 616.</w:t>
      </w:r>
    </w:p>
    <w:p>
      <w:pPr>
        <w:pStyle w:val="BookText"/>
      </w:pPr>
      <w:r>
        <w:rPr>
          <w:rFonts w:ascii="Amiri" w:hAnsi="Amiri" w:eastAsia="Amiri" w:cs="Amiri"/>
          <w:lang w:bidi="ar-SA"/>
          <w:color w:val="111111"/>
          <w:sz w:val="28"/>
          <w:szCs w:val="28"/>
          <w:rtl/>
        </w:rPr>
        <w:t xml:space="preserve">18 .الاموال المشتركة، ج 2، ص 770.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ان القرآن الكريم كلام الله وليس لغيره فصل في)، ج 2، ص 826.</w:t>
      </w:r>
    </w:p>
    <w:p>
      <w:pPr>
        <w:pStyle w:val="BookText"/>
      </w:pPr>
      <w:r>
        <w:rPr>
          <w:rFonts w:ascii="Amiri" w:hAnsi="Amiri" w:eastAsia="Amiri" w:cs="Amiri"/>
          <w:lang w:bidi="ar-SA"/>
          <w:color w:val="111111"/>
          <w:sz w:val="28"/>
          <w:szCs w:val="28"/>
          <w:rtl/>
        </w:rPr>
        <w:t xml:space="preserve">20 .اهل الصفة (رسالة في)، ج3،</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Amiri" w:hAnsi="Amiri" w:eastAsia="Amiri" w:cs="Amiri"/>
          <w:lang w:bidi="ar-SA"/>
          <w:color w:val="111111"/>
          <w:sz w:val="28"/>
          <w:szCs w:val="28"/>
          <w:rtl/>
        </w:rPr>
        <w:t xml:space="preserve">21 .بيان الهدى و الضلال في امر</w:t>
      </w:r>
    </w:p>
    <w:p>
      <w:pPr>
        <w:pStyle w:val="BookText"/>
      </w:pPr>
      <w:r>
        <w:rPr>
          <w:rFonts w:ascii="IRNazanin" w:hAnsi="IRNazanin" w:eastAsia="IRNazanin" w:cs="IRNazanin"/>
          <w:lang w:bidi="fa-IR"/>
          <w:color w:val="111111"/>
          <w:sz w:val="28"/>
          <w:szCs w:val="28"/>
          <w:rtl/>
        </w:rPr>
        <w:t xml:space="preserve">الهلال، ج 3، ص 497.</w:t>
      </w:r>
    </w:p>
    <w:p>
      <w:pPr>
        <w:pStyle w:val="BookText"/>
      </w:pPr>
      <w:r>
        <w:rPr>
          <w:rFonts w:ascii="Amiri" w:hAnsi="Amiri" w:eastAsia="Amiri" w:cs="Amiri"/>
          <w:lang w:bidi="ar-SA"/>
          <w:color w:val="111111"/>
          <w:sz w:val="28"/>
          <w:szCs w:val="28"/>
          <w:rtl/>
        </w:rPr>
        <w:t xml:space="preserve">.22 .التجسيم و الحشو (رسالة في)</w:t>
      </w:r>
    </w:p>
    <w:p>
      <w:pPr>
        <w:pStyle w:val="BookText"/>
      </w:pPr>
      <w:r>
        <w:rPr>
          <w:rFonts w:ascii="IRNazanin" w:hAnsi="IRNazanin" w:eastAsia="IRNazanin" w:cs="IRNazanin"/>
          <w:lang w:bidi="fa-IR"/>
          <w:color w:val="111111"/>
          <w:sz w:val="28"/>
          <w:szCs w:val="28"/>
          <w:rtl/>
        </w:rPr>
        <w:t xml:space="preserve">ج 3، ص 696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التحفة العراقية في الاعمال القلبية</w:t>
      </w:r>
    </w:p>
    <w:p>
      <w:pPr>
        <w:pStyle w:val="BookText"/>
      </w:pPr>
      <w:r>
        <w:rPr>
          <w:rFonts w:ascii="IRNazanin" w:hAnsi="IRNazanin" w:eastAsia="IRNazanin" w:cs="IRNazanin"/>
          <w:lang w:bidi="fa-IR"/>
          <w:color w:val="111111"/>
          <w:sz w:val="28"/>
          <w:szCs w:val="28"/>
          <w:rtl/>
        </w:rPr>
        <w:t xml:space="preserve">ج 3، ص 867.</w:t>
      </w:r>
    </w:p>
    <w:p>
      <w:pPr>
        <w:pStyle w:val="BookText"/>
      </w:pPr>
      <w:r>
        <w:rPr>
          <w:rFonts w:ascii="Amiri" w:hAnsi="Amiri" w:eastAsia="Amiri" w:cs="Amiri"/>
          <w:lang w:bidi="ar-SA"/>
          <w:color w:val="111111"/>
          <w:sz w:val="28"/>
          <w:szCs w:val="28"/>
          <w:rtl/>
        </w:rPr>
        <w:t xml:space="preserve">24 .تحقيق الإثبات للأسماء والصفات و حقيقة الجمع بين القدر والشر</w:t>
      </w:r>
    </w:p>
    <w:p>
      <w:pPr>
        <w:pStyle w:val="BookText"/>
      </w:pPr>
      <w:r>
        <w:rPr>
          <w:rFonts w:ascii="Amiri" w:hAnsi="Amiri" w:eastAsia="Amiri" w:cs="Amiri"/>
          <w:lang w:bidi="ar-SA"/>
          <w:color w:val="111111"/>
          <w:sz w:val="28"/>
          <w:szCs w:val="28"/>
          <w:rtl/>
        </w:rPr>
        <w:t xml:space="preserve">(رسالة في)، ج 4، ص 48.</w:t>
      </w:r>
    </w:p>
    <w:p>
      <w:pPr>
        <w:pStyle w:val="BookText"/>
      </w:pPr>
      <w:r>
        <w:rPr>
          <w:rFonts w:ascii="Amiri" w:hAnsi="Amiri" w:eastAsia="Amiri" w:cs="Amiri"/>
          <w:lang w:bidi="ar-SA"/>
          <w:color w:val="111111"/>
          <w:sz w:val="28"/>
          <w:szCs w:val="28"/>
          <w:rtl/>
        </w:rPr>
        <w:t xml:space="preserve">25 .تحقيق الربا و ما يتعلق به( رسالة</w:t>
      </w:r>
    </w:p>
    <w:p>
      <w:pPr>
        <w:pStyle w:val="BookText"/>
      </w:pPr>
      <w:r>
        <w:rPr>
          <w:rFonts w:ascii="Amiri" w:hAnsi="Amiri" w:eastAsia="Amiri" w:cs="Amiri"/>
          <w:lang w:bidi="ar-SA"/>
          <w:color w:val="111111"/>
          <w:sz w:val="28"/>
          <w:szCs w:val="28"/>
          <w:rtl/>
        </w:rPr>
        <w:t xml:space="preserve">في بيان)، ج4، ص 60.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تفسير آية حتي اذا استيأس الرسل وظنوا انهم قد كذبوا...»</w:t>
      </w:r>
    </w:p>
    <w:p>
      <w:pPr>
        <w:pStyle w:val="BookText"/>
      </w:pPr>
      <w:r>
        <w:rPr>
          <w:rFonts w:ascii="IRNazanin" w:hAnsi="IRNazanin" w:eastAsia="IRNazanin" w:cs="IRNazanin"/>
          <w:lang w:bidi="fa-IR"/>
          <w:color w:val="111111"/>
          <w:sz w:val="28"/>
          <w:szCs w:val="28"/>
          <w:rtl/>
        </w:rPr>
        <w:t xml:space="preserve">ج 4، ص 578.</w:t>
      </w:r>
    </w:p>
    <w:p>
      <w:pPr>
        <w:pStyle w:val="BookText"/>
      </w:pPr>
      <w:r>
        <w:rPr>
          <w:rFonts w:ascii="Amiri" w:hAnsi="Amiri" w:eastAsia="Amiri" w:cs="Amiri"/>
          <w:lang w:bidi="ar-SA"/>
          <w:color w:val="111111"/>
          <w:sz w:val="28"/>
          <w:szCs w:val="28"/>
          <w:rtl/>
        </w:rPr>
        <w:t xml:space="preserve">27 .تفسير آية فان استقر مكانه فسوف تراني ...»، ج4، ص 580.</w:t>
      </w:r>
    </w:p>
    <w:p>
      <w:pPr>
        <w:pStyle w:val="BookText"/>
      </w:pPr>
      <w:r>
        <w:rPr>
          <w:rFonts w:ascii="Amiri" w:hAnsi="Amiri" w:eastAsia="Amiri" w:cs="Amiri"/>
          <w:lang w:bidi="ar-SA"/>
          <w:color w:val="111111"/>
          <w:sz w:val="28"/>
          <w:szCs w:val="28"/>
          <w:rtl/>
        </w:rPr>
        <w:t xml:space="preserve">28 .تفسير آية من جاء بالحسنة فله</w:t>
      </w:r>
    </w:p>
    <w:p>
      <w:pPr>
        <w:pStyle w:val="BookText"/>
      </w:pPr>
      <w:r>
        <w:rPr>
          <w:rFonts w:ascii="IRNazanin" w:hAnsi="IRNazanin" w:eastAsia="IRNazanin" w:cs="IRNazanin"/>
          <w:lang w:bidi="fa-IR"/>
          <w:color w:val="111111"/>
          <w:sz w:val="28"/>
          <w:szCs w:val="28"/>
          <w:rtl/>
        </w:rPr>
        <w:t xml:space="preserve">عشر أمثالها»، ج 4، ص 585</w:t>
      </w:r>
    </w:p>
    <w:p>
      <w:pPr>
        <w:pStyle w:val="BookText"/>
      </w:pPr>
      <w:r>
        <w:rPr>
          <w:rFonts w:ascii="Amiri" w:hAnsi="Amiri" w:eastAsia="Amiri" w:cs="Amiri"/>
          <w:lang w:bidi="ar-SA"/>
          <w:color w:val="111111"/>
          <w:sz w:val="28"/>
          <w:szCs w:val="28"/>
          <w:rtl/>
        </w:rPr>
        <w:t xml:space="preserve">29 .تفسير سورة الاخلاص، ج4،</w:t>
      </w:r>
    </w:p>
    <w:p>
      <w:pPr>
        <w:pStyle w:val="BookText"/>
      </w:pPr>
      <w:r>
        <w:rPr>
          <w:rFonts w:ascii="IRNazanin" w:hAnsi="IRNazanin" w:eastAsia="IRNazanin" w:cs="IRNazanin"/>
          <w:lang w:bidi="fa-IR"/>
          <w:color w:val="111111"/>
          <w:sz w:val="28"/>
          <w:szCs w:val="28"/>
          <w:rtl/>
        </w:rPr>
        <w:t xml:space="preserve">ص 624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.تفسير سورة الفلق، ج 4، ص 639.</w:t>
      </w:r>
    </w:p>
    <w:p>
      <w:pPr>
        <w:pStyle w:val="BookText"/>
      </w:pPr>
      <w:r>
        <w:rPr>
          <w:rFonts w:ascii="Amiri" w:hAnsi="Amiri" w:eastAsia="Amiri" w:cs="Amiri"/>
          <w:lang w:bidi="ar-SA"/>
          <w:color w:val="111111"/>
          <w:sz w:val="28"/>
          <w:szCs w:val="28"/>
          <w:rtl/>
        </w:rPr>
        <w:t xml:space="preserve">31 .تفسير سورة الفلق و الناس ج4،</w:t>
      </w:r>
    </w:p>
    <w:p>
      <w:pPr>
        <w:pStyle w:val="BookText"/>
      </w:pPr>
      <w:r>
        <w:rPr>
          <w:rFonts w:ascii="IRNazanin" w:hAnsi="IRNazanin" w:eastAsia="IRNazanin" w:cs="IRNazanin"/>
          <w:lang w:bidi="fa-IR"/>
          <w:color w:val="111111"/>
          <w:sz w:val="28"/>
          <w:szCs w:val="28"/>
          <w:rtl/>
        </w:rPr>
        <w:t xml:space="preserve">ص 639 .</w:t>
      </w:r>
    </w:p>
    <w:p>
      <w:pPr>
        <w:pStyle w:val="BookText"/>
      </w:pPr>
      <w:r>
        <w:rPr>
          <w:rFonts w:ascii="Amiri" w:hAnsi="Amiri" w:eastAsia="Amiri" w:cs="Amiri"/>
          <w:lang w:bidi="ar-SA"/>
          <w:color w:val="111111"/>
          <w:sz w:val="28"/>
          <w:szCs w:val="28"/>
          <w:rtl/>
        </w:rPr>
        <w:t xml:space="preserve">32 .تفسير سورة الكوثر، ج 4، ص 639 .</w:t>
      </w:r>
    </w:p>
    <w:p>
      <w:pPr>
        <w:pStyle w:val="BookText"/>
      </w:pPr>
      <w:r>
        <w:rPr>
          <w:rFonts w:ascii="Amiri" w:hAnsi="Amiri" w:eastAsia="Amiri" w:cs="Amiri"/>
          <w:lang w:bidi="ar-SA"/>
          <w:color w:val="111111"/>
          <w:sz w:val="28"/>
          <w:szCs w:val="28"/>
          <w:rtl/>
        </w:rPr>
        <w:t xml:space="preserve">33 .تفسير سورة النور، ج 4، ص 642.</w:t>
      </w:r>
    </w:p>
    <w:p>
      <w:pPr>
        <w:pStyle w:val="BookText"/>
      </w:pPr>
      <w:r>
        <w:rPr>
          <w:rFonts w:ascii="Amiri" w:hAnsi="Amiri" w:eastAsia="Amiri" w:cs="Amiri"/>
          <w:lang w:bidi="ar-SA"/>
          <w:color w:val="111111"/>
          <w:sz w:val="28"/>
          <w:szCs w:val="28"/>
          <w:rtl/>
        </w:rPr>
        <w:t xml:space="preserve">34 .تقليد المسلمين اليهود والنصارى</w:t>
      </w:r>
    </w:p>
    <w:p>
      <w:pPr>
        <w:pStyle w:val="BookText"/>
      </w:pPr>
      <w:r>
        <w:rPr>
          <w:rFonts w:ascii="IRNazanin" w:hAnsi="IRNazanin" w:eastAsia="IRNazanin" w:cs="IRNazanin"/>
          <w:lang w:bidi="fa-IR"/>
          <w:color w:val="111111"/>
          <w:sz w:val="28"/>
          <w:szCs w:val="28"/>
          <w:rtl/>
        </w:rPr>
        <w:t xml:space="preserve">ج 4، ص 791.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تلبيس الجهمية في تأسيس بدعهم</w:t>
      </w:r>
    </w:p>
    <w:p>
      <w:pPr>
        <w:pStyle w:val="BookText"/>
      </w:pPr>
      <w:r>
        <w:rPr>
          <w:rFonts w:ascii="Amiri" w:hAnsi="Amiri" w:eastAsia="Amiri" w:cs="Amiri"/>
          <w:lang w:bidi="ar-SA"/>
          <w:color w:val="111111"/>
          <w:sz w:val="28"/>
          <w:szCs w:val="28"/>
          <w:rtl/>
        </w:rPr>
        <w:t xml:space="preserve">الكلامية = نقض تأسيس الجهمية</w:t>
      </w:r>
    </w:p>
    <w:p>
      <w:pPr>
        <w:pStyle w:val="BookText"/>
      </w:pPr>
      <w:r>
        <w:rPr>
          <w:rFonts w:ascii="IRNazanin" w:hAnsi="IRNazanin" w:eastAsia="IRNazanin" w:cs="IRNazanin"/>
          <w:lang w:bidi="fa-IR"/>
          <w:color w:val="111111"/>
          <w:sz w:val="28"/>
          <w:szCs w:val="28"/>
          <w:rtl/>
        </w:rPr>
        <w:t xml:space="preserve">ج 4، ص 831.</w:t>
      </w:r>
    </w:p>
    <w:p>
      <w:pPr>
        <w:pStyle w:val="BookText"/>
      </w:pPr>
      <w:r>
        <w:rPr>
          <w:rFonts w:ascii="Amiri" w:hAnsi="Amiri" w:eastAsia="Amiri" w:cs="Amiri"/>
          <w:lang w:bidi="ar-SA"/>
          <w:color w:val="111111"/>
          <w:sz w:val="28"/>
          <w:szCs w:val="28"/>
          <w:rtl/>
        </w:rPr>
        <w:t xml:space="preserve">36 .التوحيد (رسالة في)، ج 5، ص 150.</w:t>
      </w:r>
    </w:p>
    <w:p>
      <w:pPr>
        <w:pStyle w:val="BookText"/>
      </w:pPr>
      <w:r>
        <w:rPr>
          <w:rFonts w:ascii="Amiri" w:hAnsi="Amiri" w:eastAsia="Amiri" w:cs="Amiri"/>
          <w:lang w:bidi="ar-SA"/>
          <w:color w:val="111111"/>
          <w:sz w:val="28"/>
          <w:szCs w:val="28"/>
          <w:rtl/>
        </w:rPr>
        <w:t xml:space="preserve">37 .الجمع بين المعقول و المنقول =</w:t>
      </w:r>
    </w:p>
    <w:p>
      <w:pPr>
        <w:pStyle w:val="BookText"/>
      </w:pPr>
      <w:r>
        <w:rPr>
          <w:rFonts w:ascii="Amiri" w:hAnsi="Amiri" w:eastAsia="Amiri" w:cs="Amiri"/>
          <w:lang w:bidi="ar-SA"/>
          <w:color w:val="111111"/>
          <w:sz w:val="28"/>
          <w:szCs w:val="28"/>
          <w:rtl/>
        </w:rPr>
        <w:t xml:space="preserve">موافقة صريح المعقول لصحيح</w:t>
      </w:r>
    </w:p>
    <w:p>
      <w:pPr>
        <w:pStyle w:val="BookText"/>
      </w:pPr>
      <w:r>
        <w:rPr>
          <w:rFonts w:ascii="IRNazanin" w:hAnsi="IRNazanin" w:eastAsia="IRNazanin" w:cs="IRNazanin"/>
          <w:lang w:bidi="fa-IR"/>
          <w:color w:val="111111"/>
          <w:sz w:val="28"/>
          <w:szCs w:val="28"/>
          <w:rtl/>
        </w:rPr>
        <w:t xml:space="preserve">المنقول، ج 5، ص 433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جواب ابن تيمية عن مشهد</w:t>
      </w:r>
    </w:p>
    <w:p>
      <w:pPr>
        <w:pStyle w:val="BookText"/>
      </w:pPr>
      <w:r>
        <w:rPr>
          <w:rFonts w:ascii="Amiri" w:hAnsi="Amiri" w:eastAsia="Amiri" w:cs="Amiri"/>
          <w:lang w:bidi="ar-SA"/>
          <w:color w:val="111111"/>
          <w:sz w:val="28"/>
          <w:szCs w:val="28"/>
          <w:rtl/>
        </w:rPr>
        <w:t xml:space="preserve">الحسين، ج 5، ص 489.</w:t>
      </w:r>
    </w:p>
    <w:p>
      <w:pPr>
        <w:pStyle w:val="BookText"/>
      </w:pPr>
      <w:r>
        <w:rPr>
          <w:rFonts w:ascii="Amiri" w:hAnsi="Amiri" w:eastAsia="Amiri" w:cs="Amiri"/>
          <w:lang w:bidi="ar-SA"/>
          <w:color w:val="111111"/>
          <w:sz w:val="28"/>
          <w:szCs w:val="28"/>
          <w:rtl/>
        </w:rPr>
        <w:t xml:space="preserve">39 .جواب ابن تيمية في صحة مذهب</w:t>
      </w:r>
    </w:p>
    <w:p>
      <w:pPr>
        <w:pStyle w:val="BookText"/>
      </w:pPr>
      <w:r>
        <w:rPr>
          <w:rFonts w:ascii="Amiri" w:hAnsi="Amiri" w:eastAsia="Amiri" w:cs="Amiri"/>
          <w:lang w:bidi="ar-SA"/>
          <w:color w:val="111111"/>
          <w:sz w:val="28"/>
          <w:szCs w:val="28"/>
          <w:rtl/>
        </w:rPr>
        <w:t xml:space="preserve">اهل المدينة، ج 5، ص 489.</w:t>
      </w:r>
    </w:p>
    <w:p>
      <w:pPr>
        <w:pStyle w:val="BookText"/>
      </w:pPr>
      <w:r>
        <w:rPr>
          <w:rFonts w:ascii="Amiri" w:hAnsi="Amiri" w:eastAsia="Amiri" w:cs="Amiri"/>
          <w:lang w:bidi="ar-SA"/>
          <w:color w:val="111111"/>
          <w:sz w:val="28"/>
          <w:szCs w:val="28"/>
          <w:rtl/>
        </w:rPr>
        <w:t xml:space="preserve">40 .جواب ابن تيميه عن الجبر و</w:t>
      </w:r>
    </w:p>
    <w:p>
      <w:pPr>
        <w:pStyle w:val="BookText"/>
      </w:pPr>
      <w:r>
        <w:rPr>
          <w:rFonts w:ascii="Amiri" w:hAnsi="Amiri" w:eastAsia="Amiri" w:cs="Amiri"/>
          <w:lang w:bidi="ar-SA"/>
          <w:color w:val="111111"/>
          <w:sz w:val="28"/>
          <w:szCs w:val="28"/>
          <w:rtl/>
        </w:rPr>
        <w:t xml:space="preserve">الاختيار، ج 5، ص 489.</w:t>
      </w:r>
    </w:p>
    <w:p>
      <w:pPr>
        <w:pStyle w:val="BookText"/>
      </w:pPr>
      <w:r>
        <w:rPr>
          <w:rFonts w:ascii="Amiri" w:hAnsi="Amiri" w:eastAsia="Amiri" w:cs="Amiri"/>
          <w:lang w:bidi="ar-SA"/>
          <w:color w:val="111111"/>
          <w:sz w:val="28"/>
          <w:szCs w:val="28"/>
          <w:rtl/>
        </w:rPr>
        <w:t xml:space="preserve">41 .الجواب الصحيح لمن بدل دين</w:t>
      </w:r>
    </w:p>
    <w:p>
      <w:pPr>
        <w:pStyle w:val="BookText"/>
      </w:pPr>
      <w:r>
        <w:rPr>
          <w:rFonts w:ascii="Amiri" w:hAnsi="Amiri" w:eastAsia="Amiri" w:cs="Amiri"/>
          <w:lang w:bidi="ar-SA"/>
          <w:color w:val="111111"/>
          <w:sz w:val="28"/>
          <w:szCs w:val="28"/>
          <w:rtl/>
        </w:rPr>
        <w:t xml:space="preserve">المسيح، ج 5، ص 501.</w:t>
      </w:r>
    </w:p>
    <w:p>
      <w:pPr>
        <w:pStyle w:val="BookText"/>
      </w:pPr>
      <w:r>
        <w:rPr>
          <w:rFonts w:ascii="Amiri" w:hAnsi="Amiri" w:eastAsia="Amiri" w:cs="Amiri"/>
          <w:lang w:bidi="ar-SA"/>
          <w:color w:val="111111"/>
          <w:sz w:val="28"/>
          <w:szCs w:val="28"/>
          <w:rtl/>
        </w:rPr>
        <w:t xml:space="preserve">42 .جواب اهل العلم والايمان بتحقيق ما أخبر به رسول الرحمن من أن «قل هو الله احد» تعدل</w:t>
      </w:r>
    </w:p>
    <w:p>
      <w:pPr>
        <w:pStyle w:val="BookText"/>
      </w:pPr>
      <w:r>
        <w:rPr>
          <w:rFonts w:ascii="IRNazanin" w:hAnsi="IRNazanin" w:eastAsia="IRNazanin" w:cs="IRNazanin"/>
          <w:lang w:bidi="fa-IR"/>
          <w:color w:val="111111"/>
          <w:sz w:val="28"/>
          <w:szCs w:val="28"/>
          <w:rtl/>
        </w:rPr>
        <w:t xml:space="preserve">ثلث القرآن، ج 5، ص 496.</w:t>
      </w:r>
    </w:p>
    <w:p>
      <w:pPr>
        <w:pStyle w:val="BookText"/>
      </w:pPr>
      <w:r>
        <w:rPr>
          <w:rFonts w:ascii="Amiri" w:hAnsi="Amiri" w:eastAsia="Amiri" w:cs="Amiri"/>
          <w:lang w:bidi="ar-SA"/>
          <w:color w:val="111111"/>
          <w:sz w:val="28"/>
          <w:szCs w:val="28"/>
          <w:rtl/>
        </w:rPr>
        <w:t xml:space="preserve">43 .جواب سؤال في العرش والعلو و الإستواء و الصفات، ج 5، ص 500.</w:t>
      </w:r>
    </w:p>
    <w:p>
      <w:pPr>
        <w:pStyle w:val="BookText"/>
      </w:pPr>
      <w:r>
        <w:rPr>
          <w:rFonts w:ascii="Amiri" w:hAnsi="Amiri" w:eastAsia="Amiri" w:cs="Amiri"/>
          <w:lang w:bidi="ar-SA"/>
          <w:color w:val="111111"/>
          <w:sz w:val="28"/>
          <w:szCs w:val="28"/>
          <w:rtl/>
        </w:rPr>
        <w:t xml:space="preserve">44 .حق اليقين و عين اليقين ( رسالة</w:t>
      </w:r>
    </w:p>
    <w:p>
      <w:pPr>
        <w:pStyle w:val="BookText"/>
      </w:pPr>
      <w:r>
        <w:rPr>
          <w:rFonts w:ascii="Amiri" w:hAnsi="Amiri" w:eastAsia="Amiri" w:cs="Amiri"/>
          <w:lang w:bidi="ar-SA"/>
          <w:color w:val="111111"/>
          <w:sz w:val="28"/>
          <w:szCs w:val="28"/>
          <w:rtl/>
        </w:rPr>
        <w:t xml:space="preserve">في)، ج 6 ، ص 705.</w:t>
      </w:r>
    </w:p>
    <w:p>
      <w:pPr>
        <w:pStyle w:val="BookText"/>
      </w:pPr>
      <w:r>
        <w:rPr>
          <w:rFonts w:ascii="Amiri" w:hAnsi="Amiri" w:eastAsia="Amiri" w:cs="Amiri"/>
          <w:lang w:bidi="ar-SA"/>
          <w:color w:val="111111"/>
          <w:sz w:val="28"/>
          <w:szCs w:val="28"/>
          <w:rtl/>
        </w:rPr>
        <w:t xml:space="preserve">45 .الحقيقة و المجاز رسالة في بيان</w:t>
      </w:r>
    </w:p>
    <w:p>
      <w:pPr>
        <w:pStyle w:val="BookText"/>
      </w:pPr>
      <w:r>
        <w:rPr>
          <w:rFonts w:ascii="Amiri" w:hAnsi="Amiri" w:eastAsia="Amiri" w:cs="Amiri"/>
          <w:lang w:bidi="ar-SA"/>
          <w:color w:val="111111"/>
          <w:sz w:val="28"/>
          <w:szCs w:val="28"/>
          <w:rtl/>
        </w:rPr>
        <w:t xml:space="preserve">اقسام المجاز إلى المفرد و المركب (رسالة في)، ج 6، ص 714.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الحلاج المنصور (مسألة في)، ج6،</w:t>
      </w:r>
    </w:p>
    <w:p>
      <w:pPr>
        <w:pStyle w:val="BookText"/>
      </w:pPr>
      <w:r>
        <w:rPr>
          <w:rFonts w:ascii="IRNazanin" w:hAnsi="IRNazanin" w:eastAsia="IRNazanin" w:cs="IRNazanin"/>
          <w:lang w:bidi="fa-IR"/>
          <w:color w:val="111111"/>
          <w:sz w:val="28"/>
          <w:szCs w:val="28"/>
          <w:rtl/>
        </w:rPr>
        <w:t xml:space="preserve">ص 770</w:t>
      </w:r>
    </w:p>
    <w:p>
      <w:pPr>
        <w:pStyle w:val="BookText"/>
      </w:pPr>
      <w:r>
        <w:rPr>
          <w:rFonts w:ascii="IRNazanin" w:hAnsi="IRNazanin" w:eastAsia="IRNazanin" w:cs="IRNazanin"/>
          <w:lang w:bidi="fa-IR"/>
          <w:color w:val="111111"/>
          <w:sz w:val="28"/>
          <w:szCs w:val="28"/>
          <w:rtl/>
        </w:rPr>
        <w:t xml:space="preserve">47 .خلق القرآن، ج7، ص 153</w:t>
      </w:r>
    </w:p>
    <w:p>
      <w:pPr>
        <w:pStyle w:val="BookText"/>
      </w:pPr>
      <w:r>
        <w:rPr>
          <w:rFonts w:ascii="Amiri" w:hAnsi="Amiri" w:eastAsia="Amiri" w:cs="Amiri"/>
          <w:lang w:bidi="ar-SA"/>
          <w:color w:val="111111"/>
          <w:sz w:val="28"/>
          <w:szCs w:val="28"/>
          <w:rtl/>
        </w:rPr>
        <w:t xml:space="preserve">48 الخير والشر (رسالة في)، ج7،</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49 .رد النصارى (فائدة في)، ج8،</w:t>
      </w:r>
    </w:p>
    <w:p>
      <w:pPr>
        <w:pStyle w:val="BookText"/>
      </w:pPr>
      <w:r>
        <w:rPr>
          <w:rFonts w:ascii="IRNazanin" w:hAnsi="IRNazanin" w:eastAsia="IRNazanin" w:cs="IRNazanin"/>
          <w:lang w:bidi="fa-IR"/>
          <w:color w:val="111111"/>
          <w:sz w:val="28"/>
          <w:szCs w:val="28"/>
          <w:rtl/>
        </w:rPr>
        <w:t xml:space="preserve">ص 115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الرزق (رسالة في)، ج 8، ص117.</w:t>
      </w:r>
    </w:p>
    <w:p>
      <w:pPr>
        <w:pStyle w:val="BookText"/>
      </w:pPr>
      <w:r>
        <w:rPr>
          <w:rFonts w:ascii="Amiri" w:hAnsi="Amiri" w:eastAsia="Amiri" w:cs="Amiri"/>
          <w:lang w:bidi="ar-SA"/>
          <w:color w:val="111111"/>
          <w:sz w:val="28"/>
          <w:szCs w:val="28"/>
          <w:rtl/>
        </w:rPr>
        <w:t xml:space="preserve">5 الرسائل الفقهية، ج8، ص 145.</w:t>
      </w:r>
    </w:p>
    <w:p>
      <w:pPr>
        <w:pStyle w:val="BookText"/>
      </w:pPr>
      <w:r>
        <w:rPr>
          <w:rFonts w:ascii="Amiri" w:hAnsi="Amiri" w:eastAsia="Amiri" w:cs="Amiri"/>
          <w:lang w:bidi="ar-SA"/>
          <w:color w:val="111111"/>
          <w:sz w:val="28"/>
          <w:szCs w:val="28"/>
          <w:rtl/>
        </w:rPr>
        <w:t xml:space="preserve">52 .رسالة ابن تيمية، ج8، ص 158 .</w:t>
      </w:r>
    </w:p>
    <w:p>
      <w:pPr>
        <w:pStyle w:val="BookText"/>
      </w:pPr>
      <w:r>
        <w:rPr>
          <w:rFonts w:ascii="Amiri" w:hAnsi="Amiri" w:eastAsia="Amiri" w:cs="Amiri"/>
          <w:lang w:bidi="ar-SA"/>
          <w:color w:val="111111"/>
          <w:sz w:val="28"/>
          <w:szCs w:val="28"/>
          <w:rtl/>
        </w:rPr>
        <w:t xml:space="preserve">53 .الرسالة السنية إلى الطائفة</w:t>
      </w:r>
    </w:p>
    <w:p>
      <w:pPr>
        <w:pStyle w:val="BookText"/>
      </w:pPr>
      <w:r>
        <w:rPr>
          <w:rFonts w:ascii="Amiri" w:hAnsi="Amiri" w:eastAsia="Amiri" w:cs="Amiri"/>
          <w:lang w:bidi="ar-SA"/>
          <w:color w:val="111111"/>
          <w:sz w:val="28"/>
          <w:szCs w:val="28"/>
          <w:rtl/>
        </w:rPr>
        <w:t xml:space="preserve">العدوية، ج8، ص210.</w:t>
      </w:r>
    </w:p>
    <w:p>
      <w:pPr>
        <w:pStyle w:val="BookText"/>
      </w:pPr>
      <w:r>
        <w:rPr>
          <w:rFonts w:ascii="Amiri" w:hAnsi="Amiri" w:eastAsia="Amiri" w:cs="Amiri"/>
          <w:lang w:bidi="ar-SA"/>
          <w:color w:val="111111"/>
          <w:sz w:val="28"/>
          <w:szCs w:val="28"/>
          <w:rtl/>
        </w:rPr>
        <w:t xml:space="preserve">54 .رسالة إلى أبي نصر المنبجي في</w:t>
      </w:r>
    </w:p>
    <w:p>
      <w:pPr>
        <w:pStyle w:val="BookText"/>
      </w:pPr>
      <w:r>
        <w:rPr>
          <w:rFonts w:ascii="Amiri" w:hAnsi="Amiri" w:eastAsia="Amiri" w:cs="Amiri"/>
          <w:lang w:bidi="ar-SA"/>
          <w:color w:val="111111"/>
          <w:sz w:val="28"/>
          <w:szCs w:val="28"/>
          <w:rtl/>
        </w:rPr>
        <w:t xml:space="preserve">التوحيد، ج8، ص 167.</w:t>
      </w:r>
    </w:p>
    <w:p>
      <w:pPr>
        <w:pStyle w:val="BookText"/>
      </w:pPr>
      <w:r>
        <w:rPr>
          <w:rFonts w:ascii="Amiri" w:hAnsi="Amiri" w:eastAsia="Amiri" w:cs="Amiri"/>
          <w:lang w:bidi="ar-SA"/>
          <w:color w:val="111111"/>
          <w:sz w:val="28"/>
          <w:szCs w:val="28"/>
          <w:rtl/>
        </w:rPr>
        <w:t xml:space="preserve">55 .رسالة من سؤال لابن تيمية، ج8،</w:t>
      </w:r>
    </w:p>
    <w:p>
      <w:pPr>
        <w:pStyle w:val="BookText"/>
      </w:pPr>
      <w:r>
        <w:rPr>
          <w:rFonts w:ascii="IRNazanin" w:hAnsi="IRNazanin" w:eastAsia="IRNazanin" w:cs="IRNazanin"/>
          <w:lang w:bidi="fa-IR"/>
          <w:color w:val="111111"/>
          <w:sz w:val="28"/>
          <w:szCs w:val="28"/>
          <w:rtl/>
        </w:rPr>
        <w:t xml:space="preserve">ص 280</w:t>
      </w:r>
    </w:p>
    <w:p>
      <w:pPr>
        <w:pStyle w:val="BookText"/>
      </w:pPr>
      <w:r>
        <w:rPr>
          <w:rFonts w:ascii="Amiri" w:hAnsi="Amiri" w:eastAsia="Amiri" w:cs="Amiri"/>
          <w:lang w:bidi="ar-SA"/>
          <w:color w:val="111111"/>
          <w:sz w:val="28"/>
          <w:szCs w:val="28"/>
          <w:rtl/>
        </w:rPr>
        <w:t xml:space="preserve">56 .رفع الملام عن الائمة الاعلام، ج8،</w:t>
      </w:r>
    </w:p>
    <w:p>
      <w:pPr>
        <w:pStyle w:val="BookText"/>
      </w:pPr>
      <w:r>
        <w:rPr>
          <w:rFonts w:ascii="IRNazanin" w:hAnsi="IRNazanin" w:eastAsia="IRNazanin" w:cs="IRNazanin"/>
          <w:lang w:bidi="fa-IR"/>
          <w:color w:val="111111"/>
          <w:sz w:val="28"/>
          <w:szCs w:val="28"/>
          <w:rtl/>
        </w:rPr>
        <w:t xml:space="preserve">ص 346.</w:t>
      </w:r>
    </w:p>
    <w:p>
      <w:pPr>
        <w:pStyle w:val="BookText"/>
      </w:pPr>
      <w:r>
        <w:rPr>
          <w:rFonts w:ascii="Amiri" w:hAnsi="Amiri" w:eastAsia="Amiri" w:cs="Amiri"/>
          <w:lang w:bidi="ar-SA"/>
          <w:color w:val="111111"/>
          <w:sz w:val="28"/>
          <w:szCs w:val="28"/>
          <w:rtl/>
        </w:rPr>
        <w:t xml:space="preserve">57 .رؤية النبي الله هل كانت بعيني رأسه (رسالة في)، ج8، ص 16.</w:t>
      </w:r>
    </w:p>
    <w:p>
      <w:pPr>
        <w:pStyle w:val="BookText"/>
      </w:pPr>
      <w:r>
        <w:rPr>
          <w:rFonts w:ascii="Amiri" w:hAnsi="Amiri" w:eastAsia="Amiri" w:cs="Amiri"/>
          <w:lang w:bidi="ar-SA"/>
          <w:color w:val="111111"/>
          <w:sz w:val="28"/>
          <w:szCs w:val="28"/>
          <w:rtl/>
        </w:rPr>
        <w:t xml:space="preserve">58 .زيارة القبور و سماع الموتى رسالة</w:t>
      </w:r>
    </w:p>
    <w:p>
      <w:pPr>
        <w:pStyle w:val="BookText"/>
      </w:pPr>
      <w:r>
        <w:rPr>
          <w:rFonts w:ascii="Amiri" w:hAnsi="Amiri" w:eastAsia="Amiri" w:cs="Amiri"/>
          <w:lang w:bidi="ar-SA"/>
          <w:color w:val="111111"/>
          <w:sz w:val="28"/>
          <w:szCs w:val="28"/>
          <w:rtl/>
        </w:rPr>
        <w:t xml:space="preserve">في)، ج 8، ص 653.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زيارة قبر من قبور الانبياء، ج8،</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Amiri" w:hAnsi="Amiri" w:eastAsia="Amiri" w:cs="Amiri"/>
          <w:lang w:bidi="ar-SA"/>
          <w:color w:val="111111"/>
          <w:sz w:val="28"/>
          <w:szCs w:val="28"/>
          <w:rtl/>
        </w:rPr>
        <w:t xml:space="preserve">60 .السماع والرقص والسراخ و إستماع إنشاد الشعر (رسالة في)، ج 8، ص829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السياسة الشرعية في اصلاح الراعي</w:t>
      </w:r>
    </w:p>
    <w:p>
      <w:pPr>
        <w:pStyle w:val="BookText"/>
      </w:pPr>
      <w:r>
        <w:rPr>
          <w:rFonts w:ascii="Amiri" w:hAnsi="Amiri" w:eastAsia="Amiri" w:cs="Amiri"/>
          <w:lang w:bidi="ar-SA"/>
          <w:color w:val="111111"/>
          <w:sz w:val="28"/>
          <w:szCs w:val="28"/>
          <w:rtl/>
        </w:rPr>
        <w:t xml:space="preserve">و الرعية، ج8، ص870.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شرح العقيدة الإصفهانية، ج 9،</w:t>
      </w:r>
    </w:p>
    <w:p>
      <w:pPr>
        <w:pStyle w:val="BookText"/>
      </w:pPr>
      <w:r>
        <w:rPr>
          <w:rFonts w:ascii="IRNazanin" w:hAnsi="IRNazanin" w:eastAsia="IRNazanin" w:cs="IRNazanin"/>
          <w:lang w:bidi="fa-IR"/>
          <w:color w:val="111111"/>
          <w:sz w:val="28"/>
          <w:szCs w:val="28"/>
          <w:rtl/>
        </w:rPr>
        <w:t xml:space="preserve">ص 741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شرح العقيدة الإصفهانية الصغرى</w:t>
      </w:r>
    </w:p>
    <w:p>
      <w:pPr>
        <w:pStyle w:val="BookText"/>
      </w:pPr>
      <w:r>
        <w:rPr>
          <w:rFonts w:ascii="IRNazanin" w:hAnsi="IRNazanin" w:eastAsia="IRNazanin" w:cs="IRNazanin"/>
          <w:lang w:bidi="fa-IR"/>
          <w:color w:val="111111"/>
          <w:sz w:val="28"/>
          <w:szCs w:val="28"/>
          <w:rtl/>
        </w:rPr>
        <w:t xml:space="preserve">ج 9، ص 742 .</w:t>
      </w:r>
    </w:p>
    <w:p>
      <w:pPr>
        <w:pStyle w:val="BookText"/>
      </w:pPr>
      <w:r>
        <w:rPr>
          <w:rFonts w:ascii="Amiri" w:hAnsi="Amiri" w:eastAsia="Amiri" w:cs="Amiri"/>
          <w:lang w:bidi="ar-SA"/>
          <w:color w:val="111111"/>
          <w:sz w:val="28"/>
          <w:szCs w:val="28"/>
          <w:rtl/>
        </w:rPr>
        <w:t xml:space="preserve">64 . الشرك والجهاد والشهادة رسالة</w:t>
      </w:r>
    </w:p>
    <w:p>
      <w:pPr>
        <w:pStyle w:val="BookText"/>
      </w:pPr>
      <w:r>
        <w:rPr>
          <w:rFonts w:ascii="Amiri" w:hAnsi="Amiri" w:eastAsia="Amiri" w:cs="Amiri"/>
          <w:lang w:bidi="ar-SA"/>
          <w:color w:val="111111"/>
          <w:sz w:val="28"/>
          <w:szCs w:val="28"/>
          <w:rtl/>
        </w:rPr>
        <w:t xml:space="preserve">في)، ج 10، ص 355.</w:t>
      </w:r>
    </w:p>
    <w:p>
      <w:pPr>
        <w:pStyle w:val="BookText"/>
      </w:pPr>
      <w:r>
        <w:rPr>
          <w:rFonts w:ascii="IRNazanin" w:hAnsi="IRNazanin" w:eastAsia="IRNazanin" w:cs="IRNazanin"/>
          <w:lang w:bidi="fa-IR"/>
          <w:color w:val="111111"/>
          <w:sz w:val="28"/>
          <w:szCs w:val="28"/>
          <w:rtl/>
        </w:rPr>
        <w:t xml:space="preserve">65 .الصارم المسلول على شاتم الرسول</w:t>
      </w:r>
    </w:p>
    <w:p>
      <w:pPr>
        <w:pStyle w:val="BookText"/>
      </w:pPr>
      <w:r>
        <w:rPr>
          <w:rFonts w:ascii="IRNazanin" w:hAnsi="IRNazanin" w:eastAsia="IRNazanin" w:cs="IRNazanin"/>
          <w:lang w:bidi="fa-IR"/>
          <w:color w:val="111111"/>
          <w:sz w:val="28"/>
          <w:szCs w:val="28"/>
          <w:rtl/>
        </w:rPr>
        <w:t xml:space="preserve">ج 10، ص 469.</w:t>
      </w:r>
    </w:p>
    <w:p>
      <w:pPr>
        <w:pStyle w:val="BookText"/>
      </w:pPr>
      <w:r>
        <w:rPr>
          <w:rFonts w:ascii="Amiri" w:hAnsi="Amiri" w:eastAsia="Amiri" w:cs="Amiri"/>
          <w:lang w:bidi="ar-SA"/>
          <w:color w:val="111111"/>
          <w:sz w:val="28"/>
          <w:szCs w:val="28"/>
          <w:rtl/>
        </w:rPr>
        <w:t xml:space="preserve">.66. الصبر (رسالة في)، ج 10، ص 481 .</w:t>
      </w:r>
    </w:p>
    <w:p>
      <w:pPr>
        <w:pStyle w:val="BookText"/>
      </w:pPr>
      <w:r>
        <w:rPr>
          <w:rFonts w:ascii="Amiri" w:hAnsi="Amiri" w:eastAsia="Amiri" w:cs="Amiri"/>
          <w:lang w:bidi="ar-SA"/>
          <w:color w:val="111111"/>
          <w:sz w:val="28"/>
          <w:szCs w:val="28"/>
          <w:rtl/>
        </w:rPr>
        <w:t xml:space="preserve">67 .صفة الشكر (رسالة في)، ج 10،</w:t>
      </w:r>
    </w:p>
    <w:p>
      <w:pPr>
        <w:pStyle w:val="BookText"/>
      </w:pPr>
      <w:r>
        <w:rPr>
          <w:rFonts w:ascii="IRNazanin" w:hAnsi="IRNazanin" w:eastAsia="IRNazanin" w:cs="IRNazanin"/>
          <w:lang w:bidi="fa-IR"/>
          <w:color w:val="111111"/>
          <w:sz w:val="28"/>
          <w:szCs w:val="28"/>
          <w:rtl/>
        </w:rPr>
        <w:t xml:space="preserve">ص 568 .</w:t>
      </w:r>
    </w:p>
    <w:p>
      <w:pPr>
        <w:pStyle w:val="BookText"/>
      </w:pPr>
      <w:r>
        <w:rPr>
          <w:rFonts w:ascii="Amiri" w:hAnsi="Amiri" w:eastAsia="Amiri" w:cs="Amiri"/>
          <w:lang w:bidi="ar-SA"/>
          <w:color w:val="111111"/>
          <w:sz w:val="28"/>
          <w:szCs w:val="28"/>
          <w:rtl/>
        </w:rPr>
        <w:t xml:space="preserve">68 .عذاب القبر (رسالة في)، ج11،</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Amiri" w:hAnsi="Amiri" w:eastAsia="Amiri" w:cs="Amiri"/>
          <w:lang w:bidi="ar-SA"/>
          <w:color w:val="111111"/>
          <w:sz w:val="28"/>
          <w:szCs w:val="28"/>
          <w:rtl/>
        </w:rPr>
        <w:t xml:space="preserve">69 .عقيدة اهل السنة (رسالة في)</w:t>
      </w:r>
    </w:p>
    <w:p>
      <w:pPr>
        <w:pStyle w:val="BookText"/>
      </w:pPr>
      <w:r>
        <w:rPr>
          <w:rFonts w:ascii="IRNazanin" w:hAnsi="IRNazanin" w:eastAsia="IRNazanin" w:cs="IRNazanin"/>
          <w:lang w:bidi="fa-IR"/>
          <w:color w:val="111111"/>
          <w:sz w:val="28"/>
          <w:szCs w:val="28"/>
          <w:rtl/>
        </w:rPr>
        <w:t xml:space="preserve">ج 11، ص 199.</w:t>
      </w:r>
    </w:p>
    <w:p>
      <w:pPr>
        <w:pStyle w:val="BookText"/>
      </w:pPr>
      <w:r>
        <w:rPr>
          <w:rFonts w:ascii="Amiri" w:hAnsi="Amiri" w:eastAsia="Amiri" w:cs="Amiri"/>
          <w:lang w:bidi="ar-SA"/>
          <w:color w:val="111111"/>
          <w:sz w:val="28"/>
          <w:szCs w:val="28"/>
          <w:rtl/>
        </w:rPr>
        <w:t xml:space="preserve">70 .العلو (رسالة في) = مسألة العلو</w:t>
      </w:r>
    </w:p>
    <w:p>
      <w:pPr>
        <w:pStyle w:val="BookText"/>
      </w:pPr>
      <w:r>
        <w:rPr>
          <w:rFonts w:ascii="Amiri" w:hAnsi="Amiri" w:eastAsia="Amiri" w:cs="Amiri"/>
          <w:lang w:bidi="ar-SA"/>
          <w:color w:val="111111"/>
          <w:sz w:val="28"/>
          <w:szCs w:val="28"/>
          <w:rtl/>
        </w:rPr>
        <w:t xml:space="preserve">(رسالة في)، ج 11، ص 274.</w:t>
      </w:r>
    </w:p>
    <w:p>
      <w:pPr>
        <w:pStyle w:val="BookText"/>
      </w:pPr>
      <w:r>
        <w:rPr>
          <w:rFonts w:ascii="Amiri" w:hAnsi="Amiri" w:eastAsia="Amiri" w:cs="Amiri"/>
          <w:lang w:bidi="ar-SA"/>
          <w:color w:val="111111"/>
          <w:sz w:val="28"/>
          <w:szCs w:val="28"/>
          <w:rtl/>
        </w:rPr>
        <w:t xml:space="preserve">71 .عيد النصارى رسالة في)، ج11،</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72 .الفتاوى فتاوی ابن تیمیه ج11،</w:t>
      </w:r>
    </w:p>
    <w:p>
      <w:pPr>
        <w:pStyle w:val="BookText"/>
      </w:pPr>
      <w:r>
        <w:rPr>
          <w:rFonts w:ascii="IRNazanin" w:hAnsi="IRNazanin" w:eastAsia="IRNazanin" w:cs="IRNazanin"/>
          <w:lang w:bidi="fa-IR"/>
          <w:color w:val="111111"/>
          <w:sz w:val="28"/>
          <w:szCs w:val="28"/>
          <w:rtl/>
        </w:rPr>
        <w:t xml:space="preserve">ص 592 .</w:t>
      </w:r>
    </w:p>
    <w:p>
      <w:pPr>
        <w:pStyle w:val="BookText"/>
      </w:pPr>
      <w:r>
        <w:rPr>
          <w:rFonts w:ascii="Amiri" w:hAnsi="Amiri" w:eastAsia="Amiri" w:cs="Amiri"/>
          <w:lang w:bidi="ar-SA"/>
          <w:color w:val="111111"/>
          <w:sz w:val="28"/>
          <w:szCs w:val="28"/>
          <w:rtl/>
        </w:rPr>
        <w:t xml:space="preserve">73 .الفتوة (مسائل في)، ج 11، ص 702.</w:t>
      </w:r>
    </w:p>
    <w:p>
      <w:pPr>
        <w:pStyle w:val="BookText"/>
      </w:pPr>
      <w:r>
        <w:rPr>
          <w:rFonts w:ascii="Amiri" w:hAnsi="Amiri" w:eastAsia="Amiri" w:cs="Amiri"/>
          <w:lang w:bidi="ar-SA"/>
          <w:color w:val="111111"/>
          <w:sz w:val="28"/>
          <w:szCs w:val="28"/>
          <w:rtl/>
        </w:rPr>
        <w:t xml:space="preserve">74 .فتوى الصوفية و الفقراء، ج 11،</w:t>
      </w:r>
    </w:p>
    <w:p>
      <w:pPr>
        <w:pStyle w:val="BookText"/>
      </w:pPr>
      <w:r>
        <w:rPr>
          <w:rFonts w:ascii="IRNazanin" w:hAnsi="IRNazanin" w:eastAsia="IRNazanin" w:cs="IRNazanin"/>
          <w:lang w:bidi="fa-IR"/>
          <w:color w:val="111111"/>
          <w:sz w:val="28"/>
          <w:szCs w:val="28"/>
          <w:rtl/>
        </w:rPr>
        <w:t xml:space="preserve">ص 718.</w:t>
      </w:r>
    </w:p>
    <w:p>
      <w:pPr>
        <w:pStyle w:val="BookText"/>
      </w:pPr>
      <w:r>
        <w:rPr>
          <w:rFonts w:ascii="Amiri" w:hAnsi="Amiri" w:eastAsia="Amiri" w:cs="Amiri"/>
          <w:lang w:bidi="ar-SA"/>
          <w:color w:val="111111"/>
          <w:sz w:val="28"/>
          <w:szCs w:val="28"/>
          <w:rtl/>
        </w:rPr>
        <w:t xml:space="preserve">75 .فتوى عارف محمد بن السيد فضل الله الحسيني في ابن عربي ج 11، ص718.</w:t>
      </w:r>
    </w:p>
    <w:p>
      <w:pPr>
        <w:pStyle w:val="BookText"/>
      </w:pPr>
      <w:r>
        <w:rPr>
          <w:rFonts w:ascii="Amiri" w:hAnsi="Amiri" w:eastAsia="Amiri" w:cs="Amiri"/>
          <w:lang w:bidi="ar-SA"/>
          <w:color w:val="111111"/>
          <w:sz w:val="28"/>
          <w:szCs w:val="28"/>
          <w:rtl/>
        </w:rPr>
        <w:t xml:space="preserve">76 .الفتيا المعروفة بالحموية = الفتوى للحموية الكبرى، ج 11، ص722.</w:t>
      </w:r>
    </w:p>
    <w:p>
      <w:pPr>
        <w:pStyle w:val="BookText"/>
      </w:pPr>
      <w:r>
        <w:rPr>
          <w:rFonts w:ascii="Amiri" w:hAnsi="Amiri" w:eastAsia="Amiri" w:cs="Amiri"/>
          <w:lang w:bidi="ar-SA"/>
          <w:color w:val="111111"/>
          <w:sz w:val="28"/>
          <w:szCs w:val="28"/>
          <w:rtl/>
        </w:rPr>
        <w:t xml:space="preserve">77 .الفرقان بين اولياء الرحمن و اولياء</w:t>
      </w:r>
    </w:p>
    <w:p>
      <w:pPr>
        <w:pStyle w:val="BookText"/>
      </w:pPr>
      <w:r>
        <w:rPr>
          <w:rFonts w:ascii="Amiri" w:hAnsi="Amiri" w:eastAsia="Amiri" w:cs="Amiri"/>
          <w:lang w:bidi="ar-SA"/>
          <w:color w:val="111111"/>
          <w:sz w:val="28"/>
          <w:szCs w:val="28"/>
          <w:rtl/>
        </w:rPr>
        <w:t xml:space="preserve">الشيطان، ج 11، ص788.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الفرق بين الكلمات الدينية و</w:t>
      </w:r>
    </w:p>
    <w:p>
      <w:pPr>
        <w:pStyle w:val="BookText"/>
      </w:pPr>
      <w:r>
        <w:rPr>
          <w:rFonts w:ascii="Amiri" w:hAnsi="Amiri" w:eastAsia="Amiri" w:cs="Amiri"/>
          <w:lang w:bidi="ar-SA"/>
          <w:color w:val="111111"/>
          <w:sz w:val="28"/>
          <w:szCs w:val="28"/>
          <w:rtl/>
        </w:rPr>
        <w:t xml:space="preserve">الكونية، ج 11، ص 796.</w:t>
      </w:r>
    </w:p>
    <w:p>
      <w:pPr>
        <w:pStyle w:val="BookText"/>
      </w:pPr>
      <w:r>
        <w:rPr>
          <w:rFonts w:ascii="Amiri" w:hAnsi="Amiri" w:eastAsia="Amiri" w:cs="Amiri"/>
          <w:lang w:bidi="ar-SA"/>
          <w:color w:val="111111"/>
          <w:sz w:val="28"/>
          <w:szCs w:val="28"/>
          <w:rtl/>
        </w:rPr>
        <w:t xml:space="preserve">79 .الفرقة الناجية المنصورة (القاعدة</w:t>
      </w:r>
    </w:p>
    <w:p>
      <w:pPr>
        <w:pStyle w:val="BookText"/>
      </w:pPr>
      <w:r>
        <w:rPr>
          <w:rFonts w:ascii="Amiri" w:hAnsi="Amiri" w:eastAsia="Amiri" w:cs="Amiri"/>
          <w:lang w:bidi="ar-SA"/>
          <w:color w:val="111111"/>
          <w:sz w:val="28"/>
          <w:szCs w:val="28"/>
          <w:rtl/>
        </w:rPr>
        <w:t xml:space="preserve">في)، ج 11، ص 800.</w:t>
      </w:r>
    </w:p>
    <w:p>
      <w:pPr>
        <w:pStyle w:val="BookText"/>
      </w:pPr>
      <w:r>
        <w:rPr>
          <w:rFonts w:ascii="Amiri" w:hAnsi="Amiri" w:eastAsia="Amiri" w:cs="Amiri"/>
          <w:lang w:bidi="ar-SA"/>
          <w:color w:val="111111"/>
          <w:sz w:val="28"/>
          <w:szCs w:val="28"/>
          <w:rtl/>
        </w:rPr>
        <w:t xml:space="preserve">80 .الفقه (رسالة في)، ج 12، ص 40.</w:t>
      </w:r>
    </w:p>
    <w:p>
      <w:pPr>
        <w:pStyle w:val="BookText"/>
      </w:pPr>
      <w:r>
        <w:rPr>
          <w:rFonts w:ascii="Amiri" w:hAnsi="Amiri" w:eastAsia="Amiri" w:cs="Amiri"/>
          <w:lang w:bidi="ar-SA"/>
          <w:color w:val="111111"/>
          <w:sz w:val="28"/>
          <w:szCs w:val="28"/>
          <w:rtl/>
        </w:rPr>
        <w:t xml:space="preserve">81 .قاعدة في القرآن، ج12، ص 334.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القدر (رسالة في)، ج 12، ص 382.</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القرآن الكريم و ما وقع فيه من النزاع (رسالة في)، ج 12، ص 540.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قسطاط الانصاف والعدل في درة تعارض العقل و النقل، ج 12،</w:t>
      </w:r>
    </w:p>
    <w:p>
      <w:pPr>
        <w:pStyle w:val="BookText"/>
      </w:pPr>
      <w:r>
        <w:rPr>
          <w:rFonts w:ascii="IRNazanin" w:hAnsi="IRNazanin" w:eastAsia="IRNazanin" w:cs="IRNazanin"/>
          <w:lang w:bidi="fa-IR"/>
          <w:color w:val="111111"/>
          <w:sz w:val="28"/>
          <w:szCs w:val="28"/>
          <w:rtl/>
        </w:rPr>
        <w:t xml:space="preserve">ص 584 .</w:t>
      </w:r>
    </w:p>
    <w:p>
      <w:pPr>
        <w:pStyle w:val="BookText"/>
      </w:pPr>
      <w:r>
        <w:rPr>
          <w:rFonts w:ascii="Amiri" w:hAnsi="Amiri" w:eastAsia="Amiri" w:cs="Amiri"/>
          <w:lang w:bidi="ar-SA"/>
          <w:color w:val="111111"/>
          <w:sz w:val="28"/>
          <w:szCs w:val="28"/>
          <w:rtl/>
        </w:rPr>
        <w:t xml:space="preserve">85 .قصيدة في العقائد، ج 12، ص 694.</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الكلام (رسالة في)، ج 13، ص 348.</w:t>
      </w:r>
    </w:p>
    <w:p>
      <w:pPr>
        <w:pStyle w:val="BookText"/>
      </w:pPr>
      <w:r>
        <w:rPr>
          <w:rFonts w:ascii="Amiri" w:hAnsi="Amiri" w:eastAsia="Amiri" w:cs="Amiri"/>
          <w:lang w:bidi="ar-SA"/>
          <w:color w:val="111111"/>
          <w:sz w:val="28"/>
          <w:szCs w:val="28"/>
          <w:rtl/>
        </w:rPr>
        <w:t xml:space="preserve">87 .لمحة المختطف في الفرق بين الطلاق و الحلف، ج 13، ص 611.</w:t>
      </w:r>
    </w:p>
    <w:p>
      <w:pPr>
        <w:pStyle w:val="BookText"/>
      </w:pPr>
      <w:r>
        <w:rPr>
          <w:rFonts w:ascii="Amiri" w:hAnsi="Amiri" w:eastAsia="Amiri" w:cs="Amiri"/>
          <w:lang w:bidi="ar-SA"/>
          <w:color w:val="111111"/>
          <w:sz w:val="28"/>
          <w:szCs w:val="28"/>
          <w:rtl/>
        </w:rPr>
        <w:t xml:space="preserve">88 .لوامع الإسترشاد في الفرق بين التوحيد والإلحاد، ج13، ص 639.</w:t>
      </w:r>
    </w:p>
    <w:p>
      <w:pPr>
        <w:pStyle w:val="BookText"/>
      </w:pPr>
      <w:r>
        <w:rPr>
          <w:rFonts w:ascii="IRNazanin" w:hAnsi="IRNazanin" w:eastAsia="IRNazanin" w:cs="IRNazanin"/>
          <w:lang w:bidi="fa-IR"/>
          <w:color w:val="111111"/>
          <w:sz w:val="28"/>
          <w:szCs w:val="28"/>
          <w:rtl/>
        </w:rPr>
        <w:t xml:space="preserve">89 .مختصر فتوح البلدان ج 14</w:t>
      </w:r>
    </w:p>
    <w:p>
      <w:pPr>
        <w:pStyle w:val="BookText"/>
      </w:pPr>
      <w:r>
        <w:rPr>
          <w:rFonts w:ascii="IRNazanin" w:hAnsi="IRNazanin" w:eastAsia="IRNazanin" w:cs="IRNazanin"/>
          <w:lang w:bidi="fa-IR"/>
          <w:color w:val="111111"/>
          <w:sz w:val="28"/>
          <w:szCs w:val="28"/>
          <w:rtl/>
        </w:rPr>
        <w:t xml:space="preserve">ص208.</w:t>
      </w:r>
    </w:p>
    <w:p>
      <w:pPr>
        <w:pStyle w:val="BookText"/>
      </w:pPr>
      <w:r>
        <w:rPr>
          <w:rFonts w:ascii="Amiri" w:hAnsi="Amiri" w:eastAsia="Amiri" w:cs="Amiri"/>
          <w:lang w:bidi="ar-SA"/>
          <w:color w:val="111111"/>
          <w:sz w:val="28"/>
          <w:szCs w:val="28"/>
          <w:rtl/>
        </w:rPr>
        <w:t xml:space="preserve">90 .مختصر في الرد على الشيعة، ج 14،</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Amiri" w:hAnsi="Amiri" w:eastAsia="Amiri" w:cs="Amiri"/>
          <w:lang w:bidi="ar-SA"/>
          <w:color w:val="111111"/>
          <w:sz w:val="28"/>
          <w:szCs w:val="28"/>
          <w:rtl/>
        </w:rPr>
        <w:t xml:space="preserve">91 .المسائل الحموية، ج 14، ص 444.</w:t>
      </w:r>
    </w:p>
    <w:p>
      <w:pPr>
        <w:pStyle w:val="BookText"/>
      </w:pPr>
      <w:r>
        <w:rPr>
          <w:rFonts w:ascii="Amiri" w:hAnsi="Amiri" w:eastAsia="Amiri" w:cs="Amiri"/>
          <w:lang w:bidi="ar-SA"/>
          <w:color w:val="111111"/>
          <w:sz w:val="28"/>
          <w:szCs w:val="28"/>
          <w:rtl/>
        </w:rPr>
        <w:t xml:space="preserve">92 .المسائلة الخلافية في الصلاة خلف</w:t>
      </w:r>
    </w:p>
    <w:p>
      <w:pPr>
        <w:pStyle w:val="BookText"/>
      </w:pPr>
      <w:r>
        <w:rPr>
          <w:rFonts w:ascii="Amiri" w:hAnsi="Amiri" w:eastAsia="Amiri" w:cs="Amiri"/>
          <w:lang w:bidi="ar-SA"/>
          <w:color w:val="111111"/>
          <w:sz w:val="28"/>
          <w:szCs w:val="28"/>
          <w:rtl/>
        </w:rPr>
        <w:t xml:space="preserve">المالكية، ج 14، ص 440.</w:t>
      </w:r>
    </w:p>
    <w:p>
      <w:pPr>
        <w:pStyle w:val="BookText"/>
      </w:pPr>
      <w:r>
        <w:rPr>
          <w:rFonts w:ascii="Amiri" w:hAnsi="Amiri" w:eastAsia="Amiri" w:cs="Amiri"/>
          <w:lang w:bidi="ar-SA"/>
          <w:color w:val="111111"/>
          <w:sz w:val="28"/>
          <w:szCs w:val="28"/>
          <w:rtl/>
        </w:rPr>
        <w:t xml:space="preserve">93 .مسائل في الفقه، ج 14، ص 474.</w:t>
      </w:r>
    </w:p>
    <w:p>
      <w:pPr>
        <w:pStyle w:val="BookText"/>
      </w:pPr>
      <w:r>
        <w:rPr>
          <w:rFonts w:ascii="IRNazanin" w:hAnsi="IRNazanin" w:eastAsia="IRNazanin" w:cs="IRNazanin"/>
          <w:lang w:bidi="fa-IR"/>
          <w:color w:val="111111"/>
          <w:sz w:val="28"/>
          <w:szCs w:val="28"/>
          <w:rtl/>
        </w:rPr>
        <w:t xml:space="preserve">94 .مسائل و فتاوی ج 14، ص 498</w:t>
      </w:r>
    </w:p>
    <w:p>
      <w:pPr>
        <w:pStyle w:val="BookText"/>
      </w:pPr>
      <w:r>
        <w:rPr>
          <w:rFonts w:ascii="Amiri" w:hAnsi="Amiri" w:eastAsia="Amiri" w:cs="Amiri"/>
          <w:lang w:bidi="ar-SA"/>
          <w:color w:val="111111"/>
          <w:sz w:val="28"/>
          <w:szCs w:val="28"/>
          <w:rtl/>
        </w:rPr>
        <w:t xml:space="preserve">95 .مسألة القرآن، ج 14، ص 545.</w:t>
      </w:r>
    </w:p>
    <w:p>
      <w:pPr>
        <w:pStyle w:val="BookText"/>
      </w:pPr>
      <w:r>
        <w:rPr>
          <w:rFonts w:ascii="Amiri" w:hAnsi="Amiri" w:eastAsia="Amiri" w:cs="Amiri"/>
          <w:lang w:bidi="ar-SA"/>
          <w:color w:val="111111"/>
          <w:sz w:val="28"/>
          <w:szCs w:val="28"/>
          <w:rtl/>
        </w:rPr>
        <w:t xml:space="preserve">96 .مسألة في الصلاة، ج 14، ص 544.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المسودة، ج 14، ص 603.</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المظالم المشتركة (رسالة في)، ج 14،</w:t>
      </w:r>
    </w:p>
    <w:p>
      <w:pPr>
        <w:pStyle w:val="BookText"/>
      </w:pPr>
      <w:r>
        <w:rPr>
          <w:rFonts w:ascii="IRNazanin" w:hAnsi="IRNazanin" w:eastAsia="IRNazanin" w:cs="IRNazanin"/>
          <w:lang w:bidi="fa-IR"/>
          <w:color w:val="111111"/>
          <w:sz w:val="28"/>
          <w:szCs w:val="28"/>
          <w:rtl/>
        </w:rPr>
        <w:t xml:space="preserve">ص 825.</w:t>
      </w:r>
    </w:p>
    <w:p>
      <w:pPr>
        <w:pStyle w:val="BookText"/>
      </w:pPr>
      <w:r>
        <w:rPr>
          <w:rFonts w:ascii="Amiri" w:hAnsi="Amiri" w:eastAsia="Amiri" w:cs="Amiri"/>
          <w:lang w:bidi="ar-SA"/>
          <w:color w:val="111111"/>
          <w:sz w:val="28"/>
          <w:szCs w:val="28"/>
          <w:rtl/>
        </w:rPr>
        <w:t xml:space="preserve">99 .المناظرة بقصر الامارة (رسالة في)</w:t>
      </w:r>
    </w:p>
    <w:p>
      <w:pPr>
        <w:pStyle w:val="BookText"/>
      </w:pPr>
      <w:r>
        <w:rPr>
          <w:rFonts w:ascii="IRNazanin" w:hAnsi="IRNazanin" w:eastAsia="IRNazanin" w:cs="IRNazanin"/>
          <w:lang w:bidi="fa-IR"/>
          <w:color w:val="111111"/>
          <w:sz w:val="28"/>
          <w:szCs w:val="28"/>
          <w:rtl/>
        </w:rPr>
        <w:t xml:space="preserve">ج 15، ص 517.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من كتاب الدر المضية لشيخ الاسلام بن تيمية، ج 15، ص 741.</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6" w:name="pg7742_69428"/>
    <w:bookmarkEnd w:id="46"/>
    <w:p>
      <w:pPr>
        <w:pStyle w:val="BookText"/>
      </w:pPr>
      <w:r>
        <w:rPr>
          <w:rFonts w:ascii="Amiri" w:hAnsi="Amiri" w:eastAsia="Amiri" w:cs="Amiri"/>
          <w:lang w:bidi="ar-SA"/>
          <w:color w:val="111111"/>
          <w:sz w:val="28"/>
          <w:szCs w:val="28"/>
          <w:rtl/>
        </w:rPr>
        <w:t xml:space="preserve">101 .منهاج السنة النبوية في نقض</w:t>
      </w:r>
    </w:p>
    <w:p>
      <w:pPr>
        <w:pStyle w:val="BookText"/>
      </w:pPr>
      <w:r>
        <w:rPr>
          <w:rFonts w:ascii="Amiri" w:hAnsi="Amiri" w:eastAsia="Amiri" w:cs="Amiri"/>
          <w:lang w:bidi="ar-SA"/>
          <w:color w:val="111111"/>
          <w:sz w:val="28"/>
          <w:szCs w:val="28"/>
          <w:rtl/>
        </w:rPr>
        <w:t xml:space="preserve">كلام الشيعة و القدرية = الرد على كتاب منهاج الكرامة في إثبات</w:t>
      </w:r>
    </w:p>
    <w:p>
      <w:pPr>
        <w:pStyle w:val="BookText"/>
      </w:pPr>
      <w:r>
        <w:rPr>
          <w:rFonts w:ascii="Amiri" w:hAnsi="Amiri" w:eastAsia="Amiri" w:cs="Amiri"/>
          <w:lang w:bidi="ar-SA"/>
          <w:color w:val="111111"/>
          <w:sz w:val="28"/>
          <w:szCs w:val="28"/>
          <w:rtl/>
        </w:rPr>
        <w:t xml:space="preserve">الامامة، ج 15 ، ص 757.</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المياه (رسالة في)، ج 16، ص 56.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الميراث (رسالة في)، ج 16، ص 58.</w:t>
      </w:r>
    </w:p>
    <w:p>
      <w:pPr>
        <w:pStyle w:val="BookText"/>
      </w:pPr>
      <w:r>
        <w:rPr>
          <w:rFonts w:ascii="IRNazanin" w:hAnsi="IRNazanin" w:eastAsia="IRNazanin" w:cs="IRNazanin"/>
          <w:lang w:bidi="fa-IR"/>
          <w:color w:val="111111"/>
          <w:sz w:val="28"/>
          <w:szCs w:val="28"/>
          <w:rtl/>
        </w:rPr>
        <w:t xml:space="preserve">104 .النزول و العرش، ج 16، ص 261.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نقض اساس التقديس، ج 16</w:t>
      </w:r>
    </w:p>
    <w:p>
      <w:pPr>
        <w:pStyle w:val="BookText"/>
      </w:pPr>
      <w:r>
        <w:rPr>
          <w:rFonts w:ascii="IRNazanin" w:hAnsi="IRNazanin" w:eastAsia="IRNazanin" w:cs="IRNazanin"/>
          <w:lang w:bidi="fa-IR"/>
          <w:color w:val="111111"/>
          <w:sz w:val="28"/>
          <w:szCs w:val="28"/>
          <w:rtl/>
        </w:rPr>
        <w:t xml:space="preserve">ص 422 .</w:t>
      </w:r>
    </w:p>
    <w:p>
      <w:pPr>
        <w:pStyle w:val="BookText"/>
      </w:pPr>
      <w:r>
        <w:rPr>
          <w:rFonts w:ascii="Amiri" w:hAnsi="Amiri" w:eastAsia="Amiri" w:cs="Amiri"/>
          <w:lang w:bidi="ar-SA"/>
          <w:color w:val="111111"/>
          <w:sz w:val="28"/>
          <w:szCs w:val="28"/>
          <w:rtl/>
        </w:rPr>
        <w:t xml:space="preserve">106 . وجود الله تعالى (رسالة في)</w:t>
      </w:r>
    </w:p>
    <w:p>
      <w:pPr>
        <w:pStyle w:val="BookText"/>
      </w:pPr>
      <w:r>
        <w:rPr>
          <w:rFonts w:ascii="IRNazanin" w:hAnsi="IRNazanin" w:eastAsia="IRNazanin" w:cs="IRNazanin"/>
          <w:lang w:bidi="fa-IR"/>
          <w:color w:val="111111"/>
          <w:sz w:val="28"/>
          <w:szCs w:val="28"/>
          <w:rtl/>
        </w:rPr>
        <w:t xml:space="preserve">ج 16، ص 732.</w:t>
      </w:r>
    </w:p>
    <w:p>
      <w:pPr>
        <w:pStyle w:val="BookText"/>
      </w:pPr>
      <w:r>
        <w:rPr>
          <w:rFonts w:ascii="Amiri" w:hAnsi="Amiri" w:eastAsia="Amiri" w:cs="Amiri"/>
          <w:lang w:bidi="ar-SA"/>
          <w:color w:val="111111"/>
          <w:sz w:val="28"/>
          <w:szCs w:val="28"/>
          <w:rtl/>
        </w:rPr>
        <w:t xml:space="preserve">107 .يزيد بن معاوية سؤال في)،</w:t>
      </w:r>
    </w:p>
    <w:p>
      <w:pPr>
        <w:pStyle w:val="BookText"/>
      </w:pPr>
      <w:r>
        <w:rPr>
          <w:rFonts w:ascii="IRNazanin" w:hAnsi="IRNazanin" w:eastAsia="IRNazanin" w:cs="IRNazanin"/>
          <w:lang w:bidi="fa-IR"/>
          <w:color w:val="111111"/>
          <w:sz w:val="28"/>
          <w:szCs w:val="28"/>
          <w:rtl/>
        </w:rPr>
        <w:t xml:space="preserve">ج 16، ص 897</w:t>
      </w:r>
    </w:p>
    <w:p>
      <w:pPr>
        <w:pStyle w:val="Heading2"/>
      </w:pPr>
      <w:bookmarkStart w:id="1172" w:name="_Toc274"/>
      <w:r>
        <w:t>ابن تیمیه ، عبدالسلام بن عبدالله 590 -</w:t>
      </w:r>
      <w:bookmarkEnd w:id="1172"/>
    </w:p>
    <w:p>
      <w:pPr>
        <w:pStyle w:val="BookText"/>
      </w:pPr>
      <w:r>
        <w:rPr>
          <w:rFonts w:ascii="IRNazanin" w:hAnsi="IRNazanin" w:eastAsia="IRNazanin" w:cs="IRNazanin"/>
          <w:lang w:bidi="fa-IR"/>
          <w:color w:val="111111"/>
          <w:sz w:val="28"/>
          <w:szCs w:val="28"/>
          <w:rtl/>
        </w:rPr>
        <w:t xml:space="preserve">652 ه-</w:t>
      </w:r>
    </w:p>
    <w:p>
      <w:pPr>
        <w:pStyle w:val="BookText"/>
      </w:pPr>
      <w:r>
        <w:rPr>
          <w:rFonts w:ascii="IRNazanin" w:hAnsi="IRNazanin" w:eastAsia="IRNazanin" w:cs="IRNazanin"/>
          <w:lang w:bidi="fa-IR"/>
          <w:color w:val="111111"/>
          <w:sz w:val="28"/>
          <w:szCs w:val="28"/>
          <w:rtl/>
        </w:rPr>
        <w:t xml:space="preserve">ثابت</w:t>
      </w:r>
    </w:p>
    <w:p>
      <w:pPr>
        <w:pStyle w:val="BookText"/>
      </w:pPr>
      <w:r>
        <w:rPr>
          <w:rFonts w:ascii="Amiri" w:hAnsi="Amiri" w:eastAsia="Amiri" w:cs="Amiri"/>
          <w:lang w:bidi="ar-SA"/>
          <w:color w:val="111111"/>
          <w:sz w:val="28"/>
          <w:szCs w:val="28"/>
          <w:rtl/>
        </w:rPr>
        <w:t xml:space="preserve">1 .الاصول في فقه الحنابلة، ج2،</w:t>
      </w:r>
    </w:p>
    <w:p>
      <w:pPr>
        <w:pStyle w:val="BookText"/>
      </w:pPr>
      <w:r>
        <w:rPr>
          <w:rFonts w:ascii="IRNazanin" w:hAnsi="IRNazanin" w:eastAsia="IRNazanin" w:cs="IRNazanin"/>
          <w:lang w:bidi="fa-IR"/>
          <w:color w:val="111111"/>
          <w:sz w:val="28"/>
          <w:szCs w:val="28"/>
          <w:rtl/>
        </w:rPr>
        <w:t xml:space="preserve">ص 460 .</w:t>
      </w:r>
    </w:p>
    <w:p>
      <w:pPr>
        <w:pStyle w:val="BookText"/>
      </w:pPr>
      <w:r>
        <w:rPr>
          <w:rFonts w:ascii="Amiri" w:hAnsi="Amiri" w:eastAsia="Amiri" w:cs="Amiri"/>
          <w:lang w:bidi="ar-SA"/>
          <w:color w:val="111111"/>
          <w:sz w:val="28"/>
          <w:szCs w:val="28"/>
          <w:rtl/>
        </w:rPr>
        <w:t xml:space="preserve">2 .المحرر في الفقه على مذهب الامام</w:t>
      </w:r>
    </w:p>
    <w:p>
      <w:pPr>
        <w:pStyle w:val="BookText"/>
      </w:pPr>
      <w:r>
        <w:rPr>
          <w:rFonts w:ascii="IRNazanin" w:hAnsi="IRNazanin" w:eastAsia="IRNazanin" w:cs="IRNazanin"/>
          <w:lang w:bidi="fa-IR"/>
          <w:color w:val="111111"/>
          <w:sz w:val="28"/>
          <w:szCs w:val="28"/>
          <w:rtl/>
        </w:rPr>
        <w:t xml:space="preserve">احمد بن حنبل، ج 14، ص 121.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المنتقي من احاديث الاحكام عن</w:t>
      </w:r>
    </w:p>
    <w:p>
      <w:pPr>
        <w:pStyle w:val="BookText"/>
      </w:pPr>
      <w:r>
        <w:rPr>
          <w:rFonts w:ascii="Amiri" w:hAnsi="Amiri" w:eastAsia="Amiri" w:cs="Amiri"/>
          <w:lang w:bidi="ar-SA"/>
          <w:color w:val="111111"/>
          <w:sz w:val="28"/>
          <w:szCs w:val="28"/>
          <w:rtl/>
        </w:rPr>
        <w:t xml:space="preserve">خير الانام، ج 15، ص 628.</w:t>
      </w:r>
    </w:p>
    <w:p>
      <w:pPr>
        <w:pStyle w:val="BookText"/>
      </w:pPr>
      <w:r>
        <w:rPr>
          <w:rFonts w:ascii="IRNazanin" w:hAnsi="IRNazanin" w:eastAsia="IRNazanin" w:cs="IRNazanin"/>
          <w:lang w:bidi="fa-IR"/>
          <w:color w:val="111111"/>
          <w:sz w:val="28"/>
          <w:szCs w:val="28"/>
          <w:rtl/>
        </w:rPr>
        <w:t xml:space="preserve">ابن ثابت ، حسان بن ثابت -حسان بن</w:t>
      </w:r>
    </w:p>
    <w:p>
      <w:pPr>
        <w:pStyle w:val="Heading2"/>
      </w:pPr>
      <w:bookmarkStart w:id="1173" w:name="_Toc275"/>
      <w:r>
        <w:t>ابن ثباته ، جمال الدين</w:t>
      </w:r>
      <w:bookmarkEnd w:id="1173"/>
    </w:p>
    <w:p>
      <w:pPr>
        <w:pStyle w:val="BookText"/>
      </w:pPr>
      <w:r>
        <w:rPr>
          <w:rFonts w:ascii="Amiri" w:hAnsi="Amiri" w:eastAsia="Amiri" w:cs="Amiri"/>
          <w:lang w:bidi="ar-SA"/>
          <w:color w:val="111111"/>
          <w:sz w:val="28"/>
          <w:szCs w:val="28"/>
          <w:rtl/>
        </w:rPr>
        <w:t xml:space="preserve">ديوان بياض النيات، ج 7، ص 598.</w:t>
      </w:r>
    </w:p>
    <w:p>
      <w:pPr>
        <w:pStyle w:val="BookText"/>
      </w:pPr>
      <w:r>
        <w:rPr>
          <w:rFonts w:ascii="Amiri" w:hAnsi="Amiri" w:eastAsia="Amiri" w:cs="Amiri"/>
          <w:lang w:bidi="ar-SA"/>
          <w:color w:val="111111"/>
          <w:sz w:val="28"/>
          <w:szCs w:val="28"/>
          <w:rtl/>
        </w:rPr>
        <w:t xml:space="preserve">ابن ثنيان ، عبد اللطيف بن عبد الرحمن - ثنيان ، عبد اللطيف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ابن جابر ، محمّد بن احمد هواري محمّد بن احمد</w:t>
      </w:r>
    </w:p>
    <w:p>
      <w:pPr>
        <w:pStyle w:val="Heading2"/>
      </w:pPr>
      <w:bookmarkStart w:id="1174" w:name="_Toc276"/>
      <w:r>
        <w:t>ابن جاسم ، حسین</w:t>
      </w:r>
      <w:bookmarkEnd w:id="1174"/>
    </w:p>
    <w:p>
      <w:pPr>
        <w:pStyle w:val="BookText"/>
      </w:pPr>
      <w:r>
        <w:rPr>
          <w:rFonts w:ascii="Amiri" w:hAnsi="Amiri" w:eastAsia="Amiri" w:cs="Amiri"/>
          <w:lang w:bidi="ar-SA"/>
          <w:color w:val="111111"/>
          <w:sz w:val="28"/>
          <w:szCs w:val="28"/>
          <w:rtl/>
        </w:rPr>
        <w:t xml:space="preserve">مجموعة شعرية، ج 14، ص 40.</w:t>
      </w:r>
    </w:p>
    <w:p>
      <w:pPr>
        <w:pStyle w:val="BookText"/>
      </w:pPr>
      <w:r>
        <w:rPr>
          <w:rFonts w:ascii="Amiri" w:hAnsi="Amiri" w:eastAsia="Amiri" w:cs="Amiri"/>
          <w:lang w:bidi="ar-SA"/>
          <w:color w:val="111111"/>
          <w:sz w:val="28"/>
          <w:szCs w:val="28"/>
          <w:rtl/>
        </w:rPr>
        <w:t xml:space="preserve">ابن جاندار ، حسين بن شهاب الدين كركي</w:t>
      </w:r>
    </w:p>
    <w:p>
      <w:pPr>
        <w:pStyle w:val="BookText"/>
      </w:pPr>
      <w:r>
        <w:rPr>
          <w:rFonts w:ascii="Amiri" w:hAnsi="Amiri" w:eastAsia="Amiri" w:cs="Amiri"/>
          <w:lang w:bidi="ar-SA"/>
          <w:color w:val="111111"/>
          <w:sz w:val="28"/>
          <w:szCs w:val="28"/>
          <w:rtl/>
        </w:rPr>
        <w:t xml:space="preserve">عاملي -كركي ، حسين بن شهاب الدين</w:t>
      </w:r>
    </w:p>
    <w:p>
      <w:pPr>
        <w:pStyle w:val="Heading2"/>
      </w:pPr>
      <w:bookmarkStart w:id="1175" w:name="_Toc277"/>
      <w:r>
        <w:t>ابن جباره ، احمد بن محمّد، 647-728ه-</w:t>
      </w:r>
      <w:bookmarkEnd w:id="1175"/>
    </w:p>
    <w:p>
      <w:pPr>
        <w:pStyle w:val="BookText"/>
      </w:pPr>
      <w:r>
        <w:rPr>
          <w:rFonts w:ascii="Amiri" w:hAnsi="Amiri" w:eastAsia="Amiri" w:cs="Amiri"/>
          <w:lang w:bidi="ar-SA"/>
          <w:color w:val="111111"/>
          <w:sz w:val="28"/>
          <w:szCs w:val="28"/>
          <w:rtl/>
        </w:rPr>
        <w:t xml:space="preserve">مختصر الكشاف، ج 14 ، ص238.</w:t>
      </w:r>
    </w:p>
    <w:p>
      <w:pPr>
        <w:pStyle w:val="Heading2"/>
      </w:pPr>
      <w:bookmarkStart w:id="1176" w:name="_Toc278"/>
      <w:r>
        <w:t>ابن جبر، علي بن يوسف ، قرن 7 ه-</w:t>
      </w:r>
      <w:bookmarkEnd w:id="1176"/>
    </w:p>
    <w:p>
      <w:pPr>
        <w:pStyle w:val="BookText"/>
      </w:pPr>
      <w:r>
        <w:rPr>
          <w:rFonts w:ascii="Amiri" w:hAnsi="Amiri" w:eastAsia="Amiri" w:cs="Amiri"/>
          <w:lang w:bidi="ar-SA"/>
          <w:color w:val="111111"/>
          <w:sz w:val="28"/>
          <w:szCs w:val="28"/>
          <w:rtl/>
        </w:rPr>
        <w:t xml:space="preserve">نهج الايمان ج 16، ص 515.</w:t>
      </w:r>
    </w:p>
    <w:p>
      <w:pPr>
        <w:pStyle w:val="BookText"/>
      </w:pPr>
      <w:r>
        <w:rPr>
          <w:rFonts w:ascii="Amiri" w:hAnsi="Amiri" w:eastAsia="Amiri" w:cs="Amiri"/>
          <w:lang w:bidi="ar-SA"/>
          <w:color w:val="111111"/>
          <w:sz w:val="28"/>
          <w:szCs w:val="28"/>
          <w:rtl/>
        </w:rPr>
        <w:t xml:space="preserve">ابن جبريل مقري مصري -مقري مصري ،</w:t>
      </w:r>
    </w:p>
    <w:p>
      <w:pPr>
        <w:pStyle w:val="BookText"/>
      </w:pPr>
      <w:r>
        <w:rPr>
          <w:rFonts w:ascii="IRNazanin" w:hAnsi="IRNazanin" w:eastAsia="IRNazanin" w:cs="IRNazanin"/>
          <w:lang w:bidi="fa-IR"/>
          <w:color w:val="111111"/>
          <w:sz w:val="28"/>
          <w:szCs w:val="28"/>
          <w:rtl/>
        </w:rPr>
        <w:t xml:space="preserve">محمّد بن مرتفع</w:t>
      </w:r>
    </w:p>
    <w:p>
      <w:pPr>
        <w:pStyle w:val="Heading2"/>
      </w:pPr>
      <w:bookmarkStart w:id="1177" w:name="_Toc279"/>
      <w:r>
        <w:t>ابن جبيش ، عبدالرحمن بن محمّد 504 -</w:t>
      </w:r>
      <w:bookmarkEnd w:id="1177"/>
    </w:p>
    <w:p>
      <w:pPr>
        <w:pStyle w:val="BookText"/>
      </w:pPr>
      <w:r>
        <w:rPr>
          <w:rFonts w:ascii="IRNazanin" w:hAnsi="IRNazanin" w:eastAsia="IRNazanin" w:cs="IRNazanin"/>
          <w:lang w:bidi="fa-IR"/>
          <w:color w:val="111111"/>
          <w:sz w:val="28"/>
          <w:szCs w:val="28"/>
          <w:rtl/>
        </w:rPr>
        <w:t xml:space="preserve">584 ه-</w:t>
      </w:r>
    </w:p>
    <w:p>
      <w:pPr>
        <w:pStyle w:val="BookText"/>
      </w:pPr>
      <w:r>
        <w:rPr>
          <w:rFonts w:ascii="IRNazanin" w:hAnsi="IRNazanin" w:eastAsia="IRNazanin" w:cs="IRNazanin"/>
          <w:lang w:bidi="fa-IR"/>
          <w:color w:val="111111"/>
          <w:sz w:val="28"/>
          <w:szCs w:val="28"/>
          <w:rtl/>
        </w:rPr>
        <w:t xml:space="preserve">الغزوات، ج 11، ص 501.</w:t>
      </w:r>
    </w:p>
    <w:p>
      <w:pPr>
        <w:pStyle w:val="Heading2"/>
      </w:pPr>
      <w:bookmarkStart w:id="1178" w:name="_Toc280"/>
      <w:r>
        <w:t>ابن جد ، احمد بن جد</w:t>
      </w:r>
      <w:bookmarkEnd w:id="1178"/>
    </w:p>
    <w:p>
      <w:pPr>
        <w:pStyle w:val="BookText"/>
      </w:pPr>
      <w:r>
        <w:rPr>
          <w:rFonts w:ascii="Amiri" w:hAnsi="Amiri" w:eastAsia="Amiri" w:cs="Amiri"/>
          <w:lang w:bidi="ar-SA"/>
          <w:color w:val="111111"/>
          <w:sz w:val="28"/>
          <w:szCs w:val="28"/>
          <w:rtl/>
        </w:rPr>
        <w:t xml:space="preserve">الدار المسلوك في احوال الانباء و الخلفاء المسلوك، ج 7، ص211.</w:t>
      </w:r>
    </w:p>
    <w:p>
      <w:pPr>
        <w:pStyle w:val="Heading2"/>
      </w:pPr>
      <w:bookmarkStart w:id="1179" w:name="_Toc281"/>
      <w:r>
        <w:t>ابن جراح ، عيسى بن علي، 302 - 391 ه-</w:t>
      </w:r>
      <w:bookmarkEnd w:id="1179"/>
    </w:p>
    <w:p>
      <w:pPr>
        <w:pStyle w:val="BookText"/>
      </w:pPr>
      <w:r>
        <w:rPr>
          <w:rFonts w:ascii="Amiri" w:hAnsi="Amiri" w:eastAsia="Amiri" w:cs="Amiri"/>
          <w:lang w:bidi="ar-SA"/>
          <w:color w:val="111111"/>
          <w:sz w:val="28"/>
          <w:szCs w:val="28"/>
          <w:rtl/>
        </w:rPr>
        <w:t xml:space="preserve">الأمالي، ج 2، ص 715.</w:t>
      </w:r>
    </w:p>
    <w:p>
      <w:pPr>
        <w:pStyle w:val="Heading2"/>
      </w:pPr>
      <w:bookmarkStart w:id="1180" w:name="_Toc282"/>
      <w:r>
        <w:t>ابن جراح ، وكيع بن جراح - 197 ه-</w:t>
      </w:r>
      <w:bookmarkEnd w:id="1180"/>
    </w:p>
    <w:p>
      <w:pPr>
        <w:pStyle w:val="BookText"/>
      </w:pPr>
      <w:r>
        <w:rPr>
          <w:rFonts w:ascii="IRNazanin" w:hAnsi="IRNazanin" w:eastAsia="IRNazanin" w:cs="IRNazanin"/>
          <w:lang w:bidi="fa-IR"/>
          <w:color w:val="111111"/>
          <w:sz w:val="28"/>
          <w:szCs w:val="28"/>
          <w:rtl/>
        </w:rPr>
        <w:t xml:space="preserve">احادیث، ج1، ص 385.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7" w:name="pg7742_69430"/>
    <w:bookmarkEnd w:id="47"/>
    <w:p>
      <w:pPr>
        <w:pStyle w:val="Heading2"/>
      </w:pPr>
      <w:bookmarkStart w:id="1181" w:name="_Toc283"/>
      <w:r>
        <w:t>ابن جرجس حلبي</w:t>
      </w:r>
      <w:bookmarkEnd w:id="1181"/>
    </w:p>
    <w:p>
      <w:pPr>
        <w:pStyle w:val="BookText"/>
      </w:pPr>
      <w:r>
        <w:rPr>
          <w:rFonts w:ascii="IRNazanin" w:hAnsi="IRNazanin" w:eastAsia="IRNazanin" w:cs="IRNazanin"/>
          <w:lang w:bidi="fa-IR"/>
          <w:color w:val="111111"/>
          <w:sz w:val="28"/>
          <w:szCs w:val="28"/>
          <w:rtl/>
        </w:rPr>
        <w:t xml:space="preserve">تأملات، ج 3، ص 619.</w:t>
      </w:r>
    </w:p>
    <w:p>
      <w:pPr>
        <w:pStyle w:val="Heading2"/>
      </w:pPr>
      <w:bookmarkStart w:id="1182" w:name="_Toc284"/>
      <w:r>
        <w:t>ابن جرجيس ، محمّد بن جرجيس</w:t>
      </w:r>
      <w:bookmarkEnd w:id="1182"/>
    </w:p>
    <w:p>
      <w:pPr>
        <w:pStyle w:val="BookText"/>
      </w:pPr>
      <w:r>
        <w:rPr>
          <w:rFonts w:ascii="IRNazanin" w:hAnsi="IRNazanin" w:eastAsia="IRNazanin" w:cs="IRNazanin"/>
          <w:lang w:bidi="fa-IR"/>
          <w:color w:val="111111"/>
          <w:sz w:val="28"/>
          <w:szCs w:val="28"/>
          <w:rtl/>
        </w:rPr>
        <w:t xml:space="preserve">1305 ه-</w:t>
      </w:r>
    </w:p>
    <w:p>
      <w:pPr>
        <w:pStyle w:val="BookText"/>
      </w:pPr>
      <w:r>
        <w:rPr>
          <w:rFonts w:ascii="IRNazanin" w:hAnsi="IRNazanin" w:eastAsia="IRNazanin" w:cs="IRNazanin"/>
          <w:lang w:bidi="fa-IR"/>
          <w:color w:val="111111"/>
          <w:sz w:val="28"/>
          <w:szCs w:val="28"/>
          <w:rtl/>
        </w:rPr>
        <w:t xml:space="preserve">1 .بستان الاخوان و مورد الضمان</w:t>
      </w:r>
    </w:p>
    <w:p>
      <w:pPr>
        <w:pStyle w:val="BookText"/>
      </w:pPr>
      <w:r>
        <w:rPr>
          <w:rFonts w:ascii="IRNazanin" w:hAnsi="IRNazanin" w:eastAsia="IRNazanin" w:cs="IRNazanin"/>
          <w:lang w:bidi="fa-IR"/>
          <w:color w:val="111111"/>
          <w:sz w:val="28"/>
          <w:szCs w:val="28"/>
          <w:rtl/>
        </w:rPr>
        <w:t xml:space="preserve">ج 3، ص 322</w:t>
      </w:r>
    </w:p>
    <w:p>
      <w:pPr>
        <w:pStyle w:val="BookText"/>
      </w:pPr>
      <w:r>
        <w:rPr>
          <w:rFonts w:ascii="Amiri" w:hAnsi="Amiri" w:eastAsia="Amiri" w:cs="Amiri"/>
          <w:lang w:bidi="ar-SA"/>
          <w:color w:val="111111"/>
          <w:sz w:val="28"/>
          <w:szCs w:val="28"/>
          <w:rtl/>
        </w:rPr>
        <w:t xml:space="preserve">2 .تحفة السالكين على قصيدة الشيخ</w:t>
      </w:r>
    </w:p>
    <w:p>
      <w:pPr>
        <w:pStyle w:val="BookText"/>
      </w:pPr>
      <w:r>
        <w:rPr>
          <w:rFonts w:ascii="IRNazanin" w:hAnsi="IRNazanin" w:eastAsia="IRNazanin" w:cs="IRNazanin"/>
          <w:lang w:bidi="fa-IR"/>
          <w:color w:val="111111"/>
          <w:sz w:val="28"/>
          <w:szCs w:val="28"/>
          <w:rtl/>
        </w:rPr>
        <w:t xml:space="preserve">نورالدین، ج 3، ص 844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تسلية الاخوان في شهر رمضان ج4،</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IRNazanin" w:hAnsi="IRNazanin" w:eastAsia="IRNazanin" w:cs="IRNazanin"/>
          <w:lang w:bidi="fa-IR"/>
          <w:color w:val="111111"/>
          <w:sz w:val="28"/>
          <w:szCs w:val="28"/>
          <w:rtl/>
        </w:rPr>
        <w:t xml:space="preserve">4 .تلخيص التبيان من روح البیان، ج 4</w:t>
      </w:r>
    </w:p>
    <w:p>
      <w:pPr>
        <w:pStyle w:val="BookText"/>
      </w:pPr>
      <w:r>
        <w:rPr>
          <w:rFonts w:ascii="IRNazanin" w:hAnsi="IRNazanin" w:eastAsia="IRNazanin" w:cs="IRNazanin"/>
          <w:lang w:bidi="fa-IR"/>
          <w:color w:val="111111"/>
          <w:sz w:val="28"/>
          <w:szCs w:val="28"/>
          <w:rtl/>
        </w:rPr>
        <w:t xml:space="preserve">ص 843.</w:t>
      </w:r>
    </w:p>
    <w:p>
      <w:pPr>
        <w:pStyle w:val="BookText"/>
      </w:pPr>
      <w:r>
        <w:rPr>
          <w:rFonts w:ascii="Amiri" w:hAnsi="Amiri" w:eastAsia="Amiri" w:cs="Amiri"/>
          <w:lang w:bidi="ar-SA"/>
          <w:color w:val="111111"/>
          <w:sz w:val="28"/>
          <w:szCs w:val="28"/>
          <w:rtl/>
        </w:rPr>
        <w:t xml:space="preserve">5 .شرح تائية الشيخ نورالدين البريفكي بحر( الحقائق)، ج 9، ص301</w:t>
      </w:r>
    </w:p>
    <w:p>
      <w:pPr>
        <w:pStyle w:val="BookText"/>
      </w:pPr>
      <w:r>
        <w:rPr>
          <w:rFonts w:ascii="Amiri" w:hAnsi="Amiri" w:eastAsia="Amiri" w:cs="Amiri"/>
          <w:lang w:bidi="ar-SA"/>
          <w:color w:val="111111"/>
          <w:sz w:val="28"/>
          <w:szCs w:val="28"/>
          <w:rtl/>
        </w:rPr>
        <w:t xml:space="preserve">6 .شرح قصيدة الشيخ نورالدين</w:t>
      </w:r>
    </w:p>
    <w:p>
      <w:pPr>
        <w:pStyle w:val="BookText"/>
      </w:pPr>
      <w:r>
        <w:rPr>
          <w:rFonts w:ascii="Amiri" w:hAnsi="Amiri" w:eastAsia="Amiri" w:cs="Amiri"/>
          <w:lang w:bidi="ar-SA"/>
          <w:color w:val="111111"/>
          <w:sz w:val="28"/>
          <w:szCs w:val="28"/>
          <w:rtl/>
        </w:rPr>
        <w:t xml:space="preserve">البريفكي، ج9، ص 871</w:t>
      </w:r>
    </w:p>
    <w:p>
      <w:pPr>
        <w:pStyle w:val="BookText"/>
      </w:pPr>
      <w:r>
        <w:rPr>
          <w:rFonts w:ascii="Amiri" w:hAnsi="Amiri" w:eastAsia="Amiri" w:cs="Amiri"/>
          <w:lang w:bidi="ar-SA"/>
          <w:color w:val="111111"/>
          <w:sz w:val="28"/>
          <w:szCs w:val="28"/>
          <w:rtl/>
        </w:rPr>
        <w:t xml:space="preserve">7 .الفوائد اللطيفة من النصائح، ج 12،</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قطف ثمار الكلام من كتاب زهر</w:t>
      </w:r>
    </w:p>
    <w:p>
      <w:pPr>
        <w:pStyle w:val="BookText"/>
      </w:pPr>
      <w:r>
        <w:rPr>
          <w:rFonts w:ascii="Amiri" w:hAnsi="Amiri" w:eastAsia="Amiri" w:cs="Amiri"/>
          <w:lang w:bidi="ar-SA"/>
          <w:color w:val="111111"/>
          <w:sz w:val="28"/>
          <w:szCs w:val="28"/>
          <w:rtl/>
        </w:rPr>
        <w:t xml:space="preserve">الاكمام، ج 12، ص 752.</w:t>
      </w:r>
    </w:p>
    <w:p>
      <w:pPr>
        <w:pStyle w:val="BookText"/>
      </w:pPr>
      <w:r>
        <w:rPr>
          <w:rFonts w:ascii="Amiri" w:hAnsi="Amiri" w:eastAsia="Amiri" w:cs="Amiri"/>
          <w:lang w:bidi="ar-SA"/>
          <w:color w:val="111111"/>
          <w:sz w:val="28"/>
          <w:szCs w:val="28"/>
          <w:rtl/>
        </w:rPr>
        <w:t xml:space="preserve">9 .مختصر جليل من كتاب معالم</w:t>
      </w:r>
    </w:p>
    <w:p>
      <w:pPr>
        <w:pStyle w:val="BookText"/>
      </w:pPr>
      <w:r>
        <w:rPr>
          <w:rFonts w:ascii="Amiri" w:hAnsi="Amiri" w:eastAsia="Amiri" w:cs="Amiri"/>
          <w:lang w:bidi="ar-SA"/>
          <w:color w:val="111111"/>
          <w:sz w:val="28"/>
          <w:szCs w:val="28"/>
          <w:rtl/>
        </w:rPr>
        <w:t xml:space="preserve">التنزيل، ج 14 ، ص 185.</w:t>
      </w:r>
    </w:p>
    <w:p>
      <w:pPr>
        <w:pStyle w:val="BookText"/>
      </w:pPr>
      <w:r>
        <w:rPr>
          <w:rFonts w:ascii="Amiri" w:hAnsi="Amiri" w:eastAsia="Amiri" w:cs="Amiri"/>
          <w:lang w:bidi="ar-SA"/>
          <w:color w:val="111111"/>
          <w:sz w:val="28"/>
          <w:szCs w:val="28"/>
          <w:rtl/>
        </w:rPr>
        <w:t xml:space="preserve">10 .المعارف الغيبية في شرح القصيدة</w:t>
      </w:r>
    </w:p>
    <w:p>
      <w:pPr>
        <w:pStyle w:val="BookText"/>
      </w:pPr>
      <w:r>
        <w:rPr>
          <w:rFonts w:ascii="Amiri" w:hAnsi="Amiri" w:eastAsia="Amiri" w:cs="Amiri"/>
          <w:lang w:bidi="ar-SA"/>
          <w:color w:val="111111"/>
          <w:sz w:val="28"/>
          <w:szCs w:val="28"/>
          <w:rtl/>
        </w:rPr>
        <w:t xml:space="preserve">العينية، ج 14، ص 846.</w:t>
      </w:r>
    </w:p>
    <w:p>
      <w:pPr>
        <w:pStyle w:val="BookText"/>
      </w:pPr>
      <w:r>
        <w:rPr>
          <w:rFonts w:ascii="Amiri" w:hAnsi="Amiri" w:eastAsia="Amiri" w:cs="Amiri"/>
          <w:lang w:bidi="ar-SA"/>
          <w:color w:val="111111"/>
          <w:sz w:val="28"/>
          <w:szCs w:val="28"/>
          <w:rtl/>
        </w:rPr>
        <w:t xml:space="preserve">11 .نخبة الجواهر و اليواقيت ج 16،</w:t>
      </w:r>
    </w:p>
    <w:p>
      <w:pPr>
        <w:pStyle w:val="BookText"/>
      </w:pPr>
      <w:r>
        <w:rPr>
          <w:rFonts w:ascii="IRNazanin" w:hAnsi="IRNazanin" w:eastAsia="IRNazanin" w:cs="IRNazanin"/>
          <w:lang w:bidi="fa-IR"/>
          <w:color w:val="111111"/>
          <w:sz w:val="28"/>
          <w:szCs w:val="28"/>
          <w:rtl/>
        </w:rPr>
        <w:t xml:space="preserve">ص198.</w:t>
      </w:r>
    </w:p>
    <w:p>
      <w:pPr>
        <w:pStyle w:val="BookText"/>
      </w:pPr>
      <w:r>
        <w:rPr>
          <w:rFonts w:ascii="Amiri" w:hAnsi="Amiri" w:eastAsia="Amiri" w:cs="Amiri"/>
          <w:lang w:bidi="ar-SA"/>
          <w:color w:val="111111"/>
          <w:sz w:val="28"/>
          <w:szCs w:val="28"/>
          <w:rtl/>
        </w:rPr>
        <w:t xml:space="preserve">ابن جرير طبري، محمّد بن جرير -طبري</w:t>
      </w:r>
    </w:p>
    <w:p>
      <w:pPr>
        <w:pStyle w:val="BookText"/>
      </w:pPr>
      <w:r>
        <w:rPr>
          <w:rFonts w:ascii="Amiri" w:hAnsi="Amiri" w:eastAsia="Amiri" w:cs="Amiri"/>
          <w:lang w:bidi="ar-SA"/>
          <w:color w:val="111111"/>
          <w:sz w:val="28"/>
          <w:szCs w:val="28"/>
          <w:rtl/>
        </w:rPr>
        <w:t xml:space="preserve">، محمّد بن جرير</w:t>
      </w:r>
    </w:p>
    <w:p>
      <w:pPr>
        <w:pStyle w:val="Heading2"/>
      </w:pPr>
      <w:bookmarkStart w:id="1183" w:name="_Toc285"/>
      <w:r>
        <w:t>ابن جزار ، احمد بن ابراهيم - 395؟ ه-</w:t>
      </w:r>
      <w:bookmarkEnd w:id="1183"/>
    </w:p>
    <w:p>
      <w:pPr>
        <w:pStyle w:val="BookText"/>
      </w:pPr>
      <w:r>
        <w:rPr>
          <w:rFonts w:ascii="Amiri" w:hAnsi="Amiri" w:eastAsia="Amiri" w:cs="Amiri"/>
          <w:lang w:bidi="ar-SA"/>
          <w:color w:val="111111"/>
          <w:sz w:val="28"/>
          <w:szCs w:val="28"/>
          <w:rtl/>
        </w:rPr>
        <w:t xml:space="preserve">1 .طب الفقراء والمساكين، ج 10،</w:t>
      </w:r>
    </w:p>
    <w:p>
      <w:pPr>
        <w:pStyle w:val="BookText"/>
      </w:pPr>
      <w:r>
        <w:rPr>
          <w:rFonts w:ascii="IRNazanin" w:hAnsi="IRNazanin" w:eastAsia="IRNazanin" w:cs="IRNazanin"/>
          <w:lang w:bidi="fa-IR"/>
          <w:color w:val="111111"/>
          <w:sz w:val="28"/>
          <w:szCs w:val="28"/>
          <w:rtl/>
        </w:rPr>
        <w:t xml:space="preserve">ص 769 .</w:t>
      </w:r>
    </w:p>
    <w:p>
      <w:pPr>
        <w:pStyle w:val="BookText"/>
      </w:pPr>
      <w:r>
        <w:rPr>
          <w:rFonts w:ascii="Amiri" w:hAnsi="Amiri" w:eastAsia="Amiri" w:cs="Amiri"/>
          <w:lang w:bidi="ar-SA"/>
          <w:color w:val="111111"/>
          <w:sz w:val="28"/>
          <w:szCs w:val="28"/>
          <w:rtl/>
        </w:rPr>
        <w:t xml:space="preserve">2 .الفروق بين الاشتباهات في العلل</w:t>
      </w:r>
    </w:p>
    <w:p>
      <w:pPr>
        <w:pStyle w:val="BookText"/>
      </w:pPr>
      <w:r>
        <w:rPr>
          <w:rFonts w:ascii="IRNazanin" w:hAnsi="IRNazanin" w:eastAsia="IRNazanin" w:cs="IRNazanin"/>
          <w:lang w:bidi="fa-IR"/>
          <w:color w:val="111111"/>
          <w:sz w:val="28"/>
          <w:szCs w:val="28"/>
          <w:rtl/>
        </w:rPr>
        <w:t xml:space="preserve">ج 11، ص 816.</w:t>
      </w:r>
    </w:p>
    <w:p>
      <w:pPr>
        <w:pStyle w:val="Heading2"/>
      </w:pPr>
      <w:bookmarkStart w:id="1184" w:name="_Toc286"/>
      <w:r>
        <w:t>ابن جزاز ، علي بن جزاز - 984؟ ه-</w:t>
      </w:r>
      <w:bookmarkEnd w:id="1184"/>
    </w:p>
    <w:p>
      <w:pPr>
        <w:pStyle w:val="BookText"/>
      </w:pPr>
      <w:r>
        <w:rPr>
          <w:rFonts w:ascii="Amiri" w:hAnsi="Amiri" w:eastAsia="Amiri" w:cs="Amiri"/>
          <w:lang w:bidi="ar-SA"/>
          <w:color w:val="111111"/>
          <w:sz w:val="28"/>
          <w:szCs w:val="28"/>
          <w:rtl/>
        </w:rPr>
        <w:t xml:space="preserve">قمع الواشين في ذهم البراشين، ج 12،</w:t>
      </w:r>
    </w:p>
    <w:p>
      <w:pPr>
        <w:pStyle w:val="BookText"/>
      </w:pPr>
      <w:r>
        <w:rPr>
          <w:rFonts w:ascii="IRNazanin" w:hAnsi="IRNazanin" w:eastAsia="IRNazanin" w:cs="IRNazanin"/>
          <w:lang w:bidi="fa-IR"/>
          <w:color w:val="111111"/>
          <w:sz w:val="28"/>
          <w:szCs w:val="28"/>
          <w:rtl/>
        </w:rPr>
        <w:t xml:space="preserve">ص 770</w:t>
      </w:r>
    </w:p>
    <w:p>
      <w:pPr>
        <w:pStyle w:val="Heading2"/>
      </w:pPr>
      <w:bookmarkStart w:id="1185" w:name="_Toc287"/>
      <w:r>
        <w:t>ابن جزري، احمد بن محمّد، 780-835؟ه-</w:t>
      </w:r>
      <w:bookmarkEnd w:id="1185"/>
    </w:p>
    <w:p>
      <w:pPr>
        <w:pStyle w:val="BookText"/>
      </w:pPr>
      <w:r>
        <w:rPr>
          <w:rFonts w:ascii="Amiri" w:hAnsi="Amiri" w:eastAsia="Amiri" w:cs="Amiri"/>
          <w:lang w:bidi="ar-SA"/>
          <w:color w:val="111111"/>
          <w:sz w:val="28"/>
          <w:szCs w:val="28"/>
          <w:rtl/>
        </w:rPr>
        <w:t xml:space="preserve">1 .الحواشي المفهمة في شرح المقدمة = شرح المقدمة الجزرية، ج 6، ص 843.</w:t>
      </w:r>
    </w:p>
    <w:p>
      <w:pPr>
        <w:pStyle w:val="BookText"/>
      </w:pPr>
      <w:r>
        <w:rPr>
          <w:rFonts w:ascii="Amiri" w:hAnsi="Amiri" w:eastAsia="Amiri" w:cs="Amiri"/>
          <w:lang w:bidi="ar-SA"/>
          <w:color w:val="111111"/>
          <w:sz w:val="28"/>
          <w:szCs w:val="28"/>
          <w:rtl/>
        </w:rPr>
        <w:t xml:space="preserve">2 .المباحث المحصبة في اطلاق الطيبة</w:t>
      </w:r>
    </w:p>
    <w:p>
      <w:pPr>
        <w:pStyle w:val="BookText"/>
      </w:pPr>
      <w:r>
        <w:rPr>
          <w:rFonts w:ascii="IRNazanin" w:hAnsi="IRNazanin" w:eastAsia="IRNazanin" w:cs="IRNazanin"/>
          <w:lang w:bidi="fa-IR"/>
          <w:color w:val="111111"/>
          <w:sz w:val="28"/>
          <w:szCs w:val="28"/>
          <w:rtl/>
        </w:rPr>
        <w:t xml:space="preserve">ج 13، ص 719.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نظم الطرق، ج 16 ، ص 347.</w:t>
      </w:r>
    </w:p>
    <w:p>
      <w:pPr>
        <w:pStyle w:val="Heading2"/>
      </w:pPr>
      <w:bookmarkStart w:id="1186" w:name="_Toc288"/>
      <w:r>
        <w:t>ابن جزري، محمّد بن ابراهيم 658 -</w:t>
      </w:r>
      <w:bookmarkEnd w:id="1186"/>
    </w:p>
    <w:p>
      <w:pPr>
        <w:pStyle w:val="BookText"/>
      </w:pPr>
      <w:r>
        <w:rPr>
          <w:rFonts w:ascii="IRNazanin" w:hAnsi="IRNazanin" w:eastAsia="IRNazanin" w:cs="IRNazanin"/>
          <w:lang w:bidi="fa-IR"/>
          <w:color w:val="111111"/>
          <w:sz w:val="28"/>
          <w:szCs w:val="28"/>
          <w:rtl/>
        </w:rPr>
        <w:t xml:space="preserve">739 ه-</w:t>
      </w:r>
    </w:p>
    <w:p>
      <w:pPr>
        <w:pStyle w:val="BookText"/>
      </w:pPr>
      <w:r>
        <w:rPr>
          <w:rFonts w:ascii="Amiri" w:hAnsi="Amiri" w:eastAsia="Amiri" w:cs="Amiri"/>
          <w:lang w:bidi="ar-SA"/>
          <w:color w:val="111111"/>
          <w:sz w:val="28"/>
          <w:szCs w:val="28"/>
          <w:rtl/>
        </w:rPr>
        <w:t xml:space="preserve">تاريخ دولة الممالك في مصر = حوادث</w:t>
      </w:r>
    </w:p>
    <w:p>
      <w:pPr>
        <w:pStyle w:val="BookText"/>
      </w:pPr>
      <w:r>
        <w:rPr>
          <w:rFonts w:ascii="IRNazanin" w:hAnsi="IRNazanin" w:eastAsia="IRNazanin" w:cs="IRNazanin"/>
          <w:lang w:bidi="fa-IR"/>
          <w:color w:val="111111"/>
          <w:sz w:val="28"/>
          <w:szCs w:val="28"/>
          <w:rtl/>
        </w:rPr>
        <w:t xml:space="preserve">الزمان و انبائه و وفیات الاكابر و الاعيان من ابنائه = تاريخ الجزري ج 3، ص 575.</w:t>
      </w:r>
    </w:p>
    <w:p>
      <w:pPr>
        <w:pStyle w:val="Heading2"/>
      </w:pPr>
      <w:bookmarkStart w:id="1187" w:name="_Toc289"/>
      <w:r>
        <w:t>ابن جزري محمّد بن محمّد 751-833ه-</w:t>
      </w:r>
      <w:bookmarkEnd w:id="1187"/>
    </w:p>
    <w:p>
      <w:pPr>
        <w:pStyle w:val="BookText"/>
      </w:pPr>
      <w:r>
        <w:rPr>
          <w:rFonts w:ascii="Amiri" w:hAnsi="Amiri" w:eastAsia="Amiri" w:cs="Amiri"/>
          <w:lang w:bidi="ar-SA"/>
          <w:color w:val="111111"/>
          <w:sz w:val="28"/>
          <w:szCs w:val="28"/>
          <w:rtl/>
        </w:rPr>
        <w:t xml:space="preserve">1 .الاربعون حديثاً، ج1، ص 694.</w:t>
      </w:r>
    </w:p>
    <w:p>
      <w:pPr>
        <w:pStyle w:val="BookText"/>
      </w:pPr>
      <w:r>
        <w:rPr>
          <w:rFonts w:ascii="Amiri" w:hAnsi="Amiri" w:eastAsia="Amiri" w:cs="Amiri"/>
          <w:lang w:bidi="ar-SA"/>
          <w:color w:val="111111"/>
          <w:sz w:val="28"/>
          <w:szCs w:val="28"/>
          <w:rtl/>
        </w:rPr>
        <w:t xml:space="preserve">2 .الأربعون حديثاً العليا، ج 1، ص719.</w:t>
      </w:r>
    </w:p>
    <w:p>
      <w:pPr>
        <w:pStyle w:val="BookText"/>
      </w:pPr>
      <w:r>
        <w:rPr>
          <w:rFonts w:ascii="Amiri" w:hAnsi="Amiri" w:eastAsia="Amiri" w:cs="Amiri"/>
          <w:lang w:bidi="ar-SA"/>
          <w:color w:val="111111"/>
          <w:sz w:val="28"/>
          <w:szCs w:val="28"/>
          <w:rtl/>
        </w:rPr>
        <w:t xml:space="preserve">3 .اصول القراءات و قوانينها ،ج 2،</w:t>
      </w:r>
    </w:p>
    <w:p>
      <w:pPr>
        <w:pStyle w:val="BookText"/>
      </w:pPr>
      <w:r>
        <w:rPr>
          <w:rFonts w:ascii="IRNazanin" w:hAnsi="IRNazanin" w:eastAsia="IRNazanin" w:cs="IRNazanin"/>
          <w:lang w:bidi="fa-IR"/>
          <w:color w:val="111111"/>
          <w:sz w:val="28"/>
          <w:szCs w:val="28"/>
          <w:rtl/>
        </w:rPr>
        <w:t xml:space="preserve">ص 460 .</w:t>
      </w:r>
    </w:p>
    <w:p>
      <w:pPr>
        <w:pStyle w:val="BookText"/>
      </w:pPr>
      <w:r>
        <w:rPr>
          <w:rFonts w:ascii="Amiri" w:hAnsi="Amiri" w:eastAsia="Amiri" w:cs="Amiri"/>
          <w:lang w:bidi="ar-SA"/>
          <w:color w:val="111111"/>
          <w:sz w:val="28"/>
          <w:szCs w:val="28"/>
          <w:rtl/>
        </w:rPr>
        <w:t xml:space="preserve">4 .التجويد للقرآن المجيد، ج3،</w:t>
      </w:r>
    </w:p>
    <w:p>
      <w:pPr>
        <w:pStyle w:val="BookText"/>
      </w:pPr>
      <w:r>
        <w:rPr>
          <w:rFonts w:ascii="IRNazanin" w:hAnsi="IRNazanin" w:eastAsia="IRNazanin" w:cs="IRNazanin"/>
          <w:lang w:bidi="fa-IR"/>
          <w:color w:val="111111"/>
          <w:sz w:val="28"/>
          <w:szCs w:val="28"/>
          <w:rtl/>
        </w:rPr>
        <w:t xml:space="preserve">ص 717.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8" w:name="pg7742_69432"/>
    <w:bookmarkEnd w:id="48"/>
    <w:p>
      <w:pPr>
        <w:pStyle w:val="BookText"/>
      </w:pPr>
      <w:r>
        <w:rPr>
          <w:rFonts w:ascii="Amiri" w:hAnsi="Amiri" w:eastAsia="Amiri" w:cs="Amiri"/>
          <w:lang w:bidi="ar-SA"/>
          <w:color w:val="111111"/>
          <w:sz w:val="28"/>
          <w:szCs w:val="28"/>
          <w:rtl/>
        </w:rPr>
        <w:t xml:space="preserve">5 .تحبير التيسير، ج3، ص719.</w:t>
      </w:r>
    </w:p>
    <w:p>
      <w:pPr>
        <w:pStyle w:val="BookText"/>
      </w:pPr>
      <w:r>
        <w:rPr>
          <w:rFonts w:ascii="Amiri" w:hAnsi="Amiri" w:eastAsia="Amiri" w:cs="Amiri"/>
          <w:lang w:bidi="ar-SA"/>
          <w:color w:val="111111"/>
          <w:sz w:val="28"/>
          <w:szCs w:val="28"/>
          <w:rtl/>
        </w:rPr>
        <w:t xml:space="preserve">6 .التفسير (ارجوزة في)، ج 4، ص 572.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التقريب = تقريب النشر في القراءات العشر، ج 4، ص 721.</w:t>
      </w:r>
    </w:p>
    <w:p>
      <w:pPr>
        <w:pStyle w:val="BookText"/>
      </w:pPr>
      <w:r>
        <w:rPr>
          <w:rFonts w:ascii="Amiri" w:hAnsi="Amiri" w:eastAsia="Amiri" w:cs="Amiri"/>
          <w:lang w:bidi="ar-SA"/>
          <w:color w:val="111111"/>
          <w:sz w:val="28"/>
          <w:szCs w:val="28"/>
          <w:rtl/>
        </w:rPr>
        <w:t xml:space="preserve">8 .التمهيد في علم التجويد، ج 5، ص3.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جنة الحصن الحصين من كلام سيد</w:t>
      </w:r>
    </w:p>
    <w:p>
      <w:pPr>
        <w:pStyle w:val="BookText"/>
      </w:pPr>
      <w:r>
        <w:rPr>
          <w:rFonts w:ascii="Amiri" w:hAnsi="Amiri" w:eastAsia="Amiri" w:cs="Amiri"/>
          <w:lang w:bidi="ar-SA"/>
          <w:color w:val="111111"/>
          <w:sz w:val="28"/>
          <w:szCs w:val="28"/>
          <w:rtl/>
        </w:rPr>
        <w:t xml:space="preserve">المرسلين، ج 5، ص 464.</w:t>
      </w:r>
    </w:p>
    <w:p>
      <w:pPr>
        <w:pStyle w:val="BookText"/>
      </w:pPr>
      <w:r>
        <w:rPr>
          <w:rFonts w:ascii="Amiri" w:hAnsi="Amiri" w:eastAsia="Amiri" w:cs="Amiri"/>
          <w:lang w:bidi="ar-SA"/>
          <w:color w:val="111111"/>
          <w:sz w:val="28"/>
          <w:szCs w:val="28"/>
          <w:rtl/>
        </w:rPr>
        <w:t xml:space="preserve">10 .الحصن الحصين من كلام سيّد</w:t>
      </w:r>
    </w:p>
    <w:p>
      <w:pPr>
        <w:pStyle w:val="BookText"/>
      </w:pPr>
      <w:r>
        <w:rPr>
          <w:rFonts w:ascii="Amiri" w:hAnsi="Amiri" w:eastAsia="Amiri" w:cs="Amiri"/>
          <w:lang w:bidi="ar-SA"/>
          <w:color w:val="111111"/>
          <w:sz w:val="28"/>
          <w:szCs w:val="28"/>
          <w:rtl/>
        </w:rPr>
        <w:t xml:space="preserve">المرسلين، ج 6، ص 662.</w:t>
      </w:r>
    </w:p>
    <w:p>
      <w:pPr>
        <w:pStyle w:val="BookText"/>
      </w:pPr>
      <w:r>
        <w:rPr>
          <w:rFonts w:ascii="Amiri" w:hAnsi="Amiri" w:eastAsia="Amiri" w:cs="Amiri"/>
          <w:lang w:bidi="ar-SA"/>
          <w:color w:val="111111"/>
          <w:sz w:val="28"/>
          <w:szCs w:val="28"/>
          <w:rtl/>
        </w:rPr>
        <w:t xml:space="preserve">11 .الحصن الحصين من كلام سيد المرسلين( منتخب)، ج 6، ص 667 .</w:t>
      </w:r>
    </w:p>
    <w:p>
      <w:pPr>
        <w:pStyle w:val="BookText"/>
      </w:pPr>
      <w:r>
        <w:rPr>
          <w:rFonts w:ascii="Amiri" w:hAnsi="Amiri" w:eastAsia="Amiri" w:cs="Amiri"/>
          <w:lang w:bidi="ar-SA"/>
          <w:color w:val="111111"/>
          <w:sz w:val="28"/>
          <w:szCs w:val="28"/>
          <w:rtl/>
        </w:rPr>
        <w:t xml:space="preserve">12 .الدرة المضيئة في القرائة الائمة</w:t>
      </w:r>
    </w:p>
    <w:p>
      <w:pPr>
        <w:pStyle w:val="BookText"/>
      </w:pPr>
      <w:r>
        <w:rPr>
          <w:rFonts w:ascii="Amiri" w:hAnsi="Amiri" w:eastAsia="Amiri" w:cs="Amiri"/>
          <w:lang w:bidi="ar-SA"/>
          <w:color w:val="111111"/>
          <w:sz w:val="28"/>
          <w:szCs w:val="28"/>
          <w:rtl/>
        </w:rPr>
        <w:t xml:space="preserve">الثلاثة المرضية، ج 7، ص 266.</w:t>
      </w:r>
    </w:p>
    <w:p>
      <w:pPr>
        <w:pStyle w:val="BookText"/>
      </w:pPr>
      <w:r>
        <w:rPr>
          <w:rFonts w:ascii="Amiri" w:hAnsi="Amiri" w:eastAsia="Amiri" w:cs="Amiri"/>
          <w:lang w:bidi="ar-SA"/>
          <w:color w:val="111111"/>
          <w:sz w:val="28"/>
          <w:szCs w:val="28"/>
          <w:rtl/>
        </w:rPr>
        <w:t xml:space="preserve">13 .ذات الشفاء في سيرة المصطفى و</w:t>
      </w:r>
    </w:p>
    <w:p>
      <w:pPr>
        <w:pStyle w:val="BookText"/>
      </w:pPr>
      <w:r>
        <w:rPr>
          <w:rFonts w:ascii="IRNazanin" w:hAnsi="IRNazanin" w:eastAsia="IRNazanin" w:cs="IRNazanin"/>
          <w:lang w:bidi="fa-IR"/>
          <w:color w:val="111111"/>
          <w:sz w:val="28"/>
          <w:szCs w:val="28"/>
          <w:rtl/>
        </w:rPr>
        <w:t xml:space="preserve">من بعده من الخلفاء، ج 7،</w:t>
      </w:r>
    </w:p>
    <w:p>
      <w:pPr>
        <w:pStyle w:val="BookText"/>
      </w:pPr>
      <w:r>
        <w:rPr>
          <w:rFonts w:ascii="IRNazanin" w:hAnsi="IRNazanin" w:eastAsia="IRNazanin" w:cs="IRNazanin"/>
          <w:lang w:bidi="fa-IR"/>
          <w:color w:val="111111"/>
          <w:sz w:val="28"/>
          <w:szCs w:val="28"/>
          <w:rtl/>
        </w:rPr>
        <w:t xml:space="preserve">ص 804.</w:t>
      </w:r>
    </w:p>
    <w:p>
      <w:pPr>
        <w:pStyle w:val="BookText"/>
      </w:pPr>
      <w:r>
        <w:rPr>
          <w:rFonts w:ascii="Amiri" w:hAnsi="Amiri" w:eastAsia="Amiri" w:cs="Amiri"/>
          <w:lang w:bidi="ar-SA"/>
          <w:color w:val="111111"/>
          <w:sz w:val="28"/>
          <w:szCs w:val="28"/>
          <w:rtl/>
        </w:rPr>
        <w:t xml:space="preserve">14 . الزهر الفائح في وصف من تنزه عن الذنوب و القبائح، ج8،</w:t>
      </w:r>
    </w:p>
    <w:p>
      <w:pPr>
        <w:pStyle w:val="BookText"/>
      </w:pPr>
      <w:r>
        <w:rPr>
          <w:rFonts w:ascii="IRNazanin" w:hAnsi="IRNazanin" w:eastAsia="IRNazanin" w:cs="IRNazanin"/>
          <w:lang w:bidi="fa-IR"/>
          <w:color w:val="111111"/>
          <w:sz w:val="28"/>
          <w:szCs w:val="28"/>
          <w:rtl/>
        </w:rPr>
        <w:t xml:space="preserve">ص 629.</w:t>
      </w:r>
    </w:p>
    <w:p>
      <w:pPr>
        <w:pStyle w:val="BookText"/>
      </w:pPr>
      <w:r>
        <w:rPr>
          <w:rFonts w:ascii="Amiri" w:hAnsi="Amiri" w:eastAsia="Amiri" w:cs="Amiri"/>
          <w:lang w:bidi="ar-SA"/>
          <w:color w:val="111111"/>
          <w:sz w:val="28"/>
          <w:szCs w:val="28"/>
          <w:rtl/>
        </w:rPr>
        <w:t xml:space="preserve">15 .زينة القاري، ج8، ص 663.</w:t>
      </w:r>
    </w:p>
    <w:p>
      <w:pPr>
        <w:pStyle w:val="BookText"/>
      </w:pPr>
      <w:r>
        <w:rPr>
          <w:rFonts w:ascii="Amiri" w:hAnsi="Amiri" w:eastAsia="Amiri" w:cs="Amiri"/>
          <w:lang w:bidi="ar-SA"/>
          <w:color w:val="111111"/>
          <w:sz w:val="28"/>
          <w:szCs w:val="28"/>
          <w:rtl/>
        </w:rPr>
        <w:t xml:space="preserve">16 . شرح ادعية، ج 9، ص 166.</w:t>
      </w:r>
    </w:p>
    <w:p>
      <w:pPr>
        <w:pStyle w:val="BookText"/>
      </w:pPr>
      <w:r>
        <w:rPr>
          <w:rFonts w:ascii="Amiri" w:hAnsi="Amiri" w:eastAsia="Amiri" w:cs="Amiri"/>
          <w:lang w:bidi="ar-SA"/>
          <w:color w:val="111111"/>
          <w:sz w:val="28"/>
          <w:szCs w:val="28"/>
          <w:rtl/>
        </w:rPr>
        <w:t xml:space="preserve">17 .طيبة النشر في القراآت العشر =</w:t>
      </w:r>
    </w:p>
    <w:p>
      <w:pPr>
        <w:pStyle w:val="BookText"/>
      </w:pPr>
      <w:r>
        <w:rPr>
          <w:rFonts w:ascii="Amiri" w:hAnsi="Amiri" w:eastAsia="Amiri" w:cs="Amiri"/>
          <w:lang w:bidi="ar-SA"/>
          <w:color w:val="111111"/>
          <w:sz w:val="28"/>
          <w:szCs w:val="28"/>
          <w:rtl/>
        </w:rPr>
        <w:t xml:space="preserve">الفية، ج 10، ص 875.</w:t>
      </w:r>
    </w:p>
    <w:p>
      <w:pPr>
        <w:pStyle w:val="BookText"/>
      </w:pPr>
      <w:r>
        <w:rPr>
          <w:rFonts w:ascii="Amiri" w:hAnsi="Amiri" w:eastAsia="Amiri" w:cs="Amiri"/>
          <w:lang w:bidi="ar-SA"/>
          <w:color w:val="111111"/>
          <w:sz w:val="28"/>
          <w:szCs w:val="28"/>
          <w:rtl/>
        </w:rPr>
        <w:t xml:space="preserve">18 .عدة الحصن الحصين من كلام سيد</w:t>
      </w:r>
    </w:p>
    <w:p>
      <w:pPr>
        <w:pStyle w:val="BookText"/>
      </w:pPr>
      <w:r>
        <w:rPr>
          <w:rFonts w:ascii="Amiri" w:hAnsi="Amiri" w:eastAsia="Amiri" w:cs="Amiri"/>
          <w:lang w:bidi="ar-SA"/>
          <w:color w:val="111111"/>
          <w:sz w:val="28"/>
          <w:szCs w:val="28"/>
          <w:rtl/>
        </w:rPr>
        <w:t xml:space="preserve">المرسلين، ج 11، ص 47.</w:t>
      </w:r>
    </w:p>
    <w:p>
      <w:pPr>
        <w:pStyle w:val="BookText"/>
      </w:pPr>
      <w:r>
        <w:rPr>
          <w:rFonts w:ascii="Amiri" w:hAnsi="Amiri" w:eastAsia="Amiri" w:cs="Amiri"/>
          <w:lang w:bidi="ar-SA"/>
          <w:color w:val="111111"/>
          <w:sz w:val="28"/>
          <w:szCs w:val="28"/>
          <w:rtl/>
        </w:rPr>
        <w:t xml:space="preserve">19 .العقد الثمين في ألغاز القرائة</w:t>
      </w:r>
    </w:p>
    <w:p>
      <w:pPr>
        <w:pStyle w:val="BookText"/>
      </w:pPr>
      <w:r>
        <w:rPr>
          <w:rFonts w:ascii="IRNazanin" w:hAnsi="IRNazanin" w:eastAsia="IRNazanin" w:cs="IRNazanin"/>
          <w:lang w:bidi="fa-IR"/>
          <w:color w:val="111111"/>
          <w:sz w:val="28"/>
          <w:szCs w:val="28"/>
          <w:rtl/>
        </w:rPr>
        <w:t xml:space="preserve">ج 11، ص 156 .</w:t>
      </w:r>
    </w:p>
    <w:p>
      <w:pPr>
        <w:pStyle w:val="BookText"/>
      </w:pPr>
      <w:r>
        <w:rPr>
          <w:rFonts w:ascii="Amiri" w:hAnsi="Amiri" w:eastAsia="Amiri" w:cs="Amiri"/>
          <w:lang w:bidi="ar-SA"/>
          <w:color w:val="111111"/>
          <w:sz w:val="28"/>
          <w:szCs w:val="28"/>
          <w:rtl/>
        </w:rPr>
        <w:t xml:space="preserve">20 .عقد اللآلي في الأحاديث المسلسلة</w:t>
      </w:r>
    </w:p>
    <w:p>
      <w:pPr>
        <w:pStyle w:val="BookText"/>
      </w:pPr>
      <w:r>
        <w:rPr>
          <w:rFonts w:ascii="Amiri" w:hAnsi="Amiri" w:eastAsia="Amiri" w:cs="Amiri"/>
          <w:lang w:bidi="ar-SA"/>
          <w:color w:val="111111"/>
          <w:sz w:val="28"/>
          <w:szCs w:val="28"/>
          <w:rtl/>
        </w:rPr>
        <w:t xml:space="preserve">بالعوالي، ج 11، ص173.</w:t>
      </w:r>
    </w:p>
    <w:p>
      <w:pPr>
        <w:pStyle w:val="BookText"/>
      </w:pPr>
      <w:r>
        <w:rPr>
          <w:rFonts w:ascii="Amiri" w:hAnsi="Amiri" w:eastAsia="Amiri" w:cs="Amiri"/>
          <w:lang w:bidi="ar-SA"/>
          <w:color w:val="111111"/>
          <w:sz w:val="28"/>
          <w:szCs w:val="28"/>
          <w:rtl/>
        </w:rPr>
        <w:t xml:space="preserve">21 .غاية النهاية في طبقات القراء</w:t>
      </w:r>
    </w:p>
    <w:p>
      <w:pPr>
        <w:pStyle w:val="BookText"/>
      </w:pPr>
      <w:r>
        <w:rPr>
          <w:rFonts w:ascii="Amiri" w:hAnsi="Amiri" w:eastAsia="Amiri" w:cs="Amiri"/>
          <w:lang w:bidi="ar-SA"/>
          <w:color w:val="111111"/>
          <w:sz w:val="28"/>
          <w:szCs w:val="28"/>
          <w:rtl/>
        </w:rPr>
        <w:t xml:space="preserve">ابن جرجس - ابن جزي</w:t>
      </w:r>
    </w:p>
    <w:p>
      <w:pPr>
        <w:pStyle w:val="BookText"/>
      </w:pPr>
      <w:r>
        <w:rPr>
          <w:rFonts w:ascii="IRNazanin" w:hAnsi="IRNazanin" w:eastAsia="IRNazanin" w:cs="IRNazanin"/>
          <w:lang w:bidi="fa-IR"/>
          <w:color w:val="111111"/>
          <w:sz w:val="28"/>
          <w:szCs w:val="28"/>
          <w:rtl/>
        </w:rPr>
        <w:t xml:space="preserve">ج 11، ص 457.</w:t>
      </w:r>
    </w:p>
    <w:p>
      <w:pPr>
        <w:pStyle w:val="BookText"/>
      </w:pPr>
      <w:r>
        <w:rPr>
          <w:rFonts w:ascii="Amiri" w:hAnsi="Amiri" w:eastAsia="Amiri" w:cs="Amiri"/>
          <w:lang w:bidi="ar-SA"/>
          <w:color w:val="111111"/>
          <w:sz w:val="28"/>
          <w:szCs w:val="28"/>
          <w:rtl/>
        </w:rPr>
        <w:t xml:space="preserve">22 .متن الدرة لتتمة القراءات العشرة</w:t>
      </w:r>
    </w:p>
    <w:p>
      <w:pPr>
        <w:pStyle w:val="BookText"/>
      </w:pPr>
      <w:r>
        <w:rPr>
          <w:rFonts w:ascii="IRNazanin" w:hAnsi="IRNazanin" w:eastAsia="IRNazanin" w:cs="IRNazanin"/>
          <w:lang w:bidi="fa-IR"/>
          <w:color w:val="111111"/>
          <w:sz w:val="28"/>
          <w:szCs w:val="28"/>
          <w:rtl/>
        </w:rPr>
        <w:t xml:space="preserve">ج 13، ص 762.</w:t>
      </w:r>
    </w:p>
    <w:p>
      <w:pPr>
        <w:pStyle w:val="BookText"/>
      </w:pPr>
      <w:r>
        <w:rPr>
          <w:rFonts w:ascii="Amiri" w:hAnsi="Amiri" w:eastAsia="Amiri" w:cs="Amiri"/>
          <w:lang w:bidi="ar-SA"/>
          <w:color w:val="111111"/>
          <w:sz w:val="28"/>
          <w:szCs w:val="28"/>
          <w:rtl/>
        </w:rPr>
        <w:t xml:space="preserve">23 .مفتاح حصن الحصين = شرح حصن الحصين، ج 15، ص 195.</w:t>
      </w:r>
    </w:p>
    <w:p>
      <w:pPr>
        <w:pStyle w:val="BookText"/>
      </w:pPr>
      <w:r>
        <w:rPr>
          <w:rFonts w:ascii="Amiri" w:hAnsi="Amiri" w:eastAsia="Amiri" w:cs="Amiri"/>
          <w:lang w:bidi="ar-SA"/>
          <w:color w:val="111111"/>
          <w:sz w:val="28"/>
          <w:szCs w:val="28"/>
          <w:rtl/>
        </w:rPr>
        <w:t xml:space="preserve">24 .المقدمة الجزرية = منظومة</w:t>
      </w:r>
    </w:p>
    <w:p>
      <w:pPr>
        <w:pStyle w:val="BookText"/>
      </w:pPr>
      <w:r>
        <w:rPr>
          <w:rFonts w:ascii="Amiri" w:hAnsi="Amiri" w:eastAsia="Amiri" w:cs="Amiri"/>
          <w:lang w:bidi="ar-SA"/>
          <w:color w:val="111111"/>
          <w:sz w:val="28"/>
          <w:szCs w:val="28"/>
          <w:rtl/>
        </w:rPr>
        <w:t xml:space="preserve">الجزرية، ج 15، ص 350 .</w:t>
      </w:r>
    </w:p>
    <w:p>
      <w:pPr>
        <w:pStyle w:val="BookText"/>
      </w:pPr>
      <w:r>
        <w:rPr>
          <w:rFonts w:ascii="Amiri" w:hAnsi="Amiri" w:eastAsia="Amiri" w:cs="Amiri"/>
          <w:lang w:bidi="ar-SA"/>
          <w:color w:val="111111"/>
          <w:sz w:val="28"/>
          <w:szCs w:val="28"/>
          <w:rtl/>
        </w:rPr>
        <w:t xml:space="preserve">25 .مقدمة في معرفة أنواع الحديث</w:t>
      </w:r>
    </w:p>
    <w:p>
      <w:pPr>
        <w:pStyle w:val="BookText"/>
      </w:pPr>
      <w:r>
        <w:rPr>
          <w:rFonts w:ascii="IRNazanin" w:hAnsi="IRNazanin" w:eastAsia="IRNazanin" w:cs="IRNazanin"/>
          <w:lang w:bidi="fa-IR"/>
          <w:color w:val="111111"/>
          <w:sz w:val="28"/>
          <w:szCs w:val="28"/>
          <w:rtl/>
        </w:rPr>
        <w:t xml:space="preserve">ج 15، ص 370.</w:t>
      </w:r>
    </w:p>
    <w:p>
      <w:pPr>
        <w:pStyle w:val="BookText"/>
      </w:pPr>
      <w:r>
        <w:rPr>
          <w:rFonts w:ascii="Amiri" w:hAnsi="Amiri" w:eastAsia="Amiri" w:cs="Amiri"/>
          <w:lang w:bidi="ar-SA"/>
          <w:color w:val="111111"/>
          <w:sz w:val="28"/>
          <w:szCs w:val="28"/>
          <w:rtl/>
        </w:rPr>
        <w:t xml:space="preserve">26 .منجد المقرئين و مرشد الطالبين</w:t>
      </w:r>
    </w:p>
    <w:p>
      <w:pPr>
        <w:pStyle w:val="BookText"/>
      </w:pPr>
      <w:r>
        <w:rPr>
          <w:rFonts w:ascii="IRNazanin" w:hAnsi="IRNazanin" w:eastAsia="IRNazanin" w:cs="IRNazanin"/>
          <w:lang w:bidi="fa-IR"/>
          <w:color w:val="111111"/>
          <w:sz w:val="28"/>
          <w:szCs w:val="28"/>
          <w:rtl/>
        </w:rPr>
        <w:t xml:space="preserve">ج 15 ، ص 657 .</w:t>
      </w:r>
    </w:p>
    <w:p>
      <w:pPr>
        <w:pStyle w:val="BookText"/>
      </w:pPr>
      <w:r>
        <w:rPr>
          <w:rFonts w:ascii="Amiri" w:hAnsi="Amiri" w:eastAsia="Amiri" w:cs="Amiri"/>
          <w:lang w:bidi="ar-SA"/>
          <w:color w:val="111111"/>
          <w:sz w:val="28"/>
          <w:szCs w:val="28"/>
          <w:rtl/>
        </w:rPr>
        <w:t xml:space="preserve">27 .النشر في القراءات العشر، ج 16،</w:t>
      </w:r>
    </w:p>
    <w:p>
      <w:pPr>
        <w:pStyle w:val="BookText"/>
      </w:pPr>
      <w:r>
        <w:rPr>
          <w:rFonts w:ascii="IRNazanin" w:hAnsi="IRNazanin" w:eastAsia="IRNazanin" w:cs="IRNazanin"/>
          <w:lang w:bidi="fa-IR"/>
          <w:color w:val="111111"/>
          <w:sz w:val="28"/>
          <w:szCs w:val="28"/>
          <w:rtl/>
        </w:rPr>
        <w:t xml:space="preserve">ص 287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الهداية إلى علوم الدراية = دراية</w:t>
      </w:r>
    </w:p>
    <w:p>
      <w:pPr>
        <w:pStyle w:val="BookText"/>
      </w:pPr>
      <w:r>
        <w:rPr>
          <w:rFonts w:ascii="Amiri" w:hAnsi="Amiri" w:eastAsia="Amiri" w:cs="Amiri"/>
          <w:lang w:bidi="ar-SA"/>
          <w:color w:val="111111"/>
          <w:sz w:val="28"/>
          <w:szCs w:val="28"/>
          <w:rtl/>
        </w:rPr>
        <w:t xml:space="preserve">الحديث = بداية الهداية، ج 16،</w:t>
      </w:r>
    </w:p>
    <w:p>
      <w:pPr>
        <w:pStyle w:val="BookText"/>
      </w:pPr>
      <w:r>
        <w:rPr>
          <w:rFonts w:ascii="IRNazanin" w:hAnsi="IRNazanin" w:eastAsia="IRNazanin" w:cs="IRNazanin"/>
          <w:lang w:bidi="fa-IR"/>
          <w:color w:val="111111"/>
          <w:sz w:val="28"/>
          <w:szCs w:val="28"/>
          <w:rtl/>
        </w:rPr>
        <w:t xml:space="preserve">ص 598.</w:t>
      </w:r>
    </w:p>
    <w:p>
      <w:pPr>
        <w:pStyle w:val="Heading2"/>
      </w:pPr>
      <w:bookmarkStart w:id="1188" w:name="_Toc290"/>
      <w:r>
        <w:t>ابن جزله ، يحيى بن عيسي - 493 ؟ خ</w:t>
      </w:r>
      <w:bookmarkEnd w:id="1188"/>
    </w:p>
    <w:p>
      <w:pPr>
        <w:pStyle w:val="BookText"/>
      </w:pPr>
      <w:r>
        <w:rPr>
          <w:rFonts w:ascii="Amiri" w:hAnsi="Amiri" w:eastAsia="Amiri" w:cs="Amiri"/>
          <w:lang w:bidi="ar-SA"/>
          <w:color w:val="111111"/>
          <w:sz w:val="28"/>
          <w:szCs w:val="28"/>
          <w:rtl/>
        </w:rPr>
        <w:t xml:space="preserve">1 .تقويم الابدان في تدبير الانسان</w:t>
      </w:r>
    </w:p>
    <w:p>
      <w:pPr>
        <w:pStyle w:val="BookText"/>
      </w:pPr>
      <w:r>
        <w:rPr>
          <w:rFonts w:ascii="IRNazanin" w:hAnsi="IRNazanin" w:eastAsia="IRNazanin" w:cs="IRNazanin"/>
          <w:lang w:bidi="fa-IR"/>
          <w:color w:val="111111"/>
          <w:sz w:val="28"/>
          <w:szCs w:val="28"/>
          <w:rtl/>
        </w:rPr>
        <w:t xml:space="preserve">ج 4، ص 796.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مختار مختصر تاریخ بغداد، ج 14،</w:t>
      </w:r>
    </w:p>
    <w:p>
      <w:pPr>
        <w:pStyle w:val="BookText"/>
      </w:pPr>
      <w:r>
        <w:rPr>
          <w:rFonts w:ascii="IRNazanin" w:hAnsi="IRNazanin" w:eastAsia="IRNazanin" w:cs="IRNazanin"/>
          <w:lang w:bidi="fa-IR"/>
          <w:color w:val="111111"/>
          <w:sz w:val="28"/>
          <w:szCs w:val="28"/>
          <w:rtl/>
        </w:rPr>
        <w:t xml:space="preserve">ص161.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منهاج البيان في ما يستعمله الانسان، ج 15 ، ص 750.</w:t>
      </w:r>
    </w:p>
    <w:p>
      <w:pPr>
        <w:pStyle w:val="Heading2"/>
      </w:pPr>
      <w:bookmarkStart w:id="1189" w:name="_Toc291"/>
      <w:r>
        <w:t>ابن جزي ، محمّد بن احمد 693-741 ه-</w:t>
      </w:r>
      <w:bookmarkEnd w:id="1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الانوار السنية في الالفاظ السنية</w:t>
      </w:r>
    </w:p>
    <w:p>
      <w:pPr>
        <w:pStyle w:val="BookText"/>
      </w:pPr>
      <w:r>
        <w:rPr>
          <w:rFonts w:ascii="IRNazanin" w:hAnsi="IRNazanin" w:eastAsia="IRNazanin" w:cs="IRNazanin"/>
          <w:lang w:bidi="fa-IR"/>
          <w:color w:val="111111"/>
          <w:sz w:val="28"/>
          <w:szCs w:val="28"/>
          <w:rtl/>
        </w:rPr>
        <w:t xml:space="preserve">ج 3، ص 3.</w:t>
      </w:r>
    </w:p>
    <w:p>
      <w:pPr>
        <w:pStyle w:val="BookText"/>
      </w:pPr>
      <w:r>
        <w:rPr>
          <w:rFonts w:ascii="IRNazanin" w:hAnsi="IRNazanin" w:eastAsia="IRNazanin" w:cs="IRNazanin"/>
          <w:lang w:bidi="fa-IR"/>
          <w:color w:val="111111"/>
          <w:sz w:val="28"/>
          <w:szCs w:val="28"/>
          <w:rtl/>
        </w:rPr>
        <w:t xml:space="preserve">2 .الجامع و هو الضابط لما شذ عن</w:t>
      </w:r>
    </w:p>
    <w:p>
      <w:pPr>
        <w:pStyle w:val="BookText"/>
      </w:pPr>
      <w:r>
        <w:rPr>
          <w:rFonts w:ascii="Amiri" w:hAnsi="Amiri" w:eastAsia="Amiri" w:cs="Amiri"/>
          <w:lang w:bidi="ar-SA"/>
          <w:color w:val="111111"/>
          <w:sz w:val="28"/>
          <w:szCs w:val="28"/>
          <w:rtl/>
        </w:rPr>
        <w:t xml:space="preserve">الكتب، ج 5، ص 353.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9" w:name="pg7742_69434"/>
    <w:bookmarkEnd w:id="49"/>
    <w:p>
      <w:pPr>
        <w:pStyle w:val="Heading2"/>
      </w:pPr>
      <w:bookmarkStart w:id="1190" w:name="_Toc292"/>
      <w:r>
        <w:t>ابن جعفریه، محمّد بن محمّد</w:t>
      </w:r>
      <w:bookmarkEnd w:id="1190"/>
    </w:p>
    <w:p>
      <w:pPr>
        <w:pStyle w:val="BookText"/>
      </w:pPr>
      <w:r>
        <w:rPr>
          <w:rFonts w:ascii="Amiri" w:hAnsi="Amiri" w:eastAsia="Amiri" w:cs="Amiri"/>
          <w:lang w:bidi="ar-SA"/>
          <w:color w:val="111111"/>
          <w:sz w:val="28"/>
          <w:szCs w:val="28"/>
          <w:rtl/>
        </w:rPr>
        <w:t xml:space="preserve">الاربعون حديثا، ج 1، ص 711.</w:t>
      </w:r>
    </w:p>
    <w:p>
      <w:pPr>
        <w:pStyle w:val="BookText"/>
      </w:pPr>
      <w:r>
        <w:rPr>
          <w:rFonts w:ascii="Amiri" w:hAnsi="Amiri" w:eastAsia="Amiri" w:cs="Amiri"/>
          <w:lang w:bidi="ar-SA"/>
          <w:color w:val="111111"/>
          <w:sz w:val="28"/>
          <w:szCs w:val="28"/>
          <w:rtl/>
        </w:rPr>
        <w:t xml:space="preserve">ابن جقرقجي ، محمّد بن محمّد آلتي</w:t>
      </w:r>
    </w:p>
    <w:p>
      <w:pPr>
        <w:pStyle w:val="BookText"/>
      </w:pPr>
      <w:r>
        <w:rPr>
          <w:rFonts w:ascii="Amiri" w:hAnsi="Amiri" w:eastAsia="Amiri" w:cs="Amiri"/>
          <w:lang w:bidi="ar-SA"/>
          <w:color w:val="111111"/>
          <w:sz w:val="28"/>
          <w:szCs w:val="28"/>
          <w:rtl/>
        </w:rPr>
        <w:t xml:space="preserve">برمق ، محمّد بن محمّد</w:t>
      </w:r>
    </w:p>
    <w:p>
      <w:pPr>
        <w:pStyle w:val="Heading2"/>
      </w:pPr>
      <w:bookmarkStart w:id="1191" w:name="_Toc293"/>
      <w:r>
        <w:t>ابن جلال، احمد بن جلال قرن 11 ه-</w:t>
      </w:r>
      <w:bookmarkEnd w:id="1191"/>
    </w:p>
    <w:p>
      <w:pPr>
        <w:pStyle w:val="BookText"/>
      </w:pPr>
      <w:r>
        <w:rPr>
          <w:rFonts w:ascii="Amiri" w:hAnsi="Amiri" w:eastAsia="Amiri" w:cs="Amiri"/>
          <w:lang w:bidi="ar-SA"/>
          <w:color w:val="111111"/>
          <w:sz w:val="28"/>
          <w:szCs w:val="28"/>
          <w:rtl/>
        </w:rPr>
        <w:t xml:space="preserve">جلاء الصدا في سيرة إمام الهدى = مناقب سيد أحمد الرفاعي، ج5،</w:t>
      </w:r>
    </w:p>
    <w:p>
      <w:pPr>
        <w:pStyle w:val="BookText"/>
      </w:pPr>
      <w:r>
        <w:rPr>
          <w:rFonts w:ascii="IRNazanin" w:hAnsi="IRNazanin" w:eastAsia="IRNazanin" w:cs="IRNazanin"/>
          <w:lang w:bidi="fa-IR"/>
          <w:color w:val="111111"/>
          <w:sz w:val="28"/>
          <w:szCs w:val="28"/>
          <w:rtl/>
        </w:rPr>
        <w:t xml:space="preserve">ص 406.</w:t>
      </w:r>
    </w:p>
    <w:p>
      <w:pPr>
        <w:pStyle w:val="Heading2"/>
      </w:pPr>
      <w:bookmarkStart w:id="1192" w:name="_Toc294"/>
      <w:r>
        <w:t>ابن جماعه ، ابراهيم بن عبدالرحیم</w:t>
      </w:r>
      <w:bookmarkEnd w:id="1192"/>
    </w:p>
    <w:p>
      <w:pPr>
        <w:pStyle w:val="BookText"/>
      </w:pPr>
      <w:r>
        <w:rPr>
          <w:rFonts w:ascii="IRNazanin" w:hAnsi="IRNazanin" w:eastAsia="IRNazanin" w:cs="IRNazanin"/>
          <w:lang w:bidi="fa-IR"/>
          <w:color w:val="111111"/>
          <w:sz w:val="28"/>
          <w:szCs w:val="28"/>
          <w:rtl/>
        </w:rPr>
        <w:t xml:space="preserve">92 - 790 ه-</w:t>
      </w:r>
    </w:p>
    <w:p>
      <w:pPr>
        <w:pStyle w:val="BookText"/>
      </w:pPr>
      <w:r>
        <w:rPr>
          <w:rFonts w:ascii="Amiri" w:hAnsi="Amiri" w:eastAsia="Amiri" w:cs="Amiri"/>
          <w:lang w:bidi="ar-SA"/>
          <w:color w:val="111111"/>
          <w:sz w:val="28"/>
          <w:szCs w:val="28"/>
          <w:rtl/>
        </w:rPr>
        <w:t xml:space="preserve">الفوائد القدسية و الفرائد العطرية</w:t>
      </w:r>
    </w:p>
    <w:p>
      <w:pPr>
        <w:pStyle w:val="BookText"/>
      </w:pPr>
      <w:r>
        <w:rPr>
          <w:rFonts w:ascii="IRNazanin" w:hAnsi="IRNazanin" w:eastAsia="IRNazanin" w:cs="IRNazanin"/>
          <w:lang w:bidi="fa-IR"/>
          <w:color w:val="111111"/>
          <w:sz w:val="28"/>
          <w:szCs w:val="28"/>
          <w:rtl/>
        </w:rPr>
        <w:t xml:space="preserve">ج 12 ، ص 262 .</w:t>
      </w:r>
    </w:p>
    <w:p>
      <w:pPr>
        <w:pStyle w:val="Heading2"/>
      </w:pPr>
      <w:bookmarkStart w:id="1193" w:name="_Toc295"/>
      <w:r>
        <w:t>ابن جماعه ، اسماعيل بن ابراهيم 825 -</w:t>
      </w:r>
      <w:bookmarkEnd w:id="1193"/>
    </w:p>
    <w:p>
      <w:pPr>
        <w:pStyle w:val="BookText"/>
      </w:pPr>
      <w:r>
        <w:rPr>
          <w:rFonts w:ascii="IRNazanin" w:hAnsi="IRNazanin" w:eastAsia="IRNazanin" w:cs="IRNazanin"/>
          <w:lang w:bidi="fa-IR"/>
          <w:color w:val="111111"/>
          <w:sz w:val="28"/>
          <w:szCs w:val="28"/>
          <w:rtl/>
        </w:rPr>
        <w:t xml:space="preserve">861 ه-</w:t>
      </w:r>
    </w:p>
    <w:p>
      <w:pPr>
        <w:pStyle w:val="BookText"/>
      </w:pPr>
      <w:r>
        <w:rPr>
          <w:rFonts w:ascii="Amiri" w:hAnsi="Amiri" w:eastAsia="Amiri" w:cs="Amiri"/>
          <w:lang w:bidi="ar-SA"/>
          <w:color w:val="111111"/>
          <w:sz w:val="28"/>
          <w:szCs w:val="28"/>
          <w:rtl/>
        </w:rPr>
        <w:t xml:space="preserve">حديث الأنصاري و ابن طالوت و غيرهما، ج 6، ص 567.</w:t>
      </w:r>
    </w:p>
    <w:p>
      <w:pPr>
        <w:pStyle w:val="Heading2"/>
      </w:pPr>
      <w:bookmarkStart w:id="1194" w:name="_Toc296"/>
      <w:r>
        <w:t>ابن جماعه ، عبدالعزيز بن محمّد 694 -</w:t>
      </w:r>
      <w:bookmarkEnd w:id="1194"/>
    </w:p>
    <w:p>
      <w:pPr>
        <w:pStyle w:val="BookText"/>
      </w:pPr>
      <w:r>
        <w:rPr>
          <w:rFonts w:ascii="IRNazanin" w:hAnsi="IRNazanin" w:eastAsia="IRNazanin" w:cs="IRNazanin"/>
          <w:lang w:bidi="fa-IR"/>
          <w:color w:val="111111"/>
          <w:sz w:val="28"/>
          <w:szCs w:val="28"/>
          <w:rtl/>
        </w:rPr>
        <w:t xml:space="preserve">767 ه-</w:t>
      </w:r>
    </w:p>
    <w:p>
      <w:pPr>
        <w:pStyle w:val="BookText"/>
      </w:pPr>
      <w:r>
        <w:rPr>
          <w:rFonts w:ascii="IRNazanin" w:hAnsi="IRNazanin" w:eastAsia="IRNazanin" w:cs="IRNazanin"/>
          <w:lang w:bidi="fa-IR"/>
          <w:color w:val="111111"/>
          <w:sz w:val="28"/>
          <w:szCs w:val="28"/>
          <w:rtl/>
        </w:rPr>
        <w:t xml:space="preserve">1 .تخریج احاديث المحرر = الذهب الإبريز في تخريج احاديث الوجيز ج 4، ص 96.</w:t>
      </w:r>
    </w:p>
    <w:p>
      <w:pPr>
        <w:pStyle w:val="BookText"/>
      </w:pPr>
      <w:r>
        <w:rPr>
          <w:rFonts w:ascii="Amiri" w:hAnsi="Amiri" w:eastAsia="Amiri" w:cs="Amiri"/>
          <w:lang w:bidi="ar-SA"/>
          <w:color w:val="111111"/>
          <w:sz w:val="28"/>
          <w:szCs w:val="28"/>
          <w:rtl/>
        </w:rPr>
        <w:t xml:space="preserve">2 .مختصر السيرة النبوية، ج 14،</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Amiri" w:hAnsi="Amiri" w:eastAsia="Amiri" w:cs="Amiri"/>
          <w:lang w:bidi="ar-SA"/>
          <w:color w:val="111111"/>
          <w:sz w:val="28"/>
          <w:szCs w:val="28"/>
          <w:rtl/>
        </w:rPr>
        <w:t xml:space="preserve">3..نزهة الالباب في ما لايوجد في</w:t>
      </w:r>
    </w:p>
    <w:p>
      <w:pPr>
        <w:pStyle w:val="BookText"/>
      </w:pPr>
      <w:r>
        <w:rPr>
          <w:rFonts w:ascii="Amiri" w:hAnsi="Amiri" w:eastAsia="Amiri" w:cs="Amiri"/>
          <w:lang w:bidi="ar-SA"/>
          <w:color w:val="111111"/>
          <w:sz w:val="28"/>
          <w:szCs w:val="28"/>
          <w:rtl/>
        </w:rPr>
        <w:t xml:space="preserve">الكتاب، ج 16، ص 223.</w:t>
      </w:r>
    </w:p>
    <w:p>
      <w:pPr>
        <w:pStyle w:val="BookText"/>
      </w:pPr>
      <w:r>
        <w:rPr>
          <w:rFonts w:ascii="Amiri" w:hAnsi="Amiri" w:eastAsia="Amiri" w:cs="Amiri"/>
          <w:lang w:bidi="ar-SA"/>
          <w:color w:val="111111"/>
          <w:sz w:val="28"/>
          <w:szCs w:val="28"/>
          <w:rtl/>
        </w:rPr>
        <w:t xml:space="preserve">4 الهيئة في اعتقاد اهل السنة، ج 16،</w:t>
      </w:r>
    </w:p>
    <w:p>
      <w:pPr>
        <w:pStyle w:val="BookText"/>
      </w:pPr>
      <w:r>
        <w:rPr>
          <w:rFonts w:ascii="IRNazanin" w:hAnsi="IRNazanin" w:eastAsia="IRNazanin" w:cs="IRNazanin"/>
          <w:lang w:bidi="fa-IR"/>
          <w:color w:val="111111"/>
          <w:sz w:val="28"/>
          <w:szCs w:val="28"/>
          <w:rtl/>
        </w:rPr>
        <w:t xml:space="preserve">ص 668 .</w:t>
      </w:r>
    </w:p>
    <w:p>
      <w:pPr>
        <w:pStyle w:val="Heading2"/>
      </w:pPr>
      <w:bookmarkStart w:id="1195" w:name="_Toc297"/>
      <w:r>
        <w:t>ابن جماعه ، محمّد بن ابراهيم 639 -</w:t>
      </w:r>
      <w:bookmarkEnd w:id="1195"/>
    </w:p>
    <w:p>
      <w:pPr>
        <w:pStyle w:val="BookText"/>
      </w:pPr>
      <w:r>
        <w:rPr>
          <w:rFonts w:ascii="IRNazanin" w:hAnsi="IRNazanin" w:eastAsia="IRNazanin" w:cs="IRNazanin"/>
          <w:lang w:bidi="fa-IR"/>
          <w:color w:val="111111"/>
          <w:sz w:val="28"/>
          <w:szCs w:val="28"/>
          <w:rtl/>
        </w:rPr>
        <w:t xml:space="preserve">733 ه-</w:t>
      </w:r>
    </w:p>
    <w:p>
      <w:pPr>
        <w:pStyle w:val="BookText"/>
      </w:pPr>
      <w:r>
        <w:rPr>
          <w:rFonts w:ascii="Amiri" w:hAnsi="Amiri" w:eastAsia="Amiri" w:cs="Amiri"/>
          <w:lang w:bidi="ar-SA"/>
          <w:color w:val="111111"/>
          <w:sz w:val="28"/>
          <w:szCs w:val="28"/>
          <w:rtl/>
        </w:rPr>
        <w:t xml:space="preserve">الاجناد (مختصر في)، ج1، ص318.</w:t>
      </w:r>
    </w:p>
    <w:p>
      <w:pPr>
        <w:pStyle w:val="Heading2"/>
      </w:pPr>
      <w:bookmarkStart w:id="1196" w:name="_Toc298"/>
      <w:r>
        <w:t>ابن جماعه ، محمّد بن ابراهیم 833 -</w:t>
      </w:r>
      <w:bookmarkEnd w:id="1196"/>
    </w:p>
    <w:p>
      <w:pPr>
        <w:pStyle w:val="BookText"/>
      </w:pPr>
      <w:r>
        <w:rPr>
          <w:rFonts w:ascii="IRNazanin" w:hAnsi="IRNazanin" w:eastAsia="IRNazanin" w:cs="IRNazanin"/>
          <w:lang w:bidi="fa-IR"/>
          <w:color w:val="111111"/>
          <w:sz w:val="28"/>
          <w:szCs w:val="28"/>
          <w:rtl/>
        </w:rPr>
        <w:t xml:space="preserve">901؟ ه-</w:t>
      </w:r>
    </w:p>
    <w:p>
      <w:pPr>
        <w:pStyle w:val="BookText"/>
      </w:pPr>
      <w:r>
        <w:rPr>
          <w:rFonts w:ascii="Amiri" w:hAnsi="Amiri" w:eastAsia="Amiri" w:cs="Amiri"/>
          <w:lang w:bidi="ar-SA"/>
          <w:color w:val="111111"/>
          <w:sz w:val="28"/>
          <w:szCs w:val="28"/>
          <w:rtl/>
        </w:rPr>
        <w:t xml:space="preserve">الأربعون العشاريات، ج1، ص 736.</w:t>
      </w:r>
    </w:p>
    <w:p>
      <w:pPr>
        <w:pStyle w:val="Heading2"/>
      </w:pPr>
      <w:bookmarkStart w:id="1197" w:name="_Toc299"/>
      <w:r>
        <w:t>ابن جماعه ، محمّد بن ابراهيم 639 -</w:t>
      </w:r>
      <w:bookmarkEnd w:id="1197"/>
    </w:p>
    <w:p>
      <w:pPr>
        <w:pStyle w:val="BookText"/>
      </w:pPr>
      <w:r>
        <w:rPr>
          <w:rFonts w:ascii="IRNazanin" w:hAnsi="IRNazanin" w:eastAsia="IRNazanin" w:cs="IRNazanin"/>
          <w:lang w:bidi="fa-IR"/>
          <w:color w:val="111111"/>
          <w:sz w:val="28"/>
          <w:szCs w:val="28"/>
          <w:rtl/>
        </w:rPr>
        <w:t xml:space="preserve">733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الاعلام باحاديث الاحكام، ج2،</w:t>
      </w:r>
    </w:p>
    <w:p>
      <w:pPr>
        <w:pStyle w:val="BookText"/>
      </w:pPr>
      <w:r>
        <w:rPr>
          <w:rFonts w:ascii="IRNazanin" w:hAnsi="IRNazanin" w:eastAsia="IRNazanin" w:cs="IRNazanin"/>
          <w:lang w:bidi="fa-IR"/>
          <w:color w:val="111111"/>
          <w:sz w:val="28"/>
          <w:szCs w:val="28"/>
          <w:rtl/>
        </w:rPr>
        <w:t xml:space="preserve">ص 552.</w:t>
      </w:r>
    </w:p>
    <w:p>
      <w:pPr>
        <w:pStyle w:val="BookText"/>
      </w:pPr>
      <w:r>
        <w:rPr>
          <w:rFonts w:ascii="Amiri" w:hAnsi="Amiri" w:eastAsia="Amiri" w:cs="Amiri"/>
          <w:lang w:bidi="ar-SA"/>
          <w:color w:val="111111"/>
          <w:sz w:val="28"/>
          <w:szCs w:val="28"/>
          <w:rtl/>
        </w:rPr>
        <w:t xml:space="preserve">2 .التبيان لمبهمات القرآن - غرر البيان لمبهمات القرآن، ج 3، ص 662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تحرير الاحكام في تدبير جيش</w:t>
      </w:r>
    </w:p>
    <w:p>
      <w:pPr>
        <w:pStyle w:val="BookText"/>
      </w:pPr>
      <w:r>
        <w:rPr>
          <w:rFonts w:ascii="IRNazanin" w:hAnsi="IRNazanin" w:eastAsia="IRNazanin" w:cs="IRNazanin"/>
          <w:lang w:bidi="fa-IR"/>
          <w:color w:val="111111"/>
          <w:sz w:val="28"/>
          <w:szCs w:val="28"/>
          <w:rtl/>
        </w:rPr>
        <w:t xml:space="preserve">الاسلام، ج3، ص729.</w:t>
      </w:r>
    </w:p>
    <w:p>
      <w:pPr>
        <w:pStyle w:val="BookText"/>
      </w:pPr>
      <w:r>
        <w:rPr>
          <w:rFonts w:ascii="Amiri" w:hAnsi="Amiri" w:eastAsia="Amiri" w:cs="Amiri"/>
          <w:lang w:bidi="ar-SA"/>
          <w:color w:val="111111"/>
          <w:sz w:val="28"/>
          <w:szCs w:val="28"/>
          <w:rtl/>
        </w:rPr>
        <w:t xml:space="preserve">4 .الكلام والحكمة و الالهية (رسالة</w:t>
      </w:r>
    </w:p>
    <w:p>
      <w:pPr>
        <w:pStyle w:val="BookText"/>
      </w:pPr>
      <w:r>
        <w:rPr>
          <w:rFonts w:ascii="Amiri" w:hAnsi="Amiri" w:eastAsia="Amiri" w:cs="Amiri"/>
          <w:lang w:bidi="ar-SA"/>
          <w:color w:val="111111"/>
          <w:sz w:val="28"/>
          <w:szCs w:val="28"/>
          <w:rtl/>
        </w:rPr>
        <w:t xml:space="preserve">في)، ج 13 ، ص 361.</w:t>
      </w:r>
    </w:p>
    <w:p>
      <w:pPr>
        <w:pStyle w:val="BookText"/>
      </w:pPr>
      <w:r>
        <w:rPr>
          <w:rFonts w:ascii="Amiri" w:hAnsi="Amiri" w:eastAsia="Amiri" w:cs="Amiri"/>
          <w:lang w:bidi="ar-SA"/>
          <w:color w:val="111111"/>
          <w:sz w:val="28"/>
          <w:szCs w:val="28"/>
          <w:rtl/>
        </w:rPr>
        <w:t xml:space="preserve">5 .المختصر الكبير في سيرة سيدنا رسول</w:t>
      </w:r>
    </w:p>
    <w:p>
      <w:pPr>
        <w:pStyle w:val="BookText"/>
      </w:pPr>
      <w:r>
        <w:rPr>
          <w:rFonts w:ascii="IRNazanin" w:hAnsi="IRNazanin" w:eastAsia="IRNazanin" w:cs="IRNazanin"/>
          <w:lang w:bidi="fa-IR"/>
          <w:color w:val="111111"/>
          <w:sz w:val="28"/>
          <w:szCs w:val="28"/>
          <w:rtl/>
        </w:rPr>
        <w:t xml:space="preserve">الله، ج 14 ، ص 236.</w:t>
      </w:r>
    </w:p>
    <w:p>
      <w:pPr>
        <w:pStyle w:val="BookText"/>
      </w:pPr>
      <w:r>
        <w:rPr>
          <w:rFonts w:ascii="Amiri" w:hAnsi="Amiri" w:eastAsia="Amiri" w:cs="Amiri"/>
          <w:lang w:bidi="ar-SA"/>
          <w:color w:val="111111"/>
          <w:sz w:val="28"/>
          <w:szCs w:val="28"/>
          <w:rtl/>
        </w:rPr>
        <w:t xml:space="preserve">6 .مستند الاجناد في آلات الجهاد</w:t>
      </w:r>
    </w:p>
    <w:p>
      <w:pPr>
        <w:pStyle w:val="BookText"/>
      </w:pPr>
      <w:r>
        <w:rPr>
          <w:rFonts w:ascii="IRNazanin" w:hAnsi="IRNazanin" w:eastAsia="IRNazanin" w:cs="IRNazanin"/>
          <w:lang w:bidi="fa-IR"/>
          <w:color w:val="111111"/>
          <w:sz w:val="28"/>
          <w:szCs w:val="28"/>
          <w:rtl/>
        </w:rPr>
        <w:t xml:space="preserve">ج 14، ص 567.</w:t>
      </w:r>
    </w:p>
    <w:p>
      <w:pPr>
        <w:pStyle w:val="Heading2"/>
      </w:pPr>
      <w:bookmarkStart w:id="1198" w:name="_Toc300"/>
      <w:r>
        <w:t>ابن جماعه ، محمّد بن ابي بكر، 749 -</w:t>
      </w:r>
      <w:bookmarkEnd w:id="1198"/>
    </w:p>
    <w:p>
      <w:pPr>
        <w:pStyle w:val="BookText"/>
      </w:pPr>
      <w:r>
        <w:rPr>
          <w:rFonts w:ascii="IRNazanin" w:hAnsi="IRNazanin" w:eastAsia="IRNazanin" w:cs="IRNazanin"/>
          <w:lang w:bidi="fa-IR"/>
          <w:color w:val="111111"/>
          <w:sz w:val="28"/>
          <w:szCs w:val="28"/>
          <w:rtl/>
        </w:rPr>
        <w:t xml:space="preserve">819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التبيين في شرح الاربعين، ج 3،</w:t>
      </w:r>
    </w:p>
    <w:p>
      <w:pPr>
        <w:pStyle w:val="BookText"/>
      </w:pPr>
      <w:r>
        <w:rPr>
          <w:rFonts w:ascii="IRNazanin" w:hAnsi="IRNazanin" w:eastAsia="IRNazanin" w:cs="IRNazanin"/>
          <w:lang w:bidi="fa-IR"/>
          <w:color w:val="111111"/>
          <w:sz w:val="28"/>
          <w:szCs w:val="28"/>
          <w:rtl/>
        </w:rPr>
        <w:t xml:space="preserve">ص 668 .</w:t>
      </w:r>
    </w:p>
    <w:p>
      <w:pPr>
        <w:pStyle w:val="BookText"/>
      </w:pPr>
      <w:r>
        <w:rPr>
          <w:rFonts w:ascii="Amiri" w:hAnsi="Amiri" w:eastAsia="Amiri" w:cs="Amiri"/>
          <w:lang w:bidi="ar-SA"/>
          <w:color w:val="111111"/>
          <w:sz w:val="28"/>
          <w:szCs w:val="28"/>
          <w:rtl/>
        </w:rPr>
        <w:t xml:space="preserve">2 .زوال الترح في شرح منظومة ابن</w:t>
      </w:r>
    </w:p>
    <w:p>
      <w:pPr>
        <w:pStyle w:val="BookText"/>
      </w:pPr>
      <w:r>
        <w:rPr>
          <w:rFonts w:ascii="IRNazanin" w:hAnsi="IRNazanin" w:eastAsia="IRNazanin" w:cs="IRNazanin"/>
          <w:lang w:bidi="fa-IR"/>
          <w:color w:val="111111"/>
          <w:sz w:val="28"/>
          <w:szCs w:val="28"/>
          <w:rtl/>
        </w:rPr>
        <w:t xml:space="preserve">فرح، ج 8، ص 637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مناهج العقول في شرح منهاج</w:t>
      </w:r>
    </w:p>
    <w:p>
      <w:pPr>
        <w:pStyle w:val="BookText"/>
      </w:pPr>
      <w:r>
        <w:rPr>
          <w:rFonts w:ascii="IRNazanin" w:hAnsi="IRNazanin" w:eastAsia="IRNazanin" w:cs="IRNazanin"/>
          <w:lang w:bidi="fa-IR"/>
          <w:color w:val="111111"/>
          <w:sz w:val="28"/>
          <w:szCs w:val="28"/>
          <w:rtl/>
        </w:rPr>
        <w:t xml:space="preserve">الوصول، ج 15 ، ص 569.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0" w:name="pg7742_69436"/>
    <w:bookmarkEnd w:id="50"/>
    <w:p>
      <w:pPr>
        <w:pStyle w:val="Heading2"/>
      </w:pPr>
      <w:bookmarkStart w:id="1199" w:name="_Toc301"/>
      <w:r>
        <w:t>ابن جمال آقسرائي ، محمّد بن محمود -</w:t>
      </w:r>
      <w:bookmarkEnd w:id="1199"/>
    </w:p>
    <w:p>
      <w:pPr>
        <w:pStyle w:val="BookText"/>
      </w:pPr>
      <w:r>
        <w:rPr>
          <w:rFonts w:ascii="IRNazanin" w:hAnsi="IRNazanin" w:eastAsia="IRNazanin" w:cs="IRNazanin"/>
          <w:lang w:bidi="fa-IR"/>
          <w:color w:val="111111"/>
          <w:sz w:val="28"/>
          <w:szCs w:val="28"/>
          <w:rtl/>
        </w:rPr>
        <w:t xml:space="preserve">912ه-</w:t>
      </w:r>
    </w:p>
    <w:p>
      <w:pPr>
        <w:pStyle w:val="BookText"/>
      </w:pPr>
      <w:r>
        <w:rPr>
          <w:rFonts w:ascii="Amiri" w:hAnsi="Amiri" w:eastAsia="Amiri" w:cs="Amiri"/>
          <w:lang w:bidi="ar-SA"/>
          <w:color w:val="111111"/>
          <w:sz w:val="28"/>
          <w:szCs w:val="28"/>
          <w:rtl/>
        </w:rPr>
        <w:t xml:space="preserve">اسرار الوضوء = الرسالة الوضوئية</w:t>
      </w:r>
    </w:p>
    <w:p>
      <w:pPr>
        <w:pStyle w:val="BookText"/>
      </w:pPr>
      <w:r>
        <w:rPr>
          <w:rFonts w:ascii="IRNazanin" w:hAnsi="IRNazanin" w:eastAsia="IRNazanin" w:cs="IRNazanin"/>
          <w:lang w:bidi="fa-IR"/>
          <w:color w:val="111111"/>
          <w:sz w:val="28"/>
          <w:szCs w:val="28"/>
          <w:rtl/>
        </w:rPr>
        <w:t xml:space="preserve">ج 2، ص 184.</w:t>
      </w:r>
    </w:p>
    <w:p>
      <w:pPr>
        <w:pStyle w:val="Heading2"/>
      </w:pPr>
      <w:bookmarkStart w:id="1200" w:name="_Toc302"/>
      <w:r>
        <w:t>ابن جمال ، علي بن ابي بكر 1002 -</w:t>
      </w:r>
      <w:bookmarkEnd w:id="1200"/>
    </w:p>
    <w:p>
      <w:pPr>
        <w:pStyle w:val="BookText"/>
      </w:pPr>
      <w:r>
        <w:rPr>
          <w:rFonts w:ascii="IRNazanin" w:hAnsi="IRNazanin" w:eastAsia="IRNazanin" w:cs="IRNazanin"/>
          <w:lang w:bidi="fa-IR"/>
          <w:color w:val="111111"/>
          <w:sz w:val="28"/>
          <w:szCs w:val="28"/>
          <w:rtl/>
        </w:rPr>
        <w:t xml:space="preserve">1072 ه-</w:t>
      </w:r>
    </w:p>
    <w:p>
      <w:pPr>
        <w:pStyle w:val="BookText"/>
      </w:pPr>
      <w:r>
        <w:rPr>
          <w:rFonts w:ascii="Amiri" w:hAnsi="Amiri" w:eastAsia="Amiri" w:cs="Amiri"/>
          <w:lang w:bidi="ar-SA"/>
          <w:color w:val="111111"/>
          <w:sz w:val="28"/>
          <w:szCs w:val="28"/>
          <w:rtl/>
        </w:rPr>
        <w:t xml:space="preserve">فتح المجيد بأحكام التقليد، ج 11،</w:t>
      </w:r>
    </w:p>
    <w:p>
      <w:pPr>
        <w:pStyle w:val="BookText"/>
      </w:pPr>
      <w:r>
        <w:rPr>
          <w:rFonts w:ascii="IRNazanin" w:hAnsi="IRNazanin" w:eastAsia="IRNazanin" w:cs="IRNazanin"/>
          <w:lang w:bidi="fa-IR"/>
          <w:color w:val="111111"/>
          <w:sz w:val="28"/>
          <w:szCs w:val="28"/>
          <w:rtl/>
        </w:rPr>
        <w:t xml:space="preserve">ص 678 .</w:t>
      </w:r>
    </w:p>
    <w:p>
      <w:pPr>
        <w:pStyle w:val="BookText"/>
      </w:pPr>
      <w:r>
        <w:rPr>
          <w:rFonts w:ascii="Amiri" w:hAnsi="Amiri" w:eastAsia="Amiri" w:cs="Amiri"/>
          <w:lang w:bidi="ar-SA"/>
          <w:color w:val="111111"/>
          <w:sz w:val="28"/>
          <w:szCs w:val="28"/>
          <w:rtl/>
        </w:rPr>
        <w:t xml:space="preserve">ابن جنيد ، يوسف بن جنيد اخي جلبي</w:t>
      </w:r>
    </w:p>
    <w:p>
      <w:pPr>
        <w:pStyle w:val="BookText"/>
      </w:pPr>
      <w:r>
        <w:rPr>
          <w:rFonts w:ascii="Amiri" w:hAnsi="Amiri" w:eastAsia="Amiri" w:cs="Amiri"/>
          <w:lang w:bidi="ar-SA"/>
          <w:color w:val="111111"/>
          <w:sz w:val="28"/>
          <w:szCs w:val="28"/>
          <w:rtl/>
        </w:rPr>
        <w:t xml:space="preserve">يوسف بن جنيد</w:t>
      </w:r>
    </w:p>
    <w:p>
      <w:pPr>
        <w:pStyle w:val="BookText"/>
      </w:pPr>
      <w:r>
        <w:rPr>
          <w:rFonts w:ascii="Amiri" w:hAnsi="Amiri" w:eastAsia="Amiri" w:cs="Amiri"/>
          <w:lang w:bidi="ar-SA"/>
          <w:color w:val="111111"/>
          <w:sz w:val="28"/>
          <w:szCs w:val="28"/>
          <w:rtl/>
        </w:rPr>
        <w:t xml:space="preserve">ابن جنيد شيرازي ، يحيى بن برهان الدين شيرازي ، يحيى بن برهان الدين</w:t>
      </w:r>
    </w:p>
    <w:p>
      <w:pPr>
        <w:pStyle w:val="Heading2"/>
      </w:pPr>
      <w:bookmarkStart w:id="1201" w:name="_Toc303"/>
      <w:r>
        <w:t>ابن جني ، عثمان بن جني، 300-392؟ه-</w:t>
      </w:r>
      <w:bookmarkEnd w:id="1201"/>
    </w:p>
    <w:p>
      <w:pPr>
        <w:pStyle w:val="BookText"/>
      </w:pPr>
      <w:r>
        <w:rPr>
          <w:rFonts w:ascii="Amiri" w:hAnsi="Amiri" w:eastAsia="Amiri" w:cs="Amiri"/>
          <w:lang w:bidi="ar-SA"/>
          <w:color w:val="111111"/>
          <w:sz w:val="28"/>
          <w:szCs w:val="28"/>
          <w:rtl/>
        </w:rPr>
        <w:t xml:space="preserve">1 .التصريف الملوكي، ج4، ص 420.</w:t>
      </w:r>
    </w:p>
    <w:p>
      <w:pPr>
        <w:pStyle w:val="BookText"/>
      </w:pPr>
      <w:r>
        <w:rPr>
          <w:rFonts w:ascii="Amiri" w:hAnsi="Amiri" w:eastAsia="Amiri" w:cs="Amiri"/>
          <w:lang w:bidi="ar-SA"/>
          <w:color w:val="111111"/>
          <w:sz w:val="28"/>
          <w:szCs w:val="28"/>
          <w:rtl/>
        </w:rPr>
        <w:t xml:space="preserve">2 .التمام في تفسير اشعار هذيل، ج4،</w:t>
      </w:r>
    </w:p>
    <w:p>
      <w:pPr>
        <w:pStyle w:val="BookText"/>
      </w:pPr>
      <w:r>
        <w:rPr>
          <w:rFonts w:ascii="IRNazanin" w:hAnsi="IRNazanin" w:eastAsia="IRNazanin" w:cs="IRNazanin"/>
          <w:lang w:bidi="fa-IR"/>
          <w:color w:val="111111"/>
          <w:sz w:val="28"/>
          <w:szCs w:val="28"/>
          <w:rtl/>
        </w:rPr>
        <w:t xml:space="preserve">ص 875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الخصائص، ج7، ص29.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 الصناعة، ج8، ص 755.</w:t>
      </w:r>
    </w:p>
    <w:p>
      <w:pPr>
        <w:pStyle w:val="BookText"/>
      </w:pPr>
      <w:r>
        <w:rPr>
          <w:rFonts w:ascii="Amiri" w:hAnsi="Amiri" w:eastAsia="Amiri" w:cs="Amiri"/>
          <w:lang w:bidi="ar-SA"/>
          <w:color w:val="111111"/>
          <w:sz w:val="28"/>
          <w:szCs w:val="28"/>
          <w:rtl/>
        </w:rPr>
        <w:t xml:space="preserve">5 .شرح الايضاح، ج 9، ص 274.</w:t>
      </w:r>
    </w:p>
    <w:p>
      <w:pPr>
        <w:pStyle w:val="BookText"/>
      </w:pPr>
      <w:r>
        <w:rPr>
          <w:rFonts w:ascii="Amiri" w:hAnsi="Amiri" w:eastAsia="Amiri" w:cs="Amiri"/>
          <w:lang w:bidi="ar-SA"/>
          <w:color w:val="111111"/>
          <w:sz w:val="28"/>
          <w:szCs w:val="28"/>
          <w:rtl/>
        </w:rPr>
        <w:t xml:space="preserve">6 .شرح المعلقات السبعة، ج 10،</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حماسة ابي تمام = اعراب</w:t>
      </w:r>
    </w:p>
    <w:p>
      <w:pPr>
        <w:pStyle w:val="BookText"/>
      </w:pPr>
      <w:r>
        <w:rPr>
          <w:rFonts w:ascii="Amiri" w:hAnsi="Amiri" w:eastAsia="Amiri" w:cs="Amiri"/>
          <w:lang w:bidi="ar-SA"/>
          <w:color w:val="111111"/>
          <w:sz w:val="28"/>
          <w:szCs w:val="28"/>
          <w:rtl/>
        </w:rPr>
        <w:t xml:space="preserve">الحماسة، ج 9، ص 427.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العروض، ج11، ص91</w:t>
      </w:r>
    </w:p>
    <w:p>
      <w:pPr>
        <w:pStyle w:val="BookText"/>
      </w:pPr>
      <w:r>
        <w:rPr>
          <w:rFonts w:ascii="Amiri" w:hAnsi="Amiri" w:eastAsia="Amiri" w:cs="Amiri"/>
          <w:lang w:bidi="ar-SA"/>
          <w:color w:val="111111"/>
          <w:sz w:val="28"/>
          <w:szCs w:val="28"/>
          <w:rtl/>
        </w:rPr>
        <w:t xml:space="preserve">9 .الفسر = شرح ديوان المتنبي، ج11،</w:t>
      </w:r>
    </w:p>
    <w:p>
      <w:pPr>
        <w:pStyle w:val="BookText"/>
      </w:pPr>
      <w:r>
        <w:rPr>
          <w:rFonts w:ascii="IRNazanin" w:hAnsi="IRNazanin" w:eastAsia="IRNazanin" w:cs="IRNazanin"/>
          <w:lang w:bidi="fa-IR"/>
          <w:color w:val="111111"/>
          <w:sz w:val="28"/>
          <w:szCs w:val="28"/>
          <w:rtl/>
        </w:rPr>
        <w:t xml:space="preserve">ص 825</w:t>
      </w:r>
    </w:p>
    <w:p>
      <w:pPr>
        <w:pStyle w:val="BookText"/>
      </w:pPr>
      <w:r>
        <w:rPr>
          <w:rFonts w:ascii="Amiri" w:hAnsi="Amiri" w:eastAsia="Amiri" w:cs="Amiri"/>
          <w:lang w:bidi="ar-SA"/>
          <w:color w:val="111111"/>
          <w:sz w:val="28"/>
          <w:szCs w:val="28"/>
          <w:rtl/>
        </w:rPr>
        <w:t xml:space="preserve">10 .المبهج في تفسير اسماء شعراء الحماسة لابي تمام، ج13، ص 743.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المنصف، ج 15، ص 691.</w:t>
      </w:r>
    </w:p>
    <w:p>
      <w:pPr>
        <w:pStyle w:val="BookText"/>
      </w:pPr>
      <w:r>
        <w:rPr>
          <w:rFonts w:ascii="Amiri" w:hAnsi="Amiri" w:eastAsia="Amiri" w:cs="Amiri"/>
          <w:lang w:bidi="ar-SA"/>
          <w:color w:val="111111"/>
          <w:sz w:val="28"/>
          <w:szCs w:val="28"/>
          <w:rtl/>
        </w:rPr>
        <w:t xml:space="preserve">ابن جعفريه - ابن جوزي 57</w:t>
      </w:r>
    </w:p>
    <w:p>
      <w:pPr>
        <w:pStyle w:val="BookText"/>
      </w:pPr>
      <w:r>
        <w:rPr>
          <w:rFonts w:ascii="Amiri" w:hAnsi="Amiri" w:eastAsia="Amiri" w:cs="Amiri"/>
          <w:lang w:bidi="ar-SA"/>
          <w:color w:val="111111"/>
          <w:sz w:val="28"/>
          <w:szCs w:val="28"/>
          <w:rtl/>
        </w:rPr>
        <w:t xml:space="preserve">12 .النحو( كتاب في)، ج 16، ص 169.</w:t>
      </w:r>
    </w:p>
    <w:p>
      <w:pPr>
        <w:pStyle w:val="Heading2"/>
      </w:pPr>
      <w:bookmarkStart w:id="1202" w:name="_Toc304"/>
      <w:r>
        <w:t>ابن ،جهضم علي بن يوسف ، 2644-713ه-</w:t>
      </w:r>
      <w:bookmarkEnd w:id="1202"/>
    </w:p>
    <w:p>
      <w:pPr>
        <w:pStyle w:val="BookText"/>
      </w:pPr>
      <w:r>
        <w:rPr>
          <w:rFonts w:ascii="Amiri" w:hAnsi="Amiri" w:eastAsia="Amiri" w:cs="Amiri"/>
          <w:lang w:bidi="ar-SA"/>
          <w:color w:val="111111"/>
          <w:sz w:val="28"/>
          <w:szCs w:val="28"/>
          <w:rtl/>
        </w:rPr>
        <w:t xml:space="preserve">بهجة الاسرار و معدن الانوار = مناقب الشيخ عبد القادر الكيلاني، ج 3، ص 413.</w:t>
      </w:r>
    </w:p>
    <w:p>
      <w:pPr>
        <w:pStyle w:val="BookText"/>
      </w:pPr>
      <w:r>
        <w:rPr>
          <w:rFonts w:ascii="Amiri" w:hAnsi="Amiri" w:eastAsia="Amiri" w:cs="Amiri"/>
          <w:lang w:bidi="ar-SA"/>
          <w:color w:val="111111"/>
          <w:sz w:val="28"/>
          <w:szCs w:val="28"/>
          <w:rtl/>
        </w:rPr>
        <w:t xml:space="preserve">ابن جواد ، جابر بن حسين كاظمي- كاظمي ، جابر بن عبدالحسين</w:t>
      </w:r>
    </w:p>
    <w:p>
      <w:pPr>
        <w:pStyle w:val="Heading2"/>
      </w:pPr>
      <w:bookmarkStart w:id="1203" w:name="_Toc305"/>
      <w:r>
        <w:t>ابن جواد محبوبه ، جعفر بن باقر -</w:t>
      </w:r>
      <w:bookmarkEnd w:id="1203"/>
    </w:p>
    <w:p>
      <w:pPr>
        <w:pStyle w:val="BookText"/>
      </w:pPr>
      <w:r>
        <w:rPr>
          <w:rFonts w:ascii="IRNazanin" w:hAnsi="IRNazanin" w:eastAsia="IRNazanin" w:cs="IRNazanin"/>
          <w:lang w:bidi="fa-IR"/>
          <w:color w:val="111111"/>
          <w:sz w:val="28"/>
          <w:szCs w:val="28"/>
          <w:rtl/>
        </w:rPr>
        <w:t xml:space="preserve">1377 ه-</w:t>
      </w:r>
    </w:p>
    <w:p>
      <w:pPr>
        <w:pStyle w:val="BookText"/>
      </w:pPr>
      <w:r>
        <w:rPr>
          <w:rFonts w:ascii="Amiri" w:hAnsi="Amiri" w:eastAsia="Amiri" w:cs="Amiri"/>
          <w:lang w:bidi="ar-SA"/>
          <w:color w:val="111111"/>
          <w:sz w:val="28"/>
          <w:szCs w:val="28"/>
          <w:rtl/>
        </w:rPr>
        <w:t xml:space="preserve">ماضي النجف و حاضرها، ج13،</w:t>
      </w:r>
    </w:p>
    <w:p>
      <w:pPr>
        <w:pStyle w:val="BookText"/>
      </w:pPr>
      <w:r>
        <w:rPr>
          <w:rFonts w:ascii="IRNazanin" w:hAnsi="IRNazanin" w:eastAsia="IRNazanin" w:cs="IRNazanin"/>
          <w:lang w:bidi="fa-IR"/>
          <w:color w:val="111111"/>
          <w:sz w:val="28"/>
          <w:szCs w:val="28"/>
          <w:rtl/>
        </w:rPr>
        <w:t xml:space="preserve">ص 681 .</w:t>
      </w:r>
    </w:p>
    <w:p>
      <w:pPr>
        <w:pStyle w:val="BookText"/>
      </w:pPr>
      <w:r>
        <w:rPr>
          <w:rFonts w:ascii="Amiri" w:hAnsi="Amiri" w:eastAsia="Amiri" w:cs="Amiri"/>
          <w:lang w:bidi="ar-SA"/>
          <w:color w:val="111111"/>
          <w:sz w:val="28"/>
          <w:szCs w:val="28"/>
          <w:rtl/>
        </w:rPr>
        <w:t xml:space="preserve">ابن جواليقي ، موهوب بن احمد -جواليقي ، موهوب بن احمد</w:t>
      </w:r>
    </w:p>
    <w:p>
      <w:pPr>
        <w:pStyle w:val="Heading2"/>
      </w:pPr>
      <w:bookmarkStart w:id="1204" w:name="_Toc306"/>
      <w:r>
        <w:t>ابن جوزي</w:t>
      </w:r>
      <w:bookmarkEnd w:id="1204"/>
    </w:p>
    <w:p>
      <w:pPr>
        <w:pStyle w:val="BookText"/>
      </w:pPr>
      <w:r>
        <w:rPr>
          <w:rFonts w:ascii="Amiri" w:hAnsi="Amiri" w:eastAsia="Amiri" w:cs="Amiri"/>
          <w:lang w:bidi="ar-SA"/>
          <w:color w:val="111111"/>
          <w:sz w:val="28"/>
          <w:szCs w:val="28"/>
          <w:rtl/>
        </w:rPr>
        <w:t xml:space="preserve">مجموعة ديباجات، ج 14، ص 30.</w:t>
      </w:r>
    </w:p>
    <w:p>
      <w:pPr>
        <w:pStyle w:val="Heading2"/>
      </w:pPr>
      <w:bookmarkStart w:id="1205" w:name="_Toc307"/>
      <w:r>
        <w:t>ابن جوزي ، شمس الدين محمّد</w:t>
      </w:r>
      <w:bookmarkEnd w:id="1205"/>
    </w:p>
    <w:p>
      <w:pPr>
        <w:pStyle w:val="BookText"/>
      </w:pPr>
      <w:r>
        <w:rPr>
          <w:rFonts w:ascii="Amiri" w:hAnsi="Amiri" w:eastAsia="Amiri" w:cs="Amiri"/>
          <w:lang w:bidi="ar-SA"/>
          <w:color w:val="111111"/>
          <w:sz w:val="28"/>
          <w:szCs w:val="28"/>
          <w:rtl/>
        </w:rPr>
        <w:t xml:space="preserve">سوق العروس في الوعظ للنفوس، ج8،</w:t>
      </w:r>
    </w:p>
    <w:p>
      <w:pPr>
        <w:pStyle w:val="BookText"/>
      </w:pPr>
      <w:r>
        <w:rPr>
          <w:rFonts w:ascii="IRNazanin" w:hAnsi="IRNazanin" w:eastAsia="IRNazanin" w:cs="IRNazanin"/>
          <w:lang w:bidi="fa-IR"/>
          <w:color w:val="111111"/>
          <w:sz w:val="28"/>
          <w:szCs w:val="28"/>
          <w:rtl/>
        </w:rPr>
        <w:t xml:space="preserve">ص 867.</w:t>
      </w:r>
    </w:p>
    <w:p>
      <w:pPr>
        <w:pStyle w:val="Heading2"/>
      </w:pPr>
      <w:bookmarkStart w:id="1206" w:name="_Toc308"/>
      <w:r>
        <w:t>ابن جوزي ، عبدالرحمن بن علي 508 -</w:t>
      </w:r>
      <w:bookmarkEnd w:id="1206"/>
    </w:p>
    <w:p>
      <w:pPr>
        <w:pStyle w:val="BookText"/>
      </w:pPr>
      <w:r>
        <w:rPr>
          <w:rFonts w:ascii="IRNazanin" w:hAnsi="IRNazanin" w:eastAsia="IRNazanin" w:cs="IRNazanin"/>
          <w:lang w:bidi="fa-IR"/>
          <w:color w:val="111111"/>
          <w:sz w:val="28"/>
          <w:szCs w:val="28"/>
          <w:rtl/>
        </w:rPr>
        <w:t xml:space="preserve">597 ه-</w:t>
      </w:r>
    </w:p>
    <w:p>
      <w:pPr>
        <w:pStyle w:val="BookText"/>
      </w:pPr>
      <w:r>
        <w:rPr>
          <w:rFonts w:ascii="Amiri" w:hAnsi="Amiri" w:eastAsia="Amiri" w:cs="Amiri"/>
          <w:lang w:bidi="ar-SA"/>
          <w:color w:val="111111"/>
          <w:sz w:val="28"/>
          <w:szCs w:val="28"/>
          <w:rtl/>
        </w:rPr>
        <w:t xml:space="preserve">1 .اخبار الاذكياء، ج1، ص 522.</w:t>
      </w:r>
    </w:p>
    <w:p>
      <w:pPr>
        <w:pStyle w:val="BookText"/>
      </w:pPr>
      <w:r>
        <w:rPr>
          <w:rFonts w:ascii="Amiri" w:hAnsi="Amiri" w:eastAsia="Amiri" w:cs="Amiri"/>
          <w:lang w:bidi="ar-SA"/>
          <w:color w:val="111111"/>
          <w:sz w:val="28"/>
          <w:szCs w:val="28"/>
          <w:rtl/>
        </w:rPr>
        <w:t xml:space="preserve">2 أخبار الحمقي و المغفلين، ج1،</w:t>
      </w:r>
    </w:p>
    <w:p>
      <w:pPr>
        <w:pStyle w:val="BookText"/>
      </w:pPr>
      <w:r>
        <w:rPr>
          <w:rFonts w:ascii="IRNazanin" w:hAnsi="IRNazanin" w:eastAsia="IRNazanin" w:cs="IRNazanin"/>
          <w:lang w:bidi="fa-IR"/>
          <w:color w:val="111111"/>
          <w:sz w:val="28"/>
          <w:szCs w:val="28"/>
          <w:rtl/>
        </w:rPr>
        <w:t xml:space="preserve">ص 526.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اسماء الضعفاء و الواضعين، ج 2،</w:t>
      </w:r>
    </w:p>
    <w:p>
      <w:pPr>
        <w:pStyle w:val="BookText"/>
      </w:pPr>
      <w:r>
        <w:rPr>
          <w:rFonts w:ascii="IRNazanin" w:hAnsi="IRNazanin" w:eastAsia="IRNazanin" w:cs="IRNazanin"/>
          <w:lang w:bidi="fa-IR"/>
          <w:color w:val="111111"/>
          <w:sz w:val="28"/>
          <w:szCs w:val="28"/>
          <w:rtl/>
        </w:rPr>
        <w:t xml:space="preserve">ص231.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.إعلام العالم بعد رسوخه بحقائق ناسخ الحدیث و منسوخه، ج2،</w:t>
      </w:r>
    </w:p>
    <w:p>
      <w:pPr>
        <w:pStyle w:val="BookText"/>
      </w:pPr>
      <w:r>
        <w:rPr>
          <w:rFonts w:ascii="IRNazanin" w:hAnsi="IRNazanin" w:eastAsia="IRNazanin" w:cs="IRNazanin"/>
          <w:lang w:bidi="fa-IR"/>
          <w:color w:val="111111"/>
          <w:sz w:val="28"/>
          <w:szCs w:val="28"/>
          <w:rtl/>
        </w:rPr>
        <w:t xml:space="preserve">ص560.</w:t>
      </w:r>
    </w:p>
    <w:p>
      <w:pPr>
        <w:pStyle w:val="BookText"/>
      </w:pPr>
      <w:r>
        <w:rPr>
          <w:rFonts w:ascii="IRNazanin" w:hAnsi="IRNazanin" w:eastAsia="IRNazanin" w:cs="IRNazanin"/>
          <w:lang w:bidi="fa-IR"/>
          <w:color w:val="111111"/>
          <w:sz w:val="28"/>
          <w:szCs w:val="28"/>
          <w:rtl/>
        </w:rPr>
        <w:t xml:space="preserve">5 .انتخاب من لقط المنافع، ج2،</w:t>
      </w:r>
    </w:p>
    <w:p>
      <w:pPr>
        <w:pStyle w:val="BookText"/>
      </w:pPr>
      <w:r>
        <w:rPr>
          <w:rFonts w:ascii="IRNazanin" w:hAnsi="IRNazanin" w:eastAsia="IRNazanin" w:cs="IRNazanin"/>
          <w:lang w:bidi="fa-IR"/>
          <w:color w:val="111111"/>
          <w:sz w:val="28"/>
          <w:szCs w:val="28"/>
          <w:rtl/>
        </w:rPr>
        <w:t xml:space="preserve">ص 785.</w:t>
      </w:r>
    </w:p>
    <w:p>
      <w:pPr>
        <w:pStyle w:val="BookText"/>
      </w:pPr>
      <w:r>
        <w:rPr>
          <w:rFonts w:ascii="Amiri" w:hAnsi="Amiri" w:eastAsia="Amiri" w:cs="Amiri"/>
          <w:lang w:bidi="ar-SA"/>
          <w:color w:val="111111"/>
          <w:sz w:val="28"/>
          <w:szCs w:val="28"/>
          <w:rtl/>
        </w:rPr>
        <w:t xml:space="preserve">6 .ايقاظ الوسنان، ج 3، ص 152.</w:t>
      </w:r>
    </w:p>
    <w:p>
      <w:pPr>
        <w:pStyle w:val="BookText"/>
      </w:pPr>
      <w:r>
        <w:rPr>
          <w:rFonts w:ascii="Amiri" w:hAnsi="Amiri" w:eastAsia="Amiri" w:cs="Amiri"/>
          <w:lang w:bidi="ar-SA"/>
          <w:color w:val="111111"/>
          <w:sz w:val="28"/>
          <w:szCs w:val="28"/>
          <w:rtl/>
        </w:rPr>
        <w:t xml:space="preserve">7 .الباز الاشهب المنقض على مخالفي</w:t>
      </w:r>
    </w:p>
    <w:p>
      <w:pPr>
        <w:pStyle w:val="BookText"/>
      </w:pPr>
      <w:r>
        <w:rPr>
          <w:rFonts w:ascii="IRNazanin" w:hAnsi="IRNazanin" w:eastAsia="IRNazanin" w:cs="IRNazanin"/>
          <w:lang w:bidi="fa-IR"/>
          <w:color w:val="111111"/>
          <w:sz w:val="28"/>
          <w:szCs w:val="28"/>
          <w:rtl/>
        </w:rPr>
        <w:t xml:space="preserve">المذهب، ج 3، ص179.</w:t>
      </w:r>
    </w:p>
    <w:p>
      <w:pPr>
        <w:pStyle w:val="BookText"/>
      </w:pPr>
      <w:r>
        <w:rPr>
          <w:rFonts w:ascii="Amiri" w:hAnsi="Amiri" w:eastAsia="Amiri" w:cs="Amiri"/>
          <w:lang w:bidi="ar-SA"/>
          <w:color w:val="111111"/>
          <w:sz w:val="28"/>
          <w:szCs w:val="28"/>
          <w:rtl/>
        </w:rPr>
        <w:t xml:space="preserve">8 .تبصرة المبتدي و تذكرة المنتهي، ج 3،</w:t>
      </w:r>
    </w:p>
    <w:p>
      <w:pPr>
        <w:pStyle w:val="BookText"/>
      </w:pPr>
      <w:r>
        <w:rPr>
          <w:rFonts w:ascii="IRNazanin" w:hAnsi="IRNazanin" w:eastAsia="IRNazanin" w:cs="IRNazanin"/>
          <w:lang w:bidi="fa-IR"/>
          <w:color w:val="111111"/>
          <w:sz w:val="28"/>
          <w:szCs w:val="28"/>
          <w:rtl/>
        </w:rPr>
        <w:t xml:space="preserve">ص 642 .</w:t>
      </w:r>
    </w:p>
    <w:p>
      <w:pPr>
        <w:pStyle w:val="BookText"/>
      </w:pPr>
      <w:r>
        <w:rPr>
          <w:rFonts w:ascii="Amiri" w:hAnsi="Amiri" w:eastAsia="Amiri" w:cs="Amiri"/>
          <w:lang w:bidi="ar-SA"/>
          <w:color w:val="111111"/>
          <w:sz w:val="28"/>
          <w:szCs w:val="28"/>
          <w:rtl/>
        </w:rPr>
        <w:t xml:space="preserve">9 .تحفة الواعظ و نزهة الملاحظ، ج4،</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Amiri" w:hAnsi="Amiri" w:eastAsia="Amiri" w:cs="Amiri"/>
          <w:lang w:bidi="ar-SA"/>
          <w:color w:val="111111"/>
          <w:sz w:val="28"/>
          <w:szCs w:val="28"/>
          <w:rtl/>
        </w:rPr>
        <w:t xml:space="preserve">10 .تقرير القواعد و تحرير الفوائد في أصول مذهب الإمام أحمد بن</w:t>
      </w:r>
    </w:p>
    <w:p>
      <w:pPr>
        <w:pStyle w:val="BookText"/>
      </w:pPr>
      <w:r>
        <w:rPr>
          <w:rFonts w:ascii="IRNazanin" w:hAnsi="IRNazanin" w:eastAsia="IRNazanin" w:cs="IRNazanin"/>
          <w:lang w:bidi="fa-IR"/>
          <w:color w:val="111111"/>
          <w:sz w:val="28"/>
          <w:szCs w:val="28"/>
          <w:rtl/>
        </w:rPr>
        <w:t xml:space="preserve">حنبل، ج4، ص 776.</w:t>
      </w:r>
    </w:p>
    <w:p>
      <w:pPr>
        <w:pStyle w:val="BookText"/>
      </w:pPr>
      <w:r>
        <w:rPr>
          <w:rFonts w:ascii="Amiri" w:hAnsi="Amiri" w:eastAsia="Amiri" w:cs="Amiri"/>
          <w:lang w:bidi="ar-SA"/>
          <w:color w:val="111111"/>
          <w:sz w:val="28"/>
          <w:szCs w:val="28"/>
          <w:rtl/>
        </w:rPr>
        <w:t xml:space="preserve">11 .تقويم اللسان فيما تلحن فيه العامة = غلطات العوام، ج4، ص 803.</w:t>
      </w:r>
    </w:p>
    <w:p>
      <w:pPr>
        <w:pStyle w:val="BookText"/>
      </w:pPr>
      <w:r>
        <w:rPr>
          <w:rFonts w:ascii="Amiri" w:hAnsi="Amiri" w:eastAsia="Amiri" w:cs="Amiri"/>
          <w:lang w:bidi="ar-SA"/>
          <w:color w:val="111111"/>
          <w:sz w:val="28"/>
          <w:szCs w:val="28"/>
          <w:rtl/>
        </w:rPr>
        <w:t xml:space="preserve">12 .تلقيح فهوم اهل الأثر في عيون</w:t>
      </w:r>
    </w:p>
    <w:p>
      <w:pPr>
        <w:pStyle w:val="BookText"/>
      </w:pPr>
      <w:r>
        <w:rPr>
          <w:rFonts w:ascii="Amiri" w:hAnsi="Amiri" w:eastAsia="Amiri" w:cs="Amiri"/>
          <w:lang w:bidi="ar-SA"/>
          <w:color w:val="111111"/>
          <w:sz w:val="28"/>
          <w:szCs w:val="28"/>
          <w:rtl/>
        </w:rPr>
        <w:t xml:space="preserve">التاريخ و السير، ج 4، ص 867.</w:t>
      </w:r>
    </w:p>
    <w:p>
      <w:pPr>
        <w:pStyle w:val="BookText"/>
      </w:pPr>
      <w:r>
        <w:rPr>
          <w:rFonts w:ascii="Amiri" w:hAnsi="Amiri" w:eastAsia="Amiri" w:cs="Amiri"/>
          <w:lang w:bidi="ar-SA"/>
          <w:color w:val="111111"/>
          <w:sz w:val="28"/>
          <w:szCs w:val="28"/>
          <w:rtl/>
        </w:rPr>
        <w:t xml:space="preserve">13 .تنوير الغبش في فضل السودان و</w:t>
      </w:r>
    </w:p>
    <w:p>
      <w:pPr>
        <w:pStyle w:val="BookText"/>
      </w:pPr>
      <w:r>
        <w:rPr>
          <w:rFonts w:ascii="IRNazanin" w:hAnsi="IRNazanin" w:eastAsia="IRNazanin" w:cs="IRNazanin"/>
          <w:lang w:bidi="fa-IR"/>
          <w:color w:val="111111"/>
          <w:sz w:val="28"/>
          <w:szCs w:val="28"/>
          <w:rtl/>
        </w:rPr>
        <w:t xml:space="preserve">الحبش، ج 5، ص79.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ديباجات كتب لابن الجوزي، ج 7،</w:t>
      </w:r>
    </w:p>
    <w:p>
      <w:pPr>
        <w:pStyle w:val="BookText"/>
      </w:pPr>
      <w:r>
        <w:rPr>
          <w:rFonts w:ascii="IRNazanin" w:hAnsi="IRNazanin" w:eastAsia="IRNazanin" w:cs="IRNazanin"/>
          <w:lang w:bidi="fa-IR"/>
          <w:color w:val="111111"/>
          <w:sz w:val="28"/>
          <w:szCs w:val="28"/>
          <w:rtl/>
        </w:rPr>
        <w:t xml:space="preserve">ص495.</w:t>
      </w:r>
    </w:p>
    <w:p>
      <w:pPr>
        <w:pStyle w:val="BookText"/>
      </w:pPr>
      <w:r>
        <w:rPr>
          <w:rFonts w:ascii="Amiri" w:hAnsi="Amiri" w:eastAsia="Amiri" w:cs="Amiri"/>
          <w:lang w:bidi="ar-SA"/>
          <w:color w:val="111111"/>
          <w:sz w:val="28"/>
          <w:szCs w:val="28"/>
          <w:rtl/>
        </w:rPr>
        <w:t xml:space="preserve">15 .ديوان ابن جوزي، ج 7، ص 513.</w:t>
      </w:r>
    </w:p>
    <w:p>
      <w:pPr>
        <w:pStyle w:val="BookText"/>
      </w:pPr>
      <w:r>
        <w:rPr>
          <w:rFonts w:ascii="Amiri" w:hAnsi="Amiri" w:eastAsia="Amiri" w:cs="Amiri"/>
          <w:lang w:bidi="ar-SA"/>
          <w:color w:val="111111"/>
          <w:sz w:val="28"/>
          <w:szCs w:val="28"/>
          <w:rtl/>
        </w:rPr>
        <w:t xml:space="preserve">16 .الرد على المتعصب العنيد في الرد على من لم يجوز اللعن على يزيد</w:t>
      </w:r>
    </w:p>
    <w:p>
      <w:pPr>
        <w:pStyle w:val="BookText"/>
      </w:pPr>
      <w:r>
        <w:rPr>
          <w:rFonts w:ascii="IRNazanin" w:hAnsi="IRNazanin" w:eastAsia="IRNazanin" w:cs="IRNazanin"/>
          <w:lang w:bidi="fa-IR"/>
          <w:color w:val="111111"/>
          <w:sz w:val="28"/>
          <w:szCs w:val="28"/>
          <w:rtl/>
        </w:rPr>
        <w:t xml:space="preserve">ج 8، ص 101.</w:t>
      </w:r>
    </w:p>
    <w:p>
      <w:pPr>
        <w:pStyle w:val="BookText"/>
      </w:pPr>
      <w:r>
        <w:rPr>
          <w:rFonts w:ascii="Amiri" w:hAnsi="Amiri" w:eastAsia="Amiri" w:cs="Amiri"/>
          <w:lang w:bidi="ar-SA"/>
          <w:color w:val="111111"/>
          <w:sz w:val="28"/>
          <w:szCs w:val="28"/>
          <w:rtl/>
        </w:rPr>
        <w:t xml:space="preserve">17 .زاد المسير في علم التفسير، ج8،</w:t>
      </w:r>
    </w:p>
    <w:p>
      <w:pPr>
        <w:pStyle w:val="BookText"/>
      </w:pPr>
      <w:r>
        <w:rPr>
          <w:rFonts w:ascii="IRNazanin" w:hAnsi="IRNazanin" w:eastAsia="IRNazanin" w:cs="IRNazanin"/>
          <w:lang w:bidi="fa-IR"/>
          <w:color w:val="111111"/>
          <w:sz w:val="28"/>
          <w:szCs w:val="28"/>
          <w:rtl/>
        </w:rPr>
        <w:t xml:space="preserve">ص 533.</w:t>
      </w:r>
    </w:p>
    <w:p>
      <w:pPr>
        <w:pStyle w:val="BookText"/>
      </w:pPr>
      <w:r>
        <w:rPr>
          <w:rFonts w:ascii="Amiri" w:hAnsi="Amiri" w:eastAsia="Amiri" w:cs="Amiri"/>
          <w:lang w:bidi="ar-SA"/>
          <w:color w:val="111111"/>
          <w:sz w:val="28"/>
          <w:szCs w:val="28"/>
          <w:rtl/>
        </w:rPr>
        <w:t xml:space="preserve">18 .سلوة الأحزان بما روي عن ذوي</w:t>
      </w:r>
    </w:p>
    <w:p>
      <w:pPr>
        <w:pStyle w:val="BookText"/>
      </w:pPr>
      <w:r>
        <w:rPr>
          <w:rFonts w:ascii="IRNazanin" w:hAnsi="IRNazanin" w:eastAsia="IRNazanin" w:cs="IRNazanin"/>
          <w:lang w:bidi="fa-IR"/>
          <w:color w:val="111111"/>
          <w:sz w:val="28"/>
          <w:szCs w:val="28"/>
          <w:rtl/>
        </w:rPr>
        <w:t xml:space="preserve">العرفان، ج8، ص821</w:t>
      </w:r>
    </w:p>
    <w:p>
      <w:pPr>
        <w:pStyle w:val="BookText"/>
      </w:pPr>
      <w:r>
        <w:rPr>
          <w:rFonts w:ascii="Amiri" w:hAnsi="Amiri" w:eastAsia="Amiri" w:cs="Amiri"/>
          <w:lang w:bidi="ar-SA"/>
          <w:color w:val="111111"/>
          <w:sz w:val="28"/>
          <w:szCs w:val="28"/>
          <w:rtl/>
        </w:rPr>
        <w:t xml:space="preserve">19 .شذور العقود في تاريخ العهود</w:t>
      </w:r>
    </w:p>
    <w:p>
      <w:pPr>
        <w:pStyle w:val="BookText"/>
      </w:pPr>
      <w:r>
        <w:rPr>
          <w:rFonts w:ascii="IRNazanin" w:hAnsi="IRNazanin" w:eastAsia="IRNazanin" w:cs="IRNazanin"/>
          <w:lang w:bidi="fa-IR"/>
          <w:color w:val="111111"/>
          <w:sz w:val="28"/>
          <w:szCs w:val="28"/>
          <w:rtl/>
        </w:rPr>
        <w:t xml:space="preserve">ج 9، ص92.</w:t>
      </w:r>
    </w:p>
    <w:p>
      <w:pPr>
        <w:pStyle w:val="BookText"/>
      </w:pPr>
      <w:r>
        <w:rPr>
          <w:rFonts w:ascii="Amiri" w:hAnsi="Amiri" w:eastAsia="Amiri" w:cs="Amiri"/>
          <w:lang w:bidi="ar-SA"/>
          <w:color w:val="111111"/>
          <w:sz w:val="28"/>
          <w:szCs w:val="28"/>
          <w:rtl/>
        </w:rPr>
        <w:t xml:space="preserve">20 .الصفات (رسالة في)، ج 10،</w:t>
      </w:r>
    </w:p>
    <w:p>
      <w:pPr>
        <w:pStyle w:val="BookText"/>
      </w:pPr>
      <w:r>
        <w:rPr>
          <w:rFonts w:ascii="IRNazanin" w:hAnsi="IRNazanin" w:eastAsia="IRNazanin" w:cs="IRNazanin"/>
          <w:lang w:bidi="fa-IR"/>
          <w:color w:val="111111"/>
          <w:sz w:val="28"/>
          <w:szCs w:val="28"/>
          <w:rtl/>
        </w:rPr>
        <w:t xml:space="preserve">ص 561.</w:t>
      </w:r>
    </w:p>
    <w:p>
      <w:pPr>
        <w:pStyle w:val="BookText"/>
      </w:pPr>
      <w:r>
        <w:rPr>
          <w:rFonts w:ascii="Amiri" w:hAnsi="Amiri" w:eastAsia="Amiri" w:cs="Amiri"/>
          <w:lang w:bidi="ar-SA"/>
          <w:color w:val="111111"/>
          <w:sz w:val="28"/>
          <w:szCs w:val="28"/>
          <w:rtl/>
        </w:rPr>
        <w:t xml:space="preserve">21 .صفة الصفوة، ج 10، ص 569.</w:t>
      </w:r>
    </w:p>
    <w:p>
      <w:pPr>
        <w:pStyle w:val="BookText"/>
      </w:pPr>
      <w:r>
        <w:rPr>
          <w:rFonts w:ascii="Amiri" w:hAnsi="Amiri" w:eastAsia="Amiri" w:cs="Amiri"/>
          <w:lang w:bidi="ar-SA"/>
          <w:color w:val="111111"/>
          <w:sz w:val="28"/>
          <w:szCs w:val="28"/>
          <w:rtl/>
        </w:rPr>
        <w:t xml:space="preserve">22 .صيد الخاطر من منحة الفاطر</w:t>
      </w:r>
    </w:p>
    <w:p>
      <w:pPr>
        <w:pStyle w:val="BookText"/>
      </w:pPr>
      <w:r>
        <w:rPr>
          <w:rFonts w:ascii="IRNazanin" w:hAnsi="IRNazanin" w:eastAsia="IRNazanin" w:cs="IRNazanin"/>
          <w:lang w:bidi="fa-IR"/>
          <w:color w:val="111111"/>
          <w:sz w:val="28"/>
          <w:szCs w:val="28"/>
          <w:rtl/>
        </w:rPr>
        <w:t xml:space="preserve">ج 10، ص 673.</w:t>
      </w:r>
    </w:p>
    <w:p>
      <w:pPr>
        <w:pStyle w:val="BookText"/>
      </w:pPr>
      <w:r>
        <w:rPr>
          <w:rFonts w:ascii="Amiri" w:hAnsi="Amiri" w:eastAsia="Amiri" w:cs="Amiri"/>
          <w:lang w:bidi="ar-SA"/>
          <w:color w:val="111111"/>
          <w:sz w:val="28"/>
          <w:szCs w:val="28"/>
          <w:rtl/>
        </w:rPr>
        <w:t xml:space="preserve">23 .الطب الروحاني، ج 10، ص 768.</w:t>
      </w:r>
    </w:p>
    <w:p>
      <w:pPr>
        <w:pStyle w:val="BookText"/>
      </w:pPr>
      <w:r>
        <w:rPr>
          <w:rFonts w:ascii="IRNazanin" w:hAnsi="IRNazanin" w:eastAsia="IRNazanin" w:cs="IRNazanin"/>
          <w:lang w:bidi="fa-IR"/>
          <w:color w:val="111111"/>
          <w:sz w:val="28"/>
          <w:szCs w:val="28"/>
          <w:rtl/>
        </w:rPr>
        <w:t xml:space="preserve">24 .الطبقات، ج 10، ص770. .</w:t>
      </w:r>
    </w:p>
    <w:p>
      <w:pPr>
        <w:pStyle w:val="BookText"/>
      </w:pPr>
      <w:r>
        <w:rPr>
          <w:rFonts w:ascii="IRNazanin" w:hAnsi="IRNazanin" w:eastAsia="IRNazanin" w:cs="IRNazanin"/>
          <w:lang w:bidi="fa-IR"/>
          <w:color w:val="111111"/>
          <w:sz w:val="28"/>
          <w:szCs w:val="28"/>
          <w:rtl/>
        </w:rPr>
        <w:t xml:space="preserve">25 .عجب الخطب، ج 11، ص38.</w:t>
      </w:r>
    </w:p>
    <w:p>
      <w:pPr>
        <w:pStyle w:val="BookText"/>
      </w:pPr>
      <w:r>
        <w:rPr>
          <w:rFonts w:ascii="IRNazanin" w:hAnsi="IRNazanin" w:eastAsia="IRNazanin" w:cs="IRNazanin"/>
          <w:lang w:bidi="fa-IR"/>
          <w:color w:val="111111"/>
          <w:sz w:val="28"/>
          <w:szCs w:val="28"/>
          <w:rtl/>
        </w:rPr>
        <w:t xml:space="preserve">26 .عقائد المرفق، ج 11، ص 153.</w:t>
      </w:r>
    </w:p>
    <w:p>
      <w:pPr>
        <w:pStyle w:val="BookText"/>
      </w:pPr>
      <w:r>
        <w:rPr>
          <w:rFonts w:ascii="Amiri" w:hAnsi="Amiri" w:eastAsia="Amiri" w:cs="Amiri"/>
          <w:lang w:bidi="ar-SA"/>
          <w:color w:val="111111"/>
          <w:sz w:val="28"/>
          <w:szCs w:val="28"/>
          <w:rtl/>
        </w:rPr>
        <w:t xml:space="preserve">27 .عقيدة ابن الجوزي، ج 11، ص 196.</w:t>
      </w:r>
    </w:p>
    <w:p>
      <w:pPr>
        <w:pStyle w:val="BookText"/>
      </w:pPr>
      <w:r>
        <w:rPr>
          <w:rFonts w:ascii="Amiri" w:hAnsi="Amiri" w:eastAsia="Amiri" w:cs="Amiri"/>
          <w:lang w:bidi="ar-SA"/>
          <w:color w:val="111111"/>
          <w:sz w:val="28"/>
          <w:szCs w:val="28"/>
          <w:rtl/>
        </w:rPr>
        <w:t xml:space="preserve">28 .عمدة العلم الراسخ في معرفة المنسوخ والناسخ = تذكرة الاديب في تفسير الغريب، ج 11، ص301.</w:t>
      </w:r>
    </w:p>
    <w:p>
      <w:pPr>
        <w:pStyle w:val="BookText"/>
      </w:pPr>
      <w:r>
        <w:rPr>
          <w:rFonts w:ascii="Amiri" w:hAnsi="Amiri" w:eastAsia="Amiri" w:cs="Amiri"/>
          <w:lang w:bidi="ar-SA"/>
          <w:color w:val="111111"/>
          <w:sz w:val="28"/>
          <w:szCs w:val="28"/>
          <w:rtl/>
        </w:rPr>
        <w:t xml:space="preserve">29 .عيون الحكايات في سيرة سيد</w:t>
      </w:r>
    </w:p>
    <w:p>
      <w:pPr>
        <w:pStyle w:val="BookText"/>
      </w:pPr>
      <w:r>
        <w:rPr>
          <w:rFonts w:ascii="Amiri" w:hAnsi="Amiri" w:eastAsia="Amiri" w:cs="Amiri"/>
          <w:lang w:bidi="ar-SA"/>
          <w:color w:val="111111"/>
          <w:sz w:val="28"/>
          <w:szCs w:val="28"/>
          <w:rtl/>
        </w:rPr>
        <w:t xml:space="preserve">البريات، ج 11، ص 404.</w:t>
      </w:r>
    </w:p>
    <w:p>
      <w:pPr>
        <w:pStyle w:val="BookText"/>
      </w:pPr>
      <w:r>
        <w:rPr>
          <w:rFonts w:ascii="Amiri" w:hAnsi="Amiri" w:eastAsia="Amiri" w:cs="Amiri"/>
          <w:lang w:bidi="ar-SA"/>
          <w:color w:val="111111"/>
          <w:sz w:val="28"/>
          <w:szCs w:val="28"/>
          <w:rtl/>
        </w:rPr>
        <w:t xml:space="preserve">30 .غريب الحديث ج 11، ص 491.</w:t>
      </w:r>
    </w:p>
    <w:p>
      <w:pPr>
        <w:pStyle w:val="BookText"/>
      </w:pPr>
      <w:r>
        <w:rPr>
          <w:rFonts w:ascii="Amiri" w:hAnsi="Amiri" w:eastAsia="Amiri" w:cs="Amiri"/>
          <w:lang w:bidi="ar-SA"/>
          <w:color w:val="111111"/>
          <w:sz w:val="28"/>
          <w:szCs w:val="28"/>
          <w:rtl/>
        </w:rPr>
        <w:t xml:space="preserve">31 .فنون الأفنان في عيون علوم</w:t>
      </w:r>
    </w:p>
    <w:p>
      <w:pPr>
        <w:pStyle w:val="BookText"/>
      </w:pPr>
      <w:r>
        <w:rPr>
          <w:rFonts w:ascii="IRNazanin" w:hAnsi="IRNazanin" w:eastAsia="IRNazanin" w:cs="IRNazanin"/>
          <w:lang w:bidi="fa-IR"/>
          <w:color w:val="111111"/>
          <w:sz w:val="28"/>
          <w:szCs w:val="28"/>
          <w:rtl/>
        </w:rPr>
        <w:t xml:space="preserve">القرآن، ج 12، ص 140.</w:t>
      </w:r>
    </w:p>
    <w:p>
      <w:pPr>
        <w:pStyle w:val="BookText"/>
      </w:pPr>
      <w:r>
        <w:rPr>
          <w:rFonts w:ascii="Amiri" w:hAnsi="Amiri" w:eastAsia="Amiri" w:cs="Amiri"/>
          <w:lang w:bidi="ar-SA"/>
          <w:color w:val="111111"/>
          <w:sz w:val="28"/>
          <w:szCs w:val="28"/>
          <w:rtl/>
        </w:rPr>
        <w:t xml:space="preserve">32 .كتاب الأذكياء، ج 13، ص 87.</w:t>
      </w:r>
    </w:p>
    <w:p>
      <w:pPr>
        <w:pStyle w:val="BookText"/>
      </w:pPr>
      <w:r>
        <w:rPr>
          <w:rFonts w:ascii="Amiri" w:hAnsi="Amiri" w:eastAsia="Amiri" w:cs="Amiri"/>
          <w:lang w:bidi="ar-SA"/>
          <w:color w:val="111111"/>
          <w:sz w:val="28"/>
          <w:szCs w:val="28"/>
          <w:rtl/>
        </w:rPr>
        <w:t xml:space="preserve">33 .كشف مشكل الصحيحين، ج13،</w:t>
      </w:r>
    </w:p>
    <w:p>
      <w:pPr>
        <w:pStyle w:val="BookText"/>
      </w:pPr>
      <w:r>
        <w:rPr>
          <w:rFonts w:ascii="IRNazanin" w:hAnsi="IRNazanin" w:eastAsia="IRNazanin" w:cs="IRNazanin"/>
          <w:lang w:bidi="fa-IR"/>
          <w:color w:val="111111"/>
          <w:sz w:val="28"/>
          <w:szCs w:val="28"/>
          <w:rtl/>
        </w:rPr>
        <w:t xml:space="preserve">ص 269.</w:t>
      </w:r>
    </w:p>
    <w:p>
      <w:pPr>
        <w:pStyle w:val="BookText"/>
      </w:pPr>
      <w:r>
        <w:rPr>
          <w:rFonts w:ascii="Amiri" w:hAnsi="Amiri" w:eastAsia="Amiri" w:cs="Amiri"/>
          <w:lang w:bidi="ar-SA"/>
          <w:color w:val="111111"/>
          <w:sz w:val="28"/>
          <w:szCs w:val="28"/>
          <w:rtl/>
        </w:rPr>
        <w:t xml:space="preserve">34 .كنز الملوك في كيفية السلوك</w:t>
      </w:r>
    </w:p>
    <w:p>
      <w:pPr>
        <w:pStyle w:val="BookText"/>
      </w:pPr>
      <w:r>
        <w:rPr>
          <w:rFonts w:ascii="Amiri" w:hAnsi="Amiri" w:eastAsia="Amiri" w:cs="Amiri"/>
          <w:lang w:bidi="ar-SA"/>
          <w:color w:val="111111"/>
          <w:sz w:val="28"/>
          <w:szCs w:val="28"/>
          <w:rtl/>
        </w:rPr>
        <w:t xml:space="preserve">ج 13، ص 438 . 35. اللآلي، ج 13، ص 515.</w:t>
      </w:r>
    </w:p>
    <w:p>
      <w:pPr>
        <w:pStyle w:val="BookText"/>
      </w:pPr>
      <w:r>
        <w:rPr>
          <w:rFonts w:ascii="Amiri" w:hAnsi="Amiri" w:eastAsia="Amiri" w:cs="Amiri"/>
          <w:lang w:bidi="ar-SA"/>
          <w:color w:val="111111"/>
          <w:sz w:val="28"/>
          <w:szCs w:val="28"/>
          <w:rtl/>
        </w:rPr>
        <w:t xml:space="preserve">36 .لفتة الكبد في نصيحة الولد، ج13،</w:t>
      </w:r>
    </w:p>
    <w:p>
      <w:pPr>
        <w:pStyle w:val="BookText"/>
      </w:pPr>
      <w:r>
        <w:rPr>
          <w:rFonts w:ascii="IRNazanin" w:hAnsi="IRNazanin" w:eastAsia="IRNazanin" w:cs="IRNazanin"/>
          <w:lang w:bidi="fa-IR"/>
          <w:color w:val="111111"/>
          <w:sz w:val="28"/>
          <w:szCs w:val="28"/>
          <w:rtl/>
        </w:rPr>
        <w:t xml:space="preserve">ص 601 .</w:t>
      </w:r>
    </w:p>
    <w:p>
      <w:pPr>
        <w:pStyle w:val="BookText"/>
      </w:pPr>
      <w:r>
        <w:rPr>
          <w:rFonts w:ascii="Amiri" w:hAnsi="Amiri" w:eastAsia="Amiri" w:cs="Amiri"/>
          <w:lang w:bidi="ar-SA"/>
          <w:color w:val="111111"/>
          <w:sz w:val="28"/>
          <w:szCs w:val="28"/>
          <w:rtl/>
        </w:rPr>
        <w:t xml:space="preserve">.37 .لقط المنافع في طب الأشياخ، ج13،</w:t>
      </w:r>
    </w:p>
    <w:p>
      <w:pPr>
        <w:pStyle w:val="BookText"/>
      </w:pPr>
      <w:r>
        <w:rPr>
          <w:rFonts w:ascii="IRNazanin" w:hAnsi="IRNazanin" w:eastAsia="IRNazanin" w:cs="IRNazanin"/>
          <w:lang w:bidi="fa-IR"/>
          <w:color w:val="111111"/>
          <w:sz w:val="28"/>
          <w:szCs w:val="28"/>
          <w:rtl/>
        </w:rPr>
        <w:t xml:space="preserve">ص 607.</w:t>
      </w:r>
    </w:p>
    <w:p>
      <w:pPr>
        <w:pStyle w:val="BookText"/>
      </w:pPr>
      <w:r>
        <w:rPr>
          <w:rFonts w:ascii="Amiri" w:hAnsi="Amiri" w:eastAsia="Amiri" w:cs="Amiri"/>
          <w:lang w:bidi="ar-SA"/>
          <w:color w:val="111111"/>
          <w:sz w:val="28"/>
          <w:szCs w:val="28"/>
          <w:rtl/>
        </w:rPr>
        <w:t xml:space="preserve">38 .مختصر قرة العيون النواظر في الوجوه والنظائر، ج 14، ص 235.</w:t>
      </w:r>
    </w:p>
    <w:p>
      <w:pPr>
        <w:pStyle w:val="BookText"/>
      </w:pPr>
      <w:r>
        <w:rPr>
          <w:rFonts w:ascii="Amiri" w:hAnsi="Amiri" w:eastAsia="Amiri" w:cs="Amiri"/>
          <w:lang w:bidi="ar-SA"/>
          <w:color w:val="111111"/>
          <w:sz w:val="28"/>
          <w:szCs w:val="28"/>
          <w:rtl/>
        </w:rPr>
        <w:t xml:space="preserve">39 .المدهش في المحاضرات، ج 14،</w:t>
      </w:r>
    </w:p>
    <w:p>
      <w:pPr>
        <w:pStyle w:val="BookText"/>
      </w:pPr>
      <w:r>
        <w:rPr>
          <w:rFonts w:ascii="IRNazanin" w:hAnsi="IRNazanin" w:eastAsia="IRNazanin" w:cs="IRNazanin"/>
          <w:lang w:bidi="fa-IR"/>
          <w:color w:val="111111"/>
          <w:sz w:val="28"/>
          <w:szCs w:val="28"/>
          <w:rtl/>
        </w:rPr>
        <w:t xml:space="preserve">ص 334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1" w:name="pg7742_69441"/>
    <w:bookmarkEnd w:id="51"/>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المدهش في علوم القرآن و الحديث واللغة وعيون التاريخ و</w:t>
      </w:r>
    </w:p>
    <w:p>
      <w:pPr>
        <w:pStyle w:val="BookText"/>
      </w:pPr>
      <w:r>
        <w:rPr>
          <w:rFonts w:ascii="IRNazanin" w:hAnsi="IRNazanin" w:eastAsia="IRNazanin" w:cs="IRNazanin"/>
          <w:lang w:bidi="fa-IR"/>
          <w:color w:val="111111"/>
          <w:sz w:val="28"/>
          <w:szCs w:val="28"/>
          <w:rtl/>
        </w:rPr>
        <w:t xml:space="preserve">الوعظ، ج 14، ص 334.</w:t>
      </w:r>
    </w:p>
    <w:p>
      <w:pPr>
        <w:pStyle w:val="BookText"/>
      </w:pPr>
      <w:r>
        <w:rPr>
          <w:rFonts w:ascii="IRNazanin" w:hAnsi="IRNazanin" w:eastAsia="IRNazanin" w:cs="IRNazanin"/>
          <w:lang w:bidi="fa-IR"/>
          <w:color w:val="111111"/>
          <w:sz w:val="28"/>
          <w:szCs w:val="28"/>
          <w:rtl/>
        </w:rPr>
        <w:t xml:space="preserve">41 .المسلسلات، ج 14، ص 579.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مشيخة عبد الرحمن بن الجوزي</w:t>
      </w:r>
    </w:p>
    <w:p>
      <w:pPr>
        <w:pStyle w:val="BookText"/>
      </w:pPr>
      <w:r>
        <w:rPr>
          <w:rFonts w:ascii="IRNazanin" w:hAnsi="IRNazanin" w:eastAsia="IRNazanin" w:cs="IRNazanin"/>
          <w:lang w:bidi="fa-IR"/>
          <w:color w:val="111111"/>
          <w:sz w:val="28"/>
          <w:szCs w:val="28"/>
          <w:rtl/>
        </w:rPr>
        <w:t xml:space="preserve">ج 14، ص 654.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المصباح المضيء في خلافة المستضيء، ج 14 ، ص 738.</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المصفي باكف اهل الرسوخ في علم</w:t>
      </w:r>
    </w:p>
    <w:p>
      <w:pPr>
        <w:pStyle w:val="BookText"/>
      </w:pPr>
      <w:r>
        <w:rPr>
          <w:rFonts w:ascii="IRNazanin" w:hAnsi="IRNazanin" w:eastAsia="IRNazanin" w:cs="IRNazanin"/>
          <w:lang w:bidi="fa-IR"/>
          <w:color w:val="111111"/>
          <w:sz w:val="28"/>
          <w:szCs w:val="28"/>
          <w:rtl/>
        </w:rPr>
        <w:t xml:space="preserve">الناسخ والمنسوخ، ج 14، ص 749.</w:t>
      </w:r>
    </w:p>
    <w:p>
      <w:pPr>
        <w:pStyle w:val="BookText"/>
      </w:pPr>
      <w:r>
        <w:rPr>
          <w:rFonts w:ascii="Amiri" w:hAnsi="Amiri" w:eastAsia="Amiri" w:cs="Amiri"/>
          <w:lang w:bidi="ar-SA"/>
          <w:color w:val="111111"/>
          <w:sz w:val="28"/>
          <w:szCs w:val="28"/>
          <w:rtl/>
        </w:rPr>
        <w:t xml:space="preserve">45 .مقدمة جامع المسانيد، ج 15،</w:t>
      </w:r>
    </w:p>
    <w:p>
      <w:pPr>
        <w:pStyle w:val="BookText"/>
      </w:pPr>
      <w:r>
        <w:rPr>
          <w:rFonts w:ascii="IRNazanin" w:hAnsi="IRNazanin" w:eastAsia="IRNazanin" w:cs="IRNazanin"/>
          <w:lang w:bidi="fa-IR"/>
          <w:color w:val="111111"/>
          <w:sz w:val="28"/>
          <w:szCs w:val="28"/>
          <w:rtl/>
        </w:rPr>
        <w:t xml:space="preserve">ص 350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مناقب الشيخ معروف الكرخي و</w:t>
      </w:r>
    </w:p>
    <w:p>
      <w:pPr>
        <w:pStyle w:val="BookText"/>
      </w:pPr>
      <w:r>
        <w:rPr>
          <w:rFonts w:ascii="IRNazanin" w:hAnsi="IRNazanin" w:eastAsia="IRNazanin" w:cs="IRNazanin"/>
          <w:lang w:bidi="fa-IR"/>
          <w:color w:val="111111"/>
          <w:sz w:val="28"/>
          <w:szCs w:val="28"/>
          <w:rtl/>
        </w:rPr>
        <w:t xml:space="preserve">أخباره، ج 15، ص 548.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مناقب بغداد، ج 15 ، ص 544.</w:t>
      </w:r>
    </w:p>
    <w:p>
      <w:pPr>
        <w:pStyle w:val="BookText"/>
      </w:pPr>
      <w:r>
        <w:rPr>
          <w:rFonts w:ascii="Amiri" w:hAnsi="Amiri" w:eastAsia="Amiri" w:cs="Amiri"/>
          <w:lang w:bidi="ar-SA"/>
          <w:color w:val="111111"/>
          <w:sz w:val="28"/>
          <w:szCs w:val="28"/>
          <w:rtl/>
        </w:rPr>
        <w:t xml:space="preserve">48 .المنتظم في تاريخ الملوك و الامم،</w:t>
      </w:r>
    </w:p>
    <w:p>
      <w:pPr>
        <w:pStyle w:val="BookText"/>
      </w:pPr>
      <w:r>
        <w:rPr>
          <w:rFonts w:ascii="IRNazanin" w:hAnsi="IRNazanin" w:eastAsia="IRNazanin" w:cs="IRNazanin"/>
          <w:lang w:bidi="fa-IR"/>
          <w:color w:val="111111"/>
          <w:sz w:val="28"/>
          <w:szCs w:val="28"/>
          <w:rtl/>
        </w:rPr>
        <w:t xml:space="preserve">ج 15، ص 621 .</w:t>
      </w:r>
    </w:p>
    <w:p>
      <w:pPr>
        <w:pStyle w:val="BookText"/>
      </w:pPr>
      <w:r>
        <w:rPr>
          <w:rFonts w:ascii="IRNazanin" w:hAnsi="IRNazanin" w:eastAsia="IRNazanin" w:cs="IRNazanin"/>
          <w:lang w:bidi="fa-IR"/>
          <w:color w:val="111111"/>
          <w:sz w:val="28"/>
          <w:szCs w:val="28"/>
          <w:rtl/>
        </w:rPr>
        <w:t xml:space="preserve">49 .المنعش، ج 15 ، ص 730.</w:t>
      </w:r>
    </w:p>
    <w:p>
      <w:pPr>
        <w:pStyle w:val="BookText"/>
      </w:pPr>
      <w:r>
        <w:rPr>
          <w:rFonts w:ascii="IRNazanin" w:hAnsi="IRNazanin" w:eastAsia="IRNazanin" w:cs="IRNazanin"/>
          <w:lang w:bidi="fa-IR"/>
          <w:color w:val="111111"/>
          <w:sz w:val="28"/>
          <w:szCs w:val="28"/>
          <w:rtl/>
        </w:rPr>
        <w:t xml:space="preserve">50 .مواعظ، ج 15 ، ص 862.</w:t>
      </w:r>
    </w:p>
    <w:p>
      <w:pPr>
        <w:pStyle w:val="BookText"/>
      </w:pPr>
      <w:r>
        <w:rPr>
          <w:rFonts w:ascii="Amiri" w:hAnsi="Amiri" w:eastAsia="Amiri" w:cs="Amiri"/>
          <w:lang w:bidi="ar-SA"/>
          <w:color w:val="111111"/>
          <w:sz w:val="28"/>
          <w:szCs w:val="28"/>
          <w:rtl/>
        </w:rPr>
        <w:t xml:space="preserve">51 .المورد العذب في المواعظ و</w:t>
      </w:r>
    </w:p>
    <w:p>
      <w:pPr>
        <w:pStyle w:val="BookText"/>
      </w:pPr>
      <w:r>
        <w:rPr>
          <w:rFonts w:ascii="IRNazanin" w:hAnsi="IRNazanin" w:eastAsia="IRNazanin" w:cs="IRNazanin"/>
          <w:lang w:bidi="fa-IR"/>
          <w:color w:val="111111"/>
          <w:sz w:val="28"/>
          <w:szCs w:val="28"/>
          <w:rtl/>
        </w:rPr>
        <w:t xml:space="preserve">الخطب، ج 16، ص 12.</w:t>
      </w:r>
    </w:p>
    <w:p>
      <w:pPr>
        <w:pStyle w:val="BookText"/>
      </w:pPr>
      <w:r>
        <w:rPr>
          <w:rFonts w:ascii="Amiri" w:hAnsi="Amiri" w:eastAsia="Amiri" w:cs="Amiri"/>
          <w:lang w:bidi="ar-SA"/>
          <w:color w:val="111111"/>
          <w:sz w:val="28"/>
          <w:szCs w:val="28"/>
          <w:rtl/>
        </w:rPr>
        <w:t xml:space="preserve">52 .الموضوعات من الاحاديث</w:t>
      </w:r>
    </w:p>
    <w:p>
      <w:pPr>
        <w:pStyle w:val="BookText"/>
      </w:pPr>
      <w:r>
        <w:rPr>
          <w:rFonts w:ascii="IRNazanin" w:hAnsi="IRNazanin" w:eastAsia="IRNazanin" w:cs="IRNazanin"/>
          <w:lang w:bidi="fa-IR"/>
          <w:color w:val="111111"/>
          <w:sz w:val="28"/>
          <w:szCs w:val="28"/>
          <w:rtl/>
        </w:rPr>
        <w:t xml:space="preserve">المرفوعات، ج 16 ، ص 35.</w:t>
      </w:r>
    </w:p>
    <w:p>
      <w:pPr>
        <w:pStyle w:val="BookText"/>
      </w:pPr>
      <w:r>
        <w:rPr>
          <w:rFonts w:ascii="Amiri" w:hAnsi="Amiri" w:eastAsia="Amiri" w:cs="Amiri"/>
          <w:lang w:bidi="ar-SA"/>
          <w:color w:val="111111"/>
          <w:sz w:val="28"/>
          <w:szCs w:val="28"/>
          <w:rtl/>
        </w:rPr>
        <w:t xml:space="preserve">53 .الناسخ والمنسوخ في الحديث = إخبار اهل الرسوخ، ج 16، ص 91 .</w:t>
      </w:r>
    </w:p>
    <w:p>
      <w:pPr>
        <w:pStyle w:val="BookText"/>
      </w:pPr>
      <w:r>
        <w:rPr>
          <w:rFonts w:ascii="Amiri" w:hAnsi="Amiri" w:eastAsia="Amiri" w:cs="Amiri"/>
          <w:lang w:bidi="ar-SA"/>
          <w:color w:val="111111"/>
          <w:sz w:val="28"/>
          <w:szCs w:val="28"/>
          <w:rtl/>
        </w:rPr>
        <w:t xml:space="preserve">54 .نزهة العيون والنواظر في الاشباه</w:t>
      </w:r>
    </w:p>
    <w:p>
      <w:pPr>
        <w:pStyle w:val="BookText"/>
      </w:pPr>
      <w:r>
        <w:rPr>
          <w:rFonts w:ascii="IRNazanin" w:hAnsi="IRNazanin" w:eastAsia="IRNazanin" w:cs="IRNazanin"/>
          <w:lang w:bidi="fa-IR"/>
          <w:color w:val="111111"/>
          <w:sz w:val="28"/>
          <w:szCs w:val="28"/>
          <w:rtl/>
        </w:rPr>
        <w:t xml:space="preserve">و النظائر، ج 16، ص 238.</w:t>
      </w:r>
    </w:p>
    <w:p>
      <w:pPr>
        <w:pStyle w:val="BookText"/>
      </w:pPr>
      <w:r>
        <w:rPr>
          <w:rFonts w:ascii="Amiri" w:hAnsi="Amiri" w:eastAsia="Amiri" w:cs="Amiri"/>
          <w:lang w:bidi="ar-SA"/>
          <w:color w:val="111111"/>
          <w:sz w:val="28"/>
          <w:szCs w:val="28"/>
          <w:rtl/>
        </w:rPr>
        <w:t xml:space="preserve">55 .نسمات الأسحار في كرامات الأولياء</w:t>
      </w:r>
    </w:p>
    <w:p>
      <w:pPr>
        <w:pStyle w:val="BookText"/>
      </w:pPr>
      <w:r>
        <w:rPr>
          <w:rFonts w:ascii="Amiri" w:hAnsi="Amiri" w:eastAsia="Amiri" w:cs="Amiri"/>
          <w:lang w:bidi="ar-SA"/>
          <w:color w:val="111111"/>
          <w:sz w:val="28"/>
          <w:szCs w:val="28"/>
          <w:rtl/>
        </w:rPr>
        <w:t xml:space="preserve">و الأخيار، ج 16، ص 277.</w:t>
      </w:r>
    </w:p>
    <w:p>
      <w:pPr>
        <w:pStyle w:val="BookText"/>
      </w:pPr>
      <w:r>
        <w:rPr>
          <w:rFonts w:ascii="Amiri" w:hAnsi="Amiri" w:eastAsia="Amiri" w:cs="Amiri"/>
          <w:lang w:bidi="ar-SA"/>
          <w:color w:val="111111"/>
          <w:sz w:val="28"/>
          <w:szCs w:val="28"/>
          <w:rtl/>
        </w:rPr>
        <w:t xml:space="preserve">56 .نسيم السحر و منظوم الدرر</w:t>
      </w:r>
    </w:p>
    <w:p>
      <w:pPr>
        <w:pStyle w:val="BookText"/>
      </w:pPr>
      <w:r>
        <w:rPr>
          <w:rFonts w:ascii="IRNazanin" w:hAnsi="IRNazanin" w:eastAsia="IRNazanin" w:cs="IRNazanin"/>
          <w:lang w:bidi="fa-IR"/>
          <w:color w:val="111111"/>
          <w:sz w:val="28"/>
          <w:szCs w:val="28"/>
          <w:rtl/>
        </w:rPr>
        <w:t xml:space="preserve">ج 16، ص 283.</w:t>
      </w:r>
    </w:p>
    <w:p>
      <w:pPr>
        <w:pStyle w:val="BookText"/>
      </w:pPr>
      <w:r>
        <w:rPr>
          <w:rFonts w:ascii="IRNazanin" w:hAnsi="IRNazanin" w:eastAsia="IRNazanin" w:cs="IRNazanin"/>
          <w:lang w:bidi="fa-IR"/>
          <w:color w:val="111111"/>
          <w:sz w:val="28"/>
          <w:szCs w:val="28"/>
          <w:rtl/>
        </w:rPr>
        <w:t xml:space="preserve">57 .النطق المفهوم من اهل الصمت</w:t>
      </w:r>
    </w:p>
    <w:p>
      <w:pPr>
        <w:pStyle w:val="BookText"/>
      </w:pPr>
      <w:r>
        <w:rPr>
          <w:rFonts w:ascii="IRNazanin" w:hAnsi="IRNazanin" w:eastAsia="IRNazanin" w:cs="IRNazanin"/>
          <w:lang w:bidi="fa-IR"/>
          <w:color w:val="111111"/>
          <w:sz w:val="28"/>
          <w:szCs w:val="28"/>
          <w:rtl/>
        </w:rPr>
        <w:t xml:space="preserve">المعلوم، ج 16، ص 320.</w:t>
      </w:r>
    </w:p>
    <w:p>
      <w:pPr>
        <w:pStyle w:val="BookText"/>
      </w:pPr>
      <w:r>
        <w:rPr>
          <w:rFonts w:ascii="Amiri" w:hAnsi="Amiri" w:eastAsia="Amiri" w:cs="Amiri"/>
          <w:lang w:bidi="ar-SA"/>
          <w:color w:val="111111"/>
          <w:sz w:val="28"/>
          <w:szCs w:val="28"/>
          <w:rtl/>
        </w:rPr>
        <w:t xml:space="preserve">ابن جوزي - ابن حائك</w:t>
      </w:r>
    </w:p>
    <w:p>
      <w:pPr>
        <w:pStyle w:val="BookText"/>
      </w:pPr>
      <w:r>
        <w:rPr>
          <w:rFonts w:ascii="Amiri" w:hAnsi="Amiri" w:eastAsia="Amiri" w:cs="Amiri"/>
          <w:lang w:bidi="ar-SA"/>
          <w:color w:val="111111"/>
          <w:sz w:val="28"/>
          <w:szCs w:val="28"/>
          <w:rtl/>
        </w:rPr>
        <w:t xml:space="preserve">58 .الوفا فيما يتعلق بأحوال المصطفى، ج 16، ص 848.</w:t>
      </w:r>
    </w:p>
    <w:p>
      <w:pPr>
        <w:pStyle w:val="BookText"/>
      </w:pPr>
      <w:r>
        <w:rPr>
          <w:rFonts w:ascii="Amiri" w:hAnsi="Amiri" w:eastAsia="Amiri" w:cs="Amiri"/>
          <w:lang w:bidi="ar-SA"/>
          <w:color w:val="111111"/>
          <w:sz w:val="28"/>
          <w:szCs w:val="28"/>
          <w:rtl/>
        </w:rPr>
        <w:t xml:space="preserve">59 .ياقوتة المواعظ والموعظة، ج 16،</w:t>
      </w:r>
    </w:p>
    <w:p>
      <w:pPr>
        <w:pStyle w:val="BookText"/>
      </w:pPr>
      <w:r>
        <w:rPr>
          <w:rFonts w:ascii="IRNazanin" w:hAnsi="IRNazanin" w:eastAsia="IRNazanin" w:cs="IRNazanin"/>
          <w:lang w:bidi="fa-IR"/>
          <w:color w:val="111111"/>
          <w:sz w:val="28"/>
          <w:szCs w:val="28"/>
          <w:rtl/>
        </w:rPr>
        <w:t xml:space="preserve">ص 891</w:t>
      </w:r>
    </w:p>
    <w:p>
      <w:pPr>
        <w:pStyle w:val="BookText"/>
      </w:pPr>
      <w:r>
        <w:rPr>
          <w:rFonts w:ascii="Amiri" w:hAnsi="Amiri" w:eastAsia="Amiri" w:cs="Amiri"/>
          <w:lang w:bidi="ar-SA"/>
          <w:color w:val="111111"/>
          <w:sz w:val="28"/>
          <w:szCs w:val="28"/>
          <w:rtl/>
        </w:rPr>
        <w:t xml:space="preserve">60 .اليواقيت، ج 16، ص 902</w:t>
      </w:r>
    </w:p>
    <w:p>
      <w:pPr>
        <w:pStyle w:val="Heading2"/>
      </w:pPr>
      <w:bookmarkStart w:id="1207" w:name="_Toc309"/>
      <w:r>
        <w:t>ابن جوزي ، يوسف بن عبد الرحمن 580</w:t>
      </w:r>
      <w:bookmarkEnd w:id="12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656 ه-</w:t>
      </w:r>
    </w:p>
    <w:p>
      <w:pPr>
        <w:pStyle w:val="BookText"/>
      </w:pPr>
      <w:r>
        <w:rPr>
          <w:rFonts w:ascii="IRNazanin" w:hAnsi="IRNazanin" w:eastAsia="IRNazanin" w:cs="IRNazanin"/>
          <w:lang w:bidi="fa-IR"/>
          <w:color w:val="111111"/>
          <w:sz w:val="28"/>
          <w:szCs w:val="28"/>
          <w:rtl/>
        </w:rPr>
        <w:t xml:space="preserve">الوجوه والنظائر، ج 16، ص 736.</w:t>
      </w:r>
    </w:p>
    <w:p>
      <w:pPr>
        <w:pStyle w:val="Heading2"/>
      </w:pPr>
      <w:bookmarkStart w:id="1208" w:name="_Toc310"/>
      <w:r>
        <w:t>ابن جوزي ، يوسف بن قزاوغلي، 581؟ -</w:t>
      </w:r>
      <w:bookmarkEnd w:id="1208"/>
    </w:p>
    <w:p>
      <w:pPr>
        <w:pStyle w:val="BookText"/>
      </w:pPr>
      <w:r>
        <w:rPr>
          <w:rFonts w:ascii="IRNazanin" w:hAnsi="IRNazanin" w:eastAsia="IRNazanin" w:cs="IRNazanin"/>
          <w:lang w:bidi="fa-IR"/>
          <w:color w:val="111111"/>
          <w:sz w:val="28"/>
          <w:szCs w:val="28"/>
          <w:rtl/>
        </w:rPr>
        <w:t xml:space="preserve">654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تذكرة الخواص من الامة في</w:t>
      </w:r>
    </w:p>
    <w:p>
      <w:pPr>
        <w:pStyle w:val="BookText"/>
      </w:pPr>
      <w:r>
        <w:rPr>
          <w:rFonts w:ascii="Amiri" w:hAnsi="Amiri" w:eastAsia="Amiri" w:cs="Amiri"/>
          <w:lang w:bidi="ar-SA"/>
          <w:color w:val="111111"/>
          <w:sz w:val="28"/>
          <w:szCs w:val="28"/>
          <w:rtl/>
        </w:rPr>
        <w:t xml:space="preserve">خصائص الائمة = مناقب سبط</w:t>
      </w:r>
    </w:p>
    <w:p>
      <w:pPr>
        <w:pStyle w:val="BookText"/>
      </w:pPr>
      <w:r>
        <w:rPr>
          <w:rFonts w:ascii="Amiri" w:hAnsi="Amiri" w:eastAsia="Amiri" w:cs="Amiri"/>
          <w:lang w:bidi="ar-SA"/>
          <w:color w:val="111111"/>
          <w:sz w:val="28"/>
          <w:szCs w:val="28"/>
          <w:rtl/>
        </w:rPr>
        <w:t xml:space="preserve">الجوزي، ج4، ص189.</w:t>
      </w:r>
    </w:p>
    <w:p>
      <w:pPr>
        <w:pStyle w:val="BookText"/>
      </w:pPr>
      <w:r>
        <w:rPr>
          <w:rFonts w:ascii="Amiri" w:hAnsi="Amiri" w:eastAsia="Amiri" w:cs="Amiri"/>
          <w:lang w:bidi="ar-SA"/>
          <w:color w:val="111111"/>
          <w:sz w:val="28"/>
          <w:szCs w:val="28"/>
          <w:rtl/>
        </w:rPr>
        <w:t xml:space="preserve">2 .مرآة الزمان في تاريخ الاعيان، ج 14،</w:t>
      </w:r>
    </w:p>
    <w:p>
      <w:pPr>
        <w:pStyle w:val="BookText"/>
      </w:pPr>
      <w:r>
        <w:rPr>
          <w:rFonts w:ascii="IRNazanin" w:hAnsi="IRNazanin" w:eastAsia="IRNazanin" w:cs="IRNazanin"/>
          <w:lang w:bidi="fa-IR"/>
          <w:color w:val="111111"/>
          <w:sz w:val="28"/>
          <w:szCs w:val="28"/>
          <w:rtl/>
        </w:rPr>
        <w:t xml:space="preserve">ص 349.</w:t>
      </w:r>
    </w:p>
    <w:p>
      <w:pPr>
        <w:pStyle w:val="BookText"/>
      </w:pPr>
      <w:r>
        <w:rPr>
          <w:rFonts w:ascii="Amiri" w:hAnsi="Amiri" w:eastAsia="Amiri" w:cs="Amiri"/>
          <w:lang w:bidi="ar-SA"/>
          <w:color w:val="111111"/>
          <w:sz w:val="28"/>
          <w:szCs w:val="28"/>
          <w:rtl/>
        </w:rPr>
        <w:t xml:space="preserve">ابن جوهري، محمّد بن احمد- جوهري</w:t>
      </w:r>
    </w:p>
    <w:p>
      <w:pPr>
        <w:pStyle w:val="BookText"/>
      </w:pPr>
      <w:r>
        <w:rPr>
          <w:rFonts w:ascii="Amiri" w:hAnsi="Amiri" w:eastAsia="Amiri" w:cs="Amiri"/>
          <w:lang w:bidi="ar-SA"/>
          <w:color w:val="111111"/>
          <w:sz w:val="28"/>
          <w:szCs w:val="28"/>
          <w:rtl/>
        </w:rPr>
        <w:t xml:space="preserve">صغير ، محمد بن احمد</w:t>
      </w:r>
    </w:p>
    <w:p>
      <w:pPr>
        <w:pStyle w:val="BookText"/>
      </w:pPr>
      <w:r>
        <w:rPr>
          <w:rFonts w:ascii="Amiri" w:hAnsi="Amiri" w:eastAsia="Amiri" w:cs="Amiri"/>
          <w:lang w:bidi="ar-SA"/>
          <w:color w:val="111111"/>
          <w:sz w:val="28"/>
          <w:szCs w:val="28"/>
          <w:rtl/>
        </w:rPr>
        <w:t xml:space="preserve">ابن جهم ، محمّد بن احمد- غطريفي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1209" w:name="_Toc311"/>
      <w:r>
        <w:t>ابن جيلي ، عبدالرحيم بن جيلي</w:t>
      </w:r>
      <w:bookmarkEnd w:id="1209"/>
    </w:p>
    <w:p>
      <w:pPr>
        <w:pStyle w:val="BookText"/>
      </w:pPr>
      <w:r>
        <w:rPr>
          <w:rFonts w:ascii="Amiri" w:hAnsi="Amiri" w:eastAsia="Amiri" w:cs="Amiri"/>
          <w:lang w:bidi="ar-SA"/>
          <w:color w:val="111111"/>
          <w:sz w:val="28"/>
          <w:szCs w:val="28"/>
          <w:rtl/>
        </w:rPr>
        <w:t xml:space="preserve">حاشية شرح آداب البحث</w:t>
      </w:r>
    </w:p>
    <w:p>
      <w:pPr>
        <w:pStyle w:val="BookText"/>
      </w:pPr>
      <w:r>
        <w:rPr>
          <w:rFonts w:ascii="Amiri" w:hAnsi="Amiri" w:eastAsia="Amiri" w:cs="Amiri"/>
          <w:lang w:bidi="ar-SA"/>
          <w:color w:val="111111"/>
          <w:sz w:val="28"/>
          <w:szCs w:val="28"/>
          <w:rtl/>
        </w:rPr>
        <w:t xml:space="preserve">السمرقندية، ج 6، ص 17.</w:t>
      </w:r>
    </w:p>
    <w:p>
      <w:pPr>
        <w:pStyle w:val="Heading2"/>
      </w:pPr>
      <w:bookmarkStart w:id="1210" w:name="_Toc312"/>
      <w:r>
        <w:t>ابن حائك ، حسن بن احمد، 280-1359ه-</w:t>
      </w:r>
      <w:bookmarkEnd w:id="1210"/>
    </w:p>
    <w:p>
      <w:pPr>
        <w:pStyle w:val="BookText"/>
      </w:pPr>
      <w:r>
        <w:rPr>
          <w:rFonts w:ascii="Amiri" w:hAnsi="Amiri" w:eastAsia="Amiri" w:cs="Amiri"/>
          <w:lang w:bidi="ar-SA"/>
          <w:color w:val="111111"/>
          <w:sz w:val="28"/>
          <w:szCs w:val="28"/>
          <w:rtl/>
        </w:rPr>
        <w:t xml:space="preserve">1 .الاكليل في أنساب حمير و ملوكها،</w:t>
      </w:r>
    </w:p>
    <w:p>
      <w:pPr>
        <w:pStyle w:val="BookText"/>
      </w:pPr>
      <w:r>
        <w:rPr>
          <w:rFonts w:ascii="IRNazanin" w:hAnsi="IRNazanin" w:eastAsia="IRNazanin" w:cs="IRNazanin"/>
          <w:lang w:bidi="fa-IR"/>
          <w:color w:val="111111"/>
          <w:sz w:val="28"/>
          <w:szCs w:val="28"/>
          <w:rtl/>
        </w:rPr>
        <w:t xml:space="preserve">ج 2، ص 647 .</w:t>
      </w:r>
    </w:p>
    <w:p>
      <w:pPr>
        <w:pStyle w:val="BookText"/>
      </w:pPr>
      <w:r>
        <w:rPr>
          <w:rFonts w:ascii="Amiri" w:hAnsi="Amiri" w:eastAsia="Amiri" w:cs="Amiri"/>
          <w:lang w:bidi="ar-SA"/>
          <w:color w:val="111111"/>
          <w:sz w:val="28"/>
          <w:szCs w:val="28"/>
          <w:rtl/>
        </w:rPr>
        <w:t xml:space="preserve">2.الجوهرتين في الكيمياء جه،</w:t>
      </w:r>
    </w:p>
    <w:p>
      <w:pPr>
        <w:pStyle w:val="BookText"/>
      </w:pPr>
      <w:r>
        <w:rPr>
          <w:rFonts w:ascii="IRNazanin" w:hAnsi="IRNazanin" w:eastAsia="IRNazanin" w:cs="IRNazanin"/>
          <w:lang w:bidi="fa-IR"/>
          <w:color w:val="111111"/>
          <w:sz w:val="28"/>
          <w:szCs w:val="28"/>
          <w:rtl/>
        </w:rPr>
        <w:t xml:space="preserve">ص 618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2" w:name="pg7742_69443"/>
    <w:bookmarkEnd w:id="52"/>
    <w:p>
      <w:pPr>
        <w:pStyle w:val="BookText"/>
      </w:pPr>
      <w:r>
        <w:rPr>
          <w:rFonts w:ascii="Amiri" w:hAnsi="Amiri" w:eastAsia="Amiri" w:cs="Amiri"/>
          <w:lang w:bidi="ar-SA"/>
          <w:color w:val="111111"/>
          <w:sz w:val="28"/>
          <w:szCs w:val="28"/>
          <w:rtl/>
        </w:rPr>
        <w:t xml:space="preserve">ابن حاجب الدار ، مظفر بن فضل- علوي</w:t>
      </w:r>
    </w:p>
    <w:p>
      <w:pPr>
        <w:pStyle w:val="BookText"/>
      </w:pPr>
      <w:r>
        <w:rPr>
          <w:rFonts w:ascii="Amiri" w:hAnsi="Amiri" w:eastAsia="Amiri" w:cs="Amiri"/>
          <w:lang w:bidi="ar-SA"/>
          <w:color w:val="111111"/>
          <w:sz w:val="28"/>
          <w:szCs w:val="28"/>
          <w:rtl/>
        </w:rPr>
        <w:t xml:space="preserve">حسيني ، مظفر بن فضل</w:t>
      </w:r>
    </w:p>
    <w:p>
      <w:pPr>
        <w:pStyle w:val="Heading2"/>
      </w:pPr>
      <w:bookmarkStart w:id="1211" w:name="_Toc313"/>
      <w:r>
        <w:t>ابن حاجب عثمان بن عمر 570-2646ه-</w:t>
      </w:r>
      <w:bookmarkEnd w:id="1211"/>
    </w:p>
    <w:p>
      <w:pPr>
        <w:pStyle w:val="BookText"/>
      </w:pPr>
      <w:r>
        <w:rPr>
          <w:rFonts w:ascii="Amiri" w:hAnsi="Amiri" w:eastAsia="Amiri" w:cs="Amiri"/>
          <w:lang w:bidi="ar-SA"/>
          <w:color w:val="111111"/>
          <w:sz w:val="28"/>
          <w:szCs w:val="28"/>
          <w:rtl/>
        </w:rPr>
        <w:t xml:space="preserve">1 .الامالي النحوية على المفضل الزمخشري، ج 2، ص729.</w:t>
      </w:r>
    </w:p>
    <w:p>
      <w:pPr>
        <w:pStyle w:val="BookText"/>
      </w:pPr>
      <w:r>
        <w:rPr>
          <w:rFonts w:ascii="Amiri" w:hAnsi="Amiri" w:eastAsia="Amiri" w:cs="Amiri"/>
          <w:lang w:bidi="ar-SA"/>
          <w:color w:val="111111"/>
          <w:sz w:val="28"/>
          <w:szCs w:val="28"/>
          <w:rtl/>
        </w:rPr>
        <w:t xml:space="preserve">2 .الايضاح في شرح المفصل في صنعة</w:t>
      </w:r>
    </w:p>
    <w:p>
      <w:pPr>
        <w:pStyle w:val="BookText"/>
      </w:pPr>
      <w:r>
        <w:rPr>
          <w:rFonts w:ascii="IRNazanin" w:hAnsi="IRNazanin" w:eastAsia="IRNazanin" w:cs="IRNazanin"/>
          <w:lang w:bidi="fa-IR"/>
          <w:color w:val="111111"/>
          <w:sz w:val="28"/>
          <w:szCs w:val="28"/>
          <w:rtl/>
        </w:rPr>
        <w:t xml:space="preserve">الاعراب، ج 3، ص 125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خلاصة الاعراب، ج 7، ص73.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الشافية في الصرف، ج 9، ص 56.</w:t>
      </w:r>
    </w:p>
    <w:p>
      <w:pPr>
        <w:pStyle w:val="BookText"/>
      </w:pPr>
      <w:r>
        <w:rPr>
          <w:rFonts w:ascii="Amiri" w:hAnsi="Amiri" w:eastAsia="Amiri" w:cs="Amiri"/>
          <w:lang w:bidi="ar-SA"/>
          <w:color w:val="111111"/>
          <w:sz w:val="28"/>
          <w:szCs w:val="28"/>
          <w:rtl/>
        </w:rPr>
        <w:t xml:space="preserve">5 .شرح الشافية، ج9، ص 593.</w:t>
      </w:r>
    </w:p>
    <w:p>
      <w:pPr>
        <w:pStyle w:val="BookText"/>
      </w:pPr>
      <w:r>
        <w:rPr>
          <w:rFonts w:ascii="Amiri" w:hAnsi="Amiri" w:eastAsia="Amiri" w:cs="Amiri"/>
          <w:lang w:bidi="ar-SA"/>
          <w:color w:val="111111"/>
          <w:sz w:val="28"/>
          <w:szCs w:val="28"/>
          <w:rtl/>
        </w:rPr>
        <w:t xml:space="preserve">6 .شرح الكافية، ج 10، ص28.</w:t>
      </w:r>
    </w:p>
    <w:p>
      <w:pPr>
        <w:pStyle w:val="BookText"/>
      </w:pPr>
      <w:r>
        <w:rPr>
          <w:rFonts w:ascii="Amiri" w:hAnsi="Amiri" w:eastAsia="Amiri" w:cs="Amiri"/>
          <w:lang w:bidi="ar-SA"/>
          <w:color w:val="111111"/>
          <w:sz w:val="28"/>
          <w:szCs w:val="28"/>
          <w:rtl/>
        </w:rPr>
        <w:t xml:space="preserve">7 .شرح تعريف الكلمة، ج 9، ص338.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القصيدة الموشحة بالاسماء المؤنثة</w:t>
      </w:r>
    </w:p>
    <w:p>
      <w:pPr>
        <w:pStyle w:val="BookText"/>
      </w:pPr>
      <w:r>
        <w:rPr>
          <w:rFonts w:ascii="IRNazanin" w:hAnsi="IRNazanin" w:eastAsia="IRNazanin" w:cs="IRNazanin"/>
          <w:lang w:bidi="fa-IR"/>
          <w:color w:val="111111"/>
          <w:sz w:val="28"/>
          <w:szCs w:val="28"/>
          <w:rtl/>
        </w:rPr>
        <w:t xml:space="preserve">ج 12، ص 717.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الكافية في النحو = المقدمة الكافية</w:t>
      </w:r>
    </w:p>
    <w:p>
      <w:pPr>
        <w:pStyle w:val="BookText"/>
      </w:pPr>
      <w:r>
        <w:rPr>
          <w:rFonts w:ascii="Amiri" w:hAnsi="Amiri" w:eastAsia="Amiri" w:cs="Amiri"/>
          <w:lang w:bidi="ar-SA"/>
          <w:color w:val="111111"/>
          <w:sz w:val="28"/>
          <w:szCs w:val="28"/>
          <w:rtl/>
        </w:rPr>
        <w:t xml:space="preserve">في النحو، ج13، ص 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مختصر المنتهي = مختصر الاصول = مختصر ابن الحاجب، ج 14،</w:t>
      </w:r>
    </w:p>
    <w:p>
      <w:pPr>
        <w:pStyle w:val="BookText"/>
      </w:pPr>
      <w:r>
        <w:rPr>
          <w:rFonts w:ascii="IRNazanin" w:hAnsi="IRNazanin" w:eastAsia="IRNazanin" w:cs="IRNazanin"/>
          <w:lang w:bidi="fa-IR"/>
          <w:color w:val="111111"/>
          <w:sz w:val="28"/>
          <w:szCs w:val="28"/>
          <w:rtl/>
        </w:rPr>
        <w:t xml:space="preserve">ص 262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مقدمة في التصريف، ج 15 ، ص 363.</w:t>
      </w:r>
    </w:p>
    <w:p>
      <w:pPr>
        <w:pStyle w:val="BookText"/>
      </w:pPr>
      <w:r>
        <w:rPr>
          <w:rFonts w:ascii="Amiri" w:hAnsi="Amiri" w:eastAsia="Amiri" w:cs="Amiri"/>
          <w:lang w:bidi="ar-SA"/>
          <w:color w:val="111111"/>
          <w:sz w:val="28"/>
          <w:szCs w:val="28"/>
          <w:rtl/>
        </w:rPr>
        <w:t xml:space="preserve">12 .المقدمة في الخط، ج 15، ص 364.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المقصد الجليل في علم الخليل = عروض ابن الحاجب، ج 15 ، ص 382.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منتهي السؤال والامل في علمي الاصول والجدل، ج 15 ، ص 637 .</w:t>
      </w:r>
    </w:p>
    <w:p>
      <w:pPr>
        <w:pStyle w:val="BookText"/>
      </w:pPr>
      <w:r>
        <w:rPr>
          <w:rFonts w:ascii="Amiri" w:hAnsi="Amiri" w:eastAsia="Amiri" w:cs="Amiri"/>
          <w:lang w:bidi="ar-SA"/>
          <w:color w:val="111111"/>
          <w:sz w:val="28"/>
          <w:szCs w:val="28"/>
          <w:rtl/>
        </w:rPr>
        <w:t xml:space="preserve">15 .المؤنثات السماعية = القصيدة النونية = الاسماء الواجبة التأنيث ج 13، ص 704.</w:t>
      </w:r>
    </w:p>
    <w:p>
      <w:pPr>
        <w:pStyle w:val="BookText"/>
      </w:pPr>
      <w:r>
        <w:rPr>
          <w:rFonts w:ascii="IRNazanin" w:hAnsi="IRNazanin" w:eastAsia="IRNazanin" w:cs="IRNazanin"/>
          <w:lang w:bidi="fa-IR"/>
          <w:color w:val="111111"/>
          <w:sz w:val="28"/>
          <w:szCs w:val="28"/>
          <w:rtl/>
        </w:rPr>
        <w:t xml:space="preserve">16 . نظم لابن الحاجب، ج 16 ، ص 360 .</w:t>
      </w:r>
    </w:p>
    <w:p>
      <w:pPr>
        <w:pStyle w:val="Heading2"/>
      </w:pPr>
      <w:bookmarkStart w:id="1212" w:name="_Toc314"/>
      <w:r>
        <w:t>ابن الحاج سلمي ، محمّد بن حمدون</w:t>
      </w:r>
      <w:bookmarkEnd w:id="1212"/>
    </w:p>
    <w:p>
      <w:pPr>
        <w:pStyle w:val="BookText"/>
      </w:pPr>
      <w:r>
        <w:rPr>
          <w:rFonts w:ascii="IRNazanin" w:hAnsi="IRNazanin" w:eastAsia="IRNazanin" w:cs="IRNazanin"/>
          <w:lang w:bidi="fa-IR"/>
          <w:color w:val="111111"/>
          <w:sz w:val="28"/>
          <w:szCs w:val="28"/>
          <w:rtl/>
        </w:rPr>
        <w:t xml:space="preserve">1374 ه-</w:t>
      </w:r>
    </w:p>
    <w:p>
      <w:pPr>
        <w:pStyle w:val="BookText"/>
      </w:pPr>
      <w:r>
        <w:rPr>
          <w:rFonts w:ascii="Amiri" w:hAnsi="Amiri" w:eastAsia="Amiri" w:cs="Amiri"/>
          <w:lang w:bidi="ar-SA"/>
          <w:color w:val="111111"/>
          <w:sz w:val="28"/>
          <w:szCs w:val="28"/>
          <w:rtl/>
        </w:rPr>
        <w:t xml:space="preserve">حاشية البهجة المرضية في شرح الالفية</w:t>
      </w:r>
    </w:p>
    <w:p>
      <w:pPr>
        <w:pStyle w:val="BookText"/>
      </w:pPr>
      <w:r>
        <w:rPr>
          <w:rFonts w:ascii="IRNazanin" w:hAnsi="IRNazanin" w:eastAsia="IRNazanin" w:cs="IRNazanin"/>
          <w:lang w:bidi="fa-IR"/>
          <w:color w:val="111111"/>
          <w:sz w:val="28"/>
          <w:szCs w:val="28"/>
          <w:rtl/>
        </w:rPr>
        <w:t xml:space="preserve">ج 5، ص 711</w:t>
      </w:r>
    </w:p>
    <w:p>
      <w:pPr>
        <w:pStyle w:val="Heading2"/>
      </w:pPr>
      <w:bookmarkStart w:id="1213" w:name="_Toc315"/>
      <w:r>
        <w:t>ابن حاج عبدري ، محمّد بن محمّد، 657</w:t>
      </w:r>
      <w:bookmarkEnd w:id="12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737 ه-</w:t>
      </w:r>
    </w:p>
    <w:p>
      <w:pPr>
        <w:pStyle w:val="BookText"/>
      </w:pPr>
      <w:r>
        <w:rPr>
          <w:rFonts w:ascii="IRNazanin" w:hAnsi="IRNazanin" w:eastAsia="IRNazanin" w:cs="IRNazanin"/>
          <w:lang w:bidi="fa-IR"/>
          <w:color w:val="111111"/>
          <w:sz w:val="28"/>
          <w:szCs w:val="28"/>
          <w:rtl/>
        </w:rPr>
        <w:t xml:space="preserve">1 .آداب التصوف، ج 1، ص32.</w:t>
      </w:r>
    </w:p>
    <w:p>
      <w:pPr>
        <w:pStyle w:val="BookText"/>
      </w:pPr>
      <w:r>
        <w:rPr>
          <w:rFonts w:ascii="IRNazanin" w:hAnsi="IRNazanin" w:eastAsia="IRNazanin" w:cs="IRNazanin"/>
          <w:lang w:bidi="fa-IR"/>
          <w:color w:val="111111"/>
          <w:sz w:val="28"/>
          <w:szCs w:val="28"/>
          <w:rtl/>
        </w:rPr>
        <w:t xml:space="preserve">2 .شموس الانوار و کنوز الاسرار، ج10،</w:t>
      </w:r>
    </w:p>
    <w:p>
      <w:pPr>
        <w:pStyle w:val="BookText"/>
      </w:pPr>
      <w:r>
        <w:rPr>
          <w:rFonts w:ascii="IRNazanin" w:hAnsi="IRNazanin" w:eastAsia="IRNazanin" w:cs="IRNazanin"/>
          <w:lang w:bidi="fa-IR"/>
          <w:color w:val="111111"/>
          <w:sz w:val="28"/>
          <w:szCs w:val="28"/>
          <w:rtl/>
        </w:rPr>
        <w:t xml:space="preserve">ص 424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مدخل الشرع الشريف على مذاهب الاربعة، ج 14، ص329.</w:t>
      </w:r>
    </w:p>
    <w:p>
      <w:pPr>
        <w:pStyle w:val="Heading2"/>
      </w:pPr>
      <w:bookmarkStart w:id="1214" w:name="_Toc316"/>
      <w:r>
        <w:t>ابن الحاج محمّد بن حاج احمد - 871ه-</w:t>
      </w:r>
      <w:bookmarkEnd w:id="1214"/>
    </w:p>
    <w:p>
      <w:pPr>
        <w:pStyle w:val="BookText"/>
      </w:pPr>
      <w:r>
        <w:rPr>
          <w:rFonts w:ascii="Amiri" w:hAnsi="Amiri" w:eastAsia="Amiri" w:cs="Amiri"/>
          <w:lang w:bidi="ar-SA"/>
          <w:color w:val="111111"/>
          <w:sz w:val="28"/>
          <w:szCs w:val="28"/>
          <w:rtl/>
        </w:rPr>
        <w:t xml:space="preserve">التحقيق في شرح الفرائض السراجية</w:t>
      </w:r>
    </w:p>
    <w:p>
      <w:pPr>
        <w:pStyle w:val="BookText"/>
      </w:pPr>
      <w:r>
        <w:rPr>
          <w:rFonts w:ascii="IRNazanin" w:hAnsi="IRNazanin" w:eastAsia="IRNazanin" w:cs="IRNazanin"/>
          <w:lang w:bidi="fa-IR"/>
          <w:color w:val="111111"/>
          <w:sz w:val="28"/>
          <w:szCs w:val="28"/>
          <w:rtl/>
        </w:rPr>
        <w:t xml:space="preserve">ج 4، ص 67.</w:t>
      </w:r>
    </w:p>
    <w:p>
      <w:pPr>
        <w:pStyle w:val="BookText"/>
      </w:pPr>
      <w:r>
        <w:rPr>
          <w:rFonts w:ascii="IRNazanin" w:hAnsi="IRNazanin" w:eastAsia="IRNazanin" w:cs="IRNazanin"/>
          <w:lang w:bidi="fa-IR"/>
          <w:color w:val="111111"/>
          <w:sz w:val="28"/>
          <w:szCs w:val="28"/>
          <w:rtl/>
        </w:rPr>
        <w:t xml:space="preserve">ابن الحاج ، محمّد بن حسن - 1189 ه-</w:t>
      </w:r>
    </w:p>
    <w:p>
      <w:pPr>
        <w:pStyle w:val="BookText"/>
      </w:pPr>
      <w:r>
        <w:rPr>
          <w:rFonts w:ascii="Amiri" w:hAnsi="Amiri" w:eastAsia="Amiri" w:cs="Amiri"/>
          <w:lang w:bidi="ar-SA"/>
          <w:color w:val="111111"/>
          <w:sz w:val="28"/>
          <w:szCs w:val="28"/>
          <w:rtl/>
        </w:rPr>
        <w:t xml:space="preserve">1 .ازالة الإلباس عن مسائل المكره و</w:t>
      </w:r>
    </w:p>
    <w:p>
      <w:pPr>
        <w:pStyle w:val="BookText"/>
      </w:pPr>
      <w:r>
        <w:rPr>
          <w:rFonts w:ascii="IRNazanin" w:hAnsi="IRNazanin" w:eastAsia="IRNazanin" w:cs="IRNazanin"/>
          <w:lang w:bidi="fa-IR"/>
          <w:color w:val="111111"/>
          <w:sz w:val="28"/>
          <w:szCs w:val="28"/>
          <w:rtl/>
        </w:rPr>
        <w:t xml:space="preserve">الناس، ج 2، ص 61.</w:t>
      </w:r>
    </w:p>
    <w:p>
      <w:pPr>
        <w:pStyle w:val="BookText"/>
      </w:pPr>
      <w:r>
        <w:rPr>
          <w:rFonts w:ascii="Amiri" w:hAnsi="Amiri" w:eastAsia="Amiri" w:cs="Amiri"/>
          <w:lang w:bidi="ar-SA"/>
          <w:color w:val="111111"/>
          <w:sz w:val="28"/>
          <w:szCs w:val="28"/>
          <w:rtl/>
        </w:rPr>
        <w:t xml:space="preserve">2 .ايقاد الضرام على من لم يوقع طلاق</w:t>
      </w:r>
    </w:p>
    <w:p>
      <w:pPr>
        <w:pStyle w:val="BookText"/>
      </w:pPr>
      <w:r>
        <w:rPr>
          <w:rFonts w:ascii="IRNazanin" w:hAnsi="IRNazanin" w:eastAsia="IRNazanin" w:cs="IRNazanin"/>
          <w:lang w:bidi="fa-IR"/>
          <w:color w:val="111111"/>
          <w:sz w:val="28"/>
          <w:szCs w:val="28"/>
          <w:rtl/>
        </w:rPr>
        <w:t xml:space="preserve">العوام، ج 3، ص 144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البهجة المرضية في شرح</w:t>
      </w:r>
    </w:p>
    <w:p>
      <w:pPr>
        <w:pStyle w:val="BookText"/>
      </w:pPr>
      <w:r>
        <w:rPr>
          <w:rFonts w:ascii="Amiri" w:hAnsi="Amiri" w:eastAsia="Amiri" w:cs="Amiri"/>
          <w:lang w:bidi="ar-SA"/>
          <w:color w:val="111111"/>
          <w:sz w:val="28"/>
          <w:szCs w:val="28"/>
          <w:rtl/>
        </w:rPr>
        <w:t xml:space="preserve">الألفية، ج 5، ص 710.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حواشي الحواشي العصامية، ج6،</w:t>
      </w:r>
    </w:p>
    <w:p>
      <w:pPr>
        <w:pStyle w:val="BookText"/>
      </w:pPr>
      <w:r>
        <w:rPr>
          <w:rFonts w:ascii="IRNazanin" w:hAnsi="IRNazanin" w:eastAsia="IRNazanin" w:cs="IRNazanin"/>
          <w:lang w:bidi="fa-IR"/>
          <w:color w:val="111111"/>
          <w:sz w:val="28"/>
          <w:szCs w:val="28"/>
          <w:rtl/>
        </w:rPr>
        <w:t xml:space="preserve">ص 832</w:t>
      </w:r>
    </w:p>
    <w:p>
      <w:pPr>
        <w:pStyle w:val="BookText"/>
      </w:pPr>
      <w:r>
        <w:rPr>
          <w:rFonts w:ascii="Amiri" w:hAnsi="Amiri" w:eastAsia="Amiri" w:cs="Amiri"/>
          <w:lang w:bidi="ar-SA"/>
          <w:color w:val="111111"/>
          <w:sz w:val="28"/>
          <w:szCs w:val="28"/>
          <w:rtl/>
        </w:rPr>
        <w:t xml:space="preserve">5 .رفع الخفا عن ذات الشفا في سيرة</w:t>
      </w:r>
    </w:p>
    <w:p>
      <w:pPr>
        <w:pStyle w:val="BookText"/>
      </w:pPr>
      <w:r>
        <w:rPr>
          <w:rFonts w:ascii="IRNazanin" w:hAnsi="IRNazanin" w:eastAsia="IRNazanin" w:cs="IRNazanin"/>
          <w:lang w:bidi="fa-IR"/>
          <w:color w:val="111111"/>
          <w:sz w:val="28"/>
          <w:szCs w:val="28"/>
          <w:rtl/>
        </w:rPr>
        <w:t xml:space="preserve">المصطفى، ج 8، ص 340.</w:t>
      </w:r>
    </w:p>
    <w:p>
      <w:pPr>
        <w:pStyle w:val="BookText"/>
      </w:pPr>
      <w:r>
        <w:rPr>
          <w:rFonts w:ascii="Amiri" w:hAnsi="Amiri" w:eastAsia="Amiri" w:cs="Amiri"/>
          <w:lang w:bidi="ar-SA"/>
          <w:color w:val="111111"/>
          <w:sz w:val="28"/>
          <w:szCs w:val="28"/>
          <w:rtl/>
        </w:rPr>
        <w:t xml:space="preserve">.6 .الفقه الاكبر (مختصر)، ج12، ص 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محاسن الغرر (منظوم)، ج 14،</w:t>
      </w:r>
    </w:p>
    <w:p>
      <w:pPr>
        <w:pStyle w:val="BookText"/>
      </w:pPr>
      <w:r>
        <w:rPr>
          <w:rFonts w:ascii="IRNazanin" w:hAnsi="IRNazanin" w:eastAsia="IRNazanin" w:cs="IRNazanin"/>
          <w:lang w:bidi="fa-IR"/>
          <w:color w:val="111111"/>
          <w:sz w:val="28"/>
          <w:szCs w:val="28"/>
          <w:rtl/>
        </w:rPr>
        <w:t xml:space="preserve">ص 93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المحذوفات، ج 14، ص 115 .</w:t>
      </w:r>
    </w:p>
    <w:p>
      <w:pPr>
        <w:pStyle w:val="BookText"/>
      </w:pPr>
      <w:r>
        <w:rPr>
          <w:rFonts w:ascii="Amiri" w:hAnsi="Amiri" w:eastAsia="Amiri" w:cs="Amiri"/>
          <w:lang w:bidi="ar-SA"/>
          <w:color w:val="111111"/>
          <w:sz w:val="28"/>
          <w:szCs w:val="28"/>
          <w:rtl/>
        </w:rPr>
        <w:t xml:space="preserve">9 .مهدي نامه، ج 15، ص 842 .9</w:t>
      </w:r>
    </w:p>
    <w:p>
      <w:pPr>
        <w:pStyle w:val="BookText"/>
      </w:pPr>
      <w:r>
        <w:rPr>
          <w:rFonts w:ascii="IRNazanin" w:hAnsi="IRNazanin" w:eastAsia="IRNazanin" w:cs="IRNazanin"/>
          <w:lang w:bidi="fa-IR"/>
          <w:color w:val="111111"/>
          <w:sz w:val="28"/>
          <w:szCs w:val="28"/>
          <w:rtl/>
        </w:rPr>
        <w:t xml:space="preserve">15،</w:t>
      </w:r>
    </w:p>
    <w:p>
      <w:pPr>
        <w:pStyle w:val="BookText"/>
      </w:pPr>
      <w:r>
        <w:rPr>
          <w:rFonts w:ascii="Amiri" w:hAnsi="Amiri" w:eastAsia="Amiri" w:cs="Amiri"/>
          <w:lang w:bidi="ar-SA"/>
          <w:color w:val="111111"/>
          <w:sz w:val="28"/>
          <w:szCs w:val="28"/>
          <w:rtl/>
        </w:rPr>
        <w:t xml:space="preserve">10 .نظم المحاسن و الغرر في شمائل</w:t>
      </w:r>
    </w:p>
    <w:p>
      <w:pPr>
        <w:pStyle w:val="BookText"/>
      </w:pPr>
      <w:r>
        <w:rPr>
          <w:rFonts w:ascii="Amiri" w:hAnsi="Amiri" w:eastAsia="Amiri" w:cs="Amiri"/>
          <w:lang w:bidi="ar-SA"/>
          <w:color w:val="111111"/>
          <w:sz w:val="28"/>
          <w:szCs w:val="28"/>
          <w:rtl/>
        </w:rPr>
        <w:t xml:space="preserve">نبينا سيّد البشر، ج 16، ص 362.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3" w:name="pg7742_69445"/>
    <w:bookmarkEnd w:id="53"/>
    <w:p>
      <w:pPr>
        <w:pStyle w:val="BookText"/>
      </w:pPr>
      <w:r>
        <w:rPr>
          <w:rFonts w:ascii="Amiri" w:hAnsi="Amiri" w:eastAsia="Amiri" w:cs="Amiri"/>
          <w:lang w:bidi="ar-SA"/>
          <w:color w:val="111111"/>
          <w:sz w:val="28"/>
          <w:szCs w:val="28"/>
          <w:rtl/>
        </w:rPr>
        <w:t xml:space="preserve">ابن حاجي محمّد حسين كاشاني كاشاني ،</w:t>
      </w:r>
    </w:p>
    <w:p>
      <w:pPr>
        <w:pStyle w:val="BookText"/>
      </w:pPr>
      <w:r>
        <w:rPr>
          <w:rFonts w:ascii="Amiri" w:hAnsi="Amiri" w:eastAsia="Amiri" w:cs="Amiri"/>
          <w:lang w:bidi="ar-SA"/>
          <w:color w:val="111111"/>
          <w:sz w:val="28"/>
          <w:szCs w:val="28"/>
          <w:rtl/>
        </w:rPr>
        <w:t xml:space="preserve">ابن حاجي محمّد حسين</w:t>
      </w:r>
    </w:p>
    <w:p>
      <w:pPr>
        <w:pStyle w:val="Heading2"/>
      </w:pPr>
      <w:bookmarkStart w:id="1215" w:name="_Toc317"/>
      <w:r>
        <w:t>ابن حارث، عبد البر بن محمّد - 683 ه-</w:t>
      </w:r>
      <w:bookmarkEnd w:id="1215"/>
    </w:p>
    <w:p>
      <w:pPr>
        <w:pStyle w:val="BookText"/>
      </w:pPr>
      <w:r>
        <w:rPr>
          <w:rFonts w:ascii="IRNazanin" w:hAnsi="IRNazanin" w:eastAsia="IRNazanin" w:cs="IRNazanin"/>
          <w:lang w:bidi="fa-IR"/>
          <w:color w:val="111111"/>
          <w:sz w:val="28"/>
          <w:szCs w:val="28"/>
          <w:rtl/>
        </w:rPr>
        <w:t xml:space="preserve">مختار الفتاوى، ج 14، ص 154.</w:t>
      </w:r>
    </w:p>
    <w:p>
      <w:pPr>
        <w:pStyle w:val="BookText"/>
      </w:pPr>
      <w:r>
        <w:rPr>
          <w:rFonts w:ascii="Amiri" w:hAnsi="Amiri" w:eastAsia="Amiri" w:cs="Amiri"/>
          <w:lang w:bidi="ar-SA"/>
          <w:color w:val="111111"/>
          <w:sz w:val="28"/>
          <w:szCs w:val="28"/>
          <w:rtl/>
        </w:rPr>
        <w:t xml:space="preserve">ابن حبان ، عبد الله بن محمّد ابوالشيخ ،</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بن محمّد</w:t>
      </w:r>
    </w:p>
    <w:p>
      <w:pPr>
        <w:pStyle w:val="Heading2"/>
      </w:pPr>
      <w:bookmarkStart w:id="1216" w:name="_Toc318"/>
      <w:r>
        <w:t>ابن حبان ، محمّد بن حبان، 2274-354ه-</w:t>
      </w:r>
      <w:bookmarkEnd w:id="1216"/>
    </w:p>
    <w:p>
      <w:pPr>
        <w:pStyle w:val="BookText"/>
      </w:pPr>
      <w:r>
        <w:rPr>
          <w:rFonts w:ascii="Amiri" w:hAnsi="Amiri" w:eastAsia="Amiri" w:cs="Amiri"/>
          <w:lang w:bidi="ar-SA"/>
          <w:color w:val="111111"/>
          <w:sz w:val="28"/>
          <w:szCs w:val="28"/>
          <w:rtl/>
        </w:rPr>
        <w:t xml:space="preserve">1 .تاريخ الصحابة - تاريخ ابن حبان</w:t>
      </w:r>
    </w:p>
    <w:p>
      <w:pPr>
        <w:pStyle w:val="BookText"/>
      </w:pPr>
      <w:r>
        <w:rPr>
          <w:rFonts w:ascii="IRNazanin" w:hAnsi="IRNazanin" w:eastAsia="IRNazanin" w:cs="IRNazanin"/>
          <w:lang w:bidi="fa-IR"/>
          <w:color w:val="111111"/>
          <w:sz w:val="28"/>
          <w:szCs w:val="28"/>
          <w:rtl/>
        </w:rPr>
        <w:t xml:space="preserve">ج 3، ص 579.</w:t>
      </w:r>
    </w:p>
    <w:p>
      <w:pPr>
        <w:pStyle w:val="BookText"/>
      </w:pPr>
      <w:r>
        <w:rPr>
          <w:rFonts w:ascii="IRNazanin" w:hAnsi="IRNazanin" w:eastAsia="IRNazanin" w:cs="IRNazanin"/>
          <w:lang w:bidi="fa-IR"/>
          <w:color w:val="111111"/>
          <w:sz w:val="28"/>
          <w:szCs w:val="28"/>
          <w:rtl/>
        </w:rPr>
        <w:t xml:space="preserve">2 .الثقات، ج 5، ص 218.</w:t>
      </w:r>
    </w:p>
    <w:p>
      <w:pPr>
        <w:pStyle w:val="BookText"/>
      </w:pPr>
      <w:r>
        <w:rPr>
          <w:rFonts w:ascii="Amiri" w:hAnsi="Amiri" w:eastAsia="Amiri" w:cs="Amiri"/>
          <w:lang w:bidi="ar-SA"/>
          <w:color w:val="111111"/>
          <w:sz w:val="28"/>
          <w:szCs w:val="28"/>
          <w:rtl/>
        </w:rPr>
        <w:t xml:space="preserve">3 ا.لمسند الصحيح = مسند ابن حبان صحيح ابن حبان، ج 14، ص 599.</w:t>
      </w:r>
    </w:p>
    <w:p>
      <w:pPr>
        <w:pStyle w:val="Heading2"/>
      </w:pPr>
      <w:bookmarkStart w:id="1217" w:name="_Toc319"/>
      <w:r>
        <w:t>ابن حبيب ، حسن بن عمر 710-779؟ه-</w:t>
      </w:r>
      <w:bookmarkEnd w:id="1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حضرة النديم من تاريخ ج6،</w:t>
      </w:r>
    </w:p>
    <w:p>
      <w:pPr>
        <w:pStyle w:val="BookText"/>
      </w:pPr>
      <w:r>
        <w:rPr>
          <w:rFonts w:ascii="IRNazanin" w:hAnsi="IRNazanin" w:eastAsia="IRNazanin" w:cs="IRNazanin"/>
          <w:lang w:bidi="fa-IR"/>
          <w:color w:val="111111"/>
          <w:sz w:val="28"/>
          <w:szCs w:val="28"/>
          <w:rtl/>
        </w:rPr>
        <w:t xml:space="preserve">ص 674 .</w:t>
      </w:r>
    </w:p>
    <w:p>
      <w:pPr>
        <w:pStyle w:val="BookText"/>
      </w:pPr>
      <w:r>
        <w:rPr>
          <w:rFonts w:ascii="Amiri" w:hAnsi="Amiri" w:eastAsia="Amiri" w:cs="Amiri"/>
          <w:lang w:bidi="ar-SA"/>
          <w:color w:val="111111"/>
          <w:sz w:val="28"/>
          <w:szCs w:val="28"/>
          <w:rtl/>
        </w:rPr>
        <w:t xml:space="preserve">2 .كشف المروط عن محاسن الشروط</w:t>
      </w:r>
    </w:p>
    <w:p>
      <w:pPr>
        <w:pStyle w:val="BookText"/>
      </w:pPr>
      <w:r>
        <w:rPr>
          <w:rFonts w:ascii="IRNazanin" w:hAnsi="IRNazanin" w:eastAsia="IRNazanin" w:cs="IRNazanin"/>
          <w:lang w:bidi="fa-IR"/>
          <w:color w:val="111111"/>
          <w:sz w:val="28"/>
          <w:szCs w:val="28"/>
          <w:rtl/>
        </w:rPr>
        <w:t xml:space="preserve">ج 13، ص 269 .</w:t>
      </w:r>
    </w:p>
    <w:p>
      <w:pPr>
        <w:pStyle w:val="BookText"/>
      </w:pPr>
      <w:r>
        <w:rPr>
          <w:rFonts w:ascii="Amiri" w:hAnsi="Amiri" w:eastAsia="Amiri" w:cs="Amiri"/>
          <w:lang w:bidi="ar-SA"/>
          <w:color w:val="111111"/>
          <w:sz w:val="28"/>
          <w:szCs w:val="28"/>
          <w:rtl/>
        </w:rPr>
        <w:t xml:space="preserve">.3 نسيم الصبا في فنون الادب القديم</w:t>
      </w:r>
    </w:p>
    <w:p>
      <w:pPr>
        <w:pStyle w:val="BookText"/>
      </w:pPr>
      <w:r>
        <w:rPr>
          <w:rFonts w:ascii="IRNazanin" w:hAnsi="IRNazanin" w:eastAsia="IRNazanin" w:cs="IRNazanin"/>
          <w:lang w:bidi="fa-IR"/>
          <w:color w:val="111111"/>
          <w:sz w:val="28"/>
          <w:szCs w:val="28"/>
          <w:rtl/>
        </w:rPr>
        <w:t xml:space="preserve">ابن حاجب الدار - ابن حجام 61</w:t>
      </w:r>
    </w:p>
    <w:p>
      <w:pPr>
        <w:pStyle w:val="BookText"/>
      </w:pPr>
      <w:r>
        <w:rPr>
          <w:rFonts w:ascii="Amiri" w:hAnsi="Amiri" w:eastAsia="Amiri" w:cs="Amiri"/>
          <w:lang w:bidi="ar-SA"/>
          <w:color w:val="111111"/>
          <w:sz w:val="28"/>
          <w:szCs w:val="28"/>
          <w:rtl/>
        </w:rPr>
        <w:t xml:space="preserve">ابن حبيب ، عبد القادر بن محمّد -صفدي</w:t>
      </w:r>
    </w:p>
    <w:p>
      <w:pPr>
        <w:pStyle w:val="BookText"/>
      </w:pPr>
      <w:r>
        <w:rPr>
          <w:rFonts w:ascii="IRNazanin" w:hAnsi="IRNazanin" w:eastAsia="IRNazanin" w:cs="IRNazanin"/>
          <w:lang w:bidi="fa-IR"/>
          <w:color w:val="111111"/>
          <w:sz w:val="28"/>
          <w:szCs w:val="28"/>
          <w:rtl/>
        </w:rPr>
        <w:t xml:space="preserve">، عبد القادر بن محمّد</w:t>
      </w:r>
    </w:p>
    <w:p>
      <w:pPr>
        <w:pStyle w:val="Heading2"/>
      </w:pPr>
      <w:bookmarkStart w:id="1218" w:name="_Toc320"/>
      <w:r>
        <w:t>ابن حبيب ، محمّد بن حبيب - 245 ه-</w:t>
      </w:r>
      <w:bookmarkEnd w:id="1218"/>
    </w:p>
    <w:p>
      <w:pPr>
        <w:pStyle w:val="BookText"/>
      </w:pPr>
      <w:r>
        <w:rPr>
          <w:rFonts w:ascii="Amiri" w:hAnsi="Amiri" w:eastAsia="Amiri" w:cs="Amiri"/>
          <w:lang w:bidi="ar-SA"/>
          <w:color w:val="111111"/>
          <w:sz w:val="28"/>
          <w:szCs w:val="28"/>
          <w:rtl/>
        </w:rPr>
        <w:t xml:space="preserve">1 .أسماء المغتالين من الأشراف في الجاهلية و الاسلام و أسماء من</w:t>
      </w:r>
    </w:p>
    <w:p>
      <w:pPr>
        <w:pStyle w:val="BookText"/>
      </w:pPr>
      <w:r>
        <w:rPr>
          <w:rFonts w:ascii="Amiri" w:hAnsi="Amiri" w:eastAsia="Amiri" w:cs="Amiri"/>
          <w:lang w:bidi="ar-SA"/>
          <w:color w:val="111111"/>
          <w:sz w:val="28"/>
          <w:szCs w:val="28"/>
          <w:rtl/>
        </w:rPr>
        <w:t xml:space="preserve">قتل من الشعراء و من غلبت كنيته على اسمه، ج2، ص 235.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امهات النبي، ج 2، ص 771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جلاء القلوب، ج 5، ص 413.</w:t>
      </w:r>
    </w:p>
    <w:p>
      <w:pPr>
        <w:pStyle w:val="BookText"/>
      </w:pPr>
      <w:r>
        <w:rPr>
          <w:rFonts w:ascii="IRNazanin" w:hAnsi="IRNazanin" w:eastAsia="IRNazanin" w:cs="IRNazanin"/>
          <w:lang w:bidi="fa-IR"/>
          <w:color w:val="111111"/>
          <w:sz w:val="28"/>
          <w:szCs w:val="28"/>
          <w:rtl/>
        </w:rPr>
        <w:t xml:space="preserve">4 .شرح دیوان جرير، ج 9، ص 485 .</w:t>
      </w:r>
    </w:p>
    <w:p>
      <w:pPr>
        <w:pStyle w:val="BookText"/>
      </w:pPr>
      <w:r>
        <w:rPr>
          <w:rFonts w:ascii="Amiri" w:hAnsi="Amiri" w:eastAsia="Amiri" w:cs="Amiri"/>
          <w:lang w:bidi="ar-SA"/>
          <w:color w:val="111111"/>
          <w:sz w:val="28"/>
          <w:szCs w:val="28"/>
          <w:rtl/>
        </w:rPr>
        <w:t xml:space="preserve">5 .طب الابدان و الاديان (رسالة) في)</w:t>
      </w:r>
    </w:p>
    <w:p>
      <w:pPr>
        <w:pStyle w:val="BookText"/>
      </w:pPr>
      <w:r>
        <w:rPr>
          <w:rFonts w:ascii="IRNazanin" w:hAnsi="IRNazanin" w:eastAsia="IRNazanin" w:cs="IRNazanin"/>
          <w:lang w:bidi="fa-IR"/>
          <w:color w:val="111111"/>
          <w:sz w:val="28"/>
          <w:szCs w:val="28"/>
          <w:rtl/>
        </w:rPr>
        <w:t xml:space="preserve">ج 10 ، ص 761 .</w:t>
      </w:r>
    </w:p>
    <w:p>
      <w:pPr>
        <w:pStyle w:val="BookText"/>
      </w:pPr>
      <w:r>
        <w:rPr>
          <w:rFonts w:ascii="IRNazanin" w:hAnsi="IRNazanin" w:eastAsia="IRNazanin" w:cs="IRNazanin"/>
          <w:lang w:bidi="fa-IR"/>
          <w:color w:val="111111"/>
          <w:sz w:val="28"/>
          <w:szCs w:val="28"/>
          <w:rtl/>
        </w:rPr>
        <w:t xml:space="preserve">6 .مختلف القبائل و مؤتلفها، ج 14 ،</w:t>
      </w:r>
    </w:p>
    <w:p>
      <w:pPr>
        <w:pStyle w:val="BookText"/>
      </w:pPr>
      <w:r>
        <w:rPr>
          <w:rFonts w:ascii="IRNazanin" w:hAnsi="IRNazanin" w:eastAsia="IRNazanin" w:cs="IRNazanin"/>
          <w:lang w:bidi="fa-IR"/>
          <w:color w:val="111111"/>
          <w:sz w:val="28"/>
          <w:szCs w:val="28"/>
          <w:rtl/>
        </w:rPr>
        <w:t xml:space="preserve">ص 287</w:t>
      </w:r>
    </w:p>
    <w:p>
      <w:pPr>
        <w:pStyle w:val="Heading2"/>
      </w:pPr>
      <w:bookmarkStart w:id="1219" w:name="_Toc321"/>
      <w:r>
        <w:t>ابن حبيب ، محمّد بن قاسم، 283-347ه-</w:t>
      </w:r>
      <w:bookmarkEnd w:id="1219"/>
    </w:p>
    <w:p>
      <w:pPr>
        <w:pStyle w:val="BookText"/>
      </w:pPr>
      <w:r>
        <w:rPr>
          <w:rFonts w:ascii="Amiri" w:hAnsi="Amiri" w:eastAsia="Amiri" w:cs="Amiri"/>
          <w:lang w:bidi="ar-SA"/>
          <w:color w:val="111111"/>
          <w:sz w:val="28"/>
          <w:szCs w:val="28"/>
          <w:rtl/>
        </w:rPr>
        <w:t xml:space="preserve">الاخبار والحكايات = الفوائد في</w:t>
      </w:r>
    </w:p>
    <w:p>
      <w:pPr>
        <w:pStyle w:val="BookText"/>
      </w:pPr>
      <w:r>
        <w:rPr>
          <w:rFonts w:ascii="Amiri" w:hAnsi="Amiri" w:eastAsia="Amiri" w:cs="Amiri"/>
          <w:lang w:bidi="ar-SA"/>
          <w:color w:val="111111"/>
          <w:sz w:val="28"/>
          <w:szCs w:val="28"/>
          <w:rtl/>
        </w:rPr>
        <w:t xml:space="preserve">الحديث، ج 1، ص 538 .</w:t>
      </w:r>
    </w:p>
    <w:p>
      <w:pPr>
        <w:pStyle w:val="BookText"/>
      </w:pPr>
      <w:r>
        <w:rPr>
          <w:rFonts w:ascii="Amiri" w:hAnsi="Amiri" w:eastAsia="Amiri" w:cs="Amiri"/>
          <w:lang w:bidi="ar-SA"/>
          <w:color w:val="111111"/>
          <w:sz w:val="28"/>
          <w:szCs w:val="28"/>
          <w:rtl/>
        </w:rPr>
        <w:t xml:space="preserve">ابن حبيب نيشابوري - واعظ نيشابوري ،</w:t>
      </w:r>
    </w:p>
    <w:p>
      <w:pPr>
        <w:pStyle w:val="BookText"/>
      </w:pPr>
      <w:r>
        <w:rPr>
          <w:rFonts w:ascii="Amiri" w:hAnsi="Amiri" w:eastAsia="Amiri" w:cs="Amiri"/>
          <w:lang w:bidi="ar-SA"/>
          <w:color w:val="111111"/>
          <w:sz w:val="28"/>
          <w:szCs w:val="28"/>
          <w:rtl/>
        </w:rPr>
        <w:t xml:space="preserve">و المقامات الادبية = فصول الربيع حسن بن محمّد</w:t>
      </w:r>
    </w:p>
    <w:p>
      <w:pPr>
        <w:pStyle w:val="BookText"/>
      </w:pPr>
      <w:r>
        <w:rPr>
          <w:rFonts w:ascii="Amiri" w:hAnsi="Amiri" w:eastAsia="Amiri" w:cs="Amiri"/>
          <w:lang w:bidi="ar-SA"/>
          <w:color w:val="111111"/>
          <w:sz w:val="28"/>
          <w:szCs w:val="28"/>
          <w:rtl/>
        </w:rPr>
        <w:t xml:space="preserve">في أصول البديع، ج 16، ص 284.</w:t>
      </w:r>
    </w:p>
    <w:p>
      <w:pPr>
        <w:pStyle w:val="Heading2"/>
      </w:pPr>
      <w:bookmarkStart w:id="1220" w:name="_Toc322"/>
      <w:r>
        <w:t>ابن حبيب ، حسن بن محمّد</w:t>
      </w:r>
      <w:bookmarkEnd w:id="1220"/>
    </w:p>
    <w:p>
      <w:pPr>
        <w:pStyle w:val="BookText"/>
      </w:pPr>
      <w:r>
        <w:rPr>
          <w:rFonts w:ascii="Amiri" w:hAnsi="Amiri" w:eastAsia="Amiri" w:cs="Amiri"/>
          <w:lang w:bidi="ar-SA"/>
          <w:color w:val="111111"/>
          <w:sz w:val="28"/>
          <w:szCs w:val="28"/>
          <w:rtl/>
        </w:rPr>
        <w:t xml:space="preserve">التنزيل و ترتيبه، ج 5، ص 52.</w:t>
      </w:r>
    </w:p>
    <w:p>
      <w:pPr>
        <w:pStyle w:val="BookText"/>
      </w:pPr>
      <w:r>
        <w:rPr>
          <w:rFonts w:ascii="Amiri" w:hAnsi="Amiri" w:eastAsia="Amiri" w:cs="Amiri"/>
          <w:lang w:bidi="ar-SA"/>
          <w:color w:val="111111"/>
          <w:sz w:val="28"/>
          <w:szCs w:val="28"/>
          <w:rtl/>
        </w:rPr>
        <w:t xml:space="preserve">ابن حبيب ، طاهر بن حسن 740-808ه-</w:t>
      </w:r>
    </w:p>
    <w:p>
      <w:pPr>
        <w:pStyle w:val="BookText"/>
      </w:pPr>
      <w:r>
        <w:rPr>
          <w:rFonts w:ascii="IRNazanin" w:hAnsi="IRNazanin" w:eastAsia="IRNazanin" w:cs="IRNazanin"/>
          <w:lang w:bidi="fa-IR"/>
          <w:color w:val="111111"/>
          <w:sz w:val="28"/>
          <w:szCs w:val="28"/>
          <w:rtl/>
        </w:rPr>
        <w:t xml:space="preserve">مختصر على مختصر المنار، ج 14</w:t>
      </w:r>
    </w:p>
    <w:p>
      <w:pPr>
        <w:pStyle w:val="BookText"/>
      </w:pPr>
      <w:r>
        <w:rPr>
          <w:rFonts w:ascii="IRNazanin" w:hAnsi="IRNazanin" w:eastAsia="IRNazanin" w:cs="IRNazanin"/>
          <w:lang w:bidi="fa-IR"/>
          <w:color w:val="111111"/>
          <w:sz w:val="28"/>
          <w:szCs w:val="28"/>
          <w:rtl/>
        </w:rPr>
        <w:t xml:space="preserve">ص 204.</w:t>
      </w:r>
    </w:p>
    <w:p>
      <w:pPr>
        <w:pStyle w:val="Heading2"/>
      </w:pPr>
      <w:bookmarkStart w:id="1221" w:name="_Toc323"/>
      <w:r>
        <w:t>ابن حثيمة بن حرب</w:t>
      </w:r>
      <w:bookmarkEnd w:id="1221"/>
    </w:p>
    <w:p>
      <w:pPr>
        <w:pStyle w:val="BookText"/>
      </w:pPr>
      <w:r>
        <w:rPr>
          <w:rFonts w:ascii="Amiri" w:hAnsi="Amiri" w:eastAsia="Amiri" w:cs="Amiri"/>
          <w:lang w:bidi="ar-SA"/>
          <w:color w:val="111111"/>
          <w:sz w:val="28"/>
          <w:szCs w:val="28"/>
          <w:rtl/>
        </w:rPr>
        <w:t xml:space="preserve">كتاب المعلم، ج13، ص 124.</w:t>
      </w:r>
    </w:p>
    <w:p>
      <w:pPr>
        <w:pStyle w:val="BookText"/>
      </w:pPr>
      <w:r>
        <w:rPr>
          <w:rFonts w:ascii="Amiri" w:hAnsi="Amiri" w:eastAsia="Amiri" w:cs="Amiri"/>
          <w:lang w:bidi="ar-SA"/>
          <w:color w:val="111111"/>
          <w:sz w:val="28"/>
          <w:szCs w:val="28"/>
          <w:rtl/>
        </w:rPr>
        <w:t xml:space="preserve">ابن حجاج ، حسين بن احمد- كاتب نيلي ،</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Amiri" w:hAnsi="Amiri" w:eastAsia="Amiri" w:cs="Amiri"/>
          <w:lang w:bidi="ar-SA"/>
          <w:color w:val="111111"/>
          <w:sz w:val="28"/>
          <w:szCs w:val="28"/>
          <w:rtl/>
        </w:rPr>
        <w:t xml:space="preserve">ابن حجام، محمّد بن عباس -ابن ماهيار</w:t>
      </w:r>
    </w:p>
    <w:p>
      <w:pPr>
        <w:pStyle w:val="BookText"/>
      </w:pPr>
      <w:r>
        <w:rPr>
          <w:rFonts w:ascii="IRNazanin" w:hAnsi="IRNazanin" w:eastAsia="IRNazanin" w:cs="IRNazanin"/>
          <w:lang w:bidi="fa-IR"/>
          <w:color w:val="111111"/>
          <w:sz w:val="28"/>
          <w:szCs w:val="28"/>
          <w:rtl/>
        </w:rPr>
        <w:t xml:space="preserve">، محمّد بن عباس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4" w:name="pg7742_69447"/>
    <w:bookmarkEnd w:id="54"/>
    <w:p>
      <w:pPr>
        <w:pStyle w:val="Heading2"/>
      </w:pPr>
      <w:bookmarkStart w:id="1222" w:name="_Toc324"/>
      <w:r>
        <w:t>ابن حجة ، تقي الدين بن علي 767 -</w:t>
      </w:r>
      <w:bookmarkEnd w:id="1222"/>
    </w:p>
    <w:p>
      <w:pPr>
        <w:pStyle w:val="BookText"/>
      </w:pPr>
      <w:r>
        <w:rPr>
          <w:rFonts w:ascii="IRNazanin" w:hAnsi="IRNazanin" w:eastAsia="IRNazanin" w:cs="IRNazanin"/>
          <w:lang w:bidi="fa-IR"/>
          <w:color w:val="111111"/>
          <w:sz w:val="28"/>
          <w:szCs w:val="28"/>
          <w:rtl/>
        </w:rPr>
        <w:t xml:space="preserve">837 ه-</w:t>
      </w:r>
    </w:p>
    <w:p>
      <w:pPr>
        <w:pStyle w:val="BookText"/>
      </w:pPr>
      <w:r>
        <w:rPr>
          <w:rFonts w:ascii="Amiri" w:hAnsi="Amiri" w:eastAsia="Amiri" w:cs="Amiri"/>
          <w:lang w:bidi="ar-SA"/>
          <w:color w:val="111111"/>
          <w:sz w:val="28"/>
          <w:szCs w:val="28"/>
          <w:rtl/>
        </w:rPr>
        <w:t xml:space="preserve">1 .امان الخائفين من امة سيّد المرسلين، ج 2، ص 738.</w:t>
      </w:r>
    </w:p>
    <w:p>
      <w:pPr>
        <w:pStyle w:val="BookText"/>
      </w:pPr>
      <w:r>
        <w:rPr>
          <w:rFonts w:ascii="Amiri" w:hAnsi="Amiri" w:eastAsia="Amiri" w:cs="Amiri"/>
          <w:lang w:bidi="ar-SA"/>
          <w:color w:val="111111"/>
          <w:sz w:val="28"/>
          <w:szCs w:val="28"/>
          <w:rtl/>
        </w:rPr>
        <w:t xml:space="preserve">2 .البديعية (قصيدة)، ج3، ص 287.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بلوغ الامل في فن الزجل، ج3،</w:t>
      </w:r>
    </w:p>
    <w:p>
      <w:pPr>
        <w:pStyle w:val="BookText"/>
      </w:pPr>
      <w:r>
        <w:rPr>
          <w:rFonts w:ascii="IRNazanin" w:hAnsi="IRNazanin" w:eastAsia="IRNazanin" w:cs="IRNazanin"/>
          <w:lang w:bidi="fa-IR"/>
          <w:color w:val="111111"/>
          <w:sz w:val="28"/>
          <w:szCs w:val="28"/>
          <w:rtl/>
        </w:rPr>
        <w:t xml:space="preserve">ص398.</w:t>
      </w:r>
    </w:p>
    <w:p>
      <w:pPr>
        <w:pStyle w:val="BookText"/>
      </w:pPr>
      <w:r>
        <w:rPr>
          <w:rFonts w:ascii="Amiri" w:hAnsi="Amiri" w:eastAsia="Amiri" w:cs="Amiri"/>
          <w:lang w:bidi="ar-SA"/>
          <w:color w:val="111111"/>
          <w:sz w:val="28"/>
          <w:szCs w:val="28"/>
          <w:rtl/>
        </w:rPr>
        <w:t xml:space="preserve">4 .بلوغ المرام من سيرة ابن هشام</w:t>
      </w:r>
    </w:p>
    <w:p>
      <w:pPr>
        <w:pStyle w:val="BookText"/>
      </w:pPr>
      <w:r>
        <w:rPr>
          <w:rFonts w:ascii="IRNazanin" w:hAnsi="IRNazanin" w:eastAsia="IRNazanin" w:cs="IRNazanin"/>
          <w:lang w:bidi="fa-IR"/>
          <w:color w:val="111111"/>
          <w:sz w:val="28"/>
          <w:szCs w:val="28"/>
          <w:rtl/>
        </w:rPr>
        <w:t xml:space="preserve">ج 3، ص 403 .</w:t>
      </w:r>
    </w:p>
    <w:p>
      <w:pPr>
        <w:pStyle w:val="BookText"/>
      </w:pPr>
      <w:r>
        <w:rPr>
          <w:rFonts w:ascii="Amiri" w:hAnsi="Amiri" w:eastAsia="Amiri" w:cs="Amiri"/>
          <w:lang w:bidi="ar-SA"/>
          <w:color w:val="111111"/>
          <w:sz w:val="28"/>
          <w:szCs w:val="28"/>
          <w:rtl/>
        </w:rPr>
        <w:t xml:space="preserve">5 .تخميس ج4، ص 99.</w:t>
      </w:r>
    </w:p>
    <w:p>
      <w:pPr>
        <w:pStyle w:val="BookText"/>
      </w:pPr>
      <w:r>
        <w:rPr>
          <w:rFonts w:ascii="Amiri" w:hAnsi="Amiri" w:eastAsia="Amiri" w:cs="Amiri"/>
          <w:lang w:bidi="ar-SA"/>
          <w:color w:val="111111"/>
          <w:sz w:val="28"/>
          <w:szCs w:val="28"/>
          <w:rtl/>
        </w:rPr>
        <w:t xml:space="preserve">6 .تخميس قصيدة لعبد القادر الكيلاني</w:t>
      </w:r>
    </w:p>
    <w:p>
      <w:pPr>
        <w:pStyle w:val="BookText"/>
      </w:pPr>
      <w:r>
        <w:rPr>
          <w:rFonts w:ascii="IRNazanin" w:hAnsi="IRNazanin" w:eastAsia="IRNazanin" w:cs="IRNazanin"/>
          <w:lang w:bidi="fa-IR"/>
          <w:color w:val="111111"/>
          <w:sz w:val="28"/>
          <w:szCs w:val="28"/>
          <w:rtl/>
        </w:rPr>
        <w:t xml:space="preserve">ج 4، ص 138.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تغريد الصادح، ج 4، ص 563.</w:t>
      </w:r>
    </w:p>
    <w:p>
      <w:pPr>
        <w:pStyle w:val="BookText"/>
      </w:pPr>
      <w:r>
        <w:rPr>
          <w:rFonts w:ascii="Amiri" w:hAnsi="Amiri" w:eastAsia="Amiri" w:cs="Amiri"/>
          <w:lang w:bidi="ar-SA"/>
          <w:color w:val="111111"/>
          <w:sz w:val="28"/>
          <w:szCs w:val="28"/>
          <w:rtl/>
        </w:rPr>
        <w:t xml:space="preserve">8 .تقديم ابي بكر = شرح البديعية</w:t>
      </w:r>
    </w:p>
    <w:p>
      <w:pPr>
        <w:pStyle w:val="BookText"/>
      </w:pPr>
      <w:r>
        <w:rPr>
          <w:rFonts w:ascii="IRNazanin" w:hAnsi="IRNazanin" w:eastAsia="IRNazanin" w:cs="IRNazanin"/>
          <w:lang w:bidi="fa-IR"/>
          <w:color w:val="111111"/>
          <w:sz w:val="28"/>
          <w:szCs w:val="28"/>
          <w:rtl/>
        </w:rPr>
        <w:t xml:space="preserve">ج 4، ص 718.</w:t>
      </w:r>
    </w:p>
    <w:p>
      <w:pPr>
        <w:pStyle w:val="BookText"/>
      </w:pPr>
      <w:r>
        <w:rPr>
          <w:rFonts w:ascii="Amiri" w:hAnsi="Amiri" w:eastAsia="Amiri" w:cs="Amiri"/>
          <w:lang w:bidi="ar-SA"/>
          <w:color w:val="111111"/>
          <w:sz w:val="28"/>
          <w:szCs w:val="28"/>
          <w:rtl/>
        </w:rPr>
        <w:t xml:space="preserve">9 .التهذيب و التأديب من شرح</w:t>
      </w:r>
    </w:p>
    <w:p>
      <w:pPr>
        <w:pStyle w:val="BookText"/>
      </w:pPr>
      <w:r>
        <w:rPr>
          <w:rFonts w:ascii="Amiri" w:hAnsi="Amiri" w:eastAsia="Amiri" w:cs="Amiri"/>
          <w:lang w:bidi="ar-SA"/>
          <w:color w:val="111111"/>
          <w:sz w:val="28"/>
          <w:szCs w:val="28"/>
          <w:rtl/>
        </w:rPr>
        <w:t xml:space="preserve">البديعية، ج 5، ص 130.</w:t>
      </w:r>
    </w:p>
    <w:p>
      <w:pPr>
        <w:pStyle w:val="BookText"/>
      </w:pPr>
      <w:r>
        <w:rPr>
          <w:rFonts w:ascii="Amiri" w:hAnsi="Amiri" w:eastAsia="Amiri" w:cs="Amiri"/>
          <w:lang w:bidi="ar-SA"/>
          <w:color w:val="111111"/>
          <w:sz w:val="28"/>
          <w:szCs w:val="28"/>
          <w:rtl/>
        </w:rPr>
        <w:t xml:space="preserve">10 .ثمرات الاوراق و تسلية العشاق</w:t>
      </w:r>
    </w:p>
    <w:p>
      <w:pPr>
        <w:pStyle w:val="BookText"/>
      </w:pPr>
      <w:r>
        <w:rPr>
          <w:rFonts w:ascii="IRNazanin" w:hAnsi="IRNazanin" w:eastAsia="IRNazanin" w:cs="IRNazanin"/>
          <w:lang w:bidi="fa-IR"/>
          <w:color w:val="111111"/>
          <w:sz w:val="28"/>
          <w:szCs w:val="28"/>
          <w:rtl/>
        </w:rPr>
        <w:t xml:space="preserve">ج 5، ص 227.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جني الجنتين، ج 5، ص 473.</w:t>
      </w:r>
    </w:p>
    <w:p>
      <w:pPr>
        <w:pStyle w:val="BookText"/>
      </w:pPr>
      <w:r>
        <w:rPr>
          <w:rFonts w:ascii="Amiri" w:hAnsi="Amiri" w:eastAsia="Amiri" w:cs="Amiri"/>
          <w:lang w:bidi="ar-SA"/>
          <w:color w:val="111111"/>
          <w:sz w:val="28"/>
          <w:szCs w:val="28"/>
          <w:rtl/>
        </w:rPr>
        <w:t xml:space="preserve">12 .خزانة الادب و غاية الارب = شرح</w:t>
      </w:r>
    </w:p>
    <w:p>
      <w:pPr>
        <w:pStyle w:val="BookText"/>
      </w:pPr>
      <w:r>
        <w:rPr>
          <w:rFonts w:ascii="Amiri" w:hAnsi="Amiri" w:eastAsia="Amiri" w:cs="Amiri"/>
          <w:lang w:bidi="ar-SA"/>
          <w:color w:val="111111"/>
          <w:sz w:val="28"/>
          <w:szCs w:val="28"/>
          <w:rtl/>
        </w:rPr>
        <w:t xml:space="preserve">بديعية، ج 7، ص18.</w:t>
      </w:r>
    </w:p>
    <w:p>
      <w:pPr>
        <w:pStyle w:val="BookText"/>
      </w:pPr>
      <w:r>
        <w:rPr>
          <w:rFonts w:ascii="Amiri" w:hAnsi="Amiri" w:eastAsia="Amiri" w:cs="Amiri"/>
          <w:lang w:bidi="ar-SA"/>
          <w:color w:val="111111"/>
          <w:sz w:val="28"/>
          <w:szCs w:val="28"/>
          <w:rtl/>
        </w:rPr>
        <w:t xml:space="preserve">13 .ديوان ابن حجة = الثمرات</w:t>
      </w:r>
    </w:p>
    <w:p>
      <w:pPr>
        <w:pStyle w:val="BookText"/>
      </w:pPr>
      <w:r>
        <w:rPr>
          <w:rFonts w:ascii="Amiri" w:hAnsi="Amiri" w:eastAsia="Amiri" w:cs="Amiri"/>
          <w:lang w:bidi="ar-SA"/>
          <w:color w:val="111111"/>
          <w:sz w:val="28"/>
          <w:szCs w:val="28"/>
          <w:rtl/>
        </w:rPr>
        <w:t xml:space="preserve">الشهية في الفواكه الحموية و الزوائد المصرية، ج 7، ص 513.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فتوى في مسألة النفقة، ج11،</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Amiri" w:hAnsi="Amiri" w:eastAsia="Amiri" w:cs="Amiri"/>
          <w:lang w:bidi="ar-SA"/>
          <w:color w:val="111111"/>
          <w:sz w:val="28"/>
          <w:szCs w:val="28"/>
          <w:rtl/>
        </w:rPr>
        <w:t xml:space="preserve">15 .قصيدة في مديح سيّد المرسلين</w:t>
      </w:r>
    </w:p>
    <w:p>
      <w:pPr>
        <w:pStyle w:val="BookText"/>
      </w:pPr>
      <w:r>
        <w:rPr>
          <w:rFonts w:ascii="IRNazanin" w:hAnsi="IRNazanin" w:eastAsia="IRNazanin" w:cs="IRNazanin"/>
          <w:lang w:bidi="fa-IR"/>
          <w:color w:val="111111"/>
          <w:sz w:val="28"/>
          <w:szCs w:val="28"/>
          <w:rtl/>
        </w:rPr>
        <w:t xml:space="preserve">ج 12، ص 702.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الكافية، ج 13 ، ص 56 .</w:t>
      </w:r>
    </w:p>
    <w:p>
      <w:pPr>
        <w:pStyle w:val="BookText"/>
      </w:pPr>
      <w:r>
        <w:rPr>
          <w:rFonts w:ascii="Amiri" w:hAnsi="Amiri" w:eastAsia="Amiri" w:cs="Amiri"/>
          <w:lang w:bidi="ar-SA"/>
          <w:color w:val="111111"/>
          <w:sz w:val="28"/>
          <w:szCs w:val="28"/>
          <w:rtl/>
        </w:rPr>
        <w:t xml:space="preserve">17 .كشف اللثام عن وجه التورية و</w:t>
      </w:r>
    </w:p>
    <w:p>
      <w:pPr>
        <w:pStyle w:val="BookText"/>
      </w:pPr>
      <w:r>
        <w:rPr>
          <w:rFonts w:ascii="IRNazanin" w:hAnsi="IRNazanin" w:eastAsia="IRNazanin" w:cs="IRNazanin"/>
          <w:lang w:bidi="fa-IR"/>
          <w:color w:val="111111"/>
          <w:sz w:val="28"/>
          <w:szCs w:val="28"/>
          <w:rtl/>
        </w:rPr>
        <w:t xml:space="preserve">الإستخدام، ج13، ص 252.</w:t>
      </w:r>
    </w:p>
    <w:p>
      <w:pPr>
        <w:pStyle w:val="Heading2"/>
      </w:pPr>
      <w:bookmarkStart w:id="1223" w:name="_Toc325"/>
      <w:r>
        <w:t>ابن حجر</w:t>
      </w:r>
      <w:bookmarkEnd w:id="1223"/>
    </w:p>
    <w:p>
      <w:pPr>
        <w:pStyle w:val="BookText"/>
      </w:pPr>
      <w:r>
        <w:rPr>
          <w:rFonts w:ascii="Amiri" w:hAnsi="Amiri" w:eastAsia="Amiri" w:cs="Amiri"/>
          <w:lang w:bidi="ar-SA"/>
          <w:color w:val="111111"/>
          <w:sz w:val="28"/>
          <w:szCs w:val="28"/>
          <w:rtl/>
        </w:rPr>
        <w:t xml:space="preserve">كشف الاسرار او الجوهرة السنية في</w:t>
      </w:r>
    </w:p>
    <w:p>
      <w:pPr>
        <w:pStyle w:val="BookText"/>
      </w:pPr>
      <w:r>
        <w:rPr>
          <w:rFonts w:ascii="Amiri" w:hAnsi="Amiri" w:eastAsia="Amiri" w:cs="Amiri"/>
          <w:lang w:bidi="ar-SA"/>
          <w:color w:val="111111"/>
          <w:sz w:val="28"/>
          <w:szCs w:val="28"/>
          <w:rtl/>
        </w:rPr>
        <w:t xml:space="preserve">الحكمة العلمية، ج13، ص 184.</w:t>
      </w:r>
    </w:p>
    <w:p>
      <w:pPr>
        <w:pStyle w:val="Heading2"/>
      </w:pPr>
      <w:bookmarkStart w:id="1224" w:name="_Toc326"/>
      <w:r>
        <w:t>ابن حجر عسقلاني ، احمد بن علي 733 -</w:t>
      </w:r>
      <w:bookmarkEnd w:id="1224"/>
    </w:p>
    <w:p>
      <w:pPr>
        <w:pStyle w:val="BookText"/>
      </w:pPr>
      <w:r>
        <w:rPr>
          <w:rFonts w:ascii="IRNazanin" w:hAnsi="IRNazanin" w:eastAsia="IRNazanin" w:cs="IRNazanin"/>
          <w:lang w:bidi="fa-IR"/>
          <w:color w:val="111111"/>
          <w:sz w:val="28"/>
          <w:szCs w:val="28"/>
          <w:rtl/>
        </w:rPr>
        <w:t xml:space="preserve">852 ه-</w:t>
      </w:r>
    </w:p>
    <w:p>
      <w:pPr>
        <w:pStyle w:val="BookText"/>
      </w:pPr>
      <w:r>
        <w:rPr>
          <w:rFonts w:ascii="Amiri" w:hAnsi="Amiri" w:eastAsia="Amiri" w:cs="Amiri"/>
          <w:lang w:bidi="ar-SA"/>
          <w:color w:val="111111"/>
          <w:sz w:val="28"/>
          <w:szCs w:val="28"/>
          <w:rtl/>
        </w:rPr>
        <w:t xml:space="preserve">1 .الأربعون حديثاً، ج 1، ص 695.</w:t>
      </w:r>
    </w:p>
    <w:p>
      <w:pPr>
        <w:pStyle w:val="BookText"/>
      </w:pPr>
      <w:r>
        <w:rPr>
          <w:rFonts w:ascii="Amiri" w:hAnsi="Amiri" w:eastAsia="Amiri" w:cs="Amiri"/>
          <w:lang w:bidi="ar-SA"/>
          <w:color w:val="111111"/>
          <w:sz w:val="28"/>
          <w:szCs w:val="28"/>
          <w:rtl/>
        </w:rPr>
        <w:t xml:space="preserve">2 .الأربعون حديثاً المنتقاة من صحيح</w:t>
      </w:r>
    </w:p>
    <w:p>
      <w:pPr>
        <w:pStyle w:val="BookText"/>
      </w:pPr>
      <w:r>
        <w:rPr>
          <w:rFonts w:ascii="Amiri" w:hAnsi="Amiri" w:eastAsia="Amiri" w:cs="Amiri"/>
          <w:lang w:bidi="ar-SA"/>
          <w:color w:val="111111"/>
          <w:sz w:val="28"/>
          <w:szCs w:val="28"/>
          <w:rtl/>
        </w:rPr>
        <w:t xml:space="preserve">مسلم = الاربعون العالية لمسلم على البخاري في صحيحيهما، ج1، ص 733.</w:t>
      </w:r>
    </w:p>
    <w:p>
      <w:pPr>
        <w:pStyle w:val="BookText"/>
      </w:pPr>
      <w:r>
        <w:rPr>
          <w:rFonts w:ascii="Amiri" w:hAnsi="Amiri" w:eastAsia="Amiri" w:cs="Amiri"/>
          <w:lang w:bidi="ar-SA"/>
          <w:color w:val="111111"/>
          <w:sz w:val="28"/>
          <w:szCs w:val="28"/>
          <w:rtl/>
        </w:rPr>
        <w:t xml:space="preserve">3 .الاربعينية القدسية، ج 1، ص 747.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اسئلة، ج 2، ص83.</w:t>
      </w:r>
    </w:p>
    <w:p>
      <w:pPr>
        <w:pStyle w:val="BookText"/>
      </w:pPr>
      <w:r>
        <w:rPr>
          <w:rFonts w:ascii="Amiri" w:hAnsi="Amiri" w:eastAsia="Amiri" w:cs="Amiri"/>
          <w:lang w:bidi="ar-SA"/>
          <w:color w:val="111111"/>
          <w:sz w:val="28"/>
          <w:szCs w:val="28"/>
          <w:rtl/>
        </w:rPr>
        <w:t xml:space="preserve">5 .اسئلة و اجوبة، ج 2، ص91.</w:t>
      </w:r>
    </w:p>
    <w:p>
      <w:pPr>
        <w:pStyle w:val="BookText"/>
      </w:pPr>
      <w:r>
        <w:rPr>
          <w:rFonts w:ascii="Amiri" w:hAnsi="Amiri" w:eastAsia="Amiri" w:cs="Amiri"/>
          <w:lang w:bidi="ar-SA"/>
          <w:color w:val="111111"/>
          <w:sz w:val="28"/>
          <w:szCs w:val="28"/>
          <w:rtl/>
        </w:rPr>
        <w:t xml:space="preserve">6 .الاصابة في تمييز الصحابة، ج2،</w:t>
      </w:r>
    </w:p>
    <w:p>
      <w:pPr>
        <w:pStyle w:val="BookText"/>
      </w:pPr>
      <w:r>
        <w:rPr>
          <w:rFonts w:ascii="IRNazanin" w:hAnsi="IRNazanin" w:eastAsia="IRNazanin" w:cs="IRNazanin"/>
          <w:lang w:bidi="fa-IR"/>
          <w:color w:val="111111"/>
          <w:sz w:val="28"/>
          <w:szCs w:val="28"/>
          <w:rtl/>
        </w:rPr>
        <w:t xml:space="preserve">ص 349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الأمالي الحلبية = أمالي إبن حجر = تخريج أحاديث المختصر، ج 2،</w:t>
      </w:r>
    </w:p>
    <w:p>
      <w:pPr>
        <w:pStyle w:val="BookText"/>
      </w:pPr>
      <w:r>
        <w:rPr>
          <w:rFonts w:ascii="IRNazanin" w:hAnsi="IRNazanin" w:eastAsia="IRNazanin" w:cs="IRNazanin"/>
          <w:lang w:bidi="fa-IR"/>
          <w:color w:val="111111"/>
          <w:sz w:val="28"/>
          <w:szCs w:val="28"/>
          <w:rtl/>
        </w:rPr>
        <w:t xml:space="preserve">ص 726 .</w:t>
      </w:r>
    </w:p>
    <w:p>
      <w:pPr>
        <w:pStyle w:val="BookText"/>
      </w:pPr>
      <w:r>
        <w:rPr>
          <w:rFonts w:ascii="Amiri" w:hAnsi="Amiri" w:eastAsia="Amiri" w:cs="Amiri"/>
          <w:lang w:bidi="ar-SA"/>
          <w:color w:val="111111"/>
          <w:sz w:val="28"/>
          <w:szCs w:val="28"/>
          <w:rtl/>
        </w:rPr>
        <w:t xml:space="preserve">8 .الامتاع بالاربعين المتباينة بشرط</w:t>
      </w:r>
    </w:p>
    <w:p>
      <w:pPr>
        <w:pStyle w:val="BookText"/>
      </w:pPr>
      <w:r>
        <w:rPr>
          <w:rFonts w:ascii="IRNazanin" w:hAnsi="IRNazanin" w:eastAsia="IRNazanin" w:cs="IRNazanin"/>
          <w:lang w:bidi="fa-IR"/>
          <w:color w:val="111111"/>
          <w:sz w:val="28"/>
          <w:szCs w:val="28"/>
          <w:rtl/>
        </w:rPr>
        <w:t xml:space="preserve">السماع، ج 2، ص 740.</w:t>
      </w:r>
    </w:p>
    <w:p>
      <w:pPr>
        <w:pStyle w:val="BookText"/>
      </w:pPr>
      <w:r>
        <w:rPr>
          <w:rFonts w:ascii="Amiri" w:hAnsi="Amiri" w:eastAsia="Amiri" w:cs="Amiri"/>
          <w:lang w:bidi="ar-SA"/>
          <w:color w:val="111111"/>
          <w:sz w:val="28"/>
          <w:szCs w:val="28"/>
          <w:rtl/>
        </w:rPr>
        <w:t xml:space="preserve">9 .انباء الغمر في العمر، ج 2، ص 776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إنتقاض الإعتراض في الرد على العيني في شرح البخاري، ج 2،</w:t>
      </w:r>
    </w:p>
    <w:p>
      <w:pPr>
        <w:pStyle w:val="BookText"/>
      </w:pPr>
      <w:r>
        <w:rPr>
          <w:rFonts w:ascii="IRNazanin" w:hAnsi="IRNazanin" w:eastAsia="IRNazanin" w:cs="IRNazanin"/>
          <w:lang w:bidi="fa-IR"/>
          <w:color w:val="111111"/>
          <w:sz w:val="28"/>
          <w:szCs w:val="28"/>
          <w:rtl/>
        </w:rPr>
        <w:t xml:space="preserve">ص 791.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بلوغ المرام من ادلة الأحكام، ج3،</w:t>
      </w:r>
    </w:p>
    <w:p>
      <w:pPr>
        <w:pStyle w:val="BookText"/>
      </w:pPr>
      <w:r>
        <w:rPr>
          <w:rFonts w:ascii="IRNazanin" w:hAnsi="IRNazanin" w:eastAsia="IRNazanin" w:cs="IRNazanin"/>
          <w:lang w:bidi="fa-IR"/>
          <w:color w:val="111111"/>
          <w:sz w:val="28"/>
          <w:szCs w:val="28"/>
          <w:rtl/>
        </w:rPr>
        <w:t xml:space="preserve">ص 402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تبصير المنتبه بتحرير المشتبه، ج3،</w:t>
      </w:r>
    </w:p>
    <w:p>
      <w:pPr>
        <w:pStyle w:val="BookText"/>
      </w:pPr>
      <w:r>
        <w:rPr>
          <w:rFonts w:ascii="IRNazanin" w:hAnsi="IRNazanin" w:eastAsia="IRNazanin" w:cs="IRNazanin"/>
          <w:lang w:bidi="fa-IR"/>
          <w:color w:val="111111"/>
          <w:sz w:val="28"/>
          <w:szCs w:val="28"/>
          <w:rtl/>
        </w:rPr>
        <w:t xml:space="preserve">ص 647 .</w:t>
      </w:r>
    </w:p>
    <w:p>
      <w:pPr>
        <w:pStyle w:val="BookText"/>
      </w:pPr>
      <w:r>
        <w:rPr>
          <w:rFonts w:ascii="Amiri" w:hAnsi="Amiri" w:eastAsia="Amiri" w:cs="Amiri"/>
          <w:lang w:bidi="ar-SA"/>
          <w:color w:val="111111"/>
          <w:sz w:val="28"/>
          <w:szCs w:val="28"/>
          <w:rtl/>
        </w:rPr>
        <w:t xml:space="preserve">13 .تحفة اهل التحديث عن شيوخ</w:t>
      </w:r>
    </w:p>
    <w:p>
      <w:pPr>
        <w:pStyle w:val="BookText"/>
      </w:pPr>
      <w:r>
        <w:rPr>
          <w:rFonts w:ascii="Amiri" w:hAnsi="Amiri" w:eastAsia="Amiri" w:cs="Amiri"/>
          <w:lang w:bidi="ar-SA"/>
          <w:color w:val="111111"/>
          <w:sz w:val="28"/>
          <w:szCs w:val="28"/>
          <w:rtl/>
        </w:rPr>
        <w:t xml:space="preserve">الحديث، ج 3، ص 812</w:t>
      </w:r>
    </w:p>
    <w:p>
      <w:pPr>
        <w:pStyle w:val="BookText"/>
      </w:pPr>
      <w:r>
        <w:rPr>
          <w:rFonts w:ascii="Amiri" w:hAnsi="Amiri" w:eastAsia="Amiri" w:cs="Amiri"/>
          <w:lang w:bidi="ar-SA"/>
          <w:color w:val="111111"/>
          <w:sz w:val="28"/>
          <w:szCs w:val="28"/>
          <w:rtl/>
        </w:rPr>
        <w:t xml:space="preserve">14 ترجمة ابن تيمية ج4، ص 254.</w:t>
      </w:r>
    </w:p>
    <w:p>
      <w:pPr>
        <w:pStyle w:val="BookText"/>
      </w:pPr>
      <w:r>
        <w:rPr>
          <w:rFonts w:ascii="Amiri" w:hAnsi="Amiri" w:eastAsia="Amiri" w:cs="Amiri"/>
          <w:lang w:bidi="ar-SA"/>
          <w:color w:val="111111"/>
          <w:sz w:val="28"/>
          <w:szCs w:val="28"/>
          <w:rtl/>
        </w:rPr>
        <w:t xml:space="preserve">15 ترجمة السيّد احمد البدوي، جع،</w:t>
      </w:r>
    </w:p>
    <w:p>
      <w:pPr>
        <w:pStyle w:val="BookText"/>
      </w:pPr>
      <w:r>
        <w:rPr>
          <w:rFonts w:ascii="IRNazanin" w:hAnsi="IRNazanin" w:eastAsia="IRNazanin" w:cs="IRNazanin"/>
          <w:lang w:bidi="fa-IR"/>
          <w:color w:val="111111"/>
          <w:sz w:val="28"/>
          <w:szCs w:val="28"/>
          <w:rtl/>
        </w:rPr>
        <w:t xml:space="preserve">ص 273.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تسديد القوس في مختصر مسند الفردوس - زهر مسند الفردوس -</w:t>
      </w:r>
    </w:p>
    <w:p>
      <w:pPr>
        <w:pStyle w:val="BookText"/>
      </w:pPr>
      <w:r>
        <w:rPr>
          <w:rFonts w:ascii="Amiri" w:hAnsi="Amiri" w:eastAsia="Amiri" w:cs="Amiri"/>
          <w:lang w:bidi="ar-SA"/>
          <w:color w:val="111111"/>
          <w:sz w:val="28"/>
          <w:szCs w:val="28"/>
          <w:rtl/>
        </w:rPr>
        <w:t xml:space="preserve">إبانة الشبه في معرفة كيفية الوقوف على ما في كتاب الفردوس من علامة الحروف، ج 4 ، ص 336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تعجيل المنفعة بزوائد رجال الأئمة</w:t>
      </w:r>
    </w:p>
    <w:p>
      <w:pPr>
        <w:pStyle w:val="BookText"/>
      </w:pPr>
      <w:r>
        <w:rPr>
          <w:rFonts w:ascii="Amiri" w:hAnsi="Amiri" w:eastAsia="Amiri" w:cs="Amiri"/>
          <w:lang w:bidi="ar-SA"/>
          <w:color w:val="111111"/>
          <w:sz w:val="28"/>
          <w:szCs w:val="28"/>
          <w:rtl/>
        </w:rPr>
        <w:t xml:space="preserve">الأربعة، ج 4، ص 461.</w:t>
      </w:r>
    </w:p>
    <w:p>
      <w:pPr>
        <w:pStyle w:val="BookText"/>
      </w:pPr>
      <w:r>
        <w:rPr>
          <w:rFonts w:ascii="Amiri" w:hAnsi="Amiri" w:eastAsia="Amiri" w:cs="Amiri"/>
          <w:lang w:bidi="ar-SA"/>
          <w:color w:val="111111"/>
          <w:sz w:val="28"/>
          <w:szCs w:val="28"/>
          <w:rtl/>
        </w:rPr>
        <w:t xml:space="preserve">18 .تعريف أهل التقديس بمراتب الموصوفين بالتدليس = طبقات المدلسين، ج4، ص 474.</w:t>
      </w:r>
    </w:p>
    <w:p>
      <w:pPr>
        <w:pStyle w:val="BookText"/>
      </w:pPr>
      <w:r>
        <w:rPr>
          <w:rFonts w:ascii="IRNazanin" w:hAnsi="IRNazanin" w:eastAsia="IRNazanin" w:cs="IRNazanin"/>
          <w:lang w:bidi="fa-IR"/>
          <w:color w:val="111111"/>
          <w:sz w:val="28"/>
          <w:szCs w:val="28"/>
          <w:rtl/>
        </w:rPr>
        <w:t xml:space="preserve">19 .تعليقات على ذیل میزان الاعتدال</w:t>
      </w:r>
    </w:p>
    <w:p>
      <w:pPr>
        <w:pStyle w:val="BookText"/>
      </w:pPr>
      <w:r>
        <w:rPr>
          <w:rFonts w:ascii="IRNazanin" w:hAnsi="IRNazanin" w:eastAsia="IRNazanin" w:cs="IRNazanin"/>
          <w:lang w:bidi="fa-IR"/>
          <w:color w:val="111111"/>
          <w:sz w:val="28"/>
          <w:szCs w:val="28"/>
          <w:rtl/>
        </w:rPr>
        <w:t xml:space="preserve">ج 4، ص 499.</w:t>
      </w:r>
    </w:p>
    <w:p>
      <w:pPr>
        <w:pStyle w:val="BookText"/>
      </w:pPr>
      <w:r>
        <w:rPr>
          <w:rFonts w:ascii="Amiri" w:hAnsi="Amiri" w:eastAsia="Amiri" w:cs="Amiri"/>
          <w:lang w:bidi="ar-SA"/>
          <w:color w:val="111111"/>
          <w:sz w:val="28"/>
          <w:szCs w:val="28"/>
          <w:rtl/>
        </w:rPr>
        <w:t xml:space="preserve">20 .التعليق على تاريخ ابن عساكر</w:t>
      </w:r>
    </w:p>
    <w:p>
      <w:pPr>
        <w:pStyle w:val="BookText"/>
      </w:pPr>
      <w:r>
        <w:rPr>
          <w:rFonts w:ascii="IRNazanin" w:hAnsi="IRNazanin" w:eastAsia="IRNazanin" w:cs="IRNazanin"/>
          <w:lang w:bidi="fa-IR"/>
          <w:color w:val="111111"/>
          <w:sz w:val="28"/>
          <w:szCs w:val="28"/>
          <w:rtl/>
        </w:rPr>
        <w:t xml:space="preserve">ج 4، ص 544.</w:t>
      </w:r>
    </w:p>
    <w:p>
      <w:pPr>
        <w:pStyle w:val="BookText"/>
      </w:pPr>
      <w:r>
        <w:rPr>
          <w:rFonts w:ascii="Amiri" w:hAnsi="Amiri" w:eastAsia="Amiri" w:cs="Amiri"/>
          <w:lang w:bidi="ar-SA"/>
          <w:color w:val="111111"/>
          <w:sz w:val="28"/>
          <w:szCs w:val="28"/>
          <w:rtl/>
        </w:rPr>
        <w:t xml:space="preserve">21 .تغليق التعليق على كتاب</w:t>
      </w:r>
    </w:p>
    <w:p>
      <w:pPr>
        <w:pStyle w:val="BookText"/>
      </w:pPr>
      <w:r>
        <w:rPr>
          <w:rFonts w:ascii="Amiri" w:hAnsi="Amiri" w:eastAsia="Amiri" w:cs="Amiri"/>
          <w:lang w:bidi="ar-SA"/>
          <w:color w:val="111111"/>
          <w:sz w:val="28"/>
          <w:szCs w:val="28"/>
          <w:rtl/>
        </w:rPr>
        <w:t xml:space="preserve">البخاري، ج 4، ص564.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تقريب التهذيب = مختصر تهذيب التذهيب في أسماء الرجال</w:t>
      </w:r>
    </w:p>
    <w:p>
      <w:pPr>
        <w:pStyle w:val="BookText"/>
      </w:pPr>
      <w:r>
        <w:rPr>
          <w:rFonts w:ascii="IRNazanin" w:hAnsi="IRNazanin" w:eastAsia="IRNazanin" w:cs="IRNazanin"/>
          <w:lang w:bidi="fa-IR"/>
          <w:color w:val="111111"/>
          <w:sz w:val="28"/>
          <w:szCs w:val="28"/>
          <w:rtl/>
        </w:rPr>
        <w:t xml:space="preserve">ج 4، ص 723.</w:t>
      </w:r>
    </w:p>
    <w:p>
      <w:pPr>
        <w:pStyle w:val="BookText"/>
      </w:pPr>
      <w:r>
        <w:rPr>
          <w:rFonts w:ascii="Amiri" w:hAnsi="Amiri" w:eastAsia="Amiri" w:cs="Amiri"/>
          <w:lang w:bidi="ar-SA"/>
          <w:color w:val="111111"/>
          <w:sz w:val="28"/>
          <w:szCs w:val="28"/>
          <w:rtl/>
        </w:rPr>
        <w:t xml:space="preserve">23 .تهذيب التهذيب = مختصر تهذيب الكمال في أسماء الرجال ج 5، ص 111.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الخصال المكفرة للذنوب المقدمة و</w:t>
      </w:r>
    </w:p>
    <w:p>
      <w:pPr>
        <w:pStyle w:val="BookText"/>
      </w:pPr>
      <w:r>
        <w:rPr>
          <w:rFonts w:ascii="Amiri" w:hAnsi="Amiri" w:eastAsia="Amiri" w:cs="Amiri"/>
          <w:lang w:bidi="ar-SA"/>
          <w:color w:val="111111"/>
          <w:sz w:val="28"/>
          <w:szCs w:val="28"/>
          <w:rtl/>
        </w:rPr>
        <w:t xml:space="preserve">المؤخرة = معرفة الخصال المكفرة للذنوب المقدمة و المؤخرة، ج 7،</w:t>
      </w:r>
    </w:p>
    <w:p>
      <w:pPr>
        <w:pStyle w:val="BookText"/>
      </w:pPr>
      <w:r>
        <w:rPr>
          <w:rFonts w:ascii="IRNazanin" w:hAnsi="IRNazanin" w:eastAsia="IRNazanin" w:cs="IRNazanin"/>
          <w:lang w:bidi="fa-IR"/>
          <w:color w:val="111111"/>
          <w:sz w:val="28"/>
          <w:szCs w:val="28"/>
          <w:rtl/>
        </w:rPr>
        <w:t xml:space="preserve">ص 40.</w:t>
      </w:r>
    </w:p>
    <w:p>
      <w:pPr>
        <w:pStyle w:val="BookText"/>
      </w:pPr>
      <w:r>
        <w:rPr>
          <w:rFonts w:ascii="Amiri" w:hAnsi="Amiri" w:eastAsia="Amiri" w:cs="Amiri"/>
          <w:lang w:bidi="ar-SA"/>
          <w:color w:val="111111"/>
          <w:sz w:val="28"/>
          <w:szCs w:val="28"/>
          <w:rtl/>
        </w:rPr>
        <w:t xml:space="preserve">25 .الدرر الكامنة في اعيان المائة</w:t>
      </w:r>
    </w:p>
    <w:p>
      <w:pPr>
        <w:pStyle w:val="BookText"/>
      </w:pPr>
      <w:r>
        <w:rPr>
          <w:rFonts w:ascii="Amiri" w:hAnsi="Amiri" w:eastAsia="Amiri" w:cs="Amiri"/>
          <w:lang w:bidi="ar-SA"/>
          <w:color w:val="111111"/>
          <w:sz w:val="28"/>
          <w:szCs w:val="28"/>
          <w:rtl/>
        </w:rPr>
        <w:t xml:space="preserve">الثامنة، ج 7، ص307</w:t>
      </w:r>
    </w:p>
    <w:p>
      <w:pPr>
        <w:pStyle w:val="BookText"/>
      </w:pPr>
      <w:r>
        <w:rPr>
          <w:rFonts w:ascii="Amiri" w:hAnsi="Amiri" w:eastAsia="Amiri" w:cs="Amiri"/>
          <w:lang w:bidi="ar-SA"/>
          <w:color w:val="111111"/>
          <w:sz w:val="28"/>
          <w:szCs w:val="28"/>
          <w:rtl/>
        </w:rPr>
        <w:t xml:space="preserve">26 .ديوان ابن حجر العسقلاني، ج7،</w:t>
      </w:r>
    </w:p>
    <w:p>
      <w:pPr>
        <w:pStyle w:val="BookText"/>
      </w:pPr>
      <w:r>
        <w:rPr>
          <w:rFonts w:ascii="IRNazanin" w:hAnsi="IRNazanin" w:eastAsia="IRNazanin" w:cs="IRNazanin"/>
          <w:lang w:bidi="fa-IR"/>
          <w:color w:val="111111"/>
          <w:sz w:val="28"/>
          <w:szCs w:val="28"/>
          <w:rtl/>
        </w:rPr>
        <w:t xml:space="preserve">ص 514.</w:t>
      </w:r>
    </w:p>
    <w:p>
      <w:pPr>
        <w:pStyle w:val="BookText"/>
      </w:pPr>
      <w:r>
        <w:rPr>
          <w:rFonts w:ascii="Amiri" w:hAnsi="Amiri" w:eastAsia="Amiri" w:cs="Amiri"/>
          <w:lang w:bidi="ar-SA"/>
          <w:color w:val="111111"/>
          <w:sz w:val="28"/>
          <w:szCs w:val="28"/>
          <w:rtl/>
        </w:rPr>
        <w:t xml:space="preserve">27 .رياض الأزهار في جلاء الأبصار</w:t>
      </w:r>
    </w:p>
    <w:p>
      <w:pPr>
        <w:pStyle w:val="BookText"/>
      </w:pPr>
      <w:r>
        <w:rPr>
          <w:rFonts w:ascii="IRNazanin" w:hAnsi="IRNazanin" w:eastAsia="IRNazanin" w:cs="IRNazanin"/>
          <w:lang w:bidi="fa-IR"/>
          <w:color w:val="111111"/>
          <w:sz w:val="28"/>
          <w:szCs w:val="28"/>
          <w:rtl/>
        </w:rPr>
        <w:t xml:space="preserve">ج8، ص 478.</w:t>
      </w:r>
    </w:p>
    <w:p>
      <w:pPr>
        <w:pStyle w:val="BookText"/>
      </w:pPr>
      <w:r>
        <w:rPr>
          <w:rFonts w:ascii="Amiri" w:hAnsi="Amiri" w:eastAsia="Amiri" w:cs="Amiri"/>
          <w:lang w:bidi="ar-SA"/>
          <w:color w:val="111111"/>
          <w:sz w:val="28"/>
          <w:szCs w:val="28"/>
          <w:rtl/>
        </w:rPr>
        <w:t xml:space="preserve">28 .شرح الحصن الحصين من كلام</w:t>
      </w:r>
    </w:p>
    <w:p>
      <w:pPr>
        <w:pStyle w:val="BookText"/>
      </w:pPr>
      <w:r>
        <w:rPr>
          <w:rFonts w:ascii="Amiri" w:hAnsi="Amiri" w:eastAsia="Amiri" w:cs="Amiri"/>
          <w:lang w:bidi="ar-SA"/>
          <w:color w:val="111111"/>
          <w:sz w:val="28"/>
          <w:szCs w:val="28"/>
          <w:rtl/>
        </w:rPr>
        <w:t xml:space="preserve">ابن حجة - ابن حجر عسقلاني</w:t>
      </w:r>
    </w:p>
    <w:p>
      <w:pPr>
        <w:pStyle w:val="BookText"/>
      </w:pPr>
      <w:r>
        <w:rPr>
          <w:rFonts w:ascii="Amiri" w:hAnsi="Amiri" w:eastAsia="Amiri" w:cs="Amiri"/>
          <w:lang w:bidi="ar-SA"/>
          <w:color w:val="111111"/>
          <w:sz w:val="28"/>
          <w:szCs w:val="28"/>
          <w:rtl/>
        </w:rPr>
        <w:t xml:space="preserve">سيد المرسلين للجزري، ج9،</w:t>
      </w:r>
    </w:p>
    <w:p>
      <w:pPr>
        <w:pStyle w:val="BookText"/>
      </w:pPr>
      <w:r>
        <w:rPr>
          <w:rFonts w:ascii="IRNazanin" w:hAnsi="IRNazanin" w:eastAsia="IRNazanin" w:cs="IRNazanin"/>
          <w:lang w:bidi="fa-IR"/>
          <w:color w:val="111111"/>
          <w:sz w:val="28"/>
          <w:szCs w:val="28"/>
          <w:rtl/>
        </w:rPr>
        <w:t xml:space="preserve">ص 413.</w:t>
      </w:r>
    </w:p>
    <w:p>
      <w:pPr>
        <w:pStyle w:val="BookText"/>
      </w:pPr>
      <w:r>
        <w:rPr>
          <w:rFonts w:ascii="IRNazanin" w:hAnsi="IRNazanin" w:eastAsia="IRNazanin" w:cs="IRNazanin"/>
          <w:lang w:bidi="fa-IR"/>
          <w:color w:val="111111"/>
          <w:sz w:val="28"/>
          <w:szCs w:val="28"/>
          <w:rtl/>
        </w:rPr>
        <w:t xml:space="preserve">29 .غراس الاساس = مختصر اساس</w:t>
      </w:r>
    </w:p>
    <w:p>
      <w:pPr>
        <w:pStyle w:val="BookText"/>
      </w:pPr>
      <w:r>
        <w:rPr>
          <w:rFonts w:ascii="Amiri" w:hAnsi="Amiri" w:eastAsia="Amiri" w:cs="Amiri"/>
          <w:lang w:bidi="ar-SA"/>
          <w:color w:val="111111"/>
          <w:sz w:val="28"/>
          <w:szCs w:val="28"/>
          <w:rtl/>
        </w:rPr>
        <w:t xml:space="preserve">البلاغة، ج 11، ص 469.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فتح الباري في شرح صحيح</w:t>
      </w:r>
    </w:p>
    <w:p>
      <w:pPr>
        <w:pStyle w:val="BookText"/>
      </w:pPr>
      <w:r>
        <w:rPr>
          <w:rFonts w:ascii="Amiri" w:hAnsi="Amiri" w:eastAsia="Amiri" w:cs="Amiri"/>
          <w:lang w:bidi="ar-SA"/>
          <w:color w:val="111111"/>
          <w:sz w:val="28"/>
          <w:szCs w:val="28"/>
          <w:rtl/>
        </w:rPr>
        <w:t xml:space="preserve">البخاري، ج 11، ص 635.</w:t>
      </w:r>
    </w:p>
    <w:p>
      <w:pPr>
        <w:pStyle w:val="BookText"/>
      </w:pPr>
      <w:r>
        <w:rPr>
          <w:rFonts w:ascii="Amiri" w:hAnsi="Amiri" w:eastAsia="Amiri" w:cs="Amiri"/>
          <w:lang w:bidi="ar-SA"/>
          <w:color w:val="111111"/>
          <w:sz w:val="28"/>
          <w:szCs w:val="28"/>
          <w:rtl/>
        </w:rPr>
        <w:t xml:space="preserve">31 .القول المسدد في الذب عن مسند</w:t>
      </w:r>
    </w:p>
    <w:p>
      <w:pPr>
        <w:pStyle w:val="BookText"/>
      </w:pPr>
      <w:r>
        <w:rPr>
          <w:rFonts w:ascii="IRNazanin" w:hAnsi="IRNazanin" w:eastAsia="IRNazanin" w:cs="IRNazanin"/>
          <w:lang w:bidi="fa-IR"/>
          <w:color w:val="111111"/>
          <w:sz w:val="28"/>
          <w:szCs w:val="28"/>
          <w:rtl/>
        </w:rPr>
        <w:t xml:space="preserve">الإمام أحمد، ج 12، ص 863.</w:t>
      </w:r>
    </w:p>
    <w:p>
      <w:pPr>
        <w:pStyle w:val="BookText"/>
      </w:pPr>
      <w:r>
        <w:rPr>
          <w:rFonts w:ascii="Amiri" w:hAnsi="Amiri" w:eastAsia="Amiri" w:cs="Amiri"/>
          <w:lang w:bidi="ar-SA"/>
          <w:color w:val="111111"/>
          <w:sz w:val="28"/>
          <w:szCs w:val="28"/>
          <w:rtl/>
        </w:rPr>
        <w:t xml:space="preserve">32 .لسان الميزان، ج 13، ص 573.</w:t>
      </w:r>
    </w:p>
    <w:p>
      <w:pPr>
        <w:pStyle w:val="BookText"/>
      </w:pPr>
      <w:r>
        <w:rPr>
          <w:rFonts w:ascii="Amiri" w:hAnsi="Amiri" w:eastAsia="Amiri" w:cs="Amiri"/>
          <w:lang w:bidi="ar-SA"/>
          <w:color w:val="111111"/>
          <w:sz w:val="28"/>
          <w:szCs w:val="28"/>
          <w:rtl/>
        </w:rPr>
        <w:t xml:space="preserve">33 .المطالب العالية بزوائد المسانيد</w:t>
      </w:r>
    </w:p>
    <w:p>
      <w:pPr>
        <w:pStyle w:val="BookText"/>
      </w:pPr>
      <w:r>
        <w:rPr>
          <w:rFonts w:ascii="Amiri" w:hAnsi="Amiri" w:eastAsia="Amiri" w:cs="Amiri"/>
          <w:lang w:bidi="ar-SA"/>
          <w:color w:val="111111"/>
          <w:sz w:val="28"/>
          <w:szCs w:val="28"/>
          <w:rtl/>
        </w:rPr>
        <w:t xml:space="preserve">الثمانية، ج 14، ص 762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المعجم المفهرس = المقاصد العلية في فهرست المرويات = تجريد أسانيد الكتب المشهورة و أجزاء</w:t>
      </w:r>
    </w:p>
    <w:p>
      <w:pPr>
        <w:pStyle w:val="BookText"/>
      </w:pPr>
      <w:r>
        <w:rPr>
          <w:rFonts w:ascii="Amiri" w:hAnsi="Amiri" w:eastAsia="Amiri" w:cs="Amiri"/>
          <w:lang w:bidi="ar-SA"/>
          <w:color w:val="111111"/>
          <w:sz w:val="28"/>
          <w:szCs w:val="28"/>
          <w:rtl/>
        </w:rPr>
        <w:t xml:space="preserve">المنثورة، ج 15، ص 23.</w:t>
      </w:r>
    </w:p>
    <w:p>
      <w:pPr>
        <w:pStyle w:val="BookText"/>
      </w:pPr>
      <w:r>
        <w:rPr>
          <w:rFonts w:ascii="Amiri" w:hAnsi="Amiri" w:eastAsia="Amiri" w:cs="Amiri"/>
          <w:lang w:bidi="ar-SA"/>
          <w:color w:val="111111"/>
          <w:sz w:val="28"/>
          <w:szCs w:val="28"/>
          <w:rtl/>
        </w:rPr>
        <w:t xml:space="preserve">35.المنبهات على الاستعداد ليوم</w:t>
      </w:r>
    </w:p>
    <w:p>
      <w:pPr>
        <w:pStyle w:val="BookText"/>
      </w:pPr>
      <w:r>
        <w:rPr>
          <w:rFonts w:ascii="IRNazanin" w:hAnsi="IRNazanin" w:eastAsia="IRNazanin" w:cs="IRNazanin"/>
          <w:lang w:bidi="fa-IR"/>
          <w:color w:val="111111"/>
          <w:sz w:val="28"/>
          <w:szCs w:val="28"/>
          <w:rtl/>
        </w:rPr>
        <w:t xml:space="preserve">المعاد، ج 15، ص 590.</w:t>
      </w:r>
    </w:p>
    <w:p>
      <w:pPr>
        <w:pStyle w:val="BookText"/>
      </w:pPr>
      <w:r>
        <w:rPr>
          <w:rFonts w:ascii="Amiri" w:hAnsi="Amiri" w:eastAsia="Amiri" w:cs="Amiri"/>
          <w:lang w:bidi="ar-SA"/>
          <w:color w:val="111111"/>
          <w:sz w:val="28"/>
          <w:szCs w:val="28"/>
          <w:rtl/>
        </w:rPr>
        <w:t xml:space="preserve">36 .المهدي( رسالة في)، ج 15 ، ص 842.</w:t>
      </w:r>
    </w:p>
    <w:p>
      <w:pPr>
        <w:pStyle w:val="BookText"/>
      </w:pPr>
      <w:r>
        <w:rPr>
          <w:rFonts w:ascii="IRNazanin" w:hAnsi="IRNazanin" w:eastAsia="IRNazanin" w:cs="IRNazanin"/>
          <w:lang w:bidi="fa-IR"/>
          <w:color w:val="111111"/>
          <w:sz w:val="28"/>
          <w:szCs w:val="28"/>
          <w:rtl/>
        </w:rPr>
        <w:t xml:space="preserve">37 .مولد النبي (صلی الله علیه و آله وسلم)، ج 16 ، ص 48 .</w:t>
      </w:r>
    </w:p>
    <w:p>
      <w:pPr>
        <w:pStyle w:val="BookText"/>
      </w:pPr>
      <w:r>
        <w:rPr>
          <w:rFonts w:ascii="Amiri" w:hAnsi="Amiri" w:eastAsia="Amiri" w:cs="Amiri"/>
          <w:lang w:bidi="ar-SA"/>
          <w:color w:val="111111"/>
          <w:sz w:val="28"/>
          <w:szCs w:val="28"/>
          <w:rtl/>
        </w:rPr>
        <w:t xml:space="preserve">38 .نخبة الفكر في مصطلح اهل الاثر</w:t>
      </w:r>
    </w:p>
    <w:p>
      <w:pPr>
        <w:pStyle w:val="BookText"/>
      </w:pPr>
      <w:r>
        <w:rPr>
          <w:rFonts w:ascii="IRNazanin" w:hAnsi="IRNazanin" w:eastAsia="IRNazanin" w:cs="IRNazanin"/>
          <w:lang w:bidi="fa-IR"/>
          <w:color w:val="111111"/>
          <w:sz w:val="28"/>
          <w:szCs w:val="28"/>
          <w:rtl/>
        </w:rPr>
        <w:t xml:space="preserve">ج 16 ، ص 201.</w:t>
      </w:r>
    </w:p>
    <w:p>
      <w:pPr>
        <w:pStyle w:val="BookText"/>
      </w:pPr>
      <w:r>
        <w:rPr>
          <w:rFonts w:ascii="Amiri" w:hAnsi="Amiri" w:eastAsia="Amiri" w:cs="Amiri"/>
          <w:lang w:bidi="ar-SA"/>
          <w:color w:val="111111"/>
          <w:sz w:val="28"/>
          <w:szCs w:val="28"/>
          <w:rtl/>
        </w:rPr>
        <w:t xml:space="preserve">39 .نزهة الالباب في معرفة الالقاب</w:t>
      </w:r>
    </w:p>
    <w:p>
      <w:pPr>
        <w:pStyle w:val="BookText"/>
      </w:pPr>
      <w:r>
        <w:rPr>
          <w:rFonts w:ascii="IRNazanin" w:hAnsi="IRNazanin" w:eastAsia="IRNazanin" w:cs="IRNazanin"/>
          <w:lang w:bidi="fa-IR"/>
          <w:color w:val="111111"/>
          <w:sz w:val="28"/>
          <w:szCs w:val="28"/>
          <w:rtl/>
        </w:rPr>
        <w:t xml:space="preserve">ج 16، ص 224.</w:t>
      </w:r>
    </w:p>
    <w:p>
      <w:pPr>
        <w:pStyle w:val="BookText"/>
      </w:pPr>
      <w:r>
        <w:rPr>
          <w:rFonts w:ascii="Amiri" w:hAnsi="Amiri" w:eastAsia="Amiri" w:cs="Amiri"/>
          <w:lang w:bidi="ar-SA"/>
          <w:color w:val="111111"/>
          <w:sz w:val="28"/>
          <w:szCs w:val="28"/>
          <w:rtl/>
        </w:rPr>
        <w:t xml:space="preserve">40 .نزهة النظر في توضيح نخبة الفكر - شرح نخبة الفكر في مصطلح اهل الاثر، ج 16 ، ص 251.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نظم، ج 16، ص 326.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هداية الرواة إلى تخريج أحاديث المصابيح والمشكاة، ج 16 ، ص 609.</w:t>
      </w:r>
    </w:p>
    <w:p>
      <w:pPr>
        <w:pStyle w:val="BookText"/>
      </w:pPr>
      <w:r>
        <w:rPr>
          <w:rFonts w:ascii="Amiri" w:hAnsi="Amiri" w:eastAsia="Amiri" w:cs="Amiri"/>
          <w:lang w:bidi="ar-SA"/>
          <w:color w:val="111111"/>
          <w:sz w:val="28"/>
          <w:szCs w:val="28"/>
          <w:rtl/>
        </w:rPr>
        <w:t xml:space="preserve">43 .هدي الساري لمقدمة فتح الباري</w:t>
      </w:r>
    </w:p>
    <w:p>
      <w:pPr>
        <w:pStyle w:val="BookText"/>
      </w:pPr>
      <w:r>
        <w:rPr>
          <w:rFonts w:ascii="Amiri" w:hAnsi="Amiri" w:eastAsia="Amiri" w:cs="Amiri"/>
          <w:lang w:bidi="ar-SA"/>
          <w:color w:val="111111"/>
          <w:sz w:val="28"/>
          <w:szCs w:val="28"/>
          <w:rtl/>
        </w:rPr>
        <w:t xml:space="preserve">فتح الباري، ج 16 ، ص 645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5" w:name="pg7742_69451"/>
    <w:bookmarkEnd w:id="55"/>
    <w:p>
      <w:pPr>
        <w:pStyle w:val="Heading2"/>
      </w:pPr>
      <w:bookmarkStart w:id="1225" w:name="_Toc327"/>
      <w:r>
        <w:t>ابن حجر هيثمي ، احمد بن محمّد، 909</w:t>
      </w:r>
      <w:bookmarkEnd w:id="12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973؟ ه-</w:t>
      </w:r>
    </w:p>
    <w:p>
      <w:pPr>
        <w:pStyle w:val="BookText"/>
      </w:pPr>
      <w:r>
        <w:rPr>
          <w:rFonts w:ascii="Amiri" w:hAnsi="Amiri" w:eastAsia="Amiri" w:cs="Amiri"/>
          <w:lang w:bidi="ar-SA"/>
          <w:color w:val="111111"/>
          <w:sz w:val="28"/>
          <w:szCs w:val="28"/>
          <w:rtl/>
        </w:rPr>
        <w:t xml:space="preserve">1 .اتحاف اهل الاسلام بخصوصيات</w:t>
      </w:r>
    </w:p>
    <w:p>
      <w:pPr>
        <w:pStyle w:val="BookText"/>
      </w:pPr>
      <w:r>
        <w:rPr>
          <w:rFonts w:ascii="Amiri" w:hAnsi="Amiri" w:eastAsia="Amiri" w:cs="Amiri"/>
          <w:lang w:bidi="ar-SA"/>
          <w:color w:val="111111"/>
          <w:sz w:val="28"/>
          <w:szCs w:val="28"/>
          <w:rtl/>
        </w:rPr>
        <w:t xml:space="preserve">الصيام، ج 1، ص 126 .</w:t>
      </w:r>
    </w:p>
    <w:p>
      <w:pPr>
        <w:pStyle w:val="BookText"/>
      </w:pPr>
      <w:r>
        <w:rPr>
          <w:rFonts w:ascii="Amiri" w:hAnsi="Amiri" w:eastAsia="Amiri" w:cs="Amiri"/>
          <w:lang w:bidi="ar-SA"/>
          <w:color w:val="111111"/>
          <w:sz w:val="28"/>
          <w:szCs w:val="28"/>
          <w:rtl/>
        </w:rPr>
        <w:t xml:space="preserve">2 .الاجازة = الاجازة البالغة = ثبت الشيخ ابن حجر المكي و أسانيده و</w:t>
      </w:r>
    </w:p>
    <w:p>
      <w:pPr>
        <w:pStyle w:val="BookText"/>
      </w:pPr>
      <w:r>
        <w:rPr>
          <w:rFonts w:ascii="IRNazanin" w:hAnsi="IRNazanin" w:eastAsia="IRNazanin" w:cs="IRNazanin"/>
          <w:lang w:bidi="fa-IR"/>
          <w:color w:val="111111"/>
          <w:sz w:val="28"/>
          <w:szCs w:val="28"/>
          <w:rtl/>
        </w:rPr>
        <w:t xml:space="preserve">مسلسلاته له، ج1، ص208.</w:t>
      </w:r>
    </w:p>
    <w:p>
      <w:pPr>
        <w:pStyle w:val="BookText"/>
      </w:pPr>
      <w:r>
        <w:rPr>
          <w:rFonts w:ascii="Amiri" w:hAnsi="Amiri" w:eastAsia="Amiri" w:cs="Amiri"/>
          <w:lang w:bidi="ar-SA"/>
          <w:color w:val="111111"/>
          <w:sz w:val="28"/>
          <w:szCs w:val="28"/>
          <w:rtl/>
        </w:rPr>
        <w:t xml:space="preserve">3.احاديث تتعلق بآخر الزمان، ج1،</w:t>
      </w:r>
    </w:p>
    <w:p>
      <w:pPr>
        <w:pStyle w:val="BookText"/>
      </w:pPr>
      <w:r>
        <w:rPr>
          <w:rFonts w:ascii="IRNazanin" w:hAnsi="IRNazanin" w:eastAsia="IRNazanin" w:cs="IRNazanin"/>
          <w:lang w:bidi="fa-IR"/>
          <w:color w:val="111111"/>
          <w:sz w:val="28"/>
          <w:szCs w:val="28"/>
          <w:rtl/>
        </w:rPr>
        <w:t xml:space="preserve">ص 407 .</w:t>
      </w:r>
    </w:p>
    <w:p>
      <w:pPr>
        <w:pStyle w:val="BookText"/>
      </w:pPr>
      <w:r>
        <w:rPr>
          <w:rFonts w:ascii="Amiri" w:hAnsi="Amiri" w:eastAsia="Amiri" w:cs="Amiri"/>
          <w:lang w:bidi="ar-SA"/>
          <w:color w:val="111111"/>
          <w:sz w:val="28"/>
          <w:szCs w:val="28"/>
          <w:rtl/>
        </w:rPr>
        <w:t xml:space="preserve">4 .الاربعون حديثا، ج 1، ص 697.</w:t>
      </w:r>
    </w:p>
    <w:p>
      <w:pPr>
        <w:pStyle w:val="BookText"/>
      </w:pPr>
      <w:r>
        <w:rPr>
          <w:rFonts w:ascii="Amiri" w:hAnsi="Amiri" w:eastAsia="Amiri" w:cs="Amiri"/>
          <w:lang w:bidi="ar-SA"/>
          <w:color w:val="111111"/>
          <w:sz w:val="28"/>
          <w:szCs w:val="28"/>
          <w:rtl/>
        </w:rPr>
        <w:t xml:space="preserve">5 .اسئلة و اجوبة، ج2، ص91</w:t>
      </w:r>
    </w:p>
    <w:p>
      <w:pPr>
        <w:pStyle w:val="BookText"/>
      </w:pPr>
      <w:r>
        <w:rPr>
          <w:rFonts w:ascii="Amiri" w:hAnsi="Amiri" w:eastAsia="Amiri" w:cs="Amiri"/>
          <w:lang w:bidi="ar-SA"/>
          <w:color w:val="111111"/>
          <w:sz w:val="28"/>
          <w:szCs w:val="28"/>
          <w:rtl/>
        </w:rPr>
        <w:t xml:space="preserve">6 .اسعاف الابرار شرح مشكاة الانوار</w:t>
      </w:r>
    </w:p>
    <w:p>
      <w:pPr>
        <w:pStyle w:val="BookText"/>
      </w:pPr>
      <w:r>
        <w:rPr>
          <w:rFonts w:ascii="IRNazanin" w:hAnsi="IRNazanin" w:eastAsia="IRNazanin" w:cs="IRNazanin"/>
          <w:lang w:bidi="fa-IR"/>
          <w:color w:val="111111"/>
          <w:sz w:val="28"/>
          <w:szCs w:val="28"/>
          <w:rtl/>
        </w:rPr>
        <w:t xml:space="preserve">ج 2، ص198.</w:t>
      </w:r>
    </w:p>
    <w:p>
      <w:pPr>
        <w:pStyle w:val="BookText"/>
      </w:pPr>
      <w:r>
        <w:rPr>
          <w:rFonts w:ascii="Amiri" w:hAnsi="Amiri" w:eastAsia="Amiri" w:cs="Amiri"/>
          <w:lang w:bidi="ar-SA"/>
          <w:color w:val="111111"/>
          <w:sz w:val="28"/>
          <w:szCs w:val="28"/>
          <w:rtl/>
        </w:rPr>
        <w:t xml:space="preserve">7 .أسنى المطالب في صلة الاقارب، ج 2،</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IRNazanin" w:hAnsi="IRNazanin" w:eastAsia="IRNazanin" w:cs="IRNazanin"/>
          <w:lang w:bidi="fa-IR"/>
          <w:color w:val="111111"/>
          <w:sz w:val="28"/>
          <w:szCs w:val="28"/>
          <w:rtl/>
        </w:rPr>
        <w:t xml:space="preserve">8 .اشرف الوسائل إلى فهم الشمائل</w:t>
      </w:r>
    </w:p>
    <w:p>
      <w:pPr>
        <w:pStyle w:val="BookText"/>
      </w:pPr>
      <w:r>
        <w:rPr>
          <w:rFonts w:ascii="IRNazanin" w:hAnsi="IRNazanin" w:eastAsia="IRNazanin" w:cs="IRNazanin"/>
          <w:lang w:bidi="fa-IR"/>
          <w:color w:val="111111"/>
          <w:sz w:val="28"/>
          <w:szCs w:val="28"/>
          <w:rtl/>
        </w:rPr>
        <w:t xml:space="preserve">ج 2، ص283.</w:t>
      </w:r>
    </w:p>
    <w:p>
      <w:pPr>
        <w:pStyle w:val="BookText"/>
      </w:pPr>
      <w:r>
        <w:rPr>
          <w:rFonts w:ascii="IRNazanin" w:hAnsi="IRNazanin" w:eastAsia="IRNazanin" w:cs="IRNazanin"/>
          <w:lang w:bidi="fa-IR"/>
          <w:color w:val="111111"/>
          <w:sz w:val="28"/>
          <w:szCs w:val="28"/>
          <w:rtl/>
        </w:rPr>
        <w:t xml:space="preserve">9 .الاعلام بقواطع الاسلام، ج 2، ص 556.</w:t>
      </w:r>
    </w:p>
    <w:p>
      <w:pPr>
        <w:pStyle w:val="BookText"/>
      </w:pPr>
      <w:r>
        <w:rPr>
          <w:rFonts w:ascii="Amiri" w:hAnsi="Amiri" w:eastAsia="Amiri" w:cs="Amiri"/>
          <w:lang w:bidi="ar-SA"/>
          <w:color w:val="111111"/>
          <w:sz w:val="28"/>
          <w:szCs w:val="28"/>
          <w:rtl/>
        </w:rPr>
        <w:t xml:space="preserve">10 .الامداد في شرح الارشاد، ج2،</w:t>
      </w:r>
    </w:p>
    <w:p>
      <w:pPr>
        <w:pStyle w:val="BookText"/>
      </w:pPr>
      <w:r>
        <w:rPr>
          <w:rFonts w:ascii="IRNazanin" w:hAnsi="IRNazanin" w:eastAsia="IRNazanin" w:cs="IRNazanin"/>
          <w:lang w:bidi="fa-IR"/>
          <w:color w:val="111111"/>
          <w:sz w:val="28"/>
          <w:szCs w:val="28"/>
          <w:rtl/>
        </w:rPr>
        <w:t xml:space="preserve">ص 756 .</w:t>
      </w:r>
    </w:p>
    <w:p>
      <w:pPr>
        <w:pStyle w:val="BookText"/>
      </w:pPr>
      <w:r>
        <w:rPr>
          <w:rFonts w:ascii="Amiri" w:hAnsi="Amiri" w:eastAsia="Amiri" w:cs="Amiri"/>
          <w:lang w:bidi="ar-SA"/>
          <w:color w:val="111111"/>
          <w:sz w:val="28"/>
          <w:szCs w:val="28"/>
          <w:rtl/>
        </w:rPr>
        <w:t xml:space="preserve">11 .الانتباه لتحقيق عويص مسائل</w:t>
      </w:r>
    </w:p>
    <w:p>
      <w:pPr>
        <w:pStyle w:val="BookText"/>
      </w:pPr>
      <w:r>
        <w:rPr>
          <w:rFonts w:ascii="Amiri" w:hAnsi="Amiri" w:eastAsia="Amiri" w:cs="Amiri"/>
          <w:lang w:bidi="ar-SA"/>
          <w:color w:val="111111"/>
          <w:sz w:val="28"/>
          <w:szCs w:val="28"/>
          <w:rtl/>
        </w:rPr>
        <w:t xml:space="preserve">الاكراه، ج 2، ص 780.</w:t>
      </w:r>
    </w:p>
    <w:p>
      <w:pPr>
        <w:pStyle w:val="BookText"/>
      </w:pPr>
      <w:r>
        <w:rPr>
          <w:rFonts w:ascii="Amiri" w:hAnsi="Amiri" w:eastAsia="Amiri" w:cs="Amiri"/>
          <w:lang w:bidi="ar-SA"/>
          <w:color w:val="111111"/>
          <w:sz w:val="28"/>
          <w:szCs w:val="28"/>
          <w:rtl/>
        </w:rPr>
        <w:t xml:space="preserve">12 .الانشاد والدق و الطرب (رسالة</w:t>
      </w:r>
    </w:p>
    <w:p>
      <w:pPr>
        <w:pStyle w:val="BookText"/>
      </w:pPr>
      <w:r>
        <w:rPr>
          <w:rFonts w:ascii="Amiri" w:hAnsi="Amiri" w:eastAsia="Amiri" w:cs="Amiri"/>
          <w:lang w:bidi="ar-SA"/>
          <w:color w:val="111111"/>
          <w:sz w:val="28"/>
          <w:szCs w:val="28"/>
          <w:rtl/>
        </w:rPr>
        <w:t xml:space="preserve">في)، ج 2، ص 815.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الايعاب في شرح العباب، ج3،</w:t>
      </w:r>
    </w:p>
    <w:p>
      <w:pPr>
        <w:pStyle w:val="BookText"/>
      </w:pPr>
      <w:r>
        <w:rPr>
          <w:rFonts w:ascii="IRNazanin" w:hAnsi="IRNazanin" w:eastAsia="IRNazanin" w:cs="IRNazanin"/>
          <w:lang w:bidi="fa-IR"/>
          <w:color w:val="111111"/>
          <w:sz w:val="28"/>
          <w:szCs w:val="28"/>
          <w:rtl/>
        </w:rPr>
        <w:t xml:space="preserve">ص 142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الخلفاء الراشدين، ج3،</w:t>
      </w:r>
    </w:p>
    <w:p>
      <w:pPr>
        <w:pStyle w:val="BookText"/>
      </w:pPr>
      <w:r>
        <w:rPr>
          <w:rFonts w:ascii="IRNazanin" w:hAnsi="IRNazanin" w:eastAsia="IRNazanin" w:cs="IRNazanin"/>
          <w:lang w:bidi="fa-IR"/>
          <w:color w:val="111111"/>
          <w:sz w:val="28"/>
          <w:szCs w:val="28"/>
          <w:rtl/>
        </w:rPr>
        <w:t xml:space="preserve">ص 570 .</w:t>
      </w:r>
    </w:p>
    <w:p>
      <w:pPr>
        <w:pStyle w:val="BookText"/>
      </w:pPr>
      <w:r>
        <w:rPr>
          <w:rFonts w:ascii="Amiri" w:hAnsi="Amiri" w:eastAsia="Amiri" w:cs="Amiri"/>
          <w:lang w:bidi="ar-SA"/>
          <w:color w:val="111111"/>
          <w:sz w:val="28"/>
          <w:szCs w:val="28"/>
          <w:rtl/>
        </w:rPr>
        <w:t xml:space="preserve">15 .تحرير المقال في آداب و احكام يحتاج اليها مؤدبوا الاطفال، ج3،</w:t>
      </w:r>
    </w:p>
    <w:p>
      <w:pPr>
        <w:pStyle w:val="BookText"/>
      </w:pPr>
      <w:r>
        <w:rPr>
          <w:rFonts w:ascii="IRNazanin" w:hAnsi="IRNazanin" w:eastAsia="IRNazanin" w:cs="IRNazanin"/>
          <w:lang w:bidi="fa-IR"/>
          <w:color w:val="111111"/>
          <w:sz w:val="28"/>
          <w:szCs w:val="28"/>
          <w:rtl/>
        </w:rPr>
        <w:t xml:space="preserve">ص 757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تحفة المحتاج لشرح المنهاج، جع،</w:t>
      </w:r>
    </w:p>
    <w:p>
      <w:pPr>
        <w:pStyle w:val="BookText"/>
      </w:pPr>
      <w:r>
        <w:rPr>
          <w:rFonts w:ascii="IRNazanin" w:hAnsi="IRNazanin" w:eastAsia="IRNazanin" w:cs="IRNazanin"/>
          <w:lang w:bidi="fa-IR"/>
          <w:color w:val="111111"/>
          <w:sz w:val="28"/>
          <w:szCs w:val="28"/>
          <w:rtl/>
        </w:rPr>
        <w:t xml:space="preserve">ص 12 .</w:t>
      </w:r>
    </w:p>
    <w:p>
      <w:pPr>
        <w:pStyle w:val="BookText"/>
      </w:pPr>
      <w:r>
        <w:rPr>
          <w:rFonts w:ascii="Amiri" w:hAnsi="Amiri" w:eastAsia="Amiri" w:cs="Amiri"/>
          <w:lang w:bidi="ar-SA"/>
          <w:color w:val="111111"/>
          <w:sz w:val="28"/>
          <w:szCs w:val="28"/>
          <w:rtl/>
        </w:rPr>
        <w:t xml:space="preserve">17 .ترجمة الامام البخاري محمّد بن اسماعيل (رسالة في)، ج 4، ص 261 .</w:t>
      </w:r>
    </w:p>
    <w:p>
      <w:pPr>
        <w:pStyle w:val="BookText"/>
      </w:pPr>
      <w:r>
        <w:rPr>
          <w:rFonts w:ascii="Amiri" w:hAnsi="Amiri" w:eastAsia="Amiri" w:cs="Amiri"/>
          <w:lang w:bidi="ar-SA"/>
          <w:color w:val="111111"/>
          <w:sz w:val="28"/>
          <w:szCs w:val="28"/>
          <w:rtl/>
        </w:rPr>
        <w:t xml:space="preserve">18 . الترغيب في الصدقات (مختصر)</w:t>
      </w:r>
    </w:p>
    <w:p>
      <w:pPr>
        <w:pStyle w:val="BookText"/>
      </w:pPr>
      <w:r>
        <w:rPr>
          <w:rFonts w:ascii="IRNazanin" w:hAnsi="IRNazanin" w:eastAsia="IRNazanin" w:cs="IRNazanin"/>
          <w:lang w:bidi="fa-IR"/>
          <w:color w:val="111111"/>
          <w:sz w:val="28"/>
          <w:szCs w:val="28"/>
          <w:rtl/>
        </w:rPr>
        <w:t xml:space="preserve">ج 4، ص 308.</w:t>
      </w:r>
    </w:p>
    <w:p>
      <w:pPr>
        <w:pStyle w:val="BookText"/>
      </w:pPr>
      <w:r>
        <w:rPr>
          <w:rFonts w:ascii="Amiri" w:hAnsi="Amiri" w:eastAsia="Amiri" w:cs="Amiri"/>
          <w:lang w:bidi="ar-SA"/>
          <w:color w:val="111111"/>
          <w:sz w:val="28"/>
          <w:szCs w:val="28"/>
          <w:rtl/>
        </w:rPr>
        <w:t xml:space="preserve">19 .تشنيف الاسماع بحكم السماع</w:t>
      </w:r>
    </w:p>
    <w:p>
      <w:pPr>
        <w:pStyle w:val="BookText"/>
      </w:pPr>
      <w:r>
        <w:rPr>
          <w:rFonts w:ascii="IRNazanin" w:hAnsi="IRNazanin" w:eastAsia="IRNazanin" w:cs="IRNazanin"/>
          <w:lang w:bidi="fa-IR"/>
          <w:color w:val="111111"/>
          <w:sz w:val="28"/>
          <w:szCs w:val="28"/>
          <w:rtl/>
        </w:rPr>
        <w:t xml:space="preserve">ج 4، ص 394.</w:t>
      </w:r>
    </w:p>
    <w:p>
      <w:pPr>
        <w:pStyle w:val="BookText"/>
      </w:pPr>
      <w:r>
        <w:rPr>
          <w:rFonts w:ascii="Amiri" w:hAnsi="Amiri" w:eastAsia="Amiri" w:cs="Amiri"/>
          <w:lang w:bidi="ar-SA"/>
          <w:color w:val="111111"/>
          <w:sz w:val="28"/>
          <w:szCs w:val="28"/>
          <w:rtl/>
        </w:rPr>
        <w:t xml:space="preserve">20 .تطهير الجنان واللسان عن الخطور و التفوه بثلب معاوية بن</w:t>
      </w:r>
    </w:p>
    <w:p>
      <w:pPr>
        <w:pStyle w:val="BookText"/>
      </w:pPr>
      <w:r>
        <w:rPr>
          <w:rFonts w:ascii="Amiri" w:hAnsi="Amiri" w:eastAsia="Amiri" w:cs="Amiri"/>
          <w:lang w:bidi="ar-SA"/>
          <w:color w:val="111111"/>
          <w:sz w:val="28"/>
          <w:szCs w:val="28"/>
          <w:rtl/>
        </w:rPr>
        <w:t xml:space="preserve">أبي سفيان، ج4، ص 442.</w:t>
      </w:r>
    </w:p>
    <w:p>
      <w:pPr>
        <w:pStyle w:val="BookText"/>
      </w:pPr>
      <w:r>
        <w:rPr>
          <w:rFonts w:ascii="Amiri" w:hAnsi="Amiri" w:eastAsia="Amiri" w:cs="Amiri"/>
          <w:lang w:bidi="ar-SA"/>
          <w:color w:val="111111"/>
          <w:sz w:val="28"/>
          <w:szCs w:val="28"/>
          <w:rtl/>
        </w:rPr>
        <w:t xml:space="preserve">21 .التعرف في الاصلين و التصوف</w:t>
      </w:r>
    </w:p>
    <w:p>
      <w:pPr>
        <w:pStyle w:val="BookText"/>
      </w:pPr>
      <w:r>
        <w:rPr>
          <w:rFonts w:ascii="IRNazanin" w:hAnsi="IRNazanin" w:eastAsia="IRNazanin" w:cs="IRNazanin"/>
          <w:lang w:bidi="fa-IR"/>
          <w:color w:val="111111"/>
          <w:sz w:val="28"/>
          <w:szCs w:val="28"/>
          <w:rtl/>
        </w:rPr>
        <w:t xml:space="preserve">ج 4، ص 463.</w:t>
      </w:r>
    </w:p>
    <w:p>
      <w:pPr>
        <w:pStyle w:val="BookText"/>
      </w:pPr>
      <w:r>
        <w:rPr>
          <w:rFonts w:ascii="Amiri" w:hAnsi="Amiri" w:eastAsia="Amiri" w:cs="Amiri"/>
          <w:lang w:bidi="ar-SA"/>
          <w:color w:val="111111"/>
          <w:sz w:val="28"/>
          <w:szCs w:val="28"/>
          <w:rtl/>
        </w:rPr>
        <w:t xml:space="preserve">22 .تعريف أخوان الصفا بنبذ من أخبار تاريخ الخلفاء، ج 4، ص 472.</w:t>
      </w:r>
    </w:p>
    <w:p>
      <w:pPr>
        <w:pStyle w:val="BookText"/>
      </w:pPr>
      <w:r>
        <w:rPr>
          <w:rFonts w:ascii="Amiri" w:hAnsi="Amiri" w:eastAsia="Amiri" w:cs="Amiri"/>
          <w:lang w:bidi="ar-SA"/>
          <w:color w:val="111111"/>
          <w:sz w:val="28"/>
          <w:szCs w:val="28"/>
          <w:rtl/>
        </w:rPr>
        <w:t xml:space="preserve">23 .تلخيص الآراء في حكم الطلاق</w:t>
      </w:r>
    </w:p>
    <w:p>
      <w:pPr>
        <w:pStyle w:val="BookText"/>
      </w:pPr>
      <w:r>
        <w:rPr>
          <w:rFonts w:ascii="IRNazanin" w:hAnsi="IRNazanin" w:eastAsia="IRNazanin" w:cs="IRNazanin"/>
          <w:lang w:bidi="fa-IR"/>
          <w:color w:val="111111"/>
          <w:sz w:val="28"/>
          <w:szCs w:val="28"/>
          <w:rtl/>
        </w:rPr>
        <w:t xml:space="preserve">المعلق بالابراء، ج4، ص833.</w:t>
      </w:r>
    </w:p>
    <w:p>
      <w:pPr>
        <w:pStyle w:val="BookText"/>
      </w:pPr>
      <w:r>
        <w:rPr>
          <w:rFonts w:ascii="Amiri" w:hAnsi="Amiri" w:eastAsia="Amiri" w:cs="Amiri"/>
          <w:lang w:bidi="ar-SA"/>
          <w:color w:val="111111"/>
          <w:sz w:val="28"/>
          <w:szCs w:val="28"/>
          <w:rtl/>
        </w:rPr>
        <w:t xml:space="preserve">24 .تنبيه الأخبار على معضلات وقعت</w:t>
      </w:r>
    </w:p>
    <w:p>
      <w:pPr>
        <w:pStyle w:val="BookText"/>
      </w:pPr>
      <w:r>
        <w:rPr>
          <w:rFonts w:ascii="Amiri" w:hAnsi="Amiri" w:eastAsia="Amiri" w:cs="Amiri"/>
          <w:lang w:bidi="ar-SA"/>
          <w:color w:val="111111"/>
          <w:sz w:val="28"/>
          <w:szCs w:val="28"/>
          <w:rtl/>
        </w:rPr>
        <w:t xml:space="preserve">في كتاب الوظائف و الاذكار، جه،</w:t>
      </w:r>
    </w:p>
    <w:p>
      <w:pPr>
        <w:pStyle w:val="BookText"/>
      </w:pPr>
      <w:r>
        <w:rPr>
          <w:rFonts w:ascii="IRNazanin" w:hAnsi="IRNazanin" w:eastAsia="IRNazanin" w:cs="IRNazanin"/>
          <w:lang w:bidi="fa-IR"/>
          <w:color w:val="111111"/>
          <w:sz w:val="28"/>
          <w:szCs w:val="28"/>
          <w:rtl/>
        </w:rPr>
        <w:t xml:space="preserve">ص 22.</w:t>
      </w:r>
    </w:p>
    <w:p>
      <w:pPr>
        <w:pStyle w:val="BookText"/>
      </w:pPr>
      <w:r>
        <w:rPr>
          <w:rFonts w:ascii="Amiri" w:hAnsi="Amiri" w:eastAsia="Amiri" w:cs="Amiri"/>
          <w:lang w:bidi="ar-SA"/>
          <w:color w:val="111111"/>
          <w:sz w:val="28"/>
          <w:szCs w:val="28"/>
          <w:rtl/>
        </w:rPr>
        <w:t xml:space="preserve">25 .الجوهر المنظم في زيارة القبر</w:t>
      </w:r>
    </w:p>
    <w:p>
      <w:pPr>
        <w:pStyle w:val="BookText"/>
      </w:pPr>
      <w:r>
        <w:rPr>
          <w:rFonts w:ascii="Amiri" w:hAnsi="Amiri" w:eastAsia="Amiri" w:cs="Amiri"/>
          <w:lang w:bidi="ar-SA"/>
          <w:color w:val="111111"/>
          <w:sz w:val="28"/>
          <w:szCs w:val="28"/>
          <w:rtl/>
        </w:rPr>
        <w:t xml:space="preserve">المكرم، ج 5، ص 626.</w:t>
      </w:r>
    </w:p>
    <w:p>
      <w:pPr>
        <w:pStyle w:val="BookText"/>
      </w:pPr>
      <w:r>
        <w:rPr>
          <w:rFonts w:ascii="Amiri" w:hAnsi="Amiri" w:eastAsia="Amiri" w:cs="Amiri"/>
          <w:lang w:bidi="ar-SA"/>
          <w:color w:val="111111"/>
          <w:sz w:val="28"/>
          <w:szCs w:val="28"/>
          <w:rtl/>
        </w:rPr>
        <w:t xml:space="preserve">26 .حاشية تحفة المحتاج لشرح</w:t>
      </w:r>
    </w:p>
    <w:p>
      <w:pPr>
        <w:pStyle w:val="BookText"/>
      </w:pPr>
      <w:r>
        <w:rPr>
          <w:rFonts w:ascii="IRNazanin" w:hAnsi="IRNazanin" w:eastAsia="IRNazanin" w:cs="IRNazanin"/>
          <w:lang w:bidi="fa-IR"/>
          <w:color w:val="111111"/>
          <w:sz w:val="28"/>
          <w:szCs w:val="28"/>
          <w:rtl/>
        </w:rPr>
        <w:t xml:space="preserve">المنهاج، ج 5، ص 732.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الخلاف بين الشافعي و ابي حنيفة</w:t>
      </w:r>
    </w:p>
    <w:p>
      <w:pPr>
        <w:pStyle w:val="BookText"/>
      </w:pPr>
      <w:r>
        <w:rPr>
          <w:rFonts w:ascii="IRNazanin" w:hAnsi="IRNazanin" w:eastAsia="IRNazanin" w:cs="IRNazanin"/>
          <w:lang w:bidi="fa-IR"/>
          <w:color w:val="111111"/>
          <w:sz w:val="28"/>
          <w:szCs w:val="28"/>
          <w:rtl/>
        </w:rPr>
        <w:t xml:space="preserve">ج 7، ص 143 .</w:t>
      </w:r>
    </w:p>
    <w:p>
      <w:pPr>
        <w:pStyle w:val="BookText"/>
      </w:pPr>
      <w:r>
        <w:rPr>
          <w:rFonts w:ascii="Amiri" w:hAnsi="Amiri" w:eastAsia="Amiri" w:cs="Amiri"/>
          <w:lang w:bidi="ar-SA"/>
          <w:color w:val="111111"/>
          <w:sz w:val="28"/>
          <w:szCs w:val="28"/>
          <w:rtl/>
        </w:rPr>
        <w:t xml:space="preserve">28 .الخيرات الحسان في مناقب ابن</w:t>
      </w:r>
    </w:p>
    <w:p>
      <w:pPr>
        <w:pStyle w:val="BookText"/>
      </w:pPr>
      <w:r>
        <w:rPr>
          <w:rFonts w:ascii="Amiri" w:hAnsi="Amiri" w:eastAsia="Amiri" w:cs="Amiri"/>
          <w:lang w:bidi="ar-SA"/>
          <w:color w:val="111111"/>
          <w:sz w:val="28"/>
          <w:szCs w:val="28"/>
          <w:rtl/>
        </w:rPr>
        <w:t xml:space="preserve">حنيفة النعمان، ج7، ص189.</w:t>
      </w:r>
    </w:p>
    <w:p>
      <w:pPr>
        <w:pStyle w:val="BookText"/>
      </w:pPr>
      <w:r>
        <w:rPr>
          <w:rFonts w:ascii="Amiri" w:hAnsi="Amiri" w:eastAsia="Amiri" w:cs="Amiri"/>
          <w:lang w:bidi="ar-SA"/>
          <w:color w:val="111111"/>
          <w:sz w:val="28"/>
          <w:szCs w:val="28"/>
          <w:rtl/>
        </w:rPr>
        <w:t xml:space="preserve">29 .الدر الجمان في مناقب النعمان</w:t>
      </w:r>
    </w:p>
    <w:p>
      <w:pPr>
        <w:pStyle w:val="BookText"/>
      </w:pPr>
      <w:r>
        <w:rPr>
          <w:rFonts w:ascii="IRNazanin" w:hAnsi="IRNazanin" w:eastAsia="IRNazanin" w:cs="IRNazanin"/>
          <w:lang w:bidi="fa-IR"/>
          <w:color w:val="111111"/>
          <w:sz w:val="28"/>
          <w:szCs w:val="28"/>
          <w:rtl/>
        </w:rPr>
        <w:t xml:space="preserve">ج 7، ص 279</w:t>
      </w:r>
    </w:p>
    <w:p>
      <w:pPr>
        <w:pStyle w:val="BookText"/>
      </w:pPr>
      <w:r>
        <w:rPr>
          <w:rFonts w:ascii="Amiri" w:hAnsi="Amiri" w:eastAsia="Amiri" w:cs="Amiri"/>
          <w:lang w:bidi="ar-SA"/>
          <w:color w:val="111111"/>
          <w:sz w:val="28"/>
          <w:szCs w:val="28"/>
          <w:rtl/>
        </w:rPr>
        <w:t xml:space="preserve">30 .در الغمامة في زر الطيلسان و</w:t>
      </w:r>
    </w:p>
    <w:p>
      <w:pPr>
        <w:pStyle w:val="BookText"/>
      </w:pPr>
      <w:r>
        <w:rPr>
          <w:rFonts w:ascii="Amiri" w:hAnsi="Amiri" w:eastAsia="Amiri" w:cs="Amiri"/>
          <w:lang w:bidi="ar-SA"/>
          <w:color w:val="111111"/>
          <w:sz w:val="28"/>
          <w:szCs w:val="28"/>
          <w:rtl/>
        </w:rPr>
        <w:t xml:space="preserve">العمامة، ج7، ص322.</w:t>
      </w:r>
    </w:p>
    <w:p>
      <w:pPr>
        <w:pStyle w:val="BookText"/>
      </w:pPr>
      <w:r>
        <w:rPr>
          <w:rFonts w:ascii="Amiri" w:hAnsi="Amiri" w:eastAsia="Amiri" w:cs="Amiri"/>
          <w:lang w:bidi="ar-SA"/>
          <w:color w:val="111111"/>
          <w:sz w:val="28"/>
          <w:szCs w:val="28"/>
          <w:rtl/>
        </w:rPr>
        <w:t xml:space="preserve">31 .الدر المنضود في الصلاة والسلام على صاحب المقام المحمود، ج7،</w:t>
      </w:r>
    </w:p>
    <w:p>
      <w:pPr>
        <w:pStyle w:val="BookText"/>
      </w:pPr>
      <w:r>
        <w:rPr>
          <w:rFonts w:ascii="IRNazanin" w:hAnsi="IRNazanin" w:eastAsia="IRNazanin" w:cs="IRNazanin"/>
          <w:lang w:bidi="fa-IR"/>
          <w:color w:val="111111"/>
          <w:sz w:val="28"/>
          <w:szCs w:val="28"/>
          <w:rtl/>
        </w:rPr>
        <w:t xml:space="preserve">ص 348.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.الروح في البرزخ (رسالة في)، ج8،</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زوائد المعجمين (معجمي</w:t>
      </w:r>
    </w:p>
    <w:p>
      <w:pPr>
        <w:pStyle w:val="BookText"/>
      </w:pPr>
      <w:r>
        <w:rPr>
          <w:rFonts w:ascii="Amiri" w:hAnsi="Amiri" w:eastAsia="Amiri" w:cs="Amiri"/>
          <w:lang w:bidi="ar-SA"/>
          <w:color w:val="111111"/>
          <w:sz w:val="28"/>
          <w:szCs w:val="28"/>
          <w:rtl/>
        </w:rPr>
        <w:t xml:space="preserve">الطبراني)، ج8، ص 642.</w:t>
      </w:r>
    </w:p>
    <w:p>
      <w:pPr>
        <w:pStyle w:val="BookText"/>
      </w:pPr>
      <w:r>
        <w:rPr>
          <w:rFonts w:ascii="Amiri" w:hAnsi="Amiri" w:eastAsia="Amiri" w:cs="Amiri"/>
          <w:lang w:bidi="ar-SA"/>
          <w:color w:val="111111"/>
          <w:sz w:val="28"/>
          <w:szCs w:val="28"/>
          <w:rtl/>
        </w:rPr>
        <w:t xml:space="preserve">34 .الزواجر عن اقتراف الكبائر :</w:t>
      </w:r>
    </w:p>
    <w:p>
      <w:pPr>
        <w:pStyle w:val="BookText"/>
      </w:pPr>
      <w:r>
        <w:rPr>
          <w:rFonts w:ascii="Amiri" w:hAnsi="Amiri" w:eastAsia="Amiri" w:cs="Amiri"/>
          <w:lang w:bidi="ar-SA"/>
          <w:color w:val="111111"/>
          <w:sz w:val="28"/>
          <w:szCs w:val="28"/>
          <w:rtl/>
        </w:rPr>
        <w:t xml:space="preserve">الكبائر، ج 8، ص 634.</w:t>
      </w:r>
    </w:p>
    <w:p>
      <w:pPr>
        <w:pStyle w:val="BookText"/>
      </w:pPr>
      <w:r>
        <w:rPr>
          <w:rFonts w:ascii="Amiri" w:hAnsi="Amiri" w:eastAsia="Amiri" w:cs="Amiri"/>
          <w:lang w:bidi="ar-SA"/>
          <w:color w:val="111111"/>
          <w:sz w:val="28"/>
          <w:szCs w:val="28"/>
          <w:rtl/>
        </w:rPr>
        <w:t xml:space="preserve">35 .سلسلة فقهاء ابن حجر (رسالة</w:t>
      </w:r>
    </w:p>
    <w:p>
      <w:pPr>
        <w:pStyle w:val="BookText"/>
      </w:pPr>
      <w:r>
        <w:rPr>
          <w:rFonts w:ascii="Amiri" w:hAnsi="Amiri" w:eastAsia="Amiri" w:cs="Amiri"/>
          <w:lang w:bidi="ar-SA"/>
          <w:color w:val="111111"/>
          <w:sz w:val="28"/>
          <w:szCs w:val="28"/>
          <w:rtl/>
        </w:rPr>
        <w:t xml:space="preserve">في)، ج 8، ص 806.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شرح المقدمة الحضرمية في فروع</w:t>
      </w:r>
    </w:p>
    <w:p>
      <w:pPr>
        <w:pStyle w:val="BookText"/>
      </w:pPr>
      <w:r>
        <w:rPr>
          <w:rFonts w:ascii="Amiri" w:hAnsi="Amiri" w:eastAsia="Amiri" w:cs="Amiri"/>
          <w:lang w:bidi="ar-SA"/>
          <w:color w:val="111111"/>
          <w:sz w:val="28"/>
          <w:szCs w:val="28"/>
          <w:rtl/>
        </w:rPr>
        <w:t xml:space="preserve">الشافعية = المنهج القويم بشرح</w:t>
      </w:r>
    </w:p>
    <w:p>
      <w:pPr>
        <w:pStyle w:val="BookText"/>
      </w:pPr>
      <w:r>
        <w:rPr>
          <w:rFonts w:ascii="Amiri" w:hAnsi="Amiri" w:eastAsia="Amiri" w:cs="Amiri"/>
          <w:lang w:bidi="ar-SA"/>
          <w:color w:val="111111"/>
          <w:sz w:val="28"/>
          <w:szCs w:val="28"/>
          <w:rtl/>
        </w:rPr>
        <w:t xml:space="preserve">مسائل التعليم، ج 10، ص 195.</w:t>
      </w:r>
    </w:p>
    <w:p>
      <w:pPr>
        <w:pStyle w:val="BookText"/>
      </w:pPr>
      <w:r>
        <w:rPr>
          <w:rFonts w:ascii="IRNazanin" w:hAnsi="IRNazanin" w:eastAsia="IRNazanin" w:cs="IRNazanin"/>
          <w:lang w:bidi="fa-IR"/>
          <w:color w:val="111111"/>
          <w:sz w:val="28"/>
          <w:szCs w:val="28"/>
          <w:rtl/>
        </w:rPr>
        <w:t xml:space="preserve">37 .شرح حزب البحر، ج9، ص 409.</w:t>
      </w:r>
    </w:p>
    <w:p>
      <w:pPr>
        <w:pStyle w:val="BookText"/>
      </w:pPr>
      <w:r>
        <w:rPr>
          <w:rFonts w:ascii="Amiri" w:hAnsi="Amiri" w:eastAsia="Amiri" w:cs="Amiri"/>
          <w:lang w:bidi="ar-SA"/>
          <w:color w:val="111111"/>
          <w:sz w:val="28"/>
          <w:szCs w:val="28"/>
          <w:rtl/>
        </w:rPr>
        <w:t xml:space="preserve">38 .شرح رسالة في آداب قراءة القرآن</w:t>
      </w:r>
    </w:p>
    <w:p>
      <w:pPr>
        <w:pStyle w:val="BookText"/>
      </w:pPr>
      <w:r>
        <w:rPr>
          <w:rFonts w:ascii="IRNazanin" w:hAnsi="IRNazanin" w:eastAsia="IRNazanin" w:cs="IRNazanin"/>
          <w:lang w:bidi="fa-IR"/>
          <w:color w:val="111111"/>
          <w:sz w:val="28"/>
          <w:szCs w:val="28"/>
          <w:rtl/>
        </w:rPr>
        <w:t xml:space="preserve">ج 9، ص 542 .</w:t>
      </w:r>
    </w:p>
    <w:p>
      <w:pPr>
        <w:pStyle w:val="BookText"/>
      </w:pPr>
      <w:r>
        <w:rPr>
          <w:rFonts w:ascii="Amiri" w:hAnsi="Amiri" w:eastAsia="Amiri" w:cs="Amiri"/>
          <w:lang w:bidi="ar-SA"/>
          <w:color w:val="111111"/>
          <w:sz w:val="28"/>
          <w:szCs w:val="28"/>
          <w:rtl/>
        </w:rPr>
        <w:t xml:space="preserve">39 .الصواعق المحرقة على اهل الرفض</w:t>
      </w:r>
    </w:p>
    <w:p>
      <w:pPr>
        <w:pStyle w:val="BookText"/>
      </w:pPr>
      <w:r>
        <w:rPr>
          <w:rFonts w:ascii="Amiri" w:hAnsi="Amiri" w:eastAsia="Amiri" w:cs="Amiri"/>
          <w:lang w:bidi="ar-SA"/>
          <w:color w:val="111111"/>
          <w:sz w:val="28"/>
          <w:szCs w:val="28"/>
          <w:rtl/>
        </w:rPr>
        <w:t xml:space="preserve">والزندقة، ج 10، ص 644.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صورة فتوى، ج 10، ص 654 .</w:t>
      </w:r>
    </w:p>
    <w:p>
      <w:pPr>
        <w:pStyle w:val="BookText"/>
      </w:pPr>
      <w:r>
        <w:rPr>
          <w:rFonts w:ascii="Amiri" w:hAnsi="Amiri" w:eastAsia="Amiri" w:cs="Amiri"/>
          <w:lang w:bidi="ar-SA"/>
          <w:color w:val="111111"/>
          <w:sz w:val="28"/>
          <w:szCs w:val="28"/>
          <w:rtl/>
        </w:rPr>
        <w:t xml:space="preserve">41 .الطلاق (رسالة في)، ج 10، ص 844.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العبادات، ج 11، ص12.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علائم القيامة = حديث أحوال</w:t>
      </w:r>
    </w:p>
    <w:p>
      <w:pPr>
        <w:pStyle w:val="BookText"/>
      </w:pPr>
      <w:r>
        <w:rPr>
          <w:rFonts w:ascii="Amiri" w:hAnsi="Amiri" w:eastAsia="Amiri" w:cs="Amiri"/>
          <w:lang w:bidi="ar-SA"/>
          <w:color w:val="111111"/>
          <w:sz w:val="28"/>
          <w:szCs w:val="28"/>
          <w:rtl/>
        </w:rPr>
        <w:t xml:space="preserve">القيامة، ج 11، ص212.</w:t>
      </w:r>
    </w:p>
    <w:p>
      <w:pPr>
        <w:pStyle w:val="BookText"/>
      </w:pPr>
      <w:r>
        <w:rPr>
          <w:rFonts w:ascii="Amiri" w:hAnsi="Amiri" w:eastAsia="Amiri" w:cs="Amiri"/>
          <w:lang w:bidi="ar-SA"/>
          <w:color w:val="111111"/>
          <w:sz w:val="28"/>
          <w:szCs w:val="28"/>
          <w:rtl/>
        </w:rPr>
        <w:t xml:space="preserve">44 .علم الوشي (رسالة في)، ج11،</w:t>
      </w:r>
    </w:p>
    <w:p>
      <w:pPr>
        <w:pStyle w:val="BookText"/>
      </w:pPr>
      <w:r>
        <w:rPr>
          <w:rFonts w:ascii="IRNazanin" w:hAnsi="IRNazanin" w:eastAsia="IRNazanin" w:cs="IRNazanin"/>
          <w:lang w:bidi="fa-IR"/>
          <w:color w:val="111111"/>
          <w:sz w:val="28"/>
          <w:szCs w:val="28"/>
          <w:rtl/>
        </w:rPr>
        <w:t xml:space="preserve">ص 269 .</w:t>
      </w:r>
    </w:p>
    <w:p>
      <w:pPr>
        <w:pStyle w:val="BookText"/>
      </w:pPr>
      <w:r>
        <w:rPr>
          <w:rFonts w:ascii="IRNazanin" w:hAnsi="IRNazanin" w:eastAsia="IRNazanin" w:cs="IRNazanin"/>
          <w:lang w:bidi="fa-IR"/>
          <w:color w:val="111111"/>
          <w:sz w:val="28"/>
          <w:szCs w:val="28"/>
          <w:rtl/>
        </w:rPr>
        <w:t xml:space="preserve">45 .الفتاوى - فتاوی ابن حجر = خلاصة الفتاوى، ج 11، ص597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الفتاوى الحديثية = الفتاوى الهيثمية، ج 11، ص 607.</w:t>
      </w:r>
    </w:p>
    <w:p>
      <w:pPr>
        <w:pStyle w:val="BookText"/>
      </w:pPr>
      <w:r>
        <w:rPr>
          <w:rFonts w:ascii="Amiri" w:hAnsi="Amiri" w:eastAsia="Amiri" w:cs="Amiri"/>
          <w:lang w:bidi="ar-SA"/>
          <w:color w:val="111111"/>
          <w:sz w:val="28"/>
          <w:szCs w:val="28"/>
          <w:rtl/>
        </w:rPr>
        <w:t xml:space="preserve">47 .الفتاوى الكبرى الهيثمية، ج 11،</w:t>
      </w:r>
    </w:p>
    <w:p>
      <w:pPr>
        <w:pStyle w:val="BookText"/>
      </w:pPr>
      <w:r>
        <w:rPr>
          <w:rFonts w:ascii="IRNazanin" w:hAnsi="IRNazanin" w:eastAsia="IRNazanin" w:cs="IRNazanin"/>
          <w:lang w:bidi="fa-IR"/>
          <w:color w:val="111111"/>
          <w:sz w:val="28"/>
          <w:szCs w:val="28"/>
          <w:rtl/>
        </w:rPr>
        <w:t xml:space="preserve">ص 624 .</w:t>
      </w:r>
    </w:p>
    <w:p>
      <w:pPr>
        <w:pStyle w:val="BookText"/>
      </w:pPr>
      <w:r>
        <w:rPr>
          <w:rFonts w:ascii="IRNazanin" w:hAnsi="IRNazanin" w:eastAsia="IRNazanin" w:cs="IRNazanin"/>
          <w:lang w:bidi="fa-IR"/>
          <w:color w:val="111111"/>
          <w:sz w:val="28"/>
          <w:szCs w:val="28"/>
          <w:rtl/>
        </w:rPr>
        <w:t xml:space="preserve">48 .فتح الجواد بشرح الارشاد، ج 11</w:t>
      </w:r>
    </w:p>
    <w:p>
      <w:pPr>
        <w:pStyle w:val="BookText"/>
      </w:pPr>
      <w:r>
        <w:rPr>
          <w:rFonts w:ascii="IRNazanin" w:hAnsi="IRNazanin" w:eastAsia="IRNazanin" w:cs="IRNazanin"/>
          <w:lang w:bidi="fa-IR"/>
          <w:color w:val="111111"/>
          <w:sz w:val="28"/>
          <w:szCs w:val="28"/>
          <w:rtl/>
        </w:rPr>
        <w:t xml:space="preserve">ص 643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الفتح المبين في شرح الاربعين</w:t>
      </w:r>
    </w:p>
    <w:p>
      <w:pPr>
        <w:pStyle w:val="BookText"/>
      </w:pPr>
      <w:r>
        <w:rPr>
          <w:rFonts w:ascii="IRNazanin" w:hAnsi="IRNazanin" w:eastAsia="IRNazanin" w:cs="IRNazanin"/>
          <w:lang w:bidi="fa-IR"/>
          <w:color w:val="111111"/>
          <w:sz w:val="28"/>
          <w:szCs w:val="28"/>
          <w:rtl/>
        </w:rPr>
        <w:t xml:space="preserve">ج 11، ص 670.</w:t>
      </w:r>
    </w:p>
    <w:p>
      <w:pPr>
        <w:pStyle w:val="BookText"/>
      </w:pPr>
      <w:r>
        <w:rPr>
          <w:rFonts w:ascii="Amiri" w:hAnsi="Amiri" w:eastAsia="Amiri" w:cs="Amiri"/>
          <w:lang w:bidi="ar-SA"/>
          <w:color w:val="111111"/>
          <w:sz w:val="28"/>
          <w:szCs w:val="28"/>
          <w:rtl/>
        </w:rPr>
        <w:t xml:space="preserve">ابن حجر هيثمي 65</w:t>
      </w:r>
    </w:p>
    <w:p>
      <w:pPr>
        <w:pStyle w:val="BookText"/>
      </w:pPr>
      <w:r>
        <w:rPr>
          <w:rFonts w:ascii="IRNazanin" w:hAnsi="IRNazanin" w:eastAsia="IRNazanin" w:cs="IRNazanin"/>
          <w:lang w:bidi="fa-IR"/>
          <w:color w:val="111111"/>
          <w:sz w:val="28"/>
          <w:szCs w:val="28"/>
          <w:rtl/>
        </w:rPr>
        <w:t xml:space="preserve">50 .الفرائض، ج 11، ص 751.</w:t>
      </w:r>
    </w:p>
    <w:p>
      <w:pPr>
        <w:pStyle w:val="BookText"/>
      </w:pPr>
      <w:r>
        <w:rPr>
          <w:rFonts w:ascii="Amiri" w:hAnsi="Amiri" w:eastAsia="Amiri" w:cs="Amiri"/>
          <w:lang w:bidi="ar-SA"/>
          <w:color w:val="111111"/>
          <w:sz w:val="28"/>
          <w:szCs w:val="28"/>
          <w:rtl/>
        </w:rPr>
        <w:t xml:space="preserve">51 .القهوة (رسالة في)، ج12، ص772.</w:t>
      </w:r>
    </w:p>
    <w:p>
      <w:pPr>
        <w:pStyle w:val="BookText"/>
      </w:pPr>
      <w:r>
        <w:rPr>
          <w:rFonts w:ascii="Amiri" w:hAnsi="Amiri" w:eastAsia="Amiri" w:cs="Amiri"/>
          <w:lang w:bidi="ar-SA"/>
          <w:color w:val="111111"/>
          <w:sz w:val="28"/>
          <w:szCs w:val="28"/>
          <w:rtl/>
        </w:rPr>
        <w:t xml:space="preserve">52 .القول المختصر في علامات المهدي</w:t>
      </w:r>
    </w:p>
    <w:p>
      <w:pPr>
        <w:pStyle w:val="BookText"/>
      </w:pPr>
      <w:r>
        <w:rPr>
          <w:rFonts w:ascii="IRNazanin" w:hAnsi="IRNazanin" w:eastAsia="IRNazanin" w:cs="IRNazanin"/>
          <w:lang w:bidi="fa-IR"/>
          <w:color w:val="111111"/>
          <w:sz w:val="28"/>
          <w:szCs w:val="28"/>
          <w:rtl/>
        </w:rPr>
        <w:t xml:space="preserve">المنتظر (ع)، ج 12، ص 860.</w:t>
      </w:r>
    </w:p>
    <w:p>
      <w:pPr>
        <w:pStyle w:val="BookText"/>
      </w:pPr>
      <w:r>
        <w:rPr>
          <w:rFonts w:ascii="Amiri" w:hAnsi="Amiri" w:eastAsia="Amiri" w:cs="Amiri"/>
          <w:lang w:bidi="ar-SA"/>
          <w:color w:val="111111"/>
          <w:sz w:val="28"/>
          <w:szCs w:val="28"/>
          <w:rtl/>
        </w:rPr>
        <w:t xml:space="preserve">53 .مبلغ الارب في فخر العرب، ج13،</w:t>
      </w:r>
    </w:p>
    <w:p>
      <w:pPr>
        <w:pStyle w:val="BookText"/>
      </w:pPr>
      <w:r>
        <w:rPr>
          <w:rFonts w:ascii="IRNazanin" w:hAnsi="IRNazanin" w:eastAsia="IRNazanin" w:cs="IRNazanin"/>
          <w:lang w:bidi="fa-IR"/>
          <w:color w:val="111111"/>
          <w:sz w:val="28"/>
          <w:szCs w:val="28"/>
          <w:rtl/>
        </w:rPr>
        <w:t xml:space="preserve">ص 741.</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مختصر الايضاح في المناسك، ج 14،</w:t>
      </w:r>
    </w:p>
    <w:p>
      <w:pPr>
        <w:pStyle w:val="BookText"/>
      </w:pPr>
      <w:r>
        <w:rPr>
          <w:rFonts w:ascii="IRNazanin" w:hAnsi="IRNazanin" w:eastAsia="IRNazanin" w:cs="IRNazanin"/>
          <w:lang w:bidi="fa-IR"/>
          <w:color w:val="111111"/>
          <w:sz w:val="28"/>
          <w:szCs w:val="28"/>
          <w:rtl/>
        </w:rPr>
        <w:t xml:space="preserve">ص 176 .</w:t>
      </w:r>
    </w:p>
    <w:p>
      <w:pPr>
        <w:pStyle w:val="BookText"/>
      </w:pPr>
      <w:r>
        <w:rPr>
          <w:rFonts w:ascii="IRNazanin" w:hAnsi="IRNazanin" w:eastAsia="IRNazanin" w:cs="IRNazanin"/>
          <w:lang w:bidi="fa-IR"/>
          <w:color w:val="111111"/>
          <w:sz w:val="28"/>
          <w:szCs w:val="28"/>
          <w:rtl/>
        </w:rPr>
        <w:t xml:space="preserve">55 .مختصر الفتاوى، ج 14 ، ص 205.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مختصر الفتاوى الفقهية، ج 14</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Amiri" w:hAnsi="Amiri" w:eastAsia="Amiri" w:cs="Amiri"/>
          <w:lang w:bidi="ar-SA"/>
          <w:color w:val="111111"/>
          <w:sz w:val="28"/>
          <w:szCs w:val="28"/>
          <w:rtl/>
        </w:rPr>
        <w:t xml:space="preserve">57 .مسائل في الفقه، ج 14، ص 475.</w:t>
      </w:r>
    </w:p>
    <w:p>
      <w:pPr>
        <w:pStyle w:val="BookText"/>
      </w:pPr>
      <w:r>
        <w:rPr>
          <w:rFonts w:ascii="Amiri" w:hAnsi="Amiri" w:eastAsia="Amiri" w:cs="Amiri"/>
          <w:lang w:bidi="ar-SA"/>
          <w:color w:val="111111"/>
          <w:sz w:val="28"/>
          <w:szCs w:val="28"/>
          <w:rtl/>
        </w:rPr>
        <w:t xml:space="preserve">58 .مصطلحات اهل الحديث (رسالة</w:t>
      </w:r>
    </w:p>
    <w:p>
      <w:pPr>
        <w:pStyle w:val="BookText"/>
      </w:pPr>
      <w:r>
        <w:rPr>
          <w:rFonts w:ascii="Amiri" w:hAnsi="Amiri" w:eastAsia="Amiri" w:cs="Amiri"/>
          <w:lang w:bidi="ar-SA"/>
          <w:color w:val="111111"/>
          <w:sz w:val="28"/>
          <w:szCs w:val="28"/>
          <w:rtl/>
        </w:rPr>
        <w:t xml:space="preserve">في)، ج 14 ، ص 746.</w:t>
      </w:r>
    </w:p>
    <w:p>
      <w:pPr>
        <w:pStyle w:val="BookText"/>
      </w:pPr>
      <w:r>
        <w:rPr>
          <w:rFonts w:ascii="Amiri" w:hAnsi="Amiri" w:eastAsia="Amiri" w:cs="Amiri"/>
          <w:lang w:bidi="ar-SA"/>
          <w:color w:val="111111"/>
          <w:sz w:val="28"/>
          <w:szCs w:val="28"/>
          <w:rtl/>
        </w:rPr>
        <w:t xml:space="preserve">59 .معدن اليواقيت الملتمعة (اللمعة) في مناقب الائمة الاربعة، ج 15</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60 .ملخص المولد النبوي، ج 15</w:t>
      </w:r>
    </w:p>
    <w:p>
      <w:pPr>
        <w:pStyle w:val="BookText"/>
      </w:pPr>
      <w:r>
        <w:rPr>
          <w:rFonts w:ascii="IRNazanin" w:hAnsi="IRNazanin" w:eastAsia="IRNazanin" w:cs="IRNazanin"/>
          <w:lang w:bidi="fa-IR"/>
          <w:color w:val="111111"/>
          <w:sz w:val="28"/>
          <w:szCs w:val="28"/>
          <w:rtl/>
        </w:rPr>
        <w:t xml:space="preserve">ص 463 .</w:t>
      </w:r>
    </w:p>
    <w:p>
      <w:pPr>
        <w:pStyle w:val="BookText"/>
      </w:pPr>
      <w:r>
        <w:rPr>
          <w:rFonts w:ascii="IRNazanin" w:hAnsi="IRNazanin" w:eastAsia="IRNazanin" w:cs="IRNazanin"/>
          <w:lang w:bidi="fa-IR"/>
          <w:color w:val="111111"/>
          <w:sz w:val="28"/>
          <w:szCs w:val="28"/>
          <w:rtl/>
        </w:rPr>
        <w:t xml:space="preserve">61 .الملل و النحل، ج 15، ص 468.</w:t>
      </w:r>
    </w:p>
    <w:p>
      <w:pPr>
        <w:pStyle w:val="BookText"/>
      </w:pPr>
      <w:r>
        <w:rPr>
          <w:rFonts w:ascii="IRNazanin" w:hAnsi="IRNazanin" w:eastAsia="IRNazanin" w:cs="IRNazanin"/>
          <w:lang w:bidi="fa-IR"/>
          <w:color w:val="111111"/>
          <w:sz w:val="28"/>
          <w:szCs w:val="28"/>
          <w:rtl/>
        </w:rPr>
        <w:t xml:space="preserve">62 .المنبهات (اوراد ابن حجر) ج 15</w:t>
      </w:r>
    </w:p>
    <w:p>
      <w:pPr>
        <w:pStyle w:val="BookText"/>
      </w:pPr>
      <w:r>
        <w:rPr>
          <w:rFonts w:ascii="IRNazanin" w:hAnsi="IRNazanin" w:eastAsia="IRNazanin" w:cs="IRNazanin"/>
          <w:lang w:bidi="fa-IR"/>
          <w:color w:val="111111"/>
          <w:sz w:val="28"/>
          <w:szCs w:val="28"/>
          <w:rtl/>
        </w:rPr>
        <w:t xml:space="preserve">ص 589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منح الفتاح بكشف حقائق</w:t>
      </w:r>
    </w:p>
    <w:p>
      <w:pPr>
        <w:pStyle w:val="BookText"/>
      </w:pPr>
      <w:r>
        <w:rPr>
          <w:rFonts w:ascii="Amiri" w:hAnsi="Amiri" w:eastAsia="Amiri" w:cs="Amiri"/>
          <w:lang w:bidi="ar-SA"/>
          <w:color w:val="111111"/>
          <w:sz w:val="28"/>
          <w:szCs w:val="28"/>
          <w:rtl/>
        </w:rPr>
        <w:t xml:space="preserve">الايضاح، ج 15، ص 673 .</w:t>
      </w:r>
    </w:p>
    <w:p>
      <w:pPr>
        <w:pStyle w:val="BookText"/>
      </w:pPr>
      <w:r>
        <w:rPr>
          <w:rFonts w:ascii="Amiri" w:hAnsi="Amiri" w:eastAsia="Amiri" w:cs="Amiri"/>
          <w:lang w:bidi="ar-SA"/>
          <w:color w:val="111111"/>
          <w:sz w:val="28"/>
          <w:szCs w:val="28"/>
          <w:rtl/>
        </w:rPr>
        <w:t xml:space="preserve">64 . المنح المكية في شرح الهمزية =</w:t>
      </w:r>
    </w:p>
    <w:p>
      <w:pPr>
        <w:pStyle w:val="BookText"/>
      </w:pPr>
      <w:r>
        <w:rPr>
          <w:rFonts w:ascii="Amiri" w:hAnsi="Amiri" w:eastAsia="Amiri" w:cs="Amiri"/>
          <w:lang w:bidi="ar-SA"/>
          <w:color w:val="111111"/>
          <w:sz w:val="28"/>
          <w:szCs w:val="28"/>
          <w:rtl/>
        </w:rPr>
        <w:t xml:space="preserve">افضل القرى في شرح ام القرى ج 15 ، ص 675.</w:t>
      </w:r>
    </w:p>
    <w:p>
      <w:pPr>
        <w:pStyle w:val="BookText"/>
      </w:pPr>
      <w:r>
        <w:rPr>
          <w:rFonts w:ascii="IRNazanin" w:hAnsi="IRNazanin" w:eastAsia="IRNazanin" w:cs="IRNazanin"/>
          <w:lang w:bidi="fa-IR"/>
          <w:color w:val="111111"/>
          <w:sz w:val="28"/>
          <w:szCs w:val="28"/>
          <w:rtl/>
        </w:rPr>
        <w:t xml:space="preserve">65 .نبذة من فتاوی ابن حجر، ج 16</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Amiri" w:hAnsi="Amiri" w:eastAsia="Amiri" w:cs="Amiri"/>
          <w:lang w:bidi="ar-SA"/>
          <w:color w:val="111111"/>
          <w:sz w:val="28"/>
          <w:szCs w:val="28"/>
          <w:rtl/>
        </w:rPr>
        <w:t xml:space="preserve">66 .النعمة الكبرى على العالم بمولد سيّد ولد آدم، ج 16 ، ص 368.</w:t>
      </w:r>
    </w:p>
    <w:p>
      <w:pPr>
        <w:pStyle w:val="BookText"/>
      </w:pPr>
      <w:r>
        <w:rPr>
          <w:rFonts w:ascii="Amiri" w:hAnsi="Amiri" w:eastAsia="Amiri" w:cs="Amiri"/>
          <w:lang w:bidi="ar-SA"/>
          <w:color w:val="111111"/>
          <w:sz w:val="28"/>
          <w:szCs w:val="28"/>
          <w:rtl/>
        </w:rPr>
        <w:t xml:space="preserve">67 .الهيئة السنية، ج 16، ص 665.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6" w:name="pg7742_69455"/>
    <w:bookmarkEnd w:id="56"/>
    <w:p>
      <w:pPr>
        <w:pStyle w:val="BookText"/>
      </w:pPr>
      <w:r>
        <w:rPr>
          <w:rFonts w:ascii="Amiri" w:hAnsi="Amiri" w:eastAsia="Amiri" w:cs="Amiri"/>
          <w:lang w:bidi="ar-SA"/>
          <w:color w:val="111111"/>
          <w:sz w:val="28"/>
          <w:szCs w:val="28"/>
          <w:rtl/>
        </w:rPr>
        <w:t xml:space="preserve">ابن حجله ، احمد بن يحيى -ابن ابي</w:t>
      </w:r>
    </w:p>
    <w:p>
      <w:pPr>
        <w:pStyle w:val="BookText"/>
      </w:pPr>
      <w:r>
        <w:rPr>
          <w:rFonts w:ascii="Amiri" w:hAnsi="Amiri" w:eastAsia="Amiri" w:cs="Amiri"/>
          <w:lang w:bidi="ar-SA"/>
          <w:color w:val="111111"/>
          <w:sz w:val="28"/>
          <w:szCs w:val="28"/>
          <w:rtl/>
        </w:rPr>
        <w:t xml:space="preserve">حجله ، احمد بن يحيى</w:t>
      </w:r>
    </w:p>
    <w:p>
      <w:pPr>
        <w:pStyle w:val="BookText"/>
      </w:pPr>
      <w:r>
        <w:rPr>
          <w:rFonts w:ascii="IRNazanin" w:hAnsi="IRNazanin" w:eastAsia="IRNazanin" w:cs="IRNazanin"/>
          <w:lang w:bidi="fa-IR"/>
          <w:color w:val="111111"/>
          <w:sz w:val="28"/>
          <w:szCs w:val="28"/>
          <w:rtl/>
        </w:rPr>
        <w:t xml:space="preserve">ابن حداد ، عبدالله بن حداد -ابن هداد ،</w:t>
      </w:r>
    </w:p>
    <w:p>
      <w:pPr>
        <w:pStyle w:val="BookText"/>
      </w:pPr>
      <w:r>
        <w:rPr>
          <w:rFonts w:ascii="IRNazanin" w:hAnsi="IRNazanin" w:eastAsia="IRNazanin" w:cs="IRNazanin"/>
          <w:lang w:bidi="fa-IR"/>
          <w:color w:val="111111"/>
          <w:sz w:val="28"/>
          <w:szCs w:val="28"/>
          <w:rtl/>
        </w:rPr>
        <w:t xml:space="preserve">عبدالله بن هداد</w:t>
      </w:r>
    </w:p>
    <w:p>
      <w:pPr>
        <w:pStyle w:val="Heading2"/>
      </w:pPr>
      <w:bookmarkStart w:id="1226" w:name="_Toc328"/>
      <w:r>
        <w:t>ابن حداد ، مبارك بن احمد - 596 ه-</w:t>
      </w:r>
      <w:bookmarkEnd w:id="1226"/>
    </w:p>
    <w:p>
      <w:pPr>
        <w:pStyle w:val="BookText"/>
      </w:pPr>
      <w:r>
        <w:rPr>
          <w:rFonts w:ascii="Amiri" w:hAnsi="Amiri" w:eastAsia="Amiri" w:cs="Amiri"/>
          <w:lang w:bidi="ar-SA"/>
          <w:color w:val="111111"/>
          <w:sz w:val="28"/>
          <w:szCs w:val="28"/>
          <w:rtl/>
        </w:rPr>
        <w:t xml:space="preserve">الخيرة في القراءات العشرة، ج 7،</w:t>
      </w:r>
    </w:p>
    <w:p>
      <w:pPr>
        <w:pStyle w:val="BookText"/>
      </w:pPr>
      <w:r>
        <w:rPr>
          <w:rFonts w:ascii="IRNazanin" w:hAnsi="IRNazanin" w:eastAsia="IRNazanin" w:cs="IRNazanin"/>
          <w:lang w:bidi="fa-IR"/>
          <w:color w:val="111111"/>
          <w:sz w:val="28"/>
          <w:szCs w:val="28"/>
          <w:rtl/>
        </w:rPr>
        <w:t xml:space="preserve">ص 193.</w:t>
      </w:r>
    </w:p>
    <w:p>
      <w:pPr>
        <w:pStyle w:val="Heading2"/>
      </w:pPr>
      <w:bookmarkStart w:id="1227" w:name="_Toc329"/>
      <w:r>
        <w:t>ابن حسام ، محمّد بن حسام الدین 783</w:t>
      </w:r>
      <w:bookmarkEnd w:id="12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875؟ ه-</w:t>
      </w:r>
    </w:p>
    <w:p>
      <w:pPr>
        <w:pStyle w:val="BookText"/>
      </w:pPr>
      <w:r>
        <w:rPr>
          <w:rFonts w:ascii="IRNazanin" w:hAnsi="IRNazanin" w:eastAsia="IRNazanin" w:cs="IRNazanin"/>
          <w:lang w:bidi="fa-IR"/>
          <w:color w:val="111111"/>
          <w:sz w:val="28"/>
          <w:szCs w:val="28"/>
          <w:rtl/>
        </w:rPr>
        <w:t xml:space="preserve">1 .الدعاء، ج 7، ص388.</w:t>
      </w:r>
    </w:p>
    <w:p>
      <w:pPr>
        <w:pStyle w:val="BookText"/>
      </w:pPr>
      <w:r>
        <w:rPr>
          <w:rFonts w:ascii="IRNazanin" w:hAnsi="IRNazanin" w:eastAsia="IRNazanin" w:cs="IRNazanin"/>
          <w:lang w:bidi="fa-IR"/>
          <w:color w:val="111111"/>
          <w:sz w:val="28"/>
          <w:szCs w:val="28"/>
          <w:rtl/>
        </w:rPr>
        <w:t xml:space="preserve">2 .شتر و حجره، ج 9، ص 74</w:t>
      </w:r>
    </w:p>
    <w:p>
      <w:pPr>
        <w:pStyle w:val="Heading2"/>
      </w:pPr>
      <w:bookmarkStart w:id="1228" w:name="_Toc330"/>
      <w:r>
        <w:t>ابن حديثي ابوحليم بن حديثي، قرن 6 ه-</w:t>
      </w:r>
      <w:bookmarkEnd w:id="1228"/>
    </w:p>
    <w:p>
      <w:pPr>
        <w:pStyle w:val="BookText"/>
      </w:pPr>
      <w:r>
        <w:rPr>
          <w:rFonts w:ascii="Amiri" w:hAnsi="Amiri" w:eastAsia="Amiri" w:cs="Amiri"/>
          <w:lang w:bidi="ar-SA"/>
          <w:color w:val="111111"/>
          <w:sz w:val="28"/>
          <w:szCs w:val="28"/>
          <w:rtl/>
        </w:rPr>
        <w:t xml:space="preserve">التعازي، ج 4، ص 449.</w:t>
      </w:r>
    </w:p>
    <w:p>
      <w:pPr>
        <w:pStyle w:val="BookText"/>
      </w:pPr>
      <w:r>
        <w:rPr>
          <w:rFonts w:ascii="Amiri" w:hAnsi="Amiri" w:eastAsia="Amiri" w:cs="Amiri"/>
          <w:lang w:bidi="ar-SA"/>
          <w:color w:val="111111"/>
          <w:sz w:val="28"/>
          <w:szCs w:val="28"/>
          <w:rtl/>
        </w:rPr>
        <w:t xml:space="preserve">ابن حذا حسكاني ، عبيد الله بن عبدالله</w:t>
      </w:r>
    </w:p>
    <w:p>
      <w:pPr>
        <w:pStyle w:val="Heading2"/>
      </w:pPr>
      <w:bookmarkStart w:id="1229" w:name="_Toc331"/>
      <w:r>
        <w:t>ابن حرانیه محمّد بن محمّد 702-780ه-</w:t>
      </w:r>
      <w:bookmarkEnd w:id="1229"/>
    </w:p>
    <w:p>
      <w:pPr>
        <w:pStyle w:val="BookText"/>
      </w:pPr>
      <w:r>
        <w:rPr>
          <w:rFonts w:ascii="Amiri" w:hAnsi="Amiri" w:eastAsia="Amiri" w:cs="Amiri"/>
          <w:lang w:bidi="ar-SA"/>
          <w:color w:val="111111"/>
          <w:sz w:val="28"/>
          <w:szCs w:val="28"/>
          <w:rtl/>
        </w:rPr>
        <w:t xml:space="preserve">المختصر في اصول الفقه، ج 14،</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Amiri" w:hAnsi="Amiri" w:eastAsia="Amiri" w:cs="Amiri"/>
          <w:lang w:bidi="ar-SA"/>
          <w:color w:val="111111"/>
          <w:sz w:val="28"/>
          <w:szCs w:val="28"/>
          <w:rtl/>
        </w:rPr>
        <w:t xml:space="preserve">ابن حر عاملي ، عبدالسلام بن محمّد- عاملي ، عبدالسلام بن محمّد</w:t>
      </w:r>
    </w:p>
    <w:p>
      <w:pPr>
        <w:pStyle w:val="BookText"/>
      </w:pPr>
      <w:r>
        <w:rPr>
          <w:rFonts w:ascii="Amiri" w:hAnsi="Amiri" w:eastAsia="Amiri" w:cs="Amiri"/>
          <w:lang w:bidi="ar-SA"/>
          <w:color w:val="111111"/>
          <w:sz w:val="28"/>
          <w:szCs w:val="28"/>
          <w:rtl/>
        </w:rPr>
        <w:t xml:space="preserve">ابن حزام رفاعي - رفاعي ، محمّد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1230" w:name="_Toc332"/>
      <w:r>
        <w:t>ابن حسام هروي، نظام الدين بن كمال</w:t>
      </w:r>
      <w:bookmarkEnd w:id="1230"/>
    </w:p>
    <w:p>
      <w:pPr>
        <w:pStyle w:val="BookText"/>
      </w:pPr>
      <w:r>
        <w:rPr>
          <w:rFonts w:ascii="Amiri" w:hAnsi="Amiri" w:eastAsia="Amiri" w:cs="Amiri"/>
          <w:lang w:bidi="ar-SA"/>
          <w:color w:val="111111"/>
          <w:sz w:val="28"/>
          <w:szCs w:val="28"/>
          <w:rtl/>
        </w:rPr>
        <w:t xml:space="preserve">الدين قرن 9 ه-</w:t>
      </w:r>
    </w:p>
    <w:p>
      <w:pPr>
        <w:pStyle w:val="BookText"/>
      </w:pPr>
      <w:r>
        <w:rPr>
          <w:rFonts w:ascii="Amiri" w:hAnsi="Amiri" w:eastAsia="Amiri" w:cs="Amiri"/>
          <w:lang w:bidi="ar-SA"/>
          <w:color w:val="111111"/>
          <w:sz w:val="28"/>
          <w:szCs w:val="28"/>
          <w:rtl/>
        </w:rPr>
        <w:t xml:space="preserve">رياض الفتيان = شرح نصاب، ج 8،</w:t>
      </w:r>
    </w:p>
    <w:p>
      <w:pPr>
        <w:pStyle w:val="BookText"/>
      </w:pPr>
      <w:r>
        <w:rPr>
          <w:rFonts w:ascii="IRNazanin" w:hAnsi="IRNazanin" w:eastAsia="IRNazanin" w:cs="IRNazanin"/>
          <w:lang w:bidi="fa-IR"/>
          <w:color w:val="111111"/>
          <w:sz w:val="28"/>
          <w:szCs w:val="28"/>
          <w:rtl/>
        </w:rPr>
        <w:t xml:space="preserve">ص 490</w:t>
      </w:r>
    </w:p>
    <w:p>
      <w:pPr>
        <w:pStyle w:val="Heading2"/>
      </w:pPr>
      <w:bookmarkStart w:id="1231" w:name="_Toc333"/>
      <w:r>
        <w:t>ابن حسول ، محمّد بن علي - 450 ه-</w:t>
      </w:r>
      <w:bookmarkEnd w:id="1231"/>
    </w:p>
    <w:p>
      <w:pPr>
        <w:pStyle w:val="BookText"/>
      </w:pPr>
      <w:r>
        <w:rPr>
          <w:rFonts w:ascii="Amiri" w:hAnsi="Amiri" w:eastAsia="Amiri" w:cs="Amiri"/>
          <w:lang w:bidi="ar-SA"/>
          <w:color w:val="111111"/>
          <w:sz w:val="28"/>
          <w:szCs w:val="28"/>
          <w:rtl/>
        </w:rPr>
        <w:t xml:space="preserve">تفضيل الاتراك على سائر الاجناس في</w:t>
      </w:r>
    </w:p>
    <w:p>
      <w:pPr>
        <w:pStyle w:val="BookText"/>
      </w:pPr>
      <w:r>
        <w:rPr>
          <w:rFonts w:ascii="Amiri" w:hAnsi="Amiri" w:eastAsia="Amiri" w:cs="Amiri"/>
          <w:lang w:bidi="ar-SA"/>
          <w:color w:val="111111"/>
          <w:sz w:val="28"/>
          <w:szCs w:val="28"/>
          <w:rtl/>
        </w:rPr>
        <w:t xml:space="preserve">مناقب الحضرة السلطانية، ج 4،</w:t>
      </w:r>
    </w:p>
    <w:p>
      <w:pPr>
        <w:pStyle w:val="BookText"/>
      </w:pPr>
      <w:r>
        <w:rPr>
          <w:rFonts w:ascii="IRNazanin" w:hAnsi="IRNazanin" w:eastAsia="IRNazanin" w:cs="IRNazanin"/>
          <w:lang w:bidi="fa-IR"/>
          <w:color w:val="111111"/>
          <w:sz w:val="28"/>
          <w:szCs w:val="28"/>
          <w:rtl/>
        </w:rPr>
        <w:t xml:space="preserve">ص 707 .</w:t>
      </w:r>
    </w:p>
    <w:p>
      <w:pPr>
        <w:pStyle w:val="Heading2"/>
      </w:pPr>
      <w:bookmarkStart w:id="1232" w:name="_Toc334"/>
      <w:r>
        <w:t>ابن حزم ، علي بن احمد، 384 - 456 ه-</w:t>
      </w:r>
      <w:bookmarkEnd w:id="1232"/>
    </w:p>
    <w:p>
      <w:pPr>
        <w:pStyle w:val="BookText"/>
      </w:pPr>
      <w:r>
        <w:rPr>
          <w:rFonts w:ascii="Amiri" w:hAnsi="Amiri" w:eastAsia="Amiri" w:cs="Amiri"/>
          <w:lang w:bidi="ar-SA"/>
          <w:color w:val="111111"/>
          <w:sz w:val="28"/>
          <w:szCs w:val="28"/>
          <w:rtl/>
        </w:rPr>
        <w:t xml:space="preserve">1 .أسماء الصحابة الرواة و لما كل واحد منهم من العدد، ج2،</w:t>
      </w:r>
    </w:p>
    <w:p>
      <w:pPr>
        <w:pStyle w:val="BookText"/>
      </w:pPr>
      <w:r>
        <w:rPr>
          <w:rFonts w:ascii="IRNazanin" w:hAnsi="IRNazanin" w:eastAsia="IRNazanin" w:cs="IRNazanin"/>
          <w:lang w:bidi="fa-IR"/>
          <w:color w:val="111111"/>
          <w:sz w:val="28"/>
          <w:szCs w:val="28"/>
          <w:rtl/>
        </w:rPr>
        <w:t xml:space="preserve">ص230.</w:t>
      </w:r>
    </w:p>
    <w:p>
      <w:pPr>
        <w:pStyle w:val="BookText"/>
      </w:pPr>
      <w:r>
        <w:rPr>
          <w:rFonts w:ascii="Amiri" w:hAnsi="Amiri" w:eastAsia="Amiri" w:cs="Amiri"/>
          <w:lang w:bidi="ar-SA"/>
          <w:color w:val="111111"/>
          <w:sz w:val="28"/>
          <w:szCs w:val="28"/>
          <w:rtl/>
        </w:rPr>
        <w:t xml:space="preserve">2 .جزء من الاوهام التي في الصحيحين و موطا المالكي، ج 5، ص 383.</w:t>
      </w:r>
    </w:p>
    <w:p>
      <w:pPr>
        <w:pStyle w:val="BookText"/>
      </w:pPr>
      <w:r>
        <w:rPr>
          <w:rFonts w:ascii="Amiri" w:hAnsi="Amiri" w:eastAsia="Amiri" w:cs="Amiri"/>
          <w:lang w:bidi="ar-SA"/>
          <w:color w:val="111111"/>
          <w:sz w:val="28"/>
          <w:szCs w:val="28"/>
          <w:rtl/>
        </w:rPr>
        <w:t xml:space="preserve">3 .طوق الحمامة في الالفة و الآلاف</w:t>
      </w:r>
    </w:p>
    <w:p>
      <w:pPr>
        <w:pStyle w:val="BookText"/>
      </w:pPr>
      <w:r>
        <w:rPr>
          <w:rFonts w:ascii="IRNazanin" w:hAnsi="IRNazanin" w:eastAsia="IRNazanin" w:cs="IRNazanin"/>
          <w:lang w:bidi="fa-IR"/>
          <w:color w:val="111111"/>
          <w:sz w:val="28"/>
          <w:szCs w:val="28"/>
          <w:rtl/>
        </w:rPr>
        <w:t xml:space="preserve">ج 10، ص 873.</w:t>
      </w:r>
    </w:p>
    <w:p>
      <w:pPr>
        <w:pStyle w:val="BookText"/>
      </w:pPr>
      <w:r>
        <w:rPr>
          <w:rFonts w:ascii="Amiri" w:hAnsi="Amiri" w:eastAsia="Amiri" w:cs="Amiri"/>
          <w:lang w:bidi="ar-SA"/>
          <w:color w:val="111111"/>
          <w:sz w:val="28"/>
          <w:szCs w:val="28"/>
          <w:rtl/>
        </w:rPr>
        <w:t xml:space="preserve">4 .الفصل في الملك والاهواء و النحل</w:t>
      </w:r>
    </w:p>
    <w:p>
      <w:pPr>
        <w:pStyle w:val="BookText"/>
      </w:pPr>
      <w:r>
        <w:rPr>
          <w:rFonts w:ascii="IRNazanin" w:hAnsi="IRNazanin" w:eastAsia="IRNazanin" w:cs="IRNazanin"/>
          <w:lang w:bidi="fa-IR"/>
          <w:color w:val="111111"/>
          <w:sz w:val="28"/>
          <w:szCs w:val="28"/>
          <w:rtl/>
        </w:rPr>
        <w:t xml:space="preserve">ج 11، ص 836.</w:t>
      </w:r>
    </w:p>
    <w:p>
      <w:pPr>
        <w:pStyle w:val="BookText"/>
      </w:pPr>
      <w:r>
        <w:rPr>
          <w:rFonts w:ascii="Amiri" w:hAnsi="Amiri" w:eastAsia="Amiri" w:cs="Amiri"/>
          <w:lang w:bidi="ar-SA"/>
          <w:color w:val="111111"/>
          <w:sz w:val="28"/>
          <w:szCs w:val="28"/>
          <w:rtl/>
        </w:rPr>
        <w:t xml:space="preserve">5 .المحلي في شرح المجلي، ج 14،</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IRNazanin" w:hAnsi="IRNazanin" w:eastAsia="IRNazanin" w:cs="IRNazanin"/>
          <w:lang w:bidi="fa-IR"/>
          <w:color w:val="111111"/>
          <w:sz w:val="28"/>
          <w:szCs w:val="28"/>
          <w:rtl/>
        </w:rPr>
        <w:t xml:space="preserve">6 .نقط العروس، ج 16، ص 424.</w:t>
      </w:r>
    </w:p>
    <w:p>
      <w:pPr>
        <w:pStyle w:val="Heading2"/>
      </w:pPr>
      <w:bookmarkStart w:id="1233" w:name="_Toc335"/>
      <w:r>
        <w:t>ابن حشاش ، محمّد بن يوسف -711 ه-</w:t>
      </w:r>
      <w:bookmarkEnd w:id="1233"/>
    </w:p>
    <w:p>
      <w:pPr>
        <w:pStyle w:val="BookText"/>
      </w:pPr>
      <w:r>
        <w:rPr>
          <w:rFonts w:ascii="Amiri" w:hAnsi="Amiri" w:eastAsia="Amiri" w:cs="Amiri"/>
          <w:lang w:bidi="ar-SA"/>
          <w:color w:val="111111"/>
          <w:sz w:val="28"/>
          <w:szCs w:val="28"/>
          <w:rtl/>
        </w:rPr>
        <w:t xml:space="preserve">كاشف الخصاصة عن الفاظ الخلاصة</w:t>
      </w:r>
    </w:p>
    <w:p>
      <w:pPr>
        <w:pStyle w:val="BookText"/>
      </w:pPr>
      <w:r>
        <w:rPr>
          <w:rFonts w:ascii="IRNazanin" w:hAnsi="IRNazanin" w:eastAsia="IRNazanin" w:cs="IRNazanin"/>
          <w:lang w:bidi="fa-IR"/>
          <w:color w:val="111111"/>
          <w:sz w:val="28"/>
          <w:szCs w:val="28"/>
          <w:rtl/>
        </w:rPr>
        <w:t xml:space="preserve">ج 13، ص8.</w:t>
      </w:r>
    </w:p>
    <w:p>
      <w:pPr>
        <w:pStyle w:val="Heading2"/>
      </w:pPr>
      <w:bookmarkStart w:id="1234" w:name="_Toc336"/>
      <w:r>
        <w:t>ابن حصين ، هبة الله بن محمّد - 525 ه-</w:t>
      </w:r>
      <w:bookmarkEnd w:id="1234"/>
    </w:p>
    <w:p>
      <w:pPr>
        <w:pStyle w:val="BookText"/>
      </w:pPr>
      <w:r>
        <w:rPr>
          <w:rFonts w:ascii="Amiri" w:hAnsi="Amiri" w:eastAsia="Amiri" w:cs="Amiri"/>
          <w:lang w:bidi="ar-SA"/>
          <w:color w:val="111111"/>
          <w:sz w:val="28"/>
          <w:szCs w:val="28"/>
          <w:rtl/>
        </w:rPr>
        <w:t xml:space="preserve">أربعون حديثا منتقاة من فوائد ابن</w:t>
      </w:r>
    </w:p>
    <w:p>
      <w:pPr>
        <w:pStyle w:val="BookText"/>
      </w:pPr>
      <w:r>
        <w:rPr>
          <w:rFonts w:ascii="Amiri" w:hAnsi="Amiri" w:eastAsia="Amiri" w:cs="Amiri"/>
          <w:lang w:bidi="ar-SA"/>
          <w:color w:val="111111"/>
          <w:sz w:val="28"/>
          <w:szCs w:val="28"/>
          <w:rtl/>
        </w:rPr>
        <w:t xml:space="preserve">غيلان، ج 1، ص733.</w:t>
      </w:r>
    </w:p>
    <w:p>
      <w:pPr>
        <w:pStyle w:val="BookText"/>
      </w:pPr>
      <w:r>
        <w:rPr>
          <w:rFonts w:ascii="IRNazanin" w:hAnsi="IRNazanin" w:eastAsia="IRNazanin" w:cs="IRNazanin"/>
          <w:lang w:bidi="fa-IR"/>
          <w:color w:val="111111"/>
          <w:sz w:val="28"/>
          <w:szCs w:val="28"/>
          <w:rtl/>
        </w:rPr>
        <w:t xml:space="preserve">ابن حطاب ، محمّد بن محمّد حطاب</w:t>
      </w:r>
    </w:p>
    <w:p>
      <w:pPr>
        <w:pStyle w:val="BookText"/>
      </w:pPr>
      <w:r>
        <w:rPr>
          <w:rFonts w:ascii="Amiri" w:hAnsi="Amiri" w:eastAsia="Amiri" w:cs="Amiri"/>
          <w:lang w:bidi="ar-SA"/>
          <w:color w:val="111111"/>
          <w:sz w:val="28"/>
          <w:szCs w:val="28"/>
          <w:rtl/>
        </w:rPr>
        <w:t xml:space="preserve">محمّد بن محمّد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7" w:name="pg7742_69457"/>
    <w:bookmarkEnd w:id="57"/>
    <w:p>
      <w:pPr>
        <w:pStyle w:val="BookText"/>
      </w:pPr>
      <w:r>
        <w:rPr>
          <w:rFonts w:ascii="Amiri" w:hAnsi="Amiri" w:eastAsia="Amiri" w:cs="Amiri"/>
          <w:lang w:bidi="ar-SA"/>
          <w:color w:val="111111"/>
          <w:sz w:val="28"/>
          <w:szCs w:val="28"/>
          <w:rtl/>
        </w:rPr>
        <w:t xml:space="preserve">ابن حكيم ، ابو مظفر محمّد بن</w:t>
      </w:r>
    </w:p>
    <w:p>
      <w:pPr>
        <w:pStyle w:val="BookText"/>
      </w:pPr>
      <w:r>
        <w:rPr>
          <w:rFonts w:ascii="Amiri" w:hAnsi="Amiri" w:eastAsia="Amiri" w:cs="Amiri"/>
          <w:lang w:bidi="ar-SA"/>
          <w:color w:val="111111"/>
          <w:sz w:val="28"/>
          <w:szCs w:val="28"/>
          <w:rtl/>
        </w:rPr>
        <w:t xml:space="preserve">اسعد -حكيمي ، محمّد بن اسعد</w:t>
      </w:r>
    </w:p>
    <w:p>
      <w:pPr>
        <w:pStyle w:val="Heading2"/>
      </w:pPr>
      <w:bookmarkStart w:id="1235" w:name="_Toc337"/>
      <w:r>
        <w:t>ابن حلاج ، احمد بن حسين قرن 4 ه-</w:t>
      </w:r>
      <w:bookmarkEnd w:id="1235"/>
    </w:p>
    <w:p>
      <w:pPr>
        <w:pStyle w:val="BookText"/>
      </w:pPr>
      <w:r>
        <w:rPr>
          <w:rFonts w:ascii="Amiri" w:hAnsi="Amiri" w:eastAsia="Amiri" w:cs="Amiri"/>
          <w:lang w:bidi="ar-SA"/>
          <w:color w:val="111111"/>
          <w:sz w:val="28"/>
          <w:szCs w:val="28"/>
          <w:rtl/>
        </w:rPr>
        <w:t xml:space="preserve">بهجة الشيخ حسين بن منصور الحلاج</w:t>
      </w:r>
    </w:p>
    <w:p>
      <w:pPr>
        <w:pStyle w:val="BookText"/>
      </w:pPr>
      <w:r>
        <w:rPr>
          <w:rFonts w:ascii="IRNazanin" w:hAnsi="IRNazanin" w:eastAsia="IRNazanin" w:cs="IRNazanin"/>
          <w:lang w:bidi="fa-IR"/>
          <w:color w:val="111111"/>
          <w:sz w:val="28"/>
          <w:szCs w:val="28"/>
          <w:rtl/>
        </w:rPr>
        <w:t xml:space="preserve">ج 3، ص 420 .</w:t>
      </w:r>
    </w:p>
    <w:p>
      <w:pPr>
        <w:pStyle w:val="BookText"/>
      </w:pPr>
      <w:r>
        <w:rPr>
          <w:rFonts w:ascii="Amiri" w:hAnsi="Amiri" w:eastAsia="Amiri" w:cs="Amiri"/>
          <w:lang w:bidi="ar-SA"/>
          <w:color w:val="111111"/>
          <w:sz w:val="28"/>
          <w:szCs w:val="28"/>
          <w:rtl/>
        </w:rPr>
        <w:t xml:space="preserve">ابن حلبي ، محمّد بن ابراهيم ابن حنبلي</w:t>
      </w:r>
    </w:p>
    <w:p>
      <w:pPr>
        <w:pStyle w:val="BookText"/>
      </w:pPr>
      <w:r>
        <w:rPr>
          <w:rFonts w:ascii="Amiri" w:hAnsi="Amiri" w:eastAsia="Amiri" w:cs="Amiri"/>
          <w:lang w:bidi="ar-SA"/>
          <w:color w:val="111111"/>
          <w:sz w:val="28"/>
          <w:szCs w:val="28"/>
          <w:rtl/>
        </w:rPr>
        <w:t xml:space="preserve">، محمّد بن ابراهيم</w:t>
      </w:r>
    </w:p>
    <w:p>
      <w:pPr>
        <w:pStyle w:val="Heading2"/>
      </w:pPr>
      <w:bookmarkStart w:id="1236" w:name="_Toc338"/>
      <w:r>
        <w:t>ابن حلل ، عبدالله بن اسمعیل، قرن 11 ه-</w:t>
      </w:r>
      <w:bookmarkEnd w:id="1236"/>
    </w:p>
    <w:p>
      <w:pPr>
        <w:pStyle w:val="BookText"/>
      </w:pPr>
      <w:r>
        <w:rPr>
          <w:rFonts w:ascii="Amiri" w:hAnsi="Amiri" w:eastAsia="Amiri" w:cs="Amiri"/>
          <w:lang w:bidi="ar-SA"/>
          <w:color w:val="111111"/>
          <w:sz w:val="28"/>
          <w:szCs w:val="28"/>
          <w:rtl/>
        </w:rPr>
        <w:t xml:space="preserve">تسير القرآن الكريم، ج4، ص 666 .</w:t>
      </w:r>
    </w:p>
    <w:p>
      <w:pPr>
        <w:pStyle w:val="BookText"/>
      </w:pPr>
      <w:r>
        <w:rPr>
          <w:rFonts w:ascii="IRNazanin" w:hAnsi="IRNazanin" w:eastAsia="IRNazanin" w:cs="IRNazanin"/>
          <w:lang w:bidi="fa-IR"/>
          <w:color w:val="111111"/>
          <w:sz w:val="28"/>
          <w:szCs w:val="28"/>
          <w:rtl/>
        </w:rPr>
        <w:t xml:space="preserve">ابن حلوان احمد بن اسعد -ابن عالمه ،</w:t>
      </w:r>
    </w:p>
    <w:p>
      <w:pPr>
        <w:pStyle w:val="BookText"/>
      </w:pPr>
      <w:r>
        <w:rPr>
          <w:rFonts w:ascii="IRNazanin" w:hAnsi="IRNazanin" w:eastAsia="IRNazanin" w:cs="IRNazanin"/>
          <w:lang w:bidi="fa-IR"/>
          <w:color w:val="111111"/>
          <w:sz w:val="28"/>
          <w:szCs w:val="28"/>
          <w:rtl/>
        </w:rPr>
        <w:t xml:space="preserve">ابن حجله - ابن حمزه</w:t>
      </w:r>
    </w:p>
    <w:p>
      <w:pPr>
        <w:pStyle w:val="BookText"/>
      </w:pPr>
      <w:r>
        <w:rPr>
          <w:rFonts w:ascii="Amiri" w:hAnsi="Amiri" w:eastAsia="Amiri" w:cs="Amiri"/>
          <w:lang w:bidi="ar-SA"/>
          <w:color w:val="111111"/>
          <w:sz w:val="28"/>
          <w:szCs w:val="28"/>
          <w:rtl/>
        </w:rPr>
        <w:t xml:space="preserve">ابن حمدان الحراني الحنبلي حراني ، احمد</w:t>
      </w:r>
    </w:p>
    <w:p>
      <w:pPr>
        <w:pStyle w:val="BookText"/>
      </w:pPr>
      <w:r>
        <w:rPr>
          <w:rFonts w:ascii="IRNazanin" w:hAnsi="IRNazanin" w:eastAsia="IRNazanin" w:cs="IRNazanin"/>
          <w:lang w:bidi="fa-IR"/>
          <w:color w:val="111111"/>
          <w:sz w:val="28"/>
          <w:szCs w:val="28"/>
          <w:rtl/>
        </w:rPr>
        <w:t xml:space="preserve">بن حمدان</w:t>
      </w:r>
    </w:p>
    <w:p>
      <w:pPr>
        <w:pStyle w:val="Heading2"/>
      </w:pPr>
      <w:bookmarkStart w:id="1237" w:name="_Toc339"/>
      <w:r>
        <w:t>ابن حمدان، صالح بن علي - 1081 ه-</w:t>
      </w:r>
      <w:bookmarkEnd w:id="1237"/>
    </w:p>
    <w:p>
      <w:pPr>
        <w:pStyle w:val="BookText"/>
      </w:pPr>
      <w:r>
        <w:rPr>
          <w:rFonts w:ascii="Amiri" w:hAnsi="Amiri" w:eastAsia="Amiri" w:cs="Amiri"/>
          <w:lang w:bidi="ar-SA"/>
          <w:color w:val="111111"/>
          <w:sz w:val="28"/>
          <w:szCs w:val="28"/>
          <w:rtl/>
        </w:rPr>
        <w:t xml:space="preserve">زبدة البيان في تدبير أمراض الانسان</w:t>
      </w:r>
    </w:p>
    <w:p>
      <w:pPr>
        <w:pStyle w:val="BookText"/>
      </w:pPr>
      <w:r>
        <w:rPr>
          <w:rFonts w:ascii="IRNazanin" w:hAnsi="IRNazanin" w:eastAsia="IRNazanin" w:cs="IRNazanin"/>
          <w:lang w:bidi="fa-IR"/>
          <w:color w:val="111111"/>
          <w:sz w:val="28"/>
          <w:szCs w:val="28"/>
          <w:rtl/>
        </w:rPr>
        <w:t xml:space="preserve">ج8، ص 569.</w:t>
      </w:r>
    </w:p>
    <w:p>
      <w:pPr>
        <w:pStyle w:val="Heading2"/>
      </w:pPr>
      <w:bookmarkStart w:id="1238" w:name="_Toc340"/>
      <w:r>
        <w:t>ابن حمدان ، محمّد بن علي 468-561 ه-</w:t>
      </w:r>
      <w:bookmarkEnd w:id="1238"/>
    </w:p>
    <w:p>
      <w:pPr>
        <w:pStyle w:val="BookText"/>
      </w:pPr>
      <w:r>
        <w:rPr>
          <w:rFonts w:ascii="Amiri" w:hAnsi="Amiri" w:eastAsia="Amiri" w:cs="Amiri"/>
          <w:lang w:bidi="ar-SA"/>
          <w:color w:val="111111"/>
          <w:sz w:val="28"/>
          <w:szCs w:val="28"/>
          <w:rtl/>
        </w:rPr>
        <w:t xml:space="preserve">الذخيرة وكشف التوقع لاهل البصيرة</w:t>
      </w:r>
    </w:p>
    <w:p>
      <w:pPr>
        <w:pStyle w:val="BookText"/>
      </w:pPr>
      <w:r>
        <w:rPr>
          <w:rFonts w:ascii="IRNazanin" w:hAnsi="IRNazanin" w:eastAsia="IRNazanin" w:cs="IRNazanin"/>
          <w:lang w:bidi="fa-IR"/>
          <w:color w:val="111111"/>
          <w:sz w:val="28"/>
          <w:szCs w:val="28"/>
          <w:rtl/>
        </w:rPr>
        <w:t xml:space="preserve">ج 7، ص 840.</w:t>
      </w:r>
    </w:p>
    <w:p>
      <w:pPr>
        <w:pStyle w:val="BookText"/>
      </w:pPr>
      <w:r>
        <w:rPr>
          <w:rFonts w:ascii="Amiri" w:hAnsi="Amiri" w:eastAsia="Amiri" w:cs="Amiri"/>
          <w:lang w:bidi="ar-SA"/>
          <w:color w:val="111111"/>
          <w:sz w:val="28"/>
          <w:szCs w:val="28"/>
          <w:rtl/>
        </w:rPr>
        <w:t xml:space="preserve">ابن حمدون ، محمّد بن اويس - حسيني ،</w:t>
      </w:r>
    </w:p>
    <w:p>
      <w:pPr>
        <w:pStyle w:val="BookText"/>
      </w:pPr>
      <w:r>
        <w:rPr>
          <w:rFonts w:ascii="IRNazanin" w:hAnsi="IRNazanin" w:eastAsia="IRNazanin" w:cs="IRNazanin"/>
          <w:lang w:bidi="fa-IR"/>
          <w:color w:val="111111"/>
          <w:sz w:val="28"/>
          <w:szCs w:val="28"/>
          <w:rtl/>
        </w:rPr>
        <w:t xml:space="preserve">محمّد بن اویس</w:t>
      </w:r>
    </w:p>
    <w:p>
      <w:pPr>
        <w:pStyle w:val="BookText"/>
      </w:pPr>
      <w:r>
        <w:rPr>
          <w:rFonts w:ascii="IRNazanin" w:hAnsi="IRNazanin" w:eastAsia="IRNazanin" w:cs="IRNazanin"/>
          <w:lang w:bidi="fa-IR"/>
          <w:color w:val="111111"/>
          <w:sz w:val="28"/>
          <w:szCs w:val="28"/>
          <w:rtl/>
        </w:rPr>
        <w:t xml:space="preserve">احمد بن اسعد</w:t>
      </w:r>
    </w:p>
    <w:p>
      <w:pPr>
        <w:pStyle w:val="Heading2"/>
      </w:pPr>
      <w:bookmarkStart w:id="1239" w:name="_Toc341"/>
      <w:r>
        <w:t>ابن حماد ، علي بن عبيد الله قرن 4 ه-</w:t>
      </w:r>
      <w:bookmarkEnd w:id="1239"/>
    </w:p>
    <w:p>
      <w:pPr>
        <w:pStyle w:val="BookText"/>
      </w:pPr>
      <w:r>
        <w:rPr>
          <w:rFonts w:ascii="Amiri" w:hAnsi="Amiri" w:eastAsia="Amiri" w:cs="Amiri"/>
          <w:lang w:bidi="ar-SA"/>
          <w:color w:val="111111"/>
          <w:sz w:val="28"/>
          <w:szCs w:val="28"/>
          <w:rtl/>
        </w:rPr>
        <w:t xml:space="preserve">ديوان ابن حماد، ج 7، ص 515</w:t>
      </w:r>
    </w:p>
    <w:p>
      <w:pPr>
        <w:pStyle w:val="Heading2"/>
      </w:pPr>
      <w:bookmarkStart w:id="1240" w:name="_Toc342"/>
      <w:r>
        <w:t>ابن حمادي، محمّد بن ابي بكر 750 ه-</w:t>
      </w:r>
      <w:bookmarkEnd w:id="1240"/>
    </w:p>
    <w:p>
      <w:pPr>
        <w:pStyle w:val="BookText"/>
      </w:pPr>
      <w:r>
        <w:rPr>
          <w:rFonts w:ascii="Amiri" w:hAnsi="Amiri" w:eastAsia="Amiri" w:cs="Amiri"/>
          <w:lang w:bidi="ar-SA"/>
          <w:color w:val="111111"/>
          <w:sz w:val="28"/>
          <w:szCs w:val="28"/>
          <w:rtl/>
        </w:rPr>
        <w:t xml:space="preserve">روضة الاعيان في اخبار مشاهير الزمان ، محمّد بن عبد السلام</w:t>
      </w:r>
    </w:p>
    <w:p>
      <w:pPr>
        <w:pStyle w:val="BookText"/>
      </w:pPr>
      <w:r>
        <w:rPr>
          <w:rFonts w:ascii="IRNazanin" w:hAnsi="IRNazanin" w:eastAsia="IRNazanin" w:cs="IRNazanin"/>
          <w:lang w:bidi="fa-IR"/>
          <w:color w:val="111111"/>
          <w:sz w:val="28"/>
          <w:szCs w:val="28"/>
          <w:rtl/>
        </w:rPr>
        <w:t xml:space="preserve">ج8، ص 403 .</w:t>
      </w:r>
    </w:p>
    <w:p>
      <w:pPr>
        <w:pStyle w:val="Heading2"/>
      </w:pPr>
      <w:bookmarkStart w:id="1241" w:name="_Toc343"/>
      <w:r>
        <w:t>ابن حمدون ، محمّد بن حسن 495 -</w:t>
      </w:r>
      <w:bookmarkEnd w:id="1241"/>
    </w:p>
    <w:p>
      <w:pPr>
        <w:pStyle w:val="BookText"/>
      </w:pPr>
      <w:r>
        <w:rPr>
          <w:rFonts w:ascii="IRNazanin" w:hAnsi="IRNazanin" w:eastAsia="IRNazanin" w:cs="IRNazanin"/>
          <w:lang w:bidi="fa-IR"/>
          <w:color w:val="111111"/>
          <w:sz w:val="28"/>
          <w:szCs w:val="28"/>
          <w:rtl/>
        </w:rPr>
        <w:t xml:space="preserve">562 ه-</w:t>
      </w:r>
    </w:p>
    <w:p>
      <w:pPr>
        <w:pStyle w:val="BookText"/>
      </w:pPr>
      <w:r>
        <w:rPr>
          <w:rFonts w:ascii="Amiri" w:hAnsi="Amiri" w:eastAsia="Amiri" w:cs="Amiri"/>
          <w:lang w:bidi="ar-SA"/>
          <w:color w:val="111111"/>
          <w:sz w:val="28"/>
          <w:szCs w:val="28"/>
          <w:rtl/>
        </w:rPr>
        <w:t xml:space="preserve">التذكرة = تذكرة ابن حمدون، جع،</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Amiri" w:hAnsi="Amiri" w:eastAsia="Amiri" w:cs="Amiri"/>
          <w:lang w:bidi="ar-SA"/>
          <w:color w:val="111111"/>
          <w:sz w:val="28"/>
          <w:szCs w:val="28"/>
          <w:rtl/>
        </w:rPr>
        <w:t xml:space="preserve">ابن حمدون ، محمد بن عبد السلام بناني</w:t>
      </w:r>
    </w:p>
    <w:p>
      <w:pPr>
        <w:pStyle w:val="Heading2"/>
      </w:pPr>
      <w:bookmarkStart w:id="1242" w:name="_Toc344"/>
      <w:r>
        <w:t>ابن حماه الله ، عبدالله بن احمد غلاوي ،</w:t>
      </w:r>
      <w:bookmarkEnd w:id="1242"/>
    </w:p>
    <w:p>
      <w:pPr>
        <w:pStyle w:val="BookText"/>
      </w:pPr>
      <w:r>
        <w:rPr>
          <w:rFonts w:ascii="IRNazanin" w:hAnsi="IRNazanin" w:eastAsia="IRNazanin" w:cs="IRNazanin"/>
          <w:lang w:bidi="fa-IR"/>
          <w:color w:val="111111"/>
          <w:sz w:val="28"/>
          <w:szCs w:val="28"/>
          <w:rtl/>
        </w:rPr>
        <w:t xml:space="preserve">عبدالله بن احمد</w:t>
      </w:r>
    </w:p>
    <w:p>
      <w:pPr>
        <w:pStyle w:val="BookText"/>
      </w:pPr>
      <w:r>
        <w:rPr>
          <w:rFonts w:ascii="IRNazanin" w:hAnsi="IRNazanin" w:eastAsia="IRNazanin" w:cs="IRNazanin"/>
          <w:lang w:bidi="fa-IR"/>
          <w:color w:val="111111"/>
          <w:sz w:val="28"/>
          <w:szCs w:val="28"/>
          <w:rtl/>
        </w:rPr>
        <w:t xml:space="preserve">ابن حماه ، عبدالله بن حماه الله</w:t>
      </w:r>
    </w:p>
    <w:p>
      <w:pPr>
        <w:pStyle w:val="BookText"/>
      </w:pPr>
      <w:r>
        <w:rPr>
          <w:rFonts w:ascii="Amiri" w:hAnsi="Amiri" w:eastAsia="Amiri" w:cs="Amiri"/>
          <w:lang w:bidi="ar-SA"/>
          <w:color w:val="111111"/>
          <w:sz w:val="28"/>
          <w:szCs w:val="28"/>
          <w:rtl/>
        </w:rPr>
        <w:t xml:space="preserve">نظم رسالة ابن ابي زيد القيرواني</w:t>
      </w:r>
    </w:p>
    <w:p>
      <w:pPr>
        <w:pStyle w:val="BookText"/>
      </w:pPr>
      <w:r>
        <w:rPr>
          <w:rFonts w:ascii="IRNazanin" w:hAnsi="IRNazanin" w:eastAsia="IRNazanin" w:cs="IRNazanin"/>
          <w:lang w:bidi="fa-IR"/>
          <w:color w:val="111111"/>
          <w:sz w:val="28"/>
          <w:szCs w:val="28"/>
          <w:rtl/>
        </w:rPr>
        <w:t xml:space="preserve">ج 16، ص 342.</w:t>
      </w:r>
    </w:p>
    <w:p>
      <w:pPr>
        <w:pStyle w:val="Heading2"/>
      </w:pPr>
      <w:bookmarkStart w:id="1243" w:name="_Toc345"/>
      <w:r>
        <w:t>ابن حمديس ، عبدالجبار بن ابي بكر</w:t>
      </w:r>
      <w:bookmarkEnd w:id="1243"/>
    </w:p>
    <w:p>
      <w:pPr>
        <w:pStyle w:val="BookText"/>
      </w:pPr>
      <w:r>
        <w:rPr>
          <w:rFonts w:ascii="IRNazanin" w:hAnsi="IRNazanin" w:eastAsia="IRNazanin" w:cs="IRNazanin"/>
          <w:lang w:bidi="fa-IR"/>
          <w:color w:val="111111"/>
          <w:sz w:val="28"/>
          <w:szCs w:val="28"/>
          <w:rtl/>
        </w:rPr>
        <w:t xml:space="preserve">2446 - 527 ه-</w:t>
      </w:r>
    </w:p>
    <w:p>
      <w:pPr>
        <w:pStyle w:val="BookText"/>
      </w:pPr>
      <w:r>
        <w:rPr>
          <w:rFonts w:ascii="IRNazanin" w:hAnsi="IRNazanin" w:eastAsia="IRNazanin" w:cs="IRNazanin"/>
          <w:lang w:bidi="fa-IR"/>
          <w:color w:val="111111"/>
          <w:sz w:val="28"/>
          <w:szCs w:val="28"/>
          <w:rtl/>
        </w:rPr>
        <w:t xml:space="preserve">دیوان ابن حمديس، ج7، ص 516.</w:t>
      </w:r>
    </w:p>
    <w:p>
      <w:pPr>
        <w:pStyle w:val="BookText"/>
      </w:pPr>
      <w:r>
        <w:rPr>
          <w:rFonts w:ascii="Amiri" w:hAnsi="Amiri" w:eastAsia="Amiri" w:cs="Amiri"/>
          <w:lang w:bidi="ar-SA"/>
          <w:color w:val="111111"/>
          <w:sz w:val="28"/>
          <w:szCs w:val="28"/>
          <w:rtl/>
        </w:rPr>
        <w:t xml:space="preserve">ابن حمزه ، ابوالقاسم علي بن</w:t>
      </w:r>
    </w:p>
    <w:p>
      <w:pPr>
        <w:pStyle w:val="BookText"/>
      </w:pPr>
      <w:r>
        <w:rPr>
          <w:rFonts w:ascii="Amiri" w:hAnsi="Amiri" w:eastAsia="Amiri" w:cs="Amiri"/>
          <w:lang w:bidi="ar-SA"/>
          <w:color w:val="111111"/>
          <w:sz w:val="28"/>
          <w:szCs w:val="28"/>
          <w:rtl/>
        </w:rPr>
        <w:t xml:space="preserve">حمزه -بصري ، علي بن حمزه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8" w:name="pg7742_69459"/>
    <w:bookmarkEnd w:id="58"/>
    <w:p>
      <w:pPr>
        <w:pStyle w:val="Heading2"/>
      </w:pPr>
      <w:bookmarkStart w:id="1244" w:name="_Toc346"/>
      <w:r>
        <w:t>ابن حمزه حسيني ، ابراهيم بن محمّد</w:t>
      </w:r>
      <w:bookmarkEnd w:id="1244"/>
    </w:p>
    <w:p>
      <w:pPr>
        <w:pStyle w:val="BookText"/>
      </w:pPr>
      <w:r>
        <w:rPr>
          <w:rFonts w:ascii="IRNazanin" w:hAnsi="IRNazanin" w:eastAsia="IRNazanin" w:cs="IRNazanin"/>
          <w:lang w:bidi="fa-IR"/>
          <w:color w:val="111111"/>
          <w:sz w:val="28"/>
          <w:szCs w:val="28"/>
          <w:rtl/>
        </w:rPr>
        <w:t xml:space="preserve">1054 - 1120ه-</w:t>
      </w:r>
    </w:p>
    <w:p>
      <w:pPr>
        <w:pStyle w:val="BookText"/>
      </w:pPr>
      <w:r>
        <w:rPr>
          <w:rFonts w:ascii="Amiri" w:hAnsi="Amiri" w:eastAsia="Amiri" w:cs="Amiri"/>
          <w:lang w:bidi="ar-SA"/>
          <w:color w:val="111111"/>
          <w:sz w:val="28"/>
          <w:szCs w:val="28"/>
          <w:rtl/>
        </w:rPr>
        <w:t xml:space="preserve">البيان والتعريف في اسباب ورود</w:t>
      </w:r>
    </w:p>
    <w:p>
      <w:pPr>
        <w:pStyle w:val="BookText"/>
      </w:pPr>
      <w:r>
        <w:rPr>
          <w:rFonts w:ascii="Amiri" w:hAnsi="Amiri" w:eastAsia="Amiri" w:cs="Amiri"/>
          <w:lang w:bidi="ar-SA"/>
          <w:color w:val="111111"/>
          <w:sz w:val="28"/>
          <w:szCs w:val="28"/>
          <w:rtl/>
        </w:rPr>
        <w:t xml:space="preserve">الحديث الشريف = التبيان و</w:t>
      </w:r>
    </w:p>
    <w:p>
      <w:pPr>
        <w:pStyle w:val="BookText"/>
      </w:pPr>
      <w:r>
        <w:rPr>
          <w:rFonts w:ascii="Amiri" w:hAnsi="Amiri" w:eastAsia="Amiri" w:cs="Amiri"/>
          <w:lang w:bidi="ar-SA"/>
          <w:color w:val="111111"/>
          <w:sz w:val="28"/>
          <w:szCs w:val="28"/>
          <w:rtl/>
        </w:rPr>
        <w:t xml:space="preserve">التعريف، ج 3، ص 498.</w:t>
      </w:r>
    </w:p>
    <w:p>
      <w:pPr>
        <w:pStyle w:val="BookText"/>
      </w:pPr>
      <w:r>
        <w:rPr>
          <w:rFonts w:ascii="Amiri" w:hAnsi="Amiri" w:eastAsia="Amiri" w:cs="Amiri"/>
          <w:lang w:bidi="ar-SA"/>
          <w:color w:val="111111"/>
          <w:sz w:val="28"/>
          <w:szCs w:val="28"/>
          <w:rtl/>
        </w:rPr>
        <w:t xml:space="preserve">ابن حمزه ، علي بن حمزه بصري ، علي</w:t>
      </w:r>
    </w:p>
    <w:p>
      <w:pPr>
        <w:pStyle w:val="BookText"/>
      </w:pPr>
      <w:r>
        <w:rPr>
          <w:rFonts w:ascii="IRNazanin" w:hAnsi="IRNazanin" w:eastAsia="IRNazanin" w:cs="IRNazanin"/>
          <w:lang w:bidi="fa-IR"/>
          <w:color w:val="111111"/>
          <w:sz w:val="28"/>
          <w:szCs w:val="28"/>
          <w:rtl/>
        </w:rPr>
        <w:t xml:space="preserve">بن حمزه</w:t>
      </w:r>
    </w:p>
    <w:p>
      <w:pPr>
        <w:pStyle w:val="Heading2"/>
      </w:pPr>
      <w:bookmarkStart w:id="1245" w:name="_Toc347"/>
      <w:r>
        <w:t>ابن حمزه ، محمّد بن علي قرن 6 ه-</w:t>
      </w:r>
      <w:bookmarkEnd w:id="1245"/>
    </w:p>
    <w:p>
      <w:pPr>
        <w:pStyle w:val="BookText"/>
      </w:pPr>
      <w:r>
        <w:rPr>
          <w:rFonts w:ascii="Amiri" w:hAnsi="Amiri" w:eastAsia="Amiri" w:cs="Amiri"/>
          <w:lang w:bidi="ar-SA"/>
          <w:color w:val="111111"/>
          <w:sz w:val="28"/>
          <w:szCs w:val="28"/>
          <w:rtl/>
        </w:rPr>
        <w:t xml:space="preserve">الثاقب في المناقب، ج5، ص207.</w:t>
      </w:r>
    </w:p>
    <w:p>
      <w:pPr>
        <w:pStyle w:val="Heading2"/>
      </w:pPr>
      <w:bookmarkStart w:id="1246" w:name="_Toc348"/>
      <w:r>
        <w:t>ابن حمزه ، محمّد بن علي، 715 - 765 ه-</w:t>
      </w:r>
      <w:bookmarkEnd w:id="1246"/>
    </w:p>
    <w:p>
      <w:pPr>
        <w:pStyle w:val="BookText"/>
      </w:pPr>
      <w:r>
        <w:rPr>
          <w:rFonts w:ascii="Amiri" w:hAnsi="Amiri" w:eastAsia="Amiri" w:cs="Amiri"/>
          <w:lang w:bidi="ar-SA"/>
          <w:color w:val="111111"/>
          <w:sz w:val="28"/>
          <w:szCs w:val="28"/>
          <w:rtl/>
        </w:rPr>
        <w:t xml:space="preserve">ذيل العبر في خبر من غبر، ج 7،</w:t>
      </w:r>
    </w:p>
    <w:p>
      <w:pPr>
        <w:pStyle w:val="BookText"/>
      </w:pPr>
      <w:r>
        <w:rPr>
          <w:rFonts w:ascii="IRNazanin" w:hAnsi="IRNazanin" w:eastAsia="IRNazanin" w:cs="IRNazanin"/>
          <w:lang w:bidi="fa-IR"/>
          <w:color w:val="111111"/>
          <w:sz w:val="28"/>
          <w:szCs w:val="28"/>
          <w:rtl/>
        </w:rPr>
        <w:t xml:space="preserve">ص 876.</w:t>
      </w:r>
    </w:p>
    <w:p>
      <w:pPr>
        <w:pStyle w:val="Heading2"/>
      </w:pPr>
      <w:bookmarkStart w:id="1247" w:name="_Toc349"/>
      <w:r>
        <w:t>ابن حمزه ، محمّد بن علي قرن 6 ه-</w:t>
      </w:r>
      <w:bookmarkEnd w:id="1247"/>
    </w:p>
    <w:p>
      <w:pPr>
        <w:pStyle w:val="BookText"/>
      </w:pPr>
      <w:r>
        <w:rPr>
          <w:rFonts w:ascii="Amiri" w:hAnsi="Amiri" w:eastAsia="Amiri" w:cs="Amiri"/>
          <w:lang w:bidi="ar-SA"/>
          <w:color w:val="111111"/>
          <w:sz w:val="28"/>
          <w:szCs w:val="28"/>
          <w:rtl/>
        </w:rPr>
        <w:t xml:space="preserve">الوسيلة إلى نيل الفضيلة = وسيله ابن</w:t>
      </w:r>
    </w:p>
    <w:p>
      <w:pPr>
        <w:pStyle w:val="BookText"/>
      </w:pPr>
      <w:r>
        <w:rPr>
          <w:rFonts w:ascii="IRNazanin" w:hAnsi="IRNazanin" w:eastAsia="IRNazanin" w:cs="IRNazanin"/>
          <w:lang w:bidi="fa-IR"/>
          <w:color w:val="111111"/>
          <w:sz w:val="28"/>
          <w:szCs w:val="28"/>
          <w:rtl/>
        </w:rPr>
        <w:t xml:space="preserve">حمزه، ج 16، ص782.</w:t>
      </w:r>
    </w:p>
    <w:p>
      <w:pPr>
        <w:pStyle w:val="Heading2"/>
      </w:pPr>
      <w:bookmarkStart w:id="1248" w:name="_Toc350"/>
      <w:r>
        <w:t>ابن حمصي ، احمد بن حمصي</w:t>
      </w:r>
      <w:bookmarkEnd w:id="1248"/>
    </w:p>
    <w:p>
      <w:pPr>
        <w:pStyle w:val="BookText"/>
      </w:pPr>
      <w:r>
        <w:rPr>
          <w:rFonts w:ascii="Amiri" w:hAnsi="Amiri" w:eastAsia="Amiri" w:cs="Amiri"/>
          <w:lang w:bidi="ar-SA"/>
          <w:color w:val="111111"/>
          <w:sz w:val="28"/>
          <w:szCs w:val="28"/>
          <w:rtl/>
        </w:rPr>
        <w:t xml:space="preserve">حوادث سنة (763 - 5764)، ج 6،</w:t>
      </w:r>
    </w:p>
    <w:p>
      <w:pPr>
        <w:pStyle w:val="BookText"/>
      </w:pPr>
      <w:r>
        <w:rPr>
          <w:rFonts w:ascii="IRNazanin" w:hAnsi="IRNazanin" w:eastAsia="IRNazanin" w:cs="IRNazanin"/>
          <w:lang w:bidi="fa-IR"/>
          <w:color w:val="111111"/>
          <w:sz w:val="28"/>
          <w:szCs w:val="28"/>
          <w:rtl/>
        </w:rPr>
        <w:t xml:space="preserve">ص 828.</w:t>
      </w:r>
    </w:p>
    <w:p>
      <w:pPr>
        <w:pStyle w:val="Heading2"/>
      </w:pPr>
      <w:bookmarkStart w:id="1249" w:name="_Toc351"/>
      <w:r>
        <w:t>ابن حمصي ، عمر بن موسى 777-861ه-</w:t>
      </w:r>
      <w:bookmarkEnd w:id="1249"/>
    </w:p>
    <w:p>
      <w:pPr>
        <w:pStyle w:val="BookText"/>
      </w:pPr>
      <w:r>
        <w:rPr>
          <w:rFonts w:ascii="Amiri" w:hAnsi="Amiri" w:eastAsia="Amiri" w:cs="Amiri"/>
          <w:lang w:bidi="ar-SA"/>
          <w:color w:val="111111"/>
          <w:sz w:val="28"/>
          <w:szCs w:val="28"/>
          <w:rtl/>
        </w:rPr>
        <w:t xml:space="preserve">الكافي، ج 13، ص 47.</w:t>
      </w:r>
    </w:p>
    <w:p>
      <w:pPr>
        <w:pStyle w:val="BookText"/>
      </w:pPr>
      <w:r>
        <w:rPr>
          <w:rFonts w:ascii="Amiri" w:hAnsi="Amiri" w:eastAsia="Amiri" w:cs="Amiri"/>
          <w:lang w:bidi="ar-SA"/>
          <w:color w:val="111111"/>
          <w:sz w:val="28"/>
          <w:szCs w:val="28"/>
          <w:rtl/>
        </w:rPr>
        <w:t xml:space="preserve">ابن حمودة ، اسماعيل بن عبدالله -موصلي</w:t>
      </w:r>
    </w:p>
    <w:p>
      <w:pPr>
        <w:pStyle w:val="BookText"/>
      </w:pPr>
      <w:r>
        <w:rPr>
          <w:rFonts w:ascii="IRNazanin" w:hAnsi="IRNazanin" w:eastAsia="IRNazanin" w:cs="IRNazanin"/>
          <w:lang w:bidi="fa-IR"/>
          <w:color w:val="111111"/>
          <w:sz w:val="28"/>
          <w:szCs w:val="28"/>
          <w:rtl/>
        </w:rPr>
        <w:t xml:space="preserve">، اسماعیل بن عبدالله</w:t>
      </w:r>
    </w:p>
    <w:p>
      <w:pPr>
        <w:pStyle w:val="BookText"/>
      </w:pPr>
      <w:r>
        <w:rPr>
          <w:rFonts w:ascii="Amiri" w:hAnsi="Amiri" w:eastAsia="Amiri" w:cs="Amiri"/>
          <w:lang w:bidi="ar-SA"/>
          <w:color w:val="111111"/>
          <w:sz w:val="28"/>
          <w:szCs w:val="28"/>
          <w:rtl/>
        </w:rPr>
        <w:t xml:space="preserve">ابن حموش ، مكي بن ابي طالب -مكي بن</w:t>
      </w:r>
    </w:p>
    <w:p>
      <w:pPr>
        <w:pStyle w:val="BookText"/>
      </w:pPr>
      <w:r>
        <w:rPr>
          <w:rFonts w:ascii="IRNazanin" w:hAnsi="IRNazanin" w:eastAsia="IRNazanin" w:cs="IRNazanin"/>
          <w:lang w:bidi="fa-IR"/>
          <w:color w:val="111111"/>
          <w:sz w:val="28"/>
          <w:szCs w:val="28"/>
          <w:rtl/>
        </w:rPr>
        <w:t xml:space="preserve">حموش</w:t>
      </w:r>
    </w:p>
    <w:p>
      <w:pPr>
        <w:pStyle w:val="BookText"/>
      </w:pPr>
      <w:r>
        <w:rPr>
          <w:rFonts w:ascii="Amiri" w:hAnsi="Amiri" w:eastAsia="Amiri" w:cs="Amiri"/>
          <w:lang w:bidi="ar-SA"/>
          <w:color w:val="111111"/>
          <w:sz w:val="28"/>
          <w:szCs w:val="28"/>
          <w:rtl/>
        </w:rPr>
        <w:t xml:space="preserve">ابن حمويه ، ابراهيم بن محمّد- حموي ،</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ابن حمويه ، محمّد بن حمويه -جويني ،</w:t>
      </w:r>
    </w:p>
    <w:p>
      <w:pPr>
        <w:pStyle w:val="BookText"/>
      </w:pPr>
      <w:r>
        <w:rPr>
          <w:rFonts w:ascii="Amiri" w:hAnsi="Amiri" w:eastAsia="Amiri" w:cs="Amiri"/>
          <w:lang w:bidi="ar-SA"/>
          <w:color w:val="111111"/>
          <w:sz w:val="28"/>
          <w:szCs w:val="28"/>
          <w:rtl/>
        </w:rPr>
        <w:t xml:space="preserve">محمّد بن حمويه</w:t>
      </w:r>
    </w:p>
    <w:p>
      <w:pPr>
        <w:pStyle w:val="BookText"/>
      </w:pPr>
      <w:r>
        <w:rPr>
          <w:rFonts w:ascii="Amiri" w:hAnsi="Amiri" w:eastAsia="Amiri" w:cs="Amiri"/>
          <w:lang w:bidi="ar-SA"/>
          <w:color w:val="111111"/>
          <w:sz w:val="28"/>
          <w:szCs w:val="28"/>
          <w:rtl/>
        </w:rPr>
        <w:t xml:space="preserve">ابن حمويه ، يوسف بن محمّد- جويني ،</w:t>
      </w:r>
    </w:p>
    <w:p>
      <w:pPr>
        <w:pStyle w:val="BookText"/>
      </w:pPr>
      <w:r>
        <w:rPr>
          <w:rFonts w:ascii="Amiri" w:hAnsi="Amiri" w:eastAsia="Amiri" w:cs="Amiri"/>
          <w:lang w:bidi="ar-SA"/>
          <w:color w:val="111111"/>
          <w:sz w:val="28"/>
          <w:szCs w:val="28"/>
          <w:rtl/>
        </w:rPr>
        <w:t xml:space="preserve">يوسف بن محمّد</w:t>
      </w:r>
    </w:p>
    <w:p>
      <w:pPr>
        <w:pStyle w:val="BookText"/>
      </w:pPr>
      <w:r>
        <w:rPr>
          <w:rFonts w:ascii="IRNazanin" w:hAnsi="IRNazanin" w:eastAsia="IRNazanin" w:cs="IRNazanin"/>
          <w:lang w:bidi="fa-IR"/>
          <w:color w:val="111111"/>
          <w:sz w:val="28"/>
          <w:szCs w:val="28"/>
          <w:rtl/>
        </w:rPr>
        <w:t xml:space="preserve">ابن حميدالدین ، احمد بن حسن- ابن</w:t>
      </w:r>
    </w:p>
    <w:p>
      <w:pPr>
        <w:pStyle w:val="BookText"/>
      </w:pPr>
      <w:r>
        <w:rPr>
          <w:rFonts w:ascii="Amiri" w:hAnsi="Amiri" w:eastAsia="Amiri" w:cs="Amiri"/>
          <w:lang w:bidi="ar-SA"/>
          <w:color w:val="111111"/>
          <w:sz w:val="28"/>
          <w:szCs w:val="28"/>
          <w:rtl/>
        </w:rPr>
        <w:t xml:space="preserve">شرف الدين ، احمد بن حسن</w:t>
      </w:r>
    </w:p>
    <w:p>
      <w:pPr>
        <w:pStyle w:val="Heading2"/>
      </w:pPr>
      <w:bookmarkStart w:id="1250" w:name="_Toc352"/>
      <w:r>
        <w:t>ابن حنائي، علي بن امر الله 916 - 979 ه-</w:t>
      </w:r>
      <w:bookmarkEnd w:id="1250"/>
    </w:p>
    <w:p>
      <w:pPr>
        <w:pStyle w:val="BookText"/>
      </w:pPr>
      <w:r>
        <w:rPr>
          <w:rFonts w:ascii="Amiri" w:hAnsi="Amiri" w:eastAsia="Amiri" w:cs="Amiri"/>
          <w:lang w:bidi="ar-SA"/>
          <w:color w:val="111111"/>
          <w:sz w:val="28"/>
          <w:szCs w:val="28"/>
          <w:rtl/>
        </w:rPr>
        <w:t xml:space="preserve">طبقات الحنفية، ج 10، ص 773.</w:t>
      </w:r>
    </w:p>
    <w:p>
      <w:pPr>
        <w:pStyle w:val="Heading2"/>
      </w:pPr>
      <w:bookmarkStart w:id="1251" w:name="_Toc353"/>
      <w:r>
        <w:t>ابن حنبل ، أحمد بن محمّد، 164-241 ه-</w:t>
      </w:r>
      <w:bookmarkEnd w:id="1251"/>
    </w:p>
    <w:p>
      <w:pPr>
        <w:pStyle w:val="BookText"/>
      </w:pPr>
      <w:r>
        <w:rPr>
          <w:rFonts w:ascii="Amiri" w:hAnsi="Amiri" w:eastAsia="Amiri" w:cs="Amiri"/>
          <w:lang w:bidi="ar-SA"/>
          <w:color w:val="111111"/>
          <w:sz w:val="28"/>
          <w:szCs w:val="28"/>
          <w:rtl/>
        </w:rPr>
        <w:t xml:space="preserve">1 .الحديث في معرفة الرجال، ج 6،</w:t>
      </w:r>
    </w:p>
    <w:p>
      <w:pPr>
        <w:pStyle w:val="BookText"/>
      </w:pPr>
      <w:r>
        <w:rPr>
          <w:rFonts w:ascii="IRNazanin" w:hAnsi="IRNazanin" w:eastAsia="IRNazanin" w:cs="IRNazanin"/>
          <w:lang w:bidi="fa-IR"/>
          <w:color w:val="111111"/>
          <w:sz w:val="28"/>
          <w:szCs w:val="28"/>
          <w:rtl/>
        </w:rPr>
        <w:t xml:space="preserve">ص 573 .</w:t>
      </w:r>
    </w:p>
    <w:p>
      <w:pPr>
        <w:pStyle w:val="BookText"/>
      </w:pPr>
      <w:r>
        <w:rPr>
          <w:rFonts w:ascii="Amiri" w:hAnsi="Amiri" w:eastAsia="Amiri" w:cs="Amiri"/>
          <w:lang w:bidi="ar-SA"/>
          <w:color w:val="111111"/>
          <w:sz w:val="28"/>
          <w:szCs w:val="28"/>
          <w:rtl/>
        </w:rPr>
        <w:t xml:space="preserve">2 .رد الزنادقة و الجهمية( رسالة في)</w:t>
      </w:r>
    </w:p>
    <w:p>
      <w:pPr>
        <w:pStyle w:val="BookText"/>
      </w:pPr>
      <w:r>
        <w:rPr>
          <w:rFonts w:ascii="IRNazanin" w:hAnsi="IRNazanin" w:eastAsia="IRNazanin" w:cs="IRNazanin"/>
          <w:lang w:bidi="fa-IR"/>
          <w:color w:val="111111"/>
          <w:sz w:val="28"/>
          <w:szCs w:val="28"/>
          <w:rtl/>
        </w:rPr>
        <w:t xml:space="preserve">ج 8، ص 85.</w:t>
      </w:r>
    </w:p>
    <w:p>
      <w:pPr>
        <w:pStyle w:val="BookText"/>
      </w:pPr>
      <w:r>
        <w:rPr>
          <w:rFonts w:ascii="Amiri" w:hAnsi="Amiri" w:eastAsia="Amiri" w:cs="Amiri"/>
          <w:lang w:bidi="ar-SA"/>
          <w:color w:val="111111"/>
          <w:sz w:val="28"/>
          <w:szCs w:val="28"/>
          <w:rtl/>
        </w:rPr>
        <w:t xml:space="preserve">3 .الصلاة = كتاب الصلاة و ما يلزم فيها لاهل القبلة، ج 10، ص 582.</w:t>
      </w:r>
    </w:p>
    <w:p>
      <w:pPr>
        <w:pStyle w:val="BookText"/>
      </w:pPr>
      <w:r>
        <w:rPr>
          <w:rFonts w:ascii="Amiri" w:hAnsi="Amiri" w:eastAsia="Amiri" w:cs="Amiri"/>
          <w:lang w:bidi="ar-SA"/>
          <w:color w:val="111111"/>
          <w:sz w:val="28"/>
          <w:szCs w:val="28"/>
          <w:rtl/>
        </w:rPr>
        <w:t xml:space="preserve">4 .فضائل علي عليه السلام، ج12،</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المسائل، ج 14، ص 428.</w:t>
      </w:r>
    </w:p>
    <w:p>
      <w:pPr>
        <w:pStyle w:val="BookText"/>
      </w:pPr>
      <w:r>
        <w:rPr>
          <w:rFonts w:ascii="IRNazanin" w:hAnsi="IRNazanin" w:eastAsia="IRNazanin" w:cs="IRNazanin"/>
          <w:lang w:bidi="fa-IR"/>
          <w:color w:val="111111"/>
          <w:sz w:val="28"/>
          <w:szCs w:val="28"/>
          <w:rtl/>
        </w:rPr>
        <w:t xml:space="preserve">6 .المسند، ج 14، ص 588</w:t>
      </w:r>
    </w:p>
    <w:p>
      <w:pPr>
        <w:pStyle w:val="Heading2"/>
      </w:pPr>
      <w:bookmarkStart w:id="1252" w:name="_Toc354"/>
      <w:r>
        <w:t>ابن حنبل ، عبدالله بن احمد - 290 ه-</w:t>
      </w:r>
      <w:bookmarkEnd w:id="1252"/>
    </w:p>
    <w:p>
      <w:pPr>
        <w:pStyle w:val="BookText"/>
      </w:pPr>
      <w:r>
        <w:rPr>
          <w:rFonts w:ascii="Amiri" w:hAnsi="Amiri" w:eastAsia="Amiri" w:cs="Amiri"/>
          <w:lang w:bidi="ar-SA"/>
          <w:color w:val="111111"/>
          <w:sz w:val="28"/>
          <w:szCs w:val="28"/>
          <w:rtl/>
        </w:rPr>
        <w:t xml:space="preserve">الثلاثيات في مسند احمد بن حنبل</w:t>
      </w:r>
    </w:p>
    <w:p>
      <w:pPr>
        <w:pStyle w:val="BookText"/>
      </w:pPr>
      <w:r>
        <w:rPr>
          <w:rFonts w:ascii="IRNazanin" w:hAnsi="IRNazanin" w:eastAsia="IRNazanin" w:cs="IRNazanin"/>
          <w:lang w:bidi="fa-IR"/>
          <w:color w:val="111111"/>
          <w:sz w:val="28"/>
          <w:szCs w:val="28"/>
          <w:rtl/>
        </w:rPr>
        <w:t xml:space="preserve">ج 5، ص 223.</w:t>
      </w:r>
    </w:p>
    <w:p>
      <w:pPr>
        <w:pStyle w:val="Heading2"/>
      </w:pPr>
      <w:bookmarkStart w:id="1253" w:name="_Toc355"/>
      <w:r>
        <w:t>ابن حنبلي</w:t>
      </w:r>
      <w:bookmarkEnd w:id="1253"/>
    </w:p>
    <w:p>
      <w:pPr>
        <w:pStyle w:val="BookText"/>
      </w:pPr>
      <w:r>
        <w:rPr>
          <w:rFonts w:ascii="Amiri" w:hAnsi="Amiri" w:eastAsia="Amiri" w:cs="Amiri"/>
          <w:lang w:bidi="ar-SA"/>
          <w:color w:val="111111"/>
          <w:sz w:val="28"/>
          <w:szCs w:val="28"/>
          <w:rtl/>
        </w:rPr>
        <w:t xml:space="preserve">المتصل و المنفصل (رسالة في)، ج 13،</w:t>
      </w:r>
    </w:p>
    <w:p>
      <w:pPr>
        <w:pStyle w:val="BookText"/>
      </w:pPr>
      <w:r>
        <w:rPr>
          <w:rFonts w:ascii="IRNazanin" w:hAnsi="IRNazanin" w:eastAsia="IRNazanin" w:cs="IRNazanin"/>
          <w:lang w:bidi="fa-IR"/>
          <w:color w:val="111111"/>
          <w:sz w:val="28"/>
          <w:szCs w:val="28"/>
          <w:rtl/>
        </w:rPr>
        <w:t xml:space="preserve">ص 752 .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9" w:name="pg7742_69461"/>
    <w:bookmarkEnd w:id="59"/>
    <w:p>
      <w:pPr>
        <w:pStyle w:val="Heading2"/>
      </w:pPr>
      <w:bookmarkStart w:id="1254" w:name="_Toc356"/>
      <w:r>
        <w:t>ابن حنبلي ، عبدالله بن محمّد</w:t>
      </w:r>
      <w:bookmarkEnd w:id="1254"/>
    </w:p>
    <w:p>
      <w:pPr>
        <w:pStyle w:val="BookText"/>
      </w:pPr>
      <w:r>
        <w:rPr>
          <w:rFonts w:ascii="Amiri" w:hAnsi="Amiri" w:eastAsia="Amiri" w:cs="Amiri"/>
          <w:lang w:bidi="ar-SA"/>
          <w:color w:val="111111"/>
          <w:sz w:val="28"/>
          <w:szCs w:val="28"/>
          <w:rtl/>
        </w:rPr>
        <w:t xml:space="preserve">المروج الزكية في توشية الدروج</w:t>
      </w:r>
    </w:p>
    <w:p>
      <w:pPr>
        <w:pStyle w:val="BookText"/>
      </w:pPr>
      <w:r>
        <w:rPr>
          <w:rFonts w:ascii="Amiri" w:hAnsi="Amiri" w:eastAsia="Amiri" w:cs="Amiri"/>
          <w:lang w:bidi="ar-SA"/>
          <w:color w:val="111111"/>
          <w:sz w:val="28"/>
          <w:szCs w:val="28"/>
          <w:rtl/>
        </w:rPr>
        <w:t xml:space="preserve">الخطابية، ج 14، ص 413.</w:t>
      </w:r>
    </w:p>
    <w:p>
      <w:pPr>
        <w:pStyle w:val="Heading2"/>
      </w:pPr>
      <w:bookmarkStart w:id="1255" w:name="_Toc357"/>
      <w:r>
        <w:t>ابن حنبلي ، محمّد بن ابراهیم 908</w:t>
      </w:r>
      <w:bookmarkEnd w:id="1255"/>
    </w:p>
    <w:p>
      <w:pPr>
        <w:pStyle w:val="BookText"/>
      </w:pPr>
      <w:r>
        <w:rPr>
          <w:rFonts w:ascii="IRNazanin" w:hAnsi="IRNazanin" w:eastAsia="IRNazanin" w:cs="IRNazanin"/>
          <w:lang w:bidi="fa-IR"/>
          <w:color w:val="111111"/>
          <w:sz w:val="28"/>
          <w:szCs w:val="28"/>
          <w:rtl/>
        </w:rPr>
        <w:t xml:space="preserve">971 ه-</w:t>
      </w:r>
    </w:p>
    <w:p>
      <w:pPr>
        <w:pStyle w:val="BookText"/>
      </w:pPr>
      <w:r>
        <w:rPr>
          <w:rFonts w:ascii="Amiri" w:hAnsi="Amiri" w:eastAsia="Amiri" w:cs="Amiri"/>
          <w:lang w:bidi="ar-SA"/>
          <w:color w:val="111111"/>
          <w:sz w:val="28"/>
          <w:szCs w:val="28"/>
          <w:rtl/>
        </w:rPr>
        <w:t xml:space="preserve">1 .تحفة الافاضل في صناعة الفاضل</w:t>
      </w:r>
    </w:p>
    <w:p>
      <w:pPr>
        <w:pStyle w:val="BookText"/>
      </w:pPr>
      <w:r>
        <w:rPr>
          <w:rFonts w:ascii="IRNazanin" w:hAnsi="IRNazanin" w:eastAsia="IRNazanin" w:cs="IRNazanin"/>
          <w:lang w:bidi="fa-IR"/>
          <w:color w:val="111111"/>
          <w:sz w:val="28"/>
          <w:szCs w:val="28"/>
          <w:rtl/>
        </w:rPr>
        <w:t xml:space="preserve">ج 3، ص 805.</w:t>
      </w:r>
    </w:p>
    <w:p>
      <w:pPr>
        <w:pStyle w:val="BookText"/>
      </w:pPr>
      <w:r>
        <w:rPr>
          <w:rFonts w:ascii="Amiri" w:hAnsi="Amiri" w:eastAsia="Amiri" w:cs="Amiri"/>
          <w:lang w:bidi="ar-SA"/>
          <w:color w:val="111111"/>
          <w:sz w:val="28"/>
          <w:szCs w:val="28"/>
          <w:rtl/>
        </w:rPr>
        <w:t xml:space="preserve">2 .حاشية تفسير البيضاوي على سورة الملك = حاشية انوار التنزيل، ج 5، ص 740 .</w:t>
      </w:r>
    </w:p>
    <w:p>
      <w:pPr>
        <w:pStyle w:val="BookText"/>
      </w:pPr>
      <w:r>
        <w:rPr>
          <w:rFonts w:ascii="Amiri" w:hAnsi="Amiri" w:eastAsia="Amiri" w:cs="Amiri"/>
          <w:lang w:bidi="ar-SA"/>
          <w:color w:val="111111"/>
          <w:sz w:val="28"/>
          <w:szCs w:val="28"/>
          <w:rtl/>
        </w:rPr>
        <w:t xml:space="preserve">3 .الحدائق الانسية في كشف الحقائق</w:t>
      </w:r>
    </w:p>
    <w:p>
      <w:pPr>
        <w:pStyle w:val="BookText"/>
      </w:pPr>
      <w:r>
        <w:rPr>
          <w:rFonts w:ascii="Amiri" w:hAnsi="Amiri" w:eastAsia="Amiri" w:cs="Amiri"/>
          <w:lang w:bidi="ar-SA"/>
          <w:color w:val="111111"/>
          <w:sz w:val="28"/>
          <w:szCs w:val="28"/>
          <w:rtl/>
        </w:rPr>
        <w:t xml:space="preserve">الاندلسية، ج6، ص 510.</w:t>
      </w:r>
    </w:p>
    <w:p>
      <w:pPr>
        <w:pStyle w:val="BookText"/>
      </w:pPr>
      <w:r>
        <w:rPr>
          <w:rFonts w:ascii="Amiri" w:hAnsi="Amiri" w:eastAsia="Amiri" w:cs="Amiri"/>
          <w:lang w:bidi="ar-SA"/>
          <w:color w:val="111111"/>
          <w:sz w:val="28"/>
          <w:szCs w:val="28"/>
          <w:rtl/>
        </w:rPr>
        <w:t xml:space="preserve">4 .در الحبب في تاريخ اعيان الحلب -</w:t>
      </w:r>
    </w:p>
    <w:p>
      <w:pPr>
        <w:pStyle w:val="BookText"/>
      </w:pPr>
      <w:r>
        <w:rPr>
          <w:rFonts w:ascii="Amiri" w:hAnsi="Amiri" w:eastAsia="Amiri" w:cs="Amiri"/>
          <w:lang w:bidi="ar-SA"/>
          <w:color w:val="111111"/>
          <w:sz w:val="28"/>
          <w:szCs w:val="28"/>
          <w:rtl/>
        </w:rPr>
        <w:t xml:space="preserve">ذيل كنوز الذهب في تاريخ حلب ج 7، ص281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الدرر الساطعة في الادوية القاطعة</w:t>
      </w:r>
    </w:p>
    <w:p>
      <w:pPr>
        <w:pStyle w:val="BookText"/>
      </w:pPr>
      <w:r>
        <w:rPr>
          <w:rFonts w:ascii="IRNazanin" w:hAnsi="IRNazanin" w:eastAsia="IRNazanin" w:cs="IRNazanin"/>
          <w:lang w:bidi="fa-IR"/>
          <w:color w:val="111111"/>
          <w:sz w:val="28"/>
          <w:szCs w:val="28"/>
          <w:rtl/>
        </w:rPr>
        <w:t xml:space="preserve">ج 7، ص 298.</w:t>
      </w:r>
    </w:p>
    <w:p>
      <w:pPr>
        <w:pStyle w:val="BookText"/>
      </w:pPr>
      <w:r>
        <w:rPr>
          <w:rFonts w:ascii="Amiri" w:hAnsi="Amiri" w:eastAsia="Amiri" w:cs="Amiri"/>
          <w:lang w:bidi="ar-SA"/>
          <w:color w:val="111111"/>
          <w:sz w:val="28"/>
          <w:szCs w:val="28"/>
          <w:rtl/>
        </w:rPr>
        <w:t xml:space="preserve">6 .الزبد والضرب في تاريخ حلب =</w:t>
      </w:r>
    </w:p>
    <w:p>
      <w:pPr>
        <w:pStyle w:val="BookText"/>
      </w:pPr>
      <w:r>
        <w:rPr>
          <w:rFonts w:ascii="IRNazanin" w:hAnsi="IRNazanin" w:eastAsia="IRNazanin" w:cs="IRNazanin"/>
          <w:lang w:bidi="fa-IR"/>
          <w:color w:val="111111"/>
          <w:sz w:val="28"/>
          <w:szCs w:val="28"/>
          <w:rtl/>
        </w:rPr>
        <w:t xml:space="preserve">مختصر تاریخ ابن ،ندیم، ج8</w:t>
      </w:r>
    </w:p>
    <w:p>
      <w:pPr>
        <w:pStyle w:val="BookText"/>
      </w:pPr>
      <w:r>
        <w:rPr>
          <w:rFonts w:ascii="IRNazanin" w:hAnsi="IRNazanin" w:eastAsia="IRNazanin" w:cs="IRNazanin"/>
          <w:lang w:bidi="fa-IR"/>
          <w:color w:val="111111"/>
          <w:sz w:val="28"/>
          <w:szCs w:val="28"/>
          <w:rtl/>
        </w:rPr>
        <w:t xml:space="preserve">ص 597</w:t>
      </w:r>
    </w:p>
    <w:p>
      <w:pPr>
        <w:pStyle w:val="BookText"/>
      </w:pPr>
      <w:r>
        <w:rPr>
          <w:rFonts w:ascii="IRNazanin" w:hAnsi="IRNazanin" w:eastAsia="IRNazanin" w:cs="IRNazanin"/>
          <w:lang w:bidi="fa-IR"/>
          <w:color w:val="111111"/>
          <w:sz w:val="28"/>
          <w:szCs w:val="28"/>
          <w:rtl/>
        </w:rPr>
        <w:t xml:space="preserve">7 .سرح اللب على شرح اللب (اللباب)</w:t>
      </w:r>
    </w:p>
    <w:p>
      <w:pPr>
        <w:pStyle w:val="BookText"/>
      </w:pPr>
      <w:r>
        <w:rPr>
          <w:rFonts w:ascii="Amiri" w:hAnsi="Amiri" w:eastAsia="Amiri" w:cs="Amiri"/>
          <w:lang w:bidi="ar-SA"/>
          <w:color w:val="111111"/>
          <w:sz w:val="28"/>
          <w:szCs w:val="28"/>
          <w:rtl/>
        </w:rPr>
        <w:t xml:space="preserve">= شرح تحفة الطلاب، ج8، ص 753 .</w:t>
      </w:r>
    </w:p>
    <w:p>
      <w:pPr>
        <w:pStyle w:val="BookText"/>
      </w:pPr>
      <w:r>
        <w:rPr>
          <w:rFonts w:ascii="Amiri" w:hAnsi="Amiri" w:eastAsia="Amiri" w:cs="Amiri"/>
          <w:lang w:bidi="ar-SA"/>
          <w:color w:val="111111"/>
          <w:sz w:val="28"/>
          <w:szCs w:val="28"/>
          <w:rtl/>
        </w:rPr>
        <w:t xml:space="preserve">8 .سوابغ النوابغ في شرح نوابغ الكلام</w:t>
      </w:r>
    </w:p>
    <w:p>
      <w:pPr>
        <w:pStyle w:val="BookText"/>
      </w:pPr>
      <w:r>
        <w:rPr>
          <w:rFonts w:ascii="IRNazanin" w:hAnsi="IRNazanin" w:eastAsia="IRNazanin" w:cs="IRNazanin"/>
          <w:lang w:bidi="fa-IR"/>
          <w:color w:val="111111"/>
          <w:sz w:val="28"/>
          <w:szCs w:val="28"/>
          <w:rtl/>
        </w:rPr>
        <w:t xml:space="preserve">ج 8، ص 856.</w:t>
      </w:r>
    </w:p>
    <w:p>
      <w:pPr>
        <w:pStyle w:val="BookText"/>
      </w:pPr>
      <w:r>
        <w:rPr>
          <w:rFonts w:ascii="Amiri" w:hAnsi="Amiri" w:eastAsia="Amiri" w:cs="Amiri"/>
          <w:lang w:bidi="ar-SA"/>
          <w:color w:val="111111"/>
          <w:sz w:val="28"/>
          <w:szCs w:val="28"/>
          <w:rtl/>
        </w:rPr>
        <w:t xml:space="preserve">9 .عقد الخلاص في نقد كلام الخواص</w:t>
      </w:r>
    </w:p>
    <w:p>
      <w:pPr>
        <w:pStyle w:val="BookText"/>
      </w:pPr>
      <w:r>
        <w:rPr>
          <w:rFonts w:ascii="IRNazanin" w:hAnsi="IRNazanin" w:eastAsia="IRNazanin" w:cs="IRNazanin"/>
          <w:lang w:bidi="fa-IR"/>
          <w:color w:val="111111"/>
          <w:sz w:val="28"/>
          <w:szCs w:val="28"/>
          <w:rtl/>
        </w:rPr>
        <w:t xml:space="preserve">ج 11، ص 162 .</w:t>
      </w:r>
    </w:p>
    <w:p>
      <w:pPr>
        <w:pStyle w:val="Heading2"/>
      </w:pPr>
      <w:bookmarkStart w:id="1256" w:name="_Toc358"/>
      <w:r>
        <w:t>ابن حوراني ، نبأ بن محمّد - 551 ه-</w:t>
      </w:r>
      <w:bookmarkEnd w:id="1256"/>
    </w:p>
    <w:p>
      <w:pPr>
        <w:pStyle w:val="BookText"/>
      </w:pPr>
      <w:r>
        <w:rPr>
          <w:rFonts w:ascii="Amiri" w:hAnsi="Amiri" w:eastAsia="Amiri" w:cs="Amiri"/>
          <w:lang w:bidi="ar-SA"/>
          <w:color w:val="111111"/>
          <w:sz w:val="28"/>
          <w:szCs w:val="28"/>
          <w:rtl/>
        </w:rPr>
        <w:t xml:space="preserve">الالفاظ المثلثة المعاني، ج 2، ص 678.</w:t>
      </w:r>
    </w:p>
    <w:p>
      <w:pPr>
        <w:pStyle w:val="BookText"/>
      </w:pPr>
      <w:r>
        <w:rPr>
          <w:rFonts w:ascii="Amiri" w:hAnsi="Amiri" w:eastAsia="Amiri" w:cs="Amiri"/>
          <w:lang w:bidi="ar-SA"/>
          <w:color w:val="111111"/>
          <w:sz w:val="28"/>
          <w:szCs w:val="28"/>
          <w:rtl/>
        </w:rPr>
        <w:t xml:space="preserve">ابن حيان ، عبدالله بن محمّد ابوالشيخ</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1257" w:name="_Toc359"/>
      <w:r>
        <w:t>ابن حيزبز ، مبارك بن احمد</w:t>
      </w:r>
      <w:bookmarkEnd w:id="1257"/>
    </w:p>
    <w:p>
      <w:pPr>
        <w:pStyle w:val="BookText"/>
      </w:pPr>
      <w:r>
        <w:rPr>
          <w:rFonts w:ascii="Amiri" w:hAnsi="Amiri" w:eastAsia="Amiri" w:cs="Amiri"/>
          <w:lang w:bidi="ar-SA"/>
          <w:color w:val="111111"/>
          <w:sz w:val="28"/>
          <w:szCs w:val="28"/>
          <w:rtl/>
        </w:rPr>
        <w:t xml:space="preserve">مجرد مقالات الشيخ أبي الحسن علي</w:t>
      </w:r>
    </w:p>
    <w:p>
      <w:pPr>
        <w:pStyle w:val="BookText"/>
      </w:pPr>
      <w:r>
        <w:rPr>
          <w:rFonts w:ascii="Amiri" w:hAnsi="Amiri" w:eastAsia="Amiri" w:cs="Amiri"/>
          <w:lang w:bidi="ar-SA"/>
          <w:color w:val="111111"/>
          <w:sz w:val="28"/>
          <w:szCs w:val="28"/>
          <w:rtl/>
        </w:rPr>
        <w:t xml:space="preserve">بن اسمعيل الاشعري، ج13، ص 815</w:t>
      </w:r>
    </w:p>
    <w:p>
      <w:pPr>
        <w:pStyle w:val="BookText"/>
      </w:pPr>
      <w:r>
        <w:rPr>
          <w:rFonts w:ascii="Amiri" w:hAnsi="Amiri" w:eastAsia="Amiri" w:cs="Amiri"/>
          <w:lang w:bidi="ar-SA"/>
          <w:color w:val="111111"/>
          <w:sz w:val="28"/>
          <w:szCs w:val="28"/>
          <w:rtl/>
        </w:rPr>
        <w:t xml:space="preserve">ابن حيون ، نعمان بن محمّد - 363 ه-</w:t>
      </w:r>
    </w:p>
    <w:p>
      <w:pPr>
        <w:pStyle w:val="BookText"/>
      </w:pPr>
      <w:r>
        <w:rPr>
          <w:rFonts w:ascii="IRNazanin" w:hAnsi="IRNazanin" w:eastAsia="IRNazanin" w:cs="IRNazanin"/>
          <w:lang w:bidi="fa-IR"/>
          <w:color w:val="111111"/>
          <w:sz w:val="28"/>
          <w:szCs w:val="28"/>
          <w:rtl/>
        </w:rPr>
        <w:t xml:space="preserve">1 .دعائم الاسلام و ذكر الحلال و الحرام والقضايا و الاحكام عن اهل بیت رسول الله عليه وعليهم افضل السلام = دعائم الاسلام و شرائط الايمان، ج7، ص 408.</w:t>
      </w:r>
    </w:p>
    <w:p>
      <w:pPr>
        <w:pStyle w:val="BookText"/>
      </w:pPr>
      <w:r>
        <w:rPr>
          <w:rFonts w:ascii="Amiri" w:hAnsi="Amiri" w:eastAsia="Amiri" w:cs="Amiri"/>
          <w:lang w:bidi="ar-SA"/>
          <w:color w:val="111111"/>
          <w:sz w:val="28"/>
          <w:szCs w:val="28"/>
          <w:rtl/>
        </w:rPr>
        <w:t xml:space="preserve">2 .شرح الاخبار في فضائل الائمة الاطهار، ج9، ص 163.</w:t>
      </w:r>
    </w:p>
    <w:p>
      <w:pPr>
        <w:pStyle w:val="BookText"/>
      </w:pPr>
      <w:r>
        <w:rPr>
          <w:rFonts w:ascii="IRNazanin" w:hAnsi="IRNazanin" w:eastAsia="IRNazanin" w:cs="IRNazanin"/>
          <w:lang w:bidi="fa-IR"/>
          <w:color w:val="111111"/>
          <w:sz w:val="28"/>
          <w:szCs w:val="28"/>
          <w:rtl/>
        </w:rPr>
        <w:t xml:space="preserve">3 .المناقب و المثالب، ج 15 ، ص 556.</w:t>
      </w:r>
    </w:p>
    <w:p>
      <w:pPr>
        <w:pStyle w:val="Heading2"/>
      </w:pPr>
      <w:bookmarkStart w:id="1258" w:name="_Toc360"/>
      <w:r>
        <w:t>ابن خاتمه ، احمد بن علي، 710-770 ه-</w:t>
      </w:r>
      <w:bookmarkEnd w:id="1258"/>
    </w:p>
    <w:p>
      <w:pPr>
        <w:pStyle w:val="BookText"/>
      </w:pPr>
      <w:r>
        <w:rPr>
          <w:rFonts w:ascii="IRNazanin" w:hAnsi="IRNazanin" w:eastAsia="IRNazanin" w:cs="IRNazanin"/>
          <w:lang w:bidi="fa-IR"/>
          <w:color w:val="111111"/>
          <w:sz w:val="28"/>
          <w:szCs w:val="28"/>
          <w:rtl/>
        </w:rPr>
        <w:t xml:space="preserve">دیوان ابن خاتمة الانصاري، ج7،</w:t>
      </w:r>
    </w:p>
    <w:p>
      <w:pPr>
        <w:pStyle w:val="BookText"/>
      </w:pPr>
      <w:r>
        <w:rPr>
          <w:rFonts w:ascii="IRNazanin" w:hAnsi="IRNazanin" w:eastAsia="IRNazanin" w:cs="IRNazanin"/>
          <w:lang w:bidi="fa-IR"/>
          <w:color w:val="111111"/>
          <w:sz w:val="28"/>
          <w:szCs w:val="28"/>
          <w:rtl/>
        </w:rPr>
        <w:t xml:space="preserve">ص 516.</w:t>
      </w:r>
    </w:p>
    <w:p>
      <w:pPr>
        <w:pStyle w:val="Heading2"/>
      </w:pPr>
      <w:bookmarkStart w:id="1259" w:name="_Toc361"/>
      <w:r>
        <w:t>ابن خاتون ، احمد بن محمّد قرن 11 ه-</w:t>
      </w:r>
      <w:bookmarkEnd w:id="1259"/>
    </w:p>
    <w:p>
      <w:pPr>
        <w:pStyle w:val="BookText"/>
      </w:pPr>
      <w:r>
        <w:rPr>
          <w:rFonts w:ascii="Amiri" w:hAnsi="Amiri" w:eastAsia="Amiri" w:cs="Amiri"/>
          <w:lang w:bidi="ar-SA"/>
          <w:color w:val="111111"/>
          <w:sz w:val="28"/>
          <w:szCs w:val="28"/>
          <w:rtl/>
        </w:rPr>
        <w:t xml:space="preserve">1 .إجازة للشيخ حسن بن يونس بن</w:t>
      </w:r>
    </w:p>
    <w:p>
      <w:pPr>
        <w:pStyle w:val="BookText"/>
      </w:pPr>
      <w:r>
        <w:rPr>
          <w:rFonts w:ascii="Amiri" w:hAnsi="Amiri" w:eastAsia="Amiri" w:cs="Amiri"/>
          <w:lang w:bidi="ar-SA"/>
          <w:color w:val="111111"/>
          <w:sz w:val="28"/>
          <w:szCs w:val="28"/>
          <w:rtl/>
        </w:rPr>
        <w:t xml:space="preserve">يونس النباطي، ج 1، ص 265.</w:t>
      </w:r>
    </w:p>
    <w:p>
      <w:pPr>
        <w:pStyle w:val="BookText"/>
      </w:pPr>
      <w:r>
        <w:rPr>
          <w:rFonts w:ascii="Amiri" w:hAnsi="Amiri" w:eastAsia="Amiri" w:cs="Amiri"/>
          <w:lang w:bidi="ar-SA"/>
          <w:color w:val="111111"/>
          <w:sz w:val="28"/>
          <w:szCs w:val="28"/>
          <w:rtl/>
        </w:rPr>
        <w:t xml:space="preserve">2 .إجازة للشيخ محمّد بن الحسين بن محمّد الشهير بالابرياسي، ج 1،</w:t>
      </w:r>
    </w:p>
    <w:p>
      <w:pPr>
        <w:pStyle w:val="BookText"/>
      </w:pPr>
      <w:r>
        <w:rPr>
          <w:rFonts w:ascii="IRNazanin" w:hAnsi="IRNazanin" w:eastAsia="IRNazanin" w:cs="IRNazanin"/>
          <w:lang w:bidi="fa-IR"/>
          <w:color w:val="111111"/>
          <w:sz w:val="28"/>
          <w:szCs w:val="28"/>
          <w:rtl/>
        </w:rPr>
        <w:t xml:space="preserve">ص 271.</w:t>
      </w:r>
    </w:p>
    <w:p>
      <w:pPr>
        <w:pStyle w:val="Heading2"/>
      </w:pPr>
      <w:bookmarkStart w:id="1260" w:name="_Toc362"/>
      <w:r>
        <w:t>ابن خاتون احمد بن نعمت الله قرن 11ه-</w:t>
      </w:r>
      <w:bookmarkEnd w:id="1260"/>
    </w:p>
    <w:p>
      <w:pPr>
        <w:pStyle w:val="BookText"/>
      </w:pPr>
      <w:r>
        <w:rPr>
          <w:rFonts w:ascii="Amiri" w:hAnsi="Amiri" w:eastAsia="Amiri" w:cs="Amiri"/>
          <w:lang w:bidi="ar-SA"/>
          <w:color w:val="111111"/>
          <w:sz w:val="28"/>
          <w:szCs w:val="28"/>
          <w:rtl/>
        </w:rPr>
        <w:t xml:space="preserve">إجازة لعبد الله بن الحسين التستري</w:t>
      </w:r>
    </w:p>
    <w:p>
      <w:pPr>
        <w:pStyle w:val="BookText"/>
      </w:pPr>
      <w:r>
        <w:rPr>
          <w:rFonts w:ascii="IRNazanin" w:hAnsi="IRNazanin" w:eastAsia="IRNazanin" w:cs="IRNazanin"/>
          <w:lang w:bidi="fa-IR"/>
          <w:color w:val="111111"/>
          <w:sz w:val="28"/>
          <w:szCs w:val="28"/>
          <w:rtl/>
        </w:rPr>
        <w:t xml:space="preserve">ج 1، ص 277.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0" w:name="pg7742_69464"/>
    <w:bookmarkEnd w:id="60"/>
    <w:p>
      <w:pPr>
        <w:pStyle w:val="BookText"/>
      </w:pPr>
      <w:r>
        <w:rPr>
          <w:rFonts w:ascii="Amiri" w:hAnsi="Amiri" w:eastAsia="Amiri" w:cs="Amiri"/>
          <w:lang w:bidi="ar-SA"/>
          <w:color w:val="111111"/>
          <w:sz w:val="28"/>
          <w:szCs w:val="28"/>
          <w:rtl/>
        </w:rPr>
        <w:t xml:space="preserve">ابن خاتون عاملي ، عبداللطيف بن</w:t>
      </w:r>
    </w:p>
    <w:p>
      <w:pPr>
        <w:pStyle w:val="BookText"/>
      </w:pPr>
      <w:r>
        <w:rPr>
          <w:rFonts w:ascii="Amiri" w:hAnsi="Amiri" w:eastAsia="Amiri" w:cs="Amiri"/>
          <w:lang w:bidi="ar-SA"/>
          <w:color w:val="111111"/>
          <w:sz w:val="28"/>
          <w:szCs w:val="28"/>
          <w:rtl/>
        </w:rPr>
        <w:t xml:space="preserve">علي -عاملي ، عبد اللطيف بن علي</w:t>
      </w:r>
    </w:p>
    <w:p>
      <w:pPr>
        <w:pStyle w:val="Heading2"/>
      </w:pPr>
      <w:bookmarkStart w:id="1261" w:name="_Toc363"/>
      <w:r>
        <w:t>ابن خاتون عاملي ، محمّد بن علي قرن</w:t>
      </w:r>
      <w:bookmarkEnd w:id="1261"/>
    </w:p>
    <w:p>
      <w:pPr>
        <w:pStyle w:val="BookText"/>
      </w:pPr>
      <w:r>
        <w:rPr>
          <w:rFonts w:ascii="IRNazanin" w:hAnsi="IRNazanin" w:eastAsia="IRNazanin" w:cs="IRNazanin"/>
          <w:lang w:bidi="fa-IR"/>
          <w:color w:val="111111"/>
          <w:sz w:val="28"/>
          <w:szCs w:val="28"/>
          <w:rtl/>
        </w:rPr>
        <w:t xml:space="preserve">11 ه-</w:t>
      </w:r>
    </w:p>
    <w:p>
      <w:pPr>
        <w:pStyle w:val="BookText"/>
      </w:pPr>
      <w:r>
        <w:rPr>
          <w:rFonts w:ascii="Amiri" w:hAnsi="Amiri" w:eastAsia="Amiri" w:cs="Amiri"/>
          <w:lang w:bidi="ar-SA"/>
          <w:color w:val="111111"/>
          <w:sz w:val="28"/>
          <w:szCs w:val="28"/>
          <w:rtl/>
        </w:rPr>
        <w:t xml:space="preserve">1 .حاشيه جامع عباسي، ج 5، ص 763.</w:t>
      </w:r>
    </w:p>
    <w:p>
      <w:pPr>
        <w:pStyle w:val="BookText"/>
      </w:pPr>
      <w:r>
        <w:rPr>
          <w:rFonts w:ascii="IRNazanin" w:hAnsi="IRNazanin" w:eastAsia="IRNazanin" w:cs="IRNazanin"/>
          <w:lang w:bidi="fa-IR"/>
          <w:color w:val="111111"/>
          <w:sz w:val="28"/>
          <w:szCs w:val="28"/>
          <w:rtl/>
        </w:rPr>
        <w:t xml:space="preserve">2 .حساب الجمل، ج 6 ، ص 643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قطب شاهي (ترجمه) = شرح اربعين = ترجمه اربعين شيخ بهائي ج 12 ، ص 743 .</w:t>
      </w:r>
    </w:p>
    <w:p>
      <w:pPr>
        <w:pStyle w:val="Heading2"/>
      </w:pPr>
      <w:bookmarkStart w:id="1262" w:name="_Toc364"/>
      <w:r>
        <w:t>ابن خاتون ، علي بن احمد قرن 10 ه-</w:t>
      </w:r>
      <w:bookmarkEnd w:id="1262"/>
    </w:p>
    <w:p>
      <w:pPr>
        <w:pStyle w:val="BookText"/>
      </w:pPr>
      <w:r>
        <w:rPr>
          <w:rFonts w:ascii="Amiri" w:hAnsi="Amiri" w:eastAsia="Amiri" w:cs="Amiri"/>
          <w:lang w:bidi="ar-SA"/>
          <w:color w:val="111111"/>
          <w:sz w:val="28"/>
          <w:szCs w:val="28"/>
          <w:rtl/>
        </w:rPr>
        <w:t xml:space="preserve">إجازة لعبد الله بن الحسين التستري</w:t>
      </w:r>
    </w:p>
    <w:p>
      <w:pPr>
        <w:pStyle w:val="BookText"/>
      </w:pPr>
      <w:r>
        <w:rPr>
          <w:rFonts w:ascii="IRNazanin" w:hAnsi="IRNazanin" w:eastAsia="IRNazanin" w:cs="IRNazanin"/>
          <w:lang w:bidi="fa-IR"/>
          <w:color w:val="111111"/>
          <w:sz w:val="28"/>
          <w:szCs w:val="28"/>
          <w:rtl/>
        </w:rPr>
        <w:t xml:space="preserve">ج 1، ص 277</w:t>
      </w:r>
    </w:p>
    <w:p>
      <w:pPr>
        <w:pStyle w:val="BookText"/>
      </w:pPr>
      <w:r>
        <w:rPr>
          <w:rFonts w:ascii="Amiri" w:hAnsi="Amiri" w:eastAsia="Amiri" w:cs="Amiri"/>
          <w:lang w:bidi="ar-SA"/>
          <w:color w:val="111111"/>
          <w:sz w:val="28"/>
          <w:szCs w:val="28"/>
          <w:rtl/>
        </w:rPr>
        <w:t xml:space="preserve">ابن خاتون ، محمّد بن احمد- عاملي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 ما جاء مثني( رسالة في)، ج 13،</w:t>
      </w:r>
    </w:p>
    <w:p>
      <w:pPr>
        <w:pStyle w:val="BookText"/>
      </w:pPr>
      <w:r>
        <w:rPr>
          <w:rFonts w:ascii="IRNazanin" w:hAnsi="IRNazanin" w:eastAsia="IRNazanin" w:cs="IRNazanin"/>
          <w:lang w:bidi="fa-IR"/>
          <w:color w:val="111111"/>
          <w:sz w:val="28"/>
          <w:szCs w:val="28"/>
          <w:rtl/>
        </w:rPr>
        <w:t xml:space="preserve">ص 678.</w:t>
      </w:r>
    </w:p>
    <w:p>
      <w:pPr>
        <w:pStyle w:val="Heading2"/>
      </w:pPr>
      <w:bookmarkStart w:id="1263" w:name="_Toc365"/>
      <w:r>
        <w:t>ابن خباز ، احمد بن حسين - 639 ؟ ه-</w:t>
      </w:r>
      <w:bookmarkEnd w:id="1263"/>
    </w:p>
    <w:p>
      <w:pPr>
        <w:pStyle w:val="BookText"/>
      </w:pPr>
      <w:r>
        <w:rPr>
          <w:rFonts w:ascii="Amiri" w:hAnsi="Amiri" w:eastAsia="Amiri" w:cs="Amiri"/>
          <w:lang w:bidi="ar-SA"/>
          <w:color w:val="111111"/>
          <w:sz w:val="28"/>
          <w:szCs w:val="28"/>
          <w:rtl/>
        </w:rPr>
        <w:t xml:space="preserve">الغرة المخفية في شرح الدرة الألفية</w:t>
      </w:r>
    </w:p>
    <w:p>
      <w:pPr>
        <w:pStyle w:val="BookText"/>
      </w:pPr>
      <w:r>
        <w:rPr>
          <w:rFonts w:ascii="IRNazanin" w:hAnsi="IRNazanin" w:eastAsia="IRNazanin" w:cs="IRNazanin"/>
          <w:lang w:bidi="fa-IR"/>
          <w:color w:val="111111"/>
          <w:sz w:val="28"/>
          <w:szCs w:val="28"/>
          <w:rtl/>
        </w:rPr>
        <w:t xml:space="preserve">ج 11، ص 474.</w:t>
      </w:r>
    </w:p>
    <w:p>
      <w:pPr>
        <w:pStyle w:val="BookText"/>
      </w:pPr>
      <w:r>
        <w:rPr>
          <w:rFonts w:ascii="Amiri" w:hAnsi="Amiri" w:eastAsia="Amiri" w:cs="Amiri"/>
          <w:lang w:bidi="ar-SA"/>
          <w:color w:val="111111"/>
          <w:sz w:val="28"/>
          <w:szCs w:val="28"/>
          <w:rtl/>
        </w:rPr>
        <w:t xml:space="preserve">ابن خدام بغدادي عمادالدين عبدالله بن</w:t>
      </w:r>
    </w:p>
    <w:p>
      <w:pPr>
        <w:pStyle w:val="BookText"/>
      </w:pPr>
      <w:r>
        <w:rPr>
          <w:rFonts w:ascii="Amiri" w:hAnsi="Amiri" w:eastAsia="Amiri" w:cs="Amiri"/>
          <w:lang w:bidi="ar-SA"/>
          <w:color w:val="111111"/>
          <w:sz w:val="28"/>
          <w:szCs w:val="28"/>
          <w:rtl/>
        </w:rPr>
        <w:t xml:space="preserve">محمّد -حربوي ، عبدالله بن محمّد</w:t>
      </w:r>
    </w:p>
    <w:p>
      <w:pPr>
        <w:pStyle w:val="Heading2"/>
      </w:pPr>
      <w:bookmarkStart w:id="1264" w:name="_Toc366"/>
      <w:r>
        <w:t>ابن خراط ، عبد الحق بن عبدالرحمن</w:t>
      </w:r>
      <w:bookmarkEnd w:id="1264"/>
    </w:p>
    <w:p>
      <w:pPr>
        <w:pStyle w:val="BookText"/>
      </w:pPr>
      <w:r>
        <w:rPr>
          <w:rFonts w:ascii="IRNazanin" w:hAnsi="IRNazanin" w:eastAsia="IRNazanin" w:cs="IRNazanin"/>
          <w:lang w:bidi="fa-IR"/>
          <w:color w:val="111111"/>
          <w:sz w:val="28"/>
          <w:szCs w:val="28"/>
          <w:rtl/>
        </w:rPr>
        <w:t xml:space="preserve">10 - 581 ه-</w:t>
      </w:r>
    </w:p>
    <w:p>
      <w:pPr>
        <w:pStyle w:val="BookText"/>
      </w:pPr>
      <w:r>
        <w:rPr>
          <w:rFonts w:ascii="Amiri" w:hAnsi="Amiri" w:eastAsia="Amiri" w:cs="Amiri"/>
          <w:lang w:bidi="ar-SA"/>
          <w:color w:val="111111"/>
          <w:sz w:val="28"/>
          <w:szCs w:val="28"/>
          <w:rtl/>
        </w:rPr>
        <w:t xml:space="preserve">العاقبة، ج 11، ص4.</w:t>
      </w:r>
    </w:p>
    <w:p>
      <w:pPr>
        <w:pStyle w:val="Heading2"/>
      </w:pPr>
      <w:bookmarkStart w:id="1265" w:name="_Toc367"/>
      <w:r>
        <w:t>ابن خزيمه ، محمّد بن اسحاق، 223 -</w:t>
      </w:r>
      <w:bookmarkEnd w:id="1265"/>
    </w:p>
    <w:p>
      <w:pPr>
        <w:pStyle w:val="BookText"/>
      </w:pPr>
      <w:r>
        <w:rPr>
          <w:rFonts w:ascii="IRNazanin" w:hAnsi="IRNazanin" w:eastAsia="IRNazanin" w:cs="IRNazanin"/>
          <w:lang w:bidi="fa-IR"/>
          <w:color w:val="111111"/>
          <w:sz w:val="28"/>
          <w:szCs w:val="28"/>
          <w:rtl/>
        </w:rPr>
        <w:t xml:space="preserve">311ه-</w:t>
      </w:r>
    </w:p>
    <w:p>
      <w:pPr>
        <w:pStyle w:val="BookText"/>
      </w:pPr>
      <w:r>
        <w:rPr>
          <w:rFonts w:ascii="Amiri" w:hAnsi="Amiri" w:eastAsia="Amiri" w:cs="Amiri"/>
          <w:lang w:bidi="ar-SA"/>
          <w:color w:val="111111"/>
          <w:sz w:val="28"/>
          <w:szCs w:val="28"/>
          <w:rtl/>
        </w:rPr>
        <w:t xml:space="preserve">صحيح ابن خزيمة، ج 10، ص 501.</w:t>
      </w:r>
    </w:p>
    <w:p>
      <w:pPr>
        <w:pStyle w:val="Heading2"/>
      </w:pPr>
      <w:bookmarkStart w:id="1266" w:name="_Toc368"/>
      <w:r>
        <w:t>ابن خسرو بلخي ، حسين بن محمّد</w:t>
      </w:r>
      <w:bookmarkEnd w:id="1266"/>
    </w:p>
    <w:p>
      <w:pPr>
        <w:pStyle w:val="BookText"/>
      </w:pPr>
      <w:r>
        <w:rPr>
          <w:rFonts w:ascii="IRNazanin" w:hAnsi="IRNazanin" w:eastAsia="IRNazanin" w:cs="IRNazanin"/>
          <w:lang w:bidi="fa-IR"/>
          <w:color w:val="111111"/>
          <w:sz w:val="28"/>
          <w:szCs w:val="28"/>
          <w:rtl/>
        </w:rPr>
        <w:t xml:space="preserve">526 ه-</w:t>
      </w:r>
    </w:p>
    <w:p>
      <w:pPr>
        <w:pStyle w:val="Heading2"/>
      </w:pPr>
      <w:bookmarkStart w:id="1267" w:name="_Toc369"/>
      <w:r>
        <w:t>ابن خاتون ، محمّد بن علي، قرن 10 ه-</w:t>
      </w:r>
      <w:bookmarkEnd w:id="1267"/>
    </w:p>
    <w:p>
      <w:pPr>
        <w:pStyle w:val="BookText"/>
      </w:pPr>
      <w:r>
        <w:rPr>
          <w:rFonts w:ascii="Amiri" w:hAnsi="Amiri" w:eastAsia="Amiri" w:cs="Amiri"/>
          <w:lang w:bidi="ar-SA"/>
          <w:color w:val="111111"/>
          <w:sz w:val="28"/>
          <w:szCs w:val="28"/>
          <w:rtl/>
        </w:rPr>
        <w:t xml:space="preserve">اجازة لعلي بن حسين بن عبدالعالي</w:t>
      </w:r>
    </w:p>
    <w:p>
      <w:pPr>
        <w:pStyle w:val="BookText"/>
      </w:pPr>
      <w:r>
        <w:rPr>
          <w:rFonts w:ascii="Amiri" w:hAnsi="Amiri" w:eastAsia="Amiri" w:cs="Amiri"/>
          <w:lang w:bidi="ar-SA"/>
          <w:color w:val="111111"/>
          <w:sz w:val="28"/>
          <w:szCs w:val="28"/>
          <w:rtl/>
        </w:rPr>
        <w:t xml:space="preserve">الكركي، ج 1، ص 280.</w:t>
      </w:r>
    </w:p>
    <w:p>
      <w:pPr>
        <w:pStyle w:val="BookText"/>
      </w:pPr>
      <w:r>
        <w:rPr>
          <w:rFonts w:ascii="Amiri" w:hAnsi="Amiri" w:eastAsia="Amiri" w:cs="Amiri"/>
          <w:lang w:bidi="ar-SA"/>
          <w:color w:val="111111"/>
          <w:sz w:val="28"/>
          <w:szCs w:val="28"/>
          <w:rtl/>
        </w:rPr>
        <w:t xml:space="preserve">مسند الامام ابي حنيفة النعمان ج14،</w:t>
      </w:r>
    </w:p>
    <w:p>
      <w:pPr>
        <w:pStyle w:val="BookText"/>
      </w:pPr>
      <w:r>
        <w:rPr>
          <w:rFonts w:ascii="IRNazanin" w:hAnsi="IRNazanin" w:eastAsia="IRNazanin" w:cs="IRNazanin"/>
          <w:lang w:bidi="fa-IR"/>
          <w:color w:val="111111"/>
          <w:sz w:val="28"/>
          <w:szCs w:val="28"/>
          <w:rtl/>
        </w:rPr>
        <w:t xml:space="preserve">ص 596 .</w:t>
      </w:r>
    </w:p>
    <w:p>
      <w:pPr>
        <w:pStyle w:val="Heading2"/>
      </w:pPr>
      <w:bookmarkStart w:id="1268" w:name="_Toc370"/>
      <w:r>
        <w:t>ابن خشاب يمني ، محمّد بن احمد</w:t>
      </w:r>
      <w:bookmarkEnd w:id="1268"/>
    </w:p>
    <w:p>
      <w:pPr>
        <w:pStyle w:val="BookText"/>
      </w:pPr>
      <w:r>
        <w:rPr>
          <w:rFonts w:ascii="IRNazanin" w:hAnsi="IRNazanin" w:eastAsia="IRNazanin" w:cs="IRNazanin"/>
          <w:lang w:bidi="fa-IR"/>
          <w:color w:val="111111"/>
          <w:sz w:val="28"/>
          <w:szCs w:val="28"/>
          <w:rtl/>
        </w:rPr>
        <w:t xml:space="preserve">ابن خاقان ، فتح بن محمّد، 480-2535ه- 650؟ ه-</w:t>
      </w:r>
    </w:p>
    <w:p>
      <w:pPr>
        <w:pStyle w:val="BookText"/>
      </w:pPr>
      <w:r>
        <w:rPr>
          <w:rFonts w:ascii="Amiri" w:hAnsi="Amiri" w:eastAsia="Amiri" w:cs="Amiri"/>
          <w:lang w:bidi="ar-SA"/>
          <w:color w:val="111111"/>
          <w:sz w:val="28"/>
          <w:szCs w:val="28"/>
          <w:rtl/>
        </w:rPr>
        <w:t xml:space="preserve">قلائد العقيان في محاسن الاعيان</w:t>
      </w:r>
    </w:p>
    <w:p>
      <w:pPr>
        <w:pStyle w:val="BookText"/>
      </w:pPr>
      <w:r>
        <w:rPr>
          <w:rFonts w:ascii="IRNazanin" w:hAnsi="IRNazanin" w:eastAsia="IRNazanin" w:cs="IRNazanin"/>
          <w:lang w:bidi="fa-IR"/>
          <w:color w:val="111111"/>
          <w:sz w:val="28"/>
          <w:szCs w:val="28"/>
          <w:rtl/>
        </w:rPr>
        <w:t xml:space="preserve">ج 12، ص 761.</w:t>
      </w:r>
    </w:p>
    <w:p>
      <w:pPr>
        <w:pStyle w:val="Heading2"/>
      </w:pPr>
      <w:bookmarkStart w:id="1269" w:name="_Toc371"/>
      <w:r>
        <w:t>ابن خالويه ، حسين بن احمد - 370 ه-</w:t>
      </w:r>
      <w:bookmarkEnd w:id="12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اعراب ثلاثين سورة من القرآن -</w:t>
      </w:r>
    </w:p>
    <w:p>
      <w:pPr>
        <w:pStyle w:val="BookText"/>
      </w:pPr>
      <w:r>
        <w:rPr>
          <w:rFonts w:ascii="Amiri" w:hAnsi="Amiri" w:eastAsia="Amiri" w:cs="Amiri"/>
          <w:lang w:bidi="ar-SA"/>
          <w:color w:val="111111"/>
          <w:sz w:val="28"/>
          <w:szCs w:val="28"/>
          <w:rtl/>
        </w:rPr>
        <w:t xml:space="preserve">الطارقية، ج 2، ص 532.</w:t>
      </w:r>
    </w:p>
    <w:p>
      <w:pPr>
        <w:pStyle w:val="BookText"/>
      </w:pPr>
      <w:r>
        <w:rPr>
          <w:rFonts w:ascii="Amiri" w:hAnsi="Amiri" w:eastAsia="Amiri" w:cs="Amiri"/>
          <w:lang w:bidi="ar-SA"/>
          <w:color w:val="111111"/>
          <w:sz w:val="28"/>
          <w:szCs w:val="28"/>
          <w:rtl/>
        </w:rPr>
        <w:t xml:space="preserve">2 .شرح مقصورة ابن دريد = شرح مقصورة دريدية، ج 10، ص208</w:t>
      </w:r>
    </w:p>
    <w:p>
      <w:pPr>
        <w:pStyle w:val="BookText"/>
      </w:pPr>
      <w:r>
        <w:rPr>
          <w:rFonts w:ascii="IRNazanin" w:hAnsi="IRNazanin" w:eastAsia="IRNazanin" w:cs="IRNazanin"/>
          <w:lang w:bidi="fa-IR"/>
          <w:color w:val="111111"/>
          <w:sz w:val="28"/>
          <w:szCs w:val="28"/>
          <w:rtl/>
        </w:rPr>
        <w:t xml:space="preserve">1 تاریخ مواليد اهل البيت، ج3،</w:t>
      </w:r>
    </w:p>
    <w:p>
      <w:pPr>
        <w:pStyle w:val="BookText"/>
      </w:pPr>
      <w:r>
        <w:rPr>
          <w:rFonts w:ascii="IRNazanin" w:hAnsi="IRNazanin" w:eastAsia="IRNazanin" w:cs="IRNazanin"/>
          <w:lang w:bidi="fa-IR"/>
          <w:color w:val="111111"/>
          <w:sz w:val="28"/>
          <w:szCs w:val="28"/>
          <w:rtl/>
        </w:rPr>
        <w:t xml:space="preserve">ص 609.</w:t>
      </w:r>
    </w:p>
    <w:p>
      <w:pPr>
        <w:pStyle w:val="BookText"/>
      </w:pPr>
      <w:r>
        <w:rPr>
          <w:rFonts w:ascii="Amiri" w:hAnsi="Amiri" w:eastAsia="Amiri" w:cs="Amiri"/>
          <w:lang w:bidi="ar-SA"/>
          <w:color w:val="111111"/>
          <w:sz w:val="28"/>
          <w:szCs w:val="28"/>
          <w:rtl/>
        </w:rPr>
        <w:t xml:space="preserve">2 .الدر النظيم في خواص سور القرآن</w:t>
      </w:r>
    </w:p>
    <w:p>
      <w:pPr>
        <w:pStyle w:val="BookText"/>
      </w:pPr>
      <w:r>
        <w:rPr>
          <w:rFonts w:ascii="Amiri" w:hAnsi="Amiri" w:eastAsia="Amiri" w:cs="Amiri"/>
          <w:lang w:bidi="ar-SA"/>
          <w:color w:val="111111"/>
          <w:sz w:val="28"/>
          <w:szCs w:val="28"/>
          <w:rtl/>
        </w:rPr>
        <w:t xml:space="preserve">الكريم، ج 7، ص 361.</w:t>
      </w:r>
    </w:p>
    <w:p>
      <w:pPr>
        <w:pStyle w:val="BookText"/>
      </w:pPr>
      <w:r>
        <w:rPr>
          <w:rFonts w:ascii="Amiri" w:hAnsi="Amiri" w:eastAsia="Amiri" w:cs="Amiri"/>
          <w:lang w:bidi="ar-SA"/>
          <w:color w:val="111111"/>
          <w:sz w:val="28"/>
          <w:szCs w:val="28"/>
          <w:rtl/>
        </w:rPr>
        <w:t xml:space="preserve">3 .شرح مقامات الحريري - كلام ابن</w:t>
      </w:r>
    </w:p>
    <w:p>
      <w:pPr>
        <w:pStyle w:val="BookText"/>
      </w:pPr>
      <w:r>
        <w:rPr>
          <w:rFonts w:ascii="IRNazanin" w:hAnsi="IRNazanin" w:eastAsia="IRNazanin" w:cs="IRNazanin"/>
          <w:lang w:bidi="fa-IR"/>
          <w:color w:val="111111"/>
          <w:sz w:val="28"/>
          <w:szCs w:val="28"/>
          <w:rtl/>
        </w:rPr>
        <w:t xml:space="preserve">الخشاب، ج 10، ص180</w:t>
      </w:r>
    </w:p>
    <w:p>
      <w:pPr>
        <w:pStyle w:val="BookText"/>
      </w:pPr>
      <w:r>
        <w:rPr>
          <w:rFonts w:ascii="Amiri" w:hAnsi="Amiri" w:eastAsia="Amiri" w:cs="Amiri"/>
          <w:lang w:bidi="ar-SA"/>
          <w:color w:val="111111"/>
          <w:sz w:val="28"/>
          <w:szCs w:val="28"/>
          <w:rtl/>
        </w:rPr>
        <w:t xml:space="preserve">4 .النكت والانتقاد على مقامات</w:t>
      </w:r>
    </w:p>
    <w:p>
      <w:pPr>
        <w:pStyle w:val="BookText"/>
      </w:pPr>
      <w:r>
        <w:rPr>
          <w:rFonts w:ascii="Amiri" w:hAnsi="Amiri" w:eastAsia="Amiri" w:cs="Amiri"/>
          <w:lang w:bidi="ar-SA"/>
          <w:color w:val="111111"/>
          <w:sz w:val="28"/>
          <w:szCs w:val="28"/>
          <w:rtl/>
        </w:rPr>
        <w:t xml:space="preserve">الحريري، ج 16، ص 473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1" w:name="pg7742_69466"/>
    <w:bookmarkEnd w:id="61"/>
    <w:p>
      <w:pPr>
        <w:pStyle w:val="BookText"/>
      </w:pPr>
      <w:r>
        <w:rPr>
          <w:rFonts w:ascii="IRNazanin" w:hAnsi="IRNazanin" w:eastAsia="IRNazanin" w:cs="IRNazanin"/>
          <w:lang w:bidi="fa-IR"/>
          <w:color w:val="111111"/>
          <w:sz w:val="28"/>
          <w:szCs w:val="28"/>
          <w:rtl/>
        </w:rPr>
        <w:t xml:space="preserve">ابن خضر ، احمد بن محمّد -قول احمد ،</w:t>
      </w:r>
    </w:p>
    <w:p>
      <w:pPr>
        <w:pStyle w:val="BookText"/>
      </w:pPr>
      <w:r>
        <w:rPr>
          <w:rFonts w:ascii="IRNazanin" w:hAnsi="IRNazanin" w:eastAsia="IRNazanin" w:cs="IRNazanin"/>
          <w:lang w:bidi="fa-IR"/>
          <w:color w:val="111111"/>
          <w:sz w:val="28"/>
          <w:szCs w:val="28"/>
          <w:rtl/>
        </w:rPr>
        <w:t xml:space="preserve">احمد بن محمّد بن خضر</w:t>
      </w:r>
    </w:p>
    <w:p>
      <w:pPr>
        <w:pStyle w:val="Heading2"/>
      </w:pPr>
      <w:bookmarkStart w:id="1270" w:name="_Toc372"/>
      <w:r>
        <w:t>ابن خطيب اربلي ، محمّد بن علي، 686؟</w:t>
      </w:r>
      <w:bookmarkEnd w:id="12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755 ؟ ه-</w:t>
      </w:r>
    </w:p>
    <w:p>
      <w:pPr>
        <w:pStyle w:val="BookText"/>
      </w:pPr>
      <w:r>
        <w:rPr>
          <w:rFonts w:ascii="Amiri" w:hAnsi="Amiri" w:eastAsia="Amiri" w:cs="Amiri"/>
          <w:lang w:bidi="ar-SA"/>
          <w:color w:val="111111"/>
          <w:sz w:val="28"/>
          <w:szCs w:val="28"/>
          <w:rtl/>
        </w:rPr>
        <w:t xml:space="preserve">معرفة اصول الأنغام، ج 15، ص 44.</w:t>
      </w:r>
    </w:p>
    <w:p>
      <w:pPr>
        <w:pStyle w:val="BookText"/>
      </w:pPr>
      <w:r>
        <w:rPr>
          <w:rFonts w:ascii="IRNazanin" w:hAnsi="IRNazanin" w:eastAsia="IRNazanin" w:cs="IRNazanin"/>
          <w:lang w:bidi="fa-IR"/>
          <w:color w:val="111111"/>
          <w:sz w:val="28"/>
          <w:szCs w:val="28"/>
          <w:rtl/>
        </w:rPr>
        <w:t xml:space="preserve">ابن خطيب رومي ، محمّد بن تاج الدين- خطيب زاده، محمّد بن ابراهیم</w:t>
      </w:r>
    </w:p>
    <w:p>
      <w:pPr>
        <w:pStyle w:val="BookText"/>
      </w:pPr>
      <w:r>
        <w:rPr>
          <w:rFonts w:ascii="Amiri" w:hAnsi="Amiri" w:eastAsia="Amiri" w:cs="Amiri"/>
          <w:lang w:bidi="ar-SA"/>
          <w:color w:val="111111"/>
          <w:sz w:val="28"/>
          <w:szCs w:val="28"/>
          <w:rtl/>
        </w:rPr>
        <w:t xml:space="preserve">ابن خاتون عاملي - ابن خلدون</w:t>
      </w:r>
    </w:p>
    <w:p>
      <w:pPr>
        <w:pStyle w:val="BookText"/>
      </w:pPr>
      <w:r>
        <w:rPr>
          <w:rFonts w:ascii="Amiri" w:hAnsi="Amiri" w:eastAsia="Amiri" w:cs="Amiri"/>
          <w:lang w:bidi="ar-SA"/>
          <w:color w:val="111111"/>
          <w:sz w:val="28"/>
          <w:szCs w:val="28"/>
          <w:rtl/>
        </w:rPr>
        <w:t xml:space="preserve">ابن خطيب ، محمّد بن عمر -فخر رازي ،</w:t>
      </w:r>
    </w:p>
    <w:p>
      <w:pPr>
        <w:pStyle w:val="BookText"/>
      </w:pPr>
      <w:r>
        <w:rPr>
          <w:rFonts w:ascii="Amiri" w:hAnsi="Amiri" w:eastAsia="Amiri" w:cs="Amiri"/>
          <w:lang w:bidi="ar-SA"/>
          <w:color w:val="111111"/>
          <w:sz w:val="28"/>
          <w:szCs w:val="28"/>
          <w:rtl/>
        </w:rPr>
        <w:t xml:space="preserve">محمّد بن عمر</w:t>
      </w:r>
    </w:p>
    <w:p>
      <w:pPr>
        <w:pStyle w:val="BookText"/>
      </w:pPr>
      <w:r>
        <w:rPr>
          <w:rFonts w:ascii="Amiri" w:hAnsi="Amiri" w:eastAsia="Amiri" w:cs="Amiri"/>
          <w:lang w:bidi="ar-SA"/>
          <w:color w:val="111111"/>
          <w:sz w:val="28"/>
          <w:szCs w:val="28"/>
          <w:rtl/>
        </w:rPr>
        <w:t xml:space="preserve">ابن خطيب ، محمّد بن قاسم -آماسي ،</w:t>
      </w:r>
    </w:p>
    <w:p>
      <w:pPr>
        <w:pStyle w:val="BookText"/>
      </w:pPr>
      <w:r>
        <w:rPr>
          <w:rFonts w:ascii="IRNazanin" w:hAnsi="IRNazanin" w:eastAsia="IRNazanin" w:cs="IRNazanin"/>
          <w:lang w:bidi="fa-IR"/>
          <w:color w:val="111111"/>
          <w:sz w:val="28"/>
          <w:szCs w:val="28"/>
          <w:rtl/>
        </w:rPr>
        <w:t xml:space="preserve">محمّد بن قاسم</w:t>
      </w:r>
    </w:p>
    <w:p>
      <w:pPr>
        <w:pStyle w:val="BookText"/>
      </w:pPr>
      <w:r>
        <w:rPr>
          <w:rFonts w:ascii="Amiri" w:hAnsi="Amiri" w:eastAsia="Amiri" w:cs="Amiri"/>
          <w:lang w:bidi="ar-SA"/>
          <w:color w:val="111111"/>
          <w:sz w:val="28"/>
          <w:szCs w:val="28"/>
          <w:rtl/>
        </w:rPr>
        <w:t xml:space="preserve">ابن خطيب ، محي الدين محمّد بن تاج</w:t>
      </w:r>
    </w:p>
    <w:p>
      <w:pPr>
        <w:pStyle w:val="BookText"/>
      </w:pPr>
      <w:r>
        <w:rPr>
          <w:rFonts w:ascii="IRNazanin" w:hAnsi="IRNazanin" w:eastAsia="IRNazanin" w:cs="IRNazanin"/>
          <w:lang w:bidi="fa-IR"/>
          <w:color w:val="111111"/>
          <w:sz w:val="28"/>
          <w:szCs w:val="28"/>
          <w:rtl/>
        </w:rPr>
        <w:t xml:space="preserve">الدين ابراهيم -خطیب زاده ، محمّد بن</w:t>
      </w:r>
    </w:p>
    <w:p>
      <w:pPr>
        <w:pStyle w:val="BookText"/>
      </w:pPr>
      <w:r>
        <w:rPr>
          <w:rFonts w:ascii="Amiri" w:hAnsi="Amiri" w:eastAsia="Amiri" w:cs="Amiri"/>
          <w:lang w:bidi="ar-SA"/>
          <w:color w:val="111111"/>
          <w:sz w:val="28"/>
          <w:szCs w:val="28"/>
          <w:rtl/>
        </w:rPr>
        <w:t xml:space="preserve">ابراهيم</w:t>
      </w:r>
    </w:p>
    <w:p>
      <w:pPr>
        <w:pStyle w:val="Heading2"/>
      </w:pPr>
      <w:bookmarkStart w:id="1271" w:name="_Toc373"/>
      <w:r>
        <w:t>ابن خطيب الدهشة ، محمود بن احمد</w:t>
      </w:r>
      <w:bookmarkEnd w:id="1271"/>
    </w:p>
    <w:p>
      <w:pPr>
        <w:pStyle w:val="BookText"/>
      </w:pPr>
      <w:r>
        <w:rPr>
          <w:rFonts w:ascii="IRNazanin" w:hAnsi="IRNazanin" w:eastAsia="IRNazanin" w:cs="IRNazanin"/>
          <w:lang w:bidi="fa-IR"/>
          <w:color w:val="111111"/>
          <w:sz w:val="28"/>
          <w:szCs w:val="28"/>
          <w:rtl/>
        </w:rPr>
        <w:t xml:space="preserve">750 - 834 ه-</w:t>
      </w:r>
    </w:p>
    <w:p>
      <w:pPr>
        <w:pStyle w:val="BookText"/>
      </w:pPr>
      <w:r>
        <w:rPr>
          <w:rFonts w:ascii="Amiri" w:hAnsi="Amiri" w:eastAsia="Amiri" w:cs="Amiri"/>
          <w:lang w:bidi="ar-SA"/>
          <w:color w:val="111111"/>
          <w:sz w:val="28"/>
          <w:szCs w:val="28"/>
          <w:rtl/>
        </w:rPr>
        <w:t xml:space="preserve">التقريب في علم الغريب = مختصر</w:t>
      </w:r>
    </w:p>
    <w:p>
      <w:pPr>
        <w:pStyle w:val="BookText"/>
      </w:pPr>
      <w:r>
        <w:rPr>
          <w:rFonts w:ascii="Amiri" w:hAnsi="Amiri" w:eastAsia="Amiri" w:cs="Amiri"/>
          <w:lang w:bidi="ar-SA"/>
          <w:color w:val="111111"/>
          <w:sz w:val="28"/>
          <w:szCs w:val="28"/>
          <w:rtl/>
        </w:rPr>
        <w:t xml:space="preserve">تهذيب المطالع لترغيب المطالع ج4، ص727</w:t>
      </w:r>
    </w:p>
    <w:p>
      <w:pPr>
        <w:pStyle w:val="Heading2"/>
      </w:pPr>
      <w:bookmarkStart w:id="1272" w:name="_Toc374"/>
      <w:r>
        <w:t>ابن خفاجه ، ابراهیم بن ابي الفتح 450 -</w:t>
      </w:r>
      <w:bookmarkEnd w:id="1272"/>
    </w:p>
    <w:p>
      <w:pPr>
        <w:pStyle w:val="BookText"/>
      </w:pPr>
      <w:r>
        <w:rPr>
          <w:rFonts w:ascii="IRNazanin" w:hAnsi="IRNazanin" w:eastAsia="IRNazanin" w:cs="IRNazanin"/>
          <w:lang w:bidi="fa-IR"/>
          <w:color w:val="111111"/>
          <w:sz w:val="28"/>
          <w:szCs w:val="28"/>
          <w:rtl/>
        </w:rPr>
        <w:t xml:space="preserve">ص 727 .</w:t>
      </w:r>
    </w:p>
    <w:p>
      <w:pPr>
        <w:pStyle w:val="BookText"/>
      </w:pPr>
      <w:r>
        <w:rPr>
          <w:rFonts w:ascii="IRNazanin" w:hAnsi="IRNazanin" w:eastAsia="IRNazanin" w:cs="IRNazanin"/>
          <w:lang w:bidi="fa-IR"/>
          <w:color w:val="111111"/>
          <w:sz w:val="28"/>
          <w:szCs w:val="28"/>
          <w:rtl/>
        </w:rPr>
        <w:t xml:space="preserve">دیوان ابن خفاجه، ج7، ص517</w:t>
      </w:r>
    </w:p>
    <w:p>
      <w:pPr>
        <w:pStyle w:val="Heading2"/>
      </w:pPr>
      <w:bookmarkStart w:id="1273" w:name="_Toc375"/>
      <w:r>
        <w:t>ابن خطيب الناصريه ، علي بن محمّد</w:t>
      </w:r>
      <w:bookmarkEnd w:id="1273"/>
    </w:p>
    <w:p>
      <w:pPr>
        <w:pStyle w:val="BookText"/>
      </w:pPr>
      <w:r>
        <w:rPr>
          <w:rFonts w:ascii="IRNazanin" w:hAnsi="IRNazanin" w:eastAsia="IRNazanin" w:cs="IRNazanin"/>
          <w:lang w:bidi="fa-IR"/>
          <w:color w:val="111111"/>
          <w:sz w:val="28"/>
          <w:szCs w:val="28"/>
          <w:rtl/>
        </w:rPr>
        <w:t xml:space="preserve">774 - 143 ه-</w:t>
      </w:r>
    </w:p>
    <w:p>
      <w:pPr>
        <w:pStyle w:val="BookText"/>
      </w:pPr>
      <w:r>
        <w:rPr>
          <w:rFonts w:ascii="Amiri" w:hAnsi="Amiri" w:eastAsia="Amiri" w:cs="Amiri"/>
          <w:lang w:bidi="ar-SA"/>
          <w:color w:val="111111"/>
          <w:sz w:val="28"/>
          <w:szCs w:val="28"/>
          <w:rtl/>
        </w:rPr>
        <w:t xml:space="preserve">ابن خفيف ، محمّد بن خفيف خفيف</w:t>
      </w:r>
    </w:p>
    <w:p>
      <w:pPr>
        <w:pStyle w:val="BookText"/>
      </w:pPr>
      <w:r>
        <w:rPr>
          <w:rFonts w:ascii="Amiri" w:hAnsi="Amiri" w:eastAsia="Amiri" w:cs="Amiri"/>
          <w:lang w:bidi="ar-SA"/>
          <w:color w:val="111111"/>
          <w:sz w:val="28"/>
          <w:szCs w:val="28"/>
          <w:rtl/>
        </w:rPr>
        <w:t xml:space="preserve">شيرازي ، محمّد بن خفيف</w:t>
      </w:r>
    </w:p>
    <w:p>
      <w:pPr>
        <w:pStyle w:val="BookText"/>
      </w:pPr>
      <w:r>
        <w:rPr>
          <w:rFonts w:ascii="Amiri" w:hAnsi="Amiri" w:eastAsia="Amiri" w:cs="Amiri"/>
          <w:lang w:bidi="ar-SA"/>
          <w:color w:val="111111"/>
          <w:sz w:val="28"/>
          <w:szCs w:val="28"/>
          <w:rtl/>
        </w:rPr>
        <w:t xml:space="preserve">الدرر المنتخب في تاريخ مملكة حلب</w:t>
      </w:r>
    </w:p>
    <w:p>
      <w:pPr>
        <w:pStyle w:val="BookText"/>
      </w:pPr>
      <w:r>
        <w:rPr>
          <w:rFonts w:ascii="IRNazanin" w:hAnsi="IRNazanin" w:eastAsia="IRNazanin" w:cs="IRNazanin"/>
          <w:lang w:bidi="fa-IR"/>
          <w:color w:val="111111"/>
          <w:sz w:val="28"/>
          <w:szCs w:val="28"/>
          <w:rtl/>
        </w:rPr>
        <w:t xml:space="preserve">ج 7، ص 315.</w:t>
      </w:r>
    </w:p>
    <w:p>
      <w:pPr>
        <w:pStyle w:val="Heading2"/>
      </w:pPr>
      <w:bookmarkStart w:id="1274" w:name="_Toc376"/>
      <w:r>
        <w:t>ابن خطیب ، محمّد بن عبد الله 713 -</w:t>
      </w:r>
      <w:bookmarkEnd w:id="1274"/>
    </w:p>
    <w:p>
      <w:pPr>
        <w:pStyle w:val="BookText"/>
      </w:pPr>
      <w:r>
        <w:rPr>
          <w:rFonts w:ascii="IRNazanin" w:hAnsi="IRNazanin" w:eastAsia="IRNazanin" w:cs="IRNazanin"/>
          <w:lang w:bidi="fa-IR"/>
          <w:color w:val="111111"/>
          <w:sz w:val="28"/>
          <w:szCs w:val="28"/>
          <w:rtl/>
        </w:rPr>
        <w:t xml:space="preserve">776 ه-</w:t>
      </w:r>
    </w:p>
    <w:p>
      <w:pPr>
        <w:pStyle w:val="BookText"/>
      </w:pPr>
      <w:r>
        <w:rPr>
          <w:rFonts w:ascii="Amiri" w:hAnsi="Amiri" w:eastAsia="Amiri" w:cs="Amiri"/>
          <w:lang w:bidi="ar-SA"/>
          <w:color w:val="111111"/>
          <w:sz w:val="28"/>
          <w:szCs w:val="28"/>
          <w:rtl/>
        </w:rPr>
        <w:t xml:space="preserve">1 .اعمال الأعلام فيمن بويع قبل</w:t>
      </w:r>
    </w:p>
    <w:p>
      <w:pPr>
        <w:pStyle w:val="BookText"/>
      </w:pPr>
      <w:r>
        <w:rPr>
          <w:rFonts w:ascii="Amiri" w:hAnsi="Amiri" w:eastAsia="Amiri" w:cs="Amiri"/>
          <w:lang w:bidi="ar-SA"/>
          <w:color w:val="111111"/>
          <w:sz w:val="28"/>
          <w:szCs w:val="28"/>
          <w:rtl/>
        </w:rPr>
        <w:t xml:space="preserve">الإحتلام من ملوك الاسلام، ج2،</w:t>
      </w:r>
    </w:p>
    <w:p>
      <w:pPr>
        <w:pStyle w:val="BookText"/>
      </w:pPr>
      <w:r>
        <w:rPr>
          <w:rFonts w:ascii="IRNazanin" w:hAnsi="IRNazanin" w:eastAsia="IRNazanin" w:cs="IRNazanin"/>
          <w:lang w:bidi="fa-IR"/>
          <w:color w:val="111111"/>
          <w:sz w:val="28"/>
          <w:szCs w:val="28"/>
          <w:rtl/>
        </w:rPr>
        <w:t xml:space="preserve">ص 571</w:t>
      </w:r>
    </w:p>
    <w:p>
      <w:pPr>
        <w:pStyle w:val="BookText"/>
      </w:pPr>
      <w:r>
        <w:rPr>
          <w:rFonts w:ascii="Amiri" w:hAnsi="Amiri" w:eastAsia="Amiri" w:cs="Amiri"/>
          <w:lang w:bidi="ar-SA"/>
          <w:color w:val="111111"/>
          <w:sz w:val="28"/>
          <w:szCs w:val="28"/>
          <w:rtl/>
        </w:rPr>
        <w:t xml:space="preserve">2 .روضة التعريف بالحب الشريف -</w:t>
      </w:r>
    </w:p>
    <w:p>
      <w:pPr>
        <w:pStyle w:val="BookText"/>
      </w:pPr>
      <w:r>
        <w:rPr>
          <w:rFonts w:ascii="Amiri" w:hAnsi="Amiri" w:eastAsia="Amiri" w:cs="Amiri"/>
          <w:lang w:bidi="ar-SA"/>
          <w:color w:val="111111"/>
          <w:sz w:val="28"/>
          <w:szCs w:val="28"/>
          <w:rtl/>
        </w:rPr>
        <w:t xml:space="preserve">الرد على ديوان الصبابة لابن ابي</w:t>
      </w:r>
    </w:p>
    <w:p>
      <w:pPr>
        <w:pStyle w:val="BookText"/>
      </w:pPr>
      <w:r>
        <w:rPr>
          <w:rFonts w:ascii="Amiri" w:hAnsi="Amiri" w:eastAsia="Amiri" w:cs="Amiri"/>
          <w:lang w:bidi="ar-SA"/>
          <w:color w:val="111111"/>
          <w:sz w:val="28"/>
          <w:szCs w:val="28"/>
          <w:rtl/>
        </w:rPr>
        <w:t xml:space="preserve">حجلة، ج8، ص 431 .</w:t>
      </w:r>
    </w:p>
    <w:p>
      <w:pPr>
        <w:pStyle w:val="BookText"/>
      </w:pPr>
      <w:r>
        <w:rPr>
          <w:rFonts w:ascii="Amiri" w:hAnsi="Amiri" w:eastAsia="Amiri" w:cs="Amiri"/>
          <w:lang w:bidi="ar-SA"/>
          <w:color w:val="111111"/>
          <w:sz w:val="28"/>
          <w:szCs w:val="28"/>
          <w:rtl/>
        </w:rPr>
        <w:t xml:space="preserve">3 .كناسة الدكان بعد انتقال السكان</w:t>
      </w:r>
    </w:p>
    <w:p>
      <w:pPr>
        <w:pStyle w:val="BookText"/>
      </w:pPr>
      <w:r>
        <w:rPr>
          <w:rFonts w:ascii="IRNazanin" w:hAnsi="IRNazanin" w:eastAsia="IRNazanin" w:cs="IRNazanin"/>
          <w:lang w:bidi="fa-IR"/>
          <w:color w:val="111111"/>
          <w:sz w:val="28"/>
          <w:szCs w:val="28"/>
          <w:rtl/>
        </w:rPr>
        <w:t xml:space="preserve">ج 13، ص 397.</w:t>
      </w:r>
    </w:p>
    <w:p>
      <w:pPr>
        <w:pStyle w:val="BookText"/>
      </w:pPr>
      <w:r>
        <w:rPr>
          <w:rFonts w:ascii="Amiri" w:hAnsi="Amiri" w:eastAsia="Amiri" w:cs="Amiri"/>
          <w:lang w:bidi="ar-SA"/>
          <w:color w:val="111111"/>
          <w:sz w:val="28"/>
          <w:szCs w:val="28"/>
          <w:rtl/>
        </w:rPr>
        <w:t xml:space="preserve">4 .نفاضة الجراب في علالة الاغتراب</w:t>
      </w:r>
    </w:p>
    <w:p>
      <w:pPr>
        <w:pStyle w:val="BookText"/>
      </w:pPr>
      <w:r>
        <w:rPr>
          <w:rFonts w:ascii="IRNazanin" w:hAnsi="IRNazanin" w:eastAsia="IRNazanin" w:cs="IRNazanin"/>
          <w:lang w:bidi="fa-IR"/>
          <w:color w:val="111111"/>
          <w:sz w:val="28"/>
          <w:szCs w:val="28"/>
          <w:rtl/>
        </w:rPr>
        <w:t xml:space="preserve">ج 16، ص 373.</w:t>
      </w:r>
    </w:p>
    <w:p>
      <w:pPr>
        <w:pStyle w:val="Heading2"/>
      </w:pPr>
      <w:bookmarkStart w:id="1275" w:name="_Toc377"/>
      <w:r>
        <w:t>ابن خلافه ، ملك جعفر</w:t>
      </w:r>
      <w:bookmarkEnd w:id="1275"/>
    </w:p>
    <w:p>
      <w:pPr>
        <w:pStyle w:val="BookText"/>
      </w:pPr>
      <w:r>
        <w:rPr>
          <w:rFonts w:ascii="Amiri" w:hAnsi="Amiri" w:eastAsia="Amiri" w:cs="Amiri"/>
          <w:lang w:bidi="ar-SA"/>
          <w:color w:val="111111"/>
          <w:sz w:val="28"/>
          <w:szCs w:val="28"/>
          <w:rtl/>
        </w:rPr>
        <w:t xml:space="preserve">محاسن المحاضرة و آداب المسافرة</w:t>
      </w:r>
    </w:p>
    <w:p>
      <w:pPr>
        <w:pStyle w:val="BookText"/>
      </w:pPr>
      <w:r>
        <w:rPr>
          <w:rFonts w:ascii="IRNazanin" w:hAnsi="IRNazanin" w:eastAsia="IRNazanin" w:cs="IRNazanin"/>
          <w:lang w:bidi="fa-IR"/>
          <w:color w:val="111111"/>
          <w:sz w:val="28"/>
          <w:szCs w:val="28"/>
          <w:rtl/>
        </w:rPr>
        <w:t xml:space="preserve">ج 14، ص 96.</w:t>
      </w:r>
    </w:p>
    <w:p>
      <w:pPr>
        <w:pStyle w:val="Heading2"/>
      </w:pPr>
      <w:bookmarkStart w:id="1276" w:name="_Toc378"/>
      <w:r>
        <w:t>ابن خلدون ، عبدالرحمن بن محمّد 732</w:t>
      </w:r>
      <w:bookmarkEnd w:id="12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808 ه-</w:t>
      </w:r>
    </w:p>
    <w:p>
      <w:pPr>
        <w:pStyle w:val="BookText"/>
      </w:pPr>
      <w:r>
        <w:rPr>
          <w:rFonts w:ascii="IRNazanin" w:hAnsi="IRNazanin" w:eastAsia="IRNazanin" w:cs="IRNazanin"/>
          <w:lang w:bidi="fa-IR"/>
          <w:color w:val="111111"/>
          <w:sz w:val="28"/>
          <w:szCs w:val="28"/>
          <w:rtl/>
        </w:rPr>
        <w:t xml:space="preserve">1 .تقریظ، ج4، ص783.</w:t>
      </w:r>
    </w:p>
    <w:p>
      <w:pPr>
        <w:pStyle w:val="BookText"/>
      </w:pPr>
      <w:r>
        <w:rPr>
          <w:rFonts w:ascii="Amiri" w:hAnsi="Amiri" w:eastAsia="Amiri" w:cs="Amiri"/>
          <w:lang w:bidi="ar-SA"/>
          <w:color w:val="111111"/>
          <w:sz w:val="28"/>
          <w:szCs w:val="28"/>
          <w:rtl/>
        </w:rPr>
        <w:t xml:space="preserve">2 .رحلة ابن خلدون، ج8، ص 65.</w:t>
      </w:r>
    </w:p>
    <w:p>
      <w:pPr>
        <w:pStyle w:val="BookText"/>
      </w:pPr>
      <w:r>
        <w:rPr>
          <w:rFonts w:ascii="Amiri" w:hAnsi="Amiri" w:eastAsia="Amiri" w:cs="Amiri"/>
          <w:lang w:bidi="ar-SA"/>
          <w:color w:val="111111"/>
          <w:sz w:val="28"/>
          <w:szCs w:val="28"/>
          <w:rtl/>
        </w:rPr>
        <w:t xml:space="preserve">3 .العبر و ديوان المبتداء و الخبر في ايام العرب و العجم = تاريخ ابن خلدون، ج 11، ص18.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2" w:name="pg7742_69467"/>
    <w:bookmarkEnd w:id="62"/>
    <w:p>
      <w:pPr>
        <w:pStyle w:val="BookText"/>
      </w:pPr>
      <w:r>
        <w:rPr>
          <w:rFonts w:ascii="Amiri" w:hAnsi="Amiri" w:eastAsia="Amiri" w:cs="Amiri"/>
          <w:lang w:bidi="ar-SA"/>
          <w:color w:val="111111"/>
          <w:sz w:val="28"/>
          <w:szCs w:val="28"/>
          <w:rtl/>
        </w:rPr>
        <w:t xml:space="preserve">4 .مخطوطة ابن خلدون، ج 14،</w:t>
      </w:r>
    </w:p>
    <w:p>
      <w:pPr>
        <w:pStyle w:val="BookText"/>
      </w:pPr>
      <w:r>
        <w:rPr>
          <w:rFonts w:ascii="IRNazanin" w:hAnsi="IRNazanin" w:eastAsia="IRNazanin" w:cs="IRNazanin"/>
          <w:lang w:bidi="fa-IR"/>
          <w:color w:val="111111"/>
          <w:sz w:val="28"/>
          <w:szCs w:val="28"/>
          <w:rtl/>
        </w:rPr>
        <w:t xml:space="preserve">ص 294.</w:t>
      </w:r>
    </w:p>
    <w:p>
      <w:pPr>
        <w:pStyle w:val="BookText"/>
      </w:pPr>
      <w:r>
        <w:rPr>
          <w:rFonts w:ascii="Amiri" w:hAnsi="Amiri" w:eastAsia="Amiri" w:cs="Amiri"/>
          <w:lang w:bidi="ar-SA"/>
          <w:color w:val="111111"/>
          <w:sz w:val="28"/>
          <w:szCs w:val="28"/>
          <w:rtl/>
        </w:rPr>
        <w:t xml:space="preserve">5 .المقدمة = السفر الاول من كتاب العبر في اخبار العرب والعجم و البربر = مقدمة ابن خلدون، ج 15</w:t>
      </w:r>
    </w:p>
    <w:p>
      <w:pPr>
        <w:pStyle w:val="BookText"/>
      </w:pPr>
      <w:r>
        <w:rPr>
          <w:rFonts w:ascii="IRNazanin" w:hAnsi="IRNazanin" w:eastAsia="IRNazanin" w:cs="IRNazanin"/>
          <w:lang w:bidi="fa-IR"/>
          <w:color w:val="111111"/>
          <w:sz w:val="28"/>
          <w:szCs w:val="28"/>
          <w:rtl/>
        </w:rPr>
        <w:t xml:space="preserve">ص 346 .</w:t>
      </w:r>
    </w:p>
    <w:p>
      <w:pPr>
        <w:pStyle w:val="BookText"/>
      </w:pPr>
      <w:r>
        <w:rPr>
          <w:rFonts w:ascii="IRNazanin" w:hAnsi="IRNazanin" w:eastAsia="IRNazanin" w:cs="IRNazanin"/>
          <w:lang w:bidi="fa-IR"/>
          <w:color w:val="111111"/>
          <w:sz w:val="28"/>
          <w:szCs w:val="28"/>
          <w:rtl/>
        </w:rPr>
        <w:t xml:space="preserve">ابن خلف تبريزي - برهان ، محمّد حسین</w:t>
      </w:r>
    </w:p>
    <w:p>
      <w:pPr>
        <w:pStyle w:val="BookText"/>
      </w:pPr>
      <w:r>
        <w:rPr>
          <w:rFonts w:ascii="IRNazanin" w:hAnsi="IRNazanin" w:eastAsia="IRNazanin" w:cs="IRNazanin"/>
          <w:lang w:bidi="fa-IR"/>
          <w:color w:val="111111"/>
          <w:sz w:val="28"/>
          <w:szCs w:val="28"/>
          <w:rtl/>
        </w:rPr>
        <w:t xml:space="preserve">بن خلف</w:t>
      </w:r>
    </w:p>
    <w:p>
      <w:pPr>
        <w:pStyle w:val="BookText"/>
      </w:pPr>
      <w:r>
        <w:rPr>
          <w:rFonts w:ascii="Amiri" w:hAnsi="Amiri" w:eastAsia="Amiri" w:cs="Amiri"/>
          <w:lang w:bidi="ar-SA"/>
          <w:color w:val="111111"/>
          <w:sz w:val="28"/>
          <w:szCs w:val="28"/>
          <w:rtl/>
        </w:rPr>
        <w:t xml:space="preserve">ابن خلفه ، محمّد بن اسماعيل- حلي ،</w:t>
      </w:r>
    </w:p>
    <w:p>
      <w:pPr>
        <w:pStyle w:val="BookText"/>
      </w:pPr>
      <w:r>
        <w:rPr>
          <w:rFonts w:ascii="IRNazanin" w:hAnsi="IRNazanin" w:eastAsia="IRNazanin" w:cs="IRNazanin"/>
          <w:lang w:bidi="fa-IR"/>
          <w:color w:val="111111"/>
          <w:sz w:val="28"/>
          <w:szCs w:val="28"/>
          <w:rtl/>
        </w:rPr>
        <w:t xml:space="preserve">محمد بن اسماعیل</w:t>
      </w:r>
    </w:p>
    <w:p>
      <w:pPr>
        <w:pStyle w:val="Heading2"/>
      </w:pPr>
      <w:bookmarkStart w:id="1277" w:name="_Toc379"/>
      <w:r>
        <w:t>ابن خلکان احمد بن محمّد 608-681ه-</w:t>
      </w:r>
      <w:bookmarkEnd w:id="1277"/>
    </w:p>
    <w:p>
      <w:pPr>
        <w:pStyle w:val="BookText"/>
      </w:pPr>
      <w:r>
        <w:rPr>
          <w:rFonts w:ascii="IRNazanin" w:hAnsi="IRNazanin" w:eastAsia="IRNazanin" w:cs="IRNazanin"/>
          <w:lang w:bidi="fa-IR"/>
          <w:color w:val="111111"/>
          <w:sz w:val="28"/>
          <w:szCs w:val="28"/>
          <w:rtl/>
        </w:rPr>
        <w:t xml:space="preserve">1 .تاریخ ابن خلکان، ج 3، ص 543.</w:t>
      </w:r>
    </w:p>
    <w:p>
      <w:pPr>
        <w:pStyle w:val="BookText"/>
      </w:pPr>
      <w:r>
        <w:rPr>
          <w:rFonts w:ascii="Amiri" w:hAnsi="Amiri" w:eastAsia="Amiri" w:cs="Amiri"/>
          <w:lang w:bidi="ar-SA"/>
          <w:color w:val="111111"/>
          <w:sz w:val="28"/>
          <w:szCs w:val="28"/>
          <w:rtl/>
        </w:rPr>
        <w:t xml:space="preserve">2 .وفيات الاعيان و انباء ابناء الزمان</w:t>
      </w:r>
    </w:p>
    <w:p>
      <w:pPr>
        <w:pStyle w:val="BookText"/>
      </w:pPr>
      <w:r>
        <w:rPr>
          <w:rFonts w:ascii="IRNazanin" w:hAnsi="IRNazanin" w:eastAsia="IRNazanin" w:cs="IRNazanin"/>
          <w:lang w:bidi="fa-IR"/>
          <w:color w:val="111111"/>
          <w:sz w:val="28"/>
          <w:szCs w:val="28"/>
          <w:rtl/>
        </w:rPr>
        <w:t xml:space="preserve">ج 16، ص 852.</w:t>
      </w:r>
    </w:p>
    <w:p>
      <w:pPr>
        <w:pStyle w:val="Heading2"/>
      </w:pPr>
      <w:bookmarkStart w:id="1278" w:name="_Toc380"/>
      <w:r>
        <w:t>ابن خلوف ، احمد بن ابي القاسم، 829 -</w:t>
      </w:r>
      <w:bookmarkEnd w:id="1278"/>
    </w:p>
    <w:p>
      <w:pPr>
        <w:pStyle w:val="BookText"/>
      </w:pPr>
      <w:r>
        <w:rPr>
          <w:rFonts w:ascii="IRNazanin" w:hAnsi="IRNazanin" w:eastAsia="IRNazanin" w:cs="IRNazanin"/>
          <w:lang w:bidi="fa-IR"/>
          <w:color w:val="111111"/>
          <w:sz w:val="28"/>
          <w:szCs w:val="28"/>
          <w:rtl/>
        </w:rPr>
        <w:t xml:space="preserve">899 ه-</w:t>
      </w:r>
    </w:p>
    <w:p>
      <w:pPr>
        <w:pStyle w:val="BookText"/>
      </w:pPr>
      <w:r>
        <w:rPr>
          <w:rFonts w:ascii="IRNazanin" w:hAnsi="IRNazanin" w:eastAsia="IRNazanin" w:cs="IRNazanin"/>
          <w:lang w:bidi="fa-IR"/>
          <w:color w:val="111111"/>
          <w:sz w:val="28"/>
          <w:szCs w:val="28"/>
          <w:rtl/>
        </w:rPr>
        <w:t xml:space="preserve">دیوان ابن خلوف، ج 7، ص518.</w:t>
      </w:r>
    </w:p>
    <w:p>
      <w:pPr>
        <w:pStyle w:val="BookText"/>
      </w:pPr>
      <w:r>
        <w:rPr>
          <w:rFonts w:ascii="Amiri" w:hAnsi="Amiri" w:eastAsia="Amiri" w:cs="Amiri"/>
          <w:lang w:bidi="ar-SA"/>
          <w:color w:val="111111"/>
          <w:sz w:val="28"/>
          <w:szCs w:val="28"/>
          <w:rtl/>
        </w:rPr>
        <w:t xml:space="preserve">ابن خليف ، ملاطه -افندي ، ملاطه</w:t>
      </w:r>
    </w:p>
    <w:p>
      <w:pPr>
        <w:pStyle w:val="BookText"/>
      </w:pPr>
      <w:r>
        <w:rPr>
          <w:rFonts w:ascii="IRNazanin" w:hAnsi="IRNazanin" w:eastAsia="IRNazanin" w:cs="IRNazanin"/>
          <w:lang w:bidi="fa-IR"/>
          <w:color w:val="111111"/>
          <w:sz w:val="28"/>
          <w:szCs w:val="28"/>
          <w:rtl/>
        </w:rPr>
        <w:t xml:space="preserve">ابن خلیفه ، احمد بن علي -ابن فليته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IRNazanin" w:hAnsi="IRNazanin" w:eastAsia="IRNazanin" w:cs="IRNazanin"/>
          <w:lang w:bidi="fa-IR"/>
          <w:color w:val="111111"/>
          <w:sz w:val="28"/>
          <w:szCs w:val="28"/>
          <w:rtl/>
        </w:rPr>
        <w:t xml:space="preserve">ابن خلیفه ، محمّد بن احمد- باعوني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ابن خليفه ، محمّد علي بن حيدر- محمّد</w:t>
      </w:r>
    </w:p>
    <w:p>
      <w:pPr>
        <w:pStyle w:val="BookText"/>
      </w:pPr>
      <w:r>
        <w:rPr>
          <w:rFonts w:ascii="Amiri" w:hAnsi="Amiri" w:eastAsia="Amiri" w:cs="Amiri"/>
          <w:lang w:bidi="ar-SA"/>
          <w:color w:val="111111"/>
          <w:sz w:val="28"/>
          <w:szCs w:val="28"/>
          <w:rtl/>
        </w:rPr>
        <w:t xml:space="preserve">علي بن حيدر</w:t>
      </w:r>
    </w:p>
    <w:p>
      <w:pPr>
        <w:pStyle w:val="Heading2"/>
      </w:pPr>
      <w:bookmarkStart w:id="1279" w:name="_Toc381"/>
      <w:r>
        <w:t>ابن خليل ، يوسف بن خليل 555-648ه-</w:t>
      </w:r>
      <w:bookmarkEnd w:id="1279"/>
    </w:p>
    <w:p>
      <w:pPr>
        <w:pStyle w:val="BookText"/>
      </w:pPr>
      <w:r>
        <w:rPr>
          <w:rFonts w:ascii="Amiri" w:hAnsi="Amiri" w:eastAsia="Amiri" w:cs="Amiri"/>
          <w:lang w:bidi="ar-SA"/>
          <w:color w:val="111111"/>
          <w:sz w:val="28"/>
          <w:szCs w:val="28"/>
          <w:rtl/>
        </w:rPr>
        <w:t xml:space="preserve">معجم الشيوخ، ج 15 ، ص 14.</w:t>
      </w:r>
    </w:p>
    <w:p>
      <w:pPr>
        <w:pStyle w:val="Heading2"/>
      </w:pPr>
      <w:bookmarkStart w:id="1280" w:name="_Toc382"/>
      <w:r>
        <w:t>ابن خميس ، حسين بن نصر، 466 - 551</w:t>
      </w:r>
      <w:bookmarkEnd w:id="1280"/>
    </w:p>
    <w:p>
      <w:pPr>
        <w:pStyle w:val="BookText"/>
      </w:pPr>
      <w:r>
        <w:rPr>
          <w:rFonts w:ascii="IRNazanin" w:hAnsi="IRNazanin" w:eastAsia="IRNazanin" w:cs="IRNazanin"/>
          <w:lang w:bidi="fa-IR"/>
          <w:color w:val="111111"/>
          <w:sz w:val="28"/>
          <w:szCs w:val="28"/>
          <w:rtl/>
        </w:rPr>
        <w:t xml:space="preserve">؟ ه-</w:t>
      </w:r>
    </w:p>
    <w:p>
      <w:pPr>
        <w:pStyle w:val="BookText"/>
      </w:pPr>
      <w:r>
        <w:rPr>
          <w:rFonts w:ascii="IRNazanin" w:hAnsi="IRNazanin" w:eastAsia="IRNazanin" w:cs="IRNazanin"/>
          <w:lang w:bidi="fa-IR"/>
          <w:color w:val="111111"/>
          <w:sz w:val="28"/>
          <w:szCs w:val="28"/>
          <w:rtl/>
        </w:rPr>
        <w:t xml:space="preserve">مناقب الابرار و محاسن الاخیار، ج 15</w:t>
      </w:r>
    </w:p>
    <w:p>
      <w:pPr>
        <w:pStyle w:val="BookText"/>
      </w:pPr>
      <w:r>
        <w:rPr>
          <w:rFonts w:ascii="IRNazanin" w:hAnsi="IRNazanin" w:eastAsia="IRNazanin" w:cs="IRNazanin"/>
          <w:lang w:bidi="fa-IR"/>
          <w:color w:val="111111"/>
          <w:sz w:val="28"/>
          <w:szCs w:val="28"/>
          <w:rtl/>
        </w:rPr>
        <w:t xml:space="preserve">ص 535.</w:t>
      </w:r>
    </w:p>
    <w:p>
      <w:pPr>
        <w:pStyle w:val="BookText"/>
      </w:pPr>
      <w:r>
        <w:rPr>
          <w:rFonts w:ascii="Amiri" w:hAnsi="Amiri" w:eastAsia="Amiri" w:cs="Amiri"/>
          <w:lang w:bidi="ar-SA"/>
          <w:color w:val="111111"/>
          <w:sz w:val="28"/>
          <w:szCs w:val="28"/>
          <w:rtl/>
        </w:rPr>
        <w:t xml:space="preserve">ابن خواجكي زاده ، مصطفى بن محمد -خواجكي زاده ، مصطفى بن محمّد</w:t>
      </w:r>
    </w:p>
    <w:p>
      <w:pPr>
        <w:pStyle w:val="BookText"/>
      </w:pPr>
      <w:r>
        <w:rPr>
          <w:rFonts w:ascii="IRNazanin" w:hAnsi="IRNazanin" w:eastAsia="IRNazanin" w:cs="IRNazanin"/>
          <w:lang w:bidi="fa-IR"/>
          <w:color w:val="111111"/>
          <w:sz w:val="28"/>
          <w:szCs w:val="28"/>
          <w:rtl/>
        </w:rPr>
        <w:t xml:space="preserve">ابن خوام ، جمال الدین عبدالله بن</w:t>
      </w:r>
    </w:p>
    <w:p>
      <w:pPr>
        <w:pStyle w:val="BookText"/>
      </w:pPr>
      <w:r>
        <w:rPr>
          <w:rFonts w:ascii="Amiri" w:hAnsi="Amiri" w:eastAsia="Amiri" w:cs="Amiri"/>
          <w:lang w:bidi="ar-SA"/>
          <w:color w:val="111111"/>
          <w:sz w:val="28"/>
          <w:szCs w:val="28"/>
          <w:rtl/>
        </w:rPr>
        <w:t xml:space="preserve">محمّد -حربوي ، عبدالله بن محمّد</w:t>
      </w:r>
    </w:p>
    <w:p>
      <w:pPr>
        <w:pStyle w:val="BookText"/>
      </w:pPr>
      <w:r>
        <w:rPr>
          <w:rFonts w:ascii="Amiri" w:hAnsi="Amiri" w:eastAsia="Amiri" w:cs="Amiri"/>
          <w:lang w:bidi="ar-SA"/>
          <w:color w:val="111111"/>
          <w:sz w:val="28"/>
          <w:szCs w:val="28"/>
          <w:rtl/>
        </w:rPr>
        <w:t xml:space="preserve">ابن خوام ، عبدالله بن محمّد -حربوي ،</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1281" w:name="_Toc383"/>
      <w:r>
        <w:t>ابن خوي ، احمد بن موسى بن نصر</w:t>
      </w:r>
      <w:bookmarkEnd w:id="1281"/>
    </w:p>
    <w:p>
      <w:pPr>
        <w:pStyle w:val="BookText"/>
      </w:pPr>
      <w:r>
        <w:rPr>
          <w:rFonts w:ascii="Amiri" w:hAnsi="Amiri" w:eastAsia="Amiri" w:cs="Amiri"/>
          <w:lang w:bidi="ar-SA"/>
          <w:color w:val="111111"/>
          <w:sz w:val="28"/>
          <w:szCs w:val="28"/>
          <w:rtl/>
        </w:rPr>
        <w:t xml:space="preserve">العالي الرتبة في احكام الحسبة، ج 11،</w:t>
      </w:r>
    </w:p>
    <w:p>
      <w:pPr>
        <w:pStyle w:val="BookText"/>
      </w:pPr>
      <w:r>
        <w:rPr>
          <w:rFonts w:ascii="IRNazanin" w:hAnsi="IRNazanin" w:eastAsia="IRNazanin" w:cs="IRNazanin"/>
          <w:lang w:bidi="fa-IR"/>
          <w:color w:val="111111"/>
          <w:sz w:val="28"/>
          <w:szCs w:val="28"/>
          <w:rtl/>
        </w:rPr>
        <w:t xml:space="preserve">ص 8.</w:t>
      </w:r>
    </w:p>
    <w:p>
      <w:pPr>
        <w:pStyle w:val="Heading2"/>
      </w:pPr>
      <w:bookmarkStart w:id="1282" w:name="_Toc384"/>
      <w:r>
        <w:t>ابن خیاط، احمد بن محمّد 1195 -</w:t>
      </w:r>
      <w:bookmarkEnd w:id="1282"/>
    </w:p>
    <w:p>
      <w:pPr>
        <w:pStyle w:val="BookText"/>
      </w:pPr>
      <w:r>
        <w:rPr>
          <w:rFonts w:ascii="IRNazanin" w:hAnsi="IRNazanin" w:eastAsia="IRNazanin" w:cs="IRNazanin"/>
          <w:lang w:bidi="fa-IR"/>
          <w:color w:val="111111"/>
          <w:sz w:val="28"/>
          <w:szCs w:val="28"/>
          <w:rtl/>
        </w:rPr>
        <w:t xml:space="preserve">1385 ه-</w:t>
      </w:r>
    </w:p>
    <w:p>
      <w:pPr>
        <w:pStyle w:val="BookText"/>
      </w:pPr>
      <w:r>
        <w:rPr>
          <w:rFonts w:ascii="Amiri" w:hAnsi="Amiri" w:eastAsia="Amiri" w:cs="Amiri"/>
          <w:lang w:bidi="ar-SA"/>
          <w:color w:val="111111"/>
          <w:sz w:val="28"/>
          <w:szCs w:val="28"/>
          <w:rtl/>
        </w:rPr>
        <w:t xml:space="preserve">1 .اجازة لعبد الله بن محمّد الصائغ</w:t>
      </w:r>
    </w:p>
    <w:p>
      <w:pPr>
        <w:pStyle w:val="BookText"/>
      </w:pPr>
      <w:r>
        <w:rPr>
          <w:rFonts w:ascii="Amiri" w:hAnsi="Amiri" w:eastAsia="Amiri" w:cs="Amiri"/>
          <w:lang w:bidi="ar-SA"/>
          <w:color w:val="111111"/>
          <w:sz w:val="28"/>
          <w:szCs w:val="28"/>
          <w:rtl/>
        </w:rPr>
        <w:t xml:space="preserve">الموصلي، ج 1، ص277</w:t>
      </w:r>
    </w:p>
    <w:p>
      <w:pPr>
        <w:pStyle w:val="BookText"/>
      </w:pPr>
      <w:r>
        <w:rPr>
          <w:rFonts w:ascii="Amiri" w:hAnsi="Amiri" w:eastAsia="Amiri" w:cs="Amiri"/>
          <w:lang w:bidi="ar-SA"/>
          <w:color w:val="111111"/>
          <w:sz w:val="28"/>
          <w:szCs w:val="28"/>
          <w:rtl/>
        </w:rPr>
        <w:t xml:space="preserve">2 .ترجمة الأولياء في الموصل الحدباء</w:t>
      </w:r>
    </w:p>
    <w:p>
      <w:pPr>
        <w:pStyle w:val="BookText"/>
      </w:pPr>
      <w:r>
        <w:rPr>
          <w:rFonts w:ascii="IRNazanin" w:hAnsi="IRNazanin" w:eastAsia="IRNazanin" w:cs="IRNazanin"/>
          <w:lang w:bidi="fa-IR"/>
          <w:color w:val="111111"/>
          <w:sz w:val="28"/>
          <w:szCs w:val="28"/>
          <w:rtl/>
        </w:rPr>
        <w:t xml:space="preserve">ج 4، ص 262 .</w:t>
      </w:r>
    </w:p>
    <w:p>
      <w:pPr>
        <w:pStyle w:val="Heading2"/>
      </w:pPr>
      <w:bookmarkStart w:id="1283" w:name="_Toc385"/>
      <w:r>
        <w:t>ابن خیاط، احمد بن محمّد 450-517ه-</w:t>
      </w:r>
      <w:bookmarkEnd w:id="1283"/>
    </w:p>
    <w:p>
      <w:pPr>
        <w:pStyle w:val="BookText"/>
      </w:pPr>
      <w:r>
        <w:rPr>
          <w:rFonts w:ascii="Amiri" w:hAnsi="Amiri" w:eastAsia="Amiri" w:cs="Amiri"/>
          <w:lang w:bidi="ar-SA"/>
          <w:color w:val="111111"/>
          <w:sz w:val="28"/>
          <w:szCs w:val="28"/>
          <w:rtl/>
        </w:rPr>
        <w:t xml:space="preserve">ديوان ابن الخياط الدمشقي، ج7،</w:t>
      </w:r>
    </w:p>
    <w:p>
      <w:pPr>
        <w:pStyle w:val="BookText"/>
      </w:pPr>
      <w:r>
        <w:rPr>
          <w:rFonts w:ascii="IRNazanin" w:hAnsi="IRNazanin" w:eastAsia="IRNazanin" w:cs="IRNazanin"/>
          <w:lang w:bidi="fa-IR"/>
          <w:color w:val="111111"/>
          <w:sz w:val="28"/>
          <w:szCs w:val="28"/>
          <w:rtl/>
        </w:rPr>
        <w:t xml:space="preserve">ص 518.</w:t>
      </w:r>
    </w:p>
    <w:p>
      <w:pPr>
        <w:pStyle w:val="BookText"/>
      </w:pPr>
      <w:r>
        <w:rPr>
          <w:rFonts w:ascii="Amiri" w:hAnsi="Amiri" w:eastAsia="Amiri" w:cs="Amiri"/>
          <w:lang w:bidi="ar-SA"/>
          <w:color w:val="111111"/>
          <w:sz w:val="28"/>
          <w:szCs w:val="28"/>
          <w:rtl/>
        </w:rPr>
        <w:t xml:space="preserve">ابن خياط العصفري ، ابو عمرو -خليفه</w:t>
      </w:r>
    </w:p>
    <w:p>
      <w:pPr>
        <w:pStyle w:val="BookText"/>
      </w:pPr>
      <w:r>
        <w:rPr>
          <w:rFonts w:ascii="IRNazanin" w:hAnsi="IRNazanin" w:eastAsia="IRNazanin" w:cs="IRNazanin"/>
          <w:lang w:bidi="fa-IR"/>
          <w:color w:val="111111"/>
          <w:sz w:val="28"/>
          <w:szCs w:val="28"/>
          <w:rtl/>
        </w:rPr>
        <w:t xml:space="preserve">بن خیاط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3" w:name="pg7742_69469"/>
    <w:bookmarkEnd w:id="63"/>
    <w:p>
      <w:pPr>
        <w:pStyle w:val="Heading2"/>
      </w:pPr>
      <w:bookmarkStart w:id="1284" w:name="_Toc386"/>
      <w:r>
        <w:t>ابن خیاط، شمس الدین</w:t>
      </w:r>
      <w:bookmarkEnd w:id="1284"/>
    </w:p>
    <w:p>
      <w:pPr>
        <w:pStyle w:val="BookText"/>
      </w:pPr>
      <w:r>
        <w:rPr>
          <w:rFonts w:ascii="Amiri" w:hAnsi="Amiri" w:eastAsia="Amiri" w:cs="Amiri"/>
          <w:lang w:bidi="ar-SA"/>
          <w:color w:val="111111"/>
          <w:sz w:val="28"/>
          <w:szCs w:val="28"/>
          <w:rtl/>
        </w:rPr>
        <w:t xml:space="preserve">تخميس تائية ابن المقري ج4</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IRNazanin" w:hAnsi="IRNazanin" w:eastAsia="IRNazanin" w:cs="IRNazanin"/>
          <w:lang w:bidi="fa-IR"/>
          <w:color w:val="111111"/>
          <w:sz w:val="28"/>
          <w:szCs w:val="28"/>
          <w:rtl/>
        </w:rPr>
        <w:t xml:space="preserve">ابن خیاط، عبد الرحمن بن محمّد -قره</w:t>
      </w:r>
    </w:p>
    <w:p>
      <w:pPr>
        <w:pStyle w:val="BookText"/>
      </w:pPr>
      <w:r>
        <w:rPr>
          <w:rFonts w:ascii="Amiri" w:hAnsi="Amiri" w:eastAsia="Amiri" w:cs="Amiri"/>
          <w:lang w:bidi="ar-SA"/>
          <w:color w:val="111111"/>
          <w:sz w:val="28"/>
          <w:szCs w:val="28"/>
          <w:rtl/>
        </w:rPr>
        <w:t xml:space="preserve">داغي ، عبدالرحمن بن محمّد</w:t>
      </w:r>
    </w:p>
    <w:p>
      <w:pPr>
        <w:pStyle w:val="Heading2"/>
      </w:pPr>
      <w:bookmarkStart w:id="1285" w:name="_Toc387"/>
      <w:r>
        <w:t>ابن خیاط، عبد الرحيم بن محمّد - 530؟ه-</w:t>
      </w:r>
      <w:bookmarkEnd w:id="1285"/>
    </w:p>
    <w:p>
      <w:pPr>
        <w:pStyle w:val="BookText"/>
      </w:pPr>
      <w:r>
        <w:rPr>
          <w:rFonts w:ascii="Amiri" w:hAnsi="Amiri" w:eastAsia="Amiri" w:cs="Amiri"/>
          <w:lang w:bidi="ar-SA"/>
          <w:color w:val="111111"/>
          <w:sz w:val="28"/>
          <w:szCs w:val="28"/>
          <w:rtl/>
        </w:rPr>
        <w:t xml:space="preserve">حاشية الخياط، ج 5، ص 865.</w:t>
      </w:r>
    </w:p>
    <w:p>
      <w:pPr>
        <w:pStyle w:val="Heading2"/>
      </w:pPr>
      <w:bookmarkStart w:id="1286" w:name="_Toc388"/>
      <w:r>
        <w:t>ابن خياط قرداغي ، عبد الرحمن بن محمّد</w:t>
      </w:r>
      <w:bookmarkEnd w:id="1286"/>
    </w:p>
    <w:p>
      <w:pPr>
        <w:pStyle w:val="BookText"/>
      </w:pPr>
      <w:r>
        <w:rPr>
          <w:rFonts w:ascii="Amiri" w:hAnsi="Amiri" w:eastAsia="Amiri" w:cs="Amiri"/>
          <w:lang w:bidi="ar-SA"/>
          <w:color w:val="111111"/>
          <w:sz w:val="28"/>
          <w:szCs w:val="28"/>
          <w:rtl/>
        </w:rPr>
        <w:t xml:space="preserve">القضاء والقدر (رسالة في)، ج 12،</w:t>
      </w:r>
    </w:p>
    <w:p>
      <w:pPr>
        <w:pStyle w:val="BookText"/>
      </w:pPr>
      <w:r>
        <w:rPr>
          <w:rFonts w:ascii="IRNazanin" w:hAnsi="IRNazanin" w:eastAsia="IRNazanin" w:cs="IRNazanin"/>
          <w:lang w:bidi="fa-IR"/>
          <w:color w:val="111111"/>
          <w:sz w:val="28"/>
          <w:szCs w:val="28"/>
          <w:rtl/>
        </w:rPr>
        <w:t xml:space="preserve">ص 740.</w:t>
      </w:r>
    </w:p>
    <w:p>
      <w:pPr>
        <w:pStyle w:val="Heading2"/>
      </w:pPr>
      <w:bookmarkStart w:id="1287" w:name="_Toc389"/>
      <w:r>
        <w:t>ابن خيرون ، احمد بن حسن - 488 ه-</w:t>
      </w:r>
      <w:bookmarkEnd w:id="1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تاریخ وفيات شيوخ البغوي ، ج 3،</w:t>
      </w:r>
    </w:p>
    <w:p>
      <w:pPr>
        <w:pStyle w:val="BookText"/>
      </w:pPr>
      <w:r>
        <w:rPr>
          <w:rFonts w:ascii="IRNazanin" w:hAnsi="IRNazanin" w:eastAsia="IRNazanin" w:cs="IRNazanin"/>
          <w:lang w:bidi="fa-IR"/>
          <w:color w:val="111111"/>
          <w:sz w:val="28"/>
          <w:szCs w:val="28"/>
          <w:rtl/>
        </w:rPr>
        <w:t xml:space="preserve">ص 614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الفوائد العوالي و الاحاديث و الغرائب، ج 12، ص 250 .</w:t>
      </w:r>
    </w:p>
    <w:p>
      <w:pPr>
        <w:pStyle w:val="BookText"/>
      </w:pPr>
      <w:r>
        <w:rPr>
          <w:rFonts w:ascii="Amiri" w:hAnsi="Amiri" w:eastAsia="Amiri" w:cs="Amiri"/>
          <w:lang w:bidi="ar-SA"/>
          <w:color w:val="111111"/>
          <w:sz w:val="28"/>
          <w:szCs w:val="28"/>
          <w:rtl/>
        </w:rPr>
        <w:t xml:space="preserve">ابن خيضري، محمّد بن محمّد خيضري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1288" w:name="_Toc390"/>
      <w:r>
        <w:t>ابن الخيمي، محمّد بن عبد المنعم، 603 -</w:t>
      </w:r>
      <w:bookmarkEnd w:id="1288"/>
    </w:p>
    <w:p>
      <w:pPr>
        <w:pStyle w:val="BookText"/>
      </w:pPr>
      <w:r>
        <w:rPr>
          <w:rFonts w:ascii="IRNazanin" w:hAnsi="IRNazanin" w:eastAsia="IRNazanin" w:cs="IRNazanin"/>
          <w:lang w:bidi="fa-IR"/>
          <w:color w:val="111111"/>
          <w:sz w:val="28"/>
          <w:szCs w:val="28"/>
          <w:rtl/>
        </w:rPr>
        <w:t xml:space="preserve">685 ه-</w:t>
      </w:r>
    </w:p>
    <w:p>
      <w:pPr>
        <w:pStyle w:val="BookText"/>
      </w:pPr>
      <w:r>
        <w:rPr>
          <w:rFonts w:ascii="Amiri" w:hAnsi="Amiri" w:eastAsia="Amiri" w:cs="Amiri"/>
          <w:lang w:bidi="ar-SA"/>
          <w:color w:val="111111"/>
          <w:sz w:val="28"/>
          <w:szCs w:val="28"/>
          <w:rtl/>
        </w:rPr>
        <w:t xml:space="preserve">ديوان ابن الخيمي = القصيدة، ج 7، ص519</w:t>
      </w:r>
    </w:p>
    <w:p>
      <w:pPr>
        <w:pStyle w:val="BookText"/>
      </w:pPr>
      <w:r>
        <w:rPr>
          <w:rFonts w:ascii="IRNazanin" w:hAnsi="IRNazanin" w:eastAsia="IRNazanin" w:cs="IRNazanin"/>
          <w:lang w:bidi="fa-IR"/>
          <w:color w:val="111111"/>
          <w:sz w:val="28"/>
          <w:szCs w:val="28"/>
          <w:rtl/>
        </w:rPr>
        <w:t xml:space="preserve">ابن داود ، ابوبکر محمّد بن داود</w:t>
      </w:r>
    </w:p>
    <w:p>
      <w:pPr>
        <w:pStyle w:val="BookText"/>
      </w:pPr>
      <w:r>
        <w:rPr>
          <w:rFonts w:ascii="Amiri" w:hAnsi="Amiri" w:eastAsia="Amiri" w:cs="Amiri"/>
          <w:lang w:bidi="ar-SA"/>
          <w:color w:val="111111"/>
          <w:sz w:val="28"/>
          <w:szCs w:val="28"/>
          <w:rtl/>
        </w:rPr>
        <w:t xml:space="preserve">اصفهاني- ظاهري ، محمّد بن داود</w:t>
      </w:r>
    </w:p>
    <w:p>
      <w:pPr>
        <w:pStyle w:val="Heading2"/>
      </w:pPr>
      <w:bookmarkStart w:id="1289" w:name="_Toc391"/>
      <w:r>
        <w:t>ابن داود حلي ، حسن بن علي 647 -</w:t>
      </w:r>
      <w:bookmarkEnd w:id="1289"/>
    </w:p>
    <w:p>
      <w:pPr>
        <w:pStyle w:val="BookText"/>
      </w:pPr>
      <w:r>
        <w:rPr>
          <w:rFonts w:ascii="IRNazanin" w:hAnsi="IRNazanin" w:eastAsia="IRNazanin" w:cs="IRNazanin"/>
          <w:lang w:bidi="fa-IR"/>
          <w:color w:val="111111"/>
          <w:sz w:val="28"/>
          <w:szCs w:val="28"/>
          <w:rtl/>
        </w:rPr>
        <w:t xml:space="preserve">740 ه-</w:t>
      </w:r>
    </w:p>
    <w:p>
      <w:pPr>
        <w:pStyle w:val="BookText"/>
      </w:pPr>
      <w:r>
        <w:rPr>
          <w:rFonts w:ascii="Amiri" w:hAnsi="Amiri" w:eastAsia="Amiri" w:cs="Amiri"/>
          <w:lang w:bidi="ar-SA"/>
          <w:color w:val="111111"/>
          <w:sz w:val="28"/>
          <w:szCs w:val="28"/>
          <w:rtl/>
        </w:rPr>
        <w:t xml:space="preserve">1 .اصول المعصومين (كتاب في)، ج2،</w:t>
      </w:r>
    </w:p>
    <w:p>
      <w:pPr>
        <w:pStyle w:val="BookText"/>
      </w:pPr>
      <w:r>
        <w:rPr>
          <w:rFonts w:ascii="IRNazanin" w:hAnsi="IRNazanin" w:eastAsia="IRNazanin" w:cs="IRNazanin"/>
          <w:lang w:bidi="fa-IR"/>
          <w:color w:val="111111"/>
          <w:sz w:val="28"/>
          <w:szCs w:val="28"/>
          <w:rtl/>
        </w:rPr>
        <w:t xml:space="preserve">ص 466 .</w:t>
      </w:r>
    </w:p>
    <w:p>
      <w:pPr>
        <w:pStyle w:val="BookText"/>
      </w:pPr>
      <w:r>
        <w:rPr>
          <w:rFonts w:ascii="Amiri" w:hAnsi="Amiri" w:eastAsia="Amiri" w:cs="Amiri"/>
          <w:lang w:bidi="ar-SA"/>
          <w:color w:val="111111"/>
          <w:sz w:val="28"/>
          <w:szCs w:val="28"/>
          <w:rtl/>
        </w:rPr>
        <w:t xml:space="preserve">2 .التحفة السعدية، ج 3، ص 845.</w:t>
      </w:r>
    </w:p>
    <w:p>
      <w:pPr>
        <w:pStyle w:val="BookText"/>
      </w:pPr>
      <w:r>
        <w:rPr>
          <w:rFonts w:ascii="IRNazanin" w:hAnsi="IRNazanin" w:eastAsia="IRNazanin" w:cs="IRNazanin"/>
          <w:lang w:bidi="fa-IR"/>
          <w:color w:val="111111"/>
          <w:sz w:val="28"/>
          <w:szCs w:val="28"/>
          <w:rtl/>
        </w:rPr>
        <w:t xml:space="preserve">رجال ابن داود، ج8، ص50</w:t>
      </w:r>
    </w:p>
    <w:p>
      <w:pPr>
        <w:pStyle w:val="Heading2"/>
      </w:pPr>
      <w:bookmarkStart w:id="1290" w:name="_Toc392"/>
      <w:r>
        <w:t>ابن داود ، عبدالرحمن بن ابي بكر 782 -</w:t>
      </w:r>
      <w:bookmarkEnd w:id="1290"/>
    </w:p>
    <w:p>
      <w:pPr>
        <w:pStyle w:val="BookText"/>
      </w:pPr>
      <w:r>
        <w:rPr>
          <w:rFonts w:ascii="IRNazanin" w:hAnsi="IRNazanin" w:eastAsia="IRNazanin" w:cs="IRNazanin"/>
          <w:lang w:bidi="fa-IR"/>
          <w:color w:val="111111"/>
          <w:sz w:val="28"/>
          <w:szCs w:val="28"/>
          <w:rtl/>
        </w:rPr>
        <w:t xml:space="preserve">856 ه-</w:t>
      </w:r>
    </w:p>
    <w:p>
      <w:pPr>
        <w:pStyle w:val="BookText"/>
      </w:pPr>
      <w:r>
        <w:rPr>
          <w:rFonts w:ascii="Amiri" w:hAnsi="Amiri" w:eastAsia="Amiri" w:cs="Amiri"/>
          <w:lang w:bidi="ar-SA"/>
          <w:color w:val="111111"/>
          <w:sz w:val="28"/>
          <w:szCs w:val="28"/>
          <w:rtl/>
        </w:rPr>
        <w:t xml:space="preserve">1 .تحفة العباد في شرح در المنتقي المرفوع في اوراد اليوم والليلة و</w:t>
      </w:r>
    </w:p>
    <w:p>
      <w:pPr>
        <w:pStyle w:val="BookText"/>
      </w:pPr>
      <w:r>
        <w:rPr>
          <w:rFonts w:ascii="IRNazanin" w:hAnsi="IRNazanin" w:eastAsia="IRNazanin" w:cs="IRNazanin"/>
          <w:lang w:bidi="fa-IR"/>
          <w:color w:val="111111"/>
          <w:sz w:val="28"/>
          <w:szCs w:val="28"/>
          <w:rtl/>
        </w:rPr>
        <w:t xml:space="preserve">الاسبوع، ج 3، ص 866.</w:t>
      </w:r>
    </w:p>
    <w:p>
      <w:pPr>
        <w:pStyle w:val="BookText"/>
      </w:pPr>
      <w:r>
        <w:rPr>
          <w:rFonts w:ascii="Amiri" w:hAnsi="Amiri" w:eastAsia="Amiri" w:cs="Amiri"/>
          <w:lang w:bidi="ar-SA"/>
          <w:color w:val="111111"/>
          <w:sz w:val="28"/>
          <w:szCs w:val="28"/>
          <w:rtl/>
        </w:rPr>
        <w:t xml:space="preserve">2 .تفريج الكروب في تعزيل الدروب</w:t>
      </w:r>
    </w:p>
    <w:p>
      <w:pPr>
        <w:pStyle w:val="BookText"/>
      </w:pPr>
      <w:r>
        <w:rPr>
          <w:rFonts w:ascii="IRNazanin" w:hAnsi="IRNazanin" w:eastAsia="IRNazanin" w:cs="IRNazanin"/>
          <w:lang w:bidi="fa-IR"/>
          <w:color w:val="111111"/>
          <w:sz w:val="28"/>
          <w:szCs w:val="28"/>
          <w:rtl/>
        </w:rPr>
        <w:t xml:space="preserve">ج 4، ص 570.</w:t>
      </w:r>
    </w:p>
    <w:p>
      <w:pPr>
        <w:pStyle w:val="BookText"/>
      </w:pPr>
      <w:r>
        <w:rPr>
          <w:rFonts w:ascii="Amiri" w:hAnsi="Amiri" w:eastAsia="Amiri" w:cs="Amiri"/>
          <w:lang w:bidi="ar-SA"/>
          <w:color w:val="111111"/>
          <w:sz w:val="28"/>
          <w:szCs w:val="28"/>
          <w:rtl/>
        </w:rPr>
        <w:t xml:space="preserve">3 .شجرة الصوفية وطريقتهم (رسالة</w:t>
      </w:r>
    </w:p>
    <w:p>
      <w:pPr>
        <w:pStyle w:val="BookText"/>
      </w:pPr>
      <w:r>
        <w:rPr>
          <w:rFonts w:ascii="Amiri" w:hAnsi="Amiri" w:eastAsia="Amiri" w:cs="Amiri"/>
          <w:lang w:bidi="ar-SA"/>
          <w:color w:val="111111"/>
          <w:sz w:val="28"/>
          <w:szCs w:val="28"/>
          <w:rtl/>
        </w:rPr>
        <w:t xml:space="preserve">في)، ج 9، ص 78 .</w:t>
      </w:r>
    </w:p>
    <w:p>
      <w:pPr>
        <w:pStyle w:val="BookText"/>
      </w:pPr>
      <w:r>
        <w:rPr>
          <w:rFonts w:ascii="Amiri" w:hAnsi="Amiri" w:eastAsia="Amiri" w:cs="Amiri"/>
          <w:lang w:bidi="ar-SA"/>
          <w:color w:val="111111"/>
          <w:sz w:val="28"/>
          <w:szCs w:val="28"/>
          <w:rtl/>
        </w:rPr>
        <w:t xml:space="preserve">4 .الكواكب الثابتة (رسالة في)، ج 13،</w:t>
      </w:r>
    </w:p>
    <w:p>
      <w:pPr>
        <w:pStyle w:val="BookText"/>
      </w:pPr>
      <w:r>
        <w:rPr>
          <w:rFonts w:ascii="IRNazanin" w:hAnsi="IRNazanin" w:eastAsia="IRNazanin" w:cs="IRNazanin"/>
          <w:lang w:bidi="fa-IR"/>
          <w:color w:val="111111"/>
          <w:sz w:val="28"/>
          <w:szCs w:val="28"/>
          <w:rtl/>
        </w:rPr>
        <w:t xml:space="preserve">ص 449 .</w:t>
      </w:r>
    </w:p>
    <w:p>
      <w:pPr>
        <w:pStyle w:val="BookText"/>
      </w:pPr>
      <w:r>
        <w:rPr>
          <w:rFonts w:ascii="IRNazanin" w:hAnsi="IRNazanin" w:eastAsia="IRNazanin" w:cs="IRNazanin"/>
          <w:lang w:bidi="fa-IR"/>
          <w:color w:val="111111"/>
          <w:sz w:val="28"/>
          <w:szCs w:val="28"/>
          <w:rtl/>
        </w:rPr>
        <w:t xml:space="preserve">5.معنى العلم، ج 15، ص92.</w:t>
      </w:r>
    </w:p>
    <w:p>
      <w:pPr>
        <w:pStyle w:val="BookText"/>
      </w:pPr>
      <w:r>
        <w:rPr>
          <w:rFonts w:ascii="Amiri" w:hAnsi="Amiri" w:eastAsia="Amiri" w:cs="Amiri"/>
          <w:lang w:bidi="ar-SA"/>
          <w:color w:val="111111"/>
          <w:sz w:val="28"/>
          <w:szCs w:val="28"/>
          <w:rtl/>
        </w:rPr>
        <w:t xml:space="preserve">ابن داود ، محمّد بن داود ظاهري ،</w:t>
      </w:r>
    </w:p>
    <w:p>
      <w:pPr>
        <w:pStyle w:val="BookText"/>
      </w:pPr>
      <w:r>
        <w:rPr>
          <w:rFonts w:ascii="IRNazanin" w:hAnsi="IRNazanin" w:eastAsia="IRNazanin" w:cs="IRNazanin"/>
          <w:lang w:bidi="fa-IR"/>
          <w:color w:val="111111"/>
          <w:sz w:val="28"/>
          <w:szCs w:val="28"/>
          <w:rtl/>
        </w:rPr>
        <w:t xml:space="preserve">محمّد بن داود</w:t>
      </w:r>
    </w:p>
    <w:p>
      <w:pPr>
        <w:pStyle w:val="BookText"/>
      </w:pPr>
      <w:r>
        <w:rPr>
          <w:rFonts w:ascii="Amiri" w:hAnsi="Amiri" w:eastAsia="Amiri" w:cs="Amiri"/>
          <w:lang w:bidi="ar-SA"/>
          <w:color w:val="111111"/>
          <w:sz w:val="28"/>
          <w:szCs w:val="28"/>
          <w:rtl/>
        </w:rPr>
        <w:t xml:space="preserve">ابن داود همداني ، محمّد بن عبدالوهاب -</w:t>
      </w:r>
    </w:p>
    <w:p>
      <w:pPr>
        <w:pStyle w:val="BookText"/>
      </w:pPr>
      <w:r>
        <w:rPr>
          <w:rFonts w:ascii="Amiri" w:hAnsi="Amiri" w:eastAsia="Amiri" w:cs="Amiri"/>
          <w:lang w:bidi="ar-SA"/>
          <w:color w:val="111111"/>
          <w:sz w:val="28"/>
          <w:szCs w:val="28"/>
          <w:rtl/>
        </w:rPr>
        <w:t xml:space="preserve">امام الحرمين همداني ، محمّد بن</w:t>
      </w:r>
    </w:p>
    <w:p>
      <w:pPr>
        <w:pStyle w:val="BookText"/>
      </w:pPr>
      <w:r>
        <w:rPr>
          <w:rFonts w:ascii="IRNazanin" w:hAnsi="IRNazanin" w:eastAsia="IRNazanin" w:cs="IRNazanin"/>
          <w:lang w:bidi="fa-IR"/>
          <w:color w:val="111111"/>
          <w:sz w:val="28"/>
          <w:szCs w:val="28"/>
          <w:rtl/>
        </w:rPr>
        <w:t xml:space="preserve">عبد الوهاب</w:t>
      </w:r>
    </w:p>
    <w:p>
      <w:pPr>
        <w:pStyle w:val="BookText"/>
      </w:pPr>
      <w:r>
        <w:rPr>
          <w:rFonts w:ascii="IRNazanin" w:hAnsi="IRNazanin" w:eastAsia="IRNazanin" w:cs="IRNazanin"/>
          <w:lang w:bidi="fa-IR"/>
          <w:color w:val="111111"/>
          <w:sz w:val="28"/>
          <w:szCs w:val="28"/>
          <w:rtl/>
        </w:rPr>
        <w:t xml:space="preserve">ابن دایه ، عبدالله بن محمّد- نجم رازي ،</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1291" w:name="_Toc393"/>
      <w:r>
        <w:t>ابن دباغ مرعشي</w:t>
      </w:r>
      <w:bookmarkEnd w:id="1291"/>
    </w:p>
    <w:p>
      <w:pPr>
        <w:pStyle w:val="BookText"/>
      </w:pPr>
      <w:r>
        <w:rPr>
          <w:rFonts w:ascii="IRNazanin" w:hAnsi="IRNazanin" w:eastAsia="IRNazanin" w:cs="IRNazanin"/>
          <w:lang w:bidi="fa-IR"/>
          <w:color w:val="111111"/>
          <w:sz w:val="28"/>
          <w:szCs w:val="28"/>
          <w:rtl/>
        </w:rPr>
        <w:t xml:space="preserve">العقائد، ج 11، ص138.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4" w:name="pg7742_69471"/>
    <w:bookmarkEnd w:id="64"/>
    <w:p>
      <w:pPr>
        <w:pStyle w:val="Heading2"/>
      </w:pPr>
      <w:bookmarkStart w:id="1292" w:name="_Toc394"/>
      <w:r>
        <w:t>ابن دبيثي، احمد بن جعفر 558-621ه-</w:t>
      </w:r>
      <w:bookmarkEnd w:id="1292"/>
    </w:p>
    <w:p>
      <w:pPr>
        <w:pStyle w:val="BookText"/>
      </w:pPr>
      <w:r>
        <w:rPr>
          <w:rFonts w:ascii="Amiri" w:hAnsi="Amiri" w:eastAsia="Amiri" w:cs="Amiri"/>
          <w:lang w:bidi="ar-SA"/>
          <w:color w:val="111111"/>
          <w:sz w:val="28"/>
          <w:szCs w:val="28"/>
          <w:rtl/>
        </w:rPr>
        <w:t xml:space="preserve">زايرجة العالم، ج8، ص 547.</w:t>
      </w:r>
    </w:p>
    <w:p>
      <w:pPr>
        <w:pStyle w:val="Heading2"/>
      </w:pPr>
      <w:bookmarkStart w:id="1293" w:name="_Toc395"/>
      <w:r>
        <w:t>ابن دبيثي ، محمّد بن سعيد 558-637ه-</w:t>
      </w:r>
      <w:bookmarkEnd w:id="1293"/>
    </w:p>
    <w:p>
      <w:pPr>
        <w:pStyle w:val="BookText"/>
      </w:pPr>
      <w:r>
        <w:rPr>
          <w:rFonts w:ascii="IRNazanin" w:hAnsi="IRNazanin" w:eastAsia="IRNazanin" w:cs="IRNazanin"/>
          <w:lang w:bidi="fa-IR"/>
          <w:color w:val="111111"/>
          <w:sz w:val="28"/>
          <w:szCs w:val="28"/>
          <w:rtl/>
        </w:rPr>
        <w:t xml:space="preserve">ذیل تاریخ بغداد، ج 7، ص 869.</w:t>
      </w:r>
    </w:p>
    <w:p>
      <w:pPr>
        <w:pStyle w:val="Heading2"/>
      </w:pPr>
      <w:bookmarkStart w:id="1294" w:name="_Toc396"/>
      <w:r>
        <w:t>ابن دحيه ، عمر بن حسن، 544 - 633 ه-</w:t>
      </w:r>
      <w:bookmarkEnd w:id="1294"/>
    </w:p>
    <w:p>
      <w:pPr>
        <w:pStyle w:val="BookText"/>
      </w:pPr>
      <w:r>
        <w:rPr>
          <w:rFonts w:ascii="Amiri" w:hAnsi="Amiri" w:eastAsia="Amiri" w:cs="Amiri"/>
          <w:lang w:bidi="ar-SA"/>
          <w:color w:val="111111"/>
          <w:sz w:val="28"/>
          <w:szCs w:val="28"/>
          <w:rtl/>
        </w:rPr>
        <w:t xml:space="preserve">1 .الابتهاج في حديث المعراج، ج 1،</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IRNazanin" w:hAnsi="IRNazanin" w:eastAsia="IRNazanin" w:cs="IRNazanin"/>
          <w:lang w:bidi="fa-IR"/>
          <w:color w:val="111111"/>
          <w:sz w:val="28"/>
          <w:szCs w:val="28"/>
          <w:rtl/>
        </w:rPr>
        <w:t xml:space="preserve">2 .المطرب من اشعار اهل المغرب</w:t>
      </w:r>
    </w:p>
    <w:p>
      <w:pPr>
        <w:pStyle w:val="BookText"/>
      </w:pPr>
      <w:r>
        <w:rPr>
          <w:rFonts w:ascii="IRNazanin" w:hAnsi="IRNazanin" w:eastAsia="IRNazanin" w:cs="IRNazanin"/>
          <w:lang w:bidi="fa-IR"/>
          <w:color w:val="111111"/>
          <w:sz w:val="28"/>
          <w:szCs w:val="28"/>
          <w:rtl/>
        </w:rPr>
        <w:t xml:space="preserve">ج 14، ص 785.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النبراس في خلفاء بني العباس، ج 16</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IRNazanin" w:hAnsi="IRNazanin" w:eastAsia="IRNazanin" w:cs="IRNazanin"/>
          <w:lang w:bidi="fa-IR"/>
          <w:color w:val="111111"/>
          <w:sz w:val="28"/>
          <w:szCs w:val="28"/>
          <w:rtl/>
        </w:rPr>
        <w:t xml:space="preserve">ابن درید، محمّد بن حسن، 223-321 ه-</w:t>
      </w:r>
    </w:p>
    <w:p>
      <w:pPr>
        <w:pStyle w:val="BookText"/>
      </w:pPr>
      <w:r>
        <w:rPr>
          <w:rFonts w:ascii="IRNazanin" w:hAnsi="IRNazanin" w:eastAsia="IRNazanin" w:cs="IRNazanin"/>
          <w:lang w:bidi="fa-IR"/>
          <w:color w:val="111111"/>
          <w:sz w:val="28"/>
          <w:szCs w:val="28"/>
          <w:rtl/>
        </w:rPr>
        <w:t xml:space="preserve">1 .الاشتقاق، ج 2، ص 275.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افعل و فعلت، ج 2، ص 603.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السحاب، ج8، ص717.</w:t>
      </w:r>
    </w:p>
    <w:p>
      <w:pPr>
        <w:pStyle w:val="BookText"/>
      </w:pPr>
      <w:r>
        <w:rPr>
          <w:rFonts w:ascii="IRNazanin" w:hAnsi="IRNazanin" w:eastAsia="IRNazanin" w:cs="IRNazanin"/>
          <w:lang w:bidi="fa-IR"/>
          <w:color w:val="111111"/>
          <w:sz w:val="28"/>
          <w:szCs w:val="28"/>
          <w:rtl/>
        </w:rPr>
        <w:t xml:space="preserve">4 .مربعة ابن درید، ج 1، ص390.</w:t>
      </w:r>
    </w:p>
    <w:p>
      <w:pPr>
        <w:pStyle w:val="BookText"/>
      </w:pPr>
      <w:r>
        <w:rPr>
          <w:rFonts w:ascii="Amiri" w:hAnsi="Amiri" w:eastAsia="Amiri" w:cs="Amiri"/>
          <w:lang w:bidi="ar-SA"/>
          <w:color w:val="111111"/>
          <w:sz w:val="28"/>
          <w:szCs w:val="28"/>
          <w:rtl/>
        </w:rPr>
        <w:t xml:space="preserve">5 .مقصورة ابن دريد = قصيدة</w:t>
      </w:r>
    </w:p>
    <w:p>
      <w:pPr>
        <w:pStyle w:val="BookText"/>
      </w:pPr>
      <w:r>
        <w:rPr>
          <w:rFonts w:ascii="Amiri" w:hAnsi="Amiri" w:eastAsia="Amiri" w:cs="Amiri"/>
          <w:lang w:bidi="ar-SA"/>
          <w:color w:val="111111"/>
          <w:sz w:val="28"/>
          <w:szCs w:val="28"/>
          <w:rtl/>
        </w:rPr>
        <w:t xml:space="preserve">دريدية، ج 15 ، ص 387.</w:t>
      </w:r>
    </w:p>
    <w:p>
      <w:pPr>
        <w:pStyle w:val="BookText"/>
      </w:pPr>
      <w:r>
        <w:rPr>
          <w:rFonts w:ascii="Amiri" w:hAnsi="Amiri" w:eastAsia="Amiri" w:cs="Amiri"/>
          <w:lang w:bidi="ar-SA"/>
          <w:color w:val="111111"/>
          <w:sz w:val="28"/>
          <w:szCs w:val="28"/>
          <w:rtl/>
        </w:rPr>
        <w:t xml:space="preserve">6 .المقصور والممدود = قصيدة ابن</w:t>
      </w:r>
    </w:p>
    <w:p>
      <w:pPr>
        <w:pStyle w:val="BookText"/>
      </w:pPr>
      <w:r>
        <w:rPr>
          <w:rFonts w:ascii="Amiri" w:hAnsi="Amiri" w:eastAsia="Amiri" w:cs="Amiri"/>
          <w:lang w:bidi="ar-SA"/>
          <w:color w:val="111111"/>
          <w:sz w:val="28"/>
          <w:szCs w:val="28"/>
          <w:rtl/>
        </w:rPr>
        <w:t xml:space="preserve">دريد = المقصورة الصغرى، ج 15</w:t>
      </w:r>
    </w:p>
    <w:p>
      <w:pPr>
        <w:pStyle w:val="BookText"/>
      </w:pPr>
      <w:r>
        <w:rPr>
          <w:rFonts w:ascii="IRNazanin" w:hAnsi="IRNazanin" w:eastAsia="IRNazanin" w:cs="IRNazanin"/>
          <w:lang w:bidi="fa-IR"/>
          <w:color w:val="111111"/>
          <w:sz w:val="28"/>
          <w:szCs w:val="28"/>
          <w:rtl/>
        </w:rPr>
        <w:t xml:space="preserve">ص389.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الملاحن ج 15 ، ص 432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 أخبار أبي بكر بن دريد، ج 15</w:t>
      </w:r>
    </w:p>
    <w:p>
      <w:pPr>
        <w:pStyle w:val="BookText"/>
      </w:pPr>
      <w:r>
        <w:rPr>
          <w:rFonts w:ascii="IRNazanin" w:hAnsi="IRNazanin" w:eastAsia="IRNazanin" w:cs="IRNazanin"/>
          <w:lang w:bidi="fa-IR"/>
          <w:color w:val="111111"/>
          <w:sz w:val="28"/>
          <w:szCs w:val="28"/>
          <w:rtl/>
        </w:rPr>
        <w:t xml:space="preserve">ص 481 .</w:t>
      </w:r>
    </w:p>
    <w:p>
      <w:pPr>
        <w:pStyle w:val="BookText"/>
      </w:pPr>
      <w:r>
        <w:rPr>
          <w:rFonts w:ascii="Amiri" w:hAnsi="Amiri" w:eastAsia="Amiri" w:cs="Amiri"/>
          <w:lang w:bidi="ar-SA"/>
          <w:color w:val="111111"/>
          <w:sz w:val="28"/>
          <w:szCs w:val="28"/>
          <w:rtl/>
        </w:rPr>
        <w:t xml:space="preserve">9 .وصف المطر والسحاب و الغيث و اخبار الرواد و ما حمدوا من الكلا</w:t>
      </w:r>
    </w:p>
    <w:p>
      <w:pPr>
        <w:pStyle w:val="BookText"/>
      </w:pPr>
      <w:r>
        <w:rPr>
          <w:rFonts w:ascii="IRNazanin" w:hAnsi="IRNazanin" w:eastAsia="IRNazanin" w:cs="IRNazanin"/>
          <w:lang w:bidi="fa-IR"/>
          <w:color w:val="111111"/>
          <w:sz w:val="28"/>
          <w:szCs w:val="28"/>
          <w:rtl/>
        </w:rPr>
        <w:t xml:space="preserve">ج 16، ص 806.</w:t>
      </w:r>
    </w:p>
    <w:p>
      <w:pPr>
        <w:pStyle w:val="Heading2"/>
      </w:pPr>
      <w:bookmarkStart w:id="1295" w:name="_Toc397"/>
      <w:r>
        <w:t>ابن دريهم ، علي بن محمّد، 712-762 ه-</w:t>
      </w:r>
      <w:bookmarkEnd w:id="1295"/>
    </w:p>
    <w:p>
      <w:pPr>
        <w:pStyle w:val="BookText"/>
      </w:pPr>
      <w:r>
        <w:rPr>
          <w:rFonts w:ascii="Amiri" w:hAnsi="Amiri" w:eastAsia="Amiri" w:cs="Amiri"/>
          <w:lang w:bidi="ar-SA"/>
          <w:color w:val="111111"/>
          <w:sz w:val="28"/>
          <w:szCs w:val="28"/>
          <w:rtl/>
        </w:rPr>
        <w:t xml:space="preserve">من فوائد المولى تاج الدين بن الدريهم، ج 15 ، ص 732.</w:t>
      </w:r>
    </w:p>
    <w:p>
      <w:pPr>
        <w:pStyle w:val="Heading2"/>
      </w:pPr>
      <w:bookmarkStart w:id="1296" w:name="_Toc398"/>
      <w:r>
        <w:t>ابن دعسين ، عبدالملك بن عبد السلام</w:t>
      </w:r>
      <w:bookmarkEnd w:id="1296"/>
    </w:p>
    <w:p>
      <w:pPr>
        <w:pStyle w:val="BookText"/>
      </w:pPr>
      <w:r>
        <w:rPr>
          <w:rFonts w:ascii="Amiri" w:hAnsi="Amiri" w:eastAsia="Amiri" w:cs="Amiri"/>
          <w:lang w:bidi="ar-SA"/>
          <w:color w:val="111111"/>
          <w:sz w:val="28"/>
          <w:szCs w:val="28"/>
          <w:rtl/>
        </w:rPr>
        <w:t xml:space="preserve">1 .الأبيات الأموية العامرة بالألغاز</w:t>
      </w:r>
    </w:p>
    <w:p>
      <w:pPr>
        <w:pStyle w:val="BookText"/>
      </w:pPr>
      <w:r>
        <w:rPr>
          <w:rFonts w:ascii="Amiri" w:hAnsi="Amiri" w:eastAsia="Amiri" w:cs="Amiri"/>
          <w:lang w:bidi="ar-SA"/>
          <w:color w:val="111111"/>
          <w:sz w:val="28"/>
          <w:szCs w:val="28"/>
          <w:rtl/>
        </w:rPr>
        <w:t xml:space="preserve">الشهية الباهرة، ج 1، ص117.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اعداد الزاد بشرح ذخر المعاد، ج 2،</w:t>
      </w:r>
    </w:p>
    <w:p>
      <w:pPr>
        <w:pStyle w:val="BookText"/>
      </w:pPr>
      <w:r>
        <w:rPr>
          <w:rFonts w:ascii="IRNazanin" w:hAnsi="IRNazanin" w:eastAsia="IRNazanin" w:cs="IRNazanin"/>
          <w:lang w:bidi="fa-IR"/>
          <w:color w:val="111111"/>
          <w:sz w:val="28"/>
          <w:szCs w:val="28"/>
          <w:rtl/>
        </w:rPr>
        <w:t xml:space="preserve">ص 525.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منحة الملك الوهاب بشرح ملحة</w:t>
      </w:r>
    </w:p>
    <w:p>
      <w:pPr>
        <w:pStyle w:val="BookText"/>
      </w:pPr>
      <w:r>
        <w:rPr>
          <w:rFonts w:ascii="IRNazanin" w:hAnsi="IRNazanin" w:eastAsia="IRNazanin" w:cs="IRNazanin"/>
          <w:lang w:bidi="fa-IR"/>
          <w:color w:val="111111"/>
          <w:sz w:val="28"/>
          <w:szCs w:val="28"/>
          <w:rtl/>
        </w:rPr>
        <w:t xml:space="preserve">الإعراب، ج 15 ، ص 664 .</w:t>
      </w:r>
    </w:p>
    <w:p>
      <w:pPr>
        <w:pStyle w:val="Heading2"/>
      </w:pPr>
      <w:bookmarkStart w:id="1297" w:name="_Toc399"/>
      <w:r>
        <w:t>ابن دقماق ، ابراهيم بن محمّد 750 -</w:t>
      </w:r>
      <w:bookmarkEnd w:id="1297"/>
    </w:p>
    <w:p>
      <w:pPr>
        <w:pStyle w:val="BookText"/>
      </w:pPr>
      <w:r>
        <w:rPr>
          <w:rFonts w:ascii="IRNazanin" w:hAnsi="IRNazanin" w:eastAsia="IRNazanin" w:cs="IRNazanin"/>
          <w:lang w:bidi="fa-IR"/>
          <w:color w:val="111111"/>
          <w:sz w:val="28"/>
          <w:szCs w:val="28"/>
          <w:rtl/>
        </w:rPr>
        <w:t xml:space="preserve">809 ه-</w:t>
      </w:r>
    </w:p>
    <w:p>
      <w:pPr>
        <w:pStyle w:val="BookText"/>
      </w:pPr>
      <w:r>
        <w:rPr>
          <w:rFonts w:ascii="Amiri" w:hAnsi="Amiri" w:eastAsia="Amiri" w:cs="Amiri"/>
          <w:lang w:bidi="ar-SA"/>
          <w:color w:val="111111"/>
          <w:sz w:val="28"/>
          <w:szCs w:val="28"/>
          <w:rtl/>
        </w:rPr>
        <w:t xml:space="preserve">ترجمان الزمان في تراجم الاعيان، جع،</w:t>
      </w:r>
    </w:p>
    <w:p>
      <w:pPr>
        <w:pStyle w:val="BookText"/>
      </w:pPr>
      <w:r>
        <w:rPr>
          <w:rFonts w:ascii="IRNazanin" w:hAnsi="IRNazanin" w:eastAsia="IRNazanin" w:cs="IRNazanin"/>
          <w:lang w:bidi="fa-IR"/>
          <w:color w:val="111111"/>
          <w:sz w:val="28"/>
          <w:szCs w:val="28"/>
          <w:rtl/>
        </w:rPr>
        <w:t xml:space="preserve">ص 250 .</w:t>
      </w:r>
    </w:p>
    <w:p>
      <w:pPr>
        <w:pStyle w:val="Heading2"/>
      </w:pPr>
      <w:bookmarkStart w:id="1298" w:name="_Toc400"/>
      <w:r>
        <w:t>ابن دقیق عيد ، محمّد بن علي، 625 -</w:t>
      </w:r>
      <w:bookmarkEnd w:id="1298"/>
    </w:p>
    <w:p>
      <w:pPr>
        <w:pStyle w:val="BookText"/>
      </w:pPr>
      <w:r>
        <w:rPr>
          <w:rFonts w:ascii="IRNazanin" w:hAnsi="IRNazanin" w:eastAsia="IRNazanin" w:cs="IRNazanin"/>
          <w:lang w:bidi="fa-IR"/>
          <w:color w:val="111111"/>
          <w:sz w:val="28"/>
          <w:szCs w:val="28"/>
          <w:rtl/>
        </w:rPr>
        <w:t xml:space="preserve">702؟ ه-</w:t>
      </w:r>
    </w:p>
    <w:p>
      <w:pPr>
        <w:pStyle w:val="BookText"/>
      </w:pPr>
      <w:r>
        <w:rPr>
          <w:rFonts w:ascii="Amiri" w:hAnsi="Amiri" w:eastAsia="Amiri" w:cs="Amiri"/>
          <w:lang w:bidi="ar-SA"/>
          <w:color w:val="111111"/>
          <w:sz w:val="28"/>
          <w:szCs w:val="28"/>
          <w:rtl/>
        </w:rPr>
        <w:t xml:space="preserve">1 .احكام الاحكام في شرح عمدة</w:t>
      </w:r>
    </w:p>
    <w:p>
      <w:pPr>
        <w:pStyle w:val="BookText"/>
      </w:pPr>
      <w:r>
        <w:rPr>
          <w:rFonts w:ascii="Amiri" w:hAnsi="Amiri" w:eastAsia="Amiri" w:cs="Amiri"/>
          <w:lang w:bidi="ar-SA"/>
          <w:color w:val="111111"/>
          <w:sz w:val="28"/>
          <w:szCs w:val="28"/>
          <w:rtl/>
        </w:rPr>
        <w:t xml:space="preserve">الاحكام عن سيد الانام، ج1، ص 455.</w:t>
      </w:r>
    </w:p>
    <w:p>
      <w:pPr>
        <w:pStyle w:val="BookText"/>
      </w:pPr>
      <w:r>
        <w:rPr>
          <w:rFonts w:ascii="Amiri" w:hAnsi="Amiri" w:eastAsia="Amiri" w:cs="Amiri"/>
          <w:lang w:bidi="ar-SA"/>
          <w:color w:val="111111"/>
          <w:sz w:val="28"/>
          <w:szCs w:val="28"/>
          <w:rtl/>
        </w:rPr>
        <w:t xml:space="preserve">2 .الإلمام في احاديث الاحكام، ج2،</w:t>
      </w:r>
    </w:p>
    <w:p>
      <w:pPr>
        <w:pStyle w:val="BookText"/>
      </w:pPr>
      <w:r>
        <w:rPr>
          <w:rFonts w:ascii="IRNazanin" w:hAnsi="IRNazanin" w:eastAsia="IRNazanin" w:cs="IRNazanin"/>
          <w:lang w:bidi="fa-IR"/>
          <w:color w:val="111111"/>
          <w:sz w:val="28"/>
          <w:szCs w:val="28"/>
          <w:rtl/>
        </w:rPr>
        <w:t xml:space="preserve">ص 696 .</w:t>
      </w:r>
    </w:p>
    <w:p>
      <w:pPr>
        <w:pStyle w:val="BookText"/>
      </w:pPr>
      <w:r>
        <w:rPr>
          <w:rFonts w:ascii="Amiri" w:hAnsi="Amiri" w:eastAsia="Amiri" w:cs="Amiri"/>
          <w:lang w:bidi="ar-SA"/>
          <w:color w:val="111111"/>
          <w:sz w:val="28"/>
          <w:szCs w:val="28"/>
          <w:rtl/>
        </w:rPr>
        <w:t xml:space="preserve">ابن دكين ، محمّد بن ابي بكر ابن حمادي</w:t>
      </w:r>
    </w:p>
    <w:p>
      <w:pPr>
        <w:pStyle w:val="BookText"/>
      </w:pPr>
      <w:r>
        <w:rPr>
          <w:rFonts w:ascii="Amiri" w:hAnsi="Amiri" w:eastAsia="Amiri" w:cs="Amiri"/>
          <w:lang w:bidi="ar-SA"/>
          <w:color w:val="111111"/>
          <w:sz w:val="28"/>
          <w:szCs w:val="28"/>
          <w:rtl/>
        </w:rPr>
        <w:t xml:space="preserve">، محمّد بن ابي بكر</w:t>
      </w:r>
    </w:p>
    <w:p>
      <w:pPr>
        <w:pStyle w:val="Heading2"/>
      </w:pPr>
      <w:bookmarkStart w:id="1299" w:name="_Toc401"/>
      <w:r>
        <w:t>ابن دلاج عبدالواحد بن محمّد -1099ه-</w:t>
      </w:r>
      <w:bookmarkEnd w:id="1299"/>
    </w:p>
    <w:p>
      <w:pPr>
        <w:pStyle w:val="BookText"/>
      </w:pPr>
      <w:r>
        <w:rPr>
          <w:rFonts w:ascii="Amiri" w:hAnsi="Amiri" w:eastAsia="Amiri" w:cs="Amiri"/>
          <w:lang w:bidi="ar-SA"/>
          <w:color w:val="111111"/>
          <w:sz w:val="28"/>
          <w:szCs w:val="28"/>
          <w:rtl/>
        </w:rPr>
        <w:t xml:space="preserve">1 .تحفة الطالب في احكام العرق</w:t>
      </w:r>
    </w:p>
    <w:p>
      <w:pPr>
        <w:pStyle w:val="BookText"/>
      </w:pPr>
      <w:r>
        <w:rPr>
          <w:rFonts w:ascii="IRNazanin" w:hAnsi="IRNazanin" w:eastAsia="IRNazanin" w:cs="IRNazanin"/>
          <w:lang w:bidi="fa-IR"/>
          <w:color w:val="111111"/>
          <w:sz w:val="28"/>
          <w:szCs w:val="28"/>
          <w:rtl/>
        </w:rPr>
        <w:t xml:space="preserve">الضارب، ج 3، ص 858.</w:t>
      </w:r>
    </w:p>
    <w:p>
      <w:pPr>
        <w:pStyle w:val="BookText"/>
      </w:pPr>
      <w:r>
        <w:rPr>
          <w:rFonts w:ascii="Amiri" w:hAnsi="Amiri" w:eastAsia="Amiri" w:cs="Amiri"/>
          <w:lang w:bidi="ar-SA"/>
          <w:color w:val="111111"/>
          <w:sz w:val="28"/>
          <w:szCs w:val="28"/>
          <w:rtl/>
        </w:rPr>
        <w:t xml:space="preserve">2.تحفة الطالب في احكام العرق</w:t>
      </w:r>
    </w:p>
    <w:p>
      <w:pPr>
        <w:pStyle w:val="BookText"/>
      </w:pPr>
      <w:r>
        <w:rPr>
          <w:rFonts w:ascii="IRNazanin" w:hAnsi="IRNazanin" w:eastAsia="IRNazanin" w:cs="IRNazanin"/>
          <w:lang w:bidi="fa-IR"/>
          <w:color w:val="111111"/>
          <w:sz w:val="28"/>
          <w:szCs w:val="28"/>
          <w:rtl/>
        </w:rPr>
        <w:t xml:space="preserve">النابض، ج 3، ص 859.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5" w:name="pg7742_69473"/>
    <w:bookmarkEnd w:id="65"/>
    <w:p>
      <w:pPr>
        <w:pStyle w:val="Heading2"/>
      </w:pPr>
      <w:bookmarkStart w:id="1300" w:name="_Toc402"/>
      <w:r>
        <w:t>ابن دماميني ، محمّد بن ابي بكر 763 -</w:t>
      </w:r>
      <w:bookmarkEnd w:id="1300"/>
    </w:p>
    <w:p>
      <w:pPr>
        <w:pStyle w:val="BookText"/>
      </w:pPr>
      <w:r>
        <w:rPr>
          <w:rFonts w:ascii="IRNazanin" w:hAnsi="IRNazanin" w:eastAsia="IRNazanin" w:cs="IRNazanin"/>
          <w:lang w:bidi="fa-IR"/>
          <w:color w:val="111111"/>
          <w:sz w:val="28"/>
          <w:szCs w:val="28"/>
          <w:rtl/>
        </w:rPr>
        <w:t xml:space="preserve">827؟ ه-</w:t>
      </w:r>
    </w:p>
    <w:p>
      <w:pPr>
        <w:pStyle w:val="BookText"/>
      </w:pPr>
      <w:r>
        <w:rPr>
          <w:rFonts w:ascii="Amiri" w:hAnsi="Amiri" w:eastAsia="Amiri" w:cs="Amiri"/>
          <w:lang w:bidi="ar-SA"/>
          <w:color w:val="111111"/>
          <w:sz w:val="28"/>
          <w:szCs w:val="28"/>
          <w:rtl/>
        </w:rPr>
        <w:t xml:space="preserve">1 .تحفة الغريب في الكلام على مغني</w:t>
      </w:r>
    </w:p>
    <w:p>
      <w:pPr>
        <w:pStyle w:val="BookText"/>
      </w:pPr>
      <w:r>
        <w:rPr>
          <w:rFonts w:ascii="Amiri" w:hAnsi="Amiri" w:eastAsia="Amiri" w:cs="Amiri"/>
          <w:lang w:bidi="ar-SA"/>
          <w:color w:val="111111"/>
          <w:sz w:val="28"/>
          <w:szCs w:val="28"/>
          <w:rtl/>
        </w:rPr>
        <w:t xml:space="preserve">اللبيب، ج3، ص 874.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 الفرائد على تسهيل الفوائد</w:t>
      </w:r>
    </w:p>
    <w:p>
      <w:pPr>
        <w:pStyle w:val="BookText"/>
      </w:pPr>
      <w:r>
        <w:rPr>
          <w:rFonts w:ascii="IRNazanin" w:hAnsi="IRNazanin" w:eastAsia="IRNazanin" w:cs="IRNazanin"/>
          <w:lang w:bidi="fa-IR"/>
          <w:color w:val="111111"/>
          <w:sz w:val="28"/>
          <w:szCs w:val="28"/>
          <w:rtl/>
        </w:rPr>
        <w:t xml:space="preserve">ج 4، ص 553.</w:t>
      </w:r>
    </w:p>
    <w:p>
      <w:pPr>
        <w:pStyle w:val="BookText"/>
      </w:pPr>
      <w:r>
        <w:rPr>
          <w:rFonts w:ascii="Amiri" w:hAnsi="Amiri" w:eastAsia="Amiri" w:cs="Amiri"/>
          <w:lang w:bidi="ar-SA"/>
          <w:color w:val="111111"/>
          <w:sz w:val="28"/>
          <w:szCs w:val="28"/>
          <w:rtl/>
        </w:rPr>
        <w:t xml:space="preserve">3 .حاشية مغني اللبيب، ج 6 ، ص 413.</w:t>
      </w:r>
    </w:p>
    <w:p>
      <w:pPr>
        <w:pStyle w:val="BookText"/>
      </w:pPr>
      <w:r>
        <w:rPr>
          <w:rFonts w:ascii="Amiri" w:hAnsi="Amiri" w:eastAsia="Amiri" w:cs="Amiri"/>
          <w:lang w:bidi="ar-SA"/>
          <w:color w:val="111111"/>
          <w:sz w:val="28"/>
          <w:szCs w:val="28"/>
          <w:rtl/>
        </w:rPr>
        <w:t xml:space="preserve">4 .ديوان ابن الدماميني، ج7، ص 519.</w:t>
      </w:r>
    </w:p>
    <w:p>
      <w:pPr>
        <w:pStyle w:val="BookText"/>
      </w:pPr>
      <w:r>
        <w:rPr>
          <w:rFonts w:ascii="IRNazanin" w:hAnsi="IRNazanin" w:eastAsia="IRNazanin" w:cs="IRNazanin"/>
          <w:lang w:bidi="fa-IR"/>
          <w:color w:val="111111"/>
          <w:sz w:val="28"/>
          <w:szCs w:val="28"/>
          <w:rtl/>
        </w:rPr>
        <w:t xml:space="preserve">5 .العروض = جواهر البحور، ج11،</w:t>
      </w:r>
    </w:p>
    <w:p>
      <w:pPr>
        <w:pStyle w:val="BookText"/>
      </w:pPr>
      <w:r>
        <w:rPr>
          <w:rFonts w:ascii="IRNazanin" w:hAnsi="IRNazanin" w:eastAsia="IRNazanin" w:cs="IRNazanin"/>
          <w:lang w:bidi="fa-IR"/>
          <w:color w:val="111111"/>
          <w:sz w:val="28"/>
          <w:szCs w:val="28"/>
          <w:rtl/>
        </w:rPr>
        <w:t xml:space="preserve">ص 94.</w:t>
      </w:r>
    </w:p>
    <w:p>
      <w:pPr>
        <w:pStyle w:val="BookText"/>
      </w:pPr>
      <w:r>
        <w:rPr>
          <w:rFonts w:ascii="Amiri" w:hAnsi="Amiri" w:eastAsia="Amiri" w:cs="Amiri"/>
          <w:lang w:bidi="ar-SA"/>
          <w:color w:val="111111"/>
          <w:sz w:val="28"/>
          <w:szCs w:val="28"/>
          <w:rtl/>
        </w:rPr>
        <w:t xml:space="preserve">6 .العيون الغامزة على خبايا الرامزة = شرح الرامزة الخزرجية، ج 11،</w:t>
      </w:r>
    </w:p>
    <w:p>
      <w:pPr>
        <w:pStyle w:val="BookText"/>
      </w:pPr>
      <w:r>
        <w:rPr>
          <w:rFonts w:ascii="IRNazanin" w:hAnsi="IRNazanin" w:eastAsia="IRNazanin" w:cs="IRNazanin"/>
          <w:lang w:bidi="fa-IR"/>
          <w:color w:val="111111"/>
          <w:sz w:val="28"/>
          <w:szCs w:val="28"/>
          <w:rtl/>
        </w:rPr>
        <w:t xml:space="preserve">ص 405 .</w:t>
      </w:r>
    </w:p>
    <w:p>
      <w:pPr>
        <w:pStyle w:val="BookText"/>
      </w:pPr>
      <w:r>
        <w:rPr>
          <w:rFonts w:ascii="Amiri" w:hAnsi="Amiri" w:eastAsia="Amiri" w:cs="Amiri"/>
          <w:lang w:bidi="ar-SA"/>
          <w:color w:val="111111"/>
          <w:sz w:val="28"/>
          <w:szCs w:val="28"/>
          <w:rtl/>
        </w:rPr>
        <w:t xml:space="preserve">7 .مصابيح على الجامع الصحيح،</w:t>
      </w:r>
    </w:p>
    <w:p>
      <w:pPr>
        <w:pStyle w:val="BookText"/>
      </w:pPr>
      <w:r>
        <w:rPr>
          <w:rFonts w:ascii="IRNazanin" w:hAnsi="IRNazanin" w:eastAsia="IRNazanin" w:cs="IRNazanin"/>
          <w:lang w:bidi="fa-IR"/>
          <w:color w:val="111111"/>
          <w:sz w:val="28"/>
          <w:szCs w:val="28"/>
          <w:rtl/>
        </w:rPr>
        <w:t xml:space="preserve">ج 14، ص 686 .</w:t>
      </w:r>
    </w:p>
    <w:p>
      <w:pPr>
        <w:pStyle w:val="BookText"/>
      </w:pPr>
      <w:r>
        <w:rPr>
          <w:rFonts w:ascii="Amiri" w:hAnsi="Amiri" w:eastAsia="Amiri" w:cs="Amiri"/>
          <w:lang w:bidi="ar-SA"/>
          <w:color w:val="111111"/>
          <w:sz w:val="28"/>
          <w:szCs w:val="28"/>
          <w:rtl/>
        </w:rPr>
        <w:t xml:space="preserve">8 .المنهل الصافي في شرح الوافي، ج 15</w:t>
      </w:r>
    </w:p>
    <w:p>
      <w:pPr>
        <w:pStyle w:val="BookText"/>
      </w:pPr>
      <w:r>
        <w:rPr>
          <w:rFonts w:ascii="IRNazanin" w:hAnsi="IRNazanin" w:eastAsia="IRNazanin" w:cs="IRNazanin"/>
          <w:lang w:bidi="fa-IR"/>
          <w:color w:val="111111"/>
          <w:sz w:val="28"/>
          <w:szCs w:val="28"/>
          <w:rtl/>
        </w:rPr>
        <w:t xml:space="preserve">ص 814.</w:t>
      </w:r>
    </w:p>
    <w:p>
      <w:pPr>
        <w:pStyle w:val="BookText"/>
      </w:pPr>
      <w:r>
        <w:rPr>
          <w:rFonts w:ascii="Amiri" w:hAnsi="Amiri" w:eastAsia="Amiri" w:cs="Amiri"/>
          <w:lang w:bidi="ar-SA"/>
          <w:color w:val="111111"/>
          <w:sz w:val="28"/>
          <w:szCs w:val="28"/>
          <w:rtl/>
        </w:rPr>
        <w:t xml:space="preserve">. نزول الغيث الذي انسجم على شرح لامية العجم، ج 16، ص 260.</w:t>
      </w:r>
    </w:p>
    <w:p>
      <w:pPr>
        <w:pStyle w:val="BookText"/>
      </w:pPr>
      <w:r>
        <w:rPr>
          <w:rFonts w:ascii="Amiri" w:hAnsi="Amiri" w:eastAsia="Amiri" w:cs="Amiri"/>
          <w:lang w:bidi="ar-SA"/>
          <w:color w:val="111111"/>
          <w:sz w:val="28"/>
          <w:szCs w:val="28"/>
          <w:rtl/>
        </w:rPr>
        <w:t xml:space="preserve">ابن دملوجي ، عبدالله بن مصطفى- دملوجي ، عبدالله بن مصطفى</w:t>
      </w:r>
    </w:p>
    <w:p>
      <w:pPr>
        <w:pStyle w:val="BookText"/>
      </w:pPr>
      <w:r>
        <w:rPr>
          <w:rFonts w:ascii="Amiri" w:hAnsi="Amiri" w:eastAsia="Amiri" w:cs="Amiri"/>
          <w:lang w:bidi="ar-SA"/>
          <w:color w:val="111111"/>
          <w:sz w:val="28"/>
          <w:szCs w:val="28"/>
          <w:rtl/>
        </w:rPr>
        <w:t xml:space="preserve">ابن دمياطي ، احمد بن ايبك - حسامي</w:t>
      </w:r>
    </w:p>
    <w:p>
      <w:pPr>
        <w:pStyle w:val="BookText"/>
      </w:pPr>
      <w:r>
        <w:rPr>
          <w:rFonts w:ascii="Amiri" w:hAnsi="Amiri" w:eastAsia="Amiri" w:cs="Amiri"/>
          <w:lang w:bidi="ar-SA"/>
          <w:color w:val="111111"/>
          <w:sz w:val="28"/>
          <w:szCs w:val="28"/>
          <w:rtl/>
        </w:rPr>
        <w:t xml:space="preserve">احمد بن ايبك</w:t>
      </w:r>
    </w:p>
    <w:p>
      <w:pPr>
        <w:pStyle w:val="Heading2"/>
      </w:pPr>
      <w:bookmarkStart w:id="1301" w:name="_Toc403"/>
      <w:r>
        <w:t>ابن دنینیر ، ابراهيم بن محمّد 583 -</w:t>
      </w:r>
      <w:bookmarkEnd w:id="1301"/>
    </w:p>
    <w:p>
      <w:pPr>
        <w:pStyle w:val="BookText"/>
      </w:pPr>
      <w:r>
        <w:rPr>
          <w:rFonts w:ascii="IRNazanin" w:hAnsi="IRNazanin" w:eastAsia="IRNazanin" w:cs="IRNazanin"/>
          <w:lang w:bidi="fa-IR"/>
          <w:color w:val="111111"/>
          <w:sz w:val="28"/>
          <w:szCs w:val="28"/>
          <w:rtl/>
        </w:rPr>
        <w:t xml:space="preserve">650 ؟ ه-</w:t>
      </w:r>
    </w:p>
    <w:p>
      <w:pPr>
        <w:pStyle w:val="BookText"/>
      </w:pPr>
      <w:r>
        <w:rPr>
          <w:rFonts w:ascii="IRNazanin" w:hAnsi="IRNazanin" w:eastAsia="IRNazanin" w:cs="IRNazanin"/>
          <w:lang w:bidi="fa-IR"/>
          <w:color w:val="111111"/>
          <w:sz w:val="28"/>
          <w:szCs w:val="28"/>
          <w:rtl/>
        </w:rPr>
        <w:t xml:space="preserve">دیوان ابن دنينير، ج 7، ص 519.</w:t>
      </w:r>
    </w:p>
    <w:p>
      <w:pPr>
        <w:pStyle w:val="Heading2"/>
      </w:pPr>
      <w:bookmarkStart w:id="1302" w:name="_Toc404"/>
      <w:r>
        <w:t>ابن دهان ، سعيد بن مبارك، 494-569ه-</w:t>
      </w:r>
      <w:bookmarkEnd w:id="1302"/>
    </w:p>
    <w:p>
      <w:pPr>
        <w:pStyle w:val="BookText"/>
      </w:pPr>
      <w:r>
        <w:rPr>
          <w:rFonts w:ascii="IRNazanin" w:hAnsi="IRNazanin" w:eastAsia="IRNazanin" w:cs="IRNazanin"/>
          <w:lang w:bidi="fa-IR"/>
          <w:color w:val="111111"/>
          <w:sz w:val="28"/>
          <w:szCs w:val="28"/>
          <w:rtl/>
        </w:rPr>
        <w:t xml:space="preserve">1 .اضداد، ج 2، ص 473.</w:t>
      </w:r>
    </w:p>
    <w:p>
      <w:pPr>
        <w:pStyle w:val="BookText"/>
      </w:pPr>
      <w:r>
        <w:rPr>
          <w:rFonts w:ascii="Amiri" w:hAnsi="Amiri" w:eastAsia="Amiri" w:cs="Amiri"/>
          <w:lang w:bidi="ar-SA"/>
          <w:color w:val="111111"/>
          <w:sz w:val="28"/>
          <w:szCs w:val="28"/>
          <w:rtl/>
        </w:rPr>
        <w:t xml:space="preserve">2 .الغرة في شرح اللمع لابن جني =</w:t>
      </w:r>
    </w:p>
    <w:p>
      <w:pPr>
        <w:pStyle w:val="BookText"/>
      </w:pPr>
      <w:r>
        <w:rPr>
          <w:rFonts w:ascii="Amiri" w:hAnsi="Amiri" w:eastAsia="Amiri" w:cs="Amiri"/>
          <w:lang w:bidi="ar-SA"/>
          <w:color w:val="111111"/>
          <w:sz w:val="28"/>
          <w:szCs w:val="28"/>
          <w:rtl/>
        </w:rPr>
        <w:t xml:space="preserve">شرح كتاب اللمع لابي الفتح، ج11،</w:t>
      </w:r>
    </w:p>
    <w:p>
      <w:pPr>
        <w:pStyle w:val="BookText"/>
      </w:pPr>
      <w:r>
        <w:rPr>
          <w:rFonts w:ascii="IRNazanin" w:hAnsi="IRNazanin" w:eastAsia="IRNazanin" w:cs="IRNazanin"/>
          <w:lang w:bidi="fa-IR"/>
          <w:color w:val="111111"/>
          <w:sz w:val="28"/>
          <w:szCs w:val="28"/>
          <w:rtl/>
        </w:rPr>
        <w:t xml:space="preserve">ص 473 .</w:t>
      </w:r>
    </w:p>
    <w:p>
      <w:pPr>
        <w:pStyle w:val="Heading2"/>
      </w:pPr>
      <w:bookmarkStart w:id="1303" w:name="_Toc405"/>
      <w:r>
        <w:t>ابن دهان ، محمّد بن علي - 592؟ ه-</w:t>
      </w:r>
      <w:bookmarkEnd w:id="1303"/>
    </w:p>
    <w:p>
      <w:pPr>
        <w:pStyle w:val="BookText"/>
      </w:pPr>
      <w:r>
        <w:rPr>
          <w:rFonts w:ascii="Amiri" w:hAnsi="Amiri" w:eastAsia="Amiri" w:cs="Amiri"/>
          <w:lang w:bidi="ar-SA"/>
          <w:color w:val="111111"/>
          <w:sz w:val="28"/>
          <w:szCs w:val="28"/>
          <w:rtl/>
        </w:rPr>
        <w:t xml:space="preserve">تقويم النظر في المسائل الخلافية بين الفقهاء، ج 4، ص 805</w:t>
      </w:r>
    </w:p>
    <w:p>
      <w:pPr>
        <w:pStyle w:val="Heading2"/>
      </w:pPr>
      <w:bookmarkStart w:id="1304" w:name="_Toc406"/>
      <w:r>
        <w:t>ابن ديبع ، عبدالرحمن بن علي 866 -</w:t>
      </w:r>
      <w:bookmarkEnd w:id="1304"/>
    </w:p>
    <w:p>
      <w:pPr>
        <w:pStyle w:val="BookText"/>
      </w:pPr>
      <w:r>
        <w:rPr>
          <w:rFonts w:ascii="IRNazanin" w:hAnsi="IRNazanin" w:eastAsia="IRNazanin" w:cs="IRNazanin"/>
          <w:lang w:bidi="fa-IR"/>
          <w:color w:val="111111"/>
          <w:sz w:val="28"/>
          <w:szCs w:val="28"/>
          <w:rtl/>
        </w:rPr>
        <w:t xml:space="preserve">944 ه-</w:t>
      </w:r>
    </w:p>
    <w:p>
      <w:pPr>
        <w:pStyle w:val="BookText"/>
      </w:pPr>
      <w:r>
        <w:rPr>
          <w:rFonts w:ascii="Amiri" w:hAnsi="Amiri" w:eastAsia="Amiri" w:cs="Amiri"/>
          <w:lang w:bidi="ar-SA"/>
          <w:color w:val="111111"/>
          <w:sz w:val="28"/>
          <w:szCs w:val="28"/>
          <w:rtl/>
        </w:rPr>
        <w:t xml:space="preserve">1 .تمييز الطيب من الخبيث مما يدور على السنة الناس من الحديث ج 5، ص 9.</w:t>
      </w:r>
    </w:p>
    <w:p>
      <w:pPr>
        <w:pStyle w:val="BookText"/>
      </w:pPr>
      <w:r>
        <w:rPr>
          <w:rFonts w:ascii="Amiri" w:hAnsi="Amiri" w:eastAsia="Amiri" w:cs="Amiri"/>
          <w:lang w:bidi="ar-SA"/>
          <w:color w:val="111111"/>
          <w:sz w:val="28"/>
          <w:szCs w:val="28"/>
          <w:rtl/>
        </w:rPr>
        <w:t xml:space="preserve">2 .تيسير الوصول إلى جامع الاصول</w:t>
      </w:r>
    </w:p>
    <w:p>
      <w:pPr>
        <w:pStyle w:val="BookText"/>
      </w:pPr>
      <w:r>
        <w:rPr>
          <w:rFonts w:ascii="IRNazanin" w:hAnsi="IRNazanin" w:eastAsia="IRNazanin" w:cs="IRNazanin"/>
          <w:lang w:bidi="fa-IR"/>
          <w:color w:val="111111"/>
          <w:sz w:val="28"/>
          <w:szCs w:val="28"/>
          <w:rtl/>
        </w:rPr>
        <w:t xml:space="preserve">ج 5، ص 201.</w:t>
      </w:r>
    </w:p>
    <w:p>
      <w:pPr>
        <w:pStyle w:val="BookText"/>
      </w:pPr>
      <w:r>
        <w:rPr>
          <w:rFonts w:ascii="Amiri" w:hAnsi="Amiri" w:eastAsia="Amiri" w:cs="Amiri"/>
          <w:lang w:bidi="ar-SA"/>
          <w:color w:val="111111"/>
          <w:sz w:val="28"/>
          <w:szCs w:val="28"/>
          <w:rtl/>
        </w:rPr>
        <w:t xml:space="preserve">3 .قرة العيون في أخبار اليمن الميمون</w:t>
      </w:r>
    </w:p>
    <w:p>
      <w:pPr>
        <w:pStyle w:val="BookText"/>
      </w:pPr>
      <w:r>
        <w:rPr>
          <w:rFonts w:ascii="IRNazanin" w:hAnsi="IRNazanin" w:eastAsia="IRNazanin" w:cs="IRNazanin"/>
          <w:lang w:bidi="fa-IR"/>
          <w:color w:val="111111"/>
          <w:sz w:val="28"/>
          <w:szCs w:val="28"/>
          <w:rtl/>
        </w:rPr>
        <w:t xml:space="preserve">ج 12، ص 574.</w:t>
      </w:r>
    </w:p>
    <w:p>
      <w:pPr>
        <w:pStyle w:val="Heading2"/>
      </w:pPr>
      <w:bookmarkStart w:id="1305" w:name="_Toc407"/>
      <w:r>
        <w:t>ابن ديري ، سعد بن محمّد، 768-867</w:t>
      </w:r>
      <w:bookmarkEnd w:id="1305"/>
    </w:p>
    <w:p>
      <w:pPr>
        <w:pStyle w:val="BookText"/>
      </w:pPr>
      <w:r>
        <w:rPr>
          <w:rFonts w:ascii="IRNazanin" w:hAnsi="IRNazanin" w:eastAsia="IRNazanin" w:cs="IRNazanin"/>
          <w:lang w:bidi="fa-IR"/>
          <w:color w:val="111111"/>
          <w:sz w:val="28"/>
          <w:szCs w:val="28"/>
          <w:rtl/>
        </w:rPr>
        <w:t xml:space="preserve">توضیح کتاب المسايرة في العقائد</w:t>
      </w:r>
    </w:p>
    <w:p>
      <w:pPr>
        <w:pStyle w:val="BookText"/>
      </w:pPr>
      <w:r>
        <w:rPr>
          <w:rFonts w:ascii="Amiri" w:hAnsi="Amiri" w:eastAsia="Amiri" w:cs="Amiri"/>
          <w:lang w:bidi="ar-SA"/>
          <w:color w:val="111111"/>
          <w:sz w:val="28"/>
          <w:szCs w:val="28"/>
          <w:rtl/>
        </w:rPr>
        <w:t xml:space="preserve">المنجية في الاخرة، ج 5، ص 180.</w:t>
      </w:r>
    </w:p>
    <w:p>
      <w:pPr>
        <w:pStyle w:val="Heading2"/>
      </w:pPr>
      <w:bookmarkStart w:id="1306" w:name="_Toc408"/>
      <w:r>
        <w:t>ابن ديري ، محمّد بن ابي بكر 788؟ -</w:t>
      </w:r>
      <w:bookmarkEnd w:id="1306"/>
    </w:p>
    <w:p>
      <w:pPr>
        <w:pStyle w:val="BookText"/>
      </w:pPr>
      <w:r>
        <w:rPr>
          <w:rFonts w:ascii="IRNazanin" w:hAnsi="IRNazanin" w:eastAsia="IRNazanin" w:cs="IRNazanin"/>
          <w:lang w:bidi="fa-IR"/>
          <w:color w:val="111111"/>
          <w:sz w:val="28"/>
          <w:szCs w:val="28"/>
          <w:rtl/>
        </w:rPr>
        <w:t xml:space="preserve">862 ه-</w:t>
      </w:r>
    </w:p>
    <w:p>
      <w:pPr>
        <w:pStyle w:val="BookText"/>
      </w:pPr>
      <w:r>
        <w:rPr>
          <w:rFonts w:ascii="Amiri" w:hAnsi="Amiri" w:eastAsia="Amiri" w:cs="Amiri"/>
          <w:lang w:bidi="ar-SA"/>
          <w:color w:val="111111"/>
          <w:sz w:val="28"/>
          <w:szCs w:val="28"/>
          <w:rtl/>
        </w:rPr>
        <w:t xml:space="preserve">التقريب إلى كتاب الترغيب و</w:t>
      </w:r>
    </w:p>
    <w:p>
      <w:pPr>
        <w:pStyle w:val="BookText"/>
      </w:pPr>
      <w:r>
        <w:rPr>
          <w:rFonts w:ascii="Amiri" w:hAnsi="Amiri" w:eastAsia="Amiri" w:cs="Amiri"/>
          <w:lang w:bidi="ar-SA"/>
          <w:color w:val="111111"/>
          <w:sz w:val="28"/>
          <w:szCs w:val="28"/>
          <w:rtl/>
        </w:rPr>
        <w:t xml:space="preserve">الترهيب، ج4، ص 723.</w:t>
      </w:r>
    </w:p>
    <w:p>
      <w:pPr>
        <w:pStyle w:val="Heading2"/>
      </w:pPr>
      <w:bookmarkStart w:id="1307" w:name="_Toc409"/>
      <w:r>
        <w:t>ابن ذهب ، حسن بن ياسين</w:t>
      </w:r>
      <w:bookmarkEnd w:id="1307"/>
    </w:p>
    <w:p>
      <w:pPr>
        <w:pStyle w:val="BookText"/>
      </w:pPr>
      <w:r>
        <w:rPr>
          <w:rFonts w:ascii="Amiri" w:hAnsi="Amiri" w:eastAsia="Amiri" w:cs="Amiri"/>
          <w:lang w:bidi="ar-SA"/>
          <w:color w:val="111111"/>
          <w:sz w:val="28"/>
          <w:szCs w:val="28"/>
          <w:rtl/>
        </w:rPr>
        <w:t xml:space="preserve">مجموعة شعرية، ج 14، ص 40.</w:t>
      </w:r>
    </w:p>
    <w:p>
      <w:pPr>
        <w:pStyle w:val="BookText"/>
      </w:pPr>
      <w:r>
        <w:rPr>
          <w:rFonts w:ascii="Amiri" w:hAnsi="Amiri" w:eastAsia="Amiri" w:cs="Amiri"/>
          <w:lang w:bidi="ar-SA"/>
          <w:color w:val="111111"/>
          <w:sz w:val="28"/>
          <w:szCs w:val="28"/>
          <w:rtl/>
        </w:rPr>
        <w:t xml:space="preserve">ابن ذي دمينه ، حسن بن احمد- ابن</w:t>
      </w:r>
    </w:p>
    <w:p>
      <w:pPr>
        <w:pStyle w:val="BookText"/>
      </w:pPr>
      <w:r>
        <w:rPr>
          <w:rFonts w:ascii="Amiri" w:hAnsi="Amiri" w:eastAsia="Amiri" w:cs="Amiri"/>
          <w:lang w:bidi="ar-SA"/>
          <w:color w:val="111111"/>
          <w:sz w:val="28"/>
          <w:szCs w:val="28"/>
          <w:rtl/>
        </w:rPr>
        <w:t xml:space="preserve">حائك ، حسن بن احمد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6" w:name="pg7742_69475"/>
    <w:bookmarkEnd w:id="66"/>
    <w:p>
      <w:pPr>
        <w:pStyle w:val="Heading2"/>
      </w:pPr>
      <w:bookmarkStart w:id="1308" w:name="_Toc410"/>
      <w:r>
        <w:t>ابن رازي ، جعفر بن احمد - 381 ه-</w:t>
      </w:r>
      <w:bookmarkEnd w:id="1308"/>
    </w:p>
    <w:p>
      <w:pPr>
        <w:pStyle w:val="BookText"/>
      </w:pPr>
      <w:r>
        <w:rPr>
          <w:rFonts w:ascii="Amiri" w:hAnsi="Amiri" w:eastAsia="Amiri" w:cs="Amiri"/>
          <w:lang w:bidi="ar-SA"/>
          <w:color w:val="111111"/>
          <w:sz w:val="28"/>
          <w:szCs w:val="28"/>
          <w:rtl/>
        </w:rPr>
        <w:t xml:space="preserve">1 .جامع الاحاديث النبوية، جه،</w:t>
      </w:r>
    </w:p>
    <w:p>
      <w:pPr>
        <w:pStyle w:val="BookText"/>
      </w:pPr>
      <w:r>
        <w:rPr>
          <w:rFonts w:ascii="IRNazanin" w:hAnsi="IRNazanin" w:eastAsia="IRNazanin" w:cs="IRNazanin"/>
          <w:lang w:bidi="fa-IR"/>
          <w:color w:val="111111"/>
          <w:sz w:val="28"/>
          <w:szCs w:val="28"/>
          <w:rtl/>
        </w:rPr>
        <w:t xml:space="preserve">ص 241 .</w:t>
      </w:r>
    </w:p>
    <w:p>
      <w:pPr>
        <w:pStyle w:val="BookText"/>
      </w:pPr>
      <w:r>
        <w:rPr>
          <w:rFonts w:ascii="Amiri" w:hAnsi="Amiri" w:eastAsia="Amiri" w:cs="Amiri"/>
          <w:lang w:bidi="ar-SA"/>
          <w:color w:val="111111"/>
          <w:sz w:val="28"/>
          <w:szCs w:val="28"/>
          <w:rtl/>
        </w:rPr>
        <w:t xml:space="preserve">2 .العروس في خصائص يوم الجمعة</w:t>
      </w:r>
    </w:p>
    <w:p>
      <w:pPr>
        <w:pStyle w:val="BookText"/>
      </w:pPr>
      <w:r>
        <w:rPr>
          <w:rFonts w:ascii="IRNazanin" w:hAnsi="IRNazanin" w:eastAsia="IRNazanin" w:cs="IRNazanin"/>
          <w:lang w:bidi="fa-IR"/>
          <w:color w:val="111111"/>
          <w:sz w:val="28"/>
          <w:szCs w:val="28"/>
          <w:rtl/>
        </w:rPr>
        <w:t xml:space="preserve">ج 11، ص89.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الغايات، ج 11، ص 423.</w:t>
      </w:r>
    </w:p>
    <w:p>
      <w:pPr>
        <w:pStyle w:val="BookText"/>
      </w:pPr>
      <w:r>
        <w:rPr>
          <w:rFonts w:ascii="Amiri" w:hAnsi="Amiri" w:eastAsia="Amiri" w:cs="Amiri"/>
          <w:lang w:bidi="ar-SA"/>
          <w:color w:val="111111"/>
          <w:sz w:val="28"/>
          <w:szCs w:val="28"/>
          <w:rtl/>
        </w:rPr>
        <w:t xml:space="preserve">4 .المانعات = الاعمال المانعة من</w:t>
      </w:r>
    </w:p>
    <w:p>
      <w:pPr>
        <w:pStyle w:val="BookText"/>
      </w:pPr>
      <w:r>
        <w:rPr>
          <w:rFonts w:ascii="Amiri" w:hAnsi="Amiri" w:eastAsia="Amiri" w:cs="Amiri"/>
          <w:lang w:bidi="ar-SA"/>
          <w:color w:val="111111"/>
          <w:sz w:val="28"/>
          <w:szCs w:val="28"/>
          <w:rtl/>
        </w:rPr>
        <w:t xml:space="preserve">دخول الجنة، ج13، ص 688.</w:t>
      </w:r>
    </w:p>
    <w:p>
      <w:pPr>
        <w:pStyle w:val="BookText"/>
      </w:pPr>
      <w:r>
        <w:rPr>
          <w:rFonts w:ascii="IRNazanin" w:hAnsi="IRNazanin" w:eastAsia="IRNazanin" w:cs="IRNazanin"/>
          <w:lang w:bidi="fa-IR"/>
          <w:color w:val="111111"/>
          <w:sz w:val="28"/>
          <w:szCs w:val="28"/>
          <w:rtl/>
        </w:rPr>
        <w:t xml:space="preserve">5 .المسلسلات، ج 14، ص 578</w:t>
      </w:r>
    </w:p>
    <w:p>
      <w:pPr>
        <w:pStyle w:val="BookText"/>
      </w:pPr>
      <w:r>
        <w:rPr>
          <w:rFonts w:ascii="Amiri" w:hAnsi="Amiri" w:eastAsia="Amiri" w:cs="Amiri"/>
          <w:lang w:bidi="ar-SA"/>
          <w:color w:val="111111"/>
          <w:sz w:val="28"/>
          <w:szCs w:val="28"/>
          <w:rtl/>
        </w:rPr>
        <w:t xml:space="preserve">6 .نوادر الاثر لعلي خير البشر، ج 16،</w:t>
      </w:r>
    </w:p>
    <w:p>
      <w:pPr>
        <w:pStyle w:val="BookText"/>
      </w:pPr>
      <w:r>
        <w:rPr>
          <w:rFonts w:ascii="IRNazanin" w:hAnsi="IRNazanin" w:eastAsia="IRNazanin" w:cs="IRNazanin"/>
          <w:lang w:bidi="fa-IR"/>
          <w:color w:val="111111"/>
          <w:sz w:val="28"/>
          <w:szCs w:val="28"/>
          <w:rtl/>
        </w:rPr>
        <w:t xml:space="preserve">ص 539</w:t>
      </w:r>
    </w:p>
    <w:p>
      <w:pPr>
        <w:pStyle w:val="BookText"/>
      </w:pPr>
      <w:r>
        <w:rPr>
          <w:rFonts w:ascii="Amiri" w:hAnsi="Amiri" w:eastAsia="Amiri" w:cs="Amiri"/>
          <w:lang w:bidi="ar-SA"/>
          <w:color w:val="111111"/>
          <w:sz w:val="28"/>
          <w:szCs w:val="28"/>
          <w:rtl/>
        </w:rPr>
        <w:t xml:space="preserve">ابن راسي ، زياده بن يحيى- نصب الرأسي</w:t>
      </w:r>
    </w:p>
    <w:p>
      <w:pPr>
        <w:pStyle w:val="BookText"/>
      </w:pPr>
      <w:r>
        <w:rPr>
          <w:rFonts w:ascii="Amiri" w:hAnsi="Amiri" w:eastAsia="Amiri" w:cs="Amiri"/>
          <w:lang w:bidi="ar-SA"/>
          <w:color w:val="111111"/>
          <w:sz w:val="28"/>
          <w:szCs w:val="28"/>
          <w:rtl/>
        </w:rPr>
        <w:t xml:space="preserve">، زيادة بن يحيى</w:t>
      </w:r>
    </w:p>
    <w:p>
      <w:pPr>
        <w:pStyle w:val="BookText"/>
      </w:pPr>
      <w:r>
        <w:rPr>
          <w:rFonts w:ascii="Amiri" w:hAnsi="Amiri" w:eastAsia="Amiri" w:cs="Amiri"/>
          <w:lang w:bidi="ar-SA"/>
          <w:color w:val="111111"/>
          <w:sz w:val="28"/>
          <w:szCs w:val="28"/>
          <w:rtl/>
        </w:rPr>
        <w:t xml:space="preserve">ابن رافع ، محمّد بن هجرس - سلامي ،</w:t>
      </w:r>
    </w:p>
    <w:p>
      <w:pPr>
        <w:pStyle w:val="BookText"/>
      </w:pPr>
      <w:r>
        <w:rPr>
          <w:rFonts w:ascii="IRNazanin" w:hAnsi="IRNazanin" w:eastAsia="IRNazanin" w:cs="IRNazanin"/>
          <w:lang w:bidi="fa-IR"/>
          <w:color w:val="111111"/>
          <w:sz w:val="28"/>
          <w:szCs w:val="28"/>
          <w:rtl/>
        </w:rPr>
        <w:t xml:space="preserve">محمّد بن رافع</w:t>
      </w:r>
    </w:p>
    <w:p>
      <w:pPr>
        <w:pStyle w:val="BookText"/>
      </w:pPr>
      <w:r>
        <w:rPr>
          <w:rFonts w:ascii="Amiri" w:hAnsi="Amiri" w:eastAsia="Amiri" w:cs="Amiri"/>
          <w:lang w:bidi="ar-SA"/>
          <w:color w:val="111111"/>
          <w:sz w:val="28"/>
          <w:szCs w:val="28"/>
          <w:rtl/>
        </w:rPr>
        <w:t xml:space="preserve">ابن ربن ، علي بن سهل - طبري ، علي بن سهل</w:t>
      </w:r>
    </w:p>
    <w:p>
      <w:pPr>
        <w:pStyle w:val="Heading2"/>
      </w:pPr>
      <w:bookmarkStart w:id="1309" w:name="_Toc411"/>
      <w:r>
        <w:t>ابن ربوه ، محمّد بن احمد، 679-764 ه-</w:t>
      </w:r>
      <w:bookmarkEnd w:id="1309"/>
    </w:p>
    <w:p>
      <w:pPr>
        <w:pStyle w:val="BookText"/>
      </w:pPr>
      <w:r>
        <w:rPr>
          <w:rFonts w:ascii="Amiri" w:hAnsi="Amiri" w:eastAsia="Amiri" w:cs="Amiri"/>
          <w:lang w:bidi="ar-SA"/>
          <w:color w:val="111111"/>
          <w:sz w:val="28"/>
          <w:szCs w:val="28"/>
          <w:rtl/>
        </w:rPr>
        <w:t xml:space="preserve">المعتمد في احاديث المسند للامام الاعظم، ج 15، ص 8.</w:t>
      </w:r>
    </w:p>
    <w:p>
      <w:pPr>
        <w:pStyle w:val="Heading2"/>
      </w:pPr>
      <w:bookmarkStart w:id="1310" w:name="_Toc412"/>
      <w:r>
        <w:t>ابن رجب ، عبدالرحمن بن احمد 736 -</w:t>
      </w:r>
      <w:bookmarkEnd w:id="1310"/>
    </w:p>
    <w:p>
      <w:pPr>
        <w:pStyle w:val="BookText"/>
      </w:pPr>
      <w:r>
        <w:rPr>
          <w:rFonts w:ascii="IRNazanin" w:hAnsi="IRNazanin" w:eastAsia="IRNazanin" w:cs="IRNazanin"/>
          <w:lang w:bidi="fa-IR"/>
          <w:color w:val="111111"/>
          <w:sz w:val="28"/>
          <w:szCs w:val="28"/>
          <w:rtl/>
        </w:rPr>
        <w:t xml:space="preserve">795 ه-</w:t>
      </w:r>
    </w:p>
    <w:p>
      <w:pPr>
        <w:pStyle w:val="BookText"/>
      </w:pPr>
      <w:r>
        <w:rPr>
          <w:rFonts w:ascii="Amiri" w:hAnsi="Amiri" w:eastAsia="Amiri" w:cs="Amiri"/>
          <w:lang w:bidi="ar-SA"/>
          <w:color w:val="111111"/>
          <w:sz w:val="28"/>
          <w:szCs w:val="28"/>
          <w:rtl/>
        </w:rPr>
        <w:t xml:space="preserve">1 .اختيار الأولى في شرح حديث اختصام الملأ الأعلى، ج 1، ص 561.</w:t>
      </w:r>
    </w:p>
    <w:p>
      <w:pPr>
        <w:pStyle w:val="BookText"/>
      </w:pPr>
      <w:r>
        <w:rPr>
          <w:rFonts w:ascii="Amiri" w:hAnsi="Amiri" w:eastAsia="Amiri" w:cs="Amiri"/>
          <w:lang w:bidi="ar-SA"/>
          <w:color w:val="111111"/>
          <w:sz w:val="28"/>
          <w:szCs w:val="28"/>
          <w:rtl/>
        </w:rPr>
        <w:t xml:space="preserve">2 .استنشاق نسيم الانس من نفحات رياض القدس، ج 2، ص 155.</w:t>
      </w:r>
    </w:p>
    <w:p>
      <w:pPr>
        <w:pStyle w:val="BookText"/>
      </w:pPr>
      <w:r>
        <w:rPr>
          <w:rFonts w:ascii="Amiri" w:hAnsi="Amiri" w:eastAsia="Amiri" w:cs="Amiri"/>
          <w:lang w:bidi="ar-SA"/>
          <w:color w:val="111111"/>
          <w:sz w:val="28"/>
          <w:szCs w:val="28"/>
          <w:rtl/>
        </w:rPr>
        <w:t xml:space="preserve">3 .بيان الحجة في سيد الدلجة، ج3،</w:t>
      </w:r>
    </w:p>
    <w:p>
      <w:pPr>
        <w:pStyle w:val="BookText"/>
      </w:pPr>
      <w:r>
        <w:rPr>
          <w:rFonts w:ascii="IRNazanin" w:hAnsi="IRNazanin" w:eastAsia="IRNazanin" w:cs="IRNazanin"/>
          <w:lang w:bidi="fa-IR"/>
          <w:color w:val="111111"/>
          <w:sz w:val="28"/>
          <w:szCs w:val="28"/>
          <w:rtl/>
        </w:rPr>
        <w:t xml:space="preserve">ص 467 .</w:t>
      </w:r>
    </w:p>
    <w:p>
      <w:pPr>
        <w:pStyle w:val="BookText"/>
      </w:pPr>
      <w:r>
        <w:rPr>
          <w:rFonts w:ascii="Amiri" w:hAnsi="Amiri" w:eastAsia="Amiri" w:cs="Amiri"/>
          <w:lang w:bidi="ar-SA"/>
          <w:color w:val="111111"/>
          <w:sz w:val="28"/>
          <w:szCs w:val="28"/>
          <w:rtl/>
        </w:rPr>
        <w:t xml:space="preserve">4 .تفسير سورة الاخلاص، ج 4، ص 625.</w:t>
      </w:r>
    </w:p>
    <w:p>
      <w:pPr>
        <w:pStyle w:val="BookText"/>
      </w:pPr>
      <w:r>
        <w:rPr>
          <w:rFonts w:ascii="Amiri" w:hAnsi="Amiri" w:eastAsia="Amiri" w:cs="Amiri"/>
          <w:lang w:bidi="ar-SA"/>
          <w:color w:val="111111"/>
          <w:sz w:val="28"/>
          <w:szCs w:val="28"/>
          <w:rtl/>
        </w:rPr>
        <w:t xml:space="preserve">5 .تفسير سورة النصر، ج4، ص 642 .</w:t>
      </w:r>
    </w:p>
    <w:p>
      <w:pPr>
        <w:pStyle w:val="BookText"/>
      </w:pPr>
      <w:r>
        <w:rPr>
          <w:rFonts w:ascii="Amiri" w:hAnsi="Amiri" w:eastAsia="Amiri" w:cs="Amiri"/>
          <w:lang w:bidi="ar-SA"/>
          <w:color w:val="111111"/>
          <w:sz w:val="28"/>
          <w:szCs w:val="28"/>
          <w:rtl/>
        </w:rPr>
        <w:t xml:space="preserve">6 .جامع العلوم والحكم في شرح خمسين حديثا من جوامع الكلم</w:t>
      </w:r>
    </w:p>
    <w:p>
      <w:pPr>
        <w:pStyle w:val="BookText"/>
      </w:pPr>
      <w:r>
        <w:rPr>
          <w:rFonts w:ascii="IRNazanin" w:hAnsi="IRNazanin" w:eastAsia="IRNazanin" w:cs="IRNazanin"/>
          <w:lang w:bidi="fa-IR"/>
          <w:color w:val="111111"/>
          <w:sz w:val="28"/>
          <w:szCs w:val="28"/>
          <w:rtl/>
        </w:rPr>
        <w:t xml:space="preserve">ج 5، ص 306.</w:t>
      </w:r>
    </w:p>
    <w:p>
      <w:pPr>
        <w:pStyle w:val="BookText"/>
      </w:pPr>
      <w:r>
        <w:rPr>
          <w:rFonts w:ascii="Amiri" w:hAnsi="Amiri" w:eastAsia="Amiri" w:cs="Amiri"/>
          <w:lang w:bidi="ar-SA"/>
          <w:color w:val="111111"/>
          <w:sz w:val="28"/>
          <w:szCs w:val="28"/>
          <w:rtl/>
        </w:rPr>
        <w:t xml:space="preserve">7.الحديث، ج 6، ص 559</w:t>
      </w:r>
    </w:p>
    <w:p>
      <w:pPr>
        <w:pStyle w:val="BookText"/>
      </w:pPr>
      <w:r>
        <w:rPr>
          <w:rFonts w:ascii="Amiri" w:hAnsi="Amiri" w:eastAsia="Amiri" w:cs="Amiri"/>
          <w:lang w:bidi="ar-SA"/>
          <w:color w:val="111111"/>
          <w:sz w:val="28"/>
          <w:szCs w:val="28"/>
          <w:rtl/>
        </w:rPr>
        <w:t xml:space="preserve">8 .ذم المال والجاه( رسالة في)، ج 7،</w:t>
      </w:r>
    </w:p>
    <w:p>
      <w:pPr>
        <w:pStyle w:val="BookText"/>
      </w:pPr>
      <w:r>
        <w:rPr>
          <w:rFonts w:ascii="IRNazanin" w:hAnsi="IRNazanin" w:eastAsia="IRNazanin" w:cs="IRNazanin"/>
          <w:lang w:bidi="fa-IR"/>
          <w:color w:val="111111"/>
          <w:sz w:val="28"/>
          <w:szCs w:val="28"/>
          <w:rtl/>
        </w:rPr>
        <w:t xml:space="preserve">ص 866.</w:t>
      </w:r>
    </w:p>
    <w:p>
      <w:pPr>
        <w:pStyle w:val="BookText"/>
      </w:pPr>
      <w:r>
        <w:rPr>
          <w:rFonts w:ascii="Amiri" w:hAnsi="Amiri" w:eastAsia="Amiri" w:cs="Amiri"/>
          <w:lang w:bidi="ar-SA"/>
          <w:color w:val="111111"/>
          <w:sz w:val="28"/>
          <w:szCs w:val="28"/>
          <w:rtl/>
        </w:rPr>
        <w:t xml:space="preserve">9 .ذيل طبقات الحنابلة، ج 7، ص 875</w:t>
      </w:r>
    </w:p>
    <w:p>
      <w:pPr>
        <w:pStyle w:val="BookText"/>
      </w:pPr>
      <w:r>
        <w:rPr>
          <w:rFonts w:ascii="IRNazanin" w:hAnsi="IRNazanin" w:eastAsia="IRNazanin" w:cs="IRNazanin"/>
          <w:lang w:bidi="fa-IR"/>
          <w:color w:val="111111"/>
          <w:sz w:val="28"/>
          <w:szCs w:val="28"/>
          <w:rtl/>
        </w:rPr>
        <w:t xml:space="preserve">10 .شرح احادیث شريفة، ج 9، ص 160.</w:t>
      </w:r>
    </w:p>
    <w:p>
      <w:pPr>
        <w:pStyle w:val="BookText"/>
      </w:pPr>
      <w:r>
        <w:rPr>
          <w:rFonts w:ascii="Amiri" w:hAnsi="Amiri" w:eastAsia="Amiri" w:cs="Amiri"/>
          <w:lang w:bidi="ar-SA"/>
          <w:color w:val="111111"/>
          <w:sz w:val="28"/>
          <w:szCs w:val="28"/>
          <w:rtl/>
        </w:rPr>
        <w:t xml:space="preserve">11 .شرح حديث كنز الناس الذهب</w:t>
      </w:r>
    </w:p>
    <w:p>
      <w:pPr>
        <w:pStyle w:val="BookText"/>
      </w:pPr>
      <w:r>
        <w:rPr>
          <w:rFonts w:ascii="Amiri" w:hAnsi="Amiri" w:eastAsia="Amiri" w:cs="Amiri"/>
          <w:lang w:bidi="ar-SA"/>
          <w:color w:val="111111"/>
          <w:sz w:val="28"/>
          <w:szCs w:val="28"/>
          <w:rtl/>
        </w:rPr>
        <w:t xml:space="preserve">و الفضة»، ج9، ص397.</w:t>
      </w:r>
    </w:p>
    <w:p>
      <w:pPr>
        <w:pStyle w:val="BookText"/>
      </w:pPr>
      <w:r>
        <w:rPr>
          <w:rFonts w:ascii="IRNazanin" w:hAnsi="IRNazanin" w:eastAsia="IRNazanin" w:cs="IRNazanin"/>
          <w:lang w:bidi="fa-IR"/>
          <w:color w:val="111111"/>
          <w:sz w:val="28"/>
          <w:szCs w:val="28"/>
          <w:rtl/>
        </w:rPr>
        <w:t xml:space="preserve">12 .شرح حدیث «ماذئبان جائعان»</w:t>
      </w:r>
    </w:p>
    <w:p>
      <w:pPr>
        <w:pStyle w:val="BookText"/>
      </w:pPr>
      <w:r>
        <w:rPr>
          <w:rFonts w:ascii="IRNazanin" w:hAnsi="IRNazanin" w:eastAsia="IRNazanin" w:cs="IRNazanin"/>
          <w:lang w:bidi="fa-IR"/>
          <w:color w:val="111111"/>
          <w:sz w:val="28"/>
          <w:szCs w:val="28"/>
          <w:rtl/>
        </w:rPr>
        <w:t xml:space="preserve">ج 9، ص 400 .</w:t>
      </w:r>
    </w:p>
    <w:p>
      <w:pPr>
        <w:pStyle w:val="BookText"/>
      </w:pPr>
      <w:r>
        <w:rPr>
          <w:rFonts w:ascii="IRNazanin" w:hAnsi="IRNazanin" w:eastAsia="IRNazanin" w:cs="IRNazanin"/>
          <w:lang w:bidi="fa-IR"/>
          <w:color w:val="111111"/>
          <w:sz w:val="28"/>
          <w:szCs w:val="28"/>
          <w:rtl/>
        </w:rPr>
        <w:t xml:space="preserve">13 .شرح حدیث «من سلك طريقا</w:t>
      </w:r>
    </w:p>
    <w:p>
      <w:pPr>
        <w:pStyle w:val="BookText"/>
      </w:pPr>
      <w:r>
        <w:rPr>
          <w:rFonts w:ascii="Amiri" w:hAnsi="Amiri" w:eastAsia="Amiri" w:cs="Amiri"/>
          <w:lang w:bidi="ar-SA"/>
          <w:color w:val="111111"/>
          <w:sz w:val="28"/>
          <w:szCs w:val="28"/>
          <w:rtl/>
        </w:rPr>
        <w:t xml:space="preserve">يلتمس فيه علما سلك الله به طريقا إلى الجنة»، ج 9، ص 402.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شعب الايمان (رسالة في)</w:t>
      </w:r>
    </w:p>
    <w:p>
      <w:pPr>
        <w:pStyle w:val="BookText"/>
      </w:pPr>
      <w:r>
        <w:rPr>
          <w:rFonts w:ascii="IRNazanin" w:hAnsi="IRNazanin" w:eastAsia="IRNazanin" w:cs="IRNazanin"/>
          <w:lang w:bidi="fa-IR"/>
          <w:color w:val="111111"/>
          <w:sz w:val="28"/>
          <w:szCs w:val="28"/>
          <w:rtl/>
        </w:rPr>
        <w:t xml:space="preserve">ج 9، ص 637.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شرح علل الترمذي، ج 9، ص 747.</w:t>
      </w:r>
    </w:p>
    <w:p>
      <w:pPr>
        <w:pStyle w:val="BookText"/>
      </w:pPr>
      <w:r>
        <w:rPr>
          <w:rFonts w:ascii="Amiri" w:hAnsi="Amiri" w:eastAsia="Amiri" w:cs="Amiri"/>
          <w:lang w:bidi="ar-SA"/>
          <w:color w:val="111111"/>
          <w:sz w:val="28"/>
          <w:szCs w:val="28"/>
          <w:rtl/>
        </w:rPr>
        <w:t xml:space="preserve">16 . الفرق بين النصيحة و التعيير</w:t>
      </w:r>
    </w:p>
    <w:p>
      <w:pPr>
        <w:pStyle w:val="BookText"/>
      </w:pPr>
      <w:r>
        <w:rPr>
          <w:rFonts w:ascii="IRNazanin" w:hAnsi="IRNazanin" w:eastAsia="IRNazanin" w:cs="IRNazanin"/>
          <w:lang w:bidi="fa-IR"/>
          <w:color w:val="111111"/>
          <w:sz w:val="28"/>
          <w:szCs w:val="28"/>
          <w:rtl/>
        </w:rPr>
        <w:t xml:space="preserve">ج 11، ص 799.</w:t>
      </w:r>
    </w:p>
    <w:p>
      <w:pPr>
        <w:pStyle w:val="BookText"/>
      </w:pPr>
      <w:r>
        <w:rPr>
          <w:rFonts w:ascii="Amiri" w:hAnsi="Amiri" w:eastAsia="Amiri" w:cs="Amiri"/>
          <w:lang w:bidi="ar-SA"/>
          <w:color w:val="111111"/>
          <w:sz w:val="28"/>
          <w:szCs w:val="28"/>
          <w:rtl/>
        </w:rPr>
        <w:t xml:space="preserve">17 .فضل علم السلف على علم الخلف (رسالة في بيان)، ج12،</w:t>
      </w:r>
    </w:p>
    <w:p>
      <w:pPr>
        <w:pStyle w:val="BookText"/>
      </w:pPr>
      <w:r>
        <w:rPr>
          <w:rFonts w:ascii="IRNazanin" w:hAnsi="IRNazanin" w:eastAsia="IRNazanin" w:cs="IRNazanin"/>
          <w:lang w:bidi="fa-IR"/>
          <w:color w:val="111111"/>
          <w:sz w:val="28"/>
          <w:szCs w:val="28"/>
          <w:rtl/>
        </w:rPr>
        <w:t xml:space="preserve">ص 27.</w:t>
      </w:r>
    </w:p>
    <w:p>
      <w:pPr>
        <w:pStyle w:val="BookText"/>
      </w:pPr>
      <w:r>
        <w:rPr>
          <w:rFonts w:ascii="Amiri" w:hAnsi="Amiri" w:eastAsia="Amiri" w:cs="Amiri"/>
          <w:lang w:bidi="ar-SA"/>
          <w:color w:val="111111"/>
          <w:sz w:val="28"/>
          <w:szCs w:val="28"/>
          <w:rtl/>
        </w:rPr>
        <w:t xml:space="preserve">18 .فضيلة (شهر) رجب، ج 12، ص32.</w:t>
      </w:r>
    </w:p>
    <w:p>
      <w:pPr>
        <w:pStyle w:val="BookText"/>
      </w:pPr>
      <w:r>
        <w:rPr>
          <w:rFonts w:ascii="Amiri" w:hAnsi="Amiri" w:eastAsia="Amiri" w:cs="Amiri"/>
          <w:lang w:bidi="ar-SA"/>
          <w:color w:val="111111"/>
          <w:sz w:val="28"/>
          <w:szCs w:val="28"/>
          <w:rtl/>
        </w:rPr>
        <w:t xml:space="preserve">19 .كشف الكربة بوصف حال أهل</w:t>
      </w:r>
    </w:p>
    <w:p>
      <w:pPr>
        <w:pStyle w:val="BookText"/>
      </w:pPr>
      <w:r>
        <w:rPr>
          <w:rFonts w:ascii="Amiri" w:hAnsi="Amiri" w:eastAsia="Amiri" w:cs="Amiri"/>
          <w:lang w:bidi="ar-SA"/>
          <w:color w:val="111111"/>
          <w:sz w:val="28"/>
          <w:szCs w:val="28"/>
          <w:rtl/>
        </w:rPr>
        <w:t xml:space="preserve">الغربة، ج13، ص 250.</w:t>
      </w:r>
    </w:p>
    <w:p>
      <w:pPr>
        <w:pStyle w:val="BookText"/>
      </w:pPr>
      <w:r>
        <w:rPr>
          <w:rFonts w:ascii="Amiri" w:hAnsi="Amiri" w:eastAsia="Amiri" w:cs="Amiri"/>
          <w:lang w:bidi="ar-SA"/>
          <w:color w:val="111111"/>
          <w:sz w:val="28"/>
          <w:szCs w:val="28"/>
          <w:rtl/>
        </w:rPr>
        <w:t xml:space="preserve">20 .كشف المسائل من تقرير القواعد</w:t>
      </w:r>
    </w:p>
    <w:p>
      <w:pPr>
        <w:pStyle w:val="BookText"/>
      </w:pPr>
      <w:r>
        <w:rPr>
          <w:rFonts w:ascii="Amiri" w:hAnsi="Amiri" w:eastAsia="Amiri" w:cs="Amiri"/>
          <w:lang w:bidi="ar-SA"/>
          <w:color w:val="111111"/>
          <w:sz w:val="28"/>
          <w:szCs w:val="28"/>
          <w:rtl/>
        </w:rPr>
        <w:t xml:space="preserve">و تحرير الفوائد، ج13، ص 269.</w:t>
      </w:r>
    </w:p>
    <w:p>
      <w:pPr>
        <w:pStyle w:val="BookText"/>
      </w:pPr>
      <w:r>
        <w:rPr>
          <w:rFonts w:ascii="IRNazanin" w:hAnsi="IRNazanin" w:eastAsia="IRNazanin" w:cs="IRNazanin"/>
          <w:lang w:bidi="fa-IR"/>
          <w:color w:val="111111"/>
          <w:sz w:val="28"/>
          <w:szCs w:val="28"/>
          <w:rtl/>
        </w:rPr>
        <w:t xml:space="preserve">21 .الكلام على كلمة الاخلاص و تحقیق معناها، ج13، ص358</w:t>
      </w:r>
    </w:p>
    <w:p>
      <w:pPr>
        <w:pStyle w:val="BookText"/>
      </w:pPr>
      <w:r>
        <w:rPr>
          <w:rFonts w:ascii="Amiri" w:hAnsi="Amiri" w:eastAsia="Amiri" w:cs="Amiri"/>
          <w:lang w:bidi="ar-SA"/>
          <w:color w:val="111111"/>
          <w:sz w:val="28"/>
          <w:szCs w:val="28"/>
          <w:rtl/>
        </w:rPr>
        <w:t xml:space="preserve">22 .لطائف المعارف فيما لمواسم العالم</w:t>
      </w:r>
    </w:p>
    <w:p>
      <w:pPr>
        <w:pStyle w:val="BookText"/>
      </w:pPr>
      <w:r>
        <w:rPr>
          <w:rFonts w:ascii="IRNazanin" w:hAnsi="IRNazanin" w:eastAsia="IRNazanin" w:cs="IRNazanin"/>
          <w:lang w:bidi="fa-IR"/>
          <w:color w:val="111111"/>
          <w:sz w:val="28"/>
          <w:szCs w:val="28"/>
          <w:rtl/>
        </w:rPr>
        <w:t xml:space="preserve">من الوظائف، ج13، ص 582.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7" w:name="pg7742_69477"/>
    <w:bookmarkEnd w:id="67"/>
    <w:p>
      <w:pPr>
        <w:pStyle w:val="Heading2"/>
      </w:pPr>
      <w:bookmarkStart w:id="1311" w:name="_Toc413"/>
      <w:r>
        <w:t>ابن رجب موصلي ، حسن بن محمد</w:t>
      </w:r>
      <w:bookmarkEnd w:id="1311"/>
    </w:p>
    <w:p>
      <w:pPr>
        <w:pStyle w:val="BookText"/>
      </w:pPr>
      <w:r>
        <w:rPr>
          <w:rFonts w:ascii="IRNazanin" w:hAnsi="IRNazanin" w:eastAsia="IRNazanin" w:cs="IRNazanin"/>
          <w:lang w:bidi="fa-IR"/>
          <w:color w:val="111111"/>
          <w:sz w:val="28"/>
          <w:szCs w:val="28"/>
          <w:rtl/>
        </w:rPr>
        <w:t xml:space="preserve">1344ه-</w:t>
      </w:r>
    </w:p>
    <w:p>
      <w:pPr>
        <w:pStyle w:val="BookText"/>
      </w:pPr>
      <w:r>
        <w:rPr>
          <w:rFonts w:ascii="Amiri" w:hAnsi="Amiri" w:eastAsia="Amiri" w:cs="Amiri"/>
          <w:lang w:bidi="ar-SA"/>
          <w:color w:val="111111"/>
          <w:sz w:val="28"/>
          <w:szCs w:val="28"/>
          <w:rtl/>
        </w:rPr>
        <w:t xml:space="preserve">مجموعة الانكرلي، ج 14، ص 22.</w:t>
      </w:r>
    </w:p>
    <w:p>
      <w:pPr>
        <w:pStyle w:val="Heading2"/>
      </w:pPr>
      <w:bookmarkStart w:id="1312" w:name="_Toc414"/>
      <w:r>
        <w:t>ابن رحبي، علي بن يوسف، 583-667ه-</w:t>
      </w:r>
      <w:bookmarkEnd w:id="1312"/>
    </w:p>
    <w:p>
      <w:pPr>
        <w:pStyle w:val="BookText"/>
      </w:pPr>
      <w:r>
        <w:rPr>
          <w:rFonts w:ascii="Amiri" w:hAnsi="Amiri" w:eastAsia="Amiri" w:cs="Amiri"/>
          <w:lang w:bidi="ar-SA"/>
          <w:color w:val="111111"/>
          <w:sz w:val="28"/>
          <w:szCs w:val="28"/>
          <w:rtl/>
        </w:rPr>
        <w:t xml:space="preserve">الضوء (رسالة في)، ج 10، ص 697 .</w:t>
      </w:r>
    </w:p>
    <w:p>
      <w:pPr>
        <w:pStyle w:val="BookText"/>
      </w:pPr>
      <w:r>
        <w:rPr>
          <w:rFonts w:ascii="Amiri" w:hAnsi="Amiri" w:eastAsia="Amiri" w:cs="Amiri"/>
          <w:lang w:bidi="ar-SA"/>
          <w:color w:val="111111"/>
          <w:sz w:val="28"/>
          <w:szCs w:val="28"/>
          <w:rtl/>
        </w:rPr>
        <w:t xml:space="preserve">ابن رحمت بحراني ، عبد علي بن ناصر- حويزي ، عبد علي بن ناصر</w:t>
      </w:r>
    </w:p>
    <w:p>
      <w:pPr>
        <w:pStyle w:val="Heading2"/>
      </w:pPr>
      <w:bookmarkStart w:id="1313" w:name="_Toc415"/>
      <w:r>
        <w:t>ابن رحمت حويزي عباس بن سعيد 12ه-</w:t>
      </w:r>
      <w:bookmarkEnd w:id="1313"/>
    </w:p>
    <w:p>
      <w:pPr>
        <w:pStyle w:val="BookText"/>
      </w:pPr>
      <w:r>
        <w:rPr>
          <w:rFonts w:ascii="Amiri" w:hAnsi="Amiri" w:eastAsia="Amiri" w:cs="Amiri"/>
          <w:lang w:bidi="ar-SA"/>
          <w:color w:val="111111"/>
          <w:sz w:val="28"/>
          <w:szCs w:val="28"/>
          <w:rtl/>
        </w:rPr>
        <w:t xml:space="preserve">رسالة نقلت من كتاب للتنوخي، ج8،</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Amiri" w:hAnsi="Amiri" w:eastAsia="Amiri" w:cs="Amiri"/>
          <w:lang w:bidi="ar-SA"/>
          <w:color w:val="111111"/>
          <w:sz w:val="28"/>
          <w:szCs w:val="28"/>
          <w:rtl/>
        </w:rPr>
        <w:t xml:space="preserve">ابن رحمت حويزي ، عبد علي بن ناصر- حويزي ، عبد علي بن ناصر</w:t>
      </w:r>
    </w:p>
    <w:p>
      <w:pPr>
        <w:pStyle w:val="BookText"/>
      </w:pPr>
      <w:r>
        <w:rPr>
          <w:rFonts w:ascii="Amiri" w:hAnsi="Amiri" w:eastAsia="Amiri" w:cs="Amiri"/>
          <w:lang w:bidi="ar-SA"/>
          <w:color w:val="111111"/>
          <w:sz w:val="28"/>
          <w:szCs w:val="28"/>
          <w:rtl/>
        </w:rPr>
        <w:t xml:space="preserve">ابن رداد ، احمد بن ابي بكر- رداد ، احمد</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ابن رزيق ، مبارك بن احمد -ابن حداد</w:t>
      </w:r>
    </w:p>
    <w:p>
      <w:pPr>
        <w:pStyle w:val="BookText"/>
      </w:pPr>
      <w:r>
        <w:rPr>
          <w:rFonts w:ascii="Amiri" w:hAnsi="Amiri" w:eastAsia="Amiri" w:cs="Amiri"/>
          <w:lang w:bidi="ar-SA"/>
          <w:color w:val="111111"/>
          <w:sz w:val="28"/>
          <w:szCs w:val="28"/>
          <w:rtl/>
        </w:rPr>
        <w:t xml:space="preserve">مبارك بن احمد</w:t>
      </w:r>
    </w:p>
    <w:p>
      <w:pPr>
        <w:pStyle w:val="Heading2"/>
      </w:pPr>
      <w:bookmarkStart w:id="1314" w:name="_Toc416"/>
      <w:r>
        <w:t>ابن رزين، ابوبکر عمر</w:t>
      </w:r>
      <w:bookmarkEnd w:id="1314"/>
    </w:p>
    <w:p>
      <w:pPr>
        <w:pStyle w:val="BookText"/>
      </w:pPr>
      <w:r>
        <w:rPr>
          <w:rFonts w:ascii="Amiri" w:hAnsi="Amiri" w:eastAsia="Amiri" w:cs="Amiri"/>
          <w:lang w:bidi="ar-SA"/>
          <w:color w:val="111111"/>
          <w:sz w:val="28"/>
          <w:szCs w:val="28"/>
          <w:rtl/>
        </w:rPr>
        <w:t xml:space="preserve">تجريد العناية في تحرير احكام النهاية</w:t>
      </w:r>
    </w:p>
    <w:p>
      <w:pPr>
        <w:pStyle w:val="BookText"/>
      </w:pPr>
      <w:r>
        <w:rPr>
          <w:rFonts w:ascii="IRNazanin" w:hAnsi="IRNazanin" w:eastAsia="IRNazanin" w:cs="IRNazanin"/>
          <w:lang w:bidi="fa-IR"/>
          <w:color w:val="111111"/>
          <w:sz w:val="28"/>
          <w:szCs w:val="28"/>
          <w:rtl/>
        </w:rPr>
        <w:t xml:space="preserve">ج 3، ص 690.</w:t>
      </w:r>
    </w:p>
    <w:p>
      <w:pPr>
        <w:pStyle w:val="Heading2"/>
      </w:pPr>
      <w:bookmarkStart w:id="1315" w:name="_Toc417"/>
      <w:r>
        <w:t>ابن رسام احمد بن ابي بكر 763-844 ه-</w:t>
      </w:r>
      <w:bookmarkEnd w:id="1315"/>
    </w:p>
    <w:p>
      <w:pPr>
        <w:pStyle w:val="BookText"/>
      </w:pPr>
      <w:r>
        <w:rPr>
          <w:rFonts w:ascii="Amiri" w:hAnsi="Amiri" w:eastAsia="Amiri" w:cs="Amiri"/>
          <w:lang w:bidi="ar-SA"/>
          <w:color w:val="111111"/>
          <w:sz w:val="28"/>
          <w:szCs w:val="28"/>
          <w:rtl/>
        </w:rPr>
        <w:t xml:space="preserve">عقد الدرر واللآلي في فضل الشهور و الايام والليالي، ج 11، ص 166 .</w:t>
      </w:r>
    </w:p>
    <w:p>
      <w:pPr>
        <w:pStyle w:val="Heading2"/>
      </w:pPr>
      <w:bookmarkStart w:id="1316" w:name="_Toc418"/>
      <w:r>
        <w:t>ابن رسامي ، محمّد بن رسام</w:t>
      </w:r>
      <w:bookmarkEnd w:id="1316"/>
    </w:p>
    <w:p>
      <w:pPr>
        <w:pStyle w:val="BookText"/>
      </w:pPr>
      <w:r>
        <w:rPr>
          <w:rFonts w:ascii="IRNazanin" w:hAnsi="IRNazanin" w:eastAsia="IRNazanin" w:cs="IRNazanin"/>
          <w:lang w:bidi="fa-IR"/>
          <w:color w:val="111111"/>
          <w:sz w:val="28"/>
          <w:szCs w:val="28"/>
          <w:rtl/>
        </w:rPr>
        <w:t xml:space="preserve">متن الزبد، ج 13، ص 763.</w:t>
      </w:r>
    </w:p>
    <w:p>
      <w:pPr>
        <w:pStyle w:val="BookText"/>
      </w:pPr>
      <w:r>
        <w:rPr>
          <w:rFonts w:ascii="Amiri" w:hAnsi="Amiri" w:eastAsia="Amiri" w:cs="Amiri"/>
          <w:lang w:bidi="ar-SA"/>
          <w:color w:val="111111"/>
          <w:sz w:val="28"/>
          <w:szCs w:val="28"/>
          <w:rtl/>
        </w:rPr>
        <w:t xml:space="preserve">ابن رسول ، اسماعيل بن عباس غساني -غساني، اسماعيل بن عباس</w:t>
      </w:r>
    </w:p>
    <w:p>
      <w:pPr>
        <w:pStyle w:val="BookText"/>
      </w:pPr>
      <w:r>
        <w:rPr>
          <w:rFonts w:ascii="Amiri" w:hAnsi="Amiri" w:eastAsia="Amiri" w:cs="Amiri"/>
          <w:lang w:bidi="ar-SA"/>
          <w:color w:val="111111"/>
          <w:sz w:val="28"/>
          <w:szCs w:val="28"/>
          <w:rtl/>
        </w:rPr>
        <w:t xml:space="preserve">ابن رسول ، عباس بن علي- غساني ، عباس</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ابن رسول ، عمر بن يوسف غساني- اشرف</w:t>
      </w:r>
    </w:p>
    <w:p>
      <w:pPr>
        <w:pStyle w:val="BookText"/>
      </w:pPr>
      <w:r>
        <w:rPr>
          <w:rFonts w:ascii="Amiri" w:hAnsi="Amiri" w:eastAsia="Amiri" w:cs="Amiri"/>
          <w:lang w:bidi="ar-SA"/>
          <w:color w:val="111111"/>
          <w:sz w:val="28"/>
          <w:szCs w:val="28"/>
          <w:rtl/>
        </w:rPr>
        <w:t xml:space="preserve">الرسولي ، عمر بن يوسف</w:t>
      </w:r>
    </w:p>
    <w:p>
      <w:pPr>
        <w:pStyle w:val="BookText"/>
      </w:pPr>
      <w:r>
        <w:rPr>
          <w:rFonts w:ascii="Amiri" w:hAnsi="Amiri" w:eastAsia="Amiri" w:cs="Amiri"/>
          <w:lang w:bidi="ar-SA"/>
          <w:color w:val="111111"/>
          <w:sz w:val="28"/>
          <w:szCs w:val="28"/>
          <w:rtl/>
        </w:rPr>
        <w:t xml:space="preserve">ابن رسول ، محمّد بن رسول -ساوجبلاغي</w:t>
      </w:r>
    </w:p>
    <w:p>
      <w:pPr>
        <w:pStyle w:val="BookText"/>
      </w:pPr>
      <w:r>
        <w:rPr>
          <w:rFonts w:ascii="IRNazanin" w:hAnsi="IRNazanin" w:eastAsia="IRNazanin" w:cs="IRNazanin"/>
          <w:lang w:bidi="fa-IR"/>
          <w:color w:val="111111"/>
          <w:sz w:val="28"/>
          <w:szCs w:val="28"/>
          <w:rtl/>
        </w:rPr>
        <w:t xml:space="preserve">، محمد بن رسول</w:t>
      </w:r>
    </w:p>
    <w:p>
      <w:pPr>
        <w:pStyle w:val="BookText"/>
      </w:pPr>
      <w:r>
        <w:rPr>
          <w:rFonts w:ascii="IRNazanin" w:hAnsi="IRNazanin" w:eastAsia="IRNazanin" w:cs="IRNazanin"/>
          <w:lang w:bidi="fa-IR"/>
          <w:color w:val="111111"/>
          <w:sz w:val="28"/>
          <w:szCs w:val="28"/>
          <w:rtl/>
        </w:rPr>
        <w:t xml:space="preserve">ابن رسلان ، ابوالعباس احمد بن</w:t>
      </w:r>
    </w:p>
    <w:p>
      <w:pPr>
        <w:pStyle w:val="BookText"/>
      </w:pPr>
      <w:r>
        <w:rPr>
          <w:rFonts w:ascii="Amiri" w:hAnsi="Amiri" w:eastAsia="Amiri" w:cs="Amiri"/>
          <w:lang w:bidi="ar-SA"/>
          <w:color w:val="111111"/>
          <w:sz w:val="28"/>
          <w:szCs w:val="28"/>
          <w:rtl/>
        </w:rPr>
        <w:t xml:space="preserve">حسين- رملي ، احمد بن حسين</w:t>
      </w:r>
    </w:p>
    <w:p>
      <w:pPr>
        <w:pStyle w:val="BookText"/>
      </w:pPr>
      <w:r>
        <w:rPr>
          <w:rFonts w:ascii="Amiri" w:hAnsi="Amiri" w:eastAsia="Amiri" w:cs="Amiri"/>
          <w:lang w:bidi="ar-SA"/>
          <w:color w:val="111111"/>
          <w:sz w:val="28"/>
          <w:szCs w:val="28"/>
          <w:rtl/>
        </w:rPr>
        <w:t xml:space="preserve">ابن رسلان ، احمد بن حسين- رملي ،</w:t>
      </w:r>
    </w:p>
    <w:p>
      <w:pPr>
        <w:pStyle w:val="BookText"/>
      </w:pPr>
      <w:r>
        <w:rPr>
          <w:rFonts w:ascii="Amiri" w:hAnsi="Amiri" w:eastAsia="Amiri" w:cs="Amiri"/>
          <w:lang w:bidi="ar-SA"/>
          <w:color w:val="111111"/>
          <w:sz w:val="28"/>
          <w:szCs w:val="28"/>
          <w:rtl/>
        </w:rPr>
        <w:t xml:space="preserve">احمد بن حسين</w:t>
      </w:r>
    </w:p>
    <w:p>
      <w:pPr>
        <w:pStyle w:val="Heading2"/>
      </w:pPr>
      <w:bookmarkStart w:id="1317" w:name="_Toc419"/>
      <w:r>
        <w:t>ابن رشد ، محمّد بن احمد، 520-595 ه-</w:t>
      </w:r>
      <w:bookmarkEnd w:id="1317"/>
    </w:p>
    <w:p>
      <w:pPr>
        <w:pStyle w:val="BookText"/>
      </w:pPr>
      <w:r>
        <w:rPr>
          <w:rFonts w:ascii="Amiri" w:hAnsi="Amiri" w:eastAsia="Amiri" w:cs="Amiri"/>
          <w:lang w:bidi="ar-SA"/>
          <w:color w:val="111111"/>
          <w:sz w:val="28"/>
          <w:szCs w:val="28"/>
          <w:rtl/>
        </w:rPr>
        <w:t xml:space="preserve">1 .تلخيص السماء و العالم، جع،</w:t>
      </w:r>
    </w:p>
    <w:p>
      <w:pPr>
        <w:pStyle w:val="BookText"/>
      </w:pPr>
      <w:r>
        <w:rPr>
          <w:rFonts w:ascii="IRNazanin" w:hAnsi="IRNazanin" w:eastAsia="IRNazanin" w:cs="IRNazanin"/>
          <w:lang w:bidi="fa-IR"/>
          <w:color w:val="111111"/>
          <w:sz w:val="28"/>
          <w:szCs w:val="28"/>
          <w:rtl/>
        </w:rPr>
        <w:t xml:space="preserve">ص 847.</w:t>
      </w:r>
    </w:p>
    <w:p>
      <w:pPr>
        <w:pStyle w:val="BookText"/>
      </w:pPr>
      <w:r>
        <w:rPr>
          <w:rFonts w:ascii="Amiri" w:hAnsi="Amiri" w:eastAsia="Amiri" w:cs="Amiri"/>
          <w:lang w:bidi="ar-SA"/>
          <w:color w:val="111111"/>
          <w:sz w:val="28"/>
          <w:szCs w:val="28"/>
          <w:rtl/>
        </w:rPr>
        <w:t xml:space="preserve">2 .تلخيص المنطق = منطق ابن رشد</w:t>
      </w:r>
    </w:p>
    <w:p>
      <w:pPr>
        <w:pStyle w:val="BookText"/>
      </w:pPr>
      <w:r>
        <w:rPr>
          <w:rFonts w:ascii="Amiri" w:hAnsi="Amiri" w:eastAsia="Amiri" w:cs="Amiri"/>
          <w:lang w:bidi="ar-SA"/>
          <w:color w:val="111111"/>
          <w:sz w:val="28"/>
          <w:szCs w:val="28"/>
          <w:rtl/>
        </w:rPr>
        <w:t xml:space="preserve">تلخيص المقولات، ج 4، ص 865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تلخيص مقالات ارسطو = شرح</w:t>
      </w:r>
    </w:p>
    <w:p>
      <w:pPr>
        <w:pStyle w:val="BookText"/>
      </w:pPr>
      <w:r>
        <w:rPr>
          <w:rFonts w:ascii="IRNazanin" w:hAnsi="IRNazanin" w:eastAsia="IRNazanin" w:cs="IRNazanin"/>
          <w:lang w:bidi="fa-IR"/>
          <w:color w:val="111111"/>
          <w:sz w:val="28"/>
          <w:szCs w:val="28"/>
          <w:rtl/>
        </w:rPr>
        <w:t xml:space="preserve">جوامع ارسطو، ج4، ص 864.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تهافت التهافت، ج 5، ص 83</w:t>
      </w:r>
    </w:p>
    <w:p>
      <w:pPr>
        <w:pStyle w:val="BookText"/>
      </w:pPr>
      <w:r>
        <w:rPr>
          <w:rFonts w:ascii="Amiri" w:hAnsi="Amiri" w:eastAsia="Amiri" w:cs="Amiri"/>
          <w:lang w:bidi="ar-SA"/>
          <w:color w:val="111111"/>
          <w:sz w:val="28"/>
          <w:szCs w:val="28"/>
          <w:rtl/>
        </w:rPr>
        <w:t xml:space="preserve">5 .شرح ارجوزة ابن سينا، ج9، ص177.</w:t>
      </w:r>
    </w:p>
    <w:p>
      <w:pPr>
        <w:pStyle w:val="Heading2"/>
      </w:pPr>
      <w:bookmarkStart w:id="1318" w:name="_Toc420"/>
      <w:r>
        <w:t>ابن رشد ، محمّد بن احمد - 520 ه-</w:t>
      </w:r>
      <w:bookmarkEnd w:id="1318"/>
    </w:p>
    <w:p>
      <w:pPr>
        <w:pStyle w:val="BookText"/>
      </w:pPr>
      <w:r>
        <w:rPr>
          <w:rFonts w:ascii="IRNazanin" w:hAnsi="IRNazanin" w:eastAsia="IRNazanin" w:cs="IRNazanin"/>
          <w:lang w:bidi="fa-IR"/>
          <w:color w:val="111111"/>
          <w:sz w:val="28"/>
          <w:szCs w:val="28"/>
          <w:rtl/>
        </w:rPr>
        <w:t xml:space="preserve">الفرائض، ج 11، ص 750 .</w:t>
      </w:r>
    </w:p>
    <w:p>
      <w:pPr>
        <w:pStyle w:val="Heading2"/>
      </w:pPr>
      <w:bookmarkStart w:id="1319" w:name="_Toc421"/>
      <w:r>
        <w:t>ابن رشید اصفهاني ، محمّد علي</w:t>
      </w:r>
      <w:bookmarkEnd w:id="1319"/>
    </w:p>
    <w:p>
      <w:pPr>
        <w:pStyle w:val="BookText"/>
      </w:pPr>
      <w:r>
        <w:rPr>
          <w:rFonts w:ascii="Amiri" w:hAnsi="Amiri" w:eastAsia="Amiri" w:cs="Amiri"/>
          <w:lang w:bidi="ar-SA"/>
          <w:color w:val="111111"/>
          <w:sz w:val="28"/>
          <w:szCs w:val="28"/>
          <w:rtl/>
        </w:rPr>
        <w:t xml:space="preserve">بحر المحيط، ج3، ص229</w:t>
      </w:r>
    </w:p>
    <w:p>
      <w:pPr>
        <w:pStyle w:val="BookText"/>
      </w:pPr>
      <w:r>
        <w:rPr>
          <w:rFonts w:ascii="Amiri" w:hAnsi="Amiri" w:eastAsia="Amiri" w:cs="Amiri"/>
          <w:lang w:bidi="ar-SA"/>
          <w:color w:val="111111"/>
          <w:sz w:val="28"/>
          <w:szCs w:val="28"/>
          <w:rtl/>
        </w:rPr>
        <w:t xml:space="preserve">ابن رشيق ، حسن بن رشيق- قيرواني ،</w:t>
      </w:r>
    </w:p>
    <w:p>
      <w:pPr>
        <w:pStyle w:val="BookText"/>
      </w:pPr>
      <w:r>
        <w:rPr>
          <w:rFonts w:ascii="Amiri" w:hAnsi="Amiri" w:eastAsia="Amiri" w:cs="Amiri"/>
          <w:lang w:bidi="ar-SA"/>
          <w:color w:val="111111"/>
          <w:sz w:val="28"/>
          <w:szCs w:val="28"/>
          <w:rtl/>
        </w:rPr>
        <w:t xml:space="preserve">حسن بن رشيق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8" w:name="pg7742_69479"/>
    <w:bookmarkEnd w:id="68"/>
    <w:p>
      <w:pPr>
        <w:pStyle w:val="Heading2"/>
      </w:pPr>
      <w:bookmarkStart w:id="1320" w:name="_Toc422"/>
      <w:r>
        <w:t>ابن رشيق قيرواني ، عبدالحميد بن حسين</w:t>
      </w:r>
      <w:bookmarkEnd w:id="1320"/>
    </w:p>
    <w:p>
      <w:pPr>
        <w:pStyle w:val="BookText"/>
      </w:pPr>
      <w:r>
        <w:rPr>
          <w:rFonts w:ascii="Amiri" w:hAnsi="Amiri" w:eastAsia="Amiri" w:cs="Amiri"/>
          <w:lang w:bidi="ar-SA"/>
          <w:color w:val="111111"/>
          <w:sz w:val="28"/>
          <w:szCs w:val="28"/>
          <w:rtl/>
        </w:rPr>
        <w:t xml:space="preserve">رسائل ابن رشيق (منتخب)، ج8،</w:t>
      </w:r>
    </w:p>
    <w:p>
      <w:pPr>
        <w:pStyle w:val="BookText"/>
      </w:pPr>
      <w:r>
        <w:rPr>
          <w:rFonts w:ascii="IRNazanin" w:hAnsi="IRNazanin" w:eastAsia="IRNazanin" w:cs="IRNazanin"/>
          <w:lang w:bidi="fa-IR"/>
          <w:color w:val="111111"/>
          <w:sz w:val="28"/>
          <w:szCs w:val="28"/>
          <w:rtl/>
        </w:rPr>
        <w:t xml:space="preserve">ص 132.</w:t>
      </w:r>
    </w:p>
    <w:p>
      <w:pPr>
        <w:pStyle w:val="Heading2"/>
      </w:pPr>
      <w:bookmarkStart w:id="1321" w:name="_Toc423"/>
      <w:r>
        <w:t>ابن رضوان علي بن رضوان 388-453ه-</w:t>
      </w:r>
      <w:bookmarkEnd w:id="1321"/>
    </w:p>
    <w:p>
      <w:pPr>
        <w:pStyle w:val="BookText"/>
      </w:pPr>
      <w:r>
        <w:rPr>
          <w:rFonts w:ascii="Amiri" w:hAnsi="Amiri" w:eastAsia="Amiri" w:cs="Amiri"/>
          <w:lang w:bidi="ar-SA"/>
          <w:color w:val="111111"/>
          <w:sz w:val="28"/>
          <w:szCs w:val="28"/>
          <w:rtl/>
        </w:rPr>
        <w:t xml:space="preserve">1 .ان جالينوس لم يغلط في اقاويله في اللبن (مقالة في)، ج2، ص 793.</w:t>
      </w:r>
    </w:p>
    <w:p>
      <w:pPr>
        <w:pStyle w:val="BookText"/>
      </w:pPr>
      <w:r>
        <w:rPr>
          <w:rFonts w:ascii="Amiri" w:hAnsi="Amiri" w:eastAsia="Amiri" w:cs="Amiri"/>
          <w:lang w:bidi="ar-SA"/>
          <w:color w:val="111111"/>
          <w:sz w:val="28"/>
          <w:szCs w:val="28"/>
          <w:rtl/>
        </w:rPr>
        <w:t xml:space="preserve">2 .ان كل واحد من الاعضاء يغتذي من الخلط المشاكل له( مقاله في)، ج2،</w:t>
      </w:r>
    </w:p>
    <w:p>
      <w:pPr>
        <w:pStyle w:val="BookText"/>
      </w:pPr>
      <w:r>
        <w:rPr>
          <w:rFonts w:ascii="IRNazanin" w:hAnsi="IRNazanin" w:eastAsia="IRNazanin" w:cs="IRNazanin"/>
          <w:lang w:bidi="fa-IR"/>
          <w:color w:val="111111"/>
          <w:sz w:val="28"/>
          <w:szCs w:val="28"/>
          <w:rtl/>
        </w:rPr>
        <w:t xml:space="preserve">ص 827</w:t>
      </w:r>
    </w:p>
    <w:p>
      <w:pPr>
        <w:pStyle w:val="BookText"/>
      </w:pPr>
      <w:r>
        <w:rPr>
          <w:rFonts w:ascii="Amiri" w:hAnsi="Amiri" w:eastAsia="Amiri" w:cs="Amiri"/>
          <w:lang w:bidi="ar-SA"/>
          <w:color w:val="111111"/>
          <w:sz w:val="28"/>
          <w:szCs w:val="28"/>
          <w:rtl/>
        </w:rPr>
        <w:t xml:space="preserve">3.الباه (مقالة في)، ج 3، ص 185 .</w:t>
      </w:r>
    </w:p>
    <w:p>
      <w:pPr>
        <w:pStyle w:val="BookText"/>
      </w:pPr>
      <w:r>
        <w:rPr>
          <w:rFonts w:ascii="Amiri" w:hAnsi="Amiri" w:eastAsia="Amiri" w:cs="Amiri"/>
          <w:lang w:bidi="ar-SA"/>
          <w:color w:val="111111"/>
          <w:sz w:val="28"/>
          <w:szCs w:val="28"/>
          <w:rtl/>
        </w:rPr>
        <w:t xml:space="preserve">4 .جواب أبي الحسن علي بن رضوان</w:t>
      </w:r>
    </w:p>
    <w:p>
      <w:pPr>
        <w:pStyle w:val="BookText"/>
      </w:pPr>
      <w:r>
        <w:rPr>
          <w:rFonts w:ascii="IRNazanin" w:hAnsi="IRNazanin" w:eastAsia="IRNazanin" w:cs="IRNazanin"/>
          <w:lang w:bidi="fa-IR"/>
          <w:color w:val="111111"/>
          <w:sz w:val="28"/>
          <w:szCs w:val="28"/>
          <w:rtl/>
        </w:rPr>
        <w:t xml:space="preserve">ج 5، ص 490.</w:t>
      </w:r>
    </w:p>
    <w:p>
      <w:pPr>
        <w:pStyle w:val="BookText"/>
      </w:pPr>
      <w:r>
        <w:rPr>
          <w:rFonts w:ascii="Amiri" w:hAnsi="Amiri" w:eastAsia="Amiri" w:cs="Amiri"/>
          <w:lang w:bidi="ar-SA"/>
          <w:color w:val="111111"/>
          <w:sz w:val="28"/>
          <w:szCs w:val="28"/>
          <w:rtl/>
        </w:rPr>
        <w:t xml:space="preserve">5 .داء الفيل وداء الاسد، ج 7، ص 209.</w:t>
      </w:r>
    </w:p>
    <w:p>
      <w:pPr>
        <w:pStyle w:val="BookText"/>
      </w:pPr>
      <w:r>
        <w:rPr>
          <w:rFonts w:ascii="IRNazanin" w:hAnsi="IRNazanin" w:eastAsia="IRNazanin" w:cs="IRNazanin"/>
          <w:lang w:bidi="fa-IR"/>
          <w:color w:val="111111"/>
          <w:sz w:val="28"/>
          <w:szCs w:val="28"/>
          <w:rtl/>
        </w:rPr>
        <w:t xml:space="preserve">6 .دفع مضار الابدان بارض مصر، ج7،</w:t>
      </w:r>
    </w:p>
    <w:p>
      <w:pPr>
        <w:pStyle w:val="BookText"/>
      </w:pPr>
      <w:r>
        <w:rPr>
          <w:rFonts w:ascii="IRNazanin" w:hAnsi="IRNazanin" w:eastAsia="IRNazanin" w:cs="IRNazanin"/>
          <w:lang w:bidi="fa-IR"/>
          <w:color w:val="111111"/>
          <w:sz w:val="28"/>
          <w:szCs w:val="28"/>
          <w:rtl/>
        </w:rPr>
        <w:t xml:space="preserve">ص 424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دفع مضار الحلوي بالمحرور، ج7،</w:t>
      </w:r>
    </w:p>
    <w:p>
      <w:pPr>
        <w:pStyle w:val="BookText"/>
      </w:pPr>
      <w:r>
        <w:rPr>
          <w:rFonts w:ascii="IRNazanin" w:hAnsi="IRNazanin" w:eastAsia="IRNazanin" w:cs="IRNazanin"/>
          <w:lang w:bidi="fa-IR"/>
          <w:color w:val="111111"/>
          <w:sz w:val="28"/>
          <w:szCs w:val="28"/>
          <w:rtl/>
        </w:rPr>
        <w:t xml:space="preserve">ص 425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الشعير وما يعمل فيه (مقالة في)</w:t>
      </w:r>
    </w:p>
    <w:p>
      <w:pPr>
        <w:pStyle w:val="BookText"/>
      </w:pPr>
      <w:r>
        <w:rPr>
          <w:rFonts w:ascii="IRNazanin" w:hAnsi="IRNazanin" w:eastAsia="IRNazanin" w:cs="IRNazanin"/>
          <w:lang w:bidi="fa-IR"/>
          <w:color w:val="111111"/>
          <w:sz w:val="28"/>
          <w:szCs w:val="28"/>
          <w:rtl/>
        </w:rPr>
        <w:t xml:space="preserve">ج 10، ص 371 .</w:t>
      </w:r>
    </w:p>
    <w:p>
      <w:pPr>
        <w:pStyle w:val="BookText"/>
      </w:pPr>
      <w:r>
        <w:rPr>
          <w:rFonts w:ascii="Amiri" w:hAnsi="Amiri" w:eastAsia="Amiri" w:cs="Amiri"/>
          <w:lang w:bidi="ar-SA"/>
          <w:color w:val="111111"/>
          <w:sz w:val="28"/>
          <w:szCs w:val="28"/>
          <w:rtl/>
        </w:rPr>
        <w:t xml:space="preserve">9 القوى الطبيعية (فصل في )، ج12،</w:t>
      </w:r>
    </w:p>
    <w:p>
      <w:pPr>
        <w:pStyle w:val="BookText"/>
      </w:pPr>
      <w:r>
        <w:rPr>
          <w:rFonts w:ascii="IRNazanin" w:hAnsi="IRNazanin" w:eastAsia="IRNazanin" w:cs="IRNazanin"/>
          <w:lang w:bidi="fa-IR"/>
          <w:color w:val="111111"/>
          <w:sz w:val="28"/>
          <w:szCs w:val="28"/>
          <w:rtl/>
        </w:rPr>
        <w:t xml:space="preserve">ص 870.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مقالة علي بن رضوان، ج 15</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Amiri" w:hAnsi="Amiri" w:eastAsia="Amiri" w:cs="Amiri"/>
          <w:lang w:bidi="ar-SA"/>
          <w:color w:val="111111"/>
          <w:sz w:val="28"/>
          <w:szCs w:val="28"/>
          <w:rtl/>
        </w:rPr>
        <w:t xml:space="preserve">11 .مقالة مواجهة إلى اطباء مصر في</w:t>
      </w:r>
    </w:p>
    <w:p>
      <w:pPr>
        <w:pStyle w:val="BookText"/>
      </w:pPr>
      <w:r>
        <w:rPr>
          <w:rFonts w:ascii="Amiri" w:hAnsi="Amiri" w:eastAsia="Amiri" w:cs="Amiri"/>
          <w:lang w:bidi="ar-SA"/>
          <w:color w:val="111111"/>
          <w:sz w:val="28"/>
          <w:szCs w:val="28"/>
          <w:rtl/>
        </w:rPr>
        <w:t xml:space="preserve">الرد على مختار بن الحسن البغدادي، ج 15، ص287.</w:t>
      </w:r>
    </w:p>
    <w:p>
      <w:pPr>
        <w:pStyle w:val="BookText"/>
      </w:pPr>
      <w:r>
        <w:rPr>
          <w:rFonts w:ascii="Amiri" w:hAnsi="Amiri" w:eastAsia="Amiri" w:cs="Amiri"/>
          <w:lang w:bidi="ar-SA"/>
          <w:color w:val="111111"/>
          <w:sz w:val="28"/>
          <w:szCs w:val="28"/>
          <w:rtl/>
        </w:rPr>
        <w:t xml:space="preserve">12 .النافع في صناعة الطب، ج 16،</w:t>
      </w:r>
    </w:p>
    <w:p>
      <w:pPr>
        <w:pStyle w:val="BookText"/>
      </w:pPr>
      <w:r>
        <w:rPr>
          <w:rFonts w:ascii="IRNazanin" w:hAnsi="IRNazanin" w:eastAsia="IRNazanin" w:cs="IRNazanin"/>
          <w:lang w:bidi="fa-IR"/>
          <w:color w:val="111111"/>
          <w:sz w:val="28"/>
          <w:szCs w:val="28"/>
          <w:rtl/>
        </w:rPr>
        <w:t xml:space="preserve">ص 95 .</w:t>
      </w:r>
    </w:p>
    <w:p>
      <w:pPr>
        <w:pStyle w:val="BookText"/>
      </w:pPr>
      <w:r>
        <w:rPr>
          <w:rFonts w:ascii="IRNazanin" w:hAnsi="IRNazanin" w:eastAsia="IRNazanin" w:cs="IRNazanin"/>
          <w:lang w:bidi="fa-IR"/>
          <w:color w:val="111111"/>
          <w:sz w:val="28"/>
          <w:szCs w:val="28"/>
          <w:rtl/>
        </w:rPr>
        <w:t xml:space="preserve">13 .النبض، ج 16، ص 122.</w:t>
      </w:r>
    </w:p>
    <w:p>
      <w:pPr>
        <w:pStyle w:val="Heading2"/>
      </w:pPr>
      <w:bookmarkStart w:id="1322" w:name="_Toc424"/>
      <w:r>
        <w:t>ابن الرفعة احمد بن محمّد 645-710ه-</w:t>
      </w:r>
      <w:bookmarkEnd w:id="1322"/>
    </w:p>
    <w:p>
      <w:pPr>
        <w:pStyle w:val="BookText"/>
      </w:pPr>
      <w:r>
        <w:rPr>
          <w:rFonts w:ascii="Amiri" w:hAnsi="Amiri" w:eastAsia="Amiri" w:cs="Amiri"/>
          <w:lang w:bidi="ar-SA"/>
          <w:color w:val="111111"/>
          <w:sz w:val="28"/>
          <w:szCs w:val="28"/>
          <w:rtl/>
        </w:rPr>
        <w:t xml:space="preserve">1 .الرتبة في الحسبة، ج 8، ص 40.</w:t>
      </w:r>
    </w:p>
    <w:p>
      <w:pPr>
        <w:pStyle w:val="BookText"/>
      </w:pPr>
      <w:r>
        <w:rPr>
          <w:rFonts w:ascii="Amiri" w:hAnsi="Amiri" w:eastAsia="Amiri" w:cs="Amiri"/>
          <w:lang w:bidi="ar-SA"/>
          <w:color w:val="111111"/>
          <w:sz w:val="28"/>
          <w:szCs w:val="28"/>
          <w:rtl/>
        </w:rPr>
        <w:t xml:space="preserve">2 .كفاية النبيه في شرح التنبيه، ج13،</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Amiri" w:hAnsi="Amiri" w:eastAsia="Amiri" w:cs="Amiri"/>
          <w:lang w:bidi="ar-SA"/>
          <w:color w:val="111111"/>
          <w:sz w:val="28"/>
          <w:szCs w:val="28"/>
          <w:rtl/>
        </w:rPr>
        <w:t xml:space="preserve">3 .المطلب العالي في شرح الوسيط</w:t>
      </w:r>
    </w:p>
    <w:p>
      <w:pPr>
        <w:pStyle w:val="BookText"/>
      </w:pPr>
      <w:r>
        <w:rPr>
          <w:rFonts w:ascii="Amiri" w:hAnsi="Amiri" w:eastAsia="Amiri" w:cs="Amiri"/>
          <w:lang w:bidi="ar-SA"/>
          <w:color w:val="111111"/>
          <w:sz w:val="28"/>
          <w:szCs w:val="28"/>
          <w:rtl/>
        </w:rPr>
        <w:t xml:space="preserve">للغزالي، ج 14 ، ص 787.</w:t>
      </w:r>
    </w:p>
    <w:p>
      <w:pPr>
        <w:pStyle w:val="Heading2"/>
      </w:pPr>
      <w:bookmarkStart w:id="1323" w:name="_Toc425"/>
      <w:r>
        <w:t>ابن رقيق ، ابراهيم بن قاسم - 417 ؟ ه-</w:t>
      </w:r>
      <w:bookmarkEnd w:id="1323"/>
    </w:p>
    <w:p>
      <w:pPr>
        <w:pStyle w:val="BookText"/>
      </w:pPr>
      <w:r>
        <w:rPr>
          <w:rFonts w:ascii="Amiri" w:hAnsi="Amiri" w:eastAsia="Amiri" w:cs="Amiri"/>
          <w:lang w:bidi="ar-SA"/>
          <w:color w:val="111111"/>
          <w:sz w:val="28"/>
          <w:szCs w:val="28"/>
          <w:rtl/>
        </w:rPr>
        <w:t xml:space="preserve">قطب السرور في وصف الانبذة و الخمور، ج 12، ص 743.</w:t>
      </w:r>
    </w:p>
    <w:p>
      <w:pPr>
        <w:pStyle w:val="BookText"/>
      </w:pPr>
      <w:r>
        <w:rPr>
          <w:rFonts w:ascii="Amiri" w:hAnsi="Amiri" w:eastAsia="Amiri" w:cs="Amiri"/>
          <w:lang w:bidi="ar-SA"/>
          <w:color w:val="111111"/>
          <w:sz w:val="28"/>
          <w:szCs w:val="28"/>
          <w:rtl/>
        </w:rPr>
        <w:t xml:space="preserve">ابن ركين ، اسماعيل بن محمّد ابن بردس</w:t>
      </w:r>
    </w:p>
    <w:p>
      <w:pPr>
        <w:pStyle w:val="BookText"/>
      </w:pPr>
      <w:r>
        <w:rPr>
          <w:rFonts w:ascii="Amiri" w:hAnsi="Amiri" w:eastAsia="Amiri" w:cs="Amiri"/>
          <w:lang w:bidi="ar-SA"/>
          <w:color w:val="111111"/>
          <w:sz w:val="28"/>
          <w:szCs w:val="28"/>
          <w:rtl/>
        </w:rPr>
        <w:t xml:space="preserve">، اسماعيل بن محمّد</w:t>
      </w:r>
    </w:p>
    <w:p>
      <w:pPr>
        <w:pStyle w:val="Heading2"/>
      </w:pPr>
      <w:bookmarkStart w:id="1324" w:name="_Toc426"/>
      <w:r>
        <w:t>ابن رمضان ، محمود بن رمضان 616- ه-</w:t>
      </w:r>
      <w:bookmarkEnd w:id="1324"/>
    </w:p>
    <w:p>
      <w:pPr>
        <w:pStyle w:val="BookText"/>
      </w:pPr>
      <w:r>
        <w:rPr>
          <w:rFonts w:ascii="IRNazanin" w:hAnsi="IRNazanin" w:eastAsia="IRNazanin" w:cs="IRNazanin"/>
          <w:lang w:bidi="fa-IR"/>
          <w:color w:val="111111"/>
          <w:sz w:val="28"/>
          <w:szCs w:val="28"/>
          <w:rtl/>
        </w:rPr>
        <w:t xml:space="preserve">دیوان ابن رمضان، ج 7، ص 520.</w:t>
      </w:r>
    </w:p>
    <w:p>
      <w:pPr>
        <w:pStyle w:val="Heading2"/>
      </w:pPr>
      <w:bookmarkStart w:id="1325" w:name="_Toc427"/>
      <w:r>
        <w:t>ابن روزبهار ، مظفر بن محمّد - 688 ه-</w:t>
      </w:r>
      <w:bookmarkEnd w:id="1325"/>
    </w:p>
    <w:p>
      <w:pPr>
        <w:pStyle w:val="BookText"/>
      </w:pPr>
      <w:r>
        <w:rPr>
          <w:rFonts w:ascii="IRNazanin" w:hAnsi="IRNazanin" w:eastAsia="IRNazanin" w:cs="IRNazanin"/>
          <w:lang w:bidi="fa-IR"/>
          <w:color w:val="111111"/>
          <w:sz w:val="28"/>
          <w:szCs w:val="28"/>
          <w:rtl/>
        </w:rPr>
        <w:t xml:space="preserve">شرح الحجب، ج9، ص379</w:t>
      </w:r>
    </w:p>
    <w:p>
      <w:pPr>
        <w:pStyle w:val="Heading2"/>
      </w:pPr>
      <w:bookmarkStart w:id="1326" w:name="_Toc428"/>
      <w:r>
        <w:t>ابن رومي ، علي بن عباس 221-283ه-</w:t>
      </w:r>
      <w:bookmarkEnd w:id="1326"/>
    </w:p>
    <w:p>
      <w:pPr>
        <w:pStyle w:val="BookText"/>
      </w:pPr>
      <w:r>
        <w:rPr>
          <w:rFonts w:ascii="Amiri" w:hAnsi="Amiri" w:eastAsia="Amiri" w:cs="Amiri"/>
          <w:lang w:bidi="ar-SA"/>
          <w:color w:val="111111"/>
          <w:sz w:val="28"/>
          <w:szCs w:val="28"/>
          <w:rtl/>
        </w:rPr>
        <w:t xml:space="preserve">ديوان ابن الرومي، ج 7، ص 520.</w:t>
      </w:r>
    </w:p>
    <w:p>
      <w:pPr>
        <w:pStyle w:val="Heading2"/>
      </w:pPr>
      <w:bookmarkStart w:id="1327" w:name="_Toc429"/>
      <w:r>
        <w:t>ابن زبیر احمد بن ابراهيم، 9627-708ه-</w:t>
      </w:r>
      <w:bookmarkEnd w:id="1327"/>
    </w:p>
    <w:p>
      <w:pPr>
        <w:pStyle w:val="BookText"/>
      </w:pPr>
      <w:r>
        <w:rPr>
          <w:rFonts w:ascii="Amiri" w:hAnsi="Amiri" w:eastAsia="Amiri" w:cs="Amiri"/>
          <w:lang w:bidi="ar-SA"/>
          <w:color w:val="111111"/>
          <w:sz w:val="28"/>
          <w:szCs w:val="28"/>
          <w:rtl/>
        </w:rPr>
        <w:t xml:space="preserve">1 .البرهان في تناسب سور القرآن، ج3،</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Amiri" w:hAnsi="Amiri" w:eastAsia="Amiri" w:cs="Amiri"/>
          <w:lang w:bidi="ar-SA"/>
          <w:color w:val="111111"/>
          <w:sz w:val="28"/>
          <w:szCs w:val="28"/>
          <w:rtl/>
        </w:rPr>
        <w:t xml:space="preserve">2 .ملاك التأويل القاطع بذوي الإلحاد و التعطيل في توجيه المتشابه اللفظ من آي التنزيل، ج 15</w:t>
      </w:r>
    </w:p>
    <w:p>
      <w:pPr>
        <w:pStyle w:val="BookText"/>
      </w:pPr>
      <w:r>
        <w:rPr>
          <w:rFonts w:ascii="IRNazanin" w:hAnsi="IRNazanin" w:eastAsia="IRNazanin" w:cs="IRNazanin"/>
          <w:lang w:bidi="fa-IR"/>
          <w:color w:val="111111"/>
          <w:sz w:val="28"/>
          <w:szCs w:val="28"/>
          <w:rtl/>
        </w:rPr>
        <w:t xml:space="preserve">ص 435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9" w:name="pg7742_69481"/>
    <w:bookmarkEnd w:id="69"/>
    <w:p>
      <w:pPr>
        <w:pStyle w:val="Heading2"/>
      </w:pPr>
      <w:bookmarkStart w:id="1328" w:name="_Toc430"/>
      <w:r>
        <w:t>ابن زبیر ، احمد بن علي - 563؟ ه-</w:t>
      </w:r>
      <w:bookmarkEnd w:id="1328"/>
    </w:p>
    <w:p>
      <w:pPr>
        <w:pStyle w:val="BookText"/>
      </w:pPr>
      <w:r>
        <w:rPr>
          <w:rFonts w:ascii="Amiri" w:hAnsi="Amiri" w:eastAsia="Amiri" w:cs="Amiri"/>
          <w:lang w:bidi="ar-SA"/>
          <w:color w:val="111111"/>
          <w:sz w:val="28"/>
          <w:szCs w:val="28"/>
          <w:rtl/>
        </w:rPr>
        <w:t xml:space="preserve">1 .المقامة الحصبية، ج 15، ص 315.</w:t>
      </w:r>
    </w:p>
    <w:p>
      <w:pPr>
        <w:pStyle w:val="BookText"/>
      </w:pPr>
      <w:r>
        <w:rPr>
          <w:rFonts w:ascii="Amiri" w:hAnsi="Amiri" w:eastAsia="Amiri" w:cs="Amiri"/>
          <w:lang w:bidi="ar-SA"/>
          <w:color w:val="111111"/>
          <w:sz w:val="28"/>
          <w:szCs w:val="28"/>
          <w:rtl/>
        </w:rPr>
        <w:t xml:space="preserve">2 .المقامة الحصبية( و شرحها)، ج 15 ،</w:t>
      </w:r>
    </w:p>
    <w:p>
      <w:pPr>
        <w:pStyle w:val="BookText"/>
      </w:pPr>
      <w:r>
        <w:rPr>
          <w:rFonts w:ascii="IRNazanin" w:hAnsi="IRNazanin" w:eastAsia="IRNazanin" w:cs="IRNazanin"/>
          <w:lang w:bidi="fa-IR"/>
          <w:color w:val="111111"/>
          <w:sz w:val="28"/>
          <w:szCs w:val="28"/>
          <w:rtl/>
        </w:rPr>
        <w:t xml:space="preserve">ص 315.</w:t>
      </w:r>
    </w:p>
    <w:p>
      <w:pPr>
        <w:pStyle w:val="Heading2"/>
      </w:pPr>
      <w:bookmarkStart w:id="1329" w:name="_Toc431"/>
      <w:r>
        <w:t>ابن زرقون ، محمّد بن سعيد 501؟ -</w:t>
      </w:r>
      <w:bookmarkEnd w:id="1329"/>
    </w:p>
    <w:p>
      <w:pPr>
        <w:pStyle w:val="BookText"/>
      </w:pPr>
      <w:r>
        <w:rPr>
          <w:rFonts w:ascii="IRNazanin" w:hAnsi="IRNazanin" w:eastAsia="IRNazanin" w:cs="IRNazanin"/>
          <w:lang w:bidi="fa-IR"/>
          <w:color w:val="111111"/>
          <w:sz w:val="28"/>
          <w:szCs w:val="28"/>
          <w:rtl/>
        </w:rPr>
        <w:t xml:space="preserve">586 ه-</w:t>
      </w:r>
    </w:p>
    <w:p>
      <w:pPr>
        <w:pStyle w:val="BookText"/>
      </w:pPr>
      <w:r>
        <w:rPr>
          <w:rFonts w:ascii="Amiri" w:hAnsi="Amiri" w:eastAsia="Amiri" w:cs="Amiri"/>
          <w:lang w:bidi="ar-SA"/>
          <w:color w:val="111111"/>
          <w:sz w:val="28"/>
          <w:szCs w:val="28"/>
          <w:rtl/>
        </w:rPr>
        <w:t xml:space="preserve">نور العين في تخليص سر الأمين و المامون - محمّد (ص)، ج 16، ص 563.</w:t>
      </w:r>
    </w:p>
    <w:p>
      <w:pPr>
        <w:pStyle w:val="BookText"/>
      </w:pPr>
      <w:r>
        <w:rPr>
          <w:rFonts w:ascii="IRNazanin" w:hAnsi="IRNazanin" w:eastAsia="IRNazanin" w:cs="IRNazanin"/>
          <w:lang w:bidi="fa-IR"/>
          <w:color w:val="111111"/>
          <w:sz w:val="28"/>
          <w:szCs w:val="28"/>
          <w:rtl/>
        </w:rPr>
        <w:t xml:space="preserve">ابن زروق، احمد بن احمد زروق ،</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ابن زريق ، علي بن عبدالله بغدادي</w:t>
      </w:r>
    </w:p>
    <w:p>
      <w:pPr>
        <w:pStyle w:val="BookText"/>
      </w:pPr>
      <w:r>
        <w:rPr>
          <w:rFonts w:ascii="Amiri" w:hAnsi="Amiri" w:eastAsia="Amiri" w:cs="Amiri"/>
          <w:lang w:bidi="ar-SA"/>
          <w:color w:val="111111"/>
          <w:sz w:val="28"/>
          <w:szCs w:val="28"/>
          <w:rtl/>
        </w:rPr>
        <w:t xml:space="preserve">علي بن عبدالله</w:t>
      </w:r>
    </w:p>
    <w:p>
      <w:pPr>
        <w:pStyle w:val="Heading2"/>
      </w:pPr>
      <w:bookmarkStart w:id="1330" w:name="_Toc432"/>
      <w:r>
        <w:t>ابن زريق محمّد بن عبد الرحمن -803ه-</w:t>
      </w:r>
      <w:bookmarkEnd w:id="1330"/>
    </w:p>
    <w:p>
      <w:pPr>
        <w:pStyle w:val="BookText"/>
      </w:pPr>
      <w:r>
        <w:rPr>
          <w:rFonts w:ascii="Amiri" w:hAnsi="Amiri" w:eastAsia="Amiri" w:cs="Amiri"/>
          <w:lang w:bidi="ar-SA"/>
          <w:color w:val="111111"/>
          <w:sz w:val="28"/>
          <w:szCs w:val="28"/>
          <w:rtl/>
        </w:rPr>
        <w:t xml:space="preserve">من تكلم فيه الدارقطني، ج 15 ،</w:t>
      </w:r>
    </w:p>
    <w:p>
      <w:pPr>
        <w:pStyle w:val="BookText"/>
      </w:pPr>
      <w:r>
        <w:rPr>
          <w:rFonts w:ascii="IRNazanin" w:hAnsi="IRNazanin" w:eastAsia="IRNazanin" w:cs="IRNazanin"/>
          <w:lang w:bidi="fa-IR"/>
          <w:color w:val="111111"/>
          <w:sz w:val="28"/>
          <w:szCs w:val="28"/>
          <w:rtl/>
        </w:rPr>
        <w:t xml:space="preserve">ص 634 .</w:t>
      </w:r>
    </w:p>
    <w:p>
      <w:pPr>
        <w:pStyle w:val="Heading2"/>
      </w:pPr>
      <w:bookmarkStart w:id="1331" w:name="_Toc433"/>
      <w:r>
        <w:t>ابن زريق ، محمّد بن علي - 977 ه-</w:t>
      </w:r>
      <w:bookmarkEnd w:id="1331"/>
    </w:p>
    <w:p>
      <w:pPr>
        <w:pStyle w:val="BookText"/>
      </w:pPr>
      <w:r>
        <w:rPr>
          <w:rFonts w:ascii="Amiri" w:hAnsi="Amiri" w:eastAsia="Amiri" w:cs="Amiri"/>
          <w:lang w:bidi="ar-SA"/>
          <w:color w:val="111111"/>
          <w:sz w:val="28"/>
          <w:szCs w:val="28"/>
          <w:rtl/>
        </w:rPr>
        <w:t xml:space="preserve">1 .الروض العاطر في تلخيص زيج ابن</w:t>
      </w:r>
    </w:p>
    <w:p>
      <w:pPr>
        <w:pStyle w:val="BookText"/>
      </w:pPr>
      <w:r>
        <w:rPr>
          <w:rFonts w:ascii="IRNazanin" w:hAnsi="IRNazanin" w:eastAsia="IRNazanin" w:cs="IRNazanin"/>
          <w:lang w:bidi="fa-IR"/>
          <w:color w:val="111111"/>
          <w:sz w:val="28"/>
          <w:szCs w:val="28"/>
          <w:rtl/>
        </w:rPr>
        <w:t xml:space="preserve">الشاطر، ج 8، ص 465.</w:t>
      </w:r>
    </w:p>
    <w:p>
      <w:pPr>
        <w:pStyle w:val="BookText"/>
      </w:pPr>
      <w:r>
        <w:rPr>
          <w:rFonts w:ascii="Amiri" w:hAnsi="Amiri" w:eastAsia="Amiri" w:cs="Amiri"/>
          <w:lang w:bidi="ar-SA"/>
          <w:color w:val="111111"/>
          <w:sz w:val="28"/>
          <w:szCs w:val="28"/>
          <w:rtl/>
        </w:rPr>
        <w:t xml:space="preserve">2.نشر المطيب في العمل بالربع المجيب، ج 16، ص289.</w:t>
      </w:r>
    </w:p>
    <w:p>
      <w:pPr>
        <w:pStyle w:val="Heading2"/>
      </w:pPr>
      <w:bookmarkStart w:id="1332" w:name="_Toc434"/>
      <w:r>
        <w:t>ابن زغدان، محمّد بن احمد 820-881ه-</w:t>
      </w:r>
      <w:bookmarkEnd w:id="1332"/>
    </w:p>
    <w:p>
      <w:pPr>
        <w:pStyle w:val="BookText"/>
      </w:pPr>
      <w:r>
        <w:rPr>
          <w:rFonts w:ascii="Amiri" w:hAnsi="Amiri" w:eastAsia="Amiri" w:cs="Amiri"/>
          <w:lang w:bidi="ar-SA"/>
          <w:color w:val="111111"/>
          <w:sz w:val="28"/>
          <w:szCs w:val="28"/>
          <w:rtl/>
        </w:rPr>
        <w:t xml:space="preserve">قرح الاسماع برخص السماع = اباحة</w:t>
      </w:r>
    </w:p>
    <w:p>
      <w:pPr>
        <w:pStyle w:val="BookText"/>
      </w:pPr>
      <w:r>
        <w:rPr>
          <w:rFonts w:ascii="IRNazanin" w:hAnsi="IRNazanin" w:eastAsia="IRNazanin" w:cs="IRNazanin"/>
          <w:lang w:bidi="fa-IR"/>
          <w:color w:val="111111"/>
          <w:sz w:val="28"/>
          <w:szCs w:val="28"/>
          <w:rtl/>
        </w:rPr>
        <w:t xml:space="preserve">السماع والغناء، ج 12، ص 578.</w:t>
      </w:r>
    </w:p>
    <w:p>
      <w:pPr>
        <w:pStyle w:val="BookText"/>
      </w:pPr>
      <w:r>
        <w:rPr>
          <w:rFonts w:ascii="IRNazanin" w:hAnsi="IRNazanin" w:eastAsia="IRNazanin" w:cs="IRNazanin"/>
          <w:lang w:bidi="fa-IR"/>
          <w:color w:val="111111"/>
          <w:sz w:val="28"/>
          <w:szCs w:val="28"/>
          <w:rtl/>
        </w:rPr>
        <w:t xml:space="preserve">ابن زغنون- ابن زغدان ، محمّد بن احمد</w:t>
      </w:r>
    </w:p>
    <w:p>
      <w:pPr>
        <w:pStyle w:val="Heading2"/>
      </w:pPr>
      <w:bookmarkStart w:id="1333" w:name="_Toc435"/>
      <w:r>
        <w:t>ابن زقاعه ، ابراهيم بن محمد 745؟ -</w:t>
      </w:r>
      <w:bookmarkEnd w:id="1333"/>
    </w:p>
    <w:p>
      <w:pPr>
        <w:pStyle w:val="BookText"/>
      </w:pPr>
      <w:r>
        <w:rPr>
          <w:rFonts w:ascii="IRNazanin" w:hAnsi="IRNazanin" w:eastAsia="IRNazanin" w:cs="IRNazanin"/>
          <w:lang w:bidi="fa-IR"/>
          <w:color w:val="111111"/>
          <w:sz w:val="28"/>
          <w:szCs w:val="28"/>
          <w:rtl/>
        </w:rPr>
        <w:t xml:space="preserve">816ه-</w:t>
      </w:r>
    </w:p>
    <w:p>
      <w:pPr>
        <w:pStyle w:val="BookText"/>
      </w:pPr>
      <w:r>
        <w:rPr>
          <w:rFonts w:ascii="Amiri" w:hAnsi="Amiri" w:eastAsia="Amiri" w:cs="Amiri"/>
          <w:lang w:bidi="ar-SA"/>
          <w:color w:val="111111"/>
          <w:sz w:val="28"/>
          <w:szCs w:val="28"/>
          <w:rtl/>
        </w:rPr>
        <w:t xml:space="preserve">1 .ارجوزة، ج 1، ص 761 .</w:t>
      </w:r>
    </w:p>
    <w:p>
      <w:pPr>
        <w:pStyle w:val="BookText"/>
      </w:pPr>
      <w:r>
        <w:rPr>
          <w:rFonts w:ascii="Amiri" w:hAnsi="Amiri" w:eastAsia="Amiri" w:cs="Amiri"/>
          <w:lang w:bidi="ar-SA"/>
          <w:color w:val="111111"/>
          <w:sz w:val="28"/>
          <w:szCs w:val="28"/>
          <w:rtl/>
        </w:rPr>
        <w:t xml:space="preserve">2 .تقريض ج4، ص777</w:t>
      </w:r>
    </w:p>
    <w:p>
      <w:pPr>
        <w:pStyle w:val="BookText"/>
      </w:pPr>
      <w:r>
        <w:rPr>
          <w:rFonts w:ascii="Amiri" w:hAnsi="Amiri" w:eastAsia="Amiri" w:cs="Amiri"/>
          <w:lang w:bidi="ar-SA"/>
          <w:color w:val="111111"/>
          <w:sz w:val="28"/>
          <w:szCs w:val="28"/>
          <w:rtl/>
        </w:rPr>
        <w:t xml:space="preserve">ابن زكريا ، احمد بن محمّد- ابن زكري</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334" w:name="_Toc436"/>
      <w:r>
        <w:t>ابن زكري ، احمد بن محمّد - 900 ه-</w:t>
      </w:r>
      <w:bookmarkEnd w:id="1334"/>
    </w:p>
    <w:p>
      <w:pPr>
        <w:pStyle w:val="BookText"/>
      </w:pPr>
      <w:r>
        <w:rPr>
          <w:rFonts w:ascii="Amiri" w:hAnsi="Amiri" w:eastAsia="Amiri" w:cs="Amiri"/>
          <w:lang w:bidi="ar-SA"/>
          <w:color w:val="111111"/>
          <w:sz w:val="28"/>
          <w:szCs w:val="28"/>
          <w:rtl/>
        </w:rPr>
        <w:t xml:space="preserve">بغية الطالب في شرح عقيدة ابن</w:t>
      </w:r>
    </w:p>
    <w:p>
      <w:pPr>
        <w:pStyle w:val="BookText"/>
      </w:pPr>
      <w:r>
        <w:rPr>
          <w:rFonts w:ascii="IRNazanin" w:hAnsi="IRNazanin" w:eastAsia="IRNazanin" w:cs="IRNazanin"/>
          <w:lang w:bidi="fa-IR"/>
          <w:color w:val="111111"/>
          <w:sz w:val="28"/>
          <w:szCs w:val="28"/>
          <w:rtl/>
        </w:rPr>
        <w:t xml:space="preserve">الحاجب، ج 3، ص 368.</w:t>
      </w:r>
    </w:p>
    <w:p>
      <w:pPr>
        <w:pStyle w:val="Heading2"/>
      </w:pPr>
      <w:bookmarkStart w:id="1335" w:name="_Toc437"/>
      <w:r>
        <w:t>ابن زكري ، محمّد بن عبدالرحمن</w:t>
      </w:r>
      <w:bookmarkEnd w:id="1335"/>
    </w:p>
    <w:p>
      <w:pPr>
        <w:pStyle w:val="BookText"/>
      </w:pPr>
      <w:r>
        <w:rPr>
          <w:rFonts w:ascii="IRNazanin" w:hAnsi="IRNazanin" w:eastAsia="IRNazanin" w:cs="IRNazanin"/>
          <w:lang w:bidi="fa-IR"/>
          <w:color w:val="111111"/>
          <w:sz w:val="28"/>
          <w:szCs w:val="28"/>
          <w:rtl/>
        </w:rPr>
        <w:t xml:space="preserve">1144ه-</w:t>
      </w:r>
    </w:p>
    <w:p>
      <w:pPr>
        <w:pStyle w:val="BookText"/>
      </w:pPr>
      <w:r>
        <w:rPr>
          <w:rFonts w:ascii="Amiri" w:hAnsi="Amiri" w:eastAsia="Amiri" w:cs="Amiri"/>
          <w:lang w:bidi="ar-SA"/>
          <w:color w:val="111111"/>
          <w:sz w:val="28"/>
          <w:szCs w:val="28"/>
          <w:rtl/>
        </w:rPr>
        <w:t xml:space="preserve">منقذ البعيد لمنقذ العبيد، ج 15</w:t>
      </w:r>
    </w:p>
    <w:p>
      <w:pPr>
        <w:pStyle w:val="BookText"/>
      </w:pPr>
      <w:r>
        <w:rPr>
          <w:rFonts w:ascii="IRNazanin" w:hAnsi="IRNazanin" w:eastAsia="IRNazanin" w:cs="IRNazanin"/>
          <w:lang w:bidi="fa-IR"/>
          <w:color w:val="111111"/>
          <w:sz w:val="28"/>
          <w:szCs w:val="28"/>
          <w:rtl/>
        </w:rPr>
        <w:t xml:space="preserve">ص 733.</w:t>
      </w:r>
    </w:p>
    <w:p>
      <w:pPr>
        <w:pStyle w:val="Heading2"/>
      </w:pPr>
      <w:bookmarkStart w:id="1336" w:name="_Toc438"/>
      <w:r>
        <w:t>ابن زماخ ، يوسف بن سيف الدولة 602</w:t>
      </w:r>
      <w:bookmarkEnd w:id="13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670؟ ه-</w:t>
      </w:r>
    </w:p>
    <w:p>
      <w:pPr>
        <w:pStyle w:val="BookText"/>
      </w:pPr>
      <w:r>
        <w:rPr>
          <w:rFonts w:ascii="Amiri" w:hAnsi="Amiri" w:eastAsia="Amiri" w:cs="Amiri"/>
          <w:lang w:bidi="ar-SA"/>
          <w:color w:val="111111"/>
          <w:sz w:val="28"/>
          <w:szCs w:val="28"/>
          <w:rtl/>
        </w:rPr>
        <w:t xml:space="preserve">ازالة الالتباس في الفرق بين الاشتقاق</w:t>
      </w:r>
    </w:p>
    <w:p>
      <w:pPr>
        <w:pStyle w:val="BookText"/>
      </w:pPr>
      <w:r>
        <w:rPr>
          <w:rFonts w:ascii="IRNazanin" w:hAnsi="IRNazanin" w:eastAsia="IRNazanin" w:cs="IRNazanin"/>
          <w:lang w:bidi="fa-IR"/>
          <w:color w:val="111111"/>
          <w:sz w:val="28"/>
          <w:szCs w:val="28"/>
          <w:rtl/>
        </w:rPr>
        <w:t xml:space="preserve">ج 2، ص 62.</w:t>
      </w:r>
    </w:p>
    <w:p>
      <w:pPr>
        <w:pStyle w:val="Heading2"/>
      </w:pPr>
      <w:bookmarkStart w:id="1337" w:name="_Toc439"/>
      <w:r>
        <w:t>ابن زملكاني ، محمّد بن علي، 667-727ه-</w:t>
      </w:r>
      <w:bookmarkEnd w:id="1337"/>
    </w:p>
    <w:p>
      <w:pPr>
        <w:pStyle w:val="BookText"/>
      </w:pPr>
      <w:r>
        <w:rPr>
          <w:rFonts w:ascii="Amiri" w:hAnsi="Amiri" w:eastAsia="Amiri" w:cs="Amiri"/>
          <w:lang w:bidi="ar-SA"/>
          <w:color w:val="111111"/>
          <w:sz w:val="28"/>
          <w:szCs w:val="28"/>
          <w:rtl/>
        </w:rPr>
        <w:t xml:space="preserve">عجالة الراكب في ذكر اشرف المناقب</w:t>
      </w:r>
    </w:p>
    <w:p>
      <w:pPr>
        <w:pStyle w:val="BookText"/>
      </w:pPr>
      <w:r>
        <w:rPr>
          <w:rFonts w:ascii="IRNazanin" w:hAnsi="IRNazanin" w:eastAsia="IRNazanin" w:cs="IRNazanin"/>
          <w:lang w:bidi="fa-IR"/>
          <w:color w:val="111111"/>
          <w:sz w:val="28"/>
          <w:szCs w:val="28"/>
          <w:rtl/>
        </w:rPr>
        <w:t xml:space="preserve">ج 11، ص 24.</w:t>
      </w:r>
    </w:p>
    <w:p>
      <w:pPr>
        <w:pStyle w:val="Heading2"/>
      </w:pPr>
      <w:bookmarkStart w:id="1338" w:name="_Toc440"/>
      <w:r>
        <w:t>ابن زنبل ، احمد بن علي - 980 ؟ ه-</w:t>
      </w:r>
      <w:bookmarkEnd w:id="1338"/>
    </w:p>
    <w:p>
      <w:pPr>
        <w:pStyle w:val="BookText"/>
      </w:pPr>
      <w:r>
        <w:rPr>
          <w:rFonts w:ascii="Amiri" w:hAnsi="Amiri" w:eastAsia="Amiri" w:cs="Amiri"/>
          <w:lang w:bidi="ar-SA"/>
          <w:color w:val="111111"/>
          <w:sz w:val="28"/>
          <w:szCs w:val="28"/>
          <w:rtl/>
        </w:rPr>
        <w:t xml:space="preserve">تحفة الملوك و الرغائب لما في البر</w:t>
      </w:r>
    </w:p>
    <w:p>
      <w:pPr>
        <w:pStyle w:val="BookText"/>
      </w:pPr>
      <w:r>
        <w:rPr>
          <w:rFonts w:ascii="IRNazanin" w:hAnsi="IRNazanin" w:eastAsia="IRNazanin" w:cs="IRNazanin"/>
          <w:lang w:bidi="fa-IR"/>
          <w:color w:val="111111"/>
          <w:sz w:val="28"/>
          <w:szCs w:val="28"/>
          <w:rtl/>
        </w:rPr>
        <w:t xml:space="preserve">والبحر من العجائب والغرائب، ج 4،</w:t>
      </w:r>
    </w:p>
    <w:p>
      <w:pPr>
        <w:pStyle w:val="BookText"/>
      </w:pPr>
      <w:r>
        <w:rPr>
          <w:rFonts w:ascii="IRNazanin" w:hAnsi="IRNazanin" w:eastAsia="IRNazanin" w:cs="IRNazanin"/>
          <w:lang w:bidi="fa-IR"/>
          <w:color w:val="111111"/>
          <w:sz w:val="28"/>
          <w:szCs w:val="28"/>
          <w:rtl/>
        </w:rPr>
        <w:t xml:space="preserve">ص 32.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0" w:name="pg7742_69483"/>
    <w:bookmarkEnd w:id="70"/>
    <w:p>
      <w:pPr>
        <w:pStyle w:val="Heading2"/>
      </w:pPr>
      <w:bookmarkStart w:id="1339" w:name="_Toc441"/>
      <w:r>
        <w:t>ابن زهرة ،تاج الدين بن محمّد - 753 ه-</w:t>
      </w:r>
      <w:bookmarkEnd w:id="1339"/>
    </w:p>
    <w:p>
      <w:pPr>
        <w:pStyle w:val="BookText"/>
      </w:pPr>
      <w:r>
        <w:rPr>
          <w:rFonts w:ascii="Amiri" w:hAnsi="Amiri" w:eastAsia="Amiri" w:cs="Amiri"/>
          <w:lang w:bidi="ar-SA"/>
          <w:color w:val="111111"/>
          <w:sz w:val="28"/>
          <w:szCs w:val="28"/>
          <w:rtl/>
        </w:rPr>
        <w:t xml:space="preserve">غاية الاختصار في اخبار البيوتات العلويه المحفوظه من الغبار، ج11،</w:t>
      </w:r>
    </w:p>
    <w:p>
      <w:pPr>
        <w:pStyle w:val="BookText"/>
      </w:pPr>
      <w:r>
        <w:rPr>
          <w:rFonts w:ascii="IRNazanin" w:hAnsi="IRNazanin" w:eastAsia="IRNazanin" w:cs="IRNazanin"/>
          <w:lang w:bidi="fa-IR"/>
          <w:color w:val="111111"/>
          <w:sz w:val="28"/>
          <w:szCs w:val="28"/>
          <w:rtl/>
        </w:rPr>
        <w:t xml:space="preserve">ص 427.</w:t>
      </w:r>
    </w:p>
    <w:p>
      <w:pPr>
        <w:pStyle w:val="Heading2"/>
      </w:pPr>
      <w:bookmarkStart w:id="1340" w:name="_Toc442"/>
      <w:r>
        <w:t>ابن زهره ، محمّد بن عبد الله، 564-636ه-</w:t>
      </w:r>
      <w:bookmarkEnd w:id="1340"/>
    </w:p>
    <w:p>
      <w:pPr>
        <w:pStyle w:val="BookText"/>
      </w:pPr>
      <w:r>
        <w:rPr>
          <w:rFonts w:ascii="Amiri" w:hAnsi="Amiri" w:eastAsia="Amiri" w:cs="Amiri"/>
          <w:lang w:bidi="ar-SA"/>
          <w:color w:val="111111"/>
          <w:sz w:val="28"/>
          <w:szCs w:val="28"/>
          <w:rtl/>
        </w:rPr>
        <w:t xml:space="preserve">الاربعون حديثاً في حقوق الاخوان</w:t>
      </w:r>
    </w:p>
    <w:p>
      <w:pPr>
        <w:pStyle w:val="BookText"/>
      </w:pPr>
      <w:r>
        <w:rPr>
          <w:rFonts w:ascii="IRNazanin" w:hAnsi="IRNazanin" w:eastAsia="IRNazanin" w:cs="IRNazanin"/>
          <w:lang w:bidi="fa-IR"/>
          <w:color w:val="111111"/>
          <w:sz w:val="28"/>
          <w:szCs w:val="28"/>
          <w:rtl/>
        </w:rPr>
        <w:t xml:space="preserve">ج 1، ص 724.</w:t>
      </w:r>
    </w:p>
    <w:p>
      <w:pPr>
        <w:pStyle w:val="Heading2"/>
      </w:pPr>
      <w:bookmarkStart w:id="1341" w:name="_Toc443"/>
      <w:r>
        <w:t>ابن زهرة عبد اللطيف بن جعفر، قرن 12ه-</w:t>
      </w:r>
      <w:bookmarkEnd w:id="1341"/>
    </w:p>
    <w:p>
      <w:pPr>
        <w:pStyle w:val="BookText"/>
      </w:pPr>
      <w:r>
        <w:rPr>
          <w:rFonts w:ascii="Amiri" w:hAnsi="Amiri" w:eastAsia="Amiri" w:cs="Amiri"/>
          <w:lang w:bidi="ar-SA"/>
          <w:color w:val="111111"/>
          <w:sz w:val="28"/>
          <w:szCs w:val="28"/>
          <w:rtl/>
        </w:rPr>
        <w:t xml:space="preserve">شرح خلاصة الحساب، ج 9، ص 445.</w:t>
      </w:r>
    </w:p>
    <w:p>
      <w:pPr>
        <w:pStyle w:val="BookText"/>
      </w:pPr>
      <w:r>
        <w:rPr>
          <w:rFonts w:ascii="Amiri" w:hAnsi="Amiri" w:eastAsia="Amiri" w:cs="Amiri"/>
          <w:lang w:bidi="ar-SA"/>
          <w:color w:val="111111"/>
          <w:sz w:val="28"/>
          <w:szCs w:val="28"/>
          <w:rtl/>
        </w:rPr>
        <w:t xml:space="preserve">بن علي</w:t>
      </w:r>
    </w:p>
    <w:p>
      <w:pPr>
        <w:pStyle w:val="Heading2"/>
      </w:pPr>
      <w:bookmarkStart w:id="1342" w:name="_Toc444"/>
      <w:r>
        <w:t>ابن زهره حلبي ، محمّد بن عبدالله، 565</w:t>
      </w:r>
      <w:bookmarkEnd w:id="13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639 ه-</w:t>
      </w:r>
    </w:p>
    <w:p>
      <w:pPr>
        <w:pStyle w:val="Heading2"/>
      </w:pPr>
      <w:bookmarkStart w:id="1343" w:name="_Toc445"/>
      <w:r>
        <w:t>ابن زهره ، حمزة بن علي، 4511 - 585 ه-</w:t>
      </w:r>
      <w:bookmarkEnd w:id="1343"/>
    </w:p>
    <w:p>
      <w:pPr>
        <w:pStyle w:val="BookText"/>
      </w:pPr>
      <w:r>
        <w:rPr>
          <w:rFonts w:ascii="Amiri" w:hAnsi="Amiri" w:eastAsia="Amiri" w:cs="Amiri"/>
          <w:lang w:bidi="ar-SA"/>
          <w:color w:val="111111"/>
          <w:sz w:val="28"/>
          <w:szCs w:val="28"/>
          <w:rtl/>
        </w:rPr>
        <w:t xml:space="preserve">غنية النزوع إلى علمي الاصول و</w:t>
      </w:r>
    </w:p>
    <w:p>
      <w:pPr>
        <w:pStyle w:val="BookText"/>
      </w:pPr>
      <w:r>
        <w:rPr>
          <w:rFonts w:ascii="Amiri" w:hAnsi="Amiri" w:eastAsia="Amiri" w:cs="Amiri"/>
          <w:lang w:bidi="ar-SA"/>
          <w:color w:val="111111"/>
          <w:sz w:val="28"/>
          <w:szCs w:val="28"/>
          <w:rtl/>
        </w:rPr>
        <w:t xml:space="preserve">الفروع = الغنية، ج 11، ص 535.</w:t>
      </w:r>
    </w:p>
    <w:p>
      <w:pPr>
        <w:pStyle w:val="BookText"/>
      </w:pPr>
      <w:r>
        <w:rPr>
          <w:rFonts w:ascii="Amiri" w:hAnsi="Amiri" w:eastAsia="Amiri" w:cs="Amiri"/>
          <w:lang w:bidi="ar-SA"/>
          <w:color w:val="111111"/>
          <w:sz w:val="28"/>
          <w:szCs w:val="28"/>
          <w:rtl/>
        </w:rPr>
        <w:t xml:space="preserve">ابن زهير ، كعب بن زهير- كعب بن زهير</w:t>
      </w:r>
    </w:p>
    <w:p>
      <w:pPr>
        <w:pStyle w:val="BookText"/>
      </w:pPr>
      <w:r>
        <w:rPr>
          <w:rFonts w:ascii="Amiri" w:hAnsi="Amiri" w:eastAsia="Amiri" w:cs="Amiri"/>
          <w:lang w:bidi="ar-SA"/>
          <w:color w:val="111111"/>
          <w:sz w:val="28"/>
          <w:szCs w:val="28"/>
          <w:rtl/>
        </w:rPr>
        <w:t xml:space="preserve">ابن زوجة ابي عذيبة ، احمد بن محمّد -ابن ابي عذيبة ، احمد بن محمّد</w:t>
      </w:r>
    </w:p>
    <w:p>
      <w:pPr>
        <w:pStyle w:val="Heading2"/>
      </w:pPr>
      <w:bookmarkStart w:id="1344" w:name="_Toc446"/>
      <w:r>
        <w:t>ابن زولاق ، حسن بن ابراهيم 306 -</w:t>
      </w:r>
      <w:bookmarkEnd w:id="1344"/>
    </w:p>
    <w:p>
      <w:pPr>
        <w:pStyle w:val="BookText"/>
      </w:pPr>
      <w:r>
        <w:rPr>
          <w:rFonts w:ascii="IRNazanin" w:hAnsi="IRNazanin" w:eastAsia="IRNazanin" w:cs="IRNazanin"/>
          <w:lang w:bidi="fa-IR"/>
          <w:color w:val="111111"/>
          <w:sz w:val="28"/>
          <w:szCs w:val="28"/>
          <w:rtl/>
        </w:rPr>
        <w:t xml:space="preserve">386ه-</w:t>
      </w:r>
    </w:p>
    <w:p>
      <w:pPr>
        <w:pStyle w:val="BookText"/>
      </w:pPr>
      <w:r>
        <w:rPr>
          <w:rFonts w:ascii="IRNazanin" w:hAnsi="IRNazanin" w:eastAsia="IRNazanin" w:cs="IRNazanin"/>
          <w:lang w:bidi="fa-IR"/>
          <w:color w:val="111111"/>
          <w:sz w:val="28"/>
          <w:szCs w:val="28"/>
          <w:rtl/>
        </w:rPr>
        <w:t xml:space="preserve">تاریخ مصر و اخبارها، ج 3، ص 606.</w:t>
      </w:r>
    </w:p>
    <w:p>
      <w:pPr>
        <w:pStyle w:val="Heading2"/>
      </w:pPr>
      <w:bookmarkStart w:id="1345" w:name="_Toc447"/>
      <w:r>
        <w:t>ابن زیات احمد بن حسن، 2649-728ه-</w:t>
      </w:r>
      <w:bookmarkEnd w:id="1345"/>
    </w:p>
    <w:p>
      <w:pPr>
        <w:pStyle w:val="BookText"/>
      </w:pPr>
      <w:r>
        <w:rPr>
          <w:rFonts w:ascii="Amiri" w:hAnsi="Amiri" w:eastAsia="Amiri" w:cs="Amiri"/>
          <w:lang w:bidi="ar-SA"/>
          <w:color w:val="111111"/>
          <w:sz w:val="28"/>
          <w:szCs w:val="28"/>
          <w:rtl/>
        </w:rPr>
        <w:t xml:space="preserve">تاريخ الادب العربي، ج 3، ص 545 .</w:t>
      </w:r>
    </w:p>
    <w:p>
      <w:pPr>
        <w:pStyle w:val="Heading2"/>
      </w:pPr>
      <w:bookmarkStart w:id="1346" w:name="_Toc448"/>
      <w:r>
        <w:t>ابن زيات ، محمّد بن محمّد - 805؟ ه-</w:t>
      </w:r>
      <w:bookmarkEnd w:id="1346"/>
    </w:p>
    <w:p>
      <w:pPr>
        <w:pStyle w:val="BookText"/>
      </w:pPr>
      <w:r>
        <w:rPr>
          <w:rFonts w:ascii="Amiri" w:hAnsi="Amiri" w:eastAsia="Amiri" w:cs="Amiri"/>
          <w:lang w:bidi="ar-SA"/>
          <w:color w:val="111111"/>
          <w:sz w:val="28"/>
          <w:szCs w:val="28"/>
          <w:rtl/>
        </w:rPr>
        <w:t xml:space="preserve">الكواكب السيارة في ترتيب الزيارة في</w:t>
      </w:r>
    </w:p>
    <w:p>
      <w:pPr>
        <w:pStyle w:val="BookText"/>
      </w:pPr>
      <w:r>
        <w:rPr>
          <w:rFonts w:ascii="Amiri" w:hAnsi="Amiri" w:eastAsia="Amiri" w:cs="Amiri"/>
          <w:lang w:bidi="ar-SA"/>
          <w:color w:val="111111"/>
          <w:sz w:val="28"/>
          <w:szCs w:val="28"/>
          <w:rtl/>
        </w:rPr>
        <w:t xml:space="preserve">القرافتين، ج 13، ص 467.</w:t>
      </w:r>
    </w:p>
    <w:p>
      <w:pPr>
        <w:pStyle w:val="BookText"/>
      </w:pPr>
      <w:r>
        <w:rPr>
          <w:rFonts w:ascii="IRNazanin" w:hAnsi="IRNazanin" w:eastAsia="IRNazanin" w:cs="IRNazanin"/>
          <w:lang w:bidi="fa-IR"/>
          <w:color w:val="111111"/>
          <w:sz w:val="28"/>
          <w:szCs w:val="28"/>
          <w:rtl/>
        </w:rPr>
        <w:t xml:space="preserve">ابن زياد، احمد بن علي- عبدري ، احمد بن علی</w:t>
      </w:r>
    </w:p>
    <w:p>
      <w:pPr>
        <w:pStyle w:val="Heading2"/>
      </w:pPr>
      <w:bookmarkStart w:id="1347" w:name="_Toc449"/>
      <w:r>
        <w:t>ابن زياد اعرجي ، احمد بن محمّد</w:t>
      </w:r>
      <w:bookmarkEnd w:id="1347"/>
    </w:p>
    <w:p>
      <w:pPr>
        <w:pStyle w:val="BookText"/>
      </w:pPr>
      <w:r>
        <w:rPr>
          <w:rFonts w:ascii="IRNazanin" w:hAnsi="IRNazanin" w:eastAsia="IRNazanin" w:cs="IRNazanin"/>
          <w:lang w:bidi="fa-IR"/>
          <w:color w:val="111111"/>
          <w:sz w:val="28"/>
          <w:szCs w:val="28"/>
          <w:rtl/>
        </w:rPr>
        <w:t xml:space="preserve">المعجم، ج 15 ، ص 11.</w:t>
      </w:r>
    </w:p>
    <w:p>
      <w:pPr>
        <w:pStyle w:val="BookText"/>
      </w:pPr>
      <w:r>
        <w:rPr>
          <w:rFonts w:ascii="Amiri" w:hAnsi="Amiri" w:eastAsia="Amiri" w:cs="Amiri"/>
          <w:lang w:bidi="ar-SA"/>
          <w:color w:val="111111"/>
          <w:sz w:val="28"/>
          <w:szCs w:val="28"/>
          <w:rtl/>
        </w:rPr>
        <w:t xml:space="preserve">الاربعون حديثا = الاربعون في حقوق</w:t>
      </w:r>
    </w:p>
    <w:p>
      <w:pPr>
        <w:pStyle w:val="BookText"/>
      </w:pPr>
      <w:r>
        <w:rPr>
          <w:rFonts w:ascii="IRNazanin" w:hAnsi="IRNazanin" w:eastAsia="IRNazanin" w:cs="IRNazanin"/>
          <w:lang w:bidi="fa-IR"/>
          <w:color w:val="111111"/>
          <w:sz w:val="28"/>
          <w:szCs w:val="28"/>
          <w:rtl/>
        </w:rPr>
        <w:t xml:space="preserve">الاخوان، ج 1، ص 683.</w:t>
      </w:r>
    </w:p>
    <w:p>
      <w:pPr>
        <w:pStyle w:val="BookText"/>
      </w:pPr>
      <w:r>
        <w:rPr>
          <w:rFonts w:ascii="Amiri" w:hAnsi="Amiri" w:eastAsia="Amiri" w:cs="Amiri"/>
          <w:lang w:bidi="ar-SA"/>
          <w:color w:val="111111"/>
          <w:sz w:val="28"/>
          <w:szCs w:val="28"/>
          <w:rtl/>
        </w:rPr>
        <w:t xml:space="preserve">ابن زياد شقصي عبدالله بن عمر -شقصي ،</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Amiri" w:hAnsi="Amiri" w:eastAsia="Amiri" w:cs="Amiri"/>
          <w:lang w:bidi="ar-SA"/>
          <w:color w:val="111111"/>
          <w:sz w:val="28"/>
          <w:szCs w:val="28"/>
          <w:rtl/>
        </w:rPr>
        <w:t xml:space="preserve">ابن زياد ميورقي عبدري ، احمد بن علي</w:t>
      </w:r>
    </w:p>
    <w:p>
      <w:pPr>
        <w:pStyle w:val="Heading2"/>
      </w:pPr>
      <w:bookmarkStart w:id="1348" w:name="_Toc450"/>
      <w:r>
        <w:t>ابن زياد نيشابوري ، عبدالله بن محمّد</w:t>
      </w:r>
      <w:bookmarkEnd w:id="1348"/>
    </w:p>
    <w:p>
      <w:pPr>
        <w:pStyle w:val="BookText"/>
      </w:pPr>
      <w:r>
        <w:rPr>
          <w:rFonts w:ascii="IRNazanin" w:hAnsi="IRNazanin" w:eastAsia="IRNazanin" w:cs="IRNazanin"/>
          <w:lang w:bidi="fa-IR"/>
          <w:color w:val="111111"/>
          <w:sz w:val="28"/>
          <w:szCs w:val="28"/>
          <w:rtl/>
        </w:rPr>
        <w:t xml:space="preserve">23 - 324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الزيادات في كتاب المزني، ج8،</w:t>
      </w:r>
    </w:p>
    <w:p>
      <w:pPr>
        <w:pStyle w:val="BookText"/>
      </w:pPr>
      <w:r>
        <w:rPr>
          <w:rFonts w:ascii="IRNazanin" w:hAnsi="IRNazanin" w:eastAsia="IRNazanin" w:cs="IRNazanin"/>
          <w:lang w:bidi="fa-IR"/>
          <w:color w:val="111111"/>
          <w:sz w:val="28"/>
          <w:szCs w:val="28"/>
          <w:rtl/>
        </w:rPr>
        <w:t xml:space="preserve">ص 646.</w:t>
      </w:r>
    </w:p>
    <w:p>
      <w:pPr>
        <w:pStyle w:val="BookText"/>
      </w:pPr>
      <w:r>
        <w:rPr>
          <w:rFonts w:ascii="IRNazanin" w:hAnsi="IRNazanin" w:eastAsia="IRNazanin" w:cs="IRNazanin"/>
          <w:lang w:bidi="fa-IR"/>
          <w:color w:val="111111"/>
          <w:sz w:val="28"/>
          <w:szCs w:val="28"/>
          <w:rtl/>
        </w:rPr>
        <w:t xml:space="preserve">2 .الفوائد، ج 12، ص 167.</w:t>
      </w:r>
    </w:p>
    <w:p>
      <w:pPr>
        <w:pStyle w:val="BookText"/>
      </w:pPr>
      <w:r>
        <w:rPr>
          <w:rFonts w:ascii="Amiri" w:hAnsi="Amiri" w:eastAsia="Amiri" w:cs="Amiri"/>
          <w:lang w:bidi="ar-SA"/>
          <w:color w:val="111111"/>
          <w:sz w:val="28"/>
          <w:szCs w:val="28"/>
          <w:rtl/>
        </w:rPr>
        <w:t xml:space="preserve">ابن زيدان حكمي ، عماره بن علي عماره</w:t>
      </w:r>
    </w:p>
    <w:p>
      <w:pPr>
        <w:pStyle w:val="BookText"/>
      </w:pPr>
      <w:r>
        <w:rPr>
          <w:rFonts w:ascii="Amiri" w:hAnsi="Amiri" w:eastAsia="Amiri" w:cs="Amiri"/>
          <w:lang w:bidi="ar-SA"/>
          <w:color w:val="111111"/>
          <w:sz w:val="28"/>
          <w:szCs w:val="28"/>
          <w:rtl/>
        </w:rPr>
        <w:t xml:space="preserve">يمني ، عمارة بن علي</w:t>
      </w:r>
    </w:p>
    <w:p>
      <w:pPr>
        <w:pStyle w:val="Heading2"/>
      </w:pPr>
      <w:bookmarkStart w:id="1349" w:name="_Toc451"/>
      <w:r>
        <w:t>ابن زيدون ، احمد بن عبدالله 394 -</w:t>
      </w:r>
      <w:bookmarkEnd w:id="1349"/>
    </w:p>
    <w:p>
      <w:pPr>
        <w:pStyle w:val="BookText"/>
      </w:pPr>
      <w:r>
        <w:rPr>
          <w:rFonts w:ascii="IRNazanin" w:hAnsi="IRNazanin" w:eastAsia="IRNazanin" w:cs="IRNazanin"/>
          <w:lang w:bidi="fa-IR"/>
          <w:color w:val="111111"/>
          <w:sz w:val="28"/>
          <w:szCs w:val="28"/>
          <w:rtl/>
        </w:rPr>
        <w:t xml:space="preserve">463 ه-</w:t>
      </w:r>
    </w:p>
    <w:p>
      <w:pPr>
        <w:pStyle w:val="BookText"/>
      </w:pPr>
      <w:r>
        <w:rPr>
          <w:rFonts w:ascii="IRNazanin" w:hAnsi="IRNazanin" w:eastAsia="IRNazanin" w:cs="IRNazanin"/>
          <w:lang w:bidi="fa-IR"/>
          <w:color w:val="111111"/>
          <w:sz w:val="28"/>
          <w:szCs w:val="28"/>
          <w:rtl/>
        </w:rPr>
        <w:t xml:space="preserve">1 رسالة ابن زيدون إلى ابن جهور = نامه ابن زیدون به ابن جهور، ج8،</w:t>
      </w:r>
    </w:p>
    <w:p>
      <w:pPr>
        <w:pStyle w:val="BookText"/>
      </w:pPr>
      <w:r>
        <w:rPr>
          <w:rFonts w:ascii="IRNazanin" w:hAnsi="IRNazanin" w:eastAsia="IRNazanin" w:cs="IRNazanin"/>
          <w:lang w:bidi="fa-IR"/>
          <w:color w:val="111111"/>
          <w:sz w:val="28"/>
          <w:szCs w:val="28"/>
          <w:rtl/>
        </w:rPr>
        <w:t xml:space="preserve">ص 158 .</w:t>
      </w:r>
    </w:p>
    <w:p>
      <w:pPr>
        <w:pStyle w:val="BookText"/>
      </w:pPr>
      <w:r>
        <w:rPr>
          <w:rFonts w:ascii="Amiri" w:hAnsi="Amiri" w:eastAsia="Amiri" w:cs="Amiri"/>
          <w:lang w:bidi="ar-SA"/>
          <w:color w:val="111111"/>
          <w:sz w:val="28"/>
          <w:szCs w:val="28"/>
          <w:rtl/>
        </w:rPr>
        <w:t xml:space="preserve">2 الرسالة الهزلية = رسالة من زيدون</w:t>
      </w:r>
    </w:p>
    <w:p>
      <w:pPr>
        <w:pStyle w:val="BookText"/>
      </w:pPr>
      <w:r>
        <w:rPr>
          <w:rFonts w:ascii="IRNazanin" w:hAnsi="IRNazanin" w:eastAsia="IRNazanin" w:cs="IRNazanin"/>
          <w:lang w:bidi="fa-IR"/>
          <w:color w:val="111111"/>
          <w:sz w:val="28"/>
          <w:szCs w:val="28"/>
          <w:rtl/>
        </w:rPr>
        <w:t xml:space="preserve">إلى ابن عبدوس، ج8، ص291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1" w:name="pg7742_69485"/>
    <w:bookmarkEnd w:id="71"/>
    <w:p>
      <w:pPr>
        <w:pStyle w:val="Heading2"/>
      </w:pPr>
      <w:bookmarkStart w:id="1350" w:name="_Toc452"/>
      <w:r>
        <w:t>ابن زيله ، حسین بن محمّد - 440 ه-</w:t>
      </w:r>
      <w:bookmarkEnd w:id="1350"/>
    </w:p>
    <w:p>
      <w:pPr>
        <w:pStyle w:val="BookText"/>
      </w:pPr>
      <w:r>
        <w:rPr>
          <w:rFonts w:ascii="Amiri" w:hAnsi="Amiri" w:eastAsia="Amiri" w:cs="Amiri"/>
          <w:lang w:bidi="ar-SA"/>
          <w:color w:val="111111"/>
          <w:sz w:val="28"/>
          <w:szCs w:val="28"/>
          <w:rtl/>
        </w:rPr>
        <w:t xml:space="preserve">الكافي في الموسيقي، ج13، ص 55.</w:t>
      </w:r>
    </w:p>
    <w:p>
      <w:pPr>
        <w:pStyle w:val="BookText"/>
      </w:pPr>
      <w:r>
        <w:rPr>
          <w:rFonts w:ascii="IRNazanin" w:hAnsi="IRNazanin" w:eastAsia="IRNazanin" w:cs="IRNazanin"/>
          <w:lang w:bidi="fa-IR"/>
          <w:color w:val="111111"/>
          <w:sz w:val="28"/>
          <w:szCs w:val="28"/>
          <w:rtl/>
        </w:rPr>
        <w:t xml:space="preserve">تاریخ اسلام ایلام</w:t>
      </w:r>
    </w:p>
    <w:p>
      <w:pPr>
        <w:pStyle w:val="BookText"/>
      </w:pPr>
      <w:r>
        <w:rPr>
          <w:rFonts w:ascii="Amiri" w:hAnsi="Amiri" w:eastAsia="Amiri" w:cs="Amiri"/>
          <w:lang w:bidi="ar-SA"/>
          <w:color w:val="111111"/>
          <w:sz w:val="28"/>
          <w:szCs w:val="28"/>
          <w:rtl/>
        </w:rPr>
        <w:t xml:space="preserve">ابن زين الدين ، يوسف بن محمّد حسيني</w:t>
      </w:r>
    </w:p>
    <w:p>
      <w:pPr>
        <w:pStyle w:val="BookText"/>
      </w:pPr>
      <w:r>
        <w:rPr>
          <w:rFonts w:ascii="Amiri" w:hAnsi="Amiri" w:eastAsia="Amiri" w:cs="Amiri"/>
          <w:lang w:bidi="ar-SA"/>
          <w:color w:val="111111"/>
          <w:sz w:val="28"/>
          <w:szCs w:val="28"/>
          <w:rtl/>
        </w:rPr>
        <w:t xml:space="preserve">عاملي عاملي ، يوسف بن محمّد حسين</w:t>
      </w:r>
    </w:p>
    <w:p>
      <w:pPr>
        <w:pStyle w:val="Heading2"/>
      </w:pPr>
      <w:bookmarkStart w:id="1351" w:name="_Toc453"/>
      <w:r>
        <w:t>ابن زين العرب علي بن عبيد الله -758ه-</w:t>
      </w:r>
      <w:bookmarkEnd w:id="13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الانموذج، ج 9، ص 245.</w:t>
      </w:r>
    </w:p>
    <w:p>
      <w:pPr>
        <w:pStyle w:val="BookText"/>
      </w:pPr>
      <w:r>
        <w:rPr>
          <w:rFonts w:ascii="Amiri" w:hAnsi="Amiri" w:eastAsia="Amiri" w:cs="Amiri"/>
          <w:lang w:bidi="ar-SA"/>
          <w:color w:val="111111"/>
          <w:sz w:val="28"/>
          <w:szCs w:val="28"/>
          <w:rtl/>
        </w:rPr>
        <w:t xml:space="preserve">2 .شرح مصابيح السنة، ج 10، ص 145 .</w:t>
      </w:r>
    </w:p>
    <w:p>
      <w:pPr>
        <w:pStyle w:val="BookText"/>
      </w:pPr>
      <w:r>
        <w:rPr>
          <w:rFonts w:ascii="Amiri" w:hAnsi="Amiri" w:eastAsia="Amiri" w:cs="Amiri"/>
          <w:lang w:bidi="ar-SA"/>
          <w:color w:val="111111"/>
          <w:sz w:val="28"/>
          <w:szCs w:val="28"/>
          <w:rtl/>
        </w:rPr>
        <w:t xml:space="preserve">ابن زينب ، محمّد بن ابراهيم ابن ابي</w:t>
      </w:r>
    </w:p>
    <w:p>
      <w:pPr>
        <w:pStyle w:val="BookText"/>
      </w:pPr>
      <w:r>
        <w:rPr>
          <w:rFonts w:ascii="Amiri" w:hAnsi="Amiri" w:eastAsia="Amiri" w:cs="Amiri"/>
          <w:lang w:bidi="ar-SA"/>
          <w:color w:val="111111"/>
          <w:sz w:val="28"/>
          <w:szCs w:val="28"/>
          <w:rtl/>
        </w:rPr>
        <w:t xml:space="preserve">زينب ، محمّد بن ابراهيم</w:t>
      </w:r>
    </w:p>
    <w:p>
      <w:pPr>
        <w:pStyle w:val="Heading2"/>
      </w:pPr>
      <w:bookmarkStart w:id="1352" w:name="_Toc454"/>
      <w:r>
        <w:t>ابن زین ، محمّد بن زین بن محمّد 760 محمّد بن ابراهيم</w:t>
      </w:r>
      <w:bookmarkEnd w:id="1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845 ه-</w:t>
      </w:r>
    </w:p>
    <w:p>
      <w:pPr>
        <w:pStyle w:val="BookText"/>
      </w:pPr>
      <w:r>
        <w:rPr>
          <w:rFonts w:ascii="IRNazanin" w:hAnsi="IRNazanin" w:eastAsia="IRNazanin" w:cs="IRNazanin"/>
          <w:lang w:bidi="fa-IR"/>
          <w:color w:val="111111"/>
          <w:sz w:val="28"/>
          <w:szCs w:val="28"/>
          <w:rtl/>
        </w:rPr>
        <w:t xml:space="preserve">قصيدة لابن زین ج 12، ص 705.</w:t>
      </w:r>
    </w:p>
    <w:p>
      <w:pPr>
        <w:pStyle w:val="Heading2"/>
      </w:pPr>
      <w:bookmarkStart w:id="1353" w:name="_Toc455"/>
      <w:r>
        <w:t>ابن سائب ، محمّد بن عبدالله</w:t>
      </w:r>
      <w:bookmarkEnd w:id="1353"/>
    </w:p>
    <w:p>
      <w:pPr>
        <w:pStyle w:val="BookText"/>
      </w:pPr>
      <w:r>
        <w:rPr>
          <w:rFonts w:ascii="Amiri" w:hAnsi="Amiri" w:eastAsia="Amiri" w:cs="Amiri"/>
          <w:lang w:bidi="ar-SA"/>
          <w:color w:val="111111"/>
          <w:sz w:val="28"/>
          <w:szCs w:val="28"/>
          <w:rtl/>
        </w:rPr>
        <w:t xml:space="preserve">حديث المعراج، ج 6، ص 580.</w:t>
      </w:r>
    </w:p>
    <w:p>
      <w:pPr>
        <w:pStyle w:val="BookText"/>
      </w:pPr>
      <w:r>
        <w:rPr>
          <w:rFonts w:ascii="Amiri" w:hAnsi="Amiri" w:eastAsia="Amiri" w:cs="Amiri"/>
          <w:lang w:bidi="ar-SA"/>
          <w:color w:val="111111"/>
          <w:sz w:val="28"/>
          <w:szCs w:val="28"/>
          <w:rtl/>
        </w:rPr>
        <w:t xml:space="preserve">ابن سائب كلبي ، هشام بن محمّد- ابن</w:t>
      </w:r>
    </w:p>
    <w:p>
      <w:pPr>
        <w:pStyle w:val="BookText"/>
      </w:pPr>
      <w:r>
        <w:rPr>
          <w:rFonts w:ascii="Amiri" w:hAnsi="Amiri" w:eastAsia="Amiri" w:cs="Amiri"/>
          <w:lang w:bidi="ar-SA"/>
          <w:color w:val="111111"/>
          <w:sz w:val="28"/>
          <w:szCs w:val="28"/>
          <w:rtl/>
        </w:rPr>
        <w:t xml:space="preserve">كلبي ، هشام بن محمّد</w:t>
      </w:r>
    </w:p>
    <w:p>
      <w:pPr>
        <w:pStyle w:val="BookText"/>
      </w:pPr>
      <w:r>
        <w:rPr>
          <w:rFonts w:ascii="Amiri" w:hAnsi="Amiri" w:eastAsia="Amiri" w:cs="Amiri"/>
          <w:lang w:bidi="ar-SA"/>
          <w:color w:val="111111"/>
          <w:sz w:val="28"/>
          <w:szCs w:val="28"/>
          <w:rtl/>
        </w:rPr>
        <w:t xml:space="preserve">ابن سابور زيات ، حسين- ابن بسطام ،</w:t>
      </w:r>
    </w:p>
    <w:p>
      <w:pPr>
        <w:pStyle w:val="BookText"/>
      </w:pPr>
      <w:r>
        <w:rPr>
          <w:rFonts w:ascii="Amiri" w:hAnsi="Amiri" w:eastAsia="Amiri" w:cs="Amiri"/>
          <w:lang w:bidi="ar-SA"/>
          <w:color w:val="111111"/>
          <w:sz w:val="28"/>
          <w:szCs w:val="28"/>
          <w:rtl/>
        </w:rPr>
        <w:t xml:space="preserve">حسين بن بسطام</w:t>
      </w:r>
    </w:p>
    <w:p>
      <w:pPr>
        <w:pStyle w:val="Heading2"/>
      </w:pPr>
      <w:bookmarkStart w:id="1354" w:name="_Toc456"/>
      <w:r>
        <w:t>ابن ساعاتي ، احمد بن علي، - 694 ه-</w:t>
      </w:r>
      <w:bookmarkEnd w:id="1354"/>
    </w:p>
    <w:p>
      <w:pPr>
        <w:pStyle w:val="BookText"/>
      </w:pPr>
      <w:r>
        <w:rPr>
          <w:rFonts w:ascii="Amiri" w:hAnsi="Amiri" w:eastAsia="Amiri" w:cs="Amiri"/>
          <w:lang w:bidi="ar-SA"/>
          <w:color w:val="111111"/>
          <w:sz w:val="28"/>
          <w:szCs w:val="28"/>
          <w:rtl/>
        </w:rPr>
        <w:t xml:space="preserve">1 .بديع النظام الجامع بين كتابي البزدوي و الاحكام = نهاية الوصول إلى علم الاصول، ج 3، ص 285 .</w:t>
      </w:r>
    </w:p>
    <w:p>
      <w:pPr>
        <w:pStyle w:val="BookText"/>
      </w:pPr>
      <w:r>
        <w:rPr>
          <w:rFonts w:ascii="Amiri" w:hAnsi="Amiri" w:eastAsia="Amiri" w:cs="Amiri"/>
          <w:lang w:bidi="ar-SA"/>
          <w:color w:val="111111"/>
          <w:sz w:val="28"/>
          <w:szCs w:val="28"/>
          <w:rtl/>
        </w:rPr>
        <w:t xml:space="preserve">2 .شرح مجمع البحرين وملتقى</w:t>
      </w:r>
    </w:p>
    <w:p>
      <w:pPr>
        <w:pStyle w:val="BookText"/>
      </w:pPr>
      <w:r>
        <w:rPr>
          <w:rFonts w:ascii="Amiri" w:hAnsi="Amiri" w:eastAsia="Amiri" w:cs="Amiri"/>
          <w:lang w:bidi="ar-SA"/>
          <w:color w:val="111111"/>
          <w:sz w:val="28"/>
          <w:szCs w:val="28"/>
          <w:rtl/>
        </w:rPr>
        <w:t xml:space="preserve">النهرين، ج 10، ص98.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البحرين و ملتقى النهرين</w:t>
      </w:r>
    </w:p>
    <w:p>
      <w:pPr>
        <w:pStyle w:val="BookText"/>
      </w:pPr>
      <w:r>
        <w:rPr>
          <w:rFonts w:ascii="IRNazanin" w:hAnsi="IRNazanin" w:eastAsia="IRNazanin" w:cs="IRNazanin"/>
          <w:lang w:bidi="fa-IR"/>
          <w:color w:val="111111"/>
          <w:sz w:val="28"/>
          <w:szCs w:val="28"/>
          <w:rtl/>
        </w:rPr>
        <w:t xml:space="preserve">ج 13، ص 838.</w:t>
      </w:r>
    </w:p>
    <w:p>
      <w:pPr>
        <w:pStyle w:val="Heading2"/>
      </w:pPr>
      <w:bookmarkStart w:id="1355" w:name="_Toc457"/>
      <w:r>
        <w:t>ابن ساعاتي ، علي بن رستم، 553-604 ه-</w:t>
      </w:r>
      <w:bookmarkEnd w:id="1355"/>
    </w:p>
    <w:p>
      <w:pPr>
        <w:pStyle w:val="BookText"/>
      </w:pPr>
      <w:r>
        <w:rPr>
          <w:rFonts w:ascii="Amiri" w:hAnsi="Amiri" w:eastAsia="Amiri" w:cs="Amiri"/>
          <w:lang w:bidi="ar-SA"/>
          <w:color w:val="111111"/>
          <w:sz w:val="28"/>
          <w:szCs w:val="28"/>
          <w:rtl/>
        </w:rPr>
        <w:t xml:space="preserve">شرح بديع النظام، ج 9، ص 281.</w:t>
      </w:r>
    </w:p>
    <w:p>
      <w:pPr>
        <w:pStyle w:val="Heading2"/>
      </w:pPr>
      <w:bookmarkStart w:id="1356" w:name="_Toc458"/>
      <w:r>
        <w:t>ابن ساعاتي ، مصطفى بن يوسف</w:t>
      </w:r>
      <w:bookmarkEnd w:id="1356"/>
    </w:p>
    <w:p>
      <w:pPr>
        <w:pStyle w:val="BookText"/>
      </w:pPr>
      <w:r>
        <w:rPr>
          <w:rFonts w:ascii="Amiri" w:hAnsi="Amiri" w:eastAsia="Amiri" w:cs="Amiri"/>
          <w:lang w:bidi="ar-SA"/>
          <w:color w:val="111111"/>
          <w:sz w:val="28"/>
          <w:szCs w:val="28"/>
          <w:rtl/>
        </w:rPr>
        <w:t xml:space="preserve">مجمع الفوائد و الدليل فيما تصح به مسألة التحليل، ج13، ص 861.</w:t>
      </w:r>
    </w:p>
    <w:p>
      <w:pPr>
        <w:pStyle w:val="BookText"/>
      </w:pPr>
      <w:r>
        <w:rPr>
          <w:rFonts w:ascii="Amiri" w:hAnsi="Amiri" w:eastAsia="Amiri" w:cs="Amiri"/>
          <w:lang w:bidi="ar-SA"/>
          <w:color w:val="111111"/>
          <w:sz w:val="28"/>
          <w:szCs w:val="28"/>
          <w:rtl/>
        </w:rPr>
        <w:t xml:space="preserve">ابن ساعد سنجاري ، محمّد بن ابراهيم بن</w:t>
      </w:r>
    </w:p>
    <w:p>
      <w:pPr>
        <w:pStyle w:val="BookText"/>
      </w:pPr>
      <w:r>
        <w:rPr>
          <w:rFonts w:ascii="Amiri" w:hAnsi="Amiri" w:eastAsia="Amiri" w:cs="Amiri"/>
          <w:lang w:bidi="ar-SA"/>
          <w:color w:val="111111"/>
          <w:sz w:val="28"/>
          <w:szCs w:val="28"/>
          <w:rtl/>
        </w:rPr>
        <w:t xml:space="preserve">ساعد- انصاري ، محمّد بن ابراهيم</w:t>
      </w:r>
    </w:p>
    <w:p>
      <w:pPr>
        <w:pStyle w:val="BookText"/>
      </w:pPr>
      <w:r>
        <w:rPr>
          <w:rFonts w:ascii="Amiri" w:hAnsi="Amiri" w:eastAsia="Amiri" w:cs="Amiri"/>
          <w:lang w:bidi="ar-SA"/>
          <w:color w:val="111111"/>
          <w:sz w:val="28"/>
          <w:szCs w:val="28"/>
          <w:rtl/>
        </w:rPr>
        <w:t xml:space="preserve">ابن ساعد محمّد بن ابراهيم- انصاري ،</w:t>
      </w:r>
    </w:p>
    <w:p>
      <w:pPr>
        <w:pStyle w:val="Heading2"/>
      </w:pPr>
      <w:bookmarkStart w:id="1357" w:name="_Toc459"/>
      <w:r>
        <w:t>ابن ساعي ، علي بن انجب، 593-674 ه-</w:t>
      </w:r>
      <w:bookmarkEnd w:id="1357"/>
    </w:p>
    <w:p>
      <w:pPr>
        <w:pStyle w:val="BookText"/>
      </w:pPr>
      <w:r>
        <w:rPr>
          <w:rFonts w:ascii="Amiri" w:hAnsi="Amiri" w:eastAsia="Amiri" w:cs="Amiri"/>
          <w:lang w:bidi="ar-SA"/>
          <w:color w:val="111111"/>
          <w:sz w:val="28"/>
          <w:szCs w:val="28"/>
          <w:rtl/>
        </w:rPr>
        <w:t xml:space="preserve">1 .الجامع المختصر من عنوان التواريخ و عيون السير، ج ،</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IRNazanin" w:hAnsi="IRNazanin" w:eastAsia="IRNazanin" w:cs="IRNazanin"/>
          <w:lang w:bidi="fa-IR"/>
          <w:color w:val="111111"/>
          <w:sz w:val="28"/>
          <w:szCs w:val="28"/>
          <w:rtl/>
        </w:rPr>
        <w:t xml:space="preserve">2 .مختصر اخبار الخلفاء، ج 14،</w:t>
      </w:r>
    </w:p>
    <w:p>
      <w:pPr>
        <w:pStyle w:val="BookText"/>
      </w:pPr>
      <w:r>
        <w:rPr>
          <w:rFonts w:ascii="IRNazanin" w:hAnsi="IRNazanin" w:eastAsia="IRNazanin" w:cs="IRNazanin"/>
          <w:lang w:bidi="fa-IR"/>
          <w:color w:val="111111"/>
          <w:sz w:val="28"/>
          <w:szCs w:val="28"/>
          <w:rtl/>
        </w:rPr>
        <w:t xml:space="preserve">ص 170.</w:t>
      </w:r>
    </w:p>
    <w:p>
      <w:pPr>
        <w:pStyle w:val="Heading2"/>
      </w:pPr>
      <w:bookmarkStart w:id="1358" w:name="_Toc460"/>
      <w:r>
        <w:t>ابن سالم عبدالله بن سالم، 1049-1134ه-</w:t>
      </w:r>
      <w:bookmarkEnd w:id="1358"/>
    </w:p>
    <w:p>
      <w:pPr>
        <w:pStyle w:val="BookText"/>
      </w:pPr>
      <w:r>
        <w:rPr>
          <w:rFonts w:ascii="IRNazanin" w:hAnsi="IRNazanin" w:eastAsia="IRNazanin" w:cs="IRNazanin"/>
          <w:lang w:bidi="fa-IR"/>
          <w:color w:val="111111"/>
          <w:sz w:val="28"/>
          <w:szCs w:val="28"/>
          <w:rtl/>
        </w:rPr>
        <w:t xml:space="preserve">ثبت بن سالم، ج5، ص210.</w:t>
      </w:r>
    </w:p>
    <w:p>
      <w:pPr>
        <w:pStyle w:val="Heading2"/>
      </w:pPr>
      <w:bookmarkStart w:id="1359" w:name="_Toc461"/>
      <w:r>
        <w:t>ابن سالم ، عبدالله عصري</w:t>
      </w:r>
      <w:bookmarkEnd w:id="1359"/>
    </w:p>
    <w:p>
      <w:pPr>
        <w:pStyle w:val="BookText"/>
      </w:pPr>
      <w:r>
        <w:rPr>
          <w:rFonts w:ascii="Amiri" w:hAnsi="Amiri" w:eastAsia="Amiri" w:cs="Amiri"/>
          <w:lang w:bidi="ar-SA"/>
          <w:color w:val="111111"/>
          <w:sz w:val="28"/>
          <w:szCs w:val="28"/>
          <w:rtl/>
        </w:rPr>
        <w:t xml:space="preserve">الامداد في معرفة الاستاذ، ج 2، ص757.</w:t>
      </w:r>
    </w:p>
    <w:p>
      <w:pPr>
        <w:pStyle w:val="BookText"/>
      </w:pPr>
      <w:r>
        <w:rPr>
          <w:rFonts w:ascii="Amiri" w:hAnsi="Amiri" w:eastAsia="Amiri" w:cs="Amiri"/>
          <w:lang w:bidi="ar-SA"/>
          <w:color w:val="111111"/>
          <w:sz w:val="28"/>
          <w:szCs w:val="28"/>
          <w:rtl/>
        </w:rPr>
        <w:t xml:space="preserve">ابن سالم مصري ، سالم بن بدران -مازني ،</w:t>
      </w:r>
    </w:p>
    <w:p>
      <w:pPr>
        <w:pStyle w:val="BookText"/>
      </w:pPr>
      <w:r>
        <w:rPr>
          <w:rFonts w:ascii="IRNazanin" w:hAnsi="IRNazanin" w:eastAsia="IRNazanin" w:cs="IRNazanin"/>
          <w:lang w:bidi="fa-IR"/>
          <w:color w:val="111111"/>
          <w:sz w:val="28"/>
          <w:szCs w:val="28"/>
          <w:rtl/>
        </w:rPr>
        <w:t xml:space="preserve">سالم بن بدران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7742_69487"/>
    <w:bookmarkEnd w:id="72"/>
    <w:p>
      <w:pPr>
        <w:pStyle w:val="BookText"/>
      </w:pPr>
      <w:r>
        <w:rPr>
          <w:rFonts w:ascii="Amiri" w:hAnsi="Amiri" w:eastAsia="Amiri" w:cs="Amiri"/>
          <w:lang w:bidi="ar-SA"/>
          <w:color w:val="111111"/>
          <w:sz w:val="28"/>
          <w:szCs w:val="28"/>
          <w:rtl/>
        </w:rPr>
        <w:t xml:space="preserve">ابن سامان شامي- شامي ، ابن سامان</w:t>
      </w:r>
    </w:p>
    <w:p>
      <w:pPr>
        <w:pStyle w:val="BookText"/>
      </w:pPr>
      <w:r>
        <w:rPr>
          <w:rFonts w:ascii="Amiri" w:hAnsi="Amiri" w:eastAsia="Amiri" w:cs="Amiri"/>
          <w:lang w:bidi="ar-SA"/>
          <w:color w:val="111111"/>
          <w:sz w:val="28"/>
          <w:szCs w:val="28"/>
          <w:rtl/>
        </w:rPr>
        <w:t xml:space="preserve">ابن ساوجي ، محمّد بن سعيد</w:t>
      </w:r>
    </w:p>
    <w:p>
      <w:pPr>
        <w:pStyle w:val="BookText"/>
      </w:pPr>
      <w:r>
        <w:rPr>
          <w:rFonts w:ascii="Amiri" w:hAnsi="Amiri" w:eastAsia="Amiri" w:cs="Amiri"/>
          <w:lang w:bidi="ar-SA"/>
          <w:color w:val="111111"/>
          <w:sz w:val="28"/>
          <w:szCs w:val="28"/>
          <w:rtl/>
        </w:rPr>
        <w:t xml:space="preserve">نخجواني -نخجواني ، محمّد بن سعد</w:t>
      </w:r>
    </w:p>
    <w:p>
      <w:pPr>
        <w:pStyle w:val="Heading2"/>
      </w:pPr>
      <w:bookmarkStart w:id="1360" w:name="_Toc462"/>
      <w:r>
        <w:t>ابن سباع عزاوي ، برهان الدين ابي اسحاق</w:t>
      </w:r>
      <w:bookmarkEnd w:id="1360"/>
    </w:p>
    <w:p>
      <w:pPr>
        <w:pStyle w:val="BookText"/>
      </w:pPr>
      <w:r>
        <w:rPr>
          <w:rFonts w:ascii="Amiri" w:hAnsi="Amiri" w:eastAsia="Amiri" w:cs="Amiri"/>
          <w:lang w:bidi="ar-SA"/>
          <w:color w:val="111111"/>
          <w:sz w:val="28"/>
          <w:szCs w:val="28"/>
          <w:rtl/>
        </w:rPr>
        <w:t xml:space="preserve">الاعلام في فضائل دمشق و الشام، ج2،</w:t>
      </w:r>
    </w:p>
    <w:p>
      <w:pPr>
        <w:pStyle w:val="BookText"/>
      </w:pPr>
      <w:r>
        <w:rPr>
          <w:rFonts w:ascii="IRNazanin" w:hAnsi="IRNazanin" w:eastAsia="IRNazanin" w:cs="IRNazanin"/>
          <w:lang w:bidi="fa-IR"/>
          <w:color w:val="111111"/>
          <w:sz w:val="28"/>
          <w:szCs w:val="28"/>
          <w:rtl/>
        </w:rPr>
        <w:t xml:space="preserve">ص 563 .</w:t>
      </w:r>
    </w:p>
    <w:p>
      <w:pPr>
        <w:pStyle w:val="BookText"/>
      </w:pPr>
      <w:r>
        <w:rPr>
          <w:rFonts w:ascii="IRNazanin" w:hAnsi="IRNazanin" w:eastAsia="IRNazanin" w:cs="IRNazanin"/>
          <w:lang w:bidi="fa-IR"/>
          <w:color w:val="111111"/>
          <w:sz w:val="28"/>
          <w:szCs w:val="28"/>
          <w:rtl/>
        </w:rPr>
        <w:t xml:space="preserve">ابن سباع ، محمّد بن حسن- ابن صائغ</w:t>
      </w:r>
    </w:p>
    <w:p>
      <w:pPr>
        <w:pStyle w:val="BookText"/>
      </w:pPr>
      <w:r>
        <w:rPr>
          <w:rFonts w:ascii="Amiri" w:hAnsi="Amiri" w:eastAsia="Amiri" w:cs="Amiri"/>
          <w:lang w:bidi="ar-SA"/>
          <w:color w:val="111111"/>
          <w:sz w:val="28"/>
          <w:szCs w:val="28"/>
          <w:rtl/>
        </w:rPr>
        <w:t xml:space="preserve">دمشقي ، محمّد بن حسن</w:t>
      </w:r>
    </w:p>
    <w:p>
      <w:pPr>
        <w:pStyle w:val="BookText"/>
      </w:pPr>
      <w:r>
        <w:rPr>
          <w:rFonts w:ascii="Amiri" w:hAnsi="Amiri" w:eastAsia="Amiri" w:cs="Amiri"/>
          <w:lang w:bidi="ar-SA"/>
          <w:color w:val="111111"/>
          <w:sz w:val="28"/>
          <w:szCs w:val="28"/>
          <w:rtl/>
        </w:rPr>
        <w:t xml:space="preserve">ابن سبع -سقسيني، سليمان بن داود</w:t>
      </w:r>
    </w:p>
    <w:p>
      <w:pPr>
        <w:pStyle w:val="BookText"/>
      </w:pPr>
      <w:r>
        <w:rPr>
          <w:rFonts w:ascii="Amiri" w:hAnsi="Amiri" w:eastAsia="Amiri" w:cs="Amiri"/>
          <w:lang w:bidi="ar-SA"/>
          <w:color w:val="111111"/>
          <w:sz w:val="28"/>
          <w:szCs w:val="28"/>
          <w:rtl/>
        </w:rPr>
        <w:t xml:space="preserve">ابن ستري ، علي بن هلال- ابن بواب ،</w:t>
      </w:r>
    </w:p>
    <w:p>
      <w:pPr>
        <w:pStyle w:val="BookText"/>
      </w:pPr>
      <w:r>
        <w:rPr>
          <w:rFonts w:ascii="Amiri" w:hAnsi="Amiri" w:eastAsia="Amiri" w:cs="Amiri"/>
          <w:lang w:bidi="ar-SA"/>
          <w:color w:val="111111"/>
          <w:sz w:val="28"/>
          <w:szCs w:val="28"/>
          <w:rtl/>
        </w:rPr>
        <w:t xml:space="preserve">علي بن هلال</w:t>
      </w:r>
    </w:p>
    <w:p>
      <w:pPr>
        <w:pStyle w:val="BookText"/>
      </w:pPr>
      <w:r>
        <w:rPr>
          <w:rFonts w:ascii="IRNazanin" w:hAnsi="IRNazanin" w:eastAsia="IRNazanin" w:cs="IRNazanin"/>
          <w:lang w:bidi="fa-IR"/>
          <w:color w:val="111111"/>
          <w:sz w:val="28"/>
          <w:szCs w:val="28"/>
          <w:rtl/>
        </w:rPr>
        <w:t xml:space="preserve">ابن سحمان ، سلیمان بن سحمان نجدي -نجدي، سليمان بن سمحان</w:t>
      </w:r>
    </w:p>
    <w:p>
      <w:pPr>
        <w:pStyle w:val="Heading2"/>
      </w:pPr>
      <w:bookmarkStart w:id="1361" w:name="_Toc463"/>
      <w:r>
        <w:t>ابن سراج ، جعفر بن احمد 2417-500ه-</w:t>
      </w:r>
      <w:bookmarkEnd w:id="1361"/>
    </w:p>
    <w:p>
      <w:pPr>
        <w:pStyle w:val="BookText"/>
      </w:pPr>
      <w:r>
        <w:rPr>
          <w:rFonts w:ascii="Amiri" w:hAnsi="Amiri" w:eastAsia="Amiri" w:cs="Amiri"/>
          <w:lang w:bidi="ar-SA"/>
          <w:color w:val="111111"/>
          <w:sz w:val="28"/>
          <w:szCs w:val="28"/>
          <w:rtl/>
        </w:rPr>
        <w:t xml:space="preserve">الفوائد المنتخبة من الصحاح العوالي</w:t>
      </w:r>
    </w:p>
    <w:p>
      <w:pPr>
        <w:pStyle w:val="BookText"/>
      </w:pPr>
      <w:r>
        <w:rPr>
          <w:rFonts w:ascii="IRNazanin" w:hAnsi="IRNazanin" w:eastAsia="IRNazanin" w:cs="IRNazanin"/>
          <w:lang w:bidi="fa-IR"/>
          <w:color w:val="111111"/>
          <w:sz w:val="28"/>
          <w:szCs w:val="28"/>
          <w:rtl/>
        </w:rPr>
        <w:t xml:space="preserve">ج 12، ص 277</w:t>
      </w:r>
    </w:p>
    <w:p>
      <w:pPr>
        <w:pStyle w:val="Heading2"/>
      </w:pPr>
      <w:bookmarkStart w:id="1362" w:name="_Toc464"/>
      <w:r>
        <w:t>ابن سراج ، محمّد بن عبدالملك - 549 ه-</w:t>
      </w:r>
      <w:bookmarkEnd w:id="1362"/>
    </w:p>
    <w:p>
      <w:pPr>
        <w:pStyle w:val="BookText"/>
      </w:pPr>
      <w:r>
        <w:rPr>
          <w:rFonts w:ascii="Amiri" w:hAnsi="Amiri" w:eastAsia="Amiri" w:cs="Amiri"/>
          <w:lang w:bidi="ar-SA"/>
          <w:color w:val="111111"/>
          <w:sz w:val="28"/>
          <w:szCs w:val="28"/>
          <w:rtl/>
        </w:rPr>
        <w:t xml:space="preserve">العروض (كتاب في )، ج 11، ص 94 .</w:t>
      </w:r>
    </w:p>
    <w:p>
      <w:pPr>
        <w:pStyle w:val="Heading2"/>
      </w:pPr>
      <w:bookmarkStart w:id="1363" w:name="_Toc465"/>
      <w:r>
        <w:t>ابن سراج ، محمود بن احمد - 771 ه-</w:t>
      </w:r>
      <w:bookmarkEnd w:id="1363"/>
    </w:p>
    <w:p>
      <w:pPr>
        <w:pStyle w:val="BookText"/>
      </w:pPr>
      <w:r>
        <w:rPr>
          <w:rFonts w:ascii="Amiri" w:hAnsi="Amiri" w:eastAsia="Amiri" w:cs="Amiri"/>
          <w:lang w:bidi="ar-SA"/>
          <w:color w:val="111111"/>
          <w:sz w:val="28"/>
          <w:szCs w:val="28"/>
          <w:rtl/>
        </w:rPr>
        <w:t xml:space="preserve">1 .القلائد في شرح العقائد = شرح بيان عقيدة اهل السنة و الجماعة</w:t>
      </w:r>
    </w:p>
    <w:p>
      <w:pPr>
        <w:pStyle w:val="BookText"/>
      </w:pPr>
      <w:r>
        <w:rPr>
          <w:rFonts w:ascii="IRNazanin" w:hAnsi="IRNazanin" w:eastAsia="IRNazanin" w:cs="IRNazanin"/>
          <w:lang w:bidi="fa-IR"/>
          <w:color w:val="111111"/>
          <w:sz w:val="28"/>
          <w:szCs w:val="28"/>
          <w:rtl/>
        </w:rPr>
        <w:t xml:space="preserve">ج 12 ، ص 763 .</w:t>
      </w:r>
    </w:p>
    <w:p>
      <w:pPr>
        <w:pStyle w:val="BookText"/>
      </w:pPr>
      <w:r>
        <w:rPr>
          <w:rFonts w:ascii="Amiri" w:hAnsi="Amiri" w:eastAsia="Amiri" w:cs="Amiri"/>
          <w:lang w:bidi="ar-SA"/>
          <w:color w:val="111111"/>
          <w:sz w:val="28"/>
          <w:szCs w:val="28"/>
          <w:rtl/>
        </w:rPr>
        <w:t xml:space="preserve">2 .المعتمد في احاديث المسند لابي حنيفة = مختصر مسند الامام</w:t>
      </w:r>
    </w:p>
    <w:p>
      <w:pPr>
        <w:pStyle w:val="BookText"/>
      </w:pPr>
      <w:r>
        <w:rPr>
          <w:rFonts w:ascii="IRNazanin" w:hAnsi="IRNazanin" w:eastAsia="IRNazanin" w:cs="IRNazanin"/>
          <w:lang w:bidi="fa-IR"/>
          <w:color w:val="111111"/>
          <w:sz w:val="28"/>
          <w:szCs w:val="28"/>
          <w:rtl/>
        </w:rPr>
        <w:t xml:space="preserve">الاعظم، ج 15 ، ص 8.</w:t>
      </w:r>
    </w:p>
    <w:p>
      <w:pPr>
        <w:pStyle w:val="BookText"/>
      </w:pPr>
      <w:r>
        <w:rPr>
          <w:rFonts w:ascii="Amiri" w:hAnsi="Amiri" w:eastAsia="Amiri" w:cs="Amiri"/>
          <w:lang w:bidi="ar-SA"/>
          <w:color w:val="111111"/>
          <w:sz w:val="28"/>
          <w:szCs w:val="28"/>
          <w:rtl/>
        </w:rPr>
        <w:t xml:space="preserve">ابن سرايا ، عبد العزيز بن سرايا حلي- صفي الدين حلي ، عبدالعزيز بن سرايا</w:t>
      </w:r>
    </w:p>
    <w:p>
      <w:pPr>
        <w:pStyle w:val="BookText"/>
      </w:pPr>
      <w:r>
        <w:rPr>
          <w:rFonts w:ascii="Amiri" w:hAnsi="Amiri" w:eastAsia="Amiri" w:cs="Amiri"/>
          <w:lang w:bidi="ar-SA"/>
          <w:color w:val="111111"/>
          <w:sz w:val="28"/>
          <w:szCs w:val="28"/>
          <w:rtl/>
        </w:rPr>
        <w:t xml:space="preserve">ابن سرحان بحراني -بحراني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ابن سرور ، احمد بن عبدالرحمن بن</w:t>
      </w:r>
    </w:p>
    <w:p>
      <w:pPr>
        <w:pStyle w:val="BookText"/>
      </w:pPr>
      <w:r>
        <w:rPr>
          <w:rFonts w:ascii="Amiri" w:hAnsi="Amiri" w:eastAsia="Amiri" w:cs="Amiri"/>
          <w:lang w:bidi="ar-SA"/>
          <w:color w:val="111111"/>
          <w:sz w:val="28"/>
          <w:szCs w:val="28"/>
          <w:rtl/>
        </w:rPr>
        <w:t xml:space="preserve">سرور -مقدسي ، احمد بن عبدالرحمن</w:t>
      </w:r>
    </w:p>
    <w:p>
      <w:pPr>
        <w:pStyle w:val="BookText"/>
      </w:pPr>
      <w:r>
        <w:rPr>
          <w:rFonts w:ascii="Amiri" w:hAnsi="Amiri" w:eastAsia="Amiri" w:cs="Amiri"/>
          <w:lang w:bidi="ar-SA"/>
          <w:color w:val="111111"/>
          <w:sz w:val="28"/>
          <w:szCs w:val="28"/>
          <w:rtl/>
        </w:rPr>
        <w:t xml:space="preserve">ابن سعد الدين مصري- مصري ، لطف الله</w:t>
      </w:r>
    </w:p>
    <w:p>
      <w:pPr>
        <w:pStyle w:val="BookText"/>
      </w:pPr>
      <w:r>
        <w:rPr>
          <w:rFonts w:ascii="IRNazanin" w:hAnsi="IRNazanin" w:eastAsia="IRNazanin" w:cs="IRNazanin"/>
          <w:lang w:bidi="fa-IR"/>
          <w:color w:val="111111"/>
          <w:sz w:val="28"/>
          <w:szCs w:val="28"/>
          <w:rtl/>
        </w:rPr>
        <w:t xml:space="preserve">بن سعدالدین</w:t>
      </w:r>
    </w:p>
    <w:p>
      <w:pPr>
        <w:pStyle w:val="Heading2"/>
      </w:pPr>
      <w:bookmarkStart w:id="1364" w:name="_Toc466"/>
      <w:r>
        <w:t>ابن سعد ، محمّد بن سعد زهري 168 -</w:t>
      </w:r>
      <w:bookmarkEnd w:id="1364"/>
    </w:p>
    <w:p>
      <w:pPr>
        <w:pStyle w:val="BookText"/>
      </w:pPr>
      <w:r>
        <w:rPr>
          <w:rFonts w:ascii="IRNazanin" w:hAnsi="IRNazanin" w:eastAsia="IRNazanin" w:cs="IRNazanin"/>
          <w:lang w:bidi="fa-IR"/>
          <w:color w:val="111111"/>
          <w:sz w:val="28"/>
          <w:szCs w:val="28"/>
          <w:rtl/>
        </w:rPr>
        <w:t xml:space="preserve">230 ه-</w:t>
      </w:r>
    </w:p>
    <w:p>
      <w:pPr>
        <w:pStyle w:val="BookText"/>
      </w:pPr>
      <w:r>
        <w:rPr>
          <w:rFonts w:ascii="Amiri" w:hAnsi="Amiri" w:eastAsia="Amiri" w:cs="Amiri"/>
          <w:lang w:bidi="ar-SA"/>
          <w:color w:val="111111"/>
          <w:sz w:val="28"/>
          <w:szCs w:val="28"/>
          <w:rtl/>
        </w:rPr>
        <w:t xml:space="preserve">الطبقات الكبرى، ج 10، ص787.</w:t>
      </w:r>
    </w:p>
    <w:p>
      <w:pPr>
        <w:pStyle w:val="Heading2"/>
      </w:pPr>
      <w:bookmarkStart w:id="1365" w:name="_Toc467"/>
      <w:r>
        <w:t>ابن سعدون، يحيى بن عمر 486-567ه-</w:t>
      </w:r>
      <w:bookmarkEnd w:id="1365"/>
    </w:p>
    <w:p>
      <w:pPr>
        <w:pStyle w:val="BookText"/>
      </w:pPr>
      <w:r>
        <w:rPr>
          <w:rFonts w:ascii="Amiri" w:hAnsi="Amiri" w:eastAsia="Amiri" w:cs="Amiri"/>
          <w:lang w:bidi="ar-SA"/>
          <w:color w:val="111111"/>
          <w:sz w:val="28"/>
          <w:szCs w:val="28"/>
          <w:rtl/>
        </w:rPr>
        <w:t xml:space="preserve">القرائة الشاذة، ج 12، ص 549.</w:t>
      </w:r>
    </w:p>
    <w:p>
      <w:pPr>
        <w:pStyle w:val="Heading2"/>
      </w:pPr>
      <w:bookmarkStart w:id="1366" w:name="_Toc468"/>
      <w:r>
        <w:t>ابن سعدي ، سعدي بن محمّد امين الجوهر المنضد في تخميس همزية</w:t>
      </w:r>
      <w:bookmarkEnd w:id="1366"/>
    </w:p>
    <w:p>
      <w:pPr>
        <w:pStyle w:val="BookText"/>
      </w:pPr>
      <w:r>
        <w:rPr>
          <w:rFonts w:ascii="IRNazanin" w:hAnsi="IRNazanin" w:eastAsia="IRNazanin" w:cs="IRNazanin"/>
          <w:lang w:bidi="fa-IR"/>
          <w:color w:val="111111"/>
          <w:sz w:val="28"/>
          <w:szCs w:val="28"/>
          <w:rtl/>
        </w:rPr>
        <w:t xml:space="preserve">مدیح محمّد ج 5 ص 626 .</w:t>
      </w:r>
    </w:p>
    <w:p>
      <w:pPr>
        <w:pStyle w:val="Heading2"/>
      </w:pPr>
      <w:bookmarkStart w:id="1367" w:name="_Toc469"/>
      <w:r>
        <w:t>ابن سعيد ، علي بن سعيد - 685 ه-</w:t>
      </w:r>
      <w:bookmarkEnd w:id="1367"/>
    </w:p>
    <w:p>
      <w:pPr>
        <w:pStyle w:val="BookText"/>
      </w:pPr>
      <w:r>
        <w:rPr>
          <w:rFonts w:ascii="Amiri" w:hAnsi="Amiri" w:eastAsia="Amiri" w:cs="Amiri"/>
          <w:lang w:bidi="ar-SA"/>
          <w:color w:val="111111"/>
          <w:sz w:val="28"/>
          <w:szCs w:val="28"/>
          <w:rtl/>
        </w:rPr>
        <w:t xml:space="preserve">فوائد من مختصر الاقاليم السبعة</w:t>
      </w:r>
    </w:p>
    <w:p>
      <w:pPr>
        <w:pStyle w:val="BookText"/>
      </w:pPr>
      <w:r>
        <w:rPr>
          <w:rFonts w:ascii="IRNazanin" w:hAnsi="IRNazanin" w:eastAsia="IRNazanin" w:cs="IRNazanin"/>
          <w:lang w:bidi="fa-IR"/>
          <w:color w:val="111111"/>
          <w:sz w:val="28"/>
          <w:szCs w:val="28"/>
          <w:rtl/>
        </w:rPr>
        <w:t xml:space="preserve">ج 12، ص 285.</w:t>
      </w:r>
    </w:p>
    <w:p>
      <w:pPr>
        <w:pStyle w:val="Heading2"/>
      </w:pPr>
      <w:bookmarkStart w:id="1368" w:name="_Toc470"/>
      <w:r>
        <w:t>ابن سعيد ، يحيى بن احمد 601-2689ه-</w:t>
      </w:r>
      <w:bookmarkEnd w:id="13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إجازة للسيد عبد الكريم ابن السيد</w:t>
      </w:r>
    </w:p>
    <w:p>
      <w:pPr>
        <w:pStyle w:val="BookText"/>
      </w:pPr>
      <w:r>
        <w:rPr>
          <w:rFonts w:ascii="Amiri" w:hAnsi="Amiri" w:eastAsia="Amiri" w:cs="Amiri"/>
          <w:lang w:bidi="ar-SA"/>
          <w:color w:val="111111"/>
          <w:sz w:val="28"/>
          <w:szCs w:val="28"/>
          <w:rtl/>
        </w:rPr>
        <w:t xml:space="preserve">أبي الفضائل أحمد بن طاوس</w:t>
      </w:r>
    </w:p>
    <w:p>
      <w:pPr>
        <w:pStyle w:val="BookText"/>
      </w:pPr>
      <w:r>
        <w:rPr>
          <w:rFonts w:ascii="Amiri" w:hAnsi="Amiri" w:eastAsia="Amiri" w:cs="Amiri"/>
          <w:lang w:bidi="ar-SA"/>
          <w:color w:val="111111"/>
          <w:sz w:val="28"/>
          <w:szCs w:val="28"/>
          <w:rtl/>
        </w:rPr>
        <w:t xml:space="preserve">الحسني، ج1، ص 252.</w:t>
      </w:r>
    </w:p>
    <w:p>
      <w:pPr>
        <w:pStyle w:val="BookText"/>
      </w:pPr>
      <w:r>
        <w:rPr>
          <w:rFonts w:ascii="Amiri" w:hAnsi="Amiri" w:eastAsia="Amiri" w:cs="Amiri"/>
          <w:lang w:bidi="ar-SA"/>
          <w:color w:val="111111"/>
          <w:sz w:val="28"/>
          <w:szCs w:val="28"/>
          <w:rtl/>
        </w:rPr>
        <w:t xml:space="preserve">2 .إجازة للسيّد عبدالكريم ابن طاوس و قراءة الاخير كتاب معالم العلماء</w:t>
      </w:r>
    </w:p>
    <w:p>
      <w:pPr>
        <w:pStyle w:val="BookText"/>
      </w:pPr>
      <w:r>
        <w:rPr>
          <w:rFonts w:ascii="Amiri" w:hAnsi="Amiri" w:eastAsia="Amiri" w:cs="Amiri"/>
          <w:lang w:bidi="ar-SA"/>
          <w:color w:val="111111"/>
          <w:sz w:val="28"/>
          <w:szCs w:val="28"/>
          <w:rtl/>
        </w:rPr>
        <w:t xml:space="preserve">عليه، ج 1، ص 252.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الجامع للشرايع، ج5، ص322</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7742_69489"/>
    <w:bookmarkEnd w:id="73"/>
    <w:p>
      <w:pPr>
        <w:pStyle w:val="BookText"/>
      </w:pPr>
      <w:r>
        <w:rPr>
          <w:rFonts w:ascii="Amiri" w:hAnsi="Amiri" w:eastAsia="Amiri" w:cs="Amiri"/>
          <w:lang w:bidi="ar-SA"/>
          <w:color w:val="111111"/>
          <w:sz w:val="28"/>
          <w:szCs w:val="28"/>
          <w:rtl/>
        </w:rPr>
        <w:t xml:space="preserve">4 .نزهة الناظر في الجمع بين الاشباه و</w:t>
      </w:r>
    </w:p>
    <w:p>
      <w:pPr>
        <w:pStyle w:val="BookText"/>
      </w:pPr>
      <w:r>
        <w:rPr>
          <w:rFonts w:ascii="IRNazanin" w:hAnsi="IRNazanin" w:eastAsia="IRNazanin" w:cs="IRNazanin"/>
          <w:lang w:bidi="fa-IR"/>
          <w:color w:val="111111"/>
          <w:sz w:val="28"/>
          <w:szCs w:val="28"/>
          <w:rtl/>
        </w:rPr>
        <w:t xml:space="preserve">النظائر، ج 16، ص 248.</w:t>
      </w:r>
    </w:p>
    <w:p>
      <w:pPr>
        <w:pStyle w:val="BookText"/>
      </w:pPr>
      <w:r>
        <w:rPr>
          <w:rFonts w:ascii="Amiri" w:hAnsi="Amiri" w:eastAsia="Amiri" w:cs="Amiri"/>
          <w:lang w:bidi="ar-SA"/>
          <w:color w:val="111111"/>
          <w:sz w:val="28"/>
          <w:szCs w:val="28"/>
          <w:rtl/>
        </w:rPr>
        <w:t xml:space="preserve">ابن سفيه ، عبد القادر بن ابراهيم -محلي</w:t>
      </w:r>
    </w:p>
    <w:p>
      <w:pPr>
        <w:pStyle w:val="BookText"/>
      </w:pPr>
      <w:r>
        <w:rPr>
          <w:rFonts w:ascii="Amiri" w:hAnsi="Amiri" w:eastAsia="Amiri" w:cs="Amiri"/>
          <w:lang w:bidi="ar-SA"/>
          <w:color w:val="111111"/>
          <w:sz w:val="28"/>
          <w:szCs w:val="28"/>
          <w:rtl/>
        </w:rPr>
        <w:t xml:space="preserve">عبد القادر بن ابراهيم</w:t>
      </w:r>
    </w:p>
    <w:p>
      <w:pPr>
        <w:pStyle w:val="BookText"/>
      </w:pPr>
      <w:r>
        <w:rPr>
          <w:rFonts w:ascii="IRNazanin" w:hAnsi="IRNazanin" w:eastAsia="IRNazanin" w:cs="IRNazanin"/>
          <w:lang w:bidi="fa-IR"/>
          <w:color w:val="111111"/>
          <w:sz w:val="28"/>
          <w:szCs w:val="28"/>
          <w:rtl/>
        </w:rPr>
        <w:t xml:space="preserve">ابن سقاعه ، ابراهیم بن محمّد- ابن</w:t>
      </w:r>
    </w:p>
    <w:p>
      <w:pPr>
        <w:pStyle w:val="BookText"/>
      </w:pPr>
      <w:r>
        <w:rPr>
          <w:rFonts w:ascii="Amiri" w:hAnsi="Amiri" w:eastAsia="Amiri" w:cs="Amiri"/>
          <w:lang w:bidi="ar-SA"/>
          <w:color w:val="111111"/>
          <w:sz w:val="28"/>
          <w:szCs w:val="28"/>
          <w:rtl/>
        </w:rPr>
        <w:t xml:space="preserve">زقاعه ، ابراهيم بن محمّد</w:t>
      </w:r>
    </w:p>
    <w:p>
      <w:pPr>
        <w:pStyle w:val="Heading2"/>
      </w:pPr>
      <w:bookmarkStart w:id="1369" w:name="_Toc471"/>
      <w:r>
        <w:t>ابن سكري، عبدالله بن محمّد -1228ه-</w:t>
      </w:r>
      <w:bookmarkEnd w:id="1369"/>
    </w:p>
    <w:p>
      <w:pPr>
        <w:pStyle w:val="BookText"/>
      </w:pPr>
      <w:r>
        <w:rPr>
          <w:rFonts w:ascii="Amiri" w:hAnsi="Amiri" w:eastAsia="Amiri" w:cs="Amiri"/>
          <w:lang w:bidi="ar-SA"/>
          <w:color w:val="111111"/>
          <w:sz w:val="28"/>
          <w:szCs w:val="28"/>
          <w:rtl/>
        </w:rPr>
        <w:t xml:space="preserve">الكنز المنشور في التهنئة بالاعياد و</w:t>
      </w:r>
    </w:p>
    <w:p>
      <w:pPr>
        <w:pStyle w:val="BookText"/>
      </w:pPr>
      <w:r>
        <w:rPr>
          <w:rFonts w:ascii="Amiri" w:hAnsi="Amiri" w:eastAsia="Amiri" w:cs="Amiri"/>
          <w:lang w:bidi="ar-SA"/>
          <w:color w:val="111111"/>
          <w:sz w:val="28"/>
          <w:szCs w:val="28"/>
          <w:rtl/>
        </w:rPr>
        <w:t xml:space="preserve">الاعوام والشهور = الدر المنثور في</w:t>
      </w:r>
    </w:p>
    <w:p>
      <w:pPr>
        <w:pStyle w:val="BookText"/>
      </w:pPr>
      <w:r>
        <w:rPr>
          <w:rFonts w:ascii="Amiri" w:hAnsi="Amiri" w:eastAsia="Amiri" w:cs="Amiri"/>
          <w:lang w:bidi="ar-SA"/>
          <w:color w:val="111111"/>
          <w:sz w:val="28"/>
          <w:szCs w:val="28"/>
          <w:rtl/>
        </w:rPr>
        <w:t xml:space="preserve">التهنئة بالاعياد والايام والشهور</w:t>
      </w:r>
    </w:p>
    <w:p>
      <w:pPr>
        <w:pStyle w:val="BookText"/>
      </w:pPr>
      <w:r>
        <w:rPr>
          <w:rFonts w:ascii="IRNazanin" w:hAnsi="IRNazanin" w:eastAsia="IRNazanin" w:cs="IRNazanin"/>
          <w:lang w:bidi="fa-IR"/>
          <w:color w:val="111111"/>
          <w:sz w:val="28"/>
          <w:szCs w:val="28"/>
          <w:rtl/>
        </w:rPr>
        <w:t xml:space="preserve">ج 13، ص 438 .</w:t>
      </w:r>
    </w:p>
    <w:p>
      <w:pPr>
        <w:pStyle w:val="Heading2"/>
      </w:pPr>
      <w:bookmarkStart w:id="1370" w:name="_Toc472"/>
      <w:r>
        <w:t>ابن سكيت ، يعقوب بن اسحاق، 186</w:t>
      </w:r>
      <w:bookmarkEnd w:id="1370"/>
    </w:p>
    <w:p>
      <w:pPr>
        <w:pStyle w:val="BookText"/>
      </w:pPr>
      <w:r>
        <w:rPr>
          <w:rFonts w:ascii="IRNazanin" w:hAnsi="IRNazanin" w:eastAsia="IRNazanin" w:cs="IRNazanin"/>
          <w:lang w:bidi="fa-IR"/>
          <w:color w:val="111111"/>
          <w:sz w:val="28"/>
          <w:szCs w:val="28"/>
          <w:rtl/>
        </w:rPr>
        <w:t xml:space="preserve">246 ؟ ه-</w:t>
      </w:r>
    </w:p>
    <w:p>
      <w:pPr>
        <w:pStyle w:val="BookText"/>
      </w:pPr>
      <w:r>
        <w:rPr>
          <w:rFonts w:ascii="IRNazanin" w:hAnsi="IRNazanin" w:eastAsia="IRNazanin" w:cs="IRNazanin"/>
          <w:lang w:bidi="fa-IR"/>
          <w:color w:val="111111"/>
          <w:sz w:val="28"/>
          <w:szCs w:val="28"/>
          <w:rtl/>
        </w:rPr>
        <w:t xml:space="preserve">1 .اصلاح المنطق، ج 2، ص 374.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الأضداد، ج 2، ص 472.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حروف تقع مستعارة، ج 6، ص 623.</w:t>
      </w:r>
    </w:p>
    <w:p>
      <w:pPr>
        <w:pStyle w:val="BookText"/>
      </w:pPr>
      <w:r>
        <w:rPr>
          <w:rFonts w:ascii="Amiri" w:hAnsi="Amiri" w:eastAsia="Amiri" w:cs="Amiri"/>
          <w:lang w:bidi="ar-SA"/>
          <w:color w:val="111111"/>
          <w:sz w:val="28"/>
          <w:szCs w:val="28"/>
          <w:rtl/>
        </w:rPr>
        <w:t xml:space="preserve">4 ديوان طرفة بن العبد، ج 7، ص 698.</w:t>
      </w:r>
    </w:p>
    <w:p>
      <w:pPr>
        <w:pStyle w:val="BookText"/>
      </w:pPr>
      <w:r>
        <w:rPr>
          <w:rFonts w:ascii="IRNazanin" w:hAnsi="IRNazanin" w:eastAsia="IRNazanin" w:cs="IRNazanin"/>
          <w:lang w:bidi="fa-IR"/>
          <w:color w:val="111111"/>
          <w:sz w:val="28"/>
          <w:szCs w:val="28"/>
          <w:rtl/>
        </w:rPr>
        <w:t xml:space="preserve">5 القلب و الابدال، ج 12، ص 767.</w:t>
      </w:r>
    </w:p>
    <w:p>
      <w:pPr>
        <w:pStyle w:val="BookText"/>
      </w:pPr>
      <w:r>
        <w:rPr>
          <w:rFonts w:ascii="IRNazanin" w:hAnsi="IRNazanin" w:eastAsia="IRNazanin" w:cs="IRNazanin"/>
          <w:lang w:bidi="fa-IR"/>
          <w:color w:val="111111"/>
          <w:sz w:val="28"/>
          <w:szCs w:val="28"/>
          <w:rtl/>
        </w:rPr>
        <w:t xml:space="preserve">ابن سلام ، ابوعبید قاسم بن سلام- ابوعبید هروي ، قاسم بن سلام</w:t>
      </w:r>
    </w:p>
    <w:p>
      <w:pPr>
        <w:pStyle w:val="BookText"/>
      </w:pPr>
      <w:r>
        <w:rPr>
          <w:rFonts w:ascii="Amiri" w:hAnsi="Amiri" w:eastAsia="Amiri" w:cs="Amiri"/>
          <w:lang w:bidi="ar-SA"/>
          <w:color w:val="111111"/>
          <w:sz w:val="28"/>
          <w:szCs w:val="28"/>
          <w:rtl/>
        </w:rPr>
        <w:t xml:space="preserve">ابن سلامة عبدالله بن عبدالله -ادكاوي</w:t>
      </w:r>
    </w:p>
    <w:p>
      <w:pPr>
        <w:pStyle w:val="BookText"/>
      </w:pPr>
      <w:r>
        <w:rPr>
          <w:rFonts w:ascii="IRNazanin" w:hAnsi="IRNazanin" w:eastAsia="IRNazanin" w:cs="IRNazanin"/>
          <w:lang w:bidi="fa-IR"/>
          <w:color w:val="111111"/>
          <w:sz w:val="28"/>
          <w:szCs w:val="28"/>
          <w:rtl/>
        </w:rPr>
        <w:t xml:space="preserve">عبدالله بن عبدالله</w:t>
      </w:r>
    </w:p>
    <w:p>
      <w:pPr>
        <w:pStyle w:val="BookText"/>
      </w:pPr>
      <w:r>
        <w:rPr>
          <w:rFonts w:ascii="Amiri" w:hAnsi="Amiri" w:eastAsia="Amiri" w:cs="Amiri"/>
          <w:lang w:bidi="ar-SA"/>
          <w:color w:val="111111"/>
          <w:sz w:val="28"/>
          <w:szCs w:val="28"/>
          <w:rtl/>
        </w:rPr>
        <w:t xml:space="preserve">ابن سلامة لقيمي، مصطفى</w:t>
      </w:r>
    </w:p>
    <w:p>
      <w:pPr>
        <w:pStyle w:val="BookText"/>
      </w:pPr>
      <w:r>
        <w:rPr>
          <w:rFonts w:ascii="IRNazanin" w:hAnsi="IRNazanin" w:eastAsia="IRNazanin" w:cs="IRNazanin"/>
          <w:lang w:bidi="fa-IR"/>
          <w:color w:val="111111"/>
          <w:sz w:val="28"/>
          <w:szCs w:val="28"/>
          <w:rtl/>
        </w:rPr>
        <w:t xml:space="preserve">اسعد -القيمي ، مصطفی اسعد بن احمد</w:t>
      </w:r>
    </w:p>
    <w:p>
      <w:pPr>
        <w:pStyle w:val="Heading2"/>
      </w:pPr>
      <w:bookmarkStart w:id="1371" w:name="_Toc473"/>
      <w:r>
        <w:t>ابن سلامة ، نصر بن علي مقري</w:t>
      </w:r>
      <w:bookmarkEnd w:id="1371"/>
    </w:p>
    <w:p>
      <w:pPr>
        <w:pStyle w:val="BookText"/>
      </w:pPr>
      <w:r>
        <w:rPr>
          <w:rFonts w:ascii="IRNazanin" w:hAnsi="IRNazanin" w:eastAsia="IRNazanin" w:cs="IRNazanin"/>
          <w:lang w:bidi="fa-IR"/>
          <w:color w:val="111111"/>
          <w:sz w:val="28"/>
          <w:szCs w:val="28"/>
          <w:rtl/>
        </w:rPr>
        <w:t xml:space="preserve">الناسخ والمنسوخ، ج 16، ص 90.</w:t>
      </w:r>
    </w:p>
    <w:p>
      <w:pPr>
        <w:pStyle w:val="BookText"/>
      </w:pPr>
      <w:r>
        <w:rPr>
          <w:rFonts w:ascii="Amiri" w:hAnsi="Amiri" w:eastAsia="Amiri" w:cs="Amiri"/>
          <w:lang w:bidi="ar-SA"/>
          <w:color w:val="111111"/>
          <w:sz w:val="28"/>
          <w:szCs w:val="28"/>
          <w:rtl/>
        </w:rPr>
        <w:t xml:space="preserve">ابن سلام جمحي ، محمّد بن سلام -جمحي ، محمّد بن سلام</w:t>
      </w:r>
    </w:p>
    <w:p>
      <w:pPr>
        <w:pStyle w:val="BookText"/>
      </w:pPr>
      <w:r>
        <w:rPr>
          <w:rFonts w:ascii="Amiri" w:hAnsi="Amiri" w:eastAsia="Amiri" w:cs="Amiri"/>
          <w:lang w:bidi="ar-SA"/>
          <w:color w:val="111111"/>
          <w:sz w:val="28"/>
          <w:szCs w:val="28"/>
          <w:rtl/>
        </w:rPr>
        <w:t xml:space="preserve">ابن سلام ، قاسم بن سلام -ابوعبيد هروي</w:t>
      </w:r>
    </w:p>
    <w:p>
      <w:pPr>
        <w:pStyle w:val="BookText"/>
      </w:pPr>
      <w:r>
        <w:rPr>
          <w:rFonts w:ascii="IRNazanin" w:hAnsi="IRNazanin" w:eastAsia="IRNazanin" w:cs="IRNazanin"/>
          <w:lang w:bidi="fa-IR"/>
          <w:color w:val="111111"/>
          <w:sz w:val="28"/>
          <w:szCs w:val="28"/>
          <w:rtl/>
        </w:rPr>
        <w:t xml:space="preserve">، قاسم بن سلام</w:t>
      </w:r>
    </w:p>
    <w:p>
      <w:pPr>
        <w:pStyle w:val="BookText"/>
      </w:pPr>
      <w:r>
        <w:rPr>
          <w:rFonts w:ascii="Amiri" w:hAnsi="Amiri" w:eastAsia="Amiri" w:cs="Amiri"/>
          <w:lang w:bidi="ar-SA"/>
          <w:color w:val="111111"/>
          <w:sz w:val="28"/>
          <w:szCs w:val="28"/>
          <w:rtl/>
        </w:rPr>
        <w:t xml:space="preserve">ابن سلام ، محمّد -جمحي ، محمّد بن</w:t>
      </w:r>
    </w:p>
    <w:p>
      <w:pPr>
        <w:pStyle w:val="BookText"/>
      </w:pPr>
      <w:r>
        <w:rPr>
          <w:rFonts w:ascii="IRNazanin" w:hAnsi="IRNazanin" w:eastAsia="IRNazanin" w:cs="IRNazanin"/>
          <w:lang w:bidi="fa-IR"/>
          <w:color w:val="111111"/>
          <w:sz w:val="28"/>
          <w:szCs w:val="28"/>
          <w:rtl/>
        </w:rPr>
        <w:t xml:space="preserve">سلام</w:t>
      </w:r>
    </w:p>
    <w:p>
      <w:pPr>
        <w:pStyle w:val="BookText"/>
      </w:pPr>
      <w:r>
        <w:rPr>
          <w:rFonts w:ascii="Amiri" w:hAnsi="Amiri" w:eastAsia="Amiri" w:cs="Amiri"/>
          <w:lang w:bidi="ar-SA"/>
          <w:color w:val="111111"/>
          <w:sz w:val="28"/>
          <w:szCs w:val="28"/>
          <w:rtl/>
        </w:rPr>
        <w:t xml:space="preserve">ابن سلامه ، جهة الله بن سلامه- بغدادي ،</w:t>
      </w:r>
    </w:p>
    <w:p>
      <w:pPr>
        <w:pStyle w:val="BookText"/>
      </w:pPr>
      <w:r>
        <w:rPr>
          <w:rFonts w:ascii="Amiri" w:hAnsi="Amiri" w:eastAsia="Amiri" w:cs="Amiri"/>
          <w:lang w:bidi="ar-SA"/>
          <w:color w:val="111111"/>
          <w:sz w:val="28"/>
          <w:szCs w:val="28"/>
          <w:rtl/>
        </w:rPr>
        <w:t xml:space="preserve">هبة الله بن سلامه</w:t>
      </w:r>
    </w:p>
    <w:p>
      <w:pPr>
        <w:pStyle w:val="BookText"/>
      </w:pPr>
      <w:r>
        <w:rPr>
          <w:rFonts w:ascii="Amiri" w:hAnsi="Amiri" w:eastAsia="Amiri" w:cs="Amiri"/>
          <w:lang w:bidi="ar-SA"/>
          <w:color w:val="111111"/>
          <w:sz w:val="28"/>
          <w:szCs w:val="28"/>
          <w:rtl/>
        </w:rPr>
        <w:t xml:space="preserve">ابن سلامه قليوبي ، احمد بن احمد- قليوبي ، احمد بن احمد</w:t>
      </w:r>
    </w:p>
    <w:p>
      <w:pPr>
        <w:pStyle w:val="Heading2"/>
      </w:pPr>
      <w:bookmarkStart w:id="1372" w:name="_Toc474"/>
      <w:r>
        <w:t>ابن سلامه ، محمّد بن سلامه - 892 ه-</w:t>
      </w:r>
      <w:bookmarkEnd w:id="13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تحفة الفقير في بعض ما جاء في</w:t>
      </w:r>
    </w:p>
    <w:p>
      <w:pPr>
        <w:pStyle w:val="BookText"/>
      </w:pPr>
      <w:r>
        <w:rPr>
          <w:rFonts w:ascii="Amiri" w:hAnsi="Amiri" w:eastAsia="Amiri" w:cs="Amiri"/>
          <w:lang w:bidi="ar-SA"/>
          <w:color w:val="111111"/>
          <w:sz w:val="28"/>
          <w:szCs w:val="28"/>
          <w:rtl/>
        </w:rPr>
        <w:t xml:space="preserve">التفسير، ج 3، ص 876.</w:t>
      </w:r>
    </w:p>
    <w:p>
      <w:pPr>
        <w:pStyle w:val="BookText"/>
      </w:pPr>
      <w:r>
        <w:rPr>
          <w:rFonts w:ascii="Amiri" w:hAnsi="Amiri" w:eastAsia="Amiri" w:cs="Amiri"/>
          <w:lang w:bidi="ar-SA"/>
          <w:color w:val="111111"/>
          <w:sz w:val="28"/>
          <w:szCs w:val="28"/>
          <w:rtl/>
        </w:rPr>
        <w:t xml:space="preserve">2 .الشهاب = كتاب الشهاب، ج 10،</w:t>
      </w:r>
    </w:p>
    <w:p>
      <w:pPr>
        <w:pStyle w:val="BookText"/>
      </w:pPr>
      <w:r>
        <w:rPr>
          <w:rFonts w:ascii="IRNazanin" w:hAnsi="IRNazanin" w:eastAsia="IRNazanin" w:cs="IRNazanin"/>
          <w:lang w:bidi="fa-IR"/>
          <w:color w:val="111111"/>
          <w:sz w:val="28"/>
          <w:szCs w:val="28"/>
          <w:rtl/>
        </w:rPr>
        <w:t xml:space="preserve">ص 425 .</w:t>
      </w:r>
    </w:p>
    <w:p>
      <w:pPr>
        <w:pStyle w:val="BookText"/>
      </w:pPr>
      <w:r>
        <w:rPr>
          <w:rFonts w:ascii="Amiri" w:hAnsi="Amiri" w:eastAsia="Amiri" w:cs="Amiri"/>
          <w:lang w:bidi="ar-SA"/>
          <w:color w:val="111111"/>
          <w:sz w:val="28"/>
          <w:szCs w:val="28"/>
          <w:rtl/>
        </w:rPr>
        <w:t xml:space="preserve">ابن سلامه ، هبة الله بن سلامه - بغدادي،</w:t>
      </w:r>
    </w:p>
    <w:p>
      <w:pPr>
        <w:pStyle w:val="BookText"/>
      </w:pPr>
      <w:r>
        <w:rPr>
          <w:rFonts w:ascii="Amiri" w:hAnsi="Amiri" w:eastAsia="Amiri" w:cs="Amiri"/>
          <w:lang w:bidi="ar-SA"/>
          <w:color w:val="111111"/>
          <w:sz w:val="28"/>
          <w:szCs w:val="28"/>
          <w:rtl/>
        </w:rPr>
        <w:t xml:space="preserve">هبة الله بن سلامه</w:t>
      </w:r>
    </w:p>
    <w:p>
      <w:pPr>
        <w:pStyle w:val="BookText"/>
      </w:pPr>
      <w:r>
        <w:rPr>
          <w:rFonts w:ascii="Amiri" w:hAnsi="Amiri" w:eastAsia="Amiri" w:cs="Amiri"/>
          <w:lang w:bidi="ar-SA"/>
          <w:color w:val="111111"/>
          <w:sz w:val="28"/>
          <w:szCs w:val="28"/>
          <w:rtl/>
        </w:rPr>
        <w:t xml:space="preserve">ابن سلمه ، هبة الله بن صاعد ابن تلميذ</w:t>
      </w:r>
    </w:p>
    <w:p>
      <w:pPr>
        <w:pStyle w:val="BookText"/>
      </w:pPr>
      <w:r>
        <w:rPr>
          <w:rFonts w:ascii="Amiri" w:hAnsi="Amiri" w:eastAsia="Amiri" w:cs="Amiri"/>
          <w:lang w:bidi="ar-SA"/>
          <w:color w:val="111111"/>
          <w:sz w:val="28"/>
          <w:szCs w:val="28"/>
          <w:rtl/>
        </w:rPr>
        <w:t xml:space="preserve">، هبة الله بن صاعد</w:t>
      </w:r>
    </w:p>
    <w:p>
      <w:pPr>
        <w:pStyle w:val="Heading2"/>
      </w:pPr>
      <w:bookmarkStart w:id="1373" w:name="_Toc475"/>
      <w:r>
        <w:t>ابن سلوم ، صالح بن نصر الله - 1081 ه-</w:t>
      </w:r>
      <w:bookmarkEnd w:id="1373"/>
    </w:p>
    <w:p>
      <w:pPr>
        <w:pStyle w:val="BookText"/>
      </w:pPr>
      <w:r>
        <w:rPr>
          <w:rFonts w:ascii="Amiri" w:hAnsi="Amiri" w:eastAsia="Amiri" w:cs="Amiri"/>
          <w:lang w:bidi="ar-SA"/>
          <w:color w:val="111111"/>
          <w:sz w:val="28"/>
          <w:szCs w:val="28"/>
          <w:rtl/>
        </w:rPr>
        <w:t xml:space="preserve">1 .غاية الاتقان في تدبير بدن الانسان</w:t>
      </w:r>
    </w:p>
    <w:p>
      <w:pPr>
        <w:pStyle w:val="BookText"/>
      </w:pPr>
      <w:r>
        <w:rPr>
          <w:rFonts w:ascii="IRNazanin" w:hAnsi="IRNazanin" w:eastAsia="IRNazanin" w:cs="IRNazanin"/>
          <w:lang w:bidi="fa-IR"/>
          <w:color w:val="111111"/>
          <w:sz w:val="28"/>
          <w:szCs w:val="28"/>
          <w:rtl/>
        </w:rPr>
        <w:t xml:space="preserve">ج 11، ص 425.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غاية البيان في تدبير بدن الانسان</w:t>
      </w:r>
    </w:p>
    <w:p>
      <w:pPr>
        <w:pStyle w:val="BookText"/>
      </w:pPr>
      <w:r>
        <w:rPr>
          <w:rFonts w:ascii="IRNazanin" w:hAnsi="IRNazanin" w:eastAsia="IRNazanin" w:cs="IRNazanin"/>
          <w:lang w:bidi="fa-IR"/>
          <w:color w:val="111111"/>
          <w:sz w:val="28"/>
          <w:szCs w:val="28"/>
          <w:rtl/>
        </w:rPr>
        <w:t xml:space="preserve">ج 11 ، ص 432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7742_69491"/>
    <w:bookmarkEnd w:id="7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مركبات، ج 14 ، ص 409.</w:t>
      </w:r>
    </w:p>
    <w:p>
      <w:pPr>
        <w:pStyle w:val="BookText"/>
      </w:pPr>
      <w:r>
        <w:rPr>
          <w:rFonts w:ascii="Amiri" w:hAnsi="Amiri" w:eastAsia="Amiri" w:cs="Amiri"/>
          <w:lang w:bidi="ar-SA"/>
          <w:color w:val="111111"/>
          <w:sz w:val="28"/>
          <w:szCs w:val="28"/>
          <w:rtl/>
        </w:rPr>
        <w:t xml:space="preserve">4 .مفردات غاية البيان، ج 15 ، ص 248.</w:t>
      </w:r>
    </w:p>
    <w:p>
      <w:pPr>
        <w:pStyle w:val="BookText"/>
      </w:pPr>
      <w:r>
        <w:rPr>
          <w:rFonts w:ascii="IRNazanin" w:hAnsi="IRNazanin" w:eastAsia="IRNazanin" w:cs="IRNazanin"/>
          <w:lang w:bidi="fa-IR"/>
          <w:color w:val="111111"/>
          <w:sz w:val="28"/>
          <w:szCs w:val="28"/>
          <w:rtl/>
        </w:rPr>
        <w:t xml:space="preserve">5.نقولات، ج 16، ص 430 .</w:t>
      </w:r>
    </w:p>
    <w:p>
      <w:pPr>
        <w:pStyle w:val="Heading2"/>
      </w:pPr>
      <w:bookmarkStart w:id="1374" w:name="_Toc476"/>
      <w:r>
        <w:t>ابن سلوم عبدالرزاق بن محمّد -1254ه-</w:t>
      </w:r>
      <w:bookmarkEnd w:id="13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الاعداد المناسبة( رسالة في)، ج2،</w:t>
      </w:r>
    </w:p>
    <w:p>
      <w:pPr>
        <w:pStyle w:val="BookText"/>
      </w:pPr>
      <w:r>
        <w:rPr>
          <w:rFonts w:ascii="IRNazanin" w:hAnsi="IRNazanin" w:eastAsia="IRNazanin" w:cs="IRNazanin"/>
          <w:lang w:bidi="fa-IR"/>
          <w:color w:val="111111"/>
          <w:sz w:val="28"/>
          <w:szCs w:val="28"/>
          <w:rtl/>
        </w:rPr>
        <w:t xml:space="preserve">ص 526.</w:t>
      </w:r>
    </w:p>
    <w:p>
      <w:pPr>
        <w:pStyle w:val="BookText"/>
      </w:pPr>
      <w:r>
        <w:rPr>
          <w:rFonts w:ascii="Amiri" w:hAnsi="Amiri" w:eastAsia="Amiri" w:cs="Amiri"/>
          <w:lang w:bidi="ar-SA"/>
          <w:color w:val="111111"/>
          <w:sz w:val="28"/>
          <w:szCs w:val="28"/>
          <w:rtl/>
        </w:rPr>
        <w:t xml:space="preserve">2 .علم الميقات (رسالة في)، ج 11،</w:t>
      </w:r>
    </w:p>
    <w:p>
      <w:pPr>
        <w:pStyle w:val="BookText"/>
      </w:pPr>
      <w:r>
        <w:rPr>
          <w:rFonts w:ascii="IRNazanin" w:hAnsi="IRNazanin" w:eastAsia="IRNazanin" w:cs="IRNazanin"/>
          <w:lang w:bidi="fa-IR"/>
          <w:color w:val="111111"/>
          <w:sz w:val="28"/>
          <w:szCs w:val="28"/>
          <w:rtl/>
        </w:rPr>
        <w:t xml:space="preserve">ص 262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الفواكه الشهية في شرح المنظومة</w:t>
      </w:r>
    </w:p>
    <w:p>
      <w:pPr>
        <w:pStyle w:val="BookText"/>
      </w:pPr>
      <w:r>
        <w:rPr>
          <w:rFonts w:ascii="Amiri" w:hAnsi="Amiri" w:eastAsia="Amiri" w:cs="Amiri"/>
          <w:lang w:bidi="ar-SA"/>
          <w:color w:val="111111"/>
          <w:sz w:val="28"/>
          <w:szCs w:val="28"/>
          <w:rtl/>
        </w:rPr>
        <w:t xml:space="preserve">البرهانية، ج 12، ص 300 .</w:t>
      </w:r>
    </w:p>
    <w:p>
      <w:pPr>
        <w:pStyle w:val="BookText"/>
      </w:pPr>
      <w:r>
        <w:rPr>
          <w:rFonts w:ascii="Amiri" w:hAnsi="Amiri" w:eastAsia="Amiri" w:cs="Amiri"/>
          <w:lang w:bidi="ar-SA"/>
          <w:color w:val="111111"/>
          <w:sz w:val="28"/>
          <w:szCs w:val="28"/>
          <w:rtl/>
        </w:rPr>
        <w:t xml:space="preserve">4 .مرقاة السماء في شرح سلم العروج في المنازل و البروج لابن عفالق</w:t>
      </w:r>
    </w:p>
    <w:p>
      <w:pPr>
        <w:pStyle w:val="BookText"/>
      </w:pPr>
      <w:r>
        <w:rPr>
          <w:rFonts w:ascii="IRNazanin" w:hAnsi="IRNazanin" w:eastAsia="IRNazanin" w:cs="IRNazanin"/>
          <w:lang w:bidi="fa-IR"/>
          <w:color w:val="111111"/>
          <w:sz w:val="28"/>
          <w:szCs w:val="28"/>
          <w:rtl/>
        </w:rPr>
        <w:t xml:space="preserve">ج 14، ص 405.</w:t>
      </w:r>
    </w:p>
    <w:p>
      <w:pPr>
        <w:pStyle w:val="Heading2"/>
      </w:pPr>
      <w:bookmarkStart w:id="1375" w:name="_Toc477"/>
      <w:r>
        <w:t>ابن سلوم ، محمّد بن علي - 1246ه-</w:t>
      </w:r>
      <w:bookmarkEnd w:id="1375"/>
    </w:p>
    <w:p>
      <w:pPr>
        <w:pStyle w:val="BookText"/>
      </w:pPr>
      <w:r>
        <w:rPr>
          <w:rFonts w:ascii="IRNazanin" w:hAnsi="IRNazanin" w:eastAsia="IRNazanin" w:cs="IRNazanin"/>
          <w:lang w:bidi="fa-IR"/>
          <w:color w:val="111111"/>
          <w:sz w:val="28"/>
          <w:szCs w:val="28"/>
          <w:rtl/>
        </w:rPr>
        <w:t xml:space="preserve">1 .ألغاز، ج 2، ص 670.</w:t>
      </w:r>
    </w:p>
    <w:p>
      <w:pPr>
        <w:pStyle w:val="BookText"/>
      </w:pPr>
      <w:r>
        <w:rPr>
          <w:rFonts w:ascii="Amiri" w:hAnsi="Amiri" w:eastAsia="Amiri" w:cs="Amiri"/>
          <w:lang w:bidi="ar-SA"/>
          <w:color w:val="111111"/>
          <w:sz w:val="28"/>
          <w:szCs w:val="28"/>
          <w:rtl/>
        </w:rPr>
        <w:t xml:space="preserve">2 .الفواكه الجنيه في حل المنظومة</w:t>
      </w:r>
    </w:p>
    <w:p>
      <w:pPr>
        <w:pStyle w:val="BookText"/>
      </w:pPr>
      <w:r>
        <w:rPr>
          <w:rFonts w:ascii="Amiri" w:hAnsi="Amiri" w:eastAsia="Amiri" w:cs="Amiri"/>
          <w:lang w:bidi="ar-SA"/>
          <w:color w:val="111111"/>
          <w:sz w:val="28"/>
          <w:szCs w:val="28"/>
          <w:rtl/>
        </w:rPr>
        <w:t xml:space="preserve">البرهانية، ج 12، ص 300.</w:t>
      </w:r>
    </w:p>
    <w:p>
      <w:pPr>
        <w:pStyle w:val="BookText"/>
      </w:pPr>
      <w:r>
        <w:rPr>
          <w:rFonts w:ascii="Amiri" w:hAnsi="Amiri" w:eastAsia="Amiri" w:cs="Amiri"/>
          <w:lang w:bidi="ar-SA"/>
          <w:color w:val="111111"/>
          <w:sz w:val="28"/>
          <w:szCs w:val="28"/>
          <w:rtl/>
        </w:rPr>
        <w:t xml:space="preserve">3 .قرة عين المهرة لاثبات استخراج</w:t>
      </w:r>
    </w:p>
    <w:p>
      <w:pPr>
        <w:pStyle w:val="BookText"/>
      </w:pPr>
      <w:r>
        <w:rPr>
          <w:rFonts w:ascii="IRNazanin" w:hAnsi="IRNazanin" w:eastAsia="IRNazanin" w:cs="IRNazanin"/>
          <w:lang w:bidi="fa-IR"/>
          <w:color w:val="111111"/>
          <w:sz w:val="28"/>
          <w:szCs w:val="28"/>
          <w:rtl/>
        </w:rPr>
        <w:t xml:space="preserve">المجهول، ج 12، ص 570.</w:t>
      </w:r>
    </w:p>
    <w:p>
      <w:pPr>
        <w:pStyle w:val="BookText"/>
      </w:pPr>
      <w:r>
        <w:rPr>
          <w:rFonts w:ascii="Amiri" w:hAnsi="Amiri" w:eastAsia="Amiri" w:cs="Amiri"/>
          <w:lang w:bidi="ar-SA"/>
          <w:color w:val="111111"/>
          <w:sz w:val="28"/>
          <w:szCs w:val="28"/>
          <w:rtl/>
        </w:rPr>
        <w:t xml:space="preserve">4 .مختصر عقد الدرر واللآلي في فضل الشهور والايام والليالي، ج 14</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Amiri" w:hAnsi="Amiri" w:eastAsia="Amiri" w:cs="Amiri"/>
          <w:lang w:bidi="ar-SA"/>
          <w:color w:val="111111"/>
          <w:sz w:val="28"/>
          <w:szCs w:val="28"/>
          <w:rtl/>
        </w:rPr>
        <w:t xml:space="preserve">5 .وسيلة الراغبين و بغية المستفيدين</w:t>
      </w:r>
    </w:p>
    <w:p>
      <w:pPr>
        <w:pStyle w:val="BookText"/>
      </w:pPr>
      <w:r>
        <w:rPr>
          <w:rFonts w:ascii="IRNazanin" w:hAnsi="IRNazanin" w:eastAsia="IRNazanin" w:cs="IRNazanin"/>
          <w:lang w:bidi="fa-IR"/>
          <w:color w:val="111111"/>
          <w:sz w:val="28"/>
          <w:szCs w:val="28"/>
          <w:rtl/>
        </w:rPr>
        <w:t xml:space="preserve">ج 16، ص 784 .</w:t>
      </w:r>
    </w:p>
    <w:p>
      <w:pPr>
        <w:pStyle w:val="BookText"/>
      </w:pPr>
      <w:r>
        <w:rPr>
          <w:rFonts w:ascii="Amiri" w:hAnsi="Amiri" w:eastAsia="Amiri" w:cs="Amiri"/>
          <w:lang w:bidi="ar-SA"/>
          <w:color w:val="111111"/>
          <w:sz w:val="28"/>
          <w:szCs w:val="28"/>
          <w:rtl/>
        </w:rPr>
        <w:t xml:space="preserve">ابن سماك ، ابوذر عبد بن احمد خراساني- ابوذر هروي، عبد بن احمد</w:t>
      </w:r>
    </w:p>
    <w:p>
      <w:pPr>
        <w:pStyle w:val="BookText"/>
      </w:pPr>
      <w:r>
        <w:rPr>
          <w:rFonts w:ascii="Amiri" w:hAnsi="Amiri" w:eastAsia="Amiri" w:cs="Amiri"/>
          <w:lang w:bidi="ar-SA"/>
          <w:color w:val="111111"/>
          <w:sz w:val="28"/>
          <w:szCs w:val="28"/>
          <w:rtl/>
        </w:rPr>
        <w:t xml:space="preserve">ابن سماك اموي ، يعيش بن</w:t>
      </w:r>
    </w:p>
    <w:p>
      <w:pPr>
        <w:pStyle w:val="BookText"/>
      </w:pPr>
      <w:r>
        <w:rPr>
          <w:rFonts w:ascii="Amiri" w:hAnsi="Amiri" w:eastAsia="Amiri" w:cs="Amiri"/>
          <w:lang w:bidi="ar-SA"/>
          <w:color w:val="111111"/>
          <w:sz w:val="28"/>
          <w:szCs w:val="28"/>
          <w:rtl/>
        </w:rPr>
        <w:t xml:space="preserve">ابراهيم- اموي ، يعيش بن ابراهيم</w:t>
      </w:r>
    </w:p>
    <w:p>
      <w:pPr>
        <w:pStyle w:val="Heading2"/>
      </w:pPr>
      <w:bookmarkStart w:id="1376" w:name="_Toc478"/>
      <w:r>
        <w:t>ابن سمان ، محمّد قرن 12 ه-</w:t>
      </w:r>
      <w:bookmarkEnd w:id="1376"/>
    </w:p>
    <w:p>
      <w:pPr>
        <w:pStyle w:val="BookText"/>
      </w:pPr>
      <w:r>
        <w:rPr>
          <w:rFonts w:ascii="Amiri" w:hAnsi="Amiri" w:eastAsia="Amiri" w:cs="Amiri"/>
          <w:lang w:bidi="ar-SA"/>
          <w:color w:val="111111"/>
          <w:sz w:val="28"/>
          <w:szCs w:val="28"/>
          <w:rtl/>
        </w:rPr>
        <w:t xml:space="preserve">ذيل نفحة الريحانة ورشحة طلاء</w:t>
      </w:r>
    </w:p>
    <w:p>
      <w:pPr>
        <w:pStyle w:val="BookText"/>
      </w:pPr>
      <w:r>
        <w:rPr>
          <w:rFonts w:ascii="Amiri" w:hAnsi="Amiri" w:eastAsia="Amiri" w:cs="Amiri"/>
          <w:lang w:bidi="ar-SA"/>
          <w:color w:val="111111"/>
          <w:sz w:val="28"/>
          <w:szCs w:val="28"/>
          <w:rtl/>
        </w:rPr>
        <w:t xml:space="preserve">الحانة، ج7، ص883.</w:t>
      </w:r>
    </w:p>
    <w:p>
      <w:pPr>
        <w:pStyle w:val="Heading2"/>
      </w:pPr>
      <w:bookmarkStart w:id="1377" w:name="_Toc479"/>
      <w:r>
        <w:t>ابن سمعون ، محمّد بن احمد بن</w:t>
      </w:r>
      <w:bookmarkEnd w:id="1377"/>
    </w:p>
    <w:p>
      <w:pPr>
        <w:pStyle w:val="BookText"/>
      </w:pPr>
      <w:r>
        <w:rPr>
          <w:rFonts w:ascii="Amiri" w:hAnsi="Amiri" w:eastAsia="Amiri" w:cs="Amiri"/>
          <w:lang w:bidi="ar-SA"/>
          <w:color w:val="111111"/>
          <w:sz w:val="28"/>
          <w:szCs w:val="28"/>
          <w:rtl/>
        </w:rPr>
        <w:t xml:space="preserve">اسماعيل، 300 - 387 ه- الامالي، ج 2، ص 714.</w:t>
      </w:r>
    </w:p>
    <w:p>
      <w:pPr>
        <w:pStyle w:val="BookText"/>
      </w:pPr>
      <w:r>
        <w:rPr>
          <w:rFonts w:ascii="Amiri" w:hAnsi="Amiri" w:eastAsia="Amiri" w:cs="Amiri"/>
          <w:lang w:bidi="ar-SA"/>
          <w:color w:val="111111"/>
          <w:sz w:val="28"/>
          <w:szCs w:val="28"/>
          <w:rtl/>
        </w:rPr>
        <w:t xml:space="preserve">ابن سمناني ، علي بن محمد- سمناني</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ابن سمين حلبي ، احمد بن يوسف -سمين</w:t>
      </w:r>
    </w:p>
    <w:p>
      <w:pPr>
        <w:pStyle w:val="BookText"/>
      </w:pPr>
      <w:r>
        <w:rPr>
          <w:rFonts w:ascii="Amiri" w:hAnsi="Amiri" w:eastAsia="Amiri" w:cs="Amiri"/>
          <w:lang w:bidi="ar-SA"/>
          <w:color w:val="111111"/>
          <w:sz w:val="28"/>
          <w:szCs w:val="28"/>
          <w:rtl/>
        </w:rPr>
        <w:t xml:space="preserve">، احمد بن يوسف</w:t>
      </w:r>
    </w:p>
    <w:p>
      <w:pPr>
        <w:pStyle w:val="Heading2"/>
      </w:pPr>
      <w:bookmarkStart w:id="1378" w:name="_Toc480"/>
      <w:r>
        <w:t>ابن سناء الملك ، هبة الله بن جعفر، 550؟</w:t>
      </w:r>
      <w:bookmarkEnd w:id="13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608 ه-</w:t>
      </w:r>
    </w:p>
    <w:p>
      <w:pPr>
        <w:pStyle w:val="BookText"/>
      </w:pPr>
      <w:r>
        <w:rPr>
          <w:rFonts w:ascii="Amiri" w:hAnsi="Amiri" w:eastAsia="Amiri" w:cs="Amiri"/>
          <w:lang w:bidi="ar-SA"/>
          <w:color w:val="111111"/>
          <w:sz w:val="28"/>
          <w:szCs w:val="28"/>
          <w:rtl/>
        </w:rPr>
        <w:t xml:space="preserve">ديوان ابن سناء الملك، ج 7، ص 521.</w:t>
      </w:r>
    </w:p>
    <w:p>
      <w:pPr>
        <w:pStyle w:val="Heading2"/>
      </w:pPr>
      <w:bookmarkStart w:id="1379" w:name="_Toc481"/>
      <w:r>
        <w:t>ابن سنادست ، علي بن افراسياب - 1062</w:t>
      </w:r>
      <w:bookmarkEnd w:id="1379"/>
    </w:p>
    <w:p>
      <w:pPr>
        <w:pStyle w:val="BookText"/>
      </w:pPr>
      <w:r>
        <w:rPr>
          <w:rFonts w:ascii="Amiri" w:hAnsi="Amiri" w:eastAsia="Amiri" w:cs="Amiri"/>
          <w:lang w:bidi="ar-SA"/>
          <w:color w:val="111111"/>
          <w:sz w:val="28"/>
          <w:szCs w:val="28"/>
          <w:rtl/>
        </w:rPr>
        <w:t xml:space="preserve">قصيدة علي باشا، ج 12، ص 683 .</w:t>
      </w:r>
    </w:p>
    <w:p>
      <w:pPr>
        <w:pStyle w:val="Heading2"/>
      </w:pPr>
      <w:bookmarkStart w:id="1380" w:name="_Toc482"/>
      <w:r>
        <w:t>ابن سنان محمّد بن كاتب سنان -930ه-</w:t>
      </w:r>
      <w:bookmarkEnd w:id="1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أجناح النجاح، ج 1، ص317.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العمل بالربع، ج11، ص312.</w:t>
      </w:r>
    </w:p>
    <w:p>
      <w:pPr>
        <w:pStyle w:val="BookText"/>
      </w:pPr>
      <w:r>
        <w:rPr>
          <w:rFonts w:ascii="Amiri" w:hAnsi="Amiri" w:eastAsia="Amiri" w:cs="Amiri"/>
          <w:lang w:bidi="ar-SA"/>
          <w:color w:val="111111"/>
          <w:sz w:val="28"/>
          <w:szCs w:val="28"/>
          <w:rtl/>
        </w:rPr>
        <w:t xml:space="preserve">ابن سنان ، مهنا بن سنان حسيني مدني ،</w:t>
      </w:r>
    </w:p>
    <w:p>
      <w:pPr>
        <w:pStyle w:val="BookText"/>
      </w:pPr>
      <w:r>
        <w:rPr>
          <w:rFonts w:ascii="IRNazanin" w:hAnsi="IRNazanin" w:eastAsia="IRNazanin" w:cs="IRNazanin"/>
          <w:lang w:bidi="fa-IR"/>
          <w:color w:val="111111"/>
          <w:sz w:val="28"/>
          <w:szCs w:val="28"/>
          <w:rtl/>
        </w:rPr>
        <w:t xml:space="preserve">مهنا بن سنان</w:t>
      </w:r>
    </w:p>
    <w:p>
      <w:pPr>
        <w:pStyle w:val="Heading2"/>
      </w:pPr>
      <w:bookmarkStart w:id="1381" w:name="_Toc483"/>
      <w:r>
        <w:t>ابن سنبل ، محمّد بن سعيد</w:t>
      </w:r>
      <w:bookmarkEnd w:id="1381"/>
    </w:p>
    <w:p>
      <w:pPr>
        <w:pStyle w:val="BookText"/>
      </w:pPr>
      <w:r>
        <w:rPr>
          <w:rFonts w:ascii="IRNazanin" w:hAnsi="IRNazanin" w:eastAsia="IRNazanin" w:cs="IRNazanin"/>
          <w:lang w:bidi="fa-IR"/>
          <w:color w:val="111111"/>
          <w:sz w:val="28"/>
          <w:szCs w:val="28"/>
          <w:rtl/>
        </w:rPr>
        <w:t xml:space="preserve">ثبت محمّد بن سنبل، ج 5، ص 215.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7742_69493"/>
    <w:bookmarkEnd w:id="75"/>
    <w:p>
      <w:pPr>
        <w:pStyle w:val="BookText"/>
      </w:pPr>
      <w:r>
        <w:rPr>
          <w:rFonts w:ascii="Amiri" w:hAnsi="Amiri" w:eastAsia="Amiri" w:cs="Amiri"/>
          <w:lang w:bidi="ar-SA"/>
          <w:color w:val="111111"/>
          <w:sz w:val="28"/>
          <w:szCs w:val="28"/>
          <w:rtl/>
        </w:rPr>
        <w:t xml:space="preserve">ابن سند ، عثمان بن سند- وائلي ، عثمان</w:t>
      </w:r>
    </w:p>
    <w:p>
      <w:pPr>
        <w:pStyle w:val="BookText"/>
      </w:pPr>
      <w:r>
        <w:rPr>
          <w:rFonts w:ascii="IRNazanin" w:hAnsi="IRNazanin" w:eastAsia="IRNazanin" w:cs="IRNazanin"/>
          <w:lang w:bidi="fa-IR"/>
          <w:color w:val="111111"/>
          <w:sz w:val="28"/>
          <w:szCs w:val="28"/>
          <w:rtl/>
        </w:rPr>
        <w:t xml:space="preserve">بن سند</w:t>
      </w:r>
    </w:p>
    <w:p>
      <w:pPr>
        <w:pStyle w:val="Heading2"/>
      </w:pPr>
      <w:bookmarkStart w:id="1382" w:name="_Toc484"/>
      <w:r>
        <w:t>ابن سني ، احمد بن محمّد، 284 - 364 ؟</w:t>
      </w:r>
      <w:bookmarkEnd w:id="1382"/>
    </w:p>
    <w:p>
      <w:pPr>
        <w:pStyle w:val="BookText"/>
      </w:pPr>
      <w:r>
        <w:rPr>
          <w:rFonts w:ascii="Amiri" w:hAnsi="Amiri" w:eastAsia="Amiri" w:cs="Amiri"/>
          <w:lang w:bidi="ar-SA"/>
          <w:color w:val="111111"/>
          <w:sz w:val="28"/>
          <w:szCs w:val="28"/>
          <w:rtl/>
        </w:rPr>
        <w:t xml:space="preserve">عمل اليوم والليلة، ج 11، ص 325.</w:t>
      </w:r>
    </w:p>
    <w:p>
      <w:pPr>
        <w:pStyle w:val="Heading2"/>
      </w:pPr>
      <w:bookmarkStart w:id="1383" w:name="_Toc485"/>
      <w:r>
        <w:t>ابن سهل</w:t>
      </w:r>
      <w:bookmarkEnd w:id="1383"/>
    </w:p>
    <w:p>
      <w:pPr>
        <w:pStyle w:val="BookText"/>
      </w:pPr>
      <w:r>
        <w:rPr>
          <w:rFonts w:ascii="Amiri" w:hAnsi="Amiri" w:eastAsia="Amiri" w:cs="Amiri"/>
          <w:lang w:bidi="ar-SA"/>
          <w:color w:val="111111"/>
          <w:sz w:val="28"/>
          <w:szCs w:val="28"/>
          <w:rtl/>
        </w:rPr>
        <w:t xml:space="preserve">السعادة( رسالة في)، ج8، ص 772.</w:t>
      </w:r>
    </w:p>
    <w:p>
      <w:pPr>
        <w:pStyle w:val="Heading2"/>
      </w:pPr>
      <w:bookmarkStart w:id="1384" w:name="_Toc486"/>
      <w:r>
        <w:t>ابن سهل ، ابراهيم بن سهل 605-649ه-</w:t>
      </w:r>
      <w:bookmarkEnd w:id="1384"/>
    </w:p>
    <w:p>
      <w:pPr>
        <w:pStyle w:val="BookText"/>
      </w:pPr>
      <w:r>
        <w:rPr>
          <w:rFonts w:ascii="IRNazanin" w:hAnsi="IRNazanin" w:eastAsia="IRNazanin" w:cs="IRNazanin"/>
          <w:lang w:bidi="fa-IR"/>
          <w:color w:val="111111"/>
          <w:sz w:val="28"/>
          <w:szCs w:val="28"/>
          <w:rtl/>
        </w:rPr>
        <w:t xml:space="preserve">دیوان ابن سهل ابراهيم الاشبيلي</w:t>
      </w:r>
    </w:p>
    <w:p>
      <w:pPr>
        <w:pStyle w:val="BookText"/>
      </w:pPr>
      <w:r>
        <w:rPr>
          <w:rFonts w:ascii="Amiri" w:hAnsi="Amiri" w:eastAsia="Amiri" w:cs="Amiri"/>
          <w:lang w:bidi="ar-SA"/>
          <w:color w:val="111111"/>
          <w:sz w:val="28"/>
          <w:szCs w:val="28"/>
          <w:rtl/>
        </w:rPr>
        <w:t xml:space="preserve">الاسرائيلي، ج 7، ص 521.</w:t>
      </w:r>
    </w:p>
    <w:p>
      <w:pPr>
        <w:pStyle w:val="Heading2"/>
      </w:pPr>
      <w:bookmarkStart w:id="1385" w:name="_Toc487"/>
      <w:r>
        <w:t>ابن سهلان ساوي ، عمر بن سهلان</w:t>
      </w:r>
      <w:bookmarkEnd w:id="1385"/>
    </w:p>
    <w:p>
      <w:pPr>
        <w:pStyle w:val="BookText"/>
      </w:pPr>
      <w:r>
        <w:rPr>
          <w:rFonts w:ascii="IRNazanin" w:hAnsi="IRNazanin" w:eastAsia="IRNazanin" w:cs="IRNazanin"/>
          <w:lang w:bidi="fa-IR"/>
          <w:color w:val="111111"/>
          <w:sz w:val="28"/>
          <w:szCs w:val="28"/>
          <w:rtl/>
        </w:rPr>
        <w:t xml:space="preserve">450 ه-</w:t>
      </w:r>
    </w:p>
    <w:p>
      <w:pPr>
        <w:pStyle w:val="BookText"/>
      </w:pPr>
      <w:r>
        <w:rPr>
          <w:rFonts w:ascii="Amiri" w:hAnsi="Amiri" w:eastAsia="Amiri" w:cs="Amiri"/>
          <w:lang w:bidi="ar-SA"/>
          <w:color w:val="111111"/>
          <w:sz w:val="28"/>
          <w:szCs w:val="28"/>
          <w:rtl/>
        </w:rPr>
        <w:t xml:space="preserve">1 .البصائر النصيرية، ج 3، ص 346.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الطير (ترجمه و شرح)، ج10،</w:t>
      </w:r>
    </w:p>
    <w:p>
      <w:pPr>
        <w:pStyle w:val="BookText"/>
      </w:pPr>
      <w:r>
        <w:rPr>
          <w:rFonts w:ascii="IRNazanin" w:hAnsi="IRNazanin" w:eastAsia="IRNazanin" w:cs="IRNazanin"/>
          <w:lang w:bidi="fa-IR"/>
          <w:color w:val="111111"/>
          <w:sz w:val="28"/>
          <w:szCs w:val="28"/>
          <w:rtl/>
        </w:rPr>
        <w:t xml:space="preserve">ص 877</w:t>
      </w:r>
    </w:p>
    <w:p>
      <w:pPr>
        <w:pStyle w:val="Heading2"/>
      </w:pPr>
      <w:bookmarkStart w:id="1386" w:name="_Toc488"/>
      <w:r>
        <w:t>ابن سهل خرايطي ، محمّد بن جعفر</w:t>
      </w:r>
      <w:bookmarkEnd w:id="1386"/>
    </w:p>
    <w:p>
      <w:pPr>
        <w:pStyle w:val="BookText"/>
      </w:pPr>
      <w:r>
        <w:rPr>
          <w:rFonts w:ascii="Amiri" w:hAnsi="Amiri" w:eastAsia="Amiri" w:cs="Amiri"/>
          <w:lang w:bidi="ar-SA"/>
          <w:color w:val="111111"/>
          <w:sz w:val="28"/>
          <w:szCs w:val="28"/>
          <w:rtl/>
        </w:rPr>
        <w:t xml:space="preserve">1 .فضيلة الشكر، ج 12، ص 32.</w:t>
      </w:r>
    </w:p>
    <w:p>
      <w:pPr>
        <w:pStyle w:val="BookText"/>
      </w:pPr>
      <w:r>
        <w:rPr>
          <w:rFonts w:ascii="Amiri" w:hAnsi="Amiri" w:eastAsia="Amiri" w:cs="Amiri"/>
          <w:lang w:bidi="ar-SA"/>
          <w:color w:val="111111"/>
          <w:sz w:val="28"/>
          <w:szCs w:val="28"/>
          <w:rtl/>
        </w:rPr>
        <w:t xml:space="preserve">2.مساويء الأخلاق، ج 14، ص 535.</w:t>
      </w:r>
    </w:p>
    <w:p>
      <w:pPr>
        <w:pStyle w:val="BookText"/>
      </w:pPr>
      <w:r>
        <w:rPr>
          <w:rFonts w:ascii="Amiri" w:hAnsi="Amiri" w:eastAsia="Amiri" w:cs="Amiri"/>
          <w:lang w:bidi="ar-SA"/>
          <w:color w:val="111111"/>
          <w:sz w:val="28"/>
          <w:szCs w:val="28"/>
          <w:rtl/>
        </w:rPr>
        <w:t xml:space="preserve">ابن سهل سرخسي- شمس الائمه سرخسي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1387" w:name="_Toc489"/>
      <w:r>
        <w:t>ابن سهيل ، عبدالله بن سهيل نحوي</w:t>
      </w:r>
      <w:bookmarkEnd w:id="1387"/>
    </w:p>
    <w:p>
      <w:pPr>
        <w:pStyle w:val="BookText"/>
      </w:pPr>
      <w:r>
        <w:rPr>
          <w:rFonts w:ascii="IRNazanin" w:hAnsi="IRNazanin" w:eastAsia="IRNazanin" w:cs="IRNazanin"/>
          <w:lang w:bidi="fa-IR"/>
          <w:color w:val="111111"/>
          <w:sz w:val="28"/>
          <w:szCs w:val="28"/>
          <w:rtl/>
        </w:rPr>
        <w:t xml:space="preserve">الضاد والظاء، ج 10، ص 687.</w:t>
      </w:r>
    </w:p>
    <w:p>
      <w:pPr>
        <w:pStyle w:val="BookText"/>
      </w:pPr>
      <w:r>
        <w:rPr>
          <w:rFonts w:ascii="Amiri" w:hAnsi="Amiri" w:eastAsia="Amiri" w:cs="Amiri"/>
          <w:lang w:bidi="ar-SA"/>
          <w:color w:val="111111"/>
          <w:sz w:val="28"/>
          <w:szCs w:val="28"/>
          <w:rtl/>
        </w:rPr>
        <w:t xml:space="preserve">ابن سهيل كاتب ، محمّد بن همام- ابن</w:t>
      </w:r>
    </w:p>
    <w:p>
      <w:pPr>
        <w:pStyle w:val="BookText"/>
      </w:pPr>
      <w:r>
        <w:rPr>
          <w:rFonts w:ascii="IRNazanin" w:hAnsi="IRNazanin" w:eastAsia="IRNazanin" w:cs="IRNazanin"/>
          <w:lang w:bidi="fa-IR"/>
          <w:color w:val="111111"/>
          <w:sz w:val="28"/>
          <w:szCs w:val="28"/>
          <w:rtl/>
        </w:rPr>
        <w:t xml:space="preserve">همام، محمّد بن همام</w:t>
      </w:r>
    </w:p>
    <w:p>
      <w:pPr>
        <w:pStyle w:val="Heading2"/>
      </w:pPr>
      <w:bookmarkStart w:id="1388" w:name="_Toc490"/>
      <w:r>
        <w:t>ابن سودون ، علي بن سودون 810 - 868</w:t>
      </w:r>
      <w:bookmarkEnd w:id="1388"/>
    </w:p>
    <w:p>
      <w:pPr>
        <w:pStyle w:val="BookText"/>
      </w:pPr>
      <w:r>
        <w:rPr>
          <w:rFonts w:ascii="Amiri" w:hAnsi="Amiri" w:eastAsia="Amiri" w:cs="Amiri"/>
          <w:lang w:bidi="ar-SA"/>
          <w:color w:val="111111"/>
          <w:sz w:val="28"/>
          <w:szCs w:val="28"/>
          <w:rtl/>
        </w:rPr>
        <w:t xml:space="preserve">1 .قرة الناظر و نزهة الخاطر، ج 12،</w:t>
      </w:r>
    </w:p>
    <w:p>
      <w:pPr>
        <w:pStyle w:val="BookText"/>
      </w:pPr>
      <w:r>
        <w:rPr>
          <w:rFonts w:ascii="IRNazanin" w:hAnsi="IRNazanin" w:eastAsia="IRNazanin" w:cs="IRNazanin"/>
          <w:lang w:bidi="fa-IR"/>
          <w:color w:val="111111"/>
          <w:sz w:val="28"/>
          <w:szCs w:val="28"/>
          <w:rtl/>
        </w:rPr>
        <w:t xml:space="preserve">ص 577</w:t>
      </w:r>
    </w:p>
    <w:p>
      <w:pPr>
        <w:pStyle w:val="BookText"/>
      </w:pPr>
      <w:r>
        <w:rPr>
          <w:rFonts w:ascii="Amiri" w:hAnsi="Amiri" w:eastAsia="Amiri" w:cs="Amiri"/>
          <w:lang w:bidi="ar-SA"/>
          <w:color w:val="111111"/>
          <w:sz w:val="28"/>
          <w:szCs w:val="28"/>
          <w:rtl/>
        </w:rPr>
        <w:t xml:space="preserve">2 .نزهة النفوس و مضحك العبوس</w:t>
      </w:r>
    </w:p>
    <w:p>
      <w:pPr>
        <w:pStyle w:val="BookText"/>
      </w:pPr>
      <w:r>
        <w:rPr>
          <w:rFonts w:ascii="IRNazanin" w:hAnsi="IRNazanin" w:eastAsia="IRNazanin" w:cs="IRNazanin"/>
          <w:lang w:bidi="fa-IR"/>
          <w:color w:val="111111"/>
          <w:sz w:val="28"/>
          <w:szCs w:val="28"/>
          <w:rtl/>
        </w:rPr>
        <w:t xml:space="preserve">ج 16، ص 258.</w:t>
      </w:r>
    </w:p>
    <w:p>
      <w:pPr>
        <w:pStyle w:val="BookText"/>
      </w:pPr>
      <w:r>
        <w:rPr>
          <w:rFonts w:ascii="Amiri" w:hAnsi="Amiri" w:eastAsia="Amiri" w:cs="Amiri"/>
          <w:lang w:bidi="ar-SA"/>
          <w:color w:val="111111"/>
          <w:sz w:val="28"/>
          <w:szCs w:val="28"/>
          <w:rtl/>
        </w:rPr>
        <w:t xml:space="preserve">ابن سويدي، ابراهيم بن محمّد -سويدي</w:t>
      </w:r>
    </w:p>
    <w:p>
      <w:pPr>
        <w:pStyle w:val="BookText"/>
      </w:pPr>
      <w:r>
        <w:rPr>
          <w:rFonts w:ascii="IRNazanin" w:hAnsi="IRNazanin" w:eastAsia="IRNazanin" w:cs="IRNazanin"/>
          <w:lang w:bidi="fa-IR"/>
          <w:color w:val="111111"/>
          <w:sz w:val="28"/>
          <w:szCs w:val="28"/>
          <w:rtl/>
        </w:rPr>
        <w:t xml:space="preserve">، ابراهیم بن محمّد</w:t>
      </w:r>
    </w:p>
    <w:p>
      <w:pPr>
        <w:pStyle w:val="BookText"/>
      </w:pPr>
      <w:r>
        <w:rPr>
          <w:rFonts w:ascii="Amiri" w:hAnsi="Amiri" w:eastAsia="Amiri" w:cs="Amiri"/>
          <w:lang w:bidi="ar-SA"/>
          <w:color w:val="111111"/>
          <w:sz w:val="28"/>
          <w:szCs w:val="28"/>
          <w:rtl/>
        </w:rPr>
        <w:t xml:space="preserve">ابن سيار ، احمد بن محمّد -سياري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ابن سيار المنقري ، نصر بن مزاحم- نصر</w:t>
      </w:r>
    </w:p>
    <w:p>
      <w:pPr>
        <w:pStyle w:val="BookText"/>
      </w:pPr>
      <w:r>
        <w:rPr>
          <w:rFonts w:ascii="IRNazanin" w:hAnsi="IRNazanin" w:eastAsia="IRNazanin" w:cs="IRNazanin"/>
          <w:lang w:bidi="fa-IR"/>
          <w:color w:val="111111"/>
          <w:sz w:val="28"/>
          <w:szCs w:val="28"/>
          <w:rtl/>
        </w:rPr>
        <w:t xml:space="preserve">بن مزاحم</w:t>
      </w:r>
    </w:p>
    <w:p>
      <w:pPr>
        <w:pStyle w:val="BookText"/>
      </w:pPr>
      <w:r>
        <w:rPr>
          <w:rFonts w:ascii="Amiri" w:hAnsi="Amiri" w:eastAsia="Amiri" w:cs="Amiri"/>
          <w:lang w:bidi="ar-SA"/>
          <w:color w:val="111111"/>
          <w:sz w:val="28"/>
          <w:szCs w:val="28"/>
          <w:rtl/>
        </w:rPr>
        <w:t xml:space="preserve">ابن سيد ، ابومحمّد عبدالله بن محمّد بن</w:t>
      </w:r>
    </w:p>
    <w:p>
      <w:pPr>
        <w:pStyle w:val="BookText"/>
      </w:pPr>
      <w:r>
        <w:rPr>
          <w:rFonts w:ascii="Amiri" w:hAnsi="Amiri" w:eastAsia="Amiri" w:cs="Amiri"/>
          <w:lang w:bidi="ar-SA"/>
          <w:color w:val="111111"/>
          <w:sz w:val="28"/>
          <w:szCs w:val="28"/>
          <w:rtl/>
        </w:rPr>
        <w:t xml:space="preserve">سيد -بطليوسي ، عبد الله بن محمّد</w:t>
      </w:r>
    </w:p>
    <w:p>
      <w:pPr>
        <w:pStyle w:val="Heading2"/>
      </w:pPr>
      <w:bookmarkStart w:id="1389" w:name="_Toc491"/>
      <w:r>
        <w:t>ابن سيد الناس ، محمّد بن محمّد 671 -</w:t>
      </w:r>
      <w:bookmarkEnd w:id="1389"/>
    </w:p>
    <w:p>
      <w:pPr>
        <w:pStyle w:val="BookText"/>
      </w:pPr>
      <w:r>
        <w:rPr>
          <w:rFonts w:ascii="IRNazanin" w:hAnsi="IRNazanin" w:eastAsia="IRNazanin" w:cs="IRNazanin"/>
          <w:lang w:bidi="fa-IR"/>
          <w:color w:val="111111"/>
          <w:sz w:val="28"/>
          <w:szCs w:val="28"/>
          <w:rtl/>
        </w:rPr>
        <w:t xml:space="preserve">734 ه-</w:t>
      </w:r>
    </w:p>
    <w:p>
      <w:pPr>
        <w:pStyle w:val="BookText"/>
      </w:pPr>
      <w:r>
        <w:rPr>
          <w:rFonts w:ascii="Amiri" w:hAnsi="Amiri" w:eastAsia="Amiri" w:cs="Amiri"/>
          <w:lang w:bidi="ar-SA"/>
          <w:color w:val="111111"/>
          <w:sz w:val="28"/>
          <w:szCs w:val="28"/>
          <w:rtl/>
        </w:rPr>
        <w:t xml:space="preserve">1 .عدة المعاد في عروض قصيدة بانت</w:t>
      </w:r>
    </w:p>
    <w:p>
      <w:pPr>
        <w:pStyle w:val="BookText"/>
      </w:pPr>
      <w:r>
        <w:rPr>
          <w:rFonts w:ascii="IRNazanin" w:hAnsi="IRNazanin" w:eastAsia="IRNazanin" w:cs="IRNazanin"/>
          <w:lang w:bidi="fa-IR"/>
          <w:color w:val="111111"/>
          <w:sz w:val="28"/>
          <w:szCs w:val="28"/>
          <w:rtl/>
        </w:rPr>
        <w:t xml:space="preserve">سعاد، ج 11، ص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الأثر في فنون المغازي و الشمائل و السير، ج 11، ص 386.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المقامات العلية في الكرامات الجلية</w:t>
      </w:r>
    </w:p>
    <w:p>
      <w:pPr>
        <w:pStyle w:val="BookText"/>
      </w:pPr>
      <w:r>
        <w:rPr>
          <w:rFonts w:ascii="IRNazanin" w:hAnsi="IRNazanin" w:eastAsia="IRNazanin" w:cs="IRNazanin"/>
          <w:lang w:bidi="fa-IR"/>
          <w:color w:val="111111"/>
          <w:sz w:val="28"/>
          <w:szCs w:val="28"/>
          <w:rtl/>
        </w:rPr>
        <w:t xml:space="preserve">ج 15، ص 307.</w:t>
      </w:r>
    </w:p>
    <w:p>
      <w:pPr>
        <w:pStyle w:val="BookText"/>
      </w:pPr>
      <w:r>
        <w:rPr>
          <w:rFonts w:ascii="IRNazanin" w:hAnsi="IRNazanin" w:eastAsia="IRNazanin" w:cs="IRNazanin"/>
          <w:lang w:bidi="fa-IR"/>
          <w:color w:val="111111"/>
          <w:sz w:val="28"/>
          <w:szCs w:val="28"/>
          <w:rtl/>
        </w:rPr>
        <w:t xml:space="preserve">4 .منح المدح، ج 15، ص 674.</w:t>
      </w:r>
    </w:p>
    <w:p>
      <w:pPr>
        <w:pStyle w:val="BookText"/>
      </w:pPr>
      <w:r>
        <w:rPr>
          <w:rFonts w:ascii="Amiri" w:hAnsi="Amiri" w:eastAsia="Amiri" w:cs="Amiri"/>
          <w:lang w:bidi="ar-SA"/>
          <w:color w:val="111111"/>
          <w:sz w:val="28"/>
          <w:szCs w:val="28"/>
          <w:rtl/>
        </w:rPr>
        <w:t xml:space="preserve">5 .نور العيون في تلخيص سير الامين</w:t>
      </w:r>
    </w:p>
    <w:p>
      <w:pPr>
        <w:pStyle w:val="BookText"/>
      </w:pPr>
      <w:r>
        <w:rPr>
          <w:rFonts w:ascii="IRNazanin" w:hAnsi="IRNazanin" w:eastAsia="IRNazanin" w:cs="IRNazanin"/>
          <w:lang w:bidi="fa-IR"/>
          <w:color w:val="111111"/>
          <w:sz w:val="28"/>
          <w:szCs w:val="28"/>
          <w:rtl/>
        </w:rPr>
        <w:t xml:space="preserve">المأمون، ج 16، ص 565.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7742_69495"/>
    <w:bookmarkEnd w:id="76"/>
    <w:p>
      <w:pPr>
        <w:pStyle w:val="BookText"/>
      </w:pPr>
      <w:r>
        <w:rPr>
          <w:rFonts w:ascii="Amiri" w:hAnsi="Amiri" w:eastAsia="Amiri" w:cs="Amiri"/>
          <w:lang w:bidi="ar-SA"/>
          <w:color w:val="111111"/>
          <w:sz w:val="28"/>
          <w:szCs w:val="28"/>
          <w:rtl/>
        </w:rPr>
        <w:t xml:space="preserve">ابن سيّد بطليوسي- بطليوسي ، عبدالله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ابن سید شریف ، محمّد بن سیّد شریف</w:t>
      </w:r>
    </w:p>
    <w:p>
      <w:pPr>
        <w:pStyle w:val="BookText"/>
      </w:pPr>
      <w:r>
        <w:rPr>
          <w:rFonts w:ascii="Amiri" w:hAnsi="Amiri" w:eastAsia="Amiri" w:cs="Amiri"/>
          <w:lang w:bidi="ar-SA"/>
          <w:color w:val="111111"/>
          <w:sz w:val="28"/>
          <w:szCs w:val="28"/>
          <w:rtl/>
        </w:rPr>
        <w:t xml:space="preserve">جرجاني - جرجاني ، محمّد بن علي</w:t>
      </w:r>
    </w:p>
    <w:p>
      <w:pPr>
        <w:pStyle w:val="BookText"/>
      </w:pPr>
      <w:r>
        <w:rPr>
          <w:rFonts w:ascii="Amiri" w:hAnsi="Amiri" w:eastAsia="Amiri" w:cs="Amiri"/>
          <w:lang w:bidi="ar-SA"/>
          <w:color w:val="111111"/>
          <w:sz w:val="28"/>
          <w:szCs w:val="28"/>
          <w:rtl/>
        </w:rPr>
        <w:t xml:space="preserve">ابن سيّد ، عبدالله بن محمّد بن سيّد- بطليوسي ، عبدالله بن محمّد</w:t>
      </w:r>
    </w:p>
    <w:p>
      <w:pPr>
        <w:pStyle w:val="Heading2"/>
      </w:pPr>
      <w:bookmarkStart w:id="1390" w:name="_Toc492"/>
      <w:r>
        <w:t>ابن سيّده علي بن اسماعيل 398-2458ه-</w:t>
      </w:r>
      <w:bookmarkEnd w:id="1390"/>
    </w:p>
    <w:p>
      <w:pPr>
        <w:pStyle w:val="BookText"/>
      </w:pPr>
      <w:r>
        <w:rPr>
          <w:rFonts w:ascii="Amiri" w:hAnsi="Amiri" w:eastAsia="Amiri" w:cs="Amiri"/>
          <w:lang w:bidi="ar-SA"/>
          <w:color w:val="111111"/>
          <w:sz w:val="28"/>
          <w:szCs w:val="28"/>
          <w:rtl/>
        </w:rPr>
        <w:t xml:space="preserve">1 .شرح مشكل ابيات المتنبي، ج 10،</w:t>
      </w:r>
    </w:p>
    <w:p>
      <w:pPr>
        <w:pStyle w:val="BookText"/>
      </w:pPr>
      <w:r>
        <w:rPr>
          <w:rFonts w:ascii="IRNazanin" w:hAnsi="IRNazanin" w:eastAsia="IRNazanin" w:cs="IRNazanin"/>
          <w:lang w:bidi="fa-IR"/>
          <w:color w:val="111111"/>
          <w:sz w:val="28"/>
          <w:szCs w:val="28"/>
          <w:rtl/>
        </w:rPr>
        <w:t xml:space="preserve">ص 140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المحكم والمحيط الاعظم في لغة العرب و جمل من غريب الكتاب و الحدیث و فنون من النحو و</w:t>
      </w:r>
    </w:p>
    <w:p>
      <w:pPr>
        <w:pStyle w:val="BookText"/>
      </w:pPr>
      <w:r>
        <w:rPr>
          <w:rFonts w:ascii="IRNazanin" w:hAnsi="IRNazanin" w:eastAsia="IRNazanin" w:cs="IRNazanin"/>
          <w:lang w:bidi="fa-IR"/>
          <w:color w:val="111111"/>
          <w:sz w:val="28"/>
          <w:szCs w:val="28"/>
          <w:rtl/>
        </w:rPr>
        <w:t xml:space="preserve">الادب، ج 14، ص 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النخل، ج 16، ص 211.</w:t>
      </w:r>
    </w:p>
    <w:p>
      <w:pPr>
        <w:pStyle w:val="BookText"/>
      </w:pPr>
      <w:r>
        <w:rPr>
          <w:rFonts w:ascii="Amiri" w:hAnsi="Amiri" w:eastAsia="Amiri" w:cs="Amiri"/>
          <w:lang w:bidi="ar-SA"/>
          <w:color w:val="111111"/>
          <w:sz w:val="28"/>
          <w:szCs w:val="28"/>
          <w:rtl/>
        </w:rPr>
        <w:t xml:space="preserve">ابن سيّدي علي ، يعقوب بن سيدي</w:t>
      </w:r>
    </w:p>
    <w:p>
      <w:pPr>
        <w:pStyle w:val="BookText"/>
      </w:pPr>
      <w:r>
        <w:rPr>
          <w:rFonts w:ascii="Amiri" w:hAnsi="Amiri" w:eastAsia="Amiri" w:cs="Amiri"/>
          <w:lang w:bidi="ar-SA"/>
          <w:color w:val="111111"/>
          <w:sz w:val="28"/>
          <w:szCs w:val="28"/>
          <w:rtl/>
        </w:rPr>
        <w:t xml:space="preserve">علي بلخي ، يعقوب بن علي</w:t>
      </w:r>
    </w:p>
    <w:p>
      <w:pPr>
        <w:pStyle w:val="Heading2"/>
      </w:pPr>
      <w:bookmarkStart w:id="1391" w:name="_Toc493"/>
      <w:r>
        <w:t>ابن سيرين ، محمّد بن سيرين 33-110ه-</w:t>
      </w:r>
      <w:bookmarkEnd w:id="1391"/>
    </w:p>
    <w:p>
      <w:pPr>
        <w:pStyle w:val="BookText"/>
      </w:pPr>
      <w:r>
        <w:rPr>
          <w:rFonts w:ascii="Amiri" w:hAnsi="Amiri" w:eastAsia="Amiri" w:cs="Amiri"/>
          <w:lang w:bidi="ar-SA"/>
          <w:color w:val="111111"/>
          <w:sz w:val="28"/>
          <w:szCs w:val="28"/>
          <w:rtl/>
        </w:rPr>
        <w:t xml:space="preserve">1 .الاشارة في تفسير الاحلام، ج 2،</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تعبير الرؤيا = تفسير الاحلام تفسير المنامات، ج 4، ص 454.</w:t>
      </w:r>
    </w:p>
    <w:p>
      <w:pPr>
        <w:pStyle w:val="BookText"/>
      </w:pPr>
      <w:r>
        <w:rPr>
          <w:rFonts w:ascii="Amiri" w:hAnsi="Amiri" w:eastAsia="Amiri" w:cs="Amiri"/>
          <w:lang w:bidi="ar-SA"/>
          <w:color w:val="111111"/>
          <w:sz w:val="28"/>
          <w:szCs w:val="28"/>
          <w:rtl/>
        </w:rPr>
        <w:t xml:space="preserve">3.منتخب الكلام في تفسير الاحلام</w:t>
      </w:r>
    </w:p>
    <w:p>
      <w:pPr>
        <w:pStyle w:val="BookText"/>
      </w:pPr>
      <w:r>
        <w:rPr>
          <w:rFonts w:ascii="IRNazanin" w:hAnsi="IRNazanin" w:eastAsia="IRNazanin" w:cs="IRNazanin"/>
          <w:lang w:bidi="fa-IR"/>
          <w:color w:val="111111"/>
          <w:sz w:val="28"/>
          <w:szCs w:val="28"/>
          <w:rtl/>
        </w:rPr>
        <w:t xml:space="preserve">ج 15، ص 613.</w:t>
      </w:r>
    </w:p>
    <w:p>
      <w:pPr>
        <w:pStyle w:val="Heading2"/>
      </w:pPr>
      <w:bookmarkStart w:id="1392" w:name="_Toc494"/>
      <w:r>
        <w:t>ابن سينا ،حسين بن عبد الله 2370-428ه-</w:t>
      </w:r>
      <w:bookmarkEnd w:id="1392"/>
    </w:p>
    <w:p>
      <w:pPr>
        <w:pStyle w:val="BookText"/>
      </w:pPr>
      <w:r>
        <w:rPr>
          <w:rFonts w:ascii="Amiri" w:hAnsi="Amiri" w:eastAsia="Amiri" w:cs="Amiri"/>
          <w:lang w:bidi="ar-SA"/>
          <w:color w:val="111111"/>
          <w:sz w:val="28"/>
          <w:szCs w:val="28"/>
          <w:rtl/>
        </w:rPr>
        <w:t xml:space="preserve">1 .اثبات الصانع و ايراد البرهان القاطع عليه و العلل و المعلولات</w:t>
      </w:r>
    </w:p>
    <w:p>
      <w:pPr>
        <w:pStyle w:val="BookText"/>
      </w:pPr>
      <w:r>
        <w:rPr>
          <w:rFonts w:ascii="IRNazanin" w:hAnsi="IRNazanin" w:eastAsia="IRNazanin" w:cs="IRNazanin"/>
          <w:lang w:bidi="fa-IR"/>
          <w:color w:val="111111"/>
          <w:sz w:val="28"/>
          <w:szCs w:val="28"/>
          <w:rtl/>
        </w:rPr>
        <w:t xml:space="preserve">و علمه تعالى، ج 1، ص 156.</w:t>
      </w:r>
    </w:p>
    <w:p>
      <w:pPr>
        <w:pStyle w:val="BookText"/>
      </w:pPr>
      <w:r>
        <w:rPr>
          <w:rFonts w:ascii="IRNazanin" w:hAnsi="IRNazanin" w:eastAsia="IRNazanin" w:cs="IRNazanin"/>
          <w:lang w:bidi="fa-IR"/>
          <w:color w:val="111111"/>
          <w:sz w:val="28"/>
          <w:szCs w:val="28"/>
          <w:rtl/>
        </w:rPr>
        <w:t xml:space="preserve">2 .اثبات المبدأ الاول = موضوع علم</w:t>
      </w:r>
    </w:p>
    <w:p>
      <w:pPr>
        <w:pStyle w:val="BookText"/>
      </w:pPr>
      <w:r>
        <w:rPr>
          <w:rFonts w:ascii="Amiri" w:hAnsi="Amiri" w:eastAsia="Amiri" w:cs="Amiri"/>
          <w:lang w:bidi="ar-SA"/>
          <w:color w:val="111111"/>
          <w:sz w:val="28"/>
          <w:szCs w:val="28"/>
          <w:rtl/>
        </w:rPr>
        <w:t xml:space="preserve">ما بعد الطبيعة، ج 1، ص 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اثبات النبوة = ازالة الشكوك في النبوة و تأویل رموزهم و امثالهم</w:t>
      </w:r>
    </w:p>
    <w:p>
      <w:pPr>
        <w:pStyle w:val="BookText"/>
      </w:pPr>
      <w:r>
        <w:rPr>
          <w:rFonts w:ascii="IRNazanin" w:hAnsi="IRNazanin" w:eastAsia="IRNazanin" w:cs="IRNazanin"/>
          <w:lang w:bidi="fa-IR"/>
          <w:color w:val="111111"/>
          <w:sz w:val="28"/>
          <w:szCs w:val="28"/>
          <w:rtl/>
        </w:rPr>
        <w:t xml:space="preserve">ج 1، ص 159.</w:t>
      </w:r>
    </w:p>
    <w:p>
      <w:pPr>
        <w:pStyle w:val="BookText"/>
      </w:pPr>
      <w:r>
        <w:rPr>
          <w:rFonts w:ascii="Amiri" w:hAnsi="Amiri" w:eastAsia="Amiri" w:cs="Amiri"/>
          <w:lang w:bidi="ar-SA"/>
          <w:color w:val="111111"/>
          <w:sz w:val="28"/>
          <w:szCs w:val="28"/>
          <w:rtl/>
        </w:rPr>
        <w:t xml:space="preserve">4 .اجوبة المسائل العشرة، ج1،</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Amiri" w:hAnsi="Amiri" w:eastAsia="Amiri" w:cs="Amiri"/>
          <w:lang w:bidi="ar-SA"/>
          <w:color w:val="111111"/>
          <w:sz w:val="28"/>
          <w:szCs w:val="28"/>
          <w:rtl/>
        </w:rPr>
        <w:t xml:space="preserve">5 .الاجوبة عن المسائل الحكمية =</w:t>
      </w:r>
    </w:p>
    <w:p>
      <w:pPr>
        <w:pStyle w:val="BookText"/>
      </w:pPr>
      <w:r>
        <w:rPr>
          <w:rFonts w:ascii="Amiri" w:hAnsi="Amiri" w:eastAsia="Amiri" w:cs="Amiri"/>
          <w:lang w:bidi="ar-SA"/>
          <w:color w:val="111111"/>
          <w:sz w:val="28"/>
          <w:szCs w:val="28"/>
          <w:rtl/>
        </w:rPr>
        <w:t xml:space="preserve">خمس و عشرون مسألة سئل الشيخ عنها، ج 1، ص 326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الاجوبة عن المسائل العشرينية</w:t>
      </w:r>
    </w:p>
    <w:p>
      <w:pPr>
        <w:pStyle w:val="BookText"/>
      </w:pPr>
      <w:r>
        <w:rPr>
          <w:rFonts w:ascii="Amiri" w:hAnsi="Amiri" w:eastAsia="Amiri" w:cs="Amiri"/>
          <w:lang w:bidi="ar-SA"/>
          <w:color w:val="111111"/>
          <w:sz w:val="28"/>
          <w:szCs w:val="28"/>
          <w:rtl/>
        </w:rPr>
        <w:t xml:space="preserve">عشرون مسألة في المنطق = المسائل الغريبة، ج1، ص327.</w:t>
      </w:r>
    </w:p>
    <w:p>
      <w:pPr>
        <w:pStyle w:val="BookText"/>
      </w:pPr>
      <w:r>
        <w:rPr>
          <w:rFonts w:ascii="Amiri" w:hAnsi="Amiri" w:eastAsia="Amiri" w:cs="Amiri"/>
          <w:lang w:bidi="ar-SA"/>
          <w:color w:val="111111"/>
          <w:sz w:val="28"/>
          <w:szCs w:val="28"/>
          <w:rtl/>
        </w:rPr>
        <w:t xml:space="preserve">7 .اجوبة مسائل ابي ريحان البيروني =</w:t>
      </w:r>
    </w:p>
    <w:p>
      <w:pPr>
        <w:pStyle w:val="BookText"/>
      </w:pPr>
      <w:r>
        <w:rPr>
          <w:rFonts w:ascii="Amiri" w:hAnsi="Amiri" w:eastAsia="Amiri" w:cs="Amiri"/>
          <w:lang w:bidi="ar-SA"/>
          <w:color w:val="111111"/>
          <w:sz w:val="28"/>
          <w:szCs w:val="28"/>
          <w:rtl/>
        </w:rPr>
        <w:t xml:space="preserve">الاسئلة والاجوبة، ج 1، ص 342.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الاخلاق، ج1، ص 569.</w:t>
      </w:r>
    </w:p>
    <w:p>
      <w:pPr>
        <w:pStyle w:val="BookText"/>
      </w:pPr>
      <w:r>
        <w:rPr>
          <w:rFonts w:ascii="Amiri" w:hAnsi="Amiri" w:eastAsia="Amiri" w:cs="Amiri"/>
          <w:lang w:bidi="ar-SA"/>
          <w:color w:val="111111"/>
          <w:sz w:val="28"/>
          <w:szCs w:val="28"/>
          <w:rtl/>
        </w:rPr>
        <w:t xml:space="preserve">9 .الادوية القلبية، ج 1 ، ص 669.</w:t>
      </w:r>
    </w:p>
    <w:p>
      <w:pPr>
        <w:pStyle w:val="BookText"/>
      </w:pPr>
      <w:r>
        <w:rPr>
          <w:rFonts w:ascii="Amiri" w:hAnsi="Amiri" w:eastAsia="Amiri" w:cs="Amiri"/>
          <w:lang w:bidi="ar-SA"/>
          <w:color w:val="111111"/>
          <w:sz w:val="28"/>
          <w:szCs w:val="28"/>
          <w:rtl/>
        </w:rPr>
        <w:t xml:space="preserve">10 .ارجوزة، ج 1، ص 760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ارجوزة القضايا الخمسة و العشرين لابقراط على دلالة</w:t>
      </w:r>
    </w:p>
    <w:p>
      <w:pPr>
        <w:pStyle w:val="BookText"/>
      </w:pPr>
      <w:r>
        <w:rPr>
          <w:rFonts w:ascii="IRNazanin" w:hAnsi="IRNazanin" w:eastAsia="IRNazanin" w:cs="IRNazanin"/>
          <w:lang w:bidi="fa-IR"/>
          <w:color w:val="111111"/>
          <w:sz w:val="28"/>
          <w:szCs w:val="28"/>
          <w:rtl/>
        </w:rPr>
        <w:t xml:space="preserve">الموت، ج 1، ص 773.</w:t>
      </w:r>
    </w:p>
    <w:p>
      <w:pPr>
        <w:pStyle w:val="BookText"/>
      </w:pPr>
      <w:r>
        <w:rPr>
          <w:rFonts w:ascii="Amiri" w:hAnsi="Amiri" w:eastAsia="Amiri" w:cs="Amiri"/>
          <w:lang w:bidi="ar-SA"/>
          <w:color w:val="111111"/>
          <w:sz w:val="28"/>
          <w:szCs w:val="28"/>
          <w:rtl/>
        </w:rPr>
        <w:t xml:space="preserve">12 .الارجوزة الكبرى، ج 1، ص 773.</w:t>
      </w:r>
    </w:p>
    <w:p>
      <w:pPr>
        <w:pStyle w:val="BookText"/>
      </w:pPr>
      <w:r>
        <w:rPr>
          <w:rFonts w:ascii="Amiri" w:hAnsi="Amiri" w:eastAsia="Amiri" w:cs="Amiri"/>
          <w:lang w:bidi="ar-SA"/>
          <w:color w:val="111111"/>
          <w:sz w:val="28"/>
          <w:szCs w:val="28"/>
          <w:rtl/>
        </w:rPr>
        <w:t xml:space="preserve">13 .ارجوزة في صناعة الطب = الالفية</w:t>
      </w:r>
    </w:p>
    <w:p>
      <w:pPr>
        <w:pStyle w:val="BookText"/>
      </w:pPr>
      <w:r>
        <w:rPr>
          <w:rFonts w:ascii="Amiri" w:hAnsi="Amiri" w:eastAsia="Amiri" w:cs="Amiri"/>
          <w:lang w:bidi="ar-SA"/>
          <w:color w:val="111111"/>
          <w:sz w:val="28"/>
          <w:szCs w:val="28"/>
          <w:rtl/>
        </w:rPr>
        <w:t xml:space="preserve">في الطب، ج 1، ص 770.</w:t>
      </w:r>
    </w:p>
    <w:p>
      <w:pPr>
        <w:pStyle w:val="BookText"/>
      </w:pPr>
      <w:r>
        <w:rPr>
          <w:rFonts w:ascii="Amiri" w:hAnsi="Amiri" w:eastAsia="Amiri" w:cs="Amiri"/>
          <w:lang w:bidi="ar-SA"/>
          <w:color w:val="111111"/>
          <w:sz w:val="28"/>
          <w:szCs w:val="28"/>
          <w:rtl/>
        </w:rPr>
        <w:t xml:space="preserve">14 . ارجوزة في علم المنطق = القصيدة</w:t>
      </w:r>
    </w:p>
    <w:p>
      <w:pPr>
        <w:pStyle w:val="BookText"/>
      </w:pPr>
      <w:r>
        <w:rPr>
          <w:rFonts w:ascii="Amiri" w:hAnsi="Amiri" w:eastAsia="Amiri" w:cs="Amiri"/>
          <w:lang w:bidi="ar-SA"/>
          <w:color w:val="111111"/>
          <w:sz w:val="28"/>
          <w:szCs w:val="28"/>
          <w:rtl/>
        </w:rPr>
        <w:t xml:space="preserve">المصرعة = القصيدة المزدوجة =</w:t>
      </w:r>
    </w:p>
    <w:p>
      <w:pPr>
        <w:pStyle w:val="BookText"/>
      </w:pPr>
      <w:r>
        <w:rPr>
          <w:rFonts w:ascii="IRNazanin" w:hAnsi="IRNazanin" w:eastAsia="IRNazanin" w:cs="IRNazanin"/>
          <w:lang w:bidi="fa-IR"/>
          <w:color w:val="111111"/>
          <w:sz w:val="28"/>
          <w:szCs w:val="28"/>
          <w:rtl/>
        </w:rPr>
        <w:t xml:space="preserve">میزان النظر، ج 1، ص 771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الارشاد = الزهد = جواب ابي</w:t>
      </w:r>
    </w:p>
    <w:p>
      <w:pPr>
        <w:pStyle w:val="BookText"/>
      </w:pPr>
      <w:r>
        <w:rPr>
          <w:rFonts w:ascii="Amiri" w:hAnsi="Amiri" w:eastAsia="Amiri" w:cs="Amiri"/>
          <w:lang w:bidi="ar-SA"/>
          <w:color w:val="111111"/>
          <w:sz w:val="28"/>
          <w:szCs w:val="28"/>
          <w:rtl/>
        </w:rPr>
        <w:t xml:space="preserve">سعيد ابي الخير، ج 2، ص1.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اسباب الرعد والبرق، ج 2، ص98.</w:t>
      </w:r>
    </w:p>
    <w:p>
      <w:pPr>
        <w:pStyle w:val="BookText"/>
      </w:pPr>
      <w:r>
        <w:rPr>
          <w:rFonts w:ascii="IRNazanin" w:hAnsi="IRNazanin" w:eastAsia="IRNazanin" w:cs="IRNazanin"/>
          <w:lang w:bidi="fa-IR"/>
          <w:color w:val="111111"/>
          <w:sz w:val="28"/>
          <w:szCs w:val="28"/>
          <w:rtl/>
        </w:rPr>
        <w:t xml:space="preserve">17 اسباب حدوث الحروف = معرفه حدوث الحروف، ج 2، ص 97.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.الاشارات والتنبيهات، ج 2، ص 254 .</w:t>
      </w:r>
    </w:p>
    <w:p>
      <w:pPr>
        <w:pStyle w:val="BookText"/>
      </w:pPr>
      <w:r>
        <w:rPr>
          <w:rFonts w:ascii="Amiri" w:hAnsi="Amiri" w:eastAsia="Amiri" w:cs="Amiri"/>
          <w:lang w:bidi="ar-SA"/>
          <w:color w:val="111111"/>
          <w:sz w:val="28"/>
          <w:szCs w:val="28"/>
          <w:rtl/>
        </w:rPr>
        <w:t xml:space="preserve">19 .الاشارة إلى علم المنطق = الاشارة</w:t>
      </w:r>
    </w:p>
    <w:p>
      <w:pPr>
        <w:pStyle w:val="BookText"/>
      </w:pPr>
      <w:r>
        <w:rPr>
          <w:rFonts w:ascii="Amiri" w:hAnsi="Amiri" w:eastAsia="Amiri" w:cs="Amiri"/>
          <w:lang w:bidi="ar-SA"/>
          <w:color w:val="111111"/>
          <w:sz w:val="28"/>
          <w:szCs w:val="28"/>
          <w:rtl/>
        </w:rPr>
        <w:t xml:space="preserve">في المنطق = تعاليق المنطق، ج2،</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Amiri" w:hAnsi="Amiri" w:eastAsia="Amiri" w:cs="Amiri"/>
          <w:lang w:bidi="ar-SA"/>
          <w:color w:val="111111"/>
          <w:sz w:val="28"/>
          <w:szCs w:val="28"/>
          <w:rtl/>
        </w:rPr>
        <w:t xml:space="preserve">20 .الاضحوية - المعاد، ج 2، ص 471.</w:t>
      </w:r>
    </w:p>
    <w:p>
      <w:pPr>
        <w:pStyle w:val="BookText"/>
      </w:pPr>
      <w:r>
        <w:rPr>
          <w:rFonts w:ascii="Amiri" w:hAnsi="Amiri" w:eastAsia="Amiri" w:cs="Amiri"/>
          <w:lang w:bidi="ar-SA"/>
          <w:color w:val="111111"/>
          <w:sz w:val="28"/>
          <w:szCs w:val="28"/>
          <w:rtl/>
        </w:rPr>
        <w:t xml:space="preserve">21 .الاغذية و الادوية، ج 2، ص 582.</w:t>
      </w:r>
    </w:p>
    <w:p>
      <w:pPr>
        <w:pStyle w:val="BookText"/>
      </w:pPr>
      <w:r>
        <w:rPr>
          <w:rFonts w:ascii="Amiri" w:hAnsi="Amiri" w:eastAsia="Amiri" w:cs="Amiri"/>
          <w:lang w:bidi="ar-SA"/>
          <w:color w:val="111111"/>
          <w:sz w:val="28"/>
          <w:szCs w:val="28"/>
          <w:rtl/>
        </w:rPr>
        <w:t xml:space="preserve">22 .اقسام العلوم العقلية = اقسام الحكمة = تقاسيم الحكمة</w:t>
      </w:r>
    </w:p>
    <w:p>
      <w:pPr>
        <w:pStyle w:val="BookText"/>
      </w:pPr>
      <w:r>
        <w:rPr>
          <w:rFonts w:ascii="IRNazanin" w:hAnsi="IRNazanin" w:eastAsia="IRNazanin" w:cs="IRNazanin"/>
          <w:lang w:bidi="fa-IR"/>
          <w:color w:val="111111"/>
          <w:sz w:val="28"/>
          <w:szCs w:val="28"/>
          <w:rtl/>
        </w:rPr>
        <w:t xml:space="preserve">العلوم، ج 2، ص 624 .</w:t>
      </w:r>
    </w:p>
    <w:p>
      <w:pPr>
        <w:pStyle w:val="BookText"/>
      </w:pPr>
      <w:r>
        <w:rPr>
          <w:rFonts w:ascii="Amiri" w:hAnsi="Amiri" w:eastAsia="Amiri" w:cs="Amiri"/>
          <w:lang w:bidi="ar-SA"/>
          <w:color w:val="111111"/>
          <w:sz w:val="28"/>
          <w:szCs w:val="28"/>
          <w:rtl/>
        </w:rPr>
        <w:t xml:space="preserve">23 .امر مستور الصنعة = الكيميا =</w:t>
      </w:r>
    </w:p>
    <w:p>
      <w:pPr>
        <w:pStyle w:val="BookText"/>
      </w:pPr>
      <w:r>
        <w:rPr>
          <w:rFonts w:ascii="Amiri" w:hAnsi="Amiri" w:eastAsia="Amiri" w:cs="Amiri"/>
          <w:lang w:bidi="ar-SA"/>
          <w:color w:val="111111"/>
          <w:sz w:val="28"/>
          <w:szCs w:val="28"/>
          <w:rtl/>
        </w:rPr>
        <w:t xml:space="preserve">الاكسير، ج 2، ص 764 .</w:t>
      </w:r>
    </w:p>
    <w:p>
      <w:pPr>
        <w:pStyle w:val="BookText"/>
      </w:pPr>
      <w:r>
        <w:rPr>
          <w:rFonts w:ascii="Amiri" w:hAnsi="Amiri" w:eastAsia="Amiri" w:cs="Amiri"/>
          <w:lang w:bidi="ar-SA"/>
          <w:color w:val="111111"/>
          <w:sz w:val="28"/>
          <w:szCs w:val="28"/>
          <w:rtl/>
        </w:rPr>
        <w:t xml:space="preserve">24 .الانتفاء عما نسب اليه من معارضة القرآن، ج2، ص790.</w:t>
      </w:r>
    </w:p>
    <w:p>
      <w:pPr>
        <w:pStyle w:val="BookText"/>
      </w:pPr>
      <w:r>
        <w:rPr>
          <w:rFonts w:ascii="Amiri" w:hAnsi="Amiri" w:eastAsia="Amiri" w:cs="Amiri"/>
          <w:lang w:bidi="ar-SA"/>
          <w:color w:val="111111"/>
          <w:sz w:val="28"/>
          <w:szCs w:val="28"/>
          <w:rtl/>
        </w:rPr>
        <w:t xml:space="preserve">25 .انفساخ الصورة الموجودة في</w:t>
      </w:r>
    </w:p>
    <w:p>
      <w:pPr>
        <w:pStyle w:val="BookText"/>
      </w:pPr>
      <w:r>
        <w:rPr>
          <w:rFonts w:ascii="IRNazanin" w:hAnsi="IRNazanin" w:eastAsia="IRNazanin" w:cs="IRNazanin"/>
          <w:lang w:bidi="fa-IR"/>
          <w:color w:val="111111"/>
          <w:sz w:val="28"/>
          <w:szCs w:val="28"/>
          <w:rtl/>
        </w:rPr>
        <w:t xml:space="preserve">النفس، ج 2، ص 820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ايضاح براهين مستنبطة في مسائل</w:t>
      </w:r>
    </w:p>
    <w:p>
      <w:pPr>
        <w:pStyle w:val="BookText"/>
      </w:pPr>
      <w:r>
        <w:rPr>
          <w:rFonts w:ascii="Amiri" w:hAnsi="Amiri" w:eastAsia="Amiri" w:cs="Amiri"/>
          <w:lang w:bidi="ar-SA"/>
          <w:color w:val="111111"/>
          <w:sz w:val="28"/>
          <w:szCs w:val="28"/>
          <w:rtl/>
        </w:rPr>
        <w:t xml:space="preserve">عويصة = المسائل العويصة، ج3،</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الباه = تقوية الباه، ج 3، ص 184.</w:t>
      </w:r>
    </w:p>
    <w:p>
      <w:pPr>
        <w:pStyle w:val="BookText"/>
      </w:pPr>
      <w:r>
        <w:rPr>
          <w:rFonts w:ascii="Amiri" w:hAnsi="Amiri" w:eastAsia="Amiri" w:cs="Amiri"/>
          <w:lang w:bidi="ar-SA"/>
          <w:color w:val="111111"/>
          <w:sz w:val="28"/>
          <w:szCs w:val="28"/>
          <w:rtl/>
        </w:rPr>
        <w:t xml:space="preserve">28 .البرهان في تفسير القرآن، ج3</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Amiri" w:hAnsi="Amiri" w:eastAsia="Amiri" w:cs="Amiri"/>
          <w:lang w:bidi="ar-SA"/>
          <w:color w:val="111111"/>
          <w:sz w:val="28"/>
          <w:szCs w:val="28"/>
          <w:rtl/>
        </w:rPr>
        <w:t xml:space="preserve">29 .تحصيل السعادة = الحجج العشرة</w:t>
      </w:r>
    </w:p>
    <w:p>
      <w:pPr>
        <w:pStyle w:val="BookText"/>
      </w:pPr>
      <w:r>
        <w:rPr>
          <w:rFonts w:ascii="Amiri" w:hAnsi="Amiri" w:eastAsia="Amiri" w:cs="Amiri"/>
          <w:lang w:bidi="ar-SA"/>
          <w:color w:val="111111"/>
          <w:sz w:val="28"/>
          <w:szCs w:val="28"/>
          <w:rtl/>
        </w:rPr>
        <w:t xml:space="preserve">في جوهرية نفس الانسان الناطقة - التحفة في السعادة = المباحث النفسية، ج3، ص 765.</w:t>
      </w:r>
    </w:p>
    <w:p>
      <w:pPr>
        <w:pStyle w:val="BookText"/>
      </w:pPr>
      <w:r>
        <w:rPr>
          <w:rFonts w:ascii="Amiri" w:hAnsi="Amiri" w:eastAsia="Amiri" w:cs="Amiri"/>
          <w:lang w:bidi="ar-SA"/>
          <w:color w:val="111111"/>
          <w:sz w:val="28"/>
          <w:szCs w:val="28"/>
          <w:rtl/>
        </w:rPr>
        <w:t xml:space="preserve">30 .تحقيق معنى الانسان، ج4، ص78.</w:t>
      </w:r>
    </w:p>
    <w:p>
      <w:pPr>
        <w:pStyle w:val="BookText"/>
      </w:pPr>
      <w:r>
        <w:rPr>
          <w:rFonts w:ascii="Amiri" w:hAnsi="Amiri" w:eastAsia="Amiri" w:cs="Amiri"/>
          <w:lang w:bidi="ar-SA"/>
          <w:color w:val="111111"/>
          <w:sz w:val="28"/>
          <w:szCs w:val="28"/>
          <w:rtl/>
        </w:rPr>
        <w:t xml:space="preserve">31 .تدبير المسافرين، ج4، ص168.</w:t>
      </w:r>
    </w:p>
    <w:p>
      <w:pPr>
        <w:pStyle w:val="BookText"/>
      </w:pPr>
      <w:r>
        <w:rPr>
          <w:rFonts w:ascii="Amiri" w:hAnsi="Amiri" w:eastAsia="Amiri" w:cs="Amiri"/>
          <w:lang w:bidi="ar-SA"/>
          <w:color w:val="111111"/>
          <w:sz w:val="28"/>
          <w:szCs w:val="28"/>
          <w:rtl/>
        </w:rPr>
        <w:t xml:space="preserve">32 .تدبير منزل العسكر، ج 4، ص 168.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تعبير الرؤيا = منامية = تأويل</w:t>
      </w:r>
    </w:p>
    <w:p>
      <w:pPr>
        <w:pStyle w:val="BookText"/>
      </w:pPr>
      <w:r>
        <w:rPr>
          <w:rFonts w:ascii="Amiri" w:hAnsi="Amiri" w:eastAsia="Amiri" w:cs="Amiri"/>
          <w:lang w:bidi="ar-SA"/>
          <w:color w:val="111111"/>
          <w:sz w:val="28"/>
          <w:szCs w:val="28"/>
          <w:rtl/>
        </w:rPr>
        <w:t xml:space="preserve">الرؤيا، ج 4، ص 457 .</w:t>
      </w:r>
    </w:p>
    <w:p>
      <w:pPr>
        <w:pStyle w:val="BookText"/>
      </w:pPr>
      <w:r>
        <w:rPr>
          <w:rFonts w:ascii="Amiri" w:hAnsi="Amiri" w:eastAsia="Amiri" w:cs="Amiri"/>
          <w:lang w:bidi="ar-SA"/>
          <w:color w:val="111111"/>
          <w:sz w:val="28"/>
          <w:szCs w:val="28"/>
          <w:rtl/>
        </w:rPr>
        <w:t xml:space="preserve">34 .تعقب الموضع الجدلي، جع،</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Amiri" w:hAnsi="Amiri" w:eastAsia="Amiri" w:cs="Amiri"/>
          <w:lang w:bidi="ar-SA"/>
          <w:color w:val="111111"/>
          <w:sz w:val="28"/>
          <w:szCs w:val="28"/>
          <w:rtl/>
        </w:rPr>
        <w:t xml:space="preserve">35 .التعليقات، ج 4، ص 489</w:t>
      </w:r>
    </w:p>
    <w:p>
      <w:pPr>
        <w:pStyle w:val="BookText"/>
      </w:pPr>
      <w:r>
        <w:rPr>
          <w:rFonts w:ascii="Amiri" w:hAnsi="Amiri" w:eastAsia="Amiri" w:cs="Amiri"/>
          <w:lang w:bidi="ar-SA"/>
          <w:color w:val="111111"/>
          <w:sz w:val="28"/>
          <w:szCs w:val="28"/>
          <w:rtl/>
        </w:rPr>
        <w:t xml:space="preserve">ابن سيد بطليوسي - ابن سينا</w:t>
      </w:r>
    </w:p>
    <w:p>
      <w:pPr>
        <w:pStyle w:val="BookText"/>
      </w:pPr>
      <w:r>
        <w:rPr>
          <w:rFonts w:ascii="Amiri" w:hAnsi="Amiri" w:eastAsia="Amiri" w:cs="Amiri"/>
          <w:lang w:bidi="ar-SA"/>
          <w:color w:val="111111"/>
          <w:sz w:val="28"/>
          <w:szCs w:val="28"/>
          <w:rtl/>
        </w:rPr>
        <w:t xml:space="preserve">36 .تفسير المعوذتين، ج 4، ص 693.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تفسير سورة الاخلاص = تفسير سورة التوحيد، ج4، ص 623.</w:t>
      </w:r>
    </w:p>
    <w:p>
      <w:pPr>
        <w:pStyle w:val="BookText"/>
      </w:pPr>
      <w:r>
        <w:rPr>
          <w:rFonts w:ascii="Amiri" w:hAnsi="Amiri" w:eastAsia="Amiri" w:cs="Amiri"/>
          <w:lang w:bidi="ar-SA"/>
          <w:color w:val="111111"/>
          <w:sz w:val="28"/>
          <w:szCs w:val="28"/>
          <w:rtl/>
        </w:rPr>
        <w:t xml:space="preserve">38 .تفسير سورة الاخلاص و الفلق و</w:t>
      </w:r>
    </w:p>
    <w:p>
      <w:pPr>
        <w:pStyle w:val="BookText"/>
      </w:pPr>
      <w:r>
        <w:rPr>
          <w:rFonts w:ascii="IRNazanin" w:hAnsi="IRNazanin" w:eastAsia="IRNazanin" w:cs="IRNazanin"/>
          <w:lang w:bidi="fa-IR"/>
          <w:color w:val="111111"/>
          <w:sz w:val="28"/>
          <w:szCs w:val="28"/>
          <w:rtl/>
        </w:rPr>
        <w:t xml:space="preserve">الناس، ج4، ص 627 .</w:t>
      </w:r>
    </w:p>
    <w:p>
      <w:pPr>
        <w:pStyle w:val="BookText"/>
      </w:pPr>
      <w:r>
        <w:rPr>
          <w:rFonts w:ascii="Amiri" w:hAnsi="Amiri" w:eastAsia="Amiri" w:cs="Amiri"/>
          <w:lang w:bidi="ar-SA"/>
          <w:color w:val="111111"/>
          <w:sz w:val="28"/>
          <w:szCs w:val="28"/>
          <w:rtl/>
        </w:rPr>
        <w:t xml:space="preserve">39 .تفسير سورة الأعلى، ج 4، ص 627 .</w:t>
      </w:r>
    </w:p>
    <w:p>
      <w:pPr>
        <w:pStyle w:val="BookText"/>
      </w:pPr>
      <w:r>
        <w:rPr>
          <w:rFonts w:ascii="Amiri" w:hAnsi="Amiri" w:eastAsia="Amiri" w:cs="Amiri"/>
          <w:lang w:bidi="ar-SA"/>
          <w:color w:val="111111"/>
          <w:sz w:val="28"/>
          <w:szCs w:val="28"/>
          <w:rtl/>
        </w:rPr>
        <w:t xml:space="preserve">40 .تفسير سورة الفلق، ج 4، ص 638 .</w:t>
      </w:r>
    </w:p>
    <w:p>
      <w:pPr>
        <w:pStyle w:val="BookText"/>
      </w:pPr>
      <w:r>
        <w:rPr>
          <w:rFonts w:ascii="Amiri" w:hAnsi="Amiri" w:eastAsia="Amiri" w:cs="Amiri"/>
          <w:lang w:bidi="ar-SA"/>
          <w:color w:val="111111"/>
          <w:sz w:val="28"/>
          <w:szCs w:val="28"/>
          <w:rtl/>
        </w:rPr>
        <w:t xml:space="preserve">41 .تفسير سورة الناس، ج4، ص 641 .</w:t>
      </w:r>
    </w:p>
    <w:p>
      <w:pPr>
        <w:pStyle w:val="BookText"/>
      </w:pPr>
      <w:r>
        <w:rPr>
          <w:rFonts w:ascii="Amiri" w:hAnsi="Amiri" w:eastAsia="Amiri" w:cs="Amiri"/>
          <w:lang w:bidi="ar-SA"/>
          <w:color w:val="111111"/>
          <w:sz w:val="28"/>
          <w:szCs w:val="28"/>
          <w:rtl/>
        </w:rPr>
        <w:t xml:space="preserve">42 .الجمانة الالهية في التوحيد القصيدة النونية، ج 5، ص 423.</w:t>
      </w:r>
    </w:p>
    <w:p>
      <w:pPr>
        <w:pStyle w:val="BookText"/>
      </w:pPr>
      <w:r>
        <w:rPr>
          <w:rFonts w:ascii="Amiri" w:hAnsi="Amiri" w:eastAsia="Amiri" w:cs="Amiri"/>
          <w:lang w:bidi="ar-SA"/>
          <w:color w:val="111111"/>
          <w:sz w:val="28"/>
          <w:szCs w:val="28"/>
          <w:rtl/>
        </w:rPr>
        <w:t xml:space="preserve">43 .الجمل من الادلة المحققة لبقاء</w:t>
      </w:r>
    </w:p>
    <w:p>
      <w:pPr>
        <w:pStyle w:val="BookText"/>
      </w:pPr>
      <w:r>
        <w:rPr>
          <w:rFonts w:ascii="Amiri" w:hAnsi="Amiri" w:eastAsia="Amiri" w:cs="Amiri"/>
          <w:lang w:bidi="ar-SA"/>
          <w:color w:val="111111"/>
          <w:sz w:val="28"/>
          <w:szCs w:val="28"/>
          <w:rtl/>
        </w:rPr>
        <w:t xml:space="preserve">النفس الناطقة = بقاء النفس الناطقة = سبعة من المقائيس</w:t>
      </w:r>
    </w:p>
    <w:p>
      <w:pPr>
        <w:pStyle w:val="BookText"/>
      </w:pPr>
      <w:r>
        <w:rPr>
          <w:rFonts w:ascii="Amiri" w:hAnsi="Amiri" w:eastAsia="Amiri" w:cs="Amiri"/>
          <w:lang w:bidi="ar-SA"/>
          <w:color w:val="111111"/>
          <w:sz w:val="28"/>
          <w:szCs w:val="28"/>
          <w:rtl/>
        </w:rPr>
        <w:t xml:space="preserve">المنطقية، ج 5، ص 447.</w:t>
      </w:r>
    </w:p>
    <w:p>
      <w:pPr>
        <w:pStyle w:val="BookText"/>
      </w:pPr>
      <w:r>
        <w:rPr>
          <w:rFonts w:ascii="Amiri" w:hAnsi="Amiri" w:eastAsia="Amiri" w:cs="Amiri"/>
          <w:lang w:bidi="ar-SA"/>
          <w:color w:val="111111"/>
          <w:sz w:val="28"/>
          <w:szCs w:val="28"/>
          <w:rtl/>
        </w:rPr>
        <w:t xml:space="preserve">44 .جواب ابن زيله، ج 5، ص 490.</w:t>
      </w:r>
    </w:p>
    <w:p>
      <w:pPr>
        <w:pStyle w:val="BookText"/>
      </w:pPr>
      <w:r>
        <w:rPr>
          <w:rFonts w:ascii="Amiri" w:hAnsi="Amiri" w:eastAsia="Amiri" w:cs="Amiri"/>
          <w:lang w:bidi="ar-SA"/>
          <w:color w:val="111111"/>
          <w:sz w:val="28"/>
          <w:szCs w:val="28"/>
          <w:rtl/>
        </w:rPr>
        <w:t xml:space="preserve">45 .جواهر الاجسام السماوية = الاجرام العلوية = بيان جوهر الثمين = تعريف الرأي المحصل ....</w:t>
      </w:r>
    </w:p>
    <w:p>
      <w:pPr>
        <w:pStyle w:val="BookText"/>
      </w:pPr>
      <w:r>
        <w:rPr>
          <w:rFonts w:ascii="IRNazanin" w:hAnsi="IRNazanin" w:eastAsia="IRNazanin" w:cs="IRNazanin"/>
          <w:lang w:bidi="fa-IR"/>
          <w:color w:val="111111"/>
          <w:sz w:val="28"/>
          <w:szCs w:val="28"/>
          <w:rtl/>
        </w:rPr>
        <w:t xml:space="preserve">ج 5، ص 536.</w:t>
      </w:r>
    </w:p>
    <w:p>
      <w:pPr>
        <w:pStyle w:val="BookText"/>
      </w:pPr>
      <w:r>
        <w:rPr>
          <w:rFonts w:ascii="Amiri" w:hAnsi="Amiri" w:eastAsia="Amiri" w:cs="Amiri"/>
          <w:lang w:bidi="ar-SA"/>
          <w:color w:val="111111"/>
          <w:sz w:val="28"/>
          <w:szCs w:val="28"/>
          <w:rtl/>
        </w:rPr>
        <w:t xml:space="preserve">46 . جوهرية النار = الاجوبة عن</w:t>
      </w:r>
    </w:p>
    <w:p>
      <w:pPr>
        <w:pStyle w:val="BookText"/>
      </w:pPr>
      <w:r>
        <w:rPr>
          <w:rFonts w:ascii="IRNazanin" w:hAnsi="IRNazanin" w:eastAsia="IRNazanin" w:cs="IRNazanin"/>
          <w:lang w:bidi="fa-IR"/>
          <w:color w:val="111111"/>
          <w:sz w:val="28"/>
          <w:szCs w:val="28"/>
          <w:rtl/>
        </w:rPr>
        <w:t xml:space="preserve">المسائل، ج 5، ص 631.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حد الجسم - استضاءة الجو</w:t>
      </w:r>
    </w:p>
    <w:p>
      <w:pPr>
        <w:pStyle w:val="BookText"/>
      </w:pPr>
      <w:r>
        <w:rPr>
          <w:rFonts w:ascii="IRNazanin" w:hAnsi="IRNazanin" w:eastAsia="IRNazanin" w:cs="IRNazanin"/>
          <w:lang w:bidi="fa-IR"/>
          <w:color w:val="111111"/>
          <w:sz w:val="28"/>
          <w:szCs w:val="28"/>
          <w:rtl/>
        </w:rPr>
        <w:t xml:space="preserve">الضوء = الطول والعرض =</w:t>
      </w:r>
    </w:p>
    <w:p>
      <w:pPr>
        <w:pStyle w:val="BookText"/>
      </w:pPr>
      <w:r>
        <w:rPr>
          <w:rFonts w:ascii="IRNazanin" w:hAnsi="IRNazanin" w:eastAsia="IRNazanin" w:cs="IRNazanin"/>
          <w:lang w:bidi="fa-IR"/>
          <w:color w:val="111111"/>
          <w:sz w:val="28"/>
          <w:szCs w:val="28"/>
          <w:rtl/>
        </w:rPr>
        <w:t xml:space="preserve">المشف، ج 6، ص 541.</w:t>
      </w:r>
    </w:p>
    <w:p>
      <w:pPr>
        <w:pStyle w:val="BookText"/>
      </w:pPr>
      <w:r>
        <w:rPr>
          <w:rFonts w:ascii="IRNazanin" w:hAnsi="IRNazanin" w:eastAsia="IRNazanin" w:cs="IRNazanin"/>
          <w:lang w:bidi="fa-IR"/>
          <w:color w:val="111111"/>
          <w:sz w:val="28"/>
          <w:szCs w:val="28"/>
          <w:rtl/>
        </w:rPr>
        <w:t xml:space="preserve">48 .الحدود = الحدود و الرسوم =</w:t>
      </w:r>
    </w:p>
    <w:p>
      <w:pPr>
        <w:pStyle w:val="BookText"/>
      </w:pPr>
      <w:r>
        <w:rPr>
          <w:rFonts w:ascii="Amiri" w:hAnsi="Amiri" w:eastAsia="Amiri" w:cs="Amiri"/>
          <w:lang w:bidi="ar-SA"/>
          <w:color w:val="111111"/>
          <w:sz w:val="28"/>
          <w:szCs w:val="28"/>
          <w:rtl/>
        </w:rPr>
        <w:t xml:space="preserve">حدود الاشياء، ج6، ص 547.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الحديث (رسالة في)، ج 6، ص 558.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الحزن و اسبابه = ماهية الحزن</w:t>
      </w:r>
    </w:p>
    <w:p>
      <w:pPr>
        <w:pStyle w:val="BookText"/>
      </w:pPr>
      <w:r>
        <w:rPr>
          <w:rFonts w:ascii="IRNazanin" w:hAnsi="IRNazanin" w:eastAsia="IRNazanin" w:cs="IRNazanin"/>
          <w:lang w:bidi="fa-IR"/>
          <w:color w:val="111111"/>
          <w:sz w:val="28"/>
          <w:szCs w:val="28"/>
          <w:rtl/>
        </w:rPr>
        <w:t xml:space="preserve">ج 6، ص 634 .</w:t>
      </w:r>
    </w:p>
    <w:p>
      <w:pPr>
        <w:pStyle w:val="BookText"/>
      </w:pPr>
      <w:r>
        <w:rPr>
          <w:rFonts w:ascii="Amiri" w:hAnsi="Amiri" w:eastAsia="Amiri" w:cs="Amiri"/>
          <w:lang w:bidi="ar-SA"/>
          <w:color w:val="111111"/>
          <w:sz w:val="28"/>
          <w:szCs w:val="28"/>
          <w:rtl/>
        </w:rPr>
        <w:t xml:space="preserve">51 .حفظ الصحة، ج 6، ص 676.</w:t>
      </w:r>
    </w:p>
    <w:p>
      <w:pPr>
        <w:pStyle w:val="BookText"/>
      </w:pPr>
      <w:r>
        <w:rPr>
          <w:rFonts w:ascii="Amiri" w:hAnsi="Amiri" w:eastAsia="Amiri" w:cs="Amiri"/>
          <w:lang w:bidi="ar-SA"/>
          <w:color w:val="111111"/>
          <w:sz w:val="28"/>
          <w:szCs w:val="28"/>
          <w:rtl/>
        </w:rPr>
        <w:t xml:space="preserve">52 .الحكمة العرشية = معرفة الله و</w:t>
      </w:r>
    </w:p>
    <w:p>
      <w:pPr>
        <w:pStyle w:val="BookText"/>
      </w:pPr>
      <w:r>
        <w:rPr>
          <w:rFonts w:ascii="Amiri" w:hAnsi="Amiri" w:eastAsia="Amiri" w:cs="Amiri"/>
          <w:lang w:bidi="ar-SA"/>
          <w:color w:val="111111"/>
          <w:sz w:val="28"/>
          <w:szCs w:val="28"/>
          <w:rtl/>
        </w:rPr>
        <w:t xml:space="preserve">صفاته و افعاله = حقائق علم التوحيد، ج 6 ، ص 745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حكمة المشرقية - الفلسفة المشرقية = منطق المشرقيين، ج6، ص 751 .</w:t>
      </w:r>
    </w:p>
    <w:p>
      <w:pPr>
        <w:pStyle w:val="BookText"/>
      </w:pPr>
      <w:r>
        <w:rPr>
          <w:rFonts w:ascii="Amiri" w:hAnsi="Amiri" w:eastAsia="Amiri" w:cs="Amiri"/>
          <w:lang w:bidi="ar-SA"/>
          <w:color w:val="111111"/>
          <w:sz w:val="28"/>
          <w:szCs w:val="28"/>
          <w:rtl/>
        </w:rPr>
        <w:t xml:space="preserve">54 . حي بن يقظان على بيان آخر</w:t>
      </w:r>
    </w:p>
    <w:p>
      <w:pPr>
        <w:pStyle w:val="BookText"/>
      </w:pPr>
      <w:r>
        <w:rPr>
          <w:rFonts w:ascii="IRNazanin" w:hAnsi="IRNazanin" w:eastAsia="IRNazanin" w:cs="IRNazanin"/>
          <w:lang w:bidi="fa-IR"/>
          <w:color w:val="111111"/>
          <w:sz w:val="28"/>
          <w:szCs w:val="28"/>
          <w:rtl/>
        </w:rPr>
        <w:t xml:space="preserve">ج 6، ص 865.</w:t>
      </w:r>
    </w:p>
    <w:p>
      <w:pPr>
        <w:pStyle w:val="BookText"/>
      </w:pPr>
      <w:r>
        <w:rPr>
          <w:rFonts w:ascii="Amiri" w:hAnsi="Amiri" w:eastAsia="Amiri" w:cs="Amiri"/>
          <w:lang w:bidi="ar-SA"/>
          <w:color w:val="111111"/>
          <w:sz w:val="28"/>
          <w:szCs w:val="28"/>
          <w:rtl/>
        </w:rPr>
        <w:t xml:space="preserve">55 .الخطبة، ج 7، ص 46.</w:t>
      </w:r>
    </w:p>
    <w:p>
      <w:pPr>
        <w:pStyle w:val="BookText"/>
      </w:pPr>
      <w:r>
        <w:rPr>
          <w:rFonts w:ascii="Amiri" w:hAnsi="Amiri" w:eastAsia="Amiri" w:cs="Amiri"/>
          <w:lang w:bidi="ar-SA"/>
          <w:color w:val="111111"/>
          <w:sz w:val="28"/>
          <w:szCs w:val="28"/>
          <w:rtl/>
        </w:rPr>
        <w:t xml:space="preserve">56 .خطبة، ج 7، ص 46.</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الخطبة التوحيدية = الخطبة الغراء = التمجيد = العطية الالهية</w:t>
      </w:r>
    </w:p>
    <w:p>
      <w:pPr>
        <w:pStyle w:val="BookText"/>
      </w:pPr>
      <w:r>
        <w:rPr>
          <w:rFonts w:ascii="Amiri" w:hAnsi="Amiri" w:eastAsia="Amiri" w:cs="Amiri"/>
          <w:lang w:bidi="ar-SA"/>
          <w:color w:val="111111"/>
          <w:sz w:val="28"/>
          <w:szCs w:val="28"/>
          <w:rtl/>
        </w:rPr>
        <w:t xml:space="preserve">التسبيحية، ج 7، ص 50.</w:t>
      </w:r>
    </w:p>
    <w:p>
      <w:pPr>
        <w:pStyle w:val="BookText"/>
      </w:pPr>
      <w:r>
        <w:rPr>
          <w:rFonts w:ascii="Amiri" w:hAnsi="Amiri" w:eastAsia="Amiri" w:cs="Amiri"/>
          <w:lang w:bidi="ar-SA"/>
          <w:color w:val="111111"/>
          <w:sz w:val="28"/>
          <w:szCs w:val="28"/>
          <w:rtl/>
        </w:rPr>
        <w:t xml:space="preserve">58 .خطبة في معنى الالهيات و الرياضيات و الطبيعيات، ج 7،</w:t>
      </w:r>
    </w:p>
    <w:p>
      <w:pPr>
        <w:pStyle w:val="BookText"/>
      </w:pPr>
      <w:r>
        <w:rPr>
          <w:rFonts w:ascii="IRNazanin" w:hAnsi="IRNazanin" w:eastAsia="IRNazanin" w:cs="IRNazanin"/>
          <w:lang w:bidi="fa-IR"/>
          <w:color w:val="111111"/>
          <w:sz w:val="28"/>
          <w:szCs w:val="28"/>
          <w:rtl/>
        </w:rPr>
        <w:t xml:space="preserve">ص 53.</w:t>
      </w:r>
    </w:p>
    <w:p>
      <w:pPr>
        <w:pStyle w:val="BookText"/>
      </w:pPr>
      <w:r>
        <w:rPr>
          <w:rFonts w:ascii="Amiri" w:hAnsi="Amiri" w:eastAsia="Amiri" w:cs="Amiri"/>
          <w:lang w:bidi="ar-SA"/>
          <w:color w:val="111111"/>
          <w:sz w:val="28"/>
          <w:szCs w:val="28"/>
          <w:rtl/>
        </w:rPr>
        <w:t xml:space="preserve">59 .دستور الطبي، ج7، ص381.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دفع الخوف عن الانسان (رسالة)</w:t>
      </w:r>
    </w:p>
    <w:p>
      <w:pPr>
        <w:pStyle w:val="BookText"/>
      </w:pPr>
      <w:r>
        <w:rPr>
          <w:rFonts w:ascii="IRNazanin" w:hAnsi="IRNazanin" w:eastAsia="IRNazanin" w:cs="IRNazanin"/>
          <w:lang w:bidi="fa-IR"/>
          <w:color w:val="111111"/>
          <w:sz w:val="28"/>
          <w:szCs w:val="28"/>
          <w:rtl/>
        </w:rPr>
        <w:t xml:space="preserve">ج 7، ص 422 .</w:t>
      </w:r>
    </w:p>
    <w:p>
      <w:pPr>
        <w:pStyle w:val="BookText"/>
      </w:pPr>
      <w:r>
        <w:rPr>
          <w:rFonts w:ascii="Amiri" w:hAnsi="Amiri" w:eastAsia="Amiri" w:cs="Amiri"/>
          <w:lang w:bidi="ar-SA"/>
          <w:color w:val="111111"/>
          <w:sz w:val="28"/>
          <w:szCs w:val="28"/>
          <w:rtl/>
        </w:rPr>
        <w:t xml:space="preserve">61 .ديوان ابن سينا، ج7، ص 522.</w:t>
      </w:r>
    </w:p>
    <w:p>
      <w:pPr>
        <w:pStyle w:val="BookText"/>
      </w:pPr>
      <w:r>
        <w:rPr>
          <w:rFonts w:ascii="Amiri" w:hAnsi="Amiri" w:eastAsia="Amiri" w:cs="Amiri"/>
          <w:lang w:bidi="ar-SA"/>
          <w:color w:val="111111"/>
          <w:sz w:val="28"/>
          <w:szCs w:val="28"/>
          <w:rtl/>
        </w:rPr>
        <w:t xml:space="preserve">62 .الرسالة الأولى، ج8، ص173.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الرسالة الثانية، ج8، ص182.</w:t>
      </w:r>
    </w:p>
    <w:p>
      <w:pPr>
        <w:pStyle w:val="BookText"/>
      </w:pPr>
      <w:r>
        <w:rPr>
          <w:rFonts w:ascii="Amiri" w:hAnsi="Amiri" w:eastAsia="Amiri" w:cs="Amiri"/>
          <w:lang w:bidi="ar-SA"/>
          <w:color w:val="111111"/>
          <w:sz w:val="28"/>
          <w:szCs w:val="28"/>
          <w:rtl/>
        </w:rPr>
        <w:t xml:space="preserve">64 .رسالة بالفارسية، ج8، ص 176.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الزاوية = رسالة إلى ابي سهل</w:t>
      </w:r>
    </w:p>
    <w:p>
      <w:pPr>
        <w:pStyle w:val="BookText"/>
      </w:pPr>
      <w:r>
        <w:rPr>
          <w:rFonts w:ascii="Amiri" w:hAnsi="Amiri" w:eastAsia="Amiri" w:cs="Amiri"/>
          <w:lang w:bidi="ar-SA"/>
          <w:color w:val="111111"/>
          <w:sz w:val="28"/>
          <w:szCs w:val="28"/>
          <w:rtl/>
        </w:rPr>
        <w:t xml:space="preserve">المسيحي، ج8، ص 545.</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سبب اجابة الدعا وكيفية الزيارة</w:t>
      </w:r>
    </w:p>
    <w:p>
      <w:pPr>
        <w:pStyle w:val="BookText"/>
      </w:pPr>
      <w:r>
        <w:rPr>
          <w:rFonts w:ascii="Amiri" w:hAnsi="Amiri" w:eastAsia="Amiri" w:cs="Amiri"/>
          <w:lang w:bidi="ar-SA"/>
          <w:color w:val="111111"/>
          <w:sz w:val="28"/>
          <w:szCs w:val="28"/>
          <w:rtl/>
        </w:rPr>
        <w:t xml:space="preserve">وتأثيرها = الزيارة = جواب ابي</w:t>
      </w:r>
    </w:p>
    <w:p>
      <w:pPr>
        <w:pStyle w:val="BookText"/>
      </w:pPr>
      <w:r>
        <w:rPr>
          <w:rFonts w:ascii="Amiri" w:hAnsi="Amiri" w:eastAsia="Amiri" w:cs="Amiri"/>
          <w:lang w:bidi="ar-SA"/>
          <w:color w:val="111111"/>
          <w:sz w:val="28"/>
          <w:szCs w:val="28"/>
          <w:rtl/>
        </w:rPr>
        <w:t xml:space="preserve">سعيد ابي الخير، ج 8، ص 692.</w:t>
      </w:r>
    </w:p>
    <w:p>
      <w:pPr>
        <w:pStyle w:val="BookText"/>
      </w:pPr>
      <w:r>
        <w:rPr>
          <w:rFonts w:ascii="Amiri" w:hAnsi="Amiri" w:eastAsia="Amiri" w:cs="Amiri"/>
          <w:lang w:bidi="ar-SA"/>
          <w:color w:val="111111"/>
          <w:sz w:val="28"/>
          <w:szCs w:val="28"/>
          <w:rtl/>
        </w:rPr>
        <w:t xml:space="preserve">67.سر القدر = معنى قول الصوفية :</w:t>
      </w:r>
    </w:p>
    <w:p>
      <w:pPr>
        <w:pStyle w:val="BookText"/>
      </w:pPr>
      <w:r>
        <w:rPr>
          <w:rFonts w:ascii="IRNazanin" w:hAnsi="IRNazanin" w:eastAsia="IRNazanin" w:cs="IRNazanin"/>
          <w:lang w:bidi="fa-IR"/>
          <w:color w:val="111111"/>
          <w:sz w:val="28"/>
          <w:szCs w:val="28"/>
          <w:rtl/>
        </w:rPr>
        <w:t xml:space="preserve">سر من عرف سر القدر فقد الحد»،</w:t>
      </w:r>
    </w:p>
    <w:p>
      <w:pPr>
        <w:pStyle w:val="BookText"/>
      </w:pPr>
      <w:r>
        <w:rPr>
          <w:rFonts w:ascii="IRNazanin" w:hAnsi="IRNazanin" w:eastAsia="IRNazanin" w:cs="IRNazanin"/>
          <w:lang w:bidi="fa-IR"/>
          <w:color w:val="111111"/>
          <w:sz w:val="28"/>
          <w:szCs w:val="28"/>
          <w:rtl/>
        </w:rPr>
        <w:t xml:space="preserve">ج 8، ص 760.</w:t>
      </w:r>
    </w:p>
    <w:p>
      <w:pPr>
        <w:pStyle w:val="BookText"/>
      </w:pPr>
      <w:r>
        <w:rPr>
          <w:rFonts w:ascii="IRNazanin" w:hAnsi="IRNazanin" w:eastAsia="IRNazanin" w:cs="IRNazanin"/>
          <w:lang w:bidi="fa-IR"/>
          <w:color w:val="111111"/>
          <w:sz w:val="28"/>
          <w:szCs w:val="28"/>
          <w:rtl/>
        </w:rPr>
        <w:t xml:space="preserve">68 .سلامان و ابسال ج8، ص798</w:t>
      </w:r>
    </w:p>
    <w:p>
      <w:pPr>
        <w:pStyle w:val="BookText"/>
      </w:pPr>
      <w:r>
        <w:rPr>
          <w:rFonts w:ascii="Amiri" w:hAnsi="Amiri" w:eastAsia="Amiri" w:cs="Amiri"/>
          <w:lang w:bidi="ar-SA"/>
          <w:color w:val="111111"/>
          <w:sz w:val="28"/>
          <w:szCs w:val="28"/>
          <w:rtl/>
        </w:rPr>
        <w:t xml:space="preserve">69 .سياسة البدن و فضائل الشراب = المجدول = الخمرية، ج8، ص 868.</w:t>
      </w:r>
    </w:p>
    <w:p>
      <w:pPr>
        <w:pStyle w:val="BookText"/>
      </w:pPr>
      <w:r>
        <w:rPr>
          <w:rFonts w:ascii="Amiri" w:hAnsi="Amiri" w:eastAsia="Amiri" w:cs="Amiri"/>
          <w:lang w:bidi="ar-SA"/>
          <w:color w:val="111111"/>
          <w:sz w:val="28"/>
          <w:szCs w:val="28"/>
          <w:rtl/>
        </w:rPr>
        <w:t xml:space="preserve">70 .شرح قصة حي بن يقظان =</w:t>
      </w:r>
    </w:p>
    <w:p>
      <w:pPr>
        <w:pStyle w:val="BookText"/>
      </w:pPr>
      <w:r>
        <w:rPr>
          <w:rFonts w:ascii="Amiri" w:hAnsi="Amiri" w:eastAsia="Amiri" w:cs="Amiri"/>
          <w:lang w:bidi="ar-SA"/>
          <w:color w:val="111111"/>
          <w:sz w:val="28"/>
          <w:szCs w:val="28"/>
          <w:rtl/>
        </w:rPr>
        <w:t xml:space="preserve">الرسالة المرموزة، ج 9، ص 830.</w:t>
      </w:r>
    </w:p>
    <w:p>
      <w:pPr>
        <w:pStyle w:val="BookText"/>
      </w:pPr>
      <w:r>
        <w:rPr>
          <w:rFonts w:ascii="IRNazanin" w:hAnsi="IRNazanin" w:eastAsia="IRNazanin" w:cs="IRNazanin"/>
          <w:lang w:bidi="fa-IR"/>
          <w:color w:val="111111"/>
          <w:sz w:val="28"/>
          <w:szCs w:val="28"/>
          <w:rtl/>
        </w:rPr>
        <w:t xml:space="preserve">71 .الشفاء، ج 10، ص372.</w:t>
      </w:r>
    </w:p>
    <w:p>
      <w:pPr>
        <w:pStyle w:val="BookText"/>
      </w:pPr>
      <w:r>
        <w:rPr>
          <w:rFonts w:ascii="Amiri" w:hAnsi="Amiri" w:eastAsia="Amiri" w:cs="Amiri"/>
          <w:lang w:bidi="ar-SA"/>
          <w:color w:val="111111"/>
          <w:sz w:val="28"/>
          <w:szCs w:val="28"/>
          <w:rtl/>
        </w:rPr>
        <w:t xml:space="preserve">72 .الصلاة وشرح حقيقتها (رسالة</w:t>
      </w:r>
    </w:p>
    <w:p>
      <w:pPr>
        <w:pStyle w:val="BookText"/>
      </w:pPr>
      <w:r>
        <w:rPr>
          <w:rFonts w:ascii="Amiri" w:hAnsi="Amiri" w:eastAsia="Amiri" w:cs="Amiri"/>
          <w:lang w:bidi="ar-SA"/>
          <w:color w:val="111111"/>
          <w:sz w:val="28"/>
          <w:szCs w:val="28"/>
          <w:rtl/>
        </w:rPr>
        <w:t xml:space="preserve">في)، ج 10، ص 618.</w:t>
      </w:r>
    </w:p>
    <w:p>
      <w:pPr>
        <w:pStyle w:val="BookText"/>
      </w:pPr>
      <w:r>
        <w:rPr>
          <w:rFonts w:ascii="IRNazanin" w:hAnsi="IRNazanin" w:eastAsia="IRNazanin" w:cs="IRNazanin"/>
          <w:lang w:bidi="fa-IR"/>
          <w:color w:val="111111"/>
          <w:sz w:val="28"/>
          <w:szCs w:val="28"/>
          <w:rtl/>
        </w:rPr>
        <w:t xml:space="preserve">73.الطب، ج 10، ص 736.</w:t>
      </w:r>
    </w:p>
    <w:p>
      <w:pPr>
        <w:pStyle w:val="BookText"/>
      </w:pPr>
      <w:r>
        <w:rPr>
          <w:rFonts w:ascii="Amiri" w:hAnsi="Amiri" w:eastAsia="Amiri" w:cs="Amiri"/>
          <w:lang w:bidi="ar-SA"/>
          <w:color w:val="111111"/>
          <w:sz w:val="28"/>
          <w:szCs w:val="28"/>
          <w:rtl/>
        </w:rPr>
        <w:t xml:space="preserve">74 . الطب (ارجوزة في) (1) = الارجوزة</w:t>
      </w:r>
    </w:p>
    <w:p>
      <w:pPr>
        <w:pStyle w:val="BookText"/>
      </w:pPr>
      <w:r>
        <w:rPr>
          <w:rFonts w:ascii="Amiri" w:hAnsi="Amiri" w:eastAsia="Amiri" w:cs="Amiri"/>
          <w:lang w:bidi="ar-SA"/>
          <w:color w:val="111111"/>
          <w:sz w:val="28"/>
          <w:szCs w:val="28"/>
          <w:rtl/>
        </w:rPr>
        <w:t xml:space="preserve">السينائية = ارجوزة الطب حفظ صحة برء مرض»، ج 10، ص 736 .</w:t>
      </w:r>
    </w:p>
    <w:p>
      <w:pPr>
        <w:pStyle w:val="BookText"/>
      </w:pPr>
      <w:r>
        <w:rPr>
          <w:rFonts w:ascii="Amiri" w:hAnsi="Amiri" w:eastAsia="Amiri" w:cs="Amiri"/>
          <w:lang w:bidi="ar-SA"/>
          <w:color w:val="111111"/>
          <w:sz w:val="28"/>
          <w:szCs w:val="28"/>
          <w:rtl/>
        </w:rPr>
        <w:t xml:space="preserve">75 .الطب (ارجوزة في) (2) = ارجوزة «اسمع جميع وصيتي و اعمل</w:t>
      </w:r>
    </w:p>
    <w:p>
      <w:pPr>
        <w:pStyle w:val="BookText"/>
      </w:pPr>
      <w:r>
        <w:rPr>
          <w:rFonts w:ascii="IRNazanin" w:hAnsi="IRNazanin" w:eastAsia="IRNazanin" w:cs="IRNazanin"/>
          <w:lang w:bidi="fa-IR"/>
          <w:color w:val="111111"/>
          <w:sz w:val="28"/>
          <w:szCs w:val="28"/>
          <w:rtl/>
        </w:rPr>
        <w:t xml:space="preserve">بها»، ج 10، ص737.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الطب (ارجوزة في) (4) = ارجوزة في الطب و الفصول الاربعة = ارجوزة يقول راجي ربه ابن</w:t>
      </w:r>
    </w:p>
    <w:p>
      <w:pPr>
        <w:pStyle w:val="BookText"/>
      </w:pPr>
      <w:r>
        <w:rPr>
          <w:rFonts w:ascii="IRNazanin" w:hAnsi="IRNazanin" w:eastAsia="IRNazanin" w:cs="IRNazanin"/>
          <w:lang w:bidi="fa-IR"/>
          <w:color w:val="111111"/>
          <w:sz w:val="28"/>
          <w:szCs w:val="28"/>
          <w:rtl/>
        </w:rPr>
        <w:t xml:space="preserve">سینا»، ج 10، ص738.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طب (مختصر)، ج 10، ص739.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الطير = الرسالة المرموزة في وصف</w:t>
      </w:r>
    </w:p>
    <w:p>
      <w:pPr>
        <w:pStyle w:val="BookText"/>
      </w:pPr>
      <w:r>
        <w:rPr>
          <w:rFonts w:ascii="Amiri" w:hAnsi="Amiri" w:eastAsia="Amiri" w:cs="Amiri"/>
          <w:lang w:bidi="ar-SA"/>
          <w:color w:val="111111"/>
          <w:sz w:val="28"/>
          <w:szCs w:val="28"/>
          <w:rtl/>
        </w:rPr>
        <w:t xml:space="preserve">.. = الشبكة و الطير، ج 10،</w:t>
      </w:r>
    </w:p>
    <w:p>
      <w:pPr>
        <w:pStyle w:val="BookText"/>
      </w:pPr>
      <w:r>
        <w:rPr>
          <w:rFonts w:ascii="IRNazanin" w:hAnsi="IRNazanin" w:eastAsia="IRNazanin" w:cs="IRNazanin"/>
          <w:lang w:bidi="fa-IR"/>
          <w:color w:val="111111"/>
          <w:sz w:val="28"/>
          <w:szCs w:val="28"/>
          <w:rtl/>
        </w:rPr>
        <w:t xml:space="preserve">ص 876.</w:t>
      </w:r>
    </w:p>
    <w:p>
      <w:pPr>
        <w:pStyle w:val="BookText"/>
      </w:pPr>
      <w:r>
        <w:rPr>
          <w:rFonts w:ascii="Amiri" w:hAnsi="Amiri" w:eastAsia="Amiri" w:cs="Amiri"/>
          <w:lang w:bidi="ar-SA"/>
          <w:color w:val="111111"/>
          <w:sz w:val="28"/>
          <w:szCs w:val="28"/>
          <w:rtl/>
        </w:rPr>
        <w:t xml:space="preserve">79 .العروس = العروش = العرش = سلسلة الفلاسفة = الحيرة = اثبات</w:t>
      </w:r>
    </w:p>
    <w:p>
      <w:pPr>
        <w:pStyle w:val="BookText"/>
      </w:pPr>
      <w:r>
        <w:rPr>
          <w:rFonts w:ascii="IRNazanin" w:hAnsi="IRNazanin" w:eastAsia="IRNazanin" w:cs="IRNazanin"/>
          <w:lang w:bidi="fa-IR"/>
          <w:color w:val="111111"/>
          <w:sz w:val="28"/>
          <w:szCs w:val="28"/>
          <w:rtl/>
        </w:rPr>
        <w:t xml:space="preserve">العقول، ج 11، ص87.</w:t>
      </w:r>
    </w:p>
    <w:p>
      <w:pPr>
        <w:pStyle w:val="BookText"/>
      </w:pPr>
      <w:r>
        <w:rPr>
          <w:rFonts w:ascii="Amiri" w:hAnsi="Amiri" w:eastAsia="Amiri" w:cs="Amiri"/>
          <w:lang w:bidi="ar-SA"/>
          <w:color w:val="111111"/>
          <w:sz w:val="28"/>
          <w:szCs w:val="28"/>
          <w:rtl/>
        </w:rPr>
        <w:t xml:space="preserve">80 .العشق = اثبات سريان العشق في</w:t>
      </w:r>
    </w:p>
    <w:p>
      <w:pPr>
        <w:pStyle w:val="BookText"/>
      </w:pPr>
      <w:r>
        <w:rPr>
          <w:rFonts w:ascii="IRNazanin" w:hAnsi="IRNazanin" w:eastAsia="IRNazanin" w:cs="IRNazanin"/>
          <w:lang w:bidi="fa-IR"/>
          <w:color w:val="111111"/>
          <w:sz w:val="28"/>
          <w:szCs w:val="28"/>
          <w:rtl/>
        </w:rPr>
        <w:t xml:space="preserve">الموجودات، ج 11، ص119</w:t>
      </w:r>
    </w:p>
    <w:p>
      <w:pPr>
        <w:pStyle w:val="BookText"/>
      </w:pPr>
      <w:r>
        <w:rPr>
          <w:rFonts w:ascii="IRNazanin" w:hAnsi="IRNazanin" w:eastAsia="IRNazanin" w:cs="IRNazanin"/>
          <w:lang w:bidi="fa-IR"/>
          <w:color w:val="111111"/>
          <w:sz w:val="28"/>
          <w:szCs w:val="28"/>
          <w:rtl/>
        </w:rPr>
        <w:t xml:space="preserve">81 .العقل و النفس، ج11، ص 181.</w:t>
      </w:r>
    </w:p>
    <w:p>
      <w:pPr>
        <w:pStyle w:val="BookText"/>
      </w:pPr>
      <w:r>
        <w:rPr>
          <w:rFonts w:ascii="Amiri" w:hAnsi="Amiri" w:eastAsia="Amiri" w:cs="Amiri"/>
          <w:lang w:bidi="ar-SA"/>
          <w:color w:val="111111"/>
          <w:sz w:val="28"/>
          <w:szCs w:val="28"/>
          <w:rtl/>
        </w:rPr>
        <w:t xml:space="preserve">82 .علة قيام الارض في حيزها =</w:t>
      </w:r>
    </w:p>
    <w:p>
      <w:pPr>
        <w:pStyle w:val="BookText"/>
      </w:pPr>
      <w:r>
        <w:rPr>
          <w:rFonts w:ascii="Amiri" w:hAnsi="Amiri" w:eastAsia="Amiri" w:cs="Amiri"/>
          <w:lang w:bidi="ar-SA"/>
          <w:color w:val="111111"/>
          <w:sz w:val="28"/>
          <w:szCs w:val="28"/>
          <w:rtl/>
        </w:rPr>
        <w:t xml:space="preserve">الارضية، ج11، ص220.</w:t>
      </w:r>
    </w:p>
    <w:p>
      <w:pPr>
        <w:pStyle w:val="BookText"/>
      </w:pPr>
      <w:r>
        <w:rPr>
          <w:rFonts w:ascii="Amiri" w:hAnsi="Amiri" w:eastAsia="Amiri" w:cs="Amiri"/>
          <w:lang w:bidi="ar-SA"/>
          <w:color w:val="111111"/>
          <w:sz w:val="28"/>
          <w:szCs w:val="28"/>
          <w:rtl/>
        </w:rPr>
        <w:t xml:space="preserve">83.علم النفس = معرفة النفس الناطقة و احوالها، ج 11، ص 265.</w:t>
      </w:r>
    </w:p>
    <w:p>
      <w:pPr>
        <w:pStyle w:val="BookText"/>
      </w:pPr>
      <w:r>
        <w:rPr>
          <w:rFonts w:ascii="Amiri" w:hAnsi="Amiri" w:eastAsia="Amiri" w:cs="Amiri"/>
          <w:lang w:bidi="ar-SA"/>
          <w:color w:val="111111"/>
          <w:sz w:val="28"/>
          <w:szCs w:val="28"/>
          <w:rtl/>
        </w:rPr>
        <w:t xml:space="preserve">84 .العهد = العهد في تزكية النفس =</w:t>
      </w:r>
    </w:p>
    <w:p>
      <w:pPr>
        <w:pStyle w:val="BookText"/>
      </w:pPr>
      <w:r>
        <w:rPr>
          <w:rFonts w:ascii="Amiri" w:hAnsi="Amiri" w:eastAsia="Amiri" w:cs="Amiri"/>
          <w:lang w:bidi="ar-SA"/>
          <w:color w:val="111111"/>
          <w:sz w:val="28"/>
          <w:szCs w:val="28"/>
          <w:rtl/>
        </w:rPr>
        <w:t xml:space="preserve">المعاهدة، ج 11، ص 341.</w:t>
      </w:r>
    </w:p>
    <w:p>
      <w:pPr>
        <w:pStyle w:val="BookText"/>
      </w:pPr>
      <w:r>
        <w:rPr>
          <w:rFonts w:ascii="Amiri" w:hAnsi="Amiri" w:eastAsia="Amiri" w:cs="Amiri"/>
          <w:lang w:bidi="ar-SA"/>
          <w:color w:val="111111"/>
          <w:sz w:val="28"/>
          <w:szCs w:val="28"/>
          <w:rtl/>
        </w:rPr>
        <w:t xml:space="preserve">85 .عيون الحكمة، ج 11، ص 404.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.الفرق بين القضاء والقدر و المشية والارادة = جواب ابي سعيد</w:t>
      </w:r>
    </w:p>
    <w:p>
      <w:pPr>
        <w:pStyle w:val="BookText"/>
      </w:pPr>
      <w:r>
        <w:rPr>
          <w:rFonts w:ascii="Amiri" w:hAnsi="Amiri" w:eastAsia="Amiri" w:cs="Amiri"/>
          <w:lang w:bidi="ar-SA"/>
          <w:color w:val="111111"/>
          <w:sz w:val="28"/>
          <w:szCs w:val="28"/>
          <w:rtl/>
        </w:rPr>
        <w:t xml:space="preserve">ابي الخير، ج 11، ص 796.</w:t>
      </w:r>
    </w:p>
    <w:p>
      <w:pPr>
        <w:pStyle w:val="BookText"/>
      </w:pPr>
      <w:r>
        <w:rPr>
          <w:rFonts w:ascii="Amiri" w:hAnsi="Amiri" w:eastAsia="Amiri" w:cs="Amiri"/>
          <w:lang w:bidi="ar-SA"/>
          <w:color w:val="111111"/>
          <w:sz w:val="28"/>
          <w:szCs w:val="28"/>
          <w:rtl/>
        </w:rPr>
        <w:t xml:space="preserve">87 .فساد الشهوة( رسالة في)، ج11،</w:t>
      </w:r>
    </w:p>
    <w:p>
      <w:pPr>
        <w:pStyle w:val="BookText"/>
      </w:pPr>
      <w:r>
        <w:rPr>
          <w:rFonts w:ascii="IRNazanin" w:hAnsi="IRNazanin" w:eastAsia="IRNazanin" w:cs="IRNazanin"/>
          <w:lang w:bidi="fa-IR"/>
          <w:color w:val="111111"/>
          <w:sz w:val="28"/>
          <w:szCs w:val="28"/>
          <w:rtl/>
        </w:rPr>
        <w:t xml:space="preserve">ص 824.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الفصد = العروق المقصودة، ج11،</w:t>
      </w:r>
    </w:p>
    <w:p>
      <w:pPr>
        <w:pStyle w:val="BookText"/>
      </w:pPr>
      <w:r>
        <w:rPr>
          <w:rFonts w:ascii="IRNazanin" w:hAnsi="IRNazanin" w:eastAsia="IRNazanin" w:cs="IRNazanin"/>
          <w:lang w:bidi="fa-IR"/>
          <w:color w:val="111111"/>
          <w:sz w:val="28"/>
          <w:szCs w:val="28"/>
          <w:rtl/>
        </w:rPr>
        <w:t xml:space="preserve">ص 828.</w:t>
      </w:r>
    </w:p>
    <w:p>
      <w:pPr>
        <w:pStyle w:val="BookText"/>
      </w:pPr>
      <w:r>
        <w:rPr>
          <w:rFonts w:ascii="Amiri" w:hAnsi="Amiri" w:eastAsia="Amiri" w:cs="Amiri"/>
          <w:lang w:bidi="ar-SA"/>
          <w:color w:val="111111"/>
          <w:sz w:val="28"/>
          <w:szCs w:val="28"/>
          <w:rtl/>
        </w:rPr>
        <w:t xml:space="preserve">89 .فوائد ابن سينا، ج 12، ص 176.</w:t>
      </w:r>
    </w:p>
    <w:p>
      <w:pPr>
        <w:pStyle w:val="BookText"/>
      </w:pPr>
      <w:r>
        <w:rPr>
          <w:rFonts w:ascii="Amiri" w:hAnsi="Amiri" w:eastAsia="Amiri" w:cs="Amiri"/>
          <w:lang w:bidi="ar-SA"/>
          <w:color w:val="111111"/>
          <w:sz w:val="28"/>
          <w:szCs w:val="28"/>
          <w:rtl/>
        </w:rPr>
        <w:t xml:space="preserve">90 .الفيض الالهي = الافعال و الانفعالات = البر والاثم، ج12،</w:t>
      </w:r>
    </w:p>
    <w:p>
      <w:pPr>
        <w:pStyle w:val="BookText"/>
      </w:pPr>
      <w:r>
        <w:rPr>
          <w:rFonts w:ascii="IRNazanin" w:hAnsi="IRNazanin" w:eastAsia="IRNazanin" w:cs="IRNazanin"/>
          <w:lang w:bidi="fa-IR"/>
          <w:color w:val="111111"/>
          <w:sz w:val="28"/>
          <w:szCs w:val="28"/>
          <w:rtl/>
        </w:rPr>
        <w:t xml:space="preserve">ص 306.</w:t>
      </w:r>
    </w:p>
    <w:p>
      <w:pPr>
        <w:pStyle w:val="BookText"/>
      </w:pPr>
      <w:r>
        <w:rPr>
          <w:rFonts w:ascii="Amiri" w:hAnsi="Amiri" w:eastAsia="Amiri" w:cs="Amiri"/>
          <w:lang w:bidi="ar-SA"/>
          <w:color w:val="111111"/>
          <w:sz w:val="28"/>
          <w:szCs w:val="28"/>
          <w:rtl/>
        </w:rPr>
        <w:t xml:space="preserve">91 .القانون في الطب، ج 12، ص 363.</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القصيدة العينية = القصيدة الغراء النفسية = الورقائية، ج 12،</w:t>
      </w:r>
    </w:p>
    <w:p>
      <w:pPr>
        <w:pStyle w:val="BookText"/>
      </w:pPr>
      <w:r>
        <w:rPr>
          <w:rFonts w:ascii="IRNazanin" w:hAnsi="IRNazanin" w:eastAsia="IRNazanin" w:cs="IRNazanin"/>
          <w:lang w:bidi="fa-IR"/>
          <w:color w:val="111111"/>
          <w:sz w:val="28"/>
          <w:szCs w:val="28"/>
          <w:rtl/>
        </w:rPr>
        <w:t xml:space="preserve">ص 684 .</w:t>
      </w:r>
    </w:p>
    <w:p>
      <w:pPr>
        <w:pStyle w:val="BookText"/>
      </w:pPr>
      <w:r>
        <w:rPr>
          <w:rFonts w:ascii="Amiri" w:hAnsi="Amiri" w:eastAsia="Amiri" w:cs="Amiri"/>
          <w:lang w:bidi="ar-SA"/>
          <w:color w:val="111111"/>
          <w:sz w:val="28"/>
          <w:szCs w:val="28"/>
          <w:rtl/>
        </w:rPr>
        <w:t xml:space="preserve">93 .قصيدة ختم الجرح، ج12،</w:t>
      </w:r>
    </w:p>
    <w:p>
      <w:pPr>
        <w:pStyle w:val="BookText"/>
      </w:pPr>
      <w:r>
        <w:rPr>
          <w:rFonts w:ascii="IRNazanin" w:hAnsi="IRNazanin" w:eastAsia="IRNazanin" w:cs="IRNazanin"/>
          <w:lang w:bidi="fa-IR"/>
          <w:color w:val="111111"/>
          <w:sz w:val="28"/>
          <w:szCs w:val="28"/>
          <w:rtl/>
        </w:rPr>
        <w:t xml:space="preserve">ص 667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القوى الانسانية و ادراكاتها، ج12،</w:t>
      </w:r>
    </w:p>
    <w:p>
      <w:pPr>
        <w:pStyle w:val="BookText"/>
      </w:pPr>
      <w:r>
        <w:rPr>
          <w:rFonts w:ascii="IRNazanin" w:hAnsi="IRNazanin" w:eastAsia="IRNazanin" w:cs="IRNazanin"/>
          <w:lang w:bidi="fa-IR"/>
          <w:color w:val="111111"/>
          <w:sz w:val="28"/>
          <w:szCs w:val="28"/>
          <w:rtl/>
        </w:rPr>
        <w:t xml:space="preserve">ص 867.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القوى الجسمانية = القوى الفعالة</w:t>
      </w:r>
    </w:p>
    <w:p>
      <w:pPr>
        <w:pStyle w:val="BookText"/>
      </w:pPr>
      <w:r>
        <w:rPr>
          <w:rFonts w:ascii="Amiri" w:hAnsi="Amiri" w:eastAsia="Amiri" w:cs="Amiri"/>
          <w:lang w:bidi="ar-SA"/>
          <w:color w:val="111111"/>
          <w:sz w:val="28"/>
          <w:szCs w:val="28"/>
          <w:rtl/>
        </w:rPr>
        <w:t xml:space="preserve">في الاجسام، ج12، ص 868.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القوى الطبيعية = الرد على ابي الفرج الطبيب في رسالته في القوى</w:t>
      </w:r>
    </w:p>
    <w:p>
      <w:pPr>
        <w:pStyle w:val="BookText"/>
      </w:pPr>
      <w:r>
        <w:rPr>
          <w:rFonts w:ascii="Amiri" w:hAnsi="Amiri" w:eastAsia="Amiri" w:cs="Amiri"/>
          <w:lang w:bidi="ar-SA"/>
          <w:color w:val="111111"/>
          <w:sz w:val="28"/>
          <w:szCs w:val="28"/>
          <w:rtl/>
        </w:rPr>
        <w:t xml:space="preserve">الطبيعية، ج12، ص 869.</w:t>
      </w:r>
    </w:p>
    <w:p>
      <w:pPr>
        <w:pStyle w:val="BookText"/>
      </w:pPr>
      <w:r>
        <w:rPr>
          <w:rFonts w:ascii="IRNazanin" w:hAnsi="IRNazanin" w:eastAsia="IRNazanin" w:cs="IRNazanin"/>
          <w:lang w:bidi="fa-IR"/>
          <w:color w:val="111111"/>
          <w:sz w:val="28"/>
          <w:szCs w:val="28"/>
          <w:rtl/>
        </w:rPr>
        <w:t xml:space="preserve">97 .کتاب دانش ج13، ص 100.</w:t>
      </w:r>
    </w:p>
    <w:p>
      <w:pPr>
        <w:pStyle w:val="BookText"/>
      </w:pPr>
      <w:r>
        <w:rPr>
          <w:rFonts w:ascii="Amiri" w:hAnsi="Amiri" w:eastAsia="Amiri" w:cs="Amiri"/>
          <w:lang w:bidi="ar-SA"/>
          <w:color w:val="111111"/>
          <w:sz w:val="28"/>
          <w:szCs w:val="28"/>
          <w:rtl/>
        </w:rPr>
        <w:t xml:space="preserve">98 .كفاية المرتاض في معرفة علم النبض و الأمراض = كفاية المرتاض في علم الأبوال و الأنباض، ج13، ص 337.</w:t>
      </w:r>
    </w:p>
    <w:p>
      <w:pPr>
        <w:pStyle w:val="BookText"/>
      </w:pPr>
      <w:r>
        <w:rPr>
          <w:rFonts w:ascii="Amiri" w:hAnsi="Amiri" w:eastAsia="Amiri" w:cs="Amiri"/>
          <w:lang w:bidi="ar-SA"/>
          <w:color w:val="111111"/>
          <w:sz w:val="28"/>
          <w:szCs w:val="28"/>
          <w:rtl/>
        </w:rPr>
        <w:t xml:space="preserve">99 .لامخافة من الموت، ج 13، ص 524.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اللمحات، ج13، ص 608.</w:t>
      </w:r>
    </w:p>
    <w:p>
      <w:pPr>
        <w:pStyle w:val="BookText"/>
      </w:pPr>
      <w:r>
        <w:rPr>
          <w:rFonts w:ascii="Amiri" w:hAnsi="Amiri" w:eastAsia="Amiri" w:cs="Amiri"/>
          <w:lang w:bidi="ar-SA"/>
          <w:color w:val="111111"/>
          <w:sz w:val="28"/>
          <w:szCs w:val="28"/>
          <w:rtl/>
        </w:rPr>
        <w:t xml:space="preserve">101 .لواحق الطبيعة ، ج13، ص 632.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المباحثات = اجوبة مسائل</w:t>
      </w:r>
    </w:p>
    <w:p>
      <w:pPr>
        <w:pStyle w:val="BookText"/>
      </w:pPr>
      <w:r>
        <w:rPr>
          <w:rFonts w:ascii="IRNazanin" w:hAnsi="IRNazanin" w:eastAsia="IRNazanin" w:cs="IRNazanin"/>
          <w:lang w:bidi="fa-IR"/>
          <w:color w:val="111111"/>
          <w:sz w:val="28"/>
          <w:szCs w:val="28"/>
          <w:rtl/>
        </w:rPr>
        <w:t xml:space="preserve">ابن سینا 89</w:t>
      </w:r>
    </w:p>
    <w:p>
      <w:pPr>
        <w:pStyle w:val="BookText"/>
      </w:pPr>
      <w:r>
        <w:rPr>
          <w:rFonts w:ascii="Amiri" w:hAnsi="Amiri" w:eastAsia="Amiri" w:cs="Amiri"/>
          <w:lang w:bidi="ar-SA"/>
          <w:color w:val="111111"/>
          <w:sz w:val="28"/>
          <w:szCs w:val="28"/>
          <w:rtl/>
        </w:rPr>
        <w:t xml:space="preserve">فلسفية - أجوبة مسائل بهمنيار</w:t>
      </w:r>
    </w:p>
    <w:p>
      <w:pPr>
        <w:pStyle w:val="BookText"/>
      </w:pPr>
      <w:r>
        <w:rPr>
          <w:rFonts w:ascii="IRNazanin" w:hAnsi="IRNazanin" w:eastAsia="IRNazanin" w:cs="IRNazanin"/>
          <w:lang w:bidi="fa-IR"/>
          <w:color w:val="111111"/>
          <w:sz w:val="28"/>
          <w:szCs w:val="28"/>
          <w:rtl/>
        </w:rPr>
        <w:t xml:space="preserve">ج 13، ص 707.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المبدأ و المعاد، ج13، ص731.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متفرقات، ج 13، ص 754 .</w:t>
      </w:r>
    </w:p>
    <w:p>
      <w:pPr>
        <w:pStyle w:val="BookText"/>
      </w:pPr>
      <w:r>
        <w:rPr>
          <w:rFonts w:ascii="Amiri" w:hAnsi="Amiri" w:eastAsia="Amiri" w:cs="Amiri"/>
          <w:lang w:bidi="ar-SA"/>
          <w:color w:val="111111"/>
          <w:sz w:val="28"/>
          <w:szCs w:val="28"/>
          <w:rtl/>
        </w:rPr>
        <w:t xml:space="preserve">105 .المجربات من الاحكام النجومية</w:t>
      </w:r>
    </w:p>
    <w:p>
      <w:pPr>
        <w:pStyle w:val="BookText"/>
      </w:pPr>
      <w:r>
        <w:rPr>
          <w:rFonts w:ascii="Amiri" w:hAnsi="Amiri" w:eastAsia="Amiri" w:cs="Amiri"/>
          <w:lang w:bidi="ar-SA"/>
          <w:color w:val="111111"/>
          <w:sz w:val="28"/>
          <w:szCs w:val="28"/>
          <w:rtl/>
        </w:rPr>
        <w:t xml:space="preserve">و القواعد الطبية، ج13، ص813.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المجسطي (مختصر)، ج13،</w:t>
      </w:r>
    </w:p>
    <w:p>
      <w:pPr>
        <w:pStyle w:val="BookText"/>
      </w:pPr>
      <w:r>
        <w:rPr>
          <w:rFonts w:ascii="IRNazanin" w:hAnsi="IRNazanin" w:eastAsia="IRNazanin" w:cs="IRNazanin"/>
          <w:lang w:bidi="fa-IR"/>
          <w:color w:val="111111"/>
          <w:sz w:val="28"/>
          <w:szCs w:val="28"/>
          <w:rtl/>
        </w:rPr>
        <w:t xml:space="preserve">ص 817</w:t>
      </w:r>
    </w:p>
    <w:p>
      <w:pPr>
        <w:pStyle w:val="BookText"/>
      </w:pPr>
      <w:r>
        <w:rPr>
          <w:rFonts w:ascii="IRNazanin" w:hAnsi="IRNazanin" w:eastAsia="IRNazanin" w:cs="IRNazanin"/>
          <w:lang w:bidi="fa-IR"/>
          <w:color w:val="111111"/>
          <w:sz w:val="28"/>
          <w:szCs w:val="28"/>
          <w:rtl/>
        </w:rPr>
        <w:t xml:space="preserve">107 .مجموعة رسائل ابن سینا کتاب المجموعة من كلام الشيخ الرئيس»،</w:t>
      </w:r>
    </w:p>
    <w:p>
      <w:pPr>
        <w:pStyle w:val="BookText"/>
      </w:pPr>
      <w:r>
        <w:rPr>
          <w:rFonts w:ascii="IRNazanin" w:hAnsi="IRNazanin" w:eastAsia="IRNazanin" w:cs="IRNazanin"/>
          <w:lang w:bidi="fa-IR"/>
          <w:color w:val="111111"/>
          <w:sz w:val="28"/>
          <w:szCs w:val="28"/>
          <w:rtl/>
        </w:rPr>
        <w:t xml:space="preserve">ج 14، ص 34.</w:t>
      </w:r>
    </w:p>
    <w:p>
      <w:pPr>
        <w:pStyle w:val="BookText"/>
      </w:pPr>
      <w:r>
        <w:rPr>
          <w:rFonts w:ascii="Amiri" w:hAnsi="Amiri" w:eastAsia="Amiri" w:cs="Amiri"/>
          <w:lang w:bidi="ar-SA"/>
          <w:color w:val="111111"/>
          <w:sz w:val="28"/>
          <w:szCs w:val="28"/>
          <w:rtl/>
        </w:rPr>
        <w:t xml:space="preserve">108 .مختصر الاصول الهندسية، ج 14،</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Amiri" w:hAnsi="Amiri" w:eastAsia="Amiri" w:cs="Amiri"/>
          <w:lang w:bidi="ar-SA"/>
          <w:color w:val="111111"/>
          <w:sz w:val="28"/>
          <w:szCs w:val="28"/>
          <w:rtl/>
        </w:rPr>
        <w:t xml:space="preserve">109 .المختصر في الطب، ج 14، ص 215.</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المزاج (رسالة في)، ج 14، ص 414.</w:t>
      </w:r>
    </w:p>
    <w:p>
      <w:pPr>
        <w:pStyle w:val="BookText"/>
      </w:pPr>
      <w:r>
        <w:rPr>
          <w:rFonts w:ascii="Amiri" w:hAnsi="Amiri" w:eastAsia="Amiri" w:cs="Amiri"/>
          <w:lang w:bidi="ar-SA"/>
          <w:color w:val="111111"/>
          <w:sz w:val="28"/>
          <w:szCs w:val="28"/>
          <w:rtl/>
        </w:rPr>
        <w:t xml:space="preserve">111 .مسائل الشيخ الرئيس، ج 14،</w:t>
      </w:r>
    </w:p>
    <w:p>
      <w:pPr>
        <w:pStyle w:val="BookText"/>
      </w:pPr>
      <w:r>
        <w:rPr>
          <w:rFonts w:ascii="IRNazanin" w:hAnsi="IRNazanin" w:eastAsia="IRNazanin" w:cs="IRNazanin"/>
          <w:lang w:bidi="fa-IR"/>
          <w:color w:val="111111"/>
          <w:sz w:val="28"/>
          <w:szCs w:val="28"/>
          <w:rtl/>
        </w:rPr>
        <w:t xml:space="preserve">ص 456.</w:t>
      </w:r>
    </w:p>
    <w:p>
      <w:pPr>
        <w:pStyle w:val="BookText"/>
      </w:pPr>
      <w:r>
        <w:rPr>
          <w:rFonts w:ascii="Amiri" w:hAnsi="Amiri" w:eastAsia="Amiri" w:cs="Amiri"/>
          <w:lang w:bidi="ar-SA"/>
          <w:color w:val="111111"/>
          <w:sz w:val="28"/>
          <w:szCs w:val="28"/>
          <w:rtl/>
        </w:rPr>
        <w:t xml:space="preserve">112 .المعاودة في امر النفس والفيض جواب ابي سعيد ابي الخير، ج 14،</w:t>
      </w:r>
    </w:p>
    <w:p>
      <w:pPr>
        <w:pStyle w:val="BookText"/>
      </w:pPr>
      <w:r>
        <w:rPr>
          <w:rFonts w:ascii="IRNazanin" w:hAnsi="IRNazanin" w:eastAsia="IRNazanin" w:cs="IRNazanin"/>
          <w:lang w:bidi="fa-IR"/>
          <w:color w:val="111111"/>
          <w:sz w:val="28"/>
          <w:szCs w:val="28"/>
          <w:rtl/>
        </w:rPr>
        <w:t xml:space="preserve">ص 896.</w:t>
      </w:r>
    </w:p>
    <w:p>
      <w:pPr>
        <w:pStyle w:val="BookText"/>
      </w:pPr>
      <w:r>
        <w:rPr>
          <w:rFonts w:ascii="Amiri" w:hAnsi="Amiri" w:eastAsia="Amiri" w:cs="Amiri"/>
          <w:lang w:bidi="ar-SA"/>
          <w:color w:val="111111"/>
          <w:sz w:val="28"/>
          <w:szCs w:val="28"/>
          <w:rtl/>
        </w:rPr>
        <w:t xml:space="preserve">113 .معلومات النفس بعد المفارقة</w:t>
      </w:r>
    </w:p>
    <w:p>
      <w:pPr>
        <w:pStyle w:val="BookText"/>
      </w:pPr>
      <w:r>
        <w:rPr>
          <w:rFonts w:ascii="IRNazanin" w:hAnsi="IRNazanin" w:eastAsia="IRNazanin" w:cs="IRNazanin"/>
          <w:lang w:bidi="fa-IR"/>
          <w:color w:val="111111"/>
          <w:sz w:val="28"/>
          <w:szCs w:val="28"/>
          <w:rtl/>
        </w:rPr>
        <w:t xml:space="preserve">ج 15، ص 84.</w:t>
      </w:r>
    </w:p>
    <w:p>
      <w:pPr>
        <w:pStyle w:val="BookText"/>
      </w:pPr>
      <w:r>
        <w:rPr>
          <w:rFonts w:ascii="Amiri" w:hAnsi="Amiri" w:eastAsia="Amiri" w:cs="Amiri"/>
          <w:lang w:bidi="ar-SA"/>
          <w:color w:val="111111"/>
          <w:sz w:val="28"/>
          <w:szCs w:val="28"/>
          <w:rtl/>
        </w:rPr>
        <w:t xml:space="preserve">114 .مقالات في الحميات، ج 15</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Amiri" w:hAnsi="Amiri" w:eastAsia="Amiri" w:cs="Amiri"/>
          <w:lang w:bidi="ar-SA"/>
          <w:color w:val="111111"/>
          <w:sz w:val="28"/>
          <w:szCs w:val="28"/>
          <w:rtl/>
        </w:rPr>
        <w:t xml:space="preserve">115 .مقالة ابن سينا، ج 15، ص283.</w:t>
      </w:r>
    </w:p>
    <w:p>
      <w:pPr>
        <w:pStyle w:val="BookText"/>
      </w:pPr>
      <w:r>
        <w:rPr>
          <w:rFonts w:ascii="Amiri" w:hAnsi="Amiri" w:eastAsia="Amiri" w:cs="Amiri"/>
          <w:lang w:bidi="ar-SA"/>
          <w:color w:val="111111"/>
          <w:sz w:val="28"/>
          <w:szCs w:val="28"/>
          <w:rtl/>
        </w:rPr>
        <w:t xml:space="preserve">116 .مقالة في اقسام العلوم، ج 15</w:t>
      </w:r>
    </w:p>
    <w:p>
      <w:pPr>
        <w:pStyle w:val="BookText"/>
      </w:pPr>
      <w:r>
        <w:rPr>
          <w:rFonts w:ascii="IRNazanin" w:hAnsi="IRNazanin" w:eastAsia="IRNazanin" w:cs="IRNazanin"/>
          <w:lang w:bidi="fa-IR"/>
          <w:color w:val="111111"/>
          <w:sz w:val="28"/>
          <w:szCs w:val="28"/>
          <w:rtl/>
        </w:rPr>
        <w:t xml:space="preserve">ص 285.</w:t>
      </w:r>
    </w:p>
    <w:p>
      <w:pPr>
        <w:pStyle w:val="BookText"/>
      </w:pPr>
      <w:r>
        <w:rPr>
          <w:rFonts w:ascii="IRNazanin" w:hAnsi="IRNazanin" w:eastAsia="IRNazanin" w:cs="IRNazanin"/>
          <w:lang w:bidi="fa-IR"/>
          <w:color w:val="111111"/>
          <w:sz w:val="28"/>
          <w:szCs w:val="28"/>
          <w:rtl/>
        </w:rPr>
        <w:t xml:space="preserve">117 .ملتقطات من آراء افلاطون</w:t>
      </w:r>
    </w:p>
    <w:p>
      <w:pPr>
        <w:pStyle w:val="BookText"/>
      </w:pPr>
      <w:r>
        <w:rPr>
          <w:rFonts w:ascii="IRNazanin" w:hAnsi="IRNazanin" w:eastAsia="IRNazanin" w:cs="IRNazanin"/>
          <w:lang w:bidi="fa-IR"/>
          <w:color w:val="111111"/>
          <w:sz w:val="28"/>
          <w:szCs w:val="28"/>
          <w:rtl/>
        </w:rPr>
        <w:t xml:space="preserve">ج 15 ، ص 436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المنطق (رسالة في)، ج 15 ،</w:t>
      </w:r>
    </w:p>
    <w:p>
      <w:pPr>
        <w:pStyle w:val="BookText"/>
      </w:pPr>
      <w:r>
        <w:rPr>
          <w:rFonts w:ascii="IRNazanin" w:hAnsi="IRNazanin" w:eastAsia="IRNazanin" w:cs="IRNazanin"/>
          <w:lang w:bidi="fa-IR"/>
          <w:color w:val="111111"/>
          <w:sz w:val="28"/>
          <w:szCs w:val="28"/>
          <w:rtl/>
        </w:rPr>
        <w:t xml:space="preserve">ص 694 .</w:t>
      </w:r>
    </w:p>
    <w:p>
      <w:pPr>
        <w:pStyle w:val="BookText"/>
      </w:pPr>
      <w:r>
        <w:rPr>
          <w:rFonts w:ascii="Amiri" w:hAnsi="Amiri" w:eastAsia="Amiri" w:cs="Amiri"/>
          <w:lang w:bidi="ar-SA"/>
          <w:color w:val="111111"/>
          <w:sz w:val="28"/>
          <w:szCs w:val="28"/>
          <w:rtl/>
        </w:rPr>
        <w:t xml:space="preserve">119 .من كلام الشيخ الرئيس، ج 15</w:t>
      </w:r>
    </w:p>
    <w:p>
      <w:pPr>
        <w:pStyle w:val="BookText"/>
      </w:pPr>
      <w:r>
        <w:rPr>
          <w:rFonts w:ascii="IRNazanin" w:hAnsi="IRNazanin" w:eastAsia="IRNazanin" w:cs="IRNazanin"/>
          <w:lang w:bidi="fa-IR"/>
          <w:color w:val="111111"/>
          <w:sz w:val="28"/>
          <w:szCs w:val="28"/>
          <w:rtl/>
        </w:rPr>
        <w:t xml:space="preserve">ص 742 .</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المواضع الجدلية، ج 15 ، ص 861.</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7" w:name="pg7742_69503"/>
    <w:bookmarkEnd w:id="77"/>
    <w:p>
      <w:pPr>
        <w:pStyle w:val="BookText"/>
      </w:pPr>
      <w:r>
        <w:rPr>
          <w:rFonts w:ascii="Amiri" w:hAnsi="Amiri" w:eastAsia="Amiri" w:cs="Amiri"/>
          <w:lang w:bidi="ar-SA"/>
          <w:color w:val="111111"/>
          <w:sz w:val="28"/>
          <w:szCs w:val="28"/>
          <w:rtl/>
        </w:rPr>
        <w:t xml:space="preserve">121 .الموجز في المنطق، ج 16، ص 6.</w:t>
      </w:r>
    </w:p>
    <w:p>
      <w:pPr>
        <w:pStyle w:val="BookText"/>
      </w:pPr>
      <w:r>
        <w:rPr>
          <w:rFonts w:ascii="Amiri" w:hAnsi="Amiri" w:eastAsia="Amiri" w:cs="Amiri"/>
          <w:lang w:bidi="ar-SA"/>
          <w:color w:val="111111"/>
          <w:sz w:val="28"/>
          <w:szCs w:val="28"/>
          <w:rtl/>
        </w:rPr>
        <w:t xml:space="preserve">122 .الموسيقي، ج 16، ص 14.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النجاة، ج 16، ص 143.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النفس الناطقة والعوالم الثلاثة</w:t>
      </w:r>
    </w:p>
    <w:p>
      <w:pPr>
        <w:pStyle w:val="BookText"/>
      </w:pPr>
      <w:r>
        <w:rPr>
          <w:rFonts w:ascii="Amiri" w:hAnsi="Amiri" w:eastAsia="Amiri" w:cs="Amiri"/>
          <w:lang w:bidi="ar-SA"/>
          <w:color w:val="111111"/>
          <w:sz w:val="28"/>
          <w:szCs w:val="28"/>
          <w:rtl/>
        </w:rPr>
        <w:t xml:space="preserve">(رسالة في)، ج 16، ص 403.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النفس على سنة الاختصار - مبحث عن القوى النفسانية =</w:t>
      </w:r>
    </w:p>
    <w:p>
      <w:pPr>
        <w:pStyle w:val="BookText"/>
      </w:pPr>
      <w:r>
        <w:rPr>
          <w:rFonts w:ascii="Amiri" w:hAnsi="Amiri" w:eastAsia="Amiri" w:cs="Amiri"/>
          <w:lang w:bidi="ar-SA"/>
          <w:color w:val="111111"/>
          <w:sz w:val="28"/>
          <w:szCs w:val="28"/>
          <w:rtl/>
        </w:rPr>
        <w:t xml:space="preserve">الهدية، ج 16، ص 400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النفس على طريق الدليل و البرهان = احوال النفس = النفس الناطقة = نفس الفلكي = المعاد</w:t>
      </w:r>
    </w:p>
    <w:p>
      <w:pPr>
        <w:pStyle w:val="BookText"/>
      </w:pPr>
      <w:r>
        <w:rPr>
          <w:rFonts w:ascii="IRNazanin" w:hAnsi="IRNazanin" w:eastAsia="IRNazanin" w:cs="IRNazanin"/>
          <w:lang w:bidi="fa-IR"/>
          <w:color w:val="111111"/>
          <w:sz w:val="28"/>
          <w:szCs w:val="28"/>
          <w:rtl/>
        </w:rPr>
        <w:t xml:space="preserve">الاصغر، ج 16، ص 401.</w:t>
      </w:r>
    </w:p>
    <w:p>
      <w:pPr>
        <w:pStyle w:val="BookText"/>
      </w:pPr>
      <w:r>
        <w:rPr>
          <w:rFonts w:ascii="Amiri" w:hAnsi="Amiri" w:eastAsia="Amiri" w:cs="Amiri"/>
          <w:lang w:bidi="ar-SA"/>
          <w:color w:val="111111"/>
          <w:sz w:val="28"/>
          <w:szCs w:val="28"/>
          <w:rtl/>
        </w:rPr>
        <w:t xml:space="preserve">127 .النفس و انها لاتموت (رسالة في)</w:t>
      </w:r>
    </w:p>
    <w:p>
      <w:pPr>
        <w:pStyle w:val="BookText"/>
      </w:pPr>
      <w:r>
        <w:rPr>
          <w:rFonts w:ascii="IRNazanin" w:hAnsi="IRNazanin" w:eastAsia="IRNazanin" w:cs="IRNazanin"/>
          <w:lang w:bidi="fa-IR"/>
          <w:color w:val="111111"/>
          <w:sz w:val="28"/>
          <w:szCs w:val="28"/>
          <w:rtl/>
        </w:rPr>
        <w:t xml:space="preserve">ج 16، ص 403.</w:t>
      </w:r>
    </w:p>
    <w:p>
      <w:pPr>
        <w:pStyle w:val="BookText"/>
      </w:pPr>
      <w:r>
        <w:rPr>
          <w:rFonts w:ascii="Amiri" w:hAnsi="Amiri" w:eastAsia="Amiri" w:cs="Amiri"/>
          <w:lang w:bidi="ar-SA"/>
          <w:color w:val="111111"/>
          <w:sz w:val="28"/>
          <w:szCs w:val="28"/>
          <w:rtl/>
        </w:rPr>
        <w:t xml:space="preserve">128 . النكت في المنطق = الفصول الموجزة = معرفة الاشياء، ج 16،</w:t>
      </w:r>
    </w:p>
    <w:p>
      <w:pPr>
        <w:pStyle w:val="BookText"/>
      </w:pPr>
      <w:r>
        <w:rPr>
          <w:rFonts w:ascii="IRNazanin" w:hAnsi="IRNazanin" w:eastAsia="IRNazanin" w:cs="IRNazanin"/>
          <w:lang w:bidi="fa-IR"/>
          <w:color w:val="111111"/>
          <w:sz w:val="28"/>
          <w:szCs w:val="28"/>
          <w:rtl/>
        </w:rPr>
        <w:t xml:space="preserve">ص 469.</w:t>
      </w:r>
    </w:p>
    <w:p>
      <w:pPr>
        <w:pStyle w:val="BookText"/>
      </w:pPr>
      <w:r>
        <w:rPr>
          <w:rFonts w:ascii="Amiri" w:hAnsi="Amiri" w:eastAsia="Amiri" w:cs="Amiri"/>
          <w:lang w:bidi="ar-SA"/>
          <w:color w:val="111111"/>
          <w:sz w:val="28"/>
          <w:szCs w:val="28"/>
          <w:rtl/>
        </w:rPr>
        <w:t xml:space="preserve">129 .النيروزية في معاني الحروف الهجائية - اسرار الحروف = فواتح</w:t>
      </w:r>
    </w:p>
    <w:p>
      <w:pPr>
        <w:pStyle w:val="BookText"/>
      </w:pPr>
      <w:r>
        <w:rPr>
          <w:rFonts w:ascii="IRNazanin" w:hAnsi="IRNazanin" w:eastAsia="IRNazanin" w:cs="IRNazanin"/>
          <w:lang w:bidi="fa-IR"/>
          <w:color w:val="111111"/>
          <w:sz w:val="28"/>
          <w:szCs w:val="28"/>
          <w:rtl/>
        </w:rPr>
        <w:t xml:space="preserve">السور، ج 16، ص 577.</w:t>
      </w:r>
    </w:p>
    <w:p>
      <w:pPr>
        <w:pStyle w:val="BookText"/>
      </w:pPr>
      <w:r>
        <w:rPr>
          <w:rFonts w:ascii="Amiri" w:hAnsi="Amiri" w:eastAsia="Amiri" w:cs="Amiri"/>
          <w:lang w:bidi="ar-SA"/>
          <w:color w:val="111111"/>
          <w:sz w:val="28"/>
          <w:szCs w:val="28"/>
          <w:rtl/>
        </w:rPr>
        <w:t xml:space="preserve">130 .الهداية في الحكمة، ج 16،</w:t>
      </w:r>
    </w:p>
    <w:p>
      <w:pPr>
        <w:pStyle w:val="BookText"/>
      </w:pPr>
      <w:r>
        <w:rPr>
          <w:rFonts w:ascii="IRNazanin" w:hAnsi="IRNazanin" w:eastAsia="IRNazanin" w:cs="IRNazanin"/>
          <w:lang w:bidi="fa-IR"/>
          <w:color w:val="111111"/>
          <w:sz w:val="28"/>
          <w:szCs w:val="28"/>
          <w:rtl/>
        </w:rPr>
        <w:t xml:space="preserve">ص 616 .</w:t>
      </w:r>
    </w:p>
    <w:p>
      <w:pPr>
        <w:pStyle w:val="BookText"/>
      </w:pPr>
      <w:r>
        <w:rPr>
          <w:rFonts w:ascii="Amiri" w:hAnsi="Amiri" w:eastAsia="Amiri" w:cs="Amiri"/>
          <w:lang w:bidi="ar-SA"/>
          <w:color w:val="111111"/>
          <w:sz w:val="28"/>
          <w:szCs w:val="28"/>
          <w:rtl/>
        </w:rPr>
        <w:t xml:space="preserve">131 .الهندباء كاسني = خواص كاسني، ج 16، ص 654 .</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الوسعة = الفضاء = كتاب بعض المتكلمين إلى الشيخ وجوابه ج 16، ص 780.</w:t>
      </w:r>
    </w:p>
    <w:p>
      <w:pPr>
        <w:pStyle w:val="BookText"/>
      </w:pPr>
      <w:r>
        <w:rPr>
          <w:rFonts w:ascii="Amiri" w:hAnsi="Amiri" w:eastAsia="Amiri" w:cs="Amiri"/>
          <w:lang w:bidi="ar-SA"/>
          <w:color w:val="111111"/>
          <w:sz w:val="28"/>
          <w:szCs w:val="28"/>
          <w:rtl/>
        </w:rPr>
        <w:t xml:space="preserve">ابن شابذ ، محمّد بن سعيد -صنهاجي</w:t>
      </w:r>
    </w:p>
    <w:p>
      <w:pPr>
        <w:pStyle w:val="BookText"/>
      </w:pPr>
      <w:r>
        <w:rPr>
          <w:rFonts w:ascii="Amiri" w:hAnsi="Amiri" w:eastAsia="Amiri" w:cs="Amiri"/>
          <w:lang w:bidi="ar-SA"/>
          <w:color w:val="111111"/>
          <w:sz w:val="28"/>
          <w:szCs w:val="28"/>
          <w:rtl/>
        </w:rPr>
        <w:t xml:space="preserve">محمّد بن سعيد</w:t>
      </w:r>
    </w:p>
    <w:p>
      <w:pPr>
        <w:pStyle w:val="Heading2"/>
      </w:pPr>
      <w:bookmarkStart w:id="1393" w:name="_Toc495"/>
      <w:r>
        <w:t>ابن شاذان ، حسن بن احمد - 426 ه-</w:t>
      </w:r>
      <w:bookmarkEnd w:id="1393"/>
    </w:p>
    <w:p>
      <w:pPr>
        <w:pStyle w:val="BookText"/>
      </w:pPr>
      <w:r>
        <w:rPr>
          <w:rFonts w:ascii="Amiri" w:hAnsi="Amiri" w:eastAsia="Amiri" w:cs="Amiri"/>
          <w:lang w:bidi="ar-SA"/>
          <w:color w:val="111111"/>
          <w:sz w:val="28"/>
          <w:szCs w:val="28"/>
          <w:rtl/>
        </w:rPr>
        <w:t xml:space="preserve">جزء في الحديث، ج 5، ص 380.</w:t>
      </w:r>
    </w:p>
    <w:p>
      <w:pPr>
        <w:pStyle w:val="Heading2"/>
      </w:pPr>
      <w:bookmarkStart w:id="1394" w:name="_Toc496"/>
      <w:r>
        <w:t>ابن شاذان ، فضل بن شاذان - 260 ه-</w:t>
      </w:r>
      <w:bookmarkEnd w:id="1394"/>
    </w:p>
    <w:p>
      <w:pPr>
        <w:pStyle w:val="BookText"/>
      </w:pPr>
      <w:r>
        <w:rPr>
          <w:rFonts w:ascii="Amiri" w:hAnsi="Amiri" w:eastAsia="Amiri" w:cs="Amiri"/>
          <w:lang w:bidi="ar-SA"/>
          <w:color w:val="111111"/>
          <w:sz w:val="28"/>
          <w:szCs w:val="28"/>
          <w:rtl/>
        </w:rPr>
        <w:t xml:space="preserve">1 .اثبات الرجعة، ج 1، ص 151.</w:t>
      </w:r>
    </w:p>
    <w:p>
      <w:pPr>
        <w:pStyle w:val="BookText"/>
      </w:pPr>
      <w:r>
        <w:rPr>
          <w:rFonts w:ascii="Amiri" w:hAnsi="Amiri" w:eastAsia="Amiri" w:cs="Amiri"/>
          <w:lang w:bidi="ar-SA"/>
          <w:color w:val="111111"/>
          <w:sz w:val="28"/>
          <w:szCs w:val="28"/>
          <w:rtl/>
        </w:rPr>
        <w:t xml:space="preserve">2 .اثبات الرجعة (مختصر)، ج1،</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Amiri" w:hAnsi="Amiri" w:eastAsia="Amiri" w:cs="Amiri"/>
          <w:lang w:bidi="ar-SA"/>
          <w:color w:val="111111"/>
          <w:sz w:val="28"/>
          <w:szCs w:val="28"/>
          <w:rtl/>
        </w:rPr>
        <w:t xml:space="preserve">3 .الايضاح المعيار و الموازنة، ج3،</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4 .الرجعة (مختصر)، ج8، ص 60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 كتاب الفضل بن شاذان، ج 15</w:t>
      </w:r>
    </w:p>
    <w:p>
      <w:pPr>
        <w:pStyle w:val="BookText"/>
      </w:pPr>
      <w:r>
        <w:rPr>
          <w:rFonts w:ascii="IRNazanin" w:hAnsi="IRNazanin" w:eastAsia="IRNazanin" w:cs="IRNazanin"/>
          <w:lang w:bidi="fa-IR"/>
          <w:color w:val="111111"/>
          <w:sz w:val="28"/>
          <w:szCs w:val="28"/>
          <w:rtl/>
        </w:rPr>
        <w:t xml:space="preserve">ص 742 .</w:t>
      </w:r>
    </w:p>
    <w:p>
      <w:pPr>
        <w:pStyle w:val="Heading2"/>
      </w:pPr>
      <w:bookmarkStart w:id="1395" w:name="_Toc497"/>
      <w:r>
        <w:t>ابن شاذان ، محمّد بن احمد - 420 ه-</w:t>
      </w:r>
      <w:bookmarkEnd w:id="1395"/>
    </w:p>
    <w:p>
      <w:pPr>
        <w:pStyle w:val="BookText"/>
      </w:pPr>
      <w:r>
        <w:rPr>
          <w:rFonts w:ascii="Amiri" w:hAnsi="Amiri" w:eastAsia="Amiri" w:cs="Amiri"/>
          <w:lang w:bidi="ar-SA"/>
          <w:color w:val="111111"/>
          <w:sz w:val="28"/>
          <w:szCs w:val="28"/>
          <w:rtl/>
        </w:rPr>
        <w:t xml:space="preserve">ايضاح دفائن النواصب = مائة منقبة من مناقب امير المؤمنين علي عليه السلام = المناقب المائة، ج3، ص 115.</w:t>
      </w:r>
    </w:p>
    <w:p>
      <w:pPr>
        <w:pStyle w:val="Heading2"/>
      </w:pPr>
      <w:bookmarkStart w:id="1396" w:name="_Toc498"/>
      <w:r>
        <w:t>ابن شاس ، عبدالله بن نجم الدین محمّد</w:t>
      </w:r>
      <w:bookmarkEnd w:id="139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616 ه-</w:t>
      </w:r>
    </w:p>
    <w:p>
      <w:pPr>
        <w:pStyle w:val="BookText"/>
      </w:pPr>
      <w:r>
        <w:rPr>
          <w:rFonts w:ascii="Amiri" w:hAnsi="Amiri" w:eastAsia="Amiri" w:cs="Amiri"/>
          <w:lang w:bidi="ar-SA"/>
          <w:color w:val="111111"/>
          <w:sz w:val="28"/>
          <w:szCs w:val="28"/>
          <w:rtl/>
        </w:rPr>
        <w:t xml:space="preserve">عقد الجواهر الثمينة في مذهب عالم المدينة = الجواهر، ج11، ص 159</w:t>
      </w:r>
    </w:p>
    <w:p>
      <w:pPr>
        <w:pStyle w:val="Heading2"/>
      </w:pPr>
      <w:bookmarkStart w:id="1397" w:name="_Toc499"/>
      <w:r>
        <w:t>ابن شاطر علي بن ابراهيم 704-777ه-</w:t>
      </w:r>
      <w:bookmarkEnd w:id="13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تحرير الوصول في شرح نهاية</w:t>
      </w:r>
    </w:p>
    <w:p>
      <w:pPr>
        <w:pStyle w:val="BookText"/>
      </w:pPr>
      <w:r>
        <w:rPr>
          <w:rFonts w:ascii="IRNazanin" w:hAnsi="IRNazanin" w:eastAsia="IRNazanin" w:cs="IRNazanin"/>
          <w:lang w:bidi="fa-IR"/>
          <w:color w:val="111111"/>
          <w:sz w:val="28"/>
          <w:szCs w:val="28"/>
          <w:rtl/>
        </w:rPr>
        <w:t xml:space="preserve">السول، ج3، ص 759.</w:t>
      </w:r>
    </w:p>
    <w:p>
      <w:pPr>
        <w:pStyle w:val="BookText"/>
      </w:pPr>
      <w:r>
        <w:rPr>
          <w:rFonts w:ascii="Amiri" w:hAnsi="Amiri" w:eastAsia="Amiri" w:cs="Amiri"/>
          <w:lang w:bidi="ar-SA"/>
          <w:color w:val="111111"/>
          <w:sz w:val="28"/>
          <w:szCs w:val="28"/>
          <w:rtl/>
        </w:rPr>
        <w:t xml:space="preserve">2.جداول المريخ، ج5، ص370.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جداول المشتري من كتاب الدر اليتيم في حل التقويم على اصول ج 5، ص 370.</w:t>
      </w:r>
    </w:p>
    <w:p>
      <w:pPr>
        <w:pStyle w:val="BookText"/>
      </w:pPr>
      <w:r>
        <w:rPr>
          <w:rFonts w:ascii="Amiri" w:hAnsi="Amiri" w:eastAsia="Amiri" w:cs="Amiri"/>
          <w:lang w:bidi="ar-SA"/>
          <w:color w:val="111111"/>
          <w:sz w:val="28"/>
          <w:szCs w:val="28"/>
          <w:rtl/>
        </w:rPr>
        <w:t xml:space="preserve">4 .جداول زحل من كتاب الدر اليتيم</w:t>
      </w:r>
    </w:p>
    <w:p>
      <w:pPr>
        <w:pStyle w:val="BookText"/>
      </w:pPr>
      <w:r>
        <w:rPr>
          <w:rFonts w:ascii="IRNazanin" w:hAnsi="IRNazanin" w:eastAsia="IRNazanin" w:cs="IRNazanin"/>
          <w:lang w:bidi="fa-IR"/>
          <w:color w:val="111111"/>
          <w:sz w:val="28"/>
          <w:szCs w:val="28"/>
          <w:rtl/>
        </w:rPr>
        <w:t xml:space="preserve">ج 5، ص 366.</w:t>
      </w:r>
    </w:p>
    <w:p>
      <w:pPr>
        <w:pStyle w:val="BookText"/>
      </w:pPr>
      <w:r>
        <w:rPr>
          <w:rFonts w:ascii="Amiri" w:hAnsi="Amiri" w:eastAsia="Amiri" w:cs="Amiri"/>
          <w:lang w:bidi="ar-SA"/>
          <w:color w:val="111111"/>
          <w:sz w:val="28"/>
          <w:szCs w:val="28"/>
          <w:rtl/>
        </w:rPr>
        <w:t xml:space="preserve">5 .الربع التام الموضوع لمواقيت</w:t>
      </w:r>
    </w:p>
    <w:p>
      <w:pPr>
        <w:pStyle w:val="BookText"/>
      </w:pPr>
      <w:r>
        <w:rPr>
          <w:rFonts w:ascii="IRNazanin" w:hAnsi="IRNazanin" w:eastAsia="IRNazanin" w:cs="IRNazanin"/>
          <w:lang w:bidi="fa-IR"/>
          <w:color w:val="111111"/>
          <w:sz w:val="28"/>
          <w:szCs w:val="28"/>
          <w:rtl/>
        </w:rPr>
        <w:t xml:space="preserve">الاسلام، ج8، ص21.</w:t>
      </w:r>
    </w:p>
    <w:p>
      <w:pPr>
        <w:pStyle w:val="BookText"/>
      </w:pPr>
      <w:r>
        <w:rPr>
          <w:rFonts w:ascii="Amiri" w:hAnsi="Amiri" w:eastAsia="Amiri" w:cs="Amiri"/>
          <w:lang w:bidi="ar-SA"/>
          <w:color w:val="111111"/>
          <w:sz w:val="28"/>
          <w:szCs w:val="28"/>
          <w:rtl/>
        </w:rPr>
        <w:t xml:space="preserve">6 .وضع الربع (رسالة في) = ايضاح المغيب في العمل بالربع المجيب</w:t>
      </w:r>
    </w:p>
    <w:p>
      <w:pPr>
        <w:pStyle w:val="BookText"/>
      </w:pPr>
      <w:r>
        <w:rPr>
          <w:rFonts w:ascii="IRNazanin" w:hAnsi="IRNazanin" w:eastAsia="IRNazanin" w:cs="IRNazanin"/>
          <w:lang w:bidi="fa-IR"/>
          <w:color w:val="111111"/>
          <w:sz w:val="28"/>
          <w:szCs w:val="28"/>
          <w:rtl/>
        </w:rPr>
        <w:t xml:space="preserve">ج 16، ص 828.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8" w:name="pg7742_69505"/>
    <w:bookmarkEnd w:id="78"/>
    <w:p>
      <w:pPr>
        <w:pStyle w:val="Heading2"/>
      </w:pPr>
      <w:bookmarkStart w:id="1398" w:name="_Toc500"/>
      <w:r>
        <w:t>ابن شاكر كتبي ، محمّد بن شاكر 681؟ -</w:t>
      </w:r>
      <w:bookmarkEnd w:id="1398"/>
    </w:p>
    <w:p>
      <w:pPr>
        <w:pStyle w:val="BookText"/>
      </w:pPr>
      <w:r>
        <w:rPr>
          <w:rFonts w:ascii="IRNazanin" w:hAnsi="IRNazanin" w:eastAsia="IRNazanin" w:cs="IRNazanin"/>
          <w:lang w:bidi="fa-IR"/>
          <w:color w:val="111111"/>
          <w:sz w:val="28"/>
          <w:szCs w:val="28"/>
          <w:rtl/>
        </w:rPr>
        <w:t xml:space="preserve">764 ه-</w:t>
      </w:r>
    </w:p>
    <w:p>
      <w:pPr>
        <w:pStyle w:val="BookText"/>
      </w:pPr>
      <w:r>
        <w:rPr>
          <w:rFonts w:ascii="Amiri" w:hAnsi="Amiri" w:eastAsia="Amiri" w:cs="Amiri"/>
          <w:lang w:bidi="ar-SA"/>
          <w:color w:val="111111"/>
          <w:sz w:val="28"/>
          <w:szCs w:val="28"/>
          <w:rtl/>
        </w:rPr>
        <w:t xml:space="preserve">1 .ترجمة ابن تيمية، ج 4 ، ص 254.</w:t>
      </w:r>
    </w:p>
    <w:p>
      <w:pPr>
        <w:pStyle w:val="BookText"/>
      </w:pPr>
      <w:r>
        <w:rPr>
          <w:rFonts w:ascii="Amiri" w:hAnsi="Amiri" w:eastAsia="Amiri" w:cs="Amiri"/>
          <w:lang w:bidi="ar-SA"/>
          <w:color w:val="111111"/>
          <w:sz w:val="28"/>
          <w:szCs w:val="28"/>
          <w:rtl/>
        </w:rPr>
        <w:t xml:space="preserve">2 .عيون التواريخ، ج11، ص398.</w:t>
      </w:r>
    </w:p>
    <w:p>
      <w:pPr>
        <w:pStyle w:val="Heading2"/>
      </w:pPr>
      <w:bookmarkStart w:id="1399" w:name="_Toc501"/>
      <w:r>
        <w:t>ابن شاكر ، مطروح بن محمّد</w:t>
      </w:r>
      <w:bookmarkEnd w:id="1399"/>
    </w:p>
    <w:p>
      <w:pPr>
        <w:pStyle w:val="BookText"/>
      </w:pPr>
      <w:r>
        <w:rPr>
          <w:rFonts w:ascii="Amiri" w:hAnsi="Amiri" w:eastAsia="Amiri" w:cs="Amiri"/>
          <w:lang w:bidi="ar-SA"/>
          <w:color w:val="111111"/>
          <w:sz w:val="28"/>
          <w:szCs w:val="28"/>
          <w:rtl/>
        </w:rPr>
        <w:t xml:space="preserve">الوجوه والنظائر في القرآن، ج 16،</w:t>
      </w:r>
    </w:p>
    <w:p>
      <w:pPr>
        <w:pStyle w:val="BookText"/>
      </w:pPr>
      <w:r>
        <w:rPr>
          <w:rFonts w:ascii="IRNazanin" w:hAnsi="IRNazanin" w:eastAsia="IRNazanin" w:cs="IRNazanin"/>
          <w:lang w:bidi="fa-IR"/>
          <w:color w:val="111111"/>
          <w:sz w:val="28"/>
          <w:szCs w:val="28"/>
          <w:rtl/>
        </w:rPr>
        <w:t xml:space="preserve">ص 737.</w:t>
      </w:r>
    </w:p>
    <w:p>
      <w:pPr>
        <w:pStyle w:val="Heading2"/>
      </w:pPr>
      <w:bookmarkStart w:id="1400" w:name="_Toc502"/>
      <w:r>
        <w:t>ابن شامي ، حسين</w:t>
      </w:r>
      <w:bookmarkEnd w:id="1400"/>
    </w:p>
    <w:p>
      <w:pPr>
        <w:pStyle w:val="BookText"/>
      </w:pPr>
      <w:r>
        <w:rPr>
          <w:rFonts w:ascii="IRNazanin" w:hAnsi="IRNazanin" w:eastAsia="IRNazanin" w:cs="IRNazanin"/>
          <w:lang w:bidi="fa-IR"/>
          <w:color w:val="111111"/>
          <w:sz w:val="28"/>
          <w:szCs w:val="28"/>
          <w:rtl/>
        </w:rPr>
        <w:t xml:space="preserve">النور الساطع بلوامع الجفر الجامع</w:t>
      </w:r>
    </w:p>
    <w:p>
      <w:pPr>
        <w:pStyle w:val="BookText"/>
      </w:pPr>
      <w:r>
        <w:rPr>
          <w:rFonts w:ascii="IRNazanin" w:hAnsi="IRNazanin" w:eastAsia="IRNazanin" w:cs="IRNazanin"/>
          <w:lang w:bidi="fa-IR"/>
          <w:color w:val="111111"/>
          <w:sz w:val="28"/>
          <w:szCs w:val="28"/>
          <w:rtl/>
        </w:rPr>
        <w:t xml:space="preserve">ج 16، ص 559.</w:t>
      </w:r>
    </w:p>
    <w:p>
      <w:pPr>
        <w:pStyle w:val="Heading2"/>
      </w:pPr>
      <w:bookmarkStart w:id="1401" w:name="_Toc503"/>
      <w:r>
        <w:t>ابن شاهين، خليل بن شاهين، 813 - 872</w:t>
      </w:r>
      <w:bookmarkEnd w:id="1401"/>
    </w:p>
    <w:p>
      <w:pPr>
        <w:pStyle w:val="BookText"/>
      </w:pPr>
      <w:r>
        <w:rPr>
          <w:rFonts w:ascii="Amiri" w:hAnsi="Amiri" w:eastAsia="Amiri" w:cs="Amiri"/>
          <w:lang w:bidi="ar-SA"/>
          <w:color w:val="111111"/>
          <w:sz w:val="28"/>
          <w:szCs w:val="28"/>
          <w:rtl/>
        </w:rPr>
        <w:t xml:space="preserve">الاشارات في علم العبارات، ج2،</w:t>
      </w:r>
    </w:p>
    <w:p>
      <w:pPr>
        <w:pStyle w:val="BookText"/>
      </w:pPr>
      <w:r>
        <w:rPr>
          <w:rFonts w:ascii="IRNazanin" w:hAnsi="IRNazanin" w:eastAsia="IRNazanin" w:cs="IRNazanin"/>
          <w:lang w:bidi="fa-IR"/>
          <w:color w:val="111111"/>
          <w:sz w:val="28"/>
          <w:szCs w:val="28"/>
          <w:rtl/>
        </w:rPr>
        <w:t xml:space="preserve">ص 252 .</w:t>
      </w:r>
    </w:p>
    <w:p>
      <w:pPr>
        <w:pStyle w:val="Heading2"/>
      </w:pPr>
      <w:bookmarkStart w:id="1402" w:name="_Toc504"/>
      <w:r>
        <w:t>ابن شاهين ، عمر بن احمد 297 - 385</w:t>
      </w:r>
      <w:bookmarkEnd w:id="1402"/>
    </w:p>
    <w:p>
      <w:pPr>
        <w:pStyle w:val="BookText"/>
      </w:pPr>
      <w:r>
        <w:rPr>
          <w:rFonts w:ascii="IRNazanin" w:hAnsi="IRNazanin" w:eastAsia="IRNazanin" w:cs="IRNazanin"/>
          <w:lang w:bidi="fa-IR"/>
          <w:color w:val="111111"/>
          <w:sz w:val="28"/>
          <w:szCs w:val="28"/>
          <w:rtl/>
        </w:rPr>
        <w:t xml:space="preserve">1 .فضائل شهر رمضان، ج 12، ص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فضائل فاطمة عليها السلام، ج 12،</w:t>
      </w:r>
    </w:p>
    <w:p>
      <w:pPr>
        <w:pStyle w:val="BookText"/>
      </w:pPr>
      <w:r>
        <w:rPr>
          <w:rFonts w:ascii="IRNazanin" w:hAnsi="IRNazanin" w:eastAsia="IRNazanin" w:cs="IRNazanin"/>
          <w:lang w:bidi="fa-IR"/>
          <w:color w:val="111111"/>
          <w:sz w:val="28"/>
          <w:szCs w:val="28"/>
          <w:rtl/>
        </w:rPr>
        <w:t xml:space="preserve">ص 15 .</w:t>
      </w:r>
    </w:p>
    <w:p>
      <w:pPr>
        <w:pStyle w:val="BookText"/>
      </w:pPr>
      <w:r>
        <w:rPr>
          <w:rFonts w:ascii="Amiri" w:hAnsi="Amiri" w:eastAsia="Amiri" w:cs="Amiri"/>
          <w:lang w:bidi="ar-SA"/>
          <w:color w:val="111111"/>
          <w:sz w:val="28"/>
          <w:szCs w:val="28"/>
          <w:rtl/>
        </w:rPr>
        <w:t xml:space="preserve">ابن شبل ، حسين بن عبدالله بغدادي</w:t>
      </w:r>
    </w:p>
    <w:p>
      <w:pPr>
        <w:pStyle w:val="BookText"/>
      </w:pPr>
      <w:r>
        <w:rPr>
          <w:rFonts w:ascii="Amiri" w:hAnsi="Amiri" w:eastAsia="Amiri" w:cs="Amiri"/>
          <w:lang w:bidi="ar-SA"/>
          <w:color w:val="111111"/>
          <w:sz w:val="28"/>
          <w:szCs w:val="28"/>
          <w:rtl/>
        </w:rPr>
        <w:t xml:space="preserve">حسين بن عبدالله</w:t>
      </w:r>
    </w:p>
    <w:p>
      <w:pPr>
        <w:pStyle w:val="BookText"/>
      </w:pPr>
      <w:r>
        <w:rPr>
          <w:rFonts w:ascii="Amiri" w:hAnsi="Amiri" w:eastAsia="Amiri" w:cs="Amiri"/>
          <w:lang w:bidi="ar-SA"/>
          <w:color w:val="111111"/>
          <w:sz w:val="28"/>
          <w:szCs w:val="28"/>
          <w:rtl/>
        </w:rPr>
        <w:t xml:space="preserve">ابن شجاع ، شمس الدين محمّد قطان</w:t>
      </w:r>
    </w:p>
    <w:p>
      <w:pPr>
        <w:pStyle w:val="BookText"/>
      </w:pPr>
      <w:r>
        <w:rPr>
          <w:rFonts w:ascii="Amiri" w:hAnsi="Amiri" w:eastAsia="Amiri" w:cs="Amiri"/>
          <w:lang w:bidi="ar-SA"/>
          <w:color w:val="111111"/>
          <w:sz w:val="28"/>
          <w:szCs w:val="28"/>
          <w:rtl/>
        </w:rPr>
        <w:t xml:space="preserve">حلي ، محمّد بن شجاع</w:t>
      </w:r>
    </w:p>
    <w:p>
      <w:pPr>
        <w:pStyle w:val="Heading2"/>
      </w:pPr>
      <w:bookmarkStart w:id="1403" w:name="_Toc505"/>
      <w:r>
        <w:t>ابن شجري هبة الله بن علي، 450-542ه-</w:t>
      </w:r>
      <w:bookmarkEnd w:id="14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الأمالي، ج 2، ص 722.</w:t>
      </w:r>
    </w:p>
    <w:p>
      <w:pPr>
        <w:pStyle w:val="BookText"/>
      </w:pPr>
      <w:r>
        <w:rPr>
          <w:rFonts w:ascii="Amiri" w:hAnsi="Amiri" w:eastAsia="Amiri" w:cs="Amiri"/>
          <w:lang w:bidi="ar-SA"/>
          <w:color w:val="111111"/>
          <w:sz w:val="28"/>
          <w:szCs w:val="28"/>
          <w:rtl/>
        </w:rPr>
        <w:t xml:space="preserve">2 .السهو (رسالة في)، ج8، ص 851.</w:t>
      </w:r>
    </w:p>
    <w:p>
      <w:pPr>
        <w:pStyle w:val="Heading2"/>
      </w:pPr>
      <w:bookmarkStart w:id="1404" w:name="_Toc506"/>
      <w:r>
        <w:t>ابن شحنه احمد بن محمّد، 804-882 ه-</w:t>
      </w:r>
      <w:bookmarkEnd w:id="1404"/>
    </w:p>
    <w:p>
      <w:pPr>
        <w:pStyle w:val="BookText"/>
      </w:pPr>
      <w:r>
        <w:rPr>
          <w:rFonts w:ascii="Amiri" w:hAnsi="Amiri" w:eastAsia="Amiri" w:cs="Amiri"/>
          <w:lang w:bidi="ar-SA"/>
          <w:color w:val="111111"/>
          <w:sz w:val="28"/>
          <w:szCs w:val="28"/>
          <w:rtl/>
        </w:rPr>
        <w:t xml:space="preserve">لسان الحكام في معرفة الاحكام، ج13،</w:t>
      </w:r>
    </w:p>
    <w:p>
      <w:pPr>
        <w:pStyle w:val="BookText"/>
      </w:pPr>
      <w:r>
        <w:rPr>
          <w:rFonts w:ascii="IRNazanin" w:hAnsi="IRNazanin" w:eastAsia="IRNazanin" w:cs="IRNazanin"/>
          <w:lang w:bidi="fa-IR"/>
          <w:color w:val="111111"/>
          <w:sz w:val="28"/>
          <w:szCs w:val="28"/>
          <w:rtl/>
        </w:rPr>
        <w:t xml:space="preserve">ص 568.</w:t>
      </w:r>
    </w:p>
    <w:p>
      <w:pPr>
        <w:pStyle w:val="Heading2"/>
      </w:pPr>
      <w:bookmarkStart w:id="1405" w:name="_Toc507"/>
      <w:r>
        <w:t>ابن شحنه عبد البر بن محمّد 851-921ه-</w:t>
      </w:r>
      <w:bookmarkEnd w:id="1405"/>
    </w:p>
    <w:p>
      <w:pPr>
        <w:pStyle w:val="BookText"/>
      </w:pPr>
      <w:r>
        <w:rPr>
          <w:rFonts w:ascii="Amiri" w:hAnsi="Amiri" w:eastAsia="Amiri" w:cs="Amiri"/>
          <w:lang w:bidi="ar-SA"/>
          <w:color w:val="111111"/>
          <w:sz w:val="28"/>
          <w:szCs w:val="28"/>
          <w:rtl/>
        </w:rPr>
        <w:t xml:space="preserve">1 .تفصيل عقد الفوائد بتكميل قيد</w:t>
      </w:r>
    </w:p>
    <w:p>
      <w:pPr>
        <w:pStyle w:val="BookText"/>
      </w:pPr>
      <w:r>
        <w:rPr>
          <w:rFonts w:ascii="IRNazanin" w:hAnsi="IRNazanin" w:eastAsia="IRNazanin" w:cs="IRNazanin"/>
          <w:lang w:bidi="fa-IR"/>
          <w:color w:val="111111"/>
          <w:sz w:val="28"/>
          <w:szCs w:val="28"/>
          <w:rtl/>
        </w:rPr>
        <w:t xml:space="preserve">الشرائد، ج 4، ص 699 .</w:t>
      </w:r>
    </w:p>
    <w:p>
      <w:pPr>
        <w:pStyle w:val="BookText"/>
      </w:pPr>
      <w:r>
        <w:rPr>
          <w:rFonts w:ascii="Amiri" w:hAnsi="Amiri" w:eastAsia="Amiri" w:cs="Amiri"/>
          <w:lang w:bidi="ar-SA"/>
          <w:color w:val="111111"/>
          <w:sz w:val="28"/>
          <w:szCs w:val="28"/>
          <w:rtl/>
        </w:rPr>
        <w:t xml:space="preserve">2 .الذخائر الاشرفية في الالغاز الحنفية</w:t>
      </w:r>
    </w:p>
    <w:p>
      <w:pPr>
        <w:pStyle w:val="BookText"/>
      </w:pPr>
      <w:r>
        <w:rPr>
          <w:rFonts w:ascii="IRNazanin" w:hAnsi="IRNazanin" w:eastAsia="IRNazanin" w:cs="IRNazanin"/>
          <w:lang w:bidi="fa-IR"/>
          <w:color w:val="111111"/>
          <w:sz w:val="28"/>
          <w:szCs w:val="28"/>
          <w:rtl/>
        </w:rPr>
        <w:t xml:space="preserve">ج 7، ص 812.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منظومة ابن وهبان، ج 10،</w:t>
      </w:r>
    </w:p>
    <w:p>
      <w:pPr>
        <w:pStyle w:val="BookText"/>
      </w:pPr>
      <w:r>
        <w:rPr>
          <w:rFonts w:ascii="IRNazanin" w:hAnsi="IRNazanin" w:eastAsia="IRNazanin" w:cs="IRNazanin"/>
          <w:lang w:bidi="fa-IR"/>
          <w:color w:val="111111"/>
          <w:sz w:val="28"/>
          <w:szCs w:val="28"/>
          <w:rtl/>
        </w:rPr>
        <w:t xml:space="preserve">ص 242.</w:t>
      </w:r>
    </w:p>
    <w:p>
      <w:pPr>
        <w:pStyle w:val="Heading2"/>
      </w:pPr>
      <w:bookmarkStart w:id="1406" w:name="_Toc508"/>
      <w:r>
        <w:t>ابن شحنه محمّد بن محمّد، 749-2815ه-</w:t>
      </w:r>
      <w:bookmarkEnd w:id="1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الاضداد، ج 2، ص 473.</w:t>
      </w:r>
    </w:p>
    <w:p>
      <w:pPr>
        <w:pStyle w:val="BookText"/>
      </w:pPr>
      <w:r>
        <w:rPr>
          <w:rFonts w:ascii="Amiri" w:hAnsi="Amiri" w:eastAsia="Amiri" w:cs="Amiri"/>
          <w:lang w:bidi="ar-SA"/>
          <w:color w:val="111111"/>
          <w:sz w:val="28"/>
          <w:szCs w:val="28"/>
          <w:rtl/>
        </w:rPr>
        <w:t xml:space="preserve">2 .روضة المناظر في اخبار الاوائل و</w:t>
      </w:r>
    </w:p>
    <w:p>
      <w:pPr>
        <w:pStyle w:val="BookText"/>
      </w:pPr>
      <w:r>
        <w:rPr>
          <w:rFonts w:ascii="IRNazanin" w:hAnsi="IRNazanin" w:eastAsia="IRNazanin" w:cs="IRNazanin"/>
          <w:lang w:bidi="fa-IR"/>
          <w:color w:val="111111"/>
          <w:sz w:val="28"/>
          <w:szCs w:val="28"/>
          <w:rtl/>
        </w:rPr>
        <w:t xml:space="preserve">الاواخر، ج 8، ص 454 .</w:t>
      </w:r>
    </w:p>
    <w:p>
      <w:pPr>
        <w:pStyle w:val="BookText"/>
      </w:pPr>
      <w:r>
        <w:rPr>
          <w:rFonts w:ascii="Amiri" w:hAnsi="Amiri" w:eastAsia="Amiri" w:cs="Amiri"/>
          <w:lang w:bidi="ar-SA"/>
          <w:color w:val="111111"/>
          <w:sz w:val="28"/>
          <w:szCs w:val="28"/>
          <w:rtl/>
        </w:rPr>
        <w:t xml:space="preserve">3 .ما يؤنث و يذكر، ج 13، ص 692 .</w:t>
      </w:r>
    </w:p>
    <w:p>
      <w:pPr>
        <w:pStyle w:val="BookText"/>
      </w:pPr>
      <w:r>
        <w:rPr>
          <w:rFonts w:ascii="Amiri" w:hAnsi="Amiri" w:eastAsia="Amiri" w:cs="Amiri"/>
          <w:lang w:bidi="ar-SA"/>
          <w:color w:val="111111"/>
          <w:sz w:val="28"/>
          <w:szCs w:val="28"/>
          <w:rtl/>
        </w:rPr>
        <w:t xml:space="preserve">4 .المتعدي و اللازم (رسالة في)، ج 13،</w:t>
      </w:r>
    </w:p>
    <w:p>
      <w:pPr>
        <w:pStyle w:val="BookText"/>
      </w:pPr>
      <w:r>
        <w:rPr>
          <w:rFonts w:ascii="IRNazanin" w:hAnsi="IRNazanin" w:eastAsia="IRNazanin" w:cs="IRNazanin"/>
          <w:lang w:bidi="fa-IR"/>
          <w:color w:val="111111"/>
          <w:sz w:val="28"/>
          <w:szCs w:val="28"/>
          <w:rtl/>
        </w:rPr>
        <w:t xml:space="preserve">ص 754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المعاني والبيان (ارجوزة) - منظومه</w:t>
      </w:r>
    </w:p>
    <w:p>
      <w:pPr>
        <w:pStyle w:val="BookText"/>
      </w:pPr>
      <w:r>
        <w:rPr>
          <w:rFonts w:ascii="IRNazanin" w:hAnsi="IRNazanin" w:eastAsia="IRNazanin" w:cs="IRNazanin"/>
          <w:lang w:bidi="fa-IR"/>
          <w:color w:val="111111"/>
          <w:sz w:val="28"/>
          <w:szCs w:val="28"/>
          <w:rtl/>
        </w:rPr>
        <w:t xml:space="preserve">ابن شحنه ج 14، ص 891.</w:t>
      </w:r>
    </w:p>
    <w:p>
      <w:pPr>
        <w:pStyle w:val="BookText"/>
      </w:pPr>
      <w:r>
        <w:rPr>
          <w:rFonts w:ascii="Amiri" w:hAnsi="Amiri" w:eastAsia="Amiri" w:cs="Amiri"/>
          <w:lang w:bidi="ar-SA"/>
          <w:color w:val="111111"/>
          <w:sz w:val="28"/>
          <w:szCs w:val="28"/>
          <w:rtl/>
        </w:rPr>
        <w:t xml:space="preserve">6 .نبذة مما يثلث اوله او اوسطه او</w:t>
      </w:r>
    </w:p>
    <w:p>
      <w:pPr>
        <w:pStyle w:val="BookText"/>
      </w:pPr>
      <w:r>
        <w:rPr>
          <w:rFonts w:ascii="IRNazanin" w:hAnsi="IRNazanin" w:eastAsia="IRNazanin" w:cs="IRNazanin"/>
          <w:lang w:bidi="fa-IR"/>
          <w:color w:val="111111"/>
          <w:sz w:val="28"/>
          <w:szCs w:val="28"/>
          <w:rtl/>
        </w:rPr>
        <w:t xml:space="preserve">آخره، ج 16، ص 114.</w:t>
      </w:r>
    </w:p>
    <w:p>
      <w:pPr>
        <w:pStyle w:val="Heading2"/>
      </w:pPr>
      <w:bookmarkStart w:id="1407" w:name="_Toc509"/>
      <w:r>
        <w:t>ابن شدقم ، حسن بن علي 942-999؟ه-</w:t>
      </w:r>
      <w:bookmarkEnd w:id="1407"/>
    </w:p>
    <w:p>
      <w:pPr>
        <w:pStyle w:val="BookText"/>
      </w:pPr>
      <w:r>
        <w:rPr>
          <w:rFonts w:ascii="Amiri" w:hAnsi="Amiri" w:eastAsia="Amiri" w:cs="Amiri"/>
          <w:lang w:bidi="ar-SA"/>
          <w:color w:val="111111"/>
          <w:sz w:val="28"/>
          <w:szCs w:val="28"/>
          <w:rtl/>
        </w:rPr>
        <w:t xml:space="preserve">زهر الرياض و زلال الحياض، ج8،</w:t>
      </w:r>
    </w:p>
    <w:p>
      <w:pPr>
        <w:pStyle w:val="BookText"/>
      </w:pPr>
      <w:r>
        <w:rPr>
          <w:rFonts w:ascii="IRNazanin" w:hAnsi="IRNazanin" w:eastAsia="IRNazanin" w:cs="IRNazanin"/>
          <w:lang w:bidi="fa-IR"/>
          <w:color w:val="111111"/>
          <w:sz w:val="28"/>
          <w:szCs w:val="28"/>
          <w:rtl/>
        </w:rPr>
        <w:t xml:space="preserve">ص 628.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9" w:name="pg7742_69507"/>
    <w:bookmarkEnd w:id="79"/>
    <w:p>
      <w:pPr>
        <w:pStyle w:val="BookText"/>
      </w:pPr>
      <w:r>
        <w:rPr>
          <w:rFonts w:ascii="Amiri" w:hAnsi="Amiri" w:eastAsia="Amiri" w:cs="Amiri"/>
          <w:lang w:bidi="ar-SA"/>
          <w:color w:val="111111"/>
          <w:sz w:val="28"/>
          <w:szCs w:val="28"/>
          <w:rtl/>
        </w:rPr>
        <w:t xml:space="preserve">ابن شدقم ، ضامن بن شدقم -حسيني</w:t>
      </w:r>
    </w:p>
    <w:p>
      <w:pPr>
        <w:pStyle w:val="BookText"/>
      </w:pPr>
      <w:r>
        <w:rPr>
          <w:rFonts w:ascii="Amiri" w:hAnsi="Amiri" w:eastAsia="Amiri" w:cs="Amiri"/>
          <w:lang w:bidi="ar-SA"/>
          <w:color w:val="111111"/>
          <w:sz w:val="28"/>
          <w:szCs w:val="28"/>
          <w:rtl/>
        </w:rPr>
        <w:t xml:space="preserve">مدني ، ضامن بن شدقم</w:t>
      </w:r>
    </w:p>
    <w:p>
      <w:pPr>
        <w:pStyle w:val="Heading2"/>
      </w:pPr>
      <w:bookmarkStart w:id="1408" w:name="_Toc510"/>
      <w:r>
        <w:t>ابن شدقم ، علي بن حسن، 950-1033ه-</w:t>
      </w:r>
      <w:bookmarkEnd w:id="1408"/>
    </w:p>
    <w:p>
      <w:pPr>
        <w:pStyle w:val="BookText"/>
      </w:pPr>
      <w:r>
        <w:rPr>
          <w:rFonts w:ascii="Amiri" w:hAnsi="Amiri" w:eastAsia="Amiri" w:cs="Amiri"/>
          <w:lang w:bidi="ar-SA"/>
          <w:color w:val="111111"/>
          <w:sz w:val="28"/>
          <w:szCs w:val="28"/>
          <w:rtl/>
        </w:rPr>
        <w:t xml:space="preserve">.1 .زهرة المقول في نسب ثاني فرعي</w:t>
      </w:r>
    </w:p>
    <w:p>
      <w:pPr>
        <w:pStyle w:val="BookText"/>
      </w:pPr>
      <w:r>
        <w:rPr>
          <w:rFonts w:ascii="IRNazanin" w:hAnsi="IRNazanin" w:eastAsia="IRNazanin" w:cs="IRNazanin"/>
          <w:lang w:bidi="fa-IR"/>
          <w:color w:val="111111"/>
          <w:sz w:val="28"/>
          <w:szCs w:val="28"/>
          <w:rtl/>
        </w:rPr>
        <w:t xml:space="preserve">الرسول، ج8، ص 622.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نخبة الزهرة الثمينة في انساب اشراف المدينة، ج 16، ص 199.</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ابن شرشير ، عبدالله بن محمّد- ناشي</w:t>
      </w:r>
    </w:p>
    <w:p>
      <w:pPr>
        <w:pStyle w:val="BookText"/>
      </w:pPr>
      <w:r>
        <w:rPr>
          <w:rFonts w:ascii="Amiri" w:hAnsi="Amiri" w:eastAsia="Amiri" w:cs="Amiri"/>
          <w:lang w:bidi="ar-SA"/>
          <w:color w:val="111111"/>
          <w:sz w:val="28"/>
          <w:szCs w:val="28"/>
          <w:rtl/>
        </w:rPr>
        <w:t xml:space="preserve">الاكبر ، عبدالله بن محمّد</w:t>
      </w:r>
    </w:p>
    <w:p>
      <w:pPr>
        <w:pStyle w:val="Heading2"/>
      </w:pPr>
      <w:bookmarkStart w:id="1409" w:name="_Toc511"/>
      <w:r>
        <w:t>ابن شرع</w:t>
      </w:r>
      <w:bookmarkEnd w:id="1409"/>
    </w:p>
    <w:p>
      <w:pPr>
        <w:pStyle w:val="BookText"/>
      </w:pPr>
      <w:r>
        <w:rPr>
          <w:rFonts w:ascii="IRNazanin" w:hAnsi="IRNazanin" w:eastAsia="IRNazanin" w:cs="IRNazanin"/>
          <w:lang w:bidi="fa-IR"/>
          <w:color w:val="111111"/>
          <w:sz w:val="28"/>
          <w:szCs w:val="28"/>
          <w:rtl/>
        </w:rPr>
        <w:t xml:space="preserve">کتاب ابن شرع، ج13، ص 86.</w:t>
      </w:r>
    </w:p>
    <w:p>
      <w:pPr>
        <w:pStyle w:val="Heading2"/>
      </w:pPr>
      <w:bookmarkStart w:id="1410" w:name="_Toc512"/>
      <w:r>
        <w:t>ابن شرف الدين ، احمد بن حسن -</w:t>
      </w:r>
      <w:bookmarkEnd w:id="1410"/>
    </w:p>
    <w:p>
      <w:pPr>
        <w:pStyle w:val="BookText"/>
      </w:pPr>
      <w:r>
        <w:rPr>
          <w:rFonts w:ascii="IRNazanin" w:hAnsi="IRNazanin" w:eastAsia="IRNazanin" w:cs="IRNazanin"/>
          <w:lang w:bidi="fa-IR"/>
          <w:color w:val="111111"/>
          <w:sz w:val="28"/>
          <w:szCs w:val="28"/>
          <w:rtl/>
        </w:rPr>
        <w:t xml:space="preserve">892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ترويح المشوق في تلويح البروق</w:t>
      </w:r>
    </w:p>
    <w:p>
      <w:pPr>
        <w:pStyle w:val="BookText"/>
      </w:pPr>
      <w:r>
        <w:rPr>
          <w:rFonts w:ascii="IRNazanin" w:hAnsi="IRNazanin" w:eastAsia="IRNazanin" w:cs="IRNazanin"/>
          <w:lang w:bidi="fa-IR"/>
          <w:color w:val="111111"/>
          <w:sz w:val="28"/>
          <w:szCs w:val="28"/>
          <w:rtl/>
        </w:rPr>
        <w:t xml:space="preserve">ج 4، ص 316.</w:t>
      </w:r>
    </w:p>
    <w:p>
      <w:pPr>
        <w:pStyle w:val="BookText"/>
      </w:pPr>
      <w:r>
        <w:rPr>
          <w:rFonts w:ascii="Amiri" w:hAnsi="Amiri" w:eastAsia="Amiri" w:cs="Amiri"/>
          <w:lang w:bidi="ar-SA"/>
          <w:color w:val="111111"/>
          <w:sz w:val="28"/>
          <w:szCs w:val="28"/>
          <w:rtl/>
        </w:rPr>
        <w:t xml:space="preserve">2 .نفس الترويح و قبس التلويح، ج 16،</w:t>
      </w:r>
    </w:p>
    <w:p>
      <w:pPr>
        <w:pStyle w:val="BookText"/>
      </w:pPr>
      <w:r>
        <w:rPr>
          <w:rFonts w:ascii="IRNazanin" w:hAnsi="IRNazanin" w:eastAsia="IRNazanin" w:cs="IRNazanin"/>
          <w:lang w:bidi="fa-IR"/>
          <w:color w:val="111111"/>
          <w:sz w:val="28"/>
          <w:szCs w:val="28"/>
          <w:rtl/>
        </w:rPr>
        <w:t xml:space="preserve">ص 399.</w:t>
      </w:r>
    </w:p>
    <w:p>
      <w:pPr>
        <w:pStyle w:val="Heading2"/>
      </w:pPr>
      <w:bookmarkStart w:id="1411" w:name="_Toc513"/>
      <w:r>
        <w:t>ابن شرف الدين ، عبدالله بن يحيى -</w:t>
      </w:r>
      <w:bookmarkEnd w:id="1411"/>
    </w:p>
    <w:p>
      <w:pPr>
        <w:pStyle w:val="BookText"/>
      </w:pPr>
      <w:r>
        <w:rPr>
          <w:rFonts w:ascii="IRNazanin" w:hAnsi="IRNazanin" w:eastAsia="IRNazanin" w:cs="IRNazanin"/>
          <w:lang w:bidi="fa-IR"/>
          <w:color w:val="111111"/>
          <w:sz w:val="28"/>
          <w:szCs w:val="28"/>
          <w:rtl/>
        </w:rPr>
        <w:t xml:space="preserve">973 ه-</w:t>
      </w:r>
    </w:p>
    <w:p>
      <w:pPr>
        <w:pStyle w:val="BookText"/>
      </w:pPr>
      <w:r>
        <w:rPr>
          <w:rFonts w:ascii="Amiri" w:hAnsi="Amiri" w:eastAsia="Amiri" w:cs="Amiri"/>
          <w:lang w:bidi="ar-SA"/>
          <w:color w:val="111111"/>
          <w:sz w:val="28"/>
          <w:szCs w:val="28"/>
          <w:rtl/>
        </w:rPr>
        <w:t xml:space="preserve">قصيدة، ج 12، ص 636 .</w:t>
      </w:r>
    </w:p>
    <w:p>
      <w:pPr>
        <w:pStyle w:val="BookText"/>
      </w:pPr>
      <w:r>
        <w:rPr>
          <w:rFonts w:ascii="Amiri" w:hAnsi="Amiri" w:eastAsia="Amiri" w:cs="Amiri"/>
          <w:lang w:bidi="ar-SA"/>
          <w:color w:val="111111"/>
          <w:sz w:val="28"/>
          <w:szCs w:val="28"/>
          <w:rtl/>
        </w:rPr>
        <w:t xml:space="preserve">ابن شرفشاه ، حسن بن محمّد استرآبادي -استرآبادي ، حسن بن محمّد</w:t>
      </w:r>
    </w:p>
    <w:p>
      <w:pPr>
        <w:pStyle w:val="Heading2"/>
      </w:pPr>
      <w:bookmarkStart w:id="1412" w:name="_Toc514"/>
      <w:r>
        <w:t>ابن شرف قيرواني ، محمّد بن سعید، 390</w:t>
      </w:r>
      <w:bookmarkEnd w:id="14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ه-</w:t>
      </w:r>
    </w:p>
    <w:p>
      <w:pPr>
        <w:pStyle w:val="BookText"/>
      </w:pPr>
      <w:r>
        <w:rPr>
          <w:rFonts w:ascii="Amiri" w:hAnsi="Amiri" w:eastAsia="Amiri" w:cs="Amiri"/>
          <w:lang w:bidi="ar-SA"/>
          <w:color w:val="111111"/>
          <w:sz w:val="28"/>
          <w:szCs w:val="28"/>
          <w:rtl/>
        </w:rPr>
        <w:t xml:space="preserve">الانتقاد في نقد الشعر والشعراء =</w:t>
      </w:r>
    </w:p>
    <w:p>
      <w:pPr>
        <w:pStyle w:val="BookText"/>
      </w:pPr>
      <w:r>
        <w:rPr>
          <w:rFonts w:ascii="Amiri" w:hAnsi="Amiri" w:eastAsia="Amiri" w:cs="Amiri"/>
          <w:lang w:bidi="ar-SA"/>
          <w:color w:val="111111"/>
          <w:sz w:val="28"/>
          <w:szCs w:val="28"/>
          <w:rtl/>
        </w:rPr>
        <w:t xml:space="preserve">ابكار الافكار، ج 2، ص790.</w:t>
      </w:r>
    </w:p>
    <w:p>
      <w:pPr>
        <w:pStyle w:val="Heading2"/>
      </w:pPr>
      <w:bookmarkStart w:id="1413" w:name="_Toc515"/>
      <w:r>
        <w:t>ابن شريح ، جعفر بن محمّد</w:t>
      </w:r>
      <w:bookmarkEnd w:id="1413"/>
    </w:p>
    <w:p>
      <w:pPr>
        <w:pStyle w:val="BookText"/>
      </w:pPr>
      <w:r>
        <w:rPr>
          <w:rFonts w:ascii="Amiri" w:hAnsi="Amiri" w:eastAsia="Amiri" w:cs="Amiri"/>
          <w:lang w:bidi="ar-SA"/>
          <w:color w:val="111111"/>
          <w:sz w:val="28"/>
          <w:szCs w:val="28"/>
          <w:rtl/>
        </w:rPr>
        <w:t xml:space="preserve">كتاب محمّد بن شريح الحضري، ج13،</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Amiri" w:hAnsi="Amiri" w:eastAsia="Amiri" w:cs="Amiri"/>
          <w:lang w:bidi="ar-SA"/>
          <w:color w:val="111111"/>
          <w:sz w:val="28"/>
          <w:szCs w:val="28"/>
          <w:rtl/>
        </w:rPr>
        <w:t xml:space="preserve">ابن شريف جرجاني- جرجاني ، محمّد بن</w:t>
      </w:r>
    </w:p>
    <w:p>
      <w:pPr>
        <w:pStyle w:val="BookText"/>
      </w:pPr>
      <w:r>
        <w:rPr>
          <w:rFonts w:ascii="IRNazanin" w:hAnsi="IRNazanin" w:eastAsia="IRNazanin" w:cs="IRNazanin"/>
          <w:lang w:bidi="fa-IR"/>
          <w:color w:val="111111"/>
          <w:sz w:val="28"/>
          <w:szCs w:val="28"/>
          <w:rtl/>
        </w:rPr>
        <w:t xml:space="preserve">ابن شریف ، محمّد بن محمّد- ابن ابي</w:t>
      </w:r>
    </w:p>
    <w:p>
      <w:pPr>
        <w:pStyle w:val="BookText"/>
      </w:pPr>
      <w:r>
        <w:rPr>
          <w:rFonts w:ascii="Amiri" w:hAnsi="Amiri" w:eastAsia="Amiri" w:cs="Amiri"/>
          <w:lang w:bidi="ar-SA"/>
          <w:color w:val="111111"/>
          <w:sz w:val="28"/>
          <w:szCs w:val="28"/>
          <w:rtl/>
        </w:rPr>
        <w:t xml:space="preserve">شریف ، محمّد بن محمّد</w:t>
      </w:r>
    </w:p>
    <w:p>
      <w:pPr>
        <w:pStyle w:val="Heading2"/>
      </w:pPr>
      <w:bookmarkStart w:id="1414" w:name="_Toc516"/>
      <w:r>
        <w:t>ابن شريك ، حسين بن عثمان</w:t>
      </w:r>
      <w:bookmarkEnd w:id="1414"/>
    </w:p>
    <w:p>
      <w:pPr>
        <w:pStyle w:val="BookText"/>
      </w:pPr>
      <w:r>
        <w:rPr>
          <w:rFonts w:ascii="Amiri" w:hAnsi="Amiri" w:eastAsia="Amiri" w:cs="Amiri"/>
          <w:lang w:bidi="ar-SA"/>
          <w:color w:val="111111"/>
          <w:sz w:val="28"/>
          <w:szCs w:val="28"/>
          <w:rtl/>
        </w:rPr>
        <w:t xml:space="preserve">كتاب حسين بن عثمان بن شريك</w:t>
      </w:r>
    </w:p>
    <w:p>
      <w:pPr>
        <w:pStyle w:val="BookText"/>
      </w:pPr>
      <w:r>
        <w:rPr>
          <w:rFonts w:ascii="IRNazanin" w:hAnsi="IRNazanin" w:eastAsia="IRNazanin" w:cs="IRNazanin"/>
          <w:lang w:bidi="fa-IR"/>
          <w:color w:val="111111"/>
          <w:sz w:val="28"/>
          <w:szCs w:val="28"/>
          <w:rtl/>
        </w:rPr>
        <w:t xml:space="preserve">ج 13، ص 98.</w:t>
      </w:r>
    </w:p>
    <w:p>
      <w:pPr>
        <w:pStyle w:val="Heading2"/>
      </w:pPr>
      <w:bookmarkStart w:id="1415" w:name="_Toc517"/>
      <w:r>
        <w:t>ابن شعبان ، عبد القادر بن علي 820 -</w:t>
      </w:r>
      <w:bookmarkEnd w:id="1415"/>
    </w:p>
    <w:p>
      <w:pPr>
        <w:pStyle w:val="BookText"/>
      </w:pPr>
      <w:r>
        <w:rPr>
          <w:rFonts w:ascii="Amiri" w:hAnsi="Amiri" w:eastAsia="Amiri" w:cs="Amiri"/>
          <w:lang w:bidi="ar-SA"/>
          <w:color w:val="111111"/>
          <w:sz w:val="28"/>
          <w:szCs w:val="28"/>
          <w:rtl/>
        </w:rPr>
        <w:t xml:space="preserve">شرح منظومة في حساب اليد لابي الحسن علي بن المغربي، ج10، ص 250.</w:t>
      </w:r>
    </w:p>
    <w:p>
      <w:pPr>
        <w:pStyle w:val="Heading2"/>
      </w:pPr>
      <w:bookmarkStart w:id="1416" w:name="_Toc518"/>
      <w:r>
        <w:t>ابن شعبه ، حسن بن علي قرن 4 ه-</w:t>
      </w:r>
      <w:bookmarkEnd w:id="1416"/>
    </w:p>
    <w:p>
      <w:pPr>
        <w:pStyle w:val="BookText"/>
      </w:pPr>
      <w:r>
        <w:rPr>
          <w:rFonts w:ascii="Amiri" w:hAnsi="Amiri" w:eastAsia="Amiri" w:cs="Amiri"/>
          <w:lang w:bidi="ar-SA"/>
          <w:color w:val="111111"/>
          <w:sz w:val="28"/>
          <w:szCs w:val="28"/>
          <w:rtl/>
        </w:rPr>
        <w:t xml:space="preserve">1 تحف العقول في ما جاء من الحكم و المواعظ عن آل الرسول، جع،</w:t>
      </w:r>
    </w:p>
    <w:p>
      <w:pPr>
        <w:pStyle w:val="BookText"/>
      </w:pPr>
      <w:r>
        <w:rPr>
          <w:rFonts w:ascii="IRNazanin" w:hAnsi="IRNazanin" w:eastAsia="IRNazanin" w:cs="IRNazanin"/>
          <w:lang w:bidi="fa-IR"/>
          <w:color w:val="111111"/>
          <w:sz w:val="28"/>
          <w:szCs w:val="28"/>
          <w:rtl/>
        </w:rPr>
        <w:t xml:space="preserve">ص 41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التمحيص، ج4، ص878.</w:t>
      </w:r>
    </w:p>
    <w:p>
      <w:pPr>
        <w:pStyle w:val="Heading2"/>
      </w:pPr>
      <w:bookmarkStart w:id="1417" w:name="_Toc519"/>
      <w:r>
        <w:t>ابن شلبي ، احمد بن محمّد - 1021 الفتاوی = فتاوى ابن شلبي، ج 11،</w:t>
      </w:r>
      <w:bookmarkEnd w:id="1417"/>
    </w:p>
    <w:p>
      <w:pPr>
        <w:pStyle w:val="BookText"/>
      </w:pPr>
      <w:r>
        <w:rPr>
          <w:rFonts w:ascii="IRNazanin" w:hAnsi="IRNazanin" w:eastAsia="IRNazanin" w:cs="IRNazanin"/>
          <w:lang w:bidi="fa-IR"/>
          <w:color w:val="111111"/>
          <w:sz w:val="28"/>
          <w:szCs w:val="28"/>
          <w:rtl/>
        </w:rPr>
        <w:t xml:space="preserve">ص 599.</w:t>
      </w:r>
    </w:p>
    <w:p>
      <w:pPr>
        <w:pStyle w:val="Heading2"/>
      </w:pPr>
      <w:bookmarkStart w:id="1418" w:name="_Toc520"/>
      <w:r>
        <w:t>ابن شليلة ، عبدالهادي بن جواد 1276 -</w:t>
      </w:r>
      <w:bookmarkEnd w:id="1418"/>
    </w:p>
    <w:p>
      <w:pPr>
        <w:pStyle w:val="BookText"/>
      </w:pPr>
      <w:r>
        <w:rPr>
          <w:rFonts w:ascii="IRNazanin" w:hAnsi="IRNazanin" w:eastAsia="IRNazanin" w:cs="IRNazanin"/>
          <w:lang w:bidi="fa-IR"/>
          <w:color w:val="111111"/>
          <w:sz w:val="28"/>
          <w:szCs w:val="28"/>
          <w:rtl/>
        </w:rPr>
        <w:t xml:space="preserve">1333 ه-</w:t>
      </w:r>
    </w:p>
    <w:p>
      <w:pPr>
        <w:pStyle w:val="BookText"/>
      </w:pPr>
      <w:r>
        <w:rPr>
          <w:rFonts w:ascii="IRNazanin" w:hAnsi="IRNazanin" w:eastAsia="IRNazanin" w:cs="IRNazanin"/>
          <w:lang w:bidi="fa-IR"/>
          <w:color w:val="111111"/>
          <w:sz w:val="28"/>
          <w:szCs w:val="28"/>
          <w:rtl/>
        </w:rPr>
        <w:t xml:space="preserve">الوضع، ج 16، ص 824.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0" w:name="pg7742_69509"/>
    <w:bookmarkEnd w:id="80"/>
    <w:p>
      <w:pPr>
        <w:pStyle w:val="Heading2"/>
      </w:pPr>
      <w:bookmarkStart w:id="1419" w:name="_Toc521"/>
      <w:r>
        <w:t>ابن شماع ، عمر بن احمد، 848 - 936 ه-</w:t>
      </w:r>
      <w:bookmarkEnd w:id="1419"/>
    </w:p>
    <w:p>
      <w:pPr>
        <w:pStyle w:val="BookText"/>
      </w:pPr>
      <w:r>
        <w:rPr>
          <w:rFonts w:ascii="Amiri" w:hAnsi="Amiri" w:eastAsia="Amiri" w:cs="Amiri"/>
          <w:lang w:bidi="ar-SA"/>
          <w:color w:val="111111"/>
          <w:sz w:val="28"/>
          <w:szCs w:val="28"/>
          <w:rtl/>
        </w:rPr>
        <w:t xml:space="preserve">تشنيف الأسماع بمشايخ الشيخ عمر الشماع - فهرس الشيوخ، ج 4، ص 394 .</w:t>
      </w:r>
    </w:p>
    <w:p>
      <w:pPr>
        <w:pStyle w:val="Heading2"/>
      </w:pPr>
      <w:bookmarkStart w:id="1420" w:name="_Toc522"/>
      <w:r>
        <w:t>ابن شماع ، محمّد بن محمّد ايوبي 791 -</w:t>
      </w:r>
      <w:bookmarkEnd w:id="1420"/>
    </w:p>
    <w:p>
      <w:pPr>
        <w:pStyle w:val="BookText"/>
      </w:pPr>
      <w:r>
        <w:rPr>
          <w:rFonts w:ascii="IRNazanin" w:hAnsi="IRNazanin" w:eastAsia="IRNazanin" w:cs="IRNazanin"/>
          <w:lang w:bidi="fa-IR"/>
          <w:color w:val="111111"/>
          <w:sz w:val="28"/>
          <w:szCs w:val="28"/>
          <w:rtl/>
        </w:rPr>
        <w:t xml:space="preserve">863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الدرة المضية على الكواكب الدرية</w:t>
      </w:r>
    </w:p>
    <w:p>
      <w:pPr>
        <w:pStyle w:val="BookText"/>
      </w:pPr>
      <w:r>
        <w:rPr>
          <w:rFonts w:ascii="IRNazanin" w:hAnsi="IRNazanin" w:eastAsia="IRNazanin" w:cs="IRNazanin"/>
          <w:lang w:bidi="fa-IR"/>
          <w:color w:val="111111"/>
          <w:sz w:val="28"/>
          <w:szCs w:val="28"/>
          <w:rtl/>
        </w:rPr>
        <w:t xml:space="preserve">ج 7، ص 256 .</w:t>
      </w:r>
    </w:p>
    <w:p>
      <w:pPr>
        <w:pStyle w:val="BookText"/>
      </w:pPr>
      <w:r>
        <w:rPr>
          <w:rFonts w:ascii="Amiri" w:hAnsi="Amiri" w:eastAsia="Amiri" w:cs="Amiri"/>
          <w:lang w:bidi="ar-SA"/>
          <w:color w:val="111111"/>
          <w:sz w:val="28"/>
          <w:szCs w:val="28"/>
          <w:rtl/>
        </w:rPr>
        <w:t xml:space="preserve">2 .سر الاسرار في معرفة الجواهر و</w:t>
      </w:r>
    </w:p>
    <w:p>
      <w:pPr>
        <w:pStyle w:val="BookText"/>
      </w:pPr>
      <w:r>
        <w:rPr>
          <w:rFonts w:ascii="IRNazanin" w:hAnsi="IRNazanin" w:eastAsia="IRNazanin" w:cs="IRNazanin"/>
          <w:lang w:bidi="fa-IR"/>
          <w:color w:val="111111"/>
          <w:sz w:val="28"/>
          <w:szCs w:val="28"/>
          <w:rtl/>
        </w:rPr>
        <w:t xml:space="preserve">الاحجار، ج 8، ص 747.</w:t>
      </w:r>
    </w:p>
    <w:p>
      <w:pPr>
        <w:pStyle w:val="Heading2"/>
      </w:pPr>
      <w:bookmarkStart w:id="1421" w:name="_Toc523"/>
      <w:r>
        <w:t>ابن شمس الدين</w:t>
      </w:r>
      <w:bookmarkEnd w:id="1421"/>
    </w:p>
    <w:p>
      <w:pPr>
        <w:pStyle w:val="BookText"/>
      </w:pPr>
      <w:r>
        <w:rPr>
          <w:rFonts w:ascii="Amiri" w:hAnsi="Amiri" w:eastAsia="Amiri" w:cs="Amiri"/>
          <w:lang w:bidi="ar-SA"/>
          <w:color w:val="111111"/>
          <w:sz w:val="28"/>
          <w:szCs w:val="28"/>
          <w:rtl/>
        </w:rPr>
        <w:t xml:space="preserve">الرسالة الشريفة في التصوف، ج8،</w:t>
      </w:r>
    </w:p>
    <w:p>
      <w:pPr>
        <w:pStyle w:val="BookText"/>
      </w:pPr>
      <w:r>
        <w:rPr>
          <w:rFonts w:ascii="IRNazanin" w:hAnsi="IRNazanin" w:eastAsia="IRNazanin" w:cs="IRNazanin"/>
          <w:lang w:bidi="fa-IR"/>
          <w:color w:val="111111"/>
          <w:sz w:val="28"/>
          <w:szCs w:val="28"/>
          <w:rtl/>
        </w:rPr>
        <w:t xml:space="preserve">ص 214 .</w:t>
      </w:r>
    </w:p>
    <w:p>
      <w:pPr>
        <w:pStyle w:val="BookText"/>
      </w:pPr>
      <w:r>
        <w:rPr>
          <w:rFonts w:ascii="IRNazanin" w:hAnsi="IRNazanin" w:eastAsia="IRNazanin" w:cs="IRNazanin"/>
          <w:lang w:bidi="fa-IR"/>
          <w:color w:val="111111"/>
          <w:sz w:val="28"/>
          <w:szCs w:val="28"/>
          <w:rtl/>
        </w:rPr>
        <w:t xml:space="preserve">ابن شمس الدین حسن ظافر ابن ظافر</w:t>
      </w:r>
    </w:p>
    <w:p>
      <w:pPr>
        <w:pStyle w:val="BookText"/>
      </w:pPr>
      <w:r>
        <w:rPr>
          <w:rFonts w:ascii="IRNazanin" w:hAnsi="IRNazanin" w:eastAsia="IRNazanin" w:cs="IRNazanin"/>
          <w:lang w:bidi="fa-IR"/>
          <w:color w:val="111111"/>
          <w:sz w:val="28"/>
          <w:szCs w:val="28"/>
          <w:rtl/>
        </w:rPr>
        <w:t xml:space="preserve">ابن شمس الدین حسن</w:t>
      </w:r>
    </w:p>
    <w:p>
      <w:pPr>
        <w:pStyle w:val="Heading2"/>
      </w:pPr>
      <w:bookmarkStart w:id="1422" w:name="_Toc524"/>
      <w:r>
        <w:t>ابن شمعون ، محمّد بن احمد</w:t>
      </w:r>
      <w:bookmarkEnd w:id="1422"/>
    </w:p>
    <w:p>
      <w:pPr>
        <w:pStyle w:val="BookText"/>
      </w:pPr>
      <w:r>
        <w:rPr>
          <w:rFonts w:ascii="Amiri" w:hAnsi="Amiri" w:eastAsia="Amiri" w:cs="Amiri"/>
          <w:lang w:bidi="ar-SA"/>
          <w:color w:val="111111"/>
          <w:sz w:val="28"/>
          <w:szCs w:val="28"/>
          <w:rtl/>
        </w:rPr>
        <w:t xml:space="preserve">الامالي، ج 2، ص 725.</w:t>
      </w:r>
    </w:p>
    <w:p>
      <w:pPr>
        <w:pStyle w:val="BookText"/>
      </w:pPr>
      <w:r>
        <w:rPr>
          <w:rFonts w:ascii="IRNazanin" w:hAnsi="IRNazanin" w:eastAsia="IRNazanin" w:cs="IRNazanin"/>
          <w:lang w:bidi="fa-IR"/>
          <w:color w:val="111111"/>
          <w:sz w:val="28"/>
          <w:szCs w:val="28"/>
          <w:rtl/>
        </w:rPr>
        <w:t xml:space="preserve">ابن شهاب ، عبدالله نجم</w:t>
      </w:r>
    </w:p>
    <w:p>
      <w:pPr>
        <w:pStyle w:val="BookText"/>
      </w:pPr>
      <w:r>
        <w:rPr>
          <w:rFonts w:ascii="Amiri" w:hAnsi="Amiri" w:eastAsia="Amiri" w:cs="Amiri"/>
          <w:lang w:bidi="ar-SA"/>
          <w:color w:val="111111"/>
          <w:sz w:val="28"/>
          <w:szCs w:val="28"/>
          <w:rtl/>
        </w:rPr>
        <w:t xml:space="preserve">تهذيب الكلام في تحرير المنطق و</w:t>
      </w:r>
    </w:p>
    <w:p>
      <w:pPr>
        <w:pStyle w:val="BookText"/>
      </w:pPr>
      <w:r>
        <w:rPr>
          <w:rFonts w:ascii="Amiri" w:hAnsi="Amiri" w:eastAsia="Amiri" w:cs="Amiri"/>
          <w:lang w:bidi="ar-SA"/>
          <w:color w:val="111111"/>
          <w:sz w:val="28"/>
          <w:szCs w:val="28"/>
          <w:rtl/>
        </w:rPr>
        <w:t xml:space="preserve">الكلام، ج5، ص 116.</w:t>
      </w:r>
    </w:p>
    <w:p>
      <w:pPr>
        <w:pStyle w:val="BookText"/>
      </w:pPr>
      <w:r>
        <w:rPr>
          <w:rFonts w:ascii="Amiri" w:hAnsi="Amiri" w:eastAsia="Amiri" w:cs="Amiri"/>
          <w:lang w:bidi="ar-SA"/>
          <w:color w:val="111111"/>
          <w:sz w:val="28"/>
          <w:szCs w:val="28"/>
          <w:rtl/>
        </w:rPr>
        <w:t xml:space="preserve">ابن شهاب ، علي بن حسن -همداني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ابن شهبة ، ابوبكر بن احمد- ابن قاضي</w:t>
      </w:r>
    </w:p>
    <w:p>
      <w:pPr>
        <w:pStyle w:val="BookText"/>
      </w:pPr>
      <w:r>
        <w:rPr>
          <w:rFonts w:ascii="Amiri" w:hAnsi="Amiri" w:eastAsia="Amiri" w:cs="Amiri"/>
          <w:lang w:bidi="ar-SA"/>
          <w:color w:val="111111"/>
          <w:sz w:val="28"/>
          <w:szCs w:val="28"/>
          <w:rtl/>
        </w:rPr>
        <w:t xml:space="preserve">شهبة ، ابوبكر بن احمد</w:t>
      </w:r>
    </w:p>
    <w:p>
      <w:pPr>
        <w:pStyle w:val="Heading2"/>
      </w:pPr>
      <w:bookmarkStart w:id="1423" w:name="_Toc525"/>
      <w:r>
        <w:t>ابن شهر آشوب ، علي</w:t>
      </w:r>
      <w:bookmarkEnd w:id="1423"/>
    </w:p>
    <w:p>
      <w:pPr>
        <w:pStyle w:val="BookText"/>
      </w:pPr>
      <w:r>
        <w:rPr>
          <w:rFonts w:ascii="IRNazanin" w:hAnsi="IRNazanin" w:eastAsia="IRNazanin" w:cs="IRNazanin"/>
          <w:lang w:bidi="fa-IR"/>
          <w:color w:val="111111"/>
          <w:sz w:val="28"/>
          <w:szCs w:val="28"/>
          <w:rtl/>
        </w:rPr>
        <w:t xml:space="preserve">فهرست معالم العلماء، ج 12، ص 156.</w:t>
      </w:r>
    </w:p>
    <w:p>
      <w:pPr>
        <w:pStyle w:val="Heading2"/>
      </w:pPr>
      <w:bookmarkStart w:id="1424" w:name="_Toc526"/>
      <w:r>
        <w:t>ابن شهر آشوب ، محمّد بن علي، 488 -</w:t>
      </w:r>
      <w:bookmarkEnd w:id="1424"/>
    </w:p>
    <w:p>
      <w:pPr>
        <w:pStyle w:val="BookText"/>
      </w:pPr>
      <w:r>
        <w:rPr>
          <w:rFonts w:ascii="Amiri" w:hAnsi="Amiri" w:eastAsia="Amiri" w:cs="Amiri"/>
          <w:lang w:bidi="ar-SA"/>
          <w:color w:val="111111"/>
          <w:sz w:val="28"/>
          <w:szCs w:val="28"/>
          <w:rtl/>
        </w:rPr>
        <w:t xml:space="preserve">588 ه- ّ</w:t>
      </w:r>
    </w:p>
    <w:p>
      <w:pPr>
        <w:pStyle w:val="BookText"/>
      </w:pPr>
      <w:r>
        <w:rPr>
          <w:rFonts w:ascii="Amiri" w:hAnsi="Amiri" w:eastAsia="Amiri" w:cs="Amiri"/>
          <w:lang w:bidi="ar-SA"/>
          <w:color w:val="111111"/>
          <w:sz w:val="28"/>
          <w:szCs w:val="28"/>
          <w:rtl/>
        </w:rPr>
        <w:t xml:space="preserve">1 .متشابه القرآن و المختلف فيه</w:t>
      </w:r>
    </w:p>
    <w:p>
      <w:pPr>
        <w:pStyle w:val="BookText"/>
      </w:pPr>
      <w:r>
        <w:rPr>
          <w:rFonts w:ascii="IRNazanin" w:hAnsi="IRNazanin" w:eastAsia="IRNazanin" w:cs="IRNazanin"/>
          <w:lang w:bidi="fa-IR"/>
          <w:color w:val="111111"/>
          <w:sz w:val="28"/>
          <w:szCs w:val="28"/>
          <w:rtl/>
        </w:rPr>
        <w:t xml:space="preserve">ج 13 ، ص 750.</w:t>
      </w:r>
    </w:p>
    <w:p>
      <w:pPr>
        <w:pStyle w:val="BookText"/>
      </w:pPr>
      <w:r>
        <w:rPr>
          <w:rFonts w:ascii="IRNazanin" w:hAnsi="IRNazanin" w:eastAsia="IRNazanin" w:cs="IRNazanin"/>
          <w:lang w:bidi="fa-IR"/>
          <w:color w:val="111111"/>
          <w:sz w:val="28"/>
          <w:szCs w:val="28"/>
          <w:rtl/>
        </w:rPr>
        <w:t xml:space="preserve">2 .مثالب النواصب، ج13، ص 766.</w:t>
      </w:r>
    </w:p>
    <w:p>
      <w:pPr>
        <w:pStyle w:val="BookText"/>
      </w:pPr>
      <w:r>
        <w:rPr>
          <w:rFonts w:ascii="IRNazanin" w:hAnsi="IRNazanin" w:eastAsia="IRNazanin" w:cs="IRNazanin"/>
          <w:lang w:bidi="fa-IR"/>
          <w:color w:val="111111"/>
          <w:sz w:val="28"/>
          <w:szCs w:val="28"/>
          <w:rtl/>
        </w:rPr>
        <w:t xml:space="preserve">3.معالم العلماء، ج 14، ص 879.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مناقب آل ابي طالب، ج 15 ، ص 534.</w:t>
      </w:r>
    </w:p>
    <w:p>
      <w:pPr>
        <w:pStyle w:val="BookText"/>
      </w:pPr>
      <w:r>
        <w:rPr>
          <w:rFonts w:ascii="Amiri" w:hAnsi="Amiri" w:eastAsia="Amiri" w:cs="Amiri"/>
          <w:lang w:bidi="ar-SA"/>
          <w:color w:val="111111"/>
          <w:sz w:val="28"/>
          <w:szCs w:val="28"/>
          <w:rtl/>
        </w:rPr>
        <w:t xml:space="preserve">ابن شهيد اوّل ، علي بن محمّد- ابن مكي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ابن شهيد ثاني ، حسن بن زين الدين -عاملي ، حسن بن زين الدين</w:t>
      </w:r>
    </w:p>
    <w:p>
      <w:pPr>
        <w:pStyle w:val="BookText"/>
      </w:pPr>
      <w:r>
        <w:rPr>
          <w:rFonts w:ascii="Amiri" w:hAnsi="Amiri" w:eastAsia="Amiri" w:cs="Amiri"/>
          <w:lang w:bidi="ar-SA"/>
          <w:color w:val="111111"/>
          <w:sz w:val="28"/>
          <w:szCs w:val="28"/>
          <w:rtl/>
        </w:rPr>
        <w:t xml:space="preserve">ابن شيبان ، حسين بن احمد - قزويني</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IRNazanin" w:hAnsi="IRNazanin" w:eastAsia="IRNazanin" w:cs="IRNazanin"/>
          <w:lang w:bidi="fa-IR"/>
          <w:color w:val="111111"/>
          <w:sz w:val="28"/>
          <w:szCs w:val="28"/>
          <w:rtl/>
        </w:rPr>
        <w:t xml:space="preserve">ابن شیخ الاسلاميه ، محمّد بن حسن- ابن</w:t>
      </w:r>
    </w:p>
    <w:p>
      <w:pPr>
        <w:pStyle w:val="BookText"/>
      </w:pPr>
      <w:r>
        <w:rPr>
          <w:rFonts w:ascii="Amiri" w:hAnsi="Amiri" w:eastAsia="Amiri" w:cs="Amiri"/>
          <w:lang w:bidi="ar-SA"/>
          <w:color w:val="111111"/>
          <w:sz w:val="28"/>
          <w:szCs w:val="28"/>
          <w:rtl/>
        </w:rPr>
        <w:t xml:space="preserve">صائغ دمشقي ، محمّد بن حسن</w:t>
      </w:r>
    </w:p>
    <w:p>
      <w:pPr>
        <w:pStyle w:val="BookText"/>
      </w:pPr>
      <w:r>
        <w:rPr>
          <w:rFonts w:ascii="Amiri" w:hAnsi="Amiri" w:eastAsia="Amiri" w:cs="Amiri"/>
          <w:lang w:bidi="ar-SA"/>
          <w:color w:val="111111"/>
          <w:sz w:val="28"/>
          <w:szCs w:val="28"/>
          <w:rtl/>
        </w:rPr>
        <w:t xml:space="preserve">ابن شيره ، علي بن محمّد -كاشاني ، علي</w:t>
      </w:r>
    </w:p>
    <w:p>
      <w:pPr>
        <w:pStyle w:val="BookText"/>
      </w:pPr>
      <w:r>
        <w:rPr>
          <w:rFonts w:ascii="Amiri" w:hAnsi="Amiri" w:eastAsia="Amiri" w:cs="Amiri"/>
          <w:lang w:bidi="ar-SA"/>
          <w:color w:val="111111"/>
          <w:sz w:val="28"/>
          <w:szCs w:val="28"/>
          <w:rtl/>
        </w:rPr>
        <w:t xml:space="preserve">بن محمّد</w:t>
      </w:r>
    </w:p>
    <w:p>
      <w:pPr>
        <w:pStyle w:val="Heading2"/>
      </w:pPr>
      <w:bookmarkStart w:id="1425" w:name="_Toc527"/>
      <w:r>
        <w:t>ابن شيرويه ، شهردار بن شيرويه 483</w:t>
      </w:r>
      <w:bookmarkEnd w:id="1425"/>
    </w:p>
    <w:p>
      <w:pPr>
        <w:pStyle w:val="BookText"/>
      </w:pPr>
      <w:r>
        <w:rPr>
          <w:rFonts w:ascii="IRNazanin" w:hAnsi="IRNazanin" w:eastAsia="IRNazanin" w:cs="IRNazanin"/>
          <w:lang w:bidi="fa-IR"/>
          <w:color w:val="111111"/>
          <w:sz w:val="28"/>
          <w:szCs w:val="28"/>
          <w:rtl/>
        </w:rPr>
        <w:t xml:space="preserve">558 ه-</w:t>
      </w:r>
    </w:p>
    <w:p>
      <w:pPr>
        <w:pStyle w:val="BookText"/>
      </w:pPr>
      <w:r>
        <w:rPr>
          <w:rFonts w:ascii="Amiri" w:hAnsi="Amiri" w:eastAsia="Amiri" w:cs="Amiri"/>
          <w:lang w:bidi="ar-SA"/>
          <w:color w:val="111111"/>
          <w:sz w:val="28"/>
          <w:szCs w:val="28"/>
          <w:rtl/>
        </w:rPr>
        <w:t xml:space="preserve">مسند الفردوس - فردوس الكبير</w:t>
      </w:r>
    </w:p>
    <w:p>
      <w:pPr>
        <w:pStyle w:val="BookText"/>
      </w:pPr>
      <w:r>
        <w:rPr>
          <w:rFonts w:ascii="IRNazanin" w:hAnsi="IRNazanin" w:eastAsia="IRNazanin" w:cs="IRNazanin"/>
          <w:lang w:bidi="fa-IR"/>
          <w:color w:val="111111"/>
          <w:sz w:val="28"/>
          <w:szCs w:val="28"/>
          <w:rtl/>
        </w:rPr>
        <w:t xml:space="preserve">ج 14، ص 601 .</w:t>
      </w:r>
    </w:p>
    <w:p>
      <w:pPr>
        <w:pStyle w:val="Heading2"/>
      </w:pPr>
      <w:bookmarkStart w:id="1426" w:name="_Toc528"/>
      <w:r>
        <w:t>ابن صائغ دمشقي ، محمّد بن حسن 645</w:t>
      </w:r>
      <w:bookmarkEnd w:id="1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720 ؟ ه-</w:t>
      </w:r>
    </w:p>
    <w:p>
      <w:pPr>
        <w:pStyle w:val="BookText"/>
      </w:pPr>
      <w:r>
        <w:rPr>
          <w:rFonts w:ascii="Amiri" w:hAnsi="Amiri" w:eastAsia="Amiri" w:cs="Amiri"/>
          <w:lang w:bidi="ar-SA"/>
          <w:color w:val="111111"/>
          <w:sz w:val="28"/>
          <w:szCs w:val="28"/>
          <w:rtl/>
        </w:rPr>
        <w:t xml:space="preserve">1 .شرح مقصورة ابن دريد، ج 10،</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Amiri" w:hAnsi="Amiri" w:eastAsia="Amiri" w:cs="Amiri"/>
          <w:lang w:bidi="ar-SA"/>
          <w:color w:val="111111"/>
          <w:sz w:val="28"/>
          <w:szCs w:val="28"/>
          <w:rtl/>
        </w:rPr>
        <w:t xml:space="preserve">2 .اللمحة في شرح الملحة، ج13،</w:t>
      </w:r>
    </w:p>
    <w:p>
      <w:pPr>
        <w:pStyle w:val="BookText"/>
      </w:pPr>
      <w:r>
        <w:rPr>
          <w:rFonts w:ascii="IRNazanin" w:hAnsi="IRNazanin" w:eastAsia="IRNazanin" w:cs="IRNazanin"/>
          <w:lang w:bidi="fa-IR"/>
          <w:color w:val="111111"/>
          <w:sz w:val="28"/>
          <w:szCs w:val="28"/>
          <w:rtl/>
        </w:rPr>
        <w:t xml:space="preserve">ص 611.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1" w:name="pg7742_69511"/>
    <w:bookmarkEnd w:id="81"/>
    <w:p>
      <w:pPr>
        <w:pStyle w:val="Heading2"/>
      </w:pPr>
      <w:bookmarkStart w:id="1427" w:name="_Toc529"/>
      <w:r>
        <w:t>ابن صائغ ، شمس الدين بن منصور</w:t>
      </w:r>
      <w:bookmarkEnd w:id="1427"/>
    </w:p>
    <w:p>
      <w:pPr>
        <w:pStyle w:val="BookText"/>
      </w:pPr>
      <w:r>
        <w:rPr>
          <w:rFonts w:ascii="Amiri" w:hAnsi="Amiri" w:eastAsia="Amiri" w:cs="Amiri"/>
          <w:lang w:bidi="ar-SA"/>
          <w:color w:val="111111"/>
          <w:sz w:val="28"/>
          <w:szCs w:val="28"/>
          <w:rtl/>
        </w:rPr>
        <w:t xml:space="preserve">تخميس قصيدة البردة، ج 4، ص 119.</w:t>
      </w:r>
    </w:p>
    <w:p>
      <w:pPr>
        <w:pStyle w:val="Heading2"/>
      </w:pPr>
      <w:bookmarkStart w:id="1428" w:name="_Toc530"/>
      <w:r>
        <w:t>ابن صائغ ، عبدالرحمن بن يوسف 769 -</w:t>
      </w:r>
      <w:bookmarkEnd w:id="1428"/>
    </w:p>
    <w:p>
      <w:pPr>
        <w:pStyle w:val="BookText"/>
      </w:pPr>
      <w:r>
        <w:rPr>
          <w:rFonts w:ascii="IRNazanin" w:hAnsi="IRNazanin" w:eastAsia="IRNazanin" w:cs="IRNazanin"/>
          <w:lang w:bidi="fa-IR"/>
          <w:color w:val="111111"/>
          <w:sz w:val="28"/>
          <w:szCs w:val="28"/>
          <w:rtl/>
        </w:rPr>
        <w:t xml:space="preserve">845 ه-</w:t>
      </w:r>
    </w:p>
    <w:p>
      <w:pPr>
        <w:pStyle w:val="BookText"/>
      </w:pPr>
      <w:r>
        <w:rPr>
          <w:rFonts w:ascii="Amiri" w:hAnsi="Amiri" w:eastAsia="Amiri" w:cs="Amiri"/>
          <w:lang w:bidi="ar-SA"/>
          <w:color w:val="111111"/>
          <w:sz w:val="28"/>
          <w:szCs w:val="28"/>
          <w:rtl/>
        </w:rPr>
        <w:t xml:space="preserve">تحفة اولي الالباب في صناعة الخط و الكتاب، ج3، ص813.</w:t>
      </w:r>
    </w:p>
    <w:p>
      <w:pPr>
        <w:pStyle w:val="Heading2"/>
      </w:pPr>
      <w:bookmarkStart w:id="1429" w:name="_Toc531"/>
      <w:r>
        <w:t>ابن صائغ ، محمّد بن ابراهيم -1066ه-</w:t>
      </w:r>
      <w:bookmarkEnd w:id="1429"/>
    </w:p>
    <w:p>
      <w:pPr>
        <w:pStyle w:val="BookText"/>
      </w:pPr>
      <w:r>
        <w:rPr>
          <w:rFonts w:ascii="Amiri" w:hAnsi="Amiri" w:eastAsia="Amiri" w:cs="Amiri"/>
          <w:lang w:bidi="ar-SA"/>
          <w:color w:val="111111"/>
          <w:sz w:val="28"/>
          <w:szCs w:val="28"/>
          <w:rtl/>
        </w:rPr>
        <w:t xml:space="preserve">1 .حاشية نخبة الفكر، ج6، ص 437.</w:t>
      </w:r>
    </w:p>
    <w:p>
      <w:pPr>
        <w:pStyle w:val="BookText"/>
      </w:pPr>
      <w:r>
        <w:rPr>
          <w:rFonts w:ascii="Amiri" w:hAnsi="Amiri" w:eastAsia="Amiri" w:cs="Amiri"/>
          <w:lang w:bidi="ar-SA"/>
          <w:color w:val="111111"/>
          <w:sz w:val="28"/>
          <w:szCs w:val="28"/>
          <w:rtl/>
        </w:rPr>
        <w:t xml:space="preserve">2 .المشاكلة (رسالة في)، ج 14، ص 618.</w:t>
      </w:r>
    </w:p>
    <w:p>
      <w:pPr>
        <w:pStyle w:val="BookText"/>
      </w:pPr>
      <w:r>
        <w:rPr>
          <w:rFonts w:ascii="IRNazanin" w:hAnsi="IRNazanin" w:eastAsia="IRNazanin" w:cs="IRNazanin"/>
          <w:lang w:bidi="fa-IR"/>
          <w:color w:val="111111"/>
          <w:sz w:val="28"/>
          <w:szCs w:val="28"/>
          <w:rtl/>
        </w:rPr>
        <w:t xml:space="preserve">ابن صائغ ، نقولا، 1103 - 1169 ه-</w:t>
      </w:r>
    </w:p>
    <w:p>
      <w:pPr>
        <w:pStyle w:val="BookText"/>
      </w:pPr>
      <w:r>
        <w:rPr>
          <w:rFonts w:ascii="Amiri" w:hAnsi="Amiri" w:eastAsia="Amiri" w:cs="Amiri"/>
          <w:lang w:bidi="ar-SA"/>
          <w:color w:val="111111"/>
          <w:sz w:val="28"/>
          <w:szCs w:val="28"/>
          <w:rtl/>
        </w:rPr>
        <w:t xml:space="preserve">ديوان ابن الصائغ، ج 7، ص 524.</w:t>
      </w:r>
    </w:p>
    <w:p>
      <w:pPr>
        <w:pStyle w:val="BookText"/>
      </w:pPr>
      <w:r>
        <w:rPr>
          <w:rFonts w:ascii="IRNazanin" w:hAnsi="IRNazanin" w:eastAsia="IRNazanin" w:cs="IRNazanin"/>
          <w:lang w:bidi="fa-IR"/>
          <w:color w:val="111111"/>
          <w:sz w:val="28"/>
          <w:szCs w:val="28"/>
          <w:rtl/>
        </w:rPr>
        <w:t xml:space="preserve">ابن صائم ، احمد بن محمّد -صائم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430" w:name="_Toc532"/>
      <w:r>
        <w:t>ابن صابوني ، محمّد بن علي 604-680 ه-</w:t>
      </w:r>
      <w:bookmarkEnd w:id="1430"/>
    </w:p>
    <w:p>
      <w:pPr>
        <w:pStyle w:val="BookText"/>
      </w:pPr>
      <w:r>
        <w:rPr>
          <w:rFonts w:ascii="Amiri" w:hAnsi="Amiri" w:eastAsia="Amiri" w:cs="Amiri"/>
          <w:lang w:bidi="ar-SA"/>
          <w:color w:val="111111"/>
          <w:sz w:val="28"/>
          <w:szCs w:val="28"/>
          <w:rtl/>
        </w:rPr>
        <w:t xml:space="preserve">1 .تحفة الطالب وفرحة الراغب</w:t>
      </w:r>
    </w:p>
    <w:p>
      <w:pPr>
        <w:pStyle w:val="BookText"/>
      </w:pPr>
      <w:r>
        <w:rPr>
          <w:rFonts w:ascii="IRNazanin" w:hAnsi="IRNazanin" w:eastAsia="IRNazanin" w:cs="IRNazanin"/>
          <w:lang w:bidi="fa-IR"/>
          <w:color w:val="111111"/>
          <w:sz w:val="28"/>
          <w:szCs w:val="28"/>
          <w:rtl/>
        </w:rPr>
        <w:t xml:space="preserve">ج 3، ص 859.</w:t>
      </w:r>
    </w:p>
    <w:p>
      <w:pPr>
        <w:pStyle w:val="BookText"/>
      </w:pPr>
      <w:r>
        <w:rPr>
          <w:rFonts w:ascii="Amiri" w:hAnsi="Amiri" w:eastAsia="Amiri" w:cs="Amiri"/>
          <w:lang w:bidi="ar-SA"/>
          <w:color w:val="111111"/>
          <w:sz w:val="28"/>
          <w:szCs w:val="28"/>
          <w:rtl/>
        </w:rPr>
        <w:t xml:space="preserve">2 .تكملة إكمال الاكمال في الأنساب و الأسماء و الألقاب، ج4، ص812</w:t>
      </w:r>
    </w:p>
    <w:p>
      <w:pPr>
        <w:pStyle w:val="Heading2"/>
      </w:pPr>
      <w:bookmarkStart w:id="1431" w:name="_Toc533"/>
      <w:r>
        <w:t>ابن صاحب جواهر ، شريف بن</w:t>
      </w:r>
      <w:bookmarkEnd w:id="1431"/>
    </w:p>
    <w:p>
      <w:pPr>
        <w:pStyle w:val="BookText"/>
      </w:pPr>
      <w:r>
        <w:rPr>
          <w:rFonts w:ascii="Amiri" w:hAnsi="Amiri" w:eastAsia="Amiri" w:cs="Amiri"/>
          <w:lang w:bidi="ar-SA"/>
          <w:color w:val="111111"/>
          <w:sz w:val="28"/>
          <w:szCs w:val="28"/>
          <w:rtl/>
        </w:rPr>
        <w:t xml:space="preserve">عبد الحسين - 1314 ه-</w:t>
      </w:r>
    </w:p>
    <w:p>
      <w:pPr>
        <w:pStyle w:val="BookText"/>
      </w:pPr>
      <w:r>
        <w:rPr>
          <w:rFonts w:ascii="Amiri" w:hAnsi="Amiri" w:eastAsia="Amiri" w:cs="Amiri"/>
          <w:lang w:bidi="ar-SA"/>
          <w:color w:val="111111"/>
          <w:sz w:val="28"/>
          <w:szCs w:val="28"/>
          <w:rtl/>
        </w:rPr>
        <w:t xml:space="preserve">ملتقطات من الدرر النجفية ج 15 ص 436.</w:t>
      </w:r>
    </w:p>
    <w:p>
      <w:pPr>
        <w:pStyle w:val="BookText"/>
      </w:pPr>
      <w:r>
        <w:rPr>
          <w:rFonts w:ascii="Amiri" w:hAnsi="Amiri" w:eastAsia="Amiri" w:cs="Amiri"/>
          <w:lang w:bidi="ar-SA"/>
          <w:color w:val="111111"/>
          <w:sz w:val="28"/>
          <w:szCs w:val="28"/>
          <w:rtl/>
        </w:rPr>
        <w:t xml:space="preserve">ابن صاحب ، علي بن احمد- انصاري</w:t>
      </w:r>
    </w:p>
    <w:p>
      <w:pPr>
        <w:pStyle w:val="BookText"/>
      </w:pPr>
      <w:r>
        <w:rPr>
          <w:rFonts w:ascii="Amiri" w:hAnsi="Amiri" w:eastAsia="Amiri" w:cs="Amiri"/>
          <w:lang w:bidi="ar-SA"/>
          <w:color w:val="111111"/>
          <w:sz w:val="28"/>
          <w:szCs w:val="28"/>
          <w:rtl/>
        </w:rPr>
        <w:t xml:space="preserve">علي بن احمد</w:t>
      </w:r>
    </w:p>
    <w:p>
      <w:pPr>
        <w:pStyle w:val="BookText"/>
      </w:pPr>
      <w:r>
        <w:rPr>
          <w:rFonts w:ascii="Amiri" w:hAnsi="Amiri" w:eastAsia="Amiri" w:cs="Amiri"/>
          <w:lang w:bidi="ar-SA"/>
          <w:color w:val="111111"/>
          <w:sz w:val="28"/>
          <w:szCs w:val="28"/>
          <w:rtl/>
        </w:rPr>
        <w:t xml:space="preserve">ابن صاحب فصول ، عبدالرحيم بن</w:t>
      </w:r>
    </w:p>
    <w:p>
      <w:pPr>
        <w:pStyle w:val="BookText"/>
      </w:pPr>
      <w:r>
        <w:rPr>
          <w:rFonts w:ascii="Amiri" w:hAnsi="Amiri" w:eastAsia="Amiri" w:cs="Amiri"/>
          <w:lang w:bidi="ar-SA"/>
          <w:color w:val="111111"/>
          <w:sz w:val="28"/>
          <w:szCs w:val="28"/>
          <w:rtl/>
        </w:rPr>
        <w:t xml:space="preserve">عبد الحسين - حائري ، عبدالرحيم بن</w:t>
      </w:r>
    </w:p>
    <w:p>
      <w:pPr>
        <w:pStyle w:val="BookText"/>
      </w:pPr>
      <w:r>
        <w:rPr>
          <w:rFonts w:ascii="Amiri" w:hAnsi="Amiri" w:eastAsia="Amiri" w:cs="Amiri"/>
          <w:lang w:bidi="ar-SA"/>
          <w:color w:val="111111"/>
          <w:sz w:val="28"/>
          <w:szCs w:val="28"/>
          <w:rtl/>
        </w:rPr>
        <w:t xml:space="preserve">عبد الحسين</w:t>
      </w:r>
    </w:p>
    <w:p>
      <w:pPr>
        <w:pStyle w:val="Heading2"/>
      </w:pPr>
      <w:bookmarkStart w:id="1432" w:name="_Toc534"/>
      <w:r>
        <w:t>ابن صاعد ، يحيى بن محمّد 228-318ه-</w:t>
      </w:r>
      <w:bookmarkEnd w:id="1432"/>
    </w:p>
    <w:p>
      <w:pPr>
        <w:pStyle w:val="BookText"/>
      </w:pPr>
      <w:r>
        <w:rPr>
          <w:rFonts w:ascii="Amiri" w:hAnsi="Amiri" w:eastAsia="Amiri" w:cs="Amiri"/>
          <w:lang w:bidi="ar-SA"/>
          <w:color w:val="111111"/>
          <w:sz w:val="28"/>
          <w:szCs w:val="28"/>
          <w:rtl/>
        </w:rPr>
        <w:t xml:space="preserve">حديث، ج6، ص 556.</w:t>
      </w:r>
    </w:p>
    <w:p>
      <w:pPr>
        <w:pStyle w:val="BookText"/>
      </w:pPr>
      <w:r>
        <w:rPr>
          <w:rFonts w:ascii="Amiri" w:hAnsi="Amiri" w:eastAsia="Amiri" w:cs="Amiri"/>
          <w:lang w:bidi="ar-SA"/>
          <w:color w:val="111111"/>
          <w:sz w:val="28"/>
          <w:szCs w:val="28"/>
          <w:rtl/>
        </w:rPr>
        <w:t xml:space="preserve">ابن صالح ، ابراهيم صنعاني- هندي</w:t>
      </w:r>
    </w:p>
    <w:p>
      <w:pPr>
        <w:pStyle w:val="BookText"/>
      </w:pPr>
      <w:r>
        <w:rPr>
          <w:rFonts w:ascii="Amiri" w:hAnsi="Amiri" w:eastAsia="Amiri" w:cs="Amiri"/>
          <w:lang w:bidi="ar-SA"/>
          <w:color w:val="111111"/>
          <w:sz w:val="28"/>
          <w:szCs w:val="28"/>
          <w:rtl/>
        </w:rPr>
        <w:t xml:space="preserve">صنعاني ، ابراهيم بن صالح</w:t>
      </w:r>
    </w:p>
    <w:p>
      <w:pPr>
        <w:pStyle w:val="Heading2"/>
      </w:pPr>
      <w:bookmarkStart w:id="1433" w:name="_Toc535"/>
      <w:r>
        <w:t>ابن صباغ</w:t>
      </w:r>
      <w:bookmarkEnd w:id="1433"/>
    </w:p>
    <w:p>
      <w:pPr>
        <w:pStyle w:val="BookText"/>
      </w:pPr>
      <w:r>
        <w:rPr>
          <w:rFonts w:ascii="Amiri" w:hAnsi="Amiri" w:eastAsia="Amiri" w:cs="Amiri"/>
          <w:lang w:bidi="ar-SA"/>
          <w:color w:val="111111"/>
          <w:sz w:val="28"/>
          <w:szCs w:val="28"/>
          <w:rtl/>
        </w:rPr>
        <w:t xml:space="preserve">حصر انواع علاقات المجاز المعتبرة (منظومة في)، ج 6، ص 660.</w:t>
      </w:r>
    </w:p>
    <w:p>
      <w:pPr>
        <w:pStyle w:val="Heading2"/>
      </w:pPr>
      <w:bookmarkStart w:id="1434" w:name="_Toc536"/>
      <w:r>
        <w:t>ابن صباغ ، علي بن محمّد، 784 - 855 ه-</w:t>
      </w:r>
      <w:bookmarkEnd w:id="1434"/>
    </w:p>
    <w:p>
      <w:pPr>
        <w:pStyle w:val="BookText"/>
      </w:pPr>
      <w:r>
        <w:rPr>
          <w:rFonts w:ascii="Amiri" w:hAnsi="Amiri" w:eastAsia="Amiri" w:cs="Amiri"/>
          <w:lang w:bidi="ar-SA"/>
          <w:color w:val="111111"/>
          <w:sz w:val="28"/>
          <w:szCs w:val="28"/>
          <w:rtl/>
        </w:rPr>
        <w:t xml:space="preserve">الفصول المهمة في معرفة الائمة، ج11،</w:t>
      </w:r>
    </w:p>
    <w:p>
      <w:pPr>
        <w:pStyle w:val="BookText"/>
      </w:pPr>
      <w:r>
        <w:rPr>
          <w:rFonts w:ascii="IRNazanin" w:hAnsi="IRNazanin" w:eastAsia="IRNazanin" w:cs="IRNazanin"/>
          <w:lang w:bidi="fa-IR"/>
          <w:color w:val="111111"/>
          <w:sz w:val="28"/>
          <w:szCs w:val="28"/>
          <w:rtl/>
        </w:rPr>
        <w:t xml:space="preserve">ص 867.</w:t>
      </w:r>
    </w:p>
    <w:p>
      <w:pPr>
        <w:pStyle w:val="BookText"/>
      </w:pPr>
      <w:r>
        <w:rPr>
          <w:rFonts w:ascii="Amiri" w:hAnsi="Amiri" w:eastAsia="Amiri" w:cs="Amiri"/>
          <w:lang w:bidi="ar-SA"/>
          <w:color w:val="111111"/>
          <w:sz w:val="28"/>
          <w:szCs w:val="28"/>
          <w:rtl/>
        </w:rPr>
        <w:t xml:space="preserve">ابن صباغ ، محمّد بن ابي القاسم- حميري</w:t>
      </w:r>
    </w:p>
    <w:p>
      <w:pPr>
        <w:pStyle w:val="BookText"/>
      </w:pPr>
      <w:r>
        <w:rPr>
          <w:rFonts w:ascii="Amiri" w:hAnsi="Amiri" w:eastAsia="Amiri" w:cs="Amiri"/>
          <w:lang w:bidi="ar-SA"/>
          <w:color w:val="111111"/>
          <w:sz w:val="28"/>
          <w:szCs w:val="28"/>
          <w:rtl/>
        </w:rPr>
        <w:t xml:space="preserve">، محمّد بن ابي القاسم</w:t>
      </w:r>
    </w:p>
    <w:p>
      <w:pPr>
        <w:pStyle w:val="BookText"/>
      </w:pPr>
      <w:r>
        <w:rPr>
          <w:rFonts w:ascii="Amiri" w:hAnsi="Amiri" w:eastAsia="Amiri" w:cs="Amiri"/>
          <w:lang w:bidi="ar-SA"/>
          <w:color w:val="111111"/>
          <w:sz w:val="28"/>
          <w:szCs w:val="28"/>
          <w:rtl/>
        </w:rPr>
        <w:t xml:space="preserve">ابن صبغة الله ، ابراهيم حيدري -حيدري ،</w:t>
      </w:r>
    </w:p>
    <w:p>
      <w:pPr>
        <w:pStyle w:val="BookText"/>
      </w:pPr>
      <w:r>
        <w:rPr>
          <w:rFonts w:ascii="Amiri" w:hAnsi="Amiri" w:eastAsia="Amiri" w:cs="Amiri"/>
          <w:lang w:bidi="ar-SA"/>
          <w:color w:val="111111"/>
          <w:sz w:val="28"/>
          <w:szCs w:val="28"/>
          <w:rtl/>
        </w:rPr>
        <w:t xml:space="preserve">ابراهيم بن صبغة الله</w:t>
      </w:r>
    </w:p>
    <w:p>
      <w:pPr>
        <w:pStyle w:val="Heading2"/>
      </w:pPr>
      <w:bookmarkStart w:id="1435" w:name="_Toc537"/>
      <w:r>
        <w:t>ابن صثيل ، احمد بن صثيل</w:t>
      </w:r>
      <w:bookmarkEnd w:id="1435"/>
    </w:p>
    <w:p>
      <w:pPr>
        <w:pStyle w:val="BookText"/>
      </w:pPr>
      <w:r>
        <w:rPr>
          <w:rFonts w:ascii="Amiri" w:hAnsi="Amiri" w:eastAsia="Amiri" w:cs="Amiri"/>
          <w:lang w:bidi="ar-SA"/>
          <w:color w:val="111111"/>
          <w:sz w:val="28"/>
          <w:szCs w:val="28"/>
          <w:rtl/>
        </w:rPr>
        <w:t xml:space="preserve">اصول السنة (رسالة في)، ج 2، ص 424.</w:t>
      </w:r>
    </w:p>
    <w:p>
      <w:pPr>
        <w:pStyle w:val="BookText"/>
      </w:pPr>
      <w:r>
        <w:rPr>
          <w:rFonts w:ascii="IRNazanin" w:hAnsi="IRNazanin" w:eastAsia="IRNazanin" w:cs="IRNazanin"/>
          <w:lang w:bidi="fa-IR"/>
          <w:color w:val="111111"/>
          <w:sz w:val="28"/>
          <w:szCs w:val="28"/>
          <w:rtl/>
        </w:rPr>
        <w:t xml:space="preserve">ابن صدقه عیسی بن آبان- ابن ابان</w:t>
      </w:r>
    </w:p>
    <w:p>
      <w:pPr>
        <w:pStyle w:val="BookText"/>
      </w:pPr>
      <w:r>
        <w:rPr>
          <w:rFonts w:ascii="IRNazanin" w:hAnsi="IRNazanin" w:eastAsia="IRNazanin" w:cs="IRNazanin"/>
          <w:lang w:bidi="fa-IR"/>
          <w:color w:val="111111"/>
          <w:sz w:val="28"/>
          <w:szCs w:val="28"/>
          <w:rtl/>
        </w:rPr>
        <w:t xml:space="preserve">عیسی بن ابان</w:t>
      </w:r>
    </w:p>
    <w:p>
      <w:pPr>
        <w:pStyle w:val="Heading2"/>
      </w:pPr>
      <w:bookmarkStart w:id="1436" w:name="_Toc538"/>
      <w:r>
        <w:t>ابن صلاح، بحر بن ريس</w:t>
      </w:r>
      <w:bookmarkEnd w:id="1436"/>
    </w:p>
    <w:p>
      <w:pPr>
        <w:pStyle w:val="BookText"/>
      </w:pPr>
      <w:r>
        <w:rPr>
          <w:rFonts w:ascii="Amiri" w:hAnsi="Amiri" w:eastAsia="Amiri" w:cs="Amiri"/>
          <w:lang w:bidi="ar-SA"/>
          <w:color w:val="111111"/>
          <w:sz w:val="28"/>
          <w:szCs w:val="28"/>
          <w:rtl/>
        </w:rPr>
        <w:t xml:space="preserve">شرح قصيدة البردة، ج 9، ص 855.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2" w:name="pg7742_69513"/>
    <w:bookmarkEnd w:id="82"/>
    <w:p>
      <w:pPr>
        <w:pStyle w:val="Heading2"/>
      </w:pPr>
      <w:bookmarkStart w:id="1437" w:name="_Toc539"/>
      <w:r>
        <w:t>ابن صلاح، عثمان بن عبد الرحمن 577 -</w:t>
      </w:r>
      <w:bookmarkEnd w:id="1437"/>
    </w:p>
    <w:p>
      <w:pPr>
        <w:pStyle w:val="BookText"/>
      </w:pPr>
      <w:r>
        <w:rPr>
          <w:rFonts w:ascii="IRNazanin" w:hAnsi="IRNazanin" w:eastAsia="IRNazanin" w:cs="IRNazanin"/>
          <w:lang w:bidi="fa-IR"/>
          <w:color w:val="111111"/>
          <w:sz w:val="28"/>
          <w:szCs w:val="28"/>
          <w:rtl/>
        </w:rPr>
        <w:t xml:space="preserve">143 ه-</w:t>
      </w:r>
    </w:p>
    <w:p>
      <w:pPr>
        <w:pStyle w:val="BookText"/>
      </w:pPr>
      <w:r>
        <w:rPr>
          <w:rFonts w:ascii="Amiri" w:hAnsi="Amiri" w:eastAsia="Amiri" w:cs="Amiri"/>
          <w:lang w:bidi="ar-SA"/>
          <w:color w:val="111111"/>
          <w:sz w:val="28"/>
          <w:szCs w:val="28"/>
          <w:rtl/>
        </w:rPr>
        <w:t xml:space="preserve">1 .آداب المفتي، ج 1، ص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طبقات الفقهاء الشافعية، ج 10،</w:t>
      </w:r>
    </w:p>
    <w:p>
      <w:pPr>
        <w:pStyle w:val="BookText"/>
      </w:pPr>
      <w:r>
        <w:rPr>
          <w:rFonts w:ascii="IRNazanin" w:hAnsi="IRNazanin" w:eastAsia="IRNazanin" w:cs="IRNazanin"/>
          <w:lang w:bidi="fa-IR"/>
          <w:color w:val="111111"/>
          <w:sz w:val="28"/>
          <w:szCs w:val="28"/>
          <w:rtl/>
        </w:rPr>
        <w:t xml:space="preserve">ص 785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معرفة انواع علم الحديث - مقدمة</w:t>
      </w:r>
    </w:p>
    <w:p>
      <w:pPr>
        <w:pStyle w:val="BookText"/>
      </w:pPr>
      <w:r>
        <w:rPr>
          <w:rFonts w:ascii="IRNazanin" w:hAnsi="IRNazanin" w:eastAsia="IRNazanin" w:cs="IRNazanin"/>
          <w:lang w:bidi="fa-IR"/>
          <w:color w:val="111111"/>
          <w:sz w:val="28"/>
          <w:szCs w:val="28"/>
          <w:rtl/>
        </w:rPr>
        <w:t xml:space="preserve">ابن صلاح، ج 15، ص 47.</w:t>
      </w:r>
    </w:p>
    <w:p>
      <w:pPr>
        <w:pStyle w:val="BookText"/>
      </w:pPr>
      <w:r>
        <w:rPr>
          <w:rFonts w:ascii="Amiri" w:hAnsi="Amiri" w:eastAsia="Amiri" w:cs="Amiri"/>
          <w:lang w:bidi="ar-SA"/>
          <w:color w:val="111111"/>
          <w:sz w:val="28"/>
          <w:szCs w:val="28"/>
          <w:rtl/>
        </w:rPr>
        <w:t xml:space="preserve">ابن صماغ ، محمّد بن ابي القاسم - حميري 701ه-</w:t>
      </w:r>
    </w:p>
    <w:p>
      <w:pPr>
        <w:pStyle w:val="BookText"/>
      </w:pPr>
      <w:r>
        <w:rPr>
          <w:rFonts w:ascii="Amiri" w:hAnsi="Amiri" w:eastAsia="Amiri" w:cs="Amiri"/>
          <w:lang w:bidi="ar-SA"/>
          <w:color w:val="111111"/>
          <w:sz w:val="28"/>
          <w:szCs w:val="28"/>
          <w:rtl/>
        </w:rPr>
        <w:t xml:space="preserve">، محمّد بن ابي القاسم</w:t>
      </w:r>
    </w:p>
    <w:p>
      <w:pPr>
        <w:pStyle w:val="Heading2"/>
      </w:pPr>
      <w:bookmarkStart w:id="1438" w:name="_Toc540"/>
      <w:r>
        <w:t>ابن صواف</w:t>
      </w:r>
      <w:bookmarkEnd w:id="1438"/>
    </w:p>
    <w:p>
      <w:pPr>
        <w:pStyle w:val="BookText"/>
      </w:pPr>
      <w:r>
        <w:rPr>
          <w:rFonts w:ascii="Amiri" w:hAnsi="Amiri" w:eastAsia="Amiri" w:cs="Amiri"/>
          <w:lang w:bidi="ar-SA"/>
          <w:color w:val="111111"/>
          <w:sz w:val="28"/>
          <w:szCs w:val="28"/>
          <w:rtl/>
        </w:rPr>
        <w:t xml:space="preserve">جزء من كتاب ابن الصواف جه،</w:t>
      </w:r>
    </w:p>
    <w:p>
      <w:pPr>
        <w:pStyle w:val="BookText"/>
      </w:pPr>
      <w:r>
        <w:rPr>
          <w:rFonts w:ascii="IRNazanin" w:hAnsi="IRNazanin" w:eastAsia="IRNazanin" w:cs="IRNazanin"/>
          <w:lang w:bidi="fa-IR"/>
          <w:color w:val="111111"/>
          <w:sz w:val="28"/>
          <w:szCs w:val="28"/>
          <w:rtl/>
        </w:rPr>
        <w:t xml:space="preserve">ص 383.</w:t>
      </w:r>
    </w:p>
    <w:p>
      <w:pPr>
        <w:pStyle w:val="BookText"/>
      </w:pPr>
      <w:r>
        <w:rPr>
          <w:rFonts w:ascii="Amiri" w:hAnsi="Amiri" w:eastAsia="Amiri" w:cs="Amiri"/>
          <w:lang w:bidi="ar-SA"/>
          <w:color w:val="111111"/>
          <w:sz w:val="28"/>
          <w:szCs w:val="28"/>
          <w:rtl/>
        </w:rPr>
        <w:t xml:space="preserve">ابن صورة ، عمر بن محمّد- انصاري ،</w:t>
      </w:r>
    </w:p>
    <w:p>
      <w:pPr>
        <w:pStyle w:val="BookText"/>
      </w:pPr>
      <w:r>
        <w:rPr>
          <w:rFonts w:ascii="Amiri" w:hAnsi="Amiri" w:eastAsia="Amiri" w:cs="Amiri"/>
          <w:lang w:bidi="ar-SA"/>
          <w:color w:val="111111"/>
          <w:sz w:val="28"/>
          <w:szCs w:val="28"/>
          <w:rtl/>
        </w:rPr>
        <w:t xml:space="preserve">عمر بن محمّد</w:t>
      </w:r>
    </w:p>
    <w:p>
      <w:pPr>
        <w:pStyle w:val="BookText"/>
      </w:pPr>
      <w:r>
        <w:rPr>
          <w:rFonts w:ascii="Amiri" w:hAnsi="Amiri" w:eastAsia="Amiri" w:cs="Amiri"/>
          <w:lang w:bidi="ar-SA"/>
          <w:color w:val="111111"/>
          <w:sz w:val="28"/>
          <w:szCs w:val="28"/>
          <w:rtl/>
        </w:rPr>
        <w:t xml:space="preserve">ابن صوفي ، عبد الرحمان بن عمر- صوفي ،</w:t>
      </w:r>
    </w:p>
    <w:p>
      <w:pPr>
        <w:pStyle w:val="BookText"/>
      </w:pPr>
      <w:r>
        <w:rPr>
          <w:rFonts w:ascii="IRNazanin" w:hAnsi="IRNazanin" w:eastAsia="IRNazanin" w:cs="IRNazanin"/>
          <w:lang w:bidi="fa-IR"/>
          <w:color w:val="111111"/>
          <w:sz w:val="28"/>
          <w:szCs w:val="28"/>
          <w:rtl/>
        </w:rPr>
        <w:t xml:space="preserve">عبدالرحمن بن عمر</w:t>
      </w:r>
    </w:p>
    <w:p>
      <w:pPr>
        <w:pStyle w:val="Heading2"/>
      </w:pPr>
      <w:bookmarkStart w:id="1439" w:name="_Toc541"/>
      <w:r>
        <w:t>ابن صوفي ، علي بن محمّد - 425 ؟ ه-</w:t>
      </w:r>
      <w:bookmarkEnd w:id="1439"/>
    </w:p>
    <w:p>
      <w:pPr>
        <w:pStyle w:val="BookText"/>
      </w:pPr>
      <w:r>
        <w:rPr>
          <w:rFonts w:ascii="Amiri" w:hAnsi="Amiri" w:eastAsia="Amiri" w:cs="Amiri"/>
          <w:lang w:bidi="ar-SA"/>
          <w:color w:val="111111"/>
          <w:sz w:val="28"/>
          <w:szCs w:val="28"/>
          <w:rtl/>
        </w:rPr>
        <w:t xml:space="preserve">المجدي في نسب العلويين في انساب الطالبين، ج13، ص 810.</w:t>
      </w:r>
    </w:p>
    <w:p>
      <w:pPr>
        <w:pStyle w:val="Heading2"/>
      </w:pPr>
      <w:bookmarkStart w:id="1440" w:name="_Toc542"/>
      <w:r>
        <w:t>ابن صيرفي ، احمد بن صدقه - 905 ه-</w:t>
      </w:r>
      <w:bookmarkEnd w:id="1440"/>
    </w:p>
    <w:p>
      <w:pPr>
        <w:pStyle w:val="BookText"/>
      </w:pPr>
      <w:r>
        <w:rPr>
          <w:rFonts w:ascii="Amiri" w:hAnsi="Amiri" w:eastAsia="Amiri" w:cs="Amiri"/>
          <w:lang w:bidi="ar-SA"/>
          <w:color w:val="111111"/>
          <w:sz w:val="28"/>
          <w:szCs w:val="28"/>
          <w:rtl/>
        </w:rPr>
        <w:t xml:space="preserve">التوشيح الوافي و الترشيح الشافي في</w:t>
      </w:r>
    </w:p>
    <w:p>
      <w:pPr>
        <w:pStyle w:val="BookText"/>
      </w:pPr>
      <w:r>
        <w:rPr>
          <w:rFonts w:ascii="Amiri" w:hAnsi="Amiri" w:eastAsia="Amiri" w:cs="Amiri"/>
          <w:lang w:bidi="ar-SA"/>
          <w:color w:val="111111"/>
          <w:sz w:val="28"/>
          <w:szCs w:val="28"/>
          <w:rtl/>
        </w:rPr>
        <w:t xml:space="preserve">شرح الكافي، ج 5، ص 164 .</w:t>
      </w:r>
    </w:p>
    <w:p>
      <w:pPr>
        <w:pStyle w:val="BookText"/>
      </w:pPr>
      <w:r>
        <w:rPr>
          <w:rFonts w:ascii="Amiri" w:hAnsi="Amiri" w:eastAsia="Amiri" w:cs="Amiri"/>
          <w:lang w:bidi="ar-SA"/>
          <w:color w:val="111111"/>
          <w:sz w:val="28"/>
          <w:szCs w:val="28"/>
          <w:rtl/>
        </w:rPr>
        <w:t xml:space="preserve">ابن صيرفي ، عثمان بن سعيد داني ،</w:t>
      </w:r>
    </w:p>
    <w:p>
      <w:pPr>
        <w:pStyle w:val="BookText"/>
      </w:pPr>
      <w:r>
        <w:rPr>
          <w:rFonts w:ascii="Amiri" w:hAnsi="Amiri" w:eastAsia="Amiri" w:cs="Amiri"/>
          <w:lang w:bidi="ar-SA"/>
          <w:color w:val="111111"/>
          <w:sz w:val="28"/>
          <w:szCs w:val="28"/>
          <w:rtl/>
        </w:rPr>
        <w:t xml:space="preserve">عثمان بن سعيد</w:t>
      </w:r>
    </w:p>
    <w:p>
      <w:pPr>
        <w:pStyle w:val="Heading2"/>
      </w:pPr>
      <w:bookmarkStart w:id="1441" w:name="_Toc543"/>
      <w:r>
        <w:t>ابن صيرفي ، علي بن منجب، 463-542 ه-</w:t>
      </w:r>
      <w:bookmarkEnd w:id="1441"/>
    </w:p>
    <w:p>
      <w:pPr>
        <w:pStyle w:val="BookText"/>
      </w:pPr>
      <w:r>
        <w:rPr>
          <w:rFonts w:ascii="IRNazanin" w:hAnsi="IRNazanin" w:eastAsia="IRNazanin" w:cs="IRNazanin"/>
          <w:lang w:bidi="fa-IR"/>
          <w:color w:val="111111"/>
          <w:sz w:val="28"/>
          <w:szCs w:val="28"/>
          <w:rtl/>
        </w:rPr>
        <w:t xml:space="preserve">المختار من شعر شعراء الاندل-س</w:t>
      </w:r>
    </w:p>
    <w:p>
      <w:pPr>
        <w:pStyle w:val="BookText"/>
      </w:pPr>
      <w:r>
        <w:rPr>
          <w:rFonts w:ascii="IRNazanin" w:hAnsi="IRNazanin" w:eastAsia="IRNazanin" w:cs="IRNazanin"/>
          <w:lang w:bidi="fa-IR"/>
          <w:color w:val="111111"/>
          <w:sz w:val="28"/>
          <w:szCs w:val="28"/>
          <w:rtl/>
        </w:rPr>
        <w:t xml:space="preserve">ج 14، ص 163.</w:t>
      </w:r>
    </w:p>
    <w:p>
      <w:pPr>
        <w:pStyle w:val="Heading2"/>
      </w:pPr>
      <w:bookmarkStart w:id="1442" w:name="_Toc544"/>
      <w:r>
        <w:t>ابن صيفي ، سعد بن محمّد - 574 ه-</w:t>
      </w:r>
      <w:bookmarkEnd w:id="1442"/>
    </w:p>
    <w:p>
      <w:pPr>
        <w:pStyle w:val="BookText"/>
      </w:pPr>
      <w:r>
        <w:rPr>
          <w:rFonts w:ascii="Amiri" w:hAnsi="Amiri" w:eastAsia="Amiri" w:cs="Amiri"/>
          <w:lang w:bidi="ar-SA"/>
          <w:color w:val="111111"/>
          <w:sz w:val="28"/>
          <w:szCs w:val="28"/>
          <w:rtl/>
        </w:rPr>
        <w:t xml:space="preserve">ديوان حيص بيص، ج 7، ص 632.</w:t>
      </w:r>
    </w:p>
    <w:p>
      <w:pPr>
        <w:pStyle w:val="Heading2"/>
      </w:pPr>
      <w:bookmarkStart w:id="1443" w:name="_Toc545"/>
      <w:r>
        <w:t>ابن صيقل جزري ، معد بن نصر الله</w:t>
      </w:r>
      <w:bookmarkEnd w:id="1443"/>
    </w:p>
    <w:p>
      <w:pPr>
        <w:pStyle w:val="BookText"/>
      </w:pPr>
      <w:r>
        <w:rPr>
          <w:rFonts w:ascii="Amiri" w:hAnsi="Amiri" w:eastAsia="Amiri" w:cs="Amiri"/>
          <w:lang w:bidi="ar-SA"/>
          <w:color w:val="111111"/>
          <w:sz w:val="28"/>
          <w:szCs w:val="28"/>
          <w:rtl/>
        </w:rPr>
        <w:t xml:space="preserve">المقامات الزينية، ج 15 ، ص 304.</w:t>
      </w:r>
    </w:p>
    <w:p>
      <w:pPr>
        <w:pStyle w:val="BookText"/>
      </w:pPr>
      <w:r>
        <w:rPr>
          <w:rFonts w:ascii="Amiri" w:hAnsi="Amiri" w:eastAsia="Amiri" w:cs="Amiri"/>
          <w:lang w:bidi="ar-SA"/>
          <w:color w:val="111111"/>
          <w:sz w:val="28"/>
          <w:szCs w:val="28"/>
          <w:rtl/>
        </w:rPr>
        <w:t xml:space="preserve">ابن ضرار ، يزيد بن ضرار -مزرد مازني ،</w:t>
      </w:r>
    </w:p>
    <w:p>
      <w:pPr>
        <w:pStyle w:val="BookText"/>
      </w:pPr>
      <w:r>
        <w:rPr>
          <w:rFonts w:ascii="Amiri" w:hAnsi="Amiri" w:eastAsia="Amiri" w:cs="Amiri"/>
          <w:lang w:bidi="ar-SA"/>
          <w:color w:val="111111"/>
          <w:sz w:val="28"/>
          <w:szCs w:val="28"/>
          <w:rtl/>
        </w:rPr>
        <w:t xml:space="preserve">يزيد بن ضرار</w:t>
      </w:r>
    </w:p>
    <w:p>
      <w:pPr>
        <w:pStyle w:val="BookText"/>
      </w:pPr>
      <w:r>
        <w:rPr>
          <w:rFonts w:ascii="IRNazanin" w:hAnsi="IRNazanin" w:eastAsia="IRNazanin" w:cs="IRNazanin"/>
          <w:lang w:bidi="fa-IR"/>
          <w:color w:val="111111"/>
          <w:sz w:val="28"/>
          <w:szCs w:val="28"/>
          <w:rtl/>
        </w:rPr>
        <w:t xml:space="preserve">ابن ضرير، اسماعیل بن احمد- حيري ،</w:t>
      </w:r>
    </w:p>
    <w:p>
      <w:pPr>
        <w:pStyle w:val="BookText"/>
      </w:pPr>
      <w:r>
        <w:rPr>
          <w:rFonts w:ascii="Amiri" w:hAnsi="Amiri" w:eastAsia="Amiri" w:cs="Amiri"/>
          <w:lang w:bidi="ar-SA"/>
          <w:color w:val="111111"/>
          <w:sz w:val="28"/>
          <w:szCs w:val="28"/>
          <w:rtl/>
        </w:rPr>
        <w:t xml:space="preserve">اسماعيل بن احمد</w:t>
      </w:r>
    </w:p>
    <w:p>
      <w:pPr>
        <w:pStyle w:val="Heading2"/>
      </w:pPr>
      <w:bookmarkStart w:id="1444" w:name="_Toc546"/>
      <w:r>
        <w:t>ابن ضریس محمّد بن ايوب 200-294ه-</w:t>
      </w:r>
      <w:bookmarkEnd w:id="14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ج1، ص388.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فضائل القرآن، ج 12، ص 16.</w:t>
      </w:r>
    </w:p>
    <w:p>
      <w:pPr>
        <w:pStyle w:val="Heading2"/>
      </w:pPr>
      <w:bookmarkStart w:id="1445" w:name="_Toc547"/>
      <w:r>
        <w:t>ابن ضويان ، ابراهیم بن محمّد، 1275 -</w:t>
      </w:r>
      <w:bookmarkEnd w:id="1445"/>
    </w:p>
    <w:p>
      <w:pPr>
        <w:pStyle w:val="BookText"/>
      </w:pPr>
      <w:r>
        <w:rPr>
          <w:rFonts w:ascii="IRNazanin" w:hAnsi="IRNazanin" w:eastAsia="IRNazanin" w:cs="IRNazanin"/>
          <w:lang w:bidi="fa-IR"/>
          <w:color w:val="111111"/>
          <w:sz w:val="28"/>
          <w:szCs w:val="28"/>
          <w:rtl/>
        </w:rPr>
        <w:t xml:space="preserve">1353 ه-</w:t>
      </w:r>
    </w:p>
    <w:p>
      <w:pPr>
        <w:pStyle w:val="BookText"/>
      </w:pPr>
      <w:r>
        <w:rPr>
          <w:rFonts w:ascii="IRNazanin" w:hAnsi="IRNazanin" w:eastAsia="IRNazanin" w:cs="IRNazanin"/>
          <w:lang w:bidi="fa-IR"/>
          <w:color w:val="111111"/>
          <w:sz w:val="28"/>
          <w:szCs w:val="28"/>
          <w:rtl/>
        </w:rPr>
        <w:t xml:space="preserve">رفع النقاب عن تراجم الاصحاب، ج8،</w:t>
      </w:r>
    </w:p>
    <w:p>
      <w:pPr>
        <w:pStyle w:val="BookText"/>
      </w:pPr>
      <w:r>
        <w:rPr>
          <w:rFonts w:ascii="IRNazanin" w:hAnsi="IRNazanin" w:eastAsia="IRNazanin" w:cs="IRNazanin"/>
          <w:lang w:bidi="fa-IR"/>
          <w:color w:val="111111"/>
          <w:sz w:val="28"/>
          <w:szCs w:val="28"/>
          <w:rtl/>
        </w:rPr>
        <w:t xml:space="preserve">ص 347 .</w:t>
      </w:r>
    </w:p>
    <w:p>
      <w:pPr>
        <w:pStyle w:val="Heading2"/>
      </w:pPr>
      <w:bookmarkStart w:id="1446" w:name="_Toc548"/>
      <w:r>
        <w:t>ابن ضياء مكي ، محمّد بن احمد، 789 -</w:t>
      </w:r>
      <w:bookmarkEnd w:id="1446"/>
    </w:p>
    <w:p>
      <w:pPr>
        <w:pStyle w:val="BookText"/>
      </w:pPr>
      <w:r>
        <w:rPr>
          <w:rFonts w:ascii="IRNazanin" w:hAnsi="IRNazanin" w:eastAsia="IRNazanin" w:cs="IRNazanin"/>
          <w:lang w:bidi="fa-IR"/>
          <w:color w:val="111111"/>
          <w:sz w:val="28"/>
          <w:szCs w:val="28"/>
          <w:rtl/>
        </w:rPr>
        <w:t xml:space="preserve">854 ه-</w:t>
      </w:r>
    </w:p>
    <w:p>
      <w:pPr>
        <w:pStyle w:val="BookText"/>
      </w:pPr>
      <w:r>
        <w:rPr>
          <w:rFonts w:ascii="Amiri" w:hAnsi="Amiri" w:eastAsia="Amiri" w:cs="Amiri"/>
          <w:lang w:bidi="ar-SA"/>
          <w:color w:val="111111"/>
          <w:sz w:val="28"/>
          <w:szCs w:val="28"/>
          <w:rtl/>
        </w:rPr>
        <w:t xml:space="preserve">الضياء المعنوية على المقدمة الغزنوية</w:t>
      </w:r>
    </w:p>
    <w:p>
      <w:pPr>
        <w:pStyle w:val="BookText"/>
      </w:pPr>
      <w:r>
        <w:rPr>
          <w:rFonts w:ascii="IRNazanin" w:hAnsi="IRNazanin" w:eastAsia="IRNazanin" w:cs="IRNazanin"/>
          <w:lang w:bidi="fa-IR"/>
          <w:color w:val="111111"/>
          <w:sz w:val="28"/>
          <w:szCs w:val="28"/>
          <w:rtl/>
        </w:rPr>
        <w:t xml:space="preserve">ج 10، ص 725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83" w:name="pg7742_69515"/>
    <w:bookmarkEnd w:id="83"/>
    <w:p>
      <w:pPr>
        <w:pStyle w:val="BookText"/>
      </w:pPr>
      <w:r>
        <w:rPr>
          <w:rFonts w:ascii="Amiri" w:hAnsi="Amiri" w:eastAsia="Amiri" w:cs="Amiri"/>
          <w:lang w:bidi="ar-SA"/>
          <w:color w:val="111111"/>
          <w:sz w:val="28"/>
          <w:szCs w:val="28"/>
          <w:rtl/>
        </w:rPr>
        <w:t xml:space="preserve">ابن طاهر بغدادي- بغدادي ، عبد القاهر</w:t>
      </w:r>
    </w:p>
    <w:p>
      <w:pPr>
        <w:pStyle w:val="BookText"/>
      </w:pPr>
      <w:r>
        <w:rPr>
          <w:rFonts w:ascii="IRNazanin" w:hAnsi="IRNazanin" w:eastAsia="IRNazanin" w:cs="IRNazanin"/>
          <w:lang w:bidi="fa-IR"/>
          <w:color w:val="111111"/>
          <w:sz w:val="28"/>
          <w:szCs w:val="28"/>
          <w:rtl/>
        </w:rPr>
        <w:t xml:space="preserve">بن طاهر</w:t>
      </w:r>
    </w:p>
    <w:p>
      <w:pPr>
        <w:pStyle w:val="BookText"/>
      </w:pPr>
      <w:r>
        <w:rPr>
          <w:rFonts w:ascii="Amiri" w:hAnsi="Amiri" w:eastAsia="Amiri" w:cs="Amiri"/>
          <w:lang w:bidi="ar-SA"/>
          <w:color w:val="111111"/>
          <w:sz w:val="28"/>
          <w:szCs w:val="28"/>
          <w:rtl/>
        </w:rPr>
        <w:t xml:space="preserve">ابن طاهر مقدسي -ابن قيسراني ، محمد</w:t>
      </w:r>
    </w:p>
    <w:p>
      <w:pPr>
        <w:pStyle w:val="BookText"/>
      </w:pPr>
      <w:r>
        <w:rPr>
          <w:rFonts w:ascii="IRNazanin" w:hAnsi="IRNazanin" w:eastAsia="IRNazanin" w:cs="IRNazanin"/>
          <w:lang w:bidi="fa-IR"/>
          <w:color w:val="111111"/>
          <w:sz w:val="28"/>
          <w:szCs w:val="28"/>
          <w:rtl/>
        </w:rPr>
        <w:t xml:space="preserve">بن طاهر</w:t>
      </w:r>
    </w:p>
    <w:p>
      <w:pPr>
        <w:pStyle w:val="Heading2"/>
      </w:pPr>
      <w:bookmarkStart w:id="1447" w:name="_Toc549"/>
      <w:r>
        <w:t>ابن طاوس، احمد بن موسى - 673؟ ه-</w:t>
      </w:r>
      <w:bookmarkEnd w:id="1447"/>
    </w:p>
    <w:p>
      <w:pPr>
        <w:pStyle w:val="BookText"/>
      </w:pPr>
      <w:r>
        <w:rPr>
          <w:rFonts w:ascii="Amiri" w:hAnsi="Amiri" w:eastAsia="Amiri" w:cs="Amiri"/>
          <w:lang w:bidi="ar-SA"/>
          <w:color w:val="111111"/>
          <w:sz w:val="28"/>
          <w:szCs w:val="28"/>
          <w:rtl/>
        </w:rPr>
        <w:t xml:space="preserve">1 بناء المقالة العلوية في نقض الرسالة</w:t>
      </w:r>
    </w:p>
    <w:p>
      <w:pPr>
        <w:pStyle w:val="BookText"/>
      </w:pPr>
      <w:r>
        <w:rPr>
          <w:rFonts w:ascii="Amiri" w:hAnsi="Amiri" w:eastAsia="Amiri" w:cs="Amiri"/>
          <w:lang w:bidi="ar-SA"/>
          <w:color w:val="111111"/>
          <w:sz w:val="28"/>
          <w:szCs w:val="28"/>
          <w:rtl/>
        </w:rPr>
        <w:t xml:space="preserve">العثمانية - بناء المقالة الفاطمية في نقض الرسالة العثمانية، ج3،</w:t>
      </w:r>
    </w:p>
    <w:p>
      <w:pPr>
        <w:pStyle w:val="BookText"/>
      </w:pPr>
      <w:r>
        <w:rPr>
          <w:rFonts w:ascii="IRNazanin" w:hAnsi="IRNazanin" w:eastAsia="IRNazanin" w:cs="IRNazanin"/>
          <w:lang w:bidi="fa-IR"/>
          <w:color w:val="111111"/>
          <w:sz w:val="28"/>
          <w:szCs w:val="28"/>
          <w:rtl/>
        </w:rPr>
        <w:t xml:space="preserve">ص 408 .</w:t>
      </w:r>
    </w:p>
    <w:p>
      <w:pPr>
        <w:pStyle w:val="BookText"/>
      </w:pPr>
      <w:r>
        <w:rPr>
          <w:rFonts w:ascii="Amiri" w:hAnsi="Amiri" w:eastAsia="Amiri" w:cs="Amiri"/>
          <w:lang w:bidi="ar-SA"/>
          <w:color w:val="111111"/>
          <w:sz w:val="28"/>
          <w:szCs w:val="28"/>
          <w:rtl/>
        </w:rPr>
        <w:t xml:space="preserve">2 زهرة الرياض، ج 8، ص 621 .</w:t>
      </w:r>
    </w:p>
    <w:p>
      <w:pPr>
        <w:pStyle w:val="BookText"/>
      </w:pPr>
      <w:r>
        <w:rPr>
          <w:rFonts w:ascii="Amiri" w:hAnsi="Amiri" w:eastAsia="Amiri" w:cs="Amiri"/>
          <w:lang w:bidi="ar-SA"/>
          <w:color w:val="111111"/>
          <w:sz w:val="28"/>
          <w:szCs w:val="28"/>
          <w:rtl/>
        </w:rPr>
        <w:t xml:space="preserve">3 .عين العبرة في غبن العترة، ج 11،</w:t>
      </w:r>
    </w:p>
    <w:p>
      <w:pPr>
        <w:pStyle w:val="BookText"/>
      </w:pPr>
      <w:r>
        <w:rPr>
          <w:rFonts w:ascii="IRNazanin" w:hAnsi="IRNazanin" w:eastAsia="IRNazanin" w:cs="IRNazanin"/>
          <w:lang w:bidi="fa-IR"/>
          <w:color w:val="111111"/>
          <w:sz w:val="28"/>
          <w:szCs w:val="28"/>
          <w:rtl/>
        </w:rPr>
        <w:t xml:space="preserve">ص 380.</w:t>
      </w:r>
    </w:p>
    <w:p>
      <w:pPr>
        <w:pStyle w:val="Heading2"/>
      </w:pPr>
      <w:bookmarkStart w:id="1448" w:name="_Toc550"/>
      <w:r>
        <w:t>ابن طاوس ، عبد الكريم بن احمد، 648 -</w:t>
      </w:r>
      <w:bookmarkEnd w:id="1448"/>
    </w:p>
    <w:p>
      <w:pPr>
        <w:pStyle w:val="BookText"/>
      </w:pPr>
      <w:r>
        <w:rPr>
          <w:rFonts w:ascii="IRNazanin" w:hAnsi="IRNazanin" w:eastAsia="IRNazanin" w:cs="IRNazanin"/>
          <w:lang w:bidi="fa-IR"/>
          <w:color w:val="111111"/>
          <w:sz w:val="28"/>
          <w:szCs w:val="28"/>
          <w:rtl/>
        </w:rPr>
        <w:t xml:space="preserve">693 ه-</w:t>
      </w:r>
    </w:p>
    <w:p>
      <w:pPr>
        <w:pStyle w:val="BookText"/>
      </w:pPr>
      <w:r>
        <w:rPr>
          <w:rFonts w:ascii="Amiri" w:hAnsi="Amiri" w:eastAsia="Amiri" w:cs="Amiri"/>
          <w:lang w:bidi="ar-SA"/>
          <w:color w:val="111111"/>
          <w:sz w:val="28"/>
          <w:szCs w:val="28"/>
          <w:rtl/>
        </w:rPr>
        <w:t xml:space="preserve">فرحة الغرى بصرحة الغرى = تحفة الغرى، ج 11، ص 76.</w:t>
      </w:r>
    </w:p>
    <w:p>
      <w:pPr>
        <w:pStyle w:val="Heading2"/>
      </w:pPr>
      <w:bookmarkStart w:id="1449" w:name="_Toc551"/>
      <w:r>
        <w:t>ابن طاوس ، علي بن موسى 589-664 ه-</w:t>
      </w:r>
      <w:bookmarkEnd w:id="1449"/>
    </w:p>
    <w:p>
      <w:pPr>
        <w:pStyle w:val="BookText"/>
      </w:pPr>
      <w:r>
        <w:rPr>
          <w:rFonts w:ascii="Amiri" w:hAnsi="Amiri" w:eastAsia="Amiri" w:cs="Amiri"/>
          <w:lang w:bidi="ar-SA"/>
          <w:color w:val="111111"/>
          <w:sz w:val="28"/>
          <w:szCs w:val="28"/>
          <w:rtl/>
        </w:rPr>
        <w:t xml:space="preserve">1 .ادعية شهر رمضان، ج 1، ص 633.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الاستخارة، ج 2، 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الاستمارة، ج 2، ص 153.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اغاثة الداعي و اعانة الساعي، ج 2،</w:t>
      </w:r>
    </w:p>
    <w:p>
      <w:pPr>
        <w:pStyle w:val="BookText"/>
      </w:pPr>
      <w:r>
        <w:rPr>
          <w:rFonts w:ascii="IRNazanin" w:hAnsi="IRNazanin" w:eastAsia="IRNazanin" w:cs="IRNazanin"/>
          <w:lang w:bidi="fa-IR"/>
          <w:color w:val="111111"/>
          <w:sz w:val="28"/>
          <w:szCs w:val="28"/>
          <w:rtl/>
        </w:rPr>
        <w:t xml:space="preserve">ص 576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اقبال الاعمال = الاقبال بصالح</w:t>
      </w:r>
    </w:p>
    <w:p>
      <w:pPr>
        <w:pStyle w:val="BookText"/>
      </w:pPr>
      <w:r>
        <w:rPr>
          <w:rFonts w:ascii="IRNazanin" w:hAnsi="IRNazanin" w:eastAsia="IRNazanin" w:cs="IRNazanin"/>
          <w:lang w:bidi="fa-IR"/>
          <w:color w:val="111111"/>
          <w:sz w:val="28"/>
          <w:szCs w:val="28"/>
          <w:rtl/>
        </w:rPr>
        <w:t xml:space="preserve">الاعمال، ج 2، ص 609.</w:t>
      </w:r>
    </w:p>
    <w:p>
      <w:pPr>
        <w:pStyle w:val="BookText"/>
      </w:pPr>
      <w:r>
        <w:rPr>
          <w:rFonts w:ascii="IRNazanin" w:hAnsi="IRNazanin" w:eastAsia="IRNazanin" w:cs="IRNazanin"/>
          <w:lang w:bidi="fa-IR"/>
          <w:color w:val="111111"/>
          <w:sz w:val="28"/>
          <w:szCs w:val="28"/>
          <w:rtl/>
        </w:rPr>
        <w:t xml:space="preserve">6 .الامان من اخطار الاسفار و الازمان</w:t>
      </w:r>
    </w:p>
    <w:p>
      <w:pPr>
        <w:pStyle w:val="BookText"/>
      </w:pPr>
      <w:r>
        <w:rPr>
          <w:rFonts w:ascii="IRNazanin" w:hAnsi="IRNazanin" w:eastAsia="IRNazanin" w:cs="IRNazanin"/>
          <w:lang w:bidi="fa-IR"/>
          <w:color w:val="111111"/>
          <w:sz w:val="28"/>
          <w:szCs w:val="28"/>
          <w:rtl/>
        </w:rPr>
        <w:t xml:space="preserve">امان الاخطار، ج 2، ص738.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الانوار الباهرة في انتصار العترة</w:t>
      </w:r>
    </w:p>
    <w:p>
      <w:pPr>
        <w:pStyle w:val="BookText"/>
      </w:pPr>
      <w:r>
        <w:rPr>
          <w:rFonts w:ascii="Amiri" w:hAnsi="Amiri" w:eastAsia="Amiri" w:cs="Amiri"/>
          <w:lang w:bidi="ar-SA"/>
          <w:color w:val="111111"/>
          <w:sz w:val="28"/>
          <w:szCs w:val="28"/>
          <w:rtl/>
        </w:rPr>
        <w:t xml:space="preserve">الطاهرة، ج 2، ص 842.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جمال الاسبوع بكمال العمل</w:t>
      </w:r>
    </w:p>
    <w:p>
      <w:pPr>
        <w:pStyle w:val="BookText"/>
      </w:pPr>
      <w:r>
        <w:rPr>
          <w:rFonts w:ascii="IRNazanin" w:hAnsi="IRNazanin" w:eastAsia="IRNazanin" w:cs="IRNazanin"/>
          <w:lang w:bidi="fa-IR"/>
          <w:color w:val="111111"/>
          <w:sz w:val="28"/>
          <w:szCs w:val="28"/>
          <w:rtl/>
        </w:rPr>
        <w:t xml:space="preserve">المشروع، ج 5، ص 418.</w:t>
      </w:r>
    </w:p>
    <w:p>
      <w:pPr>
        <w:pStyle w:val="BookText"/>
      </w:pPr>
      <w:r>
        <w:rPr>
          <w:rFonts w:ascii="Amiri" w:hAnsi="Amiri" w:eastAsia="Amiri" w:cs="Amiri"/>
          <w:lang w:bidi="ar-SA"/>
          <w:color w:val="111111"/>
          <w:sz w:val="28"/>
          <w:szCs w:val="28"/>
          <w:rtl/>
        </w:rPr>
        <w:t xml:space="preserve">9.الدروع الواقية من الاخطار فيما</w:t>
      </w:r>
    </w:p>
    <w:p>
      <w:pPr>
        <w:pStyle w:val="BookText"/>
      </w:pPr>
      <w:r>
        <w:rPr>
          <w:rFonts w:ascii="Amiri" w:hAnsi="Amiri" w:eastAsia="Amiri" w:cs="Amiri"/>
          <w:lang w:bidi="ar-SA"/>
          <w:color w:val="111111"/>
          <w:sz w:val="28"/>
          <w:szCs w:val="28"/>
          <w:rtl/>
        </w:rPr>
        <w:t xml:space="preserve">يعمل مثله في ايام كل شهر على</w:t>
      </w:r>
    </w:p>
    <w:p>
      <w:pPr>
        <w:pStyle w:val="BookText"/>
      </w:pPr>
      <w:r>
        <w:rPr>
          <w:rFonts w:ascii="Amiri" w:hAnsi="Amiri" w:eastAsia="Amiri" w:cs="Amiri"/>
          <w:lang w:bidi="ar-SA"/>
          <w:color w:val="111111"/>
          <w:sz w:val="28"/>
          <w:szCs w:val="28"/>
          <w:rtl/>
        </w:rPr>
        <w:t xml:space="preserve">التكرار، ج 7، ص 374.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سعد السعود للنفوس المنضود</w:t>
      </w:r>
    </w:p>
    <w:p>
      <w:pPr>
        <w:pStyle w:val="BookText"/>
      </w:pPr>
      <w:r>
        <w:rPr>
          <w:rFonts w:ascii="IRNazanin" w:hAnsi="IRNazanin" w:eastAsia="IRNazanin" w:cs="IRNazanin"/>
          <w:lang w:bidi="fa-IR"/>
          <w:color w:val="111111"/>
          <w:sz w:val="28"/>
          <w:szCs w:val="28"/>
          <w:rtl/>
        </w:rPr>
        <w:t xml:space="preserve">ج8، ص 774.</w:t>
      </w:r>
    </w:p>
    <w:p>
      <w:pPr>
        <w:pStyle w:val="BookText"/>
      </w:pPr>
      <w:r>
        <w:rPr>
          <w:rFonts w:ascii="Amiri" w:hAnsi="Amiri" w:eastAsia="Amiri" w:cs="Amiri"/>
          <w:lang w:bidi="ar-SA"/>
          <w:color w:val="111111"/>
          <w:sz w:val="28"/>
          <w:szCs w:val="28"/>
          <w:rtl/>
        </w:rPr>
        <w:t xml:space="preserve">11 .الطرائف في معرفة مذاهب</w:t>
      </w:r>
    </w:p>
    <w:p>
      <w:pPr>
        <w:pStyle w:val="BookText"/>
      </w:pPr>
      <w:r>
        <w:rPr>
          <w:rFonts w:ascii="IRNazanin" w:hAnsi="IRNazanin" w:eastAsia="IRNazanin" w:cs="IRNazanin"/>
          <w:lang w:bidi="fa-IR"/>
          <w:color w:val="111111"/>
          <w:sz w:val="28"/>
          <w:szCs w:val="28"/>
          <w:rtl/>
        </w:rPr>
        <w:t xml:space="preserve">الطوائف، ج 10، ص 801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الطرف من الانباء و المناقب في</w:t>
      </w:r>
    </w:p>
    <w:p>
      <w:pPr>
        <w:pStyle w:val="BookText"/>
      </w:pPr>
      <w:r>
        <w:rPr>
          <w:rFonts w:ascii="IRNazanin" w:hAnsi="IRNazanin" w:eastAsia="IRNazanin" w:cs="IRNazanin"/>
          <w:lang w:bidi="fa-IR"/>
          <w:color w:val="111111"/>
          <w:sz w:val="28"/>
          <w:szCs w:val="28"/>
          <w:rtl/>
        </w:rPr>
        <w:t xml:space="preserve">شرف سید الانبياء و الاطائب</w:t>
      </w:r>
    </w:p>
    <w:p>
      <w:pPr>
        <w:pStyle w:val="BookText"/>
      </w:pPr>
      <w:r>
        <w:rPr>
          <w:rFonts w:ascii="IRNazanin" w:hAnsi="IRNazanin" w:eastAsia="IRNazanin" w:cs="IRNazanin"/>
          <w:lang w:bidi="fa-IR"/>
          <w:color w:val="111111"/>
          <w:sz w:val="28"/>
          <w:szCs w:val="28"/>
          <w:rtl/>
        </w:rPr>
        <w:t xml:space="preserve">ج 10، ص 813.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فتح الابواب بين ذوي الالباب و</w:t>
      </w:r>
    </w:p>
    <w:p>
      <w:pPr>
        <w:pStyle w:val="BookText"/>
      </w:pPr>
      <w:r>
        <w:rPr>
          <w:rFonts w:ascii="Amiri" w:hAnsi="Amiri" w:eastAsia="Amiri" w:cs="Amiri"/>
          <w:lang w:bidi="ar-SA"/>
          <w:color w:val="111111"/>
          <w:sz w:val="28"/>
          <w:szCs w:val="28"/>
          <w:rtl/>
        </w:rPr>
        <w:t xml:space="preserve">بين رب الارباب، ج 11، ص 631 .</w:t>
      </w:r>
    </w:p>
    <w:p>
      <w:pPr>
        <w:pStyle w:val="BookText"/>
      </w:pPr>
      <w:r>
        <w:rPr>
          <w:rFonts w:ascii="Amiri" w:hAnsi="Amiri" w:eastAsia="Amiri" w:cs="Amiri"/>
          <w:lang w:bidi="ar-SA"/>
          <w:color w:val="111111"/>
          <w:sz w:val="28"/>
          <w:szCs w:val="28"/>
          <w:rtl/>
        </w:rPr>
        <w:t xml:space="preserve">14 . فرج المهموم في معرفة نهج الحلال و الحرام من علم النجوم، ج11،</w:t>
      </w:r>
    </w:p>
    <w:p>
      <w:pPr>
        <w:pStyle w:val="BookText"/>
      </w:pPr>
      <w:r>
        <w:rPr>
          <w:rFonts w:ascii="IRNazanin" w:hAnsi="IRNazanin" w:eastAsia="IRNazanin" w:cs="IRNazanin"/>
          <w:lang w:bidi="fa-IR"/>
          <w:color w:val="111111"/>
          <w:sz w:val="28"/>
          <w:szCs w:val="28"/>
          <w:rtl/>
        </w:rPr>
        <w:t xml:space="preserve">ص 775</w:t>
      </w:r>
    </w:p>
    <w:p>
      <w:pPr>
        <w:pStyle w:val="BookText"/>
      </w:pPr>
      <w:r>
        <w:rPr>
          <w:rFonts w:ascii="IRNazanin" w:hAnsi="IRNazanin" w:eastAsia="IRNazanin" w:cs="IRNazanin"/>
          <w:lang w:bidi="fa-IR"/>
          <w:color w:val="111111"/>
          <w:sz w:val="28"/>
          <w:szCs w:val="28"/>
          <w:rtl/>
        </w:rPr>
        <w:t xml:space="preserve">15 .الفقه، ج 12، ص 39.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فلاح السائل و نجاح المسائل</w:t>
      </w:r>
    </w:p>
    <w:p>
      <w:pPr>
        <w:pStyle w:val="BookText"/>
      </w:pPr>
      <w:r>
        <w:rPr>
          <w:rFonts w:ascii="IRNazanin" w:hAnsi="IRNazanin" w:eastAsia="IRNazanin" w:cs="IRNazanin"/>
          <w:lang w:bidi="fa-IR"/>
          <w:color w:val="111111"/>
          <w:sz w:val="28"/>
          <w:szCs w:val="28"/>
          <w:rtl/>
        </w:rPr>
        <w:t xml:space="preserve">ج 12، ص 121.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فهرست مصنفات ابن طاووس</w:t>
      </w:r>
    </w:p>
    <w:p>
      <w:pPr>
        <w:pStyle w:val="BookText"/>
      </w:pPr>
      <w:r>
        <w:rPr>
          <w:rFonts w:ascii="IRNazanin" w:hAnsi="IRNazanin" w:eastAsia="IRNazanin" w:cs="IRNazanin"/>
          <w:lang w:bidi="fa-IR"/>
          <w:color w:val="111111"/>
          <w:sz w:val="28"/>
          <w:szCs w:val="28"/>
          <w:rtl/>
        </w:rPr>
        <w:t xml:space="preserve">ج 12 ، ص 155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كشف المحجة لثمرة المهجة اسعاد ثمرة الفؤاد على سعادة الدنيا و المعاد، ج13، ص 263.</w:t>
      </w:r>
    </w:p>
    <w:p>
      <w:pPr>
        <w:pStyle w:val="BookText"/>
      </w:pPr>
      <w:r>
        <w:rPr>
          <w:rFonts w:ascii="Amiri" w:hAnsi="Amiri" w:eastAsia="Amiri" w:cs="Amiri"/>
          <w:lang w:bidi="ar-SA"/>
          <w:color w:val="111111"/>
          <w:sz w:val="28"/>
          <w:szCs w:val="28"/>
          <w:rtl/>
        </w:rPr>
        <w:t xml:space="preserve">19 .اللهوف على قتلي الطفوف -</w:t>
      </w:r>
    </w:p>
    <w:p>
      <w:pPr>
        <w:pStyle w:val="BookText"/>
      </w:pPr>
      <w:r>
        <w:rPr>
          <w:rFonts w:ascii="IRNazanin" w:hAnsi="IRNazanin" w:eastAsia="IRNazanin" w:cs="IRNazanin"/>
          <w:lang w:bidi="fa-IR"/>
          <w:color w:val="111111"/>
          <w:sz w:val="28"/>
          <w:szCs w:val="28"/>
          <w:rtl/>
        </w:rPr>
        <w:t xml:space="preserve">لهوف، ج 13 ، ص 630.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المجتني من الدعاء المجتبى، ج 13،</w:t>
      </w:r>
    </w:p>
    <w:p>
      <w:pPr>
        <w:pStyle w:val="BookText"/>
      </w:pPr>
      <w:r>
        <w:rPr>
          <w:rFonts w:ascii="IRNazanin" w:hAnsi="IRNazanin" w:eastAsia="IRNazanin" w:cs="IRNazanin"/>
          <w:lang w:bidi="fa-IR"/>
          <w:color w:val="111111"/>
          <w:sz w:val="28"/>
          <w:szCs w:val="28"/>
          <w:rtl/>
        </w:rPr>
        <w:t xml:space="preserve">ص 808.</w:t>
      </w:r>
    </w:p>
    <w:p>
      <w:pPr>
        <w:pStyle w:val="BookText"/>
      </w:pPr>
      <w:r>
        <w:rPr>
          <w:rFonts w:ascii="Amiri" w:hAnsi="Amiri" w:eastAsia="Amiri" w:cs="Amiri"/>
          <w:lang w:bidi="ar-SA"/>
          <w:color w:val="111111"/>
          <w:sz w:val="28"/>
          <w:szCs w:val="28"/>
          <w:rtl/>
        </w:rPr>
        <w:t xml:space="preserve">21 .محاسبة النفس = محاسبة الملائكة</w:t>
      </w:r>
    </w:p>
    <w:p>
      <w:pPr>
        <w:pStyle w:val="BookText"/>
      </w:pPr>
      <w:r>
        <w:rPr>
          <w:rFonts w:ascii="Amiri" w:hAnsi="Amiri" w:eastAsia="Amiri" w:cs="Amiri"/>
          <w:lang w:bidi="ar-SA"/>
          <w:color w:val="111111"/>
          <w:sz w:val="28"/>
          <w:szCs w:val="28"/>
          <w:rtl/>
        </w:rPr>
        <w:t xml:space="preserve">الكرام ، ج 14، ص 87.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مصباح الزائر و جناح المسافر</w:t>
      </w:r>
    </w:p>
    <w:p>
      <w:pPr>
        <w:pStyle w:val="BookText"/>
      </w:pPr>
      <w:r>
        <w:rPr>
          <w:rFonts w:ascii="IRNazanin" w:hAnsi="IRNazanin" w:eastAsia="IRNazanin" w:cs="IRNazanin"/>
          <w:lang w:bidi="fa-IR"/>
          <w:color w:val="111111"/>
          <w:sz w:val="28"/>
          <w:szCs w:val="28"/>
          <w:rtl/>
        </w:rPr>
        <w:t xml:space="preserve">ج 14، ص 706.</w:t>
      </w:r>
    </w:p>
    <w:p>
      <w:pPr>
        <w:pStyle w:val="BookText"/>
      </w:pPr>
      <w:r>
        <w:rPr>
          <w:rFonts w:ascii="Amiri" w:hAnsi="Amiri" w:eastAsia="Amiri" w:cs="Amiri"/>
          <w:lang w:bidi="ar-SA"/>
          <w:color w:val="111111"/>
          <w:sz w:val="28"/>
          <w:szCs w:val="28"/>
          <w:rtl/>
        </w:rPr>
        <w:t xml:space="preserve">23 .الملاحم و الفتن = التشريق بالمنن في التعريف بالفتن، ج 15 ، ص 431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4" w:name="pg7742_69517"/>
    <w:bookmarkEnd w:id="84"/>
    <w:p>
      <w:pPr>
        <w:pStyle w:val="BookText"/>
      </w:pPr>
      <w:r>
        <w:rPr>
          <w:rFonts w:ascii="Amiri" w:hAnsi="Amiri" w:eastAsia="Amiri" w:cs="Amiri"/>
          <w:lang w:bidi="ar-SA"/>
          <w:color w:val="111111"/>
          <w:sz w:val="28"/>
          <w:szCs w:val="28"/>
          <w:rtl/>
        </w:rPr>
        <w:t xml:space="preserve">24 .مهج الدعوات و منهج العبادات (العنايات)، ج 15 ، ص 839.</w:t>
      </w:r>
    </w:p>
    <w:p>
      <w:pPr>
        <w:pStyle w:val="BookText"/>
      </w:pPr>
      <w:r>
        <w:rPr>
          <w:rFonts w:ascii="Amiri" w:hAnsi="Amiri" w:eastAsia="Amiri" w:cs="Amiri"/>
          <w:lang w:bidi="ar-SA"/>
          <w:color w:val="111111"/>
          <w:sz w:val="28"/>
          <w:szCs w:val="28"/>
          <w:rtl/>
        </w:rPr>
        <w:t xml:space="preserve">25 .المواسعة و المضايقة، ج 15</w:t>
      </w:r>
    </w:p>
    <w:p>
      <w:pPr>
        <w:pStyle w:val="BookText"/>
      </w:pPr>
      <w:r>
        <w:rPr>
          <w:rFonts w:ascii="IRNazanin" w:hAnsi="IRNazanin" w:eastAsia="IRNazanin" w:cs="IRNazanin"/>
          <w:lang w:bidi="fa-IR"/>
          <w:color w:val="111111"/>
          <w:sz w:val="28"/>
          <w:szCs w:val="28"/>
          <w:rtl/>
        </w:rPr>
        <w:t xml:space="preserve">ص 858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وصايا ابن طاووس، ج 16، ص 796.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اليقين باختصاص مولانا علي بامرة المؤمنين = كشف اليقين، ج 16 ،</w:t>
      </w:r>
    </w:p>
    <w:p>
      <w:pPr>
        <w:pStyle w:val="BookText"/>
      </w:pPr>
      <w:r>
        <w:rPr>
          <w:rFonts w:ascii="IRNazanin" w:hAnsi="IRNazanin" w:eastAsia="IRNazanin" w:cs="IRNazanin"/>
          <w:lang w:bidi="fa-IR"/>
          <w:color w:val="111111"/>
          <w:sz w:val="28"/>
          <w:szCs w:val="28"/>
          <w:rtl/>
        </w:rPr>
        <w:t xml:space="preserve">ص 899 .</w:t>
      </w:r>
    </w:p>
    <w:p>
      <w:pPr>
        <w:pStyle w:val="BookText"/>
      </w:pPr>
      <w:r>
        <w:rPr>
          <w:rFonts w:ascii="IRNazanin" w:hAnsi="IRNazanin" w:eastAsia="IRNazanin" w:cs="IRNazanin"/>
          <w:lang w:bidi="fa-IR"/>
          <w:color w:val="111111"/>
          <w:sz w:val="28"/>
          <w:szCs w:val="28"/>
          <w:rtl/>
        </w:rPr>
        <w:t xml:space="preserve">ابن طباطبا ، محمّد بن احمد - 322 ه-</w:t>
      </w:r>
    </w:p>
    <w:p>
      <w:pPr>
        <w:pStyle w:val="BookText"/>
      </w:pPr>
      <w:r>
        <w:rPr>
          <w:rFonts w:ascii="Amiri" w:hAnsi="Amiri" w:eastAsia="Amiri" w:cs="Amiri"/>
          <w:lang w:bidi="ar-SA"/>
          <w:color w:val="111111"/>
          <w:sz w:val="28"/>
          <w:szCs w:val="28"/>
          <w:rtl/>
        </w:rPr>
        <w:t xml:space="preserve">شرح قصيدة، ج 9، ص 831.</w:t>
      </w:r>
    </w:p>
    <w:p>
      <w:pPr>
        <w:pStyle w:val="Heading2"/>
      </w:pPr>
      <w:bookmarkStart w:id="1450" w:name="_Toc552"/>
      <w:r>
        <w:t>ابن طباطبا ، محمّد بن علي ابن</w:t>
      </w:r>
      <w:bookmarkEnd w:id="1450"/>
    </w:p>
    <w:p>
      <w:pPr>
        <w:pStyle w:val="BookText"/>
      </w:pPr>
      <w:r>
        <w:rPr>
          <w:rFonts w:ascii="Amiri" w:hAnsi="Amiri" w:eastAsia="Amiri" w:cs="Amiri"/>
          <w:lang w:bidi="ar-SA"/>
          <w:color w:val="111111"/>
          <w:sz w:val="28"/>
          <w:szCs w:val="28"/>
          <w:rtl/>
        </w:rPr>
        <w:t xml:space="preserve">طقطقي ، محمّد بن علي</w:t>
      </w:r>
    </w:p>
    <w:p>
      <w:pPr>
        <w:pStyle w:val="Heading2"/>
      </w:pPr>
      <w:bookmarkStart w:id="1451" w:name="_Toc553"/>
      <w:r>
        <w:t>ابن طبيب ، علي بن نصر - 377 ه-</w:t>
      </w:r>
      <w:bookmarkEnd w:id="1451"/>
    </w:p>
    <w:p>
      <w:pPr>
        <w:pStyle w:val="BookText"/>
      </w:pPr>
      <w:r>
        <w:rPr>
          <w:rFonts w:ascii="Amiri" w:hAnsi="Amiri" w:eastAsia="Amiri" w:cs="Amiri"/>
          <w:lang w:bidi="ar-SA"/>
          <w:color w:val="111111"/>
          <w:sz w:val="28"/>
          <w:szCs w:val="28"/>
          <w:rtl/>
        </w:rPr>
        <w:t xml:space="preserve">جوامع اللذة، ج 5، ص 533.</w:t>
      </w:r>
    </w:p>
    <w:p>
      <w:pPr>
        <w:pStyle w:val="Heading2"/>
      </w:pPr>
      <w:bookmarkStart w:id="1452" w:name="_Toc554"/>
      <w:r>
        <w:t>ابن طحان ، محمّد بن حسن - 449 ه-</w:t>
      </w:r>
      <w:bookmarkEnd w:id="1452"/>
    </w:p>
    <w:p>
      <w:pPr>
        <w:pStyle w:val="BookText"/>
      </w:pPr>
      <w:r>
        <w:rPr>
          <w:rFonts w:ascii="Amiri" w:hAnsi="Amiri" w:eastAsia="Amiri" w:cs="Amiri"/>
          <w:lang w:bidi="ar-SA"/>
          <w:color w:val="111111"/>
          <w:sz w:val="28"/>
          <w:szCs w:val="28"/>
          <w:rtl/>
        </w:rPr>
        <w:t xml:space="preserve">حاوي الفنون وسلوة المخزون ج6،</w:t>
      </w:r>
    </w:p>
    <w:p>
      <w:pPr>
        <w:pStyle w:val="BookText"/>
      </w:pPr>
      <w:r>
        <w:rPr>
          <w:rFonts w:ascii="IRNazanin" w:hAnsi="IRNazanin" w:eastAsia="IRNazanin" w:cs="IRNazanin"/>
          <w:lang w:bidi="fa-IR"/>
          <w:color w:val="111111"/>
          <w:sz w:val="28"/>
          <w:szCs w:val="28"/>
          <w:rtl/>
        </w:rPr>
        <w:t xml:space="preserve">ص 458.</w:t>
      </w:r>
    </w:p>
    <w:p>
      <w:pPr>
        <w:pStyle w:val="Heading2"/>
      </w:pPr>
      <w:bookmarkStart w:id="1453" w:name="_Toc555"/>
      <w:r>
        <w:t>ابن طحان ، يحيى بن علي - 416 ه-</w:t>
      </w:r>
      <w:bookmarkEnd w:id="1453"/>
    </w:p>
    <w:p>
      <w:pPr>
        <w:pStyle w:val="BookText"/>
      </w:pPr>
      <w:r>
        <w:rPr>
          <w:rFonts w:ascii="Amiri" w:hAnsi="Amiri" w:eastAsia="Amiri" w:cs="Amiri"/>
          <w:lang w:bidi="ar-SA"/>
          <w:color w:val="111111"/>
          <w:sz w:val="28"/>
          <w:szCs w:val="28"/>
          <w:rtl/>
        </w:rPr>
        <w:t xml:space="preserve">تاريخ علماء مصر، ج 3، ص 583.</w:t>
      </w:r>
    </w:p>
    <w:p>
      <w:pPr>
        <w:pStyle w:val="BookText"/>
      </w:pPr>
      <w:r>
        <w:rPr>
          <w:rFonts w:ascii="Amiri" w:hAnsi="Amiri" w:eastAsia="Amiri" w:cs="Amiri"/>
          <w:lang w:bidi="ar-SA"/>
          <w:color w:val="111111"/>
          <w:sz w:val="28"/>
          <w:szCs w:val="28"/>
          <w:rtl/>
        </w:rPr>
        <w:t xml:space="preserve">ابن طرخان ، ابراهيم بن محمّد -سويدي ،</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IRNazanin" w:hAnsi="IRNazanin" w:eastAsia="IRNazanin" w:cs="IRNazanin"/>
          <w:lang w:bidi="fa-IR"/>
          <w:color w:val="111111"/>
          <w:sz w:val="28"/>
          <w:szCs w:val="28"/>
          <w:rtl/>
        </w:rPr>
        <w:t xml:space="preserve">ابن طريح ، فخرالدین بن محمّد - طريحي</w:t>
      </w:r>
    </w:p>
    <w:p>
      <w:pPr>
        <w:pStyle w:val="BookText"/>
      </w:pPr>
      <w:r>
        <w:rPr>
          <w:rFonts w:ascii="IRNazanin" w:hAnsi="IRNazanin" w:eastAsia="IRNazanin" w:cs="IRNazanin"/>
          <w:lang w:bidi="fa-IR"/>
          <w:color w:val="111111"/>
          <w:sz w:val="28"/>
          <w:szCs w:val="28"/>
          <w:rtl/>
        </w:rPr>
        <w:t xml:space="preserve">، فخرالدین بن محمّد</w:t>
      </w:r>
    </w:p>
    <w:p>
      <w:pPr>
        <w:pStyle w:val="Heading2"/>
      </w:pPr>
      <w:bookmarkStart w:id="1454" w:name="_Toc556"/>
      <w:r>
        <w:t>ابن طفيل ، محمّد بن عبدالملك 494؟ - 581ه-</w:t>
      </w:r>
      <w:bookmarkEnd w:id="1454"/>
    </w:p>
    <w:p>
      <w:pPr>
        <w:pStyle w:val="BookText"/>
      </w:pPr>
      <w:r>
        <w:rPr>
          <w:rFonts w:ascii="Amiri" w:hAnsi="Amiri" w:eastAsia="Amiri" w:cs="Amiri"/>
          <w:lang w:bidi="ar-SA"/>
          <w:color w:val="111111"/>
          <w:sz w:val="28"/>
          <w:szCs w:val="28"/>
          <w:rtl/>
        </w:rPr>
        <w:t xml:space="preserve">حي بن يقظان = اسرار الحكمة المشرقية، ج6، ص 866.</w:t>
      </w:r>
    </w:p>
    <w:p>
      <w:pPr>
        <w:pStyle w:val="Heading2"/>
      </w:pPr>
      <w:bookmarkStart w:id="1455" w:name="_Toc557"/>
      <w:r>
        <w:t>ابن طقطقي، محمّد بن علي 660-709ه-</w:t>
      </w:r>
      <w:bookmarkEnd w:id="14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اصطلاحات النسابة، ج 2، ص 368.</w:t>
      </w:r>
    </w:p>
    <w:p>
      <w:pPr>
        <w:pStyle w:val="BookText"/>
      </w:pPr>
      <w:r>
        <w:rPr>
          <w:rFonts w:ascii="Amiri" w:hAnsi="Amiri" w:eastAsia="Amiri" w:cs="Amiri"/>
          <w:lang w:bidi="ar-SA"/>
          <w:color w:val="111111"/>
          <w:sz w:val="28"/>
          <w:szCs w:val="28"/>
          <w:rtl/>
        </w:rPr>
        <w:t xml:space="preserve">2 .الاصيلي في علم الانساب، ج 2،</w:t>
      </w:r>
    </w:p>
    <w:p>
      <w:pPr>
        <w:pStyle w:val="BookText"/>
      </w:pPr>
      <w:r>
        <w:rPr>
          <w:rFonts w:ascii="IRNazanin" w:hAnsi="IRNazanin" w:eastAsia="IRNazanin" w:cs="IRNazanin"/>
          <w:lang w:bidi="fa-IR"/>
          <w:color w:val="111111"/>
          <w:sz w:val="28"/>
          <w:szCs w:val="28"/>
          <w:rtl/>
        </w:rPr>
        <w:t xml:space="preserve">ص 469.</w:t>
      </w:r>
    </w:p>
    <w:p>
      <w:pPr>
        <w:pStyle w:val="Heading2"/>
      </w:pPr>
      <w:bookmarkStart w:id="1456" w:name="_Toc558"/>
      <w:r>
        <w:t>ابن طلاع، محمّد بن احمد، 9404-497ه-</w:t>
      </w:r>
      <w:bookmarkEnd w:id="1456"/>
    </w:p>
    <w:p>
      <w:pPr>
        <w:pStyle w:val="BookText"/>
      </w:pPr>
      <w:r>
        <w:rPr>
          <w:rFonts w:ascii="Amiri" w:hAnsi="Amiri" w:eastAsia="Amiri" w:cs="Amiri"/>
          <w:lang w:bidi="ar-SA"/>
          <w:color w:val="111111"/>
          <w:sz w:val="28"/>
          <w:szCs w:val="28"/>
          <w:rtl/>
        </w:rPr>
        <w:t xml:space="preserve">1 اقضية الرسول (ص) = احكام النبي نوازل احكام النبي، ج 2، ص 627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المقنع على مذهب الامام مالك</w:t>
      </w:r>
    </w:p>
    <w:p>
      <w:pPr>
        <w:pStyle w:val="BookText"/>
      </w:pPr>
      <w:r>
        <w:rPr>
          <w:rFonts w:ascii="IRNazanin" w:hAnsi="IRNazanin" w:eastAsia="IRNazanin" w:cs="IRNazanin"/>
          <w:lang w:bidi="fa-IR"/>
          <w:color w:val="111111"/>
          <w:sz w:val="28"/>
          <w:szCs w:val="28"/>
          <w:rtl/>
        </w:rPr>
        <w:t xml:space="preserve">ج 15 ، ص 394.</w:t>
      </w:r>
    </w:p>
    <w:p>
      <w:pPr>
        <w:pStyle w:val="BookText"/>
      </w:pPr>
      <w:r>
        <w:rPr>
          <w:rFonts w:ascii="Amiri" w:hAnsi="Amiri" w:eastAsia="Amiri" w:cs="Amiri"/>
          <w:lang w:bidi="ar-SA"/>
          <w:color w:val="111111"/>
          <w:sz w:val="28"/>
          <w:szCs w:val="28"/>
          <w:rtl/>
        </w:rPr>
        <w:t xml:space="preserve">ابن طلحه ، ابو سالم محمّد -نصيبي</w:t>
      </w:r>
    </w:p>
    <w:p>
      <w:pPr>
        <w:pStyle w:val="BookText"/>
      </w:pPr>
      <w:r>
        <w:rPr>
          <w:rFonts w:ascii="IRNazanin" w:hAnsi="IRNazanin" w:eastAsia="IRNazanin" w:cs="IRNazanin"/>
          <w:lang w:bidi="fa-IR"/>
          <w:color w:val="111111"/>
          <w:sz w:val="28"/>
          <w:szCs w:val="28"/>
          <w:rtl/>
        </w:rPr>
        <w:t xml:space="preserve">محمّد بن طلحه</w:t>
      </w:r>
    </w:p>
    <w:p>
      <w:pPr>
        <w:pStyle w:val="BookText"/>
      </w:pPr>
      <w:r>
        <w:rPr>
          <w:rFonts w:ascii="Amiri" w:hAnsi="Amiri" w:eastAsia="Amiri" w:cs="Amiri"/>
          <w:lang w:bidi="ar-SA"/>
          <w:color w:val="111111"/>
          <w:sz w:val="28"/>
          <w:szCs w:val="28"/>
          <w:rtl/>
        </w:rPr>
        <w:t xml:space="preserve">ابن طوق بحراني ، احمد بن صالح- بحراني</w:t>
      </w:r>
    </w:p>
    <w:p>
      <w:pPr>
        <w:pStyle w:val="BookText"/>
      </w:pPr>
      <w:r>
        <w:rPr>
          <w:rFonts w:ascii="IRNazanin" w:hAnsi="IRNazanin" w:eastAsia="IRNazanin" w:cs="IRNazanin"/>
          <w:lang w:bidi="fa-IR"/>
          <w:color w:val="111111"/>
          <w:sz w:val="28"/>
          <w:szCs w:val="28"/>
          <w:rtl/>
        </w:rPr>
        <w:t xml:space="preserve">، احمد بن صالح</w:t>
      </w:r>
    </w:p>
    <w:p>
      <w:pPr>
        <w:pStyle w:val="BookText"/>
      </w:pPr>
      <w:r>
        <w:rPr>
          <w:rFonts w:ascii="Amiri" w:hAnsi="Amiri" w:eastAsia="Amiri" w:cs="Amiri"/>
          <w:lang w:bidi="ar-SA"/>
          <w:color w:val="111111"/>
          <w:sz w:val="28"/>
          <w:szCs w:val="28"/>
          <w:rtl/>
        </w:rPr>
        <w:t xml:space="preserve">ابن طه كاظمي، محمّد علي- كاظمي</w:t>
      </w:r>
    </w:p>
    <w:p>
      <w:pPr>
        <w:pStyle w:val="BookText"/>
      </w:pPr>
      <w:r>
        <w:rPr>
          <w:rFonts w:ascii="Amiri" w:hAnsi="Amiri" w:eastAsia="Amiri" w:cs="Amiri"/>
          <w:lang w:bidi="ar-SA"/>
          <w:color w:val="111111"/>
          <w:sz w:val="28"/>
          <w:szCs w:val="28"/>
          <w:rtl/>
        </w:rPr>
        <w:t xml:space="preserve">محمّد علي بن طه</w:t>
      </w:r>
    </w:p>
    <w:p>
      <w:pPr>
        <w:pStyle w:val="Heading2"/>
      </w:pPr>
      <w:bookmarkStart w:id="1457" w:name="_Toc559"/>
      <w:r>
        <w:t>ابن طه ، محمّد بن ابراهيم</w:t>
      </w:r>
      <w:bookmarkEnd w:id="1457"/>
    </w:p>
    <w:p>
      <w:pPr>
        <w:pStyle w:val="BookText"/>
      </w:pPr>
      <w:r>
        <w:rPr>
          <w:rFonts w:ascii="Amiri" w:hAnsi="Amiri" w:eastAsia="Amiri" w:cs="Amiri"/>
          <w:lang w:bidi="ar-SA"/>
          <w:color w:val="111111"/>
          <w:sz w:val="28"/>
          <w:szCs w:val="28"/>
          <w:rtl/>
        </w:rPr>
        <w:t xml:space="preserve">العقائد (كتاب في)، ج11، ص133.</w:t>
      </w:r>
    </w:p>
    <w:p>
      <w:pPr>
        <w:pStyle w:val="Heading2"/>
      </w:pPr>
      <w:bookmarkStart w:id="1458" w:name="_Toc560"/>
      <w:r>
        <w:t>ابن طورسون ، عبدالله - 1010 ه-</w:t>
      </w:r>
      <w:bookmarkEnd w:id="1458"/>
    </w:p>
    <w:p>
      <w:pPr>
        <w:pStyle w:val="BookText"/>
      </w:pPr>
      <w:r>
        <w:rPr>
          <w:rFonts w:ascii="Amiri" w:hAnsi="Amiri" w:eastAsia="Amiri" w:cs="Amiri"/>
          <w:lang w:bidi="ar-SA"/>
          <w:color w:val="111111"/>
          <w:sz w:val="28"/>
          <w:szCs w:val="28"/>
          <w:rtl/>
        </w:rPr>
        <w:t xml:space="preserve">حل المشكلات، ج 6، ص 794 .</w:t>
      </w:r>
    </w:p>
    <w:p>
      <w:pPr>
        <w:pStyle w:val="Heading2"/>
      </w:pPr>
      <w:bookmarkStart w:id="1459" w:name="_Toc561"/>
      <w:r>
        <w:t>ابن طورغود، حمزة بن طورغود 979- ه-</w:t>
      </w:r>
      <w:bookmarkEnd w:id="1459"/>
    </w:p>
    <w:p>
      <w:pPr>
        <w:pStyle w:val="BookText"/>
      </w:pPr>
      <w:r>
        <w:rPr>
          <w:rFonts w:ascii="Amiri" w:hAnsi="Amiri" w:eastAsia="Amiri" w:cs="Amiri"/>
          <w:lang w:bidi="ar-SA"/>
          <w:color w:val="111111"/>
          <w:sz w:val="28"/>
          <w:szCs w:val="28"/>
          <w:rtl/>
        </w:rPr>
        <w:t xml:space="preserve">المسالك، ج 14، ص 503.</w:t>
      </w:r>
    </w:p>
    <w:p>
      <w:pPr>
        <w:pStyle w:val="Heading2"/>
      </w:pPr>
      <w:bookmarkStart w:id="1460" w:name="_Toc562"/>
      <w:r>
        <w:t>ابن طولون ، محمّد</w:t>
      </w:r>
      <w:bookmarkEnd w:id="1460"/>
    </w:p>
    <w:p>
      <w:pPr>
        <w:pStyle w:val="BookText"/>
      </w:pPr>
      <w:r>
        <w:rPr>
          <w:rFonts w:ascii="Amiri" w:hAnsi="Amiri" w:eastAsia="Amiri" w:cs="Amiri"/>
          <w:lang w:bidi="ar-SA"/>
          <w:color w:val="111111"/>
          <w:sz w:val="28"/>
          <w:szCs w:val="28"/>
          <w:rtl/>
        </w:rPr>
        <w:t xml:space="preserve">شرح مغني اللبيب، ج 10، ص 163.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5" w:name="pg7742_69519"/>
    <w:bookmarkEnd w:id="85"/>
    <w:p>
      <w:pPr>
        <w:pStyle w:val="Heading2"/>
      </w:pPr>
      <w:bookmarkStart w:id="1461" w:name="_Toc563"/>
      <w:r>
        <w:t>ابن طولون ، محمّد بن علي 2888-953ه-</w:t>
      </w:r>
      <w:bookmarkEnd w:id="1461"/>
    </w:p>
    <w:p>
      <w:pPr>
        <w:pStyle w:val="BookText"/>
      </w:pPr>
      <w:r>
        <w:rPr>
          <w:rFonts w:ascii="IRNazanin" w:hAnsi="IRNazanin" w:eastAsia="IRNazanin" w:cs="IRNazanin"/>
          <w:lang w:bidi="fa-IR"/>
          <w:color w:val="111111"/>
          <w:sz w:val="28"/>
          <w:szCs w:val="28"/>
          <w:rtl/>
        </w:rPr>
        <w:t xml:space="preserve">1 .تبليغ البشرى باحادیث داریا، ج3،</w:t>
      </w:r>
    </w:p>
    <w:p>
      <w:pPr>
        <w:pStyle w:val="BookText"/>
      </w:pPr>
      <w:r>
        <w:rPr>
          <w:rFonts w:ascii="IRNazanin" w:hAnsi="IRNazanin" w:eastAsia="IRNazanin" w:cs="IRNazanin"/>
          <w:lang w:bidi="fa-IR"/>
          <w:color w:val="111111"/>
          <w:sz w:val="28"/>
          <w:szCs w:val="28"/>
          <w:rtl/>
        </w:rPr>
        <w:t xml:space="preserve">ص 648 .</w:t>
      </w:r>
    </w:p>
    <w:p>
      <w:pPr>
        <w:pStyle w:val="BookText"/>
      </w:pPr>
      <w:r>
        <w:rPr>
          <w:rFonts w:ascii="Amiri" w:hAnsi="Amiri" w:eastAsia="Amiri" w:cs="Amiri"/>
          <w:lang w:bidi="ar-SA"/>
          <w:color w:val="111111"/>
          <w:sz w:val="28"/>
          <w:szCs w:val="28"/>
          <w:rtl/>
        </w:rPr>
        <w:t xml:space="preserve">2 .تحفة الكرام في ترجمة الشيخ بن</w:t>
      </w:r>
    </w:p>
    <w:p>
      <w:pPr>
        <w:pStyle w:val="BookText"/>
      </w:pPr>
      <w:r>
        <w:rPr>
          <w:rFonts w:ascii="IRNazanin" w:hAnsi="IRNazanin" w:eastAsia="IRNazanin" w:cs="IRNazanin"/>
          <w:lang w:bidi="fa-IR"/>
          <w:color w:val="111111"/>
          <w:sz w:val="28"/>
          <w:szCs w:val="28"/>
          <w:rtl/>
        </w:rPr>
        <w:t xml:space="preserve">قوام، ج 4، ص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تراجم الائمة الاثنى عشر، ج 4،</w:t>
      </w:r>
    </w:p>
    <w:p>
      <w:pPr>
        <w:pStyle w:val="BookText"/>
      </w:pPr>
      <w:r>
        <w:rPr>
          <w:rFonts w:ascii="IRNazanin" w:hAnsi="IRNazanin" w:eastAsia="IRNazanin" w:cs="IRNazanin"/>
          <w:lang w:bidi="fa-IR"/>
          <w:color w:val="111111"/>
          <w:sz w:val="28"/>
          <w:szCs w:val="28"/>
          <w:rtl/>
        </w:rPr>
        <w:t xml:space="preserve">ص 224.</w:t>
      </w:r>
    </w:p>
    <w:p>
      <w:pPr>
        <w:pStyle w:val="Heading2"/>
      </w:pPr>
      <w:bookmarkStart w:id="1462" w:name="_Toc564"/>
      <w:r>
        <w:t>ابن طولوني، حسن بن حسين، 832-909ه-</w:t>
      </w:r>
      <w:bookmarkEnd w:id="1462"/>
    </w:p>
    <w:p>
      <w:pPr>
        <w:pStyle w:val="BookText"/>
      </w:pPr>
      <w:r>
        <w:rPr>
          <w:rFonts w:ascii="Amiri" w:hAnsi="Amiri" w:eastAsia="Amiri" w:cs="Amiri"/>
          <w:lang w:bidi="ar-SA"/>
          <w:color w:val="111111"/>
          <w:sz w:val="28"/>
          <w:szCs w:val="28"/>
          <w:rtl/>
        </w:rPr>
        <w:t xml:space="preserve">نزهة الابصار في مناقب الائمة الاربعة</w:t>
      </w:r>
    </w:p>
    <w:p>
      <w:pPr>
        <w:pStyle w:val="BookText"/>
      </w:pPr>
      <w:r>
        <w:rPr>
          <w:rFonts w:ascii="Amiri" w:hAnsi="Amiri" w:eastAsia="Amiri" w:cs="Amiri"/>
          <w:lang w:bidi="ar-SA"/>
          <w:color w:val="111111"/>
          <w:sz w:val="28"/>
          <w:szCs w:val="28"/>
          <w:rtl/>
        </w:rPr>
        <w:t xml:space="preserve">الاخيار، ج 16، ص 214.</w:t>
      </w:r>
    </w:p>
    <w:p>
      <w:pPr>
        <w:pStyle w:val="Heading2"/>
      </w:pPr>
      <w:bookmarkStart w:id="1463" w:name="_Toc565"/>
      <w:r>
        <w:t>ابن طي ، علي بن علي - 855؟ ه-</w:t>
      </w:r>
      <w:bookmarkEnd w:id="1463"/>
    </w:p>
    <w:p>
      <w:pPr>
        <w:pStyle w:val="BookText"/>
      </w:pPr>
      <w:r>
        <w:rPr>
          <w:rFonts w:ascii="IRNazanin" w:hAnsi="IRNazanin" w:eastAsia="IRNazanin" w:cs="IRNazanin"/>
          <w:lang w:bidi="fa-IR"/>
          <w:color w:val="111111"/>
          <w:sz w:val="28"/>
          <w:szCs w:val="28"/>
          <w:rtl/>
        </w:rPr>
        <w:t xml:space="preserve">المسائل، ج 14، ص 430 .</w:t>
      </w:r>
    </w:p>
    <w:p>
      <w:pPr>
        <w:pStyle w:val="Heading2"/>
      </w:pPr>
      <w:bookmarkStart w:id="1464" w:name="_Toc566"/>
      <w:r>
        <w:t>ابن طي ، محمّد بن حسن قرن 10 ه-</w:t>
      </w:r>
      <w:bookmarkEnd w:id="1464"/>
    </w:p>
    <w:p>
      <w:pPr>
        <w:pStyle w:val="BookText"/>
      </w:pPr>
      <w:r>
        <w:rPr>
          <w:rFonts w:ascii="Amiri" w:hAnsi="Amiri" w:eastAsia="Amiri" w:cs="Amiri"/>
          <w:lang w:bidi="ar-SA"/>
          <w:color w:val="111111"/>
          <w:sz w:val="28"/>
          <w:szCs w:val="28"/>
          <w:rtl/>
        </w:rPr>
        <w:t xml:space="preserve">الشوارق اللامعة و السبحات</w:t>
      </w:r>
    </w:p>
    <w:p>
      <w:pPr>
        <w:pStyle w:val="BookText"/>
      </w:pPr>
      <w:r>
        <w:rPr>
          <w:rFonts w:ascii="Amiri" w:hAnsi="Amiri" w:eastAsia="Amiri" w:cs="Amiri"/>
          <w:lang w:bidi="ar-SA"/>
          <w:color w:val="111111"/>
          <w:sz w:val="28"/>
          <w:szCs w:val="28"/>
          <w:rtl/>
        </w:rPr>
        <w:t xml:space="preserve">الساطعة، ج 10، ص 444.</w:t>
      </w:r>
    </w:p>
    <w:p>
      <w:pPr>
        <w:pStyle w:val="Heading2"/>
      </w:pPr>
      <w:bookmarkStart w:id="1465" w:name="_Toc567"/>
      <w:r>
        <w:t>ابن الطيب ، ابو الخير</w:t>
      </w:r>
      <w:bookmarkEnd w:id="1465"/>
    </w:p>
    <w:p>
      <w:pPr>
        <w:pStyle w:val="BookText"/>
      </w:pPr>
      <w:r>
        <w:rPr>
          <w:rFonts w:ascii="Amiri" w:hAnsi="Amiri" w:eastAsia="Amiri" w:cs="Amiri"/>
          <w:lang w:bidi="ar-SA"/>
          <w:color w:val="111111"/>
          <w:sz w:val="28"/>
          <w:szCs w:val="28"/>
          <w:rtl/>
        </w:rPr>
        <w:t xml:space="preserve">درياق العقول في علم الاصول، ج 7،</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Amiri" w:hAnsi="Amiri" w:eastAsia="Amiri" w:cs="Amiri"/>
          <w:lang w:bidi="ar-SA"/>
          <w:color w:val="111111"/>
          <w:sz w:val="28"/>
          <w:szCs w:val="28"/>
          <w:rtl/>
        </w:rPr>
        <w:t xml:space="preserve">ابن طيب ، عبد الله بن طيب - عراقي ،</w:t>
      </w:r>
    </w:p>
    <w:p>
      <w:pPr>
        <w:pStyle w:val="BookText"/>
      </w:pPr>
      <w:r>
        <w:rPr>
          <w:rFonts w:ascii="Amiri" w:hAnsi="Amiri" w:eastAsia="Amiri" w:cs="Amiri"/>
          <w:lang w:bidi="ar-SA"/>
          <w:color w:val="111111"/>
          <w:sz w:val="28"/>
          <w:szCs w:val="28"/>
          <w:rtl/>
        </w:rPr>
        <w:t xml:space="preserve">عبدالله بن طيب</w:t>
      </w:r>
    </w:p>
    <w:p>
      <w:pPr>
        <w:pStyle w:val="BookText"/>
      </w:pPr>
      <w:r>
        <w:rPr>
          <w:rFonts w:ascii="Amiri" w:hAnsi="Amiri" w:eastAsia="Amiri" w:cs="Amiri"/>
          <w:lang w:bidi="ar-SA"/>
          <w:color w:val="111111"/>
          <w:sz w:val="28"/>
          <w:szCs w:val="28"/>
          <w:rtl/>
        </w:rPr>
        <w:t xml:space="preserve">ابن طيفور ، احمد بن طيفور -ابن ابي</w:t>
      </w:r>
    </w:p>
    <w:p>
      <w:pPr>
        <w:pStyle w:val="BookText"/>
      </w:pPr>
      <w:r>
        <w:rPr>
          <w:rFonts w:ascii="Amiri" w:hAnsi="Amiri" w:eastAsia="Amiri" w:cs="Amiri"/>
          <w:lang w:bidi="ar-SA"/>
          <w:color w:val="111111"/>
          <w:sz w:val="28"/>
          <w:szCs w:val="28"/>
          <w:rtl/>
        </w:rPr>
        <w:t xml:space="preserve">طاهر ، احمد بن ابي طاهر</w:t>
      </w:r>
    </w:p>
    <w:p>
      <w:pPr>
        <w:pStyle w:val="BookText"/>
      </w:pPr>
      <w:r>
        <w:rPr>
          <w:rFonts w:ascii="Amiri" w:hAnsi="Amiri" w:eastAsia="Amiri" w:cs="Amiri"/>
          <w:lang w:bidi="ar-SA"/>
          <w:color w:val="111111"/>
          <w:sz w:val="28"/>
          <w:szCs w:val="28"/>
          <w:rtl/>
        </w:rPr>
        <w:t xml:space="preserve">ابن طيفور ، محمّد بن طيفور- غزنوي سجاوندي ، محمّد بن طيفور</w:t>
      </w:r>
    </w:p>
    <w:p>
      <w:pPr>
        <w:pStyle w:val="Heading2"/>
      </w:pPr>
      <w:bookmarkStart w:id="1466" w:name="_Toc568"/>
      <w:r>
        <w:t>ابن ظافر ،ابن شمس الدین حسن قرن 8ه-</w:t>
      </w:r>
      <w:bookmarkEnd w:id="1466"/>
    </w:p>
    <w:p>
      <w:pPr>
        <w:pStyle w:val="BookText"/>
      </w:pPr>
      <w:r>
        <w:rPr>
          <w:rFonts w:ascii="Amiri" w:hAnsi="Amiri" w:eastAsia="Amiri" w:cs="Amiri"/>
          <w:lang w:bidi="ar-SA"/>
          <w:color w:val="111111"/>
          <w:sz w:val="28"/>
          <w:szCs w:val="28"/>
          <w:rtl/>
        </w:rPr>
        <w:t xml:space="preserve">الكنوز الوديعة من رموز الذريعة = الذريعة إلى مكارم الشريعة (ترجمه) ج 13، ص 444.</w:t>
      </w:r>
    </w:p>
    <w:p>
      <w:pPr>
        <w:pStyle w:val="Heading2"/>
      </w:pPr>
      <w:bookmarkStart w:id="1467" w:name="_Toc569"/>
      <w:r>
        <w:t>ابن ظفر، محمّد بن عبد الله 497-565ه-</w:t>
      </w:r>
      <w:bookmarkEnd w:id="1467"/>
    </w:p>
    <w:p>
      <w:pPr>
        <w:pStyle w:val="BookText"/>
      </w:pPr>
      <w:r>
        <w:rPr>
          <w:rFonts w:ascii="Amiri" w:hAnsi="Amiri" w:eastAsia="Amiri" w:cs="Amiri"/>
          <w:lang w:bidi="ar-SA"/>
          <w:color w:val="111111"/>
          <w:sz w:val="28"/>
          <w:szCs w:val="28"/>
          <w:rtl/>
        </w:rPr>
        <w:t xml:space="preserve">1 .الأنباء في نجباء الابناء = غرر الدرر</w:t>
      </w:r>
    </w:p>
    <w:p>
      <w:pPr>
        <w:pStyle w:val="BookText"/>
      </w:pPr>
      <w:r>
        <w:rPr>
          <w:rFonts w:ascii="Amiri" w:hAnsi="Amiri" w:eastAsia="Amiri" w:cs="Amiri"/>
          <w:lang w:bidi="ar-SA"/>
          <w:color w:val="111111"/>
          <w:sz w:val="28"/>
          <w:szCs w:val="28"/>
          <w:rtl/>
        </w:rPr>
        <w:t xml:space="preserve">في نجباء الاولاد، ج 2، ص778.</w:t>
      </w:r>
    </w:p>
    <w:p>
      <w:pPr>
        <w:pStyle w:val="BookText"/>
      </w:pPr>
      <w:r>
        <w:rPr>
          <w:rFonts w:ascii="Amiri" w:hAnsi="Amiri" w:eastAsia="Amiri" w:cs="Amiri"/>
          <w:lang w:bidi="ar-SA"/>
          <w:color w:val="111111"/>
          <w:sz w:val="28"/>
          <w:szCs w:val="28"/>
          <w:rtl/>
        </w:rPr>
        <w:t xml:space="preserve">2 .التنجيز في تصحيح التعجيز، ج5،</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Amiri" w:hAnsi="Amiri" w:eastAsia="Amiri" w:cs="Amiri"/>
          <w:lang w:bidi="ar-SA"/>
          <w:color w:val="111111"/>
          <w:sz w:val="28"/>
          <w:szCs w:val="28"/>
          <w:rtl/>
        </w:rPr>
        <w:t xml:space="preserve">3 .سلوان المطاع في عدوان الاتباع، ج8،</w:t>
      </w:r>
    </w:p>
    <w:p>
      <w:pPr>
        <w:pStyle w:val="BookText"/>
      </w:pPr>
      <w:r>
        <w:rPr>
          <w:rFonts w:ascii="IRNazanin" w:hAnsi="IRNazanin" w:eastAsia="IRNazanin" w:cs="IRNazanin"/>
          <w:lang w:bidi="fa-IR"/>
          <w:color w:val="111111"/>
          <w:sz w:val="28"/>
          <w:szCs w:val="28"/>
          <w:rtl/>
        </w:rPr>
        <w:t xml:space="preserve">ص 818</w:t>
      </w:r>
    </w:p>
    <w:p>
      <w:pPr>
        <w:pStyle w:val="Heading2"/>
      </w:pPr>
      <w:bookmarkStart w:id="1468" w:name="_Toc570"/>
      <w:r>
        <w:t>ابن ظهير اربلي ، محمّد بن احمد، 602 -</w:t>
      </w:r>
      <w:bookmarkEnd w:id="1468"/>
    </w:p>
    <w:p>
      <w:pPr>
        <w:pStyle w:val="BookText"/>
      </w:pPr>
      <w:r>
        <w:rPr>
          <w:rFonts w:ascii="IRNazanin" w:hAnsi="IRNazanin" w:eastAsia="IRNazanin" w:cs="IRNazanin"/>
          <w:lang w:bidi="fa-IR"/>
          <w:color w:val="111111"/>
          <w:sz w:val="28"/>
          <w:szCs w:val="28"/>
          <w:rtl/>
        </w:rPr>
        <w:t xml:space="preserve">677 ؟ ه-</w:t>
      </w:r>
    </w:p>
    <w:p>
      <w:pPr>
        <w:pStyle w:val="BookText"/>
      </w:pPr>
      <w:r>
        <w:rPr>
          <w:rFonts w:ascii="Amiri" w:hAnsi="Amiri" w:eastAsia="Amiri" w:cs="Amiri"/>
          <w:lang w:bidi="ar-SA"/>
          <w:color w:val="111111"/>
          <w:sz w:val="28"/>
          <w:szCs w:val="28"/>
          <w:rtl/>
        </w:rPr>
        <w:t xml:space="preserve">مختصر امثال الشريف الرضي، ج 14،</w:t>
      </w:r>
    </w:p>
    <w:p>
      <w:pPr>
        <w:pStyle w:val="BookText"/>
      </w:pPr>
      <w:r>
        <w:rPr>
          <w:rFonts w:ascii="IRNazanin" w:hAnsi="IRNazanin" w:eastAsia="IRNazanin" w:cs="IRNazanin"/>
          <w:lang w:bidi="fa-IR"/>
          <w:color w:val="111111"/>
          <w:sz w:val="28"/>
          <w:szCs w:val="28"/>
          <w:rtl/>
        </w:rPr>
        <w:t xml:space="preserve">ص 175 .</w:t>
      </w:r>
    </w:p>
    <w:p>
      <w:pPr>
        <w:pStyle w:val="BookText"/>
      </w:pPr>
      <w:r>
        <w:rPr>
          <w:rFonts w:ascii="Amiri" w:hAnsi="Amiri" w:eastAsia="Amiri" w:cs="Amiri"/>
          <w:lang w:bidi="ar-SA"/>
          <w:color w:val="111111"/>
          <w:sz w:val="28"/>
          <w:szCs w:val="28"/>
          <w:rtl/>
        </w:rPr>
        <w:t xml:space="preserve">ابن ظهيرة ، علي بن جار الله- مخزومي</w:t>
      </w:r>
    </w:p>
    <w:p>
      <w:pPr>
        <w:pStyle w:val="BookText"/>
      </w:pPr>
      <w:r>
        <w:rPr>
          <w:rFonts w:ascii="Amiri" w:hAnsi="Amiri" w:eastAsia="Amiri" w:cs="Amiri"/>
          <w:lang w:bidi="ar-SA"/>
          <w:color w:val="111111"/>
          <w:sz w:val="28"/>
          <w:szCs w:val="28"/>
          <w:rtl/>
        </w:rPr>
        <w:t xml:space="preserve">علي بن جار الله</w:t>
      </w:r>
    </w:p>
    <w:p>
      <w:pPr>
        <w:pStyle w:val="Heading2"/>
      </w:pPr>
      <w:bookmarkStart w:id="1469" w:name="_Toc571"/>
      <w:r>
        <w:t>ابن ظهيرة محمد بن عبد الله 751-816ه-</w:t>
      </w:r>
      <w:bookmarkEnd w:id="1469"/>
    </w:p>
    <w:p>
      <w:pPr>
        <w:pStyle w:val="BookText"/>
      </w:pPr>
      <w:r>
        <w:rPr>
          <w:rFonts w:ascii="IRNazanin" w:hAnsi="IRNazanin" w:eastAsia="IRNazanin" w:cs="IRNazanin"/>
          <w:lang w:bidi="fa-IR"/>
          <w:color w:val="111111"/>
          <w:sz w:val="28"/>
          <w:szCs w:val="28"/>
          <w:rtl/>
        </w:rPr>
        <w:t xml:space="preserve">الفتاوى، ج 11، ص 594.</w:t>
      </w:r>
    </w:p>
    <w:p>
      <w:pPr>
        <w:pStyle w:val="Heading2"/>
      </w:pPr>
      <w:bookmarkStart w:id="1470" w:name="_Toc572"/>
      <w:r>
        <w:t>ابن ظهير ، محمّد</w:t>
      </w:r>
      <w:bookmarkEnd w:id="1470"/>
    </w:p>
    <w:p>
      <w:pPr>
        <w:pStyle w:val="BookText"/>
      </w:pPr>
      <w:r>
        <w:rPr>
          <w:rFonts w:ascii="Amiri" w:hAnsi="Amiri" w:eastAsia="Amiri" w:cs="Amiri"/>
          <w:lang w:bidi="ar-SA"/>
          <w:color w:val="111111"/>
          <w:sz w:val="28"/>
          <w:szCs w:val="28"/>
          <w:rtl/>
        </w:rPr>
        <w:t xml:space="preserve">الكفاية في نظم الغاية، ج13، ص329.</w:t>
      </w:r>
    </w:p>
    <w:p>
      <w:pPr>
        <w:pStyle w:val="Heading2"/>
      </w:pPr>
      <w:bookmarkStart w:id="1471" w:name="_Toc573"/>
      <w:r>
        <w:t>ابن ظهيره ، محمّد بن محمّد - 986 ه-</w:t>
      </w:r>
      <w:bookmarkEnd w:id="1471"/>
    </w:p>
    <w:p>
      <w:pPr>
        <w:pStyle w:val="BookText"/>
      </w:pPr>
      <w:r>
        <w:rPr>
          <w:rFonts w:ascii="Amiri" w:hAnsi="Amiri" w:eastAsia="Amiri" w:cs="Amiri"/>
          <w:lang w:bidi="ar-SA"/>
          <w:color w:val="111111"/>
          <w:sz w:val="28"/>
          <w:szCs w:val="28"/>
          <w:rtl/>
        </w:rPr>
        <w:t xml:space="preserve">1 .الجامع اللطيف في فضل مكة و بناء البيت الشريف، ج5، ص323</w:t>
      </w:r>
    </w:p>
    <w:p>
      <w:pPr>
        <w:pStyle w:val="BookText"/>
      </w:pPr>
      <w:r>
        <w:rPr>
          <w:rFonts w:ascii="Amiri" w:hAnsi="Amiri" w:eastAsia="Amiri" w:cs="Amiri"/>
          <w:lang w:bidi="ar-SA"/>
          <w:color w:val="111111"/>
          <w:sz w:val="28"/>
          <w:szCs w:val="28"/>
          <w:rtl/>
        </w:rPr>
        <w:t xml:space="preserve">2 .نزهة الناظر وتحفة المحاضر، ج 16،</w:t>
      </w:r>
    </w:p>
    <w:p>
      <w:pPr>
        <w:pStyle w:val="BookText"/>
      </w:pPr>
      <w:r>
        <w:rPr>
          <w:rFonts w:ascii="IRNazanin" w:hAnsi="IRNazanin" w:eastAsia="IRNazanin" w:cs="IRNazanin"/>
          <w:lang w:bidi="fa-IR"/>
          <w:color w:val="111111"/>
          <w:sz w:val="28"/>
          <w:szCs w:val="28"/>
          <w:rtl/>
        </w:rPr>
        <w:t xml:space="preserve">ص 249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6" w:name="pg7742_69521"/>
    <w:bookmarkEnd w:id="86"/>
    <w:p>
      <w:pPr>
        <w:pStyle w:val="Heading2"/>
      </w:pPr>
      <w:bookmarkStart w:id="1472" w:name="_Toc574"/>
      <w:r>
        <w:t>ابن عابدین ، محمّد امين بن عمر، 1198 -</w:t>
      </w:r>
      <w:bookmarkEnd w:id="1472"/>
    </w:p>
    <w:p>
      <w:pPr>
        <w:pStyle w:val="BookText"/>
      </w:pPr>
      <w:r>
        <w:rPr>
          <w:rFonts w:ascii="IRNazanin" w:hAnsi="IRNazanin" w:eastAsia="IRNazanin" w:cs="IRNazanin"/>
          <w:lang w:bidi="fa-IR"/>
          <w:color w:val="111111"/>
          <w:sz w:val="28"/>
          <w:szCs w:val="28"/>
          <w:rtl/>
        </w:rPr>
        <w:t xml:space="preserve">1352 ه-</w:t>
      </w:r>
    </w:p>
    <w:p>
      <w:pPr>
        <w:pStyle w:val="BookText"/>
      </w:pPr>
      <w:r>
        <w:rPr>
          <w:rFonts w:ascii="Amiri" w:hAnsi="Amiri" w:eastAsia="Amiri" w:cs="Amiri"/>
          <w:lang w:bidi="ar-SA"/>
          <w:color w:val="111111"/>
          <w:sz w:val="28"/>
          <w:szCs w:val="28"/>
          <w:rtl/>
        </w:rPr>
        <w:t xml:space="preserve">1 .الإبانة عن اخذ الأجرة على</w:t>
      </w:r>
    </w:p>
    <w:p>
      <w:pPr>
        <w:pStyle w:val="BookText"/>
      </w:pPr>
      <w:r>
        <w:rPr>
          <w:rFonts w:ascii="Amiri" w:hAnsi="Amiri" w:eastAsia="Amiri" w:cs="Amiri"/>
          <w:lang w:bidi="ar-SA"/>
          <w:color w:val="111111"/>
          <w:sz w:val="28"/>
          <w:szCs w:val="28"/>
          <w:rtl/>
        </w:rPr>
        <w:t xml:space="preserve">الحضانة، ج 1، ص 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تحرير العبارة فيمن هو احق</w:t>
      </w:r>
    </w:p>
    <w:p>
      <w:pPr>
        <w:pStyle w:val="BookText"/>
      </w:pPr>
      <w:r>
        <w:rPr>
          <w:rFonts w:ascii="Amiri" w:hAnsi="Amiri" w:eastAsia="Amiri" w:cs="Amiri"/>
          <w:lang w:bidi="ar-SA"/>
          <w:color w:val="111111"/>
          <w:sz w:val="28"/>
          <w:szCs w:val="28"/>
          <w:rtl/>
        </w:rPr>
        <w:t xml:space="preserve">بالاجارة، ج3، ص739.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رد المختار على الدر المختار في شرح</w:t>
      </w:r>
    </w:p>
    <w:p>
      <w:pPr>
        <w:pStyle w:val="BookText"/>
      </w:pPr>
      <w:r>
        <w:rPr>
          <w:rFonts w:ascii="IRNazanin" w:hAnsi="IRNazanin" w:eastAsia="IRNazanin" w:cs="IRNazanin"/>
          <w:lang w:bidi="fa-IR"/>
          <w:color w:val="111111"/>
          <w:sz w:val="28"/>
          <w:szCs w:val="28"/>
          <w:rtl/>
        </w:rPr>
        <w:t xml:space="preserve">تنویر الابصار، ج8، ص111.</w:t>
      </w:r>
    </w:p>
    <w:p>
      <w:pPr>
        <w:pStyle w:val="BookText"/>
      </w:pPr>
      <w:r>
        <w:rPr>
          <w:rFonts w:ascii="Amiri" w:hAnsi="Amiri" w:eastAsia="Amiri" w:cs="Amiri"/>
          <w:lang w:bidi="ar-SA"/>
          <w:color w:val="111111"/>
          <w:sz w:val="28"/>
          <w:szCs w:val="28"/>
          <w:rtl/>
        </w:rPr>
        <w:t xml:space="preserve">4 .العقود الدرية بتنقيح الفتاوى الحامدية، ج 11، ص188.</w:t>
      </w:r>
    </w:p>
    <w:p>
      <w:pPr>
        <w:pStyle w:val="BookText"/>
      </w:pPr>
      <w:r>
        <w:rPr>
          <w:rFonts w:ascii="Amiri" w:hAnsi="Amiri" w:eastAsia="Amiri" w:cs="Amiri"/>
          <w:lang w:bidi="ar-SA"/>
          <w:color w:val="111111"/>
          <w:sz w:val="28"/>
          <w:szCs w:val="28"/>
          <w:rtl/>
        </w:rPr>
        <w:t xml:space="preserve">5 .عقود اللآلي في اسانيد العوالي، ج11،</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Amiri" w:hAnsi="Amiri" w:eastAsia="Amiri" w:cs="Amiri"/>
          <w:lang w:bidi="ar-SA"/>
          <w:color w:val="111111"/>
          <w:sz w:val="28"/>
          <w:szCs w:val="28"/>
          <w:rtl/>
        </w:rPr>
        <w:t xml:space="preserve">6 .الفوائد العجيبة في اعراب الكلمات</w:t>
      </w:r>
    </w:p>
    <w:p>
      <w:pPr>
        <w:pStyle w:val="BookText"/>
      </w:pPr>
      <w:r>
        <w:rPr>
          <w:rFonts w:ascii="Amiri" w:hAnsi="Amiri" w:eastAsia="Amiri" w:cs="Amiri"/>
          <w:lang w:bidi="ar-SA"/>
          <w:color w:val="111111"/>
          <w:sz w:val="28"/>
          <w:szCs w:val="28"/>
          <w:rtl/>
        </w:rPr>
        <w:t xml:space="preserve">الغريبة، ج 12، ص 244.</w:t>
      </w:r>
    </w:p>
    <w:p>
      <w:pPr>
        <w:pStyle w:val="Heading2"/>
      </w:pPr>
      <w:bookmarkStart w:id="1473" w:name="_Toc575"/>
      <w:r>
        <w:t>ابن عادلي ، عبد الرحمن قرن 12 ه-</w:t>
      </w:r>
      <w:bookmarkEnd w:id="1473"/>
    </w:p>
    <w:p>
      <w:pPr>
        <w:pStyle w:val="BookText"/>
      </w:pPr>
      <w:r>
        <w:rPr>
          <w:rFonts w:ascii="Amiri" w:hAnsi="Amiri" w:eastAsia="Amiri" w:cs="Amiri"/>
          <w:lang w:bidi="ar-SA"/>
          <w:color w:val="111111"/>
          <w:sz w:val="28"/>
          <w:szCs w:val="28"/>
          <w:rtl/>
        </w:rPr>
        <w:t xml:space="preserve">ابن طولون ، محمّد بن علي - ابن عباده</w:t>
      </w:r>
    </w:p>
    <w:p>
      <w:pPr>
        <w:pStyle w:val="BookText"/>
      </w:pPr>
      <w:r>
        <w:rPr>
          <w:rFonts w:ascii="Amiri" w:hAnsi="Amiri" w:eastAsia="Amiri" w:cs="Amiri"/>
          <w:lang w:bidi="ar-SA"/>
          <w:color w:val="111111"/>
          <w:sz w:val="28"/>
          <w:szCs w:val="28"/>
          <w:rtl/>
        </w:rPr>
        <w:t xml:space="preserve">ارشاد الطالبين إلى تحقيق ام البراهين 792 ه-</w:t>
      </w:r>
    </w:p>
    <w:p>
      <w:pPr>
        <w:pStyle w:val="BookText"/>
      </w:pPr>
      <w:r>
        <w:rPr>
          <w:rFonts w:ascii="IRNazanin" w:hAnsi="IRNazanin" w:eastAsia="IRNazanin" w:cs="IRNazanin"/>
          <w:lang w:bidi="fa-IR"/>
          <w:color w:val="111111"/>
          <w:sz w:val="28"/>
          <w:szCs w:val="28"/>
          <w:rtl/>
        </w:rPr>
        <w:t xml:space="preserve">ج 2، ص 28.</w:t>
      </w:r>
    </w:p>
    <w:p>
      <w:pPr>
        <w:pStyle w:val="Heading2"/>
      </w:pPr>
      <w:bookmarkStart w:id="1474" w:name="_Toc576"/>
      <w:r>
        <w:t>ابن عاشور بجلي ، علي بن حسين</w:t>
      </w:r>
      <w:bookmarkEnd w:id="1474"/>
    </w:p>
    <w:p>
      <w:pPr>
        <w:pStyle w:val="BookText"/>
      </w:pPr>
      <w:r>
        <w:rPr>
          <w:rFonts w:ascii="IRNazanin" w:hAnsi="IRNazanin" w:eastAsia="IRNazanin" w:cs="IRNazanin"/>
          <w:lang w:bidi="fa-IR"/>
          <w:color w:val="111111"/>
          <w:sz w:val="28"/>
          <w:szCs w:val="28"/>
          <w:rtl/>
        </w:rPr>
        <w:t xml:space="preserve">کشکول، ج13، ص292.</w:t>
      </w:r>
    </w:p>
    <w:p>
      <w:pPr>
        <w:pStyle w:val="Heading2"/>
      </w:pPr>
      <w:bookmarkStart w:id="1475" w:name="_Toc577"/>
      <w:r>
        <w:t>ابن عاصم محمّد بن محمّد، 760-829ه-</w:t>
      </w:r>
      <w:bookmarkEnd w:id="1475"/>
    </w:p>
    <w:p>
      <w:pPr>
        <w:pStyle w:val="BookText"/>
      </w:pPr>
      <w:r>
        <w:rPr>
          <w:rFonts w:ascii="Amiri" w:hAnsi="Amiri" w:eastAsia="Amiri" w:cs="Amiri"/>
          <w:lang w:bidi="ar-SA"/>
          <w:color w:val="111111"/>
          <w:sz w:val="28"/>
          <w:szCs w:val="28"/>
          <w:rtl/>
        </w:rPr>
        <w:t xml:space="preserve">اختلاف علي و عبدالله بن مسعود، عبد الحميد بن بكر</w:t>
      </w:r>
    </w:p>
    <w:p>
      <w:pPr>
        <w:pStyle w:val="BookText"/>
      </w:pPr>
      <w:r>
        <w:rPr>
          <w:rFonts w:ascii="IRNazanin" w:hAnsi="IRNazanin" w:eastAsia="IRNazanin" w:cs="IRNazanin"/>
          <w:lang w:bidi="fa-IR"/>
          <w:color w:val="111111"/>
          <w:sz w:val="28"/>
          <w:szCs w:val="28"/>
          <w:rtl/>
        </w:rPr>
        <w:t xml:space="preserve">ج 1، ص 550.</w:t>
      </w:r>
    </w:p>
    <w:p>
      <w:pPr>
        <w:pStyle w:val="Heading2"/>
      </w:pPr>
      <w:bookmarkStart w:id="1476" w:name="_Toc578"/>
      <w:r>
        <w:t>ابن عالمه ، احمد بن اسعد، 593-652 ه-</w:t>
      </w:r>
      <w:bookmarkEnd w:id="1476"/>
    </w:p>
    <w:p>
      <w:pPr>
        <w:pStyle w:val="BookText"/>
      </w:pPr>
      <w:r>
        <w:rPr>
          <w:rFonts w:ascii="Amiri" w:hAnsi="Amiri" w:eastAsia="Amiri" w:cs="Amiri"/>
          <w:lang w:bidi="ar-SA"/>
          <w:color w:val="111111"/>
          <w:sz w:val="28"/>
          <w:szCs w:val="28"/>
          <w:rtl/>
        </w:rPr>
        <w:t xml:space="preserve">الاشارات المرشدة في الادوية المفردة</w:t>
      </w:r>
    </w:p>
    <w:p>
      <w:pPr>
        <w:pStyle w:val="BookText"/>
      </w:pPr>
      <w:r>
        <w:rPr>
          <w:rFonts w:ascii="IRNazanin" w:hAnsi="IRNazanin" w:eastAsia="IRNazanin" w:cs="IRNazanin"/>
          <w:lang w:bidi="fa-IR"/>
          <w:color w:val="111111"/>
          <w:sz w:val="28"/>
          <w:szCs w:val="28"/>
          <w:rtl/>
        </w:rPr>
        <w:t xml:space="preserve">ج2، ص 254.</w:t>
      </w:r>
    </w:p>
    <w:p>
      <w:pPr>
        <w:pStyle w:val="Heading2"/>
      </w:pPr>
      <w:bookmarkStart w:id="1477" w:name="_Toc579"/>
      <w:r>
        <w:t>ابن عامر احسائي ، احمد بن حسن</w:t>
      </w:r>
      <w:bookmarkEnd w:id="1477"/>
    </w:p>
    <w:p>
      <w:pPr>
        <w:pStyle w:val="BookText"/>
      </w:pPr>
      <w:r>
        <w:rPr>
          <w:rFonts w:ascii="Amiri" w:hAnsi="Amiri" w:eastAsia="Amiri" w:cs="Amiri"/>
          <w:lang w:bidi="ar-SA"/>
          <w:color w:val="111111"/>
          <w:sz w:val="28"/>
          <w:szCs w:val="28"/>
          <w:rtl/>
        </w:rPr>
        <w:t xml:space="preserve">منظومة، ج 15 ، ص 715.</w:t>
      </w:r>
    </w:p>
    <w:p>
      <w:pPr>
        <w:pStyle w:val="Heading2"/>
      </w:pPr>
      <w:bookmarkStart w:id="1478" w:name="_Toc580"/>
      <w:r>
        <w:t>ابن عامر ، سليمان بن عامر</w:t>
      </w:r>
      <w:bookmarkEnd w:id="1478"/>
    </w:p>
    <w:p>
      <w:pPr>
        <w:pStyle w:val="BookText"/>
      </w:pPr>
      <w:r>
        <w:rPr>
          <w:rFonts w:ascii="Amiri" w:hAnsi="Amiri" w:eastAsia="Amiri" w:cs="Amiri"/>
          <w:lang w:bidi="ar-SA"/>
          <w:color w:val="111111"/>
          <w:sz w:val="28"/>
          <w:szCs w:val="28"/>
          <w:rtl/>
        </w:rPr>
        <w:t xml:space="preserve">كشف الاسرار المصونة في اخراج الضمائر المخزونة، ج13، ص193.</w:t>
      </w:r>
    </w:p>
    <w:p>
      <w:pPr>
        <w:pStyle w:val="BookText"/>
      </w:pPr>
      <w:r>
        <w:rPr>
          <w:rFonts w:ascii="Amiri" w:hAnsi="Amiri" w:eastAsia="Amiri" w:cs="Amiri"/>
          <w:lang w:bidi="ar-SA"/>
          <w:color w:val="111111"/>
          <w:sz w:val="28"/>
          <w:szCs w:val="28"/>
          <w:rtl/>
        </w:rPr>
        <w:t xml:space="preserve">ابن عباد ، اسماعيل بن عباد- صاحب بن</w:t>
      </w:r>
    </w:p>
    <w:p>
      <w:pPr>
        <w:pStyle w:val="BookText"/>
      </w:pPr>
      <w:r>
        <w:rPr>
          <w:rFonts w:ascii="IRNazanin" w:hAnsi="IRNazanin" w:eastAsia="IRNazanin" w:cs="IRNazanin"/>
          <w:lang w:bidi="fa-IR"/>
          <w:color w:val="111111"/>
          <w:sz w:val="28"/>
          <w:szCs w:val="28"/>
          <w:rtl/>
        </w:rPr>
        <w:t xml:space="preserve">عباد ، اسماعیل بن عباد</w:t>
      </w:r>
    </w:p>
    <w:p>
      <w:pPr>
        <w:pStyle w:val="BookText"/>
      </w:pPr>
      <w:r>
        <w:rPr>
          <w:rFonts w:ascii="IRNazanin" w:hAnsi="IRNazanin" w:eastAsia="IRNazanin" w:cs="IRNazanin"/>
          <w:lang w:bidi="fa-IR"/>
          <w:color w:val="111111"/>
          <w:sz w:val="28"/>
          <w:szCs w:val="28"/>
          <w:rtl/>
        </w:rPr>
        <w:t xml:space="preserve">ابن عباد ، صاحب -صاحب بن عباد ،</w:t>
      </w:r>
    </w:p>
    <w:p>
      <w:pPr>
        <w:pStyle w:val="BookText"/>
      </w:pPr>
      <w:r>
        <w:rPr>
          <w:rFonts w:ascii="Amiri" w:hAnsi="Amiri" w:eastAsia="Amiri" w:cs="Amiri"/>
          <w:lang w:bidi="ar-SA"/>
          <w:color w:val="111111"/>
          <w:sz w:val="28"/>
          <w:szCs w:val="28"/>
          <w:rtl/>
        </w:rPr>
        <w:t xml:space="preserve">اسماعيل بن عباد</w:t>
      </w:r>
    </w:p>
    <w:p>
      <w:pPr>
        <w:pStyle w:val="Heading2"/>
      </w:pPr>
      <w:bookmarkStart w:id="1479" w:name="_Toc581"/>
      <w:r>
        <w:t>ابن عباد رندي، محمّد بن ابراهیم 733 -</w:t>
      </w:r>
      <w:bookmarkEnd w:id="1479"/>
    </w:p>
    <w:p>
      <w:pPr>
        <w:pStyle w:val="BookText"/>
      </w:pPr>
      <w:r>
        <w:rPr>
          <w:rFonts w:ascii="Amiri" w:hAnsi="Amiri" w:eastAsia="Amiri" w:cs="Amiri"/>
          <w:lang w:bidi="ar-SA"/>
          <w:color w:val="111111"/>
          <w:sz w:val="28"/>
          <w:szCs w:val="28"/>
          <w:rtl/>
        </w:rPr>
        <w:t xml:space="preserve">تحفة الحكام في نكت العقود و</w:t>
      </w:r>
    </w:p>
    <w:p>
      <w:pPr>
        <w:pStyle w:val="BookText"/>
      </w:pPr>
      <w:r>
        <w:rPr>
          <w:rFonts w:ascii="IRNazanin" w:hAnsi="IRNazanin" w:eastAsia="IRNazanin" w:cs="IRNazanin"/>
          <w:lang w:bidi="fa-IR"/>
          <w:color w:val="111111"/>
          <w:sz w:val="28"/>
          <w:szCs w:val="28"/>
          <w:rtl/>
        </w:rPr>
        <w:t xml:space="preserve">الاحکام، ج3، ص823</w:t>
      </w:r>
    </w:p>
    <w:p>
      <w:pPr>
        <w:pStyle w:val="Heading2"/>
      </w:pPr>
      <w:bookmarkStart w:id="1480" w:name="_Toc582"/>
      <w:r>
        <w:t>ابن عاقولي محمّد بن محمّد، 733-797ه-</w:t>
      </w:r>
      <w:bookmarkEnd w:id="1480"/>
    </w:p>
    <w:p>
      <w:pPr>
        <w:pStyle w:val="BookText"/>
      </w:pPr>
      <w:r>
        <w:rPr>
          <w:rFonts w:ascii="Amiri" w:hAnsi="Amiri" w:eastAsia="Amiri" w:cs="Amiri"/>
          <w:lang w:bidi="ar-SA"/>
          <w:color w:val="111111"/>
          <w:sz w:val="28"/>
          <w:szCs w:val="28"/>
          <w:rtl/>
        </w:rPr>
        <w:t xml:space="preserve">1 .التنبيه في شرح الحكم العطائية</w:t>
      </w:r>
    </w:p>
    <w:p>
      <w:pPr>
        <w:pStyle w:val="BookText"/>
      </w:pPr>
      <w:r>
        <w:rPr>
          <w:rFonts w:ascii="IRNazanin" w:hAnsi="IRNazanin" w:eastAsia="IRNazanin" w:cs="IRNazanin"/>
          <w:lang w:bidi="fa-IR"/>
          <w:color w:val="111111"/>
          <w:sz w:val="28"/>
          <w:szCs w:val="28"/>
          <w:rtl/>
        </w:rPr>
        <w:t xml:space="preserve">ج 5، ص 40 .</w:t>
      </w:r>
    </w:p>
    <w:p>
      <w:pPr>
        <w:pStyle w:val="BookText"/>
      </w:pPr>
      <w:r>
        <w:rPr>
          <w:rFonts w:ascii="Amiri" w:hAnsi="Amiri" w:eastAsia="Amiri" w:cs="Amiri"/>
          <w:lang w:bidi="ar-SA"/>
          <w:color w:val="111111"/>
          <w:sz w:val="28"/>
          <w:szCs w:val="28"/>
          <w:rtl/>
        </w:rPr>
        <w:t xml:space="preserve">2 .غيث المواهب العلية في شرح الحكم العطائية، ج 11، ص 560.</w:t>
      </w:r>
    </w:p>
    <w:p>
      <w:pPr>
        <w:pStyle w:val="Heading2"/>
      </w:pPr>
      <w:bookmarkStart w:id="1481" w:name="_Toc583"/>
      <w:r>
        <w:t>ابن عباده ، احمد بن طاهر، 467-532ه-</w:t>
      </w:r>
      <w:bookmarkEnd w:id="1481"/>
    </w:p>
    <w:p>
      <w:pPr>
        <w:pStyle w:val="BookText"/>
      </w:pPr>
      <w:r>
        <w:rPr>
          <w:rFonts w:ascii="Amiri" w:hAnsi="Amiri" w:eastAsia="Amiri" w:cs="Amiri"/>
          <w:lang w:bidi="ar-SA"/>
          <w:color w:val="111111"/>
          <w:sz w:val="28"/>
          <w:szCs w:val="28"/>
          <w:rtl/>
        </w:rPr>
        <w:t xml:space="preserve">الإيماء إلى أطراف احاديث الموطأ، ج 3، ص 153.</w:t>
      </w:r>
    </w:p>
    <w:p>
      <w:pPr>
        <w:pStyle w:val="BookText"/>
      </w:pPr>
      <w:r>
        <w:rPr>
          <w:rFonts w:ascii="IRNazanin" w:hAnsi="IRNazanin" w:eastAsia="IRNazanin" w:cs="IRNazanin"/>
          <w:lang w:bidi="fa-IR"/>
          <w:color w:val="111111"/>
          <w:sz w:val="28"/>
          <w:szCs w:val="28"/>
          <w:rtl/>
        </w:rPr>
        <w:t xml:space="preserve">ابن عباده ، عبدالحمید عباده- عباده</w:t>
      </w:r>
    </w:p>
    <w:p>
      <w:pPr>
        <w:pStyle w:val="Heading2"/>
      </w:pPr>
      <w:bookmarkStart w:id="1482" w:name="_Toc584"/>
      <w:r>
        <w:t>ابن عباده ، محمّد بن يحيى - 1090 ه-</w:t>
      </w:r>
      <w:bookmarkEnd w:id="1482"/>
    </w:p>
    <w:p>
      <w:pPr>
        <w:pStyle w:val="BookText"/>
      </w:pPr>
      <w:r>
        <w:rPr>
          <w:rFonts w:ascii="Amiri" w:hAnsi="Amiri" w:eastAsia="Amiri" w:cs="Amiri"/>
          <w:lang w:bidi="ar-SA"/>
          <w:color w:val="111111"/>
          <w:sz w:val="28"/>
          <w:szCs w:val="28"/>
          <w:rtl/>
        </w:rPr>
        <w:t xml:space="preserve">إعراب الآجرومية = شرح مختصر</w:t>
      </w:r>
    </w:p>
    <w:p>
      <w:pPr>
        <w:pStyle w:val="BookText"/>
      </w:pPr>
      <w:r>
        <w:rPr>
          <w:rFonts w:ascii="Amiri" w:hAnsi="Amiri" w:eastAsia="Amiri" w:cs="Amiri"/>
          <w:lang w:bidi="ar-SA"/>
          <w:color w:val="111111"/>
          <w:sz w:val="28"/>
          <w:szCs w:val="28"/>
          <w:rtl/>
        </w:rPr>
        <w:t xml:space="preserve">لمقدمة الآجرومية، ج 2، ص 529.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7" w:name="pg7742_69523"/>
    <w:bookmarkEnd w:id="87"/>
    <w:p>
      <w:pPr>
        <w:pStyle w:val="BookText"/>
      </w:pPr>
      <w:r>
        <w:rPr>
          <w:rFonts w:ascii="Amiri" w:hAnsi="Amiri" w:eastAsia="Amiri" w:cs="Amiri"/>
          <w:lang w:bidi="ar-SA"/>
          <w:color w:val="111111"/>
          <w:sz w:val="28"/>
          <w:szCs w:val="28"/>
          <w:rtl/>
        </w:rPr>
        <w:t xml:space="preserve">ابن عباس جوهري ، احمد بن محمّد -جوهري ، احمد بن محمّد</w:t>
      </w:r>
    </w:p>
    <w:p>
      <w:pPr>
        <w:pStyle w:val="Heading2"/>
      </w:pPr>
      <w:bookmarkStart w:id="1483" w:name="_Toc585"/>
      <w:r>
        <w:t>ابن عباس ، عبدالله بن عباس 3 - 68 ه-</w:t>
      </w:r>
      <w:bookmarkEnd w:id="1483"/>
    </w:p>
    <w:p>
      <w:pPr>
        <w:pStyle w:val="BookText"/>
      </w:pPr>
      <w:r>
        <w:rPr>
          <w:rFonts w:ascii="Amiri" w:hAnsi="Amiri" w:eastAsia="Amiri" w:cs="Amiri"/>
          <w:lang w:bidi="ar-SA"/>
          <w:color w:val="111111"/>
          <w:sz w:val="28"/>
          <w:szCs w:val="28"/>
          <w:rtl/>
        </w:rPr>
        <w:t xml:space="preserve">1 .تفسير ابن عباس = تنوير المقباس من تفسير ابن عباس ج4، ص 595.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القصيدة المربعة في مدح النبي (ع)</w:t>
      </w:r>
    </w:p>
    <w:p>
      <w:pPr>
        <w:pStyle w:val="BookText"/>
      </w:pPr>
      <w:r>
        <w:rPr>
          <w:rFonts w:ascii="Amiri" w:hAnsi="Amiri" w:eastAsia="Amiri" w:cs="Amiri"/>
          <w:lang w:bidi="ar-SA"/>
          <w:color w:val="111111"/>
          <w:sz w:val="28"/>
          <w:szCs w:val="28"/>
          <w:rtl/>
        </w:rPr>
        <w:t xml:space="preserve">القصيدة الميمية في مدح النبي</w:t>
      </w:r>
    </w:p>
    <w:p>
      <w:pPr>
        <w:pStyle w:val="BookText"/>
      </w:pPr>
      <w:r>
        <w:rPr>
          <w:rFonts w:ascii="IRNazanin" w:hAnsi="IRNazanin" w:eastAsia="IRNazanin" w:cs="IRNazanin"/>
          <w:lang w:bidi="fa-IR"/>
          <w:color w:val="111111"/>
          <w:sz w:val="28"/>
          <w:szCs w:val="28"/>
          <w:rtl/>
        </w:rPr>
        <w:t xml:space="preserve">(ع)، ج 12، ص 710.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مدح النبي (ص) (قصيدة في)، ج 14،</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IRNazanin" w:hAnsi="IRNazanin" w:eastAsia="IRNazanin" w:cs="IRNazanin"/>
          <w:lang w:bidi="fa-IR"/>
          <w:color w:val="111111"/>
          <w:sz w:val="28"/>
          <w:szCs w:val="28"/>
          <w:rtl/>
        </w:rPr>
        <w:t xml:space="preserve">ابن عباس نحاس ، احمد بن</w:t>
      </w:r>
    </w:p>
    <w:p>
      <w:pPr>
        <w:pStyle w:val="BookText"/>
      </w:pPr>
      <w:r>
        <w:rPr>
          <w:rFonts w:ascii="Amiri" w:hAnsi="Amiri" w:eastAsia="Amiri" w:cs="Amiri"/>
          <w:lang w:bidi="ar-SA"/>
          <w:color w:val="111111"/>
          <w:sz w:val="28"/>
          <w:szCs w:val="28"/>
          <w:rtl/>
        </w:rPr>
        <w:t xml:space="preserve">ابراهيم -نحاس ، احمد بن ابراهيم</w:t>
      </w:r>
    </w:p>
    <w:p>
      <w:pPr>
        <w:pStyle w:val="BookText"/>
      </w:pPr>
      <w:r>
        <w:rPr>
          <w:rFonts w:ascii="Amiri" w:hAnsi="Amiri" w:eastAsia="Amiri" w:cs="Amiri"/>
          <w:lang w:bidi="ar-SA"/>
          <w:color w:val="111111"/>
          <w:sz w:val="28"/>
          <w:szCs w:val="28"/>
          <w:rtl/>
        </w:rPr>
        <w:t xml:space="preserve">ابن عبد الباقي بخاري مكي- بخاري ،</w:t>
      </w:r>
    </w:p>
    <w:p>
      <w:pPr>
        <w:pStyle w:val="BookText"/>
      </w:pPr>
      <w:r>
        <w:rPr>
          <w:rFonts w:ascii="Amiri" w:hAnsi="Amiri" w:eastAsia="Amiri" w:cs="Amiri"/>
          <w:lang w:bidi="ar-SA"/>
          <w:color w:val="111111"/>
          <w:sz w:val="28"/>
          <w:szCs w:val="28"/>
          <w:rtl/>
        </w:rPr>
        <w:t xml:space="preserve">محمّد بن عبد الباقي</w:t>
      </w:r>
    </w:p>
    <w:p>
      <w:pPr>
        <w:pStyle w:val="Heading2"/>
      </w:pPr>
      <w:bookmarkStart w:id="1484" w:name="_Toc586"/>
      <w:r>
        <w:t>ابن عبدالبر ، علي بن عبدالبر، 1170 -</w:t>
      </w:r>
      <w:bookmarkEnd w:id="1484"/>
    </w:p>
    <w:p>
      <w:pPr>
        <w:pStyle w:val="BookText"/>
      </w:pPr>
      <w:r>
        <w:rPr>
          <w:rFonts w:ascii="IRNazanin" w:hAnsi="IRNazanin" w:eastAsia="IRNazanin" w:cs="IRNazanin"/>
          <w:lang w:bidi="fa-IR"/>
          <w:color w:val="111111"/>
          <w:sz w:val="28"/>
          <w:szCs w:val="28"/>
          <w:rtl/>
        </w:rPr>
        <w:t xml:space="preserve">1211 ه-</w:t>
      </w:r>
    </w:p>
    <w:p>
      <w:pPr>
        <w:pStyle w:val="BookText"/>
      </w:pPr>
      <w:r>
        <w:rPr>
          <w:rFonts w:ascii="Amiri" w:hAnsi="Amiri" w:eastAsia="Amiri" w:cs="Amiri"/>
          <w:lang w:bidi="ar-SA"/>
          <w:color w:val="111111"/>
          <w:sz w:val="28"/>
          <w:szCs w:val="28"/>
          <w:rtl/>
        </w:rPr>
        <w:t xml:space="preserve">1 .رسالة مشتملة على ما يتعلق</w:t>
      </w:r>
    </w:p>
    <w:p>
      <w:pPr>
        <w:pStyle w:val="BookText"/>
      </w:pPr>
      <w:r>
        <w:rPr>
          <w:rFonts w:ascii="IRNazanin" w:hAnsi="IRNazanin" w:eastAsia="IRNazanin" w:cs="IRNazanin"/>
          <w:lang w:bidi="fa-IR"/>
          <w:color w:val="111111"/>
          <w:sz w:val="28"/>
          <w:szCs w:val="28"/>
          <w:rtl/>
        </w:rPr>
        <w:t xml:space="preserve">بالمساجد، ج8، ص272.</w:t>
      </w:r>
    </w:p>
    <w:p>
      <w:pPr>
        <w:pStyle w:val="BookText"/>
      </w:pPr>
      <w:r>
        <w:rPr>
          <w:rFonts w:ascii="IRNazanin" w:hAnsi="IRNazanin" w:eastAsia="IRNazanin" w:cs="IRNazanin"/>
          <w:lang w:bidi="fa-IR"/>
          <w:color w:val="111111"/>
          <w:sz w:val="28"/>
          <w:szCs w:val="28"/>
          <w:rtl/>
        </w:rPr>
        <w:t xml:space="preserve">2 .کشف نقاب منهج الطلاب مختصر في الفقه الشافعي، ج13،</w:t>
      </w:r>
    </w:p>
    <w:p>
      <w:pPr>
        <w:pStyle w:val="BookText"/>
      </w:pPr>
      <w:r>
        <w:rPr>
          <w:rFonts w:ascii="IRNazanin" w:hAnsi="IRNazanin" w:eastAsia="IRNazanin" w:cs="IRNazanin"/>
          <w:lang w:bidi="fa-IR"/>
          <w:color w:val="111111"/>
          <w:sz w:val="28"/>
          <w:szCs w:val="28"/>
          <w:rtl/>
        </w:rPr>
        <w:t xml:space="preserve">ص 273</w:t>
      </w:r>
    </w:p>
    <w:p>
      <w:pPr>
        <w:pStyle w:val="Heading2"/>
      </w:pPr>
      <w:bookmarkStart w:id="1485" w:name="_Toc587"/>
      <w:r>
        <w:t>ابن عبدالبر ، يوسف بن عبدالله 368 -463 ه-</w:t>
      </w:r>
      <w:bookmarkEnd w:id="1485"/>
    </w:p>
    <w:p>
      <w:pPr>
        <w:pStyle w:val="BookText"/>
      </w:pPr>
      <w:r>
        <w:rPr>
          <w:rFonts w:ascii="Amiri" w:hAnsi="Amiri" w:eastAsia="Amiri" w:cs="Amiri"/>
          <w:lang w:bidi="ar-SA"/>
          <w:color w:val="111111"/>
          <w:sz w:val="28"/>
          <w:szCs w:val="28"/>
          <w:rtl/>
        </w:rPr>
        <w:t xml:space="preserve">1 .الأجوبة المستوعبة عن المسائل</w:t>
      </w:r>
    </w:p>
    <w:p>
      <w:pPr>
        <w:pStyle w:val="Heading2"/>
      </w:pPr>
      <w:bookmarkStart w:id="1486" w:name="_Toc588"/>
      <w:r>
        <w:t>ابن عبد الرزاق، عبد الرحمن بن محمّد</w:t>
      </w:r>
      <w:bookmarkEnd w:id="1486"/>
    </w:p>
    <w:p>
      <w:pPr>
        <w:pStyle w:val="BookText"/>
      </w:pPr>
      <w:r>
        <w:rPr>
          <w:rFonts w:ascii="Amiri" w:hAnsi="Amiri" w:eastAsia="Amiri" w:cs="Amiri"/>
          <w:lang w:bidi="ar-SA"/>
          <w:color w:val="111111"/>
          <w:sz w:val="28"/>
          <w:szCs w:val="28"/>
          <w:rtl/>
        </w:rPr>
        <w:t xml:space="preserve">المستغربة في كتاب البخاري، ج1، سعيد قرن 13 ه-</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Amiri" w:hAnsi="Amiri" w:eastAsia="Amiri" w:cs="Amiri"/>
          <w:lang w:bidi="ar-SA"/>
          <w:color w:val="111111"/>
          <w:sz w:val="28"/>
          <w:szCs w:val="28"/>
          <w:rtl/>
        </w:rPr>
        <w:t xml:space="preserve">2 .الإستذكار الجامع لمذاهب ائمة</w:t>
      </w:r>
    </w:p>
    <w:p>
      <w:pPr>
        <w:pStyle w:val="BookText"/>
      </w:pPr>
      <w:r>
        <w:rPr>
          <w:rFonts w:ascii="Amiri" w:hAnsi="Amiri" w:eastAsia="Amiri" w:cs="Amiri"/>
          <w:lang w:bidi="ar-SA"/>
          <w:color w:val="111111"/>
          <w:sz w:val="28"/>
          <w:szCs w:val="28"/>
          <w:rtl/>
        </w:rPr>
        <w:t xml:space="preserve">الامصار وفيما تضمنه الموطا من</w:t>
      </w:r>
    </w:p>
    <w:p>
      <w:pPr>
        <w:pStyle w:val="BookText"/>
      </w:pPr>
      <w:r>
        <w:rPr>
          <w:rFonts w:ascii="Amiri" w:hAnsi="Amiri" w:eastAsia="Amiri" w:cs="Amiri"/>
          <w:lang w:bidi="ar-SA"/>
          <w:color w:val="111111"/>
          <w:sz w:val="28"/>
          <w:szCs w:val="28"/>
          <w:rtl/>
        </w:rPr>
        <w:t xml:space="preserve">المعاني و الآثار، ج 2، ص128.</w:t>
      </w:r>
    </w:p>
    <w:p>
      <w:pPr>
        <w:pStyle w:val="BookText"/>
      </w:pPr>
      <w:r>
        <w:rPr>
          <w:rFonts w:ascii="Amiri" w:hAnsi="Amiri" w:eastAsia="Amiri" w:cs="Amiri"/>
          <w:lang w:bidi="ar-SA"/>
          <w:color w:val="111111"/>
          <w:sz w:val="28"/>
          <w:szCs w:val="28"/>
          <w:rtl/>
        </w:rPr>
        <w:t xml:space="preserve">3 .الاستيعاب في معرفة الاصحاب، ج 2،</w:t>
      </w:r>
    </w:p>
    <w:p>
      <w:pPr>
        <w:pStyle w:val="BookText"/>
      </w:pPr>
      <w:r>
        <w:rPr>
          <w:rFonts w:ascii="IRNazanin" w:hAnsi="IRNazanin" w:eastAsia="IRNazanin" w:cs="IRNazanin"/>
          <w:lang w:bidi="fa-IR"/>
          <w:color w:val="111111"/>
          <w:sz w:val="28"/>
          <w:szCs w:val="28"/>
          <w:rtl/>
        </w:rPr>
        <w:t xml:space="preserve">ص 157 .</w:t>
      </w:r>
    </w:p>
    <w:p>
      <w:pPr>
        <w:pStyle w:val="BookText"/>
      </w:pPr>
      <w:r>
        <w:rPr>
          <w:rFonts w:ascii="Amiri" w:hAnsi="Amiri" w:eastAsia="Amiri" w:cs="Amiri"/>
          <w:lang w:bidi="ar-SA"/>
          <w:color w:val="111111"/>
          <w:sz w:val="28"/>
          <w:szCs w:val="28"/>
          <w:rtl/>
        </w:rPr>
        <w:t xml:space="preserve">4 .التمهيد لما في الموطأ من المعاني و</w:t>
      </w:r>
    </w:p>
    <w:p>
      <w:pPr>
        <w:pStyle w:val="BookText"/>
      </w:pPr>
      <w:r>
        <w:rPr>
          <w:rFonts w:ascii="Amiri" w:hAnsi="Amiri" w:eastAsia="Amiri" w:cs="Amiri"/>
          <w:lang w:bidi="ar-SA"/>
          <w:color w:val="111111"/>
          <w:sz w:val="28"/>
          <w:szCs w:val="28"/>
          <w:rtl/>
        </w:rPr>
        <w:t xml:space="preserve">الاسانيد، ج5، ص8.</w:t>
      </w:r>
    </w:p>
    <w:p>
      <w:pPr>
        <w:pStyle w:val="Heading2"/>
      </w:pPr>
      <w:bookmarkStart w:id="1487" w:name="_Toc589"/>
      <w:r>
        <w:t>ابن عبد التاج خلیل بن ،درویش قرن 11ه-</w:t>
      </w:r>
      <w:bookmarkEnd w:id="1487"/>
    </w:p>
    <w:p>
      <w:pPr>
        <w:pStyle w:val="BookText"/>
      </w:pPr>
      <w:r>
        <w:rPr>
          <w:rFonts w:ascii="Amiri" w:hAnsi="Amiri" w:eastAsia="Amiri" w:cs="Amiri"/>
          <w:lang w:bidi="ar-SA"/>
          <w:color w:val="111111"/>
          <w:sz w:val="28"/>
          <w:szCs w:val="28"/>
          <w:rtl/>
        </w:rPr>
        <w:t xml:space="preserve">الانوار البهية شرح المقدمة الميدانية</w:t>
      </w:r>
    </w:p>
    <w:p>
      <w:pPr>
        <w:pStyle w:val="BookText"/>
      </w:pPr>
      <w:r>
        <w:rPr>
          <w:rFonts w:ascii="IRNazanin" w:hAnsi="IRNazanin" w:eastAsia="IRNazanin" w:cs="IRNazanin"/>
          <w:lang w:bidi="fa-IR"/>
          <w:color w:val="111111"/>
          <w:sz w:val="28"/>
          <w:szCs w:val="28"/>
          <w:rtl/>
        </w:rPr>
        <w:t xml:space="preserve">ج 2، ص 843.</w:t>
      </w:r>
    </w:p>
    <w:p>
      <w:pPr>
        <w:pStyle w:val="Heading2"/>
      </w:pPr>
      <w:bookmarkStart w:id="1488" w:name="_Toc590"/>
      <w:r>
        <w:t>ابن عبد الجبار ، سليمان بن احمد</w:t>
      </w:r>
      <w:bookmarkEnd w:id="1488"/>
    </w:p>
    <w:p>
      <w:pPr>
        <w:pStyle w:val="BookText"/>
      </w:pPr>
      <w:r>
        <w:rPr>
          <w:rFonts w:ascii="Amiri" w:hAnsi="Amiri" w:eastAsia="Amiri" w:cs="Amiri"/>
          <w:lang w:bidi="ar-SA"/>
          <w:color w:val="111111"/>
          <w:sz w:val="28"/>
          <w:szCs w:val="28"/>
          <w:rtl/>
        </w:rPr>
        <w:t xml:space="preserve">تحقيق الجسم و الجوهر الفرد (رسالة</w:t>
      </w:r>
    </w:p>
    <w:p>
      <w:pPr>
        <w:pStyle w:val="BookText"/>
      </w:pPr>
      <w:r>
        <w:rPr>
          <w:rFonts w:ascii="Amiri" w:hAnsi="Amiri" w:eastAsia="Amiri" w:cs="Amiri"/>
          <w:lang w:bidi="ar-SA"/>
          <w:color w:val="111111"/>
          <w:sz w:val="28"/>
          <w:szCs w:val="28"/>
          <w:rtl/>
        </w:rPr>
        <w:t xml:space="preserve">في)، ج 4، ص 54.</w:t>
      </w:r>
    </w:p>
    <w:p>
      <w:pPr>
        <w:pStyle w:val="Heading2"/>
      </w:pPr>
      <w:bookmarkStart w:id="1489" w:name="_Toc591"/>
      <w:r>
        <w:t>ابن عبد الحق محمّد بن محمود قرن 12ه-</w:t>
      </w:r>
      <w:bookmarkEnd w:id="1489"/>
    </w:p>
    <w:p>
      <w:pPr>
        <w:pStyle w:val="BookText"/>
      </w:pPr>
      <w:r>
        <w:rPr>
          <w:rFonts w:ascii="Amiri" w:hAnsi="Amiri" w:eastAsia="Amiri" w:cs="Amiri"/>
          <w:lang w:bidi="ar-SA"/>
          <w:color w:val="111111"/>
          <w:sz w:val="28"/>
          <w:szCs w:val="28"/>
          <w:rtl/>
        </w:rPr>
        <w:t xml:space="preserve">1 .درر الفرائد المستحسنة في شرح منظومة ابن الشحنة، ج 7، ص 304.</w:t>
      </w:r>
    </w:p>
    <w:p>
      <w:pPr>
        <w:pStyle w:val="BookText"/>
      </w:pPr>
      <w:r>
        <w:rPr>
          <w:rFonts w:ascii="Amiri" w:hAnsi="Amiri" w:eastAsia="Amiri" w:cs="Amiri"/>
          <w:lang w:bidi="ar-SA"/>
          <w:color w:val="111111"/>
          <w:sz w:val="28"/>
          <w:szCs w:val="28"/>
          <w:rtl/>
        </w:rPr>
        <w:t xml:space="preserve">2 .مسائل في البسملة، ج 14، ص 470.</w:t>
      </w:r>
    </w:p>
    <w:p>
      <w:pPr>
        <w:pStyle w:val="Heading2"/>
      </w:pPr>
      <w:bookmarkStart w:id="1490" w:name="_Toc592"/>
      <w:r>
        <w:t>ابن عبد الحكم ، عبدالرحمن بن عبدالله</w:t>
      </w:r>
      <w:bookmarkEnd w:id="1490"/>
    </w:p>
    <w:p>
      <w:pPr>
        <w:pStyle w:val="BookText"/>
      </w:pPr>
      <w:r>
        <w:rPr>
          <w:rFonts w:ascii="IRNazanin" w:hAnsi="IRNazanin" w:eastAsia="IRNazanin" w:cs="IRNazanin"/>
          <w:lang w:bidi="fa-IR"/>
          <w:color w:val="111111"/>
          <w:sz w:val="28"/>
          <w:szCs w:val="28"/>
          <w:rtl/>
        </w:rPr>
        <w:t xml:space="preserve">182 - 257 ه-</w:t>
      </w:r>
    </w:p>
    <w:p>
      <w:pPr>
        <w:pStyle w:val="BookText"/>
      </w:pPr>
      <w:r>
        <w:rPr>
          <w:rFonts w:ascii="IRNazanin" w:hAnsi="IRNazanin" w:eastAsia="IRNazanin" w:cs="IRNazanin"/>
          <w:lang w:bidi="fa-IR"/>
          <w:color w:val="111111"/>
          <w:sz w:val="28"/>
          <w:szCs w:val="28"/>
          <w:rtl/>
        </w:rPr>
        <w:t xml:space="preserve">فتوح مصر و اخبارها، ج 11، ص 715.</w:t>
      </w:r>
    </w:p>
    <w:p>
      <w:pPr>
        <w:pStyle w:val="BookText"/>
      </w:pPr>
      <w:r>
        <w:rPr>
          <w:rFonts w:ascii="Amiri" w:hAnsi="Amiri" w:eastAsia="Amiri" w:cs="Amiri"/>
          <w:lang w:bidi="ar-SA"/>
          <w:color w:val="111111"/>
          <w:sz w:val="28"/>
          <w:szCs w:val="28"/>
          <w:rtl/>
        </w:rPr>
        <w:t xml:space="preserve">ابن عبد الرزاق المقدسي ، ابونصر احمد- مقدسي ، احمد بن عبدالرزاق</w:t>
      </w:r>
    </w:p>
    <w:p>
      <w:pPr>
        <w:pStyle w:val="BookText"/>
      </w:pPr>
      <w:r>
        <w:rPr>
          <w:rFonts w:ascii="Amiri" w:hAnsi="Amiri" w:eastAsia="Amiri" w:cs="Amiri"/>
          <w:lang w:bidi="ar-SA"/>
          <w:color w:val="111111"/>
          <w:sz w:val="28"/>
          <w:szCs w:val="28"/>
          <w:rtl/>
        </w:rPr>
        <w:t xml:space="preserve">أحزاب القرآن (رسالة في)، ج1،</w:t>
      </w:r>
    </w:p>
    <w:p>
      <w:pPr>
        <w:pStyle w:val="BookText"/>
      </w:pPr>
      <w:r>
        <w:rPr>
          <w:rFonts w:ascii="IRNazanin" w:hAnsi="IRNazanin" w:eastAsia="IRNazanin" w:cs="IRNazanin"/>
          <w:lang w:bidi="fa-IR"/>
          <w:color w:val="111111"/>
          <w:sz w:val="28"/>
          <w:szCs w:val="28"/>
          <w:rtl/>
        </w:rPr>
        <w:t xml:space="preserve">ص 444.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8" w:name="pg7742_69525"/>
    <w:bookmarkEnd w:id="88"/>
    <w:p>
      <w:pPr>
        <w:pStyle w:val="BookText"/>
      </w:pPr>
      <w:r>
        <w:rPr>
          <w:rFonts w:ascii="IRNazanin" w:hAnsi="IRNazanin" w:eastAsia="IRNazanin" w:cs="IRNazanin"/>
          <w:lang w:bidi="fa-IR"/>
          <w:color w:val="111111"/>
          <w:sz w:val="28"/>
          <w:szCs w:val="28"/>
          <w:rtl/>
        </w:rPr>
        <w:t xml:space="preserve">ابن عبد الرسول ، عصمة الله بن اعظم -سهارنپوري ، عصمة الله بن اعظم</w:t>
      </w:r>
    </w:p>
    <w:p>
      <w:pPr>
        <w:pStyle w:val="BookText"/>
      </w:pPr>
      <w:r>
        <w:rPr>
          <w:rFonts w:ascii="Amiri" w:hAnsi="Amiri" w:eastAsia="Amiri" w:cs="Amiri"/>
          <w:lang w:bidi="ar-SA"/>
          <w:color w:val="111111"/>
          <w:sz w:val="28"/>
          <w:szCs w:val="28"/>
          <w:rtl/>
        </w:rPr>
        <w:t xml:space="preserve">ابن عبد السلام ، احمد بن محمّد- منوفي</w:t>
      </w:r>
    </w:p>
    <w:p>
      <w:pPr>
        <w:pStyle w:val="BookText"/>
      </w:pPr>
      <w:r>
        <w:rPr>
          <w:rFonts w:ascii="Amiri" w:hAnsi="Amiri" w:eastAsia="Amiri" w:cs="Amiri"/>
          <w:lang w:bidi="ar-SA"/>
          <w:color w:val="111111"/>
          <w:sz w:val="28"/>
          <w:szCs w:val="28"/>
          <w:rtl/>
        </w:rPr>
        <w:t xml:space="preserve">قاهري، احمد بن محمّد</w:t>
      </w:r>
    </w:p>
    <w:p>
      <w:pPr>
        <w:pStyle w:val="BookText"/>
      </w:pPr>
      <w:r>
        <w:rPr>
          <w:rFonts w:ascii="Amiri" w:hAnsi="Amiri" w:eastAsia="Amiri" w:cs="Amiri"/>
          <w:lang w:bidi="ar-SA"/>
          <w:color w:val="111111"/>
          <w:sz w:val="28"/>
          <w:szCs w:val="28"/>
          <w:rtl/>
        </w:rPr>
        <w:t xml:space="preserve">ابن عبد السلام ، جعفر بن احمد- بهلولي</w:t>
      </w:r>
    </w:p>
    <w:p>
      <w:pPr>
        <w:pStyle w:val="BookText"/>
      </w:pPr>
      <w:r>
        <w:rPr>
          <w:rFonts w:ascii="Amiri" w:hAnsi="Amiri" w:eastAsia="Amiri" w:cs="Amiri"/>
          <w:lang w:bidi="ar-SA"/>
          <w:color w:val="111111"/>
          <w:sz w:val="28"/>
          <w:szCs w:val="28"/>
          <w:rtl/>
        </w:rPr>
        <w:t xml:space="preserve">يماني ، جعفر بن احمد</w:t>
      </w:r>
    </w:p>
    <w:p>
      <w:pPr>
        <w:pStyle w:val="Heading2"/>
      </w:pPr>
      <w:bookmarkStart w:id="1491" w:name="_Toc593"/>
      <w:r>
        <w:t>ابن عبد السلام ، عبدالعزیز بن عبدالسلام</w:t>
      </w:r>
      <w:bookmarkEnd w:id="1491"/>
    </w:p>
    <w:p>
      <w:pPr>
        <w:pStyle w:val="BookText"/>
      </w:pPr>
      <w:r>
        <w:rPr>
          <w:rFonts w:ascii="IRNazanin" w:hAnsi="IRNazanin" w:eastAsia="IRNazanin" w:cs="IRNazanin"/>
          <w:lang w:bidi="fa-IR"/>
          <w:color w:val="111111"/>
          <w:sz w:val="28"/>
          <w:szCs w:val="28"/>
          <w:rtl/>
        </w:rPr>
        <w:t xml:space="preserve">577 - 660 ه-</w:t>
      </w:r>
    </w:p>
    <w:p>
      <w:pPr>
        <w:pStyle w:val="BookText"/>
      </w:pPr>
      <w:r>
        <w:rPr>
          <w:rFonts w:ascii="Amiri" w:hAnsi="Amiri" w:eastAsia="Amiri" w:cs="Amiri"/>
          <w:lang w:bidi="ar-SA"/>
          <w:color w:val="111111"/>
          <w:sz w:val="28"/>
          <w:szCs w:val="28"/>
          <w:rtl/>
        </w:rPr>
        <w:t xml:space="preserve">1 .عقيدة عز الدين بن عبد السلام</w:t>
      </w:r>
    </w:p>
    <w:p>
      <w:pPr>
        <w:pStyle w:val="BookText"/>
      </w:pPr>
      <w:r>
        <w:rPr>
          <w:rFonts w:ascii="Amiri" w:hAnsi="Amiri" w:eastAsia="Amiri" w:cs="Amiri"/>
          <w:lang w:bidi="ar-SA"/>
          <w:color w:val="111111"/>
          <w:sz w:val="28"/>
          <w:szCs w:val="28"/>
          <w:rtl/>
        </w:rPr>
        <w:t xml:space="preserve">السلمي، ج 11، ص 204.</w:t>
      </w:r>
    </w:p>
    <w:p>
      <w:pPr>
        <w:pStyle w:val="BookText"/>
      </w:pPr>
      <w:r>
        <w:rPr>
          <w:rFonts w:ascii="Amiri" w:hAnsi="Amiri" w:eastAsia="Amiri" w:cs="Amiri"/>
          <w:lang w:bidi="ar-SA"/>
          <w:color w:val="111111"/>
          <w:sz w:val="28"/>
          <w:szCs w:val="28"/>
          <w:rtl/>
        </w:rPr>
        <w:t xml:space="preserve">2 .الفوائد في مشكل القرآن مسائل و</w:t>
      </w:r>
    </w:p>
    <w:p>
      <w:pPr>
        <w:pStyle w:val="BookText"/>
      </w:pPr>
      <w:r>
        <w:rPr>
          <w:rFonts w:ascii="Amiri" w:hAnsi="Amiri" w:eastAsia="Amiri" w:cs="Amiri"/>
          <w:lang w:bidi="ar-SA"/>
          <w:color w:val="111111"/>
          <w:sz w:val="28"/>
          <w:szCs w:val="28"/>
          <w:rtl/>
        </w:rPr>
        <w:t xml:space="preserve">اجوبة، ج 12، ص 261.</w:t>
      </w:r>
    </w:p>
    <w:p>
      <w:pPr>
        <w:pStyle w:val="BookText"/>
      </w:pPr>
      <w:r>
        <w:rPr>
          <w:rFonts w:ascii="Amiri" w:hAnsi="Amiri" w:eastAsia="Amiri" w:cs="Amiri"/>
          <w:lang w:bidi="ar-SA"/>
          <w:color w:val="111111"/>
          <w:sz w:val="28"/>
          <w:szCs w:val="28"/>
          <w:rtl/>
        </w:rPr>
        <w:t xml:space="preserve">3 .القطب و الابدال و الغوث و الاوتاد ( رسالة في)، ج 12، ص 745.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قواعد الاحكام في مصالح الانام =</w:t>
      </w:r>
    </w:p>
    <w:p>
      <w:pPr>
        <w:pStyle w:val="BookText"/>
      </w:pPr>
      <w:r>
        <w:rPr>
          <w:rFonts w:ascii="Amiri" w:hAnsi="Amiri" w:eastAsia="Amiri" w:cs="Amiri"/>
          <w:lang w:bidi="ar-SA"/>
          <w:color w:val="111111"/>
          <w:sz w:val="28"/>
          <w:szCs w:val="28"/>
          <w:rtl/>
        </w:rPr>
        <w:t xml:space="preserve">القواعد الكبرى، ج 12، ص 775.</w:t>
      </w:r>
    </w:p>
    <w:p>
      <w:pPr>
        <w:pStyle w:val="BookText"/>
      </w:pPr>
      <w:r>
        <w:rPr>
          <w:rFonts w:ascii="IRNazanin" w:hAnsi="IRNazanin" w:eastAsia="IRNazanin" w:cs="IRNazanin"/>
          <w:lang w:bidi="fa-IR"/>
          <w:color w:val="111111"/>
          <w:sz w:val="28"/>
          <w:szCs w:val="28"/>
          <w:rtl/>
        </w:rPr>
        <w:t xml:space="preserve">5 .القواعد الصغرى، ج 12، ص 794.</w:t>
      </w:r>
    </w:p>
    <w:p>
      <w:pPr>
        <w:pStyle w:val="BookText"/>
      </w:pPr>
      <w:r>
        <w:rPr>
          <w:rFonts w:ascii="Amiri" w:hAnsi="Amiri" w:eastAsia="Amiri" w:cs="Amiri"/>
          <w:lang w:bidi="ar-SA"/>
          <w:color w:val="111111"/>
          <w:sz w:val="28"/>
          <w:szCs w:val="28"/>
          <w:rtl/>
        </w:rPr>
        <w:t xml:space="preserve">6 .نبذة مفيدة في الرد على القائل</w:t>
      </w:r>
    </w:p>
    <w:p>
      <w:pPr>
        <w:pStyle w:val="BookText"/>
      </w:pPr>
      <w:r>
        <w:rPr>
          <w:rFonts w:ascii="IRNazanin" w:hAnsi="IRNazanin" w:eastAsia="IRNazanin" w:cs="IRNazanin"/>
          <w:lang w:bidi="fa-IR"/>
          <w:color w:val="111111"/>
          <w:sz w:val="28"/>
          <w:szCs w:val="28"/>
          <w:rtl/>
        </w:rPr>
        <w:t xml:space="preserve">بخلق القرآن، ج 16، ص 114.</w:t>
      </w:r>
    </w:p>
    <w:p>
      <w:pPr>
        <w:pStyle w:val="BookText"/>
      </w:pPr>
      <w:r>
        <w:rPr>
          <w:rFonts w:ascii="Amiri" w:hAnsi="Amiri" w:eastAsia="Amiri" w:cs="Amiri"/>
          <w:lang w:bidi="ar-SA"/>
          <w:color w:val="111111"/>
          <w:sz w:val="28"/>
          <w:szCs w:val="28"/>
          <w:rtl/>
        </w:rPr>
        <w:t xml:space="preserve">ابن عبد الشكور ، محب الله - بهاري ،</w:t>
      </w:r>
    </w:p>
    <w:p>
      <w:pPr>
        <w:pStyle w:val="BookText"/>
      </w:pPr>
      <w:r>
        <w:rPr>
          <w:rFonts w:ascii="Amiri" w:hAnsi="Amiri" w:eastAsia="Amiri" w:cs="Amiri"/>
          <w:lang w:bidi="ar-SA"/>
          <w:color w:val="111111"/>
          <w:sz w:val="28"/>
          <w:szCs w:val="28"/>
          <w:rtl/>
        </w:rPr>
        <w:t xml:space="preserve">محب الله بن عبدالشكور</w:t>
      </w:r>
    </w:p>
    <w:p>
      <w:pPr>
        <w:pStyle w:val="Heading2"/>
      </w:pPr>
      <w:bookmarkStart w:id="1492" w:name="_Toc594"/>
      <w:r>
        <w:t>ابن عبد العالي ، محمّد بن عبد العالي قرن 8ه-</w:t>
      </w:r>
      <w:bookmarkEnd w:id="1492"/>
    </w:p>
    <w:p>
      <w:pPr>
        <w:pStyle w:val="BookText"/>
      </w:pPr>
      <w:r>
        <w:rPr>
          <w:rFonts w:ascii="Amiri" w:hAnsi="Amiri" w:eastAsia="Amiri" w:cs="Amiri"/>
          <w:lang w:bidi="ar-SA"/>
          <w:color w:val="111111"/>
          <w:sz w:val="28"/>
          <w:szCs w:val="28"/>
          <w:rtl/>
        </w:rPr>
        <w:t xml:space="preserve">شرح الفصول النصيرية، ج9، ص 795.</w:t>
      </w:r>
    </w:p>
    <w:p>
      <w:pPr>
        <w:pStyle w:val="BookText"/>
      </w:pPr>
      <w:r>
        <w:rPr>
          <w:rFonts w:ascii="Amiri" w:hAnsi="Amiri" w:eastAsia="Amiri" w:cs="Amiri"/>
          <w:lang w:bidi="ar-SA"/>
          <w:color w:val="111111"/>
          <w:sz w:val="28"/>
          <w:szCs w:val="28"/>
          <w:rtl/>
        </w:rPr>
        <w:t xml:space="preserve">ابن عبد الغالب عثماني -عثماني ، محمّد بن</w:t>
      </w:r>
    </w:p>
    <w:p>
      <w:pPr>
        <w:pStyle w:val="BookText"/>
      </w:pPr>
      <w:r>
        <w:rPr>
          <w:rFonts w:ascii="Amiri" w:hAnsi="Amiri" w:eastAsia="Amiri" w:cs="Amiri"/>
          <w:lang w:bidi="ar-SA"/>
          <w:color w:val="111111"/>
          <w:sz w:val="28"/>
          <w:szCs w:val="28"/>
          <w:rtl/>
        </w:rPr>
        <w:t xml:space="preserve">ابن عبد الغني ، احمد بن محمّد- بناء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493" w:name="_Toc595"/>
      <w:r>
        <w:t>ابن عبد القادر دهلوي ، حيدر بن علي</w:t>
      </w:r>
      <w:bookmarkEnd w:id="1493"/>
    </w:p>
    <w:p>
      <w:pPr>
        <w:pStyle w:val="BookText"/>
      </w:pPr>
      <w:r>
        <w:rPr>
          <w:rFonts w:ascii="Amiri" w:hAnsi="Amiri" w:eastAsia="Amiri" w:cs="Amiri"/>
          <w:lang w:bidi="ar-SA"/>
          <w:color w:val="111111"/>
          <w:sz w:val="28"/>
          <w:szCs w:val="28"/>
          <w:rtl/>
        </w:rPr>
        <w:t xml:space="preserve">مباحث الحرمين بتعريف ازالة العين</w:t>
      </w:r>
    </w:p>
    <w:p>
      <w:pPr>
        <w:pStyle w:val="BookText"/>
      </w:pPr>
      <w:r>
        <w:rPr>
          <w:rFonts w:ascii="IRNazanin" w:hAnsi="IRNazanin" w:eastAsia="IRNazanin" w:cs="IRNazanin"/>
          <w:lang w:bidi="fa-IR"/>
          <w:color w:val="111111"/>
          <w:sz w:val="28"/>
          <w:szCs w:val="28"/>
          <w:rtl/>
        </w:rPr>
        <w:t xml:space="preserve">ج 13، ص 714.</w:t>
      </w:r>
    </w:p>
    <w:p>
      <w:pPr>
        <w:pStyle w:val="BookText"/>
      </w:pPr>
      <w:r>
        <w:rPr>
          <w:rFonts w:ascii="Amiri" w:hAnsi="Amiri" w:eastAsia="Amiri" w:cs="Amiri"/>
          <w:lang w:bidi="ar-SA"/>
          <w:color w:val="111111"/>
          <w:sz w:val="28"/>
          <w:szCs w:val="28"/>
          <w:rtl/>
        </w:rPr>
        <w:t xml:space="preserve">ابن عبد القدوس ، احمد بن علي شناوي ،</w:t>
      </w:r>
    </w:p>
    <w:p>
      <w:pPr>
        <w:pStyle w:val="BookText"/>
      </w:pPr>
      <w:r>
        <w:rPr>
          <w:rFonts w:ascii="Amiri" w:hAnsi="Amiri" w:eastAsia="Amiri" w:cs="Amiri"/>
          <w:lang w:bidi="ar-SA"/>
          <w:color w:val="111111"/>
          <w:sz w:val="28"/>
          <w:szCs w:val="28"/>
          <w:rtl/>
        </w:rPr>
        <w:t xml:space="preserve">احمد بن علي</w:t>
      </w:r>
    </w:p>
    <w:p>
      <w:pPr>
        <w:pStyle w:val="Heading2"/>
      </w:pPr>
      <w:bookmarkStart w:id="1494" w:name="_Toc596"/>
      <w:r>
        <w:t>ابن عبد القدوس ، حمید</w:t>
      </w:r>
      <w:bookmarkEnd w:id="1494"/>
    </w:p>
    <w:p>
      <w:pPr>
        <w:pStyle w:val="BookText"/>
      </w:pPr>
      <w:r>
        <w:rPr>
          <w:rFonts w:ascii="Amiri" w:hAnsi="Amiri" w:eastAsia="Amiri" w:cs="Amiri"/>
          <w:lang w:bidi="ar-SA"/>
          <w:color w:val="111111"/>
          <w:sz w:val="28"/>
          <w:szCs w:val="28"/>
          <w:rtl/>
        </w:rPr>
        <w:t xml:space="preserve">شرح كفاية المنتهي، ج 10، ص 58.</w:t>
      </w:r>
    </w:p>
    <w:p>
      <w:pPr>
        <w:pStyle w:val="BookText"/>
      </w:pPr>
      <w:r>
        <w:rPr>
          <w:rFonts w:ascii="IRNazanin" w:hAnsi="IRNazanin" w:eastAsia="IRNazanin" w:cs="IRNazanin"/>
          <w:lang w:bidi="fa-IR"/>
          <w:color w:val="111111"/>
          <w:sz w:val="28"/>
          <w:szCs w:val="28"/>
          <w:rtl/>
        </w:rPr>
        <w:t xml:space="preserve">ابن عبد القدوس ، صالح بن</w:t>
      </w:r>
    </w:p>
    <w:p>
      <w:pPr>
        <w:pStyle w:val="BookText"/>
      </w:pPr>
      <w:r>
        <w:rPr>
          <w:rFonts w:ascii="Amiri" w:hAnsi="Amiri" w:eastAsia="Amiri" w:cs="Amiri"/>
          <w:lang w:bidi="ar-SA"/>
          <w:color w:val="111111"/>
          <w:sz w:val="28"/>
          <w:szCs w:val="28"/>
          <w:rtl/>
        </w:rPr>
        <w:t xml:space="preserve">عبدالقدوس ازدي ، صالح بن عبدالقدوس -</w:t>
      </w:r>
    </w:p>
    <w:p>
      <w:pPr>
        <w:pStyle w:val="BookText"/>
      </w:pPr>
      <w:r>
        <w:rPr>
          <w:rFonts w:ascii="IRNazanin" w:hAnsi="IRNazanin" w:eastAsia="IRNazanin" w:cs="IRNazanin"/>
          <w:lang w:bidi="fa-IR"/>
          <w:color w:val="111111"/>
          <w:sz w:val="28"/>
          <w:szCs w:val="28"/>
          <w:rtl/>
        </w:rPr>
        <w:t xml:space="preserve">ابن عبد الكريم ، عبدالرحيم بن عبد الكريم - صفي پوري ، عبدالرحیم بن عبد الكريم</w:t>
      </w:r>
    </w:p>
    <w:p>
      <w:pPr>
        <w:pStyle w:val="Heading2"/>
      </w:pPr>
      <w:bookmarkStart w:id="1495" w:name="_Toc597"/>
      <w:r>
        <w:t>ابن عبد الكريم ، غلامعلي بن محمّد</w:t>
      </w:r>
      <w:bookmarkEnd w:id="1495"/>
    </w:p>
    <w:p>
      <w:pPr>
        <w:pStyle w:val="BookText"/>
      </w:pPr>
      <w:r>
        <w:rPr>
          <w:rFonts w:ascii="IRNazanin" w:hAnsi="IRNazanin" w:eastAsia="IRNazanin" w:cs="IRNazanin"/>
          <w:lang w:bidi="fa-IR"/>
          <w:color w:val="111111"/>
          <w:sz w:val="28"/>
          <w:szCs w:val="28"/>
          <w:rtl/>
        </w:rPr>
        <w:t xml:space="preserve">فوائد الفوائد، ج 12، ص 255.</w:t>
      </w:r>
    </w:p>
    <w:p>
      <w:pPr>
        <w:pStyle w:val="Heading2"/>
      </w:pPr>
      <w:bookmarkStart w:id="1496" w:name="_Toc598"/>
      <w:r>
        <w:t>ابن عبداللطيف ، محمّد بن احمد</w:t>
      </w:r>
      <w:bookmarkEnd w:id="1496"/>
    </w:p>
    <w:p>
      <w:pPr>
        <w:pStyle w:val="BookText"/>
      </w:pPr>
      <w:r>
        <w:rPr>
          <w:rFonts w:ascii="Amiri" w:hAnsi="Amiri" w:eastAsia="Amiri" w:cs="Amiri"/>
          <w:lang w:bidi="ar-SA"/>
          <w:color w:val="111111"/>
          <w:sz w:val="28"/>
          <w:szCs w:val="28"/>
          <w:rtl/>
        </w:rPr>
        <w:t xml:space="preserve">ارجوزة، ج 1، ص 762 .</w:t>
      </w:r>
    </w:p>
    <w:p>
      <w:pPr>
        <w:pStyle w:val="Heading2"/>
      </w:pPr>
      <w:bookmarkStart w:id="1497" w:name="_Toc599"/>
      <w:r>
        <w:t>ابن عبد اللطيف ، محمّد بن حسين قرن</w:t>
      </w:r>
      <w:bookmarkEnd w:id="1497"/>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الصلاة (رسالة في)، ج 10، ص587.</w:t>
      </w:r>
    </w:p>
    <w:p>
      <w:pPr>
        <w:pStyle w:val="BookText"/>
      </w:pPr>
      <w:r>
        <w:rPr>
          <w:rFonts w:ascii="Amiri" w:hAnsi="Amiri" w:eastAsia="Amiri" w:cs="Amiri"/>
          <w:lang w:bidi="ar-SA"/>
          <w:color w:val="111111"/>
          <w:sz w:val="28"/>
          <w:szCs w:val="28"/>
          <w:rtl/>
        </w:rPr>
        <w:t xml:space="preserve">ابن عبدالله شهابي- شهابي ، ابن عبدالله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9" w:name="pg7742_69527"/>
    <w:bookmarkEnd w:id="89"/>
    <w:p>
      <w:pPr>
        <w:pStyle w:val="Heading2"/>
      </w:pPr>
      <w:bookmarkStart w:id="1498" w:name="_Toc600"/>
      <w:r>
        <w:t>ابن عبدالنور ، احمد بن عبدالنور 630 -</w:t>
      </w:r>
      <w:bookmarkEnd w:id="1498"/>
    </w:p>
    <w:p>
      <w:pPr>
        <w:pStyle w:val="BookText"/>
      </w:pPr>
      <w:r>
        <w:rPr>
          <w:rFonts w:ascii="IRNazanin" w:hAnsi="IRNazanin" w:eastAsia="IRNazanin" w:cs="IRNazanin"/>
          <w:lang w:bidi="fa-IR"/>
          <w:color w:val="111111"/>
          <w:sz w:val="28"/>
          <w:szCs w:val="28"/>
          <w:rtl/>
        </w:rPr>
        <w:t xml:space="preserve">702؟ ه-</w:t>
      </w:r>
    </w:p>
    <w:p>
      <w:pPr>
        <w:pStyle w:val="BookText"/>
      </w:pPr>
      <w:r>
        <w:rPr>
          <w:rFonts w:ascii="Amiri" w:hAnsi="Amiri" w:eastAsia="Amiri" w:cs="Amiri"/>
          <w:lang w:bidi="ar-SA"/>
          <w:color w:val="111111"/>
          <w:sz w:val="28"/>
          <w:szCs w:val="28"/>
          <w:rtl/>
        </w:rPr>
        <w:t xml:space="preserve">رصف المباني في شرح حروف المعاني</w:t>
      </w:r>
    </w:p>
    <w:p>
      <w:pPr>
        <w:pStyle w:val="BookText"/>
      </w:pPr>
      <w:r>
        <w:rPr>
          <w:rFonts w:ascii="IRNazanin" w:hAnsi="IRNazanin" w:eastAsia="IRNazanin" w:cs="IRNazanin"/>
          <w:lang w:bidi="fa-IR"/>
          <w:color w:val="111111"/>
          <w:sz w:val="28"/>
          <w:szCs w:val="28"/>
          <w:rtl/>
        </w:rPr>
        <w:t xml:space="preserve">ج8، ص 316.</w:t>
      </w:r>
    </w:p>
    <w:p>
      <w:pPr>
        <w:pStyle w:val="BookText"/>
      </w:pPr>
      <w:r>
        <w:rPr>
          <w:rFonts w:ascii="Amiri" w:hAnsi="Amiri" w:eastAsia="Amiri" w:cs="Amiri"/>
          <w:lang w:bidi="ar-SA"/>
          <w:color w:val="111111"/>
          <w:sz w:val="28"/>
          <w:szCs w:val="28"/>
          <w:rtl/>
        </w:rPr>
        <w:t xml:space="preserve">ابن عبد النور ، عبدالكريم بن عبد النور - حلبي ، عبدالكريم بن عبدالنور</w:t>
      </w:r>
    </w:p>
    <w:p>
      <w:pPr>
        <w:pStyle w:val="Heading2"/>
      </w:pPr>
      <w:bookmarkStart w:id="1499" w:name="_Toc601"/>
      <w:r>
        <w:t>ابن عبدالهادي ، عبد الجليل بن محمّد -</w:t>
      </w:r>
      <w:bookmarkEnd w:id="1499"/>
    </w:p>
    <w:p>
      <w:pPr>
        <w:pStyle w:val="BookText"/>
      </w:pPr>
      <w:r>
        <w:rPr>
          <w:rFonts w:ascii="IRNazanin" w:hAnsi="IRNazanin" w:eastAsia="IRNazanin" w:cs="IRNazanin"/>
          <w:lang w:bidi="fa-IR"/>
          <w:color w:val="111111"/>
          <w:sz w:val="28"/>
          <w:szCs w:val="28"/>
          <w:rtl/>
        </w:rPr>
        <w:t xml:space="preserve">1087 ه-</w:t>
      </w:r>
    </w:p>
    <w:p>
      <w:pPr>
        <w:pStyle w:val="BookText"/>
      </w:pPr>
      <w:r>
        <w:rPr>
          <w:rFonts w:ascii="Amiri" w:hAnsi="Amiri" w:eastAsia="Amiri" w:cs="Amiri"/>
          <w:lang w:bidi="ar-SA"/>
          <w:color w:val="111111"/>
          <w:sz w:val="28"/>
          <w:szCs w:val="28"/>
          <w:rtl/>
        </w:rPr>
        <w:t xml:space="preserve">الهندسة (رسالة في)، ج 16، ص 655.</w:t>
      </w:r>
    </w:p>
    <w:p>
      <w:pPr>
        <w:pStyle w:val="Heading2"/>
      </w:pPr>
      <w:bookmarkStart w:id="1500" w:name="_Toc602"/>
      <w:r>
        <w:t>ابن عبدالهادي ، عبدالقادر بن بهاء الدين</w:t>
      </w:r>
      <w:bookmarkEnd w:id="150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1100 ه-</w:t>
      </w:r>
    </w:p>
    <w:p>
      <w:pPr>
        <w:pStyle w:val="BookText"/>
      </w:pPr>
      <w:r>
        <w:rPr>
          <w:rFonts w:ascii="Amiri" w:hAnsi="Amiri" w:eastAsia="Amiri" w:cs="Amiri"/>
          <w:lang w:bidi="ar-SA"/>
          <w:color w:val="111111"/>
          <w:sz w:val="28"/>
          <w:szCs w:val="28"/>
          <w:rtl/>
        </w:rPr>
        <w:t xml:space="preserve">حاشية شرح آداب البحث العضدية</w:t>
      </w:r>
    </w:p>
    <w:p>
      <w:pPr>
        <w:pStyle w:val="BookText"/>
      </w:pPr>
      <w:r>
        <w:rPr>
          <w:rFonts w:ascii="IRNazanin" w:hAnsi="IRNazanin" w:eastAsia="IRNazanin" w:cs="IRNazanin"/>
          <w:lang w:bidi="fa-IR"/>
          <w:color w:val="111111"/>
          <w:sz w:val="28"/>
          <w:szCs w:val="28"/>
          <w:rtl/>
        </w:rPr>
        <w:t xml:space="preserve">ج 6، ص 28.</w:t>
      </w:r>
    </w:p>
    <w:p>
      <w:pPr>
        <w:pStyle w:val="Heading2"/>
      </w:pPr>
      <w:bookmarkStart w:id="1501" w:name="_Toc603"/>
      <w:r>
        <w:t>ابن عبدالهادي ، محمّد بن علي 1163ه-</w:t>
      </w:r>
      <w:bookmarkEnd w:id="1501"/>
    </w:p>
    <w:p>
      <w:pPr>
        <w:pStyle w:val="BookText"/>
      </w:pPr>
      <w:r>
        <w:rPr>
          <w:rFonts w:ascii="IRNazanin" w:hAnsi="IRNazanin" w:eastAsia="IRNazanin" w:cs="IRNazanin"/>
          <w:lang w:bidi="fa-IR"/>
          <w:color w:val="111111"/>
          <w:sz w:val="28"/>
          <w:szCs w:val="28"/>
          <w:rtl/>
        </w:rPr>
        <w:t xml:space="preserve">سلاسل الجواهر والعقود و بحور زبد</w:t>
      </w:r>
    </w:p>
    <w:p>
      <w:pPr>
        <w:pStyle w:val="BookText"/>
      </w:pPr>
      <w:r>
        <w:rPr>
          <w:rFonts w:ascii="IRNazanin" w:hAnsi="IRNazanin" w:eastAsia="IRNazanin" w:cs="IRNazanin"/>
          <w:lang w:bidi="fa-IR"/>
          <w:color w:val="111111"/>
          <w:sz w:val="28"/>
          <w:szCs w:val="28"/>
          <w:rtl/>
        </w:rPr>
        <w:t xml:space="preserve">عرائس الوجود، ج8، ص 794.</w:t>
      </w:r>
    </w:p>
    <w:p>
      <w:pPr>
        <w:pStyle w:val="Heading2"/>
      </w:pPr>
      <w:bookmarkStart w:id="1502" w:name="_Toc604"/>
      <w:r>
        <w:t>ابن عبدالهادي مقدسي ، محمّد بن احمد</w:t>
      </w:r>
      <w:bookmarkEnd w:id="1502"/>
    </w:p>
    <w:p>
      <w:pPr>
        <w:pStyle w:val="BookText"/>
      </w:pPr>
      <w:r>
        <w:rPr>
          <w:rFonts w:ascii="IRNazanin" w:hAnsi="IRNazanin" w:eastAsia="IRNazanin" w:cs="IRNazanin"/>
          <w:lang w:bidi="fa-IR"/>
          <w:color w:val="111111"/>
          <w:sz w:val="28"/>
          <w:szCs w:val="28"/>
          <w:rtl/>
        </w:rPr>
        <w:t xml:space="preserve">705 - 744 ه-</w:t>
      </w:r>
    </w:p>
    <w:p>
      <w:pPr>
        <w:pStyle w:val="BookText"/>
      </w:pPr>
      <w:r>
        <w:rPr>
          <w:rFonts w:ascii="Amiri" w:hAnsi="Amiri" w:eastAsia="Amiri" w:cs="Amiri"/>
          <w:lang w:bidi="ar-SA"/>
          <w:color w:val="111111"/>
          <w:sz w:val="28"/>
          <w:szCs w:val="28"/>
          <w:rtl/>
        </w:rPr>
        <w:t xml:space="preserve">1 .الانتصار للحنابلة (رسالة في)، ج2،</w:t>
      </w:r>
    </w:p>
    <w:p>
      <w:pPr>
        <w:pStyle w:val="BookText"/>
      </w:pPr>
      <w:r>
        <w:rPr>
          <w:rFonts w:ascii="IRNazanin" w:hAnsi="IRNazanin" w:eastAsia="IRNazanin" w:cs="IRNazanin"/>
          <w:lang w:bidi="fa-IR"/>
          <w:color w:val="111111"/>
          <w:sz w:val="28"/>
          <w:szCs w:val="28"/>
          <w:rtl/>
        </w:rPr>
        <w:t xml:space="preserve">ص 789.</w:t>
      </w:r>
    </w:p>
    <w:p>
      <w:pPr>
        <w:pStyle w:val="BookText"/>
      </w:pPr>
      <w:r>
        <w:rPr>
          <w:rFonts w:ascii="Amiri" w:hAnsi="Amiri" w:eastAsia="Amiri" w:cs="Amiri"/>
          <w:lang w:bidi="ar-SA"/>
          <w:color w:val="111111"/>
          <w:sz w:val="28"/>
          <w:szCs w:val="28"/>
          <w:rtl/>
        </w:rPr>
        <w:t xml:space="preserve">2.الصارم المنكي في الرد على السبكي</w:t>
      </w:r>
    </w:p>
    <w:p>
      <w:pPr>
        <w:pStyle w:val="BookText"/>
      </w:pPr>
      <w:r>
        <w:rPr>
          <w:rFonts w:ascii="IRNazanin" w:hAnsi="IRNazanin" w:eastAsia="IRNazanin" w:cs="IRNazanin"/>
          <w:lang w:bidi="fa-IR"/>
          <w:color w:val="111111"/>
          <w:sz w:val="28"/>
          <w:szCs w:val="28"/>
          <w:rtl/>
        </w:rPr>
        <w:t xml:space="preserve">ج 10، ص 469.</w:t>
      </w:r>
    </w:p>
    <w:p>
      <w:pPr>
        <w:pStyle w:val="BookText"/>
      </w:pPr>
      <w:r>
        <w:rPr>
          <w:rFonts w:ascii="Amiri" w:hAnsi="Amiri" w:eastAsia="Amiri" w:cs="Amiri"/>
          <w:lang w:bidi="ar-SA"/>
          <w:color w:val="111111"/>
          <w:sz w:val="28"/>
          <w:szCs w:val="28"/>
          <w:rtl/>
        </w:rPr>
        <w:t xml:space="preserve">ابن عبد الهادي ، يوسف بن حسن- ابن</w:t>
      </w:r>
    </w:p>
    <w:p>
      <w:pPr>
        <w:pStyle w:val="BookText"/>
      </w:pPr>
      <w:r>
        <w:rPr>
          <w:rFonts w:ascii="Amiri" w:hAnsi="Amiri" w:eastAsia="Amiri" w:cs="Amiri"/>
          <w:lang w:bidi="ar-SA"/>
          <w:color w:val="111111"/>
          <w:sz w:val="28"/>
          <w:szCs w:val="28"/>
          <w:rtl/>
        </w:rPr>
        <w:t xml:space="preserve">مبرد ، يوسف بن حسن</w:t>
      </w:r>
    </w:p>
    <w:p>
      <w:pPr>
        <w:pStyle w:val="Heading2"/>
      </w:pPr>
      <w:bookmarkStart w:id="1503" w:name="_Toc605"/>
      <w:r>
        <w:t>ابن عبدالوهاب ، محمّد بن عبدالوهاب</w:t>
      </w:r>
      <w:bookmarkEnd w:id="1503"/>
    </w:p>
    <w:p>
      <w:pPr>
        <w:pStyle w:val="BookText"/>
      </w:pPr>
      <w:r>
        <w:rPr>
          <w:rFonts w:ascii="IRNazanin" w:hAnsi="IRNazanin" w:eastAsia="IRNazanin" w:cs="IRNazanin"/>
          <w:lang w:bidi="fa-IR"/>
          <w:color w:val="111111"/>
          <w:sz w:val="28"/>
          <w:szCs w:val="28"/>
          <w:rtl/>
        </w:rPr>
        <w:t xml:space="preserve">1115 - 1206ه-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اصول الدين، ج 2، ص 414.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سورة الاخلاص و الفلق و</w:t>
      </w:r>
    </w:p>
    <w:p>
      <w:pPr>
        <w:pStyle w:val="BookText"/>
      </w:pPr>
      <w:r>
        <w:rPr>
          <w:rFonts w:ascii="IRNazanin" w:hAnsi="IRNazanin" w:eastAsia="IRNazanin" w:cs="IRNazanin"/>
          <w:lang w:bidi="fa-IR"/>
          <w:color w:val="111111"/>
          <w:sz w:val="28"/>
          <w:szCs w:val="28"/>
          <w:rtl/>
        </w:rPr>
        <w:t xml:space="preserve">الناس، ج 4، ص 627.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تفسير سورة الانفال (مختصر)، جع،</w:t>
      </w:r>
    </w:p>
    <w:p>
      <w:pPr>
        <w:pStyle w:val="BookText"/>
      </w:pPr>
      <w:r>
        <w:rPr>
          <w:rFonts w:ascii="IRNazanin" w:hAnsi="IRNazanin" w:eastAsia="IRNazanin" w:cs="IRNazanin"/>
          <w:lang w:bidi="fa-IR"/>
          <w:color w:val="111111"/>
          <w:sz w:val="28"/>
          <w:szCs w:val="28"/>
          <w:rtl/>
        </w:rPr>
        <w:t xml:space="preserve">ص 629 .</w:t>
      </w:r>
    </w:p>
    <w:p>
      <w:pPr>
        <w:pStyle w:val="BookText"/>
      </w:pPr>
      <w:r>
        <w:rPr>
          <w:rFonts w:ascii="Amiri" w:hAnsi="Amiri" w:eastAsia="Amiri" w:cs="Amiri"/>
          <w:lang w:bidi="ar-SA"/>
          <w:color w:val="111111"/>
          <w:sz w:val="28"/>
          <w:szCs w:val="28"/>
          <w:rtl/>
        </w:rPr>
        <w:t xml:space="preserve">4 .تفسير سورة الفاتحة، ج 4 ، ص 636 .</w:t>
      </w:r>
    </w:p>
    <w:p>
      <w:pPr>
        <w:pStyle w:val="BookText"/>
      </w:pPr>
      <w:r>
        <w:rPr>
          <w:rFonts w:ascii="Amiri" w:hAnsi="Amiri" w:eastAsia="Amiri" w:cs="Amiri"/>
          <w:lang w:bidi="ar-SA"/>
          <w:color w:val="111111"/>
          <w:sz w:val="28"/>
          <w:szCs w:val="28"/>
          <w:rtl/>
        </w:rPr>
        <w:t xml:space="preserve">5 .تفسير سورتي الفاتحة والبقرة، جع،</w:t>
      </w:r>
    </w:p>
    <w:p>
      <w:pPr>
        <w:pStyle w:val="BookText"/>
      </w:pPr>
      <w:r>
        <w:rPr>
          <w:rFonts w:ascii="IRNazanin" w:hAnsi="IRNazanin" w:eastAsia="IRNazanin" w:cs="IRNazanin"/>
          <w:lang w:bidi="fa-IR"/>
          <w:color w:val="111111"/>
          <w:sz w:val="28"/>
          <w:szCs w:val="28"/>
          <w:rtl/>
        </w:rPr>
        <w:t xml:space="preserve">ص 645 .</w:t>
      </w:r>
    </w:p>
    <w:p>
      <w:pPr>
        <w:pStyle w:val="BookText"/>
      </w:pPr>
      <w:r>
        <w:rPr>
          <w:rFonts w:ascii="Amiri" w:hAnsi="Amiri" w:eastAsia="Amiri" w:cs="Amiri"/>
          <w:lang w:bidi="ar-SA"/>
          <w:color w:val="111111"/>
          <w:sz w:val="28"/>
          <w:szCs w:val="28"/>
          <w:rtl/>
        </w:rPr>
        <w:t xml:space="preserve">6 .التوحيد، ج 5، ص 154 .</w:t>
      </w:r>
    </w:p>
    <w:p>
      <w:pPr>
        <w:pStyle w:val="BookText"/>
      </w:pPr>
      <w:r>
        <w:rPr>
          <w:rFonts w:ascii="Amiri" w:hAnsi="Amiri" w:eastAsia="Amiri" w:cs="Amiri"/>
          <w:lang w:bidi="ar-SA"/>
          <w:color w:val="111111"/>
          <w:sz w:val="28"/>
          <w:szCs w:val="28"/>
          <w:rtl/>
        </w:rPr>
        <w:t xml:space="preserve">7 .جواهر الكلام في عقائد الاسلام، جه،</w:t>
      </w:r>
    </w:p>
    <w:p>
      <w:pPr>
        <w:pStyle w:val="BookText"/>
      </w:pPr>
      <w:r>
        <w:rPr>
          <w:rFonts w:ascii="IRNazanin" w:hAnsi="IRNazanin" w:eastAsia="IRNazanin" w:cs="IRNazanin"/>
          <w:lang w:bidi="fa-IR"/>
          <w:color w:val="111111"/>
          <w:sz w:val="28"/>
          <w:szCs w:val="28"/>
          <w:rtl/>
        </w:rPr>
        <w:t xml:space="preserve">ص 593 .</w:t>
      </w:r>
    </w:p>
    <w:p>
      <w:pPr>
        <w:pStyle w:val="BookText"/>
      </w:pPr>
      <w:r>
        <w:rPr>
          <w:rFonts w:ascii="Amiri" w:hAnsi="Amiri" w:eastAsia="Amiri" w:cs="Amiri"/>
          <w:lang w:bidi="ar-SA"/>
          <w:color w:val="111111"/>
          <w:sz w:val="28"/>
          <w:szCs w:val="28"/>
          <w:rtl/>
        </w:rPr>
        <w:t xml:space="preserve">8 .حاشية انوار التنزيل، ج 5، ص 698.</w:t>
      </w:r>
    </w:p>
    <w:p>
      <w:pPr>
        <w:pStyle w:val="BookText"/>
      </w:pPr>
      <w:r>
        <w:rPr>
          <w:rFonts w:ascii="Amiri" w:hAnsi="Amiri" w:eastAsia="Amiri" w:cs="Amiri"/>
          <w:lang w:bidi="ar-SA"/>
          <w:color w:val="111111"/>
          <w:sz w:val="28"/>
          <w:szCs w:val="28"/>
          <w:rtl/>
        </w:rPr>
        <w:t xml:space="preserve">9 .حكم المرتد (رسالة في)، ج 6،</w:t>
      </w:r>
    </w:p>
    <w:p>
      <w:pPr>
        <w:pStyle w:val="BookText"/>
      </w:pPr>
      <w:r>
        <w:rPr>
          <w:rFonts w:ascii="IRNazanin" w:hAnsi="IRNazanin" w:eastAsia="IRNazanin" w:cs="IRNazanin"/>
          <w:lang w:bidi="fa-IR"/>
          <w:color w:val="111111"/>
          <w:sz w:val="28"/>
          <w:szCs w:val="28"/>
          <w:rtl/>
        </w:rPr>
        <w:t xml:space="preserve">ص 763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«الحنفية ملة ابراهيم» (رسالة</w:t>
      </w:r>
    </w:p>
    <w:p>
      <w:pPr>
        <w:pStyle w:val="BookText"/>
      </w:pPr>
      <w:r>
        <w:rPr>
          <w:rFonts w:ascii="Amiri" w:hAnsi="Amiri" w:eastAsia="Amiri" w:cs="Amiri"/>
          <w:lang w:bidi="ar-SA"/>
          <w:color w:val="111111"/>
          <w:sz w:val="28"/>
          <w:szCs w:val="28"/>
          <w:rtl/>
        </w:rPr>
        <w:t xml:space="preserve">في)، ج 6، ص 824.</w:t>
      </w:r>
    </w:p>
    <w:p>
      <w:pPr>
        <w:pStyle w:val="BookText"/>
      </w:pPr>
      <w:r>
        <w:rPr>
          <w:rFonts w:ascii="Amiri" w:hAnsi="Amiri" w:eastAsia="Amiri" w:cs="Amiri"/>
          <w:lang w:bidi="ar-SA"/>
          <w:color w:val="111111"/>
          <w:sz w:val="28"/>
          <w:szCs w:val="28"/>
          <w:rtl/>
        </w:rPr>
        <w:t xml:space="preserve">11 .الرد على الرافضة، ج8، ص93.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زيارة قبر النبي (ص)، ج8، ص 652 .</w:t>
      </w:r>
    </w:p>
    <w:p>
      <w:pPr>
        <w:pStyle w:val="BookText"/>
      </w:pPr>
      <w:r>
        <w:rPr>
          <w:rFonts w:ascii="Amiri" w:hAnsi="Amiri" w:eastAsia="Amiri" w:cs="Amiri"/>
          <w:lang w:bidi="ar-SA"/>
          <w:color w:val="111111"/>
          <w:sz w:val="28"/>
          <w:szCs w:val="28"/>
          <w:rtl/>
        </w:rPr>
        <w:t xml:space="preserve">13 .الفرق بين النصيحة و التعبير</w:t>
      </w:r>
    </w:p>
    <w:p>
      <w:pPr>
        <w:pStyle w:val="BookText"/>
      </w:pPr>
      <w:r>
        <w:rPr>
          <w:rFonts w:ascii="IRNazanin" w:hAnsi="IRNazanin" w:eastAsia="IRNazanin" w:cs="IRNazanin"/>
          <w:lang w:bidi="fa-IR"/>
          <w:color w:val="111111"/>
          <w:sz w:val="28"/>
          <w:szCs w:val="28"/>
          <w:rtl/>
        </w:rPr>
        <w:t xml:space="preserve">ج 11، ص 799.</w:t>
      </w:r>
    </w:p>
    <w:p>
      <w:pPr>
        <w:pStyle w:val="BookText"/>
      </w:pPr>
      <w:r>
        <w:rPr>
          <w:rFonts w:ascii="Amiri" w:hAnsi="Amiri" w:eastAsia="Amiri" w:cs="Amiri"/>
          <w:lang w:bidi="ar-SA"/>
          <w:color w:val="111111"/>
          <w:sz w:val="28"/>
          <w:szCs w:val="28"/>
          <w:rtl/>
        </w:rPr>
        <w:t xml:space="preserve">14 .فوائد من كلام الامام ابن تيمية</w:t>
      </w:r>
    </w:p>
    <w:p>
      <w:pPr>
        <w:pStyle w:val="BookText"/>
      </w:pPr>
      <w:r>
        <w:rPr>
          <w:rFonts w:ascii="IRNazanin" w:hAnsi="IRNazanin" w:eastAsia="IRNazanin" w:cs="IRNazanin"/>
          <w:lang w:bidi="fa-IR"/>
          <w:color w:val="111111"/>
          <w:sz w:val="28"/>
          <w:szCs w:val="28"/>
          <w:rtl/>
        </w:rPr>
        <w:t xml:space="preserve">ج 12، ص 284.</w:t>
      </w:r>
    </w:p>
    <w:p>
      <w:pPr>
        <w:pStyle w:val="BookText"/>
      </w:pPr>
      <w:r>
        <w:rPr>
          <w:rFonts w:ascii="Amiri" w:hAnsi="Amiri" w:eastAsia="Amiri" w:cs="Amiri"/>
          <w:lang w:bidi="ar-SA"/>
          <w:color w:val="111111"/>
          <w:sz w:val="28"/>
          <w:szCs w:val="28"/>
          <w:rtl/>
        </w:rPr>
        <w:t xml:space="preserve">15 .القواعد الأربعة في الدعوة</w:t>
      </w:r>
    </w:p>
    <w:p>
      <w:pPr>
        <w:pStyle w:val="BookText"/>
      </w:pPr>
      <w:r>
        <w:rPr>
          <w:rFonts w:ascii="Amiri" w:hAnsi="Amiri" w:eastAsia="Amiri" w:cs="Amiri"/>
          <w:lang w:bidi="ar-SA"/>
          <w:color w:val="111111"/>
          <w:sz w:val="28"/>
          <w:szCs w:val="28"/>
          <w:rtl/>
        </w:rPr>
        <w:t xml:space="preserve">الوهابية، ج 12، ص 787.</w:t>
      </w:r>
    </w:p>
    <w:p>
      <w:pPr>
        <w:pStyle w:val="BookText"/>
      </w:pPr>
      <w:r>
        <w:rPr>
          <w:rFonts w:ascii="Amiri" w:hAnsi="Amiri" w:eastAsia="Amiri" w:cs="Amiri"/>
          <w:lang w:bidi="ar-SA"/>
          <w:color w:val="111111"/>
          <w:sz w:val="28"/>
          <w:szCs w:val="28"/>
          <w:rtl/>
        </w:rPr>
        <w:t xml:space="preserve">16 . الكبائر، ج13، ص 77.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كشف الشبهات في رد قول اهل</w:t>
      </w:r>
    </w:p>
    <w:p>
      <w:pPr>
        <w:pStyle w:val="BookText"/>
      </w:pPr>
      <w:r>
        <w:rPr>
          <w:rFonts w:ascii="IRNazanin" w:hAnsi="IRNazanin" w:eastAsia="IRNazanin" w:cs="IRNazanin"/>
          <w:lang w:bidi="fa-IR"/>
          <w:color w:val="111111"/>
          <w:sz w:val="28"/>
          <w:szCs w:val="28"/>
          <w:rtl/>
        </w:rPr>
        <w:t xml:space="preserve">الضلالات، ج13، ص222.</w:t>
      </w:r>
    </w:p>
    <w:p>
      <w:pPr>
        <w:pStyle w:val="BookText"/>
      </w:pPr>
      <w:r>
        <w:rPr>
          <w:rFonts w:ascii="Amiri" w:hAnsi="Amiri" w:eastAsia="Amiri" w:cs="Amiri"/>
          <w:lang w:bidi="ar-SA"/>
          <w:color w:val="111111"/>
          <w:sz w:val="28"/>
          <w:szCs w:val="28"/>
          <w:rtl/>
        </w:rPr>
        <w:t xml:space="preserve">18 .مجموعة مسائل و كتاب التوحيد</w:t>
      </w:r>
    </w:p>
    <w:p>
      <w:pPr>
        <w:pStyle w:val="BookText"/>
      </w:pPr>
      <w:r>
        <w:rPr>
          <w:rFonts w:ascii="IRNazanin" w:hAnsi="IRNazanin" w:eastAsia="IRNazanin" w:cs="IRNazanin"/>
          <w:lang w:bidi="fa-IR"/>
          <w:color w:val="111111"/>
          <w:sz w:val="28"/>
          <w:szCs w:val="28"/>
          <w:rtl/>
        </w:rPr>
        <w:t xml:space="preserve">ج 14، ص 58.</w:t>
      </w:r>
    </w:p>
    <w:p>
      <w:pPr>
        <w:pStyle w:val="BookText"/>
      </w:pPr>
      <w:r>
        <w:rPr>
          <w:rFonts w:ascii="Amiri" w:hAnsi="Amiri" w:eastAsia="Amiri" w:cs="Amiri"/>
          <w:lang w:bidi="ar-SA"/>
          <w:color w:val="111111"/>
          <w:sz w:val="28"/>
          <w:szCs w:val="28"/>
          <w:rtl/>
        </w:rPr>
        <w:t xml:space="preserve">19 .مختصر السيرة النبوية، ج 14،</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20.المسائل الجاهلية = الامور التي خالف فيها الرسول عليه السلام اهل الجاهلية، ج 14، ص 441 .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7742_69529"/>
    <w:bookmarkEnd w:id="90"/>
    <w:p>
      <w:pPr>
        <w:pStyle w:val="Heading2"/>
      </w:pPr>
      <w:bookmarkStart w:id="1504" w:name="_Toc606"/>
      <w:r>
        <w:t>ابن عبد ربه ، احمد بن محمّد 246 -</w:t>
      </w:r>
      <w:bookmarkEnd w:id="1504"/>
    </w:p>
    <w:p>
      <w:pPr>
        <w:pStyle w:val="BookText"/>
      </w:pPr>
      <w:r>
        <w:rPr>
          <w:rFonts w:ascii="IRNazanin" w:hAnsi="IRNazanin" w:eastAsia="IRNazanin" w:cs="IRNazanin"/>
          <w:lang w:bidi="fa-IR"/>
          <w:color w:val="111111"/>
          <w:sz w:val="28"/>
          <w:szCs w:val="28"/>
          <w:rtl/>
        </w:rPr>
        <w:t xml:space="preserve">328ه-</w:t>
      </w:r>
    </w:p>
    <w:p>
      <w:pPr>
        <w:pStyle w:val="BookText"/>
      </w:pPr>
      <w:r>
        <w:rPr>
          <w:rFonts w:ascii="Amiri" w:hAnsi="Amiri" w:eastAsia="Amiri" w:cs="Amiri"/>
          <w:lang w:bidi="ar-SA"/>
          <w:color w:val="111111"/>
          <w:sz w:val="28"/>
          <w:szCs w:val="28"/>
          <w:rtl/>
        </w:rPr>
        <w:t xml:space="preserve">العقد الفريد، ج 11، ص 168.</w:t>
      </w:r>
    </w:p>
    <w:p>
      <w:pPr>
        <w:pStyle w:val="BookText"/>
      </w:pPr>
      <w:r>
        <w:rPr>
          <w:rFonts w:ascii="Amiri" w:hAnsi="Amiri" w:eastAsia="Amiri" w:cs="Amiri"/>
          <w:lang w:bidi="ar-SA"/>
          <w:color w:val="111111"/>
          <w:sz w:val="28"/>
          <w:szCs w:val="28"/>
          <w:rtl/>
        </w:rPr>
        <w:t xml:space="preserve">ابن عبد ربه ، محمّد بن عبدالله- شافعي</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IRNazanin" w:hAnsi="IRNazanin" w:eastAsia="IRNazanin" w:cs="IRNazanin"/>
          <w:lang w:bidi="fa-IR"/>
          <w:color w:val="111111"/>
          <w:sz w:val="28"/>
          <w:szCs w:val="28"/>
          <w:rtl/>
        </w:rPr>
        <w:t xml:space="preserve">ابن عبدك ، محمّد بن محمّد -گنجي</w:t>
      </w:r>
    </w:p>
    <w:p>
      <w:pPr>
        <w:pStyle w:val="BookText"/>
      </w:pPr>
      <w:r>
        <w:rPr>
          <w:rFonts w:ascii="Amiri" w:hAnsi="Amiri" w:eastAsia="Amiri" w:cs="Amiri"/>
          <w:lang w:bidi="ar-SA"/>
          <w:color w:val="111111"/>
          <w:sz w:val="28"/>
          <w:szCs w:val="28"/>
          <w:rtl/>
        </w:rPr>
        <w:t xml:space="preserve">محمّد بن محمّد</w:t>
      </w:r>
    </w:p>
    <w:p>
      <w:pPr>
        <w:pStyle w:val="Heading2"/>
      </w:pPr>
      <w:bookmarkStart w:id="1505" w:name="_Toc607"/>
      <w:r>
        <w:t>ابن عبدون عبد المجيد بن عبدالله - 529ه-</w:t>
      </w:r>
      <w:bookmarkEnd w:id="1505"/>
    </w:p>
    <w:p>
      <w:pPr>
        <w:pStyle w:val="BookText"/>
      </w:pPr>
      <w:r>
        <w:rPr>
          <w:rFonts w:ascii="Amiri" w:hAnsi="Amiri" w:eastAsia="Amiri" w:cs="Amiri"/>
          <w:lang w:bidi="ar-SA"/>
          <w:color w:val="111111"/>
          <w:sz w:val="28"/>
          <w:szCs w:val="28"/>
          <w:rtl/>
        </w:rPr>
        <w:t xml:space="preserve">القصيدة البسامة، ج 12، ص 657.</w:t>
      </w:r>
    </w:p>
    <w:p>
      <w:pPr>
        <w:pStyle w:val="Heading2"/>
      </w:pPr>
      <w:bookmarkStart w:id="1506" w:name="_Toc608"/>
      <w:r>
        <w:t>ابن عبري، غريغوريوس بن هارون 623</w:t>
      </w:r>
      <w:bookmarkEnd w:id="15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685 ه-</w:t>
      </w:r>
    </w:p>
    <w:p>
      <w:pPr>
        <w:pStyle w:val="BookText"/>
      </w:pPr>
      <w:r>
        <w:rPr>
          <w:rFonts w:ascii="IRNazanin" w:hAnsi="IRNazanin" w:eastAsia="IRNazanin" w:cs="IRNazanin"/>
          <w:lang w:bidi="fa-IR"/>
          <w:color w:val="111111"/>
          <w:sz w:val="28"/>
          <w:szCs w:val="28"/>
          <w:rtl/>
        </w:rPr>
        <w:t xml:space="preserve">1 .طقس العماد، ج 10، ص 839.</w:t>
      </w:r>
    </w:p>
    <w:p>
      <w:pPr>
        <w:pStyle w:val="BookText"/>
      </w:pPr>
      <w:r>
        <w:rPr>
          <w:rFonts w:ascii="Amiri" w:hAnsi="Amiri" w:eastAsia="Amiri" w:cs="Amiri"/>
          <w:lang w:bidi="ar-SA"/>
          <w:color w:val="111111"/>
          <w:sz w:val="28"/>
          <w:szCs w:val="28"/>
          <w:rtl/>
        </w:rPr>
        <w:t xml:space="preserve">2 .القصص المضحكة، ج 12، ص 630.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قواعد اللغة السريانية، ج 12،</w:t>
      </w:r>
    </w:p>
    <w:p>
      <w:pPr>
        <w:pStyle w:val="BookText"/>
      </w:pPr>
      <w:r>
        <w:rPr>
          <w:rFonts w:ascii="IRNazanin" w:hAnsi="IRNazanin" w:eastAsia="IRNazanin" w:cs="IRNazanin"/>
          <w:lang w:bidi="fa-IR"/>
          <w:color w:val="111111"/>
          <w:sz w:val="28"/>
          <w:szCs w:val="28"/>
          <w:rtl/>
        </w:rPr>
        <w:t xml:space="preserve">ص 802.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قواعد اللغة الكلدانية، ج12،</w:t>
      </w:r>
    </w:p>
    <w:p>
      <w:pPr>
        <w:pStyle w:val="BookText"/>
      </w:pPr>
      <w:r>
        <w:rPr>
          <w:rFonts w:ascii="IRNazanin" w:hAnsi="IRNazanin" w:eastAsia="IRNazanin" w:cs="IRNazanin"/>
          <w:lang w:bidi="fa-IR"/>
          <w:color w:val="111111"/>
          <w:sz w:val="28"/>
          <w:szCs w:val="28"/>
          <w:rtl/>
        </w:rPr>
        <w:t xml:space="preserve">ص 804.</w:t>
      </w:r>
    </w:p>
    <w:p>
      <w:pPr>
        <w:pStyle w:val="BookText"/>
      </w:pPr>
      <w:r>
        <w:rPr>
          <w:rFonts w:ascii="IRNazanin" w:hAnsi="IRNazanin" w:eastAsia="IRNazanin" w:cs="IRNazanin"/>
          <w:lang w:bidi="fa-IR"/>
          <w:color w:val="111111"/>
          <w:sz w:val="28"/>
          <w:szCs w:val="28"/>
          <w:rtl/>
        </w:rPr>
        <w:t xml:space="preserve">5 .مختصر الدول، ج 14، ص 191.</w:t>
      </w:r>
    </w:p>
    <w:p>
      <w:pPr>
        <w:pStyle w:val="BookText"/>
      </w:pPr>
      <w:r>
        <w:rPr>
          <w:rFonts w:ascii="IRNazanin" w:hAnsi="IRNazanin" w:eastAsia="IRNazanin" w:cs="IRNazanin"/>
          <w:lang w:bidi="fa-IR"/>
          <w:color w:val="111111"/>
          <w:sz w:val="28"/>
          <w:szCs w:val="28"/>
          <w:rtl/>
        </w:rPr>
        <w:t xml:space="preserve">6 .مخزن الأسرار، ج 14، ص 289.</w:t>
      </w:r>
    </w:p>
    <w:p>
      <w:pPr>
        <w:pStyle w:val="BookText"/>
      </w:pPr>
      <w:r>
        <w:rPr>
          <w:rFonts w:ascii="Amiri" w:hAnsi="Amiri" w:eastAsia="Amiri" w:cs="Amiri"/>
          <w:lang w:bidi="ar-SA"/>
          <w:color w:val="111111"/>
          <w:sz w:val="28"/>
          <w:szCs w:val="28"/>
          <w:rtl/>
        </w:rPr>
        <w:t xml:space="preserve">ابن عبيد الكافي ، عبيد الله -عبيدي ،</w:t>
      </w:r>
    </w:p>
    <w:p>
      <w:pPr>
        <w:pStyle w:val="BookText"/>
      </w:pPr>
      <w:r>
        <w:rPr>
          <w:rFonts w:ascii="Amiri" w:hAnsi="Amiri" w:eastAsia="Amiri" w:cs="Amiri"/>
          <w:lang w:bidi="ar-SA"/>
          <w:color w:val="111111"/>
          <w:sz w:val="28"/>
          <w:szCs w:val="28"/>
          <w:rtl/>
        </w:rPr>
        <w:t xml:space="preserve">عبيد الله بن عبد الكافي</w:t>
      </w:r>
    </w:p>
    <w:p>
      <w:pPr>
        <w:pStyle w:val="BookText"/>
      </w:pPr>
      <w:r>
        <w:rPr>
          <w:rFonts w:ascii="Amiri" w:hAnsi="Amiri" w:eastAsia="Amiri" w:cs="Amiri"/>
          <w:lang w:bidi="ar-SA"/>
          <w:color w:val="111111"/>
          <w:sz w:val="28"/>
          <w:szCs w:val="28"/>
          <w:rtl/>
        </w:rPr>
        <w:t xml:space="preserve">ابن عتايقي ، عبدالرحمان بن محمّد -عتايقي ، عبدالرحمن بن محمّد</w:t>
      </w:r>
    </w:p>
    <w:p>
      <w:pPr>
        <w:pStyle w:val="Heading2"/>
      </w:pPr>
      <w:bookmarkStart w:id="1507" w:name="_Toc609"/>
      <w:r>
        <w:t>ابن عجاج ، رؤبة بن عبدالله - 145 ه-</w:t>
      </w:r>
      <w:bookmarkEnd w:id="1507"/>
    </w:p>
    <w:p>
      <w:pPr>
        <w:pStyle w:val="BookText"/>
      </w:pPr>
      <w:r>
        <w:rPr>
          <w:rFonts w:ascii="Amiri" w:hAnsi="Amiri" w:eastAsia="Amiri" w:cs="Amiri"/>
          <w:lang w:bidi="ar-SA"/>
          <w:color w:val="111111"/>
          <w:sz w:val="28"/>
          <w:szCs w:val="28"/>
          <w:rtl/>
        </w:rPr>
        <w:t xml:space="preserve">ديوان ابن العجاج = مجموع اشعار</w:t>
      </w:r>
    </w:p>
    <w:p>
      <w:pPr>
        <w:pStyle w:val="BookText"/>
      </w:pPr>
      <w:r>
        <w:rPr>
          <w:rFonts w:ascii="Amiri" w:hAnsi="Amiri" w:eastAsia="Amiri" w:cs="Amiri"/>
          <w:lang w:bidi="ar-SA"/>
          <w:color w:val="111111"/>
          <w:sz w:val="28"/>
          <w:szCs w:val="28"/>
          <w:rtl/>
        </w:rPr>
        <w:t xml:space="preserve">العرب في الاراجيز، ج 7، ص 524.</w:t>
      </w:r>
    </w:p>
    <w:p>
      <w:pPr>
        <w:pStyle w:val="BookText"/>
      </w:pPr>
      <w:r>
        <w:rPr>
          <w:rFonts w:ascii="Amiri" w:hAnsi="Amiri" w:eastAsia="Amiri" w:cs="Amiri"/>
          <w:lang w:bidi="ar-SA"/>
          <w:color w:val="111111"/>
          <w:sz w:val="28"/>
          <w:szCs w:val="28"/>
          <w:rtl/>
        </w:rPr>
        <w:t xml:space="preserve">ابن عجلون ، محمّد بن عبدالله- ابن قاضي</w:t>
      </w:r>
    </w:p>
    <w:p>
      <w:pPr>
        <w:pStyle w:val="BookText"/>
      </w:pPr>
      <w:r>
        <w:rPr>
          <w:rFonts w:ascii="IRNazanin" w:hAnsi="IRNazanin" w:eastAsia="IRNazanin" w:cs="IRNazanin"/>
          <w:lang w:bidi="fa-IR"/>
          <w:color w:val="111111"/>
          <w:sz w:val="28"/>
          <w:szCs w:val="28"/>
          <w:rtl/>
        </w:rPr>
        <w:t xml:space="preserve">عجلون ، محمّد بن عبدالله</w:t>
      </w:r>
    </w:p>
    <w:p>
      <w:pPr>
        <w:pStyle w:val="Heading2"/>
      </w:pPr>
      <w:bookmarkStart w:id="1508" w:name="_Toc610"/>
      <w:r>
        <w:t>ابن عجمي ، احمد بن محمّد - 840 ه-</w:t>
      </w:r>
      <w:bookmarkEnd w:id="1508"/>
    </w:p>
    <w:p>
      <w:pPr>
        <w:pStyle w:val="BookText"/>
      </w:pPr>
      <w:r>
        <w:rPr>
          <w:rFonts w:ascii="Amiri" w:hAnsi="Amiri" w:eastAsia="Amiri" w:cs="Amiri"/>
          <w:lang w:bidi="ar-SA"/>
          <w:color w:val="111111"/>
          <w:sz w:val="28"/>
          <w:szCs w:val="28"/>
          <w:rtl/>
        </w:rPr>
        <w:t xml:space="preserve">1 .جواب على سؤال في كلمات</w:t>
      </w:r>
    </w:p>
    <w:p>
      <w:pPr>
        <w:pStyle w:val="BookText"/>
      </w:pPr>
      <w:r>
        <w:rPr>
          <w:rFonts w:ascii="Amiri" w:hAnsi="Amiri" w:eastAsia="Amiri" w:cs="Amiri"/>
          <w:lang w:bidi="ar-SA"/>
          <w:color w:val="111111"/>
          <w:sz w:val="28"/>
          <w:szCs w:val="28"/>
          <w:rtl/>
        </w:rPr>
        <w:t xml:space="preserve">الصوفية، ج 5، ص 502.</w:t>
      </w:r>
    </w:p>
    <w:p>
      <w:pPr>
        <w:pStyle w:val="BookText"/>
      </w:pPr>
      <w:r>
        <w:rPr>
          <w:rFonts w:ascii="Amiri" w:hAnsi="Amiri" w:eastAsia="Amiri" w:cs="Amiri"/>
          <w:lang w:bidi="ar-SA"/>
          <w:color w:val="111111"/>
          <w:sz w:val="28"/>
          <w:szCs w:val="28"/>
          <w:rtl/>
        </w:rPr>
        <w:t xml:space="preserve">2 صلاة الجمعة، ج 10، ص 595.</w:t>
      </w:r>
    </w:p>
    <w:p>
      <w:pPr>
        <w:pStyle w:val="Heading2"/>
      </w:pPr>
      <w:bookmarkStart w:id="1509" w:name="_Toc611"/>
      <w:r>
        <w:t>ابن عجيبه ، احمد بن محمّد 1160؟ -</w:t>
      </w:r>
      <w:bookmarkEnd w:id="1509"/>
    </w:p>
    <w:p>
      <w:pPr>
        <w:pStyle w:val="BookText"/>
      </w:pPr>
      <w:r>
        <w:rPr>
          <w:rFonts w:ascii="IRNazanin" w:hAnsi="IRNazanin" w:eastAsia="IRNazanin" w:cs="IRNazanin"/>
          <w:lang w:bidi="fa-IR"/>
          <w:color w:val="111111"/>
          <w:sz w:val="28"/>
          <w:szCs w:val="28"/>
          <w:rtl/>
        </w:rPr>
        <w:t xml:space="preserve">1224 ؟ ه-</w:t>
      </w:r>
    </w:p>
    <w:p>
      <w:pPr>
        <w:pStyle w:val="BookText"/>
      </w:pPr>
      <w:r>
        <w:rPr>
          <w:rFonts w:ascii="Amiri" w:hAnsi="Amiri" w:eastAsia="Amiri" w:cs="Amiri"/>
          <w:lang w:bidi="ar-SA"/>
          <w:color w:val="111111"/>
          <w:sz w:val="28"/>
          <w:szCs w:val="28"/>
          <w:rtl/>
        </w:rPr>
        <w:t xml:space="preserve">تحفة الاسرار الغيبية و المواهب الكنزية في حل الآجرومية، ج3، ص 798</w:t>
      </w:r>
    </w:p>
    <w:p>
      <w:pPr>
        <w:pStyle w:val="Heading2"/>
      </w:pPr>
      <w:bookmarkStart w:id="1510" w:name="_Toc612"/>
      <w:r>
        <w:t>ابن عجيل، احمد بن موسى - 690؟ ه-</w:t>
      </w:r>
      <w:bookmarkEnd w:id="1510"/>
    </w:p>
    <w:p>
      <w:pPr>
        <w:pStyle w:val="BookText"/>
      </w:pPr>
      <w:r>
        <w:rPr>
          <w:rFonts w:ascii="Amiri" w:hAnsi="Amiri" w:eastAsia="Amiri" w:cs="Amiri"/>
          <w:lang w:bidi="ar-SA"/>
          <w:color w:val="111111"/>
          <w:sz w:val="28"/>
          <w:szCs w:val="28"/>
          <w:rtl/>
        </w:rPr>
        <w:t xml:space="preserve">سر الفاتحة (قصيدة في)، ج 8، ص 759.</w:t>
      </w:r>
    </w:p>
    <w:p>
      <w:pPr>
        <w:pStyle w:val="Heading2"/>
      </w:pPr>
      <w:bookmarkStart w:id="1511" w:name="_Toc613"/>
      <w:r>
        <w:t>ابن عدي ، عبدالله بن عدي 277-365ه-</w:t>
      </w:r>
      <w:bookmarkEnd w:id="1511"/>
    </w:p>
    <w:p>
      <w:pPr>
        <w:pStyle w:val="BookText"/>
      </w:pPr>
      <w:r>
        <w:rPr>
          <w:rFonts w:ascii="Amiri" w:hAnsi="Amiri" w:eastAsia="Amiri" w:cs="Amiri"/>
          <w:lang w:bidi="ar-SA"/>
          <w:color w:val="111111"/>
          <w:sz w:val="28"/>
          <w:szCs w:val="28"/>
          <w:rtl/>
        </w:rPr>
        <w:t xml:space="preserve">الكامل في معرفة الضعفاء والمتروكين</w:t>
      </w:r>
    </w:p>
    <w:p>
      <w:pPr>
        <w:pStyle w:val="BookText"/>
      </w:pPr>
      <w:r>
        <w:rPr>
          <w:rFonts w:ascii="Amiri" w:hAnsi="Amiri" w:eastAsia="Amiri" w:cs="Amiri"/>
          <w:lang w:bidi="ar-SA"/>
          <w:color w:val="111111"/>
          <w:sz w:val="28"/>
          <w:szCs w:val="28"/>
          <w:rtl/>
        </w:rPr>
        <w:t xml:space="preserve">من الرواة، ج13، ص 76.</w:t>
      </w:r>
    </w:p>
    <w:p>
      <w:pPr>
        <w:pStyle w:val="Heading2"/>
      </w:pPr>
      <w:bookmarkStart w:id="1512" w:name="_Toc614"/>
      <w:r>
        <w:t>ابن عديم ، عمر بن احمد، 588 - 660 ه-</w:t>
      </w:r>
      <w:bookmarkEnd w:id="1512"/>
    </w:p>
    <w:p>
      <w:pPr>
        <w:pStyle w:val="BookText"/>
      </w:pPr>
      <w:r>
        <w:rPr>
          <w:rFonts w:ascii="Amiri" w:hAnsi="Amiri" w:eastAsia="Amiri" w:cs="Amiri"/>
          <w:lang w:bidi="ar-SA"/>
          <w:color w:val="111111"/>
          <w:sz w:val="28"/>
          <w:szCs w:val="28"/>
          <w:rtl/>
        </w:rPr>
        <w:t xml:space="preserve">بغية الطلب في تاريخ حلب = زبدة الحلب من تاريخ حلب، ج3، ص 374</w:t>
      </w:r>
    </w:p>
    <w:p>
      <w:pPr>
        <w:pStyle w:val="Heading2"/>
      </w:pPr>
      <w:bookmarkStart w:id="1513" w:name="_Toc615"/>
      <w:r>
        <w:t>ابن عرابي</w:t>
      </w:r>
      <w:bookmarkEnd w:id="1513"/>
    </w:p>
    <w:p>
      <w:pPr>
        <w:pStyle w:val="BookText"/>
      </w:pPr>
      <w:r>
        <w:rPr>
          <w:rFonts w:ascii="Amiri" w:hAnsi="Amiri" w:eastAsia="Amiri" w:cs="Amiri"/>
          <w:lang w:bidi="ar-SA"/>
          <w:color w:val="111111"/>
          <w:sz w:val="28"/>
          <w:szCs w:val="28"/>
          <w:rtl/>
        </w:rPr>
        <w:t xml:space="preserve">شرح على الصلاة الطلسمة، ج 9،</w:t>
      </w:r>
    </w:p>
    <w:p>
      <w:pPr>
        <w:pStyle w:val="BookText"/>
      </w:pPr>
      <w:r>
        <w:rPr>
          <w:rFonts w:ascii="IRNazanin" w:hAnsi="IRNazanin" w:eastAsia="IRNazanin" w:cs="IRNazanin"/>
          <w:lang w:bidi="fa-IR"/>
          <w:color w:val="111111"/>
          <w:sz w:val="28"/>
          <w:szCs w:val="28"/>
          <w:rtl/>
        </w:rPr>
        <w:t xml:space="preserve">ص 749 .</w:t>
      </w:r>
    </w:p>
    <w:p>
      <w:pPr>
        <w:pStyle w:val="Heading2"/>
      </w:pPr>
      <w:bookmarkStart w:id="1514" w:name="_Toc616"/>
      <w:r>
        <w:t>ابن عراق، علي بن محمّد، 907 - 963 ه-</w:t>
      </w:r>
      <w:bookmarkEnd w:id="1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تنزيه الشريعة المرفوعة عن الاخبار</w:t>
      </w:r>
    </w:p>
    <w:p>
      <w:pPr>
        <w:pStyle w:val="BookText"/>
      </w:pPr>
      <w:r>
        <w:rPr>
          <w:rFonts w:ascii="Amiri" w:hAnsi="Amiri" w:eastAsia="Amiri" w:cs="Amiri"/>
          <w:lang w:bidi="ar-SA"/>
          <w:color w:val="111111"/>
          <w:sz w:val="28"/>
          <w:szCs w:val="28"/>
          <w:rtl/>
        </w:rPr>
        <w:t xml:space="preserve">الشنيعة الموضوعة، ج 5، ص 55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العباب المحيط بمعظم نصوص الشافعي و الاصحاب، ج 9، ص 686.</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1" w:name="pg7742_69531"/>
    <w:bookmarkEnd w:id="91"/>
    <w:p>
      <w:pPr>
        <w:pStyle w:val="Heading2"/>
      </w:pPr>
      <w:bookmarkStart w:id="1515" w:name="_Toc617"/>
      <w:r>
        <w:t>ابن عراقي ، احمد بن عبدالرحيم 762 -</w:t>
      </w:r>
      <w:bookmarkEnd w:id="1515"/>
    </w:p>
    <w:p>
      <w:pPr>
        <w:pStyle w:val="BookText"/>
      </w:pPr>
      <w:r>
        <w:rPr>
          <w:rFonts w:ascii="IRNazanin" w:hAnsi="IRNazanin" w:eastAsia="IRNazanin" w:cs="IRNazanin"/>
          <w:lang w:bidi="fa-IR"/>
          <w:color w:val="111111"/>
          <w:sz w:val="28"/>
          <w:szCs w:val="28"/>
          <w:rtl/>
        </w:rPr>
        <w:t xml:space="preserve">826 ه-</w:t>
      </w:r>
    </w:p>
    <w:p>
      <w:pPr>
        <w:pStyle w:val="BookText"/>
      </w:pPr>
      <w:r>
        <w:rPr>
          <w:rFonts w:ascii="Amiri" w:hAnsi="Amiri" w:eastAsia="Amiri" w:cs="Amiri"/>
          <w:lang w:bidi="ar-SA"/>
          <w:color w:val="111111"/>
          <w:sz w:val="28"/>
          <w:szCs w:val="28"/>
          <w:rtl/>
        </w:rPr>
        <w:t xml:space="preserve">1 .الاجوبة المرضية عن الأسئلة المكية</w:t>
      </w:r>
    </w:p>
    <w:p>
      <w:pPr>
        <w:pStyle w:val="BookText"/>
      </w:pPr>
      <w:r>
        <w:rPr>
          <w:rFonts w:ascii="IRNazanin" w:hAnsi="IRNazanin" w:eastAsia="IRNazanin" w:cs="IRNazanin"/>
          <w:lang w:bidi="fa-IR"/>
          <w:color w:val="111111"/>
          <w:sz w:val="28"/>
          <w:szCs w:val="28"/>
          <w:rtl/>
        </w:rPr>
        <w:t xml:space="preserve">ج 1، ص330.</w:t>
      </w:r>
    </w:p>
    <w:p>
      <w:pPr>
        <w:pStyle w:val="BookText"/>
      </w:pPr>
      <w:r>
        <w:rPr>
          <w:rFonts w:ascii="Amiri" w:hAnsi="Amiri" w:eastAsia="Amiri" w:cs="Amiri"/>
          <w:lang w:bidi="ar-SA"/>
          <w:color w:val="111111"/>
          <w:sz w:val="28"/>
          <w:szCs w:val="28"/>
          <w:rtl/>
        </w:rPr>
        <w:t xml:space="preserve">2 .ادب القاضي - كتاب القضاء، ج1،</w:t>
      </w:r>
    </w:p>
    <w:p>
      <w:pPr>
        <w:pStyle w:val="BookText"/>
      </w:pPr>
      <w:r>
        <w:rPr>
          <w:rFonts w:ascii="IRNazanin" w:hAnsi="IRNazanin" w:eastAsia="IRNazanin" w:cs="IRNazanin"/>
          <w:lang w:bidi="fa-IR"/>
          <w:color w:val="111111"/>
          <w:sz w:val="28"/>
          <w:szCs w:val="28"/>
          <w:rtl/>
        </w:rPr>
        <w:t xml:space="preserve">ص 591 .</w:t>
      </w:r>
    </w:p>
    <w:p>
      <w:pPr>
        <w:pStyle w:val="BookText"/>
      </w:pPr>
      <w:r>
        <w:rPr>
          <w:rFonts w:ascii="Amiri" w:hAnsi="Amiri" w:eastAsia="Amiri" w:cs="Amiri"/>
          <w:lang w:bidi="ar-SA"/>
          <w:color w:val="111111"/>
          <w:sz w:val="28"/>
          <w:szCs w:val="28"/>
          <w:rtl/>
        </w:rPr>
        <w:t xml:space="preserve">3.البيان و التوضيح لمن أخرج له في</w:t>
      </w:r>
    </w:p>
    <w:p>
      <w:pPr>
        <w:pStyle w:val="BookText"/>
      </w:pPr>
      <w:r>
        <w:rPr>
          <w:rFonts w:ascii="Amiri" w:hAnsi="Amiri" w:eastAsia="Amiri" w:cs="Amiri"/>
          <w:lang w:bidi="ar-SA"/>
          <w:color w:val="111111"/>
          <w:sz w:val="28"/>
          <w:szCs w:val="28"/>
          <w:rtl/>
        </w:rPr>
        <w:t xml:space="preserve">الصحيح، ج 3، ص 499.</w:t>
      </w:r>
    </w:p>
    <w:p>
      <w:pPr>
        <w:pStyle w:val="BookText"/>
      </w:pPr>
      <w:r>
        <w:rPr>
          <w:rFonts w:ascii="Amiri" w:hAnsi="Amiri" w:eastAsia="Amiri" w:cs="Amiri"/>
          <w:lang w:bidi="ar-SA"/>
          <w:color w:val="111111"/>
          <w:sz w:val="28"/>
          <w:szCs w:val="28"/>
          <w:rtl/>
        </w:rPr>
        <w:t xml:space="preserve">4 .تحرير الفتاوى على التنبيه و المنهاج والحاوي، ج3، ص739.</w:t>
      </w:r>
    </w:p>
    <w:p>
      <w:pPr>
        <w:pStyle w:val="BookText"/>
      </w:pPr>
      <w:r>
        <w:rPr>
          <w:rFonts w:ascii="Amiri" w:hAnsi="Amiri" w:eastAsia="Amiri" w:cs="Amiri"/>
          <w:lang w:bidi="ar-SA"/>
          <w:color w:val="111111"/>
          <w:sz w:val="28"/>
          <w:szCs w:val="28"/>
          <w:rtl/>
        </w:rPr>
        <w:t xml:space="preserve">5 .تحفة التحصيل في ذكر رواة المراسيل، ج 3، ص 816.</w:t>
      </w:r>
    </w:p>
    <w:p>
      <w:pPr>
        <w:pStyle w:val="BookText"/>
      </w:pPr>
      <w:r>
        <w:rPr>
          <w:rFonts w:ascii="Amiri" w:hAnsi="Amiri" w:eastAsia="Amiri" w:cs="Amiri"/>
          <w:lang w:bidi="ar-SA"/>
          <w:color w:val="111111"/>
          <w:sz w:val="28"/>
          <w:szCs w:val="28"/>
          <w:rtl/>
        </w:rPr>
        <w:t xml:space="preserve">6 .الحكم بالصحة و الحكم بالموجب</w:t>
      </w:r>
    </w:p>
    <w:p>
      <w:pPr>
        <w:pStyle w:val="BookText"/>
      </w:pPr>
      <w:r>
        <w:rPr>
          <w:rFonts w:ascii="Amiri" w:hAnsi="Amiri" w:eastAsia="Amiri" w:cs="Amiri"/>
          <w:lang w:bidi="ar-SA"/>
          <w:color w:val="111111"/>
          <w:sz w:val="28"/>
          <w:szCs w:val="28"/>
          <w:rtl/>
        </w:rPr>
        <w:t xml:space="preserve">(رسالة في) = الفرق بين الحكم بالصحة و الموجب، ج 6، ص 736.</w:t>
      </w:r>
    </w:p>
    <w:p>
      <w:pPr>
        <w:pStyle w:val="BookText"/>
      </w:pPr>
      <w:r>
        <w:rPr>
          <w:rFonts w:ascii="Amiri" w:hAnsi="Amiri" w:eastAsia="Amiri" w:cs="Amiri"/>
          <w:lang w:bidi="ar-SA"/>
          <w:color w:val="111111"/>
          <w:sz w:val="28"/>
          <w:szCs w:val="28"/>
          <w:rtl/>
        </w:rPr>
        <w:t xml:space="preserve">7 .ذيل الكاشف في أسماء الرجال، ج 7،</w:t>
      </w:r>
    </w:p>
    <w:p>
      <w:pPr>
        <w:pStyle w:val="BookText"/>
      </w:pPr>
      <w:r>
        <w:rPr>
          <w:rFonts w:ascii="IRNazanin" w:hAnsi="IRNazanin" w:eastAsia="IRNazanin" w:cs="IRNazanin"/>
          <w:lang w:bidi="fa-IR"/>
          <w:color w:val="111111"/>
          <w:sz w:val="28"/>
          <w:szCs w:val="28"/>
          <w:rtl/>
        </w:rPr>
        <w:t xml:space="preserve">ص 879</w:t>
      </w:r>
    </w:p>
    <w:p>
      <w:pPr>
        <w:pStyle w:val="BookText"/>
      </w:pPr>
      <w:r>
        <w:rPr>
          <w:rFonts w:ascii="Amiri" w:hAnsi="Amiri" w:eastAsia="Amiri" w:cs="Amiri"/>
          <w:lang w:bidi="ar-SA"/>
          <w:color w:val="111111"/>
          <w:sz w:val="28"/>
          <w:szCs w:val="28"/>
          <w:rtl/>
        </w:rPr>
        <w:t xml:space="preserve">8.الذيل على الذيل على ذيل كتاب العبر للذهبي، ج 7، ص878.</w:t>
      </w:r>
    </w:p>
    <w:p>
      <w:pPr>
        <w:pStyle w:val="BookText"/>
      </w:pPr>
      <w:r>
        <w:rPr>
          <w:rFonts w:ascii="Amiri" w:hAnsi="Amiri" w:eastAsia="Amiri" w:cs="Amiri"/>
          <w:lang w:bidi="ar-SA"/>
          <w:color w:val="111111"/>
          <w:sz w:val="28"/>
          <w:szCs w:val="28"/>
          <w:rtl/>
        </w:rPr>
        <w:t xml:space="preserve">9 .شرح السنن = التوسط المحمود في شرح سنن أبي داود، ج 9، ص 590.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منظومة عبد الرحيم العراقي</w:t>
      </w:r>
    </w:p>
    <w:p>
      <w:pPr>
        <w:pStyle w:val="BookText"/>
      </w:pPr>
      <w:r>
        <w:rPr>
          <w:rFonts w:ascii="IRNazanin" w:hAnsi="IRNazanin" w:eastAsia="IRNazanin" w:cs="IRNazanin"/>
          <w:lang w:bidi="fa-IR"/>
          <w:color w:val="111111"/>
          <w:sz w:val="28"/>
          <w:szCs w:val="28"/>
          <w:rtl/>
        </w:rPr>
        <w:t xml:space="preserve">ج 10، ص 247 .</w:t>
      </w:r>
    </w:p>
    <w:p>
      <w:pPr>
        <w:pStyle w:val="BookText"/>
      </w:pPr>
      <w:r>
        <w:rPr>
          <w:rFonts w:ascii="Amiri" w:hAnsi="Amiri" w:eastAsia="Amiri" w:cs="Amiri"/>
          <w:lang w:bidi="ar-SA"/>
          <w:color w:val="111111"/>
          <w:sz w:val="28"/>
          <w:szCs w:val="28"/>
          <w:rtl/>
        </w:rPr>
        <w:t xml:space="preserve">11 .طرح التثريب في شرح التقريب</w:t>
      </w:r>
    </w:p>
    <w:p>
      <w:pPr>
        <w:pStyle w:val="BookText"/>
      </w:pPr>
      <w:r>
        <w:rPr>
          <w:rFonts w:ascii="IRNazanin" w:hAnsi="IRNazanin" w:eastAsia="IRNazanin" w:cs="IRNazanin"/>
          <w:lang w:bidi="fa-IR"/>
          <w:color w:val="111111"/>
          <w:sz w:val="28"/>
          <w:szCs w:val="28"/>
          <w:rtl/>
        </w:rPr>
        <w:t xml:space="preserve">ج 10، ص 811.</w:t>
      </w:r>
    </w:p>
    <w:p>
      <w:pPr>
        <w:pStyle w:val="BookText"/>
      </w:pPr>
      <w:r>
        <w:rPr>
          <w:rFonts w:ascii="Amiri" w:hAnsi="Amiri" w:eastAsia="Amiri" w:cs="Amiri"/>
          <w:lang w:bidi="ar-SA"/>
          <w:color w:val="111111"/>
          <w:sz w:val="28"/>
          <w:szCs w:val="28"/>
          <w:rtl/>
        </w:rPr>
        <w:t xml:space="preserve">12 .الغيث الهامع في شرح جمع</w:t>
      </w:r>
    </w:p>
    <w:p>
      <w:pPr>
        <w:pStyle w:val="BookText"/>
      </w:pPr>
      <w:r>
        <w:rPr>
          <w:rFonts w:ascii="IRNazanin" w:hAnsi="IRNazanin" w:eastAsia="IRNazanin" w:cs="IRNazanin"/>
          <w:lang w:bidi="fa-IR"/>
          <w:color w:val="111111"/>
          <w:sz w:val="28"/>
          <w:szCs w:val="28"/>
          <w:rtl/>
        </w:rPr>
        <w:t xml:space="preserve">الجوامع، ج 11، ص 563.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المعين على فهم أرجوزة إبن الياسمين في الجبر والمقابلة، ج 15،</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14 .النهجة المرضية في شرح البهجة الوردية - الدرر البهية في شرح</w:t>
      </w:r>
    </w:p>
    <w:p>
      <w:pPr>
        <w:pStyle w:val="BookText"/>
      </w:pPr>
      <w:r>
        <w:rPr>
          <w:rFonts w:ascii="Amiri" w:hAnsi="Amiri" w:eastAsia="Amiri" w:cs="Amiri"/>
          <w:lang w:bidi="ar-SA"/>
          <w:color w:val="111111"/>
          <w:sz w:val="28"/>
          <w:szCs w:val="28"/>
          <w:rtl/>
        </w:rPr>
        <w:t xml:space="preserve">البهجة الوردية = شرح نظم</w:t>
      </w:r>
    </w:p>
    <w:p>
      <w:pPr>
        <w:pStyle w:val="BookText"/>
      </w:pPr>
      <w:r>
        <w:rPr>
          <w:rFonts w:ascii="Amiri" w:hAnsi="Amiri" w:eastAsia="Amiri" w:cs="Amiri"/>
          <w:lang w:bidi="ar-SA"/>
          <w:color w:val="111111"/>
          <w:sz w:val="28"/>
          <w:szCs w:val="28"/>
          <w:rtl/>
        </w:rPr>
        <w:t xml:space="preserve">الحاوي الصغير، ج 16، ص 522.</w:t>
      </w:r>
    </w:p>
    <w:p>
      <w:pPr>
        <w:pStyle w:val="BookText"/>
      </w:pPr>
      <w:r>
        <w:rPr>
          <w:rFonts w:ascii="Amiri" w:hAnsi="Amiri" w:eastAsia="Amiri" w:cs="Amiri"/>
          <w:lang w:bidi="ar-SA"/>
          <w:color w:val="111111"/>
          <w:sz w:val="28"/>
          <w:szCs w:val="28"/>
          <w:rtl/>
        </w:rPr>
        <w:t xml:space="preserve">ابن عربشاه، ابراهيم بن محمّد عصام</w:t>
      </w:r>
    </w:p>
    <w:p>
      <w:pPr>
        <w:pStyle w:val="BookText"/>
      </w:pPr>
      <w:r>
        <w:rPr>
          <w:rFonts w:ascii="Amiri" w:hAnsi="Amiri" w:eastAsia="Amiri" w:cs="Amiri"/>
          <w:lang w:bidi="ar-SA"/>
          <w:color w:val="111111"/>
          <w:sz w:val="28"/>
          <w:szCs w:val="28"/>
          <w:rtl/>
        </w:rPr>
        <w:t xml:space="preserve">الدين اسفرايني ، ابراهيم بن محمّد</w:t>
      </w:r>
    </w:p>
    <w:p>
      <w:pPr>
        <w:pStyle w:val="Heading2"/>
      </w:pPr>
      <w:bookmarkStart w:id="1516" w:name="_Toc618"/>
      <w:r>
        <w:t>ابن عربشاه ، احمد بن محمّد 791 -</w:t>
      </w:r>
      <w:bookmarkEnd w:id="1516"/>
    </w:p>
    <w:p>
      <w:pPr>
        <w:pStyle w:val="BookText"/>
      </w:pPr>
      <w:r>
        <w:rPr>
          <w:rFonts w:ascii="IRNazanin" w:hAnsi="IRNazanin" w:eastAsia="IRNazanin" w:cs="IRNazanin"/>
          <w:lang w:bidi="fa-IR"/>
          <w:color w:val="111111"/>
          <w:sz w:val="28"/>
          <w:szCs w:val="28"/>
          <w:rtl/>
        </w:rPr>
        <w:t xml:space="preserve">854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عجائب المقدور في اخبار نوائب</w:t>
      </w:r>
    </w:p>
    <w:p>
      <w:pPr>
        <w:pStyle w:val="BookText"/>
      </w:pPr>
      <w:r>
        <w:rPr>
          <w:rFonts w:ascii="IRNazanin" w:hAnsi="IRNazanin" w:eastAsia="IRNazanin" w:cs="IRNazanin"/>
          <w:lang w:bidi="fa-IR"/>
          <w:color w:val="111111"/>
          <w:sz w:val="28"/>
          <w:szCs w:val="28"/>
          <w:rtl/>
        </w:rPr>
        <w:t xml:space="preserve">تیمور، ج 11، ص38.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فاكهة الخلفاء و مفاكهة الظرفاء،</w:t>
      </w:r>
    </w:p>
    <w:p>
      <w:pPr>
        <w:pStyle w:val="BookText"/>
      </w:pPr>
      <w:r>
        <w:rPr>
          <w:rFonts w:ascii="IRNazanin" w:hAnsi="IRNazanin" w:eastAsia="IRNazanin" w:cs="IRNazanin"/>
          <w:lang w:bidi="fa-IR"/>
          <w:color w:val="111111"/>
          <w:sz w:val="28"/>
          <w:szCs w:val="28"/>
          <w:rtl/>
        </w:rPr>
        <w:t xml:space="preserve">ج 11، ص 586.</w:t>
      </w:r>
    </w:p>
    <w:p>
      <w:pPr>
        <w:pStyle w:val="BookText"/>
      </w:pPr>
      <w:r>
        <w:rPr>
          <w:rFonts w:ascii="Amiri" w:hAnsi="Amiri" w:eastAsia="Amiri" w:cs="Amiri"/>
          <w:lang w:bidi="ar-SA"/>
          <w:color w:val="111111"/>
          <w:sz w:val="28"/>
          <w:szCs w:val="28"/>
          <w:rtl/>
        </w:rPr>
        <w:t xml:space="preserve">ابن عربشاه اسفرايني -عصامي ، علي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ابن عربشاه عصامي، عصام الدين علي بن إسماعيل بن إبراهيم -عصام الدين اسفرايني ، ابراهيم بن محمّد</w:t>
      </w:r>
    </w:p>
    <w:p>
      <w:pPr>
        <w:pStyle w:val="Heading2"/>
      </w:pPr>
      <w:bookmarkStart w:id="1517" w:name="_Toc619"/>
      <w:r>
        <w:t>ابن عرب، محمّد بن عرب</w:t>
      </w:r>
      <w:bookmarkEnd w:id="1517"/>
    </w:p>
    <w:p>
      <w:pPr>
        <w:pStyle w:val="BookText"/>
      </w:pPr>
      <w:r>
        <w:rPr>
          <w:rFonts w:ascii="IRNazanin" w:hAnsi="IRNazanin" w:eastAsia="IRNazanin" w:cs="IRNazanin"/>
          <w:lang w:bidi="fa-IR"/>
          <w:color w:val="111111"/>
          <w:sz w:val="28"/>
          <w:szCs w:val="28"/>
          <w:rtl/>
        </w:rPr>
        <w:t xml:space="preserve">شرح الاستعارات، ج9، ص 194.</w:t>
      </w:r>
    </w:p>
    <w:p>
      <w:pPr>
        <w:pStyle w:val="Heading2"/>
      </w:pPr>
      <w:bookmarkStart w:id="1518" w:name="_Toc620"/>
      <w:r>
        <w:t>ابن عربي ، محمّد بن علي، 560 - 638 ه-</w:t>
      </w:r>
      <w:bookmarkEnd w:id="15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آداب المريدين، ج 1، ص 56. .2 .الاتحاد الكوني في حضرة الاشهاد</w:t>
      </w:r>
    </w:p>
    <w:p>
      <w:pPr>
        <w:pStyle w:val="BookText"/>
      </w:pPr>
      <w:r>
        <w:rPr>
          <w:rFonts w:ascii="Amiri" w:hAnsi="Amiri" w:eastAsia="Amiri" w:cs="Amiri"/>
          <w:lang w:bidi="ar-SA"/>
          <w:color w:val="111111"/>
          <w:sz w:val="28"/>
          <w:szCs w:val="28"/>
          <w:rtl/>
        </w:rPr>
        <w:t xml:space="preserve">العيني = الايجاد الكوني، ج1،</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اجازة للسلطان بهاء الدين الغازي</w:t>
      </w:r>
    </w:p>
    <w:p>
      <w:pPr>
        <w:pStyle w:val="BookText"/>
      </w:pPr>
      <w:r>
        <w:rPr>
          <w:rFonts w:ascii="IRNazanin" w:hAnsi="IRNazanin" w:eastAsia="IRNazanin" w:cs="IRNazanin"/>
          <w:lang w:bidi="fa-IR"/>
          <w:color w:val="111111"/>
          <w:sz w:val="28"/>
          <w:szCs w:val="28"/>
          <w:rtl/>
        </w:rPr>
        <w:t xml:space="preserve">ج 1، ص 244.</w:t>
      </w:r>
    </w:p>
    <w:p>
      <w:pPr>
        <w:pStyle w:val="BookText"/>
      </w:pPr>
      <w:r>
        <w:rPr>
          <w:rFonts w:ascii="Amiri" w:hAnsi="Amiri" w:eastAsia="Amiri" w:cs="Amiri"/>
          <w:lang w:bidi="ar-SA"/>
          <w:color w:val="111111"/>
          <w:sz w:val="28"/>
          <w:szCs w:val="28"/>
          <w:rtl/>
        </w:rPr>
        <w:t xml:space="preserve">4 .الاحدية = كتاب الالف - تفسير</w:t>
      </w:r>
    </w:p>
    <w:p>
      <w:pPr>
        <w:pStyle w:val="BookText"/>
      </w:pPr>
      <w:r>
        <w:rPr>
          <w:rFonts w:ascii="Amiri" w:hAnsi="Amiri" w:eastAsia="Amiri" w:cs="Amiri"/>
          <w:lang w:bidi="ar-SA"/>
          <w:color w:val="111111"/>
          <w:sz w:val="28"/>
          <w:szCs w:val="28"/>
          <w:rtl/>
        </w:rPr>
        <w:t xml:space="preserve">سورة الفاتحة، ج 1، ص 442.</w:t>
      </w:r>
    </w:p>
    <w:p>
      <w:pPr>
        <w:pStyle w:val="BookText"/>
      </w:pPr>
      <w:r>
        <w:rPr>
          <w:rFonts w:ascii="Amiri" w:hAnsi="Amiri" w:eastAsia="Amiri" w:cs="Amiri"/>
          <w:lang w:bidi="ar-SA"/>
          <w:color w:val="111111"/>
          <w:sz w:val="28"/>
          <w:szCs w:val="28"/>
          <w:rtl/>
        </w:rPr>
        <w:t xml:space="preserve">5 .اربعون صحيفة من الاحاديث</w:t>
      </w:r>
    </w:p>
    <w:p>
      <w:pPr>
        <w:pStyle w:val="BookText"/>
      </w:pPr>
      <w:r>
        <w:rPr>
          <w:rFonts w:ascii="Amiri" w:hAnsi="Amiri" w:eastAsia="Amiri" w:cs="Amiri"/>
          <w:lang w:bidi="ar-SA"/>
          <w:color w:val="111111"/>
          <w:sz w:val="28"/>
          <w:szCs w:val="28"/>
          <w:rtl/>
        </w:rPr>
        <w:t xml:space="preserve">القدسية، ج1، ص 736.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الازل، ج 2، ص 63.</w:t>
      </w:r>
    </w:p>
    <w:p>
      <w:pPr>
        <w:pStyle w:val="BookText"/>
      </w:pPr>
      <w:r>
        <w:rPr>
          <w:rFonts w:ascii="Amiri" w:hAnsi="Amiri" w:eastAsia="Amiri" w:cs="Amiri"/>
          <w:lang w:bidi="ar-SA"/>
          <w:color w:val="111111"/>
          <w:sz w:val="28"/>
          <w:szCs w:val="28"/>
          <w:rtl/>
        </w:rPr>
        <w:t xml:space="preserve">7 .الاستخارة( رسالة)، ج2، ص119</w:t>
      </w:r>
    </w:p>
    <w:p>
      <w:pPr>
        <w:pStyle w:val="BookText"/>
      </w:pPr>
      <w:r>
        <w:rPr>
          <w:rFonts w:ascii="Amiri" w:hAnsi="Amiri" w:eastAsia="Amiri" w:cs="Amiri"/>
          <w:lang w:bidi="ar-SA"/>
          <w:color w:val="111111"/>
          <w:sz w:val="28"/>
          <w:szCs w:val="28"/>
          <w:rtl/>
        </w:rPr>
        <w:t xml:space="preserve">8.الاستعداد الكلي، ج2، ص 145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اصطلاحات الصوفية، ج 2، ص 364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الى طريق الحق = رسالة إلى فخرالدین الرازي - رسالة الدواء اي الترياق = رسالة الدعوة إلى طريق العلم = رسالة في معرفة اليقينية والوسائل المؤدية اليها</w:t>
      </w:r>
    </w:p>
    <w:p>
      <w:pPr>
        <w:pStyle w:val="BookText"/>
      </w:pPr>
      <w:r>
        <w:rPr>
          <w:rFonts w:ascii="IRNazanin" w:hAnsi="IRNazanin" w:eastAsia="IRNazanin" w:cs="IRNazanin"/>
          <w:lang w:bidi="fa-IR"/>
          <w:color w:val="111111"/>
          <w:sz w:val="28"/>
          <w:szCs w:val="28"/>
          <w:rtl/>
        </w:rPr>
        <w:t xml:space="preserve">ج 2، ص 701.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الامر المحكم المربوط فيما يلزم اهل طريق الله من الشروط، ج 2،</w:t>
      </w:r>
    </w:p>
    <w:p>
      <w:pPr>
        <w:pStyle w:val="BookText"/>
      </w:pPr>
      <w:r>
        <w:rPr>
          <w:rFonts w:ascii="IRNazanin" w:hAnsi="IRNazanin" w:eastAsia="IRNazanin" w:cs="IRNazanin"/>
          <w:lang w:bidi="fa-IR"/>
          <w:color w:val="111111"/>
          <w:sz w:val="28"/>
          <w:szCs w:val="28"/>
          <w:rtl/>
        </w:rPr>
        <w:t xml:space="preserve">ص 764 .</w:t>
      </w:r>
    </w:p>
    <w:p>
      <w:pPr>
        <w:pStyle w:val="BookText"/>
      </w:pPr>
      <w:r>
        <w:rPr>
          <w:rFonts w:ascii="IRNazanin" w:hAnsi="IRNazanin" w:eastAsia="IRNazanin" w:cs="IRNazanin"/>
          <w:lang w:bidi="fa-IR"/>
          <w:color w:val="111111"/>
          <w:sz w:val="28"/>
          <w:szCs w:val="28"/>
          <w:rtl/>
        </w:rPr>
        <w:t xml:space="preserve">12 .انشاء الدوائر، ج 2، ص 814.</w:t>
      </w:r>
    </w:p>
    <w:p>
      <w:pPr>
        <w:pStyle w:val="BookText"/>
      </w:pPr>
      <w:r>
        <w:rPr>
          <w:rFonts w:ascii="Amiri" w:hAnsi="Amiri" w:eastAsia="Amiri" w:cs="Amiri"/>
          <w:lang w:bidi="ar-SA"/>
          <w:color w:val="111111"/>
          <w:sz w:val="28"/>
          <w:szCs w:val="28"/>
          <w:rtl/>
        </w:rPr>
        <w:t xml:space="preserve">13 .الانوار القدسية في الدخول إلى</w:t>
      </w:r>
    </w:p>
    <w:p>
      <w:pPr>
        <w:pStyle w:val="BookText"/>
      </w:pPr>
      <w:r>
        <w:rPr>
          <w:rFonts w:ascii="Amiri" w:hAnsi="Amiri" w:eastAsia="Amiri" w:cs="Amiri"/>
          <w:lang w:bidi="ar-SA"/>
          <w:color w:val="111111"/>
          <w:sz w:val="28"/>
          <w:szCs w:val="28"/>
          <w:rtl/>
        </w:rPr>
        <w:t xml:space="preserve">الخلوة، ج 3، ص12.</w:t>
      </w:r>
    </w:p>
    <w:p>
      <w:pPr>
        <w:pStyle w:val="BookText"/>
      </w:pPr>
      <w:r>
        <w:rPr>
          <w:rFonts w:ascii="Amiri" w:hAnsi="Amiri" w:eastAsia="Amiri" w:cs="Amiri"/>
          <w:lang w:bidi="ar-SA"/>
          <w:color w:val="111111"/>
          <w:sz w:val="28"/>
          <w:szCs w:val="28"/>
          <w:rtl/>
        </w:rPr>
        <w:t xml:space="preserve">14 . الانوار فيما يفتح لصاحب الخلوة</w:t>
      </w:r>
    </w:p>
    <w:p>
      <w:pPr>
        <w:pStyle w:val="BookText"/>
      </w:pPr>
      <w:r>
        <w:rPr>
          <w:rFonts w:ascii="IRNazanin" w:hAnsi="IRNazanin" w:eastAsia="IRNazanin" w:cs="IRNazanin"/>
          <w:lang w:bidi="fa-IR"/>
          <w:color w:val="111111"/>
          <w:sz w:val="28"/>
          <w:szCs w:val="28"/>
          <w:rtl/>
        </w:rPr>
        <w:t xml:space="preserve">من الاسرار، ج 3، ص11.</w:t>
      </w:r>
    </w:p>
    <w:p>
      <w:pPr>
        <w:pStyle w:val="BookText"/>
      </w:pPr>
      <w:r>
        <w:rPr>
          <w:rFonts w:ascii="IRNazanin" w:hAnsi="IRNazanin" w:eastAsia="IRNazanin" w:cs="IRNazanin"/>
          <w:lang w:bidi="fa-IR"/>
          <w:color w:val="111111"/>
          <w:sz w:val="28"/>
          <w:szCs w:val="28"/>
          <w:rtl/>
        </w:rPr>
        <w:t xml:space="preserve">15 .الاوراد، ج 3، ص 62.</w:t>
      </w:r>
    </w:p>
    <w:p>
      <w:pPr>
        <w:pStyle w:val="BookText"/>
      </w:pPr>
      <w:r>
        <w:rPr>
          <w:rFonts w:ascii="Amiri" w:hAnsi="Amiri" w:eastAsia="Amiri" w:cs="Amiri"/>
          <w:lang w:bidi="ar-SA"/>
          <w:color w:val="111111"/>
          <w:sz w:val="28"/>
          <w:szCs w:val="28"/>
          <w:rtl/>
        </w:rPr>
        <w:t xml:space="preserve">16 .اوراد الاسبوعية، ج 3، ص 64.</w:t>
      </w:r>
    </w:p>
    <w:p>
      <w:pPr>
        <w:pStyle w:val="BookText"/>
      </w:pPr>
      <w:r>
        <w:rPr>
          <w:rFonts w:ascii="Amiri" w:hAnsi="Amiri" w:eastAsia="Amiri" w:cs="Amiri"/>
          <w:lang w:bidi="ar-SA"/>
          <w:color w:val="111111"/>
          <w:sz w:val="28"/>
          <w:szCs w:val="28"/>
          <w:rtl/>
        </w:rPr>
        <w:t xml:space="preserve">17 .الاوراد المباركة، ج 3، ص 66.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ايام الشأن، ج3، ص91.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ايجاز البيان في الترجمة عن القرآن</w:t>
      </w:r>
    </w:p>
    <w:p>
      <w:pPr>
        <w:pStyle w:val="BookText"/>
      </w:pPr>
      <w:r>
        <w:rPr>
          <w:rFonts w:ascii="Amiri" w:hAnsi="Amiri" w:eastAsia="Amiri" w:cs="Amiri"/>
          <w:lang w:bidi="ar-SA"/>
          <w:color w:val="111111"/>
          <w:sz w:val="28"/>
          <w:szCs w:val="28"/>
          <w:rtl/>
        </w:rPr>
        <w:t xml:space="preserve">= اعجاز البيان، ج 3، ص 94.</w:t>
      </w:r>
    </w:p>
    <w:p>
      <w:pPr>
        <w:pStyle w:val="BookText"/>
      </w:pPr>
      <w:r>
        <w:rPr>
          <w:rFonts w:ascii="IRNazanin" w:hAnsi="IRNazanin" w:eastAsia="IRNazanin" w:cs="IRNazanin"/>
          <w:lang w:bidi="fa-IR"/>
          <w:color w:val="111111"/>
          <w:sz w:val="28"/>
          <w:szCs w:val="28"/>
          <w:rtl/>
        </w:rPr>
        <w:t xml:space="preserve">20 .ایمان فرعون لموسى عليه السلام</w:t>
      </w:r>
    </w:p>
    <w:p>
      <w:pPr>
        <w:pStyle w:val="BookText"/>
      </w:pPr>
      <w:r>
        <w:rPr>
          <w:rFonts w:ascii="IRNazanin" w:hAnsi="IRNazanin" w:eastAsia="IRNazanin" w:cs="IRNazanin"/>
          <w:lang w:bidi="fa-IR"/>
          <w:color w:val="111111"/>
          <w:sz w:val="28"/>
          <w:szCs w:val="28"/>
          <w:rtl/>
        </w:rPr>
        <w:t xml:space="preserve">ج 3، ص 160 .</w:t>
      </w:r>
    </w:p>
    <w:p>
      <w:pPr>
        <w:pStyle w:val="BookText"/>
      </w:pPr>
      <w:r>
        <w:rPr>
          <w:rFonts w:ascii="Amiri" w:hAnsi="Amiri" w:eastAsia="Amiri" w:cs="Amiri"/>
          <w:lang w:bidi="ar-SA"/>
          <w:color w:val="111111"/>
          <w:sz w:val="28"/>
          <w:szCs w:val="28"/>
          <w:rtl/>
        </w:rPr>
        <w:t xml:space="preserve">21 .البحر المحيط الذي لا يسمع لموجه غطيط في معرفة الذات و</w:t>
      </w:r>
    </w:p>
    <w:p>
      <w:pPr>
        <w:pStyle w:val="BookText"/>
      </w:pPr>
      <w:r>
        <w:rPr>
          <w:rFonts w:ascii="IRNazanin" w:hAnsi="IRNazanin" w:eastAsia="IRNazanin" w:cs="IRNazanin"/>
          <w:lang w:bidi="fa-IR"/>
          <w:color w:val="111111"/>
          <w:sz w:val="28"/>
          <w:szCs w:val="28"/>
          <w:rtl/>
        </w:rPr>
        <w:t xml:space="preserve">الصفات، ج3، ص230.</w:t>
      </w:r>
    </w:p>
    <w:p>
      <w:pPr>
        <w:pStyle w:val="BookText"/>
      </w:pPr>
      <w:r>
        <w:rPr>
          <w:rFonts w:ascii="Amiri" w:hAnsi="Amiri" w:eastAsia="Amiri" w:cs="Amiri"/>
          <w:lang w:bidi="ar-SA"/>
          <w:color w:val="111111"/>
          <w:sz w:val="28"/>
          <w:szCs w:val="28"/>
          <w:rtl/>
        </w:rPr>
        <w:t xml:space="preserve">22 .بداية التقوى، ج 3، ص 241.</w:t>
      </w:r>
    </w:p>
    <w:p>
      <w:pPr>
        <w:pStyle w:val="BookText"/>
      </w:pPr>
      <w:r>
        <w:rPr>
          <w:rFonts w:ascii="IRNazanin" w:hAnsi="IRNazanin" w:eastAsia="IRNazanin" w:cs="IRNazanin"/>
          <w:lang w:bidi="fa-IR"/>
          <w:color w:val="111111"/>
          <w:sz w:val="28"/>
          <w:szCs w:val="28"/>
          <w:rtl/>
        </w:rPr>
        <w:t xml:space="preserve">23 .بدر البدر، ج 3، ص 265.</w:t>
      </w:r>
    </w:p>
    <w:p>
      <w:pPr>
        <w:pStyle w:val="BookText"/>
      </w:pPr>
      <w:r>
        <w:rPr>
          <w:rFonts w:ascii="Amiri" w:hAnsi="Amiri" w:eastAsia="Amiri" w:cs="Amiri"/>
          <w:lang w:bidi="ar-SA"/>
          <w:color w:val="111111"/>
          <w:sz w:val="28"/>
          <w:szCs w:val="28"/>
          <w:rtl/>
        </w:rPr>
        <w:t xml:space="preserve">24 .بلغة الغواص في الأكوان إلى معنى</w:t>
      </w:r>
    </w:p>
    <w:p>
      <w:pPr>
        <w:pStyle w:val="BookText"/>
      </w:pPr>
      <w:r>
        <w:rPr>
          <w:rFonts w:ascii="Amiri" w:hAnsi="Amiri" w:eastAsia="Amiri" w:cs="Amiri"/>
          <w:lang w:bidi="ar-SA"/>
          <w:color w:val="111111"/>
          <w:sz w:val="28"/>
          <w:szCs w:val="28"/>
          <w:rtl/>
        </w:rPr>
        <w:t xml:space="preserve">ابن عراقي - ابن عربي ، محمّد بن علي 105</w:t>
      </w:r>
    </w:p>
    <w:p>
      <w:pPr>
        <w:pStyle w:val="BookText"/>
      </w:pPr>
      <w:r>
        <w:rPr>
          <w:rFonts w:ascii="Amiri" w:hAnsi="Amiri" w:eastAsia="Amiri" w:cs="Amiri"/>
          <w:lang w:bidi="ar-SA"/>
          <w:color w:val="111111"/>
          <w:sz w:val="28"/>
          <w:szCs w:val="28"/>
          <w:rtl/>
        </w:rPr>
        <w:t xml:space="preserve">الإخلاص في معرفة الإنسان، ج3،</w:t>
      </w:r>
    </w:p>
    <w:p>
      <w:pPr>
        <w:pStyle w:val="BookText"/>
      </w:pPr>
      <w:r>
        <w:rPr>
          <w:rFonts w:ascii="IRNazanin" w:hAnsi="IRNazanin" w:eastAsia="IRNazanin" w:cs="IRNazanin"/>
          <w:lang w:bidi="fa-IR"/>
          <w:color w:val="111111"/>
          <w:sz w:val="28"/>
          <w:szCs w:val="28"/>
          <w:rtl/>
        </w:rPr>
        <w:t xml:space="preserve">ص392.</w:t>
      </w:r>
    </w:p>
    <w:p>
      <w:pPr>
        <w:pStyle w:val="BookText"/>
      </w:pPr>
      <w:r>
        <w:rPr>
          <w:rFonts w:ascii="Amiri" w:hAnsi="Amiri" w:eastAsia="Amiri" w:cs="Amiri"/>
          <w:lang w:bidi="ar-SA"/>
          <w:color w:val="111111"/>
          <w:sz w:val="28"/>
          <w:szCs w:val="28"/>
          <w:rtl/>
        </w:rPr>
        <w:t xml:space="preserve">25 .التائية الكبرى، ج 3، ص 528.</w:t>
      </w:r>
    </w:p>
    <w:p>
      <w:pPr>
        <w:pStyle w:val="BookText"/>
      </w:pPr>
      <w:r>
        <w:rPr>
          <w:rFonts w:ascii="IRNazanin" w:hAnsi="IRNazanin" w:eastAsia="IRNazanin" w:cs="IRNazanin"/>
          <w:lang w:bidi="fa-IR"/>
          <w:color w:val="111111"/>
          <w:sz w:val="28"/>
          <w:szCs w:val="28"/>
          <w:rtl/>
        </w:rPr>
        <w:t xml:space="preserve">26 .تاج التراجم، ج 3، ص 530.</w:t>
      </w:r>
    </w:p>
    <w:p>
      <w:pPr>
        <w:pStyle w:val="BookText"/>
      </w:pPr>
      <w:r>
        <w:rPr>
          <w:rFonts w:ascii="Amiri" w:hAnsi="Amiri" w:eastAsia="Amiri" w:cs="Amiri"/>
          <w:lang w:bidi="ar-SA"/>
          <w:color w:val="111111"/>
          <w:sz w:val="28"/>
          <w:szCs w:val="28"/>
          <w:rtl/>
        </w:rPr>
        <w:t xml:space="preserve">27 .تبصرة الطالب و طلبة القارب</w:t>
      </w:r>
    </w:p>
    <w:p>
      <w:pPr>
        <w:pStyle w:val="BookText"/>
      </w:pPr>
      <w:r>
        <w:rPr>
          <w:rFonts w:ascii="IRNazanin" w:hAnsi="IRNazanin" w:eastAsia="IRNazanin" w:cs="IRNazanin"/>
          <w:lang w:bidi="fa-IR"/>
          <w:color w:val="111111"/>
          <w:sz w:val="28"/>
          <w:szCs w:val="28"/>
          <w:rtl/>
        </w:rPr>
        <w:t xml:space="preserve">ج 3، ص 637.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التجليات الالهية في الصورة</w:t>
      </w:r>
    </w:p>
    <w:p>
      <w:pPr>
        <w:pStyle w:val="BookText"/>
      </w:pPr>
      <w:r>
        <w:rPr>
          <w:rFonts w:ascii="Amiri" w:hAnsi="Amiri" w:eastAsia="Amiri" w:cs="Amiri"/>
          <w:lang w:bidi="ar-SA"/>
          <w:color w:val="111111"/>
          <w:sz w:val="28"/>
          <w:szCs w:val="28"/>
          <w:rtl/>
        </w:rPr>
        <w:t xml:space="preserve">الانسانية، ج 3، ص 696.</w:t>
      </w:r>
    </w:p>
    <w:p>
      <w:pPr>
        <w:pStyle w:val="BookText"/>
      </w:pPr>
      <w:r>
        <w:rPr>
          <w:rFonts w:ascii="Amiri" w:hAnsi="Amiri" w:eastAsia="Amiri" w:cs="Amiri"/>
          <w:lang w:bidi="ar-SA"/>
          <w:color w:val="111111"/>
          <w:sz w:val="28"/>
          <w:szCs w:val="28"/>
          <w:rtl/>
        </w:rPr>
        <w:t xml:space="preserve">29 .تحرير البيان في تقرير شعب</w:t>
      </w:r>
    </w:p>
    <w:p>
      <w:pPr>
        <w:pStyle w:val="BookText"/>
      </w:pPr>
      <w:r>
        <w:rPr>
          <w:rFonts w:ascii="Amiri" w:hAnsi="Amiri" w:eastAsia="Amiri" w:cs="Amiri"/>
          <w:lang w:bidi="ar-SA"/>
          <w:color w:val="111111"/>
          <w:sz w:val="28"/>
          <w:szCs w:val="28"/>
          <w:rtl/>
        </w:rPr>
        <w:t xml:space="preserve">الايمان ورتب الاحسان، ج3،</w:t>
      </w:r>
    </w:p>
    <w:p>
      <w:pPr>
        <w:pStyle w:val="BookText"/>
      </w:pPr>
      <w:r>
        <w:rPr>
          <w:rFonts w:ascii="IRNazanin" w:hAnsi="IRNazanin" w:eastAsia="IRNazanin" w:cs="IRNazanin"/>
          <w:lang w:bidi="fa-IR"/>
          <w:color w:val="111111"/>
          <w:sz w:val="28"/>
          <w:szCs w:val="28"/>
          <w:rtl/>
        </w:rPr>
        <w:t xml:space="preserve">ص 734.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تحفة السفرة إلى حضرة البررة</w:t>
      </w:r>
    </w:p>
    <w:p>
      <w:pPr>
        <w:pStyle w:val="BookText"/>
      </w:pPr>
      <w:r>
        <w:rPr>
          <w:rFonts w:ascii="IRNazanin" w:hAnsi="IRNazanin" w:eastAsia="IRNazanin" w:cs="IRNazanin"/>
          <w:lang w:bidi="fa-IR"/>
          <w:color w:val="111111"/>
          <w:sz w:val="28"/>
          <w:szCs w:val="28"/>
          <w:rtl/>
        </w:rPr>
        <w:t xml:space="preserve">ج 3، ص 846.</w:t>
      </w:r>
    </w:p>
    <w:p>
      <w:pPr>
        <w:pStyle w:val="BookText"/>
      </w:pPr>
      <w:r>
        <w:rPr>
          <w:rFonts w:ascii="Amiri" w:hAnsi="Amiri" w:eastAsia="Amiri" w:cs="Amiri"/>
          <w:lang w:bidi="ar-SA"/>
          <w:color w:val="111111"/>
          <w:sz w:val="28"/>
          <w:szCs w:val="28"/>
          <w:rtl/>
        </w:rPr>
        <w:t xml:space="preserve">31 .التدبيرات الالهية في اصلاح المملكة</w:t>
      </w:r>
    </w:p>
    <w:p>
      <w:pPr>
        <w:pStyle w:val="BookText"/>
      </w:pPr>
      <w:r>
        <w:rPr>
          <w:rFonts w:ascii="Amiri" w:hAnsi="Amiri" w:eastAsia="Amiri" w:cs="Amiri"/>
          <w:lang w:bidi="ar-SA"/>
          <w:color w:val="111111"/>
          <w:sz w:val="28"/>
          <w:szCs w:val="28"/>
          <w:rtl/>
        </w:rPr>
        <w:t xml:space="preserve">الانسانية، ج 4، ص 165.</w:t>
      </w:r>
    </w:p>
    <w:p>
      <w:pPr>
        <w:pStyle w:val="BookText"/>
      </w:pPr>
      <w:r>
        <w:rPr>
          <w:rFonts w:ascii="Amiri" w:hAnsi="Amiri" w:eastAsia="Amiri" w:cs="Amiri"/>
          <w:lang w:bidi="ar-SA"/>
          <w:color w:val="111111"/>
          <w:sz w:val="28"/>
          <w:szCs w:val="28"/>
          <w:rtl/>
        </w:rPr>
        <w:t xml:space="preserve">32 .ترجمان الاشواق و دموع العشاق في الغزل والنسيب، ج4، ص 249.</w:t>
      </w:r>
    </w:p>
    <w:p>
      <w:pPr>
        <w:pStyle w:val="BookText"/>
      </w:pPr>
      <w:r>
        <w:rPr>
          <w:rFonts w:ascii="Amiri" w:hAnsi="Amiri" w:eastAsia="Amiri" w:cs="Amiri"/>
          <w:lang w:bidi="ar-SA"/>
          <w:color w:val="111111"/>
          <w:sz w:val="28"/>
          <w:szCs w:val="28"/>
          <w:rtl/>
        </w:rPr>
        <w:t xml:space="preserve">33 .تعليق على رسالة في الصلاة، جع،</w:t>
      </w:r>
    </w:p>
    <w:p>
      <w:pPr>
        <w:pStyle w:val="BookText"/>
      </w:pPr>
      <w:r>
        <w:rPr>
          <w:rFonts w:ascii="IRNazanin" w:hAnsi="IRNazanin" w:eastAsia="IRNazanin" w:cs="IRNazanin"/>
          <w:lang w:bidi="fa-IR"/>
          <w:color w:val="111111"/>
          <w:sz w:val="28"/>
          <w:szCs w:val="28"/>
          <w:rtl/>
        </w:rPr>
        <w:t xml:space="preserve">ص 547.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سورة القدر، ج 4، ص 639.</w:t>
      </w:r>
    </w:p>
    <w:p>
      <w:pPr>
        <w:pStyle w:val="BookText"/>
      </w:pPr>
      <w:r>
        <w:rPr>
          <w:rFonts w:ascii="Amiri" w:hAnsi="Amiri" w:eastAsia="Amiri" w:cs="Amiri"/>
          <w:lang w:bidi="ar-SA"/>
          <w:color w:val="111111"/>
          <w:sz w:val="28"/>
          <w:szCs w:val="28"/>
          <w:rtl/>
        </w:rPr>
        <w:t xml:space="preserve">35 .تمهيد التوحيد، ج 5، ص 2.</w:t>
      </w:r>
    </w:p>
    <w:p>
      <w:pPr>
        <w:pStyle w:val="BookText"/>
      </w:pPr>
      <w:r>
        <w:rPr>
          <w:rFonts w:ascii="Amiri" w:hAnsi="Amiri" w:eastAsia="Amiri" w:cs="Amiri"/>
          <w:lang w:bidi="ar-SA"/>
          <w:color w:val="111111"/>
          <w:sz w:val="28"/>
          <w:szCs w:val="28"/>
          <w:rtl/>
        </w:rPr>
        <w:t xml:space="preserve">36 .التنبيه، ج 5، ص 14.</w:t>
      </w:r>
    </w:p>
    <w:p>
      <w:pPr>
        <w:pStyle w:val="BookText"/>
      </w:pPr>
      <w:r>
        <w:rPr>
          <w:rFonts w:ascii="Amiri" w:hAnsi="Amiri" w:eastAsia="Amiri" w:cs="Amiri"/>
          <w:lang w:bidi="ar-SA"/>
          <w:color w:val="111111"/>
          <w:sz w:val="28"/>
          <w:szCs w:val="28"/>
          <w:rtl/>
        </w:rPr>
        <w:t xml:space="preserve">37 .تنزل الاملاك للاملاك في حركات</w:t>
      </w:r>
    </w:p>
    <w:p>
      <w:pPr>
        <w:pStyle w:val="BookText"/>
      </w:pPr>
      <w:r>
        <w:rPr>
          <w:rFonts w:ascii="Amiri" w:hAnsi="Amiri" w:eastAsia="Amiri" w:cs="Amiri"/>
          <w:lang w:bidi="ar-SA"/>
          <w:color w:val="111111"/>
          <w:sz w:val="28"/>
          <w:szCs w:val="28"/>
          <w:rtl/>
        </w:rPr>
        <w:t xml:space="preserve">الافلاك، ج 5، ص 47.</w:t>
      </w:r>
    </w:p>
    <w:p>
      <w:pPr>
        <w:pStyle w:val="BookText"/>
      </w:pPr>
      <w:r>
        <w:rPr>
          <w:rFonts w:ascii="Amiri" w:hAnsi="Amiri" w:eastAsia="Amiri" w:cs="Amiri"/>
          <w:lang w:bidi="ar-SA"/>
          <w:color w:val="111111"/>
          <w:sz w:val="28"/>
          <w:szCs w:val="28"/>
          <w:rtl/>
        </w:rPr>
        <w:t xml:space="preserve">38 .الجفر الجامع = الحقايق الحروفيه</w:t>
      </w:r>
    </w:p>
    <w:p>
      <w:pPr>
        <w:pStyle w:val="BookText"/>
      </w:pPr>
      <w:r>
        <w:rPr>
          <w:rFonts w:ascii="IRNazanin" w:hAnsi="IRNazanin" w:eastAsia="IRNazanin" w:cs="IRNazanin"/>
          <w:lang w:bidi="fa-IR"/>
          <w:color w:val="111111"/>
          <w:sz w:val="28"/>
          <w:szCs w:val="28"/>
          <w:rtl/>
        </w:rPr>
        <w:t xml:space="preserve">الحروف، ج5، ص397.</w:t>
      </w:r>
    </w:p>
    <w:p>
      <w:pPr>
        <w:pStyle w:val="BookText"/>
      </w:pPr>
      <w:r>
        <w:rPr>
          <w:rFonts w:ascii="IRNazanin" w:hAnsi="IRNazanin" w:eastAsia="IRNazanin" w:cs="IRNazanin"/>
          <w:lang w:bidi="fa-IR"/>
          <w:color w:val="111111"/>
          <w:sz w:val="28"/>
          <w:szCs w:val="28"/>
          <w:rtl/>
        </w:rPr>
        <w:t xml:space="preserve">39 .الجفر الجامع و السر اللامع، ج 5،</w:t>
      </w:r>
    </w:p>
    <w:p>
      <w:pPr>
        <w:pStyle w:val="BookText"/>
      </w:pPr>
      <w:r>
        <w:rPr>
          <w:rFonts w:ascii="IRNazanin" w:hAnsi="IRNazanin" w:eastAsia="IRNazanin" w:cs="IRNazanin"/>
          <w:lang w:bidi="fa-IR"/>
          <w:color w:val="111111"/>
          <w:sz w:val="28"/>
          <w:szCs w:val="28"/>
          <w:rtl/>
        </w:rPr>
        <w:t xml:space="preserve">ص 400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الجلال والجمال، ج 5، ص 416.</w:t>
      </w:r>
    </w:p>
    <w:p>
      <w:pPr>
        <w:pStyle w:val="BookText"/>
      </w:pPr>
      <w:r>
        <w:rPr>
          <w:rFonts w:ascii="Amiri" w:hAnsi="Amiri" w:eastAsia="Amiri" w:cs="Amiri"/>
          <w:lang w:bidi="ar-SA"/>
          <w:color w:val="111111"/>
          <w:sz w:val="28"/>
          <w:szCs w:val="28"/>
          <w:rtl/>
        </w:rPr>
        <w:t xml:space="preserve">41 .الجواهر المضية في تسليك مريدي</w:t>
      </w:r>
    </w:p>
    <w:p>
      <w:pPr>
        <w:pStyle w:val="BookText"/>
      </w:pPr>
      <w:r>
        <w:rPr>
          <w:rFonts w:ascii="Amiri" w:hAnsi="Amiri" w:eastAsia="Amiri" w:cs="Amiri"/>
          <w:lang w:bidi="ar-SA"/>
          <w:color w:val="111111"/>
          <w:sz w:val="28"/>
          <w:szCs w:val="28"/>
          <w:rtl/>
        </w:rPr>
        <w:t xml:space="preserve">السادات الصوفية، ج 5، ص 598.</w:t>
      </w:r>
    </w:p>
    <w:p>
      <w:pPr>
        <w:pStyle w:val="BookText"/>
      </w:pPr>
      <w:r>
        <w:rPr>
          <w:rFonts w:ascii="Amiri" w:hAnsi="Amiri" w:eastAsia="Amiri" w:cs="Amiri"/>
          <w:lang w:bidi="ar-SA"/>
          <w:color w:val="111111"/>
          <w:sz w:val="28"/>
          <w:szCs w:val="28"/>
          <w:rtl/>
        </w:rPr>
        <w:t xml:space="preserve">42 .الحجب المعنوية عن الذات</w:t>
      </w:r>
    </w:p>
    <w:p>
      <w:pPr>
        <w:pStyle w:val="BookText"/>
      </w:pPr>
      <w:r>
        <w:rPr>
          <w:rFonts w:ascii="Amiri" w:hAnsi="Amiri" w:eastAsia="Amiri" w:cs="Amiri"/>
          <w:lang w:bidi="ar-SA"/>
          <w:color w:val="111111"/>
          <w:sz w:val="28"/>
          <w:szCs w:val="28"/>
          <w:rtl/>
        </w:rPr>
        <w:t xml:space="preserve">الهوية، ج 6 ، ص 480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الحج (رسالة في)، ج 6 ، ص 475 .</w:t>
      </w:r>
    </w:p>
    <w:p>
      <w:pPr>
        <w:pStyle w:val="BookText"/>
      </w:pPr>
      <w:r>
        <w:rPr>
          <w:rFonts w:ascii="Amiri" w:hAnsi="Amiri" w:eastAsia="Amiri" w:cs="Amiri"/>
          <w:lang w:bidi="ar-SA"/>
          <w:color w:val="111111"/>
          <w:sz w:val="28"/>
          <w:szCs w:val="28"/>
          <w:rtl/>
        </w:rPr>
        <w:t xml:space="preserve">44 . الحديث (رسالة في)، ج 6، ص 559.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حزب الأحدية، ج 6 ، ص 625.</w:t>
      </w:r>
    </w:p>
    <w:p>
      <w:pPr>
        <w:pStyle w:val="BookText"/>
      </w:pPr>
      <w:r>
        <w:rPr>
          <w:rFonts w:ascii="IRNazanin" w:hAnsi="IRNazanin" w:eastAsia="IRNazanin" w:cs="IRNazanin"/>
          <w:lang w:bidi="fa-IR"/>
          <w:color w:val="111111"/>
          <w:sz w:val="28"/>
          <w:szCs w:val="28"/>
          <w:rtl/>
        </w:rPr>
        <w:t xml:space="preserve">46 .حزب البحر، ج 6، ص 627.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حضرة الحضرات الجامعة للاسماء</w:t>
      </w:r>
    </w:p>
    <w:p>
      <w:pPr>
        <w:pStyle w:val="BookText"/>
      </w:pPr>
      <w:r>
        <w:rPr>
          <w:rFonts w:ascii="IRNazanin" w:hAnsi="IRNazanin" w:eastAsia="IRNazanin" w:cs="IRNazanin"/>
          <w:lang w:bidi="fa-IR"/>
          <w:color w:val="111111"/>
          <w:sz w:val="28"/>
          <w:szCs w:val="28"/>
          <w:rtl/>
        </w:rPr>
        <w:t xml:space="preserve">الحسنى - شرح الاسماء الحسنى ج 6، ص 673.</w:t>
      </w:r>
    </w:p>
    <w:p>
      <w:pPr>
        <w:pStyle w:val="BookText"/>
      </w:pPr>
      <w:r>
        <w:rPr>
          <w:rFonts w:ascii="Amiri" w:hAnsi="Amiri" w:eastAsia="Amiri" w:cs="Amiri"/>
          <w:lang w:bidi="ar-SA"/>
          <w:color w:val="111111"/>
          <w:sz w:val="28"/>
          <w:szCs w:val="28"/>
          <w:rtl/>
        </w:rPr>
        <w:t xml:space="preserve">48 .حقيقة الحقايق = علوم الحقائق و حكم الدقائق، ج 6، ص 708</w:t>
      </w:r>
    </w:p>
    <w:p>
      <w:pPr>
        <w:pStyle w:val="BookText"/>
      </w:pPr>
      <w:r>
        <w:rPr>
          <w:rFonts w:ascii="Amiri" w:hAnsi="Amiri" w:eastAsia="Amiri" w:cs="Amiri"/>
          <w:lang w:bidi="ar-SA"/>
          <w:color w:val="111111"/>
          <w:sz w:val="28"/>
          <w:szCs w:val="28"/>
          <w:rtl/>
        </w:rPr>
        <w:t xml:space="preserve">49 .الحلل = ماهية القلب، ج 6،</w:t>
      </w:r>
    </w:p>
    <w:p>
      <w:pPr>
        <w:pStyle w:val="BookText"/>
      </w:pPr>
      <w:r>
        <w:rPr>
          <w:rFonts w:ascii="IRNazanin" w:hAnsi="IRNazanin" w:eastAsia="IRNazanin" w:cs="IRNazanin"/>
          <w:lang w:bidi="fa-IR"/>
          <w:color w:val="111111"/>
          <w:sz w:val="28"/>
          <w:szCs w:val="28"/>
          <w:rtl/>
        </w:rPr>
        <w:t xml:space="preserve">ص 789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حلية الأبدال و ما يظهر عنها من</w:t>
      </w:r>
    </w:p>
    <w:p>
      <w:pPr>
        <w:pStyle w:val="BookText"/>
      </w:pPr>
      <w:r>
        <w:rPr>
          <w:rFonts w:ascii="IRNazanin" w:hAnsi="IRNazanin" w:eastAsia="IRNazanin" w:cs="IRNazanin"/>
          <w:lang w:bidi="fa-IR"/>
          <w:color w:val="111111"/>
          <w:sz w:val="28"/>
          <w:szCs w:val="28"/>
          <w:rtl/>
        </w:rPr>
        <w:t xml:space="preserve">المعارف و الاحوال، ج 6، ص 806.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خلق العالم و منشأ الخليقة، ج7،</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Amiri" w:hAnsi="Amiri" w:eastAsia="Amiri" w:cs="Amiri"/>
          <w:lang w:bidi="ar-SA"/>
          <w:color w:val="111111"/>
          <w:sz w:val="28"/>
          <w:szCs w:val="28"/>
          <w:rtl/>
        </w:rPr>
        <w:t xml:space="preserve">52 .الدر المكنون و الجوهر المصون</w:t>
      </w:r>
    </w:p>
    <w:p>
      <w:pPr>
        <w:pStyle w:val="BookText"/>
      </w:pPr>
      <w:r>
        <w:rPr>
          <w:rFonts w:ascii="IRNazanin" w:hAnsi="IRNazanin" w:eastAsia="IRNazanin" w:cs="IRNazanin"/>
          <w:lang w:bidi="fa-IR"/>
          <w:color w:val="111111"/>
          <w:sz w:val="28"/>
          <w:szCs w:val="28"/>
          <w:rtl/>
        </w:rPr>
        <w:t xml:space="preserve">ج 7، ص 337</w:t>
      </w:r>
    </w:p>
    <w:p>
      <w:pPr>
        <w:pStyle w:val="BookText"/>
      </w:pPr>
      <w:r>
        <w:rPr>
          <w:rFonts w:ascii="Amiri" w:hAnsi="Amiri" w:eastAsia="Amiri" w:cs="Amiri"/>
          <w:lang w:bidi="ar-SA"/>
          <w:color w:val="111111"/>
          <w:sz w:val="28"/>
          <w:szCs w:val="28"/>
          <w:rtl/>
        </w:rPr>
        <w:t xml:space="preserve">53 .الدرة البيضاء في ذكر مقام القلم</w:t>
      </w:r>
    </w:p>
    <w:p>
      <w:pPr>
        <w:pStyle w:val="BookText"/>
      </w:pPr>
      <w:r>
        <w:rPr>
          <w:rFonts w:ascii="IRNazanin" w:hAnsi="IRNazanin" w:eastAsia="IRNazanin" w:cs="IRNazanin"/>
          <w:lang w:bidi="fa-IR"/>
          <w:color w:val="111111"/>
          <w:sz w:val="28"/>
          <w:szCs w:val="28"/>
          <w:rtl/>
        </w:rPr>
        <w:t xml:space="preserve">الأعلى، ج 7، ص 229.</w:t>
      </w:r>
    </w:p>
    <w:p>
      <w:pPr>
        <w:pStyle w:val="BookText"/>
      </w:pPr>
      <w:r>
        <w:rPr>
          <w:rFonts w:ascii="IRNazanin" w:hAnsi="IRNazanin" w:eastAsia="IRNazanin" w:cs="IRNazanin"/>
          <w:lang w:bidi="fa-IR"/>
          <w:color w:val="111111"/>
          <w:sz w:val="28"/>
          <w:szCs w:val="28"/>
          <w:rtl/>
        </w:rPr>
        <w:t xml:space="preserve">54 .درر الدرر، ج 7، ص297</w:t>
      </w:r>
    </w:p>
    <w:p>
      <w:pPr>
        <w:pStyle w:val="BookText"/>
      </w:pPr>
      <w:r>
        <w:rPr>
          <w:rFonts w:ascii="Amiri" w:hAnsi="Amiri" w:eastAsia="Amiri" w:cs="Amiri"/>
          <w:lang w:bidi="ar-SA"/>
          <w:color w:val="111111"/>
          <w:sz w:val="28"/>
          <w:szCs w:val="28"/>
          <w:rtl/>
        </w:rPr>
        <w:t xml:space="preserve">55 .دوازده امام = التحية الاثنى عشرية = الصلوات و التحيات</w:t>
      </w:r>
    </w:p>
    <w:p>
      <w:pPr>
        <w:pStyle w:val="BookText"/>
      </w:pPr>
      <w:r>
        <w:rPr>
          <w:rFonts w:ascii="IRNazanin" w:hAnsi="IRNazanin" w:eastAsia="IRNazanin" w:cs="IRNazanin"/>
          <w:lang w:bidi="fa-IR"/>
          <w:color w:val="111111"/>
          <w:sz w:val="28"/>
          <w:szCs w:val="28"/>
          <w:rtl/>
        </w:rPr>
        <w:t xml:space="preserve">ج 7، ص 484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الدور الأعلى = الورد الأعلى، ج 7،</w:t>
      </w:r>
    </w:p>
    <w:p>
      <w:pPr>
        <w:pStyle w:val="BookText"/>
      </w:pPr>
      <w:r>
        <w:rPr>
          <w:rFonts w:ascii="IRNazanin" w:hAnsi="IRNazanin" w:eastAsia="IRNazanin" w:cs="IRNazanin"/>
          <w:lang w:bidi="fa-IR"/>
          <w:color w:val="111111"/>
          <w:sz w:val="28"/>
          <w:szCs w:val="28"/>
          <w:rtl/>
        </w:rPr>
        <w:t xml:space="preserve">ص 491 .</w:t>
      </w:r>
    </w:p>
    <w:p>
      <w:pPr>
        <w:pStyle w:val="BookText"/>
      </w:pPr>
      <w:r>
        <w:rPr>
          <w:rFonts w:ascii="Amiri" w:hAnsi="Amiri" w:eastAsia="Amiri" w:cs="Amiri"/>
          <w:lang w:bidi="ar-SA"/>
          <w:color w:val="111111"/>
          <w:sz w:val="28"/>
          <w:szCs w:val="28"/>
          <w:rtl/>
        </w:rPr>
        <w:t xml:space="preserve">57 .ديوان ابن عربي، ج 7، ص 525.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ذخائر الاعلاق في شرح ترجمان الاشواق = فتح الذخائر و الاعلاق</w:t>
      </w:r>
    </w:p>
    <w:p>
      <w:pPr>
        <w:pStyle w:val="BookText"/>
      </w:pPr>
      <w:r>
        <w:rPr>
          <w:rFonts w:ascii="IRNazanin" w:hAnsi="IRNazanin" w:eastAsia="IRNazanin" w:cs="IRNazanin"/>
          <w:lang w:bidi="fa-IR"/>
          <w:color w:val="111111"/>
          <w:sz w:val="28"/>
          <w:szCs w:val="28"/>
          <w:rtl/>
        </w:rPr>
        <w:t xml:space="preserve">ج 7، ص 812.</w:t>
      </w:r>
    </w:p>
    <w:p>
      <w:pPr>
        <w:pStyle w:val="BookText"/>
      </w:pPr>
      <w:r>
        <w:rPr>
          <w:rFonts w:ascii="IRNazanin" w:hAnsi="IRNazanin" w:eastAsia="IRNazanin" w:cs="IRNazanin"/>
          <w:lang w:bidi="fa-IR"/>
          <w:color w:val="111111"/>
          <w:sz w:val="28"/>
          <w:szCs w:val="28"/>
          <w:rtl/>
        </w:rPr>
        <w:t xml:space="preserve">59 .رسائل، ج8، ص119.</w:t>
      </w:r>
    </w:p>
    <w:p>
      <w:pPr>
        <w:pStyle w:val="BookText"/>
      </w:pPr>
      <w:r>
        <w:rPr>
          <w:rFonts w:ascii="Amiri" w:hAnsi="Amiri" w:eastAsia="Amiri" w:cs="Amiri"/>
          <w:lang w:bidi="ar-SA"/>
          <w:color w:val="111111"/>
          <w:sz w:val="28"/>
          <w:szCs w:val="28"/>
          <w:rtl/>
        </w:rPr>
        <w:t xml:space="preserve">60 .الرسالة الالهية، ج 8، ص 166.</w:t>
      </w:r>
    </w:p>
    <w:p>
      <w:pPr>
        <w:pStyle w:val="BookText"/>
      </w:pPr>
      <w:r>
        <w:rPr>
          <w:rFonts w:ascii="Amiri" w:hAnsi="Amiri" w:eastAsia="Amiri" w:cs="Amiri"/>
          <w:lang w:bidi="ar-SA"/>
          <w:color w:val="111111"/>
          <w:sz w:val="28"/>
          <w:szCs w:val="28"/>
          <w:rtl/>
        </w:rPr>
        <w:t xml:space="preserve">61 .روح القدس في مناصحة النفس</w:t>
      </w:r>
    </w:p>
    <w:p>
      <w:pPr>
        <w:pStyle w:val="BookText"/>
      </w:pPr>
      <w:r>
        <w:rPr>
          <w:rFonts w:ascii="IRNazanin" w:hAnsi="IRNazanin" w:eastAsia="IRNazanin" w:cs="IRNazanin"/>
          <w:lang w:bidi="fa-IR"/>
          <w:color w:val="111111"/>
          <w:sz w:val="28"/>
          <w:szCs w:val="28"/>
          <w:rtl/>
        </w:rPr>
        <w:t xml:space="preserve">ج 8، ص 382.</w:t>
      </w:r>
    </w:p>
    <w:p>
      <w:pPr>
        <w:pStyle w:val="BookText"/>
      </w:pPr>
      <w:r>
        <w:rPr>
          <w:rFonts w:ascii="Amiri" w:hAnsi="Amiri" w:eastAsia="Amiri" w:cs="Amiri"/>
          <w:lang w:bidi="ar-SA"/>
          <w:color w:val="111111"/>
          <w:sz w:val="28"/>
          <w:szCs w:val="28"/>
          <w:rtl/>
        </w:rPr>
        <w:t xml:space="preserve">62 .الزايرجه = الجواهر العقلية، ج8،</w:t>
      </w:r>
    </w:p>
    <w:p>
      <w:pPr>
        <w:pStyle w:val="BookText"/>
      </w:pPr>
      <w:r>
        <w:rPr>
          <w:rFonts w:ascii="IRNazanin" w:hAnsi="IRNazanin" w:eastAsia="IRNazanin" w:cs="IRNazanin"/>
          <w:lang w:bidi="fa-IR"/>
          <w:color w:val="111111"/>
          <w:sz w:val="28"/>
          <w:szCs w:val="28"/>
          <w:rtl/>
        </w:rPr>
        <w:t xml:space="preserve">ص 546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سر الأسرار فيما يحتاج إليه الأبرار،</w:t>
      </w:r>
    </w:p>
    <w:p>
      <w:pPr>
        <w:pStyle w:val="BookText"/>
      </w:pPr>
      <w:r>
        <w:rPr>
          <w:rFonts w:ascii="IRNazanin" w:hAnsi="IRNazanin" w:eastAsia="IRNazanin" w:cs="IRNazanin"/>
          <w:lang w:bidi="fa-IR"/>
          <w:color w:val="111111"/>
          <w:sz w:val="28"/>
          <w:szCs w:val="28"/>
          <w:rtl/>
        </w:rPr>
        <w:t xml:space="preserve">ج 8 ص 747 .</w:t>
      </w:r>
    </w:p>
    <w:p>
      <w:pPr>
        <w:pStyle w:val="BookText"/>
      </w:pPr>
      <w:r>
        <w:rPr>
          <w:rFonts w:ascii="Amiri" w:hAnsi="Amiri" w:eastAsia="Amiri" w:cs="Amiri"/>
          <w:lang w:bidi="ar-SA"/>
          <w:color w:val="111111"/>
          <w:sz w:val="28"/>
          <w:szCs w:val="28"/>
          <w:rtl/>
        </w:rPr>
        <w:t xml:space="preserve">64 .السنة السرمدية و الايام الالهية</w:t>
      </w:r>
    </w:p>
    <w:p>
      <w:pPr>
        <w:pStyle w:val="BookText"/>
      </w:pPr>
      <w:r>
        <w:rPr>
          <w:rFonts w:ascii="IRNazanin" w:hAnsi="IRNazanin" w:eastAsia="IRNazanin" w:cs="IRNazanin"/>
          <w:lang w:bidi="fa-IR"/>
          <w:color w:val="111111"/>
          <w:sz w:val="28"/>
          <w:szCs w:val="28"/>
          <w:rtl/>
        </w:rPr>
        <w:t xml:space="preserve">ج 8، ص 839.</w:t>
      </w:r>
    </w:p>
    <w:p>
      <w:pPr>
        <w:pStyle w:val="BookText"/>
      </w:pPr>
      <w:r>
        <w:rPr>
          <w:rFonts w:ascii="Amiri" w:hAnsi="Amiri" w:eastAsia="Amiri" w:cs="Amiri"/>
          <w:lang w:bidi="ar-SA"/>
          <w:color w:val="111111"/>
          <w:sz w:val="28"/>
          <w:szCs w:val="28"/>
          <w:rtl/>
        </w:rPr>
        <w:t xml:space="preserve">65 .سؤالات الفتوحات و جوابة، ج8،</w:t>
      </w:r>
    </w:p>
    <w:p>
      <w:pPr>
        <w:pStyle w:val="BookText"/>
      </w:pPr>
      <w:r>
        <w:rPr>
          <w:rFonts w:ascii="IRNazanin" w:hAnsi="IRNazanin" w:eastAsia="IRNazanin" w:cs="IRNazanin"/>
          <w:lang w:bidi="fa-IR"/>
          <w:color w:val="111111"/>
          <w:sz w:val="28"/>
          <w:szCs w:val="28"/>
          <w:rtl/>
        </w:rPr>
        <w:t xml:space="preserve">ص 675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السؤال عن افضل الذكر، ج8،</w:t>
      </w:r>
    </w:p>
    <w:p>
      <w:pPr>
        <w:pStyle w:val="BookText"/>
      </w:pPr>
      <w:r>
        <w:rPr>
          <w:rFonts w:ascii="IRNazanin" w:hAnsi="IRNazanin" w:eastAsia="IRNazanin" w:cs="IRNazanin"/>
          <w:lang w:bidi="fa-IR"/>
          <w:color w:val="111111"/>
          <w:sz w:val="28"/>
          <w:szCs w:val="28"/>
          <w:rtl/>
        </w:rPr>
        <w:t xml:space="preserve">ص 679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الشجرة النعمانية في الدولة</w:t>
      </w:r>
    </w:p>
    <w:p>
      <w:pPr>
        <w:pStyle w:val="BookText"/>
      </w:pPr>
      <w:r>
        <w:rPr>
          <w:rFonts w:ascii="Amiri" w:hAnsi="Amiri" w:eastAsia="Amiri" w:cs="Amiri"/>
          <w:lang w:bidi="ar-SA"/>
          <w:color w:val="111111"/>
          <w:sz w:val="28"/>
          <w:szCs w:val="28"/>
          <w:rtl/>
        </w:rPr>
        <w:t xml:space="preserve">العثمانية، ج 9، ص 83.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الشجرة و الثمرة، ج 9، ص 84.</w:t>
      </w:r>
    </w:p>
    <w:p>
      <w:pPr>
        <w:pStyle w:val="BookText"/>
      </w:pPr>
      <w:r>
        <w:rPr>
          <w:rFonts w:ascii="IRNazanin" w:hAnsi="IRNazanin" w:eastAsia="IRNazanin" w:cs="IRNazanin"/>
          <w:lang w:bidi="fa-IR"/>
          <w:color w:val="111111"/>
          <w:sz w:val="28"/>
          <w:szCs w:val="28"/>
          <w:rtl/>
        </w:rPr>
        <w:t xml:space="preserve">69 . شجون المسجون و فنون المفتون</w:t>
      </w:r>
    </w:p>
    <w:p>
      <w:pPr>
        <w:pStyle w:val="BookText"/>
      </w:pPr>
      <w:r>
        <w:rPr>
          <w:rFonts w:ascii="IRNazanin" w:hAnsi="IRNazanin" w:eastAsia="IRNazanin" w:cs="IRNazanin"/>
          <w:lang w:bidi="fa-IR"/>
          <w:color w:val="111111"/>
          <w:sz w:val="28"/>
          <w:szCs w:val="28"/>
          <w:rtl/>
        </w:rPr>
        <w:t xml:space="preserve">ج 9، ص 84.</w:t>
      </w:r>
    </w:p>
    <w:p>
      <w:pPr>
        <w:pStyle w:val="BookText"/>
      </w:pPr>
      <w:r>
        <w:rPr>
          <w:rFonts w:ascii="Amiri" w:hAnsi="Amiri" w:eastAsia="Amiri" w:cs="Amiri"/>
          <w:lang w:bidi="ar-SA"/>
          <w:color w:val="111111"/>
          <w:sz w:val="28"/>
          <w:szCs w:val="28"/>
          <w:rtl/>
        </w:rPr>
        <w:t xml:space="preserve">70 .شرح اصطلاحات الصوفية، ج 9،</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شرح الأجسام، ج9، ص 158.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شرح الشجرة النعمانية في الدولة</w:t>
      </w:r>
    </w:p>
    <w:p>
      <w:pPr>
        <w:pStyle w:val="BookText"/>
      </w:pPr>
      <w:r>
        <w:rPr>
          <w:rFonts w:ascii="Amiri" w:hAnsi="Amiri" w:eastAsia="Amiri" w:cs="Amiri"/>
          <w:lang w:bidi="ar-SA"/>
          <w:color w:val="111111"/>
          <w:sz w:val="28"/>
          <w:szCs w:val="28"/>
          <w:rtl/>
        </w:rPr>
        <w:t xml:space="preserve">العثمانية، ج 9، ص 615.</w:t>
      </w:r>
    </w:p>
    <w:p>
      <w:pPr>
        <w:pStyle w:val="BookText"/>
      </w:pPr>
      <w:r>
        <w:rPr>
          <w:rFonts w:ascii="Amiri" w:hAnsi="Amiri" w:eastAsia="Amiri" w:cs="Amiri"/>
          <w:lang w:bidi="ar-SA"/>
          <w:color w:val="111111"/>
          <w:sz w:val="28"/>
          <w:szCs w:val="28"/>
          <w:rtl/>
        </w:rPr>
        <w:t xml:space="preserve">73 .شرح مقامات العارفين في الاخلاص إلى درجة مراتب اليقين، ج10،</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Amiri" w:hAnsi="Amiri" w:eastAsia="Amiri" w:cs="Amiri"/>
          <w:lang w:bidi="ar-SA"/>
          <w:color w:val="111111"/>
          <w:sz w:val="28"/>
          <w:szCs w:val="28"/>
          <w:rtl/>
        </w:rPr>
        <w:t xml:space="preserve">74 .شمس الطريقة في بيان الشريعة و</w:t>
      </w:r>
    </w:p>
    <w:p>
      <w:pPr>
        <w:pStyle w:val="BookText"/>
      </w:pPr>
      <w:r>
        <w:rPr>
          <w:rFonts w:ascii="Amiri" w:hAnsi="Amiri" w:eastAsia="Amiri" w:cs="Amiri"/>
          <w:lang w:bidi="ar-SA"/>
          <w:color w:val="111111"/>
          <w:sz w:val="28"/>
          <w:szCs w:val="28"/>
          <w:rtl/>
        </w:rPr>
        <w:t xml:space="preserve">الحقيقة، ج 10، ص 414.</w:t>
      </w:r>
    </w:p>
    <w:p>
      <w:pPr>
        <w:pStyle w:val="BookText"/>
      </w:pPr>
      <w:r>
        <w:rPr>
          <w:rFonts w:ascii="Amiri" w:hAnsi="Amiri" w:eastAsia="Amiri" w:cs="Amiri"/>
          <w:lang w:bidi="ar-SA"/>
          <w:color w:val="111111"/>
          <w:sz w:val="28"/>
          <w:szCs w:val="28"/>
          <w:rtl/>
        </w:rPr>
        <w:t xml:space="preserve">75 .الصلوات المحمدية، ج 10، ص 631.</w:t>
      </w:r>
    </w:p>
    <w:p>
      <w:pPr>
        <w:pStyle w:val="BookText"/>
      </w:pPr>
      <w:r>
        <w:rPr>
          <w:rFonts w:ascii="Amiri" w:hAnsi="Amiri" w:eastAsia="Amiri" w:cs="Amiri"/>
          <w:lang w:bidi="ar-SA"/>
          <w:color w:val="111111"/>
          <w:sz w:val="28"/>
          <w:szCs w:val="28"/>
          <w:rtl/>
        </w:rPr>
        <w:t xml:space="preserve">76 .الطاري في علم القاري الساري في القلوب كالماء الجاري، ج 10،</w:t>
      </w:r>
    </w:p>
    <w:p>
      <w:pPr>
        <w:pStyle w:val="BookText"/>
      </w:pPr>
      <w:r>
        <w:rPr>
          <w:rFonts w:ascii="IRNazanin" w:hAnsi="IRNazanin" w:eastAsia="IRNazanin" w:cs="IRNazanin"/>
          <w:lang w:bidi="fa-IR"/>
          <w:color w:val="111111"/>
          <w:sz w:val="28"/>
          <w:szCs w:val="28"/>
          <w:rtl/>
        </w:rPr>
        <w:t xml:space="preserve">ص 732 .</w:t>
      </w:r>
    </w:p>
    <w:p>
      <w:pPr>
        <w:pStyle w:val="BookText"/>
      </w:pPr>
      <w:r>
        <w:rPr>
          <w:rFonts w:ascii="Amiri" w:hAnsi="Amiri" w:eastAsia="Amiri" w:cs="Amiri"/>
          <w:lang w:bidi="ar-SA"/>
          <w:color w:val="111111"/>
          <w:sz w:val="28"/>
          <w:szCs w:val="28"/>
          <w:rtl/>
        </w:rPr>
        <w:t xml:space="preserve">77 .طريق التصوف، ج10، ص820</w:t>
      </w:r>
    </w:p>
    <w:p>
      <w:pPr>
        <w:pStyle w:val="BookText"/>
      </w:pPr>
      <w:r>
        <w:rPr>
          <w:rFonts w:ascii="Amiri" w:hAnsi="Amiri" w:eastAsia="Amiri" w:cs="Amiri"/>
          <w:lang w:bidi="ar-SA"/>
          <w:color w:val="111111"/>
          <w:sz w:val="28"/>
          <w:szCs w:val="28"/>
          <w:rtl/>
        </w:rPr>
        <w:t xml:space="preserve">78 .عقائد الشيخ الأكبر، ج 11، ص 150 .</w:t>
      </w:r>
    </w:p>
    <w:p>
      <w:pPr>
        <w:pStyle w:val="BookText"/>
      </w:pPr>
      <w:r>
        <w:rPr>
          <w:rFonts w:ascii="Amiri" w:hAnsi="Amiri" w:eastAsia="Amiri" w:cs="Amiri"/>
          <w:lang w:bidi="ar-SA"/>
          <w:color w:val="111111"/>
          <w:sz w:val="28"/>
          <w:szCs w:val="28"/>
          <w:rtl/>
        </w:rPr>
        <w:t xml:space="preserve">79 .عقائد علماء الرسوم و السر المكتوم، ج 11 ، ص 151.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80 .عقد در الأسرار و عقد عرائس</w:t>
      </w:r>
    </w:p>
    <w:p>
      <w:pPr>
        <w:pStyle w:val="BookText"/>
      </w:pPr>
      <w:r>
        <w:rPr>
          <w:rFonts w:ascii="Amiri" w:hAnsi="Amiri" w:eastAsia="Amiri" w:cs="Amiri"/>
          <w:lang w:bidi="ar-SA"/>
          <w:color w:val="111111"/>
          <w:sz w:val="28"/>
          <w:szCs w:val="28"/>
          <w:rtl/>
        </w:rPr>
        <w:t xml:space="preserve">الأبكار، ج 11، ص 163.</w:t>
      </w:r>
    </w:p>
    <w:p>
      <w:pPr>
        <w:pStyle w:val="BookText"/>
      </w:pPr>
      <w:r>
        <w:rPr>
          <w:rFonts w:ascii="Amiri" w:hAnsi="Amiri" w:eastAsia="Amiri" w:cs="Amiri"/>
          <w:lang w:bidi="ar-SA"/>
          <w:color w:val="111111"/>
          <w:sz w:val="28"/>
          <w:szCs w:val="28"/>
          <w:rtl/>
        </w:rPr>
        <w:t xml:space="preserve">81 .عقلة المستوفر في الافلاك و البسائط والمركبات، ج 11، ص 179.</w:t>
      </w:r>
    </w:p>
    <w:p>
      <w:pPr>
        <w:pStyle w:val="BookText"/>
      </w:pPr>
      <w:r>
        <w:rPr>
          <w:rFonts w:ascii="Amiri" w:hAnsi="Amiri" w:eastAsia="Amiri" w:cs="Amiri"/>
          <w:lang w:bidi="ar-SA"/>
          <w:color w:val="111111"/>
          <w:sz w:val="28"/>
          <w:szCs w:val="28"/>
          <w:rtl/>
        </w:rPr>
        <w:t xml:space="preserve">82 .عنقاء مغرب في معرفة ختم الاولياء و شمس المغرب، ج 11،</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الغوثية، ج 11، ص 544.</w:t>
      </w:r>
    </w:p>
    <w:p>
      <w:pPr>
        <w:pStyle w:val="BookText"/>
      </w:pPr>
      <w:r>
        <w:rPr>
          <w:rFonts w:ascii="IRNazanin" w:hAnsi="IRNazanin" w:eastAsia="IRNazanin" w:cs="IRNazanin"/>
          <w:lang w:bidi="fa-IR"/>
          <w:color w:val="111111"/>
          <w:sz w:val="28"/>
          <w:szCs w:val="28"/>
          <w:rtl/>
        </w:rPr>
        <w:t xml:space="preserve">84 .فتح المقفل، ج 11، ص 684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الفتوحات المكية في معرفة اسرار المالكية والملكية، ج 11، ص707.</w:t>
      </w:r>
    </w:p>
    <w:p>
      <w:pPr>
        <w:pStyle w:val="BookText"/>
      </w:pPr>
      <w:r>
        <w:rPr>
          <w:rFonts w:ascii="Amiri" w:hAnsi="Amiri" w:eastAsia="Amiri" w:cs="Amiri"/>
          <w:lang w:bidi="ar-SA"/>
          <w:color w:val="111111"/>
          <w:sz w:val="28"/>
          <w:szCs w:val="28"/>
          <w:rtl/>
        </w:rPr>
        <w:t xml:space="preserve">86 .فصوص الحكم، ج11، ص 837.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الفناء في المشاهدة، ج 12، ص 136.</w:t>
      </w:r>
    </w:p>
    <w:p>
      <w:pPr>
        <w:pStyle w:val="BookText"/>
      </w:pPr>
      <w:r>
        <w:rPr>
          <w:rFonts w:ascii="Amiri" w:hAnsi="Amiri" w:eastAsia="Amiri" w:cs="Amiri"/>
          <w:lang w:bidi="ar-SA"/>
          <w:color w:val="111111"/>
          <w:sz w:val="28"/>
          <w:szCs w:val="28"/>
          <w:rtl/>
        </w:rPr>
        <w:t xml:space="preserve">88 .فهرس اسماء كتب التصوف، ج12،</w:t>
      </w:r>
    </w:p>
    <w:p>
      <w:pPr>
        <w:pStyle w:val="BookText"/>
      </w:pPr>
      <w:r>
        <w:rPr>
          <w:rFonts w:ascii="IRNazanin" w:hAnsi="IRNazanin" w:eastAsia="IRNazanin" w:cs="IRNazanin"/>
          <w:lang w:bidi="fa-IR"/>
          <w:color w:val="111111"/>
          <w:sz w:val="28"/>
          <w:szCs w:val="28"/>
          <w:rtl/>
        </w:rPr>
        <w:t xml:space="preserve">ص 143.</w:t>
      </w:r>
    </w:p>
    <w:p>
      <w:pPr>
        <w:pStyle w:val="BookText"/>
      </w:pPr>
      <w:r>
        <w:rPr>
          <w:rFonts w:ascii="Amiri" w:hAnsi="Amiri" w:eastAsia="Amiri" w:cs="Amiri"/>
          <w:lang w:bidi="ar-SA"/>
          <w:color w:val="111111"/>
          <w:sz w:val="28"/>
          <w:szCs w:val="28"/>
          <w:rtl/>
        </w:rPr>
        <w:t xml:space="preserve">89 .فهرست مؤلفات ابن عربي، ج 12،</w:t>
      </w:r>
    </w:p>
    <w:p>
      <w:pPr>
        <w:pStyle w:val="BookText"/>
      </w:pPr>
      <w:r>
        <w:rPr>
          <w:rFonts w:ascii="IRNazanin" w:hAnsi="IRNazanin" w:eastAsia="IRNazanin" w:cs="IRNazanin"/>
          <w:lang w:bidi="fa-IR"/>
          <w:color w:val="111111"/>
          <w:sz w:val="28"/>
          <w:szCs w:val="28"/>
          <w:rtl/>
        </w:rPr>
        <w:t xml:space="preserve">ص 157 .</w:t>
      </w:r>
    </w:p>
    <w:p>
      <w:pPr>
        <w:pStyle w:val="BookText"/>
      </w:pPr>
      <w:r>
        <w:rPr>
          <w:rFonts w:ascii="Amiri" w:hAnsi="Amiri" w:eastAsia="Amiri" w:cs="Amiri"/>
          <w:lang w:bidi="ar-SA"/>
          <w:color w:val="111111"/>
          <w:sz w:val="28"/>
          <w:szCs w:val="28"/>
          <w:rtl/>
        </w:rPr>
        <w:t xml:space="preserve">90 .الفهوانية، ج 12، ص 166 .</w:t>
      </w:r>
    </w:p>
    <w:p>
      <w:pPr>
        <w:pStyle w:val="BookText"/>
      </w:pPr>
      <w:r>
        <w:rPr>
          <w:rFonts w:ascii="Amiri" w:hAnsi="Amiri" w:eastAsia="Amiri" w:cs="Amiri"/>
          <w:lang w:bidi="ar-SA"/>
          <w:color w:val="111111"/>
          <w:sz w:val="28"/>
          <w:szCs w:val="28"/>
          <w:rtl/>
        </w:rPr>
        <w:t xml:space="preserve">91 .القصيدة التائية، ج 12، ص 660 .</w:t>
      </w:r>
    </w:p>
    <w:p>
      <w:pPr>
        <w:pStyle w:val="BookText"/>
      </w:pPr>
      <w:r>
        <w:rPr>
          <w:rFonts w:ascii="Amiri" w:hAnsi="Amiri" w:eastAsia="Amiri" w:cs="Amiri"/>
          <w:lang w:bidi="ar-SA"/>
          <w:color w:val="111111"/>
          <w:sz w:val="28"/>
          <w:szCs w:val="28"/>
          <w:rtl/>
        </w:rPr>
        <w:t xml:space="preserve">92 .قصيدة يائية، ج 12، ص729.</w:t>
      </w:r>
    </w:p>
    <w:p>
      <w:pPr>
        <w:pStyle w:val="BookText"/>
      </w:pPr>
      <w:r>
        <w:rPr>
          <w:rFonts w:ascii="IRNazanin" w:hAnsi="IRNazanin" w:eastAsia="IRNazanin" w:cs="IRNazanin"/>
          <w:lang w:bidi="fa-IR"/>
          <w:color w:val="111111"/>
          <w:sz w:val="28"/>
          <w:szCs w:val="28"/>
          <w:rtl/>
        </w:rPr>
        <w:t xml:space="preserve">93 .قواعد علم الاوفاق و الحروف</w:t>
      </w:r>
    </w:p>
    <w:p>
      <w:pPr>
        <w:pStyle w:val="BookText"/>
      </w:pPr>
      <w:r>
        <w:rPr>
          <w:rFonts w:ascii="IRNazanin" w:hAnsi="IRNazanin" w:eastAsia="IRNazanin" w:cs="IRNazanin"/>
          <w:lang w:bidi="fa-IR"/>
          <w:color w:val="111111"/>
          <w:sz w:val="28"/>
          <w:szCs w:val="28"/>
          <w:rtl/>
        </w:rPr>
        <w:t xml:space="preserve">ج 12، ص 797.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قول الشيخ محيي الدين بن عربي</w:t>
      </w:r>
    </w:p>
    <w:p>
      <w:pPr>
        <w:pStyle w:val="BookText"/>
      </w:pPr>
      <w:r>
        <w:rPr>
          <w:rFonts w:ascii="IRNazanin" w:hAnsi="IRNazanin" w:eastAsia="IRNazanin" w:cs="IRNazanin"/>
          <w:lang w:bidi="fa-IR"/>
          <w:color w:val="111111"/>
          <w:sz w:val="28"/>
          <w:szCs w:val="28"/>
          <w:rtl/>
        </w:rPr>
        <w:t xml:space="preserve">ج 12، ص 848.</w:t>
      </w:r>
    </w:p>
    <w:p>
      <w:pPr>
        <w:pStyle w:val="BookText"/>
      </w:pPr>
      <w:r>
        <w:rPr>
          <w:rFonts w:ascii="Amiri" w:hAnsi="Amiri" w:eastAsia="Amiri" w:cs="Amiri"/>
          <w:lang w:bidi="ar-SA"/>
          <w:color w:val="111111"/>
          <w:sz w:val="28"/>
          <w:szCs w:val="28"/>
          <w:rtl/>
        </w:rPr>
        <w:t xml:space="preserve">95 .كتاب الجلالة، ج13، ص 96 .</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كتاب الحق - الصفات الالهية</w:t>
      </w:r>
    </w:p>
    <w:p>
      <w:pPr>
        <w:pStyle w:val="BookText"/>
      </w:pPr>
      <w:r>
        <w:rPr>
          <w:rFonts w:ascii="IRNazanin" w:hAnsi="IRNazanin" w:eastAsia="IRNazanin" w:cs="IRNazanin"/>
          <w:lang w:bidi="fa-IR"/>
          <w:color w:val="111111"/>
          <w:sz w:val="28"/>
          <w:szCs w:val="28"/>
          <w:rtl/>
        </w:rPr>
        <w:t xml:space="preserve">ج 13، ص 98.</w:t>
      </w:r>
    </w:p>
    <w:p>
      <w:pPr>
        <w:pStyle w:val="BookText"/>
      </w:pPr>
      <w:r>
        <w:rPr>
          <w:rFonts w:ascii="Amiri" w:hAnsi="Amiri" w:eastAsia="Amiri" w:cs="Amiri"/>
          <w:lang w:bidi="ar-SA"/>
          <w:color w:val="111111"/>
          <w:sz w:val="28"/>
          <w:szCs w:val="28"/>
          <w:rtl/>
        </w:rPr>
        <w:t xml:space="preserve">97 .كتاب ستة وتسعين في الميم و</w:t>
      </w:r>
    </w:p>
    <w:p>
      <w:pPr>
        <w:pStyle w:val="BookText"/>
      </w:pPr>
      <w:r>
        <w:rPr>
          <w:rFonts w:ascii="IRNazanin" w:hAnsi="IRNazanin" w:eastAsia="IRNazanin" w:cs="IRNazanin"/>
          <w:lang w:bidi="fa-IR"/>
          <w:color w:val="111111"/>
          <w:sz w:val="28"/>
          <w:szCs w:val="28"/>
          <w:rtl/>
        </w:rPr>
        <w:t xml:space="preserve">الواو والنون، ج13، ص 101.</w:t>
      </w:r>
    </w:p>
    <w:p>
      <w:pPr>
        <w:pStyle w:val="BookText"/>
      </w:pPr>
      <w:r>
        <w:rPr>
          <w:rFonts w:ascii="Amiri" w:hAnsi="Amiri" w:eastAsia="Amiri" w:cs="Amiri"/>
          <w:lang w:bidi="ar-SA"/>
          <w:color w:val="111111"/>
          <w:sz w:val="28"/>
          <w:szCs w:val="28"/>
          <w:rtl/>
        </w:rPr>
        <w:t xml:space="preserve">98 .الكشف، ج13، ص 174.</w:t>
      </w:r>
    </w:p>
    <w:p>
      <w:pPr>
        <w:pStyle w:val="BookText"/>
      </w:pPr>
      <w:r>
        <w:rPr>
          <w:rFonts w:ascii="Amiri" w:hAnsi="Amiri" w:eastAsia="Amiri" w:cs="Amiri"/>
          <w:lang w:bidi="ar-SA"/>
          <w:color w:val="111111"/>
          <w:sz w:val="28"/>
          <w:szCs w:val="28"/>
          <w:rtl/>
        </w:rPr>
        <w:t xml:space="preserve">99 .كشف الاسرار فيما يشاهده المريد</w:t>
      </w:r>
    </w:p>
    <w:p>
      <w:pPr>
        <w:pStyle w:val="BookText"/>
      </w:pPr>
      <w:r>
        <w:rPr>
          <w:rFonts w:ascii="Amiri" w:hAnsi="Amiri" w:eastAsia="Amiri" w:cs="Amiri"/>
          <w:lang w:bidi="ar-SA"/>
          <w:color w:val="111111"/>
          <w:sz w:val="28"/>
          <w:szCs w:val="28"/>
          <w:rtl/>
        </w:rPr>
        <w:t xml:space="preserve">في الخلوة من الانوار، ج13</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Amiri" w:hAnsi="Amiri" w:eastAsia="Amiri" w:cs="Amiri"/>
          <w:lang w:bidi="ar-SA"/>
          <w:color w:val="111111"/>
          <w:sz w:val="28"/>
          <w:szCs w:val="28"/>
          <w:rtl/>
        </w:rPr>
        <w:t xml:space="preserve">ابن عربي ، محمّد بن علي 107</w:t>
      </w:r>
    </w:p>
    <w:p>
      <w:pPr>
        <w:pStyle w:val="BookText"/>
      </w:pPr>
      <w:r>
        <w:rPr>
          <w:rFonts w:ascii="Amiri" w:hAnsi="Amiri" w:eastAsia="Amiri" w:cs="Amiri"/>
          <w:lang w:bidi="ar-SA"/>
          <w:color w:val="111111"/>
          <w:sz w:val="28"/>
          <w:szCs w:val="28"/>
          <w:rtl/>
        </w:rPr>
        <w:t xml:space="preserve">100 .كشف الستر لأهل السر، ج13،</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Amiri" w:hAnsi="Amiri" w:eastAsia="Amiri" w:cs="Amiri"/>
          <w:lang w:bidi="ar-SA"/>
          <w:color w:val="111111"/>
          <w:sz w:val="28"/>
          <w:szCs w:val="28"/>
          <w:rtl/>
        </w:rPr>
        <w:t xml:space="preserve">101 .كشف حقائق التوحيد، ج13</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الكلمات الجارية على السنة الصوفية = الحكمة الالهية، ج 13،</w:t>
      </w:r>
    </w:p>
    <w:p>
      <w:pPr>
        <w:pStyle w:val="BookText"/>
      </w:pPr>
      <w:r>
        <w:rPr>
          <w:rFonts w:ascii="IRNazanin" w:hAnsi="IRNazanin" w:eastAsia="IRNazanin" w:cs="IRNazanin"/>
          <w:lang w:bidi="fa-IR"/>
          <w:color w:val="111111"/>
          <w:sz w:val="28"/>
          <w:szCs w:val="28"/>
          <w:rtl/>
        </w:rPr>
        <w:t xml:space="preserve">ص 364 .</w:t>
      </w:r>
    </w:p>
    <w:p>
      <w:pPr>
        <w:pStyle w:val="BookText"/>
      </w:pPr>
      <w:r>
        <w:rPr>
          <w:rFonts w:ascii="Amiri" w:hAnsi="Amiri" w:eastAsia="Amiri" w:cs="Amiri"/>
          <w:lang w:bidi="ar-SA"/>
          <w:color w:val="111111"/>
          <w:sz w:val="28"/>
          <w:szCs w:val="28"/>
          <w:rtl/>
        </w:rPr>
        <w:t xml:space="preserve">.103 .كنه ما لابد للمريد، ج13،</w:t>
      </w:r>
    </w:p>
    <w:p>
      <w:pPr>
        <w:pStyle w:val="BookText"/>
      </w:pPr>
      <w:r>
        <w:rPr>
          <w:rFonts w:ascii="IRNazanin" w:hAnsi="IRNazanin" w:eastAsia="IRNazanin" w:cs="IRNazanin"/>
          <w:lang w:bidi="fa-IR"/>
          <w:color w:val="111111"/>
          <w:sz w:val="28"/>
          <w:szCs w:val="28"/>
          <w:rtl/>
        </w:rPr>
        <w:t xml:space="preserve">ص 446 .</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محاضرة الابرار و مسامرة</w:t>
      </w:r>
    </w:p>
    <w:p>
      <w:pPr>
        <w:pStyle w:val="BookText"/>
      </w:pPr>
      <w:r>
        <w:rPr>
          <w:rFonts w:ascii="IRNazanin" w:hAnsi="IRNazanin" w:eastAsia="IRNazanin" w:cs="IRNazanin"/>
          <w:lang w:bidi="fa-IR"/>
          <w:color w:val="111111"/>
          <w:sz w:val="28"/>
          <w:szCs w:val="28"/>
          <w:rtl/>
        </w:rPr>
        <w:t xml:space="preserve">الاخبار، ج 14، ص 101.</w:t>
      </w:r>
    </w:p>
    <w:p>
      <w:pPr>
        <w:pStyle w:val="BookText"/>
      </w:pPr>
      <w:r>
        <w:rPr>
          <w:rFonts w:ascii="Amiri" w:hAnsi="Amiri" w:eastAsia="Amiri" w:cs="Amiri"/>
          <w:lang w:bidi="ar-SA"/>
          <w:color w:val="111111"/>
          <w:sz w:val="28"/>
          <w:szCs w:val="28"/>
          <w:rtl/>
        </w:rPr>
        <w:t xml:space="preserve">105 .المحبة( رسالة في)، ج 14، ص 108.</w:t>
      </w:r>
    </w:p>
    <w:p>
      <w:pPr>
        <w:pStyle w:val="BookText"/>
      </w:pPr>
      <w:r>
        <w:rPr>
          <w:rFonts w:ascii="Amiri" w:hAnsi="Amiri" w:eastAsia="Amiri" w:cs="Amiri"/>
          <w:lang w:bidi="ar-SA"/>
          <w:color w:val="111111"/>
          <w:sz w:val="28"/>
          <w:szCs w:val="28"/>
          <w:rtl/>
        </w:rPr>
        <w:t xml:space="preserve">106 .مرآة العارفين و مظهر الكاملين</w:t>
      </w:r>
    </w:p>
    <w:p>
      <w:pPr>
        <w:pStyle w:val="BookText"/>
      </w:pPr>
      <w:r>
        <w:rPr>
          <w:rFonts w:ascii="Amiri" w:hAnsi="Amiri" w:eastAsia="Amiri" w:cs="Amiri"/>
          <w:lang w:bidi="ar-SA"/>
          <w:color w:val="111111"/>
          <w:sz w:val="28"/>
          <w:szCs w:val="28"/>
          <w:rtl/>
        </w:rPr>
        <w:t xml:space="preserve">في ملتمس زين العابدين - تفسير</w:t>
      </w:r>
    </w:p>
    <w:p>
      <w:pPr>
        <w:pStyle w:val="BookText"/>
      </w:pPr>
      <w:r>
        <w:rPr>
          <w:rFonts w:ascii="Amiri" w:hAnsi="Amiri" w:eastAsia="Amiri" w:cs="Amiri"/>
          <w:lang w:bidi="ar-SA"/>
          <w:color w:val="111111"/>
          <w:sz w:val="28"/>
          <w:szCs w:val="28"/>
          <w:rtl/>
        </w:rPr>
        <w:t xml:space="preserve">سورة الفاتحة، ج 14، ص 355.</w:t>
      </w:r>
    </w:p>
    <w:p>
      <w:pPr>
        <w:pStyle w:val="BookText"/>
      </w:pPr>
      <w:r>
        <w:rPr>
          <w:rFonts w:ascii="Amiri" w:hAnsi="Amiri" w:eastAsia="Amiri" w:cs="Amiri"/>
          <w:lang w:bidi="ar-SA"/>
          <w:color w:val="111111"/>
          <w:sz w:val="28"/>
          <w:szCs w:val="28"/>
          <w:rtl/>
        </w:rPr>
        <w:t xml:space="preserve">107 .مرآة المعاني في ادراك العالم الجسماني = حوض الحيات، ج 14،</w:t>
      </w:r>
    </w:p>
    <w:p>
      <w:pPr>
        <w:pStyle w:val="BookText"/>
      </w:pPr>
      <w:r>
        <w:rPr>
          <w:rFonts w:ascii="IRNazanin" w:hAnsi="IRNazanin" w:eastAsia="IRNazanin" w:cs="IRNazanin"/>
          <w:lang w:bidi="fa-IR"/>
          <w:color w:val="111111"/>
          <w:sz w:val="28"/>
          <w:szCs w:val="28"/>
          <w:rtl/>
        </w:rPr>
        <w:t xml:space="preserve">ص 364.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المرائي، ج 14، ص 365.</w:t>
      </w:r>
    </w:p>
    <w:p>
      <w:pPr>
        <w:pStyle w:val="BookText"/>
      </w:pPr>
      <w:r>
        <w:rPr>
          <w:rFonts w:ascii="IRNazanin" w:hAnsi="IRNazanin" w:eastAsia="IRNazanin" w:cs="IRNazanin"/>
          <w:lang w:bidi="fa-IR"/>
          <w:color w:val="111111"/>
          <w:sz w:val="28"/>
          <w:szCs w:val="28"/>
          <w:rtl/>
        </w:rPr>
        <w:t xml:space="preserve">109 .المسافرات و المحاضرات، ج 14،</w:t>
      </w:r>
    </w:p>
    <w:p>
      <w:pPr>
        <w:pStyle w:val="BookText"/>
      </w:pPr>
      <w:r>
        <w:rPr>
          <w:rFonts w:ascii="IRNazanin" w:hAnsi="IRNazanin" w:eastAsia="IRNazanin" w:cs="IRNazanin"/>
          <w:lang w:bidi="fa-IR"/>
          <w:color w:val="111111"/>
          <w:sz w:val="28"/>
          <w:szCs w:val="28"/>
          <w:rtl/>
        </w:rPr>
        <w:t xml:space="preserve">ص 503.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المسامرات، ج 14، ص 534.</w:t>
      </w:r>
    </w:p>
    <w:p>
      <w:pPr>
        <w:pStyle w:val="BookText"/>
      </w:pPr>
      <w:r>
        <w:rPr>
          <w:rFonts w:ascii="Amiri" w:hAnsi="Amiri" w:eastAsia="Amiri" w:cs="Amiri"/>
          <w:lang w:bidi="ar-SA"/>
          <w:color w:val="111111"/>
          <w:sz w:val="28"/>
          <w:szCs w:val="28"/>
          <w:rtl/>
        </w:rPr>
        <w:t xml:space="preserve">111 .مشاهد الاسرار القدسية و مطالع</w:t>
      </w:r>
    </w:p>
    <w:p>
      <w:pPr>
        <w:pStyle w:val="BookText"/>
      </w:pPr>
      <w:r>
        <w:rPr>
          <w:rFonts w:ascii="Amiri" w:hAnsi="Amiri" w:eastAsia="Amiri" w:cs="Amiri"/>
          <w:lang w:bidi="ar-SA"/>
          <w:color w:val="111111"/>
          <w:sz w:val="28"/>
          <w:szCs w:val="28"/>
          <w:rtl/>
        </w:rPr>
        <w:t xml:space="preserve">الانوار الالهية، ج 14، ص 619.</w:t>
      </w:r>
    </w:p>
    <w:p>
      <w:pPr>
        <w:pStyle w:val="BookText"/>
      </w:pPr>
      <w:r>
        <w:rPr>
          <w:rFonts w:ascii="Amiri" w:hAnsi="Amiri" w:eastAsia="Amiri" w:cs="Amiri"/>
          <w:lang w:bidi="ar-SA"/>
          <w:color w:val="111111"/>
          <w:sz w:val="28"/>
          <w:szCs w:val="28"/>
          <w:rtl/>
        </w:rPr>
        <w:t xml:space="preserve">112 .مشكاة الانوار فيما روي عن سبحانه من الاخبار = الاربعين لمحي الدين، ج 14، ص 634.</w:t>
      </w:r>
    </w:p>
    <w:p>
      <w:pPr>
        <w:pStyle w:val="BookText"/>
      </w:pPr>
      <w:r>
        <w:rPr>
          <w:rFonts w:ascii="Amiri" w:hAnsi="Amiri" w:eastAsia="Amiri" w:cs="Amiri"/>
          <w:lang w:bidi="ar-SA"/>
          <w:color w:val="111111"/>
          <w:sz w:val="28"/>
          <w:szCs w:val="28"/>
          <w:rtl/>
        </w:rPr>
        <w:t xml:space="preserve">113 .معرفة رجال الغيب، ج 15،</w:t>
      </w:r>
    </w:p>
    <w:p>
      <w:pPr>
        <w:pStyle w:val="BookText"/>
      </w:pPr>
      <w:r>
        <w:rPr>
          <w:rFonts w:ascii="IRNazanin" w:hAnsi="IRNazanin" w:eastAsia="IRNazanin" w:cs="IRNazanin"/>
          <w:lang w:bidi="fa-IR"/>
          <w:color w:val="111111"/>
          <w:sz w:val="28"/>
          <w:szCs w:val="28"/>
          <w:rtl/>
        </w:rPr>
        <w:t xml:space="preserve">ص 56.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معرفة ليلة القدر (رسالة في)</w:t>
      </w:r>
    </w:p>
    <w:p>
      <w:pPr>
        <w:pStyle w:val="BookText"/>
      </w:pPr>
      <w:r>
        <w:rPr>
          <w:rFonts w:ascii="IRNazanin" w:hAnsi="IRNazanin" w:eastAsia="IRNazanin" w:cs="IRNazanin"/>
          <w:lang w:bidi="fa-IR"/>
          <w:color w:val="111111"/>
          <w:sz w:val="28"/>
          <w:szCs w:val="28"/>
          <w:rtl/>
        </w:rPr>
        <w:t xml:space="preserve">115 .المعشرات، ج 15، ص79.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2" w:name="pg7742_69539"/>
    <w:bookmarkEnd w:id="92"/>
    <w:p>
      <w:pPr>
        <w:pStyle w:val="BookText"/>
      </w:pPr>
      <w:r>
        <w:rPr>
          <w:rFonts w:ascii="Amiri" w:hAnsi="Amiri" w:eastAsia="Amiri" w:cs="Amiri"/>
          <w:lang w:bidi="ar-SA"/>
          <w:color w:val="111111"/>
          <w:sz w:val="28"/>
          <w:szCs w:val="28"/>
          <w:rtl/>
        </w:rPr>
        <w:t xml:space="preserve">116 . المعلوم من عقايد علماء الرسوم</w:t>
      </w:r>
    </w:p>
    <w:p>
      <w:pPr>
        <w:pStyle w:val="BookText"/>
      </w:pPr>
      <w:r>
        <w:rPr>
          <w:rFonts w:ascii="Amiri" w:hAnsi="Amiri" w:eastAsia="Amiri" w:cs="Amiri"/>
          <w:lang w:bidi="ar-SA"/>
          <w:color w:val="111111"/>
          <w:sz w:val="28"/>
          <w:szCs w:val="28"/>
          <w:rtl/>
        </w:rPr>
        <w:t xml:space="preserve">(رسالة في)، ج 15 ، ص 84.</w:t>
      </w:r>
    </w:p>
    <w:p>
      <w:pPr>
        <w:pStyle w:val="BookText"/>
      </w:pPr>
      <w:r>
        <w:rPr>
          <w:rFonts w:ascii="Amiri" w:hAnsi="Amiri" w:eastAsia="Amiri" w:cs="Amiri"/>
          <w:lang w:bidi="ar-SA"/>
          <w:color w:val="111111"/>
          <w:sz w:val="28"/>
          <w:szCs w:val="28"/>
          <w:rtl/>
        </w:rPr>
        <w:t xml:space="preserve">117 .المغيبات الخمس، ج 15، ص 144.</w:t>
      </w:r>
    </w:p>
    <w:p>
      <w:pPr>
        <w:pStyle w:val="BookText"/>
      </w:pPr>
      <w:r>
        <w:rPr>
          <w:rFonts w:ascii="Amiri" w:hAnsi="Amiri" w:eastAsia="Amiri" w:cs="Amiri"/>
          <w:lang w:bidi="ar-SA"/>
          <w:color w:val="111111"/>
          <w:sz w:val="28"/>
          <w:szCs w:val="28"/>
          <w:rtl/>
        </w:rPr>
        <w:t xml:space="preserve">118 .مفاتيح الغيب، ج 15 ، ص 164.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مفتاح النصوص = نقش</w:t>
      </w:r>
    </w:p>
    <w:p>
      <w:pPr>
        <w:pStyle w:val="BookText"/>
      </w:pPr>
      <w:r>
        <w:rPr>
          <w:rFonts w:ascii="IRNazanin" w:hAnsi="IRNazanin" w:eastAsia="IRNazanin" w:cs="IRNazanin"/>
          <w:lang w:bidi="fa-IR"/>
          <w:color w:val="111111"/>
          <w:sz w:val="28"/>
          <w:szCs w:val="28"/>
          <w:rtl/>
        </w:rPr>
        <w:t xml:space="preserve">الفصوص، ج 15 ، ص 234 .</w:t>
      </w:r>
    </w:p>
    <w:p>
      <w:pPr>
        <w:pStyle w:val="BookText"/>
      </w:pPr>
      <w:r>
        <w:rPr>
          <w:rFonts w:ascii="Amiri" w:hAnsi="Amiri" w:eastAsia="Amiri" w:cs="Amiri"/>
          <w:lang w:bidi="ar-SA"/>
          <w:color w:val="111111"/>
          <w:sz w:val="28"/>
          <w:szCs w:val="28"/>
          <w:rtl/>
        </w:rPr>
        <w:t xml:space="preserve">120 .المناجاة، ج 15، ص 472.</w:t>
      </w:r>
    </w:p>
    <w:p>
      <w:pPr>
        <w:pStyle w:val="BookText"/>
      </w:pPr>
      <w:r>
        <w:rPr>
          <w:rFonts w:ascii="Amiri" w:hAnsi="Amiri" w:eastAsia="Amiri" w:cs="Amiri"/>
          <w:lang w:bidi="ar-SA"/>
          <w:color w:val="111111"/>
          <w:sz w:val="28"/>
          <w:szCs w:val="28"/>
          <w:rtl/>
        </w:rPr>
        <w:t xml:space="preserve">121 .المناجاة الفوتية، ج 15 ، ص 478.</w:t>
      </w:r>
    </w:p>
    <w:p>
      <w:pPr>
        <w:pStyle w:val="BookText"/>
      </w:pPr>
      <w:r>
        <w:rPr>
          <w:rFonts w:ascii="Amiri" w:hAnsi="Amiri" w:eastAsia="Amiri" w:cs="Amiri"/>
          <w:lang w:bidi="ar-SA"/>
          <w:color w:val="111111"/>
          <w:sz w:val="28"/>
          <w:szCs w:val="28"/>
          <w:rtl/>
        </w:rPr>
        <w:t xml:space="preserve">122 .مناقضة آراء الرازي (رسالة في)</w:t>
      </w:r>
    </w:p>
    <w:p>
      <w:pPr>
        <w:pStyle w:val="BookText"/>
      </w:pPr>
      <w:r>
        <w:rPr>
          <w:rFonts w:ascii="IRNazanin" w:hAnsi="IRNazanin" w:eastAsia="IRNazanin" w:cs="IRNazanin"/>
          <w:lang w:bidi="fa-IR"/>
          <w:color w:val="111111"/>
          <w:sz w:val="28"/>
          <w:szCs w:val="28"/>
          <w:rtl/>
        </w:rPr>
        <w:t xml:space="preserve">ج 15، ص 558.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مواقع النجوم و مطالع اهلة الاسرار و العلوم، ج 15، ص 877 .</w:t>
      </w:r>
    </w:p>
    <w:p>
      <w:pPr>
        <w:pStyle w:val="BookText"/>
      </w:pPr>
      <w:r>
        <w:rPr>
          <w:rFonts w:ascii="Amiri" w:hAnsi="Amiri" w:eastAsia="Amiri" w:cs="Amiri"/>
          <w:lang w:bidi="ar-SA"/>
          <w:color w:val="111111"/>
          <w:sz w:val="28"/>
          <w:szCs w:val="28"/>
          <w:rtl/>
        </w:rPr>
        <w:t xml:space="preserve">124 .موعظة الصديق رضي الله عنه،</w:t>
      </w:r>
    </w:p>
    <w:p>
      <w:pPr>
        <w:pStyle w:val="BookText"/>
      </w:pPr>
      <w:r>
        <w:rPr>
          <w:rFonts w:ascii="IRNazanin" w:hAnsi="IRNazanin" w:eastAsia="IRNazanin" w:cs="IRNazanin"/>
          <w:lang w:bidi="fa-IR"/>
          <w:color w:val="111111"/>
          <w:sz w:val="28"/>
          <w:szCs w:val="28"/>
          <w:rtl/>
        </w:rPr>
        <w:t xml:space="preserve">ج 16 ، ص 41.</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ميمية الشيخ الاكبر ابن عربي</w:t>
      </w:r>
    </w:p>
    <w:p>
      <w:pPr>
        <w:pStyle w:val="BookText"/>
      </w:pPr>
      <w:r>
        <w:rPr>
          <w:rFonts w:ascii="IRNazanin" w:hAnsi="IRNazanin" w:eastAsia="IRNazanin" w:cs="IRNazanin"/>
          <w:lang w:bidi="fa-IR"/>
          <w:color w:val="111111"/>
          <w:sz w:val="28"/>
          <w:szCs w:val="28"/>
          <w:rtl/>
        </w:rPr>
        <w:t xml:space="preserve">ج 16، ص 78.</w:t>
      </w:r>
    </w:p>
    <w:p>
      <w:pPr>
        <w:pStyle w:val="BookText"/>
      </w:pPr>
      <w:r>
        <w:rPr>
          <w:rFonts w:ascii="Amiri" w:hAnsi="Amiri" w:eastAsia="Amiri" w:cs="Amiri"/>
          <w:lang w:bidi="ar-SA"/>
          <w:color w:val="111111"/>
          <w:sz w:val="28"/>
          <w:szCs w:val="28"/>
          <w:rtl/>
        </w:rPr>
        <w:t xml:space="preserve">126 .نسبة لبس الخرقة، ج 16،</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Amiri" w:hAnsi="Amiri" w:eastAsia="Amiri" w:cs="Amiri"/>
          <w:lang w:bidi="ar-SA"/>
          <w:color w:val="111111"/>
          <w:sz w:val="28"/>
          <w:szCs w:val="28"/>
          <w:rtl/>
        </w:rPr>
        <w:t xml:space="preserve">127 .نسخة الحق = رسالة الحق</w:t>
      </w:r>
    </w:p>
    <w:p>
      <w:pPr>
        <w:pStyle w:val="BookText"/>
      </w:pPr>
      <w:r>
        <w:rPr>
          <w:rFonts w:ascii="IRNazanin" w:hAnsi="IRNazanin" w:eastAsia="IRNazanin" w:cs="IRNazanin"/>
          <w:lang w:bidi="fa-IR"/>
          <w:color w:val="111111"/>
          <w:sz w:val="28"/>
          <w:szCs w:val="28"/>
          <w:rtl/>
        </w:rPr>
        <w:t xml:space="preserve">ج 16، ص 275.</w:t>
      </w:r>
    </w:p>
    <w:p>
      <w:pPr>
        <w:pStyle w:val="BookText"/>
      </w:pPr>
      <w:r>
        <w:rPr>
          <w:rFonts w:ascii="Amiri" w:hAnsi="Amiri" w:eastAsia="Amiri" w:cs="Amiri"/>
          <w:lang w:bidi="ar-SA"/>
          <w:color w:val="111111"/>
          <w:sz w:val="28"/>
          <w:szCs w:val="28"/>
          <w:rtl/>
        </w:rPr>
        <w:t xml:space="preserve">128 .نفخ الروح و التسوية (رسالة في)</w:t>
      </w:r>
    </w:p>
    <w:p>
      <w:pPr>
        <w:pStyle w:val="BookText"/>
      </w:pPr>
      <w:r>
        <w:rPr>
          <w:rFonts w:ascii="IRNazanin" w:hAnsi="IRNazanin" w:eastAsia="IRNazanin" w:cs="IRNazanin"/>
          <w:lang w:bidi="fa-IR"/>
          <w:color w:val="111111"/>
          <w:sz w:val="28"/>
          <w:szCs w:val="28"/>
          <w:rtl/>
        </w:rPr>
        <w:t xml:space="preserve">ج 16، ص 397.</w:t>
      </w:r>
    </w:p>
    <w:p>
      <w:pPr>
        <w:pStyle w:val="BookText"/>
      </w:pPr>
      <w:r>
        <w:rPr>
          <w:rFonts w:ascii="Amiri" w:hAnsi="Amiri" w:eastAsia="Amiri" w:cs="Amiri"/>
          <w:lang w:bidi="ar-SA"/>
          <w:color w:val="111111"/>
          <w:sz w:val="28"/>
          <w:szCs w:val="28"/>
          <w:rtl/>
        </w:rPr>
        <w:t xml:space="preserve">129 .نقل عن محيي الدين بن عربي</w:t>
      </w:r>
    </w:p>
    <w:p>
      <w:pPr>
        <w:pStyle w:val="BookText"/>
      </w:pPr>
      <w:r>
        <w:rPr>
          <w:rFonts w:ascii="IRNazanin" w:hAnsi="IRNazanin" w:eastAsia="IRNazanin" w:cs="IRNazanin"/>
          <w:lang w:bidi="fa-IR"/>
          <w:color w:val="111111"/>
          <w:sz w:val="28"/>
          <w:szCs w:val="28"/>
          <w:rtl/>
        </w:rPr>
        <w:t xml:space="preserve">ج 16، ص 426.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نقولات، ج 16، ص 429.</w:t>
      </w:r>
    </w:p>
    <w:p>
      <w:pPr>
        <w:pStyle w:val="BookText"/>
      </w:pPr>
      <w:r>
        <w:rPr>
          <w:rFonts w:ascii="Amiri" w:hAnsi="Amiri" w:eastAsia="Amiri" w:cs="Amiri"/>
          <w:lang w:bidi="ar-SA"/>
          <w:color w:val="111111"/>
          <w:sz w:val="28"/>
          <w:szCs w:val="28"/>
          <w:rtl/>
        </w:rPr>
        <w:t xml:space="preserve">131 .نهج البيان لاهل الرضوان ج 16</w:t>
      </w:r>
    </w:p>
    <w:p>
      <w:pPr>
        <w:pStyle w:val="BookText"/>
      </w:pPr>
      <w:r>
        <w:rPr>
          <w:rFonts w:ascii="IRNazanin" w:hAnsi="IRNazanin" w:eastAsia="IRNazanin" w:cs="IRNazanin"/>
          <w:lang w:bidi="fa-IR"/>
          <w:color w:val="111111"/>
          <w:sz w:val="28"/>
          <w:szCs w:val="28"/>
          <w:rtl/>
        </w:rPr>
        <w:t xml:space="preserve">ص 522.</w:t>
      </w:r>
    </w:p>
    <w:p>
      <w:pPr>
        <w:pStyle w:val="BookText"/>
      </w:pPr>
      <w:r>
        <w:rPr>
          <w:rFonts w:ascii="Amiri" w:hAnsi="Amiri" w:eastAsia="Amiri" w:cs="Amiri"/>
          <w:lang w:bidi="ar-SA"/>
          <w:color w:val="111111"/>
          <w:sz w:val="28"/>
          <w:szCs w:val="28"/>
          <w:rtl/>
        </w:rPr>
        <w:t xml:space="preserve">132 .الوصايا الاكبرية، ج 16، ص 797.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الوصايا و العهود المحمدية</w:t>
      </w:r>
    </w:p>
    <w:p>
      <w:pPr>
        <w:pStyle w:val="BookText"/>
      </w:pPr>
      <w:r>
        <w:rPr>
          <w:rFonts w:ascii="IRNazanin" w:hAnsi="IRNazanin" w:eastAsia="IRNazanin" w:cs="IRNazanin"/>
          <w:lang w:bidi="fa-IR"/>
          <w:color w:val="111111"/>
          <w:sz w:val="28"/>
          <w:szCs w:val="28"/>
          <w:rtl/>
        </w:rPr>
        <w:t xml:space="preserve">ج 16، ص 800.</w:t>
      </w:r>
    </w:p>
    <w:p>
      <w:pPr>
        <w:pStyle w:val="BookText"/>
      </w:pPr>
      <w:r>
        <w:rPr>
          <w:rFonts w:ascii="Amiri" w:hAnsi="Amiri" w:eastAsia="Amiri" w:cs="Amiri"/>
          <w:lang w:bidi="ar-SA"/>
          <w:color w:val="111111"/>
          <w:sz w:val="28"/>
          <w:szCs w:val="28"/>
          <w:rtl/>
        </w:rPr>
        <w:t xml:space="preserve">134 .الوصية، ج 16، ص 808.</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الوعاء المختوم على السر المكتوم</w:t>
      </w:r>
    </w:p>
    <w:p>
      <w:pPr>
        <w:pStyle w:val="BookText"/>
      </w:pPr>
      <w:r>
        <w:rPr>
          <w:rFonts w:ascii="IRNazanin" w:hAnsi="IRNazanin" w:eastAsia="IRNazanin" w:cs="IRNazanin"/>
          <w:lang w:bidi="fa-IR"/>
          <w:color w:val="111111"/>
          <w:sz w:val="28"/>
          <w:szCs w:val="28"/>
          <w:rtl/>
        </w:rPr>
        <w:t xml:space="preserve">ج 16، ص 839.</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الوفق المخمس الخالي الوسط</w:t>
      </w:r>
    </w:p>
    <w:p>
      <w:pPr>
        <w:pStyle w:val="BookText"/>
      </w:pPr>
      <w:r>
        <w:rPr>
          <w:rFonts w:ascii="Amiri" w:hAnsi="Amiri" w:eastAsia="Amiri" w:cs="Amiri"/>
          <w:lang w:bidi="ar-SA"/>
          <w:color w:val="111111"/>
          <w:sz w:val="28"/>
          <w:szCs w:val="28"/>
          <w:rtl/>
        </w:rPr>
        <w:t xml:space="preserve">(منظومة في)، ج 16، ص 850.</w:t>
      </w:r>
    </w:p>
    <w:p>
      <w:pPr>
        <w:pStyle w:val="BookText"/>
      </w:pPr>
      <w:r>
        <w:rPr>
          <w:rFonts w:ascii="IRNazanin" w:hAnsi="IRNazanin" w:eastAsia="IRNazanin" w:cs="IRNazanin"/>
          <w:lang w:bidi="fa-IR"/>
          <w:color w:val="111111"/>
          <w:sz w:val="28"/>
          <w:szCs w:val="28"/>
          <w:rtl/>
        </w:rPr>
        <w:t xml:space="preserve">137 .الوقت، ج 16، ص 864.</w:t>
      </w:r>
    </w:p>
    <w:p>
      <w:pPr>
        <w:pStyle w:val="Heading2"/>
      </w:pPr>
      <w:bookmarkStart w:id="1519" w:name="_Toc621"/>
      <w:r>
        <w:t>ابن عربي ، محمّد بن محمّد 618-656ه-</w:t>
      </w:r>
      <w:bookmarkEnd w:id="1519"/>
    </w:p>
    <w:p>
      <w:pPr>
        <w:pStyle w:val="BookText"/>
      </w:pPr>
      <w:r>
        <w:rPr>
          <w:rFonts w:ascii="Amiri" w:hAnsi="Amiri" w:eastAsia="Amiri" w:cs="Amiri"/>
          <w:lang w:bidi="ar-SA"/>
          <w:color w:val="111111"/>
          <w:sz w:val="28"/>
          <w:szCs w:val="28"/>
          <w:rtl/>
        </w:rPr>
        <w:t xml:space="preserve">عقيدة الشيخ محيي الدين بن عربي</w:t>
      </w:r>
    </w:p>
    <w:p>
      <w:pPr>
        <w:pStyle w:val="BookText"/>
      </w:pPr>
      <w:r>
        <w:rPr>
          <w:rFonts w:ascii="IRNazanin" w:hAnsi="IRNazanin" w:eastAsia="IRNazanin" w:cs="IRNazanin"/>
          <w:lang w:bidi="fa-IR"/>
          <w:color w:val="111111"/>
          <w:sz w:val="28"/>
          <w:szCs w:val="28"/>
          <w:rtl/>
        </w:rPr>
        <w:t xml:space="preserve">ج 11، ص 203.</w:t>
      </w:r>
    </w:p>
    <w:p>
      <w:pPr>
        <w:pStyle w:val="BookText"/>
      </w:pPr>
      <w:r>
        <w:rPr>
          <w:rFonts w:ascii="Amiri" w:hAnsi="Amiri" w:eastAsia="Amiri" w:cs="Amiri"/>
          <w:lang w:bidi="ar-SA"/>
          <w:color w:val="111111"/>
          <w:sz w:val="28"/>
          <w:szCs w:val="28"/>
          <w:rtl/>
        </w:rPr>
        <w:t xml:space="preserve">ابن عربي ، يوسف بن حسن- انطاكي ،</w:t>
      </w:r>
    </w:p>
    <w:p>
      <w:pPr>
        <w:pStyle w:val="BookText"/>
      </w:pPr>
      <w:r>
        <w:rPr>
          <w:rFonts w:ascii="Amiri" w:hAnsi="Amiri" w:eastAsia="Amiri" w:cs="Amiri"/>
          <w:lang w:bidi="ar-SA"/>
          <w:color w:val="111111"/>
          <w:sz w:val="28"/>
          <w:szCs w:val="28"/>
          <w:rtl/>
        </w:rPr>
        <w:t xml:space="preserve">يوسف بن حسن</w:t>
      </w:r>
    </w:p>
    <w:p>
      <w:pPr>
        <w:pStyle w:val="BookText"/>
      </w:pPr>
      <w:r>
        <w:rPr>
          <w:rFonts w:ascii="Amiri" w:hAnsi="Amiri" w:eastAsia="Amiri" w:cs="Amiri"/>
          <w:lang w:bidi="ar-SA"/>
          <w:color w:val="111111"/>
          <w:sz w:val="28"/>
          <w:szCs w:val="28"/>
          <w:rtl/>
        </w:rPr>
        <w:t xml:space="preserve">ابن عربي بن يوسف جاوي مقاصيري - جاوي ، ابن عربي بن يوسف</w:t>
      </w:r>
    </w:p>
    <w:p>
      <w:pPr>
        <w:pStyle w:val="BookText"/>
      </w:pPr>
      <w:r>
        <w:rPr>
          <w:rFonts w:ascii="Amiri" w:hAnsi="Amiri" w:eastAsia="Amiri" w:cs="Amiri"/>
          <w:lang w:bidi="ar-SA"/>
          <w:color w:val="111111"/>
          <w:sz w:val="28"/>
          <w:szCs w:val="28"/>
          <w:rtl/>
        </w:rPr>
        <w:t xml:space="preserve">ابن عرفه ، حسن بن عرفه -عبدي ، حسن</w:t>
      </w:r>
    </w:p>
    <w:p>
      <w:pPr>
        <w:pStyle w:val="BookText"/>
      </w:pPr>
      <w:r>
        <w:rPr>
          <w:rFonts w:ascii="IRNazanin" w:hAnsi="IRNazanin" w:eastAsia="IRNazanin" w:cs="IRNazanin"/>
          <w:lang w:bidi="fa-IR"/>
          <w:color w:val="111111"/>
          <w:sz w:val="28"/>
          <w:szCs w:val="28"/>
          <w:rtl/>
        </w:rPr>
        <w:t xml:space="preserve">بن عرفه</w:t>
      </w:r>
    </w:p>
    <w:p>
      <w:pPr>
        <w:pStyle w:val="Heading2"/>
      </w:pPr>
      <w:bookmarkStart w:id="1520" w:name="_Toc622"/>
      <w:r>
        <w:t>ابن عرفه ، محمّد بن محمّد 716-803ه-</w:t>
      </w:r>
      <w:bookmarkEnd w:id="1520"/>
    </w:p>
    <w:p>
      <w:pPr>
        <w:pStyle w:val="BookText"/>
      </w:pPr>
      <w:r>
        <w:rPr>
          <w:rFonts w:ascii="Amiri" w:hAnsi="Amiri" w:eastAsia="Amiri" w:cs="Amiri"/>
          <w:lang w:bidi="ar-SA"/>
          <w:color w:val="111111"/>
          <w:sz w:val="28"/>
          <w:szCs w:val="28"/>
          <w:rtl/>
        </w:rPr>
        <w:t xml:space="preserve">1 .تفسير القرآن الكريم - تفسير ابن</w:t>
      </w:r>
    </w:p>
    <w:p>
      <w:pPr>
        <w:pStyle w:val="BookText"/>
      </w:pPr>
      <w:r>
        <w:rPr>
          <w:rFonts w:ascii="Amiri" w:hAnsi="Amiri" w:eastAsia="Amiri" w:cs="Amiri"/>
          <w:lang w:bidi="ar-SA"/>
          <w:color w:val="111111"/>
          <w:sz w:val="28"/>
          <w:szCs w:val="28"/>
          <w:rtl/>
        </w:rPr>
        <w:t xml:space="preserve">عرفة، ج 4، ص 664.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الطرق الواضحات في علم المناسخات، ج 10، ص 816.</w:t>
      </w:r>
    </w:p>
    <w:p>
      <w:pPr>
        <w:pStyle w:val="Heading2"/>
      </w:pPr>
      <w:bookmarkStart w:id="1521" w:name="_Toc623"/>
      <w:r>
        <w:t>ابن عریف احمد بن محمد 481-536ه-</w:t>
      </w:r>
      <w:bookmarkEnd w:id="1521"/>
    </w:p>
    <w:p>
      <w:pPr>
        <w:pStyle w:val="BookText"/>
      </w:pPr>
      <w:r>
        <w:rPr>
          <w:rFonts w:ascii="IRNazanin" w:hAnsi="IRNazanin" w:eastAsia="IRNazanin" w:cs="IRNazanin"/>
          <w:lang w:bidi="fa-IR"/>
          <w:color w:val="111111"/>
          <w:sz w:val="28"/>
          <w:szCs w:val="28"/>
          <w:rtl/>
        </w:rPr>
        <w:t xml:space="preserve">محاسن المجالس، ج 14، ص 95.</w:t>
      </w:r>
    </w:p>
    <w:p>
      <w:pPr>
        <w:pStyle w:val="Heading2"/>
      </w:pPr>
      <w:bookmarkStart w:id="1522" w:name="_Toc624"/>
      <w:r>
        <w:t>ابن عزالدين، عزالدین بن محمّد</w:t>
      </w:r>
      <w:bookmarkEnd w:id="1522"/>
    </w:p>
    <w:p>
      <w:pPr>
        <w:pStyle w:val="BookText"/>
      </w:pPr>
      <w:r>
        <w:rPr>
          <w:rFonts w:ascii="Amiri" w:hAnsi="Amiri" w:eastAsia="Amiri" w:cs="Amiri"/>
          <w:lang w:bidi="ar-SA"/>
          <w:color w:val="111111"/>
          <w:sz w:val="28"/>
          <w:szCs w:val="28"/>
          <w:rtl/>
        </w:rPr>
        <w:t xml:space="preserve">شرح مقدمة ابن الحاجب، ج 10،</w:t>
      </w:r>
    </w:p>
    <w:p>
      <w:pPr>
        <w:pStyle w:val="BookText"/>
      </w:pPr>
      <w:r>
        <w:rPr>
          <w:rFonts w:ascii="IRNazanin" w:hAnsi="IRNazanin" w:eastAsia="IRNazanin" w:cs="IRNazanin"/>
          <w:lang w:bidi="fa-IR"/>
          <w:color w:val="111111"/>
          <w:sz w:val="28"/>
          <w:szCs w:val="28"/>
          <w:rtl/>
        </w:rPr>
        <w:t xml:space="preserve">ص 186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3" w:name="pg7742_69540"/>
    <w:bookmarkEnd w:id="93"/>
    <w:p>
      <w:pPr>
        <w:pStyle w:val="Heading2"/>
      </w:pPr>
      <w:bookmarkStart w:id="1523" w:name="_Toc625"/>
      <w:r>
        <w:t>ابن عزيز ، مرتضى بن عزيز</w:t>
      </w:r>
      <w:bookmarkEnd w:id="1523"/>
    </w:p>
    <w:p>
      <w:pPr>
        <w:pStyle w:val="BookText"/>
      </w:pPr>
      <w:r>
        <w:rPr>
          <w:rFonts w:ascii="Amiri" w:hAnsi="Amiri" w:eastAsia="Amiri" w:cs="Amiri"/>
          <w:lang w:bidi="ar-SA"/>
          <w:color w:val="111111"/>
          <w:sz w:val="28"/>
          <w:szCs w:val="28"/>
          <w:rtl/>
        </w:rPr>
        <w:t xml:space="preserve">العروة الوثقى، ج 11، ص 86.</w:t>
      </w:r>
    </w:p>
    <w:p>
      <w:pPr>
        <w:pStyle w:val="Heading2"/>
      </w:pPr>
      <w:bookmarkStart w:id="1524" w:name="_Toc626"/>
      <w:r>
        <w:t>ابن عساکر ، عبدالصمد بن عبدالوهاب</w:t>
      </w:r>
      <w:bookmarkEnd w:id="1524"/>
    </w:p>
    <w:p>
      <w:pPr>
        <w:pStyle w:val="BookText"/>
      </w:pPr>
      <w:r>
        <w:rPr>
          <w:rFonts w:ascii="IRNazanin" w:hAnsi="IRNazanin" w:eastAsia="IRNazanin" w:cs="IRNazanin"/>
          <w:lang w:bidi="fa-IR"/>
          <w:color w:val="111111"/>
          <w:sz w:val="28"/>
          <w:szCs w:val="28"/>
          <w:rtl/>
        </w:rPr>
        <w:t xml:space="preserve">614 - 686 ه-</w:t>
      </w:r>
    </w:p>
    <w:p>
      <w:pPr>
        <w:pStyle w:val="BookText"/>
      </w:pPr>
      <w:r>
        <w:rPr>
          <w:rFonts w:ascii="IRNazanin" w:hAnsi="IRNazanin" w:eastAsia="IRNazanin" w:cs="IRNazanin"/>
          <w:lang w:bidi="fa-IR"/>
          <w:color w:val="111111"/>
          <w:sz w:val="28"/>
          <w:szCs w:val="28"/>
          <w:rtl/>
        </w:rPr>
        <w:t xml:space="preserve">احادیث شهر رمضان، ج 1، ص 409.</w:t>
      </w:r>
    </w:p>
    <w:p>
      <w:pPr>
        <w:pStyle w:val="Heading2"/>
      </w:pPr>
      <w:bookmarkStart w:id="1525" w:name="_Toc627"/>
      <w:r>
        <w:t>ابن عساكر ، علي بن حسن، 499-571 ه-</w:t>
      </w:r>
      <w:bookmarkEnd w:id="1525"/>
    </w:p>
    <w:p>
      <w:pPr>
        <w:pStyle w:val="BookText"/>
      </w:pPr>
      <w:r>
        <w:rPr>
          <w:rFonts w:ascii="Amiri" w:hAnsi="Amiri" w:eastAsia="Amiri" w:cs="Amiri"/>
          <w:lang w:bidi="ar-SA"/>
          <w:color w:val="111111"/>
          <w:sz w:val="28"/>
          <w:szCs w:val="28"/>
          <w:rtl/>
        </w:rPr>
        <w:t xml:space="preserve">1 .الاربعين الابدال العوال، ج1،</w:t>
      </w:r>
    </w:p>
    <w:p>
      <w:pPr>
        <w:pStyle w:val="BookText"/>
      </w:pPr>
      <w:r>
        <w:rPr>
          <w:rFonts w:ascii="IRNazanin" w:hAnsi="IRNazanin" w:eastAsia="IRNazanin" w:cs="IRNazanin"/>
          <w:lang w:bidi="fa-IR"/>
          <w:color w:val="111111"/>
          <w:sz w:val="28"/>
          <w:szCs w:val="28"/>
          <w:rtl/>
        </w:rPr>
        <w:t xml:space="preserve">ص 739.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الامالي، ج 2، ص723.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مدينة دمشق = تاريخ ابن</w:t>
      </w:r>
    </w:p>
    <w:p>
      <w:pPr>
        <w:pStyle w:val="BookText"/>
      </w:pPr>
      <w:r>
        <w:rPr>
          <w:rFonts w:ascii="IRNazanin" w:hAnsi="IRNazanin" w:eastAsia="IRNazanin" w:cs="IRNazanin"/>
          <w:lang w:bidi="fa-IR"/>
          <w:color w:val="111111"/>
          <w:sz w:val="28"/>
          <w:szCs w:val="28"/>
          <w:rtl/>
        </w:rPr>
        <w:t xml:space="preserve">عساکر، ج3، ص 591.</w:t>
      </w:r>
    </w:p>
    <w:p>
      <w:pPr>
        <w:pStyle w:val="BookText"/>
      </w:pPr>
      <w:r>
        <w:rPr>
          <w:rFonts w:ascii="Amiri" w:hAnsi="Amiri" w:eastAsia="Amiri" w:cs="Amiri"/>
          <w:lang w:bidi="ar-SA"/>
          <w:color w:val="111111"/>
          <w:sz w:val="28"/>
          <w:szCs w:val="28"/>
          <w:rtl/>
        </w:rPr>
        <w:t xml:space="preserve">4 .تبيين كذب المفتري فيما نسب إلى ابي الحسن الاشعري، ج 3، ص 669.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التجريد، ج 3، ص 683 .</w:t>
      </w:r>
    </w:p>
    <w:p>
      <w:pPr>
        <w:pStyle w:val="BookText"/>
      </w:pPr>
      <w:r>
        <w:rPr>
          <w:rFonts w:ascii="Amiri" w:hAnsi="Amiri" w:eastAsia="Amiri" w:cs="Amiri"/>
          <w:lang w:bidi="ar-SA"/>
          <w:color w:val="111111"/>
          <w:sz w:val="28"/>
          <w:szCs w:val="28"/>
          <w:rtl/>
        </w:rPr>
        <w:t xml:space="preserve">6 .تحريم الأبنة، ج3، ص 759.</w:t>
      </w:r>
    </w:p>
    <w:p>
      <w:pPr>
        <w:pStyle w:val="BookText"/>
      </w:pPr>
      <w:r>
        <w:rPr>
          <w:rFonts w:ascii="IRNazanin" w:hAnsi="IRNazanin" w:eastAsia="IRNazanin" w:cs="IRNazanin"/>
          <w:lang w:bidi="fa-IR"/>
          <w:color w:val="111111"/>
          <w:sz w:val="28"/>
          <w:szCs w:val="28"/>
          <w:rtl/>
        </w:rPr>
        <w:t xml:space="preserve">7 .دیوان ابن عساكر، ج 7، ص 526.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المغطي في فضائل الموطأ،</w:t>
      </w:r>
    </w:p>
    <w:p>
      <w:pPr>
        <w:pStyle w:val="BookText"/>
      </w:pPr>
      <w:r>
        <w:rPr>
          <w:rFonts w:ascii="IRNazanin" w:hAnsi="IRNazanin" w:eastAsia="IRNazanin" w:cs="IRNazanin"/>
          <w:lang w:bidi="fa-IR"/>
          <w:color w:val="111111"/>
          <w:sz w:val="28"/>
          <w:szCs w:val="28"/>
          <w:rtl/>
        </w:rPr>
        <w:t xml:space="preserve">ج 13، ص 270.</w:t>
      </w:r>
    </w:p>
    <w:p>
      <w:pPr>
        <w:pStyle w:val="BookText"/>
      </w:pPr>
      <w:r>
        <w:rPr>
          <w:rFonts w:ascii="Amiri" w:hAnsi="Amiri" w:eastAsia="Amiri" w:cs="Amiri"/>
          <w:lang w:bidi="ar-SA"/>
          <w:color w:val="111111"/>
          <w:sz w:val="28"/>
          <w:szCs w:val="28"/>
          <w:rtl/>
        </w:rPr>
        <w:t xml:space="preserve">9 .مجالس في الحديث النبيوي</w:t>
      </w:r>
    </w:p>
    <w:p>
      <w:pPr>
        <w:pStyle w:val="BookText"/>
      </w:pPr>
      <w:r>
        <w:rPr>
          <w:rFonts w:ascii="Amiri" w:hAnsi="Amiri" w:eastAsia="Amiri" w:cs="Amiri"/>
          <w:lang w:bidi="ar-SA"/>
          <w:color w:val="111111"/>
          <w:sz w:val="28"/>
          <w:szCs w:val="28"/>
          <w:rtl/>
        </w:rPr>
        <w:t xml:space="preserve">الشريف، ج13، ص799.</w:t>
      </w:r>
    </w:p>
    <w:p>
      <w:pPr>
        <w:pStyle w:val="BookText"/>
      </w:pPr>
      <w:r>
        <w:rPr>
          <w:rFonts w:ascii="Amiri" w:hAnsi="Amiri" w:eastAsia="Amiri" w:cs="Amiri"/>
          <w:lang w:bidi="ar-SA"/>
          <w:color w:val="111111"/>
          <w:sz w:val="28"/>
          <w:szCs w:val="28"/>
          <w:rtl/>
        </w:rPr>
        <w:t xml:space="preserve">10 .معجم الشيوخ و النبلاء - المعجم</w:t>
      </w:r>
    </w:p>
    <w:p>
      <w:pPr>
        <w:pStyle w:val="BookText"/>
      </w:pPr>
      <w:r>
        <w:rPr>
          <w:rFonts w:ascii="Amiri" w:hAnsi="Amiri" w:eastAsia="Amiri" w:cs="Amiri"/>
          <w:lang w:bidi="ar-SA"/>
          <w:color w:val="111111"/>
          <w:sz w:val="28"/>
          <w:szCs w:val="28"/>
          <w:rtl/>
        </w:rPr>
        <w:t xml:space="preserve">المشتمل على أسماء شيوخ الائمة النبل، ج 15، ص 15.</w:t>
      </w:r>
    </w:p>
    <w:p>
      <w:pPr>
        <w:pStyle w:val="Heading2"/>
      </w:pPr>
      <w:bookmarkStart w:id="1526" w:name="_Toc628"/>
      <w:r>
        <w:t>ابن عساكر ، قاسم بن علي، 527-600 ه-</w:t>
      </w:r>
      <w:bookmarkEnd w:id="1526"/>
    </w:p>
    <w:p>
      <w:pPr>
        <w:pStyle w:val="BookText"/>
      </w:pPr>
      <w:r>
        <w:rPr>
          <w:rFonts w:ascii="Amiri" w:hAnsi="Amiri" w:eastAsia="Amiri" w:cs="Amiri"/>
          <w:lang w:bidi="ar-SA"/>
          <w:color w:val="111111"/>
          <w:sz w:val="28"/>
          <w:szCs w:val="28"/>
          <w:rtl/>
        </w:rPr>
        <w:t xml:space="preserve">الجامع المستقصي في فضائل المسجد</w:t>
      </w:r>
    </w:p>
    <w:p>
      <w:pPr>
        <w:pStyle w:val="BookText"/>
      </w:pPr>
      <w:r>
        <w:rPr>
          <w:rFonts w:ascii="IRNazanin" w:hAnsi="IRNazanin" w:eastAsia="IRNazanin" w:cs="IRNazanin"/>
          <w:lang w:bidi="fa-IR"/>
          <w:color w:val="111111"/>
          <w:sz w:val="28"/>
          <w:szCs w:val="28"/>
          <w:rtl/>
        </w:rPr>
        <w:t xml:space="preserve">الأقصى، ج 5، ص 329.</w:t>
      </w:r>
    </w:p>
    <w:p>
      <w:pPr>
        <w:pStyle w:val="Heading2"/>
      </w:pPr>
      <w:bookmarkStart w:id="1527" w:name="_Toc629"/>
      <w:r>
        <w:t>ابن عسكر ، محمّد بن علي، - 636 ه-</w:t>
      </w:r>
      <w:bookmarkEnd w:id="1527"/>
    </w:p>
    <w:p>
      <w:pPr>
        <w:pStyle w:val="BookText"/>
      </w:pPr>
      <w:r>
        <w:rPr>
          <w:rFonts w:ascii="Amiri" w:hAnsi="Amiri" w:eastAsia="Amiri" w:cs="Amiri"/>
          <w:lang w:bidi="ar-SA"/>
          <w:color w:val="111111"/>
          <w:sz w:val="28"/>
          <w:szCs w:val="28"/>
          <w:rtl/>
        </w:rPr>
        <w:t xml:space="preserve">التكملة والاتمام لكتاب التعريف و</w:t>
      </w:r>
    </w:p>
    <w:p>
      <w:pPr>
        <w:pStyle w:val="BookText"/>
      </w:pPr>
      <w:r>
        <w:rPr>
          <w:rFonts w:ascii="IRNazanin" w:hAnsi="IRNazanin" w:eastAsia="IRNazanin" w:cs="IRNazanin"/>
          <w:lang w:bidi="fa-IR"/>
          <w:color w:val="111111"/>
          <w:sz w:val="28"/>
          <w:szCs w:val="28"/>
          <w:rtl/>
        </w:rPr>
        <w:t xml:space="preserve">الأعلام، ج4، ص 827.</w:t>
      </w:r>
    </w:p>
    <w:p>
      <w:pPr>
        <w:pStyle w:val="Heading2"/>
      </w:pPr>
      <w:bookmarkStart w:id="1528" w:name="_Toc630"/>
      <w:r>
        <w:t>ابن عصفور ، علي بن مؤمن 597-669 ه-</w:t>
      </w:r>
      <w:bookmarkEnd w:id="15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شرح المقرب، ج 10، ص 207.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المقرب، ج 15 ، ص 377</w:t>
      </w:r>
    </w:p>
    <w:p>
      <w:pPr>
        <w:pStyle w:val="BookText"/>
      </w:pPr>
      <w:r>
        <w:rPr>
          <w:rFonts w:ascii="Amiri" w:hAnsi="Amiri" w:eastAsia="Amiri" w:cs="Amiri"/>
          <w:lang w:bidi="ar-SA"/>
          <w:color w:val="111111"/>
          <w:sz w:val="28"/>
          <w:szCs w:val="28"/>
          <w:rtl/>
        </w:rPr>
        <w:t xml:space="preserve">ابن عصفور ، يوسف بن احمد -بحراني ،</w:t>
      </w:r>
    </w:p>
    <w:p>
      <w:pPr>
        <w:pStyle w:val="BookText"/>
      </w:pPr>
      <w:r>
        <w:rPr>
          <w:rFonts w:ascii="Amiri" w:hAnsi="Amiri" w:eastAsia="Amiri" w:cs="Amiri"/>
          <w:lang w:bidi="ar-SA"/>
          <w:color w:val="111111"/>
          <w:sz w:val="28"/>
          <w:szCs w:val="28"/>
          <w:rtl/>
        </w:rPr>
        <w:t xml:space="preserve">يوسف بن احمد</w:t>
      </w:r>
    </w:p>
    <w:p>
      <w:pPr>
        <w:pStyle w:val="Heading2"/>
      </w:pPr>
      <w:bookmarkStart w:id="1529" w:name="_Toc631"/>
      <w:r>
        <w:t>ابن عطاء الله اسكندري ، احمد بن محمّد</w:t>
      </w:r>
      <w:bookmarkEnd w:id="15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709ه-</w:t>
      </w:r>
    </w:p>
    <w:p>
      <w:pPr>
        <w:pStyle w:val="BookText"/>
      </w:pPr>
      <w:r>
        <w:rPr>
          <w:rFonts w:ascii="Amiri" w:hAnsi="Amiri" w:eastAsia="Amiri" w:cs="Amiri"/>
          <w:lang w:bidi="ar-SA"/>
          <w:color w:val="111111"/>
          <w:sz w:val="28"/>
          <w:szCs w:val="28"/>
          <w:rtl/>
        </w:rPr>
        <w:t xml:space="preserve">1 .الأنفاس الزكية في شرح الحكم</w:t>
      </w:r>
    </w:p>
    <w:p>
      <w:pPr>
        <w:pStyle w:val="BookText"/>
      </w:pPr>
      <w:r>
        <w:rPr>
          <w:rFonts w:ascii="Amiri" w:hAnsi="Amiri" w:eastAsia="Amiri" w:cs="Amiri"/>
          <w:lang w:bidi="ar-SA"/>
          <w:color w:val="111111"/>
          <w:sz w:val="28"/>
          <w:szCs w:val="28"/>
          <w:rtl/>
        </w:rPr>
        <w:t xml:space="preserve">العطائية، ج 2، ص820</w:t>
      </w:r>
    </w:p>
    <w:p>
      <w:pPr>
        <w:pStyle w:val="BookText"/>
      </w:pPr>
      <w:r>
        <w:rPr>
          <w:rFonts w:ascii="Amiri" w:hAnsi="Amiri" w:eastAsia="Amiri" w:cs="Amiri"/>
          <w:lang w:bidi="ar-SA"/>
          <w:color w:val="111111"/>
          <w:sz w:val="28"/>
          <w:szCs w:val="28"/>
          <w:rtl/>
        </w:rPr>
        <w:t xml:space="preserve">2 .تاج العروس الحاوي لتهذيب</w:t>
      </w:r>
    </w:p>
    <w:p>
      <w:pPr>
        <w:pStyle w:val="BookText"/>
      </w:pPr>
      <w:r>
        <w:rPr>
          <w:rFonts w:ascii="IRNazanin" w:hAnsi="IRNazanin" w:eastAsia="IRNazanin" w:cs="IRNazanin"/>
          <w:lang w:bidi="fa-IR"/>
          <w:color w:val="111111"/>
          <w:sz w:val="28"/>
          <w:szCs w:val="28"/>
          <w:rtl/>
        </w:rPr>
        <w:t xml:space="preserve">النفوس، ج 3، ص 533.</w:t>
      </w:r>
    </w:p>
    <w:p>
      <w:pPr>
        <w:pStyle w:val="BookText"/>
      </w:pPr>
      <w:r>
        <w:rPr>
          <w:rFonts w:ascii="Amiri" w:hAnsi="Amiri" w:eastAsia="Amiri" w:cs="Amiri"/>
          <w:lang w:bidi="ar-SA"/>
          <w:color w:val="111111"/>
          <w:sz w:val="28"/>
          <w:szCs w:val="28"/>
          <w:rtl/>
        </w:rPr>
        <w:t xml:space="preserve">3 .التصوف (رسالة في)، ج 4، ص 428.</w:t>
      </w:r>
    </w:p>
    <w:p>
      <w:pPr>
        <w:pStyle w:val="BookText"/>
      </w:pPr>
      <w:r>
        <w:rPr>
          <w:rFonts w:ascii="Amiri" w:hAnsi="Amiri" w:eastAsia="Amiri" w:cs="Amiri"/>
          <w:lang w:bidi="ar-SA"/>
          <w:color w:val="111111"/>
          <w:sz w:val="28"/>
          <w:szCs w:val="28"/>
          <w:rtl/>
        </w:rPr>
        <w:t xml:space="preserve">4 .التنوير في اسقاط التدبير، ج5،</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Amiri" w:hAnsi="Amiri" w:eastAsia="Amiri" w:cs="Amiri"/>
          <w:lang w:bidi="ar-SA"/>
          <w:color w:val="111111"/>
          <w:sz w:val="28"/>
          <w:szCs w:val="28"/>
          <w:rtl/>
        </w:rPr>
        <w:t xml:space="preserve">5.الحكم العطائية = الفوائد، ج 6،</w:t>
      </w:r>
    </w:p>
    <w:p>
      <w:pPr>
        <w:pStyle w:val="BookText"/>
      </w:pPr>
      <w:r>
        <w:rPr>
          <w:rFonts w:ascii="IRNazanin" w:hAnsi="IRNazanin" w:eastAsia="IRNazanin" w:cs="IRNazanin"/>
          <w:lang w:bidi="fa-IR"/>
          <w:color w:val="111111"/>
          <w:sz w:val="28"/>
          <w:szCs w:val="28"/>
          <w:rtl/>
        </w:rPr>
        <w:t xml:space="preserve">ص 759 .</w:t>
      </w:r>
    </w:p>
    <w:p>
      <w:pPr>
        <w:pStyle w:val="BookText"/>
      </w:pPr>
      <w:r>
        <w:rPr>
          <w:rFonts w:ascii="Amiri" w:hAnsi="Amiri" w:eastAsia="Amiri" w:cs="Amiri"/>
          <w:lang w:bidi="ar-SA"/>
          <w:color w:val="111111"/>
          <w:sz w:val="28"/>
          <w:szCs w:val="28"/>
          <w:rtl/>
        </w:rPr>
        <w:t xml:space="preserve">6 .ديوان ابن عطاء الله اسكندري، ج7،</w:t>
      </w:r>
    </w:p>
    <w:p>
      <w:pPr>
        <w:pStyle w:val="BookText"/>
      </w:pPr>
      <w:r>
        <w:rPr>
          <w:rFonts w:ascii="IRNazanin" w:hAnsi="IRNazanin" w:eastAsia="IRNazanin" w:cs="IRNazanin"/>
          <w:lang w:bidi="fa-IR"/>
          <w:color w:val="111111"/>
          <w:sz w:val="28"/>
          <w:szCs w:val="28"/>
          <w:rtl/>
        </w:rPr>
        <w:t xml:space="preserve">ص 526.</w:t>
      </w:r>
    </w:p>
    <w:p>
      <w:pPr>
        <w:pStyle w:val="BookText"/>
      </w:pPr>
      <w:r>
        <w:rPr>
          <w:rFonts w:ascii="Amiri" w:hAnsi="Amiri" w:eastAsia="Amiri" w:cs="Amiri"/>
          <w:lang w:bidi="ar-SA"/>
          <w:color w:val="111111"/>
          <w:sz w:val="28"/>
          <w:szCs w:val="28"/>
          <w:rtl/>
        </w:rPr>
        <w:t xml:space="preserve">7.شرح قصيدة أبي مدين ج9،</w:t>
      </w:r>
    </w:p>
    <w:p>
      <w:pPr>
        <w:pStyle w:val="BookText"/>
      </w:pPr>
      <w:r>
        <w:rPr>
          <w:rFonts w:ascii="IRNazanin" w:hAnsi="IRNazanin" w:eastAsia="IRNazanin" w:cs="IRNazanin"/>
          <w:lang w:bidi="fa-IR"/>
          <w:color w:val="111111"/>
          <w:sz w:val="28"/>
          <w:szCs w:val="28"/>
          <w:rtl/>
        </w:rPr>
        <w:t xml:space="preserve">ص 834.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لطائف المنن في مناقب الشيخ ابي العباس و شيخه ابي الحسن، ج13،</w:t>
      </w:r>
    </w:p>
    <w:p>
      <w:pPr>
        <w:pStyle w:val="BookText"/>
      </w:pPr>
      <w:r>
        <w:rPr>
          <w:rFonts w:ascii="IRNazanin" w:hAnsi="IRNazanin" w:eastAsia="IRNazanin" w:cs="IRNazanin"/>
          <w:lang w:bidi="fa-IR"/>
          <w:color w:val="111111"/>
          <w:sz w:val="28"/>
          <w:szCs w:val="28"/>
          <w:rtl/>
        </w:rPr>
        <w:t xml:space="preserve">ص 583 .</w:t>
      </w:r>
    </w:p>
    <w:p>
      <w:pPr>
        <w:pStyle w:val="BookText"/>
      </w:pPr>
      <w:r>
        <w:rPr>
          <w:rFonts w:ascii="IRNazanin" w:hAnsi="IRNazanin" w:eastAsia="IRNazanin" w:cs="IRNazanin"/>
          <w:lang w:bidi="fa-IR"/>
          <w:color w:val="111111"/>
          <w:sz w:val="28"/>
          <w:szCs w:val="28"/>
          <w:rtl/>
        </w:rPr>
        <w:t xml:space="preserve">9 .مفتاح الفلاح و مصباح الارواح</w:t>
      </w:r>
    </w:p>
    <w:p>
      <w:pPr>
        <w:pStyle w:val="BookText"/>
      </w:pPr>
      <w:r>
        <w:rPr>
          <w:rFonts w:ascii="IRNazanin" w:hAnsi="IRNazanin" w:eastAsia="IRNazanin" w:cs="IRNazanin"/>
          <w:lang w:bidi="fa-IR"/>
          <w:color w:val="111111"/>
          <w:sz w:val="28"/>
          <w:szCs w:val="28"/>
          <w:rtl/>
        </w:rPr>
        <w:t xml:space="preserve">ج 15، ص 218.</w:t>
      </w:r>
    </w:p>
    <w:p>
      <w:pPr>
        <w:pStyle w:val="BookText"/>
      </w:pPr>
      <w:r>
        <w:rPr>
          <w:rFonts w:ascii="Amiri" w:hAnsi="Amiri" w:eastAsia="Amiri" w:cs="Amiri"/>
          <w:lang w:bidi="ar-SA"/>
          <w:color w:val="111111"/>
          <w:sz w:val="28"/>
          <w:szCs w:val="28"/>
          <w:rtl/>
        </w:rPr>
        <w:t xml:space="preserve">ابن عطار ، علي بن ابراهيم -عطار ، علي</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ابن عطيه ، جرير بن عطيه -كلبي ، جرير</w:t>
      </w:r>
    </w:p>
    <w:p>
      <w:pPr>
        <w:pStyle w:val="BookText"/>
      </w:pPr>
      <w:r>
        <w:rPr>
          <w:rFonts w:ascii="Amiri" w:hAnsi="Amiri" w:eastAsia="Amiri" w:cs="Amiri"/>
          <w:lang w:bidi="ar-SA"/>
          <w:color w:val="111111"/>
          <w:sz w:val="28"/>
          <w:szCs w:val="28"/>
          <w:rtl/>
        </w:rPr>
        <w:t xml:space="preserve">بن عطيه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4" w:name="pg7742_69543"/>
    <w:bookmarkEnd w:id="94"/>
    <w:p>
      <w:pPr>
        <w:pStyle w:val="Heading2"/>
      </w:pPr>
      <w:bookmarkStart w:id="1530" w:name="_Toc632"/>
      <w:r>
        <w:t>ابن عطيه ، عبد الحق بن غالب 481 -</w:t>
      </w:r>
      <w:bookmarkEnd w:id="1530"/>
    </w:p>
    <w:p>
      <w:pPr>
        <w:pStyle w:val="BookText"/>
      </w:pPr>
      <w:r>
        <w:rPr>
          <w:rFonts w:ascii="IRNazanin" w:hAnsi="IRNazanin" w:eastAsia="IRNazanin" w:cs="IRNazanin"/>
          <w:lang w:bidi="fa-IR"/>
          <w:color w:val="111111"/>
          <w:sz w:val="28"/>
          <w:szCs w:val="28"/>
          <w:rtl/>
        </w:rPr>
        <w:t xml:space="preserve">542 ؟ ه-</w:t>
      </w:r>
    </w:p>
    <w:p>
      <w:pPr>
        <w:pStyle w:val="BookText"/>
      </w:pPr>
      <w:r>
        <w:rPr>
          <w:rFonts w:ascii="Amiri" w:hAnsi="Amiri" w:eastAsia="Amiri" w:cs="Amiri"/>
          <w:lang w:bidi="ar-SA"/>
          <w:color w:val="111111"/>
          <w:sz w:val="28"/>
          <w:szCs w:val="28"/>
          <w:rtl/>
        </w:rPr>
        <w:t xml:space="preserve">المحرر الوجيز في تفسير الكتاب العزيز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ابن عطيه، ج 14 ، ص 116.</w:t>
      </w:r>
    </w:p>
    <w:p>
      <w:pPr>
        <w:pStyle w:val="BookText"/>
      </w:pPr>
      <w:r>
        <w:rPr>
          <w:rFonts w:ascii="Amiri" w:hAnsi="Amiri" w:eastAsia="Amiri" w:cs="Amiri"/>
          <w:lang w:bidi="ar-SA"/>
          <w:color w:val="111111"/>
          <w:sz w:val="28"/>
          <w:szCs w:val="28"/>
          <w:rtl/>
        </w:rPr>
        <w:t xml:space="preserve">ابن عظوم المرادي ، عبدالجليل بن محمّد- قيرواني ، عبدالجليل بن محمّد</w:t>
      </w:r>
    </w:p>
    <w:p>
      <w:pPr>
        <w:pStyle w:val="Heading2"/>
      </w:pPr>
      <w:bookmarkStart w:id="1531" w:name="_Toc633"/>
      <w:r>
        <w:t>ابن عفيف تلمساني ، محمد بن سليمان</w:t>
      </w:r>
      <w:bookmarkEnd w:id="1531"/>
    </w:p>
    <w:p>
      <w:pPr>
        <w:pStyle w:val="BookText"/>
      </w:pPr>
      <w:r>
        <w:rPr>
          <w:rFonts w:ascii="IRNazanin" w:hAnsi="IRNazanin" w:eastAsia="IRNazanin" w:cs="IRNazanin"/>
          <w:lang w:bidi="fa-IR"/>
          <w:color w:val="111111"/>
          <w:sz w:val="28"/>
          <w:szCs w:val="28"/>
          <w:rtl/>
        </w:rPr>
        <w:t xml:space="preserve">661 - 688 ه-</w:t>
      </w:r>
    </w:p>
    <w:p>
      <w:pPr>
        <w:pStyle w:val="BookText"/>
      </w:pPr>
      <w:r>
        <w:rPr>
          <w:rFonts w:ascii="Amiri" w:hAnsi="Amiri" w:eastAsia="Amiri" w:cs="Amiri"/>
          <w:lang w:bidi="ar-SA"/>
          <w:color w:val="111111"/>
          <w:sz w:val="28"/>
          <w:szCs w:val="28"/>
          <w:rtl/>
        </w:rPr>
        <w:t xml:space="preserve">1 .الشاب الظريف = ديوان تلمساني علاء الدين</w:t>
      </w:r>
    </w:p>
    <w:p>
      <w:pPr>
        <w:pStyle w:val="BookText"/>
      </w:pPr>
      <w:r>
        <w:rPr>
          <w:rFonts w:ascii="Amiri" w:hAnsi="Amiri" w:eastAsia="Amiri" w:cs="Amiri"/>
          <w:lang w:bidi="ar-SA"/>
          <w:color w:val="111111"/>
          <w:sz w:val="28"/>
          <w:szCs w:val="28"/>
          <w:rtl/>
        </w:rPr>
        <w:t xml:space="preserve">ديوان ابن العفيف، ج 9، ص 51</w:t>
      </w:r>
    </w:p>
    <w:p>
      <w:pPr>
        <w:pStyle w:val="BookText"/>
      </w:pPr>
      <w:r>
        <w:rPr>
          <w:rFonts w:ascii="Amiri" w:hAnsi="Amiri" w:eastAsia="Amiri" w:cs="Amiri"/>
          <w:lang w:bidi="ar-SA"/>
          <w:color w:val="111111"/>
          <w:sz w:val="28"/>
          <w:szCs w:val="28"/>
          <w:rtl/>
        </w:rPr>
        <w:t xml:space="preserve">2.المقامة، ج 15، ص310.</w:t>
      </w:r>
    </w:p>
    <w:p>
      <w:pPr>
        <w:pStyle w:val="Heading2"/>
      </w:pPr>
      <w:bookmarkStart w:id="1532" w:name="_Toc634"/>
      <w:r>
        <w:t>ابن عقيل ، عبدالله بن عبد الرحمن، 698 -</w:t>
      </w:r>
      <w:bookmarkEnd w:id="1532"/>
    </w:p>
    <w:p>
      <w:pPr>
        <w:pStyle w:val="BookText"/>
      </w:pPr>
      <w:r>
        <w:rPr>
          <w:rFonts w:ascii="IRNazanin" w:hAnsi="IRNazanin" w:eastAsia="IRNazanin" w:cs="IRNazanin"/>
          <w:lang w:bidi="fa-IR"/>
          <w:color w:val="111111"/>
          <w:sz w:val="28"/>
          <w:szCs w:val="28"/>
          <w:rtl/>
        </w:rPr>
        <w:t xml:space="preserve">769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الفية ابن مالك = شرح ابن</w:t>
      </w:r>
    </w:p>
    <w:p>
      <w:pPr>
        <w:pStyle w:val="BookText"/>
      </w:pPr>
      <w:r>
        <w:rPr>
          <w:rFonts w:ascii="Amiri" w:hAnsi="Amiri" w:eastAsia="Amiri" w:cs="Amiri"/>
          <w:lang w:bidi="ar-SA"/>
          <w:color w:val="111111"/>
          <w:sz w:val="28"/>
          <w:szCs w:val="28"/>
          <w:rtl/>
        </w:rPr>
        <w:t xml:space="preserve">عقيل، ج9، ص218.</w:t>
      </w:r>
    </w:p>
    <w:p>
      <w:pPr>
        <w:pStyle w:val="BookText"/>
      </w:pPr>
      <w:r>
        <w:rPr>
          <w:rFonts w:ascii="Amiri" w:hAnsi="Amiri" w:eastAsia="Amiri" w:cs="Amiri"/>
          <w:lang w:bidi="ar-SA"/>
          <w:color w:val="111111"/>
          <w:sz w:val="28"/>
          <w:szCs w:val="28"/>
          <w:rtl/>
        </w:rPr>
        <w:t xml:space="preserve">2 .شرح تسهيل الفوائد و تكميل المقاصد = المساعد على تسهيل الفوائد، ج 9، ص329.</w:t>
      </w:r>
    </w:p>
    <w:p>
      <w:pPr>
        <w:pStyle w:val="Heading2"/>
      </w:pPr>
      <w:bookmarkStart w:id="1533" w:name="_Toc635"/>
      <w:r>
        <w:t>ابن علاء ، محيي الدين بن علاء</w:t>
      </w:r>
      <w:bookmarkEnd w:id="1533"/>
    </w:p>
    <w:p>
      <w:pPr>
        <w:pStyle w:val="BookText"/>
      </w:pPr>
      <w:r>
        <w:rPr>
          <w:rFonts w:ascii="Amiri" w:hAnsi="Amiri" w:eastAsia="Amiri" w:cs="Amiri"/>
          <w:lang w:bidi="ar-SA"/>
          <w:color w:val="111111"/>
          <w:sz w:val="28"/>
          <w:szCs w:val="28"/>
          <w:rtl/>
        </w:rPr>
        <w:t xml:space="preserve">الصفات الحميدة (رسالة في)، ج10،</w:t>
      </w:r>
    </w:p>
    <w:p>
      <w:pPr>
        <w:pStyle w:val="BookText"/>
      </w:pPr>
      <w:r>
        <w:rPr>
          <w:rFonts w:ascii="IRNazanin" w:hAnsi="IRNazanin" w:eastAsia="IRNazanin" w:cs="IRNazanin"/>
          <w:lang w:bidi="fa-IR"/>
          <w:color w:val="111111"/>
          <w:sz w:val="28"/>
          <w:szCs w:val="28"/>
          <w:rtl/>
        </w:rPr>
        <w:t xml:space="preserve">ص 563.</w:t>
      </w:r>
    </w:p>
    <w:p>
      <w:pPr>
        <w:pStyle w:val="Heading2"/>
      </w:pPr>
      <w:bookmarkStart w:id="1534" w:name="_Toc636"/>
      <w:r>
        <w:t>ابن العلامة ، محمّد بن حسن</w:t>
      </w:r>
      <w:bookmarkEnd w:id="1534"/>
    </w:p>
    <w:p>
      <w:pPr>
        <w:pStyle w:val="BookText"/>
      </w:pPr>
      <w:r>
        <w:rPr>
          <w:rFonts w:ascii="Amiri" w:hAnsi="Amiri" w:eastAsia="Amiri" w:cs="Amiri"/>
          <w:lang w:bidi="ar-SA"/>
          <w:color w:val="111111"/>
          <w:sz w:val="28"/>
          <w:szCs w:val="28"/>
          <w:rtl/>
        </w:rPr>
        <w:t xml:space="preserve">الرسالة الاشرفية في ذم الواسواس، ج8،</w:t>
      </w:r>
    </w:p>
    <w:p>
      <w:pPr>
        <w:pStyle w:val="BookText"/>
      </w:pPr>
      <w:r>
        <w:rPr>
          <w:rFonts w:ascii="IRNazanin" w:hAnsi="IRNazanin" w:eastAsia="IRNazanin" w:cs="IRNazanin"/>
          <w:lang w:bidi="fa-IR"/>
          <w:color w:val="111111"/>
          <w:sz w:val="28"/>
          <w:szCs w:val="28"/>
          <w:rtl/>
        </w:rPr>
        <w:t xml:space="preserve">ص 165 .</w:t>
      </w:r>
    </w:p>
    <w:p>
      <w:pPr>
        <w:pStyle w:val="BookText"/>
      </w:pPr>
      <w:r>
        <w:rPr>
          <w:rFonts w:ascii="Amiri" w:hAnsi="Amiri" w:eastAsia="Amiri" w:cs="Amiri"/>
          <w:lang w:bidi="ar-SA"/>
          <w:color w:val="111111"/>
          <w:sz w:val="28"/>
          <w:szCs w:val="28"/>
          <w:rtl/>
        </w:rPr>
        <w:t xml:space="preserve">ابن عقيل ، علي بن عقيل، 431 - 513 ه- 1033ه-</w:t>
      </w:r>
    </w:p>
    <w:p>
      <w:pPr>
        <w:pStyle w:val="BookText"/>
      </w:pPr>
      <w:r>
        <w:rPr>
          <w:rFonts w:ascii="Amiri" w:hAnsi="Amiri" w:eastAsia="Amiri" w:cs="Amiri"/>
          <w:lang w:bidi="ar-SA"/>
          <w:color w:val="111111"/>
          <w:sz w:val="28"/>
          <w:szCs w:val="28"/>
          <w:rtl/>
        </w:rPr>
        <w:t xml:space="preserve">كفاية المفتي، ج 13، ص 341.</w:t>
      </w:r>
    </w:p>
    <w:p>
      <w:pPr>
        <w:pStyle w:val="Heading2"/>
      </w:pPr>
      <w:bookmarkStart w:id="1535" w:name="_Toc637"/>
      <w:r>
        <w:t>ابن عقيله ، محمّد بن احمد - 1150 ه-</w:t>
      </w:r>
      <w:bookmarkEnd w:id="1535"/>
    </w:p>
    <w:p>
      <w:pPr>
        <w:pStyle w:val="BookText"/>
      </w:pPr>
      <w:r>
        <w:rPr>
          <w:rFonts w:ascii="Amiri" w:hAnsi="Amiri" w:eastAsia="Amiri" w:cs="Amiri"/>
          <w:lang w:bidi="ar-SA"/>
          <w:color w:val="111111"/>
          <w:sz w:val="28"/>
          <w:szCs w:val="28"/>
          <w:rtl/>
        </w:rPr>
        <w:t xml:space="preserve">1 .اجازة للشيخ محمّد الداوودي، ج1،</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حقيقة البيان في جواب السائل عن الدليل و الدال و المستدل و البيان</w:t>
      </w:r>
    </w:p>
    <w:p>
      <w:pPr>
        <w:pStyle w:val="BookText"/>
      </w:pPr>
      <w:r>
        <w:rPr>
          <w:rFonts w:ascii="IRNazanin" w:hAnsi="IRNazanin" w:eastAsia="IRNazanin" w:cs="IRNazanin"/>
          <w:lang w:bidi="fa-IR"/>
          <w:color w:val="111111"/>
          <w:sz w:val="28"/>
          <w:szCs w:val="28"/>
          <w:rtl/>
        </w:rPr>
        <w:t xml:space="preserve">ج 6، ص 707.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رسالة ابن عبد الهادي، ج8، ص 159.</w:t>
      </w:r>
    </w:p>
    <w:p>
      <w:pPr>
        <w:pStyle w:val="BookText"/>
      </w:pPr>
      <w:r>
        <w:rPr>
          <w:rFonts w:ascii="Amiri" w:hAnsi="Amiri" w:eastAsia="Amiri" w:cs="Amiri"/>
          <w:lang w:bidi="ar-SA"/>
          <w:color w:val="111111"/>
          <w:sz w:val="28"/>
          <w:szCs w:val="28"/>
          <w:rtl/>
        </w:rPr>
        <w:t xml:space="preserve">4 عقد الجواهر في سلاسل الاكابر</w:t>
      </w:r>
    </w:p>
    <w:p>
      <w:pPr>
        <w:pStyle w:val="BookText"/>
      </w:pPr>
      <w:r>
        <w:rPr>
          <w:rFonts w:ascii="IRNazanin" w:hAnsi="IRNazanin" w:eastAsia="IRNazanin" w:cs="IRNazanin"/>
          <w:lang w:bidi="fa-IR"/>
          <w:color w:val="111111"/>
          <w:sz w:val="28"/>
          <w:szCs w:val="28"/>
          <w:rtl/>
        </w:rPr>
        <w:t xml:space="preserve">ج 11 ، ص 159.</w:t>
      </w:r>
    </w:p>
    <w:p>
      <w:pPr>
        <w:pStyle w:val="BookText"/>
      </w:pPr>
      <w:r>
        <w:rPr>
          <w:rFonts w:ascii="Amiri" w:hAnsi="Amiri" w:eastAsia="Amiri" w:cs="Amiri"/>
          <w:lang w:bidi="ar-SA"/>
          <w:color w:val="111111"/>
          <w:sz w:val="28"/>
          <w:szCs w:val="28"/>
          <w:rtl/>
        </w:rPr>
        <w:t xml:space="preserve">5 .الفوائد الجليلة في مسلسلات عقيلة</w:t>
      </w:r>
    </w:p>
    <w:p>
      <w:pPr>
        <w:pStyle w:val="BookText"/>
      </w:pPr>
      <w:r>
        <w:rPr>
          <w:rFonts w:ascii="IRNazanin" w:hAnsi="IRNazanin" w:eastAsia="IRNazanin" w:cs="IRNazanin"/>
          <w:lang w:bidi="fa-IR"/>
          <w:color w:val="111111"/>
          <w:sz w:val="28"/>
          <w:szCs w:val="28"/>
          <w:rtl/>
        </w:rPr>
        <w:t xml:space="preserve">ج 12، ص 191.</w:t>
      </w:r>
    </w:p>
    <w:p>
      <w:pPr>
        <w:pStyle w:val="BookText"/>
      </w:pPr>
      <w:r>
        <w:rPr>
          <w:rFonts w:ascii="Amiri" w:hAnsi="Amiri" w:eastAsia="Amiri" w:cs="Amiri"/>
          <w:lang w:bidi="ar-SA"/>
          <w:color w:val="111111"/>
          <w:sz w:val="28"/>
          <w:szCs w:val="28"/>
          <w:rtl/>
        </w:rPr>
        <w:t xml:space="preserve">6 .فيض المنان في معنى ليس في الامكان ابدع مما كان ج 12،</w:t>
      </w:r>
    </w:p>
    <w:p>
      <w:pPr>
        <w:pStyle w:val="BookText"/>
      </w:pPr>
      <w:r>
        <w:rPr>
          <w:rFonts w:ascii="IRNazanin" w:hAnsi="IRNazanin" w:eastAsia="IRNazanin" w:cs="IRNazanin"/>
          <w:lang w:bidi="fa-IR"/>
          <w:color w:val="111111"/>
          <w:sz w:val="28"/>
          <w:szCs w:val="28"/>
          <w:rtl/>
        </w:rPr>
        <w:t xml:space="preserve">ص 316.</w:t>
      </w:r>
    </w:p>
    <w:p>
      <w:pPr>
        <w:pStyle w:val="BookText"/>
      </w:pPr>
      <w:r>
        <w:rPr>
          <w:rFonts w:ascii="Amiri" w:hAnsi="Amiri" w:eastAsia="Amiri" w:cs="Amiri"/>
          <w:lang w:bidi="ar-SA"/>
          <w:color w:val="111111"/>
          <w:sz w:val="28"/>
          <w:szCs w:val="28"/>
          <w:rtl/>
        </w:rPr>
        <w:t xml:space="preserve">ابن علاء الدين اسود -اسود ، حسن بن علاء الدين</w:t>
      </w:r>
    </w:p>
    <w:p>
      <w:pPr>
        <w:pStyle w:val="Heading2"/>
      </w:pPr>
      <w:bookmarkStart w:id="1536" w:name="_Toc638"/>
      <w:r>
        <w:t>ابن علان ، احمد بن ابراهيم 975 -</w:t>
      </w:r>
      <w:bookmarkEnd w:id="1536"/>
    </w:p>
    <w:p>
      <w:pPr>
        <w:pStyle w:val="BookText"/>
      </w:pPr>
      <w:r>
        <w:rPr>
          <w:rFonts w:ascii="Amiri" w:hAnsi="Amiri" w:eastAsia="Amiri" w:cs="Amiri"/>
          <w:lang w:bidi="ar-SA"/>
          <w:color w:val="111111"/>
          <w:sz w:val="28"/>
          <w:szCs w:val="28"/>
          <w:rtl/>
        </w:rPr>
        <w:t xml:space="preserve">1 .شرح المنظومة لأبي مدين = شرح قصيدة الصوفية لأبي مدين المغربي</w:t>
      </w:r>
    </w:p>
    <w:p>
      <w:pPr>
        <w:pStyle w:val="BookText"/>
      </w:pPr>
      <w:r>
        <w:rPr>
          <w:rFonts w:ascii="IRNazanin" w:hAnsi="IRNazanin" w:eastAsia="IRNazanin" w:cs="IRNazanin"/>
          <w:lang w:bidi="fa-IR"/>
          <w:color w:val="111111"/>
          <w:sz w:val="28"/>
          <w:szCs w:val="28"/>
          <w:rtl/>
        </w:rPr>
        <w:t xml:space="preserve">ج 10، ص 255.</w:t>
      </w:r>
    </w:p>
    <w:p>
      <w:pPr>
        <w:pStyle w:val="BookText"/>
      </w:pPr>
      <w:r>
        <w:rPr>
          <w:rFonts w:ascii="Amiri" w:hAnsi="Amiri" w:eastAsia="Amiri" w:cs="Amiri"/>
          <w:lang w:bidi="ar-SA"/>
          <w:color w:val="111111"/>
          <w:sz w:val="28"/>
          <w:szCs w:val="28"/>
          <w:rtl/>
        </w:rPr>
        <w:t xml:space="preserve">2 .شرح قصيدة نظم السلوك = شرح قصيدة «من ذاق طعم شراب القوم يدريه»، ج 9، ص900.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النقشبندي محمد بهاء</w:t>
      </w:r>
    </w:p>
    <w:p>
      <w:pPr>
        <w:pStyle w:val="BookText"/>
      </w:pPr>
      <w:r>
        <w:rPr>
          <w:rFonts w:ascii="Amiri" w:hAnsi="Amiri" w:eastAsia="Amiri" w:cs="Amiri"/>
          <w:lang w:bidi="ar-SA"/>
          <w:color w:val="111111"/>
          <w:sz w:val="28"/>
          <w:szCs w:val="28"/>
          <w:rtl/>
        </w:rPr>
        <w:t xml:space="preserve">الدين)، ج 15 ، ص 555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5" w:name="pg7742_69545"/>
    <w:bookmarkEnd w:id="95"/>
    <w:p>
      <w:pPr>
        <w:pStyle w:val="Heading2"/>
      </w:pPr>
      <w:bookmarkStart w:id="1537" w:name="_Toc639"/>
      <w:r>
        <w:t>ابن علان ، محمّد علي بن محمّد، 966 -</w:t>
      </w:r>
      <w:bookmarkEnd w:id="1537"/>
    </w:p>
    <w:p>
      <w:pPr>
        <w:pStyle w:val="BookText"/>
      </w:pPr>
      <w:r>
        <w:rPr>
          <w:rFonts w:ascii="IRNazanin" w:hAnsi="IRNazanin" w:eastAsia="IRNazanin" w:cs="IRNazanin"/>
          <w:lang w:bidi="fa-IR"/>
          <w:color w:val="111111"/>
          <w:sz w:val="28"/>
          <w:szCs w:val="28"/>
          <w:rtl/>
        </w:rPr>
        <w:t xml:space="preserve">1057 ه-</w:t>
      </w:r>
    </w:p>
    <w:p>
      <w:pPr>
        <w:pStyle w:val="BookText"/>
      </w:pPr>
      <w:r>
        <w:rPr>
          <w:rFonts w:ascii="IRNazanin" w:hAnsi="IRNazanin" w:eastAsia="IRNazanin" w:cs="IRNazanin"/>
          <w:lang w:bidi="fa-IR"/>
          <w:color w:val="111111"/>
          <w:sz w:val="28"/>
          <w:szCs w:val="28"/>
          <w:rtl/>
        </w:rPr>
        <w:t xml:space="preserve">1 .اتحاف كل مسلم بختم صحیح الامام مسلم، ج1، ص132</w:t>
      </w:r>
    </w:p>
    <w:p>
      <w:pPr>
        <w:pStyle w:val="BookText"/>
      </w:pPr>
      <w:r>
        <w:rPr>
          <w:rFonts w:ascii="IRNazanin" w:hAnsi="IRNazanin" w:eastAsia="IRNazanin" w:cs="IRNazanin"/>
          <w:lang w:bidi="fa-IR"/>
          <w:color w:val="111111"/>
          <w:sz w:val="28"/>
          <w:szCs w:val="28"/>
          <w:rtl/>
        </w:rPr>
        <w:t xml:space="preserve">2.حدائق الالباب، ج 6 ، ص 509.</w:t>
      </w:r>
    </w:p>
    <w:p>
      <w:pPr>
        <w:pStyle w:val="BookText"/>
      </w:pPr>
      <w:r>
        <w:rPr>
          <w:rFonts w:ascii="Amiri" w:hAnsi="Amiri" w:eastAsia="Amiri" w:cs="Amiri"/>
          <w:lang w:bidi="ar-SA"/>
          <w:color w:val="111111"/>
          <w:sz w:val="28"/>
          <w:szCs w:val="28"/>
          <w:rtl/>
        </w:rPr>
        <w:t xml:space="preserve">3.الرسالة النافعة، ج8، ص288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رفع الخصائص عن طلاب</w:t>
      </w:r>
    </w:p>
    <w:p>
      <w:pPr>
        <w:pStyle w:val="BookText"/>
      </w:pPr>
      <w:r>
        <w:rPr>
          <w:rFonts w:ascii="IRNazanin" w:hAnsi="IRNazanin" w:eastAsia="IRNazanin" w:cs="IRNazanin"/>
          <w:lang w:bidi="fa-IR"/>
          <w:color w:val="111111"/>
          <w:sz w:val="28"/>
          <w:szCs w:val="28"/>
          <w:rtl/>
        </w:rPr>
        <w:t xml:space="preserve">الخصائص، ج8، ص339</w:t>
      </w:r>
    </w:p>
    <w:p>
      <w:pPr>
        <w:pStyle w:val="BookText"/>
      </w:pPr>
      <w:r>
        <w:rPr>
          <w:rFonts w:ascii="Amiri" w:hAnsi="Amiri" w:eastAsia="Amiri" w:cs="Amiri"/>
          <w:lang w:bidi="ar-SA"/>
          <w:color w:val="111111"/>
          <w:sz w:val="28"/>
          <w:szCs w:val="28"/>
          <w:rtl/>
        </w:rPr>
        <w:t xml:space="preserve">5 .سكرات الموت ( رسالة في)، ج8،</w:t>
      </w:r>
    </w:p>
    <w:p>
      <w:pPr>
        <w:pStyle w:val="BookText"/>
      </w:pPr>
      <w:r>
        <w:rPr>
          <w:rFonts w:ascii="IRNazanin" w:hAnsi="IRNazanin" w:eastAsia="IRNazanin" w:cs="IRNazanin"/>
          <w:lang w:bidi="fa-IR"/>
          <w:color w:val="111111"/>
          <w:sz w:val="28"/>
          <w:szCs w:val="28"/>
          <w:rtl/>
        </w:rPr>
        <w:t xml:space="preserve">ص 791</w:t>
      </w:r>
    </w:p>
    <w:p>
      <w:pPr>
        <w:pStyle w:val="BookText"/>
      </w:pPr>
      <w:r>
        <w:rPr>
          <w:rFonts w:ascii="Amiri" w:hAnsi="Amiri" w:eastAsia="Amiri" w:cs="Amiri"/>
          <w:lang w:bidi="ar-SA"/>
          <w:color w:val="111111"/>
          <w:sz w:val="28"/>
          <w:szCs w:val="28"/>
          <w:rtl/>
        </w:rPr>
        <w:t xml:space="preserve">6 .شرح الايضاح في المناسك، ج9،</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Amiri" w:hAnsi="Amiri" w:eastAsia="Amiri" w:cs="Amiri"/>
          <w:lang w:bidi="ar-SA"/>
          <w:color w:val="111111"/>
          <w:sz w:val="28"/>
          <w:szCs w:val="28"/>
          <w:rtl/>
        </w:rPr>
        <w:t xml:space="preserve">7 .مثير شوق الانام إلى حج بيت الله</w:t>
      </w:r>
    </w:p>
    <w:p>
      <w:pPr>
        <w:pStyle w:val="BookText"/>
      </w:pPr>
      <w:r>
        <w:rPr>
          <w:rFonts w:ascii="IRNazanin" w:hAnsi="IRNazanin" w:eastAsia="IRNazanin" w:cs="IRNazanin"/>
          <w:lang w:bidi="fa-IR"/>
          <w:color w:val="111111"/>
          <w:sz w:val="28"/>
          <w:szCs w:val="28"/>
          <w:rtl/>
        </w:rPr>
        <w:t xml:space="preserve">الحرام، ج13، ص778.</w:t>
      </w:r>
    </w:p>
    <w:p>
      <w:pPr>
        <w:pStyle w:val="BookText"/>
      </w:pPr>
      <w:r>
        <w:rPr>
          <w:rFonts w:ascii="Amiri" w:hAnsi="Amiri" w:eastAsia="Amiri" w:cs="Amiri"/>
          <w:lang w:bidi="ar-SA"/>
          <w:color w:val="111111"/>
          <w:sz w:val="28"/>
          <w:szCs w:val="28"/>
          <w:rtl/>
        </w:rPr>
        <w:t xml:space="preserve">8 .المقامات النقشبندية، ج 15، ص 310.</w:t>
      </w:r>
    </w:p>
    <w:p>
      <w:pPr>
        <w:pStyle w:val="BookText"/>
      </w:pPr>
      <w:r>
        <w:rPr>
          <w:rFonts w:ascii="Amiri" w:hAnsi="Amiri" w:eastAsia="Amiri" w:cs="Amiri"/>
          <w:lang w:bidi="ar-SA"/>
          <w:color w:val="111111"/>
          <w:sz w:val="28"/>
          <w:szCs w:val="28"/>
          <w:rtl/>
        </w:rPr>
        <w:t xml:space="preserve">9 .المواهب الفتحية على الطريقة</w:t>
      </w:r>
    </w:p>
    <w:p>
      <w:pPr>
        <w:pStyle w:val="BookText"/>
      </w:pPr>
      <w:r>
        <w:rPr>
          <w:rFonts w:ascii="Amiri" w:hAnsi="Amiri" w:eastAsia="Amiri" w:cs="Amiri"/>
          <w:lang w:bidi="ar-SA"/>
          <w:color w:val="111111"/>
          <w:sz w:val="28"/>
          <w:szCs w:val="28"/>
          <w:rtl/>
        </w:rPr>
        <w:t xml:space="preserve">المحمدية، ج 15، ص 893.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ورد محمّد الصديقي البكري</w:t>
      </w:r>
    </w:p>
    <w:p>
      <w:pPr>
        <w:pStyle w:val="BookText"/>
      </w:pPr>
      <w:r>
        <w:rPr>
          <w:rFonts w:ascii="IRNazanin" w:hAnsi="IRNazanin" w:eastAsia="IRNazanin" w:cs="IRNazanin"/>
          <w:lang w:bidi="fa-IR"/>
          <w:color w:val="111111"/>
          <w:sz w:val="28"/>
          <w:szCs w:val="28"/>
          <w:rtl/>
        </w:rPr>
        <w:t xml:space="preserve">ج 16، ص 762 .</w:t>
      </w:r>
    </w:p>
    <w:p>
      <w:pPr>
        <w:pStyle w:val="BookText"/>
      </w:pPr>
      <w:r>
        <w:rPr>
          <w:rFonts w:ascii="Amiri" w:hAnsi="Amiri" w:eastAsia="Amiri" w:cs="Amiri"/>
          <w:lang w:bidi="ar-SA"/>
          <w:color w:val="111111"/>
          <w:sz w:val="28"/>
          <w:szCs w:val="28"/>
          <w:rtl/>
        </w:rPr>
        <w:t xml:space="preserve">ابن علوان ، فتح الله بن علوان- كعبي</w:t>
      </w:r>
    </w:p>
    <w:p>
      <w:pPr>
        <w:pStyle w:val="BookText"/>
      </w:pPr>
      <w:r>
        <w:rPr>
          <w:rFonts w:ascii="IRNazanin" w:hAnsi="IRNazanin" w:eastAsia="IRNazanin" w:cs="IRNazanin"/>
          <w:lang w:bidi="fa-IR"/>
          <w:color w:val="111111"/>
          <w:sz w:val="28"/>
          <w:szCs w:val="28"/>
          <w:rtl/>
        </w:rPr>
        <w:t xml:space="preserve">فتح الله بن علوان</w:t>
      </w:r>
    </w:p>
    <w:p>
      <w:pPr>
        <w:pStyle w:val="BookText"/>
      </w:pPr>
      <w:r>
        <w:rPr>
          <w:rFonts w:ascii="Amiri" w:hAnsi="Amiri" w:eastAsia="Amiri" w:cs="Amiri"/>
          <w:lang w:bidi="ar-SA"/>
          <w:color w:val="111111"/>
          <w:sz w:val="28"/>
          <w:szCs w:val="28"/>
          <w:rtl/>
        </w:rPr>
        <w:t xml:space="preserve">ابن علوان ، محمّد بن عبد الباقي- زرقاني ،</w:t>
      </w:r>
    </w:p>
    <w:p>
      <w:pPr>
        <w:pStyle w:val="BookText"/>
      </w:pPr>
      <w:r>
        <w:rPr>
          <w:rFonts w:ascii="Amiri" w:hAnsi="Amiri" w:eastAsia="Amiri" w:cs="Amiri"/>
          <w:lang w:bidi="ar-SA"/>
          <w:color w:val="111111"/>
          <w:sz w:val="28"/>
          <w:szCs w:val="28"/>
          <w:rtl/>
        </w:rPr>
        <w:t xml:space="preserve">محمّد بن عبدالباقي</w:t>
      </w:r>
    </w:p>
    <w:p>
      <w:pPr>
        <w:pStyle w:val="BookText"/>
      </w:pPr>
      <w:r>
        <w:rPr>
          <w:rFonts w:ascii="Amiri" w:hAnsi="Amiri" w:eastAsia="Amiri" w:cs="Amiri"/>
          <w:lang w:bidi="ar-SA"/>
          <w:color w:val="111111"/>
          <w:sz w:val="28"/>
          <w:szCs w:val="28"/>
          <w:rtl/>
        </w:rPr>
        <w:t xml:space="preserve">ابن علوان حموي- علوان ، علي بن عطيه</w:t>
      </w:r>
    </w:p>
    <w:p>
      <w:pPr>
        <w:pStyle w:val="Heading2"/>
      </w:pPr>
      <w:bookmarkStart w:id="1538" w:name="_Toc640"/>
      <w:r>
        <w:t>ابن علوجه ، احمد بن محمّد قرن 3 ه-</w:t>
      </w:r>
      <w:bookmarkEnd w:id="1538"/>
    </w:p>
    <w:p>
      <w:pPr>
        <w:pStyle w:val="BookText"/>
      </w:pPr>
      <w:r>
        <w:rPr>
          <w:rFonts w:ascii="Amiri" w:hAnsi="Amiri" w:eastAsia="Amiri" w:cs="Amiri"/>
          <w:lang w:bidi="ar-SA"/>
          <w:color w:val="111111"/>
          <w:sz w:val="28"/>
          <w:szCs w:val="28"/>
          <w:rtl/>
        </w:rPr>
        <w:t xml:space="preserve">ترويح الارواح و مفتاح السرور و الافراح، ج 4، ص 315.</w:t>
      </w:r>
    </w:p>
    <w:p>
      <w:pPr>
        <w:pStyle w:val="BookText"/>
      </w:pPr>
      <w:r>
        <w:rPr>
          <w:rFonts w:ascii="Amiri" w:hAnsi="Amiri" w:eastAsia="Amiri" w:cs="Amiri"/>
          <w:lang w:bidi="ar-SA"/>
          <w:color w:val="111111"/>
          <w:sz w:val="28"/>
          <w:szCs w:val="28"/>
          <w:rtl/>
        </w:rPr>
        <w:t xml:space="preserve">ابن علوي الحدادي - حدادي ، عبدالله بن</w:t>
      </w:r>
    </w:p>
    <w:p>
      <w:pPr>
        <w:pStyle w:val="BookText"/>
      </w:pPr>
      <w:r>
        <w:rPr>
          <w:rFonts w:ascii="Amiri" w:hAnsi="Amiri" w:eastAsia="Amiri" w:cs="Amiri"/>
          <w:lang w:bidi="ar-SA"/>
          <w:color w:val="111111"/>
          <w:sz w:val="28"/>
          <w:szCs w:val="28"/>
          <w:rtl/>
        </w:rPr>
        <w:t xml:space="preserve">علوي</w:t>
      </w:r>
    </w:p>
    <w:p>
      <w:pPr>
        <w:pStyle w:val="BookText"/>
      </w:pPr>
      <w:r>
        <w:rPr>
          <w:rFonts w:ascii="Amiri" w:hAnsi="Amiri" w:eastAsia="Amiri" w:cs="Amiri"/>
          <w:lang w:bidi="ar-SA"/>
          <w:color w:val="111111"/>
          <w:sz w:val="28"/>
          <w:szCs w:val="28"/>
          <w:rtl/>
        </w:rPr>
        <w:t xml:space="preserve">ابن علي رضا منجم اصفهاني -منجم</w:t>
      </w:r>
    </w:p>
    <w:p>
      <w:pPr>
        <w:pStyle w:val="BookText"/>
      </w:pPr>
      <w:r>
        <w:rPr>
          <w:rFonts w:ascii="Amiri" w:hAnsi="Amiri" w:eastAsia="Amiri" w:cs="Amiri"/>
          <w:lang w:bidi="ar-SA"/>
          <w:color w:val="111111"/>
          <w:sz w:val="28"/>
          <w:szCs w:val="28"/>
          <w:rtl/>
        </w:rPr>
        <w:t xml:space="preserve">اصفهاني ، ابن علي رضا</w:t>
      </w:r>
    </w:p>
    <w:p>
      <w:pPr>
        <w:pStyle w:val="BookText"/>
      </w:pPr>
      <w:r>
        <w:rPr>
          <w:rFonts w:ascii="Amiri" w:hAnsi="Amiri" w:eastAsia="Amiri" w:cs="Amiri"/>
          <w:lang w:bidi="ar-SA"/>
          <w:color w:val="111111"/>
          <w:sz w:val="28"/>
          <w:szCs w:val="28"/>
          <w:rtl/>
        </w:rPr>
        <w:t xml:space="preserve">ابن عماد -شريف استرآبادي ، علي بن علي</w:t>
      </w:r>
    </w:p>
    <w:p>
      <w:pPr>
        <w:pStyle w:val="BookText"/>
      </w:pPr>
      <w:r>
        <w:rPr>
          <w:rFonts w:ascii="Amiri" w:hAnsi="Amiri" w:eastAsia="Amiri" w:cs="Amiri"/>
          <w:lang w:bidi="ar-SA"/>
          <w:color w:val="111111"/>
          <w:sz w:val="28"/>
          <w:szCs w:val="28"/>
          <w:rtl/>
        </w:rPr>
        <w:t xml:space="preserve">ابن عماد ، احمد بن عماد- اقفهسي</w:t>
      </w:r>
    </w:p>
    <w:p>
      <w:pPr>
        <w:pStyle w:val="BookText"/>
      </w:pPr>
      <w:r>
        <w:rPr>
          <w:rFonts w:ascii="IRNazanin" w:hAnsi="IRNazanin" w:eastAsia="IRNazanin" w:cs="IRNazanin"/>
          <w:lang w:bidi="fa-IR"/>
          <w:color w:val="111111"/>
          <w:sz w:val="28"/>
          <w:szCs w:val="28"/>
          <w:rtl/>
        </w:rPr>
        <w:t xml:space="preserve">احمد بن عماد</w:t>
      </w:r>
    </w:p>
    <w:p>
      <w:pPr>
        <w:pStyle w:val="Heading2"/>
      </w:pPr>
      <w:bookmarkStart w:id="1539" w:name="_Toc641"/>
      <w:r>
        <w:t>ابن عماد ، عبد الحي بن احمد، 1032 -</w:t>
      </w:r>
      <w:bookmarkEnd w:id="1539"/>
    </w:p>
    <w:p>
      <w:pPr>
        <w:pStyle w:val="BookText"/>
      </w:pPr>
      <w:r>
        <w:rPr>
          <w:rFonts w:ascii="IRNazanin" w:hAnsi="IRNazanin" w:eastAsia="IRNazanin" w:cs="IRNazanin"/>
          <w:lang w:bidi="fa-IR"/>
          <w:color w:val="111111"/>
          <w:sz w:val="28"/>
          <w:szCs w:val="28"/>
          <w:rtl/>
        </w:rPr>
        <w:t xml:space="preserve">1089ه-</w:t>
      </w:r>
    </w:p>
    <w:p>
      <w:pPr>
        <w:pStyle w:val="BookText"/>
      </w:pPr>
      <w:r>
        <w:rPr>
          <w:rFonts w:ascii="Amiri" w:hAnsi="Amiri" w:eastAsia="Amiri" w:cs="Amiri"/>
          <w:lang w:bidi="ar-SA"/>
          <w:color w:val="111111"/>
          <w:sz w:val="28"/>
          <w:szCs w:val="28"/>
          <w:rtl/>
        </w:rPr>
        <w:t xml:space="preserve">شذرات الذهب في اخبار من ذهب</w:t>
      </w:r>
    </w:p>
    <w:p>
      <w:pPr>
        <w:pStyle w:val="BookText"/>
      </w:pPr>
      <w:r>
        <w:rPr>
          <w:rFonts w:ascii="IRNazanin" w:hAnsi="IRNazanin" w:eastAsia="IRNazanin" w:cs="IRNazanin"/>
          <w:lang w:bidi="fa-IR"/>
          <w:color w:val="111111"/>
          <w:sz w:val="28"/>
          <w:szCs w:val="28"/>
          <w:rtl/>
        </w:rPr>
        <w:t xml:space="preserve">ج 9، ص 87.</w:t>
      </w:r>
    </w:p>
    <w:p>
      <w:pPr>
        <w:pStyle w:val="BookText"/>
      </w:pPr>
      <w:r>
        <w:rPr>
          <w:rFonts w:ascii="Amiri" w:hAnsi="Amiri" w:eastAsia="Amiri" w:cs="Amiri"/>
          <w:lang w:bidi="ar-SA"/>
          <w:color w:val="111111"/>
          <w:sz w:val="28"/>
          <w:szCs w:val="28"/>
          <w:rtl/>
        </w:rPr>
        <w:t xml:space="preserve">ابن عماد ، عبدالرحمن بن محمّد- عمادي ، عبدالرحمن بن محمّد</w:t>
      </w:r>
    </w:p>
    <w:p>
      <w:pPr>
        <w:pStyle w:val="Heading2"/>
      </w:pPr>
      <w:bookmarkStart w:id="1540" w:name="_Toc642"/>
      <w:r>
        <w:t>ابن العماد ، محمّد بن احمد - 867 ه-</w:t>
      </w:r>
      <w:bookmarkEnd w:id="1540"/>
    </w:p>
    <w:p>
      <w:pPr>
        <w:pStyle w:val="BookText"/>
      </w:pPr>
      <w:r>
        <w:rPr>
          <w:rFonts w:ascii="Amiri" w:hAnsi="Amiri" w:eastAsia="Amiri" w:cs="Amiri"/>
          <w:lang w:bidi="ar-SA"/>
          <w:color w:val="111111"/>
          <w:sz w:val="28"/>
          <w:szCs w:val="28"/>
          <w:rtl/>
        </w:rPr>
        <w:t xml:space="preserve">شرح منظومة آداب الاكل، ج 10،</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ابن عمر الهندي ، شهاب الدين احمد- دولت آبادي ، احمد بن شمس الدين</w:t>
      </w:r>
    </w:p>
    <w:p>
      <w:pPr>
        <w:pStyle w:val="Heading2"/>
      </w:pPr>
      <w:bookmarkStart w:id="1541" w:name="_Toc643"/>
      <w:r>
        <w:t>ابن عمري</w:t>
      </w:r>
      <w:bookmarkEnd w:id="1541"/>
    </w:p>
    <w:p>
      <w:pPr>
        <w:pStyle w:val="BookText"/>
      </w:pPr>
      <w:r>
        <w:rPr>
          <w:rFonts w:ascii="Amiri" w:hAnsi="Amiri" w:eastAsia="Amiri" w:cs="Amiri"/>
          <w:lang w:bidi="ar-SA"/>
          <w:color w:val="111111"/>
          <w:sz w:val="28"/>
          <w:szCs w:val="28"/>
          <w:rtl/>
        </w:rPr>
        <w:t xml:space="preserve">علم الفلك (رسالة في)، ج 11 ، ص 252.</w:t>
      </w:r>
    </w:p>
    <w:p>
      <w:pPr>
        <w:pStyle w:val="Heading2"/>
      </w:pPr>
      <w:bookmarkStart w:id="1542" w:name="_Toc644"/>
      <w:r>
        <w:t>ابن عمید محمّد بن حسين، 2298-360ه-</w:t>
      </w:r>
      <w:bookmarkEnd w:id="15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رسائل ابن عميد = دیوان رسائل =</w:t>
      </w:r>
    </w:p>
    <w:p>
      <w:pPr>
        <w:pStyle w:val="BookText"/>
      </w:pPr>
      <w:r>
        <w:rPr>
          <w:rFonts w:ascii="IRNazanin" w:hAnsi="IRNazanin" w:eastAsia="IRNazanin" w:cs="IRNazanin"/>
          <w:lang w:bidi="fa-IR"/>
          <w:color w:val="111111"/>
          <w:sz w:val="28"/>
          <w:szCs w:val="28"/>
          <w:rtl/>
        </w:rPr>
        <w:t xml:space="preserve">رسائل الادب، ج8، ص132.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صفة البرق والرعد، ج10، ص 567.</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6" w:name="pg7742_69546"/>
    <w:bookmarkEnd w:id="96"/>
    <w:p>
      <w:pPr>
        <w:pStyle w:val="BookText"/>
      </w:pPr>
      <w:r>
        <w:rPr>
          <w:rFonts w:ascii="Amiri" w:hAnsi="Amiri" w:eastAsia="Amiri" w:cs="Amiri"/>
          <w:lang w:bidi="ar-SA"/>
          <w:color w:val="111111"/>
          <w:sz w:val="28"/>
          <w:szCs w:val="28"/>
          <w:rtl/>
        </w:rPr>
        <w:t xml:space="preserve">ابن عميره ، احمد بن محمّد- ابن امام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543" w:name="_Toc645"/>
      <w:r>
        <w:t>ابن عنبه ، احمد بن علي، 748-828 ؟ ه-</w:t>
      </w:r>
      <w:bookmarkEnd w:id="1543"/>
    </w:p>
    <w:p>
      <w:pPr>
        <w:pStyle w:val="BookText"/>
      </w:pPr>
      <w:r>
        <w:rPr>
          <w:rFonts w:ascii="IRNazanin" w:hAnsi="IRNazanin" w:eastAsia="IRNazanin" w:cs="IRNazanin"/>
          <w:lang w:bidi="fa-IR"/>
          <w:color w:val="111111"/>
          <w:sz w:val="28"/>
          <w:szCs w:val="28"/>
          <w:rtl/>
        </w:rPr>
        <w:t xml:space="preserve">1 .بحر الأنساب، ج3، ص206.</w:t>
      </w:r>
    </w:p>
    <w:p>
      <w:pPr>
        <w:pStyle w:val="BookText"/>
      </w:pPr>
      <w:r>
        <w:rPr>
          <w:rFonts w:ascii="Amiri" w:hAnsi="Amiri" w:eastAsia="Amiri" w:cs="Amiri"/>
          <w:lang w:bidi="ar-SA"/>
          <w:color w:val="111111"/>
          <w:sz w:val="28"/>
          <w:szCs w:val="28"/>
          <w:rtl/>
        </w:rPr>
        <w:t xml:space="preserve">2 .سبك الذهب في علم النسب، ج8،</w:t>
      </w:r>
    </w:p>
    <w:p>
      <w:pPr>
        <w:pStyle w:val="BookText"/>
      </w:pPr>
      <w:r>
        <w:rPr>
          <w:rFonts w:ascii="IRNazanin" w:hAnsi="IRNazanin" w:eastAsia="IRNazanin" w:cs="IRNazanin"/>
          <w:lang w:bidi="fa-IR"/>
          <w:color w:val="111111"/>
          <w:sz w:val="28"/>
          <w:szCs w:val="28"/>
          <w:rtl/>
        </w:rPr>
        <w:t xml:space="preserve">ص 702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عمدة الطالب في انساب آل ابي</w:t>
      </w:r>
    </w:p>
    <w:p>
      <w:pPr>
        <w:pStyle w:val="BookText"/>
      </w:pPr>
      <w:r>
        <w:rPr>
          <w:rFonts w:ascii="IRNazanin" w:hAnsi="IRNazanin" w:eastAsia="IRNazanin" w:cs="IRNazanin"/>
          <w:lang w:bidi="fa-IR"/>
          <w:color w:val="111111"/>
          <w:sz w:val="28"/>
          <w:szCs w:val="28"/>
          <w:rtl/>
        </w:rPr>
        <w:t xml:space="preserve">طالب، ج 11، ص 296.</w:t>
      </w:r>
    </w:p>
    <w:p>
      <w:pPr>
        <w:pStyle w:val="Heading2"/>
      </w:pPr>
      <w:bookmarkStart w:id="1544" w:name="_Toc646"/>
      <w:r>
        <w:t>ابن عنين ، محمّد بن نصر الله 549-630ه-</w:t>
      </w:r>
      <w:bookmarkEnd w:id="1544"/>
    </w:p>
    <w:p>
      <w:pPr>
        <w:pStyle w:val="BookText"/>
      </w:pPr>
      <w:r>
        <w:rPr>
          <w:rFonts w:ascii="Amiri" w:hAnsi="Amiri" w:eastAsia="Amiri" w:cs="Amiri"/>
          <w:lang w:bidi="ar-SA"/>
          <w:color w:val="111111"/>
          <w:sz w:val="28"/>
          <w:szCs w:val="28"/>
          <w:rtl/>
        </w:rPr>
        <w:t xml:space="preserve">ديوان ابن عنين الدمشقي، ج7،</w:t>
      </w:r>
    </w:p>
    <w:p>
      <w:pPr>
        <w:pStyle w:val="BookText"/>
      </w:pPr>
      <w:r>
        <w:rPr>
          <w:rFonts w:ascii="IRNazanin" w:hAnsi="IRNazanin" w:eastAsia="IRNazanin" w:cs="IRNazanin"/>
          <w:lang w:bidi="fa-IR"/>
          <w:color w:val="111111"/>
          <w:sz w:val="28"/>
          <w:szCs w:val="28"/>
          <w:rtl/>
        </w:rPr>
        <w:t xml:space="preserve">ص 526 .</w:t>
      </w:r>
    </w:p>
    <w:p>
      <w:pPr>
        <w:pStyle w:val="Heading2"/>
      </w:pPr>
      <w:bookmarkStart w:id="1545" w:name="_Toc647"/>
      <w:r>
        <w:t>ابن عوض ، عمر بن محمّد - 696 ه-</w:t>
      </w:r>
      <w:bookmarkEnd w:id="1545"/>
    </w:p>
    <w:p>
      <w:pPr>
        <w:pStyle w:val="BookText"/>
      </w:pPr>
      <w:r>
        <w:rPr>
          <w:rFonts w:ascii="IRNazanin" w:hAnsi="IRNazanin" w:eastAsia="IRNazanin" w:cs="IRNazanin"/>
          <w:lang w:bidi="fa-IR"/>
          <w:color w:val="111111"/>
          <w:sz w:val="28"/>
          <w:szCs w:val="28"/>
          <w:rtl/>
        </w:rPr>
        <w:t xml:space="preserve">نصاب الاحتساب، ج 16، ص 293.</w:t>
      </w:r>
    </w:p>
    <w:p>
      <w:pPr>
        <w:pStyle w:val="BookText"/>
      </w:pPr>
      <w:r>
        <w:rPr>
          <w:rFonts w:ascii="IRNazanin" w:hAnsi="IRNazanin" w:eastAsia="IRNazanin" w:cs="IRNazanin"/>
          <w:lang w:bidi="fa-IR"/>
          <w:color w:val="111111"/>
          <w:sz w:val="28"/>
          <w:szCs w:val="28"/>
          <w:rtl/>
        </w:rPr>
        <w:t xml:space="preserve">ابن عوض كرماني ، نفیس بن</w:t>
      </w:r>
    </w:p>
    <w:p>
      <w:pPr>
        <w:pStyle w:val="BookText"/>
      </w:pPr>
      <w:r>
        <w:rPr>
          <w:rFonts w:ascii="Amiri" w:hAnsi="Amiri" w:eastAsia="Amiri" w:cs="Amiri"/>
          <w:lang w:bidi="ar-SA"/>
          <w:color w:val="111111"/>
          <w:sz w:val="28"/>
          <w:szCs w:val="28"/>
          <w:rtl/>
        </w:rPr>
        <w:t xml:space="preserve">عوض -نفيس كرماني ، نفيس بن عوض</w:t>
      </w:r>
    </w:p>
    <w:p>
      <w:pPr>
        <w:pStyle w:val="BookText"/>
      </w:pPr>
      <w:r>
        <w:rPr>
          <w:rFonts w:ascii="Amiri" w:hAnsi="Amiri" w:eastAsia="Amiri" w:cs="Amiri"/>
          <w:lang w:bidi="ar-SA"/>
          <w:color w:val="111111"/>
          <w:sz w:val="28"/>
          <w:szCs w:val="28"/>
          <w:rtl/>
        </w:rPr>
        <w:t xml:space="preserve">ابن عوض مغربي ، احمد بن عوض- مغربي</w:t>
      </w:r>
    </w:p>
    <w:p>
      <w:pPr>
        <w:pStyle w:val="BookText"/>
      </w:pPr>
      <w:r>
        <w:rPr>
          <w:rFonts w:ascii="IRNazanin" w:hAnsi="IRNazanin" w:eastAsia="IRNazanin" w:cs="IRNazanin"/>
          <w:lang w:bidi="fa-IR"/>
          <w:color w:val="111111"/>
          <w:sz w:val="28"/>
          <w:szCs w:val="28"/>
          <w:rtl/>
        </w:rPr>
        <w:t xml:space="preserve">، احمد بن عوض</w:t>
      </w:r>
    </w:p>
    <w:p>
      <w:pPr>
        <w:pStyle w:val="BookText"/>
      </w:pPr>
      <w:r>
        <w:rPr>
          <w:rFonts w:ascii="Amiri" w:hAnsi="Amiri" w:eastAsia="Amiri" w:cs="Amiri"/>
          <w:lang w:bidi="ar-SA"/>
          <w:color w:val="111111"/>
          <w:sz w:val="28"/>
          <w:szCs w:val="28"/>
          <w:rtl/>
        </w:rPr>
        <w:t xml:space="preserve">ابن عون ، ابراهيم بن محمّد -ابن ابي</w:t>
      </w:r>
    </w:p>
    <w:p>
      <w:pPr>
        <w:pStyle w:val="BookText"/>
      </w:pPr>
      <w:r>
        <w:rPr>
          <w:rFonts w:ascii="Amiri" w:hAnsi="Amiri" w:eastAsia="Amiri" w:cs="Amiri"/>
          <w:lang w:bidi="ar-SA"/>
          <w:color w:val="111111"/>
          <w:sz w:val="28"/>
          <w:szCs w:val="28"/>
          <w:rtl/>
        </w:rPr>
        <w:t xml:space="preserve">عون ، ابراهيم بن محمّد</w:t>
      </w:r>
    </w:p>
    <w:p>
      <w:pPr>
        <w:pStyle w:val="BookText"/>
      </w:pPr>
      <w:r>
        <w:rPr>
          <w:rFonts w:ascii="IRNazanin" w:hAnsi="IRNazanin" w:eastAsia="IRNazanin" w:cs="IRNazanin"/>
          <w:lang w:bidi="fa-IR"/>
          <w:color w:val="111111"/>
          <w:sz w:val="28"/>
          <w:szCs w:val="28"/>
          <w:rtl/>
        </w:rPr>
        <w:t xml:space="preserve">ابن عیاش، احمد بن محمّد -جوهري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546" w:name="_Toc648"/>
      <w:r>
        <w:t>ابن عياش ، احمد بن محمّد</w:t>
      </w:r>
      <w:bookmarkEnd w:id="1546"/>
    </w:p>
    <w:p>
      <w:pPr>
        <w:pStyle w:val="BookText"/>
      </w:pPr>
      <w:r>
        <w:rPr>
          <w:rFonts w:ascii="Amiri" w:hAnsi="Amiri" w:eastAsia="Amiri" w:cs="Amiri"/>
          <w:lang w:bidi="ar-SA"/>
          <w:color w:val="111111"/>
          <w:sz w:val="28"/>
          <w:szCs w:val="28"/>
          <w:rtl/>
        </w:rPr>
        <w:t xml:space="preserve">ورقات المهرة في تتمة قراءات الائمة</w:t>
      </w:r>
    </w:p>
    <w:p>
      <w:pPr>
        <w:pStyle w:val="BookText"/>
      </w:pPr>
      <w:r>
        <w:rPr>
          <w:rFonts w:ascii="Amiri" w:hAnsi="Amiri" w:eastAsia="Amiri" w:cs="Amiri"/>
          <w:lang w:bidi="ar-SA"/>
          <w:color w:val="111111"/>
          <w:sz w:val="28"/>
          <w:szCs w:val="28"/>
          <w:rtl/>
        </w:rPr>
        <w:t xml:space="preserve">العشرة، ج 16، ص 766 .</w:t>
      </w:r>
    </w:p>
    <w:p>
      <w:pPr>
        <w:pStyle w:val="Heading2"/>
      </w:pPr>
      <w:bookmarkStart w:id="1547" w:name="_Toc649"/>
      <w:r>
        <w:t>ابن عياش ، حسين بن يحيى، - 334</w:t>
      </w:r>
      <w:bookmarkEnd w:id="1547"/>
    </w:p>
    <w:p>
      <w:pPr>
        <w:pStyle w:val="BookText"/>
      </w:pPr>
      <w:r>
        <w:rPr>
          <w:rFonts w:ascii="IRNazanin" w:hAnsi="IRNazanin" w:eastAsia="IRNazanin" w:cs="IRNazanin"/>
          <w:lang w:bidi="fa-IR"/>
          <w:color w:val="111111"/>
          <w:sz w:val="28"/>
          <w:szCs w:val="28"/>
          <w:rtl/>
        </w:rPr>
        <w:t xml:space="preserve">احادیث، ج1، ص389.</w:t>
      </w:r>
    </w:p>
    <w:p>
      <w:pPr>
        <w:pStyle w:val="BookText"/>
      </w:pPr>
      <w:r>
        <w:rPr>
          <w:rFonts w:ascii="Amiri" w:hAnsi="Amiri" w:eastAsia="Amiri" w:cs="Amiri"/>
          <w:lang w:bidi="ar-SA"/>
          <w:color w:val="111111"/>
          <w:sz w:val="28"/>
          <w:szCs w:val="28"/>
          <w:rtl/>
        </w:rPr>
        <w:t xml:space="preserve">ابن عياش سلمي -عياشي ، محمّد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Amiri" w:hAnsi="Amiri" w:eastAsia="Amiri" w:cs="Amiri"/>
          <w:lang w:bidi="ar-SA"/>
          <w:color w:val="111111"/>
          <w:sz w:val="28"/>
          <w:szCs w:val="28"/>
          <w:rtl/>
        </w:rPr>
        <w:t xml:space="preserve">ابن عياش ، مسعود بن احمد- حارثي ،</w:t>
      </w:r>
    </w:p>
    <w:p>
      <w:pPr>
        <w:pStyle w:val="BookText"/>
      </w:pPr>
      <w:r>
        <w:rPr>
          <w:rFonts w:ascii="IRNazanin" w:hAnsi="IRNazanin" w:eastAsia="IRNazanin" w:cs="IRNazanin"/>
          <w:lang w:bidi="fa-IR"/>
          <w:color w:val="111111"/>
          <w:sz w:val="28"/>
          <w:szCs w:val="28"/>
          <w:rtl/>
        </w:rPr>
        <w:t xml:space="preserve">مسعود بن احمد</w:t>
      </w:r>
    </w:p>
    <w:p>
      <w:pPr>
        <w:pStyle w:val="BookText"/>
      </w:pPr>
      <w:r>
        <w:rPr>
          <w:rFonts w:ascii="Amiri" w:hAnsi="Amiri" w:eastAsia="Amiri" w:cs="Amiri"/>
          <w:lang w:bidi="ar-SA"/>
          <w:color w:val="111111"/>
          <w:sz w:val="28"/>
          <w:szCs w:val="28"/>
          <w:rtl/>
        </w:rPr>
        <w:t xml:space="preserve">ابن عياض ، ابوالفضل عياض بن</w:t>
      </w:r>
    </w:p>
    <w:p>
      <w:pPr>
        <w:pStyle w:val="BookText"/>
      </w:pPr>
      <w:r>
        <w:rPr>
          <w:rFonts w:ascii="Amiri" w:hAnsi="Amiri" w:eastAsia="Amiri" w:cs="Amiri"/>
          <w:lang w:bidi="ar-SA"/>
          <w:color w:val="111111"/>
          <w:sz w:val="28"/>
          <w:szCs w:val="28"/>
          <w:rtl/>
        </w:rPr>
        <w:t xml:space="preserve">موسى - قاضي عياض ، عياض بن موسى</w:t>
      </w:r>
    </w:p>
    <w:p>
      <w:pPr>
        <w:pStyle w:val="Heading2"/>
      </w:pPr>
      <w:bookmarkStart w:id="1548" w:name="_Toc650"/>
      <w:r>
        <w:t>ابن عيثان ، علي بن محمّد</w:t>
      </w:r>
      <w:bookmarkEnd w:id="1548"/>
    </w:p>
    <w:p>
      <w:pPr>
        <w:pStyle w:val="BookText"/>
      </w:pPr>
      <w:r>
        <w:rPr>
          <w:rFonts w:ascii="Amiri" w:hAnsi="Amiri" w:eastAsia="Amiri" w:cs="Amiri"/>
          <w:lang w:bidi="ar-SA"/>
          <w:color w:val="111111"/>
          <w:sz w:val="28"/>
          <w:szCs w:val="28"/>
          <w:rtl/>
        </w:rPr>
        <w:t xml:space="preserve">التشريح، ج4، ص 361.</w:t>
      </w:r>
    </w:p>
    <w:p>
      <w:pPr>
        <w:pStyle w:val="BookText"/>
      </w:pPr>
      <w:r>
        <w:rPr>
          <w:rFonts w:ascii="Amiri" w:hAnsi="Amiri" w:eastAsia="Amiri" w:cs="Amiri"/>
          <w:lang w:bidi="ar-SA"/>
          <w:color w:val="111111"/>
          <w:sz w:val="28"/>
          <w:szCs w:val="28"/>
          <w:rtl/>
        </w:rPr>
        <w:t xml:space="preserve">ابن عيسى ، علي بن احمد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ابن عين العرفا -برهانپوري ، فتح محمّد</w:t>
      </w:r>
    </w:p>
    <w:p>
      <w:pPr>
        <w:pStyle w:val="BookText"/>
      </w:pPr>
      <w:r>
        <w:rPr>
          <w:rFonts w:ascii="Amiri" w:hAnsi="Amiri" w:eastAsia="Amiri" w:cs="Amiri"/>
          <w:lang w:bidi="ar-SA"/>
          <w:color w:val="111111"/>
          <w:sz w:val="28"/>
          <w:szCs w:val="28"/>
          <w:rtl/>
        </w:rPr>
        <w:t xml:space="preserve">بن عيسى</w:t>
      </w:r>
    </w:p>
    <w:p>
      <w:pPr>
        <w:pStyle w:val="Heading2"/>
      </w:pPr>
      <w:bookmarkStart w:id="1549" w:name="_Toc651"/>
      <w:r>
        <w:t>ابن العيني ، عبدالرحمن بن ابي بكر، 837</w:t>
      </w:r>
      <w:bookmarkEnd w:id="15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893 ه-</w:t>
      </w:r>
    </w:p>
    <w:p>
      <w:pPr>
        <w:pStyle w:val="BookText"/>
      </w:pPr>
      <w:r>
        <w:rPr>
          <w:rFonts w:ascii="Amiri" w:hAnsi="Amiri" w:eastAsia="Amiri" w:cs="Amiri"/>
          <w:lang w:bidi="ar-SA"/>
          <w:color w:val="111111"/>
          <w:sz w:val="28"/>
          <w:szCs w:val="28"/>
          <w:rtl/>
        </w:rPr>
        <w:t xml:space="preserve">1 .شرح التهذيب = جهد المقل، ج9،</w:t>
      </w:r>
    </w:p>
    <w:p>
      <w:pPr>
        <w:pStyle w:val="BookText"/>
      </w:pPr>
      <w:r>
        <w:rPr>
          <w:rFonts w:ascii="IRNazanin" w:hAnsi="IRNazanin" w:eastAsia="IRNazanin" w:cs="IRNazanin"/>
          <w:lang w:bidi="fa-IR"/>
          <w:color w:val="111111"/>
          <w:sz w:val="28"/>
          <w:szCs w:val="28"/>
          <w:rtl/>
        </w:rPr>
        <w:t xml:space="preserve">ص 348 .</w:t>
      </w:r>
    </w:p>
    <w:p>
      <w:pPr>
        <w:pStyle w:val="BookText"/>
      </w:pPr>
      <w:r>
        <w:rPr>
          <w:rFonts w:ascii="Amiri" w:hAnsi="Amiri" w:eastAsia="Amiri" w:cs="Amiri"/>
          <w:lang w:bidi="ar-SA"/>
          <w:color w:val="111111"/>
          <w:sz w:val="28"/>
          <w:szCs w:val="28"/>
          <w:rtl/>
        </w:rPr>
        <w:t xml:space="preserve">2 .شرح الفية ابن مالك، ج 9، ص223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درر البحار، ج 9، ص 456.</w:t>
      </w:r>
    </w:p>
    <w:p>
      <w:pPr>
        <w:pStyle w:val="BookText"/>
      </w:pPr>
      <w:r>
        <w:rPr>
          <w:rFonts w:ascii="IRNazanin" w:hAnsi="IRNazanin" w:eastAsia="IRNazanin" w:cs="IRNazanin"/>
          <w:lang w:bidi="fa-IR"/>
          <w:color w:val="111111"/>
          <w:sz w:val="28"/>
          <w:szCs w:val="28"/>
          <w:rtl/>
        </w:rPr>
        <w:t xml:space="preserve">4 .شرح منار الانوار، ج 10، ص232</w:t>
      </w:r>
    </w:p>
    <w:p>
      <w:pPr>
        <w:pStyle w:val="Heading2"/>
      </w:pPr>
      <w:bookmarkStart w:id="1550" w:name="_Toc652"/>
      <w:r>
        <w:t>ابن عيينه ، سفيان بن عيينه 107-198ه-</w:t>
      </w:r>
      <w:bookmarkEnd w:id="1550"/>
    </w:p>
    <w:p>
      <w:pPr>
        <w:pStyle w:val="BookText"/>
      </w:pPr>
      <w:r>
        <w:rPr>
          <w:rFonts w:ascii="IRNazanin" w:hAnsi="IRNazanin" w:eastAsia="IRNazanin" w:cs="IRNazanin"/>
          <w:lang w:bidi="fa-IR"/>
          <w:color w:val="111111"/>
          <w:sz w:val="28"/>
          <w:szCs w:val="28"/>
          <w:rtl/>
        </w:rPr>
        <w:t xml:space="preserve">احادیث، ج 1، ص 386.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7" w:name="pg7742_69549"/>
    <w:bookmarkEnd w:id="97"/>
    <w:p>
      <w:pPr>
        <w:pStyle w:val="BookText"/>
      </w:pPr>
      <w:r>
        <w:rPr>
          <w:rFonts w:ascii="Amiri" w:hAnsi="Amiri" w:eastAsia="Amiri" w:cs="Amiri"/>
          <w:lang w:bidi="ar-SA"/>
          <w:color w:val="111111"/>
          <w:sz w:val="28"/>
          <w:szCs w:val="28"/>
          <w:rtl/>
        </w:rPr>
        <w:t xml:space="preserve">ابن غانم ، ابوبكر بن مسعود - وردي</w:t>
      </w:r>
    </w:p>
    <w:p>
      <w:pPr>
        <w:pStyle w:val="BookText"/>
      </w:pPr>
      <w:r>
        <w:rPr>
          <w:rFonts w:ascii="Amiri" w:hAnsi="Amiri" w:eastAsia="Amiri" w:cs="Amiri"/>
          <w:lang w:bidi="ar-SA"/>
          <w:color w:val="111111"/>
          <w:sz w:val="28"/>
          <w:szCs w:val="28"/>
          <w:rtl/>
        </w:rPr>
        <w:t xml:space="preserve">ابوبكر بن مسعود</w:t>
      </w:r>
    </w:p>
    <w:p>
      <w:pPr>
        <w:pStyle w:val="Heading2"/>
      </w:pPr>
      <w:bookmarkStart w:id="1551" w:name="_Toc653"/>
      <w:r>
        <w:t>ابن غانم ، عبدالسلام بن احمد - 678 ه-</w:t>
      </w:r>
      <w:bookmarkEnd w:id="1551"/>
    </w:p>
    <w:p>
      <w:pPr>
        <w:pStyle w:val="BookText"/>
      </w:pPr>
      <w:r>
        <w:rPr>
          <w:rFonts w:ascii="Amiri" w:hAnsi="Amiri" w:eastAsia="Amiri" w:cs="Amiri"/>
          <w:lang w:bidi="ar-SA"/>
          <w:color w:val="111111"/>
          <w:sz w:val="28"/>
          <w:szCs w:val="28"/>
          <w:rtl/>
        </w:rPr>
        <w:t xml:space="preserve">1 .ابيات مستلة من اواخر كتاب «حل</w:t>
      </w:r>
    </w:p>
    <w:p>
      <w:pPr>
        <w:pStyle w:val="BookText"/>
      </w:pPr>
      <w:r>
        <w:rPr>
          <w:rFonts w:ascii="IRNazanin" w:hAnsi="IRNazanin" w:eastAsia="IRNazanin" w:cs="IRNazanin"/>
          <w:lang w:bidi="fa-IR"/>
          <w:color w:val="111111"/>
          <w:sz w:val="28"/>
          <w:szCs w:val="28"/>
          <w:rtl/>
        </w:rPr>
        <w:t xml:space="preserve">الرموز و کشف الكنوز»، ج1،</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التصوف (رسالة في)، ج4، ص 427.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تفليس ابليس - مناظره ابلیس</w:t>
      </w:r>
    </w:p>
    <w:p>
      <w:pPr>
        <w:pStyle w:val="BookText"/>
      </w:pPr>
      <w:r>
        <w:rPr>
          <w:rFonts w:ascii="IRNazanin" w:hAnsi="IRNazanin" w:eastAsia="IRNazanin" w:cs="IRNazanin"/>
          <w:lang w:bidi="fa-IR"/>
          <w:color w:val="111111"/>
          <w:sz w:val="28"/>
          <w:szCs w:val="28"/>
          <w:rtl/>
        </w:rPr>
        <w:t xml:space="preserve">ج 4، ص 712.</w:t>
      </w:r>
    </w:p>
    <w:p>
      <w:pPr>
        <w:pStyle w:val="BookText"/>
      </w:pPr>
      <w:r>
        <w:rPr>
          <w:rFonts w:ascii="Amiri" w:hAnsi="Amiri" w:eastAsia="Amiri" w:cs="Amiri"/>
          <w:lang w:bidi="ar-SA"/>
          <w:color w:val="111111"/>
          <w:sz w:val="28"/>
          <w:szCs w:val="28"/>
          <w:rtl/>
        </w:rPr>
        <w:t xml:space="preserve">4 .حكاية الانسان كالمدينة ج6،</w:t>
      </w:r>
    </w:p>
    <w:p>
      <w:pPr>
        <w:pStyle w:val="BookText"/>
      </w:pPr>
      <w:r>
        <w:rPr>
          <w:rFonts w:ascii="IRNazanin" w:hAnsi="IRNazanin" w:eastAsia="IRNazanin" w:cs="IRNazanin"/>
          <w:lang w:bidi="fa-IR"/>
          <w:color w:val="111111"/>
          <w:sz w:val="28"/>
          <w:szCs w:val="28"/>
          <w:rtl/>
        </w:rPr>
        <w:t xml:space="preserve">ص 727</w:t>
      </w:r>
    </w:p>
    <w:p>
      <w:pPr>
        <w:pStyle w:val="BookText"/>
      </w:pPr>
      <w:r>
        <w:rPr>
          <w:rFonts w:ascii="Amiri" w:hAnsi="Amiri" w:eastAsia="Amiri" w:cs="Amiri"/>
          <w:lang w:bidi="ar-SA"/>
          <w:color w:val="111111"/>
          <w:sz w:val="28"/>
          <w:szCs w:val="28"/>
          <w:rtl/>
        </w:rPr>
        <w:t xml:space="preserve">5 .حل الرموز و مفاتيح الكنوز، ج 6،</w:t>
      </w:r>
    </w:p>
    <w:p>
      <w:pPr>
        <w:pStyle w:val="BookText"/>
      </w:pPr>
      <w:r>
        <w:rPr>
          <w:rFonts w:ascii="IRNazanin" w:hAnsi="IRNazanin" w:eastAsia="IRNazanin" w:cs="IRNazanin"/>
          <w:lang w:bidi="fa-IR"/>
          <w:color w:val="111111"/>
          <w:sz w:val="28"/>
          <w:szCs w:val="28"/>
          <w:rtl/>
        </w:rPr>
        <w:t xml:space="preserve">ص 780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الخطب، ج 7، ص 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خطبة، ج 7، ص 47.</w:t>
      </w:r>
    </w:p>
    <w:p>
      <w:pPr>
        <w:pStyle w:val="BookText"/>
      </w:pPr>
      <w:r>
        <w:rPr>
          <w:rFonts w:ascii="Amiri" w:hAnsi="Amiri" w:eastAsia="Amiri" w:cs="Amiri"/>
          <w:lang w:bidi="ar-SA"/>
          <w:color w:val="111111"/>
          <w:sz w:val="28"/>
          <w:szCs w:val="28"/>
          <w:rtl/>
        </w:rPr>
        <w:t xml:space="preserve">8 .ديوان المقدسي، ج 7، ص 775.</w:t>
      </w:r>
    </w:p>
    <w:p>
      <w:pPr>
        <w:pStyle w:val="BookText"/>
      </w:pPr>
      <w:r>
        <w:rPr>
          <w:rFonts w:ascii="Amiri" w:hAnsi="Amiri" w:eastAsia="Amiri" w:cs="Amiri"/>
          <w:lang w:bidi="ar-SA"/>
          <w:color w:val="111111"/>
          <w:sz w:val="28"/>
          <w:szCs w:val="28"/>
          <w:rtl/>
        </w:rPr>
        <w:t xml:space="preserve">9 .الروض الانيق و الوعظ الرشيق في</w:t>
      </w:r>
    </w:p>
    <w:p>
      <w:pPr>
        <w:pStyle w:val="BookText"/>
      </w:pPr>
      <w:r>
        <w:rPr>
          <w:rFonts w:ascii="Amiri" w:hAnsi="Amiri" w:eastAsia="Amiri" w:cs="Amiri"/>
          <w:lang w:bidi="ar-SA"/>
          <w:color w:val="111111"/>
          <w:sz w:val="28"/>
          <w:szCs w:val="28"/>
          <w:rtl/>
        </w:rPr>
        <w:t xml:space="preserve">المعرفة و الصحبة والوجد، ج8،</w:t>
      </w:r>
    </w:p>
    <w:p>
      <w:pPr>
        <w:pStyle w:val="BookText"/>
      </w:pPr>
      <w:r>
        <w:rPr>
          <w:rFonts w:ascii="IRNazanin" w:hAnsi="IRNazanin" w:eastAsia="IRNazanin" w:cs="IRNazanin"/>
          <w:lang w:bidi="fa-IR"/>
          <w:color w:val="111111"/>
          <w:sz w:val="28"/>
          <w:szCs w:val="28"/>
          <w:rtl/>
        </w:rPr>
        <w:t xml:space="preserve">ص 398.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القلائد و الفرائد، ج 12، ص 765 .</w:t>
      </w:r>
    </w:p>
    <w:p>
      <w:pPr>
        <w:pStyle w:val="BookText"/>
      </w:pPr>
      <w:r>
        <w:rPr>
          <w:rFonts w:ascii="Amiri" w:hAnsi="Amiri" w:eastAsia="Amiri" w:cs="Amiri"/>
          <w:lang w:bidi="ar-SA"/>
          <w:color w:val="111111"/>
          <w:sz w:val="28"/>
          <w:szCs w:val="28"/>
          <w:rtl/>
        </w:rPr>
        <w:t xml:space="preserve">11 .كشف الاسرار عن الحكم المودعة في الطيور والازهار، ج13، ص187.</w:t>
      </w:r>
    </w:p>
    <w:p>
      <w:pPr>
        <w:pStyle w:val="BookText"/>
      </w:pPr>
      <w:r>
        <w:rPr>
          <w:rFonts w:ascii="Amiri" w:hAnsi="Amiri" w:eastAsia="Amiri" w:cs="Amiri"/>
          <w:lang w:bidi="ar-SA"/>
          <w:color w:val="111111"/>
          <w:sz w:val="28"/>
          <w:szCs w:val="28"/>
          <w:rtl/>
        </w:rPr>
        <w:t xml:space="preserve">12 .لامية، ج 13، ص 525.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مفاخرة الليل والنهار، ج 15 ،</w:t>
      </w:r>
    </w:p>
    <w:p>
      <w:pPr>
        <w:pStyle w:val="BookText"/>
      </w:pPr>
      <w:r>
        <w:rPr>
          <w:rFonts w:ascii="IRNazanin" w:hAnsi="IRNazanin" w:eastAsia="IRNazanin" w:cs="IRNazanin"/>
          <w:lang w:bidi="fa-IR"/>
          <w:color w:val="111111"/>
          <w:sz w:val="28"/>
          <w:szCs w:val="28"/>
          <w:rtl/>
        </w:rPr>
        <w:t xml:space="preserve">ص 180 .</w:t>
      </w:r>
    </w:p>
    <w:p>
      <w:pPr>
        <w:pStyle w:val="Heading2"/>
      </w:pPr>
      <w:bookmarkStart w:id="1552" w:name="_Toc654"/>
      <w:r>
        <w:t>ابن غانم ، عبداللطيف بن عبد الرحمن</w:t>
      </w:r>
      <w:bookmarkEnd w:id="1552"/>
    </w:p>
    <w:p>
      <w:pPr>
        <w:pStyle w:val="BookText"/>
      </w:pPr>
      <w:r>
        <w:rPr>
          <w:rFonts w:ascii="IRNazanin" w:hAnsi="IRNazanin" w:eastAsia="IRNazanin" w:cs="IRNazanin"/>
          <w:lang w:bidi="fa-IR"/>
          <w:color w:val="111111"/>
          <w:sz w:val="28"/>
          <w:szCs w:val="28"/>
          <w:rtl/>
        </w:rPr>
        <w:t xml:space="preserve">786 - 856 ه-</w:t>
      </w:r>
    </w:p>
    <w:p>
      <w:pPr>
        <w:pStyle w:val="BookText"/>
      </w:pPr>
      <w:r>
        <w:rPr>
          <w:rFonts w:ascii="Amiri" w:hAnsi="Amiri" w:eastAsia="Amiri" w:cs="Amiri"/>
          <w:lang w:bidi="ar-SA"/>
          <w:color w:val="111111"/>
          <w:sz w:val="28"/>
          <w:szCs w:val="28"/>
          <w:rtl/>
        </w:rPr>
        <w:t xml:space="preserve">تحفة واهب المواهب في بيان المقامات و المراتب، ج4، ص38.</w:t>
      </w:r>
    </w:p>
    <w:p>
      <w:pPr>
        <w:pStyle w:val="Heading2"/>
      </w:pPr>
      <w:bookmarkStart w:id="1553" w:name="_Toc655"/>
      <w:r>
        <w:t>ابن غانم ، عبد الله بن علي، 711-744 ه-</w:t>
      </w:r>
      <w:bookmarkEnd w:id="1553"/>
    </w:p>
    <w:p>
      <w:pPr>
        <w:pStyle w:val="BookText"/>
      </w:pPr>
      <w:r>
        <w:rPr>
          <w:rFonts w:ascii="Amiri" w:hAnsi="Amiri" w:eastAsia="Amiri" w:cs="Amiri"/>
          <w:lang w:bidi="ar-SA"/>
          <w:color w:val="111111"/>
          <w:sz w:val="28"/>
          <w:szCs w:val="28"/>
          <w:rtl/>
        </w:rPr>
        <w:t xml:space="preserve">الفائق في اللفظ الرائق، ج 11، ص 580.</w:t>
      </w:r>
    </w:p>
    <w:p>
      <w:pPr>
        <w:pStyle w:val="BookText"/>
      </w:pPr>
      <w:r>
        <w:rPr>
          <w:rFonts w:ascii="Amiri" w:hAnsi="Amiri" w:eastAsia="Amiri" w:cs="Amiri"/>
          <w:lang w:bidi="ar-SA"/>
          <w:color w:val="111111"/>
          <w:sz w:val="28"/>
          <w:szCs w:val="28"/>
          <w:rtl/>
        </w:rPr>
        <w:t xml:space="preserve">ابن غانم ، علي بن محمّد- مقدسي ، علي</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ابن غانم ، محمّد بن عبد اللطيف - مقدسي</w:t>
      </w:r>
    </w:p>
    <w:p>
      <w:pPr>
        <w:pStyle w:val="BookText"/>
      </w:pPr>
      <w:r>
        <w:rPr>
          <w:rFonts w:ascii="Amiri" w:hAnsi="Amiri" w:eastAsia="Amiri" w:cs="Amiri"/>
          <w:lang w:bidi="ar-SA"/>
          <w:color w:val="111111"/>
          <w:sz w:val="28"/>
          <w:szCs w:val="28"/>
          <w:rtl/>
        </w:rPr>
        <w:t xml:space="preserve">، محمّد بن عبد اللطيف</w:t>
      </w:r>
    </w:p>
    <w:p>
      <w:pPr>
        <w:pStyle w:val="Heading2"/>
      </w:pPr>
      <w:bookmarkStart w:id="1554" w:name="_Toc656"/>
      <w:r>
        <w:t>ابن غانم ، محمّد بن علي</w:t>
      </w:r>
      <w:bookmarkEnd w:id="1554"/>
    </w:p>
    <w:p>
      <w:pPr>
        <w:pStyle w:val="BookText"/>
      </w:pPr>
      <w:r>
        <w:rPr>
          <w:rFonts w:ascii="Amiri" w:hAnsi="Amiri" w:eastAsia="Amiri" w:cs="Amiri"/>
          <w:lang w:bidi="ar-SA"/>
          <w:color w:val="111111"/>
          <w:sz w:val="28"/>
          <w:szCs w:val="28"/>
          <w:rtl/>
        </w:rPr>
        <w:t xml:space="preserve">احوال المدينة المنورة ومساجدها</w:t>
      </w:r>
    </w:p>
    <w:p>
      <w:pPr>
        <w:pStyle w:val="BookText"/>
      </w:pPr>
      <w:r>
        <w:rPr>
          <w:rFonts w:ascii="Amiri" w:hAnsi="Amiri" w:eastAsia="Amiri" w:cs="Amiri"/>
          <w:lang w:bidi="ar-SA"/>
          <w:color w:val="111111"/>
          <w:sz w:val="28"/>
          <w:szCs w:val="28"/>
          <w:rtl/>
        </w:rPr>
        <w:t xml:space="preserve">(رسالة في)، ج 1، ص 505.</w:t>
      </w:r>
    </w:p>
    <w:p>
      <w:pPr>
        <w:pStyle w:val="BookText"/>
      </w:pPr>
      <w:r>
        <w:rPr>
          <w:rFonts w:ascii="Amiri" w:hAnsi="Amiri" w:eastAsia="Amiri" w:cs="Amiri"/>
          <w:lang w:bidi="ar-SA"/>
          <w:color w:val="111111"/>
          <w:sz w:val="28"/>
          <w:szCs w:val="28"/>
          <w:rtl/>
        </w:rPr>
        <w:t xml:space="preserve">ابن غرابيلي -ابن قاسم غزي ، محمّد بن</w:t>
      </w:r>
    </w:p>
    <w:p>
      <w:pPr>
        <w:pStyle w:val="BookText"/>
      </w:pPr>
      <w:r>
        <w:rPr>
          <w:rFonts w:ascii="IRNazanin" w:hAnsi="IRNazanin" w:eastAsia="IRNazanin" w:cs="IRNazanin"/>
          <w:lang w:bidi="fa-IR"/>
          <w:color w:val="111111"/>
          <w:sz w:val="28"/>
          <w:szCs w:val="28"/>
          <w:rtl/>
        </w:rPr>
        <w:t xml:space="preserve">قاسم</w:t>
      </w:r>
    </w:p>
    <w:p>
      <w:pPr>
        <w:pStyle w:val="Heading2"/>
      </w:pPr>
      <w:bookmarkStart w:id="1555" w:name="_Toc657"/>
      <w:r>
        <w:t>ابن الغرس محمّد بن محمّد، 833-894ه-</w:t>
      </w:r>
      <w:bookmarkEnd w:id="1555"/>
    </w:p>
    <w:p>
      <w:pPr>
        <w:pStyle w:val="BookText"/>
      </w:pPr>
      <w:r>
        <w:rPr>
          <w:rFonts w:ascii="Amiri" w:hAnsi="Amiri" w:eastAsia="Amiri" w:cs="Amiri"/>
          <w:lang w:bidi="ar-SA"/>
          <w:color w:val="111111"/>
          <w:sz w:val="28"/>
          <w:szCs w:val="28"/>
          <w:rtl/>
        </w:rPr>
        <w:t xml:space="preserve">الفواكه البدرية في الاقضية الحكمية =</w:t>
      </w:r>
    </w:p>
    <w:p>
      <w:pPr>
        <w:pStyle w:val="BookText"/>
      </w:pPr>
      <w:r>
        <w:rPr>
          <w:rFonts w:ascii="Amiri" w:hAnsi="Amiri" w:eastAsia="Amiri" w:cs="Amiri"/>
          <w:lang w:bidi="ar-SA"/>
          <w:color w:val="111111"/>
          <w:sz w:val="28"/>
          <w:szCs w:val="28"/>
          <w:rtl/>
        </w:rPr>
        <w:t xml:space="preserve">الفوائد الفقهية في اطراف القضايا الحكمية = آداب القضاة، ج 12،</w:t>
      </w:r>
    </w:p>
    <w:p>
      <w:pPr>
        <w:pStyle w:val="BookText"/>
      </w:pPr>
      <w:r>
        <w:rPr>
          <w:rFonts w:ascii="IRNazanin" w:hAnsi="IRNazanin" w:eastAsia="IRNazanin" w:cs="IRNazanin"/>
          <w:lang w:bidi="fa-IR"/>
          <w:color w:val="111111"/>
          <w:sz w:val="28"/>
          <w:szCs w:val="28"/>
          <w:rtl/>
        </w:rPr>
        <w:t xml:space="preserve">ص 298</w:t>
      </w:r>
    </w:p>
    <w:p>
      <w:pPr>
        <w:pStyle w:val="BookText"/>
      </w:pPr>
      <w:r>
        <w:rPr>
          <w:rFonts w:ascii="Amiri" w:hAnsi="Amiri" w:eastAsia="Amiri" w:cs="Amiri"/>
          <w:lang w:bidi="ar-SA"/>
          <w:color w:val="111111"/>
          <w:sz w:val="28"/>
          <w:szCs w:val="28"/>
          <w:rtl/>
        </w:rPr>
        <w:t xml:space="preserve">ابن غزي ، محمّد بن محمّد- غزي عامري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ابن غساني ، حسين بن محمّد- جياني ،</w:t>
      </w:r>
    </w:p>
    <w:p>
      <w:pPr>
        <w:pStyle w:val="BookText"/>
      </w:pPr>
      <w:r>
        <w:rPr>
          <w:rFonts w:ascii="Amiri" w:hAnsi="Amiri" w:eastAsia="Amiri" w:cs="Amiri"/>
          <w:lang w:bidi="ar-SA"/>
          <w:color w:val="111111"/>
          <w:sz w:val="28"/>
          <w:szCs w:val="28"/>
          <w:rtl/>
        </w:rPr>
        <w:t xml:space="preserve">حسين بن محمّد</w:t>
      </w:r>
    </w:p>
    <w:p>
      <w:pPr>
        <w:pStyle w:val="Heading2"/>
      </w:pPr>
      <w:bookmarkStart w:id="1556" w:name="_Toc658"/>
      <w:r>
        <w:t>ابن غضائري، احمد بن حسين قرن 5 ه-</w:t>
      </w:r>
      <w:bookmarkEnd w:id="1556"/>
    </w:p>
    <w:p>
      <w:pPr>
        <w:pStyle w:val="BookText"/>
      </w:pPr>
      <w:r>
        <w:rPr>
          <w:rFonts w:ascii="Amiri" w:hAnsi="Amiri" w:eastAsia="Amiri" w:cs="Amiri"/>
          <w:lang w:bidi="ar-SA"/>
          <w:color w:val="111111"/>
          <w:sz w:val="28"/>
          <w:szCs w:val="28"/>
          <w:rtl/>
        </w:rPr>
        <w:t xml:space="preserve">الضعفاء = رجال ابن الغضائري، ج10،</w:t>
      </w:r>
    </w:p>
    <w:p>
      <w:pPr>
        <w:pStyle w:val="BookText"/>
      </w:pPr>
      <w:r>
        <w:rPr>
          <w:rFonts w:ascii="IRNazanin" w:hAnsi="IRNazanin" w:eastAsia="IRNazanin" w:cs="IRNazanin"/>
          <w:lang w:bidi="fa-IR"/>
          <w:color w:val="111111"/>
          <w:sz w:val="28"/>
          <w:szCs w:val="28"/>
          <w:rtl/>
        </w:rPr>
        <w:t xml:space="preserve">ص 694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8" w:name="pg7742_69551"/>
    <w:bookmarkEnd w:id="98"/>
    <w:p>
      <w:pPr>
        <w:pStyle w:val="BookText"/>
      </w:pPr>
      <w:r>
        <w:rPr>
          <w:rFonts w:ascii="Amiri" w:hAnsi="Amiri" w:eastAsia="Amiri" w:cs="Amiri"/>
          <w:lang w:bidi="ar-SA"/>
          <w:color w:val="111111"/>
          <w:sz w:val="28"/>
          <w:szCs w:val="28"/>
          <w:rtl/>
        </w:rPr>
        <w:t xml:space="preserve">ابن غطاس ، يوسف - يوسف بن الغطاس</w:t>
      </w:r>
    </w:p>
    <w:p>
      <w:pPr>
        <w:pStyle w:val="BookText"/>
      </w:pPr>
      <w:r>
        <w:rPr>
          <w:rFonts w:ascii="Amiri" w:hAnsi="Amiri" w:eastAsia="Amiri" w:cs="Amiri"/>
          <w:lang w:bidi="ar-SA"/>
          <w:color w:val="111111"/>
          <w:sz w:val="28"/>
          <w:szCs w:val="28"/>
          <w:rtl/>
        </w:rPr>
        <w:t xml:space="preserve">ابن غطريف جرجاني ، محمّد بن احمد- غطريفي ، محمّد بن احمد</w:t>
      </w:r>
    </w:p>
    <w:p>
      <w:pPr>
        <w:pStyle w:val="Heading2"/>
      </w:pPr>
      <w:bookmarkStart w:id="1557" w:name="_Toc659"/>
      <w:r>
        <w:t>ابن غفور ، عبدالله بن محمّد</w:t>
      </w:r>
      <w:bookmarkEnd w:id="1557"/>
    </w:p>
    <w:p>
      <w:pPr>
        <w:pStyle w:val="BookText"/>
      </w:pPr>
      <w:r>
        <w:rPr>
          <w:rFonts w:ascii="Amiri" w:hAnsi="Amiri" w:eastAsia="Amiri" w:cs="Amiri"/>
          <w:lang w:bidi="ar-SA"/>
          <w:color w:val="111111"/>
          <w:sz w:val="28"/>
          <w:szCs w:val="28"/>
          <w:rtl/>
        </w:rPr>
        <w:t xml:space="preserve">الفوائد عن الشيوخ الثقات، ج12،</w:t>
      </w:r>
    </w:p>
    <w:p>
      <w:pPr>
        <w:pStyle w:val="BookText"/>
      </w:pPr>
      <w:r>
        <w:rPr>
          <w:rFonts w:ascii="IRNazanin" w:hAnsi="IRNazanin" w:eastAsia="IRNazanin" w:cs="IRNazanin"/>
          <w:lang w:bidi="fa-IR"/>
          <w:color w:val="111111"/>
          <w:sz w:val="28"/>
          <w:szCs w:val="28"/>
          <w:rtl/>
        </w:rPr>
        <w:t xml:space="preserve">ص 248 .</w:t>
      </w:r>
    </w:p>
    <w:p>
      <w:pPr>
        <w:pStyle w:val="Heading2"/>
      </w:pPr>
      <w:bookmarkStart w:id="1558" w:name="_Toc660"/>
      <w:r>
        <w:t>ابن غلاب ، عبدالسلام بن عبد الغالب</w:t>
      </w:r>
      <w:bookmarkEnd w:id="1558"/>
    </w:p>
    <w:p>
      <w:pPr>
        <w:pStyle w:val="BookText"/>
      </w:pPr>
      <w:r>
        <w:rPr>
          <w:rFonts w:ascii="IRNazanin" w:hAnsi="IRNazanin" w:eastAsia="IRNazanin" w:cs="IRNazanin"/>
          <w:lang w:bidi="fa-IR"/>
          <w:color w:val="111111"/>
          <w:sz w:val="28"/>
          <w:szCs w:val="28"/>
          <w:rtl/>
        </w:rPr>
        <w:t xml:space="preserve">576 - 646 ه-</w:t>
      </w:r>
    </w:p>
    <w:p>
      <w:pPr>
        <w:pStyle w:val="BookText"/>
      </w:pPr>
      <w:r>
        <w:rPr>
          <w:rFonts w:ascii="Amiri" w:hAnsi="Amiri" w:eastAsia="Amiri" w:cs="Amiri"/>
          <w:lang w:bidi="ar-SA"/>
          <w:color w:val="111111"/>
          <w:sz w:val="28"/>
          <w:szCs w:val="28"/>
          <w:rtl/>
        </w:rPr>
        <w:t xml:space="preserve">الزهر الأنيق في قصة يوسف الصديق</w:t>
      </w:r>
    </w:p>
    <w:p>
      <w:pPr>
        <w:pStyle w:val="BookText"/>
      </w:pPr>
      <w:r>
        <w:rPr>
          <w:rFonts w:ascii="IRNazanin" w:hAnsi="IRNazanin" w:eastAsia="IRNazanin" w:cs="IRNazanin"/>
          <w:lang w:bidi="fa-IR"/>
          <w:color w:val="111111"/>
          <w:sz w:val="28"/>
          <w:szCs w:val="28"/>
          <w:rtl/>
        </w:rPr>
        <w:t xml:space="preserve">ج 8، ص 617 .</w:t>
      </w:r>
    </w:p>
    <w:p>
      <w:pPr>
        <w:pStyle w:val="BookText"/>
      </w:pPr>
      <w:r>
        <w:rPr>
          <w:rFonts w:ascii="Amiri" w:hAnsi="Amiri" w:eastAsia="Amiri" w:cs="Amiri"/>
          <w:lang w:bidi="ar-SA"/>
          <w:color w:val="111111"/>
          <w:sz w:val="28"/>
          <w:szCs w:val="28"/>
          <w:rtl/>
        </w:rPr>
        <w:t xml:space="preserve">ابن غلبون ، عبد المحسن بن محمّد -صوري ، عبد المحسن بن محمّد</w:t>
      </w:r>
    </w:p>
    <w:p>
      <w:pPr>
        <w:pStyle w:val="Heading2"/>
      </w:pPr>
      <w:bookmarkStart w:id="1559" w:name="_Toc661"/>
      <w:r>
        <w:t>ابن غنائم ، محمّد بن ابراهيم 665 -</w:t>
      </w:r>
      <w:bookmarkEnd w:id="1559"/>
    </w:p>
    <w:p>
      <w:pPr>
        <w:pStyle w:val="BookText"/>
      </w:pPr>
      <w:r>
        <w:rPr>
          <w:rFonts w:ascii="IRNazanin" w:hAnsi="IRNazanin" w:eastAsia="IRNazanin" w:cs="IRNazanin"/>
          <w:lang w:bidi="fa-IR"/>
          <w:color w:val="111111"/>
          <w:sz w:val="28"/>
          <w:szCs w:val="28"/>
          <w:rtl/>
        </w:rPr>
        <w:t xml:space="preserve">733 ه-</w:t>
      </w:r>
    </w:p>
    <w:p>
      <w:pPr>
        <w:pStyle w:val="BookText"/>
      </w:pPr>
      <w:r>
        <w:rPr>
          <w:rFonts w:ascii="Amiri" w:hAnsi="Amiri" w:eastAsia="Amiri" w:cs="Amiri"/>
          <w:lang w:bidi="ar-SA"/>
          <w:color w:val="111111"/>
          <w:sz w:val="28"/>
          <w:szCs w:val="28"/>
          <w:rtl/>
        </w:rPr>
        <w:t xml:space="preserve">الحديث، ج6، ص 559</w:t>
      </w:r>
    </w:p>
    <w:p>
      <w:pPr>
        <w:pStyle w:val="Heading2"/>
      </w:pPr>
      <w:bookmarkStart w:id="1560" w:name="_Toc662"/>
      <w:r>
        <w:t>ابن غنام</w:t>
      </w:r>
      <w:bookmarkEnd w:id="1560"/>
    </w:p>
    <w:p>
      <w:pPr>
        <w:pStyle w:val="BookText"/>
      </w:pPr>
      <w:r>
        <w:rPr>
          <w:rFonts w:ascii="IRNazanin" w:hAnsi="IRNazanin" w:eastAsia="IRNazanin" w:cs="IRNazanin"/>
          <w:lang w:bidi="fa-IR"/>
          <w:color w:val="111111"/>
          <w:sz w:val="28"/>
          <w:szCs w:val="28"/>
          <w:rtl/>
        </w:rPr>
        <w:t xml:space="preserve">شرح شواهد قطر الندى، ج 9، ص 661.</w:t>
      </w:r>
    </w:p>
    <w:p>
      <w:pPr>
        <w:pStyle w:val="BookText"/>
      </w:pPr>
      <w:r>
        <w:rPr>
          <w:rFonts w:ascii="Amiri" w:hAnsi="Amiri" w:eastAsia="Amiri" w:cs="Amiri"/>
          <w:lang w:bidi="ar-SA"/>
          <w:color w:val="111111"/>
          <w:sz w:val="28"/>
          <w:szCs w:val="28"/>
          <w:rtl/>
        </w:rPr>
        <w:t xml:space="preserve">ابن غنام، ابوطاهر ابراهيم بن</w:t>
      </w:r>
    </w:p>
    <w:p>
      <w:pPr>
        <w:pStyle w:val="BookText"/>
      </w:pPr>
      <w:r>
        <w:rPr>
          <w:rFonts w:ascii="Amiri" w:hAnsi="Amiri" w:eastAsia="Amiri" w:cs="Amiri"/>
          <w:lang w:bidi="ar-SA"/>
          <w:color w:val="111111"/>
          <w:sz w:val="28"/>
          <w:szCs w:val="28"/>
          <w:rtl/>
        </w:rPr>
        <w:t xml:space="preserve">يحيى نميري، ابراهيم بن يحيى</w:t>
      </w:r>
    </w:p>
    <w:p>
      <w:pPr>
        <w:pStyle w:val="BookText"/>
      </w:pPr>
      <w:r>
        <w:rPr>
          <w:rFonts w:ascii="IRNazanin" w:hAnsi="IRNazanin" w:eastAsia="IRNazanin" w:cs="IRNazanin"/>
          <w:lang w:bidi="fa-IR"/>
          <w:color w:val="111111"/>
          <w:sz w:val="28"/>
          <w:szCs w:val="28"/>
          <w:rtl/>
        </w:rPr>
        <w:t xml:space="preserve">ابن غنام ، حسین بن غنام نجدي ، حسين</w:t>
      </w:r>
    </w:p>
    <w:p>
      <w:pPr>
        <w:pStyle w:val="BookText"/>
      </w:pPr>
      <w:r>
        <w:rPr>
          <w:rFonts w:ascii="IRNazanin" w:hAnsi="IRNazanin" w:eastAsia="IRNazanin" w:cs="IRNazanin"/>
          <w:lang w:bidi="fa-IR"/>
          <w:color w:val="111111"/>
          <w:sz w:val="28"/>
          <w:szCs w:val="28"/>
          <w:rtl/>
        </w:rPr>
        <w:t xml:space="preserve">بن غنام</w:t>
      </w:r>
    </w:p>
    <w:p>
      <w:pPr>
        <w:pStyle w:val="Heading2"/>
      </w:pPr>
      <w:bookmarkStart w:id="1561" w:name="_Toc663"/>
      <w:r>
        <w:t>ابن غوري، محمّد بن احمد - 239 ه-</w:t>
      </w:r>
      <w:bookmarkEnd w:id="1561"/>
    </w:p>
    <w:p>
      <w:pPr>
        <w:pStyle w:val="BookText"/>
      </w:pPr>
      <w:r>
        <w:rPr>
          <w:rFonts w:ascii="Amiri" w:hAnsi="Amiri" w:eastAsia="Amiri" w:cs="Amiri"/>
          <w:lang w:bidi="ar-SA"/>
          <w:color w:val="111111"/>
          <w:sz w:val="28"/>
          <w:szCs w:val="28"/>
          <w:rtl/>
        </w:rPr>
        <w:t xml:space="preserve">جزء فيه مجلس من املائه جه</w:t>
      </w:r>
    </w:p>
    <w:p>
      <w:pPr>
        <w:pStyle w:val="BookText"/>
      </w:pPr>
      <w:r>
        <w:rPr>
          <w:rFonts w:ascii="IRNazanin" w:hAnsi="IRNazanin" w:eastAsia="IRNazanin" w:cs="IRNazanin"/>
          <w:lang w:bidi="fa-IR"/>
          <w:color w:val="111111"/>
          <w:sz w:val="28"/>
          <w:szCs w:val="28"/>
          <w:rtl/>
        </w:rPr>
        <w:t xml:space="preserve">ص 382.</w:t>
      </w:r>
    </w:p>
    <w:p>
      <w:pPr>
        <w:pStyle w:val="Heading2"/>
      </w:pPr>
      <w:bookmarkStart w:id="1562" w:name="_Toc664"/>
      <w:r>
        <w:t>ابن غياث شيرازي ، محمّد بن غياث الدين</w:t>
      </w:r>
      <w:bookmarkEnd w:id="1562"/>
    </w:p>
    <w:p>
      <w:pPr>
        <w:pStyle w:val="BookText"/>
      </w:pPr>
      <w:r>
        <w:rPr>
          <w:rFonts w:ascii="IRNazanin" w:hAnsi="IRNazanin" w:eastAsia="IRNazanin" w:cs="IRNazanin"/>
          <w:lang w:bidi="fa-IR"/>
          <w:color w:val="111111"/>
          <w:sz w:val="28"/>
          <w:szCs w:val="28"/>
          <w:rtl/>
        </w:rPr>
        <w:t xml:space="preserve">محمد، - 848 ه-</w:t>
      </w:r>
    </w:p>
    <w:p>
      <w:pPr>
        <w:pStyle w:val="BookText"/>
      </w:pPr>
      <w:r>
        <w:rPr>
          <w:rFonts w:ascii="Amiri" w:hAnsi="Amiri" w:eastAsia="Amiri" w:cs="Amiri"/>
          <w:lang w:bidi="ar-SA"/>
          <w:color w:val="111111"/>
          <w:sz w:val="28"/>
          <w:szCs w:val="28"/>
          <w:rtl/>
        </w:rPr>
        <w:t xml:space="preserve">تشريح الابدان، ج4، ص 363.</w:t>
      </w:r>
    </w:p>
    <w:p>
      <w:pPr>
        <w:pStyle w:val="BookText"/>
      </w:pPr>
      <w:r>
        <w:rPr>
          <w:rFonts w:ascii="Amiri" w:hAnsi="Amiri" w:eastAsia="Amiri" w:cs="Amiri"/>
          <w:lang w:bidi="ar-SA"/>
          <w:color w:val="111111"/>
          <w:sz w:val="28"/>
          <w:szCs w:val="28"/>
          <w:rtl/>
        </w:rPr>
        <w:t xml:space="preserve">ابن فارس ، احمد بن فارس-رازي ، احمد</w:t>
      </w:r>
    </w:p>
    <w:p>
      <w:pPr>
        <w:pStyle w:val="BookText"/>
      </w:pPr>
      <w:r>
        <w:rPr>
          <w:rFonts w:ascii="IRNazanin" w:hAnsi="IRNazanin" w:eastAsia="IRNazanin" w:cs="IRNazanin"/>
          <w:lang w:bidi="fa-IR"/>
          <w:color w:val="111111"/>
          <w:sz w:val="28"/>
          <w:szCs w:val="28"/>
          <w:rtl/>
        </w:rPr>
        <w:t xml:space="preserve">بن فارس</w:t>
      </w:r>
    </w:p>
    <w:p>
      <w:pPr>
        <w:pStyle w:val="BookText"/>
      </w:pPr>
      <w:r>
        <w:rPr>
          <w:rFonts w:ascii="Amiri" w:hAnsi="Amiri" w:eastAsia="Amiri" w:cs="Amiri"/>
          <w:lang w:bidi="ar-SA"/>
          <w:color w:val="111111"/>
          <w:sz w:val="28"/>
          <w:szCs w:val="28"/>
          <w:rtl/>
        </w:rPr>
        <w:t xml:space="preserve">ابن فارس تازي- تازي ، عبدالله بن فارس</w:t>
      </w:r>
    </w:p>
    <w:p>
      <w:pPr>
        <w:pStyle w:val="Heading2"/>
      </w:pPr>
      <w:bookmarkStart w:id="1563" w:name="_Toc665"/>
      <w:r>
        <w:t>ابن فارض ، عمر بن علي، 576 - 632 ه-</w:t>
      </w:r>
      <w:bookmarkEnd w:id="15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دیوان ابن فارض، ج 7، ص 527.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القصائد الصوفية، ج 12، ص 591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ج 12، ص 635.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القصيدة التانية - نظم السلوك -</w:t>
      </w:r>
    </w:p>
    <w:p>
      <w:pPr>
        <w:pStyle w:val="BookText"/>
      </w:pPr>
      <w:r>
        <w:rPr>
          <w:rFonts w:ascii="IRNazanin" w:hAnsi="IRNazanin" w:eastAsia="IRNazanin" w:cs="IRNazanin"/>
          <w:lang w:bidi="fa-IR"/>
          <w:color w:val="111111"/>
          <w:sz w:val="28"/>
          <w:szCs w:val="28"/>
          <w:rtl/>
        </w:rPr>
        <w:t xml:space="preserve">نظم الدرر، ج 12، ص 659 .</w:t>
      </w:r>
    </w:p>
    <w:p>
      <w:pPr>
        <w:pStyle w:val="BookText"/>
      </w:pPr>
      <w:r>
        <w:rPr>
          <w:rFonts w:ascii="Amiri" w:hAnsi="Amiri" w:eastAsia="Amiri" w:cs="Amiri"/>
          <w:lang w:bidi="ar-SA"/>
          <w:color w:val="111111"/>
          <w:sz w:val="28"/>
          <w:szCs w:val="28"/>
          <w:rtl/>
        </w:rPr>
        <w:t xml:space="preserve">5 .القصيدة الخمرية - قصيده ميميه</w:t>
      </w:r>
    </w:p>
    <w:p>
      <w:pPr>
        <w:pStyle w:val="BookText"/>
      </w:pPr>
      <w:r>
        <w:rPr>
          <w:rFonts w:ascii="IRNazanin" w:hAnsi="IRNazanin" w:eastAsia="IRNazanin" w:cs="IRNazanin"/>
          <w:lang w:bidi="fa-IR"/>
          <w:color w:val="111111"/>
          <w:sz w:val="28"/>
          <w:szCs w:val="28"/>
          <w:rtl/>
        </w:rPr>
        <w:t xml:space="preserve">ج 12، ص 668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قصيدة الشيخ عمر بن الفارض</w:t>
      </w:r>
    </w:p>
    <w:p>
      <w:pPr>
        <w:pStyle w:val="BookText"/>
      </w:pPr>
      <w:r>
        <w:rPr>
          <w:rFonts w:ascii="IRNazanin" w:hAnsi="IRNazanin" w:eastAsia="IRNazanin" w:cs="IRNazanin"/>
          <w:lang w:bidi="fa-IR"/>
          <w:color w:val="111111"/>
          <w:sz w:val="28"/>
          <w:szCs w:val="28"/>
          <w:rtl/>
        </w:rPr>
        <w:t xml:space="preserve">ج 12، ص 680.</w:t>
      </w:r>
    </w:p>
    <w:p>
      <w:pPr>
        <w:pStyle w:val="BookText"/>
      </w:pPr>
      <w:r>
        <w:rPr>
          <w:rFonts w:ascii="Amiri" w:hAnsi="Amiri" w:eastAsia="Amiri" w:cs="Amiri"/>
          <w:lang w:bidi="ar-SA"/>
          <w:color w:val="111111"/>
          <w:sz w:val="28"/>
          <w:szCs w:val="28"/>
          <w:rtl/>
        </w:rPr>
        <w:t xml:space="preserve">7 .قصيدة لامية، ج 12، ص 705.</w:t>
      </w:r>
    </w:p>
    <w:p>
      <w:pPr>
        <w:pStyle w:val="BookText"/>
      </w:pPr>
      <w:r>
        <w:rPr>
          <w:rFonts w:ascii="Amiri" w:hAnsi="Amiri" w:eastAsia="Amiri" w:cs="Amiri"/>
          <w:lang w:bidi="ar-SA"/>
          <w:color w:val="111111"/>
          <w:sz w:val="28"/>
          <w:szCs w:val="28"/>
          <w:rtl/>
        </w:rPr>
        <w:t xml:space="preserve">8 الكافية، ج 13، ص 56.</w:t>
      </w:r>
    </w:p>
    <w:p>
      <w:pPr>
        <w:pStyle w:val="BookText"/>
      </w:pPr>
      <w:r>
        <w:rPr>
          <w:rFonts w:ascii="Amiri" w:hAnsi="Amiri" w:eastAsia="Amiri" w:cs="Amiri"/>
          <w:lang w:bidi="ar-SA"/>
          <w:color w:val="111111"/>
          <w:sz w:val="28"/>
          <w:szCs w:val="28"/>
          <w:rtl/>
        </w:rPr>
        <w:t xml:space="preserve">9 .مجموعة شعرية، ج 14، ص 39.</w:t>
      </w:r>
    </w:p>
    <w:p>
      <w:pPr>
        <w:pStyle w:val="BookText"/>
      </w:pPr>
      <w:r>
        <w:rPr>
          <w:rFonts w:ascii="Amiri" w:hAnsi="Amiri" w:eastAsia="Amiri" w:cs="Amiri"/>
          <w:lang w:bidi="ar-SA"/>
          <w:color w:val="111111"/>
          <w:sz w:val="28"/>
          <w:szCs w:val="28"/>
          <w:rtl/>
        </w:rPr>
        <w:t xml:space="preserve">ابن فجله ، عبدالمنعم- زرقاني ، عبدالمنعم</w:t>
      </w:r>
    </w:p>
    <w:p>
      <w:pPr>
        <w:pStyle w:val="Heading2"/>
      </w:pPr>
      <w:bookmarkStart w:id="1564" w:name="_Toc666"/>
      <w:r>
        <w:t>ابن فحام ، عبدالرحمن بن ابي بكر 425 -</w:t>
      </w:r>
      <w:bookmarkEnd w:id="1564"/>
    </w:p>
    <w:p>
      <w:pPr>
        <w:pStyle w:val="BookText"/>
      </w:pPr>
      <w:r>
        <w:rPr>
          <w:rFonts w:ascii="IRNazanin" w:hAnsi="IRNazanin" w:eastAsia="IRNazanin" w:cs="IRNazanin"/>
          <w:lang w:bidi="fa-IR"/>
          <w:color w:val="111111"/>
          <w:sz w:val="28"/>
          <w:szCs w:val="28"/>
          <w:rtl/>
        </w:rPr>
        <w:t xml:space="preserve">516 ه-</w:t>
      </w:r>
    </w:p>
    <w:p>
      <w:pPr>
        <w:pStyle w:val="BookText"/>
      </w:pPr>
      <w:r>
        <w:rPr>
          <w:rFonts w:ascii="Amiri" w:hAnsi="Amiri" w:eastAsia="Amiri" w:cs="Amiri"/>
          <w:lang w:bidi="ar-SA"/>
          <w:color w:val="111111"/>
          <w:sz w:val="28"/>
          <w:szCs w:val="28"/>
          <w:rtl/>
        </w:rPr>
        <w:t xml:space="preserve">التجريد لبغية المريد، ج 3، ص 693.</w:t>
      </w:r>
    </w:p>
    <w:p>
      <w:pPr>
        <w:pStyle w:val="BookText"/>
      </w:pPr>
      <w:r>
        <w:rPr>
          <w:rFonts w:ascii="IRNazanin" w:hAnsi="IRNazanin" w:eastAsia="IRNazanin" w:cs="IRNazanin"/>
          <w:lang w:bidi="fa-IR"/>
          <w:color w:val="111111"/>
          <w:sz w:val="28"/>
          <w:szCs w:val="28"/>
          <w:rtl/>
        </w:rPr>
        <w:t xml:space="preserve">ابن فخرالدین حسن جمال الدين حسين انجو- جمال الدين انجو ، حسين بن حسن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7742_69552"/>
    <w:bookmarkEnd w:id="99"/>
    <w:p>
      <w:pPr>
        <w:pStyle w:val="Heading2"/>
      </w:pPr>
      <w:bookmarkStart w:id="1565" w:name="_Toc667"/>
      <w:r>
        <w:t>ابن فراء ، حسين بن محمّد قرن 5 ه-</w:t>
      </w:r>
      <w:bookmarkEnd w:id="1565"/>
    </w:p>
    <w:p>
      <w:pPr>
        <w:pStyle w:val="BookText"/>
      </w:pPr>
      <w:r>
        <w:rPr>
          <w:rFonts w:ascii="Amiri" w:hAnsi="Amiri" w:eastAsia="Amiri" w:cs="Amiri"/>
          <w:lang w:bidi="ar-SA"/>
          <w:color w:val="111111"/>
          <w:sz w:val="28"/>
          <w:szCs w:val="28"/>
          <w:rtl/>
        </w:rPr>
        <w:t xml:space="preserve">رسل الملوك و من يصلح للرسالة و السفارة و من امر بارسال رسول و من نهي ذلك...، ج 8، ص300.</w:t>
      </w:r>
    </w:p>
    <w:p>
      <w:pPr>
        <w:pStyle w:val="BookText"/>
      </w:pPr>
      <w:r>
        <w:rPr>
          <w:rFonts w:ascii="Amiri" w:hAnsi="Amiri" w:eastAsia="Amiri" w:cs="Amiri"/>
          <w:lang w:bidi="ar-SA"/>
          <w:color w:val="111111"/>
          <w:sz w:val="28"/>
          <w:szCs w:val="28"/>
          <w:rtl/>
        </w:rPr>
        <w:t xml:space="preserve">ابن فراء ، حسين بن مسعود -بغوي ،</w:t>
      </w:r>
    </w:p>
    <w:p>
      <w:pPr>
        <w:pStyle w:val="BookText"/>
      </w:pPr>
      <w:r>
        <w:rPr>
          <w:rFonts w:ascii="Amiri" w:hAnsi="Amiri" w:eastAsia="Amiri" w:cs="Amiri"/>
          <w:lang w:bidi="ar-SA"/>
          <w:color w:val="111111"/>
          <w:sz w:val="28"/>
          <w:szCs w:val="28"/>
          <w:rtl/>
        </w:rPr>
        <w:t xml:space="preserve">حسين بن مسعود</w:t>
      </w:r>
    </w:p>
    <w:p>
      <w:pPr>
        <w:pStyle w:val="Heading2"/>
      </w:pPr>
      <w:bookmarkStart w:id="1566" w:name="_Toc668"/>
      <w:r>
        <w:t>ابن الفرات، محمّد بن عبد الرحيم 735 -</w:t>
      </w:r>
      <w:bookmarkEnd w:id="1566"/>
    </w:p>
    <w:p>
      <w:pPr>
        <w:pStyle w:val="BookText"/>
      </w:pPr>
      <w:r>
        <w:rPr>
          <w:rFonts w:ascii="IRNazanin" w:hAnsi="IRNazanin" w:eastAsia="IRNazanin" w:cs="IRNazanin"/>
          <w:lang w:bidi="fa-IR"/>
          <w:color w:val="111111"/>
          <w:sz w:val="28"/>
          <w:szCs w:val="28"/>
          <w:rtl/>
        </w:rPr>
        <w:t xml:space="preserve">807 ه-</w:t>
      </w:r>
    </w:p>
    <w:p>
      <w:pPr>
        <w:pStyle w:val="BookText"/>
      </w:pPr>
      <w:r>
        <w:rPr>
          <w:rFonts w:ascii="Amiri" w:hAnsi="Amiri" w:eastAsia="Amiri" w:cs="Amiri"/>
          <w:lang w:bidi="ar-SA"/>
          <w:color w:val="111111"/>
          <w:sz w:val="28"/>
          <w:szCs w:val="28"/>
          <w:rtl/>
        </w:rPr>
        <w:t xml:space="preserve">تاريخ ابن الفرات - الطريق الواضح</w:t>
      </w:r>
    </w:p>
    <w:p>
      <w:pPr>
        <w:pStyle w:val="BookText"/>
      </w:pPr>
      <w:r>
        <w:rPr>
          <w:rFonts w:ascii="Amiri" w:hAnsi="Amiri" w:eastAsia="Amiri" w:cs="Amiri"/>
          <w:lang w:bidi="ar-SA"/>
          <w:color w:val="111111"/>
          <w:sz w:val="28"/>
          <w:szCs w:val="28"/>
          <w:rtl/>
        </w:rPr>
        <w:t xml:space="preserve">المسلوك في تاريخ الخلفاء والملوك تاريخ الدول و الملوك، ج 3، ص 543.</w:t>
      </w:r>
    </w:p>
    <w:p>
      <w:pPr>
        <w:pStyle w:val="Heading2"/>
      </w:pPr>
      <w:bookmarkStart w:id="1567" w:name="_Toc669"/>
      <w:r>
        <w:t>ابن فرج</w:t>
      </w:r>
      <w:bookmarkEnd w:id="1567"/>
    </w:p>
    <w:p>
      <w:pPr>
        <w:pStyle w:val="BookText"/>
      </w:pPr>
      <w:r>
        <w:rPr>
          <w:rFonts w:ascii="Amiri" w:hAnsi="Amiri" w:eastAsia="Amiri" w:cs="Amiri"/>
          <w:lang w:bidi="ar-SA"/>
          <w:color w:val="111111"/>
          <w:sz w:val="28"/>
          <w:szCs w:val="28"/>
          <w:rtl/>
        </w:rPr>
        <w:t xml:space="preserve">عمدة الجراحين، ج 11، ص289.</w:t>
      </w:r>
    </w:p>
    <w:p>
      <w:pPr>
        <w:pStyle w:val="BookText"/>
      </w:pPr>
      <w:r>
        <w:rPr>
          <w:rFonts w:ascii="Amiri" w:hAnsi="Amiri" w:eastAsia="Amiri" w:cs="Amiri"/>
          <w:lang w:bidi="ar-SA"/>
          <w:color w:val="111111"/>
          <w:sz w:val="28"/>
          <w:szCs w:val="28"/>
          <w:rtl/>
        </w:rPr>
        <w:t xml:space="preserve">ابن فرح اشبيلي ، شهاب الدين</w:t>
      </w:r>
    </w:p>
    <w:p>
      <w:pPr>
        <w:pStyle w:val="BookText"/>
      </w:pPr>
      <w:r>
        <w:rPr>
          <w:rFonts w:ascii="Amiri" w:hAnsi="Amiri" w:eastAsia="Amiri" w:cs="Amiri"/>
          <w:lang w:bidi="ar-SA"/>
          <w:color w:val="111111"/>
          <w:sz w:val="28"/>
          <w:szCs w:val="28"/>
          <w:rtl/>
        </w:rPr>
        <w:t xml:space="preserve">احمد- اشبيلي ، احمد بن فرح</w:t>
      </w:r>
    </w:p>
    <w:p>
      <w:pPr>
        <w:pStyle w:val="BookText"/>
      </w:pPr>
      <w:r>
        <w:rPr>
          <w:rFonts w:ascii="Amiri" w:hAnsi="Amiri" w:eastAsia="Amiri" w:cs="Amiri"/>
          <w:lang w:bidi="ar-SA"/>
          <w:color w:val="111111"/>
          <w:sz w:val="28"/>
          <w:szCs w:val="28"/>
          <w:rtl/>
        </w:rPr>
        <w:t xml:space="preserve">ابن فرح قرطبي ، محمّد بن احمد -قرطبي ، محمّد بن احمد</w:t>
      </w:r>
    </w:p>
    <w:p>
      <w:pPr>
        <w:pStyle w:val="BookText"/>
      </w:pPr>
      <w:r>
        <w:rPr>
          <w:rFonts w:ascii="Amiri" w:hAnsi="Amiri" w:eastAsia="Amiri" w:cs="Amiri"/>
          <w:lang w:bidi="ar-SA"/>
          <w:color w:val="111111"/>
          <w:sz w:val="28"/>
          <w:szCs w:val="28"/>
          <w:rtl/>
        </w:rPr>
        <w:t xml:space="preserve">ابن فرحات، جبرئيل- فرحات ، جرمانوس</w:t>
      </w:r>
    </w:p>
    <w:p>
      <w:pPr>
        <w:pStyle w:val="Heading2"/>
      </w:pPr>
      <w:bookmarkStart w:id="1568" w:name="_Toc670"/>
      <w:r>
        <w:t>ابن فرحون ، ابراهيم بن علي، 719؟ -</w:t>
      </w:r>
      <w:bookmarkEnd w:id="1568"/>
    </w:p>
    <w:p>
      <w:pPr>
        <w:pStyle w:val="BookText"/>
      </w:pPr>
      <w:r>
        <w:rPr>
          <w:rFonts w:ascii="IRNazanin" w:hAnsi="IRNazanin" w:eastAsia="IRNazanin" w:cs="IRNazanin"/>
          <w:lang w:bidi="fa-IR"/>
          <w:color w:val="111111"/>
          <w:sz w:val="28"/>
          <w:szCs w:val="28"/>
          <w:rtl/>
        </w:rPr>
        <w:t xml:space="preserve">799 ه-</w:t>
      </w:r>
    </w:p>
    <w:p>
      <w:pPr>
        <w:pStyle w:val="BookText"/>
      </w:pPr>
      <w:r>
        <w:rPr>
          <w:rFonts w:ascii="Amiri" w:hAnsi="Amiri" w:eastAsia="Amiri" w:cs="Amiri"/>
          <w:lang w:bidi="ar-SA"/>
          <w:color w:val="111111"/>
          <w:sz w:val="28"/>
          <w:szCs w:val="28"/>
          <w:rtl/>
        </w:rPr>
        <w:t xml:space="preserve">ارشاد السالكين إلى افعال المناسك</w:t>
      </w:r>
    </w:p>
    <w:p>
      <w:pPr>
        <w:pStyle w:val="BookText"/>
      </w:pPr>
      <w:r>
        <w:rPr>
          <w:rFonts w:ascii="IRNazanin" w:hAnsi="IRNazanin" w:eastAsia="IRNazanin" w:cs="IRNazanin"/>
          <w:lang w:bidi="fa-IR"/>
          <w:color w:val="111111"/>
          <w:sz w:val="28"/>
          <w:szCs w:val="28"/>
          <w:rtl/>
        </w:rPr>
        <w:t xml:space="preserve">ج 2، ص 27.</w:t>
      </w:r>
    </w:p>
    <w:p>
      <w:pPr>
        <w:pStyle w:val="Heading2"/>
      </w:pPr>
      <w:bookmarkStart w:id="1569" w:name="_Toc671"/>
      <w:r>
        <w:t>ابن فرحون ، عبدالله بن محمّد - 769 ه-</w:t>
      </w:r>
      <w:bookmarkEnd w:id="1569"/>
    </w:p>
    <w:p>
      <w:pPr>
        <w:pStyle w:val="BookText"/>
      </w:pPr>
      <w:r>
        <w:rPr>
          <w:rFonts w:ascii="IRNazanin" w:hAnsi="IRNazanin" w:eastAsia="IRNazanin" w:cs="IRNazanin"/>
          <w:lang w:bidi="fa-IR"/>
          <w:color w:val="111111"/>
          <w:sz w:val="28"/>
          <w:szCs w:val="28"/>
          <w:rtl/>
        </w:rPr>
        <w:t xml:space="preserve">ابن غطاس - ابن فرشته 115</w:t>
      </w:r>
    </w:p>
    <w:p>
      <w:pPr>
        <w:pStyle w:val="BookText"/>
      </w:pPr>
      <w:r>
        <w:rPr>
          <w:rFonts w:ascii="Amiri" w:hAnsi="Amiri" w:eastAsia="Amiri" w:cs="Amiri"/>
          <w:lang w:bidi="ar-SA"/>
          <w:color w:val="111111"/>
          <w:sz w:val="28"/>
          <w:szCs w:val="28"/>
          <w:rtl/>
        </w:rPr>
        <w:t xml:space="preserve">1 .شفاء الفؤاد في شرح بانت سعاد</w:t>
      </w:r>
    </w:p>
    <w:p>
      <w:pPr>
        <w:pStyle w:val="BookText"/>
      </w:pPr>
      <w:r>
        <w:rPr>
          <w:rFonts w:ascii="IRNazanin" w:hAnsi="IRNazanin" w:eastAsia="IRNazanin" w:cs="IRNazanin"/>
          <w:lang w:bidi="fa-IR"/>
          <w:color w:val="111111"/>
          <w:sz w:val="28"/>
          <w:szCs w:val="28"/>
          <w:rtl/>
        </w:rPr>
        <w:t xml:space="preserve">ج 10، ص389.</w:t>
      </w:r>
    </w:p>
    <w:p>
      <w:pPr>
        <w:pStyle w:val="BookText"/>
      </w:pPr>
      <w:r>
        <w:rPr>
          <w:rFonts w:ascii="Amiri" w:hAnsi="Amiri" w:eastAsia="Amiri" w:cs="Amiri"/>
          <w:lang w:bidi="ar-SA"/>
          <w:color w:val="111111"/>
          <w:sz w:val="28"/>
          <w:szCs w:val="28"/>
          <w:rtl/>
        </w:rPr>
        <w:t xml:space="preserve">2 .العدة في اعراب العمدة = شرح عمدة الاحكام للجماعيلي، ج 11،</w:t>
      </w:r>
    </w:p>
    <w:p>
      <w:pPr>
        <w:pStyle w:val="BookText"/>
      </w:pPr>
      <w:r>
        <w:rPr>
          <w:rFonts w:ascii="IRNazanin" w:hAnsi="IRNazanin" w:eastAsia="IRNazanin" w:cs="IRNazanin"/>
          <w:lang w:bidi="fa-IR"/>
          <w:color w:val="111111"/>
          <w:sz w:val="28"/>
          <w:szCs w:val="28"/>
          <w:rtl/>
        </w:rPr>
        <w:t xml:space="preserve">ص 55.</w:t>
      </w:r>
    </w:p>
    <w:p>
      <w:pPr>
        <w:pStyle w:val="Heading2"/>
      </w:pPr>
      <w:bookmarkStart w:id="1570" w:name="_Toc672"/>
      <w:r>
        <w:t>ابن فرحون ، علي بن محمّد، 698-746 ه-</w:t>
      </w:r>
      <w:bookmarkEnd w:id="1570"/>
    </w:p>
    <w:p>
      <w:pPr>
        <w:pStyle w:val="BookText"/>
      </w:pPr>
      <w:r>
        <w:rPr>
          <w:rFonts w:ascii="Amiri" w:hAnsi="Amiri" w:eastAsia="Amiri" w:cs="Amiri"/>
          <w:lang w:bidi="ar-SA"/>
          <w:color w:val="111111"/>
          <w:sz w:val="28"/>
          <w:szCs w:val="28"/>
          <w:rtl/>
        </w:rPr>
        <w:t xml:space="preserve">نزهة النظر و نخبة الفكر، ج 16،</w:t>
      </w:r>
    </w:p>
    <w:p>
      <w:pPr>
        <w:pStyle w:val="BookText"/>
      </w:pPr>
      <w:r>
        <w:rPr>
          <w:rFonts w:ascii="IRNazanin" w:hAnsi="IRNazanin" w:eastAsia="IRNazanin" w:cs="IRNazanin"/>
          <w:lang w:bidi="fa-IR"/>
          <w:color w:val="111111"/>
          <w:sz w:val="28"/>
          <w:szCs w:val="28"/>
          <w:rtl/>
        </w:rPr>
        <w:t xml:space="preserve">ص 257 .</w:t>
      </w:r>
    </w:p>
    <w:p>
      <w:pPr>
        <w:pStyle w:val="Heading2"/>
      </w:pPr>
      <w:bookmarkStart w:id="1571" w:name="_Toc673"/>
      <w:r>
        <w:t>ابن فرشته ، عبداللطيف بن عبدالعزيز</w:t>
      </w:r>
      <w:bookmarkEnd w:id="1571"/>
    </w:p>
    <w:p>
      <w:pPr>
        <w:pStyle w:val="BookText"/>
      </w:pPr>
      <w:r>
        <w:rPr>
          <w:rFonts w:ascii="IRNazanin" w:hAnsi="IRNazanin" w:eastAsia="IRNazanin" w:cs="IRNazanin"/>
          <w:lang w:bidi="fa-IR"/>
          <w:color w:val="111111"/>
          <w:sz w:val="28"/>
          <w:szCs w:val="28"/>
          <w:rtl/>
        </w:rPr>
        <w:t xml:space="preserve">854؟ ه-</w:t>
      </w:r>
    </w:p>
    <w:p>
      <w:pPr>
        <w:pStyle w:val="BookText"/>
      </w:pPr>
      <w:r>
        <w:rPr>
          <w:rFonts w:ascii="Amiri" w:hAnsi="Amiri" w:eastAsia="Amiri" w:cs="Amiri"/>
          <w:lang w:bidi="ar-SA"/>
          <w:color w:val="111111"/>
          <w:sz w:val="28"/>
          <w:szCs w:val="28"/>
          <w:rtl/>
        </w:rPr>
        <w:t xml:space="preserve">1 .بدر الواعظين و ذخر العابدين</w:t>
      </w:r>
    </w:p>
    <w:p>
      <w:pPr>
        <w:pStyle w:val="BookText"/>
      </w:pPr>
      <w:r>
        <w:rPr>
          <w:rFonts w:ascii="IRNazanin" w:hAnsi="IRNazanin" w:eastAsia="IRNazanin" w:cs="IRNazanin"/>
          <w:lang w:bidi="fa-IR"/>
          <w:color w:val="111111"/>
          <w:sz w:val="28"/>
          <w:szCs w:val="28"/>
          <w:rtl/>
        </w:rPr>
        <w:t xml:space="preserve">ج 3، ص 269.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المتقين في مصنوعات رب</w:t>
      </w:r>
    </w:p>
    <w:p>
      <w:pPr>
        <w:pStyle w:val="BookText"/>
      </w:pPr>
      <w:r>
        <w:rPr>
          <w:rFonts w:ascii="Amiri" w:hAnsi="Amiri" w:eastAsia="Amiri" w:cs="Amiri"/>
          <w:lang w:bidi="ar-SA"/>
          <w:color w:val="111111"/>
          <w:sz w:val="28"/>
          <w:szCs w:val="28"/>
          <w:rtl/>
        </w:rPr>
        <w:t xml:space="preserve">العالمين، ج8، ص 453.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تحفة الملوك والسلاطين، ج9،</w:t>
      </w:r>
    </w:p>
    <w:p>
      <w:pPr>
        <w:pStyle w:val="BookText"/>
      </w:pPr>
      <w:r>
        <w:rPr>
          <w:rFonts w:ascii="IRNazanin" w:hAnsi="IRNazanin" w:eastAsia="IRNazanin" w:cs="IRNazanin"/>
          <w:lang w:bidi="fa-IR"/>
          <w:color w:val="111111"/>
          <w:sz w:val="28"/>
          <w:szCs w:val="28"/>
          <w:rtl/>
        </w:rPr>
        <w:t xml:space="preserve">ص321.</w:t>
      </w:r>
    </w:p>
    <w:p>
      <w:pPr>
        <w:pStyle w:val="BookText"/>
      </w:pPr>
      <w:r>
        <w:rPr>
          <w:rFonts w:ascii="Amiri" w:hAnsi="Amiri" w:eastAsia="Amiri" w:cs="Amiri"/>
          <w:lang w:bidi="ar-SA"/>
          <w:color w:val="111111"/>
          <w:sz w:val="28"/>
          <w:szCs w:val="28"/>
          <w:rtl/>
        </w:rPr>
        <w:t xml:space="preserve">4 .شرح مجمع البحرين و ملتقى</w:t>
      </w:r>
    </w:p>
    <w:p>
      <w:pPr>
        <w:pStyle w:val="BookText"/>
      </w:pPr>
      <w:r>
        <w:rPr>
          <w:rFonts w:ascii="Amiri" w:hAnsi="Amiri" w:eastAsia="Amiri" w:cs="Amiri"/>
          <w:lang w:bidi="ar-SA"/>
          <w:color w:val="111111"/>
          <w:sz w:val="28"/>
          <w:szCs w:val="28"/>
          <w:rtl/>
        </w:rPr>
        <w:t xml:space="preserve">النهرين، ج 10، ص98.</w:t>
      </w:r>
    </w:p>
    <w:p>
      <w:pPr>
        <w:pStyle w:val="BookText"/>
      </w:pPr>
      <w:r>
        <w:rPr>
          <w:rFonts w:ascii="IRNazanin" w:hAnsi="IRNazanin" w:eastAsia="IRNazanin" w:cs="IRNazanin"/>
          <w:lang w:bidi="fa-IR"/>
          <w:color w:val="111111"/>
          <w:sz w:val="28"/>
          <w:szCs w:val="28"/>
          <w:rtl/>
        </w:rPr>
        <w:t xml:space="preserve">5 .شرح منار الانوار، ج 10، ص230.</w:t>
      </w:r>
    </w:p>
    <w:p>
      <w:pPr>
        <w:pStyle w:val="BookText"/>
      </w:pPr>
      <w:r>
        <w:rPr>
          <w:rFonts w:ascii="Amiri" w:hAnsi="Amiri" w:eastAsia="Amiri" w:cs="Amiri"/>
          <w:lang w:bidi="ar-SA"/>
          <w:color w:val="111111"/>
          <w:sz w:val="28"/>
          <w:szCs w:val="28"/>
          <w:rtl/>
        </w:rPr>
        <w:t xml:space="preserve">6 .شرح وقاية الرواية في مسائل</w:t>
      </w:r>
    </w:p>
    <w:p>
      <w:pPr>
        <w:pStyle w:val="BookText"/>
      </w:pPr>
      <w:r>
        <w:rPr>
          <w:rFonts w:ascii="Amiri" w:hAnsi="Amiri" w:eastAsia="Amiri" w:cs="Amiri"/>
          <w:lang w:bidi="ar-SA"/>
          <w:color w:val="111111"/>
          <w:sz w:val="28"/>
          <w:szCs w:val="28"/>
          <w:rtl/>
        </w:rPr>
        <w:t xml:space="preserve">الهداية، ج 10، ص 340.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الفقه الحنفي (رسالة في)، ج12،</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Amiri" w:hAnsi="Amiri" w:eastAsia="Amiri" w:cs="Amiri"/>
          <w:lang w:bidi="ar-SA"/>
          <w:color w:val="111111"/>
          <w:sz w:val="28"/>
          <w:szCs w:val="28"/>
          <w:rtl/>
        </w:rPr>
        <w:t xml:space="preserve">8.لغت فرشته اوغلي، ج13، ص593.</w:t>
      </w:r>
    </w:p>
    <w:p>
      <w:pPr>
        <w:pStyle w:val="BookText"/>
      </w:pPr>
      <w:r>
        <w:rPr>
          <w:rFonts w:ascii="Amiri" w:hAnsi="Amiri" w:eastAsia="Amiri" w:cs="Amiri"/>
          <w:lang w:bidi="ar-SA"/>
          <w:color w:val="111111"/>
          <w:sz w:val="28"/>
          <w:szCs w:val="28"/>
          <w:rtl/>
        </w:rPr>
        <w:t xml:space="preserve">9 .مبارق الازهار في شرح مشارق</w:t>
      </w:r>
    </w:p>
    <w:p>
      <w:pPr>
        <w:pStyle w:val="BookText"/>
      </w:pPr>
      <w:r>
        <w:rPr>
          <w:rFonts w:ascii="IRNazanin" w:hAnsi="IRNazanin" w:eastAsia="IRNazanin" w:cs="IRNazanin"/>
          <w:lang w:bidi="fa-IR"/>
          <w:color w:val="111111"/>
          <w:sz w:val="28"/>
          <w:szCs w:val="28"/>
          <w:rtl/>
        </w:rPr>
        <w:t xml:space="preserve">الانوار، ج13، ص 725.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هدية الصعلوك شرح تحفة الملوك</w:t>
      </w:r>
    </w:p>
    <w:p>
      <w:pPr>
        <w:pStyle w:val="BookText"/>
      </w:pPr>
      <w:r>
        <w:rPr>
          <w:rFonts w:ascii="IRNazanin" w:hAnsi="IRNazanin" w:eastAsia="IRNazanin" w:cs="IRNazanin"/>
          <w:lang w:bidi="fa-IR"/>
          <w:color w:val="111111"/>
          <w:sz w:val="28"/>
          <w:szCs w:val="28"/>
          <w:rtl/>
        </w:rPr>
        <w:t xml:space="preserve">ج 16، ص 641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7742_69554"/>
    <w:bookmarkEnd w:id="100"/>
    <w:p>
      <w:pPr>
        <w:pStyle w:val="Heading2"/>
      </w:pPr>
      <w:bookmarkStart w:id="1572" w:name="_Toc674"/>
      <w:r>
        <w:t>ابن فرفور ، محمّد بن احمد، 894-937ه-</w:t>
      </w:r>
      <w:bookmarkEnd w:id="1572"/>
    </w:p>
    <w:p>
      <w:pPr>
        <w:pStyle w:val="BookText"/>
      </w:pPr>
      <w:r>
        <w:rPr>
          <w:rFonts w:ascii="IRNazanin" w:hAnsi="IRNazanin" w:eastAsia="IRNazanin" w:cs="IRNazanin"/>
          <w:lang w:bidi="fa-IR"/>
          <w:color w:val="111111"/>
          <w:sz w:val="28"/>
          <w:szCs w:val="28"/>
          <w:rtl/>
        </w:rPr>
        <w:t xml:space="preserve">القصر الثبوتي المشهور لسكني ولد شیخ الاسلام ابن فرفور، ج 12، ص 621.</w:t>
      </w:r>
    </w:p>
    <w:p>
      <w:pPr>
        <w:pStyle w:val="BookText"/>
      </w:pPr>
      <w:r>
        <w:rPr>
          <w:rFonts w:ascii="Amiri" w:hAnsi="Amiri" w:eastAsia="Amiri" w:cs="Amiri"/>
          <w:lang w:bidi="ar-SA"/>
          <w:color w:val="111111"/>
          <w:sz w:val="28"/>
          <w:szCs w:val="28"/>
          <w:rtl/>
        </w:rPr>
        <w:t xml:space="preserve">ابن فرقد شيباني ، محمّد بن</w:t>
      </w:r>
    </w:p>
    <w:p>
      <w:pPr>
        <w:pStyle w:val="BookText"/>
      </w:pPr>
      <w:r>
        <w:rPr>
          <w:rFonts w:ascii="Amiri" w:hAnsi="Amiri" w:eastAsia="Amiri" w:cs="Amiri"/>
          <w:lang w:bidi="ar-SA"/>
          <w:color w:val="111111"/>
          <w:sz w:val="28"/>
          <w:szCs w:val="28"/>
          <w:rtl/>
        </w:rPr>
        <w:t xml:space="preserve">حسن -شيباني ، محمّد بن حسن</w:t>
      </w:r>
    </w:p>
    <w:p>
      <w:pPr>
        <w:pStyle w:val="BookText"/>
      </w:pPr>
      <w:r>
        <w:rPr>
          <w:rFonts w:ascii="IRNazanin" w:hAnsi="IRNazanin" w:eastAsia="IRNazanin" w:cs="IRNazanin"/>
          <w:lang w:bidi="fa-IR"/>
          <w:color w:val="111111"/>
          <w:sz w:val="28"/>
          <w:szCs w:val="28"/>
          <w:rtl/>
        </w:rPr>
        <w:t xml:space="preserve">ابن فرکاح ، ابراهیم بن عبد الرحمن- فزاري، ابراهيم بن عبدالرحمن</w:t>
      </w:r>
    </w:p>
    <w:p>
      <w:pPr>
        <w:pStyle w:val="BookText"/>
      </w:pPr>
      <w:r>
        <w:rPr>
          <w:rFonts w:ascii="IRNazanin" w:hAnsi="IRNazanin" w:eastAsia="IRNazanin" w:cs="IRNazanin"/>
          <w:lang w:bidi="fa-IR"/>
          <w:color w:val="111111"/>
          <w:sz w:val="28"/>
          <w:szCs w:val="28"/>
          <w:rtl/>
        </w:rPr>
        <w:t xml:space="preserve">ابن فرکاح ، عبدالرحمن بن</w:t>
      </w:r>
    </w:p>
    <w:p>
      <w:pPr>
        <w:pStyle w:val="BookText"/>
      </w:pPr>
      <w:r>
        <w:rPr>
          <w:rFonts w:ascii="Amiri" w:hAnsi="Amiri" w:eastAsia="Amiri" w:cs="Amiri"/>
          <w:lang w:bidi="ar-SA"/>
          <w:color w:val="111111"/>
          <w:sz w:val="28"/>
          <w:szCs w:val="28"/>
          <w:rtl/>
        </w:rPr>
        <w:t xml:space="preserve">ابراهيم -فركاح ، عبدالرحمن بن ابراهيم</w:t>
      </w:r>
    </w:p>
    <w:p>
      <w:pPr>
        <w:pStyle w:val="BookText"/>
      </w:pPr>
      <w:r>
        <w:rPr>
          <w:rFonts w:ascii="Amiri" w:hAnsi="Amiri" w:eastAsia="Amiri" w:cs="Amiri"/>
          <w:lang w:bidi="ar-SA"/>
          <w:color w:val="111111"/>
          <w:sz w:val="28"/>
          <w:szCs w:val="28"/>
          <w:rtl/>
        </w:rPr>
        <w:t xml:space="preserve">ابن فرهون ، ابراهيم بن علي- ابن فرحون</w:t>
      </w:r>
    </w:p>
    <w:p>
      <w:pPr>
        <w:pStyle w:val="BookText"/>
      </w:pPr>
      <w:r>
        <w:rPr>
          <w:rFonts w:ascii="Amiri" w:hAnsi="Amiri" w:eastAsia="Amiri" w:cs="Amiri"/>
          <w:lang w:bidi="ar-SA"/>
          <w:color w:val="111111"/>
          <w:sz w:val="28"/>
          <w:szCs w:val="28"/>
          <w:rtl/>
        </w:rPr>
        <w:t xml:space="preserve">، ابراهيم بن علي</w:t>
      </w:r>
    </w:p>
    <w:p>
      <w:pPr>
        <w:pStyle w:val="Heading2"/>
      </w:pPr>
      <w:bookmarkStart w:id="1573" w:name="_Toc675"/>
      <w:r>
        <w:t>ابن فروخ ، محمّد بن عبدالعظیم قرن</w:t>
      </w:r>
      <w:bookmarkEnd w:id="1573"/>
    </w:p>
    <w:p>
      <w:pPr>
        <w:pStyle w:val="BookText"/>
      </w:pPr>
      <w:r>
        <w:rPr>
          <w:rFonts w:ascii="IRNazanin" w:hAnsi="IRNazanin" w:eastAsia="IRNazanin" w:cs="IRNazanin"/>
          <w:lang w:bidi="fa-IR"/>
          <w:color w:val="111111"/>
          <w:sz w:val="28"/>
          <w:szCs w:val="28"/>
          <w:rtl/>
        </w:rPr>
        <w:t xml:space="preserve">11ه-</w:t>
      </w:r>
    </w:p>
    <w:p>
      <w:pPr>
        <w:pStyle w:val="BookText"/>
      </w:pPr>
      <w:r>
        <w:rPr>
          <w:rFonts w:ascii="Amiri" w:hAnsi="Amiri" w:eastAsia="Amiri" w:cs="Amiri"/>
          <w:lang w:bidi="ar-SA"/>
          <w:color w:val="111111"/>
          <w:sz w:val="28"/>
          <w:szCs w:val="28"/>
          <w:rtl/>
        </w:rPr>
        <w:t xml:space="preserve">1 .تعليقة على بعض مسائل الاجتهاد 340 ه-</w:t>
      </w:r>
    </w:p>
    <w:p>
      <w:pPr>
        <w:pStyle w:val="BookText"/>
      </w:pPr>
      <w:r>
        <w:rPr>
          <w:rFonts w:ascii="Amiri" w:hAnsi="Amiri" w:eastAsia="Amiri" w:cs="Amiri"/>
          <w:lang w:bidi="ar-SA"/>
          <w:color w:val="111111"/>
          <w:sz w:val="28"/>
          <w:szCs w:val="28"/>
          <w:rtl/>
        </w:rPr>
        <w:t xml:space="preserve">و التقليد، ج4، ص 513</w:t>
      </w:r>
    </w:p>
    <w:p>
      <w:pPr>
        <w:pStyle w:val="BookText"/>
      </w:pPr>
      <w:r>
        <w:rPr>
          <w:rFonts w:ascii="Amiri" w:hAnsi="Amiri" w:eastAsia="Amiri" w:cs="Amiri"/>
          <w:lang w:bidi="ar-SA"/>
          <w:color w:val="111111"/>
          <w:sz w:val="28"/>
          <w:szCs w:val="28"/>
          <w:rtl/>
        </w:rPr>
        <w:t xml:space="preserve">2 .القول السديد في بعض مسائل الاجتهاد والتقليد، ج 12، ص 846.</w:t>
      </w:r>
    </w:p>
    <w:p>
      <w:pPr>
        <w:pStyle w:val="Heading2"/>
      </w:pPr>
      <w:bookmarkStart w:id="1574" w:name="_Toc676"/>
      <w:r>
        <w:t>ابن فصيح عبدالله بن احمد، 702-745ه-</w:t>
      </w:r>
      <w:bookmarkEnd w:id="1574"/>
    </w:p>
    <w:p>
      <w:pPr>
        <w:pStyle w:val="BookText"/>
      </w:pPr>
      <w:r>
        <w:rPr>
          <w:rFonts w:ascii="Amiri" w:hAnsi="Amiri" w:eastAsia="Amiri" w:cs="Amiri"/>
          <w:lang w:bidi="ar-SA"/>
          <w:color w:val="111111"/>
          <w:sz w:val="28"/>
          <w:szCs w:val="28"/>
          <w:rtl/>
        </w:rPr>
        <w:t xml:space="preserve">1 .شرح عمدة القراء في الفرق بين</w:t>
      </w:r>
    </w:p>
    <w:p>
      <w:pPr>
        <w:pStyle w:val="BookText"/>
      </w:pPr>
      <w:r>
        <w:rPr>
          <w:rFonts w:ascii="IRNazanin" w:hAnsi="IRNazanin" w:eastAsia="IRNazanin" w:cs="IRNazanin"/>
          <w:lang w:bidi="fa-IR"/>
          <w:color w:val="111111"/>
          <w:sz w:val="28"/>
          <w:szCs w:val="28"/>
          <w:rtl/>
        </w:rPr>
        <w:t xml:space="preserve">ظاءات القرآن و ضاداته، ج 9،</w:t>
      </w:r>
    </w:p>
    <w:p>
      <w:pPr>
        <w:pStyle w:val="BookText"/>
      </w:pPr>
      <w:r>
        <w:rPr>
          <w:rFonts w:ascii="IRNazanin" w:hAnsi="IRNazanin" w:eastAsia="IRNazanin" w:cs="IRNazanin"/>
          <w:lang w:bidi="fa-IR"/>
          <w:color w:val="111111"/>
          <w:sz w:val="28"/>
          <w:szCs w:val="28"/>
          <w:rtl/>
        </w:rPr>
        <w:t xml:space="preserve">ص 751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عمدة القراء و عدة الاقراء، ج 11،</w:t>
      </w:r>
    </w:p>
    <w:p>
      <w:pPr>
        <w:pStyle w:val="BookText"/>
      </w:pPr>
      <w:r>
        <w:rPr>
          <w:rFonts w:ascii="IRNazanin" w:hAnsi="IRNazanin" w:eastAsia="IRNazanin" w:cs="IRNazanin"/>
          <w:lang w:bidi="fa-IR"/>
          <w:color w:val="111111"/>
          <w:sz w:val="28"/>
          <w:szCs w:val="28"/>
          <w:rtl/>
        </w:rPr>
        <w:t xml:space="preserve">ص 306.</w:t>
      </w:r>
    </w:p>
    <w:p>
      <w:pPr>
        <w:pStyle w:val="Heading2"/>
      </w:pPr>
      <w:bookmarkStart w:id="1575" w:name="_Toc677"/>
      <w:r>
        <w:t>ابن فضل الله عمري ، احمد بن يحيى 700 ؟- 749 ه-</w:t>
      </w:r>
      <w:bookmarkEnd w:id="1575"/>
    </w:p>
    <w:p>
      <w:pPr>
        <w:pStyle w:val="BookText"/>
      </w:pPr>
      <w:r>
        <w:rPr>
          <w:rFonts w:ascii="Amiri" w:hAnsi="Amiri" w:eastAsia="Amiri" w:cs="Amiri"/>
          <w:lang w:bidi="ar-SA"/>
          <w:color w:val="111111"/>
          <w:sz w:val="28"/>
          <w:szCs w:val="28"/>
          <w:rtl/>
        </w:rPr>
        <w:t xml:space="preserve">1 .مثير العزم إلى متابعة اولي العزم</w:t>
      </w:r>
    </w:p>
    <w:p>
      <w:pPr>
        <w:pStyle w:val="BookText"/>
      </w:pPr>
      <w:r>
        <w:rPr>
          <w:rFonts w:ascii="IRNazanin" w:hAnsi="IRNazanin" w:eastAsia="IRNazanin" w:cs="IRNazanin"/>
          <w:lang w:bidi="fa-IR"/>
          <w:color w:val="111111"/>
          <w:sz w:val="28"/>
          <w:szCs w:val="28"/>
          <w:rtl/>
        </w:rPr>
        <w:t xml:space="preserve">ج 13، ص 778</w:t>
      </w:r>
    </w:p>
    <w:p>
      <w:pPr>
        <w:pStyle w:val="BookText"/>
      </w:pPr>
      <w:r>
        <w:rPr>
          <w:rFonts w:ascii="Amiri" w:hAnsi="Amiri" w:eastAsia="Amiri" w:cs="Amiri"/>
          <w:lang w:bidi="ar-SA"/>
          <w:color w:val="111111"/>
          <w:sz w:val="28"/>
          <w:szCs w:val="28"/>
          <w:rtl/>
        </w:rPr>
        <w:t xml:space="preserve">2 .مسالك الأبصار في ممالك الامصار،</w:t>
      </w:r>
    </w:p>
    <w:p>
      <w:pPr>
        <w:pStyle w:val="BookText"/>
      </w:pPr>
      <w:r>
        <w:rPr>
          <w:rFonts w:ascii="IRNazanin" w:hAnsi="IRNazanin" w:eastAsia="IRNazanin" w:cs="IRNazanin"/>
          <w:lang w:bidi="fa-IR"/>
          <w:color w:val="111111"/>
          <w:sz w:val="28"/>
          <w:szCs w:val="28"/>
          <w:rtl/>
        </w:rPr>
        <w:t xml:space="preserve">ج 14، ص 507.</w:t>
      </w:r>
    </w:p>
    <w:p>
      <w:pPr>
        <w:pStyle w:val="Heading2"/>
      </w:pPr>
      <w:bookmarkStart w:id="1576" w:name="_Toc678"/>
      <w:r>
        <w:t>ابن فقيه ، احمد بن محمّد - 365 ؟ ه-</w:t>
      </w:r>
      <w:bookmarkEnd w:id="1576"/>
    </w:p>
    <w:p>
      <w:pPr>
        <w:pStyle w:val="BookText"/>
      </w:pPr>
      <w:r>
        <w:rPr>
          <w:rFonts w:ascii="IRNazanin" w:hAnsi="IRNazanin" w:eastAsia="IRNazanin" w:cs="IRNazanin"/>
          <w:lang w:bidi="fa-IR"/>
          <w:color w:val="111111"/>
          <w:sz w:val="28"/>
          <w:szCs w:val="28"/>
          <w:rtl/>
        </w:rPr>
        <w:t xml:space="preserve">اخبار البلدان، ج1، ص 526.</w:t>
      </w:r>
    </w:p>
    <w:p>
      <w:pPr>
        <w:pStyle w:val="Heading2"/>
      </w:pPr>
      <w:bookmarkStart w:id="1577" w:name="_Toc679"/>
      <w:r>
        <w:t>ابن فقيه عبدالصمد بن حسين قرن 12ه-</w:t>
      </w:r>
      <w:bookmarkEnd w:id="1577"/>
    </w:p>
    <w:p>
      <w:pPr>
        <w:pStyle w:val="BookText"/>
      </w:pPr>
      <w:r>
        <w:rPr>
          <w:rFonts w:ascii="Amiri" w:hAnsi="Amiri" w:eastAsia="Amiri" w:cs="Amiri"/>
          <w:lang w:bidi="ar-SA"/>
          <w:color w:val="111111"/>
          <w:sz w:val="28"/>
          <w:szCs w:val="28"/>
          <w:rtl/>
        </w:rPr>
        <w:t xml:space="preserve">أنيس المتقين، ج 3، ص 42.</w:t>
      </w:r>
    </w:p>
    <w:p>
      <w:pPr>
        <w:pStyle w:val="BookText"/>
      </w:pPr>
      <w:r>
        <w:rPr>
          <w:rFonts w:ascii="Amiri" w:hAnsi="Amiri" w:eastAsia="Amiri" w:cs="Amiri"/>
          <w:lang w:bidi="ar-SA"/>
          <w:color w:val="111111"/>
          <w:sz w:val="28"/>
          <w:szCs w:val="28"/>
          <w:rtl/>
        </w:rPr>
        <w:t xml:space="preserve">ابن فقيه فصه ، عبدالباقي بن عبد الباقي-ابن بدر ، عبدالباقي بن عبد الباقي</w:t>
      </w:r>
    </w:p>
    <w:p>
      <w:pPr>
        <w:pStyle w:val="Heading2"/>
      </w:pPr>
      <w:bookmarkStart w:id="1578" w:name="_Toc680"/>
      <w:r>
        <w:t>ابن فقيه همداني ، احمد بن محمّد -</w:t>
      </w:r>
      <w:bookmarkEnd w:id="1578"/>
    </w:p>
    <w:p>
      <w:pPr>
        <w:pStyle w:val="BookText"/>
      </w:pPr>
      <w:r>
        <w:rPr>
          <w:rFonts w:ascii="Amiri" w:hAnsi="Amiri" w:eastAsia="Amiri" w:cs="Amiri"/>
          <w:lang w:bidi="ar-SA"/>
          <w:color w:val="111111"/>
          <w:sz w:val="28"/>
          <w:szCs w:val="28"/>
          <w:rtl/>
        </w:rPr>
        <w:t xml:space="preserve">البلدان = كتاب البلدان، ج 3، ص390.</w:t>
      </w:r>
    </w:p>
    <w:p>
      <w:pPr>
        <w:pStyle w:val="Heading2"/>
      </w:pPr>
      <w:bookmarkStart w:id="1579" w:name="_Toc681"/>
      <w:r>
        <w:t>ابن فلاح ، منصور بن فلاح - 680 ه-</w:t>
      </w:r>
      <w:bookmarkEnd w:id="1579"/>
    </w:p>
    <w:p>
      <w:pPr>
        <w:pStyle w:val="BookText"/>
      </w:pPr>
      <w:r>
        <w:rPr>
          <w:rFonts w:ascii="Amiri" w:hAnsi="Amiri" w:eastAsia="Amiri" w:cs="Amiri"/>
          <w:lang w:bidi="ar-SA"/>
          <w:color w:val="111111"/>
          <w:sz w:val="28"/>
          <w:szCs w:val="28"/>
          <w:rtl/>
        </w:rPr>
        <w:t xml:space="preserve">المغني في علمي النحو والتصريف</w:t>
      </w:r>
    </w:p>
    <w:p>
      <w:pPr>
        <w:pStyle w:val="BookText"/>
      </w:pPr>
      <w:r>
        <w:rPr>
          <w:rFonts w:ascii="IRNazanin" w:hAnsi="IRNazanin" w:eastAsia="IRNazanin" w:cs="IRNazanin"/>
          <w:lang w:bidi="fa-IR"/>
          <w:color w:val="111111"/>
          <w:sz w:val="28"/>
          <w:szCs w:val="28"/>
          <w:rtl/>
        </w:rPr>
        <w:t xml:space="preserve">ج 15، ص128.</w:t>
      </w:r>
    </w:p>
    <w:p>
      <w:pPr>
        <w:pStyle w:val="BookText"/>
      </w:pPr>
      <w:r>
        <w:rPr>
          <w:rFonts w:ascii="IRNazanin" w:hAnsi="IRNazanin" w:eastAsia="IRNazanin" w:cs="IRNazanin"/>
          <w:lang w:bidi="fa-IR"/>
          <w:color w:val="111111"/>
          <w:sz w:val="28"/>
          <w:szCs w:val="28"/>
          <w:rtl/>
        </w:rPr>
        <w:t xml:space="preserve">ابن فلوس ، اسماعیل بن</w:t>
      </w:r>
    </w:p>
    <w:p>
      <w:pPr>
        <w:pStyle w:val="BookText"/>
      </w:pPr>
      <w:r>
        <w:rPr>
          <w:rFonts w:ascii="Amiri" w:hAnsi="Amiri" w:eastAsia="Amiri" w:cs="Amiri"/>
          <w:lang w:bidi="ar-SA"/>
          <w:color w:val="111111"/>
          <w:sz w:val="28"/>
          <w:szCs w:val="28"/>
          <w:rtl/>
        </w:rPr>
        <w:t xml:space="preserve">ابراهيم مارديني، اسماعيل بن ابراهيم</w:t>
      </w:r>
    </w:p>
    <w:p>
      <w:pPr>
        <w:pStyle w:val="Heading2"/>
      </w:pPr>
      <w:bookmarkStart w:id="1580" w:name="_Toc682"/>
      <w:r>
        <w:t>ابن فليته ، احمد بن علي - 731 ه-</w:t>
      </w:r>
      <w:bookmarkEnd w:id="1580"/>
    </w:p>
    <w:p>
      <w:pPr>
        <w:pStyle w:val="BookText"/>
      </w:pPr>
      <w:r>
        <w:rPr>
          <w:rFonts w:ascii="Amiri" w:hAnsi="Amiri" w:eastAsia="Amiri" w:cs="Amiri"/>
          <w:lang w:bidi="ar-SA"/>
          <w:color w:val="111111"/>
          <w:sz w:val="28"/>
          <w:szCs w:val="28"/>
          <w:rtl/>
        </w:rPr>
        <w:t xml:space="preserve">رشد اللبيب إلى معاشرة الحبيب، ج8،</w:t>
      </w:r>
    </w:p>
    <w:p>
      <w:pPr>
        <w:pStyle w:val="BookText"/>
      </w:pPr>
      <w:r>
        <w:rPr>
          <w:rFonts w:ascii="IRNazanin" w:hAnsi="IRNazanin" w:eastAsia="IRNazanin" w:cs="IRNazanin"/>
          <w:lang w:bidi="fa-IR"/>
          <w:color w:val="111111"/>
          <w:sz w:val="28"/>
          <w:szCs w:val="28"/>
          <w:rtl/>
        </w:rPr>
        <w:t xml:space="preserve">ص 309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1" w:name="pg7742_69556"/>
    <w:bookmarkEnd w:id="101"/>
    <w:p>
      <w:pPr>
        <w:pStyle w:val="Heading2"/>
      </w:pPr>
      <w:bookmarkStart w:id="1581" w:name="_Toc683"/>
      <w:r>
        <w:t>ابن فناري ، حسن بن محمّد شاه 840 -</w:t>
      </w:r>
      <w:bookmarkEnd w:id="1581"/>
    </w:p>
    <w:p>
      <w:pPr>
        <w:pStyle w:val="BookText"/>
      </w:pPr>
      <w:r>
        <w:rPr>
          <w:rFonts w:ascii="IRNazanin" w:hAnsi="IRNazanin" w:eastAsia="IRNazanin" w:cs="IRNazanin"/>
          <w:lang w:bidi="fa-IR"/>
          <w:color w:val="111111"/>
          <w:sz w:val="28"/>
          <w:szCs w:val="28"/>
          <w:rtl/>
        </w:rPr>
        <w:t xml:space="preserve">886 ه-</w:t>
      </w:r>
    </w:p>
    <w:p>
      <w:pPr>
        <w:pStyle w:val="BookText"/>
      </w:pPr>
      <w:r>
        <w:rPr>
          <w:rFonts w:ascii="Amiri" w:hAnsi="Amiri" w:eastAsia="Amiri" w:cs="Amiri"/>
          <w:lang w:bidi="ar-SA"/>
          <w:color w:val="111111"/>
          <w:sz w:val="28"/>
          <w:szCs w:val="28"/>
          <w:rtl/>
        </w:rPr>
        <w:t xml:space="preserve">1 .حاشية التلويح إلى كشف حقائق</w:t>
      </w:r>
    </w:p>
    <w:p>
      <w:pPr>
        <w:pStyle w:val="BookText"/>
      </w:pPr>
      <w:r>
        <w:rPr>
          <w:rFonts w:ascii="Amiri" w:hAnsi="Amiri" w:eastAsia="Amiri" w:cs="Amiri"/>
          <w:lang w:bidi="ar-SA"/>
          <w:color w:val="111111"/>
          <w:sz w:val="28"/>
          <w:szCs w:val="28"/>
          <w:rtl/>
        </w:rPr>
        <w:t xml:space="preserve">التنقيح = التصريح في شرح التلويح، ج 5، ص 741</w:t>
      </w:r>
    </w:p>
    <w:p>
      <w:pPr>
        <w:pStyle w:val="BookText"/>
      </w:pPr>
      <w:r>
        <w:rPr>
          <w:rFonts w:ascii="Amiri" w:hAnsi="Amiri" w:eastAsia="Amiri" w:cs="Amiri"/>
          <w:lang w:bidi="ar-SA"/>
          <w:color w:val="111111"/>
          <w:sz w:val="28"/>
          <w:szCs w:val="28"/>
          <w:rtl/>
        </w:rPr>
        <w:t xml:space="preserve">2 .حاشية المطول = حاشية شرح تلخيص المفتاح، ج6، ص 377.</w:t>
      </w:r>
    </w:p>
    <w:p>
      <w:pPr>
        <w:pStyle w:val="BookText"/>
      </w:pPr>
      <w:r>
        <w:rPr>
          <w:rFonts w:ascii="Amiri" w:hAnsi="Amiri" w:eastAsia="Amiri" w:cs="Amiri"/>
          <w:lang w:bidi="ar-SA"/>
          <w:color w:val="111111"/>
          <w:sz w:val="28"/>
          <w:szCs w:val="28"/>
          <w:rtl/>
        </w:rPr>
        <w:t xml:space="preserve">3 .حاشية حاشية الخيالي على شرح</w:t>
      </w:r>
    </w:p>
    <w:p>
      <w:pPr>
        <w:pStyle w:val="BookText"/>
      </w:pPr>
      <w:r>
        <w:rPr>
          <w:rFonts w:ascii="Amiri" w:hAnsi="Amiri" w:eastAsia="Amiri" w:cs="Amiri"/>
          <w:lang w:bidi="ar-SA"/>
          <w:color w:val="111111"/>
          <w:sz w:val="28"/>
          <w:szCs w:val="28"/>
          <w:rtl/>
        </w:rPr>
        <w:t xml:space="preserve">العقائد النسفية، ج 5، ص 804.</w:t>
      </w:r>
    </w:p>
    <w:p>
      <w:pPr>
        <w:pStyle w:val="BookText"/>
      </w:pPr>
      <w:r>
        <w:rPr>
          <w:rFonts w:ascii="Amiri" w:hAnsi="Amiri" w:eastAsia="Amiri" w:cs="Amiri"/>
          <w:lang w:bidi="ar-SA"/>
          <w:color w:val="111111"/>
          <w:sz w:val="28"/>
          <w:szCs w:val="28"/>
          <w:rtl/>
        </w:rPr>
        <w:t xml:space="preserve">4 .حاشية شرح المواقف، ج6، ص198.</w:t>
      </w:r>
    </w:p>
    <w:p>
      <w:pPr>
        <w:pStyle w:val="BookText"/>
      </w:pPr>
      <w:r>
        <w:rPr>
          <w:rFonts w:ascii="Amiri" w:hAnsi="Amiri" w:eastAsia="Amiri" w:cs="Amiri"/>
          <w:lang w:bidi="ar-SA"/>
          <w:color w:val="111111"/>
          <w:sz w:val="28"/>
          <w:szCs w:val="28"/>
          <w:rtl/>
        </w:rPr>
        <w:t xml:space="preserve">5 .حاشية مختصر المعاني = حاشية</w:t>
      </w:r>
    </w:p>
    <w:p>
      <w:pPr>
        <w:pStyle w:val="BookText"/>
      </w:pPr>
      <w:r>
        <w:rPr>
          <w:rFonts w:ascii="Amiri" w:hAnsi="Amiri" w:eastAsia="Amiri" w:cs="Amiri"/>
          <w:lang w:bidi="ar-SA"/>
          <w:color w:val="111111"/>
          <w:sz w:val="28"/>
          <w:szCs w:val="28"/>
          <w:rtl/>
        </w:rPr>
        <w:t xml:space="preserve">مختصر تلخيص المفتاح، ج 6،</w:t>
      </w:r>
    </w:p>
    <w:p>
      <w:pPr>
        <w:pStyle w:val="BookText"/>
      </w:pPr>
      <w:r>
        <w:rPr>
          <w:rFonts w:ascii="IRNazanin" w:hAnsi="IRNazanin" w:eastAsia="IRNazanin" w:cs="IRNazanin"/>
          <w:lang w:bidi="fa-IR"/>
          <w:color w:val="111111"/>
          <w:sz w:val="28"/>
          <w:szCs w:val="28"/>
          <w:rtl/>
        </w:rPr>
        <w:t xml:space="preserve">ص 356 .</w:t>
      </w:r>
    </w:p>
    <w:p>
      <w:pPr>
        <w:pStyle w:val="BookText"/>
      </w:pPr>
      <w:r>
        <w:rPr>
          <w:rFonts w:ascii="Amiri" w:hAnsi="Amiri" w:eastAsia="Amiri" w:cs="Amiri"/>
          <w:lang w:bidi="ar-SA"/>
          <w:color w:val="111111"/>
          <w:sz w:val="28"/>
          <w:szCs w:val="28"/>
          <w:rtl/>
        </w:rPr>
        <w:t xml:space="preserve">ابن فناري ، محمّد بن حمزه- فناري ،</w:t>
      </w:r>
    </w:p>
    <w:p>
      <w:pPr>
        <w:pStyle w:val="BookText"/>
      </w:pPr>
      <w:r>
        <w:rPr>
          <w:rFonts w:ascii="IRNazanin" w:hAnsi="IRNazanin" w:eastAsia="IRNazanin" w:cs="IRNazanin"/>
          <w:lang w:bidi="fa-IR"/>
          <w:color w:val="111111"/>
          <w:sz w:val="28"/>
          <w:szCs w:val="28"/>
          <w:rtl/>
        </w:rPr>
        <w:t xml:space="preserve">محمّد بن حمزه</w:t>
      </w:r>
    </w:p>
    <w:p>
      <w:pPr>
        <w:pStyle w:val="BookText"/>
      </w:pPr>
      <w:r>
        <w:rPr>
          <w:rFonts w:ascii="IRNazanin" w:hAnsi="IRNazanin" w:eastAsia="IRNazanin" w:cs="IRNazanin"/>
          <w:lang w:bidi="fa-IR"/>
          <w:color w:val="111111"/>
          <w:sz w:val="28"/>
          <w:szCs w:val="28"/>
          <w:rtl/>
        </w:rPr>
        <w:t xml:space="preserve">ابن فندق، علي بن زيد- بيهقي ، علي بن زید</w:t>
      </w:r>
    </w:p>
    <w:p>
      <w:pPr>
        <w:pStyle w:val="BookText"/>
      </w:pPr>
      <w:r>
        <w:rPr>
          <w:rFonts w:ascii="IRNazanin" w:hAnsi="IRNazanin" w:eastAsia="IRNazanin" w:cs="IRNazanin"/>
          <w:lang w:bidi="fa-IR"/>
          <w:color w:val="111111"/>
          <w:sz w:val="28"/>
          <w:szCs w:val="28"/>
          <w:rtl/>
        </w:rPr>
        <w:t xml:space="preserve">ابن فورك ، احمد بن موسی- ابن مردویه</w:t>
      </w:r>
    </w:p>
    <w:p>
      <w:pPr>
        <w:pStyle w:val="BookText"/>
      </w:pPr>
      <w:r>
        <w:rPr>
          <w:rFonts w:ascii="IRNazanin" w:hAnsi="IRNazanin" w:eastAsia="IRNazanin" w:cs="IRNazanin"/>
          <w:lang w:bidi="fa-IR"/>
          <w:color w:val="111111"/>
          <w:sz w:val="28"/>
          <w:szCs w:val="28"/>
          <w:rtl/>
        </w:rPr>
        <w:t xml:space="preserve">، احمد بن موسى</w:t>
      </w:r>
    </w:p>
    <w:p>
      <w:pPr>
        <w:pStyle w:val="BookText"/>
      </w:pPr>
      <w:r>
        <w:rPr>
          <w:rFonts w:ascii="Amiri" w:hAnsi="Amiri" w:eastAsia="Amiri" w:cs="Amiri"/>
          <w:lang w:bidi="ar-SA"/>
          <w:color w:val="111111"/>
          <w:sz w:val="28"/>
          <w:szCs w:val="28"/>
          <w:rtl/>
        </w:rPr>
        <w:t xml:space="preserve">ابن فهد ، احمد بن فهد -احسائي ، احمد</w:t>
      </w:r>
    </w:p>
    <w:p>
      <w:pPr>
        <w:pStyle w:val="BookText"/>
      </w:pPr>
      <w:r>
        <w:rPr>
          <w:rFonts w:ascii="IRNazanin" w:hAnsi="IRNazanin" w:eastAsia="IRNazanin" w:cs="IRNazanin"/>
          <w:lang w:bidi="fa-IR"/>
          <w:color w:val="111111"/>
          <w:sz w:val="28"/>
          <w:szCs w:val="28"/>
          <w:rtl/>
        </w:rPr>
        <w:t xml:space="preserve">بن فهد</w:t>
      </w:r>
    </w:p>
    <w:p>
      <w:pPr>
        <w:pStyle w:val="Heading2"/>
      </w:pPr>
      <w:bookmarkStart w:id="1582" w:name="_Toc684"/>
      <w:r>
        <w:t>ابن فهد حلبي ، محمود بن سليمان، 644</w:t>
      </w:r>
      <w:bookmarkEnd w:id="15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725 ه-</w:t>
      </w:r>
    </w:p>
    <w:p>
      <w:pPr>
        <w:pStyle w:val="BookText"/>
      </w:pPr>
      <w:r>
        <w:rPr>
          <w:rFonts w:ascii="Amiri" w:hAnsi="Amiri" w:eastAsia="Amiri" w:cs="Amiri"/>
          <w:lang w:bidi="ar-SA"/>
          <w:color w:val="111111"/>
          <w:sz w:val="28"/>
          <w:szCs w:val="28"/>
          <w:rtl/>
        </w:rPr>
        <w:t xml:space="preserve">1 .اهني المنايح في أسنى المدايح = منظومة في مدح النبي صلى الله</w:t>
      </w:r>
    </w:p>
    <w:p>
      <w:pPr>
        <w:pStyle w:val="BookText"/>
      </w:pPr>
      <w:r>
        <w:rPr>
          <w:rFonts w:ascii="Amiri" w:hAnsi="Amiri" w:eastAsia="Amiri" w:cs="Amiri"/>
          <w:lang w:bidi="ar-SA"/>
          <w:color w:val="111111"/>
          <w:sz w:val="28"/>
          <w:szCs w:val="28"/>
          <w:rtl/>
        </w:rPr>
        <w:t xml:space="preserve">عليه و سلم، ج 3، ص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التشبيهات، ج 4 ، ص 359.</w:t>
      </w:r>
    </w:p>
    <w:p>
      <w:pPr>
        <w:pStyle w:val="BookText"/>
      </w:pPr>
      <w:r>
        <w:rPr>
          <w:rFonts w:ascii="Amiri" w:hAnsi="Amiri" w:eastAsia="Amiri" w:cs="Amiri"/>
          <w:lang w:bidi="ar-SA"/>
          <w:color w:val="111111"/>
          <w:sz w:val="28"/>
          <w:szCs w:val="28"/>
          <w:rtl/>
        </w:rPr>
        <w:t xml:space="preserve">3.حسن التوسل إلى صناعة الترسل =</w:t>
      </w:r>
    </w:p>
    <w:p>
      <w:pPr>
        <w:pStyle w:val="BookText"/>
      </w:pPr>
      <w:r>
        <w:rPr>
          <w:rFonts w:ascii="Amiri" w:hAnsi="Amiri" w:eastAsia="Amiri" w:cs="Amiri"/>
          <w:lang w:bidi="ar-SA"/>
          <w:color w:val="111111"/>
          <w:sz w:val="28"/>
          <w:szCs w:val="28"/>
          <w:rtl/>
        </w:rPr>
        <w:t xml:space="preserve">ابن فرفور - ابن فهد حلي 117</w:t>
      </w:r>
    </w:p>
    <w:p>
      <w:pPr>
        <w:pStyle w:val="BookText"/>
      </w:pPr>
      <w:r>
        <w:rPr>
          <w:rFonts w:ascii="Amiri" w:hAnsi="Amiri" w:eastAsia="Amiri" w:cs="Amiri"/>
          <w:lang w:bidi="ar-SA"/>
          <w:color w:val="111111"/>
          <w:sz w:val="28"/>
          <w:szCs w:val="28"/>
          <w:rtl/>
        </w:rPr>
        <w:t xml:space="preserve">كتاب براعة التوسل، ج 6، ص 651.</w:t>
      </w:r>
    </w:p>
    <w:p>
      <w:pPr>
        <w:pStyle w:val="BookText"/>
      </w:pPr>
      <w:r>
        <w:rPr>
          <w:rFonts w:ascii="Amiri" w:hAnsi="Amiri" w:eastAsia="Amiri" w:cs="Amiri"/>
          <w:lang w:bidi="ar-SA"/>
          <w:color w:val="111111"/>
          <w:sz w:val="28"/>
          <w:szCs w:val="28"/>
          <w:rtl/>
        </w:rPr>
        <w:t xml:space="preserve">4 الطير و الصيد و صفاتهم منها (منظوم)، ج 10، ص878.</w:t>
      </w:r>
    </w:p>
    <w:p>
      <w:pPr>
        <w:pStyle w:val="Heading2"/>
      </w:pPr>
      <w:bookmarkStart w:id="1583" w:name="_Toc685"/>
      <w:r>
        <w:t>ابن فهد حلي ، احمد بن محمّد، 757؟ -</w:t>
      </w:r>
      <w:bookmarkEnd w:id="1583"/>
    </w:p>
    <w:p>
      <w:pPr>
        <w:pStyle w:val="BookText"/>
      </w:pPr>
      <w:r>
        <w:rPr>
          <w:rFonts w:ascii="IRNazanin" w:hAnsi="IRNazanin" w:eastAsia="IRNazanin" w:cs="IRNazanin"/>
          <w:lang w:bidi="fa-IR"/>
          <w:color w:val="111111"/>
          <w:sz w:val="28"/>
          <w:szCs w:val="28"/>
          <w:rtl/>
        </w:rPr>
        <w:t xml:space="preserve">841 ه-</w:t>
      </w:r>
    </w:p>
    <w:p>
      <w:pPr>
        <w:pStyle w:val="BookText"/>
      </w:pPr>
      <w:r>
        <w:rPr>
          <w:rFonts w:ascii="Amiri" w:hAnsi="Amiri" w:eastAsia="Amiri" w:cs="Amiri"/>
          <w:lang w:bidi="ar-SA"/>
          <w:color w:val="111111"/>
          <w:sz w:val="28"/>
          <w:szCs w:val="28"/>
          <w:rtl/>
        </w:rPr>
        <w:t xml:space="preserve">1 .آداب الداعي، ج 1،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اجوبة المسائل الشامية الأولى : المسائل الشامية في فقه الامامية</w:t>
      </w:r>
    </w:p>
    <w:p>
      <w:pPr>
        <w:pStyle w:val="BookText"/>
      </w:pPr>
      <w:r>
        <w:rPr>
          <w:rFonts w:ascii="IRNazanin" w:hAnsi="IRNazanin" w:eastAsia="IRNazanin" w:cs="IRNazanin"/>
          <w:lang w:bidi="fa-IR"/>
          <w:color w:val="111111"/>
          <w:sz w:val="28"/>
          <w:szCs w:val="28"/>
          <w:rtl/>
        </w:rPr>
        <w:t xml:space="preserve">ج 1، ص 355.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اجوبة سؤالات السيد حسن</w:t>
      </w:r>
    </w:p>
    <w:p>
      <w:pPr>
        <w:pStyle w:val="BookText"/>
      </w:pPr>
      <w:r>
        <w:rPr>
          <w:rFonts w:ascii="Amiri" w:hAnsi="Amiri" w:eastAsia="Amiri" w:cs="Amiri"/>
          <w:lang w:bidi="ar-SA"/>
          <w:color w:val="111111"/>
          <w:sz w:val="28"/>
          <w:szCs w:val="28"/>
          <w:rtl/>
        </w:rPr>
        <w:t xml:space="preserve">الأعرجي، ج 1، ص322</w:t>
      </w:r>
    </w:p>
    <w:p>
      <w:pPr>
        <w:pStyle w:val="BookText"/>
      </w:pPr>
      <w:r>
        <w:rPr>
          <w:rFonts w:ascii="Amiri" w:hAnsi="Amiri" w:eastAsia="Amiri" w:cs="Amiri"/>
          <w:lang w:bidi="ar-SA"/>
          <w:color w:val="111111"/>
          <w:sz w:val="28"/>
          <w:szCs w:val="28"/>
          <w:rtl/>
        </w:rPr>
        <w:t xml:space="preserve">4 .اسئلة و اجوبة، ج 2، ص91.</w:t>
      </w:r>
    </w:p>
    <w:p>
      <w:pPr>
        <w:pStyle w:val="BookText"/>
      </w:pPr>
      <w:r>
        <w:rPr>
          <w:rFonts w:ascii="Amiri" w:hAnsi="Amiri" w:eastAsia="Amiri" w:cs="Amiri"/>
          <w:lang w:bidi="ar-SA"/>
          <w:color w:val="111111"/>
          <w:sz w:val="28"/>
          <w:szCs w:val="28"/>
          <w:rtl/>
        </w:rPr>
        <w:t xml:space="preserve">5 .التحصين في صفات العارفين، ج3،</w:t>
      </w:r>
    </w:p>
    <w:p>
      <w:pPr>
        <w:pStyle w:val="BookText"/>
      </w:pPr>
      <w:r>
        <w:rPr>
          <w:rFonts w:ascii="IRNazanin" w:hAnsi="IRNazanin" w:eastAsia="IRNazanin" w:cs="IRNazanin"/>
          <w:lang w:bidi="fa-IR"/>
          <w:color w:val="111111"/>
          <w:sz w:val="28"/>
          <w:szCs w:val="28"/>
          <w:rtl/>
        </w:rPr>
        <w:t xml:space="preserve">ص 768 .</w:t>
      </w:r>
    </w:p>
    <w:p>
      <w:pPr>
        <w:pStyle w:val="BookText"/>
      </w:pPr>
      <w:r>
        <w:rPr>
          <w:rFonts w:ascii="Amiri" w:hAnsi="Amiri" w:eastAsia="Amiri" w:cs="Amiri"/>
          <w:lang w:bidi="ar-SA"/>
          <w:color w:val="111111"/>
          <w:sz w:val="28"/>
          <w:szCs w:val="28"/>
          <w:rtl/>
        </w:rPr>
        <w:t xml:space="preserve">6 .التعقيبات والدعوات = الفصول للدعوات و التعقيبات ج4،</w:t>
      </w:r>
    </w:p>
    <w:p>
      <w:pPr>
        <w:pStyle w:val="BookText"/>
      </w:pPr>
      <w:r>
        <w:rPr>
          <w:rFonts w:ascii="IRNazanin" w:hAnsi="IRNazanin" w:eastAsia="IRNazanin" w:cs="IRNazanin"/>
          <w:lang w:bidi="fa-IR"/>
          <w:color w:val="111111"/>
          <w:sz w:val="28"/>
          <w:szCs w:val="28"/>
          <w:rtl/>
        </w:rPr>
        <w:t xml:space="preserve">ص 486 .</w:t>
      </w:r>
    </w:p>
    <w:p>
      <w:pPr>
        <w:pStyle w:val="BookText"/>
      </w:pPr>
      <w:r>
        <w:rPr>
          <w:rFonts w:ascii="Amiri" w:hAnsi="Amiri" w:eastAsia="Amiri" w:cs="Amiri"/>
          <w:lang w:bidi="ar-SA"/>
          <w:color w:val="111111"/>
          <w:sz w:val="28"/>
          <w:szCs w:val="28"/>
          <w:rtl/>
        </w:rPr>
        <w:t xml:space="preserve">7 .تفسير ابن المهيار، ج4، ص 596.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الباب الحادي عشر، ج9،</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Amiri" w:hAnsi="Amiri" w:eastAsia="Amiri" w:cs="Amiri"/>
          <w:lang w:bidi="ar-SA"/>
          <w:color w:val="111111"/>
          <w:sz w:val="28"/>
          <w:szCs w:val="28"/>
          <w:rtl/>
        </w:rPr>
        <w:t xml:space="preserve">9 .عدة الداعي و نجاح الساعي، ج 11</w:t>
      </w:r>
    </w:p>
    <w:p>
      <w:pPr>
        <w:pStyle w:val="BookText"/>
      </w:pPr>
      <w:r>
        <w:rPr>
          <w:rFonts w:ascii="IRNazanin" w:hAnsi="IRNazanin" w:eastAsia="IRNazanin" w:cs="IRNazanin"/>
          <w:lang w:bidi="fa-IR"/>
          <w:color w:val="111111"/>
          <w:sz w:val="28"/>
          <w:szCs w:val="28"/>
          <w:rtl/>
        </w:rPr>
        <w:t xml:space="preserve">ص 48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العزلة (رسالة في)، ج 11، ص 106.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اللمعة الجلية في معرفة النية</w:t>
      </w:r>
    </w:p>
    <w:p>
      <w:pPr>
        <w:pStyle w:val="BookText"/>
      </w:pPr>
      <w:r>
        <w:rPr>
          <w:rFonts w:ascii="IRNazanin" w:hAnsi="IRNazanin" w:eastAsia="IRNazanin" w:cs="IRNazanin"/>
          <w:lang w:bidi="fa-IR"/>
          <w:color w:val="111111"/>
          <w:sz w:val="28"/>
          <w:szCs w:val="28"/>
          <w:rtl/>
        </w:rPr>
        <w:t xml:space="preserve">ج 13، ص 618.</w:t>
      </w:r>
    </w:p>
    <w:p>
      <w:pPr>
        <w:pStyle w:val="BookText"/>
      </w:pPr>
      <w:r>
        <w:rPr>
          <w:rFonts w:ascii="Amiri" w:hAnsi="Amiri" w:eastAsia="Amiri" w:cs="Amiri"/>
          <w:lang w:bidi="ar-SA"/>
          <w:color w:val="111111"/>
          <w:sz w:val="28"/>
          <w:szCs w:val="28"/>
          <w:rtl/>
        </w:rPr>
        <w:t xml:space="preserve">12 .المحرر في الفتاوى، ج 14، ص 117.</w:t>
      </w:r>
    </w:p>
    <w:p>
      <w:pPr>
        <w:pStyle w:val="BookText"/>
      </w:pPr>
      <w:r>
        <w:rPr>
          <w:rFonts w:ascii="Amiri" w:hAnsi="Amiri" w:eastAsia="Amiri" w:cs="Amiri"/>
          <w:lang w:bidi="ar-SA"/>
          <w:color w:val="111111"/>
          <w:sz w:val="28"/>
          <w:szCs w:val="28"/>
          <w:rtl/>
        </w:rPr>
        <w:t xml:space="preserve">13 .مصباح المبتدي و هداية المقتدي</w:t>
      </w:r>
    </w:p>
    <w:p>
      <w:pPr>
        <w:pStyle w:val="BookText"/>
      </w:pPr>
      <w:r>
        <w:rPr>
          <w:rFonts w:ascii="IRNazanin" w:hAnsi="IRNazanin" w:eastAsia="IRNazanin" w:cs="IRNazanin"/>
          <w:lang w:bidi="fa-IR"/>
          <w:color w:val="111111"/>
          <w:sz w:val="28"/>
          <w:szCs w:val="28"/>
          <w:rtl/>
        </w:rPr>
        <w:t xml:space="preserve">ج 14، ص 732.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معاني افعال الصلاة - ترجمة الصلاة في بيان معاني افعالها و</w:t>
      </w:r>
    </w:p>
    <w:p>
      <w:pPr>
        <w:pStyle w:val="BookText"/>
      </w:pPr>
      <w:r>
        <w:rPr>
          <w:rFonts w:ascii="IRNazanin" w:hAnsi="IRNazanin" w:eastAsia="IRNazanin" w:cs="IRNazanin"/>
          <w:lang w:bidi="fa-IR"/>
          <w:color w:val="111111"/>
          <w:sz w:val="28"/>
          <w:szCs w:val="28"/>
          <w:rtl/>
        </w:rPr>
        <w:t xml:space="preserve">اقوالها، ج 14، ص 887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2" w:name="pg7742_69558"/>
    <w:bookmarkEnd w:id="102"/>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المقتصر في شرح المختصر، ج 15،</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Amiri" w:hAnsi="Amiri" w:eastAsia="Amiri" w:cs="Amiri"/>
          <w:lang w:bidi="ar-SA"/>
          <w:color w:val="111111"/>
          <w:sz w:val="28"/>
          <w:szCs w:val="28"/>
          <w:rtl/>
        </w:rPr>
        <w:t xml:space="preserve">16 .منازل القمر - تعيين ساعات الليل</w:t>
      </w:r>
    </w:p>
    <w:p>
      <w:pPr>
        <w:pStyle w:val="BookText"/>
      </w:pPr>
      <w:r>
        <w:rPr>
          <w:rFonts w:ascii="Amiri" w:hAnsi="Amiri" w:eastAsia="Amiri" w:cs="Amiri"/>
          <w:lang w:bidi="ar-SA"/>
          <w:color w:val="111111"/>
          <w:sz w:val="28"/>
          <w:szCs w:val="28"/>
          <w:rtl/>
        </w:rPr>
        <w:t xml:space="preserve">= معرفة المنازل، ج 15 ص 491</w:t>
      </w:r>
    </w:p>
    <w:p>
      <w:pPr>
        <w:pStyle w:val="BookText"/>
      </w:pPr>
      <w:r>
        <w:rPr>
          <w:rFonts w:ascii="Amiri" w:hAnsi="Amiri" w:eastAsia="Amiri" w:cs="Amiri"/>
          <w:lang w:bidi="ar-SA"/>
          <w:color w:val="111111"/>
          <w:sz w:val="28"/>
          <w:szCs w:val="28"/>
          <w:rtl/>
        </w:rPr>
        <w:t xml:space="preserve">17 .المهذب البارع في شرح المختصر</w:t>
      </w:r>
    </w:p>
    <w:p>
      <w:pPr>
        <w:pStyle w:val="BookText"/>
      </w:pPr>
      <w:r>
        <w:rPr>
          <w:rFonts w:ascii="IRNazanin" w:hAnsi="IRNazanin" w:eastAsia="IRNazanin" w:cs="IRNazanin"/>
          <w:lang w:bidi="fa-IR"/>
          <w:color w:val="111111"/>
          <w:sz w:val="28"/>
          <w:szCs w:val="28"/>
          <w:rtl/>
        </w:rPr>
        <w:t xml:space="preserve">النافع، ج 15 ، ص 844.</w:t>
      </w:r>
    </w:p>
    <w:p>
      <w:pPr>
        <w:pStyle w:val="BookText"/>
      </w:pPr>
      <w:r>
        <w:rPr>
          <w:rFonts w:ascii="Amiri" w:hAnsi="Amiri" w:eastAsia="Amiri" w:cs="Amiri"/>
          <w:lang w:bidi="ar-SA"/>
          <w:color w:val="111111"/>
          <w:sz w:val="28"/>
          <w:szCs w:val="28"/>
          <w:rtl/>
        </w:rPr>
        <w:t xml:space="preserve">18 .الموجز الحاوي لتحرير الفتاوى</w:t>
      </w:r>
    </w:p>
    <w:p>
      <w:pPr>
        <w:pStyle w:val="BookText"/>
      </w:pPr>
      <w:r>
        <w:rPr>
          <w:rFonts w:ascii="IRNazanin" w:hAnsi="IRNazanin" w:eastAsia="IRNazanin" w:cs="IRNazanin"/>
          <w:lang w:bidi="fa-IR"/>
          <w:color w:val="111111"/>
          <w:sz w:val="28"/>
          <w:szCs w:val="28"/>
          <w:rtl/>
        </w:rPr>
        <w:t xml:space="preserve">ج 16، ص 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نبذة الداعي في مختصر عدة</w:t>
      </w:r>
    </w:p>
    <w:p>
      <w:pPr>
        <w:pStyle w:val="BookText"/>
      </w:pPr>
      <w:r>
        <w:rPr>
          <w:rFonts w:ascii="Amiri" w:hAnsi="Amiri" w:eastAsia="Amiri" w:cs="Amiri"/>
          <w:lang w:bidi="ar-SA"/>
          <w:color w:val="111111"/>
          <w:sz w:val="28"/>
          <w:szCs w:val="28"/>
          <w:rtl/>
        </w:rPr>
        <w:t xml:space="preserve">الداعي، ج 16، ص 107.</w:t>
      </w:r>
    </w:p>
    <w:p>
      <w:pPr>
        <w:pStyle w:val="Heading2"/>
      </w:pPr>
      <w:bookmarkStart w:id="1584" w:name="_Toc686"/>
      <w:r>
        <w:t>ابن فهد ، علي بن مصطفى</w:t>
      </w:r>
      <w:bookmarkEnd w:id="1584"/>
    </w:p>
    <w:p>
      <w:pPr>
        <w:pStyle w:val="BookText"/>
      </w:pPr>
      <w:r>
        <w:rPr>
          <w:rFonts w:ascii="Amiri" w:hAnsi="Amiri" w:eastAsia="Amiri" w:cs="Amiri"/>
          <w:lang w:bidi="ar-SA"/>
          <w:color w:val="111111"/>
          <w:sz w:val="28"/>
          <w:szCs w:val="28"/>
          <w:rtl/>
        </w:rPr>
        <w:t xml:space="preserve">العقود على مذهب الأمام مالك بن أنس ( رسالة في)، ج 11، ص190.</w:t>
      </w:r>
    </w:p>
    <w:p>
      <w:pPr>
        <w:pStyle w:val="Heading2"/>
      </w:pPr>
      <w:bookmarkStart w:id="1585" w:name="_Toc687"/>
      <w:r>
        <w:t>ابن فهد ، محمّد بن عبد العزيز - 954 ه-</w:t>
      </w:r>
      <w:bookmarkEnd w:id="1585"/>
    </w:p>
    <w:p>
      <w:pPr>
        <w:pStyle w:val="BookText"/>
      </w:pPr>
      <w:r>
        <w:rPr>
          <w:rFonts w:ascii="Amiri" w:hAnsi="Amiri" w:eastAsia="Amiri" w:cs="Amiri"/>
          <w:lang w:bidi="ar-SA"/>
          <w:color w:val="111111"/>
          <w:sz w:val="28"/>
          <w:szCs w:val="28"/>
          <w:rtl/>
        </w:rPr>
        <w:t xml:space="preserve">1 .تحفة اللطائف في فضائل الحبر ابن</w:t>
      </w:r>
    </w:p>
    <w:p>
      <w:pPr>
        <w:pStyle w:val="BookText"/>
      </w:pPr>
      <w:r>
        <w:rPr>
          <w:rFonts w:ascii="IRNazanin" w:hAnsi="IRNazanin" w:eastAsia="IRNazanin" w:cs="IRNazanin"/>
          <w:lang w:bidi="fa-IR"/>
          <w:color w:val="111111"/>
          <w:sz w:val="28"/>
          <w:szCs w:val="28"/>
          <w:rtl/>
        </w:rPr>
        <w:t xml:space="preserve">عباس ووج و الطائف، ج 4، ص 3.</w:t>
      </w:r>
    </w:p>
    <w:p>
      <w:pPr>
        <w:pStyle w:val="BookText"/>
      </w:pPr>
      <w:r>
        <w:rPr>
          <w:rFonts w:ascii="Amiri" w:hAnsi="Amiri" w:eastAsia="Amiri" w:cs="Amiri"/>
          <w:lang w:bidi="ar-SA"/>
          <w:color w:val="111111"/>
          <w:sz w:val="28"/>
          <w:szCs w:val="28"/>
          <w:rtl/>
        </w:rPr>
        <w:t xml:space="preserve">2 .نخبة بهجة الزمان بعمارة مكة</w:t>
      </w:r>
    </w:p>
    <w:p>
      <w:pPr>
        <w:pStyle w:val="BookText"/>
      </w:pPr>
      <w:r>
        <w:rPr>
          <w:rFonts w:ascii="IRNazanin" w:hAnsi="IRNazanin" w:eastAsia="IRNazanin" w:cs="IRNazanin"/>
          <w:lang w:bidi="fa-IR"/>
          <w:color w:val="111111"/>
          <w:sz w:val="28"/>
          <w:szCs w:val="28"/>
          <w:rtl/>
        </w:rPr>
        <w:t xml:space="preserve">ج 16 ، ص 197.</w:t>
      </w:r>
    </w:p>
    <w:p>
      <w:pPr>
        <w:pStyle w:val="BookText"/>
      </w:pPr>
      <w:r>
        <w:rPr>
          <w:rFonts w:ascii="Amiri" w:hAnsi="Amiri" w:eastAsia="Amiri" w:cs="Amiri"/>
          <w:lang w:bidi="ar-SA"/>
          <w:color w:val="111111"/>
          <w:sz w:val="28"/>
          <w:szCs w:val="28"/>
          <w:rtl/>
        </w:rPr>
        <w:t xml:space="preserve">3 .نشر اللطائف في قطر الطائف</w:t>
      </w:r>
    </w:p>
    <w:p>
      <w:pPr>
        <w:pStyle w:val="BookText"/>
      </w:pPr>
      <w:r>
        <w:rPr>
          <w:rFonts w:ascii="IRNazanin" w:hAnsi="IRNazanin" w:eastAsia="IRNazanin" w:cs="IRNazanin"/>
          <w:lang w:bidi="fa-IR"/>
          <w:color w:val="111111"/>
          <w:sz w:val="28"/>
          <w:szCs w:val="28"/>
          <w:rtl/>
        </w:rPr>
        <w:t xml:space="preserve">ج 16، ص 289.</w:t>
      </w:r>
    </w:p>
    <w:p>
      <w:pPr>
        <w:pStyle w:val="Heading2"/>
      </w:pPr>
      <w:bookmarkStart w:id="1586" w:name="_Toc688"/>
      <w:r>
        <w:t>ابن فهد ، يحيى بن عمر 848 - 885 ه-</w:t>
      </w:r>
      <w:bookmarkEnd w:id="1586"/>
    </w:p>
    <w:p>
      <w:pPr>
        <w:pStyle w:val="BookText"/>
      </w:pPr>
      <w:r>
        <w:rPr>
          <w:rFonts w:ascii="Amiri" w:hAnsi="Amiri" w:eastAsia="Amiri" w:cs="Amiri"/>
          <w:lang w:bidi="ar-SA"/>
          <w:color w:val="111111"/>
          <w:sz w:val="28"/>
          <w:szCs w:val="28"/>
          <w:rtl/>
        </w:rPr>
        <w:t xml:space="preserve">ما يكتب بالضاد والظاء، ج 13،</w:t>
      </w:r>
    </w:p>
    <w:p>
      <w:pPr>
        <w:pStyle w:val="BookText"/>
      </w:pPr>
      <w:r>
        <w:rPr>
          <w:rFonts w:ascii="IRNazanin" w:hAnsi="IRNazanin" w:eastAsia="IRNazanin" w:cs="IRNazanin"/>
          <w:lang w:bidi="fa-IR"/>
          <w:color w:val="111111"/>
          <w:sz w:val="28"/>
          <w:szCs w:val="28"/>
          <w:rtl/>
        </w:rPr>
        <w:t xml:space="preserve">ص 694 .</w:t>
      </w:r>
    </w:p>
    <w:p>
      <w:pPr>
        <w:pStyle w:val="Heading2"/>
      </w:pPr>
      <w:bookmarkStart w:id="1587" w:name="_Toc689"/>
      <w:r>
        <w:t>ابن فورك ، محمّد بن حسن، 330-406 ه-</w:t>
      </w:r>
      <w:bookmarkEnd w:id="1587"/>
    </w:p>
    <w:p>
      <w:pPr>
        <w:pStyle w:val="BookText"/>
      </w:pPr>
      <w:r>
        <w:rPr>
          <w:rFonts w:ascii="Amiri" w:hAnsi="Amiri" w:eastAsia="Amiri" w:cs="Amiri"/>
          <w:lang w:bidi="ar-SA"/>
          <w:color w:val="111111"/>
          <w:sz w:val="28"/>
          <w:szCs w:val="28"/>
          <w:rtl/>
        </w:rPr>
        <w:t xml:space="preserve">تأويل مشكل الحديث = تأويل الاخبار المتشابهة = بيان مشكل</w:t>
      </w:r>
    </w:p>
    <w:p>
      <w:pPr>
        <w:pStyle w:val="BookText"/>
      </w:pPr>
      <w:r>
        <w:rPr>
          <w:rFonts w:ascii="Amiri" w:hAnsi="Amiri" w:eastAsia="Amiri" w:cs="Amiri"/>
          <w:lang w:bidi="ar-SA"/>
          <w:color w:val="111111"/>
          <w:sz w:val="28"/>
          <w:szCs w:val="28"/>
          <w:rtl/>
        </w:rPr>
        <w:t xml:space="preserve">الحديث، ج 3، ص 630.</w:t>
      </w:r>
    </w:p>
    <w:p>
      <w:pPr>
        <w:pStyle w:val="Heading2"/>
      </w:pPr>
      <w:bookmarkStart w:id="1588" w:name="_Toc690"/>
      <w:r>
        <w:t>ابن فوطي، عبد الرزاق بن احمد 642 -</w:t>
      </w:r>
      <w:bookmarkEnd w:id="1588"/>
    </w:p>
    <w:p>
      <w:pPr>
        <w:pStyle w:val="BookText"/>
      </w:pPr>
      <w:r>
        <w:rPr>
          <w:rFonts w:ascii="IRNazanin" w:hAnsi="IRNazanin" w:eastAsia="IRNazanin" w:cs="IRNazanin"/>
          <w:lang w:bidi="fa-IR"/>
          <w:color w:val="111111"/>
          <w:sz w:val="28"/>
          <w:szCs w:val="28"/>
          <w:rtl/>
        </w:rPr>
        <w:t xml:space="preserve">723 ه-</w:t>
      </w:r>
    </w:p>
    <w:p>
      <w:pPr>
        <w:pStyle w:val="BookText"/>
      </w:pPr>
      <w:r>
        <w:rPr>
          <w:rFonts w:ascii="Amiri" w:hAnsi="Amiri" w:eastAsia="Amiri" w:cs="Amiri"/>
          <w:lang w:bidi="ar-SA"/>
          <w:color w:val="111111"/>
          <w:sz w:val="28"/>
          <w:szCs w:val="28"/>
          <w:rtl/>
        </w:rPr>
        <w:t xml:space="preserve">1 .تلخيص مجمع الآداب في معجم</w:t>
      </w:r>
    </w:p>
    <w:p>
      <w:pPr>
        <w:pStyle w:val="BookText"/>
      </w:pPr>
      <w:r>
        <w:rPr>
          <w:rFonts w:ascii="IRNazanin" w:hAnsi="IRNazanin" w:eastAsia="IRNazanin" w:cs="IRNazanin"/>
          <w:lang w:bidi="fa-IR"/>
          <w:color w:val="111111"/>
          <w:sz w:val="28"/>
          <w:szCs w:val="28"/>
          <w:rtl/>
        </w:rPr>
        <w:t xml:space="preserve">الالقاب، ج 4، ص 855.</w:t>
      </w:r>
    </w:p>
    <w:p>
      <w:pPr>
        <w:pStyle w:val="BookText"/>
      </w:pPr>
      <w:r>
        <w:rPr>
          <w:rFonts w:ascii="Amiri" w:hAnsi="Amiri" w:eastAsia="Amiri" w:cs="Amiri"/>
          <w:lang w:bidi="ar-SA"/>
          <w:color w:val="111111"/>
          <w:sz w:val="28"/>
          <w:szCs w:val="28"/>
          <w:rtl/>
        </w:rPr>
        <w:t xml:space="preserve">2 .الحوادث الجامعة و التجارب النافعة فى المائة السابعة، ج 6،</w:t>
      </w:r>
    </w:p>
    <w:p>
      <w:pPr>
        <w:pStyle w:val="BookText"/>
      </w:pPr>
      <w:r>
        <w:rPr>
          <w:rFonts w:ascii="IRNazanin" w:hAnsi="IRNazanin" w:eastAsia="IRNazanin" w:cs="IRNazanin"/>
          <w:lang w:bidi="fa-IR"/>
          <w:color w:val="111111"/>
          <w:sz w:val="28"/>
          <w:szCs w:val="28"/>
          <w:rtl/>
        </w:rPr>
        <w:t xml:space="preserve">ص 826.</w:t>
      </w:r>
    </w:p>
    <w:p>
      <w:pPr>
        <w:pStyle w:val="Heading2"/>
      </w:pPr>
      <w:bookmarkStart w:id="1589" w:name="_Toc691"/>
      <w:r>
        <w:t>ابن فيروز ، محمد بن عبدالله</w:t>
      </w:r>
      <w:bookmarkEnd w:id="1589"/>
    </w:p>
    <w:p>
      <w:pPr>
        <w:pStyle w:val="BookText"/>
      </w:pPr>
      <w:r>
        <w:rPr>
          <w:rFonts w:ascii="Amiri" w:hAnsi="Amiri" w:eastAsia="Amiri" w:cs="Amiri"/>
          <w:lang w:bidi="ar-SA"/>
          <w:color w:val="111111"/>
          <w:sz w:val="28"/>
          <w:szCs w:val="28"/>
          <w:rtl/>
        </w:rPr>
        <w:t xml:space="preserve">ارجوزة، ج 1، ص 762.</w:t>
      </w:r>
    </w:p>
    <w:p>
      <w:pPr>
        <w:pStyle w:val="Heading2"/>
      </w:pPr>
      <w:bookmarkStart w:id="1590" w:name="_Toc692"/>
      <w:r>
        <w:t>ابن فيروز ، محمّد بن عبدالله، 1142 -</w:t>
      </w:r>
      <w:bookmarkEnd w:id="1590"/>
    </w:p>
    <w:p>
      <w:pPr>
        <w:pStyle w:val="BookText"/>
      </w:pPr>
      <w:r>
        <w:rPr>
          <w:rFonts w:ascii="IRNazanin" w:hAnsi="IRNazanin" w:eastAsia="IRNazanin" w:cs="IRNazanin"/>
          <w:lang w:bidi="fa-IR"/>
          <w:color w:val="111111"/>
          <w:sz w:val="28"/>
          <w:szCs w:val="28"/>
          <w:rtl/>
        </w:rPr>
        <w:t xml:space="preserve">1216ه-</w:t>
      </w:r>
    </w:p>
    <w:p>
      <w:pPr>
        <w:pStyle w:val="BookText"/>
      </w:pPr>
      <w:r>
        <w:rPr>
          <w:rFonts w:ascii="Amiri" w:hAnsi="Amiri" w:eastAsia="Amiri" w:cs="Amiri"/>
          <w:lang w:bidi="ar-SA"/>
          <w:color w:val="111111"/>
          <w:sz w:val="28"/>
          <w:szCs w:val="28"/>
          <w:rtl/>
        </w:rPr>
        <w:t xml:space="preserve">1 .خير الوصية، ج 7، ص197.</w:t>
      </w:r>
    </w:p>
    <w:p>
      <w:pPr>
        <w:pStyle w:val="BookText"/>
      </w:pPr>
      <w:r>
        <w:rPr>
          <w:rFonts w:ascii="Amiri" w:hAnsi="Amiri" w:eastAsia="Amiri" w:cs="Amiri"/>
          <w:lang w:bidi="ar-SA"/>
          <w:color w:val="111111"/>
          <w:sz w:val="28"/>
          <w:szCs w:val="28"/>
          <w:rtl/>
        </w:rPr>
        <w:t xml:space="preserve">2 .عجالة المستعجل، ج11، ص28.</w:t>
      </w:r>
    </w:p>
    <w:p>
      <w:pPr>
        <w:pStyle w:val="BookText"/>
      </w:pPr>
      <w:r>
        <w:rPr>
          <w:rFonts w:ascii="Amiri" w:hAnsi="Amiri" w:eastAsia="Amiri" w:cs="Amiri"/>
          <w:lang w:bidi="ar-SA"/>
          <w:color w:val="111111"/>
          <w:sz w:val="28"/>
          <w:szCs w:val="28"/>
          <w:rtl/>
        </w:rPr>
        <w:t xml:space="preserve">3 .مدح النبي (ص) (رسالة في)، ج 14،</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Amiri" w:hAnsi="Amiri" w:eastAsia="Amiri" w:cs="Amiri"/>
          <w:lang w:bidi="ar-SA"/>
          <w:color w:val="111111"/>
          <w:sz w:val="28"/>
          <w:szCs w:val="28"/>
          <w:rtl/>
        </w:rPr>
        <w:t xml:space="preserve">ابن قاآني ، منصور بن احمد خوارزمي ،</w:t>
      </w:r>
    </w:p>
    <w:p>
      <w:pPr>
        <w:pStyle w:val="BookText"/>
      </w:pPr>
      <w:r>
        <w:rPr>
          <w:rFonts w:ascii="IRNazanin" w:hAnsi="IRNazanin" w:eastAsia="IRNazanin" w:cs="IRNazanin"/>
          <w:lang w:bidi="fa-IR"/>
          <w:color w:val="111111"/>
          <w:sz w:val="28"/>
          <w:szCs w:val="28"/>
          <w:rtl/>
        </w:rPr>
        <w:t xml:space="preserve">منصور بن احمد</w:t>
      </w:r>
    </w:p>
    <w:p>
      <w:pPr>
        <w:pStyle w:val="Heading2"/>
      </w:pPr>
      <w:bookmarkStart w:id="1591" w:name="_Toc693"/>
      <w:r>
        <w:t>ابن قائد ، حسین بن ابراهيم قرن 13 ه-</w:t>
      </w:r>
      <w:bookmarkEnd w:id="1591"/>
    </w:p>
    <w:p>
      <w:pPr>
        <w:pStyle w:val="BookText"/>
      </w:pPr>
      <w:r>
        <w:rPr>
          <w:rFonts w:ascii="Amiri" w:hAnsi="Amiri" w:eastAsia="Amiri" w:cs="Amiri"/>
          <w:lang w:bidi="ar-SA"/>
          <w:color w:val="111111"/>
          <w:sz w:val="28"/>
          <w:szCs w:val="28"/>
          <w:rtl/>
        </w:rPr>
        <w:t xml:space="preserve">حاشية تحفة المحتاج لشرح المنهاج</w:t>
      </w:r>
    </w:p>
    <w:p>
      <w:pPr>
        <w:pStyle w:val="BookText"/>
      </w:pPr>
      <w:r>
        <w:rPr>
          <w:rFonts w:ascii="IRNazanin" w:hAnsi="IRNazanin" w:eastAsia="IRNazanin" w:cs="IRNazanin"/>
          <w:lang w:bidi="fa-IR"/>
          <w:color w:val="111111"/>
          <w:sz w:val="28"/>
          <w:szCs w:val="28"/>
          <w:rtl/>
        </w:rPr>
        <w:t xml:space="preserve">ج 5، ص 734 .</w:t>
      </w:r>
    </w:p>
    <w:p>
      <w:pPr>
        <w:pStyle w:val="Heading2"/>
      </w:pPr>
      <w:bookmarkStart w:id="1592" w:name="_Toc694"/>
      <w:r>
        <w:t>ابن قائد ، عثمان بن احمد - 1097 ه-</w:t>
      </w:r>
      <w:bookmarkEnd w:id="1592"/>
    </w:p>
    <w:p>
      <w:pPr>
        <w:pStyle w:val="BookText"/>
      </w:pPr>
      <w:r>
        <w:rPr>
          <w:rFonts w:ascii="Amiri" w:hAnsi="Amiri" w:eastAsia="Amiri" w:cs="Amiri"/>
          <w:lang w:bidi="ar-SA"/>
          <w:color w:val="111111"/>
          <w:sz w:val="28"/>
          <w:szCs w:val="28"/>
          <w:rtl/>
        </w:rPr>
        <w:t xml:space="preserve">هداية الراغب شرح عمدة الطالب</w:t>
      </w:r>
    </w:p>
    <w:p>
      <w:pPr>
        <w:pStyle w:val="BookText"/>
      </w:pPr>
      <w:r>
        <w:rPr>
          <w:rFonts w:ascii="IRNazanin" w:hAnsi="IRNazanin" w:eastAsia="IRNazanin" w:cs="IRNazanin"/>
          <w:lang w:bidi="fa-IR"/>
          <w:color w:val="111111"/>
          <w:sz w:val="28"/>
          <w:szCs w:val="28"/>
          <w:rtl/>
        </w:rPr>
        <w:t xml:space="preserve">ج 16، ص 609 .</w:t>
      </w:r>
    </w:p>
    <w:p>
      <w:pPr>
        <w:pStyle w:val="BookText"/>
      </w:pPr>
      <w:r>
        <w:rPr>
          <w:rFonts w:ascii="Amiri" w:hAnsi="Amiri" w:eastAsia="Amiri" w:cs="Amiri"/>
          <w:lang w:bidi="ar-SA"/>
          <w:color w:val="111111"/>
          <w:sz w:val="28"/>
          <w:szCs w:val="28"/>
          <w:rtl/>
        </w:rPr>
        <w:t xml:space="preserve">ابن قاسم عاملي -عينائي ، محمّد بن</w:t>
      </w:r>
    </w:p>
    <w:p>
      <w:pPr>
        <w:pStyle w:val="BookText"/>
      </w:pPr>
      <w:r>
        <w:rPr>
          <w:rFonts w:ascii="Amiri" w:hAnsi="Amiri" w:eastAsia="Amiri" w:cs="Amiri"/>
          <w:lang w:bidi="ar-SA"/>
          <w:color w:val="111111"/>
          <w:sz w:val="28"/>
          <w:szCs w:val="28"/>
          <w:rtl/>
        </w:rPr>
        <w:t xml:space="preserve">محمّد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3" w:name="pg7742_69560"/>
    <w:bookmarkEnd w:id="103"/>
    <w:p>
      <w:pPr>
        <w:pStyle w:val="Heading2"/>
      </w:pPr>
      <w:bookmarkStart w:id="1593" w:name="_Toc695"/>
      <w:r>
        <w:t>ابن قاسم ، علي بن موسى</w:t>
      </w:r>
      <w:bookmarkEnd w:id="1593"/>
    </w:p>
    <w:p>
      <w:pPr>
        <w:pStyle w:val="BookText"/>
      </w:pPr>
      <w:r>
        <w:rPr>
          <w:rFonts w:ascii="Amiri" w:hAnsi="Amiri" w:eastAsia="Amiri" w:cs="Amiri"/>
          <w:lang w:bidi="ar-SA"/>
          <w:color w:val="111111"/>
          <w:sz w:val="28"/>
          <w:szCs w:val="28"/>
          <w:rtl/>
        </w:rPr>
        <w:t xml:space="preserve">روضة شذر الذهب، ج8، ص 434</w:t>
      </w:r>
    </w:p>
    <w:p>
      <w:pPr>
        <w:pStyle w:val="Heading2"/>
      </w:pPr>
      <w:bookmarkStart w:id="1594" w:name="_Toc696"/>
      <w:r>
        <w:t>ابن قاسم غزي ، محمّد بن قاسم 859 .</w:t>
      </w:r>
      <w:bookmarkEnd w:id="1594"/>
    </w:p>
    <w:p>
      <w:pPr>
        <w:pStyle w:val="BookText"/>
      </w:pPr>
      <w:r>
        <w:rPr>
          <w:rFonts w:ascii="IRNazanin" w:hAnsi="IRNazanin" w:eastAsia="IRNazanin" w:cs="IRNazanin"/>
          <w:lang w:bidi="fa-IR"/>
          <w:color w:val="111111"/>
          <w:sz w:val="28"/>
          <w:szCs w:val="28"/>
          <w:rtl/>
        </w:rPr>
        <w:t xml:space="preserve">918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حاشية شرح التصريف العزي، ج 6،</w:t>
      </w:r>
    </w:p>
    <w:p>
      <w:pPr>
        <w:pStyle w:val="BookText"/>
      </w:pPr>
      <w:r>
        <w:rPr>
          <w:rFonts w:ascii="IRNazanin" w:hAnsi="IRNazanin" w:eastAsia="IRNazanin" w:cs="IRNazanin"/>
          <w:lang w:bidi="fa-IR"/>
          <w:color w:val="111111"/>
          <w:sz w:val="28"/>
          <w:szCs w:val="28"/>
          <w:rtl/>
        </w:rPr>
        <w:t xml:space="preserve">ص 68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ابي شجاع، ج 9، ص 151.</w:t>
      </w:r>
    </w:p>
    <w:p>
      <w:pPr>
        <w:pStyle w:val="BookText"/>
      </w:pPr>
      <w:r>
        <w:rPr>
          <w:rFonts w:ascii="Amiri" w:hAnsi="Amiri" w:eastAsia="Amiri" w:cs="Amiri"/>
          <w:lang w:bidi="ar-SA"/>
          <w:color w:val="111111"/>
          <w:sz w:val="28"/>
          <w:szCs w:val="28"/>
          <w:rtl/>
        </w:rPr>
        <w:t xml:space="preserve">3.القول المختار في شرح غاية الاختصار - الفتح القريب المجيب في شرح الفاظ التقريب، ج 12،</w:t>
      </w:r>
    </w:p>
    <w:p>
      <w:pPr>
        <w:pStyle w:val="BookText"/>
      </w:pPr>
      <w:r>
        <w:rPr>
          <w:rFonts w:ascii="IRNazanin" w:hAnsi="IRNazanin" w:eastAsia="IRNazanin" w:cs="IRNazanin"/>
          <w:lang w:bidi="fa-IR"/>
          <w:color w:val="111111"/>
          <w:sz w:val="28"/>
          <w:szCs w:val="28"/>
          <w:rtl/>
        </w:rPr>
        <w:t xml:space="preserve">ص 856.</w:t>
      </w:r>
    </w:p>
    <w:p>
      <w:pPr>
        <w:pStyle w:val="BookText"/>
      </w:pPr>
      <w:r>
        <w:rPr>
          <w:rFonts w:ascii="Amiri" w:hAnsi="Amiri" w:eastAsia="Amiri" w:cs="Amiri"/>
          <w:lang w:bidi="ar-SA"/>
          <w:color w:val="111111"/>
          <w:sz w:val="28"/>
          <w:szCs w:val="28"/>
          <w:rtl/>
        </w:rPr>
        <w:t xml:space="preserve">ابن قاسم ، محمّد بن محمّد -عينائي ،</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ابن قاص ، احمد بن ابي احمد -طبري</w:t>
      </w:r>
    </w:p>
    <w:p>
      <w:pPr>
        <w:pStyle w:val="BookText"/>
      </w:pPr>
      <w:r>
        <w:rPr>
          <w:rFonts w:ascii="Amiri" w:hAnsi="Amiri" w:eastAsia="Amiri" w:cs="Amiri"/>
          <w:lang w:bidi="ar-SA"/>
          <w:color w:val="111111"/>
          <w:sz w:val="28"/>
          <w:szCs w:val="28"/>
          <w:rtl/>
        </w:rPr>
        <w:t xml:space="preserve">احمد بن ابي احمد</w:t>
      </w:r>
    </w:p>
    <w:p>
      <w:pPr>
        <w:pStyle w:val="Heading2"/>
      </w:pPr>
      <w:bookmarkStart w:id="1595" w:name="_Toc697"/>
      <w:r>
        <w:t>ابن قاصح ، علي بن عثمان، 716-801 ه-</w:t>
      </w:r>
      <w:bookmarkEnd w:id="1595"/>
    </w:p>
    <w:p>
      <w:pPr>
        <w:pStyle w:val="BookText"/>
      </w:pPr>
      <w:r>
        <w:rPr>
          <w:rFonts w:ascii="Amiri" w:hAnsi="Amiri" w:eastAsia="Amiri" w:cs="Amiri"/>
          <w:lang w:bidi="ar-SA"/>
          <w:color w:val="111111"/>
          <w:sz w:val="28"/>
          <w:szCs w:val="28"/>
          <w:rtl/>
        </w:rPr>
        <w:t xml:space="preserve">1 .تحفة الانام في وقف حمزه و</w:t>
      </w:r>
    </w:p>
    <w:p>
      <w:pPr>
        <w:pStyle w:val="BookText"/>
      </w:pPr>
      <w:r>
        <w:rPr>
          <w:rFonts w:ascii="IRNazanin" w:hAnsi="IRNazanin" w:eastAsia="IRNazanin" w:cs="IRNazanin"/>
          <w:lang w:bidi="fa-IR"/>
          <w:color w:val="111111"/>
          <w:sz w:val="28"/>
          <w:szCs w:val="28"/>
          <w:rtl/>
        </w:rPr>
        <w:t xml:space="preserve">هشام، ج 3، ص 809.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تلخيص الفوائد و تقريب المباعد في</w:t>
      </w:r>
    </w:p>
    <w:p>
      <w:pPr>
        <w:pStyle w:val="BookText"/>
      </w:pPr>
      <w:r>
        <w:rPr>
          <w:rFonts w:ascii="Amiri" w:hAnsi="Amiri" w:eastAsia="Amiri" w:cs="Amiri"/>
          <w:lang w:bidi="ar-SA"/>
          <w:color w:val="111111"/>
          <w:sz w:val="28"/>
          <w:szCs w:val="28"/>
          <w:rtl/>
        </w:rPr>
        <w:t xml:space="preserve">شرح عقيلة اتراب القصائد، ج 4،</w:t>
      </w:r>
    </w:p>
    <w:p>
      <w:pPr>
        <w:pStyle w:val="BookText"/>
      </w:pPr>
      <w:r>
        <w:rPr>
          <w:rFonts w:ascii="IRNazanin" w:hAnsi="IRNazanin" w:eastAsia="IRNazanin" w:cs="IRNazanin"/>
          <w:lang w:bidi="fa-IR"/>
          <w:color w:val="111111"/>
          <w:sz w:val="28"/>
          <w:szCs w:val="28"/>
          <w:rtl/>
        </w:rPr>
        <w:t xml:space="preserve">ص 851.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سراج القاري المبتدي و تذكرة المقري المنتهي = شرح الشاطبية ج 8، ص 732</w:t>
      </w:r>
    </w:p>
    <w:p>
      <w:pPr>
        <w:pStyle w:val="BookText"/>
      </w:pPr>
      <w:r>
        <w:rPr>
          <w:rFonts w:ascii="Amiri" w:hAnsi="Amiri" w:eastAsia="Amiri" w:cs="Amiri"/>
          <w:lang w:bidi="ar-SA"/>
          <w:color w:val="111111"/>
          <w:sz w:val="28"/>
          <w:szCs w:val="28"/>
          <w:rtl/>
        </w:rPr>
        <w:t xml:space="preserve">4 .قرة العين في الفتح والإمالة بين</w:t>
      </w:r>
    </w:p>
    <w:p>
      <w:pPr>
        <w:pStyle w:val="BookText"/>
      </w:pPr>
      <w:r>
        <w:rPr>
          <w:rFonts w:ascii="Amiri" w:hAnsi="Amiri" w:eastAsia="Amiri" w:cs="Amiri"/>
          <w:lang w:bidi="ar-SA"/>
          <w:color w:val="111111"/>
          <w:sz w:val="28"/>
          <w:szCs w:val="28"/>
          <w:rtl/>
        </w:rPr>
        <w:t xml:space="preserve">اللفظين، ج 12، ص 567.</w:t>
      </w:r>
    </w:p>
    <w:p>
      <w:pPr>
        <w:pStyle w:val="BookText"/>
      </w:pPr>
      <w:r>
        <w:rPr>
          <w:rFonts w:ascii="Amiri" w:hAnsi="Amiri" w:eastAsia="Amiri" w:cs="Amiri"/>
          <w:lang w:bidi="ar-SA"/>
          <w:color w:val="111111"/>
          <w:sz w:val="28"/>
          <w:szCs w:val="28"/>
          <w:rtl/>
        </w:rPr>
        <w:t xml:space="preserve">5 .نزهة المشتغلين في أحكام النون</w:t>
      </w:r>
    </w:p>
    <w:p>
      <w:pPr>
        <w:pStyle w:val="BookText"/>
      </w:pPr>
      <w:r>
        <w:rPr>
          <w:rFonts w:ascii="Amiri" w:hAnsi="Amiri" w:eastAsia="Amiri" w:cs="Amiri"/>
          <w:lang w:bidi="ar-SA"/>
          <w:color w:val="111111"/>
          <w:sz w:val="28"/>
          <w:szCs w:val="28"/>
          <w:rtl/>
        </w:rPr>
        <w:t xml:space="preserve">الساكنة والتنوين، ج 16، ص 247.</w:t>
      </w:r>
    </w:p>
    <w:p>
      <w:pPr>
        <w:pStyle w:val="Heading2"/>
      </w:pPr>
      <w:bookmarkStart w:id="1596" w:name="_Toc698"/>
      <w:r>
        <w:t>ابن قاضي أذرعات ، حسين بن عبدالله</w:t>
      </w:r>
      <w:bookmarkEnd w:id="1596"/>
    </w:p>
    <w:p>
      <w:pPr>
        <w:pStyle w:val="BookText"/>
      </w:pPr>
      <w:r>
        <w:rPr>
          <w:rFonts w:ascii="IRNazanin" w:hAnsi="IRNazanin" w:eastAsia="IRNazanin" w:cs="IRNazanin"/>
          <w:lang w:bidi="fa-IR"/>
          <w:color w:val="111111"/>
          <w:sz w:val="28"/>
          <w:szCs w:val="28"/>
          <w:rtl/>
        </w:rPr>
        <w:t xml:space="preserve">مختصر الروض الانف، ج 14، ص 193.</w:t>
      </w:r>
    </w:p>
    <w:p>
      <w:pPr>
        <w:pStyle w:val="BookText"/>
      </w:pPr>
      <w:r>
        <w:rPr>
          <w:rFonts w:ascii="Amiri" w:hAnsi="Amiri" w:eastAsia="Amiri" w:cs="Amiri"/>
          <w:lang w:bidi="ar-SA"/>
          <w:color w:val="111111"/>
          <w:sz w:val="28"/>
          <w:szCs w:val="28"/>
          <w:rtl/>
        </w:rPr>
        <w:t xml:space="preserve">ابن قاضي بعلبك ، مظفر بن عبد الرحمن - بعلبكي ، مظفر بن عبدالرحمن</w:t>
      </w:r>
    </w:p>
    <w:p>
      <w:pPr>
        <w:pStyle w:val="BookText"/>
      </w:pPr>
      <w:r>
        <w:rPr>
          <w:rFonts w:ascii="Times New Roman" w:hAnsi="Times New Roman" w:eastAsia="Times New Roman" w:cs="Times New Roman"/>
          <w:lang w:val="en-US" w:bidi="en-US"/>
          <w:color w:val="111111"/>
          <w:sz w:val="28"/>
          <w:szCs w:val="28"/>
          <w:rtl/>
        </w:rPr>
        <w:t xml:space="preserve">823</w:t>
      </w:r>
    </w:p>
    <w:p>
      <w:pPr>
        <w:pStyle w:val="Heading2"/>
      </w:pPr>
      <w:bookmarkStart w:id="1597" w:name="_Toc699"/>
      <w:r>
        <w:t>ابن قاضي سماونه ، محمود بن اسرائیل -</w:t>
      </w:r>
      <w:bookmarkEnd w:id="1597"/>
    </w:p>
    <w:p>
      <w:pPr>
        <w:pStyle w:val="BookText"/>
      </w:pPr>
      <w:r>
        <w:rPr>
          <w:rFonts w:ascii="Amiri" w:hAnsi="Amiri" w:eastAsia="Amiri" w:cs="Amiri"/>
          <w:lang w:bidi="ar-SA"/>
          <w:color w:val="111111"/>
          <w:sz w:val="28"/>
          <w:szCs w:val="28"/>
          <w:rtl/>
        </w:rPr>
        <w:t xml:space="preserve">1 .جامع الفصولين، ج5، ص309.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جامع الفصولين (مختصر)، ج5،</w:t>
      </w:r>
    </w:p>
    <w:p>
      <w:pPr>
        <w:pStyle w:val="BookText"/>
      </w:pPr>
      <w:r>
        <w:rPr>
          <w:rFonts w:ascii="IRNazanin" w:hAnsi="IRNazanin" w:eastAsia="IRNazanin" w:cs="IRNazanin"/>
          <w:lang w:bidi="fa-IR"/>
          <w:color w:val="111111"/>
          <w:sz w:val="28"/>
          <w:szCs w:val="28"/>
          <w:rtl/>
        </w:rPr>
        <w:t xml:space="preserve">ص 310.</w:t>
      </w:r>
    </w:p>
    <w:p>
      <w:pPr>
        <w:pStyle w:val="Heading2"/>
      </w:pPr>
      <w:bookmarkStart w:id="1598" w:name="_Toc700"/>
      <w:r>
        <w:t>ابن قاضي شهبة ، ابوبکر بن احمد، 779 -</w:t>
      </w:r>
      <w:bookmarkEnd w:id="1598"/>
    </w:p>
    <w:p>
      <w:pPr>
        <w:pStyle w:val="BookText"/>
      </w:pPr>
      <w:r>
        <w:rPr>
          <w:rFonts w:ascii="IRNazanin" w:hAnsi="IRNazanin" w:eastAsia="IRNazanin" w:cs="IRNazanin"/>
          <w:lang w:bidi="fa-IR"/>
          <w:color w:val="111111"/>
          <w:sz w:val="28"/>
          <w:szCs w:val="28"/>
          <w:rtl/>
        </w:rPr>
        <w:t xml:space="preserve">851 ه-</w:t>
      </w:r>
    </w:p>
    <w:p>
      <w:pPr>
        <w:pStyle w:val="BookText"/>
      </w:pPr>
      <w:r>
        <w:rPr>
          <w:rFonts w:ascii="Amiri" w:hAnsi="Amiri" w:eastAsia="Amiri" w:cs="Amiri"/>
          <w:lang w:bidi="ar-SA"/>
          <w:color w:val="111111"/>
          <w:sz w:val="28"/>
          <w:szCs w:val="28"/>
          <w:rtl/>
        </w:rPr>
        <w:t xml:space="preserve">1 .الاربعون حديثا، ج 1، ص 695.</w:t>
      </w:r>
    </w:p>
    <w:p>
      <w:pPr>
        <w:pStyle w:val="BookText"/>
      </w:pPr>
      <w:r>
        <w:rPr>
          <w:rFonts w:ascii="Amiri" w:hAnsi="Amiri" w:eastAsia="Amiri" w:cs="Amiri"/>
          <w:lang w:bidi="ar-SA"/>
          <w:color w:val="111111"/>
          <w:sz w:val="28"/>
          <w:szCs w:val="28"/>
          <w:rtl/>
        </w:rPr>
        <w:t xml:space="preserve">2 .الاعلام بتاريخ الاسلام - التاريخ</w:t>
      </w:r>
    </w:p>
    <w:p>
      <w:pPr>
        <w:pStyle w:val="BookText"/>
      </w:pPr>
      <w:r>
        <w:rPr>
          <w:rFonts w:ascii="Amiri" w:hAnsi="Amiri" w:eastAsia="Amiri" w:cs="Amiri"/>
          <w:lang w:bidi="ar-SA"/>
          <w:color w:val="111111"/>
          <w:sz w:val="28"/>
          <w:szCs w:val="28"/>
          <w:rtl/>
        </w:rPr>
        <w:t xml:space="preserve">الكبير، ج 2، ص 553.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جزء في الحديث، ج 5، ص 381.</w:t>
      </w:r>
    </w:p>
    <w:p>
      <w:pPr>
        <w:pStyle w:val="BookText"/>
      </w:pPr>
      <w:r>
        <w:rPr>
          <w:rFonts w:ascii="Amiri" w:hAnsi="Amiri" w:eastAsia="Amiri" w:cs="Amiri"/>
          <w:lang w:bidi="ar-SA"/>
          <w:color w:val="111111"/>
          <w:sz w:val="28"/>
          <w:szCs w:val="28"/>
          <w:rtl/>
        </w:rPr>
        <w:t xml:space="preserve">4 .الذيل على تاريخ الإسلام - تاريخ</w:t>
      </w:r>
    </w:p>
    <w:p>
      <w:pPr>
        <w:pStyle w:val="BookText"/>
      </w:pPr>
      <w:r>
        <w:rPr>
          <w:rFonts w:ascii="Amiri" w:hAnsi="Amiri" w:eastAsia="Amiri" w:cs="Amiri"/>
          <w:lang w:bidi="ar-SA"/>
          <w:color w:val="111111"/>
          <w:sz w:val="28"/>
          <w:szCs w:val="28"/>
          <w:rtl/>
        </w:rPr>
        <w:t xml:space="preserve">ابن قاضي شهبة، ج 7، ص877</w:t>
      </w:r>
    </w:p>
    <w:p>
      <w:pPr>
        <w:pStyle w:val="BookText"/>
      </w:pPr>
      <w:r>
        <w:rPr>
          <w:rFonts w:ascii="Amiri" w:hAnsi="Amiri" w:eastAsia="Amiri" w:cs="Amiri"/>
          <w:lang w:bidi="ar-SA"/>
          <w:color w:val="111111"/>
          <w:sz w:val="28"/>
          <w:szCs w:val="28"/>
          <w:rtl/>
        </w:rPr>
        <w:t xml:space="preserve">5 .طبقات الشافعية، ج 10، ص777.</w:t>
      </w:r>
    </w:p>
    <w:p>
      <w:pPr>
        <w:pStyle w:val="BookText"/>
      </w:pPr>
      <w:r>
        <w:rPr>
          <w:rFonts w:ascii="Amiri" w:hAnsi="Amiri" w:eastAsia="Amiri" w:cs="Amiri"/>
          <w:lang w:bidi="ar-SA"/>
          <w:color w:val="111111"/>
          <w:sz w:val="28"/>
          <w:szCs w:val="28"/>
          <w:rtl/>
        </w:rPr>
        <w:t xml:space="preserve">6 .طبقات النحاة و اللغويين، ج10،</w:t>
      </w:r>
    </w:p>
    <w:p>
      <w:pPr>
        <w:pStyle w:val="BookText"/>
      </w:pPr>
      <w:r>
        <w:rPr>
          <w:rFonts w:ascii="IRNazanin" w:hAnsi="IRNazanin" w:eastAsia="IRNazanin" w:cs="IRNazanin"/>
          <w:lang w:bidi="fa-IR"/>
          <w:color w:val="111111"/>
          <w:sz w:val="28"/>
          <w:szCs w:val="28"/>
          <w:rtl/>
        </w:rPr>
        <w:t xml:space="preserve">ص 789.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مناقب الامام الشافعي، ج15،</w:t>
      </w:r>
    </w:p>
    <w:p>
      <w:pPr>
        <w:pStyle w:val="BookText"/>
      </w:pPr>
      <w:r>
        <w:rPr>
          <w:rFonts w:ascii="IRNazanin" w:hAnsi="IRNazanin" w:eastAsia="IRNazanin" w:cs="IRNazanin"/>
          <w:lang w:bidi="fa-IR"/>
          <w:color w:val="111111"/>
          <w:sz w:val="28"/>
          <w:szCs w:val="28"/>
          <w:rtl/>
        </w:rPr>
        <w:t xml:space="preserve">ص 540.</w:t>
      </w:r>
    </w:p>
    <w:p>
      <w:pPr>
        <w:pStyle w:val="BookText"/>
      </w:pPr>
      <w:r>
        <w:rPr>
          <w:rFonts w:ascii="Amiri" w:hAnsi="Amiri" w:eastAsia="Amiri" w:cs="Amiri"/>
          <w:lang w:bidi="ar-SA"/>
          <w:color w:val="111111"/>
          <w:sz w:val="28"/>
          <w:szCs w:val="28"/>
          <w:rtl/>
        </w:rPr>
        <w:t xml:space="preserve">8 .المنتقي من المعجم المختصر للذهبي، ج 15 ، ص 633.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4" w:name="pg7742_69562"/>
    <w:bookmarkEnd w:id="104"/>
    <w:p>
      <w:pPr>
        <w:pStyle w:val="Heading2"/>
      </w:pPr>
      <w:bookmarkStart w:id="1599" w:name="_Toc701"/>
      <w:r>
        <w:t>ابن قاضي شهبة ، محمّد بن ابي بكر - 874ه-</w:t>
      </w:r>
      <w:bookmarkEnd w:id="1599"/>
    </w:p>
    <w:p>
      <w:pPr>
        <w:pStyle w:val="BookText"/>
      </w:pPr>
      <w:r>
        <w:rPr>
          <w:rFonts w:ascii="IRNazanin" w:hAnsi="IRNazanin" w:eastAsia="IRNazanin" w:cs="IRNazanin"/>
          <w:lang w:bidi="fa-IR"/>
          <w:color w:val="111111"/>
          <w:sz w:val="28"/>
          <w:szCs w:val="28"/>
          <w:rtl/>
        </w:rPr>
        <w:t xml:space="preserve">1 .ارشاد المحتاج إلى شرح المنهاج</w:t>
      </w:r>
    </w:p>
    <w:p>
      <w:pPr>
        <w:pStyle w:val="BookText"/>
      </w:pPr>
      <w:r>
        <w:rPr>
          <w:rFonts w:ascii="IRNazanin" w:hAnsi="IRNazanin" w:eastAsia="IRNazanin" w:cs="IRNazanin"/>
          <w:lang w:bidi="fa-IR"/>
          <w:color w:val="111111"/>
          <w:sz w:val="28"/>
          <w:szCs w:val="28"/>
          <w:rtl/>
        </w:rPr>
        <w:t xml:space="preserve">ج 2، ص 48 .</w:t>
      </w:r>
    </w:p>
    <w:p>
      <w:pPr>
        <w:pStyle w:val="BookText"/>
      </w:pPr>
      <w:r>
        <w:rPr>
          <w:rFonts w:ascii="Amiri" w:hAnsi="Amiri" w:eastAsia="Amiri" w:cs="Amiri"/>
          <w:lang w:bidi="ar-SA"/>
          <w:color w:val="111111"/>
          <w:sz w:val="28"/>
          <w:szCs w:val="28"/>
          <w:rtl/>
        </w:rPr>
        <w:t xml:space="preserve">2 .بداية المحتاج في شرح المنهاج، ج 3،</w:t>
      </w:r>
    </w:p>
    <w:p>
      <w:pPr>
        <w:pStyle w:val="BookText"/>
      </w:pPr>
      <w:r>
        <w:rPr>
          <w:rFonts w:ascii="IRNazanin" w:hAnsi="IRNazanin" w:eastAsia="IRNazanin" w:cs="IRNazanin"/>
          <w:lang w:bidi="fa-IR"/>
          <w:color w:val="111111"/>
          <w:sz w:val="28"/>
          <w:szCs w:val="28"/>
          <w:rtl/>
        </w:rPr>
        <w:t xml:space="preserve">ص 248.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المواهب السنية في شرح الاشنهية</w:t>
      </w:r>
    </w:p>
    <w:p>
      <w:pPr>
        <w:pStyle w:val="BookText"/>
      </w:pPr>
      <w:r>
        <w:rPr>
          <w:rFonts w:ascii="IRNazanin" w:hAnsi="IRNazanin" w:eastAsia="IRNazanin" w:cs="IRNazanin"/>
          <w:lang w:bidi="fa-IR"/>
          <w:color w:val="111111"/>
          <w:sz w:val="28"/>
          <w:szCs w:val="28"/>
          <w:rtl/>
        </w:rPr>
        <w:t xml:space="preserve">ج 15، ص 888</w:t>
      </w:r>
    </w:p>
    <w:p>
      <w:pPr>
        <w:pStyle w:val="Heading2"/>
      </w:pPr>
      <w:bookmarkStart w:id="1600" w:name="_Toc702"/>
      <w:r>
        <w:t>ابن قاضي عجلون ، ابوبکر بن عبدالله</w:t>
      </w:r>
      <w:bookmarkEnd w:id="1600"/>
    </w:p>
    <w:p>
      <w:pPr>
        <w:pStyle w:val="BookText"/>
      </w:pPr>
      <w:r>
        <w:rPr>
          <w:rFonts w:ascii="IRNazanin" w:hAnsi="IRNazanin" w:eastAsia="IRNazanin" w:cs="IRNazanin"/>
          <w:lang w:bidi="fa-IR"/>
          <w:color w:val="111111"/>
          <w:sz w:val="28"/>
          <w:szCs w:val="28"/>
          <w:rtl/>
        </w:rPr>
        <w:t xml:space="preserve">441 - 928 ه-</w:t>
      </w:r>
    </w:p>
    <w:p>
      <w:pPr>
        <w:pStyle w:val="BookText"/>
      </w:pPr>
      <w:r>
        <w:rPr>
          <w:rFonts w:ascii="Amiri" w:hAnsi="Amiri" w:eastAsia="Amiri" w:cs="Amiri"/>
          <w:lang w:bidi="ar-SA"/>
          <w:color w:val="111111"/>
          <w:sz w:val="28"/>
          <w:szCs w:val="28"/>
          <w:rtl/>
        </w:rPr>
        <w:t xml:space="preserve">الكنز الاكبر في الامر بالمعروف والنهي</w:t>
      </w:r>
    </w:p>
    <w:p>
      <w:pPr>
        <w:pStyle w:val="BookText"/>
      </w:pPr>
      <w:r>
        <w:rPr>
          <w:rFonts w:ascii="Amiri" w:hAnsi="Amiri" w:eastAsia="Amiri" w:cs="Amiri"/>
          <w:lang w:bidi="ar-SA"/>
          <w:color w:val="111111"/>
          <w:sz w:val="28"/>
          <w:szCs w:val="28"/>
          <w:rtl/>
        </w:rPr>
        <w:t xml:space="preserve">عن المنكر، ج13، ص 403.</w:t>
      </w:r>
    </w:p>
    <w:p>
      <w:pPr>
        <w:pStyle w:val="Heading2"/>
      </w:pPr>
      <w:bookmarkStart w:id="1601" w:name="_Toc703"/>
      <w:r>
        <w:t>ابن قاضي عجلون ، محمّد بن عبدالله</w:t>
      </w:r>
      <w:bookmarkEnd w:id="1601"/>
    </w:p>
    <w:p>
      <w:pPr>
        <w:pStyle w:val="BookText"/>
      </w:pPr>
      <w:r>
        <w:rPr>
          <w:rFonts w:ascii="IRNazanin" w:hAnsi="IRNazanin" w:eastAsia="IRNazanin" w:cs="IRNazanin"/>
          <w:lang w:bidi="fa-IR"/>
          <w:color w:val="111111"/>
          <w:sz w:val="28"/>
          <w:szCs w:val="28"/>
          <w:rtl/>
        </w:rPr>
        <w:t xml:space="preserve">831 - 876 ه-</w:t>
      </w:r>
    </w:p>
    <w:p>
      <w:pPr>
        <w:pStyle w:val="BookText"/>
      </w:pPr>
      <w:r>
        <w:rPr>
          <w:rFonts w:ascii="Amiri" w:hAnsi="Amiri" w:eastAsia="Amiri" w:cs="Amiri"/>
          <w:lang w:bidi="ar-SA"/>
          <w:color w:val="111111"/>
          <w:sz w:val="28"/>
          <w:szCs w:val="28"/>
          <w:rtl/>
        </w:rPr>
        <w:t xml:space="preserve">.1 .اعلان ذوي الالباب بان «سبحانك ما عرفناك حق معرفتك» هو الصواب، ج 2، ص 570.</w:t>
      </w:r>
    </w:p>
    <w:p>
      <w:pPr>
        <w:pStyle w:val="BookText"/>
      </w:pPr>
      <w:r>
        <w:rPr>
          <w:rFonts w:ascii="Amiri" w:hAnsi="Amiri" w:eastAsia="Amiri" w:cs="Amiri"/>
          <w:lang w:bidi="ar-SA"/>
          <w:color w:val="111111"/>
          <w:sz w:val="28"/>
          <w:szCs w:val="28"/>
          <w:rtl/>
        </w:rPr>
        <w:t xml:space="preserve">بديع المعاني في شرح عقيدة</w:t>
      </w:r>
    </w:p>
    <w:p>
      <w:pPr>
        <w:pStyle w:val="BookText"/>
      </w:pPr>
      <w:r>
        <w:rPr>
          <w:rFonts w:ascii="Amiri" w:hAnsi="Amiri" w:eastAsia="Amiri" w:cs="Amiri"/>
          <w:lang w:bidi="ar-SA"/>
          <w:color w:val="111111"/>
          <w:sz w:val="28"/>
          <w:szCs w:val="28"/>
          <w:rtl/>
        </w:rPr>
        <w:t xml:space="preserve">2.الشيباني، ج3، ص279.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تصحيح المنهاج، ج4، ص 400 .</w:t>
      </w:r>
    </w:p>
    <w:p>
      <w:pPr>
        <w:pStyle w:val="BookText"/>
      </w:pPr>
      <w:r>
        <w:rPr>
          <w:rFonts w:ascii="Amiri" w:hAnsi="Amiri" w:eastAsia="Amiri" w:cs="Amiri"/>
          <w:lang w:bidi="ar-SA"/>
          <w:color w:val="111111"/>
          <w:sz w:val="28"/>
          <w:szCs w:val="28"/>
          <w:rtl/>
        </w:rPr>
        <w:t xml:space="preserve">4 .تصحيح غاية الاختصار، ج 4،</w:t>
      </w:r>
    </w:p>
    <w:p>
      <w:pPr>
        <w:pStyle w:val="BookText"/>
      </w:pPr>
      <w:r>
        <w:rPr>
          <w:rFonts w:ascii="IRNazanin" w:hAnsi="IRNazanin" w:eastAsia="IRNazanin" w:cs="IRNazanin"/>
          <w:lang w:bidi="fa-IR"/>
          <w:color w:val="111111"/>
          <w:sz w:val="28"/>
          <w:szCs w:val="28"/>
          <w:rtl/>
        </w:rPr>
        <w:t xml:space="preserve">ص 398.</w:t>
      </w:r>
    </w:p>
    <w:p>
      <w:pPr>
        <w:pStyle w:val="BookText"/>
      </w:pPr>
      <w:r>
        <w:rPr>
          <w:rFonts w:ascii="Amiri" w:hAnsi="Amiri" w:eastAsia="Amiri" w:cs="Amiri"/>
          <w:lang w:bidi="ar-SA"/>
          <w:color w:val="111111"/>
          <w:sz w:val="28"/>
          <w:szCs w:val="28"/>
          <w:rtl/>
        </w:rPr>
        <w:t xml:space="preserve">5 .مغني الراغبين إلى منهاج الطالبين</w:t>
      </w:r>
    </w:p>
    <w:p>
      <w:pPr>
        <w:pStyle w:val="BookText"/>
      </w:pPr>
      <w:r>
        <w:rPr>
          <w:rFonts w:ascii="IRNazanin" w:hAnsi="IRNazanin" w:eastAsia="IRNazanin" w:cs="IRNazanin"/>
          <w:lang w:bidi="fa-IR"/>
          <w:color w:val="111111"/>
          <w:sz w:val="28"/>
          <w:szCs w:val="28"/>
          <w:rtl/>
        </w:rPr>
        <w:t xml:space="preserve">ج 15، ص 118.</w:t>
      </w:r>
    </w:p>
    <w:p>
      <w:pPr>
        <w:pStyle w:val="BookText"/>
      </w:pPr>
      <w:r>
        <w:rPr>
          <w:rFonts w:ascii="Amiri" w:hAnsi="Amiri" w:eastAsia="Amiri" w:cs="Amiri"/>
          <w:lang w:bidi="ar-SA"/>
          <w:color w:val="111111"/>
          <w:sz w:val="28"/>
          <w:szCs w:val="28"/>
          <w:rtl/>
        </w:rPr>
        <w:t xml:space="preserve">6 .نصيحة الاحباب في لبس فرو</w:t>
      </w:r>
    </w:p>
    <w:p>
      <w:pPr>
        <w:pStyle w:val="BookText"/>
      </w:pPr>
      <w:r>
        <w:rPr>
          <w:rFonts w:ascii="IRNazanin" w:hAnsi="IRNazanin" w:eastAsia="IRNazanin" w:cs="IRNazanin"/>
          <w:lang w:bidi="fa-IR"/>
          <w:color w:val="111111"/>
          <w:sz w:val="28"/>
          <w:szCs w:val="28"/>
          <w:rtl/>
        </w:rPr>
        <w:t xml:space="preserve">السنجاب، ج 16، ص 311.</w:t>
      </w:r>
    </w:p>
    <w:p>
      <w:pPr>
        <w:pStyle w:val="Heading2"/>
      </w:pPr>
      <w:bookmarkStart w:id="1602" w:name="_Toc704"/>
      <w:r>
        <w:t>ابن قاضي فاضل ، عبدالرحيم بن علي</w:t>
      </w:r>
      <w:bookmarkEnd w:id="1602"/>
    </w:p>
    <w:p>
      <w:pPr>
        <w:pStyle w:val="BookText"/>
      </w:pPr>
      <w:r>
        <w:rPr>
          <w:rFonts w:ascii="IRNazanin" w:hAnsi="IRNazanin" w:eastAsia="IRNazanin" w:cs="IRNazanin"/>
          <w:lang w:bidi="fa-IR"/>
          <w:color w:val="111111"/>
          <w:sz w:val="28"/>
          <w:szCs w:val="28"/>
          <w:rtl/>
        </w:rPr>
        <w:t xml:space="preserve">529 - 596 ه-</w:t>
      </w:r>
    </w:p>
    <w:p>
      <w:pPr>
        <w:pStyle w:val="BookText"/>
      </w:pPr>
      <w:r>
        <w:rPr>
          <w:rFonts w:ascii="Amiri" w:hAnsi="Amiri" w:eastAsia="Amiri" w:cs="Amiri"/>
          <w:lang w:bidi="ar-SA"/>
          <w:color w:val="111111"/>
          <w:sz w:val="28"/>
          <w:szCs w:val="28"/>
          <w:rtl/>
        </w:rPr>
        <w:t xml:space="preserve">رسائل القاضي الفاضل، ج8، ص 148.</w:t>
      </w:r>
    </w:p>
    <w:p>
      <w:pPr>
        <w:pStyle w:val="BookText"/>
      </w:pPr>
      <w:r>
        <w:rPr>
          <w:rFonts w:ascii="Amiri" w:hAnsi="Amiri" w:eastAsia="Amiri" w:cs="Amiri"/>
          <w:lang w:bidi="ar-SA"/>
          <w:color w:val="111111"/>
          <w:sz w:val="28"/>
          <w:szCs w:val="28"/>
          <w:rtl/>
        </w:rPr>
        <w:t xml:space="preserve">ابن قانع ، عبد الباقي بن قانع- ابن مرزوق</w:t>
      </w:r>
    </w:p>
    <w:p>
      <w:pPr>
        <w:pStyle w:val="BookText"/>
      </w:pPr>
      <w:r>
        <w:rPr>
          <w:rFonts w:ascii="Amiri" w:hAnsi="Amiri" w:eastAsia="Amiri" w:cs="Amiri"/>
          <w:lang w:bidi="ar-SA"/>
          <w:color w:val="111111"/>
          <w:sz w:val="28"/>
          <w:szCs w:val="28"/>
          <w:rtl/>
        </w:rPr>
        <w:t xml:space="preserve">، عبدالباقي بن قانع</w:t>
      </w:r>
    </w:p>
    <w:p>
      <w:pPr>
        <w:pStyle w:val="BookText"/>
      </w:pPr>
      <w:r>
        <w:rPr>
          <w:rFonts w:ascii="Amiri" w:hAnsi="Amiri" w:eastAsia="Amiri" w:cs="Amiri"/>
          <w:lang w:bidi="ar-SA"/>
          <w:color w:val="111111"/>
          <w:sz w:val="28"/>
          <w:szCs w:val="28"/>
          <w:rtl/>
        </w:rPr>
        <w:t xml:space="preserve">ابن قباقبي ، محمّد بن خليل- قباقبي</w:t>
      </w:r>
    </w:p>
    <w:p>
      <w:pPr>
        <w:pStyle w:val="BookText"/>
      </w:pPr>
      <w:r>
        <w:rPr>
          <w:rFonts w:ascii="Amiri" w:hAnsi="Amiri" w:eastAsia="Amiri" w:cs="Amiri"/>
          <w:lang w:bidi="ar-SA"/>
          <w:color w:val="111111"/>
          <w:sz w:val="28"/>
          <w:szCs w:val="28"/>
          <w:rtl/>
        </w:rPr>
        <w:t xml:space="preserve">محمّد بن خليل</w:t>
      </w:r>
    </w:p>
    <w:p>
      <w:pPr>
        <w:pStyle w:val="Heading2"/>
      </w:pPr>
      <w:bookmarkStart w:id="1603" w:name="_Toc705"/>
      <w:r>
        <w:t>ابن قتيبه ، عبدالله بن مسلم، 213-276ه-</w:t>
      </w:r>
      <w:bookmarkEnd w:id="1603"/>
    </w:p>
    <w:p>
      <w:pPr>
        <w:pStyle w:val="BookText"/>
      </w:pPr>
      <w:r>
        <w:rPr>
          <w:rFonts w:ascii="Amiri" w:hAnsi="Amiri" w:eastAsia="Amiri" w:cs="Amiri"/>
          <w:lang w:bidi="ar-SA"/>
          <w:color w:val="111111"/>
          <w:sz w:val="28"/>
          <w:szCs w:val="28"/>
          <w:rtl/>
        </w:rPr>
        <w:t xml:space="preserve">1 .ادب الكاتب، ج 1، ص 594.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اسماء الاضداد، ج 2، ص211</w:t>
      </w:r>
    </w:p>
    <w:p>
      <w:pPr>
        <w:pStyle w:val="BookText"/>
      </w:pPr>
      <w:r>
        <w:rPr>
          <w:rFonts w:ascii="Amiri" w:hAnsi="Amiri" w:eastAsia="Amiri" w:cs="Amiri"/>
          <w:lang w:bidi="ar-SA"/>
          <w:color w:val="111111"/>
          <w:sz w:val="28"/>
          <w:szCs w:val="28"/>
          <w:rtl/>
        </w:rPr>
        <w:t xml:space="preserve">3 .الأشربة و ذكر اختلاف الناس فيها،</w:t>
      </w:r>
    </w:p>
    <w:p>
      <w:pPr>
        <w:pStyle w:val="BookText"/>
      </w:pPr>
      <w:r>
        <w:rPr>
          <w:rFonts w:ascii="IRNazanin" w:hAnsi="IRNazanin" w:eastAsia="IRNazanin" w:cs="IRNazanin"/>
          <w:lang w:bidi="fa-IR"/>
          <w:color w:val="111111"/>
          <w:sz w:val="28"/>
          <w:szCs w:val="28"/>
          <w:rtl/>
        </w:rPr>
        <w:t xml:space="preserve">ج 2، ص 281</w:t>
      </w:r>
    </w:p>
    <w:p>
      <w:pPr>
        <w:pStyle w:val="BookText"/>
      </w:pPr>
      <w:r>
        <w:rPr>
          <w:rFonts w:ascii="Amiri" w:hAnsi="Amiri" w:eastAsia="Amiri" w:cs="Amiri"/>
          <w:lang w:bidi="ar-SA"/>
          <w:color w:val="111111"/>
          <w:sz w:val="28"/>
          <w:szCs w:val="28"/>
          <w:rtl/>
        </w:rPr>
        <w:t xml:space="preserve">4 .الامامة والسياسة، ج 2، ص 735.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الانواء، ج 2، ص 837.</w:t>
      </w:r>
    </w:p>
    <w:p>
      <w:pPr>
        <w:pStyle w:val="BookText"/>
      </w:pPr>
      <w:r>
        <w:rPr>
          <w:rFonts w:ascii="Amiri" w:hAnsi="Amiri" w:eastAsia="Amiri" w:cs="Amiri"/>
          <w:lang w:bidi="ar-SA"/>
          <w:color w:val="111111"/>
          <w:sz w:val="28"/>
          <w:szCs w:val="28"/>
          <w:rtl/>
        </w:rPr>
        <w:t xml:space="preserve">6 .تأويل مختلف الحديث، ج3،</w:t>
      </w:r>
    </w:p>
    <w:p>
      <w:pPr>
        <w:pStyle w:val="BookText"/>
      </w:pPr>
      <w:r>
        <w:rPr>
          <w:rFonts w:ascii="IRNazanin" w:hAnsi="IRNazanin" w:eastAsia="IRNazanin" w:cs="IRNazanin"/>
          <w:lang w:bidi="fa-IR"/>
          <w:color w:val="111111"/>
          <w:sz w:val="28"/>
          <w:szCs w:val="28"/>
          <w:rtl/>
        </w:rPr>
        <w:t xml:space="preserve">ص. 629 .</w:t>
      </w:r>
    </w:p>
    <w:p>
      <w:pPr>
        <w:pStyle w:val="BookText"/>
      </w:pPr>
      <w:r>
        <w:rPr>
          <w:rFonts w:ascii="Amiri" w:hAnsi="Amiri" w:eastAsia="Amiri" w:cs="Amiri"/>
          <w:lang w:bidi="ar-SA"/>
          <w:color w:val="111111"/>
          <w:sz w:val="28"/>
          <w:szCs w:val="28"/>
          <w:rtl/>
        </w:rPr>
        <w:t xml:space="preserve">7 .تأويل مشكل القرآن، ج 3، ص 630.</w:t>
      </w:r>
    </w:p>
    <w:p>
      <w:pPr>
        <w:pStyle w:val="BookText"/>
      </w:pPr>
      <w:r>
        <w:rPr>
          <w:rFonts w:ascii="Amiri" w:hAnsi="Amiri" w:eastAsia="Amiri" w:cs="Amiri"/>
          <w:lang w:bidi="ar-SA"/>
          <w:color w:val="111111"/>
          <w:sz w:val="28"/>
          <w:szCs w:val="28"/>
          <w:rtl/>
        </w:rPr>
        <w:t xml:space="preserve">8 .رسالة ابن قتيبة في الخط و القلم</w:t>
      </w:r>
    </w:p>
    <w:p>
      <w:pPr>
        <w:pStyle w:val="BookText"/>
      </w:pPr>
      <w:r>
        <w:rPr>
          <w:rFonts w:ascii="IRNazanin" w:hAnsi="IRNazanin" w:eastAsia="IRNazanin" w:cs="IRNazanin"/>
          <w:lang w:bidi="fa-IR"/>
          <w:color w:val="111111"/>
          <w:sz w:val="28"/>
          <w:szCs w:val="28"/>
          <w:rtl/>
        </w:rPr>
        <w:t xml:space="preserve">ج8، ص 159.</w:t>
      </w:r>
    </w:p>
    <w:p>
      <w:pPr>
        <w:pStyle w:val="BookText"/>
      </w:pPr>
      <w:r>
        <w:rPr>
          <w:rFonts w:ascii="IRNazanin" w:hAnsi="IRNazanin" w:eastAsia="IRNazanin" w:cs="IRNazanin"/>
          <w:lang w:bidi="fa-IR"/>
          <w:color w:val="111111"/>
          <w:sz w:val="28"/>
          <w:szCs w:val="28"/>
          <w:rtl/>
        </w:rPr>
        <w:t xml:space="preserve">9 .الشعر والشعراء - طبقات</w:t>
      </w:r>
    </w:p>
    <w:p>
      <w:pPr>
        <w:pStyle w:val="BookText"/>
      </w:pPr>
      <w:r>
        <w:rPr>
          <w:rFonts w:ascii="IRNazanin" w:hAnsi="IRNazanin" w:eastAsia="IRNazanin" w:cs="IRNazanin"/>
          <w:lang w:bidi="fa-IR"/>
          <w:color w:val="111111"/>
          <w:sz w:val="28"/>
          <w:szCs w:val="28"/>
          <w:rtl/>
        </w:rPr>
        <w:t xml:space="preserve">الشعراء، ج 10، ص 370.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غريب القرآن، ج 11، ص 492</w:t>
      </w:r>
    </w:p>
    <w:p>
      <w:pPr>
        <w:pStyle w:val="BookText"/>
      </w:pPr>
      <w:r>
        <w:rPr>
          <w:rFonts w:ascii="Amiri" w:hAnsi="Amiri" w:eastAsia="Amiri" w:cs="Amiri"/>
          <w:lang w:bidi="ar-SA"/>
          <w:color w:val="111111"/>
          <w:sz w:val="28"/>
          <w:szCs w:val="28"/>
          <w:rtl/>
        </w:rPr>
        <w:t xml:space="preserve">11 .فضل ابي بكر الصديق (رسالة في)</w:t>
      </w:r>
    </w:p>
    <w:p>
      <w:pPr>
        <w:pStyle w:val="BookText"/>
      </w:pPr>
      <w:r>
        <w:rPr>
          <w:rFonts w:ascii="IRNazanin" w:hAnsi="IRNazanin" w:eastAsia="IRNazanin" w:cs="IRNazanin"/>
          <w:lang w:bidi="fa-IR"/>
          <w:color w:val="111111"/>
          <w:sz w:val="28"/>
          <w:szCs w:val="28"/>
          <w:rtl/>
        </w:rPr>
        <w:t xml:space="preserve">ج 12، ص22.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المسائل، ج 14، ص 429.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المعارف، ج 14، ص 843.</w:t>
      </w:r>
    </w:p>
    <w:p>
      <w:pPr>
        <w:pStyle w:val="Heading2"/>
      </w:pPr>
      <w:bookmarkStart w:id="1604" w:name="_Toc706"/>
      <w:r>
        <w:t>ابن قدامه عبدالله بن احمد 541-620ه-</w:t>
      </w:r>
      <w:bookmarkEnd w:id="1604"/>
    </w:p>
    <w:p>
      <w:pPr>
        <w:pStyle w:val="BookText"/>
      </w:pPr>
      <w:r>
        <w:rPr>
          <w:rFonts w:ascii="Amiri" w:hAnsi="Amiri" w:eastAsia="Amiri" w:cs="Amiri"/>
          <w:lang w:bidi="ar-SA"/>
          <w:color w:val="111111"/>
          <w:sz w:val="28"/>
          <w:szCs w:val="28"/>
          <w:rtl/>
        </w:rPr>
        <w:t xml:space="preserve">1 .التبيين في انساب القرشيين، ج3،</w:t>
      </w:r>
    </w:p>
    <w:p>
      <w:pPr>
        <w:pStyle w:val="BookText"/>
      </w:pPr>
      <w:r>
        <w:rPr>
          <w:rFonts w:ascii="IRNazanin" w:hAnsi="IRNazanin" w:eastAsia="IRNazanin" w:cs="IRNazanin"/>
          <w:lang w:bidi="fa-IR"/>
          <w:color w:val="111111"/>
          <w:sz w:val="28"/>
          <w:szCs w:val="28"/>
          <w:rtl/>
        </w:rPr>
        <w:t xml:space="preserve">ص 667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التنزيه والتفويض، ج 5 ، ص 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ذم الوسواس، ج7، ص 867.</w:t>
      </w:r>
    </w:p>
    <w:p>
      <w:pPr>
        <w:pStyle w:val="BookText"/>
      </w:pPr>
      <w:r>
        <w:rPr>
          <w:rFonts w:ascii="Amiri" w:hAnsi="Amiri" w:eastAsia="Amiri" w:cs="Amiri"/>
          <w:lang w:bidi="ar-SA"/>
          <w:color w:val="111111"/>
          <w:sz w:val="28"/>
          <w:szCs w:val="28"/>
          <w:rtl/>
        </w:rPr>
        <w:t xml:space="preserve">4 .السماع (رسالة في)، ج8، ص828.</w:t>
      </w:r>
    </w:p>
    <w:p>
      <w:pPr>
        <w:pStyle w:val="BookText"/>
      </w:pPr>
      <w:r>
        <w:rPr>
          <w:rFonts w:ascii="Amiri" w:hAnsi="Amiri" w:eastAsia="Amiri" w:cs="Amiri"/>
          <w:lang w:bidi="ar-SA"/>
          <w:color w:val="111111"/>
          <w:sz w:val="28"/>
          <w:szCs w:val="28"/>
          <w:rtl/>
        </w:rPr>
        <w:t xml:space="preserve">5 .عقيدة الامام موفق ابن قدامة</w:t>
      </w:r>
    </w:p>
    <w:p>
      <w:pPr>
        <w:pStyle w:val="BookText"/>
      </w:pPr>
      <w:r>
        <w:rPr>
          <w:rFonts w:ascii="Amiri" w:hAnsi="Amiri" w:eastAsia="Amiri" w:cs="Amiri"/>
          <w:lang w:bidi="ar-SA"/>
          <w:color w:val="111111"/>
          <w:sz w:val="28"/>
          <w:szCs w:val="28"/>
          <w:rtl/>
        </w:rPr>
        <w:t xml:space="preserve">الحنبلي، ج 11، ص199.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5" w:name="pg7742_69564"/>
    <w:bookmarkEnd w:id="105"/>
    <w:p>
      <w:pPr>
        <w:pStyle w:val="BookText"/>
      </w:pPr>
      <w:r>
        <w:rPr>
          <w:rFonts w:ascii="Amiri" w:hAnsi="Amiri" w:eastAsia="Amiri" w:cs="Amiri"/>
          <w:lang w:bidi="ar-SA"/>
          <w:color w:val="111111"/>
          <w:sz w:val="28"/>
          <w:szCs w:val="28"/>
          <w:rtl/>
        </w:rPr>
        <w:t xml:space="preserve">6 .عمدة الاحكام عن سيّد الانام، ج11،</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الفتاوى، ج 11، ص 592.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المغني في شرح مختصر الخرقي</w:t>
      </w:r>
    </w:p>
    <w:p>
      <w:pPr>
        <w:pStyle w:val="BookText"/>
      </w:pPr>
      <w:r>
        <w:rPr>
          <w:rFonts w:ascii="IRNazanin" w:hAnsi="IRNazanin" w:eastAsia="IRNazanin" w:cs="IRNazanin"/>
          <w:lang w:bidi="fa-IR"/>
          <w:color w:val="111111"/>
          <w:sz w:val="28"/>
          <w:szCs w:val="28"/>
          <w:rtl/>
        </w:rPr>
        <w:t xml:space="preserve">ج 15، ص 123.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منهاج الصادقين في فضل الخلفاء</w:t>
      </w:r>
    </w:p>
    <w:p>
      <w:pPr>
        <w:pStyle w:val="BookText"/>
      </w:pPr>
      <w:r>
        <w:rPr>
          <w:rFonts w:ascii="Amiri" w:hAnsi="Amiri" w:eastAsia="Amiri" w:cs="Amiri"/>
          <w:lang w:bidi="ar-SA"/>
          <w:color w:val="111111"/>
          <w:sz w:val="28"/>
          <w:szCs w:val="28"/>
          <w:rtl/>
        </w:rPr>
        <w:t xml:space="preserve">الراشدين لابن قدامة الحنبلي ج 15، ص 758 .</w:t>
      </w:r>
    </w:p>
    <w:p>
      <w:pPr>
        <w:pStyle w:val="Heading2"/>
      </w:pPr>
      <w:bookmarkStart w:id="1605" w:name="_Toc707"/>
      <w:r>
        <w:t>ابن قدامه ، مفضل بن قدامه قرن 2 ه-</w:t>
      </w:r>
      <w:bookmarkEnd w:id="1605"/>
    </w:p>
    <w:p>
      <w:pPr>
        <w:pStyle w:val="BookText"/>
      </w:pPr>
      <w:r>
        <w:rPr>
          <w:rFonts w:ascii="Amiri" w:hAnsi="Amiri" w:eastAsia="Amiri" w:cs="Amiri"/>
          <w:lang w:bidi="ar-SA"/>
          <w:color w:val="111111"/>
          <w:sz w:val="28"/>
          <w:szCs w:val="28"/>
          <w:rtl/>
        </w:rPr>
        <w:t xml:space="preserve">ام الرجز = ارجوزة في العربية و اللغة</w:t>
      </w:r>
    </w:p>
    <w:p>
      <w:pPr>
        <w:pStyle w:val="BookText"/>
      </w:pPr>
      <w:r>
        <w:rPr>
          <w:rFonts w:ascii="IRNazanin" w:hAnsi="IRNazanin" w:eastAsia="IRNazanin" w:cs="IRNazanin"/>
          <w:lang w:bidi="fa-IR"/>
          <w:color w:val="111111"/>
          <w:sz w:val="28"/>
          <w:szCs w:val="28"/>
          <w:rtl/>
        </w:rPr>
        <w:t xml:space="preserve">ج 2، ص 707.</w:t>
      </w:r>
    </w:p>
    <w:p>
      <w:pPr>
        <w:pStyle w:val="Heading2"/>
      </w:pPr>
      <w:bookmarkStart w:id="1606" w:name="_Toc708"/>
      <w:r>
        <w:t>ابن قدامه مقدسي ، عبدالرحمن بن</w:t>
      </w:r>
      <w:bookmarkEnd w:id="1606"/>
    </w:p>
    <w:p>
      <w:pPr>
        <w:pStyle w:val="BookText"/>
      </w:pPr>
      <w:r>
        <w:rPr>
          <w:rFonts w:ascii="Amiri" w:hAnsi="Amiri" w:eastAsia="Amiri" w:cs="Amiri"/>
          <w:lang w:bidi="ar-SA"/>
          <w:color w:val="111111"/>
          <w:sz w:val="28"/>
          <w:szCs w:val="28"/>
          <w:rtl/>
        </w:rPr>
        <w:t xml:space="preserve">محمّد 197 - 682ه-</w:t>
      </w:r>
    </w:p>
    <w:p>
      <w:pPr>
        <w:pStyle w:val="BookText"/>
      </w:pPr>
      <w:r>
        <w:rPr>
          <w:rFonts w:ascii="Amiri" w:hAnsi="Amiri" w:eastAsia="Amiri" w:cs="Amiri"/>
          <w:lang w:bidi="ar-SA"/>
          <w:color w:val="111111"/>
          <w:sz w:val="28"/>
          <w:szCs w:val="28"/>
          <w:rtl/>
        </w:rPr>
        <w:t xml:space="preserve">1 .الشافي شرح المقنع للموفق بن</w:t>
      </w:r>
    </w:p>
    <w:p>
      <w:pPr>
        <w:pStyle w:val="BookText"/>
      </w:pPr>
      <w:r>
        <w:rPr>
          <w:rFonts w:ascii="Amiri" w:hAnsi="Amiri" w:eastAsia="Amiri" w:cs="Amiri"/>
          <w:lang w:bidi="ar-SA"/>
          <w:color w:val="111111"/>
          <w:sz w:val="28"/>
          <w:szCs w:val="28"/>
          <w:rtl/>
        </w:rPr>
        <w:t xml:space="preserve">قدامة، ج 9، ص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المشيخة، ج 14، ص 648.</w:t>
      </w:r>
    </w:p>
    <w:p>
      <w:pPr>
        <w:pStyle w:val="BookText"/>
      </w:pPr>
      <w:r>
        <w:rPr>
          <w:rFonts w:ascii="Amiri" w:hAnsi="Amiri" w:eastAsia="Amiri" w:cs="Amiri"/>
          <w:lang w:bidi="ar-SA"/>
          <w:color w:val="111111"/>
          <w:sz w:val="28"/>
          <w:szCs w:val="28"/>
          <w:rtl/>
        </w:rPr>
        <w:t xml:space="preserve">ابن قدامه مقدسي ، احمد بن عبد الله- مقدسي ، احمد بن عبدالله</w:t>
      </w:r>
    </w:p>
    <w:p>
      <w:pPr>
        <w:pStyle w:val="BookText"/>
      </w:pPr>
      <w:r>
        <w:rPr>
          <w:rFonts w:ascii="Amiri" w:hAnsi="Amiri" w:eastAsia="Amiri" w:cs="Amiri"/>
          <w:lang w:bidi="ar-SA"/>
          <w:color w:val="111111"/>
          <w:sz w:val="28"/>
          <w:szCs w:val="28"/>
          <w:rtl/>
        </w:rPr>
        <w:t xml:space="preserve">ابن قراجا ، يحيى بن قراجا -فاضل رهاوي</w:t>
      </w:r>
    </w:p>
    <w:p>
      <w:pPr>
        <w:pStyle w:val="BookText"/>
      </w:pPr>
      <w:r>
        <w:rPr>
          <w:rFonts w:ascii="Amiri" w:hAnsi="Amiri" w:eastAsia="Amiri" w:cs="Amiri"/>
          <w:lang w:bidi="ar-SA"/>
          <w:color w:val="111111"/>
          <w:sz w:val="28"/>
          <w:szCs w:val="28"/>
          <w:rtl/>
        </w:rPr>
        <w:t xml:space="preserve">، يحيى</w:t>
      </w:r>
    </w:p>
    <w:p>
      <w:pPr>
        <w:pStyle w:val="Heading2"/>
      </w:pPr>
      <w:bookmarkStart w:id="1607" w:name="_Toc709"/>
      <w:r>
        <w:t>ابن قربي ، محمّد خليل</w:t>
      </w:r>
      <w:bookmarkEnd w:id="1607"/>
    </w:p>
    <w:p>
      <w:pPr>
        <w:pStyle w:val="BookText"/>
      </w:pPr>
      <w:r>
        <w:rPr>
          <w:rFonts w:ascii="Amiri" w:hAnsi="Amiri" w:eastAsia="Amiri" w:cs="Amiri"/>
          <w:lang w:bidi="ar-SA"/>
          <w:color w:val="111111"/>
          <w:sz w:val="28"/>
          <w:szCs w:val="28"/>
          <w:rtl/>
        </w:rPr>
        <w:t xml:space="preserve">بديعية، ج3، ص289.</w:t>
      </w:r>
    </w:p>
    <w:p>
      <w:pPr>
        <w:pStyle w:val="BookText"/>
      </w:pPr>
      <w:r>
        <w:rPr>
          <w:rFonts w:ascii="Amiri" w:hAnsi="Amiri" w:eastAsia="Amiri" w:cs="Amiri"/>
          <w:lang w:bidi="ar-SA"/>
          <w:color w:val="111111"/>
          <w:sz w:val="28"/>
          <w:szCs w:val="28"/>
          <w:rtl/>
        </w:rPr>
        <w:t xml:space="preserve">ابن قرة الحراني ثابت بن قره</w:t>
      </w:r>
    </w:p>
    <w:p>
      <w:pPr>
        <w:pStyle w:val="Heading2"/>
      </w:pPr>
      <w:bookmarkStart w:id="1608" w:name="_Toc710"/>
      <w:r>
        <w:t>ابن قرقماز محمّد بن محمّد، 802-883ه-</w:t>
      </w:r>
      <w:bookmarkEnd w:id="1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اضحوكة المخزون والجد بعد</w:t>
      </w:r>
    </w:p>
    <w:p>
      <w:pPr>
        <w:pStyle w:val="BookText"/>
      </w:pPr>
      <w:r>
        <w:rPr>
          <w:rFonts w:ascii="IRNazanin" w:hAnsi="IRNazanin" w:eastAsia="IRNazanin" w:cs="IRNazanin"/>
          <w:lang w:bidi="fa-IR"/>
          <w:color w:val="111111"/>
          <w:sz w:val="28"/>
          <w:szCs w:val="28"/>
          <w:rtl/>
        </w:rPr>
        <w:t xml:space="preserve">المجون، ج2، ص 470.</w:t>
      </w:r>
    </w:p>
    <w:p>
      <w:pPr>
        <w:pStyle w:val="BookText"/>
      </w:pPr>
      <w:r>
        <w:rPr>
          <w:rFonts w:ascii="Amiri" w:hAnsi="Amiri" w:eastAsia="Amiri" w:cs="Amiri"/>
          <w:lang w:bidi="ar-SA"/>
          <w:color w:val="111111"/>
          <w:sz w:val="28"/>
          <w:szCs w:val="28"/>
          <w:rtl/>
        </w:rPr>
        <w:t xml:space="preserve">2 .زهر الربيع في شواهد البديع، ج8،</w:t>
      </w:r>
    </w:p>
    <w:p>
      <w:pPr>
        <w:pStyle w:val="BookText"/>
      </w:pPr>
      <w:r>
        <w:rPr>
          <w:rFonts w:ascii="IRNazanin" w:hAnsi="IRNazanin" w:eastAsia="IRNazanin" w:cs="IRNazanin"/>
          <w:lang w:bidi="fa-IR"/>
          <w:color w:val="111111"/>
          <w:sz w:val="28"/>
          <w:szCs w:val="28"/>
          <w:rtl/>
        </w:rPr>
        <w:t xml:space="preserve">ص 626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فتح الرحمن في تفسير القرآن، ج11،</w:t>
      </w:r>
    </w:p>
    <w:p>
      <w:pPr>
        <w:pStyle w:val="BookText"/>
      </w:pPr>
      <w:r>
        <w:rPr>
          <w:rFonts w:ascii="IRNazanin" w:hAnsi="IRNazanin" w:eastAsia="IRNazanin" w:cs="IRNazanin"/>
          <w:lang w:bidi="fa-IR"/>
          <w:color w:val="111111"/>
          <w:sz w:val="28"/>
          <w:szCs w:val="28"/>
          <w:rtl/>
        </w:rPr>
        <w:t xml:space="preserve">ص 654 .</w:t>
      </w:r>
    </w:p>
    <w:p>
      <w:pPr>
        <w:pStyle w:val="Heading2"/>
      </w:pPr>
      <w:bookmarkStart w:id="1609" w:name="_Toc711"/>
      <w:r>
        <w:t>ابن قرقول ، ابراهيم بن يوسف 505 -</w:t>
      </w:r>
      <w:bookmarkEnd w:id="1609"/>
    </w:p>
    <w:p>
      <w:pPr>
        <w:pStyle w:val="BookText"/>
      </w:pPr>
      <w:r>
        <w:rPr>
          <w:rFonts w:ascii="IRNazanin" w:hAnsi="IRNazanin" w:eastAsia="IRNazanin" w:cs="IRNazanin"/>
          <w:lang w:bidi="fa-IR"/>
          <w:color w:val="111111"/>
          <w:sz w:val="28"/>
          <w:szCs w:val="28"/>
          <w:rtl/>
        </w:rPr>
        <w:t xml:space="preserve">569 ه-</w:t>
      </w:r>
    </w:p>
    <w:p>
      <w:pPr>
        <w:pStyle w:val="BookText"/>
      </w:pPr>
      <w:r>
        <w:rPr>
          <w:rFonts w:ascii="Amiri" w:hAnsi="Amiri" w:eastAsia="Amiri" w:cs="Amiri"/>
          <w:lang w:bidi="ar-SA"/>
          <w:color w:val="111111"/>
          <w:sz w:val="28"/>
          <w:szCs w:val="28"/>
          <w:rtl/>
        </w:rPr>
        <w:t xml:space="preserve">مطالع الأنوار على صحاح الآثار في فتح ما استغلق من كتاب الموطأ و كتابي مسلم والبخاري = تصحيح مشارق الانوار على صحاح الآثار للقاضي عياض، ج 14 ، ص 771 .</w:t>
      </w:r>
    </w:p>
    <w:p>
      <w:pPr>
        <w:pStyle w:val="BookText"/>
      </w:pPr>
      <w:r>
        <w:rPr>
          <w:rFonts w:ascii="Amiri" w:hAnsi="Amiri" w:eastAsia="Amiri" w:cs="Amiri"/>
          <w:lang w:bidi="ar-SA"/>
          <w:color w:val="111111"/>
          <w:sz w:val="28"/>
          <w:szCs w:val="28"/>
          <w:rtl/>
        </w:rPr>
        <w:t xml:space="preserve">ابن قره داغي ، عمر بن محمد امين -مردوخي ، عمر بن محمد امين</w:t>
      </w:r>
    </w:p>
    <w:p>
      <w:pPr>
        <w:pStyle w:val="BookText"/>
      </w:pPr>
      <w:r>
        <w:rPr>
          <w:rFonts w:ascii="IRNazanin" w:hAnsi="IRNazanin" w:eastAsia="IRNazanin" w:cs="IRNazanin"/>
          <w:lang w:bidi="fa-IR"/>
          <w:color w:val="111111"/>
          <w:sz w:val="28"/>
          <w:szCs w:val="28"/>
          <w:rtl/>
        </w:rPr>
        <w:t xml:space="preserve">ابن قره دپه يي -قرق اغاجي ، سليمان بن</w:t>
      </w:r>
    </w:p>
    <w:p>
      <w:pPr>
        <w:pStyle w:val="BookText"/>
      </w:pPr>
      <w:r>
        <w:rPr>
          <w:rFonts w:ascii="IRNazanin" w:hAnsi="IRNazanin" w:eastAsia="IRNazanin" w:cs="IRNazanin"/>
          <w:lang w:bidi="fa-IR"/>
          <w:color w:val="111111"/>
          <w:sz w:val="28"/>
          <w:szCs w:val="28"/>
          <w:rtl/>
        </w:rPr>
        <w:t xml:space="preserve">سلیمان</w:t>
      </w:r>
    </w:p>
    <w:p>
      <w:pPr>
        <w:pStyle w:val="Heading2"/>
      </w:pPr>
      <w:bookmarkStart w:id="1610" w:name="_Toc712"/>
      <w:r>
        <w:t>ابن قزويني ، علي بن عمر، - 442 ه-</w:t>
      </w:r>
      <w:bookmarkEnd w:id="1610"/>
    </w:p>
    <w:p>
      <w:pPr>
        <w:pStyle w:val="BookText"/>
      </w:pPr>
      <w:r>
        <w:rPr>
          <w:rFonts w:ascii="Amiri" w:hAnsi="Amiri" w:eastAsia="Amiri" w:cs="Amiri"/>
          <w:lang w:bidi="ar-SA"/>
          <w:color w:val="111111"/>
          <w:sz w:val="28"/>
          <w:szCs w:val="28"/>
          <w:rtl/>
        </w:rPr>
        <w:t xml:space="preserve">الامالي، ج 2، ص 719.</w:t>
      </w:r>
    </w:p>
    <w:p>
      <w:pPr>
        <w:pStyle w:val="Heading2"/>
      </w:pPr>
      <w:bookmarkStart w:id="1611" w:name="_Toc713"/>
      <w:r>
        <w:t>ابن قضيب البان ، عبداللطيف</w:t>
      </w:r>
      <w:bookmarkEnd w:id="1611"/>
    </w:p>
    <w:p>
      <w:pPr>
        <w:pStyle w:val="BookText"/>
      </w:pPr>
      <w:r>
        <w:rPr>
          <w:rFonts w:ascii="Amiri" w:hAnsi="Amiri" w:eastAsia="Amiri" w:cs="Amiri"/>
          <w:lang w:bidi="ar-SA"/>
          <w:color w:val="111111"/>
          <w:sz w:val="28"/>
          <w:szCs w:val="28"/>
          <w:rtl/>
        </w:rPr>
        <w:t xml:space="preserve">مختصر الجامع الصغير، ج 14، ص 185.</w:t>
      </w:r>
    </w:p>
    <w:p>
      <w:pPr>
        <w:pStyle w:val="Heading2"/>
      </w:pPr>
      <w:bookmarkStart w:id="1612" w:name="_Toc714"/>
      <w:r>
        <w:t>ابن قضيب البان ، عبدالله بن محمّد -</w:t>
      </w:r>
      <w:bookmarkEnd w:id="1612"/>
    </w:p>
    <w:p>
      <w:pPr>
        <w:pStyle w:val="BookText"/>
      </w:pPr>
      <w:r>
        <w:rPr>
          <w:rFonts w:ascii="IRNazanin" w:hAnsi="IRNazanin" w:eastAsia="IRNazanin" w:cs="IRNazanin"/>
          <w:lang w:bidi="fa-IR"/>
          <w:color w:val="111111"/>
          <w:sz w:val="28"/>
          <w:szCs w:val="28"/>
          <w:rtl/>
        </w:rPr>
        <w:t xml:space="preserve">1096ه-</w:t>
      </w:r>
    </w:p>
    <w:p>
      <w:pPr>
        <w:pStyle w:val="BookText"/>
      </w:pPr>
      <w:r>
        <w:rPr>
          <w:rFonts w:ascii="Amiri" w:hAnsi="Amiri" w:eastAsia="Amiri" w:cs="Amiri"/>
          <w:lang w:bidi="ar-SA"/>
          <w:color w:val="111111"/>
          <w:sz w:val="28"/>
          <w:szCs w:val="28"/>
          <w:rtl/>
        </w:rPr>
        <w:t xml:space="preserve">1 .حل العقال = الفرج بعد الشدة</w:t>
      </w:r>
    </w:p>
    <w:p>
      <w:pPr>
        <w:pStyle w:val="BookText"/>
      </w:pPr>
      <w:r>
        <w:rPr>
          <w:rFonts w:ascii="IRNazanin" w:hAnsi="IRNazanin" w:eastAsia="IRNazanin" w:cs="IRNazanin"/>
          <w:lang w:bidi="fa-IR"/>
          <w:color w:val="111111"/>
          <w:sz w:val="28"/>
          <w:szCs w:val="28"/>
          <w:rtl/>
        </w:rPr>
        <w:t xml:space="preserve">ج 6 ، ص 0785</w:t>
      </w:r>
    </w:p>
    <w:p>
      <w:pPr>
        <w:pStyle w:val="BookText"/>
      </w:pPr>
      <w:r>
        <w:rPr>
          <w:rFonts w:ascii="Amiri" w:hAnsi="Amiri" w:eastAsia="Amiri" w:cs="Amiri"/>
          <w:lang w:bidi="ar-SA"/>
          <w:color w:val="111111"/>
          <w:sz w:val="28"/>
          <w:szCs w:val="28"/>
          <w:rtl/>
        </w:rPr>
        <w:t xml:space="preserve">2 .نفائح الازهار في كشف الاسرار عن</w:t>
      </w:r>
    </w:p>
    <w:p>
      <w:pPr>
        <w:pStyle w:val="BookText"/>
      </w:pPr>
      <w:r>
        <w:rPr>
          <w:rFonts w:ascii="IRNazanin" w:hAnsi="IRNazanin" w:eastAsia="IRNazanin" w:cs="IRNazanin"/>
          <w:lang w:bidi="fa-IR"/>
          <w:color w:val="111111"/>
          <w:sz w:val="28"/>
          <w:szCs w:val="28"/>
          <w:rtl/>
        </w:rPr>
        <w:t xml:space="preserve">الدر المختار ج 16 ، ص372.</w:t>
      </w:r>
    </w:p>
    <w:p>
      <w:pPr>
        <w:pStyle w:val="Heading2"/>
      </w:pPr>
      <w:bookmarkStart w:id="1613" w:name="_Toc715"/>
      <w:r>
        <w:t>ابن قطاع ، علي بن جعفر، 433 - 515 ه-</w:t>
      </w:r>
      <w:bookmarkEnd w:id="1613"/>
    </w:p>
    <w:p>
      <w:pPr>
        <w:pStyle w:val="BookText"/>
      </w:pPr>
      <w:r>
        <w:rPr>
          <w:rFonts w:ascii="Amiri" w:hAnsi="Amiri" w:eastAsia="Amiri" w:cs="Amiri"/>
          <w:lang w:bidi="ar-SA"/>
          <w:color w:val="111111"/>
          <w:sz w:val="28"/>
          <w:szCs w:val="28"/>
          <w:rtl/>
        </w:rPr>
        <w:t xml:space="preserve">العروض البارع بالاختصار و الجامع (منظوم) = البارع في علم العروض فيما</w:t>
      </w:r>
    </w:p>
    <w:p>
      <w:pPr>
        <w:pStyle w:val="BookText"/>
      </w:pPr>
      <w:r>
        <w:rPr>
          <w:rFonts w:ascii="Amiri" w:hAnsi="Amiri" w:eastAsia="Amiri" w:cs="Amiri"/>
          <w:lang w:bidi="ar-SA"/>
          <w:color w:val="111111"/>
          <w:sz w:val="28"/>
          <w:szCs w:val="28"/>
          <w:rtl/>
        </w:rPr>
        <w:t xml:space="preserve">ينظم عليه القريض، ج 11، ص 102.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6" w:name="pg7742_69566"/>
    <w:bookmarkEnd w:id="106"/>
    <w:p>
      <w:pPr>
        <w:pStyle w:val="BookText"/>
      </w:pPr>
      <w:r>
        <w:rPr>
          <w:rFonts w:ascii="Amiri" w:hAnsi="Amiri" w:eastAsia="Amiri" w:cs="Amiri"/>
          <w:lang w:bidi="ar-SA"/>
          <w:color w:val="111111"/>
          <w:sz w:val="28"/>
          <w:szCs w:val="28"/>
          <w:rtl/>
        </w:rPr>
        <w:t xml:space="preserve">ابن قطان ، عبدالله بن عدي- ابن عدي ،</w:t>
      </w:r>
    </w:p>
    <w:p>
      <w:pPr>
        <w:pStyle w:val="BookText"/>
      </w:pPr>
      <w:r>
        <w:rPr>
          <w:rFonts w:ascii="Amiri" w:hAnsi="Amiri" w:eastAsia="Amiri" w:cs="Amiri"/>
          <w:lang w:bidi="ar-SA"/>
          <w:color w:val="111111"/>
          <w:sz w:val="28"/>
          <w:szCs w:val="28"/>
          <w:rtl/>
        </w:rPr>
        <w:t xml:space="preserve">عبدالله بن عدي</w:t>
      </w:r>
    </w:p>
    <w:p>
      <w:pPr>
        <w:pStyle w:val="Heading2"/>
      </w:pPr>
      <w:bookmarkStart w:id="1614" w:name="_Toc716"/>
      <w:r>
        <w:t>ابن قطان ، محمّد بن احمد - 407 ه-</w:t>
      </w:r>
      <w:bookmarkEnd w:id="1614"/>
    </w:p>
    <w:p>
      <w:pPr>
        <w:pStyle w:val="BookText"/>
      </w:pPr>
      <w:r>
        <w:rPr>
          <w:rFonts w:ascii="IRNazanin" w:hAnsi="IRNazanin" w:eastAsia="IRNazanin" w:cs="IRNazanin"/>
          <w:lang w:bidi="fa-IR"/>
          <w:color w:val="111111"/>
          <w:sz w:val="28"/>
          <w:szCs w:val="28"/>
          <w:rtl/>
        </w:rPr>
        <w:t xml:space="preserve">الفوائد، ج 12، ص 168.</w:t>
      </w:r>
    </w:p>
    <w:p>
      <w:pPr>
        <w:pStyle w:val="BookText"/>
      </w:pPr>
      <w:r>
        <w:rPr>
          <w:rFonts w:ascii="Amiri" w:hAnsi="Amiri" w:eastAsia="Amiri" w:cs="Amiri"/>
          <w:lang w:bidi="ar-SA"/>
          <w:color w:val="111111"/>
          <w:sz w:val="28"/>
          <w:szCs w:val="28"/>
          <w:rtl/>
        </w:rPr>
        <w:t xml:space="preserve">ابن قطان ، محمد بن شجاع قطان حلي :</w:t>
      </w:r>
    </w:p>
    <w:p>
      <w:pPr>
        <w:pStyle w:val="BookText"/>
      </w:pPr>
      <w:r>
        <w:rPr>
          <w:rFonts w:ascii="IRNazanin" w:hAnsi="IRNazanin" w:eastAsia="IRNazanin" w:cs="IRNazanin"/>
          <w:lang w:bidi="fa-IR"/>
          <w:color w:val="111111"/>
          <w:sz w:val="28"/>
          <w:szCs w:val="28"/>
          <w:rtl/>
        </w:rPr>
        <w:t xml:space="preserve">محمّد بن شجاع</w:t>
      </w:r>
    </w:p>
    <w:p>
      <w:pPr>
        <w:pStyle w:val="BookText"/>
      </w:pPr>
      <w:r>
        <w:rPr>
          <w:rFonts w:ascii="Amiri" w:hAnsi="Amiri" w:eastAsia="Amiri" w:cs="Amiri"/>
          <w:lang w:bidi="ar-SA"/>
          <w:color w:val="111111"/>
          <w:sz w:val="28"/>
          <w:szCs w:val="28"/>
          <w:rtl/>
        </w:rPr>
        <w:t xml:space="preserve">ابن قطب ، عبد الرحيم بن ابراهيم ابن</w:t>
      </w:r>
    </w:p>
    <w:p>
      <w:pPr>
        <w:pStyle w:val="BookText"/>
      </w:pPr>
      <w:r>
        <w:rPr>
          <w:rFonts w:ascii="Amiri" w:hAnsi="Amiri" w:eastAsia="Amiri" w:cs="Amiri"/>
          <w:lang w:bidi="ar-SA"/>
          <w:color w:val="111111"/>
          <w:sz w:val="28"/>
          <w:szCs w:val="28"/>
          <w:rtl/>
        </w:rPr>
        <w:t xml:space="preserve">بارزي، عبدالرحيم بن ابراهيم</w:t>
      </w:r>
    </w:p>
    <w:p>
      <w:pPr>
        <w:pStyle w:val="Heading2"/>
      </w:pPr>
      <w:bookmarkStart w:id="1615" w:name="_Toc717"/>
      <w:r>
        <w:t>ابن قطلوبغا ، قاسم بن قطلوبغا، 802 -</w:t>
      </w:r>
      <w:bookmarkEnd w:id="1615"/>
    </w:p>
    <w:p>
      <w:pPr>
        <w:pStyle w:val="BookText"/>
      </w:pPr>
      <w:r>
        <w:rPr>
          <w:rFonts w:ascii="IRNazanin" w:hAnsi="IRNazanin" w:eastAsia="IRNazanin" w:cs="IRNazanin"/>
          <w:lang w:bidi="fa-IR"/>
          <w:color w:val="111111"/>
          <w:sz w:val="28"/>
          <w:szCs w:val="28"/>
          <w:rtl/>
        </w:rPr>
        <w:t xml:space="preserve">879 ه-</w:t>
      </w:r>
    </w:p>
    <w:p>
      <w:pPr>
        <w:pStyle w:val="BookText"/>
      </w:pPr>
      <w:r>
        <w:rPr>
          <w:rFonts w:ascii="IRNazanin" w:hAnsi="IRNazanin" w:eastAsia="IRNazanin" w:cs="IRNazanin"/>
          <w:lang w:bidi="fa-IR"/>
          <w:color w:val="111111"/>
          <w:sz w:val="28"/>
          <w:szCs w:val="28"/>
          <w:rtl/>
        </w:rPr>
        <w:t xml:space="preserve">1 .ابطال الاستبدال و شروط جوازه</w:t>
      </w:r>
    </w:p>
    <w:p>
      <w:pPr>
        <w:pStyle w:val="BookText"/>
      </w:pPr>
      <w:r>
        <w:rPr>
          <w:rFonts w:ascii="Amiri" w:hAnsi="Amiri" w:eastAsia="Amiri" w:cs="Amiri"/>
          <w:lang w:bidi="ar-SA"/>
          <w:color w:val="111111"/>
          <w:sz w:val="28"/>
          <w:szCs w:val="28"/>
          <w:rtl/>
        </w:rPr>
        <w:t xml:space="preserve">(رسالة في)، ج 1، ص 100.</w:t>
      </w:r>
    </w:p>
    <w:p>
      <w:pPr>
        <w:pStyle w:val="BookText"/>
      </w:pPr>
      <w:r>
        <w:rPr>
          <w:rFonts w:ascii="Amiri" w:hAnsi="Amiri" w:eastAsia="Amiri" w:cs="Amiri"/>
          <w:lang w:bidi="ar-SA"/>
          <w:color w:val="111111"/>
          <w:sz w:val="28"/>
          <w:szCs w:val="28"/>
          <w:rtl/>
        </w:rPr>
        <w:t xml:space="preserve">2 .اجارة الاقطاع، ج1، ص198.</w:t>
      </w:r>
    </w:p>
    <w:p>
      <w:pPr>
        <w:pStyle w:val="BookText"/>
      </w:pPr>
      <w:r>
        <w:rPr>
          <w:rFonts w:ascii="Amiri" w:hAnsi="Amiri" w:eastAsia="Amiri" w:cs="Amiri"/>
          <w:lang w:bidi="ar-SA"/>
          <w:color w:val="111111"/>
          <w:sz w:val="28"/>
          <w:szCs w:val="28"/>
          <w:rtl/>
        </w:rPr>
        <w:t xml:space="preserve">3.بيان السهو في المسجدات على المذهب الحنفي (رسالة في)، ج3،</w:t>
      </w:r>
    </w:p>
    <w:p>
      <w:pPr>
        <w:pStyle w:val="BookText"/>
      </w:pPr>
      <w:r>
        <w:rPr>
          <w:rFonts w:ascii="IRNazanin" w:hAnsi="IRNazanin" w:eastAsia="IRNazanin" w:cs="IRNazanin"/>
          <w:lang w:bidi="fa-IR"/>
          <w:color w:val="111111"/>
          <w:sz w:val="28"/>
          <w:szCs w:val="28"/>
          <w:rtl/>
        </w:rPr>
        <w:t xml:space="preserve">ص 473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تاج التراجم = طبقات الحنفية، ج3،</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التراويح والوتر (رسالة في)، ج4،</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Amiri" w:hAnsi="Amiri" w:eastAsia="Amiri" w:cs="Amiri"/>
          <w:lang w:bidi="ar-SA"/>
          <w:color w:val="111111"/>
          <w:sz w:val="28"/>
          <w:szCs w:val="28"/>
          <w:rtl/>
        </w:rPr>
        <w:t xml:space="preserve">6 .الترجيع و التصحيح على القدوري</w:t>
      </w:r>
    </w:p>
    <w:p>
      <w:pPr>
        <w:pStyle w:val="BookText"/>
      </w:pPr>
      <w:r>
        <w:rPr>
          <w:rFonts w:ascii="IRNazanin" w:hAnsi="IRNazanin" w:eastAsia="IRNazanin" w:cs="IRNazanin"/>
          <w:lang w:bidi="fa-IR"/>
          <w:color w:val="111111"/>
          <w:sz w:val="28"/>
          <w:szCs w:val="28"/>
          <w:rtl/>
        </w:rPr>
        <w:t xml:space="preserve">ج 4 ، ص 304.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تصحيح القدوري، ج4، ص399.</w:t>
      </w:r>
    </w:p>
    <w:p>
      <w:pPr>
        <w:pStyle w:val="BookText"/>
      </w:pPr>
      <w:r>
        <w:rPr>
          <w:rFonts w:ascii="Amiri" w:hAnsi="Amiri" w:eastAsia="Amiri" w:cs="Amiri"/>
          <w:lang w:bidi="ar-SA"/>
          <w:color w:val="111111"/>
          <w:sz w:val="28"/>
          <w:szCs w:val="28"/>
          <w:rtl/>
        </w:rPr>
        <w:t xml:space="preserve">8.تقويم الميزان، ج 4، ص 805.</w:t>
      </w:r>
    </w:p>
    <w:p>
      <w:pPr>
        <w:pStyle w:val="BookText"/>
      </w:pPr>
      <w:r>
        <w:rPr>
          <w:rFonts w:ascii="Amiri" w:hAnsi="Amiri" w:eastAsia="Amiri" w:cs="Amiri"/>
          <w:lang w:bidi="ar-SA"/>
          <w:color w:val="111111"/>
          <w:sz w:val="28"/>
          <w:szCs w:val="28"/>
          <w:rtl/>
        </w:rPr>
        <w:t xml:space="preserve">9 .حاشية شرح نخبة الفكر في مصطلح</w:t>
      </w:r>
    </w:p>
    <w:p>
      <w:pPr>
        <w:pStyle w:val="BookText"/>
      </w:pPr>
      <w:r>
        <w:rPr>
          <w:rFonts w:ascii="IRNazanin" w:hAnsi="IRNazanin" w:eastAsia="IRNazanin" w:cs="IRNazanin"/>
          <w:lang w:bidi="fa-IR"/>
          <w:color w:val="111111"/>
          <w:sz w:val="28"/>
          <w:szCs w:val="28"/>
          <w:rtl/>
        </w:rPr>
        <w:t xml:space="preserve">اهل الاثر، ج6، ص210.</w:t>
      </w:r>
    </w:p>
    <w:p>
      <w:pPr>
        <w:pStyle w:val="BookText"/>
      </w:pPr>
      <w:r>
        <w:rPr>
          <w:rFonts w:ascii="Amiri" w:hAnsi="Amiri" w:eastAsia="Amiri" w:cs="Amiri"/>
          <w:lang w:bidi="ar-SA"/>
          <w:color w:val="111111"/>
          <w:sz w:val="28"/>
          <w:szCs w:val="28"/>
          <w:rtl/>
        </w:rPr>
        <w:t xml:space="preserve">10 .رد القول الخائب في القضاء على</w:t>
      </w:r>
    </w:p>
    <w:p>
      <w:pPr>
        <w:pStyle w:val="BookText"/>
      </w:pPr>
      <w:r>
        <w:rPr>
          <w:rFonts w:ascii="IRNazanin" w:hAnsi="IRNazanin" w:eastAsia="IRNazanin" w:cs="IRNazanin"/>
          <w:lang w:bidi="fa-IR"/>
          <w:color w:val="111111"/>
          <w:sz w:val="28"/>
          <w:szCs w:val="28"/>
          <w:rtl/>
        </w:rPr>
        <w:t xml:space="preserve">الغائب، ج8، ص110.</w:t>
      </w:r>
    </w:p>
    <w:p>
      <w:pPr>
        <w:pStyle w:val="BookText"/>
      </w:pPr>
      <w:r>
        <w:rPr>
          <w:rFonts w:ascii="Amiri" w:hAnsi="Amiri" w:eastAsia="Amiri" w:cs="Amiri"/>
          <w:lang w:bidi="ar-SA"/>
          <w:color w:val="111111"/>
          <w:sz w:val="28"/>
          <w:szCs w:val="28"/>
          <w:rtl/>
        </w:rPr>
        <w:t xml:space="preserve">11 .رفع الاشتباه عن مسالة المياه، ج8،</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شرح مختصر المنار، ج 10، ص123.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طبقات فقهاء الحنفية = تراجم</w:t>
      </w:r>
    </w:p>
    <w:p>
      <w:pPr>
        <w:pStyle w:val="BookText"/>
      </w:pPr>
      <w:r>
        <w:rPr>
          <w:rFonts w:ascii="Amiri" w:hAnsi="Amiri" w:eastAsia="Amiri" w:cs="Amiri"/>
          <w:lang w:bidi="ar-SA"/>
          <w:color w:val="111111"/>
          <w:sz w:val="28"/>
          <w:szCs w:val="28"/>
          <w:rtl/>
        </w:rPr>
        <w:t xml:space="preserve">الحنفية، ج 10، ص 784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الفتاوى القاسمية، ج11، ص 623.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موجبات الاحکام و واقعات الايام</w:t>
      </w:r>
    </w:p>
    <w:p>
      <w:pPr>
        <w:pStyle w:val="BookText"/>
      </w:pPr>
      <w:r>
        <w:rPr>
          <w:rFonts w:ascii="IRNazanin" w:hAnsi="IRNazanin" w:eastAsia="IRNazanin" w:cs="IRNazanin"/>
          <w:lang w:bidi="fa-IR"/>
          <w:color w:val="111111"/>
          <w:sz w:val="28"/>
          <w:szCs w:val="28"/>
          <w:rtl/>
        </w:rPr>
        <w:t xml:space="preserve">ج 16، ص 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نفحة الازهار، ج 16 ، ص389.</w:t>
      </w:r>
    </w:p>
    <w:p>
      <w:pPr>
        <w:pStyle w:val="BookText"/>
      </w:pPr>
      <w:r>
        <w:rPr>
          <w:rFonts w:ascii="Amiri" w:hAnsi="Amiri" w:eastAsia="Amiri" w:cs="Amiri"/>
          <w:lang w:bidi="ar-SA"/>
          <w:color w:val="111111"/>
          <w:sz w:val="28"/>
          <w:szCs w:val="28"/>
          <w:rtl/>
        </w:rPr>
        <w:t xml:space="preserve">17 .وصل التطوع بالقرض الاصل في</w:t>
      </w:r>
    </w:p>
    <w:p>
      <w:pPr>
        <w:pStyle w:val="BookText"/>
      </w:pPr>
      <w:r>
        <w:rPr>
          <w:rFonts w:ascii="Amiri" w:hAnsi="Amiri" w:eastAsia="Amiri" w:cs="Amiri"/>
          <w:lang w:bidi="ar-SA"/>
          <w:color w:val="111111"/>
          <w:sz w:val="28"/>
          <w:szCs w:val="28"/>
          <w:rtl/>
        </w:rPr>
        <w:t xml:space="preserve">بيان الوصل (رسالة في)، ج 16،</w:t>
      </w:r>
    </w:p>
    <w:p>
      <w:pPr>
        <w:pStyle w:val="BookText"/>
      </w:pPr>
      <w:r>
        <w:rPr>
          <w:rFonts w:ascii="IRNazanin" w:hAnsi="IRNazanin" w:eastAsia="IRNazanin" w:cs="IRNazanin"/>
          <w:lang w:bidi="fa-IR"/>
          <w:color w:val="111111"/>
          <w:sz w:val="28"/>
          <w:szCs w:val="28"/>
          <w:rtl/>
        </w:rPr>
        <w:t xml:space="preserve">ص 806.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الوقائع، ج 16، ص 862.</w:t>
      </w:r>
    </w:p>
    <w:p>
      <w:pPr>
        <w:pStyle w:val="Heading2"/>
      </w:pPr>
      <w:bookmarkStart w:id="1616" w:name="_Toc718"/>
      <w:r>
        <w:t>ابن قف ، امين الدولة بن يعقوب، 630 -</w:t>
      </w:r>
      <w:bookmarkEnd w:id="1616"/>
    </w:p>
    <w:p>
      <w:pPr>
        <w:pStyle w:val="BookText"/>
      </w:pPr>
      <w:r>
        <w:rPr>
          <w:rFonts w:ascii="IRNazanin" w:hAnsi="IRNazanin" w:eastAsia="IRNazanin" w:cs="IRNazanin"/>
          <w:lang w:bidi="fa-IR"/>
          <w:color w:val="111111"/>
          <w:sz w:val="28"/>
          <w:szCs w:val="28"/>
          <w:rtl/>
        </w:rPr>
        <w:t xml:space="preserve">685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اصطلاحات الاطباء، ج 2، ص 363.</w:t>
      </w:r>
    </w:p>
    <w:p>
      <w:pPr>
        <w:pStyle w:val="BookText"/>
      </w:pPr>
      <w:r>
        <w:rPr>
          <w:rFonts w:ascii="Amiri" w:hAnsi="Amiri" w:eastAsia="Amiri" w:cs="Amiri"/>
          <w:lang w:bidi="ar-SA"/>
          <w:color w:val="111111"/>
          <w:sz w:val="28"/>
          <w:szCs w:val="28"/>
          <w:rtl/>
        </w:rPr>
        <w:t xml:space="preserve">2 .العمدة في صناعة الجراحة، ج11،</w:t>
      </w:r>
    </w:p>
    <w:p>
      <w:pPr>
        <w:pStyle w:val="BookText"/>
      </w:pPr>
      <w:r>
        <w:rPr>
          <w:rFonts w:ascii="IRNazanin" w:hAnsi="IRNazanin" w:eastAsia="IRNazanin" w:cs="IRNazanin"/>
          <w:lang w:bidi="fa-IR"/>
          <w:color w:val="111111"/>
          <w:sz w:val="28"/>
          <w:szCs w:val="28"/>
          <w:rtl/>
        </w:rPr>
        <w:t xml:space="preserve">ص 302.</w:t>
      </w:r>
    </w:p>
    <w:p>
      <w:pPr>
        <w:pStyle w:val="Heading2"/>
      </w:pPr>
      <w:bookmarkStart w:id="1617" w:name="_Toc719"/>
      <w:r>
        <w:t>ابن قلاس ، يحيى بن نجاح - 422 ه-</w:t>
      </w:r>
      <w:bookmarkEnd w:id="1617"/>
    </w:p>
    <w:p>
      <w:pPr>
        <w:pStyle w:val="BookText"/>
      </w:pPr>
      <w:r>
        <w:rPr>
          <w:rFonts w:ascii="Amiri" w:hAnsi="Amiri" w:eastAsia="Amiri" w:cs="Amiri"/>
          <w:lang w:bidi="ar-SA"/>
          <w:color w:val="111111"/>
          <w:sz w:val="28"/>
          <w:szCs w:val="28"/>
          <w:rtl/>
        </w:rPr>
        <w:t xml:space="preserve">1 ا.لجامع لسبل الخيرات والموصل إلى أعلى الدرجات مما وجد في</w:t>
      </w:r>
    </w:p>
    <w:p>
      <w:pPr>
        <w:pStyle w:val="BookText"/>
      </w:pPr>
      <w:r>
        <w:rPr>
          <w:rFonts w:ascii="Amiri" w:hAnsi="Amiri" w:eastAsia="Amiri" w:cs="Amiri"/>
          <w:lang w:bidi="ar-SA"/>
          <w:color w:val="111111"/>
          <w:sz w:val="28"/>
          <w:szCs w:val="28"/>
          <w:rtl/>
        </w:rPr>
        <w:t xml:space="preserve">الصحيحين و الدقائق المرويات</w:t>
      </w:r>
    </w:p>
    <w:p>
      <w:pPr>
        <w:pStyle w:val="BookText"/>
      </w:pPr>
      <w:r>
        <w:rPr>
          <w:rFonts w:ascii="IRNazanin" w:hAnsi="IRNazanin" w:eastAsia="IRNazanin" w:cs="IRNazanin"/>
          <w:lang w:bidi="fa-IR"/>
          <w:color w:val="111111"/>
          <w:sz w:val="28"/>
          <w:szCs w:val="28"/>
          <w:rtl/>
        </w:rPr>
        <w:t xml:space="preserve">ج 5، ص 322.</w:t>
      </w:r>
    </w:p>
    <w:p>
      <w:pPr>
        <w:pStyle w:val="BookText"/>
      </w:pPr>
      <w:r>
        <w:rPr>
          <w:rFonts w:ascii="Amiri" w:hAnsi="Amiri" w:eastAsia="Amiri" w:cs="Amiri"/>
          <w:lang w:bidi="ar-SA"/>
          <w:color w:val="111111"/>
          <w:sz w:val="28"/>
          <w:szCs w:val="28"/>
          <w:rtl/>
        </w:rPr>
        <w:t xml:space="preserve">2 .سبل الخيرات، ج8، ص703.</w:t>
      </w:r>
    </w:p>
    <w:p>
      <w:pPr>
        <w:pStyle w:val="Heading2"/>
      </w:pPr>
      <w:bookmarkStart w:id="1618" w:name="_Toc720"/>
      <w:r>
        <w:t>ابن قلاقس ، نصر الله بن عبدالله 532 -</w:t>
      </w:r>
      <w:bookmarkEnd w:id="1618"/>
    </w:p>
    <w:p>
      <w:pPr>
        <w:pStyle w:val="BookText"/>
      </w:pPr>
      <w:r>
        <w:rPr>
          <w:rFonts w:ascii="IRNazanin" w:hAnsi="IRNazanin" w:eastAsia="IRNazanin" w:cs="IRNazanin"/>
          <w:lang w:bidi="fa-IR"/>
          <w:color w:val="111111"/>
          <w:sz w:val="28"/>
          <w:szCs w:val="28"/>
          <w:rtl/>
        </w:rPr>
        <w:t xml:space="preserve">567 ه-</w:t>
      </w:r>
    </w:p>
    <w:p>
      <w:pPr>
        <w:pStyle w:val="BookText"/>
      </w:pPr>
      <w:r>
        <w:rPr>
          <w:rFonts w:ascii="IRNazanin" w:hAnsi="IRNazanin" w:eastAsia="IRNazanin" w:cs="IRNazanin"/>
          <w:lang w:bidi="fa-IR"/>
          <w:color w:val="111111"/>
          <w:sz w:val="28"/>
          <w:szCs w:val="28"/>
          <w:rtl/>
        </w:rPr>
        <w:t xml:space="preserve">دیوان ابن قلاقس، ج 7، ص 535</w:t>
      </w:r>
    </w:p>
    <w:p>
      <w:pPr>
        <w:pStyle w:val="Heading2"/>
      </w:pPr>
      <w:bookmarkStart w:id="1619" w:name="_Toc721"/>
      <w:r>
        <w:t>ابن قلاوون ، محمّد بن قلاوون كتاب إلى الشريف قتادة، ج13،</w:t>
      </w:r>
      <w:bookmarkEnd w:id="1619"/>
    </w:p>
    <w:p>
      <w:pPr>
        <w:pStyle w:val="BookText"/>
      </w:pPr>
      <w:r>
        <w:rPr>
          <w:rFonts w:ascii="IRNazanin" w:hAnsi="IRNazanin" w:eastAsia="IRNazanin" w:cs="IRNazanin"/>
          <w:lang w:bidi="fa-IR"/>
          <w:color w:val="111111"/>
          <w:sz w:val="28"/>
          <w:szCs w:val="28"/>
          <w:rtl/>
        </w:rPr>
        <w:t xml:space="preserve">ص 89.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7" w:name="pg7742_69568"/>
    <w:bookmarkEnd w:id="107"/>
    <w:p>
      <w:pPr>
        <w:pStyle w:val="Heading2"/>
      </w:pPr>
      <w:bookmarkStart w:id="1620" w:name="_Toc722"/>
      <w:r>
        <w:t>ابن قنبطي</w:t>
      </w:r>
      <w:bookmarkEnd w:id="1620"/>
    </w:p>
    <w:p>
      <w:pPr>
        <w:pStyle w:val="BookText"/>
      </w:pPr>
      <w:r>
        <w:rPr>
          <w:rFonts w:ascii="Amiri" w:hAnsi="Amiri" w:eastAsia="Amiri" w:cs="Amiri"/>
          <w:lang w:bidi="ar-SA"/>
          <w:color w:val="111111"/>
          <w:sz w:val="28"/>
          <w:szCs w:val="28"/>
          <w:rtl/>
        </w:rPr>
        <w:t xml:space="preserve">اخلاق حملة القرآن، ج 1، ص 577.</w:t>
      </w:r>
    </w:p>
    <w:p>
      <w:pPr>
        <w:pStyle w:val="Heading2"/>
      </w:pPr>
      <w:bookmarkStart w:id="1621" w:name="_Toc723"/>
      <w:r>
        <w:t>ابن قولويه ، جعفر بن محمّد - 368 ه-</w:t>
      </w:r>
      <w:bookmarkEnd w:id="1621"/>
    </w:p>
    <w:p>
      <w:pPr>
        <w:pStyle w:val="BookText"/>
      </w:pPr>
      <w:r>
        <w:rPr>
          <w:rFonts w:ascii="Amiri" w:hAnsi="Amiri" w:eastAsia="Amiri" w:cs="Amiri"/>
          <w:lang w:bidi="ar-SA"/>
          <w:color w:val="111111"/>
          <w:sz w:val="28"/>
          <w:szCs w:val="28"/>
          <w:rtl/>
        </w:rPr>
        <w:t xml:space="preserve">كامل الزيارة = كامل الزيارات =</w:t>
      </w:r>
    </w:p>
    <w:p>
      <w:pPr>
        <w:pStyle w:val="BookText"/>
      </w:pPr>
      <w:r>
        <w:rPr>
          <w:rFonts w:ascii="Amiri" w:hAnsi="Amiri" w:eastAsia="Amiri" w:cs="Amiri"/>
          <w:lang w:bidi="ar-SA"/>
          <w:color w:val="111111"/>
          <w:sz w:val="28"/>
          <w:szCs w:val="28"/>
          <w:rtl/>
        </w:rPr>
        <w:t xml:space="preserve">جامع الزيارة، ج13، ص 69.</w:t>
      </w:r>
    </w:p>
    <w:p>
      <w:pPr>
        <w:pStyle w:val="Heading2"/>
      </w:pPr>
      <w:bookmarkStart w:id="1622" w:name="_Toc724"/>
      <w:r>
        <w:t>ابن قيسراني ، محمّد بن طاهر 448 -</w:t>
      </w:r>
      <w:bookmarkEnd w:id="1622"/>
    </w:p>
    <w:p>
      <w:pPr>
        <w:pStyle w:val="BookText"/>
      </w:pPr>
      <w:r>
        <w:rPr>
          <w:rFonts w:ascii="IRNazanin" w:hAnsi="IRNazanin" w:eastAsia="IRNazanin" w:cs="IRNazanin"/>
          <w:lang w:bidi="fa-IR"/>
          <w:color w:val="111111"/>
          <w:sz w:val="28"/>
          <w:szCs w:val="28"/>
          <w:rtl/>
        </w:rPr>
        <w:t xml:space="preserve">507 ه-</w:t>
      </w:r>
    </w:p>
    <w:p>
      <w:pPr>
        <w:pStyle w:val="BookText"/>
      </w:pPr>
      <w:r>
        <w:rPr>
          <w:rFonts w:ascii="Amiri" w:hAnsi="Amiri" w:eastAsia="Amiri" w:cs="Amiri"/>
          <w:lang w:bidi="ar-SA"/>
          <w:color w:val="111111"/>
          <w:sz w:val="28"/>
          <w:szCs w:val="28"/>
          <w:rtl/>
        </w:rPr>
        <w:t xml:space="preserve">1 اسماء رجال الصحيحين = الجمع بين رجال الصحيحين، ج2، ص 223.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تذكرة الحفاظ = ذخيرة الحفاظ المخرج على الحروف و الالفاظ</w:t>
      </w:r>
    </w:p>
    <w:p>
      <w:pPr>
        <w:pStyle w:val="BookText"/>
      </w:pPr>
      <w:r>
        <w:rPr>
          <w:rFonts w:ascii="IRNazanin" w:hAnsi="IRNazanin" w:eastAsia="IRNazanin" w:cs="IRNazanin"/>
          <w:lang w:bidi="fa-IR"/>
          <w:color w:val="111111"/>
          <w:sz w:val="28"/>
          <w:szCs w:val="28"/>
          <w:rtl/>
        </w:rPr>
        <w:t xml:space="preserve">ج 4، ص 187.</w:t>
      </w:r>
    </w:p>
    <w:p>
      <w:pPr>
        <w:pStyle w:val="BookText"/>
      </w:pPr>
      <w:r>
        <w:rPr>
          <w:rFonts w:ascii="Amiri" w:hAnsi="Amiri" w:eastAsia="Amiri" w:cs="Amiri"/>
          <w:lang w:bidi="ar-SA"/>
          <w:color w:val="111111"/>
          <w:sz w:val="28"/>
          <w:szCs w:val="28"/>
          <w:rtl/>
        </w:rPr>
        <w:t xml:space="preserve">3 .شروط الأئمة الستة، ج 10، ص358.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مسألة التسمية، ج 14، ص 538.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المنتخب من كتاب معرفة القاب الرواة للشيرازي = مختصر القاب المحدثين للشيرازي، ج 15 ، ص 617 .</w:t>
      </w:r>
    </w:p>
    <w:p>
      <w:pPr>
        <w:pStyle w:val="Heading2"/>
      </w:pPr>
      <w:bookmarkStart w:id="1623" w:name="_Toc725"/>
      <w:r>
        <w:t>ابن قيسراني ، محمّد بن نصر - 548 ه-</w:t>
      </w:r>
      <w:bookmarkEnd w:id="1623"/>
    </w:p>
    <w:p>
      <w:pPr>
        <w:pStyle w:val="BookText"/>
      </w:pPr>
      <w:r>
        <w:rPr>
          <w:rFonts w:ascii="Amiri" w:hAnsi="Amiri" w:eastAsia="Amiri" w:cs="Amiri"/>
          <w:lang w:bidi="ar-SA"/>
          <w:color w:val="111111"/>
          <w:sz w:val="28"/>
          <w:szCs w:val="28"/>
          <w:rtl/>
        </w:rPr>
        <w:t xml:space="preserve">ديوان ابن القيسراني، ج 7، ص 536.</w:t>
      </w:r>
    </w:p>
    <w:p>
      <w:pPr>
        <w:pStyle w:val="Heading2"/>
      </w:pPr>
      <w:bookmarkStart w:id="1624" w:name="_Toc726"/>
      <w:r>
        <w:t>ابن قیم جوزيه ، ابراهيم بن محمّد</w:t>
      </w:r>
      <w:bookmarkEnd w:id="1624"/>
    </w:p>
    <w:p>
      <w:pPr>
        <w:pStyle w:val="BookText"/>
      </w:pPr>
      <w:r>
        <w:rPr>
          <w:rFonts w:ascii="IRNazanin" w:hAnsi="IRNazanin" w:eastAsia="IRNazanin" w:cs="IRNazanin"/>
          <w:lang w:bidi="fa-IR"/>
          <w:color w:val="111111"/>
          <w:sz w:val="28"/>
          <w:szCs w:val="28"/>
          <w:rtl/>
        </w:rPr>
        <w:t xml:space="preserve">765 ه-</w:t>
      </w:r>
    </w:p>
    <w:p>
      <w:pPr>
        <w:pStyle w:val="BookText"/>
      </w:pPr>
      <w:r>
        <w:rPr>
          <w:rFonts w:ascii="Amiri" w:hAnsi="Amiri" w:eastAsia="Amiri" w:cs="Amiri"/>
          <w:lang w:bidi="ar-SA"/>
          <w:color w:val="111111"/>
          <w:sz w:val="28"/>
          <w:szCs w:val="28"/>
          <w:rtl/>
        </w:rPr>
        <w:t xml:space="preserve">منظومة لابن قيم الجوزية، ج 15</w:t>
      </w:r>
    </w:p>
    <w:p>
      <w:pPr>
        <w:pStyle w:val="BookText"/>
      </w:pPr>
      <w:r>
        <w:rPr>
          <w:rFonts w:ascii="IRNazanin" w:hAnsi="IRNazanin" w:eastAsia="IRNazanin" w:cs="IRNazanin"/>
          <w:lang w:bidi="fa-IR"/>
          <w:color w:val="111111"/>
          <w:sz w:val="28"/>
          <w:szCs w:val="28"/>
          <w:rtl/>
        </w:rPr>
        <w:t xml:space="preserve">ص 727 .</w:t>
      </w:r>
    </w:p>
    <w:p>
      <w:pPr>
        <w:pStyle w:val="Heading2"/>
      </w:pPr>
      <w:bookmarkStart w:id="1625" w:name="_Toc727"/>
      <w:r>
        <w:t>ابن قیم جوزیه ، محمّد بن ابي بكر، 691</w:t>
      </w:r>
      <w:bookmarkEnd w:id="16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751؟ ه-</w:t>
      </w:r>
    </w:p>
    <w:p>
      <w:pPr>
        <w:pStyle w:val="BookText"/>
      </w:pPr>
      <w:r>
        <w:rPr>
          <w:rFonts w:ascii="Amiri" w:hAnsi="Amiri" w:eastAsia="Amiri" w:cs="Amiri"/>
          <w:lang w:bidi="ar-SA"/>
          <w:color w:val="111111"/>
          <w:sz w:val="28"/>
          <w:szCs w:val="28"/>
          <w:rtl/>
        </w:rPr>
        <w:t xml:space="preserve">1 .الاجوبة العراقية على الاسئلة</w:t>
      </w:r>
    </w:p>
    <w:p>
      <w:pPr>
        <w:pStyle w:val="BookText"/>
      </w:pPr>
      <w:r>
        <w:rPr>
          <w:rFonts w:ascii="Amiri" w:hAnsi="Amiri" w:eastAsia="Amiri" w:cs="Amiri"/>
          <w:lang w:bidi="ar-SA"/>
          <w:color w:val="111111"/>
          <w:sz w:val="28"/>
          <w:szCs w:val="28"/>
          <w:rtl/>
        </w:rPr>
        <w:t xml:space="preserve">الايرانية، ج1، ص322</w:t>
      </w:r>
    </w:p>
    <w:p>
      <w:pPr>
        <w:pStyle w:val="BookText"/>
      </w:pPr>
      <w:r>
        <w:rPr>
          <w:rFonts w:ascii="IRNazanin" w:hAnsi="IRNazanin" w:eastAsia="IRNazanin" w:cs="IRNazanin"/>
          <w:lang w:bidi="fa-IR"/>
          <w:color w:val="111111"/>
          <w:sz w:val="28"/>
          <w:szCs w:val="28"/>
          <w:rtl/>
        </w:rPr>
        <w:t xml:space="preserve">ابن قطان ، عبدالله - ابن قیم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احكام أهل الذمة، ج 1، ص 460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اسرار الصلاة، ج 2، ص173</w:t>
      </w:r>
    </w:p>
    <w:p>
      <w:pPr>
        <w:pStyle w:val="BookText"/>
      </w:pPr>
      <w:r>
        <w:rPr>
          <w:rFonts w:ascii="Amiri" w:hAnsi="Amiri" w:eastAsia="Amiri" w:cs="Amiri"/>
          <w:lang w:bidi="ar-SA"/>
          <w:color w:val="111111"/>
          <w:sz w:val="28"/>
          <w:szCs w:val="28"/>
          <w:rtl/>
        </w:rPr>
        <w:t xml:space="preserve">4 .اعلام الموقعين عن رب العالمين، ج2،</w:t>
      </w:r>
    </w:p>
    <w:p>
      <w:pPr>
        <w:pStyle w:val="BookText"/>
      </w:pPr>
      <w:r>
        <w:rPr>
          <w:rFonts w:ascii="IRNazanin" w:hAnsi="IRNazanin" w:eastAsia="IRNazanin" w:cs="IRNazanin"/>
          <w:lang w:bidi="fa-IR"/>
          <w:color w:val="111111"/>
          <w:sz w:val="28"/>
          <w:szCs w:val="28"/>
          <w:rtl/>
        </w:rPr>
        <w:t xml:space="preserve">ص 565.</w:t>
      </w:r>
    </w:p>
    <w:p>
      <w:pPr>
        <w:pStyle w:val="BookText"/>
      </w:pPr>
      <w:r>
        <w:rPr>
          <w:rFonts w:ascii="Amiri" w:hAnsi="Amiri" w:eastAsia="Amiri" w:cs="Amiri"/>
          <w:lang w:bidi="ar-SA"/>
          <w:color w:val="111111"/>
          <w:sz w:val="28"/>
          <w:szCs w:val="28"/>
          <w:rtl/>
        </w:rPr>
        <w:t xml:space="preserve">5 .اغاثة اللهفان في حكم طلاق</w:t>
      </w:r>
    </w:p>
    <w:p>
      <w:pPr>
        <w:pStyle w:val="BookText"/>
      </w:pPr>
      <w:r>
        <w:rPr>
          <w:rFonts w:ascii="IRNazanin" w:hAnsi="IRNazanin" w:eastAsia="IRNazanin" w:cs="IRNazanin"/>
          <w:lang w:bidi="fa-IR"/>
          <w:color w:val="111111"/>
          <w:sz w:val="28"/>
          <w:szCs w:val="28"/>
          <w:rtl/>
        </w:rPr>
        <w:t xml:space="preserve">الغضبان، ج 2، ص 576.</w:t>
      </w:r>
    </w:p>
    <w:p>
      <w:pPr>
        <w:pStyle w:val="BookText"/>
      </w:pPr>
      <w:r>
        <w:rPr>
          <w:rFonts w:ascii="Amiri" w:hAnsi="Amiri" w:eastAsia="Amiri" w:cs="Amiri"/>
          <w:lang w:bidi="ar-SA"/>
          <w:color w:val="111111"/>
          <w:sz w:val="28"/>
          <w:szCs w:val="28"/>
          <w:rtl/>
        </w:rPr>
        <w:t xml:space="preserve">6 .اغاثة اللهفان في مصائد الشيطان</w:t>
      </w:r>
    </w:p>
    <w:p>
      <w:pPr>
        <w:pStyle w:val="BookText"/>
      </w:pPr>
      <w:r>
        <w:rPr>
          <w:rFonts w:ascii="IRNazanin" w:hAnsi="IRNazanin" w:eastAsia="IRNazanin" w:cs="IRNazanin"/>
          <w:lang w:bidi="fa-IR"/>
          <w:color w:val="111111"/>
          <w:sz w:val="28"/>
          <w:szCs w:val="28"/>
          <w:rtl/>
        </w:rPr>
        <w:t xml:space="preserve">ج 2، ص 576 .</w:t>
      </w:r>
    </w:p>
    <w:p>
      <w:pPr>
        <w:pStyle w:val="BookText"/>
      </w:pPr>
      <w:r>
        <w:rPr>
          <w:rFonts w:ascii="IRNazanin" w:hAnsi="IRNazanin" w:eastAsia="IRNazanin" w:cs="IRNazanin"/>
          <w:lang w:bidi="fa-IR"/>
          <w:color w:val="111111"/>
          <w:sz w:val="28"/>
          <w:szCs w:val="28"/>
          <w:rtl/>
        </w:rPr>
        <w:t xml:space="preserve">7.أمثال القرآن (کتاب)، ج 2، ص 748.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بدائع الفوائد، ج 3، ص 261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تفسير آية و تعاونوا على البر و التقوى ولا تعاونوا على الاثم و</w:t>
      </w:r>
    </w:p>
    <w:p>
      <w:pPr>
        <w:pStyle w:val="BookText"/>
      </w:pPr>
      <w:r>
        <w:rPr>
          <w:rFonts w:ascii="IRNazanin" w:hAnsi="IRNazanin" w:eastAsia="IRNazanin" w:cs="IRNazanin"/>
          <w:lang w:bidi="fa-IR"/>
          <w:color w:val="111111"/>
          <w:sz w:val="28"/>
          <w:szCs w:val="28"/>
          <w:rtl/>
        </w:rPr>
        <w:t xml:space="preserve">العدوان»، ج 4، ص587.</w:t>
      </w:r>
    </w:p>
    <w:p>
      <w:pPr>
        <w:pStyle w:val="BookText"/>
      </w:pPr>
      <w:r>
        <w:rPr>
          <w:rFonts w:ascii="Amiri" w:hAnsi="Amiri" w:eastAsia="Amiri" w:cs="Amiri"/>
          <w:lang w:bidi="ar-SA"/>
          <w:color w:val="111111"/>
          <w:sz w:val="28"/>
          <w:szCs w:val="28"/>
          <w:rtl/>
        </w:rPr>
        <w:t xml:space="preserve">10 .جلاء الافهام في فضل الصلوة على</w:t>
      </w:r>
    </w:p>
    <w:p>
      <w:pPr>
        <w:pStyle w:val="BookText"/>
      </w:pPr>
      <w:r>
        <w:rPr>
          <w:rFonts w:ascii="Amiri" w:hAnsi="Amiri" w:eastAsia="Amiri" w:cs="Amiri"/>
          <w:lang w:bidi="ar-SA"/>
          <w:color w:val="111111"/>
          <w:sz w:val="28"/>
          <w:szCs w:val="28"/>
          <w:rtl/>
        </w:rPr>
        <w:t xml:space="preserve">خير الانام، ج 5، ص 404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حادي الارواح إلى بلاد الافراح</w:t>
      </w:r>
    </w:p>
    <w:p>
      <w:pPr>
        <w:pStyle w:val="BookText"/>
      </w:pPr>
      <w:r>
        <w:rPr>
          <w:rFonts w:ascii="IRNazanin" w:hAnsi="IRNazanin" w:eastAsia="IRNazanin" w:cs="IRNazanin"/>
          <w:lang w:bidi="fa-IR"/>
          <w:color w:val="111111"/>
          <w:sz w:val="28"/>
          <w:szCs w:val="28"/>
          <w:rtl/>
        </w:rPr>
        <w:t xml:space="preserve">ج 5 ، ص 644 .</w:t>
      </w:r>
    </w:p>
    <w:p>
      <w:pPr>
        <w:pStyle w:val="BookText"/>
      </w:pPr>
      <w:r>
        <w:rPr>
          <w:rFonts w:ascii="Amiri" w:hAnsi="Amiri" w:eastAsia="Amiri" w:cs="Amiri"/>
          <w:lang w:bidi="ar-SA"/>
          <w:color w:val="111111"/>
          <w:sz w:val="28"/>
          <w:szCs w:val="28"/>
          <w:rtl/>
        </w:rPr>
        <w:t xml:space="preserve">12 .الدواء و الداء = الجواب الكافي لمن سأل عن الدواء الشافي، ج7،</w:t>
      </w:r>
    </w:p>
    <w:p>
      <w:pPr>
        <w:pStyle w:val="BookText"/>
      </w:pPr>
      <w:r>
        <w:rPr>
          <w:rFonts w:ascii="IRNazanin" w:hAnsi="IRNazanin" w:eastAsia="IRNazanin" w:cs="IRNazanin"/>
          <w:lang w:bidi="fa-IR"/>
          <w:color w:val="111111"/>
          <w:sz w:val="28"/>
          <w:szCs w:val="28"/>
          <w:rtl/>
        </w:rPr>
        <w:t xml:space="preserve">ص 481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ديوان ابن قيم ج 7، ص 536.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الرسالة التبوكية، ج8، ص179.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الروح في الكلام على ارواح الأموات</w:t>
      </w:r>
    </w:p>
    <w:p>
      <w:pPr>
        <w:pStyle w:val="BookText"/>
      </w:pPr>
      <w:r>
        <w:rPr>
          <w:rFonts w:ascii="Amiri" w:hAnsi="Amiri" w:eastAsia="Amiri" w:cs="Amiri"/>
          <w:lang w:bidi="ar-SA"/>
          <w:color w:val="111111"/>
          <w:sz w:val="28"/>
          <w:szCs w:val="28"/>
          <w:rtl/>
        </w:rPr>
        <w:t xml:space="preserve">و الأحياء، ج8، ص382.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الروح والنفس، ج8، ص389.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روضة العاشق و نزهة الوامق</w:t>
      </w:r>
    </w:p>
    <w:p>
      <w:pPr>
        <w:pStyle w:val="BookText"/>
      </w:pPr>
      <w:r>
        <w:rPr>
          <w:rFonts w:ascii="IRNazanin" w:hAnsi="IRNazanin" w:eastAsia="IRNazanin" w:cs="IRNazanin"/>
          <w:lang w:bidi="fa-IR"/>
          <w:color w:val="111111"/>
          <w:sz w:val="28"/>
          <w:szCs w:val="28"/>
          <w:rtl/>
        </w:rPr>
        <w:t xml:space="preserve">ج 8، ص 445.</w:t>
      </w:r>
    </w:p>
    <w:p>
      <w:pPr>
        <w:pStyle w:val="BookText"/>
      </w:pPr>
      <w:r>
        <w:rPr>
          <w:rFonts w:ascii="Amiri" w:hAnsi="Amiri" w:eastAsia="Amiri" w:cs="Amiri"/>
          <w:lang w:bidi="ar-SA"/>
          <w:color w:val="111111"/>
          <w:sz w:val="28"/>
          <w:szCs w:val="28"/>
          <w:rtl/>
        </w:rPr>
        <w:t xml:space="preserve">18 .زاد المعاد في هدى خير العباد</w:t>
      </w:r>
    </w:p>
    <w:p>
      <w:pPr>
        <w:pStyle w:val="BookText"/>
      </w:pPr>
      <w:r>
        <w:rPr>
          <w:rFonts w:ascii="IRNazanin" w:hAnsi="IRNazanin" w:eastAsia="IRNazanin" w:cs="IRNazanin"/>
          <w:lang w:bidi="fa-IR"/>
          <w:color w:val="111111"/>
          <w:sz w:val="28"/>
          <w:szCs w:val="28"/>
          <w:rtl/>
        </w:rPr>
        <w:t xml:space="preserve">ج8، ص 543 .</w:t>
      </w:r>
    </w:p>
    <w:p>
      <w:pPr>
        <w:pStyle w:val="BookText"/>
      </w:pPr>
      <w:r>
        <w:rPr>
          <w:rFonts w:ascii="Amiri" w:hAnsi="Amiri" w:eastAsia="Amiri" w:cs="Amiri"/>
          <w:lang w:bidi="ar-SA"/>
          <w:color w:val="111111"/>
          <w:sz w:val="28"/>
          <w:szCs w:val="28"/>
          <w:rtl/>
        </w:rPr>
        <w:t xml:space="preserve">19 .شفاء الغليل في القضاء والقدر و الحكمة و التعليل، ج 10، ص388.</w:t>
      </w:r>
    </w:p>
    <w:p>
      <w:pPr>
        <w:pStyle w:val="BookText"/>
      </w:pPr>
      <w:r>
        <w:rPr>
          <w:rFonts w:ascii="Amiri" w:hAnsi="Amiri" w:eastAsia="Amiri" w:cs="Amiri"/>
          <w:lang w:bidi="ar-SA"/>
          <w:color w:val="111111"/>
          <w:sz w:val="28"/>
          <w:szCs w:val="28"/>
          <w:rtl/>
        </w:rPr>
        <w:t xml:space="preserve">20 .الصواعق المرسلة على الجهمية</w:t>
      </w:r>
    </w:p>
    <w:p>
      <w:pPr>
        <w:pStyle w:val="BookText"/>
      </w:pPr>
      <w:r>
        <w:rPr>
          <w:rFonts w:ascii="Amiri" w:hAnsi="Amiri" w:eastAsia="Amiri" w:cs="Amiri"/>
          <w:lang w:bidi="ar-SA"/>
          <w:color w:val="111111"/>
          <w:sz w:val="28"/>
          <w:szCs w:val="28"/>
          <w:rtl/>
        </w:rPr>
        <w:t xml:space="preserve">المعطلة، ج 10، ص 649.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8" w:name="pg7742_69570"/>
    <w:bookmarkEnd w:id="108"/>
    <w:p>
      <w:pPr>
        <w:pStyle w:val="BookText"/>
      </w:pPr>
      <w:r>
        <w:rPr>
          <w:rFonts w:ascii="Amiri" w:hAnsi="Amiri" w:eastAsia="Amiri" w:cs="Amiri"/>
          <w:lang w:bidi="ar-SA"/>
          <w:color w:val="111111"/>
          <w:sz w:val="28"/>
          <w:szCs w:val="28"/>
          <w:rtl/>
        </w:rPr>
        <w:t xml:space="preserve">21 .الطريق الحكمية في السياسة الشرعية، ج 10، ص829.</w:t>
      </w:r>
    </w:p>
    <w:p>
      <w:pPr>
        <w:pStyle w:val="BookText"/>
      </w:pPr>
      <w:r>
        <w:rPr>
          <w:rFonts w:ascii="Amiri" w:hAnsi="Amiri" w:eastAsia="Amiri" w:cs="Amiri"/>
          <w:lang w:bidi="ar-SA"/>
          <w:color w:val="111111"/>
          <w:sz w:val="28"/>
          <w:szCs w:val="28"/>
          <w:rtl/>
        </w:rPr>
        <w:t xml:space="preserve">22 .طريق الهجرتين و باب السعادتين</w:t>
      </w:r>
    </w:p>
    <w:p>
      <w:pPr>
        <w:pStyle w:val="BookText"/>
      </w:pPr>
      <w:r>
        <w:rPr>
          <w:rFonts w:ascii="IRNazanin" w:hAnsi="IRNazanin" w:eastAsia="IRNazanin" w:cs="IRNazanin"/>
          <w:lang w:bidi="fa-IR"/>
          <w:color w:val="111111"/>
          <w:sz w:val="28"/>
          <w:szCs w:val="28"/>
          <w:rtl/>
        </w:rPr>
        <w:t xml:space="preserve">ج 10، ص 833.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طريقة البصائر إلى حديقة السرائر في نظم الكبائر، ج 10، ص819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عدة الصابرين وذخيرة الشاكرين</w:t>
      </w:r>
    </w:p>
    <w:p>
      <w:pPr>
        <w:pStyle w:val="BookText"/>
      </w:pPr>
      <w:r>
        <w:rPr>
          <w:rFonts w:ascii="IRNazanin" w:hAnsi="IRNazanin" w:eastAsia="IRNazanin" w:cs="IRNazanin"/>
          <w:lang w:bidi="fa-IR"/>
          <w:color w:val="111111"/>
          <w:sz w:val="28"/>
          <w:szCs w:val="28"/>
          <w:rtl/>
        </w:rPr>
        <w:t xml:space="preserve">ج 11، ص 54.</w:t>
      </w:r>
    </w:p>
    <w:p>
      <w:pPr>
        <w:pStyle w:val="BookText"/>
      </w:pPr>
      <w:r>
        <w:rPr>
          <w:rFonts w:ascii="Amiri" w:hAnsi="Amiri" w:eastAsia="Amiri" w:cs="Amiri"/>
          <w:lang w:bidi="ar-SA"/>
          <w:color w:val="111111"/>
          <w:sz w:val="28"/>
          <w:szCs w:val="28"/>
          <w:rtl/>
        </w:rPr>
        <w:t xml:space="preserve">25 .غزو الجيوش الاسلامية في الرد على</w:t>
      </w:r>
    </w:p>
    <w:p>
      <w:pPr>
        <w:pStyle w:val="BookText"/>
      </w:pPr>
      <w:r>
        <w:rPr>
          <w:rFonts w:ascii="Amiri" w:hAnsi="Amiri" w:eastAsia="Amiri" w:cs="Amiri"/>
          <w:lang w:bidi="ar-SA"/>
          <w:color w:val="111111"/>
          <w:sz w:val="28"/>
          <w:szCs w:val="28"/>
          <w:rtl/>
        </w:rPr>
        <w:t xml:space="preserve">المعطلة والجهمية = اجتماع الجيوش الاسلامية، ج 11، ص 503.</w:t>
      </w:r>
    </w:p>
    <w:p>
      <w:pPr>
        <w:pStyle w:val="BookText"/>
      </w:pPr>
      <w:r>
        <w:rPr>
          <w:rFonts w:ascii="Amiri" w:hAnsi="Amiri" w:eastAsia="Amiri" w:cs="Amiri"/>
          <w:lang w:bidi="ar-SA"/>
          <w:color w:val="111111"/>
          <w:sz w:val="28"/>
          <w:szCs w:val="28"/>
          <w:rtl/>
        </w:rPr>
        <w:t xml:space="preserve">26 الفروسية = كتاب الفروسية، ج11،</w:t>
      </w:r>
    </w:p>
    <w:p>
      <w:pPr>
        <w:pStyle w:val="BookText"/>
      </w:pPr>
      <w:r>
        <w:rPr>
          <w:rFonts w:ascii="IRNazanin" w:hAnsi="IRNazanin" w:eastAsia="IRNazanin" w:cs="IRNazanin"/>
          <w:lang w:bidi="fa-IR"/>
          <w:color w:val="111111"/>
          <w:sz w:val="28"/>
          <w:szCs w:val="28"/>
          <w:rtl/>
        </w:rPr>
        <w:t xml:space="preserve">ص 813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الكافية الشافية في الانتصار للفرقة</w:t>
      </w:r>
    </w:p>
    <w:p>
      <w:pPr>
        <w:pStyle w:val="BookText"/>
      </w:pPr>
      <w:r>
        <w:rPr>
          <w:rFonts w:ascii="Amiri" w:hAnsi="Amiri" w:eastAsia="Amiri" w:cs="Amiri"/>
          <w:lang w:bidi="ar-SA"/>
          <w:color w:val="111111"/>
          <w:sz w:val="28"/>
          <w:szCs w:val="28"/>
          <w:rtl/>
        </w:rPr>
        <w:t xml:space="preserve">الناجية = القصيدة النونية في الرد على اهل الأهواء والبدع، ج 13، ص 57.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الكلم الطيب و العمل الصالح -</w:t>
      </w:r>
    </w:p>
    <w:p>
      <w:pPr>
        <w:pStyle w:val="BookText"/>
      </w:pPr>
      <w:r>
        <w:rPr>
          <w:rFonts w:ascii="Amiri" w:hAnsi="Amiri" w:eastAsia="Amiri" w:cs="Amiri"/>
          <w:lang w:bidi="ar-SA"/>
          <w:color w:val="111111"/>
          <w:sz w:val="28"/>
          <w:szCs w:val="28"/>
          <w:rtl/>
        </w:rPr>
        <w:t xml:space="preserve">الوابل الصيب، ج13، ص378.</w:t>
      </w:r>
    </w:p>
    <w:p>
      <w:pPr>
        <w:pStyle w:val="BookText"/>
      </w:pPr>
      <w:r>
        <w:rPr>
          <w:rFonts w:ascii="Amiri" w:hAnsi="Amiri" w:eastAsia="Amiri" w:cs="Amiri"/>
          <w:lang w:bidi="ar-SA"/>
          <w:color w:val="111111"/>
          <w:sz w:val="28"/>
          <w:szCs w:val="28"/>
          <w:rtl/>
        </w:rPr>
        <w:t xml:space="preserve">29 .مدارج السالكين في شرح منازل</w:t>
      </w:r>
    </w:p>
    <w:p>
      <w:pPr>
        <w:pStyle w:val="BookText"/>
      </w:pPr>
      <w:r>
        <w:rPr>
          <w:rFonts w:ascii="Amiri" w:hAnsi="Amiri" w:eastAsia="Amiri" w:cs="Amiri"/>
          <w:lang w:bidi="ar-SA"/>
          <w:color w:val="111111"/>
          <w:sz w:val="28"/>
          <w:szCs w:val="28"/>
          <w:rtl/>
        </w:rPr>
        <w:t xml:space="preserve">السائرين، ج14، ص303.</w:t>
      </w:r>
    </w:p>
    <w:p>
      <w:pPr>
        <w:pStyle w:val="BookText"/>
      </w:pPr>
      <w:r>
        <w:rPr>
          <w:rFonts w:ascii="Amiri" w:hAnsi="Amiri" w:eastAsia="Amiri" w:cs="Amiri"/>
          <w:lang w:bidi="ar-SA"/>
          <w:color w:val="111111"/>
          <w:sz w:val="28"/>
          <w:szCs w:val="28"/>
          <w:rtl/>
        </w:rPr>
        <w:t xml:space="preserve">30 .مفتاح دار السعادة و منشور ولاية بن فضل</w:t>
      </w:r>
    </w:p>
    <w:p>
      <w:pPr>
        <w:pStyle w:val="BookText"/>
      </w:pPr>
      <w:r>
        <w:rPr>
          <w:rFonts w:ascii="IRNazanin" w:hAnsi="IRNazanin" w:eastAsia="IRNazanin" w:cs="IRNazanin"/>
          <w:lang w:bidi="fa-IR"/>
          <w:color w:val="111111"/>
          <w:sz w:val="28"/>
          <w:szCs w:val="28"/>
          <w:rtl/>
        </w:rPr>
        <w:t xml:space="preserve">اهل العلم، ج 15، ص198.</w:t>
      </w:r>
    </w:p>
    <w:p>
      <w:pPr>
        <w:pStyle w:val="BookText"/>
      </w:pPr>
      <w:r>
        <w:rPr>
          <w:rFonts w:ascii="Amiri" w:hAnsi="Amiri" w:eastAsia="Amiri" w:cs="Amiri"/>
          <w:lang w:bidi="ar-SA"/>
          <w:color w:val="111111"/>
          <w:sz w:val="28"/>
          <w:szCs w:val="28"/>
          <w:rtl/>
        </w:rPr>
        <w:t xml:space="preserve">31 .هداية الحياري في اجوبة اليهود و</w:t>
      </w:r>
    </w:p>
    <w:p>
      <w:pPr>
        <w:pStyle w:val="BookText"/>
      </w:pPr>
      <w:r>
        <w:rPr>
          <w:rFonts w:ascii="IRNazanin" w:hAnsi="IRNazanin" w:eastAsia="IRNazanin" w:cs="IRNazanin"/>
          <w:lang w:bidi="fa-IR"/>
          <w:color w:val="111111"/>
          <w:sz w:val="28"/>
          <w:szCs w:val="28"/>
          <w:rtl/>
        </w:rPr>
        <w:t xml:space="preserve">النصارى، ج 16، ص 608.</w:t>
      </w:r>
    </w:p>
    <w:p>
      <w:pPr>
        <w:pStyle w:val="BookText"/>
      </w:pPr>
      <w:r>
        <w:rPr>
          <w:rFonts w:ascii="Amiri" w:hAnsi="Amiri" w:eastAsia="Amiri" w:cs="Amiri"/>
          <w:lang w:bidi="ar-SA"/>
          <w:color w:val="111111"/>
          <w:sz w:val="28"/>
          <w:szCs w:val="28"/>
          <w:rtl/>
        </w:rPr>
        <w:t xml:space="preserve">ابن كاتب ، محمّد بن صالح- يازيجي زاده</w:t>
      </w:r>
    </w:p>
    <w:p>
      <w:pPr>
        <w:pStyle w:val="BookText"/>
      </w:pPr>
      <w:r>
        <w:rPr>
          <w:rFonts w:ascii="IRNazanin" w:hAnsi="IRNazanin" w:eastAsia="IRNazanin" w:cs="IRNazanin"/>
          <w:lang w:bidi="fa-IR"/>
          <w:color w:val="111111"/>
          <w:sz w:val="28"/>
          <w:szCs w:val="28"/>
          <w:rtl/>
        </w:rPr>
        <w:t xml:space="preserve">، محمّد بن صالح</w:t>
      </w:r>
    </w:p>
    <w:p>
      <w:pPr>
        <w:pStyle w:val="BookText"/>
      </w:pPr>
      <w:r>
        <w:rPr>
          <w:rFonts w:ascii="Amiri" w:hAnsi="Amiri" w:eastAsia="Amiri" w:cs="Amiri"/>
          <w:lang w:bidi="ar-SA"/>
          <w:color w:val="111111"/>
          <w:sz w:val="28"/>
          <w:szCs w:val="28"/>
          <w:rtl/>
        </w:rPr>
        <w:t xml:space="preserve">ابن كاتب سنان ، محمّد بن كاتب سنان -ابن سنان ، محمّد بن كاتب سنان</w:t>
      </w:r>
    </w:p>
    <w:p>
      <w:pPr>
        <w:pStyle w:val="BookText"/>
      </w:pPr>
      <w:r>
        <w:rPr>
          <w:rFonts w:ascii="Amiri" w:hAnsi="Amiri" w:eastAsia="Amiri" w:cs="Amiri"/>
          <w:lang w:bidi="ar-SA"/>
          <w:color w:val="111111"/>
          <w:sz w:val="28"/>
          <w:szCs w:val="28"/>
          <w:rtl/>
        </w:rPr>
        <w:t xml:space="preserve">ابن كازروني ، علي بن محمّد -كازروني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ابن كاشف الغطاء ، هادي -آل كاشف</w:t>
      </w:r>
    </w:p>
    <w:p>
      <w:pPr>
        <w:pStyle w:val="BookText"/>
      </w:pPr>
      <w:r>
        <w:rPr>
          <w:rFonts w:ascii="Amiri" w:hAnsi="Amiri" w:eastAsia="Amiri" w:cs="Amiri"/>
          <w:lang w:bidi="ar-SA"/>
          <w:color w:val="111111"/>
          <w:sz w:val="28"/>
          <w:szCs w:val="28"/>
          <w:rtl/>
        </w:rPr>
        <w:t xml:space="preserve">الغطاء ، هادي بن عباس</w:t>
      </w:r>
    </w:p>
    <w:p>
      <w:pPr>
        <w:pStyle w:val="Heading2"/>
      </w:pPr>
      <w:bookmarkStart w:id="1626" w:name="_Toc728"/>
      <w:r>
        <w:t>ابن الكاظم ، حارث بن كاظم</w:t>
      </w:r>
      <w:bookmarkEnd w:id="1626"/>
    </w:p>
    <w:p>
      <w:pPr>
        <w:pStyle w:val="BookText"/>
      </w:pPr>
      <w:r>
        <w:rPr>
          <w:rFonts w:ascii="Amiri" w:hAnsi="Amiri" w:eastAsia="Amiri" w:cs="Amiri"/>
          <w:lang w:bidi="ar-SA"/>
          <w:color w:val="111111"/>
          <w:sz w:val="28"/>
          <w:szCs w:val="28"/>
          <w:rtl/>
        </w:rPr>
        <w:t xml:space="preserve">وصية الحارث بن الامام الكاظم</w:t>
      </w:r>
    </w:p>
    <w:p>
      <w:pPr>
        <w:pStyle w:val="BookText"/>
      </w:pPr>
      <w:r>
        <w:rPr>
          <w:rFonts w:ascii="IRNazanin" w:hAnsi="IRNazanin" w:eastAsia="IRNazanin" w:cs="IRNazanin"/>
          <w:lang w:bidi="fa-IR"/>
          <w:color w:val="111111"/>
          <w:sz w:val="28"/>
          <w:szCs w:val="28"/>
          <w:rtl/>
        </w:rPr>
        <w:t xml:space="preserve">لاولاده، ج 16، ص 815</w:t>
      </w:r>
    </w:p>
    <w:p>
      <w:pPr>
        <w:pStyle w:val="Heading2"/>
      </w:pPr>
      <w:bookmarkStart w:id="1627" w:name="_Toc729"/>
      <w:r>
        <w:t>ابن کامل ، محمّد بن علي ، قرن 7 ه-</w:t>
      </w:r>
      <w:bookmarkEnd w:id="1627"/>
    </w:p>
    <w:p>
      <w:pPr>
        <w:pStyle w:val="BookText"/>
      </w:pPr>
      <w:r>
        <w:rPr>
          <w:rFonts w:ascii="Amiri" w:hAnsi="Amiri" w:eastAsia="Amiri" w:cs="Amiri"/>
          <w:lang w:bidi="ar-SA"/>
          <w:color w:val="111111"/>
          <w:sz w:val="28"/>
          <w:szCs w:val="28"/>
          <w:rtl/>
        </w:rPr>
        <w:t xml:space="preserve">الحلبة في اسماء الخيل المشهورة في</w:t>
      </w:r>
    </w:p>
    <w:p>
      <w:pPr>
        <w:pStyle w:val="BookText"/>
      </w:pPr>
      <w:r>
        <w:rPr>
          <w:rFonts w:ascii="Amiri" w:hAnsi="Amiri" w:eastAsia="Amiri" w:cs="Amiri"/>
          <w:lang w:bidi="ar-SA"/>
          <w:color w:val="111111"/>
          <w:sz w:val="28"/>
          <w:szCs w:val="28"/>
          <w:rtl/>
        </w:rPr>
        <w:t xml:space="preserve">الجاهلية و الاسلام، ج6، ص773.</w:t>
      </w:r>
    </w:p>
    <w:p>
      <w:pPr>
        <w:pStyle w:val="Heading2"/>
      </w:pPr>
      <w:bookmarkStart w:id="1628" w:name="_Toc730"/>
      <w:r>
        <w:t>ابن كبرياء موسى بن حسن قرن 4 ه-</w:t>
      </w:r>
      <w:bookmarkEnd w:id="1628"/>
    </w:p>
    <w:p>
      <w:pPr>
        <w:pStyle w:val="BookText"/>
      </w:pPr>
      <w:r>
        <w:rPr>
          <w:rFonts w:ascii="Amiri" w:hAnsi="Amiri" w:eastAsia="Amiri" w:cs="Amiri"/>
          <w:lang w:bidi="ar-SA"/>
          <w:color w:val="111111"/>
          <w:sz w:val="28"/>
          <w:szCs w:val="28"/>
          <w:rtl/>
        </w:rPr>
        <w:t xml:space="preserve">الأزمنة و الدهور، ج 2، ص 64 .</w:t>
      </w:r>
    </w:p>
    <w:p>
      <w:pPr>
        <w:pStyle w:val="Heading2"/>
      </w:pPr>
      <w:bookmarkStart w:id="1629" w:name="_Toc731"/>
      <w:r>
        <w:t>ابن کبه عیسی بن حسينعلي قرن 13 ه-</w:t>
      </w:r>
      <w:bookmarkEnd w:id="1629"/>
    </w:p>
    <w:p>
      <w:pPr>
        <w:pStyle w:val="BookText"/>
      </w:pPr>
      <w:r>
        <w:rPr>
          <w:rFonts w:ascii="Amiri" w:hAnsi="Amiri" w:eastAsia="Amiri" w:cs="Amiri"/>
          <w:lang w:bidi="ar-SA"/>
          <w:color w:val="111111"/>
          <w:sz w:val="28"/>
          <w:szCs w:val="28"/>
          <w:rtl/>
        </w:rPr>
        <w:t xml:space="preserve">تذكار الحزين لما اصيب به ابن طه الامين، ج4، ص172</w:t>
      </w:r>
    </w:p>
    <w:p>
      <w:pPr>
        <w:pStyle w:val="BookText"/>
      </w:pPr>
      <w:r>
        <w:rPr>
          <w:rFonts w:ascii="Amiri" w:hAnsi="Amiri" w:eastAsia="Amiri" w:cs="Amiri"/>
          <w:lang w:bidi="ar-SA"/>
          <w:color w:val="111111"/>
          <w:sz w:val="28"/>
          <w:szCs w:val="28"/>
          <w:rtl/>
        </w:rPr>
        <w:t xml:space="preserve">ابن كبير ، يوسف بن اسماعيل -خوئي</w:t>
      </w:r>
    </w:p>
    <w:p>
      <w:pPr>
        <w:pStyle w:val="BookText"/>
      </w:pPr>
      <w:r>
        <w:rPr>
          <w:rFonts w:ascii="Amiri" w:hAnsi="Amiri" w:eastAsia="Amiri" w:cs="Amiri"/>
          <w:lang w:bidi="ar-SA"/>
          <w:color w:val="111111"/>
          <w:sz w:val="28"/>
          <w:szCs w:val="28"/>
          <w:rtl/>
        </w:rPr>
        <w:t xml:space="preserve">يوسف بن اسماعيل</w:t>
      </w:r>
    </w:p>
    <w:p>
      <w:pPr>
        <w:pStyle w:val="BookText"/>
      </w:pPr>
      <w:r>
        <w:rPr>
          <w:rFonts w:ascii="Amiri" w:hAnsi="Amiri" w:eastAsia="Amiri" w:cs="Amiri"/>
          <w:lang w:bidi="ar-SA"/>
          <w:color w:val="111111"/>
          <w:sz w:val="28"/>
          <w:szCs w:val="28"/>
          <w:rtl/>
        </w:rPr>
        <w:t xml:space="preserve">ابن كتبي ، يوسف بن اسماعيل - خوئي ،</w:t>
      </w:r>
    </w:p>
    <w:p>
      <w:pPr>
        <w:pStyle w:val="BookText"/>
      </w:pPr>
      <w:r>
        <w:rPr>
          <w:rFonts w:ascii="Amiri" w:hAnsi="Amiri" w:eastAsia="Amiri" w:cs="Amiri"/>
          <w:lang w:bidi="ar-SA"/>
          <w:color w:val="111111"/>
          <w:sz w:val="28"/>
          <w:szCs w:val="28"/>
          <w:rtl/>
        </w:rPr>
        <w:t xml:space="preserve">يوسف بن اسماعيل</w:t>
      </w:r>
    </w:p>
    <w:p>
      <w:pPr>
        <w:pStyle w:val="BookText"/>
      </w:pPr>
      <w:r>
        <w:rPr>
          <w:rFonts w:ascii="Amiri" w:hAnsi="Amiri" w:eastAsia="Amiri" w:cs="Amiri"/>
          <w:lang w:bidi="ar-SA"/>
          <w:color w:val="111111"/>
          <w:sz w:val="28"/>
          <w:szCs w:val="28"/>
          <w:rtl/>
        </w:rPr>
        <w:t xml:space="preserve">ابن كثير ، احمد بن فضل -باكثير ، احمدبن فضل</w:t>
      </w:r>
    </w:p>
    <w:p>
      <w:pPr>
        <w:pStyle w:val="Heading2"/>
      </w:pPr>
      <w:bookmarkStart w:id="1630" w:name="_Toc732"/>
      <w:r>
        <w:t>ابن كثير ، اسماعيل بن عمر 700-774 ه- .</w:t>
      </w:r>
      <w:bookmarkEnd w:id="16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احاديث الأتراك، ج 1، ص 404.</w:t>
      </w:r>
    </w:p>
    <w:p>
      <w:pPr>
        <w:pStyle w:val="BookText"/>
      </w:pPr>
      <w:r>
        <w:rPr>
          <w:rFonts w:ascii="Amiri" w:hAnsi="Amiri" w:eastAsia="Amiri" w:cs="Amiri"/>
          <w:lang w:bidi="ar-SA"/>
          <w:color w:val="111111"/>
          <w:sz w:val="28"/>
          <w:szCs w:val="28"/>
          <w:rtl/>
        </w:rPr>
        <w:t xml:space="preserve">2 .اختصار علوم الحديث = دراية الحديث = تلخيص مقدمة ابن</w:t>
      </w:r>
    </w:p>
    <w:p>
      <w:pPr>
        <w:pStyle w:val="BookText"/>
      </w:pPr>
      <w:r>
        <w:rPr>
          <w:rFonts w:ascii="IRNazanin" w:hAnsi="IRNazanin" w:eastAsia="IRNazanin" w:cs="IRNazanin"/>
          <w:lang w:bidi="fa-IR"/>
          <w:color w:val="111111"/>
          <w:sz w:val="28"/>
          <w:szCs w:val="28"/>
          <w:rtl/>
        </w:rPr>
        <w:t xml:space="preserve">صلاح، ج 1، ص 541.</w:t>
      </w:r>
    </w:p>
    <w:p>
      <w:pPr>
        <w:pStyle w:val="BookText"/>
      </w:pPr>
      <w:r>
        <w:rPr>
          <w:rFonts w:ascii="Amiri" w:hAnsi="Amiri" w:eastAsia="Amiri" w:cs="Amiri"/>
          <w:lang w:bidi="ar-SA"/>
          <w:color w:val="111111"/>
          <w:sz w:val="28"/>
          <w:szCs w:val="28"/>
          <w:rtl/>
        </w:rPr>
        <w:t xml:space="preserve">3 .البداية والنهاية، ج 3، ص 253.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جامع المسانيد والسنن الهادي لأقوم السنن، ج5، ص328</w:t>
      </w:r>
    </w:p>
    <w:p>
      <w:pPr>
        <w:pStyle w:val="BookText"/>
      </w:pPr>
      <w:r>
        <w:rPr>
          <w:rFonts w:ascii="Amiri" w:hAnsi="Amiri" w:eastAsia="Amiri" w:cs="Amiri"/>
          <w:lang w:bidi="ar-SA"/>
          <w:color w:val="111111"/>
          <w:sz w:val="28"/>
          <w:szCs w:val="28"/>
          <w:rtl/>
        </w:rPr>
        <w:t xml:space="preserve">5 .دلائل النبوة، ج 7، ص 460.</w:t>
      </w:r>
    </w:p>
    <w:p>
      <w:pPr>
        <w:pStyle w:val="BookText"/>
      </w:pPr>
      <w:r>
        <w:rPr>
          <w:rFonts w:ascii="Amiri" w:hAnsi="Amiri" w:eastAsia="Amiri" w:cs="Amiri"/>
          <w:lang w:bidi="ar-SA"/>
          <w:color w:val="111111"/>
          <w:sz w:val="28"/>
          <w:szCs w:val="28"/>
          <w:rtl/>
        </w:rPr>
        <w:t xml:space="preserve">6 .طبقات الفقهاء الشافعيين، ج10،</w:t>
      </w:r>
    </w:p>
    <w:p>
      <w:pPr>
        <w:pStyle w:val="BookText"/>
      </w:pPr>
      <w:r>
        <w:rPr>
          <w:rFonts w:ascii="IRNazanin" w:hAnsi="IRNazanin" w:eastAsia="IRNazanin" w:cs="IRNazanin"/>
          <w:lang w:bidi="fa-IR"/>
          <w:color w:val="111111"/>
          <w:sz w:val="28"/>
          <w:szCs w:val="28"/>
          <w:rtl/>
        </w:rPr>
        <w:t xml:space="preserve">ص 785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الفتن و الملاحم، ج11، ص702.</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9" w:name="pg7742_69572"/>
    <w:bookmarkEnd w:id="109"/>
    <w:p>
      <w:pPr>
        <w:pStyle w:val="Heading2"/>
      </w:pPr>
      <w:bookmarkStart w:id="1631" w:name="_Toc733"/>
      <w:r>
        <w:t>ابن ،کرامه محسن بن محمّد، 413-494ه-</w:t>
      </w:r>
      <w:bookmarkEnd w:id="1631"/>
    </w:p>
    <w:p>
      <w:pPr>
        <w:pStyle w:val="BookText"/>
      </w:pPr>
      <w:r>
        <w:rPr>
          <w:rFonts w:ascii="Amiri" w:hAnsi="Amiri" w:eastAsia="Amiri" w:cs="Amiri"/>
          <w:lang w:bidi="ar-SA"/>
          <w:color w:val="111111"/>
          <w:sz w:val="28"/>
          <w:szCs w:val="28"/>
          <w:rtl/>
        </w:rPr>
        <w:t xml:space="preserve">1 .التهذيب في التفسير، ج 5، ص 114.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جلاء الابصار في متون الاخبار، جه، عبد الوهاب</w:t>
      </w:r>
    </w:p>
    <w:p>
      <w:pPr>
        <w:pStyle w:val="BookText"/>
      </w:pPr>
      <w:r>
        <w:rPr>
          <w:rFonts w:ascii="IRNazanin" w:hAnsi="IRNazanin" w:eastAsia="IRNazanin" w:cs="IRNazanin"/>
          <w:lang w:bidi="fa-IR"/>
          <w:color w:val="111111"/>
          <w:sz w:val="28"/>
          <w:szCs w:val="28"/>
          <w:rtl/>
        </w:rPr>
        <w:t xml:space="preserve">ص 402 .</w:t>
      </w:r>
    </w:p>
    <w:p>
      <w:pPr>
        <w:pStyle w:val="Heading2"/>
      </w:pPr>
      <w:bookmarkStart w:id="1632" w:name="_Toc734"/>
      <w:r>
        <w:t>ابن كربلائي نوروز</w:t>
      </w:r>
      <w:bookmarkEnd w:id="1632"/>
    </w:p>
    <w:p>
      <w:pPr>
        <w:pStyle w:val="BookText"/>
      </w:pPr>
      <w:r>
        <w:rPr>
          <w:rFonts w:ascii="Amiri" w:hAnsi="Amiri" w:eastAsia="Amiri" w:cs="Amiri"/>
          <w:lang w:bidi="ar-SA"/>
          <w:color w:val="111111"/>
          <w:sz w:val="28"/>
          <w:szCs w:val="28"/>
          <w:rtl/>
        </w:rPr>
        <w:t xml:space="preserve">حاشية السيّد الشريف، ج 6 ، ص 3.</w:t>
      </w:r>
    </w:p>
    <w:p>
      <w:pPr>
        <w:pStyle w:val="Heading2"/>
      </w:pPr>
      <w:bookmarkStart w:id="1633" w:name="_Toc735"/>
      <w:r>
        <w:t>ابن الكرماني ، يحيى بن محمّد - 833 ه-</w:t>
      </w:r>
      <w:bookmarkEnd w:id="1633"/>
    </w:p>
    <w:p>
      <w:pPr>
        <w:pStyle w:val="BookText"/>
      </w:pPr>
      <w:r>
        <w:rPr>
          <w:rFonts w:ascii="Amiri" w:hAnsi="Amiri" w:eastAsia="Amiri" w:cs="Amiri"/>
          <w:lang w:bidi="ar-SA"/>
          <w:color w:val="111111"/>
          <w:sz w:val="28"/>
          <w:szCs w:val="28"/>
          <w:rtl/>
        </w:rPr>
        <w:t xml:space="preserve">منتخب من كتاب نكت الهميان في</w:t>
      </w:r>
    </w:p>
    <w:p>
      <w:pPr>
        <w:pStyle w:val="BookText"/>
      </w:pPr>
      <w:r>
        <w:rPr>
          <w:rFonts w:ascii="Amiri" w:hAnsi="Amiri" w:eastAsia="Amiri" w:cs="Amiri"/>
          <w:lang w:bidi="ar-SA"/>
          <w:color w:val="111111"/>
          <w:sz w:val="28"/>
          <w:szCs w:val="28"/>
          <w:rtl/>
        </w:rPr>
        <w:t xml:space="preserve">نكت العميان، ج 15، ص 617.</w:t>
      </w:r>
    </w:p>
    <w:p>
      <w:pPr>
        <w:pStyle w:val="BookText"/>
      </w:pPr>
      <w:r>
        <w:rPr>
          <w:rFonts w:ascii="Amiri" w:hAnsi="Amiri" w:eastAsia="Amiri" w:cs="Amiri"/>
          <w:lang w:bidi="ar-SA"/>
          <w:color w:val="111111"/>
          <w:sz w:val="28"/>
          <w:szCs w:val="28"/>
          <w:rtl/>
        </w:rPr>
        <w:t xml:space="preserve">ابن كريمه اباضي - ابو عبيده اباضي ، مسلم</w:t>
      </w:r>
    </w:p>
    <w:p>
      <w:pPr>
        <w:pStyle w:val="BookText"/>
      </w:pPr>
      <w:r>
        <w:rPr>
          <w:rFonts w:ascii="Amiri" w:hAnsi="Amiri" w:eastAsia="Amiri" w:cs="Amiri"/>
          <w:lang w:bidi="ar-SA"/>
          <w:color w:val="111111"/>
          <w:sz w:val="28"/>
          <w:szCs w:val="28"/>
          <w:rtl/>
        </w:rPr>
        <w:t xml:space="preserve">بن ابي كريمه</w:t>
      </w:r>
    </w:p>
    <w:p>
      <w:pPr>
        <w:pStyle w:val="Heading2"/>
      </w:pPr>
      <w:bookmarkStart w:id="1634" w:name="_Toc736"/>
      <w:r>
        <w:t>ابن كزبر، محمّد بن احمد - 1089 ه-</w:t>
      </w:r>
      <w:bookmarkEnd w:id="1634"/>
    </w:p>
    <w:p>
      <w:pPr>
        <w:pStyle w:val="BookText"/>
      </w:pPr>
      <w:r>
        <w:rPr>
          <w:rFonts w:ascii="Amiri" w:hAnsi="Amiri" w:eastAsia="Amiri" w:cs="Amiri"/>
          <w:lang w:bidi="ar-SA"/>
          <w:color w:val="111111"/>
          <w:sz w:val="28"/>
          <w:szCs w:val="28"/>
          <w:rtl/>
        </w:rPr>
        <w:t xml:space="preserve">البحور الزاخرة في علوم الآخرة، ج3،</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Amiri" w:hAnsi="Amiri" w:eastAsia="Amiri" w:cs="Amiri"/>
          <w:lang w:bidi="ar-SA"/>
          <w:color w:val="111111"/>
          <w:sz w:val="28"/>
          <w:szCs w:val="28"/>
          <w:rtl/>
        </w:rPr>
        <w:t xml:space="preserve">ابن كفاني ، محمّد بن ابراهيم انصاري ،</w:t>
      </w:r>
    </w:p>
    <w:p>
      <w:pPr>
        <w:pStyle w:val="BookText"/>
      </w:pPr>
      <w:r>
        <w:rPr>
          <w:rFonts w:ascii="Amiri" w:hAnsi="Amiri" w:eastAsia="Amiri" w:cs="Amiri"/>
          <w:lang w:bidi="ar-SA"/>
          <w:color w:val="111111"/>
          <w:sz w:val="28"/>
          <w:szCs w:val="28"/>
          <w:rtl/>
        </w:rPr>
        <w:t xml:space="preserve">محمّد بن ابراهيم</w:t>
      </w:r>
    </w:p>
    <w:p>
      <w:pPr>
        <w:pStyle w:val="Heading2"/>
      </w:pPr>
      <w:bookmarkStart w:id="1635" w:name="_Toc737"/>
      <w:r>
        <w:t>ابن كلبي ، هشام بن محمّد - 204 ه-</w:t>
      </w:r>
      <w:bookmarkEnd w:id="1635"/>
    </w:p>
    <w:p>
      <w:pPr>
        <w:pStyle w:val="BookText"/>
      </w:pPr>
      <w:r>
        <w:rPr>
          <w:rFonts w:ascii="IRNazanin" w:hAnsi="IRNazanin" w:eastAsia="IRNazanin" w:cs="IRNazanin"/>
          <w:lang w:bidi="fa-IR"/>
          <w:color w:val="111111"/>
          <w:sz w:val="28"/>
          <w:szCs w:val="28"/>
          <w:rtl/>
        </w:rPr>
        <w:t xml:space="preserve">1 .اخبار بکر و تغلب، ج 1، ص 525</w:t>
      </w:r>
    </w:p>
    <w:p>
      <w:pPr>
        <w:pStyle w:val="BookText"/>
      </w:pPr>
      <w:r>
        <w:rPr>
          <w:rFonts w:ascii="Amiri" w:hAnsi="Amiri" w:eastAsia="Amiri" w:cs="Amiri"/>
          <w:lang w:bidi="ar-SA"/>
          <w:color w:val="111111"/>
          <w:sz w:val="28"/>
          <w:szCs w:val="28"/>
          <w:rtl/>
        </w:rPr>
        <w:t xml:space="preserve">2 .تنكيس الاصنام، ج 5، ص71.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جمهرة الانساب = النسب الكبير</w:t>
      </w:r>
    </w:p>
    <w:p>
      <w:pPr>
        <w:pStyle w:val="BookText"/>
      </w:pPr>
      <w:r>
        <w:rPr>
          <w:rFonts w:ascii="IRNazanin" w:hAnsi="IRNazanin" w:eastAsia="IRNazanin" w:cs="IRNazanin"/>
          <w:lang w:bidi="fa-IR"/>
          <w:color w:val="111111"/>
          <w:sz w:val="28"/>
          <w:szCs w:val="28"/>
          <w:rtl/>
        </w:rPr>
        <w:t xml:space="preserve">ج 5 ص 451.</w:t>
      </w:r>
    </w:p>
    <w:p>
      <w:pPr>
        <w:pStyle w:val="BookText"/>
      </w:pPr>
      <w:r>
        <w:rPr>
          <w:rFonts w:ascii="Amiri" w:hAnsi="Amiri" w:eastAsia="Amiri" w:cs="Amiri"/>
          <w:lang w:bidi="ar-SA"/>
          <w:color w:val="111111"/>
          <w:sz w:val="28"/>
          <w:szCs w:val="28"/>
          <w:rtl/>
        </w:rPr>
        <w:t xml:space="preserve">4 .ديوان لقيط بن يعمر الايادي و</w:t>
      </w:r>
    </w:p>
    <w:p>
      <w:pPr>
        <w:pStyle w:val="BookText"/>
      </w:pPr>
      <w:r>
        <w:rPr>
          <w:rFonts w:ascii="IRNazanin" w:hAnsi="IRNazanin" w:eastAsia="IRNazanin" w:cs="IRNazanin"/>
          <w:lang w:bidi="fa-IR"/>
          <w:color w:val="111111"/>
          <w:sz w:val="28"/>
          <w:szCs w:val="28"/>
          <w:rtl/>
        </w:rPr>
        <w:t xml:space="preserve">خبره، ج 7، ص 747</w:t>
      </w:r>
    </w:p>
    <w:p>
      <w:pPr>
        <w:pStyle w:val="BookText"/>
      </w:pPr>
      <w:r>
        <w:rPr>
          <w:rFonts w:ascii="IRNazanin" w:hAnsi="IRNazanin" w:eastAsia="IRNazanin" w:cs="IRNazanin"/>
          <w:lang w:bidi="fa-IR"/>
          <w:color w:val="111111"/>
          <w:sz w:val="28"/>
          <w:szCs w:val="28"/>
          <w:rtl/>
        </w:rPr>
        <w:t xml:space="preserve">5 .مثالب العرب، ج13، ص 765.</w:t>
      </w:r>
    </w:p>
    <w:p>
      <w:pPr>
        <w:pStyle w:val="BookText"/>
      </w:pPr>
      <w:r>
        <w:rPr>
          <w:rFonts w:ascii="Amiri" w:hAnsi="Amiri" w:eastAsia="Amiri" w:cs="Amiri"/>
          <w:lang w:bidi="ar-SA"/>
          <w:color w:val="111111"/>
          <w:sz w:val="28"/>
          <w:szCs w:val="28"/>
          <w:rtl/>
        </w:rPr>
        <w:t xml:space="preserve">6 .نسب فحول الخيل في الجاهلية و</w:t>
      </w:r>
    </w:p>
    <w:p>
      <w:pPr>
        <w:pStyle w:val="BookText"/>
      </w:pPr>
      <w:r>
        <w:rPr>
          <w:rFonts w:ascii="IRNazanin" w:hAnsi="IRNazanin" w:eastAsia="IRNazanin" w:cs="IRNazanin"/>
          <w:lang w:bidi="fa-IR"/>
          <w:color w:val="111111"/>
          <w:sz w:val="28"/>
          <w:szCs w:val="28"/>
          <w:rtl/>
        </w:rPr>
        <w:t xml:space="preserve">الاسلام، ج 16، ص 271</w:t>
      </w:r>
    </w:p>
    <w:p>
      <w:pPr>
        <w:pStyle w:val="BookText"/>
      </w:pPr>
      <w:r>
        <w:rPr>
          <w:rFonts w:ascii="Amiri" w:hAnsi="Amiri" w:eastAsia="Amiri" w:cs="Amiri"/>
          <w:lang w:bidi="ar-SA"/>
          <w:color w:val="111111"/>
          <w:sz w:val="28"/>
          <w:szCs w:val="28"/>
          <w:rtl/>
        </w:rPr>
        <w:t xml:space="preserve">ابن كليب ، عبد المنعم بن عبد الوهاب - حراني ، عبد المنعم بن عبد الوهاب</w:t>
      </w:r>
    </w:p>
    <w:p>
      <w:pPr>
        <w:pStyle w:val="BookText"/>
      </w:pPr>
      <w:r>
        <w:rPr>
          <w:rFonts w:ascii="IRNazanin" w:hAnsi="IRNazanin" w:eastAsia="IRNazanin" w:cs="IRNazanin"/>
          <w:lang w:bidi="fa-IR"/>
          <w:color w:val="111111"/>
          <w:sz w:val="28"/>
          <w:szCs w:val="28"/>
          <w:rtl/>
        </w:rPr>
        <w:t xml:space="preserve">ابن کمال پاشا احمد بن سليمان - 940ه-</w:t>
      </w:r>
    </w:p>
    <w:p>
      <w:pPr>
        <w:pStyle w:val="BookText"/>
      </w:pPr>
      <w:r>
        <w:rPr>
          <w:rFonts w:ascii="IRNazanin" w:hAnsi="IRNazanin" w:eastAsia="IRNazanin" w:cs="IRNazanin"/>
          <w:lang w:bidi="fa-IR"/>
          <w:color w:val="111111"/>
          <w:sz w:val="28"/>
          <w:szCs w:val="28"/>
          <w:rtl/>
        </w:rPr>
        <w:t xml:space="preserve">1 .آداب البحث، ج 1، ص 20.</w:t>
      </w:r>
    </w:p>
    <w:p>
      <w:pPr>
        <w:pStyle w:val="BookText"/>
      </w:pPr>
      <w:r>
        <w:rPr>
          <w:rFonts w:ascii="Amiri" w:hAnsi="Amiri" w:eastAsia="Amiri" w:cs="Amiri"/>
          <w:lang w:bidi="ar-SA"/>
          <w:color w:val="111111"/>
          <w:sz w:val="28"/>
          <w:szCs w:val="28"/>
          <w:rtl/>
        </w:rPr>
        <w:t xml:space="preserve">2 .الاربعون حديثاً، ج 1 ، ص 696.</w:t>
      </w:r>
    </w:p>
    <w:p>
      <w:pPr>
        <w:pStyle w:val="BookText"/>
      </w:pPr>
      <w:r>
        <w:rPr>
          <w:rFonts w:ascii="Amiri" w:hAnsi="Amiri" w:eastAsia="Amiri" w:cs="Amiri"/>
          <w:lang w:bidi="ar-SA"/>
          <w:color w:val="111111"/>
          <w:sz w:val="28"/>
          <w:szCs w:val="28"/>
          <w:rtl/>
        </w:rPr>
        <w:t xml:space="preserve">3 .الاستخلاف في القضاء و الجمعة (رسالة في)، ج 2، ص 125.</w:t>
      </w:r>
    </w:p>
    <w:p>
      <w:pPr>
        <w:pStyle w:val="BookText"/>
      </w:pPr>
      <w:r>
        <w:rPr>
          <w:rFonts w:ascii="Amiri" w:hAnsi="Amiri" w:eastAsia="Amiri" w:cs="Amiri"/>
          <w:lang w:bidi="ar-SA"/>
          <w:color w:val="111111"/>
          <w:sz w:val="28"/>
          <w:szCs w:val="28"/>
          <w:rtl/>
        </w:rPr>
        <w:t xml:space="preserve">4 .الاستيجار على تعليم القرآن، ج2،</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Amiri" w:hAnsi="Amiri" w:eastAsia="Amiri" w:cs="Amiri"/>
          <w:lang w:bidi="ar-SA"/>
          <w:color w:val="111111"/>
          <w:sz w:val="28"/>
          <w:szCs w:val="28"/>
          <w:rtl/>
        </w:rPr>
        <w:t xml:space="preserve">5 .اسلوب الحكيم رسالة في بيان</w:t>
      </w:r>
    </w:p>
    <w:p>
      <w:pPr>
        <w:pStyle w:val="BookText"/>
      </w:pPr>
      <w:r>
        <w:rPr>
          <w:rFonts w:ascii="IRNazanin" w:hAnsi="IRNazanin" w:eastAsia="IRNazanin" w:cs="IRNazanin"/>
          <w:lang w:bidi="fa-IR"/>
          <w:color w:val="111111"/>
          <w:sz w:val="28"/>
          <w:szCs w:val="28"/>
          <w:rtl/>
        </w:rPr>
        <w:t xml:space="preserve">ج 2، ص 209.</w:t>
      </w:r>
    </w:p>
    <w:p>
      <w:pPr>
        <w:pStyle w:val="BookText"/>
      </w:pPr>
      <w:r>
        <w:rPr>
          <w:rFonts w:ascii="Amiri" w:hAnsi="Amiri" w:eastAsia="Amiri" w:cs="Amiri"/>
          <w:lang w:bidi="ar-SA"/>
          <w:color w:val="111111"/>
          <w:sz w:val="28"/>
          <w:szCs w:val="28"/>
          <w:rtl/>
        </w:rPr>
        <w:t xml:space="preserve">6 .الاصلاح و الايضاح = شرح متن</w:t>
      </w:r>
    </w:p>
    <w:p>
      <w:pPr>
        <w:pStyle w:val="BookText"/>
      </w:pPr>
      <w:r>
        <w:rPr>
          <w:rFonts w:ascii="Amiri" w:hAnsi="Amiri" w:eastAsia="Amiri" w:cs="Amiri"/>
          <w:lang w:bidi="ar-SA"/>
          <w:color w:val="111111"/>
          <w:sz w:val="28"/>
          <w:szCs w:val="28"/>
          <w:rtl/>
        </w:rPr>
        <w:t xml:space="preserve">الوقاية، ج 2، ص 374.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اعجاز القرآن - تحقيق أن القرآن معجز و أن اعجازه ببلاغته (رسالة</w:t>
      </w:r>
    </w:p>
    <w:p>
      <w:pPr>
        <w:pStyle w:val="BookText"/>
      </w:pPr>
      <w:r>
        <w:rPr>
          <w:rFonts w:ascii="Amiri" w:hAnsi="Amiri" w:eastAsia="Amiri" w:cs="Amiri"/>
          <w:lang w:bidi="ar-SA"/>
          <w:color w:val="111111"/>
          <w:sz w:val="28"/>
          <w:szCs w:val="28"/>
          <w:rtl/>
        </w:rPr>
        <w:t xml:space="preserve">في)، ج 2، ص 522.</w:t>
      </w:r>
    </w:p>
    <w:p>
      <w:pPr>
        <w:pStyle w:val="BookText"/>
      </w:pPr>
      <w:r>
        <w:rPr>
          <w:rFonts w:ascii="Amiri" w:hAnsi="Amiri" w:eastAsia="Amiri" w:cs="Amiri"/>
          <w:lang w:bidi="ar-SA"/>
          <w:color w:val="111111"/>
          <w:sz w:val="28"/>
          <w:szCs w:val="28"/>
          <w:rtl/>
        </w:rPr>
        <w:t xml:space="preserve">8 .الالهيات (رسالة في)، ج 2، ص 699.</w:t>
      </w:r>
    </w:p>
    <w:p>
      <w:pPr>
        <w:pStyle w:val="BookText"/>
      </w:pPr>
      <w:r>
        <w:rPr>
          <w:rFonts w:ascii="Amiri" w:hAnsi="Amiri" w:eastAsia="Amiri" w:cs="Amiri"/>
          <w:lang w:bidi="ar-SA"/>
          <w:color w:val="111111"/>
          <w:sz w:val="28"/>
          <w:szCs w:val="28"/>
          <w:rtl/>
        </w:rPr>
        <w:t xml:space="preserve">9 .ايمان ابوي النبي (ص) = مسالك الحنفاء في ابوي المصطفى، ج 3،</w:t>
      </w:r>
    </w:p>
    <w:p>
      <w:pPr>
        <w:pStyle w:val="BookText"/>
      </w:pPr>
      <w:r>
        <w:rPr>
          <w:rFonts w:ascii="IRNazanin" w:hAnsi="IRNazanin" w:eastAsia="IRNazanin" w:cs="IRNazanin"/>
          <w:lang w:bidi="fa-IR"/>
          <w:color w:val="111111"/>
          <w:sz w:val="28"/>
          <w:szCs w:val="28"/>
          <w:rtl/>
        </w:rPr>
        <w:t xml:space="preserve">ص156.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بیان حديث الطرق إلى الله انفاس الخلائق، ج 3، ص 468.</w:t>
      </w:r>
    </w:p>
    <w:p>
      <w:pPr>
        <w:pStyle w:val="BookText"/>
      </w:pPr>
      <w:r>
        <w:rPr>
          <w:rFonts w:ascii="Amiri" w:hAnsi="Amiri" w:eastAsia="Amiri" w:cs="Amiri"/>
          <w:lang w:bidi="ar-SA"/>
          <w:color w:val="111111"/>
          <w:sz w:val="28"/>
          <w:szCs w:val="28"/>
          <w:rtl/>
        </w:rPr>
        <w:t xml:space="preserve">11 .التبعيضية = بحث «من» التبعيضية (رسالة في)، ج 3، ص 648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تحقيق الحق و ابطال رأي الصوفية في الرقص والدوران</w:t>
      </w:r>
    </w:p>
    <w:p>
      <w:pPr>
        <w:pStyle w:val="BookText"/>
      </w:pPr>
      <w:r>
        <w:rPr>
          <w:rFonts w:ascii="Amiri" w:hAnsi="Amiri" w:eastAsia="Amiri" w:cs="Amiri"/>
          <w:lang w:bidi="ar-SA"/>
          <w:color w:val="111111"/>
          <w:sz w:val="28"/>
          <w:szCs w:val="28"/>
          <w:rtl/>
        </w:rPr>
        <w:t xml:space="preserve">(رسالة في)، ج4، ص 58.</w:t>
      </w:r>
    </w:p>
    <w:p>
      <w:pPr>
        <w:pStyle w:val="BookText"/>
      </w:pPr>
      <w:r>
        <w:rPr>
          <w:rFonts w:ascii="Amiri" w:hAnsi="Amiri" w:eastAsia="Amiri" w:cs="Amiri"/>
          <w:lang w:bidi="ar-SA"/>
          <w:color w:val="111111"/>
          <w:sz w:val="28"/>
          <w:szCs w:val="28"/>
          <w:rtl/>
        </w:rPr>
        <w:t xml:space="preserve">13 .تحقيق العقل لمفخر ارباب</w:t>
      </w:r>
    </w:p>
    <w:p>
      <w:pPr>
        <w:pStyle w:val="BookText"/>
      </w:pPr>
      <w:r>
        <w:rPr>
          <w:rFonts w:ascii="IRNazanin" w:hAnsi="IRNazanin" w:eastAsia="IRNazanin" w:cs="IRNazanin"/>
          <w:lang w:bidi="fa-IR"/>
          <w:color w:val="111111"/>
          <w:sz w:val="28"/>
          <w:szCs w:val="28"/>
          <w:rtl/>
        </w:rPr>
        <w:t xml:space="preserve">الفضل، ج 4، ص 63 .</w:t>
      </w:r>
    </w:p>
    <w:p>
      <w:pPr>
        <w:pStyle w:val="BookText"/>
      </w:pPr>
      <w:r>
        <w:rPr>
          <w:rFonts w:ascii="Amiri" w:hAnsi="Amiri" w:eastAsia="Amiri" w:cs="Amiri"/>
          <w:lang w:bidi="ar-SA"/>
          <w:color w:val="111111"/>
          <w:sz w:val="28"/>
          <w:szCs w:val="28"/>
          <w:rtl/>
        </w:rPr>
        <w:t xml:space="preserve">14 .تحقيق الفقر، ج 4، ص 64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.تحقيق القول بأن الشهداء أحياء</w:t>
      </w:r>
    </w:p>
    <w:p>
      <w:pPr>
        <w:pStyle w:val="BookText"/>
      </w:pPr>
      <w:r>
        <w:rPr>
          <w:rFonts w:ascii="Amiri" w:hAnsi="Amiri" w:eastAsia="Amiri" w:cs="Amiri"/>
          <w:lang w:bidi="ar-SA"/>
          <w:color w:val="111111"/>
          <w:sz w:val="28"/>
          <w:szCs w:val="28"/>
          <w:rtl/>
        </w:rPr>
        <w:t xml:space="preserve">في الدنيا (رسالة في)، ج 4، ص 68.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تحقيق المعجزة و بيان وجه دلالتها على صدق من يدعي النبوة (رسالة في)، ج 4، ص 77.</w:t>
      </w:r>
    </w:p>
    <w:p>
      <w:pPr>
        <w:pStyle w:val="BookText"/>
      </w:pPr>
      <w:r>
        <w:rPr>
          <w:rFonts w:ascii="Amiri" w:hAnsi="Amiri" w:eastAsia="Amiri" w:cs="Amiri"/>
          <w:lang w:bidi="ar-SA"/>
          <w:color w:val="111111"/>
          <w:sz w:val="28"/>
          <w:szCs w:val="28"/>
          <w:rtl/>
        </w:rPr>
        <w:t xml:space="preserve">17 .تحقيق ان اللفظ قد يوضع مقيداً</w:t>
      </w:r>
    </w:p>
    <w:p>
      <w:pPr>
        <w:pStyle w:val="BookText"/>
      </w:pPr>
      <w:r>
        <w:rPr>
          <w:rFonts w:ascii="Amiri" w:hAnsi="Amiri" w:eastAsia="Amiri" w:cs="Amiri"/>
          <w:lang w:bidi="ar-SA"/>
          <w:color w:val="111111"/>
          <w:sz w:val="28"/>
          <w:szCs w:val="28"/>
          <w:rtl/>
        </w:rPr>
        <w:t xml:space="preserve">(رسالة في)، ج 4، ص 51</w:t>
      </w:r>
    </w:p>
    <w:p>
      <w:pPr>
        <w:pStyle w:val="BookText"/>
      </w:pPr>
      <w:r>
        <w:rPr>
          <w:rFonts w:ascii="Amiri" w:hAnsi="Amiri" w:eastAsia="Amiri" w:cs="Amiri"/>
          <w:lang w:bidi="ar-SA"/>
          <w:color w:val="111111"/>
          <w:sz w:val="28"/>
          <w:szCs w:val="28"/>
          <w:rtl/>
        </w:rPr>
        <w:t xml:space="preserve">18 .تحقيق تعريب الكلمة الأعجمية و</w:t>
      </w:r>
    </w:p>
    <w:p>
      <w:pPr>
        <w:pStyle w:val="BookText"/>
      </w:pPr>
      <w:r>
        <w:rPr>
          <w:rFonts w:ascii="Amiri" w:hAnsi="Amiri" w:eastAsia="Amiri" w:cs="Amiri"/>
          <w:lang w:bidi="ar-SA"/>
          <w:color w:val="111111"/>
          <w:sz w:val="28"/>
          <w:szCs w:val="28"/>
          <w:rtl/>
        </w:rPr>
        <w:t xml:space="preserve">تفصيل اقسامها = تعريب الكلمة الاعجمية، ج 4، ص 53.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التحقيق في الرد على الزنديق جع،</w:t>
      </w:r>
    </w:p>
    <w:p>
      <w:pPr>
        <w:pStyle w:val="BookText"/>
      </w:pPr>
      <w:r>
        <w:rPr>
          <w:rFonts w:ascii="IRNazanin" w:hAnsi="IRNazanin" w:eastAsia="IRNazanin" w:cs="IRNazanin"/>
          <w:lang w:bidi="fa-IR"/>
          <w:color w:val="111111"/>
          <w:sz w:val="28"/>
          <w:szCs w:val="28"/>
          <w:rtl/>
        </w:rPr>
        <w:t xml:space="preserve">ص 66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تحقيق ما قال القائلين بالحال من اصحابنا و اصحاب الاعتزال (رسالة</w:t>
      </w:r>
    </w:p>
    <w:p>
      <w:pPr>
        <w:pStyle w:val="BookText"/>
      </w:pPr>
      <w:r>
        <w:rPr>
          <w:rFonts w:ascii="Amiri" w:hAnsi="Amiri" w:eastAsia="Amiri" w:cs="Amiri"/>
          <w:lang w:bidi="ar-SA"/>
          <w:color w:val="111111"/>
          <w:sz w:val="28"/>
          <w:szCs w:val="28"/>
          <w:rtl/>
        </w:rPr>
        <w:t xml:space="preserve">في)، ج 4، ص 72.</w:t>
      </w:r>
    </w:p>
    <w:p>
      <w:pPr>
        <w:pStyle w:val="BookText"/>
      </w:pPr>
      <w:r>
        <w:rPr>
          <w:rFonts w:ascii="IRNazanin" w:hAnsi="IRNazanin" w:eastAsia="IRNazanin" w:cs="IRNazanin"/>
          <w:lang w:bidi="fa-IR"/>
          <w:color w:val="111111"/>
          <w:sz w:val="28"/>
          <w:szCs w:val="28"/>
          <w:rtl/>
        </w:rPr>
        <w:t xml:space="preserve">21 .تحقیق مراد القائلين: «بأن الواجب تعالى موجب بالذات »</w:t>
      </w:r>
    </w:p>
    <w:p>
      <w:pPr>
        <w:pStyle w:val="BookText"/>
      </w:pPr>
      <w:r>
        <w:rPr>
          <w:rFonts w:ascii="Amiri" w:hAnsi="Amiri" w:eastAsia="Amiri" w:cs="Amiri"/>
          <w:lang w:bidi="ar-SA"/>
          <w:color w:val="111111"/>
          <w:sz w:val="28"/>
          <w:szCs w:val="28"/>
          <w:rtl/>
        </w:rPr>
        <w:t xml:space="preserve">(رسالة في)، ج 4، ص 75.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تحقيق معنى جعل الماهية جع،</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Amiri" w:hAnsi="Amiri" w:eastAsia="Amiri" w:cs="Amiri"/>
          <w:lang w:bidi="ar-SA"/>
          <w:color w:val="111111"/>
          <w:sz w:val="28"/>
          <w:szCs w:val="28"/>
          <w:rtl/>
        </w:rPr>
        <w:t xml:space="preserve">23 .تخميس القصيدة الخمرية، جع،</w:t>
      </w:r>
    </w:p>
    <w:p>
      <w:pPr>
        <w:pStyle w:val="BookText"/>
      </w:pPr>
      <w:r>
        <w:rPr>
          <w:rFonts w:ascii="IRNazanin" w:hAnsi="IRNazanin" w:eastAsia="IRNazanin" w:cs="IRNazanin"/>
          <w:lang w:bidi="fa-IR"/>
          <w:color w:val="111111"/>
          <w:sz w:val="28"/>
          <w:szCs w:val="28"/>
          <w:rtl/>
        </w:rPr>
        <w:t xml:space="preserve">ص128.</w:t>
      </w:r>
    </w:p>
    <w:p>
      <w:pPr>
        <w:pStyle w:val="BookText"/>
      </w:pPr>
      <w:r>
        <w:rPr>
          <w:rFonts w:ascii="Amiri" w:hAnsi="Amiri" w:eastAsia="Amiri" w:cs="Amiri"/>
          <w:lang w:bidi="ar-SA"/>
          <w:color w:val="111111"/>
          <w:sz w:val="28"/>
          <w:szCs w:val="28"/>
          <w:rtl/>
        </w:rPr>
        <w:t xml:space="preserve">24 .تخميس لابن كمال بك، ج 4</w:t>
      </w:r>
    </w:p>
    <w:p>
      <w:pPr>
        <w:pStyle w:val="BookText"/>
      </w:pPr>
      <w:r>
        <w:rPr>
          <w:rFonts w:ascii="IRNazanin" w:hAnsi="IRNazanin" w:eastAsia="IRNazanin" w:cs="IRNazanin"/>
          <w:lang w:bidi="fa-IR"/>
          <w:color w:val="111111"/>
          <w:sz w:val="28"/>
          <w:szCs w:val="28"/>
          <w:rtl/>
        </w:rPr>
        <w:t xml:space="preserve">ص 155 .</w:t>
      </w:r>
    </w:p>
    <w:p>
      <w:pPr>
        <w:pStyle w:val="BookText"/>
      </w:pPr>
      <w:r>
        <w:rPr>
          <w:rFonts w:ascii="Amiri" w:hAnsi="Amiri" w:eastAsia="Amiri" w:cs="Amiri"/>
          <w:lang w:bidi="ar-SA"/>
          <w:color w:val="111111"/>
          <w:sz w:val="28"/>
          <w:szCs w:val="28"/>
          <w:rtl/>
        </w:rPr>
        <w:t xml:space="preserve">25 .التضمين (رسالة على بحث)، جع،</w:t>
      </w:r>
    </w:p>
    <w:p>
      <w:pPr>
        <w:pStyle w:val="BookText"/>
      </w:pPr>
      <w:r>
        <w:rPr>
          <w:rFonts w:ascii="IRNazanin" w:hAnsi="IRNazanin" w:eastAsia="IRNazanin" w:cs="IRNazanin"/>
          <w:lang w:bidi="fa-IR"/>
          <w:color w:val="111111"/>
          <w:sz w:val="28"/>
          <w:szCs w:val="28"/>
          <w:rtl/>
        </w:rPr>
        <w:t xml:space="preserve">ص 441 .</w:t>
      </w:r>
    </w:p>
    <w:p>
      <w:pPr>
        <w:pStyle w:val="BookText"/>
      </w:pPr>
      <w:r>
        <w:rPr>
          <w:rFonts w:ascii="Amiri" w:hAnsi="Amiri" w:eastAsia="Amiri" w:cs="Amiri"/>
          <w:lang w:bidi="ar-SA"/>
          <w:color w:val="111111"/>
          <w:sz w:val="28"/>
          <w:szCs w:val="28"/>
          <w:rtl/>
        </w:rPr>
        <w:t xml:space="preserve">26 .تعدد الجوامع في المصر الواحد</w:t>
      </w:r>
    </w:p>
    <w:p>
      <w:pPr>
        <w:pStyle w:val="BookText"/>
      </w:pPr>
      <w:r>
        <w:rPr>
          <w:rFonts w:ascii="Amiri" w:hAnsi="Amiri" w:eastAsia="Amiri" w:cs="Amiri"/>
          <w:lang w:bidi="ar-SA"/>
          <w:color w:val="111111"/>
          <w:sz w:val="28"/>
          <w:szCs w:val="28"/>
          <w:rtl/>
        </w:rPr>
        <w:t xml:space="preserve">(رسالة في)، ج 4، ص 462.</w:t>
      </w:r>
    </w:p>
    <w:p>
      <w:pPr>
        <w:pStyle w:val="BookText"/>
      </w:pPr>
      <w:r>
        <w:rPr>
          <w:rFonts w:ascii="Amiri" w:hAnsi="Amiri" w:eastAsia="Amiri" w:cs="Amiri"/>
          <w:lang w:bidi="ar-SA"/>
          <w:color w:val="111111"/>
          <w:sz w:val="28"/>
          <w:szCs w:val="28"/>
          <w:rtl/>
        </w:rPr>
        <w:t xml:space="preserve">27 .تعليقه على كتاب الوقاية، ج 4،</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تعليم الامير وتحريم الخمر (رسالة في)، ج4، ص 557</w:t>
      </w:r>
    </w:p>
    <w:p>
      <w:pPr>
        <w:pStyle w:val="BookText"/>
      </w:pPr>
      <w:r>
        <w:rPr>
          <w:rFonts w:ascii="Amiri" w:hAnsi="Amiri" w:eastAsia="Amiri" w:cs="Amiri"/>
          <w:lang w:bidi="ar-SA"/>
          <w:color w:val="111111"/>
          <w:sz w:val="28"/>
          <w:szCs w:val="28"/>
          <w:rtl/>
        </w:rPr>
        <w:t xml:space="preserve">29 .التغليب (رسالة في)، ج 4، ص 564.</w:t>
      </w:r>
    </w:p>
    <w:p>
      <w:pPr>
        <w:pStyle w:val="BookText"/>
      </w:pPr>
      <w:r>
        <w:rPr>
          <w:rFonts w:ascii="Amiri" w:hAnsi="Amiri" w:eastAsia="Amiri" w:cs="Amiri"/>
          <w:lang w:bidi="ar-SA"/>
          <w:color w:val="111111"/>
          <w:sz w:val="28"/>
          <w:szCs w:val="28"/>
          <w:rtl/>
        </w:rPr>
        <w:t xml:space="preserve">30 .تغيير التنقيح = شرح تنقيح</w:t>
      </w:r>
    </w:p>
    <w:p>
      <w:pPr>
        <w:pStyle w:val="BookText"/>
      </w:pPr>
      <w:r>
        <w:rPr>
          <w:rFonts w:ascii="IRNazanin" w:hAnsi="IRNazanin" w:eastAsia="IRNazanin" w:cs="IRNazanin"/>
          <w:lang w:bidi="fa-IR"/>
          <w:color w:val="111111"/>
          <w:sz w:val="28"/>
          <w:szCs w:val="28"/>
          <w:rtl/>
        </w:rPr>
        <w:t xml:space="preserve">الاصول، ج 4، ص 564.</w:t>
      </w:r>
    </w:p>
    <w:p>
      <w:pPr>
        <w:pStyle w:val="BookText"/>
      </w:pPr>
      <w:r>
        <w:rPr>
          <w:rFonts w:ascii="Amiri" w:hAnsi="Amiri" w:eastAsia="Amiri" w:cs="Amiri"/>
          <w:lang w:bidi="ar-SA"/>
          <w:color w:val="111111"/>
          <w:sz w:val="28"/>
          <w:szCs w:val="28"/>
          <w:rtl/>
        </w:rPr>
        <w:t xml:space="preserve">31 .التفأل بالقرآن (رسالة في)، جع،</w:t>
      </w:r>
    </w:p>
    <w:p>
      <w:pPr>
        <w:pStyle w:val="BookText"/>
      </w:pPr>
      <w:r>
        <w:rPr>
          <w:rFonts w:ascii="IRNazanin" w:hAnsi="IRNazanin" w:eastAsia="IRNazanin" w:cs="IRNazanin"/>
          <w:lang w:bidi="fa-IR"/>
          <w:color w:val="111111"/>
          <w:sz w:val="28"/>
          <w:szCs w:val="28"/>
          <w:rtl/>
        </w:rPr>
        <w:t xml:space="preserve">ص 566.</w:t>
      </w:r>
    </w:p>
    <w:p>
      <w:pPr>
        <w:pStyle w:val="BookText"/>
      </w:pPr>
      <w:r>
        <w:rPr>
          <w:rFonts w:ascii="Amiri" w:hAnsi="Amiri" w:eastAsia="Amiri" w:cs="Amiri"/>
          <w:lang w:bidi="ar-SA"/>
          <w:color w:val="111111"/>
          <w:sz w:val="28"/>
          <w:szCs w:val="28"/>
          <w:rtl/>
        </w:rPr>
        <w:t xml:space="preserve">32 .تفسير آية النور على طريقة</w:t>
      </w:r>
    </w:p>
    <w:p>
      <w:pPr>
        <w:pStyle w:val="BookText"/>
      </w:pPr>
      <w:r>
        <w:rPr>
          <w:rFonts w:ascii="Amiri" w:hAnsi="Amiri" w:eastAsia="Amiri" w:cs="Amiri"/>
          <w:lang w:bidi="ar-SA"/>
          <w:color w:val="111111"/>
          <w:sz w:val="28"/>
          <w:szCs w:val="28"/>
          <w:rtl/>
        </w:rPr>
        <w:t xml:space="preserve">الصوفية، ج4، ص 587.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تفسير البسملة، ج 4، ص 604.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تفسير القرآن الكريم، ج4، ص 665.</w:t>
      </w:r>
    </w:p>
    <w:p>
      <w:pPr>
        <w:pStyle w:val="BookText"/>
      </w:pPr>
      <w:r>
        <w:rPr>
          <w:rFonts w:ascii="Amiri" w:hAnsi="Amiri" w:eastAsia="Amiri" w:cs="Amiri"/>
          <w:lang w:bidi="ar-SA"/>
          <w:color w:val="111111"/>
          <w:sz w:val="28"/>
          <w:szCs w:val="28"/>
          <w:rtl/>
        </w:rPr>
        <w:t xml:space="preserve">35 .تفسير القرآن الكريم - تفسير ابن</w:t>
      </w:r>
    </w:p>
    <w:p>
      <w:pPr>
        <w:pStyle w:val="BookText"/>
      </w:pPr>
      <w:r>
        <w:rPr>
          <w:rFonts w:ascii="IRNazanin" w:hAnsi="IRNazanin" w:eastAsia="IRNazanin" w:cs="IRNazanin"/>
          <w:lang w:bidi="fa-IR"/>
          <w:color w:val="111111"/>
          <w:sz w:val="28"/>
          <w:szCs w:val="28"/>
          <w:rtl/>
        </w:rPr>
        <w:t xml:space="preserve">کمال باشا، ج4، ص 665.</w:t>
      </w:r>
    </w:p>
    <w:p>
      <w:pPr>
        <w:pStyle w:val="BookText"/>
      </w:pPr>
      <w:r>
        <w:rPr>
          <w:rFonts w:ascii="Amiri" w:hAnsi="Amiri" w:eastAsia="Amiri" w:cs="Amiri"/>
          <w:lang w:bidi="ar-SA"/>
          <w:color w:val="111111"/>
          <w:sz w:val="28"/>
          <w:szCs w:val="28"/>
          <w:rtl/>
        </w:rPr>
        <w:t xml:space="preserve">36 .تفسير سورة الملك، ج4، ص 641.</w:t>
      </w:r>
    </w:p>
    <w:p>
      <w:pPr>
        <w:pStyle w:val="BookText"/>
      </w:pPr>
      <w:r>
        <w:rPr>
          <w:rFonts w:ascii="Amiri" w:hAnsi="Amiri" w:eastAsia="Amiri" w:cs="Amiri"/>
          <w:lang w:bidi="ar-SA"/>
          <w:color w:val="111111"/>
          <w:sz w:val="28"/>
          <w:szCs w:val="28"/>
          <w:rtl/>
        </w:rPr>
        <w:t xml:space="preserve">37 .تفصيل ما قيل في ابوي الرسول (ص) (رسالة في)، ج 4، ص 701.</w:t>
      </w:r>
    </w:p>
    <w:p>
      <w:pPr>
        <w:pStyle w:val="BookText"/>
      </w:pPr>
      <w:r>
        <w:rPr>
          <w:rFonts w:ascii="Amiri" w:hAnsi="Amiri" w:eastAsia="Amiri" w:cs="Amiri"/>
          <w:lang w:bidi="ar-SA"/>
          <w:color w:val="111111"/>
          <w:sz w:val="28"/>
          <w:szCs w:val="28"/>
          <w:rtl/>
        </w:rPr>
        <w:t xml:space="preserve">38 .تفصيل ما قيل في أمر التفضيل</w:t>
      </w:r>
    </w:p>
    <w:p>
      <w:pPr>
        <w:pStyle w:val="BookText"/>
      </w:pPr>
      <w:r>
        <w:rPr>
          <w:rFonts w:ascii="Amiri" w:hAnsi="Amiri" w:eastAsia="Amiri" w:cs="Amiri"/>
          <w:lang w:bidi="ar-SA"/>
          <w:color w:val="111111"/>
          <w:sz w:val="28"/>
          <w:szCs w:val="28"/>
          <w:rtl/>
        </w:rPr>
        <w:t xml:space="preserve">(رسالة في)، ج 4، ص 702.</w:t>
      </w:r>
    </w:p>
    <w:p>
      <w:pPr>
        <w:pStyle w:val="BookText"/>
      </w:pPr>
      <w:r>
        <w:rPr>
          <w:rFonts w:ascii="Amiri" w:hAnsi="Amiri" w:eastAsia="Amiri" w:cs="Amiri"/>
          <w:lang w:bidi="ar-SA"/>
          <w:color w:val="111111"/>
          <w:sz w:val="28"/>
          <w:szCs w:val="28"/>
          <w:rtl/>
        </w:rPr>
        <w:t xml:space="preserve">39 .تفضيل البشر على الملائكة : تفضيل الأنبياء على الملائكة، جع،</w:t>
      </w:r>
    </w:p>
    <w:p>
      <w:pPr>
        <w:pStyle w:val="BookText"/>
      </w:pPr>
      <w:r>
        <w:rPr>
          <w:rFonts w:ascii="IRNazanin" w:hAnsi="IRNazanin" w:eastAsia="IRNazanin" w:cs="IRNazanin"/>
          <w:lang w:bidi="fa-IR"/>
          <w:color w:val="111111"/>
          <w:sz w:val="28"/>
          <w:szCs w:val="28"/>
          <w:rtl/>
        </w:rPr>
        <w:t xml:space="preserve">ص 709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تفكيك الضمائر (رسالة في)، جع،</w:t>
      </w:r>
    </w:p>
    <w:p>
      <w:pPr>
        <w:pStyle w:val="BookText"/>
      </w:pPr>
      <w:r>
        <w:rPr>
          <w:rFonts w:ascii="IRNazanin" w:hAnsi="IRNazanin" w:eastAsia="IRNazanin" w:cs="IRNazanin"/>
          <w:lang w:bidi="fa-IR"/>
          <w:color w:val="111111"/>
          <w:sz w:val="28"/>
          <w:szCs w:val="28"/>
          <w:rtl/>
        </w:rPr>
        <w:t xml:space="preserve">ص 712.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تلوين الخطاب (رسالة في بيان)</w:t>
      </w:r>
    </w:p>
    <w:p>
      <w:pPr>
        <w:pStyle w:val="BookText"/>
      </w:pPr>
      <w:r>
        <w:rPr>
          <w:rFonts w:ascii="IRNazanin" w:hAnsi="IRNazanin" w:eastAsia="IRNazanin" w:cs="IRNazanin"/>
          <w:lang w:bidi="fa-IR"/>
          <w:color w:val="111111"/>
          <w:sz w:val="28"/>
          <w:szCs w:val="28"/>
          <w:rtl/>
        </w:rPr>
        <w:t xml:space="preserve">ج 4، ص 873.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التمثيل و التمثل رسالة في)، جع،</w:t>
      </w:r>
    </w:p>
    <w:p>
      <w:pPr>
        <w:pStyle w:val="BookText"/>
      </w:pPr>
      <w:r>
        <w:rPr>
          <w:rFonts w:ascii="IRNazanin" w:hAnsi="IRNazanin" w:eastAsia="IRNazanin" w:cs="IRNazanin"/>
          <w:lang w:bidi="fa-IR"/>
          <w:color w:val="111111"/>
          <w:sz w:val="28"/>
          <w:szCs w:val="28"/>
          <w:rtl/>
        </w:rPr>
        <w:t xml:space="preserve">ص 877</w:t>
      </w:r>
    </w:p>
    <w:p>
      <w:pPr>
        <w:pStyle w:val="BookText"/>
      </w:pPr>
      <w:r>
        <w:rPr>
          <w:rFonts w:ascii="Amiri" w:hAnsi="Amiri" w:eastAsia="Amiri" w:cs="Amiri"/>
          <w:lang w:bidi="ar-SA"/>
          <w:color w:val="111111"/>
          <w:sz w:val="28"/>
          <w:szCs w:val="28"/>
          <w:rtl/>
        </w:rPr>
        <w:t xml:space="preserve">43 .التنبيه على غلط الجاهل و النبيه</w:t>
      </w:r>
    </w:p>
    <w:p>
      <w:pPr>
        <w:pStyle w:val="BookText"/>
      </w:pPr>
      <w:r>
        <w:rPr>
          <w:rFonts w:ascii="IRNazanin" w:hAnsi="IRNazanin" w:eastAsia="IRNazanin" w:cs="IRNazanin"/>
          <w:lang w:bidi="fa-IR"/>
          <w:color w:val="111111"/>
          <w:sz w:val="28"/>
          <w:szCs w:val="28"/>
          <w:rtl/>
        </w:rPr>
        <w:t xml:space="preserve">سقطات العوام، ج 5، ص31.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توقيفية اسماء الله تعالى (رسالة</w:t>
      </w:r>
    </w:p>
    <w:p>
      <w:pPr>
        <w:pStyle w:val="BookText"/>
      </w:pPr>
      <w:r>
        <w:rPr>
          <w:rFonts w:ascii="Amiri" w:hAnsi="Amiri" w:eastAsia="Amiri" w:cs="Amiri"/>
          <w:lang w:bidi="ar-SA"/>
          <w:color w:val="111111"/>
          <w:sz w:val="28"/>
          <w:szCs w:val="28"/>
          <w:rtl/>
        </w:rPr>
        <w:t xml:space="preserve">في تحقيق)، ج5، ص187.</w:t>
      </w:r>
    </w:p>
    <w:p>
      <w:pPr>
        <w:pStyle w:val="BookText"/>
      </w:pPr>
      <w:r>
        <w:rPr>
          <w:rFonts w:ascii="Amiri" w:hAnsi="Amiri" w:eastAsia="Amiri" w:cs="Amiri"/>
          <w:lang w:bidi="ar-SA"/>
          <w:color w:val="111111"/>
          <w:sz w:val="28"/>
          <w:szCs w:val="28"/>
          <w:rtl/>
        </w:rPr>
        <w:t xml:space="preserve">45 .الجبر و القدر (رسالة في ) = تحقيق أن ما يصدر عنه تعالى إنما يصدر بالقدرة و الإختيار لا بالكره والاضطرار (رسالة في)، جه،</w:t>
      </w:r>
    </w:p>
    <w:p>
      <w:pPr>
        <w:pStyle w:val="BookText"/>
      </w:pPr>
      <w:r>
        <w:rPr>
          <w:rFonts w:ascii="IRNazanin" w:hAnsi="IRNazanin" w:eastAsia="IRNazanin" w:cs="IRNazanin"/>
          <w:lang w:bidi="fa-IR"/>
          <w:color w:val="111111"/>
          <w:sz w:val="28"/>
          <w:szCs w:val="28"/>
          <w:rtl/>
        </w:rPr>
        <w:t xml:space="preserve">ص 360.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.جواز التوسع في كلام العرب، ج 5،</w:t>
      </w:r>
    </w:p>
    <w:p>
      <w:pPr>
        <w:pStyle w:val="BookText"/>
      </w:pPr>
      <w:r>
        <w:rPr>
          <w:rFonts w:ascii="IRNazanin" w:hAnsi="IRNazanin" w:eastAsia="IRNazanin" w:cs="IRNazanin"/>
          <w:lang w:bidi="fa-IR"/>
          <w:color w:val="111111"/>
          <w:sz w:val="28"/>
          <w:szCs w:val="28"/>
          <w:rtl/>
        </w:rPr>
        <w:t xml:space="preserve">ص 516.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جواز وضع الجامع و عدمه (رسالة</w:t>
      </w:r>
    </w:p>
    <w:p>
      <w:pPr>
        <w:pStyle w:val="BookText"/>
      </w:pPr>
      <w:r>
        <w:rPr>
          <w:rFonts w:ascii="Amiri" w:hAnsi="Amiri" w:eastAsia="Amiri" w:cs="Amiri"/>
          <w:lang w:bidi="ar-SA"/>
          <w:color w:val="111111"/>
          <w:sz w:val="28"/>
          <w:szCs w:val="28"/>
          <w:rtl/>
        </w:rPr>
        <w:t xml:space="preserve">في)، ج 5، ص 519.</w:t>
      </w:r>
    </w:p>
    <w:p>
      <w:pPr>
        <w:pStyle w:val="BookText"/>
      </w:pPr>
      <w:r>
        <w:rPr>
          <w:rFonts w:ascii="IRNazanin" w:hAnsi="IRNazanin" w:eastAsia="IRNazanin" w:cs="IRNazanin"/>
          <w:lang w:bidi="fa-IR"/>
          <w:color w:val="111111"/>
          <w:sz w:val="28"/>
          <w:szCs w:val="28"/>
          <w:rtl/>
        </w:rPr>
        <w:t xml:space="preserve">48 .جواهر الفرائض، ج 5، ص 555.</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حاشية الكشاف، ج1، ص332.</w:t>
      </w:r>
    </w:p>
    <w:p>
      <w:pPr>
        <w:pStyle w:val="BookText"/>
      </w:pPr>
      <w:r>
        <w:rPr>
          <w:rFonts w:ascii="Amiri" w:hAnsi="Amiri" w:eastAsia="Amiri" w:cs="Amiri"/>
          <w:lang w:bidi="ar-SA"/>
          <w:color w:val="111111"/>
          <w:sz w:val="28"/>
          <w:szCs w:val="28"/>
          <w:rtl/>
        </w:rPr>
        <w:t xml:space="preserve">50 .حاشية الهداية في شرح البداية -</w:t>
      </w:r>
    </w:p>
    <w:p>
      <w:pPr>
        <w:pStyle w:val="BookText"/>
      </w:pPr>
      <w:r>
        <w:rPr>
          <w:rFonts w:ascii="Amiri" w:hAnsi="Amiri" w:eastAsia="Amiri" w:cs="Amiri"/>
          <w:lang w:bidi="ar-SA"/>
          <w:color w:val="111111"/>
          <w:sz w:val="28"/>
          <w:szCs w:val="28"/>
          <w:rtl/>
        </w:rPr>
        <w:t xml:space="preserve">شرح الهداية، ج 6 ، ص 444 .</w:t>
      </w:r>
    </w:p>
    <w:p>
      <w:pPr>
        <w:pStyle w:val="BookText"/>
      </w:pPr>
      <w:r>
        <w:rPr>
          <w:rFonts w:ascii="Amiri" w:hAnsi="Amiri" w:eastAsia="Amiri" w:cs="Amiri"/>
          <w:lang w:bidi="ar-SA"/>
          <w:color w:val="111111"/>
          <w:sz w:val="28"/>
          <w:szCs w:val="28"/>
          <w:rtl/>
        </w:rPr>
        <w:t xml:space="preserve">51 .حاشية تنقيح الاصول، ج5،</w:t>
      </w:r>
    </w:p>
    <w:p>
      <w:pPr>
        <w:pStyle w:val="BookText"/>
      </w:pPr>
      <w:r>
        <w:rPr>
          <w:rFonts w:ascii="IRNazanin" w:hAnsi="IRNazanin" w:eastAsia="IRNazanin" w:cs="IRNazanin"/>
          <w:lang w:bidi="fa-IR"/>
          <w:color w:val="111111"/>
          <w:sz w:val="28"/>
          <w:szCs w:val="28"/>
          <w:rtl/>
        </w:rPr>
        <w:t xml:space="preserve">ص 742.</w:t>
      </w:r>
    </w:p>
    <w:p>
      <w:pPr>
        <w:pStyle w:val="BookText"/>
      </w:pPr>
      <w:r>
        <w:rPr>
          <w:rFonts w:ascii="Amiri" w:hAnsi="Amiri" w:eastAsia="Amiri" w:cs="Amiri"/>
          <w:lang w:bidi="ar-SA"/>
          <w:color w:val="111111"/>
          <w:sz w:val="28"/>
          <w:szCs w:val="28"/>
          <w:rtl/>
        </w:rPr>
        <w:t xml:space="preserve">52 .حاشية شرح آيات على الكشاف</w:t>
      </w:r>
    </w:p>
    <w:p>
      <w:pPr>
        <w:pStyle w:val="BookText"/>
      </w:pPr>
      <w:r>
        <w:rPr>
          <w:rFonts w:ascii="IRNazanin" w:hAnsi="IRNazanin" w:eastAsia="IRNazanin" w:cs="IRNazanin"/>
          <w:lang w:bidi="fa-IR"/>
          <w:color w:val="111111"/>
          <w:sz w:val="28"/>
          <w:szCs w:val="28"/>
          <w:rtl/>
        </w:rPr>
        <w:t xml:space="preserve">ج 6 ، ص 29.</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حاشية شرح شرح مفتاح العلوم</w:t>
      </w:r>
    </w:p>
    <w:p>
      <w:pPr>
        <w:pStyle w:val="BookText"/>
      </w:pPr>
      <w:r>
        <w:rPr>
          <w:rFonts w:ascii="IRNazanin" w:hAnsi="IRNazanin" w:eastAsia="IRNazanin" w:cs="IRNazanin"/>
          <w:lang w:bidi="fa-IR"/>
          <w:color w:val="111111"/>
          <w:sz w:val="28"/>
          <w:szCs w:val="28"/>
          <w:rtl/>
        </w:rPr>
        <w:t xml:space="preserve">ج 6، ص 130.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حد شارب الخمر (رسالة في)، ج 6،</w:t>
      </w:r>
    </w:p>
    <w:p>
      <w:pPr>
        <w:pStyle w:val="BookText"/>
      </w:pPr>
      <w:r>
        <w:rPr>
          <w:rFonts w:ascii="IRNazanin" w:hAnsi="IRNazanin" w:eastAsia="IRNazanin" w:cs="IRNazanin"/>
          <w:lang w:bidi="fa-IR"/>
          <w:color w:val="111111"/>
          <w:sz w:val="28"/>
          <w:szCs w:val="28"/>
          <w:rtl/>
        </w:rPr>
        <w:t xml:space="preserve">ص 542.</w:t>
      </w:r>
    </w:p>
    <w:p>
      <w:pPr>
        <w:pStyle w:val="BookText"/>
      </w:pPr>
      <w:r>
        <w:rPr>
          <w:rFonts w:ascii="Amiri" w:hAnsi="Amiri" w:eastAsia="Amiri" w:cs="Amiri"/>
          <w:lang w:bidi="ar-SA"/>
          <w:color w:val="111111"/>
          <w:sz w:val="28"/>
          <w:szCs w:val="28"/>
          <w:rtl/>
        </w:rPr>
        <w:t xml:space="preserve">55 .حشر الاجساد (رسالة في)، ج6،</w:t>
      </w:r>
    </w:p>
    <w:p>
      <w:pPr>
        <w:pStyle w:val="BookText"/>
      </w:pPr>
      <w:r>
        <w:rPr>
          <w:rFonts w:ascii="IRNazanin" w:hAnsi="IRNazanin" w:eastAsia="IRNazanin" w:cs="IRNazanin"/>
          <w:lang w:bidi="fa-IR"/>
          <w:color w:val="111111"/>
          <w:sz w:val="28"/>
          <w:szCs w:val="28"/>
          <w:rtl/>
        </w:rPr>
        <w:t xml:space="preserve">ص 657 .</w:t>
      </w:r>
    </w:p>
    <w:p>
      <w:pPr>
        <w:pStyle w:val="BookText"/>
      </w:pPr>
      <w:r>
        <w:rPr>
          <w:rFonts w:ascii="Amiri" w:hAnsi="Amiri" w:eastAsia="Amiri" w:cs="Amiri"/>
          <w:lang w:bidi="ar-SA"/>
          <w:color w:val="111111"/>
          <w:sz w:val="28"/>
          <w:szCs w:val="28"/>
          <w:rtl/>
        </w:rPr>
        <w:t xml:space="preserve">56 .حفظ الاربعين حديثا، ج6،</w:t>
      </w:r>
    </w:p>
    <w:p>
      <w:pPr>
        <w:pStyle w:val="BookText"/>
      </w:pPr>
      <w:r>
        <w:rPr>
          <w:rFonts w:ascii="IRNazanin" w:hAnsi="IRNazanin" w:eastAsia="IRNazanin" w:cs="IRNazanin"/>
          <w:lang w:bidi="fa-IR"/>
          <w:color w:val="111111"/>
          <w:sz w:val="28"/>
          <w:szCs w:val="28"/>
          <w:rtl/>
        </w:rPr>
        <w:t xml:space="preserve">ص 676 .</w:t>
      </w:r>
    </w:p>
    <w:p>
      <w:pPr>
        <w:pStyle w:val="BookText"/>
      </w:pPr>
      <w:r>
        <w:rPr>
          <w:rFonts w:ascii="Amiri" w:hAnsi="Amiri" w:eastAsia="Amiri" w:cs="Amiri"/>
          <w:lang w:bidi="ar-SA"/>
          <w:color w:val="111111"/>
          <w:sz w:val="28"/>
          <w:szCs w:val="28"/>
          <w:rtl/>
        </w:rPr>
        <w:t xml:space="preserve">57 .الحقائق الانسانية (رسالة في)، ج6،</w:t>
      </w:r>
    </w:p>
    <w:p>
      <w:pPr>
        <w:pStyle w:val="BookText"/>
      </w:pPr>
      <w:r>
        <w:rPr>
          <w:rFonts w:ascii="IRNazanin" w:hAnsi="IRNazanin" w:eastAsia="IRNazanin" w:cs="IRNazanin"/>
          <w:lang w:bidi="fa-IR"/>
          <w:color w:val="111111"/>
          <w:sz w:val="28"/>
          <w:szCs w:val="28"/>
          <w:rtl/>
        </w:rPr>
        <w:t xml:space="preserve">ص 685 .</w:t>
      </w:r>
    </w:p>
    <w:p>
      <w:pPr>
        <w:pStyle w:val="BookText"/>
      </w:pPr>
      <w:r>
        <w:rPr>
          <w:rFonts w:ascii="Amiri" w:hAnsi="Amiri" w:eastAsia="Amiri" w:cs="Amiri"/>
          <w:lang w:bidi="ar-SA"/>
          <w:color w:val="111111"/>
          <w:sz w:val="28"/>
          <w:szCs w:val="28"/>
          <w:rtl/>
        </w:rPr>
        <w:t xml:space="preserve">58.حقيقة الايمان، ج6، ص 706.</w:t>
      </w:r>
    </w:p>
    <w:p>
      <w:pPr>
        <w:pStyle w:val="BookText"/>
      </w:pPr>
      <w:r>
        <w:rPr>
          <w:rFonts w:ascii="Amiri" w:hAnsi="Amiri" w:eastAsia="Amiri" w:cs="Amiri"/>
          <w:lang w:bidi="ar-SA"/>
          <w:color w:val="111111"/>
          <w:sz w:val="28"/>
          <w:szCs w:val="28"/>
          <w:rtl/>
        </w:rPr>
        <w:t xml:space="preserve">59 .حقيقة الجسم، ج6، ص708.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حقيقة الربا (رسالة في بيان)، ج 6،</w:t>
      </w:r>
    </w:p>
    <w:p>
      <w:pPr>
        <w:pStyle w:val="BookText"/>
      </w:pPr>
      <w:r>
        <w:rPr>
          <w:rFonts w:ascii="IRNazanin" w:hAnsi="IRNazanin" w:eastAsia="IRNazanin" w:cs="IRNazanin"/>
          <w:lang w:bidi="fa-IR"/>
          <w:color w:val="111111"/>
          <w:sz w:val="28"/>
          <w:szCs w:val="28"/>
          <w:rtl/>
        </w:rPr>
        <w:t xml:space="preserve">ص 709.</w:t>
      </w:r>
    </w:p>
    <w:p>
      <w:pPr>
        <w:pStyle w:val="BookText"/>
      </w:pPr>
      <w:r>
        <w:rPr>
          <w:rFonts w:ascii="Amiri" w:hAnsi="Amiri" w:eastAsia="Amiri" w:cs="Amiri"/>
          <w:lang w:bidi="ar-SA"/>
          <w:color w:val="111111"/>
          <w:sz w:val="28"/>
          <w:szCs w:val="28"/>
          <w:rtl/>
        </w:rPr>
        <w:t xml:space="preserve">61 .حقيقة الروح و القلب و النفس</w:t>
      </w:r>
    </w:p>
    <w:p>
      <w:pPr>
        <w:pStyle w:val="BookText"/>
      </w:pPr>
      <w:r>
        <w:rPr>
          <w:rFonts w:ascii="Amiri" w:hAnsi="Amiri" w:eastAsia="Amiri" w:cs="Amiri"/>
          <w:lang w:bidi="ar-SA"/>
          <w:color w:val="111111"/>
          <w:sz w:val="28"/>
          <w:szCs w:val="28"/>
          <w:rtl/>
        </w:rPr>
        <w:t xml:space="preserve">(رسالة في)، ج6، ص710.</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الحقيقة والمجاز رسالة في بيان</w:t>
      </w:r>
    </w:p>
    <w:p>
      <w:pPr>
        <w:pStyle w:val="BookText"/>
      </w:pPr>
      <w:r>
        <w:rPr>
          <w:rFonts w:ascii="IRNazanin" w:hAnsi="IRNazanin" w:eastAsia="IRNazanin" w:cs="IRNazanin"/>
          <w:lang w:bidi="fa-IR"/>
          <w:color w:val="111111"/>
          <w:sz w:val="28"/>
          <w:szCs w:val="28"/>
          <w:rtl/>
        </w:rPr>
        <w:t xml:space="preserve">ج 6، ص 714.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الخضاب (رسالة في)، ج 7، ص 41.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خطاب الواحد خطاب الاثنين</w:t>
      </w:r>
    </w:p>
    <w:p>
      <w:pPr>
        <w:pStyle w:val="BookText"/>
      </w:pPr>
      <w:r>
        <w:rPr>
          <w:rFonts w:ascii="Amiri" w:hAnsi="Amiri" w:eastAsia="Amiri" w:cs="Amiri"/>
          <w:lang w:bidi="ar-SA"/>
          <w:color w:val="111111"/>
          <w:sz w:val="28"/>
          <w:szCs w:val="28"/>
          <w:rtl/>
        </w:rPr>
        <w:t xml:space="preserve">(رسالة في)، ج 7، ص 43.</w:t>
      </w:r>
    </w:p>
    <w:p>
      <w:pPr>
        <w:pStyle w:val="BookText"/>
      </w:pPr>
      <w:r>
        <w:rPr>
          <w:rFonts w:ascii="Amiri" w:hAnsi="Amiri" w:eastAsia="Amiri" w:cs="Amiri"/>
          <w:lang w:bidi="ar-SA"/>
          <w:color w:val="111111"/>
          <w:sz w:val="28"/>
          <w:szCs w:val="28"/>
          <w:rtl/>
        </w:rPr>
        <w:t xml:space="preserve">65 .خلق الاعمال (رسالة في)، ج7،</w:t>
      </w:r>
    </w:p>
    <w:p>
      <w:pPr>
        <w:pStyle w:val="BookText"/>
      </w:pPr>
      <w:r>
        <w:rPr>
          <w:rFonts w:ascii="IRNazanin" w:hAnsi="IRNazanin" w:eastAsia="IRNazanin" w:cs="IRNazanin"/>
          <w:lang w:bidi="fa-IR"/>
          <w:color w:val="111111"/>
          <w:sz w:val="28"/>
          <w:szCs w:val="28"/>
          <w:rtl/>
        </w:rPr>
        <w:t xml:space="preserve">ص 149 .</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خلق القرآن (رسالة فيما يتعلق</w:t>
      </w:r>
    </w:p>
    <w:p>
      <w:pPr>
        <w:pStyle w:val="BookText"/>
      </w:pPr>
      <w:r>
        <w:rPr>
          <w:rFonts w:ascii="Amiri" w:hAnsi="Amiri" w:eastAsia="Amiri" w:cs="Amiri"/>
          <w:lang w:bidi="ar-SA"/>
          <w:color w:val="111111"/>
          <w:sz w:val="28"/>
          <w:szCs w:val="28"/>
          <w:rtl/>
        </w:rPr>
        <w:t xml:space="preserve">بمسألة)، ج 7، ص 153.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الخواص والمزايا (رسالة في تحقيق)، ج 7، ص183</w:t>
      </w:r>
    </w:p>
    <w:p>
      <w:pPr>
        <w:pStyle w:val="BookText"/>
      </w:pPr>
      <w:r>
        <w:rPr>
          <w:rFonts w:ascii="Amiri" w:hAnsi="Amiri" w:eastAsia="Amiri" w:cs="Amiri"/>
          <w:lang w:bidi="ar-SA"/>
          <w:color w:val="111111"/>
          <w:sz w:val="28"/>
          <w:szCs w:val="28"/>
          <w:rtl/>
        </w:rPr>
        <w:t xml:space="preserve">68 .دخول ولد البنت في الموقوف على اولاد الاولاد (رسالة في تحقيق</w:t>
      </w:r>
    </w:p>
    <w:p>
      <w:pPr>
        <w:pStyle w:val="BookText"/>
      </w:pPr>
      <w:r>
        <w:rPr>
          <w:rFonts w:ascii="Amiri" w:hAnsi="Amiri" w:eastAsia="Amiri" w:cs="Amiri"/>
          <w:lang w:bidi="ar-SA"/>
          <w:color w:val="111111"/>
          <w:sz w:val="28"/>
          <w:szCs w:val="28"/>
          <w:rtl/>
        </w:rPr>
        <w:t xml:space="preserve">مسألة )، ج 7، ص 215.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دعاء القنوت (رسالة في)، ج7،</w:t>
      </w:r>
    </w:p>
    <w:p>
      <w:pPr>
        <w:pStyle w:val="BookText"/>
      </w:pPr>
      <w:r>
        <w:rPr>
          <w:rFonts w:ascii="IRNazanin" w:hAnsi="IRNazanin" w:eastAsia="IRNazanin" w:cs="IRNazanin"/>
          <w:lang w:bidi="fa-IR"/>
          <w:color w:val="111111"/>
          <w:sz w:val="28"/>
          <w:szCs w:val="28"/>
          <w:rtl/>
        </w:rPr>
        <w:t xml:space="preserve">ص 406 .</w:t>
      </w:r>
    </w:p>
    <w:p>
      <w:pPr>
        <w:pStyle w:val="BookText"/>
      </w:pPr>
      <w:r>
        <w:rPr>
          <w:rFonts w:ascii="Amiri" w:hAnsi="Amiri" w:eastAsia="Amiri" w:cs="Amiri"/>
          <w:lang w:bidi="ar-SA"/>
          <w:color w:val="111111"/>
          <w:sz w:val="28"/>
          <w:szCs w:val="28"/>
          <w:rtl/>
        </w:rPr>
        <w:t xml:space="preserve">70 .دفع ما يتعلق بالضمائر من الاوهام الدائرة على السنة خواص الأنام كالمثل السائر (رسالة في)</w:t>
      </w:r>
    </w:p>
    <w:p>
      <w:pPr>
        <w:pStyle w:val="BookText"/>
      </w:pPr>
      <w:r>
        <w:rPr>
          <w:rFonts w:ascii="IRNazanin" w:hAnsi="IRNazanin" w:eastAsia="IRNazanin" w:cs="IRNazanin"/>
          <w:lang w:bidi="fa-IR"/>
          <w:color w:val="111111"/>
          <w:sz w:val="28"/>
          <w:szCs w:val="28"/>
          <w:rtl/>
        </w:rPr>
        <w:t xml:space="preserve">ج 7، ص 424.</w:t>
      </w:r>
    </w:p>
    <w:p>
      <w:pPr>
        <w:pStyle w:val="BookText"/>
      </w:pPr>
      <w:r>
        <w:rPr>
          <w:rFonts w:ascii="IRNazanin" w:hAnsi="IRNazanin" w:eastAsia="IRNazanin" w:cs="IRNazanin"/>
          <w:lang w:bidi="fa-IR"/>
          <w:color w:val="111111"/>
          <w:sz w:val="28"/>
          <w:szCs w:val="28"/>
          <w:rtl/>
        </w:rPr>
        <w:t xml:space="preserve">71 .دقائق الحقائق، ج 7، ص 432</w:t>
      </w:r>
    </w:p>
    <w:p>
      <w:pPr>
        <w:pStyle w:val="BookText"/>
      </w:pPr>
      <w:r>
        <w:rPr>
          <w:rFonts w:ascii="Amiri" w:hAnsi="Amiri" w:eastAsia="Amiri" w:cs="Amiri"/>
          <w:lang w:bidi="ar-SA"/>
          <w:color w:val="111111"/>
          <w:sz w:val="28"/>
          <w:szCs w:val="28"/>
          <w:rtl/>
        </w:rPr>
        <w:t xml:space="preserve">.72 ذكر محمّد بن العربي (رسالة في )</w:t>
      </w:r>
    </w:p>
    <w:p>
      <w:pPr>
        <w:pStyle w:val="BookText"/>
      </w:pPr>
      <w:r>
        <w:rPr>
          <w:rFonts w:ascii="IRNazanin" w:hAnsi="IRNazanin" w:eastAsia="IRNazanin" w:cs="IRNazanin"/>
          <w:lang w:bidi="fa-IR"/>
          <w:color w:val="111111"/>
          <w:sz w:val="28"/>
          <w:szCs w:val="28"/>
          <w:rtl/>
        </w:rPr>
        <w:t xml:space="preserve">ج 7، ص 857.</w:t>
      </w:r>
    </w:p>
    <w:p>
      <w:pPr>
        <w:pStyle w:val="BookText"/>
      </w:pPr>
      <w:r>
        <w:rPr>
          <w:rFonts w:ascii="Amiri" w:hAnsi="Amiri" w:eastAsia="Amiri" w:cs="Amiri"/>
          <w:lang w:bidi="ar-SA"/>
          <w:color w:val="111111"/>
          <w:sz w:val="28"/>
          <w:szCs w:val="28"/>
          <w:rtl/>
        </w:rPr>
        <w:t xml:space="preserve">73 .راحة الارواح في دفع آفة ( عاهة )</w:t>
      </w:r>
    </w:p>
    <w:p>
      <w:pPr>
        <w:pStyle w:val="BookText"/>
      </w:pPr>
      <w:r>
        <w:rPr>
          <w:rFonts w:ascii="Amiri" w:hAnsi="Amiri" w:eastAsia="Amiri" w:cs="Amiri"/>
          <w:lang w:bidi="ar-SA"/>
          <w:color w:val="111111"/>
          <w:sz w:val="28"/>
          <w:szCs w:val="28"/>
          <w:rtl/>
        </w:rPr>
        <w:t xml:space="preserve">الاشباح = دفع الداء و الوباء و الطاعون (رسالة في)، ج8، ص 5.</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رجوع الشيخ إلى صباه في القوة و</w:t>
      </w:r>
    </w:p>
    <w:p>
      <w:pPr>
        <w:pStyle w:val="BookText"/>
      </w:pPr>
      <w:r>
        <w:rPr>
          <w:rFonts w:ascii="IRNazanin" w:hAnsi="IRNazanin" w:eastAsia="IRNazanin" w:cs="IRNazanin"/>
          <w:lang w:bidi="fa-IR"/>
          <w:color w:val="111111"/>
          <w:sz w:val="28"/>
          <w:szCs w:val="28"/>
          <w:rtl/>
        </w:rPr>
        <w:t xml:space="preserve">الباه، ج8، ص 62 .</w:t>
      </w:r>
    </w:p>
    <w:p>
      <w:pPr>
        <w:pStyle w:val="BookText"/>
      </w:pPr>
      <w:r>
        <w:rPr>
          <w:rFonts w:ascii="Amiri" w:hAnsi="Amiri" w:eastAsia="Amiri" w:cs="Amiri"/>
          <w:lang w:bidi="ar-SA"/>
          <w:color w:val="111111"/>
          <w:sz w:val="28"/>
          <w:szCs w:val="28"/>
          <w:rtl/>
        </w:rPr>
        <w:t xml:space="preserve">75 .رسالة، ج8، ص 156.</w:t>
      </w:r>
    </w:p>
    <w:p>
      <w:pPr>
        <w:pStyle w:val="BookText"/>
      </w:pPr>
      <w:r>
        <w:rPr>
          <w:rFonts w:ascii="Amiri" w:hAnsi="Amiri" w:eastAsia="Amiri" w:cs="Amiri"/>
          <w:lang w:bidi="ar-SA"/>
          <w:color w:val="111111"/>
          <w:sz w:val="28"/>
          <w:szCs w:val="28"/>
          <w:rtl/>
        </w:rPr>
        <w:t xml:space="preserve">76 .الرسالة القلمية اليراعية، ج8،</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Amiri" w:hAnsi="Amiri" w:eastAsia="Amiri" w:cs="Amiri"/>
          <w:lang w:bidi="ar-SA"/>
          <w:color w:val="111111"/>
          <w:sz w:val="28"/>
          <w:szCs w:val="28"/>
          <w:rtl/>
        </w:rPr>
        <w:t xml:space="preserve">77 .الرسالة المعلومة في استعمال كاد و</w:t>
      </w:r>
    </w:p>
    <w:p>
      <w:pPr>
        <w:pStyle w:val="BookText"/>
      </w:pPr>
      <w:r>
        <w:rPr>
          <w:rFonts w:ascii="IRNazanin" w:hAnsi="IRNazanin" w:eastAsia="IRNazanin" w:cs="IRNazanin"/>
          <w:lang w:bidi="fa-IR"/>
          <w:color w:val="111111"/>
          <w:sz w:val="28"/>
          <w:szCs w:val="28"/>
          <w:rtl/>
        </w:rPr>
        <w:t xml:space="preserve">أخواتها، ج8، ص 274.</w:t>
      </w:r>
    </w:p>
    <w:p>
      <w:pPr>
        <w:pStyle w:val="BookText"/>
      </w:pPr>
      <w:r>
        <w:rPr>
          <w:rFonts w:ascii="Amiri" w:hAnsi="Amiri" w:eastAsia="Amiri" w:cs="Amiri"/>
          <w:lang w:bidi="ar-SA"/>
          <w:color w:val="111111"/>
          <w:sz w:val="28"/>
          <w:szCs w:val="28"/>
          <w:rtl/>
        </w:rPr>
        <w:t xml:space="preserve">78 .الرسالة الهادية في اكفار الشيعة</w:t>
      </w:r>
    </w:p>
    <w:p>
      <w:pPr>
        <w:pStyle w:val="BookText"/>
      </w:pPr>
      <w:r>
        <w:rPr>
          <w:rFonts w:ascii="Amiri" w:hAnsi="Amiri" w:eastAsia="Amiri" w:cs="Amiri"/>
          <w:lang w:bidi="ar-SA"/>
          <w:color w:val="111111"/>
          <w:sz w:val="28"/>
          <w:szCs w:val="28"/>
          <w:rtl/>
        </w:rPr>
        <w:t xml:space="preserve">الاسماعيلية، ج8، ص290.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رسالة بالتركية من كمال باشا و</w:t>
      </w:r>
    </w:p>
    <w:p>
      <w:pPr>
        <w:pStyle w:val="BookText"/>
      </w:pPr>
      <w:r>
        <w:rPr>
          <w:rFonts w:ascii="IRNazanin" w:hAnsi="IRNazanin" w:eastAsia="IRNazanin" w:cs="IRNazanin"/>
          <w:lang w:bidi="fa-IR"/>
          <w:color w:val="111111"/>
          <w:sz w:val="28"/>
          <w:szCs w:val="28"/>
          <w:rtl/>
        </w:rPr>
        <w:t xml:space="preserve">وسائل آخر، ج8، ص 174.</w:t>
      </w:r>
    </w:p>
    <w:p>
      <w:pPr>
        <w:pStyle w:val="BookText"/>
      </w:pPr>
      <w:r>
        <w:rPr>
          <w:rFonts w:ascii="Amiri" w:hAnsi="Amiri" w:eastAsia="Amiri" w:cs="Amiri"/>
          <w:lang w:bidi="ar-SA"/>
          <w:color w:val="111111"/>
          <w:sz w:val="28"/>
          <w:szCs w:val="28"/>
          <w:rtl/>
        </w:rPr>
        <w:t xml:space="preserve">80 .الرضاع (رسالة في)، ج8، ص318.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 .الزنديق (رسالة)، ج 8، ص 610.</w:t>
      </w:r>
    </w:p>
    <w:p>
      <w:pPr>
        <w:pStyle w:val="BookText"/>
      </w:pPr>
      <w:r>
        <w:rPr>
          <w:rFonts w:ascii="Amiri" w:hAnsi="Amiri" w:eastAsia="Amiri" w:cs="Amiri"/>
          <w:lang w:bidi="ar-SA"/>
          <w:color w:val="111111"/>
          <w:sz w:val="28"/>
          <w:szCs w:val="28"/>
          <w:rtl/>
        </w:rPr>
        <w:t xml:space="preserve">82 .زيارة القبور (رسالة في)، ج8،</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السبحلة (سبحان الله) (رسالة في)،</w:t>
      </w:r>
    </w:p>
    <w:p>
      <w:pPr>
        <w:pStyle w:val="BookText"/>
      </w:pPr>
      <w:r>
        <w:rPr>
          <w:rFonts w:ascii="IRNazanin" w:hAnsi="IRNazanin" w:eastAsia="IRNazanin" w:cs="IRNazanin"/>
          <w:lang w:bidi="fa-IR"/>
          <w:color w:val="111111"/>
          <w:sz w:val="28"/>
          <w:szCs w:val="28"/>
          <w:rtl/>
        </w:rPr>
        <w:t xml:space="preserve">ج 8، ص 697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سجود السهو، ج8، ص 716.</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سر عدم نسبة الشر إلى الله تعالى</w:t>
      </w:r>
    </w:p>
    <w:p>
      <w:pPr>
        <w:pStyle w:val="BookText"/>
      </w:pPr>
      <w:r>
        <w:rPr>
          <w:rFonts w:ascii="IRNazanin" w:hAnsi="IRNazanin" w:eastAsia="IRNazanin" w:cs="IRNazanin"/>
          <w:lang w:bidi="fa-IR"/>
          <w:color w:val="111111"/>
          <w:sz w:val="28"/>
          <w:szCs w:val="28"/>
          <w:rtl/>
        </w:rPr>
        <w:t xml:space="preserve">ج 8، ص 758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شرح اعيان الثابتة (رسالة في)، ج9،</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Amiri" w:hAnsi="Amiri" w:eastAsia="Amiri" w:cs="Amiri"/>
          <w:lang w:bidi="ar-SA"/>
          <w:color w:val="111111"/>
          <w:sz w:val="28"/>
          <w:szCs w:val="28"/>
          <w:rtl/>
        </w:rPr>
        <w:t xml:space="preserve">87 .شرح الاربعين حديثا، ج9، ص 169.</w:t>
      </w:r>
    </w:p>
    <w:p>
      <w:pPr>
        <w:pStyle w:val="BookText"/>
      </w:pPr>
      <w:r>
        <w:rPr>
          <w:rFonts w:ascii="Amiri" w:hAnsi="Amiri" w:eastAsia="Amiri" w:cs="Amiri"/>
          <w:lang w:bidi="ar-SA"/>
          <w:color w:val="111111"/>
          <w:sz w:val="28"/>
          <w:szCs w:val="28"/>
          <w:rtl/>
        </w:rPr>
        <w:t xml:space="preserve">88 .شرح التعريفات، ج9، ص338</w:t>
      </w:r>
    </w:p>
    <w:p>
      <w:pPr>
        <w:pStyle w:val="BookText"/>
      </w:pPr>
      <w:r>
        <w:rPr>
          <w:rFonts w:ascii="Amiri" w:hAnsi="Amiri" w:eastAsia="Amiri" w:cs="Amiri"/>
          <w:lang w:bidi="ar-SA"/>
          <w:color w:val="111111"/>
          <w:sz w:val="28"/>
          <w:szCs w:val="28"/>
          <w:rtl/>
        </w:rPr>
        <w:t xml:space="preserve">89 .شرح العشر في معشر الحشر = الآيات العشر في أحوال الآخرة و</w:t>
      </w:r>
    </w:p>
    <w:p>
      <w:pPr>
        <w:pStyle w:val="BookText"/>
      </w:pPr>
      <w:r>
        <w:rPr>
          <w:rFonts w:ascii="IRNazanin" w:hAnsi="IRNazanin" w:eastAsia="IRNazanin" w:cs="IRNazanin"/>
          <w:lang w:bidi="fa-IR"/>
          <w:color w:val="111111"/>
          <w:sz w:val="28"/>
          <w:szCs w:val="28"/>
          <w:rtl/>
        </w:rPr>
        <w:t xml:space="preserve">الحشر، ج9، ص718.</w:t>
      </w:r>
    </w:p>
    <w:p>
      <w:pPr>
        <w:pStyle w:val="BookText"/>
      </w:pPr>
      <w:r>
        <w:rPr>
          <w:rFonts w:ascii="Amiri" w:hAnsi="Amiri" w:eastAsia="Amiri" w:cs="Amiri"/>
          <w:lang w:bidi="ar-SA"/>
          <w:color w:val="111111"/>
          <w:sz w:val="28"/>
          <w:szCs w:val="28"/>
          <w:rtl/>
        </w:rPr>
        <w:t xml:space="preserve">90 .شرح القصيدة الخمرية، ج 9،</w:t>
      </w:r>
    </w:p>
    <w:p>
      <w:pPr>
        <w:pStyle w:val="BookText"/>
      </w:pPr>
      <w:r>
        <w:rPr>
          <w:rFonts w:ascii="IRNazanin" w:hAnsi="IRNazanin" w:eastAsia="IRNazanin" w:cs="IRNazanin"/>
          <w:lang w:bidi="fa-IR"/>
          <w:color w:val="111111"/>
          <w:sz w:val="28"/>
          <w:szCs w:val="28"/>
          <w:rtl/>
        </w:rPr>
        <w:t xml:space="preserve">ص 863.</w:t>
      </w:r>
    </w:p>
    <w:p>
      <w:pPr>
        <w:pStyle w:val="BookText"/>
      </w:pPr>
      <w:r>
        <w:rPr>
          <w:rFonts w:ascii="Amiri" w:hAnsi="Amiri" w:eastAsia="Amiri" w:cs="Amiri"/>
          <w:lang w:bidi="ar-SA"/>
          <w:color w:val="111111"/>
          <w:sz w:val="28"/>
          <w:szCs w:val="28"/>
          <w:rtl/>
        </w:rPr>
        <w:t xml:space="preserve">91 .شرح حديث سأخبركم بأول ،أمري دعوة ابراهيم و بشارة عيسى عليهم السلام و رؤيا امي التي رأت حين وضعتني و قد خرج</w:t>
      </w:r>
    </w:p>
    <w:p>
      <w:pPr>
        <w:pStyle w:val="BookText"/>
      </w:pPr>
      <w:r>
        <w:rPr>
          <w:rFonts w:ascii="IRNazanin" w:hAnsi="IRNazanin" w:eastAsia="IRNazanin" w:cs="IRNazanin"/>
          <w:lang w:bidi="fa-IR"/>
          <w:color w:val="111111"/>
          <w:sz w:val="28"/>
          <w:szCs w:val="28"/>
          <w:rtl/>
        </w:rPr>
        <w:t xml:space="preserve">منها نور، ج9، ص391.</w:t>
      </w:r>
    </w:p>
    <w:p>
      <w:pPr>
        <w:pStyle w:val="BookText"/>
      </w:pPr>
      <w:r>
        <w:rPr>
          <w:rFonts w:ascii="Amiri" w:hAnsi="Amiri" w:eastAsia="Amiri" w:cs="Amiri"/>
          <w:lang w:bidi="ar-SA"/>
          <w:color w:val="111111"/>
          <w:sz w:val="28"/>
          <w:szCs w:val="28"/>
          <w:rtl/>
        </w:rPr>
        <w:t xml:space="preserve">92 .شرح دعاء التحيات (رسالة في)</w:t>
      </w:r>
    </w:p>
    <w:p>
      <w:pPr>
        <w:pStyle w:val="BookText"/>
      </w:pPr>
      <w:r>
        <w:rPr>
          <w:rFonts w:ascii="IRNazanin" w:hAnsi="IRNazanin" w:eastAsia="IRNazanin" w:cs="IRNazanin"/>
          <w:lang w:bidi="fa-IR"/>
          <w:color w:val="111111"/>
          <w:sz w:val="28"/>
          <w:szCs w:val="28"/>
          <w:rtl/>
        </w:rPr>
        <w:t xml:space="preserve">ج 9، ص 459.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شرح دعاء الطاعون (رسالة في)</w:t>
      </w:r>
    </w:p>
    <w:p>
      <w:pPr>
        <w:pStyle w:val="BookText"/>
      </w:pPr>
      <w:r>
        <w:rPr>
          <w:rFonts w:ascii="IRNazanin" w:hAnsi="IRNazanin" w:eastAsia="IRNazanin" w:cs="IRNazanin"/>
          <w:lang w:bidi="fa-IR"/>
          <w:color w:val="111111"/>
          <w:sz w:val="28"/>
          <w:szCs w:val="28"/>
          <w:rtl/>
        </w:rPr>
        <w:t xml:space="preserve">ج 9، ص 467.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شرح شرح مفتاح العلوم، ج 9،</w:t>
      </w:r>
    </w:p>
    <w:p>
      <w:pPr>
        <w:pStyle w:val="BookText"/>
      </w:pPr>
      <w:r>
        <w:rPr>
          <w:rFonts w:ascii="IRNazanin" w:hAnsi="IRNazanin" w:eastAsia="IRNazanin" w:cs="IRNazanin"/>
          <w:lang w:bidi="fa-IR"/>
          <w:color w:val="111111"/>
          <w:sz w:val="28"/>
          <w:szCs w:val="28"/>
          <w:rtl/>
        </w:rPr>
        <w:t xml:space="preserve">ص 634 .</w:t>
      </w:r>
    </w:p>
    <w:p>
      <w:pPr>
        <w:pStyle w:val="BookText"/>
      </w:pPr>
      <w:r>
        <w:rPr>
          <w:rFonts w:ascii="Amiri" w:hAnsi="Amiri" w:eastAsia="Amiri" w:cs="Amiri"/>
          <w:lang w:bidi="ar-SA"/>
          <w:color w:val="111111"/>
          <w:sz w:val="28"/>
          <w:szCs w:val="28"/>
          <w:rtl/>
        </w:rPr>
        <w:t xml:space="preserve">95 .شرح فرائض السجاوندي = شرح</w:t>
      </w:r>
    </w:p>
    <w:p>
      <w:pPr>
        <w:pStyle w:val="BookText"/>
      </w:pPr>
      <w:r>
        <w:rPr>
          <w:rFonts w:ascii="Amiri" w:hAnsi="Amiri" w:eastAsia="Amiri" w:cs="Amiri"/>
          <w:lang w:bidi="ar-SA"/>
          <w:color w:val="111111"/>
          <w:sz w:val="28"/>
          <w:szCs w:val="28"/>
          <w:rtl/>
        </w:rPr>
        <w:t xml:space="preserve">الفرائض السراجية، ج9، ص777</w:t>
      </w:r>
    </w:p>
    <w:p>
      <w:pPr>
        <w:pStyle w:val="BookText"/>
      </w:pPr>
      <w:r>
        <w:rPr>
          <w:rFonts w:ascii="Amiri" w:hAnsi="Amiri" w:eastAsia="Amiri" w:cs="Amiri"/>
          <w:lang w:bidi="ar-SA"/>
          <w:color w:val="111111"/>
          <w:sz w:val="28"/>
          <w:szCs w:val="28"/>
          <w:rtl/>
        </w:rPr>
        <w:t xml:space="preserve">96 .شرح مراح الارواح = الفلاح في</w:t>
      </w:r>
    </w:p>
    <w:p>
      <w:pPr>
        <w:pStyle w:val="BookText"/>
      </w:pPr>
      <w:r>
        <w:rPr>
          <w:rFonts w:ascii="IRNazanin" w:hAnsi="IRNazanin" w:eastAsia="IRNazanin" w:cs="IRNazanin"/>
          <w:lang w:bidi="fa-IR"/>
          <w:color w:val="111111"/>
          <w:sz w:val="28"/>
          <w:szCs w:val="28"/>
          <w:rtl/>
        </w:rPr>
        <w:t xml:space="preserve">شرح المراح، ج 10، ص 132.</w:t>
      </w:r>
    </w:p>
    <w:p>
      <w:pPr>
        <w:pStyle w:val="BookText"/>
      </w:pPr>
      <w:r>
        <w:rPr>
          <w:rFonts w:ascii="IRNazanin" w:hAnsi="IRNazanin" w:eastAsia="IRNazanin" w:cs="IRNazanin"/>
          <w:lang w:bidi="fa-IR"/>
          <w:color w:val="111111"/>
          <w:sz w:val="28"/>
          <w:szCs w:val="28"/>
          <w:rtl/>
        </w:rPr>
        <w:t xml:space="preserve">97 .شرح مفتاح العلوم، ج 10، ص 168.</w:t>
      </w:r>
    </w:p>
    <w:p>
      <w:pPr>
        <w:pStyle w:val="BookText"/>
      </w:pPr>
      <w:r>
        <w:rPr>
          <w:rFonts w:ascii="Amiri" w:hAnsi="Amiri" w:eastAsia="Amiri" w:cs="Amiri"/>
          <w:lang w:bidi="ar-SA"/>
          <w:color w:val="111111"/>
          <w:sz w:val="28"/>
          <w:szCs w:val="28"/>
          <w:rtl/>
        </w:rPr>
        <w:t xml:space="preserve">98 .صفوة المنقولات في شرح شروط</w:t>
      </w:r>
    </w:p>
    <w:p>
      <w:pPr>
        <w:pStyle w:val="BookText"/>
      </w:pPr>
      <w:r>
        <w:rPr>
          <w:rFonts w:ascii="Amiri" w:hAnsi="Amiri" w:eastAsia="Amiri" w:cs="Amiri"/>
          <w:lang w:bidi="ar-SA"/>
          <w:color w:val="111111"/>
          <w:sz w:val="28"/>
          <w:szCs w:val="28"/>
          <w:rtl/>
        </w:rPr>
        <w:t xml:space="preserve">الصلاة، ج 10، ص 576.</w:t>
      </w:r>
    </w:p>
    <w:p>
      <w:pPr>
        <w:pStyle w:val="BookText"/>
      </w:pPr>
      <w:r>
        <w:rPr>
          <w:rFonts w:ascii="Amiri" w:hAnsi="Amiri" w:eastAsia="Amiri" w:cs="Amiri"/>
          <w:lang w:bidi="ar-SA"/>
          <w:color w:val="111111"/>
          <w:sz w:val="28"/>
          <w:szCs w:val="28"/>
          <w:rtl/>
        </w:rPr>
        <w:t xml:space="preserve">99 .صلاة الجمعة، ج 10، ص 596.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الصلاة رسالة في)، ج 10، ص 583.</w:t>
      </w:r>
    </w:p>
    <w:p>
      <w:pPr>
        <w:pStyle w:val="BookText"/>
      </w:pPr>
      <w:r>
        <w:rPr>
          <w:rFonts w:ascii="IRNazanin" w:hAnsi="IRNazanin" w:eastAsia="IRNazanin" w:cs="IRNazanin"/>
          <w:lang w:bidi="fa-IR"/>
          <w:color w:val="111111"/>
          <w:sz w:val="28"/>
          <w:szCs w:val="28"/>
          <w:rtl/>
        </w:rPr>
        <w:t xml:space="preserve">101 .طبقات الفقهاء، ج 10، ص783.</w:t>
      </w:r>
    </w:p>
    <w:p>
      <w:pPr>
        <w:pStyle w:val="BookText"/>
      </w:pPr>
      <w:r>
        <w:rPr>
          <w:rFonts w:ascii="Amiri" w:hAnsi="Amiri" w:eastAsia="Amiri" w:cs="Amiri"/>
          <w:lang w:bidi="ar-SA"/>
          <w:color w:val="111111"/>
          <w:sz w:val="28"/>
          <w:szCs w:val="28"/>
          <w:rtl/>
        </w:rPr>
        <w:t xml:space="preserve">102 .طبقات المجتهدين، ج 10،</w:t>
      </w:r>
    </w:p>
    <w:p>
      <w:pPr>
        <w:pStyle w:val="BookText"/>
      </w:pPr>
      <w:r>
        <w:rPr>
          <w:rFonts w:ascii="IRNazanin" w:hAnsi="IRNazanin" w:eastAsia="IRNazanin" w:cs="IRNazanin"/>
          <w:lang w:bidi="fa-IR"/>
          <w:color w:val="111111"/>
          <w:sz w:val="28"/>
          <w:szCs w:val="28"/>
          <w:rtl/>
        </w:rPr>
        <w:t xml:space="preserve">ص 788.</w:t>
      </w:r>
    </w:p>
    <w:p>
      <w:pPr>
        <w:pStyle w:val="BookText"/>
      </w:pPr>
      <w:r>
        <w:rPr>
          <w:rFonts w:ascii="IRNazanin" w:hAnsi="IRNazanin" w:eastAsia="IRNazanin" w:cs="IRNazanin"/>
          <w:lang w:bidi="fa-IR"/>
          <w:color w:val="111111"/>
          <w:sz w:val="28"/>
          <w:szCs w:val="28"/>
          <w:rtl/>
        </w:rPr>
        <w:t xml:space="preserve">103 .الفتاوى، ج 11، ص 597.</w:t>
      </w:r>
    </w:p>
    <w:p>
      <w:pPr>
        <w:pStyle w:val="BookText"/>
      </w:pPr>
      <w:r>
        <w:rPr>
          <w:rFonts w:ascii="IRNazanin" w:hAnsi="IRNazanin" w:eastAsia="IRNazanin" w:cs="IRNazanin"/>
          <w:lang w:bidi="fa-IR"/>
          <w:color w:val="111111"/>
          <w:sz w:val="28"/>
          <w:szCs w:val="28"/>
          <w:rtl/>
        </w:rPr>
        <w:t xml:space="preserve">104 .فتوى بشأن السماع و دوران</w:t>
      </w:r>
    </w:p>
    <w:p>
      <w:pPr>
        <w:pStyle w:val="BookText"/>
      </w:pPr>
      <w:r>
        <w:rPr>
          <w:rFonts w:ascii="Amiri" w:hAnsi="Amiri" w:eastAsia="Amiri" w:cs="Amiri"/>
          <w:lang w:bidi="ar-SA"/>
          <w:color w:val="111111"/>
          <w:sz w:val="28"/>
          <w:szCs w:val="28"/>
          <w:rtl/>
        </w:rPr>
        <w:t xml:space="preserve">الصوفية، ج 11، ص717.</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الفرائد (رسالة في = درر الفرائد</w:t>
      </w:r>
    </w:p>
    <w:p>
      <w:pPr>
        <w:pStyle w:val="BookText"/>
      </w:pPr>
      <w:r>
        <w:rPr>
          <w:rFonts w:ascii="IRNazanin" w:hAnsi="IRNazanin" w:eastAsia="IRNazanin" w:cs="IRNazanin"/>
          <w:lang w:bidi="fa-IR"/>
          <w:color w:val="111111"/>
          <w:sz w:val="28"/>
          <w:szCs w:val="28"/>
          <w:rtl/>
        </w:rPr>
        <w:t xml:space="preserve">ج 11، ص 725.</w:t>
      </w:r>
    </w:p>
    <w:p>
      <w:pPr>
        <w:pStyle w:val="BookText"/>
      </w:pPr>
      <w:r>
        <w:rPr>
          <w:rFonts w:ascii="Amiri" w:hAnsi="Amiri" w:eastAsia="Amiri" w:cs="Amiri"/>
          <w:lang w:bidi="ar-SA"/>
          <w:color w:val="111111"/>
          <w:sz w:val="28"/>
          <w:szCs w:val="28"/>
          <w:rtl/>
        </w:rPr>
        <w:t xml:space="preserve">106 . الفرق الضالة و احكامها (رسالة</w:t>
      </w:r>
    </w:p>
    <w:p>
      <w:pPr>
        <w:pStyle w:val="BookText"/>
      </w:pPr>
      <w:r>
        <w:rPr>
          <w:rFonts w:ascii="Amiri" w:hAnsi="Amiri" w:eastAsia="Amiri" w:cs="Amiri"/>
          <w:lang w:bidi="ar-SA"/>
          <w:color w:val="111111"/>
          <w:sz w:val="28"/>
          <w:szCs w:val="28"/>
          <w:rtl/>
        </w:rPr>
        <w:t xml:space="preserve">في بيان)، ج 11، ص 801.</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الفرق بين علمي المعاني و اللغة</w:t>
      </w:r>
    </w:p>
    <w:p>
      <w:pPr>
        <w:pStyle w:val="BookText"/>
      </w:pPr>
      <w:r>
        <w:rPr>
          <w:rFonts w:ascii="Amiri" w:hAnsi="Amiri" w:eastAsia="Amiri" w:cs="Amiri"/>
          <w:lang w:bidi="ar-SA"/>
          <w:color w:val="111111"/>
          <w:sz w:val="28"/>
          <w:szCs w:val="28"/>
          <w:rtl/>
        </w:rPr>
        <w:t xml:space="preserve">(رسالة في)، ج11، ص 795.</w:t>
      </w:r>
    </w:p>
    <w:p>
      <w:pPr>
        <w:pStyle w:val="BookText"/>
      </w:pPr>
      <w:r>
        <w:rPr>
          <w:rFonts w:ascii="Amiri" w:hAnsi="Amiri" w:eastAsia="Amiri" w:cs="Amiri"/>
          <w:lang w:bidi="ar-SA"/>
          <w:color w:val="111111"/>
          <w:sz w:val="28"/>
          <w:szCs w:val="28"/>
          <w:rtl/>
        </w:rPr>
        <w:t xml:space="preserve">108 .الفريدة، ج 11، ص 819</w:t>
      </w:r>
    </w:p>
    <w:p>
      <w:pPr>
        <w:pStyle w:val="BookText"/>
      </w:pPr>
      <w:r>
        <w:rPr>
          <w:rFonts w:ascii="Amiri" w:hAnsi="Amiri" w:eastAsia="Amiri" w:cs="Amiri"/>
          <w:lang w:bidi="ar-SA"/>
          <w:color w:val="111111"/>
          <w:sz w:val="28"/>
          <w:szCs w:val="28"/>
          <w:rtl/>
        </w:rPr>
        <w:t xml:space="preserve">109 .فضيلة الرسول الأعظم محمد صلى الله عليه و سلم ابن كمال باشا (رسالة في)، ج 12، ص31.</w:t>
      </w:r>
    </w:p>
    <w:p>
      <w:pPr>
        <w:pStyle w:val="BookText"/>
      </w:pPr>
      <w:r>
        <w:rPr>
          <w:rFonts w:ascii="Amiri" w:hAnsi="Amiri" w:eastAsia="Amiri" w:cs="Amiri"/>
          <w:lang w:bidi="ar-SA"/>
          <w:color w:val="111111"/>
          <w:sz w:val="28"/>
          <w:szCs w:val="28"/>
          <w:rtl/>
        </w:rPr>
        <w:t xml:space="preserve">110 .فوائد لغوية و نحوية، ج 12،</w:t>
      </w:r>
    </w:p>
    <w:p>
      <w:pPr>
        <w:pStyle w:val="BookText"/>
      </w:pPr>
      <w:r>
        <w:rPr>
          <w:rFonts w:ascii="IRNazanin" w:hAnsi="IRNazanin" w:eastAsia="IRNazanin" w:cs="IRNazanin"/>
          <w:lang w:bidi="fa-IR"/>
          <w:color w:val="111111"/>
          <w:sz w:val="28"/>
          <w:szCs w:val="28"/>
          <w:rtl/>
        </w:rPr>
        <w:t xml:space="preserve">ص 266 .</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القرآن العظيم كلام الله القديم (رسالة في تقرير أن)، ج12،</w:t>
      </w:r>
    </w:p>
    <w:p>
      <w:pPr>
        <w:pStyle w:val="BookText"/>
      </w:pPr>
      <w:r>
        <w:rPr>
          <w:rFonts w:ascii="IRNazanin" w:hAnsi="IRNazanin" w:eastAsia="IRNazanin" w:cs="IRNazanin"/>
          <w:lang w:bidi="fa-IR"/>
          <w:color w:val="111111"/>
          <w:sz w:val="28"/>
          <w:szCs w:val="28"/>
          <w:rtl/>
        </w:rPr>
        <w:t xml:space="preserve">ص 386.</w:t>
      </w:r>
    </w:p>
    <w:p>
      <w:pPr>
        <w:pStyle w:val="BookText"/>
      </w:pPr>
      <w:r>
        <w:rPr>
          <w:rFonts w:ascii="Amiri" w:hAnsi="Amiri" w:eastAsia="Amiri" w:cs="Amiri"/>
          <w:lang w:bidi="ar-SA"/>
          <w:color w:val="111111"/>
          <w:sz w:val="28"/>
          <w:szCs w:val="28"/>
          <w:rtl/>
        </w:rPr>
        <w:t xml:space="preserve">112 .قول في مؤلفات ابن عربي، ج 12،</w:t>
      </w:r>
    </w:p>
    <w:p>
      <w:pPr>
        <w:pStyle w:val="BookText"/>
      </w:pPr>
      <w:r>
        <w:rPr>
          <w:rFonts w:ascii="IRNazanin" w:hAnsi="IRNazanin" w:eastAsia="IRNazanin" w:cs="IRNazanin"/>
          <w:lang w:bidi="fa-IR"/>
          <w:color w:val="111111"/>
          <w:sz w:val="28"/>
          <w:szCs w:val="28"/>
          <w:rtl/>
        </w:rPr>
        <w:t xml:space="preserve">ص 852.</w:t>
      </w:r>
    </w:p>
    <w:p>
      <w:pPr>
        <w:pStyle w:val="BookText"/>
      </w:pPr>
      <w:r>
        <w:rPr>
          <w:rFonts w:ascii="Amiri" w:hAnsi="Amiri" w:eastAsia="Amiri" w:cs="Amiri"/>
          <w:lang w:bidi="ar-SA"/>
          <w:color w:val="111111"/>
          <w:sz w:val="28"/>
          <w:szCs w:val="28"/>
          <w:rtl/>
        </w:rPr>
        <w:t xml:space="preserve">113 .الكناية و الاستعارة (رسالة في</w:t>
      </w:r>
    </w:p>
    <w:p>
      <w:pPr>
        <w:pStyle w:val="BookText"/>
      </w:pPr>
      <w:r>
        <w:rPr>
          <w:rFonts w:ascii="IRNazanin" w:hAnsi="IRNazanin" w:eastAsia="IRNazanin" w:cs="IRNazanin"/>
          <w:lang w:bidi="fa-IR"/>
          <w:color w:val="111111"/>
          <w:sz w:val="28"/>
          <w:szCs w:val="28"/>
          <w:rtl/>
        </w:rPr>
        <w:t xml:space="preserve">تحقیق)، ج13، ص399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كيفية الجسم الانساني و هيكله و نفسه (رسالة في) = الرسالة العجيبة في تحقيق شخص الانسانية = الروحية، ج13،</w:t>
      </w:r>
    </w:p>
    <w:p>
      <w:pPr>
        <w:pStyle w:val="BookText"/>
      </w:pPr>
      <w:r>
        <w:rPr>
          <w:rFonts w:ascii="IRNazanin" w:hAnsi="IRNazanin" w:eastAsia="IRNazanin" w:cs="IRNazanin"/>
          <w:lang w:bidi="fa-IR"/>
          <w:color w:val="111111"/>
          <w:sz w:val="28"/>
          <w:szCs w:val="28"/>
          <w:rtl/>
        </w:rPr>
        <w:t xml:space="preserve">ص 480 .</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لزوم الامكان للممكن (رسالة في</w:t>
      </w:r>
    </w:p>
    <w:p>
      <w:pPr>
        <w:pStyle w:val="BookText"/>
      </w:pPr>
      <w:r>
        <w:rPr>
          <w:rFonts w:ascii="Amiri" w:hAnsi="Amiri" w:eastAsia="Amiri" w:cs="Amiri"/>
          <w:lang w:bidi="ar-SA"/>
          <w:color w:val="111111"/>
          <w:sz w:val="28"/>
          <w:szCs w:val="28"/>
          <w:rtl/>
        </w:rPr>
        <w:t xml:space="preserve">تحقيق)، ج13، ص 567.</w:t>
      </w:r>
    </w:p>
    <w:p>
      <w:pPr>
        <w:pStyle w:val="BookText"/>
      </w:pPr>
      <w:r>
        <w:rPr>
          <w:rFonts w:ascii="IRNazanin" w:hAnsi="IRNazanin" w:eastAsia="IRNazanin" w:cs="IRNazanin"/>
          <w:lang w:bidi="fa-IR"/>
          <w:color w:val="111111"/>
          <w:sz w:val="28"/>
          <w:szCs w:val="28"/>
          <w:rtl/>
        </w:rPr>
        <w:t xml:space="preserve">116 . لفظ اهوم، ج13، ص 602.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0" w:name="pg7742_69580"/>
    <w:bookmarkEnd w:id="110"/>
    <w:p>
      <w:pPr>
        <w:pStyle w:val="BookText"/>
      </w:pPr>
      <w:r>
        <w:rPr>
          <w:rFonts w:ascii="Amiri" w:hAnsi="Amiri" w:eastAsia="Amiri" w:cs="Amiri"/>
          <w:lang w:bidi="ar-SA"/>
          <w:color w:val="111111"/>
          <w:sz w:val="28"/>
          <w:szCs w:val="28"/>
          <w:rtl/>
        </w:rPr>
        <w:t xml:space="preserve">117 .ماء الوضوء (رسالة في)، ج 13،</w:t>
      </w:r>
    </w:p>
    <w:p>
      <w:pPr>
        <w:pStyle w:val="BookText"/>
      </w:pPr>
      <w:r>
        <w:rPr>
          <w:rFonts w:ascii="IRNazanin" w:hAnsi="IRNazanin" w:eastAsia="IRNazanin" w:cs="IRNazanin"/>
          <w:lang w:bidi="fa-IR"/>
          <w:color w:val="111111"/>
          <w:sz w:val="28"/>
          <w:szCs w:val="28"/>
          <w:rtl/>
        </w:rPr>
        <w:t xml:space="preserve">ص 676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الماهيات (رسالة في)، ج 13،</w:t>
      </w:r>
    </w:p>
    <w:p>
      <w:pPr>
        <w:pStyle w:val="BookText"/>
      </w:pPr>
      <w:r>
        <w:rPr>
          <w:rFonts w:ascii="IRNazanin" w:hAnsi="IRNazanin" w:eastAsia="IRNazanin" w:cs="IRNazanin"/>
          <w:lang w:bidi="fa-IR"/>
          <w:color w:val="111111"/>
          <w:sz w:val="28"/>
          <w:szCs w:val="28"/>
          <w:rtl/>
        </w:rPr>
        <w:t xml:space="preserve">ص 689 .</w:t>
      </w:r>
    </w:p>
    <w:p>
      <w:pPr>
        <w:pStyle w:val="BookText"/>
      </w:pPr>
      <w:r>
        <w:rPr>
          <w:rFonts w:ascii="Amiri" w:hAnsi="Amiri" w:eastAsia="Amiri" w:cs="Amiri"/>
          <w:lang w:bidi="ar-SA"/>
          <w:color w:val="111111"/>
          <w:sz w:val="28"/>
          <w:szCs w:val="28"/>
          <w:rtl/>
        </w:rPr>
        <w:t xml:space="preserve">119 .ماهية الروح والحياة و النفس و</w:t>
      </w:r>
    </w:p>
    <w:p>
      <w:pPr>
        <w:pStyle w:val="BookText"/>
      </w:pPr>
      <w:r>
        <w:rPr>
          <w:rFonts w:ascii="Amiri" w:hAnsi="Amiri" w:eastAsia="Amiri" w:cs="Amiri"/>
          <w:lang w:bidi="ar-SA"/>
          <w:color w:val="111111"/>
          <w:sz w:val="28"/>
          <w:szCs w:val="28"/>
          <w:rtl/>
        </w:rPr>
        <w:t xml:space="preserve">العقل و اقسامها و توابعها (رسالة</w:t>
      </w:r>
    </w:p>
    <w:p>
      <w:pPr>
        <w:pStyle w:val="BookText"/>
      </w:pPr>
      <w:r>
        <w:rPr>
          <w:rFonts w:ascii="Amiri" w:hAnsi="Amiri" w:eastAsia="Amiri" w:cs="Amiri"/>
          <w:lang w:bidi="ar-SA"/>
          <w:color w:val="111111"/>
          <w:sz w:val="28"/>
          <w:szCs w:val="28"/>
          <w:rtl/>
        </w:rPr>
        <w:t xml:space="preserve">في)، ج 13، ص 689.</w:t>
      </w:r>
    </w:p>
    <w:p>
      <w:pPr>
        <w:pStyle w:val="BookText"/>
      </w:pPr>
      <w:r>
        <w:rPr>
          <w:rFonts w:ascii="Amiri" w:hAnsi="Amiri" w:eastAsia="Amiri" w:cs="Amiri"/>
          <w:lang w:bidi="ar-SA"/>
          <w:color w:val="111111"/>
          <w:sz w:val="28"/>
          <w:szCs w:val="28"/>
          <w:rtl/>
        </w:rPr>
        <w:t xml:space="preserve">120 .مدار البلاغة (رسالة في)، ج 14،</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Amiri" w:hAnsi="Amiri" w:eastAsia="Amiri" w:cs="Amiri"/>
          <w:lang w:bidi="ar-SA"/>
          <w:color w:val="111111"/>
          <w:sz w:val="28"/>
          <w:szCs w:val="28"/>
          <w:rtl/>
        </w:rPr>
        <w:t xml:space="preserve">121 .مدح السعي و ذم البطالة (رسالة</w:t>
      </w:r>
    </w:p>
    <w:p>
      <w:pPr>
        <w:pStyle w:val="BookText"/>
      </w:pPr>
      <w:r>
        <w:rPr>
          <w:rFonts w:ascii="Amiri" w:hAnsi="Amiri" w:eastAsia="Amiri" w:cs="Amiri"/>
          <w:lang w:bidi="ar-SA"/>
          <w:color w:val="111111"/>
          <w:sz w:val="28"/>
          <w:szCs w:val="28"/>
          <w:rtl/>
        </w:rPr>
        <w:t xml:space="preserve">في)، ج 14 ، ص 321.</w:t>
      </w:r>
    </w:p>
    <w:p>
      <w:pPr>
        <w:pStyle w:val="BookText"/>
      </w:pPr>
      <w:r>
        <w:rPr>
          <w:rFonts w:ascii="IRNazanin" w:hAnsi="IRNazanin" w:eastAsia="IRNazanin" w:cs="IRNazanin"/>
          <w:lang w:bidi="fa-IR"/>
          <w:color w:val="111111"/>
          <w:sz w:val="28"/>
          <w:szCs w:val="28"/>
          <w:rtl/>
        </w:rPr>
        <w:t xml:space="preserve">122 .مرض الوباء والطاعون، ج 14،</w:t>
      </w:r>
    </w:p>
    <w:p>
      <w:pPr>
        <w:pStyle w:val="BookText"/>
      </w:pPr>
      <w:r>
        <w:rPr>
          <w:rFonts w:ascii="IRNazanin" w:hAnsi="IRNazanin" w:eastAsia="IRNazanin" w:cs="IRNazanin"/>
          <w:lang w:bidi="fa-IR"/>
          <w:color w:val="111111"/>
          <w:sz w:val="28"/>
          <w:szCs w:val="28"/>
          <w:rtl/>
        </w:rPr>
        <w:t xml:space="preserve">ص 403 .</w:t>
      </w:r>
    </w:p>
    <w:p>
      <w:pPr>
        <w:pStyle w:val="BookText"/>
      </w:pPr>
      <w:r>
        <w:rPr>
          <w:rFonts w:ascii="Amiri" w:hAnsi="Amiri" w:eastAsia="Amiri" w:cs="Amiri"/>
          <w:lang w:bidi="ar-SA"/>
          <w:color w:val="111111"/>
          <w:sz w:val="28"/>
          <w:szCs w:val="28"/>
          <w:rtl/>
        </w:rPr>
        <w:t xml:space="preserve">123 .مزية اللسان الفارسية على سائر الالسنة ما عدا العربية، ج 14، ص 425</w:t>
      </w:r>
    </w:p>
    <w:p>
      <w:pPr>
        <w:pStyle w:val="BookText"/>
      </w:pPr>
      <w:r>
        <w:rPr>
          <w:rFonts w:ascii="Amiri" w:hAnsi="Amiri" w:eastAsia="Amiri" w:cs="Amiri"/>
          <w:lang w:bidi="ar-SA"/>
          <w:color w:val="111111"/>
          <w:sz w:val="28"/>
          <w:szCs w:val="28"/>
          <w:rtl/>
        </w:rPr>
        <w:t xml:space="preserve">124 . المشاكلة (رسالة في تحقيق)</w:t>
      </w:r>
    </w:p>
    <w:p>
      <w:pPr>
        <w:pStyle w:val="BookText"/>
      </w:pPr>
      <w:r>
        <w:rPr>
          <w:rFonts w:ascii="IRNazanin" w:hAnsi="IRNazanin" w:eastAsia="IRNazanin" w:cs="IRNazanin"/>
          <w:lang w:bidi="fa-IR"/>
          <w:color w:val="111111"/>
          <w:sz w:val="28"/>
          <w:szCs w:val="28"/>
          <w:rtl/>
        </w:rPr>
        <w:t xml:space="preserve">ج 14، ص 618.</w:t>
      </w:r>
    </w:p>
    <w:p>
      <w:pPr>
        <w:pStyle w:val="BookText"/>
      </w:pPr>
      <w:r>
        <w:rPr>
          <w:rFonts w:ascii="Amiri" w:hAnsi="Amiri" w:eastAsia="Amiri" w:cs="Amiri"/>
          <w:lang w:bidi="ar-SA"/>
          <w:color w:val="111111"/>
          <w:sz w:val="28"/>
          <w:szCs w:val="28"/>
          <w:rtl/>
        </w:rPr>
        <w:t xml:space="preserve">125 .المعاد الجسماني، ج 14، ص830.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معنى الليس و الايس (رسالة في</w:t>
      </w:r>
    </w:p>
    <w:p>
      <w:pPr>
        <w:pStyle w:val="BookText"/>
      </w:pPr>
      <w:r>
        <w:rPr>
          <w:rFonts w:ascii="Amiri" w:hAnsi="Amiri" w:eastAsia="Amiri" w:cs="Amiri"/>
          <w:lang w:bidi="ar-SA"/>
          <w:color w:val="111111"/>
          <w:sz w:val="28"/>
          <w:szCs w:val="28"/>
          <w:rtl/>
        </w:rPr>
        <w:t xml:space="preserve">تحقيق)، ج 15، ص 94.</w:t>
      </w:r>
    </w:p>
    <w:p>
      <w:pPr>
        <w:pStyle w:val="BookText"/>
      </w:pPr>
      <w:r>
        <w:rPr>
          <w:rFonts w:ascii="Amiri" w:hAnsi="Amiri" w:eastAsia="Amiri" w:cs="Amiri"/>
          <w:lang w:bidi="ar-SA"/>
          <w:color w:val="111111"/>
          <w:sz w:val="28"/>
          <w:szCs w:val="28"/>
          <w:rtl/>
        </w:rPr>
        <w:t xml:space="preserve">127 .معنى النظم و الصياغة</w:t>
      </w:r>
    </w:p>
    <w:p>
      <w:pPr>
        <w:pStyle w:val="BookText"/>
      </w:pPr>
      <w:r>
        <w:rPr>
          <w:rFonts w:ascii="IRNazanin" w:hAnsi="IRNazanin" w:eastAsia="IRNazanin" w:cs="IRNazanin"/>
          <w:lang w:bidi="fa-IR"/>
          <w:color w:val="111111"/>
          <w:sz w:val="28"/>
          <w:szCs w:val="28"/>
          <w:rtl/>
        </w:rPr>
        <w:t xml:space="preserve">(تحقیق)، ج 15، ص 97.</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معنى ان الفقر سواد الوجه في</w:t>
      </w:r>
    </w:p>
    <w:p>
      <w:pPr>
        <w:pStyle w:val="BookText"/>
      </w:pPr>
      <w:r>
        <w:rPr>
          <w:rFonts w:ascii="Amiri" w:hAnsi="Amiri" w:eastAsia="Amiri" w:cs="Amiri"/>
          <w:lang w:bidi="ar-SA"/>
          <w:color w:val="111111"/>
          <w:sz w:val="28"/>
          <w:szCs w:val="28"/>
          <w:rtl/>
        </w:rPr>
        <w:t xml:space="preserve">الدارين (رسالة في) = الفقر مع كونه سواد الوجه في الدارين كيف كان الفقر فخر الناس (رسالة أن ج 15 ، ص 90.</w:t>
      </w:r>
    </w:p>
    <w:p>
      <w:pPr>
        <w:pStyle w:val="BookText"/>
      </w:pPr>
      <w:r>
        <w:rPr>
          <w:rFonts w:ascii="Amiri" w:hAnsi="Amiri" w:eastAsia="Amiri" w:cs="Amiri"/>
          <w:lang w:bidi="ar-SA"/>
          <w:color w:val="111111"/>
          <w:sz w:val="28"/>
          <w:szCs w:val="28"/>
          <w:rtl/>
        </w:rPr>
        <w:t xml:space="preserve">129 .مقدار المفروض من مسح الرأس (رسالة في بيان)، ج 15 ، ص 345.</w:t>
      </w:r>
    </w:p>
    <w:p>
      <w:pPr>
        <w:pStyle w:val="BookText"/>
      </w:pPr>
      <w:r>
        <w:rPr>
          <w:rFonts w:ascii="IRNazanin" w:hAnsi="IRNazanin" w:eastAsia="IRNazanin" w:cs="IRNazanin"/>
          <w:lang w:bidi="fa-IR"/>
          <w:color w:val="111111"/>
          <w:sz w:val="28"/>
          <w:szCs w:val="28"/>
          <w:rtl/>
        </w:rPr>
        <w:t xml:space="preserve">130 .مهمات المسائل، ج 15، ص 850.</w:t>
      </w:r>
    </w:p>
    <w:p>
      <w:pPr>
        <w:pStyle w:val="BookText"/>
      </w:pPr>
      <w:r>
        <w:rPr>
          <w:rFonts w:ascii="Amiri" w:hAnsi="Amiri" w:eastAsia="Amiri" w:cs="Amiri"/>
          <w:lang w:bidi="ar-SA"/>
          <w:color w:val="111111"/>
          <w:sz w:val="28"/>
          <w:szCs w:val="28"/>
          <w:rtl/>
        </w:rPr>
        <w:t xml:space="preserve">131 .المؤنثات السماعية رسالة في</w:t>
      </w:r>
    </w:p>
    <w:p>
      <w:pPr>
        <w:pStyle w:val="BookText"/>
      </w:pPr>
      <w:r>
        <w:rPr>
          <w:rFonts w:ascii="Amiri" w:hAnsi="Amiri" w:eastAsia="Amiri" w:cs="Amiri"/>
          <w:lang w:bidi="ar-SA"/>
          <w:color w:val="111111"/>
          <w:sz w:val="28"/>
          <w:szCs w:val="28"/>
          <w:rtl/>
        </w:rPr>
        <w:t xml:space="preserve">تحقيق)، ج13، ص 705.</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الميزان (رسالة في)، ج 16، ص 64 .</w:t>
      </w:r>
    </w:p>
    <w:p>
      <w:pPr>
        <w:pStyle w:val="BookText"/>
      </w:pPr>
      <w:r>
        <w:rPr>
          <w:rFonts w:ascii="Amiri" w:hAnsi="Amiri" w:eastAsia="Amiri" w:cs="Amiri"/>
          <w:lang w:bidi="ar-SA"/>
          <w:color w:val="111111"/>
          <w:sz w:val="28"/>
          <w:szCs w:val="28"/>
          <w:rtl/>
        </w:rPr>
        <w:t xml:space="preserve">133 .نسبة الجمع (رسالة في)، ج 16،</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Amiri" w:hAnsi="Amiri" w:eastAsia="Amiri" w:cs="Amiri"/>
          <w:lang w:bidi="ar-SA"/>
          <w:color w:val="111111"/>
          <w:sz w:val="28"/>
          <w:szCs w:val="28"/>
          <w:rtl/>
        </w:rPr>
        <w:t xml:space="preserve">134 .نقد الشيعة، ج 16، ص 417.</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نقولات، ج 16، ص 430 .</w:t>
      </w:r>
    </w:p>
    <w:p>
      <w:pPr>
        <w:pStyle w:val="BookText"/>
      </w:pPr>
      <w:r>
        <w:rPr>
          <w:rFonts w:ascii="Amiri" w:hAnsi="Amiri" w:eastAsia="Amiri" w:cs="Amiri"/>
          <w:lang w:bidi="ar-SA"/>
          <w:color w:val="111111"/>
          <w:sz w:val="28"/>
          <w:szCs w:val="28"/>
          <w:rtl/>
        </w:rPr>
        <w:t xml:space="preserve">136 .هل يجوز استناد القديم إلى المؤثر (رسالة في)، ج 16، ص 650 .</w:t>
      </w:r>
    </w:p>
    <w:p>
      <w:pPr>
        <w:pStyle w:val="BookText"/>
      </w:pPr>
      <w:r>
        <w:rPr>
          <w:rFonts w:ascii="IRNazanin" w:hAnsi="IRNazanin" w:eastAsia="IRNazanin" w:cs="IRNazanin"/>
          <w:lang w:bidi="fa-IR"/>
          <w:color w:val="111111"/>
          <w:sz w:val="28"/>
          <w:szCs w:val="28"/>
          <w:rtl/>
        </w:rPr>
        <w:t xml:space="preserve">137 ..هوامش و نقولات ج 16،</w:t>
      </w:r>
    </w:p>
    <w:p>
      <w:pPr>
        <w:pStyle w:val="BookText"/>
      </w:pPr>
      <w:r>
        <w:rPr>
          <w:rFonts w:ascii="IRNazanin" w:hAnsi="IRNazanin" w:eastAsia="IRNazanin" w:cs="IRNazanin"/>
          <w:lang w:bidi="fa-IR"/>
          <w:color w:val="111111"/>
          <w:sz w:val="28"/>
          <w:szCs w:val="28"/>
          <w:rtl/>
        </w:rPr>
        <w:t xml:space="preserve">ص 658.</w:t>
      </w:r>
    </w:p>
    <w:p>
      <w:pPr>
        <w:pStyle w:val="BookText"/>
      </w:pPr>
      <w:r>
        <w:rPr>
          <w:rFonts w:ascii="Amiri" w:hAnsi="Amiri" w:eastAsia="Amiri" w:cs="Amiri"/>
          <w:lang w:bidi="ar-SA"/>
          <w:color w:val="111111"/>
          <w:sz w:val="28"/>
          <w:szCs w:val="28"/>
          <w:rtl/>
        </w:rPr>
        <w:t xml:space="preserve">138 وجوب الواجب (رسالة في تحقيق)، ج 16، ص 731.</w:t>
      </w:r>
    </w:p>
    <w:p>
      <w:pPr>
        <w:pStyle w:val="BookText"/>
      </w:pPr>
      <w:r>
        <w:rPr>
          <w:rFonts w:ascii="Amiri" w:hAnsi="Amiri" w:eastAsia="Amiri" w:cs="Amiri"/>
          <w:lang w:bidi="ar-SA"/>
          <w:color w:val="111111"/>
          <w:sz w:val="28"/>
          <w:szCs w:val="28"/>
          <w:rtl/>
        </w:rPr>
        <w:t xml:space="preserve">139 .الوجود الذهني (رسالة في</w:t>
      </w:r>
    </w:p>
    <w:p>
      <w:pPr>
        <w:pStyle w:val="BookText"/>
      </w:pPr>
      <w:r>
        <w:rPr>
          <w:rFonts w:ascii="Amiri" w:hAnsi="Amiri" w:eastAsia="Amiri" w:cs="Amiri"/>
          <w:lang w:bidi="ar-SA"/>
          <w:color w:val="111111"/>
          <w:sz w:val="28"/>
          <w:szCs w:val="28"/>
          <w:rtl/>
        </w:rPr>
        <w:t xml:space="preserve">تحقيق)، ج 16، ص 733.</w:t>
      </w:r>
    </w:p>
    <w:p>
      <w:pPr>
        <w:pStyle w:val="BookText"/>
      </w:pPr>
      <w:r>
        <w:rPr>
          <w:rFonts w:ascii="Amiri" w:hAnsi="Amiri" w:eastAsia="Amiri" w:cs="Amiri"/>
          <w:lang w:bidi="ar-SA"/>
          <w:color w:val="111111"/>
          <w:sz w:val="28"/>
          <w:szCs w:val="28"/>
          <w:rtl/>
        </w:rPr>
        <w:t xml:space="preserve">140 .الوجود (رسالة في)، ج 16،</w:t>
      </w:r>
    </w:p>
    <w:p>
      <w:pPr>
        <w:pStyle w:val="BookText"/>
      </w:pPr>
      <w:r>
        <w:rPr>
          <w:rFonts w:ascii="IRNazanin" w:hAnsi="IRNazanin" w:eastAsia="IRNazanin" w:cs="IRNazanin"/>
          <w:lang w:bidi="fa-IR"/>
          <w:color w:val="111111"/>
          <w:sz w:val="28"/>
          <w:szCs w:val="28"/>
          <w:rtl/>
        </w:rPr>
        <w:t xml:space="preserve">ص 732.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الوصية، ج 16، ص 808.</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Amiri" w:hAnsi="Amiri" w:eastAsia="Amiri" w:cs="Amiri"/>
          <w:lang w:bidi="ar-SA"/>
          <w:color w:val="111111"/>
          <w:sz w:val="28"/>
          <w:szCs w:val="28"/>
          <w:rtl/>
        </w:rPr>
        <w:t xml:space="preserve">وقف الاولاد (بيان مسألة)، ج 16،</w:t>
      </w:r>
    </w:p>
    <w:p>
      <w:pPr>
        <w:pStyle w:val="BookText"/>
      </w:pPr>
      <w:r>
        <w:rPr>
          <w:rFonts w:ascii="IRNazanin" w:hAnsi="IRNazanin" w:eastAsia="IRNazanin" w:cs="IRNazanin"/>
          <w:lang w:bidi="fa-IR"/>
          <w:color w:val="111111"/>
          <w:sz w:val="28"/>
          <w:szCs w:val="28"/>
          <w:rtl/>
        </w:rPr>
        <w:t xml:space="preserve">ص 869.</w:t>
      </w:r>
    </w:p>
    <w:p>
      <w:pPr>
        <w:pStyle w:val="BookText"/>
      </w:pPr>
      <w:r>
        <w:rPr>
          <w:rFonts w:ascii="Amiri" w:hAnsi="Amiri" w:eastAsia="Amiri" w:cs="Amiri"/>
          <w:lang w:bidi="ar-SA"/>
          <w:color w:val="111111"/>
          <w:sz w:val="28"/>
          <w:szCs w:val="28"/>
          <w:rtl/>
        </w:rPr>
        <w:t xml:space="preserve">ابن كمال موصلي - موصلي ، ابن كمال</w:t>
      </w:r>
    </w:p>
    <w:p>
      <w:pPr>
        <w:pStyle w:val="BookText"/>
      </w:pPr>
      <w:r>
        <w:rPr>
          <w:rFonts w:ascii="Amiri" w:hAnsi="Amiri" w:eastAsia="Amiri" w:cs="Amiri"/>
          <w:lang w:bidi="ar-SA"/>
          <w:color w:val="111111"/>
          <w:sz w:val="28"/>
          <w:szCs w:val="28"/>
          <w:rtl/>
        </w:rPr>
        <w:t xml:space="preserve">ابن كمونة حسيني -حسني حسيني ،</w:t>
      </w:r>
    </w:p>
    <w:p>
      <w:pPr>
        <w:pStyle w:val="BookText"/>
      </w:pPr>
      <w:r>
        <w:rPr>
          <w:rFonts w:ascii="Amiri" w:hAnsi="Amiri" w:eastAsia="Amiri" w:cs="Amiri"/>
          <w:lang w:bidi="ar-SA"/>
          <w:color w:val="111111"/>
          <w:sz w:val="28"/>
          <w:szCs w:val="28"/>
          <w:rtl/>
        </w:rPr>
        <w:t xml:space="preserve">ناصر بن حسين</w:t>
      </w:r>
    </w:p>
    <w:p>
      <w:pPr>
        <w:pStyle w:val="Heading2"/>
      </w:pPr>
      <w:bookmarkStart w:id="1636" w:name="_Toc738"/>
      <w:r>
        <w:t>ابن كمونه ، سعد بن منصور - 683 ه-</w:t>
      </w:r>
      <w:bookmarkEnd w:id="1636"/>
    </w:p>
    <w:p>
      <w:pPr>
        <w:pStyle w:val="BookText"/>
      </w:pPr>
      <w:r>
        <w:rPr>
          <w:rFonts w:ascii="Amiri" w:hAnsi="Amiri" w:eastAsia="Amiri" w:cs="Amiri"/>
          <w:lang w:bidi="ar-SA"/>
          <w:color w:val="111111"/>
          <w:sz w:val="28"/>
          <w:szCs w:val="28"/>
          <w:rtl/>
        </w:rPr>
        <w:t xml:space="preserve">1 .تنقيح الابحاث في البحث عن الملل</w:t>
      </w:r>
    </w:p>
    <w:p>
      <w:pPr>
        <w:pStyle w:val="BookText"/>
      </w:pPr>
      <w:r>
        <w:rPr>
          <w:rFonts w:ascii="IRNazanin" w:hAnsi="IRNazanin" w:eastAsia="IRNazanin" w:cs="IRNazanin"/>
          <w:lang w:bidi="fa-IR"/>
          <w:color w:val="111111"/>
          <w:sz w:val="28"/>
          <w:szCs w:val="28"/>
          <w:rtl/>
        </w:rPr>
        <w:t xml:space="preserve">الثلاث، ج 5، ص 59.</w:t>
      </w:r>
    </w:p>
    <w:p>
      <w:pPr>
        <w:pStyle w:val="BookText"/>
      </w:pPr>
      <w:r>
        <w:rPr>
          <w:rFonts w:ascii="Amiri" w:hAnsi="Amiri" w:eastAsia="Amiri" w:cs="Amiri"/>
          <w:lang w:bidi="ar-SA"/>
          <w:color w:val="111111"/>
          <w:sz w:val="28"/>
          <w:szCs w:val="28"/>
          <w:rtl/>
        </w:rPr>
        <w:t xml:space="preserve">2 .شرح الاشارات و التنبيهات - شرح الاصول والجمل في مهمات العلم</w:t>
      </w:r>
    </w:p>
    <w:p>
      <w:pPr>
        <w:pStyle w:val="BookText"/>
      </w:pPr>
      <w:r>
        <w:rPr>
          <w:rFonts w:ascii="IRNazanin" w:hAnsi="IRNazanin" w:eastAsia="IRNazanin" w:cs="IRNazanin"/>
          <w:lang w:bidi="fa-IR"/>
          <w:color w:val="111111"/>
          <w:sz w:val="28"/>
          <w:szCs w:val="28"/>
          <w:rtl/>
        </w:rPr>
        <w:t xml:space="preserve">و العمل، ج9، ص 202.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التلويحات، ج 9، ص 344.</w:t>
      </w:r>
    </w:p>
    <w:p>
      <w:pPr>
        <w:pStyle w:val="BookText"/>
      </w:pPr>
      <w:r>
        <w:rPr>
          <w:rFonts w:ascii="Amiri" w:hAnsi="Amiri" w:eastAsia="Amiri" w:cs="Amiri"/>
          <w:lang w:bidi="ar-SA"/>
          <w:color w:val="111111"/>
          <w:sz w:val="28"/>
          <w:szCs w:val="28"/>
          <w:rtl/>
        </w:rPr>
        <w:t xml:space="preserve">4 .العلم و العمل = اللمعة الجوينية</w:t>
      </w:r>
    </w:p>
    <w:p>
      <w:pPr>
        <w:pStyle w:val="BookText"/>
      </w:pPr>
      <w:r>
        <w:rPr>
          <w:rFonts w:ascii="IRNazanin" w:hAnsi="IRNazanin" w:eastAsia="IRNazanin" w:cs="IRNazanin"/>
          <w:lang w:bidi="fa-IR"/>
          <w:color w:val="111111"/>
          <w:sz w:val="28"/>
          <w:szCs w:val="28"/>
          <w:rtl/>
        </w:rPr>
        <w:t xml:space="preserve">ج 11، ص 271.</w:t>
      </w:r>
    </w:p>
    <w:p>
      <w:pPr>
        <w:pStyle w:val="BookText"/>
      </w:pPr>
      <w:r>
        <w:rPr>
          <w:rFonts w:ascii="Amiri" w:hAnsi="Amiri" w:eastAsia="Amiri" w:cs="Amiri"/>
          <w:lang w:bidi="ar-SA"/>
          <w:color w:val="111111"/>
          <w:sz w:val="28"/>
          <w:szCs w:val="28"/>
          <w:rtl/>
        </w:rPr>
        <w:t xml:space="preserve">5 .الكلام، ج13، ص 348.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1" w:name="pg7742_69582"/>
    <w:bookmarkEnd w:id="111"/>
    <w:p>
      <w:pPr>
        <w:pStyle w:val="BookText"/>
      </w:pPr>
      <w:r>
        <w:rPr>
          <w:rFonts w:ascii="Amiri" w:hAnsi="Amiri" w:eastAsia="Amiri" w:cs="Amiri"/>
          <w:lang w:bidi="ar-SA"/>
          <w:color w:val="111111"/>
          <w:sz w:val="28"/>
          <w:szCs w:val="28"/>
          <w:rtl/>
        </w:rPr>
        <w:t xml:space="preserve">6 .كمال نفس الانسان، ج13، ص 394.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مجموع عقلي، ج 14، ص 68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مطالب المهمة من علم الحكمة</w:t>
      </w:r>
    </w:p>
    <w:p>
      <w:pPr>
        <w:pStyle w:val="BookText"/>
      </w:pPr>
      <w:r>
        <w:rPr>
          <w:rFonts w:ascii="IRNazanin" w:hAnsi="IRNazanin" w:eastAsia="IRNazanin" w:cs="IRNazanin"/>
          <w:lang w:bidi="fa-IR"/>
          <w:color w:val="111111"/>
          <w:sz w:val="28"/>
          <w:szCs w:val="28"/>
          <w:rtl/>
        </w:rPr>
        <w:t xml:space="preserve">ج 14، ص 766 .</w:t>
      </w:r>
    </w:p>
    <w:p>
      <w:pPr>
        <w:pStyle w:val="BookText"/>
      </w:pPr>
      <w:r>
        <w:rPr>
          <w:rFonts w:ascii="Amiri" w:hAnsi="Amiri" w:eastAsia="Amiri" w:cs="Amiri"/>
          <w:lang w:bidi="ar-SA"/>
          <w:color w:val="111111"/>
          <w:sz w:val="28"/>
          <w:szCs w:val="28"/>
          <w:rtl/>
        </w:rPr>
        <w:t xml:space="preserve">9 .ملتقط الآثار الباقية عن القرون الخالية لأبي الريحان، ج 15</w:t>
      </w:r>
    </w:p>
    <w:p>
      <w:pPr>
        <w:pStyle w:val="BookText"/>
      </w:pPr>
      <w:r>
        <w:rPr>
          <w:rFonts w:ascii="IRNazanin" w:hAnsi="IRNazanin" w:eastAsia="IRNazanin" w:cs="IRNazanin"/>
          <w:lang w:bidi="fa-IR"/>
          <w:color w:val="111111"/>
          <w:sz w:val="28"/>
          <w:szCs w:val="28"/>
          <w:rtl/>
        </w:rPr>
        <w:t xml:space="preserve">ص 436 .</w:t>
      </w:r>
    </w:p>
    <w:p>
      <w:pPr>
        <w:pStyle w:val="BookText"/>
      </w:pPr>
      <w:r>
        <w:rPr>
          <w:rFonts w:ascii="Amiri" w:hAnsi="Amiri" w:eastAsia="Amiri" w:cs="Amiri"/>
          <w:lang w:bidi="ar-SA"/>
          <w:color w:val="111111"/>
          <w:sz w:val="28"/>
          <w:szCs w:val="28"/>
          <w:rtl/>
        </w:rPr>
        <w:t xml:space="preserve">10 .ملتقط الشمسية في المنطق، ج 15،</w:t>
      </w:r>
    </w:p>
    <w:p>
      <w:pPr>
        <w:pStyle w:val="BookText"/>
      </w:pPr>
      <w:r>
        <w:rPr>
          <w:rFonts w:ascii="IRNazanin" w:hAnsi="IRNazanin" w:eastAsia="IRNazanin" w:cs="IRNazanin"/>
          <w:lang w:bidi="fa-IR"/>
          <w:color w:val="111111"/>
          <w:sz w:val="28"/>
          <w:szCs w:val="28"/>
          <w:rtl/>
        </w:rPr>
        <w:t xml:space="preserve">ص 438 .</w:t>
      </w:r>
    </w:p>
    <w:p>
      <w:pPr>
        <w:pStyle w:val="BookText"/>
      </w:pPr>
      <w:r>
        <w:rPr>
          <w:rFonts w:ascii="Amiri" w:hAnsi="Amiri" w:eastAsia="Amiri" w:cs="Amiri"/>
          <w:lang w:bidi="ar-SA"/>
          <w:color w:val="111111"/>
          <w:sz w:val="28"/>
          <w:szCs w:val="28"/>
          <w:rtl/>
        </w:rPr>
        <w:t xml:space="preserve">11 .ملتقط القانون المسعود لأبي الريحان البيروني، ج 15، ص 439.</w:t>
      </w:r>
    </w:p>
    <w:p>
      <w:pPr>
        <w:pStyle w:val="BookText"/>
      </w:pPr>
      <w:r>
        <w:rPr>
          <w:rFonts w:ascii="Amiri" w:hAnsi="Amiri" w:eastAsia="Amiri" w:cs="Amiri"/>
          <w:lang w:bidi="ar-SA"/>
          <w:color w:val="111111"/>
          <w:sz w:val="28"/>
          <w:szCs w:val="28"/>
          <w:rtl/>
        </w:rPr>
        <w:t xml:space="preserve">12 ..ملتقط تلخيص المحصل، ج 15</w:t>
      </w:r>
    </w:p>
    <w:p>
      <w:pPr>
        <w:pStyle w:val="BookText"/>
      </w:pPr>
      <w:r>
        <w:rPr>
          <w:rFonts w:ascii="IRNazanin" w:hAnsi="IRNazanin" w:eastAsia="IRNazanin" w:cs="IRNazanin"/>
          <w:lang w:bidi="fa-IR"/>
          <w:color w:val="111111"/>
          <w:sz w:val="28"/>
          <w:szCs w:val="28"/>
          <w:rtl/>
        </w:rPr>
        <w:t xml:space="preserve">ص 438.</w:t>
      </w:r>
    </w:p>
    <w:p>
      <w:pPr>
        <w:pStyle w:val="BookText"/>
      </w:pPr>
      <w:r>
        <w:rPr>
          <w:rFonts w:ascii="Amiri" w:hAnsi="Amiri" w:eastAsia="Amiri" w:cs="Amiri"/>
          <w:lang w:bidi="ar-SA"/>
          <w:color w:val="111111"/>
          <w:sz w:val="28"/>
          <w:szCs w:val="28"/>
          <w:rtl/>
        </w:rPr>
        <w:t xml:space="preserve">13 .ملتقط كتاب الهيئة لمؤيد الدين</w:t>
      </w:r>
    </w:p>
    <w:p>
      <w:pPr>
        <w:pStyle w:val="BookText"/>
      </w:pPr>
      <w:r>
        <w:rPr>
          <w:rFonts w:ascii="Amiri" w:hAnsi="Amiri" w:eastAsia="Amiri" w:cs="Amiri"/>
          <w:lang w:bidi="ar-SA"/>
          <w:color w:val="111111"/>
          <w:sz w:val="28"/>
          <w:szCs w:val="28"/>
          <w:rtl/>
        </w:rPr>
        <w:t xml:space="preserve">العروضي، ج 15 ، ص 439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الملتقط من كتاب زبدة النقض و لباب الكشف و شرحه ج 15</w:t>
      </w:r>
    </w:p>
    <w:p>
      <w:pPr>
        <w:pStyle w:val="BookText"/>
      </w:pPr>
      <w:r>
        <w:rPr>
          <w:rFonts w:ascii="IRNazanin" w:hAnsi="IRNazanin" w:eastAsia="IRNazanin" w:cs="IRNazanin"/>
          <w:lang w:bidi="fa-IR"/>
          <w:color w:val="111111"/>
          <w:sz w:val="28"/>
          <w:szCs w:val="28"/>
          <w:rtl/>
        </w:rPr>
        <w:t xml:space="preserve">ص 440.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منتخب تلخيص المحصل، ج 15</w:t>
      </w:r>
    </w:p>
    <w:p>
      <w:pPr>
        <w:pStyle w:val="BookText"/>
      </w:pPr>
      <w:r>
        <w:rPr>
          <w:rFonts w:ascii="IRNazanin" w:hAnsi="IRNazanin" w:eastAsia="IRNazanin" w:cs="IRNazanin"/>
          <w:lang w:bidi="fa-IR"/>
          <w:color w:val="111111"/>
          <w:sz w:val="28"/>
          <w:szCs w:val="28"/>
          <w:rtl/>
        </w:rPr>
        <w:t xml:space="preserve">ص 603.</w:t>
      </w:r>
    </w:p>
    <w:p>
      <w:pPr>
        <w:pStyle w:val="BookText"/>
      </w:pPr>
      <w:r>
        <w:rPr>
          <w:rFonts w:ascii="IRNazanin" w:hAnsi="IRNazanin" w:eastAsia="IRNazanin" w:cs="IRNazanin"/>
          <w:lang w:bidi="fa-IR"/>
          <w:color w:val="111111"/>
          <w:sz w:val="28"/>
          <w:szCs w:val="28"/>
          <w:rtl/>
        </w:rPr>
        <w:t xml:space="preserve">ابن كمونه ، منصور بن كمونه- حسيني محمّد بن بدرالدین</w:t>
      </w:r>
    </w:p>
    <w:p>
      <w:pPr>
        <w:pStyle w:val="BookText"/>
      </w:pPr>
      <w:r>
        <w:rPr>
          <w:rFonts w:ascii="Amiri" w:hAnsi="Amiri" w:eastAsia="Amiri" w:cs="Amiri"/>
          <w:lang w:bidi="ar-SA"/>
          <w:color w:val="111111"/>
          <w:sz w:val="28"/>
          <w:szCs w:val="28"/>
          <w:rtl/>
        </w:rPr>
        <w:t xml:space="preserve">نجفي ، منصور بن كمونه</w:t>
      </w:r>
    </w:p>
    <w:p>
      <w:pPr>
        <w:pStyle w:val="Heading2"/>
      </w:pPr>
      <w:bookmarkStart w:id="1637" w:name="_Toc739"/>
      <w:r>
        <w:t>ابن کمیل ، محمّد بن احمد - 848 ه-</w:t>
      </w:r>
      <w:bookmarkEnd w:id="1637"/>
    </w:p>
    <w:p>
      <w:pPr>
        <w:pStyle w:val="BookText"/>
      </w:pPr>
      <w:r>
        <w:rPr>
          <w:rFonts w:ascii="Amiri" w:hAnsi="Amiri" w:eastAsia="Amiri" w:cs="Amiri"/>
          <w:lang w:bidi="ar-SA"/>
          <w:color w:val="111111"/>
          <w:sz w:val="28"/>
          <w:szCs w:val="28"/>
          <w:rtl/>
        </w:rPr>
        <w:t xml:space="preserve">ختم من ختوم شيخنا جلال الدين بن</w:t>
      </w:r>
    </w:p>
    <w:p>
      <w:pPr>
        <w:pStyle w:val="BookText"/>
      </w:pPr>
      <w:r>
        <w:rPr>
          <w:rFonts w:ascii="Amiri" w:hAnsi="Amiri" w:eastAsia="Amiri" w:cs="Amiri"/>
          <w:lang w:bidi="ar-SA"/>
          <w:color w:val="111111"/>
          <w:sz w:val="28"/>
          <w:szCs w:val="28"/>
          <w:rtl/>
        </w:rPr>
        <w:t xml:space="preserve">كميل، ج 6، ص 888</w:t>
      </w:r>
    </w:p>
    <w:p>
      <w:pPr>
        <w:pStyle w:val="Heading2"/>
      </w:pPr>
      <w:bookmarkStart w:id="1638" w:name="_Toc740"/>
      <w:r>
        <w:t>ابن کوشاه ، عبد الجليل بن محمد</w:t>
      </w:r>
      <w:bookmarkEnd w:id="1638"/>
    </w:p>
    <w:p>
      <w:pPr>
        <w:pStyle w:val="BookText"/>
      </w:pPr>
      <w:r>
        <w:rPr>
          <w:rFonts w:ascii="Amiri" w:hAnsi="Amiri" w:eastAsia="Amiri" w:cs="Amiri"/>
          <w:lang w:bidi="ar-SA"/>
          <w:color w:val="111111"/>
          <w:sz w:val="28"/>
          <w:szCs w:val="28"/>
          <w:rtl/>
        </w:rPr>
        <w:t xml:space="preserve">المنتقي من مسموعات الثفقي، ج 15</w:t>
      </w:r>
    </w:p>
    <w:p>
      <w:pPr>
        <w:pStyle w:val="BookText"/>
      </w:pPr>
      <w:r>
        <w:rPr>
          <w:rFonts w:ascii="IRNazanin" w:hAnsi="IRNazanin" w:eastAsia="IRNazanin" w:cs="IRNazanin"/>
          <w:lang w:bidi="fa-IR"/>
          <w:color w:val="111111"/>
          <w:sz w:val="28"/>
          <w:szCs w:val="28"/>
          <w:rtl/>
        </w:rPr>
        <w:t xml:space="preserve">ص 632 .</w:t>
      </w:r>
    </w:p>
    <w:p>
      <w:pPr>
        <w:pStyle w:val="Heading2"/>
      </w:pPr>
      <w:bookmarkStart w:id="1639" w:name="_Toc741"/>
      <w:r>
        <w:t>ابن كوفي ، علي بن محمّد، 254 - 348 ه-</w:t>
      </w:r>
      <w:bookmarkEnd w:id="1639"/>
    </w:p>
    <w:p>
      <w:pPr>
        <w:pStyle w:val="BookText"/>
      </w:pPr>
      <w:r>
        <w:rPr>
          <w:rFonts w:ascii="Amiri" w:hAnsi="Amiri" w:eastAsia="Amiri" w:cs="Amiri"/>
          <w:lang w:bidi="ar-SA"/>
          <w:color w:val="111111"/>
          <w:sz w:val="28"/>
          <w:szCs w:val="28"/>
          <w:rtl/>
        </w:rPr>
        <w:t xml:space="preserve">منازل مكة، ج 15 ، ص 493.</w:t>
      </w:r>
    </w:p>
    <w:p>
      <w:pPr>
        <w:pStyle w:val="Heading2"/>
      </w:pPr>
      <w:bookmarkStart w:id="1640" w:name="_Toc742"/>
      <w:r>
        <w:t>ابن كولة ، محمّد بن احمد قرن 13 ه-</w:t>
      </w:r>
      <w:bookmarkEnd w:id="1640"/>
    </w:p>
    <w:p>
      <w:pPr>
        <w:pStyle w:val="BookText"/>
      </w:pPr>
      <w:r>
        <w:rPr>
          <w:rFonts w:ascii="Amiri" w:hAnsi="Amiri" w:eastAsia="Amiri" w:cs="Amiri"/>
          <w:lang w:bidi="ar-SA"/>
          <w:color w:val="111111"/>
          <w:sz w:val="28"/>
          <w:szCs w:val="28"/>
          <w:rtl/>
        </w:rPr>
        <w:t xml:space="preserve">عقود الفرائد في شرح الامثلة و الشواهد، ج 11، ص191.</w:t>
      </w:r>
    </w:p>
    <w:p>
      <w:pPr>
        <w:pStyle w:val="Heading2"/>
      </w:pPr>
      <w:bookmarkStart w:id="1641" w:name="_Toc743"/>
      <w:r>
        <w:t>ابن كيال ، بركات بن احمد - 929 ه-</w:t>
      </w:r>
      <w:bookmarkEnd w:id="1641"/>
    </w:p>
    <w:p>
      <w:pPr>
        <w:pStyle w:val="BookText"/>
      </w:pPr>
      <w:r>
        <w:rPr>
          <w:rFonts w:ascii="Amiri" w:hAnsi="Amiri" w:eastAsia="Amiri" w:cs="Amiri"/>
          <w:lang w:bidi="ar-SA"/>
          <w:color w:val="111111"/>
          <w:sz w:val="28"/>
          <w:szCs w:val="28"/>
          <w:rtl/>
        </w:rPr>
        <w:t xml:space="preserve">الكواكب النيرات في معرفة من اختلط</w:t>
      </w:r>
    </w:p>
    <w:p>
      <w:pPr>
        <w:pStyle w:val="BookText"/>
      </w:pPr>
      <w:r>
        <w:rPr>
          <w:rFonts w:ascii="Amiri" w:hAnsi="Amiri" w:eastAsia="Amiri" w:cs="Amiri"/>
          <w:lang w:bidi="ar-SA"/>
          <w:color w:val="111111"/>
          <w:sz w:val="28"/>
          <w:szCs w:val="28"/>
          <w:rtl/>
        </w:rPr>
        <w:t xml:space="preserve">من الرواة الثقات، ج 13، ص 468 .</w:t>
      </w:r>
    </w:p>
    <w:p>
      <w:pPr>
        <w:pStyle w:val="BookText"/>
      </w:pPr>
      <w:r>
        <w:rPr>
          <w:rFonts w:ascii="Amiri" w:hAnsi="Amiri" w:eastAsia="Amiri" w:cs="Amiri"/>
          <w:lang w:bidi="ar-SA"/>
          <w:color w:val="111111"/>
          <w:sz w:val="28"/>
          <w:szCs w:val="28"/>
          <w:rtl/>
        </w:rPr>
        <w:t xml:space="preserve">ابن كيكلدي علائي- علائي ، خليل بن</w:t>
      </w:r>
    </w:p>
    <w:p>
      <w:pPr>
        <w:pStyle w:val="BookText"/>
      </w:pPr>
      <w:r>
        <w:rPr>
          <w:rFonts w:ascii="Amiri" w:hAnsi="Amiri" w:eastAsia="Amiri" w:cs="Amiri"/>
          <w:lang w:bidi="ar-SA"/>
          <w:color w:val="111111"/>
          <w:sz w:val="28"/>
          <w:szCs w:val="28"/>
          <w:rtl/>
        </w:rPr>
        <w:t xml:space="preserve">كيكلدي</w:t>
      </w:r>
    </w:p>
    <w:p>
      <w:pPr>
        <w:pStyle w:val="Heading2"/>
      </w:pPr>
      <w:bookmarkStart w:id="1642" w:name="_Toc744"/>
      <w:r>
        <w:t>ابن كيزاني ، محمّد بن ابراهيم - 562 ه-</w:t>
      </w:r>
      <w:bookmarkEnd w:id="1642"/>
    </w:p>
    <w:p>
      <w:pPr>
        <w:pStyle w:val="BookText"/>
      </w:pPr>
      <w:r>
        <w:rPr>
          <w:rFonts w:ascii="IRNazanin" w:hAnsi="IRNazanin" w:eastAsia="IRNazanin" w:cs="IRNazanin"/>
          <w:lang w:bidi="fa-IR"/>
          <w:color w:val="111111"/>
          <w:sz w:val="28"/>
          <w:szCs w:val="28"/>
          <w:rtl/>
        </w:rPr>
        <w:t xml:space="preserve">الاعتماد، ج 2، ص518.</w:t>
      </w:r>
    </w:p>
    <w:p>
      <w:pPr>
        <w:pStyle w:val="BookText"/>
      </w:pPr>
      <w:r>
        <w:rPr>
          <w:rFonts w:ascii="Amiri" w:hAnsi="Amiri" w:eastAsia="Amiri" w:cs="Amiri"/>
          <w:lang w:bidi="ar-SA"/>
          <w:color w:val="111111"/>
          <w:sz w:val="28"/>
          <w:szCs w:val="28"/>
          <w:rtl/>
        </w:rPr>
        <w:t xml:space="preserve">ابن لباد ، عبداللطيف بن يوسف -عبد اللطيف بغدادي ، عبداللطيف بن يوسف</w:t>
      </w:r>
    </w:p>
    <w:p>
      <w:pPr>
        <w:pStyle w:val="BookText"/>
      </w:pPr>
      <w:r>
        <w:rPr>
          <w:rFonts w:ascii="Amiri" w:hAnsi="Amiri" w:eastAsia="Amiri" w:cs="Amiri"/>
          <w:lang w:bidi="ar-SA"/>
          <w:color w:val="111111"/>
          <w:sz w:val="28"/>
          <w:szCs w:val="28"/>
          <w:rtl/>
        </w:rPr>
        <w:t xml:space="preserve">ابن لبان اصفهاني -اصفهاني ، عبدالله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ابن لبان ، شمس الدين محمّد- بلباني ،</w:t>
      </w:r>
    </w:p>
    <w:p>
      <w:pPr>
        <w:pStyle w:val="Heading2"/>
      </w:pPr>
      <w:bookmarkStart w:id="1643" w:name="_Toc745"/>
      <w:r>
        <w:t>ابن لبان ، محمّد بن احمد، 679-749 ه-</w:t>
      </w:r>
      <w:bookmarkEnd w:id="1643"/>
    </w:p>
    <w:p>
      <w:pPr>
        <w:pStyle w:val="BookText"/>
      </w:pPr>
      <w:r>
        <w:rPr>
          <w:rFonts w:ascii="Amiri" w:hAnsi="Amiri" w:eastAsia="Amiri" w:cs="Amiri"/>
          <w:lang w:bidi="ar-SA"/>
          <w:color w:val="111111"/>
          <w:sz w:val="28"/>
          <w:szCs w:val="28"/>
          <w:rtl/>
        </w:rPr>
        <w:t xml:space="preserve">رد معاني الآيات المتشابهات إلى معاني</w:t>
      </w:r>
    </w:p>
    <w:p>
      <w:pPr>
        <w:pStyle w:val="BookText"/>
      </w:pPr>
      <w:r>
        <w:rPr>
          <w:rFonts w:ascii="Amiri" w:hAnsi="Amiri" w:eastAsia="Amiri" w:cs="Amiri"/>
          <w:lang w:bidi="ar-SA"/>
          <w:color w:val="111111"/>
          <w:sz w:val="28"/>
          <w:szCs w:val="28"/>
          <w:rtl/>
        </w:rPr>
        <w:t xml:space="preserve">الآيات المحكمات، ج8، ص 113.</w:t>
      </w:r>
    </w:p>
    <w:p>
      <w:pPr>
        <w:pStyle w:val="Heading2"/>
      </w:pPr>
      <w:bookmarkStart w:id="1644" w:name="_Toc746"/>
      <w:r>
        <w:t>ابن لبان ، محمّد بن عبدالله - 402 ه-</w:t>
      </w:r>
      <w:bookmarkEnd w:id="1644"/>
    </w:p>
    <w:p>
      <w:pPr>
        <w:pStyle w:val="BookText"/>
      </w:pPr>
      <w:r>
        <w:rPr>
          <w:rFonts w:ascii="Amiri" w:hAnsi="Amiri" w:eastAsia="Amiri" w:cs="Amiri"/>
          <w:lang w:bidi="ar-SA"/>
          <w:color w:val="111111"/>
          <w:sz w:val="28"/>
          <w:szCs w:val="28"/>
          <w:rtl/>
        </w:rPr>
        <w:t xml:space="preserve">الايجاز، ج 3، ص 93.</w:t>
      </w:r>
    </w:p>
    <w:p>
      <w:pPr>
        <w:pStyle w:val="BookText"/>
      </w:pPr>
      <w:r>
        <w:rPr>
          <w:rFonts w:ascii="Amiri" w:hAnsi="Amiri" w:eastAsia="Amiri" w:cs="Amiri"/>
          <w:lang w:bidi="ar-SA"/>
          <w:color w:val="111111"/>
          <w:sz w:val="28"/>
          <w:szCs w:val="28"/>
          <w:rtl/>
        </w:rPr>
        <w:t xml:space="preserve">ابن لبودي ، محمّد بن عبدان- لبودي ،</w:t>
      </w:r>
    </w:p>
    <w:p>
      <w:pPr>
        <w:pStyle w:val="BookText"/>
      </w:pPr>
      <w:r>
        <w:rPr>
          <w:rFonts w:ascii="IRNazanin" w:hAnsi="IRNazanin" w:eastAsia="IRNazanin" w:cs="IRNazanin"/>
          <w:lang w:bidi="fa-IR"/>
          <w:color w:val="111111"/>
          <w:sz w:val="28"/>
          <w:szCs w:val="28"/>
          <w:rtl/>
        </w:rPr>
        <w:t xml:space="preserve">محمّد بن عبدان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2" w:name="pg7742_69584"/>
    <w:bookmarkEnd w:id="112"/>
    <w:p>
      <w:pPr>
        <w:pStyle w:val="Heading2"/>
      </w:pPr>
      <w:bookmarkStart w:id="1645" w:name="_Toc747"/>
      <w:r>
        <w:t>ابن لحام ، علي بن محمّد - 803 ه-</w:t>
      </w:r>
      <w:bookmarkEnd w:id="1645"/>
    </w:p>
    <w:p>
      <w:pPr>
        <w:pStyle w:val="BookText"/>
      </w:pPr>
      <w:r>
        <w:rPr>
          <w:rFonts w:ascii="Amiri" w:hAnsi="Amiri" w:eastAsia="Amiri" w:cs="Amiri"/>
          <w:lang w:bidi="ar-SA"/>
          <w:color w:val="111111"/>
          <w:sz w:val="28"/>
          <w:szCs w:val="28"/>
          <w:rtl/>
        </w:rPr>
        <w:t xml:space="preserve">مختصر في اصول الفقه على مذهب الامام احمد بن حنبل، ج 14، ص210.</w:t>
      </w:r>
    </w:p>
    <w:p>
      <w:pPr>
        <w:pStyle w:val="BookText"/>
      </w:pPr>
      <w:r>
        <w:rPr>
          <w:rFonts w:ascii="Amiri" w:hAnsi="Amiri" w:eastAsia="Amiri" w:cs="Amiri"/>
          <w:lang w:bidi="ar-SA"/>
          <w:color w:val="111111"/>
          <w:sz w:val="28"/>
          <w:szCs w:val="28"/>
          <w:rtl/>
        </w:rPr>
        <w:t xml:space="preserve">ابن مؤيد ، احمد بن اسحاق ابرقوهي</w:t>
      </w:r>
    </w:p>
    <w:p>
      <w:pPr>
        <w:pStyle w:val="BookText"/>
      </w:pPr>
      <w:r>
        <w:rPr>
          <w:rFonts w:ascii="IRNazanin" w:hAnsi="IRNazanin" w:eastAsia="IRNazanin" w:cs="IRNazanin"/>
          <w:lang w:bidi="fa-IR"/>
          <w:color w:val="111111"/>
          <w:sz w:val="28"/>
          <w:szCs w:val="28"/>
          <w:rtl/>
        </w:rPr>
        <w:t xml:space="preserve">احمد بن اسحاق</w:t>
      </w:r>
    </w:p>
    <w:p>
      <w:pPr>
        <w:pStyle w:val="Heading2"/>
      </w:pPr>
      <w:bookmarkStart w:id="1646" w:name="_Toc748"/>
      <w:r>
        <w:t>ابن ماجد ، احمد بن ماجد قرن 10 ه-</w:t>
      </w:r>
      <w:bookmarkEnd w:id="1646"/>
    </w:p>
    <w:p>
      <w:pPr>
        <w:pStyle w:val="BookText"/>
      </w:pPr>
      <w:r>
        <w:rPr>
          <w:rFonts w:ascii="Amiri" w:hAnsi="Amiri" w:eastAsia="Amiri" w:cs="Amiri"/>
          <w:lang w:bidi="ar-SA"/>
          <w:color w:val="111111"/>
          <w:sz w:val="28"/>
          <w:szCs w:val="28"/>
          <w:rtl/>
        </w:rPr>
        <w:t xml:space="preserve">الميل، ج 16 ، ص 78.</w:t>
      </w:r>
    </w:p>
    <w:p>
      <w:pPr>
        <w:pStyle w:val="Heading2"/>
      </w:pPr>
      <w:bookmarkStart w:id="1647" w:name="_Toc749"/>
      <w:r>
        <w:t>ابن ماجه ، محمّد بن یزید 209-273 ه-</w:t>
      </w:r>
      <w:bookmarkEnd w:id="1647"/>
    </w:p>
    <w:p>
      <w:pPr>
        <w:pStyle w:val="BookText"/>
      </w:pPr>
      <w:r>
        <w:rPr>
          <w:rFonts w:ascii="IRNazanin" w:hAnsi="IRNazanin" w:eastAsia="IRNazanin" w:cs="IRNazanin"/>
          <w:lang w:bidi="fa-IR"/>
          <w:color w:val="111111"/>
          <w:sz w:val="28"/>
          <w:szCs w:val="28"/>
          <w:rtl/>
        </w:rPr>
        <w:t xml:space="preserve">سنن ابن ماجه = السنن، ج8، ص 842</w:t>
      </w:r>
    </w:p>
    <w:p>
      <w:pPr>
        <w:pStyle w:val="BookText"/>
      </w:pPr>
      <w:r>
        <w:rPr>
          <w:rFonts w:ascii="Amiri" w:hAnsi="Amiri" w:eastAsia="Amiri" w:cs="Amiri"/>
          <w:lang w:bidi="ar-SA"/>
          <w:color w:val="111111"/>
          <w:sz w:val="28"/>
          <w:szCs w:val="28"/>
          <w:rtl/>
        </w:rPr>
        <w:t xml:space="preserve">ابن ماري نصراني - بصري ، يحيى بن سعيد</w:t>
      </w:r>
    </w:p>
    <w:p>
      <w:pPr>
        <w:pStyle w:val="BookText"/>
      </w:pPr>
      <w:r>
        <w:rPr>
          <w:rFonts w:ascii="Amiri" w:hAnsi="Amiri" w:eastAsia="Amiri" w:cs="Amiri"/>
          <w:lang w:bidi="ar-SA"/>
          <w:color w:val="111111"/>
          <w:sz w:val="28"/>
          <w:szCs w:val="28"/>
          <w:rtl/>
        </w:rPr>
        <w:t xml:space="preserve">ابن مازه ، عمر بن عبدالعزيز -صدر</w:t>
      </w:r>
    </w:p>
    <w:p>
      <w:pPr>
        <w:pStyle w:val="BookText"/>
      </w:pPr>
      <w:r>
        <w:rPr>
          <w:rFonts w:ascii="Amiri" w:hAnsi="Amiri" w:eastAsia="Amiri" w:cs="Amiri"/>
          <w:lang w:bidi="ar-SA"/>
          <w:color w:val="111111"/>
          <w:sz w:val="28"/>
          <w:szCs w:val="28"/>
          <w:rtl/>
        </w:rPr>
        <w:t xml:space="preserve">الشهيد ، عمر بن عبدالعزيز</w:t>
      </w:r>
    </w:p>
    <w:p>
      <w:pPr>
        <w:pStyle w:val="BookText"/>
      </w:pPr>
      <w:r>
        <w:rPr>
          <w:rFonts w:ascii="Amiri" w:hAnsi="Amiri" w:eastAsia="Amiri" w:cs="Amiri"/>
          <w:lang w:bidi="ar-SA"/>
          <w:color w:val="111111"/>
          <w:sz w:val="28"/>
          <w:szCs w:val="28"/>
          <w:rtl/>
        </w:rPr>
        <w:t xml:space="preserve">ابن مازه ، محمود بن احمد -بخاري ،</w:t>
      </w:r>
    </w:p>
    <w:p>
      <w:pPr>
        <w:pStyle w:val="BookText"/>
      </w:pPr>
      <w:r>
        <w:rPr>
          <w:rFonts w:ascii="IRNazanin" w:hAnsi="IRNazanin" w:eastAsia="IRNazanin" w:cs="IRNazanin"/>
          <w:lang w:bidi="fa-IR"/>
          <w:color w:val="111111"/>
          <w:sz w:val="28"/>
          <w:szCs w:val="28"/>
          <w:rtl/>
        </w:rPr>
        <w:t xml:space="preserve">محمود بن احمد</w:t>
      </w:r>
    </w:p>
    <w:p>
      <w:pPr>
        <w:pStyle w:val="BookText"/>
      </w:pPr>
      <w:r>
        <w:rPr>
          <w:rFonts w:ascii="Amiri" w:hAnsi="Amiri" w:eastAsia="Amiri" w:cs="Amiri"/>
          <w:lang w:bidi="ar-SA"/>
          <w:color w:val="111111"/>
          <w:sz w:val="28"/>
          <w:szCs w:val="28"/>
          <w:rtl/>
        </w:rPr>
        <w:t xml:space="preserve">ابن ماسويه ، يوحنا بن ماسويه- يوحنا بن</w:t>
      </w:r>
    </w:p>
    <w:p>
      <w:pPr>
        <w:pStyle w:val="BookText"/>
      </w:pPr>
      <w:r>
        <w:rPr>
          <w:rFonts w:ascii="Amiri" w:hAnsi="Amiri" w:eastAsia="Amiri" w:cs="Amiri"/>
          <w:lang w:bidi="ar-SA"/>
          <w:color w:val="111111"/>
          <w:sz w:val="28"/>
          <w:szCs w:val="28"/>
          <w:rtl/>
        </w:rPr>
        <w:t xml:space="preserve">ماسويه</w:t>
      </w:r>
    </w:p>
    <w:p>
      <w:pPr>
        <w:pStyle w:val="Heading2"/>
      </w:pPr>
      <w:bookmarkStart w:id="1648" w:name="_Toc750"/>
      <w:r>
        <w:t>ابن ماسي ، عبدالله بن ابراهيم - 369</w:t>
      </w:r>
      <w:bookmarkEnd w:id="1648"/>
    </w:p>
    <w:p>
      <w:pPr>
        <w:pStyle w:val="BookText"/>
      </w:pPr>
      <w:r>
        <w:rPr>
          <w:rFonts w:ascii="Amiri" w:hAnsi="Amiri" w:eastAsia="Amiri" w:cs="Amiri"/>
          <w:lang w:bidi="ar-SA"/>
          <w:color w:val="111111"/>
          <w:sz w:val="28"/>
          <w:szCs w:val="28"/>
          <w:rtl/>
        </w:rPr>
        <w:t xml:space="preserve">الاحاديث = الفوائد المنتقاة من</w:t>
      </w:r>
    </w:p>
    <w:p>
      <w:pPr>
        <w:pStyle w:val="BookText"/>
      </w:pPr>
      <w:r>
        <w:rPr>
          <w:rFonts w:ascii="IRNazanin" w:hAnsi="IRNazanin" w:eastAsia="IRNazanin" w:cs="IRNazanin"/>
          <w:lang w:bidi="fa-IR"/>
          <w:color w:val="111111"/>
          <w:sz w:val="28"/>
          <w:szCs w:val="28"/>
          <w:rtl/>
        </w:rPr>
        <w:t xml:space="preserve">حدیث ابن ماسي، ج1، ص389.</w:t>
      </w:r>
    </w:p>
    <w:p>
      <w:pPr>
        <w:pStyle w:val="Heading2"/>
      </w:pPr>
      <w:bookmarkStart w:id="1649" w:name="_Toc751"/>
      <w:r>
        <w:t>ابن ماكولا ، علي بن هبة الله، 421-475ه-</w:t>
      </w:r>
      <w:bookmarkEnd w:id="1649"/>
    </w:p>
    <w:p>
      <w:pPr>
        <w:pStyle w:val="BookText"/>
      </w:pPr>
      <w:r>
        <w:rPr>
          <w:rFonts w:ascii="Amiri" w:hAnsi="Amiri" w:eastAsia="Amiri" w:cs="Amiri"/>
          <w:lang w:bidi="ar-SA"/>
          <w:color w:val="111111"/>
          <w:sz w:val="28"/>
          <w:szCs w:val="28"/>
          <w:rtl/>
        </w:rPr>
        <w:t xml:space="preserve">1 .الاكمال في رفع الارتياب، ج2،</w:t>
      </w:r>
    </w:p>
    <w:p>
      <w:pPr>
        <w:pStyle w:val="BookText"/>
      </w:pPr>
      <w:r>
        <w:rPr>
          <w:rFonts w:ascii="IRNazanin" w:hAnsi="IRNazanin" w:eastAsia="IRNazanin" w:cs="IRNazanin"/>
          <w:lang w:bidi="fa-IR"/>
          <w:color w:val="111111"/>
          <w:sz w:val="28"/>
          <w:szCs w:val="28"/>
          <w:rtl/>
        </w:rPr>
        <w:t xml:space="preserve">ص 658 .</w:t>
      </w:r>
    </w:p>
    <w:p>
      <w:pPr>
        <w:pStyle w:val="BookText"/>
      </w:pPr>
      <w:r>
        <w:rPr>
          <w:rFonts w:ascii="Amiri" w:hAnsi="Amiri" w:eastAsia="Amiri" w:cs="Amiri"/>
          <w:lang w:bidi="ar-SA"/>
          <w:color w:val="111111"/>
          <w:sz w:val="28"/>
          <w:szCs w:val="28"/>
          <w:rtl/>
        </w:rPr>
        <w:t xml:space="preserve">2 .تهذيب مستمر الاوهام على ذوي</w:t>
      </w:r>
    </w:p>
    <w:p>
      <w:pPr>
        <w:pStyle w:val="BookText"/>
      </w:pPr>
      <w:r>
        <w:rPr>
          <w:rFonts w:ascii="Amiri" w:hAnsi="Amiri" w:eastAsia="Amiri" w:cs="Amiri"/>
          <w:lang w:bidi="ar-SA"/>
          <w:color w:val="111111"/>
          <w:sz w:val="28"/>
          <w:szCs w:val="28"/>
          <w:rtl/>
        </w:rPr>
        <w:t xml:space="preserve">المعرفة و اولي الافهام، جه ،</w:t>
      </w:r>
    </w:p>
    <w:p>
      <w:pPr>
        <w:pStyle w:val="BookText"/>
      </w:pPr>
      <w:r>
        <w:rPr>
          <w:rFonts w:ascii="IRNazanin" w:hAnsi="IRNazanin" w:eastAsia="IRNazanin" w:cs="IRNazanin"/>
          <w:lang w:bidi="fa-IR"/>
          <w:color w:val="111111"/>
          <w:sz w:val="28"/>
          <w:szCs w:val="28"/>
          <w:rtl/>
        </w:rPr>
        <w:t xml:space="preserve">ص123.</w:t>
      </w:r>
    </w:p>
    <w:p>
      <w:pPr>
        <w:pStyle w:val="Heading2"/>
      </w:pPr>
      <w:bookmarkStart w:id="1650" w:name="_Toc752"/>
      <w:r>
        <w:t>ابن مالك ، محمّد بن عبدالله 600-672ه-</w:t>
      </w:r>
      <w:bookmarkEnd w:id="1650"/>
    </w:p>
    <w:p>
      <w:pPr>
        <w:pStyle w:val="BookText"/>
      </w:pPr>
      <w:r>
        <w:rPr>
          <w:rFonts w:ascii="Amiri" w:hAnsi="Amiri" w:eastAsia="Amiri" w:cs="Amiri"/>
          <w:lang w:bidi="ar-SA"/>
          <w:color w:val="111111"/>
          <w:sz w:val="28"/>
          <w:szCs w:val="28"/>
          <w:rtl/>
        </w:rPr>
        <w:t xml:space="preserve">1 .الاعتضاد في الظاء و الضاد، ج 2،</w:t>
      </w:r>
    </w:p>
    <w:p>
      <w:pPr>
        <w:pStyle w:val="BookText"/>
      </w:pPr>
      <w:r>
        <w:rPr>
          <w:rFonts w:ascii="IRNazanin" w:hAnsi="IRNazanin" w:eastAsia="IRNazanin" w:cs="IRNazanin"/>
          <w:lang w:bidi="fa-IR"/>
          <w:color w:val="111111"/>
          <w:sz w:val="28"/>
          <w:szCs w:val="28"/>
          <w:rtl/>
        </w:rPr>
        <w:t xml:space="preserve">ص 498 .</w:t>
      </w:r>
    </w:p>
    <w:p>
      <w:pPr>
        <w:pStyle w:val="BookText"/>
      </w:pPr>
      <w:r>
        <w:rPr>
          <w:rFonts w:ascii="Amiri" w:hAnsi="Amiri" w:eastAsia="Amiri" w:cs="Amiri"/>
          <w:lang w:bidi="ar-SA"/>
          <w:color w:val="111111"/>
          <w:sz w:val="28"/>
          <w:szCs w:val="28"/>
          <w:rtl/>
        </w:rPr>
        <w:t xml:space="preserve">2 .اعجاز التعريف في علم التصريف</w:t>
      </w:r>
    </w:p>
    <w:p>
      <w:pPr>
        <w:pStyle w:val="BookText"/>
      </w:pPr>
      <w:r>
        <w:rPr>
          <w:rFonts w:ascii="IRNazanin" w:hAnsi="IRNazanin" w:eastAsia="IRNazanin" w:cs="IRNazanin"/>
          <w:lang w:bidi="fa-IR"/>
          <w:color w:val="111111"/>
          <w:sz w:val="28"/>
          <w:szCs w:val="28"/>
          <w:rtl/>
        </w:rPr>
        <w:t xml:space="preserve">ج 2، ص 521.</w:t>
      </w:r>
    </w:p>
    <w:p>
      <w:pPr>
        <w:pStyle w:val="BookText"/>
      </w:pPr>
      <w:r>
        <w:rPr>
          <w:rFonts w:ascii="Amiri" w:hAnsi="Amiri" w:eastAsia="Amiri" w:cs="Amiri"/>
          <w:lang w:bidi="ar-SA"/>
          <w:color w:val="111111"/>
          <w:sz w:val="28"/>
          <w:szCs w:val="28"/>
          <w:rtl/>
        </w:rPr>
        <w:t xml:space="preserve">3 .الالفاظ المختلفة في المؤتلفة، ج 2،</w:t>
      </w:r>
    </w:p>
    <w:p>
      <w:pPr>
        <w:pStyle w:val="BookText"/>
      </w:pPr>
      <w:r>
        <w:rPr>
          <w:rFonts w:ascii="IRNazanin" w:hAnsi="IRNazanin" w:eastAsia="IRNazanin" w:cs="IRNazanin"/>
          <w:lang w:bidi="fa-IR"/>
          <w:color w:val="111111"/>
          <w:sz w:val="28"/>
          <w:szCs w:val="28"/>
          <w:rtl/>
        </w:rPr>
        <w:t xml:space="preserve">ص 679 .</w:t>
      </w:r>
    </w:p>
    <w:p>
      <w:pPr>
        <w:pStyle w:val="BookText"/>
      </w:pPr>
      <w:r>
        <w:rPr>
          <w:rFonts w:ascii="Amiri" w:hAnsi="Amiri" w:eastAsia="Amiri" w:cs="Amiri"/>
          <w:lang w:bidi="ar-SA"/>
          <w:color w:val="111111"/>
          <w:sz w:val="28"/>
          <w:szCs w:val="28"/>
          <w:rtl/>
        </w:rPr>
        <w:t xml:space="preserve">4 .ايجاز التعريف الضروري التصريف</w:t>
      </w:r>
    </w:p>
    <w:p>
      <w:pPr>
        <w:pStyle w:val="BookText"/>
      </w:pPr>
      <w:r>
        <w:rPr>
          <w:rFonts w:ascii="Amiri" w:hAnsi="Amiri" w:eastAsia="Amiri" w:cs="Amiri"/>
          <w:lang w:bidi="ar-SA"/>
          <w:color w:val="111111"/>
          <w:sz w:val="28"/>
          <w:szCs w:val="28"/>
          <w:rtl/>
        </w:rPr>
        <w:t xml:space="preserve">الايجاز، ج 3، ص 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المودود في المقصور و</w:t>
      </w:r>
    </w:p>
    <w:p>
      <w:pPr>
        <w:pStyle w:val="BookText"/>
      </w:pPr>
      <w:r>
        <w:rPr>
          <w:rFonts w:ascii="IRNazanin" w:hAnsi="IRNazanin" w:eastAsia="IRNazanin" w:cs="IRNazanin"/>
          <w:lang w:bidi="fa-IR"/>
          <w:color w:val="111111"/>
          <w:sz w:val="28"/>
          <w:szCs w:val="28"/>
          <w:rtl/>
        </w:rPr>
        <w:t xml:space="preserve">الممدود، ج4، ص33.</w:t>
      </w:r>
    </w:p>
    <w:p>
      <w:pPr>
        <w:pStyle w:val="BookText"/>
      </w:pPr>
      <w:r>
        <w:rPr>
          <w:rFonts w:ascii="Amiri" w:hAnsi="Amiri" w:eastAsia="Amiri" w:cs="Amiri"/>
          <w:lang w:bidi="ar-SA"/>
          <w:color w:val="111111"/>
          <w:sz w:val="28"/>
          <w:szCs w:val="28"/>
          <w:rtl/>
        </w:rPr>
        <w:t xml:space="preserve">6 .تسهيل الفوائد و تكميل المقاصد</w:t>
      </w:r>
    </w:p>
    <w:p>
      <w:pPr>
        <w:pStyle w:val="BookText"/>
      </w:pPr>
      <w:r>
        <w:rPr>
          <w:rFonts w:ascii="IRNazanin" w:hAnsi="IRNazanin" w:eastAsia="IRNazanin" w:cs="IRNazanin"/>
          <w:lang w:bidi="fa-IR"/>
          <w:color w:val="111111"/>
          <w:sz w:val="28"/>
          <w:szCs w:val="28"/>
          <w:rtl/>
        </w:rPr>
        <w:t xml:space="preserve">ج 4 ، ص 352.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تمهيد القواعد في شرح تسهيل الفوائد و تكميل المقاصد، ج5،</w:t>
      </w:r>
    </w:p>
    <w:p>
      <w:pPr>
        <w:pStyle w:val="BookText"/>
      </w:pPr>
      <w:r>
        <w:rPr>
          <w:rFonts w:ascii="IRNazanin" w:hAnsi="IRNazanin" w:eastAsia="IRNazanin" w:cs="IRNazanin"/>
          <w:lang w:bidi="fa-IR"/>
          <w:color w:val="111111"/>
          <w:sz w:val="28"/>
          <w:szCs w:val="28"/>
          <w:rtl/>
        </w:rPr>
        <w:t xml:space="preserve">ص .</w:t>
      </w:r>
    </w:p>
    <w:p>
      <w:pPr>
        <w:pStyle w:val="BookText"/>
      </w:pPr>
      <w:r>
        <w:rPr>
          <w:rFonts w:ascii="Amiri" w:hAnsi="Amiri" w:eastAsia="Amiri" w:cs="Amiri"/>
          <w:lang w:bidi="ar-SA"/>
          <w:color w:val="111111"/>
          <w:sz w:val="28"/>
          <w:szCs w:val="28"/>
          <w:rtl/>
        </w:rPr>
        <w:t xml:space="preserve">8 .جواب القسم (ارجوزة في)، جه،</w:t>
      </w:r>
    </w:p>
    <w:p>
      <w:pPr>
        <w:pStyle w:val="BookText"/>
      </w:pPr>
      <w:r>
        <w:rPr>
          <w:rFonts w:ascii="IRNazanin" w:hAnsi="IRNazanin" w:eastAsia="IRNazanin" w:cs="IRNazanin"/>
          <w:lang w:bidi="fa-IR"/>
          <w:color w:val="111111"/>
          <w:sz w:val="28"/>
          <w:szCs w:val="28"/>
          <w:rtl/>
        </w:rPr>
        <w:t xml:space="preserve">ص 506.</w:t>
      </w:r>
    </w:p>
    <w:p>
      <w:pPr>
        <w:pStyle w:val="BookText"/>
      </w:pPr>
      <w:r>
        <w:rPr>
          <w:rFonts w:ascii="Amiri" w:hAnsi="Amiri" w:eastAsia="Amiri" w:cs="Amiri"/>
          <w:lang w:bidi="ar-SA"/>
          <w:color w:val="111111"/>
          <w:sz w:val="28"/>
          <w:szCs w:val="28"/>
          <w:rtl/>
        </w:rPr>
        <w:t xml:space="preserve">9 .الخلاصة في النحو = الفية ابن مالك</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الالفية في النحو، ج7، ص 125.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تحفة المودود في المقصور و</w:t>
      </w:r>
    </w:p>
    <w:p>
      <w:pPr>
        <w:pStyle w:val="BookText"/>
      </w:pPr>
      <w:r>
        <w:rPr>
          <w:rFonts w:ascii="IRNazanin" w:hAnsi="IRNazanin" w:eastAsia="IRNazanin" w:cs="IRNazanin"/>
          <w:lang w:bidi="fa-IR"/>
          <w:color w:val="111111"/>
          <w:sz w:val="28"/>
          <w:szCs w:val="28"/>
          <w:rtl/>
        </w:rPr>
        <w:t xml:space="preserve">الممدود، ج 9، ص321.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عمدة الحافظ وعدة اللافظ</w:t>
      </w:r>
    </w:p>
    <w:p>
      <w:pPr>
        <w:pStyle w:val="BookText"/>
      </w:pPr>
      <w:r>
        <w:rPr>
          <w:rFonts w:ascii="IRNazanin" w:hAnsi="IRNazanin" w:eastAsia="IRNazanin" w:cs="IRNazanin"/>
          <w:lang w:bidi="fa-IR"/>
          <w:color w:val="111111"/>
          <w:sz w:val="28"/>
          <w:szCs w:val="28"/>
          <w:rtl/>
        </w:rPr>
        <w:t xml:space="preserve">ج 9، ص 750.</w:t>
      </w:r>
    </w:p>
    <w:p>
      <w:pPr>
        <w:pStyle w:val="BookText"/>
      </w:pPr>
      <w:r>
        <w:rPr>
          <w:rFonts w:ascii="Amiri" w:hAnsi="Amiri" w:eastAsia="Amiri" w:cs="Amiri"/>
          <w:lang w:bidi="ar-SA"/>
          <w:color w:val="111111"/>
          <w:sz w:val="28"/>
          <w:szCs w:val="28"/>
          <w:rtl/>
        </w:rPr>
        <w:t xml:space="preserve">12 .شواهد التوضيح والتصحيح لمشكلات الجامع الصحيح، ج 10،</w:t>
      </w:r>
    </w:p>
    <w:p>
      <w:pPr>
        <w:pStyle w:val="BookText"/>
      </w:pPr>
      <w:r>
        <w:rPr>
          <w:rFonts w:ascii="IRNazanin" w:hAnsi="IRNazanin" w:eastAsia="IRNazanin" w:cs="IRNazanin"/>
          <w:lang w:bidi="fa-IR"/>
          <w:color w:val="111111"/>
          <w:sz w:val="28"/>
          <w:szCs w:val="28"/>
          <w:rtl/>
        </w:rPr>
        <w:t xml:space="preserve">ص 448 .</w:t>
      </w:r>
    </w:p>
    <w:p>
      <w:pPr>
        <w:pStyle w:val="BookText"/>
      </w:pPr>
      <w:r>
        <w:rPr>
          <w:rFonts w:ascii="Amiri" w:hAnsi="Amiri" w:eastAsia="Amiri" w:cs="Amiri"/>
          <w:lang w:bidi="ar-SA"/>
          <w:color w:val="111111"/>
          <w:sz w:val="28"/>
          <w:szCs w:val="28"/>
          <w:rtl/>
        </w:rPr>
        <w:t xml:space="preserve">13 .الكافية الشافية، ج13، ص 57.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لامية الافعال = المفتاح بابنية</w:t>
      </w:r>
    </w:p>
    <w:p>
      <w:pPr>
        <w:pStyle w:val="BookText"/>
      </w:pPr>
      <w:r>
        <w:rPr>
          <w:rFonts w:ascii="IRNazanin" w:hAnsi="IRNazanin" w:eastAsia="IRNazanin" w:cs="IRNazanin"/>
          <w:lang w:bidi="fa-IR"/>
          <w:color w:val="111111"/>
          <w:sz w:val="28"/>
          <w:szCs w:val="28"/>
          <w:rtl/>
        </w:rPr>
        <w:t xml:space="preserve">الافعال، ج 13، ص 526.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3" w:name="pg7742_69586"/>
    <w:bookmarkEnd w:id="113"/>
    <w:p>
      <w:pPr>
        <w:pStyle w:val="BookText"/>
      </w:pPr>
      <w:r>
        <w:rPr>
          <w:rFonts w:ascii="Amiri" w:hAnsi="Amiri" w:eastAsia="Amiri" w:cs="Amiri"/>
          <w:lang w:bidi="ar-SA"/>
          <w:color w:val="111111"/>
          <w:sz w:val="28"/>
          <w:szCs w:val="28"/>
          <w:rtl/>
        </w:rPr>
        <w:t xml:space="preserve">15 .المصباح في اختصار المفتاح، ج 14،</w:t>
      </w:r>
    </w:p>
    <w:p>
      <w:pPr>
        <w:pStyle w:val="BookText"/>
      </w:pPr>
      <w:r>
        <w:rPr>
          <w:rFonts w:ascii="IRNazanin" w:hAnsi="IRNazanin" w:eastAsia="IRNazanin" w:cs="IRNazanin"/>
          <w:lang w:bidi="fa-IR"/>
          <w:color w:val="111111"/>
          <w:sz w:val="28"/>
          <w:szCs w:val="28"/>
          <w:rtl/>
        </w:rPr>
        <w:t xml:space="preserve">ص 724.</w:t>
      </w:r>
    </w:p>
    <w:p>
      <w:pPr>
        <w:pStyle w:val="BookText"/>
      </w:pPr>
      <w:r>
        <w:rPr>
          <w:rFonts w:ascii="Amiri" w:hAnsi="Amiri" w:eastAsia="Amiri" w:cs="Amiri"/>
          <w:lang w:bidi="ar-SA"/>
          <w:color w:val="111111"/>
          <w:sz w:val="28"/>
          <w:szCs w:val="28"/>
          <w:rtl/>
        </w:rPr>
        <w:t xml:space="preserve">16 .المقدمة الاسدية، ج 15، ص 349.</w:t>
      </w:r>
    </w:p>
    <w:p>
      <w:pPr>
        <w:pStyle w:val="BookText"/>
      </w:pPr>
      <w:r>
        <w:rPr>
          <w:rFonts w:ascii="Amiri" w:hAnsi="Amiri" w:eastAsia="Amiri" w:cs="Amiri"/>
          <w:lang w:bidi="ar-SA"/>
          <w:color w:val="111111"/>
          <w:sz w:val="28"/>
          <w:szCs w:val="28"/>
          <w:rtl/>
        </w:rPr>
        <w:t xml:space="preserve">17 .نظم الكفاية، ج 16 ، ص358.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همزية جمال الدين ج 16،</w:t>
      </w:r>
    </w:p>
    <w:p>
      <w:pPr>
        <w:pStyle w:val="BookText"/>
      </w:pPr>
      <w:r>
        <w:rPr>
          <w:rFonts w:ascii="IRNazanin" w:hAnsi="IRNazanin" w:eastAsia="IRNazanin" w:cs="IRNazanin"/>
          <w:lang w:bidi="fa-IR"/>
          <w:color w:val="111111"/>
          <w:sz w:val="28"/>
          <w:szCs w:val="28"/>
          <w:rtl/>
        </w:rPr>
        <w:t xml:space="preserve">ص 651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الوافية في شرح الكافية الشافية</w:t>
      </w:r>
    </w:p>
    <w:p>
      <w:pPr>
        <w:pStyle w:val="BookText"/>
      </w:pPr>
      <w:r>
        <w:rPr>
          <w:rFonts w:ascii="IRNazanin" w:hAnsi="IRNazanin" w:eastAsia="IRNazanin" w:cs="IRNazanin"/>
          <w:lang w:bidi="fa-IR"/>
          <w:color w:val="111111"/>
          <w:sz w:val="28"/>
          <w:szCs w:val="28"/>
          <w:rtl/>
        </w:rPr>
        <w:t xml:space="preserve">ج 16، ص 713.</w:t>
      </w:r>
    </w:p>
    <w:p>
      <w:pPr>
        <w:pStyle w:val="Heading2"/>
      </w:pPr>
      <w:bookmarkStart w:id="1651" w:name="_Toc753"/>
      <w:r>
        <w:t>ابن مالك ، محمّد بن محمّد - 686 ه-</w:t>
      </w:r>
      <w:bookmarkEnd w:id="1651"/>
    </w:p>
    <w:p>
      <w:pPr>
        <w:pStyle w:val="BookText"/>
      </w:pPr>
      <w:r>
        <w:rPr>
          <w:rFonts w:ascii="Amiri" w:hAnsi="Amiri" w:eastAsia="Amiri" w:cs="Amiri"/>
          <w:lang w:bidi="ar-SA"/>
          <w:color w:val="111111"/>
          <w:sz w:val="28"/>
          <w:szCs w:val="28"/>
          <w:rtl/>
        </w:rPr>
        <w:t xml:space="preserve">1 .الدرة المضيئة في شرح الالفية =</w:t>
      </w:r>
    </w:p>
    <w:p>
      <w:pPr>
        <w:pStyle w:val="BookText"/>
      </w:pPr>
      <w:r>
        <w:rPr>
          <w:rFonts w:ascii="IRNazanin" w:hAnsi="IRNazanin" w:eastAsia="IRNazanin" w:cs="IRNazanin"/>
          <w:lang w:bidi="fa-IR"/>
          <w:color w:val="111111"/>
          <w:sz w:val="28"/>
          <w:szCs w:val="28"/>
          <w:rtl/>
        </w:rPr>
        <w:t xml:space="preserve">شرح ابن ناظم، ج 7، ص 257.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لامية الافعال = شرح قصيدة</w:t>
      </w:r>
    </w:p>
    <w:p>
      <w:pPr>
        <w:pStyle w:val="BookText"/>
      </w:pPr>
      <w:r>
        <w:rPr>
          <w:rFonts w:ascii="Amiri" w:hAnsi="Amiri" w:eastAsia="Amiri" w:cs="Amiri"/>
          <w:lang w:bidi="ar-SA"/>
          <w:color w:val="111111"/>
          <w:sz w:val="28"/>
          <w:szCs w:val="28"/>
          <w:rtl/>
        </w:rPr>
        <w:t xml:space="preserve">ابنية الافعال، ج 10، ص73.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العروض (رسالة في)، ج 11، ص 94 .</w:t>
      </w:r>
    </w:p>
    <w:p>
      <w:pPr>
        <w:pStyle w:val="BookText"/>
      </w:pPr>
      <w:r>
        <w:rPr>
          <w:rFonts w:ascii="Amiri" w:hAnsi="Amiri" w:eastAsia="Amiri" w:cs="Amiri"/>
          <w:lang w:bidi="ar-SA"/>
          <w:color w:val="111111"/>
          <w:sz w:val="28"/>
          <w:szCs w:val="28"/>
          <w:rtl/>
        </w:rPr>
        <w:t xml:space="preserve">4 المصباح في المعاني والبيان، ج 14،</w:t>
      </w:r>
    </w:p>
    <w:p>
      <w:pPr>
        <w:pStyle w:val="BookText"/>
      </w:pPr>
      <w:r>
        <w:rPr>
          <w:rFonts w:ascii="IRNazanin" w:hAnsi="IRNazanin" w:eastAsia="IRNazanin" w:cs="IRNazanin"/>
          <w:lang w:bidi="fa-IR"/>
          <w:color w:val="111111"/>
          <w:sz w:val="28"/>
          <w:szCs w:val="28"/>
          <w:rtl/>
        </w:rPr>
        <w:t xml:space="preserve">ص 728.</w:t>
      </w:r>
    </w:p>
    <w:p>
      <w:pPr>
        <w:pStyle w:val="Heading2"/>
      </w:pPr>
      <w:bookmarkStart w:id="1652" w:name="_Toc754"/>
      <w:r>
        <w:t>ابن ماهيار ، محمّد بن عباس قرن 4 ه-</w:t>
      </w:r>
      <w:bookmarkEnd w:id="1652"/>
    </w:p>
    <w:p>
      <w:pPr>
        <w:pStyle w:val="BookText"/>
      </w:pPr>
      <w:r>
        <w:rPr>
          <w:rFonts w:ascii="Amiri" w:hAnsi="Amiri" w:eastAsia="Amiri" w:cs="Amiri"/>
          <w:lang w:bidi="ar-SA"/>
          <w:color w:val="111111"/>
          <w:sz w:val="28"/>
          <w:szCs w:val="28"/>
          <w:rtl/>
        </w:rPr>
        <w:t xml:space="preserve">1 .تفسير ابن الحجام، ج4، ص 595.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نزل من القرآن في الأئمة، ج13،</w:t>
      </w:r>
    </w:p>
    <w:p>
      <w:pPr>
        <w:pStyle w:val="BookText"/>
      </w:pPr>
      <w:r>
        <w:rPr>
          <w:rFonts w:ascii="IRNazanin" w:hAnsi="IRNazanin" w:eastAsia="IRNazanin" w:cs="IRNazanin"/>
          <w:lang w:bidi="fa-IR"/>
          <w:color w:val="111111"/>
          <w:sz w:val="28"/>
          <w:szCs w:val="28"/>
          <w:rtl/>
        </w:rPr>
        <w:t xml:space="preserve">ص 687 .</w:t>
      </w:r>
    </w:p>
    <w:p>
      <w:pPr>
        <w:pStyle w:val="BookText"/>
      </w:pPr>
      <w:r>
        <w:rPr>
          <w:rFonts w:ascii="IRNazanin" w:hAnsi="IRNazanin" w:eastAsia="IRNazanin" w:cs="IRNazanin"/>
          <w:lang w:bidi="fa-IR"/>
          <w:color w:val="111111"/>
          <w:sz w:val="28"/>
          <w:szCs w:val="28"/>
          <w:rtl/>
        </w:rPr>
        <w:t xml:space="preserve">ابن مبارکشاه ، شمس الدين محمّد ميرك</w:t>
      </w:r>
    </w:p>
    <w:p>
      <w:pPr>
        <w:pStyle w:val="BookText"/>
      </w:pPr>
      <w:r>
        <w:rPr>
          <w:rFonts w:ascii="Amiri" w:hAnsi="Amiri" w:eastAsia="Amiri" w:cs="Amiri"/>
          <w:lang w:bidi="ar-SA"/>
          <w:color w:val="111111"/>
          <w:sz w:val="28"/>
          <w:szCs w:val="28"/>
          <w:rtl/>
        </w:rPr>
        <w:t xml:space="preserve">بخاري ، محمّد بن مباركشاه</w:t>
      </w:r>
    </w:p>
    <w:p>
      <w:pPr>
        <w:pStyle w:val="Heading2"/>
      </w:pPr>
      <w:bookmarkStart w:id="1653" w:name="_Toc755"/>
      <w:r>
        <w:t>ابن مبارك عبدالله بن مبارك، 118-181ه-</w:t>
      </w:r>
      <w:bookmarkEnd w:id="1653"/>
    </w:p>
    <w:p>
      <w:pPr>
        <w:pStyle w:val="BookText"/>
      </w:pPr>
      <w:r>
        <w:rPr>
          <w:rFonts w:ascii="IRNazanin" w:hAnsi="IRNazanin" w:eastAsia="IRNazanin" w:cs="IRNazanin"/>
          <w:lang w:bidi="fa-IR"/>
          <w:color w:val="111111"/>
          <w:sz w:val="28"/>
          <w:szCs w:val="28"/>
          <w:rtl/>
        </w:rPr>
        <w:t xml:space="preserve">1 .الجهاد، ج 5، ص 476.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قصة مريم الصامتة التي تتكلم</w:t>
      </w:r>
    </w:p>
    <w:p>
      <w:pPr>
        <w:pStyle w:val="BookText"/>
      </w:pPr>
      <w:r>
        <w:rPr>
          <w:rFonts w:ascii="IRNazanin" w:hAnsi="IRNazanin" w:eastAsia="IRNazanin" w:cs="IRNazanin"/>
          <w:lang w:bidi="fa-IR"/>
          <w:color w:val="111111"/>
          <w:sz w:val="28"/>
          <w:szCs w:val="28"/>
          <w:rtl/>
        </w:rPr>
        <w:t xml:space="preserve">بالقرآن، ج 12، ص 616.</w:t>
      </w:r>
    </w:p>
    <w:p>
      <w:pPr>
        <w:pStyle w:val="BookText"/>
      </w:pPr>
      <w:r>
        <w:rPr>
          <w:rFonts w:ascii="IRNazanin" w:hAnsi="IRNazanin" w:eastAsia="IRNazanin" w:cs="IRNazanin"/>
          <w:lang w:bidi="fa-IR"/>
          <w:color w:val="111111"/>
          <w:sz w:val="28"/>
          <w:szCs w:val="28"/>
          <w:rtl/>
        </w:rPr>
        <w:t xml:space="preserve">المسند، ج 14، ص 587.</w:t>
      </w:r>
    </w:p>
    <w:p>
      <w:pPr>
        <w:pStyle w:val="Heading2"/>
      </w:pPr>
      <w:bookmarkStart w:id="1654" w:name="_Toc756"/>
      <w:r>
        <w:t>ابن مبارك ، محمّد بن سليمان - 754 ه-</w:t>
      </w:r>
      <w:bookmarkEnd w:id="1654"/>
    </w:p>
    <w:p>
      <w:pPr>
        <w:pStyle w:val="BookText"/>
      </w:pPr>
      <w:r>
        <w:rPr>
          <w:rFonts w:ascii="Amiri" w:hAnsi="Amiri" w:eastAsia="Amiri" w:cs="Amiri"/>
          <w:lang w:bidi="ar-SA"/>
          <w:color w:val="111111"/>
          <w:sz w:val="28"/>
          <w:szCs w:val="28"/>
          <w:rtl/>
        </w:rPr>
        <w:t xml:space="preserve">1 .حاشية شرح العضدية، ج 6،</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الفوائد الغياثية، ج9، ص810.</w:t>
      </w:r>
    </w:p>
    <w:p>
      <w:pPr>
        <w:pStyle w:val="Heading2"/>
      </w:pPr>
      <w:bookmarkStart w:id="1655" w:name="_Toc757"/>
      <w:r>
        <w:t>ابن مبرد ، يوسف بن حسن، 840-909ه-</w:t>
      </w:r>
      <w:bookmarkEnd w:id="1655"/>
    </w:p>
    <w:p>
      <w:pPr>
        <w:pStyle w:val="BookText"/>
      </w:pPr>
      <w:r>
        <w:rPr>
          <w:rFonts w:ascii="Amiri" w:hAnsi="Amiri" w:eastAsia="Amiri" w:cs="Amiri"/>
          <w:lang w:bidi="ar-SA"/>
          <w:color w:val="111111"/>
          <w:sz w:val="28"/>
          <w:szCs w:val="28"/>
          <w:rtl/>
        </w:rPr>
        <w:t xml:space="preserve">1 .ثمار الأخبار و الحكايات و الأشعار</w:t>
      </w:r>
    </w:p>
    <w:p>
      <w:pPr>
        <w:pStyle w:val="BookText"/>
      </w:pPr>
      <w:r>
        <w:rPr>
          <w:rFonts w:ascii="IRNazanin" w:hAnsi="IRNazanin" w:eastAsia="IRNazanin" w:cs="IRNazanin"/>
          <w:lang w:bidi="fa-IR"/>
          <w:color w:val="111111"/>
          <w:sz w:val="28"/>
          <w:szCs w:val="28"/>
          <w:rtl/>
        </w:rPr>
        <w:t xml:space="preserve">ج 5، ص 225.</w:t>
      </w:r>
    </w:p>
    <w:p>
      <w:pPr>
        <w:pStyle w:val="BookText"/>
      </w:pPr>
      <w:r>
        <w:rPr>
          <w:rFonts w:ascii="IRNazanin" w:hAnsi="IRNazanin" w:eastAsia="IRNazanin" w:cs="IRNazanin"/>
          <w:lang w:bidi="fa-IR"/>
          <w:color w:val="111111"/>
          <w:sz w:val="28"/>
          <w:szCs w:val="28"/>
          <w:rtl/>
        </w:rPr>
        <w:t xml:space="preserve">2 .ذم الهوى، ج 7، ص 867.</w:t>
      </w:r>
    </w:p>
    <w:p>
      <w:pPr>
        <w:pStyle w:val="BookText"/>
      </w:pPr>
      <w:r>
        <w:rPr>
          <w:rFonts w:ascii="Amiri" w:hAnsi="Amiri" w:eastAsia="Amiri" w:cs="Amiri"/>
          <w:lang w:bidi="ar-SA"/>
          <w:color w:val="111111"/>
          <w:sz w:val="28"/>
          <w:szCs w:val="28"/>
          <w:rtl/>
        </w:rPr>
        <w:t xml:space="preserve">3 .المنيرة في حل مشكل السيرة، ج 15،</w:t>
      </w:r>
    </w:p>
    <w:p>
      <w:pPr>
        <w:pStyle w:val="BookText"/>
      </w:pPr>
      <w:r>
        <w:rPr>
          <w:rFonts w:ascii="IRNazanin" w:hAnsi="IRNazanin" w:eastAsia="IRNazanin" w:cs="IRNazanin"/>
          <w:lang w:bidi="fa-IR"/>
          <w:color w:val="111111"/>
          <w:sz w:val="28"/>
          <w:szCs w:val="28"/>
          <w:rtl/>
        </w:rPr>
        <w:t xml:space="preserve">ص 838.</w:t>
      </w:r>
    </w:p>
    <w:p>
      <w:pPr>
        <w:pStyle w:val="BookText"/>
      </w:pPr>
      <w:r>
        <w:rPr>
          <w:rFonts w:ascii="Amiri" w:hAnsi="Amiri" w:eastAsia="Amiri" w:cs="Amiri"/>
          <w:lang w:bidi="ar-SA"/>
          <w:color w:val="111111"/>
          <w:sz w:val="28"/>
          <w:szCs w:val="28"/>
          <w:rtl/>
        </w:rPr>
        <w:t xml:space="preserve">ابن مبرذع ، ابراهيم بن علي اصبحي :</w:t>
      </w:r>
    </w:p>
    <w:p>
      <w:pPr>
        <w:pStyle w:val="BookText"/>
      </w:pPr>
      <w:r>
        <w:rPr>
          <w:rFonts w:ascii="Amiri" w:hAnsi="Amiri" w:eastAsia="Amiri" w:cs="Amiri"/>
          <w:lang w:bidi="ar-SA"/>
          <w:color w:val="111111"/>
          <w:sz w:val="28"/>
          <w:szCs w:val="28"/>
          <w:rtl/>
        </w:rPr>
        <w:t xml:space="preserve">ابراهيم بن علي</w:t>
      </w:r>
    </w:p>
    <w:p>
      <w:pPr>
        <w:pStyle w:val="Heading2"/>
      </w:pPr>
      <w:bookmarkStart w:id="1656" w:name="_Toc758"/>
      <w:r>
        <w:t>ابن متفننه ، محمّد بن علي، 497-577 ه-</w:t>
      </w:r>
      <w:bookmarkEnd w:id="1656"/>
    </w:p>
    <w:p>
      <w:pPr>
        <w:pStyle w:val="BookText"/>
      </w:pPr>
      <w:r>
        <w:rPr>
          <w:rFonts w:ascii="Amiri" w:hAnsi="Amiri" w:eastAsia="Amiri" w:cs="Amiri"/>
          <w:lang w:bidi="ar-SA"/>
          <w:color w:val="111111"/>
          <w:sz w:val="28"/>
          <w:szCs w:val="28"/>
          <w:rtl/>
        </w:rPr>
        <w:t xml:space="preserve">بغية الباحث عن جمل الموارث =</w:t>
      </w:r>
    </w:p>
    <w:p>
      <w:pPr>
        <w:pStyle w:val="BookText"/>
      </w:pPr>
      <w:r>
        <w:rPr>
          <w:rFonts w:ascii="Amiri" w:hAnsi="Amiri" w:eastAsia="Amiri" w:cs="Amiri"/>
          <w:lang w:bidi="ar-SA"/>
          <w:color w:val="111111"/>
          <w:sz w:val="28"/>
          <w:szCs w:val="28"/>
          <w:rtl/>
        </w:rPr>
        <w:t xml:space="preserve">الارجوزة الرحبية، ج 3، ص 362.</w:t>
      </w:r>
    </w:p>
    <w:p>
      <w:pPr>
        <w:pStyle w:val="Heading2"/>
      </w:pPr>
      <w:bookmarkStart w:id="1657" w:name="_Toc759"/>
      <w:r>
        <w:t>ابن متوج، احمد بن عبدالله - 820 ه-</w:t>
      </w:r>
      <w:bookmarkEnd w:id="1657"/>
    </w:p>
    <w:p>
      <w:pPr>
        <w:pStyle w:val="BookText"/>
      </w:pPr>
      <w:r>
        <w:rPr>
          <w:rFonts w:ascii="Amiri" w:hAnsi="Amiri" w:eastAsia="Amiri" w:cs="Amiri"/>
          <w:lang w:bidi="ar-SA"/>
          <w:color w:val="111111"/>
          <w:sz w:val="28"/>
          <w:szCs w:val="28"/>
          <w:rtl/>
        </w:rPr>
        <w:t xml:space="preserve">1 .حرز الاقسام لدفع البلايا و الاسقام</w:t>
      </w:r>
    </w:p>
    <w:p>
      <w:pPr>
        <w:pStyle w:val="BookText"/>
      </w:pPr>
      <w:r>
        <w:rPr>
          <w:rFonts w:ascii="IRNazanin" w:hAnsi="IRNazanin" w:eastAsia="IRNazanin" w:cs="IRNazanin"/>
          <w:lang w:bidi="fa-IR"/>
          <w:color w:val="111111"/>
          <w:sz w:val="28"/>
          <w:szCs w:val="28"/>
          <w:rtl/>
        </w:rPr>
        <w:t xml:space="preserve">ج 6، ص 603.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الرضاعية، ج8، ص323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كفاية الطالبين في ما يجب على</w:t>
      </w:r>
    </w:p>
    <w:p>
      <w:pPr>
        <w:pStyle w:val="BookText"/>
      </w:pPr>
      <w:r>
        <w:rPr>
          <w:rFonts w:ascii="Amiri" w:hAnsi="Amiri" w:eastAsia="Amiri" w:cs="Amiri"/>
          <w:lang w:bidi="ar-SA"/>
          <w:color w:val="111111"/>
          <w:sz w:val="28"/>
          <w:szCs w:val="28"/>
          <w:rtl/>
        </w:rPr>
        <w:t xml:space="preserve">المكلفين، ج13، ص319.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 لا يسع المكلف الأخلال به، ج13،</w:t>
      </w:r>
    </w:p>
    <w:p>
      <w:pPr>
        <w:pStyle w:val="BookText"/>
      </w:pPr>
      <w:r>
        <w:rPr>
          <w:rFonts w:ascii="IRNazanin" w:hAnsi="IRNazanin" w:eastAsia="IRNazanin" w:cs="IRNazanin"/>
          <w:lang w:bidi="fa-IR"/>
          <w:color w:val="111111"/>
          <w:sz w:val="28"/>
          <w:szCs w:val="28"/>
          <w:rtl/>
        </w:rPr>
        <w:t xml:space="preserve">ص 685 .</w:t>
      </w:r>
    </w:p>
    <w:p>
      <w:pPr>
        <w:pStyle w:val="BookText"/>
      </w:pPr>
      <w:r>
        <w:rPr>
          <w:rFonts w:ascii="Amiri" w:hAnsi="Amiri" w:eastAsia="Amiri" w:cs="Amiri"/>
          <w:lang w:bidi="ar-SA"/>
          <w:color w:val="111111"/>
          <w:sz w:val="28"/>
          <w:szCs w:val="28"/>
          <w:rtl/>
        </w:rPr>
        <w:t xml:space="preserve">5 .منهاج الهداية، ج 15 ، ص 785.</w:t>
      </w:r>
    </w:p>
    <w:p>
      <w:pPr>
        <w:pStyle w:val="BookText"/>
      </w:pPr>
      <w:r>
        <w:rPr>
          <w:rFonts w:ascii="IRNazanin" w:hAnsi="IRNazanin" w:eastAsia="IRNazanin" w:cs="IRNazanin"/>
          <w:lang w:bidi="fa-IR"/>
          <w:color w:val="111111"/>
          <w:sz w:val="28"/>
          <w:szCs w:val="28"/>
          <w:rtl/>
        </w:rPr>
        <w:t xml:space="preserve">6 .الناسخ والمنسوخ، ج 16، ص88.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4" w:name="pg7742_69588"/>
    <w:bookmarkEnd w:id="114"/>
    <w:p>
      <w:pPr>
        <w:pStyle w:val="Heading2"/>
      </w:pPr>
      <w:bookmarkStart w:id="1658" w:name="_Toc760"/>
      <w:r>
        <w:t>ابن متويه ، احمد بن حسين قرن 5 ه-</w:t>
      </w:r>
      <w:bookmarkEnd w:id="1658"/>
    </w:p>
    <w:p>
      <w:pPr>
        <w:pStyle w:val="BookText"/>
      </w:pPr>
      <w:r>
        <w:rPr>
          <w:rFonts w:ascii="Amiri" w:hAnsi="Amiri" w:eastAsia="Amiri" w:cs="Amiri"/>
          <w:lang w:bidi="ar-SA"/>
          <w:color w:val="111111"/>
          <w:sz w:val="28"/>
          <w:szCs w:val="28"/>
          <w:rtl/>
        </w:rPr>
        <w:t xml:space="preserve">الصحف الادريسية، ج 10، ص 500.</w:t>
      </w:r>
    </w:p>
    <w:p>
      <w:pPr>
        <w:pStyle w:val="BookText"/>
      </w:pPr>
      <w:r>
        <w:rPr>
          <w:rFonts w:ascii="Amiri" w:hAnsi="Amiri" w:eastAsia="Amiri" w:cs="Amiri"/>
          <w:lang w:bidi="ar-SA"/>
          <w:color w:val="111111"/>
          <w:sz w:val="28"/>
          <w:szCs w:val="28"/>
          <w:rtl/>
        </w:rPr>
        <w:t xml:space="preserve">ابن متويه واحدي ، علي بن احمد واحدي ، علي بن احمد</w:t>
      </w:r>
    </w:p>
    <w:p>
      <w:pPr>
        <w:pStyle w:val="Heading2"/>
      </w:pPr>
      <w:bookmarkStart w:id="1659" w:name="_Toc761"/>
      <w:r>
        <w:t>ابن المثنى معمر بن المثنى، 110-209؟ه-</w:t>
      </w:r>
      <w:bookmarkEnd w:id="16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الخيل = كتاب الخيل، ج 7، ص197.</w:t>
      </w:r>
    </w:p>
    <w:p>
      <w:pPr>
        <w:pStyle w:val="BookText"/>
      </w:pPr>
      <w:r>
        <w:rPr>
          <w:rFonts w:ascii="IRNazanin" w:hAnsi="IRNazanin" w:eastAsia="IRNazanin" w:cs="IRNazanin"/>
          <w:lang w:bidi="fa-IR"/>
          <w:color w:val="111111"/>
          <w:sz w:val="28"/>
          <w:szCs w:val="28"/>
          <w:rtl/>
        </w:rPr>
        <w:t xml:space="preserve">2 .نقائض فرزدق و جریر ج 16،</w:t>
      </w:r>
    </w:p>
    <w:p>
      <w:pPr>
        <w:pStyle w:val="BookText"/>
      </w:pPr>
      <w:r>
        <w:rPr>
          <w:rFonts w:ascii="IRNazanin" w:hAnsi="IRNazanin" w:eastAsia="IRNazanin" w:cs="IRNazanin"/>
          <w:lang w:bidi="fa-IR"/>
          <w:color w:val="111111"/>
          <w:sz w:val="28"/>
          <w:szCs w:val="28"/>
          <w:rtl/>
        </w:rPr>
        <w:t xml:space="preserve">ص 411.</w:t>
      </w:r>
    </w:p>
    <w:p>
      <w:pPr>
        <w:pStyle w:val="Heading2"/>
      </w:pPr>
      <w:bookmarkStart w:id="1660" w:name="_Toc762"/>
      <w:r>
        <w:t>ابن مجاهد، احمد بن موسى 245 - 324 ه-</w:t>
      </w:r>
      <w:bookmarkEnd w:id="1660"/>
    </w:p>
    <w:p>
      <w:pPr>
        <w:pStyle w:val="BookText"/>
      </w:pPr>
      <w:r>
        <w:rPr>
          <w:rFonts w:ascii="Amiri" w:hAnsi="Amiri" w:eastAsia="Amiri" w:cs="Amiri"/>
          <w:lang w:bidi="ar-SA"/>
          <w:color w:val="111111"/>
          <w:sz w:val="28"/>
          <w:szCs w:val="28"/>
          <w:rtl/>
        </w:rPr>
        <w:t xml:space="preserve">الحجة في شرح القراءات السبعة، ج 6،</w:t>
      </w:r>
    </w:p>
    <w:p>
      <w:pPr>
        <w:pStyle w:val="BookText"/>
      </w:pPr>
      <w:r>
        <w:rPr>
          <w:rFonts w:ascii="IRNazanin" w:hAnsi="IRNazanin" w:eastAsia="IRNazanin" w:cs="IRNazanin"/>
          <w:lang w:bidi="fa-IR"/>
          <w:color w:val="111111"/>
          <w:sz w:val="28"/>
          <w:szCs w:val="28"/>
          <w:rtl/>
        </w:rPr>
        <w:t xml:space="preserve">ص 486.</w:t>
      </w:r>
    </w:p>
    <w:p>
      <w:pPr>
        <w:pStyle w:val="Heading2"/>
      </w:pPr>
      <w:bookmarkStart w:id="1661" w:name="_Toc763"/>
      <w:r>
        <w:t>ابن مجدي احمد بن رجب، 2767-850ه-</w:t>
      </w:r>
      <w:bookmarkEnd w:id="1661"/>
    </w:p>
    <w:p>
      <w:pPr>
        <w:pStyle w:val="BookText"/>
      </w:pPr>
      <w:r>
        <w:rPr>
          <w:rFonts w:ascii="IRNazanin" w:hAnsi="IRNazanin" w:eastAsia="IRNazanin" w:cs="IRNazanin"/>
          <w:lang w:bidi="fa-IR"/>
          <w:color w:val="111111"/>
          <w:sz w:val="28"/>
          <w:szCs w:val="28"/>
          <w:rtl/>
        </w:rPr>
        <w:t xml:space="preserve">1 .ارشاد السائل إلى أصول المسائل</w:t>
      </w:r>
    </w:p>
    <w:p>
      <w:pPr>
        <w:pStyle w:val="BookText"/>
      </w:pPr>
      <w:r>
        <w:rPr>
          <w:rFonts w:ascii="IRNazanin" w:hAnsi="IRNazanin" w:eastAsia="IRNazanin" w:cs="IRNazanin"/>
          <w:lang w:bidi="fa-IR"/>
          <w:color w:val="111111"/>
          <w:sz w:val="28"/>
          <w:szCs w:val="28"/>
          <w:rtl/>
        </w:rPr>
        <w:t xml:space="preserve">ج 2، ص 19.</w:t>
      </w:r>
    </w:p>
    <w:p>
      <w:pPr>
        <w:pStyle w:val="BookText"/>
      </w:pPr>
      <w:r>
        <w:rPr>
          <w:rFonts w:ascii="Amiri" w:hAnsi="Amiri" w:eastAsia="Amiri" w:cs="Amiri"/>
          <w:lang w:bidi="ar-SA"/>
          <w:color w:val="111111"/>
          <w:sz w:val="28"/>
          <w:szCs w:val="28"/>
          <w:rtl/>
        </w:rPr>
        <w:t xml:space="preserve">2 .بهجة الالباب في علم الاسطرلاب</w:t>
      </w:r>
    </w:p>
    <w:p>
      <w:pPr>
        <w:pStyle w:val="BookText"/>
      </w:pPr>
      <w:r>
        <w:rPr>
          <w:rFonts w:ascii="IRNazanin" w:hAnsi="IRNazanin" w:eastAsia="IRNazanin" w:cs="IRNazanin"/>
          <w:lang w:bidi="fa-IR"/>
          <w:color w:val="111111"/>
          <w:sz w:val="28"/>
          <w:szCs w:val="28"/>
          <w:rtl/>
        </w:rPr>
        <w:t xml:space="preserve">ج 3، ص 415.</w:t>
      </w:r>
    </w:p>
    <w:p>
      <w:pPr>
        <w:pStyle w:val="BookText"/>
      </w:pPr>
      <w:r>
        <w:rPr>
          <w:rFonts w:ascii="Amiri" w:hAnsi="Amiri" w:eastAsia="Amiri" w:cs="Amiri"/>
          <w:lang w:bidi="ar-SA"/>
          <w:color w:val="111111"/>
          <w:sz w:val="28"/>
          <w:szCs w:val="28"/>
          <w:rtl/>
        </w:rPr>
        <w:t xml:space="preserve">3 .تحفة الاحباب في نصب الباذاهنج و</w:t>
      </w:r>
    </w:p>
    <w:p>
      <w:pPr>
        <w:pStyle w:val="BookText"/>
      </w:pPr>
      <w:r>
        <w:rPr>
          <w:rFonts w:ascii="IRNazanin" w:hAnsi="IRNazanin" w:eastAsia="IRNazanin" w:cs="IRNazanin"/>
          <w:lang w:bidi="fa-IR"/>
          <w:color w:val="111111"/>
          <w:sz w:val="28"/>
          <w:szCs w:val="28"/>
          <w:rtl/>
        </w:rPr>
        <w:t xml:space="preserve">المحراب، ج 3، ص 785.</w:t>
      </w:r>
    </w:p>
    <w:p>
      <w:pPr>
        <w:pStyle w:val="BookText"/>
      </w:pPr>
      <w:r>
        <w:rPr>
          <w:rFonts w:ascii="Amiri" w:hAnsi="Amiri" w:eastAsia="Amiri" w:cs="Amiri"/>
          <w:lang w:bidi="ar-SA"/>
          <w:color w:val="111111"/>
          <w:sz w:val="28"/>
          <w:szCs w:val="28"/>
          <w:rtl/>
        </w:rPr>
        <w:t xml:space="preserve">4 .تقويم الكواكب (رسالة في)، جع،</w:t>
      </w:r>
    </w:p>
    <w:p>
      <w:pPr>
        <w:pStyle w:val="BookText"/>
      </w:pPr>
      <w:r>
        <w:rPr>
          <w:rFonts w:ascii="IRNazanin" w:hAnsi="IRNazanin" w:eastAsia="IRNazanin" w:cs="IRNazanin"/>
          <w:lang w:bidi="fa-IR"/>
          <w:color w:val="111111"/>
          <w:sz w:val="28"/>
          <w:szCs w:val="28"/>
          <w:rtl/>
        </w:rPr>
        <w:t xml:space="preserve">ص 803</w:t>
      </w:r>
    </w:p>
    <w:p>
      <w:pPr>
        <w:pStyle w:val="BookText"/>
      </w:pPr>
      <w:r>
        <w:rPr>
          <w:rFonts w:ascii="Amiri" w:hAnsi="Amiri" w:eastAsia="Amiri" w:cs="Amiri"/>
          <w:lang w:bidi="ar-SA"/>
          <w:color w:val="111111"/>
          <w:sz w:val="28"/>
          <w:szCs w:val="28"/>
          <w:rtl/>
        </w:rPr>
        <w:t xml:space="preserve">5 .حاوي اللباب و شرح تلخيص الحساب، ج 6 ، ص 464.</w:t>
      </w:r>
    </w:p>
    <w:p>
      <w:pPr>
        <w:pStyle w:val="BookText"/>
      </w:pPr>
      <w:r>
        <w:rPr>
          <w:rFonts w:ascii="Amiri" w:hAnsi="Amiri" w:eastAsia="Amiri" w:cs="Amiri"/>
          <w:lang w:bidi="ar-SA"/>
          <w:color w:val="111111"/>
          <w:sz w:val="28"/>
          <w:szCs w:val="28"/>
          <w:rtl/>
        </w:rPr>
        <w:t xml:space="preserve">6 .خلاصة الاقوال في معرفة الوقت و</w:t>
      </w:r>
    </w:p>
    <w:p>
      <w:pPr>
        <w:pStyle w:val="BookText"/>
      </w:pPr>
      <w:r>
        <w:rPr>
          <w:rFonts w:ascii="Amiri" w:hAnsi="Amiri" w:eastAsia="Amiri" w:cs="Amiri"/>
          <w:lang w:bidi="ar-SA"/>
          <w:color w:val="111111"/>
          <w:sz w:val="28"/>
          <w:szCs w:val="28"/>
          <w:rtl/>
        </w:rPr>
        <w:t xml:space="preserve">رؤية الهلال، ج 7، ص79.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زاد المسافر في معرفة رسم فضل الدائر = مختصر ارشاد الحائر، ج8،</w:t>
      </w:r>
    </w:p>
    <w:p>
      <w:pPr>
        <w:pStyle w:val="BookText"/>
      </w:pPr>
      <w:r>
        <w:rPr>
          <w:rFonts w:ascii="IRNazanin" w:hAnsi="IRNazanin" w:eastAsia="IRNazanin" w:cs="IRNazanin"/>
          <w:lang w:bidi="fa-IR"/>
          <w:color w:val="111111"/>
          <w:sz w:val="28"/>
          <w:szCs w:val="28"/>
          <w:rtl/>
        </w:rPr>
        <w:t xml:space="preserve">ص 528.</w:t>
      </w:r>
    </w:p>
    <w:p>
      <w:pPr>
        <w:pStyle w:val="BookText"/>
      </w:pPr>
      <w:r>
        <w:rPr>
          <w:rFonts w:ascii="Amiri" w:hAnsi="Amiri" w:eastAsia="Amiri" w:cs="Amiri"/>
          <w:lang w:bidi="ar-SA"/>
          <w:color w:val="111111"/>
          <w:sz w:val="28"/>
          <w:szCs w:val="28"/>
          <w:rtl/>
        </w:rPr>
        <w:t xml:space="preserve">8 .الضوء اللائح في اصول التسطيح و</w:t>
      </w:r>
    </w:p>
    <w:p>
      <w:pPr>
        <w:pStyle w:val="BookText"/>
      </w:pPr>
      <w:r>
        <w:rPr>
          <w:rFonts w:ascii="IRNazanin" w:hAnsi="IRNazanin" w:eastAsia="IRNazanin" w:cs="IRNazanin"/>
          <w:lang w:bidi="fa-IR"/>
          <w:color w:val="111111"/>
          <w:sz w:val="28"/>
          <w:szCs w:val="28"/>
          <w:rtl/>
        </w:rPr>
        <w:t xml:space="preserve">رسم الصفائح، ج 10، ص 699.</w:t>
      </w:r>
    </w:p>
    <w:p>
      <w:pPr>
        <w:pStyle w:val="BookText"/>
      </w:pPr>
      <w:r>
        <w:rPr>
          <w:rFonts w:ascii="Amiri" w:hAnsi="Amiri" w:eastAsia="Amiri" w:cs="Amiri"/>
          <w:lang w:bidi="ar-SA"/>
          <w:color w:val="111111"/>
          <w:sz w:val="28"/>
          <w:szCs w:val="28"/>
          <w:rtl/>
        </w:rPr>
        <w:t xml:space="preserve">9 .الطالع والنجوم ( رسالة في)، ج 10،</w:t>
      </w:r>
    </w:p>
    <w:p>
      <w:pPr>
        <w:pStyle w:val="BookText"/>
      </w:pPr>
      <w:r>
        <w:rPr>
          <w:rFonts w:ascii="IRNazanin" w:hAnsi="IRNazanin" w:eastAsia="IRNazanin" w:cs="IRNazanin"/>
          <w:lang w:bidi="fa-IR"/>
          <w:color w:val="111111"/>
          <w:sz w:val="28"/>
          <w:szCs w:val="28"/>
          <w:rtl/>
        </w:rPr>
        <w:t xml:space="preserve">ص 734.</w:t>
      </w:r>
    </w:p>
    <w:p>
      <w:pPr>
        <w:pStyle w:val="BookText"/>
      </w:pPr>
      <w:r>
        <w:rPr>
          <w:rFonts w:ascii="IRNazanin" w:hAnsi="IRNazanin" w:eastAsia="IRNazanin" w:cs="IRNazanin"/>
          <w:lang w:bidi="fa-IR"/>
          <w:color w:val="111111"/>
          <w:sz w:val="28"/>
          <w:szCs w:val="28"/>
          <w:rtl/>
        </w:rPr>
        <w:t xml:space="preserve">10 .العمل بربع الموسوم بالمقنطرات</w:t>
      </w:r>
    </w:p>
    <w:p>
      <w:pPr>
        <w:pStyle w:val="BookText"/>
      </w:pPr>
      <w:r>
        <w:rPr>
          <w:rFonts w:ascii="Amiri" w:hAnsi="Amiri" w:eastAsia="Amiri" w:cs="Amiri"/>
          <w:lang w:bidi="ar-SA"/>
          <w:color w:val="111111"/>
          <w:sz w:val="28"/>
          <w:szCs w:val="28"/>
          <w:rtl/>
        </w:rPr>
        <w:t xml:space="preserve">(رسالة في)، ج 11، ص 317.</w:t>
      </w:r>
    </w:p>
    <w:p>
      <w:pPr>
        <w:pStyle w:val="Heading2"/>
      </w:pPr>
      <w:bookmarkStart w:id="1662" w:name="_Toc764"/>
      <w:r>
        <w:t>ابن محاملي ، احمد بن محمّد - 415 ه-</w:t>
      </w:r>
      <w:bookmarkEnd w:id="1662"/>
    </w:p>
    <w:p>
      <w:pPr>
        <w:pStyle w:val="BookText"/>
      </w:pPr>
      <w:r>
        <w:rPr>
          <w:rFonts w:ascii="Amiri" w:hAnsi="Amiri" w:eastAsia="Amiri" w:cs="Amiri"/>
          <w:lang w:bidi="ar-SA"/>
          <w:color w:val="111111"/>
          <w:sz w:val="28"/>
          <w:szCs w:val="28"/>
          <w:rtl/>
        </w:rPr>
        <w:t xml:space="preserve">اللباب في الفقه، ج13، ص 551</w:t>
      </w:r>
    </w:p>
    <w:p>
      <w:pPr>
        <w:pStyle w:val="BookText"/>
      </w:pPr>
      <w:r>
        <w:rPr>
          <w:rFonts w:ascii="Amiri" w:hAnsi="Amiri" w:eastAsia="Amiri" w:cs="Amiri"/>
          <w:lang w:bidi="ar-SA"/>
          <w:color w:val="111111"/>
          <w:sz w:val="28"/>
          <w:szCs w:val="28"/>
          <w:rtl/>
        </w:rPr>
        <w:t xml:space="preserve">ابن محسن اسماعيل- اسماعيل بن محسن</w:t>
      </w:r>
    </w:p>
    <w:p>
      <w:pPr>
        <w:pStyle w:val="BookText"/>
      </w:pPr>
      <w:r>
        <w:rPr>
          <w:rFonts w:ascii="Amiri" w:hAnsi="Amiri" w:eastAsia="Amiri" w:cs="Amiri"/>
          <w:lang w:bidi="ar-SA"/>
          <w:color w:val="111111"/>
          <w:sz w:val="28"/>
          <w:szCs w:val="28"/>
          <w:rtl/>
        </w:rPr>
        <w:t xml:space="preserve">ابن محصنا ، احمد بن علي- ابن عنبه ، احمد بن علي</w:t>
      </w:r>
    </w:p>
    <w:p>
      <w:pPr>
        <w:pStyle w:val="Heading2"/>
      </w:pPr>
      <w:bookmarkStart w:id="1663" w:name="_Toc765"/>
      <w:r>
        <w:t>ابن محمّد الامير ، ابو محمد</w:t>
      </w:r>
      <w:bookmarkEnd w:id="1663"/>
    </w:p>
    <w:p>
      <w:pPr>
        <w:pStyle w:val="BookText"/>
      </w:pPr>
      <w:r>
        <w:rPr>
          <w:rFonts w:ascii="Amiri" w:hAnsi="Amiri" w:eastAsia="Amiri" w:cs="Amiri"/>
          <w:lang w:bidi="ar-SA"/>
          <w:color w:val="111111"/>
          <w:sz w:val="28"/>
          <w:szCs w:val="28"/>
          <w:rtl/>
        </w:rPr>
        <w:t xml:space="preserve">مجموعة أسانيد، ج 14، ص 20.</w:t>
      </w:r>
    </w:p>
    <w:p>
      <w:pPr>
        <w:pStyle w:val="Heading2"/>
      </w:pPr>
      <w:bookmarkStart w:id="1664" w:name="_Toc766"/>
      <w:r>
        <w:t>ابن محمّد بهبهاني</w:t>
      </w:r>
      <w:bookmarkEnd w:id="1664"/>
    </w:p>
    <w:p>
      <w:pPr>
        <w:pStyle w:val="BookText"/>
      </w:pPr>
      <w:r>
        <w:rPr>
          <w:rFonts w:ascii="Amiri" w:hAnsi="Amiri" w:eastAsia="Amiri" w:cs="Amiri"/>
          <w:lang w:bidi="ar-SA"/>
          <w:color w:val="111111"/>
          <w:sz w:val="28"/>
          <w:szCs w:val="28"/>
          <w:rtl/>
        </w:rPr>
        <w:t xml:space="preserve">الهداية في اثبات الولاية، ج 16،</w:t>
      </w:r>
    </w:p>
    <w:p>
      <w:pPr>
        <w:pStyle w:val="Heading2"/>
      </w:pPr>
      <w:bookmarkStart w:id="1665" w:name="_Toc767"/>
      <w:r>
        <w:t>ابن مخلد ، بقي بن مخلد - 276 ه-</w:t>
      </w:r>
      <w:bookmarkEnd w:id="1665"/>
    </w:p>
    <w:p>
      <w:pPr>
        <w:pStyle w:val="BookText"/>
      </w:pPr>
      <w:r>
        <w:rPr>
          <w:rFonts w:ascii="Amiri" w:hAnsi="Amiri" w:eastAsia="Amiri" w:cs="Amiri"/>
          <w:lang w:bidi="ar-SA"/>
          <w:color w:val="111111"/>
          <w:sz w:val="28"/>
          <w:szCs w:val="28"/>
          <w:rtl/>
        </w:rPr>
        <w:t xml:space="preserve">ذكر عدد ما لكل واحد من الصحابة</w:t>
      </w:r>
    </w:p>
    <w:p>
      <w:pPr>
        <w:pStyle w:val="BookText"/>
      </w:pPr>
      <w:r>
        <w:rPr>
          <w:rFonts w:ascii="Amiri" w:hAnsi="Amiri" w:eastAsia="Amiri" w:cs="Amiri"/>
          <w:lang w:bidi="ar-SA"/>
          <w:color w:val="111111"/>
          <w:sz w:val="28"/>
          <w:szCs w:val="28"/>
          <w:rtl/>
        </w:rPr>
        <w:t xml:space="preserve">من الحديث، ج 7، ص 855.</w:t>
      </w:r>
    </w:p>
    <w:p>
      <w:pPr>
        <w:pStyle w:val="Heading2"/>
      </w:pPr>
      <w:bookmarkStart w:id="1666" w:name="_Toc768"/>
      <w:r>
        <w:t>ابن مديني ، علي بن عبدالله، 161-234ه-</w:t>
      </w:r>
      <w:bookmarkEnd w:id="1666"/>
    </w:p>
    <w:p>
      <w:pPr>
        <w:pStyle w:val="BookText"/>
      </w:pPr>
      <w:r>
        <w:rPr>
          <w:rFonts w:ascii="Amiri" w:hAnsi="Amiri" w:eastAsia="Amiri" w:cs="Amiri"/>
          <w:lang w:bidi="ar-SA"/>
          <w:color w:val="111111"/>
          <w:sz w:val="28"/>
          <w:szCs w:val="28"/>
          <w:rtl/>
        </w:rPr>
        <w:t xml:space="preserve">الحديث، ج 6، ص 556.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5" w:name="pg7742_69590"/>
    <w:bookmarkEnd w:id="115"/>
    <w:p>
      <w:pPr>
        <w:pStyle w:val="BookText"/>
      </w:pPr>
      <w:r>
        <w:rPr>
          <w:rFonts w:ascii="Amiri" w:hAnsi="Amiri" w:eastAsia="Amiri" w:cs="Amiri"/>
          <w:lang w:bidi="ar-SA"/>
          <w:color w:val="111111"/>
          <w:sz w:val="28"/>
          <w:szCs w:val="28"/>
          <w:rtl/>
        </w:rPr>
        <w:t xml:space="preserve">ابن مذحجي احمد بن عمر -زبيدي</w:t>
      </w:r>
    </w:p>
    <w:p>
      <w:pPr>
        <w:pStyle w:val="BookText"/>
      </w:pPr>
      <w:r>
        <w:rPr>
          <w:rFonts w:ascii="IRNazanin" w:hAnsi="IRNazanin" w:eastAsia="IRNazanin" w:cs="IRNazanin"/>
          <w:lang w:bidi="fa-IR"/>
          <w:color w:val="111111"/>
          <w:sz w:val="28"/>
          <w:szCs w:val="28"/>
          <w:rtl/>
        </w:rPr>
        <w:t xml:space="preserve">احمد بن عمر</w:t>
      </w:r>
    </w:p>
    <w:p>
      <w:pPr>
        <w:pStyle w:val="BookText"/>
      </w:pPr>
      <w:r>
        <w:rPr>
          <w:rFonts w:ascii="IRNazanin" w:hAnsi="IRNazanin" w:eastAsia="IRNazanin" w:cs="IRNazanin"/>
          <w:lang w:bidi="fa-IR"/>
          <w:color w:val="111111"/>
          <w:sz w:val="28"/>
          <w:szCs w:val="28"/>
          <w:rtl/>
        </w:rPr>
        <w:t xml:space="preserve">ابن مرتضى ، ابراهیم بن محمّد - صنعاني ،</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IRNazanin" w:hAnsi="IRNazanin" w:eastAsia="IRNazanin" w:cs="IRNazanin"/>
          <w:lang w:bidi="fa-IR"/>
          <w:color w:val="111111"/>
          <w:sz w:val="28"/>
          <w:szCs w:val="28"/>
          <w:rtl/>
        </w:rPr>
        <w:t xml:space="preserve">ابن مرتضی ، احمد بن يحيى -يمني ،</w:t>
      </w:r>
    </w:p>
    <w:p>
      <w:pPr>
        <w:pStyle w:val="BookText"/>
      </w:pPr>
      <w:r>
        <w:rPr>
          <w:rFonts w:ascii="Amiri" w:hAnsi="Amiri" w:eastAsia="Amiri" w:cs="Amiri"/>
          <w:lang w:bidi="ar-SA"/>
          <w:color w:val="111111"/>
          <w:sz w:val="28"/>
          <w:szCs w:val="28"/>
          <w:rtl/>
        </w:rPr>
        <w:t xml:space="preserve">احمد بن يحيى</w:t>
      </w:r>
    </w:p>
    <w:p>
      <w:pPr>
        <w:pStyle w:val="BookText"/>
      </w:pPr>
      <w:r>
        <w:rPr>
          <w:rFonts w:ascii="IRNazanin" w:hAnsi="IRNazanin" w:eastAsia="IRNazanin" w:cs="IRNazanin"/>
          <w:lang w:bidi="fa-IR"/>
          <w:color w:val="111111"/>
          <w:sz w:val="28"/>
          <w:szCs w:val="28"/>
          <w:rtl/>
        </w:rPr>
        <w:t xml:space="preserve">ابن مرتضی ، محمّد بن ابراهيم- ابن</w:t>
      </w:r>
    </w:p>
    <w:p>
      <w:pPr>
        <w:pStyle w:val="BookText"/>
      </w:pPr>
      <w:r>
        <w:rPr>
          <w:rFonts w:ascii="Amiri" w:hAnsi="Amiri" w:eastAsia="Amiri" w:cs="Amiri"/>
          <w:lang w:bidi="ar-SA"/>
          <w:color w:val="111111"/>
          <w:sz w:val="28"/>
          <w:szCs w:val="28"/>
          <w:rtl/>
        </w:rPr>
        <w:t xml:space="preserve">الوزير، محمّد بن ابراهيم</w:t>
      </w:r>
    </w:p>
    <w:p>
      <w:pPr>
        <w:pStyle w:val="BookText"/>
      </w:pPr>
      <w:r>
        <w:rPr>
          <w:rFonts w:ascii="IRNazanin" w:hAnsi="IRNazanin" w:eastAsia="IRNazanin" w:cs="IRNazanin"/>
          <w:lang w:bidi="fa-IR"/>
          <w:color w:val="111111"/>
          <w:sz w:val="28"/>
          <w:szCs w:val="28"/>
          <w:rtl/>
        </w:rPr>
        <w:t xml:space="preserve">ابن مرتضی ، محمّد مهدي بن</w:t>
      </w:r>
    </w:p>
    <w:p>
      <w:pPr>
        <w:pStyle w:val="BookText"/>
      </w:pPr>
      <w:r>
        <w:rPr>
          <w:rFonts w:ascii="Amiri" w:hAnsi="Amiri" w:eastAsia="Amiri" w:cs="Amiri"/>
          <w:lang w:bidi="ar-SA"/>
          <w:color w:val="111111"/>
          <w:sz w:val="28"/>
          <w:szCs w:val="28"/>
          <w:rtl/>
        </w:rPr>
        <w:t xml:space="preserve">مرتضى- بحر العلوم ، محمّد مهدي بن مرتضى</w:t>
      </w:r>
    </w:p>
    <w:p>
      <w:pPr>
        <w:pStyle w:val="BookText"/>
      </w:pPr>
      <w:r>
        <w:rPr>
          <w:rFonts w:ascii="Amiri" w:hAnsi="Amiri" w:eastAsia="Amiri" w:cs="Amiri"/>
          <w:lang w:bidi="ar-SA"/>
          <w:color w:val="111111"/>
          <w:sz w:val="28"/>
          <w:szCs w:val="28"/>
          <w:rtl/>
        </w:rPr>
        <w:t xml:space="preserve">ابن مرتفع ، مرتفع بن حسن- ساعاتي ،</w:t>
      </w:r>
    </w:p>
    <w:p>
      <w:pPr>
        <w:pStyle w:val="BookText"/>
      </w:pPr>
      <w:r>
        <w:rPr>
          <w:rFonts w:ascii="IRNazanin" w:hAnsi="IRNazanin" w:eastAsia="IRNazanin" w:cs="IRNazanin"/>
          <w:lang w:bidi="fa-IR"/>
          <w:color w:val="111111"/>
          <w:sz w:val="28"/>
          <w:szCs w:val="28"/>
          <w:rtl/>
        </w:rPr>
        <w:t xml:space="preserve">مرتفع بن حسن</w:t>
      </w:r>
    </w:p>
    <w:p>
      <w:pPr>
        <w:pStyle w:val="Heading2"/>
      </w:pPr>
      <w:bookmarkStart w:id="1667" w:name="_Toc769"/>
      <w:r>
        <w:t>ابن مرحل ، عمر بن مكي - 691 ه-</w:t>
      </w:r>
      <w:bookmarkEnd w:id="1667"/>
    </w:p>
    <w:p>
      <w:pPr>
        <w:pStyle w:val="BookText"/>
      </w:pPr>
      <w:r>
        <w:rPr>
          <w:rFonts w:ascii="Amiri" w:hAnsi="Amiri" w:eastAsia="Amiri" w:cs="Amiri"/>
          <w:lang w:bidi="ar-SA"/>
          <w:color w:val="111111"/>
          <w:sz w:val="28"/>
          <w:szCs w:val="28"/>
          <w:rtl/>
        </w:rPr>
        <w:t xml:space="preserve">معرفة ارتفاع الشمس، ج 15 ، ص 42.</w:t>
      </w:r>
    </w:p>
    <w:p>
      <w:pPr>
        <w:pStyle w:val="Heading2"/>
      </w:pPr>
      <w:bookmarkStart w:id="1668" w:name="_Toc770"/>
      <w:r>
        <w:t>ابن المرحل ، مالك بن عبد الرحمن</w:t>
      </w:r>
      <w:bookmarkEnd w:id="1668"/>
    </w:p>
    <w:p>
      <w:pPr>
        <w:pStyle w:val="BookText"/>
      </w:pPr>
      <w:r>
        <w:rPr>
          <w:rFonts w:ascii="IRNazanin" w:hAnsi="IRNazanin" w:eastAsia="IRNazanin" w:cs="IRNazanin"/>
          <w:lang w:bidi="fa-IR"/>
          <w:color w:val="111111"/>
          <w:sz w:val="28"/>
          <w:szCs w:val="28"/>
          <w:rtl/>
        </w:rPr>
        <w:t xml:space="preserve">669ه-</w:t>
      </w:r>
    </w:p>
    <w:p>
      <w:pPr>
        <w:pStyle w:val="BookText"/>
      </w:pPr>
      <w:r>
        <w:rPr>
          <w:rFonts w:ascii="Amiri" w:hAnsi="Amiri" w:eastAsia="Amiri" w:cs="Amiri"/>
          <w:lang w:bidi="ar-SA"/>
          <w:color w:val="111111"/>
          <w:sz w:val="28"/>
          <w:szCs w:val="28"/>
          <w:rtl/>
        </w:rPr>
        <w:t xml:space="preserve">الموطاة في اللغة (نظم فصيح ثعلب)</w:t>
      </w:r>
    </w:p>
    <w:p>
      <w:pPr>
        <w:pStyle w:val="BookText"/>
      </w:pPr>
      <w:r>
        <w:rPr>
          <w:rFonts w:ascii="IRNazanin" w:hAnsi="IRNazanin" w:eastAsia="IRNazanin" w:cs="IRNazanin"/>
          <w:lang w:bidi="fa-IR"/>
          <w:color w:val="111111"/>
          <w:sz w:val="28"/>
          <w:szCs w:val="28"/>
          <w:rtl/>
        </w:rPr>
        <w:t xml:space="preserve">ج 16، ص 37.</w:t>
      </w:r>
    </w:p>
    <w:p>
      <w:pPr>
        <w:pStyle w:val="Heading2"/>
      </w:pPr>
      <w:bookmarkStart w:id="1669" w:name="_Toc771"/>
      <w:r>
        <w:t>ابن مردان، احمد بن مردان</w:t>
      </w:r>
      <w:bookmarkEnd w:id="1669"/>
    </w:p>
    <w:p>
      <w:pPr>
        <w:pStyle w:val="BookText"/>
      </w:pPr>
      <w:r>
        <w:rPr>
          <w:rFonts w:ascii="IRNazanin" w:hAnsi="IRNazanin" w:eastAsia="IRNazanin" w:cs="IRNazanin"/>
          <w:lang w:bidi="fa-IR"/>
          <w:color w:val="111111"/>
          <w:sz w:val="28"/>
          <w:szCs w:val="28"/>
          <w:rtl/>
        </w:rPr>
        <w:t xml:space="preserve">المجالس و جواهر العلم، ج13</w:t>
      </w:r>
    </w:p>
    <w:p>
      <w:pPr>
        <w:pStyle w:val="BookText"/>
      </w:pPr>
      <w:r>
        <w:rPr>
          <w:rFonts w:ascii="IRNazanin" w:hAnsi="IRNazanin" w:eastAsia="IRNazanin" w:cs="IRNazanin"/>
          <w:lang w:bidi="fa-IR"/>
          <w:color w:val="111111"/>
          <w:sz w:val="28"/>
          <w:szCs w:val="28"/>
          <w:rtl/>
        </w:rPr>
        <w:t xml:space="preserve">ص 805.</w:t>
      </w:r>
    </w:p>
    <w:p>
      <w:pPr>
        <w:pStyle w:val="Heading2"/>
      </w:pPr>
      <w:bookmarkStart w:id="1670" w:name="_Toc772"/>
      <w:r>
        <w:t>ابن مردویه ، احمد بن موسی 323 -</w:t>
      </w:r>
      <w:bookmarkEnd w:id="1670"/>
    </w:p>
    <w:p>
      <w:pPr>
        <w:pStyle w:val="BookText"/>
      </w:pPr>
      <w:r>
        <w:rPr>
          <w:rFonts w:ascii="Amiri" w:hAnsi="Amiri" w:eastAsia="Amiri" w:cs="Amiri"/>
          <w:lang w:bidi="ar-SA"/>
          <w:color w:val="111111"/>
          <w:sz w:val="28"/>
          <w:szCs w:val="28"/>
          <w:rtl/>
        </w:rPr>
        <w:t xml:space="preserve">معجم الصحابة، ج 15 ، ص 17.</w:t>
      </w:r>
    </w:p>
    <w:p>
      <w:pPr>
        <w:pStyle w:val="Heading2"/>
      </w:pPr>
      <w:bookmarkStart w:id="1671" w:name="_Toc773"/>
      <w:r>
        <w:t>ابن مرزبان، محمّد بن خلف - 309 ه-</w:t>
      </w:r>
      <w:bookmarkEnd w:id="1671"/>
    </w:p>
    <w:p>
      <w:pPr>
        <w:pStyle w:val="BookText"/>
      </w:pPr>
      <w:r>
        <w:rPr>
          <w:rFonts w:ascii="Amiri" w:hAnsi="Amiri" w:eastAsia="Amiri" w:cs="Amiri"/>
          <w:lang w:bidi="ar-SA"/>
          <w:color w:val="111111"/>
          <w:sz w:val="28"/>
          <w:szCs w:val="28"/>
          <w:rtl/>
        </w:rPr>
        <w:t xml:space="preserve">1 .تاريخ الثقلاء، ج3، ص 565.</w:t>
      </w:r>
    </w:p>
    <w:p>
      <w:pPr>
        <w:pStyle w:val="BookText"/>
      </w:pPr>
      <w:r>
        <w:rPr>
          <w:rFonts w:ascii="Amiri" w:hAnsi="Amiri" w:eastAsia="Amiri" w:cs="Amiri"/>
          <w:lang w:bidi="ar-SA"/>
          <w:color w:val="111111"/>
          <w:sz w:val="28"/>
          <w:szCs w:val="28"/>
          <w:rtl/>
        </w:rPr>
        <w:t xml:space="preserve">2 .فضائل الكلاب على كثير ممن لبس</w:t>
      </w:r>
    </w:p>
    <w:p>
      <w:pPr>
        <w:pStyle w:val="BookText"/>
      </w:pPr>
      <w:r>
        <w:rPr>
          <w:rFonts w:ascii="Amiri" w:hAnsi="Amiri" w:eastAsia="Amiri" w:cs="Amiri"/>
          <w:lang w:bidi="ar-SA"/>
          <w:color w:val="111111"/>
          <w:sz w:val="28"/>
          <w:szCs w:val="28"/>
          <w:rtl/>
        </w:rPr>
        <w:t xml:space="preserve">الثياب، ج 12، ص18.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المروة، ج 14، ص 411.</w:t>
      </w:r>
    </w:p>
    <w:p>
      <w:pPr>
        <w:pStyle w:val="Heading2"/>
      </w:pPr>
      <w:bookmarkStart w:id="1672" w:name="_Toc774"/>
      <w:r>
        <w:t>ابن مرزوق ، شمس الدین ابوالعال</w:t>
      </w:r>
      <w:bookmarkEnd w:id="1672"/>
    </w:p>
    <w:p>
      <w:pPr>
        <w:pStyle w:val="BookText"/>
      </w:pPr>
      <w:r>
        <w:rPr>
          <w:rFonts w:ascii="Amiri" w:hAnsi="Amiri" w:eastAsia="Amiri" w:cs="Amiri"/>
          <w:lang w:bidi="ar-SA"/>
          <w:color w:val="111111"/>
          <w:sz w:val="28"/>
          <w:szCs w:val="28"/>
          <w:rtl/>
        </w:rPr>
        <w:t xml:space="preserve">الانتباه في معالجة الباه، ج2، ص781.</w:t>
      </w:r>
    </w:p>
    <w:p>
      <w:pPr>
        <w:pStyle w:val="Heading2"/>
      </w:pPr>
      <w:bookmarkStart w:id="1673" w:name="_Toc775"/>
      <w:r>
        <w:t>ابن مرزوق ، عبدالباقي بن قانع 266 - 351ه-</w:t>
      </w:r>
      <w:bookmarkEnd w:id="1673"/>
    </w:p>
    <w:p>
      <w:pPr>
        <w:pStyle w:val="BookText"/>
      </w:pPr>
      <w:r>
        <w:rPr>
          <w:rFonts w:ascii="Amiri" w:hAnsi="Amiri" w:eastAsia="Amiri" w:cs="Amiri"/>
          <w:lang w:bidi="ar-SA"/>
          <w:color w:val="111111"/>
          <w:sz w:val="28"/>
          <w:szCs w:val="28"/>
          <w:rtl/>
        </w:rPr>
        <w:t xml:space="preserve">ابن مرزوق ، محمّد بن احمد -تلمساني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1674" w:name="_Toc776"/>
      <w:r>
        <w:t>ابن مرزوق محمّد بن احمد 766-842ه-</w:t>
      </w:r>
      <w:bookmarkEnd w:id="16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اسماع السماع في اثبات الشرف من</w:t>
      </w:r>
    </w:p>
    <w:p>
      <w:pPr>
        <w:pStyle w:val="BookText"/>
      </w:pPr>
      <w:r>
        <w:rPr>
          <w:rFonts w:ascii="Amiri" w:hAnsi="Amiri" w:eastAsia="Amiri" w:cs="Amiri"/>
          <w:lang w:bidi="ar-SA"/>
          <w:color w:val="111111"/>
          <w:sz w:val="28"/>
          <w:szCs w:val="28"/>
          <w:rtl/>
        </w:rPr>
        <w:t xml:space="preserve">جهة الام، ج 2، ص238.</w:t>
      </w:r>
    </w:p>
    <w:p>
      <w:pPr>
        <w:pStyle w:val="BookText"/>
      </w:pPr>
      <w:r>
        <w:rPr>
          <w:rFonts w:ascii="Amiri" w:hAnsi="Amiri" w:eastAsia="Amiri" w:cs="Amiri"/>
          <w:lang w:bidi="ar-SA"/>
          <w:color w:val="111111"/>
          <w:sz w:val="28"/>
          <w:szCs w:val="28"/>
          <w:rtl/>
        </w:rPr>
        <w:t xml:space="preserve">2 .تخميس قصيدة البردة، جع،</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تلمساني، ج 7، ص 602.</w:t>
      </w:r>
    </w:p>
    <w:p>
      <w:pPr>
        <w:pStyle w:val="BookText"/>
      </w:pPr>
      <w:r>
        <w:rPr>
          <w:rFonts w:ascii="Amiri" w:hAnsi="Amiri" w:eastAsia="Amiri" w:cs="Amiri"/>
          <w:lang w:bidi="ar-SA"/>
          <w:color w:val="111111"/>
          <w:sz w:val="28"/>
          <w:szCs w:val="28"/>
          <w:rtl/>
        </w:rPr>
        <w:t xml:space="preserve">4 .المفاتيح المرزوقية لحل الاقفال و استخراج خبايا الخزرجية، ج 15،</w:t>
      </w:r>
    </w:p>
    <w:p>
      <w:pPr>
        <w:pStyle w:val="BookText"/>
      </w:pPr>
      <w:r>
        <w:rPr>
          <w:rFonts w:ascii="IRNazanin" w:hAnsi="IRNazanin" w:eastAsia="IRNazanin" w:cs="IRNazanin"/>
          <w:lang w:bidi="fa-IR"/>
          <w:color w:val="111111"/>
          <w:sz w:val="28"/>
          <w:szCs w:val="28"/>
          <w:rtl/>
        </w:rPr>
        <w:t xml:space="preserve">ص178</w:t>
      </w:r>
    </w:p>
    <w:p>
      <w:pPr>
        <w:pStyle w:val="BookText"/>
      </w:pPr>
      <w:r>
        <w:rPr>
          <w:rFonts w:ascii="IRNazanin" w:hAnsi="IRNazanin" w:eastAsia="IRNazanin" w:cs="IRNazanin"/>
          <w:lang w:bidi="fa-IR"/>
          <w:color w:val="111111"/>
          <w:sz w:val="28"/>
          <w:szCs w:val="28"/>
          <w:rtl/>
        </w:rPr>
        <w:t xml:space="preserve">5 .نظم الجمل، ج 16، ص 335.</w:t>
      </w:r>
    </w:p>
    <w:p>
      <w:pPr>
        <w:pStyle w:val="BookText"/>
      </w:pPr>
      <w:r>
        <w:rPr>
          <w:rFonts w:ascii="IRNazanin" w:hAnsi="IRNazanin" w:eastAsia="IRNazanin" w:cs="IRNazanin"/>
          <w:lang w:bidi="fa-IR"/>
          <w:color w:val="111111"/>
          <w:sz w:val="28"/>
          <w:szCs w:val="28"/>
          <w:rtl/>
        </w:rPr>
        <w:t xml:space="preserve">410 ه-</w:t>
      </w:r>
    </w:p>
    <w:p>
      <w:pPr>
        <w:pStyle w:val="BookText"/>
      </w:pPr>
      <w:r>
        <w:rPr>
          <w:rFonts w:ascii="Amiri" w:hAnsi="Amiri" w:eastAsia="Amiri" w:cs="Amiri"/>
          <w:lang w:bidi="ar-SA"/>
          <w:color w:val="111111"/>
          <w:sz w:val="28"/>
          <w:szCs w:val="28"/>
          <w:rtl/>
        </w:rPr>
        <w:t xml:space="preserve">الامالي، ج 2، ص 716.</w:t>
      </w:r>
    </w:p>
    <w:p>
      <w:pPr>
        <w:pStyle w:val="Heading2"/>
      </w:pPr>
      <w:bookmarkStart w:id="1675" w:name="_Toc777"/>
      <w:r>
        <w:t>ابن مرزویه، مرهيا</w:t>
      </w:r>
      <w:bookmarkEnd w:id="1675"/>
    </w:p>
    <w:p>
      <w:pPr>
        <w:pStyle w:val="BookText"/>
      </w:pPr>
      <w:r>
        <w:rPr>
          <w:rFonts w:ascii="Amiri" w:hAnsi="Amiri" w:eastAsia="Amiri" w:cs="Amiri"/>
          <w:lang w:bidi="ar-SA"/>
          <w:color w:val="111111"/>
          <w:sz w:val="28"/>
          <w:szCs w:val="28"/>
          <w:rtl/>
        </w:rPr>
        <w:t xml:space="preserve">قصيدة رئاسية، ج 12 ، ص 672.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6" w:name="pg7742_69591"/>
    <w:bookmarkEnd w:id="116"/>
    <w:p>
      <w:pPr>
        <w:pStyle w:val="BookText"/>
      </w:pPr>
      <w:r>
        <w:rPr>
          <w:rFonts w:ascii="Amiri" w:hAnsi="Amiri" w:eastAsia="Amiri" w:cs="Amiri"/>
          <w:lang w:bidi="ar-SA"/>
          <w:color w:val="111111"/>
          <w:sz w:val="28"/>
          <w:szCs w:val="28"/>
          <w:rtl/>
        </w:rPr>
        <w:t xml:space="preserve">ابن مروان ، عبدالملك بن عبدالله- ابن</w:t>
      </w:r>
    </w:p>
    <w:p>
      <w:pPr>
        <w:pStyle w:val="BookText"/>
      </w:pPr>
      <w:r>
        <w:rPr>
          <w:rFonts w:ascii="Amiri" w:hAnsi="Amiri" w:eastAsia="Amiri" w:cs="Amiri"/>
          <w:lang w:bidi="ar-SA"/>
          <w:color w:val="111111"/>
          <w:sz w:val="28"/>
          <w:szCs w:val="28"/>
          <w:rtl/>
        </w:rPr>
        <w:t xml:space="preserve">بدرون ، عبدالملك بن عبدالله</w:t>
      </w:r>
    </w:p>
    <w:p>
      <w:pPr>
        <w:pStyle w:val="Heading2"/>
      </w:pPr>
      <w:bookmarkStart w:id="1676" w:name="_Toc778"/>
      <w:r>
        <w:t>ابن مريم تلمساني ، محمّد بن محمّد</w:t>
      </w:r>
      <w:bookmarkEnd w:id="1676"/>
    </w:p>
    <w:p>
      <w:pPr>
        <w:pStyle w:val="BookText"/>
      </w:pPr>
      <w:r>
        <w:rPr>
          <w:rFonts w:ascii="IRNazanin" w:hAnsi="IRNazanin" w:eastAsia="IRNazanin" w:cs="IRNazanin"/>
          <w:lang w:bidi="fa-IR"/>
          <w:color w:val="111111"/>
          <w:sz w:val="28"/>
          <w:szCs w:val="28"/>
          <w:rtl/>
        </w:rPr>
        <w:t xml:space="preserve">1014ه-</w:t>
      </w:r>
    </w:p>
    <w:p>
      <w:pPr>
        <w:pStyle w:val="BookText"/>
      </w:pPr>
      <w:r>
        <w:rPr>
          <w:rFonts w:ascii="Amiri" w:hAnsi="Amiri" w:eastAsia="Amiri" w:cs="Amiri"/>
          <w:lang w:bidi="ar-SA"/>
          <w:color w:val="111111"/>
          <w:sz w:val="28"/>
          <w:szCs w:val="28"/>
          <w:rtl/>
        </w:rPr>
        <w:t xml:space="preserve">البستان في ذكر الاولياء و العلماء</w:t>
      </w:r>
    </w:p>
    <w:p>
      <w:pPr>
        <w:pStyle w:val="BookText"/>
      </w:pPr>
      <w:r>
        <w:rPr>
          <w:rFonts w:ascii="IRNazanin" w:hAnsi="IRNazanin" w:eastAsia="IRNazanin" w:cs="IRNazanin"/>
          <w:lang w:bidi="fa-IR"/>
          <w:color w:val="111111"/>
          <w:sz w:val="28"/>
          <w:szCs w:val="28"/>
          <w:rtl/>
        </w:rPr>
        <w:t xml:space="preserve">بتلمسان، ج 3، ص 327</w:t>
      </w:r>
    </w:p>
    <w:p>
      <w:pPr>
        <w:pStyle w:val="BookText"/>
      </w:pPr>
      <w:r>
        <w:rPr>
          <w:rFonts w:ascii="IRNazanin" w:hAnsi="IRNazanin" w:eastAsia="IRNazanin" w:cs="IRNazanin"/>
          <w:lang w:bidi="fa-IR"/>
          <w:color w:val="111111"/>
          <w:sz w:val="28"/>
          <w:szCs w:val="28"/>
          <w:rtl/>
        </w:rPr>
        <w:t xml:space="preserve">ابن مزاحم، نصر بن مزاحم- نصر بن</w:t>
      </w:r>
    </w:p>
    <w:p>
      <w:pPr>
        <w:pStyle w:val="BookText"/>
      </w:pPr>
      <w:r>
        <w:rPr>
          <w:rFonts w:ascii="IRNazanin" w:hAnsi="IRNazanin" w:eastAsia="IRNazanin" w:cs="IRNazanin"/>
          <w:lang w:bidi="fa-IR"/>
          <w:color w:val="111111"/>
          <w:sz w:val="28"/>
          <w:szCs w:val="28"/>
          <w:rtl/>
        </w:rPr>
        <w:t xml:space="preserve">مزاحم</w:t>
      </w:r>
    </w:p>
    <w:p>
      <w:pPr>
        <w:pStyle w:val="Heading2"/>
      </w:pPr>
      <w:bookmarkStart w:id="1677" w:name="_Toc779"/>
      <w:r>
        <w:t>ابن مساعد ، محمّد بن عبدالوهاب</w:t>
      </w:r>
      <w:bookmarkEnd w:id="1677"/>
    </w:p>
    <w:p>
      <w:pPr>
        <w:pStyle w:val="BookText"/>
      </w:pPr>
      <w:r>
        <w:rPr>
          <w:rFonts w:ascii="Amiri" w:hAnsi="Amiri" w:eastAsia="Amiri" w:cs="Amiri"/>
          <w:lang w:bidi="ar-SA"/>
          <w:color w:val="111111"/>
          <w:sz w:val="28"/>
          <w:szCs w:val="28"/>
          <w:rtl/>
        </w:rPr>
        <w:t xml:space="preserve">شرح العزي في التصريف، ج9، ص717. 594 ه-</w:t>
      </w:r>
    </w:p>
    <w:p>
      <w:pPr>
        <w:pStyle w:val="Heading2"/>
      </w:pPr>
      <w:bookmarkStart w:id="1678" w:name="_Toc780"/>
      <w:r>
        <w:t>ابن مسعود ، احمد بن علي قرن 8 ه-</w:t>
      </w:r>
      <w:bookmarkEnd w:id="1678"/>
    </w:p>
    <w:p>
      <w:pPr>
        <w:pStyle w:val="BookText"/>
      </w:pPr>
      <w:r>
        <w:rPr>
          <w:rFonts w:ascii="IRNazanin" w:hAnsi="IRNazanin" w:eastAsia="IRNazanin" w:cs="IRNazanin"/>
          <w:lang w:bidi="fa-IR"/>
          <w:color w:val="111111"/>
          <w:sz w:val="28"/>
          <w:szCs w:val="28"/>
          <w:rtl/>
        </w:rPr>
        <w:t xml:space="preserve">مراح الارواح، ج 14، ص 373.</w:t>
      </w:r>
    </w:p>
    <w:p>
      <w:pPr>
        <w:pStyle w:val="Heading2"/>
      </w:pPr>
      <w:bookmarkStart w:id="1679" w:name="_Toc781"/>
      <w:r>
        <w:t>ابن مسك ، عبدالرحمن بن احمد 1025 -</w:t>
      </w:r>
      <w:bookmarkEnd w:id="1679"/>
    </w:p>
    <w:p>
      <w:pPr>
        <w:pStyle w:val="BookText"/>
      </w:pPr>
      <w:r>
        <w:rPr>
          <w:rFonts w:ascii="IRNazanin" w:hAnsi="IRNazanin" w:eastAsia="IRNazanin" w:cs="IRNazanin"/>
          <w:lang w:bidi="fa-IR"/>
          <w:color w:val="111111"/>
          <w:sz w:val="28"/>
          <w:szCs w:val="28"/>
          <w:rtl/>
        </w:rPr>
        <w:t xml:space="preserve">1123 ه-</w:t>
      </w:r>
    </w:p>
    <w:p>
      <w:pPr>
        <w:pStyle w:val="BookText"/>
      </w:pPr>
      <w:r>
        <w:rPr>
          <w:rFonts w:ascii="Amiri" w:hAnsi="Amiri" w:eastAsia="Amiri" w:cs="Amiri"/>
          <w:lang w:bidi="ar-SA"/>
          <w:color w:val="111111"/>
          <w:sz w:val="28"/>
          <w:szCs w:val="28"/>
          <w:rtl/>
        </w:rPr>
        <w:t xml:space="preserve">شرح المقصورة الدريدية، ج 10،</w:t>
      </w:r>
    </w:p>
    <w:p>
      <w:pPr>
        <w:pStyle w:val="BookText"/>
      </w:pPr>
      <w:r>
        <w:rPr>
          <w:rFonts w:ascii="IRNazanin" w:hAnsi="IRNazanin" w:eastAsia="IRNazanin" w:cs="IRNazanin"/>
          <w:lang w:bidi="fa-IR"/>
          <w:color w:val="111111"/>
          <w:sz w:val="28"/>
          <w:szCs w:val="28"/>
          <w:rtl/>
        </w:rPr>
        <w:t xml:space="preserve">ص 211.</w:t>
      </w:r>
    </w:p>
    <w:p>
      <w:pPr>
        <w:pStyle w:val="Heading2"/>
      </w:pPr>
      <w:bookmarkStart w:id="1680" w:name="_Toc782"/>
      <w:r>
        <w:t>ابن مسکویه ، احمد بن محمّد، 320 -</w:t>
      </w:r>
      <w:bookmarkEnd w:id="1680"/>
    </w:p>
    <w:p>
      <w:pPr>
        <w:pStyle w:val="BookText"/>
      </w:pPr>
      <w:r>
        <w:rPr>
          <w:rFonts w:ascii="IRNazanin" w:hAnsi="IRNazanin" w:eastAsia="IRNazanin" w:cs="IRNazanin"/>
          <w:lang w:bidi="fa-IR"/>
          <w:color w:val="111111"/>
          <w:sz w:val="28"/>
          <w:szCs w:val="28"/>
          <w:rtl/>
        </w:rPr>
        <w:t xml:space="preserve">421 ه-</w:t>
      </w:r>
    </w:p>
    <w:p>
      <w:pPr>
        <w:pStyle w:val="BookText"/>
      </w:pPr>
      <w:r>
        <w:rPr>
          <w:rFonts w:ascii="IRNazanin" w:hAnsi="IRNazanin" w:eastAsia="IRNazanin" w:cs="IRNazanin"/>
          <w:lang w:bidi="fa-IR"/>
          <w:color w:val="111111"/>
          <w:sz w:val="28"/>
          <w:szCs w:val="28"/>
          <w:rtl/>
        </w:rPr>
        <w:t xml:space="preserve">1 .تجارب الامم و تعاقب الهمم، ج3،</w:t>
      </w:r>
    </w:p>
    <w:p>
      <w:pPr>
        <w:pStyle w:val="BookText"/>
      </w:pPr>
      <w:r>
        <w:rPr>
          <w:rFonts w:ascii="IRNazanin" w:hAnsi="IRNazanin" w:eastAsia="IRNazanin" w:cs="IRNazanin"/>
          <w:lang w:bidi="fa-IR"/>
          <w:color w:val="111111"/>
          <w:sz w:val="28"/>
          <w:szCs w:val="28"/>
          <w:rtl/>
        </w:rPr>
        <w:t xml:space="preserve">ص 681 .</w:t>
      </w:r>
    </w:p>
    <w:p>
      <w:pPr>
        <w:pStyle w:val="BookText"/>
      </w:pPr>
      <w:r>
        <w:rPr>
          <w:rFonts w:ascii="Amiri" w:hAnsi="Amiri" w:eastAsia="Amiri" w:cs="Amiri"/>
          <w:lang w:bidi="ar-SA"/>
          <w:color w:val="111111"/>
          <w:sz w:val="28"/>
          <w:szCs w:val="28"/>
          <w:rtl/>
        </w:rPr>
        <w:t xml:space="preserve">2 .طهارة الاعراق في تحصيل الاخلاق = تهذيب الاخلاق و تطهير الاعراق =</w:t>
      </w:r>
    </w:p>
    <w:p>
      <w:pPr>
        <w:pStyle w:val="BookText"/>
      </w:pPr>
      <w:r>
        <w:rPr>
          <w:rFonts w:ascii="Amiri" w:hAnsi="Amiri" w:eastAsia="Amiri" w:cs="Amiri"/>
          <w:lang w:bidi="ar-SA"/>
          <w:color w:val="111111"/>
          <w:sz w:val="28"/>
          <w:szCs w:val="28"/>
          <w:rtl/>
        </w:rPr>
        <w:t xml:space="preserve">طهارة النفس، ج 10، ص 862.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الفوز الاصغر، ج12، ص302.</w:t>
      </w:r>
    </w:p>
    <w:p>
      <w:pPr>
        <w:pStyle w:val="Heading2"/>
      </w:pPr>
      <w:bookmarkStart w:id="1681" w:name="_Toc783"/>
      <w:r>
        <w:t>ابن مسيحي سعيد بن ابي الخير - 589ه-</w:t>
      </w:r>
      <w:bookmarkEnd w:id="1681"/>
    </w:p>
    <w:p>
      <w:pPr>
        <w:pStyle w:val="BookText"/>
      </w:pPr>
      <w:r>
        <w:rPr>
          <w:rFonts w:ascii="Amiri" w:hAnsi="Amiri" w:eastAsia="Amiri" w:cs="Amiri"/>
          <w:lang w:bidi="ar-SA"/>
          <w:color w:val="111111"/>
          <w:sz w:val="28"/>
          <w:szCs w:val="28"/>
          <w:rtl/>
        </w:rPr>
        <w:t xml:space="preserve">1 .الاقتضاب على طريق المسالة</w:t>
      </w:r>
    </w:p>
    <w:p>
      <w:pPr>
        <w:pStyle w:val="BookText"/>
      </w:pPr>
      <w:r>
        <w:rPr>
          <w:rFonts w:ascii="IRNazanin" w:hAnsi="IRNazanin" w:eastAsia="IRNazanin" w:cs="IRNazanin"/>
          <w:lang w:bidi="fa-IR"/>
          <w:color w:val="111111"/>
          <w:sz w:val="28"/>
          <w:szCs w:val="28"/>
          <w:rtl/>
        </w:rPr>
        <w:t xml:space="preserve">الجواب، ج 2، ص 617 .</w:t>
      </w:r>
    </w:p>
    <w:p>
      <w:pPr>
        <w:pStyle w:val="BookText"/>
      </w:pPr>
      <w:r>
        <w:rPr>
          <w:rFonts w:ascii="Amiri" w:hAnsi="Amiri" w:eastAsia="Amiri" w:cs="Amiri"/>
          <w:lang w:bidi="ar-SA"/>
          <w:color w:val="111111"/>
          <w:sz w:val="28"/>
          <w:szCs w:val="28"/>
          <w:rtl/>
        </w:rPr>
        <w:t xml:space="preserve">2 .إنتخاب الاقتضاب على طريقة السؤال و الجواب، ج 2، ص782.</w:t>
      </w:r>
    </w:p>
    <w:p>
      <w:pPr>
        <w:pStyle w:val="BookText"/>
      </w:pPr>
      <w:r>
        <w:rPr>
          <w:rFonts w:ascii="Amiri" w:hAnsi="Amiri" w:eastAsia="Amiri" w:cs="Amiri"/>
          <w:lang w:bidi="ar-SA"/>
          <w:color w:val="111111"/>
          <w:sz w:val="28"/>
          <w:szCs w:val="28"/>
          <w:rtl/>
        </w:rPr>
        <w:t xml:space="preserve">ابن مشابذ ، ابوعبدالله محمّد بن سعيد -</w:t>
      </w:r>
    </w:p>
    <w:p>
      <w:pPr>
        <w:pStyle w:val="BookText"/>
      </w:pPr>
      <w:r>
        <w:rPr>
          <w:rFonts w:ascii="Amiri" w:hAnsi="Amiri" w:eastAsia="Amiri" w:cs="Amiri"/>
          <w:lang w:bidi="ar-SA"/>
          <w:color w:val="111111"/>
          <w:sz w:val="28"/>
          <w:szCs w:val="28"/>
          <w:rtl/>
        </w:rPr>
        <w:t xml:space="preserve">صنهاجي ، محمّد بن سعيد</w:t>
      </w:r>
    </w:p>
    <w:p>
      <w:pPr>
        <w:pStyle w:val="BookText"/>
      </w:pPr>
      <w:r>
        <w:rPr>
          <w:rFonts w:ascii="Amiri" w:hAnsi="Amiri" w:eastAsia="Amiri" w:cs="Amiri"/>
          <w:lang w:bidi="ar-SA"/>
          <w:color w:val="111111"/>
          <w:sz w:val="28"/>
          <w:szCs w:val="28"/>
          <w:rtl/>
        </w:rPr>
        <w:t xml:space="preserve">ابن مشرف نجدي- احسائي ، احمد بن</w:t>
      </w:r>
    </w:p>
    <w:p>
      <w:pPr>
        <w:pStyle w:val="BookText"/>
      </w:pPr>
      <w:r>
        <w:rPr>
          <w:rFonts w:ascii="Amiri" w:hAnsi="Amiri" w:eastAsia="Amiri" w:cs="Amiri"/>
          <w:lang w:bidi="ar-SA"/>
          <w:color w:val="111111"/>
          <w:sz w:val="28"/>
          <w:szCs w:val="28"/>
          <w:rtl/>
        </w:rPr>
        <w:t xml:space="preserve">علي بن مشرف</w:t>
      </w:r>
    </w:p>
    <w:p>
      <w:pPr>
        <w:pStyle w:val="Heading2"/>
      </w:pPr>
      <w:bookmarkStart w:id="1682" w:name="_Toc784"/>
      <w:r>
        <w:t>ابن مشهدي ، محمّد بن جعفر، 510 -</w:t>
      </w:r>
      <w:bookmarkEnd w:id="1682"/>
    </w:p>
    <w:p>
      <w:pPr>
        <w:pStyle w:val="BookText"/>
      </w:pPr>
      <w:r>
        <w:rPr>
          <w:rFonts w:ascii="IRNazanin" w:hAnsi="IRNazanin" w:eastAsia="IRNazanin" w:cs="IRNazanin"/>
          <w:lang w:bidi="fa-IR"/>
          <w:color w:val="111111"/>
          <w:sz w:val="28"/>
          <w:szCs w:val="28"/>
          <w:rtl/>
        </w:rPr>
        <w:t xml:space="preserve">المزار، ج 14، ص 416.</w:t>
      </w:r>
    </w:p>
    <w:p>
      <w:pPr>
        <w:pStyle w:val="Heading2"/>
      </w:pPr>
      <w:bookmarkStart w:id="1683" w:name="_Toc785"/>
      <w:r>
        <w:t>ابن مشيب ، خليل بن مشيب - 801 ه-</w:t>
      </w:r>
      <w:bookmarkEnd w:id="1683"/>
    </w:p>
    <w:p>
      <w:pPr>
        <w:pStyle w:val="BookText"/>
      </w:pPr>
      <w:r>
        <w:rPr>
          <w:rFonts w:ascii="Amiri" w:hAnsi="Amiri" w:eastAsia="Amiri" w:cs="Amiri"/>
          <w:lang w:bidi="ar-SA"/>
          <w:color w:val="111111"/>
          <w:sz w:val="28"/>
          <w:szCs w:val="28"/>
          <w:rtl/>
        </w:rPr>
        <w:t xml:space="preserve">تحفة الاخوان في تجويد القرآن، ج3،</w:t>
      </w:r>
    </w:p>
    <w:p>
      <w:pPr>
        <w:pStyle w:val="BookText"/>
      </w:pPr>
      <w:r>
        <w:rPr>
          <w:rFonts w:ascii="IRNazanin" w:hAnsi="IRNazanin" w:eastAsia="IRNazanin" w:cs="IRNazanin"/>
          <w:lang w:bidi="fa-IR"/>
          <w:color w:val="111111"/>
          <w:sz w:val="28"/>
          <w:szCs w:val="28"/>
          <w:rtl/>
        </w:rPr>
        <w:t xml:space="preserve">ص 789.</w:t>
      </w:r>
    </w:p>
    <w:p>
      <w:pPr>
        <w:pStyle w:val="Heading2"/>
      </w:pPr>
      <w:bookmarkStart w:id="1684" w:name="_Toc786"/>
      <w:r>
        <w:t>ابن مشيش ، عبد السلام بن مشيش</w:t>
      </w:r>
      <w:bookmarkEnd w:id="1684"/>
    </w:p>
    <w:p>
      <w:pPr>
        <w:pStyle w:val="BookText"/>
      </w:pPr>
      <w:r>
        <w:rPr>
          <w:rFonts w:ascii="IRNazanin" w:hAnsi="IRNazanin" w:eastAsia="IRNazanin" w:cs="IRNazanin"/>
          <w:lang w:bidi="fa-IR"/>
          <w:color w:val="111111"/>
          <w:sz w:val="28"/>
          <w:szCs w:val="28"/>
          <w:rtl/>
        </w:rPr>
        <w:t xml:space="preserve">622 ه-</w:t>
      </w:r>
    </w:p>
    <w:p>
      <w:pPr>
        <w:pStyle w:val="BookText"/>
      </w:pPr>
      <w:r>
        <w:rPr>
          <w:rFonts w:ascii="Amiri" w:hAnsi="Amiri" w:eastAsia="Amiri" w:cs="Amiri"/>
          <w:lang w:bidi="ar-SA"/>
          <w:color w:val="111111"/>
          <w:sz w:val="28"/>
          <w:szCs w:val="28"/>
          <w:rtl/>
        </w:rPr>
        <w:t xml:space="preserve">حزب المشيشية، ج6، ص 632.</w:t>
      </w:r>
    </w:p>
    <w:p>
      <w:pPr>
        <w:pStyle w:val="Heading2"/>
      </w:pPr>
      <w:bookmarkStart w:id="1685" w:name="_Toc787"/>
      <w:r>
        <w:t>ابن مطران ، اسعد بن الياس - 587 ه-</w:t>
      </w:r>
      <w:bookmarkEnd w:id="1685"/>
    </w:p>
    <w:p>
      <w:pPr>
        <w:pStyle w:val="BookText"/>
      </w:pPr>
      <w:r>
        <w:rPr>
          <w:rFonts w:ascii="Amiri" w:hAnsi="Amiri" w:eastAsia="Amiri" w:cs="Amiri"/>
          <w:lang w:bidi="ar-SA"/>
          <w:color w:val="111111"/>
          <w:sz w:val="28"/>
          <w:szCs w:val="28"/>
          <w:rtl/>
        </w:rPr>
        <w:t xml:space="preserve">بستان الاطباء و روضة الالباء، ج 3،</w:t>
      </w:r>
    </w:p>
    <w:p>
      <w:pPr>
        <w:pStyle w:val="BookText"/>
      </w:pPr>
      <w:r>
        <w:rPr>
          <w:rFonts w:ascii="IRNazanin" w:hAnsi="IRNazanin" w:eastAsia="IRNazanin" w:cs="IRNazanin"/>
          <w:lang w:bidi="fa-IR"/>
          <w:color w:val="111111"/>
          <w:sz w:val="28"/>
          <w:szCs w:val="28"/>
          <w:rtl/>
        </w:rPr>
        <w:t xml:space="preserve">ص 323.</w:t>
      </w:r>
    </w:p>
    <w:p>
      <w:pPr>
        <w:pStyle w:val="Heading2"/>
      </w:pPr>
      <w:bookmarkStart w:id="1686" w:name="_Toc788"/>
      <w:r>
        <w:t>ابن مطروح ، يحيى بن عيسى 592 -</w:t>
      </w:r>
      <w:bookmarkEnd w:id="1686"/>
    </w:p>
    <w:p>
      <w:pPr>
        <w:pStyle w:val="BookText"/>
      </w:pPr>
      <w:r>
        <w:rPr>
          <w:rFonts w:ascii="IRNazanin" w:hAnsi="IRNazanin" w:eastAsia="IRNazanin" w:cs="IRNazanin"/>
          <w:lang w:bidi="fa-IR"/>
          <w:color w:val="111111"/>
          <w:sz w:val="28"/>
          <w:szCs w:val="28"/>
          <w:rtl/>
        </w:rPr>
        <w:t xml:space="preserve">649 ه-</w:t>
      </w:r>
    </w:p>
    <w:p>
      <w:pPr>
        <w:pStyle w:val="BookText"/>
      </w:pPr>
      <w:r>
        <w:rPr>
          <w:rFonts w:ascii="IRNazanin" w:hAnsi="IRNazanin" w:eastAsia="IRNazanin" w:cs="IRNazanin"/>
          <w:lang w:bidi="fa-IR"/>
          <w:color w:val="111111"/>
          <w:sz w:val="28"/>
          <w:szCs w:val="28"/>
          <w:rtl/>
        </w:rPr>
        <w:t xml:space="preserve">دیوان ابن مطروح، ج7، ص537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7" w:name="pg7742_69593"/>
    <w:bookmarkEnd w:id="117"/>
    <w:p>
      <w:pPr>
        <w:pStyle w:val="BookText"/>
      </w:pPr>
      <w:r>
        <w:rPr>
          <w:rFonts w:ascii="IRNazanin" w:hAnsi="IRNazanin" w:eastAsia="IRNazanin" w:cs="IRNazanin"/>
          <w:lang w:bidi="fa-IR"/>
          <w:color w:val="111111"/>
          <w:sz w:val="28"/>
          <w:szCs w:val="28"/>
          <w:rtl/>
        </w:rPr>
        <w:t xml:space="preserve">ابن مطهر ، احمد بن حسن- ابن شرف</w:t>
      </w:r>
    </w:p>
    <w:p>
      <w:pPr>
        <w:pStyle w:val="BookText"/>
      </w:pPr>
      <w:r>
        <w:rPr>
          <w:rFonts w:ascii="Amiri" w:hAnsi="Amiri" w:eastAsia="Amiri" w:cs="Amiri"/>
          <w:lang w:bidi="ar-SA"/>
          <w:color w:val="111111"/>
          <w:sz w:val="28"/>
          <w:szCs w:val="28"/>
          <w:rtl/>
        </w:rPr>
        <w:t xml:space="preserve">الدين ، احمد بن حسن</w:t>
      </w:r>
    </w:p>
    <w:p>
      <w:pPr>
        <w:pStyle w:val="Heading2"/>
      </w:pPr>
      <w:bookmarkStart w:id="1687" w:name="_Toc789"/>
      <w:r>
        <w:t>ابن مظفر ، محمّد بن مظفر، 286-379ه-</w:t>
      </w:r>
      <w:bookmarkEnd w:id="1687"/>
    </w:p>
    <w:p>
      <w:pPr>
        <w:pStyle w:val="BookText"/>
      </w:pPr>
      <w:r>
        <w:rPr>
          <w:rFonts w:ascii="Amiri" w:hAnsi="Amiri" w:eastAsia="Amiri" w:cs="Amiri"/>
          <w:lang w:bidi="ar-SA"/>
          <w:color w:val="111111"/>
          <w:sz w:val="28"/>
          <w:szCs w:val="28"/>
          <w:rtl/>
        </w:rPr>
        <w:t xml:space="preserve">الفوائد المنتقاة عن الشيوخ العوالي</w:t>
      </w:r>
    </w:p>
    <w:p>
      <w:pPr>
        <w:pStyle w:val="BookText"/>
      </w:pPr>
      <w:r>
        <w:rPr>
          <w:rFonts w:ascii="IRNazanin" w:hAnsi="IRNazanin" w:eastAsia="IRNazanin" w:cs="IRNazanin"/>
          <w:lang w:bidi="fa-IR"/>
          <w:color w:val="111111"/>
          <w:sz w:val="28"/>
          <w:szCs w:val="28"/>
          <w:rtl/>
        </w:rPr>
        <w:t xml:space="preserve">ج 12، ص 280.</w:t>
      </w:r>
    </w:p>
    <w:p>
      <w:pPr>
        <w:pStyle w:val="Heading2"/>
      </w:pPr>
      <w:bookmarkStart w:id="1688" w:name="_Toc790"/>
      <w:r>
        <w:t>ابن مظفر ، يحيى بن احمد - 875 ه-</w:t>
      </w:r>
      <w:bookmarkEnd w:id="1688"/>
    </w:p>
    <w:p>
      <w:pPr>
        <w:pStyle w:val="BookText"/>
      </w:pPr>
      <w:r>
        <w:rPr>
          <w:rFonts w:ascii="Amiri" w:hAnsi="Amiri" w:eastAsia="Amiri" w:cs="Amiri"/>
          <w:lang w:bidi="ar-SA"/>
          <w:color w:val="111111"/>
          <w:sz w:val="28"/>
          <w:szCs w:val="28"/>
          <w:rtl/>
        </w:rPr>
        <w:t xml:space="preserve">البيان الشافي المنتزع من البرهان</w:t>
      </w:r>
    </w:p>
    <w:p>
      <w:pPr>
        <w:pStyle w:val="BookText"/>
      </w:pPr>
      <w:r>
        <w:rPr>
          <w:rFonts w:ascii="Amiri" w:hAnsi="Amiri" w:eastAsia="Amiri" w:cs="Amiri"/>
          <w:lang w:bidi="ar-SA"/>
          <w:color w:val="111111"/>
          <w:sz w:val="28"/>
          <w:szCs w:val="28"/>
          <w:rtl/>
        </w:rPr>
        <w:t xml:space="preserve">الكافي، ج 3، ص 473.</w:t>
      </w:r>
    </w:p>
    <w:p>
      <w:pPr>
        <w:pStyle w:val="Heading2"/>
      </w:pPr>
      <w:bookmarkStart w:id="1689" w:name="_Toc791"/>
      <w:r>
        <w:t>ابن ،معتز عبدالله بن محمّد، 247-296ه-</w:t>
      </w:r>
      <w:bookmarkEnd w:id="16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الآداب، ج 1، ص 16.</w:t>
      </w:r>
    </w:p>
    <w:p>
      <w:pPr>
        <w:pStyle w:val="BookText"/>
      </w:pPr>
      <w:r>
        <w:rPr>
          <w:rFonts w:ascii="IRNazanin" w:hAnsi="IRNazanin" w:eastAsia="IRNazanin" w:cs="IRNazanin"/>
          <w:lang w:bidi="fa-IR"/>
          <w:color w:val="111111"/>
          <w:sz w:val="28"/>
          <w:szCs w:val="28"/>
          <w:rtl/>
        </w:rPr>
        <w:t xml:space="preserve">2 .الخلفاء و الشعراء والوزارات، ج 7،</w:t>
      </w:r>
    </w:p>
    <w:p>
      <w:pPr>
        <w:pStyle w:val="BookText"/>
      </w:pPr>
      <w:r>
        <w:rPr>
          <w:rFonts w:ascii="IRNazanin" w:hAnsi="IRNazanin" w:eastAsia="IRNazanin" w:cs="IRNazanin"/>
          <w:lang w:bidi="fa-IR"/>
          <w:color w:val="111111"/>
          <w:sz w:val="28"/>
          <w:szCs w:val="28"/>
          <w:rtl/>
        </w:rPr>
        <w:t xml:space="preserve">ص 147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ابن المعتز، ج 7، ص 538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طبقات الشعراء المحدثين، ج10،</w:t>
      </w:r>
    </w:p>
    <w:p>
      <w:pPr>
        <w:pStyle w:val="BookText"/>
      </w:pPr>
      <w:r>
        <w:rPr>
          <w:rFonts w:ascii="IRNazanin" w:hAnsi="IRNazanin" w:eastAsia="IRNazanin" w:cs="IRNazanin"/>
          <w:lang w:bidi="fa-IR"/>
          <w:color w:val="111111"/>
          <w:sz w:val="28"/>
          <w:szCs w:val="28"/>
          <w:rtl/>
        </w:rPr>
        <w:t xml:space="preserve">ص 780.</w:t>
      </w:r>
    </w:p>
    <w:p>
      <w:pPr>
        <w:pStyle w:val="BookText"/>
      </w:pPr>
      <w:r>
        <w:rPr>
          <w:rFonts w:ascii="Amiri" w:hAnsi="Amiri" w:eastAsia="Amiri" w:cs="Amiri"/>
          <w:lang w:bidi="ar-SA"/>
          <w:color w:val="111111"/>
          <w:sz w:val="28"/>
          <w:szCs w:val="28"/>
          <w:rtl/>
        </w:rPr>
        <w:t xml:space="preserve">5 .فصول التماثيل في تباشير السرور</w:t>
      </w:r>
    </w:p>
    <w:p>
      <w:pPr>
        <w:pStyle w:val="BookText"/>
      </w:pPr>
      <w:r>
        <w:rPr>
          <w:rFonts w:ascii="IRNazanin" w:hAnsi="IRNazanin" w:eastAsia="IRNazanin" w:cs="IRNazanin"/>
          <w:lang w:bidi="fa-IR"/>
          <w:color w:val="111111"/>
          <w:sz w:val="28"/>
          <w:szCs w:val="28"/>
          <w:rtl/>
        </w:rPr>
        <w:t xml:space="preserve">ج 11 ، ص 846.</w:t>
      </w:r>
    </w:p>
    <w:p>
      <w:pPr>
        <w:pStyle w:val="BookText"/>
      </w:pPr>
      <w:r>
        <w:rPr>
          <w:rFonts w:ascii="IRNazanin" w:hAnsi="IRNazanin" w:eastAsia="IRNazanin" w:cs="IRNazanin"/>
          <w:lang w:bidi="fa-IR"/>
          <w:color w:val="111111"/>
          <w:sz w:val="28"/>
          <w:szCs w:val="28"/>
          <w:rtl/>
        </w:rPr>
        <w:t xml:space="preserve">ابن معتق ، محمّد بن حسن محمّد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1690" w:name="_Toc792"/>
      <w:r>
        <w:t>ابن ،معتوق شهاب الدين، 1025-1087ه-</w:t>
      </w:r>
      <w:bookmarkEnd w:id="1690"/>
    </w:p>
    <w:p>
      <w:pPr>
        <w:pStyle w:val="BookText"/>
      </w:pPr>
      <w:r>
        <w:rPr>
          <w:rFonts w:ascii="IRNazanin" w:hAnsi="IRNazanin" w:eastAsia="IRNazanin" w:cs="IRNazanin"/>
          <w:lang w:bidi="fa-IR"/>
          <w:color w:val="111111"/>
          <w:sz w:val="28"/>
          <w:szCs w:val="28"/>
          <w:rtl/>
        </w:rPr>
        <w:t xml:space="preserve">دیوان ابن معتوق، ج 7، ص 539</w:t>
      </w:r>
    </w:p>
    <w:p>
      <w:pPr>
        <w:pStyle w:val="BookText"/>
      </w:pPr>
      <w:r>
        <w:rPr>
          <w:rFonts w:ascii="IRNazanin" w:hAnsi="IRNazanin" w:eastAsia="IRNazanin" w:cs="IRNazanin"/>
          <w:lang w:bidi="fa-IR"/>
          <w:color w:val="111111"/>
          <w:sz w:val="28"/>
          <w:szCs w:val="28"/>
          <w:rtl/>
        </w:rPr>
        <w:t xml:space="preserve">ابن معروف ، عبدالرحيم گيلاني</w:t>
      </w:r>
    </w:p>
    <w:p>
      <w:pPr>
        <w:pStyle w:val="BookText"/>
      </w:pPr>
      <w:r>
        <w:rPr>
          <w:rFonts w:ascii="IRNazanin" w:hAnsi="IRNazanin" w:eastAsia="IRNazanin" w:cs="IRNazanin"/>
          <w:lang w:bidi="fa-IR"/>
          <w:color w:val="111111"/>
          <w:sz w:val="28"/>
          <w:szCs w:val="28"/>
          <w:rtl/>
        </w:rPr>
        <w:t xml:space="preserve">عبدالرحیم بن معروف</w:t>
      </w:r>
    </w:p>
    <w:p>
      <w:pPr>
        <w:pStyle w:val="Heading2"/>
      </w:pPr>
      <w:bookmarkStart w:id="1691" w:name="_Toc793"/>
      <w:r>
        <w:t>ابن معروف ، محمّد بن عبدالخالق</w:t>
      </w:r>
      <w:bookmarkEnd w:id="1691"/>
    </w:p>
    <w:p>
      <w:pPr>
        <w:pStyle w:val="BookText"/>
      </w:pPr>
      <w:r>
        <w:rPr>
          <w:rFonts w:ascii="IRNazanin" w:hAnsi="IRNazanin" w:eastAsia="IRNazanin" w:cs="IRNazanin"/>
          <w:lang w:bidi="fa-IR"/>
          <w:color w:val="111111"/>
          <w:sz w:val="28"/>
          <w:szCs w:val="28"/>
          <w:rtl/>
        </w:rPr>
        <w:t xml:space="preserve">883 ه-</w:t>
      </w:r>
    </w:p>
    <w:p>
      <w:pPr>
        <w:pStyle w:val="BookText"/>
      </w:pPr>
      <w:r>
        <w:rPr>
          <w:rFonts w:ascii="Amiri" w:hAnsi="Amiri" w:eastAsia="Amiri" w:cs="Amiri"/>
          <w:lang w:bidi="ar-SA"/>
          <w:color w:val="111111"/>
          <w:sz w:val="28"/>
          <w:szCs w:val="28"/>
          <w:rtl/>
        </w:rPr>
        <w:t xml:space="preserve">كنز اللغات، ج 13 ، ص 433 .</w:t>
      </w:r>
    </w:p>
    <w:p>
      <w:pPr>
        <w:pStyle w:val="Heading2"/>
      </w:pPr>
      <w:bookmarkStart w:id="1692" w:name="_Toc794"/>
      <w:r>
        <w:t>ابن معري ، محمّد طه</w:t>
      </w:r>
      <w:bookmarkEnd w:id="1692"/>
    </w:p>
    <w:p>
      <w:pPr>
        <w:pStyle w:val="BookText"/>
      </w:pPr>
      <w:r>
        <w:rPr>
          <w:rFonts w:ascii="Amiri" w:hAnsi="Amiri" w:eastAsia="Amiri" w:cs="Amiri"/>
          <w:lang w:bidi="ar-SA"/>
          <w:color w:val="111111"/>
          <w:sz w:val="28"/>
          <w:szCs w:val="28"/>
          <w:rtl/>
        </w:rPr>
        <w:t xml:space="preserve">كشف الاستار، ج13، ص181</w:t>
      </w:r>
    </w:p>
    <w:p>
      <w:pPr>
        <w:pStyle w:val="BookText"/>
      </w:pPr>
      <w:r>
        <w:rPr>
          <w:rFonts w:ascii="Amiri" w:hAnsi="Amiri" w:eastAsia="Amiri" w:cs="Amiri"/>
          <w:lang w:bidi="ar-SA"/>
          <w:color w:val="111111"/>
          <w:sz w:val="28"/>
          <w:szCs w:val="28"/>
          <w:rtl/>
        </w:rPr>
        <w:t xml:space="preserve">ابن معصوم ، علي بن احمد -مدني ، علي</w:t>
      </w:r>
    </w:p>
    <w:p>
      <w:pPr>
        <w:pStyle w:val="BookText"/>
      </w:pPr>
      <w:r>
        <w:rPr>
          <w:rFonts w:ascii="IRNazanin" w:hAnsi="IRNazanin" w:eastAsia="IRNazanin" w:cs="IRNazanin"/>
          <w:lang w:bidi="fa-IR"/>
          <w:color w:val="111111"/>
          <w:sz w:val="28"/>
          <w:szCs w:val="28"/>
          <w:rtl/>
        </w:rPr>
        <w:t xml:space="preserve">خان بن احمد</w:t>
      </w:r>
    </w:p>
    <w:p>
      <w:pPr>
        <w:pStyle w:val="BookText"/>
      </w:pPr>
      <w:r>
        <w:rPr>
          <w:rFonts w:ascii="Amiri" w:hAnsi="Amiri" w:eastAsia="Amiri" w:cs="Amiri"/>
          <w:lang w:bidi="ar-SA"/>
          <w:color w:val="111111"/>
          <w:sz w:val="28"/>
          <w:szCs w:val="28"/>
          <w:rtl/>
        </w:rPr>
        <w:t xml:space="preserve">ابن معصوم ، محمّد بن حيد- موسوي محمّد بن حيدر</w:t>
      </w:r>
    </w:p>
    <w:p>
      <w:pPr>
        <w:pStyle w:val="Heading2"/>
      </w:pPr>
      <w:bookmarkStart w:id="1693" w:name="_Toc795"/>
      <w:r>
        <w:t>ابن معلم هرئي ، محمد بن علي، 501 -</w:t>
      </w:r>
      <w:bookmarkEnd w:id="1693"/>
    </w:p>
    <w:p>
      <w:pPr>
        <w:pStyle w:val="BookText"/>
      </w:pPr>
      <w:r>
        <w:rPr>
          <w:rFonts w:ascii="IRNazanin" w:hAnsi="IRNazanin" w:eastAsia="IRNazanin" w:cs="IRNazanin"/>
          <w:lang w:bidi="fa-IR"/>
          <w:color w:val="111111"/>
          <w:sz w:val="28"/>
          <w:szCs w:val="28"/>
          <w:rtl/>
        </w:rPr>
        <w:t xml:space="preserve">592 ه-</w:t>
      </w:r>
    </w:p>
    <w:p>
      <w:pPr>
        <w:pStyle w:val="BookText"/>
      </w:pPr>
      <w:r>
        <w:rPr>
          <w:rFonts w:ascii="IRNazanin" w:hAnsi="IRNazanin" w:eastAsia="IRNazanin" w:cs="IRNazanin"/>
          <w:lang w:bidi="fa-IR"/>
          <w:color w:val="111111"/>
          <w:sz w:val="28"/>
          <w:szCs w:val="28"/>
          <w:rtl/>
        </w:rPr>
        <w:t xml:space="preserve">دیوان ابن المعلم، ج 7، ص 541.</w:t>
      </w:r>
    </w:p>
    <w:p>
      <w:pPr>
        <w:pStyle w:val="Heading2"/>
      </w:pPr>
      <w:bookmarkStart w:id="1694" w:name="_Toc796"/>
      <w:r>
        <w:t>ابن معمر تميمي ، احمد بن ناصر -</w:t>
      </w:r>
      <w:bookmarkEnd w:id="1694"/>
    </w:p>
    <w:p>
      <w:pPr>
        <w:pStyle w:val="BookText"/>
      </w:pPr>
      <w:r>
        <w:rPr>
          <w:rFonts w:ascii="IRNazanin" w:hAnsi="IRNazanin" w:eastAsia="IRNazanin" w:cs="IRNazanin"/>
          <w:lang w:bidi="fa-IR"/>
          <w:color w:val="111111"/>
          <w:sz w:val="28"/>
          <w:szCs w:val="28"/>
          <w:rtl/>
        </w:rPr>
        <w:t xml:space="preserve">1283 ه-</w:t>
      </w:r>
    </w:p>
    <w:p>
      <w:pPr>
        <w:pStyle w:val="BookText"/>
      </w:pPr>
      <w:r>
        <w:rPr>
          <w:rFonts w:ascii="Amiri" w:hAnsi="Amiri" w:eastAsia="Amiri" w:cs="Amiri"/>
          <w:lang w:bidi="ar-SA"/>
          <w:color w:val="111111"/>
          <w:sz w:val="28"/>
          <w:szCs w:val="28"/>
          <w:rtl/>
        </w:rPr>
        <w:t xml:space="preserve">1 .الفواكه العذاب في الرد على من لم يحكم السنة و الكتاب، ج12،</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Amiri" w:hAnsi="Amiri" w:eastAsia="Amiri" w:cs="Amiri"/>
          <w:lang w:bidi="ar-SA"/>
          <w:color w:val="111111"/>
          <w:sz w:val="28"/>
          <w:szCs w:val="28"/>
          <w:rtl/>
        </w:rPr>
        <w:t xml:space="preserve">2 .الفواكه العذاب في معتقد محمّد</w:t>
      </w:r>
    </w:p>
    <w:p>
      <w:pPr>
        <w:pStyle w:val="BookText"/>
      </w:pPr>
      <w:r>
        <w:rPr>
          <w:rFonts w:ascii="IRNazanin" w:hAnsi="IRNazanin" w:eastAsia="IRNazanin" w:cs="IRNazanin"/>
          <w:lang w:bidi="fa-IR"/>
          <w:color w:val="111111"/>
          <w:sz w:val="28"/>
          <w:szCs w:val="28"/>
          <w:rtl/>
        </w:rPr>
        <w:t xml:space="preserve">بن عبدالوهاب، ج 12، ص301.</w:t>
      </w:r>
    </w:p>
    <w:p>
      <w:pPr>
        <w:pStyle w:val="Heading2"/>
      </w:pPr>
      <w:bookmarkStart w:id="1695" w:name="_Toc797"/>
      <w:r>
        <w:t>ابن معید ، محمّد بن عبد العزيز -983ه-</w:t>
      </w:r>
      <w:bookmarkEnd w:id="1695"/>
    </w:p>
    <w:p>
      <w:pPr>
        <w:pStyle w:val="BookText"/>
      </w:pPr>
      <w:r>
        <w:rPr>
          <w:rFonts w:ascii="Amiri" w:hAnsi="Amiri" w:eastAsia="Amiri" w:cs="Amiri"/>
          <w:lang w:bidi="ar-SA"/>
          <w:color w:val="111111"/>
          <w:sz w:val="28"/>
          <w:szCs w:val="28"/>
          <w:rtl/>
        </w:rPr>
        <w:t xml:space="preserve">حاشية حاشية السيد الشريف على</w:t>
      </w:r>
    </w:p>
    <w:p>
      <w:pPr>
        <w:pStyle w:val="BookText"/>
      </w:pPr>
      <w:r>
        <w:rPr>
          <w:rFonts w:ascii="Amiri" w:hAnsi="Amiri" w:eastAsia="Amiri" w:cs="Amiri"/>
          <w:lang w:bidi="ar-SA"/>
          <w:color w:val="111111"/>
          <w:sz w:val="28"/>
          <w:szCs w:val="28"/>
          <w:rtl/>
        </w:rPr>
        <w:t xml:space="preserve">التجريد، ج 5، ص 821.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8" w:name="pg7742_69595"/>
    <w:bookmarkEnd w:id="118"/>
    <w:p>
      <w:pPr>
        <w:pStyle w:val="BookText"/>
      </w:pPr>
      <w:r>
        <w:rPr>
          <w:rFonts w:ascii="Amiri" w:hAnsi="Amiri" w:eastAsia="Amiri" w:cs="Amiri"/>
          <w:lang w:bidi="ar-SA"/>
          <w:color w:val="111111"/>
          <w:sz w:val="28"/>
          <w:szCs w:val="28"/>
          <w:rtl/>
        </w:rPr>
        <w:t xml:space="preserve">ابن معين ، عمر بن بدر -موصلي ، عمر</w:t>
      </w:r>
    </w:p>
    <w:p>
      <w:pPr>
        <w:pStyle w:val="BookText"/>
      </w:pPr>
      <w:r>
        <w:rPr>
          <w:rFonts w:ascii="IRNazanin" w:hAnsi="IRNazanin" w:eastAsia="IRNazanin" w:cs="IRNazanin"/>
          <w:lang w:bidi="fa-IR"/>
          <w:color w:val="111111"/>
          <w:sz w:val="28"/>
          <w:szCs w:val="28"/>
          <w:rtl/>
        </w:rPr>
        <w:t xml:space="preserve">بن بدر</w:t>
      </w:r>
    </w:p>
    <w:p>
      <w:pPr>
        <w:pStyle w:val="Heading2"/>
      </w:pPr>
      <w:bookmarkStart w:id="1696" w:name="_Toc798"/>
      <w:r>
        <w:t>ابن معين ، يحيى بن معين، 158 - 233 ه-</w:t>
      </w:r>
      <w:bookmarkEnd w:id="1696"/>
    </w:p>
    <w:p>
      <w:pPr>
        <w:pStyle w:val="BookText"/>
      </w:pPr>
      <w:r>
        <w:rPr>
          <w:rFonts w:ascii="Amiri" w:hAnsi="Amiri" w:eastAsia="Amiri" w:cs="Amiri"/>
          <w:lang w:bidi="ar-SA"/>
          <w:color w:val="111111"/>
          <w:sz w:val="28"/>
          <w:szCs w:val="28"/>
          <w:rtl/>
        </w:rPr>
        <w:t xml:space="preserve">1 .التاريخ و العلل، ج 3، ص 613.</w:t>
      </w:r>
    </w:p>
    <w:p>
      <w:pPr>
        <w:pStyle w:val="BookText"/>
      </w:pPr>
      <w:r>
        <w:rPr>
          <w:rFonts w:ascii="Amiri" w:hAnsi="Amiri" w:eastAsia="Amiri" w:cs="Amiri"/>
          <w:lang w:bidi="ar-SA"/>
          <w:color w:val="111111"/>
          <w:sz w:val="28"/>
          <w:szCs w:val="28"/>
          <w:rtl/>
        </w:rPr>
        <w:t xml:space="preserve">2 .الكني والاسماء، ج 13، ص 447.</w:t>
      </w:r>
    </w:p>
    <w:p>
      <w:pPr>
        <w:pStyle w:val="BookText"/>
      </w:pPr>
      <w:r>
        <w:rPr>
          <w:rFonts w:ascii="Amiri" w:hAnsi="Amiri" w:eastAsia="Amiri" w:cs="Amiri"/>
          <w:lang w:bidi="ar-SA"/>
          <w:color w:val="111111"/>
          <w:sz w:val="28"/>
          <w:szCs w:val="28"/>
          <w:rtl/>
        </w:rPr>
        <w:t xml:space="preserve">3 .معرفة الرجال، ج 15 ، ص 55</w:t>
      </w:r>
    </w:p>
    <w:p>
      <w:pPr>
        <w:pStyle w:val="Heading2"/>
      </w:pPr>
      <w:bookmarkStart w:id="1697" w:name="_Toc799"/>
      <w:r>
        <w:t>ابن مغازلي ، علي بن محمّد - 483 ه-</w:t>
      </w:r>
      <w:bookmarkEnd w:id="1697"/>
    </w:p>
    <w:p>
      <w:pPr>
        <w:pStyle w:val="BookText"/>
      </w:pPr>
      <w:r>
        <w:rPr>
          <w:rFonts w:ascii="Amiri" w:hAnsi="Amiri" w:eastAsia="Amiri" w:cs="Amiri"/>
          <w:lang w:bidi="ar-SA"/>
          <w:color w:val="111111"/>
          <w:sz w:val="28"/>
          <w:szCs w:val="28"/>
          <w:rtl/>
        </w:rPr>
        <w:t xml:space="preserve">المناقب في فضائل علي بن ابي طالب</w:t>
      </w:r>
    </w:p>
    <w:p>
      <w:pPr>
        <w:pStyle w:val="BookText"/>
      </w:pPr>
      <w:r>
        <w:rPr>
          <w:rFonts w:ascii="Amiri" w:hAnsi="Amiri" w:eastAsia="Amiri" w:cs="Amiri"/>
          <w:lang w:bidi="ar-SA"/>
          <w:color w:val="111111"/>
          <w:sz w:val="28"/>
          <w:szCs w:val="28"/>
          <w:rtl/>
        </w:rPr>
        <w:t xml:space="preserve">عليه السلام = مناقب علي بن ابي طالب، ج 15، ص 552.</w:t>
      </w:r>
    </w:p>
    <w:p>
      <w:pPr>
        <w:pStyle w:val="Heading2"/>
      </w:pPr>
      <w:bookmarkStart w:id="1698" w:name="_Toc800"/>
      <w:r>
        <w:t>ابن مغربل ، عزالدين بن كمال الدين</w:t>
      </w:r>
      <w:bookmarkEnd w:id="1698"/>
    </w:p>
    <w:p>
      <w:pPr>
        <w:pStyle w:val="BookText"/>
      </w:pPr>
      <w:r>
        <w:rPr>
          <w:rFonts w:ascii="IRNazanin" w:hAnsi="IRNazanin" w:eastAsia="IRNazanin" w:cs="IRNazanin"/>
          <w:lang w:bidi="fa-IR"/>
          <w:color w:val="111111"/>
          <w:sz w:val="28"/>
          <w:szCs w:val="28"/>
          <w:rtl/>
        </w:rPr>
        <w:t xml:space="preserve">988ه-</w:t>
      </w:r>
    </w:p>
    <w:p>
      <w:pPr>
        <w:pStyle w:val="BookText"/>
      </w:pPr>
      <w:r>
        <w:rPr>
          <w:rFonts w:ascii="Amiri" w:hAnsi="Amiri" w:eastAsia="Amiri" w:cs="Amiri"/>
          <w:lang w:bidi="ar-SA"/>
          <w:color w:val="111111"/>
          <w:sz w:val="28"/>
          <w:szCs w:val="28"/>
          <w:rtl/>
        </w:rPr>
        <w:t xml:space="preserve">اثبات الشوارد مما وجد في حواش</w:t>
      </w:r>
    </w:p>
    <w:p>
      <w:pPr>
        <w:pStyle w:val="BookText"/>
      </w:pPr>
      <w:r>
        <w:rPr>
          <w:rFonts w:ascii="Amiri" w:hAnsi="Amiri" w:eastAsia="Amiri" w:cs="Amiri"/>
          <w:lang w:bidi="ar-SA"/>
          <w:color w:val="111111"/>
          <w:sz w:val="28"/>
          <w:szCs w:val="28"/>
          <w:rtl/>
        </w:rPr>
        <w:t xml:space="preserve">الكتب من الفوائد، ج 1، ص 154 .</w:t>
      </w:r>
    </w:p>
    <w:p>
      <w:pPr>
        <w:pStyle w:val="BookText"/>
      </w:pPr>
      <w:r>
        <w:rPr>
          <w:rFonts w:ascii="Amiri" w:hAnsi="Amiri" w:eastAsia="Amiri" w:cs="Amiri"/>
          <w:lang w:bidi="ar-SA"/>
          <w:color w:val="111111"/>
          <w:sz w:val="28"/>
          <w:szCs w:val="28"/>
          <w:rtl/>
        </w:rPr>
        <w:t xml:space="preserve">ابن مغربي ، حسين بن علي- وزير مغربي ،</w:t>
      </w:r>
    </w:p>
    <w:p>
      <w:pPr>
        <w:pStyle w:val="BookText"/>
      </w:pPr>
      <w:r>
        <w:rPr>
          <w:rFonts w:ascii="Amiri" w:hAnsi="Amiri" w:eastAsia="Amiri" w:cs="Amiri"/>
          <w:lang w:bidi="ar-SA"/>
          <w:color w:val="111111"/>
          <w:sz w:val="28"/>
          <w:szCs w:val="28"/>
          <w:rtl/>
        </w:rPr>
        <w:t xml:space="preserve">حسين بن علي</w:t>
      </w:r>
    </w:p>
    <w:p>
      <w:pPr>
        <w:pStyle w:val="Heading2"/>
      </w:pPr>
      <w:bookmarkStart w:id="1699" w:name="_Toc801"/>
      <w:r>
        <w:t>ابن مغربي ، علي بن محمود</w:t>
      </w:r>
      <w:bookmarkEnd w:id="1699"/>
    </w:p>
    <w:p>
      <w:pPr>
        <w:pStyle w:val="BookText"/>
      </w:pPr>
      <w:r>
        <w:rPr>
          <w:rFonts w:ascii="Amiri" w:hAnsi="Amiri" w:eastAsia="Amiri" w:cs="Amiri"/>
          <w:lang w:bidi="ar-SA"/>
          <w:color w:val="111111"/>
          <w:sz w:val="28"/>
          <w:szCs w:val="28"/>
          <w:rtl/>
        </w:rPr>
        <w:t xml:space="preserve">نزهة النفوس و مزيل العكوس في علم الحروف، ج 16 ، ص 258 .</w:t>
      </w:r>
    </w:p>
    <w:p>
      <w:pPr>
        <w:pStyle w:val="BookText"/>
      </w:pPr>
      <w:r>
        <w:rPr>
          <w:rFonts w:ascii="IRNazanin" w:hAnsi="IRNazanin" w:eastAsia="IRNazanin" w:cs="IRNazanin"/>
          <w:lang w:bidi="fa-IR"/>
          <w:color w:val="111111"/>
          <w:sz w:val="28"/>
          <w:szCs w:val="28"/>
          <w:rtl/>
        </w:rPr>
        <w:t xml:space="preserve">ابن مفتاح ، عبدالله بن ابوالقاسم</w:t>
      </w:r>
    </w:p>
    <w:p>
      <w:pPr>
        <w:pStyle w:val="BookText"/>
      </w:pPr>
      <w:r>
        <w:rPr>
          <w:rFonts w:ascii="Amiri" w:hAnsi="Amiri" w:eastAsia="Amiri" w:cs="Amiri"/>
          <w:lang w:bidi="ar-SA"/>
          <w:color w:val="111111"/>
          <w:sz w:val="28"/>
          <w:szCs w:val="28"/>
          <w:rtl/>
        </w:rPr>
        <w:t xml:space="preserve">محمّد نجري ، عبدالله بن محمّد</w:t>
      </w:r>
    </w:p>
    <w:p>
      <w:pPr>
        <w:pStyle w:val="Heading2"/>
      </w:pPr>
      <w:bookmarkStart w:id="1700" w:name="_Toc802"/>
      <w:r>
        <w:t>ابن مفلح ، ابراهيم بن علي قرن 10 ه-</w:t>
      </w:r>
      <w:bookmarkEnd w:id="1700"/>
    </w:p>
    <w:p>
      <w:pPr>
        <w:pStyle w:val="BookText"/>
      </w:pPr>
      <w:r>
        <w:rPr>
          <w:rFonts w:ascii="Amiri" w:hAnsi="Amiri" w:eastAsia="Amiri" w:cs="Amiri"/>
          <w:lang w:bidi="ar-SA"/>
          <w:color w:val="111111"/>
          <w:sz w:val="28"/>
          <w:szCs w:val="28"/>
          <w:rtl/>
        </w:rPr>
        <w:t xml:space="preserve">تحصيل السداد في شرح واجب</w:t>
      </w:r>
    </w:p>
    <w:p>
      <w:pPr>
        <w:pStyle w:val="BookText"/>
      </w:pPr>
      <w:r>
        <w:rPr>
          <w:rFonts w:ascii="IRNazanin" w:hAnsi="IRNazanin" w:eastAsia="IRNazanin" w:cs="IRNazanin"/>
          <w:lang w:bidi="fa-IR"/>
          <w:color w:val="111111"/>
          <w:sz w:val="28"/>
          <w:szCs w:val="28"/>
          <w:rtl/>
        </w:rPr>
        <w:t xml:space="preserve">الاعتقادات، ج3، ص 765.</w:t>
      </w:r>
    </w:p>
    <w:p>
      <w:pPr>
        <w:pStyle w:val="Heading2"/>
      </w:pPr>
      <w:bookmarkStart w:id="1701" w:name="_Toc803"/>
      <w:r>
        <w:t>ابن مفلح ابراهیم بن محمّد، 815-884ه-</w:t>
      </w:r>
      <w:bookmarkEnd w:id="1701"/>
    </w:p>
    <w:p>
      <w:pPr>
        <w:pStyle w:val="BookText"/>
      </w:pPr>
      <w:r>
        <w:rPr>
          <w:rFonts w:ascii="Amiri" w:hAnsi="Amiri" w:eastAsia="Amiri" w:cs="Amiri"/>
          <w:lang w:bidi="ar-SA"/>
          <w:color w:val="111111"/>
          <w:sz w:val="28"/>
          <w:szCs w:val="28"/>
          <w:rtl/>
        </w:rPr>
        <w:t xml:space="preserve">المبدع في شرح المقنع، ج13، ص 735.</w:t>
      </w:r>
    </w:p>
    <w:p>
      <w:pPr>
        <w:pStyle w:val="BookText"/>
      </w:pPr>
      <w:r>
        <w:rPr>
          <w:rFonts w:ascii="Amiri" w:hAnsi="Amiri" w:eastAsia="Amiri" w:cs="Amiri"/>
          <w:lang w:bidi="ar-SA"/>
          <w:color w:val="111111"/>
          <w:sz w:val="28"/>
          <w:szCs w:val="28"/>
          <w:rtl/>
        </w:rPr>
        <w:t xml:space="preserve">ابن مفلح ، علي بن عبد العالي- ميسي ،</w:t>
      </w:r>
    </w:p>
    <w:p>
      <w:pPr>
        <w:pStyle w:val="BookText"/>
      </w:pPr>
      <w:r>
        <w:rPr>
          <w:rFonts w:ascii="Amiri" w:hAnsi="Amiri" w:eastAsia="Amiri" w:cs="Amiri"/>
          <w:lang w:bidi="ar-SA"/>
          <w:color w:val="111111"/>
          <w:sz w:val="28"/>
          <w:szCs w:val="28"/>
          <w:rtl/>
        </w:rPr>
        <w:t xml:space="preserve">علي بن عبد العالي</w:t>
      </w:r>
    </w:p>
    <w:p>
      <w:pPr>
        <w:pStyle w:val="Heading2"/>
      </w:pPr>
      <w:bookmarkStart w:id="1702" w:name="_Toc804"/>
      <w:r>
        <w:t>ابن مفلح ، محمّد بن علي - 763 ه-</w:t>
      </w:r>
      <w:bookmarkEnd w:id="1702"/>
    </w:p>
    <w:p>
      <w:pPr>
        <w:pStyle w:val="BookText"/>
      </w:pPr>
      <w:r>
        <w:rPr>
          <w:rFonts w:ascii="IRNazanin" w:hAnsi="IRNazanin" w:eastAsia="IRNazanin" w:cs="IRNazanin"/>
          <w:lang w:bidi="fa-IR"/>
          <w:color w:val="111111"/>
          <w:sz w:val="28"/>
          <w:szCs w:val="28"/>
          <w:rtl/>
        </w:rPr>
        <w:t xml:space="preserve">1 .الفروع، ج 11، ص 813.</w:t>
      </w:r>
    </w:p>
    <w:p>
      <w:pPr>
        <w:pStyle w:val="BookText"/>
      </w:pPr>
      <w:r>
        <w:rPr>
          <w:rFonts w:ascii="IRNazanin" w:hAnsi="IRNazanin" w:eastAsia="IRNazanin" w:cs="IRNazanin"/>
          <w:lang w:bidi="fa-IR"/>
          <w:color w:val="111111"/>
          <w:sz w:val="28"/>
          <w:szCs w:val="28"/>
          <w:rtl/>
        </w:rPr>
        <w:t xml:space="preserve">2 .المفردات على مذهب الامام ابن</w:t>
      </w:r>
    </w:p>
    <w:p>
      <w:pPr>
        <w:pStyle w:val="BookText"/>
      </w:pPr>
      <w:r>
        <w:rPr>
          <w:rFonts w:ascii="IRNazanin" w:hAnsi="IRNazanin" w:eastAsia="IRNazanin" w:cs="IRNazanin"/>
          <w:lang w:bidi="fa-IR"/>
          <w:color w:val="111111"/>
          <w:sz w:val="28"/>
          <w:szCs w:val="28"/>
          <w:rtl/>
        </w:rPr>
        <w:t xml:space="preserve">حنبل، ج 15، ص 248.</w:t>
      </w:r>
    </w:p>
    <w:p>
      <w:pPr>
        <w:pStyle w:val="Heading2"/>
      </w:pPr>
      <w:bookmarkStart w:id="1703" w:name="_Toc805"/>
      <w:r>
        <w:t>ابن مقرب علي بن مقرب، 575 - 629 ه-</w:t>
      </w:r>
      <w:bookmarkEnd w:id="1703"/>
    </w:p>
    <w:p>
      <w:pPr>
        <w:pStyle w:val="BookText"/>
      </w:pPr>
      <w:r>
        <w:rPr>
          <w:rFonts w:ascii="Amiri" w:hAnsi="Amiri" w:eastAsia="Amiri" w:cs="Amiri"/>
          <w:lang w:bidi="ar-SA"/>
          <w:color w:val="111111"/>
          <w:sz w:val="28"/>
          <w:szCs w:val="28"/>
          <w:rtl/>
        </w:rPr>
        <w:t xml:space="preserve">1 .تخاميس و أبيات ج4، ص 93.</w:t>
      </w:r>
    </w:p>
    <w:p>
      <w:pPr>
        <w:pStyle w:val="BookText"/>
      </w:pPr>
      <w:r>
        <w:rPr>
          <w:rFonts w:ascii="Amiri" w:hAnsi="Amiri" w:eastAsia="Amiri" w:cs="Amiri"/>
          <w:lang w:bidi="ar-SA"/>
          <w:color w:val="111111"/>
          <w:sz w:val="28"/>
          <w:szCs w:val="28"/>
          <w:rtl/>
        </w:rPr>
        <w:t xml:space="preserve">2 .ديوان ابن المقرب، ج 7، ص 542.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الإحسائي، ج 12، ص 648.</w:t>
      </w:r>
    </w:p>
    <w:p>
      <w:pPr>
        <w:pStyle w:val="Heading2"/>
      </w:pPr>
      <w:bookmarkStart w:id="1704" w:name="_Toc806"/>
      <w:r>
        <w:t>ابن مقري ، اسماعيل بن ابي بكر 755 -</w:t>
      </w:r>
      <w:bookmarkEnd w:id="1704"/>
    </w:p>
    <w:p>
      <w:pPr>
        <w:pStyle w:val="BookText"/>
      </w:pPr>
      <w:r>
        <w:rPr>
          <w:rFonts w:ascii="IRNazanin" w:hAnsi="IRNazanin" w:eastAsia="IRNazanin" w:cs="IRNazanin"/>
          <w:lang w:bidi="fa-IR"/>
          <w:color w:val="111111"/>
          <w:sz w:val="28"/>
          <w:szCs w:val="28"/>
          <w:rtl/>
        </w:rPr>
        <w:t xml:space="preserve">837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اخلاص الناوي من ارشاد الغاوي في مسالك الحاوي، ج 1، ص 568.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ارجوزة، ج 1، ص 761.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ارشاد الغاوي في مسالك الحاوي</w:t>
      </w:r>
    </w:p>
    <w:p>
      <w:pPr>
        <w:pStyle w:val="BookText"/>
      </w:pPr>
      <w:r>
        <w:rPr>
          <w:rFonts w:ascii="IRNazanin" w:hAnsi="IRNazanin" w:eastAsia="IRNazanin" w:cs="IRNazanin"/>
          <w:lang w:bidi="fa-IR"/>
          <w:color w:val="111111"/>
          <w:sz w:val="28"/>
          <w:szCs w:val="28"/>
          <w:rtl/>
        </w:rPr>
        <w:t xml:space="preserve">ج 2، ص37.</w:t>
      </w:r>
    </w:p>
    <w:p>
      <w:pPr>
        <w:pStyle w:val="BookText"/>
      </w:pPr>
      <w:r>
        <w:rPr>
          <w:rFonts w:ascii="Amiri" w:hAnsi="Amiri" w:eastAsia="Amiri" w:cs="Amiri"/>
          <w:lang w:bidi="ar-SA"/>
          <w:color w:val="111111"/>
          <w:sz w:val="28"/>
          <w:szCs w:val="28"/>
          <w:rtl/>
        </w:rPr>
        <w:t xml:space="preserve">4 .البديعية البديعة في مدح صاحب</w:t>
      </w:r>
    </w:p>
    <w:p>
      <w:pPr>
        <w:pStyle w:val="BookText"/>
      </w:pPr>
      <w:r>
        <w:rPr>
          <w:rFonts w:ascii="Amiri" w:hAnsi="Amiri" w:eastAsia="Amiri" w:cs="Amiri"/>
          <w:lang w:bidi="ar-SA"/>
          <w:color w:val="111111"/>
          <w:sz w:val="28"/>
          <w:szCs w:val="28"/>
          <w:rtl/>
        </w:rPr>
        <w:t xml:space="preserve">الشريعة = شرح القصيدة</w:t>
      </w:r>
    </w:p>
    <w:p>
      <w:pPr>
        <w:pStyle w:val="BookText"/>
      </w:pPr>
      <w:r>
        <w:rPr>
          <w:rFonts w:ascii="Amiri" w:hAnsi="Amiri" w:eastAsia="Amiri" w:cs="Amiri"/>
          <w:lang w:bidi="ar-SA"/>
          <w:color w:val="111111"/>
          <w:sz w:val="28"/>
          <w:szCs w:val="28"/>
          <w:rtl/>
        </w:rPr>
        <w:t xml:space="preserve">البديعية، ج3، ص290.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تشطير، ج 4، ص 380.</w:t>
      </w:r>
    </w:p>
    <w:p>
      <w:pPr>
        <w:pStyle w:val="BookText"/>
      </w:pPr>
      <w:r>
        <w:rPr>
          <w:rFonts w:ascii="Amiri" w:hAnsi="Amiri" w:eastAsia="Amiri" w:cs="Amiri"/>
          <w:lang w:bidi="ar-SA"/>
          <w:color w:val="111111"/>
          <w:sz w:val="28"/>
          <w:szCs w:val="28"/>
          <w:rtl/>
        </w:rPr>
        <w:t xml:space="preserve">6 .الدماء الواجبة على الحجاج و المعتمرين (منظومة في)، ج7،</w:t>
      </w:r>
    </w:p>
    <w:p>
      <w:pPr>
        <w:pStyle w:val="BookText"/>
      </w:pPr>
      <w:r>
        <w:rPr>
          <w:rFonts w:ascii="IRNazanin" w:hAnsi="IRNazanin" w:eastAsia="IRNazanin" w:cs="IRNazanin"/>
          <w:lang w:bidi="fa-IR"/>
          <w:color w:val="111111"/>
          <w:sz w:val="28"/>
          <w:szCs w:val="28"/>
          <w:rtl/>
        </w:rPr>
        <w:t xml:space="preserve">ص 475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9" w:name="pg7742_69597"/>
    <w:bookmarkEnd w:id="119"/>
    <w:p>
      <w:pPr>
        <w:pStyle w:val="BookText"/>
      </w:pPr>
      <w:r>
        <w:rPr>
          <w:rFonts w:ascii="Amiri" w:hAnsi="Amiri" w:eastAsia="Amiri" w:cs="Amiri"/>
          <w:lang w:bidi="ar-SA"/>
          <w:color w:val="111111"/>
          <w:sz w:val="28"/>
          <w:szCs w:val="28"/>
          <w:rtl/>
        </w:rPr>
        <w:t xml:space="preserve">7 .ديوان ابن المقري، ج 7، ص 544.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الروض الطالب و نهاية مطلب الراغب = مختصر الروضة للنووي ج 8، ص 465.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عنوان الشرف الوافي في الفقه و</w:t>
      </w:r>
    </w:p>
    <w:p>
      <w:pPr>
        <w:pStyle w:val="BookText"/>
      </w:pPr>
      <w:r>
        <w:rPr>
          <w:rFonts w:ascii="Amiri" w:hAnsi="Amiri" w:eastAsia="Amiri" w:cs="Amiri"/>
          <w:lang w:bidi="ar-SA"/>
          <w:color w:val="111111"/>
          <w:sz w:val="28"/>
          <w:szCs w:val="28"/>
          <w:rtl/>
        </w:rPr>
        <w:t xml:space="preserve">النحو والتاريخ و العروض و القوافي، ج 11، ص337.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القصيدة التائية في التذكير، ج 12،</w:t>
      </w:r>
    </w:p>
    <w:p>
      <w:pPr>
        <w:pStyle w:val="BookText"/>
      </w:pPr>
      <w:r>
        <w:rPr>
          <w:rFonts w:ascii="IRNazanin" w:hAnsi="IRNazanin" w:eastAsia="IRNazanin" w:cs="IRNazanin"/>
          <w:lang w:bidi="fa-IR"/>
          <w:color w:val="111111"/>
          <w:sz w:val="28"/>
          <w:szCs w:val="28"/>
          <w:rtl/>
        </w:rPr>
        <w:t xml:space="preserve">ص 661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القصيدة اللامية، ج 12، ص 706.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القصيدة المخلعة = القصيدة</w:t>
      </w:r>
    </w:p>
    <w:p>
      <w:pPr>
        <w:pStyle w:val="BookText"/>
      </w:pPr>
      <w:r>
        <w:rPr>
          <w:rFonts w:ascii="Amiri" w:hAnsi="Amiri" w:eastAsia="Amiri" w:cs="Amiri"/>
          <w:lang w:bidi="ar-SA"/>
          <w:color w:val="111111"/>
          <w:sz w:val="28"/>
          <w:szCs w:val="28"/>
          <w:rtl/>
        </w:rPr>
        <w:t xml:space="preserve">الميمية، ج 12، ص710.</w:t>
      </w:r>
    </w:p>
    <w:p>
      <w:pPr>
        <w:pStyle w:val="BookText"/>
      </w:pPr>
      <w:r>
        <w:rPr>
          <w:rFonts w:ascii="Amiri" w:hAnsi="Amiri" w:eastAsia="Amiri" w:cs="Amiri"/>
          <w:lang w:bidi="ar-SA"/>
          <w:color w:val="111111"/>
          <w:sz w:val="28"/>
          <w:szCs w:val="28"/>
          <w:rtl/>
        </w:rPr>
        <w:t xml:space="preserve">13 قصيدة لاسماعيل بن المقري اليمني انشأها للملك الناصر سلطان اليمن، ج 12، ص 705.</w:t>
      </w:r>
    </w:p>
    <w:p>
      <w:pPr>
        <w:pStyle w:val="BookText"/>
      </w:pPr>
      <w:r>
        <w:rPr>
          <w:rFonts w:ascii="Amiri" w:hAnsi="Amiri" w:eastAsia="Amiri" w:cs="Amiri"/>
          <w:lang w:bidi="ar-SA"/>
          <w:color w:val="111111"/>
          <w:sz w:val="28"/>
          <w:szCs w:val="28"/>
          <w:rtl/>
        </w:rPr>
        <w:t xml:space="preserve">14 .مختصر الحاوي، ج 14، ص 187.</w:t>
      </w:r>
    </w:p>
    <w:p>
      <w:pPr>
        <w:pStyle w:val="BookText"/>
      </w:pPr>
      <w:r>
        <w:rPr>
          <w:rFonts w:ascii="Amiri" w:hAnsi="Amiri" w:eastAsia="Amiri" w:cs="Amiri"/>
          <w:lang w:bidi="ar-SA"/>
          <w:color w:val="111111"/>
          <w:sz w:val="28"/>
          <w:szCs w:val="28"/>
          <w:rtl/>
        </w:rPr>
        <w:t xml:space="preserve">ابن مقريزي ، احمد بن علي- مقريزي ،</w:t>
      </w:r>
    </w:p>
    <w:p>
      <w:pPr>
        <w:pStyle w:val="BookText"/>
      </w:pPr>
      <w:r>
        <w:rPr>
          <w:rFonts w:ascii="Amiri" w:hAnsi="Amiri" w:eastAsia="Amiri" w:cs="Amiri"/>
          <w:lang w:bidi="ar-SA"/>
          <w:color w:val="111111"/>
          <w:sz w:val="28"/>
          <w:szCs w:val="28"/>
          <w:rtl/>
        </w:rPr>
        <w:t xml:space="preserve">احمد بن علي</w:t>
      </w:r>
    </w:p>
    <w:p>
      <w:pPr>
        <w:pStyle w:val="Heading2"/>
      </w:pPr>
      <w:bookmarkStart w:id="1705" w:name="_Toc807"/>
      <w:r>
        <w:t>ابن مقري ، علي بن عبدالله</w:t>
      </w:r>
      <w:bookmarkEnd w:id="1705"/>
    </w:p>
    <w:p>
      <w:pPr>
        <w:pStyle w:val="BookText"/>
      </w:pPr>
      <w:r>
        <w:rPr>
          <w:rFonts w:ascii="Amiri" w:hAnsi="Amiri" w:eastAsia="Amiri" w:cs="Amiri"/>
          <w:lang w:bidi="ar-SA"/>
          <w:color w:val="111111"/>
          <w:sz w:val="28"/>
          <w:szCs w:val="28"/>
          <w:rtl/>
        </w:rPr>
        <w:t xml:space="preserve">بديعية ابن المقري، ج 3، ص289.</w:t>
      </w:r>
    </w:p>
    <w:p>
      <w:pPr>
        <w:pStyle w:val="BookText"/>
      </w:pPr>
      <w:r>
        <w:rPr>
          <w:rFonts w:ascii="Amiri" w:hAnsi="Amiri" w:eastAsia="Amiri" w:cs="Amiri"/>
          <w:lang w:bidi="ar-SA"/>
          <w:color w:val="111111"/>
          <w:sz w:val="28"/>
          <w:szCs w:val="28"/>
          <w:rtl/>
        </w:rPr>
        <w:t xml:space="preserve">ابن مقري ، علي بن محمّد فزازي ، علي</w:t>
      </w:r>
    </w:p>
    <w:p>
      <w:pPr>
        <w:pStyle w:val="BookText"/>
      </w:pPr>
      <w:r>
        <w:rPr>
          <w:rFonts w:ascii="Amiri" w:hAnsi="Amiri" w:eastAsia="Amiri" w:cs="Amiri"/>
          <w:lang w:bidi="ar-SA"/>
          <w:color w:val="111111"/>
          <w:sz w:val="28"/>
          <w:szCs w:val="28"/>
          <w:rtl/>
        </w:rPr>
        <w:t xml:space="preserve">بن محمّد</w:t>
      </w:r>
    </w:p>
    <w:p>
      <w:pPr>
        <w:pStyle w:val="Heading2"/>
      </w:pPr>
      <w:bookmarkStart w:id="1706" w:name="_Toc808"/>
      <w:r>
        <w:t>ابن مقري ، علي بن مقري</w:t>
      </w:r>
      <w:bookmarkEnd w:id="1706"/>
    </w:p>
    <w:p>
      <w:pPr>
        <w:pStyle w:val="BookText"/>
      </w:pPr>
      <w:r>
        <w:rPr>
          <w:rFonts w:ascii="Amiri" w:hAnsi="Amiri" w:eastAsia="Amiri" w:cs="Amiri"/>
          <w:lang w:bidi="ar-SA"/>
          <w:color w:val="111111"/>
          <w:sz w:val="28"/>
          <w:szCs w:val="28"/>
          <w:rtl/>
        </w:rPr>
        <w:t xml:space="preserve">1 .الدرة الدرية لشرح تركيب شواهد</w:t>
      </w:r>
    </w:p>
    <w:p>
      <w:pPr>
        <w:pStyle w:val="BookText"/>
      </w:pPr>
      <w:r>
        <w:rPr>
          <w:rFonts w:ascii="Amiri" w:hAnsi="Amiri" w:eastAsia="Amiri" w:cs="Amiri"/>
          <w:lang w:bidi="ar-SA"/>
          <w:color w:val="111111"/>
          <w:sz w:val="28"/>
          <w:szCs w:val="28"/>
          <w:rtl/>
        </w:rPr>
        <w:t xml:space="preserve">المقدمة الآجرومية، ج7، ص238.</w:t>
      </w:r>
    </w:p>
    <w:p>
      <w:pPr>
        <w:pStyle w:val="BookText"/>
      </w:pPr>
      <w:r>
        <w:rPr>
          <w:rFonts w:ascii="Amiri" w:hAnsi="Amiri" w:eastAsia="Amiri" w:cs="Amiri"/>
          <w:lang w:bidi="ar-SA"/>
          <w:color w:val="111111"/>
          <w:sz w:val="28"/>
          <w:szCs w:val="28"/>
          <w:rtl/>
        </w:rPr>
        <w:t xml:space="preserve">2 .النحو (رسالة في)، ج 16، ص 174 .</w:t>
      </w:r>
    </w:p>
    <w:p>
      <w:pPr>
        <w:pStyle w:val="Heading2"/>
      </w:pPr>
      <w:bookmarkStart w:id="1707" w:name="_Toc809"/>
      <w:r>
        <w:t>ابن مقري ، محمّد بن ابراهيم 285 .</w:t>
      </w:r>
      <w:bookmarkEnd w:id="1707"/>
    </w:p>
    <w:p>
      <w:pPr>
        <w:pStyle w:val="BookText"/>
      </w:pPr>
      <w:r>
        <w:rPr>
          <w:rFonts w:ascii="IRNazanin" w:hAnsi="IRNazanin" w:eastAsia="IRNazanin" w:cs="IRNazanin"/>
          <w:lang w:bidi="fa-IR"/>
          <w:color w:val="111111"/>
          <w:sz w:val="28"/>
          <w:szCs w:val="28"/>
          <w:rtl/>
        </w:rPr>
        <w:t xml:space="preserve">381 ه-</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1 .الالفاظ النبوية الواردة (رسالة في)،</w:t>
      </w:r>
    </w:p>
    <w:p>
      <w:pPr>
        <w:pStyle w:val="BookText"/>
      </w:pPr>
      <w:r>
        <w:rPr>
          <w:rFonts w:ascii="IRNazanin" w:hAnsi="IRNazanin" w:eastAsia="IRNazanin" w:cs="IRNazanin"/>
          <w:lang w:bidi="fa-IR"/>
          <w:color w:val="111111"/>
          <w:sz w:val="28"/>
          <w:szCs w:val="28"/>
          <w:rtl/>
        </w:rPr>
        <w:t xml:space="preserve">ج 2، ص 680.</w:t>
      </w:r>
    </w:p>
    <w:p>
      <w:pPr>
        <w:pStyle w:val="BookText"/>
      </w:pPr>
      <w:r>
        <w:rPr>
          <w:rFonts w:ascii="Amiri" w:hAnsi="Amiri" w:eastAsia="Amiri" w:cs="Amiri"/>
          <w:lang w:bidi="ar-SA"/>
          <w:color w:val="111111"/>
          <w:sz w:val="28"/>
          <w:szCs w:val="28"/>
          <w:rtl/>
        </w:rPr>
        <w:t xml:space="preserve">2 .جزء فيه احاديث نافع بن أبي نعيم القاري المدني و غيره = مسند نافع بن ابي نعيم القاري، ج 5، ص 381.</w:t>
      </w:r>
    </w:p>
    <w:p>
      <w:pPr>
        <w:pStyle w:val="Heading2"/>
      </w:pPr>
      <w:bookmarkStart w:id="1708" w:name="_Toc810"/>
      <w:r>
        <w:t>ابن مقفع ، عبدالله بن ،دادویه 106؟ -</w:t>
      </w:r>
      <w:bookmarkEnd w:id="1708"/>
    </w:p>
    <w:p>
      <w:pPr>
        <w:pStyle w:val="BookText"/>
      </w:pPr>
      <w:r>
        <w:rPr>
          <w:rFonts w:ascii="IRNazanin" w:hAnsi="IRNazanin" w:eastAsia="IRNazanin" w:cs="IRNazanin"/>
          <w:lang w:bidi="fa-IR"/>
          <w:color w:val="111111"/>
          <w:sz w:val="28"/>
          <w:szCs w:val="28"/>
          <w:rtl/>
        </w:rPr>
        <w:t xml:space="preserve">145 ؟ ه-</w:t>
      </w:r>
    </w:p>
    <w:p>
      <w:pPr>
        <w:pStyle w:val="BookText"/>
      </w:pPr>
      <w:r>
        <w:rPr>
          <w:rFonts w:ascii="Amiri" w:hAnsi="Amiri" w:eastAsia="Amiri" w:cs="Amiri"/>
          <w:lang w:bidi="ar-SA"/>
          <w:color w:val="111111"/>
          <w:sz w:val="28"/>
          <w:szCs w:val="28"/>
          <w:rtl/>
        </w:rPr>
        <w:t xml:space="preserve">1 .الادب الصغير = الادب الوجيز</w:t>
      </w:r>
    </w:p>
    <w:p>
      <w:pPr>
        <w:pStyle w:val="BookText"/>
      </w:pPr>
      <w:r>
        <w:rPr>
          <w:rFonts w:ascii="Amiri" w:hAnsi="Amiri" w:eastAsia="Amiri" w:cs="Amiri"/>
          <w:lang w:bidi="ar-SA"/>
          <w:color w:val="111111"/>
          <w:sz w:val="28"/>
          <w:szCs w:val="28"/>
          <w:rtl/>
        </w:rPr>
        <w:t xml:space="preserve">للولد الصغير، ج 1، ص 588.</w:t>
      </w:r>
    </w:p>
    <w:p>
      <w:pPr>
        <w:pStyle w:val="BookText"/>
      </w:pPr>
      <w:r>
        <w:rPr>
          <w:rFonts w:ascii="Amiri" w:hAnsi="Amiri" w:eastAsia="Amiri" w:cs="Amiri"/>
          <w:lang w:bidi="ar-SA"/>
          <w:color w:val="111111"/>
          <w:sz w:val="28"/>
          <w:szCs w:val="28"/>
          <w:rtl/>
        </w:rPr>
        <w:t xml:space="preserve">2 .الدرة اليتيمة، ج7، ص273.</w:t>
      </w:r>
    </w:p>
    <w:p>
      <w:pPr>
        <w:pStyle w:val="BookText"/>
      </w:pPr>
      <w:r>
        <w:rPr>
          <w:rFonts w:ascii="Amiri" w:hAnsi="Amiri" w:eastAsia="Amiri" w:cs="Amiri"/>
          <w:lang w:bidi="ar-SA"/>
          <w:color w:val="111111"/>
          <w:sz w:val="28"/>
          <w:szCs w:val="28"/>
          <w:rtl/>
        </w:rPr>
        <w:t xml:space="preserve">3 .الكليلة والدمنة، ج13، ص 387.</w:t>
      </w:r>
    </w:p>
    <w:p>
      <w:pPr>
        <w:pStyle w:val="Heading2"/>
      </w:pPr>
      <w:bookmarkStart w:id="1709" w:name="_Toc811"/>
      <w:r>
        <w:t>ابن مكانس ، عبد الرحمن بن عبد الرزاق</w:t>
      </w:r>
      <w:bookmarkEnd w:id="1709"/>
    </w:p>
    <w:p>
      <w:pPr>
        <w:pStyle w:val="BookText"/>
      </w:pPr>
      <w:r>
        <w:rPr>
          <w:rFonts w:ascii="IRNazanin" w:hAnsi="IRNazanin" w:eastAsia="IRNazanin" w:cs="IRNazanin"/>
          <w:lang w:bidi="fa-IR"/>
          <w:color w:val="111111"/>
          <w:sz w:val="28"/>
          <w:szCs w:val="28"/>
          <w:rtl/>
        </w:rPr>
        <w:t xml:space="preserve">745 - 794 ه-</w:t>
      </w:r>
    </w:p>
    <w:p>
      <w:pPr>
        <w:pStyle w:val="BookText"/>
      </w:pPr>
      <w:r>
        <w:rPr>
          <w:rFonts w:ascii="IRNazanin" w:hAnsi="IRNazanin" w:eastAsia="IRNazanin" w:cs="IRNazanin"/>
          <w:lang w:bidi="fa-IR"/>
          <w:color w:val="111111"/>
          <w:sz w:val="28"/>
          <w:szCs w:val="28"/>
          <w:rtl/>
        </w:rPr>
        <w:t xml:space="preserve">1 .دیوان ابن مكانس، ج 7، ص 544</w:t>
      </w:r>
    </w:p>
    <w:p>
      <w:pPr>
        <w:pStyle w:val="BookText"/>
      </w:pPr>
      <w:r>
        <w:rPr>
          <w:rFonts w:ascii="Amiri" w:hAnsi="Amiri" w:eastAsia="Amiri" w:cs="Amiri"/>
          <w:lang w:bidi="ar-SA"/>
          <w:color w:val="111111"/>
          <w:sz w:val="28"/>
          <w:szCs w:val="28"/>
          <w:rtl/>
        </w:rPr>
        <w:t xml:space="preserve">2 .عمدة الحرفا و قدوة الظرفا، ج 11،</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Amiri" w:hAnsi="Amiri" w:eastAsia="Amiri" w:cs="Amiri"/>
          <w:lang w:bidi="ar-SA"/>
          <w:color w:val="111111"/>
          <w:sz w:val="28"/>
          <w:szCs w:val="28"/>
          <w:rtl/>
        </w:rPr>
        <w:t xml:space="preserve">ابن مكتل ، عبد الرضا بن محمّد -اوالي ،</w:t>
      </w:r>
    </w:p>
    <w:p>
      <w:pPr>
        <w:pStyle w:val="BookText"/>
      </w:pPr>
      <w:r>
        <w:rPr>
          <w:rFonts w:ascii="IRNazanin" w:hAnsi="IRNazanin" w:eastAsia="IRNazanin" w:cs="IRNazanin"/>
          <w:lang w:bidi="fa-IR"/>
          <w:color w:val="111111"/>
          <w:sz w:val="28"/>
          <w:szCs w:val="28"/>
          <w:rtl/>
        </w:rPr>
        <w:t xml:space="preserve">عبدالرضا بن محمّد</w:t>
      </w:r>
    </w:p>
    <w:p>
      <w:pPr>
        <w:pStyle w:val="BookText"/>
      </w:pPr>
      <w:r>
        <w:rPr>
          <w:rFonts w:ascii="IRNazanin" w:hAnsi="IRNazanin" w:eastAsia="IRNazanin" w:cs="IRNazanin"/>
          <w:lang w:bidi="fa-IR"/>
          <w:color w:val="111111"/>
          <w:sz w:val="28"/>
          <w:szCs w:val="28"/>
          <w:rtl/>
        </w:rPr>
        <w:t xml:space="preserve">ابن مکرم ، محمّد بن مکرم -ابن منظور</w:t>
      </w:r>
    </w:p>
    <w:p>
      <w:pPr>
        <w:pStyle w:val="BookText"/>
      </w:pPr>
      <w:r>
        <w:rPr>
          <w:rFonts w:ascii="IRNazanin" w:hAnsi="IRNazanin" w:eastAsia="IRNazanin" w:cs="IRNazanin"/>
          <w:lang w:bidi="fa-IR"/>
          <w:color w:val="111111"/>
          <w:sz w:val="28"/>
          <w:szCs w:val="28"/>
          <w:rtl/>
        </w:rPr>
        <w:t xml:space="preserve">محمّد بن مکرم</w:t>
      </w:r>
    </w:p>
    <w:p>
      <w:pPr>
        <w:pStyle w:val="Heading2"/>
      </w:pPr>
      <w:bookmarkStart w:id="1710" w:name="_Toc812"/>
      <w:r>
        <w:t>ابن مكي ، علي بن احمد - 598 ؟ ه-</w:t>
      </w:r>
      <w:bookmarkEnd w:id="1710"/>
    </w:p>
    <w:p>
      <w:pPr>
        <w:pStyle w:val="BookText"/>
      </w:pPr>
      <w:r>
        <w:rPr>
          <w:rFonts w:ascii="Amiri" w:hAnsi="Amiri" w:eastAsia="Amiri" w:cs="Amiri"/>
          <w:lang w:bidi="ar-SA"/>
          <w:color w:val="111111"/>
          <w:sz w:val="28"/>
          <w:szCs w:val="28"/>
          <w:rtl/>
        </w:rPr>
        <w:t xml:space="preserve">شرح مختصر القدوري، ج 10، ص 120.</w:t>
      </w:r>
    </w:p>
    <w:p>
      <w:pPr>
        <w:pStyle w:val="Heading2"/>
      </w:pPr>
      <w:bookmarkStart w:id="1711" w:name="_Toc813"/>
      <w:r>
        <w:t>ابن مكي ، علي بن محمّد قرن 11 ه-</w:t>
      </w:r>
      <w:bookmarkEnd w:id="1711"/>
    </w:p>
    <w:p>
      <w:pPr>
        <w:pStyle w:val="BookText"/>
      </w:pPr>
      <w:r>
        <w:rPr>
          <w:rFonts w:ascii="Amiri" w:hAnsi="Amiri" w:eastAsia="Amiri" w:cs="Amiri"/>
          <w:lang w:bidi="ar-SA"/>
          <w:color w:val="111111"/>
          <w:sz w:val="28"/>
          <w:szCs w:val="28"/>
          <w:rtl/>
        </w:rPr>
        <w:t xml:space="preserve">1 .اجازة لحسين بن حيدر كركي، ج 1،</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الرحلة إلى الحج = رحله منظوم</w:t>
      </w:r>
    </w:p>
    <w:p>
      <w:pPr>
        <w:pStyle w:val="BookText"/>
      </w:pPr>
      <w:r>
        <w:rPr>
          <w:rFonts w:ascii="IRNazanin" w:hAnsi="IRNazanin" w:eastAsia="IRNazanin" w:cs="IRNazanin"/>
          <w:lang w:bidi="fa-IR"/>
          <w:color w:val="111111"/>
          <w:sz w:val="28"/>
          <w:szCs w:val="28"/>
          <w:rtl/>
        </w:rPr>
        <w:t xml:space="preserve">ج 8، ص 65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الاثنى عشرية، ج 9، ص 157.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0" w:name="pg7742_69599"/>
    <w:bookmarkEnd w:id="120"/>
    <w:p>
      <w:pPr>
        <w:pStyle w:val="Heading2"/>
      </w:pPr>
      <w:bookmarkStart w:id="1712" w:name="_Toc814"/>
      <w:r>
        <w:t>ابن ملا احمد بن محمّد، 937 - 1003 ه-</w:t>
      </w:r>
      <w:bookmarkEnd w:id="1712"/>
    </w:p>
    <w:p>
      <w:pPr>
        <w:pStyle w:val="BookText"/>
      </w:pPr>
      <w:r>
        <w:rPr>
          <w:rFonts w:ascii="Amiri" w:hAnsi="Amiri" w:eastAsia="Amiri" w:cs="Amiri"/>
          <w:lang w:bidi="ar-SA"/>
          <w:color w:val="111111"/>
          <w:sz w:val="28"/>
          <w:szCs w:val="28"/>
          <w:rtl/>
        </w:rPr>
        <w:t xml:space="preserve">1 .تاريخ الاسلام (ملخص) - ملخص تاريخ الاسلام الكبير للذهبي، ج 3،</w:t>
      </w:r>
    </w:p>
    <w:p>
      <w:pPr>
        <w:pStyle w:val="BookText"/>
      </w:pPr>
      <w:r>
        <w:rPr>
          <w:rFonts w:ascii="IRNazanin" w:hAnsi="IRNazanin" w:eastAsia="IRNazanin" w:cs="IRNazanin"/>
          <w:lang w:bidi="fa-IR"/>
          <w:color w:val="111111"/>
          <w:sz w:val="28"/>
          <w:szCs w:val="28"/>
          <w:rtl/>
        </w:rPr>
        <w:t xml:space="preserve">ص 555 .</w:t>
      </w:r>
    </w:p>
    <w:p>
      <w:pPr>
        <w:pStyle w:val="BookText"/>
      </w:pPr>
      <w:r>
        <w:rPr>
          <w:rFonts w:ascii="Amiri" w:hAnsi="Amiri" w:eastAsia="Amiri" w:cs="Amiri"/>
          <w:lang w:bidi="ar-SA"/>
          <w:color w:val="111111"/>
          <w:sz w:val="28"/>
          <w:szCs w:val="28"/>
          <w:rtl/>
        </w:rPr>
        <w:t xml:space="preserve">2 .منتهي امل الاديب من الكلام على مغني اللبيب، ج 15، ص 635.</w:t>
      </w:r>
    </w:p>
    <w:p>
      <w:pPr>
        <w:pStyle w:val="Heading2"/>
      </w:pPr>
      <w:bookmarkStart w:id="1713" w:name="_Toc815"/>
      <w:r>
        <w:t>ابن ملقن ، عمر بن علي، 723 - 804 ه-</w:t>
      </w:r>
      <w:bookmarkEnd w:id="1713"/>
    </w:p>
    <w:p>
      <w:pPr>
        <w:pStyle w:val="BookText"/>
      </w:pPr>
      <w:r>
        <w:rPr>
          <w:rFonts w:ascii="Amiri" w:hAnsi="Amiri" w:eastAsia="Amiri" w:cs="Amiri"/>
          <w:lang w:bidi="ar-SA"/>
          <w:color w:val="111111"/>
          <w:sz w:val="28"/>
          <w:szCs w:val="28"/>
          <w:rtl/>
        </w:rPr>
        <w:t xml:space="preserve">1 .الاشارات إلى ما وقع في المنهاج النووي من الاسماء والاماكن و</w:t>
      </w:r>
    </w:p>
    <w:p>
      <w:pPr>
        <w:pStyle w:val="BookText"/>
      </w:pPr>
      <w:r>
        <w:rPr>
          <w:rFonts w:ascii="IRNazanin" w:hAnsi="IRNazanin" w:eastAsia="IRNazanin" w:cs="IRNazanin"/>
          <w:lang w:bidi="fa-IR"/>
          <w:color w:val="111111"/>
          <w:sz w:val="28"/>
          <w:szCs w:val="28"/>
          <w:rtl/>
        </w:rPr>
        <w:t xml:space="preserve">اللغات، ج 2، ص 250 .</w:t>
      </w:r>
    </w:p>
    <w:p>
      <w:pPr>
        <w:pStyle w:val="BookText"/>
      </w:pPr>
      <w:r>
        <w:rPr>
          <w:rFonts w:ascii="Amiri" w:hAnsi="Amiri" w:eastAsia="Amiri" w:cs="Amiri"/>
          <w:lang w:bidi="ar-SA"/>
          <w:color w:val="111111"/>
          <w:sz w:val="28"/>
          <w:szCs w:val="28"/>
          <w:rtl/>
        </w:rPr>
        <w:t xml:space="preserve">2 .لاعلام بفوائد عمدة الاحكام عن</w:t>
      </w:r>
    </w:p>
    <w:p>
      <w:pPr>
        <w:pStyle w:val="BookText"/>
      </w:pPr>
      <w:r>
        <w:rPr>
          <w:rFonts w:ascii="Amiri" w:hAnsi="Amiri" w:eastAsia="Amiri" w:cs="Amiri"/>
          <w:lang w:bidi="ar-SA"/>
          <w:color w:val="111111"/>
          <w:sz w:val="28"/>
          <w:szCs w:val="28"/>
          <w:rtl/>
        </w:rPr>
        <w:t xml:space="preserve">سيد الانام، ج2، ص 556.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ايضاح الارتياب، ج 3، ص 107</w:t>
      </w:r>
    </w:p>
    <w:p>
      <w:pPr>
        <w:pStyle w:val="BookText"/>
      </w:pPr>
      <w:r>
        <w:rPr>
          <w:rFonts w:ascii="Amiri" w:hAnsi="Amiri" w:eastAsia="Amiri" w:cs="Amiri"/>
          <w:lang w:bidi="ar-SA"/>
          <w:color w:val="111111"/>
          <w:sz w:val="28"/>
          <w:szCs w:val="28"/>
          <w:rtl/>
        </w:rPr>
        <w:t xml:space="preserve">4 .تحفة المحتاج إلى أدلة المنهاج، جع،</w:t>
      </w:r>
    </w:p>
    <w:p>
      <w:pPr>
        <w:pStyle w:val="BookText"/>
      </w:pPr>
      <w:r>
        <w:rPr>
          <w:rFonts w:ascii="IRNazanin" w:hAnsi="IRNazanin" w:eastAsia="IRNazanin" w:cs="IRNazanin"/>
          <w:lang w:bidi="fa-IR"/>
          <w:color w:val="111111"/>
          <w:sz w:val="28"/>
          <w:szCs w:val="28"/>
          <w:rtl/>
        </w:rPr>
        <w:t xml:space="preserve">ص 10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تذكرة المحتاج إلى أحاديث المنهاج اصفهاني - شريف اصفهاني ، ابن ملك محمد</w:t>
      </w:r>
    </w:p>
    <w:p>
      <w:pPr>
        <w:pStyle w:val="BookText"/>
      </w:pPr>
      <w:r>
        <w:rPr>
          <w:rFonts w:ascii="IRNazanin" w:hAnsi="IRNazanin" w:eastAsia="IRNazanin" w:cs="IRNazanin"/>
          <w:lang w:bidi="fa-IR"/>
          <w:color w:val="111111"/>
          <w:sz w:val="28"/>
          <w:szCs w:val="28"/>
          <w:rtl/>
        </w:rPr>
        <w:t xml:space="preserve">ج 4، ص 211.</w:t>
      </w:r>
    </w:p>
    <w:p>
      <w:pPr>
        <w:pStyle w:val="BookText"/>
      </w:pPr>
      <w:r>
        <w:rPr>
          <w:rFonts w:ascii="Amiri" w:hAnsi="Amiri" w:eastAsia="Amiri" w:cs="Amiri"/>
          <w:lang w:bidi="ar-SA"/>
          <w:color w:val="111111"/>
          <w:sz w:val="28"/>
          <w:szCs w:val="28"/>
          <w:rtl/>
        </w:rPr>
        <w:t xml:space="preserve">6 .التذكرة في علوم الحديث ج 4،</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خلاصة الفتاوى في تسهيل أسرار</w:t>
      </w:r>
    </w:p>
    <w:p>
      <w:pPr>
        <w:pStyle w:val="BookText"/>
      </w:pPr>
      <w:r>
        <w:rPr>
          <w:rFonts w:ascii="Amiri" w:hAnsi="Amiri" w:eastAsia="Amiri" w:cs="Amiri"/>
          <w:lang w:bidi="ar-SA"/>
          <w:color w:val="111111"/>
          <w:sz w:val="28"/>
          <w:szCs w:val="28"/>
          <w:rtl/>
        </w:rPr>
        <w:t xml:space="preserve">الحاوي، ج 7، ص 122.</w:t>
      </w:r>
    </w:p>
    <w:p>
      <w:pPr>
        <w:pStyle w:val="BookText"/>
      </w:pPr>
      <w:r>
        <w:rPr>
          <w:rFonts w:ascii="Amiri" w:hAnsi="Amiri" w:eastAsia="Amiri" w:cs="Amiri"/>
          <w:lang w:bidi="ar-SA"/>
          <w:color w:val="111111"/>
          <w:sz w:val="28"/>
          <w:szCs w:val="28"/>
          <w:rtl/>
        </w:rPr>
        <w:t xml:space="preserve">8 شرح زوائد مسلم على البخاري</w:t>
      </w:r>
    </w:p>
    <w:p>
      <w:pPr>
        <w:pStyle w:val="BookText"/>
      </w:pPr>
      <w:r>
        <w:rPr>
          <w:rFonts w:ascii="IRNazanin" w:hAnsi="IRNazanin" w:eastAsia="IRNazanin" w:cs="IRNazanin"/>
          <w:lang w:bidi="fa-IR"/>
          <w:color w:val="111111"/>
          <w:sz w:val="28"/>
          <w:szCs w:val="28"/>
          <w:rtl/>
        </w:rPr>
        <w:t xml:space="preserve">ج 9، ص 575.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طبقات الأولياء ومناقب الأصفياء</w:t>
      </w:r>
    </w:p>
    <w:p>
      <w:pPr>
        <w:pStyle w:val="BookText"/>
      </w:pPr>
      <w:r>
        <w:rPr>
          <w:rFonts w:ascii="IRNazanin" w:hAnsi="IRNazanin" w:eastAsia="IRNazanin" w:cs="IRNazanin"/>
          <w:lang w:bidi="fa-IR"/>
          <w:color w:val="111111"/>
          <w:sz w:val="28"/>
          <w:szCs w:val="28"/>
          <w:rtl/>
        </w:rPr>
        <w:t xml:space="preserve">ج 10، ص 772</w:t>
      </w:r>
    </w:p>
    <w:p>
      <w:pPr>
        <w:pStyle w:val="BookText"/>
      </w:pPr>
      <w:r>
        <w:rPr>
          <w:rFonts w:ascii="Amiri" w:hAnsi="Amiri" w:eastAsia="Amiri" w:cs="Amiri"/>
          <w:lang w:bidi="ar-SA"/>
          <w:color w:val="111111"/>
          <w:sz w:val="28"/>
          <w:szCs w:val="28"/>
          <w:rtl/>
        </w:rPr>
        <w:t xml:space="preserve">10 .طبقات الصوفية، ج 10، ص782</w:t>
      </w:r>
    </w:p>
    <w:p>
      <w:pPr>
        <w:pStyle w:val="BookText"/>
      </w:pPr>
      <w:r>
        <w:rPr>
          <w:rFonts w:ascii="Amiri" w:hAnsi="Amiri" w:eastAsia="Amiri" w:cs="Amiri"/>
          <w:lang w:bidi="ar-SA"/>
          <w:color w:val="111111"/>
          <w:sz w:val="28"/>
          <w:szCs w:val="28"/>
          <w:rtl/>
        </w:rPr>
        <w:t xml:space="preserve">11 .عجالة المحتاج إلى توجيه المنهاج</w:t>
      </w:r>
    </w:p>
    <w:p>
      <w:pPr>
        <w:pStyle w:val="BookText"/>
      </w:pPr>
      <w:r>
        <w:rPr>
          <w:rFonts w:ascii="Amiri" w:hAnsi="Amiri" w:eastAsia="Amiri" w:cs="Amiri"/>
          <w:lang w:bidi="ar-SA"/>
          <w:color w:val="111111"/>
          <w:sz w:val="28"/>
          <w:szCs w:val="28"/>
          <w:rtl/>
        </w:rPr>
        <w:t xml:space="preserve">شرح منهاج الطالبين = تحفة المحتاج إلى ادلة المنهاج، ج11،</w:t>
      </w:r>
    </w:p>
    <w:p>
      <w:pPr>
        <w:pStyle w:val="BookText"/>
      </w:pPr>
      <w:r>
        <w:rPr>
          <w:rFonts w:ascii="IRNazanin" w:hAnsi="IRNazanin" w:eastAsia="IRNazanin" w:cs="IRNazanin"/>
          <w:lang w:bidi="fa-IR"/>
          <w:color w:val="111111"/>
          <w:sz w:val="28"/>
          <w:szCs w:val="28"/>
          <w:rtl/>
        </w:rPr>
        <w:t xml:space="preserve">ص 25.</w:t>
      </w:r>
    </w:p>
    <w:p>
      <w:pPr>
        <w:pStyle w:val="BookText"/>
      </w:pPr>
      <w:r>
        <w:rPr>
          <w:rFonts w:ascii="Amiri" w:hAnsi="Amiri" w:eastAsia="Amiri" w:cs="Amiri"/>
          <w:lang w:bidi="ar-SA"/>
          <w:color w:val="111111"/>
          <w:sz w:val="28"/>
          <w:szCs w:val="28"/>
          <w:rtl/>
        </w:rPr>
        <w:t xml:space="preserve">12 .المقنع في علوم الحديث ج 15</w:t>
      </w:r>
    </w:p>
    <w:p>
      <w:pPr>
        <w:pStyle w:val="BookText"/>
      </w:pPr>
      <w:r>
        <w:rPr>
          <w:rFonts w:ascii="IRNazanin" w:hAnsi="IRNazanin" w:eastAsia="IRNazanin" w:cs="IRNazanin"/>
          <w:lang w:bidi="fa-IR"/>
          <w:color w:val="111111"/>
          <w:sz w:val="28"/>
          <w:szCs w:val="28"/>
          <w:rtl/>
        </w:rPr>
        <w:t xml:space="preserve">ص 397.</w:t>
      </w:r>
    </w:p>
    <w:p>
      <w:pPr>
        <w:pStyle w:val="BookText"/>
      </w:pPr>
      <w:r>
        <w:rPr>
          <w:rFonts w:ascii="Amiri" w:hAnsi="Amiri" w:eastAsia="Amiri" w:cs="Amiri"/>
          <w:lang w:bidi="ar-SA"/>
          <w:color w:val="111111"/>
          <w:sz w:val="28"/>
          <w:szCs w:val="28"/>
          <w:rtl/>
        </w:rPr>
        <w:t xml:space="preserve">13 .النكت اللطاف في بيان الاحاديث</w:t>
      </w:r>
    </w:p>
    <w:p>
      <w:pPr>
        <w:pStyle w:val="BookText"/>
      </w:pPr>
      <w:r>
        <w:rPr>
          <w:rFonts w:ascii="IRNazanin" w:hAnsi="IRNazanin" w:eastAsia="IRNazanin" w:cs="IRNazanin"/>
          <w:lang w:bidi="fa-IR"/>
          <w:color w:val="111111"/>
          <w:sz w:val="28"/>
          <w:szCs w:val="28"/>
          <w:rtl/>
        </w:rPr>
        <w:t xml:space="preserve">الضعاف، ج 16، ص 470 .</w:t>
      </w:r>
    </w:p>
    <w:p>
      <w:pPr>
        <w:pStyle w:val="BookText"/>
      </w:pPr>
      <w:r>
        <w:rPr>
          <w:rFonts w:ascii="Amiri" w:hAnsi="Amiri" w:eastAsia="Amiri" w:cs="Amiri"/>
          <w:lang w:bidi="ar-SA"/>
          <w:color w:val="111111"/>
          <w:sz w:val="28"/>
          <w:szCs w:val="28"/>
          <w:rtl/>
        </w:rPr>
        <w:t xml:space="preserve">14 .وفاة ولد النبي (ص)، ج 16،</w:t>
      </w:r>
    </w:p>
    <w:p>
      <w:pPr>
        <w:pStyle w:val="BookText"/>
      </w:pPr>
      <w:r>
        <w:rPr>
          <w:rFonts w:ascii="IRNazanin" w:hAnsi="IRNazanin" w:eastAsia="IRNazanin" w:cs="IRNazanin"/>
          <w:lang w:bidi="fa-IR"/>
          <w:color w:val="111111"/>
          <w:sz w:val="28"/>
          <w:szCs w:val="28"/>
          <w:rtl/>
        </w:rPr>
        <w:t xml:space="preserve">ص 848.</w:t>
      </w:r>
    </w:p>
    <w:p>
      <w:pPr>
        <w:pStyle w:val="BookText"/>
      </w:pPr>
      <w:r>
        <w:rPr>
          <w:rFonts w:ascii="Times New Roman" w:hAnsi="Times New Roman" w:eastAsia="Times New Roman" w:cs="Times New Roman"/>
          <w:lang w:val="en-US" w:bidi="en-US"/>
          <w:color w:val="111111"/>
          <w:sz w:val="28"/>
          <w:szCs w:val="28"/>
          <w:rtl/>
        </w:rPr>
        <w:t xml:space="preserve">139</w:t>
      </w:r>
    </w:p>
    <w:p>
      <w:pPr>
        <w:pStyle w:val="Heading2"/>
      </w:pPr>
      <w:bookmarkStart w:id="1714" w:name="_Toc816"/>
      <w:r>
        <w:t>ابن ملكا ، هبة الله بن علي، 454-2547ه-</w:t>
      </w:r>
      <w:bookmarkEnd w:id="1714"/>
    </w:p>
    <w:p>
      <w:pPr>
        <w:pStyle w:val="BookText"/>
      </w:pPr>
      <w:r>
        <w:rPr>
          <w:rFonts w:ascii="IRNazanin" w:hAnsi="IRNazanin" w:eastAsia="IRNazanin" w:cs="IRNazanin"/>
          <w:lang w:bidi="fa-IR"/>
          <w:color w:val="111111"/>
          <w:sz w:val="28"/>
          <w:szCs w:val="28"/>
          <w:rtl/>
        </w:rPr>
        <w:t xml:space="preserve">المعتبر، ج 15، ص 1.</w:t>
      </w:r>
    </w:p>
    <w:p>
      <w:pPr>
        <w:pStyle w:val="BookText"/>
      </w:pPr>
      <w:r>
        <w:rPr>
          <w:rFonts w:ascii="Amiri" w:hAnsi="Amiri" w:eastAsia="Amiri" w:cs="Amiri"/>
          <w:lang w:bidi="ar-SA"/>
          <w:color w:val="111111"/>
          <w:sz w:val="28"/>
          <w:szCs w:val="28"/>
          <w:rtl/>
        </w:rPr>
        <w:t xml:space="preserve">ابن ملك ، عبد اللطيف بن عبد العزيز- ابن</w:t>
      </w:r>
    </w:p>
    <w:p>
      <w:pPr>
        <w:pStyle w:val="BookText"/>
      </w:pPr>
      <w:r>
        <w:rPr>
          <w:rFonts w:ascii="Amiri" w:hAnsi="Amiri" w:eastAsia="Amiri" w:cs="Amiri"/>
          <w:lang w:bidi="ar-SA"/>
          <w:color w:val="111111"/>
          <w:sz w:val="28"/>
          <w:szCs w:val="28"/>
          <w:rtl/>
        </w:rPr>
        <w:t xml:space="preserve">فرشته ، عبد اللطيف بن عبدالعزيز</w:t>
      </w:r>
    </w:p>
    <w:p>
      <w:pPr>
        <w:pStyle w:val="Heading2"/>
      </w:pPr>
      <w:bookmarkStart w:id="1715" w:name="_Toc817"/>
      <w:r>
        <w:t>ابن ملك محمّد بن عبد اللطيف، قرن 9 ه-</w:t>
      </w:r>
      <w:bookmarkEnd w:id="1715"/>
    </w:p>
    <w:p>
      <w:pPr>
        <w:pStyle w:val="BookText"/>
      </w:pPr>
      <w:r>
        <w:rPr>
          <w:rFonts w:ascii="Amiri" w:hAnsi="Amiri" w:eastAsia="Amiri" w:cs="Amiri"/>
          <w:lang w:bidi="ar-SA"/>
          <w:color w:val="111111"/>
          <w:sz w:val="28"/>
          <w:szCs w:val="28"/>
          <w:rtl/>
        </w:rPr>
        <w:t xml:space="preserve">شرح مصابيح السنن، ج 10، ص 147.</w:t>
      </w:r>
    </w:p>
    <w:p>
      <w:pPr>
        <w:pStyle w:val="BookText"/>
      </w:pPr>
      <w:r>
        <w:rPr>
          <w:rFonts w:ascii="Amiri" w:hAnsi="Amiri" w:eastAsia="Amiri" w:cs="Amiri"/>
          <w:lang w:bidi="ar-SA"/>
          <w:color w:val="111111"/>
          <w:sz w:val="28"/>
          <w:szCs w:val="28"/>
          <w:rtl/>
        </w:rPr>
        <w:t xml:space="preserve">ابن ملك محمّد صادق شريف</w:t>
      </w:r>
    </w:p>
    <w:p>
      <w:pPr>
        <w:pStyle w:val="Heading2"/>
      </w:pPr>
      <w:bookmarkStart w:id="1716" w:name="_Toc818"/>
      <w:r>
        <w:t>ابن مليك ، علي بن محمّد، 840 - 917 ه-</w:t>
      </w:r>
      <w:bookmarkEnd w:id="1716"/>
    </w:p>
    <w:p>
      <w:pPr>
        <w:pStyle w:val="BookText"/>
      </w:pPr>
      <w:r>
        <w:rPr>
          <w:rFonts w:ascii="Amiri" w:hAnsi="Amiri" w:eastAsia="Amiri" w:cs="Amiri"/>
          <w:lang w:bidi="ar-SA"/>
          <w:color w:val="111111"/>
          <w:sz w:val="28"/>
          <w:szCs w:val="28"/>
          <w:rtl/>
        </w:rPr>
        <w:t xml:space="preserve">تخميس القصيدة المنفرجة جع،</w:t>
      </w:r>
    </w:p>
    <w:p>
      <w:pPr>
        <w:pStyle w:val="BookText"/>
      </w:pPr>
      <w:r>
        <w:rPr>
          <w:rFonts w:ascii="IRNazanin" w:hAnsi="IRNazanin" w:eastAsia="IRNazanin" w:cs="IRNazanin"/>
          <w:lang w:bidi="fa-IR"/>
          <w:color w:val="111111"/>
          <w:sz w:val="28"/>
          <w:szCs w:val="28"/>
          <w:rtl/>
        </w:rPr>
        <w:t xml:space="preserve">ص 140 .</w:t>
      </w:r>
    </w:p>
    <w:p>
      <w:pPr>
        <w:pStyle w:val="Heading2"/>
      </w:pPr>
      <w:bookmarkStart w:id="1717" w:name="_Toc819"/>
      <w:r>
        <w:t>ابن مناصف ، محمّد بن عيسى 563 -</w:t>
      </w:r>
      <w:bookmarkEnd w:id="1717"/>
    </w:p>
    <w:p>
      <w:pPr>
        <w:pStyle w:val="BookText"/>
      </w:pPr>
      <w:r>
        <w:rPr>
          <w:rFonts w:ascii="Amiri" w:hAnsi="Amiri" w:eastAsia="Amiri" w:cs="Amiri"/>
          <w:lang w:bidi="ar-SA"/>
          <w:color w:val="111111"/>
          <w:sz w:val="28"/>
          <w:szCs w:val="28"/>
          <w:rtl/>
        </w:rPr>
        <w:t xml:space="preserve">اشتراك اسم العجوز (منظومه)، ج2،</w:t>
      </w:r>
    </w:p>
    <w:p>
      <w:pPr>
        <w:pStyle w:val="BookText"/>
      </w:pPr>
      <w:r>
        <w:rPr>
          <w:rFonts w:ascii="IRNazanin" w:hAnsi="IRNazanin" w:eastAsia="IRNazanin" w:cs="IRNazanin"/>
          <w:lang w:bidi="fa-IR"/>
          <w:color w:val="111111"/>
          <w:sz w:val="28"/>
          <w:szCs w:val="28"/>
          <w:rtl/>
        </w:rPr>
        <w:t xml:space="preserve">ص 274 .</w:t>
      </w:r>
    </w:p>
    <w:p>
      <w:pPr>
        <w:pStyle w:val="BookText"/>
      </w:pPr>
      <w:r>
        <w:rPr>
          <w:rFonts w:ascii="Amiri" w:hAnsi="Amiri" w:eastAsia="Amiri" w:cs="Amiri"/>
          <w:lang w:bidi="ar-SA"/>
          <w:color w:val="111111"/>
          <w:sz w:val="28"/>
          <w:szCs w:val="28"/>
          <w:rtl/>
        </w:rPr>
        <w:t xml:space="preserve">ابن منبه ، وهب بن منبه- صنعاني ، وهب</w:t>
      </w:r>
    </w:p>
    <w:p>
      <w:pPr>
        <w:pStyle w:val="BookText"/>
      </w:pPr>
      <w:r>
        <w:rPr>
          <w:rFonts w:ascii="IRNazanin" w:hAnsi="IRNazanin" w:eastAsia="IRNazanin" w:cs="IRNazanin"/>
          <w:lang w:bidi="fa-IR"/>
          <w:color w:val="111111"/>
          <w:sz w:val="28"/>
          <w:szCs w:val="28"/>
          <w:rtl/>
        </w:rPr>
        <w:t xml:space="preserve">بن منبه</w:t>
      </w:r>
    </w:p>
    <w:p>
      <w:pPr>
        <w:pStyle w:val="BookText"/>
      </w:pPr>
      <w:r>
        <w:rPr>
          <w:rFonts w:ascii="Amiri" w:hAnsi="Amiri" w:eastAsia="Amiri" w:cs="Amiri"/>
          <w:lang w:bidi="ar-SA"/>
          <w:color w:val="111111"/>
          <w:sz w:val="28"/>
          <w:szCs w:val="28"/>
          <w:rtl/>
        </w:rPr>
        <w:t xml:space="preserve">ابن منجب ، علي بن منجب -ابن صيرفي ،</w:t>
      </w:r>
    </w:p>
    <w:p>
      <w:pPr>
        <w:pStyle w:val="BookText"/>
      </w:pPr>
      <w:r>
        <w:rPr>
          <w:rFonts w:ascii="Amiri" w:hAnsi="Amiri" w:eastAsia="Amiri" w:cs="Amiri"/>
          <w:lang w:bidi="ar-SA"/>
          <w:color w:val="111111"/>
          <w:sz w:val="28"/>
          <w:szCs w:val="28"/>
          <w:rtl/>
        </w:rPr>
        <w:t xml:space="preserve">علي بن منجب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1" w:name="pg7742_69601"/>
    <w:bookmarkEnd w:id="121"/>
    <w:p>
      <w:pPr>
        <w:pStyle w:val="Heading2"/>
      </w:pPr>
      <w:bookmarkStart w:id="1718" w:name="_Toc820"/>
      <w:r>
        <w:t>ابن منجم عبدالرحمن بن مروان -2557ه-</w:t>
      </w:r>
      <w:bookmarkEnd w:id="1718"/>
    </w:p>
    <w:p>
      <w:pPr>
        <w:pStyle w:val="BookText"/>
      </w:pPr>
      <w:r>
        <w:rPr>
          <w:rFonts w:ascii="Amiri" w:hAnsi="Amiri" w:eastAsia="Amiri" w:cs="Amiri"/>
          <w:lang w:bidi="ar-SA"/>
          <w:color w:val="111111"/>
          <w:sz w:val="28"/>
          <w:szCs w:val="28"/>
          <w:rtl/>
        </w:rPr>
        <w:t xml:space="preserve">العقائق و الحقائق في اشارات الدقائق</w:t>
      </w:r>
    </w:p>
    <w:p>
      <w:pPr>
        <w:pStyle w:val="BookText"/>
      </w:pPr>
      <w:r>
        <w:rPr>
          <w:rFonts w:ascii="Amiri" w:hAnsi="Amiri" w:eastAsia="Amiri" w:cs="Amiri"/>
          <w:lang w:bidi="ar-SA"/>
          <w:color w:val="111111"/>
          <w:sz w:val="28"/>
          <w:szCs w:val="28"/>
          <w:rtl/>
        </w:rPr>
        <w:t xml:space="preserve">في الوعظ والرقائق، ج11، ص 155.</w:t>
      </w:r>
    </w:p>
    <w:p>
      <w:pPr>
        <w:pStyle w:val="Heading2"/>
      </w:pPr>
      <w:bookmarkStart w:id="1719" w:name="_Toc821"/>
      <w:r>
        <w:t>ابن منجم ، عبدالله بن محفوف</w:t>
      </w:r>
      <w:bookmarkEnd w:id="1719"/>
    </w:p>
    <w:p>
      <w:pPr>
        <w:pStyle w:val="BookText"/>
      </w:pPr>
      <w:r>
        <w:rPr>
          <w:rFonts w:ascii="Amiri" w:hAnsi="Amiri" w:eastAsia="Amiri" w:cs="Amiri"/>
          <w:lang w:bidi="ar-SA"/>
          <w:color w:val="111111"/>
          <w:sz w:val="28"/>
          <w:szCs w:val="28"/>
          <w:rtl/>
        </w:rPr>
        <w:t xml:space="preserve">1 .الرمل (كتاب في)، ج8، ص360.</w:t>
      </w:r>
    </w:p>
    <w:p>
      <w:pPr>
        <w:pStyle w:val="BookText"/>
      </w:pPr>
      <w:r>
        <w:rPr>
          <w:rFonts w:ascii="Amiri" w:hAnsi="Amiri" w:eastAsia="Amiri" w:cs="Amiri"/>
          <w:lang w:bidi="ar-SA"/>
          <w:color w:val="111111"/>
          <w:sz w:val="28"/>
          <w:szCs w:val="28"/>
          <w:rtl/>
        </w:rPr>
        <w:t xml:space="preserve">2 .النجوم( كتاب في)، ج 16، ص 163.</w:t>
      </w:r>
    </w:p>
    <w:p>
      <w:pPr>
        <w:pStyle w:val="Heading2"/>
      </w:pPr>
      <w:bookmarkStart w:id="1720" w:name="_Toc822"/>
      <w:r>
        <w:t>ابن منجم ، يحيى بن علي، 241 - 300 ه-</w:t>
      </w:r>
      <w:bookmarkEnd w:id="1720"/>
    </w:p>
    <w:p>
      <w:pPr>
        <w:pStyle w:val="BookText"/>
      </w:pPr>
      <w:r>
        <w:rPr>
          <w:rFonts w:ascii="Amiri" w:hAnsi="Amiri" w:eastAsia="Amiri" w:cs="Amiri"/>
          <w:lang w:bidi="ar-SA"/>
          <w:color w:val="111111"/>
          <w:sz w:val="28"/>
          <w:szCs w:val="28"/>
          <w:rtl/>
        </w:rPr>
        <w:t xml:space="preserve">النغم - الموسيقي، ج 16، ص 371.</w:t>
      </w:r>
    </w:p>
    <w:p>
      <w:pPr>
        <w:pStyle w:val="Heading2"/>
      </w:pPr>
      <w:bookmarkStart w:id="1721" w:name="_Toc823"/>
      <w:r>
        <w:t>ابن منده محمّد بن اسحاق، 310-395ه-</w:t>
      </w:r>
      <w:bookmarkEnd w:id="17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الحديث = جزء في الحديث، ج 6،</w:t>
      </w:r>
    </w:p>
    <w:p>
      <w:pPr>
        <w:pStyle w:val="BookText"/>
      </w:pPr>
      <w:r>
        <w:rPr>
          <w:rFonts w:ascii="IRNazanin" w:hAnsi="IRNazanin" w:eastAsia="IRNazanin" w:cs="IRNazanin"/>
          <w:lang w:bidi="fa-IR"/>
          <w:color w:val="111111"/>
          <w:sz w:val="28"/>
          <w:szCs w:val="28"/>
          <w:rtl/>
        </w:rPr>
        <w:t xml:space="preserve">ص 558 .</w:t>
      </w:r>
    </w:p>
    <w:p>
      <w:pPr>
        <w:pStyle w:val="BookText"/>
      </w:pPr>
      <w:r>
        <w:rPr>
          <w:rFonts w:ascii="Amiri" w:hAnsi="Amiri" w:eastAsia="Amiri" w:cs="Amiri"/>
          <w:lang w:bidi="ar-SA"/>
          <w:color w:val="111111"/>
          <w:sz w:val="28"/>
          <w:szCs w:val="28"/>
          <w:rtl/>
        </w:rPr>
        <w:t xml:space="preserve">2 ذكر عدد ما لكل واحد من الصحابة</w:t>
      </w:r>
    </w:p>
    <w:p>
      <w:pPr>
        <w:pStyle w:val="BookText"/>
      </w:pPr>
      <w:r>
        <w:rPr>
          <w:rFonts w:ascii="Amiri" w:hAnsi="Amiri" w:eastAsia="Amiri" w:cs="Amiri"/>
          <w:lang w:bidi="ar-SA"/>
          <w:color w:val="111111"/>
          <w:sz w:val="28"/>
          <w:szCs w:val="28"/>
          <w:rtl/>
        </w:rPr>
        <w:t xml:space="preserve">من الحديث، ج 7، ص 856.</w:t>
      </w:r>
    </w:p>
    <w:p>
      <w:pPr>
        <w:pStyle w:val="BookText"/>
      </w:pPr>
      <w:r>
        <w:rPr>
          <w:rFonts w:ascii="IRNazanin" w:hAnsi="IRNazanin" w:eastAsia="IRNazanin" w:cs="IRNazanin"/>
          <w:lang w:bidi="fa-IR"/>
          <w:color w:val="111111"/>
          <w:sz w:val="28"/>
          <w:szCs w:val="28"/>
          <w:rtl/>
        </w:rPr>
        <w:t xml:space="preserve">3.مسند احادیث ابراهیم بن ادهم</w:t>
      </w:r>
    </w:p>
    <w:p>
      <w:pPr>
        <w:pStyle w:val="BookText"/>
      </w:pPr>
      <w:r>
        <w:rPr>
          <w:rFonts w:ascii="IRNazanin" w:hAnsi="IRNazanin" w:eastAsia="IRNazanin" w:cs="IRNazanin"/>
          <w:lang w:bidi="fa-IR"/>
          <w:color w:val="111111"/>
          <w:sz w:val="28"/>
          <w:szCs w:val="28"/>
          <w:rtl/>
        </w:rPr>
        <w:t xml:space="preserve">الزاهد، ج 14، ص 595.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معرفة الصحابة، ج 15، ص 59.</w:t>
      </w:r>
    </w:p>
    <w:p>
      <w:pPr>
        <w:pStyle w:val="Heading2"/>
      </w:pPr>
      <w:bookmarkStart w:id="1722" w:name="_Toc824"/>
      <w:r>
        <w:t>ابن مندويه ، احمد بن عبدالرحمن -</w:t>
      </w:r>
      <w:bookmarkEnd w:id="1722"/>
    </w:p>
    <w:p>
      <w:pPr>
        <w:pStyle w:val="BookText"/>
      </w:pPr>
      <w:r>
        <w:rPr>
          <w:rFonts w:ascii="IRNazanin" w:hAnsi="IRNazanin" w:eastAsia="IRNazanin" w:cs="IRNazanin"/>
          <w:lang w:bidi="fa-IR"/>
          <w:color w:val="111111"/>
          <w:sz w:val="28"/>
          <w:szCs w:val="28"/>
          <w:rtl/>
        </w:rPr>
        <w:t xml:space="preserve">410 ه-</w:t>
      </w:r>
    </w:p>
    <w:p>
      <w:pPr>
        <w:pStyle w:val="BookText"/>
      </w:pPr>
      <w:r>
        <w:rPr>
          <w:rFonts w:ascii="IRNazanin" w:hAnsi="IRNazanin" w:eastAsia="IRNazanin" w:cs="IRNazanin"/>
          <w:lang w:bidi="fa-IR"/>
          <w:color w:val="111111"/>
          <w:sz w:val="28"/>
          <w:szCs w:val="28"/>
          <w:rtl/>
        </w:rPr>
        <w:t xml:space="preserve">1 .اوجاع الاطفال، ج 3، ص 62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الباه، ج 3، ص 184.</w:t>
      </w:r>
    </w:p>
    <w:p>
      <w:pPr>
        <w:pStyle w:val="Heading2"/>
      </w:pPr>
      <w:bookmarkStart w:id="1723" w:name="_Toc825"/>
      <w:r>
        <w:t>ابن منذر محمّد بن ابراهيم 242-319ه-</w:t>
      </w:r>
      <w:bookmarkEnd w:id="17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الاسراف، ج2، ص 184.</w:t>
      </w:r>
    </w:p>
    <w:p>
      <w:pPr>
        <w:pStyle w:val="BookText"/>
      </w:pPr>
      <w:r>
        <w:rPr>
          <w:rFonts w:ascii="Amiri" w:hAnsi="Amiri" w:eastAsia="Amiri" w:cs="Amiri"/>
          <w:lang w:bidi="ar-SA"/>
          <w:color w:val="111111"/>
          <w:sz w:val="28"/>
          <w:szCs w:val="28"/>
          <w:rtl/>
        </w:rPr>
        <w:t xml:space="preserve">2 .تفسير القرآن الكريم، ج 4، ص 656.</w:t>
      </w:r>
    </w:p>
    <w:p>
      <w:pPr>
        <w:pStyle w:val="BookText"/>
      </w:pPr>
      <w:r>
        <w:rPr>
          <w:rFonts w:ascii="IRNazanin" w:hAnsi="IRNazanin" w:eastAsia="IRNazanin" w:cs="IRNazanin"/>
          <w:lang w:bidi="fa-IR"/>
          <w:color w:val="111111"/>
          <w:sz w:val="28"/>
          <w:szCs w:val="28"/>
          <w:rtl/>
        </w:rPr>
        <w:t xml:space="preserve">ابن منظور، محمّد بن مکرم 630-711ه-</w:t>
      </w:r>
    </w:p>
    <w:p>
      <w:pPr>
        <w:pStyle w:val="BookText"/>
      </w:pPr>
      <w:r>
        <w:rPr>
          <w:rFonts w:ascii="Amiri" w:hAnsi="Amiri" w:eastAsia="Amiri" w:cs="Amiri"/>
          <w:lang w:bidi="ar-SA"/>
          <w:color w:val="111111"/>
          <w:sz w:val="28"/>
          <w:szCs w:val="28"/>
          <w:rtl/>
        </w:rPr>
        <w:t xml:space="preserve">1 .فوائد القاضي البزاز، ج 12، ص 262.</w:t>
      </w:r>
    </w:p>
    <w:p>
      <w:pPr>
        <w:pStyle w:val="BookText"/>
      </w:pPr>
      <w:r>
        <w:rPr>
          <w:rFonts w:ascii="IRNazanin" w:hAnsi="IRNazanin" w:eastAsia="IRNazanin" w:cs="IRNazanin"/>
          <w:lang w:bidi="fa-IR"/>
          <w:color w:val="111111"/>
          <w:sz w:val="28"/>
          <w:szCs w:val="28"/>
          <w:rtl/>
        </w:rPr>
        <w:t xml:space="preserve">2 .لسان العرب، ج 13، ص 572 .</w:t>
      </w:r>
    </w:p>
    <w:p>
      <w:pPr>
        <w:pStyle w:val="BookText"/>
      </w:pPr>
      <w:r>
        <w:rPr>
          <w:rFonts w:ascii="Amiri" w:hAnsi="Amiri" w:eastAsia="Amiri" w:cs="Amiri"/>
          <w:lang w:bidi="ar-SA"/>
          <w:color w:val="111111"/>
          <w:sz w:val="28"/>
          <w:szCs w:val="28"/>
          <w:rtl/>
        </w:rPr>
        <w:t xml:space="preserve">3.مختار الاغاني في الاخبار و التهاني</w:t>
      </w:r>
    </w:p>
    <w:p>
      <w:pPr>
        <w:pStyle w:val="BookText"/>
      </w:pPr>
      <w:r>
        <w:rPr>
          <w:rFonts w:ascii="IRNazanin" w:hAnsi="IRNazanin" w:eastAsia="IRNazanin" w:cs="IRNazanin"/>
          <w:lang w:bidi="fa-IR"/>
          <w:color w:val="111111"/>
          <w:sz w:val="28"/>
          <w:szCs w:val="28"/>
          <w:rtl/>
        </w:rPr>
        <w:t xml:space="preserve">ج 14، ص 149.</w:t>
      </w:r>
    </w:p>
    <w:p>
      <w:pPr>
        <w:pStyle w:val="BookText"/>
      </w:pPr>
      <w:r>
        <w:rPr>
          <w:rFonts w:ascii="IRNazanin" w:hAnsi="IRNazanin" w:eastAsia="IRNazanin" w:cs="IRNazanin"/>
          <w:lang w:bidi="fa-IR"/>
          <w:color w:val="111111"/>
          <w:sz w:val="28"/>
          <w:szCs w:val="28"/>
          <w:rtl/>
        </w:rPr>
        <w:t xml:space="preserve">4 .مختار ذیل تاريخ بغداد للسمعاني</w:t>
      </w:r>
    </w:p>
    <w:p>
      <w:pPr>
        <w:pStyle w:val="BookText"/>
      </w:pPr>
      <w:r>
        <w:rPr>
          <w:rFonts w:ascii="IRNazanin" w:hAnsi="IRNazanin" w:eastAsia="IRNazanin" w:cs="IRNazanin"/>
          <w:lang w:bidi="fa-IR"/>
          <w:color w:val="111111"/>
          <w:sz w:val="28"/>
          <w:szCs w:val="28"/>
          <w:rtl/>
        </w:rPr>
        <w:t xml:space="preserve">ج 14، ص 150 .</w:t>
      </w:r>
    </w:p>
    <w:p>
      <w:pPr>
        <w:pStyle w:val="BookText"/>
      </w:pPr>
      <w:r>
        <w:rPr>
          <w:rFonts w:ascii="Amiri" w:hAnsi="Amiri" w:eastAsia="Amiri" w:cs="Amiri"/>
          <w:lang w:bidi="ar-SA"/>
          <w:color w:val="111111"/>
          <w:sz w:val="28"/>
          <w:szCs w:val="28"/>
          <w:rtl/>
        </w:rPr>
        <w:t xml:space="preserve">5 .المفردات الطبية (مختصر)، ج 15 ،</w:t>
      </w:r>
    </w:p>
    <w:p>
      <w:pPr>
        <w:pStyle w:val="BookText"/>
      </w:pPr>
      <w:r>
        <w:rPr>
          <w:rFonts w:ascii="IRNazanin" w:hAnsi="IRNazanin" w:eastAsia="IRNazanin" w:cs="IRNazanin"/>
          <w:lang w:bidi="fa-IR"/>
          <w:color w:val="111111"/>
          <w:sz w:val="28"/>
          <w:szCs w:val="28"/>
          <w:rtl/>
        </w:rPr>
        <w:t xml:space="preserve">ص 247 .</w:t>
      </w:r>
    </w:p>
    <w:p>
      <w:pPr>
        <w:pStyle w:val="Heading2"/>
      </w:pPr>
      <w:bookmarkStart w:id="1724" w:name="_Toc826"/>
      <w:r>
        <w:t>ابن منقذ ، اسامة بن مرشد 488-584ه-</w:t>
      </w:r>
      <w:bookmarkEnd w:id="1724"/>
    </w:p>
    <w:p>
      <w:pPr>
        <w:pStyle w:val="BookText"/>
      </w:pPr>
      <w:r>
        <w:rPr>
          <w:rFonts w:ascii="Amiri" w:hAnsi="Amiri" w:eastAsia="Amiri" w:cs="Amiri"/>
          <w:lang w:bidi="ar-SA"/>
          <w:color w:val="111111"/>
          <w:sz w:val="28"/>
          <w:szCs w:val="28"/>
          <w:rtl/>
        </w:rPr>
        <w:t xml:space="preserve">البديع في نقد الشعر، ج 3، ص278.</w:t>
      </w:r>
    </w:p>
    <w:p>
      <w:pPr>
        <w:pStyle w:val="Heading2"/>
      </w:pPr>
      <w:bookmarkStart w:id="1725" w:name="_Toc827"/>
      <w:r>
        <w:t>ابن منكلي ، محمّد بن محمود - 778 ه-</w:t>
      </w:r>
      <w:bookmarkEnd w:id="1725"/>
    </w:p>
    <w:p>
      <w:pPr>
        <w:pStyle w:val="BookText"/>
      </w:pPr>
      <w:r>
        <w:rPr>
          <w:rFonts w:ascii="Amiri" w:hAnsi="Amiri" w:eastAsia="Amiri" w:cs="Amiri"/>
          <w:lang w:bidi="ar-SA"/>
          <w:color w:val="111111"/>
          <w:sz w:val="28"/>
          <w:szCs w:val="28"/>
          <w:rtl/>
        </w:rPr>
        <w:t xml:space="preserve">التدبيرات السلطانية في سياسة الصناعة الحربية، ج 4، ص 166.</w:t>
      </w:r>
    </w:p>
    <w:p>
      <w:pPr>
        <w:pStyle w:val="Heading2"/>
      </w:pPr>
      <w:bookmarkStart w:id="1726" w:name="_Toc828"/>
      <w:r>
        <w:t>ابن منير ، احمد بن محمّد 620 - 683 ه-</w:t>
      </w:r>
      <w:bookmarkEnd w:id="1726"/>
    </w:p>
    <w:p>
      <w:pPr>
        <w:pStyle w:val="BookText"/>
      </w:pPr>
      <w:r>
        <w:rPr>
          <w:rFonts w:ascii="Amiri" w:hAnsi="Amiri" w:eastAsia="Amiri" w:cs="Amiri"/>
          <w:lang w:bidi="ar-SA"/>
          <w:color w:val="111111"/>
          <w:sz w:val="28"/>
          <w:szCs w:val="28"/>
          <w:rtl/>
        </w:rPr>
        <w:t xml:space="preserve">اسئلة و اجوبة، ج 2، ص 90.</w:t>
      </w:r>
    </w:p>
    <w:p>
      <w:pPr>
        <w:pStyle w:val="Heading2"/>
      </w:pPr>
      <w:bookmarkStart w:id="1727" w:name="_Toc829"/>
      <w:r>
        <w:t>ابن مهاون شاه قادري ، سليمان بن</w:t>
      </w:r>
      <w:bookmarkEnd w:id="1727"/>
    </w:p>
    <w:p>
      <w:pPr>
        <w:pStyle w:val="BookText"/>
      </w:pPr>
      <w:r>
        <w:rPr>
          <w:rFonts w:ascii="Amiri" w:hAnsi="Amiri" w:eastAsia="Amiri" w:cs="Amiri"/>
          <w:lang w:bidi="ar-SA"/>
          <w:color w:val="111111"/>
          <w:sz w:val="28"/>
          <w:szCs w:val="28"/>
          <w:rtl/>
        </w:rPr>
        <w:t xml:space="preserve">عبد الشكور</w:t>
      </w:r>
    </w:p>
    <w:p>
      <w:pPr>
        <w:pStyle w:val="BookText"/>
      </w:pPr>
      <w:r>
        <w:rPr>
          <w:rFonts w:ascii="Amiri" w:hAnsi="Amiri" w:eastAsia="Amiri" w:cs="Amiri"/>
          <w:lang w:bidi="ar-SA"/>
          <w:color w:val="111111"/>
          <w:sz w:val="28"/>
          <w:szCs w:val="28"/>
          <w:rtl/>
        </w:rPr>
        <w:t xml:space="preserve">اجازة بالعهد القادري، ج 1، ص 216.</w:t>
      </w:r>
    </w:p>
    <w:p>
      <w:pPr>
        <w:pStyle w:val="Heading2"/>
      </w:pPr>
      <w:bookmarkStart w:id="1728" w:name="_Toc830"/>
      <w:r>
        <w:t>ابن مهتار ، ابو عبدالله محمّد ه-</w:t>
      </w:r>
      <w:bookmarkEnd w:id="1728"/>
    </w:p>
    <w:p>
      <w:pPr>
        <w:pStyle w:val="BookText"/>
      </w:pPr>
      <w:r>
        <w:rPr>
          <w:rFonts w:ascii="Amiri" w:hAnsi="Amiri" w:eastAsia="Amiri" w:cs="Amiri"/>
          <w:lang w:bidi="ar-SA"/>
          <w:color w:val="111111"/>
          <w:sz w:val="28"/>
          <w:szCs w:val="28"/>
          <w:rtl/>
        </w:rPr>
        <w:t xml:space="preserve">مرآة العجائب، ج 14، ص356.</w:t>
      </w:r>
    </w:p>
    <w:p>
      <w:pPr>
        <w:pStyle w:val="Heading2"/>
      </w:pPr>
      <w:bookmarkStart w:id="1729" w:name="_Toc831"/>
      <w:r>
        <w:t>ابن مهذب ، اسعد بن ميناء - 606 ه-</w:t>
      </w:r>
      <w:bookmarkEnd w:id="1729"/>
    </w:p>
    <w:p>
      <w:pPr>
        <w:pStyle w:val="BookText"/>
      </w:pPr>
      <w:r>
        <w:rPr>
          <w:rFonts w:ascii="Amiri" w:hAnsi="Amiri" w:eastAsia="Amiri" w:cs="Amiri"/>
          <w:lang w:bidi="ar-SA"/>
          <w:color w:val="111111"/>
          <w:sz w:val="28"/>
          <w:szCs w:val="28"/>
          <w:rtl/>
        </w:rPr>
        <w:t xml:space="preserve">قوانين الدواوين، ج 12، ص818</w:t>
      </w:r>
    </w:p>
    <w:p>
      <w:pPr>
        <w:pStyle w:val="Heading2"/>
      </w:pPr>
      <w:bookmarkStart w:id="1730" w:name="_Toc832"/>
      <w:r>
        <w:t>ابن ،مهران ابوبکر بن احمد، 295-381ه-</w:t>
      </w:r>
      <w:bookmarkEnd w:id="1730"/>
    </w:p>
    <w:p>
      <w:pPr>
        <w:pStyle w:val="BookText"/>
      </w:pPr>
      <w:r>
        <w:rPr>
          <w:rFonts w:ascii="Amiri" w:hAnsi="Amiri" w:eastAsia="Amiri" w:cs="Amiri"/>
          <w:lang w:bidi="ar-SA"/>
          <w:color w:val="111111"/>
          <w:sz w:val="28"/>
          <w:szCs w:val="28"/>
          <w:rtl/>
        </w:rPr>
        <w:t xml:space="preserve">الوقف (خلاصة في)، ج 16 ، ص 867.</w:t>
      </w:r>
    </w:p>
    <w:p>
      <w:pPr>
        <w:pStyle w:val="BookText"/>
      </w:pPr>
      <w:r>
        <w:rPr>
          <w:rFonts w:ascii="Amiri" w:hAnsi="Amiri" w:eastAsia="Amiri" w:cs="Amiri"/>
          <w:lang w:bidi="ar-SA"/>
          <w:color w:val="111111"/>
          <w:sz w:val="28"/>
          <w:szCs w:val="28"/>
          <w:rtl/>
        </w:rPr>
        <w:t xml:space="preserve">ابن مهنا- جبريني ، طه بن محمّد</w:t>
      </w:r>
    </w:p>
    <w:p>
      <w:pPr>
        <w:pStyle w:val="BookText"/>
      </w:pPr>
      <w:r>
        <w:rPr>
          <w:rFonts w:ascii="Amiri" w:hAnsi="Amiri" w:eastAsia="Amiri" w:cs="Amiri"/>
          <w:lang w:bidi="ar-SA"/>
          <w:color w:val="111111"/>
          <w:sz w:val="28"/>
          <w:szCs w:val="28"/>
          <w:rtl/>
        </w:rPr>
        <w:t xml:space="preserve">ابن مهندس ، محمّد بن ابراهيم -ابن</w:t>
      </w:r>
    </w:p>
    <w:p>
      <w:pPr>
        <w:pStyle w:val="BookText"/>
      </w:pPr>
      <w:r>
        <w:rPr>
          <w:rFonts w:ascii="Amiri" w:hAnsi="Amiri" w:eastAsia="Amiri" w:cs="Amiri"/>
          <w:lang w:bidi="ar-SA"/>
          <w:color w:val="111111"/>
          <w:sz w:val="28"/>
          <w:szCs w:val="28"/>
          <w:rtl/>
        </w:rPr>
        <w:t xml:space="preserve">غنائم ، محمّد بن ابراهيم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2" w:name="pg7742_69603"/>
    <w:bookmarkEnd w:id="122"/>
    <w:p>
      <w:pPr>
        <w:pStyle w:val="Heading2"/>
      </w:pPr>
      <w:bookmarkStart w:id="1731" w:name="_Toc833"/>
      <w:r>
        <w:t>ابن مهيب ، محمد</w:t>
      </w:r>
      <w:bookmarkEnd w:id="1731"/>
    </w:p>
    <w:p>
      <w:pPr>
        <w:pStyle w:val="BookText"/>
      </w:pPr>
      <w:r>
        <w:rPr>
          <w:rFonts w:ascii="Amiri" w:hAnsi="Amiri" w:eastAsia="Amiri" w:cs="Amiri"/>
          <w:lang w:bidi="ar-SA"/>
          <w:color w:val="111111"/>
          <w:sz w:val="28"/>
          <w:szCs w:val="28"/>
          <w:rtl/>
        </w:rPr>
        <w:t xml:space="preserve">تخميس القصائد العشر، ج 4، ص 110 .</w:t>
      </w:r>
    </w:p>
    <w:p>
      <w:pPr>
        <w:pStyle w:val="Heading2"/>
      </w:pPr>
      <w:bookmarkStart w:id="1732" w:name="_Toc834"/>
      <w:r>
        <w:t>ابن موجود ، شهاب بن محمّد</w:t>
      </w:r>
      <w:bookmarkEnd w:id="1732"/>
    </w:p>
    <w:p>
      <w:pPr>
        <w:pStyle w:val="BookText"/>
      </w:pPr>
      <w:r>
        <w:rPr>
          <w:rFonts w:ascii="Amiri" w:hAnsi="Amiri" w:eastAsia="Amiri" w:cs="Amiri"/>
          <w:lang w:bidi="ar-SA"/>
          <w:color w:val="111111"/>
          <w:sz w:val="28"/>
          <w:szCs w:val="28"/>
          <w:rtl/>
        </w:rPr>
        <w:t xml:space="preserve">باكورة الفضل، ج 3، ص 183.</w:t>
      </w:r>
    </w:p>
    <w:p>
      <w:pPr>
        <w:pStyle w:val="Heading2"/>
      </w:pPr>
      <w:bookmarkStart w:id="1733" w:name="_Toc835"/>
      <w:r>
        <w:t>ابن مؤدب ، علي بن حسين</w:t>
      </w:r>
      <w:bookmarkEnd w:id="1733"/>
    </w:p>
    <w:p>
      <w:pPr>
        <w:pStyle w:val="BookText"/>
      </w:pPr>
      <w:r>
        <w:rPr>
          <w:rFonts w:ascii="Amiri" w:hAnsi="Amiri" w:eastAsia="Amiri" w:cs="Amiri"/>
          <w:lang w:bidi="ar-SA"/>
          <w:color w:val="111111"/>
          <w:sz w:val="28"/>
          <w:szCs w:val="28"/>
          <w:rtl/>
        </w:rPr>
        <w:t xml:space="preserve">كتاب علي بن المؤدب، ج13، ص111.</w:t>
      </w:r>
    </w:p>
    <w:p>
      <w:pPr>
        <w:pStyle w:val="Heading2"/>
      </w:pPr>
      <w:bookmarkStart w:id="1734" w:name="_Toc836"/>
      <w:r>
        <w:t>ابن موصلي ، محمّد بن محمّد - 774 ه-</w:t>
      </w:r>
      <w:bookmarkEnd w:id="1734"/>
    </w:p>
    <w:p>
      <w:pPr>
        <w:pStyle w:val="BookText"/>
      </w:pPr>
      <w:r>
        <w:rPr>
          <w:rFonts w:ascii="Amiri" w:hAnsi="Amiri" w:eastAsia="Amiri" w:cs="Amiri"/>
          <w:lang w:bidi="ar-SA"/>
          <w:color w:val="111111"/>
          <w:sz w:val="28"/>
          <w:szCs w:val="28"/>
          <w:rtl/>
        </w:rPr>
        <w:t xml:space="preserve">لوامع الانوار في نظم غريب الموطأ و صحيح المسلم، ج 13، ص 648 .</w:t>
      </w:r>
    </w:p>
    <w:p>
      <w:pPr>
        <w:pStyle w:val="Heading2"/>
      </w:pPr>
      <w:bookmarkStart w:id="1735" w:name="_Toc837"/>
      <w:r>
        <w:t>ابن الموقع ، محمد بن ابي الوفاء - 970ه-</w:t>
      </w:r>
      <w:bookmarkEnd w:id="1735"/>
    </w:p>
    <w:p>
      <w:pPr>
        <w:pStyle w:val="BookText"/>
      </w:pPr>
      <w:r>
        <w:rPr>
          <w:rFonts w:ascii="Amiri" w:hAnsi="Amiri" w:eastAsia="Amiri" w:cs="Amiri"/>
          <w:lang w:bidi="ar-SA"/>
          <w:color w:val="111111"/>
          <w:sz w:val="28"/>
          <w:szCs w:val="28"/>
          <w:rtl/>
        </w:rPr>
        <w:t xml:space="preserve">شرح العزي في التصريف = شرح التصريف العزي، ج 9، ص 706.</w:t>
      </w:r>
    </w:p>
    <w:p>
      <w:pPr>
        <w:pStyle w:val="Heading2"/>
      </w:pPr>
      <w:bookmarkStart w:id="1736" w:name="_Toc838"/>
      <w:r>
        <w:t>ابن المؤيد ، عبد الرحمن بن علي 860 -</w:t>
      </w:r>
      <w:bookmarkEnd w:id="1736"/>
    </w:p>
    <w:p>
      <w:pPr>
        <w:pStyle w:val="BookText"/>
      </w:pPr>
      <w:r>
        <w:rPr>
          <w:rFonts w:ascii="IRNazanin" w:hAnsi="IRNazanin" w:eastAsia="IRNazanin" w:cs="IRNazanin"/>
          <w:lang w:bidi="fa-IR"/>
          <w:color w:val="111111"/>
          <w:sz w:val="28"/>
          <w:szCs w:val="28"/>
          <w:rtl/>
        </w:rPr>
        <w:t xml:space="preserve">922ه-</w:t>
      </w:r>
    </w:p>
    <w:p>
      <w:pPr>
        <w:pStyle w:val="BookText"/>
      </w:pPr>
      <w:r>
        <w:rPr>
          <w:rFonts w:ascii="IRNazanin" w:hAnsi="IRNazanin" w:eastAsia="IRNazanin" w:cs="IRNazanin"/>
          <w:lang w:bidi="fa-IR"/>
          <w:color w:val="111111"/>
          <w:sz w:val="28"/>
          <w:szCs w:val="28"/>
          <w:rtl/>
        </w:rPr>
        <w:t xml:space="preserve">1 .رد السائل إلى السائل، ج 8، ص 86.</w:t>
      </w:r>
    </w:p>
    <w:p>
      <w:pPr>
        <w:pStyle w:val="BookText"/>
      </w:pPr>
      <w:r>
        <w:rPr>
          <w:rFonts w:ascii="IRNazanin" w:hAnsi="IRNazanin" w:eastAsia="IRNazanin" w:cs="IRNazanin"/>
          <w:lang w:bidi="fa-IR"/>
          <w:color w:val="111111"/>
          <w:sz w:val="28"/>
          <w:szCs w:val="28"/>
          <w:rtl/>
        </w:rPr>
        <w:t xml:space="preserve">2 .رد السائل إلى المسائل، ج8، ص 86.</w:t>
      </w:r>
    </w:p>
    <w:p>
      <w:pPr>
        <w:pStyle w:val="BookText"/>
      </w:pPr>
      <w:r>
        <w:rPr>
          <w:rFonts w:ascii="IRNazanin" w:hAnsi="IRNazanin" w:eastAsia="IRNazanin" w:cs="IRNazanin"/>
          <w:lang w:bidi="fa-IR"/>
          <w:color w:val="111111"/>
          <w:sz w:val="28"/>
          <w:szCs w:val="28"/>
          <w:rtl/>
        </w:rPr>
        <w:t xml:space="preserve">3.الفتاوى، ج 11، ص 595.</w:t>
      </w:r>
    </w:p>
    <w:p>
      <w:pPr>
        <w:pStyle w:val="BookText"/>
      </w:pPr>
      <w:r>
        <w:rPr>
          <w:rFonts w:ascii="Amiri" w:hAnsi="Amiri" w:eastAsia="Amiri" w:cs="Amiri"/>
          <w:lang w:bidi="ar-SA"/>
          <w:color w:val="111111"/>
          <w:sz w:val="28"/>
          <w:szCs w:val="28"/>
          <w:rtl/>
        </w:rPr>
        <w:t xml:space="preserve">4 .لكلام على البسملة و الحمدلة (رسالة في)، ج 13، ص 357.</w:t>
      </w:r>
    </w:p>
    <w:p>
      <w:pPr>
        <w:pStyle w:val="BookText"/>
      </w:pPr>
      <w:r>
        <w:rPr>
          <w:rFonts w:ascii="Amiri" w:hAnsi="Amiri" w:eastAsia="Amiri" w:cs="Amiri"/>
          <w:lang w:bidi="ar-SA"/>
          <w:color w:val="111111"/>
          <w:sz w:val="28"/>
          <w:szCs w:val="28"/>
          <w:rtl/>
        </w:rPr>
        <w:t xml:space="preserve">5 .مجموعة المسائل = المسائل الفقهية، ج 14، ص 56.</w:t>
      </w:r>
    </w:p>
    <w:p>
      <w:pPr>
        <w:pStyle w:val="Heading2"/>
      </w:pPr>
      <w:bookmarkStart w:id="1737" w:name="_Toc839"/>
      <w:r>
        <w:t>ابن مؤيد ، محمّد بن عزالدين - 973 ه-</w:t>
      </w:r>
      <w:bookmarkEnd w:id="1737"/>
    </w:p>
    <w:p>
      <w:pPr>
        <w:pStyle w:val="BookText"/>
      </w:pPr>
      <w:r>
        <w:rPr>
          <w:rFonts w:ascii="Amiri" w:hAnsi="Amiri" w:eastAsia="Amiri" w:cs="Amiri"/>
          <w:lang w:bidi="ar-SA"/>
          <w:color w:val="111111"/>
          <w:sz w:val="28"/>
          <w:szCs w:val="28"/>
          <w:rtl/>
        </w:rPr>
        <w:t xml:space="preserve">1 .حاشية على الكافية، ج 6، ص 249.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الكافية، ج 10، ص 36.</w:t>
      </w:r>
    </w:p>
    <w:p>
      <w:pPr>
        <w:pStyle w:val="BookText"/>
      </w:pPr>
      <w:r>
        <w:rPr>
          <w:rFonts w:ascii="IRNazanin" w:hAnsi="IRNazanin" w:eastAsia="IRNazanin" w:cs="IRNazanin"/>
          <w:lang w:bidi="fa-IR"/>
          <w:color w:val="111111"/>
          <w:sz w:val="28"/>
          <w:szCs w:val="28"/>
          <w:rtl/>
        </w:rPr>
        <w:t xml:space="preserve">ابن میاره ، محمّد بن احمد مياره فاسي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1738" w:name="_Toc840"/>
      <w:r>
        <w:t>ابن میت ، محمّد بن محمّد - 1140ه-</w:t>
      </w:r>
      <w:bookmarkEnd w:id="1738"/>
    </w:p>
    <w:p>
      <w:pPr>
        <w:pStyle w:val="BookText"/>
      </w:pPr>
      <w:r>
        <w:rPr>
          <w:rFonts w:ascii="Amiri" w:hAnsi="Amiri" w:eastAsia="Amiri" w:cs="Amiri"/>
          <w:lang w:bidi="ar-SA"/>
          <w:color w:val="111111"/>
          <w:sz w:val="28"/>
          <w:szCs w:val="28"/>
          <w:rtl/>
        </w:rPr>
        <w:t xml:space="preserve">1 .اشارات على رسالة السمرقندي في</w:t>
      </w:r>
    </w:p>
    <w:p>
      <w:pPr>
        <w:pStyle w:val="BookText"/>
      </w:pPr>
      <w:r>
        <w:rPr>
          <w:rFonts w:ascii="IRNazanin" w:hAnsi="IRNazanin" w:eastAsia="IRNazanin" w:cs="IRNazanin"/>
          <w:lang w:bidi="fa-IR"/>
          <w:color w:val="111111"/>
          <w:sz w:val="28"/>
          <w:szCs w:val="28"/>
          <w:rtl/>
        </w:rPr>
        <w:t xml:space="preserve">الاستعارات، ج 2، ص 250.</w:t>
      </w:r>
    </w:p>
    <w:p>
      <w:pPr>
        <w:pStyle w:val="BookText"/>
      </w:pPr>
      <w:r>
        <w:rPr>
          <w:rFonts w:ascii="Amiri" w:hAnsi="Amiri" w:eastAsia="Amiri" w:cs="Amiri"/>
          <w:lang w:bidi="ar-SA"/>
          <w:color w:val="111111"/>
          <w:sz w:val="28"/>
          <w:szCs w:val="28"/>
          <w:rtl/>
        </w:rPr>
        <w:t xml:space="preserve">2 .صفوة الملح بشرح منظومة البيوقي</w:t>
      </w:r>
    </w:p>
    <w:p>
      <w:pPr>
        <w:pStyle w:val="BookText"/>
      </w:pPr>
      <w:r>
        <w:rPr>
          <w:rFonts w:ascii="Amiri" w:hAnsi="Amiri" w:eastAsia="Amiri" w:cs="Amiri"/>
          <w:lang w:bidi="ar-SA"/>
          <w:color w:val="111111"/>
          <w:sz w:val="28"/>
          <w:szCs w:val="28"/>
          <w:rtl/>
        </w:rPr>
        <w:t xml:space="preserve">في المصطلح، ج 10، ص 576.</w:t>
      </w:r>
    </w:p>
    <w:p>
      <w:pPr>
        <w:pStyle w:val="Heading2"/>
      </w:pPr>
      <w:bookmarkStart w:id="1739" w:name="_Toc841"/>
      <w:r>
        <w:t>ابن میثم ، میثم بن علي، 636 - 689 ه-</w:t>
      </w:r>
      <w:bookmarkEnd w:id="1739"/>
    </w:p>
    <w:p>
      <w:pPr>
        <w:pStyle w:val="BookText"/>
      </w:pPr>
      <w:r>
        <w:rPr>
          <w:rFonts w:ascii="Amiri" w:hAnsi="Amiri" w:eastAsia="Amiri" w:cs="Amiri"/>
          <w:lang w:bidi="ar-SA"/>
          <w:color w:val="111111"/>
          <w:sz w:val="28"/>
          <w:szCs w:val="28"/>
          <w:rtl/>
        </w:rPr>
        <w:t xml:space="preserve">1 .جواب رسالة نصير الدين الطوسي</w:t>
      </w:r>
    </w:p>
    <w:p>
      <w:pPr>
        <w:pStyle w:val="BookText"/>
      </w:pPr>
      <w:r>
        <w:rPr>
          <w:rFonts w:ascii="IRNazanin" w:hAnsi="IRNazanin" w:eastAsia="IRNazanin" w:cs="IRNazanin"/>
          <w:lang w:bidi="fa-IR"/>
          <w:color w:val="111111"/>
          <w:sz w:val="28"/>
          <w:szCs w:val="28"/>
          <w:rtl/>
        </w:rPr>
        <w:t xml:space="preserve">ج 5، ص 498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المائة العلوية، ج 10، ص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قواعد المرام في علم الكلام =</w:t>
      </w:r>
    </w:p>
    <w:p>
      <w:pPr>
        <w:pStyle w:val="BookText"/>
      </w:pPr>
      <w:r>
        <w:rPr>
          <w:rFonts w:ascii="Amiri" w:hAnsi="Amiri" w:eastAsia="Amiri" w:cs="Amiri"/>
          <w:lang w:bidi="ar-SA"/>
          <w:color w:val="111111"/>
          <w:sz w:val="28"/>
          <w:szCs w:val="28"/>
          <w:rtl/>
        </w:rPr>
        <w:t xml:space="preserve">القواعد الإلهية في الكلام و الحكمة، ج 12، ص 805</w:t>
      </w:r>
    </w:p>
    <w:p>
      <w:pPr>
        <w:pStyle w:val="BookText"/>
      </w:pPr>
      <w:r>
        <w:rPr>
          <w:rFonts w:ascii="Amiri" w:hAnsi="Amiri" w:eastAsia="Amiri" w:cs="Amiri"/>
          <w:lang w:bidi="ar-SA"/>
          <w:color w:val="111111"/>
          <w:sz w:val="28"/>
          <w:szCs w:val="28"/>
          <w:rtl/>
        </w:rPr>
        <w:t xml:space="preserve">4 .مختصر مصباح السالكين = مختصر شرح نهج البلاغة = شرح نهج البلاغه الوسيط، ج 14، ص 242.</w:t>
      </w:r>
    </w:p>
    <w:p>
      <w:pPr>
        <w:pStyle w:val="BookText"/>
      </w:pPr>
      <w:r>
        <w:rPr>
          <w:rFonts w:ascii="Amiri" w:hAnsi="Amiri" w:eastAsia="Amiri" w:cs="Amiri"/>
          <w:lang w:bidi="ar-SA"/>
          <w:color w:val="111111"/>
          <w:sz w:val="28"/>
          <w:szCs w:val="28"/>
          <w:rtl/>
        </w:rPr>
        <w:t xml:space="preserve">5 .مراسلة ابن ميثم البحراني مع خواجه نصير الطوسي، ج 14،</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Amiri" w:hAnsi="Amiri" w:eastAsia="Amiri" w:cs="Amiri"/>
          <w:lang w:bidi="ar-SA"/>
          <w:color w:val="111111"/>
          <w:sz w:val="28"/>
          <w:szCs w:val="28"/>
          <w:rtl/>
        </w:rPr>
        <w:t xml:space="preserve">6 .مصباح السالكين = شرح نهج البلاغة = شرح كبير، ج 14 ، ص 708.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المقاصد، ج15، ص 268.</w:t>
      </w:r>
    </w:p>
    <w:p>
      <w:pPr>
        <w:pStyle w:val="BookText"/>
      </w:pPr>
      <w:r>
        <w:rPr>
          <w:rFonts w:ascii="Amiri" w:hAnsi="Amiri" w:eastAsia="Amiri" w:cs="Amiri"/>
          <w:lang w:bidi="ar-SA"/>
          <w:color w:val="111111"/>
          <w:sz w:val="28"/>
          <w:szCs w:val="28"/>
          <w:rtl/>
        </w:rPr>
        <w:t xml:space="preserve">8 .منهاج العارفين في شرح كلمات اميرالمؤمنين عليه السلام = البحر</w:t>
      </w:r>
    </w:p>
    <w:p>
      <w:pPr>
        <w:pStyle w:val="BookText"/>
      </w:pPr>
      <w:r>
        <w:rPr>
          <w:rFonts w:ascii="IRNazanin" w:hAnsi="IRNazanin" w:eastAsia="IRNazanin" w:cs="IRNazanin"/>
          <w:lang w:bidi="fa-IR"/>
          <w:color w:val="111111"/>
          <w:sz w:val="28"/>
          <w:szCs w:val="28"/>
          <w:rtl/>
        </w:rPr>
        <w:t xml:space="preserve">الخضم ج 15 ، ص 770.</w:t>
      </w:r>
    </w:p>
    <w:p>
      <w:pPr>
        <w:pStyle w:val="BookText"/>
      </w:pPr>
      <w:r>
        <w:rPr>
          <w:rFonts w:ascii="Amiri" w:hAnsi="Amiri" w:eastAsia="Amiri" w:cs="Amiri"/>
          <w:lang w:bidi="ar-SA"/>
          <w:color w:val="111111"/>
          <w:sz w:val="28"/>
          <w:szCs w:val="28"/>
          <w:rtl/>
        </w:rPr>
        <w:t xml:space="preserve">9 .النجاة في القيامة في امر الامامة</w:t>
      </w:r>
    </w:p>
    <w:p>
      <w:pPr>
        <w:pStyle w:val="BookText"/>
      </w:pPr>
      <w:r>
        <w:rPr>
          <w:rFonts w:ascii="IRNazanin" w:hAnsi="IRNazanin" w:eastAsia="IRNazanin" w:cs="IRNazanin"/>
          <w:lang w:bidi="fa-IR"/>
          <w:color w:val="111111"/>
          <w:sz w:val="28"/>
          <w:szCs w:val="28"/>
          <w:rtl/>
        </w:rPr>
        <w:t xml:space="preserve">ج 16، ص 152.</w:t>
      </w:r>
    </w:p>
    <w:p>
      <w:pPr>
        <w:pStyle w:val="BookText"/>
      </w:pPr>
      <w:r>
        <w:rPr>
          <w:rFonts w:ascii="Amiri" w:hAnsi="Amiri" w:eastAsia="Amiri" w:cs="Amiri"/>
          <w:lang w:bidi="ar-SA"/>
          <w:color w:val="111111"/>
          <w:sz w:val="28"/>
          <w:szCs w:val="28"/>
          <w:rtl/>
        </w:rPr>
        <w:t xml:space="preserve">10 .النهج المستقيم على طريقة الحكيم في شرح القصيدة العينية ج 16، ص 533.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3" w:name="pg7742_69605"/>
    <w:bookmarkEnd w:id="123"/>
    <w:p>
      <w:pPr>
        <w:pStyle w:val="Heading2"/>
      </w:pPr>
      <w:bookmarkStart w:id="1740" w:name="_Toc842"/>
      <w:r>
        <w:t>ابن ميمون ، علي بن ميمون 854-917ه-</w:t>
      </w:r>
      <w:bookmarkEnd w:id="1740"/>
    </w:p>
    <w:p>
      <w:pPr>
        <w:pStyle w:val="BookText"/>
      </w:pPr>
      <w:r>
        <w:rPr>
          <w:rFonts w:ascii="Amiri" w:hAnsi="Amiri" w:eastAsia="Amiri" w:cs="Amiri"/>
          <w:lang w:bidi="ar-SA"/>
          <w:color w:val="111111"/>
          <w:sz w:val="28"/>
          <w:szCs w:val="28"/>
          <w:rtl/>
        </w:rPr>
        <w:t xml:space="preserve">1 .بيان الأحكام في السجادة و الخرقة 842 ه-</w:t>
      </w:r>
    </w:p>
    <w:p>
      <w:pPr>
        <w:pStyle w:val="BookText"/>
      </w:pPr>
      <w:r>
        <w:rPr>
          <w:rFonts w:ascii="IRNazanin" w:hAnsi="IRNazanin" w:eastAsia="IRNazanin" w:cs="IRNazanin"/>
          <w:lang w:bidi="fa-IR"/>
          <w:color w:val="111111"/>
          <w:sz w:val="28"/>
          <w:szCs w:val="28"/>
          <w:rtl/>
        </w:rPr>
        <w:t xml:space="preserve">و الأعلام، ج3، ص 455.</w:t>
      </w:r>
    </w:p>
    <w:p>
      <w:pPr>
        <w:pStyle w:val="BookText"/>
      </w:pPr>
      <w:r>
        <w:rPr>
          <w:rFonts w:ascii="Amiri" w:hAnsi="Amiri" w:eastAsia="Amiri" w:cs="Amiri"/>
          <w:lang w:bidi="ar-SA"/>
          <w:color w:val="111111"/>
          <w:sz w:val="28"/>
          <w:szCs w:val="28"/>
          <w:rtl/>
        </w:rPr>
        <w:t xml:space="preserve">2 .رسالة الاخوان من اهل الفقه و</w:t>
      </w:r>
    </w:p>
    <w:p>
      <w:pPr>
        <w:pStyle w:val="BookText"/>
      </w:pPr>
      <w:r>
        <w:rPr>
          <w:rFonts w:ascii="Amiri" w:hAnsi="Amiri" w:eastAsia="Amiri" w:cs="Amiri"/>
          <w:lang w:bidi="ar-SA"/>
          <w:color w:val="111111"/>
          <w:sz w:val="28"/>
          <w:szCs w:val="28"/>
          <w:rtl/>
        </w:rPr>
        <w:t xml:space="preserve">حملة القرآن، ج8، ص 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الرسالة الميمونية في التوحيد</w:t>
      </w:r>
    </w:p>
    <w:p>
      <w:pPr>
        <w:pStyle w:val="BookText"/>
      </w:pPr>
      <w:r>
        <w:rPr>
          <w:rFonts w:ascii="Amiri" w:hAnsi="Amiri" w:eastAsia="Amiri" w:cs="Amiri"/>
          <w:lang w:bidi="ar-SA"/>
          <w:color w:val="111111"/>
          <w:sz w:val="28"/>
          <w:szCs w:val="28"/>
          <w:rtl/>
        </w:rPr>
        <w:t xml:space="preserve">الآجرومية، ج8، ص286 .</w:t>
      </w:r>
    </w:p>
    <w:p>
      <w:pPr>
        <w:pStyle w:val="BookText"/>
      </w:pPr>
      <w:r>
        <w:rPr>
          <w:rFonts w:ascii="Amiri" w:hAnsi="Amiri" w:eastAsia="Amiri" w:cs="Amiri"/>
          <w:lang w:bidi="ar-SA"/>
          <w:color w:val="111111"/>
          <w:sz w:val="28"/>
          <w:szCs w:val="28"/>
          <w:rtl/>
        </w:rPr>
        <w:t xml:space="preserve">4 .سفينة النجاة، ج8، ص783.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مواهب الرحمن في كشف (عون) عورات الشيطان، ج 15 ، ص887.</w:t>
      </w:r>
    </w:p>
    <w:p>
      <w:pPr>
        <w:pStyle w:val="BookText"/>
      </w:pPr>
      <w:r>
        <w:rPr>
          <w:rFonts w:ascii="IRNazanin" w:hAnsi="IRNazanin" w:eastAsia="IRNazanin" w:cs="IRNazanin"/>
          <w:lang w:bidi="fa-IR"/>
          <w:color w:val="111111"/>
          <w:sz w:val="28"/>
          <w:szCs w:val="28"/>
          <w:rtl/>
        </w:rPr>
        <w:t xml:space="preserve">6.ّ نحو القلوب، ج 16، ص 191.</w:t>
      </w:r>
    </w:p>
    <w:p>
      <w:pPr>
        <w:pStyle w:val="BookText"/>
      </w:pPr>
      <w:r>
        <w:rPr>
          <w:rFonts w:ascii="IRNazanin" w:hAnsi="IRNazanin" w:eastAsia="IRNazanin" w:cs="IRNazanin"/>
          <w:lang w:bidi="fa-IR"/>
          <w:color w:val="111111"/>
          <w:sz w:val="28"/>
          <w:szCs w:val="28"/>
          <w:rtl/>
        </w:rPr>
        <w:t xml:space="preserve">ابن میمون ، محمّد بن علي- نرسي ،</w:t>
      </w:r>
    </w:p>
    <w:p>
      <w:pPr>
        <w:pStyle w:val="BookText"/>
      </w:pPr>
      <w:r>
        <w:rPr>
          <w:rFonts w:ascii="Amiri" w:hAnsi="Amiri" w:eastAsia="Amiri" w:cs="Amiri"/>
          <w:lang w:bidi="ar-SA"/>
          <w:color w:val="111111"/>
          <w:sz w:val="28"/>
          <w:szCs w:val="28"/>
          <w:rtl/>
        </w:rPr>
        <w:t xml:space="preserve">محمد بن علي</w:t>
      </w:r>
    </w:p>
    <w:p>
      <w:pPr>
        <w:pStyle w:val="Heading2"/>
      </w:pPr>
      <w:bookmarkStart w:id="1741" w:name="_Toc843"/>
      <w:r>
        <w:t>ابن میمون، محمّد بن مبارك قرن 6 ه-</w:t>
      </w:r>
      <w:bookmarkEnd w:id="1741"/>
    </w:p>
    <w:p>
      <w:pPr>
        <w:pStyle w:val="BookText"/>
      </w:pPr>
      <w:r>
        <w:rPr>
          <w:rFonts w:ascii="Amiri" w:hAnsi="Amiri" w:eastAsia="Amiri" w:cs="Amiri"/>
          <w:lang w:bidi="ar-SA"/>
          <w:color w:val="111111"/>
          <w:sz w:val="28"/>
          <w:szCs w:val="28"/>
          <w:rtl/>
        </w:rPr>
        <w:t xml:space="preserve">منتهي الطلب من اشعار العرب</w:t>
      </w:r>
    </w:p>
    <w:p>
      <w:pPr>
        <w:pStyle w:val="BookText"/>
      </w:pPr>
      <w:r>
        <w:rPr>
          <w:rFonts w:ascii="IRNazanin" w:hAnsi="IRNazanin" w:eastAsia="IRNazanin" w:cs="IRNazanin"/>
          <w:lang w:bidi="fa-IR"/>
          <w:color w:val="111111"/>
          <w:sz w:val="28"/>
          <w:szCs w:val="28"/>
          <w:rtl/>
        </w:rPr>
        <w:t xml:space="preserve">ج 15، ص 639 .</w:t>
      </w:r>
    </w:p>
    <w:p>
      <w:pPr>
        <w:pStyle w:val="BookText"/>
      </w:pPr>
      <w:r>
        <w:rPr>
          <w:rFonts w:ascii="IRNazanin" w:hAnsi="IRNazanin" w:eastAsia="IRNazanin" w:cs="IRNazanin"/>
          <w:lang w:bidi="fa-IR"/>
          <w:color w:val="111111"/>
          <w:sz w:val="28"/>
          <w:szCs w:val="28"/>
          <w:rtl/>
        </w:rPr>
        <w:t xml:space="preserve">ابن میمون ، موسى بن ميمون- قرطبي</w:t>
      </w:r>
    </w:p>
    <w:p>
      <w:pPr>
        <w:pStyle w:val="BookText"/>
      </w:pPr>
      <w:r>
        <w:rPr>
          <w:rFonts w:ascii="IRNazanin" w:hAnsi="IRNazanin" w:eastAsia="IRNazanin" w:cs="IRNazanin"/>
          <w:lang w:bidi="fa-IR"/>
          <w:color w:val="111111"/>
          <w:sz w:val="28"/>
          <w:szCs w:val="28"/>
          <w:rtl/>
        </w:rPr>
        <w:t xml:space="preserve">موسی بن میمون</w:t>
      </w:r>
    </w:p>
    <w:p>
      <w:pPr>
        <w:pStyle w:val="Heading2"/>
      </w:pPr>
      <w:bookmarkStart w:id="1742" w:name="_Toc844"/>
      <w:r>
        <w:t>ابن ناصرالدین ، محمّد بن عبدالله 777 -</w:t>
      </w:r>
      <w:bookmarkEnd w:id="17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اتحاف السالك برواية موطأ مالك،</w:t>
      </w:r>
    </w:p>
    <w:p>
      <w:pPr>
        <w:pStyle w:val="BookText"/>
      </w:pPr>
      <w:r>
        <w:rPr>
          <w:rFonts w:ascii="IRNazanin" w:hAnsi="IRNazanin" w:eastAsia="IRNazanin" w:cs="IRNazanin"/>
          <w:lang w:bidi="fa-IR"/>
          <w:color w:val="111111"/>
          <w:sz w:val="28"/>
          <w:szCs w:val="28"/>
          <w:rtl/>
        </w:rPr>
        <w:t xml:space="preserve">ج 1، ص 130.</w:t>
      </w:r>
    </w:p>
    <w:p>
      <w:pPr>
        <w:pStyle w:val="BookText"/>
      </w:pPr>
      <w:r>
        <w:rPr>
          <w:rFonts w:ascii="Amiri" w:hAnsi="Amiri" w:eastAsia="Amiri" w:cs="Amiri"/>
          <w:lang w:bidi="ar-SA"/>
          <w:color w:val="111111"/>
          <w:sz w:val="28"/>
          <w:szCs w:val="28"/>
          <w:rtl/>
        </w:rPr>
        <w:t xml:space="preserve">2 .الإخبار بوفاة المختار، ج1، ص526.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برد الاكباد عند فقد الاولاد، ج 3،</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Amiri" w:hAnsi="Amiri" w:eastAsia="Amiri" w:cs="Amiri"/>
          <w:lang w:bidi="ar-SA"/>
          <w:color w:val="111111"/>
          <w:sz w:val="28"/>
          <w:szCs w:val="28"/>
          <w:rtl/>
        </w:rPr>
        <w:t xml:space="preserve">4 .توضيح المشتبه في ضبط اسامي</w:t>
      </w:r>
    </w:p>
    <w:p>
      <w:pPr>
        <w:pStyle w:val="BookText"/>
      </w:pPr>
      <w:r>
        <w:rPr>
          <w:rFonts w:ascii="Amiri" w:hAnsi="Amiri" w:eastAsia="Amiri" w:cs="Amiri"/>
          <w:lang w:bidi="ar-SA"/>
          <w:color w:val="111111"/>
          <w:sz w:val="28"/>
          <w:szCs w:val="28"/>
          <w:rtl/>
        </w:rPr>
        <w:t xml:space="preserve">الرواة و انسابهم و القابهم و</w:t>
      </w:r>
    </w:p>
    <w:p>
      <w:pPr>
        <w:pStyle w:val="BookText"/>
      </w:pPr>
      <w:r>
        <w:rPr>
          <w:rFonts w:ascii="Amiri" w:hAnsi="Amiri" w:eastAsia="Amiri" w:cs="Amiri"/>
          <w:lang w:bidi="ar-SA"/>
          <w:color w:val="111111"/>
          <w:sz w:val="28"/>
          <w:szCs w:val="28"/>
          <w:rtl/>
        </w:rPr>
        <w:t xml:space="preserve">كناهم، ج5، ص181</w:t>
      </w:r>
    </w:p>
    <w:p>
      <w:pPr>
        <w:pStyle w:val="BookText"/>
      </w:pPr>
      <w:r>
        <w:rPr>
          <w:rFonts w:ascii="Amiri" w:hAnsi="Amiri" w:eastAsia="Amiri" w:cs="Amiri"/>
          <w:lang w:bidi="ar-SA"/>
          <w:color w:val="111111"/>
          <w:sz w:val="28"/>
          <w:szCs w:val="28"/>
          <w:rtl/>
        </w:rPr>
        <w:t xml:space="preserve">5 .الرد الوافر على من زعم بان من سمي ابن تيمية شيخ الاسلام كافر ج 8، ص 116.</w:t>
      </w:r>
    </w:p>
    <w:p>
      <w:pPr>
        <w:pStyle w:val="BookText"/>
      </w:pPr>
      <w:r>
        <w:rPr>
          <w:rFonts w:ascii="Amiri" w:hAnsi="Amiri" w:eastAsia="Amiri" w:cs="Amiri"/>
          <w:lang w:bidi="ar-SA"/>
          <w:color w:val="111111"/>
          <w:sz w:val="28"/>
          <w:szCs w:val="28"/>
          <w:rtl/>
        </w:rPr>
        <w:t xml:space="preserve">ابن ناظم ، احمد بن محمّد- ابن جزري ،</w:t>
      </w:r>
    </w:p>
    <w:p>
      <w:pPr>
        <w:pStyle w:val="BookText"/>
      </w:pPr>
      <w:r>
        <w:rPr>
          <w:rFonts w:ascii="Amiri" w:hAnsi="Amiri" w:eastAsia="Amiri" w:cs="Amiri"/>
          <w:lang w:bidi="ar-SA"/>
          <w:color w:val="111111"/>
          <w:sz w:val="28"/>
          <w:szCs w:val="28"/>
          <w:rtl/>
        </w:rPr>
        <w:t xml:space="preserve">احمد بن محمّد ابن ناظم الالفية -ابن مالك ، محمد بن</w:t>
      </w:r>
    </w:p>
    <w:p>
      <w:pPr>
        <w:pStyle w:val="BookText"/>
      </w:pPr>
      <w:r>
        <w:rPr>
          <w:rFonts w:ascii="Amiri" w:hAnsi="Amiri" w:eastAsia="Amiri" w:cs="Amiri"/>
          <w:lang w:bidi="ar-SA"/>
          <w:color w:val="111111"/>
          <w:sz w:val="28"/>
          <w:szCs w:val="28"/>
          <w:rtl/>
        </w:rPr>
        <w:t xml:space="preserve">محمّد</w:t>
      </w:r>
    </w:p>
    <w:p>
      <w:pPr>
        <w:pStyle w:val="Heading2"/>
      </w:pPr>
      <w:bookmarkStart w:id="1743" w:name="_Toc845"/>
      <w:r>
        <w:t>ابن نائب ، محمّد اسعد، قرن 13 ه-</w:t>
      </w:r>
      <w:bookmarkEnd w:id="1743"/>
    </w:p>
    <w:p>
      <w:pPr>
        <w:pStyle w:val="BookText"/>
      </w:pPr>
      <w:r>
        <w:rPr>
          <w:rFonts w:ascii="Amiri" w:hAnsi="Amiri" w:eastAsia="Amiri" w:cs="Amiri"/>
          <w:lang w:bidi="ar-SA"/>
          <w:color w:val="111111"/>
          <w:sz w:val="28"/>
          <w:szCs w:val="28"/>
          <w:rtl/>
        </w:rPr>
        <w:t xml:space="preserve">خلاصة العروض، ج 7، ص118.</w:t>
      </w:r>
    </w:p>
    <w:p>
      <w:pPr>
        <w:pStyle w:val="Heading2"/>
      </w:pPr>
      <w:bookmarkStart w:id="1744" w:name="_Toc846"/>
      <w:r>
        <w:t>ابن نابلسي، اسماعيل بن عبدالغني</w:t>
      </w:r>
      <w:bookmarkEnd w:id="1744"/>
    </w:p>
    <w:p>
      <w:pPr>
        <w:pStyle w:val="BookText"/>
      </w:pPr>
      <w:r>
        <w:rPr>
          <w:rFonts w:ascii="IRNazanin" w:hAnsi="IRNazanin" w:eastAsia="IRNazanin" w:cs="IRNazanin"/>
          <w:lang w:bidi="fa-IR"/>
          <w:color w:val="111111"/>
          <w:sz w:val="28"/>
          <w:szCs w:val="28"/>
          <w:rtl/>
        </w:rPr>
        <w:t xml:space="preserve">1163ه-</w:t>
      </w:r>
    </w:p>
    <w:p>
      <w:pPr>
        <w:pStyle w:val="BookText"/>
      </w:pPr>
      <w:r>
        <w:rPr>
          <w:rFonts w:ascii="Amiri" w:hAnsi="Amiri" w:eastAsia="Amiri" w:cs="Amiri"/>
          <w:lang w:bidi="ar-SA"/>
          <w:color w:val="111111"/>
          <w:sz w:val="28"/>
          <w:szCs w:val="28"/>
          <w:rtl/>
        </w:rPr>
        <w:t xml:space="preserve">الطلعة البدرية في شرح القصيدة</w:t>
      </w:r>
    </w:p>
    <w:p>
      <w:pPr>
        <w:pStyle w:val="BookText"/>
      </w:pPr>
      <w:r>
        <w:rPr>
          <w:rFonts w:ascii="Amiri" w:hAnsi="Amiri" w:eastAsia="Amiri" w:cs="Amiri"/>
          <w:lang w:bidi="ar-SA"/>
          <w:color w:val="111111"/>
          <w:sz w:val="28"/>
          <w:szCs w:val="28"/>
          <w:rtl/>
        </w:rPr>
        <w:t xml:space="preserve">المضرية، ج 10، ص 852.</w:t>
      </w:r>
    </w:p>
    <w:p>
      <w:pPr>
        <w:pStyle w:val="BookText"/>
      </w:pPr>
      <w:r>
        <w:rPr>
          <w:rFonts w:ascii="Amiri" w:hAnsi="Amiri" w:eastAsia="Amiri" w:cs="Amiri"/>
          <w:lang w:bidi="ar-SA"/>
          <w:color w:val="111111"/>
          <w:sz w:val="28"/>
          <w:szCs w:val="28"/>
          <w:rtl/>
        </w:rPr>
        <w:t xml:space="preserve">ابن ناصر الحق محمد حسيني نوربخشي -نوربخشي ، محمّد بن ناصر الحق</w:t>
      </w:r>
    </w:p>
    <w:p>
      <w:pPr>
        <w:pStyle w:val="Heading2"/>
      </w:pPr>
      <w:bookmarkStart w:id="1745" w:name="_Toc847"/>
      <w:r>
        <w:t>ابن ناقد، ابراهيم ناقد بن محمّد قرن</w:t>
      </w:r>
      <w:bookmarkEnd w:id="1745"/>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المفرحات على تفريح الذات = الغاز</w:t>
      </w:r>
    </w:p>
    <w:p>
      <w:pPr>
        <w:pStyle w:val="BookText"/>
      </w:pPr>
      <w:r>
        <w:rPr>
          <w:rFonts w:ascii="IRNazanin" w:hAnsi="IRNazanin" w:eastAsia="IRNazanin" w:cs="IRNazanin"/>
          <w:lang w:bidi="fa-IR"/>
          <w:color w:val="111111"/>
          <w:sz w:val="28"/>
          <w:szCs w:val="28"/>
          <w:rtl/>
        </w:rPr>
        <w:t xml:space="preserve">إبن الناقد، ج 15 ، ص 239.</w:t>
      </w:r>
    </w:p>
    <w:p>
      <w:pPr>
        <w:pStyle w:val="Heading2"/>
      </w:pPr>
      <w:bookmarkStart w:id="1746" w:name="_Toc848"/>
      <w:r>
        <w:t>ابن ناقد ، احمد بن يحيى 477-559</w:t>
      </w:r>
      <w:bookmarkEnd w:id="1746"/>
    </w:p>
    <w:p>
      <w:pPr>
        <w:pStyle w:val="BookText"/>
      </w:pPr>
      <w:r>
        <w:rPr>
          <w:rFonts w:ascii="IRNazanin" w:hAnsi="IRNazanin" w:eastAsia="IRNazanin" w:cs="IRNazanin"/>
          <w:lang w:bidi="fa-IR"/>
          <w:color w:val="111111"/>
          <w:sz w:val="28"/>
          <w:szCs w:val="28"/>
          <w:rtl/>
        </w:rPr>
        <w:t xml:space="preserve">احادیث مسلسلة عن شيوخه، ج1،</w:t>
      </w:r>
    </w:p>
    <w:p>
      <w:pPr>
        <w:pStyle w:val="BookText"/>
      </w:pPr>
      <w:r>
        <w:rPr>
          <w:rFonts w:ascii="IRNazanin" w:hAnsi="IRNazanin" w:eastAsia="IRNazanin" w:cs="IRNazanin"/>
          <w:lang w:bidi="fa-IR"/>
          <w:color w:val="111111"/>
          <w:sz w:val="28"/>
          <w:szCs w:val="28"/>
          <w:rtl/>
        </w:rPr>
        <w:t xml:space="preserve">ص 419.</w:t>
      </w:r>
    </w:p>
    <w:p>
      <w:pPr>
        <w:pStyle w:val="Heading2"/>
      </w:pPr>
      <w:bookmarkStart w:id="1747" w:name="_Toc849"/>
      <w:r>
        <w:t>ابن ناقیا عبدالله بن محمّد 410-485 ه-</w:t>
      </w:r>
      <w:bookmarkEnd w:id="1747"/>
    </w:p>
    <w:p>
      <w:pPr>
        <w:pStyle w:val="BookText"/>
      </w:pPr>
      <w:r>
        <w:rPr>
          <w:rFonts w:ascii="Amiri" w:hAnsi="Amiri" w:eastAsia="Amiri" w:cs="Amiri"/>
          <w:lang w:bidi="ar-SA"/>
          <w:color w:val="111111"/>
          <w:sz w:val="28"/>
          <w:szCs w:val="28"/>
          <w:rtl/>
        </w:rPr>
        <w:t xml:space="preserve">1 .شرح الفصيح، ج 9، ص798.</w:t>
      </w:r>
    </w:p>
    <w:p>
      <w:pPr>
        <w:pStyle w:val="BookText"/>
      </w:pPr>
      <w:r>
        <w:rPr>
          <w:rFonts w:ascii="Amiri" w:hAnsi="Amiri" w:eastAsia="Amiri" w:cs="Amiri"/>
          <w:lang w:bidi="ar-SA"/>
          <w:color w:val="111111"/>
          <w:sz w:val="28"/>
          <w:szCs w:val="28"/>
          <w:rtl/>
        </w:rPr>
        <w:t xml:space="preserve">2 .مقامات ابن ناقيا، ج 15 ، ص 294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4" w:name="pg7742_69607"/>
    <w:bookmarkEnd w:id="124"/>
    <w:p>
      <w:pPr>
        <w:pStyle w:val="Heading2"/>
      </w:pPr>
      <w:bookmarkStart w:id="1748" w:name="_Toc850"/>
      <w:r>
        <w:t>ابن نباته ، عبدالرحيم بن محمد 335 -</w:t>
      </w:r>
      <w:bookmarkEnd w:id="1748"/>
    </w:p>
    <w:p>
      <w:pPr>
        <w:pStyle w:val="BookText"/>
      </w:pPr>
      <w:r>
        <w:rPr>
          <w:rFonts w:ascii="IRNazanin" w:hAnsi="IRNazanin" w:eastAsia="IRNazanin" w:cs="IRNazanin"/>
          <w:lang w:bidi="fa-IR"/>
          <w:color w:val="111111"/>
          <w:sz w:val="28"/>
          <w:szCs w:val="28"/>
          <w:rtl/>
        </w:rPr>
        <w:t xml:space="preserve">374 ه-</w:t>
      </w:r>
    </w:p>
    <w:p>
      <w:pPr>
        <w:pStyle w:val="BookText"/>
      </w:pPr>
      <w:r>
        <w:rPr>
          <w:rFonts w:ascii="Amiri" w:hAnsi="Amiri" w:eastAsia="Amiri" w:cs="Amiri"/>
          <w:lang w:bidi="ar-SA"/>
          <w:color w:val="111111"/>
          <w:sz w:val="28"/>
          <w:szCs w:val="28"/>
          <w:rtl/>
        </w:rPr>
        <w:t xml:space="preserve">الخطب النباتية، ج 7، ص 61.</w:t>
      </w:r>
    </w:p>
    <w:p>
      <w:pPr>
        <w:pStyle w:val="BookText"/>
      </w:pPr>
      <w:r>
        <w:rPr>
          <w:rFonts w:ascii="Amiri" w:hAnsi="Amiri" w:eastAsia="Amiri" w:cs="Amiri"/>
          <w:lang w:bidi="ar-SA"/>
          <w:color w:val="111111"/>
          <w:sz w:val="28"/>
          <w:szCs w:val="28"/>
          <w:rtl/>
        </w:rPr>
        <w:t xml:space="preserve">ابن نباته ، عبد اللطيف بن</w:t>
      </w:r>
    </w:p>
    <w:p>
      <w:pPr>
        <w:pStyle w:val="BookText"/>
      </w:pPr>
      <w:r>
        <w:rPr>
          <w:rFonts w:ascii="Amiri" w:hAnsi="Amiri" w:eastAsia="Amiri" w:cs="Amiri"/>
          <w:lang w:bidi="ar-SA"/>
          <w:color w:val="111111"/>
          <w:sz w:val="28"/>
          <w:szCs w:val="28"/>
          <w:rtl/>
        </w:rPr>
        <w:t xml:space="preserve">عبد الرحمن ابن غانم ، عبداللطيف بن</w:t>
      </w:r>
    </w:p>
    <w:p>
      <w:pPr>
        <w:pStyle w:val="BookText"/>
      </w:pPr>
      <w:r>
        <w:rPr>
          <w:rFonts w:ascii="IRNazanin" w:hAnsi="IRNazanin" w:eastAsia="IRNazanin" w:cs="IRNazanin"/>
          <w:lang w:bidi="fa-IR"/>
          <w:color w:val="111111"/>
          <w:sz w:val="28"/>
          <w:szCs w:val="28"/>
          <w:rtl/>
        </w:rPr>
        <w:t xml:space="preserve">عبد الرحمن</w:t>
      </w:r>
    </w:p>
    <w:p>
      <w:pPr>
        <w:pStyle w:val="Heading2"/>
      </w:pPr>
      <w:bookmarkStart w:id="1749" w:name="_Toc851"/>
      <w:r>
        <w:t>ابن نباته ، محمّد بن محمّد، 686-768ه-</w:t>
      </w:r>
      <w:bookmarkEnd w:id="1749"/>
    </w:p>
    <w:p>
      <w:pPr>
        <w:pStyle w:val="BookText"/>
      </w:pPr>
      <w:r>
        <w:rPr>
          <w:rFonts w:ascii="Amiri" w:hAnsi="Amiri" w:eastAsia="Amiri" w:cs="Amiri"/>
          <w:lang w:bidi="ar-SA"/>
          <w:color w:val="111111"/>
          <w:sz w:val="28"/>
          <w:szCs w:val="28"/>
          <w:rtl/>
        </w:rPr>
        <w:t xml:space="preserve">1 .تدبير الدول، ج 4، ص 167.</w:t>
      </w:r>
    </w:p>
    <w:p>
      <w:pPr>
        <w:pStyle w:val="BookText"/>
      </w:pPr>
      <w:r>
        <w:rPr>
          <w:rFonts w:ascii="Amiri" w:hAnsi="Amiri" w:eastAsia="Amiri" w:cs="Amiri"/>
          <w:lang w:bidi="ar-SA"/>
          <w:color w:val="111111"/>
          <w:sz w:val="28"/>
          <w:szCs w:val="28"/>
          <w:rtl/>
        </w:rPr>
        <w:t xml:space="preserve">2 .تلطيف المزاج من شعر ابن حجاج</w:t>
      </w:r>
    </w:p>
    <w:p>
      <w:pPr>
        <w:pStyle w:val="BookText"/>
      </w:pPr>
      <w:r>
        <w:rPr>
          <w:rFonts w:ascii="IRNazanin" w:hAnsi="IRNazanin" w:eastAsia="IRNazanin" w:cs="IRNazanin"/>
          <w:lang w:bidi="fa-IR"/>
          <w:color w:val="111111"/>
          <w:sz w:val="28"/>
          <w:szCs w:val="28"/>
          <w:rtl/>
        </w:rPr>
        <w:t xml:space="preserve">ج 4، ص 866.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ابن نباتة، ج7، ص 545.</w:t>
      </w:r>
    </w:p>
    <w:p>
      <w:pPr>
        <w:pStyle w:val="BookText"/>
      </w:pPr>
      <w:r>
        <w:rPr>
          <w:rFonts w:ascii="Amiri" w:hAnsi="Amiri" w:eastAsia="Amiri" w:cs="Amiri"/>
          <w:lang w:bidi="ar-SA"/>
          <w:color w:val="111111"/>
          <w:sz w:val="28"/>
          <w:szCs w:val="28"/>
          <w:rtl/>
        </w:rPr>
        <w:t xml:space="preserve">4 .سجع المطوق و تعليق الدواين</w:t>
      </w:r>
    </w:p>
    <w:p>
      <w:pPr>
        <w:pStyle w:val="BookText"/>
      </w:pPr>
      <w:r>
        <w:rPr>
          <w:rFonts w:ascii="IRNazanin" w:hAnsi="IRNazanin" w:eastAsia="IRNazanin" w:cs="IRNazanin"/>
          <w:lang w:bidi="fa-IR"/>
          <w:color w:val="111111"/>
          <w:sz w:val="28"/>
          <w:szCs w:val="28"/>
          <w:rtl/>
        </w:rPr>
        <w:t xml:space="preserve">ج 8، ص 712.</w:t>
      </w:r>
    </w:p>
    <w:p>
      <w:pPr>
        <w:pStyle w:val="BookText"/>
      </w:pPr>
      <w:r>
        <w:rPr>
          <w:rFonts w:ascii="Amiri" w:hAnsi="Amiri" w:eastAsia="Amiri" w:cs="Amiri"/>
          <w:lang w:bidi="ar-SA"/>
          <w:color w:val="111111"/>
          <w:sz w:val="28"/>
          <w:szCs w:val="28"/>
          <w:rtl/>
        </w:rPr>
        <w:t xml:space="preserve">5.سرح العيون في شرح رسالة ابن زيدون - الزيدونية، ج8، ص 750.</w:t>
      </w:r>
    </w:p>
    <w:p>
      <w:pPr>
        <w:pStyle w:val="BookText"/>
      </w:pPr>
      <w:r>
        <w:rPr>
          <w:rFonts w:ascii="Amiri" w:hAnsi="Amiri" w:eastAsia="Amiri" w:cs="Amiri"/>
          <w:lang w:bidi="ar-SA"/>
          <w:color w:val="111111"/>
          <w:sz w:val="28"/>
          <w:szCs w:val="28"/>
          <w:rtl/>
        </w:rPr>
        <w:t xml:space="preserve">6 .فرائد السلوك في مصائد الملوك</w:t>
      </w:r>
    </w:p>
    <w:p>
      <w:pPr>
        <w:pStyle w:val="BookText"/>
      </w:pPr>
      <w:r>
        <w:rPr>
          <w:rFonts w:ascii="IRNazanin" w:hAnsi="IRNazanin" w:eastAsia="IRNazanin" w:cs="IRNazanin"/>
          <w:lang w:bidi="fa-IR"/>
          <w:color w:val="111111"/>
          <w:sz w:val="28"/>
          <w:szCs w:val="28"/>
          <w:rtl/>
        </w:rPr>
        <w:t xml:space="preserve">ج 11، ص 731.</w:t>
      </w:r>
    </w:p>
    <w:p>
      <w:pPr>
        <w:pStyle w:val="BookText"/>
      </w:pPr>
      <w:r>
        <w:rPr>
          <w:rFonts w:ascii="Amiri" w:hAnsi="Amiri" w:eastAsia="Amiri" w:cs="Amiri"/>
          <w:lang w:bidi="ar-SA"/>
          <w:color w:val="111111"/>
          <w:sz w:val="28"/>
          <w:szCs w:val="28"/>
          <w:rtl/>
        </w:rPr>
        <w:t xml:space="preserve">7 .المفاخرة بين السيف والقلم، ج 15</w:t>
      </w:r>
    </w:p>
    <w:p>
      <w:pPr>
        <w:pStyle w:val="BookText"/>
      </w:pPr>
      <w:r>
        <w:rPr>
          <w:rFonts w:ascii="IRNazanin" w:hAnsi="IRNazanin" w:eastAsia="IRNazanin" w:cs="IRNazanin"/>
          <w:lang w:bidi="fa-IR"/>
          <w:color w:val="111111"/>
          <w:sz w:val="28"/>
          <w:szCs w:val="28"/>
          <w:rtl/>
        </w:rPr>
        <w:t xml:space="preserve">ص 180 .</w:t>
      </w:r>
    </w:p>
    <w:p>
      <w:pPr>
        <w:pStyle w:val="BookText"/>
      </w:pPr>
      <w:r>
        <w:rPr>
          <w:rFonts w:ascii="Amiri" w:hAnsi="Amiri" w:eastAsia="Amiri" w:cs="Amiri"/>
          <w:lang w:bidi="ar-SA"/>
          <w:color w:val="111111"/>
          <w:sz w:val="28"/>
          <w:szCs w:val="28"/>
          <w:rtl/>
        </w:rPr>
        <w:t xml:space="preserve">ابن نبيه الدين ، محمّد بن</w:t>
      </w:r>
    </w:p>
    <w:p>
      <w:pPr>
        <w:pStyle w:val="BookText"/>
      </w:pPr>
      <w:r>
        <w:rPr>
          <w:rFonts w:ascii="Amiri" w:hAnsi="Amiri" w:eastAsia="Amiri" w:cs="Amiri"/>
          <w:lang w:bidi="ar-SA"/>
          <w:color w:val="111111"/>
          <w:sz w:val="28"/>
          <w:szCs w:val="28"/>
          <w:rtl/>
        </w:rPr>
        <w:t xml:space="preserve">عبد المنعم -جوجري ، محمّد بن عبد المنعم</w:t>
      </w:r>
    </w:p>
    <w:p>
      <w:pPr>
        <w:pStyle w:val="Heading2"/>
      </w:pPr>
      <w:bookmarkStart w:id="1750" w:name="_Toc852"/>
      <w:r>
        <w:t>ابن نبيه ، علي بن محمّد - 619 ه-</w:t>
      </w:r>
      <w:bookmarkEnd w:id="1750"/>
    </w:p>
    <w:p>
      <w:pPr>
        <w:pStyle w:val="BookText"/>
      </w:pPr>
      <w:r>
        <w:rPr>
          <w:rFonts w:ascii="Amiri" w:hAnsi="Amiri" w:eastAsia="Amiri" w:cs="Amiri"/>
          <w:lang w:bidi="ar-SA"/>
          <w:color w:val="111111"/>
          <w:sz w:val="28"/>
          <w:szCs w:val="28"/>
          <w:rtl/>
        </w:rPr>
        <w:t xml:space="preserve">1 .ديوان ابن النبيه، ج 7، ص 546.</w:t>
      </w:r>
    </w:p>
    <w:p>
      <w:pPr>
        <w:pStyle w:val="BookText"/>
      </w:pPr>
      <w:r>
        <w:rPr>
          <w:rFonts w:ascii="Amiri" w:hAnsi="Amiri" w:eastAsia="Amiri" w:cs="Amiri"/>
          <w:lang w:bidi="ar-SA"/>
          <w:color w:val="111111"/>
          <w:sz w:val="28"/>
          <w:szCs w:val="28"/>
          <w:rtl/>
        </w:rPr>
        <w:t xml:space="preserve">2 .عبرة اللبيب بمصرع الكتيب، ج 11،</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Amiri" w:hAnsi="Amiri" w:eastAsia="Amiri" w:cs="Amiri"/>
          <w:lang w:bidi="ar-SA"/>
          <w:color w:val="111111"/>
          <w:sz w:val="28"/>
          <w:szCs w:val="28"/>
          <w:rtl/>
        </w:rPr>
        <w:t xml:space="preserve">ابن نجاح قرطبي ، يحيى بن نجاح ابن</w:t>
      </w:r>
    </w:p>
    <w:p>
      <w:pPr>
        <w:pStyle w:val="BookText"/>
      </w:pPr>
      <w:r>
        <w:rPr>
          <w:rFonts w:ascii="Amiri" w:hAnsi="Amiri" w:eastAsia="Amiri" w:cs="Amiri"/>
          <w:lang w:bidi="ar-SA"/>
          <w:color w:val="111111"/>
          <w:sz w:val="28"/>
          <w:szCs w:val="28"/>
          <w:rtl/>
        </w:rPr>
        <w:t xml:space="preserve">قلاس ، يحيى بن نجاح</w:t>
      </w:r>
    </w:p>
    <w:p>
      <w:pPr>
        <w:pStyle w:val="BookText"/>
      </w:pPr>
      <w:r>
        <w:rPr>
          <w:rFonts w:ascii="Amiri" w:hAnsi="Amiri" w:eastAsia="Amiri" w:cs="Amiri"/>
          <w:lang w:bidi="ar-SA"/>
          <w:color w:val="111111"/>
          <w:sz w:val="28"/>
          <w:szCs w:val="28"/>
          <w:rtl/>
        </w:rPr>
        <w:t xml:space="preserve">ابن نجار ، احمد بن عبد العزيز فتوحي،</w:t>
      </w:r>
    </w:p>
    <w:p>
      <w:pPr>
        <w:pStyle w:val="BookText"/>
      </w:pPr>
      <w:r>
        <w:rPr>
          <w:rFonts w:ascii="Amiri" w:hAnsi="Amiri" w:eastAsia="Amiri" w:cs="Amiri"/>
          <w:lang w:bidi="ar-SA"/>
          <w:color w:val="111111"/>
          <w:sz w:val="28"/>
          <w:szCs w:val="28"/>
          <w:rtl/>
        </w:rPr>
        <w:t xml:space="preserve">احمد بن عبدالعزيز</w:t>
      </w:r>
    </w:p>
    <w:p>
      <w:pPr>
        <w:pStyle w:val="Heading2"/>
      </w:pPr>
      <w:bookmarkStart w:id="1751" w:name="_Toc853"/>
      <w:r>
        <w:t>ابن نجار ، محمّد بن احمد، 898-972 ه-</w:t>
      </w:r>
      <w:bookmarkEnd w:id="1751"/>
    </w:p>
    <w:p>
      <w:pPr>
        <w:pStyle w:val="BookText"/>
      </w:pPr>
      <w:r>
        <w:rPr>
          <w:rFonts w:ascii="Amiri" w:hAnsi="Amiri" w:eastAsia="Amiri" w:cs="Amiri"/>
          <w:lang w:bidi="ar-SA"/>
          <w:color w:val="111111"/>
          <w:sz w:val="28"/>
          <w:szCs w:val="28"/>
          <w:rtl/>
        </w:rPr>
        <w:t xml:space="preserve">شرح الكوكب المنير في مختصر التحرير</w:t>
      </w:r>
    </w:p>
    <w:p>
      <w:pPr>
        <w:pStyle w:val="BookText"/>
      </w:pPr>
      <w:r>
        <w:rPr>
          <w:rFonts w:ascii="Amiri" w:hAnsi="Amiri" w:eastAsia="Amiri" w:cs="Amiri"/>
          <w:lang w:bidi="ar-SA"/>
          <w:color w:val="111111"/>
          <w:sz w:val="28"/>
          <w:szCs w:val="28"/>
          <w:rtl/>
        </w:rPr>
        <w:t xml:space="preserve">= المختبر المبتكر شرح المختصر = مختصر تحرير المنقول و تهذيب الاصول، ج 10، ص 68 .</w:t>
      </w:r>
    </w:p>
    <w:p>
      <w:pPr>
        <w:pStyle w:val="Heading2"/>
      </w:pPr>
      <w:bookmarkStart w:id="1752" w:name="_Toc854"/>
      <w:r>
        <w:t>ابن نجار ، محمّد بن احمد، 788-870ه-</w:t>
      </w:r>
      <w:bookmarkEnd w:id="1752"/>
    </w:p>
    <w:p>
      <w:pPr>
        <w:pStyle w:val="BookText"/>
      </w:pPr>
      <w:r>
        <w:rPr>
          <w:rFonts w:ascii="Amiri" w:hAnsi="Amiri" w:eastAsia="Amiri" w:cs="Amiri"/>
          <w:lang w:bidi="ar-SA"/>
          <w:color w:val="111111"/>
          <w:sz w:val="28"/>
          <w:szCs w:val="28"/>
          <w:rtl/>
        </w:rPr>
        <w:t xml:space="preserve">شرح مختصر تحرير الاصول، ج 10،</w:t>
      </w:r>
    </w:p>
    <w:p>
      <w:pPr>
        <w:pStyle w:val="BookText"/>
      </w:pPr>
      <w:r>
        <w:rPr>
          <w:rFonts w:ascii="IRNazanin" w:hAnsi="IRNazanin" w:eastAsia="IRNazanin" w:cs="IRNazanin"/>
          <w:lang w:bidi="fa-IR"/>
          <w:color w:val="111111"/>
          <w:sz w:val="28"/>
          <w:szCs w:val="28"/>
          <w:rtl/>
        </w:rPr>
        <w:t xml:space="preserve">ص 113.</w:t>
      </w:r>
    </w:p>
    <w:p>
      <w:pPr>
        <w:pStyle w:val="Heading2"/>
      </w:pPr>
      <w:bookmarkStart w:id="1753" w:name="_Toc855"/>
      <w:r>
        <w:t>ابن نجار، محمّد بن احمد، 898-972 ه-</w:t>
      </w:r>
      <w:bookmarkEnd w:id="1753"/>
    </w:p>
    <w:p>
      <w:pPr>
        <w:pStyle w:val="BookText"/>
      </w:pPr>
      <w:r>
        <w:rPr>
          <w:rFonts w:ascii="Amiri" w:hAnsi="Amiri" w:eastAsia="Amiri" w:cs="Amiri"/>
          <w:lang w:bidi="ar-SA"/>
          <w:color w:val="111111"/>
          <w:sz w:val="28"/>
          <w:szCs w:val="28"/>
          <w:rtl/>
        </w:rPr>
        <w:t xml:space="preserve">شرح منتهي الارادت في جمع المقنع مع التنقيح والزيادات، ج 10، ص 237.</w:t>
      </w:r>
    </w:p>
    <w:p>
      <w:pPr>
        <w:pStyle w:val="Heading2"/>
      </w:pPr>
      <w:bookmarkStart w:id="1754" w:name="_Toc856"/>
      <w:r>
        <w:t>ابن نجار، محمّد بن احمد، 788-870؟ه-</w:t>
      </w:r>
      <w:bookmarkEnd w:id="1754"/>
    </w:p>
    <w:p>
      <w:pPr>
        <w:pStyle w:val="BookText"/>
      </w:pPr>
      <w:r>
        <w:rPr>
          <w:rFonts w:ascii="Amiri" w:hAnsi="Amiri" w:eastAsia="Amiri" w:cs="Amiri"/>
          <w:lang w:bidi="ar-SA"/>
          <w:color w:val="111111"/>
          <w:sz w:val="28"/>
          <w:szCs w:val="28"/>
          <w:rtl/>
        </w:rPr>
        <w:t xml:space="preserve">القواعد الحسان في اعراب ام القرآن</w:t>
      </w:r>
    </w:p>
    <w:p>
      <w:pPr>
        <w:pStyle w:val="BookText"/>
      </w:pPr>
      <w:r>
        <w:rPr>
          <w:rFonts w:ascii="IRNazanin" w:hAnsi="IRNazanin" w:eastAsia="IRNazanin" w:cs="IRNazanin"/>
          <w:lang w:bidi="fa-IR"/>
          <w:color w:val="111111"/>
          <w:sz w:val="28"/>
          <w:szCs w:val="28"/>
          <w:rtl/>
        </w:rPr>
        <w:t xml:space="preserve">ج 12، ص 792.</w:t>
      </w:r>
    </w:p>
    <w:p>
      <w:pPr>
        <w:pStyle w:val="Heading2"/>
      </w:pPr>
      <w:bookmarkStart w:id="1755" w:name="_Toc857"/>
      <w:r>
        <w:t>ابن نجار ، محمّد بن جعفر 303-402ه-</w:t>
      </w:r>
      <w:bookmarkEnd w:id="1755"/>
    </w:p>
    <w:p>
      <w:pPr>
        <w:pStyle w:val="BookText"/>
      </w:pPr>
      <w:r>
        <w:rPr>
          <w:rFonts w:ascii="Amiri" w:hAnsi="Amiri" w:eastAsia="Amiri" w:cs="Amiri"/>
          <w:lang w:bidi="ar-SA"/>
          <w:color w:val="111111"/>
          <w:sz w:val="28"/>
          <w:szCs w:val="28"/>
          <w:rtl/>
        </w:rPr>
        <w:t xml:space="preserve">كتاب ما يجوز للشاعر في الضرورة</w:t>
      </w:r>
    </w:p>
    <w:p>
      <w:pPr>
        <w:pStyle w:val="BookText"/>
      </w:pPr>
      <w:r>
        <w:rPr>
          <w:rFonts w:ascii="IRNazanin" w:hAnsi="IRNazanin" w:eastAsia="IRNazanin" w:cs="IRNazanin"/>
          <w:lang w:bidi="fa-IR"/>
          <w:color w:val="111111"/>
          <w:sz w:val="28"/>
          <w:szCs w:val="28"/>
          <w:rtl/>
        </w:rPr>
        <w:t xml:space="preserve">ج 13، ص 119.</w:t>
      </w:r>
    </w:p>
    <w:p>
      <w:pPr>
        <w:pStyle w:val="Heading2"/>
      </w:pPr>
      <w:bookmarkStart w:id="1756" w:name="_Toc858"/>
      <w:r>
        <w:t>ابن نجار ، محمّد بن محمود، 578-643ه-</w:t>
      </w:r>
      <w:bookmarkEnd w:id="1756"/>
    </w:p>
    <w:p>
      <w:pPr>
        <w:pStyle w:val="BookText"/>
      </w:pPr>
      <w:r>
        <w:rPr>
          <w:rFonts w:ascii="Amiri" w:hAnsi="Amiri" w:eastAsia="Amiri" w:cs="Amiri"/>
          <w:lang w:bidi="ar-SA"/>
          <w:color w:val="111111"/>
          <w:sz w:val="28"/>
          <w:szCs w:val="28"/>
          <w:rtl/>
        </w:rPr>
        <w:t xml:space="preserve">1 .تاريخ مدينة الاسلام في الذيل على تاريخ الخطيب = ذيل تاريخ بغداد، ج3، ص589.</w:t>
      </w:r>
    </w:p>
    <w:p>
      <w:pPr>
        <w:pStyle w:val="BookText"/>
      </w:pPr>
      <w:r>
        <w:rPr>
          <w:rFonts w:ascii="Amiri" w:hAnsi="Amiri" w:eastAsia="Amiri" w:cs="Amiri"/>
          <w:lang w:bidi="ar-SA"/>
          <w:color w:val="111111"/>
          <w:sz w:val="28"/>
          <w:szCs w:val="28"/>
          <w:rtl/>
        </w:rPr>
        <w:t xml:space="preserve">2 .الكمال في معرفة الرجال، ج13،</w:t>
      </w:r>
    </w:p>
    <w:p>
      <w:pPr>
        <w:pStyle w:val="BookText"/>
      </w:pPr>
      <w:r>
        <w:rPr>
          <w:rFonts w:ascii="IRNazanin" w:hAnsi="IRNazanin" w:eastAsia="IRNazanin" w:cs="IRNazanin"/>
          <w:lang w:bidi="fa-IR"/>
          <w:color w:val="111111"/>
          <w:sz w:val="28"/>
          <w:szCs w:val="28"/>
          <w:rtl/>
        </w:rPr>
        <w:t xml:space="preserve">ص 392.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5" w:name="pg7742_69609"/>
    <w:bookmarkEnd w:id="125"/>
    <w:p>
      <w:pPr>
        <w:pStyle w:val="BookText"/>
      </w:pPr>
      <w:r>
        <w:rPr>
          <w:rFonts w:ascii="Amiri" w:hAnsi="Amiri" w:eastAsia="Amiri" w:cs="Amiri"/>
          <w:lang w:bidi="ar-SA"/>
          <w:color w:val="111111"/>
          <w:sz w:val="28"/>
          <w:szCs w:val="28"/>
          <w:rtl/>
        </w:rPr>
        <w:t xml:space="preserve">ابن نجاشي ، احمد بن علي -نجاشي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ابن نجده ، محمّد بن عبد العالي- ابن</w:t>
      </w:r>
    </w:p>
    <w:p>
      <w:pPr>
        <w:pStyle w:val="BookText"/>
      </w:pPr>
      <w:r>
        <w:rPr>
          <w:rFonts w:ascii="Amiri" w:hAnsi="Amiri" w:eastAsia="Amiri" w:cs="Amiri"/>
          <w:lang w:bidi="ar-SA"/>
          <w:color w:val="111111"/>
          <w:sz w:val="28"/>
          <w:szCs w:val="28"/>
          <w:rtl/>
        </w:rPr>
        <w:t xml:space="preserve">عبد العالي ، محمّد بن عبد العالي</w:t>
      </w:r>
    </w:p>
    <w:p>
      <w:pPr>
        <w:pStyle w:val="Heading2"/>
      </w:pPr>
      <w:bookmarkStart w:id="1757" w:name="_Toc859"/>
      <w:r>
        <w:t>ابن نجم ، محمّد بن علي قرن 13 ه-</w:t>
      </w:r>
      <w:bookmarkEnd w:id="1757"/>
    </w:p>
    <w:p>
      <w:pPr>
        <w:pStyle w:val="BookText"/>
      </w:pPr>
      <w:r>
        <w:rPr>
          <w:rFonts w:ascii="Amiri" w:hAnsi="Amiri" w:eastAsia="Amiri" w:cs="Amiri"/>
          <w:lang w:bidi="ar-SA"/>
          <w:color w:val="111111"/>
          <w:sz w:val="28"/>
          <w:szCs w:val="28"/>
          <w:rtl/>
        </w:rPr>
        <w:t xml:space="preserve">تنبيه وسني العين بتنزيه الحسن و</w:t>
      </w:r>
    </w:p>
    <w:p>
      <w:pPr>
        <w:pStyle w:val="BookText"/>
      </w:pPr>
      <w:r>
        <w:rPr>
          <w:rFonts w:ascii="Amiri" w:hAnsi="Amiri" w:eastAsia="Amiri" w:cs="Amiri"/>
          <w:lang w:bidi="ar-SA"/>
          <w:color w:val="111111"/>
          <w:sz w:val="28"/>
          <w:szCs w:val="28"/>
          <w:rtl/>
        </w:rPr>
        <w:t xml:space="preserve">الحسين فيي مفاخرة بني السبطين ج 5، ص 44.</w:t>
      </w:r>
    </w:p>
    <w:p>
      <w:pPr>
        <w:pStyle w:val="Heading2"/>
      </w:pPr>
      <w:bookmarkStart w:id="1758" w:name="_Toc860"/>
      <w:r>
        <w:t>ابن نجیم زین الدین بن ابراهيم - 970ه-</w:t>
      </w:r>
      <w:bookmarkEnd w:id="1758"/>
    </w:p>
    <w:p>
      <w:pPr>
        <w:pStyle w:val="BookText"/>
      </w:pPr>
      <w:r>
        <w:rPr>
          <w:rFonts w:ascii="Amiri" w:hAnsi="Amiri" w:eastAsia="Amiri" w:cs="Amiri"/>
          <w:lang w:bidi="ar-SA"/>
          <w:color w:val="111111"/>
          <w:sz w:val="28"/>
          <w:szCs w:val="28"/>
          <w:rtl/>
        </w:rPr>
        <w:t xml:space="preserve">1 .الإبراء (رسالة في)، ج 1، ص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استبدال العين، ج 2، ص 103.</w:t>
      </w:r>
    </w:p>
    <w:p>
      <w:pPr>
        <w:pStyle w:val="BookText"/>
      </w:pPr>
      <w:r>
        <w:rPr>
          <w:rFonts w:ascii="IRNazanin" w:hAnsi="IRNazanin" w:eastAsia="IRNazanin" w:cs="IRNazanin"/>
          <w:lang w:bidi="fa-IR"/>
          <w:color w:val="111111"/>
          <w:sz w:val="28"/>
          <w:szCs w:val="28"/>
          <w:rtl/>
        </w:rPr>
        <w:t xml:space="preserve">3.الاستصحاب، ج 2، ص129.</w:t>
      </w:r>
    </w:p>
    <w:p>
      <w:pPr>
        <w:pStyle w:val="BookText"/>
      </w:pPr>
      <w:r>
        <w:rPr>
          <w:rFonts w:ascii="Amiri" w:hAnsi="Amiri" w:eastAsia="Amiri" w:cs="Amiri"/>
          <w:lang w:bidi="ar-SA"/>
          <w:color w:val="111111"/>
          <w:sz w:val="28"/>
          <w:szCs w:val="28"/>
          <w:rtl/>
        </w:rPr>
        <w:t xml:space="preserve">4 .الاستعارة (رسالة في)، ج2، ص 142.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الاشباه والنظائر الفقهية على مذهب الحنفية، ج 2، ص 264.</w:t>
      </w:r>
    </w:p>
    <w:p>
      <w:pPr>
        <w:pStyle w:val="BookText"/>
      </w:pPr>
      <w:r>
        <w:rPr>
          <w:rFonts w:ascii="Amiri" w:hAnsi="Amiri" w:eastAsia="Amiri" w:cs="Amiri"/>
          <w:lang w:bidi="ar-SA"/>
          <w:color w:val="111111"/>
          <w:sz w:val="28"/>
          <w:szCs w:val="28"/>
          <w:rtl/>
        </w:rPr>
        <w:t xml:space="preserve">6 .الافعال التي تفعل في الصلاة، ج2،</w:t>
      </w:r>
    </w:p>
    <w:p>
      <w:pPr>
        <w:pStyle w:val="BookText"/>
      </w:pPr>
      <w:r>
        <w:rPr>
          <w:rFonts w:ascii="IRNazanin" w:hAnsi="IRNazanin" w:eastAsia="IRNazanin" w:cs="IRNazanin"/>
          <w:lang w:bidi="fa-IR"/>
          <w:color w:val="111111"/>
          <w:sz w:val="28"/>
          <w:szCs w:val="28"/>
          <w:rtl/>
        </w:rPr>
        <w:t xml:space="preserve">ص 599.</w:t>
      </w:r>
    </w:p>
    <w:p>
      <w:pPr>
        <w:pStyle w:val="BookText"/>
      </w:pPr>
      <w:r>
        <w:rPr>
          <w:rFonts w:ascii="Amiri" w:hAnsi="Amiri" w:eastAsia="Amiri" w:cs="Amiri"/>
          <w:lang w:bidi="ar-SA"/>
          <w:color w:val="111111"/>
          <w:sz w:val="28"/>
          <w:szCs w:val="28"/>
          <w:rtl/>
        </w:rPr>
        <w:t xml:space="preserve">7 .اقامة التعزير على المفسدين بغير</w:t>
      </w:r>
    </w:p>
    <w:p>
      <w:pPr>
        <w:pStyle w:val="BookText"/>
      </w:pPr>
      <w:r>
        <w:rPr>
          <w:rFonts w:ascii="Amiri" w:hAnsi="Amiri" w:eastAsia="Amiri" w:cs="Amiri"/>
          <w:lang w:bidi="ar-SA"/>
          <w:color w:val="111111"/>
          <w:sz w:val="28"/>
          <w:szCs w:val="28"/>
          <w:rtl/>
        </w:rPr>
        <w:t xml:space="preserve">توقف (رسالة في)، ج 2، ص 606.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اقامة القاضي بلا دعوي احد (رسالة)</w:t>
      </w:r>
    </w:p>
    <w:p>
      <w:pPr>
        <w:pStyle w:val="BookText"/>
      </w:pPr>
      <w:r>
        <w:rPr>
          <w:rFonts w:ascii="Amiri" w:hAnsi="Amiri" w:eastAsia="Amiri" w:cs="Amiri"/>
          <w:lang w:bidi="ar-SA"/>
          <w:color w:val="111111"/>
          <w:sz w:val="28"/>
          <w:szCs w:val="28"/>
          <w:rtl/>
        </w:rPr>
        <w:t xml:space="preserve">في)، ج 2، ص 608.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الاقطاعات و محلها و من يستحقها</w:t>
      </w:r>
    </w:p>
    <w:p>
      <w:pPr>
        <w:pStyle w:val="BookText"/>
      </w:pPr>
      <w:r>
        <w:rPr>
          <w:rFonts w:ascii="IRNazanin" w:hAnsi="IRNazanin" w:eastAsia="IRNazanin" w:cs="IRNazanin"/>
          <w:lang w:bidi="fa-IR"/>
          <w:color w:val="111111"/>
          <w:sz w:val="28"/>
          <w:szCs w:val="28"/>
          <w:rtl/>
        </w:rPr>
        <w:t xml:space="preserve">ج 2، ص 628 .</w:t>
      </w:r>
    </w:p>
    <w:p>
      <w:pPr>
        <w:pStyle w:val="BookText"/>
      </w:pPr>
      <w:r>
        <w:rPr>
          <w:rFonts w:ascii="Amiri" w:hAnsi="Amiri" w:eastAsia="Amiri" w:cs="Amiri"/>
          <w:lang w:bidi="ar-SA"/>
          <w:color w:val="111111"/>
          <w:sz w:val="28"/>
          <w:szCs w:val="28"/>
          <w:rtl/>
        </w:rPr>
        <w:t xml:space="preserve">10 .البحر الرائق في شرح كنز الدقائق</w:t>
      </w:r>
    </w:p>
    <w:p>
      <w:pPr>
        <w:pStyle w:val="BookText"/>
      </w:pPr>
      <w:r>
        <w:rPr>
          <w:rFonts w:ascii="IRNazanin" w:hAnsi="IRNazanin" w:eastAsia="IRNazanin" w:cs="IRNazanin"/>
          <w:lang w:bidi="fa-IR"/>
          <w:color w:val="111111"/>
          <w:sz w:val="28"/>
          <w:szCs w:val="28"/>
          <w:rtl/>
        </w:rPr>
        <w:t xml:space="preserve">ج 3، ص 215.</w:t>
      </w:r>
    </w:p>
    <w:p>
      <w:pPr>
        <w:pStyle w:val="BookText"/>
      </w:pPr>
      <w:r>
        <w:rPr>
          <w:rFonts w:ascii="Amiri" w:hAnsi="Amiri" w:eastAsia="Amiri" w:cs="Amiri"/>
          <w:lang w:bidi="ar-SA"/>
          <w:color w:val="111111"/>
          <w:sz w:val="28"/>
          <w:szCs w:val="28"/>
          <w:rtl/>
        </w:rPr>
        <w:t xml:space="preserve">11 .بيان ما يسقط من الحقوق بالاسقاط و ما لا يسقط (رسالة</w:t>
      </w:r>
    </w:p>
    <w:p>
      <w:pPr>
        <w:pStyle w:val="BookText"/>
      </w:pPr>
      <w:r>
        <w:rPr>
          <w:rFonts w:ascii="Amiri" w:hAnsi="Amiri" w:eastAsia="Amiri" w:cs="Amiri"/>
          <w:lang w:bidi="ar-SA"/>
          <w:color w:val="111111"/>
          <w:sz w:val="28"/>
          <w:szCs w:val="28"/>
          <w:rtl/>
        </w:rPr>
        <w:t xml:space="preserve">في)، ج 3، ص 487 .</w:t>
      </w:r>
    </w:p>
    <w:p>
      <w:pPr>
        <w:pStyle w:val="BookText"/>
      </w:pPr>
      <w:r>
        <w:rPr>
          <w:rFonts w:ascii="Amiri" w:hAnsi="Amiri" w:eastAsia="Amiri" w:cs="Amiri"/>
          <w:lang w:bidi="ar-SA"/>
          <w:color w:val="111111"/>
          <w:sz w:val="28"/>
          <w:szCs w:val="28"/>
          <w:rtl/>
        </w:rPr>
        <w:t xml:space="preserve">12 .بيع الوقف، ج 3، ص 510 .</w:t>
      </w:r>
    </w:p>
    <w:p>
      <w:pPr>
        <w:pStyle w:val="BookText"/>
      </w:pPr>
      <w:r>
        <w:rPr>
          <w:rFonts w:ascii="Amiri" w:hAnsi="Amiri" w:eastAsia="Amiri" w:cs="Amiri"/>
          <w:lang w:bidi="ar-SA"/>
          <w:color w:val="111111"/>
          <w:sz w:val="28"/>
          <w:szCs w:val="28"/>
          <w:rtl/>
        </w:rPr>
        <w:t xml:space="preserve">13 .تحرير المقال في مسئلة الاستبدال</w:t>
      </w:r>
    </w:p>
    <w:p>
      <w:pPr>
        <w:pStyle w:val="BookText"/>
      </w:pPr>
      <w:r>
        <w:rPr>
          <w:rFonts w:ascii="IRNazanin" w:hAnsi="IRNazanin" w:eastAsia="IRNazanin" w:cs="IRNazanin"/>
          <w:lang w:bidi="fa-IR"/>
          <w:color w:val="111111"/>
          <w:sz w:val="28"/>
          <w:szCs w:val="28"/>
          <w:rtl/>
        </w:rPr>
        <w:t xml:space="preserve">ج 3، ص 758.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التحفة المرضية في الاراضي</w:t>
      </w:r>
    </w:p>
    <w:p>
      <w:pPr>
        <w:pStyle w:val="BookText"/>
      </w:pPr>
      <w:r>
        <w:rPr>
          <w:rFonts w:ascii="Amiri" w:hAnsi="Amiri" w:eastAsia="Amiri" w:cs="Amiri"/>
          <w:lang w:bidi="ar-SA"/>
          <w:color w:val="111111"/>
          <w:sz w:val="28"/>
          <w:szCs w:val="28"/>
          <w:rtl/>
        </w:rPr>
        <w:t xml:space="preserve">المصرية، ج 4، ص 24.</w:t>
      </w:r>
    </w:p>
    <w:p>
      <w:pPr>
        <w:pStyle w:val="BookText"/>
      </w:pPr>
      <w:r>
        <w:rPr>
          <w:rFonts w:ascii="Amiri" w:hAnsi="Amiri" w:eastAsia="Amiri" w:cs="Amiri"/>
          <w:lang w:bidi="ar-SA"/>
          <w:color w:val="111111"/>
          <w:sz w:val="28"/>
          <w:szCs w:val="28"/>
          <w:rtl/>
        </w:rPr>
        <w:t xml:space="preserve">15 .ترتيب الوظائف في شرط الواقف</w:t>
      </w:r>
    </w:p>
    <w:p>
      <w:pPr>
        <w:pStyle w:val="BookText"/>
      </w:pPr>
      <w:r>
        <w:rPr>
          <w:rFonts w:ascii="IRNazanin" w:hAnsi="IRNazanin" w:eastAsia="IRNazanin" w:cs="IRNazanin"/>
          <w:lang w:bidi="fa-IR"/>
          <w:color w:val="111111"/>
          <w:sz w:val="28"/>
          <w:szCs w:val="28"/>
          <w:rtl/>
        </w:rPr>
        <w:t xml:space="preserve">ج 4، ص 248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ترك التسمية، ج4، ص 311.</w:t>
      </w:r>
    </w:p>
    <w:p>
      <w:pPr>
        <w:pStyle w:val="BookText"/>
      </w:pPr>
      <w:r>
        <w:rPr>
          <w:rFonts w:ascii="Amiri" w:hAnsi="Amiri" w:eastAsia="Amiri" w:cs="Amiri"/>
          <w:lang w:bidi="ar-SA"/>
          <w:color w:val="111111"/>
          <w:sz w:val="28"/>
          <w:szCs w:val="28"/>
          <w:rtl/>
        </w:rPr>
        <w:t xml:space="preserve">17 .تسمع فيه الشهادة حسبة بلا دعوي (رسالة في)، ج4، ص 346.</w:t>
      </w:r>
    </w:p>
    <w:p>
      <w:pPr>
        <w:pStyle w:val="BookText"/>
      </w:pPr>
      <w:r>
        <w:rPr>
          <w:rFonts w:ascii="Amiri" w:hAnsi="Amiri" w:eastAsia="Amiri" w:cs="Amiri"/>
          <w:lang w:bidi="ar-SA"/>
          <w:color w:val="111111"/>
          <w:sz w:val="28"/>
          <w:szCs w:val="28"/>
          <w:rtl/>
        </w:rPr>
        <w:t xml:space="preserve">18 .تعليق الانوار على اصول المنار =</w:t>
      </w:r>
    </w:p>
    <w:p>
      <w:pPr>
        <w:pStyle w:val="BookText"/>
      </w:pPr>
      <w:r>
        <w:rPr>
          <w:rFonts w:ascii="IRNazanin" w:hAnsi="IRNazanin" w:eastAsia="IRNazanin" w:cs="IRNazanin"/>
          <w:lang w:bidi="fa-IR"/>
          <w:color w:val="111111"/>
          <w:sz w:val="28"/>
          <w:szCs w:val="28"/>
          <w:rtl/>
        </w:rPr>
        <w:t xml:space="preserve">فتح الغفار، ج 4، ص 509.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تعليق طلاق المرأتين بتطليق</w:t>
      </w:r>
    </w:p>
    <w:p>
      <w:pPr>
        <w:pStyle w:val="BookText"/>
      </w:pPr>
      <w:r>
        <w:rPr>
          <w:rFonts w:ascii="IRNazanin" w:hAnsi="IRNazanin" w:eastAsia="IRNazanin" w:cs="IRNazanin"/>
          <w:lang w:bidi="fa-IR"/>
          <w:color w:val="111111"/>
          <w:sz w:val="28"/>
          <w:szCs w:val="28"/>
          <w:rtl/>
        </w:rPr>
        <w:t xml:space="preserve">الأخرى، ج 4، ص 542.</w:t>
      </w:r>
    </w:p>
    <w:p>
      <w:pPr>
        <w:pStyle w:val="BookText"/>
      </w:pPr>
      <w:r>
        <w:rPr>
          <w:rFonts w:ascii="Amiri" w:hAnsi="Amiri" w:eastAsia="Amiri" w:cs="Amiri"/>
          <w:lang w:bidi="ar-SA"/>
          <w:color w:val="111111"/>
          <w:sz w:val="28"/>
          <w:szCs w:val="28"/>
          <w:rtl/>
        </w:rPr>
        <w:t xml:space="preserve">20 .التناقض في الدعوي، ج 5، ص13.</w:t>
      </w:r>
    </w:p>
    <w:p>
      <w:pPr>
        <w:pStyle w:val="BookText"/>
      </w:pPr>
      <w:r>
        <w:rPr>
          <w:rFonts w:ascii="IRNazanin" w:hAnsi="IRNazanin" w:eastAsia="IRNazanin" w:cs="IRNazanin"/>
          <w:lang w:bidi="fa-IR"/>
          <w:color w:val="111111"/>
          <w:sz w:val="28"/>
          <w:szCs w:val="28"/>
          <w:rtl/>
        </w:rPr>
        <w:t xml:space="preserve">21 .جواب لسؤال الواقف، ج ،</w:t>
      </w:r>
    </w:p>
    <w:p>
      <w:pPr>
        <w:pStyle w:val="BookText"/>
      </w:pPr>
      <w:r>
        <w:rPr>
          <w:rFonts w:ascii="IRNazanin" w:hAnsi="IRNazanin" w:eastAsia="IRNazanin" w:cs="IRNazanin"/>
          <w:lang w:bidi="fa-IR"/>
          <w:color w:val="111111"/>
          <w:sz w:val="28"/>
          <w:szCs w:val="28"/>
          <w:rtl/>
        </w:rPr>
        <w:t xml:space="preserve">ص 507.</w:t>
      </w:r>
    </w:p>
    <w:p>
      <w:pPr>
        <w:pStyle w:val="BookText"/>
      </w:pPr>
      <w:r>
        <w:rPr>
          <w:rFonts w:ascii="Amiri" w:hAnsi="Amiri" w:eastAsia="Amiri" w:cs="Amiri"/>
          <w:lang w:bidi="ar-SA"/>
          <w:color w:val="111111"/>
          <w:sz w:val="28"/>
          <w:szCs w:val="28"/>
          <w:rtl/>
        </w:rPr>
        <w:t xml:space="preserve">22 .حاشية جامع الفصولين، جه،</w:t>
      </w:r>
    </w:p>
    <w:p>
      <w:pPr>
        <w:pStyle w:val="BookText"/>
      </w:pPr>
      <w:r>
        <w:rPr>
          <w:rFonts w:ascii="IRNazanin" w:hAnsi="IRNazanin" w:eastAsia="IRNazanin" w:cs="IRNazanin"/>
          <w:lang w:bidi="fa-IR"/>
          <w:color w:val="111111"/>
          <w:sz w:val="28"/>
          <w:szCs w:val="28"/>
          <w:rtl/>
        </w:rPr>
        <w:t xml:space="preserve">ص762.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حكم شرط وقف قانصوه الغوري</w:t>
      </w:r>
    </w:p>
    <w:p>
      <w:pPr>
        <w:pStyle w:val="BookText"/>
      </w:pPr>
      <w:r>
        <w:rPr>
          <w:rFonts w:ascii="Amiri" w:hAnsi="Amiri" w:eastAsia="Amiri" w:cs="Amiri"/>
          <w:lang w:bidi="ar-SA"/>
          <w:color w:val="111111"/>
          <w:sz w:val="28"/>
          <w:szCs w:val="28"/>
          <w:rtl/>
        </w:rPr>
        <w:t xml:space="preserve">(رسالة في)، ج 6، ص 756.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حكم ما يوجب بالصحة، ج 6،</w:t>
      </w:r>
    </w:p>
    <w:p>
      <w:pPr>
        <w:pStyle w:val="BookText"/>
      </w:pPr>
      <w:r>
        <w:rPr>
          <w:rFonts w:ascii="IRNazanin" w:hAnsi="IRNazanin" w:eastAsia="IRNazanin" w:cs="IRNazanin"/>
          <w:lang w:bidi="fa-IR"/>
          <w:color w:val="111111"/>
          <w:sz w:val="28"/>
          <w:szCs w:val="28"/>
          <w:rtl/>
        </w:rPr>
        <w:t xml:space="preserve">ص 763 .</w:t>
      </w:r>
    </w:p>
    <w:p>
      <w:pPr>
        <w:pStyle w:val="BookText"/>
      </w:pPr>
      <w:r>
        <w:rPr>
          <w:rFonts w:ascii="Amiri" w:hAnsi="Amiri" w:eastAsia="Amiri" w:cs="Amiri"/>
          <w:lang w:bidi="ar-SA"/>
          <w:color w:val="111111"/>
          <w:sz w:val="28"/>
          <w:szCs w:val="28"/>
          <w:rtl/>
        </w:rPr>
        <w:t xml:space="preserve">25 .حكم من يتولي الحكم بعد موت</w:t>
      </w:r>
    </w:p>
    <w:p>
      <w:pPr>
        <w:pStyle w:val="BookText"/>
      </w:pPr>
      <w:r>
        <w:rPr>
          <w:rFonts w:ascii="IRNazanin" w:hAnsi="IRNazanin" w:eastAsia="IRNazanin" w:cs="IRNazanin"/>
          <w:lang w:bidi="fa-IR"/>
          <w:color w:val="111111"/>
          <w:sz w:val="28"/>
          <w:szCs w:val="28"/>
          <w:rtl/>
        </w:rPr>
        <w:t xml:space="preserve">باشا، ج6، ص 765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الخير الباقي في جواز الوضوء من</w:t>
      </w:r>
    </w:p>
    <w:p>
      <w:pPr>
        <w:pStyle w:val="BookText"/>
      </w:pPr>
      <w:r>
        <w:rPr>
          <w:rFonts w:ascii="Amiri" w:hAnsi="Amiri" w:eastAsia="Amiri" w:cs="Amiri"/>
          <w:lang w:bidi="ar-SA"/>
          <w:color w:val="111111"/>
          <w:sz w:val="28"/>
          <w:szCs w:val="28"/>
          <w:rtl/>
        </w:rPr>
        <w:t xml:space="preserve">الفساقي، ج7، ص191.</w:t>
      </w:r>
    </w:p>
    <w:p>
      <w:pPr>
        <w:pStyle w:val="BookText"/>
      </w:pPr>
      <w:r>
        <w:rPr>
          <w:rFonts w:ascii="IRNazanin" w:hAnsi="IRNazanin" w:eastAsia="IRNazanin" w:cs="IRNazanin"/>
          <w:lang w:bidi="fa-IR"/>
          <w:color w:val="111111"/>
          <w:sz w:val="28"/>
          <w:szCs w:val="28"/>
          <w:rtl/>
        </w:rPr>
        <w:t xml:space="preserve">27 .دخول اولاد البنات تحت لفظ</w:t>
      </w:r>
    </w:p>
    <w:p>
      <w:pPr>
        <w:pStyle w:val="BookText"/>
      </w:pPr>
      <w:r>
        <w:rPr>
          <w:rFonts w:ascii="IRNazanin" w:hAnsi="IRNazanin" w:eastAsia="IRNazanin" w:cs="IRNazanin"/>
          <w:lang w:bidi="fa-IR"/>
          <w:color w:val="111111"/>
          <w:sz w:val="28"/>
          <w:szCs w:val="28"/>
          <w:rtl/>
        </w:rPr>
        <w:t xml:space="preserve">الولد او الاولاد، ج 7، ص 214.</w:t>
      </w:r>
    </w:p>
    <w:p>
      <w:pPr>
        <w:pStyle w:val="BookText"/>
      </w:pPr>
      <w:r>
        <w:rPr>
          <w:rFonts w:ascii="Amiri" w:hAnsi="Amiri" w:eastAsia="Amiri" w:cs="Amiri"/>
          <w:lang w:bidi="ar-SA"/>
          <w:color w:val="111111"/>
          <w:sz w:val="28"/>
          <w:szCs w:val="28"/>
          <w:rtl/>
        </w:rPr>
        <w:t xml:space="preserve">28 .الرسائل الزينية في مذهب</w:t>
      </w:r>
    </w:p>
    <w:p>
      <w:pPr>
        <w:pStyle w:val="BookText"/>
      </w:pPr>
      <w:r>
        <w:rPr>
          <w:rFonts w:ascii="Amiri" w:hAnsi="Amiri" w:eastAsia="Amiri" w:cs="Amiri"/>
          <w:lang w:bidi="ar-SA"/>
          <w:color w:val="111111"/>
          <w:sz w:val="28"/>
          <w:szCs w:val="28"/>
          <w:rtl/>
        </w:rPr>
        <w:t xml:space="preserve">الحنفية، ج8، ص 140.</w:t>
      </w:r>
    </w:p>
    <w:p>
      <w:pPr>
        <w:pStyle w:val="BookText"/>
      </w:pPr>
      <w:r>
        <w:rPr>
          <w:rFonts w:ascii="Amiri" w:hAnsi="Amiri" w:eastAsia="Amiri" w:cs="Amiri"/>
          <w:lang w:bidi="ar-SA"/>
          <w:color w:val="111111"/>
          <w:sz w:val="28"/>
          <w:szCs w:val="28"/>
          <w:rtl/>
        </w:rPr>
        <w:t xml:space="preserve">29 .رسالة للامير خاير بك في شرط كتاب( وقفه الاخري)، ج8، ص258.</w:t>
      </w:r>
    </w:p>
    <w:p>
      <w:pPr>
        <w:pStyle w:val="BookText"/>
      </w:pPr>
      <w:r>
        <w:rPr>
          <w:rFonts w:ascii="Amiri" w:hAnsi="Amiri" w:eastAsia="Amiri" w:cs="Amiri"/>
          <w:lang w:bidi="ar-SA"/>
          <w:color w:val="111111"/>
          <w:sz w:val="28"/>
          <w:szCs w:val="28"/>
          <w:rtl/>
        </w:rPr>
        <w:t xml:space="preserve">30 .رسالة للامير خاير بك في شرط</w:t>
      </w:r>
    </w:p>
    <w:p>
      <w:pPr>
        <w:pStyle w:val="BookText"/>
      </w:pPr>
      <w:r>
        <w:rPr>
          <w:rFonts w:ascii="IRNazanin" w:hAnsi="IRNazanin" w:eastAsia="IRNazanin" w:cs="IRNazanin"/>
          <w:lang w:bidi="fa-IR"/>
          <w:color w:val="111111"/>
          <w:sz w:val="28"/>
          <w:szCs w:val="28"/>
          <w:rtl/>
        </w:rPr>
        <w:t xml:space="preserve">وقفه، ج8، ص 257.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6" w:name="pg7742_69611"/>
    <w:bookmarkEnd w:id="126"/>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رسالة هي التي استقر عليها الحال</w:t>
      </w:r>
    </w:p>
    <w:p>
      <w:pPr>
        <w:pStyle w:val="BookText"/>
      </w:pPr>
      <w:r>
        <w:rPr>
          <w:rFonts w:ascii="Amiri" w:hAnsi="Amiri" w:eastAsia="Amiri" w:cs="Amiri"/>
          <w:lang w:bidi="ar-SA"/>
          <w:color w:val="111111"/>
          <w:sz w:val="28"/>
          <w:szCs w:val="28"/>
          <w:rtl/>
        </w:rPr>
        <w:t xml:space="preserve">ثانيا، ج 8، ص 291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الرشوة واقسامها، ج8، ص315</w:t>
      </w:r>
    </w:p>
    <w:p>
      <w:pPr>
        <w:pStyle w:val="BookText"/>
      </w:pPr>
      <w:r>
        <w:rPr>
          <w:rFonts w:ascii="Amiri" w:hAnsi="Amiri" w:eastAsia="Amiri" w:cs="Amiri"/>
          <w:lang w:bidi="ar-SA"/>
          <w:color w:val="111111"/>
          <w:sz w:val="28"/>
          <w:szCs w:val="28"/>
          <w:rtl/>
        </w:rPr>
        <w:t xml:space="preserve">33 .رفع الغشاء عن وقتي العصر و</w:t>
      </w:r>
    </w:p>
    <w:p>
      <w:pPr>
        <w:pStyle w:val="BookText"/>
      </w:pPr>
      <w:r>
        <w:rPr>
          <w:rFonts w:ascii="IRNazanin" w:hAnsi="IRNazanin" w:eastAsia="IRNazanin" w:cs="IRNazanin"/>
          <w:lang w:bidi="fa-IR"/>
          <w:color w:val="111111"/>
          <w:sz w:val="28"/>
          <w:szCs w:val="28"/>
          <w:rtl/>
        </w:rPr>
        <w:t xml:space="preserve">العشاء، ج8، ص 345.</w:t>
      </w:r>
    </w:p>
    <w:p>
      <w:pPr>
        <w:pStyle w:val="BookText"/>
      </w:pPr>
      <w:r>
        <w:rPr>
          <w:rFonts w:ascii="Amiri" w:hAnsi="Amiri" w:eastAsia="Amiri" w:cs="Amiri"/>
          <w:lang w:bidi="ar-SA"/>
          <w:color w:val="111111"/>
          <w:sz w:val="28"/>
          <w:szCs w:val="28"/>
          <w:rtl/>
        </w:rPr>
        <w:t xml:space="preserve">34 .السفينة اذا غرقت او انكسرت هل يضمن صاحبها ام لا؟، ج 8، ص780.</w:t>
      </w:r>
    </w:p>
    <w:p>
      <w:pPr>
        <w:pStyle w:val="BookText"/>
      </w:pPr>
      <w:r>
        <w:rPr>
          <w:rFonts w:ascii="Amiri" w:hAnsi="Amiri" w:eastAsia="Amiri" w:cs="Amiri"/>
          <w:lang w:bidi="ar-SA"/>
          <w:color w:val="111111"/>
          <w:sz w:val="28"/>
          <w:szCs w:val="28"/>
          <w:rtl/>
        </w:rPr>
        <w:t xml:space="preserve">35 .شراء جارية (رسالة في)، ج9،</w:t>
      </w:r>
    </w:p>
    <w:p>
      <w:pPr>
        <w:pStyle w:val="BookText"/>
      </w:pPr>
      <w:r>
        <w:rPr>
          <w:rFonts w:ascii="IRNazanin" w:hAnsi="IRNazanin" w:eastAsia="IRNazanin" w:cs="IRNazanin"/>
          <w:lang w:bidi="fa-IR"/>
          <w:color w:val="111111"/>
          <w:sz w:val="28"/>
          <w:szCs w:val="28"/>
          <w:rtl/>
        </w:rPr>
        <w:t xml:space="preserve">ص 93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صورة حجة رفع اليد، ج 10،</w:t>
      </w:r>
    </w:p>
    <w:p>
      <w:pPr>
        <w:pStyle w:val="BookText"/>
      </w:pPr>
      <w:r>
        <w:rPr>
          <w:rFonts w:ascii="IRNazanin" w:hAnsi="IRNazanin" w:eastAsia="IRNazanin" w:cs="IRNazanin"/>
          <w:lang w:bidi="fa-IR"/>
          <w:color w:val="111111"/>
          <w:sz w:val="28"/>
          <w:szCs w:val="28"/>
          <w:rtl/>
        </w:rPr>
        <w:t xml:space="preserve">ص 653 .</w:t>
      </w:r>
    </w:p>
    <w:p>
      <w:pPr>
        <w:pStyle w:val="BookText"/>
      </w:pPr>
      <w:r>
        <w:rPr>
          <w:rFonts w:ascii="Amiri" w:hAnsi="Amiri" w:eastAsia="Amiri" w:cs="Amiri"/>
          <w:lang w:bidi="ar-SA"/>
          <w:color w:val="111111"/>
          <w:sz w:val="28"/>
          <w:szCs w:val="28"/>
          <w:rtl/>
        </w:rPr>
        <w:t xml:space="preserve">37 .صورة وقفية اختلفت الاجوبة فيها</w:t>
      </w:r>
    </w:p>
    <w:p>
      <w:pPr>
        <w:pStyle w:val="BookText"/>
      </w:pPr>
      <w:r>
        <w:rPr>
          <w:rFonts w:ascii="Amiri" w:hAnsi="Amiri" w:eastAsia="Amiri" w:cs="Amiri"/>
          <w:lang w:bidi="ar-SA"/>
          <w:color w:val="111111"/>
          <w:sz w:val="28"/>
          <w:szCs w:val="28"/>
          <w:rtl/>
        </w:rPr>
        <w:t xml:space="preserve">(رسالة في)، ج 10 ، ص 658.</w:t>
      </w:r>
    </w:p>
    <w:p>
      <w:pPr>
        <w:pStyle w:val="BookText"/>
      </w:pPr>
      <w:r>
        <w:rPr>
          <w:rFonts w:ascii="IRNazanin" w:hAnsi="IRNazanin" w:eastAsia="IRNazanin" w:cs="IRNazanin"/>
          <w:lang w:bidi="fa-IR"/>
          <w:color w:val="111111"/>
          <w:sz w:val="28"/>
          <w:szCs w:val="28"/>
          <w:rtl/>
        </w:rPr>
        <w:t xml:space="preserve">38 .ضبطه اهل النقل من خبر الفصل</w:t>
      </w:r>
    </w:p>
    <w:p>
      <w:pPr>
        <w:pStyle w:val="BookText"/>
      </w:pPr>
      <w:r>
        <w:rPr>
          <w:rFonts w:ascii="Amiri" w:hAnsi="Amiri" w:eastAsia="Amiri" w:cs="Amiri"/>
          <w:lang w:bidi="ar-SA"/>
          <w:color w:val="111111"/>
          <w:sz w:val="28"/>
          <w:szCs w:val="28"/>
          <w:rtl/>
        </w:rPr>
        <w:t xml:space="preserve">(رسالة في)، ج 10، ص 690.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الطعن والطاعون، ج 10، ص 834.</w:t>
      </w:r>
    </w:p>
    <w:p>
      <w:pPr>
        <w:pStyle w:val="BookText"/>
      </w:pPr>
      <w:r>
        <w:rPr>
          <w:rFonts w:ascii="Amiri" w:hAnsi="Amiri" w:eastAsia="Amiri" w:cs="Amiri"/>
          <w:lang w:bidi="ar-SA"/>
          <w:color w:val="111111"/>
          <w:sz w:val="28"/>
          <w:szCs w:val="28"/>
          <w:rtl/>
        </w:rPr>
        <w:t xml:space="preserve">40 .الطلاق المعلق على الابراء هل هو رجعي او بائن، ج 10، ص 848.</w:t>
      </w:r>
    </w:p>
    <w:p>
      <w:pPr>
        <w:pStyle w:val="BookText"/>
      </w:pPr>
      <w:r>
        <w:rPr>
          <w:rFonts w:ascii="Amiri" w:hAnsi="Amiri" w:eastAsia="Amiri" w:cs="Amiri"/>
          <w:lang w:bidi="ar-SA"/>
          <w:color w:val="111111"/>
          <w:sz w:val="28"/>
          <w:szCs w:val="28"/>
          <w:rtl/>
        </w:rPr>
        <w:t xml:space="preserve">41 .طلب اليمين بعد حكم المالك و الابراء العام، ج10، ص 849.</w:t>
      </w:r>
    </w:p>
    <w:p>
      <w:pPr>
        <w:pStyle w:val="BookText"/>
      </w:pPr>
      <w:r>
        <w:rPr>
          <w:rFonts w:ascii="Amiri" w:hAnsi="Amiri" w:eastAsia="Amiri" w:cs="Amiri"/>
          <w:lang w:bidi="ar-SA"/>
          <w:color w:val="111111"/>
          <w:sz w:val="28"/>
          <w:szCs w:val="28"/>
          <w:rtl/>
        </w:rPr>
        <w:t xml:space="preserve">42 .الفتاوى الزينية في فقه الحنفية</w:t>
      </w:r>
    </w:p>
    <w:p>
      <w:pPr>
        <w:pStyle w:val="BookText"/>
      </w:pPr>
      <w:r>
        <w:rPr>
          <w:rFonts w:ascii="IRNazanin" w:hAnsi="IRNazanin" w:eastAsia="IRNazanin" w:cs="IRNazanin"/>
          <w:lang w:bidi="fa-IR"/>
          <w:color w:val="111111"/>
          <w:sz w:val="28"/>
          <w:szCs w:val="28"/>
          <w:rtl/>
        </w:rPr>
        <w:t xml:space="preserve">ج 11 ، ص 613 .</w:t>
      </w:r>
    </w:p>
    <w:p>
      <w:pPr>
        <w:pStyle w:val="BookText"/>
      </w:pPr>
      <w:r>
        <w:rPr>
          <w:rFonts w:ascii="Amiri" w:hAnsi="Amiri" w:eastAsia="Amiri" w:cs="Amiri"/>
          <w:lang w:bidi="ar-SA"/>
          <w:color w:val="111111"/>
          <w:sz w:val="28"/>
          <w:szCs w:val="28"/>
          <w:rtl/>
        </w:rPr>
        <w:t xml:space="preserve">43 .فسخ الاجارة الطويلة، ج11،</w:t>
      </w:r>
    </w:p>
    <w:p>
      <w:pPr>
        <w:pStyle w:val="BookText"/>
      </w:pPr>
      <w:r>
        <w:rPr>
          <w:rFonts w:ascii="IRNazanin" w:hAnsi="IRNazanin" w:eastAsia="IRNazanin" w:cs="IRNazanin"/>
          <w:lang w:bidi="fa-IR"/>
          <w:color w:val="111111"/>
          <w:sz w:val="28"/>
          <w:szCs w:val="28"/>
          <w:rtl/>
        </w:rPr>
        <w:t xml:space="preserve">ص 824.</w:t>
      </w:r>
    </w:p>
    <w:p>
      <w:pPr>
        <w:pStyle w:val="BookText"/>
      </w:pPr>
      <w:r>
        <w:rPr>
          <w:rFonts w:ascii="IRNazanin" w:hAnsi="IRNazanin" w:eastAsia="IRNazanin" w:cs="IRNazanin"/>
          <w:lang w:bidi="fa-IR"/>
          <w:color w:val="111111"/>
          <w:sz w:val="28"/>
          <w:szCs w:val="28"/>
          <w:rtl/>
        </w:rPr>
        <w:t xml:space="preserve">44 .فهرس الاشباه والنظائر، ج12،</w:t>
      </w:r>
    </w:p>
    <w:p>
      <w:pPr>
        <w:pStyle w:val="BookText"/>
      </w:pPr>
      <w:r>
        <w:rPr>
          <w:rFonts w:ascii="IRNazanin" w:hAnsi="IRNazanin" w:eastAsia="IRNazanin" w:cs="IRNazanin"/>
          <w:lang w:bidi="fa-IR"/>
          <w:color w:val="111111"/>
          <w:sz w:val="28"/>
          <w:szCs w:val="28"/>
          <w:rtl/>
        </w:rPr>
        <w:t xml:space="preserve">ص 143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الفوائد الزينية في فقه الحنفية</w:t>
      </w:r>
    </w:p>
    <w:p>
      <w:pPr>
        <w:pStyle w:val="BookText"/>
      </w:pPr>
      <w:r>
        <w:rPr>
          <w:rFonts w:ascii="IRNazanin" w:hAnsi="IRNazanin" w:eastAsia="IRNazanin" w:cs="IRNazanin"/>
          <w:lang w:bidi="fa-IR"/>
          <w:color w:val="111111"/>
          <w:sz w:val="28"/>
          <w:szCs w:val="28"/>
          <w:rtl/>
        </w:rPr>
        <w:t xml:space="preserve">ج 12، ص 206.</w:t>
      </w:r>
    </w:p>
    <w:p>
      <w:pPr>
        <w:pStyle w:val="BookText"/>
      </w:pPr>
      <w:r>
        <w:rPr>
          <w:rFonts w:ascii="Amiri" w:hAnsi="Amiri" w:eastAsia="Amiri" w:cs="Amiri"/>
          <w:lang w:bidi="ar-SA"/>
          <w:color w:val="111111"/>
          <w:sz w:val="28"/>
          <w:szCs w:val="28"/>
          <w:rtl/>
        </w:rPr>
        <w:t xml:space="preserve">46 .القواعد الكلية في الفروع الحنفية</w:t>
      </w:r>
    </w:p>
    <w:p>
      <w:pPr>
        <w:pStyle w:val="BookText"/>
      </w:pPr>
      <w:r>
        <w:rPr>
          <w:rFonts w:ascii="IRNazanin" w:hAnsi="IRNazanin" w:eastAsia="IRNazanin" w:cs="IRNazanin"/>
          <w:lang w:bidi="fa-IR"/>
          <w:color w:val="111111"/>
          <w:sz w:val="28"/>
          <w:szCs w:val="28"/>
          <w:rtl/>
        </w:rPr>
        <w:t xml:space="preserve">ج 12، ص 801.</w:t>
      </w:r>
    </w:p>
    <w:p>
      <w:pPr>
        <w:pStyle w:val="BookText"/>
      </w:pPr>
      <w:r>
        <w:rPr>
          <w:rFonts w:ascii="Amiri" w:hAnsi="Amiri" w:eastAsia="Amiri" w:cs="Amiri"/>
          <w:lang w:bidi="ar-SA"/>
          <w:color w:val="111111"/>
          <w:sz w:val="28"/>
          <w:szCs w:val="28"/>
          <w:rtl/>
        </w:rPr>
        <w:t xml:space="preserve">47 .القول النقي في الرد على المفتري</w:t>
      </w:r>
    </w:p>
    <w:p>
      <w:pPr>
        <w:pStyle w:val="BookText"/>
      </w:pPr>
      <w:r>
        <w:rPr>
          <w:rFonts w:ascii="Amiri" w:hAnsi="Amiri" w:eastAsia="Amiri" w:cs="Amiri"/>
          <w:lang w:bidi="ar-SA"/>
          <w:color w:val="111111"/>
          <w:sz w:val="28"/>
          <w:szCs w:val="28"/>
          <w:rtl/>
        </w:rPr>
        <w:t xml:space="preserve">الشقي، ج 12، ص 866.</w:t>
      </w:r>
    </w:p>
    <w:p>
      <w:pPr>
        <w:pStyle w:val="BookText"/>
      </w:pPr>
      <w:r>
        <w:rPr>
          <w:rFonts w:ascii="Amiri" w:hAnsi="Amiri" w:eastAsia="Amiri" w:cs="Amiri"/>
          <w:lang w:bidi="ar-SA"/>
          <w:color w:val="111111"/>
          <w:sz w:val="28"/>
          <w:szCs w:val="28"/>
          <w:rtl/>
        </w:rPr>
        <w:t xml:space="preserve">48 .الكبائر و الصغائر، ج13، ص78.</w:t>
      </w:r>
    </w:p>
    <w:p>
      <w:pPr>
        <w:pStyle w:val="BookText"/>
      </w:pPr>
      <w:r>
        <w:rPr>
          <w:rFonts w:ascii="Amiri" w:hAnsi="Amiri" w:eastAsia="Amiri" w:cs="Amiri"/>
          <w:lang w:bidi="ar-SA"/>
          <w:color w:val="111111"/>
          <w:sz w:val="28"/>
          <w:szCs w:val="28"/>
          <w:rtl/>
        </w:rPr>
        <w:t xml:space="preserve">49 .الكنائس المصرية (رسالة في)،</w:t>
      </w:r>
    </w:p>
    <w:p>
      <w:pPr>
        <w:pStyle w:val="BookText"/>
      </w:pPr>
      <w:r>
        <w:rPr>
          <w:rFonts w:ascii="IRNazanin" w:hAnsi="IRNazanin" w:eastAsia="IRNazanin" w:cs="IRNazanin"/>
          <w:lang w:bidi="fa-IR"/>
          <w:color w:val="111111"/>
          <w:sz w:val="28"/>
          <w:szCs w:val="28"/>
          <w:rtl/>
        </w:rPr>
        <w:t xml:space="preserve">ج 13، ص 396.</w:t>
      </w:r>
    </w:p>
    <w:p>
      <w:pPr>
        <w:pStyle w:val="BookText"/>
      </w:pPr>
      <w:r>
        <w:rPr>
          <w:rFonts w:ascii="Amiri" w:hAnsi="Amiri" w:eastAsia="Amiri" w:cs="Amiri"/>
          <w:lang w:bidi="ar-SA"/>
          <w:color w:val="111111"/>
          <w:sz w:val="28"/>
          <w:szCs w:val="28"/>
          <w:rtl/>
        </w:rPr>
        <w:t xml:space="preserve">50 .لب الاصول في تحرير الاصول لابن</w:t>
      </w:r>
    </w:p>
    <w:p>
      <w:pPr>
        <w:pStyle w:val="BookText"/>
      </w:pPr>
      <w:r>
        <w:rPr>
          <w:rFonts w:ascii="IRNazanin" w:hAnsi="IRNazanin" w:eastAsia="IRNazanin" w:cs="IRNazanin"/>
          <w:lang w:bidi="fa-IR"/>
          <w:color w:val="111111"/>
          <w:sz w:val="28"/>
          <w:szCs w:val="28"/>
          <w:rtl/>
        </w:rPr>
        <w:t xml:space="preserve">الهمام، ج13، ص 554.</w:t>
      </w:r>
    </w:p>
    <w:p>
      <w:pPr>
        <w:pStyle w:val="BookText"/>
      </w:pPr>
      <w:r>
        <w:rPr>
          <w:rFonts w:ascii="Amiri" w:hAnsi="Amiri" w:eastAsia="Amiri" w:cs="Amiri"/>
          <w:lang w:bidi="ar-SA"/>
          <w:color w:val="111111"/>
          <w:sz w:val="28"/>
          <w:szCs w:val="28"/>
          <w:rtl/>
        </w:rPr>
        <w:t xml:space="preserve">51 .ما يبطل دعوي المدعي (رسالة</w:t>
      </w:r>
    </w:p>
    <w:p>
      <w:pPr>
        <w:pStyle w:val="BookText"/>
      </w:pPr>
      <w:r>
        <w:rPr>
          <w:rFonts w:ascii="Amiri" w:hAnsi="Amiri" w:eastAsia="Amiri" w:cs="Amiri"/>
          <w:lang w:bidi="ar-SA"/>
          <w:color w:val="111111"/>
          <w:sz w:val="28"/>
          <w:szCs w:val="28"/>
          <w:rtl/>
        </w:rPr>
        <w:t xml:space="preserve">في)، ج 13 ، ص 692.</w:t>
      </w:r>
    </w:p>
    <w:p>
      <w:pPr>
        <w:pStyle w:val="BookText"/>
      </w:pPr>
      <w:r>
        <w:rPr>
          <w:rFonts w:ascii="Amiri" w:hAnsi="Amiri" w:eastAsia="Amiri" w:cs="Amiri"/>
          <w:lang w:bidi="ar-SA"/>
          <w:color w:val="111111"/>
          <w:sz w:val="28"/>
          <w:szCs w:val="28"/>
          <w:rtl/>
        </w:rPr>
        <w:t xml:space="preserve">52 .متروك التسمية عمدا (رسالة في)</w:t>
      </w:r>
    </w:p>
    <w:p>
      <w:pPr>
        <w:pStyle w:val="BookText"/>
      </w:pPr>
      <w:r>
        <w:rPr>
          <w:rFonts w:ascii="IRNazanin" w:hAnsi="IRNazanin" w:eastAsia="IRNazanin" w:cs="IRNazanin"/>
          <w:lang w:bidi="fa-IR"/>
          <w:color w:val="111111"/>
          <w:sz w:val="28"/>
          <w:szCs w:val="28"/>
          <w:rtl/>
        </w:rPr>
        <w:t xml:space="preserve">ج 13، ص 748.</w:t>
      </w:r>
    </w:p>
    <w:p>
      <w:pPr>
        <w:pStyle w:val="BookText"/>
      </w:pPr>
      <w:r>
        <w:rPr>
          <w:rFonts w:ascii="Amiri" w:hAnsi="Amiri" w:eastAsia="Amiri" w:cs="Amiri"/>
          <w:lang w:bidi="ar-SA"/>
          <w:color w:val="111111"/>
          <w:sz w:val="28"/>
          <w:szCs w:val="28"/>
          <w:rtl/>
        </w:rPr>
        <w:t xml:space="preserve">53 .مشكاة الانوار في اصول المنار = شرح منار الانوار، ج 14، ص 631.</w:t>
      </w:r>
    </w:p>
    <w:p>
      <w:pPr>
        <w:pStyle w:val="BookText"/>
      </w:pPr>
      <w:r>
        <w:rPr>
          <w:rFonts w:ascii="Amiri" w:hAnsi="Amiri" w:eastAsia="Amiri" w:cs="Amiri"/>
          <w:lang w:bidi="ar-SA"/>
          <w:color w:val="111111"/>
          <w:sz w:val="28"/>
          <w:szCs w:val="28"/>
          <w:rtl/>
        </w:rPr>
        <w:t xml:space="preserve">54 .مكاتب الاوقاف و بطلانها، ج 15،</w:t>
      </w:r>
    </w:p>
    <w:p>
      <w:pPr>
        <w:pStyle w:val="BookText"/>
      </w:pPr>
      <w:r>
        <w:rPr>
          <w:rFonts w:ascii="IRNazanin" w:hAnsi="IRNazanin" w:eastAsia="IRNazanin" w:cs="IRNazanin"/>
          <w:lang w:bidi="fa-IR"/>
          <w:color w:val="111111"/>
          <w:sz w:val="28"/>
          <w:szCs w:val="28"/>
          <w:rtl/>
        </w:rPr>
        <w:t xml:space="preserve">ص 406.</w:t>
      </w:r>
    </w:p>
    <w:p>
      <w:pPr>
        <w:pStyle w:val="BookText"/>
      </w:pPr>
      <w:r>
        <w:rPr>
          <w:rFonts w:ascii="IRNazanin" w:hAnsi="IRNazanin" w:eastAsia="IRNazanin" w:cs="IRNazanin"/>
          <w:lang w:bidi="fa-IR"/>
          <w:color w:val="111111"/>
          <w:sz w:val="28"/>
          <w:szCs w:val="28"/>
          <w:rtl/>
        </w:rPr>
        <w:t xml:space="preserve">55 .النذر بالتصدق، ج 16، ص213.</w:t>
      </w:r>
    </w:p>
    <w:p>
      <w:pPr>
        <w:pStyle w:val="BookText"/>
      </w:pPr>
      <w:r>
        <w:rPr>
          <w:rFonts w:ascii="IRNazanin" w:hAnsi="IRNazanin" w:eastAsia="IRNazanin" w:cs="IRNazanin"/>
          <w:lang w:bidi="fa-IR"/>
          <w:color w:val="111111"/>
          <w:sz w:val="28"/>
          <w:szCs w:val="28"/>
          <w:rtl/>
        </w:rPr>
        <w:t xml:space="preserve">56 .نقولات، ج 16، ص 430 .</w:t>
      </w:r>
    </w:p>
    <w:p>
      <w:pPr>
        <w:pStyle w:val="BookText"/>
      </w:pPr>
      <w:r>
        <w:rPr>
          <w:rFonts w:ascii="Amiri" w:hAnsi="Amiri" w:eastAsia="Amiri" w:cs="Amiri"/>
          <w:lang w:bidi="ar-SA"/>
          <w:color w:val="111111"/>
          <w:sz w:val="28"/>
          <w:szCs w:val="28"/>
          <w:rtl/>
        </w:rPr>
        <w:t xml:space="preserve">57 .نكاح الفضولي هل هو صحيح أم</w:t>
      </w:r>
    </w:p>
    <w:p>
      <w:pPr>
        <w:pStyle w:val="BookText"/>
      </w:pPr>
      <w:r>
        <w:rPr>
          <w:rFonts w:ascii="IRNazanin" w:hAnsi="IRNazanin" w:eastAsia="IRNazanin" w:cs="IRNazanin"/>
          <w:lang w:bidi="fa-IR"/>
          <w:color w:val="111111"/>
          <w:sz w:val="28"/>
          <w:szCs w:val="28"/>
          <w:rtl/>
        </w:rPr>
        <w:t xml:space="preserve">لا؟، ج 16، ص 459.</w:t>
      </w:r>
    </w:p>
    <w:p>
      <w:pPr>
        <w:pStyle w:val="BookText"/>
      </w:pPr>
      <w:r>
        <w:rPr>
          <w:rFonts w:ascii="Amiri" w:hAnsi="Amiri" w:eastAsia="Amiri" w:cs="Amiri"/>
          <w:lang w:bidi="ar-SA"/>
          <w:color w:val="111111"/>
          <w:sz w:val="28"/>
          <w:szCs w:val="28"/>
          <w:rtl/>
        </w:rPr>
        <w:t xml:space="preserve">58 .الوكالة العامة، ج 16، ص 881.</w:t>
      </w:r>
    </w:p>
    <w:p>
      <w:pPr>
        <w:pStyle w:val="Heading2"/>
      </w:pPr>
      <w:bookmarkStart w:id="1759" w:name="_Toc861"/>
      <w:r>
        <w:t>ابن نجیم ، عمر بن ابراهيم - 1005 ه-</w:t>
      </w:r>
      <w:bookmarkEnd w:id="1759"/>
    </w:p>
    <w:p>
      <w:pPr>
        <w:pStyle w:val="BookText"/>
      </w:pPr>
      <w:r>
        <w:rPr>
          <w:rFonts w:ascii="Amiri" w:hAnsi="Amiri" w:eastAsia="Amiri" w:cs="Amiri"/>
          <w:lang w:bidi="ar-SA"/>
          <w:color w:val="111111"/>
          <w:sz w:val="28"/>
          <w:szCs w:val="28"/>
          <w:rtl/>
        </w:rPr>
        <w:t xml:space="preserve">النهر الفائق في شرح كنز الدقائق</w:t>
      </w:r>
    </w:p>
    <w:p>
      <w:pPr>
        <w:pStyle w:val="BookText"/>
      </w:pPr>
      <w:r>
        <w:rPr>
          <w:rFonts w:ascii="IRNazanin" w:hAnsi="IRNazanin" w:eastAsia="IRNazanin" w:cs="IRNazanin"/>
          <w:lang w:bidi="fa-IR"/>
          <w:color w:val="111111"/>
          <w:sz w:val="28"/>
          <w:szCs w:val="28"/>
          <w:rtl/>
        </w:rPr>
        <w:t xml:space="preserve">ج 16، ص 534.</w:t>
      </w:r>
    </w:p>
    <w:p>
      <w:pPr>
        <w:pStyle w:val="BookText"/>
      </w:pPr>
      <w:r>
        <w:rPr>
          <w:rFonts w:ascii="Amiri" w:hAnsi="Amiri" w:eastAsia="Amiri" w:cs="Amiri"/>
          <w:lang w:bidi="ar-SA"/>
          <w:color w:val="111111"/>
          <w:sz w:val="28"/>
          <w:szCs w:val="28"/>
          <w:rtl/>
        </w:rPr>
        <w:t xml:space="preserve">ابن نحاس ، احمد بن ابراهيم -نحاس</w:t>
      </w:r>
    </w:p>
    <w:p>
      <w:pPr>
        <w:pStyle w:val="BookText"/>
      </w:pPr>
      <w:r>
        <w:rPr>
          <w:rFonts w:ascii="Amiri" w:hAnsi="Amiri" w:eastAsia="Amiri" w:cs="Amiri"/>
          <w:lang w:bidi="ar-SA"/>
          <w:color w:val="111111"/>
          <w:sz w:val="28"/>
          <w:szCs w:val="28"/>
          <w:rtl/>
        </w:rPr>
        <w:t xml:space="preserve">احمد بن ابراهيم</w:t>
      </w:r>
    </w:p>
    <w:p>
      <w:pPr>
        <w:pStyle w:val="BookText"/>
      </w:pPr>
      <w:r>
        <w:rPr>
          <w:rFonts w:ascii="IRNazanin" w:hAnsi="IRNazanin" w:eastAsia="IRNazanin" w:cs="IRNazanin"/>
          <w:lang w:bidi="fa-IR"/>
          <w:color w:val="111111"/>
          <w:sz w:val="28"/>
          <w:szCs w:val="28"/>
          <w:rtl/>
        </w:rPr>
        <w:t xml:space="preserve">ابن نحاس، احمد بن محمّد -نحاس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760" w:name="_Toc862"/>
      <w:r>
        <w:t>ابن نحاس ، عبدالرحمن بن عمر 323 -</w:t>
      </w:r>
      <w:bookmarkEnd w:id="1760"/>
    </w:p>
    <w:p>
      <w:pPr>
        <w:pStyle w:val="BookText"/>
      </w:pPr>
      <w:r>
        <w:rPr>
          <w:rFonts w:ascii="IRNazanin" w:hAnsi="IRNazanin" w:eastAsia="IRNazanin" w:cs="IRNazanin"/>
          <w:lang w:bidi="fa-IR"/>
          <w:color w:val="111111"/>
          <w:sz w:val="28"/>
          <w:szCs w:val="28"/>
          <w:rtl/>
        </w:rPr>
        <w:t xml:space="preserve">416 ه-</w:t>
      </w:r>
    </w:p>
    <w:p>
      <w:pPr>
        <w:pStyle w:val="BookText"/>
      </w:pPr>
      <w:r>
        <w:rPr>
          <w:rFonts w:ascii="Amiri" w:hAnsi="Amiri" w:eastAsia="Amiri" w:cs="Amiri"/>
          <w:lang w:bidi="ar-SA"/>
          <w:color w:val="111111"/>
          <w:sz w:val="28"/>
          <w:szCs w:val="28"/>
          <w:rtl/>
        </w:rPr>
        <w:t xml:space="preserve">الأمالي، ج 2، ص718.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7" w:name="pg7742_69613"/>
    <w:bookmarkEnd w:id="127"/>
    <w:p>
      <w:pPr>
        <w:pStyle w:val="Heading2"/>
      </w:pPr>
      <w:bookmarkStart w:id="1761" w:name="_Toc863"/>
      <w:r>
        <w:t>ابن نحاس ، فتح الله بن عبدالله -1052ه-</w:t>
      </w:r>
      <w:bookmarkEnd w:id="1761"/>
    </w:p>
    <w:p>
      <w:pPr>
        <w:pStyle w:val="BookText"/>
      </w:pPr>
      <w:r>
        <w:rPr>
          <w:rFonts w:ascii="Amiri" w:hAnsi="Amiri" w:eastAsia="Amiri" w:cs="Amiri"/>
          <w:lang w:bidi="ar-SA"/>
          <w:color w:val="111111"/>
          <w:sz w:val="28"/>
          <w:szCs w:val="28"/>
          <w:rtl/>
        </w:rPr>
        <w:t xml:space="preserve">ديوان ابن النحاس، ج 7، ص 547.</w:t>
      </w:r>
    </w:p>
    <w:p>
      <w:pPr>
        <w:pStyle w:val="Heading2"/>
      </w:pPr>
      <w:bookmarkStart w:id="1762" w:name="_Toc864"/>
      <w:r>
        <w:t>ابن نحويه ، محمّد بن الياس - 718 ه-</w:t>
      </w:r>
      <w:bookmarkEnd w:id="1762"/>
    </w:p>
    <w:p>
      <w:pPr>
        <w:pStyle w:val="BookText"/>
      </w:pPr>
      <w:r>
        <w:rPr>
          <w:rFonts w:ascii="IRNazanin" w:hAnsi="IRNazanin" w:eastAsia="IRNazanin" w:cs="IRNazanin"/>
          <w:lang w:bidi="fa-IR"/>
          <w:color w:val="111111"/>
          <w:sz w:val="28"/>
          <w:szCs w:val="28"/>
          <w:rtl/>
        </w:rPr>
        <w:t xml:space="preserve">اسفار الصباح عن ضوء المصباح، ج 2،</w:t>
      </w:r>
    </w:p>
    <w:p>
      <w:pPr>
        <w:pStyle w:val="BookText"/>
      </w:pPr>
      <w:r>
        <w:rPr>
          <w:rFonts w:ascii="IRNazanin" w:hAnsi="IRNazanin" w:eastAsia="IRNazanin" w:cs="IRNazanin"/>
          <w:lang w:bidi="fa-IR"/>
          <w:color w:val="111111"/>
          <w:sz w:val="28"/>
          <w:szCs w:val="28"/>
          <w:rtl/>
        </w:rPr>
        <w:t xml:space="preserve">ص 202.</w:t>
      </w:r>
    </w:p>
    <w:p>
      <w:pPr>
        <w:pStyle w:val="Heading2"/>
      </w:pPr>
      <w:bookmarkStart w:id="1763" w:name="_Toc865"/>
      <w:r>
        <w:t>ابن نحوي ، يوسف بن محمّد - 513 ه-</w:t>
      </w:r>
      <w:bookmarkEnd w:id="1763"/>
    </w:p>
    <w:p>
      <w:pPr>
        <w:pStyle w:val="BookText"/>
      </w:pPr>
      <w:r>
        <w:rPr>
          <w:rFonts w:ascii="Amiri" w:hAnsi="Amiri" w:eastAsia="Amiri" w:cs="Amiri"/>
          <w:lang w:bidi="ar-SA"/>
          <w:color w:val="111111"/>
          <w:sz w:val="28"/>
          <w:szCs w:val="28"/>
          <w:rtl/>
        </w:rPr>
        <w:t xml:space="preserve">القصيدة المنفرجة، ج 12، ص 714.</w:t>
      </w:r>
    </w:p>
    <w:p>
      <w:pPr>
        <w:pStyle w:val="Heading2"/>
      </w:pPr>
      <w:bookmarkStart w:id="1764" w:name="_Toc866"/>
      <w:r>
        <w:t>ابن ندیم ، محمّد بن اسحاق - 380 ه-</w:t>
      </w:r>
      <w:bookmarkEnd w:id="1764"/>
    </w:p>
    <w:p>
      <w:pPr>
        <w:pStyle w:val="BookText"/>
      </w:pPr>
      <w:r>
        <w:rPr>
          <w:rFonts w:ascii="IRNazanin" w:hAnsi="IRNazanin" w:eastAsia="IRNazanin" w:cs="IRNazanin"/>
          <w:lang w:bidi="fa-IR"/>
          <w:color w:val="111111"/>
          <w:sz w:val="28"/>
          <w:szCs w:val="28"/>
          <w:rtl/>
        </w:rPr>
        <w:t xml:space="preserve">الفهرست، ج 12، ص 144 .</w:t>
      </w:r>
    </w:p>
    <w:p>
      <w:pPr>
        <w:pStyle w:val="Heading2"/>
      </w:pPr>
      <w:bookmarkStart w:id="1765" w:name="_Toc867"/>
      <w:r>
        <w:t>ابن ندیم موصلي ، اسحاق بن ابراهيم</w:t>
      </w:r>
      <w:bookmarkEnd w:id="1765"/>
    </w:p>
    <w:p>
      <w:pPr>
        <w:pStyle w:val="BookText"/>
      </w:pPr>
      <w:r>
        <w:rPr>
          <w:rFonts w:ascii="IRNazanin" w:hAnsi="IRNazanin" w:eastAsia="IRNazanin" w:cs="IRNazanin"/>
          <w:lang w:bidi="fa-IR"/>
          <w:color w:val="111111"/>
          <w:sz w:val="28"/>
          <w:szCs w:val="28"/>
          <w:rtl/>
        </w:rPr>
        <w:t xml:space="preserve">150 - 235 ه-</w:t>
      </w:r>
    </w:p>
    <w:p>
      <w:pPr>
        <w:pStyle w:val="BookText"/>
      </w:pPr>
      <w:r>
        <w:rPr>
          <w:rFonts w:ascii="IRNazanin" w:hAnsi="IRNazanin" w:eastAsia="IRNazanin" w:cs="IRNazanin"/>
          <w:lang w:bidi="fa-IR"/>
          <w:color w:val="111111"/>
          <w:sz w:val="28"/>
          <w:szCs w:val="28"/>
          <w:rtl/>
        </w:rPr>
        <w:t xml:space="preserve">مقامات، ج 15، ص289.</w:t>
      </w:r>
    </w:p>
    <w:p>
      <w:pPr>
        <w:pStyle w:val="Heading2"/>
      </w:pPr>
      <w:bookmarkStart w:id="1766" w:name="_Toc868"/>
      <w:r>
        <w:t>ابن نفيس علي بن ابي الحزم، 607-687ه-</w:t>
      </w:r>
      <w:bookmarkEnd w:id="1766"/>
    </w:p>
    <w:p>
      <w:pPr>
        <w:pStyle w:val="BookText"/>
      </w:pPr>
      <w:r>
        <w:rPr>
          <w:rFonts w:ascii="Amiri" w:hAnsi="Amiri" w:eastAsia="Amiri" w:cs="Amiri"/>
          <w:lang w:bidi="ar-SA"/>
          <w:color w:val="111111"/>
          <w:sz w:val="28"/>
          <w:szCs w:val="28"/>
          <w:rtl/>
        </w:rPr>
        <w:t xml:space="preserve">1 .شامل الادوية المفردة، ج 9، ص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الشامل في الصناعة الطبية، ج 9،</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الفصول بقراط، ج 9، ص798.</w:t>
      </w:r>
    </w:p>
    <w:p>
      <w:pPr>
        <w:pStyle w:val="BookText"/>
      </w:pPr>
      <w:r>
        <w:rPr>
          <w:rFonts w:ascii="Amiri" w:hAnsi="Amiri" w:eastAsia="Amiri" w:cs="Amiri"/>
          <w:lang w:bidi="ar-SA"/>
          <w:color w:val="111111"/>
          <w:sz w:val="28"/>
          <w:szCs w:val="28"/>
          <w:rtl/>
        </w:rPr>
        <w:t xml:space="preserve">4 .شرح القانون = الموجز في شرح</w:t>
      </w:r>
    </w:p>
    <w:p>
      <w:pPr>
        <w:pStyle w:val="BookText"/>
      </w:pPr>
      <w:r>
        <w:rPr>
          <w:rFonts w:ascii="IRNazanin" w:hAnsi="IRNazanin" w:eastAsia="IRNazanin" w:cs="IRNazanin"/>
          <w:lang w:bidi="fa-IR"/>
          <w:color w:val="111111"/>
          <w:sz w:val="28"/>
          <w:szCs w:val="28"/>
          <w:rtl/>
        </w:rPr>
        <w:t xml:space="preserve">القانون، ج 9، ص 813.</w:t>
      </w:r>
    </w:p>
    <w:p>
      <w:pPr>
        <w:pStyle w:val="BookText"/>
      </w:pPr>
      <w:r>
        <w:rPr>
          <w:rFonts w:ascii="Amiri" w:hAnsi="Amiri" w:eastAsia="Amiri" w:cs="Amiri"/>
          <w:lang w:bidi="ar-SA"/>
          <w:color w:val="111111"/>
          <w:sz w:val="28"/>
          <w:szCs w:val="28"/>
          <w:rtl/>
        </w:rPr>
        <w:t xml:space="preserve">5 .شرح تشريح الكليات، ج 9، ص 335 .</w:t>
      </w:r>
    </w:p>
    <w:p>
      <w:pPr>
        <w:pStyle w:val="BookText"/>
      </w:pPr>
      <w:r>
        <w:rPr>
          <w:rFonts w:ascii="IRNazanin" w:hAnsi="IRNazanin" w:eastAsia="IRNazanin" w:cs="IRNazanin"/>
          <w:lang w:bidi="fa-IR"/>
          <w:color w:val="111111"/>
          <w:sz w:val="28"/>
          <w:szCs w:val="28"/>
          <w:rtl/>
        </w:rPr>
        <w:t xml:space="preserve">6 .العلل والعلاجات، ج 11، ص 224.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موجز القانون، ج 16، ص 6.</w:t>
      </w:r>
    </w:p>
    <w:p>
      <w:pPr>
        <w:pStyle w:val="BookText"/>
      </w:pPr>
      <w:r>
        <w:rPr>
          <w:rFonts w:ascii="Amiri" w:hAnsi="Amiri" w:eastAsia="Amiri" w:cs="Amiri"/>
          <w:lang w:bidi="ar-SA"/>
          <w:color w:val="111111"/>
          <w:sz w:val="28"/>
          <w:szCs w:val="28"/>
          <w:rtl/>
        </w:rPr>
        <w:t xml:space="preserve">ابن نقاش ، علي بن حسن- ابن وهاس،</w:t>
      </w:r>
    </w:p>
    <w:p>
      <w:pPr>
        <w:pStyle w:val="BookText"/>
      </w:pPr>
      <w:r>
        <w:rPr>
          <w:rFonts w:ascii="Amiri" w:hAnsi="Amiri" w:eastAsia="Amiri" w:cs="Amiri"/>
          <w:lang w:bidi="ar-SA"/>
          <w:color w:val="111111"/>
          <w:sz w:val="28"/>
          <w:szCs w:val="28"/>
          <w:rtl/>
        </w:rPr>
        <w:t xml:space="preserve">علي بن حسن</w:t>
      </w:r>
    </w:p>
    <w:p>
      <w:pPr>
        <w:pStyle w:val="Heading2"/>
      </w:pPr>
      <w:bookmarkStart w:id="1767" w:name="_Toc869"/>
      <w:r>
        <w:t>ابن نقاش ، محمّد بن علي، 720 - 763 ه-</w:t>
      </w:r>
      <w:bookmarkEnd w:id="1767"/>
    </w:p>
    <w:p>
      <w:pPr>
        <w:pStyle w:val="BookText"/>
      </w:pPr>
      <w:r>
        <w:rPr>
          <w:rFonts w:ascii="Amiri" w:hAnsi="Amiri" w:eastAsia="Amiri" w:cs="Amiri"/>
          <w:lang w:bidi="ar-SA"/>
          <w:color w:val="111111"/>
          <w:sz w:val="28"/>
          <w:szCs w:val="28"/>
          <w:rtl/>
        </w:rPr>
        <w:t xml:space="preserve">إحكام الأحكام الصادرة من بين شفتي</w:t>
      </w:r>
    </w:p>
    <w:p>
      <w:pPr>
        <w:pStyle w:val="BookText"/>
      </w:pPr>
      <w:r>
        <w:rPr>
          <w:rFonts w:ascii="Amiri" w:hAnsi="Amiri" w:eastAsia="Amiri" w:cs="Amiri"/>
          <w:lang w:bidi="ar-SA"/>
          <w:color w:val="111111"/>
          <w:sz w:val="28"/>
          <w:szCs w:val="28"/>
          <w:rtl/>
        </w:rPr>
        <w:t xml:space="preserve">سيد الانام، ج 1، ص 452.</w:t>
      </w:r>
    </w:p>
    <w:p>
      <w:pPr>
        <w:pStyle w:val="BookText"/>
      </w:pPr>
      <w:r>
        <w:rPr>
          <w:rFonts w:ascii="Amiri" w:hAnsi="Amiri" w:eastAsia="Amiri" w:cs="Amiri"/>
          <w:lang w:bidi="ar-SA"/>
          <w:color w:val="111111"/>
          <w:sz w:val="28"/>
          <w:szCs w:val="28"/>
          <w:rtl/>
        </w:rPr>
        <w:t xml:space="preserve">ابن نقرات ، علي بن موسى- انصاري</w:t>
      </w:r>
    </w:p>
    <w:p>
      <w:pPr>
        <w:pStyle w:val="BookText"/>
      </w:pPr>
      <w:r>
        <w:rPr>
          <w:rFonts w:ascii="Amiri" w:hAnsi="Amiri" w:eastAsia="Amiri" w:cs="Amiri"/>
          <w:lang w:bidi="ar-SA"/>
          <w:color w:val="111111"/>
          <w:sz w:val="28"/>
          <w:szCs w:val="28"/>
          <w:rtl/>
        </w:rPr>
        <w:t xml:space="preserve">مغربي ، علي بن موسى</w:t>
      </w:r>
    </w:p>
    <w:p>
      <w:pPr>
        <w:pStyle w:val="Heading2"/>
      </w:pPr>
      <w:bookmarkStart w:id="1768" w:name="_Toc870"/>
      <w:r>
        <w:t>ابن نصار ، شیخ محمد - 1292 ه-</w:t>
      </w:r>
      <w:bookmarkEnd w:id="1768"/>
    </w:p>
    <w:p>
      <w:pPr>
        <w:pStyle w:val="BookText"/>
      </w:pPr>
      <w:r>
        <w:rPr>
          <w:rFonts w:ascii="Amiri" w:hAnsi="Amiri" w:eastAsia="Amiri" w:cs="Amiri"/>
          <w:lang w:bidi="ar-SA"/>
          <w:color w:val="111111"/>
          <w:sz w:val="28"/>
          <w:szCs w:val="28"/>
          <w:rtl/>
        </w:rPr>
        <w:t xml:space="preserve">مجموعة ابن نصار، ج 14، ص 15</w:t>
      </w:r>
    </w:p>
    <w:p>
      <w:pPr>
        <w:pStyle w:val="BookText"/>
      </w:pPr>
      <w:r>
        <w:rPr>
          <w:rFonts w:ascii="Amiri" w:hAnsi="Amiri" w:eastAsia="Amiri" w:cs="Amiri"/>
          <w:lang w:bidi="ar-SA"/>
          <w:color w:val="111111"/>
          <w:sz w:val="28"/>
          <w:szCs w:val="28"/>
          <w:rtl/>
        </w:rPr>
        <w:t xml:space="preserve">ابن نصر ، حسن بن علي- واسطي ، حسن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ابن نصوح ، يحيى بن علي -نوعي ، يحيى</w:t>
      </w:r>
    </w:p>
    <w:p>
      <w:pPr>
        <w:pStyle w:val="BookText"/>
      </w:pPr>
      <w:r>
        <w:rPr>
          <w:rFonts w:ascii="Amiri" w:hAnsi="Amiri" w:eastAsia="Amiri" w:cs="Amiri"/>
          <w:lang w:bidi="ar-SA"/>
          <w:color w:val="111111"/>
          <w:sz w:val="28"/>
          <w:szCs w:val="28"/>
          <w:rtl/>
        </w:rPr>
        <w:t xml:space="preserve">بن علي</w:t>
      </w:r>
    </w:p>
    <w:p>
      <w:pPr>
        <w:pStyle w:val="Heading2"/>
      </w:pPr>
      <w:bookmarkStart w:id="1769" w:name="_Toc871"/>
      <w:r>
        <w:t>ابن نظام ، حسين</w:t>
      </w:r>
      <w:bookmarkEnd w:id="1769"/>
    </w:p>
    <w:p>
      <w:pPr>
        <w:pStyle w:val="BookText"/>
      </w:pPr>
      <w:r>
        <w:rPr>
          <w:rFonts w:ascii="Amiri" w:hAnsi="Amiri" w:eastAsia="Amiri" w:cs="Amiri"/>
          <w:lang w:bidi="ar-SA"/>
          <w:color w:val="111111"/>
          <w:sz w:val="28"/>
          <w:szCs w:val="28"/>
          <w:rtl/>
        </w:rPr>
        <w:t xml:space="preserve">طب الائمة، ج 10، ص 760.</w:t>
      </w:r>
    </w:p>
    <w:p>
      <w:pPr>
        <w:pStyle w:val="Heading2"/>
      </w:pPr>
      <w:bookmarkStart w:id="1770" w:name="_Toc872"/>
      <w:r>
        <w:t>ابن نعيم ، محمّد بن حسن ، قرن 7 ه-</w:t>
      </w:r>
      <w:bookmarkEnd w:id="1770"/>
    </w:p>
    <w:p>
      <w:pPr>
        <w:pStyle w:val="BookText"/>
      </w:pPr>
      <w:r>
        <w:rPr>
          <w:rFonts w:ascii="Amiri" w:hAnsi="Amiri" w:eastAsia="Amiri" w:cs="Amiri"/>
          <w:lang w:bidi="ar-SA"/>
          <w:color w:val="111111"/>
          <w:sz w:val="28"/>
          <w:szCs w:val="28"/>
          <w:rtl/>
        </w:rPr>
        <w:t xml:space="preserve">نزهة الجليس و فرحة الأنيس ج16،</w:t>
      </w:r>
    </w:p>
    <w:p>
      <w:pPr>
        <w:pStyle w:val="BookText"/>
      </w:pPr>
      <w:r>
        <w:rPr>
          <w:rFonts w:ascii="IRNazanin" w:hAnsi="IRNazanin" w:eastAsia="IRNazanin" w:cs="IRNazanin"/>
          <w:lang w:bidi="fa-IR"/>
          <w:color w:val="111111"/>
          <w:sz w:val="28"/>
          <w:szCs w:val="28"/>
          <w:rtl/>
        </w:rPr>
        <w:t xml:space="preserve">ص 227 .</w:t>
      </w:r>
    </w:p>
    <w:p>
      <w:pPr>
        <w:pStyle w:val="Heading2"/>
      </w:pPr>
      <w:bookmarkStart w:id="1771" w:name="_Toc873"/>
      <w:r>
        <w:t>ابن نقطه ، محمّد بن عبدالغني، 579 -</w:t>
      </w:r>
      <w:bookmarkEnd w:id="1771"/>
    </w:p>
    <w:p>
      <w:pPr>
        <w:pStyle w:val="BookText"/>
      </w:pPr>
      <w:r>
        <w:rPr>
          <w:rFonts w:ascii="IRNazanin" w:hAnsi="IRNazanin" w:eastAsia="IRNazanin" w:cs="IRNazanin"/>
          <w:lang w:bidi="fa-IR"/>
          <w:color w:val="111111"/>
          <w:sz w:val="28"/>
          <w:szCs w:val="28"/>
          <w:rtl/>
        </w:rPr>
        <w:t xml:space="preserve">629 ه-</w:t>
      </w:r>
    </w:p>
    <w:p>
      <w:pPr>
        <w:pStyle w:val="BookText"/>
      </w:pPr>
      <w:r>
        <w:rPr>
          <w:rFonts w:ascii="Amiri" w:hAnsi="Amiri" w:eastAsia="Amiri" w:cs="Amiri"/>
          <w:lang w:bidi="ar-SA"/>
          <w:color w:val="111111"/>
          <w:sz w:val="28"/>
          <w:szCs w:val="28"/>
          <w:rtl/>
        </w:rPr>
        <w:t xml:space="preserve">1 .الاستدراك = ذيل اكمال الكمال =</w:t>
      </w:r>
    </w:p>
    <w:p>
      <w:pPr>
        <w:pStyle w:val="BookText"/>
      </w:pPr>
      <w:r>
        <w:rPr>
          <w:rFonts w:ascii="Amiri" w:hAnsi="Amiri" w:eastAsia="Amiri" w:cs="Amiri"/>
          <w:lang w:bidi="ar-SA"/>
          <w:color w:val="111111"/>
          <w:sz w:val="28"/>
          <w:szCs w:val="28"/>
          <w:rtl/>
        </w:rPr>
        <w:t xml:space="preserve">اكمال الاكمال، ج 2، ص 126.</w:t>
      </w:r>
    </w:p>
    <w:p>
      <w:pPr>
        <w:pStyle w:val="BookText"/>
      </w:pPr>
      <w:r>
        <w:rPr>
          <w:rFonts w:ascii="Amiri" w:hAnsi="Amiri" w:eastAsia="Amiri" w:cs="Amiri"/>
          <w:lang w:bidi="ar-SA"/>
          <w:color w:val="111111"/>
          <w:sz w:val="28"/>
          <w:szCs w:val="28"/>
          <w:rtl/>
        </w:rPr>
        <w:t xml:space="preserve">2 .التقييد لمعرفة رجال السنن و</w:t>
      </w:r>
    </w:p>
    <w:p>
      <w:pPr>
        <w:pStyle w:val="BookText"/>
      </w:pPr>
      <w:r>
        <w:rPr>
          <w:rFonts w:ascii="Amiri" w:hAnsi="Amiri" w:eastAsia="Amiri" w:cs="Amiri"/>
          <w:lang w:bidi="ar-SA"/>
          <w:color w:val="111111"/>
          <w:sz w:val="28"/>
          <w:szCs w:val="28"/>
          <w:rtl/>
        </w:rPr>
        <w:t xml:space="preserve">المسانيد، ج4، ص809.</w:t>
      </w:r>
    </w:p>
    <w:p>
      <w:pPr>
        <w:pStyle w:val="Heading2"/>
      </w:pPr>
      <w:bookmarkStart w:id="1772" w:name="_Toc874"/>
      <w:r>
        <w:t>ابن نقيب، احمد بن لؤلؤ، 702 - 769 ه-</w:t>
      </w:r>
      <w:bookmarkEnd w:id="1772"/>
    </w:p>
    <w:p>
      <w:pPr>
        <w:pStyle w:val="BookText"/>
      </w:pPr>
      <w:r>
        <w:rPr>
          <w:rFonts w:ascii="Amiri" w:hAnsi="Amiri" w:eastAsia="Amiri" w:cs="Amiri"/>
          <w:lang w:bidi="ar-SA"/>
          <w:color w:val="111111"/>
          <w:sz w:val="28"/>
          <w:szCs w:val="28"/>
          <w:rtl/>
        </w:rPr>
        <w:t xml:space="preserve">1 .تسهيل الهداية وتحصيل الكفاية = مختصر كفاية النبيه، جع، ص 357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عمدة السالك وعدة الناسك، ج 11،</w:t>
      </w:r>
    </w:p>
    <w:p>
      <w:pPr>
        <w:pStyle w:val="BookText"/>
      </w:pPr>
      <w:r>
        <w:rPr>
          <w:rFonts w:ascii="IRNazanin" w:hAnsi="IRNazanin" w:eastAsia="IRNazanin" w:cs="IRNazanin"/>
          <w:lang w:bidi="fa-IR"/>
          <w:color w:val="111111"/>
          <w:sz w:val="28"/>
          <w:szCs w:val="28"/>
          <w:rtl/>
        </w:rPr>
        <w:t xml:space="preserve">ص 292.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8" w:name="pg7742_69615"/>
    <w:bookmarkEnd w:id="128"/>
    <w:p>
      <w:pPr>
        <w:pStyle w:val="BookText"/>
      </w:pPr>
      <w:r>
        <w:rPr>
          <w:rFonts w:ascii="Amiri" w:hAnsi="Amiri" w:eastAsia="Amiri" w:cs="Amiri"/>
          <w:lang w:bidi="ar-SA"/>
          <w:color w:val="111111"/>
          <w:sz w:val="28"/>
          <w:szCs w:val="28"/>
          <w:rtl/>
        </w:rPr>
        <w:t xml:space="preserve">ابن نقيب خليل بن احمد- حلبي ، غرس</w:t>
      </w:r>
    </w:p>
    <w:p>
      <w:pPr>
        <w:pStyle w:val="BookText"/>
      </w:pPr>
      <w:r>
        <w:rPr>
          <w:rFonts w:ascii="Amiri" w:hAnsi="Amiri" w:eastAsia="Amiri" w:cs="Amiri"/>
          <w:lang w:bidi="ar-SA"/>
          <w:color w:val="111111"/>
          <w:sz w:val="28"/>
          <w:szCs w:val="28"/>
          <w:rtl/>
        </w:rPr>
        <w:t xml:space="preserve">الدين بن ابراهيم</w:t>
      </w:r>
    </w:p>
    <w:p>
      <w:pPr>
        <w:pStyle w:val="Heading2"/>
      </w:pPr>
      <w:bookmarkStart w:id="1773" w:name="_Toc875"/>
      <w:r>
        <w:t>ابن نقیب ، عبد القادر بن يوسف</w:t>
      </w:r>
      <w:bookmarkEnd w:id="1773"/>
    </w:p>
    <w:p>
      <w:pPr>
        <w:pStyle w:val="BookText"/>
      </w:pPr>
      <w:r>
        <w:rPr>
          <w:rFonts w:ascii="IRNazanin" w:hAnsi="IRNazanin" w:eastAsia="IRNazanin" w:cs="IRNazanin"/>
          <w:lang w:bidi="fa-IR"/>
          <w:color w:val="111111"/>
          <w:sz w:val="28"/>
          <w:szCs w:val="28"/>
          <w:rtl/>
        </w:rPr>
        <w:t xml:space="preserve">1107ه-</w:t>
      </w:r>
    </w:p>
    <w:p>
      <w:pPr>
        <w:pStyle w:val="BookText"/>
      </w:pPr>
      <w:r>
        <w:rPr>
          <w:rFonts w:ascii="Amiri" w:hAnsi="Amiri" w:eastAsia="Amiri" w:cs="Amiri"/>
          <w:lang w:bidi="ar-SA"/>
          <w:color w:val="111111"/>
          <w:sz w:val="28"/>
          <w:szCs w:val="28"/>
          <w:rtl/>
        </w:rPr>
        <w:t xml:space="preserve">واقعات المفتين، ج 16، ص 721.</w:t>
      </w:r>
    </w:p>
    <w:p>
      <w:pPr>
        <w:pStyle w:val="Heading2"/>
      </w:pPr>
      <w:bookmarkStart w:id="1774" w:name="_Toc876"/>
      <w:r>
        <w:t>ابن نقیب ، محمّد بن سليمان 611 -</w:t>
      </w:r>
      <w:bookmarkEnd w:id="1774"/>
    </w:p>
    <w:p>
      <w:pPr>
        <w:pStyle w:val="BookText"/>
      </w:pPr>
      <w:r>
        <w:rPr>
          <w:rFonts w:ascii="IRNazanin" w:hAnsi="IRNazanin" w:eastAsia="IRNazanin" w:cs="IRNazanin"/>
          <w:lang w:bidi="fa-IR"/>
          <w:color w:val="111111"/>
          <w:sz w:val="28"/>
          <w:szCs w:val="28"/>
          <w:rtl/>
        </w:rPr>
        <w:t xml:space="preserve">698 ه-</w:t>
      </w:r>
    </w:p>
    <w:p>
      <w:pPr>
        <w:pStyle w:val="BookText"/>
      </w:pPr>
      <w:r>
        <w:rPr>
          <w:rFonts w:ascii="Amiri" w:hAnsi="Amiri" w:eastAsia="Amiri" w:cs="Amiri"/>
          <w:lang w:bidi="ar-SA"/>
          <w:color w:val="111111"/>
          <w:sz w:val="28"/>
          <w:szCs w:val="28"/>
          <w:rtl/>
        </w:rPr>
        <w:t xml:space="preserve">تفسير ابن النقيب = التحرير و التخيير لاقوال ائمة التفسير في معاني كلام السميع البصير، ج 4، ص 596.</w:t>
      </w:r>
    </w:p>
    <w:p>
      <w:pPr>
        <w:pStyle w:val="BookText"/>
      </w:pPr>
      <w:r>
        <w:rPr>
          <w:rFonts w:ascii="Amiri" w:hAnsi="Amiri" w:eastAsia="Amiri" w:cs="Amiri"/>
          <w:lang w:bidi="ar-SA"/>
          <w:color w:val="111111"/>
          <w:sz w:val="28"/>
          <w:szCs w:val="28"/>
          <w:rtl/>
        </w:rPr>
        <w:t xml:space="preserve">ابن نوبختي، ابراهيم بن اسحاق نوبختي نوبختي، ابراهيم بن اسحاق</w:t>
      </w:r>
    </w:p>
    <w:p>
      <w:pPr>
        <w:pStyle w:val="Heading2"/>
      </w:pPr>
      <w:bookmarkStart w:id="1775" w:name="_Toc877"/>
      <w:r>
        <w:t>ابن نورالدین ، محمد بن علي قرن 9 ه-</w:t>
      </w:r>
      <w:bookmarkEnd w:id="1775"/>
    </w:p>
    <w:p>
      <w:pPr>
        <w:pStyle w:val="BookText"/>
      </w:pPr>
      <w:r>
        <w:rPr>
          <w:rFonts w:ascii="Amiri" w:hAnsi="Amiri" w:eastAsia="Amiri" w:cs="Amiri"/>
          <w:lang w:bidi="ar-SA"/>
          <w:color w:val="111111"/>
          <w:sz w:val="28"/>
          <w:szCs w:val="28"/>
          <w:rtl/>
        </w:rPr>
        <w:t xml:space="preserve">تفسير (تيسير) البيان لاحكام القرآن = تفسير آيات الاحكام، ج 4 ، ص 609.</w:t>
      </w:r>
    </w:p>
    <w:p>
      <w:pPr>
        <w:pStyle w:val="Heading2"/>
      </w:pPr>
      <w:bookmarkStart w:id="1776" w:name="_Toc878"/>
      <w:r>
        <w:t>ابن هائم احمد بن محمد، 753-815 ه-</w:t>
      </w:r>
      <w:bookmarkEnd w:id="1776"/>
    </w:p>
    <w:p>
      <w:pPr>
        <w:pStyle w:val="BookText"/>
      </w:pPr>
      <w:r>
        <w:rPr>
          <w:rFonts w:ascii="Amiri" w:hAnsi="Amiri" w:eastAsia="Amiri" w:cs="Amiri"/>
          <w:lang w:bidi="ar-SA"/>
          <w:color w:val="111111"/>
          <w:sz w:val="28"/>
          <w:szCs w:val="28"/>
          <w:rtl/>
        </w:rPr>
        <w:t xml:space="preserve">1 .تحفة الطلاب في نظم قواعد الاعراب = مقاصد الاعراب، ج3،</w:t>
      </w:r>
    </w:p>
    <w:p>
      <w:pPr>
        <w:pStyle w:val="BookText"/>
      </w:pPr>
      <w:r>
        <w:rPr>
          <w:rFonts w:ascii="IRNazanin" w:hAnsi="IRNazanin" w:eastAsia="IRNazanin" w:cs="IRNazanin"/>
          <w:lang w:bidi="fa-IR"/>
          <w:color w:val="111111"/>
          <w:sz w:val="28"/>
          <w:szCs w:val="28"/>
          <w:rtl/>
        </w:rPr>
        <w:t xml:space="preserve">ص 865.</w:t>
      </w:r>
    </w:p>
    <w:p>
      <w:pPr>
        <w:pStyle w:val="BookText"/>
      </w:pPr>
      <w:r>
        <w:rPr>
          <w:rFonts w:ascii="Amiri" w:hAnsi="Amiri" w:eastAsia="Amiri" w:cs="Amiri"/>
          <w:lang w:bidi="ar-SA"/>
          <w:color w:val="111111"/>
          <w:sz w:val="28"/>
          <w:szCs w:val="28"/>
          <w:rtl/>
        </w:rPr>
        <w:t xml:space="preserve">2 .التحفة القدسية - منظومة في</w:t>
      </w:r>
    </w:p>
    <w:p>
      <w:pPr>
        <w:pStyle w:val="BookText"/>
      </w:pPr>
      <w:r>
        <w:rPr>
          <w:rFonts w:ascii="IRNazanin" w:hAnsi="IRNazanin" w:eastAsia="IRNazanin" w:cs="IRNazanin"/>
          <w:lang w:bidi="fa-IR"/>
          <w:color w:val="111111"/>
          <w:sz w:val="28"/>
          <w:szCs w:val="28"/>
          <w:rtl/>
        </w:rPr>
        <w:t xml:space="preserve">الفرائض، ج 3، ص878</w:t>
      </w:r>
    </w:p>
    <w:p>
      <w:pPr>
        <w:pStyle w:val="BookText"/>
      </w:pPr>
      <w:r>
        <w:rPr>
          <w:rFonts w:ascii="IRNazanin" w:hAnsi="IRNazanin" w:eastAsia="IRNazanin" w:cs="IRNazanin"/>
          <w:lang w:bidi="fa-IR"/>
          <w:color w:val="111111"/>
          <w:sz w:val="28"/>
          <w:szCs w:val="28"/>
          <w:rtl/>
        </w:rPr>
        <w:t xml:space="preserve">3.حساب، ج 6 ، ص 636.</w:t>
      </w:r>
    </w:p>
    <w:p>
      <w:pPr>
        <w:pStyle w:val="BookText"/>
      </w:pPr>
      <w:r>
        <w:rPr>
          <w:rFonts w:ascii="Amiri" w:hAnsi="Amiri" w:eastAsia="Amiri" w:cs="Amiri"/>
          <w:lang w:bidi="ar-SA"/>
          <w:color w:val="111111"/>
          <w:sz w:val="28"/>
          <w:szCs w:val="28"/>
          <w:rtl/>
        </w:rPr>
        <w:t xml:space="preserve">4 .شرح المرشد في الحساب، ج 10،</w:t>
      </w:r>
    </w:p>
    <w:p>
      <w:pPr>
        <w:pStyle w:val="BookText"/>
      </w:pPr>
      <w:r>
        <w:rPr>
          <w:rFonts w:ascii="IRNazanin" w:hAnsi="IRNazanin" w:eastAsia="IRNazanin" w:cs="IRNazanin"/>
          <w:lang w:bidi="fa-IR"/>
          <w:color w:val="111111"/>
          <w:sz w:val="28"/>
          <w:szCs w:val="28"/>
          <w:rtl/>
        </w:rPr>
        <w:t xml:space="preserve">ص 134 .</w:t>
      </w:r>
    </w:p>
    <w:p>
      <w:pPr>
        <w:pStyle w:val="BookText"/>
      </w:pPr>
      <w:r>
        <w:rPr>
          <w:rFonts w:ascii="Amiri" w:hAnsi="Amiri" w:eastAsia="Amiri" w:cs="Amiri"/>
          <w:lang w:bidi="ar-SA"/>
          <w:color w:val="111111"/>
          <w:sz w:val="28"/>
          <w:szCs w:val="28"/>
          <w:rtl/>
        </w:rPr>
        <w:t xml:space="preserve">5 .شرح الوسيلة، ج 10، ص329.</w:t>
      </w:r>
    </w:p>
    <w:p>
      <w:pPr>
        <w:pStyle w:val="BookText"/>
      </w:pPr>
      <w:r>
        <w:rPr>
          <w:rFonts w:ascii="Amiri" w:hAnsi="Amiri" w:eastAsia="Amiri" w:cs="Amiri"/>
          <w:lang w:bidi="ar-SA"/>
          <w:color w:val="111111"/>
          <w:sz w:val="28"/>
          <w:szCs w:val="28"/>
          <w:rtl/>
        </w:rPr>
        <w:t xml:space="preserve">6 .عمل المناسخة بالجدول = المناسخات، ج11، ص 324.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الغربال (رسالة في)، ج11، ص 470. .</w:t>
      </w:r>
    </w:p>
    <w:p>
      <w:pPr>
        <w:pStyle w:val="BookText"/>
      </w:pPr>
      <w:r>
        <w:rPr>
          <w:rFonts w:ascii="IRNazanin" w:hAnsi="IRNazanin" w:eastAsia="IRNazanin" w:cs="IRNazanin"/>
          <w:lang w:bidi="fa-IR"/>
          <w:color w:val="111111"/>
          <w:sz w:val="28"/>
          <w:szCs w:val="28"/>
          <w:rtl/>
        </w:rPr>
        <w:t xml:space="preserve">8.الفرائض، ج 11، ص 750.</w:t>
      </w:r>
    </w:p>
    <w:p>
      <w:pPr>
        <w:pStyle w:val="BookText"/>
      </w:pPr>
      <w:r>
        <w:rPr>
          <w:rFonts w:ascii="Amiri" w:hAnsi="Amiri" w:eastAsia="Amiri" w:cs="Amiri"/>
          <w:lang w:bidi="ar-SA"/>
          <w:color w:val="111111"/>
          <w:sz w:val="28"/>
          <w:szCs w:val="28"/>
          <w:rtl/>
        </w:rPr>
        <w:t xml:space="preserve">9 .اللمع = لمع يسيرة في الحساب</w:t>
      </w:r>
    </w:p>
    <w:p>
      <w:pPr>
        <w:pStyle w:val="BookText"/>
      </w:pPr>
      <w:r>
        <w:rPr>
          <w:rFonts w:ascii="IRNazanin" w:hAnsi="IRNazanin" w:eastAsia="IRNazanin" w:cs="IRNazanin"/>
          <w:lang w:bidi="fa-IR"/>
          <w:color w:val="111111"/>
          <w:sz w:val="28"/>
          <w:szCs w:val="28"/>
          <w:rtl/>
        </w:rPr>
        <w:t xml:space="preserve">7ج 13، ص 611.</w:t>
      </w:r>
    </w:p>
    <w:p>
      <w:pPr>
        <w:pStyle w:val="BookText"/>
      </w:pPr>
      <w:r>
        <w:rPr>
          <w:rFonts w:ascii="IRNazanin" w:hAnsi="IRNazanin" w:eastAsia="IRNazanin" w:cs="IRNazanin"/>
          <w:lang w:bidi="fa-IR"/>
          <w:color w:val="111111"/>
          <w:sz w:val="28"/>
          <w:szCs w:val="28"/>
          <w:rtl/>
        </w:rPr>
        <w:t xml:space="preserve">10 .مختصر ارشاد الفارض إلى البحث</w:t>
      </w:r>
    </w:p>
    <w:p>
      <w:pPr>
        <w:pStyle w:val="BookText"/>
      </w:pPr>
      <w:r>
        <w:rPr>
          <w:rFonts w:ascii="Amiri" w:hAnsi="Amiri" w:eastAsia="Amiri" w:cs="Amiri"/>
          <w:lang w:bidi="ar-SA"/>
          <w:color w:val="111111"/>
          <w:sz w:val="28"/>
          <w:szCs w:val="28"/>
          <w:rtl/>
        </w:rPr>
        <w:t xml:space="preserve">و الكشف عن المسائل علم الفرائض لمصطفى الدسوقي، ج 14،</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Amiri" w:hAnsi="Amiri" w:eastAsia="Amiri" w:cs="Amiri"/>
          <w:lang w:bidi="ar-SA"/>
          <w:color w:val="111111"/>
          <w:sz w:val="28"/>
          <w:szCs w:val="28"/>
          <w:rtl/>
        </w:rPr>
        <w:t xml:space="preserve">11 .مرشد الطالب في أسنى المطالب في علم الحساب = المرشدة في صناعة</w:t>
      </w:r>
    </w:p>
    <w:p>
      <w:pPr>
        <w:pStyle w:val="BookText"/>
      </w:pPr>
      <w:r>
        <w:rPr>
          <w:rFonts w:ascii="IRNazanin" w:hAnsi="IRNazanin" w:eastAsia="IRNazanin" w:cs="IRNazanin"/>
          <w:lang w:bidi="fa-IR"/>
          <w:color w:val="111111"/>
          <w:sz w:val="28"/>
          <w:szCs w:val="28"/>
          <w:rtl/>
        </w:rPr>
        <w:t xml:space="preserve">الغبار، ج 14، ص 396.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المسرع في شرح مختصر الممتع</w:t>
      </w:r>
    </w:p>
    <w:p>
      <w:pPr>
        <w:pStyle w:val="BookText"/>
      </w:pPr>
      <w:r>
        <w:rPr>
          <w:rFonts w:ascii="IRNazanin" w:hAnsi="IRNazanin" w:eastAsia="IRNazanin" w:cs="IRNazanin"/>
          <w:lang w:bidi="fa-IR"/>
          <w:color w:val="111111"/>
          <w:sz w:val="28"/>
          <w:szCs w:val="28"/>
          <w:rtl/>
        </w:rPr>
        <w:t xml:space="preserve">ج 14، ص 572.</w:t>
      </w:r>
    </w:p>
    <w:p>
      <w:pPr>
        <w:pStyle w:val="BookText"/>
      </w:pPr>
      <w:r>
        <w:rPr>
          <w:rFonts w:ascii="Amiri" w:hAnsi="Amiri" w:eastAsia="Amiri" w:cs="Amiri"/>
          <w:lang w:bidi="ar-SA"/>
          <w:color w:val="111111"/>
          <w:sz w:val="28"/>
          <w:szCs w:val="28"/>
          <w:rtl/>
        </w:rPr>
        <w:t xml:space="preserve">13 .المسمع في شرح المقنع في علم</w:t>
      </w:r>
    </w:p>
    <w:p>
      <w:pPr>
        <w:pStyle w:val="BookText"/>
      </w:pPr>
      <w:r>
        <w:rPr>
          <w:rFonts w:ascii="Amiri" w:hAnsi="Amiri" w:eastAsia="Amiri" w:cs="Amiri"/>
          <w:lang w:bidi="ar-SA"/>
          <w:color w:val="111111"/>
          <w:sz w:val="28"/>
          <w:szCs w:val="28"/>
          <w:rtl/>
        </w:rPr>
        <w:t xml:space="preserve">الهيئة، ج 14، ص 587.</w:t>
      </w:r>
    </w:p>
    <w:p>
      <w:pPr>
        <w:pStyle w:val="BookText"/>
      </w:pPr>
      <w:r>
        <w:rPr>
          <w:rFonts w:ascii="Amiri" w:hAnsi="Amiri" w:eastAsia="Amiri" w:cs="Amiri"/>
          <w:lang w:bidi="ar-SA"/>
          <w:color w:val="111111"/>
          <w:sz w:val="28"/>
          <w:szCs w:val="28"/>
          <w:rtl/>
        </w:rPr>
        <w:t xml:space="preserve">14 .المعونة في علم الحساب الهوائي</w:t>
      </w:r>
    </w:p>
    <w:p>
      <w:pPr>
        <w:pStyle w:val="BookText"/>
      </w:pPr>
      <w:r>
        <w:rPr>
          <w:rFonts w:ascii="IRNazanin" w:hAnsi="IRNazanin" w:eastAsia="IRNazanin" w:cs="IRNazanin"/>
          <w:lang w:bidi="fa-IR"/>
          <w:color w:val="111111"/>
          <w:sz w:val="28"/>
          <w:szCs w:val="28"/>
          <w:rtl/>
        </w:rPr>
        <w:t xml:space="preserve">ج 15، ص 99 .</w:t>
      </w:r>
    </w:p>
    <w:p>
      <w:pPr>
        <w:pStyle w:val="BookText"/>
      </w:pPr>
      <w:r>
        <w:rPr>
          <w:rFonts w:ascii="Amiri" w:hAnsi="Amiri" w:eastAsia="Amiri" w:cs="Amiri"/>
          <w:lang w:bidi="ar-SA"/>
          <w:color w:val="111111"/>
          <w:sz w:val="28"/>
          <w:szCs w:val="28"/>
          <w:rtl/>
        </w:rPr>
        <w:t xml:space="preserve">15 .المقنع في علم الجبر والمقابله</w:t>
      </w:r>
    </w:p>
    <w:p>
      <w:pPr>
        <w:pStyle w:val="BookText"/>
      </w:pPr>
      <w:r>
        <w:rPr>
          <w:rFonts w:ascii="IRNazanin" w:hAnsi="IRNazanin" w:eastAsia="IRNazanin" w:cs="IRNazanin"/>
          <w:lang w:bidi="fa-IR"/>
          <w:color w:val="111111"/>
          <w:sz w:val="28"/>
          <w:szCs w:val="28"/>
          <w:rtl/>
        </w:rPr>
        <w:t xml:space="preserve">ج 15، ص 396.</w:t>
      </w:r>
    </w:p>
    <w:p>
      <w:pPr>
        <w:pStyle w:val="BookText"/>
      </w:pPr>
      <w:r>
        <w:rPr>
          <w:rFonts w:ascii="IRNazanin" w:hAnsi="IRNazanin" w:eastAsia="IRNazanin" w:cs="IRNazanin"/>
          <w:lang w:bidi="fa-IR"/>
          <w:color w:val="111111"/>
          <w:sz w:val="28"/>
          <w:szCs w:val="28"/>
          <w:rtl/>
        </w:rPr>
        <w:t xml:space="preserve">16.ملجأ الاضطراب، ج 15، ص 449.</w:t>
      </w:r>
    </w:p>
    <w:p>
      <w:pPr>
        <w:pStyle w:val="BookText"/>
      </w:pPr>
      <w:r>
        <w:rPr>
          <w:rFonts w:ascii="Amiri" w:hAnsi="Amiri" w:eastAsia="Amiri" w:cs="Amiri"/>
          <w:lang w:bidi="ar-SA"/>
          <w:color w:val="111111"/>
          <w:sz w:val="28"/>
          <w:szCs w:val="28"/>
          <w:rtl/>
        </w:rPr>
        <w:t xml:space="preserve">17 .الممتع في شرح المقنع، ج 15،</w:t>
      </w:r>
    </w:p>
    <w:p>
      <w:pPr>
        <w:pStyle w:val="BookText"/>
      </w:pPr>
      <w:r>
        <w:rPr>
          <w:rFonts w:ascii="IRNazanin" w:hAnsi="IRNazanin" w:eastAsia="IRNazanin" w:cs="IRNazanin"/>
          <w:lang w:bidi="fa-IR"/>
          <w:color w:val="111111"/>
          <w:sz w:val="28"/>
          <w:szCs w:val="28"/>
          <w:rtl/>
        </w:rPr>
        <w:t xml:space="preserve">ص 470 .</w:t>
      </w:r>
    </w:p>
    <w:p>
      <w:pPr>
        <w:pStyle w:val="BookText"/>
      </w:pPr>
      <w:r>
        <w:rPr>
          <w:rFonts w:ascii="Amiri" w:hAnsi="Amiri" w:eastAsia="Amiri" w:cs="Amiri"/>
          <w:lang w:bidi="ar-SA"/>
          <w:color w:val="111111"/>
          <w:sz w:val="28"/>
          <w:szCs w:val="28"/>
          <w:rtl/>
        </w:rPr>
        <w:t xml:space="preserve">18 .نزهة الحساب في علم الحساب نزهة النظار في علم الغبار، ج 16،</w:t>
      </w:r>
    </w:p>
    <w:p>
      <w:pPr>
        <w:pStyle w:val="BookText"/>
      </w:pPr>
      <w:r>
        <w:rPr>
          <w:rFonts w:ascii="IRNazanin" w:hAnsi="IRNazanin" w:eastAsia="IRNazanin" w:cs="IRNazanin"/>
          <w:lang w:bidi="fa-IR"/>
          <w:color w:val="111111"/>
          <w:sz w:val="28"/>
          <w:szCs w:val="28"/>
          <w:rtl/>
        </w:rPr>
        <w:t xml:space="preserve">ص228.</w:t>
      </w:r>
    </w:p>
    <w:p>
      <w:pPr>
        <w:pStyle w:val="BookText"/>
      </w:pPr>
      <w:r>
        <w:rPr>
          <w:rFonts w:ascii="Amiri" w:hAnsi="Amiri" w:eastAsia="Amiri" w:cs="Amiri"/>
          <w:lang w:bidi="ar-SA"/>
          <w:color w:val="111111"/>
          <w:sz w:val="28"/>
          <w:szCs w:val="28"/>
          <w:rtl/>
        </w:rPr>
        <w:t xml:space="preserve">19 . النزهة في اختصار مرشدة الطالب إلى أسنى المطالب في الحساب ج 16، ص 239.</w:t>
      </w:r>
    </w:p>
    <w:p>
      <w:pPr>
        <w:pStyle w:val="BookText"/>
      </w:pPr>
      <w:r>
        <w:rPr>
          <w:rFonts w:ascii="Amiri" w:hAnsi="Amiri" w:eastAsia="Amiri" w:cs="Amiri"/>
          <w:lang w:bidi="ar-SA"/>
          <w:color w:val="111111"/>
          <w:sz w:val="28"/>
          <w:szCs w:val="28"/>
          <w:rtl/>
        </w:rPr>
        <w:t xml:space="preserve">20 .الوسيلة في صناعة الهوائي، ج 16،</w:t>
      </w:r>
    </w:p>
    <w:p>
      <w:pPr>
        <w:pStyle w:val="BookText"/>
      </w:pPr>
      <w:r>
        <w:rPr>
          <w:rFonts w:ascii="IRNazanin" w:hAnsi="IRNazanin" w:eastAsia="IRNazanin" w:cs="IRNazanin"/>
          <w:lang w:bidi="fa-IR"/>
          <w:color w:val="111111"/>
          <w:sz w:val="28"/>
          <w:szCs w:val="28"/>
          <w:rtl/>
        </w:rPr>
        <w:t xml:space="preserve">ص 786 .</w:t>
      </w:r>
    </w:p>
    <w:p>
      <w:pPr>
        <w:pStyle w:val="Heading2"/>
      </w:pPr>
      <w:bookmarkStart w:id="1777" w:name="_Toc879"/>
      <w:r>
        <w:t>ابن هارون ، حسين، 320 - 398 ه-</w:t>
      </w:r>
      <w:bookmarkEnd w:id="1777"/>
    </w:p>
    <w:p>
      <w:pPr>
        <w:pStyle w:val="BookText"/>
      </w:pPr>
      <w:r>
        <w:rPr>
          <w:rFonts w:ascii="Amiri" w:hAnsi="Amiri" w:eastAsia="Amiri" w:cs="Amiri"/>
          <w:lang w:bidi="ar-SA"/>
          <w:color w:val="111111"/>
          <w:sz w:val="28"/>
          <w:szCs w:val="28"/>
          <w:rtl/>
        </w:rPr>
        <w:t xml:space="preserve">الامالي، ج 2، ص 715.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9" w:name="pg7742_69617"/>
    <w:bookmarkEnd w:id="129"/>
    <w:p>
      <w:pPr>
        <w:pStyle w:val="BookText"/>
      </w:pPr>
      <w:r>
        <w:rPr>
          <w:rFonts w:ascii="Amiri" w:hAnsi="Amiri" w:eastAsia="Amiri" w:cs="Amiri"/>
          <w:lang w:bidi="ar-SA"/>
          <w:color w:val="111111"/>
          <w:sz w:val="28"/>
          <w:szCs w:val="28"/>
          <w:rtl/>
        </w:rPr>
        <w:t xml:space="preserve">ابن هامل ، محمّد بن عبد المنعم- حراني ،</w:t>
      </w:r>
    </w:p>
    <w:p>
      <w:pPr>
        <w:pStyle w:val="BookText"/>
      </w:pPr>
      <w:r>
        <w:rPr>
          <w:rFonts w:ascii="IRNazanin" w:hAnsi="IRNazanin" w:eastAsia="IRNazanin" w:cs="IRNazanin"/>
          <w:lang w:bidi="fa-IR"/>
          <w:color w:val="111111"/>
          <w:sz w:val="28"/>
          <w:szCs w:val="28"/>
          <w:rtl/>
        </w:rPr>
        <w:t xml:space="preserve">محمّد بن عبد المنعم</w:t>
      </w:r>
    </w:p>
    <w:p>
      <w:pPr>
        <w:pStyle w:val="Heading2"/>
      </w:pPr>
      <w:bookmarkStart w:id="1778" w:name="_Toc880"/>
      <w:r>
        <w:t>ابن هاني اندلسي ، محمّد بن هاني 326 -</w:t>
      </w:r>
      <w:bookmarkEnd w:id="1778"/>
    </w:p>
    <w:p>
      <w:pPr>
        <w:pStyle w:val="BookText"/>
      </w:pPr>
      <w:r>
        <w:rPr>
          <w:rFonts w:ascii="IRNazanin" w:hAnsi="IRNazanin" w:eastAsia="IRNazanin" w:cs="IRNazanin"/>
          <w:lang w:bidi="fa-IR"/>
          <w:color w:val="111111"/>
          <w:sz w:val="28"/>
          <w:szCs w:val="28"/>
          <w:rtl/>
        </w:rPr>
        <w:t xml:space="preserve">362ه-</w:t>
      </w:r>
    </w:p>
    <w:p>
      <w:pPr>
        <w:pStyle w:val="BookText"/>
      </w:pPr>
      <w:r>
        <w:rPr>
          <w:rFonts w:ascii="IRNazanin" w:hAnsi="IRNazanin" w:eastAsia="IRNazanin" w:cs="IRNazanin"/>
          <w:lang w:bidi="fa-IR"/>
          <w:color w:val="111111"/>
          <w:sz w:val="28"/>
          <w:szCs w:val="28"/>
          <w:rtl/>
        </w:rPr>
        <w:t xml:space="preserve">دیوان ابن هاني، ج 7، ص 548.</w:t>
      </w:r>
    </w:p>
    <w:p>
      <w:pPr>
        <w:pStyle w:val="Heading2"/>
      </w:pPr>
      <w:bookmarkStart w:id="1779" w:name="_Toc881"/>
      <w:r>
        <w:t>ابن هباریه ، محمّد بن محمّد 414 -</w:t>
      </w:r>
      <w:bookmarkEnd w:id="1779"/>
    </w:p>
    <w:p>
      <w:pPr>
        <w:pStyle w:val="BookText"/>
      </w:pPr>
      <w:r>
        <w:rPr>
          <w:rFonts w:ascii="IRNazanin" w:hAnsi="IRNazanin" w:eastAsia="IRNazanin" w:cs="IRNazanin"/>
          <w:lang w:bidi="fa-IR"/>
          <w:color w:val="111111"/>
          <w:sz w:val="28"/>
          <w:szCs w:val="28"/>
          <w:rtl/>
        </w:rPr>
        <w:t xml:space="preserve">509 ه-</w:t>
      </w:r>
    </w:p>
    <w:p>
      <w:pPr>
        <w:pStyle w:val="BookText"/>
      </w:pPr>
      <w:r>
        <w:rPr>
          <w:rFonts w:ascii="IRNazanin" w:hAnsi="IRNazanin" w:eastAsia="IRNazanin" w:cs="IRNazanin"/>
          <w:lang w:bidi="fa-IR"/>
          <w:color w:val="111111"/>
          <w:sz w:val="28"/>
          <w:szCs w:val="28"/>
          <w:rtl/>
        </w:rPr>
        <w:t xml:space="preserve">1 .الصادح والباغم و الحازم و العازم</w:t>
      </w:r>
    </w:p>
    <w:p>
      <w:pPr>
        <w:pStyle w:val="BookText"/>
      </w:pPr>
      <w:r>
        <w:rPr>
          <w:rFonts w:ascii="IRNazanin" w:hAnsi="IRNazanin" w:eastAsia="IRNazanin" w:cs="IRNazanin"/>
          <w:lang w:bidi="fa-IR"/>
          <w:color w:val="111111"/>
          <w:sz w:val="28"/>
          <w:szCs w:val="28"/>
          <w:rtl/>
        </w:rPr>
        <w:t xml:space="preserve">ج 10، ص 464 .</w:t>
      </w:r>
    </w:p>
    <w:p>
      <w:pPr>
        <w:pStyle w:val="BookText"/>
      </w:pPr>
      <w:r>
        <w:rPr>
          <w:rFonts w:ascii="Amiri" w:hAnsi="Amiri" w:eastAsia="Amiri" w:cs="Amiri"/>
          <w:lang w:bidi="ar-SA"/>
          <w:color w:val="111111"/>
          <w:sz w:val="28"/>
          <w:szCs w:val="28"/>
          <w:rtl/>
        </w:rPr>
        <w:t xml:space="preserve">2 .نتائج الفطنة في نظم كليلة ودمنة</w:t>
      </w:r>
    </w:p>
    <w:p>
      <w:pPr>
        <w:pStyle w:val="BookText"/>
      </w:pPr>
      <w:r>
        <w:rPr>
          <w:rFonts w:ascii="IRNazanin" w:hAnsi="IRNazanin" w:eastAsia="IRNazanin" w:cs="IRNazanin"/>
          <w:lang w:bidi="fa-IR"/>
          <w:color w:val="111111"/>
          <w:sz w:val="28"/>
          <w:szCs w:val="28"/>
          <w:rtl/>
        </w:rPr>
        <w:t xml:space="preserve">ج 16، ص 131.</w:t>
      </w:r>
    </w:p>
    <w:p>
      <w:pPr>
        <w:pStyle w:val="Heading2"/>
      </w:pPr>
      <w:bookmarkStart w:id="1780" w:name="_Toc882"/>
      <w:r>
        <w:t>ابن هبة الله ، سعيد بن هبة الله 436 -</w:t>
      </w:r>
      <w:bookmarkEnd w:id="1780"/>
    </w:p>
    <w:p>
      <w:pPr>
        <w:pStyle w:val="BookText"/>
      </w:pPr>
      <w:r>
        <w:rPr>
          <w:rFonts w:ascii="IRNazanin" w:hAnsi="IRNazanin" w:eastAsia="IRNazanin" w:cs="IRNazanin"/>
          <w:lang w:bidi="fa-IR"/>
          <w:color w:val="111111"/>
          <w:sz w:val="28"/>
          <w:szCs w:val="28"/>
          <w:rtl/>
        </w:rPr>
        <w:t xml:space="preserve">495؟ ه-</w:t>
      </w:r>
    </w:p>
    <w:p>
      <w:pPr>
        <w:pStyle w:val="BookText"/>
      </w:pPr>
      <w:r>
        <w:rPr>
          <w:rFonts w:ascii="Amiri" w:hAnsi="Amiri" w:eastAsia="Amiri" w:cs="Amiri"/>
          <w:lang w:bidi="ar-SA"/>
          <w:color w:val="111111"/>
          <w:sz w:val="28"/>
          <w:szCs w:val="28"/>
          <w:rtl/>
        </w:rPr>
        <w:t xml:space="preserve">1 .الحديقة المظفرية في النكت</w:t>
      </w:r>
    </w:p>
    <w:p>
      <w:pPr>
        <w:pStyle w:val="BookText"/>
      </w:pPr>
      <w:r>
        <w:rPr>
          <w:rFonts w:ascii="Amiri" w:hAnsi="Amiri" w:eastAsia="Amiri" w:cs="Amiri"/>
          <w:lang w:bidi="ar-SA"/>
          <w:color w:val="111111"/>
          <w:sz w:val="28"/>
          <w:szCs w:val="28"/>
          <w:rtl/>
        </w:rPr>
        <w:t xml:space="preserve">الطبية، ج6، ص 595.</w:t>
      </w:r>
    </w:p>
    <w:p>
      <w:pPr>
        <w:pStyle w:val="BookText"/>
      </w:pPr>
      <w:r>
        <w:rPr>
          <w:rFonts w:ascii="Amiri" w:hAnsi="Amiri" w:eastAsia="Amiri" w:cs="Amiri"/>
          <w:lang w:bidi="ar-SA"/>
          <w:color w:val="111111"/>
          <w:sz w:val="28"/>
          <w:szCs w:val="28"/>
          <w:rtl/>
        </w:rPr>
        <w:t xml:space="preserve">2 .الطب (كتاب في)، ج 10، ص 739.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المغني في تدبير الامراض و تعريف</w:t>
      </w:r>
    </w:p>
    <w:p>
      <w:pPr>
        <w:pStyle w:val="BookText"/>
      </w:pPr>
      <w:r>
        <w:rPr>
          <w:rFonts w:ascii="IRNazanin" w:hAnsi="IRNazanin" w:eastAsia="IRNazanin" w:cs="IRNazanin"/>
          <w:lang w:bidi="fa-IR"/>
          <w:color w:val="111111"/>
          <w:sz w:val="28"/>
          <w:szCs w:val="28"/>
          <w:rtl/>
        </w:rPr>
        <w:t xml:space="preserve">العلل و الاعراض، ج 15 ، ص 122.</w:t>
      </w:r>
    </w:p>
    <w:p>
      <w:pPr>
        <w:pStyle w:val="Heading2"/>
      </w:pPr>
      <w:bookmarkStart w:id="1781" w:name="_Toc883"/>
      <w:r>
        <w:t>ابن هبة الله ، علي بن ابي الحسن</w:t>
      </w:r>
      <w:bookmarkEnd w:id="1781"/>
    </w:p>
    <w:p>
      <w:pPr>
        <w:pStyle w:val="BookText"/>
      </w:pPr>
      <w:r>
        <w:rPr>
          <w:rFonts w:ascii="Amiri" w:hAnsi="Amiri" w:eastAsia="Amiri" w:cs="Amiri"/>
          <w:lang w:bidi="ar-SA"/>
          <w:color w:val="111111"/>
          <w:sz w:val="28"/>
          <w:szCs w:val="28"/>
          <w:rtl/>
        </w:rPr>
        <w:t xml:space="preserve">التجريد، ج3، ص683 .</w:t>
      </w:r>
    </w:p>
    <w:p>
      <w:pPr>
        <w:pStyle w:val="Heading2"/>
      </w:pPr>
      <w:bookmarkStart w:id="1782" w:name="_Toc884"/>
      <w:r>
        <w:t>ابن هبل ، علي بن احمد، 515 - 610 ه-</w:t>
      </w:r>
      <w:bookmarkEnd w:id="1782"/>
    </w:p>
    <w:p>
      <w:pPr>
        <w:pStyle w:val="BookText"/>
      </w:pPr>
      <w:r>
        <w:rPr>
          <w:rFonts w:ascii="Amiri" w:hAnsi="Amiri" w:eastAsia="Amiri" w:cs="Amiri"/>
          <w:lang w:bidi="ar-SA"/>
          <w:color w:val="111111"/>
          <w:sz w:val="28"/>
          <w:szCs w:val="28"/>
          <w:rtl/>
        </w:rPr>
        <w:t xml:space="preserve">كاشف الاسرار = المختارات في الطب</w:t>
      </w:r>
    </w:p>
    <w:p>
      <w:pPr>
        <w:pStyle w:val="BookText"/>
      </w:pPr>
      <w:r>
        <w:rPr>
          <w:rFonts w:ascii="IRNazanin" w:hAnsi="IRNazanin" w:eastAsia="IRNazanin" w:cs="IRNazanin"/>
          <w:lang w:bidi="fa-IR"/>
          <w:color w:val="111111"/>
          <w:sz w:val="28"/>
          <w:szCs w:val="28"/>
          <w:rtl/>
        </w:rPr>
        <w:t xml:space="preserve">ج 13، ص 3.</w:t>
      </w:r>
    </w:p>
    <w:p>
      <w:pPr>
        <w:pStyle w:val="Heading2"/>
      </w:pPr>
      <w:bookmarkStart w:id="1783" w:name="_Toc885"/>
      <w:r>
        <w:t>ابن هبيره ، يحيى بن محمد، 479-560ه-</w:t>
      </w:r>
      <w:bookmarkEnd w:id="1783"/>
    </w:p>
    <w:p>
      <w:pPr>
        <w:pStyle w:val="BookText"/>
      </w:pPr>
      <w:r>
        <w:rPr>
          <w:rFonts w:ascii="IRNazanin" w:hAnsi="IRNazanin" w:eastAsia="IRNazanin" w:cs="IRNazanin"/>
          <w:lang w:bidi="fa-IR"/>
          <w:color w:val="111111"/>
          <w:sz w:val="28"/>
          <w:szCs w:val="28"/>
          <w:rtl/>
        </w:rPr>
        <w:t xml:space="preserve">1 .الاشراف على مذاهب الاشراف -</w:t>
      </w:r>
    </w:p>
    <w:p>
      <w:pPr>
        <w:pStyle w:val="BookText"/>
      </w:pPr>
      <w:r>
        <w:rPr>
          <w:rFonts w:ascii="Amiri" w:hAnsi="Amiri" w:eastAsia="Amiri" w:cs="Amiri"/>
          <w:lang w:bidi="ar-SA"/>
          <w:color w:val="111111"/>
          <w:sz w:val="28"/>
          <w:szCs w:val="28"/>
          <w:rtl/>
        </w:rPr>
        <w:t xml:space="preserve">اجماع الائمة الاربعة و اختلافهم</w:t>
      </w:r>
    </w:p>
    <w:p>
      <w:pPr>
        <w:pStyle w:val="BookText"/>
      </w:pPr>
      <w:r>
        <w:rPr>
          <w:rFonts w:ascii="IRNazanin" w:hAnsi="IRNazanin" w:eastAsia="IRNazanin" w:cs="IRNazanin"/>
          <w:lang w:bidi="fa-IR"/>
          <w:color w:val="111111"/>
          <w:sz w:val="28"/>
          <w:szCs w:val="28"/>
          <w:rtl/>
        </w:rPr>
        <w:t xml:space="preserve">ج 2، ص 278.</w:t>
      </w:r>
    </w:p>
    <w:p>
      <w:pPr>
        <w:pStyle w:val="BookText"/>
      </w:pPr>
      <w:r>
        <w:rPr>
          <w:rFonts w:ascii="Amiri" w:hAnsi="Amiri" w:eastAsia="Amiri" w:cs="Amiri"/>
          <w:lang w:bidi="ar-SA"/>
          <w:color w:val="111111"/>
          <w:sz w:val="28"/>
          <w:szCs w:val="28"/>
          <w:rtl/>
        </w:rPr>
        <w:t xml:space="preserve">2 .الافصاح عن شرح معاني الصحاح</w:t>
      </w:r>
    </w:p>
    <w:p>
      <w:pPr>
        <w:pStyle w:val="BookText"/>
      </w:pPr>
      <w:r>
        <w:rPr>
          <w:rFonts w:ascii="IRNazanin" w:hAnsi="IRNazanin" w:eastAsia="IRNazanin" w:cs="IRNazanin"/>
          <w:lang w:bidi="fa-IR"/>
          <w:color w:val="111111"/>
          <w:sz w:val="28"/>
          <w:szCs w:val="28"/>
          <w:rtl/>
        </w:rPr>
        <w:t xml:space="preserve">ج 2، ص 595.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العروض، ج 11، ص 94 .</w:t>
      </w:r>
    </w:p>
    <w:p>
      <w:pPr>
        <w:pStyle w:val="Heading2"/>
      </w:pPr>
      <w:bookmarkStart w:id="1784" w:name="_Toc886"/>
      <w:r>
        <w:t>ابن هداد ، عبدالله بن هداد قرن 11 ه-</w:t>
      </w:r>
      <w:bookmarkEnd w:id="1784"/>
    </w:p>
    <w:p>
      <w:pPr>
        <w:pStyle w:val="BookText"/>
      </w:pPr>
      <w:r>
        <w:rPr>
          <w:rFonts w:ascii="Amiri" w:hAnsi="Amiri" w:eastAsia="Amiri" w:cs="Amiri"/>
          <w:lang w:bidi="ar-SA"/>
          <w:color w:val="111111"/>
          <w:sz w:val="28"/>
          <w:szCs w:val="28"/>
          <w:rtl/>
        </w:rPr>
        <w:t xml:space="preserve">بديع الميزان = شرح ميزان المنطق</w:t>
      </w:r>
    </w:p>
    <w:p>
      <w:pPr>
        <w:pStyle w:val="BookText"/>
      </w:pPr>
      <w:r>
        <w:rPr>
          <w:rFonts w:ascii="IRNazanin" w:hAnsi="IRNazanin" w:eastAsia="IRNazanin" w:cs="IRNazanin"/>
          <w:lang w:bidi="fa-IR"/>
          <w:color w:val="111111"/>
          <w:sz w:val="28"/>
          <w:szCs w:val="28"/>
          <w:rtl/>
        </w:rPr>
        <w:t xml:space="preserve">ج 3، ص 284.</w:t>
      </w:r>
    </w:p>
    <w:p>
      <w:pPr>
        <w:pStyle w:val="BookText"/>
      </w:pPr>
      <w:r>
        <w:rPr>
          <w:rFonts w:ascii="Amiri" w:hAnsi="Amiri" w:eastAsia="Amiri" w:cs="Amiri"/>
          <w:lang w:bidi="ar-SA"/>
          <w:color w:val="111111"/>
          <w:sz w:val="28"/>
          <w:szCs w:val="28"/>
          <w:rtl/>
        </w:rPr>
        <w:t xml:space="preserve">ابن هداية حسيني حسيني ، ابن هداية</w:t>
      </w:r>
    </w:p>
    <w:p>
      <w:pPr>
        <w:pStyle w:val="Heading2"/>
      </w:pPr>
      <w:bookmarkStart w:id="1785" w:name="_Toc887"/>
      <w:r>
        <w:t>ابن هذيل علي بن عبد الرحمن قرن 8 ه-</w:t>
      </w:r>
      <w:bookmarkEnd w:id="1785"/>
    </w:p>
    <w:p>
      <w:pPr>
        <w:pStyle w:val="BookText"/>
      </w:pPr>
      <w:r>
        <w:rPr>
          <w:rFonts w:ascii="Amiri" w:hAnsi="Amiri" w:eastAsia="Amiri" w:cs="Amiri"/>
          <w:lang w:bidi="ar-SA"/>
          <w:color w:val="111111"/>
          <w:sz w:val="28"/>
          <w:szCs w:val="28"/>
          <w:rtl/>
        </w:rPr>
        <w:t xml:space="preserve">فكاهات الاسمار و مدهنات الاخبار و</w:t>
      </w:r>
    </w:p>
    <w:p>
      <w:pPr>
        <w:pStyle w:val="BookText"/>
      </w:pPr>
      <w:r>
        <w:rPr>
          <w:rFonts w:ascii="IRNazanin" w:hAnsi="IRNazanin" w:eastAsia="IRNazanin" w:cs="IRNazanin"/>
          <w:lang w:bidi="fa-IR"/>
          <w:color w:val="111111"/>
          <w:sz w:val="28"/>
          <w:szCs w:val="28"/>
          <w:rtl/>
        </w:rPr>
        <w:t xml:space="preserve">الاشعار (منتخب)، ج12، ص 120.</w:t>
      </w:r>
    </w:p>
    <w:p>
      <w:pPr>
        <w:pStyle w:val="Heading2"/>
      </w:pPr>
      <w:bookmarkStart w:id="1786" w:name="_Toc888"/>
      <w:r>
        <w:t>ابن هرموش ، محمد</w:t>
      </w:r>
      <w:bookmarkEnd w:id="1786"/>
    </w:p>
    <w:p>
      <w:pPr>
        <w:pStyle w:val="BookText"/>
      </w:pPr>
      <w:r>
        <w:rPr>
          <w:rFonts w:ascii="Amiri" w:hAnsi="Amiri" w:eastAsia="Amiri" w:cs="Amiri"/>
          <w:lang w:bidi="ar-SA"/>
          <w:color w:val="111111"/>
          <w:sz w:val="28"/>
          <w:szCs w:val="28"/>
          <w:rtl/>
        </w:rPr>
        <w:t xml:space="preserve">قصيدة، ج 12، ص 638.</w:t>
      </w:r>
    </w:p>
    <w:p>
      <w:pPr>
        <w:pStyle w:val="Heading2"/>
      </w:pPr>
      <w:bookmarkStart w:id="1787" w:name="_Toc889"/>
      <w:r>
        <w:t>ابن هشام ، عبدالله بن يوسف، 708 -</w:t>
      </w:r>
      <w:bookmarkEnd w:id="1787"/>
    </w:p>
    <w:p>
      <w:pPr>
        <w:pStyle w:val="BookText"/>
      </w:pPr>
      <w:r>
        <w:rPr>
          <w:rFonts w:ascii="IRNazanin" w:hAnsi="IRNazanin" w:eastAsia="IRNazanin" w:cs="IRNazanin"/>
          <w:lang w:bidi="fa-IR"/>
          <w:color w:val="111111"/>
          <w:sz w:val="28"/>
          <w:szCs w:val="28"/>
          <w:rtl/>
        </w:rPr>
        <w:t xml:space="preserve">761 ه-</w:t>
      </w:r>
    </w:p>
    <w:p>
      <w:pPr>
        <w:pStyle w:val="BookText"/>
      </w:pPr>
      <w:r>
        <w:rPr>
          <w:rFonts w:ascii="IRNazanin" w:hAnsi="IRNazanin" w:eastAsia="IRNazanin" w:cs="IRNazanin"/>
          <w:lang w:bidi="fa-IR"/>
          <w:color w:val="111111"/>
          <w:sz w:val="28"/>
          <w:szCs w:val="28"/>
          <w:rtl/>
        </w:rPr>
        <w:t xml:space="preserve">1 .الاعراب عن قواعد الاعراب -</w:t>
      </w:r>
    </w:p>
    <w:p>
      <w:pPr>
        <w:pStyle w:val="BookText"/>
      </w:pPr>
      <w:r>
        <w:rPr>
          <w:rFonts w:ascii="IRNazanin" w:hAnsi="IRNazanin" w:eastAsia="IRNazanin" w:cs="IRNazanin"/>
          <w:lang w:bidi="fa-IR"/>
          <w:color w:val="111111"/>
          <w:sz w:val="28"/>
          <w:szCs w:val="28"/>
          <w:rtl/>
        </w:rPr>
        <w:t xml:space="preserve">قواعد الاعراب، ج 2، ص 537.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اعراب «فلان لا يملك درهما فضلا عن دينار (رسالة في) = المسائل السفرية في النحو، ج2، ص 543.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اعراب كلمات شائعة الاستعمال</w:t>
      </w:r>
    </w:p>
    <w:p>
      <w:pPr>
        <w:pStyle w:val="BookText"/>
      </w:pPr>
      <w:r>
        <w:rPr>
          <w:rFonts w:ascii="Amiri" w:hAnsi="Amiri" w:eastAsia="Amiri" w:cs="Amiri"/>
          <w:lang w:bidi="ar-SA"/>
          <w:color w:val="111111"/>
          <w:sz w:val="28"/>
          <w:szCs w:val="28"/>
          <w:rtl/>
        </w:rPr>
        <w:t xml:space="preserve">(رسالة في)، ج 2، ص 547.</w:t>
      </w:r>
    </w:p>
    <w:p>
      <w:pPr>
        <w:pStyle w:val="BookText"/>
      </w:pPr>
      <w:r>
        <w:rPr>
          <w:rFonts w:ascii="Amiri" w:hAnsi="Amiri" w:eastAsia="Amiri" w:cs="Amiri"/>
          <w:lang w:bidi="ar-SA"/>
          <w:color w:val="111111"/>
          <w:sz w:val="28"/>
          <w:szCs w:val="28"/>
          <w:rtl/>
        </w:rPr>
        <w:t xml:space="preserve">4 .اوضح المسالك إلى الفية ابن مالك التوضيح = شرح ألفيه، ج3، ص79.</w:t>
      </w:r>
    </w:p>
    <w:p>
      <w:pPr>
        <w:pStyle w:val="BookText"/>
      </w:pPr>
      <w:r>
        <w:rPr>
          <w:rFonts w:ascii="Amiri" w:hAnsi="Amiri" w:eastAsia="Amiri" w:cs="Amiri"/>
          <w:lang w:bidi="ar-SA"/>
          <w:color w:val="111111"/>
          <w:sz w:val="28"/>
          <w:szCs w:val="28"/>
          <w:rtl/>
        </w:rPr>
        <w:t xml:space="preserve">5 .التحفة السنية في شرح الهمزية</w:t>
      </w:r>
    </w:p>
    <w:p>
      <w:pPr>
        <w:pStyle w:val="BookText"/>
      </w:pPr>
      <w:r>
        <w:rPr>
          <w:rFonts w:ascii="IRNazanin" w:hAnsi="IRNazanin" w:eastAsia="IRNazanin" w:cs="IRNazanin"/>
          <w:lang w:bidi="fa-IR"/>
          <w:color w:val="111111"/>
          <w:sz w:val="28"/>
          <w:szCs w:val="28"/>
          <w:rtl/>
        </w:rPr>
        <w:t xml:space="preserve">ج 3، ص 852.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0" w:name="pg7742_69619"/>
    <w:bookmarkEnd w:id="130"/>
    <w:p>
      <w:pPr>
        <w:pStyle w:val="BookText"/>
      </w:pPr>
      <w:r>
        <w:rPr>
          <w:rFonts w:ascii="Amiri" w:hAnsi="Amiri" w:eastAsia="Amiri" w:cs="Amiri"/>
          <w:lang w:bidi="ar-SA"/>
          <w:color w:val="111111"/>
          <w:sz w:val="28"/>
          <w:szCs w:val="28"/>
          <w:rtl/>
        </w:rPr>
        <w:t xml:space="preserve">6 .تلخيص الشواهد و تلخيص الفوائد</w:t>
      </w:r>
    </w:p>
    <w:p>
      <w:pPr>
        <w:pStyle w:val="BookText"/>
      </w:pPr>
      <w:r>
        <w:rPr>
          <w:rFonts w:ascii="IRNazanin" w:hAnsi="IRNazanin" w:eastAsia="IRNazanin" w:cs="IRNazanin"/>
          <w:lang w:bidi="fa-IR"/>
          <w:color w:val="111111"/>
          <w:sz w:val="28"/>
          <w:szCs w:val="28"/>
          <w:rtl/>
        </w:rPr>
        <w:t xml:space="preserve">ج 4، ص 849.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الجامع الصغير في النحو، ج5،</w:t>
      </w:r>
    </w:p>
    <w:p>
      <w:pPr>
        <w:pStyle w:val="BookText"/>
      </w:pPr>
      <w:r>
        <w:rPr>
          <w:rFonts w:ascii="IRNazanin" w:hAnsi="IRNazanin" w:eastAsia="IRNazanin" w:cs="IRNazanin"/>
          <w:lang w:bidi="fa-IR"/>
          <w:color w:val="111111"/>
          <w:sz w:val="28"/>
          <w:szCs w:val="28"/>
          <w:rtl/>
        </w:rPr>
        <w:t xml:space="preserve">ص 297 .</w:t>
      </w:r>
    </w:p>
    <w:p>
      <w:pPr>
        <w:pStyle w:val="BookText"/>
      </w:pPr>
      <w:r>
        <w:rPr>
          <w:rFonts w:ascii="Amiri" w:hAnsi="Amiri" w:eastAsia="Amiri" w:cs="Amiri"/>
          <w:lang w:bidi="ar-SA"/>
          <w:color w:val="111111"/>
          <w:sz w:val="28"/>
          <w:szCs w:val="28"/>
          <w:rtl/>
        </w:rPr>
        <w:t xml:space="preserve">8 .شذور الذهب في معرفة كلام</w:t>
      </w:r>
    </w:p>
    <w:p>
      <w:pPr>
        <w:pStyle w:val="BookText"/>
      </w:pPr>
      <w:r>
        <w:rPr>
          <w:rFonts w:ascii="IRNazanin" w:hAnsi="IRNazanin" w:eastAsia="IRNazanin" w:cs="IRNazanin"/>
          <w:lang w:bidi="fa-IR"/>
          <w:color w:val="111111"/>
          <w:sz w:val="28"/>
          <w:szCs w:val="28"/>
          <w:rtl/>
        </w:rPr>
        <w:t xml:space="preserve">العرب، ج 9، ص 90.</w:t>
      </w:r>
    </w:p>
    <w:p>
      <w:pPr>
        <w:pStyle w:val="BookText"/>
      </w:pPr>
      <w:r>
        <w:rPr>
          <w:rFonts w:ascii="Amiri" w:hAnsi="Amiri" w:eastAsia="Amiri" w:cs="Amiri"/>
          <w:lang w:bidi="ar-SA"/>
          <w:color w:val="111111"/>
          <w:sz w:val="28"/>
          <w:szCs w:val="28"/>
          <w:rtl/>
        </w:rPr>
        <w:t xml:space="preserve">9 .شرح القصيدة الهمزية = التحفة</w:t>
      </w:r>
    </w:p>
    <w:p>
      <w:pPr>
        <w:pStyle w:val="BookText"/>
      </w:pPr>
      <w:r>
        <w:rPr>
          <w:rFonts w:ascii="Amiri" w:hAnsi="Amiri" w:eastAsia="Amiri" w:cs="Amiri"/>
          <w:lang w:bidi="ar-SA"/>
          <w:color w:val="111111"/>
          <w:sz w:val="28"/>
          <w:szCs w:val="28"/>
          <w:rtl/>
        </w:rPr>
        <w:t xml:space="preserve">السنية، ج 9، ص 903.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شذور الذهب في معرفة كلام</w:t>
      </w:r>
    </w:p>
    <w:p>
      <w:pPr>
        <w:pStyle w:val="BookText"/>
      </w:pPr>
      <w:r>
        <w:rPr>
          <w:rFonts w:ascii="IRNazanin" w:hAnsi="IRNazanin" w:eastAsia="IRNazanin" w:cs="IRNazanin"/>
          <w:lang w:bidi="fa-IR"/>
          <w:color w:val="111111"/>
          <w:sz w:val="28"/>
          <w:szCs w:val="28"/>
          <w:rtl/>
        </w:rPr>
        <w:t xml:space="preserve">العرب، ج 9، ص 618.</w:t>
      </w:r>
    </w:p>
    <w:p>
      <w:pPr>
        <w:pStyle w:val="BookText"/>
      </w:pPr>
      <w:r>
        <w:rPr>
          <w:rFonts w:ascii="Amiri" w:hAnsi="Amiri" w:eastAsia="Amiri" w:cs="Amiri"/>
          <w:lang w:bidi="ar-SA"/>
          <w:color w:val="111111"/>
          <w:sz w:val="28"/>
          <w:szCs w:val="28"/>
          <w:rtl/>
        </w:rPr>
        <w:t xml:space="preserve">11 .شرح قصيدة البردة، ج 9، ص 846.</w:t>
      </w:r>
    </w:p>
    <w:p>
      <w:pPr>
        <w:pStyle w:val="BookText"/>
      </w:pPr>
      <w:r>
        <w:rPr>
          <w:rFonts w:ascii="Amiri" w:hAnsi="Amiri" w:eastAsia="Amiri" w:cs="Amiri"/>
          <w:lang w:bidi="ar-SA"/>
          <w:color w:val="111111"/>
          <w:sz w:val="28"/>
          <w:szCs w:val="28"/>
          <w:rtl/>
        </w:rPr>
        <w:t xml:space="preserve">12 .شرح قصيدة بانت سعاد = شرح قصيدة كعب بن زهير ج 9، ص 837.</w:t>
      </w:r>
    </w:p>
    <w:p>
      <w:pPr>
        <w:pStyle w:val="BookText"/>
      </w:pPr>
      <w:r>
        <w:rPr>
          <w:rFonts w:ascii="IRNazanin" w:hAnsi="IRNazanin" w:eastAsia="IRNazanin" w:cs="IRNazanin"/>
          <w:lang w:bidi="fa-IR"/>
          <w:color w:val="111111"/>
          <w:sz w:val="28"/>
          <w:szCs w:val="28"/>
          <w:rtl/>
        </w:rPr>
        <w:t xml:space="preserve">13 .شرح قطر الندى وبل الصدى</w:t>
      </w:r>
    </w:p>
    <w:p>
      <w:pPr>
        <w:pStyle w:val="BookText"/>
      </w:pPr>
      <w:r>
        <w:rPr>
          <w:rFonts w:ascii="IRNazanin" w:hAnsi="IRNazanin" w:eastAsia="IRNazanin" w:cs="IRNazanin"/>
          <w:lang w:bidi="fa-IR"/>
          <w:color w:val="111111"/>
          <w:sz w:val="28"/>
          <w:szCs w:val="28"/>
          <w:rtl/>
        </w:rPr>
        <w:t xml:space="preserve">ج 10، ص1.</w:t>
      </w:r>
    </w:p>
    <w:p>
      <w:pPr>
        <w:pStyle w:val="BookText"/>
      </w:pPr>
      <w:r>
        <w:rPr>
          <w:rFonts w:ascii="IRNazanin" w:hAnsi="IRNazanin" w:eastAsia="IRNazanin" w:cs="IRNazanin"/>
          <w:lang w:bidi="fa-IR"/>
          <w:color w:val="111111"/>
          <w:sz w:val="28"/>
          <w:szCs w:val="28"/>
          <w:rtl/>
        </w:rPr>
        <w:t xml:space="preserve">14 . شرح قواعد الاعراب، ج 10، ص21.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القصد المسد في كلام نثر الدر</w:t>
      </w:r>
    </w:p>
    <w:p>
      <w:pPr>
        <w:pStyle w:val="BookText"/>
      </w:pPr>
      <w:r>
        <w:rPr>
          <w:rFonts w:ascii="IRNazanin" w:hAnsi="IRNazanin" w:eastAsia="IRNazanin" w:cs="IRNazanin"/>
          <w:lang w:bidi="fa-IR"/>
          <w:color w:val="111111"/>
          <w:sz w:val="28"/>
          <w:szCs w:val="28"/>
          <w:rtl/>
        </w:rPr>
        <w:t xml:space="preserve">ج 12، ص 620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قطر الندى وبل الصدى، ج 12،</w:t>
      </w:r>
    </w:p>
    <w:p>
      <w:pPr>
        <w:pStyle w:val="BookText"/>
      </w:pPr>
      <w:r>
        <w:rPr>
          <w:rFonts w:ascii="IRNazanin" w:hAnsi="IRNazanin" w:eastAsia="IRNazanin" w:cs="IRNazanin"/>
          <w:lang w:bidi="fa-IR"/>
          <w:color w:val="111111"/>
          <w:sz w:val="28"/>
          <w:szCs w:val="28"/>
          <w:rtl/>
        </w:rPr>
        <w:t xml:space="preserve">ص 748 .</w:t>
      </w:r>
    </w:p>
    <w:p>
      <w:pPr>
        <w:pStyle w:val="BookText"/>
      </w:pPr>
      <w:r>
        <w:rPr>
          <w:rFonts w:ascii="Amiri" w:hAnsi="Amiri" w:eastAsia="Amiri" w:cs="Amiri"/>
          <w:lang w:bidi="ar-SA"/>
          <w:color w:val="111111"/>
          <w:sz w:val="28"/>
          <w:szCs w:val="28"/>
          <w:rtl/>
        </w:rPr>
        <w:t xml:space="preserve">17 .مسالة اعتراض الشرط على الشرط 861 ه-</w:t>
      </w:r>
    </w:p>
    <w:p>
      <w:pPr>
        <w:pStyle w:val="BookText"/>
      </w:pPr>
      <w:r>
        <w:rPr>
          <w:rFonts w:ascii="IRNazanin" w:hAnsi="IRNazanin" w:eastAsia="IRNazanin" w:cs="IRNazanin"/>
          <w:lang w:bidi="fa-IR"/>
          <w:color w:val="111111"/>
          <w:sz w:val="28"/>
          <w:szCs w:val="28"/>
          <w:rtl/>
        </w:rPr>
        <w:t xml:space="preserve">ج 14، ص 536.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مغني اللبيب عن كتب الاعاريب</w:t>
      </w:r>
    </w:p>
    <w:p>
      <w:pPr>
        <w:pStyle w:val="BookText"/>
      </w:pPr>
      <w:r>
        <w:rPr>
          <w:rFonts w:ascii="IRNazanin" w:hAnsi="IRNazanin" w:eastAsia="IRNazanin" w:cs="IRNazanin"/>
          <w:lang w:bidi="fa-IR"/>
          <w:color w:val="111111"/>
          <w:sz w:val="28"/>
          <w:szCs w:val="28"/>
          <w:rtl/>
        </w:rPr>
        <w:t xml:space="preserve">ج 15 ، ص 129.</w:t>
      </w:r>
    </w:p>
    <w:p>
      <w:pPr>
        <w:pStyle w:val="BookText"/>
      </w:pPr>
      <w:r>
        <w:rPr>
          <w:rFonts w:ascii="IRNazanin" w:hAnsi="IRNazanin" w:eastAsia="IRNazanin" w:cs="IRNazanin"/>
          <w:lang w:bidi="fa-IR"/>
          <w:color w:val="111111"/>
          <w:sz w:val="28"/>
          <w:szCs w:val="28"/>
          <w:rtl/>
        </w:rPr>
        <w:t xml:space="preserve">19.موقد الأذهان و موقظ الوسنان</w:t>
      </w:r>
    </w:p>
    <w:p>
      <w:pPr>
        <w:pStyle w:val="BookText"/>
      </w:pPr>
      <w:r>
        <w:rPr>
          <w:rFonts w:ascii="IRNazanin" w:hAnsi="IRNazanin" w:eastAsia="IRNazanin" w:cs="IRNazanin"/>
          <w:lang w:bidi="fa-IR"/>
          <w:color w:val="111111"/>
          <w:sz w:val="28"/>
          <w:szCs w:val="28"/>
          <w:rtl/>
        </w:rPr>
        <w:t xml:space="preserve">ج 16، ص 43 .</w:t>
      </w:r>
    </w:p>
    <w:p>
      <w:pPr>
        <w:pStyle w:val="Heading2"/>
      </w:pPr>
      <w:bookmarkStart w:id="1788" w:name="_Toc890"/>
      <w:r>
        <w:t>ابن هشام عبدالملك بن هشام -213ه-</w:t>
      </w:r>
      <w:bookmarkEnd w:id="1788"/>
    </w:p>
    <w:p>
      <w:pPr>
        <w:pStyle w:val="BookText"/>
      </w:pPr>
      <w:r>
        <w:rPr>
          <w:rFonts w:ascii="Amiri" w:hAnsi="Amiri" w:eastAsia="Amiri" w:cs="Amiri"/>
          <w:lang w:bidi="ar-SA"/>
          <w:color w:val="111111"/>
          <w:sz w:val="28"/>
          <w:szCs w:val="28"/>
          <w:rtl/>
        </w:rPr>
        <w:t xml:space="preserve">السيرة النبوية = تهذيب سيرة ابن</w:t>
      </w:r>
    </w:p>
    <w:p>
      <w:pPr>
        <w:pStyle w:val="BookText"/>
      </w:pPr>
      <w:r>
        <w:rPr>
          <w:rFonts w:ascii="IRNazanin" w:hAnsi="IRNazanin" w:eastAsia="IRNazanin" w:cs="IRNazanin"/>
          <w:lang w:bidi="fa-IR"/>
          <w:color w:val="111111"/>
          <w:sz w:val="28"/>
          <w:szCs w:val="28"/>
          <w:rtl/>
        </w:rPr>
        <w:t xml:space="preserve">اسحاق، ج9، ص21</w:t>
      </w:r>
    </w:p>
    <w:p>
      <w:pPr>
        <w:pStyle w:val="BookText"/>
      </w:pPr>
      <w:r>
        <w:rPr>
          <w:rFonts w:ascii="Amiri" w:hAnsi="Amiri" w:eastAsia="Amiri" w:cs="Amiri"/>
          <w:lang w:bidi="ar-SA"/>
          <w:color w:val="111111"/>
          <w:sz w:val="28"/>
          <w:szCs w:val="28"/>
          <w:rtl/>
        </w:rPr>
        <w:t xml:space="preserve">ابن هشام، محمّد بن احمد- الخمي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1789" w:name="_Toc891"/>
      <w:r>
        <w:t>ابن هلال ربعي ، احمد بن علي - 795</w:t>
      </w:r>
      <w:bookmarkEnd w:id="1789"/>
    </w:p>
    <w:p>
      <w:pPr>
        <w:pStyle w:val="BookText"/>
      </w:pPr>
      <w:r>
        <w:rPr>
          <w:rFonts w:ascii="Amiri" w:hAnsi="Amiri" w:eastAsia="Amiri" w:cs="Amiri"/>
          <w:lang w:bidi="ar-SA"/>
          <w:color w:val="111111"/>
          <w:sz w:val="28"/>
          <w:szCs w:val="28"/>
          <w:rtl/>
        </w:rPr>
        <w:t xml:space="preserve">الفتح القدسي في تفسير آية الكرسي</w:t>
      </w:r>
    </w:p>
    <w:p>
      <w:pPr>
        <w:pStyle w:val="BookText"/>
      </w:pPr>
      <w:r>
        <w:rPr>
          <w:rFonts w:ascii="IRNazanin" w:hAnsi="IRNazanin" w:eastAsia="IRNazanin" w:cs="IRNazanin"/>
          <w:lang w:bidi="fa-IR"/>
          <w:color w:val="111111"/>
          <w:sz w:val="28"/>
          <w:szCs w:val="28"/>
          <w:rtl/>
        </w:rPr>
        <w:t xml:space="preserve">ج 11، ص 665.</w:t>
      </w:r>
    </w:p>
    <w:p>
      <w:pPr>
        <w:pStyle w:val="BookText"/>
      </w:pPr>
      <w:r>
        <w:rPr>
          <w:rFonts w:ascii="Amiri" w:hAnsi="Amiri" w:eastAsia="Amiri" w:cs="Amiri"/>
          <w:lang w:bidi="ar-SA"/>
          <w:color w:val="111111"/>
          <w:sz w:val="28"/>
          <w:szCs w:val="28"/>
          <w:rtl/>
        </w:rPr>
        <w:t xml:space="preserve">ابن هلال ، علي بن هلال -ابن بواب ، علي بن هلال</w:t>
      </w:r>
    </w:p>
    <w:p>
      <w:pPr>
        <w:pStyle w:val="Heading2"/>
      </w:pPr>
      <w:bookmarkStart w:id="1790" w:name="_Toc892"/>
      <w:r>
        <w:t>ابن هلال ، محمّد بن علي - 933 ه-</w:t>
      </w:r>
      <w:bookmarkEnd w:id="1790"/>
    </w:p>
    <w:p>
      <w:pPr>
        <w:pStyle w:val="BookText"/>
      </w:pPr>
      <w:r>
        <w:rPr>
          <w:rFonts w:ascii="IRNazanin" w:hAnsi="IRNazanin" w:eastAsia="IRNazanin" w:cs="IRNazanin"/>
          <w:lang w:bidi="fa-IR"/>
          <w:color w:val="111111"/>
          <w:sz w:val="28"/>
          <w:szCs w:val="28"/>
          <w:rtl/>
        </w:rPr>
        <w:t xml:space="preserve">1 .الاصباح على مراح الارواح، ج2،</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Amiri" w:hAnsi="Amiri" w:eastAsia="Amiri" w:cs="Amiri"/>
          <w:lang w:bidi="ar-SA"/>
          <w:color w:val="111111"/>
          <w:sz w:val="28"/>
          <w:szCs w:val="28"/>
          <w:rtl/>
        </w:rPr>
        <w:t xml:space="preserve">2 .شرح العوامل المائة، ج 9، ص 760.</w:t>
      </w:r>
    </w:p>
    <w:p>
      <w:pPr>
        <w:pStyle w:val="BookText"/>
      </w:pPr>
      <w:r>
        <w:rPr>
          <w:rFonts w:ascii="Amiri" w:hAnsi="Amiri" w:eastAsia="Amiri" w:cs="Amiri"/>
          <w:lang w:bidi="ar-SA"/>
          <w:color w:val="111111"/>
          <w:sz w:val="28"/>
          <w:szCs w:val="28"/>
          <w:rtl/>
        </w:rPr>
        <w:t xml:space="preserve">ابن همام ، محمّد بن ابي شريف- ابن ابي</w:t>
      </w:r>
    </w:p>
    <w:p>
      <w:pPr>
        <w:pStyle w:val="BookText"/>
      </w:pPr>
      <w:r>
        <w:rPr>
          <w:rFonts w:ascii="Amiri" w:hAnsi="Amiri" w:eastAsia="Amiri" w:cs="Amiri"/>
          <w:lang w:bidi="ar-SA"/>
          <w:color w:val="111111"/>
          <w:sz w:val="28"/>
          <w:szCs w:val="28"/>
          <w:rtl/>
        </w:rPr>
        <w:t xml:space="preserve">شريف ، محمّد بن محمّد</w:t>
      </w:r>
    </w:p>
    <w:p>
      <w:pPr>
        <w:pStyle w:val="Heading2"/>
      </w:pPr>
      <w:bookmarkStart w:id="1791" w:name="_Toc893"/>
      <w:r>
        <w:t>ابن همام، محمّد بن عبدالواحد 790</w:t>
      </w:r>
      <w:bookmarkEnd w:id="1791"/>
    </w:p>
    <w:p>
      <w:pPr>
        <w:pStyle w:val="BookText"/>
      </w:pPr>
      <w:r>
        <w:rPr>
          <w:rFonts w:ascii="Amiri" w:hAnsi="Amiri" w:eastAsia="Amiri" w:cs="Amiri"/>
          <w:lang w:bidi="ar-SA"/>
          <w:color w:val="111111"/>
          <w:sz w:val="28"/>
          <w:szCs w:val="28"/>
          <w:rtl/>
        </w:rPr>
        <w:t xml:space="preserve">1 .اعراب الحديث كلمتان خفيفتان</w:t>
      </w:r>
    </w:p>
    <w:p>
      <w:pPr>
        <w:pStyle w:val="BookText"/>
      </w:pPr>
      <w:r>
        <w:rPr>
          <w:rFonts w:ascii="IRNazanin" w:hAnsi="IRNazanin" w:eastAsia="IRNazanin" w:cs="IRNazanin"/>
          <w:lang w:bidi="fa-IR"/>
          <w:color w:val="111111"/>
          <w:sz w:val="28"/>
          <w:szCs w:val="28"/>
          <w:rtl/>
        </w:rPr>
        <w:t xml:space="preserve">على اللسان»، ج 2، ص 532.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اعراب قوله (ع) «سبحان الله و بحمده سبحان الله العظيم» (رسالة</w:t>
      </w:r>
    </w:p>
    <w:p>
      <w:pPr>
        <w:pStyle w:val="BookText"/>
      </w:pPr>
      <w:r>
        <w:rPr>
          <w:rFonts w:ascii="Amiri" w:hAnsi="Amiri" w:eastAsia="Amiri" w:cs="Amiri"/>
          <w:lang w:bidi="ar-SA"/>
          <w:color w:val="111111"/>
          <w:sz w:val="28"/>
          <w:szCs w:val="28"/>
          <w:rtl/>
        </w:rPr>
        <w:t xml:space="preserve">في)، ج 2، ص 546 .</w:t>
      </w:r>
    </w:p>
    <w:p>
      <w:pPr>
        <w:pStyle w:val="BookText"/>
      </w:pPr>
      <w:r>
        <w:rPr>
          <w:rFonts w:ascii="Amiri" w:hAnsi="Amiri" w:eastAsia="Amiri" w:cs="Amiri"/>
          <w:lang w:bidi="ar-SA"/>
          <w:color w:val="111111"/>
          <w:sz w:val="28"/>
          <w:szCs w:val="28"/>
          <w:rtl/>
        </w:rPr>
        <w:t xml:space="preserve">3 .البدر المنير في الكشف عن مباحث</w:t>
      </w:r>
    </w:p>
    <w:p>
      <w:pPr>
        <w:pStyle w:val="BookText"/>
      </w:pPr>
      <w:r>
        <w:rPr>
          <w:rFonts w:ascii="Amiri" w:hAnsi="Amiri" w:eastAsia="Amiri" w:cs="Amiri"/>
          <w:lang w:bidi="ar-SA"/>
          <w:color w:val="111111"/>
          <w:sz w:val="28"/>
          <w:szCs w:val="28"/>
          <w:rtl/>
        </w:rPr>
        <w:t xml:space="preserve">فتح القدير، ج 3، ص 267.</w:t>
      </w:r>
    </w:p>
    <w:p>
      <w:pPr>
        <w:pStyle w:val="BookText"/>
      </w:pPr>
      <w:r>
        <w:rPr>
          <w:rFonts w:ascii="Amiri" w:hAnsi="Amiri" w:eastAsia="Amiri" w:cs="Amiri"/>
          <w:lang w:bidi="ar-SA"/>
          <w:color w:val="111111"/>
          <w:sz w:val="28"/>
          <w:szCs w:val="28"/>
          <w:rtl/>
        </w:rPr>
        <w:t xml:space="preserve">4 .زيارة قبر النبي، ج8، ص 652.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فتح القدير للعاجز الفقير = شرح</w:t>
      </w:r>
    </w:p>
    <w:p>
      <w:pPr>
        <w:pStyle w:val="BookText"/>
      </w:pPr>
      <w:r>
        <w:rPr>
          <w:rFonts w:ascii="Amiri" w:hAnsi="Amiri" w:eastAsia="Amiri" w:cs="Amiri"/>
          <w:lang w:bidi="ar-SA"/>
          <w:color w:val="111111"/>
          <w:sz w:val="28"/>
          <w:szCs w:val="28"/>
          <w:rtl/>
        </w:rPr>
        <w:t xml:space="preserve">الهداية، ج 11، ص 666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1" w:name="pg7742_69621"/>
    <w:bookmarkEnd w:id="131"/>
    <w:p>
      <w:pPr>
        <w:pStyle w:val="Heading2"/>
      </w:pPr>
      <w:bookmarkStart w:id="1792" w:name="_Toc894"/>
      <w:r>
        <w:t>ابن همام، محمّد بن همام - 336 ه-</w:t>
      </w:r>
      <w:bookmarkEnd w:id="1792"/>
    </w:p>
    <w:p>
      <w:pPr>
        <w:pStyle w:val="BookText"/>
      </w:pPr>
      <w:r>
        <w:rPr>
          <w:rFonts w:ascii="Amiri" w:hAnsi="Amiri" w:eastAsia="Amiri" w:cs="Amiri"/>
          <w:lang w:bidi="ar-SA"/>
          <w:color w:val="111111"/>
          <w:sz w:val="28"/>
          <w:szCs w:val="28"/>
          <w:rtl/>
        </w:rPr>
        <w:t xml:space="preserve">التمحيص في بيان موجبات تمحيص</w:t>
      </w:r>
    </w:p>
    <w:p>
      <w:pPr>
        <w:pStyle w:val="BookText"/>
      </w:pPr>
      <w:r>
        <w:rPr>
          <w:rFonts w:ascii="Amiri" w:hAnsi="Amiri" w:eastAsia="Amiri" w:cs="Amiri"/>
          <w:lang w:bidi="ar-SA"/>
          <w:color w:val="111111"/>
          <w:sz w:val="28"/>
          <w:szCs w:val="28"/>
          <w:rtl/>
        </w:rPr>
        <w:t xml:space="preserve">ذنوب المؤمنين، ج4، ص879.</w:t>
      </w:r>
    </w:p>
    <w:p>
      <w:pPr>
        <w:pStyle w:val="Heading2"/>
      </w:pPr>
      <w:bookmarkStart w:id="1793" w:name="_Toc895"/>
      <w:r>
        <w:t>ابن هندو ، علي بن حسين - 420 ؟ ه-</w:t>
      </w:r>
      <w:bookmarkEnd w:id="1793"/>
    </w:p>
    <w:p>
      <w:pPr>
        <w:pStyle w:val="BookText"/>
      </w:pPr>
      <w:r>
        <w:rPr>
          <w:rFonts w:ascii="IRNazanin" w:hAnsi="IRNazanin" w:eastAsia="IRNazanin" w:cs="IRNazanin"/>
          <w:lang w:bidi="fa-IR"/>
          <w:color w:val="111111"/>
          <w:sz w:val="28"/>
          <w:szCs w:val="28"/>
          <w:rtl/>
        </w:rPr>
        <w:t xml:space="preserve">مفتاح الطب (مختصر)، ج 15،</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Amiri" w:hAnsi="Amiri" w:eastAsia="Amiri" w:cs="Amiri"/>
          <w:lang w:bidi="ar-SA"/>
          <w:color w:val="111111"/>
          <w:sz w:val="28"/>
          <w:szCs w:val="28"/>
          <w:rtl/>
        </w:rPr>
        <w:t xml:space="preserve">ابن هيثم اصفهاني ، محمّد بن</w:t>
      </w:r>
    </w:p>
    <w:p>
      <w:pPr>
        <w:pStyle w:val="BookText"/>
      </w:pPr>
      <w:r>
        <w:rPr>
          <w:rFonts w:ascii="IRNazanin" w:hAnsi="IRNazanin" w:eastAsia="IRNazanin" w:cs="IRNazanin"/>
          <w:lang w:bidi="fa-IR"/>
          <w:color w:val="111111"/>
          <w:sz w:val="28"/>
          <w:szCs w:val="28"/>
          <w:rtl/>
        </w:rPr>
        <w:t xml:space="preserve">اسحاق ابن منده ، محمّد بن اسحاق</w:t>
      </w:r>
    </w:p>
    <w:p>
      <w:pPr>
        <w:pStyle w:val="Heading2"/>
      </w:pPr>
      <w:bookmarkStart w:id="1794" w:name="_Toc896"/>
      <w:r>
        <w:t>ابن هيثم ، محمّد بن حسن، 354-430ه-</w:t>
      </w:r>
      <w:bookmarkEnd w:id="17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الفلك (مجموع في)، ج 12،</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Amiri" w:hAnsi="Amiri" w:eastAsia="Amiri" w:cs="Amiri"/>
          <w:lang w:bidi="ar-SA"/>
          <w:color w:val="111111"/>
          <w:sz w:val="28"/>
          <w:szCs w:val="28"/>
          <w:rtl/>
        </w:rPr>
        <w:t xml:space="preserve">2 .القوس والهالة ( مقالة في)، ج 12،</w:t>
      </w:r>
    </w:p>
    <w:p>
      <w:pPr>
        <w:pStyle w:val="BookText"/>
      </w:pPr>
      <w:r>
        <w:rPr>
          <w:rFonts w:ascii="IRNazanin" w:hAnsi="IRNazanin" w:eastAsia="IRNazanin" w:cs="IRNazanin"/>
          <w:lang w:bidi="fa-IR"/>
          <w:color w:val="111111"/>
          <w:sz w:val="28"/>
          <w:szCs w:val="28"/>
          <w:rtl/>
        </w:rPr>
        <w:t xml:space="preserve">ص 835.</w:t>
      </w:r>
    </w:p>
    <w:p>
      <w:pPr>
        <w:pStyle w:val="Heading2"/>
      </w:pPr>
      <w:bookmarkStart w:id="1795" w:name="_Toc897"/>
      <w:r>
        <w:t>ابن واصل ، محمّد بن سالم، 604-697 ه-</w:t>
      </w:r>
      <w:bookmarkEnd w:id="1795"/>
    </w:p>
    <w:p>
      <w:pPr>
        <w:pStyle w:val="BookText"/>
      </w:pPr>
      <w:r>
        <w:rPr>
          <w:rFonts w:ascii="Amiri" w:hAnsi="Amiri" w:eastAsia="Amiri" w:cs="Amiri"/>
          <w:lang w:bidi="ar-SA"/>
          <w:color w:val="111111"/>
          <w:sz w:val="28"/>
          <w:szCs w:val="28"/>
          <w:rtl/>
        </w:rPr>
        <w:t xml:space="preserve">مختصر الأغاني = تجريد الأغاني من ذكر المثالث والمثاني، ج 14، ص 174.</w:t>
      </w:r>
    </w:p>
    <w:p>
      <w:pPr>
        <w:pStyle w:val="BookText"/>
      </w:pPr>
      <w:r>
        <w:rPr>
          <w:rFonts w:ascii="Amiri" w:hAnsi="Amiri" w:eastAsia="Amiri" w:cs="Amiri"/>
          <w:lang w:bidi="ar-SA"/>
          <w:color w:val="111111"/>
          <w:sz w:val="28"/>
          <w:szCs w:val="28"/>
          <w:rtl/>
        </w:rPr>
        <w:t xml:space="preserve">ابن واضح يعقوبي يعقوبي ، احمد بن</w:t>
      </w:r>
    </w:p>
    <w:p>
      <w:pPr>
        <w:pStyle w:val="BookText"/>
      </w:pPr>
      <w:r>
        <w:rPr>
          <w:rFonts w:ascii="IRNazanin" w:hAnsi="IRNazanin" w:eastAsia="IRNazanin" w:cs="IRNazanin"/>
          <w:lang w:bidi="fa-IR"/>
          <w:color w:val="111111"/>
          <w:sz w:val="28"/>
          <w:szCs w:val="28"/>
          <w:rtl/>
        </w:rPr>
        <w:t xml:space="preserve">اسحاق</w:t>
      </w:r>
    </w:p>
    <w:p>
      <w:pPr>
        <w:pStyle w:val="Heading2"/>
      </w:pPr>
      <w:bookmarkStart w:id="1796" w:name="_Toc898"/>
      <w:r>
        <w:t>ابن وتار طرابلسي ، درويش بن مصطفى</w:t>
      </w:r>
      <w:bookmarkEnd w:id="1796"/>
    </w:p>
    <w:p>
      <w:pPr>
        <w:pStyle w:val="BookText"/>
      </w:pPr>
      <w:r>
        <w:rPr>
          <w:rFonts w:ascii="Amiri" w:hAnsi="Amiri" w:eastAsia="Amiri" w:cs="Amiri"/>
          <w:lang w:bidi="ar-SA"/>
          <w:color w:val="111111"/>
          <w:sz w:val="28"/>
          <w:szCs w:val="28"/>
          <w:rtl/>
        </w:rPr>
        <w:t xml:space="preserve">تخميس قصيدة ابن الفارض الفائية</w:t>
      </w:r>
    </w:p>
    <w:p>
      <w:pPr>
        <w:pStyle w:val="BookText"/>
      </w:pPr>
      <w:r>
        <w:rPr>
          <w:rFonts w:ascii="IRNazanin" w:hAnsi="IRNazanin" w:eastAsia="IRNazanin" w:cs="IRNazanin"/>
          <w:lang w:bidi="fa-IR"/>
          <w:color w:val="111111"/>
          <w:sz w:val="28"/>
          <w:szCs w:val="28"/>
          <w:rtl/>
        </w:rPr>
        <w:t xml:space="preserve">ج 4، ص 113.</w:t>
      </w:r>
    </w:p>
    <w:p>
      <w:pPr>
        <w:pStyle w:val="Heading2"/>
      </w:pPr>
      <w:bookmarkStart w:id="1797" w:name="_Toc899"/>
      <w:r>
        <w:t>ابن وثیق اندلسي ، برهان الدين</w:t>
      </w:r>
      <w:bookmarkEnd w:id="1797"/>
    </w:p>
    <w:p>
      <w:pPr>
        <w:pStyle w:val="BookText"/>
      </w:pPr>
      <w:r>
        <w:rPr>
          <w:rFonts w:ascii="Amiri" w:hAnsi="Amiri" w:eastAsia="Amiri" w:cs="Amiri"/>
          <w:lang w:bidi="ar-SA"/>
          <w:color w:val="111111"/>
          <w:sz w:val="28"/>
          <w:szCs w:val="28"/>
          <w:rtl/>
        </w:rPr>
        <w:t xml:space="preserve">الدر الموصوف في مخارج الحروف</w:t>
      </w:r>
    </w:p>
    <w:p>
      <w:pPr>
        <w:pStyle w:val="BookText"/>
      </w:pPr>
      <w:r>
        <w:rPr>
          <w:rFonts w:ascii="IRNazanin" w:hAnsi="IRNazanin" w:eastAsia="IRNazanin" w:cs="IRNazanin"/>
          <w:lang w:bidi="fa-IR"/>
          <w:color w:val="111111"/>
          <w:sz w:val="28"/>
          <w:szCs w:val="28"/>
          <w:rtl/>
        </w:rPr>
        <w:t xml:space="preserve">ج 7، ص 355</w:t>
      </w:r>
    </w:p>
    <w:p>
      <w:pPr>
        <w:pStyle w:val="Heading2"/>
      </w:pPr>
      <w:bookmarkStart w:id="1798" w:name="_Toc900"/>
      <w:r>
        <w:t>ابن وحشيه ، احمد بن علي - 296 ه-</w:t>
      </w:r>
      <w:bookmarkEnd w:id="1798"/>
    </w:p>
    <w:p>
      <w:pPr>
        <w:pStyle w:val="BookText"/>
      </w:pPr>
      <w:r>
        <w:rPr>
          <w:rFonts w:ascii="Amiri" w:hAnsi="Amiri" w:eastAsia="Amiri" w:cs="Amiri"/>
          <w:lang w:bidi="ar-SA"/>
          <w:color w:val="111111"/>
          <w:sz w:val="28"/>
          <w:szCs w:val="28"/>
          <w:rtl/>
        </w:rPr>
        <w:t xml:space="preserve">1 .الأصل الكبير، ج 2، ص 397.</w:t>
      </w:r>
    </w:p>
    <w:p>
      <w:pPr>
        <w:pStyle w:val="BookText"/>
      </w:pPr>
      <w:r>
        <w:rPr>
          <w:rFonts w:ascii="Amiri" w:hAnsi="Amiri" w:eastAsia="Amiri" w:cs="Amiri"/>
          <w:lang w:bidi="ar-SA"/>
          <w:color w:val="111111"/>
          <w:sz w:val="28"/>
          <w:szCs w:val="28"/>
          <w:rtl/>
        </w:rPr>
        <w:t xml:space="preserve">2 .الفلاحة الكبيرة النبطية، ج 12،</w:t>
      </w:r>
    </w:p>
    <w:p>
      <w:pPr>
        <w:pStyle w:val="BookText"/>
      </w:pPr>
      <w:r>
        <w:rPr>
          <w:rFonts w:ascii="IRNazanin" w:hAnsi="IRNazanin" w:eastAsia="IRNazanin" w:cs="IRNazanin"/>
          <w:lang w:bidi="fa-IR"/>
          <w:color w:val="111111"/>
          <w:sz w:val="28"/>
          <w:szCs w:val="28"/>
          <w:rtl/>
        </w:rPr>
        <w:t xml:space="preserve">ص123.</w:t>
      </w:r>
    </w:p>
    <w:p>
      <w:pPr>
        <w:pStyle w:val="BookText"/>
      </w:pPr>
      <w:r>
        <w:rPr>
          <w:rFonts w:ascii="Amiri" w:hAnsi="Amiri" w:eastAsia="Amiri" w:cs="Amiri"/>
          <w:lang w:bidi="ar-SA"/>
          <w:color w:val="111111"/>
          <w:sz w:val="28"/>
          <w:szCs w:val="28"/>
          <w:rtl/>
        </w:rPr>
        <w:t xml:space="preserve">3.النخل المختار من كتاب الفلاحة</w:t>
      </w:r>
    </w:p>
    <w:p>
      <w:pPr>
        <w:pStyle w:val="BookText"/>
      </w:pPr>
      <w:r>
        <w:rPr>
          <w:rFonts w:ascii="IRNazanin" w:hAnsi="IRNazanin" w:eastAsia="IRNazanin" w:cs="IRNazanin"/>
          <w:lang w:bidi="fa-IR"/>
          <w:color w:val="111111"/>
          <w:sz w:val="28"/>
          <w:szCs w:val="28"/>
          <w:rtl/>
        </w:rPr>
        <w:t xml:space="preserve">ج 16 ، ص 212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الواضح في ترتيب عمل الواضح</w:t>
      </w:r>
    </w:p>
    <w:p>
      <w:pPr>
        <w:pStyle w:val="BookText"/>
      </w:pPr>
      <w:r>
        <w:rPr>
          <w:rFonts w:ascii="IRNazanin" w:hAnsi="IRNazanin" w:eastAsia="IRNazanin" w:cs="IRNazanin"/>
          <w:lang w:bidi="fa-IR"/>
          <w:color w:val="111111"/>
          <w:sz w:val="28"/>
          <w:szCs w:val="28"/>
          <w:rtl/>
        </w:rPr>
        <w:t xml:space="preserve">ج 16 ، ص 680.</w:t>
      </w:r>
    </w:p>
    <w:p>
      <w:pPr>
        <w:pStyle w:val="Heading2"/>
      </w:pPr>
      <w:bookmarkStart w:id="1799" w:name="_Toc901"/>
      <w:r>
        <w:t>ابن وحيد ، محمّد بن شريف - 711 ه-</w:t>
      </w:r>
      <w:bookmarkEnd w:id="1799"/>
    </w:p>
    <w:p>
      <w:pPr>
        <w:pStyle w:val="BookText"/>
      </w:pPr>
      <w:r>
        <w:rPr>
          <w:rFonts w:ascii="Amiri" w:hAnsi="Amiri" w:eastAsia="Amiri" w:cs="Amiri"/>
          <w:lang w:bidi="ar-SA"/>
          <w:color w:val="111111"/>
          <w:sz w:val="28"/>
          <w:szCs w:val="28"/>
          <w:rtl/>
        </w:rPr>
        <w:t xml:space="preserve">1 .سرد اللام في مصالح الأنام، ج8،</w:t>
      </w:r>
    </w:p>
    <w:p>
      <w:pPr>
        <w:pStyle w:val="BookText"/>
      </w:pPr>
      <w:r>
        <w:rPr>
          <w:rFonts w:ascii="IRNazanin" w:hAnsi="IRNazanin" w:eastAsia="IRNazanin" w:cs="IRNazanin"/>
          <w:lang w:bidi="fa-IR"/>
          <w:color w:val="111111"/>
          <w:sz w:val="28"/>
          <w:szCs w:val="28"/>
          <w:rtl/>
        </w:rPr>
        <w:t xml:space="preserve">ص 754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نصف العيش، ج 16، ص 308.</w:t>
      </w:r>
    </w:p>
    <w:p>
      <w:pPr>
        <w:pStyle w:val="Heading2"/>
      </w:pPr>
      <w:bookmarkStart w:id="1800" w:name="_Toc902"/>
      <w:r>
        <w:t>ابن ودعان ، محمّد بن علي، 401 - 494</w:t>
      </w:r>
      <w:bookmarkEnd w:id="1800"/>
    </w:p>
    <w:p>
      <w:pPr>
        <w:pStyle w:val="BookText"/>
      </w:pPr>
      <w:r>
        <w:rPr>
          <w:rFonts w:ascii="Amiri" w:hAnsi="Amiri" w:eastAsia="Amiri" w:cs="Amiri"/>
          <w:lang w:bidi="ar-SA"/>
          <w:color w:val="111111"/>
          <w:sz w:val="28"/>
          <w:szCs w:val="28"/>
          <w:rtl/>
        </w:rPr>
        <w:t xml:space="preserve">الاربعون حديثاً = الاربعون الودعانية</w:t>
      </w:r>
    </w:p>
    <w:p>
      <w:pPr>
        <w:pStyle w:val="BookText"/>
      </w:pPr>
      <w:r>
        <w:rPr>
          <w:rFonts w:ascii="IRNazanin" w:hAnsi="IRNazanin" w:eastAsia="IRNazanin" w:cs="IRNazanin"/>
          <w:lang w:bidi="fa-IR"/>
          <w:color w:val="111111"/>
          <w:sz w:val="28"/>
          <w:szCs w:val="28"/>
          <w:rtl/>
        </w:rPr>
        <w:t xml:space="preserve">ج 1، ص 682.</w:t>
      </w:r>
    </w:p>
    <w:p>
      <w:pPr>
        <w:pStyle w:val="BookText"/>
      </w:pPr>
      <w:r>
        <w:rPr>
          <w:rFonts w:ascii="Amiri" w:hAnsi="Amiri" w:eastAsia="Amiri" w:cs="Amiri"/>
          <w:lang w:bidi="ar-SA"/>
          <w:color w:val="111111"/>
          <w:sz w:val="28"/>
          <w:szCs w:val="28"/>
          <w:rtl/>
        </w:rPr>
        <w:t xml:space="preserve">ابن وراق اسكندري ، محمّد بن</w:t>
      </w:r>
    </w:p>
    <w:p>
      <w:pPr>
        <w:pStyle w:val="BookText"/>
      </w:pPr>
      <w:r>
        <w:rPr>
          <w:rFonts w:ascii="IRNazanin" w:hAnsi="IRNazanin" w:eastAsia="IRNazanin" w:cs="IRNazanin"/>
          <w:lang w:bidi="fa-IR"/>
          <w:color w:val="111111"/>
          <w:sz w:val="28"/>
          <w:szCs w:val="28"/>
          <w:rtl/>
        </w:rPr>
        <w:t xml:space="preserve">بدرالدین وراق ، محمّد بن عبدالعزيز</w:t>
      </w:r>
    </w:p>
    <w:p>
      <w:pPr>
        <w:pStyle w:val="Heading2"/>
      </w:pPr>
      <w:bookmarkStart w:id="1801" w:name="_Toc903"/>
      <w:r>
        <w:t>ابن الوراق ، نورالدین</w:t>
      </w:r>
      <w:bookmarkEnd w:id="1801"/>
    </w:p>
    <w:p>
      <w:pPr>
        <w:pStyle w:val="BookText"/>
      </w:pPr>
      <w:r>
        <w:rPr>
          <w:rFonts w:ascii="Amiri" w:hAnsi="Amiri" w:eastAsia="Amiri" w:cs="Amiri"/>
          <w:lang w:bidi="ar-SA"/>
          <w:color w:val="111111"/>
          <w:sz w:val="28"/>
          <w:szCs w:val="28"/>
          <w:rtl/>
        </w:rPr>
        <w:t xml:space="preserve">فتح الوهاب على حاوي الحساب</w:t>
      </w:r>
    </w:p>
    <w:p>
      <w:pPr>
        <w:pStyle w:val="BookText"/>
      </w:pPr>
      <w:r>
        <w:rPr>
          <w:rFonts w:ascii="IRNazanin" w:hAnsi="IRNazanin" w:eastAsia="IRNazanin" w:cs="IRNazanin"/>
          <w:lang w:bidi="fa-IR"/>
          <w:color w:val="111111"/>
          <w:sz w:val="28"/>
          <w:szCs w:val="28"/>
          <w:rtl/>
        </w:rPr>
        <w:t xml:space="preserve">ج 11 ، ص 696 .</w:t>
      </w:r>
    </w:p>
    <w:p>
      <w:pPr>
        <w:pStyle w:val="BookText"/>
      </w:pPr>
      <w:r>
        <w:rPr>
          <w:rFonts w:ascii="IRNazanin" w:hAnsi="IRNazanin" w:eastAsia="IRNazanin" w:cs="IRNazanin"/>
          <w:lang w:bidi="fa-IR"/>
          <w:color w:val="111111"/>
          <w:sz w:val="28"/>
          <w:szCs w:val="28"/>
          <w:rtl/>
        </w:rPr>
        <w:t xml:space="preserve">ابن ورام ورام ، مسعود بن عیسی</w:t>
      </w:r>
    </w:p>
    <w:p>
      <w:pPr>
        <w:pStyle w:val="Heading2"/>
      </w:pPr>
      <w:bookmarkStart w:id="1802" w:name="_Toc904"/>
      <w:r>
        <w:t>ابن وردي ، عمر بن مظفر، 691 - 749 ه-</w:t>
      </w:r>
      <w:bookmarkEnd w:id="1802"/>
    </w:p>
    <w:p>
      <w:pPr>
        <w:pStyle w:val="BookText"/>
      </w:pPr>
      <w:r>
        <w:rPr>
          <w:rFonts w:ascii="Amiri" w:hAnsi="Amiri" w:eastAsia="Amiri" w:cs="Amiri"/>
          <w:lang w:bidi="ar-SA"/>
          <w:color w:val="111111"/>
          <w:sz w:val="28"/>
          <w:szCs w:val="28"/>
          <w:rtl/>
        </w:rPr>
        <w:t xml:space="preserve">1 .الارجوزة الالفية الوردية في علم</w:t>
      </w:r>
    </w:p>
    <w:p>
      <w:pPr>
        <w:pStyle w:val="BookText"/>
      </w:pPr>
      <w:r>
        <w:rPr>
          <w:rFonts w:ascii="Amiri" w:hAnsi="Amiri" w:eastAsia="Amiri" w:cs="Amiri"/>
          <w:lang w:bidi="ar-SA"/>
          <w:color w:val="111111"/>
          <w:sz w:val="28"/>
          <w:szCs w:val="28"/>
          <w:rtl/>
        </w:rPr>
        <w:t xml:space="preserve">التعبير، ج 1 ، ص 764.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الالفية الوردية، ج 2، ص 690.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البهجة الوردية، ج 3، ص 442.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2" w:name="pg7742_69623"/>
    <w:bookmarkEnd w:id="132"/>
    <w:p>
      <w:pPr>
        <w:pStyle w:val="BookText"/>
      </w:pPr>
      <w:r>
        <w:rPr>
          <w:rFonts w:ascii="Amiri" w:hAnsi="Amiri" w:eastAsia="Amiri" w:cs="Amiri"/>
          <w:lang w:bidi="ar-SA"/>
          <w:color w:val="111111"/>
          <w:sz w:val="28"/>
          <w:szCs w:val="28"/>
          <w:rtl/>
        </w:rPr>
        <w:t xml:space="preserve">4 .تتمة المختصر في اخبار البشر، ج3،</w:t>
      </w:r>
    </w:p>
    <w:p>
      <w:pPr>
        <w:pStyle w:val="BookText"/>
      </w:pPr>
      <w:r>
        <w:rPr>
          <w:rFonts w:ascii="IRNazanin" w:hAnsi="IRNazanin" w:eastAsia="IRNazanin" w:cs="IRNazanin"/>
          <w:lang w:bidi="fa-IR"/>
          <w:color w:val="111111"/>
          <w:sz w:val="28"/>
          <w:szCs w:val="28"/>
          <w:rtl/>
        </w:rPr>
        <w:t xml:space="preserve">ص 674 .</w:t>
      </w:r>
    </w:p>
    <w:p>
      <w:pPr>
        <w:pStyle w:val="BookText"/>
      </w:pPr>
      <w:r>
        <w:rPr>
          <w:rFonts w:ascii="Amiri" w:hAnsi="Amiri" w:eastAsia="Amiri" w:cs="Amiri"/>
          <w:lang w:bidi="ar-SA"/>
          <w:color w:val="111111"/>
          <w:sz w:val="28"/>
          <w:szCs w:val="28"/>
          <w:rtl/>
        </w:rPr>
        <w:t xml:space="preserve">5 .تحرير الخصاصة من تيسير</w:t>
      </w:r>
    </w:p>
    <w:p>
      <w:pPr>
        <w:pStyle w:val="BookText"/>
      </w:pPr>
      <w:r>
        <w:rPr>
          <w:rFonts w:ascii="Amiri" w:hAnsi="Amiri" w:eastAsia="Amiri" w:cs="Amiri"/>
          <w:lang w:bidi="ar-SA"/>
          <w:color w:val="111111"/>
          <w:sz w:val="28"/>
          <w:szCs w:val="28"/>
          <w:rtl/>
        </w:rPr>
        <w:t xml:space="preserve">الخلاصة، ج3، ص 736.</w:t>
      </w:r>
    </w:p>
    <w:p>
      <w:pPr>
        <w:pStyle w:val="BookText"/>
      </w:pPr>
      <w:r>
        <w:rPr>
          <w:rFonts w:ascii="Amiri" w:hAnsi="Amiri" w:eastAsia="Amiri" w:cs="Amiri"/>
          <w:lang w:bidi="ar-SA"/>
          <w:color w:val="111111"/>
          <w:sz w:val="28"/>
          <w:szCs w:val="28"/>
          <w:rtl/>
        </w:rPr>
        <w:t xml:space="preserve">6 .التحفة الوردية، ج 4، ص 39.</w:t>
      </w:r>
    </w:p>
    <w:p>
      <w:pPr>
        <w:pStyle w:val="BookText"/>
      </w:pPr>
      <w:r>
        <w:rPr>
          <w:rFonts w:ascii="Amiri" w:hAnsi="Amiri" w:eastAsia="Amiri" w:cs="Amiri"/>
          <w:lang w:bidi="ar-SA"/>
          <w:color w:val="111111"/>
          <w:sz w:val="28"/>
          <w:szCs w:val="28"/>
          <w:rtl/>
        </w:rPr>
        <w:t xml:space="preserve">7 .خريدة العجايب وفريدة الغرايب</w:t>
      </w:r>
    </w:p>
    <w:p>
      <w:pPr>
        <w:pStyle w:val="BookText"/>
      </w:pPr>
      <w:r>
        <w:rPr>
          <w:rFonts w:ascii="IRNazanin" w:hAnsi="IRNazanin" w:eastAsia="IRNazanin" w:cs="IRNazanin"/>
          <w:lang w:bidi="fa-IR"/>
          <w:color w:val="111111"/>
          <w:sz w:val="28"/>
          <w:szCs w:val="28"/>
          <w:rtl/>
        </w:rPr>
        <w:t xml:space="preserve">عجائب المخلوقات، ج 7، ص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دیوان ابن وردي، ج 7، ص 547.</w:t>
      </w:r>
    </w:p>
    <w:p>
      <w:pPr>
        <w:pStyle w:val="BookText"/>
      </w:pPr>
      <w:r>
        <w:rPr>
          <w:rFonts w:ascii="Amiri" w:hAnsi="Amiri" w:eastAsia="Amiri" w:cs="Amiri"/>
          <w:lang w:bidi="ar-SA"/>
          <w:color w:val="111111"/>
          <w:sz w:val="28"/>
          <w:szCs w:val="28"/>
          <w:rtl/>
        </w:rPr>
        <w:t xml:space="preserve">9 .شرح التحفة الوردية، ج 9، ص 320.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الفية ابن مالك = شرح</w:t>
      </w:r>
    </w:p>
    <w:p>
      <w:pPr>
        <w:pStyle w:val="BookText"/>
      </w:pPr>
      <w:r>
        <w:rPr>
          <w:rFonts w:ascii="Amiri" w:hAnsi="Amiri" w:eastAsia="Amiri" w:cs="Amiri"/>
          <w:lang w:bidi="ar-SA"/>
          <w:color w:val="111111"/>
          <w:sz w:val="28"/>
          <w:szCs w:val="28"/>
          <w:rtl/>
        </w:rPr>
        <w:t xml:space="preserve">الخلاصة، ج 9، ص218.</w:t>
      </w:r>
    </w:p>
    <w:p>
      <w:pPr>
        <w:pStyle w:val="BookText"/>
      </w:pPr>
      <w:r>
        <w:rPr>
          <w:rFonts w:ascii="Amiri" w:hAnsi="Amiri" w:eastAsia="Amiri" w:cs="Amiri"/>
          <w:lang w:bidi="ar-SA"/>
          <w:color w:val="111111"/>
          <w:sz w:val="28"/>
          <w:szCs w:val="28"/>
          <w:rtl/>
        </w:rPr>
        <w:t xml:space="preserve">11 .مرثية ابن الوردي لتقي الدين ابن</w:t>
      </w:r>
    </w:p>
    <w:p>
      <w:pPr>
        <w:pStyle w:val="BookText"/>
      </w:pPr>
      <w:r>
        <w:rPr>
          <w:rFonts w:ascii="Amiri" w:hAnsi="Amiri" w:eastAsia="Amiri" w:cs="Amiri"/>
          <w:lang w:bidi="ar-SA"/>
          <w:color w:val="111111"/>
          <w:sz w:val="28"/>
          <w:szCs w:val="28"/>
          <w:rtl/>
        </w:rPr>
        <w:t xml:space="preserve">تيمية، ج 14 ، ص 391.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النبا في الوبا، ج 16، ص 106.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نصيحة الاخوان و مرشد الخلان =</w:t>
      </w:r>
    </w:p>
    <w:p>
      <w:pPr>
        <w:pStyle w:val="BookText"/>
      </w:pPr>
      <w:r>
        <w:rPr>
          <w:rFonts w:ascii="Amiri" w:hAnsi="Amiri" w:eastAsia="Amiri" w:cs="Amiri"/>
          <w:lang w:bidi="ar-SA"/>
          <w:color w:val="111111"/>
          <w:sz w:val="28"/>
          <w:szCs w:val="28"/>
          <w:rtl/>
        </w:rPr>
        <w:t xml:space="preserve">القصيدة اللامية، ج 16، ص312.</w:t>
      </w:r>
    </w:p>
    <w:p>
      <w:pPr>
        <w:pStyle w:val="BookText"/>
      </w:pPr>
      <w:r>
        <w:rPr>
          <w:rFonts w:ascii="IRNazanin" w:hAnsi="IRNazanin" w:eastAsia="IRNazanin" w:cs="IRNazanin"/>
          <w:lang w:bidi="fa-IR"/>
          <w:color w:val="111111"/>
          <w:sz w:val="28"/>
          <w:szCs w:val="28"/>
          <w:rtl/>
        </w:rPr>
        <w:t xml:space="preserve">ابن وزير ، ابراهیم بن محمّد- صنعاني</w:t>
      </w:r>
    </w:p>
    <w:p>
      <w:pPr>
        <w:pStyle w:val="BookText"/>
      </w:pPr>
      <w:r>
        <w:rPr>
          <w:rFonts w:ascii="Amiri" w:hAnsi="Amiri" w:eastAsia="Amiri" w:cs="Amiri"/>
          <w:lang w:bidi="ar-SA"/>
          <w:color w:val="111111"/>
          <w:sz w:val="28"/>
          <w:szCs w:val="28"/>
          <w:rtl/>
        </w:rPr>
        <w:t xml:space="preserve">ابراهيم بن محمّد</w:t>
      </w:r>
    </w:p>
    <w:p>
      <w:pPr>
        <w:pStyle w:val="Heading2"/>
      </w:pPr>
      <w:bookmarkStart w:id="1803" w:name="_Toc905"/>
      <w:r>
        <w:t>ابن وزیر ، عبد الباسط بن خليل 844 -</w:t>
      </w:r>
      <w:bookmarkEnd w:id="1803"/>
    </w:p>
    <w:p>
      <w:pPr>
        <w:pStyle w:val="BookText"/>
      </w:pPr>
      <w:r>
        <w:rPr>
          <w:rFonts w:ascii="IRNazanin" w:hAnsi="IRNazanin" w:eastAsia="IRNazanin" w:cs="IRNazanin"/>
          <w:lang w:bidi="fa-IR"/>
          <w:color w:val="111111"/>
          <w:sz w:val="28"/>
          <w:szCs w:val="28"/>
          <w:rtl/>
        </w:rPr>
        <w:t xml:space="preserve">920 ه-</w:t>
      </w:r>
    </w:p>
    <w:p>
      <w:pPr>
        <w:pStyle w:val="BookText"/>
      </w:pPr>
      <w:r>
        <w:rPr>
          <w:rFonts w:ascii="Amiri" w:hAnsi="Amiri" w:eastAsia="Amiri" w:cs="Amiri"/>
          <w:lang w:bidi="ar-SA"/>
          <w:color w:val="111111"/>
          <w:sz w:val="28"/>
          <w:szCs w:val="28"/>
          <w:rtl/>
        </w:rPr>
        <w:t xml:space="preserve">اجابة السائلين في شرح عمدة الطالبين</w:t>
      </w:r>
    </w:p>
    <w:p>
      <w:pPr>
        <w:pStyle w:val="BookText"/>
      </w:pPr>
      <w:r>
        <w:rPr>
          <w:rFonts w:ascii="IRNazanin" w:hAnsi="IRNazanin" w:eastAsia="IRNazanin" w:cs="IRNazanin"/>
          <w:lang w:bidi="fa-IR"/>
          <w:color w:val="111111"/>
          <w:sz w:val="28"/>
          <w:szCs w:val="28"/>
          <w:rtl/>
        </w:rPr>
        <w:t xml:space="preserve">ج 1، ص 196.</w:t>
      </w:r>
    </w:p>
    <w:p>
      <w:pPr>
        <w:pStyle w:val="Heading2"/>
      </w:pPr>
      <w:bookmarkStart w:id="1804" w:name="_Toc906"/>
      <w:r>
        <w:t>ابن الوزير، محمّد بن ابراهيم 775 -</w:t>
      </w:r>
      <w:bookmarkEnd w:id="1804"/>
    </w:p>
    <w:p>
      <w:pPr>
        <w:pStyle w:val="BookText"/>
      </w:pPr>
      <w:r>
        <w:rPr>
          <w:rFonts w:ascii="Amiri" w:hAnsi="Amiri" w:eastAsia="Amiri" w:cs="Amiri"/>
          <w:lang w:bidi="ar-SA"/>
          <w:color w:val="111111"/>
          <w:sz w:val="28"/>
          <w:szCs w:val="28"/>
          <w:rtl/>
        </w:rPr>
        <w:t xml:space="preserve">مختصر علوم الحديث، ج 14، ص 204.</w:t>
      </w:r>
    </w:p>
    <w:p>
      <w:pPr>
        <w:pStyle w:val="Heading2"/>
      </w:pPr>
      <w:bookmarkStart w:id="1805" w:name="_Toc907"/>
      <w:r>
        <w:t>ابن الوزير ، هادي بن ابراهيم 758 -</w:t>
      </w:r>
      <w:bookmarkEnd w:id="1805"/>
    </w:p>
    <w:p>
      <w:pPr>
        <w:pStyle w:val="BookText"/>
      </w:pPr>
      <w:r>
        <w:rPr>
          <w:rFonts w:ascii="IRNazanin" w:hAnsi="IRNazanin" w:eastAsia="IRNazanin" w:cs="IRNazanin"/>
          <w:lang w:bidi="fa-IR"/>
          <w:color w:val="111111"/>
          <w:sz w:val="28"/>
          <w:szCs w:val="28"/>
          <w:rtl/>
        </w:rPr>
        <w:t xml:space="preserve">822 ه-</w:t>
      </w:r>
    </w:p>
    <w:p>
      <w:pPr>
        <w:pStyle w:val="BookText"/>
      </w:pPr>
      <w:r>
        <w:rPr>
          <w:rFonts w:ascii="Amiri" w:hAnsi="Amiri" w:eastAsia="Amiri" w:cs="Amiri"/>
          <w:lang w:bidi="ar-SA"/>
          <w:color w:val="111111"/>
          <w:sz w:val="28"/>
          <w:szCs w:val="28"/>
          <w:rtl/>
        </w:rPr>
        <w:t xml:space="preserve">درة الغواص في نظم خلاصة الرصاص</w:t>
      </w:r>
    </w:p>
    <w:p>
      <w:pPr>
        <w:pStyle w:val="BookText"/>
      </w:pPr>
      <w:r>
        <w:rPr>
          <w:rFonts w:ascii="IRNazanin" w:hAnsi="IRNazanin" w:eastAsia="IRNazanin" w:cs="IRNazanin"/>
          <w:lang w:bidi="fa-IR"/>
          <w:color w:val="111111"/>
          <w:sz w:val="28"/>
          <w:szCs w:val="28"/>
          <w:rtl/>
        </w:rPr>
        <w:t xml:space="preserve">ج 7 ، ص 246.</w:t>
      </w:r>
    </w:p>
    <w:p>
      <w:pPr>
        <w:pStyle w:val="BookText"/>
      </w:pPr>
      <w:r>
        <w:rPr>
          <w:rFonts w:ascii="IRNazanin" w:hAnsi="IRNazanin" w:eastAsia="IRNazanin" w:cs="IRNazanin"/>
          <w:lang w:bidi="fa-IR"/>
          <w:color w:val="111111"/>
          <w:sz w:val="28"/>
          <w:szCs w:val="28"/>
          <w:rtl/>
        </w:rPr>
        <w:t xml:space="preserve">ابن همام ، محمّد بن همام - ابن وهاس 151</w:t>
      </w:r>
    </w:p>
    <w:p>
      <w:pPr>
        <w:pStyle w:val="Heading2"/>
      </w:pPr>
      <w:bookmarkStart w:id="1806" w:name="_Toc908"/>
      <w:r>
        <w:t>ابن وفاء ، جمال الدين محمّد بن وفاء</w:t>
      </w:r>
      <w:bookmarkEnd w:id="1806"/>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تسبيع قصيدة البردة، ج4، ص332.</w:t>
      </w:r>
    </w:p>
    <w:p>
      <w:pPr>
        <w:pStyle w:val="Heading2"/>
      </w:pPr>
      <w:bookmarkStart w:id="1807" w:name="_Toc909"/>
      <w:r>
        <w:t>ابن وفائي ، محمّد بن وفاء - 1154 ه-</w:t>
      </w:r>
      <w:bookmarkEnd w:id="1807"/>
    </w:p>
    <w:p>
      <w:pPr>
        <w:pStyle w:val="BookText"/>
      </w:pPr>
      <w:r>
        <w:rPr>
          <w:rFonts w:ascii="Amiri" w:hAnsi="Amiri" w:eastAsia="Amiri" w:cs="Amiri"/>
          <w:lang w:bidi="ar-SA"/>
          <w:color w:val="111111"/>
          <w:sz w:val="28"/>
          <w:szCs w:val="28"/>
          <w:rtl/>
        </w:rPr>
        <w:t xml:space="preserve">الفرق بين الجمع و اسم الجمع و بين</w:t>
      </w:r>
    </w:p>
    <w:p>
      <w:pPr>
        <w:pStyle w:val="BookText"/>
      </w:pPr>
      <w:r>
        <w:rPr>
          <w:rFonts w:ascii="IRNazanin" w:hAnsi="IRNazanin" w:eastAsia="IRNazanin" w:cs="IRNazanin"/>
          <w:lang w:bidi="fa-IR"/>
          <w:color w:val="111111"/>
          <w:sz w:val="28"/>
          <w:szCs w:val="28"/>
          <w:rtl/>
        </w:rPr>
        <w:t xml:space="preserve">اسم الجنس و علمه، ج11، ص790.</w:t>
      </w:r>
    </w:p>
    <w:p>
      <w:pPr>
        <w:pStyle w:val="Heading2"/>
      </w:pPr>
      <w:bookmarkStart w:id="1808" w:name="_Toc910"/>
      <w:r>
        <w:t>ابن وفا ، علي بن محمّد، 759 - 807 ه-</w:t>
      </w:r>
      <w:bookmarkEnd w:id="1808"/>
    </w:p>
    <w:p>
      <w:pPr>
        <w:pStyle w:val="BookText"/>
      </w:pPr>
      <w:r>
        <w:rPr>
          <w:rFonts w:ascii="Amiri" w:hAnsi="Amiri" w:eastAsia="Amiri" w:cs="Amiri"/>
          <w:lang w:bidi="ar-SA"/>
          <w:color w:val="111111"/>
          <w:sz w:val="28"/>
          <w:szCs w:val="28"/>
          <w:rtl/>
        </w:rPr>
        <w:t xml:space="preserve">1 .تخميس ابيات منسوبة إلى ابي طالب ابن عبد المطلب، ج 4</w:t>
      </w:r>
    </w:p>
    <w:p>
      <w:pPr>
        <w:pStyle w:val="BookText"/>
      </w:pPr>
      <w:r>
        <w:rPr>
          <w:rFonts w:ascii="IRNazanin" w:hAnsi="IRNazanin" w:eastAsia="IRNazanin" w:cs="IRNazanin"/>
          <w:lang w:bidi="fa-IR"/>
          <w:color w:val="111111"/>
          <w:sz w:val="28"/>
          <w:szCs w:val="28"/>
          <w:rtl/>
        </w:rPr>
        <w:t xml:space="preserve">ص 106 .</w:t>
      </w:r>
    </w:p>
    <w:p>
      <w:pPr>
        <w:pStyle w:val="BookText"/>
      </w:pPr>
      <w:r>
        <w:rPr>
          <w:rFonts w:ascii="IRNazanin" w:hAnsi="IRNazanin" w:eastAsia="IRNazanin" w:cs="IRNazanin"/>
          <w:lang w:bidi="fa-IR"/>
          <w:color w:val="111111"/>
          <w:sz w:val="28"/>
          <w:szCs w:val="28"/>
          <w:rtl/>
        </w:rPr>
        <w:t xml:space="preserve">2 .دیوان ابن وفا، ج 7، ص 547.</w:t>
      </w:r>
    </w:p>
    <w:p>
      <w:pPr>
        <w:pStyle w:val="Heading2"/>
      </w:pPr>
      <w:bookmarkStart w:id="1809" w:name="_Toc911"/>
      <w:r>
        <w:t>ابن وكيع تنيسي، حسن بن علي 393- ه-</w:t>
      </w:r>
      <w:bookmarkEnd w:id="1809"/>
    </w:p>
    <w:p>
      <w:pPr>
        <w:pStyle w:val="BookText"/>
      </w:pPr>
      <w:r>
        <w:rPr>
          <w:rFonts w:ascii="Amiri" w:hAnsi="Amiri" w:eastAsia="Amiri" w:cs="Amiri"/>
          <w:lang w:bidi="ar-SA"/>
          <w:color w:val="111111"/>
          <w:sz w:val="28"/>
          <w:szCs w:val="28"/>
          <w:rtl/>
        </w:rPr>
        <w:t xml:space="preserve">المنصف في الدلالات على سرقات المتنبي، ج 15، ص 691 .</w:t>
      </w:r>
    </w:p>
    <w:p>
      <w:pPr>
        <w:pStyle w:val="BookText"/>
      </w:pPr>
      <w:r>
        <w:rPr>
          <w:rFonts w:ascii="Amiri" w:hAnsi="Amiri" w:eastAsia="Amiri" w:cs="Amiri"/>
          <w:lang w:bidi="ar-SA"/>
          <w:color w:val="111111"/>
          <w:sz w:val="28"/>
          <w:szCs w:val="28"/>
          <w:rtl/>
        </w:rPr>
        <w:t xml:space="preserve">ابن وكيل ، يوسف بن محمّد- ميلوي ،</w:t>
      </w:r>
    </w:p>
    <w:p>
      <w:pPr>
        <w:pStyle w:val="BookText"/>
      </w:pPr>
      <w:r>
        <w:rPr>
          <w:rFonts w:ascii="Amiri" w:hAnsi="Amiri" w:eastAsia="Amiri" w:cs="Amiri"/>
          <w:lang w:bidi="ar-SA"/>
          <w:color w:val="111111"/>
          <w:sz w:val="28"/>
          <w:szCs w:val="28"/>
          <w:rtl/>
        </w:rPr>
        <w:t xml:space="preserve">يوسف بن محمّد</w:t>
      </w:r>
    </w:p>
    <w:p>
      <w:pPr>
        <w:pStyle w:val="Heading2"/>
      </w:pPr>
      <w:bookmarkStart w:id="1810" w:name="_Toc912"/>
      <w:r>
        <w:t>ابن الوندي ، قاسم بن محمّد -1100 ه-</w:t>
      </w:r>
      <w:bookmarkEnd w:id="1810"/>
    </w:p>
    <w:p>
      <w:pPr>
        <w:pStyle w:val="BookText"/>
      </w:pPr>
      <w:r>
        <w:rPr>
          <w:rFonts w:ascii="Amiri" w:hAnsi="Amiri" w:eastAsia="Amiri" w:cs="Amiri"/>
          <w:lang w:bidi="ar-SA"/>
          <w:color w:val="111111"/>
          <w:sz w:val="28"/>
          <w:szCs w:val="28"/>
          <w:rtl/>
        </w:rPr>
        <w:t xml:space="preserve">استبصار الاخبار - جامع اسرار العلماء جامع الاحاديث والاقوال = الجامع</w:t>
      </w:r>
    </w:p>
    <w:p>
      <w:pPr>
        <w:pStyle w:val="BookText"/>
      </w:pPr>
      <w:r>
        <w:rPr>
          <w:rFonts w:ascii="Amiri" w:hAnsi="Amiri" w:eastAsia="Amiri" w:cs="Amiri"/>
          <w:lang w:bidi="ar-SA"/>
          <w:color w:val="111111"/>
          <w:sz w:val="28"/>
          <w:szCs w:val="28"/>
          <w:rtl/>
        </w:rPr>
        <w:t xml:space="preserve">الكبير، ج 2، ص 104.</w:t>
      </w:r>
    </w:p>
    <w:p>
      <w:pPr>
        <w:pStyle w:val="Heading2"/>
      </w:pPr>
      <w:bookmarkStart w:id="1811" w:name="_Toc913"/>
      <w:r>
        <w:t>ابن وهاس ، علي بن حسن - 812 ه-</w:t>
      </w:r>
      <w:bookmarkEnd w:id="1811"/>
    </w:p>
    <w:p>
      <w:pPr>
        <w:pStyle w:val="BookText"/>
      </w:pPr>
      <w:r>
        <w:rPr>
          <w:rFonts w:ascii="Amiri" w:hAnsi="Amiri" w:eastAsia="Amiri" w:cs="Amiri"/>
          <w:lang w:bidi="ar-SA"/>
          <w:color w:val="111111"/>
          <w:sz w:val="28"/>
          <w:szCs w:val="28"/>
          <w:rtl/>
        </w:rPr>
        <w:t xml:space="preserve">1 .طراز اعلام الزمن في طبقات أعيان</w:t>
      </w:r>
    </w:p>
    <w:p>
      <w:pPr>
        <w:pStyle w:val="BookText"/>
      </w:pPr>
      <w:r>
        <w:rPr>
          <w:rFonts w:ascii="Amiri" w:hAnsi="Amiri" w:eastAsia="Amiri" w:cs="Amiri"/>
          <w:lang w:bidi="ar-SA"/>
          <w:color w:val="111111"/>
          <w:sz w:val="28"/>
          <w:szCs w:val="28"/>
          <w:rtl/>
        </w:rPr>
        <w:t xml:space="preserve">اليمن = العقد الفاخر الحسن في طبقات اكابر اليمن، ج 10، ص 804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العسجد المسبوك في من تولي اليمن</w:t>
      </w:r>
    </w:p>
    <w:p>
      <w:pPr>
        <w:pStyle w:val="BookText"/>
      </w:pPr>
      <w:r>
        <w:rPr>
          <w:rFonts w:ascii="Amiri" w:hAnsi="Amiri" w:eastAsia="Amiri" w:cs="Amiri"/>
          <w:lang w:bidi="ar-SA"/>
          <w:color w:val="111111"/>
          <w:sz w:val="28"/>
          <w:szCs w:val="28"/>
          <w:rtl/>
        </w:rPr>
        <w:t xml:space="preserve">من الملوك، ج 11، ص 115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العقود اللؤلؤية في تاريخ الدولة</w:t>
      </w:r>
    </w:p>
    <w:p>
      <w:pPr>
        <w:pStyle w:val="BookText"/>
      </w:pPr>
      <w:r>
        <w:rPr>
          <w:rFonts w:ascii="Amiri" w:hAnsi="Amiri" w:eastAsia="Amiri" w:cs="Amiri"/>
          <w:lang w:bidi="ar-SA"/>
          <w:color w:val="111111"/>
          <w:sz w:val="28"/>
          <w:szCs w:val="28"/>
          <w:rtl/>
        </w:rPr>
        <w:t xml:space="preserve">الرسولية، ج 11، ص192.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3" w:name="pg7742_69625"/>
    <w:bookmarkEnd w:id="133"/>
    <w:p>
      <w:pPr>
        <w:pStyle w:val="Heading2"/>
      </w:pPr>
      <w:bookmarkStart w:id="1812" w:name="_Toc914"/>
      <w:r>
        <w:t>ابن وهبان ، عبدالوهاب بن احمد 726 -</w:t>
      </w:r>
      <w:bookmarkEnd w:id="1812"/>
    </w:p>
    <w:p>
      <w:pPr>
        <w:pStyle w:val="BookText"/>
      </w:pPr>
      <w:r>
        <w:rPr>
          <w:rFonts w:ascii="IRNazanin" w:hAnsi="IRNazanin" w:eastAsia="IRNazanin" w:cs="IRNazanin"/>
          <w:lang w:bidi="fa-IR"/>
          <w:color w:val="111111"/>
          <w:sz w:val="28"/>
          <w:szCs w:val="28"/>
          <w:rtl/>
        </w:rPr>
        <w:t xml:space="preserve">768 ه-</w:t>
      </w:r>
    </w:p>
    <w:p>
      <w:pPr>
        <w:pStyle w:val="BookText"/>
      </w:pPr>
      <w:r>
        <w:rPr>
          <w:rFonts w:ascii="Amiri" w:hAnsi="Amiri" w:eastAsia="Amiri" w:cs="Amiri"/>
          <w:lang w:bidi="ar-SA"/>
          <w:color w:val="111111"/>
          <w:sz w:val="28"/>
          <w:szCs w:val="28"/>
          <w:rtl/>
        </w:rPr>
        <w:t xml:space="preserve">1 .امتثال الامر في قراءة ابي عمرو</w:t>
      </w:r>
    </w:p>
    <w:p>
      <w:pPr>
        <w:pStyle w:val="BookText"/>
      </w:pPr>
      <w:r>
        <w:rPr>
          <w:rFonts w:ascii="IRNazanin" w:hAnsi="IRNazanin" w:eastAsia="IRNazanin" w:cs="IRNazanin"/>
          <w:lang w:bidi="fa-IR"/>
          <w:color w:val="111111"/>
          <w:sz w:val="28"/>
          <w:szCs w:val="28"/>
          <w:rtl/>
        </w:rPr>
        <w:t xml:space="preserve">ج 2، ص 741.</w:t>
      </w:r>
    </w:p>
    <w:p>
      <w:pPr>
        <w:pStyle w:val="BookText"/>
      </w:pPr>
      <w:r>
        <w:rPr>
          <w:rFonts w:ascii="Amiri" w:hAnsi="Amiri" w:eastAsia="Amiri" w:cs="Amiri"/>
          <w:lang w:bidi="ar-SA"/>
          <w:color w:val="111111"/>
          <w:sz w:val="28"/>
          <w:szCs w:val="28"/>
          <w:rtl/>
        </w:rPr>
        <w:t xml:space="preserve">2 .شرح تيسير المقاصد على نظم</w:t>
      </w:r>
    </w:p>
    <w:p>
      <w:pPr>
        <w:pStyle w:val="BookText"/>
      </w:pPr>
      <w:r>
        <w:rPr>
          <w:rFonts w:ascii="IRNazanin" w:hAnsi="IRNazanin" w:eastAsia="IRNazanin" w:cs="IRNazanin"/>
          <w:lang w:bidi="fa-IR"/>
          <w:color w:val="111111"/>
          <w:sz w:val="28"/>
          <w:szCs w:val="28"/>
          <w:rtl/>
        </w:rPr>
        <w:t xml:space="preserve">الفوائد، ج 9، ص 356.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قيد الشرايط و نظم الفرايد =</w:t>
      </w:r>
    </w:p>
    <w:p>
      <w:pPr>
        <w:pStyle w:val="BookText"/>
      </w:pPr>
      <w:r>
        <w:rPr>
          <w:rFonts w:ascii="Amiri" w:hAnsi="Amiri" w:eastAsia="Amiri" w:cs="Amiri"/>
          <w:lang w:bidi="ar-SA"/>
          <w:color w:val="111111"/>
          <w:sz w:val="28"/>
          <w:szCs w:val="28"/>
          <w:rtl/>
        </w:rPr>
        <w:t xml:space="preserve">المنظومة الوهبانية، ج 12، ص 874.</w:t>
      </w:r>
    </w:p>
    <w:p>
      <w:pPr>
        <w:pStyle w:val="Heading2"/>
      </w:pPr>
      <w:bookmarkStart w:id="1813" w:name="_Toc915"/>
      <w:r>
        <w:t>ابن وهب عبدالله بن وهب، 124-197ه-</w:t>
      </w:r>
      <w:bookmarkEnd w:id="1813"/>
    </w:p>
    <w:p>
      <w:pPr>
        <w:pStyle w:val="BookText"/>
      </w:pPr>
      <w:r>
        <w:rPr>
          <w:rFonts w:ascii="IRNazanin" w:hAnsi="IRNazanin" w:eastAsia="IRNazanin" w:cs="IRNazanin"/>
          <w:lang w:bidi="fa-IR"/>
          <w:color w:val="111111"/>
          <w:sz w:val="28"/>
          <w:szCs w:val="28"/>
          <w:rtl/>
        </w:rPr>
        <w:t xml:space="preserve">مسند ابن وهب، ج 14، ص 592.</w:t>
      </w:r>
    </w:p>
    <w:p>
      <w:pPr>
        <w:pStyle w:val="Heading2"/>
      </w:pPr>
      <w:bookmarkStart w:id="1814" w:name="_Toc916"/>
      <w:r>
        <w:t>ابن ويسين ، علي بن حسن</w:t>
      </w:r>
      <w:bookmarkEnd w:id="1814"/>
    </w:p>
    <w:p>
      <w:pPr>
        <w:pStyle w:val="BookText"/>
      </w:pPr>
      <w:r>
        <w:rPr>
          <w:rFonts w:ascii="Amiri" w:hAnsi="Amiri" w:eastAsia="Amiri" w:cs="Amiri"/>
          <w:lang w:bidi="ar-SA"/>
          <w:color w:val="111111"/>
          <w:sz w:val="28"/>
          <w:szCs w:val="28"/>
          <w:rtl/>
        </w:rPr>
        <w:t xml:space="preserve">التقريرات، ج4، ص 736.</w:t>
      </w:r>
    </w:p>
    <w:p>
      <w:pPr>
        <w:pStyle w:val="Heading2"/>
      </w:pPr>
      <w:bookmarkStart w:id="1815" w:name="_Toc917"/>
      <w:r>
        <w:t>ابن ياسمين ، عبد الله بن محمّد - 601 ه-</w:t>
      </w:r>
      <w:bookmarkEnd w:id="1815"/>
    </w:p>
    <w:p>
      <w:pPr>
        <w:pStyle w:val="BookText"/>
      </w:pPr>
      <w:r>
        <w:rPr>
          <w:rFonts w:ascii="Amiri" w:hAnsi="Amiri" w:eastAsia="Amiri" w:cs="Amiri"/>
          <w:lang w:bidi="ar-SA"/>
          <w:color w:val="111111"/>
          <w:sz w:val="28"/>
          <w:szCs w:val="28"/>
          <w:rtl/>
        </w:rPr>
        <w:t xml:space="preserve">الياسمينية (ارجوزة)، ج 16، ص 890.</w:t>
      </w:r>
    </w:p>
    <w:p>
      <w:pPr>
        <w:pStyle w:val="Heading2"/>
      </w:pPr>
      <w:bookmarkStart w:id="1816" w:name="_Toc918"/>
      <w:r>
        <w:t>ابن ياسين موصلي ، محمّد بدیع بن محمّد</w:t>
      </w:r>
      <w:bookmarkEnd w:id="1816"/>
    </w:p>
    <w:p>
      <w:pPr>
        <w:pStyle w:val="BookText"/>
      </w:pPr>
      <w:r>
        <w:rPr>
          <w:rFonts w:ascii="IRNazanin" w:hAnsi="IRNazanin" w:eastAsia="IRNazanin" w:cs="IRNazanin"/>
          <w:lang w:bidi="fa-IR"/>
          <w:color w:val="111111"/>
          <w:sz w:val="28"/>
          <w:szCs w:val="28"/>
          <w:rtl/>
        </w:rPr>
        <w:t xml:space="preserve">امین قرن 13 ه-</w:t>
      </w:r>
    </w:p>
    <w:p>
      <w:pPr>
        <w:pStyle w:val="BookText"/>
      </w:pPr>
      <w:r>
        <w:rPr>
          <w:rFonts w:ascii="Amiri" w:hAnsi="Amiri" w:eastAsia="Amiri" w:cs="Amiri"/>
          <w:lang w:bidi="ar-SA"/>
          <w:color w:val="111111"/>
          <w:sz w:val="28"/>
          <w:szCs w:val="28"/>
          <w:rtl/>
        </w:rPr>
        <w:t xml:space="preserve">بديعية، ج3، ص288.</w:t>
      </w:r>
    </w:p>
    <w:p>
      <w:pPr>
        <w:pStyle w:val="Heading2"/>
      </w:pPr>
      <w:bookmarkStart w:id="1817" w:name="_Toc919"/>
      <w:r>
        <w:t>ابن يخلفتن ، عبدالرحمن بن يخلفتن</w:t>
      </w:r>
      <w:bookmarkEnd w:id="1817"/>
    </w:p>
    <w:p>
      <w:pPr>
        <w:pStyle w:val="BookText"/>
      </w:pPr>
      <w:r>
        <w:rPr>
          <w:rFonts w:ascii="IRNazanin" w:hAnsi="IRNazanin" w:eastAsia="IRNazanin" w:cs="IRNazanin"/>
          <w:lang w:bidi="fa-IR"/>
          <w:color w:val="111111"/>
          <w:sz w:val="28"/>
          <w:szCs w:val="28"/>
          <w:rtl/>
        </w:rPr>
        <w:t xml:space="preserve">627ه-</w:t>
      </w:r>
    </w:p>
    <w:p>
      <w:pPr>
        <w:pStyle w:val="BookText"/>
      </w:pPr>
      <w:r>
        <w:rPr>
          <w:rFonts w:ascii="Amiri" w:hAnsi="Amiri" w:eastAsia="Amiri" w:cs="Amiri"/>
          <w:lang w:bidi="ar-SA"/>
          <w:color w:val="111111"/>
          <w:sz w:val="28"/>
          <w:szCs w:val="28"/>
          <w:rtl/>
        </w:rPr>
        <w:t xml:space="preserve">تخميس القصائد الفازازية، جع،</w:t>
      </w:r>
    </w:p>
    <w:p>
      <w:pPr>
        <w:pStyle w:val="BookText"/>
      </w:pPr>
      <w:r>
        <w:rPr>
          <w:rFonts w:ascii="IRNazanin" w:hAnsi="IRNazanin" w:eastAsia="IRNazanin" w:cs="IRNazanin"/>
          <w:lang w:bidi="fa-IR"/>
          <w:color w:val="111111"/>
          <w:sz w:val="28"/>
          <w:szCs w:val="28"/>
          <w:rtl/>
        </w:rPr>
        <w:t xml:space="preserve">ص 111.</w:t>
      </w:r>
    </w:p>
    <w:p>
      <w:pPr>
        <w:pStyle w:val="Heading2"/>
      </w:pPr>
      <w:bookmarkStart w:id="1818" w:name="_Toc920"/>
      <w:r>
        <w:t>ابن يرقان ، طيب بن يرقان</w:t>
      </w:r>
      <w:bookmarkEnd w:id="1818"/>
    </w:p>
    <w:p>
      <w:pPr>
        <w:pStyle w:val="BookText"/>
      </w:pPr>
      <w:r>
        <w:rPr>
          <w:rFonts w:ascii="Amiri" w:hAnsi="Amiri" w:eastAsia="Amiri" w:cs="Amiri"/>
          <w:lang w:bidi="ar-SA"/>
          <w:color w:val="111111"/>
          <w:sz w:val="28"/>
          <w:szCs w:val="28"/>
          <w:rtl/>
        </w:rPr>
        <w:t xml:space="preserve">مختصر البسملة، ج 14 ، ص 177.</w:t>
      </w:r>
    </w:p>
    <w:p>
      <w:pPr>
        <w:pStyle w:val="Heading2"/>
      </w:pPr>
      <w:bookmarkStart w:id="1819" w:name="_Toc921"/>
      <w:r>
        <w:t>ابن يعقوب ، احمد بن ابراهيم -1066ه-</w:t>
      </w:r>
      <w:bookmarkEnd w:id="1819"/>
    </w:p>
    <w:p>
      <w:pPr>
        <w:pStyle w:val="BookText"/>
      </w:pPr>
      <w:r>
        <w:rPr>
          <w:rFonts w:ascii="Amiri" w:hAnsi="Amiri" w:eastAsia="Amiri" w:cs="Amiri"/>
          <w:lang w:bidi="ar-SA"/>
          <w:color w:val="111111"/>
          <w:sz w:val="28"/>
          <w:szCs w:val="28"/>
          <w:rtl/>
        </w:rPr>
        <w:t xml:space="preserve">1 .كتاب عبادات في جواز الوضوء بالماء المستعمل، ج13، ص108.</w:t>
      </w:r>
    </w:p>
    <w:p>
      <w:pPr>
        <w:pStyle w:val="BookText"/>
      </w:pPr>
      <w:r>
        <w:rPr>
          <w:rFonts w:ascii="Amiri" w:hAnsi="Amiri" w:eastAsia="Amiri" w:cs="Amiri"/>
          <w:lang w:bidi="ar-SA"/>
          <w:color w:val="111111"/>
          <w:sz w:val="28"/>
          <w:szCs w:val="28"/>
          <w:rtl/>
        </w:rPr>
        <w:t xml:space="preserve">2 .منهاج الترجيح و التجريح إلى معراج المعنى الراجح و مسقط الرجيح، ج 15 ، ص 753 .</w:t>
      </w:r>
    </w:p>
    <w:p>
      <w:pPr>
        <w:pStyle w:val="BookText"/>
      </w:pPr>
      <w:r>
        <w:rPr>
          <w:rFonts w:ascii="Amiri" w:hAnsi="Amiri" w:eastAsia="Amiri" w:cs="Amiri"/>
          <w:lang w:bidi="ar-SA"/>
          <w:color w:val="111111"/>
          <w:sz w:val="28"/>
          <w:szCs w:val="28"/>
          <w:rtl/>
        </w:rPr>
        <w:t xml:space="preserve">ابن يعيش ، يعيش بن ابراهيم بن</w:t>
      </w:r>
    </w:p>
    <w:p>
      <w:pPr>
        <w:pStyle w:val="BookText"/>
      </w:pPr>
      <w:r>
        <w:rPr>
          <w:rFonts w:ascii="Amiri" w:hAnsi="Amiri" w:eastAsia="Amiri" w:cs="Amiri"/>
          <w:lang w:bidi="ar-SA"/>
          <w:color w:val="111111"/>
          <w:sz w:val="28"/>
          <w:szCs w:val="28"/>
          <w:rtl/>
        </w:rPr>
        <w:t xml:space="preserve">يوسف- اموي ، يعيش بن ابراهيم</w:t>
      </w:r>
    </w:p>
    <w:p>
      <w:pPr>
        <w:pStyle w:val="BookText"/>
      </w:pPr>
      <w:r>
        <w:rPr>
          <w:rFonts w:ascii="Amiri" w:hAnsi="Amiri" w:eastAsia="Amiri" w:cs="Amiri"/>
          <w:lang w:bidi="ar-SA"/>
          <w:color w:val="111111"/>
          <w:sz w:val="28"/>
          <w:szCs w:val="28"/>
          <w:rtl/>
        </w:rPr>
        <w:t xml:space="preserve">ابن يللبخت ، عيسى بن</w:t>
      </w:r>
    </w:p>
    <w:p>
      <w:pPr>
        <w:pStyle w:val="BookText"/>
      </w:pPr>
      <w:r>
        <w:rPr>
          <w:rFonts w:ascii="Amiri" w:hAnsi="Amiri" w:eastAsia="Amiri" w:cs="Amiri"/>
          <w:lang w:bidi="ar-SA"/>
          <w:color w:val="111111"/>
          <w:sz w:val="28"/>
          <w:szCs w:val="28"/>
          <w:rtl/>
        </w:rPr>
        <w:t xml:space="preserve">عبد العزيز -جزولي ، عيسى بن عبدالعزيز</w:t>
      </w:r>
    </w:p>
    <w:p>
      <w:pPr>
        <w:pStyle w:val="BookText"/>
      </w:pPr>
      <w:r>
        <w:rPr>
          <w:rFonts w:ascii="Amiri" w:hAnsi="Amiri" w:eastAsia="Amiri" w:cs="Amiri"/>
          <w:lang w:bidi="ar-SA"/>
          <w:color w:val="111111"/>
          <w:sz w:val="28"/>
          <w:szCs w:val="28"/>
          <w:rtl/>
        </w:rPr>
        <w:t xml:space="preserve">ابن يوسف ، محمد بن وحيد محمّد- دمشقي ، محمّد بن وحيد محمّد</w:t>
      </w:r>
    </w:p>
    <w:p>
      <w:pPr>
        <w:pStyle w:val="Heading2"/>
      </w:pPr>
      <w:bookmarkStart w:id="1820" w:name="_Toc922"/>
      <w:r>
        <w:t>ابن يونس ، علي بن عبد الرحمن - 399 ه-</w:t>
      </w:r>
      <w:bookmarkEnd w:id="1820"/>
    </w:p>
    <w:p>
      <w:pPr>
        <w:pStyle w:val="BookText"/>
      </w:pPr>
      <w:r>
        <w:rPr>
          <w:rFonts w:ascii="Amiri" w:hAnsi="Amiri" w:eastAsia="Amiri" w:cs="Amiri"/>
          <w:lang w:bidi="ar-SA"/>
          <w:color w:val="111111"/>
          <w:sz w:val="28"/>
          <w:szCs w:val="28"/>
          <w:rtl/>
        </w:rPr>
        <w:t xml:space="preserve">1 .غاية الانتفاع في معرفة فضل الدائر</w:t>
      </w:r>
    </w:p>
    <w:p>
      <w:pPr>
        <w:pStyle w:val="BookText"/>
      </w:pPr>
      <w:r>
        <w:rPr>
          <w:rFonts w:ascii="IRNazanin" w:hAnsi="IRNazanin" w:eastAsia="IRNazanin" w:cs="IRNazanin"/>
          <w:lang w:bidi="fa-IR"/>
          <w:color w:val="111111"/>
          <w:sz w:val="28"/>
          <w:szCs w:val="28"/>
          <w:rtl/>
        </w:rPr>
        <w:t xml:space="preserve">من الارتفاع، ج 11، ص 430 .</w:t>
      </w:r>
    </w:p>
    <w:p>
      <w:pPr>
        <w:pStyle w:val="BookText"/>
      </w:pPr>
      <w:r>
        <w:rPr>
          <w:rFonts w:ascii="Amiri" w:hAnsi="Amiri" w:eastAsia="Amiri" w:cs="Amiri"/>
          <w:lang w:bidi="ar-SA"/>
          <w:color w:val="111111"/>
          <w:sz w:val="28"/>
          <w:szCs w:val="28"/>
          <w:rtl/>
        </w:rPr>
        <w:t xml:space="preserve">2.نظم صور الكواكب = ارجوزة في</w:t>
      </w:r>
    </w:p>
    <w:p>
      <w:pPr>
        <w:pStyle w:val="BookText"/>
      </w:pPr>
      <w:r>
        <w:rPr>
          <w:rFonts w:ascii="Amiri" w:hAnsi="Amiri" w:eastAsia="Amiri" w:cs="Amiri"/>
          <w:lang w:bidi="ar-SA"/>
          <w:color w:val="111111"/>
          <w:sz w:val="28"/>
          <w:szCs w:val="28"/>
          <w:rtl/>
        </w:rPr>
        <w:t xml:space="preserve">الصور الفلكية، ج 16، ص 346.</w:t>
      </w:r>
    </w:p>
    <w:p>
      <w:pPr>
        <w:pStyle w:val="Heading2"/>
      </w:pPr>
      <w:bookmarkStart w:id="1821" w:name="_Toc923"/>
      <w:r>
        <w:t>ابهاري ، غلام مصطفى</w:t>
      </w:r>
      <w:bookmarkEnd w:id="1821"/>
    </w:p>
    <w:p>
      <w:pPr>
        <w:pStyle w:val="BookText"/>
      </w:pPr>
      <w:r>
        <w:rPr>
          <w:rFonts w:ascii="Amiri" w:hAnsi="Amiri" w:eastAsia="Amiri" w:cs="Amiri"/>
          <w:lang w:bidi="ar-SA"/>
          <w:color w:val="111111"/>
          <w:sz w:val="28"/>
          <w:szCs w:val="28"/>
          <w:rtl/>
        </w:rPr>
        <w:t xml:space="preserve">مجربات التداوي، ج 13، ص812.</w:t>
      </w:r>
    </w:p>
    <w:p>
      <w:pPr>
        <w:pStyle w:val="Heading2"/>
      </w:pPr>
      <w:bookmarkStart w:id="1822" w:name="_Toc924"/>
      <w:r>
        <w:t>ابهري ، ابوالوزير بن احمد ه-</w:t>
      </w:r>
      <w:bookmarkEnd w:id="1822"/>
    </w:p>
    <w:p>
      <w:pPr>
        <w:pStyle w:val="BookText"/>
      </w:pPr>
      <w:r>
        <w:rPr>
          <w:rFonts w:ascii="Amiri" w:hAnsi="Amiri" w:eastAsia="Amiri" w:cs="Amiri"/>
          <w:lang w:bidi="ar-SA"/>
          <w:color w:val="111111"/>
          <w:sz w:val="28"/>
          <w:szCs w:val="28"/>
          <w:rtl/>
        </w:rPr>
        <w:t xml:space="preserve">طب النبي، ج 10، ص 796.</w:t>
      </w:r>
    </w:p>
    <w:p>
      <w:pPr>
        <w:pStyle w:val="BookText"/>
      </w:pPr>
      <w:r>
        <w:rPr>
          <w:rFonts w:ascii="Amiri" w:hAnsi="Amiri" w:eastAsia="Amiri" w:cs="Amiri"/>
          <w:lang w:bidi="ar-SA"/>
          <w:color w:val="111111"/>
          <w:sz w:val="28"/>
          <w:szCs w:val="28"/>
          <w:rtl/>
        </w:rPr>
        <w:t xml:space="preserve">ابهري ، احمد ابهري ، سيف الدين احمد</w:t>
      </w:r>
    </w:p>
    <w:p>
      <w:pPr>
        <w:pStyle w:val="Heading2"/>
      </w:pPr>
      <w:bookmarkStart w:id="1823" w:name="_Toc925"/>
      <w:r>
        <w:t>ابهري ، امين الدين - 733 ه-</w:t>
      </w:r>
      <w:bookmarkEnd w:id="1823"/>
    </w:p>
    <w:p>
      <w:pPr>
        <w:pStyle w:val="BookText"/>
      </w:pPr>
      <w:r>
        <w:rPr>
          <w:rFonts w:ascii="Amiri" w:hAnsi="Amiri" w:eastAsia="Amiri" w:cs="Amiri"/>
          <w:lang w:bidi="ar-SA"/>
          <w:color w:val="111111"/>
          <w:sz w:val="28"/>
          <w:szCs w:val="28"/>
          <w:rtl/>
        </w:rPr>
        <w:t xml:space="preserve">حساب التخت و الميل (رسالة في)</w:t>
      </w:r>
    </w:p>
    <w:p>
      <w:pPr>
        <w:pStyle w:val="BookText"/>
      </w:pPr>
      <w:r>
        <w:rPr>
          <w:rFonts w:ascii="IRNazanin" w:hAnsi="IRNazanin" w:eastAsia="IRNazanin" w:cs="IRNazanin"/>
          <w:lang w:bidi="fa-IR"/>
          <w:color w:val="111111"/>
          <w:sz w:val="28"/>
          <w:szCs w:val="28"/>
          <w:rtl/>
        </w:rPr>
        <w:t xml:space="preserve">ج 6 ، ص 642 .</w:t>
      </w:r>
    </w:p>
    <w:p>
      <w:pPr>
        <w:pStyle w:val="Heading2"/>
      </w:pPr>
      <w:bookmarkStart w:id="1824" w:name="_Toc926"/>
      <w:r>
        <w:t>ابهري ، سيف الدین احمد قرن 8 ه-</w:t>
      </w:r>
      <w:bookmarkEnd w:id="1824"/>
    </w:p>
    <w:p>
      <w:pPr>
        <w:pStyle w:val="BookText"/>
      </w:pPr>
      <w:r>
        <w:rPr>
          <w:rFonts w:ascii="Amiri" w:hAnsi="Amiri" w:eastAsia="Amiri" w:cs="Amiri"/>
          <w:lang w:bidi="ar-SA"/>
          <w:color w:val="111111"/>
          <w:sz w:val="28"/>
          <w:szCs w:val="28"/>
          <w:rtl/>
        </w:rPr>
        <w:t xml:space="preserve">حاشية شرح مختصر الاصول، ج 6،</w:t>
      </w:r>
    </w:p>
    <w:p>
      <w:pPr>
        <w:pStyle w:val="BookText"/>
      </w:pPr>
      <w:r>
        <w:rPr>
          <w:rFonts w:ascii="IRNazanin" w:hAnsi="IRNazanin" w:eastAsia="IRNazanin" w:cs="IRNazanin"/>
          <w:lang w:bidi="fa-IR"/>
          <w:color w:val="111111"/>
          <w:sz w:val="28"/>
          <w:szCs w:val="28"/>
          <w:rtl/>
        </w:rPr>
        <w:t xml:space="preserve">ص 171.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34" w:name="pg7742_69627"/>
    <w:bookmarkEnd w:id="134"/>
    <w:p>
      <w:pPr>
        <w:pStyle w:val="Heading2"/>
      </w:pPr>
      <w:bookmarkStart w:id="1825" w:name="_Toc927"/>
      <w:r>
        <w:t>ابهري ، محمّد بن عبد الله، 289 - 375 ه-</w:t>
      </w:r>
      <w:bookmarkEnd w:id="1825"/>
    </w:p>
    <w:p>
      <w:pPr>
        <w:pStyle w:val="BookText"/>
      </w:pPr>
      <w:r>
        <w:rPr>
          <w:rFonts w:ascii="Amiri" w:hAnsi="Amiri" w:eastAsia="Amiri" w:cs="Amiri"/>
          <w:lang w:bidi="ar-SA"/>
          <w:color w:val="111111"/>
          <w:sz w:val="28"/>
          <w:szCs w:val="28"/>
          <w:rtl/>
        </w:rPr>
        <w:t xml:space="preserve">الفوائد المنتقاة الغرائب الحسان</w:t>
      </w:r>
    </w:p>
    <w:p>
      <w:pPr>
        <w:pStyle w:val="BookText"/>
      </w:pPr>
      <w:r>
        <w:rPr>
          <w:rFonts w:ascii="IRNazanin" w:hAnsi="IRNazanin" w:eastAsia="IRNazanin" w:cs="IRNazanin"/>
          <w:lang w:bidi="fa-IR"/>
          <w:color w:val="111111"/>
          <w:sz w:val="28"/>
          <w:szCs w:val="28"/>
          <w:rtl/>
        </w:rPr>
        <w:t xml:space="preserve">ج 12، ص 279</w:t>
      </w:r>
    </w:p>
    <w:p>
      <w:pPr>
        <w:pStyle w:val="Heading2"/>
      </w:pPr>
      <w:bookmarkStart w:id="1826" w:name="_Toc928"/>
      <w:r>
        <w:t>ابو الاخرس ابراهيم بن محمّد قرن 11ه-</w:t>
      </w:r>
      <w:bookmarkEnd w:id="1826"/>
    </w:p>
    <w:p>
      <w:pPr>
        <w:pStyle w:val="BookText"/>
      </w:pPr>
      <w:r>
        <w:rPr>
          <w:rFonts w:ascii="Amiri" w:hAnsi="Amiri" w:eastAsia="Amiri" w:cs="Amiri"/>
          <w:lang w:bidi="ar-SA"/>
          <w:color w:val="111111"/>
          <w:sz w:val="28"/>
          <w:szCs w:val="28"/>
          <w:rtl/>
        </w:rPr>
        <w:t xml:space="preserve">اجازة لعلاء الدين بن الخطيب زين</w:t>
      </w:r>
    </w:p>
    <w:p>
      <w:pPr>
        <w:pStyle w:val="BookText"/>
      </w:pPr>
      <w:r>
        <w:rPr>
          <w:rFonts w:ascii="IRNazanin" w:hAnsi="IRNazanin" w:eastAsia="IRNazanin" w:cs="IRNazanin"/>
          <w:lang w:bidi="fa-IR"/>
          <w:color w:val="111111"/>
          <w:sz w:val="28"/>
          <w:szCs w:val="28"/>
          <w:rtl/>
        </w:rPr>
        <w:t xml:space="preserve">الدین عبدالرحمن ابن الشيخ سليمان</w:t>
      </w:r>
    </w:p>
    <w:p>
      <w:pPr>
        <w:pStyle w:val="BookText"/>
      </w:pPr>
      <w:r>
        <w:rPr>
          <w:rFonts w:ascii="IRNazanin" w:hAnsi="IRNazanin" w:eastAsia="IRNazanin" w:cs="IRNazanin"/>
          <w:lang w:bidi="fa-IR"/>
          <w:color w:val="111111"/>
          <w:sz w:val="28"/>
          <w:szCs w:val="28"/>
          <w:rtl/>
        </w:rPr>
        <w:t xml:space="preserve">ج 1، ص 279.</w:t>
      </w:r>
    </w:p>
    <w:p>
      <w:pPr>
        <w:pStyle w:val="Heading2"/>
      </w:pPr>
      <w:bookmarkStart w:id="1827" w:name="_Toc929"/>
      <w:r>
        <w:t>ابو الارشاد ، علي مالكي</w:t>
      </w:r>
      <w:bookmarkEnd w:id="1827"/>
    </w:p>
    <w:p>
      <w:pPr>
        <w:pStyle w:val="BookText"/>
      </w:pPr>
      <w:r>
        <w:rPr>
          <w:rFonts w:ascii="Amiri" w:hAnsi="Amiri" w:eastAsia="Amiri" w:cs="Amiri"/>
          <w:lang w:bidi="ar-SA"/>
          <w:color w:val="111111"/>
          <w:sz w:val="28"/>
          <w:szCs w:val="28"/>
          <w:rtl/>
        </w:rPr>
        <w:t xml:space="preserve">شرح البسملة، ج 9، ص 285</w:t>
      </w:r>
    </w:p>
    <w:p>
      <w:pPr>
        <w:pStyle w:val="BookText"/>
      </w:pPr>
      <w:r>
        <w:rPr>
          <w:rFonts w:ascii="IRNazanin" w:hAnsi="IRNazanin" w:eastAsia="IRNazanin" w:cs="IRNazanin"/>
          <w:lang w:bidi="fa-IR"/>
          <w:color w:val="111111"/>
          <w:sz w:val="28"/>
          <w:szCs w:val="28"/>
          <w:rtl/>
        </w:rPr>
        <w:t xml:space="preserve">ابواسامه ، اسامه بن مرشد ابن منقذ ،</w:t>
      </w:r>
    </w:p>
    <w:p>
      <w:pPr>
        <w:pStyle w:val="BookText"/>
      </w:pPr>
      <w:r>
        <w:rPr>
          <w:rFonts w:ascii="Amiri" w:hAnsi="Amiri" w:eastAsia="Amiri" w:cs="Amiri"/>
          <w:lang w:bidi="ar-SA"/>
          <w:color w:val="111111"/>
          <w:sz w:val="28"/>
          <w:szCs w:val="28"/>
          <w:rtl/>
        </w:rPr>
        <w:t xml:space="preserve">اسامة بن مرشد</w:t>
      </w:r>
    </w:p>
    <w:p>
      <w:pPr>
        <w:pStyle w:val="BookText"/>
      </w:pPr>
      <w:r>
        <w:rPr>
          <w:rFonts w:ascii="Amiri" w:hAnsi="Amiri" w:eastAsia="Amiri" w:cs="Amiri"/>
          <w:lang w:bidi="ar-SA"/>
          <w:color w:val="111111"/>
          <w:sz w:val="28"/>
          <w:szCs w:val="28"/>
          <w:rtl/>
        </w:rPr>
        <w:t xml:space="preserve">ابواسحاق تونسي- تونسي ، ابواسحاق</w:t>
      </w:r>
    </w:p>
    <w:p>
      <w:pPr>
        <w:pStyle w:val="BookText"/>
      </w:pPr>
      <w:r>
        <w:rPr>
          <w:rFonts w:ascii="Amiri" w:hAnsi="Amiri" w:eastAsia="Amiri" w:cs="Amiri"/>
          <w:lang w:bidi="ar-SA"/>
          <w:color w:val="111111"/>
          <w:sz w:val="28"/>
          <w:szCs w:val="28"/>
          <w:rtl/>
        </w:rPr>
        <w:t xml:space="preserve">ابواسحاق جنيدي -جنيدي ، ابواسحاق</w:t>
      </w:r>
    </w:p>
    <w:p>
      <w:pPr>
        <w:pStyle w:val="Heading2"/>
      </w:pPr>
      <w:bookmarkStart w:id="1828" w:name="_Toc930"/>
      <w:r>
        <w:t>ابو اسحاق شيرازي، ابراهيم بن علي، 393؟</w:t>
      </w:r>
      <w:bookmarkEnd w:id="18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476 ه-</w:t>
      </w:r>
    </w:p>
    <w:p>
      <w:pPr>
        <w:pStyle w:val="BookText"/>
      </w:pPr>
      <w:r>
        <w:rPr>
          <w:rFonts w:ascii="Amiri" w:hAnsi="Amiri" w:eastAsia="Amiri" w:cs="Amiri"/>
          <w:lang w:bidi="ar-SA"/>
          <w:color w:val="111111"/>
          <w:sz w:val="28"/>
          <w:szCs w:val="28"/>
          <w:rtl/>
        </w:rPr>
        <w:t xml:space="preserve">1 .التنبيه، ج 5، ص 14.</w:t>
      </w:r>
    </w:p>
    <w:p>
      <w:pPr>
        <w:pStyle w:val="BookText"/>
      </w:pPr>
      <w:r>
        <w:rPr>
          <w:rFonts w:ascii="IRNazanin" w:hAnsi="IRNazanin" w:eastAsia="IRNazanin" w:cs="IRNazanin"/>
          <w:lang w:bidi="fa-IR"/>
          <w:color w:val="111111"/>
          <w:sz w:val="28"/>
          <w:szCs w:val="28"/>
          <w:rtl/>
        </w:rPr>
        <w:t xml:space="preserve">2 .طبقات الفقهاء، ج 10، ص 783.</w:t>
      </w:r>
    </w:p>
    <w:p>
      <w:pPr>
        <w:pStyle w:val="BookText"/>
      </w:pPr>
      <w:r>
        <w:rPr>
          <w:rFonts w:ascii="Amiri" w:hAnsi="Amiri" w:eastAsia="Amiri" w:cs="Amiri"/>
          <w:lang w:bidi="ar-SA"/>
          <w:color w:val="111111"/>
          <w:sz w:val="28"/>
          <w:szCs w:val="28"/>
          <w:rtl/>
        </w:rPr>
        <w:t xml:space="preserve">3 .كفاية النبيه في شرح التنبيه، ج13،</w:t>
      </w:r>
    </w:p>
    <w:p>
      <w:pPr>
        <w:pStyle w:val="BookText"/>
      </w:pPr>
      <w:r>
        <w:rPr>
          <w:rFonts w:ascii="IRNazanin" w:hAnsi="IRNazanin" w:eastAsia="IRNazanin" w:cs="IRNazanin"/>
          <w:lang w:bidi="fa-IR"/>
          <w:color w:val="111111"/>
          <w:sz w:val="28"/>
          <w:szCs w:val="28"/>
          <w:rtl/>
        </w:rPr>
        <w:t xml:space="preserve">ص 342 .</w:t>
      </w:r>
    </w:p>
    <w:p>
      <w:pPr>
        <w:pStyle w:val="BookText"/>
      </w:pPr>
      <w:r>
        <w:rPr>
          <w:rFonts w:ascii="Amiri" w:hAnsi="Amiri" w:eastAsia="Amiri" w:cs="Amiri"/>
          <w:lang w:bidi="ar-SA"/>
          <w:color w:val="111111"/>
          <w:sz w:val="28"/>
          <w:szCs w:val="28"/>
          <w:rtl/>
        </w:rPr>
        <w:t xml:space="preserve">4 .المهذب في المذهب، ج 15، ص 846.</w:t>
      </w:r>
    </w:p>
    <w:p>
      <w:pPr>
        <w:pStyle w:val="Heading2"/>
      </w:pPr>
      <w:bookmarkStart w:id="1829" w:name="_Toc931"/>
      <w:r>
        <w:t>ابوالاسعاد احمد بن ایوب</w:t>
      </w:r>
      <w:bookmarkEnd w:id="1829"/>
    </w:p>
    <w:p>
      <w:pPr>
        <w:pStyle w:val="BookText"/>
      </w:pPr>
      <w:r>
        <w:rPr>
          <w:rFonts w:ascii="Amiri" w:hAnsi="Amiri" w:eastAsia="Amiri" w:cs="Amiri"/>
          <w:lang w:bidi="ar-SA"/>
          <w:color w:val="111111"/>
          <w:sz w:val="28"/>
          <w:szCs w:val="28"/>
          <w:rtl/>
        </w:rPr>
        <w:t xml:space="preserve">اسلوب الحكيم، ج 2، ص 209.</w:t>
      </w:r>
    </w:p>
    <w:p>
      <w:pPr>
        <w:pStyle w:val="Heading2"/>
      </w:pPr>
      <w:bookmarkStart w:id="1830" w:name="_Toc932"/>
      <w:r>
        <w:t>ابوالاسود دؤلي - 69 ه-</w:t>
      </w:r>
      <w:bookmarkEnd w:id="1830"/>
    </w:p>
    <w:p>
      <w:pPr>
        <w:pStyle w:val="BookText"/>
      </w:pPr>
      <w:r>
        <w:rPr>
          <w:rFonts w:ascii="Amiri" w:hAnsi="Amiri" w:eastAsia="Amiri" w:cs="Amiri"/>
          <w:lang w:bidi="ar-SA"/>
          <w:color w:val="111111"/>
          <w:sz w:val="28"/>
          <w:szCs w:val="28"/>
          <w:rtl/>
        </w:rPr>
        <w:t xml:space="preserve">ديوان أبي الأسود الدؤلي، ج7، ص 561.</w:t>
      </w:r>
    </w:p>
    <w:p>
      <w:pPr>
        <w:pStyle w:val="BookText"/>
      </w:pPr>
      <w:r>
        <w:rPr>
          <w:rFonts w:ascii="IRNazanin" w:hAnsi="IRNazanin" w:eastAsia="IRNazanin" w:cs="IRNazanin"/>
          <w:lang w:bidi="fa-IR"/>
          <w:color w:val="111111"/>
          <w:sz w:val="28"/>
          <w:szCs w:val="28"/>
          <w:rtl/>
        </w:rPr>
        <w:t xml:space="preserve">ابوالبركات بغدادي -ابن ملكا ، هبة الله بن علی</w:t>
      </w:r>
    </w:p>
    <w:p>
      <w:pPr>
        <w:pStyle w:val="BookText"/>
      </w:pPr>
      <w:r>
        <w:rPr>
          <w:rFonts w:ascii="Amiri" w:hAnsi="Amiri" w:eastAsia="Amiri" w:cs="Amiri"/>
          <w:lang w:bidi="ar-SA"/>
          <w:color w:val="111111"/>
          <w:sz w:val="28"/>
          <w:szCs w:val="28"/>
          <w:rtl/>
        </w:rPr>
        <w:t xml:space="preserve">ابهري ، مفضل بن عمر اثير الدين- ابهري ،</w:t>
      </w:r>
    </w:p>
    <w:p>
      <w:pPr>
        <w:pStyle w:val="BookText"/>
      </w:pPr>
      <w:r>
        <w:rPr>
          <w:rFonts w:ascii="IRNazanin" w:hAnsi="IRNazanin" w:eastAsia="IRNazanin" w:cs="IRNazanin"/>
          <w:lang w:bidi="fa-IR"/>
          <w:color w:val="111111"/>
          <w:sz w:val="28"/>
          <w:szCs w:val="28"/>
          <w:rtl/>
        </w:rPr>
        <w:t xml:space="preserve">مفضل بن عمر</w:t>
      </w:r>
    </w:p>
    <w:p>
      <w:pPr>
        <w:pStyle w:val="Heading2"/>
      </w:pPr>
      <w:bookmarkStart w:id="1831" w:name="_Toc933"/>
      <w:r>
        <w:t>ابوالبركات حسيني ، محمّد بن احمد قرن</w:t>
      </w:r>
      <w:bookmarkEnd w:id="1831"/>
    </w:p>
    <w:p>
      <w:pPr>
        <w:pStyle w:val="BookText"/>
      </w:pPr>
      <w:r>
        <w:rPr>
          <w:rFonts w:ascii="IRNazanin" w:hAnsi="IRNazanin" w:eastAsia="IRNazanin" w:cs="IRNazanin"/>
          <w:lang w:bidi="fa-IR"/>
          <w:color w:val="111111"/>
          <w:sz w:val="28"/>
          <w:szCs w:val="28"/>
          <w:rtl/>
        </w:rPr>
        <w:t xml:space="preserve">6ه-</w:t>
      </w:r>
    </w:p>
    <w:p>
      <w:pPr>
        <w:pStyle w:val="BookText"/>
      </w:pPr>
      <w:r>
        <w:rPr>
          <w:rFonts w:ascii="IRNazanin" w:hAnsi="IRNazanin" w:eastAsia="IRNazanin" w:cs="IRNazanin"/>
          <w:lang w:bidi="fa-IR"/>
          <w:color w:val="111111"/>
          <w:sz w:val="28"/>
          <w:szCs w:val="28"/>
          <w:rtl/>
        </w:rPr>
        <w:t xml:space="preserve">الغرر و الدرر = اخبار الرسول، ج11،</w:t>
      </w:r>
    </w:p>
    <w:p>
      <w:pPr>
        <w:pStyle w:val="BookText"/>
      </w:pPr>
      <w:r>
        <w:rPr>
          <w:rFonts w:ascii="IRNazanin" w:hAnsi="IRNazanin" w:eastAsia="IRNazanin" w:cs="IRNazanin"/>
          <w:lang w:bidi="fa-IR"/>
          <w:color w:val="111111"/>
          <w:sz w:val="28"/>
          <w:szCs w:val="28"/>
          <w:rtl/>
        </w:rPr>
        <w:t xml:space="preserve">ص 488 .</w:t>
      </w:r>
    </w:p>
    <w:p>
      <w:pPr>
        <w:pStyle w:val="Heading2"/>
      </w:pPr>
      <w:bookmarkStart w:id="1832" w:name="_Toc934"/>
      <w:r>
        <w:t>ابوالبركات ، يحيى بن محمّد</w:t>
      </w:r>
      <w:bookmarkEnd w:id="1832"/>
    </w:p>
    <w:p>
      <w:pPr>
        <w:pStyle w:val="BookText"/>
      </w:pPr>
      <w:r>
        <w:rPr>
          <w:rFonts w:ascii="Amiri" w:hAnsi="Amiri" w:eastAsia="Amiri" w:cs="Amiri"/>
          <w:lang w:bidi="ar-SA"/>
          <w:color w:val="111111"/>
          <w:sz w:val="28"/>
          <w:szCs w:val="28"/>
          <w:rtl/>
        </w:rPr>
        <w:t xml:space="preserve">توكيد العقد فيما أخذ الله علينا من</w:t>
      </w:r>
    </w:p>
    <w:p>
      <w:pPr>
        <w:pStyle w:val="BookText"/>
      </w:pPr>
      <w:r>
        <w:rPr>
          <w:rFonts w:ascii="IRNazanin" w:hAnsi="IRNazanin" w:eastAsia="IRNazanin" w:cs="IRNazanin"/>
          <w:lang w:bidi="fa-IR"/>
          <w:color w:val="111111"/>
          <w:sz w:val="28"/>
          <w:szCs w:val="28"/>
          <w:rtl/>
        </w:rPr>
        <w:t xml:space="preserve">العهد، ج 5، ص188.</w:t>
      </w:r>
    </w:p>
    <w:p>
      <w:pPr>
        <w:pStyle w:val="Heading2"/>
      </w:pPr>
      <w:bookmarkStart w:id="1833" w:name="_Toc935"/>
      <w:r>
        <w:t>ابوالبقاء</w:t>
      </w:r>
      <w:bookmarkEnd w:id="1833"/>
    </w:p>
    <w:p>
      <w:pPr>
        <w:pStyle w:val="BookText"/>
      </w:pPr>
      <w:r>
        <w:rPr>
          <w:rFonts w:ascii="Amiri" w:hAnsi="Amiri" w:eastAsia="Amiri" w:cs="Amiri"/>
          <w:lang w:bidi="ar-SA"/>
          <w:color w:val="111111"/>
          <w:sz w:val="28"/>
          <w:szCs w:val="28"/>
          <w:rtl/>
        </w:rPr>
        <w:t xml:space="preserve">حاشية شرح الرسالة الوضعية العضدية، ج6، ص 116.</w:t>
      </w:r>
    </w:p>
    <w:p>
      <w:pPr>
        <w:pStyle w:val="BookText"/>
      </w:pPr>
      <w:r>
        <w:rPr>
          <w:rFonts w:ascii="Amiri" w:hAnsi="Amiri" w:eastAsia="Amiri" w:cs="Amiri"/>
          <w:lang w:bidi="ar-SA"/>
          <w:color w:val="111111"/>
          <w:sz w:val="28"/>
          <w:szCs w:val="28"/>
          <w:rtl/>
        </w:rPr>
        <w:t xml:space="preserve">ابوالبقاء هكيري- هكيري ، ابوالبقاء</w:t>
      </w:r>
    </w:p>
    <w:p>
      <w:pPr>
        <w:pStyle w:val="Heading2"/>
      </w:pPr>
      <w:bookmarkStart w:id="1834" w:name="_Toc936"/>
      <w:r>
        <w:t>ابوالثناء شهاب الدین محمود قرن 13 ه-</w:t>
      </w:r>
      <w:bookmarkEnd w:id="1834"/>
    </w:p>
    <w:p>
      <w:pPr>
        <w:pStyle w:val="BookText"/>
      </w:pPr>
      <w:r>
        <w:rPr>
          <w:rFonts w:ascii="Amiri" w:hAnsi="Amiri" w:eastAsia="Amiri" w:cs="Amiri"/>
          <w:lang w:bidi="ar-SA"/>
          <w:color w:val="111111"/>
          <w:sz w:val="28"/>
          <w:szCs w:val="28"/>
          <w:rtl/>
        </w:rPr>
        <w:t xml:space="preserve">التشبيهات، ج 4، ص 359.</w:t>
      </w:r>
    </w:p>
    <w:p>
      <w:pPr>
        <w:pStyle w:val="Heading2"/>
      </w:pPr>
      <w:bookmarkStart w:id="1835" w:name="_Toc937"/>
      <w:r>
        <w:t>ابوالجيش اندلسي ، عبدالله بن محمّد،</w:t>
      </w:r>
      <w:bookmarkEnd w:id="1835"/>
    </w:p>
    <w:p>
      <w:pPr>
        <w:pStyle w:val="BookText"/>
      </w:pPr>
      <w:r>
        <w:rPr>
          <w:rFonts w:ascii="IRNazanin" w:hAnsi="IRNazanin" w:eastAsia="IRNazanin" w:cs="IRNazanin"/>
          <w:lang w:bidi="fa-IR"/>
          <w:color w:val="111111"/>
          <w:sz w:val="28"/>
          <w:szCs w:val="28"/>
          <w:rtl/>
        </w:rPr>
        <w:t xml:space="preserve">549 ه-</w:t>
      </w:r>
    </w:p>
    <w:p>
      <w:pPr>
        <w:pStyle w:val="BookText"/>
      </w:pPr>
      <w:r>
        <w:rPr>
          <w:rFonts w:ascii="Amiri" w:hAnsi="Amiri" w:eastAsia="Amiri" w:cs="Amiri"/>
          <w:lang w:bidi="ar-SA"/>
          <w:color w:val="111111"/>
          <w:sz w:val="28"/>
          <w:szCs w:val="28"/>
          <w:rtl/>
        </w:rPr>
        <w:t xml:space="preserve">1 .العروض = علل الاعاريض، ج11،</w:t>
      </w:r>
    </w:p>
    <w:p>
      <w:pPr>
        <w:pStyle w:val="BookText"/>
      </w:pPr>
      <w:r>
        <w:rPr>
          <w:rFonts w:ascii="IRNazanin" w:hAnsi="IRNazanin" w:eastAsia="IRNazanin" w:cs="IRNazanin"/>
          <w:lang w:bidi="fa-IR"/>
          <w:color w:val="111111"/>
          <w:sz w:val="28"/>
          <w:szCs w:val="28"/>
          <w:rtl/>
        </w:rPr>
        <w:t xml:space="preserve">ص 91</w:t>
      </w:r>
    </w:p>
    <w:p>
      <w:pPr>
        <w:pStyle w:val="BookText"/>
      </w:pPr>
      <w:r>
        <w:rPr>
          <w:rFonts w:ascii="Amiri" w:hAnsi="Amiri" w:eastAsia="Amiri" w:cs="Amiri"/>
          <w:lang w:bidi="ar-SA"/>
          <w:color w:val="111111"/>
          <w:sz w:val="28"/>
          <w:szCs w:val="28"/>
          <w:rtl/>
        </w:rPr>
        <w:t xml:space="preserve">2 .المختصر في علم العروض = العروض</w:t>
      </w:r>
    </w:p>
    <w:p>
      <w:pPr>
        <w:pStyle w:val="BookText"/>
      </w:pPr>
      <w:r>
        <w:rPr>
          <w:rFonts w:ascii="Amiri" w:hAnsi="Amiri" w:eastAsia="Amiri" w:cs="Amiri"/>
          <w:lang w:bidi="ar-SA"/>
          <w:color w:val="111111"/>
          <w:sz w:val="28"/>
          <w:szCs w:val="28"/>
          <w:rtl/>
        </w:rPr>
        <w:t xml:space="preserve">الأندلسي، ج 14، ص 219.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5" w:name="pg7742_69629"/>
    <w:bookmarkEnd w:id="135"/>
    <w:p>
      <w:pPr>
        <w:pStyle w:val="Heading2"/>
      </w:pPr>
      <w:bookmarkStart w:id="1836" w:name="_Toc938"/>
      <w:r>
        <w:t>ابوالحسن ، احمد بن محمّد</w:t>
      </w:r>
      <w:bookmarkEnd w:id="1836"/>
    </w:p>
    <w:p>
      <w:pPr>
        <w:pStyle w:val="BookText"/>
      </w:pPr>
      <w:r>
        <w:rPr>
          <w:rFonts w:ascii="Amiri" w:hAnsi="Amiri" w:eastAsia="Amiri" w:cs="Amiri"/>
          <w:lang w:bidi="ar-SA"/>
          <w:color w:val="111111"/>
          <w:sz w:val="28"/>
          <w:szCs w:val="28"/>
          <w:rtl/>
        </w:rPr>
        <w:t xml:space="preserve">كناش في الطب، ج13، ص 397.</w:t>
      </w:r>
    </w:p>
    <w:p>
      <w:pPr>
        <w:pStyle w:val="Heading2"/>
      </w:pPr>
      <w:bookmarkStart w:id="1837" w:name="_Toc939"/>
      <w:r>
        <w:t>ابوالحسن بكري ، احمد بن عبدالله ، قرن</w:t>
      </w:r>
      <w:bookmarkEnd w:id="1837"/>
    </w:p>
    <w:p>
      <w:pPr>
        <w:pStyle w:val="BookText"/>
      </w:pPr>
      <w:r>
        <w:rPr>
          <w:rFonts w:ascii="Amiri" w:hAnsi="Amiri" w:eastAsia="Amiri" w:cs="Amiri"/>
          <w:lang w:bidi="ar-SA"/>
          <w:color w:val="111111"/>
          <w:sz w:val="28"/>
          <w:szCs w:val="28"/>
          <w:rtl/>
        </w:rPr>
        <w:t xml:space="preserve">1 .الأنوار و مفتاح السرور و الأفكار في</w:t>
      </w:r>
    </w:p>
    <w:p>
      <w:pPr>
        <w:pStyle w:val="BookText"/>
      </w:pPr>
      <w:r>
        <w:rPr>
          <w:rFonts w:ascii="Amiri" w:hAnsi="Amiri" w:eastAsia="Amiri" w:cs="Amiri"/>
          <w:lang w:bidi="ar-SA"/>
          <w:color w:val="111111"/>
          <w:sz w:val="28"/>
          <w:szCs w:val="28"/>
          <w:rtl/>
        </w:rPr>
        <w:t xml:space="preserve">مولد النبي المختار، ج3، ص30.</w:t>
      </w:r>
    </w:p>
    <w:p>
      <w:pPr>
        <w:pStyle w:val="BookText"/>
      </w:pPr>
      <w:r>
        <w:rPr>
          <w:rFonts w:ascii="Amiri" w:hAnsi="Amiri" w:eastAsia="Amiri" w:cs="Amiri"/>
          <w:lang w:bidi="ar-SA"/>
          <w:color w:val="111111"/>
          <w:sz w:val="28"/>
          <w:szCs w:val="28"/>
          <w:rtl/>
        </w:rPr>
        <w:t xml:space="preserve">2 .سيرة علي و حسن، ج 9، ص18.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فتوح اليمن = رأس الغول، ج11،</w:t>
      </w:r>
    </w:p>
    <w:p>
      <w:pPr>
        <w:pStyle w:val="BookText"/>
      </w:pPr>
      <w:r>
        <w:rPr>
          <w:rFonts w:ascii="IRNazanin" w:hAnsi="IRNazanin" w:eastAsia="IRNazanin" w:cs="IRNazanin"/>
          <w:lang w:bidi="fa-IR"/>
          <w:color w:val="111111"/>
          <w:sz w:val="28"/>
          <w:szCs w:val="28"/>
          <w:rtl/>
        </w:rPr>
        <w:t xml:space="preserve">ص 715.</w:t>
      </w:r>
    </w:p>
    <w:p>
      <w:pPr>
        <w:pStyle w:val="BookText"/>
      </w:pPr>
      <w:r>
        <w:rPr>
          <w:rFonts w:ascii="Amiri" w:hAnsi="Amiri" w:eastAsia="Amiri" w:cs="Amiri"/>
          <w:lang w:bidi="ar-SA"/>
          <w:color w:val="111111"/>
          <w:sz w:val="28"/>
          <w:szCs w:val="28"/>
          <w:rtl/>
        </w:rPr>
        <w:t xml:space="preserve">4 .فضائل علي بن ابي طالب، ج 12،</w:t>
      </w:r>
    </w:p>
    <w:p>
      <w:pPr>
        <w:pStyle w:val="BookText"/>
      </w:pPr>
      <w:r>
        <w:rPr>
          <w:rFonts w:ascii="IRNazanin" w:hAnsi="IRNazanin" w:eastAsia="IRNazanin" w:cs="IRNazanin"/>
          <w:lang w:bidi="fa-IR"/>
          <w:color w:val="111111"/>
          <w:sz w:val="28"/>
          <w:szCs w:val="28"/>
          <w:rtl/>
        </w:rPr>
        <w:t xml:space="preserve">ص 14.</w:t>
      </w:r>
    </w:p>
    <w:p>
      <w:pPr>
        <w:pStyle w:val="BookText"/>
      </w:pPr>
      <w:r>
        <w:rPr>
          <w:rFonts w:ascii="Amiri" w:hAnsi="Amiri" w:eastAsia="Amiri" w:cs="Amiri"/>
          <w:lang w:bidi="ar-SA"/>
          <w:color w:val="111111"/>
          <w:sz w:val="28"/>
          <w:szCs w:val="28"/>
          <w:rtl/>
        </w:rPr>
        <w:t xml:space="preserve">5 .مقتل امير المؤمنين (ع)، ج 15،</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ابوالحسن بن محمّد ابيوردي كاشاني- ابيوردي ، ابوالحسن بن احمد</w:t>
      </w:r>
    </w:p>
    <w:p>
      <w:pPr>
        <w:pStyle w:val="BookText"/>
      </w:pPr>
      <w:r>
        <w:rPr>
          <w:rFonts w:ascii="Amiri" w:hAnsi="Amiri" w:eastAsia="Amiri" w:cs="Amiri"/>
          <w:lang w:bidi="ar-SA"/>
          <w:color w:val="111111"/>
          <w:sz w:val="28"/>
          <w:szCs w:val="28"/>
          <w:rtl/>
        </w:rPr>
        <w:t xml:space="preserve">ابوالحسن بن محمّد صادق سندي مدني داهري نقشبندي- سندي مدني ، ابوالحسن</w:t>
      </w:r>
    </w:p>
    <w:p>
      <w:pPr>
        <w:pStyle w:val="BookText"/>
      </w:pPr>
      <w:r>
        <w:rPr>
          <w:rFonts w:ascii="IRNazanin" w:hAnsi="IRNazanin" w:eastAsia="IRNazanin" w:cs="IRNazanin"/>
          <w:lang w:bidi="fa-IR"/>
          <w:color w:val="111111"/>
          <w:sz w:val="28"/>
          <w:szCs w:val="28"/>
          <w:rtl/>
        </w:rPr>
        <w:t xml:space="preserve">بن محمّد صادق</w:t>
      </w:r>
    </w:p>
    <w:p>
      <w:pPr>
        <w:pStyle w:val="BookText"/>
      </w:pPr>
      <w:r>
        <w:rPr>
          <w:rFonts w:ascii="Amiri" w:hAnsi="Amiri" w:eastAsia="Amiri" w:cs="Amiri"/>
          <w:lang w:bidi="ar-SA"/>
          <w:color w:val="111111"/>
          <w:sz w:val="28"/>
          <w:szCs w:val="28"/>
          <w:rtl/>
        </w:rPr>
        <w:t xml:space="preserve">ابوالحسن بن محمّد طاهر شريف عاملي فتوني -فتوني اصفهاني ، ابوالحسن بن محمّد</w:t>
      </w:r>
    </w:p>
    <w:p>
      <w:pPr>
        <w:pStyle w:val="BookText"/>
      </w:pPr>
      <w:r>
        <w:rPr>
          <w:rFonts w:ascii="IRNazanin" w:hAnsi="IRNazanin" w:eastAsia="IRNazanin" w:cs="IRNazanin"/>
          <w:lang w:bidi="fa-IR"/>
          <w:color w:val="111111"/>
          <w:sz w:val="28"/>
          <w:szCs w:val="28"/>
          <w:rtl/>
        </w:rPr>
        <w:t xml:space="preserve">طاهر</w:t>
      </w:r>
    </w:p>
    <w:p>
      <w:pPr>
        <w:pStyle w:val="Heading2"/>
      </w:pPr>
      <w:bookmarkStart w:id="1838" w:name="_Toc940"/>
      <w:r>
        <w:t>ابوالحسن بن عبدالشكور</w:t>
      </w:r>
      <w:bookmarkEnd w:id="1838"/>
    </w:p>
    <w:p>
      <w:pPr>
        <w:pStyle w:val="BookText"/>
      </w:pPr>
      <w:r>
        <w:rPr>
          <w:rFonts w:ascii="Amiri" w:hAnsi="Amiri" w:eastAsia="Amiri" w:cs="Amiri"/>
          <w:lang w:bidi="ar-SA"/>
          <w:color w:val="111111"/>
          <w:sz w:val="28"/>
          <w:szCs w:val="28"/>
          <w:rtl/>
        </w:rPr>
        <w:t xml:space="preserve">شق القمر في علم الاشتقاق، ج 10،</w:t>
      </w:r>
    </w:p>
    <w:p>
      <w:pPr>
        <w:pStyle w:val="BookText"/>
      </w:pPr>
      <w:r>
        <w:rPr>
          <w:rFonts w:ascii="IRNazanin" w:hAnsi="IRNazanin" w:eastAsia="IRNazanin" w:cs="IRNazanin"/>
          <w:lang w:bidi="fa-IR"/>
          <w:color w:val="111111"/>
          <w:sz w:val="28"/>
          <w:szCs w:val="28"/>
          <w:rtl/>
        </w:rPr>
        <w:t xml:space="preserve">ص 399.</w:t>
      </w:r>
    </w:p>
    <w:p>
      <w:pPr>
        <w:pStyle w:val="Heading2"/>
      </w:pPr>
      <w:bookmarkStart w:id="1839" w:name="_Toc941"/>
      <w:r>
        <w:t>ابوالحسن ، احمد بن وبان</w:t>
      </w:r>
      <w:bookmarkEnd w:id="1839"/>
    </w:p>
    <w:p>
      <w:pPr>
        <w:pStyle w:val="BookText"/>
      </w:pPr>
      <w:r>
        <w:rPr>
          <w:rFonts w:ascii="IRNazanin" w:hAnsi="IRNazanin" w:eastAsia="IRNazanin" w:cs="IRNazanin"/>
          <w:lang w:bidi="fa-IR"/>
          <w:color w:val="111111"/>
          <w:sz w:val="28"/>
          <w:szCs w:val="28"/>
          <w:rtl/>
        </w:rPr>
        <w:t xml:space="preserve">7ه-</w:t>
      </w:r>
    </w:p>
    <w:p>
      <w:pPr>
        <w:pStyle w:val="BookText"/>
      </w:pPr>
      <w:r>
        <w:rPr>
          <w:rFonts w:ascii="Amiri" w:hAnsi="Amiri" w:eastAsia="Amiri" w:cs="Amiri"/>
          <w:lang w:bidi="ar-SA"/>
          <w:color w:val="111111"/>
          <w:sz w:val="28"/>
          <w:szCs w:val="28"/>
          <w:rtl/>
        </w:rPr>
        <w:t xml:space="preserve">نسخة من شريط الاشجعي، ج 16،</w:t>
      </w:r>
    </w:p>
    <w:p>
      <w:pPr>
        <w:pStyle w:val="BookText"/>
      </w:pPr>
      <w:r>
        <w:rPr>
          <w:rFonts w:ascii="IRNazanin" w:hAnsi="IRNazanin" w:eastAsia="IRNazanin" w:cs="IRNazanin"/>
          <w:lang w:bidi="fa-IR"/>
          <w:color w:val="111111"/>
          <w:sz w:val="28"/>
          <w:szCs w:val="28"/>
          <w:rtl/>
        </w:rPr>
        <w:t xml:space="preserve">ص 276.</w:t>
      </w:r>
    </w:p>
    <w:p>
      <w:pPr>
        <w:pStyle w:val="BookText"/>
      </w:pPr>
      <w:r>
        <w:rPr>
          <w:rFonts w:ascii="IRNazanin" w:hAnsi="IRNazanin" w:eastAsia="IRNazanin" w:cs="IRNazanin"/>
          <w:lang w:bidi="fa-IR"/>
          <w:color w:val="111111"/>
          <w:sz w:val="28"/>
          <w:szCs w:val="28"/>
          <w:rtl/>
        </w:rPr>
        <w:t xml:space="preserve">ابوالحسن بن عبدالمطلب</w:t>
      </w:r>
    </w:p>
    <w:p>
      <w:pPr>
        <w:pStyle w:val="BookText"/>
      </w:pPr>
      <w:r>
        <w:rPr>
          <w:rFonts w:ascii="Amiri" w:hAnsi="Amiri" w:eastAsia="Amiri" w:cs="Amiri"/>
          <w:lang w:bidi="ar-SA"/>
          <w:color w:val="111111"/>
          <w:sz w:val="28"/>
          <w:szCs w:val="28"/>
          <w:rtl/>
        </w:rPr>
        <w:t xml:space="preserve">اصفهاني -اصفهاني ، ابوالحسن بن عبدالمطلب</w:t>
      </w:r>
    </w:p>
    <w:p>
      <w:pPr>
        <w:pStyle w:val="BookText"/>
      </w:pPr>
      <w:r>
        <w:rPr>
          <w:rFonts w:ascii="Amiri" w:hAnsi="Amiri" w:eastAsia="Amiri" w:cs="Amiri"/>
          <w:lang w:bidi="ar-SA"/>
          <w:color w:val="111111"/>
          <w:sz w:val="28"/>
          <w:szCs w:val="28"/>
          <w:rtl/>
        </w:rPr>
        <w:t xml:space="preserve">ابوالحسن بن علي قمي- قمي ، ابوالحسن</w:t>
      </w:r>
    </w:p>
    <w:p>
      <w:pPr>
        <w:pStyle w:val="BookText"/>
      </w:pPr>
      <w:r>
        <w:rPr>
          <w:rFonts w:ascii="Amiri" w:hAnsi="Amiri" w:eastAsia="Amiri" w:cs="Amiri"/>
          <w:lang w:bidi="ar-SA"/>
          <w:color w:val="111111"/>
          <w:sz w:val="28"/>
          <w:szCs w:val="28"/>
          <w:rtl/>
        </w:rPr>
        <w:t xml:space="preserve">ابوالحسن بن ابراهيم يزدي- يزدي ،</w:t>
      </w:r>
    </w:p>
    <w:p>
      <w:pPr>
        <w:pStyle w:val="BookText"/>
      </w:pPr>
      <w:r>
        <w:rPr>
          <w:rFonts w:ascii="Amiri" w:hAnsi="Amiri" w:eastAsia="Amiri" w:cs="Amiri"/>
          <w:lang w:bidi="ar-SA"/>
          <w:color w:val="111111"/>
          <w:sz w:val="28"/>
          <w:szCs w:val="28"/>
          <w:rtl/>
        </w:rPr>
        <w:t xml:space="preserve">ابوالحسن بن ابراهيم ابوالحسن بن ابي القاسم بيهقي- بيهقي</w:t>
      </w:r>
    </w:p>
    <w:p>
      <w:pPr>
        <w:pStyle w:val="BookText"/>
      </w:pPr>
      <w:r>
        <w:rPr>
          <w:rFonts w:ascii="Amiri" w:hAnsi="Amiri" w:eastAsia="Amiri" w:cs="Amiri"/>
          <w:lang w:bidi="ar-SA"/>
          <w:color w:val="111111"/>
          <w:sz w:val="28"/>
          <w:szCs w:val="28"/>
          <w:rtl/>
        </w:rPr>
        <w:t xml:space="preserve">ابوالحسن بن ابي القسم ابوالحسن بن احمد ابيوردي كاشاني- ابيوردي ، ابوالحسن بن احمد</w:t>
      </w:r>
    </w:p>
    <w:p>
      <w:pPr>
        <w:pStyle w:val="BookText"/>
      </w:pPr>
      <w:r>
        <w:rPr>
          <w:rFonts w:ascii="Amiri" w:hAnsi="Amiri" w:eastAsia="Amiri" w:cs="Amiri"/>
          <w:lang w:bidi="ar-SA"/>
          <w:color w:val="111111"/>
          <w:sz w:val="28"/>
          <w:szCs w:val="28"/>
          <w:rtl/>
        </w:rPr>
        <w:t xml:space="preserve">ابوالحسن بن احمد محي الدين- ابوالحسن بن احمد</w:t>
      </w:r>
    </w:p>
    <w:p>
      <w:pPr>
        <w:pStyle w:val="BookText"/>
      </w:pPr>
      <w:r>
        <w:rPr>
          <w:rFonts w:ascii="Amiri" w:hAnsi="Amiri" w:eastAsia="Amiri" w:cs="Amiri"/>
          <w:lang w:bidi="ar-SA"/>
          <w:color w:val="111111"/>
          <w:sz w:val="28"/>
          <w:szCs w:val="28"/>
          <w:rtl/>
        </w:rPr>
        <w:t xml:space="preserve">ابوالحسن بن حسن قطيفي- قطيفي</w:t>
      </w:r>
    </w:p>
    <w:p>
      <w:pPr>
        <w:pStyle w:val="BookText"/>
      </w:pPr>
      <w:r>
        <w:rPr>
          <w:rFonts w:ascii="IRNazanin" w:hAnsi="IRNazanin" w:eastAsia="IRNazanin" w:cs="IRNazanin"/>
          <w:lang w:bidi="fa-IR"/>
          <w:color w:val="111111"/>
          <w:sz w:val="28"/>
          <w:szCs w:val="28"/>
          <w:rtl/>
        </w:rPr>
        <w:t xml:space="preserve">ابوالحسن بن حسن</w:t>
      </w:r>
    </w:p>
    <w:p>
      <w:pPr>
        <w:pStyle w:val="BookText"/>
      </w:pPr>
      <w:r>
        <w:rPr>
          <w:rFonts w:ascii="Amiri" w:hAnsi="Amiri" w:eastAsia="Amiri" w:cs="Amiri"/>
          <w:lang w:bidi="ar-SA"/>
          <w:color w:val="111111"/>
          <w:sz w:val="28"/>
          <w:szCs w:val="28"/>
          <w:rtl/>
        </w:rPr>
        <w:t xml:space="preserve">ابوالحسن بن حسين يزدي -يزدي</w:t>
      </w:r>
    </w:p>
    <w:p>
      <w:pPr>
        <w:pStyle w:val="BookText"/>
      </w:pPr>
      <w:r>
        <w:rPr>
          <w:rFonts w:ascii="Amiri" w:hAnsi="Amiri" w:eastAsia="Amiri" w:cs="Amiri"/>
          <w:lang w:bidi="ar-SA"/>
          <w:color w:val="111111"/>
          <w:sz w:val="28"/>
          <w:szCs w:val="28"/>
          <w:rtl/>
        </w:rPr>
        <w:t xml:space="preserve">ابوالحسن بن حسين</w:t>
      </w:r>
    </w:p>
    <w:p>
      <w:pPr>
        <w:pStyle w:val="BookText"/>
      </w:pPr>
      <w:r>
        <w:rPr>
          <w:rFonts w:ascii="Amiri" w:hAnsi="Amiri" w:eastAsia="Amiri" w:cs="Amiri"/>
          <w:lang w:bidi="ar-SA"/>
          <w:color w:val="111111"/>
          <w:sz w:val="28"/>
          <w:szCs w:val="28"/>
          <w:rtl/>
        </w:rPr>
        <w:t xml:space="preserve">ابوالحسن بن محمّد هادي حسيني تنكابني- تنكابني ، ابوالحسن بن محمّد هادي</w:t>
      </w:r>
    </w:p>
    <w:p>
      <w:pPr>
        <w:pStyle w:val="BookText"/>
      </w:pPr>
      <w:r>
        <w:rPr>
          <w:rFonts w:ascii="Amiri" w:hAnsi="Amiri" w:eastAsia="Amiri" w:cs="Amiri"/>
          <w:lang w:bidi="ar-SA"/>
          <w:color w:val="111111"/>
          <w:sz w:val="28"/>
          <w:szCs w:val="28"/>
          <w:rtl/>
        </w:rPr>
        <w:t xml:space="preserve">ابوالحسن بن نوح قمري -ابو منصور</w:t>
      </w:r>
    </w:p>
    <w:p>
      <w:pPr>
        <w:pStyle w:val="BookText"/>
      </w:pPr>
      <w:r>
        <w:rPr>
          <w:rFonts w:ascii="Amiri" w:hAnsi="Amiri" w:eastAsia="Amiri" w:cs="Amiri"/>
          <w:lang w:bidi="ar-SA"/>
          <w:color w:val="111111"/>
          <w:sz w:val="28"/>
          <w:szCs w:val="28"/>
          <w:rtl/>
        </w:rPr>
        <w:t xml:space="preserve">قمري، حسن بن نوح</w:t>
      </w:r>
    </w:p>
    <w:p>
      <w:pPr>
        <w:pStyle w:val="BookText"/>
      </w:pPr>
      <w:r>
        <w:rPr>
          <w:rFonts w:ascii="Amiri" w:hAnsi="Amiri" w:eastAsia="Amiri" w:cs="Amiri"/>
          <w:lang w:bidi="ar-SA"/>
          <w:color w:val="111111"/>
          <w:sz w:val="28"/>
          <w:szCs w:val="28"/>
          <w:rtl/>
        </w:rPr>
        <w:t xml:space="preserve">ابوالحسن مالكي -مالكي ، ابوالحسن</w:t>
      </w:r>
    </w:p>
    <w:p>
      <w:pPr>
        <w:pStyle w:val="BookText"/>
      </w:pPr>
      <w:r>
        <w:rPr>
          <w:rFonts w:ascii="Amiri" w:hAnsi="Amiri" w:eastAsia="Amiri" w:cs="Amiri"/>
          <w:lang w:bidi="ar-SA"/>
          <w:color w:val="111111"/>
          <w:sz w:val="28"/>
          <w:szCs w:val="28"/>
          <w:rtl/>
        </w:rPr>
        <w:t xml:space="preserve">ابوالحسن مشكيني اردبيلي -مشكيني اردبيلي نجفي ، ابوالحسن بن عبد الحسين</w:t>
      </w:r>
    </w:p>
    <w:p>
      <w:pPr>
        <w:pStyle w:val="Heading2"/>
      </w:pPr>
      <w:bookmarkStart w:id="1840" w:name="_Toc942"/>
      <w:r>
        <w:t>ابوالحسن ، محمّد بن جعفر</w:t>
      </w:r>
      <w:bookmarkEnd w:id="1840"/>
    </w:p>
    <w:p>
      <w:pPr>
        <w:pStyle w:val="BookText"/>
      </w:pPr>
      <w:r>
        <w:rPr>
          <w:rFonts w:ascii="IRNazanin" w:hAnsi="IRNazanin" w:eastAsia="IRNazanin" w:cs="IRNazanin"/>
          <w:lang w:bidi="fa-IR"/>
          <w:color w:val="111111"/>
          <w:sz w:val="28"/>
          <w:szCs w:val="28"/>
          <w:rtl/>
        </w:rPr>
        <w:t xml:space="preserve">شرح الفوائد، ج 9، ص 804.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6" w:name="pg7742_69631"/>
    <w:bookmarkEnd w:id="136"/>
    <w:p>
      <w:pPr>
        <w:pStyle w:val="BookText"/>
      </w:pPr>
      <w:r>
        <w:rPr>
          <w:rFonts w:ascii="Amiri" w:hAnsi="Amiri" w:eastAsia="Amiri" w:cs="Amiri"/>
          <w:lang w:bidi="ar-SA"/>
          <w:color w:val="111111"/>
          <w:sz w:val="28"/>
          <w:szCs w:val="28"/>
          <w:rtl/>
        </w:rPr>
        <w:t xml:space="preserve">ابوالحسن نقشبندي سندي مدني- سندي</w:t>
      </w:r>
    </w:p>
    <w:p>
      <w:pPr>
        <w:pStyle w:val="BookText"/>
      </w:pPr>
      <w:r>
        <w:rPr>
          <w:rFonts w:ascii="Amiri" w:hAnsi="Amiri" w:eastAsia="Amiri" w:cs="Amiri"/>
          <w:lang w:bidi="ar-SA"/>
          <w:color w:val="111111"/>
          <w:sz w:val="28"/>
          <w:szCs w:val="28"/>
          <w:rtl/>
        </w:rPr>
        <w:t xml:space="preserve">مدني ، ابوالحسن بن محمّد صادق</w:t>
      </w:r>
    </w:p>
    <w:p>
      <w:pPr>
        <w:pStyle w:val="BookText"/>
      </w:pPr>
      <w:r>
        <w:rPr>
          <w:rFonts w:ascii="IRNazanin" w:hAnsi="IRNazanin" w:eastAsia="IRNazanin" w:cs="IRNazanin"/>
          <w:lang w:bidi="fa-IR"/>
          <w:color w:val="111111"/>
          <w:sz w:val="28"/>
          <w:szCs w:val="28"/>
          <w:rtl/>
        </w:rPr>
        <w:t xml:space="preserve">ابوالحسين بن محمّد ابراهیم طبیب شيرازي - طبيب شيرازي ، ابوالحسين بن محمّد</w:t>
      </w:r>
    </w:p>
    <w:p>
      <w:pPr>
        <w:pStyle w:val="BookText"/>
      </w:pPr>
      <w:r>
        <w:rPr>
          <w:rFonts w:ascii="IRNazanin" w:hAnsi="IRNazanin" w:eastAsia="IRNazanin" w:cs="IRNazanin"/>
          <w:lang w:bidi="fa-IR"/>
          <w:color w:val="111111"/>
          <w:sz w:val="28"/>
          <w:szCs w:val="28"/>
          <w:rtl/>
        </w:rPr>
        <w:t xml:space="preserve">ابراهیم</w:t>
      </w:r>
    </w:p>
    <w:p>
      <w:pPr>
        <w:pStyle w:val="Heading2"/>
      </w:pPr>
      <w:bookmarkStart w:id="1841" w:name="_Toc943"/>
      <w:r>
        <w:t>ابوالخطاب بغدادي ، محمّد بن محمّد</w:t>
      </w:r>
      <w:bookmarkEnd w:id="1841"/>
    </w:p>
    <w:p>
      <w:pPr>
        <w:pStyle w:val="BookText"/>
      </w:pPr>
      <w:r>
        <w:rPr>
          <w:rFonts w:ascii="IRNazanin" w:hAnsi="IRNazanin" w:eastAsia="IRNazanin" w:cs="IRNazanin"/>
          <w:lang w:bidi="fa-IR"/>
          <w:color w:val="111111"/>
          <w:sz w:val="28"/>
          <w:szCs w:val="28"/>
          <w:rtl/>
        </w:rPr>
        <w:t xml:space="preserve">515 ؟ ه-</w:t>
      </w:r>
    </w:p>
    <w:p>
      <w:pPr>
        <w:pStyle w:val="BookText"/>
      </w:pPr>
      <w:r>
        <w:rPr>
          <w:rFonts w:ascii="Amiri" w:hAnsi="Amiri" w:eastAsia="Amiri" w:cs="Amiri"/>
          <w:lang w:bidi="ar-SA"/>
          <w:color w:val="111111"/>
          <w:sz w:val="28"/>
          <w:szCs w:val="28"/>
          <w:rtl/>
        </w:rPr>
        <w:t xml:space="preserve">المواليد والوفيات (مختصر)، ج 15 ،</w:t>
      </w:r>
    </w:p>
    <w:p>
      <w:pPr>
        <w:pStyle w:val="BookText"/>
      </w:pPr>
      <w:r>
        <w:rPr>
          <w:rFonts w:ascii="IRNazanin" w:hAnsi="IRNazanin" w:eastAsia="IRNazanin" w:cs="IRNazanin"/>
          <w:lang w:bidi="fa-IR"/>
          <w:color w:val="111111"/>
          <w:sz w:val="28"/>
          <w:szCs w:val="28"/>
          <w:rtl/>
        </w:rPr>
        <w:t xml:space="preserve">ص 883.</w:t>
      </w:r>
    </w:p>
    <w:p>
      <w:pPr>
        <w:pStyle w:val="Heading2"/>
      </w:pPr>
      <w:bookmarkStart w:id="1842" w:name="_Toc944"/>
      <w:r>
        <w:t>ابو الدرداء</w:t>
      </w:r>
      <w:bookmarkEnd w:id="1842"/>
    </w:p>
    <w:p>
      <w:pPr>
        <w:pStyle w:val="BookText"/>
      </w:pPr>
      <w:r>
        <w:rPr>
          <w:rFonts w:ascii="Amiri" w:hAnsi="Amiri" w:eastAsia="Amiri" w:cs="Amiri"/>
          <w:lang w:bidi="ar-SA"/>
          <w:color w:val="111111"/>
          <w:sz w:val="28"/>
          <w:szCs w:val="28"/>
          <w:rtl/>
        </w:rPr>
        <w:t xml:space="preserve">ديوان ابو الدرداء، ج 7، ص 555</w:t>
      </w:r>
    </w:p>
    <w:p>
      <w:pPr>
        <w:pStyle w:val="Heading2"/>
      </w:pPr>
      <w:bookmarkStart w:id="1843" w:name="_Toc945"/>
      <w:r>
        <w:t>ابو الرضا ، عبداللطيف بن محمد 12 ه-</w:t>
      </w:r>
      <w:bookmarkEnd w:id="1843"/>
    </w:p>
    <w:p>
      <w:pPr>
        <w:pStyle w:val="BookText"/>
      </w:pPr>
      <w:r>
        <w:rPr>
          <w:rFonts w:ascii="Amiri" w:hAnsi="Amiri" w:eastAsia="Amiri" w:cs="Amiri"/>
          <w:lang w:bidi="ar-SA"/>
          <w:color w:val="111111"/>
          <w:sz w:val="28"/>
          <w:szCs w:val="28"/>
          <w:rtl/>
        </w:rPr>
        <w:t xml:space="preserve">الالفاظ الموجزة في الوصفيات، ج 2،</w:t>
      </w:r>
    </w:p>
    <w:p>
      <w:pPr>
        <w:pStyle w:val="BookText"/>
      </w:pPr>
      <w:r>
        <w:rPr>
          <w:rFonts w:ascii="IRNazanin" w:hAnsi="IRNazanin" w:eastAsia="IRNazanin" w:cs="IRNazanin"/>
          <w:lang w:bidi="fa-IR"/>
          <w:color w:val="111111"/>
          <w:sz w:val="28"/>
          <w:szCs w:val="28"/>
          <w:rtl/>
        </w:rPr>
        <w:t xml:space="preserve">ص 680.</w:t>
      </w:r>
    </w:p>
    <w:p>
      <w:pPr>
        <w:pStyle w:val="Heading2"/>
      </w:pPr>
      <w:bookmarkStart w:id="1844" w:name="_Toc946"/>
      <w:r>
        <w:t>ابو السعود ، احمد بن محمّد</w:t>
      </w:r>
      <w:bookmarkEnd w:id="1844"/>
    </w:p>
    <w:p>
      <w:pPr>
        <w:pStyle w:val="BookText"/>
      </w:pPr>
      <w:r>
        <w:rPr>
          <w:rFonts w:ascii="Amiri" w:hAnsi="Amiri" w:eastAsia="Amiri" w:cs="Amiri"/>
          <w:lang w:bidi="ar-SA"/>
          <w:color w:val="111111"/>
          <w:sz w:val="28"/>
          <w:szCs w:val="28"/>
          <w:rtl/>
        </w:rPr>
        <w:t xml:space="preserve">شرح تحفة الطلاب في نظم الأداب</w:t>
      </w:r>
    </w:p>
    <w:p>
      <w:pPr>
        <w:pStyle w:val="BookText"/>
      </w:pPr>
      <w:r>
        <w:rPr>
          <w:rFonts w:ascii="IRNazanin" w:hAnsi="IRNazanin" w:eastAsia="IRNazanin" w:cs="IRNazanin"/>
          <w:lang w:bidi="fa-IR"/>
          <w:color w:val="111111"/>
          <w:sz w:val="28"/>
          <w:szCs w:val="28"/>
          <w:rtl/>
        </w:rPr>
        <w:t xml:space="preserve">ج 9، ص 319.</w:t>
      </w:r>
    </w:p>
    <w:p>
      <w:pPr>
        <w:pStyle w:val="BookText"/>
      </w:pPr>
      <w:r>
        <w:rPr>
          <w:rFonts w:ascii="Amiri" w:hAnsi="Amiri" w:eastAsia="Amiri" w:cs="Amiri"/>
          <w:lang w:bidi="ar-SA"/>
          <w:color w:val="111111"/>
          <w:sz w:val="28"/>
          <w:szCs w:val="28"/>
          <w:rtl/>
        </w:rPr>
        <w:t xml:space="preserve">ابو السعود بن علي زين</w:t>
      </w:r>
    </w:p>
    <w:p>
      <w:pPr>
        <w:pStyle w:val="BookText"/>
      </w:pPr>
      <w:r>
        <w:rPr>
          <w:rFonts w:ascii="Amiri" w:hAnsi="Amiri" w:eastAsia="Amiri" w:cs="Amiri"/>
          <w:lang w:bidi="ar-SA"/>
          <w:color w:val="111111"/>
          <w:sz w:val="28"/>
          <w:szCs w:val="28"/>
          <w:rtl/>
        </w:rPr>
        <w:t xml:space="preserve">قسطلاني- قسطلاني ، ابوالسعود بن علي</w:t>
      </w:r>
    </w:p>
    <w:p>
      <w:pPr>
        <w:pStyle w:val="BookText"/>
      </w:pPr>
      <w:r>
        <w:rPr>
          <w:rFonts w:ascii="Amiri" w:hAnsi="Amiri" w:eastAsia="Amiri" w:cs="Amiri"/>
          <w:lang w:bidi="ar-SA"/>
          <w:color w:val="111111"/>
          <w:sz w:val="28"/>
          <w:szCs w:val="28"/>
          <w:rtl/>
        </w:rPr>
        <w:t xml:space="preserve">ابو السعود بن محمّد عمادي ابو السعود</w:t>
      </w:r>
    </w:p>
    <w:p>
      <w:pPr>
        <w:pStyle w:val="BookText"/>
      </w:pPr>
      <w:r>
        <w:rPr>
          <w:rFonts w:ascii="Amiri" w:hAnsi="Amiri" w:eastAsia="Amiri" w:cs="Amiri"/>
          <w:lang w:bidi="ar-SA"/>
          <w:color w:val="111111"/>
          <w:sz w:val="28"/>
          <w:szCs w:val="28"/>
          <w:rtl/>
        </w:rPr>
        <w:t xml:space="preserve">عمادي ، محمّد بن محمّد</w:t>
      </w:r>
    </w:p>
    <w:p>
      <w:pPr>
        <w:pStyle w:val="BookText"/>
      </w:pPr>
      <w:r>
        <w:rPr>
          <w:rFonts w:ascii="Amiri" w:hAnsi="Amiri" w:eastAsia="Amiri" w:cs="Amiri"/>
          <w:lang w:bidi="ar-SA"/>
          <w:color w:val="111111"/>
          <w:sz w:val="28"/>
          <w:szCs w:val="28"/>
          <w:rtl/>
        </w:rPr>
        <w:t xml:space="preserve">ابو السعود عمادي ابو السعود -عمادي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1845" w:name="_Toc947"/>
      <w:r>
        <w:t>ابوالسعود افندي قرن 12 ه-</w:t>
      </w:r>
      <w:bookmarkEnd w:id="1845"/>
    </w:p>
    <w:p>
      <w:pPr>
        <w:pStyle w:val="BookText"/>
      </w:pPr>
      <w:r>
        <w:rPr>
          <w:rFonts w:ascii="Amiri" w:hAnsi="Amiri" w:eastAsia="Amiri" w:cs="Amiri"/>
          <w:lang w:bidi="ar-SA"/>
          <w:color w:val="111111"/>
          <w:sz w:val="28"/>
          <w:szCs w:val="28"/>
          <w:rtl/>
        </w:rPr>
        <w:t xml:space="preserve">فتوى في تحليل قتل اليزيدية، ج11،</w:t>
      </w:r>
    </w:p>
    <w:p>
      <w:pPr>
        <w:pStyle w:val="BookText"/>
      </w:pPr>
      <w:r>
        <w:rPr>
          <w:rFonts w:ascii="IRNazanin" w:hAnsi="IRNazanin" w:eastAsia="IRNazanin" w:cs="IRNazanin"/>
          <w:lang w:bidi="fa-IR"/>
          <w:color w:val="111111"/>
          <w:sz w:val="28"/>
          <w:szCs w:val="28"/>
          <w:rtl/>
        </w:rPr>
        <w:t xml:space="preserve">ص 719</w:t>
      </w:r>
    </w:p>
    <w:p>
      <w:pPr>
        <w:pStyle w:val="Heading2"/>
      </w:pPr>
      <w:bookmarkStart w:id="1846" w:name="_Toc948"/>
      <w:r>
        <w:t>ابو السعود بوني ، محمّد - 1230 ه-</w:t>
      </w:r>
      <w:bookmarkEnd w:id="1846"/>
    </w:p>
    <w:p>
      <w:pPr>
        <w:pStyle w:val="BookText"/>
      </w:pPr>
      <w:r>
        <w:rPr>
          <w:rFonts w:ascii="Amiri" w:hAnsi="Amiri" w:eastAsia="Amiri" w:cs="Amiri"/>
          <w:lang w:bidi="ar-SA"/>
          <w:color w:val="111111"/>
          <w:sz w:val="28"/>
          <w:szCs w:val="28"/>
          <w:rtl/>
        </w:rPr>
        <w:t xml:space="preserve">تعريف العلاقات و معاني</w:t>
      </w:r>
    </w:p>
    <w:p>
      <w:pPr>
        <w:pStyle w:val="BookText"/>
      </w:pPr>
      <w:r>
        <w:rPr>
          <w:rFonts w:ascii="Amiri" w:hAnsi="Amiri" w:eastAsia="Amiri" w:cs="Amiri"/>
          <w:lang w:bidi="ar-SA"/>
          <w:color w:val="111111"/>
          <w:sz w:val="28"/>
          <w:szCs w:val="28"/>
          <w:rtl/>
        </w:rPr>
        <w:t xml:space="preserve">الاستعارات (رسالة في)، ج4، ص 478.</w:t>
      </w:r>
    </w:p>
    <w:p>
      <w:pPr>
        <w:pStyle w:val="Heading2"/>
      </w:pPr>
      <w:bookmarkStart w:id="1847" w:name="_Toc949"/>
      <w:r>
        <w:t>ابوالسعود عمادي ، محمّد بن محمّد</w:t>
      </w:r>
      <w:bookmarkEnd w:id="1847"/>
    </w:p>
    <w:p>
      <w:pPr>
        <w:pStyle w:val="BookText"/>
      </w:pPr>
      <w:r>
        <w:rPr>
          <w:rFonts w:ascii="IRNazanin" w:hAnsi="IRNazanin" w:eastAsia="IRNazanin" w:cs="IRNazanin"/>
          <w:lang w:bidi="fa-IR"/>
          <w:color w:val="111111"/>
          <w:sz w:val="28"/>
          <w:szCs w:val="28"/>
          <w:rtl/>
        </w:rPr>
        <w:t xml:space="preserve">93 - 982 ه-</w:t>
      </w:r>
    </w:p>
    <w:p>
      <w:pPr>
        <w:pStyle w:val="BookText"/>
      </w:pPr>
      <w:r>
        <w:rPr>
          <w:rFonts w:ascii="Amiri" w:hAnsi="Amiri" w:eastAsia="Amiri" w:cs="Amiri"/>
          <w:lang w:bidi="ar-SA"/>
          <w:color w:val="111111"/>
          <w:sz w:val="28"/>
          <w:szCs w:val="28"/>
          <w:rtl/>
        </w:rPr>
        <w:t xml:space="preserve">1 .ارشاد العقل السليم إلى مزايا الكتاب الكريم = التفسير، ج2،</w:t>
      </w:r>
    </w:p>
    <w:p>
      <w:pPr>
        <w:pStyle w:val="BookText"/>
      </w:pPr>
      <w:r>
        <w:rPr>
          <w:rFonts w:ascii="IRNazanin" w:hAnsi="IRNazanin" w:eastAsia="IRNazanin" w:cs="IRNazanin"/>
          <w:lang w:bidi="fa-IR"/>
          <w:color w:val="111111"/>
          <w:sz w:val="28"/>
          <w:szCs w:val="28"/>
          <w:rtl/>
        </w:rPr>
        <w:t xml:space="preserve">ص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بضاعة القاضي لاحتياجه في المستقبل و الماضي، ج 3، ص 352.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انوار التنزيل، ج 5، ص 688 .</w:t>
      </w:r>
    </w:p>
    <w:p>
      <w:pPr>
        <w:pStyle w:val="BookText"/>
      </w:pPr>
      <w:r>
        <w:rPr>
          <w:rFonts w:ascii="IRNazanin" w:hAnsi="IRNazanin" w:eastAsia="IRNazanin" w:cs="IRNazanin"/>
          <w:lang w:bidi="fa-IR"/>
          <w:color w:val="111111"/>
          <w:sz w:val="28"/>
          <w:szCs w:val="28"/>
          <w:rtl/>
        </w:rPr>
        <w:t xml:space="preserve">4 .دیباچه تفسير ابي السعود العمادي</w:t>
      </w:r>
    </w:p>
    <w:p>
      <w:pPr>
        <w:pStyle w:val="BookText"/>
      </w:pPr>
      <w:r>
        <w:rPr>
          <w:rFonts w:ascii="IRNazanin" w:hAnsi="IRNazanin" w:eastAsia="IRNazanin" w:cs="IRNazanin"/>
          <w:lang w:bidi="fa-IR"/>
          <w:color w:val="111111"/>
          <w:sz w:val="28"/>
          <w:szCs w:val="28"/>
          <w:rtl/>
        </w:rPr>
        <w:t xml:space="preserve">ج 7 ، ص 496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دیوان ابوالسعود، ج 7، ص 555.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صورة فتوى ابي السعود في تكفير</w:t>
      </w:r>
    </w:p>
    <w:p>
      <w:pPr>
        <w:pStyle w:val="BookText"/>
      </w:pPr>
      <w:r>
        <w:rPr>
          <w:rFonts w:ascii="Amiri" w:hAnsi="Amiri" w:eastAsia="Amiri" w:cs="Amiri"/>
          <w:lang w:bidi="ar-SA"/>
          <w:color w:val="111111"/>
          <w:sz w:val="28"/>
          <w:szCs w:val="28"/>
          <w:rtl/>
        </w:rPr>
        <w:t xml:space="preserve">الشيعة، ج 10، ص 655.</w:t>
      </w:r>
    </w:p>
    <w:p>
      <w:pPr>
        <w:pStyle w:val="BookText"/>
      </w:pPr>
      <w:r>
        <w:rPr>
          <w:rFonts w:ascii="IRNazanin" w:hAnsi="IRNazanin" w:eastAsia="IRNazanin" w:cs="IRNazanin"/>
          <w:lang w:bidi="fa-IR"/>
          <w:color w:val="111111"/>
          <w:sz w:val="28"/>
          <w:szCs w:val="28"/>
          <w:rtl/>
        </w:rPr>
        <w:t xml:space="preserve">7.الفتاوى، ج 11، ص198.</w:t>
      </w:r>
    </w:p>
    <w:p>
      <w:pPr>
        <w:pStyle w:val="BookText"/>
      </w:pPr>
      <w:r>
        <w:rPr>
          <w:rFonts w:ascii="Amiri" w:hAnsi="Amiri" w:eastAsia="Amiri" w:cs="Amiri"/>
          <w:lang w:bidi="ar-SA"/>
          <w:color w:val="111111"/>
          <w:sz w:val="28"/>
          <w:szCs w:val="28"/>
          <w:rtl/>
        </w:rPr>
        <w:t xml:space="preserve">8 وقف النقود = اثبات جواز وقف النقود (رسالة في)، ج 16 ، ص 871.</w:t>
      </w:r>
    </w:p>
    <w:p>
      <w:pPr>
        <w:pStyle w:val="BookText"/>
      </w:pPr>
      <w:r>
        <w:rPr>
          <w:rFonts w:ascii="Amiri" w:hAnsi="Amiri" w:eastAsia="Amiri" w:cs="Amiri"/>
          <w:lang w:bidi="ar-SA"/>
          <w:color w:val="111111"/>
          <w:sz w:val="28"/>
          <w:szCs w:val="28"/>
          <w:rtl/>
        </w:rPr>
        <w:t xml:space="preserve">ابو السيادات محمّد الصوفي القالعي صوفي</w:t>
      </w:r>
    </w:p>
    <w:p>
      <w:pPr>
        <w:pStyle w:val="BookText"/>
      </w:pPr>
      <w:r>
        <w:rPr>
          <w:rFonts w:ascii="Amiri" w:hAnsi="Amiri" w:eastAsia="Amiri" w:cs="Amiri"/>
          <w:lang w:bidi="ar-SA"/>
          <w:color w:val="111111"/>
          <w:sz w:val="28"/>
          <w:szCs w:val="28"/>
          <w:rtl/>
        </w:rPr>
        <w:t xml:space="preserve">، ابوالسيادات محمّد</w:t>
      </w:r>
    </w:p>
    <w:p>
      <w:pPr>
        <w:pStyle w:val="Heading2"/>
      </w:pPr>
      <w:bookmarkStart w:id="1848" w:name="_Toc950"/>
      <w:r>
        <w:t>ابوالشيخ ، عبدالله بن محمّد، 274-369ه-</w:t>
      </w:r>
      <w:bookmarkEnd w:id="1848"/>
    </w:p>
    <w:p>
      <w:pPr>
        <w:pStyle w:val="BookText"/>
      </w:pPr>
      <w:r>
        <w:rPr>
          <w:rFonts w:ascii="Amiri" w:hAnsi="Amiri" w:eastAsia="Amiri" w:cs="Amiri"/>
          <w:lang w:bidi="ar-SA"/>
          <w:color w:val="111111"/>
          <w:sz w:val="28"/>
          <w:szCs w:val="28"/>
          <w:rtl/>
        </w:rPr>
        <w:t xml:space="preserve">1 .حكايات عن عبد الله الإصفهاني</w:t>
      </w:r>
    </w:p>
    <w:p>
      <w:pPr>
        <w:pStyle w:val="BookText"/>
      </w:pPr>
      <w:r>
        <w:rPr>
          <w:rFonts w:ascii="IRNazanin" w:hAnsi="IRNazanin" w:eastAsia="IRNazanin" w:cs="IRNazanin"/>
          <w:lang w:bidi="fa-IR"/>
          <w:color w:val="111111"/>
          <w:sz w:val="28"/>
          <w:szCs w:val="28"/>
          <w:rtl/>
        </w:rPr>
        <w:t xml:space="preserve">ج 6 ، ص 722.</w:t>
      </w:r>
    </w:p>
    <w:p>
      <w:pPr>
        <w:pStyle w:val="BookText"/>
      </w:pPr>
      <w:r>
        <w:rPr>
          <w:rFonts w:ascii="Amiri" w:hAnsi="Amiri" w:eastAsia="Amiri" w:cs="Amiri"/>
          <w:lang w:bidi="ar-SA"/>
          <w:color w:val="111111"/>
          <w:sz w:val="28"/>
          <w:szCs w:val="28"/>
          <w:rtl/>
        </w:rPr>
        <w:t xml:space="preserve">2 .طبقات المحدثين باصبهان و</w:t>
      </w:r>
    </w:p>
    <w:p>
      <w:pPr>
        <w:pStyle w:val="BookText"/>
      </w:pPr>
      <w:r>
        <w:rPr>
          <w:rFonts w:ascii="Amiri" w:hAnsi="Amiri" w:eastAsia="Amiri" w:cs="Amiri"/>
          <w:lang w:bidi="ar-SA"/>
          <w:color w:val="111111"/>
          <w:sz w:val="28"/>
          <w:szCs w:val="28"/>
          <w:rtl/>
        </w:rPr>
        <w:t xml:space="preserve">الواردين عليها، ج 10، ص789.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7" w:name="pg7742_69633"/>
    <w:bookmarkEnd w:id="137"/>
    <w:p>
      <w:pPr>
        <w:pStyle w:val="BookText"/>
      </w:pPr>
      <w:r>
        <w:rPr>
          <w:rFonts w:ascii="Amiri" w:hAnsi="Amiri" w:eastAsia="Amiri" w:cs="Amiri"/>
          <w:lang w:bidi="ar-SA"/>
          <w:color w:val="111111"/>
          <w:sz w:val="28"/>
          <w:szCs w:val="28"/>
          <w:rtl/>
        </w:rPr>
        <w:t xml:space="preserve">ابوبكر الصديق- صديق ، ابوبكر</w:t>
      </w:r>
    </w:p>
    <w:p>
      <w:pPr>
        <w:pStyle w:val="Heading2"/>
      </w:pPr>
      <w:bookmarkStart w:id="1849" w:name="_Toc951"/>
      <w:r>
        <w:t>ابوالصلاح حلبي ، تقي بن نجم، 374</w:t>
      </w:r>
      <w:bookmarkEnd w:id="1849"/>
    </w:p>
    <w:p>
      <w:pPr>
        <w:pStyle w:val="BookText"/>
      </w:pPr>
      <w:r>
        <w:rPr>
          <w:rFonts w:ascii="IRNazanin" w:hAnsi="IRNazanin" w:eastAsia="IRNazanin" w:cs="IRNazanin"/>
          <w:lang w:bidi="fa-IR"/>
          <w:color w:val="111111"/>
          <w:sz w:val="28"/>
          <w:szCs w:val="28"/>
          <w:rtl/>
        </w:rPr>
        <w:t xml:space="preserve">447 ه-</w:t>
      </w:r>
    </w:p>
    <w:p>
      <w:pPr>
        <w:pStyle w:val="BookText"/>
      </w:pPr>
      <w:r>
        <w:rPr>
          <w:rFonts w:ascii="Amiri" w:hAnsi="Amiri" w:eastAsia="Amiri" w:cs="Amiri"/>
          <w:lang w:bidi="ar-SA"/>
          <w:color w:val="111111"/>
          <w:sz w:val="28"/>
          <w:szCs w:val="28"/>
          <w:rtl/>
        </w:rPr>
        <w:t xml:space="preserve">1 .البرهان على ثبوت الايمان، ج3،</w:t>
      </w:r>
    </w:p>
    <w:p>
      <w:pPr>
        <w:pStyle w:val="BookText"/>
      </w:pPr>
      <w:r>
        <w:rPr>
          <w:rFonts w:ascii="IRNazanin" w:hAnsi="IRNazanin" w:eastAsia="IRNazanin" w:cs="IRNazanin"/>
          <w:lang w:bidi="fa-IR"/>
          <w:color w:val="111111"/>
          <w:sz w:val="28"/>
          <w:szCs w:val="28"/>
          <w:rtl/>
        </w:rPr>
        <w:t xml:space="preserve">ص 308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رسائل، ج 8، ص119.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في الفقه، ج 13، ص 54</w:t>
      </w:r>
    </w:p>
    <w:p>
      <w:pPr>
        <w:pStyle w:val="Heading2"/>
      </w:pPr>
      <w:bookmarkStart w:id="1850" w:name="_Toc952"/>
      <w:r>
        <w:t>ابوالصلاح ، محمّد بن حسن -1223 ه-</w:t>
      </w:r>
      <w:bookmarkEnd w:id="1850"/>
    </w:p>
    <w:p>
      <w:pPr>
        <w:pStyle w:val="BookText"/>
      </w:pPr>
      <w:r>
        <w:rPr>
          <w:rFonts w:ascii="Amiri" w:hAnsi="Amiri" w:eastAsia="Amiri" w:cs="Amiri"/>
          <w:lang w:bidi="ar-SA"/>
          <w:color w:val="111111"/>
          <w:sz w:val="28"/>
          <w:szCs w:val="28"/>
          <w:rtl/>
        </w:rPr>
        <w:t xml:space="preserve">المحمودية في العمل بربع الدستورية،</w:t>
      </w:r>
    </w:p>
    <w:p>
      <w:pPr>
        <w:pStyle w:val="BookText"/>
      </w:pPr>
      <w:r>
        <w:rPr>
          <w:rFonts w:ascii="IRNazanin" w:hAnsi="IRNazanin" w:eastAsia="IRNazanin" w:cs="IRNazanin"/>
          <w:lang w:bidi="fa-IR"/>
          <w:color w:val="111111"/>
          <w:sz w:val="28"/>
          <w:szCs w:val="28"/>
          <w:rtl/>
        </w:rPr>
        <w:t xml:space="preserve">ج 14، ص 134.</w:t>
      </w:r>
    </w:p>
    <w:p>
      <w:pPr>
        <w:pStyle w:val="Heading2"/>
      </w:pPr>
      <w:bookmarkStart w:id="1851" w:name="_Toc953"/>
      <w:r>
        <w:t>ابوالطوس ، عباس بن مهدي</w:t>
      </w:r>
      <w:bookmarkEnd w:id="1851"/>
    </w:p>
    <w:p>
      <w:pPr>
        <w:pStyle w:val="BookText"/>
      </w:pPr>
      <w:r>
        <w:rPr>
          <w:rFonts w:ascii="Amiri" w:hAnsi="Amiri" w:eastAsia="Amiri" w:cs="Amiri"/>
          <w:lang w:bidi="ar-SA"/>
          <w:color w:val="111111"/>
          <w:sz w:val="28"/>
          <w:szCs w:val="28"/>
          <w:rtl/>
        </w:rPr>
        <w:t xml:space="preserve">1 .ذكريات، ج7، ص 859.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رباعيات، ج 8، ص18.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زئير العاصفة، ج8، ص 548.</w:t>
      </w:r>
    </w:p>
    <w:p>
      <w:pPr>
        <w:pStyle w:val="BookText"/>
      </w:pPr>
      <w:r>
        <w:rPr>
          <w:rFonts w:ascii="Amiri" w:hAnsi="Amiri" w:eastAsia="Amiri" w:cs="Amiri"/>
          <w:lang w:bidi="ar-SA"/>
          <w:color w:val="111111"/>
          <w:sz w:val="28"/>
          <w:szCs w:val="28"/>
          <w:rtl/>
        </w:rPr>
        <w:t xml:space="preserve">4 .سوانح عابرة، ج8، ص 860.</w:t>
      </w:r>
    </w:p>
    <w:p>
      <w:pPr>
        <w:pStyle w:val="BookText"/>
      </w:pPr>
      <w:r>
        <w:rPr>
          <w:rFonts w:ascii="Amiri" w:hAnsi="Amiri" w:eastAsia="Amiri" w:cs="Amiri"/>
          <w:lang w:bidi="ar-SA"/>
          <w:color w:val="111111"/>
          <w:sz w:val="28"/>
          <w:szCs w:val="28"/>
          <w:rtl/>
        </w:rPr>
        <w:t xml:space="preserve">5 .محراب باخوس (رسالة في)، ج 14،</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Amiri" w:hAnsi="Amiri" w:eastAsia="Amiri" w:cs="Amiri"/>
          <w:lang w:bidi="ar-SA"/>
          <w:color w:val="111111"/>
          <w:sz w:val="28"/>
          <w:szCs w:val="28"/>
          <w:rtl/>
        </w:rPr>
        <w:t xml:space="preserve">6 .مذكرات، ج 14 ، ص 339.</w:t>
      </w:r>
    </w:p>
    <w:p>
      <w:pPr>
        <w:pStyle w:val="BookText"/>
      </w:pPr>
      <w:r>
        <w:rPr>
          <w:rFonts w:ascii="Amiri" w:hAnsi="Amiri" w:eastAsia="Amiri" w:cs="Amiri"/>
          <w:lang w:bidi="ar-SA"/>
          <w:color w:val="111111"/>
          <w:sz w:val="28"/>
          <w:szCs w:val="28"/>
          <w:rtl/>
        </w:rPr>
        <w:t xml:space="preserve">7 .من اغاني الشباب، ج15، ص 528.</w:t>
      </w:r>
    </w:p>
    <w:p>
      <w:pPr>
        <w:pStyle w:val="BookText"/>
      </w:pPr>
      <w:r>
        <w:rPr>
          <w:rFonts w:ascii="Amiri" w:hAnsi="Amiri" w:eastAsia="Amiri" w:cs="Amiri"/>
          <w:lang w:bidi="ar-SA"/>
          <w:color w:val="111111"/>
          <w:sz w:val="28"/>
          <w:szCs w:val="28"/>
          <w:rtl/>
        </w:rPr>
        <w:t xml:space="preserve">8 .هدير الشلال، ج 16، ص 645.</w:t>
      </w:r>
    </w:p>
    <w:p>
      <w:pPr>
        <w:pStyle w:val="Heading2"/>
      </w:pPr>
      <w:bookmarkStart w:id="1852" w:name="_Toc954"/>
      <w:r>
        <w:t>ابوالطيب حمدون بن حمزة - 261 ه-</w:t>
      </w:r>
      <w:bookmarkEnd w:id="1852"/>
    </w:p>
    <w:p>
      <w:pPr>
        <w:pStyle w:val="BookText"/>
      </w:pPr>
      <w:r>
        <w:rPr>
          <w:rFonts w:ascii="Amiri" w:hAnsi="Amiri" w:eastAsia="Amiri" w:cs="Amiri"/>
          <w:lang w:bidi="ar-SA"/>
          <w:color w:val="111111"/>
          <w:sz w:val="28"/>
          <w:szCs w:val="28"/>
          <w:rtl/>
        </w:rPr>
        <w:t xml:space="preserve">مقدمة = مختصر الفقه، ج 15</w:t>
      </w:r>
    </w:p>
    <w:p>
      <w:pPr>
        <w:pStyle w:val="BookText"/>
      </w:pPr>
      <w:r>
        <w:rPr>
          <w:rFonts w:ascii="IRNazanin" w:hAnsi="IRNazanin" w:eastAsia="IRNazanin" w:cs="IRNazanin"/>
          <w:lang w:bidi="fa-IR"/>
          <w:color w:val="111111"/>
          <w:sz w:val="28"/>
          <w:szCs w:val="28"/>
          <w:rtl/>
        </w:rPr>
        <w:t xml:space="preserve">ص 346 .</w:t>
      </w:r>
    </w:p>
    <w:p>
      <w:pPr>
        <w:pStyle w:val="BookText"/>
      </w:pPr>
      <w:r>
        <w:rPr>
          <w:rFonts w:ascii="Amiri" w:hAnsi="Amiri" w:eastAsia="Amiri" w:cs="Amiri"/>
          <w:lang w:bidi="ar-SA"/>
          <w:color w:val="111111"/>
          <w:sz w:val="28"/>
          <w:szCs w:val="28"/>
          <w:rtl/>
        </w:rPr>
        <w:t xml:space="preserve">ابوالعال بن مرزوق المالكي شمس</w:t>
      </w:r>
    </w:p>
    <w:p>
      <w:pPr>
        <w:pStyle w:val="BookText"/>
      </w:pPr>
      <w:r>
        <w:rPr>
          <w:rFonts w:ascii="IRNazanin" w:hAnsi="IRNazanin" w:eastAsia="IRNazanin" w:cs="IRNazanin"/>
          <w:lang w:bidi="fa-IR"/>
          <w:color w:val="111111"/>
          <w:sz w:val="28"/>
          <w:szCs w:val="28"/>
          <w:rtl/>
        </w:rPr>
        <w:t xml:space="preserve">الدين -ابن مرزوق ، شمس الدین ابوالعال</w:t>
      </w:r>
    </w:p>
    <w:p>
      <w:pPr>
        <w:pStyle w:val="BookText"/>
      </w:pPr>
      <w:r>
        <w:rPr>
          <w:rFonts w:ascii="Amiri" w:hAnsi="Amiri" w:eastAsia="Amiri" w:cs="Amiri"/>
          <w:lang w:bidi="ar-SA"/>
          <w:color w:val="111111"/>
          <w:sz w:val="28"/>
          <w:szCs w:val="28"/>
          <w:rtl/>
        </w:rPr>
        <w:t xml:space="preserve">ابوالعباس بن عبدالله لخمي-لخمي</w:t>
      </w:r>
    </w:p>
    <w:p>
      <w:pPr>
        <w:pStyle w:val="BookText"/>
      </w:pPr>
      <w:r>
        <w:rPr>
          <w:rFonts w:ascii="IRNazanin" w:hAnsi="IRNazanin" w:eastAsia="IRNazanin" w:cs="IRNazanin"/>
          <w:lang w:bidi="fa-IR"/>
          <w:color w:val="111111"/>
          <w:sz w:val="28"/>
          <w:szCs w:val="28"/>
          <w:rtl/>
        </w:rPr>
        <w:t xml:space="preserve">ابوالعباس بن عبدالله</w:t>
      </w:r>
    </w:p>
    <w:p>
      <w:pPr>
        <w:pStyle w:val="Heading2"/>
      </w:pPr>
      <w:bookmarkStart w:id="1853" w:name="_Toc955"/>
      <w:r>
        <w:t>ابو العتاهيه ، اسماعيل بن قاسم، 130 -</w:t>
      </w:r>
      <w:bookmarkEnd w:id="1853"/>
    </w:p>
    <w:p>
      <w:pPr>
        <w:pStyle w:val="BookText"/>
      </w:pPr>
      <w:r>
        <w:rPr>
          <w:rFonts w:ascii="IRNazanin" w:hAnsi="IRNazanin" w:eastAsia="IRNazanin" w:cs="IRNazanin"/>
          <w:lang w:bidi="fa-IR"/>
          <w:color w:val="111111"/>
          <w:sz w:val="28"/>
          <w:szCs w:val="28"/>
          <w:rtl/>
        </w:rPr>
        <w:t xml:space="preserve">211ه-</w:t>
      </w:r>
    </w:p>
    <w:p>
      <w:pPr>
        <w:pStyle w:val="BookText"/>
      </w:pPr>
      <w:r>
        <w:rPr>
          <w:rFonts w:ascii="Amiri" w:hAnsi="Amiri" w:eastAsia="Amiri" w:cs="Amiri"/>
          <w:lang w:bidi="ar-SA"/>
          <w:color w:val="111111"/>
          <w:sz w:val="28"/>
          <w:szCs w:val="28"/>
          <w:rtl/>
        </w:rPr>
        <w:t xml:space="preserve">ديوان أبي العتاهية، ج7، ص 563.</w:t>
      </w:r>
    </w:p>
    <w:p>
      <w:pPr>
        <w:pStyle w:val="Heading2"/>
      </w:pPr>
      <w:bookmarkStart w:id="1854" w:name="_Toc956"/>
      <w:r>
        <w:t>ابو العلاء معري ، احمد بن عبدالله 363 -</w:t>
      </w:r>
      <w:bookmarkEnd w:id="1854"/>
    </w:p>
    <w:p>
      <w:pPr>
        <w:pStyle w:val="BookText"/>
      </w:pPr>
      <w:r>
        <w:rPr>
          <w:rFonts w:ascii="IRNazanin" w:hAnsi="IRNazanin" w:eastAsia="IRNazanin" w:cs="IRNazanin"/>
          <w:lang w:bidi="fa-IR"/>
          <w:color w:val="111111"/>
          <w:sz w:val="28"/>
          <w:szCs w:val="28"/>
          <w:rtl/>
        </w:rPr>
        <w:t xml:space="preserve">449 ه-</w:t>
      </w:r>
    </w:p>
    <w:p>
      <w:pPr>
        <w:pStyle w:val="BookText"/>
      </w:pPr>
      <w:r>
        <w:rPr>
          <w:rFonts w:ascii="Amiri" w:hAnsi="Amiri" w:eastAsia="Amiri" w:cs="Amiri"/>
          <w:lang w:bidi="ar-SA"/>
          <w:color w:val="111111"/>
          <w:sz w:val="28"/>
          <w:szCs w:val="28"/>
          <w:rtl/>
        </w:rPr>
        <w:t xml:space="preserve">1 .ديوان ابوالعلاء ،معري، ج 7،</w:t>
      </w:r>
    </w:p>
    <w:p>
      <w:pPr>
        <w:pStyle w:val="BookText"/>
      </w:pPr>
      <w:r>
        <w:rPr>
          <w:rFonts w:ascii="IRNazanin" w:hAnsi="IRNazanin" w:eastAsia="IRNazanin" w:cs="IRNazanin"/>
          <w:lang w:bidi="fa-IR"/>
          <w:color w:val="111111"/>
          <w:sz w:val="28"/>
          <w:szCs w:val="28"/>
          <w:rtl/>
        </w:rPr>
        <w:t xml:space="preserve">ص 557.</w:t>
      </w:r>
    </w:p>
    <w:p>
      <w:pPr>
        <w:pStyle w:val="BookText"/>
      </w:pPr>
      <w:r>
        <w:rPr>
          <w:rFonts w:ascii="Amiri" w:hAnsi="Amiri" w:eastAsia="Amiri" w:cs="Amiri"/>
          <w:lang w:bidi="ar-SA"/>
          <w:color w:val="111111"/>
          <w:sz w:val="28"/>
          <w:szCs w:val="28"/>
          <w:rtl/>
        </w:rPr>
        <w:t xml:space="preserve">2 .رسائل أبي العلاء المعري، ج8،</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سقط الزند - دیوان ابوالعلاء، ج8،</w:t>
      </w:r>
    </w:p>
    <w:p>
      <w:pPr>
        <w:pStyle w:val="BookText"/>
      </w:pPr>
      <w:r>
        <w:rPr>
          <w:rFonts w:ascii="IRNazanin" w:hAnsi="IRNazanin" w:eastAsia="IRNazanin" w:cs="IRNazanin"/>
          <w:lang w:bidi="fa-IR"/>
          <w:color w:val="111111"/>
          <w:sz w:val="28"/>
          <w:szCs w:val="28"/>
          <w:rtl/>
        </w:rPr>
        <w:t xml:space="preserve">ص 787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ديوان ابن أبي حصينة، ج 9،</w:t>
      </w:r>
    </w:p>
    <w:p>
      <w:pPr>
        <w:pStyle w:val="BookText"/>
      </w:pPr>
      <w:r>
        <w:rPr>
          <w:rFonts w:ascii="IRNazanin" w:hAnsi="IRNazanin" w:eastAsia="IRNazanin" w:cs="IRNazanin"/>
          <w:lang w:bidi="fa-IR"/>
          <w:color w:val="111111"/>
          <w:sz w:val="28"/>
          <w:szCs w:val="28"/>
          <w:rtl/>
        </w:rPr>
        <w:t xml:space="preserve">ص 477 .</w:t>
      </w:r>
    </w:p>
    <w:p>
      <w:pPr>
        <w:pStyle w:val="BookText"/>
      </w:pPr>
      <w:r>
        <w:rPr>
          <w:rFonts w:ascii="IRNazanin" w:hAnsi="IRNazanin" w:eastAsia="IRNazanin" w:cs="IRNazanin"/>
          <w:lang w:bidi="fa-IR"/>
          <w:color w:val="111111"/>
          <w:sz w:val="28"/>
          <w:szCs w:val="28"/>
          <w:rtl/>
        </w:rPr>
        <w:t xml:space="preserve">5 .الصاهل و الشاحج = الساحل و</w:t>
      </w:r>
    </w:p>
    <w:p>
      <w:pPr>
        <w:pStyle w:val="BookText"/>
      </w:pPr>
      <w:r>
        <w:rPr>
          <w:rFonts w:ascii="IRNazanin" w:hAnsi="IRNazanin" w:eastAsia="IRNazanin" w:cs="IRNazanin"/>
          <w:lang w:bidi="fa-IR"/>
          <w:color w:val="111111"/>
          <w:sz w:val="28"/>
          <w:szCs w:val="28"/>
          <w:rtl/>
        </w:rPr>
        <w:t xml:space="preserve">الشاهج، ج 10، ص 480 .</w:t>
      </w:r>
    </w:p>
    <w:p>
      <w:pPr>
        <w:pStyle w:val="BookText"/>
      </w:pPr>
      <w:r>
        <w:rPr>
          <w:rFonts w:ascii="IRNazanin" w:hAnsi="IRNazanin" w:eastAsia="IRNazanin" w:cs="IRNazanin"/>
          <w:lang w:bidi="fa-IR"/>
          <w:color w:val="111111"/>
          <w:sz w:val="28"/>
          <w:szCs w:val="28"/>
          <w:rtl/>
        </w:rPr>
        <w:t xml:space="preserve">6 .الغفران، ج 11، ص 506.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الملائكة، ج 15 ، ص 430 .</w:t>
      </w:r>
    </w:p>
    <w:p>
      <w:pPr>
        <w:pStyle w:val="Heading2"/>
      </w:pPr>
      <w:bookmarkStart w:id="1855" w:name="_Toc957"/>
      <w:r>
        <w:t>ابوالفتح ازدي ، محمّد بن حسين -374ه-</w:t>
      </w:r>
      <w:bookmarkEnd w:id="1855"/>
    </w:p>
    <w:p>
      <w:pPr>
        <w:pStyle w:val="BookText"/>
      </w:pPr>
      <w:r>
        <w:rPr>
          <w:rFonts w:ascii="IRNazanin" w:hAnsi="IRNazanin" w:eastAsia="IRNazanin" w:cs="IRNazanin"/>
          <w:lang w:bidi="fa-IR"/>
          <w:color w:val="111111"/>
          <w:sz w:val="28"/>
          <w:szCs w:val="28"/>
          <w:rtl/>
        </w:rPr>
        <w:t xml:space="preserve">كتاب فيه مواعظ و حکم، ج13،</w:t>
      </w:r>
    </w:p>
    <w:p>
      <w:pPr>
        <w:pStyle w:val="BookText"/>
      </w:pPr>
      <w:r>
        <w:rPr>
          <w:rFonts w:ascii="IRNazanin" w:hAnsi="IRNazanin" w:eastAsia="IRNazanin" w:cs="IRNazanin"/>
          <w:lang w:bidi="fa-IR"/>
          <w:color w:val="111111"/>
          <w:sz w:val="28"/>
          <w:szCs w:val="28"/>
          <w:rtl/>
        </w:rPr>
        <w:t xml:space="preserve">ص 115.</w:t>
      </w:r>
    </w:p>
    <w:p>
      <w:pPr>
        <w:pStyle w:val="Heading2"/>
      </w:pPr>
      <w:bookmarkStart w:id="1856" w:name="_Toc958"/>
      <w:r>
        <w:t>ابوالفتح بستي ، علي بن محمّد 360 -</w:t>
      </w:r>
      <w:bookmarkEnd w:id="1856"/>
    </w:p>
    <w:p>
      <w:pPr>
        <w:pStyle w:val="BookText"/>
      </w:pPr>
      <w:r>
        <w:rPr>
          <w:rFonts w:ascii="IRNazanin" w:hAnsi="IRNazanin" w:eastAsia="IRNazanin" w:cs="IRNazanin"/>
          <w:lang w:bidi="fa-IR"/>
          <w:color w:val="111111"/>
          <w:sz w:val="28"/>
          <w:szCs w:val="28"/>
          <w:rtl/>
        </w:rPr>
        <w:t xml:space="preserve">401 ه-</w:t>
      </w:r>
    </w:p>
    <w:p>
      <w:pPr>
        <w:pStyle w:val="BookText"/>
      </w:pPr>
      <w:r>
        <w:rPr>
          <w:rFonts w:ascii="Amiri" w:hAnsi="Amiri" w:eastAsia="Amiri" w:cs="Amiri"/>
          <w:lang w:bidi="ar-SA"/>
          <w:color w:val="111111"/>
          <w:sz w:val="28"/>
          <w:szCs w:val="28"/>
          <w:rtl/>
        </w:rPr>
        <w:t xml:space="preserve">1 .ديوان ابوالفتح بستي، ج7،</w:t>
      </w:r>
    </w:p>
    <w:p>
      <w:pPr>
        <w:pStyle w:val="BookText"/>
      </w:pPr>
      <w:r>
        <w:rPr>
          <w:rFonts w:ascii="IRNazanin" w:hAnsi="IRNazanin" w:eastAsia="IRNazanin" w:cs="IRNazanin"/>
          <w:lang w:bidi="fa-IR"/>
          <w:color w:val="111111"/>
          <w:sz w:val="28"/>
          <w:szCs w:val="28"/>
          <w:rtl/>
        </w:rPr>
        <w:t xml:space="preserve">ص 558.</w:t>
      </w:r>
    </w:p>
    <w:p>
      <w:pPr>
        <w:pStyle w:val="BookText"/>
      </w:pPr>
      <w:r>
        <w:rPr>
          <w:rFonts w:ascii="Amiri" w:hAnsi="Amiri" w:eastAsia="Amiri" w:cs="Amiri"/>
          <w:lang w:bidi="ar-SA"/>
          <w:color w:val="111111"/>
          <w:sz w:val="28"/>
          <w:szCs w:val="28"/>
          <w:rtl/>
        </w:rPr>
        <w:t xml:space="preserve">2 .القصيدة النونية = القصيدة البستية</w:t>
      </w:r>
    </w:p>
    <w:p>
      <w:pPr>
        <w:pStyle w:val="BookText"/>
      </w:pPr>
      <w:r>
        <w:rPr>
          <w:rFonts w:ascii="Amiri" w:hAnsi="Amiri" w:eastAsia="Amiri" w:cs="Amiri"/>
          <w:lang w:bidi="ar-SA"/>
          <w:color w:val="111111"/>
          <w:sz w:val="28"/>
          <w:szCs w:val="28"/>
          <w:rtl/>
        </w:rPr>
        <w:t xml:space="preserve">عنوان الحكم، ج 12، ص 721.</w:t>
      </w:r>
    </w:p>
    <w:p>
      <w:pPr>
        <w:pStyle w:val="BookText"/>
      </w:pPr>
      <w:r>
        <w:rPr>
          <w:rFonts w:ascii="Amiri" w:hAnsi="Amiri" w:eastAsia="Amiri" w:cs="Amiri"/>
          <w:lang w:bidi="ar-SA"/>
          <w:color w:val="111111"/>
          <w:sz w:val="28"/>
          <w:szCs w:val="28"/>
          <w:rtl/>
        </w:rPr>
        <w:t xml:space="preserve">3 .المنتخب من شعر البستي، ج 15</w:t>
      </w:r>
    </w:p>
    <w:p>
      <w:pPr>
        <w:pStyle w:val="BookText"/>
      </w:pPr>
      <w:r>
        <w:rPr>
          <w:rFonts w:ascii="IRNazanin" w:hAnsi="IRNazanin" w:eastAsia="IRNazanin" w:cs="IRNazanin"/>
          <w:lang w:bidi="fa-IR"/>
          <w:color w:val="111111"/>
          <w:sz w:val="28"/>
          <w:szCs w:val="28"/>
          <w:rtl/>
        </w:rPr>
        <w:t xml:space="preserve">ص 617 .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8" w:name="pg7742_69635"/>
    <w:bookmarkEnd w:id="138"/>
    <w:p>
      <w:pPr>
        <w:pStyle w:val="BookText"/>
      </w:pPr>
      <w:r>
        <w:rPr>
          <w:rFonts w:ascii="Amiri" w:hAnsi="Amiri" w:eastAsia="Amiri" w:cs="Amiri"/>
          <w:lang w:bidi="ar-SA"/>
          <w:color w:val="111111"/>
          <w:sz w:val="28"/>
          <w:szCs w:val="28"/>
          <w:rtl/>
        </w:rPr>
        <w:t xml:space="preserve">ابوالفتح بن اسماعيل زمزمي- زمزمي</w:t>
      </w:r>
    </w:p>
    <w:p>
      <w:pPr>
        <w:pStyle w:val="BookText"/>
      </w:pPr>
      <w:r>
        <w:rPr>
          <w:rFonts w:ascii="Amiri" w:hAnsi="Amiri" w:eastAsia="Amiri" w:cs="Amiri"/>
          <w:lang w:bidi="ar-SA"/>
          <w:color w:val="111111"/>
          <w:sz w:val="28"/>
          <w:szCs w:val="28"/>
          <w:rtl/>
        </w:rPr>
        <w:t xml:space="preserve">ابوالفتح بن اسماعيل</w:t>
      </w:r>
    </w:p>
    <w:p>
      <w:pPr>
        <w:pStyle w:val="BookText"/>
      </w:pPr>
      <w:r>
        <w:rPr>
          <w:rFonts w:ascii="IRNazanin" w:hAnsi="IRNazanin" w:eastAsia="IRNazanin" w:cs="IRNazanin"/>
          <w:lang w:bidi="fa-IR"/>
          <w:color w:val="111111"/>
          <w:sz w:val="28"/>
          <w:szCs w:val="28"/>
          <w:rtl/>
        </w:rPr>
        <w:t xml:space="preserve">ابوالفتح بن محمّد بن مخدوم بن سید شريف جرجاني -عربشاهي جرجاني ، ابوالفتح</w:t>
      </w:r>
    </w:p>
    <w:p>
      <w:pPr>
        <w:pStyle w:val="BookText"/>
      </w:pPr>
      <w:r>
        <w:rPr>
          <w:rFonts w:ascii="IRNazanin" w:hAnsi="IRNazanin" w:eastAsia="IRNazanin" w:cs="IRNazanin"/>
          <w:lang w:bidi="fa-IR"/>
          <w:color w:val="111111"/>
          <w:sz w:val="28"/>
          <w:szCs w:val="28"/>
          <w:rtl/>
        </w:rPr>
        <w:t xml:space="preserve">بن مخدوم</w:t>
      </w:r>
    </w:p>
    <w:p>
      <w:pPr>
        <w:pStyle w:val="BookText"/>
      </w:pPr>
      <w:r>
        <w:rPr>
          <w:rFonts w:ascii="Amiri" w:hAnsi="Amiri" w:eastAsia="Amiri" w:cs="Amiri"/>
          <w:lang w:bidi="ar-SA"/>
          <w:color w:val="111111"/>
          <w:sz w:val="28"/>
          <w:szCs w:val="28"/>
          <w:rtl/>
        </w:rPr>
        <w:t xml:space="preserve">ابوالفتح بن محمّد واسطي</w:t>
      </w:r>
    </w:p>
    <w:p>
      <w:pPr>
        <w:pStyle w:val="BookText"/>
      </w:pPr>
      <w:r>
        <w:rPr>
          <w:rFonts w:ascii="Amiri" w:hAnsi="Amiri" w:eastAsia="Amiri" w:cs="Amiri"/>
          <w:lang w:bidi="ar-SA"/>
          <w:color w:val="111111"/>
          <w:sz w:val="28"/>
          <w:szCs w:val="28"/>
          <w:rtl/>
        </w:rPr>
        <w:t xml:space="preserve">رفاعي- واسطي ، ابوالفتح بن محمد</w:t>
      </w:r>
    </w:p>
    <w:p>
      <w:pPr>
        <w:pStyle w:val="BookText"/>
      </w:pPr>
      <w:r>
        <w:rPr>
          <w:rFonts w:ascii="Amiri" w:hAnsi="Amiri" w:eastAsia="Amiri" w:cs="Amiri"/>
          <w:lang w:bidi="ar-SA"/>
          <w:color w:val="111111"/>
          <w:sz w:val="28"/>
          <w:szCs w:val="28"/>
          <w:rtl/>
        </w:rPr>
        <w:t xml:space="preserve">ابوالفتحتونسي -تونسي ، ابوالفتح</w:t>
      </w:r>
    </w:p>
    <w:p>
      <w:pPr>
        <w:pStyle w:val="BookText"/>
      </w:pPr>
      <w:r>
        <w:rPr>
          <w:rFonts w:ascii="Amiri" w:hAnsi="Amiri" w:eastAsia="Amiri" w:cs="Amiri"/>
          <w:lang w:bidi="ar-SA"/>
          <w:color w:val="111111"/>
          <w:sz w:val="28"/>
          <w:szCs w:val="28"/>
          <w:rtl/>
        </w:rPr>
        <w:t xml:space="preserve">ابوالفتح قره باغي- قره باغي ، ابوالفتح</w:t>
      </w:r>
    </w:p>
    <w:p>
      <w:pPr>
        <w:pStyle w:val="BookText"/>
      </w:pPr>
      <w:r>
        <w:rPr>
          <w:rFonts w:ascii="Amiri" w:hAnsi="Amiri" w:eastAsia="Amiri" w:cs="Amiri"/>
          <w:lang w:bidi="ar-SA"/>
          <w:color w:val="111111"/>
          <w:sz w:val="28"/>
          <w:szCs w:val="28"/>
          <w:rtl/>
        </w:rPr>
        <w:t xml:space="preserve">ابوالفتح مالكي -مالكي ، ابوالفتح</w:t>
      </w:r>
    </w:p>
    <w:p>
      <w:pPr>
        <w:pStyle w:val="Heading2"/>
      </w:pPr>
      <w:bookmarkStart w:id="1857" w:name="_Toc959"/>
      <w:r>
        <w:t>ابوالفتح مالكي ، محمّد</w:t>
      </w:r>
      <w:bookmarkEnd w:id="1857"/>
    </w:p>
    <w:p>
      <w:pPr>
        <w:pStyle w:val="BookText"/>
      </w:pPr>
      <w:r>
        <w:rPr>
          <w:rFonts w:ascii="Amiri" w:hAnsi="Amiri" w:eastAsia="Amiri" w:cs="Amiri"/>
          <w:lang w:bidi="ar-SA"/>
          <w:color w:val="111111"/>
          <w:sz w:val="28"/>
          <w:szCs w:val="28"/>
          <w:rtl/>
        </w:rPr>
        <w:t xml:space="preserve">شرح الايساغوجي، ج 9، ص272.</w:t>
      </w:r>
    </w:p>
    <w:p>
      <w:pPr>
        <w:pStyle w:val="Heading2"/>
      </w:pPr>
      <w:bookmarkStart w:id="1858" w:name="_Toc960"/>
      <w:r>
        <w:t>ابوالفتح ، محمود بن حسين</w:t>
      </w:r>
      <w:bookmarkEnd w:id="1858"/>
    </w:p>
    <w:p>
      <w:pPr>
        <w:pStyle w:val="BookText"/>
      </w:pPr>
      <w:r>
        <w:rPr>
          <w:rFonts w:ascii="Amiri" w:hAnsi="Amiri" w:eastAsia="Amiri" w:cs="Amiri"/>
          <w:lang w:bidi="ar-SA"/>
          <w:color w:val="111111"/>
          <w:sz w:val="28"/>
          <w:szCs w:val="28"/>
          <w:rtl/>
        </w:rPr>
        <w:t xml:space="preserve">ديوان ابي الفتح، ج 7، ص564.</w:t>
      </w:r>
    </w:p>
    <w:p>
      <w:pPr>
        <w:pStyle w:val="Heading2"/>
      </w:pPr>
      <w:bookmarkStart w:id="1859" w:name="_Toc961"/>
      <w:r>
        <w:t>ابوالفتوح اصفهاني ، اسعد بن محمود</w:t>
      </w:r>
      <w:bookmarkEnd w:id="1859"/>
    </w:p>
    <w:p>
      <w:pPr>
        <w:pStyle w:val="BookText"/>
      </w:pPr>
      <w:r>
        <w:rPr>
          <w:rFonts w:ascii="IRNazanin" w:hAnsi="IRNazanin" w:eastAsia="IRNazanin" w:cs="IRNazanin"/>
          <w:lang w:bidi="fa-IR"/>
          <w:color w:val="111111"/>
          <w:sz w:val="28"/>
          <w:szCs w:val="28"/>
          <w:rtl/>
        </w:rPr>
        <w:t xml:space="preserve">15 - 600 ه-</w:t>
      </w:r>
    </w:p>
    <w:p>
      <w:pPr>
        <w:pStyle w:val="BookText"/>
      </w:pPr>
      <w:r>
        <w:rPr>
          <w:rFonts w:ascii="Amiri" w:hAnsi="Amiri" w:eastAsia="Amiri" w:cs="Amiri"/>
          <w:lang w:bidi="ar-SA"/>
          <w:color w:val="111111"/>
          <w:sz w:val="28"/>
          <w:szCs w:val="28"/>
          <w:rtl/>
        </w:rPr>
        <w:t xml:space="preserve">ابوالفداء اسماعيل بن علي 672-732 ه-</w:t>
      </w:r>
    </w:p>
    <w:p>
      <w:pPr>
        <w:pStyle w:val="BookText"/>
      </w:pPr>
      <w:r>
        <w:rPr>
          <w:rFonts w:ascii="Amiri" w:hAnsi="Amiri" w:eastAsia="Amiri" w:cs="Amiri"/>
          <w:lang w:bidi="ar-SA"/>
          <w:color w:val="111111"/>
          <w:sz w:val="28"/>
          <w:szCs w:val="28"/>
          <w:rtl/>
        </w:rPr>
        <w:t xml:space="preserve">1 .تقويم البلدان، ج4، ص799</w:t>
      </w:r>
    </w:p>
    <w:p>
      <w:pPr>
        <w:pStyle w:val="BookText"/>
      </w:pPr>
      <w:r>
        <w:rPr>
          <w:rFonts w:ascii="Amiri" w:hAnsi="Amiri" w:eastAsia="Amiri" w:cs="Amiri"/>
          <w:lang w:bidi="ar-SA"/>
          <w:color w:val="111111"/>
          <w:sz w:val="28"/>
          <w:szCs w:val="28"/>
          <w:rtl/>
        </w:rPr>
        <w:t xml:space="preserve">2 .المختصر في تاريخ اخبار البشر =</w:t>
      </w:r>
    </w:p>
    <w:p>
      <w:pPr>
        <w:pStyle w:val="BookText"/>
      </w:pPr>
      <w:r>
        <w:rPr>
          <w:rFonts w:ascii="Amiri" w:hAnsi="Amiri" w:eastAsia="Amiri" w:cs="Amiri"/>
          <w:lang w:bidi="ar-SA"/>
          <w:color w:val="111111"/>
          <w:sz w:val="28"/>
          <w:szCs w:val="28"/>
          <w:rtl/>
        </w:rPr>
        <w:t xml:space="preserve">تاريخ ابوالفداء، ج 14، ص 211.</w:t>
      </w:r>
    </w:p>
    <w:p>
      <w:pPr>
        <w:pStyle w:val="Heading2"/>
      </w:pPr>
      <w:bookmarkStart w:id="1860" w:name="_Toc962"/>
      <w:r>
        <w:t>ابوالفرج اصفهاني ، علي بن حسين 284 -</w:t>
      </w:r>
      <w:bookmarkEnd w:id="1860"/>
    </w:p>
    <w:p>
      <w:pPr>
        <w:pStyle w:val="BookText"/>
      </w:pPr>
      <w:r>
        <w:rPr>
          <w:rFonts w:ascii="IRNazanin" w:hAnsi="IRNazanin" w:eastAsia="IRNazanin" w:cs="IRNazanin"/>
          <w:lang w:bidi="fa-IR"/>
          <w:color w:val="111111"/>
          <w:sz w:val="28"/>
          <w:szCs w:val="28"/>
          <w:rtl/>
        </w:rPr>
        <w:t xml:space="preserve">356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الاغاني، ج 2، ص 578.</w:t>
      </w:r>
    </w:p>
    <w:p>
      <w:pPr>
        <w:pStyle w:val="BookText"/>
      </w:pPr>
      <w:r>
        <w:rPr>
          <w:rFonts w:ascii="Amiri" w:hAnsi="Amiri" w:eastAsia="Amiri" w:cs="Amiri"/>
          <w:lang w:bidi="ar-SA"/>
          <w:color w:val="111111"/>
          <w:sz w:val="28"/>
          <w:szCs w:val="28"/>
          <w:rtl/>
        </w:rPr>
        <w:t xml:space="preserve">2 .مقاتل الطالبين، ج 15، ص 265.</w:t>
      </w:r>
    </w:p>
    <w:p>
      <w:pPr>
        <w:pStyle w:val="Heading2"/>
      </w:pPr>
      <w:bookmarkStart w:id="1861" w:name="_Toc963"/>
      <w:r>
        <w:t>ابوالفرج ثقفي ، مسعود بن حسن -</w:t>
      </w:r>
      <w:bookmarkEnd w:id="1861"/>
    </w:p>
    <w:p>
      <w:pPr>
        <w:pStyle w:val="BookText"/>
      </w:pPr>
      <w:r>
        <w:rPr>
          <w:rFonts w:ascii="IRNazanin" w:hAnsi="IRNazanin" w:eastAsia="IRNazanin" w:cs="IRNazanin"/>
          <w:lang w:bidi="fa-IR"/>
          <w:color w:val="111111"/>
          <w:sz w:val="28"/>
          <w:szCs w:val="28"/>
          <w:rtl/>
        </w:rPr>
        <w:t xml:space="preserve">562 ه-</w:t>
      </w:r>
    </w:p>
    <w:p>
      <w:pPr>
        <w:pStyle w:val="BookText"/>
      </w:pPr>
      <w:r>
        <w:rPr>
          <w:rFonts w:ascii="IRNazanin" w:hAnsi="IRNazanin" w:eastAsia="IRNazanin" w:cs="IRNazanin"/>
          <w:lang w:bidi="fa-IR"/>
          <w:color w:val="111111"/>
          <w:sz w:val="28"/>
          <w:szCs w:val="28"/>
          <w:rtl/>
        </w:rPr>
        <w:t xml:space="preserve">عروس الأجزاء، ج 11، ص88.</w:t>
      </w:r>
    </w:p>
    <w:p>
      <w:pPr>
        <w:pStyle w:val="Heading2"/>
      </w:pPr>
      <w:bookmarkStart w:id="1862" w:name="_Toc964"/>
      <w:r>
        <w:t>ابوالفرج ،دهلوي، محمّد فاضل قرن 13ه-</w:t>
      </w:r>
      <w:bookmarkEnd w:id="1862"/>
    </w:p>
    <w:p>
      <w:pPr>
        <w:pStyle w:val="BookText"/>
      </w:pPr>
      <w:r>
        <w:rPr>
          <w:rFonts w:ascii="Amiri" w:hAnsi="Amiri" w:eastAsia="Amiri" w:cs="Amiri"/>
          <w:lang w:bidi="ar-SA"/>
          <w:color w:val="111111"/>
          <w:sz w:val="28"/>
          <w:szCs w:val="28"/>
          <w:rtl/>
        </w:rPr>
        <w:t xml:space="preserve">1 .بيان الاسرار في شرح قصيدة الصوفية لعبد القادر الكيلاني، ج 3،</w:t>
      </w:r>
    </w:p>
    <w:p>
      <w:pPr>
        <w:pStyle w:val="BookText"/>
      </w:pPr>
      <w:r>
        <w:rPr>
          <w:rFonts w:ascii="IRNazanin" w:hAnsi="IRNazanin" w:eastAsia="IRNazanin" w:cs="IRNazanin"/>
          <w:lang w:bidi="fa-IR"/>
          <w:color w:val="111111"/>
          <w:sz w:val="28"/>
          <w:szCs w:val="28"/>
          <w:rtl/>
        </w:rPr>
        <w:t xml:space="preserve">ص 458 .</w:t>
      </w:r>
    </w:p>
    <w:p>
      <w:pPr>
        <w:pStyle w:val="BookText"/>
      </w:pPr>
      <w:r>
        <w:rPr>
          <w:rFonts w:ascii="Amiri" w:hAnsi="Amiri" w:eastAsia="Amiri" w:cs="Amiri"/>
          <w:lang w:bidi="ar-SA"/>
          <w:color w:val="111111"/>
          <w:sz w:val="28"/>
          <w:szCs w:val="28"/>
          <w:rtl/>
        </w:rPr>
        <w:t xml:space="preserve">2 .لمعات القادرية، ج13، ص 615.</w:t>
      </w:r>
    </w:p>
    <w:p>
      <w:pPr>
        <w:pStyle w:val="Heading2"/>
      </w:pPr>
      <w:bookmarkStart w:id="1863" w:name="_Toc965"/>
      <w:r>
        <w:t>ابوالفرج شيرازي ، عبدالواحد بن محمّد</w:t>
      </w:r>
      <w:bookmarkEnd w:id="1863"/>
    </w:p>
    <w:p>
      <w:pPr>
        <w:pStyle w:val="BookText"/>
      </w:pPr>
      <w:r>
        <w:rPr>
          <w:rFonts w:ascii="Amiri" w:hAnsi="Amiri" w:eastAsia="Amiri" w:cs="Amiri"/>
          <w:lang w:bidi="ar-SA"/>
          <w:color w:val="111111"/>
          <w:sz w:val="28"/>
          <w:szCs w:val="28"/>
          <w:rtl/>
        </w:rPr>
        <w:t xml:space="preserve">1 .الغنية في الفرائض الشافعية، ج11، - 486 ه-</w:t>
      </w:r>
    </w:p>
    <w:p>
      <w:pPr>
        <w:pStyle w:val="BookText"/>
      </w:pPr>
      <w:r>
        <w:rPr>
          <w:rFonts w:ascii="IRNazanin" w:hAnsi="IRNazanin" w:eastAsia="IRNazanin" w:cs="IRNazanin"/>
          <w:lang w:bidi="fa-IR"/>
          <w:color w:val="111111"/>
          <w:sz w:val="28"/>
          <w:szCs w:val="28"/>
          <w:rtl/>
        </w:rPr>
        <w:t xml:space="preserve">ص518.</w:t>
      </w:r>
    </w:p>
    <w:p>
      <w:pPr>
        <w:pStyle w:val="BookText"/>
      </w:pPr>
      <w:r>
        <w:rPr>
          <w:rFonts w:ascii="Amiri" w:hAnsi="Amiri" w:eastAsia="Amiri" w:cs="Amiri"/>
          <w:lang w:bidi="ar-SA"/>
          <w:color w:val="111111"/>
          <w:sz w:val="28"/>
          <w:szCs w:val="28"/>
          <w:rtl/>
        </w:rPr>
        <w:t xml:space="preserve">2 .نكت الفصول في بيان الاصول، ج 16،</w:t>
      </w:r>
    </w:p>
    <w:p>
      <w:pPr>
        <w:pStyle w:val="BookText"/>
      </w:pPr>
      <w:r>
        <w:rPr>
          <w:rFonts w:ascii="IRNazanin" w:hAnsi="IRNazanin" w:eastAsia="IRNazanin" w:cs="IRNazanin"/>
          <w:lang w:bidi="fa-IR"/>
          <w:color w:val="111111"/>
          <w:sz w:val="28"/>
          <w:szCs w:val="28"/>
          <w:rtl/>
        </w:rPr>
        <w:t xml:space="preserve">ص 468 .</w:t>
      </w:r>
    </w:p>
    <w:p>
      <w:pPr>
        <w:pStyle w:val="Heading2"/>
      </w:pPr>
      <w:bookmarkStart w:id="1864" w:name="_Toc966"/>
      <w:r>
        <w:t>ابوالفتوح رازي ، حسين بن علي 552- قرن</w:t>
      </w:r>
      <w:bookmarkEnd w:id="1864"/>
    </w:p>
    <w:p>
      <w:pPr>
        <w:pStyle w:val="BookText"/>
      </w:pPr>
      <w:r>
        <w:rPr>
          <w:rFonts w:ascii="Amiri" w:hAnsi="Amiri" w:eastAsia="Amiri" w:cs="Amiri"/>
          <w:lang w:bidi="ar-SA"/>
          <w:color w:val="111111"/>
          <w:sz w:val="28"/>
          <w:szCs w:val="28"/>
          <w:rtl/>
        </w:rPr>
        <w:t xml:space="preserve">روض الجنان و روح الجنان - تفسير</w:t>
      </w:r>
    </w:p>
    <w:p>
      <w:pPr>
        <w:pStyle w:val="BookText"/>
      </w:pPr>
      <w:r>
        <w:rPr>
          <w:rFonts w:ascii="Amiri" w:hAnsi="Amiri" w:eastAsia="Amiri" w:cs="Amiri"/>
          <w:lang w:bidi="ar-SA"/>
          <w:color w:val="111111"/>
          <w:sz w:val="28"/>
          <w:szCs w:val="28"/>
          <w:rtl/>
        </w:rPr>
        <w:t xml:space="preserve">ابوالفتوح رازي، ج 8، ص 461 .</w:t>
      </w:r>
    </w:p>
    <w:p>
      <w:pPr>
        <w:pStyle w:val="BookText"/>
      </w:pPr>
      <w:r>
        <w:rPr>
          <w:rFonts w:ascii="Amiri" w:hAnsi="Amiri" w:eastAsia="Amiri" w:cs="Amiri"/>
          <w:lang w:bidi="ar-SA"/>
          <w:color w:val="111111"/>
          <w:sz w:val="28"/>
          <w:szCs w:val="28"/>
          <w:rtl/>
        </w:rPr>
        <w:t xml:space="preserve">الامر بالمعروف والنهي عن المنكر</w:t>
      </w:r>
    </w:p>
    <w:p>
      <w:pPr>
        <w:pStyle w:val="BookText"/>
      </w:pPr>
      <w:r>
        <w:rPr>
          <w:rFonts w:ascii="IRNazanin" w:hAnsi="IRNazanin" w:eastAsia="IRNazanin" w:cs="IRNazanin"/>
          <w:lang w:bidi="fa-IR"/>
          <w:color w:val="111111"/>
          <w:sz w:val="28"/>
          <w:szCs w:val="28"/>
          <w:rtl/>
        </w:rPr>
        <w:t xml:space="preserve">ج 2، ص 762 .</w:t>
      </w:r>
    </w:p>
    <w:p>
      <w:pPr>
        <w:pStyle w:val="Heading2"/>
      </w:pPr>
      <w:bookmarkStart w:id="1865" w:name="_Toc967"/>
      <w:r>
        <w:t>ابوالفرج ، قدامة بن جعفر - 337 ه-</w:t>
      </w:r>
      <w:bookmarkEnd w:id="1865"/>
    </w:p>
    <w:p>
      <w:pPr>
        <w:pStyle w:val="BookText"/>
      </w:pPr>
      <w:r>
        <w:rPr>
          <w:rFonts w:ascii="IRNazanin" w:hAnsi="IRNazanin" w:eastAsia="IRNazanin" w:cs="IRNazanin"/>
          <w:lang w:bidi="fa-IR"/>
          <w:color w:val="111111"/>
          <w:sz w:val="28"/>
          <w:szCs w:val="28"/>
          <w:rtl/>
        </w:rPr>
        <w:t xml:space="preserve">جواهر الالفاظ، ج 5، ص 540.</w:t>
      </w:r>
    </w:p>
    <w:p>
      <w:pPr>
        <w:pStyle w:val="Heading2"/>
      </w:pPr>
      <w:bookmarkStart w:id="1866" w:name="_Toc968"/>
      <w:r>
        <w:t>ابوالفضائل ، علي افندي عمري -1146ه-</w:t>
      </w:r>
      <w:bookmarkEnd w:id="1866"/>
    </w:p>
    <w:p>
      <w:pPr>
        <w:pStyle w:val="BookText"/>
      </w:pPr>
      <w:r>
        <w:rPr>
          <w:rFonts w:ascii="Amiri" w:hAnsi="Amiri" w:eastAsia="Amiri" w:cs="Amiri"/>
          <w:lang w:bidi="ar-SA"/>
          <w:color w:val="111111"/>
          <w:sz w:val="28"/>
          <w:szCs w:val="28"/>
          <w:rtl/>
        </w:rPr>
        <w:t xml:space="preserve">مسائل فقهية، ج 14، ص 464.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9" w:name="pg7742_69637"/>
    <w:bookmarkEnd w:id="139"/>
    <w:p>
      <w:pPr>
        <w:pStyle w:val="Heading2"/>
      </w:pPr>
      <w:bookmarkStart w:id="1867" w:name="_Toc969"/>
      <w:r>
        <w:t>ابوالفضل</w:t>
      </w:r>
      <w:bookmarkEnd w:id="1867"/>
    </w:p>
    <w:p>
      <w:pPr>
        <w:pStyle w:val="BookText"/>
      </w:pPr>
      <w:r>
        <w:rPr>
          <w:rFonts w:ascii="IRNazanin" w:hAnsi="IRNazanin" w:eastAsia="IRNazanin" w:cs="IRNazanin"/>
          <w:lang w:bidi="fa-IR"/>
          <w:color w:val="111111"/>
          <w:sz w:val="28"/>
          <w:szCs w:val="28"/>
          <w:rtl/>
        </w:rPr>
        <w:t xml:space="preserve">فرائض المنهاج، ج 11، ص 768.</w:t>
      </w:r>
    </w:p>
    <w:p>
      <w:pPr>
        <w:pStyle w:val="BookText"/>
      </w:pPr>
      <w:r>
        <w:rPr>
          <w:rFonts w:ascii="Amiri" w:hAnsi="Amiri" w:eastAsia="Amiri" w:cs="Amiri"/>
          <w:lang w:bidi="ar-SA"/>
          <w:color w:val="111111"/>
          <w:sz w:val="28"/>
          <w:szCs w:val="28"/>
          <w:rtl/>
        </w:rPr>
        <w:t xml:space="preserve">ابوالقاسم بن احمد حسيني كاشاني</w:t>
      </w:r>
    </w:p>
    <w:p>
      <w:pPr>
        <w:pStyle w:val="BookText"/>
      </w:pPr>
      <w:r>
        <w:rPr>
          <w:rFonts w:ascii="Amiri" w:hAnsi="Amiri" w:eastAsia="Amiri" w:cs="Amiri"/>
          <w:lang w:bidi="ar-SA"/>
          <w:color w:val="111111"/>
          <w:sz w:val="28"/>
          <w:szCs w:val="28"/>
          <w:rtl/>
        </w:rPr>
        <w:t xml:space="preserve">نجفي -كاشاني ، ابوالقاسم بن احمد</w:t>
      </w:r>
    </w:p>
    <w:p>
      <w:pPr>
        <w:pStyle w:val="BookText"/>
      </w:pPr>
      <w:r>
        <w:rPr>
          <w:rFonts w:ascii="Amiri" w:hAnsi="Amiri" w:eastAsia="Amiri" w:cs="Amiri"/>
          <w:lang w:bidi="ar-SA"/>
          <w:color w:val="111111"/>
          <w:sz w:val="28"/>
          <w:szCs w:val="28"/>
          <w:rtl/>
        </w:rPr>
        <w:t xml:space="preserve">ابوالقاسم بن حسين بكري- بكري ، رضي</w:t>
      </w:r>
    </w:p>
    <w:p>
      <w:pPr>
        <w:pStyle w:val="BookText"/>
      </w:pPr>
      <w:r>
        <w:rPr>
          <w:rFonts w:ascii="Amiri" w:hAnsi="Amiri" w:eastAsia="Amiri" w:cs="Amiri"/>
          <w:lang w:bidi="ar-SA"/>
          <w:color w:val="111111"/>
          <w:sz w:val="28"/>
          <w:szCs w:val="28"/>
          <w:rtl/>
        </w:rPr>
        <w:t xml:space="preserve">ابوالفضل بن احمد يوناني - يوناني ،</w:t>
      </w:r>
    </w:p>
    <w:p>
      <w:pPr>
        <w:pStyle w:val="BookText"/>
      </w:pPr>
      <w:r>
        <w:rPr>
          <w:rFonts w:ascii="IRNazanin" w:hAnsi="IRNazanin" w:eastAsia="IRNazanin" w:cs="IRNazanin"/>
          <w:lang w:bidi="fa-IR"/>
          <w:color w:val="111111"/>
          <w:sz w:val="28"/>
          <w:szCs w:val="28"/>
          <w:rtl/>
        </w:rPr>
        <w:t xml:space="preserve">الدین ابوالقاسم</w:t>
      </w:r>
    </w:p>
    <w:p>
      <w:pPr>
        <w:pStyle w:val="BookText"/>
      </w:pPr>
      <w:r>
        <w:rPr>
          <w:rFonts w:ascii="IRNazanin" w:hAnsi="IRNazanin" w:eastAsia="IRNazanin" w:cs="IRNazanin"/>
          <w:lang w:bidi="fa-IR"/>
          <w:color w:val="111111"/>
          <w:sz w:val="28"/>
          <w:szCs w:val="28"/>
          <w:rtl/>
        </w:rPr>
        <w:t xml:space="preserve">ابوالفضل بن احمد</w:t>
      </w:r>
    </w:p>
    <w:p>
      <w:pPr>
        <w:pStyle w:val="BookText"/>
      </w:pPr>
      <w:r>
        <w:rPr>
          <w:rFonts w:ascii="Amiri" w:hAnsi="Amiri" w:eastAsia="Amiri" w:cs="Amiri"/>
          <w:lang w:bidi="ar-SA"/>
          <w:color w:val="111111"/>
          <w:sz w:val="28"/>
          <w:szCs w:val="28"/>
          <w:rtl/>
        </w:rPr>
        <w:t xml:space="preserve">ابوالقاسم بن حسين موسوي</w:t>
      </w:r>
    </w:p>
    <w:p>
      <w:pPr>
        <w:pStyle w:val="BookText"/>
      </w:pPr>
      <w:r>
        <w:rPr>
          <w:rFonts w:ascii="Amiri" w:hAnsi="Amiri" w:eastAsia="Amiri" w:cs="Amiri"/>
          <w:lang w:bidi="ar-SA"/>
          <w:color w:val="111111"/>
          <w:sz w:val="28"/>
          <w:szCs w:val="28"/>
          <w:rtl/>
        </w:rPr>
        <w:t xml:space="preserve">ابوالفضل بن خيرون -ابن خيرون ، احمد حسيني موسوي اصفهاني ، جعفر بن حسين</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ابوالفضل ريزي اصفهاني- اصفهاني ،</w:t>
      </w:r>
    </w:p>
    <w:p>
      <w:pPr>
        <w:pStyle w:val="BookText"/>
      </w:pPr>
      <w:r>
        <w:rPr>
          <w:rFonts w:ascii="IRNazanin" w:hAnsi="IRNazanin" w:eastAsia="IRNazanin" w:cs="IRNazanin"/>
          <w:lang w:bidi="fa-IR"/>
          <w:color w:val="111111"/>
          <w:sz w:val="28"/>
          <w:szCs w:val="28"/>
          <w:rtl/>
        </w:rPr>
        <w:t xml:space="preserve">ابوالفضل</w:t>
      </w:r>
    </w:p>
    <w:p>
      <w:pPr>
        <w:pStyle w:val="BookText"/>
      </w:pPr>
      <w:r>
        <w:rPr>
          <w:rFonts w:ascii="Amiri" w:hAnsi="Amiri" w:eastAsia="Amiri" w:cs="Amiri"/>
          <w:lang w:bidi="ar-SA"/>
          <w:color w:val="111111"/>
          <w:sz w:val="28"/>
          <w:szCs w:val="28"/>
          <w:rtl/>
        </w:rPr>
        <w:t xml:space="preserve">ابوالفضل ريزي -ريزي ، ابوالفضل</w:t>
      </w:r>
    </w:p>
    <w:p>
      <w:pPr>
        <w:pStyle w:val="BookText"/>
      </w:pPr>
      <w:r>
        <w:rPr>
          <w:rFonts w:ascii="Amiri" w:hAnsi="Amiri" w:eastAsia="Amiri" w:cs="Amiri"/>
          <w:lang w:bidi="ar-SA"/>
          <w:color w:val="111111"/>
          <w:sz w:val="28"/>
          <w:szCs w:val="28"/>
          <w:rtl/>
        </w:rPr>
        <w:t xml:space="preserve">ابوالفضل قرشي صديقي -خطيب</w:t>
      </w:r>
    </w:p>
    <w:p>
      <w:pPr>
        <w:pStyle w:val="BookText"/>
      </w:pPr>
      <w:r>
        <w:rPr>
          <w:rFonts w:ascii="Amiri" w:hAnsi="Amiri" w:eastAsia="Amiri" w:cs="Amiri"/>
          <w:lang w:bidi="ar-SA"/>
          <w:color w:val="111111"/>
          <w:sz w:val="28"/>
          <w:szCs w:val="28"/>
          <w:rtl/>
        </w:rPr>
        <w:t xml:space="preserve">(كازروني) كازروني ، ابوالفضل</w:t>
      </w:r>
    </w:p>
    <w:p>
      <w:pPr>
        <w:pStyle w:val="BookText"/>
      </w:pPr>
      <w:r>
        <w:rPr>
          <w:rFonts w:ascii="Amiri" w:hAnsi="Amiri" w:eastAsia="Amiri" w:cs="Amiri"/>
          <w:lang w:bidi="ar-SA"/>
          <w:color w:val="111111"/>
          <w:sz w:val="28"/>
          <w:szCs w:val="28"/>
          <w:rtl/>
        </w:rPr>
        <w:t xml:space="preserve">ابو القاسم بن عبد الجليل رومي - رومي ،</w:t>
      </w:r>
    </w:p>
    <w:p>
      <w:pPr>
        <w:pStyle w:val="BookText"/>
      </w:pPr>
      <w:r>
        <w:rPr>
          <w:rFonts w:ascii="Amiri" w:hAnsi="Amiri" w:eastAsia="Amiri" w:cs="Amiri"/>
          <w:lang w:bidi="ar-SA"/>
          <w:color w:val="111111"/>
          <w:sz w:val="28"/>
          <w:szCs w:val="28"/>
          <w:rtl/>
        </w:rPr>
        <w:t xml:space="preserve">ابوالقاسم بن عبدالجليل ابوالقاسم بن عبدالنبي حسيني شيرازي - ميرزا بابا شيرازي، ابوالقاسم بن</w:t>
      </w:r>
    </w:p>
    <w:p>
      <w:pPr>
        <w:pStyle w:val="BookText"/>
      </w:pPr>
      <w:r>
        <w:rPr>
          <w:rFonts w:ascii="Amiri" w:hAnsi="Amiri" w:eastAsia="Amiri" w:cs="Amiri"/>
          <w:lang w:bidi="ar-SA"/>
          <w:color w:val="111111"/>
          <w:sz w:val="28"/>
          <w:szCs w:val="28"/>
          <w:rtl/>
        </w:rPr>
        <w:t xml:space="preserve">عبدالنبي</w:t>
      </w:r>
    </w:p>
    <w:p>
      <w:pPr>
        <w:pStyle w:val="BookText"/>
      </w:pPr>
      <w:r>
        <w:rPr>
          <w:rFonts w:ascii="Amiri" w:hAnsi="Amiri" w:eastAsia="Amiri" w:cs="Amiri"/>
          <w:lang w:bidi="ar-SA"/>
          <w:color w:val="111111"/>
          <w:sz w:val="28"/>
          <w:szCs w:val="28"/>
          <w:rtl/>
        </w:rPr>
        <w:t xml:space="preserve">ذهبي</w:t>
      </w:r>
    </w:p>
    <w:p>
      <w:pPr>
        <w:pStyle w:val="BookText"/>
      </w:pPr>
      <w:r>
        <w:rPr>
          <w:rFonts w:ascii="Amiri" w:hAnsi="Amiri" w:eastAsia="Amiri" w:cs="Amiri"/>
          <w:lang w:bidi="ar-SA"/>
          <w:color w:val="111111"/>
          <w:sz w:val="28"/>
          <w:szCs w:val="28"/>
          <w:rtl/>
        </w:rPr>
        <w:t xml:space="preserve">ابوالقاسم بن علي شريف -شريف</w:t>
      </w:r>
    </w:p>
    <w:p>
      <w:pPr>
        <w:pStyle w:val="BookText"/>
      </w:pPr>
      <w:r>
        <w:rPr>
          <w:rFonts w:ascii="IRNazanin" w:hAnsi="IRNazanin" w:eastAsia="IRNazanin" w:cs="IRNazanin"/>
          <w:lang w:bidi="fa-IR"/>
          <w:color w:val="111111"/>
          <w:sz w:val="28"/>
          <w:szCs w:val="28"/>
          <w:rtl/>
        </w:rPr>
        <w:t xml:space="preserve">ابوالفضل گلپايگاني -گلپايگاني ، ابوالفضل ابوالقاسم بن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ابوالفضل مالكي -مالكي ، ابوالفضل</w:t>
      </w:r>
    </w:p>
    <w:p>
      <w:pPr>
        <w:pStyle w:val="Heading2"/>
      </w:pPr>
      <w:bookmarkStart w:id="1868" w:name="_Toc970"/>
      <w:r>
        <w:t>ابو الفضل ، محمّد بن مراد 10 ه-</w:t>
      </w:r>
      <w:bookmarkEnd w:id="1868"/>
    </w:p>
    <w:p>
      <w:pPr>
        <w:pStyle w:val="BookText"/>
      </w:pPr>
      <w:r>
        <w:rPr>
          <w:rFonts w:ascii="Amiri" w:hAnsi="Amiri" w:eastAsia="Amiri" w:cs="Amiri"/>
          <w:lang w:bidi="ar-SA"/>
          <w:color w:val="111111"/>
          <w:sz w:val="28"/>
          <w:szCs w:val="28"/>
          <w:rtl/>
        </w:rPr>
        <w:t xml:space="preserve">مطارب الصالحين الطالبين الحق و مهارب الطالحين المبتدعين غير الحق ج 14، ص 757.</w:t>
      </w:r>
    </w:p>
    <w:p>
      <w:pPr>
        <w:pStyle w:val="BookText"/>
      </w:pPr>
      <w:r>
        <w:rPr>
          <w:rFonts w:ascii="Amiri" w:hAnsi="Amiri" w:eastAsia="Amiri" w:cs="Amiri"/>
          <w:lang w:bidi="ar-SA"/>
          <w:color w:val="111111"/>
          <w:sz w:val="28"/>
          <w:szCs w:val="28"/>
          <w:rtl/>
        </w:rPr>
        <w:t xml:space="preserve">ابوالقاسم بن عيسى بن محمد حسن فراهاني- قائم مقام ، ابوالقاسم بن عيسى</w:t>
      </w:r>
    </w:p>
    <w:p>
      <w:pPr>
        <w:pStyle w:val="BookText"/>
      </w:pPr>
      <w:r>
        <w:rPr>
          <w:rFonts w:ascii="Amiri" w:hAnsi="Amiri" w:eastAsia="Amiri" w:cs="Amiri"/>
          <w:lang w:bidi="ar-SA"/>
          <w:color w:val="111111"/>
          <w:sz w:val="28"/>
          <w:szCs w:val="28"/>
          <w:rtl/>
        </w:rPr>
        <w:t xml:space="preserve">ابو القاسم بن محفوظ بغدادي- بغدادي</w:t>
      </w:r>
    </w:p>
    <w:p>
      <w:pPr>
        <w:pStyle w:val="BookText"/>
      </w:pPr>
      <w:r>
        <w:rPr>
          <w:rFonts w:ascii="IRNazanin" w:hAnsi="IRNazanin" w:eastAsia="IRNazanin" w:cs="IRNazanin"/>
          <w:lang w:bidi="fa-IR"/>
          <w:color w:val="111111"/>
          <w:sz w:val="28"/>
          <w:szCs w:val="28"/>
          <w:rtl/>
        </w:rPr>
        <w:t xml:space="preserve">ابوالقاسم بن محفوظ</w:t>
      </w:r>
    </w:p>
    <w:p>
      <w:pPr>
        <w:pStyle w:val="BookText"/>
      </w:pPr>
      <w:r>
        <w:rPr>
          <w:rFonts w:ascii="Amiri" w:hAnsi="Amiri" w:eastAsia="Amiri" w:cs="Amiri"/>
          <w:lang w:bidi="ar-SA"/>
          <w:color w:val="111111"/>
          <w:sz w:val="28"/>
          <w:szCs w:val="28"/>
          <w:rtl/>
        </w:rPr>
        <w:t xml:space="preserve">ابوالقاسم بن محمّد الشعيف</w:t>
      </w:r>
    </w:p>
    <w:p>
      <w:pPr>
        <w:pStyle w:val="BookText"/>
      </w:pPr>
      <w:r>
        <w:rPr>
          <w:rFonts w:ascii="Amiri" w:hAnsi="Amiri" w:eastAsia="Amiri" w:cs="Amiri"/>
          <w:lang w:bidi="ar-SA"/>
          <w:color w:val="111111"/>
          <w:sz w:val="28"/>
          <w:szCs w:val="28"/>
          <w:rtl/>
        </w:rPr>
        <w:t xml:space="preserve">نورالدين -شقيقي يمني ، ابوالقاسم بن محمد</w:t>
      </w:r>
    </w:p>
    <w:p>
      <w:pPr>
        <w:pStyle w:val="BookText"/>
      </w:pPr>
      <w:r>
        <w:rPr>
          <w:rFonts w:ascii="Amiri" w:hAnsi="Amiri" w:eastAsia="Amiri" w:cs="Amiri"/>
          <w:lang w:bidi="ar-SA"/>
          <w:color w:val="111111"/>
          <w:sz w:val="28"/>
          <w:szCs w:val="28"/>
          <w:rtl/>
        </w:rPr>
        <w:t xml:space="preserve">ابوالقاسم بن محمّد تقي اردبيلي- اردبيلي</w:t>
      </w:r>
    </w:p>
    <w:p>
      <w:pPr>
        <w:pStyle w:val="BookText"/>
      </w:pPr>
      <w:r>
        <w:rPr>
          <w:rFonts w:ascii="Amiri" w:hAnsi="Amiri" w:eastAsia="Amiri" w:cs="Amiri"/>
          <w:lang w:bidi="ar-SA"/>
          <w:color w:val="111111"/>
          <w:sz w:val="28"/>
          <w:szCs w:val="28"/>
          <w:rtl/>
        </w:rPr>
        <w:t xml:space="preserve">، ابوالقاسم بن محمّد تقي</w:t>
      </w:r>
    </w:p>
    <w:p>
      <w:pPr>
        <w:pStyle w:val="BookText"/>
      </w:pPr>
      <w:r>
        <w:rPr>
          <w:rFonts w:ascii="Amiri" w:hAnsi="Amiri" w:eastAsia="Amiri" w:cs="Amiri"/>
          <w:lang w:bidi="ar-SA"/>
          <w:color w:val="111111"/>
          <w:sz w:val="28"/>
          <w:szCs w:val="28"/>
          <w:rtl/>
        </w:rPr>
        <w:t xml:space="preserve">ابوالفيض بن مبارك - فيضي ، ابوالفيض بن</w:t>
      </w:r>
    </w:p>
    <w:p>
      <w:pPr>
        <w:pStyle w:val="BookText"/>
      </w:pPr>
      <w:r>
        <w:rPr>
          <w:rFonts w:ascii="Amiri" w:hAnsi="Amiri" w:eastAsia="Amiri" w:cs="Amiri"/>
          <w:lang w:bidi="ar-SA"/>
          <w:color w:val="111111"/>
          <w:sz w:val="28"/>
          <w:szCs w:val="28"/>
          <w:rtl/>
        </w:rPr>
        <w:t xml:space="preserve">مبارك ابوالفيض حسن نقشبندي -نقشبندي ،</w:t>
      </w:r>
    </w:p>
    <w:p>
      <w:pPr>
        <w:pStyle w:val="BookText"/>
      </w:pPr>
      <w:r>
        <w:rPr>
          <w:rFonts w:ascii="Amiri" w:hAnsi="Amiri" w:eastAsia="Amiri" w:cs="Amiri"/>
          <w:lang w:bidi="ar-SA"/>
          <w:color w:val="111111"/>
          <w:sz w:val="28"/>
          <w:szCs w:val="28"/>
          <w:rtl/>
        </w:rPr>
        <w:t xml:space="preserve">ابوالفيض حسن</w:t>
      </w:r>
    </w:p>
    <w:p>
      <w:pPr>
        <w:pStyle w:val="BookText"/>
      </w:pPr>
      <w:r>
        <w:rPr>
          <w:rFonts w:ascii="Amiri" w:hAnsi="Amiri" w:eastAsia="Amiri" w:cs="Amiri"/>
          <w:lang w:bidi="ar-SA"/>
          <w:color w:val="111111"/>
          <w:sz w:val="28"/>
          <w:szCs w:val="28"/>
          <w:rtl/>
        </w:rPr>
        <w:t xml:space="preserve">ابوالقاسم بن محمّد حسن قمي شفتي- كيلاني - ميرزاي قمي ، ابوالقاسم بن محمّد</w:t>
      </w:r>
    </w:p>
    <w:p>
      <w:pPr>
        <w:pStyle w:val="BookText"/>
      </w:pPr>
      <w:r>
        <w:rPr>
          <w:rFonts w:ascii="Amiri" w:hAnsi="Amiri" w:eastAsia="Amiri" w:cs="Amiri"/>
          <w:lang w:bidi="ar-SA"/>
          <w:color w:val="111111"/>
          <w:sz w:val="28"/>
          <w:szCs w:val="28"/>
          <w:rtl/>
        </w:rPr>
        <w:t xml:space="preserve">ابوالقاسم بن ابي بكر ليثي</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ابوالقاسم بن محمّد رضا حسيني -</w:t>
      </w:r>
    </w:p>
    <w:p>
      <w:pPr>
        <w:pStyle w:val="BookText"/>
      </w:pPr>
      <w:r>
        <w:rPr>
          <w:rFonts w:ascii="Amiri" w:hAnsi="Amiri" w:eastAsia="Amiri" w:cs="Amiri"/>
          <w:lang w:bidi="ar-SA"/>
          <w:color w:val="111111"/>
          <w:sz w:val="28"/>
          <w:szCs w:val="28"/>
          <w:rtl/>
        </w:rPr>
        <w:t xml:space="preserve">حسني حسيني ، ابوالقاسم بن محمّد رضا</w:t>
      </w:r>
    </w:p>
    <w:p>
      <w:pPr>
        <w:pStyle w:val="BookText"/>
      </w:pPr>
      <w:r>
        <w:rPr>
          <w:rFonts w:ascii="Amiri" w:hAnsi="Amiri" w:eastAsia="Amiri" w:cs="Amiri"/>
          <w:lang w:bidi="ar-SA"/>
          <w:color w:val="111111"/>
          <w:sz w:val="28"/>
          <w:szCs w:val="28"/>
          <w:rtl/>
        </w:rPr>
        <w:t xml:space="preserve">سمرقندي ليثي -سمرقندي ، ابوالقاسم بن ابي</w:t>
      </w:r>
    </w:p>
    <w:p>
      <w:pPr>
        <w:pStyle w:val="BookText"/>
      </w:pPr>
      <w:r>
        <w:rPr>
          <w:rFonts w:ascii="Amiri" w:hAnsi="Amiri" w:eastAsia="Amiri" w:cs="Amiri"/>
          <w:lang w:bidi="ar-SA"/>
          <w:color w:val="111111"/>
          <w:sz w:val="28"/>
          <w:szCs w:val="28"/>
          <w:rtl/>
        </w:rPr>
        <w:t xml:space="preserve">بكر</w:t>
      </w:r>
    </w:p>
    <w:p>
      <w:pPr>
        <w:pStyle w:val="BookText"/>
      </w:pPr>
      <w:r>
        <w:rPr>
          <w:rFonts w:ascii="Amiri" w:hAnsi="Amiri" w:eastAsia="Amiri" w:cs="Amiri"/>
          <w:lang w:bidi="ar-SA"/>
          <w:color w:val="111111"/>
          <w:sz w:val="28"/>
          <w:szCs w:val="28"/>
          <w:rtl/>
        </w:rPr>
        <w:t xml:space="preserve">ابوالقاسم بن محمّد رضا طباطبائي - طباطبائي ، ابو القاسم بن محمّد</w:t>
      </w:r>
    </w:p>
    <w:p>
      <w:pPr>
        <w:pStyle w:val="BookText"/>
      </w:pPr>
      <w:r>
        <w:rPr>
          <w:rFonts w:ascii="Amiri" w:hAnsi="Amiri" w:eastAsia="Amiri" w:cs="Amiri"/>
          <w:lang w:bidi="ar-SA"/>
          <w:color w:val="111111"/>
          <w:sz w:val="28"/>
          <w:szCs w:val="28"/>
          <w:rtl/>
        </w:rPr>
        <w:t xml:space="preserve">ابوالقاسم بن ابي حامد كازروني- كازروني ،</w:t>
      </w:r>
    </w:p>
    <w:p>
      <w:pPr>
        <w:pStyle w:val="BookText"/>
      </w:pPr>
      <w:r>
        <w:rPr>
          <w:rFonts w:ascii="Amiri" w:hAnsi="Amiri" w:eastAsia="Amiri" w:cs="Amiri"/>
          <w:lang w:bidi="ar-SA"/>
          <w:color w:val="111111"/>
          <w:sz w:val="28"/>
          <w:szCs w:val="28"/>
          <w:rtl/>
        </w:rPr>
        <w:t xml:space="preserve">ابوالقاسم بن ابي حامد</w:t>
      </w:r>
    </w:p>
    <w:p>
      <w:pPr>
        <w:pStyle w:val="BookText"/>
      </w:pPr>
      <w:r>
        <w:rPr>
          <w:rFonts w:ascii="IRNazanin" w:hAnsi="IRNazanin" w:eastAsia="IRNazanin" w:cs="IRNazanin"/>
          <w:lang w:bidi="fa-IR"/>
          <w:color w:val="111111"/>
          <w:sz w:val="28"/>
          <w:szCs w:val="28"/>
          <w:rtl/>
        </w:rPr>
        <w:t xml:space="preserve">رضا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0" w:name="pg7742_69639"/>
    <w:bookmarkEnd w:id="140"/>
    <w:p>
      <w:pPr>
        <w:pStyle w:val="BookText"/>
      </w:pPr>
      <w:r>
        <w:rPr>
          <w:rFonts w:ascii="Amiri" w:hAnsi="Amiri" w:eastAsia="Amiri" w:cs="Amiri"/>
          <w:lang w:bidi="ar-SA"/>
          <w:color w:val="111111"/>
          <w:sz w:val="28"/>
          <w:szCs w:val="28"/>
          <w:rtl/>
        </w:rPr>
        <w:t xml:space="preserve">ابوالقاسم بن محمّد رضا لاهيجي -لاهيجي ، ابوالقاسم بن محمّد رضا</w:t>
      </w:r>
    </w:p>
    <w:p>
      <w:pPr>
        <w:pStyle w:val="BookText"/>
      </w:pPr>
      <w:r>
        <w:rPr>
          <w:rFonts w:ascii="IRNazanin" w:hAnsi="IRNazanin" w:eastAsia="IRNazanin" w:cs="IRNazanin"/>
          <w:lang w:bidi="fa-IR"/>
          <w:color w:val="111111"/>
          <w:sz w:val="28"/>
          <w:szCs w:val="28"/>
          <w:rtl/>
        </w:rPr>
        <w:t xml:space="preserve">ابوالقاسم بن محمّد علي بن هادي نوري کلانتري -کلانتري نوري ، ابوالقاسم بن محمّد</w:t>
      </w:r>
    </w:p>
    <w:p>
      <w:pPr>
        <w:pStyle w:val="BookText"/>
      </w:pPr>
      <w:r>
        <w:rPr>
          <w:rFonts w:ascii="Amiri" w:hAnsi="Amiri" w:eastAsia="Amiri" w:cs="Amiri"/>
          <w:lang w:bidi="ar-SA"/>
          <w:color w:val="111111"/>
          <w:sz w:val="28"/>
          <w:szCs w:val="28"/>
          <w:rtl/>
        </w:rPr>
        <w:t xml:space="preserve">علي</w:t>
      </w:r>
    </w:p>
    <w:p>
      <w:pPr>
        <w:pStyle w:val="BookText"/>
      </w:pPr>
      <w:r>
        <w:rPr>
          <w:rFonts w:ascii="IRNazanin" w:hAnsi="IRNazanin" w:eastAsia="IRNazanin" w:cs="IRNazanin"/>
          <w:lang w:bidi="fa-IR"/>
          <w:color w:val="111111"/>
          <w:sz w:val="28"/>
          <w:szCs w:val="28"/>
          <w:rtl/>
        </w:rPr>
        <w:t xml:space="preserve">ابوالقاسم بن محمّد گلپایگانی - گلپايگاني ،</w:t>
      </w:r>
    </w:p>
    <w:p>
      <w:pPr>
        <w:pStyle w:val="BookText"/>
      </w:pPr>
      <w:r>
        <w:rPr>
          <w:rFonts w:ascii="IRNazanin" w:hAnsi="IRNazanin" w:eastAsia="IRNazanin" w:cs="IRNazanin"/>
          <w:lang w:bidi="fa-IR"/>
          <w:color w:val="111111"/>
          <w:sz w:val="28"/>
          <w:szCs w:val="28"/>
          <w:rtl/>
        </w:rPr>
        <w:t xml:space="preserve">ابوالقاسم بن محمّد ابوالقاسم بن معصوم حسيني گيلاني اشكوري -اشكوري ، ابوالقاسم بن معصوم</w:t>
      </w:r>
    </w:p>
    <w:p>
      <w:pPr>
        <w:pStyle w:val="BookText"/>
      </w:pPr>
      <w:r>
        <w:rPr>
          <w:rFonts w:ascii="Amiri" w:hAnsi="Amiri" w:eastAsia="Amiri" w:cs="Amiri"/>
          <w:lang w:bidi="ar-SA"/>
          <w:color w:val="111111"/>
          <w:sz w:val="28"/>
          <w:szCs w:val="28"/>
          <w:rtl/>
        </w:rPr>
        <w:t xml:space="preserve">ابوالقاسم بن ميرزا بيك بن صدرالدين</w:t>
      </w:r>
    </w:p>
    <w:p>
      <w:pPr>
        <w:pStyle w:val="BookText"/>
      </w:pPr>
      <w:r>
        <w:rPr>
          <w:rFonts w:ascii="IRNazanin" w:hAnsi="IRNazanin" w:eastAsia="IRNazanin" w:cs="IRNazanin"/>
          <w:lang w:bidi="fa-IR"/>
          <w:color w:val="111111"/>
          <w:sz w:val="28"/>
          <w:szCs w:val="28"/>
          <w:rtl/>
        </w:rPr>
        <w:t xml:space="preserve">موسوي حسيني فندرسكي -ميرفندرسكي ابوالقاسم بن میرزا بزرگ</w:t>
      </w:r>
    </w:p>
    <w:p>
      <w:pPr>
        <w:pStyle w:val="BookText"/>
      </w:pPr>
      <w:r>
        <w:rPr>
          <w:rFonts w:ascii="Amiri" w:hAnsi="Amiri" w:eastAsia="Amiri" w:cs="Amiri"/>
          <w:lang w:bidi="ar-SA"/>
          <w:color w:val="111111"/>
          <w:sz w:val="28"/>
          <w:szCs w:val="28"/>
          <w:rtl/>
        </w:rPr>
        <w:t xml:space="preserve">ابوالقاسم حكيم -حكيم ، ابوالقاسم</w:t>
      </w:r>
    </w:p>
    <w:p>
      <w:pPr>
        <w:pStyle w:val="BookText"/>
      </w:pPr>
      <w:r>
        <w:rPr>
          <w:rFonts w:ascii="Amiri" w:hAnsi="Amiri" w:eastAsia="Amiri" w:cs="Amiri"/>
          <w:lang w:bidi="ar-SA"/>
          <w:color w:val="111111"/>
          <w:sz w:val="28"/>
          <w:szCs w:val="28"/>
          <w:rtl/>
        </w:rPr>
        <w:t xml:space="preserve">ابوالقاسم شيرازي جهرمي - شيرازي</w:t>
      </w:r>
    </w:p>
    <w:p>
      <w:pPr>
        <w:pStyle w:val="BookText"/>
      </w:pPr>
      <w:r>
        <w:rPr>
          <w:rFonts w:ascii="Amiri" w:hAnsi="Amiri" w:eastAsia="Amiri" w:cs="Amiri"/>
          <w:lang w:bidi="ar-SA"/>
          <w:color w:val="111111"/>
          <w:sz w:val="28"/>
          <w:szCs w:val="28"/>
          <w:rtl/>
        </w:rPr>
        <w:t xml:space="preserve">جهرمي ، ابوالقاسم</w:t>
      </w:r>
    </w:p>
    <w:p>
      <w:pPr>
        <w:pStyle w:val="BookText"/>
      </w:pPr>
      <w:r>
        <w:rPr>
          <w:rFonts w:ascii="Amiri" w:hAnsi="Amiri" w:eastAsia="Amiri" w:cs="Amiri"/>
          <w:lang w:bidi="ar-SA"/>
          <w:color w:val="111111"/>
          <w:sz w:val="28"/>
          <w:szCs w:val="28"/>
          <w:rtl/>
        </w:rPr>
        <w:t xml:space="preserve">ابو القاسم قاري خراساني قاري -مشهدي ،</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Amiri" w:hAnsi="Amiri" w:eastAsia="Amiri" w:cs="Amiri"/>
          <w:lang w:bidi="ar-SA"/>
          <w:color w:val="111111"/>
          <w:sz w:val="28"/>
          <w:szCs w:val="28"/>
          <w:rtl/>
        </w:rPr>
        <w:t xml:space="preserve">ابوالقاسم ليثي سمرقندي ليثي- سمرقندي</w:t>
      </w:r>
    </w:p>
    <w:p>
      <w:pPr>
        <w:pStyle w:val="BookText"/>
      </w:pPr>
      <w:r>
        <w:rPr>
          <w:rFonts w:ascii="Amiri" w:hAnsi="Amiri" w:eastAsia="Amiri" w:cs="Amiri"/>
          <w:lang w:bidi="ar-SA"/>
          <w:color w:val="111111"/>
          <w:sz w:val="28"/>
          <w:szCs w:val="28"/>
          <w:rtl/>
        </w:rPr>
        <w:t xml:space="preserve">، ابوالقاسم بن ابي بكر</w:t>
      </w:r>
    </w:p>
    <w:p>
      <w:pPr>
        <w:pStyle w:val="BookText"/>
      </w:pPr>
      <w:r>
        <w:rPr>
          <w:rFonts w:ascii="Amiri" w:hAnsi="Amiri" w:eastAsia="Amiri" w:cs="Amiri"/>
          <w:lang w:bidi="ar-SA"/>
          <w:color w:val="111111"/>
          <w:sz w:val="28"/>
          <w:szCs w:val="28"/>
          <w:rtl/>
        </w:rPr>
        <w:t xml:space="preserve">ابوالقاسم نجار قدسي -نجار قدسي</w:t>
      </w:r>
    </w:p>
    <w:p>
      <w:pPr>
        <w:pStyle w:val="BookText"/>
      </w:pPr>
      <w:r>
        <w:rPr>
          <w:rFonts w:ascii="IRNazanin" w:hAnsi="IRNazanin" w:eastAsia="IRNazanin" w:cs="IRNazanin"/>
          <w:lang w:bidi="fa-IR"/>
          <w:color w:val="111111"/>
          <w:sz w:val="28"/>
          <w:szCs w:val="28"/>
          <w:rtl/>
        </w:rPr>
        <w:t xml:space="preserve">ابوالقاسم</w:t>
      </w:r>
    </w:p>
    <w:p>
      <w:pPr>
        <w:pStyle w:val="Heading2"/>
      </w:pPr>
      <w:bookmarkStart w:id="1869" w:name="_Toc971"/>
      <w:r>
        <w:t>ابو المثني</w:t>
      </w:r>
      <w:bookmarkEnd w:id="1869"/>
    </w:p>
    <w:p>
      <w:pPr>
        <w:pStyle w:val="BookText"/>
      </w:pPr>
      <w:r>
        <w:rPr>
          <w:rFonts w:ascii="Amiri" w:hAnsi="Amiri" w:eastAsia="Amiri" w:cs="Amiri"/>
          <w:lang w:bidi="ar-SA"/>
          <w:color w:val="111111"/>
          <w:sz w:val="28"/>
          <w:szCs w:val="28"/>
          <w:rtl/>
        </w:rPr>
        <w:t xml:space="preserve">شرح الفقه الأكبر، ج9، ص 803.</w:t>
      </w:r>
    </w:p>
    <w:p>
      <w:pPr>
        <w:pStyle w:val="BookText"/>
      </w:pPr>
      <w:r>
        <w:rPr>
          <w:rFonts w:ascii="Amiri" w:hAnsi="Amiri" w:eastAsia="Amiri" w:cs="Amiri"/>
          <w:lang w:bidi="ar-SA"/>
          <w:color w:val="111111"/>
          <w:sz w:val="28"/>
          <w:szCs w:val="28"/>
          <w:rtl/>
        </w:rPr>
        <w:t xml:space="preserve">ابو المجد يوانيس -يوانيس ، ابو المجد</w:t>
      </w:r>
    </w:p>
    <w:p>
      <w:pPr>
        <w:pStyle w:val="Heading2"/>
      </w:pPr>
      <w:bookmarkStart w:id="1870" w:name="_Toc972"/>
      <w:r>
        <w:t>ابوالمحاسن جمال الدين يوسف</w:t>
      </w:r>
      <w:bookmarkEnd w:id="1870"/>
    </w:p>
    <w:p>
      <w:pPr>
        <w:pStyle w:val="BookText"/>
      </w:pPr>
      <w:r>
        <w:rPr>
          <w:rFonts w:ascii="Amiri" w:hAnsi="Amiri" w:eastAsia="Amiri" w:cs="Amiri"/>
          <w:lang w:bidi="ar-SA"/>
          <w:color w:val="111111"/>
          <w:sz w:val="28"/>
          <w:szCs w:val="28"/>
          <w:rtl/>
        </w:rPr>
        <w:t xml:space="preserve">بديعية، ج3، ص289.</w:t>
      </w:r>
    </w:p>
    <w:p>
      <w:pPr>
        <w:pStyle w:val="Heading2"/>
      </w:pPr>
      <w:bookmarkStart w:id="1871" w:name="_Toc973"/>
      <w:r>
        <w:t>ابوالمحاسن ، محمّد بن داود</w:t>
      </w:r>
      <w:bookmarkEnd w:id="1871"/>
    </w:p>
    <w:p>
      <w:pPr>
        <w:pStyle w:val="BookText"/>
      </w:pPr>
      <w:r>
        <w:rPr>
          <w:rFonts w:ascii="Amiri" w:hAnsi="Amiri" w:eastAsia="Amiri" w:cs="Amiri"/>
          <w:lang w:bidi="ar-SA"/>
          <w:color w:val="111111"/>
          <w:sz w:val="28"/>
          <w:szCs w:val="28"/>
          <w:rtl/>
        </w:rPr>
        <w:t xml:space="preserve">ملوك الكلام، ج 15 ، ص 468.</w:t>
      </w:r>
    </w:p>
    <w:p>
      <w:pPr>
        <w:pStyle w:val="Heading2"/>
      </w:pPr>
      <w:bookmarkStart w:id="1872" w:name="_Toc974"/>
      <w:r>
        <w:t>ابو المدين الغوث</w:t>
      </w:r>
      <w:bookmarkEnd w:id="1872"/>
    </w:p>
    <w:p>
      <w:pPr>
        <w:pStyle w:val="BookText"/>
      </w:pPr>
      <w:r>
        <w:rPr>
          <w:rFonts w:ascii="Amiri" w:hAnsi="Amiri" w:eastAsia="Amiri" w:cs="Amiri"/>
          <w:lang w:bidi="ar-SA"/>
          <w:color w:val="111111"/>
          <w:sz w:val="28"/>
          <w:szCs w:val="28"/>
          <w:rtl/>
        </w:rPr>
        <w:t xml:space="preserve">شرح قصيدة في التصوف، ج 9، ص 885.</w:t>
      </w:r>
    </w:p>
    <w:p>
      <w:pPr>
        <w:pStyle w:val="Heading2"/>
      </w:pPr>
      <w:bookmarkStart w:id="1873" w:name="_Toc975"/>
      <w:r>
        <w:t>ابوالمکارم بن عبدالله بن محمّد -2907ه-</w:t>
      </w:r>
      <w:bookmarkEnd w:id="1873"/>
    </w:p>
    <w:p>
      <w:pPr>
        <w:pStyle w:val="BookText"/>
      </w:pPr>
      <w:r>
        <w:rPr>
          <w:rFonts w:ascii="Amiri" w:hAnsi="Amiri" w:eastAsia="Amiri" w:cs="Amiri"/>
          <w:lang w:bidi="ar-SA"/>
          <w:color w:val="111111"/>
          <w:sz w:val="28"/>
          <w:szCs w:val="28"/>
          <w:rtl/>
        </w:rPr>
        <w:t xml:space="preserve">شرح النقاية مختصر الوقاية = شرح</w:t>
      </w:r>
    </w:p>
    <w:p>
      <w:pPr>
        <w:pStyle w:val="BookText"/>
      </w:pPr>
      <w:r>
        <w:rPr>
          <w:rFonts w:ascii="Amiri" w:hAnsi="Amiri" w:eastAsia="Amiri" w:cs="Amiri"/>
          <w:lang w:bidi="ar-SA"/>
          <w:color w:val="111111"/>
          <w:sz w:val="28"/>
          <w:szCs w:val="28"/>
          <w:rtl/>
        </w:rPr>
        <w:t xml:space="preserve">مختصر الوقاية، ج 10، ص 293.</w:t>
      </w:r>
    </w:p>
    <w:p>
      <w:pPr>
        <w:pStyle w:val="Heading2"/>
      </w:pPr>
      <w:bookmarkStart w:id="1874" w:name="_Toc976"/>
      <w:r>
        <w:t>ابو المنصور ، امیر جمال</w:t>
      </w:r>
      <w:bookmarkEnd w:id="1874"/>
    </w:p>
    <w:p>
      <w:pPr>
        <w:pStyle w:val="BookText"/>
      </w:pPr>
      <w:r>
        <w:rPr>
          <w:rFonts w:ascii="Amiri" w:hAnsi="Amiri" w:eastAsia="Amiri" w:cs="Amiri"/>
          <w:lang w:bidi="ar-SA"/>
          <w:color w:val="111111"/>
          <w:sz w:val="28"/>
          <w:szCs w:val="28"/>
          <w:rtl/>
        </w:rPr>
        <w:t xml:space="preserve">ديوان لسان العرب، ج 7، ص 747 .</w:t>
      </w:r>
    </w:p>
    <w:p>
      <w:pPr>
        <w:pStyle w:val="BookText"/>
      </w:pPr>
      <w:r>
        <w:rPr>
          <w:rFonts w:ascii="Amiri" w:hAnsi="Amiri" w:eastAsia="Amiri" w:cs="Amiri"/>
          <w:lang w:bidi="ar-SA"/>
          <w:color w:val="111111"/>
          <w:sz w:val="28"/>
          <w:szCs w:val="28"/>
          <w:rtl/>
        </w:rPr>
        <w:t xml:space="preserve">ابو النجا شاذلي شافعي شاذلي ، ابو النجا</w:t>
      </w:r>
    </w:p>
    <w:p>
      <w:pPr>
        <w:pStyle w:val="BookText"/>
      </w:pPr>
      <w:r>
        <w:rPr>
          <w:rFonts w:ascii="Amiri" w:hAnsi="Amiri" w:eastAsia="Amiri" w:cs="Amiri"/>
          <w:lang w:bidi="ar-SA"/>
          <w:color w:val="111111"/>
          <w:sz w:val="28"/>
          <w:szCs w:val="28"/>
          <w:rtl/>
        </w:rPr>
        <w:t xml:space="preserve">ابوالنور كيالي كيالي ، ابوالنور</w:t>
      </w:r>
    </w:p>
    <w:p>
      <w:pPr>
        <w:pStyle w:val="Heading2"/>
      </w:pPr>
      <w:bookmarkStart w:id="1875" w:name="_Toc977"/>
      <w:r>
        <w:t>ابوالهدى رفاعي ، محمّد بن حسن</w:t>
      </w:r>
      <w:bookmarkEnd w:id="1875"/>
    </w:p>
    <w:p>
      <w:pPr>
        <w:pStyle w:val="BookText"/>
      </w:pPr>
      <w:r>
        <w:rPr>
          <w:rFonts w:ascii="IRNazanin" w:hAnsi="IRNazanin" w:eastAsia="IRNazanin" w:cs="IRNazanin"/>
          <w:lang w:bidi="fa-IR"/>
          <w:color w:val="111111"/>
          <w:sz w:val="28"/>
          <w:szCs w:val="28"/>
          <w:rtl/>
        </w:rPr>
        <w:t xml:space="preserve">1266- 1327 ه-</w:t>
      </w:r>
    </w:p>
    <w:p>
      <w:pPr>
        <w:pStyle w:val="BookText"/>
      </w:pPr>
      <w:r>
        <w:rPr>
          <w:rFonts w:ascii="Amiri" w:hAnsi="Amiri" w:eastAsia="Amiri" w:cs="Amiri"/>
          <w:lang w:bidi="ar-SA"/>
          <w:color w:val="111111"/>
          <w:sz w:val="28"/>
          <w:szCs w:val="28"/>
          <w:rtl/>
        </w:rPr>
        <w:t xml:space="preserve">فرحة الاحباب في اخبار الاربعة</w:t>
      </w:r>
    </w:p>
    <w:p>
      <w:pPr>
        <w:pStyle w:val="BookText"/>
      </w:pPr>
      <w:r>
        <w:rPr>
          <w:rFonts w:ascii="IRNazanin" w:hAnsi="IRNazanin" w:eastAsia="IRNazanin" w:cs="IRNazanin"/>
          <w:lang w:bidi="fa-IR"/>
          <w:color w:val="111111"/>
          <w:sz w:val="28"/>
          <w:szCs w:val="28"/>
          <w:rtl/>
        </w:rPr>
        <w:t xml:space="preserve">الاقطاب، ج 11، ص 775</w:t>
      </w:r>
    </w:p>
    <w:p>
      <w:pPr>
        <w:pStyle w:val="Heading2"/>
      </w:pPr>
      <w:bookmarkStart w:id="1876" w:name="_Toc978"/>
      <w:r>
        <w:t>ابو الهندي، قرن 132 ه-</w:t>
      </w:r>
      <w:bookmarkEnd w:id="1876"/>
    </w:p>
    <w:p>
      <w:pPr>
        <w:pStyle w:val="BookText"/>
      </w:pPr>
      <w:r>
        <w:rPr>
          <w:rFonts w:ascii="IRNazanin" w:hAnsi="IRNazanin" w:eastAsia="IRNazanin" w:cs="IRNazanin"/>
          <w:lang w:bidi="fa-IR"/>
          <w:color w:val="111111"/>
          <w:sz w:val="28"/>
          <w:szCs w:val="28"/>
          <w:rtl/>
        </w:rPr>
        <w:t xml:space="preserve">دیوان ابوالهندي، ج7، ص 561.</w:t>
      </w:r>
    </w:p>
    <w:p>
      <w:pPr>
        <w:pStyle w:val="Heading2"/>
      </w:pPr>
      <w:bookmarkStart w:id="1877" w:name="_Toc979"/>
      <w:r>
        <w:t>ابوالوفاء حلبي ، محمّد بن عمر، 993 -</w:t>
      </w:r>
      <w:bookmarkEnd w:id="1877"/>
    </w:p>
    <w:p>
      <w:pPr>
        <w:pStyle w:val="BookText"/>
      </w:pPr>
      <w:r>
        <w:rPr>
          <w:rFonts w:ascii="IRNazanin" w:hAnsi="IRNazanin" w:eastAsia="IRNazanin" w:cs="IRNazanin"/>
          <w:lang w:bidi="fa-IR"/>
          <w:color w:val="111111"/>
          <w:sz w:val="28"/>
          <w:szCs w:val="28"/>
          <w:rtl/>
        </w:rPr>
        <w:t xml:space="preserve">1071 ه-</w:t>
      </w:r>
    </w:p>
    <w:p>
      <w:pPr>
        <w:pStyle w:val="BookText"/>
      </w:pPr>
      <w:r>
        <w:rPr>
          <w:rFonts w:ascii="Amiri" w:hAnsi="Amiri" w:eastAsia="Amiri" w:cs="Amiri"/>
          <w:lang w:bidi="ar-SA"/>
          <w:color w:val="111111"/>
          <w:sz w:val="28"/>
          <w:szCs w:val="28"/>
          <w:rtl/>
        </w:rPr>
        <w:t xml:space="preserve">1 .جنان الجنان في استعمال الدخان</w:t>
      </w:r>
    </w:p>
    <w:p>
      <w:pPr>
        <w:pStyle w:val="BookText"/>
      </w:pPr>
      <w:r>
        <w:rPr>
          <w:rFonts w:ascii="IRNazanin" w:hAnsi="IRNazanin" w:eastAsia="IRNazanin" w:cs="IRNazanin"/>
          <w:lang w:bidi="fa-IR"/>
          <w:color w:val="111111"/>
          <w:sz w:val="28"/>
          <w:szCs w:val="28"/>
          <w:rtl/>
        </w:rPr>
        <w:t xml:space="preserve">ج 5، ص 458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لغز، ج13، ص 596.</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1" w:name="pg7742_69641"/>
    <w:bookmarkEnd w:id="141"/>
    <w:p>
      <w:pPr>
        <w:pStyle w:val="Heading2"/>
      </w:pPr>
      <w:bookmarkStart w:id="1878" w:name="_Toc980"/>
      <w:r>
        <w:t>ابوالوفاء عراقي ، ابراهيم بن علي، 810 -</w:t>
      </w:r>
      <w:bookmarkEnd w:id="1878"/>
    </w:p>
    <w:p>
      <w:pPr>
        <w:pStyle w:val="BookText"/>
      </w:pPr>
      <w:r>
        <w:rPr>
          <w:rFonts w:ascii="Amiri" w:hAnsi="Amiri" w:eastAsia="Amiri" w:cs="Amiri"/>
          <w:lang w:bidi="ar-SA"/>
          <w:color w:val="111111"/>
          <w:sz w:val="28"/>
          <w:szCs w:val="28"/>
          <w:rtl/>
        </w:rPr>
        <w:t xml:space="preserve">اسرار ذكر الجهر والاسرار، ج2،</w:t>
      </w:r>
    </w:p>
    <w:p>
      <w:pPr>
        <w:pStyle w:val="BookText"/>
      </w:pPr>
      <w:r>
        <w:rPr>
          <w:rFonts w:ascii="IRNazanin" w:hAnsi="IRNazanin" w:eastAsia="IRNazanin" w:cs="IRNazanin"/>
          <w:lang w:bidi="fa-IR"/>
          <w:color w:val="111111"/>
          <w:sz w:val="28"/>
          <w:szCs w:val="28"/>
          <w:rtl/>
        </w:rPr>
        <w:t xml:space="preserve">ص 169.</w:t>
      </w:r>
    </w:p>
    <w:p>
      <w:pPr>
        <w:pStyle w:val="BookText"/>
      </w:pPr>
      <w:r>
        <w:rPr>
          <w:rFonts w:ascii="Amiri" w:hAnsi="Amiri" w:eastAsia="Amiri" w:cs="Amiri"/>
          <w:lang w:bidi="ar-SA"/>
          <w:color w:val="111111"/>
          <w:sz w:val="28"/>
          <w:szCs w:val="28"/>
          <w:rtl/>
        </w:rPr>
        <w:t xml:space="preserve">ابوالوفاء عزي -عزي ، ابوالوفاء</w:t>
      </w:r>
    </w:p>
    <w:p>
      <w:pPr>
        <w:pStyle w:val="Heading2"/>
      </w:pPr>
      <w:bookmarkStart w:id="1879" w:name="_Toc981"/>
      <w:r>
        <w:t>ابوالوفاي بوزجاني ، محمّد بن محمّد 328</w:t>
      </w:r>
      <w:bookmarkEnd w:id="1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388؟ ه-</w:t>
      </w:r>
    </w:p>
    <w:p>
      <w:pPr>
        <w:pStyle w:val="BookText"/>
      </w:pPr>
      <w:r>
        <w:rPr>
          <w:rFonts w:ascii="IRNazanin" w:hAnsi="IRNazanin" w:eastAsia="IRNazanin" w:cs="IRNazanin"/>
          <w:lang w:bidi="fa-IR"/>
          <w:color w:val="111111"/>
          <w:sz w:val="28"/>
          <w:szCs w:val="28"/>
          <w:rtl/>
        </w:rPr>
        <w:t xml:space="preserve">388؟</w:t>
      </w:r>
    </w:p>
    <w:p>
      <w:pPr>
        <w:pStyle w:val="BookText"/>
      </w:pPr>
      <w:r>
        <w:rPr>
          <w:rFonts w:ascii="Amiri" w:hAnsi="Amiri" w:eastAsia="Amiri" w:cs="Amiri"/>
          <w:lang w:bidi="ar-SA"/>
          <w:color w:val="111111"/>
          <w:sz w:val="28"/>
          <w:szCs w:val="28"/>
          <w:rtl/>
        </w:rPr>
        <w:t xml:space="preserve">كتاب فيما يحتاج اليه الصانع من اعمال الهندسة، ج13، ص 114.</w:t>
      </w:r>
    </w:p>
    <w:p>
      <w:pPr>
        <w:pStyle w:val="Heading2"/>
      </w:pPr>
      <w:bookmarkStart w:id="1880" w:name="_Toc982"/>
      <w:r>
        <w:t>ابوالوليد محمّد بن معلم</w:t>
      </w:r>
      <w:bookmarkEnd w:id="1880"/>
    </w:p>
    <w:p>
      <w:pPr>
        <w:pStyle w:val="BookText"/>
      </w:pPr>
      <w:r>
        <w:rPr>
          <w:rFonts w:ascii="Amiri" w:hAnsi="Amiri" w:eastAsia="Amiri" w:cs="Amiri"/>
          <w:lang w:bidi="ar-SA"/>
          <w:color w:val="111111"/>
          <w:sz w:val="28"/>
          <w:szCs w:val="28"/>
          <w:rtl/>
        </w:rPr>
        <w:t xml:space="preserve">تصنيف الاعداد، ج 4، ص 422.</w:t>
      </w:r>
    </w:p>
    <w:p>
      <w:pPr>
        <w:pStyle w:val="Heading2"/>
      </w:pPr>
      <w:bookmarkStart w:id="1881" w:name="_Toc983"/>
      <w:r>
        <w:t>ابوالیمن ، عبدالله</w:t>
      </w:r>
      <w:bookmarkEnd w:id="1881"/>
    </w:p>
    <w:p>
      <w:pPr>
        <w:pStyle w:val="BookText"/>
      </w:pPr>
      <w:r>
        <w:rPr>
          <w:rFonts w:ascii="Amiri" w:hAnsi="Amiri" w:eastAsia="Amiri" w:cs="Amiri"/>
          <w:lang w:bidi="ar-SA"/>
          <w:color w:val="111111"/>
          <w:sz w:val="28"/>
          <w:szCs w:val="28"/>
          <w:rtl/>
        </w:rPr>
        <w:t xml:space="preserve">اللغات النادرة، ج13، ص 588.</w:t>
      </w:r>
    </w:p>
    <w:p>
      <w:pPr>
        <w:pStyle w:val="BookText"/>
      </w:pPr>
      <w:r>
        <w:rPr>
          <w:rFonts w:ascii="Amiri" w:hAnsi="Amiri" w:eastAsia="Amiri" w:cs="Amiri"/>
          <w:lang w:bidi="ar-SA"/>
          <w:color w:val="111111"/>
          <w:sz w:val="28"/>
          <w:szCs w:val="28"/>
          <w:rtl/>
        </w:rPr>
        <w:t xml:space="preserve">ابوبكر بن ابي القاسم</w:t>
      </w:r>
    </w:p>
    <w:p>
      <w:pPr>
        <w:pStyle w:val="BookText"/>
      </w:pPr>
      <w:r>
        <w:rPr>
          <w:rFonts w:ascii="IRNazanin" w:hAnsi="IRNazanin" w:eastAsia="IRNazanin" w:cs="IRNazanin"/>
          <w:lang w:bidi="fa-IR"/>
          <w:color w:val="111111"/>
          <w:sz w:val="28"/>
          <w:szCs w:val="28"/>
          <w:rtl/>
        </w:rPr>
        <w:t xml:space="preserve">ابوبکر بن احمد باطرقاني -با طرقاني</w:t>
      </w:r>
    </w:p>
    <w:p>
      <w:pPr>
        <w:pStyle w:val="Heading2"/>
      </w:pPr>
      <w:bookmarkStart w:id="1882" w:name="_Toc984"/>
      <w:r>
        <w:t>ابواليمن عليمي ، عبدالرحمن بن محمّد</w:t>
      </w:r>
      <w:bookmarkEnd w:id="1882"/>
    </w:p>
    <w:p>
      <w:pPr>
        <w:pStyle w:val="BookText"/>
      </w:pPr>
      <w:r>
        <w:rPr>
          <w:rFonts w:ascii="IRNazanin" w:hAnsi="IRNazanin" w:eastAsia="IRNazanin" w:cs="IRNazanin"/>
          <w:lang w:bidi="fa-IR"/>
          <w:color w:val="111111"/>
          <w:sz w:val="28"/>
          <w:szCs w:val="28"/>
          <w:rtl/>
        </w:rPr>
        <w:t xml:space="preserve">احمد بن فضل</w:t>
      </w:r>
    </w:p>
    <w:p>
      <w:pPr>
        <w:pStyle w:val="BookText"/>
      </w:pPr>
      <w:r>
        <w:rPr>
          <w:rFonts w:ascii="IRNazanin" w:hAnsi="IRNazanin" w:eastAsia="IRNazanin" w:cs="IRNazanin"/>
          <w:lang w:bidi="fa-IR"/>
          <w:color w:val="111111"/>
          <w:sz w:val="28"/>
          <w:szCs w:val="28"/>
          <w:rtl/>
        </w:rPr>
        <w:t xml:space="preserve">60 - 928 ه-</w:t>
      </w:r>
    </w:p>
    <w:p>
      <w:pPr>
        <w:pStyle w:val="BookText"/>
      </w:pPr>
      <w:r>
        <w:rPr>
          <w:rFonts w:ascii="Amiri" w:hAnsi="Amiri" w:eastAsia="Amiri" w:cs="Amiri"/>
          <w:lang w:bidi="ar-SA"/>
          <w:color w:val="111111"/>
          <w:sz w:val="28"/>
          <w:szCs w:val="28"/>
          <w:rtl/>
        </w:rPr>
        <w:t xml:space="preserve">الانس الجليل بتاريخ القدس و</w:t>
      </w:r>
    </w:p>
    <w:p>
      <w:pPr>
        <w:pStyle w:val="BookText"/>
      </w:pPr>
      <w:r>
        <w:rPr>
          <w:rFonts w:ascii="IRNazanin" w:hAnsi="IRNazanin" w:eastAsia="IRNazanin" w:cs="IRNazanin"/>
          <w:lang w:bidi="fa-IR"/>
          <w:color w:val="111111"/>
          <w:sz w:val="28"/>
          <w:szCs w:val="28"/>
          <w:rtl/>
        </w:rPr>
        <w:t xml:space="preserve">ابوبکر بن احمد بن حسين نيشابوري ابن</w:t>
      </w:r>
    </w:p>
    <w:p>
      <w:pPr>
        <w:pStyle w:val="BookText"/>
      </w:pPr>
      <w:r>
        <w:rPr>
          <w:rFonts w:ascii="Amiri" w:hAnsi="Amiri" w:eastAsia="Amiri" w:cs="Amiri"/>
          <w:lang w:bidi="ar-SA"/>
          <w:color w:val="111111"/>
          <w:sz w:val="28"/>
          <w:szCs w:val="28"/>
          <w:rtl/>
        </w:rPr>
        <w:t xml:space="preserve">الخليل، ج 2، ص 807.</w:t>
      </w:r>
    </w:p>
    <w:p>
      <w:pPr>
        <w:pStyle w:val="Heading2"/>
      </w:pPr>
      <w:bookmarkStart w:id="1883" w:name="_Toc985"/>
      <w:r>
        <w:t>ابواليمن محمّد بن محب</w:t>
      </w:r>
      <w:bookmarkEnd w:id="1883"/>
    </w:p>
    <w:p>
      <w:pPr>
        <w:pStyle w:val="BookText"/>
      </w:pPr>
      <w:r>
        <w:rPr>
          <w:rFonts w:ascii="Amiri" w:hAnsi="Amiri" w:eastAsia="Amiri" w:cs="Amiri"/>
          <w:lang w:bidi="ar-SA"/>
          <w:color w:val="111111"/>
          <w:sz w:val="28"/>
          <w:szCs w:val="28"/>
          <w:rtl/>
        </w:rPr>
        <w:t xml:space="preserve">توجيه العناية لجمع شروح الوقاية</w:t>
      </w:r>
    </w:p>
    <w:p>
      <w:pPr>
        <w:pStyle w:val="BookText"/>
      </w:pPr>
      <w:r>
        <w:rPr>
          <w:rFonts w:ascii="IRNazanin" w:hAnsi="IRNazanin" w:eastAsia="IRNazanin" w:cs="IRNazanin"/>
          <w:lang w:bidi="fa-IR"/>
          <w:color w:val="111111"/>
          <w:sz w:val="28"/>
          <w:szCs w:val="28"/>
          <w:rtl/>
        </w:rPr>
        <w:t xml:space="preserve">ج 5، ص 144.</w:t>
      </w:r>
    </w:p>
    <w:p>
      <w:pPr>
        <w:pStyle w:val="Heading2"/>
      </w:pPr>
      <w:bookmarkStart w:id="1884" w:name="_Toc986"/>
      <w:r>
        <w:t>ابوایوب انصاري ، خالد بن زيد - 52 ه-</w:t>
      </w:r>
      <w:bookmarkEnd w:id="1884"/>
    </w:p>
    <w:p>
      <w:pPr>
        <w:pStyle w:val="BookText"/>
      </w:pPr>
      <w:r>
        <w:rPr>
          <w:rFonts w:ascii="Amiri" w:hAnsi="Amiri" w:eastAsia="Amiri" w:cs="Amiri"/>
          <w:lang w:bidi="ar-SA"/>
          <w:color w:val="111111"/>
          <w:sz w:val="28"/>
          <w:szCs w:val="28"/>
          <w:rtl/>
        </w:rPr>
        <w:t xml:space="preserve">دعا و تضرع لابي أيوب الانصاري، ج7،</w:t>
      </w:r>
    </w:p>
    <w:p>
      <w:pPr>
        <w:pStyle w:val="BookText"/>
      </w:pPr>
      <w:r>
        <w:rPr>
          <w:rFonts w:ascii="IRNazanin" w:hAnsi="IRNazanin" w:eastAsia="IRNazanin" w:cs="IRNazanin"/>
          <w:lang w:bidi="fa-IR"/>
          <w:color w:val="111111"/>
          <w:sz w:val="28"/>
          <w:szCs w:val="28"/>
          <w:rtl/>
        </w:rPr>
        <w:t xml:space="preserve">ص 412.</w:t>
      </w:r>
    </w:p>
    <w:p>
      <w:pPr>
        <w:pStyle w:val="BookText"/>
      </w:pPr>
      <w:r>
        <w:rPr>
          <w:rFonts w:ascii="IRNazanin" w:hAnsi="IRNazanin" w:eastAsia="IRNazanin" w:cs="IRNazanin"/>
          <w:lang w:bidi="fa-IR"/>
          <w:color w:val="111111"/>
          <w:sz w:val="28"/>
          <w:szCs w:val="28"/>
          <w:rtl/>
        </w:rPr>
        <w:t xml:space="preserve">ابوبکر ابراهيم بن محمّد بن حسن حکیم</w:t>
      </w:r>
    </w:p>
    <w:p>
      <w:pPr>
        <w:pStyle w:val="BookText"/>
      </w:pPr>
      <w:r>
        <w:rPr>
          <w:rFonts w:ascii="Amiri" w:hAnsi="Amiri" w:eastAsia="Amiri" w:cs="Amiri"/>
          <w:lang w:bidi="ar-SA"/>
          <w:color w:val="111111"/>
          <w:sz w:val="28"/>
          <w:szCs w:val="28"/>
          <w:rtl/>
        </w:rPr>
        <w:t xml:space="preserve">ذباح بكري مقدسي - بكري مقدسي ، ابوبكر</w:t>
      </w:r>
    </w:p>
    <w:p>
      <w:pPr>
        <w:pStyle w:val="BookText"/>
      </w:pPr>
      <w:r>
        <w:rPr>
          <w:rFonts w:ascii="IRNazanin" w:hAnsi="IRNazanin" w:eastAsia="IRNazanin" w:cs="IRNazanin"/>
          <w:lang w:bidi="fa-IR"/>
          <w:color w:val="111111"/>
          <w:sz w:val="28"/>
          <w:szCs w:val="28"/>
          <w:rtl/>
        </w:rPr>
        <w:t xml:space="preserve">ابراهیم بن محمّد</w:t>
      </w:r>
    </w:p>
    <w:p>
      <w:pPr>
        <w:pStyle w:val="Heading2"/>
      </w:pPr>
      <w:bookmarkStart w:id="1885" w:name="_Toc987"/>
      <w:r>
        <w:t>ابوبكر السواي قرن 13 ه-</w:t>
      </w:r>
      <w:bookmarkEnd w:id="1885"/>
    </w:p>
    <w:p>
      <w:pPr>
        <w:pStyle w:val="BookText"/>
      </w:pPr>
      <w:r>
        <w:rPr>
          <w:rFonts w:ascii="Amiri" w:hAnsi="Amiri" w:eastAsia="Amiri" w:cs="Amiri"/>
          <w:lang w:bidi="ar-SA"/>
          <w:color w:val="111111"/>
          <w:sz w:val="28"/>
          <w:szCs w:val="28"/>
          <w:rtl/>
        </w:rPr>
        <w:t xml:space="preserve">نحو الفارسية (رسالة في)، ج 16،</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Amiri" w:hAnsi="Amiri" w:eastAsia="Amiri" w:cs="Amiri"/>
          <w:lang w:bidi="ar-SA"/>
          <w:color w:val="111111"/>
          <w:sz w:val="28"/>
          <w:szCs w:val="28"/>
          <w:rtl/>
        </w:rPr>
        <w:t xml:space="preserve">ابوبكر باشقالي -باشقالي ، ملا ابوبكر</w:t>
      </w:r>
    </w:p>
    <w:p>
      <w:pPr>
        <w:pStyle w:val="BookText"/>
      </w:pPr>
      <w:r>
        <w:rPr>
          <w:rFonts w:ascii="Amiri" w:hAnsi="Amiri" w:eastAsia="Amiri" w:cs="Amiri"/>
          <w:lang w:bidi="ar-SA"/>
          <w:color w:val="111111"/>
          <w:sz w:val="28"/>
          <w:szCs w:val="28"/>
          <w:rtl/>
        </w:rPr>
        <w:t xml:space="preserve">ابوبكر بعلي- بعلي ، ابوبكر</w:t>
      </w:r>
    </w:p>
    <w:p>
      <w:pPr>
        <w:pStyle w:val="Heading2"/>
      </w:pPr>
      <w:bookmarkStart w:id="1886" w:name="_Toc988"/>
      <w:r>
        <w:t>ابوبکر بغدادي ، عبدالعزيز</w:t>
      </w:r>
      <w:bookmarkEnd w:id="1886"/>
    </w:p>
    <w:p>
      <w:pPr>
        <w:pStyle w:val="BookText"/>
      </w:pPr>
      <w:r>
        <w:rPr>
          <w:rFonts w:ascii="Amiri" w:hAnsi="Amiri" w:eastAsia="Amiri" w:cs="Amiri"/>
          <w:lang w:bidi="ar-SA"/>
          <w:color w:val="111111"/>
          <w:sz w:val="28"/>
          <w:szCs w:val="28"/>
          <w:rtl/>
        </w:rPr>
        <w:t xml:space="preserve">اجازة في القراءات، ج 1، ص 225.</w:t>
      </w:r>
    </w:p>
    <w:p>
      <w:pPr>
        <w:pStyle w:val="BookText"/>
      </w:pPr>
      <w:r>
        <w:rPr>
          <w:rFonts w:ascii="Amiri" w:hAnsi="Amiri" w:eastAsia="Amiri" w:cs="Amiri"/>
          <w:lang w:bidi="ar-SA"/>
          <w:color w:val="111111"/>
          <w:sz w:val="28"/>
          <w:szCs w:val="28"/>
          <w:rtl/>
        </w:rPr>
        <w:t xml:space="preserve">ابوبكر بن ابي القاسم اهدل -اهدل</w:t>
      </w:r>
    </w:p>
    <w:p>
      <w:pPr>
        <w:pStyle w:val="BookText"/>
      </w:pPr>
      <w:r>
        <w:rPr>
          <w:rFonts w:ascii="Amiri" w:hAnsi="Amiri" w:eastAsia="Amiri" w:cs="Amiri"/>
          <w:lang w:bidi="ar-SA"/>
          <w:color w:val="111111"/>
          <w:sz w:val="28"/>
          <w:szCs w:val="28"/>
          <w:rtl/>
        </w:rPr>
        <w:t xml:space="preserve">مهران ، ابوبكر بن احمد</w:t>
      </w:r>
    </w:p>
    <w:p>
      <w:pPr>
        <w:pStyle w:val="BookText"/>
      </w:pPr>
      <w:r>
        <w:rPr>
          <w:rFonts w:ascii="Amiri" w:hAnsi="Amiri" w:eastAsia="Amiri" w:cs="Amiri"/>
          <w:lang w:bidi="ar-SA"/>
          <w:color w:val="111111"/>
          <w:sz w:val="28"/>
          <w:szCs w:val="28"/>
          <w:rtl/>
        </w:rPr>
        <w:t xml:space="preserve">ابوبكر بن احمد رومي -داماد زاده ، ابو</w:t>
      </w:r>
    </w:p>
    <w:p>
      <w:pPr>
        <w:pStyle w:val="BookText"/>
      </w:pPr>
      <w:r>
        <w:rPr>
          <w:rFonts w:ascii="Amiri" w:hAnsi="Amiri" w:eastAsia="Amiri" w:cs="Amiri"/>
          <w:lang w:bidi="ar-SA"/>
          <w:color w:val="111111"/>
          <w:sz w:val="28"/>
          <w:szCs w:val="28"/>
          <w:rtl/>
        </w:rPr>
        <w:t xml:space="preserve">بكر بن احمد</w:t>
      </w:r>
    </w:p>
    <w:p>
      <w:pPr>
        <w:pStyle w:val="BookText"/>
      </w:pPr>
      <w:r>
        <w:rPr>
          <w:rFonts w:ascii="Amiri" w:hAnsi="Amiri" w:eastAsia="Amiri" w:cs="Amiri"/>
          <w:lang w:bidi="ar-SA"/>
          <w:color w:val="111111"/>
          <w:sz w:val="28"/>
          <w:szCs w:val="28"/>
          <w:rtl/>
        </w:rPr>
        <w:t xml:space="preserve">ابوبكر بن اسحاق باكير- كختاوي ، باكير</w:t>
      </w:r>
    </w:p>
    <w:p>
      <w:pPr>
        <w:pStyle w:val="BookText"/>
      </w:pPr>
      <w:r>
        <w:rPr>
          <w:rFonts w:ascii="IRNazanin" w:hAnsi="IRNazanin" w:eastAsia="IRNazanin" w:cs="IRNazanin"/>
          <w:lang w:bidi="fa-IR"/>
          <w:color w:val="111111"/>
          <w:sz w:val="28"/>
          <w:szCs w:val="28"/>
          <w:rtl/>
        </w:rPr>
        <w:t xml:space="preserve">بن اسحاق</w:t>
      </w:r>
    </w:p>
    <w:p>
      <w:pPr>
        <w:pStyle w:val="BookText"/>
      </w:pPr>
      <w:r>
        <w:rPr>
          <w:rFonts w:ascii="IRNazanin" w:hAnsi="IRNazanin" w:eastAsia="IRNazanin" w:cs="IRNazanin"/>
          <w:lang w:bidi="fa-IR"/>
          <w:color w:val="111111"/>
          <w:sz w:val="28"/>
          <w:szCs w:val="28"/>
          <w:rtl/>
        </w:rPr>
        <w:t xml:space="preserve">ابوبکر بن اسماعيل شنواني- شنواني</w:t>
      </w:r>
    </w:p>
    <w:p>
      <w:pPr>
        <w:pStyle w:val="BookText"/>
      </w:pPr>
      <w:r>
        <w:rPr>
          <w:rFonts w:ascii="Amiri" w:hAnsi="Amiri" w:eastAsia="Amiri" w:cs="Amiri"/>
          <w:lang w:bidi="ar-SA"/>
          <w:color w:val="111111"/>
          <w:sz w:val="28"/>
          <w:szCs w:val="28"/>
          <w:rtl/>
        </w:rPr>
        <w:t xml:space="preserve">ابوبكر بن اسماعيل</w:t>
      </w:r>
    </w:p>
    <w:p>
      <w:pPr>
        <w:pStyle w:val="BookText"/>
      </w:pPr>
      <w:r>
        <w:rPr>
          <w:rFonts w:ascii="Amiri" w:hAnsi="Amiri" w:eastAsia="Amiri" w:cs="Amiri"/>
          <w:lang w:bidi="ar-SA"/>
          <w:color w:val="111111"/>
          <w:sz w:val="28"/>
          <w:szCs w:val="28"/>
          <w:rtl/>
        </w:rPr>
        <w:t xml:space="preserve">ابوبكر بن ايوب الحنفي -حنفي ، ابوبكر</w:t>
      </w:r>
    </w:p>
    <w:p>
      <w:pPr>
        <w:pStyle w:val="BookText"/>
      </w:pPr>
      <w:r>
        <w:rPr>
          <w:rFonts w:ascii="IRNazanin" w:hAnsi="IRNazanin" w:eastAsia="IRNazanin" w:cs="IRNazanin"/>
          <w:lang w:bidi="fa-IR"/>
          <w:color w:val="111111"/>
          <w:sz w:val="28"/>
          <w:szCs w:val="28"/>
          <w:rtl/>
        </w:rPr>
        <w:t xml:space="preserve">بن ایوب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بن خضر آلوسي موصلي- آلوسي</w:t>
      </w:r>
    </w:p>
    <w:p>
      <w:pPr>
        <w:pStyle w:val="BookText"/>
      </w:pPr>
      <w:r>
        <w:rPr>
          <w:rFonts w:ascii="IRNazanin" w:hAnsi="IRNazanin" w:eastAsia="IRNazanin" w:cs="IRNazanin"/>
          <w:lang w:bidi="fa-IR"/>
          <w:color w:val="111111"/>
          <w:sz w:val="28"/>
          <w:szCs w:val="28"/>
          <w:rtl/>
        </w:rPr>
        <w:t xml:space="preserve">ابوبکر بن خضر</w:t>
      </w:r>
    </w:p>
    <w:p>
      <w:pPr>
        <w:pStyle w:val="BookText"/>
      </w:pPr>
      <w:r>
        <w:rPr>
          <w:rFonts w:ascii="IRNazanin" w:hAnsi="IRNazanin" w:eastAsia="IRNazanin" w:cs="IRNazanin"/>
          <w:lang w:bidi="fa-IR"/>
          <w:color w:val="111111"/>
          <w:sz w:val="28"/>
          <w:szCs w:val="28"/>
          <w:rtl/>
        </w:rPr>
        <w:t xml:space="preserve">ابوبکر بن داود قادري -قادري ، ابوبكر</w:t>
      </w:r>
    </w:p>
    <w:p>
      <w:pPr>
        <w:pStyle w:val="BookText"/>
      </w:pPr>
      <w:r>
        <w:rPr>
          <w:rFonts w:ascii="IRNazanin" w:hAnsi="IRNazanin" w:eastAsia="IRNazanin" w:cs="IRNazanin"/>
          <w:lang w:bidi="fa-IR"/>
          <w:color w:val="111111"/>
          <w:sz w:val="28"/>
          <w:szCs w:val="28"/>
          <w:rtl/>
        </w:rPr>
        <w:t xml:space="preserve">بن داود</w:t>
      </w:r>
    </w:p>
    <w:p>
      <w:pPr>
        <w:pStyle w:val="BookText"/>
      </w:pPr>
      <w:r>
        <w:rPr>
          <w:rFonts w:ascii="IRNazanin" w:hAnsi="IRNazanin" w:eastAsia="IRNazanin" w:cs="IRNazanin"/>
          <w:lang w:bidi="fa-IR"/>
          <w:color w:val="111111"/>
          <w:sz w:val="28"/>
          <w:szCs w:val="28"/>
          <w:rtl/>
        </w:rPr>
        <w:t xml:space="preserve">ابوبکر بن درويش زربابي حنفي - زرباني</w:t>
      </w:r>
    </w:p>
    <w:p>
      <w:pPr>
        <w:pStyle w:val="BookText"/>
      </w:pPr>
      <w:r>
        <w:rPr>
          <w:rFonts w:ascii="Amiri" w:hAnsi="Amiri" w:eastAsia="Amiri" w:cs="Amiri"/>
          <w:lang w:bidi="ar-SA"/>
          <w:color w:val="111111"/>
          <w:sz w:val="28"/>
          <w:szCs w:val="28"/>
          <w:rtl/>
        </w:rPr>
        <w:t xml:space="preserve">حنفي ، ابوبكر بن درويش</w:t>
      </w:r>
    </w:p>
    <w:p>
      <w:pPr>
        <w:pStyle w:val="BookText"/>
      </w:pPr>
      <w:r>
        <w:rPr>
          <w:rFonts w:ascii="Amiri" w:hAnsi="Amiri" w:eastAsia="Amiri" w:cs="Amiri"/>
          <w:lang w:bidi="ar-SA"/>
          <w:color w:val="111111"/>
          <w:sz w:val="28"/>
          <w:szCs w:val="28"/>
          <w:rtl/>
        </w:rPr>
        <w:t xml:space="preserve">ابوبكر بن زيد حسني جراعي- جراعي</w:t>
      </w:r>
    </w:p>
    <w:p>
      <w:pPr>
        <w:pStyle w:val="BookText"/>
      </w:pPr>
      <w:r>
        <w:rPr>
          <w:rFonts w:ascii="IRNazanin" w:hAnsi="IRNazanin" w:eastAsia="IRNazanin" w:cs="IRNazanin"/>
          <w:lang w:bidi="fa-IR"/>
          <w:color w:val="111111"/>
          <w:sz w:val="28"/>
          <w:szCs w:val="28"/>
          <w:rtl/>
        </w:rPr>
        <w:t xml:space="preserve">ابوبکر بن زید ابوبكر بن صالح كرامي- كرامي ، ابوبكر</w:t>
      </w:r>
    </w:p>
    <w:p>
      <w:pPr>
        <w:pStyle w:val="BookText"/>
      </w:pPr>
      <w:r>
        <w:rPr>
          <w:rFonts w:ascii="IRNazanin" w:hAnsi="IRNazanin" w:eastAsia="IRNazanin" w:cs="IRNazanin"/>
          <w:lang w:bidi="fa-IR"/>
          <w:color w:val="111111"/>
          <w:sz w:val="28"/>
          <w:szCs w:val="28"/>
          <w:rtl/>
        </w:rPr>
        <w:t xml:space="preserve">بن صالح</w:t>
      </w:r>
    </w:p>
    <w:p>
      <w:pPr>
        <w:pStyle w:val="BookText"/>
      </w:pPr>
      <w:r>
        <w:rPr>
          <w:rFonts w:ascii="IRNazanin" w:hAnsi="IRNazanin" w:eastAsia="IRNazanin" w:cs="IRNazanin"/>
          <w:lang w:bidi="fa-IR"/>
          <w:color w:val="111111"/>
          <w:sz w:val="28"/>
          <w:szCs w:val="28"/>
          <w:rtl/>
        </w:rPr>
        <w:t xml:space="preserve">ابوبکر بن طاهر جرمكي آمدي دياربكري</w:t>
      </w:r>
    </w:p>
    <w:p>
      <w:pPr>
        <w:pStyle w:val="BookText"/>
      </w:pPr>
      <w:r>
        <w:rPr>
          <w:rFonts w:ascii="Amiri" w:hAnsi="Amiri" w:eastAsia="Amiri" w:cs="Amiri"/>
          <w:lang w:bidi="ar-SA"/>
          <w:color w:val="111111"/>
          <w:sz w:val="28"/>
          <w:szCs w:val="28"/>
          <w:rtl/>
        </w:rPr>
        <w:t xml:space="preserve">ملطي -جرمكي ، ابوبكر بن طاهر</w:t>
      </w:r>
    </w:p>
    <w:p>
      <w:pPr>
        <w:pStyle w:val="BookText"/>
      </w:pPr>
      <w:r>
        <w:rPr>
          <w:rFonts w:ascii="Amiri" w:hAnsi="Amiri" w:eastAsia="Amiri" w:cs="Amiri"/>
          <w:lang w:bidi="ar-SA"/>
          <w:color w:val="111111"/>
          <w:sz w:val="28"/>
          <w:szCs w:val="28"/>
          <w:rtl/>
        </w:rPr>
        <w:t xml:space="preserve">ابوبكر بن عبدالله بديري دمشقي مصري</w:t>
      </w:r>
    </w:p>
    <w:p>
      <w:pPr>
        <w:pStyle w:val="BookText"/>
      </w:pPr>
      <w:r>
        <w:rPr>
          <w:rFonts w:ascii="Amiri" w:hAnsi="Amiri" w:eastAsia="Amiri" w:cs="Amiri"/>
          <w:lang w:bidi="ar-SA"/>
          <w:color w:val="111111"/>
          <w:sz w:val="28"/>
          <w:szCs w:val="28"/>
          <w:rtl/>
        </w:rPr>
        <w:t xml:space="preserve">وفائي- بدري دمشقي ، ابوبكر بن عبدالله</w:t>
      </w:r>
    </w:p>
    <w:p>
      <w:pPr>
        <w:pStyle w:val="BookText"/>
      </w:pPr>
      <w:r>
        <w:rPr>
          <w:rFonts w:ascii="Amiri" w:hAnsi="Amiri" w:eastAsia="Amiri" w:cs="Amiri"/>
          <w:lang w:bidi="ar-SA"/>
          <w:color w:val="111111"/>
          <w:sz w:val="28"/>
          <w:szCs w:val="28"/>
          <w:rtl/>
        </w:rPr>
        <w:t xml:space="preserve">ابوبكر بن عبدالله عيدروس -عيدروس ،</w:t>
      </w:r>
    </w:p>
    <w:p>
      <w:pPr>
        <w:pStyle w:val="BookText"/>
      </w:pPr>
      <w:r>
        <w:rPr>
          <w:rFonts w:ascii="Amiri" w:hAnsi="Amiri" w:eastAsia="Amiri" w:cs="Amiri"/>
          <w:lang w:bidi="ar-SA"/>
          <w:color w:val="111111"/>
          <w:sz w:val="28"/>
          <w:szCs w:val="28"/>
          <w:rtl/>
        </w:rPr>
        <w:t xml:space="preserve">ابوبكر بن عبدالله</w:t>
      </w:r>
    </w:p>
    <w:p>
      <w:pPr>
        <w:pStyle w:val="BookText"/>
      </w:pPr>
      <w:r>
        <w:rPr>
          <w:rFonts w:ascii="Amiri" w:hAnsi="Amiri" w:eastAsia="Amiri" w:cs="Amiri"/>
          <w:lang w:bidi="ar-SA"/>
          <w:color w:val="111111"/>
          <w:sz w:val="28"/>
          <w:szCs w:val="28"/>
          <w:rtl/>
        </w:rPr>
        <w:t xml:space="preserve">ابوبكر بن علي بن احمد بن ابراهيم -</w:t>
      </w:r>
    </w:p>
    <w:p>
      <w:pPr>
        <w:pStyle w:val="BookText"/>
      </w:pPr>
      <w:r>
        <w:rPr>
          <w:rFonts w:ascii="Amiri" w:hAnsi="Amiri" w:eastAsia="Amiri" w:cs="Amiri"/>
          <w:lang w:bidi="ar-SA"/>
          <w:color w:val="111111"/>
          <w:sz w:val="28"/>
          <w:szCs w:val="28"/>
          <w:rtl/>
        </w:rPr>
        <w:t xml:space="preserve">ابوبكر بن علي بن احمد</w:t>
      </w:r>
    </w:p>
    <w:p>
      <w:pPr>
        <w:pStyle w:val="BookText"/>
      </w:pPr>
      <w:r>
        <w:rPr>
          <w:rFonts w:ascii="Amiri" w:hAnsi="Amiri" w:eastAsia="Amiri" w:cs="Amiri"/>
          <w:lang w:bidi="ar-SA"/>
          <w:color w:val="111111"/>
          <w:sz w:val="28"/>
          <w:szCs w:val="28"/>
          <w:rtl/>
        </w:rPr>
        <w:t xml:space="preserve">ابوبكر بن علي بن حجه -ابن حجة ، تقي</w:t>
      </w:r>
    </w:p>
    <w:p>
      <w:pPr>
        <w:pStyle w:val="BookText"/>
      </w:pPr>
      <w:r>
        <w:rPr>
          <w:rFonts w:ascii="Amiri" w:hAnsi="Amiri" w:eastAsia="Amiri" w:cs="Amiri"/>
          <w:lang w:bidi="ar-SA"/>
          <w:color w:val="111111"/>
          <w:sz w:val="28"/>
          <w:szCs w:val="28"/>
          <w:rtl/>
        </w:rPr>
        <w:t xml:space="preserve">الدين بن علي</w:t>
      </w:r>
    </w:p>
    <w:p>
      <w:pPr>
        <w:pStyle w:val="BookText"/>
      </w:pPr>
      <w:r>
        <w:rPr>
          <w:rFonts w:ascii="Amiri" w:hAnsi="Amiri" w:eastAsia="Amiri" w:cs="Amiri"/>
          <w:lang w:bidi="ar-SA"/>
          <w:color w:val="111111"/>
          <w:sz w:val="28"/>
          <w:szCs w:val="28"/>
          <w:rtl/>
        </w:rPr>
        <w:t xml:space="preserve">ابوبكر بن علي حدادي عبادي -حدادي</w:t>
      </w:r>
    </w:p>
    <w:p>
      <w:pPr>
        <w:pStyle w:val="BookText"/>
      </w:pPr>
      <w:r>
        <w:rPr>
          <w:rFonts w:ascii="Amiri" w:hAnsi="Amiri" w:eastAsia="Amiri" w:cs="Amiri"/>
          <w:lang w:bidi="ar-SA"/>
          <w:color w:val="111111"/>
          <w:sz w:val="28"/>
          <w:szCs w:val="28"/>
          <w:rtl/>
        </w:rPr>
        <w:t xml:space="preserve">عبادي ، ابوبكر بن علي</w:t>
      </w:r>
    </w:p>
    <w:p>
      <w:pPr>
        <w:pStyle w:val="BookText"/>
      </w:pPr>
      <w:r>
        <w:rPr>
          <w:rFonts w:ascii="Amiri" w:hAnsi="Amiri" w:eastAsia="Amiri" w:cs="Amiri"/>
          <w:lang w:bidi="ar-SA"/>
          <w:color w:val="111111"/>
          <w:sz w:val="28"/>
          <w:szCs w:val="28"/>
          <w:rtl/>
        </w:rPr>
        <w:t xml:space="preserve">ابوبكر بن علي حموي ازراري ابن حجة</w:t>
      </w:r>
    </w:p>
    <w:p>
      <w:pPr>
        <w:pStyle w:val="BookText"/>
      </w:pPr>
      <w:r>
        <w:rPr>
          <w:rFonts w:ascii="Amiri" w:hAnsi="Amiri" w:eastAsia="Amiri" w:cs="Amiri"/>
          <w:lang w:bidi="ar-SA"/>
          <w:color w:val="111111"/>
          <w:sz w:val="28"/>
          <w:szCs w:val="28"/>
          <w:rtl/>
        </w:rPr>
        <w:t xml:space="preserve">تقي الدين بن علي</w:t>
      </w:r>
    </w:p>
    <w:p>
      <w:pPr>
        <w:pStyle w:val="BookText"/>
      </w:pPr>
      <w:r>
        <w:rPr>
          <w:rFonts w:ascii="Amiri" w:hAnsi="Amiri" w:eastAsia="Amiri" w:cs="Amiri"/>
          <w:lang w:bidi="ar-SA"/>
          <w:color w:val="111111"/>
          <w:sz w:val="28"/>
          <w:szCs w:val="28"/>
          <w:rtl/>
        </w:rPr>
        <w:t xml:space="preserve">ابوبكر بن علي هاملي يمني- هاملي</w:t>
      </w:r>
    </w:p>
    <w:p>
      <w:pPr>
        <w:pStyle w:val="BookText"/>
      </w:pPr>
      <w:r>
        <w:rPr>
          <w:rFonts w:ascii="IRNazanin" w:hAnsi="IRNazanin" w:eastAsia="IRNazanin" w:cs="IRNazanin"/>
          <w:lang w:bidi="fa-IR"/>
          <w:color w:val="111111"/>
          <w:sz w:val="28"/>
          <w:szCs w:val="28"/>
          <w:rtl/>
        </w:rPr>
        <w:t xml:space="preserve">ابوبکر بن عمر بن محمّد</w:t>
      </w:r>
    </w:p>
    <w:p>
      <w:pPr>
        <w:pStyle w:val="BookText"/>
      </w:pPr>
      <w:r>
        <w:rPr>
          <w:rFonts w:ascii="Amiri" w:hAnsi="Amiri" w:eastAsia="Amiri" w:cs="Amiri"/>
          <w:lang w:bidi="ar-SA"/>
          <w:color w:val="111111"/>
          <w:sz w:val="28"/>
          <w:szCs w:val="28"/>
          <w:rtl/>
        </w:rPr>
        <w:t xml:space="preserve">حاشية المصابيح = الفاصل بين الصحاح و الحسان، ج 6، ص 369.</w:t>
      </w:r>
    </w:p>
    <w:p>
      <w:pPr>
        <w:pStyle w:val="BookText"/>
      </w:pPr>
      <w:r>
        <w:rPr>
          <w:rFonts w:ascii="IRNazanin" w:hAnsi="IRNazanin" w:eastAsia="IRNazanin" w:cs="IRNazanin"/>
          <w:lang w:bidi="fa-IR"/>
          <w:color w:val="111111"/>
          <w:sz w:val="28"/>
          <w:szCs w:val="28"/>
          <w:rtl/>
        </w:rPr>
        <w:t xml:space="preserve">ابوبكر بن عمر كجك ملا اردبيلي- كچك</w:t>
      </w:r>
    </w:p>
    <w:p>
      <w:pPr>
        <w:pStyle w:val="BookText"/>
      </w:pPr>
      <w:r>
        <w:rPr>
          <w:rFonts w:ascii="Amiri" w:hAnsi="Amiri" w:eastAsia="Amiri" w:cs="Amiri"/>
          <w:lang w:bidi="ar-SA"/>
          <w:color w:val="111111"/>
          <w:sz w:val="28"/>
          <w:szCs w:val="28"/>
          <w:rtl/>
        </w:rPr>
        <w:t xml:space="preserve">ملا اردبيلي ، ابي بكر بن عمر</w:t>
      </w:r>
    </w:p>
    <w:p>
      <w:pPr>
        <w:pStyle w:val="BookText"/>
      </w:pPr>
      <w:r>
        <w:rPr>
          <w:rFonts w:ascii="Amiri" w:hAnsi="Amiri" w:eastAsia="Amiri" w:cs="Amiri"/>
          <w:lang w:bidi="ar-SA"/>
          <w:color w:val="111111"/>
          <w:sz w:val="28"/>
          <w:szCs w:val="28"/>
          <w:rtl/>
        </w:rPr>
        <w:t xml:space="preserve">ابوبكر بن محمّد احسائي -ملاحنفي</w:t>
      </w:r>
    </w:p>
    <w:p>
      <w:pPr>
        <w:pStyle w:val="BookText"/>
      </w:pPr>
      <w:r>
        <w:rPr>
          <w:rFonts w:ascii="Amiri" w:hAnsi="Amiri" w:eastAsia="Amiri" w:cs="Amiri"/>
          <w:lang w:bidi="ar-SA"/>
          <w:color w:val="111111"/>
          <w:sz w:val="28"/>
          <w:szCs w:val="28"/>
          <w:rtl/>
        </w:rPr>
        <w:t xml:space="preserve">ابوبكر بن محمّد</w:t>
      </w:r>
    </w:p>
    <w:p>
      <w:pPr>
        <w:pStyle w:val="BookText"/>
      </w:pPr>
      <w:r>
        <w:rPr>
          <w:rFonts w:ascii="IRNazanin" w:hAnsi="IRNazanin" w:eastAsia="IRNazanin" w:cs="IRNazanin"/>
          <w:lang w:bidi="fa-IR"/>
          <w:color w:val="111111"/>
          <w:sz w:val="28"/>
          <w:szCs w:val="28"/>
          <w:rtl/>
        </w:rPr>
        <w:t xml:space="preserve">ابوبکر بن محمّد بن عمر ملا- ملا</w:t>
      </w:r>
    </w:p>
    <w:p>
      <w:pPr>
        <w:pStyle w:val="BookText"/>
      </w:pPr>
      <w:r>
        <w:rPr>
          <w:rFonts w:ascii="IRNazanin" w:hAnsi="IRNazanin" w:eastAsia="IRNazanin" w:cs="IRNazanin"/>
          <w:lang w:bidi="fa-IR"/>
          <w:color w:val="111111"/>
          <w:sz w:val="28"/>
          <w:szCs w:val="28"/>
          <w:rtl/>
        </w:rPr>
        <w:t xml:space="preserve">ابوبکر بن محمّد</w:t>
      </w:r>
    </w:p>
    <w:p>
      <w:pPr>
        <w:pStyle w:val="BookText"/>
      </w:pPr>
      <w:r>
        <w:rPr>
          <w:rFonts w:ascii="IRNazanin" w:hAnsi="IRNazanin" w:eastAsia="IRNazanin" w:cs="IRNazanin"/>
          <w:lang w:bidi="fa-IR"/>
          <w:color w:val="111111"/>
          <w:sz w:val="28"/>
          <w:szCs w:val="28"/>
          <w:rtl/>
        </w:rPr>
        <w:t xml:space="preserve">ابوبکر بن محمّد سفي يزني شافعي- سيفي ، ابوبكر بن محمد</w:t>
      </w:r>
    </w:p>
    <w:p>
      <w:pPr>
        <w:pStyle w:val="BookText"/>
      </w:pPr>
      <w:r>
        <w:rPr>
          <w:rFonts w:ascii="Amiri" w:hAnsi="Amiri" w:eastAsia="Amiri" w:cs="Amiri"/>
          <w:lang w:bidi="ar-SA"/>
          <w:color w:val="111111"/>
          <w:sz w:val="28"/>
          <w:szCs w:val="28"/>
          <w:rtl/>
        </w:rPr>
        <w:t xml:space="preserve">ابوبكر بن محمّد سيلاني -سيلاني ، ابوبكر</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ابوبكر بن محمّد علا -علا ، ابوبکر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ابوبكر بن محمّد نخوشني -نخوشني</w:t>
      </w:r>
    </w:p>
    <w:p>
      <w:pPr>
        <w:pStyle w:val="BookText"/>
      </w:pPr>
      <w:r>
        <w:rPr>
          <w:rFonts w:ascii="IRNazanin" w:hAnsi="IRNazanin" w:eastAsia="IRNazanin" w:cs="IRNazanin"/>
          <w:lang w:bidi="fa-IR"/>
          <w:color w:val="111111"/>
          <w:sz w:val="28"/>
          <w:szCs w:val="28"/>
          <w:rtl/>
        </w:rPr>
        <w:t xml:space="preserve">ابوبكر بن محمّد ابوبکر بن محمود سوار كردي- كردي</w:t>
      </w:r>
    </w:p>
    <w:p>
      <w:pPr>
        <w:pStyle w:val="BookText"/>
      </w:pPr>
      <w:r>
        <w:rPr>
          <w:rFonts w:ascii="IRNazanin" w:hAnsi="IRNazanin" w:eastAsia="IRNazanin" w:cs="IRNazanin"/>
          <w:lang w:bidi="fa-IR"/>
          <w:color w:val="111111"/>
          <w:sz w:val="28"/>
          <w:szCs w:val="28"/>
          <w:rtl/>
        </w:rPr>
        <w:t xml:space="preserve">شنامي ، ابوبکر بن محمود سوار</w:t>
      </w:r>
    </w:p>
    <w:p>
      <w:pPr>
        <w:pStyle w:val="BookText"/>
      </w:pPr>
      <w:r>
        <w:rPr>
          <w:rFonts w:ascii="IRNazanin" w:hAnsi="IRNazanin" w:eastAsia="IRNazanin" w:cs="IRNazanin"/>
          <w:lang w:bidi="fa-IR"/>
          <w:color w:val="111111"/>
          <w:sz w:val="28"/>
          <w:szCs w:val="28"/>
          <w:rtl/>
        </w:rPr>
        <w:t xml:space="preserve">ابوبکر بن مراد اخلاطي -اخلاطي ،</w:t>
      </w:r>
    </w:p>
    <w:p>
      <w:pPr>
        <w:pStyle w:val="BookText"/>
      </w:pPr>
      <w:r>
        <w:rPr>
          <w:rFonts w:ascii="IRNazanin" w:hAnsi="IRNazanin" w:eastAsia="IRNazanin" w:cs="IRNazanin"/>
          <w:lang w:bidi="fa-IR"/>
          <w:color w:val="111111"/>
          <w:sz w:val="28"/>
          <w:szCs w:val="28"/>
          <w:rtl/>
        </w:rPr>
        <w:t xml:space="preserve">ابوبکر بن مراد ابوبکر بن مسعود كاشاني علاء الدين -</w:t>
      </w:r>
    </w:p>
    <w:p>
      <w:pPr>
        <w:pStyle w:val="BookText"/>
      </w:pPr>
      <w:r>
        <w:rPr>
          <w:rFonts w:ascii="IRNazanin" w:hAnsi="IRNazanin" w:eastAsia="IRNazanin" w:cs="IRNazanin"/>
          <w:lang w:bidi="fa-IR"/>
          <w:color w:val="111111"/>
          <w:sz w:val="28"/>
          <w:szCs w:val="28"/>
          <w:rtl/>
        </w:rPr>
        <w:t xml:space="preserve">کاشاني ، ابوبكر بن مسعود</w:t>
      </w:r>
    </w:p>
    <w:p>
      <w:pPr>
        <w:pStyle w:val="BookText"/>
      </w:pPr>
      <w:r>
        <w:rPr>
          <w:rFonts w:ascii="IRNazanin" w:hAnsi="IRNazanin" w:eastAsia="IRNazanin" w:cs="IRNazanin"/>
          <w:lang w:bidi="fa-IR"/>
          <w:color w:val="111111"/>
          <w:sz w:val="28"/>
          <w:szCs w:val="28"/>
          <w:rtl/>
        </w:rPr>
        <w:t xml:space="preserve">ابوبکر بن مسعود وردي عمري- وردي ،</w:t>
      </w:r>
    </w:p>
    <w:p>
      <w:pPr>
        <w:pStyle w:val="BookText"/>
      </w:pPr>
      <w:r>
        <w:rPr>
          <w:rFonts w:ascii="Amiri" w:hAnsi="Amiri" w:eastAsia="Amiri" w:cs="Amiri"/>
          <w:lang w:bidi="ar-SA"/>
          <w:color w:val="111111"/>
          <w:sz w:val="28"/>
          <w:szCs w:val="28"/>
          <w:rtl/>
        </w:rPr>
        <w:t xml:space="preserve">ابوبكر بن علي</w:t>
      </w:r>
    </w:p>
    <w:p>
      <w:pPr>
        <w:pStyle w:val="BookText"/>
      </w:pPr>
      <w:r>
        <w:rPr>
          <w:rFonts w:ascii="IRNazanin" w:hAnsi="IRNazanin" w:eastAsia="IRNazanin" w:cs="IRNazanin"/>
          <w:lang w:bidi="fa-IR"/>
          <w:color w:val="111111"/>
          <w:sz w:val="28"/>
          <w:szCs w:val="28"/>
          <w:rtl/>
        </w:rPr>
        <w:t xml:space="preserve">ابوبکر بن مسعود</w:t>
      </w:r>
    </w:p>
    <w:p>
      <w:pPr>
        <w:pStyle w:val="BookText"/>
      </w:pPr>
      <w:r>
        <w:rPr>
          <w:rFonts w:ascii="Amiri" w:hAnsi="Amiri" w:eastAsia="Amiri" w:cs="Amiri"/>
          <w:lang w:bidi="ar-SA"/>
          <w:color w:val="111111"/>
          <w:sz w:val="28"/>
          <w:szCs w:val="28"/>
          <w:rtl/>
        </w:rPr>
        <w:t xml:space="preserve">ابوبكر بن عمر اشوفي - اشوفي ، ابوبكر</w:t>
      </w:r>
    </w:p>
    <w:p>
      <w:pPr>
        <w:pStyle w:val="BookText"/>
      </w:pPr>
      <w:r>
        <w:rPr>
          <w:rFonts w:ascii="Amiri" w:hAnsi="Amiri" w:eastAsia="Amiri" w:cs="Amiri"/>
          <w:lang w:bidi="ar-SA"/>
          <w:color w:val="111111"/>
          <w:sz w:val="28"/>
          <w:szCs w:val="28"/>
          <w:rtl/>
        </w:rPr>
        <w:t xml:space="preserve">ابوبكر بن مصطفى بن احمد قسطموني -</w:t>
      </w:r>
    </w:p>
    <w:p>
      <w:pPr>
        <w:pStyle w:val="BookText"/>
      </w:pPr>
      <w:r>
        <w:rPr>
          <w:rFonts w:ascii="Amiri" w:hAnsi="Amiri" w:eastAsia="Amiri" w:cs="Amiri"/>
          <w:lang w:bidi="ar-SA"/>
          <w:color w:val="111111"/>
          <w:sz w:val="28"/>
          <w:szCs w:val="28"/>
          <w:rtl/>
        </w:rPr>
        <w:t xml:space="preserve">قسطموني ، ابوبكر بن مصطفى</w:t>
      </w:r>
    </w:p>
    <w:p>
      <w:pPr>
        <w:pStyle w:val="BookText"/>
      </w:pPr>
      <w:r>
        <w:rPr>
          <w:rFonts w:ascii="IRNazanin" w:hAnsi="IRNazanin" w:eastAsia="IRNazanin" w:cs="IRNazanin"/>
          <w:lang w:bidi="fa-IR"/>
          <w:color w:val="111111"/>
          <w:sz w:val="28"/>
          <w:szCs w:val="28"/>
          <w:rtl/>
        </w:rPr>
        <w:t xml:space="preserve">بن عمر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2" w:name="pg7742_69645"/>
    <w:bookmarkEnd w:id="142"/>
    <w:p>
      <w:pPr>
        <w:pStyle w:val="BookText"/>
      </w:pPr>
      <w:r>
        <w:rPr>
          <w:rFonts w:ascii="Amiri" w:hAnsi="Amiri" w:eastAsia="Amiri" w:cs="Amiri"/>
          <w:lang w:bidi="ar-SA"/>
          <w:color w:val="111111"/>
          <w:sz w:val="28"/>
          <w:szCs w:val="28"/>
          <w:rtl/>
        </w:rPr>
        <w:t xml:space="preserve">ابوبكر بن مصطفى حاصلي - حاصلي ،</w:t>
      </w:r>
    </w:p>
    <w:p>
      <w:pPr>
        <w:pStyle w:val="BookText"/>
      </w:pPr>
      <w:r>
        <w:rPr>
          <w:rFonts w:ascii="IRNazanin" w:hAnsi="IRNazanin" w:eastAsia="IRNazanin" w:cs="IRNazanin"/>
          <w:lang w:bidi="fa-IR"/>
          <w:color w:val="111111"/>
          <w:sz w:val="28"/>
          <w:szCs w:val="28"/>
          <w:rtl/>
        </w:rPr>
        <w:t xml:space="preserve">ابوبکر بن مصطفى</w:t>
      </w:r>
    </w:p>
    <w:p>
      <w:pPr>
        <w:pStyle w:val="BookText"/>
      </w:pPr>
      <w:r>
        <w:rPr>
          <w:rFonts w:ascii="Amiri" w:hAnsi="Amiri" w:eastAsia="Amiri" w:cs="Amiri"/>
          <w:lang w:bidi="ar-SA"/>
          <w:color w:val="111111"/>
          <w:sz w:val="28"/>
          <w:szCs w:val="28"/>
          <w:rtl/>
        </w:rPr>
        <w:t xml:space="preserve">ابوبكر بن مصطفى قسطموني-</w:t>
      </w:r>
    </w:p>
    <w:p>
      <w:pPr>
        <w:pStyle w:val="BookText"/>
      </w:pPr>
      <w:r>
        <w:rPr>
          <w:rFonts w:ascii="Amiri" w:hAnsi="Amiri" w:eastAsia="Amiri" w:cs="Amiri"/>
          <w:lang w:bidi="ar-SA"/>
          <w:color w:val="111111"/>
          <w:sz w:val="28"/>
          <w:szCs w:val="28"/>
          <w:rtl/>
        </w:rPr>
        <w:t xml:space="preserve">قسطموني ، ابوبكر بن مصطفى</w:t>
      </w:r>
    </w:p>
    <w:p>
      <w:pPr>
        <w:pStyle w:val="BookText"/>
      </w:pPr>
      <w:r>
        <w:rPr>
          <w:rFonts w:ascii="Amiri" w:hAnsi="Amiri" w:eastAsia="Amiri" w:cs="Amiri"/>
          <w:lang w:bidi="ar-SA"/>
          <w:color w:val="111111"/>
          <w:sz w:val="28"/>
          <w:szCs w:val="28"/>
          <w:rtl/>
        </w:rPr>
        <w:t xml:space="preserve">ابوبكر بن مصطفى كردي عمادي - كردي</w:t>
      </w:r>
    </w:p>
    <w:p>
      <w:pPr>
        <w:pStyle w:val="BookText"/>
      </w:pPr>
      <w:r>
        <w:rPr>
          <w:rFonts w:ascii="Amiri" w:hAnsi="Amiri" w:eastAsia="Amiri" w:cs="Amiri"/>
          <w:lang w:bidi="ar-SA"/>
          <w:color w:val="111111"/>
          <w:sz w:val="28"/>
          <w:szCs w:val="28"/>
          <w:rtl/>
        </w:rPr>
        <w:t xml:space="preserve">، ابوبكر بن مصطفى</w:t>
      </w:r>
    </w:p>
    <w:p>
      <w:pPr>
        <w:pStyle w:val="BookText"/>
      </w:pPr>
      <w:r>
        <w:rPr>
          <w:rFonts w:ascii="IRNazanin" w:hAnsi="IRNazanin" w:eastAsia="IRNazanin" w:cs="IRNazanin"/>
          <w:lang w:bidi="fa-IR"/>
          <w:color w:val="111111"/>
          <w:sz w:val="28"/>
          <w:szCs w:val="28"/>
          <w:rtl/>
        </w:rPr>
        <w:t xml:space="preserve">ابوبکر بن مصطفى موصلي آلوسي- آلوسي</w:t>
      </w:r>
    </w:p>
    <w:p>
      <w:pPr>
        <w:pStyle w:val="BookText"/>
      </w:pPr>
      <w:r>
        <w:rPr>
          <w:rFonts w:ascii="Amiri" w:hAnsi="Amiri" w:eastAsia="Amiri" w:cs="Amiri"/>
          <w:lang w:bidi="ar-SA"/>
          <w:color w:val="111111"/>
          <w:sz w:val="28"/>
          <w:szCs w:val="28"/>
          <w:rtl/>
        </w:rPr>
        <w:t xml:space="preserve">، ابوبكر بن مصطفى</w:t>
      </w:r>
    </w:p>
    <w:p>
      <w:pPr>
        <w:pStyle w:val="BookText"/>
      </w:pPr>
      <w:r>
        <w:rPr>
          <w:rFonts w:ascii="Amiri" w:hAnsi="Amiri" w:eastAsia="Amiri" w:cs="Amiri"/>
          <w:lang w:bidi="ar-SA"/>
          <w:color w:val="111111"/>
          <w:sz w:val="28"/>
          <w:szCs w:val="28"/>
          <w:rtl/>
        </w:rPr>
        <w:t xml:space="preserve">ابوبكر بن منذر البيطار بيطار ، ابوبكر</w:t>
      </w:r>
    </w:p>
    <w:p>
      <w:pPr>
        <w:pStyle w:val="BookText"/>
      </w:pPr>
      <w:r>
        <w:rPr>
          <w:rFonts w:ascii="IRNazanin" w:hAnsi="IRNazanin" w:eastAsia="IRNazanin" w:cs="IRNazanin"/>
          <w:lang w:bidi="fa-IR"/>
          <w:color w:val="111111"/>
          <w:sz w:val="28"/>
          <w:szCs w:val="28"/>
          <w:rtl/>
        </w:rPr>
        <w:t xml:space="preserve">بن منذر</w:t>
      </w:r>
    </w:p>
    <w:p>
      <w:pPr>
        <w:pStyle w:val="BookText"/>
      </w:pPr>
      <w:r>
        <w:rPr>
          <w:rFonts w:ascii="Amiri" w:hAnsi="Amiri" w:eastAsia="Amiri" w:cs="Amiri"/>
          <w:lang w:bidi="ar-SA"/>
          <w:color w:val="111111"/>
          <w:sz w:val="28"/>
          <w:szCs w:val="28"/>
          <w:rtl/>
        </w:rPr>
        <w:t xml:space="preserve">ابوبكر بن هداية الله الحسيني - شهرزوري</w:t>
      </w:r>
    </w:p>
    <w:p>
      <w:pPr>
        <w:pStyle w:val="BookText"/>
      </w:pPr>
      <w:r>
        <w:rPr>
          <w:rFonts w:ascii="Amiri" w:hAnsi="Amiri" w:eastAsia="Amiri" w:cs="Amiri"/>
          <w:lang w:bidi="ar-SA"/>
          <w:color w:val="111111"/>
          <w:sz w:val="28"/>
          <w:szCs w:val="28"/>
          <w:rtl/>
        </w:rPr>
        <w:t xml:space="preserve">، حسن بن هداية الله</w:t>
      </w:r>
    </w:p>
    <w:p>
      <w:pPr>
        <w:pStyle w:val="BookText"/>
      </w:pPr>
      <w:r>
        <w:rPr>
          <w:rFonts w:ascii="IRNazanin" w:hAnsi="IRNazanin" w:eastAsia="IRNazanin" w:cs="IRNazanin"/>
          <w:lang w:bidi="fa-IR"/>
          <w:color w:val="111111"/>
          <w:sz w:val="28"/>
          <w:szCs w:val="28"/>
          <w:rtl/>
        </w:rPr>
        <w:t xml:space="preserve">ابوبکر بن يوسف قاسمي قرشي علوي قاسمي ، ابوبكر بن يوسف</w:t>
      </w:r>
    </w:p>
    <w:p>
      <w:pPr>
        <w:pStyle w:val="Heading2"/>
      </w:pPr>
      <w:bookmarkStart w:id="1887" w:name="_Toc989"/>
      <w:r>
        <w:t>ابوبکر ، عبدالله بن ابي قحافه - 13 ه-</w:t>
      </w:r>
      <w:bookmarkEnd w:id="1887"/>
    </w:p>
    <w:p>
      <w:pPr>
        <w:pStyle w:val="BookText"/>
      </w:pPr>
      <w:r>
        <w:rPr>
          <w:rFonts w:ascii="Amiri" w:hAnsi="Amiri" w:eastAsia="Amiri" w:cs="Amiri"/>
          <w:lang w:bidi="ar-SA"/>
          <w:color w:val="111111"/>
          <w:sz w:val="28"/>
          <w:szCs w:val="28"/>
          <w:rtl/>
        </w:rPr>
        <w:t xml:space="preserve">1 .صد الكلمات، ج 10، ص 536.</w:t>
      </w:r>
    </w:p>
    <w:p>
      <w:pPr>
        <w:pStyle w:val="BookText"/>
      </w:pPr>
      <w:r>
        <w:rPr>
          <w:rFonts w:ascii="Amiri" w:hAnsi="Amiri" w:eastAsia="Amiri" w:cs="Amiri"/>
          <w:lang w:bidi="ar-SA"/>
          <w:color w:val="111111"/>
          <w:sz w:val="28"/>
          <w:szCs w:val="28"/>
          <w:rtl/>
        </w:rPr>
        <w:t xml:space="preserve">2 .عقيدة ابي بكر الصديق، ج11،</w:t>
      </w:r>
    </w:p>
    <w:p>
      <w:pPr>
        <w:pStyle w:val="BookText"/>
      </w:pPr>
      <w:r>
        <w:rPr>
          <w:rFonts w:ascii="IRNazanin" w:hAnsi="IRNazanin" w:eastAsia="IRNazanin" w:cs="IRNazanin"/>
          <w:lang w:bidi="fa-IR"/>
          <w:color w:val="111111"/>
          <w:sz w:val="28"/>
          <w:szCs w:val="28"/>
          <w:rtl/>
        </w:rPr>
        <w:t xml:space="preserve">ص197.</w:t>
      </w:r>
    </w:p>
    <w:p>
      <w:pPr>
        <w:pStyle w:val="BookText"/>
      </w:pPr>
      <w:r>
        <w:rPr>
          <w:rFonts w:ascii="Amiri" w:hAnsi="Amiri" w:eastAsia="Amiri" w:cs="Amiri"/>
          <w:lang w:bidi="ar-SA"/>
          <w:color w:val="111111"/>
          <w:sz w:val="28"/>
          <w:szCs w:val="28"/>
          <w:rtl/>
        </w:rPr>
        <w:t xml:space="preserve">3 .القصيدة الغوثية، ج 12، ص 688.</w:t>
      </w:r>
    </w:p>
    <w:p>
      <w:pPr>
        <w:pStyle w:val="BookText"/>
      </w:pPr>
      <w:r>
        <w:rPr>
          <w:rFonts w:ascii="Amiri" w:hAnsi="Amiri" w:eastAsia="Amiri" w:cs="Amiri"/>
          <w:lang w:bidi="ar-SA"/>
          <w:color w:val="111111"/>
          <w:sz w:val="28"/>
          <w:szCs w:val="28"/>
          <w:rtl/>
        </w:rPr>
        <w:t xml:space="preserve">4 .مائة كلمة، ج13، ص 697.</w:t>
      </w:r>
    </w:p>
    <w:p>
      <w:pPr>
        <w:pStyle w:val="BookText"/>
      </w:pPr>
      <w:r>
        <w:rPr>
          <w:rFonts w:ascii="Amiri" w:hAnsi="Amiri" w:eastAsia="Amiri" w:cs="Amiri"/>
          <w:lang w:bidi="ar-SA"/>
          <w:color w:val="111111"/>
          <w:sz w:val="28"/>
          <w:szCs w:val="28"/>
          <w:rtl/>
        </w:rPr>
        <w:t xml:space="preserve">ابوبكر كسداني ، احمد بن علي ابن</w:t>
      </w:r>
    </w:p>
    <w:p>
      <w:pPr>
        <w:pStyle w:val="BookText"/>
      </w:pPr>
      <w:r>
        <w:rPr>
          <w:rFonts w:ascii="Amiri" w:hAnsi="Amiri" w:eastAsia="Amiri" w:cs="Amiri"/>
          <w:lang w:bidi="ar-SA"/>
          <w:color w:val="111111"/>
          <w:sz w:val="28"/>
          <w:szCs w:val="28"/>
          <w:rtl/>
        </w:rPr>
        <w:t xml:space="preserve">وحشيه ، احمد بن علي</w:t>
      </w:r>
    </w:p>
    <w:p>
      <w:pPr>
        <w:pStyle w:val="BookText"/>
      </w:pPr>
      <w:r>
        <w:rPr>
          <w:rFonts w:ascii="IRNazanin" w:hAnsi="IRNazanin" w:eastAsia="IRNazanin" w:cs="IRNazanin"/>
          <w:lang w:bidi="fa-IR"/>
          <w:color w:val="111111"/>
          <w:sz w:val="28"/>
          <w:szCs w:val="28"/>
          <w:rtl/>
        </w:rPr>
        <w:t xml:space="preserve">ابوبکر موصلي -موصلي ، ابوبكر</w:t>
      </w:r>
    </w:p>
    <w:p>
      <w:pPr>
        <w:pStyle w:val="BookText"/>
      </w:pPr>
      <w:r>
        <w:rPr>
          <w:rFonts w:ascii="Amiri" w:hAnsi="Amiri" w:eastAsia="Amiri" w:cs="Amiri"/>
          <w:lang w:bidi="ar-SA"/>
          <w:color w:val="111111"/>
          <w:sz w:val="28"/>
          <w:szCs w:val="28"/>
          <w:rtl/>
        </w:rPr>
        <w:t xml:space="preserve">ابوبكر والبي -والبي ، ابوبكر</w:t>
      </w:r>
    </w:p>
    <w:p>
      <w:pPr>
        <w:pStyle w:val="BookText"/>
      </w:pPr>
      <w:r>
        <w:rPr>
          <w:rFonts w:ascii="Amiri" w:hAnsi="Amiri" w:eastAsia="Amiri" w:cs="Amiri"/>
          <w:lang w:bidi="ar-SA"/>
          <w:color w:val="111111"/>
          <w:sz w:val="28"/>
          <w:szCs w:val="28"/>
          <w:rtl/>
        </w:rPr>
        <w:t xml:space="preserve">ابوتراب بن ابوالقاسم موسوي</w:t>
      </w:r>
    </w:p>
    <w:p>
      <w:pPr>
        <w:pStyle w:val="BookText"/>
      </w:pPr>
      <w:r>
        <w:rPr>
          <w:rFonts w:ascii="Amiri" w:hAnsi="Amiri" w:eastAsia="Amiri" w:cs="Amiri"/>
          <w:lang w:bidi="ar-SA"/>
          <w:color w:val="111111"/>
          <w:sz w:val="28"/>
          <w:szCs w:val="28"/>
          <w:rtl/>
        </w:rPr>
        <w:t xml:space="preserve">خوانساري -خوانساري ، ابوتراب بن</w:t>
      </w:r>
    </w:p>
    <w:p>
      <w:pPr>
        <w:pStyle w:val="BookText"/>
      </w:pPr>
      <w:r>
        <w:rPr>
          <w:rFonts w:ascii="IRNazanin" w:hAnsi="IRNazanin" w:eastAsia="IRNazanin" w:cs="IRNazanin"/>
          <w:lang w:bidi="fa-IR"/>
          <w:color w:val="111111"/>
          <w:sz w:val="28"/>
          <w:szCs w:val="28"/>
          <w:rtl/>
        </w:rPr>
        <w:t xml:space="preserve">ابوالقاسم</w:t>
      </w:r>
    </w:p>
    <w:p>
      <w:pPr>
        <w:pStyle w:val="Heading2"/>
      </w:pPr>
      <w:bookmarkStart w:id="1888" w:name="_Toc990"/>
      <w:r>
        <w:t>ابوتمام ، حبیب بن اوس 190-231؟ ه-</w:t>
      </w:r>
      <w:bookmarkEnd w:id="18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الحماسة الكبرى، ج 6، ص 821.</w:t>
      </w:r>
    </w:p>
    <w:p>
      <w:pPr>
        <w:pStyle w:val="BookText"/>
      </w:pPr>
      <w:r>
        <w:rPr>
          <w:rFonts w:ascii="IRNazanin" w:hAnsi="IRNazanin" w:eastAsia="IRNazanin" w:cs="IRNazanin"/>
          <w:lang w:bidi="fa-IR"/>
          <w:color w:val="111111"/>
          <w:sz w:val="28"/>
          <w:szCs w:val="28"/>
          <w:rtl/>
        </w:rPr>
        <w:t xml:space="preserve">2 .دیوان ابوتمام = ديوان الحماسة</w:t>
      </w:r>
    </w:p>
    <w:p>
      <w:pPr>
        <w:pStyle w:val="BookText"/>
      </w:pPr>
      <w:r>
        <w:rPr>
          <w:rFonts w:ascii="IRNazanin" w:hAnsi="IRNazanin" w:eastAsia="IRNazanin" w:cs="IRNazanin"/>
          <w:lang w:bidi="fa-IR"/>
          <w:color w:val="111111"/>
          <w:sz w:val="28"/>
          <w:szCs w:val="28"/>
          <w:rtl/>
        </w:rPr>
        <w:t xml:space="preserve">ج 7، ص 550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الطائي، ج 7، ص 695.</w:t>
      </w:r>
    </w:p>
    <w:p>
      <w:pPr>
        <w:pStyle w:val="BookText"/>
      </w:pPr>
      <w:r>
        <w:rPr>
          <w:rFonts w:ascii="Amiri" w:hAnsi="Amiri" w:eastAsia="Amiri" w:cs="Amiri"/>
          <w:lang w:bidi="ar-SA"/>
          <w:color w:val="111111"/>
          <w:sz w:val="28"/>
          <w:szCs w:val="28"/>
          <w:rtl/>
        </w:rPr>
        <w:t xml:space="preserve">ابوتهاني ، حسن بن ابراهيم - جبرتي ،</w:t>
      </w:r>
    </w:p>
    <w:p>
      <w:pPr>
        <w:pStyle w:val="BookText"/>
      </w:pPr>
      <w:r>
        <w:rPr>
          <w:rFonts w:ascii="Amiri" w:hAnsi="Amiri" w:eastAsia="Amiri" w:cs="Amiri"/>
          <w:lang w:bidi="ar-SA"/>
          <w:color w:val="111111"/>
          <w:sz w:val="28"/>
          <w:szCs w:val="28"/>
          <w:rtl/>
        </w:rPr>
        <w:t xml:space="preserve">حسن بن ابراهيم</w:t>
      </w:r>
    </w:p>
    <w:p>
      <w:pPr>
        <w:pStyle w:val="Heading2"/>
      </w:pPr>
      <w:bookmarkStart w:id="1889" w:name="_Toc991"/>
      <w:r>
        <w:t>ابوجعفر محمد بن علي بن حسين</w:t>
      </w:r>
      <w:bookmarkEnd w:id="1889"/>
    </w:p>
    <w:p>
      <w:pPr>
        <w:pStyle w:val="BookText"/>
      </w:pPr>
      <w:r>
        <w:rPr>
          <w:rFonts w:ascii="Amiri" w:hAnsi="Amiri" w:eastAsia="Amiri" w:cs="Amiri"/>
          <w:lang w:bidi="ar-SA"/>
          <w:color w:val="111111"/>
          <w:sz w:val="28"/>
          <w:szCs w:val="28"/>
          <w:rtl/>
        </w:rPr>
        <w:t xml:space="preserve">بهجة المتقين، ج3، ص 422.</w:t>
      </w:r>
    </w:p>
    <w:p>
      <w:pPr>
        <w:pStyle w:val="Heading2"/>
      </w:pPr>
      <w:bookmarkStart w:id="1890" w:name="_Toc992"/>
      <w:r>
        <w:t>ابو جعفر محمّد بن موسى</w:t>
      </w:r>
      <w:bookmarkEnd w:id="1890"/>
    </w:p>
    <w:p>
      <w:pPr>
        <w:pStyle w:val="BookText"/>
      </w:pPr>
      <w:r>
        <w:rPr>
          <w:rFonts w:ascii="IRNazanin" w:hAnsi="IRNazanin" w:eastAsia="IRNazanin" w:cs="IRNazanin"/>
          <w:lang w:bidi="fa-IR"/>
          <w:color w:val="111111"/>
          <w:sz w:val="28"/>
          <w:szCs w:val="28"/>
          <w:rtl/>
        </w:rPr>
        <w:t xml:space="preserve">معنى المولى = شرح حدیث «من كنت مولاه فعلي مولاه»، ج 15، ص 96.</w:t>
      </w:r>
    </w:p>
    <w:p>
      <w:pPr>
        <w:pStyle w:val="Heading2"/>
      </w:pPr>
      <w:bookmarkStart w:id="1891" w:name="_Toc993"/>
      <w:r>
        <w:t>ابو جعفر ، محمّد سعيد</w:t>
      </w:r>
      <w:bookmarkEnd w:id="1891"/>
    </w:p>
    <w:p>
      <w:pPr>
        <w:pStyle w:val="BookText"/>
      </w:pPr>
      <w:r>
        <w:rPr>
          <w:rFonts w:ascii="IRNazanin" w:hAnsi="IRNazanin" w:eastAsia="IRNazanin" w:cs="IRNazanin"/>
          <w:lang w:bidi="fa-IR"/>
          <w:color w:val="111111"/>
          <w:sz w:val="28"/>
          <w:szCs w:val="28"/>
          <w:rtl/>
        </w:rPr>
        <w:t xml:space="preserve">کشکول، ج13، ص292.</w:t>
      </w:r>
    </w:p>
    <w:p>
      <w:pPr>
        <w:pStyle w:val="Heading2"/>
      </w:pPr>
      <w:bookmarkStart w:id="1892" w:name="_Toc994"/>
      <w:r>
        <w:t>ابو جندية ، احمد بن سليمان</w:t>
      </w:r>
      <w:bookmarkEnd w:id="1892"/>
    </w:p>
    <w:p>
      <w:pPr>
        <w:pStyle w:val="BookText"/>
      </w:pPr>
      <w:r>
        <w:rPr>
          <w:rFonts w:ascii="Amiri" w:hAnsi="Amiri" w:eastAsia="Amiri" w:cs="Amiri"/>
          <w:lang w:bidi="ar-SA"/>
          <w:color w:val="111111"/>
          <w:sz w:val="28"/>
          <w:szCs w:val="28"/>
          <w:rtl/>
        </w:rPr>
        <w:t xml:space="preserve">ديوان أبي جندية، ج 7، ص 562.</w:t>
      </w:r>
    </w:p>
    <w:p>
      <w:pPr>
        <w:pStyle w:val="Heading2"/>
      </w:pPr>
      <w:bookmarkStart w:id="1893" w:name="_Toc995"/>
      <w:r>
        <w:t>ابوحاتم رازي احمد بن حمدان -322ه-</w:t>
      </w:r>
      <w:bookmarkEnd w:id="1893"/>
    </w:p>
    <w:p>
      <w:pPr>
        <w:pStyle w:val="BookText"/>
      </w:pPr>
      <w:r>
        <w:rPr>
          <w:rFonts w:ascii="Amiri" w:hAnsi="Amiri" w:eastAsia="Amiri" w:cs="Amiri"/>
          <w:lang w:bidi="ar-SA"/>
          <w:color w:val="111111"/>
          <w:sz w:val="28"/>
          <w:szCs w:val="28"/>
          <w:rtl/>
        </w:rPr>
        <w:t xml:space="preserve">الزينة في فقه اللغة العربية، ج8،</w:t>
      </w:r>
    </w:p>
    <w:p>
      <w:pPr>
        <w:pStyle w:val="BookText"/>
      </w:pPr>
      <w:r>
        <w:rPr>
          <w:rFonts w:ascii="IRNazanin" w:hAnsi="IRNazanin" w:eastAsia="IRNazanin" w:cs="IRNazanin"/>
          <w:lang w:bidi="fa-IR"/>
          <w:color w:val="111111"/>
          <w:sz w:val="28"/>
          <w:szCs w:val="28"/>
          <w:rtl/>
        </w:rPr>
        <w:t xml:space="preserve">ص 662 .</w:t>
      </w:r>
    </w:p>
    <w:p>
      <w:pPr>
        <w:pStyle w:val="Heading2"/>
      </w:pPr>
      <w:bookmarkStart w:id="1894" w:name="_Toc996"/>
      <w:r>
        <w:t>ابوحاتم سجستاني ، سهل بن محمّد</w:t>
      </w:r>
      <w:bookmarkEnd w:id="1894"/>
    </w:p>
    <w:p>
      <w:pPr>
        <w:pStyle w:val="BookText"/>
      </w:pPr>
      <w:r>
        <w:rPr>
          <w:rFonts w:ascii="IRNazanin" w:hAnsi="IRNazanin" w:eastAsia="IRNazanin" w:cs="IRNazanin"/>
          <w:lang w:bidi="fa-IR"/>
          <w:color w:val="111111"/>
          <w:sz w:val="28"/>
          <w:szCs w:val="28"/>
          <w:rtl/>
        </w:rPr>
        <w:t xml:space="preserve">255 ؟ ه-</w:t>
      </w:r>
    </w:p>
    <w:p>
      <w:pPr>
        <w:pStyle w:val="BookText"/>
      </w:pPr>
      <w:r>
        <w:rPr>
          <w:rFonts w:ascii="IRNazanin" w:hAnsi="IRNazanin" w:eastAsia="IRNazanin" w:cs="IRNazanin"/>
          <w:lang w:bidi="fa-IR"/>
          <w:color w:val="111111"/>
          <w:sz w:val="28"/>
          <w:szCs w:val="28"/>
          <w:rtl/>
        </w:rPr>
        <w:t xml:space="preserve">الأضداد، ج 2، ص 472.</w:t>
      </w:r>
    </w:p>
    <w:p>
      <w:pPr>
        <w:pStyle w:val="BookText"/>
      </w:pPr>
      <w:r>
        <w:rPr>
          <w:rFonts w:ascii="Amiri" w:hAnsi="Amiri" w:eastAsia="Amiri" w:cs="Amiri"/>
          <w:lang w:bidi="ar-SA"/>
          <w:color w:val="111111"/>
          <w:sz w:val="28"/>
          <w:szCs w:val="28"/>
          <w:rtl/>
        </w:rPr>
        <w:t xml:space="preserve">ابو حامد غزالي-غزالي ، محمّد بن محمّد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3" w:name="pg7742_69647"/>
    <w:bookmarkEnd w:id="143"/>
    <w:p>
      <w:pPr>
        <w:pStyle w:val="Heading2"/>
      </w:pPr>
      <w:bookmarkStart w:id="1895" w:name="_Toc997"/>
      <w:r>
        <w:t>ابو حذیفه غزال واصل بن عطاء - 131ه-</w:t>
      </w:r>
      <w:bookmarkEnd w:id="1895"/>
    </w:p>
    <w:p>
      <w:pPr>
        <w:pStyle w:val="BookText"/>
      </w:pPr>
      <w:r>
        <w:rPr>
          <w:rFonts w:ascii="Amiri" w:hAnsi="Amiri" w:eastAsia="Amiri" w:cs="Amiri"/>
          <w:lang w:bidi="ar-SA"/>
          <w:color w:val="111111"/>
          <w:sz w:val="28"/>
          <w:szCs w:val="28"/>
          <w:rtl/>
        </w:rPr>
        <w:t xml:space="preserve">خطبة واصل بن عطاء التي جانب فيها الراء، ج 7، ص 56.</w:t>
      </w:r>
    </w:p>
    <w:p>
      <w:pPr>
        <w:pStyle w:val="BookText"/>
      </w:pPr>
      <w:r>
        <w:rPr>
          <w:rFonts w:ascii="Amiri" w:hAnsi="Amiri" w:eastAsia="Amiri" w:cs="Amiri"/>
          <w:lang w:bidi="ar-SA"/>
          <w:color w:val="111111"/>
          <w:sz w:val="28"/>
          <w:szCs w:val="28"/>
          <w:rtl/>
        </w:rPr>
        <w:t xml:space="preserve">ابوحليم بن الحديثي- ابن حديثي</w:t>
      </w:r>
    </w:p>
    <w:p>
      <w:pPr>
        <w:pStyle w:val="BookText"/>
      </w:pPr>
      <w:r>
        <w:rPr>
          <w:rFonts w:ascii="Amiri" w:hAnsi="Amiri" w:eastAsia="Amiri" w:cs="Amiri"/>
          <w:lang w:bidi="ar-SA"/>
          <w:color w:val="111111"/>
          <w:sz w:val="28"/>
          <w:szCs w:val="28"/>
          <w:rtl/>
        </w:rPr>
        <w:t xml:space="preserve">ابوحليم بن حديثي</w:t>
      </w:r>
    </w:p>
    <w:p>
      <w:pPr>
        <w:pStyle w:val="BookText"/>
      </w:pPr>
      <w:r>
        <w:rPr>
          <w:rFonts w:ascii="Amiri" w:hAnsi="Amiri" w:eastAsia="Amiri" w:cs="Amiri"/>
          <w:lang w:bidi="ar-SA"/>
          <w:color w:val="111111"/>
          <w:sz w:val="28"/>
          <w:szCs w:val="28"/>
          <w:rtl/>
        </w:rPr>
        <w:t xml:space="preserve">ابوحنيفه امامي- ابن حيون ، نعمان بن</w:t>
      </w:r>
    </w:p>
    <w:p>
      <w:pPr>
        <w:pStyle w:val="BookText"/>
      </w:pPr>
      <w:r>
        <w:rPr>
          <w:rFonts w:ascii="IRNazanin" w:hAnsi="IRNazanin" w:eastAsia="IRNazanin" w:cs="IRNazanin"/>
          <w:lang w:bidi="fa-IR"/>
          <w:color w:val="111111"/>
          <w:sz w:val="28"/>
          <w:szCs w:val="28"/>
          <w:rtl/>
        </w:rPr>
        <w:t xml:space="preserve">محمد</w:t>
      </w:r>
    </w:p>
    <w:p>
      <w:pPr>
        <w:pStyle w:val="Heading2"/>
      </w:pPr>
      <w:bookmarkStart w:id="1896" w:name="_Toc998"/>
      <w:r>
        <w:t>ابوحنيفه ، نعمان بن ثابت، 80 - 150 ه-</w:t>
      </w:r>
      <w:bookmarkEnd w:id="18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دعائم الاسلام، ج 7، ص 408.</w:t>
      </w:r>
    </w:p>
    <w:p>
      <w:pPr>
        <w:pStyle w:val="BookText"/>
      </w:pPr>
      <w:r>
        <w:rPr>
          <w:rFonts w:ascii="Amiri" w:hAnsi="Amiri" w:eastAsia="Amiri" w:cs="Amiri"/>
          <w:lang w:bidi="ar-SA"/>
          <w:color w:val="111111"/>
          <w:sz w:val="28"/>
          <w:szCs w:val="28"/>
          <w:rtl/>
        </w:rPr>
        <w:t xml:space="preserve">2 .شرح دعاء القنوت مع وصية، ج 9،</w:t>
      </w:r>
    </w:p>
    <w:p>
      <w:pPr>
        <w:pStyle w:val="BookText"/>
      </w:pPr>
      <w:r>
        <w:rPr>
          <w:rFonts w:ascii="IRNazanin" w:hAnsi="IRNazanin" w:eastAsia="IRNazanin" w:cs="IRNazanin"/>
          <w:lang w:bidi="fa-IR"/>
          <w:color w:val="111111"/>
          <w:sz w:val="28"/>
          <w:szCs w:val="28"/>
          <w:rtl/>
        </w:rPr>
        <w:t xml:space="preserve">ص 469.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دعاي علوي ،مصري، ج 9،</w:t>
      </w:r>
    </w:p>
    <w:p>
      <w:pPr>
        <w:pStyle w:val="BookText"/>
      </w:pPr>
      <w:r>
        <w:rPr>
          <w:rFonts w:ascii="IRNazanin" w:hAnsi="IRNazanin" w:eastAsia="IRNazanin" w:cs="IRNazanin"/>
          <w:lang w:bidi="fa-IR"/>
          <w:color w:val="111111"/>
          <w:sz w:val="28"/>
          <w:szCs w:val="28"/>
          <w:rtl/>
        </w:rPr>
        <w:t xml:space="preserve">ص 468 .</w:t>
      </w:r>
    </w:p>
    <w:p>
      <w:pPr>
        <w:pStyle w:val="BookText"/>
      </w:pPr>
      <w:r>
        <w:rPr>
          <w:rFonts w:ascii="IRNazanin" w:hAnsi="IRNazanin" w:eastAsia="IRNazanin" w:cs="IRNazanin"/>
          <w:lang w:bidi="fa-IR"/>
          <w:color w:val="111111"/>
          <w:sz w:val="28"/>
          <w:szCs w:val="28"/>
          <w:rtl/>
        </w:rPr>
        <w:t xml:space="preserve">4 .الفرائض، ج 11، ص 749 .</w:t>
      </w:r>
    </w:p>
    <w:p>
      <w:pPr>
        <w:pStyle w:val="BookText"/>
      </w:pPr>
      <w:r>
        <w:rPr>
          <w:rFonts w:ascii="Amiri" w:hAnsi="Amiri" w:eastAsia="Amiri" w:cs="Amiri"/>
          <w:lang w:bidi="ar-SA"/>
          <w:color w:val="111111"/>
          <w:sz w:val="28"/>
          <w:szCs w:val="28"/>
          <w:rtl/>
        </w:rPr>
        <w:t xml:space="preserve">5 .الفقه الأكبر، ج 12، ص91.</w:t>
      </w:r>
    </w:p>
    <w:p>
      <w:pPr>
        <w:pStyle w:val="BookText"/>
      </w:pPr>
      <w:r>
        <w:rPr>
          <w:rFonts w:ascii="Amiri" w:hAnsi="Amiri" w:eastAsia="Amiri" w:cs="Amiri"/>
          <w:lang w:bidi="ar-SA"/>
          <w:color w:val="111111"/>
          <w:sz w:val="28"/>
          <w:szCs w:val="28"/>
          <w:rtl/>
        </w:rPr>
        <w:t xml:space="preserve">6 .قصيدة يا سيد السادات»، ج 12،</w:t>
      </w:r>
    </w:p>
    <w:p>
      <w:pPr>
        <w:pStyle w:val="BookText"/>
      </w:pPr>
      <w:r>
        <w:rPr>
          <w:rFonts w:ascii="IRNazanin" w:hAnsi="IRNazanin" w:eastAsia="IRNazanin" w:cs="IRNazanin"/>
          <w:lang w:bidi="fa-IR"/>
          <w:color w:val="111111"/>
          <w:sz w:val="28"/>
          <w:szCs w:val="28"/>
          <w:rtl/>
        </w:rPr>
        <w:t xml:space="preserve">ص 730.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مسائل لأبي حنيفة، ج 14، ص 481.</w:t>
      </w:r>
    </w:p>
    <w:p>
      <w:pPr>
        <w:pStyle w:val="BookText"/>
      </w:pPr>
      <w:r>
        <w:rPr>
          <w:rFonts w:ascii="Amiri" w:hAnsi="Amiri" w:eastAsia="Amiri" w:cs="Amiri"/>
          <w:lang w:bidi="ar-SA"/>
          <w:color w:val="111111"/>
          <w:sz w:val="28"/>
          <w:szCs w:val="28"/>
          <w:rtl/>
        </w:rPr>
        <w:t xml:space="preserve">8 .مسند ابي حنيفة، ج 14، ص 593.</w:t>
      </w:r>
    </w:p>
    <w:p>
      <w:pPr>
        <w:pStyle w:val="BookText"/>
      </w:pPr>
      <w:r>
        <w:rPr>
          <w:rFonts w:ascii="Amiri" w:hAnsi="Amiri" w:eastAsia="Amiri" w:cs="Amiri"/>
          <w:lang w:bidi="ar-SA"/>
          <w:color w:val="111111"/>
          <w:sz w:val="28"/>
          <w:szCs w:val="28"/>
          <w:rtl/>
        </w:rPr>
        <w:t xml:space="preserve">9 .المقدمة يا اللطيفة من تاليفات ابي حنيفة في الفقه و العبادات، ج 15</w:t>
      </w:r>
    </w:p>
    <w:p>
      <w:pPr>
        <w:pStyle w:val="BookText"/>
      </w:pPr>
      <w:r>
        <w:rPr>
          <w:rFonts w:ascii="IRNazanin" w:hAnsi="IRNazanin" w:eastAsia="IRNazanin" w:cs="IRNazanin"/>
          <w:lang w:bidi="fa-IR"/>
          <w:color w:val="111111"/>
          <w:sz w:val="28"/>
          <w:szCs w:val="28"/>
          <w:rtl/>
        </w:rPr>
        <w:t xml:space="preserve">ص 377</w:t>
      </w:r>
    </w:p>
    <w:p>
      <w:pPr>
        <w:pStyle w:val="BookText"/>
      </w:pPr>
      <w:r>
        <w:rPr>
          <w:rFonts w:ascii="Amiri" w:hAnsi="Amiri" w:eastAsia="Amiri" w:cs="Amiri"/>
          <w:lang w:bidi="ar-SA"/>
          <w:color w:val="111111"/>
          <w:sz w:val="28"/>
          <w:szCs w:val="28"/>
          <w:rtl/>
        </w:rPr>
        <w:t xml:space="preserve">10 .المقصود في الصرف، ج 15 ، ص 384.</w:t>
      </w:r>
    </w:p>
    <w:p>
      <w:pPr>
        <w:pStyle w:val="BookText"/>
      </w:pPr>
      <w:r>
        <w:rPr>
          <w:rFonts w:ascii="Amiri" w:hAnsi="Amiri" w:eastAsia="Amiri" w:cs="Amiri"/>
          <w:lang w:bidi="ar-SA"/>
          <w:color w:val="111111"/>
          <w:sz w:val="28"/>
          <w:szCs w:val="28"/>
          <w:rtl/>
        </w:rPr>
        <w:t xml:space="preserve">11 .الوجبة المهلقة في القصائد الدينية</w:t>
      </w:r>
    </w:p>
    <w:p>
      <w:pPr>
        <w:pStyle w:val="BookText"/>
      </w:pPr>
      <w:r>
        <w:rPr>
          <w:rFonts w:ascii="IRNazanin" w:hAnsi="IRNazanin" w:eastAsia="IRNazanin" w:cs="IRNazanin"/>
          <w:lang w:bidi="fa-IR"/>
          <w:color w:val="111111"/>
          <w:sz w:val="28"/>
          <w:szCs w:val="28"/>
          <w:rtl/>
        </w:rPr>
        <w:t xml:space="preserve">ج 16، ص 728.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وصية ابي حنيفة، ج 16، ص 811.</w:t>
      </w:r>
    </w:p>
    <w:p>
      <w:pPr>
        <w:pStyle w:val="BookText"/>
      </w:pPr>
      <w:r>
        <w:rPr>
          <w:rFonts w:ascii="Amiri" w:hAnsi="Amiri" w:eastAsia="Amiri" w:cs="Amiri"/>
          <w:lang w:bidi="ar-SA"/>
          <w:color w:val="111111"/>
          <w:sz w:val="28"/>
          <w:szCs w:val="28"/>
          <w:rtl/>
        </w:rPr>
        <w:t xml:space="preserve">13 .وصية ابي حنيفة إلى ابنه حماد</w:t>
      </w:r>
    </w:p>
    <w:p>
      <w:pPr>
        <w:pStyle w:val="BookText"/>
      </w:pPr>
      <w:r>
        <w:rPr>
          <w:rFonts w:ascii="IRNazanin" w:hAnsi="IRNazanin" w:eastAsia="IRNazanin" w:cs="IRNazanin"/>
          <w:lang w:bidi="fa-IR"/>
          <w:color w:val="111111"/>
          <w:sz w:val="28"/>
          <w:szCs w:val="28"/>
          <w:rtl/>
        </w:rPr>
        <w:t xml:space="preserve">ج 16، ص 813.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وصية ابي حنيفة ليوسف بن خالد</w:t>
      </w:r>
    </w:p>
    <w:p>
      <w:pPr>
        <w:pStyle w:val="BookText"/>
      </w:pPr>
      <w:r>
        <w:rPr>
          <w:rFonts w:ascii="Amiri" w:hAnsi="Amiri" w:eastAsia="Amiri" w:cs="Amiri"/>
          <w:lang w:bidi="ar-SA"/>
          <w:color w:val="111111"/>
          <w:sz w:val="28"/>
          <w:szCs w:val="28"/>
          <w:rtl/>
        </w:rPr>
        <w:t xml:space="preserve">السمتي البصري، ج 16، ص 813.</w:t>
      </w:r>
    </w:p>
    <w:p>
      <w:pPr>
        <w:pStyle w:val="BookText"/>
      </w:pPr>
      <w:r>
        <w:rPr>
          <w:rFonts w:ascii="Amiri" w:hAnsi="Amiri" w:eastAsia="Amiri" w:cs="Amiri"/>
          <w:lang w:bidi="ar-SA"/>
          <w:color w:val="111111"/>
          <w:sz w:val="28"/>
          <w:szCs w:val="28"/>
          <w:rtl/>
        </w:rPr>
        <w:t xml:space="preserve">15 .وصية لأبي يوسف يعقوب بن ابراهيم الانصاري، ج 16، ص818.</w:t>
      </w:r>
    </w:p>
    <w:p>
      <w:pPr>
        <w:pStyle w:val="Heading2"/>
      </w:pPr>
      <w:bookmarkStart w:id="1897" w:name="_Toc999"/>
      <w:r>
        <w:t>ابوحيان توحيدي ، علي بن محمّد، 310؟ -</w:t>
      </w:r>
      <w:bookmarkEnd w:id="1897"/>
    </w:p>
    <w:p>
      <w:pPr>
        <w:pStyle w:val="BookText"/>
      </w:pPr>
      <w:r>
        <w:rPr>
          <w:rFonts w:ascii="IRNazanin" w:hAnsi="IRNazanin" w:eastAsia="IRNazanin" w:cs="IRNazanin"/>
          <w:lang w:bidi="fa-IR"/>
          <w:color w:val="111111"/>
          <w:sz w:val="28"/>
          <w:szCs w:val="28"/>
          <w:rtl/>
        </w:rPr>
        <w:t xml:space="preserve">414؟ ه-</w:t>
      </w:r>
    </w:p>
    <w:p>
      <w:pPr>
        <w:pStyle w:val="BookText"/>
      </w:pPr>
      <w:r>
        <w:rPr>
          <w:rFonts w:ascii="Amiri" w:hAnsi="Amiri" w:eastAsia="Amiri" w:cs="Amiri"/>
          <w:lang w:bidi="ar-SA"/>
          <w:color w:val="111111"/>
          <w:sz w:val="28"/>
          <w:szCs w:val="28"/>
          <w:rtl/>
        </w:rPr>
        <w:t xml:space="preserve">1 الامتاع والمؤانسة، ج 2، ص 741.</w:t>
      </w:r>
    </w:p>
    <w:p>
      <w:pPr>
        <w:pStyle w:val="BookText"/>
      </w:pPr>
      <w:r>
        <w:rPr>
          <w:rFonts w:ascii="Amiri" w:hAnsi="Amiri" w:eastAsia="Amiri" w:cs="Amiri"/>
          <w:lang w:bidi="ar-SA"/>
          <w:color w:val="111111"/>
          <w:sz w:val="28"/>
          <w:szCs w:val="28"/>
          <w:rtl/>
        </w:rPr>
        <w:t xml:space="preserve">2 البصائر والذخائر = بصائر القدماء و سرائر الحكماء، ج 3، ص 347.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الحياة، ج 6، ص 848.</w:t>
      </w:r>
    </w:p>
    <w:p>
      <w:pPr>
        <w:pStyle w:val="Heading2"/>
      </w:pPr>
      <w:bookmarkStart w:id="1898" w:name="_Toc1000"/>
      <w:r>
        <w:t>ابوحیان ، محمّد بن یوسف، 654-745ه-</w:t>
      </w:r>
      <w:bookmarkEnd w:id="1898"/>
    </w:p>
    <w:p>
      <w:pPr>
        <w:pStyle w:val="BookText"/>
      </w:pPr>
      <w:r>
        <w:rPr>
          <w:rFonts w:ascii="Amiri" w:hAnsi="Amiri" w:eastAsia="Amiri" w:cs="Amiri"/>
          <w:lang w:bidi="ar-SA"/>
          <w:color w:val="111111"/>
          <w:sz w:val="28"/>
          <w:szCs w:val="28"/>
          <w:rtl/>
        </w:rPr>
        <w:t xml:space="preserve">1 ارتشاف الضرب في لسان العرب</w:t>
      </w:r>
    </w:p>
    <w:p>
      <w:pPr>
        <w:pStyle w:val="BookText"/>
      </w:pPr>
      <w:r>
        <w:rPr>
          <w:rFonts w:ascii="IRNazanin" w:hAnsi="IRNazanin" w:eastAsia="IRNazanin" w:cs="IRNazanin"/>
          <w:lang w:bidi="fa-IR"/>
          <w:color w:val="111111"/>
          <w:sz w:val="28"/>
          <w:szCs w:val="28"/>
          <w:rtl/>
        </w:rPr>
        <w:t xml:space="preserve">ج 1، ص 749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البحر المحيط، ج 3، ص 227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الاريب بما في القرآن من</w:t>
      </w:r>
    </w:p>
    <w:p>
      <w:pPr>
        <w:pStyle w:val="BookText"/>
      </w:pPr>
      <w:r>
        <w:rPr>
          <w:rFonts w:ascii="Amiri" w:hAnsi="Amiri" w:eastAsia="Amiri" w:cs="Amiri"/>
          <w:lang w:bidi="ar-SA"/>
          <w:color w:val="111111"/>
          <w:sz w:val="28"/>
          <w:szCs w:val="28"/>
          <w:rtl/>
        </w:rPr>
        <w:t xml:space="preserve">الغريب، ج 3، ص 794.</w:t>
      </w:r>
    </w:p>
    <w:p>
      <w:pPr>
        <w:pStyle w:val="BookText"/>
      </w:pPr>
      <w:r>
        <w:rPr>
          <w:rFonts w:ascii="Amiri" w:hAnsi="Amiri" w:eastAsia="Amiri" w:cs="Amiri"/>
          <w:lang w:bidi="ar-SA"/>
          <w:color w:val="111111"/>
          <w:sz w:val="28"/>
          <w:szCs w:val="28"/>
          <w:rtl/>
        </w:rPr>
        <w:t xml:space="preserve">4 .تقريب المقرب = التقريب في مختصر المقرب، ج4، ص732.</w:t>
      </w:r>
    </w:p>
    <w:p>
      <w:pPr>
        <w:pStyle w:val="BookText"/>
      </w:pPr>
      <w:r>
        <w:rPr>
          <w:rFonts w:ascii="Amiri" w:hAnsi="Amiri" w:eastAsia="Amiri" w:cs="Amiri"/>
          <w:lang w:bidi="ar-SA"/>
          <w:color w:val="111111"/>
          <w:sz w:val="28"/>
          <w:szCs w:val="28"/>
          <w:rtl/>
        </w:rPr>
        <w:t xml:space="preserve">5 .خلاصة الاعتضاد في الفرق بين الظاء</w:t>
      </w:r>
    </w:p>
    <w:p>
      <w:pPr>
        <w:pStyle w:val="BookText"/>
      </w:pPr>
      <w:r>
        <w:rPr>
          <w:rFonts w:ascii="IRNazanin" w:hAnsi="IRNazanin" w:eastAsia="IRNazanin" w:cs="IRNazanin"/>
          <w:lang w:bidi="fa-IR"/>
          <w:color w:val="111111"/>
          <w:sz w:val="28"/>
          <w:szCs w:val="28"/>
          <w:rtl/>
        </w:rPr>
        <w:t xml:space="preserve">و الضاد، ج 7، ص72.</w:t>
      </w:r>
    </w:p>
    <w:p>
      <w:pPr>
        <w:pStyle w:val="BookText"/>
      </w:pPr>
      <w:r>
        <w:rPr>
          <w:rFonts w:ascii="Amiri" w:hAnsi="Amiri" w:eastAsia="Amiri" w:cs="Amiri"/>
          <w:lang w:bidi="ar-SA"/>
          <w:color w:val="111111"/>
          <w:sz w:val="28"/>
          <w:szCs w:val="28"/>
          <w:rtl/>
        </w:rPr>
        <w:t xml:space="preserve">6 .غاية الاحسان في علم اللسان، ج 11،</w:t>
      </w:r>
    </w:p>
    <w:p>
      <w:pPr>
        <w:pStyle w:val="BookText"/>
      </w:pPr>
      <w:r>
        <w:rPr>
          <w:rFonts w:ascii="IRNazanin" w:hAnsi="IRNazanin" w:eastAsia="IRNazanin" w:cs="IRNazanin"/>
          <w:lang w:bidi="fa-IR"/>
          <w:color w:val="111111"/>
          <w:sz w:val="28"/>
          <w:szCs w:val="28"/>
          <w:rtl/>
        </w:rPr>
        <w:t xml:space="preserve">ص 426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اللمحة البدرية في علم العربية</w:t>
      </w:r>
    </w:p>
    <w:p>
      <w:pPr>
        <w:pStyle w:val="BookText"/>
      </w:pPr>
      <w:r>
        <w:rPr>
          <w:rFonts w:ascii="IRNazanin" w:hAnsi="IRNazanin" w:eastAsia="IRNazanin" w:cs="IRNazanin"/>
          <w:lang w:bidi="fa-IR"/>
          <w:color w:val="111111"/>
          <w:sz w:val="28"/>
          <w:szCs w:val="28"/>
          <w:rtl/>
        </w:rPr>
        <w:t xml:space="preserve">ج 13، ص 609.</w:t>
      </w:r>
    </w:p>
    <w:p>
      <w:pPr>
        <w:pStyle w:val="BookText"/>
      </w:pPr>
      <w:r>
        <w:rPr>
          <w:rFonts w:ascii="Amiri" w:hAnsi="Amiri" w:eastAsia="Amiri" w:cs="Amiri"/>
          <w:lang w:bidi="ar-SA"/>
          <w:color w:val="111111"/>
          <w:sz w:val="28"/>
          <w:szCs w:val="28"/>
          <w:rtl/>
        </w:rPr>
        <w:t xml:space="preserve">8 .المبدع في التصريف = تلخيص</w:t>
      </w:r>
    </w:p>
    <w:p>
      <w:pPr>
        <w:pStyle w:val="BookText"/>
      </w:pPr>
      <w:r>
        <w:rPr>
          <w:rFonts w:ascii="IRNazanin" w:hAnsi="IRNazanin" w:eastAsia="IRNazanin" w:cs="IRNazanin"/>
          <w:lang w:bidi="fa-IR"/>
          <w:color w:val="111111"/>
          <w:sz w:val="28"/>
          <w:szCs w:val="28"/>
          <w:rtl/>
        </w:rPr>
        <w:t xml:space="preserve">الممتع، ج 13، ص 735.</w:t>
      </w:r>
    </w:p>
    <w:p>
      <w:pPr>
        <w:pStyle w:val="BookText"/>
      </w:pPr>
      <w:r>
        <w:rPr>
          <w:rFonts w:ascii="Amiri" w:hAnsi="Amiri" w:eastAsia="Amiri" w:cs="Amiri"/>
          <w:lang w:bidi="ar-SA"/>
          <w:color w:val="111111"/>
          <w:sz w:val="28"/>
          <w:szCs w:val="28"/>
          <w:rtl/>
        </w:rPr>
        <w:t xml:space="preserve">9 .منهج السالك إلى الفية ابن مالك</w:t>
      </w:r>
    </w:p>
    <w:p>
      <w:pPr>
        <w:pStyle w:val="BookText"/>
      </w:pPr>
      <w:r>
        <w:rPr>
          <w:rFonts w:ascii="IRNazanin" w:hAnsi="IRNazanin" w:eastAsia="IRNazanin" w:cs="IRNazanin"/>
          <w:lang w:bidi="fa-IR"/>
          <w:color w:val="111111"/>
          <w:sz w:val="28"/>
          <w:szCs w:val="28"/>
          <w:rtl/>
        </w:rPr>
        <w:t xml:space="preserve">ج 15، ص 796.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النكت الحسان في شرح غاية الاحسان في علم اللسان، ج 16،</w:t>
      </w:r>
    </w:p>
    <w:p>
      <w:pPr>
        <w:pStyle w:val="BookText"/>
      </w:pPr>
      <w:r>
        <w:rPr>
          <w:rFonts w:ascii="IRNazanin" w:hAnsi="IRNazanin" w:eastAsia="IRNazanin" w:cs="IRNazanin"/>
          <w:lang w:bidi="fa-IR"/>
          <w:color w:val="111111"/>
          <w:sz w:val="28"/>
          <w:szCs w:val="28"/>
          <w:rtl/>
        </w:rPr>
        <w:t xml:space="preserve">ص 463 .</w:t>
      </w:r>
    </w:p>
    <w:p>
      <w:pPr>
        <w:pStyle w:val="BookText"/>
      </w:pPr>
      <w:r>
        <w:rPr>
          <w:rFonts w:ascii="Amiri" w:hAnsi="Amiri" w:eastAsia="Amiri" w:cs="Amiri"/>
          <w:lang w:bidi="ar-SA"/>
          <w:color w:val="111111"/>
          <w:sz w:val="28"/>
          <w:szCs w:val="28"/>
          <w:rtl/>
        </w:rPr>
        <w:t xml:space="preserve">11 .الهداية في النحو، ج16، ص624.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4" w:name="pg7742_69650"/>
    <w:bookmarkEnd w:id="144"/>
    <w:p>
      <w:pPr>
        <w:pStyle w:val="Heading2"/>
      </w:pPr>
      <w:bookmarkStart w:id="1899" w:name="_Toc1001"/>
      <w:r>
        <w:t>ابوداود ، سلیمان بن اشعث، 202-275ه-</w:t>
      </w:r>
      <w:bookmarkEnd w:id="1899"/>
    </w:p>
    <w:p>
      <w:pPr>
        <w:pStyle w:val="BookText"/>
      </w:pPr>
      <w:r>
        <w:rPr>
          <w:rFonts w:ascii="Amiri" w:hAnsi="Amiri" w:eastAsia="Amiri" w:cs="Amiri"/>
          <w:lang w:bidi="ar-SA"/>
          <w:color w:val="111111"/>
          <w:sz w:val="28"/>
          <w:szCs w:val="28"/>
          <w:rtl/>
        </w:rPr>
        <w:t xml:space="preserve">سنن ابي داود = السنن، ج8، ص 843.</w:t>
      </w:r>
    </w:p>
    <w:p>
      <w:pPr>
        <w:pStyle w:val="Heading2"/>
      </w:pPr>
      <w:bookmarkStart w:id="1900" w:name="_Toc1002"/>
      <w:r>
        <w:t>ابوذر هروي، عبد بن احمد، 355-434ه-</w:t>
      </w:r>
      <w:bookmarkEnd w:id="1900"/>
    </w:p>
    <w:p>
      <w:pPr>
        <w:pStyle w:val="BookText"/>
      </w:pPr>
      <w:r>
        <w:rPr>
          <w:rFonts w:ascii="IRNazanin" w:hAnsi="IRNazanin" w:eastAsia="IRNazanin" w:cs="IRNazanin"/>
          <w:lang w:bidi="fa-IR"/>
          <w:color w:val="111111"/>
          <w:sz w:val="28"/>
          <w:szCs w:val="28"/>
          <w:rtl/>
        </w:rPr>
        <w:t xml:space="preserve">فوائد، ج 12، ص170.</w:t>
      </w:r>
    </w:p>
    <w:p>
      <w:pPr>
        <w:pStyle w:val="Heading2"/>
      </w:pPr>
      <w:bookmarkStart w:id="1901" w:name="_Toc1003"/>
      <w:r>
        <w:t>ابوذيب ، يوسف</w:t>
      </w:r>
      <w:bookmarkEnd w:id="1901"/>
    </w:p>
    <w:p>
      <w:pPr>
        <w:pStyle w:val="BookText"/>
      </w:pPr>
      <w:r>
        <w:rPr>
          <w:rFonts w:ascii="IRNazanin" w:hAnsi="IRNazanin" w:eastAsia="IRNazanin" w:cs="IRNazanin"/>
          <w:lang w:bidi="fa-IR"/>
          <w:color w:val="111111"/>
          <w:sz w:val="28"/>
          <w:szCs w:val="28"/>
          <w:rtl/>
        </w:rPr>
        <w:t xml:space="preserve">1 .دیوان ابوذيب، ج 7، ص 555.</w:t>
      </w:r>
    </w:p>
    <w:p>
      <w:pPr>
        <w:pStyle w:val="BookText"/>
      </w:pPr>
      <w:r>
        <w:rPr>
          <w:rFonts w:ascii="Amiri" w:hAnsi="Amiri" w:eastAsia="Amiri" w:cs="Amiri"/>
          <w:lang w:bidi="ar-SA"/>
          <w:color w:val="111111"/>
          <w:sz w:val="28"/>
          <w:szCs w:val="28"/>
          <w:rtl/>
        </w:rPr>
        <w:t xml:space="preserve">2 .قصيدة للحسين (ع) و اهل بيته</w:t>
      </w:r>
    </w:p>
    <w:p>
      <w:pPr>
        <w:pStyle w:val="BookText"/>
      </w:pPr>
      <w:r>
        <w:rPr>
          <w:rFonts w:ascii="IRNazanin" w:hAnsi="IRNazanin" w:eastAsia="IRNazanin" w:cs="IRNazanin"/>
          <w:lang w:bidi="fa-IR"/>
          <w:color w:val="111111"/>
          <w:sz w:val="28"/>
          <w:szCs w:val="28"/>
          <w:rtl/>
        </w:rPr>
        <w:t xml:space="preserve">ج 12، ص 707.</w:t>
      </w:r>
    </w:p>
    <w:p>
      <w:pPr>
        <w:pStyle w:val="Heading2"/>
      </w:pPr>
      <w:bookmarkStart w:id="1902" w:name="_Toc1004"/>
      <w:r>
        <w:t>ابوريحان بيروني ، محمّد بن احمد، 362 -</w:t>
      </w:r>
      <w:bookmarkEnd w:id="1902"/>
    </w:p>
    <w:p>
      <w:pPr>
        <w:pStyle w:val="BookText"/>
      </w:pPr>
      <w:r>
        <w:rPr>
          <w:rFonts w:ascii="IRNazanin" w:hAnsi="IRNazanin" w:eastAsia="IRNazanin" w:cs="IRNazanin"/>
          <w:lang w:bidi="fa-IR"/>
          <w:color w:val="111111"/>
          <w:sz w:val="28"/>
          <w:szCs w:val="28"/>
          <w:rtl/>
        </w:rPr>
        <w:t xml:space="preserve">440ه-</w:t>
      </w:r>
    </w:p>
    <w:p>
      <w:pPr>
        <w:pStyle w:val="BookText"/>
      </w:pPr>
      <w:r>
        <w:rPr>
          <w:rFonts w:ascii="Amiri" w:hAnsi="Amiri" w:eastAsia="Amiri" w:cs="Amiri"/>
          <w:lang w:bidi="ar-SA"/>
          <w:color w:val="111111"/>
          <w:sz w:val="28"/>
          <w:szCs w:val="28"/>
          <w:rtl/>
        </w:rPr>
        <w:t xml:space="preserve">1 .الآثار الباقية عن القرون الخالية</w:t>
      </w:r>
    </w:p>
    <w:p>
      <w:pPr>
        <w:pStyle w:val="BookText"/>
      </w:pPr>
      <w:r>
        <w:rPr>
          <w:rFonts w:ascii="IRNazanin" w:hAnsi="IRNazanin" w:eastAsia="IRNazanin" w:cs="IRNazanin"/>
          <w:lang w:bidi="fa-IR"/>
          <w:color w:val="111111"/>
          <w:sz w:val="28"/>
          <w:szCs w:val="28"/>
          <w:rtl/>
        </w:rPr>
        <w:t xml:space="preserve">ج 1، ص 7.</w:t>
      </w:r>
    </w:p>
    <w:p>
      <w:pPr>
        <w:pStyle w:val="BookText"/>
      </w:pPr>
      <w:r>
        <w:rPr>
          <w:rFonts w:ascii="Amiri" w:hAnsi="Amiri" w:eastAsia="Amiri" w:cs="Amiri"/>
          <w:lang w:bidi="ar-SA"/>
          <w:color w:val="111111"/>
          <w:sz w:val="28"/>
          <w:szCs w:val="28"/>
          <w:rtl/>
        </w:rPr>
        <w:t xml:space="preserve">2 .الاستيعاب في الاسطرلاب، ج 2،</w:t>
      </w:r>
    </w:p>
    <w:p>
      <w:pPr>
        <w:pStyle w:val="BookText"/>
      </w:pPr>
      <w:r>
        <w:rPr>
          <w:rFonts w:ascii="IRNazanin" w:hAnsi="IRNazanin" w:eastAsia="IRNazanin" w:cs="IRNazanin"/>
          <w:lang w:bidi="fa-IR"/>
          <w:color w:val="111111"/>
          <w:sz w:val="28"/>
          <w:szCs w:val="28"/>
          <w:rtl/>
        </w:rPr>
        <w:t xml:space="preserve">ص 156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تحديد نهايات الاماكن لتصحيح مسافات المساكن، ج 3، ص 723.</w:t>
      </w:r>
    </w:p>
    <w:p>
      <w:pPr>
        <w:pStyle w:val="BookText"/>
      </w:pPr>
      <w:r>
        <w:rPr>
          <w:rFonts w:ascii="Amiri" w:hAnsi="Amiri" w:eastAsia="Amiri" w:cs="Amiri"/>
          <w:lang w:bidi="ar-SA"/>
          <w:color w:val="111111"/>
          <w:sz w:val="28"/>
          <w:szCs w:val="28"/>
          <w:rtl/>
        </w:rPr>
        <w:t xml:space="preserve">4 .التفهيم لاوائل صناعة التنجيم، ج4،</w:t>
      </w:r>
    </w:p>
    <w:p>
      <w:pPr>
        <w:pStyle w:val="BookText"/>
      </w:pPr>
      <w:r>
        <w:rPr>
          <w:rFonts w:ascii="IRNazanin" w:hAnsi="IRNazanin" w:eastAsia="IRNazanin" w:cs="IRNazanin"/>
          <w:lang w:bidi="fa-IR"/>
          <w:color w:val="111111"/>
          <w:sz w:val="28"/>
          <w:szCs w:val="28"/>
          <w:rtl/>
        </w:rPr>
        <w:t xml:space="preserve">ص 714.</w:t>
      </w:r>
    </w:p>
    <w:p>
      <w:pPr>
        <w:pStyle w:val="BookText"/>
      </w:pPr>
      <w:r>
        <w:rPr>
          <w:rFonts w:ascii="Amiri" w:hAnsi="Amiri" w:eastAsia="Amiri" w:cs="Amiri"/>
          <w:lang w:bidi="ar-SA"/>
          <w:color w:val="111111"/>
          <w:sz w:val="28"/>
          <w:szCs w:val="28"/>
          <w:rtl/>
        </w:rPr>
        <w:t xml:space="preserve">5 .الصيدنة، ج 10، ص 673.</w:t>
      </w:r>
    </w:p>
    <w:p>
      <w:pPr>
        <w:pStyle w:val="BookText"/>
      </w:pPr>
      <w:r>
        <w:rPr>
          <w:rFonts w:ascii="Amiri" w:hAnsi="Amiri" w:eastAsia="Amiri" w:cs="Amiri"/>
          <w:lang w:bidi="ar-SA"/>
          <w:color w:val="111111"/>
          <w:sz w:val="28"/>
          <w:szCs w:val="28"/>
          <w:rtl/>
        </w:rPr>
        <w:t xml:space="preserve">6 .قانون مسعودي، ج 12، ص 370.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كيفية وضع الاسطرلاب (رسالة في)</w:t>
      </w:r>
    </w:p>
    <w:p>
      <w:pPr>
        <w:pStyle w:val="BookText"/>
      </w:pPr>
      <w:r>
        <w:rPr>
          <w:rFonts w:ascii="IRNazanin" w:hAnsi="IRNazanin" w:eastAsia="IRNazanin" w:cs="IRNazanin"/>
          <w:lang w:bidi="fa-IR"/>
          <w:color w:val="111111"/>
          <w:sz w:val="28"/>
          <w:szCs w:val="28"/>
          <w:rtl/>
        </w:rPr>
        <w:t xml:space="preserve">ج 13 ، ص 485 .</w:t>
      </w:r>
    </w:p>
    <w:p>
      <w:pPr>
        <w:pStyle w:val="BookText"/>
      </w:pPr>
      <w:r>
        <w:rPr>
          <w:rFonts w:ascii="Amiri" w:hAnsi="Amiri" w:eastAsia="Amiri" w:cs="Amiri"/>
          <w:lang w:bidi="ar-SA"/>
          <w:color w:val="111111"/>
          <w:sz w:val="28"/>
          <w:szCs w:val="28"/>
          <w:rtl/>
        </w:rPr>
        <w:t xml:space="preserve">ابوزرعة عراقي عراقي ، ابوزرعة</w:t>
      </w:r>
    </w:p>
    <w:p>
      <w:pPr>
        <w:pStyle w:val="BookText"/>
      </w:pPr>
      <w:r>
        <w:rPr>
          <w:rFonts w:ascii="Amiri" w:hAnsi="Amiri" w:eastAsia="Amiri" w:cs="Amiri"/>
          <w:lang w:bidi="ar-SA"/>
          <w:color w:val="111111"/>
          <w:sz w:val="28"/>
          <w:szCs w:val="28"/>
          <w:rtl/>
        </w:rPr>
        <w:t xml:space="preserve">ابوسعيد حنفي نيشابوري - حنفي نيشابوري ، ابوسعيد</w:t>
      </w:r>
    </w:p>
    <w:p>
      <w:pPr>
        <w:pStyle w:val="Heading2"/>
      </w:pPr>
      <w:bookmarkStart w:id="1903" w:name="_Toc1005"/>
      <w:r>
        <w:t>ابوزرعه ، عبدالرحمن بن عمرو - 281ه-</w:t>
      </w:r>
      <w:bookmarkEnd w:id="1903"/>
    </w:p>
    <w:p>
      <w:pPr>
        <w:pStyle w:val="BookText"/>
      </w:pPr>
      <w:r>
        <w:rPr>
          <w:rFonts w:ascii="Amiri" w:hAnsi="Amiri" w:eastAsia="Amiri" w:cs="Amiri"/>
          <w:lang w:bidi="ar-SA"/>
          <w:color w:val="111111"/>
          <w:sz w:val="28"/>
          <w:szCs w:val="28"/>
          <w:rtl/>
        </w:rPr>
        <w:t xml:space="preserve">1 .الأحاديث و الحكايات و العلل و</w:t>
      </w:r>
    </w:p>
    <w:p>
      <w:pPr>
        <w:pStyle w:val="BookText"/>
      </w:pPr>
      <w:r>
        <w:rPr>
          <w:rFonts w:ascii="Amiri" w:hAnsi="Amiri" w:eastAsia="Amiri" w:cs="Amiri"/>
          <w:lang w:bidi="ar-SA"/>
          <w:color w:val="111111"/>
          <w:sz w:val="28"/>
          <w:szCs w:val="28"/>
          <w:rtl/>
        </w:rPr>
        <w:t xml:space="preserve">ابوسعيد خيفي خيفي ، ابوسعيد</w:t>
      </w:r>
    </w:p>
    <w:p>
      <w:pPr>
        <w:pStyle w:val="BookText"/>
      </w:pPr>
      <w:r>
        <w:rPr>
          <w:rFonts w:ascii="IRNazanin" w:hAnsi="IRNazanin" w:eastAsia="IRNazanin" w:cs="IRNazanin"/>
          <w:lang w:bidi="fa-IR"/>
          <w:color w:val="111111"/>
          <w:sz w:val="28"/>
          <w:szCs w:val="28"/>
          <w:rtl/>
        </w:rPr>
        <w:t xml:space="preserve">السؤالات، ج 1، ص 431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التاريخ، ج3، ص 537.</w:t>
      </w:r>
    </w:p>
    <w:p>
      <w:pPr>
        <w:pStyle w:val="Heading2"/>
      </w:pPr>
      <w:bookmarkStart w:id="1904" w:name="_Toc1006"/>
      <w:r>
        <w:t>ابوزيد بلخي، احمد بن سهل 235-322ه-</w:t>
      </w:r>
      <w:bookmarkEnd w:id="1904"/>
    </w:p>
    <w:p>
      <w:pPr>
        <w:pStyle w:val="BookText"/>
      </w:pPr>
      <w:r>
        <w:rPr>
          <w:rFonts w:ascii="Amiri" w:hAnsi="Amiri" w:eastAsia="Amiri" w:cs="Amiri"/>
          <w:lang w:bidi="ar-SA"/>
          <w:color w:val="111111"/>
          <w:sz w:val="28"/>
          <w:szCs w:val="28"/>
          <w:rtl/>
        </w:rPr>
        <w:t xml:space="preserve">صور الأقاليم السبعة = تقويم البلدان</w:t>
      </w:r>
    </w:p>
    <w:p>
      <w:pPr>
        <w:pStyle w:val="BookText"/>
      </w:pPr>
      <w:r>
        <w:rPr>
          <w:rFonts w:ascii="IRNazanin" w:hAnsi="IRNazanin" w:eastAsia="IRNazanin" w:cs="IRNazanin"/>
          <w:lang w:bidi="fa-IR"/>
          <w:color w:val="111111"/>
          <w:sz w:val="28"/>
          <w:szCs w:val="28"/>
          <w:rtl/>
        </w:rPr>
        <w:t xml:space="preserve">ج 10، ص 652.</w:t>
      </w:r>
    </w:p>
    <w:p>
      <w:pPr>
        <w:pStyle w:val="BookText"/>
      </w:pPr>
      <w:r>
        <w:rPr>
          <w:rFonts w:ascii="Amiri" w:hAnsi="Amiri" w:eastAsia="Amiri" w:cs="Amiri"/>
          <w:lang w:bidi="ar-SA"/>
          <w:color w:val="111111"/>
          <w:sz w:val="28"/>
          <w:szCs w:val="28"/>
          <w:rtl/>
        </w:rPr>
        <w:t xml:space="preserve">ابوسعد بن أبي السرور بن عفيف اسرائيلي- عفيف ، ابوسعد بن ابي السرور</w:t>
      </w:r>
    </w:p>
    <w:p>
      <w:pPr>
        <w:pStyle w:val="BookText"/>
      </w:pPr>
      <w:r>
        <w:rPr>
          <w:rFonts w:ascii="Amiri" w:hAnsi="Amiri" w:eastAsia="Amiri" w:cs="Amiri"/>
          <w:lang w:bidi="ar-SA"/>
          <w:color w:val="111111"/>
          <w:sz w:val="28"/>
          <w:szCs w:val="28"/>
          <w:rtl/>
        </w:rPr>
        <w:t xml:space="preserve">ابو سعد معلوي - معلوي ، ابو سعد</w:t>
      </w:r>
    </w:p>
    <w:p>
      <w:pPr>
        <w:pStyle w:val="Heading2"/>
      </w:pPr>
      <w:bookmarkStart w:id="1905" w:name="_Toc1007"/>
      <w:r>
        <w:t>ابوسعيد ابوالخير، 357 - 440 ه-</w:t>
      </w:r>
      <w:bookmarkEnd w:id="1905"/>
    </w:p>
    <w:p>
      <w:pPr>
        <w:pStyle w:val="BookText"/>
      </w:pPr>
      <w:r>
        <w:rPr>
          <w:rFonts w:ascii="IRNazanin" w:hAnsi="IRNazanin" w:eastAsia="IRNazanin" w:cs="IRNazanin"/>
          <w:lang w:bidi="fa-IR"/>
          <w:color w:val="111111"/>
          <w:sz w:val="28"/>
          <w:szCs w:val="28"/>
          <w:rtl/>
        </w:rPr>
        <w:t xml:space="preserve">1 .حصول علم و حکمت = نامه ابي</w:t>
      </w:r>
    </w:p>
    <w:p>
      <w:pPr>
        <w:pStyle w:val="BookText"/>
      </w:pPr>
      <w:r>
        <w:rPr>
          <w:rFonts w:ascii="IRNazanin" w:hAnsi="IRNazanin" w:eastAsia="IRNazanin" w:cs="IRNazanin"/>
          <w:lang w:bidi="fa-IR"/>
          <w:color w:val="111111"/>
          <w:sz w:val="28"/>
          <w:szCs w:val="28"/>
          <w:rtl/>
        </w:rPr>
        <w:t xml:space="preserve">سعید به ابن سينا، ج6، ص 670.</w:t>
      </w:r>
    </w:p>
    <w:p>
      <w:pPr>
        <w:pStyle w:val="BookText"/>
      </w:pPr>
      <w:r>
        <w:rPr>
          <w:rFonts w:ascii="Amiri" w:hAnsi="Amiri" w:eastAsia="Amiri" w:cs="Amiri"/>
          <w:lang w:bidi="ar-SA"/>
          <w:color w:val="111111"/>
          <w:sz w:val="28"/>
          <w:szCs w:val="28"/>
          <w:rtl/>
        </w:rPr>
        <w:t xml:space="preserve">2 .رباعيات ابوسعيد، ج8، ص19.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رسالة بوسعيد، ج8، ص177.</w:t>
      </w:r>
    </w:p>
    <w:p>
      <w:pPr>
        <w:pStyle w:val="BookText"/>
      </w:pPr>
      <w:r>
        <w:rPr>
          <w:rFonts w:ascii="Amiri" w:hAnsi="Amiri" w:eastAsia="Amiri" w:cs="Amiri"/>
          <w:lang w:bidi="ar-SA"/>
          <w:color w:val="111111"/>
          <w:sz w:val="28"/>
          <w:szCs w:val="28"/>
          <w:rtl/>
        </w:rPr>
        <w:t xml:space="preserve">ابوسعيد بن ابراهيم متطبب</w:t>
      </w:r>
    </w:p>
    <w:p>
      <w:pPr>
        <w:pStyle w:val="BookText"/>
      </w:pPr>
      <w:r>
        <w:rPr>
          <w:rFonts w:ascii="Amiri" w:hAnsi="Amiri" w:eastAsia="Amiri" w:cs="Amiri"/>
          <w:lang w:bidi="ar-SA"/>
          <w:color w:val="111111"/>
          <w:sz w:val="28"/>
          <w:szCs w:val="28"/>
          <w:rtl/>
        </w:rPr>
        <w:t xml:space="preserve">معري -متطبب معري ، ابوسعيد بن ابراهيم</w:t>
      </w:r>
    </w:p>
    <w:p>
      <w:pPr>
        <w:pStyle w:val="BookText"/>
      </w:pPr>
      <w:r>
        <w:rPr>
          <w:rFonts w:ascii="Amiri" w:hAnsi="Amiri" w:eastAsia="Amiri" w:cs="Amiri"/>
          <w:lang w:bidi="ar-SA"/>
          <w:color w:val="111111"/>
          <w:sz w:val="28"/>
          <w:szCs w:val="28"/>
          <w:rtl/>
        </w:rPr>
        <w:t xml:space="preserve">ابوسعيد بن ابراهيم مغربي -مغربي علائي</w:t>
      </w:r>
    </w:p>
    <w:p>
      <w:pPr>
        <w:pStyle w:val="BookText"/>
      </w:pPr>
      <w:r>
        <w:rPr>
          <w:rFonts w:ascii="Amiri" w:hAnsi="Amiri" w:eastAsia="Amiri" w:cs="Amiri"/>
          <w:lang w:bidi="ar-SA"/>
          <w:color w:val="111111"/>
          <w:sz w:val="28"/>
          <w:szCs w:val="28"/>
          <w:rtl/>
        </w:rPr>
        <w:t xml:space="preserve">ابوسعيد بن ابراهيم ابوسعيد بن مهدي سمناني - سمناني ،</w:t>
      </w:r>
    </w:p>
    <w:p>
      <w:pPr>
        <w:pStyle w:val="BookText"/>
      </w:pPr>
      <w:r>
        <w:rPr>
          <w:rFonts w:ascii="Amiri" w:hAnsi="Amiri" w:eastAsia="Amiri" w:cs="Amiri"/>
          <w:lang w:bidi="ar-SA"/>
          <w:color w:val="111111"/>
          <w:sz w:val="28"/>
          <w:szCs w:val="28"/>
          <w:rtl/>
        </w:rPr>
        <w:t xml:space="preserve">ابوسعيد بن مهدي</w:t>
      </w:r>
    </w:p>
    <w:p>
      <w:pPr>
        <w:pStyle w:val="BookText"/>
      </w:pPr>
      <w:r>
        <w:rPr>
          <w:rFonts w:ascii="Amiri" w:hAnsi="Amiri" w:eastAsia="Amiri" w:cs="Amiri"/>
          <w:lang w:bidi="ar-SA"/>
          <w:color w:val="111111"/>
          <w:sz w:val="28"/>
          <w:szCs w:val="28"/>
          <w:rtl/>
        </w:rPr>
        <w:t xml:space="preserve">ابوسعيد بن يحيى (مجتبى) يميني- يمني ،</w:t>
      </w:r>
    </w:p>
    <w:p>
      <w:pPr>
        <w:pStyle w:val="BookText"/>
      </w:pPr>
      <w:r>
        <w:rPr>
          <w:rFonts w:ascii="Amiri" w:hAnsi="Amiri" w:eastAsia="Amiri" w:cs="Amiri"/>
          <w:lang w:bidi="ar-SA"/>
          <w:color w:val="111111"/>
          <w:sz w:val="28"/>
          <w:szCs w:val="28"/>
          <w:rtl/>
        </w:rPr>
        <w:t xml:space="preserve">ابوسعيد بن يحيى</w:t>
      </w:r>
    </w:p>
    <w:p>
      <w:pPr>
        <w:pStyle w:val="Heading2"/>
      </w:pPr>
      <w:bookmarkStart w:id="1906" w:name="_Toc1008"/>
      <w:r>
        <w:t>ابوسعيد حبيب الله، قرن 11 ه-</w:t>
      </w:r>
      <w:bookmarkEnd w:id="1906"/>
    </w:p>
    <w:p>
      <w:pPr>
        <w:pStyle w:val="BookText"/>
      </w:pPr>
      <w:r>
        <w:rPr>
          <w:rFonts w:ascii="Amiri" w:hAnsi="Amiri" w:eastAsia="Amiri" w:cs="Amiri"/>
          <w:lang w:bidi="ar-SA"/>
          <w:color w:val="111111"/>
          <w:sz w:val="28"/>
          <w:szCs w:val="28"/>
          <w:rtl/>
        </w:rPr>
        <w:t xml:space="preserve">العرايس، ج 11، ص 73.</w:t>
      </w:r>
    </w:p>
    <w:p>
      <w:pPr>
        <w:pStyle w:val="BookText"/>
      </w:pPr>
      <w:r>
        <w:rPr>
          <w:rFonts w:ascii="Amiri" w:hAnsi="Amiri" w:eastAsia="Amiri" w:cs="Amiri"/>
          <w:lang w:bidi="ar-SA"/>
          <w:color w:val="111111"/>
          <w:sz w:val="28"/>
          <w:szCs w:val="28"/>
          <w:rtl/>
        </w:rPr>
        <w:t xml:space="preserve">ابوسعيد سمناني - سمناني ، ابوسعيد بن</w:t>
      </w:r>
    </w:p>
    <w:p>
      <w:pPr>
        <w:pStyle w:val="BookText"/>
      </w:pPr>
      <w:r>
        <w:rPr>
          <w:rFonts w:ascii="Amiri" w:hAnsi="Amiri" w:eastAsia="Amiri" w:cs="Amiri"/>
          <w:lang w:bidi="ar-SA"/>
          <w:color w:val="111111"/>
          <w:sz w:val="28"/>
          <w:szCs w:val="28"/>
          <w:rtl/>
        </w:rPr>
        <w:t xml:space="preserve">مهدي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5" w:name="pg7742_69652"/>
    <w:bookmarkEnd w:id="145"/>
    <w:p>
      <w:pPr>
        <w:pStyle w:val="BookText"/>
      </w:pPr>
      <w:r>
        <w:rPr>
          <w:rFonts w:ascii="Amiri" w:hAnsi="Amiri" w:eastAsia="Amiri" w:cs="Amiri"/>
          <w:lang w:bidi="ar-SA"/>
          <w:color w:val="111111"/>
          <w:sz w:val="28"/>
          <w:szCs w:val="28"/>
          <w:rtl/>
        </w:rPr>
        <w:t xml:space="preserve">ابوسعيد علائي ، خليل بن كيكلدي- علائي</w:t>
      </w:r>
    </w:p>
    <w:p>
      <w:pPr>
        <w:pStyle w:val="BookText"/>
      </w:pPr>
      <w:r>
        <w:rPr>
          <w:rFonts w:ascii="Amiri" w:hAnsi="Amiri" w:eastAsia="Amiri" w:cs="Amiri"/>
          <w:lang w:bidi="ar-SA"/>
          <w:color w:val="111111"/>
          <w:sz w:val="28"/>
          <w:szCs w:val="28"/>
          <w:rtl/>
        </w:rPr>
        <w:t xml:space="preserve">، خليل بن كيكلدي</w:t>
      </w:r>
    </w:p>
    <w:p>
      <w:pPr>
        <w:pStyle w:val="BookText"/>
      </w:pPr>
      <w:r>
        <w:rPr>
          <w:rFonts w:ascii="Amiri" w:hAnsi="Amiri" w:eastAsia="Amiri" w:cs="Amiri"/>
          <w:lang w:bidi="ar-SA"/>
          <w:color w:val="111111"/>
          <w:sz w:val="28"/>
          <w:szCs w:val="28"/>
          <w:rtl/>
        </w:rPr>
        <w:t xml:space="preserve">ابوسعيد علي بن علي حريري- حريري ،</w:t>
      </w:r>
    </w:p>
    <w:p>
      <w:pPr>
        <w:pStyle w:val="BookText"/>
      </w:pPr>
      <w:r>
        <w:rPr>
          <w:rFonts w:ascii="Amiri" w:hAnsi="Amiri" w:eastAsia="Amiri" w:cs="Amiri"/>
          <w:lang w:bidi="ar-SA"/>
          <w:color w:val="111111"/>
          <w:sz w:val="28"/>
          <w:szCs w:val="28"/>
          <w:rtl/>
        </w:rPr>
        <w:t xml:space="preserve">علي بن علي</w:t>
      </w:r>
    </w:p>
    <w:p>
      <w:pPr>
        <w:pStyle w:val="BookText"/>
      </w:pPr>
      <w:r>
        <w:rPr>
          <w:rFonts w:ascii="Amiri" w:hAnsi="Amiri" w:eastAsia="Amiri" w:cs="Amiri"/>
          <w:lang w:bidi="ar-SA"/>
          <w:color w:val="111111"/>
          <w:sz w:val="28"/>
          <w:szCs w:val="28"/>
          <w:rtl/>
        </w:rPr>
        <w:t xml:space="preserve">ابوسعيد مجددي- صوفي نقشبندي</w:t>
      </w:r>
    </w:p>
    <w:p>
      <w:pPr>
        <w:pStyle w:val="BookText"/>
      </w:pPr>
      <w:r>
        <w:rPr>
          <w:rFonts w:ascii="IRNazanin" w:hAnsi="IRNazanin" w:eastAsia="IRNazanin" w:cs="IRNazanin"/>
          <w:lang w:bidi="fa-IR"/>
          <w:color w:val="111111"/>
          <w:sz w:val="28"/>
          <w:szCs w:val="28"/>
          <w:rtl/>
        </w:rPr>
        <w:t xml:space="preserve">ابوسعید محمّد</w:t>
      </w:r>
    </w:p>
    <w:p>
      <w:pPr>
        <w:pStyle w:val="BookText"/>
      </w:pPr>
      <w:r>
        <w:rPr>
          <w:rFonts w:ascii="Amiri" w:hAnsi="Amiri" w:eastAsia="Amiri" w:cs="Amiri"/>
          <w:lang w:bidi="ar-SA"/>
          <w:color w:val="111111"/>
          <w:sz w:val="28"/>
          <w:szCs w:val="28"/>
          <w:rtl/>
        </w:rPr>
        <w:t xml:space="preserve">ابوسعيد محيي- يمني ، ابوسعيد بن يحيى</w:t>
      </w:r>
    </w:p>
    <w:p>
      <w:pPr>
        <w:pStyle w:val="BookText"/>
      </w:pPr>
      <w:r>
        <w:rPr>
          <w:rFonts w:ascii="Amiri" w:hAnsi="Amiri" w:eastAsia="Amiri" w:cs="Amiri"/>
          <w:lang w:bidi="ar-SA"/>
          <w:color w:val="111111"/>
          <w:sz w:val="28"/>
          <w:szCs w:val="28"/>
          <w:rtl/>
        </w:rPr>
        <w:t xml:space="preserve">ابوسعيد منصور بن حسين آبي- آبي ،</w:t>
      </w:r>
    </w:p>
    <w:p>
      <w:pPr>
        <w:pStyle w:val="BookText"/>
      </w:pPr>
      <w:r>
        <w:rPr>
          <w:rFonts w:ascii="Amiri" w:hAnsi="Amiri" w:eastAsia="Amiri" w:cs="Amiri"/>
          <w:lang w:bidi="ar-SA"/>
          <w:color w:val="111111"/>
          <w:sz w:val="28"/>
          <w:szCs w:val="28"/>
          <w:rtl/>
        </w:rPr>
        <w:t xml:space="preserve">منصور بن حسين</w:t>
      </w:r>
    </w:p>
    <w:p>
      <w:pPr>
        <w:pStyle w:val="Heading2"/>
      </w:pPr>
      <w:bookmarkStart w:id="1907" w:name="_Toc1009"/>
      <w:r>
        <w:t>ابوسهل جرجاني ، عيسى بن يحيى 361 -</w:t>
      </w:r>
      <w:bookmarkEnd w:id="1907"/>
    </w:p>
    <w:p>
      <w:pPr>
        <w:pStyle w:val="BookText"/>
      </w:pPr>
      <w:r>
        <w:rPr>
          <w:rFonts w:ascii="IRNazanin" w:hAnsi="IRNazanin" w:eastAsia="IRNazanin" w:cs="IRNazanin"/>
          <w:lang w:bidi="fa-IR"/>
          <w:color w:val="111111"/>
          <w:sz w:val="28"/>
          <w:szCs w:val="28"/>
          <w:rtl/>
        </w:rPr>
        <w:t xml:space="preserve">401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اظهار حكمة الله في خلق الانسان</w:t>
      </w:r>
    </w:p>
    <w:p>
      <w:pPr>
        <w:pStyle w:val="BookText"/>
      </w:pPr>
      <w:r>
        <w:rPr>
          <w:rFonts w:ascii="IRNazanin" w:hAnsi="IRNazanin" w:eastAsia="IRNazanin" w:cs="IRNazanin"/>
          <w:lang w:bidi="fa-IR"/>
          <w:color w:val="111111"/>
          <w:sz w:val="28"/>
          <w:szCs w:val="28"/>
          <w:rtl/>
        </w:rPr>
        <w:t xml:space="preserve">خلق الانسان، ج2، ص 492.</w:t>
      </w:r>
    </w:p>
    <w:p>
      <w:pPr>
        <w:pStyle w:val="BookText"/>
      </w:pPr>
      <w:r>
        <w:rPr>
          <w:rFonts w:ascii="Amiri" w:hAnsi="Amiri" w:eastAsia="Amiri" w:cs="Amiri"/>
          <w:lang w:bidi="ar-SA"/>
          <w:color w:val="111111"/>
          <w:sz w:val="28"/>
          <w:szCs w:val="28"/>
          <w:rtl/>
        </w:rPr>
        <w:t xml:space="preserve">2 .الطب الكلي، ج 10، ص791.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علم الطبيعي، ج 11، ص 250.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المائة في صناعة الطب = صناعة</w:t>
      </w:r>
    </w:p>
    <w:p>
      <w:pPr>
        <w:pStyle w:val="BookText"/>
      </w:pPr>
      <w:r>
        <w:rPr>
          <w:rFonts w:ascii="IRNazanin" w:hAnsi="IRNazanin" w:eastAsia="IRNazanin" w:cs="IRNazanin"/>
          <w:lang w:bidi="fa-IR"/>
          <w:color w:val="111111"/>
          <w:sz w:val="28"/>
          <w:szCs w:val="28"/>
          <w:rtl/>
        </w:rPr>
        <w:t xml:space="preserve">الطب، ج13، ص 695.</w:t>
      </w:r>
    </w:p>
    <w:p>
      <w:pPr>
        <w:pStyle w:val="Heading2"/>
      </w:pPr>
      <w:bookmarkStart w:id="1908" w:name="_Toc1010"/>
      <w:r>
        <w:t>ابوشامه ، عبدالرحمن بن اسماعيل 599 -</w:t>
      </w:r>
      <w:bookmarkEnd w:id="1908"/>
    </w:p>
    <w:p>
      <w:pPr>
        <w:pStyle w:val="BookText"/>
      </w:pPr>
      <w:r>
        <w:rPr>
          <w:rFonts w:ascii="IRNazanin" w:hAnsi="IRNazanin" w:eastAsia="IRNazanin" w:cs="IRNazanin"/>
          <w:lang w:bidi="fa-IR"/>
          <w:color w:val="111111"/>
          <w:sz w:val="28"/>
          <w:szCs w:val="28"/>
          <w:rtl/>
        </w:rPr>
        <w:t xml:space="preserve">665 ه-</w:t>
      </w:r>
    </w:p>
    <w:p>
      <w:pPr>
        <w:pStyle w:val="BookText"/>
      </w:pPr>
      <w:r>
        <w:rPr>
          <w:rFonts w:ascii="Amiri" w:hAnsi="Amiri" w:eastAsia="Amiri" w:cs="Amiri"/>
          <w:lang w:bidi="ar-SA"/>
          <w:color w:val="111111"/>
          <w:sz w:val="28"/>
          <w:szCs w:val="28"/>
          <w:rtl/>
        </w:rPr>
        <w:t xml:space="preserve">1 .إبراز المعاني من حرز الاماني =</w:t>
      </w:r>
    </w:p>
    <w:p>
      <w:pPr>
        <w:pStyle w:val="BookText"/>
      </w:pPr>
      <w:r>
        <w:rPr>
          <w:rFonts w:ascii="Amiri" w:hAnsi="Amiri" w:eastAsia="Amiri" w:cs="Amiri"/>
          <w:lang w:bidi="ar-SA"/>
          <w:color w:val="111111"/>
          <w:sz w:val="28"/>
          <w:szCs w:val="28"/>
          <w:rtl/>
        </w:rPr>
        <w:t xml:space="preserve">شرح حرز الاماني، ج 1، ص 97.</w:t>
      </w:r>
    </w:p>
    <w:p>
      <w:pPr>
        <w:pStyle w:val="BookText"/>
      </w:pPr>
      <w:r>
        <w:rPr>
          <w:rFonts w:ascii="Amiri" w:hAnsi="Amiri" w:eastAsia="Amiri" w:cs="Amiri"/>
          <w:lang w:bidi="ar-SA"/>
          <w:color w:val="111111"/>
          <w:sz w:val="28"/>
          <w:szCs w:val="28"/>
          <w:rtl/>
        </w:rPr>
        <w:t xml:space="preserve">2 .شرح قصيدة البردة = شرح الكواكب الدرية، ج 9، ص 844.</w:t>
      </w:r>
    </w:p>
    <w:p>
      <w:pPr>
        <w:pStyle w:val="Heading2"/>
      </w:pPr>
      <w:bookmarkStart w:id="1909" w:name="_Toc1011"/>
      <w:r>
        <w:t>ابو شجاع اصفهاني ، احمد بن حسين 433</w:t>
      </w:r>
      <w:bookmarkEnd w:id="19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488 ؟ ه-</w:t>
      </w:r>
    </w:p>
    <w:p>
      <w:pPr>
        <w:pStyle w:val="BookText"/>
      </w:pPr>
      <w:r>
        <w:rPr>
          <w:rFonts w:ascii="Amiri" w:hAnsi="Amiri" w:eastAsia="Amiri" w:cs="Amiri"/>
          <w:lang w:bidi="ar-SA"/>
          <w:color w:val="111111"/>
          <w:sz w:val="28"/>
          <w:szCs w:val="28"/>
          <w:rtl/>
        </w:rPr>
        <w:t xml:space="preserve">غاية الاختصار و نهاية الإعجاز - مختصر في الفقه على مذهب الامام شافعي، ج 11، ص 428.</w:t>
      </w:r>
    </w:p>
    <w:p>
      <w:pPr>
        <w:pStyle w:val="BookText"/>
      </w:pPr>
      <w:r>
        <w:rPr>
          <w:rFonts w:ascii="IRNazanin" w:hAnsi="IRNazanin" w:eastAsia="IRNazanin" w:cs="IRNazanin"/>
          <w:lang w:bidi="fa-IR"/>
          <w:color w:val="111111"/>
          <w:sz w:val="28"/>
          <w:szCs w:val="28"/>
          <w:rtl/>
        </w:rPr>
        <w:t xml:space="preserve">تراب</w:t>
      </w:r>
    </w:p>
    <w:p>
      <w:pPr>
        <w:pStyle w:val="BookText"/>
      </w:pPr>
      <w:r>
        <w:rPr>
          <w:rFonts w:ascii="Amiri" w:hAnsi="Amiri" w:eastAsia="Amiri" w:cs="Amiri"/>
          <w:lang w:bidi="ar-SA"/>
          <w:color w:val="111111"/>
          <w:sz w:val="28"/>
          <w:szCs w:val="28"/>
          <w:rtl/>
        </w:rPr>
        <w:t xml:space="preserve">ابوصخر ، كثير بن عبد الرحمن -عزه ، كثير</w:t>
      </w:r>
    </w:p>
    <w:p>
      <w:pPr>
        <w:pStyle w:val="BookText"/>
      </w:pPr>
      <w:r>
        <w:rPr>
          <w:rFonts w:ascii="IRNazanin" w:hAnsi="IRNazanin" w:eastAsia="IRNazanin" w:cs="IRNazanin"/>
          <w:lang w:bidi="fa-IR"/>
          <w:color w:val="111111"/>
          <w:sz w:val="28"/>
          <w:szCs w:val="28"/>
          <w:rtl/>
        </w:rPr>
        <w:t xml:space="preserve">بن عبدالرحمن</w:t>
      </w:r>
    </w:p>
    <w:p>
      <w:pPr>
        <w:pStyle w:val="Heading2"/>
      </w:pPr>
      <w:bookmarkStart w:id="1910" w:name="_Toc1012"/>
      <w:r>
        <w:t>ابوطالب اصفهاني - 1237 ه-</w:t>
      </w:r>
      <w:bookmarkEnd w:id="1910"/>
    </w:p>
    <w:p>
      <w:pPr>
        <w:pStyle w:val="BookText"/>
      </w:pPr>
      <w:r>
        <w:rPr>
          <w:rFonts w:ascii="Amiri" w:hAnsi="Amiri" w:eastAsia="Amiri" w:cs="Amiri"/>
          <w:lang w:bidi="ar-SA"/>
          <w:color w:val="111111"/>
          <w:sz w:val="28"/>
          <w:szCs w:val="28"/>
          <w:rtl/>
        </w:rPr>
        <w:t xml:space="preserve">حاشية البهجة المرضية في شرح الالفية</w:t>
      </w:r>
    </w:p>
    <w:p>
      <w:pPr>
        <w:pStyle w:val="BookText"/>
      </w:pPr>
      <w:r>
        <w:rPr>
          <w:rFonts w:ascii="IRNazanin" w:hAnsi="IRNazanin" w:eastAsia="IRNazanin" w:cs="IRNazanin"/>
          <w:lang w:bidi="fa-IR"/>
          <w:color w:val="111111"/>
          <w:sz w:val="28"/>
          <w:szCs w:val="28"/>
          <w:rtl/>
        </w:rPr>
        <w:t xml:space="preserve">ج 5، ص 710.</w:t>
      </w:r>
    </w:p>
    <w:p>
      <w:pPr>
        <w:pStyle w:val="BookText"/>
      </w:pPr>
      <w:r>
        <w:rPr>
          <w:rFonts w:ascii="Amiri" w:hAnsi="Amiri" w:eastAsia="Amiri" w:cs="Amiri"/>
          <w:lang w:bidi="ar-SA"/>
          <w:color w:val="111111"/>
          <w:sz w:val="28"/>
          <w:szCs w:val="28"/>
          <w:rtl/>
        </w:rPr>
        <w:t xml:space="preserve">ابوطالب انصاري -انصاري ، ابوطالب</w:t>
      </w:r>
    </w:p>
    <w:p>
      <w:pPr>
        <w:pStyle w:val="BookText"/>
      </w:pPr>
      <w:r>
        <w:rPr>
          <w:rFonts w:ascii="Amiri" w:hAnsi="Amiri" w:eastAsia="Amiri" w:cs="Amiri"/>
          <w:lang w:bidi="ar-SA"/>
          <w:color w:val="111111"/>
          <w:sz w:val="28"/>
          <w:szCs w:val="28"/>
          <w:rtl/>
        </w:rPr>
        <w:t xml:space="preserve">ابو طالب بن ابي القاسم موسوي</w:t>
      </w:r>
    </w:p>
    <w:p>
      <w:pPr>
        <w:pStyle w:val="BookText"/>
      </w:pPr>
      <w:r>
        <w:rPr>
          <w:rFonts w:ascii="Amiri" w:hAnsi="Amiri" w:eastAsia="Amiri" w:cs="Amiri"/>
          <w:lang w:bidi="ar-SA"/>
          <w:color w:val="111111"/>
          <w:sz w:val="28"/>
          <w:szCs w:val="28"/>
          <w:rtl/>
        </w:rPr>
        <w:t xml:space="preserve">زنجاني- موسوي زنجاني ، محمّد بن ابي القاسم</w:t>
      </w:r>
    </w:p>
    <w:p>
      <w:pPr>
        <w:pStyle w:val="BookText"/>
      </w:pPr>
      <w:r>
        <w:rPr>
          <w:rFonts w:ascii="Amiri" w:hAnsi="Amiri" w:eastAsia="Amiri" w:cs="Amiri"/>
          <w:lang w:bidi="ar-SA"/>
          <w:color w:val="111111"/>
          <w:sz w:val="28"/>
          <w:szCs w:val="28"/>
          <w:rtl/>
        </w:rPr>
        <w:t xml:space="preserve">ابو طالب بن ابي تراب حسيني</w:t>
      </w:r>
    </w:p>
    <w:p>
      <w:pPr>
        <w:pStyle w:val="BookText"/>
      </w:pPr>
      <w:r>
        <w:rPr>
          <w:rFonts w:ascii="Amiri" w:hAnsi="Amiri" w:eastAsia="Amiri" w:cs="Amiri"/>
          <w:lang w:bidi="ar-SA"/>
          <w:color w:val="111111"/>
          <w:sz w:val="28"/>
          <w:szCs w:val="28"/>
          <w:rtl/>
        </w:rPr>
        <w:t xml:space="preserve">خراساني- حسيني قائني ، ابوطالب بن ابي</w:t>
      </w:r>
    </w:p>
    <w:p>
      <w:pPr>
        <w:pStyle w:val="Heading2"/>
      </w:pPr>
      <w:bookmarkStart w:id="1911" w:name="_Toc1013"/>
      <w:r>
        <w:t>ابوطالب بن عبد المطلب، 291 - 3 قبل</w:t>
      </w:r>
      <w:bookmarkEnd w:id="1911"/>
    </w:p>
    <w:p>
      <w:pPr>
        <w:pStyle w:val="BookText"/>
      </w:pPr>
      <w:r>
        <w:rPr>
          <w:rFonts w:ascii="IRNazanin" w:hAnsi="IRNazanin" w:eastAsia="IRNazanin" w:cs="IRNazanin"/>
          <w:lang w:bidi="fa-IR"/>
          <w:color w:val="111111"/>
          <w:sz w:val="28"/>
          <w:szCs w:val="28"/>
          <w:rtl/>
        </w:rPr>
        <w:t xml:space="preserve">هجرت</w:t>
      </w:r>
    </w:p>
    <w:p>
      <w:pPr>
        <w:pStyle w:val="BookText"/>
      </w:pPr>
      <w:r>
        <w:rPr>
          <w:rFonts w:ascii="IRNazanin" w:hAnsi="IRNazanin" w:eastAsia="IRNazanin" w:cs="IRNazanin"/>
          <w:lang w:bidi="fa-IR"/>
          <w:color w:val="111111"/>
          <w:sz w:val="28"/>
          <w:szCs w:val="28"/>
          <w:rtl/>
        </w:rPr>
        <w:t xml:space="preserve">دیوان ابوطالب، ج 7، ص 556.</w:t>
      </w:r>
    </w:p>
    <w:p>
      <w:pPr>
        <w:pStyle w:val="BookText"/>
      </w:pPr>
      <w:r>
        <w:rPr>
          <w:rFonts w:ascii="Amiri" w:hAnsi="Amiri" w:eastAsia="Amiri" w:cs="Amiri"/>
          <w:lang w:bidi="ar-SA"/>
          <w:color w:val="111111"/>
          <w:sz w:val="28"/>
          <w:szCs w:val="28"/>
          <w:rtl/>
        </w:rPr>
        <w:t xml:space="preserve">ابوطالب بن عبدالمطلب حسيني همداني- حسيني همداني ، ابوطالب بن</w:t>
      </w:r>
    </w:p>
    <w:p>
      <w:pPr>
        <w:pStyle w:val="BookText"/>
      </w:pPr>
      <w:r>
        <w:rPr>
          <w:rFonts w:ascii="IRNazanin" w:hAnsi="IRNazanin" w:eastAsia="IRNazanin" w:cs="IRNazanin"/>
          <w:lang w:bidi="fa-IR"/>
          <w:color w:val="111111"/>
          <w:sz w:val="28"/>
          <w:szCs w:val="28"/>
          <w:rtl/>
        </w:rPr>
        <w:t xml:space="preserve">عبد المطلب</w:t>
      </w:r>
    </w:p>
    <w:p>
      <w:pPr>
        <w:pStyle w:val="BookText"/>
      </w:pPr>
      <w:r>
        <w:rPr>
          <w:rFonts w:ascii="Amiri" w:hAnsi="Amiri" w:eastAsia="Amiri" w:cs="Amiri"/>
          <w:lang w:bidi="ar-SA"/>
          <w:color w:val="111111"/>
          <w:sz w:val="28"/>
          <w:szCs w:val="28"/>
          <w:rtl/>
        </w:rPr>
        <w:t xml:space="preserve">ابو طالب بن محمّد حسن آراني كاشاني- آراني كاشاني ، ابوطالب بن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ابو طالب بن محمّد هادي</w:t>
      </w:r>
    </w:p>
    <w:p>
      <w:pPr>
        <w:pStyle w:val="BookText"/>
      </w:pPr>
      <w:r>
        <w:rPr>
          <w:rFonts w:ascii="Amiri" w:hAnsi="Amiri" w:eastAsia="Amiri" w:cs="Amiri"/>
          <w:lang w:bidi="ar-SA"/>
          <w:color w:val="111111"/>
          <w:sz w:val="28"/>
          <w:szCs w:val="28"/>
          <w:rtl/>
        </w:rPr>
        <w:t xml:space="preserve">قزويني -قزويني ، ابوطالب بن محمّد هادي</w:t>
      </w:r>
    </w:p>
    <w:p>
      <w:pPr>
        <w:pStyle w:val="BookText"/>
      </w:pPr>
      <w:r>
        <w:rPr>
          <w:rFonts w:ascii="Amiri" w:hAnsi="Amiri" w:eastAsia="Amiri" w:cs="Amiri"/>
          <w:lang w:bidi="ar-SA"/>
          <w:color w:val="111111"/>
          <w:sz w:val="28"/>
          <w:szCs w:val="28"/>
          <w:rtl/>
        </w:rPr>
        <w:t xml:space="preserve">ابوطالب عبد الواسع بن محمّد هادي قزويني- قزويني ، ابوطالب بن محمّد هادي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6" w:name="pg7742_69654"/>
    <w:bookmarkEnd w:id="146"/>
    <w:p>
      <w:pPr>
        <w:pStyle w:val="BookText"/>
      </w:pPr>
      <w:r>
        <w:rPr>
          <w:rFonts w:ascii="Amiri" w:hAnsi="Amiri" w:eastAsia="Amiri" w:cs="Amiri"/>
          <w:lang w:bidi="ar-SA"/>
          <w:color w:val="111111"/>
          <w:sz w:val="28"/>
          <w:szCs w:val="28"/>
          <w:rtl/>
        </w:rPr>
        <w:t xml:space="preserve">ابوطالب كليم كاشاني- كليم كاشاني ،</w:t>
      </w:r>
    </w:p>
    <w:p>
      <w:pPr>
        <w:pStyle w:val="BookText"/>
      </w:pPr>
      <w:r>
        <w:rPr>
          <w:rFonts w:ascii="IRNazanin" w:hAnsi="IRNazanin" w:eastAsia="IRNazanin" w:cs="IRNazanin"/>
          <w:lang w:bidi="fa-IR"/>
          <w:color w:val="111111"/>
          <w:sz w:val="28"/>
          <w:szCs w:val="28"/>
          <w:rtl/>
        </w:rPr>
        <w:t xml:space="preserve">ابوطالب</w:t>
      </w:r>
    </w:p>
    <w:p>
      <w:pPr>
        <w:pStyle w:val="Heading2"/>
      </w:pPr>
      <w:bookmarkStart w:id="1912" w:name="_Toc1014"/>
      <w:r>
        <w:t>ابوطالب مكي ، محمّد بن علي - 386 ه-</w:t>
      </w:r>
      <w:bookmarkEnd w:id="1912"/>
    </w:p>
    <w:p>
      <w:pPr>
        <w:pStyle w:val="BookText"/>
      </w:pPr>
      <w:r>
        <w:rPr>
          <w:rFonts w:ascii="Amiri" w:hAnsi="Amiri" w:eastAsia="Amiri" w:cs="Amiri"/>
          <w:lang w:bidi="ar-SA"/>
          <w:color w:val="111111"/>
          <w:sz w:val="28"/>
          <w:szCs w:val="28"/>
          <w:rtl/>
        </w:rPr>
        <w:t xml:space="preserve">قوت القلوب في معاملة المحبوب و وصف طريق المريد إلى مقام التوحيد</w:t>
      </w:r>
    </w:p>
    <w:p>
      <w:pPr>
        <w:pStyle w:val="BookText"/>
      </w:pPr>
      <w:r>
        <w:rPr>
          <w:rFonts w:ascii="IRNazanin" w:hAnsi="IRNazanin" w:eastAsia="IRNazanin" w:cs="IRNazanin"/>
          <w:lang w:bidi="fa-IR"/>
          <w:color w:val="111111"/>
          <w:sz w:val="28"/>
          <w:szCs w:val="28"/>
          <w:rtl/>
        </w:rPr>
        <w:t xml:space="preserve">ج 12، ص 830.</w:t>
      </w:r>
    </w:p>
    <w:p>
      <w:pPr>
        <w:pStyle w:val="BookText"/>
      </w:pPr>
      <w:r>
        <w:rPr>
          <w:rFonts w:ascii="Amiri" w:hAnsi="Amiri" w:eastAsia="Amiri" w:cs="Amiri"/>
          <w:lang w:bidi="ar-SA"/>
          <w:color w:val="111111"/>
          <w:sz w:val="28"/>
          <w:szCs w:val="28"/>
          <w:rtl/>
        </w:rPr>
        <w:t xml:space="preserve">ابوطالب همداني( كليم كاشي) -كليم</w:t>
      </w:r>
    </w:p>
    <w:p>
      <w:pPr>
        <w:pStyle w:val="BookText"/>
      </w:pPr>
      <w:r>
        <w:rPr>
          <w:rFonts w:ascii="Amiri" w:hAnsi="Amiri" w:eastAsia="Amiri" w:cs="Amiri"/>
          <w:lang w:bidi="ar-SA"/>
          <w:color w:val="111111"/>
          <w:sz w:val="28"/>
          <w:szCs w:val="28"/>
          <w:rtl/>
        </w:rPr>
        <w:t xml:space="preserve">كاشاني ، ابوطالب</w:t>
      </w:r>
    </w:p>
    <w:p>
      <w:pPr>
        <w:pStyle w:val="BookText"/>
      </w:pPr>
      <w:r>
        <w:rPr>
          <w:rFonts w:ascii="IRNazanin" w:hAnsi="IRNazanin" w:eastAsia="IRNazanin" w:cs="IRNazanin"/>
          <w:lang w:bidi="fa-IR"/>
          <w:color w:val="111111"/>
          <w:sz w:val="28"/>
          <w:szCs w:val="28"/>
          <w:rtl/>
        </w:rPr>
        <w:t xml:space="preserve">ابو عبدالله بن محمّد خطیب- خطيب ،</w:t>
      </w:r>
    </w:p>
    <w:p>
      <w:pPr>
        <w:pStyle w:val="BookText"/>
      </w:pPr>
      <w:r>
        <w:rPr>
          <w:rFonts w:ascii="IRNazanin" w:hAnsi="IRNazanin" w:eastAsia="IRNazanin" w:cs="IRNazanin"/>
          <w:lang w:bidi="fa-IR"/>
          <w:color w:val="111111"/>
          <w:sz w:val="28"/>
          <w:szCs w:val="28"/>
          <w:rtl/>
        </w:rPr>
        <w:t xml:space="preserve">ابو عبدالله بن محمّد</w:t>
      </w:r>
    </w:p>
    <w:p>
      <w:pPr>
        <w:pStyle w:val="Heading2"/>
      </w:pPr>
      <w:bookmarkStart w:id="1913" w:name="_Toc1015"/>
      <w:r>
        <w:t>ابو عبدالله شافعي ، حسن، قرن 9 ه-</w:t>
      </w:r>
      <w:bookmarkEnd w:id="1913"/>
    </w:p>
    <w:p>
      <w:pPr>
        <w:pStyle w:val="BookText"/>
      </w:pPr>
      <w:r>
        <w:rPr>
          <w:rFonts w:ascii="Amiri" w:hAnsi="Amiri" w:eastAsia="Amiri" w:cs="Amiri"/>
          <w:lang w:bidi="ar-SA"/>
          <w:color w:val="111111"/>
          <w:sz w:val="28"/>
          <w:szCs w:val="28"/>
          <w:rtl/>
        </w:rPr>
        <w:t xml:space="preserve">الطارقية، ج 10، ص732.</w:t>
      </w:r>
    </w:p>
    <w:p>
      <w:pPr>
        <w:pStyle w:val="Heading2"/>
      </w:pPr>
      <w:bookmarkStart w:id="1914" w:name="_Toc1016"/>
      <w:r>
        <w:t>ابوعبدالله محمّد بن الحاج، - 1264 ه-</w:t>
      </w:r>
      <w:bookmarkEnd w:id="1914"/>
    </w:p>
    <w:p>
      <w:pPr>
        <w:pStyle w:val="BookText"/>
      </w:pPr>
      <w:r>
        <w:rPr>
          <w:rFonts w:ascii="Amiri" w:hAnsi="Amiri" w:eastAsia="Amiri" w:cs="Amiri"/>
          <w:lang w:bidi="ar-SA"/>
          <w:color w:val="111111"/>
          <w:sz w:val="28"/>
          <w:szCs w:val="28"/>
          <w:rtl/>
        </w:rPr>
        <w:t xml:space="preserve">بلوغ القصد و المنى في خواص اسماء</w:t>
      </w:r>
    </w:p>
    <w:p>
      <w:pPr>
        <w:pStyle w:val="BookText"/>
      </w:pPr>
      <w:r>
        <w:rPr>
          <w:rFonts w:ascii="Amiri" w:hAnsi="Amiri" w:eastAsia="Amiri" w:cs="Amiri"/>
          <w:lang w:bidi="ar-SA"/>
          <w:color w:val="111111"/>
          <w:sz w:val="28"/>
          <w:szCs w:val="28"/>
          <w:rtl/>
        </w:rPr>
        <w:t xml:space="preserve">الله الحسنى - شرح القصيدة الدمياطية، ج3، ص399.</w:t>
      </w:r>
    </w:p>
    <w:p>
      <w:pPr>
        <w:pStyle w:val="Heading2"/>
      </w:pPr>
      <w:bookmarkStart w:id="1915" w:name="_Toc1017"/>
      <w:r>
        <w:t>ابو عبدالله محمّد بن زهرة</w:t>
      </w:r>
      <w:bookmarkEnd w:id="1915"/>
    </w:p>
    <w:p>
      <w:pPr>
        <w:pStyle w:val="BookText"/>
      </w:pPr>
      <w:r>
        <w:rPr>
          <w:rFonts w:ascii="Amiri" w:hAnsi="Amiri" w:eastAsia="Amiri" w:cs="Amiri"/>
          <w:lang w:bidi="ar-SA"/>
          <w:color w:val="111111"/>
          <w:sz w:val="28"/>
          <w:szCs w:val="28"/>
          <w:rtl/>
        </w:rPr>
        <w:t xml:space="preserve">تعليقة الفوائد على شرح الرافعي و الروضة، ج 4، ص 536.</w:t>
      </w:r>
    </w:p>
    <w:p>
      <w:pPr>
        <w:pStyle w:val="Heading2"/>
      </w:pPr>
      <w:bookmarkStart w:id="1916" w:name="_Toc1018"/>
      <w:r>
        <w:t>ابو عبد الله ، محمد بن یزید</w:t>
      </w:r>
      <w:bookmarkEnd w:id="1916"/>
    </w:p>
    <w:p>
      <w:pPr>
        <w:pStyle w:val="BookText"/>
      </w:pPr>
      <w:r>
        <w:rPr>
          <w:rFonts w:ascii="Amiri" w:hAnsi="Amiri" w:eastAsia="Amiri" w:cs="Amiri"/>
          <w:lang w:bidi="ar-SA"/>
          <w:color w:val="111111"/>
          <w:sz w:val="28"/>
          <w:szCs w:val="28"/>
          <w:rtl/>
        </w:rPr>
        <w:t xml:space="preserve">تاريخ الخلفاء، ج 3، ص 568.</w:t>
      </w:r>
    </w:p>
    <w:p>
      <w:pPr>
        <w:pStyle w:val="BookText"/>
      </w:pPr>
      <w:r>
        <w:rPr>
          <w:rFonts w:ascii="Amiri" w:hAnsi="Amiri" w:eastAsia="Amiri" w:cs="Amiri"/>
          <w:lang w:bidi="ar-SA"/>
          <w:color w:val="111111"/>
          <w:sz w:val="28"/>
          <w:szCs w:val="28"/>
          <w:rtl/>
        </w:rPr>
        <w:t xml:space="preserve">ابو عبدالله محمّد سيناني- سيناني ،</w:t>
      </w:r>
    </w:p>
    <w:p>
      <w:pPr>
        <w:pStyle w:val="BookText"/>
      </w:pPr>
      <w:r>
        <w:rPr>
          <w:rFonts w:ascii="IRNazanin" w:hAnsi="IRNazanin" w:eastAsia="IRNazanin" w:cs="IRNazanin"/>
          <w:lang w:bidi="fa-IR"/>
          <w:color w:val="111111"/>
          <w:sz w:val="28"/>
          <w:szCs w:val="28"/>
          <w:rtl/>
        </w:rPr>
        <w:t xml:space="preserve">ابوعبدالله محمّد</w:t>
      </w:r>
    </w:p>
    <w:p>
      <w:pPr>
        <w:pStyle w:val="BookText"/>
      </w:pPr>
      <w:r>
        <w:rPr>
          <w:rFonts w:ascii="Amiri" w:hAnsi="Amiri" w:eastAsia="Amiri" w:cs="Amiri"/>
          <w:lang w:bidi="ar-SA"/>
          <w:color w:val="111111"/>
          <w:sz w:val="28"/>
          <w:szCs w:val="28"/>
          <w:rtl/>
        </w:rPr>
        <w:t xml:space="preserve">ابوعبيد جوزجاني - جوزجاني ، عبدالواحد بن محمّد</w:t>
      </w:r>
    </w:p>
    <w:p>
      <w:pPr>
        <w:pStyle w:val="Heading2"/>
      </w:pPr>
      <w:bookmarkStart w:id="1917" w:name="_Toc1019"/>
      <w:r>
        <w:t>ابوعبیده اباضي ، مسلم بن ابي كريمه</w:t>
      </w:r>
      <w:bookmarkEnd w:id="1917"/>
    </w:p>
    <w:p>
      <w:pPr>
        <w:pStyle w:val="BookText"/>
      </w:pPr>
      <w:r>
        <w:rPr>
          <w:rFonts w:ascii="Amiri" w:hAnsi="Amiri" w:eastAsia="Amiri" w:cs="Amiri"/>
          <w:lang w:bidi="ar-SA"/>
          <w:color w:val="111111"/>
          <w:sz w:val="28"/>
          <w:szCs w:val="28"/>
          <w:rtl/>
        </w:rPr>
        <w:t xml:space="preserve">الزكاة (رسالة في)، ج 8، ص 604.</w:t>
      </w:r>
    </w:p>
    <w:p>
      <w:pPr>
        <w:pStyle w:val="Heading2"/>
      </w:pPr>
      <w:bookmarkStart w:id="1918" w:name="_Toc1020"/>
      <w:r>
        <w:t>ابوعبيد هروي ، احمد بن محمّد -401ه-</w:t>
      </w:r>
      <w:bookmarkEnd w:id="1918"/>
    </w:p>
    <w:p>
      <w:pPr>
        <w:pStyle w:val="BookText"/>
      </w:pPr>
      <w:r>
        <w:rPr>
          <w:rFonts w:ascii="IRNazanin" w:hAnsi="IRNazanin" w:eastAsia="IRNazanin" w:cs="IRNazanin"/>
          <w:lang w:bidi="fa-IR"/>
          <w:color w:val="111111"/>
          <w:sz w:val="28"/>
          <w:szCs w:val="28"/>
          <w:rtl/>
        </w:rPr>
        <w:t xml:space="preserve">الغريبين = الجمع بين الغريبين في شرح غريب القرآن و الحدیث، ج11، ص 499.</w:t>
      </w:r>
    </w:p>
    <w:p>
      <w:pPr>
        <w:pStyle w:val="Heading2"/>
      </w:pPr>
      <w:bookmarkStart w:id="1919" w:name="_Toc1021"/>
      <w:r>
        <w:t>ابوعبيد هروي ، قاسم بن سلام، 154 -</w:t>
      </w:r>
      <w:bookmarkEnd w:id="1919"/>
    </w:p>
    <w:p>
      <w:pPr>
        <w:pStyle w:val="BookText"/>
      </w:pPr>
      <w:r>
        <w:rPr>
          <w:rFonts w:ascii="IRNazanin" w:hAnsi="IRNazanin" w:eastAsia="IRNazanin" w:cs="IRNazanin"/>
          <w:lang w:bidi="fa-IR"/>
          <w:color w:val="111111"/>
          <w:sz w:val="28"/>
          <w:szCs w:val="28"/>
          <w:rtl/>
        </w:rPr>
        <w:t xml:space="preserve">224ه-</w:t>
      </w:r>
    </w:p>
    <w:p>
      <w:pPr>
        <w:pStyle w:val="BookText"/>
      </w:pPr>
      <w:r>
        <w:rPr>
          <w:rFonts w:ascii="IRNazanin" w:hAnsi="IRNazanin" w:eastAsia="IRNazanin" w:cs="IRNazanin"/>
          <w:lang w:bidi="fa-IR"/>
          <w:color w:val="111111"/>
          <w:sz w:val="28"/>
          <w:szCs w:val="28"/>
          <w:rtl/>
        </w:rPr>
        <w:t xml:space="preserve">1 .الأمثال، ج 2، ص 743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الطهارة، ج 10، ص 855.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غريب المصنف، ج 11، ص 498 .</w:t>
      </w:r>
    </w:p>
    <w:p>
      <w:pPr>
        <w:pStyle w:val="BookText"/>
      </w:pPr>
      <w:r>
        <w:rPr>
          <w:rFonts w:ascii="IRNazanin" w:hAnsi="IRNazanin" w:eastAsia="IRNazanin" w:cs="IRNazanin"/>
          <w:lang w:bidi="fa-IR"/>
          <w:color w:val="111111"/>
          <w:sz w:val="28"/>
          <w:szCs w:val="28"/>
          <w:rtl/>
        </w:rPr>
        <w:t xml:space="preserve">4 .فضائل القرآن، ج 12، ص 16 .</w:t>
      </w:r>
    </w:p>
    <w:p>
      <w:pPr>
        <w:pStyle w:val="BookText"/>
      </w:pPr>
      <w:r>
        <w:rPr>
          <w:rFonts w:ascii="Amiri" w:hAnsi="Amiri" w:eastAsia="Amiri" w:cs="Amiri"/>
          <w:lang w:bidi="ar-SA"/>
          <w:color w:val="111111"/>
          <w:sz w:val="28"/>
          <w:szCs w:val="28"/>
          <w:rtl/>
        </w:rPr>
        <w:t xml:space="preserve">ابوعلي بن عبدالجليل</w:t>
      </w:r>
    </w:p>
    <w:p>
      <w:pPr>
        <w:pStyle w:val="BookText"/>
      </w:pPr>
      <w:r>
        <w:rPr>
          <w:rFonts w:ascii="Amiri" w:hAnsi="Amiri" w:eastAsia="Amiri" w:cs="Amiri"/>
          <w:lang w:bidi="ar-SA"/>
          <w:color w:val="111111"/>
          <w:sz w:val="28"/>
          <w:szCs w:val="28"/>
          <w:rtl/>
        </w:rPr>
        <w:t xml:space="preserve">خوارزمي خوارزمي ، ابو علي بن عبدالجليل ابو علي بن محمّد باقر حسيني حسيني ،</w:t>
      </w:r>
    </w:p>
    <w:p>
      <w:pPr>
        <w:pStyle w:val="BookText"/>
      </w:pPr>
      <w:r>
        <w:rPr>
          <w:rFonts w:ascii="Amiri" w:hAnsi="Amiri" w:eastAsia="Amiri" w:cs="Amiri"/>
          <w:lang w:bidi="ar-SA"/>
          <w:color w:val="111111"/>
          <w:sz w:val="28"/>
          <w:szCs w:val="28"/>
          <w:rtl/>
        </w:rPr>
        <w:t xml:space="preserve">ابوعلي بن محمّد باقر</w:t>
      </w:r>
    </w:p>
    <w:p>
      <w:pPr>
        <w:pStyle w:val="Heading2"/>
      </w:pPr>
      <w:bookmarkStart w:id="1920" w:name="_Toc1022"/>
      <w:r>
        <w:t>ابوعلي خياط يحيى بن غالب - 250 ه-</w:t>
      </w:r>
      <w:bookmarkEnd w:id="1920"/>
    </w:p>
    <w:p>
      <w:pPr>
        <w:pStyle w:val="BookText"/>
      </w:pPr>
      <w:r>
        <w:rPr>
          <w:rFonts w:ascii="Amiri" w:hAnsi="Amiri" w:eastAsia="Amiri" w:cs="Amiri"/>
          <w:lang w:bidi="ar-SA"/>
          <w:color w:val="111111"/>
          <w:sz w:val="28"/>
          <w:szCs w:val="28"/>
          <w:rtl/>
        </w:rPr>
        <w:t xml:space="preserve">المسائل المستدلة عليها من البيوت</w:t>
      </w:r>
    </w:p>
    <w:p>
      <w:pPr>
        <w:pStyle w:val="BookText"/>
      </w:pPr>
      <w:r>
        <w:rPr>
          <w:rFonts w:ascii="Amiri" w:hAnsi="Amiri" w:eastAsia="Amiri" w:cs="Amiri"/>
          <w:lang w:bidi="ar-SA"/>
          <w:color w:val="111111"/>
          <w:sz w:val="28"/>
          <w:szCs w:val="28"/>
          <w:rtl/>
        </w:rPr>
        <w:t xml:space="preserve">الاثنى عشر و الكواكب السبعة، ج 14،</w:t>
      </w:r>
    </w:p>
    <w:p>
      <w:pPr>
        <w:pStyle w:val="BookText"/>
      </w:pPr>
      <w:r>
        <w:rPr>
          <w:rFonts w:ascii="IRNazanin" w:hAnsi="IRNazanin" w:eastAsia="IRNazanin" w:cs="IRNazanin"/>
          <w:lang w:bidi="fa-IR"/>
          <w:color w:val="111111"/>
          <w:sz w:val="28"/>
          <w:szCs w:val="28"/>
          <w:rtl/>
        </w:rPr>
        <w:t xml:space="preserve">ص 488 .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7" w:name="pg7742_69656"/>
    <w:bookmarkEnd w:id="147"/>
    <w:p>
      <w:pPr>
        <w:pStyle w:val="BookText"/>
      </w:pPr>
      <w:r>
        <w:rPr>
          <w:rFonts w:ascii="Amiri" w:hAnsi="Amiri" w:eastAsia="Amiri" w:cs="Amiri"/>
          <w:lang w:bidi="ar-SA"/>
          <w:color w:val="111111"/>
          <w:sz w:val="28"/>
          <w:szCs w:val="28"/>
          <w:rtl/>
        </w:rPr>
        <w:t xml:space="preserve">ابو علي رضوي -رضوي ، ابو علي</w:t>
      </w:r>
    </w:p>
    <w:p>
      <w:pPr>
        <w:pStyle w:val="BookText"/>
      </w:pPr>
      <w:r>
        <w:rPr>
          <w:rFonts w:ascii="Amiri" w:hAnsi="Amiri" w:eastAsia="Amiri" w:cs="Amiri"/>
          <w:lang w:bidi="ar-SA"/>
          <w:color w:val="111111"/>
          <w:sz w:val="28"/>
          <w:szCs w:val="28"/>
          <w:rtl/>
        </w:rPr>
        <w:t xml:space="preserve">ابو علي سينا -ابن سينا ، حسين بن عبدالله</w:t>
      </w:r>
    </w:p>
    <w:p>
      <w:pPr>
        <w:pStyle w:val="Heading2"/>
      </w:pPr>
      <w:bookmarkStart w:id="1921" w:name="_Toc1023"/>
      <w:r>
        <w:t>ابوفراس حمداني ، حارث بن سعید، 320؟</w:t>
      </w:r>
      <w:bookmarkEnd w:id="19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357 ه-</w:t>
      </w:r>
    </w:p>
    <w:p>
      <w:pPr>
        <w:pStyle w:val="BookText"/>
      </w:pPr>
      <w:r>
        <w:rPr>
          <w:rFonts w:ascii="IRNazanin" w:hAnsi="IRNazanin" w:eastAsia="IRNazanin" w:cs="IRNazanin"/>
          <w:lang w:bidi="fa-IR"/>
          <w:color w:val="111111"/>
          <w:sz w:val="28"/>
          <w:szCs w:val="28"/>
          <w:rtl/>
        </w:rPr>
        <w:t xml:space="preserve">دیوان ابوفراس، ج 7، ص 558</w:t>
      </w:r>
    </w:p>
    <w:p>
      <w:pPr>
        <w:pStyle w:val="Heading2"/>
      </w:pPr>
      <w:bookmarkStart w:id="1922" w:name="_Toc1024"/>
      <w:r>
        <w:t>ابوکامل ، شجاع بن اسلم - 340 ه-</w:t>
      </w:r>
      <w:bookmarkEnd w:id="1922"/>
    </w:p>
    <w:p>
      <w:pPr>
        <w:pStyle w:val="BookText"/>
      </w:pPr>
      <w:r>
        <w:rPr>
          <w:rFonts w:ascii="Amiri" w:hAnsi="Amiri" w:eastAsia="Amiri" w:cs="Amiri"/>
          <w:lang w:bidi="ar-SA"/>
          <w:color w:val="111111"/>
          <w:sz w:val="28"/>
          <w:szCs w:val="28"/>
          <w:rtl/>
        </w:rPr>
        <w:t xml:space="preserve">الوصايا بالجذور، ج 16، ص 797.</w:t>
      </w:r>
    </w:p>
    <w:p>
      <w:pPr>
        <w:pStyle w:val="BookText"/>
      </w:pPr>
      <w:r>
        <w:rPr>
          <w:rFonts w:ascii="IRNazanin" w:hAnsi="IRNazanin" w:eastAsia="IRNazanin" w:cs="IRNazanin"/>
          <w:lang w:bidi="fa-IR"/>
          <w:color w:val="111111"/>
          <w:sz w:val="28"/>
          <w:szCs w:val="28"/>
          <w:rtl/>
        </w:rPr>
        <w:t xml:space="preserve">ابوكمال وزیر وزیر ، ابوکمال</w:t>
      </w:r>
    </w:p>
    <w:p>
      <w:pPr>
        <w:pStyle w:val="Heading2"/>
      </w:pPr>
      <w:bookmarkStart w:id="1923" w:name="_Toc1025"/>
      <w:r>
        <w:t>ابومجلي مكي ، محمّد بن حسن قرن 13</w:t>
      </w:r>
      <w:bookmarkEnd w:id="1923"/>
    </w:p>
    <w:p>
      <w:pPr>
        <w:pStyle w:val="BookText"/>
      </w:pPr>
      <w:r>
        <w:rPr>
          <w:rFonts w:ascii="Amiri" w:hAnsi="Amiri" w:eastAsia="Amiri" w:cs="Amiri"/>
          <w:lang w:bidi="ar-SA"/>
          <w:color w:val="111111"/>
          <w:sz w:val="28"/>
          <w:szCs w:val="28"/>
          <w:rtl/>
        </w:rPr>
        <w:t xml:space="preserve">توضيح المسالك إلى احكام المناسك،</w:t>
      </w:r>
    </w:p>
    <w:p>
      <w:pPr>
        <w:pStyle w:val="BookText"/>
      </w:pPr>
      <w:r>
        <w:rPr>
          <w:rFonts w:ascii="IRNazanin" w:hAnsi="IRNazanin" w:eastAsia="IRNazanin" w:cs="IRNazanin"/>
          <w:lang w:bidi="fa-IR"/>
          <w:color w:val="111111"/>
          <w:sz w:val="28"/>
          <w:szCs w:val="28"/>
          <w:rtl/>
        </w:rPr>
        <w:t xml:space="preserve">ج 5، ص 181.</w:t>
      </w:r>
    </w:p>
    <w:p>
      <w:pPr>
        <w:pStyle w:val="Heading2"/>
      </w:pPr>
      <w:bookmarkStart w:id="1924" w:name="_Toc1026"/>
      <w:r>
        <w:t>ابو محجن قرن 5 ه-</w:t>
      </w:r>
      <w:bookmarkEnd w:id="1924"/>
    </w:p>
    <w:p>
      <w:pPr>
        <w:pStyle w:val="BookText"/>
      </w:pPr>
      <w:r>
        <w:rPr>
          <w:rFonts w:ascii="Amiri" w:hAnsi="Amiri" w:eastAsia="Amiri" w:cs="Amiri"/>
          <w:lang w:bidi="ar-SA"/>
          <w:color w:val="111111"/>
          <w:sz w:val="28"/>
          <w:szCs w:val="28"/>
          <w:rtl/>
        </w:rPr>
        <w:t xml:space="preserve">المستهل من يتيمة الدهر، ج 14</w:t>
      </w:r>
    </w:p>
    <w:p>
      <w:pPr>
        <w:pStyle w:val="BookText"/>
      </w:pPr>
      <w:r>
        <w:rPr>
          <w:rFonts w:ascii="IRNazanin" w:hAnsi="IRNazanin" w:eastAsia="IRNazanin" w:cs="IRNazanin"/>
          <w:lang w:bidi="fa-IR"/>
          <w:color w:val="111111"/>
          <w:sz w:val="28"/>
          <w:szCs w:val="28"/>
          <w:rtl/>
        </w:rPr>
        <w:t xml:space="preserve">ص 569 .</w:t>
      </w:r>
    </w:p>
    <w:p>
      <w:pPr>
        <w:pStyle w:val="Heading2"/>
      </w:pPr>
      <w:bookmarkStart w:id="1925" w:name="_Toc1027"/>
      <w:r>
        <w:t>ابو محمّد تميمي ، عبد الواحد بن</w:t>
      </w:r>
      <w:bookmarkEnd w:id="1925"/>
    </w:p>
    <w:p>
      <w:pPr>
        <w:pStyle w:val="BookText"/>
      </w:pPr>
      <w:r>
        <w:rPr>
          <w:rFonts w:ascii="Amiri" w:hAnsi="Amiri" w:eastAsia="Amiri" w:cs="Amiri"/>
          <w:lang w:bidi="ar-SA"/>
          <w:color w:val="111111"/>
          <w:sz w:val="28"/>
          <w:szCs w:val="28"/>
          <w:rtl/>
        </w:rPr>
        <w:t xml:space="preserve">عبد الرحيم قرن 9 ه- خواص البردة، ج 7، ص173.</w:t>
      </w:r>
    </w:p>
    <w:p>
      <w:pPr>
        <w:pStyle w:val="BookText"/>
      </w:pPr>
      <w:r>
        <w:rPr>
          <w:rFonts w:ascii="Amiri" w:hAnsi="Amiri" w:eastAsia="Amiri" w:cs="Amiri"/>
          <w:lang w:bidi="ar-SA"/>
          <w:color w:val="111111"/>
          <w:sz w:val="28"/>
          <w:szCs w:val="28"/>
          <w:rtl/>
        </w:rPr>
        <w:t xml:space="preserve">ابو محمّد يمني يمني ، ابو محمّد</w:t>
      </w:r>
    </w:p>
    <w:p>
      <w:pPr>
        <w:pStyle w:val="Heading2"/>
      </w:pPr>
      <w:bookmarkStart w:id="1926" w:name="_Toc1028"/>
      <w:r>
        <w:t>ابو مخنف ، لوط بن يحيى - 157 ه-</w:t>
      </w:r>
      <w:bookmarkEnd w:id="1926"/>
    </w:p>
    <w:p>
      <w:pPr>
        <w:pStyle w:val="BookText"/>
      </w:pPr>
      <w:r>
        <w:rPr>
          <w:rFonts w:ascii="Amiri" w:hAnsi="Amiri" w:eastAsia="Amiri" w:cs="Amiri"/>
          <w:lang w:bidi="ar-SA"/>
          <w:color w:val="111111"/>
          <w:sz w:val="28"/>
          <w:szCs w:val="28"/>
          <w:rtl/>
        </w:rPr>
        <w:t xml:space="preserve">1 .اخذ الثار و انتصار في قصة المختار</w:t>
      </w:r>
    </w:p>
    <w:p>
      <w:pPr>
        <w:pStyle w:val="BookText"/>
      </w:pPr>
      <w:r>
        <w:rPr>
          <w:rFonts w:ascii="IRNazanin" w:hAnsi="IRNazanin" w:eastAsia="IRNazanin" w:cs="IRNazanin"/>
          <w:lang w:bidi="fa-IR"/>
          <w:color w:val="111111"/>
          <w:sz w:val="28"/>
          <w:szCs w:val="28"/>
          <w:rtl/>
        </w:rPr>
        <w:t xml:space="preserve">ج 1، ص 567.</w:t>
      </w:r>
    </w:p>
    <w:p>
      <w:pPr>
        <w:pStyle w:val="BookText"/>
      </w:pPr>
      <w:r>
        <w:rPr>
          <w:rFonts w:ascii="Amiri" w:hAnsi="Amiri" w:eastAsia="Amiri" w:cs="Amiri"/>
          <w:lang w:bidi="ar-SA"/>
          <w:color w:val="111111"/>
          <w:sz w:val="28"/>
          <w:szCs w:val="28"/>
          <w:rtl/>
        </w:rPr>
        <w:t xml:space="preserve">2 .الاراجيز و الابيات في كتاب مقتل الحسين بن علي بن ابي طالب، ج1،</w:t>
      </w:r>
    </w:p>
    <w:p>
      <w:pPr>
        <w:pStyle w:val="BookText"/>
      </w:pPr>
      <w:r>
        <w:rPr>
          <w:rFonts w:ascii="Amiri" w:hAnsi="Amiri" w:eastAsia="Amiri" w:cs="Amiri"/>
          <w:lang w:bidi="ar-SA"/>
          <w:color w:val="111111"/>
          <w:sz w:val="28"/>
          <w:szCs w:val="28"/>
          <w:rtl/>
        </w:rPr>
        <w:t xml:space="preserve">ابوطالب كليم - ابومعشر 167</w:t>
      </w:r>
    </w:p>
    <w:p>
      <w:pPr>
        <w:pStyle w:val="BookText"/>
      </w:pPr>
      <w:r>
        <w:rPr>
          <w:rFonts w:ascii="IRNazanin" w:hAnsi="IRNazanin" w:eastAsia="IRNazanin" w:cs="IRNazanin"/>
          <w:lang w:bidi="fa-IR"/>
          <w:color w:val="111111"/>
          <w:sz w:val="28"/>
          <w:szCs w:val="28"/>
          <w:rtl/>
        </w:rPr>
        <w:t xml:space="preserve">ص 676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اصول السفاح (رسالة في)، ج2،</w:t>
      </w:r>
    </w:p>
    <w:p>
      <w:pPr>
        <w:pStyle w:val="BookText"/>
      </w:pPr>
      <w:r>
        <w:rPr>
          <w:rFonts w:ascii="IRNazanin" w:hAnsi="IRNazanin" w:eastAsia="IRNazanin" w:cs="IRNazanin"/>
          <w:lang w:bidi="fa-IR"/>
          <w:color w:val="111111"/>
          <w:sz w:val="28"/>
          <w:szCs w:val="28"/>
          <w:rtl/>
        </w:rPr>
        <w:t xml:space="preserve">ص 423 .</w:t>
      </w:r>
    </w:p>
    <w:p>
      <w:pPr>
        <w:pStyle w:val="BookText"/>
      </w:pPr>
      <w:r>
        <w:rPr>
          <w:rFonts w:ascii="Amiri" w:hAnsi="Amiri" w:eastAsia="Amiri" w:cs="Amiri"/>
          <w:lang w:bidi="ar-SA"/>
          <w:color w:val="111111"/>
          <w:sz w:val="28"/>
          <w:szCs w:val="28"/>
          <w:rtl/>
        </w:rPr>
        <w:t xml:space="preserve">4 .بحر الانساب = كنز الانساب = بحر النصاب والمصاب، ج 3، ص 205.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قصة السفاح، ج 12، ص 611.</w:t>
      </w:r>
    </w:p>
    <w:p>
      <w:pPr>
        <w:pStyle w:val="BookText"/>
      </w:pPr>
      <w:r>
        <w:rPr>
          <w:rFonts w:ascii="Amiri" w:hAnsi="Amiri" w:eastAsia="Amiri" w:cs="Amiri"/>
          <w:lang w:bidi="ar-SA"/>
          <w:color w:val="111111"/>
          <w:sz w:val="28"/>
          <w:szCs w:val="28"/>
          <w:rtl/>
        </w:rPr>
        <w:t xml:space="preserve">6 .مقتل الحسين = مقتل ابي مخنف = مصرع الحسين و ماجرى له و</w:t>
      </w:r>
    </w:p>
    <w:p>
      <w:pPr>
        <w:pStyle w:val="BookText"/>
      </w:pPr>
      <w:r>
        <w:rPr>
          <w:rFonts w:ascii="Amiri" w:hAnsi="Amiri" w:eastAsia="Amiri" w:cs="Amiri"/>
          <w:lang w:bidi="ar-SA"/>
          <w:color w:val="111111"/>
          <w:sz w:val="28"/>
          <w:szCs w:val="28"/>
          <w:rtl/>
        </w:rPr>
        <w:t xml:space="preserve">لاهل بيته، ج 15، ص 337.</w:t>
      </w:r>
    </w:p>
    <w:p>
      <w:pPr>
        <w:pStyle w:val="Heading2"/>
      </w:pPr>
      <w:bookmarkStart w:id="1927" w:name="_Toc1029"/>
      <w:r>
        <w:t>ابومدين مغربي ، شعيب بن حسن، 520 -</w:t>
      </w:r>
      <w:bookmarkEnd w:id="1927"/>
    </w:p>
    <w:p>
      <w:pPr>
        <w:pStyle w:val="BookText"/>
      </w:pPr>
      <w:r>
        <w:rPr>
          <w:rFonts w:ascii="IRNazanin" w:hAnsi="IRNazanin" w:eastAsia="IRNazanin" w:cs="IRNazanin"/>
          <w:lang w:bidi="fa-IR"/>
          <w:color w:val="111111"/>
          <w:sz w:val="28"/>
          <w:szCs w:val="28"/>
          <w:rtl/>
        </w:rPr>
        <w:t xml:space="preserve">594 ه-</w:t>
      </w:r>
    </w:p>
    <w:p>
      <w:pPr>
        <w:pStyle w:val="BookText"/>
      </w:pPr>
      <w:r>
        <w:rPr>
          <w:rFonts w:ascii="Amiri" w:hAnsi="Amiri" w:eastAsia="Amiri" w:cs="Amiri"/>
          <w:lang w:bidi="ar-SA"/>
          <w:color w:val="111111"/>
          <w:sz w:val="28"/>
          <w:szCs w:val="28"/>
          <w:rtl/>
        </w:rPr>
        <w:t xml:space="preserve">1 .حزب ابومدين = القصيدة الرائية</w:t>
      </w:r>
    </w:p>
    <w:p>
      <w:pPr>
        <w:pStyle w:val="BookText"/>
      </w:pPr>
      <w:r>
        <w:rPr>
          <w:rFonts w:ascii="IRNazanin" w:hAnsi="IRNazanin" w:eastAsia="IRNazanin" w:cs="IRNazanin"/>
          <w:lang w:bidi="fa-IR"/>
          <w:color w:val="111111"/>
          <w:sz w:val="28"/>
          <w:szCs w:val="28"/>
          <w:rtl/>
        </w:rPr>
        <w:t xml:space="preserve">ج 6، ص 625 .</w:t>
      </w:r>
    </w:p>
    <w:p>
      <w:pPr>
        <w:pStyle w:val="BookText"/>
      </w:pPr>
      <w:r>
        <w:rPr>
          <w:rFonts w:ascii="Amiri" w:hAnsi="Amiri" w:eastAsia="Amiri" w:cs="Amiri"/>
          <w:lang w:bidi="ar-SA"/>
          <w:color w:val="111111"/>
          <w:sz w:val="28"/>
          <w:szCs w:val="28"/>
          <w:rtl/>
        </w:rPr>
        <w:t xml:space="preserve">2 .القصيدة الاستغفارية، ج 12،</w:t>
      </w:r>
    </w:p>
    <w:p>
      <w:pPr>
        <w:pStyle w:val="BookText"/>
      </w:pPr>
      <w:r>
        <w:rPr>
          <w:rFonts w:ascii="IRNazanin" w:hAnsi="IRNazanin" w:eastAsia="IRNazanin" w:cs="IRNazanin"/>
          <w:lang w:bidi="fa-IR"/>
          <w:color w:val="111111"/>
          <w:sz w:val="28"/>
          <w:szCs w:val="28"/>
          <w:rtl/>
        </w:rPr>
        <w:t xml:space="preserve">ص 649 .</w:t>
      </w:r>
    </w:p>
    <w:p>
      <w:pPr>
        <w:pStyle w:val="BookText"/>
      </w:pPr>
      <w:r>
        <w:rPr>
          <w:rFonts w:ascii="IRNazanin" w:hAnsi="IRNazanin" w:eastAsia="IRNazanin" w:cs="IRNazanin"/>
          <w:lang w:bidi="fa-IR"/>
          <w:color w:val="111111"/>
          <w:sz w:val="28"/>
          <w:szCs w:val="28"/>
          <w:rtl/>
        </w:rPr>
        <w:t xml:space="preserve">ابو مسهل ، کمیت بن زید کمیت بن زید</w:t>
      </w:r>
    </w:p>
    <w:p>
      <w:pPr>
        <w:pStyle w:val="Heading2"/>
      </w:pPr>
      <w:bookmarkStart w:id="1928" w:name="_Toc1030"/>
      <w:r>
        <w:t>ابو معشر فلكي ، جعفر بن محمد، 172 -</w:t>
      </w:r>
      <w:bookmarkEnd w:id="1928"/>
    </w:p>
    <w:p>
      <w:pPr>
        <w:pStyle w:val="BookText"/>
      </w:pPr>
      <w:r>
        <w:rPr>
          <w:rFonts w:ascii="IRNazanin" w:hAnsi="IRNazanin" w:eastAsia="IRNazanin" w:cs="IRNazanin"/>
          <w:lang w:bidi="fa-IR"/>
          <w:color w:val="111111"/>
          <w:sz w:val="28"/>
          <w:szCs w:val="28"/>
          <w:rtl/>
        </w:rPr>
        <w:t xml:space="preserve">272ه-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احكام تحويل سني العالم، ج1،</w:t>
      </w:r>
    </w:p>
    <w:p>
      <w:pPr>
        <w:pStyle w:val="BookText"/>
      </w:pPr>
      <w:r>
        <w:rPr>
          <w:rFonts w:ascii="IRNazanin" w:hAnsi="IRNazanin" w:eastAsia="IRNazanin" w:cs="IRNazanin"/>
          <w:lang w:bidi="fa-IR"/>
          <w:color w:val="111111"/>
          <w:sz w:val="28"/>
          <w:szCs w:val="28"/>
          <w:rtl/>
        </w:rPr>
        <w:t xml:space="preserve">ص 462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مواليد، ج 1، ص 485 .</w:t>
      </w:r>
    </w:p>
    <w:p>
      <w:pPr>
        <w:pStyle w:val="BookText"/>
      </w:pPr>
      <w:r>
        <w:rPr>
          <w:rFonts w:ascii="IRNazanin" w:hAnsi="IRNazanin" w:eastAsia="IRNazanin" w:cs="IRNazanin"/>
          <w:lang w:bidi="fa-IR"/>
          <w:color w:val="111111"/>
          <w:sz w:val="28"/>
          <w:szCs w:val="28"/>
          <w:rtl/>
        </w:rPr>
        <w:t xml:space="preserve">اسرار النجوم، ج 2، ص182</w:t>
      </w:r>
    </w:p>
    <w:p>
      <w:pPr>
        <w:pStyle w:val="BookText"/>
      </w:pPr>
      <w:r>
        <w:rPr>
          <w:rFonts w:ascii="Amiri" w:hAnsi="Amiri" w:eastAsia="Amiri" w:cs="Amiri"/>
          <w:lang w:bidi="ar-SA"/>
          <w:color w:val="111111"/>
          <w:sz w:val="28"/>
          <w:szCs w:val="28"/>
          <w:rtl/>
        </w:rPr>
        <w:t xml:space="preserve">4 .بغية الطالب في معرفة الضمير</w:t>
      </w:r>
    </w:p>
    <w:p>
      <w:pPr>
        <w:pStyle w:val="BookText"/>
      </w:pPr>
      <w:r>
        <w:rPr>
          <w:rFonts w:ascii="IRNazanin" w:hAnsi="IRNazanin" w:eastAsia="IRNazanin" w:cs="IRNazanin"/>
          <w:lang w:bidi="fa-IR"/>
          <w:color w:val="111111"/>
          <w:sz w:val="28"/>
          <w:szCs w:val="28"/>
          <w:rtl/>
        </w:rPr>
        <w:t xml:space="preserve">المطلوب، ج 3، ص 369.</w:t>
      </w:r>
    </w:p>
    <w:p>
      <w:pPr>
        <w:pStyle w:val="BookText"/>
      </w:pPr>
      <w:r>
        <w:rPr>
          <w:rFonts w:ascii="IRNazanin" w:hAnsi="IRNazanin" w:eastAsia="IRNazanin" w:cs="IRNazanin"/>
          <w:lang w:bidi="fa-IR"/>
          <w:color w:val="111111"/>
          <w:sz w:val="28"/>
          <w:szCs w:val="28"/>
          <w:rtl/>
        </w:rPr>
        <w:t xml:space="preserve">5 .الدلائل و القرانات = الدلالات، ج 7،</w:t>
      </w:r>
    </w:p>
    <w:p>
      <w:pPr>
        <w:pStyle w:val="BookText"/>
      </w:pPr>
      <w:r>
        <w:rPr>
          <w:rFonts w:ascii="IRNazanin" w:hAnsi="IRNazanin" w:eastAsia="IRNazanin" w:cs="IRNazanin"/>
          <w:lang w:bidi="fa-IR"/>
          <w:color w:val="111111"/>
          <w:sz w:val="28"/>
          <w:szCs w:val="28"/>
          <w:rtl/>
        </w:rPr>
        <w:t xml:space="preserve">ص 462 .</w:t>
      </w:r>
    </w:p>
    <w:p>
      <w:pPr>
        <w:pStyle w:val="BookText"/>
      </w:pPr>
      <w:r>
        <w:rPr>
          <w:rFonts w:ascii="IRNazanin" w:hAnsi="IRNazanin" w:eastAsia="IRNazanin" w:cs="IRNazanin"/>
          <w:lang w:bidi="fa-IR"/>
          <w:color w:val="111111"/>
          <w:sz w:val="28"/>
          <w:szCs w:val="28"/>
          <w:rtl/>
        </w:rPr>
        <w:t xml:space="preserve">6 .روزنامه - ساعت نامه = مختصر</w:t>
      </w:r>
    </w:p>
    <w:p>
      <w:pPr>
        <w:pStyle w:val="BookText"/>
      </w:pPr>
      <w:r>
        <w:rPr>
          <w:rFonts w:ascii="IRNazanin" w:hAnsi="IRNazanin" w:eastAsia="IRNazanin" w:cs="IRNazanin"/>
          <w:lang w:bidi="fa-IR"/>
          <w:color w:val="111111"/>
          <w:sz w:val="28"/>
          <w:szCs w:val="28"/>
          <w:rtl/>
        </w:rPr>
        <w:t xml:space="preserve">نامه، ج8، ص391.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8" w:name="pg7742_69658"/>
    <w:bookmarkEnd w:id="148"/>
    <w:p>
      <w:pPr>
        <w:pStyle w:val="BookText"/>
      </w:pPr>
      <w:r>
        <w:rPr>
          <w:rFonts w:ascii="IRNazanin" w:hAnsi="IRNazanin" w:eastAsia="IRNazanin" w:cs="IRNazanin"/>
          <w:lang w:bidi="fa-IR"/>
          <w:color w:val="111111"/>
          <w:sz w:val="28"/>
          <w:szCs w:val="28"/>
          <w:rtl/>
        </w:rPr>
        <w:t xml:space="preserve">7.السر، ج8، ص723.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طالع المولود للرجال والنساء على البروج و طوالعها على ثلثة وجوه ج 10، ص 733.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المدخل إلى علم احكام النجوم</w:t>
      </w:r>
    </w:p>
    <w:p>
      <w:pPr>
        <w:pStyle w:val="BookText"/>
      </w:pPr>
      <w:r>
        <w:rPr>
          <w:rFonts w:ascii="IRNazanin" w:hAnsi="IRNazanin" w:eastAsia="IRNazanin" w:cs="IRNazanin"/>
          <w:lang w:bidi="fa-IR"/>
          <w:color w:val="111111"/>
          <w:sz w:val="28"/>
          <w:szCs w:val="28"/>
          <w:rtl/>
        </w:rPr>
        <w:t xml:space="preserve">ج 14 ، ص 325.</w:t>
      </w:r>
    </w:p>
    <w:p>
      <w:pPr>
        <w:pStyle w:val="Heading2"/>
      </w:pPr>
      <w:bookmarkStart w:id="1929" w:name="_Toc1031"/>
      <w:r>
        <w:t>ابومنصور ق ، حسن بن نوح، - 380 ه-</w:t>
      </w:r>
      <w:bookmarkEnd w:id="1929"/>
    </w:p>
    <w:p>
      <w:pPr>
        <w:pStyle w:val="BookText"/>
      </w:pPr>
      <w:r>
        <w:rPr>
          <w:rFonts w:ascii="Amiri" w:hAnsi="Amiri" w:eastAsia="Amiri" w:cs="Amiri"/>
          <w:lang w:bidi="ar-SA"/>
          <w:color w:val="111111"/>
          <w:sz w:val="28"/>
          <w:szCs w:val="28"/>
          <w:rtl/>
        </w:rPr>
        <w:t xml:space="preserve">1 .اسامة العلل، ج 2، ص79.</w:t>
      </w:r>
    </w:p>
    <w:p>
      <w:pPr>
        <w:pStyle w:val="BookText"/>
      </w:pPr>
      <w:r>
        <w:rPr>
          <w:rFonts w:ascii="Amiri" w:hAnsi="Amiri" w:eastAsia="Amiri" w:cs="Amiri"/>
          <w:lang w:bidi="ar-SA"/>
          <w:color w:val="111111"/>
          <w:sz w:val="28"/>
          <w:szCs w:val="28"/>
          <w:rtl/>
        </w:rPr>
        <w:t xml:space="preserve">2 .الغني و المني = كناش ق = الغني 257 ؟ ه-</w:t>
      </w:r>
    </w:p>
    <w:p>
      <w:pPr>
        <w:pStyle w:val="BookText"/>
      </w:pPr>
      <w:r>
        <w:rPr>
          <w:rFonts w:ascii="Amiri" w:hAnsi="Amiri" w:eastAsia="Amiri" w:cs="Amiri"/>
          <w:lang w:bidi="ar-SA"/>
          <w:color w:val="111111"/>
          <w:sz w:val="28"/>
          <w:szCs w:val="28"/>
          <w:rtl/>
        </w:rPr>
        <w:t xml:space="preserve">في الطب، ج11، ص 538.</w:t>
      </w:r>
    </w:p>
    <w:p>
      <w:pPr>
        <w:pStyle w:val="Heading2"/>
      </w:pPr>
      <w:bookmarkStart w:id="1930" w:name="_Toc1032"/>
      <w:r>
        <w:t>ابوموسی موصلي ، جعفر بن مكي - 711</w:t>
      </w:r>
      <w:bookmarkEnd w:id="1930"/>
    </w:p>
    <w:p>
      <w:pPr>
        <w:pStyle w:val="BookText"/>
      </w:pPr>
      <w:r>
        <w:rPr>
          <w:rFonts w:ascii="Amiri" w:hAnsi="Amiri" w:eastAsia="Amiri" w:cs="Amiri"/>
          <w:lang w:bidi="ar-SA"/>
          <w:color w:val="111111"/>
          <w:sz w:val="28"/>
          <w:szCs w:val="28"/>
          <w:rtl/>
        </w:rPr>
        <w:t xml:space="preserve">الكامل الفريد في التجريد والتفريد مفردات القراء السبعة، ج13، ص73.</w:t>
      </w:r>
    </w:p>
    <w:p>
      <w:pPr>
        <w:pStyle w:val="Heading2"/>
      </w:pPr>
      <w:bookmarkStart w:id="1931" w:name="_Toc1033"/>
      <w:r>
        <w:t>ابو نصر داود</w:t>
      </w:r>
      <w:bookmarkEnd w:id="1931"/>
    </w:p>
    <w:p>
      <w:pPr>
        <w:pStyle w:val="BookText"/>
      </w:pPr>
      <w:r>
        <w:rPr>
          <w:rFonts w:ascii="Amiri" w:hAnsi="Amiri" w:eastAsia="Amiri" w:cs="Amiri"/>
          <w:lang w:bidi="ar-SA"/>
          <w:color w:val="111111"/>
          <w:sz w:val="28"/>
          <w:szCs w:val="28"/>
          <w:rtl/>
        </w:rPr>
        <w:t xml:space="preserve">حاشية حاشية على حاشية الجرجاني</w:t>
      </w:r>
    </w:p>
    <w:p>
      <w:pPr>
        <w:pStyle w:val="BookText"/>
      </w:pPr>
      <w:r>
        <w:rPr>
          <w:rFonts w:ascii="Amiri" w:hAnsi="Amiri" w:eastAsia="Amiri" w:cs="Amiri"/>
          <w:lang w:bidi="ar-SA"/>
          <w:color w:val="111111"/>
          <w:sz w:val="28"/>
          <w:szCs w:val="28"/>
          <w:rtl/>
        </w:rPr>
        <w:t xml:space="preserve">على شرح الشمسية، ج 5، ص 834.</w:t>
      </w:r>
    </w:p>
    <w:p>
      <w:pPr>
        <w:pStyle w:val="Heading2"/>
      </w:pPr>
      <w:bookmarkStart w:id="1932" w:name="_Toc1034"/>
      <w:r>
        <w:t>ابونصر فراهي ، مسعود بن ابي بكر</w:t>
      </w:r>
      <w:bookmarkEnd w:id="1932"/>
    </w:p>
    <w:p>
      <w:pPr>
        <w:pStyle w:val="BookText"/>
      </w:pPr>
      <w:r>
        <w:rPr>
          <w:rFonts w:ascii="IRNazanin" w:hAnsi="IRNazanin" w:eastAsia="IRNazanin" w:cs="IRNazanin"/>
          <w:lang w:bidi="fa-IR"/>
          <w:color w:val="111111"/>
          <w:sz w:val="28"/>
          <w:szCs w:val="28"/>
          <w:rtl/>
        </w:rPr>
        <w:t xml:space="preserve">640ه-</w:t>
      </w:r>
    </w:p>
    <w:p>
      <w:pPr>
        <w:pStyle w:val="BookText"/>
      </w:pPr>
      <w:r>
        <w:rPr>
          <w:rFonts w:ascii="IRNazanin" w:hAnsi="IRNazanin" w:eastAsia="IRNazanin" w:cs="IRNazanin"/>
          <w:lang w:bidi="fa-IR"/>
          <w:color w:val="111111"/>
          <w:sz w:val="28"/>
          <w:szCs w:val="28"/>
          <w:rtl/>
        </w:rPr>
        <w:t xml:space="preserve">1 لمعات البدر، ج 13، ص 614.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نصاب الصبيان، ج 16، ص 295.</w:t>
      </w:r>
    </w:p>
    <w:p>
      <w:pPr>
        <w:pStyle w:val="Heading2"/>
      </w:pPr>
      <w:bookmarkStart w:id="1933" w:name="_Toc1035"/>
      <w:r>
        <w:t>ابونعیم اصفهاني ، احمد بن عبدالله، 336؟</w:t>
      </w:r>
      <w:bookmarkEnd w:id="193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430 ه-</w:t>
      </w:r>
    </w:p>
    <w:p>
      <w:pPr>
        <w:pStyle w:val="BookText"/>
      </w:pPr>
      <w:r>
        <w:rPr>
          <w:rFonts w:ascii="Amiri" w:hAnsi="Amiri" w:eastAsia="Amiri" w:cs="Amiri"/>
          <w:lang w:bidi="ar-SA"/>
          <w:color w:val="111111"/>
          <w:sz w:val="28"/>
          <w:szCs w:val="28"/>
          <w:rtl/>
        </w:rPr>
        <w:t xml:space="preserve">1.الأربعون حديثا في أحوال الامام</w:t>
      </w:r>
    </w:p>
    <w:p>
      <w:pPr>
        <w:pStyle w:val="BookText"/>
      </w:pPr>
      <w:r>
        <w:rPr>
          <w:rFonts w:ascii="Amiri" w:hAnsi="Amiri" w:eastAsia="Amiri" w:cs="Amiri"/>
          <w:lang w:bidi="ar-SA"/>
          <w:color w:val="111111"/>
          <w:sz w:val="28"/>
          <w:szCs w:val="28"/>
          <w:rtl/>
        </w:rPr>
        <w:t xml:space="preserve">المهدي (عج)، ج 1، ص 722.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الامالي، ج 2، ص 719.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الاولياء وطبقة الاصفياء، ج 6،</w:t>
      </w:r>
    </w:p>
    <w:p>
      <w:pPr>
        <w:pStyle w:val="BookText"/>
      </w:pPr>
      <w:r>
        <w:rPr>
          <w:rFonts w:ascii="IRNazanin" w:hAnsi="IRNazanin" w:eastAsia="IRNazanin" w:cs="IRNazanin"/>
          <w:lang w:bidi="fa-IR"/>
          <w:color w:val="111111"/>
          <w:sz w:val="28"/>
          <w:szCs w:val="28"/>
          <w:rtl/>
        </w:rPr>
        <w:t xml:space="preserve">ص 813.</w:t>
      </w:r>
    </w:p>
    <w:p>
      <w:pPr>
        <w:pStyle w:val="BookText"/>
      </w:pPr>
      <w:r>
        <w:rPr>
          <w:rFonts w:ascii="Amiri" w:hAnsi="Amiri" w:eastAsia="Amiri" w:cs="Amiri"/>
          <w:lang w:bidi="ar-SA"/>
          <w:color w:val="111111"/>
          <w:sz w:val="28"/>
          <w:szCs w:val="28"/>
          <w:rtl/>
        </w:rPr>
        <w:t xml:space="preserve">4 .مسند ابن ولين، ج 14، ص 592.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المسند المستخرج على صحيحين البخاري ومسلم، ج 14، ص 601.</w:t>
      </w:r>
    </w:p>
    <w:p>
      <w:pPr>
        <w:pStyle w:val="Heading2"/>
      </w:pPr>
      <w:bookmarkStart w:id="1934" w:name="_Toc1036"/>
      <w:r>
        <w:t>ابونواس حسن بن هاني، 9145-196 ؟ ه-</w:t>
      </w:r>
      <w:bookmarkEnd w:id="1934"/>
    </w:p>
    <w:p>
      <w:pPr>
        <w:pStyle w:val="BookText"/>
      </w:pPr>
      <w:r>
        <w:rPr>
          <w:rFonts w:ascii="Amiri" w:hAnsi="Amiri" w:eastAsia="Amiri" w:cs="Amiri"/>
          <w:lang w:bidi="ar-SA"/>
          <w:color w:val="111111"/>
          <w:sz w:val="28"/>
          <w:szCs w:val="28"/>
          <w:rtl/>
        </w:rPr>
        <w:t xml:space="preserve">ديوان ابي نواس، ج 7، ص 564.</w:t>
      </w:r>
    </w:p>
    <w:p>
      <w:pPr>
        <w:pStyle w:val="Heading2"/>
      </w:pPr>
      <w:bookmarkStart w:id="1935" w:name="_Toc1037"/>
      <w:r>
        <w:t>ابوهفان مهزمي ، عبد الله بن احمد -</w:t>
      </w:r>
      <w:bookmarkEnd w:id="1935"/>
    </w:p>
    <w:p>
      <w:pPr>
        <w:pStyle w:val="BookText"/>
      </w:pPr>
      <w:r>
        <w:rPr>
          <w:rFonts w:ascii="Amiri" w:hAnsi="Amiri" w:eastAsia="Amiri" w:cs="Amiri"/>
          <w:lang w:bidi="ar-SA"/>
          <w:color w:val="111111"/>
          <w:sz w:val="28"/>
          <w:szCs w:val="28"/>
          <w:rtl/>
        </w:rPr>
        <w:t xml:space="preserve">ديوان أبي طالب، ج 7، ص 562.</w:t>
      </w:r>
    </w:p>
    <w:p>
      <w:pPr>
        <w:pStyle w:val="Heading2"/>
      </w:pPr>
      <w:bookmarkStart w:id="1936" w:name="_Toc1038"/>
      <w:r>
        <w:t>ابوهلال عسكري ، حسن بن عبدالله</w:t>
      </w:r>
      <w:bookmarkEnd w:id="1936"/>
    </w:p>
    <w:p>
      <w:pPr>
        <w:pStyle w:val="BookText"/>
      </w:pPr>
      <w:r>
        <w:rPr>
          <w:rFonts w:ascii="IRNazanin" w:hAnsi="IRNazanin" w:eastAsia="IRNazanin" w:cs="IRNazanin"/>
          <w:lang w:bidi="fa-IR"/>
          <w:color w:val="111111"/>
          <w:sz w:val="28"/>
          <w:szCs w:val="28"/>
          <w:rtl/>
        </w:rPr>
        <w:t xml:space="preserve">395؟ ه-</w:t>
      </w:r>
    </w:p>
    <w:p>
      <w:pPr>
        <w:pStyle w:val="BookText"/>
      </w:pPr>
      <w:r>
        <w:rPr>
          <w:rFonts w:ascii="IRNazanin" w:hAnsi="IRNazanin" w:eastAsia="IRNazanin" w:cs="IRNazanin"/>
          <w:lang w:bidi="fa-IR"/>
          <w:color w:val="111111"/>
          <w:sz w:val="28"/>
          <w:szCs w:val="28"/>
          <w:rtl/>
        </w:rPr>
        <w:t xml:space="preserve">1 .الاوائل، ج 3، ص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التلخيص، ج4، ص 832.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جمهرة الامثال، ج 5، ص 450 .</w:t>
      </w:r>
    </w:p>
    <w:p>
      <w:pPr>
        <w:pStyle w:val="BookText"/>
      </w:pPr>
      <w:r>
        <w:rPr>
          <w:rFonts w:ascii="Amiri" w:hAnsi="Amiri" w:eastAsia="Amiri" w:cs="Amiri"/>
          <w:lang w:bidi="ar-SA"/>
          <w:color w:val="111111"/>
          <w:sz w:val="28"/>
          <w:szCs w:val="28"/>
          <w:rtl/>
        </w:rPr>
        <w:t xml:space="preserve">4 .ديوان المعاني، ج7، ص773.</w:t>
      </w:r>
    </w:p>
    <w:p>
      <w:pPr>
        <w:pStyle w:val="BookText"/>
      </w:pPr>
      <w:r>
        <w:rPr>
          <w:rFonts w:ascii="Amiri" w:hAnsi="Amiri" w:eastAsia="Amiri" w:cs="Amiri"/>
          <w:lang w:bidi="ar-SA"/>
          <w:color w:val="111111"/>
          <w:sz w:val="28"/>
          <w:szCs w:val="28"/>
          <w:rtl/>
        </w:rPr>
        <w:t xml:space="preserve">5 .الفروق اللغوية (مختصر)، ج11،</w:t>
      </w:r>
    </w:p>
    <w:p>
      <w:pPr>
        <w:pStyle w:val="BookText"/>
      </w:pPr>
      <w:r>
        <w:rPr>
          <w:rFonts w:ascii="IRNazanin" w:hAnsi="IRNazanin" w:eastAsia="IRNazanin" w:cs="IRNazanin"/>
          <w:lang w:bidi="fa-IR"/>
          <w:color w:val="111111"/>
          <w:sz w:val="28"/>
          <w:szCs w:val="28"/>
          <w:rtl/>
        </w:rPr>
        <w:t xml:space="preserve">ص 818.</w:t>
      </w:r>
    </w:p>
    <w:p>
      <w:pPr>
        <w:pStyle w:val="BookText"/>
      </w:pPr>
      <w:r>
        <w:rPr>
          <w:rFonts w:ascii="Amiri" w:hAnsi="Amiri" w:eastAsia="Amiri" w:cs="Amiri"/>
          <w:lang w:bidi="ar-SA"/>
          <w:color w:val="111111"/>
          <w:sz w:val="28"/>
          <w:szCs w:val="28"/>
          <w:rtl/>
        </w:rPr>
        <w:t xml:space="preserve">6 .المحاسن في تفسير القرآن، ج 14،</w:t>
      </w:r>
    </w:p>
    <w:p>
      <w:pPr>
        <w:pStyle w:val="BookText"/>
      </w:pPr>
      <w:r>
        <w:rPr>
          <w:rFonts w:ascii="IRNazanin" w:hAnsi="IRNazanin" w:eastAsia="IRNazanin" w:cs="IRNazanin"/>
          <w:lang w:bidi="fa-IR"/>
          <w:color w:val="111111"/>
          <w:sz w:val="28"/>
          <w:szCs w:val="28"/>
          <w:rtl/>
        </w:rPr>
        <w:t xml:space="preserve">ص 95.</w:t>
      </w:r>
    </w:p>
    <w:p>
      <w:pPr>
        <w:pStyle w:val="Heading2"/>
      </w:pPr>
      <w:bookmarkStart w:id="1937" w:name="_Toc1039"/>
      <w:r>
        <w:t>ابويعقوب خوئي، يوسف بن طاهر، 440</w:t>
      </w:r>
      <w:bookmarkEnd w:id="193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535 ه-</w:t>
      </w:r>
    </w:p>
    <w:p>
      <w:pPr>
        <w:pStyle w:val="BookText"/>
      </w:pPr>
      <w:r>
        <w:rPr>
          <w:rFonts w:ascii="Amiri" w:hAnsi="Amiri" w:eastAsia="Amiri" w:cs="Amiri"/>
          <w:lang w:bidi="ar-SA"/>
          <w:color w:val="111111"/>
          <w:sz w:val="28"/>
          <w:szCs w:val="28"/>
          <w:rtl/>
        </w:rPr>
        <w:t xml:space="preserve">1 .التنوير على سقط الزند = شرح</w:t>
      </w:r>
    </w:p>
    <w:p>
      <w:pPr>
        <w:pStyle w:val="BookText"/>
      </w:pPr>
      <w:r>
        <w:rPr>
          <w:rFonts w:ascii="Amiri" w:hAnsi="Amiri" w:eastAsia="Amiri" w:cs="Amiri"/>
          <w:lang w:bidi="ar-SA"/>
          <w:color w:val="111111"/>
          <w:sz w:val="28"/>
          <w:szCs w:val="28"/>
          <w:rtl/>
        </w:rPr>
        <w:t xml:space="preserve">سقط الزند = شرح التنوير على</w:t>
      </w:r>
    </w:p>
    <w:p>
      <w:pPr>
        <w:pStyle w:val="BookText"/>
      </w:pPr>
      <w:r>
        <w:rPr>
          <w:rFonts w:ascii="IRNazanin" w:hAnsi="IRNazanin" w:eastAsia="IRNazanin" w:cs="IRNazanin"/>
          <w:lang w:bidi="fa-IR"/>
          <w:color w:val="111111"/>
          <w:sz w:val="28"/>
          <w:szCs w:val="28"/>
          <w:rtl/>
        </w:rPr>
        <w:t xml:space="preserve">سقط الزند، ج 5، ص78.</w:t>
      </w:r>
    </w:p>
    <w:p>
      <w:pPr>
        <w:pStyle w:val="BookText"/>
      </w:pPr>
      <w:r>
        <w:rPr>
          <w:rFonts w:ascii="IRNazanin" w:hAnsi="IRNazanin" w:eastAsia="IRNazanin" w:cs="IRNazanin"/>
          <w:lang w:bidi="fa-IR"/>
          <w:color w:val="111111"/>
          <w:sz w:val="28"/>
          <w:szCs w:val="28"/>
          <w:rtl/>
        </w:rPr>
        <w:t xml:space="preserve">2 .فرائد الخرائد و جواهر القلائد</w:t>
      </w:r>
    </w:p>
    <w:p>
      <w:pPr>
        <w:pStyle w:val="BookText"/>
      </w:pPr>
      <w:r>
        <w:rPr>
          <w:rFonts w:ascii="IRNazanin" w:hAnsi="IRNazanin" w:eastAsia="IRNazanin" w:cs="IRNazanin"/>
          <w:lang w:bidi="fa-IR"/>
          <w:color w:val="111111"/>
          <w:sz w:val="28"/>
          <w:szCs w:val="28"/>
          <w:rtl/>
        </w:rPr>
        <w:t xml:space="preserve">ج 11، ص 731.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9" w:name="pg7742_69660"/>
    <w:bookmarkEnd w:id="149"/>
    <w:p>
      <w:pPr>
        <w:pStyle w:val="Heading2"/>
      </w:pPr>
      <w:bookmarkStart w:id="1938" w:name="_Toc1040"/>
      <w:r>
        <w:t>ابويعقوب سجستاني ، اسحاق بن احمد</w:t>
      </w:r>
      <w:bookmarkEnd w:id="193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386؟ ه-</w:t>
      </w:r>
    </w:p>
    <w:p>
      <w:pPr>
        <w:pStyle w:val="BookText"/>
      </w:pPr>
      <w:r>
        <w:rPr>
          <w:rFonts w:ascii="Amiri" w:hAnsi="Amiri" w:eastAsia="Amiri" w:cs="Amiri"/>
          <w:lang w:bidi="ar-SA"/>
          <w:color w:val="111111"/>
          <w:sz w:val="28"/>
          <w:szCs w:val="28"/>
          <w:rtl/>
        </w:rPr>
        <w:t xml:space="preserve">الغريب في صناعة الاكسير، ج 11،</w:t>
      </w:r>
    </w:p>
    <w:p>
      <w:pPr>
        <w:pStyle w:val="BookText"/>
      </w:pPr>
      <w:r>
        <w:rPr>
          <w:rFonts w:ascii="IRNazanin" w:hAnsi="IRNazanin" w:eastAsia="IRNazanin" w:cs="IRNazanin"/>
          <w:lang w:bidi="fa-IR"/>
          <w:color w:val="111111"/>
          <w:sz w:val="28"/>
          <w:szCs w:val="28"/>
          <w:rtl/>
        </w:rPr>
        <w:t xml:space="preserve">ص 492 .</w:t>
      </w:r>
    </w:p>
    <w:p>
      <w:pPr>
        <w:pStyle w:val="Heading2"/>
      </w:pPr>
      <w:bookmarkStart w:id="1939" w:name="_Toc1041"/>
      <w:r>
        <w:t>ابویعلی ، قزاز</w:t>
      </w:r>
      <w:bookmarkEnd w:id="1939"/>
    </w:p>
    <w:p>
      <w:pPr>
        <w:pStyle w:val="BookText"/>
      </w:pPr>
      <w:r>
        <w:rPr>
          <w:rFonts w:ascii="Amiri" w:hAnsi="Amiri" w:eastAsia="Amiri" w:cs="Amiri"/>
          <w:lang w:bidi="ar-SA"/>
          <w:color w:val="111111"/>
          <w:sz w:val="28"/>
          <w:szCs w:val="28"/>
          <w:rtl/>
        </w:rPr>
        <w:t xml:space="preserve">مسألة في الجمعة، ج 14، ص 542.</w:t>
      </w:r>
    </w:p>
    <w:p>
      <w:pPr>
        <w:pStyle w:val="Heading2"/>
      </w:pPr>
      <w:bookmarkStart w:id="1940" w:name="_Toc1042"/>
      <w:r>
        <w:t>ابويوسف قاضي ، يعقوب بن ابراهيم</w:t>
      </w:r>
      <w:bookmarkEnd w:id="1940"/>
    </w:p>
    <w:p>
      <w:pPr>
        <w:pStyle w:val="BookText"/>
      </w:pPr>
      <w:r>
        <w:rPr>
          <w:rFonts w:ascii="IRNazanin" w:hAnsi="IRNazanin" w:eastAsia="IRNazanin" w:cs="IRNazanin"/>
          <w:lang w:bidi="fa-IR"/>
          <w:color w:val="111111"/>
          <w:sz w:val="28"/>
          <w:szCs w:val="28"/>
          <w:rtl/>
        </w:rPr>
        <w:t xml:space="preserve">113 - 182 ه-</w:t>
      </w:r>
    </w:p>
    <w:p>
      <w:pPr>
        <w:pStyle w:val="BookText"/>
      </w:pPr>
      <w:r>
        <w:rPr>
          <w:rFonts w:ascii="Amiri" w:hAnsi="Amiri" w:eastAsia="Amiri" w:cs="Amiri"/>
          <w:lang w:bidi="ar-SA"/>
          <w:color w:val="111111"/>
          <w:sz w:val="28"/>
          <w:szCs w:val="28"/>
          <w:rtl/>
        </w:rPr>
        <w:t xml:space="preserve">1 .ادب القاضي، ج 1، ص 590.</w:t>
      </w:r>
    </w:p>
    <w:p>
      <w:pPr>
        <w:pStyle w:val="BookText"/>
      </w:pPr>
      <w:r>
        <w:rPr>
          <w:rFonts w:ascii="IRNazanin" w:hAnsi="IRNazanin" w:eastAsia="IRNazanin" w:cs="IRNazanin"/>
          <w:lang w:bidi="fa-IR"/>
          <w:color w:val="111111"/>
          <w:sz w:val="28"/>
          <w:szCs w:val="28"/>
          <w:rtl/>
        </w:rPr>
        <w:t xml:space="preserve">2.الخراج، ج 7، ص3.</w:t>
      </w:r>
    </w:p>
    <w:p>
      <w:pPr>
        <w:pStyle w:val="Heading2"/>
      </w:pPr>
      <w:bookmarkStart w:id="1941" w:name="_Toc1043"/>
      <w:r>
        <w:t>ابي ، محمّد بن خليفه - 828 ه-</w:t>
      </w:r>
      <w:bookmarkEnd w:id="1941"/>
    </w:p>
    <w:p>
      <w:pPr>
        <w:pStyle w:val="BookText"/>
      </w:pPr>
      <w:r>
        <w:rPr>
          <w:rFonts w:ascii="Amiri" w:hAnsi="Amiri" w:eastAsia="Amiri" w:cs="Amiri"/>
          <w:lang w:bidi="ar-SA"/>
          <w:color w:val="111111"/>
          <w:sz w:val="28"/>
          <w:szCs w:val="28"/>
          <w:rtl/>
        </w:rPr>
        <w:t xml:space="preserve">كمال الاكمال = اكمال اكمال المعلم لفوائد كتاب مسلم، ج13، ص389.</w:t>
      </w:r>
    </w:p>
    <w:p>
      <w:pPr>
        <w:pStyle w:val="Heading2"/>
      </w:pPr>
      <w:bookmarkStart w:id="1942" w:name="_Toc1044"/>
      <w:r>
        <w:t>ابياري ، عبدالهادي بن رضوان، 1236 -</w:t>
      </w:r>
      <w:bookmarkEnd w:id="1942"/>
    </w:p>
    <w:p>
      <w:pPr>
        <w:pStyle w:val="BookText"/>
      </w:pPr>
      <w:r>
        <w:rPr>
          <w:rFonts w:ascii="IRNazanin" w:hAnsi="IRNazanin" w:eastAsia="IRNazanin" w:cs="IRNazanin"/>
          <w:lang w:bidi="fa-IR"/>
          <w:color w:val="111111"/>
          <w:sz w:val="28"/>
          <w:szCs w:val="28"/>
          <w:rtl/>
        </w:rPr>
        <w:t xml:space="preserve">1305ه-</w:t>
      </w:r>
    </w:p>
    <w:p>
      <w:pPr>
        <w:pStyle w:val="BookText"/>
      </w:pPr>
      <w:r>
        <w:rPr>
          <w:rFonts w:ascii="Amiri" w:hAnsi="Amiri" w:eastAsia="Amiri" w:cs="Amiri"/>
          <w:lang w:bidi="ar-SA"/>
          <w:color w:val="111111"/>
          <w:sz w:val="28"/>
          <w:szCs w:val="28"/>
          <w:rtl/>
        </w:rPr>
        <w:t xml:space="preserve">علم الميقات (كتاب في)، ج11،</w:t>
      </w:r>
    </w:p>
    <w:p>
      <w:pPr>
        <w:pStyle w:val="BookText"/>
      </w:pPr>
      <w:r>
        <w:rPr>
          <w:rFonts w:ascii="IRNazanin" w:hAnsi="IRNazanin" w:eastAsia="IRNazanin" w:cs="IRNazanin"/>
          <w:lang w:bidi="fa-IR"/>
          <w:color w:val="111111"/>
          <w:sz w:val="28"/>
          <w:szCs w:val="28"/>
          <w:rtl/>
        </w:rPr>
        <w:t xml:space="preserve">ص 262.</w:t>
      </w:r>
    </w:p>
    <w:p>
      <w:pPr>
        <w:pStyle w:val="Heading2"/>
      </w:pPr>
      <w:bookmarkStart w:id="1943" w:name="_Toc1045"/>
      <w:r>
        <w:t>ابي الفتح علي بن محمّد</w:t>
      </w:r>
      <w:bookmarkEnd w:id="1943"/>
    </w:p>
    <w:p>
      <w:pPr>
        <w:pStyle w:val="BookText"/>
      </w:pPr>
      <w:r>
        <w:rPr>
          <w:rFonts w:ascii="IRNazanin" w:hAnsi="IRNazanin" w:eastAsia="IRNazanin" w:cs="IRNazanin"/>
          <w:lang w:bidi="fa-IR"/>
          <w:color w:val="111111"/>
          <w:sz w:val="28"/>
          <w:szCs w:val="28"/>
          <w:rtl/>
        </w:rPr>
        <w:t xml:space="preserve">اشعار، ج2، ص288.</w:t>
      </w:r>
    </w:p>
    <w:p>
      <w:pPr>
        <w:pStyle w:val="Heading2"/>
      </w:pPr>
      <w:bookmarkStart w:id="1944" w:name="_Toc1046"/>
      <w:r>
        <w:t>ابي المحاسن كربلائي ، محمّد حسن بن</w:t>
      </w:r>
      <w:bookmarkEnd w:id="1944"/>
    </w:p>
    <w:p>
      <w:pPr>
        <w:pStyle w:val="BookText"/>
      </w:pPr>
      <w:r>
        <w:rPr>
          <w:rFonts w:ascii="Amiri" w:hAnsi="Amiri" w:eastAsia="Amiri" w:cs="Amiri"/>
          <w:lang w:bidi="ar-SA"/>
          <w:color w:val="111111"/>
          <w:sz w:val="28"/>
          <w:szCs w:val="28"/>
          <w:rtl/>
        </w:rPr>
        <w:t xml:space="preserve">حمادي، - 1344 ه-</w:t>
      </w:r>
    </w:p>
    <w:p>
      <w:pPr>
        <w:pStyle w:val="BookText"/>
      </w:pPr>
      <w:r>
        <w:rPr>
          <w:rFonts w:ascii="Amiri" w:hAnsi="Amiri" w:eastAsia="Amiri" w:cs="Amiri"/>
          <w:lang w:bidi="ar-SA"/>
          <w:color w:val="111111"/>
          <w:sz w:val="28"/>
          <w:szCs w:val="28"/>
          <w:rtl/>
        </w:rPr>
        <w:t xml:space="preserve">ديوان ابي المحاسن الكربلائي، ج7،</w:t>
      </w:r>
    </w:p>
    <w:p>
      <w:pPr>
        <w:pStyle w:val="BookText"/>
      </w:pPr>
      <w:r>
        <w:rPr>
          <w:rFonts w:ascii="IRNazanin" w:hAnsi="IRNazanin" w:eastAsia="IRNazanin" w:cs="IRNazanin"/>
          <w:lang w:bidi="fa-IR"/>
          <w:color w:val="111111"/>
          <w:sz w:val="28"/>
          <w:szCs w:val="28"/>
          <w:rtl/>
        </w:rPr>
        <w:t xml:space="preserve">ص 564.</w:t>
      </w:r>
    </w:p>
    <w:p>
      <w:pPr>
        <w:pStyle w:val="Heading2"/>
      </w:pPr>
      <w:bookmarkStart w:id="1945" w:name="_Toc1047"/>
      <w:r>
        <w:t>ابياني، محمّد زید 1862 - 1936 م</w:t>
      </w:r>
      <w:bookmarkEnd w:id="1945"/>
    </w:p>
    <w:p>
      <w:pPr>
        <w:pStyle w:val="BookText"/>
      </w:pPr>
      <w:r>
        <w:rPr>
          <w:rFonts w:ascii="Amiri" w:hAnsi="Amiri" w:eastAsia="Amiri" w:cs="Amiri"/>
          <w:lang w:bidi="ar-SA"/>
          <w:color w:val="111111"/>
          <w:sz w:val="28"/>
          <w:szCs w:val="28"/>
          <w:rtl/>
        </w:rPr>
        <w:t xml:space="preserve">شرح الأحكام الشرعية في الأحوال الشخصية، ج9، ص 162.</w:t>
      </w:r>
    </w:p>
    <w:p>
      <w:pPr>
        <w:pStyle w:val="Heading2"/>
      </w:pPr>
      <w:bookmarkStart w:id="1946" w:name="_Toc1048"/>
      <w:r>
        <w:t>اب يواكيم</w:t>
      </w:r>
      <w:bookmarkEnd w:id="1946"/>
    </w:p>
    <w:p>
      <w:pPr>
        <w:pStyle w:val="BookText"/>
      </w:pPr>
      <w:r>
        <w:rPr>
          <w:rFonts w:ascii="Amiri" w:hAnsi="Amiri" w:eastAsia="Amiri" w:cs="Amiri"/>
          <w:lang w:bidi="ar-SA"/>
          <w:color w:val="111111"/>
          <w:sz w:val="28"/>
          <w:szCs w:val="28"/>
          <w:rtl/>
        </w:rPr>
        <w:t xml:space="preserve">عظة في احد الفريسي و العشار، ج11،</w:t>
      </w:r>
    </w:p>
    <w:p>
      <w:pPr>
        <w:pStyle w:val="BookText"/>
      </w:pPr>
      <w:r>
        <w:rPr>
          <w:rFonts w:ascii="IRNazanin" w:hAnsi="IRNazanin" w:eastAsia="IRNazanin" w:cs="IRNazanin"/>
          <w:lang w:bidi="fa-IR"/>
          <w:color w:val="111111"/>
          <w:sz w:val="28"/>
          <w:szCs w:val="28"/>
          <w:rtl/>
        </w:rPr>
        <w:t xml:space="preserve">ص 129.</w:t>
      </w:r>
    </w:p>
    <w:p>
      <w:pPr>
        <w:pStyle w:val="Heading2"/>
      </w:pPr>
      <w:bookmarkStart w:id="1947" w:name="_Toc1049"/>
      <w:r>
        <w:t>ابيوردي، ابوالحسن بن احمد، 936-966ه-</w:t>
      </w:r>
      <w:bookmarkEnd w:id="1947"/>
    </w:p>
    <w:p>
      <w:pPr>
        <w:pStyle w:val="BookText"/>
      </w:pPr>
      <w:r>
        <w:rPr>
          <w:rFonts w:ascii="IRNazanin" w:hAnsi="IRNazanin" w:eastAsia="IRNazanin" w:cs="IRNazanin"/>
          <w:lang w:bidi="fa-IR"/>
          <w:color w:val="111111"/>
          <w:sz w:val="28"/>
          <w:szCs w:val="28"/>
          <w:rtl/>
        </w:rPr>
        <w:t xml:space="preserve">1 .اثبات الواجب، ج 1، ص 165.</w:t>
      </w:r>
    </w:p>
    <w:p>
      <w:pPr>
        <w:pStyle w:val="BookText"/>
      </w:pPr>
      <w:r>
        <w:rPr>
          <w:rFonts w:ascii="Amiri" w:hAnsi="Amiri" w:eastAsia="Amiri" w:cs="Amiri"/>
          <w:lang w:bidi="ar-SA"/>
          <w:color w:val="111111"/>
          <w:sz w:val="28"/>
          <w:szCs w:val="28"/>
          <w:rtl/>
        </w:rPr>
        <w:t xml:space="preserve">2 .التحرير في شرح الفرائض النصيرية</w:t>
      </w:r>
    </w:p>
    <w:p>
      <w:pPr>
        <w:pStyle w:val="BookText"/>
      </w:pPr>
      <w:r>
        <w:rPr>
          <w:rFonts w:ascii="IRNazanin" w:hAnsi="IRNazanin" w:eastAsia="IRNazanin" w:cs="IRNazanin"/>
          <w:lang w:bidi="fa-IR"/>
          <w:color w:val="111111"/>
          <w:sz w:val="28"/>
          <w:szCs w:val="28"/>
          <w:rtl/>
        </w:rPr>
        <w:t xml:space="preserve">= الارث، ج 3، ص 741.</w:t>
      </w:r>
    </w:p>
    <w:p>
      <w:pPr>
        <w:pStyle w:val="BookText"/>
      </w:pPr>
      <w:r>
        <w:rPr>
          <w:rFonts w:ascii="Amiri" w:hAnsi="Amiri" w:eastAsia="Amiri" w:cs="Amiri"/>
          <w:lang w:bidi="ar-SA"/>
          <w:color w:val="111111"/>
          <w:sz w:val="28"/>
          <w:szCs w:val="28"/>
          <w:rtl/>
        </w:rPr>
        <w:t xml:space="preserve">3 .حاشية حاشية الجرجاني على تحرير القواعد المنطقية، ج 5، ص 785.</w:t>
      </w:r>
    </w:p>
    <w:p>
      <w:pPr>
        <w:pStyle w:val="BookText"/>
      </w:pPr>
      <w:r>
        <w:rPr>
          <w:rFonts w:ascii="IRNazanin" w:hAnsi="IRNazanin" w:eastAsia="IRNazanin" w:cs="IRNazanin"/>
          <w:lang w:bidi="fa-IR"/>
          <w:color w:val="111111"/>
          <w:sz w:val="28"/>
          <w:szCs w:val="28"/>
          <w:rtl/>
        </w:rPr>
        <w:t xml:space="preserve">4 .روض الجنان، ج 8، ص 459.</w:t>
      </w:r>
    </w:p>
    <w:p>
      <w:pPr>
        <w:pStyle w:val="BookText"/>
      </w:pPr>
      <w:r>
        <w:rPr>
          <w:rFonts w:ascii="IRNazanin" w:hAnsi="IRNazanin" w:eastAsia="IRNazanin" w:cs="IRNazanin"/>
          <w:lang w:bidi="fa-IR"/>
          <w:color w:val="111111"/>
          <w:sz w:val="28"/>
          <w:szCs w:val="28"/>
          <w:rtl/>
        </w:rPr>
        <w:t xml:space="preserve">5 .الشوارق = اثبات الصانع = المعارف</w:t>
      </w:r>
    </w:p>
    <w:p>
      <w:pPr>
        <w:pStyle w:val="BookText"/>
      </w:pPr>
      <w:r>
        <w:rPr>
          <w:rFonts w:ascii="Amiri" w:hAnsi="Amiri" w:eastAsia="Amiri" w:cs="Amiri"/>
          <w:lang w:bidi="ar-SA"/>
          <w:color w:val="111111"/>
          <w:sz w:val="28"/>
          <w:szCs w:val="28"/>
          <w:rtl/>
        </w:rPr>
        <w:t xml:space="preserve">الالهية، ج 10، ص 440.</w:t>
      </w:r>
    </w:p>
    <w:p>
      <w:pPr>
        <w:pStyle w:val="Heading2"/>
      </w:pPr>
      <w:bookmarkStart w:id="1948" w:name="_Toc1050"/>
      <w:r>
        <w:t>ابيوردي ، احمد، قرن 9 ه-</w:t>
      </w:r>
      <w:bookmarkEnd w:id="1948"/>
    </w:p>
    <w:p>
      <w:pPr>
        <w:pStyle w:val="BookText"/>
      </w:pPr>
      <w:r>
        <w:rPr>
          <w:rFonts w:ascii="Amiri" w:hAnsi="Amiri" w:eastAsia="Amiri" w:cs="Amiri"/>
          <w:lang w:bidi="ar-SA"/>
          <w:color w:val="111111"/>
          <w:sz w:val="28"/>
          <w:szCs w:val="28"/>
          <w:rtl/>
        </w:rPr>
        <w:t xml:space="preserve">حاشية حاشية الجرجاني على تحرير</w:t>
      </w:r>
    </w:p>
    <w:p>
      <w:pPr>
        <w:pStyle w:val="BookText"/>
      </w:pPr>
      <w:r>
        <w:rPr>
          <w:rFonts w:ascii="Amiri" w:hAnsi="Amiri" w:eastAsia="Amiri" w:cs="Amiri"/>
          <w:lang w:bidi="ar-SA"/>
          <w:color w:val="111111"/>
          <w:sz w:val="28"/>
          <w:szCs w:val="28"/>
          <w:rtl/>
        </w:rPr>
        <w:t xml:space="preserve">القواعد المنطقية، ج 5، ص 775</w:t>
      </w:r>
    </w:p>
    <w:p>
      <w:pPr>
        <w:pStyle w:val="Heading2"/>
      </w:pPr>
      <w:bookmarkStart w:id="1949" w:name="_Toc1051"/>
      <w:r>
        <w:t>ابيوردي ، حسن بن علي 761 - 816 ه-</w:t>
      </w:r>
      <w:bookmarkEnd w:id="1949"/>
    </w:p>
    <w:p>
      <w:pPr>
        <w:pStyle w:val="BookText"/>
      </w:pPr>
      <w:r>
        <w:rPr>
          <w:rFonts w:ascii="IRNazanin" w:hAnsi="IRNazanin" w:eastAsia="IRNazanin" w:cs="IRNazanin"/>
          <w:lang w:bidi="fa-IR"/>
          <w:color w:val="111111"/>
          <w:sz w:val="28"/>
          <w:szCs w:val="28"/>
          <w:rtl/>
        </w:rPr>
        <w:t xml:space="preserve">اللوامع، ج 13، ص 636 .</w:t>
      </w:r>
    </w:p>
    <w:p>
      <w:pPr>
        <w:pStyle w:val="BookText"/>
      </w:pPr>
      <w:r>
        <w:rPr>
          <w:rFonts w:ascii="Amiri" w:hAnsi="Amiri" w:eastAsia="Amiri" w:cs="Amiri"/>
          <w:lang w:bidi="ar-SA"/>
          <w:color w:val="111111"/>
          <w:sz w:val="28"/>
          <w:szCs w:val="28"/>
          <w:rtl/>
        </w:rPr>
        <w:t xml:space="preserve">ابيوردي ، علي بن اسحاق انوري ، محمّد</w:t>
      </w:r>
    </w:p>
    <w:p>
      <w:pPr>
        <w:pStyle w:val="BookText"/>
      </w:pPr>
      <w:r>
        <w:rPr>
          <w:rFonts w:ascii="Amiri" w:hAnsi="Amiri" w:eastAsia="Amiri" w:cs="Amiri"/>
          <w:lang w:bidi="ar-SA"/>
          <w:color w:val="111111"/>
          <w:sz w:val="28"/>
          <w:szCs w:val="28"/>
          <w:rtl/>
        </w:rPr>
        <w:t xml:space="preserve">بن محمّد</w:t>
      </w:r>
    </w:p>
    <w:p>
      <w:pPr>
        <w:pStyle w:val="Heading2"/>
      </w:pPr>
      <w:bookmarkStart w:id="1950" w:name="_Toc1052"/>
      <w:r>
        <w:t>ابيوردي ، محمّد بن احمد - 557 ه-</w:t>
      </w:r>
      <w:bookmarkEnd w:id="1950"/>
    </w:p>
    <w:p>
      <w:pPr>
        <w:pStyle w:val="BookText"/>
      </w:pPr>
      <w:r>
        <w:rPr>
          <w:rFonts w:ascii="Amiri" w:hAnsi="Amiri" w:eastAsia="Amiri" w:cs="Amiri"/>
          <w:lang w:bidi="ar-SA"/>
          <w:color w:val="111111"/>
          <w:sz w:val="28"/>
          <w:szCs w:val="28"/>
          <w:rtl/>
        </w:rPr>
        <w:t xml:space="preserve">1 .ديوان الابيوردي، ج 7، ص 565.</w:t>
      </w:r>
    </w:p>
    <w:p>
      <w:pPr>
        <w:pStyle w:val="BookText"/>
      </w:pPr>
      <w:r>
        <w:rPr>
          <w:rFonts w:ascii="Amiri" w:hAnsi="Amiri" w:eastAsia="Amiri" w:cs="Amiri"/>
          <w:lang w:bidi="ar-SA"/>
          <w:color w:val="111111"/>
          <w:sz w:val="28"/>
          <w:szCs w:val="28"/>
          <w:rtl/>
        </w:rPr>
        <w:t xml:space="preserve">2 .النجديات، ج 16، ص 156 .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0" w:name="pg7742_69662"/>
    <w:bookmarkEnd w:id="150"/>
    <w:p>
      <w:pPr>
        <w:pStyle w:val="Heading2"/>
      </w:pPr>
      <w:bookmarkStart w:id="1951" w:name="_Toc1053"/>
      <w:r>
        <w:t>اتقاني اميركاتب بن امير عمر 685-758 ه-</w:t>
      </w:r>
      <w:bookmarkEnd w:id="1951"/>
    </w:p>
    <w:p>
      <w:pPr>
        <w:pStyle w:val="BookText"/>
      </w:pPr>
      <w:r>
        <w:rPr>
          <w:rFonts w:ascii="Amiri" w:hAnsi="Amiri" w:eastAsia="Amiri" w:cs="Amiri"/>
          <w:lang w:bidi="ar-SA"/>
          <w:color w:val="111111"/>
          <w:sz w:val="28"/>
          <w:szCs w:val="28"/>
          <w:rtl/>
        </w:rPr>
        <w:t xml:space="preserve">1 .التبيين في شرح المنتخب، ج3،</w:t>
      </w:r>
    </w:p>
    <w:p>
      <w:pPr>
        <w:pStyle w:val="BookText"/>
      </w:pPr>
      <w:r>
        <w:rPr>
          <w:rFonts w:ascii="IRNazanin" w:hAnsi="IRNazanin" w:eastAsia="IRNazanin" w:cs="IRNazanin"/>
          <w:lang w:bidi="fa-IR"/>
          <w:color w:val="111111"/>
          <w:sz w:val="28"/>
          <w:szCs w:val="28"/>
          <w:rtl/>
        </w:rPr>
        <w:t xml:space="preserve">ص 669 .</w:t>
      </w:r>
    </w:p>
    <w:p>
      <w:pPr>
        <w:pStyle w:val="BookText"/>
      </w:pPr>
      <w:r>
        <w:rPr>
          <w:rFonts w:ascii="Amiri" w:hAnsi="Amiri" w:eastAsia="Amiri" w:cs="Amiri"/>
          <w:lang w:bidi="ar-SA"/>
          <w:color w:val="111111"/>
          <w:sz w:val="28"/>
          <w:szCs w:val="28"/>
          <w:rtl/>
        </w:rPr>
        <w:t xml:space="preserve">2 .غاية البيان ونادرة الاقران ج11</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وردة الارواح، ج 16، ص 760.</w:t>
      </w:r>
    </w:p>
    <w:p>
      <w:pPr>
        <w:pStyle w:val="Heading2"/>
      </w:pPr>
      <w:bookmarkStart w:id="1952" w:name="_Toc1054"/>
      <w:r>
        <w:t>اتليدي ، محمّد دياب - 1100 ه-</w:t>
      </w:r>
      <w:bookmarkEnd w:id="1952"/>
    </w:p>
    <w:p>
      <w:pPr>
        <w:pStyle w:val="BookText"/>
      </w:pPr>
      <w:r>
        <w:rPr>
          <w:rFonts w:ascii="Amiri" w:hAnsi="Amiri" w:eastAsia="Amiri" w:cs="Amiri"/>
          <w:lang w:bidi="ar-SA"/>
          <w:color w:val="111111"/>
          <w:sz w:val="28"/>
          <w:szCs w:val="28"/>
          <w:rtl/>
        </w:rPr>
        <w:t xml:space="preserve">إعلام الناس فيما وقع للبرامكة مع بني</w:t>
      </w:r>
    </w:p>
    <w:p>
      <w:pPr>
        <w:pStyle w:val="BookText"/>
      </w:pPr>
      <w:r>
        <w:rPr>
          <w:rFonts w:ascii="IRNazanin" w:hAnsi="IRNazanin" w:eastAsia="IRNazanin" w:cs="IRNazanin"/>
          <w:lang w:bidi="fa-IR"/>
          <w:color w:val="111111"/>
          <w:sz w:val="28"/>
          <w:szCs w:val="28"/>
          <w:rtl/>
        </w:rPr>
        <w:t xml:space="preserve">العباس، ج 2، ص 566.</w:t>
      </w:r>
    </w:p>
    <w:p>
      <w:pPr>
        <w:pStyle w:val="Heading2"/>
      </w:pPr>
      <w:bookmarkStart w:id="1953" w:name="_Toc1055"/>
      <w:r>
        <w:t>اثري حسيني، محمّد بن احمد - 1199 ؟</w:t>
      </w:r>
      <w:bookmarkEnd w:id="1953"/>
    </w:p>
    <w:p>
      <w:pPr>
        <w:pStyle w:val="BookText"/>
      </w:pPr>
      <w:r>
        <w:rPr>
          <w:rFonts w:ascii="Amiri" w:hAnsi="Amiri" w:eastAsia="Amiri" w:cs="Amiri"/>
          <w:lang w:bidi="ar-SA"/>
          <w:color w:val="111111"/>
          <w:sz w:val="28"/>
          <w:szCs w:val="28"/>
          <w:rtl/>
        </w:rPr>
        <w:t xml:space="preserve">القول الجلي في ترجمة ابن تيمية</w:t>
      </w:r>
    </w:p>
    <w:p>
      <w:pPr>
        <w:pStyle w:val="BookText"/>
      </w:pPr>
      <w:r>
        <w:rPr>
          <w:rFonts w:ascii="Amiri" w:hAnsi="Amiri" w:eastAsia="Amiri" w:cs="Amiri"/>
          <w:lang w:bidi="ar-SA"/>
          <w:color w:val="111111"/>
          <w:sz w:val="28"/>
          <w:szCs w:val="28"/>
          <w:rtl/>
        </w:rPr>
        <w:t xml:space="preserve">الحنبلي، ج 12، ص 843.</w:t>
      </w:r>
    </w:p>
    <w:p>
      <w:pPr>
        <w:pStyle w:val="BookText"/>
      </w:pPr>
      <w:r>
        <w:rPr>
          <w:rFonts w:ascii="Amiri" w:hAnsi="Amiri" w:eastAsia="Amiri" w:cs="Amiri"/>
          <w:lang w:bidi="ar-SA"/>
          <w:color w:val="111111"/>
          <w:sz w:val="28"/>
          <w:szCs w:val="28"/>
          <w:rtl/>
        </w:rPr>
        <w:t xml:space="preserve">اثري ، عبد الرحيم بن حسين -عراقي ،</w:t>
      </w:r>
    </w:p>
    <w:p>
      <w:pPr>
        <w:pStyle w:val="BookText"/>
      </w:pPr>
      <w:r>
        <w:rPr>
          <w:rFonts w:ascii="Amiri" w:hAnsi="Amiri" w:eastAsia="Amiri" w:cs="Amiri"/>
          <w:lang w:bidi="ar-SA"/>
          <w:color w:val="111111"/>
          <w:sz w:val="28"/>
          <w:szCs w:val="28"/>
          <w:rtl/>
        </w:rPr>
        <w:t xml:space="preserve">عبد الرحيم بن حسين</w:t>
      </w:r>
    </w:p>
    <w:p>
      <w:pPr>
        <w:pStyle w:val="BookText"/>
      </w:pPr>
      <w:r>
        <w:rPr>
          <w:rFonts w:ascii="Amiri" w:hAnsi="Amiri" w:eastAsia="Amiri" w:cs="Amiri"/>
          <w:lang w:bidi="ar-SA"/>
          <w:color w:val="111111"/>
          <w:sz w:val="28"/>
          <w:szCs w:val="28"/>
          <w:rtl/>
        </w:rPr>
        <w:t xml:space="preserve">اثري ، عبد العزيز- ميمني ، عبدالعزيز</w:t>
      </w:r>
    </w:p>
    <w:p>
      <w:pPr>
        <w:pStyle w:val="Heading2"/>
      </w:pPr>
      <w:bookmarkStart w:id="1954" w:name="_Toc1056"/>
      <w:r>
        <w:t>اثناسيوس انطاكي</w:t>
      </w:r>
      <w:bookmarkEnd w:id="1954"/>
    </w:p>
    <w:p>
      <w:pPr>
        <w:pStyle w:val="BookText"/>
      </w:pPr>
      <w:r>
        <w:rPr>
          <w:rFonts w:ascii="IRNazanin" w:hAnsi="IRNazanin" w:eastAsia="IRNazanin" w:cs="IRNazanin"/>
          <w:lang w:bidi="fa-IR"/>
          <w:color w:val="111111"/>
          <w:sz w:val="28"/>
          <w:szCs w:val="28"/>
          <w:rtl/>
        </w:rPr>
        <w:t xml:space="preserve">الرسائل، ج8، ص127</w:t>
      </w:r>
    </w:p>
    <w:p>
      <w:pPr>
        <w:pStyle w:val="Heading2"/>
      </w:pPr>
      <w:bookmarkStart w:id="1955" w:name="_Toc1057"/>
      <w:r>
        <w:t>اثناسيوس انطاكي - 1724م</w:t>
      </w:r>
      <w:bookmarkEnd w:id="1955"/>
    </w:p>
    <w:p>
      <w:pPr>
        <w:pStyle w:val="BookText"/>
      </w:pPr>
      <w:r>
        <w:rPr>
          <w:rFonts w:ascii="Amiri" w:hAnsi="Amiri" w:eastAsia="Amiri" w:cs="Amiri"/>
          <w:lang w:bidi="ar-SA"/>
          <w:color w:val="111111"/>
          <w:sz w:val="28"/>
          <w:szCs w:val="28"/>
          <w:rtl/>
        </w:rPr>
        <w:t xml:space="preserve">القداس (بحث في)، ج 12، ص 381.</w:t>
      </w:r>
    </w:p>
    <w:p>
      <w:pPr>
        <w:pStyle w:val="BookText"/>
      </w:pPr>
      <w:r>
        <w:rPr>
          <w:rFonts w:ascii="Amiri" w:hAnsi="Amiri" w:eastAsia="Amiri" w:cs="Amiri"/>
          <w:lang w:bidi="ar-SA"/>
          <w:color w:val="111111"/>
          <w:sz w:val="28"/>
          <w:szCs w:val="28"/>
          <w:rtl/>
        </w:rPr>
        <w:t xml:space="preserve">اثير الدين ابهري مفضل بن عمر، - 660 ؟</w:t>
      </w:r>
    </w:p>
    <w:p>
      <w:pPr>
        <w:pStyle w:val="BookText"/>
      </w:pPr>
      <w:r>
        <w:rPr>
          <w:rFonts w:ascii="Amiri" w:hAnsi="Amiri" w:eastAsia="Amiri" w:cs="Amiri"/>
          <w:lang w:bidi="ar-SA"/>
          <w:color w:val="111111"/>
          <w:sz w:val="28"/>
          <w:szCs w:val="28"/>
          <w:rtl/>
        </w:rPr>
        <w:t xml:space="preserve">1 .الاحتساب في علم الحساب، ج1،</w:t>
      </w:r>
    </w:p>
    <w:p>
      <w:pPr>
        <w:pStyle w:val="BookText"/>
      </w:pPr>
      <w:r>
        <w:rPr>
          <w:rFonts w:ascii="IRNazanin" w:hAnsi="IRNazanin" w:eastAsia="IRNazanin" w:cs="IRNazanin"/>
          <w:lang w:bidi="fa-IR"/>
          <w:color w:val="111111"/>
          <w:sz w:val="28"/>
          <w:szCs w:val="28"/>
          <w:rtl/>
        </w:rPr>
        <w:t xml:space="preserve">ص 438 .</w:t>
      </w:r>
    </w:p>
    <w:p>
      <w:pPr>
        <w:pStyle w:val="BookText"/>
      </w:pPr>
      <w:r>
        <w:rPr>
          <w:rFonts w:ascii="Amiri" w:hAnsi="Amiri" w:eastAsia="Amiri" w:cs="Amiri"/>
          <w:lang w:bidi="ar-SA"/>
          <w:color w:val="111111"/>
          <w:sz w:val="28"/>
          <w:szCs w:val="28"/>
          <w:rtl/>
        </w:rPr>
        <w:t xml:space="preserve">2.ايساغوجي = الكليات الخمس = المدخل إلى علم المنطق = الرسالة</w:t>
      </w:r>
    </w:p>
    <w:p>
      <w:pPr>
        <w:pStyle w:val="BookText"/>
      </w:pPr>
      <w:r>
        <w:rPr>
          <w:rFonts w:ascii="Amiri" w:hAnsi="Amiri" w:eastAsia="Amiri" w:cs="Amiri"/>
          <w:lang w:bidi="ar-SA"/>
          <w:color w:val="111111"/>
          <w:sz w:val="28"/>
          <w:szCs w:val="28"/>
          <w:rtl/>
        </w:rPr>
        <w:t xml:space="preserve">الاثيرية في المنطق، ج3، ص99.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پرکار القطوع (رسالة من)، ج3،</w:t>
      </w:r>
    </w:p>
    <w:p>
      <w:pPr>
        <w:pStyle w:val="BookText"/>
      </w:pPr>
      <w:r>
        <w:rPr>
          <w:rFonts w:ascii="IRNazanin" w:hAnsi="IRNazanin" w:eastAsia="IRNazanin" w:cs="IRNazanin"/>
          <w:lang w:bidi="fa-IR"/>
          <w:color w:val="111111"/>
          <w:sz w:val="28"/>
          <w:szCs w:val="28"/>
          <w:rtl/>
        </w:rPr>
        <w:t xml:space="preserve">ص 520.</w:t>
      </w:r>
    </w:p>
    <w:p>
      <w:pPr>
        <w:pStyle w:val="BookText"/>
      </w:pPr>
      <w:r>
        <w:rPr>
          <w:rFonts w:ascii="Amiri" w:hAnsi="Amiri" w:eastAsia="Amiri" w:cs="Amiri"/>
          <w:lang w:bidi="ar-SA"/>
          <w:color w:val="111111"/>
          <w:sz w:val="28"/>
          <w:szCs w:val="28"/>
          <w:rtl/>
        </w:rPr>
        <w:t xml:space="preserve">4 .الزاهرة = الرسالة الزاهرة، ج8،</w:t>
      </w:r>
    </w:p>
    <w:p>
      <w:pPr>
        <w:pStyle w:val="BookText"/>
      </w:pPr>
      <w:r>
        <w:rPr>
          <w:rFonts w:ascii="IRNazanin" w:hAnsi="IRNazanin" w:eastAsia="IRNazanin" w:cs="IRNazanin"/>
          <w:lang w:bidi="fa-IR"/>
          <w:color w:val="111111"/>
          <w:sz w:val="28"/>
          <w:szCs w:val="28"/>
          <w:rtl/>
        </w:rPr>
        <w:t xml:space="preserve">ص 544 .</w:t>
      </w:r>
    </w:p>
    <w:p>
      <w:pPr>
        <w:pStyle w:val="BookText"/>
      </w:pPr>
      <w:r>
        <w:rPr>
          <w:rFonts w:ascii="Amiri" w:hAnsi="Amiri" w:eastAsia="Amiri" w:cs="Amiri"/>
          <w:lang w:bidi="ar-SA"/>
          <w:color w:val="111111"/>
          <w:sz w:val="28"/>
          <w:szCs w:val="28"/>
          <w:rtl/>
        </w:rPr>
        <w:t xml:space="preserve">5 .زبدة الاسرار، ج 8، ص 551.</w:t>
      </w:r>
    </w:p>
    <w:p>
      <w:pPr>
        <w:pStyle w:val="BookText"/>
      </w:pPr>
      <w:r>
        <w:rPr>
          <w:rFonts w:ascii="Amiri" w:hAnsi="Amiri" w:eastAsia="Amiri" w:cs="Amiri"/>
          <w:lang w:bidi="ar-SA"/>
          <w:color w:val="111111"/>
          <w:sz w:val="28"/>
          <w:szCs w:val="28"/>
          <w:rtl/>
        </w:rPr>
        <w:t xml:space="preserve">6 .زبدة الكشف، ج8، ص 590.</w:t>
      </w:r>
    </w:p>
    <w:p>
      <w:pPr>
        <w:pStyle w:val="BookText"/>
      </w:pPr>
      <w:r>
        <w:rPr>
          <w:rFonts w:ascii="Amiri" w:hAnsi="Amiri" w:eastAsia="Amiri" w:cs="Amiri"/>
          <w:lang w:bidi="ar-SA"/>
          <w:color w:val="111111"/>
          <w:sz w:val="28"/>
          <w:szCs w:val="28"/>
          <w:rtl/>
        </w:rPr>
        <w:t xml:space="preserve">7 .غاية الادراك في دراية الافلاك، ج 11،</w:t>
      </w:r>
    </w:p>
    <w:p>
      <w:pPr>
        <w:pStyle w:val="BookText"/>
      </w:pPr>
      <w:r>
        <w:rPr>
          <w:rFonts w:ascii="IRNazanin" w:hAnsi="IRNazanin" w:eastAsia="IRNazanin" w:cs="IRNazanin"/>
          <w:lang w:bidi="fa-IR"/>
          <w:color w:val="111111"/>
          <w:sz w:val="28"/>
          <w:szCs w:val="28"/>
          <w:rtl/>
        </w:rPr>
        <w:t xml:space="preserve">ص 429.</w:t>
      </w:r>
    </w:p>
    <w:p>
      <w:pPr>
        <w:pStyle w:val="BookText"/>
      </w:pPr>
      <w:r>
        <w:rPr>
          <w:rFonts w:ascii="Amiri" w:hAnsi="Amiri" w:eastAsia="Amiri" w:cs="Amiri"/>
          <w:lang w:bidi="ar-SA"/>
          <w:color w:val="111111"/>
          <w:sz w:val="28"/>
          <w:szCs w:val="28"/>
          <w:rtl/>
        </w:rPr>
        <w:t xml:space="preserve">8.المجسطي، ج 13، ص818</w:t>
      </w:r>
    </w:p>
    <w:p>
      <w:pPr>
        <w:pStyle w:val="BookText"/>
      </w:pPr>
      <w:r>
        <w:rPr>
          <w:rFonts w:ascii="Amiri" w:hAnsi="Amiri" w:eastAsia="Amiri" w:cs="Amiri"/>
          <w:lang w:bidi="ar-SA"/>
          <w:color w:val="111111"/>
          <w:sz w:val="28"/>
          <w:szCs w:val="28"/>
          <w:rtl/>
        </w:rPr>
        <w:t xml:space="preserve">9 .مختصر في علم الهيئة، ج 14،</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مصباح الدراية في شرح الهداية</w:t>
      </w:r>
    </w:p>
    <w:p>
      <w:pPr>
        <w:pStyle w:val="BookText"/>
      </w:pPr>
      <w:r>
        <w:rPr>
          <w:rFonts w:ascii="IRNazanin" w:hAnsi="IRNazanin" w:eastAsia="IRNazanin" w:cs="IRNazanin"/>
          <w:lang w:bidi="fa-IR"/>
          <w:color w:val="111111"/>
          <w:sz w:val="28"/>
          <w:szCs w:val="28"/>
          <w:rtl/>
        </w:rPr>
        <w:t xml:space="preserve">ج 14، ص 705.</w:t>
      </w:r>
    </w:p>
    <w:p>
      <w:pPr>
        <w:pStyle w:val="BookText"/>
      </w:pPr>
      <w:r>
        <w:rPr>
          <w:rFonts w:ascii="Amiri" w:hAnsi="Amiri" w:eastAsia="Amiri" w:cs="Amiri"/>
          <w:lang w:bidi="ar-SA"/>
          <w:color w:val="111111"/>
          <w:sz w:val="28"/>
          <w:szCs w:val="28"/>
          <w:rtl/>
        </w:rPr>
        <w:t xml:space="preserve">11 هداية الحكمة - الهداية الأثيرية</w:t>
      </w:r>
    </w:p>
    <w:p>
      <w:pPr>
        <w:pStyle w:val="BookText"/>
      </w:pPr>
      <w:r>
        <w:rPr>
          <w:rFonts w:ascii="IRNazanin" w:hAnsi="IRNazanin" w:eastAsia="IRNazanin" w:cs="IRNazanin"/>
          <w:lang w:bidi="fa-IR"/>
          <w:color w:val="111111"/>
          <w:sz w:val="28"/>
          <w:szCs w:val="28"/>
          <w:rtl/>
        </w:rPr>
        <w:t xml:space="preserve">ج 16، ص 606.</w:t>
      </w:r>
    </w:p>
    <w:p>
      <w:pPr>
        <w:pStyle w:val="Heading2"/>
      </w:pPr>
      <w:bookmarkStart w:id="1956" w:name="_Toc1058"/>
      <w:r>
        <w:t>اثیرالدین اخسيكتي - 577 ؟ ه-</w:t>
      </w:r>
      <w:bookmarkEnd w:id="1956"/>
    </w:p>
    <w:p>
      <w:pPr>
        <w:pStyle w:val="BookText"/>
      </w:pPr>
      <w:r>
        <w:rPr>
          <w:rFonts w:ascii="Amiri" w:hAnsi="Amiri" w:eastAsia="Amiri" w:cs="Amiri"/>
          <w:lang w:bidi="ar-SA"/>
          <w:color w:val="111111"/>
          <w:sz w:val="28"/>
          <w:szCs w:val="28"/>
          <w:rtl/>
        </w:rPr>
        <w:t xml:space="preserve">ديوان اثير الدين اخسيكتي، ج7،</w:t>
      </w:r>
    </w:p>
    <w:p>
      <w:pPr>
        <w:pStyle w:val="BookText"/>
      </w:pPr>
      <w:r>
        <w:rPr>
          <w:rFonts w:ascii="IRNazanin" w:hAnsi="IRNazanin" w:eastAsia="IRNazanin" w:cs="IRNazanin"/>
          <w:lang w:bidi="fa-IR"/>
          <w:color w:val="111111"/>
          <w:sz w:val="28"/>
          <w:szCs w:val="28"/>
          <w:rtl/>
        </w:rPr>
        <w:t xml:space="preserve">ص 567 .</w:t>
      </w:r>
    </w:p>
    <w:p>
      <w:pPr>
        <w:pStyle w:val="Heading2"/>
      </w:pPr>
      <w:bookmarkStart w:id="1957" w:name="_Toc1059"/>
      <w:r>
        <w:t>اثيري قهستاني ، حسين بن جمال ه-</w:t>
      </w:r>
      <w:bookmarkEnd w:id="1957"/>
    </w:p>
    <w:p>
      <w:pPr>
        <w:pStyle w:val="BookText"/>
      </w:pPr>
      <w:r>
        <w:rPr>
          <w:rFonts w:ascii="Amiri" w:hAnsi="Amiri" w:eastAsia="Amiri" w:cs="Amiri"/>
          <w:lang w:bidi="ar-SA"/>
          <w:color w:val="111111"/>
          <w:sz w:val="28"/>
          <w:szCs w:val="28"/>
          <w:rtl/>
        </w:rPr>
        <w:t xml:space="preserve">شرح القصيدة العينية = الروحية في</w:t>
      </w:r>
    </w:p>
    <w:p>
      <w:pPr>
        <w:pStyle w:val="BookText"/>
      </w:pPr>
      <w:r>
        <w:rPr>
          <w:rFonts w:ascii="IRNazanin" w:hAnsi="IRNazanin" w:eastAsia="IRNazanin" w:cs="IRNazanin"/>
          <w:lang w:bidi="fa-IR"/>
          <w:color w:val="111111"/>
          <w:sz w:val="28"/>
          <w:szCs w:val="28"/>
          <w:rtl/>
        </w:rPr>
        <w:t xml:space="preserve">النفس، ج 9، ص881</w:t>
      </w:r>
    </w:p>
    <w:p>
      <w:pPr>
        <w:pStyle w:val="BookText"/>
      </w:pPr>
      <w:r>
        <w:rPr>
          <w:rFonts w:ascii="Amiri" w:hAnsi="Amiri" w:eastAsia="Amiri" w:cs="Amiri"/>
          <w:lang w:bidi="ar-SA"/>
          <w:color w:val="111111"/>
          <w:sz w:val="28"/>
          <w:szCs w:val="28"/>
          <w:rtl/>
        </w:rPr>
        <w:t xml:space="preserve">اجدابي ، ابراهيم بن اسماعيل -ابن اجدابي</w:t>
      </w:r>
    </w:p>
    <w:p>
      <w:pPr>
        <w:pStyle w:val="Heading2"/>
      </w:pPr>
      <w:bookmarkStart w:id="1958" w:name="_Toc1060"/>
      <w:r>
        <w:t>اجموري، عبد البر بن عبدالله - 1166 ه-</w:t>
      </w:r>
      <w:bookmarkEnd w:id="1958"/>
    </w:p>
    <w:p>
      <w:pPr>
        <w:pStyle w:val="BookText"/>
      </w:pPr>
      <w:r>
        <w:rPr>
          <w:rFonts w:ascii="Amiri" w:hAnsi="Amiri" w:eastAsia="Amiri" w:cs="Amiri"/>
          <w:lang w:bidi="ar-SA"/>
          <w:color w:val="111111"/>
          <w:sz w:val="28"/>
          <w:szCs w:val="28"/>
          <w:rtl/>
        </w:rPr>
        <w:t xml:space="preserve">ابراهيم بن اسماعيل</w:t>
      </w:r>
    </w:p>
    <w:p>
      <w:pPr>
        <w:pStyle w:val="BookText"/>
      </w:pPr>
      <w:r>
        <w:rPr>
          <w:rFonts w:ascii="Amiri" w:hAnsi="Amiri" w:eastAsia="Amiri" w:cs="Amiri"/>
          <w:lang w:bidi="ar-SA"/>
          <w:color w:val="111111"/>
          <w:sz w:val="28"/>
          <w:szCs w:val="28"/>
          <w:rtl/>
        </w:rPr>
        <w:t xml:space="preserve">منحة الاحباب في شرح تحرير تنقيح</w:t>
      </w:r>
    </w:p>
    <w:p>
      <w:pPr>
        <w:pStyle w:val="BookText"/>
      </w:pPr>
      <w:r>
        <w:rPr>
          <w:rFonts w:ascii="IRNazanin" w:hAnsi="IRNazanin" w:eastAsia="IRNazanin" w:cs="IRNazanin"/>
          <w:lang w:bidi="fa-IR"/>
          <w:color w:val="111111"/>
          <w:sz w:val="28"/>
          <w:szCs w:val="28"/>
          <w:rtl/>
        </w:rPr>
        <w:t xml:space="preserve">اللباب، ج 15، ص 660.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1" w:name="pg7742_69664"/>
    <w:bookmarkEnd w:id="151"/>
    <w:p>
      <w:pPr>
        <w:pStyle w:val="Heading2"/>
      </w:pPr>
      <w:bookmarkStart w:id="1959" w:name="_Toc1061"/>
      <w:r>
        <w:t>اجهوري، عبد البر بن عبدالله - 1070 ه-</w:t>
      </w:r>
      <w:bookmarkEnd w:id="1959"/>
    </w:p>
    <w:p>
      <w:pPr>
        <w:pStyle w:val="BookText"/>
      </w:pPr>
      <w:r>
        <w:rPr>
          <w:rFonts w:ascii="Amiri" w:hAnsi="Amiri" w:eastAsia="Amiri" w:cs="Amiri"/>
          <w:lang w:bidi="ar-SA"/>
          <w:color w:val="111111"/>
          <w:sz w:val="28"/>
          <w:szCs w:val="28"/>
          <w:rtl/>
        </w:rPr>
        <w:t xml:space="preserve">فتح القريب المجيد في شرح جوهرة التوحيد، ج 11، ص 668.</w:t>
      </w:r>
    </w:p>
    <w:p>
      <w:pPr>
        <w:pStyle w:val="Heading2"/>
      </w:pPr>
      <w:bookmarkStart w:id="1960" w:name="_Toc1062"/>
      <w:r>
        <w:t>اجهوري، عطية الله بن عطية - 1190 ه-</w:t>
      </w:r>
      <w:bookmarkEnd w:id="19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حاشية الاجهوري على تفسير الجلالين = الكوكبين النيرين في حل</w:t>
      </w:r>
    </w:p>
    <w:p>
      <w:pPr>
        <w:pStyle w:val="BookText"/>
      </w:pPr>
      <w:r>
        <w:rPr>
          <w:rFonts w:ascii="Amiri" w:hAnsi="Amiri" w:eastAsia="Amiri" w:cs="Amiri"/>
          <w:lang w:bidi="ar-SA"/>
          <w:color w:val="111111"/>
          <w:sz w:val="28"/>
          <w:szCs w:val="28"/>
          <w:rtl/>
        </w:rPr>
        <w:t xml:space="preserve">الفاظ الجلالين، ج 5، ص 656.</w:t>
      </w:r>
    </w:p>
    <w:p>
      <w:pPr>
        <w:pStyle w:val="BookText"/>
      </w:pPr>
      <w:r>
        <w:rPr>
          <w:rFonts w:ascii="Amiri" w:hAnsi="Amiri" w:eastAsia="Amiri" w:cs="Amiri"/>
          <w:lang w:bidi="ar-SA"/>
          <w:color w:val="111111"/>
          <w:sz w:val="28"/>
          <w:szCs w:val="28"/>
          <w:rtl/>
        </w:rPr>
        <w:t xml:space="preserve">2 حاشية البيقونية، ج 5، ص 712.</w:t>
      </w:r>
    </w:p>
    <w:p>
      <w:pPr>
        <w:pStyle w:val="Heading2"/>
      </w:pPr>
      <w:bookmarkStart w:id="1961" w:name="_Toc1063"/>
      <w:r>
        <w:t>اجهوري، علي بن محمّد، 967 - 1066 ه-</w:t>
      </w:r>
      <w:bookmarkEnd w:id="1961"/>
    </w:p>
    <w:p>
      <w:pPr>
        <w:pStyle w:val="BookText"/>
      </w:pPr>
      <w:r>
        <w:rPr>
          <w:rFonts w:ascii="IRNazanin" w:hAnsi="IRNazanin" w:eastAsia="IRNazanin" w:cs="IRNazanin"/>
          <w:lang w:bidi="fa-IR"/>
          <w:color w:val="111111"/>
          <w:sz w:val="28"/>
          <w:szCs w:val="28"/>
          <w:rtl/>
        </w:rPr>
        <w:t xml:space="preserve">1 اعراب لا اله الا الله، ج2، ص 547.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المقدمة المنظومة في علم</w:t>
      </w:r>
    </w:p>
    <w:p>
      <w:pPr>
        <w:pStyle w:val="BookText"/>
      </w:pPr>
      <w:r>
        <w:rPr>
          <w:rFonts w:ascii="IRNazanin" w:hAnsi="IRNazanin" w:eastAsia="IRNazanin" w:cs="IRNazanin"/>
          <w:lang w:bidi="fa-IR"/>
          <w:color w:val="111111"/>
          <w:sz w:val="28"/>
          <w:szCs w:val="28"/>
          <w:rtl/>
        </w:rPr>
        <w:t xml:space="preserve">الحساب، ج 10، ص 206.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عقيدة الاجهوري، ج9،</w:t>
      </w:r>
    </w:p>
    <w:p>
      <w:pPr>
        <w:pStyle w:val="BookText"/>
      </w:pPr>
      <w:r>
        <w:rPr>
          <w:rFonts w:ascii="IRNazanin" w:hAnsi="IRNazanin" w:eastAsia="IRNazanin" w:cs="IRNazanin"/>
          <w:lang w:bidi="fa-IR"/>
          <w:color w:val="111111"/>
          <w:sz w:val="28"/>
          <w:szCs w:val="28"/>
          <w:rtl/>
        </w:rPr>
        <w:t xml:space="preserve">ص 741.</w:t>
      </w:r>
    </w:p>
    <w:p>
      <w:pPr>
        <w:pStyle w:val="BookText"/>
      </w:pPr>
      <w:r>
        <w:rPr>
          <w:rFonts w:ascii="Amiri" w:hAnsi="Amiri" w:eastAsia="Amiri" w:cs="Amiri"/>
          <w:lang w:bidi="ar-SA"/>
          <w:color w:val="111111"/>
          <w:sz w:val="28"/>
          <w:szCs w:val="28"/>
          <w:rtl/>
        </w:rPr>
        <w:t xml:space="preserve">4 .شرح قصيدة مجنون ليلي، ج9،</w:t>
      </w:r>
    </w:p>
    <w:p>
      <w:pPr>
        <w:pStyle w:val="BookText"/>
      </w:pPr>
      <w:r>
        <w:rPr>
          <w:rFonts w:ascii="IRNazanin" w:hAnsi="IRNazanin" w:eastAsia="IRNazanin" w:cs="IRNazanin"/>
          <w:lang w:bidi="fa-IR"/>
          <w:color w:val="111111"/>
          <w:sz w:val="28"/>
          <w:szCs w:val="28"/>
          <w:rtl/>
        </w:rPr>
        <w:t xml:space="preserve">ص 892</w:t>
      </w:r>
    </w:p>
    <w:p>
      <w:pPr>
        <w:pStyle w:val="BookText"/>
      </w:pPr>
      <w:r>
        <w:rPr>
          <w:rFonts w:ascii="IRNazanin" w:hAnsi="IRNazanin" w:eastAsia="IRNazanin" w:cs="IRNazanin"/>
          <w:lang w:bidi="fa-IR"/>
          <w:color w:val="111111"/>
          <w:sz w:val="28"/>
          <w:szCs w:val="28"/>
          <w:rtl/>
        </w:rPr>
        <w:t xml:space="preserve">5 .فضائل شهر رمضان، ج 12، ص10.</w:t>
      </w:r>
    </w:p>
    <w:p>
      <w:pPr>
        <w:pStyle w:val="BookText"/>
      </w:pPr>
      <w:r>
        <w:rPr>
          <w:rFonts w:ascii="Amiri" w:hAnsi="Amiri" w:eastAsia="Amiri" w:cs="Amiri"/>
          <w:lang w:bidi="ar-SA"/>
          <w:color w:val="111111"/>
          <w:sz w:val="28"/>
          <w:szCs w:val="28"/>
          <w:rtl/>
        </w:rPr>
        <w:t xml:space="preserve">6 ليلة النصف من شعبان (رسالة في)</w:t>
      </w:r>
    </w:p>
    <w:p>
      <w:pPr>
        <w:pStyle w:val="BookText"/>
      </w:pPr>
      <w:r>
        <w:rPr>
          <w:rFonts w:ascii="IRNazanin" w:hAnsi="IRNazanin" w:eastAsia="IRNazanin" w:cs="IRNazanin"/>
          <w:lang w:bidi="fa-IR"/>
          <w:color w:val="111111"/>
          <w:sz w:val="28"/>
          <w:szCs w:val="28"/>
          <w:rtl/>
        </w:rPr>
        <w:t xml:space="preserve">ج 13، ص 666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النور الوهاج في الكلام على الاسراء</w:t>
      </w:r>
    </w:p>
    <w:p>
      <w:pPr>
        <w:pStyle w:val="BookText"/>
      </w:pPr>
      <w:r>
        <w:rPr>
          <w:rFonts w:ascii="IRNazanin" w:hAnsi="IRNazanin" w:eastAsia="IRNazanin" w:cs="IRNazanin"/>
          <w:lang w:bidi="fa-IR"/>
          <w:color w:val="111111"/>
          <w:sz w:val="28"/>
          <w:szCs w:val="28"/>
          <w:rtl/>
        </w:rPr>
        <w:t xml:space="preserve">و المعراج، ج 16، ص 571</w:t>
      </w:r>
    </w:p>
    <w:p>
      <w:pPr>
        <w:pStyle w:val="Heading2"/>
      </w:pPr>
      <w:bookmarkStart w:id="1962" w:name="_Toc1064"/>
      <w:r>
        <w:t>احدب، ابراهيم بن علي، 1242-1308 ه-</w:t>
      </w:r>
      <w:bookmarkEnd w:id="1962"/>
    </w:p>
    <w:p>
      <w:pPr>
        <w:pStyle w:val="BookText"/>
      </w:pPr>
      <w:r>
        <w:rPr>
          <w:rFonts w:ascii="Amiri" w:hAnsi="Amiri" w:eastAsia="Amiri" w:cs="Amiri"/>
          <w:lang w:bidi="ar-SA"/>
          <w:color w:val="111111"/>
          <w:sz w:val="28"/>
          <w:szCs w:val="28"/>
          <w:rtl/>
        </w:rPr>
        <w:t xml:space="preserve">كشف الأرب عن سر الأدب، ج 13،</w:t>
      </w:r>
    </w:p>
    <w:p>
      <w:pPr>
        <w:pStyle w:val="BookText"/>
      </w:pPr>
      <w:r>
        <w:rPr>
          <w:rFonts w:ascii="IRNazanin" w:hAnsi="IRNazanin" w:eastAsia="IRNazanin" w:cs="IRNazanin"/>
          <w:lang w:bidi="fa-IR"/>
          <w:color w:val="111111"/>
          <w:sz w:val="28"/>
          <w:szCs w:val="28"/>
          <w:rtl/>
        </w:rPr>
        <w:t xml:space="preserve">ص 180 .</w:t>
      </w:r>
    </w:p>
    <w:p>
      <w:pPr>
        <w:pStyle w:val="Heading2"/>
      </w:pPr>
      <w:bookmarkStart w:id="1963" w:name="_Toc1065"/>
      <w:r>
        <w:t>احدب، محمّد بن عمر قرن 11 ه-</w:t>
      </w:r>
      <w:bookmarkEnd w:id="1963"/>
    </w:p>
    <w:p>
      <w:pPr>
        <w:pStyle w:val="BookText"/>
      </w:pPr>
      <w:r>
        <w:rPr>
          <w:rFonts w:ascii="IRNazanin" w:hAnsi="IRNazanin" w:eastAsia="IRNazanin" w:cs="IRNazanin"/>
          <w:lang w:bidi="fa-IR"/>
          <w:color w:val="111111"/>
          <w:sz w:val="28"/>
          <w:szCs w:val="28"/>
          <w:rtl/>
        </w:rPr>
        <w:t xml:space="preserve">حکایات قره قوش، ج 6، ص723.</w:t>
      </w:r>
    </w:p>
    <w:p>
      <w:pPr>
        <w:pStyle w:val="Heading2"/>
      </w:pPr>
      <w:bookmarkStart w:id="1964" w:name="_Toc1066"/>
      <w:r>
        <w:t>احسائي ، ابراهيم بن حسن - 1048ه-</w:t>
      </w:r>
      <w:bookmarkEnd w:id="1964"/>
    </w:p>
    <w:p>
      <w:pPr>
        <w:pStyle w:val="BookText"/>
      </w:pPr>
      <w:r>
        <w:rPr>
          <w:rFonts w:ascii="Amiri" w:hAnsi="Amiri" w:eastAsia="Amiri" w:cs="Amiri"/>
          <w:lang w:bidi="ar-SA"/>
          <w:color w:val="111111"/>
          <w:sz w:val="28"/>
          <w:szCs w:val="28"/>
          <w:rtl/>
        </w:rPr>
        <w:t xml:space="preserve">1 .آداب الاكل (منظومة في)، ج1،</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Amiri" w:hAnsi="Amiri" w:eastAsia="Amiri" w:cs="Amiri"/>
          <w:lang w:bidi="ar-SA"/>
          <w:color w:val="111111"/>
          <w:sz w:val="28"/>
          <w:szCs w:val="28"/>
          <w:rtl/>
        </w:rPr>
        <w:t xml:space="preserve">2 .بسط الكسا لدفع الأسي، ج3،</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Amiri" w:hAnsi="Amiri" w:eastAsia="Amiri" w:cs="Amiri"/>
          <w:lang w:bidi="ar-SA"/>
          <w:color w:val="111111"/>
          <w:sz w:val="28"/>
          <w:szCs w:val="28"/>
          <w:rtl/>
        </w:rPr>
        <w:t xml:space="preserve">3 .تشطير قصيدة لابن فارض ج4</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Amiri" w:hAnsi="Amiri" w:eastAsia="Amiri" w:cs="Amiri"/>
          <w:lang w:bidi="ar-SA"/>
          <w:color w:val="111111"/>
          <w:sz w:val="28"/>
          <w:szCs w:val="28"/>
          <w:rtl/>
        </w:rPr>
        <w:t xml:space="preserve">4 .دفع الأسي بأذكار الصباح والمساء</w:t>
      </w:r>
    </w:p>
    <w:p>
      <w:pPr>
        <w:pStyle w:val="BookText"/>
      </w:pPr>
      <w:r>
        <w:rPr>
          <w:rFonts w:ascii="IRNazanin" w:hAnsi="IRNazanin" w:eastAsia="IRNazanin" w:cs="IRNazanin"/>
          <w:lang w:bidi="fa-IR"/>
          <w:color w:val="111111"/>
          <w:sz w:val="28"/>
          <w:szCs w:val="28"/>
          <w:rtl/>
        </w:rPr>
        <w:t xml:space="preserve">ج 7، ص 420.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الارجوزة العمريطية، ج 9،</w:t>
      </w:r>
    </w:p>
    <w:p>
      <w:pPr>
        <w:pStyle w:val="BookText"/>
      </w:pPr>
      <w:r>
        <w:rPr>
          <w:rFonts w:ascii="IRNazanin" w:hAnsi="IRNazanin" w:eastAsia="IRNazanin" w:cs="IRNazanin"/>
          <w:lang w:bidi="fa-IR"/>
          <w:color w:val="111111"/>
          <w:sz w:val="28"/>
          <w:szCs w:val="28"/>
          <w:rtl/>
        </w:rPr>
        <w:t xml:space="preserve">ص 180 .</w:t>
      </w:r>
    </w:p>
    <w:p>
      <w:pPr>
        <w:pStyle w:val="BookText"/>
      </w:pPr>
      <w:r>
        <w:rPr>
          <w:rFonts w:ascii="Amiri" w:hAnsi="Amiri" w:eastAsia="Amiri" w:cs="Amiri"/>
          <w:lang w:bidi="ar-SA"/>
          <w:color w:val="111111"/>
          <w:sz w:val="28"/>
          <w:szCs w:val="28"/>
          <w:rtl/>
        </w:rPr>
        <w:t xml:space="preserve">احسائي ، ابن ابي جمهور ابن ابي جمهور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احسائي ، احمد بن حسن ابن عامر</w:t>
      </w:r>
    </w:p>
    <w:p>
      <w:pPr>
        <w:pStyle w:val="BookText"/>
      </w:pPr>
      <w:r>
        <w:rPr>
          <w:rFonts w:ascii="Amiri" w:hAnsi="Amiri" w:eastAsia="Amiri" w:cs="Amiri"/>
          <w:lang w:bidi="ar-SA"/>
          <w:color w:val="111111"/>
          <w:sz w:val="28"/>
          <w:szCs w:val="28"/>
          <w:rtl/>
        </w:rPr>
        <w:t xml:space="preserve">احسائي ، احمد بن حسن</w:t>
      </w:r>
    </w:p>
    <w:p>
      <w:pPr>
        <w:pStyle w:val="Heading2"/>
      </w:pPr>
      <w:bookmarkStart w:id="1965" w:name="_Toc1067"/>
      <w:r>
        <w:t>احسائي ، احمد بن زين الدين 1166 -</w:t>
      </w:r>
      <w:bookmarkEnd w:id="1965"/>
    </w:p>
    <w:p>
      <w:pPr>
        <w:pStyle w:val="BookText"/>
      </w:pPr>
      <w:r>
        <w:rPr>
          <w:rFonts w:ascii="IRNazanin" w:hAnsi="IRNazanin" w:eastAsia="IRNazanin" w:cs="IRNazanin"/>
          <w:lang w:bidi="fa-IR"/>
          <w:color w:val="111111"/>
          <w:sz w:val="28"/>
          <w:szCs w:val="28"/>
          <w:rtl/>
        </w:rPr>
        <w:t xml:space="preserve">1241 ؟ ه-</w:t>
      </w:r>
    </w:p>
    <w:p>
      <w:pPr>
        <w:pStyle w:val="BookText"/>
      </w:pPr>
      <w:r>
        <w:rPr>
          <w:rFonts w:ascii="Amiri" w:hAnsi="Amiri" w:eastAsia="Amiri" w:cs="Amiri"/>
          <w:lang w:bidi="ar-SA"/>
          <w:color w:val="111111"/>
          <w:sz w:val="28"/>
          <w:szCs w:val="28"/>
          <w:rtl/>
        </w:rPr>
        <w:t xml:space="preserve">1 الاجازة، ج 1، ص210.</w:t>
      </w:r>
    </w:p>
    <w:p>
      <w:pPr>
        <w:pStyle w:val="BookText"/>
      </w:pPr>
      <w:r>
        <w:rPr>
          <w:rFonts w:ascii="IRNazanin" w:hAnsi="IRNazanin" w:eastAsia="IRNazanin" w:cs="IRNazanin"/>
          <w:lang w:bidi="fa-IR"/>
          <w:color w:val="111111"/>
          <w:sz w:val="28"/>
          <w:szCs w:val="28"/>
          <w:rtl/>
        </w:rPr>
        <w:t xml:space="preserve">2 اجازة للشيخ حسن ،کوهر، ج1،</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الاجتهاد والتقليد = جواب المسائل، ج 1، ص303.</w:t>
      </w:r>
    </w:p>
    <w:p>
      <w:pPr>
        <w:pStyle w:val="BookText"/>
      </w:pPr>
      <w:r>
        <w:rPr>
          <w:rFonts w:ascii="Amiri" w:hAnsi="Amiri" w:eastAsia="Amiri" w:cs="Amiri"/>
          <w:lang w:bidi="ar-SA"/>
          <w:color w:val="111111"/>
          <w:sz w:val="28"/>
          <w:szCs w:val="28"/>
          <w:rtl/>
        </w:rPr>
        <w:t xml:space="preserve">4 الاجماعية = رسالة في الاجماع، ج1،</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Amiri" w:hAnsi="Amiri" w:eastAsia="Amiri" w:cs="Amiri"/>
          <w:lang w:bidi="ar-SA"/>
          <w:color w:val="111111"/>
          <w:sz w:val="28"/>
          <w:szCs w:val="28"/>
          <w:rtl/>
        </w:rPr>
        <w:t xml:space="preserve">5 اجوبة المسائل الثمان = جواب مسائل بعض السادة، ج 1، ص 345.</w:t>
      </w:r>
    </w:p>
    <w:p>
      <w:pPr>
        <w:pStyle w:val="BookText"/>
      </w:pPr>
      <w:r>
        <w:rPr>
          <w:rFonts w:ascii="Amiri" w:hAnsi="Amiri" w:eastAsia="Amiri" w:cs="Amiri"/>
          <w:lang w:bidi="ar-SA"/>
          <w:color w:val="111111"/>
          <w:sz w:val="28"/>
          <w:szCs w:val="28"/>
          <w:rtl/>
        </w:rPr>
        <w:t xml:space="preserve">6 اجوبة المسائل القطيفية، ج1،</w:t>
      </w:r>
    </w:p>
    <w:p>
      <w:pPr>
        <w:pStyle w:val="BookText"/>
      </w:pPr>
      <w:r>
        <w:rPr>
          <w:rFonts w:ascii="IRNazanin" w:hAnsi="IRNazanin" w:eastAsia="IRNazanin" w:cs="IRNazanin"/>
          <w:lang w:bidi="fa-IR"/>
          <w:color w:val="111111"/>
          <w:sz w:val="28"/>
          <w:szCs w:val="28"/>
          <w:rtl/>
        </w:rPr>
        <w:t xml:space="preserve">ص 367.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اجوبة مسائل آخوند ملا علي، ج1،</w:t>
      </w:r>
    </w:p>
    <w:p>
      <w:pPr>
        <w:pStyle w:val="BookText"/>
      </w:pPr>
      <w:r>
        <w:rPr>
          <w:rFonts w:ascii="IRNazanin" w:hAnsi="IRNazanin" w:eastAsia="IRNazanin" w:cs="IRNazanin"/>
          <w:lang w:bidi="fa-IR"/>
          <w:color w:val="111111"/>
          <w:sz w:val="28"/>
          <w:szCs w:val="28"/>
          <w:rtl/>
        </w:rPr>
        <w:t xml:space="preserve">ص 341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اجوبة مسائل السيد ابي القاسم</w:t>
      </w:r>
    </w:p>
    <w:p>
      <w:pPr>
        <w:pStyle w:val="BookText"/>
      </w:pPr>
      <w:r>
        <w:rPr>
          <w:rFonts w:ascii="Amiri" w:hAnsi="Amiri" w:eastAsia="Amiri" w:cs="Amiri"/>
          <w:lang w:bidi="ar-SA"/>
          <w:color w:val="111111"/>
          <w:sz w:val="28"/>
          <w:szCs w:val="28"/>
          <w:rtl/>
        </w:rPr>
        <w:t xml:space="preserve">لاهيجي = رسالة وعائية، ج 1، ص 351.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اجوبة مسائل السيد محمّد البكا =</w:t>
      </w:r>
    </w:p>
    <w:p>
      <w:pPr>
        <w:pStyle w:val="BookText"/>
      </w:pPr>
      <w:r>
        <w:rPr>
          <w:rFonts w:ascii="Amiri" w:hAnsi="Amiri" w:eastAsia="Amiri" w:cs="Amiri"/>
          <w:lang w:bidi="ar-SA"/>
          <w:color w:val="111111"/>
          <w:sz w:val="28"/>
          <w:szCs w:val="28"/>
          <w:rtl/>
        </w:rPr>
        <w:t xml:space="preserve">حقيقة سورة التوحيد و آية النور ج 1، ص 353.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اجوبة مسائل الشيخ احمد بن</w:t>
      </w:r>
    </w:p>
    <w:p>
      <w:pPr>
        <w:pStyle w:val="BookText"/>
      </w:pPr>
      <w:r>
        <w:rPr>
          <w:rFonts w:ascii="Amiri" w:hAnsi="Amiri" w:eastAsia="Amiri" w:cs="Amiri"/>
          <w:lang w:bidi="ar-SA"/>
          <w:color w:val="111111"/>
          <w:sz w:val="28"/>
          <w:szCs w:val="28"/>
          <w:rtl/>
        </w:rPr>
        <w:t xml:space="preserve">صالح بن طوق القطيفي، ج 1،</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اجوبة مسائل الشيخ ملا محمّد</w:t>
      </w:r>
    </w:p>
    <w:p>
      <w:pPr>
        <w:pStyle w:val="BookText"/>
      </w:pPr>
      <w:r>
        <w:rPr>
          <w:rFonts w:ascii="IRNazanin" w:hAnsi="IRNazanin" w:eastAsia="IRNazanin" w:cs="IRNazanin"/>
          <w:lang w:bidi="fa-IR"/>
          <w:color w:val="111111"/>
          <w:sz w:val="28"/>
          <w:szCs w:val="28"/>
          <w:rtl/>
        </w:rPr>
        <w:t xml:space="preserve">ج 1، ص 357.</w:t>
      </w:r>
    </w:p>
    <w:p>
      <w:pPr>
        <w:pStyle w:val="BookText"/>
      </w:pPr>
      <w:r>
        <w:rPr>
          <w:rFonts w:ascii="Amiri" w:hAnsi="Amiri" w:eastAsia="Amiri" w:cs="Amiri"/>
          <w:lang w:bidi="ar-SA"/>
          <w:color w:val="111111"/>
          <w:sz w:val="28"/>
          <w:szCs w:val="28"/>
          <w:rtl/>
        </w:rPr>
        <w:t xml:space="preserve">12 .اجوبة مسائل جعفر بن ميرزا احمد النواب - الرسالة الجعفرية ج 1، ص 346.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اجوبة مسائل عبدالحسين بن يوسف بحراني = اقسام الكفر، ج1،</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اجوبة مسائل فتحعلي شاه قاجار</w:t>
      </w:r>
    </w:p>
    <w:p>
      <w:pPr>
        <w:pStyle w:val="BookText"/>
      </w:pPr>
      <w:r>
        <w:rPr>
          <w:rFonts w:ascii="IRNazanin" w:hAnsi="IRNazanin" w:eastAsia="IRNazanin" w:cs="IRNazanin"/>
          <w:lang w:bidi="fa-IR"/>
          <w:color w:val="111111"/>
          <w:sz w:val="28"/>
          <w:szCs w:val="28"/>
          <w:rtl/>
        </w:rPr>
        <w:t xml:space="preserve">ج 1، ص 365.</w:t>
      </w:r>
    </w:p>
    <w:p>
      <w:pPr>
        <w:pStyle w:val="BookText"/>
      </w:pPr>
      <w:r>
        <w:rPr>
          <w:rFonts w:ascii="Amiri" w:hAnsi="Amiri" w:eastAsia="Amiri" w:cs="Amiri"/>
          <w:lang w:bidi="ar-SA"/>
          <w:color w:val="111111"/>
          <w:sz w:val="28"/>
          <w:szCs w:val="28"/>
          <w:rtl/>
        </w:rPr>
        <w:t xml:space="preserve">15 .اجوبة مسائل محمّد بن علي بن عبدالجبار القطيفي، ج 1، ص 369.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اجوبة مسائل محمّد مهدي بن</w:t>
      </w:r>
    </w:p>
    <w:p>
      <w:pPr>
        <w:pStyle w:val="BookText"/>
      </w:pPr>
      <w:r>
        <w:rPr>
          <w:rFonts w:ascii="Amiri" w:hAnsi="Amiri" w:eastAsia="Amiri" w:cs="Amiri"/>
          <w:lang w:bidi="ar-SA"/>
          <w:color w:val="111111"/>
          <w:sz w:val="28"/>
          <w:szCs w:val="28"/>
          <w:rtl/>
        </w:rPr>
        <w:t xml:space="preserve">محمّد ابرقوئي، ج 1، ص 369.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اجوبة مسائل ملاكاظم بن علي نقي سمناني = الرسالة السمنانية ج 1، ص 372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اجوبة مسائل ملاكاظم بن علي</w:t>
      </w:r>
    </w:p>
    <w:p>
      <w:pPr>
        <w:pStyle w:val="BookText"/>
      </w:pPr>
      <w:r>
        <w:rPr>
          <w:rFonts w:ascii="Amiri" w:hAnsi="Amiri" w:eastAsia="Amiri" w:cs="Amiri"/>
          <w:lang w:bidi="ar-SA"/>
          <w:color w:val="111111"/>
          <w:sz w:val="28"/>
          <w:szCs w:val="28"/>
          <w:rtl/>
        </w:rPr>
        <w:t xml:space="preserve">نقي سمناني (الثاني) = الرسالة السمنانية (الثاني)، ج1، ص372.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اجوبة مسائل من ،اصفهان، ج1،</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احوال احمد بن زین الدین احسايي (ترجمه)، ج1، ص 499.</w:t>
      </w:r>
    </w:p>
    <w:p>
      <w:pPr>
        <w:pStyle w:val="BookText"/>
      </w:pPr>
      <w:r>
        <w:rPr>
          <w:rFonts w:ascii="IRNazanin" w:hAnsi="IRNazanin" w:eastAsia="IRNazanin" w:cs="IRNazanin"/>
          <w:lang w:bidi="fa-IR"/>
          <w:color w:val="111111"/>
          <w:sz w:val="28"/>
          <w:szCs w:val="28"/>
          <w:rtl/>
        </w:rPr>
        <w:t xml:space="preserve">21 .اختلاف طرق الاستدلال و استنباط</w:t>
      </w:r>
    </w:p>
    <w:p>
      <w:pPr>
        <w:pStyle w:val="BookText"/>
      </w:pPr>
      <w:r>
        <w:rPr>
          <w:rFonts w:ascii="Amiri" w:hAnsi="Amiri" w:eastAsia="Amiri" w:cs="Amiri"/>
          <w:lang w:bidi="ar-SA"/>
          <w:color w:val="111111"/>
          <w:sz w:val="28"/>
          <w:szCs w:val="28"/>
          <w:rtl/>
        </w:rPr>
        <w:t xml:space="preserve">الاحكام (رسالة في)، ج 1، ص 549.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ادلة الحكمة رسالة في)، ج1،</w:t>
      </w:r>
    </w:p>
    <w:p>
      <w:pPr>
        <w:pStyle w:val="BookText"/>
      </w:pPr>
      <w:r>
        <w:rPr>
          <w:rFonts w:ascii="IRNazanin" w:hAnsi="IRNazanin" w:eastAsia="IRNazanin" w:cs="IRNazanin"/>
          <w:lang w:bidi="fa-IR"/>
          <w:color w:val="111111"/>
          <w:sz w:val="28"/>
          <w:szCs w:val="28"/>
          <w:rtl/>
        </w:rPr>
        <w:t xml:space="preserve">ص 660 .</w:t>
      </w:r>
    </w:p>
    <w:p>
      <w:pPr>
        <w:pStyle w:val="BookText"/>
      </w:pPr>
      <w:r>
        <w:rPr>
          <w:rFonts w:ascii="IRNazanin" w:hAnsi="IRNazanin" w:eastAsia="IRNazanin" w:cs="IRNazanin"/>
          <w:lang w:bidi="fa-IR"/>
          <w:color w:val="111111"/>
          <w:sz w:val="28"/>
          <w:szCs w:val="28"/>
          <w:rtl/>
        </w:rPr>
        <w:t xml:space="preserve">23 .البحرانية (1) = پاسخ به سؤال حسين بن عبد القادر بحراني درباره</w:t>
      </w:r>
    </w:p>
    <w:p>
      <w:pPr>
        <w:pStyle w:val="BookText"/>
      </w:pPr>
      <w:r>
        <w:rPr>
          <w:rFonts w:ascii="Amiri" w:hAnsi="Amiri" w:eastAsia="Amiri" w:cs="Amiri"/>
          <w:lang w:bidi="ar-SA"/>
          <w:color w:val="111111"/>
          <w:sz w:val="28"/>
          <w:szCs w:val="28"/>
          <w:rtl/>
        </w:rPr>
        <w:t xml:space="preserve">فناء في الله، ج3، ص208.</w:t>
      </w:r>
    </w:p>
    <w:p>
      <w:pPr>
        <w:pStyle w:val="BookText"/>
      </w:pPr>
      <w:r>
        <w:rPr>
          <w:rFonts w:ascii="Amiri" w:hAnsi="Amiri" w:eastAsia="Amiri" w:cs="Amiri"/>
          <w:lang w:bidi="ar-SA"/>
          <w:color w:val="111111"/>
          <w:sz w:val="28"/>
          <w:szCs w:val="28"/>
          <w:rtl/>
        </w:rPr>
        <w:t xml:space="preserve">24 .البحرانية (2) = جواب المسئلتين</w:t>
      </w:r>
    </w:p>
    <w:p>
      <w:pPr>
        <w:pStyle w:val="BookText"/>
      </w:pPr>
      <w:r>
        <w:rPr>
          <w:rFonts w:ascii="Amiri" w:hAnsi="Amiri" w:eastAsia="Amiri" w:cs="Amiri"/>
          <w:lang w:bidi="ar-SA"/>
          <w:color w:val="111111"/>
          <w:sz w:val="28"/>
          <w:szCs w:val="28"/>
          <w:rtl/>
        </w:rPr>
        <w:t xml:space="preserve">من حسين بن عبد القاهر، ج3،</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التجويد - تجويد القرآن - اسرار</w:t>
      </w:r>
    </w:p>
    <w:p>
      <w:pPr>
        <w:pStyle w:val="BookText"/>
      </w:pPr>
      <w:r>
        <w:rPr>
          <w:rFonts w:ascii="Amiri" w:hAnsi="Amiri" w:eastAsia="Amiri" w:cs="Amiri"/>
          <w:lang w:bidi="ar-SA"/>
          <w:color w:val="111111"/>
          <w:sz w:val="28"/>
          <w:szCs w:val="28"/>
          <w:rtl/>
        </w:rPr>
        <w:t xml:space="preserve">التجويد، ج 3، ص 704.</w:t>
      </w:r>
    </w:p>
    <w:p>
      <w:pPr>
        <w:pStyle w:val="BookText"/>
      </w:pPr>
      <w:r>
        <w:rPr>
          <w:rFonts w:ascii="Amiri" w:hAnsi="Amiri" w:eastAsia="Amiri" w:cs="Amiri"/>
          <w:lang w:bidi="ar-SA"/>
          <w:color w:val="111111"/>
          <w:sz w:val="28"/>
          <w:szCs w:val="28"/>
          <w:rtl/>
        </w:rPr>
        <w:t xml:space="preserve">26 .تحقيق، ج4، ص 46.</w:t>
      </w:r>
    </w:p>
    <w:p>
      <w:pPr>
        <w:pStyle w:val="BookText"/>
      </w:pPr>
      <w:r>
        <w:rPr>
          <w:rFonts w:ascii="Amiri" w:hAnsi="Amiri" w:eastAsia="Amiri" w:cs="Amiri"/>
          <w:lang w:bidi="ar-SA"/>
          <w:color w:val="111111"/>
          <w:sz w:val="28"/>
          <w:szCs w:val="28"/>
          <w:rtl/>
        </w:rPr>
        <w:t xml:space="preserve">27 تفسير آية «اياك نعبد»، ج4،</w:t>
      </w:r>
    </w:p>
    <w:p>
      <w:pPr>
        <w:pStyle w:val="BookText"/>
      </w:pPr>
      <w:r>
        <w:rPr>
          <w:rFonts w:ascii="IRNazanin" w:hAnsi="IRNazanin" w:eastAsia="IRNazanin" w:cs="IRNazanin"/>
          <w:lang w:bidi="fa-IR"/>
          <w:color w:val="111111"/>
          <w:sz w:val="28"/>
          <w:szCs w:val="28"/>
          <w:rtl/>
        </w:rPr>
        <w:t xml:space="preserve">ص 577.</w:t>
      </w:r>
    </w:p>
    <w:p>
      <w:pPr>
        <w:pStyle w:val="BookText"/>
      </w:pPr>
      <w:r>
        <w:rPr>
          <w:rFonts w:ascii="Amiri" w:hAnsi="Amiri" w:eastAsia="Amiri" w:cs="Amiri"/>
          <w:lang w:bidi="ar-SA"/>
          <w:color w:val="111111"/>
          <w:sz w:val="28"/>
          <w:szCs w:val="28"/>
          <w:rtl/>
        </w:rPr>
        <w:t xml:space="preserve">28 .تفسير احاديث المشكلة، ج 4،</w:t>
      </w:r>
    </w:p>
    <w:p>
      <w:pPr>
        <w:pStyle w:val="BookText"/>
      </w:pPr>
      <w:r>
        <w:rPr>
          <w:rFonts w:ascii="IRNazanin" w:hAnsi="IRNazanin" w:eastAsia="IRNazanin" w:cs="IRNazanin"/>
          <w:lang w:bidi="fa-IR"/>
          <w:color w:val="111111"/>
          <w:sz w:val="28"/>
          <w:szCs w:val="28"/>
          <w:rtl/>
        </w:rPr>
        <w:t xml:space="preserve">ص 597 .</w:t>
      </w:r>
    </w:p>
    <w:p>
      <w:pPr>
        <w:pStyle w:val="BookText"/>
      </w:pPr>
      <w:r>
        <w:rPr>
          <w:rFonts w:ascii="Amiri" w:hAnsi="Amiri" w:eastAsia="Amiri" w:cs="Amiri"/>
          <w:lang w:bidi="ar-SA"/>
          <w:color w:val="111111"/>
          <w:sz w:val="28"/>
          <w:szCs w:val="28"/>
          <w:rtl/>
        </w:rPr>
        <w:t xml:space="preserve">29 .تفسير سورة التوحيد = تفسير</w:t>
      </w:r>
    </w:p>
    <w:p>
      <w:pPr>
        <w:pStyle w:val="BookText"/>
      </w:pPr>
      <w:r>
        <w:rPr>
          <w:rFonts w:ascii="IRNazanin" w:hAnsi="IRNazanin" w:eastAsia="IRNazanin" w:cs="IRNazanin"/>
          <w:lang w:bidi="fa-IR"/>
          <w:color w:val="111111"/>
          <w:sz w:val="28"/>
          <w:szCs w:val="28"/>
          <w:rtl/>
        </w:rPr>
        <w:t xml:space="preserve">احد من قل هو الله، جع،</w:t>
      </w:r>
    </w:p>
    <w:p>
      <w:pPr>
        <w:pStyle w:val="BookText"/>
      </w:pPr>
      <w:r>
        <w:rPr>
          <w:rFonts w:ascii="IRNazanin" w:hAnsi="IRNazanin" w:eastAsia="IRNazanin" w:cs="IRNazanin"/>
          <w:lang w:bidi="fa-IR"/>
          <w:color w:val="111111"/>
          <w:sz w:val="28"/>
          <w:szCs w:val="28"/>
          <w:rtl/>
        </w:rPr>
        <w:t xml:space="preserve">ص 629 .</w:t>
      </w:r>
    </w:p>
    <w:p>
      <w:pPr>
        <w:pStyle w:val="BookText"/>
      </w:pPr>
      <w:r>
        <w:rPr>
          <w:rFonts w:ascii="Amiri" w:hAnsi="Amiri" w:eastAsia="Amiri" w:cs="Amiri"/>
          <w:lang w:bidi="ar-SA"/>
          <w:color w:val="111111"/>
          <w:sz w:val="28"/>
          <w:szCs w:val="28"/>
          <w:rtl/>
        </w:rPr>
        <w:t xml:space="preserve">30 .تفسير مسئلة بسيط الحقيقة كل</w:t>
      </w:r>
    </w:p>
    <w:p>
      <w:pPr>
        <w:pStyle w:val="BookText"/>
      </w:pPr>
      <w:r>
        <w:rPr>
          <w:rFonts w:ascii="Amiri" w:hAnsi="Amiri" w:eastAsia="Amiri" w:cs="Amiri"/>
          <w:lang w:bidi="ar-SA"/>
          <w:color w:val="111111"/>
          <w:sz w:val="28"/>
          <w:szCs w:val="28"/>
          <w:rtl/>
        </w:rPr>
        <w:t xml:space="preserve">الاشياء = جواب ملامحمد</w:t>
      </w:r>
    </w:p>
    <w:p>
      <w:pPr>
        <w:pStyle w:val="BookText"/>
      </w:pPr>
      <w:r>
        <w:rPr>
          <w:rFonts w:ascii="Amiri" w:hAnsi="Amiri" w:eastAsia="Amiri" w:cs="Amiri"/>
          <w:lang w:bidi="ar-SA"/>
          <w:color w:val="111111"/>
          <w:sz w:val="28"/>
          <w:szCs w:val="28"/>
          <w:rtl/>
        </w:rPr>
        <w:t xml:space="preserve">الدامغاني، ج4، ص 692.</w:t>
      </w:r>
    </w:p>
    <w:p>
      <w:pPr>
        <w:pStyle w:val="BookText"/>
      </w:pPr>
      <w:r>
        <w:rPr>
          <w:rFonts w:ascii="Amiri" w:hAnsi="Amiri" w:eastAsia="Amiri" w:cs="Amiri"/>
          <w:lang w:bidi="ar-SA"/>
          <w:color w:val="111111"/>
          <w:sz w:val="28"/>
          <w:szCs w:val="28"/>
          <w:rtl/>
        </w:rPr>
        <w:t xml:space="preserve">31 .تمثل الشيطان في الرؤيا = شرح حديث ان الشيطان لم يكن ...».</w:t>
      </w:r>
    </w:p>
    <w:p>
      <w:pPr>
        <w:pStyle w:val="BookText"/>
      </w:pPr>
      <w:r>
        <w:rPr>
          <w:rFonts w:ascii="IRNazanin" w:hAnsi="IRNazanin" w:eastAsia="IRNazanin" w:cs="IRNazanin"/>
          <w:lang w:bidi="fa-IR"/>
          <w:color w:val="111111"/>
          <w:sz w:val="28"/>
          <w:szCs w:val="28"/>
          <w:rtl/>
        </w:rPr>
        <w:t xml:space="preserve">ج 4، ص 877</w:t>
      </w:r>
    </w:p>
    <w:p>
      <w:pPr>
        <w:pStyle w:val="BookText"/>
      </w:pPr>
      <w:r>
        <w:rPr>
          <w:rFonts w:ascii="Amiri" w:hAnsi="Amiri" w:eastAsia="Amiri" w:cs="Amiri"/>
          <w:lang w:bidi="ar-SA"/>
          <w:color w:val="111111"/>
          <w:sz w:val="28"/>
          <w:szCs w:val="28"/>
          <w:rtl/>
        </w:rPr>
        <w:t xml:space="preserve">32 .جوابات مسائل كاظم السمناني</w:t>
      </w:r>
    </w:p>
    <w:p>
      <w:pPr>
        <w:pStyle w:val="BookText"/>
      </w:pPr>
      <w:r>
        <w:rPr>
          <w:rFonts w:ascii="IRNazanin" w:hAnsi="IRNazanin" w:eastAsia="IRNazanin" w:cs="IRNazanin"/>
          <w:lang w:bidi="fa-IR"/>
          <w:color w:val="111111"/>
          <w:sz w:val="28"/>
          <w:szCs w:val="28"/>
          <w:rtl/>
        </w:rPr>
        <w:t xml:space="preserve">ج 5، ص 493.</w:t>
      </w:r>
    </w:p>
    <w:p>
      <w:pPr>
        <w:pStyle w:val="BookText"/>
      </w:pPr>
      <w:r>
        <w:rPr>
          <w:rFonts w:ascii="Amiri" w:hAnsi="Amiri" w:eastAsia="Amiri" w:cs="Amiri"/>
          <w:lang w:bidi="ar-SA"/>
          <w:color w:val="111111"/>
          <w:sz w:val="28"/>
          <w:szCs w:val="28"/>
          <w:rtl/>
        </w:rPr>
        <w:t xml:space="preserve">33 .جواب السؤال عن سر الاحاديث، ج 5، ص 499.</w:t>
      </w:r>
    </w:p>
    <w:p>
      <w:pPr>
        <w:pStyle w:val="BookText"/>
      </w:pPr>
      <w:r>
        <w:rPr>
          <w:rFonts w:ascii="IRNazanin" w:hAnsi="IRNazanin" w:eastAsia="IRNazanin" w:cs="IRNazanin"/>
          <w:lang w:bidi="fa-IR"/>
          <w:color w:val="111111"/>
          <w:sz w:val="28"/>
          <w:szCs w:val="28"/>
          <w:rtl/>
        </w:rPr>
        <w:t xml:space="preserve">اختلاف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 .جواب مسألة الشيخ احمد آل</w:t>
      </w:r>
    </w:p>
    <w:p>
      <w:pPr>
        <w:pStyle w:val="BookText"/>
      </w:pPr>
      <w:r>
        <w:rPr>
          <w:rFonts w:ascii="Amiri" w:hAnsi="Amiri" w:eastAsia="Amiri" w:cs="Amiri"/>
          <w:lang w:bidi="ar-SA"/>
          <w:color w:val="111111"/>
          <w:sz w:val="28"/>
          <w:szCs w:val="28"/>
          <w:rtl/>
        </w:rPr>
        <w:t xml:space="preserve">ماجد الاوالي، ج 5، ص 510.</w:t>
      </w:r>
    </w:p>
    <w:p>
      <w:pPr>
        <w:pStyle w:val="BookText"/>
      </w:pPr>
      <w:r>
        <w:rPr>
          <w:rFonts w:ascii="Amiri" w:hAnsi="Amiri" w:eastAsia="Amiri" w:cs="Amiri"/>
          <w:lang w:bidi="ar-SA"/>
          <w:color w:val="111111"/>
          <w:sz w:val="28"/>
          <w:szCs w:val="28"/>
          <w:rtl/>
        </w:rPr>
        <w:t xml:space="preserve">35 .جواب مسألتين في عذاب القبر و</w:t>
      </w:r>
    </w:p>
    <w:p>
      <w:pPr>
        <w:pStyle w:val="BookText"/>
      </w:pPr>
      <w:r>
        <w:rPr>
          <w:rFonts w:ascii="IRNazanin" w:hAnsi="IRNazanin" w:eastAsia="IRNazanin" w:cs="IRNazanin"/>
          <w:lang w:bidi="fa-IR"/>
          <w:color w:val="111111"/>
          <w:sz w:val="28"/>
          <w:szCs w:val="28"/>
          <w:rtl/>
        </w:rPr>
        <w:t xml:space="preserve">ایمان فرعون = تنعم و تألم اهل الآخره، ج 5، ص 512.</w:t>
      </w:r>
    </w:p>
    <w:p>
      <w:pPr>
        <w:pStyle w:val="BookText"/>
      </w:pPr>
      <w:r>
        <w:rPr>
          <w:rFonts w:ascii="Amiri" w:hAnsi="Amiri" w:eastAsia="Amiri" w:cs="Amiri"/>
          <w:lang w:bidi="ar-SA"/>
          <w:color w:val="111111"/>
          <w:sz w:val="28"/>
          <w:szCs w:val="28"/>
          <w:rtl/>
        </w:rPr>
        <w:t xml:space="preserve">36 جوامع الكلم، ج 5، ص 532.</w:t>
      </w:r>
    </w:p>
    <w:p>
      <w:pPr>
        <w:pStyle w:val="BookText"/>
      </w:pPr>
      <w:r>
        <w:rPr>
          <w:rFonts w:ascii="Amiri" w:hAnsi="Amiri" w:eastAsia="Amiri" w:cs="Amiri"/>
          <w:lang w:bidi="ar-SA"/>
          <w:color w:val="111111"/>
          <w:sz w:val="28"/>
          <w:szCs w:val="28"/>
          <w:rtl/>
        </w:rPr>
        <w:t xml:space="preserve">37 .حياة النفس مع حظيرة القدس =</w:t>
      </w:r>
    </w:p>
    <w:p>
      <w:pPr>
        <w:pStyle w:val="BookText"/>
      </w:pPr>
      <w:r>
        <w:rPr>
          <w:rFonts w:ascii="Amiri" w:hAnsi="Amiri" w:eastAsia="Amiri" w:cs="Amiri"/>
          <w:lang w:bidi="ar-SA"/>
          <w:color w:val="111111"/>
          <w:sz w:val="28"/>
          <w:szCs w:val="28"/>
          <w:rtl/>
        </w:rPr>
        <w:t xml:space="preserve">رسالة في اصول الدين، ج 6، ص 864.</w:t>
      </w:r>
    </w:p>
    <w:p>
      <w:pPr>
        <w:pStyle w:val="BookText"/>
      </w:pPr>
      <w:r>
        <w:rPr>
          <w:rFonts w:ascii="Amiri" w:hAnsi="Amiri" w:eastAsia="Amiri" w:cs="Amiri"/>
          <w:lang w:bidi="ar-SA"/>
          <w:color w:val="111111"/>
          <w:sz w:val="28"/>
          <w:szCs w:val="28"/>
          <w:rtl/>
        </w:rPr>
        <w:t xml:space="preserve">38 .الخاقانية = اجوبة مسائل فتحعلي</w:t>
      </w:r>
    </w:p>
    <w:p>
      <w:pPr>
        <w:pStyle w:val="BookText"/>
      </w:pPr>
      <w:r>
        <w:rPr>
          <w:rFonts w:ascii="IRNazanin" w:hAnsi="IRNazanin" w:eastAsia="IRNazanin" w:cs="IRNazanin"/>
          <w:lang w:bidi="fa-IR"/>
          <w:color w:val="111111"/>
          <w:sz w:val="28"/>
          <w:szCs w:val="28"/>
          <w:rtl/>
        </w:rPr>
        <w:t xml:space="preserve">شاه، ج 6، ص 877.</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الخطابية = جواب مسألتين كيفية القصد للمصلي و التجلي</w:t>
      </w:r>
    </w:p>
    <w:p>
      <w:pPr>
        <w:pStyle w:val="BookText"/>
      </w:pPr>
      <w:r>
        <w:rPr>
          <w:rFonts w:ascii="IRNazanin" w:hAnsi="IRNazanin" w:eastAsia="IRNazanin" w:cs="IRNazanin"/>
          <w:lang w:bidi="fa-IR"/>
          <w:color w:val="111111"/>
          <w:sz w:val="28"/>
          <w:szCs w:val="28"/>
          <w:rtl/>
        </w:rPr>
        <w:t xml:space="preserve">للحق، ج 7، ص 43.</w:t>
      </w:r>
    </w:p>
    <w:p>
      <w:pPr>
        <w:pStyle w:val="BookText"/>
      </w:pPr>
      <w:r>
        <w:rPr>
          <w:rFonts w:ascii="Amiri" w:hAnsi="Amiri" w:eastAsia="Amiri" w:cs="Amiri"/>
          <w:lang w:bidi="ar-SA"/>
          <w:color w:val="111111"/>
          <w:sz w:val="28"/>
          <w:szCs w:val="28"/>
          <w:rtl/>
        </w:rPr>
        <w:t xml:space="preserve">40 .خلود اهل النار (رسالة في تحقيق)، ج 7، ص 158.</w:t>
      </w:r>
    </w:p>
    <w:p>
      <w:pPr>
        <w:pStyle w:val="BookText"/>
      </w:pPr>
      <w:r>
        <w:rPr>
          <w:rFonts w:ascii="IRNazanin" w:hAnsi="IRNazanin" w:eastAsia="IRNazanin" w:cs="IRNazanin"/>
          <w:lang w:bidi="fa-IR"/>
          <w:color w:val="111111"/>
          <w:sz w:val="28"/>
          <w:szCs w:val="28"/>
          <w:rtl/>
        </w:rPr>
        <w:t xml:space="preserve">41 .رسائل، ج8، ص123.</w:t>
      </w:r>
    </w:p>
    <w:p>
      <w:pPr>
        <w:pStyle w:val="BookText"/>
      </w:pPr>
      <w:r>
        <w:rPr>
          <w:rFonts w:ascii="IRNazanin" w:hAnsi="IRNazanin" w:eastAsia="IRNazanin" w:cs="IRNazanin"/>
          <w:lang w:bidi="fa-IR"/>
          <w:color w:val="111111"/>
          <w:sz w:val="28"/>
          <w:szCs w:val="28"/>
          <w:rtl/>
        </w:rPr>
        <w:t xml:space="preserve">42 .رسائل و اجوبتها، ج8، ص 154 .</w:t>
      </w:r>
    </w:p>
    <w:p>
      <w:pPr>
        <w:pStyle w:val="BookText"/>
      </w:pPr>
      <w:r>
        <w:rPr>
          <w:rFonts w:ascii="IRNazanin" w:hAnsi="IRNazanin" w:eastAsia="IRNazanin" w:cs="IRNazanin"/>
          <w:lang w:bidi="fa-IR"/>
          <w:color w:val="111111"/>
          <w:sz w:val="28"/>
          <w:szCs w:val="28"/>
          <w:rtl/>
        </w:rPr>
        <w:t xml:space="preserve">43 .رسالتان ج8، ص171</w:t>
      </w:r>
    </w:p>
    <w:p>
      <w:pPr>
        <w:pStyle w:val="BookText"/>
      </w:pPr>
      <w:r>
        <w:rPr>
          <w:rFonts w:ascii="Amiri" w:hAnsi="Amiri" w:eastAsia="Amiri" w:cs="Amiri"/>
          <w:lang w:bidi="ar-SA"/>
          <w:color w:val="111111"/>
          <w:sz w:val="28"/>
          <w:szCs w:val="28"/>
          <w:rtl/>
        </w:rPr>
        <w:t xml:space="preserve">44 .رسالة كلامية، ج8، ص 254.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الرشيدية = اجوبة مسائل ملا</w:t>
      </w:r>
    </w:p>
    <w:p>
      <w:pPr>
        <w:pStyle w:val="BookText"/>
      </w:pPr>
      <w:r>
        <w:rPr>
          <w:rFonts w:ascii="IRNazanin" w:hAnsi="IRNazanin" w:eastAsia="IRNazanin" w:cs="IRNazanin"/>
          <w:lang w:bidi="fa-IR"/>
          <w:color w:val="111111"/>
          <w:sz w:val="28"/>
          <w:szCs w:val="28"/>
          <w:rtl/>
        </w:rPr>
        <w:t xml:space="preserve">رشید، ج8، ص 315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الرؤيا (1) = اجوبة المسائل حول</w:t>
      </w:r>
    </w:p>
    <w:p>
      <w:pPr>
        <w:pStyle w:val="BookText"/>
      </w:pPr>
      <w:r>
        <w:rPr>
          <w:rFonts w:ascii="Amiri" w:hAnsi="Amiri" w:eastAsia="Amiri" w:cs="Amiri"/>
          <w:lang w:bidi="ar-SA"/>
          <w:color w:val="111111"/>
          <w:sz w:val="28"/>
          <w:szCs w:val="28"/>
          <w:rtl/>
        </w:rPr>
        <w:t xml:space="preserve">الرؤيا، ج8، ص12.</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الرؤيا (2) = اجوبة المسائل حول الرؤيا الصادقة و الكاذبة، ج8،</w:t>
      </w:r>
    </w:p>
    <w:p>
      <w:pPr>
        <w:pStyle w:val="BookText"/>
      </w:pPr>
      <w:r>
        <w:rPr>
          <w:rFonts w:ascii="IRNazanin" w:hAnsi="IRNazanin" w:eastAsia="IRNazanin" w:cs="IRNazanin"/>
          <w:lang w:bidi="fa-IR"/>
          <w:color w:val="111111"/>
          <w:sz w:val="28"/>
          <w:szCs w:val="28"/>
          <w:rtl/>
        </w:rPr>
        <w:t xml:space="preserve">ص 13.</w:t>
      </w:r>
    </w:p>
    <w:p>
      <w:pPr>
        <w:pStyle w:val="BookText"/>
      </w:pPr>
      <w:r>
        <w:rPr>
          <w:rFonts w:ascii="Amiri" w:hAnsi="Amiri" w:eastAsia="Amiri" w:cs="Amiri"/>
          <w:lang w:bidi="ar-SA"/>
          <w:color w:val="111111"/>
          <w:sz w:val="28"/>
          <w:szCs w:val="28"/>
          <w:rtl/>
        </w:rPr>
        <w:t xml:space="preserve">48 .رؤية الباري سبحانه عزوجل</w:t>
      </w:r>
    </w:p>
    <w:p>
      <w:pPr>
        <w:pStyle w:val="BookText"/>
      </w:pPr>
      <w:r>
        <w:rPr>
          <w:rFonts w:ascii="Amiri" w:hAnsi="Amiri" w:eastAsia="Amiri" w:cs="Amiri"/>
          <w:lang w:bidi="ar-SA"/>
          <w:color w:val="111111"/>
          <w:sz w:val="28"/>
          <w:szCs w:val="28"/>
          <w:rtl/>
        </w:rPr>
        <w:t xml:space="preserve">(رسالة في)، ج8، ص 16.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الروية (رسالة في)، ج8، ص 15.</w:t>
      </w:r>
    </w:p>
    <w:p>
      <w:pPr>
        <w:pStyle w:val="BookText"/>
      </w:pPr>
      <w:r>
        <w:rPr>
          <w:rFonts w:ascii="Amiri" w:hAnsi="Amiri" w:eastAsia="Amiri" w:cs="Amiri"/>
          <w:lang w:bidi="ar-SA"/>
          <w:color w:val="111111"/>
          <w:sz w:val="28"/>
          <w:szCs w:val="28"/>
          <w:rtl/>
        </w:rPr>
        <w:t xml:space="preserve">50 .السبب في التكليف مع العلم بالخلاف = اجوبة مسائل السيد ابوالحسن الجيلاني، ج8، ص 694 .</w:t>
      </w:r>
    </w:p>
    <w:p>
      <w:pPr>
        <w:pStyle w:val="BookText"/>
      </w:pPr>
      <w:r>
        <w:rPr>
          <w:rFonts w:ascii="IRNazanin" w:hAnsi="IRNazanin" w:eastAsia="IRNazanin" w:cs="IRNazanin"/>
          <w:lang w:bidi="fa-IR"/>
          <w:color w:val="111111"/>
          <w:sz w:val="28"/>
          <w:szCs w:val="28"/>
          <w:rtl/>
        </w:rPr>
        <w:t xml:space="preserve">احسائي ، احمد بن زین الدین 173</w:t>
      </w:r>
    </w:p>
    <w:p>
      <w:pPr>
        <w:pStyle w:val="BookText"/>
      </w:pPr>
      <w:r>
        <w:rPr>
          <w:rFonts w:ascii="Amiri" w:hAnsi="Amiri" w:eastAsia="Amiri" w:cs="Amiri"/>
          <w:lang w:bidi="ar-SA"/>
          <w:color w:val="111111"/>
          <w:sz w:val="28"/>
          <w:szCs w:val="28"/>
          <w:rtl/>
        </w:rPr>
        <w:t xml:space="preserve">51 .سلطانيه = اجوبة مسائل فتحعلي</w:t>
      </w:r>
    </w:p>
    <w:p>
      <w:pPr>
        <w:pStyle w:val="BookText"/>
      </w:pPr>
      <w:r>
        <w:rPr>
          <w:rFonts w:ascii="Amiri" w:hAnsi="Amiri" w:eastAsia="Amiri" w:cs="Amiri"/>
          <w:lang w:bidi="ar-SA"/>
          <w:color w:val="111111"/>
          <w:sz w:val="28"/>
          <w:szCs w:val="28"/>
          <w:rtl/>
        </w:rPr>
        <w:t xml:space="preserve">شاه قاجار - افضلية بعض الائمة</w:t>
      </w:r>
    </w:p>
    <w:p>
      <w:pPr>
        <w:pStyle w:val="BookText"/>
      </w:pPr>
      <w:r>
        <w:rPr>
          <w:rFonts w:ascii="IRNazanin" w:hAnsi="IRNazanin" w:eastAsia="IRNazanin" w:cs="IRNazanin"/>
          <w:lang w:bidi="fa-IR"/>
          <w:color w:val="111111"/>
          <w:sz w:val="28"/>
          <w:szCs w:val="28"/>
          <w:rtl/>
        </w:rPr>
        <w:t xml:space="preserve">على بعض، ج8، ص808.</w:t>
      </w:r>
    </w:p>
    <w:p>
      <w:pPr>
        <w:pStyle w:val="BookText"/>
      </w:pPr>
      <w:r>
        <w:rPr>
          <w:rFonts w:ascii="Amiri" w:hAnsi="Amiri" w:eastAsia="Amiri" w:cs="Amiri"/>
          <w:lang w:bidi="ar-SA"/>
          <w:color w:val="111111"/>
          <w:sz w:val="28"/>
          <w:szCs w:val="28"/>
          <w:rtl/>
        </w:rPr>
        <w:t xml:space="preserve">52 .شرح الحكمة العرشية = شرح</w:t>
      </w:r>
    </w:p>
    <w:p>
      <w:pPr>
        <w:pStyle w:val="BookText"/>
      </w:pPr>
      <w:r>
        <w:rPr>
          <w:rFonts w:ascii="Amiri" w:hAnsi="Amiri" w:eastAsia="Amiri" w:cs="Amiri"/>
          <w:lang w:bidi="ar-SA"/>
          <w:color w:val="111111"/>
          <w:sz w:val="28"/>
          <w:szCs w:val="28"/>
          <w:rtl/>
        </w:rPr>
        <w:t xml:space="preserve">العرشية، ج 9، ص 415.</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شرح الزيارة الجامعة الكبيرة، ج 9،</w:t>
      </w:r>
    </w:p>
    <w:p>
      <w:pPr>
        <w:pStyle w:val="BookText"/>
      </w:pPr>
      <w:r>
        <w:rPr>
          <w:rFonts w:ascii="IRNazanin" w:hAnsi="IRNazanin" w:eastAsia="IRNazanin" w:cs="IRNazanin"/>
          <w:lang w:bidi="fa-IR"/>
          <w:color w:val="111111"/>
          <w:sz w:val="28"/>
          <w:szCs w:val="28"/>
          <w:rtl/>
        </w:rPr>
        <w:t xml:space="preserve">ص 579</w:t>
      </w:r>
    </w:p>
    <w:p>
      <w:pPr>
        <w:pStyle w:val="BookText"/>
      </w:pPr>
      <w:r>
        <w:rPr>
          <w:rFonts w:ascii="Amiri" w:hAnsi="Amiri" w:eastAsia="Amiri" w:cs="Amiri"/>
          <w:lang w:bidi="ar-SA"/>
          <w:color w:val="111111"/>
          <w:sz w:val="28"/>
          <w:szCs w:val="28"/>
          <w:rtl/>
        </w:rPr>
        <w:t xml:space="preserve">54 . شرح الفوائد الحكمية الاثنى</w:t>
      </w:r>
    </w:p>
    <w:p>
      <w:pPr>
        <w:pStyle w:val="BookText"/>
      </w:pPr>
      <w:r>
        <w:rPr>
          <w:rFonts w:ascii="Amiri" w:hAnsi="Amiri" w:eastAsia="Amiri" w:cs="Amiri"/>
          <w:lang w:bidi="ar-SA"/>
          <w:color w:val="111111"/>
          <w:sz w:val="28"/>
          <w:szCs w:val="28"/>
          <w:rtl/>
        </w:rPr>
        <w:t xml:space="preserve">عشرية، ج 9، ص 805.</w:t>
      </w:r>
    </w:p>
    <w:p>
      <w:pPr>
        <w:pStyle w:val="BookText"/>
      </w:pPr>
      <w:r>
        <w:rPr>
          <w:rFonts w:ascii="IRNazanin" w:hAnsi="IRNazanin" w:eastAsia="IRNazanin" w:cs="IRNazanin"/>
          <w:lang w:bidi="fa-IR"/>
          <w:color w:val="111111"/>
          <w:sz w:val="28"/>
          <w:szCs w:val="28"/>
          <w:rtl/>
        </w:rPr>
        <w:t xml:space="preserve">55 .شرح المشاعر ، ج 10، ص139.</w:t>
      </w:r>
    </w:p>
    <w:p>
      <w:pPr>
        <w:pStyle w:val="BookText"/>
      </w:pPr>
      <w:r>
        <w:rPr>
          <w:rFonts w:ascii="Amiri" w:hAnsi="Amiri" w:eastAsia="Amiri" w:cs="Amiri"/>
          <w:lang w:bidi="ar-SA"/>
          <w:color w:val="111111"/>
          <w:sz w:val="28"/>
          <w:szCs w:val="28"/>
          <w:rtl/>
        </w:rPr>
        <w:t xml:space="preserve">56 .شرح حديث الاسماء - شرح حديث خلق الاسماء، ج 9، ص 384.</w:t>
      </w:r>
    </w:p>
    <w:p>
      <w:pPr>
        <w:pStyle w:val="BookText"/>
      </w:pPr>
      <w:r>
        <w:rPr>
          <w:rFonts w:ascii="Amiri" w:hAnsi="Amiri" w:eastAsia="Amiri" w:cs="Amiri"/>
          <w:lang w:bidi="ar-SA"/>
          <w:color w:val="111111"/>
          <w:sz w:val="28"/>
          <w:szCs w:val="28"/>
          <w:rtl/>
        </w:rPr>
        <w:t xml:space="preserve">57 .شرح حديث ان الله خلق اسما بالحروف غير مصوت»، ج 9،</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Amiri" w:hAnsi="Amiri" w:eastAsia="Amiri" w:cs="Amiri"/>
          <w:lang w:bidi="ar-SA"/>
          <w:color w:val="111111"/>
          <w:sz w:val="28"/>
          <w:szCs w:val="28"/>
          <w:rtl/>
        </w:rPr>
        <w:t xml:space="preserve">58 .شرح حديث قلب المومن ...، ج 9،</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59 .شرح حدیث لولاك لما خلقت</w:t>
      </w:r>
    </w:p>
    <w:p>
      <w:pPr>
        <w:pStyle w:val="BookText"/>
      </w:pPr>
      <w:r>
        <w:rPr>
          <w:rFonts w:ascii="Amiri" w:hAnsi="Amiri" w:eastAsia="Amiri" w:cs="Amiri"/>
          <w:lang w:bidi="ar-SA"/>
          <w:color w:val="111111"/>
          <w:sz w:val="28"/>
          <w:szCs w:val="28"/>
          <w:rtl/>
        </w:rPr>
        <w:t xml:space="preserve">الافلاك»، ج 9، ص398.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شرح حديث «من عرف نفسه</w:t>
      </w:r>
    </w:p>
    <w:p>
      <w:pPr>
        <w:pStyle w:val="BookText"/>
      </w:pPr>
      <w:r>
        <w:rPr>
          <w:rFonts w:ascii="IRNazanin" w:hAnsi="IRNazanin" w:eastAsia="IRNazanin" w:cs="IRNazanin"/>
          <w:lang w:bidi="fa-IR"/>
          <w:color w:val="111111"/>
          <w:sz w:val="28"/>
          <w:szCs w:val="28"/>
          <w:rtl/>
        </w:rPr>
        <w:t xml:space="preserve">فقد عرف ربه»، ج 9، ص 403.</w:t>
      </w:r>
    </w:p>
    <w:p>
      <w:pPr>
        <w:pStyle w:val="BookText"/>
      </w:pPr>
      <w:r>
        <w:rPr>
          <w:rFonts w:ascii="Amiri" w:hAnsi="Amiri" w:eastAsia="Amiri" w:cs="Amiri"/>
          <w:lang w:bidi="ar-SA"/>
          <w:color w:val="111111"/>
          <w:sz w:val="28"/>
          <w:szCs w:val="28"/>
          <w:rtl/>
        </w:rPr>
        <w:t xml:space="preserve">61 . شرح رسالة العلم = شرح لباب</w:t>
      </w:r>
    </w:p>
    <w:p>
      <w:pPr>
        <w:pStyle w:val="BookText"/>
      </w:pPr>
      <w:r>
        <w:rPr>
          <w:rFonts w:ascii="Amiri" w:hAnsi="Amiri" w:eastAsia="Amiri" w:cs="Amiri"/>
          <w:lang w:bidi="ar-SA"/>
          <w:color w:val="111111"/>
          <w:sz w:val="28"/>
          <w:szCs w:val="28"/>
          <w:rtl/>
        </w:rPr>
        <w:t xml:space="preserve">الكلام، ج9، ص 539.</w:t>
      </w:r>
    </w:p>
    <w:p>
      <w:pPr>
        <w:pStyle w:val="BookText"/>
      </w:pPr>
      <w:r>
        <w:rPr>
          <w:rFonts w:ascii="Amiri" w:hAnsi="Amiri" w:eastAsia="Amiri" w:cs="Amiri"/>
          <w:lang w:bidi="ar-SA"/>
          <w:color w:val="111111"/>
          <w:sz w:val="28"/>
          <w:szCs w:val="28"/>
          <w:rtl/>
        </w:rPr>
        <w:t xml:space="preserve">62 . شرح رسالة الفيض الكاشاني في</w:t>
      </w:r>
    </w:p>
    <w:p>
      <w:pPr>
        <w:pStyle w:val="BookText"/>
      </w:pPr>
      <w:r>
        <w:rPr>
          <w:rFonts w:ascii="IRNazanin" w:hAnsi="IRNazanin" w:eastAsia="IRNazanin" w:cs="IRNazanin"/>
          <w:lang w:bidi="fa-IR"/>
          <w:color w:val="111111"/>
          <w:sz w:val="28"/>
          <w:szCs w:val="28"/>
          <w:rtl/>
        </w:rPr>
        <w:t xml:space="preserve">علم الله، ج 9، ص 546.</w:t>
      </w:r>
    </w:p>
    <w:p>
      <w:pPr>
        <w:pStyle w:val="BookText"/>
      </w:pPr>
      <w:r>
        <w:rPr>
          <w:rFonts w:ascii="Amiri" w:hAnsi="Amiri" w:eastAsia="Amiri" w:cs="Amiri"/>
          <w:lang w:bidi="ar-SA"/>
          <w:color w:val="111111"/>
          <w:sz w:val="28"/>
          <w:szCs w:val="28"/>
          <w:rtl/>
        </w:rPr>
        <w:t xml:space="preserve">63 . شرح قرة العيون، ج 9، ص 821.</w:t>
      </w:r>
    </w:p>
    <w:p>
      <w:pPr>
        <w:pStyle w:val="BookText"/>
      </w:pPr>
      <w:r>
        <w:rPr>
          <w:rFonts w:ascii="Amiri" w:hAnsi="Amiri" w:eastAsia="Amiri" w:cs="Amiri"/>
          <w:lang w:bidi="ar-SA"/>
          <w:color w:val="111111"/>
          <w:sz w:val="28"/>
          <w:szCs w:val="28"/>
          <w:rtl/>
        </w:rPr>
        <w:t xml:space="preserve">64 .الصومية، ج 10، ص 669.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الطبقة (رسالة في)، ج 10، ص790.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العجالة = مفتاح القاموس، ج11،</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IRNazanin" w:hAnsi="IRNazanin" w:eastAsia="IRNazanin" w:cs="IRNazanin"/>
          <w:lang w:bidi="fa-IR"/>
          <w:color w:val="111111"/>
          <w:sz w:val="28"/>
          <w:szCs w:val="28"/>
          <w:rtl/>
        </w:rPr>
        <w:t xml:space="preserve">67 .العدم والحدوث، ج 11، ص70.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العصمة و الرجعة = جواب محمّد</w:t>
      </w:r>
    </w:p>
    <w:p>
      <w:pPr>
        <w:pStyle w:val="BookText"/>
      </w:pPr>
      <w:r>
        <w:rPr>
          <w:rFonts w:ascii="Amiri" w:hAnsi="Amiri" w:eastAsia="Amiri" w:cs="Amiri"/>
          <w:lang w:bidi="ar-SA"/>
          <w:color w:val="111111"/>
          <w:sz w:val="28"/>
          <w:szCs w:val="28"/>
          <w:rtl/>
        </w:rPr>
        <w:t xml:space="preserve">علي ميرزا، ج 11، ص 125.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52" w:name="pg7742_69670"/>
    <w:bookmarkEnd w:id="152"/>
    <w:p>
      <w:pPr>
        <w:pStyle w:val="BookText"/>
      </w:pPr>
      <w:r>
        <w:rPr>
          <w:rFonts w:ascii="Amiri" w:hAnsi="Amiri" w:eastAsia="Amiri" w:cs="Amiri"/>
          <w:lang w:bidi="ar-SA"/>
          <w:color w:val="111111"/>
          <w:sz w:val="28"/>
          <w:szCs w:val="28"/>
          <w:rtl/>
        </w:rPr>
        <w:t xml:space="preserve">69 الغديرية = اجوبة اسئلة الشيخ</w:t>
      </w:r>
    </w:p>
    <w:p>
      <w:pPr>
        <w:pStyle w:val="BookText"/>
      </w:pPr>
      <w:r>
        <w:rPr>
          <w:rFonts w:ascii="Amiri" w:hAnsi="Amiri" w:eastAsia="Amiri" w:cs="Amiri"/>
          <w:lang w:bidi="ar-SA"/>
          <w:color w:val="111111"/>
          <w:sz w:val="28"/>
          <w:szCs w:val="28"/>
          <w:rtl/>
        </w:rPr>
        <w:t xml:space="preserve">عبدالله بن محمّد بن احمد بن غدير = رسالة غديرية = جواب الاسئلة في الكشف عن نسبة المعاصي للمعصومين و غيرها ج 11، ص 460.</w:t>
      </w:r>
    </w:p>
    <w:p>
      <w:pPr>
        <w:pStyle w:val="BookText"/>
      </w:pPr>
      <w:r>
        <w:rPr>
          <w:rFonts w:ascii="Amiri" w:hAnsi="Amiri" w:eastAsia="Amiri" w:cs="Amiri"/>
          <w:lang w:bidi="ar-SA"/>
          <w:color w:val="111111"/>
          <w:sz w:val="28"/>
          <w:szCs w:val="28"/>
          <w:rtl/>
        </w:rPr>
        <w:t xml:space="preserve">70 .فائدة حسنة، ج 11، ص 569.</w:t>
      </w:r>
    </w:p>
    <w:p>
      <w:pPr>
        <w:pStyle w:val="BookText"/>
      </w:pPr>
      <w:r>
        <w:rPr>
          <w:rFonts w:ascii="Amiri" w:hAnsi="Amiri" w:eastAsia="Amiri" w:cs="Amiri"/>
          <w:lang w:bidi="ar-SA"/>
          <w:color w:val="111111"/>
          <w:sz w:val="28"/>
          <w:szCs w:val="28"/>
          <w:rtl/>
        </w:rPr>
        <w:t xml:space="preserve">71 .الفرق بين العقل و النفس و</w:t>
      </w:r>
    </w:p>
    <w:p>
      <w:pPr>
        <w:pStyle w:val="BookText"/>
      </w:pPr>
      <w:r>
        <w:rPr>
          <w:rFonts w:ascii="IRNazanin" w:hAnsi="IRNazanin" w:eastAsia="IRNazanin" w:cs="IRNazanin"/>
          <w:lang w:bidi="fa-IR"/>
          <w:color w:val="111111"/>
          <w:sz w:val="28"/>
          <w:szCs w:val="28"/>
          <w:rtl/>
        </w:rPr>
        <w:t xml:space="preserve">الروح، ج 11، ص 794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فقه، ج 12، ص 47.</w:t>
      </w:r>
    </w:p>
    <w:p>
      <w:pPr>
        <w:pStyle w:val="BookText"/>
      </w:pPr>
      <w:r>
        <w:rPr>
          <w:rFonts w:ascii="Amiri" w:hAnsi="Amiri" w:eastAsia="Amiri" w:cs="Amiri"/>
          <w:lang w:bidi="ar-SA"/>
          <w:color w:val="111111"/>
          <w:sz w:val="28"/>
          <w:szCs w:val="28"/>
          <w:rtl/>
        </w:rPr>
        <w:t xml:space="preserve">73 .الفوائد الثمانية، ج 12، ص190.</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الفوائد الحكمية الاثنا عشرية</w:t>
      </w:r>
    </w:p>
    <w:p>
      <w:pPr>
        <w:pStyle w:val="BookText"/>
      </w:pPr>
      <w:r>
        <w:rPr>
          <w:rFonts w:ascii="IRNazanin" w:hAnsi="IRNazanin" w:eastAsia="IRNazanin" w:cs="IRNazanin"/>
          <w:lang w:bidi="fa-IR"/>
          <w:color w:val="111111"/>
          <w:sz w:val="28"/>
          <w:szCs w:val="28"/>
          <w:rtl/>
        </w:rPr>
        <w:t xml:space="preserve">ج 12، ص 202.</w:t>
      </w:r>
    </w:p>
    <w:p>
      <w:pPr>
        <w:pStyle w:val="BookText"/>
      </w:pPr>
      <w:r>
        <w:rPr>
          <w:rFonts w:ascii="Amiri" w:hAnsi="Amiri" w:eastAsia="Amiri" w:cs="Amiri"/>
          <w:lang w:bidi="ar-SA"/>
          <w:color w:val="111111"/>
          <w:sz w:val="28"/>
          <w:szCs w:val="28"/>
          <w:rtl/>
        </w:rPr>
        <w:t xml:space="preserve">75 .القدر في افعال العباد (1) = جواب الشيخ عبدالله بن مبارك قطيفي، ج 12 ، ص 384.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القطيفية - اجوبة مسائل احمد بن صالح بن طوق القطيفي، ج 12، ص 753 .</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القطيفية (3) = اجوبة مسائل</w:t>
      </w:r>
    </w:p>
    <w:p>
      <w:pPr>
        <w:pStyle w:val="BookText"/>
      </w:pPr>
      <w:r>
        <w:rPr>
          <w:rFonts w:ascii="IRNazanin" w:hAnsi="IRNazanin" w:eastAsia="IRNazanin" w:cs="IRNazanin"/>
          <w:lang w:bidi="fa-IR"/>
          <w:color w:val="111111"/>
          <w:sz w:val="28"/>
          <w:szCs w:val="28"/>
          <w:rtl/>
        </w:rPr>
        <w:t xml:space="preserve">احمد بن صالح بن طوق (3) ج 12، ص 753.</w:t>
      </w:r>
    </w:p>
    <w:p>
      <w:pPr>
        <w:pStyle w:val="BookText"/>
      </w:pPr>
      <w:r>
        <w:rPr>
          <w:rFonts w:ascii="IRNazanin" w:hAnsi="IRNazanin" w:eastAsia="IRNazanin" w:cs="IRNazanin"/>
          <w:lang w:bidi="fa-IR"/>
          <w:color w:val="111111"/>
          <w:sz w:val="28"/>
          <w:szCs w:val="28"/>
          <w:rtl/>
        </w:rPr>
        <w:t xml:space="preserve">78 .کشکول، ج13، ص 287.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لباب في شرح رسالة في علم الله</w:t>
      </w:r>
    </w:p>
    <w:p>
      <w:pPr>
        <w:pStyle w:val="BookText"/>
      </w:pPr>
      <w:r>
        <w:rPr>
          <w:rFonts w:ascii="IRNazanin" w:hAnsi="IRNazanin" w:eastAsia="IRNazanin" w:cs="IRNazanin"/>
          <w:lang w:bidi="fa-IR"/>
          <w:color w:val="111111"/>
          <w:sz w:val="28"/>
          <w:szCs w:val="28"/>
          <w:rtl/>
        </w:rPr>
        <w:t xml:space="preserve">ج 13، ص 548.</w:t>
      </w:r>
    </w:p>
    <w:p>
      <w:pPr>
        <w:pStyle w:val="BookText"/>
      </w:pPr>
      <w:r>
        <w:rPr>
          <w:rFonts w:ascii="Amiri" w:hAnsi="Amiri" w:eastAsia="Amiri" w:cs="Amiri"/>
          <w:lang w:bidi="ar-SA"/>
          <w:color w:val="111111"/>
          <w:sz w:val="28"/>
          <w:szCs w:val="28"/>
          <w:rtl/>
        </w:rPr>
        <w:t xml:space="preserve">80 .لوامع الوسائل في اجوبة جوامع المسائل = اجوبة المسائل التوبلية - الرسالة التوبلية = جوامع الوسائل في اجوبة جوامع المسائل ج 13، ص 659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مادة الحوادث ما هي، ج 13، 6- ص 679 .</w:t>
      </w:r>
    </w:p>
    <w:p>
      <w:pPr>
        <w:pStyle w:val="BookText"/>
      </w:pPr>
      <w:r>
        <w:rPr>
          <w:rFonts w:ascii="IRNazanin" w:hAnsi="IRNazanin" w:eastAsia="IRNazanin" w:cs="IRNazanin"/>
          <w:lang w:bidi="fa-IR"/>
          <w:color w:val="111111"/>
          <w:sz w:val="28"/>
          <w:szCs w:val="28"/>
          <w:rtl/>
        </w:rPr>
        <w:t xml:space="preserve">82 .مباحث الألفاظ، ج13، ص710.</w:t>
      </w:r>
    </w:p>
    <w:p>
      <w:pPr>
        <w:pStyle w:val="BookText"/>
      </w:pPr>
      <w:r>
        <w:rPr>
          <w:rFonts w:ascii="Amiri" w:hAnsi="Amiri" w:eastAsia="Amiri" w:cs="Amiri"/>
          <w:lang w:bidi="ar-SA"/>
          <w:color w:val="111111"/>
          <w:sz w:val="28"/>
          <w:szCs w:val="28"/>
          <w:rtl/>
        </w:rPr>
        <w:t xml:space="preserve">83 .مختصر الرسالة الحيدرية في فقه</w:t>
      </w:r>
    </w:p>
    <w:p>
      <w:pPr>
        <w:pStyle w:val="BookText"/>
      </w:pPr>
      <w:r>
        <w:rPr>
          <w:rFonts w:ascii="Amiri" w:hAnsi="Amiri" w:eastAsia="Amiri" w:cs="Amiri"/>
          <w:lang w:bidi="ar-SA"/>
          <w:color w:val="111111"/>
          <w:sz w:val="28"/>
          <w:szCs w:val="28"/>
          <w:rtl/>
        </w:rPr>
        <w:t xml:space="preserve">الصلاة اليومية، ج 14، ص 191.</w:t>
      </w:r>
    </w:p>
    <w:p>
      <w:pPr>
        <w:pStyle w:val="BookText"/>
      </w:pPr>
      <w:r>
        <w:rPr>
          <w:rFonts w:ascii="Amiri" w:hAnsi="Amiri" w:eastAsia="Amiri" w:cs="Amiri"/>
          <w:lang w:bidi="ar-SA"/>
          <w:color w:val="111111"/>
          <w:sz w:val="28"/>
          <w:szCs w:val="28"/>
          <w:rtl/>
        </w:rPr>
        <w:t xml:space="preserve">84 .مسائل في الخلق و المعاد، ج 14،</w:t>
      </w:r>
    </w:p>
    <w:p>
      <w:pPr>
        <w:pStyle w:val="BookText"/>
      </w:pPr>
      <w:r>
        <w:rPr>
          <w:rFonts w:ascii="IRNazanin" w:hAnsi="IRNazanin" w:eastAsia="IRNazanin" w:cs="IRNazanin"/>
          <w:lang w:bidi="fa-IR"/>
          <w:color w:val="111111"/>
          <w:sz w:val="28"/>
          <w:szCs w:val="28"/>
          <w:rtl/>
        </w:rPr>
        <w:t xml:space="preserve">ص 471.</w:t>
      </w:r>
    </w:p>
    <w:p>
      <w:pPr>
        <w:pStyle w:val="BookText"/>
      </w:pPr>
      <w:r>
        <w:rPr>
          <w:rFonts w:ascii="Amiri" w:hAnsi="Amiri" w:eastAsia="Amiri" w:cs="Amiri"/>
          <w:lang w:bidi="ar-SA"/>
          <w:color w:val="111111"/>
          <w:sz w:val="28"/>
          <w:szCs w:val="28"/>
          <w:rtl/>
        </w:rPr>
        <w:t xml:space="preserve">85 .مسائل في الرؤية، ج 14، ص 472.</w:t>
      </w:r>
    </w:p>
    <w:p>
      <w:pPr>
        <w:pStyle w:val="BookText"/>
      </w:pPr>
      <w:r>
        <w:rPr>
          <w:rFonts w:ascii="Amiri" w:hAnsi="Amiri" w:eastAsia="Amiri" w:cs="Amiri"/>
          <w:lang w:bidi="ar-SA"/>
          <w:color w:val="111111"/>
          <w:sz w:val="28"/>
          <w:szCs w:val="28"/>
          <w:rtl/>
        </w:rPr>
        <w:t xml:space="preserve">86 .المعاد = المعاد الجسماني = شرح رسالة المعاد = الاجسام و الاجساد احوال الانسان و ذكر الاجسام و</w:t>
      </w:r>
    </w:p>
    <w:p>
      <w:pPr>
        <w:pStyle w:val="BookText"/>
      </w:pPr>
      <w:r>
        <w:rPr>
          <w:rFonts w:ascii="IRNazanin" w:hAnsi="IRNazanin" w:eastAsia="IRNazanin" w:cs="IRNazanin"/>
          <w:lang w:bidi="fa-IR"/>
          <w:color w:val="111111"/>
          <w:sz w:val="28"/>
          <w:szCs w:val="28"/>
          <w:rtl/>
        </w:rPr>
        <w:t xml:space="preserve">الاجساد، ج 1، ص828</w:t>
      </w:r>
    </w:p>
    <w:p>
      <w:pPr>
        <w:pStyle w:val="BookText"/>
      </w:pPr>
      <w:r>
        <w:rPr>
          <w:rFonts w:ascii="Amiri" w:hAnsi="Amiri" w:eastAsia="Amiri" w:cs="Amiri"/>
          <w:lang w:bidi="ar-SA"/>
          <w:color w:val="111111"/>
          <w:sz w:val="28"/>
          <w:szCs w:val="28"/>
          <w:rtl/>
        </w:rPr>
        <w:t xml:space="preserve">87 .النسبة بين الكفر و الشرف، ج 16،</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Amiri" w:hAnsi="Amiri" w:eastAsia="Amiri" w:cs="Amiri"/>
          <w:lang w:bidi="ar-SA"/>
          <w:color w:val="111111"/>
          <w:sz w:val="28"/>
          <w:szCs w:val="28"/>
          <w:rtl/>
        </w:rPr>
        <w:t xml:space="preserve">88 .النية = خلوص النية و حضور القلب = اجوبة مسائل علي اكبر بن محمّد سميع، ج 16، ص 575.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واجبات الصلاة اليومية، ج 16،</w:t>
      </w:r>
    </w:p>
    <w:p>
      <w:pPr>
        <w:pStyle w:val="BookText"/>
      </w:pPr>
      <w:r>
        <w:rPr>
          <w:rFonts w:ascii="IRNazanin" w:hAnsi="IRNazanin" w:eastAsia="IRNazanin" w:cs="IRNazanin"/>
          <w:lang w:bidi="fa-IR"/>
          <w:color w:val="111111"/>
          <w:sz w:val="28"/>
          <w:szCs w:val="28"/>
          <w:rtl/>
        </w:rPr>
        <w:t xml:space="preserve">ص 674 .</w:t>
      </w:r>
    </w:p>
    <w:p>
      <w:pPr>
        <w:pStyle w:val="BookText"/>
      </w:pPr>
      <w:r>
        <w:rPr>
          <w:rFonts w:ascii="Amiri" w:hAnsi="Amiri" w:eastAsia="Amiri" w:cs="Amiri"/>
          <w:lang w:bidi="ar-SA"/>
          <w:color w:val="111111"/>
          <w:sz w:val="28"/>
          <w:szCs w:val="28"/>
          <w:rtl/>
        </w:rPr>
        <w:t xml:space="preserve">90 .وجودية = الوجود و تحقيق</w:t>
      </w:r>
    </w:p>
    <w:p>
      <w:pPr>
        <w:pStyle w:val="BookText"/>
      </w:pPr>
      <w:r>
        <w:rPr>
          <w:rFonts w:ascii="IRNazanin" w:hAnsi="IRNazanin" w:eastAsia="IRNazanin" w:cs="IRNazanin"/>
          <w:lang w:bidi="fa-IR"/>
          <w:color w:val="111111"/>
          <w:sz w:val="28"/>
          <w:szCs w:val="28"/>
          <w:rtl/>
        </w:rPr>
        <w:t xml:space="preserve">مراتبه، ج 16 ، ص 735.</w:t>
      </w:r>
    </w:p>
    <w:p>
      <w:pPr>
        <w:pStyle w:val="BookText"/>
      </w:pPr>
      <w:r>
        <w:rPr>
          <w:rFonts w:ascii="Amiri" w:hAnsi="Amiri" w:eastAsia="Amiri" w:cs="Amiri"/>
          <w:lang w:bidi="ar-SA"/>
          <w:color w:val="111111"/>
          <w:sz w:val="28"/>
          <w:szCs w:val="28"/>
          <w:rtl/>
        </w:rPr>
        <w:t xml:space="preserve">91 .وسائل الهمم العليا في جواب</w:t>
      </w:r>
    </w:p>
    <w:p>
      <w:pPr>
        <w:pStyle w:val="BookText"/>
      </w:pPr>
      <w:r>
        <w:rPr>
          <w:rFonts w:ascii="Amiri" w:hAnsi="Amiri" w:eastAsia="Amiri" w:cs="Amiri"/>
          <w:lang w:bidi="ar-SA"/>
          <w:color w:val="111111"/>
          <w:sz w:val="28"/>
          <w:szCs w:val="28"/>
          <w:rtl/>
        </w:rPr>
        <w:t xml:space="preserve">مسائل الرؤيا، ج 16، ص779.</w:t>
      </w:r>
    </w:p>
    <w:p>
      <w:pPr>
        <w:pStyle w:val="Heading2"/>
      </w:pPr>
      <w:bookmarkStart w:id="1966" w:name="_Toc1068"/>
      <w:r>
        <w:t>احسائي ، احمد بن علي بن مشرف .</w:t>
      </w:r>
      <w:bookmarkEnd w:id="1966"/>
    </w:p>
    <w:p>
      <w:pPr>
        <w:pStyle w:val="BookText"/>
      </w:pPr>
      <w:r>
        <w:rPr>
          <w:rFonts w:ascii="IRNazanin" w:hAnsi="IRNazanin" w:eastAsia="IRNazanin" w:cs="IRNazanin"/>
          <w:lang w:bidi="fa-IR"/>
          <w:color w:val="111111"/>
          <w:sz w:val="28"/>
          <w:szCs w:val="28"/>
          <w:rtl/>
        </w:rPr>
        <w:t xml:space="preserve">1385 ه-</w:t>
      </w:r>
    </w:p>
    <w:p>
      <w:pPr>
        <w:pStyle w:val="BookText"/>
      </w:pPr>
      <w:r>
        <w:rPr>
          <w:rFonts w:ascii="IRNazanin" w:hAnsi="IRNazanin" w:eastAsia="IRNazanin" w:cs="IRNazanin"/>
          <w:lang w:bidi="fa-IR"/>
          <w:color w:val="111111"/>
          <w:sz w:val="28"/>
          <w:szCs w:val="28"/>
          <w:rtl/>
        </w:rPr>
        <w:t xml:space="preserve">دیوان احمد بن علي احسائي، ج7،</w:t>
      </w:r>
    </w:p>
    <w:p>
      <w:pPr>
        <w:pStyle w:val="BookText"/>
      </w:pPr>
      <w:r>
        <w:rPr>
          <w:rFonts w:ascii="IRNazanin" w:hAnsi="IRNazanin" w:eastAsia="IRNazanin" w:cs="IRNazanin"/>
          <w:lang w:bidi="fa-IR"/>
          <w:color w:val="111111"/>
          <w:sz w:val="28"/>
          <w:szCs w:val="28"/>
          <w:rtl/>
        </w:rPr>
        <w:t xml:space="preserve">ص 567 .</w:t>
      </w:r>
    </w:p>
    <w:p>
      <w:pPr>
        <w:pStyle w:val="Heading2"/>
      </w:pPr>
      <w:bookmarkStart w:id="1967" w:name="_Toc1069"/>
      <w:r>
        <w:t>احسائي ، احمد بن فهد، قرن</w:t>
      </w:r>
      <w:bookmarkEnd w:id="1967"/>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خلاصة التنقيح في المذاهب الحق</w:t>
      </w:r>
    </w:p>
    <w:p>
      <w:pPr>
        <w:pStyle w:val="BookText"/>
      </w:pPr>
      <w:r>
        <w:rPr>
          <w:rFonts w:ascii="Amiri" w:hAnsi="Amiri" w:eastAsia="Amiri" w:cs="Amiri"/>
          <w:lang w:bidi="ar-SA"/>
          <w:color w:val="111111"/>
          <w:sz w:val="28"/>
          <w:szCs w:val="28"/>
          <w:rtl/>
        </w:rPr>
        <w:t xml:space="preserve">الصحيح، ج 7، ص90.</w:t>
      </w:r>
    </w:p>
    <w:p>
      <w:pPr>
        <w:pStyle w:val="Heading2"/>
      </w:pPr>
      <w:bookmarkStart w:id="1968" w:name="_Toc1070"/>
      <w:r>
        <w:t>احسائي ، حسين بن محمّد قرن 13 ه-</w:t>
      </w:r>
      <w:bookmarkEnd w:id="1968"/>
    </w:p>
    <w:p>
      <w:pPr>
        <w:pStyle w:val="BookText"/>
      </w:pPr>
      <w:r>
        <w:rPr>
          <w:rFonts w:ascii="Amiri" w:hAnsi="Amiri" w:eastAsia="Amiri" w:cs="Amiri"/>
          <w:lang w:bidi="ar-SA"/>
          <w:color w:val="111111"/>
          <w:sz w:val="28"/>
          <w:szCs w:val="28"/>
          <w:rtl/>
        </w:rPr>
        <w:t xml:space="preserve">تحفة الملك المنصور في شرح الحديث المشهور، ج4، ص27.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53" w:name="pg7742_69673"/>
    <w:bookmarkEnd w:id="153"/>
    <w:p>
      <w:pPr>
        <w:pStyle w:val="Heading2"/>
      </w:pPr>
      <w:bookmarkStart w:id="1969" w:name="_Toc1071"/>
      <w:r>
        <w:t>احسائي حسيني، شمس الدين محمّد</w:t>
      </w:r>
      <w:bookmarkEnd w:id="1969"/>
    </w:p>
    <w:p>
      <w:pPr>
        <w:pStyle w:val="BookText"/>
      </w:pPr>
      <w:r>
        <w:rPr>
          <w:rFonts w:ascii="Amiri" w:hAnsi="Amiri" w:eastAsia="Amiri" w:cs="Amiri"/>
          <w:lang w:bidi="ar-SA"/>
          <w:color w:val="111111"/>
          <w:sz w:val="28"/>
          <w:szCs w:val="28"/>
          <w:rtl/>
        </w:rPr>
        <w:t xml:space="preserve">قرن 11 ه- الحقائق الايمانية، ج 6 ، ص 685.</w:t>
      </w:r>
    </w:p>
    <w:p>
      <w:pPr>
        <w:pStyle w:val="Heading2"/>
      </w:pPr>
      <w:bookmarkStart w:id="1970" w:name="_Toc1072"/>
      <w:r>
        <w:t>احسائي ، عبدالرحمن</w:t>
      </w:r>
      <w:bookmarkEnd w:id="1970"/>
    </w:p>
    <w:p>
      <w:pPr>
        <w:pStyle w:val="BookText"/>
      </w:pPr>
      <w:r>
        <w:rPr>
          <w:rFonts w:ascii="Amiri" w:hAnsi="Amiri" w:eastAsia="Amiri" w:cs="Amiri"/>
          <w:lang w:bidi="ar-SA"/>
          <w:color w:val="111111"/>
          <w:sz w:val="28"/>
          <w:szCs w:val="28"/>
          <w:rtl/>
        </w:rPr>
        <w:t xml:space="preserve">اجوبة مسائل الشيخ سليمان المرزوقي الشافعي، ج 1، ص 356.</w:t>
      </w:r>
    </w:p>
    <w:p>
      <w:pPr>
        <w:pStyle w:val="Heading2"/>
      </w:pPr>
      <w:bookmarkStart w:id="1971" w:name="_Toc1073"/>
      <w:r>
        <w:t>احسائي ، عثمان بن يوسف</w:t>
      </w:r>
      <w:bookmarkEnd w:id="1971"/>
    </w:p>
    <w:p>
      <w:pPr>
        <w:pStyle w:val="BookText"/>
      </w:pPr>
      <w:r>
        <w:rPr>
          <w:rFonts w:ascii="Amiri" w:hAnsi="Amiri" w:eastAsia="Amiri" w:cs="Amiri"/>
          <w:lang w:bidi="ar-SA"/>
          <w:color w:val="111111"/>
          <w:sz w:val="28"/>
          <w:szCs w:val="28"/>
          <w:rtl/>
        </w:rPr>
        <w:t xml:space="preserve">بلوغ الارب إلى سلسلة الذهب = منظومة في الطريقة النقشبندية، ج3،</w:t>
      </w:r>
    </w:p>
    <w:p>
      <w:pPr>
        <w:pStyle w:val="BookText"/>
      </w:pPr>
      <w:r>
        <w:rPr>
          <w:rFonts w:ascii="IRNazanin" w:hAnsi="IRNazanin" w:eastAsia="IRNazanin" w:cs="IRNazanin"/>
          <w:lang w:bidi="fa-IR"/>
          <w:color w:val="111111"/>
          <w:sz w:val="28"/>
          <w:szCs w:val="28"/>
          <w:rtl/>
        </w:rPr>
        <w:t xml:space="preserve">ص 395.</w:t>
      </w:r>
    </w:p>
    <w:p>
      <w:pPr>
        <w:pStyle w:val="Heading2"/>
      </w:pPr>
      <w:bookmarkStart w:id="1972" w:name="_Toc1074"/>
      <w:r>
        <w:t>احساني ، محمّد بن عبد اللطيف -1083ه-</w:t>
      </w:r>
      <w:bookmarkEnd w:id="1972"/>
    </w:p>
    <w:p>
      <w:pPr>
        <w:pStyle w:val="BookText"/>
      </w:pPr>
      <w:r>
        <w:rPr>
          <w:rFonts w:ascii="Amiri" w:hAnsi="Amiri" w:eastAsia="Amiri" w:cs="Amiri"/>
          <w:lang w:bidi="ar-SA"/>
          <w:color w:val="111111"/>
          <w:sz w:val="28"/>
          <w:szCs w:val="28"/>
          <w:rtl/>
        </w:rPr>
        <w:t xml:space="preserve">1 .حاشية البهجة المرضية في شرح</w:t>
      </w:r>
    </w:p>
    <w:p>
      <w:pPr>
        <w:pStyle w:val="BookText"/>
      </w:pPr>
      <w:r>
        <w:rPr>
          <w:rFonts w:ascii="Amiri" w:hAnsi="Amiri" w:eastAsia="Amiri" w:cs="Amiri"/>
          <w:lang w:bidi="ar-SA"/>
          <w:color w:val="111111"/>
          <w:sz w:val="28"/>
          <w:szCs w:val="28"/>
          <w:rtl/>
        </w:rPr>
        <w:t xml:space="preserve">الألفية، ج 5، ص 706.</w:t>
      </w:r>
    </w:p>
    <w:p>
      <w:pPr>
        <w:pStyle w:val="BookText"/>
      </w:pPr>
      <w:r>
        <w:rPr>
          <w:rFonts w:ascii="Amiri" w:hAnsi="Amiri" w:eastAsia="Amiri" w:cs="Amiri"/>
          <w:lang w:bidi="ar-SA"/>
          <w:color w:val="111111"/>
          <w:sz w:val="28"/>
          <w:szCs w:val="28"/>
          <w:rtl/>
        </w:rPr>
        <w:t xml:space="preserve">2 .حاشية شرح الآجرومية، ج 6، ص 9.</w:t>
      </w:r>
    </w:p>
    <w:p>
      <w:pPr>
        <w:pStyle w:val="BookText"/>
      </w:pPr>
      <w:r>
        <w:rPr>
          <w:rFonts w:ascii="Amiri" w:hAnsi="Amiri" w:eastAsia="Amiri" w:cs="Amiri"/>
          <w:lang w:bidi="ar-SA"/>
          <w:color w:val="111111"/>
          <w:sz w:val="28"/>
          <w:szCs w:val="28"/>
          <w:rtl/>
        </w:rPr>
        <w:t xml:space="preserve">3 .شواهد موافقة لمولد السيّد جعفر بن السيّد حسن البرزنجي، ج10،</w:t>
      </w:r>
    </w:p>
    <w:p>
      <w:pPr>
        <w:pStyle w:val="BookText"/>
      </w:pPr>
      <w:r>
        <w:rPr>
          <w:rFonts w:ascii="IRNazanin" w:hAnsi="IRNazanin" w:eastAsia="IRNazanin" w:cs="IRNazanin"/>
          <w:lang w:bidi="fa-IR"/>
          <w:color w:val="111111"/>
          <w:sz w:val="28"/>
          <w:szCs w:val="28"/>
          <w:rtl/>
        </w:rPr>
        <w:t xml:space="preserve">ص 455.</w:t>
      </w:r>
    </w:p>
    <w:p>
      <w:pPr>
        <w:pStyle w:val="Heading2"/>
      </w:pPr>
      <w:bookmarkStart w:id="1973" w:name="_Toc1075"/>
      <w:r>
        <w:t>احسائي ، علي نقي بن احمد - 1246 ه-</w:t>
      </w:r>
      <w:bookmarkEnd w:id="1973"/>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1 .اجوبة المسألتين، ج1، ص330.</w:t>
      </w:r>
    </w:p>
    <w:p>
      <w:pPr>
        <w:pStyle w:val="BookText"/>
      </w:pPr>
      <w:r>
        <w:rPr>
          <w:rFonts w:ascii="Amiri" w:hAnsi="Amiri" w:eastAsia="Amiri" w:cs="Amiri"/>
          <w:lang w:bidi="ar-SA"/>
          <w:color w:val="111111"/>
          <w:sz w:val="28"/>
          <w:szCs w:val="28"/>
          <w:rtl/>
        </w:rPr>
        <w:t xml:space="preserve">2 .تفسير «قاب قوسين أو أدنى»، جع،</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رسائل، ج8، ص 124 .</w:t>
      </w:r>
    </w:p>
    <w:p>
      <w:pPr>
        <w:pStyle w:val="BookText"/>
      </w:pPr>
      <w:r>
        <w:rPr>
          <w:rFonts w:ascii="Amiri" w:hAnsi="Amiri" w:eastAsia="Amiri" w:cs="Amiri"/>
          <w:lang w:bidi="ar-SA"/>
          <w:color w:val="111111"/>
          <w:sz w:val="28"/>
          <w:szCs w:val="28"/>
          <w:rtl/>
        </w:rPr>
        <w:t xml:space="preserve">4 .علم الله تعالى = علم الباري رسالة العلم الالهي، ج 11، ص230.</w:t>
      </w:r>
    </w:p>
    <w:p>
      <w:pPr>
        <w:pStyle w:val="BookText"/>
      </w:pPr>
      <w:r>
        <w:rPr>
          <w:rFonts w:ascii="Amiri" w:hAnsi="Amiri" w:eastAsia="Amiri" w:cs="Amiri"/>
          <w:lang w:bidi="ar-SA"/>
          <w:color w:val="111111"/>
          <w:sz w:val="28"/>
          <w:szCs w:val="28"/>
          <w:rtl/>
        </w:rPr>
        <w:t xml:space="preserve">5 .المعاد = معاد الجسماني، ج 14،</w:t>
      </w:r>
    </w:p>
    <w:p>
      <w:pPr>
        <w:pStyle w:val="BookText"/>
      </w:pPr>
      <w:r>
        <w:rPr>
          <w:rFonts w:ascii="IRNazanin" w:hAnsi="IRNazanin" w:eastAsia="IRNazanin" w:cs="IRNazanin"/>
          <w:lang w:bidi="fa-IR"/>
          <w:color w:val="111111"/>
          <w:sz w:val="28"/>
          <w:szCs w:val="28"/>
          <w:rtl/>
        </w:rPr>
        <w:t xml:space="preserve">ص 828.</w:t>
      </w:r>
    </w:p>
    <w:p>
      <w:pPr>
        <w:pStyle w:val="BookText"/>
      </w:pPr>
      <w:r>
        <w:rPr>
          <w:rFonts w:ascii="Amiri" w:hAnsi="Amiri" w:eastAsia="Amiri" w:cs="Amiri"/>
          <w:lang w:bidi="ar-SA"/>
          <w:color w:val="111111"/>
          <w:sz w:val="28"/>
          <w:szCs w:val="28"/>
          <w:rtl/>
        </w:rPr>
        <w:t xml:space="preserve">6 .نهج المحجة، ج 16 ، ص 531.</w:t>
      </w:r>
    </w:p>
    <w:p>
      <w:pPr>
        <w:pStyle w:val="Heading2"/>
      </w:pPr>
      <w:bookmarkStart w:id="1974" w:name="_Toc1076"/>
      <w:r>
        <w:t>احسائي ، محمّد بن احمد قرن 13 ه-</w:t>
      </w:r>
      <w:bookmarkEnd w:id="1974"/>
    </w:p>
    <w:p>
      <w:pPr>
        <w:pStyle w:val="BookText"/>
      </w:pPr>
      <w:r>
        <w:rPr>
          <w:rFonts w:ascii="Amiri" w:hAnsi="Amiri" w:eastAsia="Amiri" w:cs="Amiri"/>
          <w:lang w:bidi="ar-SA"/>
          <w:color w:val="111111"/>
          <w:sz w:val="28"/>
          <w:szCs w:val="28"/>
          <w:rtl/>
        </w:rPr>
        <w:t xml:space="preserve">1 .اجوبة المسائل = وجوب مقدمة</w:t>
      </w:r>
    </w:p>
    <w:p>
      <w:pPr>
        <w:pStyle w:val="BookText"/>
      </w:pPr>
      <w:r>
        <w:rPr>
          <w:rFonts w:ascii="IRNazanin" w:hAnsi="IRNazanin" w:eastAsia="IRNazanin" w:cs="IRNazanin"/>
          <w:lang w:bidi="fa-IR"/>
          <w:color w:val="111111"/>
          <w:sz w:val="28"/>
          <w:szCs w:val="28"/>
          <w:rtl/>
        </w:rPr>
        <w:t xml:space="preserve">الواجب، ج1، ص338</w:t>
      </w:r>
    </w:p>
    <w:p>
      <w:pPr>
        <w:pStyle w:val="BookText"/>
      </w:pPr>
      <w:r>
        <w:rPr>
          <w:rFonts w:ascii="Amiri" w:hAnsi="Amiri" w:eastAsia="Amiri" w:cs="Amiri"/>
          <w:lang w:bidi="ar-SA"/>
          <w:color w:val="111111"/>
          <w:sz w:val="28"/>
          <w:szCs w:val="28"/>
          <w:rtl/>
        </w:rPr>
        <w:t xml:space="preserve">2 .رد الأخباريين، ج8، ص82.</w:t>
      </w:r>
    </w:p>
    <w:p>
      <w:pPr>
        <w:pStyle w:val="BookText"/>
      </w:pPr>
      <w:r>
        <w:rPr>
          <w:rFonts w:ascii="Amiri" w:hAnsi="Amiri" w:eastAsia="Amiri" w:cs="Amiri"/>
          <w:lang w:bidi="ar-SA"/>
          <w:color w:val="111111"/>
          <w:sz w:val="28"/>
          <w:szCs w:val="28"/>
          <w:rtl/>
        </w:rPr>
        <w:t xml:space="preserve">احسائي ، محمّد بن زين الدين -ابن ابي</w:t>
      </w:r>
    </w:p>
    <w:p>
      <w:pPr>
        <w:pStyle w:val="BookText"/>
      </w:pPr>
      <w:r>
        <w:rPr>
          <w:rFonts w:ascii="Amiri" w:hAnsi="Amiri" w:eastAsia="Amiri" w:cs="Amiri"/>
          <w:lang w:bidi="ar-SA"/>
          <w:color w:val="111111"/>
          <w:sz w:val="28"/>
          <w:szCs w:val="28"/>
          <w:rtl/>
        </w:rPr>
        <w:t xml:space="preserve">جمهور ، محمّد بن علي</w:t>
      </w:r>
    </w:p>
    <w:p>
      <w:pPr>
        <w:pStyle w:val="BookText"/>
      </w:pPr>
      <w:r>
        <w:rPr>
          <w:rFonts w:ascii="Amiri" w:hAnsi="Amiri" w:eastAsia="Amiri" w:cs="Amiri"/>
          <w:lang w:bidi="ar-SA"/>
          <w:color w:val="111111"/>
          <w:sz w:val="28"/>
          <w:szCs w:val="28"/>
          <w:rtl/>
        </w:rPr>
        <w:t xml:space="preserve">احسائي محمّد بن عبدالرحمن- عفالقي</w:t>
      </w:r>
    </w:p>
    <w:p>
      <w:pPr>
        <w:pStyle w:val="BookText"/>
      </w:pPr>
      <w:r>
        <w:rPr>
          <w:rFonts w:ascii="IRNazanin" w:hAnsi="IRNazanin" w:eastAsia="IRNazanin" w:cs="IRNazanin"/>
          <w:lang w:bidi="fa-IR"/>
          <w:color w:val="111111"/>
          <w:sz w:val="28"/>
          <w:szCs w:val="28"/>
          <w:rtl/>
        </w:rPr>
        <w:t xml:space="preserve">محمّد بن عبد الرحمن</w:t>
      </w:r>
    </w:p>
    <w:p>
      <w:pPr>
        <w:pStyle w:val="BookText"/>
      </w:pPr>
      <w:r>
        <w:rPr>
          <w:rFonts w:ascii="Amiri" w:hAnsi="Amiri" w:eastAsia="Amiri" w:cs="Amiri"/>
          <w:lang w:bidi="ar-SA"/>
          <w:color w:val="111111"/>
          <w:sz w:val="28"/>
          <w:szCs w:val="28"/>
          <w:rtl/>
        </w:rPr>
        <w:t xml:space="preserve">احسائي ، محمّد بن عبدالله ابن فيروز ،</w:t>
      </w:r>
    </w:p>
    <w:p>
      <w:pPr>
        <w:pStyle w:val="BookText"/>
      </w:pPr>
      <w:r>
        <w:rPr>
          <w:rFonts w:ascii="Amiri" w:hAnsi="Amiri" w:eastAsia="Amiri" w:cs="Amiri"/>
          <w:lang w:bidi="ar-SA"/>
          <w:color w:val="111111"/>
          <w:sz w:val="28"/>
          <w:szCs w:val="28"/>
          <w:rtl/>
        </w:rPr>
        <w:t xml:space="preserve">احسائي ، محمّد بن علي ابن ابي جمهور ،</w:t>
      </w:r>
    </w:p>
    <w:p>
      <w:pPr>
        <w:pStyle w:val="BookText"/>
      </w:pPr>
      <w:r>
        <w:rPr>
          <w:rFonts w:ascii="Amiri" w:hAnsi="Amiri" w:eastAsia="Amiri" w:cs="Amiri"/>
          <w:lang w:bidi="ar-SA"/>
          <w:color w:val="111111"/>
          <w:sz w:val="28"/>
          <w:szCs w:val="28"/>
          <w:rtl/>
        </w:rPr>
        <w:t xml:space="preserve">محمّد بن علي احسائي ، محمّد بن مقرب ابن مقرب ،</w:t>
      </w:r>
    </w:p>
    <w:p>
      <w:pPr>
        <w:pStyle w:val="BookText"/>
      </w:pPr>
      <w:r>
        <w:rPr>
          <w:rFonts w:ascii="Amiri" w:hAnsi="Amiri" w:eastAsia="Amiri" w:cs="Amiri"/>
          <w:lang w:bidi="ar-SA"/>
          <w:color w:val="111111"/>
          <w:sz w:val="28"/>
          <w:szCs w:val="28"/>
          <w:rtl/>
        </w:rPr>
        <w:t xml:space="preserve">علي بن مقرب</w:t>
      </w:r>
    </w:p>
    <w:p>
      <w:pPr>
        <w:pStyle w:val="Heading2"/>
      </w:pPr>
      <w:bookmarkStart w:id="1975" w:name="_Toc1077"/>
      <w:r>
        <w:t>احسائي، محمّد تقي بن احمد، قرن 13 ه-</w:t>
      </w:r>
      <w:bookmarkEnd w:id="1975"/>
    </w:p>
    <w:p>
      <w:pPr>
        <w:pStyle w:val="BookText"/>
      </w:pPr>
      <w:r>
        <w:rPr>
          <w:rFonts w:ascii="Amiri" w:hAnsi="Amiri" w:eastAsia="Amiri" w:cs="Amiri"/>
          <w:lang w:bidi="ar-SA"/>
          <w:color w:val="111111"/>
          <w:sz w:val="28"/>
          <w:szCs w:val="28"/>
          <w:rtl/>
        </w:rPr>
        <w:t xml:space="preserve">الفلك (رسالة في)، ج 12، ص130.</w:t>
      </w:r>
    </w:p>
    <w:p>
      <w:pPr>
        <w:pStyle w:val="Heading2"/>
      </w:pPr>
      <w:bookmarkStart w:id="1976" w:name="_Toc1078"/>
      <w:r>
        <w:t>احسائي ، محمّد صالح بن ابراهیم قرن 11ه-</w:t>
      </w:r>
      <w:bookmarkEnd w:id="1976"/>
    </w:p>
    <w:p>
      <w:pPr>
        <w:pStyle w:val="BookText"/>
      </w:pPr>
      <w:r>
        <w:rPr>
          <w:rFonts w:ascii="Amiri" w:hAnsi="Amiri" w:eastAsia="Amiri" w:cs="Amiri"/>
          <w:lang w:bidi="ar-SA"/>
          <w:color w:val="111111"/>
          <w:sz w:val="28"/>
          <w:szCs w:val="28"/>
          <w:rtl/>
        </w:rPr>
        <w:t xml:space="preserve">1 .التقريب على التهذيب، ج 4</w:t>
      </w:r>
    </w:p>
    <w:p>
      <w:pPr>
        <w:pStyle w:val="BookText"/>
      </w:pPr>
      <w:r>
        <w:rPr>
          <w:rFonts w:ascii="IRNazanin" w:hAnsi="IRNazanin" w:eastAsia="IRNazanin" w:cs="IRNazanin"/>
          <w:lang w:bidi="fa-IR"/>
          <w:color w:val="111111"/>
          <w:sz w:val="28"/>
          <w:szCs w:val="28"/>
          <w:rtl/>
        </w:rPr>
        <w:t xml:space="preserve">ص 725</w:t>
      </w:r>
    </w:p>
    <w:p>
      <w:pPr>
        <w:pStyle w:val="BookText"/>
      </w:pPr>
      <w:r>
        <w:rPr>
          <w:rFonts w:ascii="Amiri" w:hAnsi="Amiri" w:eastAsia="Amiri" w:cs="Amiri"/>
          <w:lang w:bidi="ar-SA"/>
          <w:color w:val="111111"/>
          <w:sz w:val="28"/>
          <w:szCs w:val="28"/>
          <w:rtl/>
        </w:rPr>
        <w:t xml:space="preserve">2 .حاشية البهجة المرضية في شرح الالفية = التعليقات الصالحية على شرح الالفية، ج 5، ص 707.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4" w:name="pg7742_69675"/>
    <w:bookmarkEnd w:id="154"/>
    <w:p>
      <w:pPr>
        <w:pStyle w:val="Heading2"/>
      </w:pPr>
      <w:bookmarkStart w:id="1977" w:name="_Toc1079"/>
      <w:r>
        <w:t>احسائي ، هاشم بن احمد - 1309 ه-</w:t>
      </w:r>
      <w:bookmarkEnd w:id="1977"/>
    </w:p>
    <w:p>
      <w:pPr>
        <w:pStyle w:val="BookText"/>
      </w:pPr>
      <w:r>
        <w:rPr>
          <w:rFonts w:ascii="Amiri" w:hAnsi="Amiri" w:eastAsia="Amiri" w:cs="Amiri"/>
          <w:lang w:bidi="ar-SA"/>
          <w:color w:val="111111"/>
          <w:sz w:val="28"/>
          <w:szCs w:val="28"/>
          <w:rtl/>
        </w:rPr>
        <w:t xml:space="preserve">1 .إجازة للسيّد نعمة الله الجزائري</w:t>
      </w:r>
    </w:p>
    <w:p>
      <w:pPr>
        <w:pStyle w:val="BookText"/>
      </w:pPr>
      <w:r>
        <w:rPr>
          <w:rFonts w:ascii="IRNazanin" w:hAnsi="IRNazanin" w:eastAsia="IRNazanin" w:cs="IRNazanin"/>
          <w:lang w:bidi="fa-IR"/>
          <w:color w:val="111111"/>
          <w:sz w:val="28"/>
          <w:szCs w:val="28"/>
          <w:rtl/>
        </w:rPr>
        <w:t xml:space="preserve">ج 1 ص 261 .</w:t>
      </w:r>
    </w:p>
    <w:p>
      <w:pPr>
        <w:pStyle w:val="BookText"/>
      </w:pPr>
      <w:r>
        <w:rPr>
          <w:rFonts w:ascii="Amiri" w:hAnsi="Amiri" w:eastAsia="Amiri" w:cs="Amiri"/>
          <w:lang w:bidi="ar-SA"/>
          <w:color w:val="111111"/>
          <w:sz w:val="28"/>
          <w:szCs w:val="28"/>
          <w:rtl/>
        </w:rPr>
        <w:t xml:space="preserve">2 .انموذج الحق في بناء التكليف على</w:t>
      </w:r>
    </w:p>
    <w:p>
      <w:pPr>
        <w:pStyle w:val="BookText"/>
      </w:pPr>
      <w:r>
        <w:rPr>
          <w:rFonts w:ascii="Amiri" w:hAnsi="Amiri" w:eastAsia="Amiri" w:cs="Amiri"/>
          <w:lang w:bidi="ar-SA"/>
          <w:color w:val="111111"/>
          <w:sz w:val="28"/>
          <w:szCs w:val="28"/>
          <w:rtl/>
        </w:rPr>
        <w:t xml:space="preserve">حصول اليقين، ج 2، ص 829.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ايضاح السبيل، ج 3، ص 120.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سؤال و جواب، ج 8، ص 684</w:t>
      </w:r>
    </w:p>
    <w:p>
      <w:pPr>
        <w:pStyle w:val="BookText"/>
      </w:pPr>
      <w:r>
        <w:rPr>
          <w:rFonts w:ascii="Amiri" w:hAnsi="Amiri" w:eastAsia="Amiri" w:cs="Amiri"/>
          <w:lang w:bidi="ar-SA"/>
          <w:color w:val="111111"/>
          <w:sz w:val="28"/>
          <w:szCs w:val="28"/>
          <w:rtl/>
        </w:rPr>
        <w:t xml:space="preserve">5 .كشف الغطاء عن الحق بالتحقيق</w:t>
      </w:r>
    </w:p>
    <w:p>
      <w:pPr>
        <w:pStyle w:val="BookText"/>
      </w:pPr>
      <w:r>
        <w:rPr>
          <w:rFonts w:ascii="IRNazanin" w:hAnsi="IRNazanin" w:eastAsia="IRNazanin" w:cs="IRNazanin"/>
          <w:lang w:bidi="fa-IR"/>
          <w:color w:val="111111"/>
          <w:sz w:val="28"/>
          <w:szCs w:val="28"/>
          <w:rtl/>
        </w:rPr>
        <w:t xml:space="preserve">ج 13، ص 236.</w:t>
      </w:r>
    </w:p>
    <w:p>
      <w:pPr>
        <w:pStyle w:val="Heading2"/>
      </w:pPr>
      <w:bookmarkStart w:id="1978" w:name="_Toc1080"/>
      <w:r>
        <w:t>احمد</w:t>
      </w:r>
      <w:bookmarkEnd w:id="1978"/>
    </w:p>
    <w:p>
      <w:pPr>
        <w:pStyle w:val="BookText"/>
      </w:pPr>
      <w:r>
        <w:rPr>
          <w:rFonts w:ascii="Amiri" w:hAnsi="Amiri" w:eastAsia="Amiri" w:cs="Amiri"/>
          <w:lang w:bidi="ar-SA"/>
          <w:color w:val="111111"/>
          <w:sz w:val="28"/>
          <w:szCs w:val="28"/>
          <w:rtl/>
        </w:rPr>
        <w:t xml:space="preserve">الرد على المعتزلة في نفيهم كرامات</w:t>
      </w:r>
    </w:p>
    <w:p>
      <w:pPr>
        <w:pStyle w:val="BookText"/>
      </w:pPr>
      <w:r>
        <w:rPr>
          <w:rFonts w:ascii="Amiri" w:hAnsi="Amiri" w:eastAsia="Amiri" w:cs="Amiri"/>
          <w:lang w:bidi="ar-SA"/>
          <w:color w:val="111111"/>
          <w:sz w:val="28"/>
          <w:szCs w:val="28"/>
          <w:rtl/>
        </w:rPr>
        <w:t xml:space="preserve">الاولياء (رسالة في)، ج8، ص102.</w:t>
      </w:r>
    </w:p>
    <w:p>
      <w:pPr>
        <w:pStyle w:val="Heading2"/>
      </w:pPr>
      <w:bookmarkStart w:id="1979" w:name="_Toc1081"/>
      <w:r>
        <w:t>احمد آبادي ، احمد بن محمّد صالح -</w:t>
      </w:r>
      <w:bookmarkEnd w:id="1979"/>
    </w:p>
    <w:p>
      <w:pPr>
        <w:pStyle w:val="BookText"/>
      </w:pPr>
      <w:r>
        <w:rPr>
          <w:rFonts w:ascii="IRNazanin" w:hAnsi="IRNazanin" w:eastAsia="IRNazanin" w:cs="IRNazanin"/>
          <w:lang w:bidi="fa-IR"/>
          <w:color w:val="111111"/>
          <w:sz w:val="28"/>
          <w:szCs w:val="28"/>
          <w:rtl/>
        </w:rPr>
        <w:t xml:space="preserve">1155 ه-</w:t>
      </w:r>
    </w:p>
    <w:p>
      <w:pPr>
        <w:pStyle w:val="BookText"/>
      </w:pPr>
      <w:r>
        <w:rPr>
          <w:rFonts w:ascii="Amiri" w:hAnsi="Amiri" w:eastAsia="Amiri" w:cs="Amiri"/>
          <w:lang w:bidi="ar-SA"/>
          <w:color w:val="111111"/>
          <w:sz w:val="28"/>
          <w:szCs w:val="28"/>
          <w:rtl/>
        </w:rPr>
        <w:t xml:space="preserve">التأييدات القدسية في تحرير مقاصد</w:t>
      </w:r>
    </w:p>
    <w:p>
      <w:pPr>
        <w:pStyle w:val="BookText"/>
      </w:pPr>
      <w:r>
        <w:rPr>
          <w:rFonts w:ascii="Amiri" w:hAnsi="Amiri" w:eastAsia="Amiri" w:cs="Amiri"/>
          <w:lang w:bidi="ar-SA"/>
          <w:color w:val="111111"/>
          <w:sz w:val="28"/>
          <w:szCs w:val="28"/>
          <w:rtl/>
        </w:rPr>
        <w:t xml:space="preserve">الرسالة الانسكزية = التأييدات القدسية على مبحث «ما انا قلت» ج 3، ص 631.</w:t>
      </w:r>
    </w:p>
    <w:p>
      <w:pPr>
        <w:pStyle w:val="BookText"/>
      </w:pPr>
      <w:r>
        <w:rPr>
          <w:rFonts w:ascii="IRNazanin" w:hAnsi="IRNazanin" w:eastAsia="IRNazanin" w:cs="IRNazanin"/>
          <w:lang w:bidi="fa-IR"/>
          <w:color w:val="111111"/>
          <w:sz w:val="28"/>
          <w:szCs w:val="28"/>
          <w:rtl/>
        </w:rPr>
        <w:t xml:space="preserve">احمد ابن طاووس- ابن طاوس، احمد بن موسى</w:t>
      </w:r>
    </w:p>
    <w:p>
      <w:pPr>
        <w:pStyle w:val="BookText"/>
      </w:pPr>
      <w:r>
        <w:rPr>
          <w:rFonts w:ascii="Amiri" w:hAnsi="Amiri" w:eastAsia="Amiri" w:cs="Amiri"/>
          <w:lang w:bidi="ar-SA"/>
          <w:color w:val="111111"/>
          <w:sz w:val="28"/>
          <w:szCs w:val="28"/>
          <w:rtl/>
        </w:rPr>
        <w:t xml:space="preserve">احمد ابهري- ابهري ، سيف الدين احمد</w:t>
      </w:r>
    </w:p>
    <w:p>
      <w:pPr>
        <w:pStyle w:val="BookText"/>
      </w:pPr>
      <w:r>
        <w:rPr>
          <w:rFonts w:ascii="IRNazanin" w:hAnsi="IRNazanin" w:eastAsia="IRNazanin" w:cs="IRNazanin"/>
          <w:lang w:bidi="fa-IR"/>
          <w:color w:val="111111"/>
          <w:sz w:val="28"/>
          <w:szCs w:val="28"/>
          <w:rtl/>
        </w:rPr>
        <w:t xml:space="preserve">احمد ابیوردي- ابيوردي ، احمد</w:t>
      </w:r>
    </w:p>
    <w:p>
      <w:pPr>
        <w:pStyle w:val="BookText"/>
      </w:pPr>
      <w:r>
        <w:rPr>
          <w:rFonts w:ascii="Amiri" w:hAnsi="Amiri" w:eastAsia="Amiri" w:cs="Amiri"/>
          <w:lang w:bidi="ar-SA"/>
          <w:color w:val="111111"/>
          <w:sz w:val="28"/>
          <w:szCs w:val="28"/>
          <w:rtl/>
        </w:rPr>
        <w:t xml:space="preserve">احمد اردبيلي- اردبيلي ، احمد</w:t>
      </w:r>
    </w:p>
    <w:p>
      <w:pPr>
        <w:pStyle w:val="BookText"/>
      </w:pPr>
      <w:r>
        <w:rPr>
          <w:rFonts w:ascii="Amiri" w:hAnsi="Amiri" w:eastAsia="Amiri" w:cs="Amiri"/>
          <w:lang w:bidi="ar-SA"/>
          <w:color w:val="111111"/>
          <w:sz w:val="28"/>
          <w:szCs w:val="28"/>
          <w:rtl/>
        </w:rPr>
        <w:t xml:space="preserve">احمد افغاني حنفي- افغاني حنفي ، احمد</w:t>
      </w:r>
    </w:p>
    <w:p>
      <w:pPr>
        <w:pStyle w:val="BookText"/>
      </w:pPr>
      <w:r>
        <w:rPr>
          <w:rFonts w:ascii="Amiri" w:hAnsi="Amiri" w:eastAsia="Amiri" w:cs="Amiri"/>
          <w:lang w:bidi="ar-SA"/>
          <w:color w:val="111111"/>
          <w:sz w:val="28"/>
          <w:szCs w:val="28"/>
          <w:rtl/>
        </w:rPr>
        <w:t xml:space="preserve">احمد افندي -احمد افندي فتوة اميني زاده</w:t>
      </w:r>
    </w:p>
    <w:p>
      <w:pPr>
        <w:pStyle w:val="Heading2"/>
      </w:pPr>
      <w:bookmarkStart w:id="1980" w:name="_Toc1082"/>
      <w:r>
        <w:t>احمد افندي فتوة اميني زاده قرن 14 ه-</w:t>
      </w:r>
      <w:bookmarkEnd w:id="1980"/>
    </w:p>
    <w:p>
      <w:pPr>
        <w:pStyle w:val="BookText"/>
      </w:pPr>
      <w:r>
        <w:rPr>
          <w:rFonts w:ascii="Amiri" w:hAnsi="Amiri" w:eastAsia="Amiri" w:cs="Amiri"/>
          <w:lang w:bidi="ar-SA"/>
          <w:color w:val="111111"/>
          <w:sz w:val="28"/>
          <w:szCs w:val="28"/>
          <w:rtl/>
        </w:rPr>
        <w:t xml:space="preserve">ديوان الانشاء، ج 7، ص 582.</w:t>
      </w:r>
    </w:p>
    <w:p>
      <w:pPr>
        <w:pStyle w:val="BookText"/>
      </w:pPr>
      <w:r>
        <w:rPr>
          <w:rFonts w:ascii="Amiri" w:hAnsi="Amiri" w:eastAsia="Amiri" w:cs="Amiri"/>
          <w:lang w:bidi="ar-SA"/>
          <w:color w:val="111111"/>
          <w:sz w:val="28"/>
          <w:szCs w:val="28"/>
          <w:rtl/>
        </w:rPr>
        <w:t xml:space="preserve">احمد افندي واعظ عينتابي -واعظ عينتابي</w:t>
      </w:r>
    </w:p>
    <w:p>
      <w:pPr>
        <w:pStyle w:val="BookText"/>
      </w:pPr>
      <w:r>
        <w:rPr>
          <w:rFonts w:ascii="Amiri" w:hAnsi="Amiri" w:eastAsia="Amiri" w:cs="Amiri"/>
          <w:lang w:bidi="ar-SA"/>
          <w:color w:val="111111"/>
          <w:sz w:val="28"/>
          <w:szCs w:val="28"/>
          <w:rtl/>
        </w:rPr>
        <w:t xml:space="preserve">، احمد افندي احمد بابا ، احمد بن احمد -بابا تنبكتي</w:t>
      </w:r>
    </w:p>
    <w:p>
      <w:pPr>
        <w:pStyle w:val="BookText"/>
      </w:pPr>
      <w:r>
        <w:rPr>
          <w:rFonts w:ascii="IRNazanin" w:hAnsi="IRNazanin" w:eastAsia="IRNazanin" w:cs="IRNazanin"/>
          <w:lang w:bidi="fa-IR"/>
          <w:color w:val="111111"/>
          <w:sz w:val="28"/>
          <w:szCs w:val="28"/>
          <w:rtl/>
        </w:rPr>
        <w:t xml:space="preserve">احمد بن احمد</w:t>
      </w:r>
    </w:p>
    <w:p>
      <w:pPr>
        <w:pStyle w:val="Heading2"/>
      </w:pPr>
      <w:bookmarkStart w:id="1981" w:name="_Toc1083"/>
      <w:r>
        <w:t>احمد بابا ، احمد بن احمد، 963 - 1032</w:t>
      </w:r>
      <w:bookmarkEnd w:id="1981"/>
    </w:p>
    <w:p>
      <w:pPr>
        <w:pStyle w:val="BookText"/>
      </w:pPr>
      <w:r>
        <w:rPr>
          <w:rFonts w:ascii="IRNazanin" w:hAnsi="IRNazanin" w:eastAsia="IRNazanin" w:cs="IRNazanin"/>
          <w:lang w:bidi="fa-IR"/>
          <w:color w:val="111111"/>
          <w:sz w:val="28"/>
          <w:szCs w:val="28"/>
          <w:rtl/>
        </w:rPr>
        <w:t xml:space="preserve">؟ ه-</w:t>
      </w:r>
    </w:p>
    <w:p>
      <w:pPr>
        <w:pStyle w:val="BookText"/>
      </w:pPr>
      <w:r>
        <w:rPr>
          <w:rFonts w:ascii="Amiri" w:hAnsi="Amiri" w:eastAsia="Amiri" w:cs="Amiri"/>
          <w:lang w:bidi="ar-SA"/>
          <w:color w:val="111111"/>
          <w:sz w:val="28"/>
          <w:szCs w:val="28"/>
          <w:rtl/>
        </w:rPr>
        <w:t xml:space="preserve">النكت المستجادة في تسوية الفاعل و</w:t>
      </w:r>
    </w:p>
    <w:p>
      <w:pPr>
        <w:pStyle w:val="BookText"/>
      </w:pPr>
      <w:r>
        <w:rPr>
          <w:rFonts w:ascii="Amiri" w:hAnsi="Amiri" w:eastAsia="Amiri" w:cs="Amiri"/>
          <w:lang w:bidi="ar-SA"/>
          <w:color w:val="111111"/>
          <w:sz w:val="28"/>
          <w:szCs w:val="28"/>
          <w:rtl/>
        </w:rPr>
        <w:t xml:space="preserve">المبتدا في شرح الافادة، ج 16، ص 471.</w:t>
      </w:r>
    </w:p>
    <w:p>
      <w:pPr>
        <w:pStyle w:val="BookText"/>
      </w:pPr>
      <w:r>
        <w:rPr>
          <w:rFonts w:ascii="Amiri" w:hAnsi="Amiri" w:eastAsia="Amiri" w:cs="Amiri"/>
          <w:lang w:bidi="ar-SA"/>
          <w:color w:val="111111"/>
          <w:sz w:val="28"/>
          <w:szCs w:val="28"/>
          <w:rtl/>
        </w:rPr>
        <w:t xml:space="preserve">احمد بديري حلاق- بديري ، احمد</w:t>
      </w:r>
    </w:p>
    <w:p>
      <w:pPr>
        <w:pStyle w:val="BookText"/>
      </w:pPr>
      <w:r>
        <w:rPr>
          <w:rFonts w:ascii="IRNazanin" w:hAnsi="IRNazanin" w:eastAsia="IRNazanin" w:cs="IRNazanin"/>
          <w:lang w:bidi="fa-IR"/>
          <w:color w:val="111111"/>
          <w:sz w:val="28"/>
          <w:szCs w:val="28"/>
          <w:rtl/>
        </w:rPr>
        <w:t xml:space="preserve">احمد بك كوماسي -كوماسي ، احمد بك احمد بن ابراهیم (عبدالله)</w:t>
      </w:r>
    </w:p>
    <w:p>
      <w:pPr>
        <w:pStyle w:val="BookText"/>
      </w:pPr>
      <w:r>
        <w:rPr>
          <w:rFonts w:ascii="Amiri" w:hAnsi="Amiri" w:eastAsia="Amiri" w:cs="Amiri"/>
          <w:lang w:bidi="ar-SA"/>
          <w:color w:val="111111"/>
          <w:sz w:val="28"/>
          <w:szCs w:val="28"/>
          <w:rtl/>
        </w:rPr>
        <w:t xml:space="preserve">احمد بن ابراهيم احمدي</w:t>
      </w:r>
    </w:p>
    <w:p>
      <w:pPr>
        <w:pStyle w:val="BookText"/>
      </w:pPr>
      <w:r>
        <w:rPr>
          <w:rFonts w:ascii="Amiri" w:hAnsi="Amiri" w:eastAsia="Amiri" w:cs="Amiri"/>
          <w:lang w:bidi="ar-SA"/>
          <w:color w:val="111111"/>
          <w:sz w:val="28"/>
          <w:szCs w:val="28"/>
          <w:rtl/>
        </w:rPr>
        <w:t xml:space="preserve">كرمياني- كرمياني ، احمد بن عبدالله</w:t>
      </w:r>
    </w:p>
    <w:p>
      <w:pPr>
        <w:pStyle w:val="BookText"/>
      </w:pPr>
      <w:r>
        <w:rPr>
          <w:rFonts w:ascii="Amiri" w:hAnsi="Amiri" w:eastAsia="Amiri" w:cs="Amiri"/>
          <w:lang w:bidi="ar-SA"/>
          <w:color w:val="111111"/>
          <w:sz w:val="28"/>
          <w:szCs w:val="28"/>
          <w:rtl/>
        </w:rPr>
        <w:t xml:space="preserve">كرمياني احمدي ، احمد بن ابراهيم</w:t>
      </w:r>
    </w:p>
    <w:p>
      <w:pPr>
        <w:pStyle w:val="BookText"/>
      </w:pPr>
      <w:r>
        <w:rPr>
          <w:rFonts w:ascii="Amiri" w:hAnsi="Amiri" w:eastAsia="Amiri" w:cs="Amiri"/>
          <w:lang w:bidi="ar-SA"/>
          <w:color w:val="111111"/>
          <w:sz w:val="28"/>
          <w:szCs w:val="28"/>
          <w:rtl/>
        </w:rPr>
        <w:t xml:space="preserve">احمد بن ابراهيم بحراني- آل عصفور</w:t>
      </w:r>
    </w:p>
    <w:p>
      <w:pPr>
        <w:pStyle w:val="BookText"/>
      </w:pPr>
      <w:r>
        <w:rPr>
          <w:rFonts w:ascii="Amiri" w:hAnsi="Amiri" w:eastAsia="Amiri" w:cs="Amiri"/>
          <w:lang w:bidi="ar-SA"/>
          <w:color w:val="111111"/>
          <w:sz w:val="28"/>
          <w:szCs w:val="28"/>
          <w:rtl/>
        </w:rPr>
        <w:t xml:space="preserve">بحراني ، احمد بن ابراهيم</w:t>
      </w:r>
    </w:p>
    <w:p>
      <w:pPr>
        <w:pStyle w:val="BookText"/>
      </w:pPr>
      <w:r>
        <w:rPr>
          <w:rFonts w:ascii="Amiri" w:hAnsi="Amiri" w:eastAsia="Amiri" w:cs="Amiri"/>
          <w:lang w:bidi="ar-SA"/>
          <w:color w:val="111111"/>
          <w:sz w:val="28"/>
          <w:szCs w:val="28"/>
          <w:rtl/>
        </w:rPr>
        <w:t xml:space="preserve">احمد بن ابراهيم بن جزار -ابن جزار ،</w:t>
      </w:r>
    </w:p>
    <w:p>
      <w:pPr>
        <w:pStyle w:val="BookText"/>
      </w:pPr>
      <w:r>
        <w:rPr>
          <w:rFonts w:ascii="Amiri" w:hAnsi="Amiri" w:eastAsia="Amiri" w:cs="Amiri"/>
          <w:lang w:bidi="ar-SA"/>
          <w:color w:val="111111"/>
          <w:sz w:val="28"/>
          <w:szCs w:val="28"/>
          <w:rtl/>
        </w:rPr>
        <w:t xml:space="preserve">احمد بن ابراهيم احمد بن ابراهيم بن عبد الحق واسطي</w:t>
      </w:r>
    </w:p>
    <w:p>
      <w:pPr>
        <w:pStyle w:val="BookText"/>
      </w:pPr>
      <w:r>
        <w:rPr>
          <w:rFonts w:ascii="Amiri" w:hAnsi="Amiri" w:eastAsia="Amiri" w:cs="Amiri"/>
          <w:lang w:bidi="ar-SA"/>
          <w:color w:val="111111"/>
          <w:sz w:val="28"/>
          <w:szCs w:val="28"/>
          <w:rtl/>
        </w:rPr>
        <w:t xml:space="preserve">دمشقي- واسطي ، احمد بن ابراهيم</w:t>
      </w:r>
    </w:p>
    <w:p>
      <w:pPr>
        <w:pStyle w:val="BookText"/>
      </w:pPr>
      <w:r>
        <w:rPr>
          <w:rFonts w:ascii="Amiri" w:hAnsi="Amiri" w:eastAsia="Amiri" w:cs="Amiri"/>
          <w:lang w:bidi="ar-SA"/>
          <w:color w:val="111111"/>
          <w:sz w:val="28"/>
          <w:szCs w:val="28"/>
          <w:rtl/>
        </w:rPr>
        <w:t xml:space="preserve">احمد بن ابراهيم بن كثير دورقي . بغدادي- دورقي ، احمد بن ابراهيم</w:t>
      </w:r>
    </w:p>
    <w:p>
      <w:pPr>
        <w:pStyle w:val="BookText"/>
      </w:pPr>
      <w:r>
        <w:rPr>
          <w:rFonts w:ascii="Amiri" w:hAnsi="Amiri" w:eastAsia="Amiri" w:cs="Amiri"/>
          <w:lang w:bidi="ar-SA"/>
          <w:color w:val="111111"/>
          <w:sz w:val="28"/>
          <w:szCs w:val="28"/>
          <w:rtl/>
        </w:rPr>
        <w:t xml:space="preserve">احمد بن ابراهيم ثقفي -ابن زبير ، احمد</w:t>
      </w:r>
    </w:p>
    <w:p>
      <w:pPr>
        <w:pStyle w:val="BookText"/>
      </w:pPr>
      <w:r>
        <w:rPr>
          <w:rFonts w:ascii="Amiri" w:hAnsi="Amiri" w:eastAsia="Amiri" w:cs="Amiri"/>
          <w:lang w:bidi="ar-SA"/>
          <w:color w:val="111111"/>
          <w:sz w:val="28"/>
          <w:szCs w:val="28"/>
          <w:rtl/>
        </w:rPr>
        <w:t xml:space="preserve">بن ابراهيم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5" w:name="pg7742_69677"/>
    <w:bookmarkEnd w:id="155"/>
    <w:p>
      <w:pPr>
        <w:pStyle w:val="BookText"/>
      </w:pPr>
      <w:r>
        <w:rPr>
          <w:rFonts w:ascii="Amiri" w:hAnsi="Amiri" w:eastAsia="Amiri" w:cs="Amiri"/>
          <w:lang w:bidi="ar-SA"/>
          <w:color w:val="111111"/>
          <w:sz w:val="28"/>
          <w:szCs w:val="28"/>
          <w:rtl/>
        </w:rPr>
        <w:t xml:space="preserve">احمد بن ابراهيم حسيني دشتكي شيرازي- حسيني دشتكي ، احمد بن ابراهيم</w:t>
      </w:r>
    </w:p>
    <w:p>
      <w:pPr>
        <w:pStyle w:val="BookText"/>
      </w:pPr>
      <w:r>
        <w:rPr>
          <w:rFonts w:ascii="Amiri" w:hAnsi="Amiri" w:eastAsia="Amiri" w:cs="Amiri"/>
          <w:lang w:bidi="ar-SA"/>
          <w:color w:val="111111"/>
          <w:sz w:val="28"/>
          <w:szCs w:val="28"/>
          <w:rtl/>
        </w:rPr>
        <w:t xml:space="preserve">احمد بن ابراهيم حلبي -حلبي ، احمد بن</w:t>
      </w:r>
    </w:p>
    <w:p>
      <w:pPr>
        <w:pStyle w:val="BookText"/>
      </w:pPr>
      <w:r>
        <w:rPr>
          <w:rFonts w:ascii="Amiri" w:hAnsi="Amiri" w:eastAsia="Amiri" w:cs="Amiri"/>
          <w:lang w:bidi="ar-SA"/>
          <w:color w:val="111111"/>
          <w:sz w:val="28"/>
          <w:szCs w:val="28"/>
          <w:rtl/>
        </w:rPr>
        <w:t xml:space="preserve">ابراهيم</w:t>
      </w:r>
    </w:p>
    <w:p>
      <w:pPr>
        <w:pStyle w:val="BookText"/>
      </w:pPr>
      <w:r>
        <w:rPr>
          <w:rFonts w:ascii="IRNazanin" w:hAnsi="IRNazanin" w:eastAsia="IRNazanin" w:cs="IRNazanin"/>
          <w:lang w:bidi="fa-IR"/>
          <w:color w:val="111111"/>
          <w:sz w:val="28"/>
          <w:szCs w:val="28"/>
          <w:rtl/>
        </w:rPr>
        <w:t xml:space="preserve">احمد بن ابراهیم سروجي- سروجي ،</w:t>
      </w:r>
    </w:p>
    <w:p>
      <w:pPr>
        <w:pStyle w:val="BookText"/>
      </w:pPr>
      <w:r>
        <w:rPr>
          <w:rFonts w:ascii="Amiri" w:hAnsi="Amiri" w:eastAsia="Amiri" w:cs="Amiri"/>
          <w:lang w:bidi="ar-SA"/>
          <w:color w:val="111111"/>
          <w:sz w:val="28"/>
          <w:szCs w:val="28"/>
          <w:rtl/>
        </w:rPr>
        <w:t xml:space="preserve">احمد بن ابراهيم</w:t>
      </w:r>
    </w:p>
    <w:p>
      <w:pPr>
        <w:pStyle w:val="BookText"/>
      </w:pPr>
      <w:r>
        <w:rPr>
          <w:rFonts w:ascii="Amiri" w:hAnsi="Amiri" w:eastAsia="Amiri" w:cs="Amiri"/>
          <w:lang w:bidi="ar-SA"/>
          <w:color w:val="111111"/>
          <w:sz w:val="28"/>
          <w:szCs w:val="28"/>
          <w:rtl/>
        </w:rPr>
        <w:t xml:space="preserve">احمد بن ابراهيم سمناني -سمناني ، احمد</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احمد بن ابراهيم شرقي حنبلي -شرقي</w:t>
      </w:r>
    </w:p>
    <w:p>
      <w:pPr>
        <w:pStyle w:val="BookText"/>
      </w:pPr>
      <w:r>
        <w:rPr>
          <w:rFonts w:ascii="Amiri" w:hAnsi="Amiri" w:eastAsia="Amiri" w:cs="Amiri"/>
          <w:lang w:bidi="ar-SA"/>
          <w:color w:val="111111"/>
          <w:sz w:val="28"/>
          <w:szCs w:val="28"/>
          <w:rtl/>
        </w:rPr>
        <w:t xml:space="preserve">احمد بن ابراهيم</w:t>
      </w:r>
    </w:p>
    <w:p>
      <w:pPr>
        <w:pStyle w:val="BookText"/>
      </w:pPr>
      <w:r>
        <w:rPr>
          <w:rFonts w:ascii="Amiri" w:hAnsi="Amiri" w:eastAsia="Amiri" w:cs="Amiri"/>
          <w:lang w:bidi="ar-SA"/>
          <w:color w:val="111111"/>
          <w:sz w:val="28"/>
          <w:szCs w:val="28"/>
          <w:rtl/>
        </w:rPr>
        <w:t xml:space="preserve">احمد بن ابراهيم صديقي (ابن علان )-ابن علان، احمد بن ابراهيم</w:t>
      </w:r>
    </w:p>
    <w:p>
      <w:pPr>
        <w:pStyle w:val="BookText"/>
      </w:pPr>
      <w:r>
        <w:rPr>
          <w:rFonts w:ascii="Amiri" w:hAnsi="Amiri" w:eastAsia="Amiri" w:cs="Amiri"/>
          <w:lang w:bidi="ar-SA"/>
          <w:color w:val="111111"/>
          <w:sz w:val="28"/>
          <w:szCs w:val="28"/>
          <w:rtl/>
        </w:rPr>
        <w:t xml:space="preserve">احمد بن ابراهيم قيرواني -ابن جزار ،</w:t>
      </w:r>
    </w:p>
    <w:p>
      <w:pPr>
        <w:pStyle w:val="BookText"/>
      </w:pPr>
      <w:r>
        <w:rPr>
          <w:rFonts w:ascii="Amiri" w:hAnsi="Amiri" w:eastAsia="Amiri" w:cs="Amiri"/>
          <w:lang w:bidi="ar-SA"/>
          <w:color w:val="111111"/>
          <w:sz w:val="28"/>
          <w:szCs w:val="28"/>
          <w:rtl/>
        </w:rPr>
        <w:t xml:space="preserve">احمد بن ابراهيم احمد بن ابراهيم مقري- ابن برهان ،</w:t>
      </w:r>
    </w:p>
    <w:p>
      <w:pPr>
        <w:pStyle w:val="BookText"/>
      </w:pPr>
      <w:r>
        <w:rPr>
          <w:rFonts w:ascii="Amiri" w:hAnsi="Amiri" w:eastAsia="Amiri" w:cs="Amiri"/>
          <w:lang w:bidi="ar-SA"/>
          <w:color w:val="111111"/>
          <w:sz w:val="28"/>
          <w:szCs w:val="28"/>
          <w:rtl/>
        </w:rPr>
        <w:t xml:space="preserve">احمد بن ابراهيم</w:t>
      </w:r>
    </w:p>
    <w:p>
      <w:pPr>
        <w:pStyle w:val="BookText"/>
      </w:pPr>
      <w:r>
        <w:rPr>
          <w:rFonts w:ascii="Amiri" w:hAnsi="Amiri" w:eastAsia="Amiri" w:cs="Amiri"/>
          <w:lang w:bidi="ar-SA"/>
          <w:color w:val="111111"/>
          <w:sz w:val="28"/>
          <w:szCs w:val="28"/>
          <w:rtl/>
        </w:rPr>
        <w:t xml:space="preserve">احمد بن ابراهيم موصلي -موصلي ، احمد</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احمد بن ابراهيم نحاس -نحاس ، احمد بن ابراهيم</w:t>
      </w:r>
    </w:p>
    <w:p>
      <w:pPr>
        <w:pStyle w:val="BookText"/>
      </w:pPr>
      <w:r>
        <w:rPr>
          <w:rFonts w:ascii="Amiri" w:hAnsi="Amiri" w:eastAsia="Amiri" w:cs="Amiri"/>
          <w:lang w:bidi="ar-SA"/>
          <w:color w:val="111111"/>
          <w:sz w:val="28"/>
          <w:szCs w:val="28"/>
          <w:rtl/>
        </w:rPr>
        <w:t xml:space="preserve">احمد بن ابوالحسن باقلابادي</w:t>
      </w:r>
    </w:p>
    <w:p>
      <w:pPr>
        <w:pStyle w:val="BookText"/>
      </w:pPr>
      <w:r>
        <w:rPr>
          <w:rFonts w:ascii="Amiri" w:hAnsi="Amiri" w:eastAsia="Amiri" w:cs="Amiri"/>
          <w:lang w:bidi="ar-SA"/>
          <w:color w:val="111111"/>
          <w:sz w:val="28"/>
          <w:szCs w:val="28"/>
          <w:rtl/>
        </w:rPr>
        <w:t xml:space="preserve">مردوخي - باقلابادي ، احمد بن ابوالحسن</w:t>
      </w:r>
    </w:p>
    <w:p>
      <w:pPr>
        <w:pStyle w:val="Heading2"/>
      </w:pPr>
      <w:bookmarkStart w:id="1982" w:name="_Toc1084"/>
      <w:r>
        <w:t>احمد بن ابوبکر</w:t>
      </w:r>
      <w:bookmarkEnd w:id="1982"/>
    </w:p>
    <w:p>
      <w:pPr>
        <w:pStyle w:val="BookText"/>
      </w:pPr>
      <w:r>
        <w:rPr>
          <w:rFonts w:ascii="Amiri" w:hAnsi="Amiri" w:eastAsia="Amiri" w:cs="Amiri"/>
          <w:lang w:bidi="ar-SA"/>
          <w:color w:val="111111"/>
          <w:sz w:val="28"/>
          <w:szCs w:val="28"/>
          <w:rtl/>
        </w:rPr>
        <w:t xml:space="preserve">اقامة الحجة على تواتر الضاد الصحيحة و ابطال الضاد الضعيفة المعجمة، ج 2، ص 606.</w:t>
      </w:r>
    </w:p>
    <w:p>
      <w:pPr>
        <w:pStyle w:val="Heading2"/>
      </w:pPr>
      <w:bookmarkStart w:id="1983" w:name="_Toc1085"/>
      <w:r>
        <w:t>احمد بن ابي بكر بن علي بن السراج</w:t>
      </w:r>
      <w:bookmarkEnd w:id="1983"/>
    </w:p>
    <w:p>
      <w:pPr>
        <w:pStyle w:val="BookText"/>
      </w:pPr>
      <w:r>
        <w:rPr>
          <w:rFonts w:ascii="Amiri" w:hAnsi="Amiri" w:eastAsia="Amiri" w:cs="Amiri"/>
          <w:lang w:bidi="ar-SA"/>
          <w:color w:val="111111"/>
          <w:sz w:val="28"/>
          <w:szCs w:val="28"/>
          <w:rtl/>
        </w:rPr>
        <w:t xml:space="preserve">تسهيل المطالب لنيل الجيب الغائب</w:t>
      </w:r>
    </w:p>
    <w:p>
      <w:pPr>
        <w:pStyle w:val="BookText"/>
      </w:pPr>
      <w:r>
        <w:rPr>
          <w:rFonts w:ascii="IRNazanin" w:hAnsi="IRNazanin" w:eastAsia="IRNazanin" w:cs="IRNazanin"/>
          <w:lang w:bidi="fa-IR"/>
          <w:color w:val="111111"/>
          <w:sz w:val="28"/>
          <w:szCs w:val="28"/>
          <w:rtl/>
        </w:rPr>
        <w:t xml:space="preserve">ج 4، ص 354.</w:t>
      </w:r>
    </w:p>
    <w:p>
      <w:pPr>
        <w:pStyle w:val="BookText"/>
      </w:pPr>
      <w:r>
        <w:rPr>
          <w:rFonts w:ascii="Amiri" w:hAnsi="Amiri" w:eastAsia="Amiri" w:cs="Amiri"/>
          <w:lang w:bidi="ar-SA"/>
          <w:color w:val="111111"/>
          <w:sz w:val="28"/>
          <w:szCs w:val="28"/>
          <w:rtl/>
        </w:rPr>
        <w:t xml:space="preserve">احمد بن ابي الربيع شرف الدين ابو العباس المرجاني المقربي - مرجاني مقري ، احمد بن ابي</w:t>
      </w:r>
    </w:p>
    <w:p>
      <w:pPr>
        <w:pStyle w:val="BookText"/>
      </w:pPr>
      <w:r>
        <w:rPr>
          <w:rFonts w:ascii="Amiri" w:hAnsi="Amiri" w:eastAsia="Amiri" w:cs="Amiri"/>
          <w:lang w:bidi="ar-SA"/>
          <w:color w:val="111111"/>
          <w:sz w:val="28"/>
          <w:szCs w:val="28"/>
          <w:rtl/>
        </w:rPr>
        <w:t xml:space="preserve">ربيع</w:t>
      </w:r>
    </w:p>
    <w:p>
      <w:pPr>
        <w:pStyle w:val="BookText"/>
      </w:pPr>
      <w:r>
        <w:rPr>
          <w:rFonts w:ascii="Amiri" w:hAnsi="Amiri" w:eastAsia="Amiri" w:cs="Amiri"/>
          <w:lang w:bidi="ar-SA"/>
          <w:color w:val="111111"/>
          <w:sz w:val="28"/>
          <w:szCs w:val="28"/>
          <w:rtl/>
        </w:rPr>
        <w:t xml:space="preserve">احمد بن ابي العباس عينتابي-عينتابي</w:t>
      </w:r>
    </w:p>
    <w:p>
      <w:pPr>
        <w:pStyle w:val="BookText"/>
      </w:pPr>
      <w:r>
        <w:rPr>
          <w:rFonts w:ascii="Amiri" w:hAnsi="Amiri" w:eastAsia="Amiri" w:cs="Amiri"/>
          <w:lang w:bidi="ar-SA"/>
          <w:color w:val="111111"/>
          <w:sz w:val="28"/>
          <w:szCs w:val="28"/>
          <w:rtl/>
        </w:rPr>
        <w:t xml:space="preserve">احمد بن ابي العباس احمد بن ابي العباس مهدوي- مهدوي ،</w:t>
      </w:r>
    </w:p>
    <w:p>
      <w:pPr>
        <w:pStyle w:val="BookText"/>
      </w:pPr>
      <w:r>
        <w:rPr>
          <w:rFonts w:ascii="Amiri" w:hAnsi="Amiri" w:eastAsia="Amiri" w:cs="Amiri"/>
          <w:lang w:bidi="ar-SA"/>
          <w:color w:val="111111"/>
          <w:sz w:val="28"/>
          <w:szCs w:val="28"/>
          <w:rtl/>
        </w:rPr>
        <w:t xml:space="preserve">احمد بن عمار احمد بن ابي الفتح حكمي- حكمي</w:t>
      </w:r>
    </w:p>
    <w:p>
      <w:pPr>
        <w:pStyle w:val="BookText"/>
      </w:pPr>
      <w:r>
        <w:rPr>
          <w:rFonts w:ascii="Amiri" w:hAnsi="Amiri" w:eastAsia="Amiri" w:cs="Amiri"/>
          <w:lang w:bidi="ar-SA"/>
          <w:color w:val="111111"/>
          <w:sz w:val="28"/>
          <w:szCs w:val="28"/>
          <w:rtl/>
        </w:rPr>
        <w:t xml:space="preserve">احمد بن ابي الفتح</w:t>
      </w:r>
    </w:p>
    <w:p>
      <w:pPr>
        <w:pStyle w:val="BookText"/>
      </w:pPr>
      <w:r>
        <w:rPr>
          <w:rFonts w:ascii="Amiri" w:hAnsi="Amiri" w:eastAsia="Amiri" w:cs="Amiri"/>
          <w:lang w:bidi="ar-SA"/>
          <w:color w:val="111111"/>
          <w:sz w:val="28"/>
          <w:szCs w:val="28"/>
          <w:rtl/>
        </w:rPr>
        <w:t xml:space="preserve">احمد بن ابي المؤيد محمودي- محمودي ،</w:t>
      </w:r>
    </w:p>
    <w:p>
      <w:pPr>
        <w:pStyle w:val="BookText"/>
      </w:pPr>
      <w:r>
        <w:rPr>
          <w:rFonts w:ascii="Amiri" w:hAnsi="Amiri" w:eastAsia="Amiri" w:cs="Amiri"/>
          <w:lang w:bidi="ar-SA"/>
          <w:color w:val="111111"/>
          <w:sz w:val="28"/>
          <w:szCs w:val="28"/>
          <w:rtl/>
        </w:rPr>
        <w:t xml:space="preserve">احمد بن ابي المؤيد</w:t>
      </w:r>
    </w:p>
    <w:p>
      <w:pPr>
        <w:pStyle w:val="BookText"/>
      </w:pPr>
      <w:r>
        <w:rPr>
          <w:rFonts w:ascii="Amiri" w:hAnsi="Amiri" w:eastAsia="Amiri" w:cs="Amiri"/>
          <w:lang w:bidi="ar-SA"/>
          <w:color w:val="111111"/>
          <w:sz w:val="28"/>
          <w:szCs w:val="28"/>
          <w:rtl/>
        </w:rPr>
        <w:t xml:space="preserve">احمد بن ابي بكر بن رسام- ابن رسام ،</w:t>
      </w:r>
    </w:p>
    <w:p>
      <w:pPr>
        <w:pStyle w:val="BookText"/>
      </w:pPr>
      <w:r>
        <w:rPr>
          <w:rFonts w:ascii="Amiri" w:hAnsi="Amiri" w:eastAsia="Amiri" w:cs="Amiri"/>
          <w:lang w:bidi="ar-SA"/>
          <w:color w:val="111111"/>
          <w:sz w:val="28"/>
          <w:szCs w:val="28"/>
          <w:rtl/>
        </w:rPr>
        <w:t xml:space="preserve">احمد بن ابي بكر</w:t>
      </w:r>
    </w:p>
    <w:p>
      <w:pPr>
        <w:pStyle w:val="BookText"/>
      </w:pPr>
      <w:r>
        <w:rPr>
          <w:rFonts w:ascii="Amiri" w:hAnsi="Amiri" w:eastAsia="Amiri" w:cs="Amiri"/>
          <w:lang w:bidi="ar-SA"/>
          <w:color w:val="111111"/>
          <w:sz w:val="28"/>
          <w:szCs w:val="28"/>
          <w:rtl/>
        </w:rPr>
        <w:t xml:space="preserve">احمد بن ابي بكر بن محمّد رداد -رداد ،</w:t>
      </w:r>
    </w:p>
    <w:p>
      <w:pPr>
        <w:pStyle w:val="BookText"/>
      </w:pPr>
      <w:r>
        <w:rPr>
          <w:rFonts w:ascii="Amiri" w:hAnsi="Amiri" w:eastAsia="Amiri" w:cs="Amiri"/>
          <w:lang w:bidi="ar-SA"/>
          <w:color w:val="111111"/>
          <w:sz w:val="28"/>
          <w:szCs w:val="28"/>
          <w:rtl/>
        </w:rPr>
        <w:t xml:space="preserve">احمد بن ابي بكر -احمد بن ابي بكر مرعشي ، احمد بن ابي</w:t>
      </w:r>
    </w:p>
    <w:p>
      <w:pPr>
        <w:pStyle w:val="BookText"/>
      </w:pPr>
      <w:r>
        <w:rPr>
          <w:rFonts w:ascii="Amiri" w:hAnsi="Amiri" w:eastAsia="Amiri" w:cs="Amiri"/>
          <w:lang w:bidi="ar-SA"/>
          <w:color w:val="111111"/>
          <w:sz w:val="28"/>
          <w:szCs w:val="28"/>
          <w:rtl/>
        </w:rPr>
        <w:t xml:space="preserve">بكر</w:t>
      </w:r>
    </w:p>
    <w:p>
      <w:pPr>
        <w:pStyle w:val="BookText"/>
      </w:pPr>
      <w:r>
        <w:rPr>
          <w:rFonts w:ascii="IRNazanin" w:hAnsi="IRNazanin" w:eastAsia="IRNazanin" w:cs="IRNazanin"/>
          <w:lang w:bidi="fa-IR"/>
          <w:color w:val="111111"/>
          <w:sz w:val="28"/>
          <w:szCs w:val="28"/>
          <w:rtl/>
        </w:rPr>
        <w:t xml:space="preserve">احمد بن ابي بكر قوام الدين گنجوي- قوامي گنجوي ، احمد بن ابي بكر</w:t>
      </w:r>
    </w:p>
    <w:p>
      <w:pPr>
        <w:pStyle w:val="BookText"/>
      </w:pPr>
      <w:r>
        <w:rPr>
          <w:rFonts w:ascii="Amiri" w:hAnsi="Amiri" w:eastAsia="Amiri" w:cs="Amiri"/>
          <w:lang w:bidi="ar-SA"/>
          <w:color w:val="111111"/>
          <w:sz w:val="28"/>
          <w:szCs w:val="28"/>
          <w:rtl/>
        </w:rPr>
        <w:t xml:space="preserve">احمد بن ابي بكر نخجواني نخجواني</w:t>
      </w:r>
    </w:p>
    <w:p>
      <w:pPr>
        <w:pStyle w:val="BookText"/>
      </w:pPr>
      <w:r>
        <w:rPr>
          <w:rFonts w:ascii="Amiri" w:hAnsi="Amiri" w:eastAsia="Amiri" w:cs="Amiri"/>
          <w:lang w:bidi="ar-SA"/>
          <w:color w:val="111111"/>
          <w:sz w:val="28"/>
          <w:szCs w:val="28"/>
          <w:rtl/>
        </w:rPr>
        <w:t xml:space="preserve">احمد بن ابي بكر</w:t>
      </w:r>
    </w:p>
    <w:p>
      <w:pPr>
        <w:pStyle w:val="BookText"/>
      </w:pPr>
      <w:r>
        <w:rPr>
          <w:rFonts w:ascii="Amiri" w:hAnsi="Amiri" w:eastAsia="Amiri" w:cs="Amiri"/>
          <w:lang w:bidi="ar-SA"/>
          <w:color w:val="111111"/>
          <w:sz w:val="28"/>
          <w:szCs w:val="28"/>
          <w:rtl/>
        </w:rPr>
        <w:t xml:space="preserve">احمد بن ابي خيثمه زهير نسائي -ابن ابي</w:t>
      </w:r>
    </w:p>
    <w:p>
      <w:pPr>
        <w:pStyle w:val="BookText"/>
      </w:pPr>
      <w:r>
        <w:rPr>
          <w:rFonts w:ascii="Amiri" w:hAnsi="Amiri" w:eastAsia="Amiri" w:cs="Amiri"/>
          <w:lang w:bidi="ar-SA"/>
          <w:color w:val="111111"/>
          <w:sz w:val="28"/>
          <w:szCs w:val="28"/>
          <w:rtl/>
        </w:rPr>
        <w:t xml:space="preserve">خيثمه ، احمد بن زهير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ابي سعيد الصالحي</w:t>
      </w:r>
    </w:p>
    <w:p>
      <w:pPr>
        <w:pStyle w:val="BookText"/>
      </w:pPr>
      <w:r>
        <w:rPr>
          <w:rFonts w:ascii="Amiri" w:hAnsi="Amiri" w:eastAsia="Amiri" w:cs="Amiri"/>
          <w:lang w:bidi="ar-SA"/>
          <w:color w:val="111111"/>
          <w:sz w:val="28"/>
          <w:szCs w:val="28"/>
          <w:rtl/>
        </w:rPr>
        <w:t xml:space="preserve">الصديقي - شيخ جيون ، احمد بن ابي سعيد</w:t>
      </w:r>
    </w:p>
    <w:p>
      <w:pPr>
        <w:pStyle w:val="BookText"/>
      </w:pPr>
      <w:r>
        <w:rPr>
          <w:rFonts w:ascii="Amiri" w:hAnsi="Amiri" w:eastAsia="Amiri" w:cs="Amiri"/>
          <w:lang w:bidi="ar-SA"/>
          <w:color w:val="111111"/>
          <w:sz w:val="28"/>
          <w:szCs w:val="28"/>
          <w:rtl/>
        </w:rPr>
        <w:t xml:space="preserve">احمد بن ابي سعيد محمد ميبدي يزدي -ميبدي ، احمد بن محمد</w:t>
      </w:r>
    </w:p>
    <w:p>
      <w:pPr>
        <w:pStyle w:val="BookText"/>
      </w:pPr>
      <w:r>
        <w:rPr>
          <w:rFonts w:ascii="Amiri" w:hAnsi="Amiri" w:eastAsia="Amiri" w:cs="Amiri"/>
          <w:lang w:bidi="ar-SA"/>
          <w:color w:val="111111"/>
          <w:sz w:val="28"/>
          <w:szCs w:val="28"/>
          <w:rtl/>
        </w:rPr>
        <w:t xml:space="preserve">احمد بن احمد سنباطي- سنباطي ، احمد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احمد بن احمد طيبي دمشقي- طيبي</w:t>
      </w:r>
    </w:p>
    <w:p>
      <w:pPr>
        <w:pStyle w:val="BookText"/>
      </w:pPr>
      <w:r>
        <w:rPr>
          <w:rFonts w:ascii="Amiri" w:hAnsi="Amiri" w:eastAsia="Amiri" w:cs="Amiri"/>
          <w:lang w:bidi="ar-SA"/>
          <w:color w:val="111111"/>
          <w:sz w:val="28"/>
          <w:szCs w:val="28"/>
          <w:rtl/>
        </w:rPr>
        <w:t xml:space="preserve">احمد بن ابي طاهر- ابن ابي طاهر ، احمد</w:t>
      </w:r>
    </w:p>
    <w:p>
      <w:pPr>
        <w:pStyle w:val="BookText"/>
      </w:pPr>
      <w:r>
        <w:rPr>
          <w:rFonts w:ascii="Amiri" w:hAnsi="Amiri" w:eastAsia="Amiri" w:cs="Amiri"/>
          <w:lang w:bidi="ar-SA"/>
          <w:color w:val="111111"/>
          <w:sz w:val="28"/>
          <w:szCs w:val="28"/>
          <w:rtl/>
        </w:rPr>
        <w:t xml:space="preserve">بن ابي طاهر</w:t>
      </w:r>
    </w:p>
    <w:p>
      <w:pPr>
        <w:pStyle w:val="BookText"/>
      </w:pPr>
      <w:r>
        <w:rPr>
          <w:rFonts w:ascii="Amiri" w:hAnsi="Amiri" w:eastAsia="Amiri" w:cs="Amiri"/>
          <w:lang w:bidi="ar-SA"/>
          <w:color w:val="111111"/>
          <w:sz w:val="28"/>
          <w:szCs w:val="28"/>
          <w:rtl/>
        </w:rPr>
        <w:t xml:space="preserve">احمد بن ابي عمر اندرابي افغاني مقري</w:t>
      </w:r>
    </w:p>
    <w:p>
      <w:pPr>
        <w:pStyle w:val="BookText"/>
      </w:pPr>
      <w:r>
        <w:rPr>
          <w:rFonts w:ascii="Amiri" w:hAnsi="Amiri" w:eastAsia="Amiri" w:cs="Amiri"/>
          <w:lang w:bidi="ar-SA"/>
          <w:color w:val="111111"/>
          <w:sz w:val="28"/>
          <w:szCs w:val="28"/>
          <w:rtl/>
        </w:rPr>
        <w:t xml:space="preserve">زاهد- زاهد ، احمد بن ابي عمر</w:t>
      </w:r>
    </w:p>
    <w:p>
      <w:pPr>
        <w:pStyle w:val="BookText"/>
      </w:pPr>
      <w:r>
        <w:rPr>
          <w:rFonts w:ascii="Amiri" w:hAnsi="Amiri" w:eastAsia="Amiri" w:cs="Amiri"/>
          <w:lang w:bidi="ar-SA"/>
          <w:color w:val="111111"/>
          <w:sz w:val="28"/>
          <w:szCs w:val="28"/>
          <w:rtl/>
        </w:rPr>
        <w:t xml:space="preserve">احمد بن ابي يعقوب- يعقوبي ، احمد بن</w:t>
      </w:r>
    </w:p>
    <w:p>
      <w:pPr>
        <w:pStyle w:val="BookText"/>
      </w:pPr>
      <w:r>
        <w:rPr>
          <w:rFonts w:ascii="IRNazanin" w:hAnsi="IRNazanin" w:eastAsia="IRNazanin" w:cs="IRNazanin"/>
          <w:lang w:bidi="fa-IR"/>
          <w:color w:val="111111"/>
          <w:sz w:val="28"/>
          <w:szCs w:val="28"/>
          <w:rtl/>
        </w:rPr>
        <w:t xml:space="preserve">اسحاق</w:t>
      </w:r>
    </w:p>
    <w:p>
      <w:pPr>
        <w:pStyle w:val="BookText"/>
      </w:pPr>
      <w:r>
        <w:rPr>
          <w:rFonts w:ascii="Amiri" w:hAnsi="Amiri" w:eastAsia="Amiri" w:cs="Amiri"/>
          <w:lang w:bidi="ar-SA"/>
          <w:color w:val="111111"/>
          <w:sz w:val="28"/>
          <w:szCs w:val="28"/>
          <w:rtl/>
        </w:rPr>
        <w:t xml:space="preserve">احمد بن احمد النقيب الكليه زردي- كله</w:t>
      </w:r>
    </w:p>
    <w:p>
      <w:pPr>
        <w:pStyle w:val="BookText"/>
      </w:pPr>
      <w:r>
        <w:rPr>
          <w:rFonts w:ascii="Amiri" w:hAnsi="Amiri" w:eastAsia="Amiri" w:cs="Amiri"/>
          <w:lang w:bidi="ar-SA"/>
          <w:color w:val="111111"/>
          <w:sz w:val="28"/>
          <w:szCs w:val="28"/>
          <w:rtl/>
        </w:rPr>
        <w:t xml:space="preserve">زردي ، احمد بن احمد</w:t>
      </w:r>
    </w:p>
    <w:p>
      <w:pPr>
        <w:pStyle w:val="BookText"/>
      </w:pPr>
      <w:r>
        <w:rPr>
          <w:rFonts w:ascii="Amiri" w:hAnsi="Amiri" w:eastAsia="Amiri" w:cs="Amiri"/>
          <w:lang w:bidi="ar-SA"/>
          <w:color w:val="111111"/>
          <w:sz w:val="28"/>
          <w:szCs w:val="28"/>
          <w:rtl/>
        </w:rPr>
        <w:t xml:space="preserve">احمد بن احمد برنسي زروق- زروق ،</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احمد بن احمد بن عبدالحق سباطي - سباخي ، احمد بن عبدالحق</w:t>
      </w:r>
    </w:p>
    <w:p>
      <w:pPr>
        <w:pStyle w:val="BookText"/>
      </w:pPr>
      <w:r>
        <w:rPr>
          <w:rFonts w:ascii="Amiri" w:hAnsi="Amiri" w:eastAsia="Amiri" w:cs="Amiri"/>
          <w:lang w:bidi="ar-SA"/>
          <w:color w:val="111111"/>
          <w:sz w:val="28"/>
          <w:szCs w:val="28"/>
          <w:rtl/>
        </w:rPr>
        <w:t xml:space="preserve">احمد بن احمد رضائي البهسني التوقادي- توقادي ، احمد بن احمد</w:t>
      </w:r>
    </w:p>
    <w:p>
      <w:pPr>
        <w:pStyle w:val="BookText"/>
      </w:pPr>
      <w:r>
        <w:rPr>
          <w:rFonts w:ascii="Amiri" w:hAnsi="Amiri" w:eastAsia="Amiri" w:cs="Amiri"/>
          <w:lang w:bidi="ar-SA"/>
          <w:color w:val="111111"/>
          <w:sz w:val="28"/>
          <w:szCs w:val="28"/>
          <w:rtl/>
        </w:rPr>
        <w:t xml:space="preserve">احمد بن احمد رملي -رملي ، احمد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احمد بن احمد زبيدي -زبيدي ، احمد بن احمد</w:t>
      </w:r>
    </w:p>
    <w:p>
      <w:pPr>
        <w:pStyle w:val="BookText"/>
      </w:pPr>
      <w:r>
        <w:rPr>
          <w:rFonts w:ascii="IRNazanin" w:hAnsi="IRNazanin" w:eastAsia="IRNazanin" w:cs="IRNazanin"/>
          <w:lang w:bidi="fa-IR"/>
          <w:color w:val="111111"/>
          <w:sz w:val="28"/>
          <w:szCs w:val="28"/>
          <w:rtl/>
        </w:rPr>
        <w:t xml:space="preserve">احمد بن احمد زروق - زروق ، احمد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احمد بن احمد سجاعي- سجاعي ، احمد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دمشقي ، احمد بن احمد</w:t>
      </w:r>
    </w:p>
    <w:p>
      <w:pPr>
        <w:pStyle w:val="BookText"/>
      </w:pPr>
      <w:r>
        <w:rPr>
          <w:rFonts w:ascii="Amiri" w:hAnsi="Amiri" w:eastAsia="Amiri" w:cs="Amiri"/>
          <w:lang w:bidi="ar-SA"/>
          <w:color w:val="111111"/>
          <w:sz w:val="28"/>
          <w:szCs w:val="28"/>
          <w:rtl/>
        </w:rPr>
        <w:t xml:space="preserve">احمد بن احمد عجمي وفائي- عجمي ،</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احمد بن احمد قليوبي -قليوبي ، احمد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احمد بن اخي ناطور افلاكي- افلاكي</w:t>
      </w:r>
    </w:p>
    <w:p>
      <w:pPr>
        <w:pStyle w:val="BookText"/>
      </w:pPr>
      <w:r>
        <w:rPr>
          <w:rFonts w:ascii="Amiri" w:hAnsi="Amiri" w:eastAsia="Amiri" w:cs="Amiri"/>
          <w:lang w:bidi="ar-SA"/>
          <w:color w:val="111111"/>
          <w:sz w:val="28"/>
          <w:szCs w:val="28"/>
          <w:rtl/>
        </w:rPr>
        <w:t xml:space="preserve">احمد بن اخي ناطور</w:t>
      </w:r>
    </w:p>
    <w:p>
      <w:pPr>
        <w:pStyle w:val="BookText"/>
      </w:pPr>
      <w:r>
        <w:rPr>
          <w:rFonts w:ascii="IRNazanin" w:hAnsi="IRNazanin" w:eastAsia="IRNazanin" w:cs="IRNazanin"/>
          <w:lang w:bidi="fa-IR"/>
          <w:color w:val="111111"/>
          <w:sz w:val="28"/>
          <w:szCs w:val="28"/>
          <w:rtl/>
        </w:rPr>
        <w:t xml:space="preserve">احمد بن ادريس حسيني مغربي اندلسي -ابن ادريس ، احمد بن ادریس</w:t>
      </w:r>
    </w:p>
    <w:p>
      <w:pPr>
        <w:pStyle w:val="BookText"/>
      </w:pPr>
      <w:r>
        <w:rPr>
          <w:rFonts w:ascii="Amiri" w:hAnsi="Amiri" w:eastAsia="Amiri" w:cs="Amiri"/>
          <w:lang w:bidi="ar-SA"/>
          <w:color w:val="111111"/>
          <w:sz w:val="28"/>
          <w:szCs w:val="28"/>
          <w:rtl/>
        </w:rPr>
        <w:t xml:space="preserve">احمد بن ادريس قرافي مصري -قرافي</w:t>
      </w:r>
    </w:p>
    <w:p>
      <w:pPr>
        <w:pStyle w:val="BookText"/>
      </w:pPr>
      <w:r>
        <w:rPr>
          <w:rFonts w:ascii="IRNazanin" w:hAnsi="IRNazanin" w:eastAsia="IRNazanin" w:cs="IRNazanin"/>
          <w:lang w:bidi="fa-IR"/>
          <w:color w:val="111111"/>
          <w:sz w:val="28"/>
          <w:szCs w:val="28"/>
          <w:rtl/>
        </w:rPr>
        <w:t xml:space="preserve">احمد بن ادریس</w:t>
      </w:r>
    </w:p>
    <w:p>
      <w:pPr>
        <w:pStyle w:val="BookText"/>
      </w:pPr>
      <w:r>
        <w:rPr>
          <w:rFonts w:ascii="Amiri" w:hAnsi="Amiri" w:eastAsia="Amiri" w:cs="Amiri"/>
          <w:lang w:bidi="ar-SA"/>
          <w:color w:val="111111"/>
          <w:sz w:val="28"/>
          <w:szCs w:val="28"/>
          <w:rtl/>
        </w:rPr>
        <w:t xml:space="preserve">احمد بن اسحاق بن مؤيد ابرقوهي ،</w:t>
      </w:r>
    </w:p>
    <w:p>
      <w:pPr>
        <w:pStyle w:val="BookText"/>
      </w:pPr>
      <w:r>
        <w:rPr>
          <w:rFonts w:ascii="IRNazanin" w:hAnsi="IRNazanin" w:eastAsia="IRNazanin" w:cs="IRNazanin"/>
          <w:lang w:bidi="fa-IR"/>
          <w:color w:val="111111"/>
          <w:sz w:val="28"/>
          <w:szCs w:val="28"/>
          <w:rtl/>
        </w:rPr>
        <w:t xml:space="preserve">احمد بن اسحاق</w:t>
      </w:r>
    </w:p>
    <w:p>
      <w:pPr>
        <w:pStyle w:val="BookText"/>
      </w:pPr>
      <w:r>
        <w:rPr>
          <w:rFonts w:ascii="Amiri" w:hAnsi="Amiri" w:eastAsia="Amiri" w:cs="Amiri"/>
          <w:lang w:bidi="ar-SA"/>
          <w:color w:val="111111"/>
          <w:sz w:val="28"/>
          <w:szCs w:val="28"/>
          <w:rtl/>
        </w:rPr>
        <w:t xml:space="preserve">احمد بن اسحاق يعقوبي -يعقوبي ، احمد</w:t>
      </w:r>
    </w:p>
    <w:p>
      <w:pPr>
        <w:pStyle w:val="BookText"/>
      </w:pPr>
      <w:r>
        <w:rPr>
          <w:rFonts w:ascii="IRNazanin" w:hAnsi="IRNazanin" w:eastAsia="IRNazanin" w:cs="IRNazanin"/>
          <w:lang w:bidi="fa-IR"/>
          <w:color w:val="111111"/>
          <w:sz w:val="28"/>
          <w:szCs w:val="28"/>
          <w:rtl/>
        </w:rPr>
        <w:t xml:space="preserve">بن اسحاق</w:t>
      </w:r>
    </w:p>
    <w:p>
      <w:pPr>
        <w:pStyle w:val="BookText"/>
      </w:pPr>
      <w:r>
        <w:rPr>
          <w:rFonts w:ascii="IRNazanin" w:hAnsi="IRNazanin" w:eastAsia="IRNazanin" w:cs="IRNazanin"/>
          <w:lang w:bidi="fa-IR"/>
          <w:color w:val="111111"/>
          <w:sz w:val="28"/>
          <w:szCs w:val="28"/>
          <w:rtl/>
        </w:rPr>
        <w:t xml:space="preserve">احمد بن اسعد ابن عالمه -ابن عالمه</w:t>
      </w:r>
    </w:p>
    <w:p>
      <w:pPr>
        <w:pStyle w:val="BookText"/>
      </w:pPr>
      <w:r>
        <w:rPr>
          <w:rFonts w:ascii="IRNazanin" w:hAnsi="IRNazanin" w:eastAsia="IRNazanin" w:cs="IRNazanin"/>
          <w:lang w:bidi="fa-IR"/>
          <w:color w:val="111111"/>
          <w:sz w:val="28"/>
          <w:szCs w:val="28"/>
          <w:rtl/>
        </w:rPr>
        <w:t xml:space="preserve">احمد بن اسعد</w:t>
      </w:r>
    </w:p>
    <w:p>
      <w:pPr>
        <w:pStyle w:val="BookText"/>
      </w:pPr>
      <w:r>
        <w:rPr>
          <w:rFonts w:ascii="IRNazanin" w:hAnsi="IRNazanin" w:eastAsia="IRNazanin" w:cs="IRNazanin"/>
          <w:lang w:bidi="fa-IR"/>
          <w:color w:val="111111"/>
          <w:sz w:val="28"/>
          <w:szCs w:val="28"/>
          <w:rtl/>
        </w:rPr>
        <w:t xml:space="preserve">احمد بن اسماعیل آقازاده- آغازاده ،</w:t>
      </w:r>
    </w:p>
    <w:p>
      <w:pPr>
        <w:pStyle w:val="BookText"/>
      </w:pPr>
      <w:r>
        <w:rPr>
          <w:rFonts w:ascii="IRNazanin" w:hAnsi="IRNazanin" w:eastAsia="IRNazanin" w:cs="IRNazanin"/>
          <w:lang w:bidi="fa-IR"/>
          <w:color w:val="111111"/>
          <w:sz w:val="28"/>
          <w:szCs w:val="28"/>
          <w:rtl/>
        </w:rPr>
        <w:t xml:space="preserve">احمد بن اسماعیل احمد بن اسماعيل الجزائري - جزائري ،</w:t>
      </w:r>
    </w:p>
    <w:p>
      <w:pPr>
        <w:pStyle w:val="BookText"/>
      </w:pPr>
      <w:r>
        <w:rPr>
          <w:rFonts w:ascii="Amiri" w:hAnsi="Amiri" w:eastAsia="Amiri" w:cs="Amiri"/>
          <w:lang w:bidi="ar-SA"/>
          <w:color w:val="111111"/>
          <w:sz w:val="28"/>
          <w:szCs w:val="28"/>
          <w:rtl/>
        </w:rPr>
        <w:t xml:space="preserve">احمد بن اسماعيل احمد بن اسماعيل بن عثمان الشهرزوري</w:t>
      </w:r>
    </w:p>
    <w:p>
      <w:pPr>
        <w:pStyle w:val="BookText"/>
      </w:pPr>
      <w:r>
        <w:rPr>
          <w:rFonts w:ascii="Amiri" w:hAnsi="Amiri" w:eastAsia="Amiri" w:cs="Amiri"/>
          <w:lang w:bidi="ar-SA"/>
          <w:color w:val="111111"/>
          <w:sz w:val="28"/>
          <w:szCs w:val="28"/>
          <w:rtl/>
        </w:rPr>
        <w:t xml:space="preserve">الكوراني- كوراني ، احمد بن اسماعيل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6" w:name="pg7742_69681"/>
    <w:bookmarkEnd w:id="156"/>
    <w:p>
      <w:pPr>
        <w:pStyle w:val="Heading2"/>
      </w:pPr>
      <w:bookmarkStart w:id="1984" w:name="_Toc1086"/>
      <w:r>
        <w:t>احمد بن اسماعيل بن يوسف</w:t>
      </w:r>
      <w:bookmarkEnd w:id="1984"/>
    </w:p>
    <w:p>
      <w:pPr>
        <w:pStyle w:val="BookText"/>
      </w:pPr>
      <w:r>
        <w:rPr>
          <w:rFonts w:ascii="Amiri" w:hAnsi="Amiri" w:eastAsia="Amiri" w:cs="Amiri"/>
          <w:lang w:bidi="ar-SA"/>
          <w:color w:val="111111"/>
          <w:sz w:val="28"/>
          <w:szCs w:val="28"/>
          <w:rtl/>
        </w:rPr>
        <w:t xml:space="preserve">هداية الامة، ج 16، ص 598.</w:t>
      </w:r>
    </w:p>
    <w:p>
      <w:pPr>
        <w:pStyle w:val="BookText"/>
      </w:pPr>
      <w:r>
        <w:rPr>
          <w:rFonts w:ascii="Amiri" w:hAnsi="Amiri" w:eastAsia="Amiri" w:cs="Amiri"/>
          <w:lang w:bidi="ar-SA"/>
          <w:color w:val="111111"/>
          <w:sz w:val="28"/>
          <w:szCs w:val="28"/>
          <w:rtl/>
        </w:rPr>
        <w:t xml:space="preserve">احمد بن اسماعيل ترشيزي -خراساني</w:t>
      </w:r>
    </w:p>
    <w:p>
      <w:pPr>
        <w:pStyle w:val="BookText"/>
      </w:pPr>
      <w:r>
        <w:rPr>
          <w:rFonts w:ascii="Amiri" w:hAnsi="Amiri" w:eastAsia="Amiri" w:cs="Amiri"/>
          <w:lang w:bidi="ar-SA"/>
          <w:color w:val="111111"/>
          <w:sz w:val="28"/>
          <w:szCs w:val="28"/>
          <w:rtl/>
        </w:rPr>
        <w:t xml:space="preserve">ترشيزي ، احمد بن اسماعيل</w:t>
      </w:r>
    </w:p>
    <w:p>
      <w:pPr>
        <w:pStyle w:val="BookText"/>
      </w:pPr>
      <w:r>
        <w:rPr>
          <w:rFonts w:ascii="Amiri" w:hAnsi="Amiri" w:eastAsia="Amiri" w:cs="Amiri"/>
          <w:lang w:bidi="ar-SA"/>
          <w:color w:val="111111"/>
          <w:sz w:val="28"/>
          <w:szCs w:val="28"/>
          <w:rtl/>
        </w:rPr>
        <w:t xml:space="preserve">احمد بن اسماعيل تمرتاشي</w:t>
      </w:r>
    </w:p>
    <w:p>
      <w:pPr>
        <w:pStyle w:val="BookText"/>
      </w:pPr>
      <w:r>
        <w:rPr>
          <w:rFonts w:ascii="Amiri" w:hAnsi="Amiri" w:eastAsia="Amiri" w:cs="Amiri"/>
          <w:lang w:bidi="ar-SA"/>
          <w:color w:val="111111"/>
          <w:sz w:val="28"/>
          <w:szCs w:val="28"/>
          <w:rtl/>
        </w:rPr>
        <w:t xml:space="preserve">خوارزمي - تمرتاشي ، احمد بن اسماعيل</w:t>
      </w:r>
    </w:p>
    <w:p>
      <w:pPr>
        <w:pStyle w:val="BookText"/>
      </w:pPr>
      <w:r>
        <w:rPr>
          <w:rFonts w:ascii="IRNazanin" w:hAnsi="IRNazanin" w:eastAsia="IRNazanin" w:cs="IRNazanin"/>
          <w:lang w:bidi="fa-IR"/>
          <w:color w:val="111111"/>
          <w:sz w:val="28"/>
          <w:szCs w:val="28"/>
          <w:rtl/>
        </w:rPr>
        <w:t xml:space="preserve">احمد بن تاج الدین حسن بن سيف الدين</w:t>
      </w:r>
    </w:p>
    <w:p>
      <w:pPr>
        <w:pStyle w:val="BookText"/>
      </w:pPr>
      <w:r>
        <w:rPr>
          <w:rFonts w:ascii="Amiri" w:hAnsi="Amiri" w:eastAsia="Amiri" w:cs="Amiri"/>
          <w:lang w:bidi="ar-SA"/>
          <w:color w:val="111111"/>
          <w:sz w:val="28"/>
          <w:szCs w:val="28"/>
          <w:rtl/>
        </w:rPr>
        <w:t xml:space="preserve">استرآبادي- استرآبادي ، احمد بن حسن</w:t>
      </w:r>
    </w:p>
    <w:p>
      <w:pPr>
        <w:pStyle w:val="BookText"/>
      </w:pPr>
      <w:r>
        <w:rPr>
          <w:rFonts w:ascii="Amiri" w:hAnsi="Amiri" w:eastAsia="Amiri" w:cs="Amiri"/>
          <w:lang w:bidi="ar-SA"/>
          <w:color w:val="111111"/>
          <w:sz w:val="28"/>
          <w:szCs w:val="28"/>
          <w:rtl/>
        </w:rPr>
        <w:t xml:space="preserve">احمد بن تاج الدين غزالي- غزالي ، احمد</w:t>
      </w:r>
    </w:p>
    <w:p>
      <w:pPr>
        <w:pStyle w:val="BookText"/>
      </w:pPr>
      <w:r>
        <w:rPr>
          <w:rFonts w:ascii="Amiri" w:hAnsi="Amiri" w:eastAsia="Amiri" w:cs="Amiri"/>
          <w:lang w:bidi="ar-SA"/>
          <w:color w:val="111111"/>
          <w:sz w:val="28"/>
          <w:szCs w:val="28"/>
          <w:rtl/>
        </w:rPr>
        <w:t xml:space="preserve">بن تاج الدين</w:t>
      </w:r>
    </w:p>
    <w:p>
      <w:pPr>
        <w:pStyle w:val="BookText"/>
      </w:pPr>
      <w:r>
        <w:rPr>
          <w:rFonts w:ascii="Amiri" w:hAnsi="Amiri" w:eastAsia="Amiri" w:cs="Amiri"/>
          <w:lang w:bidi="ar-SA"/>
          <w:color w:val="111111"/>
          <w:sz w:val="28"/>
          <w:szCs w:val="28"/>
          <w:rtl/>
        </w:rPr>
        <w:t xml:space="preserve">احمد بن تاج الدين مالكي- ابن يعقوب ،</w:t>
      </w:r>
    </w:p>
    <w:p>
      <w:pPr>
        <w:pStyle w:val="BookText"/>
      </w:pPr>
      <w:r>
        <w:rPr>
          <w:rFonts w:ascii="Amiri" w:hAnsi="Amiri" w:eastAsia="Amiri" w:cs="Amiri"/>
          <w:lang w:bidi="ar-SA"/>
          <w:color w:val="111111"/>
          <w:sz w:val="28"/>
          <w:szCs w:val="28"/>
          <w:rtl/>
        </w:rPr>
        <w:t xml:space="preserve">احمد بن ابراهيم</w:t>
      </w:r>
    </w:p>
    <w:p>
      <w:pPr>
        <w:pStyle w:val="BookText"/>
      </w:pPr>
      <w:r>
        <w:rPr>
          <w:rFonts w:ascii="Amiri" w:hAnsi="Amiri" w:eastAsia="Amiri" w:cs="Amiri"/>
          <w:lang w:bidi="ar-SA"/>
          <w:color w:val="111111"/>
          <w:sz w:val="28"/>
          <w:szCs w:val="28"/>
          <w:rtl/>
        </w:rPr>
        <w:t xml:space="preserve">احمد بن تركي بن احمد منشليلي -ابن تركي ، احمد بن تركي</w:t>
      </w:r>
    </w:p>
    <w:p>
      <w:pPr>
        <w:pStyle w:val="BookText"/>
      </w:pPr>
      <w:r>
        <w:rPr>
          <w:rFonts w:ascii="Amiri" w:hAnsi="Amiri" w:eastAsia="Amiri" w:cs="Amiri"/>
          <w:lang w:bidi="ar-SA"/>
          <w:color w:val="111111"/>
          <w:sz w:val="28"/>
          <w:szCs w:val="28"/>
          <w:rtl/>
        </w:rPr>
        <w:t xml:space="preserve">احمد بن اسماعيل ثعلبي- ثعلبي ، احمد</w:t>
      </w:r>
    </w:p>
    <w:p>
      <w:pPr>
        <w:pStyle w:val="BookText"/>
      </w:pPr>
      <w:r>
        <w:rPr>
          <w:rFonts w:ascii="Amiri" w:hAnsi="Amiri" w:eastAsia="Amiri" w:cs="Amiri"/>
          <w:lang w:bidi="ar-SA"/>
          <w:color w:val="111111"/>
          <w:sz w:val="28"/>
          <w:szCs w:val="28"/>
          <w:rtl/>
        </w:rPr>
        <w:t xml:space="preserve">بن اسماعيل</w:t>
      </w:r>
    </w:p>
    <w:p>
      <w:pPr>
        <w:pStyle w:val="BookText"/>
      </w:pPr>
      <w:r>
        <w:rPr>
          <w:rFonts w:ascii="IRNazanin" w:hAnsi="IRNazanin" w:eastAsia="IRNazanin" w:cs="IRNazanin"/>
          <w:lang w:bidi="fa-IR"/>
          <w:color w:val="111111"/>
          <w:sz w:val="28"/>
          <w:szCs w:val="28"/>
          <w:rtl/>
        </w:rPr>
        <w:t xml:space="preserve">احمد بن اسماعیل جودت پاشا</w:t>
      </w:r>
    </w:p>
    <w:p>
      <w:pPr>
        <w:pStyle w:val="BookText"/>
      </w:pPr>
      <w:r>
        <w:rPr>
          <w:rFonts w:ascii="IRNazanin" w:hAnsi="IRNazanin" w:eastAsia="IRNazanin" w:cs="IRNazanin"/>
          <w:lang w:bidi="fa-IR"/>
          <w:color w:val="111111"/>
          <w:sz w:val="28"/>
          <w:szCs w:val="28"/>
          <w:rtl/>
        </w:rPr>
        <w:t xml:space="preserve">جودت</w:t>
      </w:r>
    </w:p>
    <w:p>
      <w:pPr>
        <w:pStyle w:val="BookText"/>
      </w:pPr>
      <w:r>
        <w:rPr>
          <w:rFonts w:ascii="Amiri" w:hAnsi="Amiri" w:eastAsia="Amiri" w:cs="Amiri"/>
          <w:lang w:bidi="ar-SA"/>
          <w:color w:val="111111"/>
          <w:sz w:val="28"/>
          <w:szCs w:val="28"/>
          <w:rtl/>
        </w:rPr>
        <w:t xml:space="preserve">باشا ، احمد بن اسماعيل</w:t>
      </w:r>
    </w:p>
    <w:p>
      <w:pPr>
        <w:pStyle w:val="Heading2"/>
      </w:pPr>
      <w:bookmarkStart w:id="1985" w:name="_Toc1087"/>
      <w:r>
        <w:t>احمد بن تمرباي</w:t>
      </w:r>
      <w:bookmarkEnd w:id="1985"/>
    </w:p>
    <w:p>
      <w:pPr>
        <w:pStyle w:val="BookText"/>
      </w:pPr>
      <w:r>
        <w:rPr>
          <w:rFonts w:ascii="Amiri" w:hAnsi="Amiri" w:eastAsia="Amiri" w:cs="Amiri"/>
          <w:lang w:bidi="ar-SA"/>
          <w:color w:val="111111"/>
          <w:sz w:val="28"/>
          <w:szCs w:val="28"/>
          <w:rtl/>
        </w:rPr>
        <w:t xml:space="preserve">حركة الكواكب الثابتة (رسالة في)، ج6،</w:t>
      </w:r>
    </w:p>
    <w:p>
      <w:pPr>
        <w:pStyle w:val="BookText"/>
      </w:pPr>
      <w:r>
        <w:rPr>
          <w:rFonts w:ascii="IRNazanin" w:hAnsi="IRNazanin" w:eastAsia="IRNazanin" w:cs="IRNazanin"/>
          <w:lang w:bidi="fa-IR"/>
          <w:color w:val="111111"/>
          <w:sz w:val="28"/>
          <w:szCs w:val="28"/>
          <w:rtl/>
        </w:rPr>
        <w:t xml:space="preserve">ص 617.</w:t>
      </w:r>
    </w:p>
    <w:p>
      <w:pPr>
        <w:pStyle w:val="BookText"/>
      </w:pPr>
      <w:r>
        <w:rPr>
          <w:rFonts w:ascii="Amiri" w:hAnsi="Amiri" w:eastAsia="Amiri" w:cs="Amiri"/>
          <w:lang w:bidi="ar-SA"/>
          <w:color w:val="111111"/>
          <w:sz w:val="28"/>
          <w:szCs w:val="28"/>
          <w:rtl/>
        </w:rPr>
        <w:t xml:space="preserve">احمد بن اسماعيل خراساني نامقي ترشيزي خراساني- ترشيزي ، احمد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احمد بن اسماعيل خير بزتي - خير بزتي ،</w:t>
      </w:r>
    </w:p>
    <w:p>
      <w:pPr>
        <w:pStyle w:val="BookText"/>
      </w:pPr>
      <w:r>
        <w:rPr>
          <w:rFonts w:ascii="Amiri" w:hAnsi="Amiri" w:eastAsia="Amiri" w:cs="Amiri"/>
          <w:lang w:bidi="ar-SA"/>
          <w:color w:val="111111"/>
          <w:sz w:val="28"/>
          <w:szCs w:val="28"/>
          <w:rtl/>
        </w:rPr>
        <w:t xml:space="preserve">احمد بن اسماعيل</w:t>
      </w:r>
    </w:p>
    <w:p>
      <w:pPr>
        <w:pStyle w:val="BookText"/>
      </w:pPr>
      <w:r>
        <w:rPr>
          <w:rFonts w:ascii="Amiri" w:hAnsi="Amiri" w:eastAsia="Amiri" w:cs="Amiri"/>
          <w:lang w:bidi="ar-SA"/>
          <w:color w:val="111111"/>
          <w:sz w:val="28"/>
          <w:szCs w:val="28"/>
          <w:rtl/>
        </w:rPr>
        <w:t xml:space="preserve">احمد بن اسماعيل طالقاني قزويني- قزويني ، احمد بن اسماعيل</w:t>
      </w:r>
    </w:p>
    <w:p>
      <w:pPr>
        <w:pStyle w:val="BookText"/>
      </w:pPr>
      <w:r>
        <w:rPr>
          <w:rFonts w:ascii="Amiri" w:hAnsi="Amiri" w:eastAsia="Amiri" w:cs="Amiri"/>
          <w:lang w:bidi="ar-SA"/>
          <w:color w:val="111111"/>
          <w:sz w:val="28"/>
          <w:szCs w:val="28"/>
          <w:rtl/>
        </w:rPr>
        <w:t xml:space="preserve">احمد بن اسماعيل طبقجلي بغدادي -طبقجلي ، احمد بن اسماعيل</w:t>
      </w:r>
    </w:p>
    <w:p>
      <w:pPr>
        <w:pStyle w:val="BookText"/>
      </w:pPr>
      <w:r>
        <w:rPr>
          <w:rFonts w:ascii="Amiri" w:hAnsi="Amiri" w:eastAsia="Amiri" w:cs="Amiri"/>
          <w:lang w:bidi="ar-SA"/>
          <w:color w:val="111111"/>
          <w:sz w:val="28"/>
          <w:szCs w:val="28"/>
          <w:rtl/>
        </w:rPr>
        <w:t xml:space="preserve">احمد بن أقد سوداني بابا تنبكتي ، احمد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احمد بن ايبك حسامي دمياطي- حسامي</w:t>
      </w:r>
    </w:p>
    <w:p>
      <w:pPr>
        <w:pStyle w:val="BookText"/>
      </w:pPr>
      <w:r>
        <w:rPr>
          <w:rFonts w:ascii="Amiri" w:hAnsi="Amiri" w:eastAsia="Amiri" w:cs="Amiri"/>
          <w:lang w:bidi="ar-SA"/>
          <w:color w:val="111111"/>
          <w:sz w:val="28"/>
          <w:szCs w:val="28"/>
          <w:rtl/>
        </w:rPr>
        <w:t xml:space="preserve">، احمد بن ايبك احمد بن ايوب ابو الاسعاد - ابوالاسعاد</w:t>
      </w:r>
    </w:p>
    <w:p>
      <w:pPr>
        <w:pStyle w:val="BookText"/>
      </w:pPr>
      <w:r>
        <w:rPr>
          <w:rFonts w:ascii="IRNazanin" w:hAnsi="IRNazanin" w:eastAsia="IRNazanin" w:cs="IRNazanin"/>
          <w:lang w:bidi="fa-IR"/>
          <w:color w:val="111111"/>
          <w:sz w:val="28"/>
          <w:szCs w:val="28"/>
          <w:rtl/>
        </w:rPr>
        <w:t xml:space="preserve">احمد بن ایوب احمد بن بنت المثلق شهاب الدین- احمد</w:t>
      </w:r>
    </w:p>
    <w:p>
      <w:pPr>
        <w:pStyle w:val="BookText"/>
      </w:pPr>
      <w:r>
        <w:rPr>
          <w:rFonts w:ascii="Amiri" w:hAnsi="Amiri" w:eastAsia="Amiri" w:cs="Amiri"/>
          <w:lang w:bidi="ar-SA"/>
          <w:color w:val="111111"/>
          <w:sz w:val="28"/>
          <w:szCs w:val="28"/>
          <w:rtl/>
        </w:rPr>
        <w:t xml:space="preserve">بن بنت المثلق احمد بن بيليك - ابن بيلبك ، احمد بن</w:t>
      </w:r>
    </w:p>
    <w:p>
      <w:pPr>
        <w:pStyle w:val="BookText"/>
      </w:pPr>
      <w:r>
        <w:rPr>
          <w:rFonts w:ascii="Amiri" w:hAnsi="Amiri" w:eastAsia="Amiri" w:cs="Amiri"/>
          <w:lang w:bidi="ar-SA"/>
          <w:color w:val="111111"/>
          <w:sz w:val="28"/>
          <w:szCs w:val="28"/>
          <w:rtl/>
        </w:rPr>
        <w:t xml:space="preserve">سيف الدين</w:t>
      </w:r>
    </w:p>
    <w:p>
      <w:pPr>
        <w:pStyle w:val="BookText"/>
      </w:pPr>
      <w:r>
        <w:rPr>
          <w:rFonts w:ascii="Amiri" w:hAnsi="Amiri" w:eastAsia="Amiri" w:cs="Amiri"/>
          <w:lang w:bidi="ar-SA"/>
          <w:color w:val="111111"/>
          <w:sz w:val="28"/>
          <w:szCs w:val="28"/>
          <w:rtl/>
        </w:rPr>
        <w:t xml:space="preserve">احمد بن تمريغا -ابن تمريغا ، احمد</w:t>
      </w:r>
    </w:p>
    <w:p>
      <w:pPr>
        <w:pStyle w:val="BookText"/>
      </w:pPr>
      <w:r>
        <w:rPr>
          <w:rFonts w:ascii="IRNazanin" w:hAnsi="IRNazanin" w:eastAsia="IRNazanin" w:cs="IRNazanin"/>
          <w:lang w:bidi="fa-IR"/>
          <w:color w:val="111111"/>
          <w:sz w:val="28"/>
          <w:szCs w:val="28"/>
          <w:rtl/>
        </w:rPr>
        <w:t xml:space="preserve">احمد بن جد -ابن جد ، احمد بن جد</w:t>
      </w:r>
    </w:p>
    <w:p>
      <w:pPr>
        <w:pStyle w:val="BookText"/>
      </w:pPr>
      <w:r>
        <w:rPr>
          <w:rFonts w:ascii="Amiri" w:hAnsi="Amiri" w:eastAsia="Amiri" w:cs="Amiri"/>
          <w:lang w:bidi="ar-SA"/>
          <w:color w:val="111111"/>
          <w:sz w:val="28"/>
          <w:szCs w:val="28"/>
          <w:rtl/>
        </w:rPr>
        <w:t xml:space="preserve">احمد بن جعفر بن دبيثي- ابن دبيثي ،</w:t>
      </w:r>
    </w:p>
    <w:p>
      <w:pPr>
        <w:pStyle w:val="BookText"/>
      </w:pPr>
      <w:r>
        <w:rPr>
          <w:rFonts w:ascii="IRNazanin" w:hAnsi="IRNazanin" w:eastAsia="IRNazanin" w:cs="IRNazanin"/>
          <w:lang w:bidi="fa-IR"/>
          <w:color w:val="111111"/>
          <w:sz w:val="28"/>
          <w:szCs w:val="28"/>
          <w:rtl/>
        </w:rPr>
        <w:t xml:space="preserve">احمد بن جعفر</w:t>
      </w:r>
    </w:p>
    <w:p>
      <w:pPr>
        <w:pStyle w:val="BookText"/>
      </w:pPr>
      <w:r>
        <w:rPr>
          <w:rFonts w:ascii="Amiri" w:hAnsi="Amiri" w:eastAsia="Amiri" w:cs="Amiri"/>
          <w:lang w:bidi="ar-SA"/>
          <w:color w:val="111111"/>
          <w:sz w:val="28"/>
          <w:szCs w:val="28"/>
          <w:rtl/>
        </w:rPr>
        <w:t xml:space="preserve">احمد بن جعفر قطيعي ( قطيفي)- قطيعي ، احمد بن جعفر</w:t>
      </w:r>
    </w:p>
    <w:p>
      <w:pPr>
        <w:pStyle w:val="BookText"/>
      </w:pPr>
      <w:r>
        <w:rPr>
          <w:rFonts w:ascii="IRNazanin" w:hAnsi="IRNazanin" w:eastAsia="IRNazanin" w:cs="IRNazanin"/>
          <w:lang w:bidi="fa-IR"/>
          <w:color w:val="111111"/>
          <w:sz w:val="28"/>
          <w:szCs w:val="28"/>
          <w:rtl/>
        </w:rPr>
        <w:t xml:space="preserve">احمد بن جلال بن محمّد بن جلال -ابن</w:t>
      </w:r>
    </w:p>
    <w:p>
      <w:pPr>
        <w:pStyle w:val="BookText"/>
      </w:pPr>
      <w:r>
        <w:rPr>
          <w:rFonts w:ascii="IRNazanin" w:hAnsi="IRNazanin" w:eastAsia="IRNazanin" w:cs="IRNazanin"/>
          <w:lang w:bidi="fa-IR"/>
          <w:color w:val="111111"/>
          <w:sz w:val="28"/>
          <w:szCs w:val="28"/>
          <w:rtl/>
        </w:rPr>
        <w:t xml:space="preserve">جلال ، احمد بن جلال</w:t>
      </w:r>
    </w:p>
    <w:p>
      <w:pPr>
        <w:pStyle w:val="BookText"/>
      </w:pPr>
      <w:r>
        <w:rPr>
          <w:rFonts w:ascii="Amiri" w:hAnsi="Amiri" w:eastAsia="Amiri" w:cs="Amiri"/>
          <w:lang w:bidi="ar-SA"/>
          <w:color w:val="111111"/>
          <w:sz w:val="28"/>
          <w:szCs w:val="28"/>
          <w:rtl/>
        </w:rPr>
        <w:t xml:space="preserve">احمد بن جمال الدين خطيب- خطيب</w:t>
      </w:r>
    </w:p>
    <w:p>
      <w:pPr>
        <w:pStyle w:val="BookText"/>
      </w:pPr>
      <w:r>
        <w:rPr>
          <w:rFonts w:ascii="Amiri" w:hAnsi="Amiri" w:eastAsia="Amiri" w:cs="Amiri"/>
          <w:lang w:bidi="ar-SA"/>
          <w:color w:val="111111"/>
          <w:sz w:val="28"/>
          <w:szCs w:val="28"/>
          <w:rtl/>
        </w:rPr>
        <w:t xml:space="preserve">احمد بن جمال الدين</w:t>
      </w:r>
    </w:p>
    <w:p>
      <w:pPr>
        <w:pStyle w:val="BookText"/>
      </w:pPr>
      <w:r>
        <w:rPr>
          <w:rFonts w:ascii="Amiri" w:hAnsi="Amiri" w:eastAsia="Amiri" w:cs="Amiri"/>
          <w:lang w:bidi="ar-SA"/>
          <w:color w:val="111111"/>
          <w:sz w:val="28"/>
          <w:szCs w:val="28"/>
          <w:rtl/>
        </w:rPr>
        <w:t xml:space="preserve">احمد بن حامد فخري زاده موصلي- فخري زاده، احمد بن حامد</w:t>
      </w:r>
    </w:p>
    <w:p>
      <w:pPr>
        <w:pStyle w:val="BookText"/>
      </w:pPr>
      <w:r>
        <w:rPr>
          <w:rFonts w:ascii="Amiri" w:hAnsi="Amiri" w:eastAsia="Amiri" w:cs="Amiri"/>
          <w:lang w:bidi="ar-SA"/>
          <w:color w:val="111111"/>
          <w:sz w:val="28"/>
          <w:szCs w:val="28"/>
          <w:rtl/>
        </w:rPr>
        <w:t xml:space="preserve">احمد بن حبيب آل زوين حسيني اعرجي</w:t>
      </w:r>
    </w:p>
    <w:p>
      <w:pPr>
        <w:pStyle w:val="BookText"/>
      </w:pPr>
      <w:r>
        <w:rPr>
          <w:rFonts w:ascii="Amiri" w:hAnsi="Amiri" w:eastAsia="Amiri" w:cs="Amiri"/>
          <w:lang w:bidi="ar-SA"/>
          <w:color w:val="111111"/>
          <w:sz w:val="28"/>
          <w:szCs w:val="28"/>
          <w:rtl/>
        </w:rPr>
        <w:t xml:space="preserve">نجفي -آل زوين اعرجي ، احمد بن حبيب</w:t>
      </w:r>
    </w:p>
    <w:p>
      <w:pPr>
        <w:pStyle w:val="BookText"/>
      </w:pPr>
      <w:r>
        <w:rPr>
          <w:rFonts w:ascii="Amiri" w:hAnsi="Amiri" w:eastAsia="Amiri" w:cs="Amiri"/>
          <w:lang w:bidi="ar-SA"/>
          <w:color w:val="111111"/>
          <w:sz w:val="28"/>
          <w:szCs w:val="28"/>
          <w:rtl/>
        </w:rPr>
        <w:t xml:space="preserve">احمد بن حجازي الفشني- فشني ، احمد</w:t>
      </w:r>
    </w:p>
    <w:p>
      <w:pPr>
        <w:pStyle w:val="BookText"/>
      </w:pPr>
      <w:r>
        <w:rPr>
          <w:rFonts w:ascii="Amiri" w:hAnsi="Amiri" w:eastAsia="Amiri" w:cs="Amiri"/>
          <w:lang w:bidi="ar-SA"/>
          <w:color w:val="111111"/>
          <w:sz w:val="28"/>
          <w:szCs w:val="28"/>
          <w:rtl/>
        </w:rPr>
        <w:t xml:space="preserve">بن حجازي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7" w:name="pg7742_69683"/>
    <w:bookmarkEnd w:id="157"/>
    <w:p>
      <w:pPr>
        <w:pStyle w:val="Heading2"/>
      </w:pPr>
      <w:bookmarkStart w:id="1986" w:name="_Toc1088"/>
      <w:r>
        <w:t>احمد بن حسن</w:t>
      </w:r>
      <w:bookmarkEnd w:id="1986"/>
    </w:p>
    <w:p>
      <w:pPr>
        <w:pStyle w:val="BookText"/>
      </w:pPr>
      <w:r>
        <w:rPr>
          <w:rFonts w:ascii="IRNazanin" w:hAnsi="IRNazanin" w:eastAsia="IRNazanin" w:cs="IRNazanin"/>
          <w:lang w:bidi="fa-IR"/>
          <w:color w:val="111111"/>
          <w:sz w:val="28"/>
          <w:szCs w:val="28"/>
          <w:rtl/>
        </w:rPr>
        <w:t xml:space="preserve">امثال القاموس، ج 2، ص 748.</w:t>
      </w:r>
    </w:p>
    <w:p>
      <w:pPr>
        <w:pStyle w:val="BookText"/>
      </w:pPr>
      <w:r>
        <w:rPr>
          <w:rFonts w:ascii="Amiri" w:hAnsi="Amiri" w:eastAsia="Amiri" w:cs="Amiri"/>
          <w:lang w:bidi="ar-SA"/>
          <w:color w:val="111111"/>
          <w:sz w:val="28"/>
          <w:szCs w:val="28"/>
          <w:rtl/>
        </w:rPr>
        <w:t xml:space="preserve">احمد بن حسن باجي- باجي ، احمد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احمد بن حسن بن احمد البناء -ابن بنا ،</w:t>
      </w:r>
    </w:p>
    <w:p>
      <w:pPr>
        <w:pStyle w:val="BookText"/>
      </w:pPr>
      <w:r>
        <w:rPr>
          <w:rFonts w:ascii="IRNazanin" w:hAnsi="IRNazanin" w:eastAsia="IRNazanin" w:cs="IRNazanin"/>
          <w:lang w:bidi="fa-IR"/>
          <w:color w:val="111111"/>
          <w:sz w:val="28"/>
          <w:szCs w:val="28"/>
          <w:rtl/>
        </w:rPr>
        <w:t xml:space="preserve">احمد بن حسن</w:t>
      </w:r>
    </w:p>
    <w:p>
      <w:pPr>
        <w:pStyle w:val="BookText"/>
      </w:pPr>
      <w:r>
        <w:rPr>
          <w:rFonts w:ascii="Amiri" w:hAnsi="Amiri" w:eastAsia="Amiri" w:cs="Amiri"/>
          <w:lang w:bidi="ar-SA"/>
          <w:color w:val="111111"/>
          <w:sz w:val="28"/>
          <w:szCs w:val="28"/>
          <w:rtl/>
        </w:rPr>
        <w:t xml:space="preserve">احمد بن حسن بن خيرون -ابن خيرون ،</w:t>
      </w:r>
    </w:p>
    <w:p>
      <w:pPr>
        <w:pStyle w:val="BookText"/>
      </w:pPr>
      <w:r>
        <w:rPr>
          <w:rFonts w:ascii="IRNazanin" w:hAnsi="IRNazanin" w:eastAsia="IRNazanin" w:cs="IRNazanin"/>
          <w:lang w:bidi="fa-IR"/>
          <w:color w:val="111111"/>
          <w:sz w:val="28"/>
          <w:szCs w:val="28"/>
          <w:rtl/>
        </w:rPr>
        <w:t xml:space="preserve">احمد بن حسن</w:t>
      </w:r>
    </w:p>
    <w:p>
      <w:pPr>
        <w:pStyle w:val="BookText"/>
      </w:pPr>
      <w:r>
        <w:rPr>
          <w:rFonts w:ascii="Amiri" w:hAnsi="Amiri" w:eastAsia="Amiri" w:cs="Amiri"/>
          <w:lang w:bidi="ar-SA"/>
          <w:color w:val="111111"/>
          <w:sz w:val="28"/>
          <w:szCs w:val="28"/>
          <w:rtl/>
        </w:rPr>
        <w:t xml:space="preserve">احمد بن حسن بن شرف الدين- ابن</w:t>
      </w:r>
    </w:p>
    <w:p>
      <w:pPr>
        <w:pStyle w:val="BookText"/>
      </w:pPr>
      <w:r>
        <w:rPr>
          <w:rFonts w:ascii="Amiri" w:hAnsi="Amiri" w:eastAsia="Amiri" w:cs="Amiri"/>
          <w:lang w:bidi="ar-SA"/>
          <w:color w:val="111111"/>
          <w:sz w:val="28"/>
          <w:szCs w:val="28"/>
          <w:rtl/>
        </w:rPr>
        <w:t xml:space="preserve">شرف الدين ، احمد بن حسن</w:t>
      </w:r>
    </w:p>
    <w:p>
      <w:pPr>
        <w:pStyle w:val="BookText"/>
      </w:pPr>
      <w:r>
        <w:rPr>
          <w:rFonts w:ascii="Amiri" w:hAnsi="Amiri" w:eastAsia="Amiri" w:cs="Amiri"/>
          <w:lang w:bidi="ar-SA"/>
          <w:color w:val="111111"/>
          <w:sz w:val="28"/>
          <w:szCs w:val="28"/>
          <w:rtl/>
        </w:rPr>
        <w:t xml:space="preserve">احمد بن حسن بن عامر احسائي- ابن</w:t>
      </w:r>
    </w:p>
    <w:p>
      <w:pPr>
        <w:pStyle w:val="BookText"/>
      </w:pPr>
      <w:r>
        <w:rPr>
          <w:rFonts w:ascii="Amiri" w:hAnsi="Amiri" w:eastAsia="Amiri" w:cs="Amiri"/>
          <w:lang w:bidi="ar-SA"/>
          <w:color w:val="111111"/>
          <w:sz w:val="28"/>
          <w:szCs w:val="28"/>
          <w:rtl/>
        </w:rPr>
        <w:t xml:space="preserve">عامر احسائي ، احمد بن حسن</w:t>
      </w:r>
    </w:p>
    <w:p>
      <w:pPr>
        <w:pStyle w:val="BookText"/>
      </w:pPr>
      <w:r>
        <w:rPr>
          <w:rFonts w:ascii="Amiri" w:hAnsi="Amiri" w:eastAsia="Amiri" w:cs="Amiri"/>
          <w:lang w:bidi="ar-SA"/>
          <w:color w:val="111111"/>
          <w:sz w:val="28"/>
          <w:szCs w:val="28"/>
          <w:rtl/>
        </w:rPr>
        <w:t xml:space="preserve">احمد بن حسن بن عبدالكريم الجوهري- جوهري ، احمد بن حسن</w:t>
      </w:r>
    </w:p>
    <w:p>
      <w:pPr>
        <w:pStyle w:val="BookText"/>
      </w:pPr>
      <w:r>
        <w:rPr>
          <w:rFonts w:ascii="Amiri" w:hAnsi="Amiri" w:eastAsia="Amiri" w:cs="Amiri"/>
          <w:lang w:bidi="ar-SA"/>
          <w:color w:val="111111"/>
          <w:sz w:val="28"/>
          <w:szCs w:val="28"/>
          <w:rtl/>
        </w:rPr>
        <w:t xml:space="preserve">احمد بن حسن بن علي عاملي- حر عاملي</w:t>
      </w:r>
    </w:p>
    <w:p>
      <w:pPr>
        <w:pStyle w:val="BookText"/>
      </w:pPr>
      <w:r>
        <w:rPr>
          <w:rFonts w:ascii="IRNazanin" w:hAnsi="IRNazanin" w:eastAsia="IRNazanin" w:cs="IRNazanin"/>
          <w:lang w:bidi="fa-IR"/>
          <w:color w:val="111111"/>
          <w:sz w:val="28"/>
          <w:szCs w:val="28"/>
          <w:rtl/>
        </w:rPr>
        <w:t xml:space="preserve">، احمد بن حسن</w:t>
      </w:r>
    </w:p>
    <w:p>
      <w:pPr>
        <w:pStyle w:val="BookText"/>
      </w:pPr>
      <w:r>
        <w:rPr>
          <w:rFonts w:ascii="IRNazanin" w:hAnsi="IRNazanin" w:eastAsia="IRNazanin" w:cs="IRNazanin"/>
          <w:lang w:bidi="fa-IR"/>
          <w:color w:val="111111"/>
          <w:sz w:val="28"/>
          <w:szCs w:val="28"/>
          <w:rtl/>
        </w:rPr>
        <w:t xml:space="preserve">احمد بن حسن بن محمود اختیار</w:t>
      </w:r>
    </w:p>
    <w:p>
      <w:pPr>
        <w:pStyle w:val="BookText"/>
      </w:pPr>
      <w:r>
        <w:rPr>
          <w:rFonts w:ascii="Amiri" w:hAnsi="Amiri" w:eastAsia="Amiri" w:cs="Amiri"/>
          <w:lang w:bidi="ar-SA"/>
          <w:color w:val="111111"/>
          <w:sz w:val="28"/>
          <w:szCs w:val="28"/>
          <w:rtl/>
        </w:rPr>
        <w:t xml:space="preserve">شيرازي- اختيار شيرازي ، احمد بن حسن</w:t>
      </w:r>
    </w:p>
    <w:p>
      <w:pPr>
        <w:pStyle w:val="BookText"/>
      </w:pPr>
      <w:r>
        <w:rPr>
          <w:rFonts w:ascii="Amiri" w:hAnsi="Amiri" w:eastAsia="Amiri" w:cs="Amiri"/>
          <w:lang w:bidi="ar-SA"/>
          <w:color w:val="111111"/>
          <w:sz w:val="28"/>
          <w:szCs w:val="28"/>
          <w:rtl/>
        </w:rPr>
        <w:t xml:space="preserve">احمد بن حسن بياضي -بياضي زاده</w:t>
      </w:r>
    </w:p>
    <w:p>
      <w:pPr>
        <w:pStyle w:val="BookText"/>
      </w:pPr>
      <w:r>
        <w:rPr>
          <w:rFonts w:ascii="IRNazanin" w:hAnsi="IRNazanin" w:eastAsia="IRNazanin" w:cs="IRNazanin"/>
          <w:lang w:bidi="fa-IR"/>
          <w:color w:val="111111"/>
          <w:sz w:val="28"/>
          <w:szCs w:val="28"/>
          <w:rtl/>
        </w:rPr>
        <w:t xml:space="preserve">احمد بن حسن</w:t>
      </w:r>
    </w:p>
    <w:p>
      <w:pPr>
        <w:pStyle w:val="BookText"/>
      </w:pPr>
      <w:r>
        <w:rPr>
          <w:rFonts w:ascii="Amiri" w:hAnsi="Amiri" w:eastAsia="Amiri" w:cs="Amiri"/>
          <w:lang w:bidi="ar-SA"/>
          <w:color w:val="111111"/>
          <w:sz w:val="28"/>
          <w:szCs w:val="28"/>
          <w:rtl/>
        </w:rPr>
        <w:t xml:space="preserve">احمد بن حسن حرعاملي -حر عاملي ،</w:t>
      </w:r>
    </w:p>
    <w:p>
      <w:pPr>
        <w:pStyle w:val="BookText"/>
      </w:pPr>
      <w:r>
        <w:rPr>
          <w:rFonts w:ascii="Amiri" w:hAnsi="Amiri" w:eastAsia="Amiri" w:cs="Amiri"/>
          <w:lang w:bidi="ar-SA"/>
          <w:color w:val="111111"/>
          <w:sz w:val="28"/>
          <w:szCs w:val="28"/>
          <w:rtl/>
        </w:rPr>
        <w:t xml:space="preserve">احمد بن حسن احمد بن حسن السعدي النجفي -سعدي</w:t>
      </w:r>
    </w:p>
    <w:p>
      <w:pPr>
        <w:pStyle w:val="BookText"/>
      </w:pPr>
      <w:r>
        <w:rPr>
          <w:rFonts w:ascii="Amiri" w:hAnsi="Amiri" w:eastAsia="Amiri" w:cs="Amiri"/>
          <w:lang w:bidi="ar-SA"/>
          <w:color w:val="111111"/>
          <w:sz w:val="28"/>
          <w:szCs w:val="28"/>
          <w:rtl/>
        </w:rPr>
        <w:t xml:space="preserve">نجفي ، احمد بن حسن</w:t>
      </w:r>
    </w:p>
    <w:p>
      <w:pPr>
        <w:pStyle w:val="BookText"/>
      </w:pPr>
      <w:r>
        <w:rPr>
          <w:rFonts w:ascii="IRNazanin" w:hAnsi="IRNazanin" w:eastAsia="IRNazanin" w:cs="IRNazanin"/>
          <w:lang w:bidi="fa-IR"/>
          <w:color w:val="111111"/>
          <w:sz w:val="28"/>
          <w:szCs w:val="28"/>
          <w:rtl/>
        </w:rPr>
        <w:t xml:space="preserve">احمد بن حسن شرف الدين اليمني الزيدي -ابن شرف الدین ، احمد بن حسن</w:t>
      </w:r>
    </w:p>
    <w:p>
      <w:pPr>
        <w:pStyle w:val="BookText"/>
      </w:pPr>
      <w:r>
        <w:rPr>
          <w:rFonts w:ascii="IRNazanin" w:hAnsi="IRNazanin" w:eastAsia="IRNazanin" w:cs="IRNazanin"/>
          <w:lang w:bidi="fa-IR"/>
          <w:color w:val="111111"/>
          <w:sz w:val="28"/>
          <w:szCs w:val="28"/>
          <w:rtl/>
        </w:rPr>
        <w:t xml:space="preserve">احمد بن حسن عطار عطار ، احمد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احمد بن حسن (قرماني)- قرماني ، احمد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احمد بن حسن كلاعي مالقي -ابن</w:t>
      </w:r>
    </w:p>
    <w:p>
      <w:pPr>
        <w:pStyle w:val="BookText"/>
      </w:pPr>
      <w:r>
        <w:rPr>
          <w:rFonts w:ascii="Amiri" w:hAnsi="Amiri" w:eastAsia="Amiri" w:cs="Amiri"/>
          <w:lang w:bidi="ar-SA"/>
          <w:color w:val="111111"/>
          <w:sz w:val="28"/>
          <w:szCs w:val="28"/>
          <w:rtl/>
        </w:rPr>
        <w:t xml:space="preserve">زيات ابن زيات، احمد بن حسن</w:t>
      </w:r>
    </w:p>
    <w:p>
      <w:pPr>
        <w:pStyle w:val="BookText"/>
      </w:pPr>
      <w:r>
        <w:rPr>
          <w:rFonts w:ascii="Amiri" w:hAnsi="Amiri" w:eastAsia="Amiri" w:cs="Amiri"/>
          <w:lang w:bidi="ar-SA"/>
          <w:color w:val="111111"/>
          <w:sz w:val="28"/>
          <w:szCs w:val="28"/>
          <w:rtl/>
        </w:rPr>
        <w:t xml:space="preserve">احمد بن حسن يزدي مشهدي</w:t>
      </w:r>
    </w:p>
    <w:p>
      <w:pPr>
        <w:pStyle w:val="BookText"/>
      </w:pPr>
      <w:r>
        <w:rPr>
          <w:rFonts w:ascii="Amiri" w:hAnsi="Amiri" w:eastAsia="Amiri" w:cs="Amiri"/>
          <w:lang w:bidi="ar-SA"/>
          <w:color w:val="111111"/>
          <w:sz w:val="28"/>
          <w:szCs w:val="28"/>
          <w:rtl/>
        </w:rPr>
        <w:t xml:space="preserve">واعظ -يزدي ، احمد بن حسن</w:t>
      </w:r>
    </w:p>
    <w:p>
      <w:pPr>
        <w:pStyle w:val="BookText"/>
      </w:pPr>
      <w:r>
        <w:rPr>
          <w:rFonts w:ascii="Amiri" w:hAnsi="Amiri" w:eastAsia="Amiri" w:cs="Amiri"/>
          <w:lang w:bidi="ar-SA"/>
          <w:color w:val="111111"/>
          <w:sz w:val="28"/>
          <w:szCs w:val="28"/>
          <w:rtl/>
        </w:rPr>
        <w:t xml:space="preserve">احمد بن حسين ابوشجاع</w:t>
      </w:r>
    </w:p>
    <w:p>
      <w:pPr>
        <w:pStyle w:val="BookText"/>
      </w:pPr>
      <w:r>
        <w:rPr>
          <w:rFonts w:ascii="Amiri" w:hAnsi="Amiri" w:eastAsia="Amiri" w:cs="Amiri"/>
          <w:lang w:bidi="ar-SA"/>
          <w:color w:val="111111"/>
          <w:sz w:val="28"/>
          <w:szCs w:val="28"/>
          <w:rtl/>
        </w:rPr>
        <w:t xml:space="preserve">اصفهاني ابوشجاع- اصفهاني ، احمد بن حسين</w:t>
      </w:r>
    </w:p>
    <w:p>
      <w:pPr>
        <w:pStyle w:val="BookText"/>
      </w:pPr>
      <w:r>
        <w:rPr>
          <w:rFonts w:ascii="Amiri" w:hAnsi="Amiri" w:eastAsia="Amiri" w:cs="Amiri"/>
          <w:lang w:bidi="ar-SA"/>
          <w:color w:val="111111"/>
          <w:sz w:val="28"/>
          <w:szCs w:val="28"/>
          <w:rtl/>
        </w:rPr>
        <w:t xml:space="preserve">احمد بن حسين اربلي- ابن خباز ، احمد</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احمد بن حسين بديع الزمان</w:t>
      </w:r>
    </w:p>
    <w:p>
      <w:pPr>
        <w:pStyle w:val="BookText"/>
      </w:pPr>
      <w:r>
        <w:rPr>
          <w:rFonts w:ascii="Amiri" w:hAnsi="Amiri" w:eastAsia="Amiri" w:cs="Amiri"/>
          <w:lang w:bidi="ar-SA"/>
          <w:color w:val="111111"/>
          <w:sz w:val="28"/>
          <w:szCs w:val="28"/>
          <w:rtl/>
        </w:rPr>
        <w:t xml:space="preserve">همداني بديع الزمان- همداني ، احمد بن</w:t>
      </w:r>
    </w:p>
    <w:p>
      <w:pPr>
        <w:pStyle w:val="BookText"/>
      </w:pPr>
      <w:r>
        <w:rPr>
          <w:rFonts w:ascii="Amiri" w:hAnsi="Amiri" w:eastAsia="Amiri" w:cs="Amiri"/>
          <w:lang w:bidi="ar-SA"/>
          <w:color w:val="111111"/>
          <w:sz w:val="28"/>
          <w:szCs w:val="28"/>
          <w:rtl/>
        </w:rPr>
        <w:t xml:space="preserve">حسين</w:t>
      </w:r>
    </w:p>
    <w:p>
      <w:pPr>
        <w:pStyle w:val="Heading2"/>
      </w:pPr>
      <w:bookmarkStart w:id="1987" w:name="_Toc1089"/>
      <w:r>
        <w:t>احمد بن حسين بن ابراهيم</w:t>
      </w:r>
      <w:bookmarkEnd w:id="1987"/>
    </w:p>
    <w:p>
      <w:pPr>
        <w:pStyle w:val="BookText"/>
      </w:pPr>
      <w:r>
        <w:rPr>
          <w:rFonts w:ascii="Amiri" w:hAnsi="Amiri" w:eastAsia="Amiri" w:cs="Amiri"/>
          <w:lang w:bidi="ar-SA"/>
          <w:color w:val="111111"/>
          <w:sz w:val="28"/>
          <w:szCs w:val="28"/>
          <w:rtl/>
        </w:rPr>
        <w:t xml:space="preserve">معراج النبي، ج 15 ، ص 35.</w:t>
      </w:r>
    </w:p>
    <w:p>
      <w:pPr>
        <w:pStyle w:val="BookText"/>
      </w:pPr>
      <w:r>
        <w:rPr>
          <w:rFonts w:ascii="Amiri" w:hAnsi="Amiri" w:eastAsia="Amiri" w:cs="Amiri"/>
          <w:lang w:bidi="ar-SA"/>
          <w:color w:val="111111"/>
          <w:sz w:val="28"/>
          <w:szCs w:val="28"/>
          <w:rtl/>
        </w:rPr>
        <w:t xml:space="preserve">احمد بن حسين بن احمد اصفهاني شهاب الدين -اصفهاني ، احمد بن</w:t>
      </w:r>
    </w:p>
    <w:p>
      <w:pPr>
        <w:pStyle w:val="BookText"/>
      </w:pPr>
      <w:r>
        <w:rPr>
          <w:rFonts w:ascii="Amiri" w:hAnsi="Amiri" w:eastAsia="Amiri" w:cs="Amiri"/>
          <w:lang w:bidi="ar-SA"/>
          <w:color w:val="111111"/>
          <w:sz w:val="28"/>
          <w:szCs w:val="28"/>
          <w:rtl/>
        </w:rPr>
        <w:t xml:space="preserve">حسين احمد بن حسين بن حسن طبيب- احمد</w:t>
      </w:r>
    </w:p>
    <w:p>
      <w:pPr>
        <w:pStyle w:val="BookText"/>
      </w:pPr>
      <w:r>
        <w:rPr>
          <w:rFonts w:ascii="Amiri" w:hAnsi="Amiri" w:eastAsia="Amiri" w:cs="Amiri"/>
          <w:lang w:bidi="ar-SA"/>
          <w:color w:val="111111"/>
          <w:sz w:val="28"/>
          <w:szCs w:val="28"/>
          <w:rtl/>
        </w:rPr>
        <w:t xml:space="preserve">ثاني بن حسين طبيب</w:t>
      </w:r>
    </w:p>
    <w:p>
      <w:pPr>
        <w:pStyle w:val="Heading2"/>
      </w:pPr>
      <w:bookmarkStart w:id="1988" w:name="_Toc1090"/>
      <w:r>
        <w:t>احمد بن حسين بن علي قرن 9 ه-</w:t>
      </w:r>
      <w:bookmarkEnd w:id="1988"/>
    </w:p>
    <w:p>
      <w:pPr>
        <w:pStyle w:val="BookText"/>
      </w:pPr>
      <w:r>
        <w:rPr>
          <w:rFonts w:ascii="Amiri" w:hAnsi="Amiri" w:eastAsia="Amiri" w:cs="Amiri"/>
          <w:lang w:bidi="ar-SA"/>
          <w:color w:val="111111"/>
          <w:sz w:val="28"/>
          <w:szCs w:val="28"/>
          <w:rtl/>
        </w:rPr>
        <w:t xml:space="preserve">العقد النفيس و نزهة الجليس، ج11،</w:t>
      </w:r>
    </w:p>
    <w:p>
      <w:pPr>
        <w:pStyle w:val="BookText"/>
      </w:pPr>
      <w:r>
        <w:rPr>
          <w:rFonts w:ascii="IRNazanin" w:hAnsi="IRNazanin" w:eastAsia="IRNazanin" w:cs="IRNazanin"/>
          <w:lang w:bidi="fa-IR"/>
          <w:color w:val="111111"/>
          <w:sz w:val="28"/>
          <w:szCs w:val="28"/>
          <w:rtl/>
        </w:rPr>
        <w:t xml:space="preserve">ص 178.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8" w:name="pg7742_69685"/>
    <w:bookmarkEnd w:id="158"/>
    <w:p>
      <w:pPr>
        <w:pStyle w:val="BookText"/>
      </w:pPr>
      <w:r>
        <w:rPr>
          <w:rFonts w:ascii="IRNazanin" w:hAnsi="IRNazanin" w:eastAsia="IRNazanin" w:cs="IRNazanin"/>
          <w:lang w:bidi="fa-IR"/>
          <w:color w:val="111111"/>
          <w:sz w:val="28"/>
          <w:szCs w:val="28"/>
          <w:rtl/>
        </w:rPr>
        <w:t xml:space="preserve">احمد بن حسين بن متویه -ابن متویه ،</w:t>
      </w:r>
    </w:p>
    <w:p>
      <w:pPr>
        <w:pStyle w:val="BookText"/>
      </w:pPr>
      <w:r>
        <w:rPr>
          <w:rFonts w:ascii="Amiri" w:hAnsi="Amiri" w:eastAsia="Amiri" w:cs="Amiri"/>
          <w:lang w:bidi="ar-SA"/>
          <w:color w:val="111111"/>
          <w:sz w:val="28"/>
          <w:szCs w:val="28"/>
          <w:rtl/>
        </w:rPr>
        <w:t xml:space="preserve">احمد بن حسين</w:t>
      </w:r>
    </w:p>
    <w:p>
      <w:pPr>
        <w:pStyle w:val="BookText"/>
      </w:pPr>
      <w:r>
        <w:rPr>
          <w:rFonts w:ascii="Amiri" w:hAnsi="Amiri" w:eastAsia="Amiri" w:cs="Amiri"/>
          <w:lang w:bidi="ar-SA"/>
          <w:color w:val="111111"/>
          <w:sz w:val="28"/>
          <w:szCs w:val="28"/>
          <w:rtl/>
        </w:rPr>
        <w:t xml:space="preserve">احمد بن حسين بن منصور حلاج- ابن</w:t>
      </w:r>
    </w:p>
    <w:p>
      <w:pPr>
        <w:pStyle w:val="BookText"/>
      </w:pPr>
      <w:r>
        <w:rPr>
          <w:rFonts w:ascii="Amiri" w:hAnsi="Amiri" w:eastAsia="Amiri" w:cs="Amiri"/>
          <w:lang w:bidi="ar-SA"/>
          <w:color w:val="111111"/>
          <w:sz w:val="28"/>
          <w:szCs w:val="28"/>
          <w:rtl/>
        </w:rPr>
        <w:t xml:space="preserve">حلاج ، احمد بن حسين</w:t>
      </w:r>
    </w:p>
    <w:p>
      <w:pPr>
        <w:pStyle w:val="BookText"/>
      </w:pPr>
      <w:r>
        <w:rPr>
          <w:rFonts w:ascii="Amiri" w:hAnsi="Amiri" w:eastAsia="Amiri" w:cs="Amiri"/>
          <w:lang w:bidi="ar-SA"/>
          <w:color w:val="111111"/>
          <w:sz w:val="28"/>
          <w:szCs w:val="28"/>
          <w:rtl/>
        </w:rPr>
        <w:t xml:space="preserve">احمد بن حسين بن مهران -ابن مهران ،</w:t>
      </w:r>
    </w:p>
    <w:p>
      <w:pPr>
        <w:pStyle w:val="BookText"/>
      </w:pPr>
      <w:r>
        <w:rPr>
          <w:rFonts w:ascii="IRNazanin" w:hAnsi="IRNazanin" w:eastAsia="IRNazanin" w:cs="IRNazanin"/>
          <w:lang w:bidi="fa-IR"/>
          <w:color w:val="111111"/>
          <w:sz w:val="28"/>
          <w:szCs w:val="28"/>
          <w:rtl/>
        </w:rPr>
        <w:t xml:space="preserve">ابوبکر بن احمد</w:t>
      </w:r>
    </w:p>
    <w:p>
      <w:pPr>
        <w:pStyle w:val="BookText"/>
      </w:pPr>
      <w:r>
        <w:rPr>
          <w:rFonts w:ascii="Amiri" w:hAnsi="Amiri" w:eastAsia="Amiri" w:cs="Amiri"/>
          <w:lang w:bidi="ar-SA"/>
          <w:color w:val="111111"/>
          <w:sz w:val="28"/>
          <w:szCs w:val="28"/>
          <w:rtl/>
        </w:rPr>
        <w:t xml:space="preserve">احمد بن حسين بيهقي -بيهقي ، احمد</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احمد بن حسين تفرشي نجفي -تفرشي ،</w:t>
      </w:r>
    </w:p>
    <w:p>
      <w:pPr>
        <w:pStyle w:val="BookText"/>
      </w:pPr>
      <w:r>
        <w:rPr>
          <w:rFonts w:ascii="Amiri" w:hAnsi="Amiri" w:eastAsia="Amiri" w:cs="Amiri"/>
          <w:lang w:bidi="ar-SA"/>
          <w:color w:val="111111"/>
          <w:sz w:val="28"/>
          <w:szCs w:val="28"/>
          <w:rtl/>
        </w:rPr>
        <w:t xml:space="preserve">احمد بن حسين</w:t>
      </w:r>
    </w:p>
    <w:p>
      <w:pPr>
        <w:pStyle w:val="BookText"/>
      </w:pPr>
      <w:r>
        <w:rPr>
          <w:rFonts w:ascii="Amiri" w:hAnsi="Amiri" w:eastAsia="Amiri" w:cs="Amiri"/>
          <w:lang w:bidi="ar-SA"/>
          <w:color w:val="111111"/>
          <w:sz w:val="28"/>
          <w:szCs w:val="28"/>
          <w:rtl/>
        </w:rPr>
        <w:t xml:space="preserve">احمد بن حسين جزري- جزري ، احمد بن</w:t>
      </w:r>
    </w:p>
    <w:p>
      <w:pPr>
        <w:pStyle w:val="BookText"/>
      </w:pPr>
      <w:r>
        <w:rPr>
          <w:rFonts w:ascii="Amiri" w:hAnsi="Amiri" w:eastAsia="Amiri" w:cs="Amiri"/>
          <w:lang w:bidi="ar-SA"/>
          <w:color w:val="111111"/>
          <w:sz w:val="28"/>
          <w:szCs w:val="28"/>
          <w:rtl/>
        </w:rPr>
        <w:t xml:space="preserve">احمد بن حسين موسوي جزائري- موسوي</w:t>
      </w:r>
    </w:p>
    <w:p>
      <w:pPr>
        <w:pStyle w:val="BookText"/>
      </w:pPr>
      <w:r>
        <w:rPr>
          <w:rFonts w:ascii="Amiri" w:hAnsi="Amiri" w:eastAsia="Amiri" w:cs="Amiri"/>
          <w:lang w:bidi="ar-SA"/>
          <w:color w:val="111111"/>
          <w:sz w:val="28"/>
          <w:szCs w:val="28"/>
          <w:rtl/>
        </w:rPr>
        <w:t xml:space="preserve">جزائري ، احمد بن حسين</w:t>
      </w:r>
    </w:p>
    <w:p>
      <w:pPr>
        <w:pStyle w:val="BookText"/>
      </w:pPr>
      <w:r>
        <w:rPr>
          <w:rFonts w:ascii="Amiri" w:hAnsi="Amiri" w:eastAsia="Amiri" w:cs="Amiri"/>
          <w:lang w:bidi="ar-SA"/>
          <w:color w:val="111111"/>
          <w:sz w:val="28"/>
          <w:szCs w:val="28"/>
          <w:rtl/>
        </w:rPr>
        <w:t xml:space="preserve">احمد بن حسين همداني- همداني ، احمد</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احمد بن حمدان اذرعي- اذرعي ، احمد</w:t>
      </w:r>
    </w:p>
    <w:p>
      <w:pPr>
        <w:pStyle w:val="BookText"/>
      </w:pPr>
      <w:r>
        <w:rPr>
          <w:rFonts w:ascii="IRNazanin" w:hAnsi="IRNazanin" w:eastAsia="IRNazanin" w:cs="IRNazanin"/>
          <w:lang w:bidi="fa-IR"/>
          <w:color w:val="111111"/>
          <w:sz w:val="28"/>
          <w:szCs w:val="28"/>
          <w:rtl/>
        </w:rPr>
        <w:t xml:space="preserve">بن حمدان</w:t>
      </w:r>
    </w:p>
    <w:p>
      <w:pPr>
        <w:pStyle w:val="BookText"/>
      </w:pPr>
      <w:r>
        <w:rPr>
          <w:rFonts w:ascii="Amiri" w:hAnsi="Amiri" w:eastAsia="Amiri" w:cs="Amiri"/>
          <w:lang w:bidi="ar-SA"/>
          <w:color w:val="111111"/>
          <w:sz w:val="28"/>
          <w:szCs w:val="28"/>
          <w:rtl/>
        </w:rPr>
        <w:t xml:space="preserve">احمد بن حمدان حراني- حراني ، احمد بن</w:t>
      </w:r>
    </w:p>
    <w:p>
      <w:pPr>
        <w:pStyle w:val="BookText"/>
      </w:pPr>
      <w:r>
        <w:rPr>
          <w:rFonts w:ascii="IRNazanin" w:hAnsi="IRNazanin" w:eastAsia="IRNazanin" w:cs="IRNazanin"/>
          <w:lang w:bidi="fa-IR"/>
          <w:color w:val="111111"/>
          <w:sz w:val="28"/>
          <w:szCs w:val="28"/>
          <w:rtl/>
        </w:rPr>
        <w:t xml:space="preserve">حمدان</w:t>
      </w:r>
    </w:p>
    <w:p>
      <w:pPr>
        <w:pStyle w:val="BookText"/>
      </w:pPr>
      <w:r>
        <w:rPr>
          <w:rFonts w:ascii="Amiri" w:hAnsi="Amiri" w:eastAsia="Amiri" w:cs="Amiri"/>
          <w:lang w:bidi="ar-SA"/>
          <w:color w:val="111111"/>
          <w:sz w:val="28"/>
          <w:szCs w:val="28"/>
          <w:rtl/>
        </w:rPr>
        <w:t xml:space="preserve">احمد بن حمدان رازي وسناني- ابوحاتم</w:t>
      </w:r>
    </w:p>
    <w:p>
      <w:pPr>
        <w:pStyle w:val="BookText"/>
      </w:pPr>
      <w:r>
        <w:rPr>
          <w:rFonts w:ascii="Amiri" w:hAnsi="Amiri" w:eastAsia="Amiri" w:cs="Amiri"/>
          <w:lang w:bidi="ar-SA"/>
          <w:color w:val="111111"/>
          <w:sz w:val="28"/>
          <w:szCs w:val="28"/>
          <w:rtl/>
        </w:rPr>
        <w:t xml:space="preserve">رازي، احمد بن حمدان</w:t>
      </w:r>
    </w:p>
    <w:p>
      <w:pPr>
        <w:pStyle w:val="Heading2"/>
      </w:pPr>
      <w:bookmarkStart w:id="1989" w:name="_Toc1091"/>
      <w:r>
        <w:t>احمد بن حمدي شافعي</w:t>
      </w:r>
      <w:bookmarkEnd w:id="1989"/>
    </w:p>
    <w:p>
      <w:pPr>
        <w:pStyle w:val="BookText"/>
      </w:pPr>
      <w:r>
        <w:rPr>
          <w:rFonts w:ascii="IRNazanin" w:hAnsi="IRNazanin" w:eastAsia="IRNazanin" w:cs="IRNazanin"/>
          <w:lang w:bidi="fa-IR"/>
          <w:color w:val="111111"/>
          <w:sz w:val="28"/>
          <w:szCs w:val="28"/>
          <w:rtl/>
        </w:rPr>
        <w:t xml:space="preserve">شرح المطارحات، ج 10، ص 149.</w:t>
      </w:r>
    </w:p>
    <w:p>
      <w:pPr>
        <w:pStyle w:val="BookText"/>
      </w:pPr>
      <w:r>
        <w:rPr>
          <w:rFonts w:ascii="Amiri" w:hAnsi="Amiri" w:eastAsia="Amiri" w:cs="Amiri"/>
          <w:lang w:bidi="ar-SA"/>
          <w:color w:val="111111"/>
          <w:sz w:val="28"/>
          <w:szCs w:val="28"/>
          <w:rtl/>
        </w:rPr>
        <w:t xml:space="preserve">احمد بن حمصي -ابن حمصي ، احمد بن حمصي</w:t>
      </w:r>
    </w:p>
    <w:p>
      <w:pPr>
        <w:pStyle w:val="BookText"/>
      </w:pPr>
      <w:r>
        <w:rPr>
          <w:rFonts w:ascii="IRNazanin" w:hAnsi="IRNazanin" w:eastAsia="IRNazanin" w:cs="IRNazanin"/>
          <w:lang w:bidi="fa-IR"/>
          <w:color w:val="111111"/>
          <w:sz w:val="28"/>
          <w:szCs w:val="28"/>
          <w:rtl/>
        </w:rPr>
        <w:t xml:space="preserve">احمد بن حنبل -ابن حنبل ، احمد محمّد</w:t>
      </w:r>
    </w:p>
    <w:p>
      <w:pPr>
        <w:pStyle w:val="BookText"/>
      </w:pPr>
      <w:r>
        <w:rPr>
          <w:rFonts w:ascii="Amiri" w:hAnsi="Amiri" w:eastAsia="Amiri" w:cs="Amiri"/>
          <w:lang w:bidi="ar-SA"/>
          <w:color w:val="111111"/>
          <w:sz w:val="28"/>
          <w:szCs w:val="28"/>
          <w:rtl/>
        </w:rPr>
        <w:t xml:space="preserve">حسين احمد بن حسين رملي- رملي ، احمد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احمد بن حسين عراقي -عراقي ، احمد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احمد بن حسين غضائري - ابن غضائري ،</w:t>
      </w:r>
    </w:p>
    <w:p>
      <w:pPr>
        <w:pStyle w:val="BookText"/>
      </w:pPr>
      <w:r>
        <w:rPr>
          <w:rFonts w:ascii="Amiri" w:hAnsi="Amiri" w:eastAsia="Amiri" w:cs="Amiri"/>
          <w:lang w:bidi="ar-SA"/>
          <w:color w:val="111111"/>
          <w:sz w:val="28"/>
          <w:szCs w:val="28"/>
          <w:rtl/>
        </w:rPr>
        <w:t xml:space="preserve">احمد بن حسين</w:t>
      </w:r>
    </w:p>
    <w:p>
      <w:pPr>
        <w:pStyle w:val="BookText"/>
      </w:pPr>
      <w:r>
        <w:rPr>
          <w:rFonts w:ascii="Amiri" w:hAnsi="Amiri" w:eastAsia="Amiri" w:cs="Amiri"/>
          <w:lang w:bidi="ar-SA"/>
          <w:color w:val="111111"/>
          <w:sz w:val="28"/>
          <w:szCs w:val="28"/>
          <w:rtl/>
        </w:rPr>
        <w:t xml:space="preserve">احمد بن حسين القادري -قادري ، احمد</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احمد بن حيدر بن محمّد</w:t>
      </w:r>
    </w:p>
    <w:p>
      <w:pPr>
        <w:pStyle w:val="BookText"/>
      </w:pPr>
      <w:r>
        <w:rPr>
          <w:rFonts w:ascii="Amiri" w:hAnsi="Amiri" w:eastAsia="Amiri" w:cs="Amiri"/>
          <w:lang w:bidi="ar-SA"/>
          <w:color w:val="111111"/>
          <w:sz w:val="28"/>
          <w:szCs w:val="28"/>
          <w:rtl/>
        </w:rPr>
        <w:t xml:space="preserve">شيرازي -شيرازي ، احمد بن حيدر</w:t>
      </w:r>
    </w:p>
    <w:p>
      <w:pPr>
        <w:pStyle w:val="BookText"/>
      </w:pPr>
      <w:r>
        <w:rPr>
          <w:rFonts w:ascii="Amiri" w:hAnsi="Amiri" w:eastAsia="Amiri" w:cs="Amiri"/>
          <w:lang w:bidi="ar-SA"/>
          <w:color w:val="111111"/>
          <w:sz w:val="28"/>
          <w:szCs w:val="28"/>
          <w:rtl/>
        </w:rPr>
        <w:t xml:space="preserve">احمد بن حسين كيواني دمشقي- كيواني ،احمد بن حسين</w:t>
      </w:r>
    </w:p>
    <w:p>
      <w:pPr>
        <w:pStyle w:val="BookText"/>
      </w:pPr>
      <w:r>
        <w:rPr>
          <w:rFonts w:ascii="Amiri" w:hAnsi="Amiri" w:eastAsia="Amiri" w:cs="Amiri"/>
          <w:lang w:bidi="ar-SA"/>
          <w:color w:val="111111"/>
          <w:sz w:val="28"/>
          <w:szCs w:val="28"/>
          <w:rtl/>
        </w:rPr>
        <w:t xml:space="preserve">احمد بن حيدر حيدري شافعي -كردي</w:t>
      </w:r>
    </w:p>
    <w:p>
      <w:pPr>
        <w:pStyle w:val="BookText"/>
      </w:pPr>
      <w:r>
        <w:rPr>
          <w:rFonts w:ascii="Amiri" w:hAnsi="Amiri" w:eastAsia="Amiri" w:cs="Amiri"/>
          <w:lang w:bidi="ar-SA"/>
          <w:color w:val="111111"/>
          <w:sz w:val="28"/>
          <w:szCs w:val="28"/>
          <w:rtl/>
        </w:rPr>
        <w:t xml:space="preserve">احمد بن حسين</w:t>
      </w:r>
    </w:p>
    <w:p>
      <w:pPr>
        <w:pStyle w:val="BookText"/>
      </w:pPr>
      <w:r>
        <w:rPr>
          <w:rFonts w:ascii="Amiri" w:hAnsi="Amiri" w:eastAsia="Amiri" w:cs="Amiri"/>
          <w:lang w:bidi="ar-SA"/>
          <w:color w:val="111111"/>
          <w:sz w:val="28"/>
          <w:szCs w:val="28"/>
          <w:rtl/>
        </w:rPr>
        <w:t xml:space="preserve">احمد بن حسين متنبي -متنبي ، احمد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احمد بن حسين مغربي -مغربي ، احمد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حسين آبادي ، احمد بن حيدر</w:t>
      </w:r>
    </w:p>
    <w:p>
      <w:pPr>
        <w:pStyle w:val="BookText"/>
      </w:pPr>
      <w:r>
        <w:rPr>
          <w:rFonts w:ascii="Amiri" w:hAnsi="Amiri" w:eastAsia="Amiri" w:cs="Amiri"/>
          <w:lang w:bidi="ar-SA"/>
          <w:color w:val="111111"/>
          <w:sz w:val="28"/>
          <w:szCs w:val="28"/>
          <w:rtl/>
        </w:rPr>
        <w:t xml:space="preserve">احمد بن حيدر شيرازي- شيرازي ، احمد</w:t>
      </w:r>
    </w:p>
    <w:p>
      <w:pPr>
        <w:pStyle w:val="BookText"/>
      </w:pPr>
      <w:r>
        <w:rPr>
          <w:rFonts w:ascii="IRNazanin" w:hAnsi="IRNazanin" w:eastAsia="IRNazanin" w:cs="IRNazanin"/>
          <w:lang w:bidi="fa-IR"/>
          <w:color w:val="111111"/>
          <w:sz w:val="28"/>
          <w:szCs w:val="28"/>
          <w:rtl/>
        </w:rPr>
        <w:t xml:space="preserve">بن حیدر</w:t>
      </w:r>
    </w:p>
    <w:p>
      <w:pPr>
        <w:pStyle w:val="BookText"/>
      </w:pPr>
      <w:r>
        <w:rPr>
          <w:rFonts w:ascii="Amiri" w:hAnsi="Amiri" w:eastAsia="Amiri" w:cs="Amiri"/>
          <w:lang w:bidi="ar-SA"/>
          <w:color w:val="111111"/>
          <w:sz w:val="28"/>
          <w:szCs w:val="28"/>
          <w:rtl/>
        </w:rPr>
        <w:t xml:space="preserve">احمد بن خليل خوئي- خوئي ، احمد بن</w:t>
      </w:r>
    </w:p>
    <w:p>
      <w:pPr>
        <w:pStyle w:val="BookText"/>
      </w:pPr>
      <w:r>
        <w:rPr>
          <w:rFonts w:ascii="Amiri" w:hAnsi="Amiri" w:eastAsia="Amiri" w:cs="Amiri"/>
          <w:lang w:bidi="ar-SA"/>
          <w:color w:val="111111"/>
          <w:sz w:val="28"/>
          <w:szCs w:val="28"/>
          <w:rtl/>
        </w:rPr>
        <w:t xml:space="preserve">خليل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9" w:name="pg7742_69687"/>
    <w:bookmarkEnd w:id="159"/>
    <w:p>
      <w:pPr>
        <w:pStyle w:val="BookText"/>
      </w:pPr>
      <w:r>
        <w:rPr>
          <w:rFonts w:ascii="Amiri" w:hAnsi="Amiri" w:eastAsia="Amiri" w:cs="Amiri"/>
          <w:lang w:bidi="ar-SA"/>
          <w:color w:val="111111"/>
          <w:sz w:val="28"/>
          <w:szCs w:val="28"/>
          <w:rtl/>
        </w:rPr>
        <w:t xml:space="preserve">احمد بن درويش علي بغدادي حائري- بغدادي ، احمد بن درويش علي</w:t>
      </w:r>
    </w:p>
    <w:p>
      <w:pPr>
        <w:pStyle w:val="BookText"/>
      </w:pPr>
      <w:r>
        <w:rPr>
          <w:rFonts w:ascii="Amiri" w:hAnsi="Amiri" w:eastAsia="Amiri" w:cs="Amiri"/>
          <w:lang w:bidi="ar-SA"/>
          <w:color w:val="111111"/>
          <w:sz w:val="28"/>
          <w:szCs w:val="28"/>
          <w:rtl/>
        </w:rPr>
        <w:t xml:space="preserve">احمد بن رجب بغدادي -بغدادي ، احمد بن رجب</w:t>
      </w:r>
    </w:p>
    <w:p>
      <w:pPr>
        <w:pStyle w:val="BookText"/>
      </w:pPr>
      <w:r>
        <w:rPr>
          <w:rFonts w:ascii="Amiri" w:hAnsi="Amiri" w:eastAsia="Amiri" w:cs="Amiri"/>
          <w:lang w:bidi="ar-SA"/>
          <w:color w:val="111111"/>
          <w:sz w:val="28"/>
          <w:szCs w:val="28"/>
          <w:rtl/>
        </w:rPr>
        <w:t xml:space="preserve">احمد بن خليل سبكي- سبكي ، احمد بن خليل</w:t>
      </w:r>
    </w:p>
    <w:p>
      <w:pPr>
        <w:pStyle w:val="BookText"/>
      </w:pPr>
      <w:r>
        <w:rPr>
          <w:rFonts w:ascii="Amiri" w:hAnsi="Amiri" w:eastAsia="Amiri" w:cs="Amiri"/>
          <w:lang w:bidi="ar-SA"/>
          <w:color w:val="111111"/>
          <w:sz w:val="28"/>
          <w:szCs w:val="28"/>
          <w:rtl/>
        </w:rPr>
        <w:t xml:space="preserve">احمد بن رجب بن المجدي -ابن مجدي ،</w:t>
      </w:r>
    </w:p>
    <w:p>
      <w:pPr>
        <w:pStyle w:val="BookText"/>
      </w:pPr>
      <w:r>
        <w:rPr>
          <w:rFonts w:ascii="IRNazanin" w:hAnsi="IRNazanin" w:eastAsia="IRNazanin" w:cs="IRNazanin"/>
          <w:lang w:bidi="fa-IR"/>
          <w:color w:val="111111"/>
          <w:sz w:val="28"/>
          <w:szCs w:val="28"/>
          <w:rtl/>
        </w:rPr>
        <w:t xml:space="preserve">احمد بن رجب</w:t>
      </w:r>
    </w:p>
    <w:p>
      <w:pPr>
        <w:pStyle w:val="BookText"/>
      </w:pPr>
      <w:r>
        <w:rPr>
          <w:rFonts w:ascii="Amiri" w:hAnsi="Amiri" w:eastAsia="Amiri" w:cs="Amiri"/>
          <w:lang w:bidi="ar-SA"/>
          <w:color w:val="111111"/>
          <w:sz w:val="28"/>
          <w:szCs w:val="28"/>
          <w:rtl/>
        </w:rPr>
        <w:t xml:space="preserve">احمد بن رمضان بهشتي فوهي ويزه</w:t>
      </w:r>
    </w:p>
    <w:p>
      <w:pPr>
        <w:pStyle w:val="BookText"/>
      </w:pPr>
      <w:r>
        <w:rPr>
          <w:rFonts w:ascii="Amiri" w:hAnsi="Amiri" w:eastAsia="Amiri" w:cs="Amiri"/>
          <w:lang w:bidi="ar-SA"/>
          <w:color w:val="111111"/>
          <w:sz w:val="28"/>
          <w:szCs w:val="28"/>
          <w:rtl/>
        </w:rPr>
        <w:t xml:space="preserve">وي -بهشتي ، احمد بن رمضان</w:t>
      </w:r>
    </w:p>
    <w:p>
      <w:pPr>
        <w:pStyle w:val="BookText"/>
      </w:pPr>
      <w:r>
        <w:rPr>
          <w:rFonts w:ascii="Amiri" w:hAnsi="Amiri" w:eastAsia="Amiri" w:cs="Amiri"/>
          <w:lang w:bidi="ar-SA"/>
          <w:color w:val="111111"/>
          <w:sz w:val="28"/>
          <w:szCs w:val="28"/>
          <w:rtl/>
        </w:rPr>
        <w:t xml:space="preserve">احمد بن زين الدين احسائي - احسائي ،</w:t>
      </w:r>
    </w:p>
    <w:p>
      <w:pPr>
        <w:pStyle w:val="BookText"/>
      </w:pPr>
      <w:r>
        <w:rPr>
          <w:rFonts w:ascii="Amiri" w:hAnsi="Amiri" w:eastAsia="Amiri" w:cs="Amiri"/>
          <w:lang w:bidi="ar-SA"/>
          <w:color w:val="111111"/>
          <w:sz w:val="28"/>
          <w:szCs w:val="28"/>
          <w:rtl/>
        </w:rPr>
        <w:t xml:space="preserve">احمد بن زين الدين</w:t>
      </w:r>
    </w:p>
    <w:p>
      <w:pPr>
        <w:pStyle w:val="BookText"/>
      </w:pPr>
      <w:r>
        <w:rPr>
          <w:rFonts w:ascii="Amiri" w:hAnsi="Amiri" w:eastAsia="Amiri" w:cs="Amiri"/>
          <w:lang w:bidi="ar-SA"/>
          <w:color w:val="111111"/>
          <w:sz w:val="28"/>
          <w:szCs w:val="28"/>
          <w:rtl/>
        </w:rPr>
        <w:t xml:space="preserve">احمد بن زين العابدين حسيني علوي عاملي- علوي عاملي ، احمد بن زين العابدين</w:t>
      </w:r>
    </w:p>
    <w:p>
      <w:pPr>
        <w:pStyle w:val="BookText"/>
      </w:pPr>
      <w:r>
        <w:rPr>
          <w:rFonts w:ascii="Amiri" w:hAnsi="Amiri" w:eastAsia="Amiri" w:cs="Amiri"/>
          <w:lang w:bidi="ar-SA"/>
          <w:color w:val="111111"/>
          <w:sz w:val="28"/>
          <w:szCs w:val="28"/>
          <w:rtl/>
        </w:rPr>
        <w:t xml:space="preserve">احمد بن سالم بحراني- بحراني ، احمد بن</w:t>
      </w:r>
    </w:p>
    <w:p>
      <w:pPr>
        <w:pStyle w:val="BookText"/>
      </w:pPr>
      <w:r>
        <w:rPr>
          <w:rFonts w:ascii="IRNazanin" w:hAnsi="IRNazanin" w:eastAsia="IRNazanin" w:cs="IRNazanin"/>
          <w:lang w:bidi="fa-IR"/>
          <w:color w:val="111111"/>
          <w:sz w:val="28"/>
          <w:szCs w:val="28"/>
          <w:rtl/>
        </w:rPr>
        <w:t xml:space="preserve">سالم</w:t>
      </w:r>
    </w:p>
    <w:p>
      <w:pPr>
        <w:pStyle w:val="BookText"/>
      </w:pPr>
      <w:r>
        <w:rPr>
          <w:rFonts w:ascii="Amiri" w:hAnsi="Amiri" w:eastAsia="Amiri" w:cs="Amiri"/>
          <w:lang w:bidi="ar-SA"/>
          <w:color w:val="111111"/>
          <w:sz w:val="28"/>
          <w:szCs w:val="28"/>
          <w:rtl/>
        </w:rPr>
        <w:t xml:space="preserve">احمد بن سالم خلوتي- خلوتي ، احمد بن</w:t>
      </w:r>
    </w:p>
    <w:p>
      <w:pPr>
        <w:pStyle w:val="BookText"/>
      </w:pPr>
      <w:r>
        <w:rPr>
          <w:rFonts w:ascii="IRNazanin" w:hAnsi="IRNazanin" w:eastAsia="IRNazanin" w:cs="IRNazanin"/>
          <w:lang w:bidi="fa-IR"/>
          <w:color w:val="111111"/>
          <w:sz w:val="28"/>
          <w:szCs w:val="28"/>
          <w:rtl/>
        </w:rPr>
        <w:t xml:space="preserve">سالم</w:t>
      </w:r>
    </w:p>
    <w:p>
      <w:pPr>
        <w:pStyle w:val="BookText"/>
      </w:pPr>
      <w:r>
        <w:rPr>
          <w:rFonts w:ascii="Amiri" w:hAnsi="Amiri" w:eastAsia="Amiri" w:cs="Amiri"/>
          <w:lang w:bidi="ar-SA"/>
          <w:color w:val="111111"/>
          <w:sz w:val="28"/>
          <w:szCs w:val="28"/>
          <w:rtl/>
        </w:rPr>
        <w:t xml:space="preserve">احمد بن سالم (نفراوي ) -نفراوي ، احمد بن</w:t>
      </w:r>
    </w:p>
    <w:p>
      <w:pPr>
        <w:pStyle w:val="BookText"/>
      </w:pPr>
      <w:r>
        <w:rPr>
          <w:rFonts w:ascii="IRNazanin" w:hAnsi="IRNazanin" w:eastAsia="IRNazanin" w:cs="IRNazanin"/>
          <w:lang w:bidi="fa-IR"/>
          <w:color w:val="111111"/>
          <w:sz w:val="28"/>
          <w:szCs w:val="28"/>
          <w:rtl/>
        </w:rPr>
        <w:t xml:space="preserve">سالم</w:t>
      </w:r>
    </w:p>
    <w:p>
      <w:pPr>
        <w:pStyle w:val="BookText"/>
      </w:pPr>
      <w:r>
        <w:rPr>
          <w:rFonts w:ascii="Amiri" w:hAnsi="Amiri" w:eastAsia="Amiri" w:cs="Amiri"/>
          <w:lang w:bidi="ar-SA"/>
          <w:color w:val="111111"/>
          <w:sz w:val="28"/>
          <w:szCs w:val="28"/>
          <w:rtl/>
        </w:rPr>
        <w:t xml:space="preserve">احمد بن سلمان نجاد حنبلي -نجاد</w:t>
      </w:r>
    </w:p>
    <w:p>
      <w:pPr>
        <w:pStyle w:val="BookText"/>
      </w:pPr>
      <w:r>
        <w:rPr>
          <w:rFonts w:ascii="IRNazanin" w:hAnsi="IRNazanin" w:eastAsia="IRNazanin" w:cs="IRNazanin"/>
          <w:lang w:bidi="fa-IR"/>
          <w:color w:val="111111"/>
          <w:sz w:val="28"/>
          <w:szCs w:val="28"/>
          <w:rtl/>
        </w:rPr>
        <w:t xml:space="preserve">احمد بن سلمان</w:t>
      </w:r>
    </w:p>
    <w:p>
      <w:pPr>
        <w:pStyle w:val="Heading2"/>
      </w:pPr>
      <w:bookmarkStart w:id="1990" w:name="_Toc1092"/>
      <w:r>
        <w:t>احمد بن سلیمان</w:t>
      </w:r>
      <w:bookmarkEnd w:id="1990"/>
    </w:p>
    <w:p>
      <w:pPr>
        <w:pStyle w:val="BookText"/>
      </w:pPr>
      <w:r>
        <w:rPr>
          <w:rFonts w:ascii="Amiri" w:hAnsi="Amiri" w:eastAsia="Amiri" w:cs="Amiri"/>
          <w:lang w:bidi="ar-SA"/>
          <w:color w:val="111111"/>
          <w:sz w:val="28"/>
          <w:szCs w:val="28"/>
          <w:rtl/>
        </w:rPr>
        <w:t xml:space="preserve">القصيدة الرائية، ج 12، ص 673.</w:t>
      </w:r>
    </w:p>
    <w:p>
      <w:pPr>
        <w:pStyle w:val="BookText"/>
      </w:pPr>
      <w:r>
        <w:rPr>
          <w:rFonts w:ascii="IRNazanin" w:hAnsi="IRNazanin" w:eastAsia="IRNazanin" w:cs="IRNazanin"/>
          <w:lang w:bidi="fa-IR"/>
          <w:color w:val="111111"/>
          <w:sz w:val="28"/>
          <w:szCs w:val="28"/>
          <w:rtl/>
        </w:rPr>
        <w:t xml:space="preserve">احمد بن سلیمان ابوجندية) ابو جندية</w:t>
      </w:r>
    </w:p>
    <w:p>
      <w:pPr>
        <w:pStyle w:val="BookText"/>
      </w:pPr>
      <w:r>
        <w:rPr>
          <w:rFonts w:ascii="IRNazanin" w:hAnsi="IRNazanin" w:eastAsia="IRNazanin" w:cs="IRNazanin"/>
          <w:lang w:bidi="fa-IR"/>
          <w:color w:val="111111"/>
          <w:sz w:val="28"/>
          <w:szCs w:val="28"/>
          <w:rtl/>
        </w:rPr>
        <w:t xml:space="preserve">، احمد بن سلیمان احمد بن سليمان اروادي -اروادي ، احمد</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احمد بن سليمان بحراني حسيني -بحراني</w:t>
      </w:r>
    </w:p>
    <w:p>
      <w:pPr>
        <w:pStyle w:val="BookText"/>
      </w:pPr>
      <w:r>
        <w:rPr>
          <w:rFonts w:ascii="Amiri" w:hAnsi="Amiri" w:eastAsia="Amiri" w:cs="Amiri"/>
          <w:lang w:bidi="ar-SA"/>
          <w:color w:val="111111"/>
          <w:sz w:val="28"/>
          <w:szCs w:val="28"/>
          <w:rtl/>
        </w:rPr>
        <w:t xml:space="preserve">حسيني، احمد بن سليمان</w:t>
      </w:r>
    </w:p>
    <w:p>
      <w:pPr>
        <w:pStyle w:val="BookText"/>
      </w:pPr>
      <w:r>
        <w:rPr>
          <w:rFonts w:ascii="Amiri" w:hAnsi="Amiri" w:eastAsia="Amiri" w:cs="Amiri"/>
          <w:lang w:bidi="ar-SA"/>
          <w:color w:val="111111"/>
          <w:sz w:val="28"/>
          <w:szCs w:val="28"/>
          <w:rtl/>
        </w:rPr>
        <w:t xml:space="preserve">احمد بن سليمان بحراني -بحراني ، احمد</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احمد بن سليمان بن صوفي جراخ- احمد</w:t>
      </w:r>
    </w:p>
    <w:p>
      <w:pPr>
        <w:pStyle w:val="BookText"/>
      </w:pPr>
      <w:r>
        <w:rPr>
          <w:rFonts w:ascii="IRNazanin" w:hAnsi="IRNazanin" w:eastAsia="IRNazanin" w:cs="IRNazanin"/>
          <w:lang w:bidi="fa-IR"/>
          <w:color w:val="111111"/>
          <w:sz w:val="28"/>
          <w:szCs w:val="28"/>
          <w:rtl/>
        </w:rPr>
        <w:t xml:space="preserve">بن ملا سلیمان</w:t>
      </w:r>
    </w:p>
    <w:p>
      <w:pPr>
        <w:pStyle w:val="BookText"/>
      </w:pPr>
      <w:r>
        <w:rPr>
          <w:rFonts w:ascii="IRNazanin" w:hAnsi="IRNazanin" w:eastAsia="IRNazanin" w:cs="IRNazanin"/>
          <w:lang w:bidi="fa-IR"/>
          <w:color w:val="111111"/>
          <w:sz w:val="28"/>
          <w:szCs w:val="28"/>
          <w:rtl/>
        </w:rPr>
        <w:t xml:space="preserve">احمد بن سلیمان بن کمال پاشا رومي -ابن کمال پاشا ، احمد بن سلیمان</w:t>
      </w:r>
    </w:p>
    <w:p>
      <w:pPr>
        <w:pStyle w:val="BookText"/>
      </w:pPr>
      <w:r>
        <w:rPr>
          <w:rFonts w:ascii="Amiri" w:hAnsi="Amiri" w:eastAsia="Amiri" w:cs="Amiri"/>
          <w:lang w:bidi="ar-SA"/>
          <w:color w:val="111111"/>
          <w:sz w:val="28"/>
          <w:szCs w:val="28"/>
          <w:rtl/>
        </w:rPr>
        <w:t xml:space="preserve">احمد بن سهل بلخي- ابوزيد بلخي</w:t>
      </w:r>
    </w:p>
    <w:p>
      <w:pPr>
        <w:pStyle w:val="BookText"/>
      </w:pPr>
      <w:r>
        <w:rPr>
          <w:rFonts w:ascii="IRNazanin" w:hAnsi="IRNazanin" w:eastAsia="IRNazanin" w:cs="IRNazanin"/>
          <w:lang w:bidi="fa-IR"/>
          <w:color w:val="111111"/>
          <w:sz w:val="28"/>
          <w:szCs w:val="28"/>
          <w:rtl/>
        </w:rPr>
        <w:t xml:space="preserve">احمد بن سهل</w:t>
      </w:r>
    </w:p>
    <w:p>
      <w:pPr>
        <w:pStyle w:val="BookText"/>
      </w:pPr>
      <w:r>
        <w:rPr>
          <w:rFonts w:ascii="Amiri" w:hAnsi="Amiri" w:eastAsia="Amiri" w:cs="Amiri"/>
          <w:lang w:bidi="ar-SA"/>
          <w:color w:val="111111"/>
          <w:sz w:val="28"/>
          <w:szCs w:val="28"/>
          <w:rtl/>
        </w:rPr>
        <w:t xml:space="preserve">احمد بن سيار سياري بصري - سياري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991" w:name="_Toc1093"/>
      <w:r>
        <w:t>احمد بن سید احمد</w:t>
      </w:r>
      <w:bookmarkEnd w:id="1991"/>
    </w:p>
    <w:p>
      <w:pPr>
        <w:pStyle w:val="BookText"/>
      </w:pPr>
      <w:r>
        <w:rPr>
          <w:rFonts w:ascii="IRNazanin" w:hAnsi="IRNazanin" w:eastAsia="IRNazanin" w:cs="IRNazanin"/>
          <w:lang w:bidi="fa-IR"/>
          <w:color w:val="111111"/>
          <w:sz w:val="28"/>
          <w:szCs w:val="28"/>
          <w:rtl/>
        </w:rPr>
        <w:t xml:space="preserve">شرح المسألة الشعيرية من عبارة چغمیني في بيان أقسام الاجسام الواقع في مقدمة الكتاب، ج 10، ص 134.</w:t>
      </w:r>
    </w:p>
    <w:p>
      <w:pPr>
        <w:pStyle w:val="BookText"/>
      </w:pPr>
      <w:r>
        <w:rPr>
          <w:rFonts w:ascii="Amiri" w:hAnsi="Amiri" w:eastAsia="Amiri" w:cs="Amiri"/>
          <w:lang w:bidi="ar-SA"/>
          <w:color w:val="111111"/>
          <w:sz w:val="28"/>
          <w:szCs w:val="28"/>
          <w:rtl/>
        </w:rPr>
        <w:t xml:space="preserve">احمد بن سيف الدين بيلبك- ابن بيلبك</w:t>
      </w:r>
    </w:p>
    <w:p>
      <w:pPr>
        <w:pStyle w:val="BookText"/>
      </w:pPr>
      <w:r>
        <w:rPr>
          <w:rFonts w:ascii="Amiri" w:hAnsi="Amiri" w:eastAsia="Amiri" w:cs="Amiri"/>
          <w:lang w:bidi="ar-SA"/>
          <w:color w:val="111111"/>
          <w:sz w:val="28"/>
          <w:szCs w:val="28"/>
          <w:rtl/>
        </w:rPr>
        <w:t xml:space="preserve">احمد بن سيف الدين</w:t>
      </w:r>
    </w:p>
    <w:p>
      <w:pPr>
        <w:pStyle w:val="BookText"/>
      </w:pPr>
      <w:r>
        <w:rPr>
          <w:rFonts w:ascii="Amiri" w:hAnsi="Amiri" w:eastAsia="Amiri" w:cs="Amiri"/>
          <w:lang w:bidi="ar-SA"/>
          <w:color w:val="111111"/>
          <w:sz w:val="28"/>
          <w:szCs w:val="28"/>
          <w:rtl/>
        </w:rPr>
        <w:t xml:space="preserve">علي</w:t>
      </w:r>
    </w:p>
    <w:p>
      <w:pPr>
        <w:pStyle w:val="Heading2"/>
      </w:pPr>
      <w:bookmarkStart w:id="1992" w:name="_Toc1094"/>
      <w:r>
        <w:t>احمد بن شاكر</w:t>
      </w:r>
      <w:bookmarkEnd w:id="1992"/>
    </w:p>
    <w:p>
      <w:pPr>
        <w:pStyle w:val="BookText"/>
      </w:pPr>
      <w:r>
        <w:rPr>
          <w:rFonts w:ascii="Amiri" w:hAnsi="Amiri" w:eastAsia="Amiri" w:cs="Amiri"/>
          <w:lang w:bidi="ar-SA"/>
          <w:color w:val="111111"/>
          <w:sz w:val="28"/>
          <w:szCs w:val="28"/>
          <w:rtl/>
        </w:rPr>
        <w:t xml:space="preserve">آداب البحث والمناظرة، ج 1، ص27.</w:t>
      </w:r>
    </w:p>
    <w:p>
      <w:pPr>
        <w:pStyle w:val="BookText"/>
      </w:pPr>
      <w:r>
        <w:rPr>
          <w:rFonts w:ascii="Amiri" w:hAnsi="Amiri" w:eastAsia="Amiri" w:cs="Amiri"/>
          <w:lang w:bidi="ar-SA"/>
          <w:color w:val="111111"/>
          <w:sz w:val="28"/>
          <w:szCs w:val="28"/>
          <w:rtl/>
        </w:rPr>
        <w:t xml:space="preserve">احمد بن شعيب نسائي- نسائي ، احمد بن</w:t>
      </w:r>
    </w:p>
    <w:p>
      <w:pPr>
        <w:pStyle w:val="BookText"/>
      </w:pPr>
      <w:r>
        <w:rPr>
          <w:rFonts w:ascii="IRNazanin" w:hAnsi="IRNazanin" w:eastAsia="IRNazanin" w:cs="IRNazanin"/>
          <w:lang w:bidi="fa-IR"/>
          <w:color w:val="111111"/>
          <w:sz w:val="28"/>
          <w:szCs w:val="28"/>
          <w:rtl/>
        </w:rPr>
        <w:t xml:space="preserve">احمد بن صالح آل طعمه- آل طعمه</w:t>
      </w:r>
    </w:p>
    <w:p>
      <w:pPr>
        <w:pStyle w:val="BookText"/>
      </w:pPr>
      <w:r>
        <w:rPr>
          <w:rFonts w:ascii="IRNazanin" w:hAnsi="IRNazanin" w:eastAsia="IRNazanin" w:cs="IRNazanin"/>
          <w:lang w:bidi="fa-IR"/>
          <w:color w:val="111111"/>
          <w:sz w:val="28"/>
          <w:szCs w:val="28"/>
          <w:rtl/>
        </w:rPr>
        <w:t xml:space="preserve">احمد بن صالح</w:t>
      </w:r>
    </w:p>
    <w:p>
      <w:pPr>
        <w:pStyle w:val="BookText"/>
      </w:pPr>
      <w:r>
        <w:rPr>
          <w:rFonts w:ascii="Amiri" w:hAnsi="Amiri" w:eastAsia="Amiri" w:cs="Amiri"/>
          <w:lang w:bidi="ar-SA"/>
          <w:color w:val="111111"/>
          <w:sz w:val="28"/>
          <w:szCs w:val="28"/>
          <w:rtl/>
        </w:rPr>
        <w:t xml:space="preserve">احمد بن صالح ابن طوق بحراني- بحراني</w:t>
      </w:r>
    </w:p>
    <w:p>
      <w:pPr>
        <w:pStyle w:val="BookText"/>
      </w:pPr>
      <w:r>
        <w:rPr>
          <w:rFonts w:ascii="IRNazanin" w:hAnsi="IRNazanin" w:eastAsia="IRNazanin" w:cs="IRNazanin"/>
          <w:lang w:bidi="fa-IR"/>
          <w:color w:val="111111"/>
          <w:sz w:val="28"/>
          <w:szCs w:val="28"/>
          <w:rtl/>
        </w:rPr>
        <w:t xml:space="preserve">، احمد بن صالح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60" w:name="pg7742_69689"/>
    <w:bookmarkEnd w:id="160"/>
    <w:p>
      <w:pPr>
        <w:pStyle w:val="BookText"/>
      </w:pPr>
      <w:r>
        <w:rPr>
          <w:rFonts w:ascii="Amiri" w:hAnsi="Amiri" w:eastAsia="Amiri" w:cs="Amiri"/>
          <w:lang w:bidi="ar-SA"/>
          <w:color w:val="111111"/>
          <w:sz w:val="28"/>
          <w:szCs w:val="28"/>
          <w:rtl/>
        </w:rPr>
        <w:t xml:space="preserve">احمد بن صالح البحراني -بحراني ، احمد</w:t>
      </w:r>
    </w:p>
    <w:p>
      <w:pPr>
        <w:pStyle w:val="BookText"/>
      </w:pPr>
      <w:r>
        <w:rPr>
          <w:rFonts w:ascii="Amiri" w:hAnsi="Amiri" w:eastAsia="Amiri" w:cs="Amiri"/>
          <w:lang w:bidi="ar-SA"/>
          <w:color w:val="111111"/>
          <w:sz w:val="28"/>
          <w:szCs w:val="28"/>
          <w:rtl/>
        </w:rPr>
        <w:t xml:space="preserve">بن صالح احمد بن صالح صفدي حنفي- صفدي ،</w:t>
      </w:r>
    </w:p>
    <w:p>
      <w:pPr>
        <w:pStyle w:val="BookText"/>
      </w:pPr>
      <w:r>
        <w:rPr>
          <w:rFonts w:ascii="Amiri" w:hAnsi="Amiri" w:eastAsia="Amiri" w:cs="Amiri"/>
          <w:lang w:bidi="ar-SA"/>
          <w:color w:val="111111"/>
          <w:sz w:val="28"/>
          <w:szCs w:val="28"/>
          <w:rtl/>
        </w:rPr>
        <w:t xml:space="preserve">احمد بن صالح احمد بن صالح صنعاني يماني -ابن ابي</w:t>
      </w:r>
    </w:p>
    <w:p>
      <w:pPr>
        <w:pStyle w:val="BookText"/>
      </w:pPr>
      <w:r>
        <w:rPr>
          <w:rFonts w:ascii="IRNazanin" w:hAnsi="IRNazanin" w:eastAsia="IRNazanin" w:cs="IRNazanin"/>
          <w:lang w:bidi="fa-IR"/>
          <w:color w:val="111111"/>
          <w:sz w:val="28"/>
          <w:szCs w:val="28"/>
          <w:rtl/>
        </w:rPr>
        <w:t xml:space="preserve">الرجال ، احمد بن صالح</w:t>
      </w:r>
    </w:p>
    <w:p>
      <w:pPr>
        <w:pStyle w:val="BookText"/>
      </w:pPr>
      <w:r>
        <w:rPr>
          <w:rFonts w:ascii="Amiri" w:hAnsi="Amiri" w:eastAsia="Amiri" w:cs="Amiri"/>
          <w:lang w:bidi="ar-SA"/>
          <w:color w:val="111111"/>
          <w:sz w:val="28"/>
          <w:szCs w:val="28"/>
          <w:rtl/>
        </w:rPr>
        <w:t xml:space="preserve">احمد بن صدقه بن صيرفي- ابن صيرفي ،</w:t>
      </w:r>
    </w:p>
    <w:p>
      <w:pPr>
        <w:pStyle w:val="BookText"/>
      </w:pPr>
      <w:r>
        <w:rPr>
          <w:rFonts w:ascii="IRNazanin" w:hAnsi="IRNazanin" w:eastAsia="IRNazanin" w:cs="IRNazanin"/>
          <w:lang w:bidi="fa-IR"/>
          <w:color w:val="111111"/>
          <w:sz w:val="28"/>
          <w:szCs w:val="28"/>
          <w:rtl/>
        </w:rPr>
        <w:t xml:space="preserve">احمد بن صدقه</w:t>
      </w:r>
    </w:p>
    <w:p>
      <w:pPr>
        <w:pStyle w:val="Heading2"/>
      </w:pPr>
      <w:bookmarkStart w:id="1993" w:name="_Toc1095"/>
      <w:r>
        <w:t>احمد بن صفي الله</w:t>
      </w:r>
      <w:bookmarkEnd w:id="1993"/>
    </w:p>
    <w:p>
      <w:pPr>
        <w:pStyle w:val="BookText"/>
      </w:pPr>
      <w:r>
        <w:rPr>
          <w:rFonts w:ascii="IRNazanin" w:hAnsi="IRNazanin" w:eastAsia="IRNazanin" w:cs="IRNazanin"/>
          <w:lang w:bidi="fa-IR"/>
          <w:color w:val="111111"/>
          <w:sz w:val="28"/>
          <w:szCs w:val="28"/>
          <w:rtl/>
        </w:rPr>
        <w:t xml:space="preserve">فوائد علم الحساب، ج 12، ص 246.</w:t>
      </w:r>
    </w:p>
    <w:p>
      <w:pPr>
        <w:pStyle w:val="BookText"/>
      </w:pPr>
      <w:r>
        <w:rPr>
          <w:rFonts w:ascii="IRNazanin" w:hAnsi="IRNazanin" w:eastAsia="IRNazanin" w:cs="IRNazanin"/>
          <w:lang w:bidi="fa-IR"/>
          <w:color w:val="111111"/>
          <w:sz w:val="28"/>
          <w:szCs w:val="28"/>
          <w:rtl/>
        </w:rPr>
        <w:t xml:space="preserve">احمد بن طاهر بن عباده -ابن عباده ،</w:t>
      </w:r>
    </w:p>
    <w:p>
      <w:pPr>
        <w:pStyle w:val="BookText"/>
      </w:pPr>
      <w:r>
        <w:rPr>
          <w:rFonts w:ascii="IRNazanin" w:hAnsi="IRNazanin" w:eastAsia="IRNazanin" w:cs="IRNazanin"/>
          <w:lang w:bidi="fa-IR"/>
          <w:color w:val="111111"/>
          <w:sz w:val="28"/>
          <w:szCs w:val="28"/>
          <w:rtl/>
        </w:rPr>
        <w:t xml:space="preserve">احمد بن طاهر</w:t>
      </w:r>
    </w:p>
    <w:p>
      <w:pPr>
        <w:pStyle w:val="BookText"/>
      </w:pPr>
      <w:r>
        <w:rPr>
          <w:rFonts w:ascii="Amiri" w:hAnsi="Amiri" w:eastAsia="Amiri" w:cs="Amiri"/>
          <w:lang w:bidi="ar-SA"/>
          <w:color w:val="111111"/>
          <w:sz w:val="28"/>
          <w:szCs w:val="28"/>
          <w:rtl/>
        </w:rPr>
        <w:t xml:space="preserve">احمد بن عاصم -عاصمي ،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عباد قاهري قنائي- قنائي ، احمد</w:t>
      </w:r>
    </w:p>
    <w:p>
      <w:pPr>
        <w:pStyle w:val="BookText"/>
      </w:pPr>
      <w:r>
        <w:rPr>
          <w:rFonts w:ascii="Amiri" w:hAnsi="Amiri" w:eastAsia="Amiri" w:cs="Amiri"/>
          <w:lang w:bidi="ar-SA"/>
          <w:color w:val="111111"/>
          <w:sz w:val="28"/>
          <w:szCs w:val="28"/>
          <w:rtl/>
        </w:rPr>
        <w:t xml:space="preserve">بن عباد احمد بن عبد العظيم كاشاني- كاشاني ،</w:t>
      </w:r>
    </w:p>
    <w:p>
      <w:pPr>
        <w:pStyle w:val="BookText"/>
      </w:pPr>
      <w:r>
        <w:rPr>
          <w:rFonts w:ascii="Amiri" w:hAnsi="Amiri" w:eastAsia="Amiri" w:cs="Amiri"/>
          <w:lang w:bidi="ar-SA"/>
          <w:color w:val="111111"/>
          <w:sz w:val="28"/>
          <w:szCs w:val="28"/>
          <w:rtl/>
        </w:rPr>
        <w:t xml:space="preserve">احمد بن عبد العظيم</w:t>
      </w:r>
    </w:p>
    <w:p>
      <w:pPr>
        <w:pStyle w:val="BookText"/>
      </w:pPr>
      <w:r>
        <w:rPr>
          <w:rFonts w:ascii="Amiri" w:hAnsi="Amiri" w:eastAsia="Amiri" w:cs="Amiri"/>
          <w:lang w:bidi="ar-SA"/>
          <w:color w:val="111111"/>
          <w:sz w:val="28"/>
          <w:szCs w:val="28"/>
          <w:rtl/>
        </w:rPr>
        <w:t xml:space="preserve">احمد بن عبد الاحد سرهندي فاروقي -سرهندي ، احمد بن عبدالاحد</w:t>
      </w:r>
    </w:p>
    <w:p>
      <w:pPr>
        <w:pStyle w:val="BookText"/>
      </w:pPr>
      <w:r>
        <w:rPr>
          <w:rFonts w:ascii="Amiri" w:hAnsi="Amiri" w:eastAsia="Amiri" w:cs="Amiri"/>
          <w:lang w:bidi="ar-SA"/>
          <w:color w:val="111111"/>
          <w:sz w:val="28"/>
          <w:szCs w:val="28"/>
          <w:rtl/>
        </w:rPr>
        <w:t xml:space="preserve">احمد بن عبدالحق سباخي</w:t>
      </w:r>
    </w:p>
    <w:p>
      <w:pPr>
        <w:pStyle w:val="BookText"/>
      </w:pPr>
      <w:r>
        <w:rPr>
          <w:rFonts w:ascii="Amiri" w:hAnsi="Amiri" w:eastAsia="Amiri" w:cs="Amiri"/>
          <w:lang w:bidi="ar-SA"/>
          <w:color w:val="111111"/>
          <w:sz w:val="28"/>
          <w:szCs w:val="28"/>
          <w:rtl/>
        </w:rPr>
        <w:t xml:space="preserve">شافعي -سباخي ، احمد بن عبد الحق</w:t>
      </w:r>
    </w:p>
    <w:p>
      <w:pPr>
        <w:pStyle w:val="BookText"/>
      </w:pPr>
      <w:r>
        <w:rPr>
          <w:rFonts w:ascii="Amiri" w:hAnsi="Amiri" w:eastAsia="Amiri" w:cs="Amiri"/>
          <w:lang w:bidi="ar-SA"/>
          <w:color w:val="111111"/>
          <w:sz w:val="28"/>
          <w:szCs w:val="28"/>
          <w:rtl/>
        </w:rPr>
        <w:t xml:space="preserve">احمد بن عبد الحليم حراني ابن</w:t>
      </w:r>
    </w:p>
    <w:p>
      <w:pPr>
        <w:pStyle w:val="BookText"/>
      </w:pPr>
      <w:r>
        <w:rPr>
          <w:rFonts w:ascii="IRNazanin" w:hAnsi="IRNazanin" w:eastAsia="IRNazanin" w:cs="IRNazanin"/>
          <w:lang w:bidi="fa-IR"/>
          <w:color w:val="111111"/>
          <w:sz w:val="28"/>
          <w:szCs w:val="28"/>
          <w:rtl/>
        </w:rPr>
        <w:t xml:space="preserve">(تیمیه)- ابن تیمیه ، احمد بن عبد الحليم</w:t>
      </w:r>
    </w:p>
    <w:p>
      <w:pPr>
        <w:pStyle w:val="BookText"/>
      </w:pPr>
      <w:r>
        <w:rPr>
          <w:rFonts w:ascii="Amiri" w:hAnsi="Amiri" w:eastAsia="Amiri" w:cs="Amiri"/>
          <w:lang w:bidi="ar-SA"/>
          <w:color w:val="111111"/>
          <w:sz w:val="28"/>
          <w:szCs w:val="28"/>
          <w:rtl/>
        </w:rPr>
        <w:t xml:space="preserve">احمد بن عبد الحميد آلوسي- آلوسي ،</w:t>
      </w:r>
    </w:p>
    <w:p>
      <w:pPr>
        <w:pStyle w:val="BookText"/>
      </w:pPr>
      <w:r>
        <w:rPr>
          <w:rFonts w:ascii="Amiri" w:hAnsi="Amiri" w:eastAsia="Amiri" w:cs="Amiri"/>
          <w:lang w:bidi="ar-SA"/>
          <w:color w:val="111111"/>
          <w:sz w:val="28"/>
          <w:szCs w:val="28"/>
          <w:rtl/>
        </w:rPr>
        <w:t xml:space="preserve">احمد بن عبد الحي الحلبي الفاسي -حلبي</w:t>
      </w:r>
    </w:p>
    <w:p>
      <w:pPr>
        <w:pStyle w:val="BookText"/>
      </w:pPr>
      <w:r>
        <w:rPr>
          <w:rFonts w:ascii="IRNazanin" w:hAnsi="IRNazanin" w:eastAsia="IRNazanin" w:cs="IRNazanin"/>
          <w:lang w:bidi="fa-IR"/>
          <w:color w:val="111111"/>
          <w:sz w:val="28"/>
          <w:szCs w:val="28"/>
          <w:rtl/>
        </w:rPr>
        <w:t xml:space="preserve">احمد بن عبدالحمید</w:t>
      </w:r>
    </w:p>
    <w:p>
      <w:pPr>
        <w:pStyle w:val="BookText"/>
      </w:pPr>
      <w:r>
        <w:rPr>
          <w:rFonts w:ascii="Amiri" w:hAnsi="Amiri" w:eastAsia="Amiri" w:cs="Amiri"/>
          <w:lang w:bidi="ar-SA"/>
          <w:color w:val="111111"/>
          <w:sz w:val="28"/>
          <w:szCs w:val="28"/>
          <w:rtl/>
        </w:rPr>
        <w:t xml:space="preserve">، احمد بن عبدالحي</w:t>
      </w:r>
    </w:p>
    <w:p>
      <w:pPr>
        <w:pStyle w:val="Heading2"/>
      </w:pPr>
      <w:bookmarkStart w:id="1994" w:name="_Toc1096"/>
      <w:r>
        <w:t>احمد بن عبدالرحمن</w:t>
      </w:r>
      <w:bookmarkEnd w:id="1994"/>
    </w:p>
    <w:p>
      <w:pPr>
        <w:pStyle w:val="BookText"/>
      </w:pPr>
      <w:r>
        <w:rPr>
          <w:rFonts w:ascii="Amiri" w:hAnsi="Amiri" w:eastAsia="Amiri" w:cs="Amiri"/>
          <w:lang w:bidi="ar-SA"/>
          <w:color w:val="111111"/>
          <w:sz w:val="28"/>
          <w:szCs w:val="28"/>
          <w:rtl/>
        </w:rPr>
        <w:t xml:space="preserve">ظرف الصبيان، ج 10، ص 886.</w:t>
      </w:r>
    </w:p>
    <w:p>
      <w:pPr>
        <w:pStyle w:val="BookText"/>
      </w:pPr>
      <w:r>
        <w:rPr>
          <w:rFonts w:ascii="Amiri" w:hAnsi="Amiri" w:eastAsia="Amiri" w:cs="Amiri"/>
          <w:lang w:bidi="ar-SA"/>
          <w:color w:val="111111"/>
          <w:sz w:val="28"/>
          <w:szCs w:val="28"/>
          <w:rtl/>
        </w:rPr>
        <w:t xml:space="preserve">احمد بن عبد الرحمن بستي- بستي</w:t>
      </w:r>
    </w:p>
    <w:p>
      <w:pPr>
        <w:pStyle w:val="BookText"/>
      </w:pPr>
      <w:r>
        <w:rPr>
          <w:rFonts w:ascii="IRNazanin" w:hAnsi="IRNazanin" w:eastAsia="IRNazanin" w:cs="IRNazanin"/>
          <w:lang w:bidi="fa-IR"/>
          <w:color w:val="111111"/>
          <w:sz w:val="28"/>
          <w:szCs w:val="28"/>
          <w:rtl/>
        </w:rPr>
        <w:t xml:space="preserve">احمد بن عبدالرحمن</w:t>
      </w:r>
    </w:p>
    <w:p>
      <w:pPr>
        <w:pStyle w:val="BookText"/>
      </w:pPr>
      <w:r>
        <w:rPr>
          <w:rFonts w:ascii="IRNazanin" w:hAnsi="IRNazanin" w:eastAsia="IRNazanin" w:cs="IRNazanin"/>
          <w:lang w:bidi="fa-IR"/>
          <w:color w:val="111111"/>
          <w:sz w:val="28"/>
          <w:szCs w:val="28"/>
          <w:rtl/>
        </w:rPr>
        <w:t xml:space="preserve">احمد بن عبد الرحمن بن احمد</w:t>
      </w:r>
    </w:p>
    <w:p>
      <w:pPr>
        <w:pStyle w:val="BookText"/>
      </w:pPr>
      <w:r>
        <w:rPr>
          <w:rFonts w:ascii="Amiri" w:hAnsi="Amiri" w:eastAsia="Amiri" w:cs="Amiri"/>
          <w:lang w:bidi="ar-SA"/>
          <w:color w:val="111111"/>
          <w:sz w:val="28"/>
          <w:szCs w:val="28"/>
          <w:rtl/>
        </w:rPr>
        <w:t xml:space="preserve">شيرازي - شيرازي ، احمد بن عبدالرحمن</w:t>
      </w:r>
    </w:p>
    <w:p>
      <w:pPr>
        <w:pStyle w:val="BookText"/>
      </w:pPr>
      <w:r>
        <w:rPr>
          <w:rFonts w:ascii="Amiri" w:hAnsi="Amiri" w:eastAsia="Amiri" w:cs="Amiri"/>
          <w:lang w:bidi="ar-SA"/>
          <w:color w:val="111111"/>
          <w:sz w:val="28"/>
          <w:szCs w:val="28"/>
          <w:rtl/>
        </w:rPr>
        <w:t xml:space="preserve">احمد بن عبد الرحمن بن سرور -مقدسي</w:t>
      </w:r>
    </w:p>
    <w:p>
      <w:pPr>
        <w:pStyle w:val="BookText"/>
      </w:pPr>
      <w:r>
        <w:rPr>
          <w:rFonts w:ascii="IRNazanin" w:hAnsi="IRNazanin" w:eastAsia="IRNazanin" w:cs="IRNazanin"/>
          <w:lang w:bidi="fa-IR"/>
          <w:color w:val="111111"/>
          <w:sz w:val="28"/>
          <w:szCs w:val="28"/>
          <w:rtl/>
        </w:rPr>
        <w:t xml:space="preserve">احمد بن عبدالرحمن</w:t>
      </w:r>
    </w:p>
    <w:p>
      <w:pPr>
        <w:pStyle w:val="BookText"/>
      </w:pPr>
      <w:r>
        <w:rPr>
          <w:rFonts w:ascii="Amiri" w:hAnsi="Amiri" w:eastAsia="Amiri" w:cs="Amiri"/>
          <w:lang w:bidi="ar-SA"/>
          <w:color w:val="111111"/>
          <w:sz w:val="28"/>
          <w:szCs w:val="28"/>
          <w:rtl/>
        </w:rPr>
        <w:t xml:space="preserve">احمد بن عبد الرحمن حسيني يمني -حسيني يمني ، احمد بن عبدالرحمن</w:t>
      </w:r>
    </w:p>
    <w:p>
      <w:pPr>
        <w:pStyle w:val="BookText"/>
      </w:pPr>
      <w:r>
        <w:rPr>
          <w:rFonts w:ascii="Amiri" w:hAnsi="Amiri" w:eastAsia="Amiri" w:cs="Amiri"/>
          <w:lang w:bidi="ar-SA"/>
          <w:color w:val="111111"/>
          <w:sz w:val="28"/>
          <w:szCs w:val="28"/>
          <w:rtl/>
        </w:rPr>
        <w:t xml:space="preserve">احمد بن عبد الرحمن طبيب اصفهاني- ابن</w:t>
      </w:r>
    </w:p>
    <w:p>
      <w:pPr>
        <w:pStyle w:val="BookText"/>
      </w:pPr>
      <w:r>
        <w:rPr>
          <w:rFonts w:ascii="IRNazanin" w:hAnsi="IRNazanin" w:eastAsia="IRNazanin" w:cs="IRNazanin"/>
          <w:lang w:bidi="fa-IR"/>
          <w:color w:val="111111"/>
          <w:sz w:val="28"/>
          <w:szCs w:val="28"/>
          <w:rtl/>
        </w:rPr>
        <w:t xml:space="preserve">مندویه ، احمد بن عبدالرحمن</w:t>
      </w:r>
    </w:p>
    <w:p>
      <w:pPr>
        <w:pStyle w:val="BookText"/>
      </w:pPr>
      <w:r>
        <w:rPr>
          <w:rFonts w:ascii="Amiri" w:hAnsi="Amiri" w:eastAsia="Amiri" w:cs="Amiri"/>
          <w:lang w:bidi="ar-SA"/>
          <w:color w:val="111111"/>
          <w:sz w:val="28"/>
          <w:szCs w:val="28"/>
          <w:rtl/>
        </w:rPr>
        <w:t xml:space="preserve">احمد بن عبدالرحمن مقدسي- مقدسي</w:t>
      </w:r>
    </w:p>
    <w:p>
      <w:pPr>
        <w:pStyle w:val="BookText"/>
      </w:pPr>
      <w:r>
        <w:rPr>
          <w:rFonts w:ascii="IRNazanin" w:hAnsi="IRNazanin" w:eastAsia="IRNazanin" w:cs="IRNazanin"/>
          <w:lang w:bidi="fa-IR"/>
          <w:color w:val="111111"/>
          <w:sz w:val="28"/>
          <w:szCs w:val="28"/>
          <w:rtl/>
        </w:rPr>
        <w:t xml:space="preserve">احمد بن عبدالرحمن .</w:t>
      </w:r>
    </w:p>
    <w:p>
      <w:pPr>
        <w:pStyle w:val="BookText"/>
      </w:pPr>
      <w:r>
        <w:rPr>
          <w:rFonts w:ascii="Amiri" w:hAnsi="Amiri" w:eastAsia="Amiri" w:cs="Amiri"/>
          <w:lang w:bidi="ar-SA"/>
          <w:color w:val="111111"/>
          <w:sz w:val="28"/>
          <w:szCs w:val="28"/>
          <w:rtl/>
        </w:rPr>
        <w:t xml:space="preserve">احمد بن عبدالرحمن موصلي -مسلم</w:t>
      </w:r>
    </w:p>
    <w:p>
      <w:pPr>
        <w:pStyle w:val="BookText"/>
      </w:pPr>
      <w:r>
        <w:rPr>
          <w:rFonts w:ascii="Amiri" w:hAnsi="Amiri" w:eastAsia="Amiri" w:cs="Amiri"/>
          <w:lang w:bidi="ar-SA"/>
          <w:color w:val="111111"/>
          <w:sz w:val="28"/>
          <w:szCs w:val="28"/>
          <w:rtl/>
        </w:rPr>
        <w:t xml:space="preserve">موصلي ، احمد بن عبدالرحمن</w:t>
      </w:r>
    </w:p>
    <w:p>
      <w:pPr>
        <w:pStyle w:val="BookText"/>
      </w:pPr>
      <w:r>
        <w:rPr>
          <w:rFonts w:ascii="Amiri" w:hAnsi="Amiri" w:eastAsia="Amiri" w:cs="Amiri"/>
          <w:lang w:bidi="ar-SA"/>
          <w:color w:val="111111"/>
          <w:sz w:val="28"/>
          <w:szCs w:val="28"/>
          <w:rtl/>
        </w:rPr>
        <w:t xml:space="preserve">احمد بن عبدالرحمن نودشي- نودشي</w:t>
      </w:r>
    </w:p>
    <w:p>
      <w:pPr>
        <w:pStyle w:val="BookText"/>
      </w:pPr>
      <w:r>
        <w:rPr>
          <w:rFonts w:ascii="IRNazanin" w:hAnsi="IRNazanin" w:eastAsia="IRNazanin" w:cs="IRNazanin"/>
          <w:lang w:bidi="fa-IR"/>
          <w:color w:val="111111"/>
          <w:sz w:val="28"/>
          <w:szCs w:val="28"/>
          <w:rtl/>
        </w:rPr>
        <w:t xml:space="preserve">احمد بن عبدالرحمن</w:t>
      </w:r>
    </w:p>
    <w:p>
      <w:pPr>
        <w:pStyle w:val="BookText"/>
      </w:pPr>
      <w:r>
        <w:rPr>
          <w:rFonts w:ascii="Amiri" w:hAnsi="Amiri" w:eastAsia="Amiri" w:cs="Amiri"/>
          <w:lang w:bidi="ar-SA"/>
          <w:color w:val="111111"/>
          <w:sz w:val="28"/>
          <w:szCs w:val="28"/>
          <w:rtl/>
        </w:rPr>
        <w:t xml:space="preserve">احمد بن عبد الرحيم بن مسعود طهطاوي - طهطاوي ، احمد بن عبدالرحيم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61" w:name="pg7742_69691"/>
    <w:bookmarkEnd w:id="161"/>
    <w:p>
      <w:pPr>
        <w:pStyle w:val="BookText"/>
      </w:pPr>
      <w:r>
        <w:rPr>
          <w:rFonts w:ascii="Amiri" w:hAnsi="Amiri" w:eastAsia="Amiri" w:cs="Amiri"/>
          <w:lang w:bidi="ar-SA"/>
          <w:color w:val="111111"/>
          <w:sz w:val="28"/>
          <w:szCs w:val="28"/>
          <w:rtl/>
        </w:rPr>
        <w:t xml:space="preserve">احمد بن عبد الرحيم شاه فاروقي- شاه</w:t>
      </w:r>
    </w:p>
    <w:p>
      <w:pPr>
        <w:pStyle w:val="BookText"/>
      </w:pPr>
      <w:r>
        <w:rPr>
          <w:rFonts w:ascii="Amiri" w:hAnsi="Amiri" w:eastAsia="Amiri" w:cs="Amiri"/>
          <w:lang w:bidi="ar-SA"/>
          <w:color w:val="111111"/>
          <w:sz w:val="28"/>
          <w:szCs w:val="28"/>
          <w:rtl/>
        </w:rPr>
        <w:t xml:space="preserve">ولي الله ، احمد بن عبدالرحيم</w:t>
      </w:r>
    </w:p>
    <w:p>
      <w:pPr>
        <w:pStyle w:val="BookText"/>
      </w:pPr>
      <w:r>
        <w:rPr>
          <w:rFonts w:ascii="Amiri" w:hAnsi="Amiri" w:eastAsia="Amiri" w:cs="Amiri"/>
          <w:lang w:bidi="ar-SA"/>
          <w:color w:val="111111"/>
          <w:sz w:val="28"/>
          <w:szCs w:val="28"/>
          <w:rtl/>
        </w:rPr>
        <w:t xml:space="preserve">احمد بن عبد الرزاق طنطراني - طنطراني ،</w:t>
      </w:r>
    </w:p>
    <w:p>
      <w:pPr>
        <w:pStyle w:val="BookText"/>
      </w:pPr>
      <w:r>
        <w:rPr>
          <w:rFonts w:ascii="IRNazanin" w:hAnsi="IRNazanin" w:eastAsia="IRNazanin" w:cs="IRNazanin"/>
          <w:lang w:bidi="fa-IR"/>
          <w:color w:val="111111"/>
          <w:sz w:val="28"/>
          <w:szCs w:val="28"/>
          <w:rtl/>
        </w:rPr>
        <w:t xml:space="preserve">احمد بن عبدالرزاق</w:t>
      </w:r>
    </w:p>
    <w:p>
      <w:pPr>
        <w:pStyle w:val="BookText"/>
      </w:pPr>
      <w:r>
        <w:rPr>
          <w:rFonts w:ascii="Amiri" w:hAnsi="Amiri" w:eastAsia="Amiri" w:cs="Amiri"/>
          <w:lang w:bidi="ar-SA"/>
          <w:color w:val="111111"/>
          <w:sz w:val="28"/>
          <w:szCs w:val="28"/>
          <w:rtl/>
        </w:rPr>
        <w:t xml:space="preserve">احمد بن عبد الرزاق مغربي</w:t>
      </w:r>
    </w:p>
    <w:p>
      <w:pPr>
        <w:pStyle w:val="BookText"/>
      </w:pPr>
      <w:r>
        <w:rPr>
          <w:rFonts w:ascii="Amiri" w:hAnsi="Amiri" w:eastAsia="Amiri" w:cs="Amiri"/>
          <w:lang w:bidi="ar-SA"/>
          <w:color w:val="111111"/>
          <w:sz w:val="28"/>
          <w:szCs w:val="28"/>
          <w:rtl/>
        </w:rPr>
        <w:t xml:space="preserve">رشيدي- مغربي رشيدي ، احمد بن عبدالرزاق</w:t>
      </w:r>
    </w:p>
    <w:p>
      <w:pPr>
        <w:pStyle w:val="BookText"/>
      </w:pPr>
      <w:r>
        <w:rPr>
          <w:rFonts w:ascii="Amiri" w:hAnsi="Amiri" w:eastAsia="Amiri" w:cs="Amiri"/>
          <w:lang w:bidi="ar-SA"/>
          <w:color w:val="111111"/>
          <w:sz w:val="28"/>
          <w:szCs w:val="28"/>
          <w:rtl/>
        </w:rPr>
        <w:t xml:space="preserve">احمد بن عبدالرضا بصري -بصري ، احمد بن عبدالرضا</w:t>
      </w:r>
    </w:p>
    <w:p>
      <w:pPr>
        <w:pStyle w:val="Heading2"/>
      </w:pPr>
      <w:bookmarkStart w:id="1995" w:name="_Toc1097"/>
      <w:r>
        <w:t>احمد بن عبدالسلام</w:t>
      </w:r>
      <w:bookmarkEnd w:id="1995"/>
    </w:p>
    <w:p>
      <w:pPr>
        <w:pStyle w:val="BookText"/>
      </w:pPr>
      <w:r>
        <w:rPr>
          <w:rFonts w:ascii="Amiri" w:hAnsi="Amiri" w:eastAsia="Amiri" w:cs="Amiri"/>
          <w:lang w:bidi="ar-SA"/>
          <w:color w:val="111111"/>
          <w:sz w:val="28"/>
          <w:szCs w:val="28"/>
          <w:rtl/>
        </w:rPr>
        <w:t xml:space="preserve">نخبة العربية في شرح الآجرومية</w:t>
      </w:r>
    </w:p>
    <w:p>
      <w:pPr>
        <w:pStyle w:val="BookText"/>
      </w:pPr>
      <w:r>
        <w:rPr>
          <w:rFonts w:ascii="IRNazanin" w:hAnsi="IRNazanin" w:eastAsia="IRNazanin" w:cs="IRNazanin"/>
          <w:lang w:bidi="fa-IR"/>
          <w:color w:val="111111"/>
          <w:sz w:val="28"/>
          <w:szCs w:val="28"/>
          <w:rtl/>
        </w:rPr>
        <w:t xml:space="preserve">ج 16، ص 200.</w:t>
      </w:r>
    </w:p>
    <w:p>
      <w:pPr>
        <w:pStyle w:val="BookText"/>
      </w:pPr>
      <w:r>
        <w:rPr>
          <w:rFonts w:ascii="Amiri" w:hAnsi="Amiri" w:eastAsia="Amiri" w:cs="Amiri"/>
          <w:lang w:bidi="ar-SA"/>
          <w:color w:val="111111"/>
          <w:sz w:val="28"/>
          <w:szCs w:val="28"/>
          <w:rtl/>
        </w:rPr>
        <w:t xml:space="preserve">احمد بن عبد السلام بحراني- بحراني ،</w:t>
      </w:r>
    </w:p>
    <w:p>
      <w:pPr>
        <w:pStyle w:val="BookText"/>
      </w:pPr>
      <w:r>
        <w:rPr>
          <w:rFonts w:ascii="IRNazanin" w:hAnsi="IRNazanin" w:eastAsia="IRNazanin" w:cs="IRNazanin"/>
          <w:lang w:bidi="fa-IR"/>
          <w:color w:val="111111"/>
          <w:sz w:val="28"/>
          <w:szCs w:val="28"/>
          <w:rtl/>
        </w:rPr>
        <w:t xml:space="preserve">احمد بن عبدالسلام</w:t>
      </w:r>
    </w:p>
    <w:p>
      <w:pPr>
        <w:pStyle w:val="BookText"/>
      </w:pPr>
      <w:r>
        <w:rPr>
          <w:rFonts w:ascii="Amiri" w:hAnsi="Amiri" w:eastAsia="Amiri" w:cs="Amiri"/>
          <w:lang w:bidi="ar-SA"/>
          <w:color w:val="111111"/>
          <w:sz w:val="28"/>
          <w:szCs w:val="28"/>
          <w:rtl/>
        </w:rPr>
        <w:t xml:space="preserve">احمد بن عبد السلام حسيني- صقلي</w:t>
      </w:r>
    </w:p>
    <w:p>
      <w:pPr>
        <w:pStyle w:val="BookText"/>
      </w:pPr>
      <w:r>
        <w:rPr>
          <w:rFonts w:ascii="Amiri" w:hAnsi="Amiri" w:eastAsia="Amiri" w:cs="Amiri"/>
          <w:lang w:bidi="ar-SA"/>
          <w:color w:val="111111"/>
          <w:sz w:val="28"/>
          <w:szCs w:val="28"/>
          <w:rtl/>
        </w:rPr>
        <w:t xml:space="preserve">احمد بن عبداللطيف</w:t>
      </w:r>
    </w:p>
    <w:p>
      <w:pPr>
        <w:pStyle w:val="BookText"/>
      </w:pPr>
      <w:r>
        <w:rPr>
          <w:rFonts w:ascii="Amiri" w:hAnsi="Amiri" w:eastAsia="Amiri" w:cs="Amiri"/>
          <w:lang w:bidi="ar-SA"/>
          <w:color w:val="111111"/>
          <w:sz w:val="28"/>
          <w:szCs w:val="28"/>
          <w:rtl/>
        </w:rPr>
        <w:t xml:space="preserve">احمد بن عبدالله السويدي البغدادي - سويدي ، احمد بن عبدالله</w:t>
      </w:r>
    </w:p>
    <w:p>
      <w:pPr>
        <w:pStyle w:val="BookText"/>
      </w:pPr>
      <w:r>
        <w:rPr>
          <w:rFonts w:ascii="Amiri" w:hAnsi="Amiri" w:eastAsia="Amiri" w:cs="Amiri"/>
          <w:lang w:bidi="ar-SA"/>
          <w:color w:val="111111"/>
          <w:sz w:val="28"/>
          <w:szCs w:val="28"/>
          <w:rtl/>
        </w:rPr>
        <w:t xml:space="preserve">احمد بن عبدالله اليمني المقرئ -يمني ،</w:t>
      </w:r>
    </w:p>
    <w:p>
      <w:pPr>
        <w:pStyle w:val="BookText"/>
      </w:pPr>
      <w:r>
        <w:rPr>
          <w:rFonts w:ascii="Amiri" w:hAnsi="Amiri" w:eastAsia="Amiri" w:cs="Amiri"/>
          <w:lang w:bidi="ar-SA"/>
          <w:color w:val="111111"/>
          <w:sz w:val="28"/>
          <w:szCs w:val="28"/>
          <w:rtl/>
        </w:rPr>
        <w:t xml:space="preserve">تونسي حسيني- تونسي ، احمد بن عبدالسلام احمد بن عبدالله</w:t>
      </w:r>
    </w:p>
    <w:p>
      <w:pPr>
        <w:pStyle w:val="BookText"/>
      </w:pPr>
      <w:r>
        <w:rPr>
          <w:rFonts w:ascii="Amiri" w:hAnsi="Amiri" w:eastAsia="Amiri" w:cs="Amiri"/>
          <w:lang w:bidi="ar-SA"/>
          <w:color w:val="111111"/>
          <w:sz w:val="28"/>
          <w:szCs w:val="28"/>
          <w:rtl/>
        </w:rPr>
        <w:t xml:space="preserve">احمد بن عبد السلام شافعي- احمد بن</w:t>
      </w:r>
    </w:p>
    <w:p>
      <w:pPr>
        <w:pStyle w:val="BookText"/>
      </w:pPr>
      <w:r>
        <w:rPr>
          <w:rFonts w:ascii="IRNazanin" w:hAnsi="IRNazanin" w:eastAsia="IRNazanin" w:cs="IRNazanin"/>
          <w:lang w:bidi="fa-IR"/>
          <w:color w:val="111111"/>
          <w:sz w:val="28"/>
          <w:szCs w:val="28"/>
          <w:rtl/>
        </w:rPr>
        <w:t xml:space="preserve">عبد السلام</w:t>
      </w:r>
    </w:p>
    <w:p>
      <w:pPr>
        <w:pStyle w:val="BookText"/>
      </w:pPr>
      <w:r>
        <w:rPr>
          <w:rFonts w:ascii="Amiri" w:hAnsi="Amiri" w:eastAsia="Amiri" w:cs="Amiri"/>
          <w:lang w:bidi="ar-SA"/>
          <w:color w:val="111111"/>
          <w:sz w:val="28"/>
          <w:szCs w:val="28"/>
          <w:rtl/>
        </w:rPr>
        <w:t xml:space="preserve">احمد بن عبد العزيز الفتوحي- فتوحي ،</w:t>
      </w:r>
    </w:p>
    <w:p>
      <w:pPr>
        <w:pStyle w:val="BookText"/>
      </w:pPr>
      <w:r>
        <w:rPr>
          <w:rFonts w:ascii="Amiri" w:hAnsi="Amiri" w:eastAsia="Amiri" w:cs="Amiri"/>
          <w:lang w:bidi="ar-SA"/>
          <w:color w:val="111111"/>
          <w:sz w:val="28"/>
          <w:szCs w:val="28"/>
          <w:rtl/>
        </w:rPr>
        <w:t xml:space="preserve">احمد بن عبدالعزيز</w:t>
      </w:r>
    </w:p>
    <w:p>
      <w:pPr>
        <w:pStyle w:val="BookText"/>
      </w:pPr>
      <w:r>
        <w:rPr>
          <w:rFonts w:ascii="Amiri" w:hAnsi="Amiri" w:eastAsia="Amiri" w:cs="Amiri"/>
          <w:lang w:bidi="ar-SA"/>
          <w:color w:val="111111"/>
          <w:sz w:val="28"/>
          <w:szCs w:val="28"/>
          <w:rtl/>
        </w:rPr>
        <w:t xml:space="preserve">احمد بن عبدالعزيز اندلسي- اندلسي</w:t>
      </w:r>
    </w:p>
    <w:p>
      <w:pPr>
        <w:pStyle w:val="BookText"/>
      </w:pPr>
      <w:r>
        <w:rPr>
          <w:rFonts w:ascii="Amiri" w:hAnsi="Amiri" w:eastAsia="Amiri" w:cs="Amiri"/>
          <w:lang w:bidi="ar-SA"/>
          <w:color w:val="111111"/>
          <w:sz w:val="28"/>
          <w:szCs w:val="28"/>
          <w:rtl/>
        </w:rPr>
        <w:t xml:space="preserve">احمد بن عبدالعزيز</w:t>
      </w:r>
    </w:p>
    <w:p>
      <w:pPr>
        <w:pStyle w:val="BookText"/>
      </w:pPr>
      <w:r>
        <w:rPr>
          <w:rFonts w:ascii="Amiri" w:hAnsi="Amiri" w:eastAsia="Amiri" w:cs="Amiri"/>
          <w:lang w:bidi="ar-SA"/>
          <w:color w:val="111111"/>
          <w:sz w:val="28"/>
          <w:szCs w:val="28"/>
          <w:rtl/>
        </w:rPr>
        <w:t xml:space="preserve">احمد بن عبدالعزيز سفاقسي ازهري -سفاقسي ، احمد بن عبدالعزيز</w:t>
      </w:r>
    </w:p>
    <w:p>
      <w:pPr>
        <w:pStyle w:val="BookText"/>
      </w:pPr>
      <w:r>
        <w:rPr>
          <w:rFonts w:ascii="Amiri" w:hAnsi="Amiri" w:eastAsia="Amiri" w:cs="Amiri"/>
          <w:lang w:bidi="ar-SA"/>
          <w:color w:val="111111"/>
          <w:sz w:val="28"/>
          <w:szCs w:val="28"/>
          <w:rtl/>
        </w:rPr>
        <w:t xml:space="preserve">احمد بن عبد الغني تميمي خليلي- تميمي</w:t>
      </w:r>
    </w:p>
    <w:p>
      <w:pPr>
        <w:pStyle w:val="BookText"/>
      </w:pPr>
      <w:r>
        <w:rPr>
          <w:rFonts w:ascii="Amiri" w:hAnsi="Amiri" w:eastAsia="Amiri" w:cs="Amiri"/>
          <w:lang w:bidi="ar-SA"/>
          <w:color w:val="111111"/>
          <w:sz w:val="28"/>
          <w:szCs w:val="28"/>
          <w:rtl/>
        </w:rPr>
        <w:t xml:space="preserve">خليلي ، احمد بن عبدالغني</w:t>
      </w:r>
    </w:p>
    <w:p>
      <w:pPr>
        <w:pStyle w:val="BookText"/>
      </w:pPr>
      <w:r>
        <w:rPr>
          <w:rFonts w:ascii="Amiri" w:hAnsi="Amiri" w:eastAsia="Amiri" w:cs="Amiri"/>
          <w:lang w:bidi="ar-SA"/>
          <w:color w:val="111111"/>
          <w:sz w:val="28"/>
          <w:szCs w:val="28"/>
          <w:rtl/>
        </w:rPr>
        <w:t xml:space="preserve">احمد بن عبدالفتاح بن يوسف مجيري- ملوي ، احمد بن عبدالفتاح</w:t>
      </w:r>
    </w:p>
    <w:p>
      <w:pPr>
        <w:pStyle w:val="BookText"/>
      </w:pPr>
      <w:r>
        <w:rPr>
          <w:rFonts w:ascii="Amiri" w:hAnsi="Amiri" w:eastAsia="Amiri" w:cs="Amiri"/>
          <w:lang w:bidi="ar-SA"/>
          <w:color w:val="111111"/>
          <w:sz w:val="28"/>
          <w:szCs w:val="28"/>
          <w:rtl/>
        </w:rPr>
        <w:t xml:space="preserve">احمد بن عبد القادر رومي -آقحصاري رومي ، احمد بن محمّد</w:t>
      </w:r>
    </w:p>
    <w:p>
      <w:pPr>
        <w:pStyle w:val="BookText"/>
      </w:pPr>
      <w:r>
        <w:rPr>
          <w:rFonts w:ascii="Amiri" w:hAnsi="Amiri" w:eastAsia="Amiri" w:cs="Amiri"/>
          <w:lang w:bidi="ar-SA"/>
          <w:color w:val="111111"/>
          <w:sz w:val="28"/>
          <w:szCs w:val="28"/>
          <w:rtl/>
        </w:rPr>
        <w:t xml:space="preserve">احمد بن عبد القادر عجيلي -عجيلي</w:t>
      </w:r>
    </w:p>
    <w:p>
      <w:pPr>
        <w:pStyle w:val="BookText"/>
      </w:pPr>
      <w:r>
        <w:rPr>
          <w:rFonts w:ascii="IRNazanin" w:hAnsi="IRNazanin" w:eastAsia="IRNazanin" w:cs="IRNazanin"/>
          <w:lang w:bidi="fa-IR"/>
          <w:color w:val="111111"/>
          <w:sz w:val="28"/>
          <w:szCs w:val="28"/>
          <w:rtl/>
        </w:rPr>
        <w:t xml:space="preserve">احمد بن عبدالقادر</w:t>
      </w:r>
    </w:p>
    <w:p>
      <w:pPr>
        <w:pStyle w:val="BookText"/>
      </w:pPr>
      <w:r>
        <w:rPr>
          <w:rFonts w:ascii="Amiri" w:hAnsi="Amiri" w:eastAsia="Amiri" w:cs="Amiri"/>
          <w:lang w:bidi="ar-SA"/>
          <w:color w:val="111111"/>
          <w:sz w:val="28"/>
          <w:szCs w:val="28"/>
          <w:rtl/>
        </w:rPr>
        <w:t xml:space="preserve">احمد بن عبد الكافي سبكي- سبكي ، احمد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احمد بن عبد الكريم اشموني -اشموني ،</w:t>
      </w:r>
    </w:p>
    <w:p>
      <w:pPr>
        <w:pStyle w:val="BookText"/>
      </w:pPr>
      <w:r>
        <w:rPr>
          <w:rFonts w:ascii="Amiri" w:hAnsi="Amiri" w:eastAsia="Amiri" w:cs="Amiri"/>
          <w:lang w:bidi="ar-SA"/>
          <w:color w:val="111111"/>
          <w:sz w:val="28"/>
          <w:szCs w:val="28"/>
          <w:rtl/>
        </w:rPr>
        <w:t xml:space="preserve">احمد بن عبدالكريم احمد بن عبد اللطيف بشيشي- بشيشي</w:t>
      </w:r>
    </w:p>
    <w:p>
      <w:pPr>
        <w:pStyle w:val="BookText"/>
      </w:pPr>
      <w:r>
        <w:rPr>
          <w:rFonts w:ascii="Amiri" w:hAnsi="Amiri" w:eastAsia="Amiri" w:cs="Amiri"/>
          <w:lang w:bidi="ar-SA"/>
          <w:color w:val="111111"/>
          <w:sz w:val="28"/>
          <w:szCs w:val="28"/>
          <w:rtl/>
        </w:rPr>
        <w:t xml:space="preserve">احمد بن عبدالله بحراني -ابن متوج ابن</w:t>
      </w:r>
    </w:p>
    <w:p>
      <w:pPr>
        <w:pStyle w:val="BookText"/>
      </w:pPr>
      <w:r>
        <w:rPr>
          <w:rFonts w:ascii="Amiri" w:hAnsi="Amiri" w:eastAsia="Amiri" w:cs="Amiri"/>
          <w:lang w:bidi="ar-SA"/>
          <w:color w:val="111111"/>
          <w:sz w:val="28"/>
          <w:szCs w:val="28"/>
          <w:rtl/>
        </w:rPr>
        <w:t xml:space="preserve">متوج، احمد بن عبدالله احمد بن عبد الله بغدادي -بغدادي ، ابي</w:t>
      </w:r>
    </w:p>
    <w:p>
      <w:pPr>
        <w:pStyle w:val="BookText"/>
      </w:pPr>
      <w:r>
        <w:rPr>
          <w:rFonts w:ascii="Amiri" w:hAnsi="Amiri" w:eastAsia="Amiri" w:cs="Amiri"/>
          <w:lang w:bidi="ar-SA"/>
          <w:color w:val="111111"/>
          <w:sz w:val="28"/>
          <w:szCs w:val="28"/>
          <w:rtl/>
        </w:rPr>
        <w:t xml:space="preserve">العباس احمد بن عبدالله احمد بن عبدالله بغدادي - بغدادي ،</w:t>
      </w:r>
    </w:p>
    <w:p>
      <w:pPr>
        <w:pStyle w:val="BookText"/>
      </w:pPr>
      <w:r>
        <w:rPr>
          <w:rFonts w:ascii="Amiri" w:hAnsi="Amiri" w:eastAsia="Amiri" w:cs="Amiri"/>
          <w:lang w:bidi="ar-SA"/>
          <w:color w:val="111111"/>
          <w:sz w:val="28"/>
          <w:szCs w:val="28"/>
          <w:rtl/>
        </w:rPr>
        <w:t xml:space="preserve">احمد بن عبدالله احمد بن عبدالله بكري - ابوالحسن بكري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IRNazanin" w:hAnsi="IRNazanin" w:eastAsia="IRNazanin" w:cs="IRNazanin"/>
          <w:lang w:bidi="fa-IR"/>
          <w:color w:val="111111"/>
          <w:sz w:val="28"/>
          <w:szCs w:val="28"/>
          <w:rtl/>
        </w:rPr>
        <w:t xml:space="preserve">احمد بن عبدالله بن احمد</w:t>
      </w:r>
    </w:p>
    <w:p>
      <w:pPr>
        <w:pStyle w:val="BookText"/>
      </w:pPr>
      <w:r>
        <w:rPr>
          <w:rFonts w:ascii="IRNazanin" w:hAnsi="IRNazanin" w:eastAsia="IRNazanin" w:cs="IRNazanin"/>
          <w:lang w:bidi="fa-IR"/>
          <w:color w:val="111111"/>
          <w:sz w:val="28"/>
          <w:szCs w:val="28"/>
          <w:rtl/>
        </w:rPr>
        <w:t xml:space="preserve">اصفهاني -ابونعیم اصفهاني ، احمد بن عبدالله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عبد الله بن عبدالرحمن بافضل</w:t>
      </w:r>
    </w:p>
    <w:p>
      <w:pPr>
        <w:pStyle w:val="BookText"/>
      </w:pPr>
      <w:r>
        <w:rPr>
          <w:rFonts w:ascii="Amiri" w:hAnsi="Amiri" w:eastAsia="Amiri" w:cs="Amiri"/>
          <w:lang w:bidi="ar-SA"/>
          <w:color w:val="111111"/>
          <w:sz w:val="28"/>
          <w:szCs w:val="28"/>
          <w:rtl/>
        </w:rPr>
        <w:t xml:space="preserve">حضرمي -بافضل ، احمد بن عبدالله</w:t>
      </w:r>
    </w:p>
    <w:p>
      <w:pPr>
        <w:pStyle w:val="BookText"/>
      </w:pPr>
      <w:r>
        <w:rPr>
          <w:rFonts w:ascii="IRNazanin" w:hAnsi="IRNazanin" w:eastAsia="IRNazanin" w:cs="IRNazanin"/>
          <w:lang w:bidi="fa-IR"/>
          <w:color w:val="111111"/>
          <w:sz w:val="28"/>
          <w:szCs w:val="28"/>
          <w:rtl/>
        </w:rPr>
        <w:t xml:space="preserve">احمد بن عبدالله بن عبدالرحمن بن قدامه</w:t>
      </w:r>
    </w:p>
    <w:p>
      <w:pPr>
        <w:pStyle w:val="BookText"/>
      </w:pPr>
      <w:r>
        <w:rPr>
          <w:rFonts w:ascii="Amiri" w:hAnsi="Amiri" w:eastAsia="Amiri" w:cs="Amiri"/>
          <w:lang w:bidi="ar-SA"/>
          <w:color w:val="111111"/>
          <w:sz w:val="28"/>
          <w:szCs w:val="28"/>
          <w:rtl/>
        </w:rPr>
        <w:t xml:space="preserve">مقدسي -مقدسي ، احمد بن عبدالله</w:t>
      </w:r>
    </w:p>
    <w:p>
      <w:pPr>
        <w:pStyle w:val="BookText"/>
      </w:pPr>
      <w:r>
        <w:rPr>
          <w:rFonts w:ascii="Amiri" w:hAnsi="Amiri" w:eastAsia="Amiri" w:cs="Amiri"/>
          <w:lang w:bidi="ar-SA"/>
          <w:color w:val="111111"/>
          <w:sz w:val="28"/>
          <w:szCs w:val="28"/>
          <w:rtl/>
        </w:rPr>
        <w:t xml:space="preserve">احمد بن عبدالله بيتوشي- بيتوشي ، احمد بن عبدالله</w:t>
      </w:r>
    </w:p>
    <w:p>
      <w:pPr>
        <w:pStyle w:val="BookText"/>
      </w:pPr>
      <w:r>
        <w:rPr>
          <w:rFonts w:ascii="Amiri" w:hAnsi="Amiri" w:eastAsia="Amiri" w:cs="Amiri"/>
          <w:lang w:bidi="ar-SA"/>
          <w:color w:val="111111"/>
          <w:sz w:val="28"/>
          <w:szCs w:val="28"/>
          <w:rtl/>
        </w:rPr>
        <w:t xml:space="preserve">احمد بن عبدالله مروزي -مروزي ، حبش</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احمد بن عبدالله معري ابو العلاء- معري ،</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احمد بن عبدالله احمد بن عبد المؤمن شريشي - شريشي ،</w:t>
      </w:r>
    </w:p>
    <w:p>
      <w:pPr>
        <w:pStyle w:val="BookText"/>
      </w:pPr>
      <w:r>
        <w:rPr>
          <w:rFonts w:ascii="IRNazanin" w:hAnsi="IRNazanin" w:eastAsia="IRNazanin" w:cs="IRNazanin"/>
          <w:lang w:bidi="fa-IR"/>
          <w:color w:val="111111"/>
          <w:sz w:val="28"/>
          <w:szCs w:val="28"/>
          <w:rtl/>
        </w:rPr>
        <w:t xml:space="preserve">احمد بن عبدالمؤمن</w:t>
      </w:r>
    </w:p>
    <w:p>
      <w:pPr>
        <w:pStyle w:val="BookText"/>
      </w:pPr>
      <w:r>
        <w:rPr>
          <w:rFonts w:ascii="Amiri" w:hAnsi="Amiri" w:eastAsia="Amiri" w:cs="Amiri"/>
          <w:lang w:bidi="ar-SA"/>
          <w:color w:val="111111"/>
          <w:sz w:val="28"/>
          <w:szCs w:val="28"/>
          <w:rtl/>
        </w:rPr>
        <w:t xml:space="preserve">احمد بن عبدالله جزايري -جزائري ، احمد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احمد بن عبد المنعم دمنهوري- دمنهوري ، احمد بن عبدالمنعم</w:t>
      </w:r>
    </w:p>
    <w:p>
      <w:pPr>
        <w:pStyle w:val="BookText"/>
      </w:pPr>
      <w:r>
        <w:rPr>
          <w:rFonts w:ascii="Amiri" w:hAnsi="Amiri" w:eastAsia="Amiri" w:cs="Amiri"/>
          <w:lang w:bidi="ar-SA"/>
          <w:color w:val="111111"/>
          <w:sz w:val="28"/>
          <w:szCs w:val="28"/>
          <w:rtl/>
        </w:rPr>
        <w:t xml:space="preserve">احمد بن عبدالله خوانساري -خوانساري</w:t>
      </w:r>
    </w:p>
    <w:p>
      <w:pPr>
        <w:pStyle w:val="BookText"/>
      </w:pPr>
      <w:r>
        <w:rPr>
          <w:rFonts w:ascii="Amiri" w:hAnsi="Amiri" w:eastAsia="Amiri" w:cs="Amiri"/>
          <w:lang w:bidi="ar-SA"/>
          <w:color w:val="111111"/>
          <w:sz w:val="28"/>
          <w:szCs w:val="28"/>
          <w:rtl/>
        </w:rPr>
        <w:t xml:space="preserve">ملايري ، احمد بن عبدالله</w:t>
      </w:r>
    </w:p>
    <w:p>
      <w:pPr>
        <w:pStyle w:val="BookText"/>
      </w:pPr>
      <w:r>
        <w:rPr>
          <w:rFonts w:ascii="Amiri" w:hAnsi="Amiri" w:eastAsia="Amiri" w:cs="Amiri"/>
          <w:lang w:bidi="ar-SA"/>
          <w:color w:val="111111"/>
          <w:sz w:val="28"/>
          <w:szCs w:val="28"/>
          <w:rtl/>
        </w:rPr>
        <w:t xml:space="preserve">احمد بن عبد النور مالقي ابن عبد النور</w:t>
      </w:r>
    </w:p>
    <w:p>
      <w:pPr>
        <w:pStyle w:val="BookText"/>
      </w:pPr>
      <w:r>
        <w:rPr>
          <w:rFonts w:ascii="Amiri" w:hAnsi="Amiri" w:eastAsia="Amiri" w:cs="Amiri"/>
          <w:lang w:bidi="ar-SA"/>
          <w:color w:val="111111"/>
          <w:sz w:val="28"/>
          <w:szCs w:val="28"/>
          <w:rtl/>
        </w:rPr>
        <w:t xml:space="preserve">احمد بن عبدالنور احمد بن عبد الوهاب نويري- نويري احمد بن عبد الوهاب</w:t>
      </w:r>
    </w:p>
    <w:p>
      <w:pPr>
        <w:pStyle w:val="BookText"/>
      </w:pPr>
      <w:r>
        <w:rPr>
          <w:rFonts w:ascii="Amiri" w:hAnsi="Amiri" w:eastAsia="Amiri" w:cs="Amiri"/>
          <w:lang w:bidi="ar-SA"/>
          <w:color w:val="111111"/>
          <w:sz w:val="28"/>
          <w:szCs w:val="28"/>
          <w:rtl/>
        </w:rPr>
        <w:t xml:space="preserve">احمد بن عبدالله ديكقوز - ديكقوز ، احمد بن عبدالله</w:t>
      </w:r>
    </w:p>
    <w:p>
      <w:pPr>
        <w:pStyle w:val="BookText"/>
      </w:pPr>
      <w:r>
        <w:rPr>
          <w:rFonts w:ascii="Amiri" w:hAnsi="Amiri" w:eastAsia="Amiri" w:cs="Amiri"/>
          <w:lang w:bidi="ar-SA"/>
          <w:color w:val="111111"/>
          <w:sz w:val="28"/>
          <w:szCs w:val="28"/>
          <w:rtl/>
        </w:rPr>
        <w:t xml:space="preserve">احمد بن عبيد بن عسكر عطار -عطار ،</w:t>
      </w:r>
    </w:p>
    <w:p>
      <w:pPr>
        <w:pStyle w:val="BookText"/>
      </w:pPr>
      <w:r>
        <w:rPr>
          <w:rFonts w:ascii="IRNazanin" w:hAnsi="IRNazanin" w:eastAsia="IRNazanin" w:cs="IRNazanin"/>
          <w:lang w:bidi="fa-IR"/>
          <w:color w:val="111111"/>
          <w:sz w:val="28"/>
          <w:szCs w:val="28"/>
          <w:rtl/>
        </w:rPr>
        <w:t xml:space="preserve">بن عبیدالله</w:t>
      </w:r>
    </w:p>
    <w:p>
      <w:pPr>
        <w:pStyle w:val="BookText"/>
      </w:pPr>
      <w:r>
        <w:rPr>
          <w:rFonts w:ascii="Amiri" w:hAnsi="Amiri" w:eastAsia="Amiri" w:cs="Amiri"/>
          <w:lang w:bidi="ar-SA"/>
          <w:color w:val="111111"/>
          <w:sz w:val="28"/>
          <w:szCs w:val="28"/>
          <w:rtl/>
        </w:rPr>
        <w:t xml:space="preserve">احمد بن عبدالله رازي صنعاني- رازي</w:t>
      </w:r>
    </w:p>
    <w:p>
      <w:pPr>
        <w:pStyle w:val="BookText"/>
      </w:pPr>
      <w:r>
        <w:rPr>
          <w:rFonts w:ascii="Amiri" w:hAnsi="Amiri" w:eastAsia="Amiri" w:cs="Amiri"/>
          <w:lang w:bidi="ar-SA"/>
          <w:color w:val="111111"/>
          <w:sz w:val="28"/>
          <w:szCs w:val="28"/>
          <w:rtl/>
        </w:rPr>
        <w:t xml:space="preserve">صنعاني ، احمد بن عبدالله</w:t>
      </w:r>
    </w:p>
    <w:p>
      <w:pPr>
        <w:pStyle w:val="BookText"/>
      </w:pPr>
      <w:r>
        <w:rPr>
          <w:rFonts w:ascii="Amiri" w:hAnsi="Amiri" w:eastAsia="Amiri" w:cs="Amiri"/>
          <w:lang w:bidi="ar-SA"/>
          <w:color w:val="111111"/>
          <w:sz w:val="28"/>
          <w:szCs w:val="28"/>
          <w:rtl/>
        </w:rPr>
        <w:t xml:space="preserve">احمد بن عبدالله رومي شوقي -شوقي</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احمد بن عبدالله طبري مكي- طبري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IRNazanin" w:hAnsi="IRNazanin" w:eastAsia="IRNazanin" w:cs="IRNazanin"/>
          <w:lang w:bidi="fa-IR"/>
          <w:color w:val="111111"/>
          <w:sz w:val="28"/>
          <w:szCs w:val="28"/>
          <w:rtl/>
        </w:rPr>
        <w:t xml:space="preserve">احمد بن عبیدالله احمد بن عثمان الاشعري- اشعري ، احمد</w:t>
      </w:r>
    </w:p>
    <w:p>
      <w:pPr>
        <w:pStyle w:val="BookText"/>
      </w:pPr>
      <w:r>
        <w:rPr>
          <w:rFonts w:ascii="Amiri" w:hAnsi="Amiri" w:eastAsia="Amiri" w:cs="Amiri"/>
          <w:lang w:bidi="ar-SA"/>
          <w:color w:val="111111"/>
          <w:sz w:val="28"/>
          <w:szCs w:val="28"/>
          <w:rtl/>
        </w:rPr>
        <w:t xml:space="preserve">بن عثمان احمد بن عثمان خطائي ملازاده سمرقندي- خطائي ، احمد بن عثمان</w:t>
      </w:r>
    </w:p>
    <w:p>
      <w:pPr>
        <w:pStyle w:val="BookText"/>
      </w:pPr>
      <w:r>
        <w:rPr>
          <w:rFonts w:ascii="Amiri" w:hAnsi="Amiri" w:eastAsia="Amiri" w:cs="Amiri"/>
          <w:lang w:bidi="ar-SA"/>
          <w:color w:val="111111"/>
          <w:sz w:val="28"/>
          <w:szCs w:val="28"/>
          <w:rtl/>
        </w:rPr>
        <w:t xml:space="preserve">احمد بن عثمان شرنوبي -شرنوبي ، احمد</w:t>
      </w:r>
    </w:p>
    <w:p>
      <w:pPr>
        <w:pStyle w:val="BookText"/>
      </w:pPr>
      <w:r>
        <w:rPr>
          <w:rFonts w:ascii="IRNazanin" w:hAnsi="IRNazanin" w:eastAsia="IRNazanin" w:cs="IRNazanin"/>
          <w:lang w:bidi="fa-IR"/>
          <w:color w:val="111111"/>
          <w:sz w:val="28"/>
          <w:szCs w:val="28"/>
          <w:rtl/>
        </w:rPr>
        <w:t xml:space="preserve">بن عثمان</w:t>
      </w:r>
    </w:p>
    <w:p>
      <w:pPr>
        <w:pStyle w:val="BookText"/>
      </w:pPr>
      <w:r>
        <w:rPr>
          <w:rFonts w:ascii="Amiri" w:hAnsi="Amiri" w:eastAsia="Amiri" w:cs="Amiri"/>
          <w:lang w:bidi="ar-SA"/>
          <w:color w:val="111111"/>
          <w:sz w:val="28"/>
          <w:szCs w:val="28"/>
          <w:rtl/>
        </w:rPr>
        <w:t xml:space="preserve">احمد بن عبد الله قادري- قادري ، احمد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احمد بن عبدالله كرماني-كرماني ، احمد</w:t>
      </w:r>
    </w:p>
    <w:p>
      <w:pPr>
        <w:pStyle w:val="BookText"/>
      </w:pPr>
      <w:r>
        <w:rPr>
          <w:rFonts w:ascii="IRNazanin" w:hAnsi="IRNazanin" w:eastAsia="IRNazanin" w:cs="IRNazanin"/>
          <w:lang w:bidi="fa-IR"/>
          <w:color w:val="111111"/>
          <w:sz w:val="28"/>
          <w:szCs w:val="28"/>
          <w:rtl/>
        </w:rPr>
        <w:t xml:space="preserve">بن عبدالله احمد بن عبدالله کوزه کناني- کوزه کناني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احمد بن عبدالله مخزومي- ابن زيدون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IRNazanin" w:hAnsi="IRNazanin" w:eastAsia="IRNazanin" w:cs="IRNazanin"/>
          <w:lang w:bidi="fa-IR"/>
          <w:color w:val="111111"/>
          <w:sz w:val="28"/>
          <w:szCs w:val="28"/>
          <w:rtl/>
        </w:rPr>
        <w:t xml:space="preserve">احمد بن عثمان عثمان زاده -عثمان زاده</w:t>
      </w:r>
    </w:p>
    <w:p>
      <w:pPr>
        <w:pStyle w:val="BookText"/>
      </w:pPr>
      <w:r>
        <w:rPr>
          <w:rFonts w:ascii="IRNazanin" w:hAnsi="IRNazanin" w:eastAsia="IRNazanin" w:cs="IRNazanin"/>
          <w:lang w:bidi="fa-IR"/>
          <w:color w:val="111111"/>
          <w:sz w:val="28"/>
          <w:szCs w:val="28"/>
          <w:rtl/>
        </w:rPr>
        <w:t xml:space="preserve">احمد تائب بن عثمان</w:t>
      </w:r>
    </w:p>
    <w:p>
      <w:pPr>
        <w:pStyle w:val="BookText"/>
      </w:pPr>
      <w:r>
        <w:rPr>
          <w:rFonts w:ascii="Amiri" w:hAnsi="Amiri" w:eastAsia="Amiri" w:cs="Amiri"/>
          <w:lang w:bidi="ar-SA"/>
          <w:color w:val="111111"/>
          <w:sz w:val="28"/>
          <w:szCs w:val="28"/>
          <w:rtl/>
        </w:rPr>
        <w:t xml:space="preserve">احمد بن عثمان قيسي- قيسي ، احمد بن</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Amiri" w:hAnsi="Amiri" w:eastAsia="Amiri" w:cs="Amiri"/>
          <w:lang w:bidi="ar-SA"/>
          <w:color w:val="111111"/>
          <w:sz w:val="28"/>
          <w:szCs w:val="28"/>
          <w:rtl/>
        </w:rPr>
        <w:t xml:space="preserve">احمد بن عثمان هروي -هروي ، احمد بن</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Amiri" w:hAnsi="Amiri" w:eastAsia="Amiri" w:cs="Amiri"/>
          <w:lang w:bidi="ar-SA"/>
          <w:color w:val="111111"/>
          <w:sz w:val="28"/>
          <w:szCs w:val="28"/>
          <w:rtl/>
        </w:rPr>
        <w:t xml:space="preserve">احمد بن عزالدين حلبي- حلبي ، احمد</w:t>
      </w:r>
    </w:p>
    <w:p>
      <w:pPr>
        <w:pStyle w:val="BookText"/>
      </w:pPr>
      <w:r>
        <w:rPr>
          <w:rFonts w:ascii="Amiri" w:hAnsi="Amiri" w:eastAsia="Amiri" w:cs="Amiri"/>
          <w:lang w:bidi="ar-SA"/>
          <w:color w:val="111111"/>
          <w:sz w:val="28"/>
          <w:szCs w:val="28"/>
          <w:rtl/>
        </w:rPr>
        <w:t xml:space="preserve">بن عزالدين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2" w:name="pg7742_69694"/>
    <w:bookmarkEnd w:id="162"/>
    <w:p>
      <w:pPr>
        <w:pStyle w:val="Heading2"/>
      </w:pPr>
      <w:bookmarkStart w:id="1996" w:name="_Toc1098"/>
      <w:r>
        <w:t>احمد بن علي قرن 14 ه-</w:t>
      </w:r>
      <w:bookmarkEnd w:id="1996"/>
    </w:p>
    <w:p>
      <w:pPr>
        <w:pStyle w:val="BookText"/>
      </w:pPr>
      <w:r>
        <w:rPr>
          <w:rFonts w:ascii="Amiri" w:hAnsi="Amiri" w:eastAsia="Amiri" w:cs="Amiri"/>
          <w:lang w:bidi="ar-SA"/>
          <w:color w:val="111111"/>
          <w:sz w:val="28"/>
          <w:szCs w:val="28"/>
          <w:rtl/>
        </w:rPr>
        <w:t xml:space="preserve">جوابات عن الاعتراضات على الشيخ</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الرئيس، ج 5، ص 491</w:t>
      </w:r>
    </w:p>
    <w:p>
      <w:pPr>
        <w:pStyle w:val="Heading2"/>
      </w:pPr>
      <w:bookmarkStart w:id="1997" w:name="_Toc1099"/>
      <w:r>
        <w:t>احمد بن علي</w:t>
      </w:r>
      <w:bookmarkEnd w:id="1997"/>
    </w:p>
    <w:p>
      <w:pPr>
        <w:pStyle w:val="BookText"/>
      </w:pPr>
      <w:r>
        <w:rPr>
          <w:rFonts w:ascii="IRNazanin" w:hAnsi="IRNazanin" w:eastAsia="IRNazanin" w:cs="IRNazanin"/>
          <w:lang w:bidi="fa-IR"/>
          <w:color w:val="111111"/>
          <w:sz w:val="28"/>
          <w:szCs w:val="28"/>
          <w:rtl/>
        </w:rPr>
        <w:t xml:space="preserve">شرح دعاء القنوت، ج 9، ص 469.</w:t>
      </w:r>
    </w:p>
    <w:p>
      <w:pPr>
        <w:pStyle w:val="BookText"/>
      </w:pPr>
      <w:r>
        <w:rPr>
          <w:rFonts w:ascii="Amiri" w:hAnsi="Amiri" w:eastAsia="Amiri" w:cs="Amiri"/>
          <w:lang w:bidi="ar-SA"/>
          <w:color w:val="111111"/>
          <w:sz w:val="28"/>
          <w:szCs w:val="28"/>
          <w:rtl/>
        </w:rPr>
        <w:t xml:space="preserve">احمد بن علي بجائي حميدي جزائري - شهاب الدين بجائي ، احمد بن علي</w:t>
      </w:r>
    </w:p>
    <w:p>
      <w:pPr>
        <w:pStyle w:val="BookText"/>
      </w:pPr>
      <w:r>
        <w:rPr>
          <w:rFonts w:ascii="Amiri" w:hAnsi="Amiri" w:eastAsia="Amiri" w:cs="Amiri"/>
          <w:lang w:bidi="ar-SA"/>
          <w:color w:val="111111"/>
          <w:sz w:val="28"/>
          <w:szCs w:val="28"/>
          <w:rtl/>
        </w:rPr>
        <w:t xml:space="preserve">احمد بن علي بن احمد نجاشي</w:t>
      </w:r>
    </w:p>
    <w:p>
      <w:pPr>
        <w:pStyle w:val="BookText"/>
      </w:pPr>
      <w:r>
        <w:rPr>
          <w:rFonts w:ascii="Amiri" w:hAnsi="Amiri" w:eastAsia="Amiri" w:cs="Amiri"/>
          <w:lang w:bidi="ar-SA"/>
          <w:color w:val="111111"/>
          <w:sz w:val="28"/>
          <w:szCs w:val="28"/>
          <w:rtl/>
        </w:rPr>
        <w:t xml:space="preserve">صير في- نجاشي ، احمد بن علي</w:t>
      </w:r>
    </w:p>
    <w:p>
      <w:pPr>
        <w:pStyle w:val="BookText"/>
      </w:pPr>
      <w:r>
        <w:rPr>
          <w:rFonts w:ascii="Amiri" w:hAnsi="Amiri" w:eastAsia="Amiri" w:cs="Amiri"/>
          <w:lang w:bidi="ar-SA"/>
          <w:color w:val="111111"/>
          <w:sz w:val="28"/>
          <w:szCs w:val="28"/>
          <w:rtl/>
        </w:rPr>
        <w:t xml:space="preserve">احمد بن علي بن تمات- واسطي ، احمد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احمد بن علي بن مثني- تميمي ، احمد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احمد بن علي بن مسعود- ابن مسعود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بن مشرف احسائي- احسائي</w:t>
      </w:r>
    </w:p>
    <w:p>
      <w:pPr>
        <w:pStyle w:val="BookText"/>
      </w:pPr>
      <w:r>
        <w:rPr>
          <w:rFonts w:ascii="Amiri" w:hAnsi="Amiri" w:eastAsia="Amiri" w:cs="Amiri"/>
          <w:lang w:bidi="ar-SA"/>
          <w:color w:val="111111"/>
          <w:sz w:val="28"/>
          <w:szCs w:val="28"/>
          <w:rtl/>
        </w:rPr>
        <w:t xml:space="preserve">، احمد بن علي بن مشرف</w:t>
      </w:r>
    </w:p>
    <w:p>
      <w:pPr>
        <w:pStyle w:val="BookText"/>
      </w:pPr>
      <w:r>
        <w:rPr>
          <w:rFonts w:ascii="Amiri" w:hAnsi="Amiri" w:eastAsia="Amiri" w:cs="Amiri"/>
          <w:lang w:bidi="ar-SA"/>
          <w:color w:val="111111"/>
          <w:sz w:val="28"/>
          <w:szCs w:val="28"/>
          <w:rtl/>
        </w:rPr>
        <w:t xml:space="preserve">احمد بن علي بن هلال ربعي- ابن هلال</w:t>
      </w:r>
    </w:p>
    <w:p>
      <w:pPr>
        <w:pStyle w:val="BookText"/>
      </w:pPr>
      <w:r>
        <w:rPr>
          <w:rFonts w:ascii="Amiri" w:hAnsi="Amiri" w:eastAsia="Amiri" w:cs="Amiri"/>
          <w:lang w:bidi="ar-SA"/>
          <w:color w:val="111111"/>
          <w:sz w:val="28"/>
          <w:szCs w:val="28"/>
          <w:rtl/>
        </w:rPr>
        <w:t xml:space="preserve">ربعي ، احمد بن علي</w:t>
      </w:r>
    </w:p>
    <w:p>
      <w:pPr>
        <w:pStyle w:val="BookText"/>
      </w:pPr>
      <w:r>
        <w:rPr>
          <w:rFonts w:ascii="Amiri" w:hAnsi="Amiri" w:eastAsia="Amiri" w:cs="Amiri"/>
          <w:lang w:bidi="ar-SA"/>
          <w:color w:val="111111"/>
          <w:sz w:val="28"/>
          <w:szCs w:val="28"/>
          <w:rtl/>
        </w:rPr>
        <w:t xml:space="preserve">احمد بن علي بن يوسف قرشي بوني- بوني</w:t>
      </w:r>
    </w:p>
    <w:p>
      <w:pPr>
        <w:pStyle w:val="BookText"/>
      </w:pPr>
      <w:r>
        <w:rPr>
          <w:rFonts w:ascii="Amiri" w:hAnsi="Amiri" w:eastAsia="Amiri" w:cs="Amiri"/>
          <w:lang w:bidi="ar-SA"/>
          <w:color w:val="111111"/>
          <w:sz w:val="28"/>
          <w:szCs w:val="28"/>
          <w:rtl/>
        </w:rPr>
        <w:t xml:space="preserve">، احمد بن علي</w:t>
      </w:r>
    </w:p>
    <w:p>
      <w:pPr>
        <w:pStyle w:val="BookText"/>
      </w:pPr>
      <w:r>
        <w:rPr>
          <w:rFonts w:ascii="IRNazanin" w:hAnsi="IRNazanin" w:eastAsia="IRNazanin" w:cs="IRNazanin"/>
          <w:lang w:bidi="fa-IR"/>
          <w:color w:val="111111"/>
          <w:sz w:val="28"/>
          <w:szCs w:val="28"/>
          <w:rtl/>
        </w:rPr>
        <w:t xml:space="preserve">احمد بن علي بيهقي- بيهقي ، احمد بن علی</w:t>
      </w:r>
    </w:p>
    <w:p>
      <w:pPr>
        <w:pStyle w:val="BookText"/>
      </w:pPr>
      <w:r>
        <w:rPr>
          <w:rFonts w:ascii="Amiri" w:hAnsi="Amiri" w:eastAsia="Amiri" w:cs="Amiri"/>
          <w:lang w:bidi="ar-SA"/>
          <w:color w:val="111111"/>
          <w:sz w:val="28"/>
          <w:szCs w:val="28"/>
          <w:rtl/>
        </w:rPr>
        <w:t xml:space="preserve">احمد بن علي التميمي الموصلي- تميمي</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خطيب بغدادي -خطيب</w:t>
      </w:r>
    </w:p>
    <w:p>
      <w:pPr>
        <w:pStyle w:val="BookText"/>
      </w:pPr>
      <w:r>
        <w:rPr>
          <w:rFonts w:ascii="Amiri" w:hAnsi="Amiri" w:eastAsia="Amiri" w:cs="Amiri"/>
          <w:lang w:bidi="ar-SA"/>
          <w:color w:val="111111"/>
          <w:sz w:val="28"/>
          <w:szCs w:val="28"/>
          <w:rtl/>
        </w:rPr>
        <w:t xml:space="preserve">بغدادي ، احمد بن علي</w:t>
      </w:r>
    </w:p>
    <w:p>
      <w:pPr>
        <w:pStyle w:val="BookText"/>
      </w:pPr>
      <w:r>
        <w:rPr>
          <w:rFonts w:ascii="IRNazanin" w:hAnsi="IRNazanin" w:eastAsia="IRNazanin" w:cs="IRNazanin"/>
          <w:lang w:bidi="fa-IR"/>
          <w:color w:val="111111"/>
          <w:sz w:val="28"/>
          <w:szCs w:val="28"/>
          <w:rtl/>
        </w:rPr>
        <w:t xml:space="preserve">احمد بن علي رفاعی-رفاعی احمد بن علي</w:t>
      </w:r>
    </w:p>
    <w:p>
      <w:pPr>
        <w:pStyle w:val="BookText"/>
      </w:pPr>
      <w:r>
        <w:rPr>
          <w:rFonts w:ascii="Amiri" w:hAnsi="Amiri" w:eastAsia="Amiri" w:cs="Amiri"/>
          <w:lang w:bidi="ar-SA"/>
          <w:color w:val="111111"/>
          <w:sz w:val="28"/>
          <w:szCs w:val="28"/>
          <w:rtl/>
        </w:rPr>
        <w:t xml:space="preserve">احمد بن علي سبكي -سبكي ، احمد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احمد بن علي سندوبي -سندوبي ، احمد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احمد بن علي سهارنفوري اسحاقي -</w:t>
      </w:r>
    </w:p>
    <w:p>
      <w:pPr>
        <w:pStyle w:val="BookText"/>
      </w:pPr>
      <w:r>
        <w:rPr>
          <w:rFonts w:ascii="Amiri" w:hAnsi="Amiri" w:eastAsia="Amiri" w:cs="Amiri"/>
          <w:lang w:bidi="ar-SA"/>
          <w:color w:val="111111"/>
          <w:sz w:val="28"/>
          <w:szCs w:val="28"/>
          <w:rtl/>
        </w:rPr>
        <w:t xml:space="preserve">حنفي سهارنفوري ، احمد بن علي</w:t>
      </w:r>
    </w:p>
    <w:p>
      <w:pPr>
        <w:pStyle w:val="BookText"/>
      </w:pPr>
      <w:r>
        <w:rPr>
          <w:rFonts w:ascii="Amiri" w:hAnsi="Amiri" w:eastAsia="Amiri" w:cs="Amiri"/>
          <w:lang w:bidi="ar-SA"/>
          <w:color w:val="111111"/>
          <w:sz w:val="28"/>
          <w:szCs w:val="28"/>
          <w:rtl/>
        </w:rPr>
        <w:t xml:space="preserve">احمد بن علي شناوي- شناوي ، احمد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احمد بن علي صوفي طريثيثي -طريثيثي</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طبرسي-طبرسي ، احمد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احمد بن علي عسقلاني- ابن حجر</w:t>
      </w:r>
    </w:p>
    <w:p>
      <w:pPr>
        <w:pStyle w:val="BookText"/>
      </w:pPr>
      <w:r>
        <w:rPr>
          <w:rFonts w:ascii="Amiri" w:hAnsi="Amiri" w:eastAsia="Amiri" w:cs="Amiri"/>
          <w:lang w:bidi="ar-SA"/>
          <w:color w:val="111111"/>
          <w:sz w:val="28"/>
          <w:szCs w:val="28"/>
          <w:rtl/>
        </w:rPr>
        <w:t xml:space="preserve">عسقلاني ، احمد بن علي</w:t>
      </w:r>
    </w:p>
    <w:p>
      <w:pPr>
        <w:pStyle w:val="BookText"/>
      </w:pPr>
      <w:r>
        <w:rPr>
          <w:rFonts w:ascii="Amiri" w:hAnsi="Amiri" w:eastAsia="Amiri" w:cs="Amiri"/>
          <w:lang w:bidi="ar-SA"/>
          <w:color w:val="111111"/>
          <w:sz w:val="28"/>
          <w:szCs w:val="28"/>
          <w:rtl/>
        </w:rPr>
        <w:t xml:space="preserve">احمد بن علي غساني ابن زبير ، احمد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احمد بن علي قرطبي اندلسي- قرطبي</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قلقشندي- قلقشندي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كاشف الغطاء- آل كاشف</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الغطاء ، احمد بن علي</w:t>
      </w:r>
    </w:p>
    <w:p>
      <w:pPr>
        <w:pStyle w:val="BookText"/>
      </w:pPr>
      <w:r>
        <w:rPr>
          <w:rFonts w:ascii="Amiri" w:hAnsi="Amiri" w:eastAsia="Amiri" w:cs="Amiri"/>
          <w:lang w:bidi="ar-SA"/>
          <w:color w:val="111111"/>
          <w:sz w:val="28"/>
          <w:szCs w:val="28"/>
          <w:rtl/>
        </w:rPr>
        <w:t xml:space="preserve">احمد بن علي محلي مصري- ابن زنبل</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مختار -مختار ، احمد بن</w:t>
      </w:r>
    </w:p>
    <w:p>
      <w:pPr>
        <w:pStyle w:val="BookText"/>
      </w:pPr>
      <w:r>
        <w:rPr>
          <w:rFonts w:ascii="Amiri" w:hAnsi="Amiri" w:eastAsia="Amiri" w:cs="Amiri"/>
          <w:lang w:bidi="ar-SA"/>
          <w:color w:val="111111"/>
          <w:sz w:val="28"/>
          <w:szCs w:val="28"/>
          <w:rtl/>
        </w:rPr>
        <w:t xml:space="preserve">علي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3" w:name="pg7742_69696"/>
    <w:bookmarkEnd w:id="163"/>
    <w:p>
      <w:pPr>
        <w:pStyle w:val="BookText"/>
      </w:pPr>
      <w:r>
        <w:rPr>
          <w:rFonts w:ascii="IRNazanin" w:hAnsi="IRNazanin" w:eastAsia="IRNazanin" w:cs="IRNazanin"/>
          <w:lang w:bidi="fa-IR"/>
          <w:color w:val="111111"/>
          <w:sz w:val="28"/>
          <w:szCs w:val="28"/>
          <w:rtl/>
        </w:rPr>
        <w:t xml:space="preserve">احمد بن علي مختار گلپایگانی - مختار</w:t>
      </w:r>
    </w:p>
    <w:p>
      <w:pPr>
        <w:pStyle w:val="BookText"/>
      </w:pPr>
      <w:r>
        <w:rPr>
          <w:rFonts w:ascii="IRNazanin" w:hAnsi="IRNazanin" w:eastAsia="IRNazanin" w:cs="IRNazanin"/>
          <w:lang w:bidi="fa-IR"/>
          <w:color w:val="111111"/>
          <w:sz w:val="28"/>
          <w:szCs w:val="28"/>
          <w:rtl/>
        </w:rPr>
        <w:t xml:space="preserve">گلپايگاني ، احمد بن علي</w:t>
      </w:r>
    </w:p>
    <w:p>
      <w:pPr>
        <w:pStyle w:val="BookText"/>
      </w:pPr>
      <w:r>
        <w:rPr>
          <w:rFonts w:ascii="Amiri" w:hAnsi="Amiri" w:eastAsia="Amiri" w:cs="Amiri"/>
          <w:lang w:bidi="ar-SA"/>
          <w:color w:val="111111"/>
          <w:sz w:val="28"/>
          <w:szCs w:val="28"/>
          <w:rtl/>
        </w:rPr>
        <w:t xml:space="preserve">علي</w:t>
      </w:r>
    </w:p>
    <w:p>
      <w:pPr>
        <w:pStyle w:val="BookText"/>
      </w:pPr>
      <w:r>
        <w:rPr>
          <w:rFonts w:ascii="IRNazanin" w:hAnsi="IRNazanin" w:eastAsia="IRNazanin" w:cs="IRNazanin"/>
          <w:lang w:bidi="fa-IR"/>
          <w:color w:val="111111"/>
          <w:sz w:val="28"/>
          <w:szCs w:val="28"/>
          <w:rtl/>
        </w:rPr>
        <w:t xml:space="preserve">احمد بن علي مغربي -مغربي ، احمد بن علی</w:t>
      </w:r>
    </w:p>
    <w:p>
      <w:pPr>
        <w:pStyle w:val="BookText"/>
      </w:pPr>
      <w:r>
        <w:rPr>
          <w:rFonts w:ascii="Amiri" w:hAnsi="Amiri" w:eastAsia="Amiri" w:cs="Amiri"/>
          <w:lang w:bidi="ar-SA"/>
          <w:color w:val="111111"/>
          <w:sz w:val="28"/>
          <w:szCs w:val="28"/>
          <w:rtl/>
        </w:rPr>
        <w:t xml:space="preserve">احمد بن علي مقريزي عبيدي- مقريزي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علي ميورقي طائفي عبدري</w:t>
      </w:r>
    </w:p>
    <w:p>
      <w:pPr>
        <w:pStyle w:val="BookText"/>
      </w:pPr>
      <w:r>
        <w:rPr>
          <w:rFonts w:ascii="Amiri" w:hAnsi="Amiri" w:eastAsia="Amiri" w:cs="Amiri"/>
          <w:lang w:bidi="ar-SA"/>
          <w:color w:val="111111"/>
          <w:sz w:val="28"/>
          <w:szCs w:val="28"/>
          <w:rtl/>
        </w:rPr>
        <w:t xml:space="preserve">وجي- عبدري ، احمد بن علي</w:t>
      </w:r>
    </w:p>
    <w:p>
      <w:pPr>
        <w:pStyle w:val="BookText"/>
      </w:pPr>
      <w:r>
        <w:rPr>
          <w:rFonts w:ascii="IRNazanin" w:hAnsi="IRNazanin" w:eastAsia="IRNazanin" w:cs="IRNazanin"/>
          <w:lang w:bidi="fa-IR"/>
          <w:color w:val="111111"/>
          <w:sz w:val="28"/>
          <w:szCs w:val="28"/>
          <w:rtl/>
        </w:rPr>
        <w:t xml:space="preserve">احمد بن علي نجاشي- نجاشي ، احمد بن علی</w:t>
      </w:r>
    </w:p>
    <w:p>
      <w:pPr>
        <w:pStyle w:val="BookText"/>
      </w:pPr>
      <w:r>
        <w:rPr>
          <w:rFonts w:ascii="Amiri" w:hAnsi="Amiri" w:eastAsia="Amiri" w:cs="Amiri"/>
          <w:lang w:bidi="ar-SA"/>
          <w:color w:val="111111"/>
          <w:sz w:val="28"/>
          <w:szCs w:val="28"/>
          <w:rtl/>
        </w:rPr>
        <w:t xml:space="preserve">احمد بن علي نظام سمرقندي- نظام</w:t>
      </w:r>
    </w:p>
    <w:p>
      <w:pPr>
        <w:pStyle w:val="BookText"/>
      </w:pPr>
      <w:r>
        <w:rPr>
          <w:rFonts w:ascii="Amiri" w:hAnsi="Amiri" w:eastAsia="Amiri" w:cs="Amiri"/>
          <w:lang w:bidi="ar-SA"/>
          <w:color w:val="111111"/>
          <w:sz w:val="28"/>
          <w:szCs w:val="28"/>
          <w:rtl/>
        </w:rPr>
        <w:t xml:space="preserve">سمرقندي، احمد بن علي</w:t>
      </w:r>
    </w:p>
    <w:p>
      <w:pPr>
        <w:pStyle w:val="BookText"/>
      </w:pPr>
      <w:r>
        <w:rPr>
          <w:rFonts w:ascii="Amiri" w:hAnsi="Amiri" w:eastAsia="Amiri" w:cs="Amiri"/>
          <w:lang w:bidi="ar-SA"/>
          <w:color w:val="111111"/>
          <w:sz w:val="28"/>
          <w:szCs w:val="28"/>
          <w:rtl/>
        </w:rPr>
        <w:t xml:space="preserve">احمد بن علي نوبي -نوبي ، احمد بن علي</w:t>
      </w:r>
    </w:p>
    <w:p>
      <w:pPr>
        <w:pStyle w:val="BookText"/>
      </w:pPr>
      <w:r>
        <w:rPr>
          <w:rFonts w:ascii="Amiri" w:hAnsi="Amiri" w:eastAsia="Amiri" w:cs="Amiri"/>
          <w:lang w:bidi="ar-SA"/>
          <w:color w:val="111111"/>
          <w:sz w:val="28"/>
          <w:szCs w:val="28"/>
          <w:rtl/>
        </w:rPr>
        <w:t xml:space="preserve">احمد بن عماد اقفهسي -اقفهسي ، احمد</w:t>
      </w:r>
    </w:p>
    <w:p>
      <w:pPr>
        <w:pStyle w:val="BookText"/>
      </w:pPr>
      <w:r>
        <w:rPr>
          <w:rFonts w:ascii="IRNazanin" w:hAnsi="IRNazanin" w:eastAsia="IRNazanin" w:cs="IRNazanin"/>
          <w:lang w:bidi="fa-IR"/>
          <w:color w:val="111111"/>
          <w:sz w:val="28"/>
          <w:szCs w:val="28"/>
          <w:rtl/>
        </w:rPr>
        <w:t xml:space="preserve">بن عماد</w:t>
      </w:r>
    </w:p>
    <w:p>
      <w:pPr>
        <w:pStyle w:val="BookText"/>
      </w:pPr>
      <w:r>
        <w:rPr>
          <w:rFonts w:ascii="Amiri" w:hAnsi="Amiri" w:eastAsia="Amiri" w:cs="Amiri"/>
          <w:lang w:bidi="ar-SA"/>
          <w:color w:val="111111"/>
          <w:sz w:val="28"/>
          <w:szCs w:val="28"/>
          <w:rtl/>
        </w:rPr>
        <w:t xml:space="preserve">احمد بن عمر نظامي -نظامي ، احمد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احمد بن عماد السراجي - سراجي ، احمد</w:t>
      </w:r>
    </w:p>
    <w:p>
      <w:pPr>
        <w:pStyle w:val="BookText"/>
      </w:pPr>
      <w:r>
        <w:rPr>
          <w:rFonts w:ascii="IRNazanin" w:hAnsi="IRNazanin" w:eastAsia="IRNazanin" w:cs="IRNazanin"/>
          <w:lang w:bidi="fa-IR"/>
          <w:color w:val="111111"/>
          <w:sz w:val="28"/>
          <w:szCs w:val="28"/>
          <w:rtl/>
        </w:rPr>
        <w:t xml:space="preserve">بن عماد</w:t>
      </w:r>
    </w:p>
    <w:p>
      <w:pPr>
        <w:pStyle w:val="BookText"/>
      </w:pPr>
      <w:r>
        <w:rPr>
          <w:rFonts w:ascii="Amiri" w:hAnsi="Amiri" w:eastAsia="Amiri" w:cs="Amiri"/>
          <w:lang w:bidi="ar-SA"/>
          <w:color w:val="111111"/>
          <w:sz w:val="28"/>
          <w:szCs w:val="28"/>
          <w:rtl/>
        </w:rPr>
        <w:t xml:space="preserve">احمد بن عمر اسكندراني- اسكندراني .</w:t>
      </w:r>
    </w:p>
    <w:p>
      <w:pPr>
        <w:pStyle w:val="BookText"/>
      </w:pPr>
      <w:r>
        <w:rPr>
          <w:rFonts w:ascii="IRNazanin" w:hAnsi="IRNazanin" w:eastAsia="IRNazanin" w:cs="IRNazanin"/>
          <w:lang w:bidi="fa-IR"/>
          <w:color w:val="111111"/>
          <w:sz w:val="28"/>
          <w:szCs w:val="28"/>
          <w:rtl/>
        </w:rPr>
        <w:t xml:space="preserve">احمد بن عمر</w:t>
      </w:r>
    </w:p>
    <w:p>
      <w:pPr>
        <w:pStyle w:val="BookText"/>
      </w:pPr>
      <w:r>
        <w:rPr>
          <w:rFonts w:ascii="Amiri" w:hAnsi="Amiri" w:eastAsia="Amiri" w:cs="Amiri"/>
          <w:lang w:bidi="ar-SA"/>
          <w:color w:val="111111"/>
          <w:sz w:val="28"/>
          <w:szCs w:val="28"/>
          <w:rtl/>
        </w:rPr>
        <w:t xml:space="preserve">احمد بن عمر بن ابي العاصم -ابن ابي</w:t>
      </w:r>
    </w:p>
    <w:p>
      <w:pPr>
        <w:pStyle w:val="BookText"/>
      </w:pPr>
      <w:r>
        <w:rPr>
          <w:rFonts w:ascii="IRNazanin" w:hAnsi="IRNazanin" w:eastAsia="IRNazanin" w:cs="IRNazanin"/>
          <w:lang w:bidi="fa-IR"/>
          <w:color w:val="111111"/>
          <w:sz w:val="28"/>
          <w:szCs w:val="28"/>
          <w:rtl/>
        </w:rPr>
        <w:t xml:space="preserve">العاصم ، احمد بن عمر</w:t>
      </w:r>
    </w:p>
    <w:p>
      <w:pPr>
        <w:pStyle w:val="Heading2"/>
      </w:pPr>
      <w:bookmarkStart w:id="1998" w:name="_Toc1100"/>
      <w:r>
        <w:t>احمد بن عمر بن علي قرن 10 ه-</w:t>
      </w:r>
      <w:bookmarkEnd w:id="1998"/>
    </w:p>
    <w:p>
      <w:pPr>
        <w:pStyle w:val="BookText"/>
      </w:pPr>
      <w:r>
        <w:rPr>
          <w:rFonts w:ascii="Amiri" w:hAnsi="Amiri" w:eastAsia="Amiri" w:cs="Amiri"/>
          <w:lang w:bidi="ar-SA"/>
          <w:color w:val="111111"/>
          <w:sz w:val="28"/>
          <w:szCs w:val="28"/>
          <w:rtl/>
        </w:rPr>
        <w:t xml:space="preserve">ممد العابدين، ج 15، ص 470 .</w:t>
      </w:r>
    </w:p>
    <w:p>
      <w:pPr>
        <w:pStyle w:val="BookText"/>
      </w:pPr>
      <w:r>
        <w:rPr>
          <w:rFonts w:ascii="Amiri" w:hAnsi="Amiri" w:eastAsia="Amiri" w:cs="Amiri"/>
          <w:lang w:bidi="ar-SA"/>
          <w:color w:val="111111"/>
          <w:sz w:val="28"/>
          <w:szCs w:val="28"/>
          <w:rtl/>
        </w:rPr>
        <w:t xml:space="preserve">احمد بن عمر جندي- جندي ، احمد بن عمر</w:t>
      </w:r>
    </w:p>
    <w:p>
      <w:pPr>
        <w:pStyle w:val="BookText"/>
      </w:pPr>
      <w:r>
        <w:rPr>
          <w:rFonts w:ascii="Amiri" w:hAnsi="Amiri" w:eastAsia="Amiri" w:cs="Amiri"/>
          <w:lang w:bidi="ar-SA"/>
          <w:color w:val="111111"/>
          <w:sz w:val="28"/>
          <w:szCs w:val="28"/>
          <w:rtl/>
        </w:rPr>
        <w:t xml:space="preserve">احمد بن عمر حمامي علواني - حمامي</w:t>
      </w:r>
    </w:p>
    <w:p>
      <w:pPr>
        <w:pStyle w:val="BookText"/>
      </w:pPr>
      <w:r>
        <w:rPr>
          <w:rFonts w:ascii="IRNazanin" w:hAnsi="IRNazanin" w:eastAsia="IRNazanin" w:cs="IRNazanin"/>
          <w:lang w:bidi="fa-IR"/>
          <w:color w:val="111111"/>
          <w:sz w:val="28"/>
          <w:szCs w:val="28"/>
          <w:rtl/>
        </w:rPr>
        <w:t xml:space="preserve">احمد بن عمر</w:t>
      </w:r>
    </w:p>
    <w:p>
      <w:pPr>
        <w:pStyle w:val="BookText"/>
      </w:pPr>
      <w:r>
        <w:rPr>
          <w:rFonts w:ascii="Amiri" w:hAnsi="Amiri" w:eastAsia="Amiri" w:cs="Amiri"/>
          <w:lang w:bidi="ar-SA"/>
          <w:color w:val="111111"/>
          <w:sz w:val="28"/>
          <w:szCs w:val="28"/>
          <w:rtl/>
        </w:rPr>
        <w:t xml:space="preserve">احمد بن عمر خيوقي خوارزمي -نجم</w:t>
      </w:r>
    </w:p>
    <w:p>
      <w:pPr>
        <w:pStyle w:val="BookText"/>
      </w:pPr>
      <w:r>
        <w:rPr>
          <w:rFonts w:ascii="IRNazanin" w:hAnsi="IRNazanin" w:eastAsia="IRNazanin" w:cs="IRNazanin"/>
          <w:lang w:bidi="fa-IR"/>
          <w:color w:val="111111"/>
          <w:sz w:val="28"/>
          <w:szCs w:val="28"/>
          <w:rtl/>
        </w:rPr>
        <w:t xml:space="preserve">الدین کبری، احمد بن عمر</w:t>
      </w:r>
    </w:p>
    <w:p>
      <w:pPr>
        <w:pStyle w:val="BookText"/>
      </w:pPr>
      <w:r>
        <w:rPr>
          <w:rFonts w:ascii="Amiri" w:hAnsi="Amiri" w:eastAsia="Amiri" w:cs="Amiri"/>
          <w:lang w:bidi="ar-SA"/>
          <w:color w:val="111111"/>
          <w:sz w:val="28"/>
          <w:szCs w:val="28"/>
          <w:rtl/>
        </w:rPr>
        <w:t xml:space="preserve">احمد بن عمر ديربي -ديربي ، احمد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احمد بن عمر زبيدي- زبيدي ، احمد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احمد بن عمر شيباني -شيباني ، احمد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احمد بن عمر (قرطبي )- قرطبي ، احمد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احمد بن عمر مدلجي نشائي نشائي</w:t>
      </w:r>
    </w:p>
    <w:p>
      <w:pPr>
        <w:pStyle w:val="BookText"/>
      </w:pPr>
      <w:r>
        <w:rPr>
          <w:rFonts w:ascii="IRNazanin" w:hAnsi="IRNazanin" w:eastAsia="IRNazanin" w:cs="IRNazanin"/>
          <w:lang w:bidi="fa-IR"/>
          <w:color w:val="111111"/>
          <w:sz w:val="28"/>
          <w:szCs w:val="28"/>
          <w:rtl/>
        </w:rPr>
        <w:t xml:space="preserve">احمد بن عمر</w:t>
      </w:r>
    </w:p>
    <w:p>
      <w:pPr>
        <w:pStyle w:val="BookText"/>
      </w:pPr>
      <w:r>
        <w:rPr>
          <w:rFonts w:ascii="Amiri" w:hAnsi="Amiri" w:eastAsia="Amiri" w:cs="Amiri"/>
          <w:lang w:bidi="ar-SA"/>
          <w:color w:val="111111"/>
          <w:sz w:val="28"/>
          <w:szCs w:val="28"/>
          <w:rtl/>
        </w:rPr>
        <w:t xml:space="preserve">احمد بن عمرو ابو عمرو نجاشي نجاشي</w:t>
      </w:r>
    </w:p>
    <w:p>
      <w:pPr>
        <w:pStyle w:val="BookText"/>
      </w:pPr>
      <w:r>
        <w:rPr>
          <w:rFonts w:ascii="Amiri" w:hAnsi="Amiri" w:eastAsia="Amiri" w:cs="Amiri"/>
          <w:lang w:bidi="ar-SA"/>
          <w:color w:val="111111"/>
          <w:sz w:val="28"/>
          <w:szCs w:val="28"/>
          <w:rtl/>
        </w:rPr>
        <w:t xml:space="preserve">احمد بن علي احمد بن عمرو بزاز -بزاز ، احمد بن</w:t>
      </w:r>
    </w:p>
    <w:p>
      <w:pPr>
        <w:pStyle w:val="BookText"/>
      </w:pPr>
      <w:r>
        <w:rPr>
          <w:rFonts w:ascii="IRNazanin" w:hAnsi="IRNazanin" w:eastAsia="IRNazanin" w:cs="IRNazanin"/>
          <w:lang w:bidi="fa-IR"/>
          <w:color w:val="111111"/>
          <w:sz w:val="28"/>
          <w:szCs w:val="28"/>
          <w:rtl/>
        </w:rPr>
        <w:t xml:space="preserve">عمرو</w:t>
      </w:r>
    </w:p>
    <w:p>
      <w:pPr>
        <w:pStyle w:val="BookText"/>
      </w:pPr>
      <w:r>
        <w:rPr>
          <w:rFonts w:ascii="Amiri" w:hAnsi="Amiri" w:eastAsia="Amiri" w:cs="Amiri"/>
          <w:lang w:bidi="ar-SA"/>
          <w:color w:val="111111"/>
          <w:sz w:val="28"/>
          <w:szCs w:val="28"/>
          <w:rtl/>
        </w:rPr>
        <w:t xml:space="preserve">احمد بن عمرو ضحاك شيباني- ابن ابي</w:t>
      </w:r>
    </w:p>
    <w:p>
      <w:pPr>
        <w:pStyle w:val="BookText"/>
      </w:pPr>
      <w:r>
        <w:rPr>
          <w:rFonts w:ascii="IRNazanin" w:hAnsi="IRNazanin" w:eastAsia="IRNazanin" w:cs="IRNazanin"/>
          <w:lang w:bidi="fa-IR"/>
          <w:color w:val="111111"/>
          <w:sz w:val="28"/>
          <w:szCs w:val="28"/>
          <w:rtl/>
        </w:rPr>
        <w:t xml:space="preserve">عاصم ، احمد بن عمرو</w:t>
      </w:r>
    </w:p>
    <w:p>
      <w:pPr>
        <w:pStyle w:val="BookText"/>
      </w:pPr>
      <w:r>
        <w:rPr>
          <w:rFonts w:ascii="Amiri" w:hAnsi="Amiri" w:eastAsia="Amiri" w:cs="Amiri"/>
          <w:lang w:bidi="ar-SA"/>
          <w:color w:val="111111"/>
          <w:sz w:val="28"/>
          <w:szCs w:val="28"/>
          <w:rtl/>
        </w:rPr>
        <w:t xml:space="preserve">احمد بن عوض مغربي -مغربي ، احمد بن</w:t>
      </w:r>
    </w:p>
    <w:p>
      <w:pPr>
        <w:pStyle w:val="BookText"/>
      </w:pPr>
      <w:r>
        <w:rPr>
          <w:rFonts w:ascii="IRNazanin" w:hAnsi="IRNazanin" w:eastAsia="IRNazanin" w:cs="IRNazanin"/>
          <w:lang w:bidi="fa-IR"/>
          <w:color w:val="111111"/>
          <w:sz w:val="28"/>
          <w:szCs w:val="28"/>
          <w:rtl/>
        </w:rPr>
        <w:t xml:space="preserve">عوض</w:t>
      </w:r>
    </w:p>
    <w:p>
      <w:pPr>
        <w:pStyle w:val="BookText"/>
      </w:pPr>
      <w:r>
        <w:rPr>
          <w:rFonts w:ascii="Amiri" w:hAnsi="Amiri" w:eastAsia="Amiri" w:cs="Amiri"/>
          <w:lang w:bidi="ar-SA"/>
          <w:color w:val="111111"/>
          <w:sz w:val="28"/>
          <w:szCs w:val="28"/>
          <w:rtl/>
        </w:rPr>
        <w:t xml:space="preserve">احمد بن عيسى اشعري- قمي اشعري ،</w:t>
      </w:r>
    </w:p>
    <w:p>
      <w:pPr>
        <w:pStyle w:val="BookText"/>
      </w:pPr>
      <w:r>
        <w:rPr>
          <w:rFonts w:ascii="Amiri" w:hAnsi="Amiri" w:eastAsia="Amiri" w:cs="Amiri"/>
          <w:lang w:bidi="ar-SA"/>
          <w:color w:val="111111"/>
          <w:sz w:val="28"/>
          <w:szCs w:val="28"/>
          <w:rtl/>
        </w:rPr>
        <w:t xml:space="preserve">احمد بن عيسى</w:t>
      </w:r>
    </w:p>
    <w:p>
      <w:pPr>
        <w:pStyle w:val="BookText"/>
      </w:pPr>
      <w:r>
        <w:rPr>
          <w:rFonts w:ascii="Amiri" w:hAnsi="Amiri" w:eastAsia="Amiri" w:cs="Amiri"/>
          <w:lang w:bidi="ar-SA"/>
          <w:color w:val="111111"/>
          <w:sz w:val="28"/>
          <w:szCs w:val="28"/>
          <w:rtl/>
        </w:rPr>
        <w:t xml:space="preserve">احمد بن عيسى فاسي -فاسي ، احمد بن</w:t>
      </w:r>
    </w:p>
    <w:p>
      <w:pPr>
        <w:pStyle w:val="BookText"/>
      </w:pPr>
      <w:r>
        <w:rPr>
          <w:rFonts w:ascii="Amiri" w:hAnsi="Amiri" w:eastAsia="Amiri" w:cs="Amiri"/>
          <w:lang w:bidi="ar-SA"/>
          <w:color w:val="111111"/>
          <w:sz w:val="28"/>
          <w:szCs w:val="28"/>
          <w:rtl/>
        </w:rPr>
        <w:t xml:space="preserve">عيسى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غلام الله ريشي -ريشي ، احمد</w:t>
      </w:r>
    </w:p>
    <w:p>
      <w:pPr>
        <w:pStyle w:val="BookText"/>
      </w:pPr>
      <w:r>
        <w:rPr>
          <w:rFonts w:ascii="IRNazanin" w:hAnsi="IRNazanin" w:eastAsia="IRNazanin" w:cs="IRNazanin"/>
          <w:lang w:bidi="fa-IR"/>
          <w:color w:val="111111"/>
          <w:sz w:val="28"/>
          <w:szCs w:val="28"/>
          <w:rtl/>
        </w:rPr>
        <w:t xml:space="preserve">بن غلام</w:t>
      </w:r>
    </w:p>
    <w:p>
      <w:pPr>
        <w:pStyle w:val="BookText"/>
      </w:pPr>
      <w:r>
        <w:rPr>
          <w:rFonts w:ascii="Amiri" w:hAnsi="Amiri" w:eastAsia="Amiri" w:cs="Amiri"/>
          <w:lang w:bidi="ar-SA"/>
          <w:color w:val="111111"/>
          <w:sz w:val="28"/>
          <w:szCs w:val="28"/>
          <w:rtl/>
        </w:rPr>
        <w:t xml:space="preserve">احمد بن غنيم نفراوي - نفراوي ، احمد</w:t>
      </w:r>
    </w:p>
    <w:p>
      <w:pPr>
        <w:pStyle w:val="BookText"/>
      </w:pPr>
      <w:r>
        <w:rPr>
          <w:rFonts w:ascii="IRNazanin" w:hAnsi="IRNazanin" w:eastAsia="IRNazanin" w:cs="IRNazanin"/>
          <w:lang w:bidi="fa-IR"/>
          <w:color w:val="111111"/>
          <w:sz w:val="28"/>
          <w:szCs w:val="28"/>
          <w:rtl/>
        </w:rPr>
        <w:t xml:space="preserve">بن غنیم احمد بن فارس قزويني -رازي ، احمد بن</w:t>
      </w:r>
    </w:p>
    <w:p>
      <w:pPr>
        <w:pStyle w:val="BookText"/>
      </w:pPr>
      <w:r>
        <w:rPr>
          <w:rFonts w:ascii="IRNazanin" w:hAnsi="IRNazanin" w:eastAsia="IRNazanin" w:cs="IRNazanin"/>
          <w:lang w:bidi="fa-IR"/>
          <w:color w:val="111111"/>
          <w:sz w:val="28"/>
          <w:szCs w:val="28"/>
          <w:rtl/>
        </w:rPr>
        <w:t xml:space="preserve">فارس</w:t>
      </w:r>
    </w:p>
    <w:p>
      <w:pPr>
        <w:pStyle w:val="BookText"/>
      </w:pPr>
      <w:r>
        <w:rPr>
          <w:rFonts w:ascii="Amiri" w:hAnsi="Amiri" w:eastAsia="Amiri" w:cs="Amiri"/>
          <w:lang w:bidi="ar-SA"/>
          <w:color w:val="111111"/>
          <w:sz w:val="28"/>
          <w:szCs w:val="28"/>
          <w:rtl/>
        </w:rPr>
        <w:t xml:space="preserve">احمد بن فرح لخمي اشبيلي- اشبيلي</w:t>
      </w:r>
    </w:p>
    <w:p>
      <w:pPr>
        <w:pStyle w:val="BookText"/>
      </w:pPr>
      <w:r>
        <w:rPr>
          <w:rFonts w:ascii="IRNazanin" w:hAnsi="IRNazanin" w:eastAsia="IRNazanin" w:cs="IRNazanin"/>
          <w:lang w:bidi="fa-IR"/>
          <w:color w:val="111111"/>
          <w:sz w:val="28"/>
          <w:szCs w:val="28"/>
          <w:rtl/>
        </w:rPr>
        <w:t xml:space="preserve">احمد بن فرح</w:t>
      </w:r>
    </w:p>
    <w:p>
      <w:pPr>
        <w:pStyle w:val="BookText"/>
      </w:pPr>
      <w:r>
        <w:rPr>
          <w:rFonts w:ascii="Amiri" w:hAnsi="Amiri" w:eastAsia="Amiri" w:cs="Amiri"/>
          <w:lang w:bidi="ar-SA"/>
          <w:color w:val="111111"/>
          <w:sz w:val="28"/>
          <w:szCs w:val="28"/>
          <w:rtl/>
        </w:rPr>
        <w:t xml:space="preserve">احمد بن فضل باكثير- باكثير ، احمد بن</w:t>
      </w:r>
    </w:p>
    <w:p>
      <w:pPr>
        <w:pStyle w:val="BookText"/>
      </w:pPr>
      <w:r>
        <w:rPr>
          <w:rFonts w:ascii="IRNazanin" w:hAnsi="IRNazanin" w:eastAsia="IRNazanin" w:cs="IRNazanin"/>
          <w:lang w:bidi="fa-IR"/>
          <w:color w:val="111111"/>
          <w:sz w:val="28"/>
          <w:szCs w:val="28"/>
          <w:rtl/>
        </w:rPr>
        <w:t xml:space="preserve">فضل</w:t>
      </w:r>
    </w:p>
    <w:p>
      <w:pPr>
        <w:pStyle w:val="BookText"/>
      </w:pPr>
      <w:r>
        <w:rPr>
          <w:rFonts w:ascii="IRNazanin" w:hAnsi="IRNazanin" w:eastAsia="IRNazanin" w:cs="IRNazanin"/>
          <w:lang w:bidi="fa-IR"/>
          <w:color w:val="111111"/>
          <w:sz w:val="28"/>
          <w:szCs w:val="28"/>
          <w:rtl/>
        </w:rPr>
        <w:t xml:space="preserve">احمد بن فضل بن محمد</w:t>
      </w:r>
    </w:p>
    <w:p>
      <w:pPr>
        <w:pStyle w:val="BookText"/>
      </w:pPr>
      <w:r>
        <w:rPr>
          <w:rFonts w:ascii="Amiri" w:hAnsi="Amiri" w:eastAsia="Amiri" w:cs="Amiri"/>
          <w:lang w:bidi="ar-SA"/>
          <w:color w:val="111111"/>
          <w:sz w:val="28"/>
          <w:szCs w:val="28"/>
          <w:rtl/>
        </w:rPr>
        <w:t xml:space="preserve">با طرقاني - باطرقاني ، احمد بن فضل</w:t>
      </w:r>
    </w:p>
    <w:p>
      <w:pPr>
        <w:pStyle w:val="BookText"/>
      </w:pPr>
      <w:r>
        <w:rPr>
          <w:rFonts w:ascii="Amiri" w:hAnsi="Amiri" w:eastAsia="Amiri" w:cs="Amiri"/>
          <w:lang w:bidi="ar-SA"/>
          <w:color w:val="111111"/>
          <w:sz w:val="28"/>
          <w:szCs w:val="28"/>
          <w:rtl/>
        </w:rPr>
        <w:t xml:space="preserve">احمد بن فهد احسائي مقري- احسائي ،</w:t>
      </w:r>
    </w:p>
    <w:p>
      <w:pPr>
        <w:pStyle w:val="BookText"/>
      </w:pPr>
      <w:r>
        <w:rPr>
          <w:rFonts w:ascii="IRNazanin" w:hAnsi="IRNazanin" w:eastAsia="IRNazanin" w:cs="IRNazanin"/>
          <w:lang w:bidi="fa-IR"/>
          <w:color w:val="111111"/>
          <w:sz w:val="28"/>
          <w:szCs w:val="28"/>
          <w:rtl/>
        </w:rPr>
        <w:t xml:space="preserve">احمد بن فهد</w:t>
      </w:r>
    </w:p>
    <w:p>
      <w:pPr>
        <w:pStyle w:val="BookText"/>
      </w:pPr>
      <w:r>
        <w:rPr>
          <w:rFonts w:ascii="Amiri" w:hAnsi="Amiri" w:eastAsia="Amiri" w:cs="Amiri"/>
          <w:lang w:bidi="ar-SA"/>
          <w:color w:val="111111"/>
          <w:sz w:val="28"/>
          <w:szCs w:val="28"/>
          <w:rtl/>
        </w:rPr>
        <w:t xml:space="preserve">احمد بن قاسم خزرجي- ابن ابي اصيبعه ، احمد بن قاسم</w:t>
      </w:r>
    </w:p>
    <w:p>
      <w:pPr>
        <w:pStyle w:val="BookText"/>
      </w:pPr>
      <w:r>
        <w:rPr>
          <w:rFonts w:ascii="Amiri" w:hAnsi="Amiri" w:eastAsia="Amiri" w:cs="Amiri"/>
          <w:lang w:bidi="ar-SA"/>
          <w:color w:val="111111"/>
          <w:sz w:val="28"/>
          <w:szCs w:val="28"/>
          <w:rtl/>
        </w:rPr>
        <w:t xml:space="preserve">احمد بن قاسم قاهري عبادي- عبادي ،</w:t>
      </w:r>
    </w:p>
    <w:p>
      <w:pPr>
        <w:pStyle w:val="BookText"/>
      </w:pPr>
      <w:r>
        <w:rPr>
          <w:rFonts w:ascii="Amiri" w:hAnsi="Amiri" w:eastAsia="Amiri" w:cs="Amiri"/>
          <w:lang w:bidi="ar-SA"/>
          <w:color w:val="111111"/>
          <w:sz w:val="28"/>
          <w:szCs w:val="28"/>
          <w:rtl/>
        </w:rPr>
        <w:t xml:space="preserve">احمد بن قاسم احمد بن قاسم مصري -مصري ، احمد بن</w:t>
      </w:r>
    </w:p>
    <w:p>
      <w:pPr>
        <w:pStyle w:val="BookText"/>
      </w:pPr>
      <w:r>
        <w:rPr>
          <w:rFonts w:ascii="IRNazanin" w:hAnsi="IRNazanin" w:eastAsia="IRNazanin" w:cs="IRNazanin"/>
          <w:lang w:bidi="fa-IR"/>
          <w:color w:val="111111"/>
          <w:sz w:val="28"/>
          <w:szCs w:val="28"/>
          <w:rtl/>
        </w:rPr>
        <w:t xml:space="preserve">قاسم</w:t>
      </w:r>
    </w:p>
    <w:p>
      <w:pPr>
        <w:pStyle w:val="BookText"/>
      </w:pPr>
      <w:r>
        <w:rPr>
          <w:rFonts w:ascii="Amiri" w:hAnsi="Amiri" w:eastAsia="Amiri" w:cs="Amiri"/>
          <w:lang w:bidi="ar-SA"/>
          <w:color w:val="111111"/>
          <w:sz w:val="28"/>
          <w:szCs w:val="28"/>
          <w:rtl/>
        </w:rPr>
        <w:t xml:space="preserve">احمد بن كاظم حسيني رشتي -حسيني</w:t>
      </w:r>
    </w:p>
    <w:p>
      <w:pPr>
        <w:pStyle w:val="BookText"/>
      </w:pPr>
      <w:r>
        <w:rPr>
          <w:rFonts w:ascii="Amiri" w:hAnsi="Amiri" w:eastAsia="Amiri" w:cs="Amiri"/>
          <w:lang w:bidi="ar-SA"/>
          <w:color w:val="111111"/>
          <w:sz w:val="28"/>
          <w:szCs w:val="28"/>
          <w:rtl/>
        </w:rPr>
        <w:t xml:space="preserve">رشتي ، احمد بن كاظم</w:t>
      </w:r>
    </w:p>
    <w:p>
      <w:pPr>
        <w:pStyle w:val="BookText"/>
      </w:pPr>
      <w:r>
        <w:rPr>
          <w:rFonts w:ascii="Amiri" w:hAnsi="Amiri" w:eastAsia="Amiri" w:cs="Amiri"/>
          <w:lang w:bidi="ar-SA"/>
          <w:color w:val="111111"/>
          <w:sz w:val="28"/>
          <w:szCs w:val="28"/>
          <w:rtl/>
        </w:rPr>
        <w:t xml:space="preserve">احمد بن ماجد نجدي -ابن ماجد ، احمد</w:t>
      </w:r>
    </w:p>
    <w:p>
      <w:pPr>
        <w:pStyle w:val="BookText"/>
      </w:pPr>
      <w:r>
        <w:rPr>
          <w:rFonts w:ascii="Amiri" w:hAnsi="Amiri" w:eastAsia="Amiri" w:cs="Amiri"/>
          <w:lang w:bidi="ar-SA"/>
          <w:color w:val="111111"/>
          <w:sz w:val="28"/>
          <w:szCs w:val="28"/>
          <w:rtl/>
        </w:rPr>
        <w:t xml:space="preserve">بن ماجد احمد بن مبارك السجلماسي - سجلماسي ،</w:t>
      </w:r>
    </w:p>
    <w:p>
      <w:pPr>
        <w:pStyle w:val="BookText"/>
      </w:pPr>
      <w:r>
        <w:rPr>
          <w:rFonts w:ascii="Amiri" w:hAnsi="Amiri" w:eastAsia="Amiri" w:cs="Amiri"/>
          <w:lang w:bidi="ar-SA"/>
          <w:color w:val="111111"/>
          <w:sz w:val="28"/>
          <w:szCs w:val="28"/>
          <w:rtl/>
        </w:rPr>
        <w:t xml:space="preserve">احمد بن مبارك احمد بن مجدي- ابن مجدي ، احمد بن</w:t>
      </w:r>
    </w:p>
    <w:p>
      <w:pPr>
        <w:pStyle w:val="BookText"/>
      </w:pPr>
      <w:r>
        <w:rPr>
          <w:rFonts w:ascii="IRNazanin" w:hAnsi="IRNazanin" w:eastAsia="IRNazanin" w:cs="IRNazanin"/>
          <w:lang w:bidi="fa-IR"/>
          <w:color w:val="111111"/>
          <w:sz w:val="28"/>
          <w:szCs w:val="28"/>
          <w:rtl/>
        </w:rPr>
        <w:t xml:space="preserve">رجب</w:t>
      </w:r>
    </w:p>
    <w:p>
      <w:pPr>
        <w:pStyle w:val="BookText"/>
      </w:pPr>
      <w:r>
        <w:rPr>
          <w:rFonts w:ascii="Amiri" w:hAnsi="Amiri" w:eastAsia="Amiri" w:cs="Amiri"/>
          <w:lang w:bidi="ar-SA"/>
          <w:color w:val="111111"/>
          <w:sz w:val="28"/>
          <w:szCs w:val="28"/>
          <w:rtl/>
        </w:rPr>
        <w:t xml:space="preserve">احمد بن محمّد( ابن ابي الاشعث) -ابن</w:t>
      </w:r>
    </w:p>
    <w:p>
      <w:pPr>
        <w:pStyle w:val="BookText"/>
      </w:pPr>
      <w:r>
        <w:rPr>
          <w:rFonts w:ascii="Amiri" w:hAnsi="Amiri" w:eastAsia="Amiri" w:cs="Amiri"/>
          <w:lang w:bidi="ar-SA"/>
          <w:color w:val="111111"/>
          <w:sz w:val="28"/>
          <w:szCs w:val="28"/>
          <w:rtl/>
        </w:rPr>
        <w:t xml:space="preserve">ابي الاشعث، احمد بن محمد</w:t>
      </w:r>
    </w:p>
    <w:p>
      <w:pPr>
        <w:pStyle w:val="BookText"/>
      </w:pPr>
      <w:r>
        <w:rPr>
          <w:rFonts w:ascii="IRNazanin" w:hAnsi="IRNazanin" w:eastAsia="IRNazanin" w:cs="IRNazanin"/>
          <w:lang w:bidi="fa-IR"/>
          <w:color w:val="111111"/>
          <w:sz w:val="28"/>
          <w:szCs w:val="28"/>
          <w:rtl/>
        </w:rPr>
        <w:t xml:space="preserve">احمد بن محمّد ا(بن شحنه)- ابن شحنه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(ابن فليته)- ابن فليته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بن محمّد ابذي- آبذي ،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احمد بن محمّد ابن مسکویه- ابن</w:t>
      </w:r>
    </w:p>
    <w:p>
      <w:pPr>
        <w:pStyle w:val="BookText"/>
      </w:pPr>
      <w:r>
        <w:rPr>
          <w:rFonts w:ascii="Amiri" w:hAnsi="Amiri" w:eastAsia="Amiri" w:cs="Amiri"/>
          <w:lang w:bidi="ar-SA"/>
          <w:color w:val="111111"/>
          <w:sz w:val="28"/>
          <w:szCs w:val="28"/>
          <w:rtl/>
        </w:rPr>
        <w:t xml:space="preserve">مسكويه ، احمد بن محمّد</w:t>
      </w:r>
    </w:p>
    <w:p>
      <w:pPr>
        <w:pStyle w:val="BookText"/>
      </w:pPr>
      <w:r>
        <w:rPr>
          <w:rFonts w:ascii="Amiri" w:hAnsi="Amiri" w:eastAsia="Amiri" w:cs="Amiri"/>
          <w:lang w:bidi="ar-SA"/>
          <w:color w:val="111111"/>
          <w:sz w:val="28"/>
          <w:szCs w:val="28"/>
          <w:rtl/>
        </w:rPr>
        <w:t xml:space="preserve">احمد بن محمّد ارجاني شوشتري- ارجاني</w:t>
      </w:r>
    </w:p>
    <w:p>
      <w:pPr>
        <w:pStyle w:val="BookText"/>
      </w:pPr>
      <w:r>
        <w:rPr>
          <w:rFonts w:ascii="Amiri" w:hAnsi="Amiri" w:eastAsia="Amiri" w:cs="Amiri"/>
          <w:lang w:bidi="ar-SA"/>
          <w:color w:val="111111"/>
          <w:sz w:val="28"/>
          <w:szCs w:val="28"/>
          <w:rtl/>
        </w:rPr>
        <w:t xml:space="preserve">شوشتري ، احمد بن محمّد</w:t>
      </w:r>
    </w:p>
    <w:p>
      <w:pPr>
        <w:pStyle w:val="BookText"/>
      </w:pPr>
      <w:r>
        <w:rPr>
          <w:rFonts w:ascii="Amiri" w:hAnsi="Amiri" w:eastAsia="Amiri" w:cs="Amiri"/>
          <w:lang w:bidi="ar-SA"/>
          <w:color w:val="111111"/>
          <w:sz w:val="28"/>
          <w:szCs w:val="28"/>
          <w:rtl/>
        </w:rPr>
        <w:t xml:space="preserve">احمد بن محمّد اردستاني -اردستاني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اردكاني يزدي- اردكاني ،</w:t>
      </w:r>
    </w:p>
    <w:p>
      <w:pPr>
        <w:pStyle w:val="BookText"/>
      </w:pPr>
      <w:r>
        <w:rPr>
          <w:rFonts w:ascii="Amiri" w:hAnsi="Amiri" w:eastAsia="Amiri" w:cs="Amiri"/>
          <w:lang w:bidi="ar-SA"/>
          <w:color w:val="111111"/>
          <w:sz w:val="28"/>
          <w:szCs w:val="28"/>
          <w:rtl/>
        </w:rPr>
        <w:t xml:space="preserve">احمد بن محمّد ابراهيم</w:t>
      </w:r>
    </w:p>
    <w:p>
      <w:pPr>
        <w:pStyle w:val="BookText"/>
      </w:pPr>
      <w:r>
        <w:rPr>
          <w:rFonts w:ascii="Amiri" w:hAnsi="Amiri" w:eastAsia="Amiri" w:cs="Amiri"/>
          <w:lang w:bidi="ar-SA"/>
          <w:color w:val="111111"/>
          <w:sz w:val="28"/>
          <w:szCs w:val="28"/>
          <w:rtl/>
        </w:rPr>
        <w:t xml:space="preserve">احمد بن محمّد ازدي عدوي- ابن بناء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اسكندري ابن</w:t>
      </w:r>
    </w:p>
    <w:p>
      <w:pPr>
        <w:pStyle w:val="BookText"/>
      </w:pPr>
      <w:r>
        <w:rPr>
          <w:rFonts w:ascii="Amiri" w:hAnsi="Amiri" w:eastAsia="Amiri" w:cs="Amiri"/>
          <w:lang w:bidi="ar-SA"/>
          <w:color w:val="111111"/>
          <w:sz w:val="28"/>
          <w:szCs w:val="28"/>
          <w:rtl/>
        </w:rPr>
        <w:t xml:space="preserve">منير (ابن منير )-، احمد بن محّمد</w:t>
      </w:r>
    </w:p>
    <w:p>
      <w:pPr>
        <w:pStyle w:val="BookText"/>
      </w:pPr>
      <w:r>
        <w:rPr>
          <w:rFonts w:ascii="Amiri" w:hAnsi="Amiri" w:eastAsia="Amiri" w:cs="Amiri"/>
          <w:lang w:bidi="ar-SA"/>
          <w:color w:val="111111"/>
          <w:sz w:val="28"/>
          <w:szCs w:val="28"/>
          <w:rtl/>
        </w:rPr>
        <w:t xml:space="preserve">احمد بن محمّد اسكندري شاذلي- ابن</w:t>
      </w:r>
    </w:p>
    <w:p>
      <w:pPr>
        <w:pStyle w:val="BookText"/>
      </w:pPr>
      <w:r>
        <w:rPr>
          <w:rFonts w:ascii="Amiri" w:hAnsi="Amiri" w:eastAsia="Amiri" w:cs="Amiri"/>
          <w:lang w:bidi="ar-SA"/>
          <w:color w:val="111111"/>
          <w:sz w:val="28"/>
          <w:szCs w:val="28"/>
          <w:rtl/>
        </w:rPr>
        <w:t xml:space="preserve">عطاء الله اسكندري ، احمد بن محمد</w:t>
      </w:r>
    </w:p>
    <w:p>
      <w:pPr>
        <w:pStyle w:val="BookText"/>
      </w:pPr>
      <w:r>
        <w:rPr>
          <w:rFonts w:ascii="Amiri" w:hAnsi="Amiri" w:eastAsia="Amiri" w:cs="Amiri"/>
          <w:lang w:bidi="ar-SA"/>
          <w:color w:val="111111"/>
          <w:sz w:val="28"/>
          <w:szCs w:val="28"/>
          <w:rtl/>
        </w:rPr>
        <w:t xml:space="preserve">احمد بن محمّد اسكندري قاهري</w:t>
      </w:r>
    </w:p>
    <w:p>
      <w:pPr>
        <w:pStyle w:val="BookText"/>
      </w:pPr>
      <w:r>
        <w:rPr>
          <w:rFonts w:ascii="Amiri" w:hAnsi="Amiri" w:eastAsia="Amiri" w:cs="Amiri"/>
          <w:lang w:bidi="ar-SA"/>
          <w:color w:val="111111"/>
          <w:sz w:val="28"/>
          <w:szCs w:val="28"/>
          <w:rtl/>
        </w:rPr>
        <w:t xml:space="preserve">شمني- اشموني ، احمد بن محمّد</w:t>
      </w:r>
    </w:p>
    <w:p>
      <w:pPr>
        <w:pStyle w:val="BookText"/>
      </w:pPr>
      <w:r>
        <w:rPr>
          <w:rFonts w:ascii="Amiri" w:hAnsi="Amiri" w:eastAsia="Amiri" w:cs="Amiri"/>
          <w:lang w:bidi="ar-SA"/>
          <w:color w:val="111111"/>
          <w:sz w:val="28"/>
          <w:szCs w:val="28"/>
          <w:rtl/>
        </w:rPr>
        <w:t xml:space="preserve">احمد بن محمّد اشعري- اشعري ،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امين قزويني- قزويني</w:t>
      </w:r>
    </w:p>
    <w:p>
      <w:pPr>
        <w:pStyle w:val="BookText"/>
      </w:pPr>
      <w:r>
        <w:rPr>
          <w:rFonts w:ascii="IRNazanin" w:hAnsi="IRNazanin" w:eastAsia="IRNazanin" w:cs="IRNazanin"/>
          <w:lang w:bidi="fa-IR"/>
          <w:color w:val="111111"/>
          <w:sz w:val="28"/>
          <w:szCs w:val="28"/>
          <w:rtl/>
        </w:rPr>
        <w:t xml:space="preserve">احمد بن محمّد امین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4" w:name="pg7742_69700"/>
    <w:bookmarkEnd w:id="164"/>
    <w:p>
      <w:pPr>
        <w:pStyle w:val="BookText"/>
      </w:pPr>
      <w:r>
        <w:rPr>
          <w:rFonts w:ascii="Amiri" w:hAnsi="Amiri" w:eastAsia="Amiri" w:cs="Amiri"/>
          <w:lang w:bidi="ar-SA"/>
          <w:color w:val="111111"/>
          <w:sz w:val="28"/>
          <w:szCs w:val="28"/>
          <w:rtl/>
        </w:rPr>
        <w:t xml:space="preserve">احمد بن محمّد بدري قشاشي- بدري</w:t>
      </w:r>
    </w:p>
    <w:p>
      <w:pPr>
        <w:pStyle w:val="BookText"/>
      </w:pPr>
      <w:r>
        <w:rPr>
          <w:rFonts w:ascii="Amiri" w:hAnsi="Amiri" w:eastAsia="Amiri" w:cs="Amiri"/>
          <w:lang w:bidi="ar-SA"/>
          <w:color w:val="111111"/>
          <w:sz w:val="28"/>
          <w:szCs w:val="28"/>
          <w:rtl/>
        </w:rPr>
        <w:t xml:space="preserve">قشاشي ، صفي الدين احمد</w:t>
      </w:r>
    </w:p>
    <w:p>
      <w:pPr>
        <w:pStyle w:val="BookText"/>
      </w:pPr>
      <w:r>
        <w:rPr>
          <w:rFonts w:ascii="Amiri" w:hAnsi="Amiri" w:eastAsia="Amiri" w:cs="Amiri"/>
          <w:lang w:bidi="ar-SA"/>
          <w:color w:val="111111"/>
          <w:sz w:val="28"/>
          <w:szCs w:val="28"/>
          <w:rtl/>
        </w:rPr>
        <w:t xml:space="preserve">احمد بن محمّد برقي- برقي ،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احمد بن محمّد برمكي اربلي ابن خلكان- ابن خلکان، احمد بن محمّد</w:t>
      </w:r>
    </w:p>
    <w:p>
      <w:pPr>
        <w:pStyle w:val="BookText"/>
      </w:pPr>
      <w:r>
        <w:rPr>
          <w:rFonts w:ascii="Amiri" w:hAnsi="Amiri" w:eastAsia="Amiri" w:cs="Amiri"/>
          <w:lang w:bidi="ar-SA"/>
          <w:color w:val="111111"/>
          <w:sz w:val="28"/>
          <w:szCs w:val="28"/>
          <w:rtl/>
        </w:rPr>
        <w:t xml:space="preserve">احمد بن محمّد بصروي دمشقي- ابن</w:t>
      </w:r>
    </w:p>
    <w:p>
      <w:pPr>
        <w:pStyle w:val="BookText"/>
      </w:pPr>
      <w:r>
        <w:rPr>
          <w:rFonts w:ascii="IRNazanin" w:hAnsi="IRNazanin" w:eastAsia="IRNazanin" w:cs="IRNazanin"/>
          <w:lang w:bidi="fa-IR"/>
          <w:color w:val="111111"/>
          <w:sz w:val="28"/>
          <w:szCs w:val="28"/>
          <w:rtl/>
        </w:rPr>
        <w:t xml:space="preserve">امام ، احمد بن محمّد</w:t>
      </w:r>
    </w:p>
    <w:p>
      <w:pPr>
        <w:pStyle w:val="BookText"/>
      </w:pPr>
      <w:r>
        <w:rPr>
          <w:rFonts w:ascii="Amiri" w:hAnsi="Amiri" w:eastAsia="Amiri" w:cs="Amiri"/>
          <w:lang w:bidi="ar-SA"/>
          <w:color w:val="111111"/>
          <w:sz w:val="28"/>
          <w:szCs w:val="28"/>
          <w:rtl/>
        </w:rPr>
        <w:t xml:space="preserve">احمد بن محمّد بغدادي ، ابي نصر</w:t>
      </w:r>
    </w:p>
    <w:p>
      <w:pPr>
        <w:pStyle w:val="BookText"/>
      </w:pPr>
      <w:r>
        <w:rPr>
          <w:rFonts w:ascii="IRNazanin" w:hAnsi="IRNazanin" w:eastAsia="IRNazanin" w:cs="IRNazanin"/>
          <w:lang w:bidi="fa-IR"/>
          <w:color w:val="111111"/>
          <w:sz w:val="28"/>
          <w:szCs w:val="28"/>
          <w:rtl/>
        </w:rPr>
        <w:t xml:space="preserve">اقطع اقطع ، احمد بن محمّد</w:t>
      </w:r>
    </w:p>
    <w:p>
      <w:pPr>
        <w:pStyle w:val="BookText"/>
      </w:pPr>
      <w:r>
        <w:rPr>
          <w:rFonts w:ascii="Amiri" w:hAnsi="Amiri" w:eastAsia="Amiri" w:cs="Amiri"/>
          <w:lang w:bidi="ar-SA"/>
          <w:color w:val="111111"/>
          <w:sz w:val="28"/>
          <w:szCs w:val="28"/>
          <w:rtl/>
        </w:rPr>
        <w:t xml:space="preserve">احمد بن محمّد بغدادي -بغدادي ، احمد</w:t>
      </w:r>
    </w:p>
    <w:p>
      <w:pPr>
        <w:pStyle w:val="BookText"/>
      </w:pPr>
      <w:r>
        <w:rPr>
          <w:rFonts w:ascii="IRNazanin" w:hAnsi="IRNazanin" w:eastAsia="IRNazanin" w:cs="IRNazanin"/>
          <w:lang w:bidi="fa-IR"/>
          <w:color w:val="111111"/>
          <w:sz w:val="28"/>
          <w:szCs w:val="28"/>
          <w:rtl/>
        </w:rPr>
        <w:t xml:space="preserve">بن محمّد بن خضر</w:t>
      </w:r>
    </w:p>
    <w:p>
      <w:pPr>
        <w:pStyle w:val="BookText"/>
      </w:pPr>
      <w:r>
        <w:rPr>
          <w:rFonts w:ascii="IRNazanin" w:hAnsi="IRNazanin" w:eastAsia="IRNazanin" w:cs="IRNazanin"/>
          <w:lang w:bidi="fa-IR"/>
          <w:color w:val="111111"/>
          <w:sz w:val="28"/>
          <w:szCs w:val="28"/>
          <w:rtl/>
        </w:rPr>
        <w:t xml:space="preserve">احمد بن محمّد بن آدم- ابن آدم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بن آل عصفور بحراني -آل عصفور ، احمد بن محمّد</w:t>
      </w:r>
    </w:p>
    <w:p>
      <w:pPr>
        <w:pStyle w:val="BookText"/>
      </w:pPr>
      <w:r>
        <w:rPr>
          <w:rFonts w:ascii="Amiri" w:hAnsi="Amiri" w:eastAsia="Amiri" w:cs="Amiri"/>
          <w:lang w:bidi="ar-SA"/>
          <w:color w:val="111111"/>
          <w:sz w:val="28"/>
          <w:szCs w:val="28"/>
          <w:rtl/>
        </w:rPr>
        <w:t xml:space="preserve">احمد بن محمّد بن ابراهيم اشعري- اشعري ، احمد بن محمّد</w:t>
      </w:r>
    </w:p>
    <w:p>
      <w:pPr>
        <w:pStyle w:val="BookText"/>
      </w:pPr>
      <w:r>
        <w:rPr>
          <w:rFonts w:ascii="Amiri" w:hAnsi="Amiri" w:eastAsia="Amiri" w:cs="Amiri"/>
          <w:lang w:bidi="ar-SA"/>
          <w:color w:val="111111"/>
          <w:sz w:val="28"/>
          <w:szCs w:val="28"/>
          <w:rtl/>
        </w:rPr>
        <w:t xml:space="preserve">احمد بن محمّد بن ابي الربيع -ابن ابي</w:t>
      </w:r>
    </w:p>
    <w:p>
      <w:pPr>
        <w:pStyle w:val="BookText"/>
      </w:pPr>
      <w:r>
        <w:rPr>
          <w:rFonts w:ascii="Amiri" w:hAnsi="Amiri" w:eastAsia="Amiri" w:cs="Amiri"/>
          <w:lang w:bidi="ar-SA"/>
          <w:color w:val="111111"/>
          <w:sz w:val="28"/>
          <w:szCs w:val="28"/>
          <w:rtl/>
        </w:rPr>
        <w:t xml:space="preserve">ربيع، احمد بن محمّد</w:t>
      </w:r>
    </w:p>
    <w:p>
      <w:pPr>
        <w:pStyle w:val="BookText"/>
      </w:pPr>
      <w:r>
        <w:rPr>
          <w:rFonts w:ascii="Amiri" w:hAnsi="Amiri" w:eastAsia="Amiri" w:cs="Amiri"/>
          <w:lang w:bidi="ar-SA"/>
          <w:color w:val="111111"/>
          <w:sz w:val="28"/>
          <w:szCs w:val="28"/>
          <w:rtl/>
        </w:rPr>
        <w:t xml:space="preserve">احمد بن محمّد بن ابي بكر حنفي- حنفي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احمد بن محمّد بن ابي بكر -مرعشي</w:t>
      </w:r>
    </w:p>
    <w:p>
      <w:pPr>
        <w:pStyle w:val="BookText"/>
      </w:pPr>
      <w:r>
        <w:rPr>
          <w:rFonts w:ascii="Amiri" w:hAnsi="Amiri" w:eastAsia="Amiri" w:cs="Amiri"/>
          <w:lang w:bidi="ar-SA"/>
          <w:color w:val="111111"/>
          <w:sz w:val="28"/>
          <w:szCs w:val="28"/>
          <w:rtl/>
        </w:rPr>
        <w:t xml:space="preserve">احمد بن ابي بكر</w:t>
      </w:r>
    </w:p>
    <w:p>
      <w:pPr>
        <w:pStyle w:val="BookText"/>
      </w:pPr>
      <w:r>
        <w:rPr>
          <w:rFonts w:ascii="IRNazanin" w:hAnsi="IRNazanin" w:eastAsia="IRNazanin" w:cs="IRNazanin"/>
          <w:lang w:bidi="fa-IR"/>
          <w:color w:val="111111"/>
          <w:sz w:val="28"/>
          <w:szCs w:val="28"/>
          <w:rtl/>
        </w:rPr>
        <w:t xml:space="preserve">احمد بن محمّد بن احمد</w:t>
      </w:r>
    </w:p>
    <w:p>
      <w:pPr>
        <w:pStyle w:val="BookText"/>
      </w:pPr>
      <w:r>
        <w:rPr>
          <w:rFonts w:ascii="Amiri" w:hAnsi="Amiri" w:eastAsia="Amiri" w:cs="Amiri"/>
          <w:lang w:bidi="ar-SA"/>
          <w:color w:val="111111"/>
          <w:sz w:val="28"/>
          <w:szCs w:val="28"/>
          <w:rtl/>
        </w:rPr>
        <w:t xml:space="preserve">اصبهاني -اصبهاني ، احمد بن محمّد</w:t>
      </w:r>
    </w:p>
    <w:p>
      <w:pPr>
        <w:pStyle w:val="BookText"/>
      </w:pPr>
      <w:r>
        <w:rPr>
          <w:rFonts w:ascii="Amiri" w:hAnsi="Amiri" w:eastAsia="Amiri" w:cs="Amiri"/>
          <w:lang w:bidi="ar-SA"/>
          <w:color w:val="111111"/>
          <w:sz w:val="28"/>
          <w:szCs w:val="28"/>
          <w:rtl/>
        </w:rPr>
        <w:t xml:space="preserve">احمد بن محمّد بن اسحاق همداني- ابن</w:t>
      </w:r>
    </w:p>
    <w:p>
      <w:pPr>
        <w:pStyle w:val="BookText"/>
      </w:pPr>
      <w:r>
        <w:rPr>
          <w:rFonts w:ascii="Amiri" w:hAnsi="Amiri" w:eastAsia="Amiri" w:cs="Amiri"/>
          <w:lang w:bidi="ar-SA"/>
          <w:color w:val="111111"/>
          <w:sz w:val="28"/>
          <w:szCs w:val="28"/>
          <w:rtl/>
        </w:rPr>
        <w:t xml:space="preserve">فقيه ، احمد بن محمّد</w:t>
      </w:r>
    </w:p>
    <w:p>
      <w:pPr>
        <w:pStyle w:val="BookText"/>
      </w:pPr>
      <w:r>
        <w:rPr>
          <w:rFonts w:ascii="IRNazanin" w:hAnsi="IRNazanin" w:eastAsia="IRNazanin" w:cs="IRNazanin"/>
          <w:lang w:bidi="fa-IR"/>
          <w:color w:val="111111"/>
          <w:sz w:val="28"/>
          <w:szCs w:val="28"/>
          <w:rtl/>
        </w:rPr>
        <w:t xml:space="preserve">احمد بن محمّد بن النحاس -نحاس</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بن تميم التميمي الداري</w:t>
      </w:r>
    </w:p>
    <w:p>
      <w:pPr>
        <w:pStyle w:val="BookText"/>
      </w:pPr>
      <w:r>
        <w:rPr>
          <w:rFonts w:ascii="Amiri" w:hAnsi="Amiri" w:eastAsia="Amiri" w:cs="Amiri"/>
          <w:lang w:bidi="ar-SA"/>
          <w:color w:val="111111"/>
          <w:sz w:val="28"/>
          <w:szCs w:val="28"/>
          <w:rtl/>
        </w:rPr>
        <w:t xml:space="preserve">الخليلي -خليلي ، احمد بن تميم</w:t>
      </w:r>
    </w:p>
    <w:p>
      <w:pPr>
        <w:pStyle w:val="BookText"/>
      </w:pPr>
      <w:r>
        <w:rPr>
          <w:rFonts w:ascii="IRNazanin" w:hAnsi="IRNazanin" w:eastAsia="IRNazanin" w:cs="IRNazanin"/>
          <w:lang w:bidi="fa-IR"/>
          <w:color w:val="111111"/>
          <w:sz w:val="28"/>
          <w:szCs w:val="28"/>
          <w:rtl/>
        </w:rPr>
        <w:t xml:space="preserve">احمد بن محمّد بن جباره -ابن جباره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بن جزري -ابن جزري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1999" w:name="_Toc1101"/>
      <w:r>
        <w:t>احمد بن محمّد بن حسيني</w:t>
      </w:r>
      <w:bookmarkEnd w:id="1999"/>
    </w:p>
    <w:p>
      <w:pPr>
        <w:pStyle w:val="BookText"/>
      </w:pPr>
      <w:r>
        <w:rPr>
          <w:rFonts w:ascii="Amiri" w:hAnsi="Amiri" w:eastAsia="Amiri" w:cs="Amiri"/>
          <w:lang w:bidi="ar-SA"/>
          <w:color w:val="111111"/>
          <w:sz w:val="28"/>
          <w:szCs w:val="28"/>
          <w:rtl/>
        </w:rPr>
        <w:t xml:space="preserve">زبدة الأمالي فيما يتعلق بالصلاة على</w:t>
      </w:r>
    </w:p>
    <w:p>
      <w:pPr>
        <w:pStyle w:val="BookText"/>
      </w:pPr>
      <w:r>
        <w:rPr>
          <w:rFonts w:ascii="Amiri" w:hAnsi="Amiri" w:eastAsia="Amiri" w:cs="Amiri"/>
          <w:lang w:bidi="ar-SA"/>
          <w:color w:val="111111"/>
          <w:sz w:val="28"/>
          <w:szCs w:val="28"/>
          <w:rtl/>
        </w:rPr>
        <w:t xml:space="preserve">النبي الآل، ج8، ص 564 .</w:t>
      </w:r>
    </w:p>
    <w:p>
      <w:pPr>
        <w:pStyle w:val="BookText"/>
      </w:pPr>
      <w:r>
        <w:rPr>
          <w:rFonts w:ascii="IRNazanin" w:hAnsi="IRNazanin" w:eastAsia="IRNazanin" w:cs="IRNazanin"/>
          <w:lang w:bidi="fa-IR"/>
          <w:color w:val="111111"/>
          <w:sz w:val="28"/>
          <w:szCs w:val="28"/>
          <w:rtl/>
        </w:rPr>
        <w:t xml:space="preserve">احمد بن محمّد بن خضر -قول احمد</w:t>
      </w:r>
    </w:p>
    <w:p>
      <w:pPr>
        <w:pStyle w:val="BookText"/>
      </w:pPr>
      <w:r>
        <w:rPr>
          <w:rFonts w:ascii="IRNazanin" w:hAnsi="IRNazanin" w:eastAsia="IRNazanin" w:cs="IRNazanin"/>
          <w:lang w:bidi="fa-IR"/>
          <w:color w:val="111111"/>
          <w:sz w:val="28"/>
          <w:szCs w:val="28"/>
          <w:rtl/>
        </w:rPr>
        <w:t xml:space="preserve">احمد بن محمّد بن خضر</w:t>
      </w:r>
    </w:p>
    <w:p>
      <w:pPr>
        <w:pStyle w:val="BookText"/>
      </w:pPr>
      <w:r>
        <w:rPr>
          <w:rFonts w:ascii="Amiri" w:hAnsi="Amiri" w:eastAsia="Amiri" w:cs="Amiri"/>
          <w:lang w:bidi="ar-SA"/>
          <w:color w:val="111111"/>
          <w:sz w:val="28"/>
          <w:szCs w:val="28"/>
          <w:rtl/>
        </w:rPr>
        <w:t xml:space="preserve">احمد بن محمّد بن زكري - ابن زكري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بن سرحان بحراني -بحراني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احمد بن محمّد بن سعيد اليمني -شرعي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احمد بن محمّد بن سيار سياري ،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بن شلبي- ابن شلبي</w:t>
      </w:r>
    </w:p>
    <w:p>
      <w:pPr>
        <w:pStyle w:val="BookText"/>
      </w:pPr>
      <w:r>
        <w:rPr>
          <w:rFonts w:ascii="IRNazanin" w:hAnsi="IRNazanin" w:eastAsia="IRNazanin" w:cs="IRNazanin"/>
          <w:lang w:bidi="fa-IR"/>
          <w:color w:val="111111"/>
          <w:sz w:val="28"/>
          <w:szCs w:val="28"/>
          <w:rtl/>
        </w:rPr>
        <w:t xml:space="preserve">احمد بن محمّد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محمّد بن طه بن خیاط- ابن</w:t>
      </w:r>
    </w:p>
    <w:p>
      <w:pPr>
        <w:pStyle w:val="BookText"/>
      </w:pPr>
      <w:r>
        <w:rPr>
          <w:rFonts w:ascii="Amiri" w:hAnsi="Amiri" w:eastAsia="Amiri" w:cs="Amiri"/>
          <w:lang w:bidi="ar-SA"/>
          <w:color w:val="111111"/>
          <w:sz w:val="28"/>
          <w:szCs w:val="28"/>
          <w:rtl/>
        </w:rPr>
        <w:t xml:space="preserve">خياط ، احمد بن محمّد</w:t>
      </w:r>
    </w:p>
    <w:p>
      <w:pPr>
        <w:pStyle w:val="BookText"/>
      </w:pPr>
      <w:r>
        <w:rPr>
          <w:rFonts w:ascii="Amiri" w:hAnsi="Amiri" w:eastAsia="Amiri" w:cs="Amiri"/>
          <w:lang w:bidi="ar-SA"/>
          <w:color w:val="111111"/>
          <w:sz w:val="28"/>
          <w:szCs w:val="28"/>
          <w:rtl/>
        </w:rPr>
        <w:t xml:space="preserve">احمد بن محمّد بن عباد محلي شافعي- محلي ، احمد بن محمّد</w:t>
      </w:r>
    </w:p>
    <w:p>
      <w:pPr>
        <w:pStyle w:val="BookText"/>
      </w:pPr>
      <w:r>
        <w:rPr>
          <w:rFonts w:ascii="Amiri" w:hAnsi="Amiri" w:eastAsia="Amiri" w:cs="Amiri"/>
          <w:lang w:bidi="ar-SA"/>
          <w:color w:val="111111"/>
          <w:sz w:val="28"/>
          <w:szCs w:val="28"/>
          <w:rtl/>
        </w:rPr>
        <w:t xml:space="preserve">احمد بن محمّد بن عبدالجليل</w:t>
      </w:r>
    </w:p>
    <w:p>
      <w:pPr>
        <w:pStyle w:val="BookText"/>
      </w:pPr>
      <w:r>
        <w:rPr>
          <w:rFonts w:ascii="Amiri" w:hAnsi="Amiri" w:eastAsia="Amiri" w:cs="Amiri"/>
          <w:lang w:bidi="ar-SA"/>
          <w:color w:val="111111"/>
          <w:sz w:val="28"/>
          <w:szCs w:val="28"/>
          <w:rtl/>
        </w:rPr>
        <w:t xml:space="preserve">سجزي -سجزي ، احمد بن محمّد</w:t>
      </w:r>
    </w:p>
    <w:p>
      <w:pPr>
        <w:pStyle w:val="BookText"/>
      </w:pPr>
      <w:r>
        <w:rPr>
          <w:rFonts w:ascii="IRNazanin" w:hAnsi="IRNazanin" w:eastAsia="IRNazanin" w:cs="IRNazanin"/>
          <w:lang w:bidi="fa-IR"/>
          <w:color w:val="111111"/>
          <w:sz w:val="28"/>
          <w:szCs w:val="28"/>
          <w:rtl/>
        </w:rPr>
        <w:t xml:space="preserve">احمد بن محمد بن عبدالله بن عمر</w:t>
      </w:r>
    </w:p>
    <w:p>
      <w:pPr>
        <w:pStyle w:val="BookText"/>
      </w:pPr>
      <w:r>
        <w:rPr>
          <w:rFonts w:ascii="IRNazanin" w:hAnsi="IRNazanin" w:eastAsia="IRNazanin" w:cs="IRNazanin"/>
          <w:lang w:bidi="fa-IR"/>
          <w:color w:val="111111"/>
          <w:sz w:val="28"/>
          <w:szCs w:val="28"/>
          <w:rtl/>
        </w:rPr>
        <w:t xml:space="preserve">بازیار -بازياراني ، احمد بن محمّد</w:t>
      </w:r>
    </w:p>
    <w:p>
      <w:pPr>
        <w:pStyle w:val="BookText"/>
      </w:pPr>
      <w:r>
        <w:rPr>
          <w:rFonts w:ascii="Amiri" w:hAnsi="Amiri" w:eastAsia="Amiri" w:cs="Amiri"/>
          <w:lang w:bidi="ar-SA"/>
          <w:color w:val="111111"/>
          <w:sz w:val="28"/>
          <w:szCs w:val="28"/>
          <w:rtl/>
        </w:rPr>
        <w:t xml:space="preserve">احمد بن محمّد بن علوجه السجزي البغدادي- ابن علوجه ، احمد بن محمّد</w:t>
      </w:r>
    </w:p>
    <w:p>
      <w:pPr>
        <w:pStyle w:val="BookText"/>
      </w:pPr>
      <w:r>
        <w:rPr>
          <w:rFonts w:ascii="Amiri" w:hAnsi="Amiri" w:eastAsia="Amiri" w:cs="Amiri"/>
          <w:lang w:bidi="ar-SA"/>
          <w:color w:val="111111"/>
          <w:sz w:val="28"/>
          <w:szCs w:val="28"/>
          <w:rtl/>
        </w:rPr>
        <w:t xml:space="preserve">احمد بن محمّد بن علي بن ابراهيم انصاري همداني شرواني -شرواني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بن علي مقري فيومي- فيومي ، احمد بن محمّد</w:t>
      </w:r>
    </w:p>
    <w:p>
      <w:pPr>
        <w:pStyle w:val="BookText"/>
      </w:pPr>
      <w:r>
        <w:rPr>
          <w:rFonts w:ascii="Amiri" w:hAnsi="Amiri" w:eastAsia="Amiri" w:cs="Amiri"/>
          <w:lang w:bidi="ar-SA"/>
          <w:color w:val="111111"/>
          <w:sz w:val="28"/>
          <w:szCs w:val="28"/>
          <w:rtl/>
        </w:rPr>
        <w:t xml:space="preserve">احمد بن محمّد بن عمر انصاري شافعي- انصاري ، احمد بن محمّد</w:t>
      </w:r>
    </w:p>
    <w:p>
      <w:pPr>
        <w:pStyle w:val="BookText"/>
      </w:pPr>
      <w:r>
        <w:rPr>
          <w:rFonts w:ascii="Amiri" w:hAnsi="Amiri" w:eastAsia="Amiri" w:cs="Amiri"/>
          <w:lang w:bidi="ar-SA"/>
          <w:color w:val="111111"/>
          <w:sz w:val="28"/>
          <w:szCs w:val="28"/>
          <w:rtl/>
        </w:rPr>
        <w:t xml:space="preserve">احمد بن محمّد بن فهد حلي- ابن فهد</w:t>
      </w:r>
    </w:p>
    <w:p>
      <w:pPr>
        <w:pStyle w:val="BookText"/>
      </w:pPr>
      <w:r>
        <w:rPr>
          <w:rFonts w:ascii="Amiri" w:hAnsi="Amiri" w:eastAsia="Amiri" w:cs="Amiri"/>
          <w:lang w:bidi="ar-SA"/>
          <w:color w:val="111111"/>
          <w:sz w:val="28"/>
          <w:szCs w:val="28"/>
          <w:rtl/>
        </w:rPr>
        <w:t xml:space="preserve">حلي ، احمد ، احمد بن محمّد</w:t>
      </w:r>
    </w:p>
    <w:p>
      <w:pPr>
        <w:pStyle w:val="BookText"/>
      </w:pPr>
      <w:r>
        <w:rPr>
          <w:rFonts w:ascii="Amiri" w:hAnsi="Amiri" w:eastAsia="Amiri" w:cs="Amiri"/>
          <w:lang w:bidi="ar-SA"/>
          <w:color w:val="111111"/>
          <w:sz w:val="28"/>
          <w:szCs w:val="28"/>
          <w:rtl/>
        </w:rPr>
        <w:t xml:space="preserve">احمد بن محمّد بن كمال الدين ادريسي حسيني مارديني -ادريسي ، احمد بن محمّد</w:t>
      </w:r>
    </w:p>
    <w:p>
      <w:pPr>
        <w:pStyle w:val="BookText"/>
      </w:pPr>
      <w:r>
        <w:rPr>
          <w:rFonts w:ascii="Amiri" w:hAnsi="Amiri" w:eastAsia="Amiri" w:cs="Amiri"/>
          <w:lang w:bidi="ar-SA"/>
          <w:color w:val="111111"/>
          <w:sz w:val="28"/>
          <w:szCs w:val="28"/>
          <w:rtl/>
        </w:rPr>
        <w:t xml:space="preserve">احمد بن محمّد بن مختار بكائي -بكائي</w:t>
      </w:r>
    </w:p>
    <w:p>
      <w:pPr>
        <w:pStyle w:val="BookText"/>
      </w:pPr>
      <w:r>
        <w:rPr>
          <w:rFonts w:ascii="IRNazanin" w:hAnsi="IRNazanin" w:eastAsia="IRNazanin" w:cs="IRNazanin"/>
          <w:lang w:bidi="fa-IR"/>
          <w:color w:val="111111"/>
          <w:sz w:val="28"/>
          <w:szCs w:val="28"/>
          <w:rtl/>
        </w:rPr>
        <w:t xml:space="preserve">احمد بن مختار</w:t>
      </w:r>
    </w:p>
    <w:p>
      <w:pPr>
        <w:pStyle w:val="BookText"/>
      </w:pPr>
      <w:r>
        <w:rPr>
          <w:rFonts w:ascii="Amiri" w:hAnsi="Amiri" w:eastAsia="Amiri" w:cs="Amiri"/>
          <w:lang w:bidi="ar-SA"/>
          <w:color w:val="111111"/>
          <w:sz w:val="28"/>
          <w:szCs w:val="28"/>
          <w:rtl/>
        </w:rPr>
        <w:t xml:space="preserve">احمد بن محمّد بن موسى مراغي- مراغي</w:t>
      </w:r>
    </w:p>
    <w:p>
      <w:pPr>
        <w:pStyle w:val="BookText"/>
      </w:pPr>
      <w:r>
        <w:rPr>
          <w:rFonts w:ascii="IRNazanin" w:hAnsi="IRNazanin" w:eastAsia="IRNazanin" w:cs="IRNazanin"/>
          <w:lang w:bidi="fa-IR"/>
          <w:color w:val="111111"/>
          <w:sz w:val="28"/>
          <w:szCs w:val="28"/>
          <w:rtl/>
        </w:rPr>
        <w:t xml:space="preserve">، أحمد بن موسى</w:t>
      </w:r>
    </w:p>
    <w:p>
      <w:pPr>
        <w:pStyle w:val="BookText"/>
      </w:pPr>
      <w:r>
        <w:rPr>
          <w:rFonts w:ascii="Amiri" w:hAnsi="Amiri" w:eastAsia="Amiri" w:cs="Amiri"/>
          <w:lang w:bidi="ar-SA"/>
          <w:color w:val="111111"/>
          <w:sz w:val="28"/>
          <w:szCs w:val="28"/>
          <w:rtl/>
        </w:rPr>
        <w:t xml:space="preserve">احمد بن محمّد بن نجم الدين عبدالغفار</w:t>
      </w:r>
    </w:p>
    <w:p>
      <w:pPr>
        <w:pStyle w:val="BookText"/>
      </w:pPr>
      <w:r>
        <w:rPr>
          <w:rFonts w:ascii="Amiri" w:hAnsi="Amiri" w:eastAsia="Amiri" w:cs="Amiri"/>
          <w:lang w:bidi="ar-SA"/>
          <w:color w:val="111111"/>
          <w:sz w:val="28"/>
          <w:szCs w:val="28"/>
          <w:rtl/>
        </w:rPr>
        <w:t xml:space="preserve">جعفري فناري قزويني -غفاري قزويني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بن وليد نحوي- ولاد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بناء دمياطي- بناء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تغلبي دمشقي- ابن</w:t>
      </w:r>
    </w:p>
    <w:p>
      <w:pPr>
        <w:pStyle w:val="BookText"/>
      </w:pPr>
      <w:r>
        <w:rPr>
          <w:rFonts w:ascii="IRNazanin" w:hAnsi="IRNazanin" w:eastAsia="IRNazanin" w:cs="IRNazanin"/>
          <w:lang w:bidi="fa-IR"/>
          <w:color w:val="111111"/>
          <w:sz w:val="28"/>
          <w:szCs w:val="28"/>
          <w:rtl/>
        </w:rPr>
        <w:t xml:space="preserve">خیاط ابن خیاط، احمد بن محمّد</w:t>
      </w:r>
    </w:p>
    <w:p>
      <w:pPr>
        <w:pStyle w:val="BookText"/>
      </w:pPr>
      <w:r>
        <w:rPr>
          <w:rFonts w:ascii="Amiri" w:hAnsi="Amiri" w:eastAsia="Amiri" w:cs="Amiri"/>
          <w:lang w:bidi="ar-SA"/>
          <w:color w:val="111111"/>
          <w:sz w:val="28"/>
          <w:szCs w:val="28"/>
          <w:rtl/>
        </w:rPr>
        <w:t xml:space="preserve">احمد بن محمّد ثعالبي- ثعلبي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جمالي تونسي- جمالي</w:t>
      </w:r>
    </w:p>
    <w:p>
      <w:pPr>
        <w:pStyle w:val="BookText"/>
      </w:pPr>
      <w:r>
        <w:rPr>
          <w:rFonts w:ascii="Amiri" w:hAnsi="Amiri" w:eastAsia="Amiri" w:cs="Amiri"/>
          <w:lang w:bidi="ar-SA"/>
          <w:color w:val="111111"/>
          <w:sz w:val="28"/>
          <w:szCs w:val="28"/>
          <w:rtl/>
        </w:rPr>
        <w:t xml:space="preserve">تونسي ، احمد بن محمد</w:t>
      </w:r>
    </w:p>
    <w:p>
      <w:pPr>
        <w:pStyle w:val="BookText"/>
      </w:pPr>
      <w:r>
        <w:rPr>
          <w:rFonts w:ascii="Amiri" w:hAnsi="Amiri" w:eastAsia="Amiri" w:cs="Amiri"/>
          <w:lang w:bidi="ar-SA"/>
          <w:color w:val="111111"/>
          <w:sz w:val="28"/>
          <w:szCs w:val="28"/>
          <w:rtl/>
        </w:rPr>
        <w:t xml:space="preserve">احمد بن محمّد جوهري -جوهري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حجري- حجري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حسني سحيمي- سحيمي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احمد بن محّمد حسين حسيني شريف تنكابني- تنكابني ، احمد بن محمّد حسين</w:t>
      </w:r>
    </w:p>
    <w:p>
      <w:pPr>
        <w:pStyle w:val="BookText"/>
      </w:pPr>
      <w:r>
        <w:rPr>
          <w:rFonts w:ascii="Amiri" w:hAnsi="Amiri" w:eastAsia="Amiri" w:cs="Amiri"/>
          <w:lang w:bidi="ar-SA"/>
          <w:color w:val="111111"/>
          <w:sz w:val="28"/>
          <w:szCs w:val="28"/>
          <w:rtl/>
        </w:rPr>
        <w:t xml:space="preserve">احمد بن محمّد حسين كاظمي- كاظمي ،</w:t>
      </w:r>
    </w:p>
    <w:p>
      <w:pPr>
        <w:pStyle w:val="BookText"/>
      </w:pPr>
      <w:r>
        <w:rPr>
          <w:rFonts w:ascii="Amiri" w:hAnsi="Amiri" w:eastAsia="Amiri" w:cs="Amiri"/>
          <w:lang w:bidi="ar-SA"/>
          <w:color w:val="111111"/>
          <w:sz w:val="28"/>
          <w:szCs w:val="28"/>
          <w:rtl/>
        </w:rPr>
        <w:t xml:space="preserve">احمد بن محمّد حسين</w:t>
      </w:r>
    </w:p>
    <w:p>
      <w:pPr>
        <w:pStyle w:val="BookText"/>
      </w:pPr>
      <w:r>
        <w:rPr>
          <w:rFonts w:ascii="Amiri" w:hAnsi="Amiri" w:eastAsia="Amiri" w:cs="Amiri"/>
          <w:lang w:bidi="ar-SA"/>
          <w:color w:val="111111"/>
          <w:sz w:val="28"/>
          <w:szCs w:val="28"/>
          <w:rtl/>
        </w:rPr>
        <w:t xml:space="preserve">احمد بن محمّد حسيني حلبي- حسيني</w:t>
      </w:r>
    </w:p>
    <w:p>
      <w:pPr>
        <w:pStyle w:val="BookText"/>
      </w:pPr>
      <w:r>
        <w:rPr>
          <w:rFonts w:ascii="Amiri" w:hAnsi="Amiri" w:eastAsia="Amiri" w:cs="Amiri"/>
          <w:lang w:bidi="ar-SA"/>
          <w:color w:val="111111"/>
          <w:sz w:val="28"/>
          <w:szCs w:val="28"/>
          <w:rtl/>
        </w:rPr>
        <w:t xml:space="preserve">حلبي ، احمد بن محمد</w:t>
      </w:r>
    </w:p>
    <w:p>
      <w:pPr>
        <w:pStyle w:val="BookText"/>
      </w:pPr>
      <w:r>
        <w:rPr>
          <w:rFonts w:ascii="Amiri" w:hAnsi="Amiri" w:eastAsia="Amiri" w:cs="Amiri"/>
          <w:lang w:bidi="ar-SA"/>
          <w:color w:val="111111"/>
          <w:sz w:val="28"/>
          <w:szCs w:val="28"/>
          <w:rtl/>
        </w:rPr>
        <w:t xml:space="preserve">احمد بن محمّد حسيني- حسيني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حسيني- حسيني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حصكفي( ابن</w:t>
      </w:r>
    </w:p>
    <w:p>
      <w:pPr>
        <w:pStyle w:val="BookText"/>
      </w:pPr>
      <w:r>
        <w:rPr>
          <w:rFonts w:ascii="IRNazanin" w:hAnsi="IRNazanin" w:eastAsia="IRNazanin" w:cs="IRNazanin"/>
          <w:lang w:bidi="fa-IR"/>
          <w:color w:val="111111"/>
          <w:sz w:val="28"/>
          <w:szCs w:val="28"/>
          <w:rtl/>
        </w:rPr>
        <w:t xml:space="preserve">-الملا) -ابن</w:t>
      </w:r>
    </w:p>
    <w:p>
      <w:pPr>
        <w:pStyle w:val="BookText"/>
      </w:pPr>
      <w:r>
        <w:rPr>
          <w:rFonts w:ascii="IRNazanin" w:hAnsi="IRNazanin" w:eastAsia="IRNazanin" w:cs="IRNazanin"/>
          <w:lang w:bidi="fa-IR"/>
          <w:color w:val="111111"/>
          <w:sz w:val="28"/>
          <w:szCs w:val="28"/>
          <w:rtl/>
        </w:rPr>
        <w:t xml:space="preserve">ملا ، احمد بن محمّد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محمّد خالدي صفدي -خالدي</w:t>
      </w:r>
    </w:p>
    <w:p>
      <w:pPr>
        <w:pStyle w:val="BookText"/>
      </w:pPr>
      <w:r>
        <w:rPr>
          <w:rFonts w:ascii="Amiri" w:hAnsi="Amiri" w:eastAsia="Amiri" w:cs="Amiri"/>
          <w:lang w:bidi="ar-SA"/>
          <w:color w:val="111111"/>
          <w:sz w:val="28"/>
          <w:szCs w:val="28"/>
          <w:rtl/>
        </w:rPr>
        <w:t xml:space="preserve">صفدي، احمد بن محمّد</w:t>
      </w:r>
    </w:p>
    <w:p>
      <w:pPr>
        <w:pStyle w:val="BookText"/>
      </w:pPr>
      <w:r>
        <w:rPr>
          <w:rFonts w:ascii="Amiri" w:hAnsi="Amiri" w:eastAsia="Amiri" w:cs="Amiri"/>
          <w:lang w:bidi="ar-SA"/>
          <w:color w:val="111111"/>
          <w:sz w:val="28"/>
          <w:szCs w:val="28"/>
          <w:rtl/>
        </w:rPr>
        <w:t xml:space="preserve">احمد بن محمّد خطابي بستي- خطابي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خفاجي -خفاجي ،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احمد بن محمّد خلال -خلال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احمد بن محمّد خلوف -ابن خلوف</w:t>
      </w:r>
    </w:p>
    <w:p>
      <w:pPr>
        <w:pStyle w:val="BookText"/>
      </w:pPr>
      <w:r>
        <w:rPr>
          <w:rFonts w:ascii="Amiri" w:hAnsi="Amiri" w:eastAsia="Amiri" w:cs="Amiri"/>
          <w:lang w:bidi="ar-SA"/>
          <w:color w:val="111111"/>
          <w:sz w:val="28"/>
          <w:szCs w:val="28"/>
          <w:rtl/>
        </w:rPr>
        <w:t xml:space="preserve">احمد بن ابي القاسم</w:t>
      </w:r>
    </w:p>
    <w:p>
      <w:pPr>
        <w:pStyle w:val="BookText"/>
      </w:pPr>
      <w:r>
        <w:rPr>
          <w:rFonts w:ascii="IRNazanin" w:hAnsi="IRNazanin" w:eastAsia="IRNazanin" w:cs="IRNazanin"/>
          <w:lang w:bidi="fa-IR"/>
          <w:color w:val="111111"/>
          <w:sz w:val="28"/>
          <w:szCs w:val="28"/>
          <w:rtl/>
        </w:rPr>
        <w:t xml:space="preserve">احمد بن محمّد دردیر -دردير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دمشقي</w:t>
      </w:r>
    </w:p>
    <w:p>
      <w:pPr>
        <w:pStyle w:val="BookText"/>
      </w:pPr>
      <w:r>
        <w:rPr>
          <w:rFonts w:ascii="Amiri" w:hAnsi="Amiri" w:eastAsia="Amiri" w:cs="Amiri"/>
          <w:lang w:bidi="ar-SA"/>
          <w:color w:val="111111"/>
          <w:sz w:val="28"/>
          <w:szCs w:val="28"/>
          <w:rtl/>
        </w:rPr>
        <w:t xml:space="preserve">اخصاصي- اخصاصي ، احمد بن محمّد</w:t>
      </w:r>
    </w:p>
    <w:p>
      <w:pPr>
        <w:pStyle w:val="BookText"/>
      </w:pPr>
      <w:r>
        <w:rPr>
          <w:rFonts w:ascii="Amiri" w:hAnsi="Amiri" w:eastAsia="Amiri" w:cs="Amiri"/>
          <w:lang w:bidi="ar-SA"/>
          <w:color w:val="111111"/>
          <w:sz w:val="28"/>
          <w:szCs w:val="28"/>
          <w:rtl/>
        </w:rPr>
        <w:t xml:space="preserve">احمد بن محمّد دو قاطي</w:t>
      </w:r>
    </w:p>
    <w:p>
      <w:pPr>
        <w:pStyle w:val="BookText"/>
      </w:pPr>
      <w:r>
        <w:rPr>
          <w:rFonts w:ascii="Amiri" w:hAnsi="Amiri" w:eastAsia="Amiri" w:cs="Amiri"/>
          <w:lang w:bidi="ar-SA"/>
          <w:color w:val="111111"/>
          <w:sz w:val="28"/>
          <w:szCs w:val="28"/>
          <w:rtl/>
        </w:rPr>
        <w:t xml:space="preserve">طهطاوي - طهطاوي ، احمد بن محمّد</w:t>
      </w:r>
    </w:p>
    <w:p>
      <w:pPr>
        <w:pStyle w:val="BookText"/>
      </w:pPr>
      <w:r>
        <w:rPr>
          <w:rFonts w:ascii="Amiri" w:hAnsi="Amiri" w:eastAsia="Amiri" w:cs="Amiri"/>
          <w:lang w:bidi="ar-SA"/>
          <w:color w:val="111111"/>
          <w:sz w:val="28"/>
          <w:szCs w:val="28"/>
          <w:rtl/>
        </w:rPr>
        <w:t xml:space="preserve">احمد بن محمّد دينوري ابن سني- ابن</w:t>
      </w:r>
    </w:p>
    <w:p>
      <w:pPr>
        <w:pStyle w:val="BookText"/>
      </w:pPr>
      <w:r>
        <w:rPr>
          <w:rFonts w:ascii="Amiri" w:hAnsi="Amiri" w:eastAsia="Amiri" w:cs="Amiri"/>
          <w:lang w:bidi="ar-SA"/>
          <w:color w:val="111111"/>
          <w:sz w:val="28"/>
          <w:szCs w:val="28"/>
          <w:rtl/>
        </w:rPr>
        <w:t xml:space="preserve">سني ، احمد بن محمّد</w:t>
      </w:r>
    </w:p>
    <w:p>
      <w:pPr>
        <w:pStyle w:val="BookText"/>
      </w:pPr>
      <w:r>
        <w:rPr>
          <w:rFonts w:ascii="Amiri" w:hAnsi="Amiri" w:eastAsia="Amiri" w:cs="Amiri"/>
          <w:lang w:bidi="ar-SA"/>
          <w:color w:val="111111"/>
          <w:sz w:val="28"/>
          <w:szCs w:val="28"/>
          <w:rtl/>
        </w:rPr>
        <w:t xml:space="preserve">احمد بن محمّد رومي- رومي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احمد بن محمّد رومي عجمی- ابن</w:t>
      </w:r>
    </w:p>
    <w:p>
      <w:pPr>
        <w:pStyle w:val="BookText"/>
      </w:pPr>
      <w:r>
        <w:rPr>
          <w:rFonts w:ascii="IRNazanin" w:hAnsi="IRNazanin" w:eastAsia="IRNazanin" w:cs="IRNazanin"/>
          <w:lang w:bidi="fa-IR"/>
          <w:color w:val="111111"/>
          <w:sz w:val="28"/>
          <w:szCs w:val="28"/>
          <w:rtl/>
        </w:rPr>
        <w:t xml:space="preserve">عربشاه ، احمد بن محمّد</w:t>
      </w:r>
    </w:p>
    <w:p>
      <w:pPr>
        <w:pStyle w:val="BookText"/>
      </w:pPr>
      <w:r>
        <w:rPr>
          <w:rFonts w:ascii="Amiri" w:hAnsi="Amiri" w:eastAsia="Amiri" w:cs="Amiri"/>
          <w:lang w:bidi="ar-SA"/>
          <w:color w:val="111111"/>
          <w:sz w:val="28"/>
          <w:szCs w:val="28"/>
          <w:rtl/>
        </w:rPr>
        <w:t xml:space="preserve">احمد بن محمّد زابلي- زابلي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زرقاني مالكي -زرقاني ،</w:t>
      </w:r>
    </w:p>
    <w:p>
      <w:pPr>
        <w:pStyle w:val="BookText"/>
      </w:pPr>
      <w:r>
        <w:rPr>
          <w:rFonts w:ascii="Amiri" w:hAnsi="Amiri" w:eastAsia="Amiri" w:cs="Amiri"/>
          <w:lang w:bidi="ar-SA"/>
          <w:color w:val="111111"/>
          <w:sz w:val="28"/>
          <w:szCs w:val="28"/>
          <w:rtl/>
        </w:rPr>
        <w:t xml:space="preserve">احمد بن محمّد احمد بن محمّد زيلي سيواسي -سيواسي</w:t>
      </w:r>
    </w:p>
    <w:p>
      <w:pPr>
        <w:pStyle w:val="BookText"/>
      </w:pPr>
      <w:r>
        <w:rPr>
          <w:rFonts w:ascii="Amiri" w:hAnsi="Amiri" w:eastAsia="Amiri" w:cs="Amiri"/>
          <w:lang w:bidi="ar-SA"/>
          <w:color w:val="111111"/>
          <w:sz w:val="28"/>
          <w:szCs w:val="28"/>
          <w:rtl/>
        </w:rPr>
        <w:t xml:space="preserve">زيلي ، احمد بن محمّد</w:t>
      </w:r>
    </w:p>
    <w:p>
      <w:pPr>
        <w:pStyle w:val="BookText"/>
      </w:pPr>
      <w:r>
        <w:rPr>
          <w:rFonts w:ascii="Amiri" w:hAnsi="Amiri" w:eastAsia="Amiri" w:cs="Amiri"/>
          <w:lang w:bidi="ar-SA"/>
          <w:color w:val="111111"/>
          <w:sz w:val="28"/>
          <w:szCs w:val="28"/>
          <w:rtl/>
        </w:rPr>
        <w:t xml:space="preserve">احمد بن محمّد سجزي -سجزي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سري الدين طبيب- سري</w:t>
      </w:r>
    </w:p>
    <w:p>
      <w:pPr>
        <w:pStyle w:val="BookText"/>
      </w:pPr>
      <w:r>
        <w:rPr>
          <w:rFonts w:ascii="Amiri" w:hAnsi="Amiri" w:eastAsia="Amiri" w:cs="Amiri"/>
          <w:lang w:bidi="ar-SA"/>
          <w:color w:val="111111"/>
          <w:sz w:val="28"/>
          <w:szCs w:val="28"/>
          <w:rtl/>
        </w:rPr>
        <w:t xml:space="preserve">الدين طبيب ، احمد بن محمّد</w:t>
      </w:r>
    </w:p>
    <w:p>
      <w:pPr>
        <w:pStyle w:val="BookText"/>
      </w:pPr>
      <w:r>
        <w:rPr>
          <w:rFonts w:ascii="Amiri" w:hAnsi="Amiri" w:eastAsia="Amiri" w:cs="Amiri"/>
          <w:lang w:bidi="ar-SA"/>
          <w:color w:val="111111"/>
          <w:sz w:val="28"/>
          <w:szCs w:val="28"/>
          <w:rtl/>
        </w:rPr>
        <w:t xml:space="preserve">احمد بن محمّد سلفي -سلفي حرواني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سمرقندي - سمرقندي ،</w:t>
      </w:r>
    </w:p>
    <w:p>
      <w:pPr>
        <w:pStyle w:val="BookText"/>
      </w:pPr>
      <w:r>
        <w:rPr>
          <w:rFonts w:ascii="Amiri" w:hAnsi="Amiri" w:eastAsia="Amiri" w:cs="Amiri"/>
          <w:lang w:bidi="ar-SA"/>
          <w:color w:val="111111"/>
          <w:sz w:val="28"/>
          <w:szCs w:val="28"/>
          <w:rtl/>
        </w:rPr>
        <w:t xml:space="preserve">احمد بن محمّد احمد بن محمّد سمناني -سمناني ، احمد</w:t>
      </w:r>
    </w:p>
    <w:p>
      <w:pPr>
        <w:pStyle w:val="BookText"/>
      </w:pPr>
      <w:r>
        <w:rPr>
          <w:rFonts w:ascii="IRNazanin" w:hAnsi="IRNazanin" w:eastAsia="IRNazanin" w:cs="IRNazanin"/>
          <w:lang w:bidi="fa-IR"/>
          <w:color w:val="111111"/>
          <w:sz w:val="28"/>
          <w:szCs w:val="28"/>
          <w:rtl/>
        </w:rPr>
        <w:t xml:space="preserve">احمد بن محمّد دیوه جي -ديوه جي ، احمد بن محمّد</w:t>
      </w:r>
    </w:p>
    <w:p>
      <w:pPr>
        <w:pStyle w:val="BookText"/>
      </w:pPr>
      <w:r>
        <w:rPr>
          <w:rFonts w:ascii="Amiri" w:hAnsi="Amiri" w:eastAsia="Amiri" w:cs="Amiri"/>
          <w:lang w:bidi="ar-SA"/>
          <w:color w:val="111111"/>
          <w:sz w:val="28"/>
          <w:szCs w:val="28"/>
          <w:rtl/>
        </w:rPr>
        <w:t xml:space="preserve">احمد بن محمّد رشتي منجم</w:t>
      </w:r>
    </w:p>
    <w:p>
      <w:pPr>
        <w:pStyle w:val="BookText"/>
      </w:pPr>
      <w:r>
        <w:rPr>
          <w:rFonts w:ascii="Amiri" w:hAnsi="Amiri" w:eastAsia="Amiri" w:cs="Amiri"/>
          <w:lang w:bidi="ar-SA"/>
          <w:color w:val="111111"/>
          <w:sz w:val="28"/>
          <w:szCs w:val="28"/>
          <w:rtl/>
        </w:rPr>
        <w:t xml:space="preserve">نجفي -رشتي ، احمد بن محمّد</w:t>
      </w:r>
    </w:p>
    <w:p>
      <w:pPr>
        <w:pStyle w:val="BookText"/>
      </w:pPr>
      <w:r>
        <w:rPr>
          <w:rFonts w:ascii="Amiri" w:hAnsi="Amiri" w:eastAsia="Amiri" w:cs="Amiri"/>
          <w:lang w:bidi="ar-SA"/>
          <w:color w:val="111111"/>
          <w:sz w:val="28"/>
          <w:szCs w:val="28"/>
          <w:rtl/>
        </w:rPr>
        <w:t xml:space="preserve">احمد بن محمّد رفاعي سبعي -سبعي ، احمد بن محمّد</w:t>
      </w:r>
    </w:p>
    <w:p>
      <w:pPr>
        <w:pStyle w:val="BookText"/>
      </w:pPr>
      <w:r>
        <w:rPr>
          <w:rFonts w:ascii="Amiri" w:hAnsi="Amiri" w:eastAsia="Amiri" w:cs="Amiri"/>
          <w:lang w:bidi="ar-SA"/>
          <w:color w:val="111111"/>
          <w:sz w:val="28"/>
          <w:szCs w:val="28"/>
          <w:rtl/>
        </w:rPr>
        <w:t xml:space="preserve">احمد بن محمّد رومي آقحصاري -رومي ،</w:t>
      </w:r>
    </w:p>
    <w:p>
      <w:pPr>
        <w:pStyle w:val="BookText"/>
      </w:pPr>
      <w:r>
        <w:rPr>
          <w:rFonts w:ascii="Amiri" w:hAnsi="Amiri" w:eastAsia="Amiri" w:cs="Amiri"/>
          <w:lang w:bidi="ar-SA"/>
          <w:color w:val="111111"/>
          <w:sz w:val="28"/>
          <w:szCs w:val="28"/>
          <w:rtl/>
        </w:rPr>
        <w:t xml:space="preserve">احمد بن محمّد سمناني علاء الدوله -سمناني ، احمد بن محمّد</w:t>
      </w:r>
    </w:p>
    <w:p>
      <w:pPr>
        <w:pStyle w:val="BookText"/>
      </w:pPr>
      <w:r>
        <w:rPr>
          <w:rFonts w:ascii="Amiri" w:hAnsi="Amiri" w:eastAsia="Amiri" w:cs="Amiri"/>
          <w:lang w:bidi="ar-SA"/>
          <w:color w:val="111111"/>
          <w:sz w:val="28"/>
          <w:szCs w:val="28"/>
          <w:rtl/>
        </w:rPr>
        <w:t xml:space="preserve">احمد بن محمّد سياري -سياري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شمني -اشموني ، احمد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شوكاني- شوكاني ، احمد</w:t>
      </w:r>
    </w:p>
    <w:p>
      <w:pPr>
        <w:pStyle w:val="BookText"/>
      </w:pPr>
      <w:r>
        <w:rPr>
          <w:rFonts w:ascii="Amiri" w:hAnsi="Amiri" w:eastAsia="Amiri" w:cs="Amiri"/>
          <w:lang w:bidi="ar-SA"/>
          <w:color w:val="111111"/>
          <w:sz w:val="28"/>
          <w:szCs w:val="28"/>
          <w:rtl/>
        </w:rPr>
        <w:t xml:space="preserve">بن محمّد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محمّد شهاب حجازي -حجازي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شيباني مروزي( ابن</w:t>
      </w:r>
    </w:p>
    <w:p>
      <w:pPr>
        <w:pStyle w:val="BookText"/>
      </w:pPr>
      <w:r>
        <w:rPr>
          <w:rFonts w:ascii="Amiri" w:hAnsi="Amiri" w:eastAsia="Amiri" w:cs="Amiri"/>
          <w:lang w:bidi="ar-SA"/>
          <w:color w:val="111111"/>
          <w:sz w:val="28"/>
          <w:szCs w:val="28"/>
          <w:rtl/>
        </w:rPr>
        <w:t xml:space="preserve">احمد)- ابن محمّد عاملي عينائي -ابن خاتون</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IRNazanin" w:hAnsi="IRNazanin" w:eastAsia="IRNazanin" w:cs="IRNazanin"/>
          <w:lang w:bidi="fa-IR"/>
          <w:color w:val="111111"/>
          <w:sz w:val="28"/>
          <w:szCs w:val="28"/>
          <w:rtl/>
        </w:rPr>
        <w:t xml:space="preserve">حنبل- ابن حنبل ، احمد بن محمّد</w:t>
      </w:r>
    </w:p>
    <w:p>
      <w:pPr>
        <w:pStyle w:val="BookText"/>
      </w:pPr>
      <w:r>
        <w:rPr>
          <w:rFonts w:ascii="Amiri" w:hAnsi="Amiri" w:eastAsia="Amiri" w:cs="Amiri"/>
          <w:lang w:bidi="ar-SA"/>
          <w:color w:val="111111"/>
          <w:sz w:val="28"/>
          <w:szCs w:val="28"/>
          <w:rtl/>
        </w:rPr>
        <w:t xml:space="preserve">احمد بن محمّد شيباني وائلي - شيباني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صائم حنفي- صائم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صالح السليماني- احمد</w:t>
      </w:r>
    </w:p>
    <w:p>
      <w:pPr>
        <w:pStyle w:val="BookText"/>
      </w:pPr>
      <w:r>
        <w:rPr>
          <w:rFonts w:ascii="Amiri" w:hAnsi="Amiri" w:eastAsia="Amiri" w:cs="Amiri"/>
          <w:lang w:bidi="ar-SA"/>
          <w:color w:val="111111"/>
          <w:sz w:val="28"/>
          <w:szCs w:val="28"/>
          <w:rtl/>
        </w:rPr>
        <w:t xml:space="preserve">آبادي ، احمد بن محمّد صالح</w:t>
      </w:r>
    </w:p>
    <w:p>
      <w:pPr>
        <w:pStyle w:val="BookText"/>
      </w:pPr>
      <w:r>
        <w:rPr>
          <w:rFonts w:ascii="Amiri" w:hAnsi="Amiri" w:eastAsia="Amiri" w:cs="Amiri"/>
          <w:lang w:bidi="ar-SA"/>
          <w:color w:val="111111"/>
          <w:sz w:val="28"/>
          <w:szCs w:val="28"/>
          <w:rtl/>
        </w:rPr>
        <w:t xml:space="preserve">احمد بن محمّد صاوي -صاوي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احمد بن محمّد عباسي - عباسي ، احمد بن</w:t>
      </w:r>
    </w:p>
    <w:p>
      <w:pPr>
        <w:pStyle w:val="BookText"/>
      </w:pPr>
      <w:r>
        <w:rPr>
          <w:rFonts w:ascii="Amiri" w:hAnsi="Amiri" w:eastAsia="Amiri" w:cs="Amiri"/>
          <w:lang w:bidi="ar-SA"/>
          <w:color w:val="111111"/>
          <w:sz w:val="28"/>
          <w:szCs w:val="28"/>
          <w:rtl/>
        </w:rPr>
        <w:t xml:space="preserve">احمد بن محمّد عراقي -عراقي احمد بن</w:t>
      </w:r>
    </w:p>
    <w:p>
      <w:pPr>
        <w:pStyle w:val="BookText"/>
      </w:pPr>
      <w:r>
        <w:rPr>
          <w:rFonts w:ascii="Amiri" w:hAnsi="Amiri" w:eastAsia="Amiri" w:cs="Amiri"/>
          <w:lang w:bidi="ar-SA"/>
          <w:color w:val="111111"/>
          <w:sz w:val="28"/>
          <w:szCs w:val="28"/>
          <w:rtl/>
        </w:rPr>
        <w:t xml:space="preserve">، محمّد</w:t>
      </w:r>
    </w:p>
    <w:p>
      <w:pPr>
        <w:pStyle w:val="BookText"/>
      </w:pPr>
      <w:r>
        <w:rPr>
          <w:rFonts w:ascii="Amiri" w:hAnsi="Amiri" w:eastAsia="Amiri" w:cs="Amiri"/>
          <w:lang w:bidi="ar-SA"/>
          <w:color w:val="111111"/>
          <w:sz w:val="28"/>
          <w:szCs w:val="28"/>
          <w:rtl/>
        </w:rPr>
        <w:t xml:space="preserve">احمد بن محمّد عطار حسني -عطار</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علي اردستاني- اردستاني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علي بهبهاني- بهبهاني ،</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علي احمد بن محمّد عمري قول احمد</w:t>
      </w:r>
    </w:p>
    <w:p>
      <w:pPr>
        <w:pStyle w:val="BookText"/>
      </w:pPr>
      <w:r>
        <w:rPr>
          <w:rFonts w:ascii="Amiri" w:hAnsi="Amiri" w:eastAsia="Amiri" w:cs="Amiri"/>
          <w:lang w:bidi="ar-SA"/>
          <w:color w:val="111111"/>
          <w:sz w:val="28"/>
          <w:szCs w:val="28"/>
          <w:rtl/>
        </w:rPr>
        <w:t xml:space="preserve">احمد بن محمّد صديقي الوري - صديقي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صنوبري- صنوبري ،</w:t>
      </w:r>
    </w:p>
    <w:p>
      <w:pPr>
        <w:pStyle w:val="BookText"/>
      </w:pPr>
      <w:r>
        <w:rPr>
          <w:rFonts w:ascii="Amiri" w:hAnsi="Amiri" w:eastAsia="Amiri" w:cs="Amiri"/>
          <w:lang w:bidi="ar-SA"/>
          <w:color w:val="111111"/>
          <w:sz w:val="28"/>
          <w:szCs w:val="28"/>
          <w:rtl/>
        </w:rPr>
        <w:t xml:space="preserve">احمد بن محمّد صنهاجي -ابن عريف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ضبوي يماني</w:t>
      </w:r>
    </w:p>
    <w:p>
      <w:pPr>
        <w:pStyle w:val="BookText"/>
      </w:pPr>
      <w:r>
        <w:rPr>
          <w:rFonts w:ascii="Amiri" w:hAnsi="Amiri" w:eastAsia="Amiri" w:cs="Amiri"/>
          <w:lang w:bidi="ar-SA"/>
          <w:color w:val="111111"/>
          <w:sz w:val="28"/>
          <w:szCs w:val="28"/>
          <w:rtl/>
        </w:rPr>
        <w:t xml:space="preserve">صنعاني - ضبوي ، احمد بن محمّد</w:t>
      </w:r>
    </w:p>
    <w:p>
      <w:pPr>
        <w:pStyle w:val="BookText"/>
      </w:pPr>
      <w:r>
        <w:rPr>
          <w:rFonts w:ascii="Amiri" w:hAnsi="Amiri" w:eastAsia="Amiri" w:cs="Amiri"/>
          <w:lang w:bidi="ar-SA"/>
          <w:color w:val="111111"/>
          <w:sz w:val="28"/>
          <w:szCs w:val="28"/>
          <w:rtl/>
        </w:rPr>
        <w:t xml:space="preserve">احمد بن محمّد ضبي البصري (ابن محاملي)- ابن محاملي ، احمد بن محمّد</w:t>
      </w:r>
    </w:p>
    <w:p>
      <w:pPr>
        <w:pStyle w:val="BookText"/>
      </w:pPr>
      <w:r>
        <w:rPr>
          <w:rFonts w:ascii="Amiri" w:hAnsi="Amiri" w:eastAsia="Amiri" w:cs="Amiri"/>
          <w:lang w:bidi="ar-SA"/>
          <w:color w:val="111111"/>
          <w:sz w:val="28"/>
          <w:szCs w:val="28"/>
          <w:rtl/>
        </w:rPr>
        <w:t xml:space="preserve">احمد بن محمّد طبري -طبري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طحاوي - طحاوي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عاصمي -عاصمي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احمد بن محمّد غزالي طوسي- غزالي</w:t>
      </w:r>
    </w:p>
    <w:p>
      <w:pPr>
        <w:pStyle w:val="BookText"/>
      </w:pPr>
      <w:r>
        <w:rPr>
          <w:rFonts w:ascii="Amiri" w:hAnsi="Amiri" w:eastAsia="Amiri" w:cs="Amiri"/>
          <w:lang w:bidi="ar-SA"/>
          <w:color w:val="111111"/>
          <w:sz w:val="28"/>
          <w:szCs w:val="28"/>
          <w:rtl/>
        </w:rPr>
        <w:t xml:space="preserve">احمد بن محمّد احمد بن محمّد غزنوي- غزنوي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غنيمي- غنيمي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فرغاني- فرغاني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فنجي خزرجي -فنجي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قازآبادي- قازآبادي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قاهري شافعي- زاهد</w:t>
      </w:r>
    </w:p>
    <w:p>
      <w:pPr>
        <w:pStyle w:val="BookText"/>
      </w:pPr>
      <w:r>
        <w:rPr>
          <w:rFonts w:ascii="IRNazanin" w:hAnsi="IRNazanin" w:eastAsia="IRNazanin" w:cs="IRNazanin"/>
          <w:lang w:bidi="fa-IR"/>
          <w:color w:val="111111"/>
          <w:sz w:val="28"/>
          <w:szCs w:val="28"/>
          <w:rtl/>
        </w:rPr>
        <w:t xml:space="preserve">احمد بن محمّد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محمّد قدوري -قدوري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قرطبي (ابن عبدربه)- ابن</w:t>
      </w:r>
    </w:p>
    <w:p>
      <w:pPr>
        <w:pStyle w:val="BookText"/>
      </w:pPr>
      <w:r>
        <w:rPr>
          <w:rFonts w:ascii="IRNazanin" w:hAnsi="IRNazanin" w:eastAsia="IRNazanin" w:cs="IRNazanin"/>
          <w:lang w:bidi="fa-IR"/>
          <w:color w:val="111111"/>
          <w:sz w:val="28"/>
          <w:szCs w:val="28"/>
          <w:rtl/>
        </w:rPr>
        <w:t xml:space="preserve">عبد ربه ، احمد بن محمّد</w:t>
      </w:r>
    </w:p>
    <w:p>
      <w:pPr>
        <w:pStyle w:val="BookText"/>
      </w:pPr>
      <w:r>
        <w:rPr>
          <w:rFonts w:ascii="Amiri" w:hAnsi="Amiri" w:eastAsia="Amiri" w:cs="Amiri"/>
          <w:lang w:bidi="ar-SA"/>
          <w:color w:val="111111"/>
          <w:sz w:val="28"/>
          <w:szCs w:val="28"/>
          <w:rtl/>
        </w:rPr>
        <w:t xml:space="preserve">احمد بن محمّد قزويني -قزويني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قسطلاني- قسطلاني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IRNazanin" w:hAnsi="IRNazanin" w:eastAsia="IRNazanin" w:cs="IRNazanin"/>
          <w:lang w:bidi="fa-IR"/>
          <w:color w:val="111111"/>
          <w:sz w:val="28"/>
          <w:szCs w:val="28"/>
          <w:rtl/>
        </w:rPr>
        <w:t xml:space="preserve">احمد بن محمّد قسیم</w:t>
      </w:r>
    </w:p>
    <w:p>
      <w:pPr>
        <w:pStyle w:val="BookText"/>
      </w:pPr>
      <w:r>
        <w:rPr>
          <w:rFonts w:ascii="Amiri" w:hAnsi="Amiri" w:eastAsia="Amiri" w:cs="Amiri"/>
          <w:lang w:bidi="ar-SA"/>
          <w:color w:val="111111"/>
          <w:sz w:val="28"/>
          <w:szCs w:val="28"/>
          <w:rtl/>
        </w:rPr>
        <w:t xml:space="preserve">سنندجي - سنندجي ، احمد بن محمّد</w:t>
      </w:r>
    </w:p>
    <w:p>
      <w:pPr>
        <w:pStyle w:val="BookText"/>
      </w:pPr>
      <w:r>
        <w:rPr>
          <w:rFonts w:ascii="IRNazanin" w:hAnsi="IRNazanin" w:eastAsia="IRNazanin" w:cs="IRNazanin"/>
          <w:lang w:bidi="fa-IR"/>
          <w:color w:val="111111"/>
          <w:sz w:val="28"/>
          <w:szCs w:val="28"/>
          <w:rtl/>
        </w:rPr>
        <w:t xml:space="preserve">قسیم</w:t>
      </w:r>
    </w:p>
    <w:p>
      <w:pPr>
        <w:pStyle w:val="BookText"/>
      </w:pPr>
      <w:r>
        <w:rPr>
          <w:rFonts w:ascii="Amiri" w:hAnsi="Amiri" w:eastAsia="Amiri" w:cs="Amiri"/>
          <w:lang w:bidi="ar-SA"/>
          <w:color w:val="111111"/>
          <w:sz w:val="28"/>
          <w:szCs w:val="28"/>
          <w:rtl/>
        </w:rPr>
        <w:t xml:space="preserve">احمد بن محمّد محسن فيضي- فيضي</w:t>
      </w:r>
    </w:p>
    <w:p>
      <w:pPr>
        <w:pStyle w:val="BookText"/>
      </w:pPr>
      <w:r>
        <w:rPr>
          <w:rFonts w:ascii="IRNazanin" w:hAnsi="IRNazanin" w:eastAsia="IRNazanin" w:cs="IRNazanin"/>
          <w:lang w:bidi="fa-IR"/>
          <w:color w:val="111111"/>
          <w:sz w:val="28"/>
          <w:szCs w:val="28"/>
          <w:rtl/>
        </w:rPr>
        <w:t xml:space="preserve">احمد بن محمّد محسن</w:t>
      </w:r>
    </w:p>
    <w:p>
      <w:pPr>
        <w:pStyle w:val="BookText"/>
      </w:pPr>
      <w:r>
        <w:rPr>
          <w:rFonts w:ascii="IRNazanin" w:hAnsi="IRNazanin" w:eastAsia="IRNazanin" w:cs="IRNazanin"/>
          <w:lang w:bidi="fa-IR"/>
          <w:color w:val="111111"/>
          <w:sz w:val="28"/>
          <w:szCs w:val="28"/>
          <w:rtl/>
        </w:rPr>
        <w:t xml:space="preserve">احمد بن محمّد محسن کاشاني- كاشاني ،</w:t>
      </w:r>
    </w:p>
    <w:p>
      <w:pPr>
        <w:pStyle w:val="BookText"/>
      </w:pPr>
      <w:r>
        <w:rPr>
          <w:rFonts w:ascii="IRNazanin" w:hAnsi="IRNazanin" w:eastAsia="IRNazanin" w:cs="IRNazanin"/>
          <w:lang w:bidi="fa-IR"/>
          <w:color w:val="111111"/>
          <w:sz w:val="28"/>
          <w:szCs w:val="28"/>
          <w:rtl/>
        </w:rPr>
        <w:t xml:space="preserve">احمد بن محسن</w:t>
      </w:r>
    </w:p>
    <w:p>
      <w:pPr>
        <w:pStyle w:val="BookText"/>
      </w:pPr>
      <w:r>
        <w:rPr>
          <w:rFonts w:ascii="Amiri" w:hAnsi="Amiri" w:eastAsia="Amiri" w:cs="Amiri"/>
          <w:lang w:bidi="ar-SA"/>
          <w:color w:val="111111"/>
          <w:sz w:val="28"/>
          <w:szCs w:val="28"/>
          <w:rtl/>
        </w:rPr>
        <w:t xml:space="preserve">احمد بن محمّد مدني زجاجي- مدني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مرادي نحاس- نحاس</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مرزوقي</w:t>
      </w:r>
    </w:p>
    <w:p>
      <w:pPr>
        <w:pStyle w:val="BookText"/>
      </w:pPr>
      <w:r>
        <w:rPr>
          <w:rFonts w:ascii="Amiri" w:hAnsi="Amiri" w:eastAsia="Amiri" w:cs="Amiri"/>
          <w:lang w:bidi="ar-SA"/>
          <w:color w:val="111111"/>
          <w:sz w:val="28"/>
          <w:szCs w:val="28"/>
          <w:rtl/>
        </w:rPr>
        <w:t xml:space="preserve">اصفهاني - مرزوقي اصفهاني ، احمد بن محمّد</w:t>
      </w:r>
    </w:p>
    <w:p>
      <w:pPr>
        <w:pStyle w:val="BookText"/>
      </w:pPr>
      <w:r>
        <w:rPr>
          <w:rFonts w:ascii="Amiri" w:hAnsi="Amiri" w:eastAsia="Amiri" w:cs="Amiri"/>
          <w:lang w:bidi="ar-SA"/>
          <w:color w:val="111111"/>
          <w:sz w:val="28"/>
          <w:szCs w:val="28"/>
          <w:rtl/>
        </w:rPr>
        <w:t xml:space="preserve">احمد بن محمّد مرسي -مرسي ، احمد بن محمّد</w:t>
      </w:r>
    </w:p>
    <w:p>
      <w:pPr>
        <w:pStyle w:val="BookText"/>
      </w:pPr>
      <w:r>
        <w:rPr>
          <w:rFonts w:ascii="Amiri" w:hAnsi="Amiri" w:eastAsia="Amiri" w:cs="Amiri"/>
          <w:lang w:bidi="ar-SA"/>
          <w:color w:val="111111"/>
          <w:sz w:val="28"/>
          <w:szCs w:val="28"/>
          <w:rtl/>
        </w:rPr>
        <w:t xml:space="preserve">احمد بن محمّد كاظم كفائي</w:t>
      </w:r>
    </w:p>
    <w:p>
      <w:pPr>
        <w:pStyle w:val="BookText"/>
      </w:pPr>
      <w:r>
        <w:rPr>
          <w:rFonts w:ascii="Amiri" w:hAnsi="Amiri" w:eastAsia="Amiri" w:cs="Amiri"/>
          <w:lang w:bidi="ar-SA"/>
          <w:color w:val="111111"/>
          <w:sz w:val="28"/>
          <w:szCs w:val="28"/>
          <w:rtl/>
        </w:rPr>
        <w:t xml:space="preserve">خراساني كفائي -خراساني ، احمد بن محمّد</w:t>
      </w:r>
    </w:p>
    <w:p>
      <w:pPr>
        <w:pStyle w:val="BookText"/>
      </w:pPr>
      <w:r>
        <w:rPr>
          <w:rFonts w:ascii="IRNazanin" w:hAnsi="IRNazanin" w:eastAsia="IRNazanin" w:cs="IRNazanin"/>
          <w:lang w:bidi="fa-IR"/>
          <w:color w:val="111111"/>
          <w:sz w:val="28"/>
          <w:szCs w:val="28"/>
          <w:rtl/>
        </w:rPr>
        <w:t xml:space="preserve">کاظم</w:t>
      </w:r>
    </w:p>
    <w:p>
      <w:pPr>
        <w:pStyle w:val="BookText"/>
      </w:pPr>
      <w:r>
        <w:rPr>
          <w:rFonts w:ascii="Amiri" w:hAnsi="Amiri" w:eastAsia="Amiri" w:cs="Amiri"/>
          <w:lang w:bidi="ar-SA"/>
          <w:color w:val="111111"/>
          <w:sz w:val="28"/>
          <w:szCs w:val="28"/>
          <w:rtl/>
        </w:rPr>
        <w:t xml:space="preserve">احمد بن محمّد كردي -كردي علاني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كلاباذي بخاري -كلاباذي</w:t>
      </w:r>
    </w:p>
    <w:p>
      <w:pPr>
        <w:pStyle w:val="BookText"/>
      </w:pPr>
      <w:r>
        <w:rPr>
          <w:rFonts w:ascii="Amiri" w:hAnsi="Amiri" w:eastAsia="Amiri" w:cs="Amiri"/>
          <w:lang w:bidi="ar-SA"/>
          <w:color w:val="111111"/>
          <w:sz w:val="28"/>
          <w:szCs w:val="28"/>
          <w:rtl/>
        </w:rPr>
        <w:t xml:space="preserve">بخاري، احمد بن محمّد</w:t>
      </w:r>
    </w:p>
    <w:p>
      <w:pPr>
        <w:pStyle w:val="BookText"/>
      </w:pPr>
      <w:r>
        <w:rPr>
          <w:rFonts w:ascii="Amiri" w:hAnsi="Amiri" w:eastAsia="Amiri" w:cs="Amiri"/>
          <w:lang w:bidi="ar-SA"/>
          <w:color w:val="111111"/>
          <w:sz w:val="28"/>
          <w:szCs w:val="28"/>
          <w:rtl/>
        </w:rPr>
        <w:t xml:space="preserve">احمد بن محمّد كليجاني -كليجاني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كواكبي زهراوي- كواكبي</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مرصفي -مرصفي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مرعشي دباغي- مرعشي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مغنيساوي- مغنيساوي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مفتي قيصري- مفتي</w:t>
      </w:r>
    </w:p>
    <w:p>
      <w:pPr>
        <w:pStyle w:val="BookText"/>
      </w:pPr>
      <w:r>
        <w:rPr>
          <w:rFonts w:ascii="Amiri" w:hAnsi="Amiri" w:eastAsia="Amiri" w:cs="Amiri"/>
          <w:lang w:bidi="ar-SA"/>
          <w:color w:val="111111"/>
          <w:sz w:val="28"/>
          <w:szCs w:val="28"/>
          <w:rtl/>
        </w:rPr>
        <w:t xml:space="preserve">قيصري، احمد بن محمّد</w:t>
      </w:r>
    </w:p>
    <w:p>
      <w:pPr>
        <w:pStyle w:val="BookText"/>
      </w:pPr>
      <w:r>
        <w:rPr>
          <w:rFonts w:ascii="Amiri" w:hAnsi="Amiri" w:eastAsia="Amiri" w:cs="Amiri"/>
          <w:lang w:bidi="ar-SA"/>
          <w:color w:val="111111"/>
          <w:sz w:val="28"/>
          <w:szCs w:val="28"/>
          <w:rtl/>
        </w:rPr>
        <w:t xml:space="preserve">احمد بن محمّد مفيد هزار جريبي- مفيد</w:t>
      </w:r>
    </w:p>
    <w:p>
      <w:pPr>
        <w:pStyle w:val="BookText"/>
      </w:pPr>
      <w:r>
        <w:rPr>
          <w:rFonts w:ascii="Amiri" w:hAnsi="Amiri" w:eastAsia="Amiri" w:cs="Amiri"/>
          <w:lang w:bidi="ar-SA"/>
          <w:color w:val="111111"/>
          <w:sz w:val="28"/>
          <w:szCs w:val="28"/>
          <w:rtl/>
        </w:rPr>
        <w:t xml:space="preserve">هزار جريبي ، احمد بن محمّد</w:t>
      </w:r>
    </w:p>
    <w:p>
      <w:pPr>
        <w:pStyle w:val="BookText"/>
      </w:pPr>
      <w:r>
        <w:rPr>
          <w:rFonts w:ascii="IRNazanin" w:hAnsi="IRNazanin" w:eastAsia="IRNazanin" w:cs="IRNazanin"/>
          <w:lang w:bidi="fa-IR"/>
          <w:color w:val="111111"/>
          <w:sz w:val="28"/>
          <w:szCs w:val="28"/>
          <w:rtl/>
        </w:rPr>
        <w:t xml:space="preserve">احمد بن محمّد گيلاني نظام الدين- گيلاني احمد بن محمّد</w:t>
      </w:r>
    </w:p>
    <w:p>
      <w:pPr>
        <w:pStyle w:val="BookText"/>
      </w:pPr>
      <w:r>
        <w:rPr>
          <w:rFonts w:ascii="Amiri" w:hAnsi="Amiri" w:eastAsia="Amiri" w:cs="Amiri"/>
          <w:lang w:bidi="ar-SA"/>
          <w:color w:val="111111"/>
          <w:sz w:val="28"/>
          <w:szCs w:val="28"/>
          <w:rtl/>
        </w:rPr>
        <w:t xml:space="preserve">احمد بن محمّد لاهيجاني- اخجالي</w:t>
      </w:r>
    </w:p>
    <w:p>
      <w:pPr>
        <w:pStyle w:val="BookText"/>
      </w:pPr>
      <w:r>
        <w:rPr>
          <w:rFonts w:ascii="Amiri" w:hAnsi="Amiri" w:eastAsia="Amiri" w:cs="Amiri"/>
          <w:lang w:bidi="ar-SA"/>
          <w:color w:val="111111"/>
          <w:sz w:val="28"/>
          <w:szCs w:val="28"/>
          <w:rtl/>
        </w:rPr>
        <w:t xml:space="preserve">لاهيجي ، احمد بن محمّد</w:t>
      </w:r>
    </w:p>
    <w:p>
      <w:pPr>
        <w:pStyle w:val="BookText"/>
      </w:pPr>
      <w:r>
        <w:rPr>
          <w:rFonts w:ascii="Amiri" w:hAnsi="Amiri" w:eastAsia="Amiri" w:cs="Amiri"/>
          <w:lang w:bidi="ar-SA"/>
          <w:color w:val="111111"/>
          <w:sz w:val="28"/>
          <w:szCs w:val="28"/>
          <w:rtl/>
        </w:rPr>
        <w:t xml:space="preserve">احمد بن محمّد متبولي -متبولي ، احمد بن محمّد</w:t>
      </w:r>
    </w:p>
    <w:p>
      <w:pPr>
        <w:pStyle w:val="BookText"/>
      </w:pPr>
      <w:r>
        <w:rPr>
          <w:rFonts w:ascii="Amiri" w:hAnsi="Amiri" w:eastAsia="Amiri" w:cs="Amiri"/>
          <w:lang w:bidi="ar-SA"/>
          <w:color w:val="111111"/>
          <w:sz w:val="28"/>
          <w:szCs w:val="28"/>
          <w:rtl/>
        </w:rPr>
        <w:t xml:space="preserve">احمد بن محمّد مقدس اردبيلي- مقدس اردبيلي ، احمد بن محمّد</w:t>
      </w:r>
    </w:p>
    <w:p>
      <w:pPr>
        <w:pStyle w:val="BookText"/>
      </w:pPr>
      <w:r>
        <w:rPr>
          <w:rFonts w:ascii="Amiri" w:hAnsi="Amiri" w:eastAsia="Amiri" w:cs="Amiri"/>
          <w:lang w:bidi="ar-SA"/>
          <w:color w:val="111111"/>
          <w:sz w:val="28"/>
          <w:szCs w:val="28"/>
          <w:rtl/>
        </w:rPr>
        <w:t xml:space="preserve">احمد بن محمّد مقدسي قشاشي- بدري</w:t>
      </w:r>
    </w:p>
    <w:p>
      <w:pPr>
        <w:pStyle w:val="BookText"/>
      </w:pPr>
      <w:r>
        <w:rPr>
          <w:rFonts w:ascii="Amiri" w:hAnsi="Amiri" w:eastAsia="Amiri" w:cs="Amiri"/>
          <w:lang w:bidi="ar-SA"/>
          <w:color w:val="111111"/>
          <w:sz w:val="28"/>
          <w:szCs w:val="28"/>
          <w:rtl/>
        </w:rPr>
        <w:t xml:space="preserve">قشاشي ، صفي الدين احمد</w:t>
      </w:r>
    </w:p>
    <w:p>
      <w:pPr>
        <w:pStyle w:val="BookText"/>
      </w:pPr>
      <w:r>
        <w:rPr>
          <w:rFonts w:ascii="Amiri" w:hAnsi="Amiri" w:eastAsia="Amiri" w:cs="Amiri"/>
          <w:lang w:bidi="ar-SA"/>
          <w:color w:val="111111"/>
          <w:sz w:val="28"/>
          <w:szCs w:val="28"/>
          <w:rtl/>
        </w:rPr>
        <w:t xml:space="preserve">احمد بن محمّد مقري تلمساني- مقري ،</w:t>
      </w:r>
    </w:p>
    <w:p>
      <w:pPr>
        <w:pStyle w:val="BookText"/>
      </w:pPr>
      <w:r>
        <w:rPr>
          <w:rFonts w:ascii="IRNazanin" w:hAnsi="IRNazanin" w:eastAsia="IRNazanin" w:cs="IRNazanin"/>
          <w:lang w:bidi="fa-IR"/>
          <w:color w:val="111111"/>
          <w:sz w:val="28"/>
          <w:szCs w:val="28"/>
          <w:rtl/>
        </w:rPr>
        <w:t xml:space="preserve">احمد بن محمّد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محمّد مكي حسيني حموي -حموي ، احمد بن محمّد</w:t>
      </w:r>
    </w:p>
    <w:p>
      <w:pPr>
        <w:pStyle w:val="BookText"/>
      </w:pPr>
      <w:r>
        <w:rPr>
          <w:rFonts w:ascii="Amiri" w:hAnsi="Amiri" w:eastAsia="Amiri" w:cs="Amiri"/>
          <w:lang w:bidi="ar-SA"/>
          <w:color w:val="111111"/>
          <w:sz w:val="28"/>
          <w:szCs w:val="28"/>
          <w:rtl/>
        </w:rPr>
        <w:t xml:space="preserve">احمد بن محمّد منوفي قاهري- منوفي</w:t>
      </w:r>
    </w:p>
    <w:p>
      <w:pPr>
        <w:pStyle w:val="BookText"/>
      </w:pPr>
      <w:r>
        <w:rPr>
          <w:rFonts w:ascii="Amiri" w:hAnsi="Amiri" w:eastAsia="Amiri" w:cs="Amiri"/>
          <w:lang w:bidi="ar-SA"/>
          <w:color w:val="111111"/>
          <w:sz w:val="28"/>
          <w:szCs w:val="28"/>
          <w:rtl/>
        </w:rPr>
        <w:t xml:space="preserve">قاهري ، احمد بن محمّد</w:t>
      </w:r>
    </w:p>
    <w:p>
      <w:pPr>
        <w:pStyle w:val="BookText"/>
      </w:pPr>
      <w:r>
        <w:rPr>
          <w:rFonts w:ascii="Amiri" w:hAnsi="Amiri" w:eastAsia="Amiri" w:cs="Amiri"/>
          <w:lang w:bidi="ar-SA"/>
          <w:color w:val="111111"/>
          <w:sz w:val="28"/>
          <w:szCs w:val="28"/>
          <w:rtl/>
        </w:rPr>
        <w:t xml:space="preserve">احمد بن محمّد مهدي اردبيلي اصفهاني خاتون آبادي شريف خاتون آبادي ، احمد</w:t>
      </w:r>
    </w:p>
    <w:p>
      <w:pPr>
        <w:pStyle w:val="BookText"/>
      </w:pPr>
      <w:r>
        <w:rPr>
          <w:rFonts w:ascii="Amiri" w:hAnsi="Amiri" w:eastAsia="Amiri" w:cs="Amiri"/>
          <w:lang w:bidi="ar-SA"/>
          <w:color w:val="111111"/>
          <w:sz w:val="28"/>
          <w:szCs w:val="28"/>
          <w:rtl/>
        </w:rPr>
        <w:t xml:space="preserve">بن محمّد مهدي</w:t>
      </w:r>
    </w:p>
    <w:p>
      <w:pPr>
        <w:pStyle w:val="BookText"/>
      </w:pPr>
      <w:r>
        <w:rPr>
          <w:rFonts w:ascii="Amiri" w:hAnsi="Amiri" w:eastAsia="Amiri" w:cs="Amiri"/>
          <w:lang w:bidi="ar-SA"/>
          <w:color w:val="111111"/>
          <w:sz w:val="28"/>
          <w:szCs w:val="28"/>
          <w:rtl/>
        </w:rPr>
        <w:t xml:space="preserve">احمد بن محمّد مهدي موسوي كاشاني -موسوي كاشاني، احمد بن محمّد مهدي</w:t>
      </w:r>
    </w:p>
    <w:p>
      <w:pPr>
        <w:pStyle w:val="BookText"/>
      </w:pPr>
      <w:r>
        <w:rPr>
          <w:rFonts w:ascii="Amiri" w:hAnsi="Amiri" w:eastAsia="Amiri" w:cs="Amiri"/>
          <w:lang w:bidi="ar-SA"/>
          <w:color w:val="111111"/>
          <w:sz w:val="28"/>
          <w:szCs w:val="28"/>
          <w:rtl/>
        </w:rPr>
        <w:t xml:space="preserve">احمد بن محمّد ميداني -ميداني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احمد بن محمّد نحوي -نحوي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احمد بن محمّد وتري ضياء الدين- وتري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احمد بن محمّد ولائي -ولائي ، احمد بن</w:t>
      </w:r>
    </w:p>
    <w:p>
      <w:pPr>
        <w:pStyle w:val="BookText"/>
      </w:pPr>
      <w:r>
        <w:rPr>
          <w:rFonts w:ascii="Amiri" w:hAnsi="Amiri" w:eastAsia="Amiri" w:cs="Amiri"/>
          <w:lang w:bidi="ar-SA"/>
          <w:color w:val="111111"/>
          <w:sz w:val="28"/>
          <w:szCs w:val="28"/>
          <w:rtl/>
        </w:rPr>
        <w:t xml:space="preserve">محمد بن يعقوب</w:t>
      </w:r>
    </w:p>
    <w:p>
      <w:pPr>
        <w:pStyle w:val="BookText"/>
      </w:pPr>
      <w:r>
        <w:rPr>
          <w:rFonts w:ascii="Amiri" w:hAnsi="Amiri" w:eastAsia="Amiri" w:cs="Amiri"/>
          <w:lang w:bidi="ar-SA"/>
          <w:color w:val="111111"/>
          <w:sz w:val="28"/>
          <w:szCs w:val="28"/>
          <w:rtl/>
        </w:rPr>
        <w:t xml:space="preserve">احمد بن محمّد هادي حسيني- حسيني ،</w:t>
      </w:r>
    </w:p>
    <w:p>
      <w:pPr>
        <w:pStyle w:val="BookText"/>
      </w:pPr>
      <w:r>
        <w:rPr>
          <w:rFonts w:ascii="Amiri" w:hAnsi="Amiri" w:eastAsia="Amiri" w:cs="Amiri"/>
          <w:lang w:bidi="ar-SA"/>
          <w:color w:val="111111"/>
          <w:sz w:val="28"/>
          <w:szCs w:val="28"/>
          <w:rtl/>
        </w:rPr>
        <w:t xml:space="preserve">احمد بن محمّد هادي</w:t>
      </w:r>
    </w:p>
    <w:p>
      <w:pPr>
        <w:pStyle w:val="BookText"/>
      </w:pPr>
      <w:r>
        <w:rPr>
          <w:rFonts w:ascii="Amiri" w:hAnsi="Amiri" w:eastAsia="Amiri" w:cs="Amiri"/>
          <w:lang w:bidi="ar-SA"/>
          <w:color w:val="111111"/>
          <w:sz w:val="28"/>
          <w:szCs w:val="28"/>
          <w:rtl/>
        </w:rPr>
        <w:t xml:space="preserve">احمد بن محمّد هبراوي شافعي -هبراوي ، احمد بن محمّد</w:t>
      </w:r>
    </w:p>
    <w:p>
      <w:pPr>
        <w:pStyle w:val="BookText"/>
      </w:pPr>
      <w:r>
        <w:rPr>
          <w:rFonts w:ascii="Amiri" w:hAnsi="Amiri" w:eastAsia="Amiri" w:cs="Amiri"/>
          <w:lang w:bidi="ar-SA"/>
          <w:color w:val="111111"/>
          <w:sz w:val="28"/>
          <w:szCs w:val="28"/>
          <w:rtl/>
        </w:rPr>
        <w:t xml:space="preserve">احمد بن محمّد هروي بغوي- ابن بغوي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هروي ابوعبيد -هروي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هلي بصري- آملي طبري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بن محمّد هيتمي- ابن حجر</w:t>
      </w:r>
    </w:p>
    <w:p>
      <w:pPr>
        <w:pStyle w:val="BookText"/>
      </w:pPr>
      <w:r>
        <w:rPr>
          <w:rFonts w:ascii="Amiri" w:hAnsi="Amiri" w:eastAsia="Amiri" w:cs="Amiri"/>
          <w:lang w:bidi="ar-SA"/>
          <w:color w:val="111111"/>
          <w:sz w:val="28"/>
          <w:szCs w:val="28"/>
          <w:rtl/>
        </w:rPr>
        <w:t xml:space="preserve">هيثمي ، احمد بن محمّد</w:t>
      </w:r>
    </w:p>
    <w:p>
      <w:pPr>
        <w:pStyle w:val="BookText"/>
      </w:pPr>
      <w:r>
        <w:rPr>
          <w:rFonts w:ascii="Amiri" w:hAnsi="Amiri" w:eastAsia="Amiri" w:cs="Amiri"/>
          <w:lang w:bidi="ar-SA"/>
          <w:color w:val="111111"/>
          <w:sz w:val="28"/>
          <w:szCs w:val="28"/>
          <w:rtl/>
        </w:rPr>
        <w:t xml:space="preserve">احمد بن محمود جيلي اصفهبدي- جيلي</w:t>
      </w:r>
    </w:p>
    <w:p>
      <w:pPr>
        <w:pStyle w:val="BookText"/>
      </w:pPr>
      <w:r>
        <w:rPr>
          <w:rFonts w:ascii="IRNazanin" w:hAnsi="IRNazanin" w:eastAsia="IRNazanin" w:cs="IRNazanin"/>
          <w:lang w:bidi="fa-IR"/>
          <w:color w:val="111111"/>
          <w:sz w:val="28"/>
          <w:szCs w:val="28"/>
          <w:rtl/>
        </w:rPr>
        <w:t xml:space="preserve">، احمد بن محمود</w:t>
      </w:r>
    </w:p>
    <w:p>
      <w:pPr>
        <w:pStyle w:val="BookText"/>
      </w:pPr>
      <w:r>
        <w:rPr>
          <w:rFonts w:ascii="Amiri" w:hAnsi="Amiri" w:eastAsia="Amiri" w:cs="Amiri"/>
          <w:lang w:bidi="ar-SA"/>
          <w:color w:val="111111"/>
          <w:sz w:val="28"/>
          <w:szCs w:val="28"/>
          <w:rtl/>
        </w:rPr>
        <w:t xml:space="preserve">احمد بن محمود خجندي -خجندي ،</w:t>
      </w:r>
    </w:p>
    <w:p>
      <w:pPr>
        <w:pStyle w:val="BookText"/>
      </w:pPr>
      <w:r>
        <w:rPr>
          <w:rFonts w:ascii="IRNazanin" w:hAnsi="IRNazanin" w:eastAsia="IRNazanin" w:cs="IRNazanin"/>
          <w:lang w:bidi="fa-IR"/>
          <w:color w:val="111111"/>
          <w:sz w:val="28"/>
          <w:szCs w:val="28"/>
          <w:rtl/>
        </w:rPr>
        <w:t xml:space="preserve">احمد بن محمود</w:t>
      </w:r>
    </w:p>
    <w:p>
      <w:pPr>
        <w:pStyle w:val="BookText"/>
      </w:pPr>
      <w:r>
        <w:rPr>
          <w:rFonts w:ascii="Amiri" w:hAnsi="Amiri" w:eastAsia="Amiri" w:cs="Amiri"/>
          <w:lang w:bidi="ar-SA"/>
          <w:color w:val="111111"/>
          <w:sz w:val="28"/>
          <w:szCs w:val="28"/>
          <w:rtl/>
        </w:rPr>
        <w:t xml:space="preserve">احمد بن محمود سيواسي- سيواسي</w:t>
      </w:r>
    </w:p>
    <w:p>
      <w:pPr>
        <w:pStyle w:val="BookText"/>
      </w:pPr>
      <w:r>
        <w:rPr>
          <w:rFonts w:ascii="IRNazanin" w:hAnsi="IRNazanin" w:eastAsia="IRNazanin" w:cs="IRNazanin"/>
          <w:lang w:bidi="fa-IR"/>
          <w:color w:val="111111"/>
          <w:sz w:val="28"/>
          <w:szCs w:val="28"/>
          <w:rtl/>
        </w:rPr>
        <w:t xml:space="preserve">احمد بن محمود</w:t>
      </w:r>
    </w:p>
    <w:p>
      <w:pPr>
        <w:pStyle w:val="BookText"/>
      </w:pPr>
      <w:r>
        <w:rPr>
          <w:rFonts w:ascii="Amiri" w:hAnsi="Amiri" w:eastAsia="Amiri" w:cs="Amiri"/>
          <w:lang w:bidi="ar-SA"/>
          <w:color w:val="111111"/>
          <w:sz w:val="28"/>
          <w:szCs w:val="28"/>
          <w:rtl/>
        </w:rPr>
        <w:t xml:space="preserve">احمد بن محمود الشهزوري البرزنجي - شهرزوري ، احمد بن محمّد</w:t>
      </w:r>
    </w:p>
    <w:p>
      <w:pPr>
        <w:pStyle w:val="BookText"/>
      </w:pPr>
      <w:r>
        <w:rPr>
          <w:rFonts w:ascii="Amiri" w:hAnsi="Amiri" w:eastAsia="Amiri" w:cs="Amiri"/>
          <w:lang w:bidi="ar-SA"/>
          <w:color w:val="111111"/>
          <w:sz w:val="28"/>
          <w:szCs w:val="28"/>
          <w:rtl/>
        </w:rPr>
        <w:t xml:space="preserve">احمد بن محمود النسفي -ابن ابي المؤيد</w:t>
      </w:r>
    </w:p>
    <w:p>
      <w:pPr>
        <w:pStyle w:val="BookText"/>
      </w:pPr>
      <w:r>
        <w:rPr>
          <w:rFonts w:ascii="Amiri" w:hAnsi="Amiri" w:eastAsia="Amiri" w:cs="Amiri"/>
          <w:lang w:bidi="ar-SA"/>
          <w:color w:val="111111"/>
          <w:sz w:val="28"/>
          <w:szCs w:val="28"/>
          <w:rtl/>
        </w:rPr>
        <w:t xml:space="preserve">نسفي ، احمد بن محمود</w:t>
      </w:r>
    </w:p>
    <w:p>
      <w:pPr>
        <w:pStyle w:val="BookText"/>
      </w:pPr>
      <w:r>
        <w:rPr>
          <w:rFonts w:ascii="Amiri" w:hAnsi="Amiri" w:eastAsia="Amiri" w:cs="Amiri"/>
          <w:lang w:bidi="ar-SA"/>
          <w:color w:val="111111"/>
          <w:sz w:val="28"/>
          <w:szCs w:val="28"/>
          <w:rtl/>
        </w:rPr>
        <w:t xml:space="preserve">احمد بن محمود هروي خزرباني -ملازاده</w:t>
      </w:r>
    </w:p>
    <w:p>
      <w:pPr>
        <w:pStyle w:val="BookText"/>
      </w:pPr>
      <w:r>
        <w:rPr>
          <w:rFonts w:ascii="Amiri" w:hAnsi="Amiri" w:eastAsia="Amiri" w:cs="Amiri"/>
          <w:lang w:bidi="ar-SA"/>
          <w:color w:val="111111"/>
          <w:sz w:val="28"/>
          <w:szCs w:val="28"/>
          <w:rtl/>
        </w:rPr>
        <w:t xml:space="preserve">هروي ، احمد بن محمود</w:t>
      </w:r>
    </w:p>
    <w:p>
      <w:pPr>
        <w:pStyle w:val="BookText"/>
      </w:pPr>
      <w:r>
        <w:rPr>
          <w:rFonts w:ascii="Amiri" w:hAnsi="Amiri" w:eastAsia="Amiri" w:cs="Amiri"/>
          <w:lang w:bidi="ar-SA"/>
          <w:color w:val="111111"/>
          <w:sz w:val="28"/>
          <w:szCs w:val="28"/>
          <w:rtl/>
        </w:rPr>
        <w:t xml:space="preserve">احمد بن مراد اقليشي -اقليشي ، احمد بن معد</w:t>
      </w:r>
    </w:p>
    <w:p>
      <w:pPr>
        <w:pStyle w:val="BookText"/>
      </w:pPr>
      <w:r>
        <w:rPr>
          <w:rFonts w:ascii="Amiri" w:hAnsi="Amiri" w:eastAsia="Amiri" w:cs="Amiri"/>
          <w:lang w:bidi="ar-SA"/>
          <w:color w:val="111111"/>
          <w:sz w:val="28"/>
          <w:szCs w:val="28"/>
          <w:rtl/>
        </w:rPr>
        <w:t xml:space="preserve">احمد بن مروان دينوري مالكي -مالكي</w:t>
      </w:r>
    </w:p>
    <w:p>
      <w:pPr>
        <w:pStyle w:val="BookText"/>
      </w:pPr>
      <w:r>
        <w:rPr>
          <w:rFonts w:ascii="IRNazanin" w:hAnsi="IRNazanin" w:eastAsia="IRNazanin" w:cs="IRNazanin"/>
          <w:lang w:bidi="fa-IR"/>
          <w:color w:val="111111"/>
          <w:sz w:val="28"/>
          <w:szCs w:val="28"/>
          <w:rtl/>
        </w:rPr>
        <w:t xml:space="preserve">احمد بن مروان</w:t>
      </w:r>
    </w:p>
    <w:p>
      <w:pPr>
        <w:pStyle w:val="BookText"/>
      </w:pPr>
      <w:r>
        <w:rPr>
          <w:rFonts w:ascii="Amiri" w:hAnsi="Amiri" w:eastAsia="Amiri" w:cs="Amiri"/>
          <w:lang w:bidi="ar-SA"/>
          <w:color w:val="111111"/>
          <w:sz w:val="28"/>
          <w:szCs w:val="28"/>
          <w:rtl/>
        </w:rPr>
        <w:t xml:space="preserve">احمد بن مسعود بن محمود طبيب</w:t>
      </w:r>
    </w:p>
    <w:p>
      <w:pPr>
        <w:pStyle w:val="BookText"/>
      </w:pPr>
      <w:r>
        <w:rPr>
          <w:rFonts w:ascii="Amiri" w:hAnsi="Amiri" w:eastAsia="Amiri" w:cs="Amiri"/>
          <w:lang w:bidi="ar-SA"/>
          <w:color w:val="111111"/>
          <w:sz w:val="28"/>
          <w:szCs w:val="28"/>
          <w:rtl/>
        </w:rPr>
        <w:t xml:space="preserve">كاشاني -كاشي ، جمشيد بن مسعود</w:t>
      </w:r>
    </w:p>
    <w:p>
      <w:pPr>
        <w:pStyle w:val="BookText"/>
      </w:pPr>
      <w:r>
        <w:rPr>
          <w:rFonts w:ascii="Amiri" w:hAnsi="Amiri" w:eastAsia="Amiri" w:cs="Amiri"/>
          <w:lang w:bidi="ar-SA"/>
          <w:color w:val="111111"/>
          <w:sz w:val="28"/>
          <w:szCs w:val="28"/>
          <w:rtl/>
        </w:rPr>
        <w:t xml:space="preserve">احمد بن مصطفى الرومي الصاروخاني- صاروخاني ، احمد بن مصطفى</w:t>
      </w:r>
    </w:p>
    <w:p>
      <w:pPr>
        <w:pStyle w:val="BookText"/>
      </w:pPr>
      <w:r>
        <w:rPr>
          <w:rFonts w:ascii="IRNazanin" w:hAnsi="IRNazanin" w:eastAsia="IRNazanin" w:cs="IRNazanin"/>
          <w:lang w:bidi="fa-IR"/>
          <w:color w:val="111111"/>
          <w:sz w:val="28"/>
          <w:szCs w:val="28"/>
          <w:rtl/>
        </w:rPr>
        <w:t xml:space="preserve">احمد بن مصطفى طاشکبری زاده - طاش</w:t>
      </w:r>
    </w:p>
    <w:p>
      <w:pPr>
        <w:pStyle w:val="BookText"/>
      </w:pPr>
      <w:r>
        <w:rPr>
          <w:rFonts w:ascii="IRNazanin" w:hAnsi="IRNazanin" w:eastAsia="IRNazanin" w:cs="IRNazanin"/>
          <w:lang w:bidi="fa-IR"/>
          <w:color w:val="111111"/>
          <w:sz w:val="28"/>
          <w:szCs w:val="28"/>
          <w:rtl/>
        </w:rPr>
        <w:t xml:space="preserve">کبری زاده، احمد بن مصطفى</w:t>
      </w:r>
    </w:p>
    <w:p>
      <w:pPr>
        <w:pStyle w:val="BookText"/>
      </w:pPr>
      <w:r>
        <w:rPr>
          <w:rFonts w:ascii="Amiri" w:hAnsi="Amiri" w:eastAsia="Amiri" w:cs="Amiri"/>
          <w:lang w:bidi="ar-SA"/>
          <w:color w:val="111111"/>
          <w:sz w:val="28"/>
          <w:szCs w:val="28"/>
          <w:rtl/>
        </w:rPr>
        <w:t xml:space="preserve">احمد بن مصطفى نقشبندي- نقشبندي ،</w:t>
      </w:r>
    </w:p>
    <w:p>
      <w:pPr>
        <w:pStyle w:val="BookText"/>
      </w:pPr>
      <w:r>
        <w:rPr>
          <w:rFonts w:ascii="IRNazanin" w:hAnsi="IRNazanin" w:eastAsia="IRNazanin" w:cs="IRNazanin"/>
          <w:lang w:bidi="fa-IR"/>
          <w:color w:val="111111"/>
          <w:sz w:val="28"/>
          <w:szCs w:val="28"/>
          <w:rtl/>
        </w:rPr>
        <w:t xml:space="preserve">احمد بن مصطفى</w:t>
      </w:r>
    </w:p>
    <w:p>
      <w:pPr>
        <w:pStyle w:val="BookText"/>
      </w:pPr>
      <w:r>
        <w:rPr>
          <w:rFonts w:ascii="Amiri" w:hAnsi="Amiri" w:eastAsia="Amiri" w:cs="Amiri"/>
          <w:lang w:bidi="ar-SA"/>
          <w:color w:val="111111"/>
          <w:sz w:val="28"/>
          <w:szCs w:val="28"/>
          <w:rtl/>
        </w:rPr>
        <w:t xml:space="preserve">احمد بن معد اقليشي- اقليشي ، احمد بن معد</w:t>
      </w:r>
    </w:p>
    <w:p>
      <w:pPr>
        <w:pStyle w:val="BookText"/>
      </w:pPr>
      <w:r>
        <w:rPr>
          <w:rFonts w:ascii="Amiri" w:hAnsi="Amiri" w:eastAsia="Amiri" w:cs="Amiri"/>
          <w:lang w:bidi="ar-SA"/>
          <w:color w:val="111111"/>
          <w:sz w:val="28"/>
          <w:szCs w:val="28"/>
          <w:rtl/>
        </w:rPr>
        <w:t xml:space="preserve">احمد بن مقرب البغدادي</w:t>
      </w:r>
    </w:p>
    <w:p>
      <w:pPr>
        <w:pStyle w:val="BookText"/>
      </w:pPr>
      <w:r>
        <w:rPr>
          <w:rFonts w:ascii="Amiri" w:hAnsi="Amiri" w:eastAsia="Amiri" w:cs="Amiri"/>
          <w:lang w:bidi="ar-SA"/>
          <w:color w:val="111111"/>
          <w:sz w:val="28"/>
          <w:szCs w:val="28"/>
          <w:rtl/>
        </w:rPr>
        <w:t xml:space="preserve">الكرخي -كرخي ، احمد بن مقرب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5" w:name="pg7742_69712"/>
    <w:bookmarkEnd w:id="165"/>
    <w:p>
      <w:pPr>
        <w:pStyle w:val="Heading2"/>
      </w:pPr>
      <w:bookmarkStart w:id="2000" w:name="_Toc1102"/>
      <w:r>
        <w:t>احمد بن ملا سلیمان</w:t>
      </w:r>
      <w:bookmarkEnd w:id="2000"/>
    </w:p>
    <w:p>
      <w:pPr>
        <w:pStyle w:val="BookText"/>
      </w:pPr>
      <w:r>
        <w:rPr>
          <w:rFonts w:ascii="Amiri" w:hAnsi="Amiri" w:eastAsia="Amiri" w:cs="Amiri"/>
          <w:lang w:bidi="ar-SA"/>
          <w:color w:val="111111"/>
          <w:sz w:val="28"/>
          <w:szCs w:val="28"/>
          <w:rtl/>
        </w:rPr>
        <w:t xml:space="preserve">شفاء الامة في ترجمة طب الرحمة</w:t>
      </w:r>
    </w:p>
    <w:p>
      <w:pPr>
        <w:pStyle w:val="BookText"/>
      </w:pPr>
      <w:r>
        <w:rPr>
          <w:rFonts w:ascii="IRNazanin" w:hAnsi="IRNazanin" w:eastAsia="IRNazanin" w:cs="IRNazanin"/>
          <w:lang w:bidi="fa-IR"/>
          <w:color w:val="111111"/>
          <w:sz w:val="28"/>
          <w:szCs w:val="28"/>
          <w:rtl/>
        </w:rPr>
        <w:t xml:space="preserve">ج 10، ص 376.</w:t>
      </w:r>
    </w:p>
    <w:p>
      <w:pPr>
        <w:pStyle w:val="BookText"/>
      </w:pPr>
      <w:r>
        <w:rPr>
          <w:rFonts w:ascii="Amiri" w:hAnsi="Amiri" w:eastAsia="Amiri" w:cs="Amiri"/>
          <w:lang w:bidi="ar-SA"/>
          <w:color w:val="111111"/>
          <w:sz w:val="28"/>
          <w:szCs w:val="28"/>
          <w:rtl/>
        </w:rPr>
        <w:t xml:space="preserve">احمد بن ملا علي البصري القباني -قباني</w:t>
      </w:r>
    </w:p>
    <w:p>
      <w:pPr>
        <w:pStyle w:val="BookText"/>
      </w:pPr>
      <w:r>
        <w:rPr>
          <w:rFonts w:ascii="Amiri" w:hAnsi="Amiri" w:eastAsia="Amiri" w:cs="Amiri"/>
          <w:lang w:bidi="ar-SA"/>
          <w:color w:val="111111"/>
          <w:sz w:val="28"/>
          <w:szCs w:val="28"/>
          <w:rtl/>
        </w:rPr>
        <w:t xml:space="preserve">احمد بن ملا علي</w:t>
      </w:r>
    </w:p>
    <w:p>
      <w:pPr>
        <w:pStyle w:val="Heading2"/>
      </w:pPr>
      <w:bookmarkStart w:id="2001" w:name="_Toc1103"/>
      <w:r>
        <w:t>احمد بن منتصر</w:t>
      </w:r>
      <w:bookmarkEnd w:id="2001"/>
    </w:p>
    <w:p>
      <w:pPr>
        <w:pStyle w:val="BookText"/>
      </w:pPr>
      <w:r>
        <w:rPr>
          <w:rFonts w:ascii="Amiri" w:hAnsi="Amiri" w:eastAsia="Amiri" w:cs="Amiri"/>
          <w:lang w:bidi="ar-SA"/>
          <w:color w:val="111111"/>
          <w:sz w:val="28"/>
          <w:szCs w:val="28"/>
          <w:rtl/>
        </w:rPr>
        <w:t xml:space="preserve">1 .الاحجبة (ارجوزة في)، ج 1، ص 441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الخواص المنظوم، ج 7، ص182.</w:t>
      </w:r>
    </w:p>
    <w:p>
      <w:pPr>
        <w:pStyle w:val="BookText"/>
      </w:pPr>
      <w:r>
        <w:rPr>
          <w:rFonts w:ascii="Amiri" w:hAnsi="Amiri" w:eastAsia="Amiri" w:cs="Amiri"/>
          <w:lang w:bidi="ar-SA"/>
          <w:color w:val="111111"/>
          <w:sz w:val="28"/>
          <w:szCs w:val="28"/>
          <w:rtl/>
        </w:rPr>
        <w:t xml:space="preserve">احمد بن منصور يشكري -يشكري ، احمد</w:t>
      </w:r>
    </w:p>
    <w:p>
      <w:pPr>
        <w:pStyle w:val="BookText"/>
      </w:pPr>
      <w:r>
        <w:rPr>
          <w:rFonts w:ascii="Amiri" w:hAnsi="Amiri" w:eastAsia="Amiri" w:cs="Amiri"/>
          <w:lang w:bidi="ar-SA"/>
          <w:color w:val="111111"/>
          <w:sz w:val="28"/>
          <w:szCs w:val="28"/>
          <w:rtl/>
        </w:rPr>
        <w:t xml:space="preserve">خطي ، احمد بن مهدي</w:t>
      </w:r>
    </w:p>
    <w:p>
      <w:pPr>
        <w:pStyle w:val="BookText"/>
      </w:pPr>
      <w:r>
        <w:rPr>
          <w:rFonts w:ascii="Amiri" w:hAnsi="Amiri" w:eastAsia="Amiri" w:cs="Amiri"/>
          <w:lang w:bidi="ar-SA"/>
          <w:color w:val="111111"/>
          <w:sz w:val="28"/>
          <w:szCs w:val="28"/>
          <w:rtl/>
        </w:rPr>
        <w:t xml:space="preserve">احمد بن موسى اربلي- اربلي ، احمد بن بن منصور</w:t>
      </w:r>
    </w:p>
    <w:p>
      <w:pPr>
        <w:pStyle w:val="BookText"/>
      </w:pPr>
      <w:r>
        <w:rPr>
          <w:rFonts w:ascii="Amiri" w:hAnsi="Amiri" w:eastAsia="Amiri" w:cs="Amiri"/>
          <w:lang w:bidi="ar-SA"/>
          <w:color w:val="111111"/>
          <w:sz w:val="28"/>
          <w:szCs w:val="28"/>
          <w:rtl/>
        </w:rPr>
        <w:t xml:space="preserve">احمد بن موسى الهي نيشابوري- الهي</w:t>
      </w:r>
    </w:p>
    <w:p>
      <w:pPr>
        <w:pStyle w:val="BookText"/>
      </w:pPr>
      <w:r>
        <w:rPr>
          <w:rFonts w:ascii="Amiri" w:hAnsi="Amiri" w:eastAsia="Amiri" w:cs="Amiri"/>
          <w:lang w:bidi="ar-SA"/>
          <w:color w:val="111111"/>
          <w:sz w:val="28"/>
          <w:szCs w:val="28"/>
          <w:rtl/>
        </w:rPr>
        <w:t xml:space="preserve">نيشابوري ، احمد بن موسى</w:t>
      </w:r>
    </w:p>
    <w:p>
      <w:pPr>
        <w:pStyle w:val="BookText"/>
      </w:pPr>
      <w:r>
        <w:rPr>
          <w:rFonts w:ascii="IRNazanin" w:hAnsi="IRNazanin" w:eastAsia="IRNazanin" w:cs="IRNazanin"/>
          <w:lang w:bidi="fa-IR"/>
          <w:color w:val="111111"/>
          <w:sz w:val="28"/>
          <w:szCs w:val="28"/>
          <w:rtl/>
        </w:rPr>
        <w:t xml:space="preserve">احمد بن موسى بن طاووس -ابن طاوس</w:t>
      </w:r>
    </w:p>
    <w:p>
      <w:pPr>
        <w:pStyle w:val="BookText"/>
      </w:pPr>
      <w:r>
        <w:rPr>
          <w:rFonts w:ascii="IRNazanin" w:hAnsi="IRNazanin" w:eastAsia="IRNazanin" w:cs="IRNazanin"/>
          <w:lang w:bidi="fa-IR"/>
          <w:color w:val="111111"/>
          <w:sz w:val="28"/>
          <w:szCs w:val="28"/>
          <w:rtl/>
        </w:rPr>
        <w:t xml:space="preserve">أحمد بن موسى</w:t>
      </w:r>
    </w:p>
    <w:p>
      <w:pPr>
        <w:pStyle w:val="BookText"/>
      </w:pPr>
      <w:r>
        <w:rPr>
          <w:rFonts w:ascii="Amiri" w:hAnsi="Amiri" w:eastAsia="Amiri" w:cs="Amiri"/>
          <w:lang w:bidi="ar-SA"/>
          <w:color w:val="111111"/>
          <w:sz w:val="28"/>
          <w:szCs w:val="28"/>
          <w:rtl/>
        </w:rPr>
        <w:t xml:space="preserve">احمد بن موسى بن عجيل اليمني -ابن</w:t>
      </w:r>
    </w:p>
    <w:p>
      <w:pPr>
        <w:pStyle w:val="BookText"/>
      </w:pPr>
      <w:r>
        <w:rPr>
          <w:rFonts w:ascii="Amiri" w:hAnsi="Amiri" w:eastAsia="Amiri" w:cs="Amiri"/>
          <w:lang w:bidi="ar-SA"/>
          <w:color w:val="111111"/>
          <w:sz w:val="28"/>
          <w:szCs w:val="28"/>
          <w:rtl/>
        </w:rPr>
        <w:t xml:space="preserve">عجيل ، احمد بن موسى</w:t>
      </w:r>
    </w:p>
    <w:p>
      <w:pPr>
        <w:pStyle w:val="BookText"/>
      </w:pPr>
      <w:r>
        <w:rPr>
          <w:rFonts w:ascii="Amiri" w:hAnsi="Amiri" w:eastAsia="Amiri" w:cs="Amiri"/>
          <w:lang w:bidi="ar-SA"/>
          <w:color w:val="111111"/>
          <w:sz w:val="28"/>
          <w:szCs w:val="28"/>
          <w:rtl/>
        </w:rPr>
        <w:t xml:space="preserve">احمد بن موسى بيلي- بيلي ، احمد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احمد بن موسى تميمي ابن مجاهد- ابن</w:t>
      </w:r>
    </w:p>
    <w:p>
      <w:pPr>
        <w:pStyle w:val="BookText"/>
      </w:pPr>
      <w:r>
        <w:rPr>
          <w:rFonts w:ascii="IRNazanin" w:hAnsi="IRNazanin" w:eastAsia="IRNazanin" w:cs="IRNazanin"/>
          <w:lang w:bidi="fa-IR"/>
          <w:color w:val="111111"/>
          <w:sz w:val="28"/>
          <w:szCs w:val="28"/>
          <w:rtl/>
        </w:rPr>
        <w:t xml:space="preserve">مجاهد ، احمد بن موسى</w:t>
      </w:r>
    </w:p>
    <w:p>
      <w:pPr>
        <w:pStyle w:val="BookText"/>
      </w:pPr>
      <w:r>
        <w:rPr>
          <w:rFonts w:ascii="IRNazanin" w:hAnsi="IRNazanin" w:eastAsia="IRNazanin" w:cs="IRNazanin"/>
          <w:lang w:bidi="fa-IR"/>
          <w:color w:val="111111"/>
          <w:sz w:val="28"/>
          <w:szCs w:val="28"/>
          <w:rtl/>
        </w:rPr>
        <w:t xml:space="preserve">احمد بن موسی چرمپوش- جرمبوش ،</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احمد بن موسى حافظ اصفهاني- ابن مردويه ، احمد بن موسى</w:t>
      </w:r>
    </w:p>
    <w:p>
      <w:pPr>
        <w:pStyle w:val="BookText"/>
      </w:pPr>
      <w:r>
        <w:rPr>
          <w:rFonts w:ascii="Amiri" w:hAnsi="Amiri" w:eastAsia="Amiri" w:cs="Amiri"/>
          <w:lang w:bidi="ar-SA"/>
          <w:color w:val="111111"/>
          <w:sz w:val="28"/>
          <w:szCs w:val="28"/>
          <w:rtl/>
        </w:rPr>
        <w:t xml:space="preserve">احمد بن موسى حسيني مبتولي -مبتولي ،</w:t>
      </w:r>
    </w:p>
    <w:p>
      <w:pPr>
        <w:pStyle w:val="BookText"/>
      </w:pPr>
      <w:r>
        <w:rPr>
          <w:rFonts w:ascii="IRNazanin" w:hAnsi="IRNazanin" w:eastAsia="IRNazanin" w:cs="IRNazanin"/>
          <w:lang w:bidi="fa-IR"/>
          <w:color w:val="111111"/>
          <w:sz w:val="28"/>
          <w:szCs w:val="28"/>
          <w:rtl/>
        </w:rPr>
        <w:t xml:space="preserve">احمد بن موسى</w:t>
      </w:r>
    </w:p>
    <w:p>
      <w:pPr>
        <w:pStyle w:val="BookText"/>
      </w:pPr>
      <w:r>
        <w:rPr>
          <w:rFonts w:ascii="Amiri" w:hAnsi="Amiri" w:eastAsia="Amiri" w:cs="Amiri"/>
          <w:lang w:bidi="ar-SA"/>
          <w:color w:val="111111"/>
          <w:sz w:val="28"/>
          <w:szCs w:val="28"/>
          <w:rtl/>
        </w:rPr>
        <w:t xml:space="preserve">احمد بن موسى خيالي- خيالي ، احمد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IRNazanin" w:hAnsi="IRNazanin" w:eastAsia="IRNazanin" w:cs="IRNazanin"/>
          <w:lang w:bidi="fa-IR"/>
          <w:color w:val="111111"/>
          <w:sz w:val="28"/>
          <w:szCs w:val="28"/>
          <w:rtl/>
        </w:rPr>
        <w:t xml:space="preserve">احمد بن موسی کشي- کشي ، احمد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احمد بن مهدي سويكت خطي -سويكت</w:t>
      </w:r>
    </w:p>
    <w:p>
      <w:pPr>
        <w:pStyle w:val="BookText"/>
      </w:pPr>
      <w:r>
        <w:rPr>
          <w:rFonts w:ascii="IRNazanin" w:hAnsi="IRNazanin" w:eastAsia="IRNazanin" w:cs="IRNazanin"/>
          <w:lang w:bidi="fa-IR"/>
          <w:color w:val="111111"/>
          <w:sz w:val="28"/>
          <w:szCs w:val="28"/>
          <w:rtl/>
        </w:rPr>
        <w:t xml:space="preserve">حمد بن ناصر بن عثمان -ابن معمر</w:t>
      </w:r>
    </w:p>
    <w:p>
      <w:pPr>
        <w:pStyle w:val="BookText"/>
      </w:pPr>
      <w:r>
        <w:rPr>
          <w:rFonts w:ascii="Amiri" w:hAnsi="Amiri" w:eastAsia="Amiri" w:cs="Amiri"/>
          <w:lang w:bidi="ar-SA"/>
          <w:color w:val="111111"/>
          <w:sz w:val="28"/>
          <w:szCs w:val="28"/>
          <w:rtl/>
        </w:rPr>
        <w:t xml:space="preserve">تميمي ، احمد بن ناصر</w:t>
      </w:r>
    </w:p>
    <w:p>
      <w:pPr>
        <w:pStyle w:val="BookText"/>
      </w:pPr>
      <w:r>
        <w:rPr>
          <w:rFonts w:ascii="Amiri" w:hAnsi="Amiri" w:eastAsia="Amiri" w:cs="Amiri"/>
          <w:lang w:bidi="ar-SA"/>
          <w:color w:val="111111"/>
          <w:sz w:val="28"/>
          <w:szCs w:val="28"/>
          <w:rtl/>
        </w:rPr>
        <w:t xml:space="preserve">احمد بن ناصر نجدي- نجدي ، احمد بن ناصر</w:t>
      </w:r>
    </w:p>
    <w:p>
      <w:pPr>
        <w:pStyle w:val="Heading2"/>
      </w:pPr>
      <w:bookmarkStart w:id="2002" w:name="_Toc1104"/>
      <w:r>
        <w:t>احمد بن نبي</w:t>
      </w:r>
      <w:bookmarkEnd w:id="2002"/>
    </w:p>
    <w:p>
      <w:pPr>
        <w:pStyle w:val="BookText"/>
      </w:pPr>
      <w:r>
        <w:rPr>
          <w:rFonts w:ascii="Amiri" w:hAnsi="Amiri" w:eastAsia="Amiri" w:cs="Amiri"/>
          <w:lang w:bidi="ar-SA"/>
          <w:color w:val="111111"/>
          <w:sz w:val="28"/>
          <w:szCs w:val="28"/>
          <w:rtl/>
        </w:rPr>
        <w:t xml:space="preserve">مفتاح اللغة، ج 15، ص 228.</w:t>
      </w:r>
    </w:p>
    <w:p>
      <w:pPr>
        <w:pStyle w:val="BookText"/>
      </w:pPr>
      <w:r>
        <w:rPr>
          <w:rFonts w:ascii="Amiri" w:hAnsi="Amiri" w:eastAsia="Amiri" w:cs="Amiri"/>
          <w:lang w:bidi="ar-SA"/>
          <w:color w:val="111111"/>
          <w:sz w:val="28"/>
          <w:szCs w:val="28"/>
          <w:rtl/>
        </w:rPr>
        <w:t xml:space="preserve">احمد بن نصر بن بجير -ابن بجير ، احمد</w:t>
      </w:r>
    </w:p>
    <w:p>
      <w:pPr>
        <w:pStyle w:val="BookText"/>
      </w:pPr>
      <w:r>
        <w:rPr>
          <w:rFonts w:ascii="IRNazanin" w:hAnsi="IRNazanin" w:eastAsia="IRNazanin" w:cs="IRNazanin"/>
          <w:lang w:bidi="fa-IR"/>
          <w:color w:val="111111"/>
          <w:sz w:val="28"/>
          <w:szCs w:val="28"/>
          <w:rtl/>
        </w:rPr>
        <w:t xml:space="preserve">بن نصر</w:t>
      </w:r>
    </w:p>
    <w:p>
      <w:pPr>
        <w:pStyle w:val="BookText"/>
      </w:pPr>
      <w:r>
        <w:rPr>
          <w:rFonts w:ascii="IRNazanin" w:hAnsi="IRNazanin" w:eastAsia="IRNazanin" w:cs="IRNazanin"/>
          <w:lang w:bidi="fa-IR"/>
          <w:color w:val="111111"/>
          <w:sz w:val="28"/>
          <w:szCs w:val="28"/>
          <w:rtl/>
        </w:rPr>
        <w:t xml:space="preserve">احمد بن نصر الله علوي گجراتي- علوي</w:t>
      </w:r>
    </w:p>
    <w:p>
      <w:pPr>
        <w:pStyle w:val="BookText"/>
      </w:pPr>
      <w:r>
        <w:rPr>
          <w:rFonts w:ascii="IRNazanin" w:hAnsi="IRNazanin" w:eastAsia="IRNazanin" w:cs="IRNazanin"/>
          <w:lang w:bidi="fa-IR"/>
          <w:color w:val="111111"/>
          <w:sz w:val="28"/>
          <w:szCs w:val="28"/>
          <w:rtl/>
        </w:rPr>
        <w:t xml:space="preserve">گجراتي ، وجيه الدین احمد بن نصر الله</w:t>
      </w:r>
    </w:p>
    <w:p>
      <w:pPr>
        <w:pStyle w:val="BookText"/>
      </w:pPr>
      <w:r>
        <w:rPr>
          <w:rFonts w:ascii="Amiri" w:hAnsi="Amiri" w:eastAsia="Amiri" w:cs="Amiri"/>
          <w:lang w:bidi="ar-SA"/>
          <w:color w:val="111111"/>
          <w:sz w:val="28"/>
          <w:szCs w:val="28"/>
          <w:rtl/>
        </w:rPr>
        <w:t xml:space="preserve">احمد بن نصر الله قاضي زاده تتوي -تتوي ،</w:t>
      </w:r>
    </w:p>
    <w:p>
      <w:pPr>
        <w:pStyle w:val="BookText"/>
      </w:pPr>
      <w:r>
        <w:rPr>
          <w:rFonts w:ascii="IRNazanin" w:hAnsi="IRNazanin" w:eastAsia="IRNazanin" w:cs="IRNazanin"/>
          <w:lang w:bidi="fa-IR"/>
          <w:color w:val="111111"/>
          <w:sz w:val="28"/>
          <w:szCs w:val="28"/>
          <w:rtl/>
        </w:rPr>
        <w:t xml:space="preserve">احمد بن نصر الله</w:t>
      </w:r>
    </w:p>
    <w:p>
      <w:pPr>
        <w:pStyle w:val="BookText"/>
      </w:pPr>
      <w:r>
        <w:rPr>
          <w:rFonts w:ascii="Amiri" w:hAnsi="Amiri" w:eastAsia="Amiri" w:cs="Amiri"/>
          <w:lang w:bidi="ar-SA"/>
          <w:color w:val="111111"/>
          <w:sz w:val="28"/>
          <w:szCs w:val="28"/>
          <w:rtl/>
        </w:rPr>
        <w:t xml:space="preserve">احمد بن نعمت الله عاملي عينائي ابن</w:t>
      </w:r>
    </w:p>
    <w:p>
      <w:pPr>
        <w:pStyle w:val="BookText"/>
      </w:pPr>
      <w:r>
        <w:rPr>
          <w:rFonts w:ascii="Amiri" w:hAnsi="Amiri" w:eastAsia="Amiri" w:cs="Amiri"/>
          <w:lang w:bidi="ar-SA"/>
          <w:color w:val="111111"/>
          <w:sz w:val="28"/>
          <w:szCs w:val="28"/>
          <w:rtl/>
        </w:rPr>
        <w:t xml:space="preserve">خاتون ، احمد بن نعمت الله احمد بن وهبان حموي- حموي ، احمد</w:t>
      </w:r>
    </w:p>
    <w:p>
      <w:pPr>
        <w:pStyle w:val="BookText"/>
      </w:pPr>
      <w:r>
        <w:rPr>
          <w:rFonts w:ascii="IRNazanin" w:hAnsi="IRNazanin" w:eastAsia="IRNazanin" w:cs="IRNazanin"/>
          <w:lang w:bidi="fa-IR"/>
          <w:color w:val="111111"/>
          <w:sz w:val="28"/>
          <w:szCs w:val="28"/>
          <w:rtl/>
        </w:rPr>
        <w:t xml:space="preserve">بن وهبان</w:t>
      </w:r>
    </w:p>
    <w:p>
      <w:pPr>
        <w:pStyle w:val="BookText"/>
      </w:pPr>
      <w:r>
        <w:rPr>
          <w:rFonts w:ascii="Amiri" w:hAnsi="Amiri" w:eastAsia="Amiri" w:cs="Amiri"/>
          <w:lang w:bidi="ar-SA"/>
          <w:color w:val="111111"/>
          <w:sz w:val="28"/>
          <w:szCs w:val="28"/>
          <w:rtl/>
        </w:rPr>
        <w:t xml:space="preserve">احمد بن يحيى البلاذري -بلاذري ، احمد</w:t>
      </w:r>
    </w:p>
    <w:p>
      <w:pPr>
        <w:pStyle w:val="BookText"/>
      </w:pPr>
      <w:r>
        <w:rPr>
          <w:rFonts w:ascii="Amiri" w:hAnsi="Amiri" w:eastAsia="Amiri" w:cs="Amiri"/>
          <w:lang w:bidi="ar-SA"/>
          <w:color w:val="111111"/>
          <w:sz w:val="28"/>
          <w:szCs w:val="28"/>
          <w:rtl/>
        </w:rPr>
        <w:t xml:space="preserve">بن يحيى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6" w:name="pg7742_69714"/>
    <w:bookmarkEnd w:id="166"/>
    <w:p>
      <w:pPr>
        <w:pStyle w:val="BookText"/>
      </w:pPr>
      <w:r>
        <w:rPr>
          <w:rFonts w:ascii="Amiri" w:hAnsi="Amiri" w:eastAsia="Amiri" w:cs="Amiri"/>
          <w:lang w:bidi="ar-SA"/>
          <w:color w:val="111111"/>
          <w:sz w:val="28"/>
          <w:szCs w:val="28"/>
          <w:rtl/>
        </w:rPr>
        <w:t xml:space="preserve">احمد بن يحيى بن محمّد هروي حفيد</w:t>
      </w:r>
    </w:p>
    <w:p>
      <w:pPr>
        <w:pStyle w:val="BookText"/>
      </w:pPr>
      <w:r>
        <w:rPr>
          <w:rFonts w:ascii="Amiri" w:hAnsi="Amiri" w:eastAsia="Amiri" w:cs="Amiri"/>
          <w:lang w:bidi="ar-SA"/>
          <w:color w:val="111111"/>
          <w:sz w:val="28"/>
          <w:szCs w:val="28"/>
          <w:rtl/>
        </w:rPr>
        <w:t xml:space="preserve">تفتازاني - حفيد تفتازاني ، احمد بن يحيى</w:t>
      </w:r>
    </w:p>
    <w:p>
      <w:pPr>
        <w:pStyle w:val="BookText"/>
      </w:pPr>
      <w:r>
        <w:rPr>
          <w:rFonts w:ascii="Amiri" w:hAnsi="Amiri" w:eastAsia="Amiri" w:cs="Amiri"/>
          <w:lang w:bidi="ar-SA"/>
          <w:color w:val="111111"/>
          <w:sz w:val="28"/>
          <w:szCs w:val="28"/>
          <w:rtl/>
        </w:rPr>
        <w:t xml:space="preserve">احمد بن يحيى بن مرتضى يمني- يمني ،</w:t>
      </w:r>
    </w:p>
    <w:p>
      <w:pPr>
        <w:pStyle w:val="BookText"/>
      </w:pPr>
      <w:r>
        <w:rPr>
          <w:rFonts w:ascii="Amiri" w:hAnsi="Amiri" w:eastAsia="Amiri" w:cs="Amiri"/>
          <w:lang w:bidi="ar-SA"/>
          <w:color w:val="111111"/>
          <w:sz w:val="28"/>
          <w:szCs w:val="28"/>
          <w:rtl/>
        </w:rPr>
        <w:t xml:space="preserve">احمد بن يحيى</w:t>
      </w:r>
    </w:p>
    <w:p>
      <w:pPr>
        <w:pStyle w:val="BookText"/>
      </w:pPr>
      <w:r>
        <w:rPr>
          <w:rFonts w:ascii="Amiri" w:hAnsi="Amiri" w:eastAsia="Amiri" w:cs="Amiri"/>
          <w:lang w:bidi="ar-SA"/>
          <w:color w:val="111111"/>
          <w:sz w:val="28"/>
          <w:szCs w:val="28"/>
          <w:rtl/>
        </w:rPr>
        <w:t xml:space="preserve">احمد بن يحيى تلمساني ابن ابي حجله-ابن ابي حجله ، احمد بن يحيى</w:t>
      </w:r>
    </w:p>
    <w:p>
      <w:pPr>
        <w:pStyle w:val="BookText"/>
      </w:pPr>
      <w:r>
        <w:rPr>
          <w:rFonts w:ascii="Amiri" w:hAnsi="Amiri" w:eastAsia="Amiri" w:cs="Amiri"/>
          <w:lang w:bidi="ar-SA"/>
          <w:color w:val="111111"/>
          <w:sz w:val="28"/>
          <w:szCs w:val="28"/>
          <w:rtl/>
        </w:rPr>
        <w:t xml:space="preserve">احمد بن يحيى ثعلب شيباني- ثعلب</w:t>
      </w:r>
    </w:p>
    <w:p>
      <w:pPr>
        <w:pStyle w:val="BookText"/>
      </w:pPr>
      <w:r>
        <w:rPr>
          <w:rFonts w:ascii="Amiri" w:hAnsi="Amiri" w:eastAsia="Amiri" w:cs="Amiri"/>
          <w:lang w:bidi="ar-SA"/>
          <w:color w:val="111111"/>
          <w:sz w:val="28"/>
          <w:szCs w:val="28"/>
          <w:rtl/>
        </w:rPr>
        <w:t xml:space="preserve">احمد بن يحيى</w:t>
      </w:r>
    </w:p>
    <w:p>
      <w:pPr>
        <w:pStyle w:val="BookText"/>
      </w:pPr>
      <w:r>
        <w:rPr>
          <w:rFonts w:ascii="Amiri" w:hAnsi="Amiri" w:eastAsia="Amiri" w:cs="Amiri"/>
          <w:lang w:bidi="ar-SA"/>
          <w:color w:val="111111"/>
          <w:sz w:val="28"/>
          <w:szCs w:val="28"/>
          <w:rtl/>
        </w:rPr>
        <w:t xml:space="preserve">احمد بن يحيى عمري عدوي قرشي دمشقي -ابن فضل الله عمري ، احمد بن</w:t>
      </w:r>
    </w:p>
    <w:p>
      <w:pPr>
        <w:pStyle w:val="BookText"/>
      </w:pPr>
      <w:r>
        <w:rPr>
          <w:rFonts w:ascii="Amiri" w:hAnsi="Amiri" w:eastAsia="Amiri" w:cs="Amiri"/>
          <w:lang w:bidi="ar-SA"/>
          <w:color w:val="111111"/>
          <w:sz w:val="28"/>
          <w:szCs w:val="28"/>
          <w:rtl/>
        </w:rPr>
        <w:t xml:space="preserve">يحيى</w:t>
      </w:r>
    </w:p>
    <w:p>
      <w:pPr>
        <w:pStyle w:val="BookText"/>
      </w:pPr>
      <w:r>
        <w:rPr>
          <w:rFonts w:ascii="Amiri" w:hAnsi="Amiri" w:eastAsia="Amiri" w:cs="Amiri"/>
          <w:lang w:bidi="ar-SA"/>
          <w:color w:val="111111"/>
          <w:sz w:val="28"/>
          <w:szCs w:val="28"/>
          <w:rtl/>
        </w:rPr>
        <w:t xml:space="preserve">احمد بن يحيى منيري -منيري ، احمد بن يحيى</w:t>
      </w:r>
    </w:p>
    <w:p>
      <w:pPr>
        <w:pStyle w:val="BookText"/>
      </w:pPr>
      <w:r>
        <w:rPr>
          <w:rFonts w:ascii="Amiri" w:hAnsi="Amiri" w:eastAsia="Amiri" w:cs="Amiri"/>
          <w:lang w:bidi="ar-SA"/>
          <w:color w:val="111111"/>
          <w:sz w:val="28"/>
          <w:szCs w:val="28"/>
          <w:rtl/>
        </w:rPr>
        <w:t xml:space="preserve">احمد بن يزيد بن بقي- ابن بقي ، احمد بن يزيد</w:t>
      </w:r>
    </w:p>
    <w:p>
      <w:pPr>
        <w:pStyle w:val="BookText"/>
      </w:pPr>
      <w:r>
        <w:rPr>
          <w:rFonts w:ascii="Amiri" w:hAnsi="Amiri" w:eastAsia="Amiri" w:cs="Amiri"/>
          <w:lang w:bidi="ar-SA"/>
          <w:color w:val="111111"/>
          <w:sz w:val="28"/>
          <w:szCs w:val="28"/>
          <w:rtl/>
        </w:rPr>
        <w:t xml:space="preserve">بن يزيد احمد بن يوسف الشدياق- شدياق</w:t>
      </w:r>
    </w:p>
    <w:p>
      <w:pPr>
        <w:pStyle w:val="BookText"/>
      </w:pPr>
      <w:r>
        <w:rPr>
          <w:rFonts w:ascii="Amiri" w:hAnsi="Amiri" w:eastAsia="Amiri" w:cs="Amiri"/>
          <w:lang w:bidi="ar-SA"/>
          <w:color w:val="111111"/>
          <w:sz w:val="28"/>
          <w:szCs w:val="28"/>
          <w:rtl/>
        </w:rPr>
        <w:t xml:space="preserve">احمد بن يوسف</w:t>
      </w:r>
    </w:p>
    <w:p>
      <w:pPr>
        <w:pStyle w:val="BookText"/>
      </w:pPr>
      <w:r>
        <w:rPr>
          <w:rFonts w:ascii="IRNazanin" w:hAnsi="IRNazanin" w:eastAsia="IRNazanin" w:cs="IRNazanin"/>
          <w:lang w:bidi="fa-IR"/>
          <w:color w:val="111111"/>
          <w:sz w:val="28"/>
          <w:szCs w:val="28"/>
          <w:rtl/>
        </w:rPr>
        <w:t xml:space="preserve">احمد بن یوسف تيفاشي قيسي- تيفاشي</w:t>
      </w:r>
    </w:p>
    <w:p>
      <w:pPr>
        <w:pStyle w:val="BookText"/>
      </w:pPr>
      <w:r>
        <w:rPr>
          <w:rFonts w:ascii="Amiri" w:hAnsi="Amiri" w:eastAsia="Amiri" w:cs="Amiri"/>
          <w:lang w:bidi="ar-SA"/>
          <w:color w:val="111111"/>
          <w:sz w:val="28"/>
          <w:szCs w:val="28"/>
          <w:rtl/>
        </w:rPr>
        <w:t xml:space="preserve">احمد بن يوسف</w:t>
      </w:r>
    </w:p>
    <w:p>
      <w:pPr>
        <w:pStyle w:val="BookText"/>
      </w:pPr>
      <w:r>
        <w:rPr>
          <w:rFonts w:ascii="IRNazanin" w:hAnsi="IRNazanin" w:eastAsia="IRNazanin" w:cs="IRNazanin"/>
          <w:lang w:bidi="fa-IR"/>
          <w:color w:val="111111"/>
          <w:sz w:val="28"/>
          <w:szCs w:val="28"/>
          <w:rtl/>
        </w:rPr>
        <w:t xml:space="preserve">احمد بن یوسف دمشقي قرماني- قرماني</w:t>
      </w:r>
    </w:p>
    <w:p>
      <w:pPr>
        <w:pStyle w:val="BookText"/>
      </w:pPr>
      <w:r>
        <w:rPr>
          <w:rFonts w:ascii="Amiri" w:hAnsi="Amiri" w:eastAsia="Amiri" w:cs="Amiri"/>
          <w:lang w:bidi="ar-SA"/>
          <w:color w:val="111111"/>
          <w:sz w:val="28"/>
          <w:szCs w:val="28"/>
          <w:rtl/>
        </w:rPr>
        <w:t xml:space="preserve">احمد بن يوسف</w:t>
      </w:r>
    </w:p>
    <w:p>
      <w:pPr>
        <w:pStyle w:val="BookText"/>
      </w:pPr>
      <w:r>
        <w:rPr>
          <w:rFonts w:ascii="Amiri" w:hAnsi="Amiri" w:eastAsia="Amiri" w:cs="Amiri"/>
          <w:lang w:bidi="ar-SA"/>
          <w:color w:val="111111"/>
          <w:sz w:val="28"/>
          <w:szCs w:val="28"/>
          <w:rtl/>
        </w:rPr>
        <w:t xml:space="preserve">احمد بن يوسف رعيني غرناطي- رعيني</w:t>
      </w:r>
    </w:p>
    <w:p>
      <w:pPr>
        <w:pStyle w:val="BookText"/>
      </w:pPr>
      <w:r>
        <w:rPr>
          <w:rFonts w:ascii="Amiri" w:hAnsi="Amiri" w:eastAsia="Amiri" w:cs="Amiri"/>
          <w:lang w:bidi="ar-SA"/>
          <w:color w:val="111111"/>
          <w:sz w:val="28"/>
          <w:szCs w:val="28"/>
          <w:rtl/>
        </w:rPr>
        <w:t xml:space="preserve">احمد بن يوسف</w:t>
      </w:r>
    </w:p>
    <w:p>
      <w:pPr>
        <w:pStyle w:val="BookText"/>
      </w:pPr>
      <w:r>
        <w:rPr>
          <w:rFonts w:ascii="Amiri" w:hAnsi="Amiri" w:eastAsia="Amiri" w:cs="Amiri"/>
          <w:lang w:bidi="ar-SA"/>
          <w:color w:val="111111"/>
          <w:sz w:val="28"/>
          <w:szCs w:val="28"/>
          <w:rtl/>
        </w:rPr>
        <w:t xml:space="preserve">احمد بن يوسف سمين حلبي -سمين</w:t>
      </w:r>
    </w:p>
    <w:p>
      <w:pPr>
        <w:pStyle w:val="BookText"/>
      </w:pPr>
      <w:r>
        <w:rPr>
          <w:rFonts w:ascii="Amiri" w:hAnsi="Amiri" w:eastAsia="Amiri" w:cs="Amiri"/>
          <w:lang w:bidi="ar-SA"/>
          <w:color w:val="111111"/>
          <w:sz w:val="28"/>
          <w:szCs w:val="28"/>
          <w:rtl/>
        </w:rPr>
        <w:t xml:space="preserve">احمد بن يوسف</w:t>
      </w:r>
    </w:p>
    <w:p>
      <w:pPr>
        <w:pStyle w:val="BookText"/>
      </w:pPr>
      <w:r>
        <w:rPr>
          <w:rFonts w:ascii="Amiri" w:hAnsi="Amiri" w:eastAsia="Amiri" w:cs="Amiri"/>
          <w:lang w:bidi="ar-SA"/>
          <w:color w:val="111111"/>
          <w:sz w:val="28"/>
          <w:szCs w:val="28"/>
          <w:rtl/>
        </w:rPr>
        <w:t xml:space="preserve">احمد بن يوسف سيرجي- سيرجي ، احمد بن اسماعيل</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احمد بن يوسف شرجي -سيرجي ، احمد</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احمد بن يوسف كوازي- كوازي ، احمد</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احمد بن يوسف كواشي- كواشي ، احمد</w:t>
      </w:r>
    </w:p>
    <w:p>
      <w:pPr>
        <w:pStyle w:val="BookText"/>
      </w:pPr>
      <w:r>
        <w:rPr>
          <w:rFonts w:ascii="Amiri" w:hAnsi="Amiri" w:eastAsia="Amiri" w:cs="Amiri"/>
          <w:lang w:bidi="ar-SA"/>
          <w:color w:val="111111"/>
          <w:sz w:val="28"/>
          <w:szCs w:val="28"/>
          <w:rtl/>
        </w:rPr>
        <w:t xml:space="preserve">بن يوسف احمد بن يوسف نعماني- نعماني ، احمد</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احمد بن يونس سعودي- سعودي ، احمد</w:t>
      </w:r>
    </w:p>
    <w:p>
      <w:pPr>
        <w:pStyle w:val="BookText"/>
      </w:pPr>
      <w:r>
        <w:rPr>
          <w:rFonts w:ascii="IRNazanin" w:hAnsi="IRNazanin" w:eastAsia="IRNazanin" w:cs="IRNazanin"/>
          <w:lang w:bidi="fa-IR"/>
          <w:color w:val="111111"/>
          <w:sz w:val="28"/>
          <w:szCs w:val="28"/>
          <w:rtl/>
        </w:rPr>
        <w:t xml:space="preserve">بن محمّد بن یونس</w:t>
      </w:r>
    </w:p>
    <w:p>
      <w:pPr>
        <w:pStyle w:val="BookText"/>
      </w:pPr>
      <w:r>
        <w:rPr>
          <w:rFonts w:ascii="Amiri" w:hAnsi="Amiri" w:eastAsia="Amiri" w:cs="Amiri"/>
          <w:lang w:bidi="ar-SA"/>
          <w:color w:val="111111"/>
          <w:sz w:val="28"/>
          <w:szCs w:val="28"/>
          <w:rtl/>
        </w:rPr>
        <w:t xml:space="preserve">احمد بيلي عدوي -بيلي ، احمد بن موسى</w:t>
      </w:r>
    </w:p>
    <w:p>
      <w:pPr>
        <w:pStyle w:val="BookText"/>
      </w:pPr>
      <w:r>
        <w:rPr>
          <w:rFonts w:ascii="IRNazanin" w:hAnsi="IRNazanin" w:eastAsia="IRNazanin" w:cs="IRNazanin"/>
          <w:lang w:bidi="fa-IR"/>
          <w:color w:val="111111"/>
          <w:sz w:val="28"/>
          <w:szCs w:val="28"/>
          <w:rtl/>
        </w:rPr>
        <w:t xml:space="preserve">احمد تائب بن عثمان- عثمان زاده عثمان</w:t>
      </w:r>
    </w:p>
    <w:p>
      <w:pPr>
        <w:pStyle w:val="BookText"/>
      </w:pPr>
      <w:r>
        <w:rPr>
          <w:rFonts w:ascii="IRNazanin" w:hAnsi="IRNazanin" w:eastAsia="IRNazanin" w:cs="IRNazanin"/>
          <w:lang w:bidi="fa-IR"/>
          <w:color w:val="111111"/>
          <w:sz w:val="28"/>
          <w:szCs w:val="28"/>
          <w:rtl/>
        </w:rPr>
        <w:t xml:space="preserve">زاده، احمد تائب بن عثمان</w:t>
      </w:r>
    </w:p>
    <w:p>
      <w:pPr>
        <w:pStyle w:val="BookText"/>
      </w:pPr>
      <w:r>
        <w:rPr>
          <w:rFonts w:ascii="Amiri" w:hAnsi="Amiri" w:eastAsia="Amiri" w:cs="Amiri"/>
          <w:lang w:bidi="ar-SA"/>
          <w:color w:val="111111"/>
          <w:sz w:val="28"/>
          <w:szCs w:val="28"/>
          <w:rtl/>
        </w:rPr>
        <w:t xml:space="preserve">احمد تميمي -تميمي ، احمد</w:t>
      </w:r>
    </w:p>
    <w:p>
      <w:pPr>
        <w:pStyle w:val="BookText"/>
      </w:pPr>
      <w:r>
        <w:rPr>
          <w:rFonts w:ascii="IRNazanin" w:hAnsi="IRNazanin" w:eastAsia="IRNazanin" w:cs="IRNazanin"/>
          <w:lang w:bidi="fa-IR"/>
          <w:color w:val="111111"/>
          <w:sz w:val="28"/>
          <w:szCs w:val="28"/>
          <w:rtl/>
        </w:rPr>
        <w:t xml:space="preserve">احمد تيمور باشا ت-یمور ، احمد پاشا</w:t>
      </w:r>
    </w:p>
    <w:p>
      <w:pPr>
        <w:pStyle w:val="Heading2"/>
      </w:pPr>
      <w:bookmarkStart w:id="2003" w:name="_Toc1105"/>
      <w:r>
        <w:t>احمد ثاني بن حسين طبيب قرن 12 ه-</w:t>
      </w:r>
      <w:bookmarkEnd w:id="2003"/>
    </w:p>
    <w:p>
      <w:pPr>
        <w:pStyle w:val="BookText"/>
      </w:pPr>
      <w:r>
        <w:rPr>
          <w:rFonts w:ascii="Amiri" w:hAnsi="Amiri" w:eastAsia="Amiri" w:cs="Amiri"/>
          <w:lang w:bidi="ar-SA"/>
          <w:color w:val="111111"/>
          <w:sz w:val="28"/>
          <w:szCs w:val="28"/>
          <w:rtl/>
        </w:rPr>
        <w:t xml:space="preserve">غنية المحصلين في ترجمة تحفة</w:t>
      </w:r>
    </w:p>
    <w:p>
      <w:pPr>
        <w:pStyle w:val="BookText"/>
      </w:pPr>
      <w:r>
        <w:rPr>
          <w:rFonts w:ascii="Amiri" w:hAnsi="Amiri" w:eastAsia="Amiri" w:cs="Amiri"/>
          <w:lang w:bidi="ar-SA"/>
          <w:color w:val="111111"/>
          <w:sz w:val="28"/>
          <w:szCs w:val="28"/>
          <w:rtl/>
        </w:rPr>
        <w:t xml:space="preserve">المؤمنين، ج 11، ص 533.</w:t>
      </w:r>
    </w:p>
    <w:p>
      <w:pPr>
        <w:pStyle w:val="BookText"/>
      </w:pPr>
      <w:r>
        <w:rPr>
          <w:rFonts w:ascii="IRNazanin" w:hAnsi="IRNazanin" w:eastAsia="IRNazanin" w:cs="IRNazanin"/>
          <w:lang w:bidi="fa-IR"/>
          <w:color w:val="111111"/>
          <w:sz w:val="28"/>
          <w:szCs w:val="28"/>
          <w:rtl/>
        </w:rPr>
        <w:t xml:space="preserve">احمد جرمبوش -جرمبوش ، احمد</w:t>
      </w:r>
    </w:p>
    <w:p>
      <w:pPr>
        <w:pStyle w:val="BookText"/>
      </w:pPr>
      <w:r>
        <w:rPr>
          <w:rFonts w:ascii="Amiri" w:hAnsi="Amiri" w:eastAsia="Amiri" w:cs="Amiri"/>
          <w:lang w:bidi="ar-SA"/>
          <w:color w:val="111111"/>
          <w:sz w:val="28"/>
          <w:szCs w:val="28"/>
          <w:rtl/>
        </w:rPr>
        <w:t xml:space="preserve">احمد جزائري -جزائري ، احمد</w:t>
      </w:r>
    </w:p>
    <w:p>
      <w:pPr>
        <w:pStyle w:val="BookText"/>
      </w:pPr>
      <w:r>
        <w:rPr>
          <w:rFonts w:ascii="Amiri" w:hAnsi="Amiri" w:eastAsia="Amiri" w:cs="Amiri"/>
          <w:lang w:bidi="ar-SA"/>
          <w:color w:val="111111"/>
          <w:sz w:val="28"/>
          <w:szCs w:val="28"/>
          <w:rtl/>
        </w:rPr>
        <w:t xml:space="preserve">احمد جمالي- جمالي ، احمد</w:t>
      </w:r>
    </w:p>
    <w:p>
      <w:pPr>
        <w:pStyle w:val="BookText"/>
      </w:pPr>
      <w:r>
        <w:rPr>
          <w:rFonts w:ascii="Amiri" w:hAnsi="Amiri" w:eastAsia="Amiri" w:cs="Amiri"/>
          <w:lang w:bidi="ar-SA"/>
          <w:color w:val="111111"/>
          <w:sz w:val="28"/>
          <w:szCs w:val="28"/>
          <w:rtl/>
        </w:rPr>
        <w:t xml:space="preserve">احمد جند -جندي ، احمد</w:t>
      </w:r>
    </w:p>
    <w:p>
      <w:pPr>
        <w:pStyle w:val="BookText"/>
      </w:pPr>
      <w:r>
        <w:rPr>
          <w:rFonts w:ascii="Amiri" w:hAnsi="Amiri" w:eastAsia="Amiri" w:cs="Amiri"/>
          <w:lang w:bidi="ar-SA"/>
          <w:color w:val="111111"/>
          <w:sz w:val="28"/>
          <w:szCs w:val="28"/>
          <w:rtl/>
        </w:rPr>
        <w:t xml:space="preserve">احمد جندي -جندي ، احمد</w:t>
      </w:r>
    </w:p>
    <w:p>
      <w:pPr>
        <w:pStyle w:val="BookText"/>
      </w:pPr>
      <w:r>
        <w:rPr>
          <w:rFonts w:ascii="IRNazanin" w:hAnsi="IRNazanin" w:eastAsia="IRNazanin" w:cs="IRNazanin"/>
          <w:lang w:bidi="fa-IR"/>
          <w:color w:val="111111"/>
          <w:sz w:val="28"/>
          <w:szCs w:val="28"/>
          <w:rtl/>
        </w:rPr>
        <w:t xml:space="preserve">احمد جودت پاشا -جودت باشا ، احمد</w:t>
      </w:r>
    </w:p>
    <w:p>
      <w:pPr>
        <w:pStyle w:val="BookText"/>
      </w:pPr>
      <w:r>
        <w:rPr>
          <w:rFonts w:ascii="Amiri" w:hAnsi="Amiri" w:eastAsia="Amiri" w:cs="Amiri"/>
          <w:lang w:bidi="ar-SA"/>
          <w:color w:val="111111"/>
          <w:sz w:val="28"/>
          <w:szCs w:val="28"/>
          <w:rtl/>
        </w:rPr>
        <w:t xml:space="preserve">احمد جيلي طالسي -جيلي طالسي ، احمد</w:t>
      </w:r>
    </w:p>
    <w:p>
      <w:pPr>
        <w:pStyle w:val="BookText"/>
      </w:pPr>
      <w:r>
        <w:rPr>
          <w:rFonts w:ascii="Amiri" w:hAnsi="Amiri" w:eastAsia="Amiri" w:cs="Amiri"/>
          <w:lang w:bidi="ar-SA"/>
          <w:color w:val="111111"/>
          <w:sz w:val="28"/>
          <w:szCs w:val="28"/>
          <w:rtl/>
        </w:rPr>
        <w:t xml:space="preserve">احمد حسن يمني- حسيني يمني ، احمد</w:t>
      </w:r>
    </w:p>
    <w:p>
      <w:pPr>
        <w:pStyle w:val="BookText"/>
      </w:pPr>
      <w:r>
        <w:rPr>
          <w:rFonts w:ascii="IRNazanin" w:hAnsi="IRNazanin" w:eastAsia="IRNazanin" w:cs="IRNazanin"/>
          <w:lang w:bidi="fa-IR"/>
          <w:color w:val="111111"/>
          <w:sz w:val="28"/>
          <w:szCs w:val="28"/>
          <w:rtl/>
        </w:rPr>
        <w:t xml:space="preserve">بن عبدالرحمن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حسني (ابوالمواهب ) -حسني ، احمد</w:t>
      </w:r>
    </w:p>
    <w:p>
      <w:pPr>
        <w:pStyle w:val="BookText"/>
      </w:pPr>
      <w:r>
        <w:rPr>
          <w:rFonts w:ascii="Amiri" w:hAnsi="Amiri" w:eastAsia="Amiri" w:cs="Amiri"/>
          <w:lang w:bidi="ar-SA"/>
          <w:color w:val="111111"/>
          <w:sz w:val="28"/>
          <w:szCs w:val="28"/>
          <w:rtl/>
        </w:rPr>
        <w:t xml:space="preserve">احمد حسين يمني -حسيني يمني ، احمد</w:t>
      </w:r>
    </w:p>
    <w:p>
      <w:pPr>
        <w:pStyle w:val="BookText"/>
      </w:pPr>
      <w:r>
        <w:rPr>
          <w:rFonts w:ascii="Amiri" w:hAnsi="Amiri" w:eastAsia="Amiri" w:cs="Amiri"/>
          <w:lang w:bidi="ar-SA"/>
          <w:color w:val="111111"/>
          <w:sz w:val="28"/>
          <w:szCs w:val="28"/>
          <w:rtl/>
        </w:rPr>
        <w:t xml:space="preserve">بن عبدالرحمن احمد حصوني ناصحي- حصوني ناصحي</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احمد حفيد -حفيد تفتازاني ، احمد بن</w:t>
      </w:r>
    </w:p>
    <w:p>
      <w:pPr>
        <w:pStyle w:val="BookText"/>
      </w:pPr>
      <w:r>
        <w:rPr>
          <w:rFonts w:ascii="Amiri" w:hAnsi="Amiri" w:eastAsia="Amiri" w:cs="Amiri"/>
          <w:lang w:bidi="ar-SA"/>
          <w:color w:val="111111"/>
          <w:sz w:val="28"/>
          <w:szCs w:val="28"/>
          <w:rtl/>
        </w:rPr>
        <w:t xml:space="preserve">يحيى</w:t>
      </w:r>
    </w:p>
    <w:p>
      <w:pPr>
        <w:pStyle w:val="BookText"/>
      </w:pPr>
      <w:r>
        <w:rPr>
          <w:rFonts w:ascii="Amiri" w:hAnsi="Amiri" w:eastAsia="Amiri" w:cs="Amiri"/>
          <w:lang w:bidi="ar-SA"/>
          <w:color w:val="111111"/>
          <w:sz w:val="28"/>
          <w:szCs w:val="28"/>
          <w:rtl/>
        </w:rPr>
        <w:t xml:space="preserve">احمد حمد الله بن اسماعيل- شكري ،</w:t>
      </w:r>
    </w:p>
    <w:p>
      <w:pPr>
        <w:pStyle w:val="BookText"/>
      </w:pPr>
      <w:r>
        <w:rPr>
          <w:rFonts w:ascii="Amiri" w:hAnsi="Amiri" w:eastAsia="Amiri" w:cs="Amiri"/>
          <w:lang w:bidi="ar-SA"/>
          <w:color w:val="111111"/>
          <w:sz w:val="28"/>
          <w:szCs w:val="28"/>
          <w:rtl/>
        </w:rPr>
        <w:t xml:space="preserve">احمد بن اسماعيل احمد حمدي -حمدي ، احمد بن عبدالله</w:t>
      </w:r>
    </w:p>
    <w:p>
      <w:pPr>
        <w:pStyle w:val="BookText"/>
      </w:pPr>
      <w:r>
        <w:rPr>
          <w:rFonts w:ascii="Amiri" w:hAnsi="Amiri" w:eastAsia="Amiri" w:cs="Amiri"/>
          <w:lang w:bidi="ar-SA"/>
          <w:color w:val="111111"/>
          <w:sz w:val="28"/>
          <w:szCs w:val="28"/>
          <w:rtl/>
        </w:rPr>
        <w:t xml:space="preserve">احمد حميدي -حميدي ، احمد</w:t>
      </w:r>
    </w:p>
    <w:p>
      <w:pPr>
        <w:pStyle w:val="BookText"/>
      </w:pPr>
      <w:r>
        <w:rPr>
          <w:rFonts w:ascii="IRNazanin" w:hAnsi="IRNazanin" w:eastAsia="IRNazanin" w:cs="IRNazanin"/>
          <w:lang w:bidi="fa-IR"/>
          <w:color w:val="111111"/>
          <w:sz w:val="28"/>
          <w:szCs w:val="28"/>
          <w:rtl/>
        </w:rPr>
        <w:t xml:space="preserve">احمد حنبل -ابن حنبل ، احمد بن محمّد</w:t>
      </w:r>
    </w:p>
    <w:p>
      <w:pPr>
        <w:pStyle w:val="BookText"/>
      </w:pPr>
      <w:r>
        <w:rPr>
          <w:rFonts w:ascii="Amiri" w:hAnsi="Amiri" w:eastAsia="Amiri" w:cs="Amiri"/>
          <w:lang w:bidi="ar-SA"/>
          <w:color w:val="111111"/>
          <w:sz w:val="28"/>
          <w:szCs w:val="28"/>
          <w:rtl/>
        </w:rPr>
        <w:t xml:space="preserve">احمد حياتي بستاني- حياتي ، احمد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IRNazanin" w:hAnsi="IRNazanin" w:eastAsia="IRNazanin" w:cs="IRNazanin"/>
          <w:lang w:bidi="fa-IR"/>
          <w:color w:val="111111"/>
          <w:sz w:val="28"/>
          <w:szCs w:val="28"/>
          <w:rtl/>
        </w:rPr>
        <w:t xml:space="preserve">احمد خان داود -خان داود ، احمد</w:t>
      </w:r>
    </w:p>
    <w:p>
      <w:pPr>
        <w:pStyle w:val="BookText"/>
      </w:pPr>
      <w:r>
        <w:rPr>
          <w:rFonts w:ascii="Amiri" w:hAnsi="Amiri" w:eastAsia="Amiri" w:cs="Amiri"/>
          <w:lang w:bidi="ar-SA"/>
          <w:color w:val="111111"/>
          <w:sz w:val="28"/>
          <w:szCs w:val="28"/>
          <w:rtl/>
        </w:rPr>
        <w:t xml:space="preserve">احمد رشدي افندي كوللي حافظ -رشدي</w:t>
      </w:r>
    </w:p>
    <w:p>
      <w:pPr>
        <w:pStyle w:val="BookText"/>
      </w:pPr>
      <w:r>
        <w:rPr>
          <w:rFonts w:ascii="Amiri" w:hAnsi="Amiri" w:eastAsia="Amiri" w:cs="Amiri"/>
          <w:lang w:bidi="ar-SA"/>
          <w:color w:val="111111"/>
          <w:sz w:val="28"/>
          <w:szCs w:val="28"/>
          <w:rtl/>
        </w:rPr>
        <w:t xml:space="preserve">افندي ، احمد</w:t>
      </w:r>
    </w:p>
    <w:p>
      <w:pPr>
        <w:pStyle w:val="BookText"/>
      </w:pPr>
      <w:r>
        <w:rPr>
          <w:rFonts w:ascii="Amiri" w:hAnsi="Amiri" w:eastAsia="Amiri" w:cs="Amiri"/>
          <w:lang w:bidi="ar-SA"/>
          <w:color w:val="111111"/>
          <w:sz w:val="28"/>
          <w:szCs w:val="28"/>
          <w:rtl/>
        </w:rPr>
        <w:t xml:space="preserve">احمد رفاعي -رفاعي ، احمد</w:t>
      </w:r>
    </w:p>
    <w:p>
      <w:pPr>
        <w:pStyle w:val="BookText"/>
      </w:pPr>
      <w:r>
        <w:rPr>
          <w:rFonts w:ascii="Amiri" w:hAnsi="Amiri" w:eastAsia="Amiri" w:cs="Amiri"/>
          <w:lang w:bidi="ar-SA"/>
          <w:color w:val="111111"/>
          <w:sz w:val="28"/>
          <w:szCs w:val="28"/>
          <w:rtl/>
        </w:rPr>
        <w:t xml:space="preserve">احمد رمضان بن حسن فوهي- بهشتي ،</w:t>
      </w:r>
    </w:p>
    <w:p>
      <w:pPr>
        <w:pStyle w:val="BookText"/>
      </w:pPr>
      <w:r>
        <w:rPr>
          <w:rFonts w:ascii="IRNazanin" w:hAnsi="IRNazanin" w:eastAsia="IRNazanin" w:cs="IRNazanin"/>
          <w:lang w:bidi="fa-IR"/>
          <w:color w:val="111111"/>
          <w:sz w:val="28"/>
          <w:szCs w:val="28"/>
          <w:rtl/>
        </w:rPr>
        <w:t xml:space="preserve">احمد بن رمضان</w:t>
      </w:r>
    </w:p>
    <w:p>
      <w:pPr>
        <w:pStyle w:val="BookText"/>
      </w:pPr>
      <w:r>
        <w:rPr>
          <w:rFonts w:ascii="Amiri" w:hAnsi="Amiri" w:eastAsia="Amiri" w:cs="Amiri"/>
          <w:lang w:bidi="ar-SA"/>
          <w:color w:val="111111"/>
          <w:sz w:val="28"/>
          <w:szCs w:val="28"/>
          <w:rtl/>
        </w:rPr>
        <w:t xml:space="preserve">احمد رومي- رومي ، ابوالفضل احمد</w:t>
      </w:r>
    </w:p>
    <w:p>
      <w:pPr>
        <w:pStyle w:val="BookText"/>
      </w:pPr>
      <w:r>
        <w:rPr>
          <w:rFonts w:ascii="Amiri" w:hAnsi="Amiri" w:eastAsia="Amiri" w:cs="Amiri"/>
          <w:lang w:bidi="ar-SA"/>
          <w:color w:val="111111"/>
          <w:sz w:val="28"/>
          <w:szCs w:val="28"/>
          <w:rtl/>
        </w:rPr>
        <w:t xml:space="preserve">احمدزاده هروي، احمد بن</w:t>
      </w:r>
    </w:p>
    <w:p>
      <w:pPr>
        <w:pStyle w:val="BookText"/>
      </w:pPr>
      <w:r>
        <w:rPr>
          <w:rFonts w:ascii="Amiri" w:hAnsi="Amiri" w:eastAsia="Amiri" w:cs="Amiri"/>
          <w:lang w:bidi="ar-SA"/>
          <w:color w:val="111111"/>
          <w:sz w:val="28"/>
          <w:szCs w:val="28"/>
          <w:rtl/>
        </w:rPr>
        <w:t xml:space="preserve">محمود- ملازاده هروي ، احمد بن محمود -</w:t>
      </w:r>
    </w:p>
    <w:p>
      <w:pPr>
        <w:pStyle w:val="BookText"/>
      </w:pPr>
      <w:r>
        <w:rPr>
          <w:rFonts w:ascii="Amiri" w:hAnsi="Amiri" w:eastAsia="Amiri" w:cs="Amiri"/>
          <w:lang w:bidi="ar-SA"/>
          <w:color w:val="111111"/>
          <w:sz w:val="28"/>
          <w:szCs w:val="28"/>
          <w:rtl/>
        </w:rPr>
        <w:t xml:space="preserve">احمد زيني دحلان ابن زيني -دحلان ،</w:t>
      </w:r>
    </w:p>
    <w:p>
      <w:pPr>
        <w:pStyle w:val="BookText"/>
      </w:pPr>
      <w:r>
        <w:rPr>
          <w:rFonts w:ascii="Amiri" w:hAnsi="Amiri" w:eastAsia="Amiri" w:cs="Amiri"/>
          <w:lang w:bidi="ar-SA"/>
          <w:color w:val="111111"/>
          <w:sz w:val="28"/>
          <w:szCs w:val="28"/>
          <w:rtl/>
        </w:rPr>
        <w:t xml:space="preserve">احمد بن زيني دحلان</w:t>
      </w:r>
    </w:p>
    <w:p>
      <w:pPr>
        <w:pStyle w:val="BookText"/>
      </w:pPr>
      <w:r>
        <w:rPr>
          <w:rFonts w:ascii="Amiri" w:hAnsi="Amiri" w:eastAsia="Amiri" w:cs="Amiri"/>
          <w:lang w:bidi="ar-SA"/>
          <w:color w:val="111111"/>
          <w:sz w:val="28"/>
          <w:szCs w:val="28"/>
          <w:rtl/>
        </w:rPr>
        <w:t xml:space="preserve">احمد سليمي -سليمي ، احمد</w:t>
      </w:r>
    </w:p>
    <w:p>
      <w:pPr>
        <w:pStyle w:val="BookText"/>
      </w:pPr>
      <w:r>
        <w:rPr>
          <w:rFonts w:ascii="Amiri" w:hAnsi="Amiri" w:eastAsia="Amiri" w:cs="Amiri"/>
          <w:lang w:bidi="ar-SA"/>
          <w:color w:val="111111"/>
          <w:sz w:val="28"/>
          <w:szCs w:val="28"/>
          <w:rtl/>
        </w:rPr>
        <w:t xml:space="preserve">احمد سنوي كوراني -سنوي كوراني ، احمد</w:t>
      </w:r>
    </w:p>
    <w:p>
      <w:pPr>
        <w:pStyle w:val="BookText"/>
      </w:pPr>
      <w:r>
        <w:rPr>
          <w:rFonts w:ascii="Amiri" w:hAnsi="Amiri" w:eastAsia="Amiri" w:cs="Amiri"/>
          <w:lang w:bidi="ar-SA"/>
          <w:color w:val="111111"/>
          <w:sz w:val="28"/>
          <w:szCs w:val="28"/>
          <w:rtl/>
        </w:rPr>
        <w:t xml:space="preserve">احمد شاكر بن محمود آلوسي- آلوسي</w:t>
      </w:r>
    </w:p>
    <w:p>
      <w:pPr>
        <w:pStyle w:val="BookText"/>
      </w:pPr>
      <w:r>
        <w:rPr>
          <w:rFonts w:ascii="Amiri" w:hAnsi="Amiri" w:eastAsia="Amiri" w:cs="Amiri"/>
          <w:lang w:bidi="ar-SA"/>
          <w:color w:val="111111"/>
          <w:sz w:val="28"/>
          <w:szCs w:val="28"/>
          <w:rtl/>
        </w:rPr>
        <w:t xml:space="preserve">احمد شاكر بن محمود</w:t>
      </w:r>
    </w:p>
    <w:p>
      <w:pPr>
        <w:pStyle w:val="BookText"/>
      </w:pPr>
      <w:r>
        <w:rPr>
          <w:rFonts w:ascii="Amiri" w:hAnsi="Amiri" w:eastAsia="Amiri" w:cs="Amiri"/>
          <w:lang w:bidi="ar-SA"/>
          <w:color w:val="111111"/>
          <w:sz w:val="28"/>
          <w:szCs w:val="28"/>
          <w:rtl/>
        </w:rPr>
        <w:t xml:space="preserve">احمد شاوي- شاوي ، احمد</w:t>
      </w:r>
    </w:p>
    <w:p>
      <w:pPr>
        <w:pStyle w:val="BookText"/>
      </w:pPr>
      <w:r>
        <w:rPr>
          <w:rFonts w:ascii="Amiri" w:hAnsi="Amiri" w:eastAsia="Amiri" w:cs="Amiri"/>
          <w:lang w:bidi="ar-SA"/>
          <w:color w:val="111111"/>
          <w:sz w:val="28"/>
          <w:szCs w:val="28"/>
          <w:rtl/>
        </w:rPr>
        <w:t xml:space="preserve">احمد شرفي صفاقسي- سفاقسي ، احمد بن</w:t>
      </w:r>
    </w:p>
    <w:p>
      <w:pPr>
        <w:pStyle w:val="BookText"/>
      </w:pPr>
      <w:r>
        <w:rPr>
          <w:rFonts w:ascii="Amiri" w:hAnsi="Amiri" w:eastAsia="Amiri" w:cs="Amiri"/>
          <w:lang w:bidi="ar-SA"/>
          <w:color w:val="111111"/>
          <w:sz w:val="28"/>
          <w:szCs w:val="28"/>
          <w:rtl/>
        </w:rPr>
        <w:t xml:space="preserve">عبدالعزيز</w:t>
      </w:r>
    </w:p>
    <w:p>
      <w:pPr>
        <w:pStyle w:val="BookText"/>
      </w:pPr>
      <w:r>
        <w:rPr>
          <w:rFonts w:ascii="Amiri" w:hAnsi="Amiri" w:eastAsia="Amiri" w:cs="Amiri"/>
          <w:lang w:bidi="ar-SA"/>
          <w:color w:val="111111"/>
          <w:sz w:val="28"/>
          <w:szCs w:val="28"/>
          <w:rtl/>
        </w:rPr>
        <w:t xml:space="preserve">احمد شريف كاتب- شريف ، احمد</w:t>
      </w:r>
    </w:p>
    <w:p>
      <w:pPr>
        <w:pStyle w:val="BookText"/>
      </w:pPr>
      <w:r>
        <w:rPr>
          <w:rFonts w:ascii="Amiri" w:hAnsi="Amiri" w:eastAsia="Amiri" w:cs="Amiri"/>
          <w:lang w:bidi="ar-SA"/>
          <w:color w:val="111111"/>
          <w:sz w:val="28"/>
          <w:szCs w:val="28"/>
          <w:rtl/>
        </w:rPr>
        <w:t xml:space="preserve">احمد شكر بن حسين جباوي نجفي -جباوي نجفي ، احمد شكر بن حسين</w:t>
      </w:r>
    </w:p>
    <w:p>
      <w:pPr>
        <w:pStyle w:val="BookText"/>
      </w:pPr>
      <w:r>
        <w:rPr>
          <w:rFonts w:ascii="Amiri" w:hAnsi="Amiri" w:eastAsia="Amiri" w:cs="Amiri"/>
          <w:lang w:bidi="ar-SA"/>
          <w:color w:val="111111"/>
          <w:sz w:val="28"/>
          <w:szCs w:val="28"/>
          <w:rtl/>
        </w:rPr>
        <w:t xml:space="preserve">احمد صالح بن عبدالله ناصح البغدادي -غراب زاده ، احمد بن عبدالله</w:t>
      </w:r>
    </w:p>
    <w:p>
      <w:pPr>
        <w:pStyle w:val="BookText"/>
      </w:pPr>
      <w:r>
        <w:rPr>
          <w:rFonts w:ascii="Amiri" w:hAnsi="Amiri" w:eastAsia="Amiri" w:cs="Amiri"/>
          <w:lang w:bidi="ar-SA"/>
          <w:color w:val="111111"/>
          <w:sz w:val="28"/>
          <w:szCs w:val="28"/>
          <w:rtl/>
        </w:rPr>
        <w:t xml:space="preserve">احمد طيفور- ابن ابي طاهر ، احمد بن</w:t>
      </w:r>
    </w:p>
    <w:p>
      <w:pPr>
        <w:pStyle w:val="BookText"/>
      </w:pPr>
      <w:r>
        <w:rPr>
          <w:rFonts w:ascii="Amiri" w:hAnsi="Amiri" w:eastAsia="Amiri" w:cs="Amiri"/>
          <w:lang w:bidi="ar-SA"/>
          <w:color w:val="111111"/>
          <w:sz w:val="28"/>
          <w:szCs w:val="28"/>
          <w:rtl/>
        </w:rPr>
        <w:t xml:space="preserve">ابي طاهر</w:t>
      </w:r>
    </w:p>
    <w:p>
      <w:pPr>
        <w:pStyle w:val="BookText"/>
      </w:pPr>
      <w:r>
        <w:rPr>
          <w:rFonts w:ascii="Amiri" w:hAnsi="Amiri" w:eastAsia="Amiri" w:cs="Amiri"/>
          <w:lang w:bidi="ar-SA"/>
          <w:color w:val="111111"/>
          <w:sz w:val="28"/>
          <w:szCs w:val="28"/>
          <w:rtl/>
        </w:rPr>
        <w:t xml:space="preserve">احمد عاملي- عاملي ، احمد بن محمّد</w:t>
      </w:r>
    </w:p>
    <w:p>
      <w:pPr>
        <w:pStyle w:val="BookText"/>
      </w:pPr>
      <w:r>
        <w:rPr>
          <w:rFonts w:ascii="IRNazanin" w:hAnsi="IRNazanin" w:eastAsia="IRNazanin" w:cs="IRNazanin"/>
          <w:lang w:bidi="fa-IR"/>
          <w:color w:val="111111"/>
          <w:sz w:val="28"/>
          <w:szCs w:val="28"/>
          <w:rtl/>
        </w:rPr>
        <w:t xml:space="preserve">احمد عزت پاشا بن محمود- فاروقي</w:t>
      </w:r>
    </w:p>
    <w:p>
      <w:pPr>
        <w:pStyle w:val="BookText"/>
      </w:pPr>
      <w:r>
        <w:rPr>
          <w:rFonts w:ascii="IRNazanin" w:hAnsi="IRNazanin" w:eastAsia="IRNazanin" w:cs="IRNazanin"/>
          <w:lang w:bidi="fa-IR"/>
          <w:color w:val="111111"/>
          <w:sz w:val="28"/>
          <w:szCs w:val="28"/>
          <w:rtl/>
        </w:rPr>
        <w:t xml:space="preserve">احمد عزت بن محمود</w:t>
      </w:r>
    </w:p>
    <w:p>
      <w:pPr>
        <w:pStyle w:val="BookText"/>
      </w:pPr>
      <w:r>
        <w:rPr>
          <w:rFonts w:ascii="Amiri" w:hAnsi="Amiri" w:eastAsia="Amiri" w:cs="Amiri"/>
          <w:lang w:bidi="ar-SA"/>
          <w:color w:val="111111"/>
          <w:sz w:val="28"/>
          <w:szCs w:val="28"/>
          <w:rtl/>
        </w:rPr>
        <w:t xml:space="preserve">احمد علي فناري- فناري ، احمد علي</w:t>
      </w:r>
    </w:p>
    <w:p>
      <w:pPr>
        <w:pStyle w:val="BookText"/>
      </w:pPr>
      <w:r>
        <w:rPr>
          <w:rFonts w:ascii="Amiri" w:hAnsi="Amiri" w:eastAsia="Amiri" w:cs="Amiri"/>
          <w:lang w:bidi="ar-SA"/>
          <w:color w:val="111111"/>
          <w:sz w:val="28"/>
          <w:szCs w:val="28"/>
          <w:rtl/>
        </w:rPr>
        <w:t xml:space="preserve">احمد عماد -شافعي عماد ، احمد</w:t>
      </w:r>
    </w:p>
    <w:p>
      <w:pPr>
        <w:pStyle w:val="BookText"/>
      </w:pPr>
      <w:r>
        <w:rPr>
          <w:rFonts w:ascii="Amiri" w:hAnsi="Amiri" w:eastAsia="Amiri" w:cs="Amiri"/>
          <w:lang w:bidi="ar-SA"/>
          <w:color w:val="111111"/>
          <w:sz w:val="28"/>
          <w:szCs w:val="28"/>
          <w:rtl/>
        </w:rPr>
        <w:t xml:space="preserve">احمد عميري -عميري ، شهاب الدين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احمد غربي عامري -غربي عامري ، احمد</w:t>
      </w:r>
    </w:p>
    <w:p>
      <w:pPr>
        <w:pStyle w:val="BookText"/>
      </w:pPr>
      <w:r>
        <w:rPr>
          <w:rFonts w:ascii="Amiri" w:hAnsi="Amiri" w:eastAsia="Amiri" w:cs="Amiri"/>
          <w:lang w:bidi="ar-SA"/>
          <w:color w:val="111111"/>
          <w:sz w:val="28"/>
          <w:szCs w:val="28"/>
          <w:rtl/>
        </w:rPr>
        <w:t xml:space="preserve">احمد فائز بن محمود الشهزوري البرزنجي - شهرزوري ، احمد بن محمّد</w:t>
      </w:r>
    </w:p>
    <w:p>
      <w:pPr>
        <w:pStyle w:val="BookText"/>
      </w:pPr>
      <w:r>
        <w:rPr>
          <w:rFonts w:ascii="Amiri" w:hAnsi="Amiri" w:eastAsia="Amiri" w:cs="Amiri"/>
          <w:lang w:bidi="ar-SA"/>
          <w:color w:val="111111"/>
          <w:sz w:val="28"/>
          <w:szCs w:val="28"/>
          <w:rtl/>
        </w:rPr>
        <w:t xml:space="preserve">احمد فارس الشدياق -شدياق ، احمد بن</w:t>
      </w:r>
    </w:p>
    <w:p>
      <w:pPr>
        <w:pStyle w:val="BookText"/>
      </w:pPr>
      <w:r>
        <w:rPr>
          <w:rFonts w:ascii="Amiri" w:hAnsi="Amiri" w:eastAsia="Amiri" w:cs="Amiri"/>
          <w:lang w:bidi="ar-SA"/>
          <w:color w:val="111111"/>
          <w:sz w:val="28"/>
          <w:szCs w:val="28"/>
          <w:rtl/>
        </w:rPr>
        <w:t xml:space="preserve">يوسف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7742_69718"/>
    <w:bookmarkEnd w:id="167"/>
    <w:p>
      <w:pPr>
        <w:pStyle w:val="BookText"/>
      </w:pPr>
      <w:r>
        <w:rPr>
          <w:rFonts w:ascii="Amiri" w:hAnsi="Amiri" w:eastAsia="Amiri" w:cs="Amiri"/>
          <w:lang w:bidi="ar-SA"/>
          <w:color w:val="111111"/>
          <w:sz w:val="28"/>
          <w:szCs w:val="28"/>
          <w:rtl/>
        </w:rPr>
        <w:t xml:space="preserve">احمد فاروقي سمرقندي- فاروقي</w:t>
      </w:r>
    </w:p>
    <w:p>
      <w:pPr>
        <w:pStyle w:val="BookText"/>
      </w:pPr>
      <w:r>
        <w:rPr>
          <w:rFonts w:ascii="Amiri" w:hAnsi="Amiri" w:eastAsia="Amiri" w:cs="Amiri"/>
          <w:lang w:bidi="ar-SA"/>
          <w:color w:val="111111"/>
          <w:sz w:val="28"/>
          <w:szCs w:val="28"/>
          <w:rtl/>
        </w:rPr>
        <w:t xml:space="preserve">سمرقندي ، احمد</w:t>
      </w:r>
    </w:p>
    <w:p>
      <w:pPr>
        <w:pStyle w:val="BookText"/>
      </w:pPr>
      <w:r>
        <w:rPr>
          <w:rFonts w:ascii="IRNazanin" w:hAnsi="IRNazanin" w:eastAsia="IRNazanin" w:cs="IRNazanin"/>
          <w:lang w:bidi="fa-IR"/>
          <w:color w:val="111111"/>
          <w:sz w:val="28"/>
          <w:szCs w:val="28"/>
          <w:rtl/>
        </w:rPr>
        <w:t xml:space="preserve">احمد فرج الله- فرج الله ، احمد</w:t>
      </w:r>
    </w:p>
    <w:p>
      <w:pPr>
        <w:pStyle w:val="BookText"/>
      </w:pPr>
      <w:r>
        <w:rPr>
          <w:rFonts w:ascii="Amiri" w:hAnsi="Amiri" w:eastAsia="Amiri" w:cs="Amiri"/>
          <w:lang w:bidi="ar-SA"/>
          <w:color w:val="111111"/>
          <w:sz w:val="28"/>
          <w:szCs w:val="28"/>
          <w:rtl/>
        </w:rPr>
        <w:t xml:space="preserve">احمد فوقي يزدي- فوقي يزدي ، احمد</w:t>
      </w:r>
    </w:p>
    <w:p>
      <w:pPr>
        <w:pStyle w:val="BookText"/>
      </w:pPr>
      <w:r>
        <w:rPr>
          <w:rFonts w:ascii="Amiri" w:hAnsi="Amiri" w:eastAsia="Amiri" w:cs="Amiri"/>
          <w:lang w:bidi="ar-SA"/>
          <w:color w:val="111111"/>
          <w:sz w:val="28"/>
          <w:szCs w:val="28"/>
          <w:rtl/>
        </w:rPr>
        <w:t xml:space="preserve">احمد قدسي- قدسي ، احمد</w:t>
      </w:r>
    </w:p>
    <w:p>
      <w:pPr>
        <w:pStyle w:val="BookText"/>
      </w:pPr>
      <w:r>
        <w:rPr>
          <w:rFonts w:ascii="Amiri" w:hAnsi="Amiri" w:eastAsia="Amiri" w:cs="Amiri"/>
          <w:lang w:bidi="ar-SA"/>
          <w:color w:val="111111"/>
          <w:sz w:val="28"/>
          <w:szCs w:val="28"/>
          <w:rtl/>
        </w:rPr>
        <w:t xml:space="preserve">احمد قزويني -قزويني ، احمد</w:t>
      </w:r>
    </w:p>
    <w:p>
      <w:pPr>
        <w:pStyle w:val="BookText"/>
      </w:pPr>
      <w:r>
        <w:rPr>
          <w:rFonts w:ascii="Amiri" w:hAnsi="Amiri" w:eastAsia="Amiri" w:cs="Amiri"/>
          <w:lang w:bidi="ar-SA"/>
          <w:color w:val="111111"/>
          <w:sz w:val="28"/>
          <w:szCs w:val="28"/>
          <w:rtl/>
        </w:rPr>
        <w:t xml:space="preserve">احمد قشاني -قشاني ، احمد</w:t>
      </w:r>
    </w:p>
    <w:p>
      <w:pPr>
        <w:pStyle w:val="BookText"/>
      </w:pPr>
      <w:r>
        <w:rPr>
          <w:rFonts w:ascii="IRNazanin" w:hAnsi="IRNazanin" w:eastAsia="IRNazanin" w:cs="IRNazanin"/>
          <w:lang w:bidi="fa-IR"/>
          <w:color w:val="111111"/>
          <w:sz w:val="28"/>
          <w:szCs w:val="28"/>
          <w:rtl/>
        </w:rPr>
        <w:t xml:space="preserve">احمد قوام الدین- قوام الدین ، احمد</w:t>
      </w:r>
    </w:p>
    <w:p>
      <w:pPr>
        <w:pStyle w:val="BookText"/>
      </w:pPr>
      <w:r>
        <w:rPr>
          <w:rFonts w:ascii="Amiri" w:hAnsi="Amiri" w:eastAsia="Amiri" w:cs="Amiri"/>
          <w:lang w:bidi="ar-SA"/>
          <w:color w:val="111111"/>
          <w:sz w:val="28"/>
          <w:szCs w:val="28"/>
          <w:rtl/>
        </w:rPr>
        <w:t xml:space="preserve">احمد قوشي اطرسي -قوشي اطرسي ، احمد</w:t>
      </w:r>
    </w:p>
    <w:p>
      <w:pPr>
        <w:pStyle w:val="BookText"/>
      </w:pPr>
      <w:r>
        <w:rPr>
          <w:rFonts w:ascii="Amiri" w:hAnsi="Amiri" w:eastAsia="Amiri" w:cs="Amiri"/>
          <w:lang w:bidi="ar-SA"/>
          <w:color w:val="111111"/>
          <w:sz w:val="28"/>
          <w:szCs w:val="28"/>
          <w:rtl/>
        </w:rPr>
        <w:t xml:space="preserve">احمد قيصري- قيصري ، احمد</w:t>
      </w:r>
    </w:p>
    <w:p>
      <w:pPr>
        <w:pStyle w:val="BookText"/>
      </w:pPr>
      <w:r>
        <w:rPr>
          <w:rFonts w:ascii="Amiri" w:hAnsi="Amiri" w:eastAsia="Amiri" w:cs="Amiri"/>
          <w:lang w:bidi="ar-SA"/>
          <w:color w:val="111111"/>
          <w:sz w:val="28"/>
          <w:szCs w:val="28"/>
          <w:rtl/>
        </w:rPr>
        <w:t xml:space="preserve">احمد كاشف الغطاء -آل كاشف الغطاء</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احمد كوازي عباسي -كوازي ، احمد بن</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احمد مغربي- مغربي ، احمد</w:t>
      </w:r>
    </w:p>
    <w:p>
      <w:pPr>
        <w:pStyle w:val="Heading2"/>
      </w:pPr>
      <w:bookmarkStart w:id="2004" w:name="_Toc1106"/>
      <w:r>
        <w:t>احمد مفتن حكمة</w:t>
      </w:r>
      <w:bookmarkEnd w:id="2004"/>
    </w:p>
    <w:p>
      <w:pPr>
        <w:pStyle w:val="BookText"/>
      </w:pPr>
      <w:r>
        <w:rPr>
          <w:rFonts w:ascii="Amiri" w:hAnsi="Amiri" w:eastAsia="Amiri" w:cs="Amiri"/>
          <w:lang w:bidi="ar-SA"/>
          <w:color w:val="111111"/>
          <w:sz w:val="28"/>
          <w:szCs w:val="28"/>
          <w:rtl/>
        </w:rPr>
        <w:t xml:space="preserve">مختصر انسان العيون في سيرة الامين</w:t>
      </w:r>
    </w:p>
    <w:p>
      <w:pPr>
        <w:pStyle w:val="BookText"/>
      </w:pPr>
      <w:r>
        <w:rPr>
          <w:rFonts w:ascii="IRNazanin" w:hAnsi="IRNazanin" w:eastAsia="IRNazanin" w:cs="IRNazanin"/>
          <w:lang w:bidi="fa-IR"/>
          <w:color w:val="111111"/>
          <w:sz w:val="28"/>
          <w:szCs w:val="28"/>
          <w:rtl/>
        </w:rPr>
        <w:t xml:space="preserve">المأمون، ج 14، ص 175 .</w:t>
      </w:r>
    </w:p>
    <w:p>
      <w:pPr>
        <w:pStyle w:val="BookText"/>
      </w:pPr>
      <w:r>
        <w:rPr>
          <w:rFonts w:ascii="IRNazanin" w:hAnsi="IRNazanin" w:eastAsia="IRNazanin" w:cs="IRNazanin"/>
          <w:lang w:bidi="fa-IR"/>
          <w:color w:val="111111"/>
          <w:sz w:val="28"/>
          <w:szCs w:val="28"/>
          <w:rtl/>
        </w:rPr>
        <w:t xml:space="preserve">احمد ملاصدرا گيلاني - نظام الدين كيلاني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IRNazanin" w:hAnsi="IRNazanin" w:eastAsia="IRNazanin" w:cs="IRNazanin"/>
          <w:lang w:bidi="fa-IR"/>
          <w:color w:val="111111"/>
          <w:sz w:val="28"/>
          <w:szCs w:val="28"/>
          <w:rtl/>
        </w:rPr>
        <w:t xml:space="preserve">احمد موسی چرمپوش- جرمبوش ، احمد</w:t>
      </w:r>
    </w:p>
    <w:p>
      <w:pPr>
        <w:pStyle w:val="BookText"/>
      </w:pPr>
      <w:r>
        <w:rPr>
          <w:rFonts w:ascii="Amiri" w:hAnsi="Amiri" w:eastAsia="Amiri" w:cs="Amiri"/>
          <w:lang w:bidi="ar-SA"/>
          <w:color w:val="111111"/>
          <w:sz w:val="28"/>
          <w:szCs w:val="28"/>
          <w:rtl/>
        </w:rPr>
        <w:t xml:space="preserve">احمد نظامي عروضي -نظامي ، احمد بن عمر</w:t>
      </w:r>
    </w:p>
    <w:p>
      <w:pPr>
        <w:pStyle w:val="BookText"/>
      </w:pPr>
      <w:r>
        <w:rPr>
          <w:rFonts w:ascii="Amiri" w:hAnsi="Amiri" w:eastAsia="Amiri" w:cs="Amiri"/>
          <w:lang w:bidi="ar-SA"/>
          <w:color w:val="111111"/>
          <w:sz w:val="28"/>
          <w:szCs w:val="28"/>
          <w:rtl/>
        </w:rPr>
        <w:t xml:space="preserve">احمد نقاش اصفهاني -نقاش اصفهاني</w:t>
      </w:r>
    </w:p>
    <w:p>
      <w:pPr>
        <w:pStyle w:val="BookText"/>
      </w:pPr>
      <w:r>
        <w:rPr>
          <w:rFonts w:ascii="IRNazanin" w:hAnsi="IRNazanin" w:eastAsia="IRNazanin" w:cs="IRNazanin"/>
          <w:lang w:bidi="fa-IR"/>
          <w:color w:val="111111"/>
          <w:sz w:val="28"/>
          <w:szCs w:val="28"/>
          <w:rtl/>
        </w:rPr>
        <w:t xml:space="preserve">میرزا احمد</w:t>
      </w:r>
    </w:p>
    <w:p>
      <w:pPr>
        <w:pStyle w:val="BookText"/>
      </w:pPr>
      <w:r>
        <w:rPr>
          <w:rFonts w:ascii="Amiri" w:hAnsi="Amiri" w:eastAsia="Amiri" w:cs="Amiri"/>
          <w:lang w:bidi="ar-SA"/>
          <w:color w:val="111111"/>
          <w:sz w:val="28"/>
          <w:szCs w:val="28"/>
          <w:rtl/>
        </w:rPr>
        <w:t xml:space="preserve">احمد نور افندي انصاري- بصري ، احمد</w:t>
      </w:r>
    </w:p>
    <w:p>
      <w:pPr>
        <w:pStyle w:val="BookText"/>
      </w:pPr>
      <w:r>
        <w:rPr>
          <w:rFonts w:ascii="IRNazanin" w:hAnsi="IRNazanin" w:eastAsia="IRNazanin" w:cs="IRNazanin"/>
          <w:lang w:bidi="fa-IR"/>
          <w:color w:val="111111"/>
          <w:sz w:val="28"/>
          <w:szCs w:val="28"/>
          <w:rtl/>
        </w:rPr>
        <w:t xml:space="preserve">نور بن محمّد شریف</w:t>
      </w:r>
    </w:p>
    <w:p>
      <w:pPr>
        <w:pStyle w:val="BookText"/>
      </w:pPr>
      <w:r>
        <w:rPr>
          <w:rFonts w:ascii="IRNazanin" w:hAnsi="IRNazanin" w:eastAsia="IRNazanin" w:cs="IRNazanin"/>
          <w:lang w:bidi="fa-IR"/>
          <w:color w:val="111111"/>
          <w:sz w:val="28"/>
          <w:szCs w:val="28"/>
          <w:rtl/>
        </w:rPr>
        <w:t xml:space="preserve">احمد نور بن محمّد شریف</w:t>
      </w:r>
    </w:p>
    <w:p>
      <w:pPr>
        <w:pStyle w:val="BookText"/>
      </w:pPr>
      <w:r>
        <w:rPr>
          <w:rFonts w:ascii="IRNazanin" w:hAnsi="IRNazanin" w:eastAsia="IRNazanin" w:cs="IRNazanin"/>
          <w:lang w:bidi="fa-IR"/>
          <w:color w:val="111111"/>
          <w:sz w:val="28"/>
          <w:szCs w:val="28"/>
          <w:rtl/>
        </w:rPr>
        <w:t xml:space="preserve">انصاري -بصري ، احمد نور بن محمد شریف</w:t>
      </w:r>
    </w:p>
    <w:p>
      <w:pPr>
        <w:pStyle w:val="BookText"/>
      </w:pPr>
      <w:r>
        <w:rPr>
          <w:rFonts w:ascii="IRNazanin" w:hAnsi="IRNazanin" w:eastAsia="IRNazanin" w:cs="IRNazanin"/>
          <w:lang w:bidi="fa-IR"/>
          <w:color w:val="111111"/>
          <w:sz w:val="28"/>
          <w:szCs w:val="28"/>
          <w:rtl/>
        </w:rPr>
        <w:t xml:space="preserve">احمد نوري برزنجي کرد -شهرزوري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احمد نيريزي خوشنويس -نيريزي ، احمد</w:t>
      </w:r>
    </w:p>
    <w:p>
      <w:pPr>
        <w:pStyle w:val="BookText"/>
      </w:pPr>
      <w:r>
        <w:rPr>
          <w:rFonts w:ascii="Amiri" w:hAnsi="Amiri" w:eastAsia="Amiri" w:cs="Amiri"/>
          <w:lang w:bidi="ar-SA"/>
          <w:color w:val="111111"/>
          <w:sz w:val="28"/>
          <w:szCs w:val="28"/>
          <w:rtl/>
        </w:rPr>
        <w:t xml:space="preserve">احمدي، ابراهيم بن محمّد- برماوي ،</w:t>
      </w:r>
    </w:p>
    <w:p>
      <w:pPr>
        <w:pStyle w:val="BookText"/>
      </w:pPr>
      <w:r>
        <w:rPr>
          <w:rFonts w:ascii="Amiri" w:hAnsi="Amiri" w:eastAsia="Amiri" w:cs="Amiri"/>
          <w:lang w:bidi="ar-SA"/>
          <w:color w:val="111111"/>
          <w:sz w:val="28"/>
          <w:szCs w:val="28"/>
          <w:rtl/>
        </w:rPr>
        <w:t xml:space="preserve">ابراهيم بن محمّد</w:t>
      </w:r>
    </w:p>
    <w:p>
      <w:pPr>
        <w:pStyle w:val="Heading2"/>
      </w:pPr>
      <w:bookmarkStart w:id="2005" w:name="_Toc1107"/>
      <w:r>
        <w:t>احمدي ، احمد بن ابراهيم - 815 ه-</w:t>
      </w:r>
      <w:bookmarkEnd w:id="2005"/>
    </w:p>
    <w:p>
      <w:pPr>
        <w:pStyle w:val="BookText"/>
      </w:pPr>
      <w:r>
        <w:rPr>
          <w:rFonts w:ascii="Amiri" w:hAnsi="Amiri" w:eastAsia="Amiri" w:cs="Amiri"/>
          <w:lang w:bidi="ar-SA"/>
          <w:color w:val="111111"/>
          <w:sz w:val="28"/>
          <w:szCs w:val="28"/>
          <w:rtl/>
        </w:rPr>
        <w:t xml:space="preserve">سير النبي صلى الله عليه و سلم، ج9،</w:t>
      </w:r>
    </w:p>
    <w:p>
      <w:pPr>
        <w:pStyle w:val="BookText"/>
      </w:pPr>
      <w:r>
        <w:rPr>
          <w:rFonts w:ascii="IRNazanin" w:hAnsi="IRNazanin" w:eastAsia="IRNazanin" w:cs="IRNazanin"/>
          <w:lang w:bidi="fa-IR"/>
          <w:color w:val="111111"/>
          <w:sz w:val="28"/>
          <w:szCs w:val="28"/>
          <w:rtl/>
        </w:rPr>
        <w:t xml:space="preserve">ص29.</w:t>
      </w:r>
    </w:p>
    <w:p>
      <w:pPr>
        <w:pStyle w:val="BookText"/>
      </w:pPr>
      <w:r>
        <w:rPr>
          <w:rFonts w:ascii="Amiri" w:hAnsi="Amiri" w:eastAsia="Amiri" w:cs="Amiri"/>
          <w:lang w:bidi="ar-SA"/>
          <w:color w:val="111111"/>
          <w:sz w:val="28"/>
          <w:szCs w:val="28"/>
          <w:rtl/>
        </w:rPr>
        <w:t xml:space="preserve">احمدي بياتي ، محمّد جواد بن تقي- ملا</w:t>
      </w:r>
    </w:p>
    <w:p>
      <w:pPr>
        <w:pStyle w:val="BookText"/>
      </w:pPr>
      <w:r>
        <w:rPr>
          <w:rFonts w:ascii="IRNazanin" w:hAnsi="IRNazanin" w:eastAsia="IRNazanin" w:cs="IRNazanin"/>
          <w:lang w:bidi="fa-IR"/>
          <w:color w:val="111111"/>
          <w:sz w:val="28"/>
          <w:szCs w:val="28"/>
          <w:rtl/>
        </w:rPr>
        <w:t xml:space="preserve">کتاب ، محمّد جواد بن تقي</w:t>
      </w:r>
    </w:p>
    <w:p>
      <w:pPr>
        <w:pStyle w:val="BookText"/>
      </w:pPr>
      <w:r>
        <w:rPr>
          <w:rFonts w:ascii="Amiri" w:hAnsi="Amiri" w:eastAsia="Amiri" w:cs="Amiri"/>
          <w:lang w:bidi="ar-SA"/>
          <w:color w:val="111111"/>
          <w:sz w:val="28"/>
          <w:szCs w:val="28"/>
          <w:rtl/>
        </w:rPr>
        <w:t xml:space="preserve">احمدي ، حسين بن ابراهيم -اديب نطنزي ، حسين بن ابراهيم</w:t>
      </w:r>
    </w:p>
    <w:p>
      <w:pPr>
        <w:pStyle w:val="Heading2"/>
      </w:pPr>
      <w:bookmarkStart w:id="2006" w:name="_Toc1108"/>
      <w:r>
        <w:t>احمدي، عبدالوهاب بن ابي بركات قرن</w:t>
      </w:r>
      <w:bookmarkEnd w:id="2006"/>
    </w:p>
    <w:p>
      <w:pPr>
        <w:pStyle w:val="BookText"/>
      </w:pPr>
      <w:r>
        <w:rPr>
          <w:rFonts w:ascii="IRNazanin" w:hAnsi="IRNazanin" w:eastAsia="IRNazanin" w:cs="IRNazanin"/>
          <w:lang w:bidi="fa-IR"/>
          <w:color w:val="111111"/>
          <w:sz w:val="28"/>
          <w:szCs w:val="28"/>
          <w:rtl/>
        </w:rPr>
        <w:t xml:space="preserve">12ه-</w:t>
      </w:r>
    </w:p>
    <w:p>
      <w:pPr>
        <w:pStyle w:val="BookText"/>
      </w:pPr>
      <w:r>
        <w:rPr>
          <w:rFonts w:ascii="Amiri" w:hAnsi="Amiri" w:eastAsia="Amiri" w:cs="Amiri"/>
          <w:lang w:bidi="ar-SA"/>
          <w:color w:val="111111"/>
          <w:sz w:val="28"/>
          <w:szCs w:val="28"/>
          <w:rtl/>
        </w:rPr>
        <w:t xml:space="preserve">1 .احكام القصر و الترخيص (رسالة</w:t>
      </w:r>
    </w:p>
    <w:p>
      <w:pPr>
        <w:pStyle w:val="BookText"/>
      </w:pPr>
      <w:r>
        <w:rPr>
          <w:rFonts w:ascii="Amiri" w:hAnsi="Amiri" w:eastAsia="Amiri" w:cs="Amiri"/>
          <w:lang w:bidi="ar-SA"/>
          <w:color w:val="111111"/>
          <w:sz w:val="28"/>
          <w:szCs w:val="28"/>
          <w:rtl/>
        </w:rPr>
        <w:t xml:space="preserve">في)، ج 1، ص 481.</w:t>
      </w:r>
    </w:p>
    <w:p>
      <w:pPr>
        <w:pStyle w:val="BookText"/>
      </w:pPr>
      <w:r>
        <w:rPr>
          <w:rFonts w:ascii="Amiri" w:hAnsi="Amiri" w:eastAsia="Amiri" w:cs="Amiri"/>
          <w:lang w:bidi="ar-SA"/>
          <w:color w:val="111111"/>
          <w:sz w:val="28"/>
          <w:szCs w:val="28"/>
          <w:rtl/>
        </w:rPr>
        <w:t xml:space="preserve">2 .الاستعارة (رسالة في)، ج2، ص 143 .</w:t>
      </w:r>
    </w:p>
    <w:p>
      <w:pPr>
        <w:pStyle w:val="BookText"/>
      </w:pPr>
      <w:r>
        <w:rPr>
          <w:rFonts w:ascii="Amiri" w:hAnsi="Amiri" w:eastAsia="Amiri" w:cs="Amiri"/>
          <w:lang w:bidi="ar-SA"/>
          <w:color w:val="111111"/>
          <w:sz w:val="28"/>
          <w:szCs w:val="28"/>
          <w:rtl/>
        </w:rPr>
        <w:t xml:space="preserve">3.بيان حكم الحيض، ج 3، ص 469.</w:t>
      </w:r>
    </w:p>
    <w:p>
      <w:pPr>
        <w:pStyle w:val="BookText"/>
      </w:pPr>
      <w:r>
        <w:rPr>
          <w:rFonts w:ascii="Amiri" w:hAnsi="Amiri" w:eastAsia="Amiri" w:cs="Amiri"/>
          <w:lang w:bidi="ar-SA"/>
          <w:color w:val="111111"/>
          <w:sz w:val="28"/>
          <w:szCs w:val="28"/>
          <w:rtl/>
        </w:rPr>
        <w:t xml:space="preserve">4 .حكم المتحيرة( رسالة في)، ج6،</w:t>
      </w:r>
    </w:p>
    <w:p>
      <w:pPr>
        <w:pStyle w:val="BookText"/>
      </w:pPr>
      <w:r>
        <w:rPr>
          <w:rFonts w:ascii="IRNazanin" w:hAnsi="IRNazanin" w:eastAsia="IRNazanin" w:cs="IRNazanin"/>
          <w:lang w:bidi="fa-IR"/>
          <w:color w:val="111111"/>
          <w:sz w:val="28"/>
          <w:szCs w:val="28"/>
          <w:rtl/>
        </w:rPr>
        <w:t xml:space="preserve">ص 763 .</w:t>
      </w:r>
    </w:p>
    <w:p>
      <w:pPr>
        <w:pStyle w:val="BookText"/>
      </w:pPr>
      <w:r>
        <w:rPr>
          <w:rFonts w:ascii="Amiri" w:hAnsi="Amiri" w:eastAsia="Amiri" w:cs="Amiri"/>
          <w:lang w:bidi="ar-SA"/>
          <w:color w:val="111111"/>
          <w:sz w:val="28"/>
          <w:szCs w:val="28"/>
          <w:rtl/>
        </w:rPr>
        <w:t xml:space="preserve">5 .مختصر نخبة الفكر، ج 14، ص 275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7742_69720"/>
    <w:bookmarkEnd w:id="168"/>
    <w:p>
      <w:pPr>
        <w:pStyle w:val="Heading2"/>
      </w:pPr>
      <w:bookmarkStart w:id="2007" w:name="_Toc1109"/>
      <w:r>
        <w:t>احمدي ، قطب الدين ابوالبقاء قرن 10ه-</w:t>
      </w:r>
      <w:bookmarkEnd w:id="2007"/>
    </w:p>
    <w:p>
      <w:pPr>
        <w:pStyle w:val="BookText"/>
      </w:pPr>
      <w:r>
        <w:rPr>
          <w:rFonts w:ascii="Amiri" w:hAnsi="Amiri" w:eastAsia="Amiri" w:cs="Amiri"/>
          <w:lang w:bidi="ar-SA"/>
          <w:color w:val="111111"/>
          <w:sz w:val="28"/>
          <w:szCs w:val="28"/>
          <w:rtl/>
        </w:rPr>
        <w:t xml:space="preserve">الزيارات (رسالة في)، ج8، ص 647.</w:t>
      </w:r>
    </w:p>
    <w:p>
      <w:pPr>
        <w:pStyle w:val="Heading2"/>
      </w:pPr>
      <w:bookmarkStart w:id="2008" w:name="_Toc1110"/>
      <w:r>
        <w:t>احمدي ، محمّد بن علي قرن 10 ه-</w:t>
      </w:r>
      <w:bookmarkEnd w:id="2008"/>
    </w:p>
    <w:p>
      <w:pPr>
        <w:pStyle w:val="BookText"/>
      </w:pPr>
      <w:r>
        <w:rPr>
          <w:rFonts w:ascii="Amiri" w:hAnsi="Amiri" w:eastAsia="Amiri" w:cs="Amiri"/>
          <w:lang w:bidi="ar-SA"/>
          <w:color w:val="111111"/>
          <w:sz w:val="28"/>
          <w:szCs w:val="28"/>
          <w:rtl/>
        </w:rPr>
        <w:t xml:space="preserve">المعتقد الواضح الايماني على عقيدة الشيباني، ج 15، ص 6.</w:t>
      </w:r>
    </w:p>
    <w:p>
      <w:pPr>
        <w:pStyle w:val="Heading2"/>
      </w:pPr>
      <w:bookmarkStart w:id="2009" w:name="_Toc1111"/>
      <w:r>
        <w:t>احمدي ، يوسف بن عبدالرحيم سفينة الاحمدي ببركة النبي، ج8،</w:t>
      </w:r>
      <w:bookmarkEnd w:id="2009"/>
    </w:p>
    <w:p>
      <w:pPr>
        <w:pStyle w:val="BookText"/>
      </w:pPr>
      <w:r>
        <w:rPr>
          <w:rFonts w:ascii="IRNazanin" w:hAnsi="IRNazanin" w:eastAsia="IRNazanin" w:cs="IRNazanin"/>
          <w:lang w:bidi="fa-IR"/>
          <w:color w:val="111111"/>
          <w:sz w:val="28"/>
          <w:szCs w:val="28"/>
          <w:rtl/>
        </w:rPr>
        <w:t xml:space="preserve">ص 780</w:t>
      </w:r>
    </w:p>
    <w:p>
      <w:pPr>
        <w:pStyle w:val="Heading2"/>
      </w:pPr>
      <w:bookmarkStart w:id="2010" w:name="_Toc1112"/>
      <w:r>
        <w:t>اخباري، جاسم بن حسن، - 1334 ه-</w:t>
      </w:r>
      <w:bookmarkEnd w:id="2010"/>
    </w:p>
    <w:p>
      <w:pPr>
        <w:pStyle w:val="BookText"/>
      </w:pPr>
      <w:r>
        <w:rPr>
          <w:rFonts w:ascii="Amiri" w:hAnsi="Amiri" w:eastAsia="Amiri" w:cs="Amiri"/>
          <w:lang w:bidi="ar-SA"/>
          <w:color w:val="111111"/>
          <w:sz w:val="28"/>
          <w:szCs w:val="28"/>
          <w:rtl/>
        </w:rPr>
        <w:t xml:space="preserve">1 .ابطال الاجتهاد والتقليد بغير</w:t>
      </w:r>
    </w:p>
    <w:p>
      <w:pPr>
        <w:pStyle w:val="BookText"/>
      </w:pPr>
      <w:r>
        <w:rPr>
          <w:rFonts w:ascii="IRNazanin" w:hAnsi="IRNazanin" w:eastAsia="IRNazanin" w:cs="IRNazanin"/>
          <w:lang w:bidi="fa-IR"/>
          <w:color w:val="111111"/>
          <w:sz w:val="28"/>
          <w:szCs w:val="28"/>
          <w:rtl/>
        </w:rPr>
        <w:t xml:space="preserve">المعصوم، ج1، ص100.</w:t>
      </w:r>
    </w:p>
    <w:p>
      <w:pPr>
        <w:pStyle w:val="BookText"/>
      </w:pPr>
      <w:r>
        <w:rPr>
          <w:rFonts w:ascii="IRNazanin" w:hAnsi="IRNazanin" w:eastAsia="IRNazanin" w:cs="IRNazanin"/>
          <w:lang w:bidi="fa-IR"/>
          <w:color w:val="111111"/>
          <w:sz w:val="28"/>
          <w:szCs w:val="28"/>
          <w:rtl/>
        </w:rPr>
        <w:t xml:space="preserve">2 .ارشاد المسترشدین، ج 2، ص 51</w:t>
      </w:r>
    </w:p>
    <w:p>
      <w:pPr>
        <w:pStyle w:val="BookText"/>
      </w:pPr>
      <w:r>
        <w:rPr>
          <w:rFonts w:ascii="Amiri" w:hAnsi="Amiri" w:eastAsia="Amiri" w:cs="Amiri"/>
          <w:lang w:bidi="ar-SA"/>
          <w:color w:val="111111"/>
          <w:sz w:val="28"/>
          <w:szCs w:val="28"/>
          <w:rtl/>
        </w:rPr>
        <w:t xml:space="preserve">3 .الفرق بين المجتهدين والمحدثين</w:t>
      </w:r>
    </w:p>
    <w:p>
      <w:pPr>
        <w:pStyle w:val="BookText"/>
      </w:pPr>
      <w:r>
        <w:rPr>
          <w:rFonts w:ascii="IRNazanin" w:hAnsi="IRNazanin" w:eastAsia="IRNazanin" w:cs="IRNazanin"/>
          <w:lang w:bidi="fa-IR"/>
          <w:color w:val="111111"/>
          <w:sz w:val="28"/>
          <w:szCs w:val="28"/>
          <w:rtl/>
        </w:rPr>
        <w:t xml:space="preserve">ج 11، ص 797.</w:t>
      </w:r>
    </w:p>
    <w:p>
      <w:pPr>
        <w:pStyle w:val="BookText"/>
      </w:pPr>
      <w:r>
        <w:rPr>
          <w:rFonts w:ascii="Amiri" w:hAnsi="Amiri" w:eastAsia="Amiri" w:cs="Amiri"/>
          <w:lang w:bidi="ar-SA"/>
          <w:color w:val="111111"/>
          <w:sz w:val="28"/>
          <w:szCs w:val="28"/>
          <w:rtl/>
        </w:rPr>
        <w:t xml:space="preserve">4 .هداية الأخوان، ج 16، ص 595.</w:t>
      </w:r>
    </w:p>
    <w:p>
      <w:pPr>
        <w:pStyle w:val="BookText"/>
      </w:pPr>
      <w:r>
        <w:rPr>
          <w:rFonts w:ascii="Amiri" w:hAnsi="Amiri" w:eastAsia="Amiri" w:cs="Amiri"/>
          <w:lang w:bidi="ar-SA"/>
          <w:color w:val="111111"/>
          <w:sz w:val="28"/>
          <w:szCs w:val="28"/>
          <w:rtl/>
        </w:rPr>
        <w:t xml:space="preserve">5 .هداية العباد في ابطال طريقة ارباب الحاكمين على الخلق، ج 16،</w:t>
      </w:r>
    </w:p>
    <w:p>
      <w:pPr>
        <w:pStyle w:val="BookText"/>
      </w:pPr>
      <w:r>
        <w:rPr>
          <w:rFonts w:ascii="IRNazanin" w:hAnsi="IRNazanin" w:eastAsia="IRNazanin" w:cs="IRNazanin"/>
          <w:lang w:bidi="fa-IR"/>
          <w:color w:val="111111"/>
          <w:sz w:val="28"/>
          <w:szCs w:val="28"/>
          <w:rtl/>
        </w:rPr>
        <w:t xml:space="preserve">ص615.</w:t>
      </w:r>
    </w:p>
    <w:p>
      <w:pPr>
        <w:pStyle w:val="BookText"/>
      </w:pPr>
      <w:r>
        <w:rPr>
          <w:rFonts w:ascii="Amiri" w:hAnsi="Amiri" w:eastAsia="Amiri" w:cs="Amiri"/>
          <w:lang w:bidi="ar-SA"/>
          <w:color w:val="111111"/>
          <w:sz w:val="28"/>
          <w:szCs w:val="28"/>
          <w:rtl/>
        </w:rPr>
        <w:t xml:space="preserve">6 .هداية المرتاد في ابطال الأجتهاد</w:t>
      </w:r>
    </w:p>
    <w:p>
      <w:pPr>
        <w:pStyle w:val="BookText"/>
      </w:pPr>
      <w:r>
        <w:rPr>
          <w:rFonts w:ascii="IRNazanin" w:hAnsi="IRNazanin" w:eastAsia="IRNazanin" w:cs="IRNazanin"/>
          <w:lang w:bidi="fa-IR"/>
          <w:color w:val="111111"/>
          <w:sz w:val="28"/>
          <w:szCs w:val="28"/>
          <w:rtl/>
        </w:rPr>
        <w:t xml:space="preserve">ج 16، ص 629 .</w:t>
      </w:r>
    </w:p>
    <w:p>
      <w:pPr>
        <w:pStyle w:val="Heading2"/>
      </w:pPr>
      <w:bookmarkStart w:id="2011" w:name="_Toc1113"/>
      <w:r>
        <w:t>اخباري، علي بن محمّد - 1273 ه-</w:t>
      </w:r>
      <w:bookmarkEnd w:id="2011"/>
    </w:p>
    <w:p>
      <w:pPr>
        <w:pStyle w:val="BookText"/>
      </w:pPr>
      <w:r>
        <w:rPr>
          <w:rFonts w:ascii="Amiri" w:hAnsi="Amiri" w:eastAsia="Amiri" w:cs="Amiri"/>
          <w:lang w:bidi="ar-SA"/>
          <w:color w:val="111111"/>
          <w:sz w:val="28"/>
          <w:szCs w:val="28"/>
          <w:rtl/>
        </w:rPr>
        <w:t xml:space="preserve">نار الله الموقدة، ج 16، ص 81.</w:t>
      </w:r>
    </w:p>
    <w:p>
      <w:pPr>
        <w:pStyle w:val="Heading2"/>
      </w:pPr>
      <w:bookmarkStart w:id="2012" w:name="_Toc1114"/>
      <w:r>
        <w:t>اخباري ، محمّد بن عبد النبي، 1178 - 1232 ؟ ه-</w:t>
      </w:r>
      <w:bookmarkEnd w:id="2012"/>
    </w:p>
    <w:p>
      <w:pPr>
        <w:pStyle w:val="BookText"/>
      </w:pPr>
      <w:r>
        <w:rPr>
          <w:rFonts w:ascii="Amiri" w:hAnsi="Amiri" w:eastAsia="Amiri" w:cs="Amiri"/>
          <w:lang w:bidi="ar-SA"/>
          <w:color w:val="111111"/>
          <w:sz w:val="28"/>
          <w:szCs w:val="28"/>
          <w:rtl/>
        </w:rPr>
        <w:t xml:space="preserve">1 .الأسئلة والأجوبة، ج2، ص93.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امالي عباسي = آيينه عباسي در نمایش حق شناسي، ج 2، ص727.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انسان العين، ج 2، ص 804.</w:t>
      </w:r>
    </w:p>
    <w:p>
      <w:pPr>
        <w:pStyle w:val="BookText"/>
      </w:pPr>
      <w:r>
        <w:rPr>
          <w:rFonts w:ascii="Amiri" w:hAnsi="Amiri" w:eastAsia="Amiri" w:cs="Amiri"/>
          <w:lang w:bidi="ar-SA"/>
          <w:color w:val="111111"/>
          <w:sz w:val="28"/>
          <w:szCs w:val="28"/>
          <w:rtl/>
        </w:rPr>
        <w:t xml:space="preserve">4 .إيقاظ النبيه فيما أجمع عليه، ج3،</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Amiri" w:hAnsi="Amiri" w:eastAsia="Amiri" w:cs="Amiri"/>
          <w:lang w:bidi="ar-SA"/>
          <w:color w:val="111111"/>
          <w:sz w:val="28"/>
          <w:szCs w:val="28"/>
          <w:rtl/>
        </w:rPr>
        <w:t xml:space="preserve">5 .البداية، ج3، ص 241.</w:t>
      </w:r>
    </w:p>
    <w:p>
      <w:pPr>
        <w:pStyle w:val="BookText"/>
      </w:pPr>
      <w:r>
        <w:rPr>
          <w:rFonts w:ascii="Amiri" w:hAnsi="Amiri" w:eastAsia="Amiri" w:cs="Amiri"/>
          <w:lang w:bidi="ar-SA"/>
          <w:color w:val="111111"/>
          <w:sz w:val="28"/>
          <w:szCs w:val="28"/>
          <w:rtl/>
        </w:rPr>
        <w:t xml:space="preserve">6 .البرهانية، ج3، ص319.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التبصرة، ج 3، ص 635.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تحفه لاريه، ج 4، ص 3.</w:t>
      </w:r>
    </w:p>
    <w:p>
      <w:pPr>
        <w:pStyle w:val="BookText"/>
      </w:pPr>
      <w:r>
        <w:rPr>
          <w:rFonts w:ascii="Amiri" w:hAnsi="Amiri" w:eastAsia="Amiri" w:cs="Amiri"/>
          <w:lang w:bidi="ar-SA"/>
          <w:color w:val="111111"/>
          <w:sz w:val="28"/>
          <w:szCs w:val="28"/>
          <w:rtl/>
        </w:rPr>
        <w:t xml:space="preserve">9 .تسلية القلوب الحزينة الجاري مجرى الكشكول والسفينة، جع،</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IRNazanin" w:hAnsi="IRNazanin" w:eastAsia="IRNazanin" w:cs="IRNazanin"/>
          <w:lang w:bidi="fa-IR"/>
          <w:color w:val="111111"/>
          <w:sz w:val="28"/>
          <w:szCs w:val="28"/>
          <w:rtl/>
        </w:rPr>
        <w:t xml:space="preserve">10 .حجر ملقم، ج 6، ص 490.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حرز الحواس من وسواس الخناس</w:t>
      </w:r>
    </w:p>
    <w:p>
      <w:pPr>
        <w:pStyle w:val="BookText"/>
      </w:pPr>
      <w:r>
        <w:rPr>
          <w:rFonts w:ascii="IRNazanin" w:hAnsi="IRNazanin" w:eastAsia="IRNazanin" w:cs="IRNazanin"/>
          <w:lang w:bidi="fa-IR"/>
          <w:color w:val="111111"/>
          <w:sz w:val="28"/>
          <w:szCs w:val="28"/>
          <w:rtl/>
        </w:rPr>
        <w:t xml:space="preserve">ج 6 ، ص 612 .</w:t>
      </w:r>
    </w:p>
    <w:p>
      <w:pPr>
        <w:pStyle w:val="BookText"/>
      </w:pPr>
      <w:r>
        <w:rPr>
          <w:rFonts w:ascii="Amiri" w:hAnsi="Amiri" w:eastAsia="Amiri" w:cs="Amiri"/>
          <w:lang w:bidi="ar-SA"/>
          <w:color w:val="111111"/>
          <w:sz w:val="28"/>
          <w:szCs w:val="28"/>
          <w:rtl/>
        </w:rPr>
        <w:t xml:space="preserve">12 .حرمة الدخان، ج 6، ص 620.</w:t>
      </w:r>
    </w:p>
    <w:p>
      <w:pPr>
        <w:pStyle w:val="BookText"/>
      </w:pPr>
      <w:r>
        <w:rPr>
          <w:rFonts w:ascii="Amiri" w:hAnsi="Amiri" w:eastAsia="Amiri" w:cs="Amiri"/>
          <w:lang w:bidi="ar-SA"/>
          <w:color w:val="111111"/>
          <w:sz w:val="28"/>
          <w:szCs w:val="28"/>
          <w:rtl/>
        </w:rPr>
        <w:t xml:space="preserve">13 .الدر الثمين وتحفة الامين، ج7،</w:t>
      </w:r>
    </w:p>
    <w:p>
      <w:pPr>
        <w:pStyle w:val="BookText"/>
      </w:pPr>
      <w:r>
        <w:rPr>
          <w:rFonts w:ascii="IRNazanin" w:hAnsi="IRNazanin" w:eastAsia="IRNazanin" w:cs="IRNazanin"/>
          <w:lang w:bidi="fa-IR"/>
          <w:color w:val="111111"/>
          <w:sz w:val="28"/>
          <w:szCs w:val="28"/>
          <w:rtl/>
        </w:rPr>
        <w:t xml:space="preserve">ص 276 .</w:t>
      </w:r>
    </w:p>
    <w:p>
      <w:pPr>
        <w:pStyle w:val="BookText"/>
      </w:pPr>
      <w:r>
        <w:rPr>
          <w:rFonts w:ascii="IRNazanin" w:hAnsi="IRNazanin" w:eastAsia="IRNazanin" w:cs="IRNazanin"/>
          <w:lang w:bidi="fa-IR"/>
          <w:color w:val="111111"/>
          <w:sz w:val="28"/>
          <w:szCs w:val="28"/>
          <w:rtl/>
        </w:rPr>
        <w:t xml:space="preserve">14 .دوائر العلوم و جداول الرقوم =</w:t>
      </w:r>
    </w:p>
    <w:p>
      <w:pPr>
        <w:pStyle w:val="BookText"/>
      </w:pPr>
      <w:r>
        <w:rPr>
          <w:rFonts w:ascii="Amiri" w:hAnsi="Amiri" w:eastAsia="Amiri" w:cs="Amiri"/>
          <w:lang w:bidi="ar-SA"/>
          <w:color w:val="111111"/>
          <w:sz w:val="28"/>
          <w:szCs w:val="28"/>
          <w:rtl/>
        </w:rPr>
        <w:t xml:space="preserve">تحفة الخاقان، ج 7، ص 483.</w:t>
      </w:r>
    </w:p>
    <w:p>
      <w:pPr>
        <w:pStyle w:val="BookText"/>
      </w:pPr>
      <w:r>
        <w:rPr>
          <w:rFonts w:ascii="IRNazanin" w:hAnsi="IRNazanin" w:eastAsia="IRNazanin" w:cs="IRNazanin"/>
          <w:lang w:bidi="fa-IR"/>
          <w:color w:val="111111"/>
          <w:sz w:val="28"/>
          <w:szCs w:val="28"/>
          <w:rtl/>
        </w:rPr>
        <w:t xml:space="preserve">15 .دیوان سیل اخباري، ج 7، ص 664.</w:t>
      </w:r>
    </w:p>
    <w:p>
      <w:pPr>
        <w:pStyle w:val="BookText"/>
      </w:pPr>
      <w:r>
        <w:rPr>
          <w:rFonts w:ascii="Amiri" w:hAnsi="Amiri" w:eastAsia="Amiri" w:cs="Amiri"/>
          <w:lang w:bidi="ar-SA"/>
          <w:color w:val="111111"/>
          <w:sz w:val="28"/>
          <w:szCs w:val="28"/>
          <w:rtl/>
        </w:rPr>
        <w:t xml:space="preserve">16 .الرجال الكبير، ج 8، ص 56.</w:t>
      </w:r>
    </w:p>
    <w:p>
      <w:pPr>
        <w:pStyle w:val="BookText"/>
      </w:pPr>
      <w:r>
        <w:rPr>
          <w:rFonts w:ascii="Amiri" w:hAnsi="Amiri" w:eastAsia="Amiri" w:cs="Amiri"/>
          <w:lang w:bidi="ar-SA"/>
          <w:color w:val="111111"/>
          <w:sz w:val="28"/>
          <w:szCs w:val="28"/>
          <w:rtl/>
        </w:rPr>
        <w:t xml:space="preserve">17 .رسائل متعددة في أبحاث شتى</w:t>
      </w:r>
    </w:p>
    <w:p>
      <w:pPr>
        <w:pStyle w:val="BookText"/>
      </w:pPr>
      <w:r>
        <w:rPr>
          <w:rFonts w:ascii="IRNazanin" w:hAnsi="IRNazanin" w:eastAsia="IRNazanin" w:cs="IRNazanin"/>
          <w:lang w:bidi="fa-IR"/>
          <w:color w:val="111111"/>
          <w:sz w:val="28"/>
          <w:szCs w:val="28"/>
          <w:rtl/>
        </w:rPr>
        <w:t xml:space="preserve">ج 8، ص 150.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السالكين، ج8، ص 672.</w:t>
      </w:r>
    </w:p>
    <w:p>
      <w:pPr>
        <w:pStyle w:val="BookText"/>
      </w:pPr>
      <w:r>
        <w:rPr>
          <w:rFonts w:ascii="Amiri" w:hAnsi="Amiri" w:eastAsia="Amiri" w:cs="Amiri"/>
          <w:lang w:bidi="ar-SA"/>
          <w:color w:val="111111"/>
          <w:sz w:val="28"/>
          <w:szCs w:val="28"/>
          <w:rtl/>
        </w:rPr>
        <w:t xml:space="preserve">19 .سعوط المجانين، ج8، ص 775.</w:t>
      </w:r>
    </w:p>
    <w:p>
      <w:pPr>
        <w:pStyle w:val="BookText"/>
      </w:pPr>
      <w:r>
        <w:rPr>
          <w:rFonts w:ascii="IRNazanin" w:hAnsi="IRNazanin" w:eastAsia="IRNazanin" w:cs="IRNazanin"/>
          <w:lang w:bidi="fa-IR"/>
          <w:color w:val="111111"/>
          <w:sz w:val="28"/>
          <w:szCs w:val="28"/>
          <w:rtl/>
        </w:rPr>
        <w:t xml:space="preserve">20 .سلاح المؤمن، ج8، ص793.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سيف الله المسلول على محرفي</w:t>
      </w:r>
    </w:p>
    <w:p>
      <w:pPr>
        <w:pStyle w:val="BookText"/>
      </w:pPr>
      <w:r>
        <w:rPr>
          <w:rFonts w:ascii="Amiri" w:hAnsi="Amiri" w:eastAsia="Amiri" w:cs="Amiri"/>
          <w:lang w:bidi="ar-SA"/>
          <w:color w:val="111111"/>
          <w:sz w:val="28"/>
          <w:szCs w:val="28"/>
          <w:rtl/>
        </w:rPr>
        <w:t xml:space="preserve">دين الرسول، ج 9، ص 36.</w:t>
      </w:r>
    </w:p>
    <w:p>
      <w:pPr>
        <w:pStyle w:val="BookText"/>
      </w:pPr>
      <w:r>
        <w:rPr>
          <w:rFonts w:ascii="Amiri" w:hAnsi="Amiri" w:eastAsia="Amiri" w:cs="Amiri"/>
          <w:lang w:bidi="ar-SA"/>
          <w:color w:val="111111"/>
          <w:sz w:val="28"/>
          <w:szCs w:val="28"/>
          <w:rtl/>
        </w:rPr>
        <w:t xml:space="preserve">22 .شرح القوانين، ج 10، ص22.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صحيفة اهل الصفاء في ذكر اهل</w:t>
      </w:r>
    </w:p>
    <w:p>
      <w:pPr>
        <w:pStyle w:val="BookText"/>
      </w:pPr>
      <w:r>
        <w:rPr>
          <w:rFonts w:ascii="Amiri" w:hAnsi="Amiri" w:eastAsia="Amiri" w:cs="Amiri"/>
          <w:lang w:bidi="ar-SA"/>
          <w:color w:val="111111"/>
          <w:sz w:val="28"/>
          <w:szCs w:val="28"/>
          <w:rtl/>
        </w:rPr>
        <w:t xml:space="preserve">الاجتباء و الاصطفاء - صحيفه اخوان الصفا، ج 10، ص 512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ضياء المتقين في معارف الدين</w:t>
      </w:r>
    </w:p>
    <w:p>
      <w:pPr>
        <w:pStyle w:val="BookText"/>
      </w:pPr>
      <w:r>
        <w:rPr>
          <w:rFonts w:ascii="IRNazanin" w:hAnsi="IRNazanin" w:eastAsia="IRNazanin" w:cs="IRNazanin"/>
          <w:lang w:bidi="fa-IR"/>
          <w:color w:val="111111"/>
          <w:sz w:val="28"/>
          <w:szCs w:val="28"/>
          <w:rtl/>
        </w:rPr>
        <w:t xml:space="preserve">ج 10، ص 725.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7742_69722"/>
    <w:bookmarkEnd w:id="169"/>
    <w:p>
      <w:pPr>
        <w:pStyle w:val="BookText"/>
      </w:pPr>
      <w:r>
        <w:rPr>
          <w:rFonts w:ascii="IRNazanin" w:hAnsi="IRNazanin" w:eastAsia="IRNazanin" w:cs="IRNazanin"/>
          <w:lang w:bidi="fa-IR"/>
          <w:color w:val="111111"/>
          <w:sz w:val="28"/>
          <w:szCs w:val="28"/>
          <w:rtl/>
        </w:rPr>
        <w:t xml:space="preserve">25 .عبرة الناظرين فيما جرى بين آل الله و بین احمد بن زین الدین = مراسلات احسائي و اخباري، ج 11،</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IRNazanin" w:hAnsi="IRNazanin" w:eastAsia="IRNazanin" w:cs="IRNazanin"/>
          <w:lang w:bidi="fa-IR"/>
          <w:color w:val="111111"/>
          <w:sz w:val="28"/>
          <w:szCs w:val="28"/>
          <w:rtl/>
        </w:rPr>
        <w:t xml:space="preserve">26 .علم الحروف، ج 11، ص 242 .</w:t>
      </w:r>
    </w:p>
    <w:p>
      <w:pPr>
        <w:pStyle w:val="BookText"/>
      </w:pPr>
      <w:r>
        <w:rPr>
          <w:rFonts w:ascii="Amiri" w:hAnsi="Amiri" w:eastAsia="Amiri" w:cs="Amiri"/>
          <w:lang w:bidi="ar-SA"/>
          <w:color w:val="111111"/>
          <w:sz w:val="28"/>
          <w:szCs w:val="28"/>
          <w:rtl/>
        </w:rPr>
        <w:t xml:space="preserve">27 .غمزة البرهان الشبهة الوسنان</w:t>
      </w:r>
    </w:p>
    <w:p>
      <w:pPr>
        <w:pStyle w:val="BookText"/>
      </w:pPr>
      <w:r>
        <w:rPr>
          <w:rFonts w:ascii="IRNazanin" w:hAnsi="IRNazanin" w:eastAsia="IRNazanin" w:cs="IRNazanin"/>
          <w:lang w:bidi="fa-IR"/>
          <w:color w:val="111111"/>
          <w:sz w:val="28"/>
          <w:szCs w:val="28"/>
          <w:rtl/>
        </w:rPr>
        <w:t xml:space="preserve">ج 11، ص 508.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فصل الخطاب في نقض مقالة ابن</w:t>
      </w:r>
    </w:p>
    <w:p>
      <w:pPr>
        <w:pStyle w:val="BookText"/>
      </w:pPr>
      <w:r>
        <w:rPr>
          <w:rFonts w:ascii="IRNazanin" w:hAnsi="IRNazanin" w:eastAsia="IRNazanin" w:cs="IRNazanin"/>
          <w:lang w:bidi="fa-IR"/>
          <w:color w:val="111111"/>
          <w:sz w:val="28"/>
          <w:szCs w:val="28"/>
          <w:rtl/>
        </w:rPr>
        <w:t xml:space="preserve">عبدالوهاب، ج 11، ص833.</w:t>
      </w:r>
    </w:p>
    <w:p>
      <w:pPr>
        <w:pStyle w:val="BookText"/>
      </w:pPr>
      <w:r>
        <w:rPr>
          <w:rFonts w:ascii="Amiri" w:hAnsi="Amiri" w:eastAsia="Amiri" w:cs="Amiri"/>
          <w:lang w:bidi="ar-SA"/>
          <w:color w:val="111111"/>
          <w:sz w:val="28"/>
          <w:szCs w:val="28"/>
          <w:rtl/>
        </w:rPr>
        <w:t xml:space="preserve">29 .فهرست مشائخ الإجازة، ج 12،</w:t>
      </w:r>
    </w:p>
    <w:p>
      <w:pPr>
        <w:pStyle w:val="BookText"/>
      </w:pPr>
      <w:r>
        <w:rPr>
          <w:rFonts w:ascii="IRNazanin" w:hAnsi="IRNazanin" w:eastAsia="IRNazanin" w:cs="IRNazanin"/>
          <w:lang w:bidi="fa-IR"/>
          <w:color w:val="111111"/>
          <w:sz w:val="28"/>
          <w:szCs w:val="28"/>
          <w:rtl/>
        </w:rPr>
        <w:t xml:space="preserve">ص 155 .</w:t>
      </w:r>
    </w:p>
    <w:p>
      <w:pPr>
        <w:pStyle w:val="BookText"/>
      </w:pPr>
      <w:r>
        <w:rPr>
          <w:rFonts w:ascii="Amiri" w:hAnsi="Amiri" w:eastAsia="Amiri" w:cs="Amiri"/>
          <w:lang w:bidi="ar-SA"/>
          <w:color w:val="111111"/>
          <w:sz w:val="28"/>
          <w:szCs w:val="28"/>
          <w:rtl/>
        </w:rPr>
        <w:t xml:space="preserve">30 .قبسة العجول و منبهة الفحول منية الفحول، ج 12، ص 373.</w:t>
      </w:r>
    </w:p>
    <w:p>
      <w:pPr>
        <w:pStyle w:val="BookText"/>
      </w:pPr>
      <w:r>
        <w:rPr>
          <w:rFonts w:ascii="Amiri" w:hAnsi="Amiri" w:eastAsia="Amiri" w:cs="Amiri"/>
          <w:lang w:bidi="ar-SA"/>
          <w:color w:val="111111"/>
          <w:sz w:val="28"/>
          <w:szCs w:val="28"/>
          <w:rtl/>
        </w:rPr>
        <w:t xml:space="preserve">31 .الكتاب المبين و النهج المستبين</w:t>
      </w:r>
    </w:p>
    <w:p>
      <w:pPr>
        <w:pStyle w:val="BookText"/>
      </w:pPr>
      <w:r>
        <w:rPr>
          <w:rFonts w:ascii="IRNazanin" w:hAnsi="IRNazanin" w:eastAsia="IRNazanin" w:cs="IRNazanin"/>
          <w:lang w:bidi="fa-IR"/>
          <w:color w:val="111111"/>
          <w:sz w:val="28"/>
          <w:szCs w:val="28"/>
          <w:rtl/>
        </w:rPr>
        <w:t xml:space="preserve">ج 13، ص 121.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كشف الحجاب، ج13، ص200.</w:t>
      </w:r>
    </w:p>
    <w:p>
      <w:pPr>
        <w:pStyle w:val="BookText"/>
      </w:pPr>
      <w:r>
        <w:rPr>
          <w:rFonts w:ascii="Amiri" w:hAnsi="Amiri" w:eastAsia="Amiri" w:cs="Amiri"/>
          <w:lang w:bidi="ar-SA"/>
          <w:color w:val="111111"/>
          <w:sz w:val="28"/>
          <w:szCs w:val="28"/>
          <w:rtl/>
        </w:rPr>
        <w:t xml:space="preserve">33 .كشف القناع عن عور الاجماع</w:t>
      </w:r>
    </w:p>
    <w:p>
      <w:pPr>
        <w:pStyle w:val="BookText"/>
      </w:pPr>
      <w:r>
        <w:rPr>
          <w:rFonts w:ascii="IRNazanin" w:hAnsi="IRNazanin" w:eastAsia="IRNazanin" w:cs="IRNazanin"/>
          <w:lang w:bidi="fa-IR"/>
          <w:color w:val="111111"/>
          <w:sz w:val="28"/>
          <w:szCs w:val="28"/>
          <w:rtl/>
        </w:rPr>
        <w:t xml:space="preserve">ج 13، ص 248.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مجال المجالي في شرح مجالي</w:t>
      </w:r>
    </w:p>
    <w:p>
      <w:pPr>
        <w:pStyle w:val="BookText"/>
      </w:pPr>
      <w:r>
        <w:rPr>
          <w:rFonts w:ascii="IRNazanin" w:hAnsi="IRNazanin" w:eastAsia="IRNazanin" w:cs="IRNazanin"/>
          <w:lang w:bidi="fa-IR"/>
          <w:color w:val="111111"/>
          <w:sz w:val="28"/>
          <w:szCs w:val="28"/>
          <w:rtl/>
        </w:rPr>
        <w:t xml:space="preserve">الانوار، ج13، ص 806.</w:t>
      </w:r>
    </w:p>
    <w:p>
      <w:pPr>
        <w:pStyle w:val="BookText"/>
      </w:pPr>
      <w:r>
        <w:rPr>
          <w:rFonts w:ascii="Amiri" w:hAnsi="Amiri" w:eastAsia="Amiri" w:cs="Amiri"/>
          <w:lang w:bidi="ar-SA"/>
          <w:color w:val="111111"/>
          <w:sz w:val="28"/>
          <w:szCs w:val="28"/>
          <w:rtl/>
        </w:rPr>
        <w:t xml:space="preserve">35 معاول العقول في قلع اساس الاصول = سيف الله المسلول على</w:t>
      </w:r>
    </w:p>
    <w:p>
      <w:pPr>
        <w:pStyle w:val="BookText"/>
      </w:pPr>
      <w:r>
        <w:rPr>
          <w:rFonts w:ascii="Amiri" w:hAnsi="Amiri" w:eastAsia="Amiri" w:cs="Amiri"/>
          <w:lang w:bidi="ar-SA"/>
          <w:color w:val="111111"/>
          <w:sz w:val="28"/>
          <w:szCs w:val="28"/>
          <w:rtl/>
        </w:rPr>
        <w:t xml:space="preserve">40 .نشرة الاخوان في التدخين، ج 16،</w:t>
      </w:r>
    </w:p>
    <w:p>
      <w:pPr>
        <w:pStyle w:val="BookText"/>
      </w:pPr>
      <w:r>
        <w:rPr>
          <w:rFonts w:ascii="IRNazanin" w:hAnsi="IRNazanin" w:eastAsia="IRNazanin" w:cs="IRNazanin"/>
          <w:lang w:bidi="fa-IR"/>
          <w:color w:val="111111"/>
          <w:sz w:val="28"/>
          <w:szCs w:val="28"/>
          <w:rtl/>
        </w:rPr>
        <w:t xml:space="preserve">ص 286 .</w:t>
      </w:r>
    </w:p>
    <w:p>
      <w:pPr>
        <w:pStyle w:val="BookText"/>
      </w:pPr>
      <w:r>
        <w:rPr>
          <w:rFonts w:ascii="Amiri" w:hAnsi="Amiri" w:eastAsia="Amiri" w:cs="Amiri"/>
          <w:lang w:bidi="ar-SA"/>
          <w:color w:val="111111"/>
          <w:sz w:val="28"/>
          <w:szCs w:val="28"/>
          <w:rtl/>
        </w:rPr>
        <w:t xml:space="preserve">41 .الوجيزة، ج 16، ص 738.</w:t>
      </w:r>
    </w:p>
    <w:p>
      <w:pPr>
        <w:pStyle w:val="BookText"/>
      </w:pPr>
      <w:r>
        <w:rPr>
          <w:rFonts w:ascii="Amiri" w:hAnsi="Amiri" w:eastAsia="Amiri" w:cs="Amiri"/>
          <w:lang w:bidi="ar-SA"/>
          <w:color w:val="111111"/>
          <w:sz w:val="28"/>
          <w:szCs w:val="28"/>
          <w:rtl/>
        </w:rPr>
        <w:t xml:space="preserve">42 .الوسيلة في شرح دعاء العديلة</w:t>
      </w:r>
    </w:p>
    <w:p>
      <w:pPr>
        <w:pStyle w:val="BookText"/>
      </w:pPr>
      <w:r>
        <w:rPr>
          <w:rFonts w:ascii="IRNazanin" w:hAnsi="IRNazanin" w:eastAsia="IRNazanin" w:cs="IRNazanin"/>
          <w:lang w:bidi="fa-IR"/>
          <w:color w:val="111111"/>
          <w:sz w:val="28"/>
          <w:szCs w:val="28"/>
          <w:rtl/>
        </w:rPr>
        <w:t xml:space="preserve">ج 16، ص 786.</w:t>
      </w:r>
    </w:p>
    <w:p>
      <w:pPr>
        <w:pStyle w:val="Heading2"/>
      </w:pPr>
      <w:bookmarkStart w:id="2013" w:name="_Toc1115"/>
      <w:r>
        <w:t>اختر ، سلطان محمّد واجد</w:t>
      </w:r>
      <w:bookmarkEnd w:id="2013"/>
    </w:p>
    <w:p>
      <w:pPr>
        <w:pStyle w:val="BookText"/>
      </w:pPr>
      <w:r>
        <w:rPr>
          <w:rFonts w:ascii="Amiri" w:hAnsi="Amiri" w:eastAsia="Amiri" w:cs="Amiri"/>
          <w:lang w:bidi="ar-SA"/>
          <w:color w:val="111111"/>
          <w:sz w:val="28"/>
          <w:szCs w:val="28"/>
          <w:rtl/>
        </w:rPr>
        <w:t xml:space="preserve">مرثيتان في حق امير المؤمنين و سيد</w:t>
      </w:r>
    </w:p>
    <w:p>
      <w:pPr>
        <w:pStyle w:val="BookText"/>
      </w:pPr>
      <w:r>
        <w:rPr>
          <w:rFonts w:ascii="IRNazanin" w:hAnsi="IRNazanin" w:eastAsia="IRNazanin" w:cs="IRNazanin"/>
          <w:lang w:bidi="fa-IR"/>
          <w:color w:val="111111"/>
          <w:sz w:val="28"/>
          <w:szCs w:val="28"/>
          <w:rtl/>
        </w:rPr>
        <w:t xml:space="preserve">الشهداء، ج 14، ص392.</w:t>
      </w:r>
    </w:p>
    <w:p>
      <w:pPr>
        <w:pStyle w:val="Heading2"/>
      </w:pPr>
      <w:bookmarkStart w:id="2014" w:name="_Toc1116"/>
      <w:r>
        <w:t>اختري ، مصطفى بن احمد - 968 ه-</w:t>
      </w:r>
      <w:bookmarkEnd w:id="2014"/>
    </w:p>
    <w:p>
      <w:pPr>
        <w:pStyle w:val="BookText"/>
      </w:pPr>
      <w:r>
        <w:rPr>
          <w:rFonts w:ascii="Amiri" w:hAnsi="Amiri" w:eastAsia="Amiri" w:cs="Amiri"/>
          <w:lang w:bidi="ar-SA"/>
          <w:color w:val="111111"/>
          <w:sz w:val="28"/>
          <w:szCs w:val="28"/>
          <w:rtl/>
        </w:rPr>
        <w:t xml:space="preserve">1 .جامع المسائل في الفروع = ام</w:t>
      </w:r>
    </w:p>
    <w:p>
      <w:pPr>
        <w:pStyle w:val="BookText"/>
      </w:pPr>
      <w:r>
        <w:rPr>
          <w:rFonts w:ascii="IRNazanin" w:hAnsi="IRNazanin" w:eastAsia="IRNazanin" w:cs="IRNazanin"/>
          <w:lang w:bidi="fa-IR"/>
          <w:color w:val="111111"/>
          <w:sz w:val="28"/>
          <w:szCs w:val="28"/>
          <w:rtl/>
        </w:rPr>
        <w:t xml:space="preserve">الفتاوى، ج 5، ص328.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فرهنگ ،اختري، ج 11، ص807.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فرهنگ اختري (كبير)، ج11،</w:t>
      </w:r>
    </w:p>
    <w:p>
      <w:pPr>
        <w:pStyle w:val="BookText"/>
      </w:pPr>
      <w:r>
        <w:rPr>
          <w:rFonts w:ascii="IRNazanin" w:hAnsi="IRNazanin" w:eastAsia="IRNazanin" w:cs="IRNazanin"/>
          <w:lang w:bidi="fa-IR"/>
          <w:color w:val="111111"/>
          <w:sz w:val="28"/>
          <w:szCs w:val="28"/>
          <w:rtl/>
        </w:rPr>
        <w:t xml:space="preserve">ص 808.</w:t>
      </w:r>
    </w:p>
    <w:p>
      <w:pPr>
        <w:pStyle w:val="BookText"/>
      </w:pPr>
      <w:r>
        <w:rPr>
          <w:rFonts w:ascii="Amiri" w:hAnsi="Amiri" w:eastAsia="Amiri" w:cs="Amiri"/>
          <w:lang w:bidi="ar-SA"/>
          <w:color w:val="111111"/>
          <w:sz w:val="28"/>
          <w:szCs w:val="28"/>
          <w:rtl/>
        </w:rPr>
        <w:t xml:space="preserve">اختيار الدين بن غياث الدين هروي - حسيني هروي ، حسين بن غياث</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اختيار تربتي حسيني هروي ، حسين بن</w:t>
      </w:r>
    </w:p>
    <w:p>
      <w:pPr>
        <w:pStyle w:val="BookText"/>
      </w:pPr>
      <w:r>
        <w:rPr>
          <w:rFonts w:ascii="Amiri" w:hAnsi="Amiri" w:eastAsia="Amiri" w:cs="Amiri"/>
          <w:lang w:bidi="ar-SA"/>
          <w:color w:val="111111"/>
          <w:sz w:val="28"/>
          <w:szCs w:val="28"/>
          <w:rtl/>
        </w:rPr>
        <w:t xml:space="preserve">مخربي دين الرسول = قلع الاساس غياث الدين ج 14، ص 897.</w:t>
      </w:r>
    </w:p>
    <w:p>
      <w:pPr>
        <w:pStyle w:val="BookText"/>
      </w:pPr>
      <w:r>
        <w:rPr>
          <w:rFonts w:ascii="Amiri" w:hAnsi="Amiri" w:eastAsia="Amiri" w:cs="Amiri"/>
          <w:lang w:bidi="ar-SA"/>
          <w:color w:val="111111"/>
          <w:sz w:val="28"/>
          <w:szCs w:val="28"/>
          <w:rtl/>
        </w:rPr>
        <w:t xml:space="preserve">36 .معراج التوحيد و الدر الفريد</w:t>
      </w:r>
    </w:p>
    <w:p>
      <w:pPr>
        <w:pStyle w:val="BookText"/>
      </w:pPr>
      <w:r>
        <w:rPr>
          <w:rFonts w:ascii="IRNazanin" w:hAnsi="IRNazanin" w:eastAsia="IRNazanin" w:cs="IRNazanin"/>
          <w:lang w:bidi="fa-IR"/>
          <w:color w:val="111111"/>
          <w:sz w:val="28"/>
          <w:szCs w:val="28"/>
          <w:rtl/>
        </w:rPr>
        <w:t xml:space="preserve">ج 15، ص 30.</w:t>
      </w:r>
    </w:p>
    <w:p>
      <w:pPr>
        <w:pStyle w:val="BookText"/>
      </w:pPr>
      <w:r>
        <w:rPr>
          <w:rFonts w:ascii="Amiri" w:hAnsi="Amiri" w:eastAsia="Amiri" w:cs="Amiri"/>
          <w:lang w:bidi="ar-SA"/>
          <w:color w:val="111111"/>
          <w:sz w:val="28"/>
          <w:szCs w:val="28"/>
          <w:rtl/>
        </w:rPr>
        <w:t xml:space="preserve">37 .مفتاح اليقين، ج 15، ص 234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منية المرتاد في ذكر نفاة الاجتهاد</w:t>
      </w:r>
    </w:p>
    <w:p>
      <w:pPr>
        <w:pStyle w:val="BookText"/>
      </w:pPr>
      <w:r>
        <w:rPr>
          <w:rFonts w:ascii="Amiri" w:hAnsi="Amiri" w:eastAsia="Amiri" w:cs="Amiri"/>
          <w:lang w:bidi="ar-SA"/>
          <w:color w:val="111111"/>
          <w:sz w:val="28"/>
          <w:szCs w:val="28"/>
          <w:rtl/>
        </w:rPr>
        <w:t xml:space="preserve">= مجامع المقربين و رياض المحدثين، ج 15، ص 830.</w:t>
      </w:r>
    </w:p>
    <w:p>
      <w:pPr>
        <w:pStyle w:val="BookText"/>
      </w:pPr>
      <w:r>
        <w:rPr>
          <w:rFonts w:ascii="Amiri" w:hAnsi="Amiri" w:eastAsia="Amiri" w:cs="Amiri"/>
          <w:lang w:bidi="ar-SA"/>
          <w:color w:val="111111"/>
          <w:sz w:val="28"/>
          <w:szCs w:val="28"/>
          <w:rtl/>
        </w:rPr>
        <w:t xml:space="preserve">39 .نجم الولاية لمن اراد الهداية، ج 16،</w:t>
      </w:r>
    </w:p>
    <w:p>
      <w:pPr>
        <w:pStyle w:val="BookText"/>
      </w:pPr>
      <w:r>
        <w:rPr>
          <w:rFonts w:ascii="IRNazanin" w:hAnsi="IRNazanin" w:eastAsia="IRNazanin" w:cs="IRNazanin"/>
          <w:lang w:bidi="fa-IR"/>
          <w:color w:val="111111"/>
          <w:sz w:val="28"/>
          <w:szCs w:val="28"/>
          <w:rtl/>
        </w:rPr>
        <w:t xml:space="preserve">ص 159 .</w:t>
      </w:r>
    </w:p>
    <w:p>
      <w:pPr>
        <w:pStyle w:val="Heading2"/>
      </w:pPr>
      <w:bookmarkStart w:id="2015" w:name="_Toc1117"/>
      <w:r>
        <w:t>اختيار شيرازي ، احمد بن حسن</w:t>
      </w:r>
      <w:bookmarkEnd w:id="2015"/>
    </w:p>
    <w:p>
      <w:pPr>
        <w:pStyle w:val="BookText"/>
      </w:pPr>
      <w:r>
        <w:rPr>
          <w:rFonts w:ascii="IRNazanin" w:hAnsi="IRNazanin" w:eastAsia="IRNazanin" w:cs="IRNazanin"/>
          <w:lang w:bidi="fa-IR"/>
          <w:color w:val="111111"/>
          <w:sz w:val="28"/>
          <w:szCs w:val="28"/>
          <w:rtl/>
        </w:rPr>
        <w:t xml:space="preserve">حدود الامراض، ج 6 ، ص 550.</w:t>
      </w:r>
    </w:p>
    <w:p>
      <w:pPr>
        <w:pStyle w:val="Heading2"/>
      </w:pPr>
      <w:bookmarkStart w:id="2016" w:name="_Toc1118"/>
      <w:r>
        <w:t>اخجالي لاهيجي ، احمد بن محمّد قرن</w:t>
      </w:r>
      <w:bookmarkEnd w:id="2016"/>
    </w:p>
    <w:p>
      <w:pPr>
        <w:pStyle w:val="BookText"/>
      </w:pPr>
      <w:r>
        <w:rPr>
          <w:rFonts w:ascii="IRNazanin" w:hAnsi="IRNazanin" w:eastAsia="IRNazanin" w:cs="IRNazanin"/>
          <w:lang w:bidi="fa-IR"/>
          <w:color w:val="111111"/>
          <w:sz w:val="28"/>
          <w:szCs w:val="28"/>
          <w:rtl/>
        </w:rPr>
        <w:t xml:space="preserve">11 ه-</w:t>
      </w:r>
    </w:p>
    <w:p>
      <w:pPr>
        <w:pStyle w:val="BookText"/>
      </w:pPr>
      <w:r>
        <w:rPr>
          <w:rFonts w:ascii="Amiri" w:hAnsi="Amiri" w:eastAsia="Amiri" w:cs="Amiri"/>
          <w:lang w:bidi="ar-SA"/>
          <w:color w:val="111111"/>
          <w:sz w:val="28"/>
          <w:szCs w:val="28"/>
          <w:rtl/>
        </w:rPr>
        <w:t xml:space="preserve">الفرائد الشمسية في شرح الفوائد</w:t>
      </w:r>
    </w:p>
    <w:p>
      <w:pPr>
        <w:pStyle w:val="BookText"/>
      </w:pPr>
      <w:r>
        <w:rPr>
          <w:rFonts w:ascii="Amiri" w:hAnsi="Amiri" w:eastAsia="Amiri" w:cs="Amiri"/>
          <w:lang w:bidi="ar-SA"/>
          <w:color w:val="111111"/>
          <w:sz w:val="28"/>
          <w:szCs w:val="28"/>
          <w:rtl/>
        </w:rPr>
        <w:t xml:space="preserve">الصمدية، ج11، ص 733.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7742_69724"/>
    <w:bookmarkEnd w:id="170"/>
    <w:p>
      <w:pPr>
        <w:pStyle w:val="Heading2"/>
      </w:pPr>
      <w:bookmarkStart w:id="2017" w:name="_Toc1119"/>
      <w:r>
        <w:t>اخرس ، عبد الغفار بن عبد الواحد 1225</w:t>
      </w:r>
      <w:bookmarkEnd w:id="20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1290 ه-</w:t>
      </w:r>
    </w:p>
    <w:p>
      <w:pPr>
        <w:pStyle w:val="BookText"/>
      </w:pPr>
      <w:r>
        <w:rPr>
          <w:rFonts w:ascii="Amiri" w:hAnsi="Amiri" w:eastAsia="Amiri" w:cs="Amiri"/>
          <w:lang w:bidi="ar-SA"/>
          <w:color w:val="111111"/>
          <w:sz w:val="28"/>
          <w:szCs w:val="28"/>
          <w:rtl/>
        </w:rPr>
        <w:t xml:space="preserve">1 .لاخبار والحكم( رسالة في)، ج1،</w:t>
      </w:r>
    </w:p>
    <w:p>
      <w:pPr>
        <w:pStyle w:val="BookText"/>
      </w:pPr>
      <w:r>
        <w:rPr>
          <w:rFonts w:ascii="IRNazanin" w:hAnsi="IRNazanin" w:eastAsia="IRNazanin" w:cs="IRNazanin"/>
          <w:lang w:bidi="fa-IR"/>
          <w:color w:val="111111"/>
          <w:sz w:val="28"/>
          <w:szCs w:val="28"/>
          <w:rtl/>
        </w:rPr>
        <w:t xml:space="preserve">ص 539 .</w:t>
      </w:r>
    </w:p>
    <w:p>
      <w:pPr>
        <w:pStyle w:val="BookText"/>
      </w:pPr>
      <w:r>
        <w:rPr>
          <w:rFonts w:ascii="Amiri" w:hAnsi="Amiri" w:eastAsia="Amiri" w:cs="Amiri"/>
          <w:lang w:bidi="ar-SA"/>
          <w:color w:val="111111"/>
          <w:sz w:val="28"/>
          <w:szCs w:val="28"/>
          <w:rtl/>
        </w:rPr>
        <w:t xml:space="preserve">2 .ديوان عبد الغفار الاخرس، ج7،</w:t>
      </w:r>
    </w:p>
    <w:p>
      <w:pPr>
        <w:pStyle w:val="BookText"/>
      </w:pPr>
      <w:r>
        <w:rPr>
          <w:rFonts w:ascii="IRNazanin" w:hAnsi="IRNazanin" w:eastAsia="IRNazanin" w:cs="IRNazanin"/>
          <w:lang w:bidi="fa-IR"/>
          <w:color w:val="111111"/>
          <w:sz w:val="28"/>
          <w:szCs w:val="28"/>
          <w:rtl/>
        </w:rPr>
        <w:t xml:space="preserve">ص 708 .</w:t>
      </w:r>
    </w:p>
    <w:p>
      <w:pPr>
        <w:pStyle w:val="BookText"/>
      </w:pPr>
      <w:r>
        <w:rPr>
          <w:rFonts w:ascii="Amiri" w:hAnsi="Amiri" w:eastAsia="Amiri" w:cs="Amiri"/>
          <w:lang w:bidi="ar-SA"/>
          <w:color w:val="111111"/>
          <w:sz w:val="28"/>
          <w:szCs w:val="28"/>
          <w:rtl/>
        </w:rPr>
        <w:t xml:space="preserve">3 .الرد على فرسنل بيك رئيس المدرسين في بارس (رسالة في)، ج 8، ص98.</w:t>
      </w:r>
    </w:p>
    <w:p>
      <w:pPr>
        <w:pStyle w:val="BookText"/>
      </w:pPr>
      <w:r>
        <w:rPr>
          <w:rFonts w:ascii="Amiri" w:hAnsi="Amiri" w:eastAsia="Amiri" w:cs="Amiri"/>
          <w:lang w:bidi="ar-SA"/>
          <w:color w:val="111111"/>
          <w:sz w:val="28"/>
          <w:szCs w:val="28"/>
          <w:rtl/>
        </w:rPr>
        <w:t xml:space="preserve">4 .رسالة ادبية، ج8، ص 163.</w:t>
      </w:r>
    </w:p>
    <w:p>
      <w:pPr>
        <w:pStyle w:val="BookText"/>
      </w:pPr>
      <w:r>
        <w:rPr>
          <w:rFonts w:ascii="Amiri" w:hAnsi="Amiri" w:eastAsia="Amiri" w:cs="Amiri"/>
          <w:lang w:bidi="ar-SA"/>
          <w:color w:val="111111"/>
          <w:sz w:val="28"/>
          <w:szCs w:val="28"/>
          <w:rtl/>
        </w:rPr>
        <w:t xml:space="preserve">5 .رياض الازهار، ج 8، ص 478.</w:t>
      </w:r>
    </w:p>
    <w:p>
      <w:pPr>
        <w:pStyle w:val="BookText"/>
      </w:pPr>
      <w:r>
        <w:rPr>
          <w:rFonts w:ascii="Amiri" w:hAnsi="Amiri" w:eastAsia="Amiri" w:cs="Amiri"/>
          <w:lang w:bidi="ar-SA"/>
          <w:color w:val="111111"/>
          <w:sz w:val="28"/>
          <w:szCs w:val="28"/>
          <w:rtl/>
        </w:rPr>
        <w:t xml:space="preserve">6 .الطراز الانفس في شعر الاخرس</w:t>
      </w:r>
    </w:p>
    <w:p>
      <w:pPr>
        <w:pStyle w:val="BookText"/>
      </w:pPr>
      <w:r>
        <w:rPr>
          <w:rFonts w:ascii="IRNazanin" w:hAnsi="IRNazanin" w:eastAsia="IRNazanin" w:cs="IRNazanin"/>
          <w:lang w:bidi="fa-IR"/>
          <w:color w:val="111111"/>
          <w:sz w:val="28"/>
          <w:szCs w:val="28"/>
          <w:rtl/>
        </w:rPr>
        <w:t xml:space="preserve">ج 10، ص 806.</w:t>
      </w:r>
    </w:p>
    <w:p>
      <w:pPr>
        <w:pStyle w:val="BookText"/>
      </w:pPr>
      <w:r>
        <w:rPr>
          <w:rFonts w:ascii="Amiri" w:hAnsi="Amiri" w:eastAsia="Amiri" w:cs="Amiri"/>
          <w:lang w:bidi="ar-SA"/>
          <w:color w:val="111111"/>
          <w:sz w:val="28"/>
          <w:szCs w:val="28"/>
          <w:rtl/>
        </w:rPr>
        <w:t xml:space="preserve">7 .قصائد في مدح السادة النقباء</w:t>
      </w:r>
    </w:p>
    <w:p>
      <w:pPr>
        <w:pStyle w:val="BookText"/>
      </w:pPr>
      <w:r>
        <w:rPr>
          <w:rFonts w:ascii="Amiri" w:hAnsi="Amiri" w:eastAsia="Amiri" w:cs="Amiri"/>
          <w:lang w:bidi="ar-SA"/>
          <w:color w:val="111111"/>
          <w:sz w:val="28"/>
          <w:szCs w:val="28"/>
          <w:rtl/>
        </w:rPr>
        <w:t xml:space="preserve">الكيلانية، ج 12، ص 596.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قصيدة في مدح راشد افندي، ج 12،</w:t>
      </w:r>
    </w:p>
    <w:p>
      <w:pPr>
        <w:pStyle w:val="BookText"/>
      </w:pPr>
      <w:r>
        <w:rPr>
          <w:rFonts w:ascii="IRNazanin" w:hAnsi="IRNazanin" w:eastAsia="IRNazanin" w:cs="IRNazanin"/>
          <w:lang w:bidi="fa-IR"/>
          <w:color w:val="111111"/>
          <w:sz w:val="28"/>
          <w:szCs w:val="28"/>
          <w:rtl/>
        </w:rPr>
        <w:t xml:space="preserve">ص 696 .</w:t>
      </w:r>
    </w:p>
    <w:p>
      <w:pPr>
        <w:pStyle w:val="BookText"/>
      </w:pPr>
      <w:r>
        <w:rPr>
          <w:rFonts w:ascii="Amiri" w:hAnsi="Amiri" w:eastAsia="Amiri" w:cs="Amiri"/>
          <w:lang w:bidi="ar-SA"/>
          <w:color w:val="111111"/>
          <w:sz w:val="28"/>
          <w:szCs w:val="28"/>
          <w:rtl/>
        </w:rPr>
        <w:t xml:space="preserve">اخسيكتي ، اثير الدين - اثير الدين اخسيكتي</w:t>
      </w:r>
    </w:p>
    <w:p>
      <w:pPr>
        <w:pStyle w:val="Heading2"/>
      </w:pPr>
      <w:bookmarkStart w:id="2018" w:name="_Toc1120"/>
      <w:r>
        <w:t>اخسيكتي ، محمّد بن محمّد - 644 ه-</w:t>
      </w:r>
      <w:bookmarkEnd w:id="2018"/>
    </w:p>
    <w:p>
      <w:pPr>
        <w:pStyle w:val="BookText"/>
      </w:pPr>
      <w:r>
        <w:rPr>
          <w:rFonts w:ascii="Amiri" w:hAnsi="Amiri" w:eastAsia="Amiri" w:cs="Amiri"/>
          <w:lang w:bidi="ar-SA"/>
          <w:color w:val="111111"/>
          <w:sz w:val="28"/>
          <w:szCs w:val="28"/>
          <w:rtl/>
        </w:rPr>
        <w:t xml:space="preserve">المنتخب في اصول المذهب = مختصر</w:t>
      </w:r>
    </w:p>
    <w:p>
      <w:pPr>
        <w:pStyle w:val="BookText"/>
      </w:pPr>
      <w:r>
        <w:rPr>
          <w:rFonts w:ascii="Amiri" w:hAnsi="Amiri" w:eastAsia="Amiri" w:cs="Amiri"/>
          <w:lang w:bidi="ar-SA"/>
          <w:color w:val="111111"/>
          <w:sz w:val="28"/>
          <w:szCs w:val="28"/>
          <w:rtl/>
        </w:rPr>
        <w:t xml:space="preserve">حسامي = منتخب مجمع النخب ج 15 ، ص 608 .</w:t>
      </w:r>
    </w:p>
    <w:p>
      <w:pPr>
        <w:pStyle w:val="BookText"/>
      </w:pPr>
      <w:r>
        <w:rPr>
          <w:rFonts w:ascii="Amiri" w:hAnsi="Amiri" w:eastAsia="Amiri" w:cs="Amiri"/>
          <w:lang w:bidi="ar-SA"/>
          <w:color w:val="111111"/>
          <w:sz w:val="28"/>
          <w:szCs w:val="28"/>
          <w:rtl/>
        </w:rPr>
        <w:t xml:space="preserve">اخشيدي ، علي بن عيسى- رماني ، علي بن</w:t>
      </w:r>
    </w:p>
    <w:p>
      <w:pPr>
        <w:pStyle w:val="BookText"/>
      </w:pPr>
      <w:r>
        <w:rPr>
          <w:rFonts w:ascii="Amiri" w:hAnsi="Amiri" w:eastAsia="Amiri" w:cs="Amiri"/>
          <w:lang w:bidi="ar-SA"/>
          <w:color w:val="111111"/>
          <w:sz w:val="28"/>
          <w:szCs w:val="28"/>
          <w:rtl/>
        </w:rPr>
        <w:t xml:space="preserve">عيسى</w:t>
      </w:r>
    </w:p>
    <w:p>
      <w:pPr>
        <w:pStyle w:val="Heading2"/>
      </w:pPr>
      <w:bookmarkStart w:id="2019" w:name="_Toc1121"/>
      <w:r>
        <w:t>اخصاصي ، احمد بن محمّد - 889 ه-</w:t>
      </w:r>
      <w:bookmarkEnd w:id="2019"/>
    </w:p>
    <w:p>
      <w:pPr>
        <w:pStyle w:val="BookText"/>
      </w:pPr>
      <w:r>
        <w:rPr>
          <w:rFonts w:ascii="Amiri" w:hAnsi="Amiri" w:eastAsia="Amiri" w:cs="Amiri"/>
          <w:lang w:bidi="ar-SA"/>
          <w:color w:val="111111"/>
          <w:sz w:val="28"/>
          <w:szCs w:val="28"/>
          <w:rtl/>
        </w:rPr>
        <w:t xml:space="preserve">الكفاية في شرح الغاية، ج13، ص 325.</w:t>
      </w:r>
    </w:p>
    <w:p>
      <w:pPr>
        <w:pStyle w:val="Heading2"/>
      </w:pPr>
      <w:bookmarkStart w:id="2020" w:name="_Toc1122"/>
      <w:r>
        <w:t>اخضري، عبدالرحمن بن محمّد 918 -</w:t>
      </w:r>
      <w:bookmarkEnd w:id="2020"/>
    </w:p>
    <w:p>
      <w:pPr>
        <w:pStyle w:val="BookText"/>
      </w:pPr>
      <w:r>
        <w:rPr>
          <w:rFonts w:ascii="IRNazanin" w:hAnsi="IRNazanin" w:eastAsia="IRNazanin" w:cs="IRNazanin"/>
          <w:lang w:bidi="fa-IR"/>
          <w:color w:val="111111"/>
          <w:sz w:val="28"/>
          <w:szCs w:val="28"/>
          <w:rtl/>
        </w:rPr>
        <w:t xml:space="preserve">983 ه-</w:t>
      </w:r>
    </w:p>
    <w:p>
      <w:pPr>
        <w:pStyle w:val="BookText"/>
      </w:pPr>
      <w:r>
        <w:rPr>
          <w:rFonts w:ascii="Amiri" w:hAnsi="Amiri" w:eastAsia="Amiri" w:cs="Amiri"/>
          <w:lang w:bidi="ar-SA"/>
          <w:color w:val="111111"/>
          <w:sz w:val="28"/>
          <w:szCs w:val="28"/>
          <w:rtl/>
        </w:rPr>
        <w:t xml:space="preserve">1 .الجوهر المكنون في صدف ثلثة</w:t>
      </w:r>
    </w:p>
    <w:p>
      <w:pPr>
        <w:pStyle w:val="BookText"/>
      </w:pPr>
      <w:r>
        <w:rPr>
          <w:rFonts w:ascii="IRNazanin" w:hAnsi="IRNazanin" w:eastAsia="IRNazanin" w:cs="IRNazanin"/>
          <w:lang w:bidi="fa-IR"/>
          <w:color w:val="111111"/>
          <w:sz w:val="28"/>
          <w:szCs w:val="28"/>
          <w:rtl/>
        </w:rPr>
        <w:t xml:space="preserve">فنون، ج 5، ص 625 .</w:t>
      </w:r>
    </w:p>
    <w:p>
      <w:pPr>
        <w:pStyle w:val="BookText"/>
      </w:pPr>
      <w:r>
        <w:rPr>
          <w:rFonts w:ascii="Amiri" w:hAnsi="Amiri" w:eastAsia="Amiri" w:cs="Amiri"/>
          <w:lang w:bidi="ar-SA"/>
          <w:color w:val="111111"/>
          <w:sz w:val="28"/>
          <w:szCs w:val="28"/>
          <w:rtl/>
        </w:rPr>
        <w:t xml:space="preserve">2 .الدرة البيضاء في علم الفرائض، ج 7،</w:t>
      </w:r>
    </w:p>
    <w:p>
      <w:pPr>
        <w:pStyle w:val="BookText"/>
      </w:pPr>
      <w:r>
        <w:rPr>
          <w:rFonts w:ascii="IRNazanin" w:hAnsi="IRNazanin" w:eastAsia="IRNazanin" w:cs="IRNazanin"/>
          <w:lang w:bidi="fa-IR"/>
          <w:color w:val="111111"/>
          <w:sz w:val="28"/>
          <w:szCs w:val="28"/>
          <w:rtl/>
        </w:rPr>
        <w:t xml:space="preserve">ص 230.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السلم المرونق في المنطق = السلم</w:t>
      </w:r>
    </w:p>
    <w:p>
      <w:pPr>
        <w:pStyle w:val="BookText"/>
      </w:pPr>
      <w:r>
        <w:rPr>
          <w:rFonts w:ascii="IRNazanin" w:hAnsi="IRNazanin" w:eastAsia="IRNazanin" w:cs="IRNazanin"/>
          <w:lang w:bidi="fa-IR"/>
          <w:color w:val="111111"/>
          <w:sz w:val="28"/>
          <w:szCs w:val="28"/>
          <w:rtl/>
        </w:rPr>
        <w:t xml:space="preserve">المنورق، ج8، ص 816.</w:t>
      </w:r>
    </w:p>
    <w:p>
      <w:pPr>
        <w:pStyle w:val="BookText"/>
      </w:pPr>
      <w:r>
        <w:rPr>
          <w:rFonts w:ascii="Amiri" w:hAnsi="Amiri" w:eastAsia="Amiri" w:cs="Amiri"/>
          <w:lang w:bidi="ar-SA"/>
          <w:color w:val="111111"/>
          <w:sz w:val="28"/>
          <w:szCs w:val="28"/>
          <w:rtl/>
        </w:rPr>
        <w:t xml:space="preserve">4 .شرح السلم المرونق في علم المنطق</w:t>
      </w:r>
    </w:p>
    <w:p>
      <w:pPr>
        <w:pStyle w:val="BookText"/>
      </w:pPr>
      <w:r>
        <w:rPr>
          <w:rFonts w:ascii="IRNazanin" w:hAnsi="IRNazanin" w:eastAsia="IRNazanin" w:cs="IRNazanin"/>
          <w:lang w:bidi="fa-IR"/>
          <w:color w:val="111111"/>
          <w:sz w:val="28"/>
          <w:szCs w:val="28"/>
          <w:rtl/>
        </w:rPr>
        <w:t xml:space="preserve">ج 9، ص 587.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الفقه (رسالة في)، ج 12، ص 41.</w:t>
      </w:r>
    </w:p>
    <w:p>
      <w:pPr>
        <w:pStyle w:val="Heading2"/>
      </w:pPr>
      <w:bookmarkStart w:id="2021" w:name="_Toc1123"/>
      <w:r>
        <w:t>اخطب خوارزم، موفق بن احمد 484؟ -</w:t>
      </w:r>
      <w:bookmarkEnd w:id="2021"/>
    </w:p>
    <w:p>
      <w:pPr>
        <w:pStyle w:val="BookText"/>
      </w:pPr>
      <w:r>
        <w:rPr>
          <w:rFonts w:ascii="IRNazanin" w:hAnsi="IRNazanin" w:eastAsia="IRNazanin" w:cs="IRNazanin"/>
          <w:lang w:bidi="fa-IR"/>
          <w:color w:val="111111"/>
          <w:sz w:val="28"/>
          <w:szCs w:val="28"/>
          <w:rtl/>
        </w:rPr>
        <w:t xml:space="preserve">568 ه-</w:t>
      </w:r>
    </w:p>
    <w:p>
      <w:pPr>
        <w:pStyle w:val="BookText"/>
      </w:pPr>
      <w:r>
        <w:rPr>
          <w:rFonts w:ascii="Amiri" w:hAnsi="Amiri" w:eastAsia="Amiri" w:cs="Amiri"/>
          <w:lang w:bidi="ar-SA"/>
          <w:color w:val="111111"/>
          <w:sz w:val="28"/>
          <w:szCs w:val="28"/>
          <w:rtl/>
        </w:rPr>
        <w:t xml:space="preserve">1 .الكفاية في علم الاعراب، ج13،</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Amiri" w:hAnsi="Amiri" w:eastAsia="Amiri" w:cs="Amiri"/>
          <w:lang w:bidi="ar-SA"/>
          <w:color w:val="111111"/>
          <w:sz w:val="28"/>
          <w:szCs w:val="28"/>
          <w:rtl/>
        </w:rPr>
        <w:t xml:space="preserve">2 .مقتل خوارزمي = مقتل الحسين</w:t>
      </w:r>
    </w:p>
    <w:p>
      <w:pPr>
        <w:pStyle w:val="BookText"/>
      </w:pPr>
      <w:r>
        <w:rPr>
          <w:rFonts w:ascii="Amiri" w:hAnsi="Amiri" w:eastAsia="Amiri" w:cs="Amiri"/>
          <w:lang w:bidi="ar-SA"/>
          <w:color w:val="111111"/>
          <w:sz w:val="28"/>
          <w:szCs w:val="28"/>
          <w:rtl/>
        </w:rPr>
        <w:t xml:space="preserve">للخوارزمي، ج 15 ، ص 342.</w:t>
      </w:r>
    </w:p>
    <w:p>
      <w:pPr>
        <w:pStyle w:val="BookText"/>
      </w:pPr>
      <w:r>
        <w:rPr>
          <w:rFonts w:ascii="Amiri" w:hAnsi="Amiri" w:eastAsia="Amiri" w:cs="Amiri"/>
          <w:lang w:bidi="ar-SA"/>
          <w:color w:val="111111"/>
          <w:sz w:val="28"/>
          <w:szCs w:val="28"/>
          <w:rtl/>
        </w:rPr>
        <w:t xml:space="preserve">3 المناقب = مناقب علي بن ابي طالب</w:t>
      </w:r>
    </w:p>
    <w:p>
      <w:pPr>
        <w:pStyle w:val="BookText"/>
      </w:pPr>
      <w:r>
        <w:rPr>
          <w:rFonts w:ascii="IRNazanin" w:hAnsi="IRNazanin" w:eastAsia="IRNazanin" w:cs="IRNazanin"/>
          <w:lang w:bidi="fa-IR"/>
          <w:color w:val="111111"/>
          <w:sz w:val="28"/>
          <w:szCs w:val="28"/>
          <w:rtl/>
        </w:rPr>
        <w:t xml:space="preserve">(ع)، ج 15 ، ص 532.</w:t>
      </w:r>
    </w:p>
    <w:p>
      <w:pPr>
        <w:pStyle w:val="Heading2"/>
      </w:pPr>
      <w:bookmarkStart w:id="2022" w:name="_Toc1124"/>
      <w:r>
        <w:t>اخفش ، سعيد بن مسعده - 215 ه-</w:t>
      </w:r>
      <w:bookmarkEnd w:id="2022"/>
    </w:p>
    <w:p>
      <w:pPr>
        <w:pStyle w:val="BookText"/>
      </w:pPr>
      <w:r>
        <w:rPr>
          <w:rFonts w:ascii="Amiri" w:hAnsi="Amiri" w:eastAsia="Amiri" w:cs="Amiri"/>
          <w:lang w:bidi="ar-SA"/>
          <w:color w:val="111111"/>
          <w:sz w:val="28"/>
          <w:szCs w:val="28"/>
          <w:rtl/>
        </w:rPr>
        <w:t xml:space="preserve">معاني القرآن، ج 14، ص890.</w:t>
      </w:r>
    </w:p>
    <w:p>
      <w:pPr>
        <w:pStyle w:val="Heading2"/>
      </w:pPr>
      <w:bookmarkStart w:id="2023" w:name="_Toc1125"/>
      <w:r>
        <w:t>اخلاطي ، حسين بن علي، قرن 9 ه-</w:t>
      </w:r>
      <w:bookmarkEnd w:id="20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جفر جامع = بسط و تكسير</w:t>
      </w:r>
    </w:p>
    <w:p>
      <w:pPr>
        <w:pStyle w:val="BookText"/>
      </w:pPr>
      <w:r>
        <w:rPr>
          <w:rFonts w:ascii="IRNazanin" w:hAnsi="IRNazanin" w:eastAsia="IRNazanin" w:cs="IRNazanin"/>
          <w:lang w:bidi="fa-IR"/>
          <w:color w:val="111111"/>
          <w:sz w:val="28"/>
          <w:szCs w:val="28"/>
          <w:rtl/>
        </w:rPr>
        <w:t xml:space="preserve">رموز الغرائب، ج5، ص398</w:t>
      </w:r>
    </w:p>
    <w:p>
      <w:pPr>
        <w:pStyle w:val="BookText"/>
      </w:pPr>
      <w:r>
        <w:rPr>
          <w:rFonts w:ascii="Amiri" w:hAnsi="Amiri" w:eastAsia="Amiri" w:cs="Amiri"/>
          <w:lang w:bidi="ar-SA"/>
          <w:color w:val="111111"/>
          <w:sz w:val="28"/>
          <w:szCs w:val="28"/>
          <w:rtl/>
        </w:rPr>
        <w:t xml:space="preserve">2 .جفر جامع( فوائد وطريق)، جه،</w:t>
      </w:r>
    </w:p>
    <w:p>
      <w:pPr>
        <w:pStyle w:val="BookText"/>
      </w:pPr>
      <w:r>
        <w:rPr>
          <w:rFonts w:ascii="IRNazanin" w:hAnsi="IRNazanin" w:eastAsia="IRNazanin" w:cs="IRNazanin"/>
          <w:lang w:bidi="fa-IR"/>
          <w:color w:val="111111"/>
          <w:sz w:val="28"/>
          <w:szCs w:val="28"/>
          <w:rtl/>
        </w:rPr>
        <w:t xml:space="preserve">ص 399.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حصول المقاصد في اصطلاحات</w:t>
      </w:r>
    </w:p>
    <w:p>
      <w:pPr>
        <w:pStyle w:val="BookText"/>
      </w:pPr>
      <w:r>
        <w:rPr>
          <w:rFonts w:ascii="IRNazanin" w:hAnsi="IRNazanin" w:eastAsia="IRNazanin" w:cs="IRNazanin"/>
          <w:lang w:bidi="fa-IR"/>
          <w:color w:val="111111"/>
          <w:sz w:val="28"/>
          <w:szCs w:val="28"/>
          <w:rtl/>
        </w:rPr>
        <w:t xml:space="preserve">الجفر، ج 6 ، ص 671 .</w:t>
      </w:r>
    </w:p>
    <w:p>
      <w:pPr>
        <w:pStyle w:val="BookText"/>
      </w:pPr>
      <w:r>
        <w:rPr>
          <w:rFonts w:ascii="Amiri" w:hAnsi="Amiri" w:eastAsia="Amiri" w:cs="Amiri"/>
          <w:lang w:bidi="ar-SA"/>
          <w:color w:val="111111"/>
          <w:sz w:val="28"/>
          <w:szCs w:val="28"/>
          <w:rtl/>
        </w:rPr>
        <w:t xml:space="preserve">4 .ذخيرة الاسماء و استخراج اسماء</w:t>
      </w:r>
    </w:p>
    <w:p>
      <w:pPr>
        <w:pStyle w:val="BookText"/>
      </w:pPr>
      <w:r>
        <w:rPr>
          <w:rFonts w:ascii="IRNazanin" w:hAnsi="IRNazanin" w:eastAsia="IRNazanin" w:cs="IRNazanin"/>
          <w:lang w:bidi="fa-IR"/>
          <w:color w:val="111111"/>
          <w:sz w:val="28"/>
          <w:szCs w:val="28"/>
          <w:rtl/>
        </w:rPr>
        <w:t xml:space="preserve">حسنی، ج 7، ص820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7742_69726"/>
    <w:bookmarkEnd w:id="171"/>
    <w:p>
      <w:pPr>
        <w:pStyle w:val="Heading2"/>
      </w:pPr>
      <w:bookmarkStart w:id="2024" w:name="_Toc1126"/>
      <w:r>
        <w:t>اخوان الصفا</w:t>
      </w:r>
      <w:bookmarkEnd w:id="2024"/>
    </w:p>
    <w:p>
      <w:pPr>
        <w:pStyle w:val="BookText"/>
      </w:pPr>
      <w:r>
        <w:rPr>
          <w:rFonts w:ascii="Amiri" w:hAnsi="Amiri" w:eastAsia="Amiri" w:cs="Amiri"/>
          <w:lang w:bidi="ar-SA"/>
          <w:color w:val="111111"/>
          <w:sz w:val="28"/>
          <w:szCs w:val="28"/>
          <w:rtl/>
        </w:rPr>
        <w:t xml:space="preserve">احكام النجوم، ج1، ص 489.</w:t>
      </w:r>
    </w:p>
    <w:p>
      <w:pPr>
        <w:pStyle w:val="Heading2"/>
      </w:pPr>
      <w:bookmarkStart w:id="2025" w:name="_Toc1127"/>
      <w:r>
        <w:t>اخوین ، محمّد بن قاسم - 904 ه-</w:t>
      </w:r>
      <w:bookmarkEnd w:id="20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الجيب الجامعة (رسالة)، جه ،</w:t>
      </w:r>
    </w:p>
    <w:p>
      <w:pPr>
        <w:pStyle w:val="BookText"/>
      </w:pPr>
      <w:r>
        <w:rPr>
          <w:rFonts w:ascii="IRNazanin" w:hAnsi="IRNazanin" w:eastAsia="IRNazanin" w:cs="IRNazanin"/>
          <w:lang w:bidi="fa-IR"/>
          <w:color w:val="111111"/>
          <w:sz w:val="28"/>
          <w:szCs w:val="28"/>
          <w:rtl/>
        </w:rPr>
        <w:t xml:space="preserve">ص 632.</w:t>
      </w:r>
    </w:p>
    <w:p>
      <w:pPr>
        <w:pStyle w:val="BookText"/>
      </w:pPr>
      <w:r>
        <w:rPr>
          <w:rFonts w:ascii="Amiri" w:hAnsi="Amiri" w:eastAsia="Amiri" w:cs="Amiri"/>
          <w:lang w:bidi="ar-SA"/>
          <w:color w:val="111111"/>
          <w:sz w:val="28"/>
          <w:szCs w:val="28"/>
          <w:rtl/>
        </w:rPr>
        <w:t xml:space="preserve">2 .حاشية شرح تجريد العقائد، ج 6،</w:t>
      </w:r>
    </w:p>
    <w:p>
      <w:pPr>
        <w:pStyle w:val="BookText"/>
      </w:pPr>
      <w:r>
        <w:rPr>
          <w:rFonts w:ascii="IRNazanin" w:hAnsi="IRNazanin" w:eastAsia="IRNazanin" w:cs="IRNazanin"/>
          <w:lang w:bidi="fa-IR"/>
          <w:color w:val="111111"/>
          <w:sz w:val="28"/>
          <w:szCs w:val="28"/>
          <w:rtl/>
        </w:rPr>
        <w:t xml:space="preserve">ص 62 .</w:t>
      </w:r>
    </w:p>
    <w:p>
      <w:pPr>
        <w:pStyle w:val="BookText"/>
      </w:pPr>
      <w:r>
        <w:rPr>
          <w:rFonts w:ascii="Amiri" w:hAnsi="Amiri" w:eastAsia="Amiri" w:cs="Amiri"/>
          <w:lang w:bidi="ar-SA"/>
          <w:color w:val="111111"/>
          <w:sz w:val="28"/>
          <w:szCs w:val="28"/>
          <w:rtl/>
        </w:rPr>
        <w:t xml:space="preserve">3 .حاشية محي الدين، ج6، ص 354.</w:t>
      </w:r>
    </w:p>
    <w:p>
      <w:pPr>
        <w:pStyle w:val="BookText"/>
      </w:pPr>
      <w:r>
        <w:rPr>
          <w:rFonts w:ascii="IRNazanin" w:hAnsi="IRNazanin" w:eastAsia="IRNazanin" w:cs="IRNazanin"/>
          <w:lang w:bidi="fa-IR"/>
          <w:color w:val="111111"/>
          <w:sz w:val="28"/>
          <w:szCs w:val="28"/>
          <w:rtl/>
        </w:rPr>
        <w:t xml:space="preserve">اخي اوران ، محمود بن احمد- نصیرالدین</w:t>
      </w:r>
    </w:p>
    <w:p>
      <w:pPr>
        <w:pStyle w:val="BookText"/>
      </w:pPr>
      <w:r>
        <w:rPr>
          <w:rFonts w:ascii="Amiri" w:hAnsi="Amiri" w:eastAsia="Amiri" w:cs="Amiri"/>
          <w:lang w:bidi="ar-SA"/>
          <w:color w:val="111111"/>
          <w:sz w:val="28"/>
          <w:szCs w:val="28"/>
          <w:rtl/>
        </w:rPr>
        <w:t xml:space="preserve">خوئي ، محمود (محمّد) بن احمد</w:t>
      </w:r>
    </w:p>
    <w:p>
      <w:pPr>
        <w:pStyle w:val="Heading2"/>
      </w:pPr>
      <w:bookmarkStart w:id="2026" w:name="_Toc1128"/>
      <w:r>
        <w:t>اخي چلبي ، يوسف بن جنيد - 905 ه-</w:t>
      </w:r>
      <w:bookmarkEnd w:id="2026"/>
    </w:p>
    <w:p>
      <w:pPr>
        <w:pStyle w:val="BookText"/>
      </w:pPr>
      <w:r>
        <w:rPr>
          <w:rFonts w:ascii="Amiri" w:hAnsi="Amiri" w:eastAsia="Amiri" w:cs="Amiri"/>
          <w:lang w:bidi="ar-SA"/>
          <w:color w:val="111111"/>
          <w:sz w:val="28"/>
          <w:szCs w:val="28"/>
          <w:rtl/>
        </w:rPr>
        <w:t xml:space="preserve">1 .ذخيرة العقبى = حاشية شرح الوقاية لصدر الشريعة العظمى</w:t>
      </w:r>
    </w:p>
    <w:p>
      <w:pPr>
        <w:pStyle w:val="BookText"/>
      </w:pPr>
      <w:r>
        <w:rPr>
          <w:rFonts w:ascii="IRNazanin" w:hAnsi="IRNazanin" w:eastAsia="IRNazanin" w:cs="IRNazanin"/>
          <w:lang w:bidi="fa-IR"/>
          <w:color w:val="111111"/>
          <w:sz w:val="28"/>
          <w:szCs w:val="28"/>
          <w:rtl/>
        </w:rPr>
        <w:t xml:space="preserve">ج 7، ص 826.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الفرائض السراجية، ج 9،</w:t>
      </w:r>
    </w:p>
    <w:p>
      <w:pPr>
        <w:pStyle w:val="BookText"/>
      </w:pPr>
      <w:r>
        <w:rPr>
          <w:rFonts w:ascii="IRNazanin" w:hAnsi="IRNazanin" w:eastAsia="IRNazanin" w:cs="IRNazanin"/>
          <w:lang w:bidi="fa-IR"/>
          <w:color w:val="111111"/>
          <w:sz w:val="28"/>
          <w:szCs w:val="28"/>
          <w:rtl/>
        </w:rPr>
        <w:t xml:space="preserve">ص 785 .</w:t>
      </w:r>
    </w:p>
    <w:p>
      <w:pPr>
        <w:pStyle w:val="Heading2"/>
      </w:pPr>
      <w:bookmarkStart w:id="2027" w:name="_Toc1129"/>
      <w:r>
        <w:t>اخي زاده ، عبدالحليم بن محمّد، 963 -</w:t>
      </w:r>
      <w:bookmarkEnd w:id="20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القرآن الكريم، ج 4، ص 666.</w:t>
      </w:r>
    </w:p>
    <w:p>
      <w:pPr>
        <w:pStyle w:val="BookText"/>
      </w:pPr>
      <w:r>
        <w:rPr>
          <w:rFonts w:ascii="Amiri" w:hAnsi="Amiri" w:eastAsia="Amiri" w:cs="Amiri"/>
          <w:lang w:bidi="ar-SA"/>
          <w:color w:val="111111"/>
          <w:sz w:val="28"/>
          <w:szCs w:val="28"/>
          <w:rtl/>
        </w:rPr>
        <w:t xml:space="preserve">2 .حاشية وقاية الرواية، ج 6 ، ص 453.</w:t>
      </w:r>
    </w:p>
    <w:p>
      <w:pPr>
        <w:pStyle w:val="BookText"/>
      </w:pPr>
      <w:r>
        <w:rPr>
          <w:rFonts w:ascii="IRNazanin" w:hAnsi="IRNazanin" w:eastAsia="IRNazanin" w:cs="IRNazanin"/>
          <w:lang w:bidi="fa-IR"/>
          <w:color w:val="111111"/>
          <w:sz w:val="28"/>
          <w:szCs w:val="28"/>
          <w:rtl/>
        </w:rPr>
        <w:t xml:space="preserve">اخي زاده ، يوسف بن جنيد -اخي چلبي ،</w:t>
      </w:r>
    </w:p>
    <w:p>
      <w:pPr>
        <w:pStyle w:val="BookText"/>
      </w:pPr>
      <w:r>
        <w:rPr>
          <w:rFonts w:ascii="Amiri" w:hAnsi="Amiri" w:eastAsia="Amiri" w:cs="Amiri"/>
          <w:lang w:bidi="ar-SA"/>
          <w:color w:val="111111"/>
          <w:sz w:val="28"/>
          <w:szCs w:val="28"/>
          <w:rtl/>
        </w:rPr>
        <w:t xml:space="preserve">يوسف بن جنيد</w:t>
      </w:r>
    </w:p>
    <w:p>
      <w:pPr>
        <w:pStyle w:val="BookText"/>
      </w:pPr>
      <w:r>
        <w:rPr>
          <w:rFonts w:ascii="Amiri" w:hAnsi="Amiri" w:eastAsia="Amiri" w:cs="Amiri"/>
          <w:lang w:bidi="ar-SA"/>
          <w:color w:val="111111"/>
          <w:sz w:val="28"/>
          <w:szCs w:val="28"/>
          <w:rtl/>
        </w:rPr>
        <w:t xml:space="preserve">ادالي، مصطفى بن حمزه آطه وي ، مصطفى بن حمزه</w:t>
      </w:r>
    </w:p>
    <w:p>
      <w:pPr>
        <w:pStyle w:val="Heading2"/>
      </w:pPr>
      <w:bookmarkStart w:id="2028" w:name="_Toc1130"/>
      <w:r>
        <w:t>ادرازي ، حسين بن محمّد</w:t>
      </w:r>
      <w:bookmarkEnd w:id="2028"/>
    </w:p>
    <w:p>
      <w:pPr>
        <w:pStyle w:val="BookText"/>
      </w:pPr>
      <w:r>
        <w:rPr>
          <w:rFonts w:ascii="Amiri" w:hAnsi="Amiri" w:eastAsia="Amiri" w:cs="Amiri"/>
          <w:lang w:bidi="ar-SA"/>
          <w:color w:val="111111"/>
          <w:sz w:val="28"/>
          <w:szCs w:val="28"/>
          <w:rtl/>
        </w:rPr>
        <w:t xml:space="preserve">الصلاة (رسالة في)، ج 10، ص 587.</w:t>
      </w:r>
    </w:p>
    <w:p>
      <w:pPr>
        <w:pStyle w:val="BookText"/>
      </w:pPr>
      <w:r>
        <w:rPr>
          <w:rFonts w:ascii="Amiri" w:hAnsi="Amiri" w:eastAsia="Amiri" w:cs="Amiri"/>
          <w:lang w:bidi="ar-SA"/>
          <w:color w:val="111111"/>
          <w:sz w:val="28"/>
          <w:szCs w:val="28"/>
          <w:rtl/>
        </w:rPr>
        <w:t xml:space="preserve">ادرازي ، محمّد بن حسن ابن نعيم ،</w:t>
      </w:r>
    </w:p>
    <w:p>
      <w:pPr>
        <w:pStyle w:val="BookText"/>
      </w:pPr>
      <w:r>
        <w:rPr>
          <w:rFonts w:ascii="Amiri" w:hAnsi="Amiri" w:eastAsia="Amiri" w:cs="Amiri"/>
          <w:lang w:bidi="ar-SA"/>
          <w:color w:val="111111"/>
          <w:sz w:val="28"/>
          <w:szCs w:val="28"/>
          <w:rtl/>
        </w:rPr>
        <w:t xml:space="preserve">محمّد بن حسن</w:t>
      </w:r>
    </w:p>
    <w:p>
      <w:pPr>
        <w:pStyle w:val="Heading2"/>
      </w:pPr>
      <w:bookmarkStart w:id="2029" w:name="_Toc1131"/>
      <w:r>
        <w:t>ادرنوي ، محمّد بن حسن - 866 ه-</w:t>
      </w:r>
      <w:bookmarkEnd w:id="2029"/>
    </w:p>
    <w:p>
      <w:pPr>
        <w:pStyle w:val="BookText"/>
      </w:pPr>
      <w:r>
        <w:rPr>
          <w:rFonts w:ascii="Amiri" w:hAnsi="Amiri" w:eastAsia="Amiri" w:cs="Amiri"/>
          <w:lang w:bidi="ar-SA"/>
          <w:color w:val="111111"/>
          <w:sz w:val="28"/>
          <w:szCs w:val="28"/>
          <w:rtl/>
        </w:rPr>
        <w:t xml:space="preserve">التكميل في بيان الترتيل، ج4، ص830</w:t>
      </w:r>
    </w:p>
    <w:p>
      <w:pPr>
        <w:pStyle w:val="BookText"/>
      </w:pPr>
      <w:r>
        <w:rPr>
          <w:rFonts w:ascii="Amiri" w:hAnsi="Amiri" w:eastAsia="Amiri" w:cs="Amiri"/>
          <w:lang w:bidi="ar-SA"/>
          <w:color w:val="111111"/>
          <w:sz w:val="28"/>
          <w:szCs w:val="28"/>
          <w:rtl/>
        </w:rPr>
        <w:t xml:space="preserve">ادريس بن بيدكين تركماني -تركماني ،</w:t>
      </w:r>
    </w:p>
    <w:p>
      <w:pPr>
        <w:pStyle w:val="BookText"/>
      </w:pPr>
      <w:r>
        <w:rPr>
          <w:rFonts w:ascii="Amiri" w:hAnsi="Amiri" w:eastAsia="Amiri" w:cs="Amiri"/>
          <w:lang w:bidi="ar-SA"/>
          <w:color w:val="111111"/>
          <w:sz w:val="28"/>
          <w:szCs w:val="28"/>
          <w:rtl/>
        </w:rPr>
        <w:t xml:space="preserve">ادريس بن بيدكين</w:t>
      </w:r>
    </w:p>
    <w:p>
      <w:pPr>
        <w:pStyle w:val="BookText"/>
      </w:pPr>
      <w:r>
        <w:rPr>
          <w:rFonts w:ascii="Amiri" w:hAnsi="Amiri" w:eastAsia="Amiri" w:cs="Amiri"/>
          <w:lang w:bidi="ar-SA"/>
          <w:color w:val="111111"/>
          <w:sz w:val="28"/>
          <w:szCs w:val="28"/>
          <w:rtl/>
        </w:rPr>
        <w:t xml:space="preserve">ادريس بن حسام الدين علي</w:t>
      </w:r>
    </w:p>
    <w:p>
      <w:pPr>
        <w:pStyle w:val="BookText"/>
      </w:pPr>
      <w:r>
        <w:rPr>
          <w:rFonts w:ascii="Amiri" w:hAnsi="Amiri" w:eastAsia="Amiri" w:cs="Amiri"/>
          <w:lang w:bidi="ar-SA"/>
          <w:color w:val="111111"/>
          <w:sz w:val="28"/>
          <w:szCs w:val="28"/>
          <w:rtl/>
        </w:rPr>
        <w:t xml:space="preserve">بدليسي -بدليسي ، ادريس بن حسام الدين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ادريس بن حسن الداعي- داعي ، ادريس</w:t>
      </w:r>
    </w:p>
    <w:p>
      <w:pPr>
        <w:pStyle w:val="BookText"/>
      </w:pPr>
      <w:r>
        <w:rPr>
          <w:rFonts w:ascii="IRNazanin" w:hAnsi="IRNazanin" w:eastAsia="IRNazanin" w:cs="IRNazanin"/>
          <w:lang w:bidi="fa-IR"/>
          <w:color w:val="111111"/>
          <w:sz w:val="28"/>
          <w:szCs w:val="28"/>
          <w:rtl/>
        </w:rPr>
        <w:t xml:space="preserve">الانف</w:t>
      </w:r>
    </w:p>
    <w:p>
      <w:pPr>
        <w:pStyle w:val="BookText"/>
      </w:pPr>
      <w:r>
        <w:rPr>
          <w:rFonts w:ascii="Amiri" w:hAnsi="Amiri" w:eastAsia="Amiri" w:cs="Amiri"/>
          <w:lang w:bidi="ar-SA"/>
          <w:color w:val="111111"/>
          <w:sz w:val="28"/>
          <w:szCs w:val="28"/>
          <w:rtl/>
        </w:rPr>
        <w:t xml:space="preserve">ادريس بن علي كومني- كومني ، ادريس</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ادريسي ، احمد بن محمّد- ابن عجيبه</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2030" w:name="_Toc1132"/>
      <w:r>
        <w:t>ادريسي ، احمد بن محّمد</w:t>
      </w:r>
      <w:bookmarkEnd w:id="2030"/>
    </w:p>
    <w:p>
      <w:pPr>
        <w:pStyle w:val="BookText"/>
      </w:pPr>
      <w:r>
        <w:rPr>
          <w:rFonts w:ascii="Amiri" w:hAnsi="Amiri" w:eastAsia="Amiri" w:cs="Amiri"/>
          <w:lang w:bidi="ar-SA"/>
          <w:color w:val="111111"/>
          <w:sz w:val="28"/>
          <w:szCs w:val="28"/>
          <w:rtl/>
        </w:rPr>
        <w:t xml:space="preserve">اجوبة المسائل، ج1، ص339.</w:t>
      </w:r>
    </w:p>
    <w:p>
      <w:pPr>
        <w:pStyle w:val="BookText"/>
      </w:pPr>
      <w:r>
        <w:rPr>
          <w:rFonts w:ascii="Amiri" w:hAnsi="Amiri" w:eastAsia="Amiri" w:cs="Amiri"/>
          <w:lang w:bidi="ar-SA"/>
          <w:color w:val="111111"/>
          <w:sz w:val="28"/>
          <w:szCs w:val="28"/>
          <w:rtl/>
        </w:rPr>
        <w:t xml:space="preserve">ادريسي ، حسين بن احمد فاسي ، حسين</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2031" w:name="_Toc1133"/>
      <w:r>
        <w:t>ادريسي ، حسين بن جعفر</w:t>
      </w:r>
      <w:bookmarkEnd w:id="2031"/>
    </w:p>
    <w:p>
      <w:pPr>
        <w:pStyle w:val="BookText"/>
      </w:pPr>
      <w:r>
        <w:rPr>
          <w:rFonts w:ascii="Amiri" w:hAnsi="Amiri" w:eastAsia="Amiri" w:cs="Amiri"/>
          <w:lang w:bidi="ar-SA"/>
          <w:color w:val="111111"/>
          <w:sz w:val="28"/>
          <w:szCs w:val="28"/>
          <w:rtl/>
        </w:rPr>
        <w:t xml:space="preserve">سيف الله الواحد، ج 9، ص37.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7742_69728"/>
    <w:bookmarkEnd w:id="172"/>
    <w:p>
      <w:pPr>
        <w:pStyle w:val="BookText"/>
      </w:pPr>
      <w:r>
        <w:rPr>
          <w:rFonts w:ascii="Amiri" w:hAnsi="Amiri" w:eastAsia="Amiri" w:cs="Amiri"/>
          <w:lang w:bidi="ar-SA"/>
          <w:color w:val="111111"/>
          <w:sz w:val="28"/>
          <w:szCs w:val="28"/>
          <w:rtl/>
        </w:rPr>
        <w:t xml:space="preserve">ادريسي ، علي بن عبدالله- شاذلي ، علي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ادريسي ، علي بن میمون- ابن میمون</w:t>
      </w:r>
    </w:p>
    <w:p>
      <w:pPr>
        <w:pStyle w:val="BookText"/>
      </w:pPr>
      <w:r>
        <w:rPr>
          <w:rFonts w:ascii="Amiri" w:hAnsi="Amiri" w:eastAsia="Amiri" w:cs="Amiri"/>
          <w:lang w:bidi="ar-SA"/>
          <w:color w:val="111111"/>
          <w:sz w:val="28"/>
          <w:szCs w:val="28"/>
          <w:rtl/>
        </w:rPr>
        <w:t xml:space="preserve">علي بن ميمون</w:t>
      </w:r>
    </w:p>
    <w:p>
      <w:pPr>
        <w:pStyle w:val="Heading2"/>
      </w:pPr>
      <w:bookmarkStart w:id="2032" w:name="_Toc1134"/>
      <w:r>
        <w:t>ادريسي، محمّد بن محمّد، 493 - 560 ه-</w:t>
      </w:r>
      <w:bookmarkEnd w:id="2032"/>
    </w:p>
    <w:p>
      <w:pPr>
        <w:pStyle w:val="BookText"/>
      </w:pPr>
      <w:r>
        <w:rPr>
          <w:rFonts w:ascii="IRNazanin" w:hAnsi="IRNazanin" w:eastAsia="IRNazanin" w:cs="IRNazanin"/>
          <w:lang w:bidi="fa-IR"/>
          <w:color w:val="111111"/>
          <w:sz w:val="28"/>
          <w:szCs w:val="28"/>
          <w:rtl/>
        </w:rPr>
        <w:t xml:space="preserve">1 .انباء نجباء الابناء، ج 2، ص778</w:t>
      </w:r>
    </w:p>
    <w:p>
      <w:pPr>
        <w:pStyle w:val="BookText"/>
      </w:pPr>
      <w:r>
        <w:rPr>
          <w:rFonts w:ascii="Amiri" w:hAnsi="Amiri" w:eastAsia="Amiri" w:cs="Amiri"/>
          <w:lang w:bidi="ar-SA"/>
          <w:color w:val="111111"/>
          <w:sz w:val="28"/>
          <w:szCs w:val="28"/>
          <w:rtl/>
        </w:rPr>
        <w:t xml:space="preserve">2 .نزهة المشتاق في اختراق الآفاق</w:t>
      </w:r>
    </w:p>
    <w:p>
      <w:pPr>
        <w:pStyle w:val="BookText"/>
      </w:pPr>
      <w:r>
        <w:rPr>
          <w:rFonts w:ascii="IRNazanin" w:hAnsi="IRNazanin" w:eastAsia="IRNazanin" w:cs="IRNazanin"/>
          <w:lang w:bidi="fa-IR"/>
          <w:color w:val="111111"/>
          <w:sz w:val="28"/>
          <w:szCs w:val="28"/>
          <w:rtl/>
        </w:rPr>
        <w:t xml:space="preserve">ج 16، ص 243.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نزهة المشتاق في اختراق الآفاق (مختصر)، ج 16، ص 245.</w:t>
      </w:r>
    </w:p>
    <w:p>
      <w:pPr>
        <w:pStyle w:val="Heading2"/>
      </w:pPr>
      <w:bookmarkStart w:id="2033" w:name="_Toc1135"/>
      <w:r>
        <w:t>ادكاوي ، عبدالله بن عبدالله، 1692 -</w:t>
      </w:r>
      <w:bookmarkEnd w:id="2033"/>
    </w:p>
    <w:p>
      <w:pPr>
        <w:pStyle w:val="BookText"/>
      </w:pPr>
      <w:r>
        <w:rPr>
          <w:rFonts w:ascii="IRNazanin" w:hAnsi="IRNazanin" w:eastAsia="IRNazanin" w:cs="IRNazanin"/>
          <w:lang w:bidi="fa-IR"/>
          <w:color w:val="111111"/>
          <w:sz w:val="28"/>
          <w:szCs w:val="28"/>
          <w:rtl/>
        </w:rPr>
        <w:t xml:space="preserve">1770م</w:t>
      </w:r>
    </w:p>
    <w:p>
      <w:pPr>
        <w:pStyle w:val="BookText"/>
      </w:pPr>
      <w:r>
        <w:rPr>
          <w:rFonts w:ascii="Amiri" w:hAnsi="Amiri" w:eastAsia="Amiri" w:cs="Amiri"/>
          <w:lang w:bidi="ar-SA"/>
          <w:color w:val="111111"/>
          <w:sz w:val="28"/>
          <w:szCs w:val="28"/>
          <w:rtl/>
        </w:rPr>
        <w:t xml:space="preserve">1 .ارشاد الغوي لمعنى اللفظ اللغوي</w:t>
      </w:r>
    </w:p>
    <w:p>
      <w:pPr>
        <w:pStyle w:val="BookText"/>
      </w:pPr>
      <w:r>
        <w:rPr>
          <w:rFonts w:ascii="IRNazanin" w:hAnsi="IRNazanin" w:eastAsia="IRNazanin" w:cs="IRNazanin"/>
          <w:lang w:bidi="fa-IR"/>
          <w:color w:val="111111"/>
          <w:sz w:val="28"/>
          <w:szCs w:val="28"/>
          <w:rtl/>
        </w:rPr>
        <w:t xml:space="preserve">ج 2، ص38.</w:t>
      </w:r>
    </w:p>
    <w:p>
      <w:pPr>
        <w:pStyle w:val="BookText"/>
      </w:pPr>
      <w:r>
        <w:rPr>
          <w:rFonts w:ascii="Amiri" w:hAnsi="Amiri" w:eastAsia="Amiri" w:cs="Amiri"/>
          <w:lang w:bidi="ar-SA"/>
          <w:color w:val="111111"/>
          <w:sz w:val="28"/>
          <w:szCs w:val="28"/>
          <w:rtl/>
        </w:rPr>
        <w:t xml:space="preserve">2 .بدائع الالتزام في مدح النبي، ج3،</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3 .تخميس قصيدة بانت سعاد ج4،</w:t>
      </w:r>
    </w:p>
    <w:p>
      <w:pPr>
        <w:pStyle w:val="BookText"/>
      </w:pPr>
      <w:r>
        <w:rPr>
          <w:rFonts w:ascii="IRNazanin" w:hAnsi="IRNazanin" w:eastAsia="IRNazanin" w:cs="IRNazanin"/>
          <w:lang w:bidi="fa-IR"/>
          <w:color w:val="111111"/>
          <w:sz w:val="28"/>
          <w:szCs w:val="28"/>
          <w:rtl/>
        </w:rPr>
        <w:t xml:space="preserve">ص 116 .</w:t>
      </w:r>
    </w:p>
    <w:p>
      <w:pPr>
        <w:pStyle w:val="BookText"/>
      </w:pPr>
      <w:r>
        <w:rPr>
          <w:rFonts w:ascii="IRNazanin" w:hAnsi="IRNazanin" w:eastAsia="IRNazanin" w:cs="IRNazanin"/>
          <w:lang w:bidi="fa-IR"/>
          <w:color w:val="111111"/>
          <w:sz w:val="28"/>
          <w:szCs w:val="28"/>
          <w:rtl/>
        </w:rPr>
        <w:t xml:space="preserve">4 .الدر المنتظم بالشعر الملتزم، ج 7،</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Amiri" w:hAnsi="Amiri" w:eastAsia="Amiri" w:cs="Amiri"/>
          <w:lang w:bidi="ar-SA"/>
          <w:color w:val="111111"/>
          <w:sz w:val="28"/>
          <w:szCs w:val="28"/>
          <w:rtl/>
        </w:rPr>
        <w:t xml:space="preserve">5 .الشرح المنتظم بالشعر الملتزم في مدح النبي، ج 10، ص237.</w:t>
      </w:r>
    </w:p>
    <w:p>
      <w:pPr>
        <w:pStyle w:val="BookText"/>
      </w:pPr>
      <w:r>
        <w:rPr>
          <w:rFonts w:ascii="Amiri" w:hAnsi="Amiri" w:eastAsia="Amiri" w:cs="Amiri"/>
          <w:lang w:bidi="ar-SA"/>
          <w:color w:val="111111"/>
          <w:sz w:val="28"/>
          <w:szCs w:val="28"/>
          <w:rtl/>
        </w:rPr>
        <w:t xml:space="preserve">6 .شرح قصيدة بانت سعاد، ج 9،</w:t>
      </w:r>
    </w:p>
    <w:p>
      <w:pPr>
        <w:pStyle w:val="BookText"/>
      </w:pPr>
      <w:r>
        <w:rPr>
          <w:rFonts w:ascii="IRNazanin" w:hAnsi="IRNazanin" w:eastAsia="IRNazanin" w:cs="IRNazanin"/>
          <w:lang w:bidi="fa-IR"/>
          <w:color w:val="111111"/>
          <w:sz w:val="28"/>
          <w:szCs w:val="28"/>
          <w:rtl/>
        </w:rPr>
        <w:t xml:space="preserve">ص 840.</w:t>
      </w:r>
    </w:p>
    <w:p>
      <w:pPr>
        <w:pStyle w:val="BookText"/>
      </w:pPr>
      <w:r>
        <w:rPr>
          <w:rFonts w:ascii="Amiri" w:hAnsi="Amiri" w:eastAsia="Amiri" w:cs="Amiri"/>
          <w:lang w:bidi="ar-SA"/>
          <w:color w:val="111111"/>
          <w:sz w:val="28"/>
          <w:szCs w:val="28"/>
          <w:rtl/>
        </w:rPr>
        <w:t xml:space="preserve">ادكاوي ، محمّد بن سلامه- ابن سلامه</w:t>
      </w:r>
    </w:p>
    <w:p>
      <w:pPr>
        <w:pStyle w:val="BookText"/>
      </w:pPr>
      <w:r>
        <w:rPr>
          <w:rFonts w:ascii="IRNazanin" w:hAnsi="IRNazanin" w:eastAsia="IRNazanin" w:cs="IRNazanin"/>
          <w:lang w:bidi="fa-IR"/>
          <w:color w:val="111111"/>
          <w:sz w:val="28"/>
          <w:szCs w:val="28"/>
          <w:rtl/>
        </w:rPr>
        <w:t xml:space="preserve">محمّد بن سلامه</w:t>
      </w:r>
    </w:p>
    <w:p>
      <w:pPr>
        <w:pStyle w:val="BookText"/>
      </w:pPr>
      <w:r>
        <w:rPr>
          <w:rFonts w:ascii="Amiri" w:hAnsi="Amiri" w:eastAsia="Amiri" w:cs="Amiri"/>
          <w:lang w:bidi="ar-SA"/>
          <w:color w:val="111111"/>
          <w:sz w:val="28"/>
          <w:szCs w:val="28"/>
          <w:rtl/>
        </w:rPr>
        <w:t xml:space="preserve">ادهمي ، عبد الفتاح بن محمّد- واعظ</w:t>
      </w:r>
    </w:p>
    <w:p>
      <w:pPr>
        <w:pStyle w:val="BookText"/>
      </w:pPr>
      <w:r>
        <w:rPr>
          <w:rFonts w:ascii="IRNazanin" w:hAnsi="IRNazanin" w:eastAsia="IRNazanin" w:cs="IRNazanin"/>
          <w:lang w:bidi="fa-IR"/>
          <w:color w:val="111111"/>
          <w:sz w:val="28"/>
          <w:szCs w:val="28"/>
          <w:rtl/>
        </w:rPr>
        <w:t xml:space="preserve">عبد الفتاح بن محمّد</w:t>
      </w:r>
    </w:p>
    <w:p>
      <w:pPr>
        <w:pStyle w:val="BookText"/>
      </w:pPr>
      <w:r>
        <w:rPr>
          <w:rFonts w:ascii="Amiri" w:hAnsi="Amiri" w:eastAsia="Amiri" w:cs="Amiri"/>
          <w:lang w:bidi="ar-SA"/>
          <w:color w:val="111111"/>
          <w:sz w:val="28"/>
          <w:szCs w:val="28"/>
          <w:rtl/>
        </w:rPr>
        <w:t xml:space="preserve">ادهمي ، محمّد مبارك بن محمّد فاروقي</w:t>
      </w:r>
    </w:p>
    <w:p>
      <w:pPr>
        <w:pStyle w:val="BookText"/>
      </w:pPr>
      <w:r>
        <w:rPr>
          <w:rFonts w:ascii="Amiri" w:hAnsi="Amiri" w:eastAsia="Amiri" w:cs="Amiri"/>
          <w:lang w:bidi="ar-SA"/>
          <w:color w:val="111111"/>
          <w:sz w:val="28"/>
          <w:szCs w:val="28"/>
          <w:rtl/>
        </w:rPr>
        <w:t xml:space="preserve">كوفاموي ، محمّد مبارك بن محمّد</w:t>
      </w:r>
    </w:p>
    <w:p>
      <w:pPr>
        <w:pStyle w:val="Heading2"/>
      </w:pPr>
      <w:bookmarkStart w:id="2034" w:name="_Toc1136"/>
      <w:r>
        <w:t>ادیب الممالك ، محمّد صادق بن حسين</w:t>
      </w:r>
      <w:bookmarkEnd w:id="2034"/>
    </w:p>
    <w:p>
      <w:pPr>
        <w:pStyle w:val="BookText"/>
      </w:pPr>
      <w:r>
        <w:rPr>
          <w:rFonts w:ascii="IRNazanin" w:hAnsi="IRNazanin" w:eastAsia="IRNazanin" w:cs="IRNazanin"/>
          <w:lang w:bidi="fa-IR"/>
          <w:color w:val="111111"/>
          <w:sz w:val="28"/>
          <w:szCs w:val="28"/>
          <w:rtl/>
        </w:rPr>
        <w:t xml:space="preserve">1277 - 1336ه-</w:t>
      </w:r>
    </w:p>
    <w:p>
      <w:pPr>
        <w:pStyle w:val="BookText"/>
      </w:pPr>
      <w:r>
        <w:rPr>
          <w:rFonts w:ascii="IRNazanin" w:hAnsi="IRNazanin" w:eastAsia="IRNazanin" w:cs="IRNazanin"/>
          <w:lang w:bidi="fa-IR"/>
          <w:color w:val="111111"/>
          <w:sz w:val="28"/>
          <w:szCs w:val="28"/>
          <w:rtl/>
        </w:rPr>
        <w:t xml:space="preserve">تابش مهر بینش، ج 3، ص529</w:t>
      </w:r>
    </w:p>
    <w:p>
      <w:pPr>
        <w:pStyle w:val="BookText"/>
      </w:pPr>
      <w:r>
        <w:rPr>
          <w:rFonts w:ascii="Amiri" w:hAnsi="Amiri" w:eastAsia="Amiri" w:cs="Amiri"/>
          <w:lang w:bidi="ar-SA"/>
          <w:color w:val="111111"/>
          <w:sz w:val="28"/>
          <w:szCs w:val="28"/>
          <w:rtl/>
        </w:rPr>
        <w:t xml:space="preserve">اديب فراهاني اديب الممالك ، محمّد</w:t>
      </w:r>
    </w:p>
    <w:p>
      <w:pPr>
        <w:pStyle w:val="BookText"/>
      </w:pPr>
      <w:r>
        <w:rPr>
          <w:rFonts w:ascii="Amiri" w:hAnsi="Amiri" w:eastAsia="Amiri" w:cs="Amiri"/>
          <w:lang w:bidi="ar-SA"/>
          <w:color w:val="111111"/>
          <w:sz w:val="28"/>
          <w:szCs w:val="28"/>
          <w:rtl/>
        </w:rPr>
        <w:t xml:space="preserve">صادق بن حسين</w:t>
      </w:r>
    </w:p>
    <w:p>
      <w:pPr>
        <w:pStyle w:val="Heading2"/>
      </w:pPr>
      <w:bookmarkStart w:id="2035" w:name="_Toc1137"/>
      <w:r>
        <w:t>اديب نطنزي حسين بن ابراهيم - 499؟ه-</w:t>
      </w:r>
      <w:bookmarkEnd w:id="2035"/>
    </w:p>
    <w:p>
      <w:pPr>
        <w:pStyle w:val="BookText"/>
      </w:pPr>
      <w:r>
        <w:rPr>
          <w:rFonts w:ascii="Amiri" w:hAnsi="Amiri" w:eastAsia="Amiri" w:cs="Amiri"/>
          <w:lang w:bidi="ar-SA"/>
          <w:color w:val="111111"/>
          <w:sz w:val="28"/>
          <w:szCs w:val="28"/>
          <w:rtl/>
        </w:rPr>
        <w:t xml:space="preserve">1 .الاسماء الخالية من علامات التأنيث</w:t>
      </w:r>
    </w:p>
    <w:p>
      <w:pPr>
        <w:pStyle w:val="BookText"/>
      </w:pPr>
      <w:r>
        <w:rPr>
          <w:rFonts w:ascii="Amiri" w:hAnsi="Amiri" w:eastAsia="Amiri" w:cs="Amiri"/>
          <w:lang w:bidi="ar-SA"/>
          <w:color w:val="111111"/>
          <w:sz w:val="28"/>
          <w:szCs w:val="28"/>
          <w:rtl/>
        </w:rPr>
        <w:t xml:space="preserve">و الاسماء التي اشترك فيها التذكير و التأنيث (قصيده في)، ج2،</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Amiri" w:hAnsi="Amiri" w:eastAsia="Amiri" w:cs="Amiri"/>
          <w:lang w:bidi="ar-SA"/>
          <w:color w:val="111111"/>
          <w:sz w:val="28"/>
          <w:szCs w:val="28"/>
          <w:rtl/>
        </w:rPr>
        <w:t xml:space="preserve">2 .دستور اللغة = الخلاص، ج7،</w:t>
      </w:r>
    </w:p>
    <w:p>
      <w:pPr>
        <w:pStyle w:val="BookText"/>
      </w:pPr>
      <w:r>
        <w:rPr>
          <w:rFonts w:ascii="IRNazanin" w:hAnsi="IRNazanin" w:eastAsia="IRNazanin" w:cs="IRNazanin"/>
          <w:lang w:bidi="fa-IR"/>
          <w:color w:val="111111"/>
          <w:sz w:val="28"/>
          <w:szCs w:val="28"/>
          <w:rtl/>
        </w:rPr>
        <w:t xml:space="preserve">ص 384.</w:t>
      </w:r>
    </w:p>
    <w:p>
      <w:pPr>
        <w:pStyle w:val="Heading2"/>
      </w:pPr>
      <w:bookmarkStart w:id="2036" w:name="_Toc1138"/>
      <w:r>
        <w:t>اذرعي ، احمد بن حمدان، 708 - 783 ه-</w:t>
      </w:r>
      <w:bookmarkEnd w:id="2036"/>
    </w:p>
    <w:p>
      <w:pPr>
        <w:pStyle w:val="BookText"/>
      </w:pPr>
      <w:r>
        <w:rPr>
          <w:rFonts w:ascii="Amiri" w:hAnsi="Amiri" w:eastAsia="Amiri" w:cs="Amiri"/>
          <w:lang w:bidi="ar-SA"/>
          <w:color w:val="111111"/>
          <w:sz w:val="28"/>
          <w:szCs w:val="28"/>
          <w:rtl/>
        </w:rPr>
        <w:t xml:space="preserve">1 .غنية المحتاج في شرح المنهاج</w:t>
      </w:r>
    </w:p>
    <w:p>
      <w:pPr>
        <w:pStyle w:val="BookText"/>
      </w:pPr>
      <w:r>
        <w:rPr>
          <w:rFonts w:ascii="IRNazanin" w:hAnsi="IRNazanin" w:eastAsia="IRNazanin" w:cs="IRNazanin"/>
          <w:lang w:bidi="fa-IR"/>
          <w:color w:val="111111"/>
          <w:sz w:val="28"/>
          <w:szCs w:val="28"/>
          <w:rtl/>
        </w:rPr>
        <w:t xml:space="preserve">ج 11، ص 532.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قوت المحتاج في شرح المنهاج، ج 12،</w:t>
      </w:r>
    </w:p>
    <w:p>
      <w:pPr>
        <w:pStyle w:val="BookText"/>
      </w:pPr>
      <w:r>
        <w:rPr>
          <w:rFonts w:ascii="IRNazanin" w:hAnsi="IRNazanin" w:eastAsia="IRNazanin" w:cs="IRNazanin"/>
          <w:lang w:bidi="fa-IR"/>
          <w:color w:val="111111"/>
          <w:sz w:val="28"/>
          <w:szCs w:val="28"/>
          <w:rtl/>
        </w:rPr>
        <w:t xml:space="preserve">ص 831.</w:t>
      </w:r>
    </w:p>
    <w:p>
      <w:pPr>
        <w:pStyle w:val="Heading2"/>
      </w:pPr>
      <w:bookmarkStart w:id="2037" w:name="_Toc1139"/>
      <w:r>
        <w:t>اذني ، علي بن عبد الفتاح، قرن 12 ه-</w:t>
      </w:r>
      <w:bookmarkEnd w:id="2037"/>
    </w:p>
    <w:p>
      <w:pPr>
        <w:pStyle w:val="BookText"/>
      </w:pPr>
      <w:r>
        <w:rPr>
          <w:rFonts w:ascii="Amiri" w:hAnsi="Amiri" w:eastAsia="Amiri" w:cs="Amiri"/>
          <w:lang w:bidi="ar-SA"/>
          <w:color w:val="111111"/>
          <w:sz w:val="28"/>
          <w:szCs w:val="28"/>
          <w:rtl/>
        </w:rPr>
        <w:t xml:space="preserve">شرح الصلوات المأثورة، ج 9، ص 678.</w:t>
      </w:r>
    </w:p>
    <w:p>
      <w:pPr>
        <w:pStyle w:val="Heading2"/>
      </w:pPr>
      <w:bookmarkStart w:id="2038" w:name="_Toc1140"/>
      <w:r>
        <w:t>اذني ماتريدي، مصطفى بن ابراهيم</w:t>
      </w:r>
      <w:bookmarkEnd w:id="2038"/>
    </w:p>
    <w:p>
      <w:pPr>
        <w:pStyle w:val="BookText"/>
      </w:pPr>
      <w:r>
        <w:rPr>
          <w:rFonts w:ascii="Amiri" w:hAnsi="Amiri" w:eastAsia="Amiri" w:cs="Amiri"/>
          <w:lang w:bidi="ar-SA"/>
          <w:color w:val="111111"/>
          <w:sz w:val="28"/>
          <w:szCs w:val="28"/>
          <w:rtl/>
        </w:rPr>
        <w:t xml:space="preserve">شرح الحزب الكبير، ج 9، ص 412.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7742_69730"/>
    <w:bookmarkEnd w:id="173"/>
    <w:p>
      <w:pPr>
        <w:pStyle w:val="Heading2"/>
      </w:pPr>
      <w:bookmarkStart w:id="2039" w:name="_Toc1141"/>
      <w:r>
        <w:t>اذني مسيحي ، سلیمان، 1250 ق13 ه-</w:t>
      </w:r>
      <w:bookmarkEnd w:id="2039"/>
    </w:p>
    <w:p>
      <w:pPr>
        <w:pStyle w:val="BookText"/>
      </w:pPr>
      <w:r>
        <w:rPr>
          <w:rFonts w:ascii="Amiri" w:hAnsi="Amiri" w:eastAsia="Amiri" w:cs="Amiri"/>
          <w:lang w:bidi="ar-SA"/>
          <w:color w:val="111111"/>
          <w:sz w:val="28"/>
          <w:szCs w:val="28"/>
          <w:rtl/>
        </w:rPr>
        <w:t xml:space="preserve">الباكورة السليمانية في كشف اسرار الديانة النصيرية = الرد على النصيرية ج 3، ص 182.</w:t>
      </w:r>
    </w:p>
    <w:p>
      <w:pPr>
        <w:pStyle w:val="BookText"/>
      </w:pPr>
      <w:r>
        <w:rPr>
          <w:rFonts w:ascii="Amiri" w:hAnsi="Amiri" w:eastAsia="Amiri" w:cs="Amiri"/>
          <w:lang w:bidi="ar-SA"/>
          <w:color w:val="111111"/>
          <w:sz w:val="28"/>
          <w:szCs w:val="28"/>
          <w:rtl/>
        </w:rPr>
        <w:t xml:space="preserve">اربلي ، احمد بن حسين- ابن خباز ، احمد</w:t>
      </w:r>
    </w:p>
    <w:p>
      <w:pPr>
        <w:pStyle w:val="BookText"/>
      </w:pPr>
      <w:r>
        <w:rPr>
          <w:rFonts w:ascii="Amiri" w:hAnsi="Amiri" w:eastAsia="Amiri" w:cs="Amiri"/>
          <w:lang w:bidi="ar-SA"/>
          <w:color w:val="111111"/>
          <w:sz w:val="28"/>
          <w:szCs w:val="28"/>
          <w:rtl/>
        </w:rPr>
        <w:t xml:space="preserve">بن حسين</w:t>
      </w:r>
    </w:p>
    <w:p>
      <w:pPr>
        <w:pStyle w:val="BookText"/>
      </w:pPr>
      <w:r>
        <w:rPr>
          <w:rFonts w:ascii="IRNazanin" w:hAnsi="IRNazanin" w:eastAsia="IRNazanin" w:cs="IRNazanin"/>
          <w:lang w:bidi="fa-IR"/>
          <w:color w:val="111111"/>
          <w:sz w:val="28"/>
          <w:szCs w:val="28"/>
          <w:rtl/>
        </w:rPr>
        <w:t xml:space="preserve">اربلي ، احمد بن محمّد- ابن خلکان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2040" w:name="_Toc1142"/>
      <w:r>
        <w:t>اربلي ، احمد بن موسى 575 - 622 ه-</w:t>
      </w:r>
      <w:bookmarkEnd w:id="2040"/>
    </w:p>
    <w:p>
      <w:pPr>
        <w:pStyle w:val="BookText"/>
      </w:pPr>
      <w:r>
        <w:rPr>
          <w:rFonts w:ascii="Amiri" w:hAnsi="Amiri" w:eastAsia="Amiri" w:cs="Amiri"/>
          <w:lang w:bidi="ar-SA"/>
          <w:color w:val="111111"/>
          <w:sz w:val="28"/>
          <w:szCs w:val="28"/>
          <w:rtl/>
        </w:rPr>
        <w:t xml:space="preserve">روح الاحياء و روح الاحياء، ج8،</w:t>
      </w:r>
    </w:p>
    <w:p>
      <w:pPr>
        <w:pStyle w:val="BookText"/>
      </w:pPr>
      <w:r>
        <w:rPr>
          <w:rFonts w:ascii="IRNazanin" w:hAnsi="IRNazanin" w:eastAsia="IRNazanin" w:cs="IRNazanin"/>
          <w:lang w:bidi="fa-IR"/>
          <w:color w:val="111111"/>
          <w:sz w:val="28"/>
          <w:szCs w:val="28"/>
          <w:rtl/>
        </w:rPr>
        <w:t xml:space="preserve">ص 375 .</w:t>
      </w:r>
    </w:p>
    <w:p>
      <w:pPr>
        <w:pStyle w:val="Heading2"/>
      </w:pPr>
      <w:bookmarkStart w:id="2041" w:name="_Toc1143"/>
      <w:r>
        <w:t>اربلي ، اسعد بن ابراهيم ، قرن 7 ه-</w:t>
      </w:r>
      <w:bookmarkEnd w:id="2041"/>
    </w:p>
    <w:p>
      <w:pPr>
        <w:pStyle w:val="BookText"/>
      </w:pPr>
      <w:r>
        <w:rPr>
          <w:rFonts w:ascii="Amiri" w:hAnsi="Amiri" w:eastAsia="Amiri" w:cs="Amiri"/>
          <w:lang w:bidi="ar-SA"/>
          <w:color w:val="111111"/>
          <w:sz w:val="28"/>
          <w:szCs w:val="28"/>
          <w:rtl/>
        </w:rPr>
        <w:t xml:space="preserve">1 .الأربعون حديثاً، ج1، ص 691.</w:t>
      </w:r>
    </w:p>
    <w:p>
      <w:pPr>
        <w:pStyle w:val="BookText"/>
      </w:pPr>
      <w:r>
        <w:rPr>
          <w:rFonts w:ascii="Amiri" w:hAnsi="Amiri" w:eastAsia="Amiri" w:cs="Amiri"/>
          <w:lang w:bidi="ar-SA"/>
          <w:color w:val="111111"/>
          <w:sz w:val="28"/>
          <w:szCs w:val="28"/>
          <w:rtl/>
        </w:rPr>
        <w:t xml:space="preserve">2 .تسميط الدريدية، ج4، ص 348.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الاربلي، ج7، ص 569.</w:t>
      </w:r>
    </w:p>
    <w:p>
      <w:pPr>
        <w:pStyle w:val="BookText"/>
      </w:pPr>
      <w:r>
        <w:rPr>
          <w:rFonts w:ascii="Amiri" w:hAnsi="Amiri" w:eastAsia="Amiri" w:cs="Amiri"/>
          <w:lang w:bidi="ar-SA"/>
          <w:color w:val="111111"/>
          <w:sz w:val="28"/>
          <w:szCs w:val="28"/>
          <w:rtl/>
        </w:rPr>
        <w:t xml:space="preserve">اربلي حاجري، عيسى بن سنجر- حسام</w:t>
      </w:r>
    </w:p>
    <w:p>
      <w:pPr>
        <w:pStyle w:val="BookText"/>
      </w:pPr>
      <w:r>
        <w:rPr>
          <w:rFonts w:ascii="Amiri" w:hAnsi="Amiri" w:eastAsia="Amiri" w:cs="Amiri"/>
          <w:lang w:bidi="ar-SA"/>
          <w:color w:val="111111"/>
          <w:sz w:val="28"/>
          <w:szCs w:val="28"/>
          <w:rtl/>
        </w:rPr>
        <w:t xml:space="preserve">اربلي ، عيسى بن سنجر</w:t>
      </w:r>
    </w:p>
    <w:p>
      <w:pPr>
        <w:pStyle w:val="BookText"/>
      </w:pPr>
      <w:r>
        <w:rPr>
          <w:rFonts w:ascii="Amiri" w:hAnsi="Amiri" w:eastAsia="Amiri" w:cs="Amiri"/>
          <w:lang w:bidi="ar-SA"/>
          <w:color w:val="111111"/>
          <w:sz w:val="28"/>
          <w:szCs w:val="28"/>
          <w:rtl/>
        </w:rPr>
        <w:t xml:space="preserve">اربلي ، عثمان بن صلاح-ابن صلاح ،</w:t>
      </w:r>
    </w:p>
    <w:p>
      <w:pPr>
        <w:pStyle w:val="BookText"/>
      </w:pPr>
      <w:r>
        <w:rPr>
          <w:rFonts w:ascii="IRNazanin" w:hAnsi="IRNazanin" w:eastAsia="IRNazanin" w:cs="IRNazanin"/>
          <w:lang w:bidi="fa-IR"/>
          <w:color w:val="111111"/>
          <w:sz w:val="28"/>
          <w:szCs w:val="28"/>
          <w:rtl/>
        </w:rPr>
        <w:t xml:space="preserve">عثمان بن عبدالرحمن</w:t>
      </w:r>
    </w:p>
    <w:p>
      <w:pPr>
        <w:pStyle w:val="Heading2"/>
      </w:pPr>
      <w:bookmarkStart w:id="2042" w:name="_Toc1144"/>
      <w:r>
        <w:t>اربلي ، علي بن عيسى - 692؟ ه-</w:t>
      </w:r>
      <w:bookmarkEnd w:id="2042"/>
    </w:p>
    <w:p>
      <w:pPr>
        <w:pStyle w:val="BookText"/>
      </w:pPr>
      <w:r>
        <w:rPr>
          <w:rFonts w:ascii="IRNazanin" w:hAnsi="IRNazanin" w:eastAsia="IRNazanin" w:cs="IRNazanin"/>
          <w:lang w:bidi="fa-IR"/>
          <w:color w:val="111111"/>
          <w:sz w:val="28"/>
          <w:szCs w:val="28"/>
          <w:rtl/>
        </w:rPr>
        <w:t xml:space="preserve">1 .دیوان اربلي، ج7، ص 569.</w:t>
      </w:r>
    </w:p>
    <w:p>
      <w:pPr>
        <w:pStyle w:val="BookText"/>
      </w:pPr>
      <w:r>
        <w:rPr>
          <w:rFonts w:ascii="Amiri" w:hAnsi="Amiri" w:eastAsia="Amiri" w:cs="Amiri"/>
          <w:lang w:bidi="ar-SA"/>
          <w:color w:val="111111"/>
          <w:sz w:val="28"/>
          <w:szCs w:val="28"/>
          <w:rtl/>
        </w:rPr>
        <w:t xml:space="preserve">2 .طيف الخيال - طيف الانشاء</w:t>
      </w:r>
    </w:p>
    <w:p>
      <w:pPr>
        <w:pStyle w:val="BookText"/>
      </w:pPr>
      <w:r>
        <w:rPr>
          <w:rFonts w:ascii="IRNazanin" w:hAnsi="IRNazanin" w:eastAsia="IRNazanin" w:cs="IRNazanin"/>
          <w:lang w:bidi="fa-IR"/>
          <w:color w:val="111111"/>
          <w:sz w:val="28"/>
          <w:szCs w:val="28"/>
          <w:rtl/>
        </w:rPr>
        <w:t xml:space="preserve">ج 10، ص 878.</w:t>
      </w:r>
    </w:p>
    <w:p>
      <w:pPr>
        <w:pStyle w:val="BookText"/>
      </w:pPr>
      <w:r>
        <w:rPr>
          <w:rFonts w:ascii="Amiri" w:hAnsi="Amiri" w:eastAsia="Amiri" w:cs="Amiri"/>
          <w:lang w:bidi="ar-SA"/>
          <w:color w:val="111111"/>
          <w:sz w:val="28"/>
          <w:szCs w:val="28"/>
          <w:rtl/>
        </w:rPr>
        <w:t xml:space="preserve">3 .كشف الغمة في معرفة الائمة، ج13، ص 240.</w:t>
      </w:r>
    </w:p>
    <w:p>
      <w:pPr>
        <w:pStyle w:val="Heading2"/>
      </w:pPr>
      <w:bookmarkStart w:id="2043" w:name="_Toc1145"/>
      <w:r>
        <w:t>اربلي ، علي بن مبارك، قرن 6 ه-</w:t>
      </w:r>
      <w:bookmarkEnd w:id="2043"/>
    </w:p>
    <w:p>
      <w:pPr>
        <w:pStyle w:val="BookText"/>
      </w:pPr>
      <w:r>
        <w:rPr>
          <w:rFonts w:ascii="Amiri" w:hAnsi="Amiri" w:eastAsia="Amiri" w:cs="Amiri"/>
          <w:lang w:bidi="ar-SA"/>
          <w:color w:val="111111"/>
          <w:sz w:val="28"/>
          <w:szCs w:val="28"/>
          <w:rtl/>
        </w:rPr>
        <w:t xml:space="preserve">نصايح الملوك = التبر المسبوك في</w:t>
      </w:r>
    </w:p>
    <w:p>
      <w:pPr>
        <w:pStyle w:val="BookText"/>
      </w:pPr>
      <w:r>
        <w:rPr>
          <w:rFonts w:ascii="Amiri" w:hAnsi="Amiri" w:eastAsia="Amiri" w:cs="Amiri"/>
          <w:lang w:bidi="ar-SA"/>
          <w:color w:val="111111"/>
          <w:sz w:val="28"/>
          <w:szCs w:val="28"/>
          <w:rtl/>
        </w:rPr>
        <w:t xml:space="preserve">نصيحة الملوك، ج 16، ص302.</w:t>
      </w:r>
    </w:p>
    <w:p>
      <w:pPr>
        <w:pStyle w:val="Heading2"/>
      </w:pPr>
      <w:bookmarkStart w:id="2044" w:name="_Toc1146"/>
      <w:r>
        <w:t>اربلي ، ، عیسى - 1100 ه-</w:t>
      </w:r>
      <w:bookmarkEnd w:id="2044"/>
    </w:p>
    <w:p>
      <w:pPr>
        <w:pStyle w:val="BookText"/>
      </w:pPr>
      <w:r>
        <w:rPr>
          <w:rFonts w:ascii="IRNazanin" w:hAnsi="IRNazanin" w:eastAsia="IRNazanin" w:cs="IRNazanin"/>
          <w:lang w:bidi="fa-IR"/>
          <w:color w:val="111111"/>
          <w:sz w:val="28"/>
          <w:szCs w:val="28"/>
          <w:rtl/>
        </w:rPr>
        <w:t xml:space="preserve">شعر، ج 10، ص 367.</w:t>
      </w:r>
    </w:p>
    <w:p>
      <w:pPr>
        <w:pStyle w:val="BookText"/>
      </w:pPr>
      <w:r>
        <w:rPr>
          <w:rFonts w:ascii="Amiri" w:hAnsi="Amiri" w:eastAsia="Amiri" w:cs="Amiri"/>
          <w:lang w:bidi="ar-SA"/>
          <w:color w:val="111111"/>
          <w:sz w:val="28"/>
          <w:szCs w:val="28"/>
          <w:rtl/>
        </w:rPr>
        <w:t xml:space="preserve">اربلي ، عيسى بن سنجر- حسام اربلي ،</w:t>
      </w:r>
    </w:p>
    <w:p>
      <w:pPr>
        <w:pStyle w:val="BookText"/>
      </w:pPr>
      <w:r>
        <w:rPr>
          <w:rFonts w:ascii="Amiri" w:hAnsi="Amiri" w:eastAsia="Amiri" w:cs="Amiri"/>
          <w:lang w:bidi="ar-SA"/>
          <w:color w:val="111111"/>
          <w:sz w:val="28"/>
          <w:szCs w:val="28"/>
          <w:rtl/>
        </w:rPr>
        <w:t xml:space="preserve">عيسى بن سنجر</w:t>
      </w:r>
    </w:p>
    <w:p>
      <w:pPr>
        <w:pStyle w:val="BookText"/>
      </w:pPr>
      <w:r>
        <w:rPr>
          <w:rFonts w:ascii="Amiri" w:hAnsi="Amiri" w:eastAsia="Amiri" w:cs="Amiri"/>
          <w:lang w:bidi="ar-SA"/>
          <w:color w:val="111111"/>
          <w:sz w:val="28"/>
          <w:szCs w:val="28"/>
          <w:rtl/>
        </w:rPr>
        <w:t xml:space="preserve">اربلي ، محمّد بن احمد- ابن ظهير اربلي ، محمّد بن احمد</w:t>
      </w:r>
    </w:p>
    <w:p>
      <w:pPr>
        <w:pStyle w:val="BookText"/>
      </w:pPr>
      <w:r>
        <w:rPr>
          <w:rFonts w:ascii="Amiri" w:hAnsi="Amiri" w:eastAsia="Amiri" w:cs="Amiri"/>
          <w:lang w:bidi="ar-SA"/>
          <w:color w:val="111111"/>
          <w:sz w:val="28"/>
          <w:szCs w:val="28"/>
          <w:rtl/>
        </w:rPr>
        <w:t xml:space="preserve">اربلي ، محمّد بن علي -ابن خطيب اربلي ،</w:t>
      </w:r>
    </w:p>
    <w:p>
      <w:pPr>
        <w:pStyle w:val="BookText"/>
      </w:pPr>
      <w:r>
        <w:rPr>
          <w:rFonts w:ascii="Amiri" w:hAnsi="Amiri" w:eastAsia="Amiri" w:cs="Amiri"/>
          <w:lang w:bidi="ar-SA"/>
          <w:color w:val="111111"/>
          <w:sz w:val="28"/>
          <w:szCs w:val="28"/>
          <w:rtl/>
        </w:rPr>
        <w:t xml:space="preserve">محمد بن علي</w:t>
      </w:r>
    </w:p>
    <w:p>
      <w:pPr>
        <w:pStyle w:val="Heading2"/>
      </w:pPr>
      <w:bookmarkStart w:id="2045" w:name="_Toc1147"/>
      <w:r>
        <w:t>اربلي ، محمّد بن علي، قرن 14 ه-</w:t>
      </w:r>
      <w:bookmarkEnd w:id="2045"/>
    </w:p>
    <w:p>
      <w:pPr>
        <w:pStyle w:val="BookText"/>
      </w:pPr>
      <w:r>
        <w:rPr>
          <w:rFonts w:ascii="Amiri" w:hAnsi="Amiri" w:eastAsia="Amiri" w:cs="Amiri"/>
          <w:lang w:bidi="ar-SA"/>
          <w:color w:val="111111"/>
          <w:sz w:val="28"/>
          <w:szCs w:val="28"/>
          <w:rtl/>
        </w:rPr>
        <w:t xml:space="preserve">اجازات عمر الاربلي في الحديث النبوي الشريف، ج 1، ص 205.</w:t>
      </w:r>
    </w:p>
    <w:p>
      <w:pPr>
        <w:pStyle w:val="Heading2"/>
      </w:pPr>
      <w:bookmarkStart w:id="2046" w:name="_Toc1148"/>
      <w:r>
        <w:t>اربيلي ، علي بن مصطفی قرن 12 ه-</w:t>
      </w:r>
      <w:bookmarkEnd w:id="2046"/>
    </w:p>
    <w:p>
      <w:pPr>
        <w:pStyle w:val="BookText"/>
      </w:pPr>
      <w:r>
        <w:rPr>
          <w:rFonts w:ascii="Amiri" w:hAnsi="Amiri" w:eastAsia="Amiri" w:cs="Amiri"/>
          <w:lang w:bidi="ar-SA"/>
          <w:color w:val="111111"/>
          <w:sz w:val="28"/>
          <w:szCs w:val="28"/>
          <w:rtl/>
        </w:rPr>
        <w:t xml:space="preserve">الغرائب = حاشيه على شرح العوامل</w:t>
      </w:r>
    </w:p>
    <w:p>
      <w:pPr>
        <w:pStyle w:val="BookText"/>
      </w:pPr>
      <w:r>
        <w:rPr>
          <w:rFonts w:ascii="Amiri" w:hAnsi="Amiri" w:eastAsia="Amiri" w:cs="Amiri"/>
          <w:lang w:bidi="ar-SA"/>
          <w:color w:val="111111"/>
          <w:sz w:val="28"/>
          <w:szCs w:val="28"/>
          <w:rtl/>
        </w:rPr>
        <w:t xml:space="preserve">المائة لعبد القاهر الجرجاني، ج11،</w:t>
      </w:r>
    </w:p>
    <w:p>
      <w:pPr>
        <w:pStyle w:val="BookText"/>
      </w:pPr>
      <w:r>
        <w:rPr>
          <w:rFonts w:ascii="IRNazanin" w:hAnsi="IRNazanin" w:eastAsia="IRNazanin" w:cs="IRNazanin"/>
          <w:lang w:bidi="fa-IR"/>
          <w:color w:val="111111"/>
          <w:sz w:val="28"/>
          <w:szCs w:val="28"/>
          <w:rtl/>
        </w:rPr>
        <w:t xml:space="preserve">ص 461 .</w:t>
      </w:r>
    </w:p>
    <w:p>
      <w:pPr>
        <w:pStyle w:val="Heading2"/>
      </w:pPr>
      <w:bookmarkStart w:id="2047" w:name="_Toc1149"/>
      <w:r>
        <w:t>ارتيماني ، محمّد محسن بن حسن</w:t>
      </w:r>
      <w:bookmarkEnd w:id="2047"/>
    </w:p>
    <w:p>
      <w:pPr>
        <w:pStyle w:val="BookText"/>
      </w:pPr>
      <w:r>
        <w:rPr>
          <w:rFonts w:ascii="IRNazanin" w:hAnsi="IRNazanin" w:eastAsia="IRNazanin" w:cs="IRNazanin"/>
          <w:lang w:bidi="fa-IR"/>
          <w:color w:val="111111"/>
          <w:sz w:val="28"/>
          <w:szCs w:val="28"/>
          <w:rtl/>
        </w:rPr>
        <w:t xml:space="preserve">شرح الأسباب والعلامات، ج 9،</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Amiri" w:hAnsi="Amiri" w:eastAsia="Amiri" w:cs="Amiri"/>
          <w:lang w:bidi="ar-SA"/>
          <w:color w:val="111111"/>
          <w:sz w:val="28"/>
          <w:szCs w:val="28"/>
          <w:rtl/>
        </w:rPr>
        <w:t xml:space="preserve">ارثوذكسي ، سليمان بن حسن غزي ،</w:t>
      </w:r>
    </w:p>
    <w:p>
      <w:pPr>
        <w:pStyle w:val="BookText"/>
      </w:pPr>
      <w:r>
        <w:rPr>
          <w:rFonts w:ascii="Amiri" w:hAnsi="Amiri" w:eastAsia="Amiri" w:cs="Amiri"/>
          <w:lang w:bidi="ar-SA"/>
          <w:color w:val="111111"/>
          <w:sz w:val="28"/>
          <w:szCs w:val="28"/>
          <w:rtl/>
        </w:rPr>
        <w:t xml:space="preserve">سليمان بن حسن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7742_69732"/>
    <w:bookmarkEnd w:id="174"/>
    <w:p>
      <w:pPr>
        <w:pStyle w:val="Heading2"/>
      </w:pPr>
      <w:bookmarkStart w:id="2048" w:name="_Toc1150"/>
      <w:r>
        <w:t>ارجاني شوشتري ، احمد بن محمّد، 460 -</w:t>
      </w:r>
      <w:bookmarkEnd w:id="2048"/>
    </w:p>
    <w:p>
      <w:pPr>
        <w:pStyle w:val="BookText"/>
      </w:pPr>
      <w:r>
        <w:rPr>
          <w:rFonts w:ascii="IRNazanin" w:hAnsi="IRNazanin" w:eastAsia="IRNazanin" w:cs="IRNazanin"/>
          <w:lang w:bidi="fa-IR"/>
          <w:color w:val="111111"/>
          <w:sz w:val="28"/>
          <w:szCs w:val="28"/>
          <w:rtl/>
        </w:rPr>
        <w:t xml:space="preserve">544 ه-</w:t>
      </w:r>
    </w:p>
    <w:p>
      <w:pPr>
        <w:pStyle w:val="BookText"/>
      </w:pPr>
      <w:r>
        <w:rPr>
          <w:rFonts w:ascii="IRNazanin" w:hAnsi="IRNazanin" w:eastAsia="IRNazanin" w:cs="IRNazanin"/>
          <w:lang w:bidi="fa-IR"/>
          <w:color w:val="111111"/>
          <w:sz w:val="28"/>
          <w:szCs w:val="28"/>
          <w:rtl/>
        </w:rPr>
        <w:t xml:space="preserve">دیوان ارجاني = بهجة المجالس و نزهة المجالس، ج 7، ص 570.</w:t>
      </w:r>
    </w:p>
    <w:p>
      <w:pPr>
        <w:pStyle w:val="Heading2"/>
      </w:pPr>
      <w:bookmarkStart w:id="2049" w:name="_Toc1151"/>
      <w:r>
        <w:t>ارجاني شوشتري ، محمّد بن محمّد، قرن</w:t>
      </w:r>
      <w:bookmarkEnd w:id="2049"/>
    </w:p>
    <w:p>
      <w:pPr>
        <w:pStyle w:val="BookText"/>
      </w:pPr>
      <w:r>
        <w:rPr>
          <w:rFonts w:ascii="IRNazanin" w:hAnsi="IRNazanin" w:eastAsia="IRNazanin" w:cs="IRNazanin"/>
          <w:lang w:bidi="fa-IR"/>
          <w:color w:val="111111"/>
          <w:sz w:val="28"/>
          <w:szCs w:val="28"/>
          <w:rtl/>
        </w:rPr>
        <w:t xml:space="preserve">11 ه-</w:t>
      </w:r>
    </w:p>
    <w:p>
      <w:pPr>
        <w:pStyle w:val="BookText"/>
      </w:pPr>
      <w:r>
        <w:rPr>
          <w:rFonts w:ascii="Amiri" w:hAnsi="Amiri" w:eastAsia="Amiri" w:cs="Amiri"/>
          <w:lang w:bidi="ar-SA"/>
          <w:color w:val="111111"/>
          <w:sz w:val="28"/>
          <w:szCs w:val="28"/>
          <w:rtl/>
        </w:rPr>
        <w:t xml:space="preserve">الجذر الأصم (رسالة)، ج 5، ص 376.</w:t>
      </w:r>
    </w:p>
    <w:p>
      <w:pPr>
        <w:pStyle w:val="BookText"/>
      </w:pPr>
      <w:r>
        <w:rPr>
          <w:rFonts w:ascii="Amiri" w:hAnsi="Amiri" w:eastAsia="Amiri" w:cs="Amiri"/>
          <w:lang w:bidi="ar-SA"/>
          <w:color w:val="111111"/>
          <w:sz w:val="28"/>
          <w:szCs w:val="28"/>
          <w:rtl/>
        </w:rPr>
        <w:t xml:space="preserve">ارجاني ، لطف الله -لاريجاني ، ملا لطف الله</w:t>
      </w:r>
    </w:p>
    <w:p>
      <w:pPr>
        <w:pStyle w:val="BookText"/>
      </w:pPr>
      <w:r>
        <w:rPr>
          <w:rFonts w:ascii="Amiri" w:hAnsi="Amiri" w:eastAsia="Amiri" w:cs="Amiri"/>
          <w:lang w:bidi="ar-SA"/>
          <w:color w:val="111111"/>
          <w:sz w:val="28"/>
          <w:szCs w:val="28"/>
          <w:rtl/>
        </w:rPr>
        <w:t xml:space="preserve">ارجاني مجوسي ، علي بن عباس -مجوسي ،</w:t>
      </w:r>
    </w:p>
    <w:p>
      <w:pPr>
        <w:pStyle w:val="Heading2"/>
      </w:pPr>
      <w:bookmarkStart w:id="2050" w:name="_Toc1152"/>
      <w:r>
        <w:t>اردبيلي ، عبدالله</w:t>
      </w:r>
      <w:bookmarkEnd w:id="2050"/>
    </w:p>
    <w:p>
      <w:pPr>
        <w:pStyle w:val="BookText"/>
      </w:pPr>
      <w:r>
        <w:rPr>
          <w:rFonts w:ascii="Amiri" w:hAnsi="Amiri" w:eastAsia="Amiri" w:cs="Amiri"/>
          <w:lang w:bidi="ar-SA"/>
          <w:color w:val="111111"/>
          <w:sz w:val="28"/>
          <w:szCs w:val="28"/>
          <w:rtl/>
        </w:rPr>
        <w:t xml:space="preserve">علي بن عباس</w:t>
      </w:r>
    </w:p>
    <w:p>
      <w:pPr>
        <w:pStyle w:val="BookText"/>
      </w:pPr>
      <w:r>
        <w:rPr>
          <w:rFonts w:ascii="IRNazanin" w:hAnsi="IRNazanin" w:eastAsia="IRNazanin" w:cs="IRNazanin"/>
          <w:lang w:bidi="fa-IR"/>
          <w:color w:val="111111"/>
          <w:sz w:val="28"/>
          <w:szCs w:val="28"/>
          <w:rtl/>
        </w:rPr>
        <w:t xml:space="preserve">ارجستاني ، حمزه -گيلاني ، حمزه</w:t>
      </w:r>
    </w:p>
    <w:p>
      <w:pPr>
        <w:pStyle w:val="Heading2"/>
      </w:pPr>
      <w:bookmarkStart w:id="2051" w:name="_Toc1153"/>
      <w:r>
        <w:t>ارحم ، عثمان بن ابي عبدالله</w:t>
      </w:r>
      <w:bookmarkEnd w:id="2051"/>
    </w:p>
    <w:p>
      <w:pPr>
        <w:pStyle w:val="BookText"/>
      </w:pPr>
      <w:r>
        <w:rPr>
          <w:rFonts w:ascii="IRNazanin" w:hAnsi="IRNazanin" w:eastAsia="IRNazanin" w:cs="IRNazanin"/>
          <w:lang w:bidi="fa-IR"/>
          <w:color w:val="111111"/>
          <w:sz w:val="28"/>
          <w:szCs w:val="28"/>
          <w:rtl/>
        </w:rPr>
        <w:t xml:space="preserve">عقائد الخوارج، ج 11، ص 148.</w:t>
      </w:r>
    </w:p>
    <w:p>
      <w:pPr>
        <w:pStyle w:val="BookText"/>
      </w:pPr>
      <w:r>
        <w:rPr>
          <w:rFonts w:ascii="Amiri" w:hAnsi="Amiri" w:eastAsia="Amiri" w:cs="Amiri"/>
          <w:lang w:bidi="ar-SA"/>
          <w:color w:val="111111"/>
          <w:sz w:val="28"/>
          <w:szCs w:val="28"/>
          <w:rtl/>
        </w:rPr>
        <w:t xml:space="preserve">اردبيلي ، ابوالخير حسن بن علي- فارسي</w:t>
      </w:r>
    </w:p>
    <w:p>
      <w:pPr>
        <w:pStyle w:val="BookText"/>
      </w:pPr>
      <w:r>
        <w:rPr>
          <w:rFonts w:ascii="Amiri" w:hAnsi="Amiri" w:eastAsia="Amiri" w:cs="Amiri"/>
          <w:lang w:bidi="ar-SA"/>
          <w:color w:val="111111"/>
          <w:sz w:val="28"/>
          <w:szCs w:val="28"/>
          <w:rtl/>
        </w:rPr>
        <w:t xml:space="preserve">حسن بن علي</w:t>
      </w:r>
    </w:p>
    <w:p>
      <w:pPr>
        <w:pStyle w:val="Heading2"/>
      </w:pPr>
      <w:bookmarkStart w:id="2052" w:name="_Toc1154"/>
      <w:r>
        <w:t>اردبيلي ، ابوالقاسم بن محمّد تقي قرن</w:t>
      </w:r>
      <w:bookmarkEnd w:id="2052"/>
    </w:p>
    <w:p>
      <w:pPr>
        <w:pStyle w:val="BookText"/>
      </w:pPr>
      <w:r>
        <w:rPr>
          <w:rFonts w:ascii="IRNazanin" w:hAnsi="IRNazanin" w:eastAsia="IRNazanin" w:cs="IRNazanin"/>
          <w:lang w:bidi="fa-IR"/>
          <w:color w:val="111111"/>
          <w:sz w:val="28"/>
          <w:szCs w:val="28"/>
          <w:rtl/>
        </w:rPr>
        <w:t xml:space="preserve">12ه-</w:t>
      </w:r>
    </w:p>
    <w:p>
      <w:pPr>
        <w:pStyle w:val="BookText"/>
      </w:pPr>
      <w:r>
        <w:rPr>
          <w:rFonts w:ascii="Amiri" w:hAnsi="Amiri" w:eastAsia="Amiri" w:cs="Amiri"/>
          <w:lang w:bidi="ar-SA"/>
          <w:color w:val="111111"/>
          <w:sz w:val="28"/>
          <w:szCs w:val="28"/>
          <w:rtl/>
        </w:rPr>
        <w:t xml:space="preserve">مناسك الحج، ج 15 ، ص 501.</w:t>
      </w:r>
    </w:p>
    <w:p>
      <w:pPr>
        <w:pStyle w:val="Heading2"/>
      </w:pPr>
      <w:bookmarkStart w:id="2053" w:name="_Toc1155"/>
      <w:r>
        <w:t>اردبيلي ، احمد</w:t>
      </w:r>
      <w:bookmarkEnd w:id="2053"/>
    </w:p>
    <w:p>
      <w:pPr>
        <w:pStyle w:val="BookText"/>
      </w:pPr>
      <w:r>
        <w:rPr>
          <w:rFonts w:ascii="Amiri" w:hAnsi="Amiri" w:eastAsia="Amiri" w:cs="Amiri"/>
          <w:lang w:bidi="ar-SA"/>
          <w:color w:val="111111"/>
          <w:sz w:val="28"/>
          <w:szCs w:val="28"/>
          <w:rtl/>
        </w:rPr>
        <w:t xml:space="preserve">الفائدة في حصول التزكية قسيمة الحب بين سوى الفراغ، ج 11، ص 574.</w:t>
      </w:r>
    </w:p>
    <w:p>
      <w:pPr>
        <w:pStyle w:val="BookText"/>
      </w:pPr>
      <w:r>
        <w:rPr>
          <w:rFonts w:ascii="Amiri" w:hAnsi="Amiri" w:eastAsia="Amiri" w:cs="Amiri"/>
          <w:lang w:bidi="ar-SA"/>
          <w:color w:val="111111"/>
          <w:sz w:val="28"/>
          <w:szCs w:val="28"/>
          <w:rtl/>
        </w:rPr>
        <w:t xml:space="preserve">اردبيلي ، احمد بن محمّد- مقدس اردبيلي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اردبيلي ، حسين بن عبد الحق- الهي</w:t>
      </w:r>
    </w:p>
    <w:p>
      <w:pPr>
        <w:pStyle w:val="BookText"/>
      </w:pPr>
      <w:r>
        <w:rPr>
          <w:rFonts w:ascii="Amiri" w:hAnsi="Amiri" w:eastAsia="Amiri" w:cs="Amiri"/>
          <w:lang w:bidi="ar-SA"/>
          <w:color w:val="111111"/>
          <w:sz w:val="28"/>
          <w:szCs w:val="28"/>
          <w:rtl/>
        </w:rPr>
        <w:t xml:space="preserve">اردبيلي ، حسين بن عبد الحق</w:t>
      </w:r>
    </w:p>
    <w:p>
      <w:pPr>
        <w:pStyle w:val="Heading2"/>
      </w:pPr>
      <w:bookmarkStart w:id="2054" w:name="_Toc1156"/>
      <w:r>
        <w:t>اردبيلي ، حسين بن موسی قرن 11 ه-</w:t>
      </w:r>
      <w:bookmarkEnd w:id="2054"/>
    </w:p>
    <w:p>
      <w:pPr>
        <w:pStyle w:val="BookText"/>
      </w:pPr>
      <w:r>
        <w:rPr>
          <w:rFonts w:ascii="Amiri" w:hAnsi="Amiri" w:eastAsia="Amiri" w:cs="Amiri"/>
          <w:lang w:bidi="ar-SA"/>
          <w:color w:val="111111"/>
          <w:sz w:val="28"/>
          <w:szCs w:val="28"/>
          <w:rtl/>
        </w:rPr>
        <w:t xml:space="preserve">1 .الحجة البالغة، ج6، ص 482.</w:t>
      </w:r>
    </w:p>
    <w:p>
      <w:pPr>
        <w:pStyle w:val="BookText"/>
      </w:pPr>
      <w:r>
        <w:rPr>
          <w:rFonts w:ascii="IRNazanin" w:hAnsi="IRNazanin" w:eastAsia="IRNazanin" w:cs="IRNazanin"/>
          <w:lang w:bidi="fa-IR"/>
          <w:color w:val="111111"/>
          <w:sz w:val="28"/>
          <w:szCs w:val="28"/>
          <w:rtl/>
        </w:rPr>
        <w:t xml:space="preserve">2 .صغری و کبری، ج 10، ص 561.</w:t>
      </w:r>
    </w:p>
    <w:p>
      <w:pPr>
        <w:pStyle w:val="BookText"/>
      </w:pPr>
      <w:r>
        <w:rPr>
          <w:rFonts w:ascii="IRNazanin" w:hAnsi="IRNazanin" w:eastAsia="IRNazanin" w:cs="IRNazanin"/>
          <w:lang w:bidi="fa-IR"/>
          <w:color w:val="111111"/>
          <w:sz w:val="28"/>
          <w:szCs w:val="28"/>
          <w:rtl/>
        </w:rPr>
        <w:t xml:space="preserve">3.گفتار کوتاهی درباره اثبات الواجب، ج13، ص 498</w:t>
      </w:r>
    </w:p>
    <w:p>
      <w:pPr>
        <w:pStyle w:val="BookText"/>
      </w:pPr>
      <w:r>
        <w:rPr>
          <w:rFonts w:ascii="Amiri" w:hAnsi="Amiri" w:eastAsia="Amiri" w:cs="Amiri"/>
          <w:lang w:bidi="ar-SA"/>
          <w:color w:val="111111"/>
          <w:sz w:val="28"/>
          <w:szCs w:val="28"/>
          <w:rtl/>
        </w:rPr>
        <w:t xml:space="preserve">شرح تجريد الاعتقاد، ج9، ص313</w:t>
      </w:r>
    </w:p>
    <w:p>
      <w:pPr>
        <w:pStyle w:val="Heading2"/>
      </w:pPr>
      <w:bookmarkStart w:id="2055" w:name="_Toc1157"/>
      <w:r>
        <w:t>اردبيلي ، علي بن مصطفى</w:t>
      </w:r>
      <w:bookmarkEnd w:id="2055"/>
    </w:p>
    <w:p>
      <w:pPr>
        <w:pStyle w:val="BookText"/>
      </w:pPr>
      <w:r>
        <w:rPr>
          <w:rFonts w:ascii="Amiri" w:hAnsi="Amiri" w:eastAsia="Amiri" w:cs="Amiri"/>
          <w:lang w:bidi="ar-SA"/>
          <w:color w:val="111111"/>
          <w:sz w:val="28"/>
          <w:szCs w:val="28"/>
          <w:rtl/>
        </w:rPr>
        <w:t xml:space="preserve">1 .حواشي على شرح سعد الله الصغرى، ج6، ص 837.</w:t>
      </w:r>
    </w:p>
    <w:p>
      <w:pPr>
        <w:pStyle w:val="BookText"/>
      </w:pPr>
      <w:r>
        <w:rPr>
          <w:rFonts w:ascii="IRNazanin" w:hAnsi="IRNazanin" w:eastAsia="IRNazanin" w:cs="IRNazanin"/>
          <w:lang w:bidi="fa-IR"/>
          <w:color w:val="111111"/>
          <w:sz w:val="28"/>
          <w:szCs w:val="28"/>
          <w:rtl/>
        </w:rPr>
        <w:t xml:space="preserve">2 .الغرائب على شرح عوامل سعد الله</w:t>
      </w:r>
    </w:p>
    <w:p>
      <w:pPr>
        <w:pStyle w:val="BookText"/>
      </w:pPr>
      <w:r>
        <w:rPr>
          <w:rFonts w:ascii="IRNazanin" w:hAnsi="IRNazanin" w:eastAsia="IRNazanin" w:cs="IRNazanin"/>
          <w:lang w:bidi="fa-IR"/>
          <w:color w:val="111111"/>
          <w:sz w:val="28"/>
          <w:szCs w:val="28"/>
          <w:rtl/>
        </w:rPr>
        <w:t xml:space="preserve">ج 11، ص 466.</w:t>
      </w:r>
    </w:p>
    <w:p>
      <w:pPr>
        <w:pStyle w:val="Heading2"/>
      </w:pPr>
      <w:bookmarkStart w:id="2056" w:name="_Toc1158"/>
      <w:r>
        <w:t>اردبيلي ، محمّد</w:t>
      </w:r>
      <w:bookmarkEnd w:id="2056"/>
    </w:p>
    <w:p>
      <w:pPr>
        <w:pStyle w:val="BookText"/>
      </w:pPr>
      <w:r>
        <w:rPr>
          <w:rFonts w:ascii="Amiri" w:hAnsi="Amiri" w:eastAsia="Amiri" w:cs="Amiri"/>
          <w:lang w:bidi="ar-SA"/>
          <w:color w:val="111111"/>
          <w:sz w:val="28"/>
          <w:szCs w:val="28"/>
          <w:rtl/>
        </w:rPr>
        <w:t xml:space="preserve">شرح قصيدة مقصورة ابن دريد، ج9،</w:t>
      </w:r>
    </w:p>
    <w:p>
      <w:pPr>
        <w:pStyle w:val="BookText"/>
      </w:pPr>
      <w:r>
        <w:rPr>
          <w:rFonts w:ascii="IRNazanin" w:hAnsi="IRNazanin" w:eastAsia="IRNazanin" w:cs="IRNazanin"/>
          <w:lang w:bidi="fa-IR"/>
          <w:color w:val="111111"/>
          <w:sz w:val="28"/>
          <w:szCs w:val="28"/>
          <w:rtl/>
        </w:rPr>
        <w:t xml:space="preserve">ص 894.</w:t>
      </w:r>
    </w:p>
    <w:p>
      <w:pPr>
        <w:pStyle w:val="BookText"/>
      </w:pPr>
      <w:r>
        <w:rPr>
          <w:rFonts w:ascii="Amiri" w:hAnsi="Amiri" w:eastAsia="Amiri" w:cs="Amiri"/>
          <w:lang w:bidi="ar-SA"/>
          <w:color w:val="111111"/>
          <w:sz w:val="28"/>
          <w:szCs w:val="28"/>
          <w:rtl/>
        </w:rPr>
        <w:t xml:space="preserve">اردبيلي ، محمّد بن ابي سعيد - تاج</w:t>
      </w:r>
    </w:p>
    <w:p>
      <w:pPr>
        <w:pStyle w:val="BookText"/>
      </w:pPr>
      <w:r>
        <w:rPr>
          <w:rFonts w:ascii="Amiri" w:hAnsi="Amiri" w:eastAsia="Amiri" w:cs="Amiri"/>
          <w:lang w:bidi="ar-SA"/>
          <w:color w:val="111111"/>
          <w:sz w:val="28"/>
          <w:szCs w:val="28"/>
          <w:rtl/>
        </w:rPr>
        <w:t xml:space="preserve">السعيدي، محمّد بن ابي سعيد</w:t>
      </w:r>
    </w:p>
    <w:p>
      <w:pPr>
        <w:pStyle w:val="Heading2"/>
      </w:pPr>
      <w:bookmarkStart w:id="2057" w:name="_Toc1159"/>
      <w:r>
        <w:t>اردبيلي ، محمّد بن عبدالغني - 647 ؟ ه-</w:t>
      </w:r>
      <w:bookmarkEnd w:id="2057"/>
    </w:p>
    <w:p>
      <w:pPr>
        <w:pStyle w:val="BookText"/>
      </w:pPr>
      <w:r>
        <w:rPr>
          <w:rFonts w:ascii="IRNazanin" w:hAnsi="IRNazanin" w:eastAsia="IRNazanin" w:cs="IRNazanin"/>
          <w:lang w:bidi="fa-IR"/>
          <w:color w:val="111111"/>
          <w:sz w:val="28"/>
          <w:szCs w:val="28"/>
          <w:rtl/>
        </w:rPr>
        <w:t xml:space="preserve">شرح الانموذج، ج 9، ص239.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5" w:name="pg7742_69734"/>
    <w:bookmarkEnd w:id="175"/>
    <w:p>
      <w:pPr>
        <w:pStyle w:val="Heading2"/>
      </w:pPr>
      <w:bookmarkStart w:id="2058" w:name="_Toc1160"/>
      <w:r>
        <w:t>اردبيلي ، محمّد بن علي - 1101 ه-</w:t>
      </w:r>
      <w:bookmarkEnd w:id="2058"/>
    </w:p>
    <w:p>
      <w:pPr>
        <w:pStyle w:val="BookText"/>
      </w:pPr>
      <w:r>
        <w:rPr>
          <w:rFonts w:ascii="Amiri" w:hAnsi="Amiri" w:eastAsia="Amiri" w:cs="Amiri"/>
          <w:lang w:bidi="ar-SA"/>
          <w:color w:val="111111"/>
          <w:sz w:val="28"/>
          <w:szCs w:val="28"/>
          <w:rtl/>
        </w:rPr>
        <w:t xml:space="preserve">جامع الرواة و ازاحة الاشتباهات عن الطرق والأسناد - رافع الاشتباهات</w:t>
      </w:r>
    </w:p>
    <w:p>
      <w:pPr>
        <w:pStyle w:val="BookText"/>
      </w:pPr>
      <w:r>
        <w:rPr>
          <w:rFonts w:ascii="IRNazanin" w:hAnsi="IRNazanin" w:eastAsia="IRNazanin" w:cs="IRNazanin"/>
          <w:lang w:bidi="fa-IR"/>
          <w:color w:val="111111"/>
          <w:sz w:val="28"/>
          <w:szCs w:val="28"/>
          <w:rtl/>
        </w:rPr>
        <w:t xml:space="preserve">ج 5، ص 267.</w:t>
      </w:r>
    </w:p>
    <w:p>
      <w:pPr>
        <w:pStyle w:val="Heading2"/>
      </w:pPr>
      <w:bookmarkStart w:id="2059" w:name="_Toc1161"/>
      <w:r>
        <w:t>اردبيلي ، محمّد بن موسى</w:t>
      </w:r>
      <w:bookmarkEnd w:id="2059"/>
    </w:p>
    <w:p>
      <w:pPr>
        <w:pStyle w:val="BookText"/>
      </w:pPr>
      <w:r>
        <w:rPr>
          <w:rFonts w:ascii="IRNazanin" w:hAnsi="IRNazanin" w:eastAsia="IRNazanin" w:cs="IRNazanin"/>
          <w:lang w:bidi="fa-IR"/>
          <w:color w:val="111111"/>
          <w:sz w:val="28"/>
          <w:szCs w:val="28"/>
          <w:rtl/>
        </w:rPr>
        <w:t xml:space="preserve">1255 ه-</w:t>
      </w:r>
    </w:p>
    <w:p>
      <w:pPr>
        <w:pStyle w:val="BookText"/>
      </w:pPr>
      <w:r>
        <w:rPr>
          <w:rFonts w:ascii="Amiri" w:hAnsi="Amiri" w:eastAsia="Amiri" w:cs="Amiri"/>
          <w:lang w:bidi="ar-SA"/>
          <w:color w:val="111111"/>
          <w:sz w:val="28"/>
          <w:szCs w:val="28"/>
          <w:rtl/>
        </w:rPr>
        <w:t xml:space="preserve">الشافي في الاخلاق، ج9، ص 62.</w:t>
      </w:r>
    </w:p>
    <w:p>
      <w:pPr>
        <w:pStyle w:val="Heading2"/>
      </w:pPr>
      <w:bookmarkStart w:id="2060" w:name="_Toc1162"/>
      <w:r>
        <w:t>اردبيلي ، محمّد حسين بن محمّد رحيم -</w:t>
      </w:r>
      <w:bookmarkEnd w:id="2060"/>
    </w:p>
    <w:p>
      <w:pPr>
        <w:pStyle w:val="BookText"/>
      </w:pPr>
      <w:r>
        <w:rPr>
          <w:rFonts w:ascii="Amiri" w:hAnsi="Amiri" w:eastAsia="Amiri" w:cs="Amiri"/>
          <w:lang w:bidi="ar-SA"/>
          <w:color w:val="111111"/>
          <w:sz w:val="28"/>
          <w:szCs w:val="28"/>
          <w:rtl/>
        </w:rPr>
        <w:t xml:space="preserve">قصيدة، ج 12، ص 638.</w:t>
      </w:r>
    </w:p>
    <w:p>
      <w:pPr>
        <w:pStyle w:val="Heading2"/>
      </w:pPr>
      <w:bookmarkStart w:id="2061" w:name="_Toc1163"/>
      <w:r>
        <w:t>اردبيلي ، محمّد طاهر بن محمد طالب</w:t>
      </w:r>
      <w:bookmarkEnd w:id="2061"/>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الشجرة المباركة - رجال السيّد محمّد طاهر، ج9، ص80.</w:t>
      </w:r>
    </w:p>
    <w:p>
      <w:pPr>
        <w:pStyle w:val="Heading2"/>
      </w:pPr>
      <w:bookmarkStart w:id="2062" w:name="_Toc1164"/>
      <w:r>
        <w:t>اردبيلي ، محمّد علي، قرن 13</w:t>
      </w:r>
      <w:bookmarkEnd w:id="2062"/>
    </w:p>
    <w:p>
      <w:pPr>
        <w:pStyle w:val="BookText"/>
      </w:pPr>
      <w:r>
        <w:rPr>
          <w:rFonts w:ascii="IRNazanin" w:hAnsi="IRNazanin" w:eastAsia="IRNazanin" w:cs="IRNazanin"/>
          <w:lang w:bidi="fa-IR"/>
          <w:color w:val="111111"/>
          <w:sz w:val="28"/>
          <w:szCs w:val="28"/>
          <w:rtl/>
        </w:rPr>
        <w:t xml:space="preserve">قرب الأسناد، ج 12، ص 564.</w:t>
      </w:r>
    </w:p>
    <w:p>
      <w:pPr>
        <w:pStyle w:val="Heading2"/>
      </w:pPr>
      <w:bookmarkStart w:id="2063" w:name="_Toc1165"/>
      <w:r>
        <w:t>اردبيلي، موسى بن حيدر علي</w:t>
      </w:r>
      <w:bookmarkEnd w:id="2063"/>
    </w:p>
    <w:p>
      <w:pPr>
        <w:pStyle w:val="BookText"/>
      </w:pPr>
      <w:r>
        <w:rPr>
          <w:rFonts w:ascii="Amiri" w:hAnsi="Amiri" w:eastAsia="Amiri" w:cs="Amiri"/>
          <w:lang w:bidi="ar-SA"/>
          <w:color w:val="111111"/>
          <w:sz w:val="28"/>
          <w:szCs w:val="28"/>
          <w:rtl/>
        </w:rPr>
        <w:t xml:space="preserve">تاج العروس و محلل الكعوب (ترجمه)، ج 3، ص 534 .</w:t>
      </w:r>
    </w:p>
    <w:p>
      <w:pPr>
        <w:pStyle w:val="Heading2"/>
      </w:pPr>
      <w:bookmarkStart w:id="2064" w:name="_Toc1166"/>
      <w:r>
        <w:t>اردبيلي نظام الدين بن احمد قرن 12 ه-</w:t>
      </w:r>
      <w:bookmarkEnd w:id="20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شرح التصريف، ج 9، ص 632.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شواهد البهجة المرضية = شواهد سيوطي، ج9، ص 653.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شواهد شرح التصريف، ج 9،</w:t>
      </w:r>
    </w:p>
    <w:p>
      <w:pPr>
        <w:pStyle w:val="BookText"/>
      </w:pPr>
      <w:r>
        <w:rPr>
          <w:rFonts w:ascii="IRNazanin" w:hAnsi="IRNazanin" w:eastAsia="IRNazanin" w:cs="IRNazanin"/>
          <w:lang w:bidi="fa-IR"/>
          <w:color w:val="111111"/>
          <w:sz w:val="28"/>
          <w:szCs w:val="28"/>
          <w:rtl/>
        </w:rPr>
        <w:t xml:space="preserve">ص 654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شرح شواهد شرح قطر الندى، ج9،</w:t>
      </w:r>
    </w:p>
    <w:p>
      <w:pPr>
        <w:pStyle w:val="BookText"/>
      </w:pPr>
      <w:r>
        <w:rPr>
          <w:rFonts w:ascii="IRNazanin" w:hAnsi="IRNazanin" w:eastAsia="IRNazanin" w:cs="IRNazanin"/>
          <w:lang w:bidi="fa-IR"/>
          <w:color w:val="111111"/>
          <w:sz w:val="28"/>
          <w:szCs w:val="28"/>
          <w:rtl/>
        </w:rPr>
        <w:t xml:space="preserve">ص 655 .</w:t>
      </w:r>
    </w:p>
    <w:p>
      <w:pPr>
        <w:pStyle w:val="BookText"/>
      </w:pPr>
      <w:r>
        <w:rPr>
          <w:rFonts w:ascii="Amiri" w:hAnsi="Amiri" w:eastAsia="Amiri" w:cs="Amiri"/>
          <w:lang w:bidi="ar-SA"/>
          <w:color w:val="111111"/>
          <w:sz w:val="28"/>
          <w:szCs w:val="28"/>
          <w:rtl/>
        </w:rPr>
        <w:t xml:space="preserve">5 .الفريدة (ترجمه)، ج11، ص820</w:t>
      </w:r>
    </w:p>
    <w:p>
      <w:pPr>
        <w:pStyle w:val="Heading2"/>
      </w:pPr>
      <w:bookmarkStart w:id="2065" w:name="_Toc1167"/>
      <w:r>
        <w:t>اردبيلي ، يوسف بن ابراهيم - 799؟ ه-</w:t>
      </w:r>
      <w:bookmarkEnd w:id="2065"/>
    </w:p>
    <w:p>
      <w:pPr>
        <w:pStyle w:val="BookText"/>
      </w:pPr>
      <w:r>
        <w:rPr>
          <w:rFonts w:ascii="Amiri" w:hAnsi="Amiri" w:eastAsia="Amiri" w:cs="Amiri"/>
          <w:lang w:bidi="ar-SA"/>
          <w:color w:val="111111"/>
          <w:sz w:val="28"/>
          <w:szCs w:val="28"/>
          <w:rtl/>
        </w:rPr>
        <w:t xml:space="preserve">1 .الازهار شرح المصابيح، ج 2، ص 66.</w:t>
      </w:r>
    </w:p>
    <w:p>
      <w:pPr>
        <w:pStyle w:val="BookText"/>
      </w:pPr>
      <w:r>
        <w:rPr>
          <w:rFonts w:ascii="IRNazanin" w:hAnsi="IRNazanin" w:eastAsia="IRNazanin" w:cs="IRNazanin"/>
          <w:lang w:bidi="fa-IR"/>
          <w:color w:val="111111"/>
          <w:sz w:val="28"/>
          <w:szCs w:val="28"/>
          <w:rtl/>
        </w:rPr>
        <w:t xml:space="preserve">2 .الانوار لعمل الابرار، ج 3، ص 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قواعد العقايد، ج 12، ص 797.</w:t>
      </w:r>
    </w:p>
    <w:p>
      <w:pPr>
        <w:pStyle w:val="Heading2"/>
      </w:pPr>
      <w:bookmarkStart w:id="2066" w:name="_Toc1168"/>
      <w:r>
        <w:t>اردستاني ، احمد بن محمّد قرن 9 ه-</w:t>
      </w:r>
      <w:bookmarkEnd w:id="2066"/>
    </w:p>
    <w:p>
      <w:pPr>
        <w:pStyle w:val="BookText"/>
      </w:pPr>
      <w:r>
        <w:rPr>
          <w:rFonts w:ascii="Amiri" w:hAnsi="Amiri" w:eastAsia="Amiri" w:cs="Amiri"/>
          <w:lang w:bidi="ar-SA"/>
          <w:color w:val="111111"/>
          <w:sz w:val="28"/>
          <w:szCs w:val="28"/>
          <w:rtl/>
        </w:rPr>
        <w:t xml:space="preserve">الفروق في الفقه، ج 11، ص817</w:t>
      </w:r>
    </w:p>
    <w:p>
      <w:pPr>
        <w:pStyle w:val="BookText"/>
      </w:pPr>
      <w:r>
        <w:rPr>
          <w:rFonts w:ascii="IRNazanin" w:hAnsi="IRNazanin" w:eastAsia="IRNazanin" w:cs="IRNazanin"/>
          <w:lang w:bidi="fa-IR"/>
          <w:color w:val="111111"/>
          <w:sz w:val="28"/>
          <w:szCs w:val="28"/>
          <w:rtl/>
        </w:rPr>
        <w:t xml:space="preserve">اردستاني ، حسين بن علي- مجمر ، حسين بن علی</w:t>
      </w:r>
    </w:p>
    <w:p>
      <w:pPr>
        <w:pStyle w:val="Heading2"/>
      </w:pPr>
      <w:bookmarkStart w:id="2067" w:name="_Toc1169"/>
      <w:r>
        <w:t>اردستاني ، محمّد جعفر بن علي اصغر</w:t>
      </w:r>
      <w:bookmarkEnd w:id="2067"/>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صيغ العقود و الايقاعات، ج 10،</w:t>
      </w:r>
    </w:p>
    <w:p>
      <w:pPr>
        <w:pStyle w:val="BookText"/>
      </w:pPr>
      <w:r>
        <w:rPr>
          <w:rFonts w:ascii="IRNazanin" w:hAnsi="IRNazanin" w:eastAsia="IRNazanin" w:cs="IRNazanin"/>
          <w:lang w:bidi="fa-IR"/>
          <w:color w:val="111111"/>
          <w:sz w:val="28"/>
          <w:szCs w:val="28"/>
          <w:rtl/>
        </w:rPr>
        <w:t xml:space="preserve">ص 681 .</w:t>
      </w:r>
    </w:p>
    <w:p>
      <w:pPr>
        <w:pStyle w:val="BookText"/>
      </w:pPr>
      <w:r>
        <w:rPr>
          <w:rFonts w:ascii="IRNazanin" w:hAnsi="IRNazanin" w:eastAsia="IRNazanin" w:cs="IRNazanin"/>
          <w:lang w:bidi="fa-IR"/>
          <w:color w:val="111111"/>
          <w:sz w:val="28"/>
          <w:szCs w:val="28"/>
          <w:rtl/>
        </w:rPr>
        <w:t xml:space="preserve">اردستاني ، معزالدین بن ظهیرالدین ميرميران- حسيني اردستاني ، معز الدين بن</w:t>
      </w:r>
    </w:p>
    <w:p>
      <w:pPr>
        <w:pStyle w:val="BookText"/>
      </w:pPr>
      <w:r>
        <w:rPr>
          <w:rFonts w:ascii="IRNazanin" w:hAnsi="IRNazanin" w:eastAsia="IRNazanin" w:cs="IRNazanin"/>
          <w:lang w:bidi="fa-IR"/>
          <w:color w:val="111111"/>
          <w:sz w:val="28"/>
          <w:szCs w:val="28"/>
          <w:rtl/>
        </w:rPr>
        <w:t xml:space="preserve">ظهیرالدین</w:t>
      </w:r>
    </w:p>
    <w:p>
      <w:pPr>
        <w:pStyle w:val="Heading2"/>
      </w:pPr>
      <w:bookmarkStart w:id="2068" w:name="_Toc1170"/>
      <w:r>
        <w:t>اردستاني يزدي ، محمّد حسین بن محمّد</w:t>
      </w:r>
      <w:bookmarkEnd w:id="2068"/>
    </w:p>
    <w:p>
      <w:pPr>
        <w:pStyle w:val="BookText"/>
      </w:pPr>
      <w:r>
        <w:rPr>
          <w:rFonts w:ascii="Amiri" w:hAnsi="Amiri" w:eastAsia="Amiri" w:cs="Amiri"/>
          <w:lang w:bidi="ar-SA"/>
          <w:color w:val="111111"/>
          <w:sz w:val="28"/>
          <w:szCs w:val="28"/>
          <w:rtl/>
        </w:rPr>
        <w:t xml:space="preserve">اسماعيل - 1272 ه-</w:t>
      </w:r>
    </w:p>
    <w:p>
      <w:pPr>
        <w:pStyle w:val="BookText"/>
      </w:pPr>
      <w:r>
        <w:rPr>
          <w:rFonts w:ascii="Amiri" w:hAnsi="Amiri" w:eastAsia="Amiri" w:cs="Amiri"/>
          <w:lang w:bidi="ar-SA"/>
          <w:color w:val="111111"/>
          <w:sz w:val="28"/>
          <w:szCs w:val="28"/>
          <w:rtl/>
        </w:rPr>
        <w:t xml:space="preserve">1 .الفلك المشحون، ج 12، ص133.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القسطاس المستقيم و المكيال القويم = حاشية حاشية تهذيب</w:t>
      </w:r>
    </w:p>
    <w:p>
      <w:pPr>
        <w:pStyle w:val="BookText"/>
      </w:pPr>
      <w:r>
        <w:rPr>
          <w:rFonts w:ascii="IRNazanin" w:hAnsi="IRNazanin" w:eastAsia="IRNazanin" w:cs="IRNazanin"/>
          <w:lang w:bidi="fa-IR"/>
          <w:color w:val="111111"/>
          <w:sz w:val="28"/>
          <w:szCs w:val="28"/>
          <w:rtl/>
        </w:rPr>
        <w:t xml:space="preserve">المنطق، ج 12، ص 583.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6" w:name="pg7742_69736"/>
    <w:bookmarkEnd w:id="176"/>
    <w:p>
      <w:pPr>
        <w:pStyle w:val="Heading2"/>
      </w:pPr>
      <w:bookmarkStart w:id="2069" w:name="_Toc1171"/>
      <w:r>
        <w:t>اردكاني ، احمد بن محمّد ابراهیم 1175</w:t>
      </w:r>
      <w:bookmarkEnd w:id="2069"/>
    </w:p>
    <w:p>
      <w:pPr>
        <w:pStyle w:val="BookText"/>
      </w:pPr>
      <w:r>
        <w:rPr>
          <w:rFonts w:ascii="IRNazanin" w:hAnsi="IRNazanin" w:eastAsia="IRNazanin" w:cs="IRNazanin"/>
          <w:lang w:bidi="fa-IR"/>
          <w:color w:val="111111"/>
          <w:sz w:val="28"/>
          <w:szCs w:val="28"/>
          <w:rtl/>
        </w:rPr>
        <w:t xml:space="preserve">1238 ؟ ه-</w:t>
      </w:r>
    </w:p>
    <w:p>
      <w:pPr>
        <w:pStyle w:val="BookText"/>
      </w:pPr>
      <w:r>
        <w:rPr>
          <w:rFonts w:ascii="Amiri" w:hAnsi="Amiri" w:eastAsia="Amiri" w:cs="Amiri"/>
          <w:lang w:bidi="ar-SA"/>
          <w:color w:val="111111"/>
          <w:sz w:val="28"/>
          <w:szCs w:val="28"/>
          <w:rtl/>
        </w:rPr>
        <w:t xml:space="preserve">سرور المؤمنين في مناقب اميرالمؤمنين</w:t>
      </w:r>
    </w:p>
    <w:p>
      <w:pPr>
        <w:pStyle w:val="BookText"/>
      </w:pPr>
      <w:r>
        <w:rPr>
          <w:rFonts w:ascii="IRNazanin" w:hAnsi="IRNazanin" w:eastAsia="IRNazanin" w:cs="IRNazanin"/>
          <w:lang w:bidi="fa-IR"/>
          <w:color w:val="111111"/>
          <w:sz w:val="28"/>
          <w:szCs w:val="28"/>
          <w:rtl/>
        </w:rPr>
        <w:t xml:space="preserve">كفاية الطالب في مناقب علي بن ابیطالب، ج8، ص 769.</w:t>
      </w:r>
    </w:p>
    <w:p>
      <w:pPr>
        <w:pStyle w:val="Heading2"/>
      </w:pPr>
      <w:bookmarkStart w:id="2070" w:name="_Toc1172"/>
      <w:r>
        <w:t>اردكاني شيرازي ، عليرضا بن كمال الدين</w:t>
      </w:r>
      <w:bookmarkEnd w:id="2070"/>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IRNazanin" w:hAnsi="IRNazanin" w:eastAsia="IRNazanin" w:cs="IRNazanin"/>
          <w:lang w:bidi="fa-IR"/>
          <w:color w:val="111111"/>
          <w:sz w:val="28"/>
          <w:szCs w:val="28"/>
          <w:rtl/>
        </w:rPr>
        <w:t xml:space="preserve">تفسیر قرآن كريم، ج4، ص 667 .</w:t>
      </w:r>
    </w:p>
    <w:p>
      <w:pPr>
        <w:pStyle w:val="BookText"/>
      </w:pPr>
      <w:r>
        <w:rPr>
          <w:rFonts w:ascii="Amiri" w:hAnsi="Amiri" w:eastAsia="Amiri" w:cs="Amiri"/>
          <w:lang w:bidi="ar-SA"/>
          <w:color w:val="111111"/>
          <w:sz w:val="28"/>
          <w:szCs w:val="28"/>
          <w:rtl/>
        </w:rPr>
        <w:t xml:space="preserve">اردكاني ، عليرضا بن حسين- تجلي شيرازي</w:t>
      </w:r>
    </w:p>
    <w:p>
      <w:pPr>
        <w:pStyle w:val="BookText"/>
      </w:pPr>
      <w:r>
        <w:rPr>
          <w:rFonts w:ascii="Amiri" w:hAnsi="Amiri" w:eastAsia="Amiri" w:cs="Amiri"/>
          <w:lang w:bidi="ar-SA"/>
          <w:color w:val="111111"/>
          <w:sz w:val="28"/>
          <w:szCs w:val="28"/>
          <w:rtl/>
        </w:rPr>
        <w:t xml:space="preserve">عليرضا بن حسين</w:t>
      </w:r>
    </w:p>
    <w:p>
      <w:pPr>
        <w:pStyle w:val="BookText"/>
      </w:pPr>
      <w:r>
        <w:rPr>
          <w:rFonts w:ascii="Amiri" w:hAnsi="Amiri" w:eastAsia="Amiri" w:cs="Amiri"/>
          <w:lang w:bidi="ar-SA"/>
          <w:color w:val="111111"/>
          <w:sz w:val="28"/>
          <w:szCs w:val="28"/>
          <w:rtl/>
        </w:rPr>
        <w:t xml:space="preserve">اردكاني يزدي، قاضي بن كاشف الدين محمّد- كاشف يزدي، قاضي بن كاشف الدين</w:t>
      </w:r>
    </w:p>
    <w:p>
      <w:pPr>
        <w:pStyle w:val="BookText"/>
      </w:pPr>
      <w:r>
        <w:rPr>
          <w:rFonts w:ascii="Amiri" w:hAnsi="Amiri" w:eastAsia="Amiri" w:cs="Amiri"/>
          <w:lang w:bidi="ar-SA"/>
          <w:color w:val="111111"/>
          <w:sz w:val="28"/>
          <w:szCs w:val="28"/>
          <w:rtl/>
        </w:rPr>
        <w:t xml:space="preserve">محمّد</w:t>
      </w:r>
    </w:p>
    <w:p>
      <w:pPr>
        <w:pStyle w:val="Heading2"/>
      </w:pPr>
      <w:bookmarkStart w:id="2071" w:name="_Toc1173"/>
      <w:r>
        <w:t>اردكاني يزدي ، محمّد تقي بن محمّد</w:t>
      </w:r>
      <w:bookmarkEnd w:id="2071"/>
    </w:p>
    <w:p>
      <w:pPr>
        <w:pStyle w:val="BookText"/>
      </w:pPr>
      <w:r>
        <w:rPr>
          <w:rFonts w:ascii="Amiri" w:hAnsi="Amiri" w:eastAsia="Amiri" w:cs="Amiri"/>
          <w:lang w:bidi="ar-SA"/>
          <w:color w:val="111111"/>
          <w:sz w:val="28"/>
          <w:szCs w:val="28"/>
          <w:rtl/>
        </w:rPr>
        <w:t xml:space="preserve">حسين قرن 13 ه-</w:t>
      </w:r>
    </w:p>
    <w:p>
      <w:pPr>
        <w:pStyle w:val="BookText"/>
      </w:pPr>
      <w:r>
        <w:rPr>
          <w:rFonts w:ascii="Amiri" w:hAnsi="Amiri" w:eastAsia="Amiri" w:cs="Amiri"/>
          <w:lang w:bidi="ar-SA"/>
          <w:color w:val="111111"/>
          <w:sz w:val="28"/>
          <w:szCs w:val="28"/>
          <w:rtl/>
        </w:rPr>
        <w:t xml:space="preserve">تقريرات الاصول، ج 4، ص 740.</w:t>
      </w:r>
    </w:p>
    <w:p>
      <w:pPr>
        <w:pStyle w:val="Heading2"/>
      </w:pPr>
      <w:bookmarkStart w:id="2072" w:name="_Toc1174"/>
      <w:r>
        <w:t>اردكاني يزدي ، محمّد حسن بن محمّد</w:t>
      </w:r>
      <w:bookmarkEnd w:id="2072"/>
    </w:p>
    <w:p>
      <w:pPr>
        <w:pStyle w:val="BookText"/>
      </w:pPr>
      <w:r>
        <w:rPr>
          <w:rFonts w:ascii="Amiri" w:hAnsi="Amiri" w:eastAsia="Amiri" w:cs="Amiri"/>
          <w:lang w:bidi="ar-SA"/>
          <w:color w:val="111111"/>
          <w:sz w:val="28"/>
          <w:szCs w:val="28"/>
          <w:rtl/>
        </w:rPr>
        <w:t xml:space="preserve">ابراهيم - 1315 ه-</w:t>
      </w:r>
    </w:p>
    <w:p>
      <w:pPr>
        <w:pStyle w:val="BookText"/>
      </w:pPr>
      <w:r>
        <w:rPr>
          <w:rFonts w:ascii="Amiri" w:hAnsi="Amiri" w:eastAsia="Amiri" w:cs="Amiri"/>
          <w:lang w:bidi="ar-SA"/>
          <w:color w:val="111111"/>
          <w:sz w:val="28"/>
          <w:szCs w:val="28"/>
          <w:rtl/>
        </w:rPr>
        <w:t xml:space="preserve">سيف الواعظين في حروب اميرالمؤمنين</w:t>
      </w:r>
    </w:p>
    <w:p>
      <w:pPr>
        <w:pStyle w:val="BookText"/>
      </w:pPr>
      <w:r>
        <w:rPr>
          <w:rFonts w:ascii="IRNazanin" w:hAnsi="IRNazanin" w:eastAsia="IRNazanin" w:cs="IRNazanin"/>
          <w:lang w:bidi="fa-IR"/>
          <w:color w:val="111111"/>
          <w:sz w:val="28"/>
          <w:szCs w:val="28"/>
          <w:rtl/>
        </w:rPr>
        <w:t xml:space="preserve">(ع)، ج 9، ص 44 .</w:t>
      </w:r>
    </w:p>
    <w:p>
      <w:pPr>
        <w:pStyle w:val="Heading2"/>
      </w:pPr>
      <w:bookmarkStart w:id="2073" w:name="_Toc1175"/>
      <w:r>
        <w:t>اردلاني ، ابوالحسن، قرن 10 ه-</w:t>
      </w:r>
      <w:bookmarkEnd w:id="2073"/>
    </w:p>
    <w:p>
      <w:pPr>
        <w:pStyle w:val="BookText"/>
      </w:pPr>
      <w:r>
        <w:rPr>
          <w:rFonts w:ascii="Amiri" w:hAnsi="Amiri" w:eastAsia="Amiri" w:cs="Amiri"/>
          <w:lang w:bidi="ar-SA"/>
          <w:color w:val="111111"/>
          <w:sz w:val="28"/>
          <w:szCs w:val="28"/>
          <w:rtl/>
        </w:rPr>
        <w:t xml:space="preserve">التحفة السليمانية، ج 3، ص 848.</w:t>
      </w:r>
    </w:p>
    <w:p>
      <w:pPr>
        <w:pStyle w:val="Heading2"/>
      </w:pPr>
      <w:bookmarkStart w:id="2074" w:name="_Toc1176"/>
      <w:r>
        <w:t>اردلاني ، محمّد وسیم</w:t>
      </w:r>
      <w:bookmarkEnd w:id="2074"/>
    </w:p>
    <w:p>
      <w:pPr>
        <w:pStyle w:val="BookText"/>
      </w:pPr>
      <w:r>
        <w:rPr>
          <w:rFonts w:ascii="IRNazanin" w:hAnsi="IRNazanin" w:eastAsia="IRNazanin" w:cs="IRNazanin"/>
          <w:lang w:bidi="fa-IR"/>
          <w:color w:val="111111"/>
          <w:sz w:val="28"/>
          <w:szCs w:val="28"/>
          <w:rtl/>
        </w:rPr>
        <w:t xml:space="preserve">ظل خط الاستواء، ج 10، ص887</w:t>
      </w:r>
    </w:p>
    <w:p>
      <w:pPr>
        <w:pStyle w:val="BookText"/>
      </w:pPr>
      <w:r>
        <w:rPr>
          <w:rFonts w:ascii="Amiri" w:hAnsi="Amiri" w:eastAsia="Amiri" w:cs="Amiri"/>
          <w:lang w:bidi="ar-SA"/>
          <w:color w:val="111111"/>
          <w:sz w:val="28"/>
          <w:szCs w:val="28"/>
          <w:rtl/>
        </w:rPr>
        <w:t xml:space="preserve">اردبيلي ، محمّد بن علي - اردوبادي ، ابوالقاسم</w:t>
      </w:r>
    </w:p>
    <w:p>
      <w:pPr>
        <w:pStyle w:val="Heading2"/>
      </w:pPr>
      <w:bookmarkStart w:id="2075" w:name="_Toc1177"/>
      <w:r>
        <w:t>اردوبادي ، ابوالقاسم بن محمّد تقي</w:t>
      </w:r>
      <w:bookmarkEnd w:id="2075"/>
    </w:p>
    <w:p>
      <w:pPr>
        <w:pStyle w:val="BookText"/>
      </w:pPr>
      <w:r>
        <w:rPr>
          <w:rFonts w:ascii="IRNazanin" w:hAnsi="IRNazanin" w:eastAsia="IRNazanin" w:cs="IRNazanin"/>
          <w:lang w:bidi="fa-IR"/>
          <w:color w:val="111111"/>
          <w:sz w:val="28"/>
          <w:szCs w:val="28"/>
          <w:rtl/>
        </w:rPr>
        <w:t xml:space="preserve">127 - 1333 ه-</w:t>
      </w:r>
    </w:p>
    <w:p>
      <w:pPr>
        <w:pStyle w:val="BookText"/>
      </w:pPr>
      <w:r>
        <w:rPr>
          <w:rFonts w:ascii="Amiri" w:hAnsi="Amiri" w:eastAsia="Amiri" w:cs="Amiri"/>
          <w:lang w:bidi="ar-SA"/>
          <w:color w:val="111111"/>
          <w:sz w:val="28"/>
          <w:szCs w:val="28"/>
          <w:rtl/>
        </w:rPr>
        <w:t xml:space="preserve">1 .احاديث متفرقة، ج 1، ص 417.</w:t>
      </w:r>
    </w:p>
    <w:p>
      <w:pPr>
        <w:pStyle w:val="BookText"/>
      </w:pPr>
      <w:r>
        <w:rPr>
          <w:rFonts w:ascii="Amiri" w:hAnsi="Amiri" w:eastAsia="Amiri" w:cs="Amiri"/>
          <w:lang w:bidi="ar-SA"/>
          <w:color w:val="111111"/>
          <w:sz w:val="28"/>
          <w:szCs w:val="28"/>
          <w:rtl/>
        </w:rPr>
        <w:t xml:space="preserve">2 .الاحتكار (رسالة في)، ج 1، ص 439.</w:t>
      </w:r>
    </w:p>
    <w:p>
      <w:pPr>
        <w:pStyle w:val="BookText"/>
      </w:pPr>
      <w:r>
        <w:rPr>
          <w:rFonts w:ascii="Amiri" w:hAnsi="Amiri" w:eastAsia="Amiri" w:cs="Amiri"/>
          <w:lang w:bidi="ar-SA"/>
          <w:color w:val="111111"/>
          <w:sz w:val="28"/>
          <w:szCs w:val="28"/>
          <w:rtl/>
        </w:rPr>
        <w:t xml:space="preserve">3 .اذا كانت رقبة الارض لواحد و جماعة او عنوان، ج1، ص 673.</w:t>
      </w:r>
    </w:p>
    <w:p>
      <w:pPr>
        <w:pStyle w:val="BookText"/>
      </w:pPr>
      <w:r>
        <w:rPr>
          <w:rFonts w:ascii="Amiri" w:hAnsi="Amiri" w:eastAsia="Amiri" w:cs="Amiri"/>
          <w:lang w:bidi="ar-SA"/>
          <w:color w:val="111111"/>
          <w:sz w:val="28"/>
          <w:szCs w:val="28"/>
          <w:rtl/>
        </w:rPr>
        <w:t xml:space="preserve">4 .الامر بين الأمرين، ج 2، ص 762.</w:t>
      </w:r>
    </w:p>
    <w:p>
      <w:pPr>
        <w:pStyle w:val="BookText"/>
      </w:pPr>
      <w:r>
        <w:rPr>
          <w:rFonts w:ascii="Amiri" w:hAnsi="Amiri" w:eastAsia="Amiri" w:cs="Amiri"/>
          <w:lang w:bidi="ar-SA"/>
          <w:color w:val="111111"/>
          <w:sz w:val="28"/>
          <w:szCs w:val="28"/>
          <w:rtl/>
        </w:rPr>
        <w:t xml:space="preserve">5 .ترجمة فرات بن ابراهيم الكوفي</w:t>
      </w:r>
    </w:p>
    <w:p>
      <w:pPr>
        <w:pStyle w:val="BookText"/>
      </w:pPr>
      <w:r>
        <w:rPr>
          <w:rFonts w:ascii="IRNazanin" w:hAnsi="IRNazanin" w:eastAsia="IRNazanin" w:cs="IRNazanin"/>
          <w:lang w:bidi="fa-IR"/>
          <w:color w:val="111111"/>
          <w:sz w:val="28"/>
          <w:szCs w:val="28"/>
          <w:rtl/>
        </w:rPr>
        <w:t xml:space="preserve">ج 4، ص 291.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تقرير العقائد الدينية بالبراهين</w:t>
      </w:r>
    </w:p>
    <w:p>
      <w:pPr>
        <w:pStyle w:val="BookText"/>
      </w:pPr>
      <w:r>
        <w:rPr>
          <w:rFonts w:ascii="Amiri" w:hAnsi="Amiri" w:eastAsia="Amiri" w:cs="Amiri"/>
          <w:lang w:bidi="ar-SA"/>
          <w:color w:val="111111"/>
          <w:sz w:val="28"/>
          <w:szCs w:val="28"/>
          <w:rtl/>
        </w:rPr>
        <w:t xml:space="preserve">القاطعة، ج 4، ص 775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جرج الرؤس في العزاء الحسيني</w:t>
      </w:r>
    </w:p>
    <w:p>
      <w:pPr>
        <w:pStyle w:val="BookText"/>
      </w:pPr>
      <w:r>
        <w:rPr>
          <w:rFonts w:ascii="IRNazanin" w:hAnsi="IRNazanin" w:eastAsia="IRNazanin" w:cs="IRNazanin"/>
          <w:lang w:bidi="fa-IR"/>
          <w:color w:val="111111"/>
          <w:sz w:val="28"/>
          <w:szCs w:val="28"/>
          <w:rtl/>
        </w:rPr>
        <w:t xml:space="preserve">ج 5، ص 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جواز التعليق في العقود و عدمه</w:t>
      </w:r>
    </w:p>
    <w:p>
      <w:pPr>
        <w:pStyle w:val="BookText"/>
      </w:pPr>
      <w:r>
        <w:rPr>
          <w:rFonts w:ascii="IRNazanin" w:hAnsi="IRNazanin" w:eastAsia="IRNazanin" w:cs="IRNazanin"/>
          <w:lang w:bidi="fa-IR"/>
          <w:color w:val="111111"/>
          <w:sz w:val="28"/>
          <w:szCs w:val="28"/>
          <w:rtl/>
        </w:rPr>
        <w:t xml:space="preserve">ج 5، ص 515.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الحج، ج 6، ص 477</w:t>
      </w:r>
    </w:p>
    <w:p>
      <w:pPr>
        <w:pStyle w:val="BookText"/>
      </w:pPr>
      <w:r>
        <w:rPr>
          <w:rFonts w:ascii="Amiri" w:hAnsi="Amiri" w:eastAsia="Amiri" w:cs="Amiri"/>
          <w:lang w:bidi="ar-SA"/>
          <w:color w:val="111111"/>
          <w:sz w:val="28"/>
          <w:szCs w:val="28"/>
          <w:rtl/>
        </w:rPr>
        <w:t xml:space="preserve">10 .حجية الاخبار، ج 6 ، ص 492.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الحقيقة المجاز و علاماتها و</w:t>
      </w:r>
    </w:p>
    <w:p>
      <w:pPr>
        <w:pStyle w:val="BookText"/>
      </w:pPr>
      <w:r>
        <w:rPr>
          <w:rFonts w:ascii="IRNazanin" w:hAnsi="IRNazanin" w:eastAsia="IRNazanin" w:cs="IRNazanin"/>
          <w:lang w:bidi="fa-IR"/>
          <w:color w:val="111111"/>
          <w:sz w:val="28"/>
          <w:szCs w:val="28"/>
          <w:rtl/>
        </w:rPr>
        <w:t xml:space="preserve">علاقاتها، ج6، ص 712.</w:t>
      </w:r>
    </w:p>
    <w:p>
      <w:pPr>
        <w:pStyle w:val="BookText"/>
      </w:pPr>
      <w:r>
        <w:rPr>
          <w:rFonts w:ascii="Amiri" w:hAnsi="Amiri" w:eastAsia="Amiri" w:cs="Amiri"/>
          <w:lang w:bidi="ar-SA"/>
          <w:color w:val="111111"/>
          <w:sz w:val="28"/>
          <w:szCs w:val="28"/>
          <w:rtl/>
        </w:rPr>
        <w:t xml:space="preserve">12 .الدرة البيضاء، ج 7، ص 229.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الرجوع على الزوجة المطلقة</w:t>
      </w:r>
    </w:p>
    <w:p>
      <w:pPr>
        <w:pStyle w:val="BookText"/>
      </w:pPr>
      <w:r>
        <w:rPr>
          <w:rFonts w:ascii="Amiri" w:hAnsi="Amiri" w:eastAsia="Amiri" w:cs="Amiri"/>
          <w:lang w:bidi="ar-SA"/>
          <w:color w:val="111111"/>
          <w:sz w:val="28"/>
          <w:szCs w:val="28"/>
          <w:rtl/>
        </w:rPr>
        <w:t xml:space="preserve">رجعية، ج8، ص 63 .</w:t>
      </w:r>
    </w:p>
    <w:p>
      <w:pPr>
        <w:pStyle w:val="BookText"/>
      </w:pPr>
      <w:r>
        <w:rPr>
          <w:rFonts w:ascii="Amiri" w:hAnsi="Amiri" w:eastAsia="Amiri" w:cs="Amiri"/>
          <w:lang w:bidi="ar-SA"/>
          <w:color w:val="111111"/>
          <w:sz w:val="28"/>
          <w:szCs w:val="28"/>
          <w:rtl/>
        </w:rPr>
        <w:t xml:space="preserve">14 . رجوم الشياطين و افناء المارقين</w:t>
      </w:r>
    </w:p>
    <w:p>
      <w:pPr>
        <w:pStyle w:val="BookText"/>
      </w:pPr>
      <w:r>
        <w:rPr>
          <w:rFonts w:ascii="IRNazanin" w:hAnsi="IRNazanin" w:eastAsia="IRNazanin" w:cs="IRNazanin"/>
          <w:lang w:bidi="fa-IR"/>
          <w:color w:val="111111"/>
          <w:sz w:val="28"/>
          <w:szCs w:val="28"/>
          <w:rtl/>
        </w:rPr>
        <w:t xml:space="preserve">ج 8، ص 64 .</w:t>
      </w:r>
    </w:p>
    <w:p>
      <w:pPr>
        <w:pStyle w:val="BookText"/>
      </w:pPr>
      <w:r>
        <w:rPr>
          <w:rFonts w:ascii="Amiri" w:hAnsi="Amiri" w:eastAsia="Amiri" w:cs="Amiri"/>
          <w:lang w:bidi="ar-SA"/>
          <w:color w:val="111111"/>
          <w:sz w:val="28"/>
          <w:szCs w:val="28"/>
          <w:rtl/>
        </w:rPr>
        <w:t xml:space="preserve">15 .سبيل الرشاد = الفقه الاستدلالي</w:t>
      </w:r>
    </w:p>
    <w:p>
      <w:pPr>
        <w:pStyle w:val="BookText"/>
      </w:pPr>
      <w:r>
        <w:rPr>
          <w:rFonts w:ascii="IRNazanin" w:hAnsi="IRNazanin" w:eastAsia="IRNazanin" w:cs="IRNazanin"/>
          <w:lang w:bidi="fa-IR"/>
          <w:color w:val="111111"/>
          <w:sz w:val="28"/>
          <w:szCs w:val="28"/>
          <w:rtl/>
        </w:rPr>
        <w:t xml:space="preserve">ج 8، ص 707.</w:t>
      </w:r>
    </w:p>
    <w:p>
      <w:pPr>
        <w:pStyle w:val="BookText"/>
      </w:pPr>
      <w:r>
        <w:rPr>
          <w:rFonts w:ascii="IRNazanin" w:hAnsi="IRNazanin" w:eastAsia="IRNazanin" w:cs="IRNazanin"/>
          <w:lang w:bidi="fa-IR"/>
          <w:color w:val="111111"/>
          <w:sz w:val="28"/>
          <w:szCs w:val="28"/>
          <w:rtl/>
        </w:rPr>
        <w:t xml:space="preserve">16 .سهام نافذه، ج8، ص 851</w:t>
      </w:r>
    </w:p>
    <w:p>
      <w:pPr>
        <w:pStyle w:val="BookText"/>
      </w:pPr>
      <w:r>
        <w:rPr>
          <w:rFonts w:ascii="Amiri" w:hAnsi="Amiri" w:eastAsia="Amiri" w:cs="Amiri"/>
          <w:lang w:bidi="ar-SA"/>
          <w:color w:val="111111"/>
          <w:sz w:val="28"/>
          <w:szCs w:val="28"/>
          <w:rtl/>
        </w:rPr>
        <w:t xml:space="preserve">17 .شهاب مبين، ج 10، ص 431 .</w:t>
      </w:r>
    </w:p>
    <w:p>
      <w:pPr>
        <w:pStyle w:val="BookText"/>
      </w:pPr>
      <w:r>
        <w:rPr>
          <w:rFonts w:ascii="Amiri" w:hAnsi="Amiri" w:eastAsia="Amiri" w:cs="Amiri"/>
          <w:lang w:bidi="ar-SA"/>
          <w:color w:val="111111"/>
          <w:sz w:val="28"/>
          <w:szCs w:val="28"/>
          <w:rtl/>
        </w:rPr>
        <w:t xml:space="preserve">18 .طرق روايات (رسالة في)، ج 10،</w:t>
      </w:r>
    </w:p>
    <w:p>
      <w:pPr>
        <w:pStyle w:val="BookText"/>
      </w:pPr>
      <w:r>
        <w:rPr>
          <w:rFonts w:ascii="IRNazanin" w:hAnsi="IRNazanin" w:eastAsia="IRNazanin" w:cs="IRNazanin"/>
          <w:lang w:bidi="fa-IR"/>
          <w:color w:val="111111"/>
          <w:sz w:val="28"/>
          <w:szCs w:val="28"/>
          <w:rtl/>
        </w:rPr>
        <w:t xml:space="preserve">ص 815</w:t>
      </w:r>
    </w:p>
    <w:p>
      <w:pPr>
        <w:pStyle w:val="BookText"/>
      </w:pPr>
      <w:r>
        <w:rPr>
          <w:rFonts w:ascii="Amiri" w:hAnsi="Amiri" w:eastAsia="Amiri" w:cs="Amiri"/>
          <w:lang w:bidi="ar-SA"/>
          <w:color w:val="111111"/>
          <w:sz w:val="28"/>
          <w:szCs w:val="28"/>
          <w:rtl/>
        </w:rPr>
        <w:t xml:space="preserve">19 .الطهارة، ج 10، ص 858.</w:t>
      </w:r>
    </w:p>
    <w:p>
      <w:pPr>
        <w:pStyle w:val="BookText"/>
      </w:pPr>
      <w:r>
        <w:rPr>
          <w:rFonts w:ascii="Amiri" w:hAnsi="Amiri" w:eastAsia="Amiri" w:cs="Amiri"/>
          <w:lang w:bidi="ar-SA"/>
          <w:color w:val="111111"/>
          <w:sz w:val="28"/>
          <w:szCs w:val="28"/>
          <w:rtl/>
        </w:rPr>
        <w:t xml:space="preserve">20 .علم الأئمة (رسالة في)، ج11،</w:t>
      </w:r>
    </w:p>
    <w:p>
      <w:pPr>
        <w:pStyle w:val="BookText"/>
      </w:pPr>
      <w:r>
        <w:rPr>
          <w:rFonts w:ascii="IRNazanin" w:hAnsi="IRNazanin" w:eastAsia="IRNazanin" w:cs="IRNazanin"/>
          <w:lang w:bidi="fa-IR"/>
          <w:color w:val="111111"/>
          <w:sz w:val="28"/>
          <w:szCs w:val="28"/>
          <w:rtl/>
        </w:rPr>
        <w:t xml:space="preserve">ص 227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7" w:name="pg7742_69738"/>
    <w:bookmarkEnd w:id="177"/>
    <w:p>
      <w:pPr>
        <w:pStyle w:val="BookText"/>
      </w:pPr>
      <w:r>
        <w:rPr>
          <w:rFonts w:ascii="Amiri" w:hAnsi="Amiri" w:eastAsia="Amiri" w:cs="Amiri"/>
          <w:lang w:bidi="ar-SA"/>
          <w:color w:val="111111"/>
          <w:sz w:val="28"/>
          <w:szCs w:val="28"/>
          <w:rtl/>
        </w:rPr>
        <w:t xml:space="preserve">21 .الفائدة في الأرادة، ج11، ص 573.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فضائل أمير المؤمنين (ع)، ج12،</w:t>
      </w:r>
    </w:p>
    <w:p>
      <w:pPr>
        <w:pStyle w:val="BookText"/>
      </w:pPr>
      <w:r>
        <w:rPr>
          <w:rFonts w:ascii="IRNazanin" w:hAnsi="IRNazanin" w:eastAsia="IRNazanin" w:cs="IRNazanin"/>
          <w:lang w:bidi="fa-IR"/>
          <w:color w:val="111111"/>
          <w:sz w:val="28"/>
          <w:szCs w:val="28"/>
          <w:rtl/>
        </w:rPr>
        <w:t xml:space="preserve">ص 4.</w:t>
      </w:r>
    </w:p>
    <w:p>
      <w:pPr>
        <w:pStyle w:val="BookText"/>
      </w:pPr>
      <w:r>
        <w:rPr>
          <w:rFonts w:ascii="Amiri" w:hAnsi="Amiri" w:eastAsia="Amiri" w:cs="Amiri"/>
          <w:lang w:bidi="ar-SA"/>
          <w:color w:val="111111"/>
          <w:sz w:val="28"/>
          <w:szCs w:val="28"/>
          <w:rtl/>
        </w:rPr>
        <w:t xml:space="preserve">23 .قبسات النار في رد الفجار، ج12،</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Amiri" w:hAnsi="Amiri" w:eastAsia="Amiri" w:cs="Amiri"/>
          <w:lang w:bidi="ar-SA"/>
          <w:color w:val="111111"/>
          <w:sz w:val="28"/>
          <w:szCs w:val="28"/>
          <w:rtl/>
        </w:rPr>
        <w:t xml:space="preserve">24 .قرار احد الشريكين بحصة لثالث و</w:t>
      </w:r>
    </w:p>
    <w:p>
      <w:pPr>
        <w:pStyle w:val="BookText"/>
      </w:pPr>
      <w:r>
        <w:rPr>
          <w:rFonts w:ascii="Amiri" w:hAnsi="Amiri" w:eastAsia="Amiri" w:cs="Amiri"/>
          <w:lang w:bidi="ar-SA"/>
          <w:color w:val="111111"/>
          <w:sz w:val="28"/>
          <w:szCs w:val="28"/>
          <w:rtl/>
        </w:rPr>
        <w:t xml:space="preserve">انكار الآخر، ج 12، ص 561.</w:t>
      </w:r>
    </w:p>
    <w:p>
      <w:pPr>
        <w:pStyle w:val="BookText"/>
      </w:pPr>
      <w:r>
        <w:rPr>
          <w:rFonts w:ascii="Amiri" w:hAnsi="Amiri" w:eastAsia="Amiri" w:cs="Amiri"/>
          <w:lang w:bidi="ar-SA"/>
          <w:color w:val="111111"/>
          <w:sz w:val="28"/>
          <w:szCs w:val="28"/>
          <w:rtl/>
        </w:rPr>
        <w:t xml:space="preserve">25 .كفن الميت (رسالة في)، ج 13،</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المزارعة( رسالة في)، ج 14، ص 419.</w:t>
      </w:r>
    </w:p>
    <w:p>
      <w:pPr>
        <w:pStyle w:val="BookText"/>
      </w:pPr>
      <w:r>
        <w:rPr>
          <w:rFonts w:ascii="Amiri" w:hAnsi="Amiri" w:eastAsia="Amiri" w:cs="Amiri"/>
          <w:lang w:bidi="ar-SA"/>
          <w:color w:val="111111"/>
          <w:sz w:val="28"/>
          <w:szCs w:val="28"/>
          <w:rtl/>
        </w:rPr>
        <w:t xml:space="preserve">27 .مسائل إذا أقر أحد «أنت شريكي»،</w:t>
      </w:r>
    </w:p>
    <w:p>
      <w:pPr>
        <w:pStyle w:val="BookText"/>
      </w:pPr>
      <w:r>
        <w:rPr>
          <w:rFonts w:ascii="IRNazanin" w:hAnsi="IRNazanin" w:eastAsia="IRNazanin" w:cs="IRNazanin"/>
          <w:lang w:bidi="fa-IR"/>
          <w:color w:val="111111"/>
          <w:sz w:val="28"/>
          <w:szCs w:val="28"/>
          <w:rtl/>
        </w:rPr>
        <w:t xml:space="preserve">ج 14، ص 434 .</w:t>
      </w:r>
    </w:p>
    <w:p>
      <w:pPr>
        <w:pStyle w:val="BookText"/>
      </w:pPr>
      <w:r>
        <w:rPr>
          <w:rFonts w:ascii="Amiri" w:hAnsi="Amiri" w:eastAsia="Amiri" w:cs="Amiri"/>
          <w:lang w:bidi="ar-SA"/>
          <w:color w:val="111111"/>
          <w:sz w:val="28"/>
          <w:szCs w:val="28"/>
          <w:rtl/>
        </w:rPr>
        <w:t xml:space="preserve">28 .المسائل الاصولية، ج 14، ص 436 .</w:t>
      </w:r>
    </w:p>
    <w:p>
      <w:pPr>
        <w:pStyle w:val="BookText"/>
      </w:pPr>
      <w:r>
        <w:rPr>
          <w:rFonts w:ascii="Amiri" w:hAnsi="Amiri" w:eastAsia="Amiri" w:cs="Amiri"/>
          <w:lang w:bidi="ar-SA"/>
          <w:color w:val="111111"/>
          <w:sz w:val="28"/>
          <w:szCs w:val="28"/>
          <w:rtl/>
        </w:rPr>
        <w:t xml:space="preserve">29 .المسائل السكوية، ج 14، ص 453.</w:t>
      </w:r>
    </w:p>
    <w:p>
      <w:pPr>
        <w:pStyle w:val="BookText"/>
      </w:pPr>
      <w:r>
        <w:rPr>
          <w:rFonts w:ascii="Amiri" w:hAnsi="Amiri" w:eastAsia="Amiri" w:cs="Amiri"/>
          <w:lang w:bidi="ar-SA"/>
          <w:color w:val="111111"/>
          <w:sz w:val="28"/>
          <w:szCs w:val="28"/>
          <w:rtl/>
        </w:rPr>
        <w:t xml:space="preserve">30 .مسائل مختلفة، ج 14، ص 486.</w:t>
      </w:r>
    </w:p>
    <w:p>
      <w:pPr>
        <w:pStyle w:val="BookText"/>
      </w:pPr>
      <w:r>
        <w:rPr>
          <w:rFonts w:ascii="Amiri" w:hAnsi="Amiri" w:eastAsia="Amiri" w:cs="Amiri"/>
          <w:lang w:bidi="ar-SA"/>
          <w:color w:val="111111"/>
          <w:sz w:val="28"/>
          <w:szCs w:val="28"/>
          <w:rtl/>
        </w:rPr>
        <w:t xml:space="preserve">31 .مسألة في رضا فاطمة و غضبها،</w:t>
      </w:r>
    </w:p>
    <w:p>
      <w:pPr>
        <w:pStyle w:val="BookText"/>
      </w:pPr>
      <w:r>
        <w:rPr>
          <w:rFonts w:ascii="IRNazanin" w:hAnsi="IRNazanin" w:eastAsia="IRNazanin" w:cs="IRNazanin"/>
          <w:lang w:bidi="fa-IR"/>
          <w:color w:val="111111"/>
          <w:sz w:val="28"/>
          <w:szCs w:val="28"/>
          <w:rtl/>
        </w:rPr>
        <w:t xml:space="preserve">ج 14، ص 543.</w:t>
      </w:r>
    </w:p>
    <w:p>
      <w:pPr>
        <w:pStyle w:val="BookText"/>
      </w:pPr>
      <w:r>
        <w:rPr>
          <w:rFonts w:ascii="Amiri" w:hAnsi="Amiri" w:eastAsia="Amiri" w:cs="Amiri"/>
          <w:lang w:bidi="ar-SA"/>
          <w:color w:val="111111"/>
          <w:sz w:val="28"/>
          <w:szCs w:val="28"/>
          <w:rtl/>
        </w:rPr>
        <w:t xml:space="preserve">32 .مسألة في مخالفة الثاني للرسول</w:t>
      </w:r>
    </w:p>
    <w:p>
      <w:pPr>
        <w:pStyle w:val="BookText"/>
      </w:pPr>
      <w:r>
        <w:rPr>
          <w:rFonts w:ascii="IRNazanin" w:hAnsi="IRNazanin" w:eastAsia="IRNazanin" w:cs="IRNazanin"/>
          <w:lang w:bidi="fa-IR"/>
          <w:color w:val="111111"/>
          <w:sz w:val="28"/>
          <w:szCs w:val="28"/>
          <w:rtl/>
        </w:rPr>
        <w:t xml:space="preserve">ج 14، ص 544.</w:t>
      </w:r>
    </w:p>
    <w:p>
      <w:pPr>
        <w:pStyle w:val="BookText"/>
      </w:pPr>
      <w:r>
        <w:rPr>
          <w:rFonts w:ascii="Amiri" w:hAnsi="Amiri" w:eastAsia="Amiri" w:cs="Amiri"/>
          <w:lang w:bidi="ar-SA"/>
          <w:color w:val="111111"/>
          <w:sz w:val="28"/>
          <w:szCs w:val="28"/>
          <w:rtl/>
        </w:rPr>
        <w:t xml:space="preserve">33 .مشايخ الرواية للشيخ ابوالقاسم</w:t>
      </w:r>
    </w:p>
    <w:p>
      <w:pPr>
        <w:pStyle w:val="BookText"/>
      </w:pPr>
      <w:r>
        <w:rPr>
          <w:rFonts w:ascii="Amiri" w:hAnsi="Amiri" w:eastAsia="Amiri" w:cs="Amiri"/>
          <w:lang w:bidi="ar-SA"/>
          <w:color w:val="111111"/>
          <w:sz w:val="28"/>
          <w:szCs w:val="28"/>
          <w:rtl/>
        </w:rPr>
        <w:t xml:space="preserve">الأردوبادي، ج 14، ص 619.</w:t>
      </w:r>
    </w:p>
    <w:p>
      <w:pPr>
        <w:pStyle w:val="BookText"/>
      </w:pPr>
      <w:r>
        <w:rPr>
          <w:rFonts w:ascii="Amiri" w:hAnsi="Amiri" w:eastAsia="Amiri" w:cs="Amiri"/>
          <w:lang w:bidi="ar-SA"/>
          <w:color w:val="111111"/>
          <w:sz w:val="28"/>
          <w:szCs w:val="28"/>
          <w:rtl/>
        </w:rPr>
        <w:t xml:space="preserve">34 .مقدمة فى الارادة و حقيقتها</w:t>
      </w:r>
    </w:p>
    <w:p>
      <w:pPr>
        <w:pStyle w:val="BookText"/>
      </w:pPr>
      <w:r>
        <w:rPr>
          <w:rFonts w:ascii="IRNazanin" w:hAnsi="IRNazanin" w:eastAsia="IRNazanin" w:cs="IRNazanin"/>
          <w:lang w:bidi="fa-IR"/>
          <w:color w:val="111111"/>
          <w:sz w:val="28"/>
          <w:szCs w:val="28"/>
          <w:rtl/>
        </w:rPr>
        <w:t xml:space="preserve">ج 15 ، ص 361.</w:t>
      </w:r>
    </w:p>
    <w:p>
      <w:pPr>
        <w:pStyle w:val="BookText"/>
      </w:pPr>
      <w:r>
        <w:rPr>
          <w:rFonts w:ascii="Amiri" w:hAnsi="Amiri" w:eastAsia="Amiri" w:cs="Amiri"/>
          <w:lang w:bidi="ar-SA"/>
          <w:color w:val="111111"/>
          <w:sz w:val="28"/>
          <w:szCs w:val="28"/>
          <w:rtl/>
        </w:rPr>
        <w:t xml:space="preserve">35 .ملخص الاحكام، ج 15 ، ص 456.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من فعل فعلا فقد فعل ما يستلزم</w:t>
      </w:r>
    </w:p>
    <w:p>
      <w:pPr>
        <w:pStyle w:val="BookText"/>
      </w:pPr>
      <w:r>
        <w:rPr>
          <w:rFonts w:ascii="Amiri" w:hAnsi="Amiri" w:eastAsia="Amiri" w:cs="Amiri"/>
          <w:lang w:bidi="ar-SA"/>
          <w:color w:val="111111"/>
          <w:sz w:val="28"/>
          <w:szCs w:val="28"/>
          <w:rtl/>
        </w:rPr>
        <w:t xml:space="preserve">(مسألة في)، ج 15، ص 731.</w:t>
      </w:r>
    </w:p>
    <w:p>
      <w:pPr>
        <w:pStyle w:val="BookText"/>
      </w:pPr>
      <w:r>
        <w:rPr>
          <w:rFonts w:ascii="Amiri" w:hAnsi="Amiri" w:eastAsia="Amiri" w:cs="Amiri"/>
          <w:lang w:bidi="ar-SA"/>
          <w:color w:val="111111"/>
          <w:sz w:val="28"/>
          <w:szCs w:val="28"/>
          <w:rtl/>
        </w:rPr>
        <w:t xml:space="preserve">37 .منهاج اليقين في الرد على</w:t>
      </w:r>
    </w:p>
    <w:p>
      <w:pPr>
        <w:pStyle w:val="BookText"/>
      </w:pPr>
      <w:r>
        <w:rPr>
          <w:rFonts w:ascii="IRNazanin" w:hAnsi="IRNazanin" w:eastAsia="IRNazanin" w:cs="IRNazanin"/>
          <w:lang w:bidi="fa-IR"/>
          <w:color w:val="111111"/>
          <w:sz w:val="28"/>
          <w:szCs w:val="28"/>
          <w:rtl/>
        </w:rPr>
        <w:t xml:space="preserve">الشبهات، ج 15 ، ص 791 .</w:t>
      </w:r>
    </w:p>
    <w:p>
      <w:pPr>
        <w:pStyle w:val="BookText"/>
      </w:pPr>
      <w:r>
        <w:rPr>
          <w:rFonts w:ascii="IRNazanin" w:hAnsi="IRNazanin" w:eastAsia="IRNazanin" w:cs="IRNazanin"/>
          <w:lang w:bidi="fa-IR"/>
          <w:color w:val="111111"/>
          <w:sz w:val="28"/>
          <w:szCs w:val="28"/>
          <w:rtl/>
        </w:rPr>
        <w:t xml:space="preserve">38 .منهج السداد، ج 15، ص 798</w:t>
      </w:r>
    </w:p>
    <w:p>
      <w:pPr>
        <w:pStyle w:val="BookText"/>
      </w:pPr>
      <w:r>
        <w:rPr>
          <w:rFonts w:ascii="Amiri" w:hAnsi="Amiri" w:eastAsia="Amiri" w:cs="Amiri"/>
          <w:lang w:bidi="ar-SA"/>
          <w:color w:val="111111"/>
          <w:sz w:val="28"/>
          <w:szCs w:val="28"/>
          <w:rtl/>
        </w:rPr>
        <w:t xml:space="preserve">39 .النجس و النجاسة (رسالة في)</w:t>
      </w:r>
    </w:p>
    <w:p>
      <w:pPr>
        <w:pStyle w:val="BookText"/>
      </w:pPr>
      <w:r>
        <w:rPr>
          <w:rFonts w:ascii="IRNazanin" w:hAnsi="IRNazanin" w:eastAsia="IRNazanin" w:cs="IRNazanin"/>
          <w:lang w:bidi="fa-IR"/>
          <w:color w:val="111111"/>
          <w:sz w:val="28"/>
          <w:szCs w:val="28"/>
          <w:rtl/>
        </w:rPr>
        <w:t xml:space="preserve">ج 16، ص 156.</w:t>
      </w:r>
    </w:p>
    <w:p>
      <w:pPr>
        <w:pStyle w:val="BookText"/>
      </w:pPr>
      <w:r>
        <w:rPr>
          <w:rFonts w:ascii="Amiri" w:hAnsi="Amiri" w:eastAsia="Amiri" w:cs="Amiri"/>
          <w:lang w:bidi="ar-SA"/>
          <w:color w:val="111111"/>
          <w:sz w:val="28"/>
          <w:szCs w:val="28"/>
          <w:rtl/>
        </w:rPr>
        <w:t xml:space="preserve">40 .النجم الثاقب في نفائس المناقب</w:t>
      </w:r>
    </w:p>
    <w:p>
      <w:pPr>
        <w:pStyle w:val="BookText"/>
      </w:pPr>
      <w:r>
        <w:rPr>
          <w:rFonts w:ascii="IRNazanin" w:hAnsi="IRNazanin" w:eastAsia="IRNazanin" w:cs="IRNazanin"/>
          <w:lang w:bidi="fa-IR"/>
          <w:color w:val="111111"/>
          <w:sz w:val="28"/>
          <w:szCs w:val="28"/>
          <w:rtl/>
        </w:rPr>
        <w:t xml:space="preserve">ج 16، ص 157 .</w:t>
      </w:r>
    </w:p>
    <w:p>
      <w:pPr>
        <w:pStyle w:val="BookText"/>
      </w:pPr>
      <w:r>
        <w:rPr>
          <w:rFonts w:ascii="Amiri" w:hAnsi="Amiri" w:eastAsia="Amiri" w:cs="Amiri"/>
          <w:lang w:bidi="ar-SA"/>
          <w:color w:val="111111"/>
          <w:sz w:val="28"/>
          <w:szCs w:val="28"/>
          <w:rtl/>
        </w:rPr>
        <w:t xml:space="preserve">41 .نور الضياء، ج 16، ص 561.</w:t>
      </w:r>
    </w:p>
    <w:p>
      <w:pPr>
        <w:pStyle w:val="BookText"/>
      </w:pPr>
      <w:r>
        <w:rPr>
          <w:rFonts w:ascii="Amiri" w:hAnsi="Amiri" w:eastAsia="Amiri" w:cs="Amiri"/>
          <w:lang w:bidi="ar-SA"/>
          <w:color w:val="111111"/>
          <w:sz w:val="28"/>
          <w:szCs w:val="28"/>
          <w:rtl/>
        </w:rPr>
        <w:t xml:space="preserve">42 .وجيزة في التعادل و الترجيح، ج 16،</w:t>
      </w:r>
    </w:p>
    <w:p>
      <w:pPr>
        <w:pStyle w:val="BookText"/>
      </w:pPr>
      <w:r>
        <w:rPr>
          <w:rFonts w:ascii="IRNazanin" w:hAnsi="IRNazanin" w:eastAsia="IRNazanin" w:cs="IRNazanin"/>
          <w:lang w:bidi="fa-IR"/>
          <w:color w:val="111111"/>
          <w:sz w:val="28"/>
          <w:szCs w:val="28"/>
          <w:rtl/>
        </w:rPr>
        <w:t xml:space="preserve">ص 742.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الوصية بحرمان بعض الورثه و اعطاء البعض الآخر اكثر مما فرض</w:t>
      </w:r>
    </w:p>
    <w:p>
      <w:pPr>
        <w:pStyle w:val="BookText"/>
      </w:pPr>
      <w:r>
        <w:rPr>
          <w:rFonts w:ascii="IRNazanin" w:hAnsi="IRNazanin" w:eastAsia="IRNazanin" w:cs="IRNazanin"/>
          <w:lang w:bidi="fa-IR"/>
          <w:color w:val="111111"/>
          <w:sz w:val="28"/>
          <w:szCs w:val="28"/>
          <w:rtl/>
        </w:rPr>
        <w:t xml:space="preserve">الله، ج 16، ص 814.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وضع الاسماء و اقسامه ج16</w:t>
      </w:r>
    </w:p>
    <w:p>
      <w:pPr>
        <w:pStyle w:val="BookText"/>
      </w:pPr>
      <w:r>
        <w:rPr>
          <w:rFonts w:ascii="IRNazanin" w:hAnsi="IRNazanin" w:eastAsia="IRNazanin" w:cs="IRNazanin"/>
          <w:lang w:bidi="fa-IR"/>
          <w:color w:val="111111"/>
          <w:sz w:val="28"/>
          <w:szCs w:val="28"/>
          <w:rtl/>
        </w:rPr>
        <w:t xml:space="preserve">ص 827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وقت صلاة الظهرين (رسالة في)،</w:t>
      </w:r>
    </w:p>
    <w:p>
      <w:pPr>
        <w:pStyle w:val="BookText"/>
      </w:pPr>
      <w:r>
        <w:rPr>
          <w:rFonts w:ascii="IRNazanin" w:hAnsi="IRNazanin" w:eastAsia="IRNazanin" w:cs="IRNazanin"/>
          <w:lang w:bidi="fa-IR"/>
          <w:color w:val="111111"/>
          <w:sz w:val="28"/>
          <w:szCs w:val="28"/>
          <w:rtl/>
        </w:rPr>
        <w:t xml:space="preserve">ج 16، ص 865.</w:t>
      </w:r>
    </w:p>
    <w:p>
      <w:pPr>
        <w:pStyle w:val="BookText"/>
      </w:pPr>
      <w:r>
        <w:rPr>
          <w:rFonts w:ascii="Amiri" w:hAnsi="Amiri" w:eastAsia="Amiri" w:cs="Amiri"/>
          <w:lang w:bidi="ar-SA"/>
          <w:color w:val="111111"/>
          <w:sz w:val="28"/>
          <w:szCs w:val="28"/>
          <w:rtl/>
        </w:rPr>
        <w:t xml:space="preserve">اردوبادي ، ضياء -ضياء اردوبادي</w:t>
      </w:r>
    </w:p>
    <w:p>
      <w:pPr>
        <w:pStyle w:val="Heading2"/>
      </w:pPr>
      <w:bookmarkStart w:id="2076" w:name="_Toc1178"/>
      <w:r>
        <w:t>اردوبادي ، محمّد علي بن ابوالقاسم</w:t>
      </w:r>
      <w:bookmarkEnd w:id="2076"/>
    </w:p>
    <w:p>
      <w:pPr>
        <w:pStyle w:val="BookText"/>
      </w:pPr>
      <w:r>
        <w:rPr>
          <w:rFonts w:ascii="IRNazanin" w:hAnsi="IRNazanin" w:eastAsia="IRNazanin" w:cs="IRNazanin"/>
          <w:lang w:bidi="fa-IR"/>
          <w:color w:val="111111"/>
          <w:sz w:val="28"/>
          <w:szCs w:val="28"/>
          <w:rtl/>
        </w:rPr>
        <w:t xml:space="preserve">1312 - 1380 ه-</w:t>
      </w:r>
    </w:p>
    <w:p>
      <w:pPr>
        <w:pStyle w:val="BookText"/>
      </w:pPr>
      <w:r>
        <w:rPr>
          <w:rFonts w:ascii="Amiri" w:hAnsi="Amiri" w:eastAsia="Amiri" w:cs="Amiri"/>
          <w:lang w:bidi="ar-SA"/>
          <w:color w:val="111111"/>
          <w:sz w:val="28"/>
          <w:szCs w:val="28"/>
          <w:rtl/>
        </w:rPr>
        <w:t xml:space="preserve">المثل الأعلى في ترجمة أبي يعلي، ج13،</w:t>
      </w:r>
    </w:p>
    <w:p>
      <w:pPr>
        <w:pStyle w:val="BookText"/>
      </w:pPr>
      <w:r>
        <w:rPr>
          <w:rFonts w:ascii="IRNazanin" w:hAnsi="IRNazanin" w:eastAsia="IRNazanin" w:cs="IRNazanin"/>
          <w:lang w:bidi="fa-IR"/>
          <w:color w:val="111111"/>
          <w:sz w:val="28"/>
          <w:szCs w:val="28"/>
          <w:rtl/>
        </w:rPr>
        <w:t xml:space="preserve">ص 768 .</w:t>
      </w:r>
    </w:p>
    <w:p>
      <w:pPr>
        <w:pStyle w:val="BookText"/>
      </w:pPr>
      <w:r>
        <w:rPr>
          <w:rFonts w:ascii="IRNazanin" w:hAnsi="IRNazanin" w:eastAsia="IRNazanin" w:cs="IRNazanin"/>
          <w:lang w:bidi="fa-IR"/>
          <w:color w:val="111111"/>
          <w:sz w:val="28"/>
          <w:szCs w:val="28"/>
          <w:rtl/>
        </w:rPr>
        <w:t xml:space="preserve">ارزاني ، محمّد اکبر- شاه ارزاني ، محمّد</w:t>
      </w:r>
    </w:p>
    <w:p>
      <w:pPr>
        <w:pStyle w:val="BookText"/>
      </w:pPr>
      <w:r>
        <w:rPr>
          <w:rFonts w:ascii="IRNazanin" w:hAnsi="IRNazanin" w:eastAsia="IRNazanin" w:cs="IRNazanin"/>
          <w:lang w:bidi="fa-IR"/>
          <w:color w:val="111111"/>
          <w:sz w:val="28"/>
          <w:szCs w:val="28"/>
          <w:rtl/>
        </w:rPr>
        <w:t xml:space="preserve">اکبر بن محمّد</w:t>
      </w:r>
    </w:p>
    <w:p>
      <w:pPr>
        <w:pStyle w:val="Heading2"/>
      </w:pPr>
      <w:bookmarkStart w:id="2077" w:name="_Toc1179"/>
      <w:r>
        <w:t>ارزنجاني ، محمّد صادق بن عبدالرحيم</w:t>
      </w:r>
      <w:bookmarkEnd w:id="2077"/>
    </w:p>
    <w:p>
      <w:pPr>
        <w:pStyle w:val="BookText"/>
      </w:pPr>
      <w:r>
        <w:rPr>
          <w:rFonts w:ascii="IRNazanin" w:hAnsi="IRNazanin" w:eastAsia="IRNazanin" w:cs="IRNazanin"/>
          <w:lang w:bidi="fa-IR"/>
          <w:color w:val="111111"/>
          <w:sz w:val="28"/>
          <w:szCs w:val="28"/>
          <w:rtl/>
        </w:rPr>
        <w:t xml:space="preserve">1209ه-</w:t>
      </w:r>
    </w:p>
    <w:p>
      <w:pPr>
        <w:pStyle w:val="BookText"/>
      </w:pPr>
      <w:r>
        <w:rPr>
          <w:rFonts w:ascii="Amiri" w:hAnsi="Amiri" w:eastAsia="Amiri" w:cs="Amiri"/>
          <w:lang w:bidi="ar-SA"/>
          <w:color w:val="111111"/>
          <w:sz w:val="28"/>
          <w:szCs w:val="28"/>
          <w:rtl/>
        </w:rPr>
        <w:t xml:space="preserve">1 .حاشية شرح رسالة الاستعارة، ج6،</w:t>
      </w:r>
    </w:p>
    <w:p>
      <w:pPr>
        <w:pStyle w:val="BookText"/>
      </w:pPr>
      <w:r>
        <w:rPr>
          <w:rFonts w:ascii="IRNazanin" w:hAnsi="IRNazanin" w:eastAsia="IRNazanin" w:cs="IRNazanin"/>
          <w:lang w:bidi="fa-IR"/>
          <w:color w:val="111111"/>
          <w:sz w:val="28"/>
          <w:szCs w:val="28"/>
          <w:rtl/>
        </w:rPr>
        <w:t xml:space="preserve">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رسالة آداب البحث، ج9،</w:t>
      </w:r>
    </w:p>
    <w:p>
      <w:pPr>
        <w:pStyle w:val="BookText"/>
      </w:pPr>
      <w:r>
        <w:rPr>
          <w:rFonts w:ascii="IRNazanin" w:hAnsi="IRNazanin" w:eastAsia="IRNazanin" w:cs="IRNazanin"/>
          <w:lang w:bidi="fa-IR"/>
          <w:color w:val="111111"/>
          <w:sz w:val="28"/>
          <w:szCs w:val="28"/>
          <w:rtl/>
        </w:rPr>
        <w:t xml:space="preserve">ص 507.</w:t>
      </w:r>
    </w:p>
    <w:p>
      <w:pPr>
        <w:pStyle w:val="BookText"/>
      </w:pPr>
      <w:r>
        <w:rPr>
          <w:rFonts w:ascii="Amiri" w:hAnsi="Amiri" w:eastAsia="Amiri" w:cs="Amiri"/>
          <w:lang w:bidi="ar-SA"/>
          <w:color w:val="111111"/>
          <w:sz w:val="28"/>
          <w:szCs w:val="28"/>
          <w:rtl/>
        </w:rPr>
        <w:t xml:space="preserve">ارزن رومي ، ابراهيم حقي بن عثمان -حقي ، ابراهيم بن عثمان</w:t>
      </w:r>
    </w:p>
    <w:p>
      <w:pPr>
        <w:pStyle w:val="BookText"/>
      </w:pPr>
      <w:r>
        <w:rPr>
          <w:rFonts w:ascii="Amiri" w:hAnsi="Amiri" w:eastAsia="Amiri" w:cs="Amiri"/>
          <w:lang w:bidi="ar-SA"/>
          <w:color w:val="111111"/>
          <w:sz w:val="28"/>
          <w:szCs w:val="28"/>
          <w:rtl/>
        </w:rPr>
        <w:t xml:space="preserve">ارسطا طاليس- ارسطو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8" w:name="pg7742_69740"/>
    <w:bookmarkEnd w:id="178"/>
    <w:p>
      <w:pPr>
        <w:pStyle w:val="Heading2"/>
      </w:pPr>
      <w:bookmarkStart w:id="2078" w:name="_Toc1180"/>
      <w:r>
        <w:t>ارسطو، 384 - 322 ؟ قبل الميلاد</w:t>
      </w:r>
      <w:bookmarkEnd w:id="2078"/>
    </w:p>
    <w:p>
      <w:pPr>
        <w:pStyle w:val="BookText"/>
      </w:pPr>
      <w:r>
        <w:rPr>
          <w:rFonts w:ascii="IRNazanin" w:hAnsi="IRNazanin" w:eastAsia="IRNazanin" w:cs="IRNazanin"/>
          <w:lang w:bidi="fa-IR"/>
          <w:color w:val="111111"/>
          <w:sz w:val="28"/>
          <w:szCs w:val="28"/>
          <w:rtl/>
        </w:rPr>
        <w:t xml:space="preserve">1 .آداب ارسطو، ج1، ص17.</w:t>
      </w:r>
    </w:p>
    <w:p>
      <w:pPr>
        <w:pStyle w:val="BookText"/>
      </w:pPr>
      <w:r>
        <w:rPr>
          <w:rFonts w:ascii="Amiri" w:hAnsi="Amiri" w:eastAsia="Amiri" w:cs="Amiri"/>
          <w:lang w:bidi="ar-SA"/>
          <w:color w:val="111111"/>
          <w:sz w:val="28"/>
          <w:szCs w:val="28"/>
          <w:rtl/>
        </w:rPr>
        <w:t xml:space="preserve">2 .ذخيرة الاسكندر، ج 7، ص820</w:t>
      </w:r>
    </w:p>
    <w:p>
      <w:pPr>
        <w:pStyle w:val="BookText"/>
      </w:pPr>
      <w:r>
        <w:rPr>
          <w:rFonts w:ascii="Amiri" w:hAnsi="Amiri" w:eastAsia="Amiri" w:cs="Amiri"/>
          <w:lang w:bidi="ar-SA"/>
          <w:color w:val="111111"/>
          <w:sz w:val="28"/>
          <w:szCs w:val="28"/>
          <w:rtl/>
        </w:rPr>
        <w:t xml:space="preserve">3 .ذخيرة الملك اسكندر ذي القرنين</w:t>
      </w:r>
    </w:p>
    <w:p>
      <w:pPr>
        <w:pStyle w:val="BookText"/>
      </w:pPr>
      <w:r>
        <w:rPr>
          <w:rFonts w:ascii="IRNazanin" w:hAnsi="IRNazanin" w:eastAsia="IRNazanin" w:cs="IRNazanin"/>
          <w:lang w:bidi="fa-IR"/>
          <w:color w:val="111111"/>
          <w:sz w:val="28"/>
          <w:szCs w:val="28"/>
          <w:rtl/>
        </w:rPr>
        <w:t xml:space="preserve">ج 7، ص 839.</w:t>
      </w:r>
    </w:p>
    <w:p>
      <w:pPr>
        <w:pStyle w:val="BookText"/>
      </w:pPr>
      <w:r>
        <w:rPr>
          <w:rFonts w:ascii="Amiri" w:hAnsi="Amiri" w:eastAsia="Amiri" w:cs="Amiri"/>
          <w:lang w:bidi="ar-SA"/>
          <w:color w:val="111111"/>
          <w:sz w:val="28"/>
          <w:szCs w:val="28"/>
          <w:rtl/>
        </w:rPr>
        <w:t xml:space="preserve">4 .رسالة من ارسطو طاليس للاسكندر</w:t>
      </w:r>
    </w:p>
    <w:p>
      <w:pPr>
        <w:pStyle w:val="BookText"/>
      </w:pPr>
      <w:r>
        <w:rPr>
          <w:rFonts w:ascii="IRNazanin" w:hAnsi="IRNazanin" w:eastAsia="IRNazanin" w:cs="IRNazanin"/>
          <w:lang w:bidi="fa-IR"/>
          <w:color w:val="111111"/>
          <w:sz w:val="28"/>
          <w:szCs w:val="28"/>
          <w:rtl/>
        </w:rPr>
        <w:t xml:space="preserve">ج 8، ص278</w:t>
      </w:r>
    </w:p>
    <w:p>
      <w:pPr>
        <w:pStyle w:val="BookText"/>
      </w:pPr>
      <w:r>
        <w:rPr>
          <w:rFonts w:ascii="Amiri" w:hAnsi="Amiri" w:eastAsia="Amiri" w:cs="Amiri"/>
          <w:lang w:bidi="ar-SA"/>
          <w:color w:val="111111"/>
          <w:sz w:val="28"/>
          <w:szCs w:val="28"/>
          <w:rtl/>
        </w:rPr>
        <w:t xml:space="preserve">5 .الرمل (رسالة في)، ج 8، ص 358.</w:t>
      </w:r>
    </w:p>
    <w:p>
      <w:pPr>
        <w:pStyle w:val="BookText"/>
      </w:pPr>
      <w:r>
        <w:rPr>
          <w:rFonts w:ascii="Amiri" w:hAnsi="Amiri" w:eastAsia="Amiri" w:cs="Amiri"/>
          <w:lang w:bidi="ar-SA"/>
          <w:color w:val="111111"/>
          <w:sz w:val="28"/>
          <w:szCs w:val="28"/>
          <w:rtl/>
        </w:rPr>
        <w:t xml:space="preserve">6 .الرؤيا( مقالة في)، ج 8، ص12.</w:t>
      </w:r>
    </w:p>
    <w:p>
      <w:pPr>
        <w:pStyle w:val="BookText"/>
      </w:pPr>
      <w:r>
        <w:rPr>
          <w:rFonts w:ascii="Amiri" w:hAnsi="Amiri" w:eastAsia="Amiri" w:cs="Amiri"/>
          <w:lang w:bidi="ar-SA"/>
          <w:color w:val="111111"/>
          <w:sz w:val="28"/>
          <w:szCs w:val="28"/>
          <w:rtl/>
        </w:rPr>
        <w:t xml:space="preserve">7 .سر الاسرار = السياسة في تدبير</w:t>
      </w:r>
    </w:p>
    <w:p>
      <w:pPr>
        <w:pStyle w:val="BookText"/>
      </w:pPr>
      <w:r>
        <w:rPr>
          <w:rFonts w:ascii="Amiri" w:hAnsi="Amiri" w:eastAsia="Amiri" w:cs="Amiri"/>
          <w:lang w:bidi="ar-SA"/>
          <w:color w:val="111111"/>
          <w:sz w:val="28"/>
          <w:szCs w:val="28"/>
          <w:rtl/>
        </w:rPr>
        <w:t xml:space="preserve">الرياسة، ج8، ص 746.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طوبيقا، ج 10، ص 871</w:t>
      </w:r>
    </w:p>
    <w:p>
      <w:pPr>
        <w:pStyle w:val="BookText"/>
      </w:pPr>
      <w:r>
        <w:rPr>
          <w:rFonts w:ascii="Amiri" w:hAnsi="Amiri" w:eastAsia="Amiri" w:cs="Amiri"/>
          <w:lang w:bidi="ar-SA"/>
          <w:color w:val="111111"/>
          <w:sz w:val="28"/>
          <w:szCs w:val="28"/>
          <w:rtl/>
        </w:rPr>
        <w:t xml:space="preserve">9 .العبادة (كتاب في)، ج 11، ص 14.</w:t>
      </w:r>
    </w:p>
    <w:p>
      <w:pPr>
        <w:pStyle w:val="BookText"/>
      </w:pPr>
      <w:r>
        <w:rPr>
          <w:rFonts w:ascii="IRNazanin" w:hAnsi="IRNazanin" w:eastAsia="IRNazanin" w:cs="IRNazanin"/>
          <w:lang w:bidi="fa-IR"/>
          <w:color w:val="111111"/>
          <w:sz w:val="28"/>
          <w:szCs w:val="28"/>
          <w:rtl/>
        </w:rPr>
        <w:t xml:space="preserve">10 .غالب و مغلوب، ج11، ص 422.</w:t>
      </w:r>
    </w:p>
    <w:p>
      <w:pPr>
        <w:pStyle w:val="BookText"/>
      </w:pPr>
      <w:r>
        <w:rPr>
          <w:rFonts w:ascii="IRNazanin" w:hAnsi="IRNazanin" w:eastAsia="IRNazanin" w:cs="IRNazanin"/>
          <w:lang w:bidi="fa-IR"/>
          <w:color w:val="111111"/>
          <w:sz w:val="28"/>
          <w:szCs w:val="28"/>
          <w:rtl/>
        </w:rPr>
        <w:t xml:space="preserve">11 .فرس ،نامه ج 11، ص782.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قاطيغورياس = مقولات، ج 12،</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قوسفطيقا (كتاب في)، ج12،</w:t>
      </w:r>
    </w:p>
    <w:p>
      <w:pPr>
        <w:pStyle w:val="BookText"/>
      </w:pPr>
      <w:r>
        <w:rPr>
          <w:rFonts w:ascii="IRNazanin" w:hAnsi="IRNazanin" w:eastAsia="IRNazanin" w:cs="IRNazanin"/>
          <w:lang w:bidi="fa-IR"/>
          <w:color w:val="111111"/>
          <w:sz w:val="28"/>
          <w:szCs w:val="28"/>
          <w:rtl/>
        </w:rPr>
        <w:t xml:space="preserve">ص 834.</w:t>
      </w:r>
    </w:p>
    <w:p>
      <w:pPr>
        <w:pStyle w:val="BookText"/>
      </w:pPr>
      <w:r>
        <w:rPr>
          <w:rFonts w:ascii="Amiri" w:hAnsi="Amiri" w:eastAsia="Amiri" w:cs="Amiri"/>
          <w:lang w:bidi="ar-SA"/>
          <w:color w:val="111111"/>
          <w:sz w:val="28"/>
          <w:szCs w:val="28"/>
          <w:rtl/>
        </w:rPr>
        <w:t xml:space="preserve">14 .قول ارسطوطاليس نفوس الحيوان اغراض لحوادث (الزمان) ج 12، ص 836.</w:t>
      </w:r>
    </w:p>
    <w:p>
      <w:pPr>
        <w:pStyle w:val="BookText"/>
      </w:pPr>
      <w:r>
        <w:rPr>
          <w:rFonts w:ascii="Amiri" w:hAnsi="Amiri" w:eastAsia="Amiri" w:cs="Amiri"/>
          <w:lang w:bidi="ar-SA"/>
          <w:color w:val="111111"/>
          <w:sz w:val="28"/>
          <w:szCs w:val="28"/>
          <w:rtl/>
        </w:rPr>
        <w:t xml:space="preserve">15 .كلام ارسطاطاليس لبيان سبعة مطالب فكرية في النفس، ج13،</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Amiri" w:hAnsi="Amiri" w:eastAsia="Amiri" w:cs="Amiri"/>
          <w:lang w:bidi="ar-SA"/>
          <w:color w:val="111111"/>
          <w:sz w:val="28"/>
          <w:szCs w:val="28"/>
          <w:rtl/>
        </w:rPr>
        <w:t xml:space="preserve">16 .ما بال = المسائل الطبيعية : العلل = فصول ارسطاطاليس ج 13، ص 676.</w:t>
      </w:r>
    </w:p>
    <w:p>
      <w:pPr>
        <w:pStyle w:val="BookText"/>
      </w:pPr>
      <w:r>
        <w:rPr>
          <w:rFonts w:ascii="Amiri" w:hAnsi="Amiri" w:eastAsia="Amiri" w:cs="Amiri"/>
          <w:lang w:bidi="ar-SA"/>
          <w:color w:val="111111"/>
          <w:sz w:val="28"/>
          <w:szCs w:val="28"/>
          <w:rtl/>
        </w:rPr>
        <w:t xml:space="preserve">17 .مختصر كتاب النفس = مختصر ارسطو في النفس، ج 14، ص 237.</w:t>
      </w:r>
    </w:p>
    <w:p>
      <w:pPr>
        <w:pStyle w:val="BookText"/>
      </w:pPr>
      <w:r>
        <w:rPr>
          <w:rFonts w:ascii="Amiri" w:hAnsi="Amiri" w:eastAsia="Amiri" w:cs="Amiri"/>
          <w:lang w:bidi="ar-SA"/>
          <w:color w:val="111111"/>
          <w:sz w:val="28"/>
          <w:szCs w:val="28"/>
          <w:rtl/>
        </w:rPr>
        <w:t xml:space="preserve">ارسطو بن علينقي الطبيب- طبيب ،</w:t>
      </w:r>
    </w:p>
    <w:p>
      <w:pPr>
        <w:pStyle w:val="BookText"/>
      </w:pPr>
      <w:r>
        <w:rPr>
          <w:rFonts w:ascii="Amiri" w:hAnsi="Amiri" w:eastAsia="Amiri" w:cs="Amiri"/>
          <w:lang w:bidi="ar-SA"/>
          <w:color w:val="111111"/>
          <w:sz w:val="28"/>
          <w:szCs w:val="28"/>
          <w:rtl/>
        </w:rPr>
        <w:t xml:space="preserve">ارسطو بن علينقي</w:t>
      </w:r>
    </w:p>
    <w:p>
      <w:pPr>
        <w:pStyle w:val="BookText"/>
      </w:pPr>
      <w:r>
        <w:rPr>
          <w:rFonts w:ascii="Amiri" w:hAnsi="Amiri" w:eastAsia="Amiri" w:cs="Amiri"/>
          <w:lang w:bidi="ar-SA"/>
          <w:color w:val="111111"/>
          <w:sz w:val="28"/>
          <w:szCs w:val="28"/>
          <w:rtl/>
        </w:rPr>
        <w:t xml:space="preserve">ارسلان بن يعقوب دمشقي- دمشقي</w:t>
      </w:r>
    </w:p>
    <w:p>
      <w:pPr>
        <w:pStyle w:val="BookText"/>
      </w:pPr>
      <w:r>
        <w:rPr>
          <w:rFonts w:ascii="Amiri" w:hAnsi="Amiri" w:eastAsia="Amiri" w:cs="Amiri"/>
          <w:lang w:bidi="ar-SA"/>
          <w:color w:val="111111"/>
          <w:sz w:val="28"/>
          <w:szCs w:val="28"/>
          <w:rtl/>
        </w:rPr>
        <w:t xml:space="preserve">ارسلان بن يعقوب</w:t>
      </w:r>
    </w:p>
    <w:p>
      <w:pPr>
        <w:pStyle w:val="Heading2"/>
      </w:pPr>
      <w:bookmarkStart w:id="2079" w:name="_Toc1181"/>
      <w:r>
        <w:t>ارشميدس، 287 - 212 قبل میلاد</w:t>
      </w:r>
      <w:bookmarkEnd w:id="2079"/>
    </w:p>
    <w:p>
      <w:pPr>
        <w:pStyle w:val="BookText"/>
      </w:pPr>
      <w:r>
        <w:rPr>
          <w:rFonts w:ascii="Amiri" w:hAnsi="Amiri" w:eastAsia="Amiri" w:cs="Amiri"/>
          <w:lang w:bidi="ar-SA"/>
          <w:color w:val="111111"/>
          <w:sz w:val="28"/>
          <w:szCs w:val="28"/>
          <w:rtl/>
        </w:rPr>
        <w:t xml:space="preserve">تكسير الدائرة، ج 4، ص 811.</w:t>
      </w:r>
    </w:p>
    <w:p>
      <w:pPr>
        <w:pStyle w:val="BookText"/>
      </w:pPr>
      <w:r>
        <w:rPr>
          <w:rFonts w:ascii="Amiri" w:hAnsi="Amiri" w:eastAsia="Amiri" w:cs="Amiri"/>
          <w:lang w:bidi="ar-SA"/>
          <w:color w:val="111111"/>
          <w:sz w:val="28"/>
          <w:szCs w:val="28"/>
          <w:rtl/>
        </w:rPr>
        <w:t xml:space="preserve">ارضرومي ، ابراهيم -حقي ، ابراهيم بن</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Amiri" w:hAnsi="Amiri" w:eastAsia="Amiri" w:cs="Amiri"/>
          <w:lang w:bidi="ar-SA"/>
          <w:color w:val="111111"/>
          <w:sz w:val="28"/>
          <w:szCs w:val="28"/>
          <w:rtl/>
        </w:rPr>
        <w:t xml:space="preserve">ارضرومي ، عمر بن علي- اسبيري ، عمر</w:t>
      </w:r>
    </w:p>
    <w:p>
      <w:pPr>
        <w:pStyle w:val="BookText"/>
      </w:pPr>
      <w:r>
        <w:rPr>
          <w:rFonts w:ascii="Amiri" w:hAnsi="Amiri" w:eastAsia="Amiri" w:cs="Amiri"/>
          <w:lang w:bidi="ar-SA"/>
          <w:color w:val="111111"/>
          <w:sz w:val="28"/>
          <w:szCs w:val="28"/>
          <w:rtl/>
        </w:rPr>
        <w:t xml:space="preserve">بن علي</w:t>
      </w:r>
    </w:p>
    <w:p>
      <w:pPr>
        <w:pStyle w:val="Heading2"/>
      </w:pPr>
      <w:bookmarkStart w:id="2080" w:name="_Toc1182"/>
      <w:r>
        <w:t>ارضرومي، محمّد بن مصطفی -دده</w:t>
      </w:r>
      <w:bookmarkEnd w:id="2080"/>
    </w:p>
    <w:p>
      <w:pPr>
        <w:pStyle w:val="BookText"/>
      </w:pPr>
      <w:r>
        <w:rPr>
          <w:rFonts w:ascii="Amiri" w:hAnsi="Amiri" w:eastAsia="Amiri" w:cs="Amiri"/>
          <w:lang w:bidi="ar-SA"/>
          <w:color w:val="111111"/>
          <w:sz w:val="28"/>
          <w:szCs w:val="28"/>
          <w:rtl/>
        </w:rPr>
        <w:t xml:space="preserve">افندي، محمّد بن مصطفى</w:t>
      </w:r>
    </w:p>
    <w:p>
      <w:pPr>
        <w:pStyle w:val="BookText"/>
      </w:pPr>
      <w:r>
        <w:rPr>
          <w:rFonts w:ascii="Amiri" w:hAnsi="Amiri" w:eastAsia="Amiri" w:cs="Amiri"/>
          <w:lang w:bidi="ar-SA"/>
          <w:color w:val="111111"/>
          <w:sz w:val="28"/>
          <w:szCs w:val="28"/>
          <w:rtl/>
        </w:rPr>
        <w:t xml:space="preserve">ارضرومي، محمّد بن مصطفى قرن 11 ه-</w:t>
      </w:r>
    </w:p>
    <w:p>
      <w:pPr>
        <w:pStyle w:val="BookText"/>
      </w:pPr>
      <w:r>
        <w:rPr>
          <w:rFonts w:ascii="Amiri" w:hAnsi="Amiri" w:eastAsia="Amiri" w:cs="Amiri"/>
          <w:lang w:bidi="ar-SA"/>
          <w:color w:val="111111"/>
          <w:sz w:val="28"/>
          <w:szCs w:val="28"/>
          <w:rtl/>
        </w:rPr>
        <w:t xml:space="preserve">الصلاة (رسالة في)، ج 10، ص 584.</w:t>
      </w:r>
    </w:p>
    <w:p>
      <w:pPr>
        <w:pStyle w:val="Heading2"/>
      </w:pPr>
      <w:bookmarkStart w:id="2081" w:name="_Toc1183"/>
      <w:r>
        <w:t>ارطان ، عبد القادر</w:t>
      </w:r>
      <w:bookmarkEnd w:id="2081"/>
    </w:p>
    <w:p>
      <w:pPr>
        <w:pStyle w:val="BookText"/>
      </w:pPr>
      <w:r>
        <w:rPr>
          <w:rFonts w:ascii="Amiri" w:hAnsi="Amiri" w:eastAsia="Amiri" w:cs="Amiri"/>
          <w:lang w:bidi="ar-SA"/>
          <w:color w:val="111111"/>
          <w:sz w:val="28"/>
          <w:szCs w:val="28"/>
          <w:rtl/>
        </w:rPr>
        <w:t xml:space="preserve">تعلم اللغة التركية، ج 4، ص 487.</w:t>
      </w:r>
    </w:p>
    <w:p>
      <w:pPr>
        <w:pStyle w:val="Heading2"/>
      </w:pPr>
      <w:bookmarkStart w:id="2082" w:name="_Toc1184"/>
      <w:r>
        <w:t>ارقاصي ، عبدالله بن محمّد</w:t>
      </w:r>
      <w:bookmarkEnd w:id="2082"/>
    </w:p>
    <w:p>
      <w:pPr>
        <w:pStyle w:val="BookText"/>
      </w:pPr>
      <w:r>
        <w:rPr>
          <w:rFonts w:ascii="Amiri" w:hAnsi="Amiri" w:eastAsia="Amiri" w:cs="Amiri"/>
          <w:lang w:bidi="ar-SA"/>
          <w:color w:val="111111"/>
          <w:sz w:val="28"/>
          <w:szCs w:val="28"/>
          <w:rtl/>
        </w:rPr>
        <w:t xml:space="preserve">تفسير آية الله نور السموات و</w:t>
      </w:r>
    </w:p>
    <w:p>
      <w:pPr>
        <w:pStyle w:val="BookText"/>
      </w:pPr>
      <w:r>
        <w:rPr>
          <w:rFonts w:ascii="IRNazanin" w:hAnsi="IRNazanin" w:eastAsia="IRNazanin" w:cs="IRNazanin"/>
          <w:lang w:bidi="fa-IR"/>
          <w:color w:val="111111"/>
          <w:sz w:val="28"/>
          <w:szCs w:val="28"/>
          <w:rtl/>
        </w:rPr>
        <w:t xml:space="preserve">الارض»، ج 4، ص 577.</w:t>
      </w:r>
    </w:p>
    <w:p>
      <w:pPr>
        <w:pStyle w:val="Heading2"/>
      </w:pPr>
      <w:bookmarkStart w:id="2083" w:name="_Toc1185"/>
      <w:r>
        <w:t>اركوي</w:t>
      </w:r>
      <w:bookmarkEnd w:id="2083"/>
    </w:p>
    <w:p>
      <w:pPr>
        <w:pStyle w:val="BookText"/>
      </w:pPr>
      <w:r>
        <w:rPr>
          <w:rFonts w:ascii="Amiri" w:hAnsi="Amiri" w:eastAsia="Amiri" w:cs="Amiri"/>
          <w:lang w:bidi="ar-SA"/>
          <w:color w:val="111111"/>
          <w:sz w:val="28"/>
          <w:szCs w:val="28"/>
          <w:rtl/>
        </w:rPr>
        <w:t xml:space="preserve">كشف الغمة الجامع لاخبار الامة</w:t>
      </w:r>
    </w:p>
    <w:p>
      <w:pPr>
        <w:pStyle w:val="BookText"/>
      </w:pPr>
      <w:r>
        <w:rPr>
          <w:rFonts w:ascii="IRNazanin" w:hAnsi="IRNazanin" w:eastAsia="IRNazanin" w:cs="IRNazanin"/>
          <w:lang w:bidi="fa-IR"/>
          <w:color w:val="111111"/>
          <w:sz w:val="28"/>
          <w:szCs w:val="28"/>
          <w:rtl/>
        </w:rPr>
        <w:t xml:space="preserve">ج 13، ص 240.</w:t>
      </w:r>
    </w:p>
    <w:p>
      <w:pPr>
        <w:pStyle w:val="Heading2"/>
      </w:pPr>
      <w:bookmarkStart w:id="2084" w:name="_Toc1186"/>
      <w:r>
        <w:t>ارمنازي، عمر بن عبد القادر - 1148 ه-</w:t>
      </w:r>
      <w:bookmarkEnd w:id="2084"/>
    </w:p>
    <w:p>
      <w:pPr>
        <w:pStyle w:val="BookText"/>
      </w:pPr>
      <w:r>
        <w:rPr>
          <w:rFonts w:ascii="Amiri" w:hAnsi="Amiri" w:eastAsia="Amiri" w:cs="Amiri"/>
          <w:lang w:bidi="ar-SA"/>
          <w:color w:val="111111"/>
          <w:sz w:val="28"/>
          <w:szCs w:val="28"/>
          <w:rtl/>
        </w:rPr>
        <w:t xml:space="preserve">الاشارات العمرية في حل ابيات</w:t>
      </w:r>
    </w:p>
    <w:p>
      <w:pPr>
        <w:pStyle w:val="BookText"/>
      </w:pPr>
      <w:r>
        <w:rPr>
          <w:rFonts w:ascii="Amiri" w:hAnsi="Amiri" w:eastAsia="Amiri" w:cs="Amiri"/>
          <w:lang w:bidi="ar-SA"/>
          <w:color w:val="111111"/>
          <w:sz w:val="28"/>
          <w:szCs w:val="28"/>
          <w:rtl/>
        </w:rPr>
        <w:t xml:space="preserve">الشاطبية، ج 2، ص 251.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9" w:name="pg7742_69742"/>
    <w:bookmarkEnd w:id="179"/>
    <w:p>
      <w:pPr>
        <w:pStyle w:val="Heading2"/>
      </w:pPr>
      <w:bookmarkStart w:id="2085" w:name="_Toc1187"/>
      <w:r>
        <w:t>ارمنازي ، نجيب</w:t>
      </w:r>
      <w:bookmarkEnd w:id="2085"/>
    </w:p>
    <w:p>
      <w:pPr>
        <w:pStyle w:val="BookText"/>
      </w:pPr>
      <w:r>
        <w:rPr>
          <w:rFonts w:ascii="Amiri" w:hAnsi="Amiri" w:eastAsia="Amiri" w:cs="Amiri"/>
          <w:lang w:bidi="ar-SA"/>
          <w:color w:val="111111"/>
          <w:sz w:val="28"/>
          <w:szCs w:val="28"/>
          <w:rtl/>
        </w:rPr>
        <w:t xml:space="preserve">تاريخ المماليك «الكوله مند» في بغداد</w:t>
      </w:r>
    </w:p>
    <w:p>
      <w:pPr>
        <w:pStyle w:val="BookText"/>
      </w:pPr>
      <w:r>
        <w:rPr>
          <w:rFonts w:ascii="Amiri" w:hAnsi="Amiri" w:eastAsia="Amiri" w:cs="Amiri"/>
          <w:lang w:bidi="ar-SA"/>
          <w:color w:val="111111"/>
          <w:sz w:val="28"/>
          <w:szCs w:val="28"/>
          <w:rtl/>
        </w:rPr>
        <w:t xml:space="preserve">دولة المماليك في بغداد، ج3،</w:t>
      </w:r>
    </w:p>
    <w:p>
      <w:pPr>
        <w:pStyle w:val="BookText"/>
      </w:pPr>
      <w:r>
        <w:rPr>
          <w:rFonts w:ascii="IRNazanin" w:hAnsi="IRNazanin" w:eastAsia="IRNazanin" w:cs="IRNazanin"/>
          <w:lang w:bidi="fa-IR"/>
          <w:color w:val="111111"/>
          <w:sz w:val="28"/>
          <w:szCs w:val="28"/>
          <w:rtl/>
        </w:rPr>
        <w:t xml:space="preserve">ص 608 .</w:t>
      </w:r>
    </w:p>
    <w:p>
      <w:pPr>
        <w:pStyle w:val="Heading2"/>
      </w:pPr>
      <w:bookmarkStart w:id="2086" w:name="_Toc1188"/>
      <w:r>
        <w:t>ارمناكي، علي بن سليمان - 688 ه-</w:t>
      </w:r>
      <w:bookmarkEnd w:id="2086"/>
    </w:p>
    <w:p>
      <w:pPr>
        <w:pStyle w:val="BookText"/>
      </w:pPr>
      <w:r>
        <w:rPr>
          <w:rFonts w:ascii="IRNazanin" w:hAnsi="IRNazanin" w:eastAsia="IRNazanin" w:cs="IRNazanin"/>
          <w:lang w:bidi="fa-IR"/>
          <w:color w:val="111111"/>
          <w:sz w:val="28"/>
          <w:szCs w:val="28"/>
          <w:rtl/>
        </w:rPr>
        <w:t xml:space="preserve">مقامات العشاق، ج 15، ص 306.</w:t>
      </w:r>
    </w:p>
    <w:p>
      <w:pPr>
        <w:pStyle w:val="BookText"/>
      </w:pPr>
      <w:r>
        <w:rPr>
          <w:rFonts w:ascii="Amiri" w:hAnsi="Amiri" w:eastAsia="Amiri" w:cs="Amiri"/>
          <w:lang w:bidi="ar-SA"/>
          <w:color w:val="111111"/>
          <w:sz w:val="28"/>
          <w:szCs w:val="28"/>
          <w:rtl/>
        </w:rPr>
        <w:t xml:space="preserve">ارموني ، يوسف بن عبدالله -حسيني</w:t>
      </w:r>
    </w:p>
    <w:p>
      <w:pPr>
        <w:pStyle w:val="BookText"/>
      </w:pPr>
      <w:r>
        <w:rPr>
          <w:rFonts w:ascii="Amiri" w:hAnsi="Amiri" w:eastAsia="Amiri" w:cs="Amiri"/>
          <w:lang w:bidi="ar-SA"/>
          <w:color w:val="111111"/>
          <w:sz w:val="28"/>
          <w:szCs w:val="28"/>
          <w:rtl/>
        </w:rPr>
        <w:t xml:space="preserve">ارميوني ، يوسف بن عبدالله</w:t>
      </w:r>
    </w:p>
    <w:p>
      <w:pPr>
        <w:pStyle w:val="Heading2"/>
      </w:pPr>
      <w:bookmarkStart w:id="2087" w:name="_Toc1189"/>
      <w:r>
        <w:t>ارموي ، ابراهيم بن علي</w:t>
      </w:r>
      <w:bookmarkEnd w:id="2087"/>
    </w:p>
    <w:p>
      <w:pPr>
        <w:pStyle w:val="BookText"/>
      </w:pPr>
      <w:r>
        <w:rPr>
          <w:rFonts w:ascii="IRNazanin" w:hAnsi="IRNazanin" w:eastAsia="IRNazanin" w:cs="IRNazanin"/>
          <w:lang w:bidi="fa-IR"/>
          <w:color w:val="111111"/>
          <w:sz w:val="28"/>
          <w:szCs w:val="28"/>
          <w:rtl/>
        </w:rPr>
        <w:t xml:space="preserve">مباحث الضمان، ج13، ص 716.</w:t>
      </w:r>
    </w:p>
    <w:p>
      <w:pPr>
        <w:pStyle w:val="BookText"/>
      </w:pPr>
      <w:r>
        <w:rPr>
          <w:rFonts w:ascii="Amiri" w:hAnsi="Amiri" w:eastAsia="Amiri" w:cs="Amiri"/>
          <w:lang w:bidi="ar-SA"/>
          <w:color w:val="111111"/>
          <w:sz w:val="28"/>
          <w:szCs w:val="28"/>
          <w:rtl/>
        </w:rPr>
        <w:t xml:space="preserve">ارموي ، عبد المؤمن بن يوسف- صفي</w:t>
      </w:r>
    </w:p>
    <w:p>
      <w:pPr>
        <w:pStyle w:val="BookText"/>
      </w:pPr>
      <w:r>
        <w:rPr>
          <w:rFonts w:ascii="Amiri" w:hAnsi="Amiri" w:eastAsia="Amiri" w:cs="Amiri"/>
          <w:lang w:bidi="ar-SA"/>
          <w:color w:val="111111"/>
          <w:sz w:val="28"/>
          <w:szCs w:val="28"/>
          <w:rtl/>
        </w:rPr>
        <w:t xml:space="preserve">الدين ارموي ، عبدالمؤمن بن يوسف</w:t>
      </w:r>
    </w:p>
    <w:p>
      <w:pPr>
        <w:pStyle w:val="Heading2"/>
      </w:pPr>
      <w:bookmarkStart w:id="2088" w:name="_Toc1190"/>
      <w:r>
        <w:t>ارموي ، عرفة بن محمّد - 930 ه-</w:t>
      </w:r>
      <w:bookmarkEnd w:id="2088"/>
    </w:p>
    <w:p>
      <w:pPr>
        <w:pStyle w:val="BookText"/>
      </w:pPr>
      <w:r>
        <w:rPr>
          <w:rFonts w:ascii="Amiri" w:hAnsi="Amiri" w:eastAsia="Amiri" w:cs="Amiri"/>
          <w:lang w:bidi="ar-SA"/>
          <w:color w:val="111111"/>
          <w:sz w:val="28"/>
          <w:szCs w:val="28"/>
          <w:rtl/>
        </w:rPr>
        <w:t xml:space="preserve">1 .حاشية على اللمع، ج 6، ص 251.</w:t>
      </w:r>
    </w:p>
    <w:p>
      <w:pPr>
        <w:pStyle w:val="BookText"/>
      </w:pPr>
      <w:r>
        <w:rPr>
          <w:rFonts w:ascii="Amiri" w:hAnsi="Amiri" w:eastAsia="Amiri" w:cs="Amiri"/>
          <w:lang w:bidi="ar-SA"/>
          <w:color w:val="111111"/>
          <w:sz w:val="28"/>
          <w:szCs w:val="28"/>
          <w:rtl/>
        </w:rPr>
        <w:t xml:space="preserve">2 .حاشية نزهة النظار في علم الغبار =</w:t>
      </w:r>
    </w:p>
    <w:p>
      <w:pPr>
        <w:pStyle w:val="BookText"/>
      </w:pPr>
      <w:r>
        <w:rPr>
          <w:rFonts w:ascii="Amiri" w:hAnsi="Amiri" w:eastAsia="Amiri" w:cs="Amiri"/>
          <w:lang w:bidi="ar-SA"/>
          <w:color w:val="111111"/>
          <w:sz w:val="28"/>
          <w:szCs w:val="28"/>
          <w:rtl/>
        </w:rPr>
        <w:t xml:space="preserve">شرح النزهة النظار، ج 6، ص 438 . .</w:t>
      </w:r>
    </w:p>
    <w:p>
      <w:pPr>
        <w:pStyle w:val="BookText"/>
      </w:pPr>
      <w:r>
        <w:rPr>
          <w:rFonts w:ascii="Amiri" w:hAnsi="Amiri" w:eastAsia="Amiri" w:cs="Amiri"/>
          <w:lang w:bidi="ar-SA"/>
          <w:color w:val="111111"/>
          <w:sz w:val="28"/>
          <w:szCs w:val="28"/>
          <w:rtl/>
        </w:rPr>
        <w:t xml:space="preserve">3 .شرح فتح الوهاب في علم الحساب</w:t>
      </w:r>
    </w:p>
    <w:p>
      <w:pPr>
        <w:pStyle w:val="BookText"/>
      </w:pPr>
      <w:r>
        <w:rPr>
          <w:rFonts w:ascii="IRNazanin" w:hAnsi="IRNazanin" w:eastAsia="IRNazanin" w:cs="IRNazanin"/>
          <w:lang w:bidi="fa-IR"/>
          <w:color w:val="111111"/>
          <w:sz w:val="28"/>
          <w:szCs w:val="28"/>
          <w:rtl/>
        </w:rPr>
        <w:t xml:space="preserve">ج 9، ص 772</w:t>
      </w:r>
    </w:p>
    <w:p>
      <w:pPr>
        <w:pStyle w:val="Heading2"/>
      </w:pPr>
      <w:bookmarkStart w:id="2089" w:name="_Toc1191"/>
      <w:r>
        <w:t>ارموي ، علي</w:t>
      </w:r>
      <w:bookmarkEnd w:id="2089"/>
    </w:p>
    <w:p>
      <w:pPr>
        <w:pStyle w:val="BookText"/>
      </w:pPr>
      <w:r>
        <w:rPr>
          <w:rFonts w:ascii="IRNazanin" w:hAnsi="IRNazanin" w:eastAsia="IRNazanin" w:cs="IRNazanin"/>
          <w:lang w:bidi="fa-IR"/>
          <w:color w:val="111111"/>
          <w:sz w:val="28"/>
          <w:szCs w:val="28"/>
          <w:rtl/>
        </w:rPr>
        <w:t xml:space="preserve">شرح معالم اصول الفقه، ج 10،</w:t>
      </w:r>
    </w:p>
    <w:p>
      <w:pPr>
        <w:pStyle w:val="BookText"/>
      </w:pPr>
      <w:r>
        <w:rPr>
          <w:rFonts w:ascii="IRNazanin" w:hAnsi="IRNazanin" w:eastAsia="IRNazanin" w:cs="IRNazanin"/>
          <w:lang w:bidi="fa-IR"/>
          <w:color w:val="111111"/>
          <w:sz w:val="28"/>
          <w:szCs w:val="28"/>
          <w:rtl/>
        </w:rPr>
        <w:t xml:space="preserve">ص 152 .</w:t>
      </w:r>
    </w:p>
    <w:p>
      <w:pPr>
        <w:pStyle w:val="Heading2"/>
      </w:pPr>
      <w:bookmarkStart w:id="2090" w:name="_Toc1192"/>
      <w:r>
        <w:t>ارموي ، محمّد بن حسين - 656 ه-</w:t>
      </w:r>
      <w:bookmarkEnd w:id="2090"/>
    </w:p>
    <w:p>
      <w:pPr>
        <w:pStyle w:val="BookText"/>
      </w:pPr>
      <w:r>
        <w:rPr>
          <w:rFonts w:ascii="IRNazanin" w:hAnsi="IRNazanin" w:eastAsia="IRNazanin" w:cs="IRNazanin"/>
          <w:lang w:bidi="fa-IR"/>
          <w:color w:val="111111"/>
          <w:sz w:val="28"/>
          <w:szCs w:val="28"/>
          <w:rtl/>
        </w:rPr>
        <w:t xml:space="preserve">الحاصل من المحصول، ج 6، ص 454.</w:t>
      </w:r>
    </w:p>
    <w:p>
      <w:pPr>
        <w:pStyle w:val="BookText"/>
      </w:pPr>
      <w:r>
        <w:rPr>
          <w:rFonts w:ascii="Amiri" w:hAnsi="Amiri" w:eastAsia="Amiri" w:cs="Amiri"/>
          <w:lang w:bidi="ar-SA"/>
          <w:color w:val="111111"/>
          <w:sz w:val="28"/>
          <w:szCs w:val="28"/>
          <w:rtl/>
        </w:rPr>
        <w:t xml:space="preserve">ارموي ، محمود بن ابي بكر -سراج الدين ارموي ، محمود بن ابي بكر</w:t>
      </w:r>
    </w:p>
    <w:p>
      <w:pPr>
        <w:pStyle w:val="BookText"/>
      </w:pPr>
      <w:r>
        <w:rPr>
          <w:rFonts w:ascii="Amiri" w:hAnsi="Amiri" w:eastAsia="Amiri" w:cs="Amiri"/>
          <w:lang w:bidi="ar-SA"/>
          <w:color w:val="111111"/>
          <w:sz w:val="28"/>
          <w:szCs w:val="28"/>
          <w:rtl/>
        </w:rPr>
        <w:t xml:space="preserve">ارميا القوشي- القوشي ، ارميا</w:t>
      </w:r>
    </w:p>
    <w:p>
      <w:pPr>
        <w:pStyle w:val="Heading2"/>
      </w:pPr>
      <w:bookmarkStart w:id="2091" w:name="_Toc1193"/>
      <w:r>
        <w:t>ارميوني ، محمّد بن ابي الخير قرن 10 ه-</w:t>
      </w:r>
      <w:bookmarkEnd w:id="2091"/>
    </w:p>
    <w:p>
      <w:pPr>
        <w:pStyle w:val="BookText"/>
      </w:pPr>
      <w:r>
        <w:rPr>
          <w:rFonts w:ascii="Amiri" w:hAnsi="Amiri" w:eastAsia="Amiri" w:cs="Amiri"/>
          <w:lang w:bidi="ar-SA"/>
          <w:color w:val="111111"/>
          <w:sz w:val="28"/>
          <w:szCs w:val="28"/>
          <w:rtl/>
        </w:rPr>
        <w:t xml:space="preserve">النجوم الشارقات في ذكر بعض الصنائع المحتاج اليها في علم الميقات</w:t>
      </w:r>
    </w:p>
    <w:p>
      <w:pPr>
        <w:pStyle w:val="BookText"/>
      </w:pPr>
      <w:r>
        <w:rPr>
          <w:rFonts w:ascii="IRNazanin" w:hAnsi="IRNazanin" w:eastAsia="IRNazanin" w:cs="IRNazanin"/>
          <w:lang w:bidi="fa-IR"/>
          <w:color w:val="111111"/>
          <w:sz w:val="28"/>
          <w:szCs w:val="28"/>
          <w:rtl/>
        </w:rPr>
        <w:t xml:space="preserve">ج 16، ص 166 .</w:t>
      </w:r>
    </w:p>
    <w:p>
      <w:pPr>
        <w:pStyle w:val="BookText"/>
      </w:pPr>
      <w:r>
        <w:rPr>
          <w:rFonts w:ascii="Amiri" w:hAnsi="Amiri" w:eastAsia="Amiri" w:cs="Amiri"/>
          <w:lang w:bidi="ar-SA"/>
          <w:color w:val="111111"/>
          <w:sz w:val="28"/>
          <w:szCs w:val="28"/>
          <w:rtl/>
        </w:rPr>
        <w:t xml:space="preserve">ارميوني ، يوسف بن عبدالله- حسيني</w:t>
      </w:r>
    </w:p>
    <w:p>
      <w:pPr>
        <w:pStyle w:val="BookText"/>
      </w:pPr>
      <w:r>
        <w:rPr>
          <w:rFonts w:ascii="Amiri" w:hAnsi="Amiri" w:eastAsia="Amiri" w:cs="Amiri"/>
          <w:lang w:bidi="ar-SA"/>
          <w:color w:val="111111"/>
          <w:sz w:val="28"/>
          <w:szCs w:val="28"/>
          <w:rtl/>
        </w:rPr>
        <w:t xml:space="preserve">ارميوني ، يوسف بن عبدالله</w:t>
      </w:r>
    </w:p>
    <w:p>
      <w:pPr>
        <w:pStyle w:val="Heading2"/>
      </w:pPr>
      <w:bookmarkStart w:id="2092" w:name="_Toc1194"/>
      <w:r>
        <w:t>اروادي ، احمد بن سليمان - 1275 ؟ ه-</w:t>
      </w:r>
      <w:bookmarkEnd w:id="2092"/>
    </w:p>
    <w:p>
      <w:pPr>
        <w:pStyle w:val="BookText"/>
      </w:pPr>
      <w:r>
        <w:rPr>
          <w:rFonts w:ascii="Amiri" w:hAnsi="Amiri" w:eastAsia="Amiri" w:cs="Amiri"/>
          <w:lang w:bidi="ar-SA"/>
          <w:color w:val="111111"/>
          <w:sz w:val="28"/>
          <w:szCs w:val="28"/>
          <w:rtl/>
        </w:rPr>
        <w:t xml:space="preserve">كفاية المريد في ادب الموفق السعيد</w:t>
      </w:r>
    </w:p>
    <w:p>
      <w:pPr>
        <w:pStyle w:val="BookText"/>
      </w:pPr>
      <w:r>
        <w:rPr>
          <w:rFonts w:ascii="IRNazanin" w:hAnsi="IRNazanin" w:eastAsia="IRNazanin" w:cs="IRNazanin"/>
          <w:lang w:bidi="fa-IR"/>
          <w:color w:val="111111"/>
          <w:sz w:val="28"/>
          <w:szCs w:val="28"/>
          <w:rtl/>
        </w:rPr>
        <w:t xml:space="preserve">ج13، ص 338.</w:t>
      </w:r>
    </w:p>
    <w:p>
      <w:pPr>
        <w:pStyle w:val="Heading2"/>
      </w:pPr>
      <w:bookmarkStart w:id="2093" w:name="_Toc1195"/>
      <w:r>
        <w:t>ارومي ، حسن بن محمّد ولي قرن 13 ه-</w:t>
      </w:r>
      <w:bookmarkEnd w:id="2093"/>
    </w:p>
    <w:p>
      <w:pPr>
        <w:pStyle w:val="BookText"/>
      </w:pPr>
      <w:r>
        <w:rPr>
          <w:rFonts w:ascii="Amiri" w:hAnsi="Amiri" w:eastAsia="Amiri" w:cs="Amiri"/>
          <w:lang w:bidi="ar-SA"/>
          <w:color w:val="111111"/>
          <w:sz w:val="28"/>
          <w:szCs w:val="28"/>
          <w:rtl/>
        </w:rPr>
        <w:t xml:space="preserve">1 .شرح القصيدة الصرصرية، ج 9،</w:t>
      </w:r>
    </w:p>
    <w:p>
      <w:pPr>
        <w:pStyle w:val="BookText"/>
      </w:pPr>
      <w:r>
        <w:rPr>
          <w:rFonts w:ascii="IRNazanin" w:hAnsi="IRNazanin" w:eastAsia="IRNazanin" w:cs="IRNazanin"/>
          <w:lang w:bidi="fa-IR"/>
          <w:color w:val="111111"/>
          <w:sz w:val="28"/>
          <w:szCs w:val="28"/>
          <w:rtl/>
        </w:rPr>
        <w:t xml:space="preserve">ص 872.</w:t>
      </w:r>
    </w:p>
    <w:p>
      <w:pPr>
        <w:pStyle w:val="BookText"/>
      </w:pPr>
      <w:r>
        <w:rPr>
          <w:rFonts w:ascii="Amiri" w:hAnsi="Amiri" w:eastAsia="Amiri" w:cs="Amiri"/>
          <w:lang w:bidi="ar-SA"/>
          <w:color w:val="111111"/>
          <w:sz w:val="28"/>
          <w:szCs w:val="28"/>
          <w:rtl/>
        </w:rPr>
        <w:t xml:space="preserve">2 .شرح تشريح الافلاك، ج9، ص332.</w:t>
      </w:r>
    </w:p>
    <w:p>
      <w:pPr>
        <w:pStyle w:val="Heading2"/>
      </w:pPr>
      <w:bookmarkStart w:id="2094" w:name="_Toc1196"/>
      <w:r>
        <w:t>ازبكي ، شريف محمد</w:t>
      </w:r>
      <w:bookmarkEnd w:id="2094"/>
    </w:p>
    <w:p>
      <w:pPr>
        <w:pStyle w:val="BookText"/>
      </w:pPr>
      <w:r>
        <w:rPr>
          <w:rFonts w:ascii="Amiri" w:hAnsi="Amiri" w:eastAsia="Amiri" w:cs="Amiri"/>
          <w:lang w:bidi="ar-SA"/>
          <w:color w:val="111111"/>
          <w:sz w:val="28"/>
          <w:szCs w:val="28"/>
          <w:rtl/>
        </w:rPr>
        <w:t xml:space="preserve">اصول الحديث (رسالة في)، ج2،</w:t>
      </w:r>
    </w:p>
    <w:p>
      <w:pPr>
        <w:pStyle w:val="BookText"/>
      </w:pPr>
      <w:r>
        <w:rPr>
          <w:rFonts w:ascii="IRNazanin" w:hAnsi="IRNazanin" w:eastAsia="IRNazanin" w:cs="IRNazanin"/>
          <w:lang w:bidi="fa-IR"/>
          <w:color w:val="111111"/>
          <w:sz w:val="28"/>
          <w:szCs w:val="28"/>
          <w:rtl/>
        </w:rPr>
        <w:t xml:space="preserve">ص 408.</w:t>
      </w:r>
    </w:p>
    <w:p>
      <w:pPr>
        <w:pStyle w:val="BookText"/>
      </w:pPr>
      <w:r>
        <w:rPr>
          <w:rFonts w:ascii="Amiri" w:hAnsi="Amiri" w:eastAsia="Amiri" w:cs="Amiri"/>
          <w:lang w:bidi="ar-SA"/>
          <w:color w:val="111111"/>
          <w:sz w:val="28"/>
          <w:szCs w:val="28"/>
          <w:rtl/>
        </w:rPr>
        <w:t xml:space="preserve">ازدودي ، نصر الله بن محمّد- حماد ،</w:t>
      </w:r>
    </w:p>
    <w:p>
      <w:pPr>
        <w:pStyle w:val="BookText"/>
      </w:pPr>
      <w:r>
        <w:rPr>
          <w:rFonts w:ascii="IRNazanin" w:hAnsi="IRNazanin" w:eastAsia="IRNazanin" w:cs="IRNazanin"/>
          <w:lang w:bidi="fa-IR"/>
          <w:color w:val="111111"/>
          <w:sz w:val="28"/>
          <w:szCs w:val="28"/>
          <w:rtl/>
        </w:rPr>
        <w:t xml:space="preserve">نصر الله بن محمّد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0" w:name="pg7742_69744"/>
    <w:bookmarkEnd w:id="180"/>
    <w:p>
      <w:pPr>
        <w:pStyle w:val="BookText"/>
      </w:pPr>
      <w:r>
        <w:rPr>
          <w:rFonts w:ascii="Amiri" w:hAnsi="Amiri" w:eastAsia="Amiri" w:cs="Amiri"/>
          <w:lang w:bidi="ar-SA"/>
          <w:color w:val="111111"/>
          <w:sz w:val="28"/>
          <w:szCs w:val="28"/>
          <w:rtl/>
        </w:rPr>
        <w:t xml:space="preserve">ازدي، ابراهيم بن محمّد -نفطويه</w:t>
      </w:r>
    </w:p>
    <w:p>
      <w:pPr>
        <w:pStyle w:val="BookText"/>
      </w:pPr>
      <w:r>
        <w:rPr>
          <w:rFonts w:ascii="Amiri" w:hAnsi="Amiri" w:eastAsia="Amiri" w:cs="Amiri"/>
          <w:lang w:bidi="ar-SA"/>
          <w:color w:val="111111"/>
          <w:sz w:val="28"/>
          <w:szCs w:val="28"/>
          <w:rtl/>
        </w:rPr>
        <w:t xml:space="preserve">ابراهيم بن محمّد</w:t>
      </w:r>
    </w:p>
    <w:p>
      <w:pPr>
        <w:pStyle w:val="Heading2"/>
      </w:pPr>
      <w:bookmarkStart w:id="2095" w:name="_Toc1197"/>
      <w:r>
        <w:t>ازدي، اسماعيل بن اسحاق - 282 ه-</w:t>
      </w:r>
      <w:bookmarkEnd w:id="2095"/>
    </w:p>
    <w:p>
      <w:pPr>
        <w:pStyle w:val="BookText"/>
      </w:pPr>
      <w:r>
        <w:rPr>
          <w:rFonts w:ascii="IRNazanin" w:hAnsi="IRNazanin" w:eastAsia="IRNazanin" w:cs="IRNazanin"/>
          <w:lang w:bidi="fa-IR"/>
          <w:color w:val="111111"/>
          <w:sz w:val="28"/>
          <w:szCs w:val="28"/>
          <w:rtl/>
        </w:rPr>
        <w:t xml:space="preserve">تنقیح احادیث ایوب بن ابي تميمة السختيابي، ج 5، ص 59.</w:t>
      </w:r>
    </w:p>
    <w:p>
      <w:pPr>
        <w:pStyle w:val="BookText"/>
      </w:pPr>
      <w:r>
        <w:rPr>
          <w:rFonts w:ascii="Amiri" w:hAnsi="Amiri" w:eastAsia="Amiri" w:cs="Amiri"/>
          <w:lang w:bidi="ar-SA"/>
          <w:color w:val="111111"/>
          <w:sz w:val="28"/>
          <w:szCs w:val="28"/>
          <w:rtl/>
        </w:rPr>
        <w:t xml:space="preserve">ازدي ، ثابت بن اوس -شنفري ، ثابت بن اوس</w:t>
      </w:r>
    </w:p>
    <w:p>
      <w:pPr>
        <w:pStyle w:val="BookText"/>
      </w:pPr>
      <w:r>
        <w:rPr>
          <w:rFonts w:ascii="Amiri" w:hAnsi="Amiri" w:eastAsia="Amiri" w:cs="Amiri"/>
          <w:lang w:bidi="ar-SA"/>
          <w:color w:val="111111"/>
          <w:sz w:val="28"/>
          <w:szCs w:val="28"/>
          <w:rtl/>
        </w:rPr>
        <w:t xml:space="preserve">ازدي ، حسن بن احمد -سمرقندي ، حسن بن احمد</w:t>
      </w:r>
    </w:p>
    <w:p>
      <w:pPr>
        <w:pStyle w:val="Heading2"/>
      </w:pPr>
      <w:bookmarkStart w:id="2096" w:name="_Toc1198"/>
      <w:r>
        <w:t>ازدي ، حماد بن اسحاق - 267</w:t>
      </w:r>
      <w:bookmarkEnd w:id="2096"/>
    </w:p>
    <w:p>
      <w:pPr>
        <w:pStyle w:val="BookText"/>
      </w:pPr>
      <w:r>
        <w:rPr>
          <w:rFonts w:ascii="Amiri" w:hAnsi="Amiri" w:eastAsia="Amiri" w:cs="Amiri"/>
          <w:lang w:bidi="ar-SA"/>
          <w:color w:val="111111"/>
          <w:sz w:val="28"/>
          <w:szCs w:val="28"/>
          <w:rtl/>
        </w:rPr>
        <w:t xml:space="preserve">تركة النبي صلى الله عليه و سلم و السبل التي وجهها فيها، ج4، ص312.</w:t>
      </w:r>
    </w:p>
    <w:p>
      <w:pPr>
        <w:pStyle w:val="BookText"/>
      </w:pPr>
      <w:r>
        <w:rPr>
          <w:rFonts w:ascii="Amiri" w:hAnsi="Amiri" w:eastAsia="Amiri" w:cs="Amiri"/>
          <w:lang w:bidi="ar-SA"/>
          <w:color w:val="111111"/>
          <w:sz w:val="28"/>
          <w:szCs w:val="28"/>
          <w:rtl/>
        </w:rPr>
        <w:t xml:space="preserve">ازدي ، زهير بن محمّد مهلبي بهاء زهير</w:t>
      </w:r>
    </w:p>
    <w:p>
      <w:pPr>
        <w:pStyle w:val="BookText"/>
      </w:pPr>
      <w:r>
        <w:rPr>
          <w:rFonts w:ascii="Amiri" w:hAnsi="Amiri" w:eastAsia="Amiri" w:cs="Amiri"/>
          <w:lang w:bidi="ar-SA"/>
          <w:color w:val="111111"/>
          <w:sz w:val="28"/>
          <w:szCs w:val="28"/>
          <w:rtl/>
        </w:rPr>
        <w:t xml:space="preserve">زهير بن محمّد</w:t>
      </w:r>
    </w:p>
    <w:p>
      <w:pPr>
        <w:pStyle w:val="Heading2"/>
      </w:pPr>
      <w:bookmarkStart w:id="2097" w:name="_Toc1199"/>
      <w:r>
        <w:t>ازدي ، صالح بن عبد القدوس، قرن 2 ه-</w:t>
      </w:r>
      <w:bookmarkEnd w:id="2097"/>
    </w:p>
    <w:p>
      <w:pPr>
        <w:pStyle w:val="BookText"/>
      </w:pPr>
      <w:r>
        <w:rPr>
          <w:rFonts w:ascii="Amiri" w:hAnsi="Amiri" w:eastAsia="Amiri" w:cs="Amiri"/>
          <w:lang w:bidi="ar-SA"/>
          <w:color w:val="111111"/>
          <w:sz w:val="28"/>
          <w:szCs w:val="28"/>
          <w:rtl/>
        </w:rPr>
        <w:t xml:space="preserve">قصيدة، ج 12، ص 633.</w:t>
      </w:r>
    </w:p>
    <w:p>
      <w:pPr>
        <w:pStyle w:val="Heading2"/>
      </w:pPr>
      <w:bookmarkStart w:id="2098" w:name="_Toc1200"/>
      <w:r>
        <w:t>ازدي ، عبدالغني بن سعيد، 332-409 ه-</w:t>
      </w:r>
      <w:bookmarkEnd w:id="20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الاوهام التي في مدخل ابي عبدالله</w:t>
      </w:r>
    </w:p>
    <w:p>
      <w:pPr>
        <w:pStyle w:val="BookText"/>
      </w:pPr>
      <w:r>
        <w:rPr>
          <w:rFonts w:ascii="Amiri" w:hAnsi="Amiri" w:eastAsia="Amiri" w:cs="Amiri"/>
          <w:lang w:bidi="ar-SA"/>
          <w:color w:val="111111"/>
          <w:sz w:val="28"/>
          <w:szCs w:val="28"/>
          <w:rtl/>
        </w:rPr>
        <w:t xml:space="preserve">الحاكم النيسابوري، ج3، ص89.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حديث الرباعي، ج 6، ص 568.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الغوامض والمبهمات في الحديث</w:t>
      </w:r>
    </w:p>
    <w:p>
      <w:pPr>
        <w:pStyle w:val="BookText"/>
      </w:pPr>
      <w:r>
        <w:rPr>
          <w:rFonts w:ascii="IRNazanin" w:hAnsi="IRNazanin" w:eastAsia="IRNazanin" w:cs="IRNazanin"/>
          <w:lang w:bidi="fa-IR"/>
          <w:color w:val="111111"/>
          <w:sz w:val="28"/>
          <w:szCs w:val="28"/>
          <w:rtl/>
        </w:rPr>
        <w:t xml:space="preserve">ج 11، ص 541.</w:t>
      </w:r>
    </w:p>
    <w:p>
      <w:pPr>
        <w:pStyle w:val="BookText"/>
      </w:pPr>
      <w:r>
        <w:rPr>
          <w:rFonts w:ascii="Amiri" w:hAnsi="Amiri" w:eastAsia="Amiri" w:cs="Amiri"/>
          <w:lang w:bidi="ar-SA"/>
          <w:color w:val="111111"/>
          <w:sz w:val="28"/>
          <w:szCs w:val="28"/>
          <w:rtl/>
        </w:rPr>
        <w:t xml:space="preserve">4 .كتاب الرباعي في الحديث، ج 13،</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المؤتلف والمختلف في اسماء رجال</w:t>
      </w:r>
    </w:p>
    <w:p>
      <w:pPr>
        <w:pStyle w:val="BookText"/>
      </w:pPr>
      <w:r>
        <w:rPr>
          <w:rFonts w:ascii="Amiri" w:hAnsi="Amiri" w:eastAsia="Amiri" w:cs="Amiri"/>
          <w:lang w:bidi="ar-SA"/>
          <w:color w:val="111111"/>
          <w:sz w:val="28"/>
          <w:szCs w:val="28"/>
          <w:rtl/>
        </w:rPr>
        <w:t xml:space="preserve">الحديث، ج 13، ص 701.</w:t>
      </w:r>
    </w:p>
    <w:p>
      <w:pPr>
        <w:pStyle w:val="BookText"/>
      </w:pPr>
      <w:r>
        <w:rPr>
          <w:rFonts w:ascii="Amiri" w:hAnsi="Amiri" w:eastAsia="Amiri" w:cs="Amiri"/>
          <w:lang w:bidi="ar-SA"/>
          <w:color w:val="111111"/>
          <w:sz w:val="28"/>
          <w:szCs w:val="28"/>
          <w:rtl/>
        </w:rPr>
        <w:t xml:space="preserve">ازدي، عبدالله بن سعد- ابن ابي جمرة ،</w:t>
      </w:r>
    </w:p>
    <w:p>
      <w:pPr>
        <w:pStyle w:val="BookText"/>
      </w:pPr>
      <w:r>
        <w:rPr>
          <w:rFonts w:ascii="IRNazanin" w:hAnsi="IRNazanin" w:eastAsia="IRNazanin" w:cs="IRNazanin"/>
          <w:lang w:bidi="fa-IR"/>
          <w:color w:val="111111"/>
          <w:sz w:val="28"/>
          <w:szCs w:val="28"/>
          <w:rtl/>
        </w:rPr>
        <w:t xml:space="preserve">عبدالله بن سعد</w:t>
      </w:r>
    </w:p>
    <w:p>
      <w:pPr>
        <w:pStyle w:val="BookText"/>
      </w:pPr>
      <w:r>
        <w:rPr>
          <w:rFonts w:ascii="Amiri" w:hAnsi="Amiri" w:eastAsia="Amiri" w:cs="Amiri"/>
          <w:lang w:bidi="ar-SA"/>
          <w:color w:val="111111"/>
          <w:sz w:val="28"/>
          <w:szCs w:val="28"/>
          <w:rtl/>
        </w:rPr>
        <w:t xml:space="preserve">ازدي ، لوط به يحيى- ابو مخنف ، لوط</w:t>
      </w:r>
    </w:p>
    <w:p>
      <w:pPr>
        <w:pStyle w:val="BookText"/>
      </w:pPr>
      <w:r>
        <w:rPr>
          <w:rFonts w:ascii="Amiri" w:hAnsi="Amiri" w:eastAsia="Amiri" w:cs="Amiri"/>
          <w:lang w:bidi="ar-SA"/>
          <w:color w:val="111111"/>
          <w:sz w:val="28"/>
          <w:szCs w:val="28"/>
          <w:rtl/>
        </w:rPr>
        <w:t xml:space="preserve">بن يحيى</w:t>
      </w:r>
    </w:p>
    <w:p>
      <w:pPr>
        <w:pStyle w:val="Heading2"/>
      </w:pPr>
      <w:bookmarkStart w:id="2099" w:name="_Toc1201"/>
      <w:r>
        <w:t>ازدي ، يزيد بن محمّد، - 334 ه-</w:t>
      </w:r>
      <w:bookmarkEnd w:id="2099"/>
    </w:p>
    <w:p>
      <w:pPr>
        <w:pStyle w:val="BookText"/>
      </w:pPr>
      <w:r>
        <w:rPr>
          <w:rFonts w:ascii="Amiri" w:hAnsi="Amiri" w:eastAsia="Amiri" w:cs="Amiri"/>
          <w:lang w:bidi="ar-SA"/>
          <w:color w:val="111111"/>
          <w:sz w:val="28"/>
          <w:szCs w:val="28"/>
          <w:rtl/>
        </w:rPr>
        <w:t xml:space="preserve">تاريخ الموصل، ج3، ص 610.</w:t>
      </w:r>
    </w:p>
    <w:p>
      <w:pPr>
        <w:pStyle w:val="BookText"/>
      </w:pPr>
      <w:r>
        <w:rPr>
          <w:rFonts w:ascii="Amiri" w:hAnsi="Amiri" w:eastAsia="Amiri" w:cs="Amiri"/>
          <w:lang w:bidi="ar-SA"/>
          <w:color w:val="111111"/>
          <w:sz w:val="28"/>
          <w:szCs w:val="28"/>
          <w:rtl/>
        </w:rPr>
        <w:t xml:space="preserve">ازرق ، ابراهيم بن عبدالرحمن- ابن ازرق</w:t>
      </w:r>
    </w:p>
    <w:p>
      <w:pPr>
        <w:pStyle w:val="BookText"/>
      </w:pPr>
      <w:r>
        <w:rPr>
          <w:rFonts w:ascii="Amiri" w:hAnsi="Amiri" w:eastAsia="Amiri" w:cs="Amiri"/>
          <w:lang w:bidi="ar-SA"/>
          <w:color w:val="111111"/>
          <w:sz w:val="28"/>
          <w:szCs w:val="28"/>
          <w:rtl/>
        </w:rPr>
        <w:t xml:space="preserve">ابراهيم بن عبدالرحمن</w:t>
      </w:r>
    </w:p>
    <w:p>
      <w:pPr>
        <w:pStyle w:val="Heading2"/>
      </w:pPr>
      <w:bookmarkStart w:id="2100" w:name="_Toc1202"/>
      <w:r>
        <w:t>ازرقي ، محمّد بن عبدالله - 250 ؟ ه-</w:t>
      </w:r>
      <w:bookmarkEnd w:id="2100"/>
    </w:p>
    <w:p>
      <w:pPr>
        <w:pStyle w:val="BookText"/>
      </w:pPr>
      <w:r>
        <w:rPr>
          <w:rFonts w:ascii="Amiri" w:hAnsi="Amiri" w:eastAsia="Amiri" w:cs="Amiri"/>
          <w:lang w:bidi="ar-SA"/>
          <w:color w:val="111111"/>
          <w:sz w:val="28"/>
          <w:szCs w:val="28"/>
          <w:rtl/>
        </w:rPr>
        <w:t xml:space="preserve">اخبار مكة = تاريخ مكة، ج 1، ص 536.</w:t>
      </w:r>
    </w:p>
    <w:p>
      <w:pPr>
        <w:pStyle w:val="Heading2"/>
      </w:pPr>
      <w:bookmarkStart w:id="2101" w:name="_Toc1203"/>
      <w:r>
        <w:t>ازري ، كاظم بن محمد، 1143 - 1212 ه-</w:t>
      </w:r>
      <w:bookmarkEnd w:id="2101"/>
    </w:p>
    <w:p>
      <w:pPr>
        <w:pStyle w:val="BookText"/>
      </w:pPr>
      <w:r>
        <w:rPr>
          <w:rFonts w:ascii="Amiri" w:hAnsi="Amiri" w:eastAsia="Amiri" w:cs="Amiri"/>
          <w:lang w:bidi="ar-SA"/>
          <w:color w:val="111111"/>
          <w:sz w:val="28"/>
          <w:szCs w:val="28"/>
          <w:rtl/>
        </w:rPr>
        <w:t xml:space="preserve">1 .تشطير لامية العرب، ج4، ص389.</w:t>
      </w:r>
    </w:p>
    <w:p>
      <w:pPr>
        <w:pStyle w:val="BookText"/>
      </w:pPr>
      <w:r>
        <w:rPr>
          <w:rFonts w:ascii="Amiri" w:hAnsi="Amiri" w:eastAsia="Amiri" w:cs="Amiri"/>
          <w:lang w:bidi="ar-SA"/>
          <w:color w:val="111111"/>
          <w:sz w:val="28"/>
          <w:szCs w:val="28"/>
          <w:rtl/>
        </w:rPr>
        <w:t xml:space="preserve">2 .حديث الكساء( منظومة في)، ج6،</w:t>
      </w:r>
    </w:p>
    <w:p>
      <w:pPr>
        <w:pStyle w:val="BookText"/>
      </w:pPr>
      <w:r>
        <w:rPr>
          <w:rFonts w:ascii="IRNazanin" w:hAnsi="IRNazanin" w:eastAsia="IRNazanin" w:cs="IRNazanin"/>
          <w:lang w:bidi="fa-IR"/>
          <w:color w:val="111111"/>
          <w:sz w:val="28"/>
          <w:szCs w:val="28"/>
          <w:rtl/>
        </w:rPr>
        <w:t xml:space="preserve">ص 575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الازري، ج 7، ص 571.</w:t>
      </w:r>
    </w:p>
    <w:p>
      <w:pPr>
        <w:pStyle w:val="BookText"/>
      </w:pPr>
      <w:r>
        <w:rPr>
          <w:rFonts w:ascii="Amiri" w:hAnsi="Amiri" w:eastAsia="Amiri" w:cs="Amiri"/>
          <w:lang w:bidi="ar-SA"/>
          <w:color w:val="111111"/>
          <w:sz w:val="28"/>
          <w:szCs w:val="28"/>
          <w:rtl/>
        </w:rPr>
        <w:t xml:space="preserve">4 .القصيدة الهائية = القصيدة الازرية قرآن الشعر الاكبر و فرقان</w:t>
      </w:r>
    </w:p>
    <w:p>
      <w:pPr>
        <w:pStyle w:val="BookText"/>
      </w:pPr>
      <w:r>
        <w:rPr>
          <w:rFonts w:ascii="Amiri" w:hAnsi="Amiri" w:eastAsia="Amiri" w:cs="Amiri"/>
          <w:lang w:bidi="ar-SA"/>
          <w:color w:val="111111"/>
          <w:sz w:val="28"/>
          <w:szCs w:val="28"/>
          <w:rtl/>
        </w:rPr>
        <w:t xml:space="preserve">الفصل الازهر - الفية = الشمسية</w:t>
      </w:r>
    </w:p>
    <w:p>
      <w:pPr>
        <w:pStyle w:val="BookText"/>
      </w:pPr>
      <w:r>
        <w:rPr>
          <w:rFonts w:ascii="IRNazanin" w:hAnsi="IRNazanin" w:eastAsia="IRNazanin" w:cs="IRNazanin"/>
          <w:lang w:bidi="fa-IR"/>
          <w:color w:val="111111"/>
          <w:sz w:val="28"/>
          <w:szCs w:val="28"/>
          <w:rtl/>
        </w:rPr>
        <w:t xml:space="preserve">ج 12، ص 724 .</w:t>
      </w:r>
    </w:p>
    <w:p>
      <w:pPr>
        <w:pStyle w:val="Heading2"/>
      </w:pPr>
      <w:bookmarkStart w:id="2102" w:name="_Toc1204"/>
      <w:r>
        <w:t>ازری، محمّد رضا بن محمّد، - 1226 ه-</w:t>
      </w:r>
      <w:bookmarkEnd w:id="21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تقريض، ج4، ص79.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الازري، ج 7، ص 573.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1" w:name="pg7742_69746"/>
    <w:bookmarkEnd w:id="181"/>
    <w:p>
      <w:pPr>
        <w:pStyle w:val="Heading2"/>
      </w:pPr>
      <w:bookmarkStart w:id="2103" w:name="_Toc1205"/>
      <w:r>
        <w:t>ازري ، مسعود</w:t>
      </w:r>
      <w:bookmarkEnd w:id="2103"/>
    </w:p>
    <w:p>
      <w:pPr>
        <w:pStyle w:val="BookText"/>
      </w:pPr>
      <w:r>
        <w:rPr>
          <w:rFonts w:ascii="Amiri" w:hAnsi="Amiri" w:eastAsia="Amiri" w:cs="Amiri"/>
          <w:lang w:bidi="ar-SA"/>
          <w:color w:val="111111"/>
          <w:sz w:val="28"/>
          <w:szCs w:val="28"/>
          <w:rtl/>
        </w:rPr>
        <w:t xml:space="preserve">مكتوب للازري، ج 15، ص 426.</w:t>
      </w:r>
    </w:p>
    <w:p>
      <w:pPr>
        <w:pStyle w:val="BookText"/>
      </w:pPr>
      <w:r>
        <w:rPr>
          <w:rFonts w:ascii="IRNazanin" w:hAnsi="IRNazanin" w:eastAsia="IRNazanin" w:cs="IRNazanin"/>
          <w:lang w:bidi="fa-IR"/>
          <w:color w:val="111111"/>
          <w:sz w:val="28"/>
          <w:szCs w:val="28"/>
          <w:rtl/>
        </w:rPr>
        <w:t xml:space="preserve">885 ه-</w:t>
      </w:r>
    </w:p>
    <w:p>
      <w:pPr>
        <w:pStyle w:val="Heading2"/>
      </w:pPr>
      <w:bookmarkStart w:id="2104" w:name="_Toc1206"/>
      <w:r>
        <w:t>ازلي ، مصطفى بن ابراهيم</w:t>
      </w:r>
      <w:bookmarkEnd w:id="2104"/>
    </w:p>
    <w:p>
      <w:pPr>
        <w:pStyle w:val="BookText"/>
      </w:pPr>
      <w:r>
        <w:rPr>
          <w:rFonts w:ascii="IRNazanin" w:hAnsi="IRNazanin" w:eastAsia="IRNazanin" w:cs="IRNazanin"/>
          <w:lang w:bidi="fa-IR"/>
          <w:color w:val="111111"/>
          <w:sz w:val="28"/>
          <w:szCs w:val="28"/>
          <w:rtl/>
        </w:rPr>
        <w:t xml:space="preserve">شرح حزب النصر، ج9، ص 413.</w:t>
      </w:r>
    </w:p>
    <w:p>
      <w:pPr>
        <w:pStyle w:val="Heading2"/>
      </w:pPr>
      <w:bookmarkStart w:id="2105" w:name="_Toc1207"/>
      <w:r>
        <w:t>ازميري ، محمّد امین بن حسين</w:t>
      </w:r>
      <w:bookmarkEnd w:id="2105"/>
    </w:p>
    <w:p>
      <w:pPr>
        <w:pStyle w:val="BookText"/>
      </w:pPr>
      <w:r>
        <w:rPr>
          <w:rFonts w:ascii="Amiri" w:hAnsi="Amiri" w:eastAsia="Amiri" w:cs="Amiri"/>
          <w:lang w:bidi="ar-SA"/>
          <w:color w:val="111111"/>
          <w:sz w:val="28"/>
          <w:szCs w:val="28"/>
          <w:rtl/>
        </w:rPr>
        <w:t xml:space="preserve">المصابيح المضية في شرح السراجية في</w:t>
      </w:r>
    </w:p>
    <w:p>
      <w:pPr>
        <w:pStyle w:val="BookText"/>
      </w:pPr>
      <w:r>
        <w:rPr>
          <w:rFonts w:ascii="IRNazanin" w:hAnsi="IRNazanin" w:eastAsia="IRNazanin" w:cs="IRNazanin"/>
          <w:lang w:bidi="fa-IR"/>
          <w:color w:val="111111"/>
          <w:sz w:val="28"/>
          <w:szCs w:val="28"/>
          <w:rtl/>
        </w:rPr>
        <w:t xml:space="preserve">علم الفرائض، ج 14، ص 691.</w:t>
      </w:r>
    </w:p>
    <w:p>
      <w:pPr>
        <w:pStyle w:val="Heading2"/>
      </w:pPr>
      <w:bookmarkStart w:id="2106" w:name="_Toc1208"/>
      <w:r>
        <w:t>ازميري ، محمّد بن اسماعيل - 1160 ه-</w:t>
      </w:r>
      <w:bookmarkEnd w:id="2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القصيدة المرزوقية، ج 9،</w:t>
      </w:r>
    </w:p>
    <w:p>
      <w:pPr>
        <w:pStyle w:val="BookText"/>
      </w:pPr>
      <w:r>
        <w:rPr>
          <w:rFonts w:ascii="IRNazanin" w:hAnsi="IRNazanin" w:eastAsia="IRNazanin" w:cs="IRNazanin"/>
          <w:lang w:bidi="fa-IR"/>
          <w:color w:val="111111"/>
          <w:sz w:val="28"/>
          <w:szCs w:val="28"/>
          <w:rtl/>
        </w:rPr>
        <w:t xml:space="preserve">ص 893.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حزب البحر، ج9، ص 410.</w:t>
      </w:r>
    </w:p>
    <w:p>
      <w:pPr>
        <w:pStyle w:val="Heading2"/>
      </w:pPr>
      <w:bookmarkStart w:id="2107" w:name="_Toc1209"/>
      <w:r>
        <w:t>ازنيقي ، اشق قاسم - 945 ه-</w:t>
      </w:r>
      <w:bookmarkEnd w:id="2107"/>
    </w:p>
    <w:p>
      <w:pPr>
        <w:pStyle w:val="BookText"/>
      </w:pPr>
      <w:r>
        <w:rPr>
          <w:rFonts w:ascii="Amiri" w:hAnsi="Amiri" w:eastAsia="Amiri" w:cs="Amiri"/>
          <w:lang w:bidi="ar-SA"/>
          <w:color w:val="111111"/>
          <w:sz w:val="28"/>
          <w:szCs w:val="28"/>
          <w:rtl/>
        </w:rPr>
        <w:t xml:space="preserve">اعراب العوامل المائة - شرح العوامل</w:t>
      </w:r>
    </w:p>
    <w:p>
      <w:pPr>
        <w:pStyle w:val="BookText"/>
      </w:pPr>
      <w:r>
        <w:rPr>
          <w:rFonts w:ascii="Amiri" w:hAnsi="Amiri" w:eastAsia="Amiri" w:cs="Amiri"/>
          <w:lang w:bidi="ar-SA"/>
          <w:color w:val="111111"/>
          <w:sz w:val="28"/>
          <w:szCs w:val="28"/>
          <w:rtl/>
        </w:rPr>
        <w:t xml:space="preserve">المائة، ج 2، ص 541.</w:t>
      </w:r>
    </w:p>
    <w:p>
      <w:pPr>
        <w:pStyle w:val="Heading2"/>
      </w:pPr>
      <w:bookmarkStart w:id="2108" w:name="_Toc1210"/>
      <w:r>
        <w:t>ازنيقي ، موسى بن حسين - 833 ه-</w:t>
      </w:r>
      <w:bookmarkEnd w:id="2108"/>
    </w:p>
    <w:p>
      <w:pPr>
        <w:pStyle w:val="BookText"/>
      </w:pPr>
      <w:r>
        <w:rPr>
          <w:rFonts w:ascii="Amiri" w:hAnsi="Amiri" w:eastAsia="Amiri" w:cs="Amiri"/>
          <w:lang w:bidi="ar-SA"/>
          <w:color w:val="111111"/>
          <w:sz w:val="28"/>
          <w:szCs w:val="28"/>
          <w:rtl/>
        </w:rPr>
        <w:t xml:space="preserve">معراجية، ج 15 ، ص 37.</w:t>
      </w:r>
    </w:p>
    <w:p>
      <w:pPr>
        <w:pStyle w:val="Heading2"/>
      </w:pPr>
      <w:bookmarkStart w:id="2109" w:name="_Toc1211"/>
      <w:r>
        <w:t>ازهري، ابراهيم بن شمس الدين</w:t>
      </w:r>
      <w:bookmarkEnd w:id="2109"/>
    </w:p>
    <w:p>
      <w:pPr>
        <w:pStyle w:val="BookText"/>
      </w:pPr>
      <w:r>
        <w:rPr>
          <w:rFonts w:ascii="Amiri" w:hAnsi="Amiri" w:eastAsia="Amiri" w:cs="Amiri"/>
          <w:lang w:bidi="ar-SA"/>
          <w:color w:val="111111"/>
          <w:sz w:val="28"/>
          <w:szCs w:val="28"/>
          <w:rtl/>
        </w:rPr>
        <w:t xml:space="preserve">1 .مثلثة قطرب، ج13، ص 771.</w:t>
      </w:r>
    </w:p>
    <w:p>
      <w:pPr>
        <w:pStyle w:val="BookText"/>
      </w:pPr>
      <w:r>
        <w:rPr>
          <w:rFonts w:ascii="Amiri" w:hAnsi="Amiri" w:eastAsia="Amiri" w:cs="Amiri"/>
          <w:lang w:bidi="ar-SA"/>
          <w:color w:val="111111"/>
          <w:sz w:val="28"/>
          <w:szCs w:val="28"/>
          <w:rtl/>
        </w:rPr>
        <w:t xml:space="preserve">2 .المنظومة السنية في بيان الاسماء</w:t>
      </w:r>
    </w:p>
    <w:p>
      <w:pPr>
        <w:pStyle w:val="BookText"/>
      </w:pPr>
      <w:r>
        <w:rPr>
          <w:rFonts w:ascii="Amiri" w:hAnsi="Amiri" w:eastAsia="Amiri" w:cs="Amiri"/>
          <w:lang w:bidi="ar-SA"/>
          <w:color w:val="111111"/>
          <w:sz w:val="28"/>
          <w:szCs w:val="28"/>
          <w:rtl/>
        </w:rPr>
        <w:t xml:space="preserve">اللغوية = منظومة في مثلثات</w:t>
      </w:r>
    </w:p>
    <w:p>
      <w:pPr>
        <w:pStyle w:val="BookText"/>
      </w:pPr>
      <w:r>
        <w:rPr>
          <w:rFonts w:ascii="IRNazanin" w:hAnsi="IRNazanin" w:eastAsia="IRNazanin" w:cs="IRNazanin"/>
          <w:lang w:bidi="fa-IR"/>
          <w:color w:val="111111"/>
          <w:sz w:val="28"/>
          <w:szCs w:val="28"/>
          <w:rtl/>
        </w:rPr>
        <w:t xml:space="preserve">قطرب، ج 15، ص 722.</w:t>
      </w:r>
    </w:p>
    <w:p>
      <w:pPr>
        <w:pStyle w:val="Heading2"/>
      </w:pPr>
      <w:bookmarkStart w:id="2110" w:name="_Toc1212"/>
      <w:r>
        <w:t>ازنيقي ، علي</w:t>
      </w:r>
      <w:bookmarkEnd w:id="2110"/>
    </w:p>
    <w:p>
      <w:pPr>
        <w:pStyle w:val="BookText"/>
      </w:pPr>
      <w:r>
        <w:rPr>
          <w:rFonts w:ascii="IRNazanin" w:hAnsi="IRNazanin" w:eastAsia="IRNazanin" w:cs="IRNazanin"/>
          <w:lang w:bidi="fa-IR"/>
          <w:color w:val="111111"/>
          <w:sz w:val="28"/>
          <w:szCs w:val="28"/>
          <w:rtl/>
        </w:rPr>
        <w:t xml:space="preserve">دیوان حكمتي، ج7، ص 626.</w:t>
      </w:r>
    </w:p>
    <w:p>
      <w:pPr>
        <w:pStyle w:val="Heading2"/>
      </w:pPr>
      <w:bookmarkStart w:id="2111" w:name="_Toc1213"/>
      <w:r>
        <w:t>ازنيقي ، علي بن خسرو - 1018 ه-</w:t>
      </w:r>
      <w:bookmarkEnd w:id="2111"/>
    </w:p>
    <w:p>
      <w:pPr>
        <w:pStyle w:val="BookText"/>
      </w:pPr>
      <w:r>
        <w:rPr>
          <w:rFonts w:ascii="Amiri" w:hAnsi="Amiri" w:eastAsia="Amiri" w:cs="Amiri"/>
          <w:lang w:bidi="ar-SA"/>
          <w:color w:val="111111"/>
          <w:sz w:val="28"/>
          <w:szCs w:val="28"/>
          <w:rtl/>
        </w:rPr>
        <w:t xml:space="preserve">1 .الدرة البيضاء في صناعة الياقوتة</w:t>
      </w:r>
    </w:p>
    <w:p>
      <w:pPr>
        <w:pStyle w:val="BookText"/>
      </w:pPr>
      <w:r>
        <w:rPr>
          <w:rFonts w:ascii="IRNazanin" w:hAnsi="IRNazanin" w:eastAsia="IRNazanin" w:cs="IRNazanin"/>
          <w:lang w:bidi="fa-IR"/>
          <w:color w:val="111111"/>
          <w:sz w:val="28"/>
          <w:szCs w:val="28"/>
          <w:rtl/>
        </w:rPr>
        <w:t xml:space="preserve">الحمراء، ج 7، ص 229</w:t>
      </w:r>
    </w:p>
    <w:p>
      <w:pPr>
        <w:pStyle w:val="BookText"/>
      </w:pPr>
      <w:r>
        <w:rPr>
          <w:rFonts w:ascii="Amiri" w:hAnsi="Amiri" w:eastAsia="Amiri" w:cs="Amiri"/>
          <w:lang w:bidi="ar-SA"/>
          <w:color w:val="111111"/>
          <w:sz w:val="28"/>
          <w:szCs w:val="28"/>
          <w:rtl/>
        </w:rPr>
        <w:t xml:space="preserve">2 .درر الانوار في اسرار الاحجار - درر</w:t>
      </w:r>
    </w:p>
    <w:p>
      <w:pPr>
        <w:pStyle w:val="BookText"/>
      </w:pPr>
      <w:r>
        <w:rPr>
          <w:rFonts w:ascii="IRNazanin" w:hAnsi="IRNazanin" w:eastAsia="IRNazanin" w:cs="IRNazanin"/>
          <w:lang w:bidi="fa-IR"/>
          <w:color w:val="111111"/>
          <w:sz w:val="28"/>
          <w:szCs w:val="28"/>
          <w:rtl/>
        </w:rPr>
        <w:t xml:space="preserve">انوار الاحجار، ج7، ص282.</w:t>
      </w:r>
    </w:p>
    <w:p>
      <w:pPr>
        <w:pStyle w:val="BookText"/>
      </w:pPr>
      <w:r>
        <w:rPr>
          <w:rFonts w:ascii="Amiri" w:hAnsi="Amiri" w:eastAsia="Amiri" w:cs="Amiri"/>
          <w:lang w:bidi="ar-SA"/>
          <w:color w:val="111111"/>
          <w:sz w:val="28"/>
          <w:szCs w:val="28"/>
          <w:rtl/>
        </w:rPr>
        <w:t xml:space="preserve">3.دقائق الميزان في مقادير الاوزان</w:t>
      </w:r>
    </w:p>
    <w:p>
      <w:pPr>
        <w:pStyle w:val="BookText"/>
      </w:pPr>
      <w:r>
        <w:rPr>
          <w:rFonts w:ascii="IRNazanin" w:hAnsi="IRNazanin" w:eastAsia="IRNazanin" w:cs="IRNazanin"/>
          <w:lang w:bidi="fa-IR"/>
          <w:color w:val="111111"/>
          <w:sz w:val="28"/>
          <w:szCs w:val="28"/>
          <w:rtl/>
        </w:rPr>
        <w:t xml:space="preserve">ج 7 ، ص 440 .</w:t>
      </w:r>
    </w:p>
    <w:p>
      <w:pPr>
        <w:pStyle w:val="Heading2"/>
      </w:pPr>
      <w:bookmarkStart w:id="2112" w:name="_Toc1214"/>
      <w:r>
        <w:t>ازنيقي ، محمّد بن احمد - 1018</w:t>
      </w:r>
      <w:bookmarkEnd w:id="2112"/>
    </w:p>
    <w:p>
      <w:pPr>
        <w:pStyle w:val="BookText"/>
      </w:pPr>
      <w:r>
        <w:rPr>
          <w:rFonts w:ascii="Amiri" w:hAnsi="Amiri" w:eastAsia="Amiri" w:cs="Amiri"/>
          <w:lang w:bidi="ar-SA"/>
          <w:color w:val="111111"/>
          <w:sz w:val="28"/>
          <w:szCs w:val="28"/>
          <w:rtl/>
        </w:rPr>
        <w:t xml:space="preserve">مواهب الاديب في شرح مغني اللبيب</w:t>
      </w:r>
    </w:p>
    <w:p>
      <w:pPr>
        <w:pStyle w:val="BookText"/>
      </w:pPr>
      <w:r>
        <w:rPr>
          <w:rFonts w:ascii="IRNazanin" w:hAnsi="IRNazanin" w:eastAsia="IRNazanin" w:cs="IRNazanin"/>
          <w:lang w:bidi="fa-IR"/>
          <w:color w:val="111111"/>
          <w:sz w:val="28"/>
          <w:szCs w:val="28"/>
          <w:rtl/>
        </w:rPr>
        <w:t xml:space="preserve">ج 15، ص 884.</w:t>
      </w:r>
    </w:p>
    <w:p>
      <w:pPr>
        <w:pStyle w:val="Heading2"/>
      </w:pPr>
      <w:bookmarkStart w:id="2113" w:name="_Toc1215"/>
      <w:r>
        <w:t>ازنيقي ، محمّد بن قطب الدین محمّد - 885ه-</w:t>
      </w:r>
      <w:bookmarkEnd w:id="2113"/>
    </w:p>
    <w:p>
      <w:pPr>
        <w:pStyle w:val="BookText"/>
      </w:pPr>
      <w:r>
        <w:rPr>
          <w:rFonts w:ascii="Amiri" w:hAnsi="Amiri" w:eastAsia="Amiri" w:cs="Amiri"/>
          <w:lang w:bidi="ar-SA"/>
          <w:color w:val="111111"/>
          <w:sz w:val="28"/>
          <w:szCs w:val="28"/>
          <w:rtl/>
        </w:rPr>
        <w:t xml:space="preserve">مرشد المتأهل = مرشد المتأهلين</w:t>
      </w:r>
    </w:p>
    <w:p>
      <w:pPr>
        <w:pStyle w:val="BookText"/>
      </w:pPr>
      <w:r>
        <w:rPr>
          <w:rFonts w:ascii="IRNazanin" w:hAnsi="IRNazanin" w:eastAsia="IRNazanin" w:cs="IRNazanin"/>
          <w:lang w:bidi="fa-IR"/>
          <w:color w:val="111111"/>
          <w:sz w:val="28"/>
          <w:szCs w:val="28"/>
          <w:rtl/>
        </w:rPr>
        <w:t xml:space="preserve">ج 14، ص 400 .</w:t>
      </w:r>
    </w:p>
    <w:p>
      <w:pPr>
        <w:pStyle w:val="Heading2"/>
      </w:pPr>
      <w:bookmarkStart w:id="2114" w:name="_Toc1216"/>
      <w:r>
        <w:t>ازهری حافظ ، محمّد</w:t>
      </w:r>
      <w:bookmarkEnd w:id="2114"/>
    </w:p>
    <w:p>
      <w:pPr>
        <w:pStyle w:val="BookText"/>
      </w:pPr>
      <w:r>
        <w:rPr>
          <w:rFonts w:ascii="Amiri" w:hAnsi="Amiri" w:eastAsia="Amiri" w:cs="Amiri"/>
          <w:lang w:bidi="ar-SA"/>
          <w:color w:val="111111"/>
          <w:sz w:val="28"/>
          <w:szCs w:val="28"/>
          <w:rtl/>
        </w:rPr>
        <w:t xml:space="preserve">تأويل بعض الآيات القرآنية، ج3،</w:t>
      </w:r>
    </w:p>
    <w:p>
      <w:pPr>
        <w:pStyle w:val="BookText"/>
      </w:pPr>
      <w:r>
        <w:rPr>
          <w:rFonts w:ascii="IRNazanin" w:hAnsi="IRNazanin" w:eastAsia="IRNazanin" w:cs="IRNazanin"/>
          <w:lang w:bidi="fa-IR"/>
          <w:color w:val="111111"/>
          <w:sz w:val="28"/>
          <w:szCs w:val="28"/>
          <w:rtl/>
        </w:rPr>
        <w:t xml:space="preserve">ص 627 .</w:t>
      </w:r>
    </w:p>
    <w:p>
      <w:pPr>
        <w:pStyle w:val="Heading2"/>
      </w:pPr>
      <w:bookmarkStart w:id="2115" w:name="_Toc1217"/>
      <w:r>
        <w:t>ازهري ، حافظ محمّد</w:t>
      </w:r>
      <w:bookmarkEnd w:id="2115"/>
    </w:p>
    <w:p>
      <w:pPr>
        <w:pStyle w:val="BookText"/>
      </w:pPr>
      <w:r>
        <w:rPr>
          <w:rFonts w:ascii="Amiri" w:hAnsi="Amiri" w:eastAsia="Amiri" w:cs="Amiri"/>
          <w:lang w:bidi="ar-SA"/>
          <w:color w:val="111111"/>
          <w:sz w:val="28"/>
          <w:szCs w:val="28"/>
          <w:rtl/>
        </w:rPr>
        <w:t xml:space="preserve">تفسير آيات القرآن الكريم، ج4،</w:t>
      </w:r>
    </w:p>
    <w:p>
      <w:pPr>
        <w:pStyle w:val="BookText"/>
      </w:pPr>
      <w:r>
        <w:rPr>
          <w:rFonts w:ascii="IRNazanin" w:hAnsi="IRNazanin" w:eastAsia="IRNazanin" w:cs="IRNazanin"/>
          <w:lang w:bidi="fa-IR"/>
          <w:color w:val="111111"/>
          <w:sz w:val="28"/>
          <w:szCs w:val="28"/>
          <w:rtl/>
        </w:rPr>
        <w:t xml:space="preserve">ص 574.</w:t>
      </w:r>
    </w:p>
    <w:p>
      <w:pPr>
        <w:pStyle w:val="Heading2"/>
      </w:pPr>
      <w:bookmarkStart w:id="2116" w:name="_Toc1218"/>
      <w:r>
        <w:t>ازهري ، خالد بن عبدالله 838 - 905 ه-</w:t>
      </w:r>
      <w:bookmarkEnd w:id="2116"/>
    </w:p>
    <w:p>
      <w:pPr>
        <w:pStyle w:val="BookText"/>
      </w:pPr>
      <w:r>
        <w:rPr>
          <w:rFonts w:ascii="Amiri" w:hAnsi="Amiri" w:eastAsia="Amiri" w:cs="Amiri"/>
          <w:lang w:bidi="ar-SA"/>
          <w:color w:val="111111"/>
          <w:sz w:val="28"/>
          <w:szCs w:val="28"/>
          <w:rtl/>
        </w:rPr>
        <w:t xml:space="preserve">1 .الازهرية في علم العربية = المقدمة الازهرية في علم العربية، ج 2،</w:t>
      </w:r>
    </w:p>
    <w:p>
      <w:pPr>
        <w:pStyle w:val="BookText"/>
      </w:pPr>
      <w:r>
        <w:rPr>
          <w:rFonts w:ascii="IRNazanin" w:hAnsi="IRNazanin" w:eastAsia="IRNazanin" w:cs="IRNazanin"/>
          <w:lang w:bidi="fa-IR"/>
          <w:color w:val="111111"/>
          <w:sz w:val="28"/>
          <w:szCs w:val="28"/>
          <w:rtl/>
        </w:rPr>
        <w:t xml:space="preserve">ص 69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اعراب قصار السور، ج 2، ص 545.</w:t>
      </w:r>
    </w:p>
    <w:p>
      <w:pPr>
        <w:pStyle w:val="BookText"/>
      </w:pPr>
      <w:r>
        <w:rPr>
          <w:rFonts w:ascii="Amiri" w:hAnsi="Amiri" w:eastAsia="Amiri" w:cs="Amiri"/>
          <w:lang w:bidi="ar-SA"/>
          <w:color w:val="111111"/>
          <w:sz w:val="28"/>
          <w:szCs w:val="28"/>
          <w:rtl/>
        </w:rPr>
        <w:t xml:space="preserve">3 .التصريح بمضمون التوضيح = شرح اوضح المسالك، ج4، ص 404.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7742_69748"/>
    <w:bookmarkEnd w:id="182"/>
    <w:p>
      <w:pPr>
        <w:pStyle w:val="BookText"/>
      </w:pPr>
      <w:r>
        <w:rPr>
          <w:rFonts w:ascii="Amiri" w:hAnsi="Amiri" w:eastAsia="Amiri" w:cs="Amiri"/>
          <w:lang w:bidi="ar-SA"/>
          <w:color w:val="111111"/>
          <w:sz w:val="28"/>
          <w:szCs w:val="28"/>
          <w:rtl/>
        </w:rPr>
        <w:t xml:space="preserve">4 .تمرين الطلاب في صناعة الاعراب = تركيب خالد - تركيب الالفية، ج 4،</w:t>
      </w:r>
    </w:p>
    <w:p>
      <w:pPr>
        <w:pStyle w:val="BookText"/>
      </w:pPr>
      <w:r>
        <w:rPr>
          <w:rFonts w:ascii="IRNazanin" w:hAnsi="IRNazanin" w:eastAsia="IRNazanin" w:cs="IRNazanin"/>
          <w:lang w:bidi="fa-IR"/>
          <w:color w:val="111111"/>
          <w:sz w:val="28"/>
          <w:szCs w:val="28"/>
          <w:rtl/>
        </w:rPr>
        <w:t xml:space="preserve">ص 880</w:t>
      </w:r>
    </w:p>
    <w:p>
      <w:pPr>
        <w:pStyle w:val="BookText"/>
      </w:pPr>
      <w:r>
        <w:rPr>
          <w:rFonts w:ascii="Amiri" w:hAnsi="Amiri" w:eastAsia="Amiri" w:cs="Amiri"/>
          <w:lang w:bidi="ar-SA"/>
          <w:color w:val="111111"/>
          <w:sz w:val="28"/>
          <w:szCs w:val="28"/>
          <w:rtl/>
        </w:rPr>
        <w:t xml:space="preserve">5 .حاشية موصل الطلاب إلى قواعد</w:t>
      </w:r>
    </w:p>
    <w:p>
      <w:pPr>
        <w:pStyle w:val="BookText"/>
      </w:pPr>
      <w:r>
        <w:rPr>
          <w:rFonts w:ascii="IRNazanin" w:hAnsi="IRNazanin" w:eastAsia="IRNazanin" w:cs="IRNazanin"/>
          <w:lang w:bidi="fa-IR"/>
          <w:color w:val="111111"/>
          <w:sz w:val="28"/>
          <w:szCs w:val="28"/>
          <w:rtl/>
        </w:rPr>
        <w:t xml:space="preserve">الأعراب، ج 6، ص 431 .</w:t>
      </w:r>
    </w:p>
    <w:p>
      <w:pPr>
        <w:pStyle w:val="BookText"/>
      </w:pPr>
      <w:r>
        <w:rPr>
          <w:rFonts w:ascii="Amiri" w:hAnsi="Amiri" w:eastAsia="Amiri" w:cs="Amiri"/>
          <w:lang w:bidi="ar-SA"/>
          <w:color w:val="111111"/>
          <w:sz w:val="28"/>
          <w:szCs w:val="28"/>
          <w:rtl/>
        </w:rPr>
        <w:t xml:space="preserve">6 .الحواشي الازهرية في حل الفاظ المقدمة الجزرية، ج 6 ، ص 830.</w:t>
      </w:r>
    </w:p>
    <w:p>
      <w:pPr>
        <w:pStyle w:val="BookText"/>
      </w:pPr>
      <w:r>
        <w:rPr>
          <w:rFonts w:ascii="Amiri" w:hAnsi="Amiri" w:eastAsia="Amiri" w:cs="Amiri"/>
          <w:lang w:bidi="ar-SA"/>
          <w:color w:val="111111"/>
          <w:sz w:val="28"/>
          <w:szCs w:val="28"/>
          <w:rtl/>
        </w:rPr>
        <w:t xml:space="preserve">7 .الزبدة في شرح قصيدة البردة، ج8،</w:t>
      </w:r>
    </w:p>
    <w:p>
      <w:pPr>
        <w:pStyle w:val="BookText"/>
      </w:pPr>
      <w:r>
        <w:rPr>
          <w:rFonts w:ascii="IRNazanin" w:hAnsi="IRNazanin" w:eastAsia="IRNazanin" w:cs="IRNazanin"/>
          <w:lang w:bidi="fa-IR"/>
          <w:color w:val="111111"/>
          <w:sz w:val="28"/>
          <w:szCs w:val="28"/>
          <w:rtl/>
        </w:rPr>
        <w:t xml:space="preserve">ص 582</w:t>
      </w:r>
    </w:p>
    <w:p>
      <w:pPr>
        <w:pStyle w:val="BookText"/>
      </w:pPr>
      <w:r>
        <w:rPr>
          <w:rFonts w:ascii="Amiri" w:hAnsi="Amiri" w:eastAsia="Amiri" w:cs="Amiri"/>
          <w:lang w:bidi="ar-SA"/>
          <w:color w:val="111111"/>
          <w:sz w:val="28"/>
          <w:szCs w:val="28"/>
          <w:rtl/>
        </w:rPr>
        <w:t xml:space="preserve">8 .شرح الآجرومية = الدرة اليتمية في</w:t>
      </w:r>
    </w:p>
    <w:p>
      <w:pPr>
        <w:pStyle w:val="BookText"/>
      </w:pPr>
      <w:r>
        <w:rPr>
          <w:rFonts w:ascii="Amiri" w:hAnsi="Amiri" w:eastAsia="Amiri" w:cs="Amiri"/>
          <w:lang w:bidi="ar-SA"/>
          <w:color w:val="111111"/>
          <w:sz w:val="28"/>
          <w:szCs w:val="28"/>
          <w:rtl/>
        </w:rPr>
        <w:t xml:space="preserve">شرح الآجرومية في علم العربية</w:t>
      </w:r>
    </w:p>
    <w:p>
      <w:pPr>
        <w:pStyle w:val="BookText"/>
      </w:pPr>
      <w:r>
        <w:rPr>
          <w:rFonts w:ascii="IRNazanin" w:hAnsi="IRNazanin" w:eastAsia="IRNazanin" w:cs="IRNazanin"/>
          <w:lang w:bidi="fa-IR"/>
          <w:color w:val="111111"/>
          <w:sz w:val="28"/>
          <w:szCs w:val="28"/>
          <w:rtl/>
        </w:rPr>
        <w:t xml:space="preserve">ج 9، ص117.</w:t>
      </w:r>
    </w:p>
    <w:p>
      <w:pPr>
        <w:pStyle w:val="BookText"/>
      </w:pPr>
      <w:r>
        <w:rPr>
          <w:rFonts w:ascii="Amiri" w:hAnsi="Amiri" w:eastAsia="Amiri" w:cs="Amiri"/>
          <w:lang w:bidi="ar-SA"/>
          <w:color w:val="111111"/>
          <w:sz w:val="28"/>
          <w:szCs w:val="28"/>
          <w:rtl/>
        </w:rPr>
        <w:t xml:space="preserve">9 .شرح الفية ابن مالك، ج 9، ص223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المقدمة الازهرية في علم العربية = الدرة البهية في شرح مقدمة الأزهرية في علم العربية ج 10، ص 187 .</w:t>
      </w:r>
    </w:p>
    <w:p>
      <w:pPr>
        <w:pStyle w:val="BookText"/>
      </w:pPr>
      <w:r>
        <w:rPr>
          <w:rFonts w:ascii="IRNazanin" w:hAnsi="IRNazanin" w:eastAsia="IRNazanin" w:cs="IRNazanin"/>
          <w:lang w:bidi="fa-IR"/>
          <w:color w:val="111111"/>
          <w:sz w:val="28"/>
          <w:szCs w:val="28"/>
          <w:rtl/>
        </w:rPr>
        <w:t xml:space="preserve">11 .شرح قطر الندى وبل الصدى</w:t>
      </w:r>
    </w:p>
    <w:p>
      <w:pPr>
        <w:pStyle w:val="BookText"/>
      </w:pPr>
      <w:r>
        <w:rPr>
          <w:rFonts w:ascii="IRNazanin" w:hAnsi="IRNazanin" w:eastAsia="IRNazanin" w:cs="IRNazanin"/>
          <w:lang w:bidi="fa-IR"/>
          <w:color w:val="111111"/>
          <w:sz w:val="28"/>
          <w:szCs w:val="28"/>
          <w:rtl/>
        </w:rPr>
        <w:t xml:space="preserve">ج 10، ص 13.</w:t>
      </w:r>
    </w:p>
    <w:p>
      <w:pPr>
        <w:pStyle w:val="BookText"/>
      </w:pPr>
      <w:r>
        <w:rPr>
          <w:rFonts w:ascii="Amiri" w:hAnsi="Amiri" w:eastAsia="Amiri" w:cs="Amiri"/>
          <w:lang w:bidi="ar-SA"/>
          <w:color w:val="111111"/>
          <w:sz w:val="28"/>
          <w:szCs w:val="28"/>
          <w:rtl/>
        </w:rPr>
        <w:t xml:space="preserve">12 .العمل في اعراب البردة، ج11،</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Amiri" w:hAnsi="Amiri" w:eastAsia="Amiri" w:cs="Amiri"/>
          <w:lang w:bidi="ar-SA"/>
          <w:color w:val="111111"/>
          <w:sz w:val="28"/>
          <w:szCs w:val="28"/>
          <w:rtl/>
        </w:rPr>
        <w:t xml:space="preserve">13 .المقدمة الأزهرية في علم العربية</w:t>
      </w:r>
    </w:p>
    <w:p>
      <w:pPr>
        <w:pStyle w:val="BookText"/>
      </w:pPr>
      <w:r>
        <w:rPr>
          <w:rFonts w:ascii="IRNazanin" w:hAnsi="IRNazanin" w:eastAsia="IRNazanin" w:cs="IRNazanin"/>
          <w:lang w:bidi="fa-IR"/>
          <w:color w:val="111111"/>
          <w:sz w:val="28"/>
          <w:szCs w:val="28"/>
          <w:rtl/>
        </w:rPr>
        <w:t xml:space="preserve">ج 15، ص 349.</w:t>
      </w:r>
    </w:p>
    <w:p>
      <w:pPr>
        <w:pStyle w:val="BookText"/>
      </w:pPr>
      <w:r>
        <w:rPr>
          <w:rFonts w:ascii="IRNazanin" w:hAnsi="IRNazanin" w:eastAsia="IRNazanin" w:cs="IRNazanin"/>
          <w:lang w:bidi="fa-IR"/>
          <w:color w:val="111111"/>
          <w:sz w:val="28"/>
          <w:szCs w:val="28"/>
          <w:rtl/>
        </w:rPr>
        <w:t xml:space="preserve">14 .موصل الطلاب إلى قواعد الاعراب</w:t>
      </w:r>
    </w:p>
    <w:p>
      <w:pPr>
        <w:pStyle w:val="BookText"/>
      </w:pPr>
      <w:r>
        <w:rPr>
          <w:rFonts w:ascii="IRNazanin" w:hAnsi="IRNazanin" w:eastAsia="IRNazanin" w:cs="IRNazanin"/>
          <w:lang w:bidi="fa-IR"/>
          <w:color w:val="111111"/>
          <w:sz w:val="28"/>
          <w:szCs w:val="28"/>
          <w:rtl/>
        </w:rPr>
        <w:t xml:space="preserve">ج 16، ص 25.</w:t>
      </w:r>
    </w:p>
    <w:p>
      <w:pPr>
        <w:pStyle w:val="BookText"/>
      </w:pPr>
      <w:r>
        <w:rPr>
          <w:rFonts w:ascii="Amiri" w:hAnsi="Amiri" w:eastAsia="Amiri" w:cs="Amiri"/>
          <w:lang w:bidi="ar-SA"/>
          <w:color w:val="111111"/>
          <w:sz w:val="28"/>
          <w:szCs w:val="28"/>
          <w:rtl/>
        </w:rPr>
        <w:t xml:space="preserve">15 .الوشاح في فوائد النكاح، ج 16،</w:t>
      </w:r>
    </w:p>
    <w:p>
      <w:pPr>
        <w:pStyle w:val="BookText"/>
      </w:pPr>
      <w:r>
        <w:rPr>
          <w:rFonts w:ascii="IRNazanin" w:hAnsi="IRNazanin" w:eastAsia="IRNazanin" w:cs="IRNazanin"/>
          <w:lang w:bidi="fa-IR"/>
          <w:color w:val="111111"/>
          <w:sz w:val="28"/>
          <w:szCs w:val="28"/>
          <w:rtl/>
        </w:rPr>
        <w:t xml:space="preserve">ص 794.</w:t>
      </w:r>
    </w:p>
    <w:p>
      <w:pPr>
        <w:pStyle w:val="Heading2"/>
      </w:pPr>
      <w:bookmarkStart w:id="2117" w:name="_Toc1219"/>
      <w:r>
        <w:t>ازهري ، عبدالله بن احمد</w:t>
      </w:r>
      <w:bookmarkEnd w:id="2117"/>
    </w:p>
    <w:p>
      <w:pPr>
        <w:pStyle w:val="BookText"/>
      </w:pPr>
      <w:r>
        <w:rPr>
          <w:rFonts w:ascii="Amiri" w:hAnsi="Amiri" w:eastAsia="Amiri" w:cs="Amiri"/>
          <w:lang w:bidi="ar-SA"/>
          <w:color w:val="111111"/>
          <w:sz w:val="28"/>
          <w:szCs w:val="28"/>
          <w:rtl/>
        </w:rPr>
        <w:t xml:space="preserve">اتحاف ذوي الالباب في ذوات الاذناب</w:t>
      </w:r>
    </w:p>
    <w:p>
      <w:pPr>
        <w:pStyle w:val="BookText"/>
      </w:pPr>
      <w:r>
        <w:rPr>
          <w:rFonts w:ascii="IRNazanin" w:hAnsi="IRNazanin" w:eastAsia="IRNazanin" w:cs="IRNazanin"/>
          <w:lang w:bidi="fa-IR"/>
          <w:color w:val="111111"/>
          <w:sz w:val="28"/>
          <w:szCs w:val="28"/>
          <w:rtl/>
        </w:rPr>
        <w:t xml:space="preserve">ج 1، ص128.</w:t>
      </w:r>
    </w:p>
    <w:p>
      <w:pPr>
        <w:pStyle w:val="Heading2"/>
      </w:pPr>
      <w:bookmarkStart w:id="2118" w:name="_Toc1220"/>
      <w:r>
        <w:t>ازهري مالكي حسيني ، محمّد، 13 ه-</w:t>
      </w:r>
      <w:bookmarkEnd w:id="2118"/>
    </w:p>
    <w:p>
      <w:pPr>
        <w:pStyle w:val="BookText"/>
      </w:pPr>
      <w:r>
        <w:rPr>
          <w:rFonts w:ascii="Amiri" w:hAnsi="Amiri" w:eastAsia="Amiri" w:cs="Amiri"/>
          <w:lang w:bidi="ar-SA"/>
          <w:color w:val="111111"/>
          <w:sz w:val="28"/>
          <w:szCs w:val="28"/>
          <w:rtl/>
        </w:rPr>
        <w:t xml:space="preserve">كفاية الطلاب لمعرفة الاوقات بالعمل</w:t>
      </w:r>
    </w:p>
    <w:p>
      <w:pPr>
        <w:pStyle w:val="BookText"/>
      </w:pPr>
      <w:r>
        <w:rPr>
          <w:rFonts w:ascii="Amiri" w:hAnsi="Amiri" w:eastAsia="Amiri" w:cs="Amiri"/>
          <w:lang w:bidi="ar-SA"/>
          <w:color w:val="111111"/>
          <w:sz w:val="28"/>
          <w:szCs w:val="28"/>
          <w:rtl/>
        </w:rPr>
        <w:t xml:space="preserve">بما في الربع من المقنطرات، ج13، ص321.</w:t>
      </w:r>
    </w:p>
    <w:p>
      <w:pPr>
        <w:pStyle w:val="Heading2"/>
      </w:pPr>
      <w:bookmarkStart w:id="2119" w:name="_Toc1221"/>
      <w:r>
        <w:t>ازهري ، محمّد بن احمد، 282 - 370 ه-</w:t>
      </w:r>
      <w:bookmarkEnd w:id="2119"/>
    </w:p>
    <w:p>
      <w:pPr>
        <w:pStyle w:val="BookText"/>
      </w:pPr>
      <w:r>
        <w:rPr>
          <w:rFonts w:ascii="Amiri" w:hAnsi="Amiri" w:eastAsia="Amiri" w:cs="Amiri"/>
          <w:lang w:bidi="ar-SA"/>
          <w:color w:val="111111"/>
          <w:sz w:val="28"/>
          <w:szCs w:val="28"/>
          <w:rtl/>
        </w:rPr>
        <w:t xml:space="preserve">1 . التقريب في التفسير، ج 4، ص 726.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تهذيب اللغة، ج 5، ص 122</w:t>
      </w:r>
    </w:p>
    <w:p>
      <w:pPr>
        <w:pStyle w:val="Heading2"/>
      </w:pPr>
      <w:bookmarkStart w:id="2120" w:name="_Toc1222"/>
      <w:r>
        <w:t>ازهري ، مراد</w:t>
      </w:r>
      <w:bookmarkEnd w:id="2120"/>
    </w:p>
    <w:p>
      <w:pPr>
        <w:pStyle w:val="BookText"/>
      </w:pPr>
      <w:r>
        <w:rPr>
          <w:rFonts w:ascii="Amiri" w:hAnsi="Amiri" w:eastAsia="Amiri" w:cs="Amiri"/>
          <w:lang w:bidi="ar-SA"/>
          <w:color w:val="111111"/>
          <w:sz w:val="28"/>
          <w:szCs w:val="28"/>
          <w:rtl/>
        </w:rPr>
        <w:t xml:space="preserve">شقائق النعمان في ذكر طبقات العلماء اولياء الرحمن، ج 10، ص 395 .</w:t>
      </w:r>
    </w:p>
    <w:p>
      <w:pPr>
        <w:pStyle w:val="BookText"/>
      </w:pPr>
      <w:r>
        <w:rPr>
          <w:rFonts w:ascii="Amiri" w:hAnsi="Amiri" w:eastAsia="Amiri" w:cs="Amiri"/>
          <w:lang w:bidi="ar-SA"/>
          <w:color w:val="111111"/>
          <w:sz w:val="28"/>
          <w:szCs w:val="28"/>
          <w:rtl/>
        </w:rPr>
        <w:t xml:space="preserve">اسامه بن مرشد كناني كلبي (ابن منقذ) -ابن منقذ ، اسامة بن مرشد</w:t>
      </w:r>
    </w:p>
    <w:p>
      <w:pPr>
        <w:pStyle w:val="BookText"/>
      </w:pPr>
      <w:r>
        <w:rPr>
          <w:rFonts w:ascii="Amiri" w:hAnsi="Amiri" w:eastAsia="Amiri" w:cs="Amiri"/>
          <w:lang w:bidi="ar-SA"/>
          <w:color w:val="111111"/>
          <w:sz w:val="28"/>
          <w:szCs w:val="28"/>
          <w:rtl/>
        </w:rPr>
        <w:t xml:space="preserve">اسامه ناصر نقشبندي- نقشبندي ، اسامه</w:t>
      </w:r>
    </w:p>
    <w:p>
      <w:pPr>
        <w:pStyle w:val="BookText"/>
      </w:pPr>
      <w:r>
        <w:rPr>
          <w:rFonts w:ascii="IRNazanin" w:hAnsi="IRNazanin" w:eastAsia="IRNazanin" w:cs="IRNazanin"/>
          <w:lang w:bidi="fa-IR"/>
          <w:color w:val="111111"/>
          <w:sz w:val="28"/>
          <w:szCs w:val="28"/>
          <w:rtl/>
        </w:rPr>
        <w:t xml:space="preserve">ناصر</w:t>
      </w:r>
    </w:p>
    <w:p>
      <w:pPr>
        <w:pStyle w:val="BookText"/>
      </w:pPr>
      <w:r>
        <w:rPr>
          <w:rFonts w:ascii="Amiri" w:hAnsi="Amiri" w:eastAsia="Amiri" w:cs="Amiri"/>
          <w:lang w:bidi="ar-SA"/>
          <w:color w:val="111111"/>
          <w:sz w:val="28"/>
          <w:szCs w:val="28"/>
          <w:rtl/>
        </w:rPr>
        <w:t xml:space="preserve">اسبعي، احمد بن محمّد- سبعي ، احمد</w:t>
      </w:r>
    </w:p>
    <w:p>
      <w:pPr>
        <w:pStyle w:val="BookText"/>
      </w:pPr>
      <w:r>
        <w:rPr>
          <w:rFonts w:ascii="Amiri" w:hAnsi="Amiri" w:eastAsia="Amiri" w:cs="Amiri"/>
          <w:lang w:bidi="ar-SA"/>
          <w:color w:val="111111"/>
          <w:sz w:val="28"/>
          <w:szCs w:val="28"/>
          <w:rtl/>
        </w:rPr>
        <w:t xml:space="preserve">بن محمّد</w:t>
      </w:r>
    </w:p>
    <w:p>
      <w:pPr>
        <w:pStyle w:val="Heading2"/>
      </w:pPr>
      <w:bookmarkStart w:id="2121" w:name="_Toc1223"/>
      <w:r>
        <w:t>اسبيجابي ، علي بن محمّد، 454 - 535 ه-</w:t>
      </w:r>
      <w:bookmarkEnd w:id="2121"/>
    </w:p>
    <w:p>
      <w:pPr>
        <w:pStyle w:val="BookText"/>
      </w:pPr>
      <w:r>
        <w:rPr>
          <w:rFonts w:ascii="Amiri" w:hAnsi="Amiri" w:eastAsia="Amiri" w:cs="Amiri"/>
          <w:lang w:bidi="ar-SA"/>
          <w:color w:val="111111"/>
          <w:sz w:val="28"/>
          <w:szCs w:val="28"/>
          <w:rtl/>
        </w:rPr>
        <w:t xml:space="preserve">شرح مختصر الطحاوي، ج 10، ص 116.</w:t>
      </w:r>
    </w:p>
    <w:p>
      <w:pPr>
        <w:pStyle w:val="Heading2"/>
      </w:pPr>
      <w:bookmarkStart w:id="2122" w:name="_Toc1224"/>
      <w:r>
        <w:t>اسبيري ، عمر بن علي - 1202 ه-</w:t>
      </w:r>
      <w:bookmarkEnd w:id="2122"/>
    </w:p>
    <w:p>
      <w:pPr>
        <w:pStyle w:val="BookText"/>
      </w:pPr>
      <w:r>
        <w:rPr>
          <w:rFonts w:ascii="Amiri" w:hAnsi="Amiri" w:eastAsia="Amiri" w:cs="Amiri"/>
          <w:lang w:bidi="ar-SA"/>
          <w:color w:val="111111"/>
          <w:sz w:val="28"/>
          <w:szCs w:val="28"/>
          <w:rtl/>
        </w:rPr>
        <w:t xml:space="preserve">الرسالة الجودية في الآية النوحية، ج8،</w:t>
      </w:r>
    </w:p>
    <w:p>
      <w:pPr>
        <w:pStyle w:val="BookText"/>
      </w:pPr>
      <w:r>
        <w:rPr>
          <w:rFonts w:ascii="IRNazanin" w:hAnsi="IRNazanin" w:eastAsia="IRNazanin" w:cs="IRNazanin"/>
          <w:lang w:bidi="fa-IR"/>
          <w:color w:val="111111"/>
          <w:sz w:val="28"/>
          <w:szCs w:val="28"/>
          <w:rtl/>
        </w:rPr>
        <w:t xml:space="preserve">ص 187 .</w:t>
      </w:r>
    </w:p>
    <w:p>
      <w:pPr>
        <w:pStyle w:val="Heading2"/>
      </w:pPr>
      <w:bookmarkStart w:id="2123" w:name="_Toc1225"/>
      <w:r>
        <w:t>اسپهبدي ، عبدالله بن محمّد - 591 ه-</w:t>
      </w:r>
      <w:bookmarkEnd w:id="2123"/>
    </w:p>
    <w:p>
      <w:pPr>
        <w:pStyle w:val="BookText"/>
      </w:pPr>
      <w:r>
        <w:rPr>
          <w:rFonts w:ascii="Amiri" w:hAnsi="Amiri" w:eastAsia="Amiri" w:cs="Amiri"/>
          <w:lang w:bidi="ar-SA"/>
          <w:color w:val="111111"/>
          <w:sz w:val="28"/>
          <w:szCs w:val="28"/>
          <w:rtl/>
        </w:rPr>
        <w:t xml:space="preserve">1 .الرسالة المكية في الخلوة الصوفية</w:t>
      </w:r>
    </w:p>
    <w:p>
      <w:pPr>
        <w:pStyle w:val="BookText"/>
      </w:pPr>
      <w:r>
        <w:rPr>
          <w:rFonts w:ascii="IRNazanin" w:hAnsi="IRNazanin" w:eastAsia="IRNazanin" w:cs="IRNazanin"/>
          <w:lang w:bidi="fa-IR"/>
          <w:color w:val="111111"/>
          <w:sz w:val="28"/>
          <w:szCs w:val="28"/>
          <w:rtl/>
        </w:rPr>
        <w:t xml:space="preserve">ج 8، ص 276.</w:t>
      </w:r>
    </w:p>
    <w:p>
      <w:pPr>
        <w:pStyle w:val="BookText"/>
      </w:pPr>
      <w:r>
        <w:rPr>
          <w:rFonts w:ascii="Amiri" w:hAnsi="Amiri" w:eastAsia="Amiri" w:cs="Amiri"/>
          <w:lang w:bidi="ar-SA"/>
          <w:color w:val="111111"/>
          <w:sz w:val="28"/>
          <w:szCs w:val="28"/>
          <w:rtl/>
        </w:rPr>
        <w:t xml:space="preserve">2 .نور العقائد وضياء العوائد، ج 16،</w:t>
      </w:r>
    </w:p>
    <w:p>
      <w:pPr>
        <w:pStyle w:val="BookText"/>
      </w:pPr>
      <w:r>
        <w:rPr>
          <w:rFonts w:ascii="IRNazanin" w:hAnsi="IRNazanin" w:eastAsia="IRNazanin" w:cs="IRNazanin"/>
          <w:lang w:bidi="fa-IR"/>
          <w:color w:val="111111"/>
          <w:sz w:val="28"/>
          <w:szCs w:val="28"/>
          <w:rtl/>
        </w:rPr>
        <w:t xml:space="preserve">ص 562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7742_69750"/>
    <w:bookmarkEnd w:id="183"/>
    <w:p>
      <w:pPr>
        <w:pStyle w:val="Heading2"/>
      </w:pPr>
      <w:bookmarkStart w:id="2124" w:name="_Toc1226"/>
      <w:r>
        <w:t>استرآبادي، ابراهيم بن ولي الله قرن 10 ه-</w:t>
      </w:r>
      <w:bookmarkEnd w:id="2124"/>
    </w:p>
    <w:p>
      <w:pPr>
        <w:pStyle w:val="BookText"/>
      </w:pPr>
      <w:r>
        <w:rPr>
          <w:rFonts w:ascii="IRNazanin" w:hAnsi="IRNazanin" w:eastAsia="IRNazanin" w:cs="IRNazanin"/>
          <w:lang w:bidi="fa-IR"/>
          <w:color w:val="111111"/>
          <w:sz w:val="28"/>
          <w:szCs w:val="28"/>
          <w:rtl/>
        </w:rPr>
        <w:t xml:space="preserve">حسنيه = مكالمات حسنیه = ترجمه</w:t>
      </w:r>
    </w:p>
    <w:p>
      <w:pPr>
        <w:pStyle w:val="BookText"/>
      </w:pPr>
      <w:r>
        <w:rPr>
          <w:rFonts w:ascii="Amiri" w:hAnsi="Amiri" w:eastAsia="Amiri" w:cs="Amiri"/>
          <w:lang w:bidi="ar-SA"/>
          <w:color w:val="111111"/>
          <w:sz w:val="28"/>
          <w:szCs w:val="28"/>
          <w:rtl/>
        </w:rPr>
        <w:t xml:space="preserve">حسنيه، ج 6 ، ص 654.</w:t>
      </w:r>
    </w:p>
    <w:p>
      <w:pPr>
        <w:pStyle w:val="BookText"/>
      </w:pPr>
      <w:r>
        <w:rPr>
          <w:rFonts w:ascii="Amiri" w:hAnsi="Amiri" w:eastAsia="Amiri" w:cs="Amiri"/>
          <w:lang w:bidi="ar-SA"/>
          <w:color w:val="111111"/>
          <w:sz w:val="28"/>
          <w:szCs w:val="28"/>
          <w:rtl/>
        </w:rPr>
        <w:t xml:space="preserve">استرآبادي، ابو جعفر محمّد- مروزي</w:t>
      </w:r>
    </w:p>
    <w:p>
      <w:pPr>
        <w:pStyle w:val="BookText"/>
      </w:pPr>
      <w:r>
        <w:rPr>
          <w:rFonts w:ascii="Amiri" w:hAnsi="Amiri" w:eastAsia="Amiri" w:cs="Amiri"/>
          <w:lang w:bidi="ar-SA"/>
          <w:color w:val="111111"/>
          <w:sz w:val="28"/>
          <w:szCs w:val="28"/>
          <w:rtl/>
        </w:rPr>
        <w:t xml:space="preserve">استرآبادي ، محمّد</w:t>
      </w:r>
    </w:p>
    <w:p>
      <w:pPr>
        <w:pStyle w:val="Heading2"/>
      </w:pPr>
      <w:bookmarkStart w:id="2125" w:name="_Toc1227"/>
      <w:r>
        <w:t>استرآبادي ، احمد بن حسن قرن 10 ه-</w:t>
      </w:r>
      <w:bookmarkEnd w:id="2125"/>
    </w:p>
    <w:p>
      <w:pPr>
        <w:pStyle w:val="BookText"/>
      </w:pPr>
      <w:r>
        <w:rPr>
          <w:rFonts w:ascii="Amiri" w:hAnsi="Amiri" w:eastAsia="Amiri" w:cs="Amiri"/>
          <w:lang w:bidi="ar-SA"/>
          <w:color w:val="111111"/>
          <w:sz w:val="28"/>
          <w:szCs w:val="28"/>
          <w:rtl/>
        </w:rPr>
        <w:t xml:space="preserve">آثار احمدي - روضة النبي في الآثار المصطفوي، ج 1، ص 5.</w:t>
      </w:r>
    </w:p>
    <w:p>
      <w:pPr>
        <w:pStyle w:val="Heading2"/>
      </w:pPr>
      <w:bookmarkStart w:id="2126" w:name="_Toc1228"/>
      <w:r>
        <w:t>استرآبادي ، امير محمّد بن ابي طالب، قرن</w:t>
      </w:r>
      <w:bookmarkEnd w:id="2126"/>
    </w:p>
    <w:p>
      <w:pPr>
        <w:pStyle w:val="BookText"/>
      </w:pPr>
      <w:r>
        <w:rPr>
          <w:rFonts w:ascii="IRNazanin" w:hAnsi="IRNazanin" w:eastAsia="IRNazanin" w:cs="IRNazanin"/>
          <w:lang w:bidi="fa-IR"/>
          <w:color w:val="111111"/>
          <w:sz w:val="28"/>
          <w:szCs w:val="28"/>
          <w:rtl/>
        </w:rPr>
        <w:t xml:space="preserve">10ه-</w:t>
      </w:r>
    </w:p>
    <w:p>
      <w:pPr>
        <w:pStyle w:val="BookText"/>
      </w:pPr>
      <w:r>
        <w:rPr>
          <w:rFonts w:ascii="Amiri" w:hAnsi="Amiri" w:eastAsia="Amiri" w:cs="Amiri"/>
          <w:lang w:bidi="ar-SA"/>
          <w:color w:val="111111"/>
          <w:sz w:val="28"/>
          <w:szCs w:val="28"/>
          <w:rtl/>
        </w:rPr>
        <w:t xml:space="preserve">1 .حدائق اليقين في فضائل امام</w:t>
      </w:r>
    </w:p>
    <w:p>
      <w:pPr>
        <w:pStyle w:val="BookText"/>
      </w:pPr>
      <w:r>
        <w:rPr>
          <w:rFonts w:ascii="Amiri" w:hAnsi="Amiri" w:eastAsia="Amiri" w:cs="Amiri"/>
          <w:lang w:bidi="ar-SA"/>
          <w:color w:val="111111"/>
          <w:sz w:val="28"/>
          <w:szCs w:val="28"/>
          <w:rtl/>
        </w:rPr>
        <w:t xml:space="preserve">المتقين، ج6، ص 540.</w:t>
      </w:r>
    </w:p>
    <w:p>
      <w:pPr>
        <w:pStyle w:val="BookText"/>
      </w:pPr>
      <w:r>
        <w:rPr>
          <w:rFonts w:ascii="Amiri" w:hAnsi="Amiri" w:eastAsia="Amiri" w:cs="Amiri"/>
          <w:lang w:bidi="ar-SA"/>
          <w:color w:val="111111"/>
          <w:sz w:val="28"/>
          <w:szCs w:val="28"/>
          <w:rtl/>
        </w:rPr>
        <w:t xml:space="preserve">2 .حديقة الرياحين، ج 6، ص 584.</w:t>
      </w:r>
    </w:p>
    <w:p>
      <w:pPr>
        <w:pStyle w:val="BookText"/>
      </w:pPr>
      <w:r>
        <w:rPr>
          <w:rFonts w:ascii="Amiri" w:hAnsi="Amiri" w:eastAsia="Amiri" w:cs="Amiri"/>
          <w:lang w:bidi="ar-SA"/>
          <w:color w:val="111111"/>
          <w:sz w:val="28"/>
          <w:szCs w:val="28"/>
          <w:rtl/>
        </w:rPr>
        <w:t xml:space="preserve">3 .زبدة (ترجمة)، ج 8، ص 548.</w:t>
      </w:r>
    </w:p>
    <w:p>
      <w:pPr>
        <w:pStyle w:val="BookText"/>
      </w:pPr>
      <w:r>
        <w:rPr>
          <w:rFonts w:ascii="Amiri" w:hAnsi="Amiri" w:eastAsia="Amiri" w:cs="Amiri"/>
          <w:lang w:bidi="ar-SA"/>
          <w:color w:val="111111"/>
          <w:sz w:val="28"/>
          <w:szCs w:val="28"/>
          <w:rtl/>
        </w:rPr>
        <w:t xml:space="preserve">4 .شرح نجاة العباد في معرفة المبدأ و</w:t>
      </w:r>
    </w:p>
    <w:p>
      <w:pPr>
        <w:pStyle w:val="BookText"/>
      </w:pPr>
      <w:r>
        <w:rPr>
          <w:rFonts w:ascii="IRNazanin" w:hAnsi="IRNazanin" w:eastAsia="IRNazanin" w:cs="IRNazanin"/>
          <w:lang w:bidi="fa-IR"/>
          <w:color w:val="111111"/>
          <w:sz w:val="28"/>
          <w:szCs w:val="28"/>
          <w:rtl/>
        </w:rPr>
        <w:t xml:space="preserve">المعاد، ج 10، ص281.</w:t>
      </w:r>
    </w:p>
    <w:p>
      <w:pPr>
        <w:pStyle w:val="BookText"/>
      </w:pPr>
      <w:r>
        <w:rPr>
          <w:rFonts w:ascii="Amiri" w:hAnsi="Amiri" w:eastAsia="Amiri" w:cs="Amiri"/>
          <w:lang w:bidi="ar-SA"/>
          <w:color w:val="111111"/>
          <w:sz w:val="28"/>
          <w:szCs w:val="28"/>
          <w:rtl/>
        </w:rPr>
        <w:t xml:space="preserve">5 .مصباح الفقيه، ج 14، ص 717.</w:t>
      </w:r>
    </w:p>
    <w:p>
      <w:pPr>
        <w:pStyle w:val="BookText"/>
      </w:pPr>
      <w:r>
        <w:rPr>
          <w:rFonts w:ascii="Amiri" w:hAnsi="Amiri" w:eastAsia="Amiri" w:cs="Amiri"/>
          <w:lang w:bidi="ar-SA"/>
          <w:color w:val="111111"/>
          <w:sz w:val="28"/>
          <w:szCs w:val="28"/>
          <w:rtl/>
        </w:rPr>
        <w:t xml:space="preserve">6 .المطالب المظفرية في شرح الرسالة</w:t>
      </w:r>
    </w:p>
    <w:p>
      <w:pPr>
        <w:pStyle w:val="BookText"/>
      </w:pPr>
      <w:r>
        <w:rPr>
          <w:rFonts w:ascii="Amiri" w:hAnsi="Amiri" w:eastAsia="Amiri" w:cs="Amiri"/>
          <w:lang w:bidi="ar-SA"/>
          <w:color w:val="111111"/>
          <w:sz w:val="28"/>
          <w:szCs w:val="28"/>
          <w:rtl/>
        </w:rPr>
        <w:t xml:space="preserve">الجعفرية، ج 14، ص 764.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نفحات اللاهوت في لعن الجبت و الطاغوت (ترجمه)، ج 16، ص 386.</w:t>
      </w:r>
    </w:p>
    <w:p>
      <w:pPr>
        <w:pStyle w:val="Heading2"/>
      </w:pPr>
      <w:bookmarkStart w:id="2127" w:name="_Toc1229"/>
      <w:r>
        <w:t>استرآبادي، حسن بن محمّد، 645-717ه-</w:t>
      </w:r>
      <w:bookmarkEnd w:id="2127"/>
    </w:p>
    <w:p>
      <w:pPr>
        <w:pStyle w:val="BookText"/>
      </w:pPr>
      <w:r>
        <w:rPr>
          <w:rFonts w:ascii="Amiri" w:hAnsi="Amiri" w:eastAsia="Amiri" w:cs="Amiri"/>
          <w:lang w:bidi="ar-SA"/>
          <w:color w:val="111111"/>
          <w:sz w:val="28"/>
          <w:szCs w:val="28"/>
          <w:rtl/>
        </w:rPr>
        <w:t xml:space="preserve">1 .حاشية الفوائد الضيائية في شرح</w:t>
      </w:r>
    </w:p>
    <w:p>
      <w:pPr>
        <w:pStyle w:val="BookText"/>
      </w:pPr>
      <w:r>
        <w:rPr>
          <w:rFonts w:ascii="Amiri" w:hAnsi="Amiri" w:eastAsia="Amiri" w:cs="Amiri"/>
          <w:lang w:bidi="ar-SA"/>
          <w:color w:val="111111"/>
          <w:sz w:val="28"/>
          <w:szCs w:val="28"/>
          <w:rtl/>
        </w:rPr>
        <w:t xml:space="preserve">الكافية، ج6، ص 272.</w:t>
      </w:r>
    </w:p>
    <w:p>
      <w:pPr>
        <w:pStyle w:val="BookText"/>
      </w:pPr>
      <w:r>
        <w:rPr>
          <w:rFonts w:ascii="IRNazanin" w:hAnsi="IRNazanin" w:eastAsia="IRNazanin" w:cs="IRNazanin"/>
          <w:lang w:bidi="fa-IR"/>
          <w:color w:val="111111"/>
          <w:sz w:val="28"/>
          <w:szCs w:val="28"/>
          <w:rtl/>
        </w:rPr>
        <w:t xml:space="preserve">2 .حل العقد و العقل، ج 6 ، ص 786 .</w:t>
      </w:r>
    </w:p>
    <w:p>
      <w:pPr>
        <w:pStyle w:val="BookText"/>
      </w:pPr>
      <w:r>
        <w:rPr>
          <w:rFonts w:ascii="Amiri" w:hAnsi="Amiri" w:eastAsia="Amiri" w:cs="Amiri"/>
          <w:lang w:bidi="ar-SA"/>
          <w:color w:val="111111"/>
          <w:sz w:val="28"/>
          <w:szCs w:val="28"/>
          <w:rtl/>
        </w:rPr>
        <w:t xml:space="preserve">3 .شرح الشافية، ج9، ص 595.</w:t>
      </w:r>
    </w:p>
    <w:p>
      <w:pPr>
        <w:pStyle w:val="BookText"/>
      </w:pPr>
      <w:r>
        <w:rPr>
          <w:rFonts w:ascii="IRNazanin" w:hAnsi="IRNazanin" w:eastAsia="IRNazanin" w:cs="IRNazanin"/>
          <w:lang w:bidi="fa-IR"/>
          <w:color w:val="111111"/>
          <w:sz w:val="28"/>
          <w:szCs w:val="28"/>
          <w:rtl/>
        </w:rPr>
        <w:t xml:space="preserve">4 .معارج السؤول و مدارج المامول</w:t>
      </w:r>
    </w:p>
    <w:p>
      <w:pPr>
        <w:pStyle w:val="BookText"/>
      </w:pPr>
      <w:r>
        <w:rPr>
          <w:rFonts w:ascii="IRNazanin" w:hAnsi="IRNazanin" w:eastAsia="IRNazanin" w:cs="IRNazanin"/>
          <w:lang w:bidi="fa-IR"/>
          <w:color w:val="111111"/>
          <w:sz w:val="28"/>
          <w:szCs w:val="28"/>
          <w:rtl/>
        </w:rPr>
        <w:t xml:space="preserve">ج 14 ، ص 837.</w:t>
      </w:r>
    </w:p>
    <w:p>
      <w:pPr>
        <w:pStyle w:val="BookText"/>
      </w:pPr>
      <w:r>
        <w:rPr>
          <w:rFonts w:ascii="Amiri" w:hAnsi="Amiri" w:eastAsia="Amiri" w:cs="Amiri"/>
          <w:lang w:bidi="ar-SA"/>
          <w:color w:val="111111"/>
          <w:sz w:val="28"/>
          <w:szCs w:val="28"/>
          <w:rtl/>
        </w:rPr>
        <w:t xml:space="preserve">5.الوافية في شرح الكافية = شرح الكافية المتوسط، ج 16، ص 707.</w:t>
      </w:r>
    </w:p>
    <w:p>
      <w:pPr>
        <w:pStyle w:val="Heading2"/>
      </w:pPr>
      <w:bookmarkStart w:id="2128" w:name="_Toc1230"/>
      <w:r>
        <w:t>استرآبادي ، حسين بن احمد قرن 5 ه-</w:t>
      </w:r>
      <w:bookmarkEnd w:id="2128"/>
    </w:p>
    <w:p>
      <w:pPr>
        <w:pStyle w:val="BookText"/>
      </w:pPr>
      <w:r>
        <w:rPr>
          <w:rFonts w:ascii="Amiri" w:hAnsi="Amiri" w:eastAsia="Amiri" w:cs="Amiri"/>
          <w:lang w:bidi="ar-SA"/>
          <w:color w:val="111111"/>
          <w:sz w:val="28"/>
          <w:szCs w:val="28"/>
          <w:rtl/>
        </w:rPr>
        <w:t xml:space="preserve">محنة الأديب، ج 14، ص134.</w:t>
      </w:r>
    </w:p>
    <w:p>
      <w:pPr>
        <w:pStyle w:val="Heading2"/>
      </w:pPr>
      <w:bookmarkStart w:id="2129" w:name="_Toc1231"/>
      <w:r>
        <w:t>استرآبادي ، حسين بن محمّد، قرن 9 ه-</w:t>
      </w:r>
      <w:bookmarkEnd w:id="2129"/>
    </w:p>
    <w:p>
      <w:pPr>
        <w:pStyle w:val="BookText"/>
      </w:pPr>
      <w:r>
        <w:rPr>
          <w:rFonts w:ascii="IRNazanin" w:hAnsi="IRNazanin" w:eastAsia="IRNazanin" w:cs="IRNazanin"/>
          <w:lang w:bidi="fa-IR"/>
          <w:color w:val="111111"/>
          <w:sz w:val="28"/>
          <w:szCs w:val="28"/>
          <w:rtl/>
        </w:rPr>
        <w:t xml:space="preserve">شرح القانونچه، ج9، ص817</w:t>
      </w:r>
    </w:p>
    <w:p>
      <w:pPr>
        <w:pStyle w:val="BookText"/>
      </w:pPr>
      <w:r>
        <w:rPr>
          <w:rFonts w:ascii="Amiri" w:hAnsi="Amiri" w:eastAsia="Amiri" w:cs="Amiri"/>
          <w:lang w:bidi="ar-SA"/>
          <w:color w:val="111111"/>
          <w:sz w:val="28"/>
          <w:szCs w:val="28"/>
          <w:rtl/>
        </w:rPr>
        <w:t xml:space="preserve">استرآبادي ، رضي الدين محمّد بن حسن -رضي الدين استرآبادي، محمّد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2130" w:name="_Toc1232"/>
      <w:r>
        <w:t>استرآبادي، شرف الدين علي - 965ه-</w:t>
      </w:r>
      <w:bookmarkEnd w:id="2130"/>
    </w:p>
    <w:p>
      <w:pPr>
        <w:pStyle w:val="BookText"/>
      </w:pPr>
      <w:r>
        <w:rPr>
          <w:rFonts w:ascii="Amiri" w:hAnsi="Amiri" w:eastAsia="Amiri" w:cs="Amiri"/>
          <w:lang w:bidi="ar-SA"/>
          <w:color w:val="111111"/>
          <w:sz w:val="28"/>
          <w:szCs w:val="28"/>
          <w:rtl/>
        </w:rPr>
        <w:t xml:space="preserve">1 .تأويل الآيات الظاهرة في فضائل</w:t>
      </w:r>
    </w:p>
    <w:p>
      <w:pPr>
        <w:pStyle w:val="BookText"/>
      </w:pPr>
      <w:r>
        <w:rPr>
          <w:rFonts w:ascii="Amiri" w:hAnsi="Amiri" w:eastAsia="Amiri" w:cs="Amiri"/>
          <w:lang w:bidi="ar-SA"/>
          <w:color w:val="111111"/>
          <w:sz w:val="28"/>
          <w:szCs w:val="28"/>
          <w:rtl/>
        </w:rPr>
        <w:t xml:space="preserve">العترة الطاهرة، ج 3، ص 623 .</w:t>
      </w:r>
    </w:p>
    <w:p>
      <w:pPr>
        <w:pStyle w:val="BookText"/>
      </w:pPr>
      <w:r>
        <w:rPr>
          <w:rFonts w:ascii="Amiri" w:hAnsi="Amiri" w:eastAsia="Amiri" w:cs="Amiri"/>
          <w:lang w:bidi="ar-SA"/>
          <w:color w:val="111111"/>
          <w:sz w:val="28"/>
          <w:szCs w:val="28"/>
          <w:rtl/>
        </w:rPr>
        <w:t xml:space="preserve">2 .الغروية في شرح الجعفرية، ج11،</w:t>
      </w:r>
    </w:p>
    <w:p>
      <w:pPr>
        <w:pStyle w:val="BookText"/>
      </w:pPr>
      <w:r>
        <w:rPr>
          <w:rFonts w:ascii="IRNazanin" w:hAnsi="IRNazanin" w:eastAsia="IRNazanin" w:cs="IRNazanin"/>
          <w:lang w:bidi="fa-IR"/>
          <w:color w:val="111111"/>
          <w:sz w:val="28"/>
          <w:szCs w:val="28"/>
          <w:rtl/>
        </w:rPr>
        <w:t xml:space="preserve">ص 489.</w:t>
      </w:r>
    </w:p>
    <w:p>
      <w:pPr>
        <w:pStyle w:val="BookText"/>
      </w:pPr>
      <w:r>
        <w:rPr>
          <w:rFonts w:ascii="IRNazanin" w:hAnsi="IRNazanin" w:eastAsia="IRNazanin" w:cs="IRNazanin"/>
          <w:lang w:bidi="fa-IR"/>
          <w:color w:val="111111"/>
          <w:sz w:val="28"/>
          <w:szCs w:val="28"/>
          <w:rtl/>
        </w:rPr>
        <w:t xml:space="preserve">10ه-</w:t>
      </w:r>
    </w:p>
    <w:p>
      <w:pPr>
        <w:pStyle w:val="Heading2"/>
      </w:pPr>
      <w:bookmarkStart w:id="2131" w:name="_Toc1233"/>
      <w:r>
        <w:t>؟ استرآبادي، شمس الدین محمّد، قرن</w:t>
      </w:r>
      <w:bookmarkEnd w:id="2131"/>
    </w:p>
    <w:p>
      <w:pPr>
        <w:pStyle w:val="BookText"/>
      </w:pPr>
      <w:r>
        <w:rPr>
          <w:rFonts w:ascii="IRNazanin" w:hAnsi="IRNazanin" w:eastAsia="IRNazanin" w:cs="IRNazanin"/>
          <w:lang w:bidi="fa-IR"/>
          <w:color w:val="111111"/>
          <w:sz w:val="28"/>
          <w:szCs w:val="28"/>
          <w:rtl/>
        </w:rPr>
        <w:t xml:space="preserve">شرح</w:t>
      </w:r>
    </w:p>
    <w:p>
      <w:pPr>
        <w:pStyle w:val="BookText"/>
      </w:pPr>
      <w:r>
        <w:rPr>
          <w:rFonts w:ascii="Amiri" w:hAnsi="Amiri" w:eastAsia="Amiri" w:cs="Amiri"/>
          <w:lang w:bidi="ar-SA"/>
          <w:color w:val="111111"/>
          <w:sz w:val="28"/>
          <w:szCs w:val="28"/>
          <w:rtl/>
        </w:rPr>
        <w:t xml:space="preserve">كلمة التوحيد = تحقيق كلمة</w:t>
      </w:r>
    </w:p>
    <w:p>
      <w:pPr>
        <w:pStyle w:val="BookText"/>
      </w:pPr>
      <w:r>
        <w:rPr>
          <w:rFonts w:ascii="Amiri" w:hAnsi="Amiri" w:eastAsia="Amiri" w:cs="Amiri"/>
          <w:lang w:bidi="ar-SA"/>
          <w:color w:val="111111"/>
          <w:sz w:val="28"/>
          <w:szCs w:val="28"/>
          <w:rtl/>
        </w:rPr>
        <w:t xml:space="preserve">التوحيد = التهليلية، ج 10، ص 61 .</w:t>
      </w:r>
    </w:p>
    <w:p>
      <w:pPr>
        <w:pStyle w:val="Heading2"/>
      </w:pPr>
      <w:bookmarkStart w:id="2132" w:name="_Toc1234"/>
      <w:r>
        <w:t>استرآبادي، عبدالنبي بن علي - 1340 ه-</w:t>
      </w:r>
      <w:bookmarkEnd w:id="2132"/>
    </w:p>
    <w:p>
      <w:pPr>
        <w:pStyle w:val="BookText"/>
      </w:pPr>
      <w:r>
        <w:rPr>
          <w:rFonts w:ascii="Amiri" w:hAnsi="Amiri" w:eastAsia="Amiri" w:cs="Amiri"/>
          <w:lang w:bidi="ar-SA"/>
          <w:color w:val="111111"/>
          <w:sz w:val="28"/>
          <w:szCs w:val="28"/>
          <w:rtl/>
        </w:rPr>
        <w:t xml:space="preserve">1 .تصنيع نفوس الائمة في ستر رؤوس</w:t>
      </w:r>
    </w:p>
    <w:p>
      <w:pPr>
        <w:pStyle w:val="BookText"/>
      </w:pPr>
      <w:r>
        <w:rPr>
          <w:rFonts w:ascii="Amiri" w:hAnsi="Amiri" w:eastAsia="Amiri" w:cs="Amiri"/>
          <w:lang w:bidi="ar-SA"/>
          <w:color w:val="111111"/>
          <w:sz w:val="28"/>
          <w:szCs w:val="28"/>
          <w:rtl/>
        </w:rPr>
        <w:t xml:space="preserve">العترة، ج 4، ص 422 .</w:t>
      </w:r>
    </w:p>
    <w:p>
      <w:pPr>
        <w:pStyle w:val="BookText"/>
      </w:pPr>
      <w:r>
        <w:rPr>
          <w:rFonts w:ascii="Amiri" w:hAnsi="Amiri" w:eastAsia="Amiri" w:cs="Amiri"/>
          <w:lang w:bidi="ar-SA"/>
          <w:color w:val="111111"/>
          <w:sz w:val="28"/>
          <w:szCs w:val="28"/>
          <w:rtl/>
        </w:rPr>
        <w:t xml:space="preserve">2 .تنبيه المسترشدين و تذكار الغافلين</w:t>
      </w:r>
    </w:p>
    <w:p>
      <w:pPr>
        <w:pStyle w:val="BookText"/>
      </w:pPr>
      <w:r>
        <w:rPr>
          <w:rFonts w:ascii="IRNazanin" w:hAnsi="IRNazanin" w:eastAsia="IRNazanin" w:cs="IRNazanin"/>
          <w:lang w:bidi="fa-IR"/>
          <w:color w:val="111111"/>
          <w:sz w:val="28"/>
          <w:szCs w:val="28"/>
          <w:rtl/>
        </w:rPr>
        <w:t xml:space="preserve">ج 5، ص 41.</w:t>
      </w:r>
    </w:p>
    <w:p>
      <w:pPr>
        <w:pStyle w:val="BookText"/>
      </w:pPr>
      <w:r>
        <w:rPr>
          <w:rFonts w:ascii="Amiri" w:hAnsi="Amiri" w:eastAsia="Amiri" w:cs="Amiri"/>
          <w:lang w:bidi="ar-SA"/>
          <w:color w:val="111111"/>
          <w:sz w:val="28"/>
          <w:szCs w:val="28"/>
          <w:rtl/>
        </w:rPr>
        <w:t xml:space="preserve">3 .حكايات، ج 6، ص718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الرسالة النورية، ج8، ص290.</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4" w:name="pg7742_69753"/>
    <w:bookmarkEnd w:id="184"/>
    <w:p>
      <w:pPr>
        <w:pStyle w:val="BookText"/>
      </w:pPr>
      <w:r>
        <w:rPr>
          <w:rFonts w:ascii="Amiri" w:hAnsi="Amiri" w:eastAsia="Amiri" w:cs="Amiri"/>
          <w:lang w:bidi="ar-SA"/>
          <w:color w:val="111111"/>
          <w:sz w:val="28"/>
          <w:szCs w:val="28"/>
          <w:rtl/>
        </w:rPr>
        <w:t xml:space="preserve">استرآبادي ، علي بن علي- شريف</w:t>
      </w:r>
    </w:p>
    <w:p>
      <w:pPr>
        <w:pStyle w:val="BookText"/>
      </w:pPr>
      <w:r>
        <w:rPr>
          <w:rFonts w:ascii="Amiri" w:hAnsi="Amiri" w:eastAsia="Amiri" w:cs="Amiri"/>
          <w:lang w:bidi="ar-SA"/>
          <w:color w:val="111111"/>
          <w:sz w:val="28"/>
          <w:szCs w:val="28"/>
          <w:rtl/>
        </w:rPr>
        <w:t xml:space="preserve">استرآبادي ، علي بن علي</w:t>
      </w:r>
    </w:p>
    <w:p>
      <w:pPr>
        <w:pStyle w:val="Heading2"/>
      </w:pPr>
      <w:bookmarkStart w:id="2133" w:name="_Toc1235"/>
      <w:r>
        <w:t>استرآبادي ، علي بن محمّد جعفر،</w:t>
      </w:r>
      <w:bookmarkEnd w:id="2133"/>
    </w:p>
    <w:p>
      <w:pPr>
        <w:pStyle w:val="BookText"/>
      </w:pPr>
      <w:r>
        <w:rPr>
          <w:rFonts w:ascii="IRNazanin" w:hAnsi="IRNazanin" w:eastAsia="IRNazanin" w:cs="IRNazanin"/>
          <w:lang w:bidi="fa-IR"/>
          <w:color w:val="111111"/>
          <w:sz w:val="28"/>
          <w:szCs w:val="28"/>
          <w:rtl/>
        </w:rPr>
        <w:t xml:space="preserve">1315 ه-</w:t>
      </w:r>
    </w:p>
    <w:p>
      <w:pPr>
        <w:pStyle w:val="BookText"/>
      </w:pPr>
      <w:r>
        <w:rPr>
          <w:rFonts w:ascii="Amiri" w:hAnsi="Amiri" w:eastAsia="Amiri" w:cs="Amiri"/>
          <w:lang w:bidi="ar-SA"/>
          <w:color w:val="111111"/>
          <w:sz w:val="28"/>
          <w:szCs w:val="28"/>
          <w:rtl/>
        </w:rPr>
        <w:t xml:space="preserve">1 .غرائب الربوبية، ج 11، ص 465.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مطالع البكور من الايام و الدهور</w:t>
      </w:r>
    </w:p>
    <w:p>
      <w:pPr>
        <w:pStyle w:val="BookText"/>
      </w:pPr>
      <w:r>
        <w:rPr>
          <w:rFonts w:ascii="IRNazanin" w:hAnsi="IRNazanin" w:eastAsia="IRNazanin" w:cs="IRNazanin"/>
          <w:lang w:bidi="fa-IR"/>
          <w:color w:val="111111"/>
          <w:sz w:val="28"/>
          <w:szCs w:val="28"/>
          <w:rtl/>
        </w:rPr>
        <w:t xml:space="preserve">ج 14، ص 776.</w:t>
      </w:r>
    </w:p>
    <w:p>
      <w:pPr>
        <w:pStyle w:val="BookText"/>
      </w:pPr>
      <w:r>
        <w:rPr>
          <w:rFonts w:ascii="Amiri" w:hAnsi="Amiri" w:eastAsia="Amiri" w:cs="Amiri"/>
          <w:lang w:bidi="ar-SA"/>
          <w:color w:val="111111"/>
          <w:sz w:val="28"/>
          <w:szCs w:val="28"/>
          <w:rtl/>
        </w:rPr>
        <w:t xml:space="preserve">3 .منتقي الآمال في قواعد علم الرجال حسيني</w:t>
      </w:r>
    </w:p>
    <w:p>
      <w:pPr>
        <w:pStyle w:val="BookText"/>
      </w:pPr>
      <w:r>
        <w:rPr>
          <w:rFonts w:ascii="IRNazanin" w:hAnsi="IRNazanin" w:eastAsia="IRNazanin" w:cs="IRNazanin"/>
          <w:lang w:bidi="fa-IR"/>
          <w:color w:val="111111"/>
          <w:sz w:val="28"/>
          <w:szCs w:val="28"/>
          <w:rtl/>
        </w:rPr>
        <w:t xml:space="preserve">ج 15، ص 625.</w:t>
      </w:r>
    </w:p>
    <w:p>
      <w:pPr>
        <w:pStyle w:val="BookText"/>
      </w:pPr>
      <w:r>
        <w:rPr>
          <w:rFonts w:ascii="Amiri" w:hAnsi="Amiri" w:eastAsia="Amiri" w:cs="Amiri"/>
          <w:lang w:bidi="ar-SA"/>
          <w:color w:val="111111"/>
          <w:sz w:val="28"/>
          <w:szCs w:val="28"/>
          <w:rtl/>
        </w:rPr>
        <w:t xml:space="preserve">استرآبادي، عماد الدين علي شريف</w:t>
      </w:r>
    </w:p>
    <w:p>
      <w:pPr>
        <w:pStyle w:val="BookText"/>
      </w:pPr>
      <w:r>
        <w:rPr>
          <w:rFonts w:ascii="Amiri" w:hAnsi="Amiri" w:eastAsia="Amiri" w:cs="Amiri"/>
          <w:lang w:bidi="ar-SA"/>
          <w:color w:val="111111"/>
          <w:sz w:val="28"/>
          <w:szCs w:val="28"/>
          <w:rtl/>
        </w:rPr>
        <w:t xml:space="preserve">استرآبادي ، علي بن علي</w:t>
      </w:r>
    </w:p>
    <w:p>
      <w:pPr>
        <w:pStyle w:val="Heading2"/>
      </w:pPr>
      <w:bookmarkStart w:id="2134" w:name="_Toc1236"/>
      <w:r>
        <w:t>استرآبادي، محمّد امین قرن 12 ه-</w:t>
      </w:r>
      <w:bookmarkEnd w:id="2134"/>
    </w:p>
    <w:p>
      <w:pPr>
        <w:pStyle w:val="BookText"/>
      </w:pPr>
      <w:r>
        <w:rPr>
          <w:rFonts w:ascii="Amiri" w:hAnsi="Amiri" w:eastAsia="Amiri" w:cs="Amiri"/>
          <w:lang w:bidi="ar-SA"/>
          <w:color w:val="111111"/>
          <w:sz w:val="28"/>
          <w:szCs w:val="28"/>
          <w:rtl/>
        </w:rPr>
        <w:t xml:space="preserve">الحاشية على الكافي، ج 6، ص 249.</w:t>
      </w:r>
    </w:p>
    <w:p>
      <w:pPr>
        <w:pStyle w:val="Heading2"/>
      </w:pPr>
      <w:bookmarkStart w:id="2135" w:name="_Toc1237"/>
      <w:r>
        <w:t>استرآبادي، محمّد امین بن محمّد شریف</w:t>
      </w:r>
      <w:bookmarkEnd w:id="21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1033ه-</w:t>
      </w:r>
    </w:p>
    <w:p>
      <w:pPr>
        <w:pStyle w:val="BookText"/>
      </w:pPr>
      <w:r>
        <w:rPr>
          <w:rFonts w:ascii="Amiri" w:hAnsi="Amiri" w:eastAsia="Amiri" w:cs="Amiri"/>
          <w:lang w:bidi="ar-SA"/>
          <w:color w:val="111111"/>
          <w:sz w:val="28"/>
          <w:szCs w:val="28"/>
          <w:rtl/>
        </w:rPr>
        <w:t xml:space="preserve">1 .حاشية الكافي، ج 6، ص319.</w:t>
      </w:r>
    </w:p>
    <w:p>
      <w:pPr>
        <w:pStyle w:val="BookText"/>
      </w:pPr>
      <w:r>
        <w:rPr>
          <w:rFonts w:ascii="Amiri" w:hAnsi="Amiri" w:eastAsia="Amiri" w:cs="Amiri"/>
          <w:lang w:bidi="ar-SA"/>
          <w:color w:val="111111"/>
          <w:sz w:val="28"/>
          <w:szCs w:val="28"/>
          <w:rtl/>
        </w:rPr>
        <w:t xml:space="preserve">2 .الفوائد المدنية في الرد على من قال بالاجتهاد والتقليد في الاحكام الالهية، ج 12، ص270.</w:t>
      </w:r>
    </w:p>
    <w:p>
      <w:pPr>
        <w:pStyle w:val="BookText"/>
      </w:pPr>
      <w:r>
        <w:rPr>
          <w:rFonts w:ascii="Amiri" w:hAnsi="Amiri" w:eastAsia="Amiri" w:cs="Amiri"/>
          <w:lang w:bidi="ar-SA"/>
          <w:color w:val="111111"/>
          <w:sz w:val="28"/>
          <w:szCs w:val="28"/>
          <w:rtl/>
        </w:rPr>
        <w:t xml:space="preserve">استرآبادي، محمّد باقر بن احمد- موسوي</w:t>
      </w:r>
    </w:p>
    <w:p>
      <w:pPr>
        <w:pStyle w:val="BookText"/>
      </w:pPr>
      <w:r>
        <w:rPr>
          <w:rFonts w:ascii="Amiri" w:hAnsi="Amiri" w:eastAsia="Amiri" w:cs="Amiri"/>
          <w:lang w:bidi="ar-SA"/>
          <w:color w:val="111111"/>
          <w:sz w:val="28"/>
          <w:szCs w:val="28"/>
          <w:rtl/>
        </w:rPr>
        <w:t xml:space="preserve">استرآبادي، محمّد باقر بن احمد</w:t>
      </w:r>
    </w:p>
    <w:p>
      <w:pPr>
        <w:pStyle w:val="Heading2"/>
      </w:pPr>
      <w:bookmarkStart w:id="2136" w:name="_Toc1238"/>
      <w:r>
        <w:t>استرآبادي ، محمّد بن ابراهيم، قرن 13 ه-</w:t>
      </w:r>
      <w:bookmarkEnd w:id="2136"/>
    </w:p>
    <w:p>
      <w:pPr>
        <w:pStyle w:val="BookText"/>
      </w:pPr>
      <w:r>
        <w:rPr>
          <w:rFonts w:ascii="Amiri" w:hAnsi="Amiri" w:eastAsia="Amiri" w:cs="Amiri"/>
          <w:lang w:bidi="ar-SA"/>
          <w:color w:val="111111"/>
          <w:sz w:val="28"/>
          <w:szCs w:val="28"/>
          <w:rtl/>
        </w:rPr>
        <w:t xml:space="preserve">تلخيص المقال في تحقيق احوال</w:t>
      </w:r>
    </w:p>
    <w:p>
      <w:pPr>
        <w:pStyle w:val="BookText"/>
      </w:pPr>
      <w:r>
        <w:rPr>
          <w:rFonts w:ascii="IRNazanin" w:hAnsi="IRNazanin" w:eastAsia="IRNazanin" w:cs="IRNazanin"/>
          <w:lang w:bidi="fa-IR"/>
          <w:color w:val="111111"/>
          <w:sz w:val="28"/>
          <w:szCs w:val="28"/>
          <w:rtl/>
        </w:rPr>
        <w:t xml:space="preserve">الرجال، ج 4، ص 864.</w:t>
      </w:r>
    </w:p>
    <w:p>
      <w:pPr>
        <w:pStyle w:val="Heading2"/>
      </w:pPr>
      <w:bookmarkStart w:id="2137" w:name="_Toc1239"/>
      <w:r>
        <w:t>استرآبادي، محمّد بن حاج محمّد قرن</w:t>
      </w:r>
      <w:bookmarkEnd w:id="2137"/>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كشف الغموض في شرح الطف</w:t>
      </w:r>
    </w:p>
    <w:p>
      <w:pPr>
        <w:pStyle w:val="BookText"/>
      </w:pPr>
      <w:r>
        <w:rPr>
          <w:rFonts w:ascii="IRNazanin" w:hAnsi="IRNazanin" w:eastAsia="IRNazanin" w:cs="IRNazanin"/>
          <w:lang w:bidi="fa-IR"/>
          <w:color w:val="111111"/>
          <w:sz w:val="28"/>
          <w:szCs w:val="28"/>
          <w:rtl/>
        </w:rPr>
        <w:t xml:space="preserve">العروض، ج13، ص 242.</w:t>
      </w:r>
    </w:p>
    <w:p>
      <w:pPr>
        <w:pStyle w:val="BookText"/>
      </w:pPr>
      <w:r>
        <w:rPr>
          <w:rFonts w:ascii="Amiri" w:hAnsi="Amiri" w:eastAsia="Amiri" w:cs="Amiri"/>
          <w:lang w:bidi="ar-SA"/>
          <w:color w:val="111111"/>
          <w:sz w:val="28"/>
          <w:szCs w:val="28"/>
          <w:rtl/>
        </w:rPr>
        <w:t xml:space="preserve">استرآبادي، محمّد بن حسن- رضي الدين</w:t>
      </w:r>
    </w:p>
    <w:p>
      <w:pPr>
        <w:pStyle w:val="BookText"/>
      </w:pPr>
      <w:r>
        <w:rPr>
          <w:rFonts w:ascii="Amiri" w:hAnsi="Amiri" w:eastAsia="Amiri" w:cs="Amiri"/>
          <w:lang w:bidi="ar-SA"/>
          <w:color w:val="111111"/>
          <w:sz w:val="28"/>
          <w:szCs w:val="28"/>
          <w:rtl/>
        </w:rPr>
        <w:t xml:space="preserve">استرآبادي ، محمّد بن حسن</w:t>
      </w:r>
    </w:p>
    <w:p>
      <w:pPr>
        <w:pStyle w:val="BookText"/>
      </w:pPr>
      <w:r>
        <w:rPr>
          <w:rFonts w:ascii="IRNazanin" w:hAnsi="IRNazanin" w:eastAsia="IRNazanin" w:cs="IRNazanin"/>
          <w:lang w:bidi="fa-IR"/>
          <w:color w:val="111111"/>
          <w:sz w:val="28"/>
          <w:szCs w:val="28"/>
          <w:rtl/>
        </w:rPr>
        <w:t xml:space="preserve">استرآبادي، محمّد بن حسين- فخرالدین</w:t>
      </w:r>
    </w:p>
    <w:p>
      <w:pPr>
        <w:pStyle w:val="BookText"/>
      </w:pPr>
      <w:r>
        <w:rPr>
          <w:rFonts w:ascii="Amiri" w:hAnsi="Amiri" w:eastAsia="Amiri" w:cs="Amiri"/>
          <w:lang w:bidi="ar-SA"/>
          <w:color w:val="111111"/>
          <w:sz w:val="28"/>
          <w:szCs w:val="28"/>
          <w:rtl/>
        </w:rPr>
        <w:t xml:space="preserve">، محمد بن حسين</w:t>
      </w:r>
    </w:p>
    <w:p>
      <w:pPr>
        <w:pStyle w:val="BookText"/>
      </w:pPr>
      <w:r>
        <w:rPr>
          <w:rFonts w:ascii="Amiri" w:hAnsi="Amiri" w:eastAsia="Amiri" w:cs="Amiri"/>
          <w:lang w:bidi="ar-SA"/>
          <w:color w:val="111111"/>
          <w:sz w:val="28"/>
          <w:szCs w:val="28"/>
          <w:rtl/>
        </w:rPr>
        <w:t xml:space="preserve">استرآبادي، محمّد بن حسين- كردي</w:t>
      </w:r>
    </w:p>
    <w:p>
      <w:pPr>
        <w:pStyle w:val="BookText"/>
      </w:pPr>
      <w:r>
        <w:rPr>
          <w:rFonts w:ascii="IRNazanin" w:hAnsi="IRNazanin" w:eastAsia="IRNazanin" w:cs="IRNazanin"/>
          <w:lang w:bidi="fa-IR"/>
          <w:color w:val="111111"/>
          <w:sz w:val="28"/>
          <w:szCs w:val="28"/>
          <w:rtl/>
        </w:rPr>
        <w:t xml:space="preserve">حسین آبادي ، محمّد بن حسين</w:t>
      </w:r>
    </w:p>
    <w:p>
      <w:pPr>
        <w:pStyle w:val="BookText"/>
      </w:pPr>
      <w:r>
        <w:rPr>
          <w:rFonts w:ascii="Amiri" w:hAnsi="Amiri" w:eastAsia="Amiri" w:cs="Amiri"/>
          <w:lang w:bidi="ar-SA"/>
          <w:color w:val="111111"/>
          <w:sz w:val="28"/>
          <w:szCs w:val="28"/>
          <w:rtl/>
        </w:rPr>
        <w:t xml:space="preserve">استرآبادي ، محمّد بن عبد الكريم- انصاري</w:t>
      </w:r>
    </w:p>
    <w:p>
      <w:pPr>
        <w:pStyle w:val="BookText"/>
      </w:pPr>
      <w:r>
        <w:rPr>
          <w:rFonts w:ascii="Amiri" w:hAnsi="Amiri" w:eastAsia="Amiri" w:cs="Amiri"/>
          <w:lang w:bidi="ar-SA"/>
          <w:color w:val="111111"/>
          <w:sz w:val="28"/>
          <w:szCs w:val="28"/>
          <w:rtl/>
        </w:rPr>
        <w:t xml:space="preserve">، محمّد بن عبدالكريم</w:t>
      </w:r>
    </w:p>
    <w:p>
      <w:pPr>
        <w:pStyle w:val="BookText"/>
      </w:pPr>
      <w:r>
        <w:rPr>
          <w:rFonts w:ascii="Amiri" w:hAnsi="Amiri" w:eastAsia="Amiri" w:cs="Amiri"/>
          <w:lang w:bidi="ar-SA"/>
          <w:color w:val="111111"/>
          <w:sz w:val="28"/>
          <w:szCs w:val="28"/>
          <w:rtl/>
        </w:rPr>
        <w:t xml:space="preserve">استرآبادي، محمّد بن علي -ركن الدين</w:t>
      </w:r>
    </w:p>
    <w:p>
      <w:pPr>
        <w:pStyle w:val="BookText"/>
      </w:pPr>
      <w:r>
        <w:rPr>
          <w:rFonts w:ascii="Amiri" w:hAnsi="Amiri" w:eastAsia="Amiri" w:cs="Amiri"/>
          <w:lang w:bidi="ar-SA"/>
          <w:color w:val="111111"/>
          <w:sz w:val="28"/>
          <w:szCs w:val="28"/>
          <w:rtl/>
        </w:rPr>
        <w:t xml:space="preserve">جرجاني ، محمّد بن علي</w:t>
      </w:r>
    </w:p>
    <w:p>
      <w:pPr>
        <w:pStyle w:val="Heading2"/>
      </w:pPr>
      <w:bookmarkStart w:id="2138" w:name="_Toc1240"/>
      <w:r>
        <w:t>استرآبادي ، محمّد بن علي - 1028 ه-</w:t>
      </w:r>
      <w:bookmarkEnd w:id="2138"/>
    </w:p>
    <w:p>
      <w:pPr>
        <w:pStyle w:val="BookText"/>
      </w:pPr>
      <w:r>
        <w:rPr>
          <w:rFonts w:ascii="Amiri" w:hAnsi="Amiri" w:eastAsia="Amiri" w:cs="Amiri"/>
          <w:lang w:bidi="ar-SA"/>
          <w:color w:val="111111"/>
          <w:sz w:val="28"/>
          <w:szCs w:val="28"/>
          <w:rtl/>
        </w:rPr>
        <w:t xml:space="preserve">1 .ترتيب مشيخة من لا يحضره الفقيه = مشيخة الفقيه، ج 4،</w:t>
      </w:r>
    </w:p>
    <w:p>
      <w:pPr>
        <w:pStyle w:val="BookText"/>
      </w:pPr>
      <w:r>
        <w:rPr>
          <w:rFonts w:ascii="IRNazanin" w:hAnsi="IRNazanin" w:eastAsia="IRNazanin" w:cs="IRNazanin"/>
          <w:lang w:bidi="fa-IR"/>
          <w:color w:val="111111"/>
          <w:sz w:val="28"/>
          <w:szCs w:val="28"/>
          <w:rtl/>
        </w:rPr>
        <w:t xml:space="preserve">ص 247 .</w:t>
      </w:r>
    </w:p>
    <w:p>
      <w:pPr>
        <w:pStyle w:val="BookText"/>
      </w:pPr>
      <w:r>
        <w:rPr>
          <w:rFonts w:ascii="Amiri" w:hAnsi="Amiri" w:eastAsia="Amiri" w:cs="Amiri"/>
          <w:lang w:bidi="ar-SA"/>
          <w:color w:val="111111"/>
          <w:sz w:val="28"/>
          <w:szCs w:val="28"/>
          <w:rtl/>
        </w:rPr>
        <w:t xml:space="preserve">2 .تلخيص الاقوال في تحقيق احوال</w:t>
      </w:r>
    </w:p>
    <w:p>
      <w:pPr>
        <w:pStyle w:val="BookText"/>
      </w:pPr>
      <w:r>
        <w:rPr>
          <w:rFonts w:ascii="Amiri" w:hAnsi="Amiri" w:eastAsia="Amiri" w:cs="Amiri"/>
          <w:lang w:bidi="ar-SA"/>
          <w:color w:val="111111"/>
          <w:sz w:val="28"/>
          <w:szCs w:val="28"/>
          <w:rtl/>
        </w:rPr>
        <w:t xml:space="preserve">الرجال = رجال وسيط، ج 4،</w:t>
      </w:r>
    </w:p>
    <w:p>
      <w:pPr>
        <w:pStyle w:val="BookText"/>
      </w:pPr>
      <w:r>
        <w:rPr>
          <w:rFonts w:ascii="IRNazanin" w:hAnsi="IRNazanin" w:eastAsia="IRNazanin" w:cs="IRNazanin"/>
          <w:lang w:bidi="fa-IR"/>
          <w:color w:val="111111"/>
          <w:sz w:val="28"/>
          <w:szCs w:val="28"/>
          <w:rtl/>
        </w:rPr>
        <w:t xml:space="preserve">ص 836.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منهج المقال في تحقيق احوال الرجال = الرجال الكبير، ج 15 ،</w:t>
      </w:r>
    </w:p>
    <w:p>
      <w:pPr>
        <w:pStyle w:val="BookText"/>
      </w:pPr>
      <w:r>
        <w:rPr>
          <w:rFonts w:ascii="IRNazanin" w:hAnsi="IRNazanin" w:eastAsia="IRNazanin" w:cs="IRNazanin"/>
          <w:lang w:bidi="fa-IR"/>
          <w:color w:val="111111"/>
          <w:sz w:val="28"/>
          <w:szCs w:val="28"/>
          <w:rtl/>
        </w:rPr>
        <w:t xml:space="preserve">ص 806.</w:t>
      </w:r>
    </w:p>
    <w:p>
      <w:pPr>
        <w:pStyle w:val="Heading2"/>
      </w:pPr>
      <w:bookmarkStart w:id="2139" w:name="_Toc1241"/>
      <w:r>
        <w:t>استرآبادي ، محمّد بن يوسف</w:t>
      </w:r>
      <w:bookmarkEnd w:id="2139"/>
    </w:p>
    <w:p>
      <w:pPr>
        <w:pStyle w:val="BookText"/>
      </w:pPr>
      <w:r>
        <w:rPr>
          <w:rFonts w:ascii="IRNazanin" w:hAnsi="IRNazanin" w:eastAsia="IRNazanin" w:cs="IRNazanin"/>
          <w:lang w:bidi="fa-IR"/>
          <w:color w:val="111111"/>
          <w:sz w:val="28"/>
          <w:szCs w:val="28"/>
          <w:rtl/>
        </w:rPr>
        <w:t xml:space="preserve">القضاء، ج 12، ص 734.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5" w:name="pg7742_69755"/>
    <w:bookmarkEnd w:id="185"/>
    <w:p>
      <w:pPr>
        <w:pStyle w:val="BookText"/>
      </w:pPr>
      <w:r>
        <w:rPr>
          <w:rFonts w:ascii="Amiri" w:hAnsi="Amiri" w:eastAsia="Amiri" w:cs="Amiri"/>
          <w:lang w:bidi="ar-SA"/>
          <w:color w:val="111111"/>
          <w:sz w:val="28"/>
          <w:szCs w:val="28"/>
          <w:rtl/>
        </w:rPr>
        <w:t xml:space="preserve">استرآبادي ، محمّد تقي بن حسن- حسيني استرآبادي ، محمّد تقي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2140" w:name="_Toc1242"/>
      <w:r>
        <w:t>استرآبادي ، محمّد جعفر بن سيف الدين</w:t>
      </w:r>
      <w:bookmarkEnd w:id="2140"/>
    </w:p>
    <w:p>
      <w:pPr>
        <w:pStyle w:val="BookText"/>
      </w:pPr>
      <w:r>
        <w:rPr>
          <w:rFonts w:ascii="IRNazanin" w:hAnsi="IRNazanin" w:eastAsia="IRNazanin" w:cs="IRNazanin"/>
          <w:lang w:bidi="fa-IR"/>
          <w:color w:val="111111"/>
          <w:sz w:val="28"/>
          <w:szCs w:val="28"/>
          <w:rtl/>
        </w:rPr>
        <w:t xml:space="preserve">1198 - 1263 ه-</w:t>
      </w:r>
    </w:p>
    <w:p>
      <w:pPr>
        <w:pStyle w:val="BookText"/>
      </w:pPr>
      <w:r>
        <w:rPr>
          <w:rFonts w:ascii="Amiri" w:hAnsi="Amiri" w:eastAsia="Amiri" w:cs="Amiri"/>
          <w:lang w:bidi="ar-SA"/>
          <w:color w:val="111111"/>
          <w:sz w:val="28"/>
          <w:szCs w:val="28"/>
          <w:rtl/>
        </w:rPr>
        <w:t xml:space="preserve">1 .آيات الاحكام = دلائل المرام، ج1،</w:t>
      </w:r>
    </w:p>
    <w:p>
      <w:pPr>
        <w:pStyle w:val="BookText"/>
      </w:pPr>
      <w:r>
        <w:rPr>
          <w:rFonts w:ascii="IRNazanin" w:hAnsi="IRNazanin" w:eastAsia="IRNazanin" w:cs="IRNazanin"/>
          <w:lang w:bidi="fa-IR"/>
          <w:color w:val="111111"/>
          <w:sz w:val="28"/>
          <w:szCs w:val="28"/>
          <w:rtl/>
        </w:rPr>
        <w:t xml:space="preserve">ص 72.</w:t>
      </w:r>
    </w:p>
    <w:p>
      <w:pPr>
        <w:pStyle w:val="BookText"/>
      </w:pPr>
      <w:r>
        <w:rPr>
          <w:rFonts w:ascii="IRNazanin" w:hAnsi="IRNazanin" w:eastAsia="IRNazanin" w:cs="IRNazanin"/>
          <w:lang w:bidi="fa-IR"/>
          <w:color w:val="111111"/>
          <w:sz w:val="28"/>
          <w:szCs w:val="28"/>
          <w:rtl/>
        </w:rPr>
        <w:t xml:space="preserve">2 .اصل الاصول، ج 2، ص378.</w:t>
      </w:r>
    </w:p>
    <w:p>
      <w:pPr>
        <w:pStyle w:val="BookText"/>
      </w:pPr>
      <w:r>
        <w:rPr>
          <w:rFonts w:ascii="Amiri" w:hAnsi="Amiri" w:eastAsia="Amiri" w:cs="Amiri"/>
          <w:lang w:bidi="ar-SA"/>
          <w:color w:val="111111"/>
          <w:sz w:val="28"/>
          <w:szCs w:val="28"/>
          <w:rtl/>
        </w:rPr>
        <w:t xml:space="preserve">3.اصل العقائد الدينية = اصول</w:t>
      </w:r>
    </w:p>
    <w:p>
      <w:pPr>
        <w:pStyle w:val="BookText"/>
      </w:pPr>
      <w:r>
        <w:rPr>
          <w:rFonts w:ascii="Amiri" w:hAnsi="Amiri" w:eastAsia="Amiri" w:cs="Amiri"/>
          <w:lang w:bidi="ar-SA"/>
          <w:color w:val="111111"/>
          <w:sz w:val="28"/>
          <w:szCs w:val="28"/>
          <w:rtl/>
        </w:rPr>
        <w:t xml:space="preserve">الدين، ج 2، ص 395.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الايجاز في قواعد الدراية و الرجال</w:t>
      </w:r>
    </w:p>
    <w:p>
      <w:pPr>
        <w:pStyle w:val="BookText"/>
      </w:pPr>
      <w:r>
        <w:rPr>
          <w:rFonts w:ascii="Amiri" w:hAnsi="Amiri" w:eastAsia="Amiri" w:cs="Amiri"/>
          <w:lang w:bidi="ar-SA"/>
          <w:color w:val="111111"/>
          <w:sz w:val="28"/>
          <w:szCs w:val="28"/>
          <w:rtl/>
        </w:rPr>
        <w:t xml:space="preserve">الوجيزة، ج 3، ص 97.</w:t>
      </w:r>
    </w:p>
    <w:p>
      <w:pPr>
        <w:pStyle w:val="BookText"/>
      </w:pPr>
      <w:r>
        <w:rPr>
          <w:rFonts w:ascii="IRNazanin" w:hAnsi="IRNazanin" w:eastAsia="IRNazanin" w:cs="IRNazanin"/>
          <w:lang w:bidi="fa-IR"/>
          <w:color w:val="111111"/>
          <w:sz w:val="28"/>
          <w:szCs w:val="28"/>
          <w:rtl/>
        </w:rPr>
        <w:t xml:space="preserve">ست</w:t>
      </w:r>
    </w:p>
    <w:p>
      <w:pPr>
        <w:pStyle w:val="BookText"/>
      </w:pPr>
      <w:r>
        <w:rPr>
          <w:rFonts w:ascii="Amiri" w:hAnsi="Amiri" w:eastAsia="Amiri" w:cs="Amiri"/>
          <w:lang w:bidi="ar-SA"/>
          <w:color w:val="111111"/>
          <w:sz w:val="28"/>
          <w:szCs w:val="28"/>
          <w:rtl/>
        </w:rPr>
        <w:t xml:space="preserve">5 .بعض احكام الزواج (رسالة في)، ج 3،</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Amiri" w:hAnsi="Amiri" w:eastAsia="Amiri" w:cs="Amiri"/>
          <w:lang w:bidi="ar-SA"/>
          <w:color w:val="111111"/>
          <w:sz w:val="28"/>
          <w:szCs w:val="28"/>
          <w:rtl/>
        </w:rPr>
        <w:t xml:space="preserve">6 .تجويد، ج 3، ص 705</w:t>
      </w:r>
    </w:p>
    <w:p>
      <w:pPr>
        <w:pStyle w:val="BookText"/>
      </w:pPr>
      <w:r>
        <w:rPr>
          <w:rFonts w:ascii="Amiri" w:hAnsi="Amiri" w:eastAsia="Amiri" w:cs="Amiri"/>
          <w:lang w:bidi="ar-SA"/>
          <w:color w:val="111111"/>
          <w:sz w:val="28"/>
          <w:szCs w:val="28"/>
          <w:rtl/>
        </w:rPr>
        <w:t xml:space="preserve">7 .تشاح اليد السابقة مع اللاحقة، ج4،</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Amiri" w:hAnsi="Amiri" w:eastAsia="Amiri" w:cs="Amiri"/>
          <w:lang w:bidi="ar-SA"/>
          <w:color w:val="111111"/>
          <w:sz w:val="28"/>
          <w:szCs w:val="28"/>
          <w:rtl/>
        </w:rPr>
        <w:t xml:space="preserve">8 .جامع محمّدي، ج 5، ص327</w:t>
      </w:r>
    </w:p>
    <w:p>
      <w:pPr>
        <w:pStyle w:val="BookText"/>
      </w:pPr>
      <w:r>
        <w:rPr>
          <w:rFonts w:ascii="Amiri" w:hAnsi="Amiri" w:eastAsia="Amiri" w:cs="Amiri"/>
          <w:lang w:bidi="ar-SA"/>
          <w:color w:val="111111"/>
          <w:sz w:val="28"/>
          <w:szCs w:val="28"/>
          <w:rtl/>
        </w:rPr>
        <w:t xml:space="preserve">9 .حاشية شرح الكافية، ج 6 ، ص 161.</w:t>
      </w:r>
    </w:p>
    <w:p>
      <w:pPr>
        <w:pStyle w:val="BookText"/>
      </w:pPr>
      <w:r>
        <w:rPr>
          <w:rFonts w:ascii="Amiri" w:hAnsi="Amiri" w:eastAsia="Amiri" w:cs="Amiri"/>
          <w:lang w:bidi="ar-SA"/>
          <w:color w:val="111111"/>
          <w:sz w:val="28"/>
          <w:szCs w:val="28"/>
          <w:rtl/>
        </w:rPr>
        <w:t xml:space="preserve">10 .حجية الظن، ج 6، ص 500.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حياة الارواح، ج 6 ، ص 849.</w:t>
      </w:r>
    </w:p>
    <w:p>
      <w:pPr>
        <w:pStyle w:val="BookText"/>
      </w:pPr>
      <w:r>
        <w:rPr>
          <w:rFonts w:ascii="Amiri" w:hAnsi="Amiri" w:eastAsia="Amiri" w:cs="Amiri"/>
          <w:lang w:bidi="ar-SA"/>
          <w:color w:val="111111"/>
          <w:sz w:val="28"/>
          <w:szCs w:val="28"/>
          <w:rtl/>
        </w:rPr>
        <w:t xml:space="preserve">12 خزائن العلوم = خلاصة موائد العوائد = فهرست موائد العوائد في بيان القواعد و الفوائد، ج7،</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Amiri" w:hAnsi="Amiri" w:eastAsia="Amiri" w:cs="Amiri"/>
          <w:lang w:bidi="ar-SA"/>
          <w:color w:val="111111"/>
          <w:sz w:val="28"/>
          <w:szCs w:val="28"/>
          <w:rtl/>
        </w:rPr>
        <w:t xml:space="preserve">13 .رسائل اصولية، ج8، ص 136.</w:t>
      </w:r>
    </w:p>
    <w:p>
      <w:pPr>
        <w:pStyle w:val="BookText"/>
      </w:pPr>
      <w:r>
        <w:rPr>
          <w:rFonts w:ascii="Amiri" w:hAnsi="Amiri" w:eastAsia="Amiri" w:cs="Amiri"/>
          <w:lang w:bidi="ar-SA"/>
          <w:color w:val="111111"/>
          <w:sz w:val="28"/>
          <w:szCs w:val="28"/>
          <w:rtl/>
        </w:rPr>
        <w:t xml:space="preserve">14 .شوارع الانام في شرح قواعد الاحكام، ج10، ص 439</w:t>
      </w:r>
    </w:p>
    <w:p>
      <w:pPr>
        <w:pStyle w:val="BookText"/>
      </w:pPr>
      <w:r>
        <w:rPr>
          <w:rFonts w:ascii="Amiri" w:hAnsi="Amiri" w:eastAsia="Amiri" w:cs="Amiri"/>
          <w:lang w:bidi="ar-SA"/>
          <w:color w:val="111111"/>
          <w:sz w:val="28"/>
          <w:szCs w:val="28"/>
          <w:rtl/>
        </w:rPr>
        <w:t xml:space="preserve">15 .صيغ عقد النكاح والطلاق، ج 10،</w:t>
      </w:r>
    </w:p>
    <w:p>
      <w:pPr>
        <w:pStyle w:val="BookText"/>
      </w:pPr>
      <w:r>
        <w:rPr>
          <w:rFonts w:ascii="IRNazanin" w:hAnsi="IRNazanin" w:eastAsia="IRNazanin" w:cs="IRNazanin"/>
          <w:lang w:bidi="fa-IR"/>
          <w:color w:val="111111"/>
          <w:sz w:val="28"/>
          <w:szCs w:val="28"/>
          <w:rtl/>
        </w:rPr>
        <w:t xml:space="preserve">ص 676.</w:t>
      </w:r>
    </w:p>
    <w:p>
      <w:pPr>
        <w:pStyle w:val="BookText"/>
      </w:pPr>
      <w:r>
        <w:rPr>
          <w:rFonts w:ascii="Amiri" w:hAnsi="Amiri" w:eastAsia="Amiri" w:cs="Amiri"/>
          <w:lang w:bidi="ar-SA"/>
          <w:color w:val="111111"/>
          <w:sz w:val="28"/>
          <w:szCs w:val="28"/>
          <w:rtl/>
        </w:rPr>
        <w:t xml:space="preserve">16 .العلوم الادبية = قواعد العلوم الادبية و المنطقية، ج 11، ص 275.</w:t>
      </w:r>
    </w:p>
    <w:p>
      <w:pPr>
        <w:pStyle w:val="BookText"/>
      </w:pPr>
      <w:r>
        <w:rPr>
          <w:rFonts w:ascii="Amiri" w:hAnsi="Amiri" w:eastAsia="Amiri" w:cs="Amiri"/>
          <w:lang w:bidi="ar-SA"/>
          <w:color w:val="111111"/>
          <w:sz w:val="28"/>
          <w:szCs w:val="28"/>
          <w:rtl/>
        </w:rPr>
        <w:t xml:space="preserve">17 .الكفاف في مسائل الاعتكاف</w:t>
      </w:r>
    </w:p>
    <w:p>
      <w:pPr>
        <w:pStyle w:val="BookText"/>
      </w:pPr>
      <w:r>
        <w:rPr>
          <w:rFonts w:ascii="IRNazanin" w:hAnsi="IRNazanin" w:eastAsia="IRNazanin" w:cs="IRNazanin"/>
          <w:lang w:bidi="fa-IR"/>
          <w:color w:val="111111"/>
          <w:sz w:val="28"/>
          <w:szCs w:val="28"/>
          <w:rtl/>
        </w:rPr>
        <w:t xml:space="preserve">ج 13، ص 304.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لب الالباب في الدراية وعلم</w:t>
      </w:r>
    </w:p>
    <w:p>
      <w:pPr>
        <w:pStyle w:val="BookText"/>
      </w:pPr>
      <w:r>
        <w:rPr>
          <w:rFonts w:ascii="IRNazanin" w:hAnsi="IRNazanin" w:eastAsia="IRNazanin" w:cs="IRNazanin"/>
          <w:lang w:bidi="fa-IR"/>
          <w:color w:val="111111"/>
          <w:sz w:val="28"/>
          <w:szCs w:val="28"/>
          <w:rtl/>
        </w:rPr>
        <w:t xml:space="preserve">الرجال، ج 13، ص 555</w:t>
      </w:r>
    </w:p>
    <w:p>
      <w:pPr>
        <w:pStyle w:val="BookText"/>
      </w:pPr>
      <w:r>
        <w:rPr>
          <w:rFonts w:ascii="Amiri" w:hAnsi="Amiri" w:eastAsia="Amiri" w:cs="Amiri"/>
          <w:lang w:bidi="ar-SA"/>
          <w:color w:val="111111"/>
          <w:sz w:val="28"/>
          <w:szCs w:val="28"/>
          <w:rtl/>
        </w:rPr>
        <w:t xml:space="preserve">19 .المجالس = انيس الواعظين، ج13،</w:t>
      </w:r>
    </w:p>
    <w:p>
      <w:pPr>
        <w:pStyle w:val="BookText"/>
      </w:pPr>
      <w:r>
        <w:rPr>
          <w:rFonts w:ascii="IRNazanin" w:hAnsi="IRNazanin" w:eastAsia="IRNazanin" w:cs="IRNazanin"/>
          <w:lang w:bidi="fa-IR"/>
          <w:color w:val="111111"/>
          <w:sz w:val="28"/>
          <w:szCs w:val="28"/>
          <w:rtl/>
        </w:rPr>
        <w:t xml:space="preserve">ص 783.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مشارع القاصدين في السلوك إلى</w:t>
      </w:r>
    </w:p>
    <w:p>
      <w:pPr>
        <w:pStyle w:val="BookText"/>
      </w:pPr>
      <w:r>
        <w:rPr>
          <w:rFonts w:ascii="Amiri" w:hAnsi="Amiri" w:eastAsia="Amiri" w:cs="Amiri"/>
          <w:lang w:bidi="ar-SA"/>
          <w:color w:val="111111"/>
          <w:sz w:val="28"/>
          <w:szCs w:val="28"/>
          <w:rtl/>
        </w:rPr>
        <w:t xml:space="preserve">معالم الدين، ج 14، ص 605.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مشكاة الورى، ج 14، ص 645.</w:t>
      </w:r>
    </w:p>
    <w:p>
      <w:pPr>
        <w:pStyle w:val="BookText"/>
      </w:pPr>
      <w:r>
        <w:rPr>
          <w:rFonts w:ascii="Amiri" w:hAnsi="Amiri" w:eastAsia="Amiri" w:cs="Amiri"/>
          <w:lang w:bidi="ar-SA"/>
          <w:color w:val="111111"/>
          <w:sz w:val="28"/>
          <w:szCs w:val="28"/>
          <w:rtl/>
        </w:rPr>
        <w:t xml:space="preserve">22 .مصابيح الاصول = مصابيح الدجى، ج 14، ص 661 .</w:t>
      </w:r>
    </w:p>
    <w:p>
      <w:pPr>
        <w:pStyle w:val="BookText"/>
      </w:pPr>
      <w:r>
        <w:rPr>
          <w:rFonts w:ascii="Amiri" w:hAnsi="Amiri" w:eastAsia="Amiri" w:cs="Amiri"/>
          <w:lang w:bidi="ar-SA"/>
          <w:color w:val="111111"/>
          <w:sz w:val="28"/>
          <w:szCs w:val="28"/>
          <w:rtl/>
        </w:rPr>
        <w:t xml:space="preserve">23 .مصباح الهدى لفتح ابواب انوار العلي الأعلى، ج 14، ص 743.</w:t>
      </w:r>
    </w:p>
    <w:p>
      <w:pPr>
        <w:pStyle w:val="BookText"/>
      </w:pPr>
      <w:r>
        <w:rPr>
          <w:rFonts w:ascii="Amiri" w:hAnsi="Amiri" w:eastAsia="Amiri" w:cs="Amiri"/>
          <w:lang w:bidi="ar-SA"/>
          <w:color w:val="111111"/>
          <w:sz w:val="28"/>
          <w:szCs w:val="28"/>
          <w:rtl/>
        </w:rPr>
        <w:t xml:space="preserve">24 .معرفة الوقت و القبلة، ج 15 ،</w:t>
      </w:r>
    </w:p>
    <w:p>
      <w:pPr>
        <w:pStyle w:val="BookText"/>
      </w:pPr>
      <w:r>
        <w:rPr>
          <w:rFonts w:ascii="IRNazanin" w:hAnsi="IRNazanin" w:eastAsia="IRNazanin" w:cs="IRNazanin"/>
          <w:lang w:bidi="fa-IR"/>
          <w:color w:val="111111"/>
          <w:sz w:val="28"/>
          <w:szCs w:val="28"/>
          <w:rtl/>
        </w:rPr>
        <w:t xml:space="preserve">ص 76 .</w:t>
      </w:r>
    </w:p>
    <w:p>
      <w:pPr>
        <w:pStyle w:val="BookText"/>
      </w:pPr>
      <w:r>
        <w:rPr>
          <w:rFonts w:ascii="Amiri" w:hAnsi="Amiri" w:eastAsia="Amiri" w:cs="Amiri"/>
          <w:lang w:bidi="ar-SA"/>
          <w:color w:val="111111"/>
          <w:sz w:val="28"/>
          <w:szCs w:val="28"/>
          <w:rtl/>
        </w:rPr>
        <w:t xml:space="preserve">25 .ملاذ الاوتاد في تقرير بحث الاستاد، ج 15 ، ص 433 .</w:t>
      </w:r>
    </w:p>
    <w:p>
      <w:pPr>
        <w:pStyle w:val="BookText"/>
      </w:pPr>
      <w:r>
        <w:rPr>
          <w:rFonts w:ascii="Amiri" w:hAnsi="Amiri" w:eastAsia="Amiri" w:cs="Amiri"/>
          <w:lang w:bidi="ar-SA"/>
          <w:color w:val="111111"/>
          <w:sz w:val="28"/>
          <w:szCs w:val="28"/>
          <w:rtl/>
        </w:rPr>
        <w:t xml:space="preserve">26 موائد العوائد في بيان القواعد و</w:t>
      </w:r>
    </w:p>
    <w:p>
      <w:pPr>
        <w:pStyle w:val="BookText"/>
      </w:pPr>
      <w:r>
        <w:rPr>
          <w:rFonts w:ascii="IRNazanin" w:hAnsi="IRNazanin" w:eastAsia="IRNazanin" w:cs="IRNazanin"/>
          <w:lang w:bidi="fa-IR"/>
          <w:color w:val="111111"/>
          <w:sz w:val="28"/>
          <w:szCs w:val="28"/>
          <w:rtl/>
        </w:rPr>
        <w:t xml:space="preserve">الفوائد، ج15، ص 851.</w:t>
      </w:r>
    </w:p>
    <w:p>
      <w:pPr>
        <w:pStyle w:val="BookText"/>
      </w:pPr>
      <w:r>
        <w:rPr>
          <w:rFonts w:ascii="Amiri" w:hAnsi="Amiri" w:eastAsia="Amiri" w:cs="Amiri"/>
          <w:lang w:bidi="ar-SA"/>
          <w:color w:val="111111"/>
          <w:sz w:val="28"/>
          <w:szCs w:val="28"/>
          <w:rtl/>
        </w:rPr>
        <w:t xml:space="preserve">27 .نجم الهداية، ج 16، ص 158.</w:t>
      </w:r>
    </w:p>
    <w:p>
      <w:pPr>
        <w:pStyle w:val="Heading2"/>
      </w:pPr>
      <w:bookmarkStart w:id="2141" w:name="_Toc1243"/>
      <w:r>
        <w:t>استرآبادي، محمّد حسین بن محمّد زمان</w:t>
      </w:r>
      <w:bookmarkEnd w:id="2141"/>
    </w:p>
    <w:p>
      <w:pPr>
        <w:pStyle w:val="BookText"/>
      </w:pPr>
      <w:r>
        <w:rPr>
          <w:rFonts w:ascii="Amiri" w:hAnsi="Amiri" w:eastAsia="Amiri" w:cs="Amiri"/>
          <w:lang w:bidi="ar-SA"/>
          <w:color w:val="111111"/>
          <w:sz w:val="28"/>
          <w:szCs w:val="28"/>
          <w:rtl/>
        </w:rPr>
        <w:t xml:space="preserve">تحفة الغرائب، ج3، ص871</w:t>
      </w:r>
    </w:p>
    <w:p>
      <w:pPr>
        <w:pStyle w:val="Heading2"/>
      </w:pPr>
      <w:bookmarkStart w:id="2142" w:name="_Toc1244"/>
      <w:r>
        <w:t>استرآبادي ، محمّد شفیع قرن 13 ه-</w:t>
      </w:r>
      <w:bookmarkEnd w:id="2142"/>
    </w:p>
    <w:p>
      <w:pPr>
        <w:pStyle w:val="BookText"/>
      </w:pPr>
      <w:r>
        <w:rPr>
          <w:rFonts w:ascii="IRNazanin" w:hAnsi="IRNazanin" w:eastAsia="IRNazanin" w:cs="IRNazanin"/>
          <w:lang w:bidi="fa-IR"/>
          <w:color w:val="111111"/>
          <w:sz w:val="28"/>
          <w:szCs w:val="28"/>
          <w:rtl/>
        </w:rPr>
        <w:t xml:space="preserve">منهاج الاعمال = رساله عملیه، ج 15</w:t>
      </w:r>
    </w:p>
    <w:p>
      <w:pPr>
        <w:pStyle w:val="BookText"/>
      </w:pPr>
      <w:r>
        <w:rPr>
          <w:rFonts w:ascii="IRNazanin" w:hAnsi="IRNazanin" w:eastAsia="IRNazanin" w:cs="IRNazanin"/>
          <w:lang w:bidi="fa-IR"/>
          <w:color w:val="111111"/>
          <w:sz w:val="28"/>
          <w:szCs w:val="28"/>
          <w:rtl/>
        </w:rPr>
        <w:t xml:space="preserve">ص 749 .</w:t>
      </w:r>
    </w:p>
    <w:p>
      <w:pPr>
        <w:pStyle w:val="Heading2"/>
      </w:pPr>
      <w:bookmarkStart w:id="2143" w:name="_Toc1245"/>
      <w:r>
        <w:t>استرآبادي ، محمّد شفيع بن محمّد علي</w:t>
      </w:r>
      <w:bookmarkEnd w:id="2143"/>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1 .حاشية الشافي للسيد مرتضى، ج 6،</w:t>
      </w:r>
    </w:p>
    <w:p>
      <w:pPr>
        <w:pStyle w:val="BookText"/>
      </w:pPr>
      <w:r>
        <w:rPr>
          <w:rFonts w:ascii="IRNazanin" w:hAnsi="IRNazanin" w:eastAsia="IRNazanin" w:cs="IRNazanin"/>
          <w:lang w:bidi="fa-IR"/>
          <w:color w:val="111111"/>
          <w:sz w:val="28"/>
          <w:szCs w:val="28"/>
          <w:rtl/>
        </w:rPr>
        <w:t xml:space="preserve">ص 4 .</w:t>
      </w:r>
    </w:p>
    <w:p>
      <w:pPr>
        <w:pStyle w:val="BookText"/>
      </w:pPr>
      <w:r>
        <w:rPr>
          <w:rFonts w:ascii="Amiri" w:hAnsi="Amiri" w:eastAsia="Amiri" w:cs="Amiri"/>
          <w:lang w:bidi="ar-SA"/>
          <w:color w:val="111111"/>
          <w:sz w:val="28"/>
          <w:szCs w:val="28"/>
          <w:rtl/>
        </w:rPr>
        <w:t xml:space="preserve">2 .كشف النقاب في فضائل ابوتراب =</w:t>
      </w:r>
    </w:p>
    <w:p>
      <w:pPr>
        <w:pStyle w:val="BookText"/>
      </w:pPr>
      <w:r>
        <w:rPr>
          <w:rFonts w:ascii="Amiri" w:hAnsi="Amiri" w:eastAsia="Amiri" w:cs="Amiri"/>
          <w:lang w:bidi="ar-SA"/>
          <w:color w:val="111111"/>
          <w:sz w:val="28"/>
          <w:szCs w:val="28"/>
          <w:rtl/>
        </w:rPr>
        <w:t xml:space="preserve">الاربعون حديثاً في فضائل علي (ع)، ج13، ص272.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6" w:name="pg7742_69756"/>
    <w:bookmarkEnd w:id="186"/>
    <w:p>
      <w:pPr>
        <w:pStyle w:val="Heading2"/>
      </w:pPr>
      <w:bookmarkStart w:id="2144" w:name="_Toc1246"/>
      <w:r>
        <w:t>استرآبادي، محمّد علي، قرن 13 ه-</w:t>
      </w:r>
      <w:bookmarkEnd w:id="2144"/>
    </w:p>
    <w:p>
      <w:pPr>
        <w:pStyle w:val="BookText"/>
      </w:pPr>
      <w:r>
        <w:rPr>
          <w:rFonts w:ascii="Amiri" w:hAnsi="Amiri" w:eastAsia="Amiri" w:cs="Amiri"/>
          <w:lang w:bidi="ar-SA"/>
          <w:color w:val="111111"/>
          <w:sz w:val="28"/>
          <w:szCs w:val="28"/>
          <w:rtl/>
        </w:rPr>
        <w:t xml:space="preserve">اسئلة ملا محمّد علي، ج 2، ص88</w:t>
      </w:r>
    </w:p>
    <w:p>
      <w:pPr>
        <w:pStyle w:val="BookText"/>
      </w:pPr>
      <w:r>
        <w:rPr>
          <w:rFonts w:ascii="Amiri" w:hAnsi="Amiri" w:eastAsia="Amiri" w:cs="Amiri"/>
          <w:lang w:bidi="ar-SA"/>
          <w:color w:val="111111"/>
          <w:sz w:val="28"/>
          <w:szCs w:val="28"/>
          <w:rtl/>
        </w:rPr>
        <w:t xml:space="preserve">استرآبادي ، محمّد قاسم بن غلامعلي- فرشته ، محمّد قاسم بن غلامعلي</w:t>
      </w:r>
    </w:p>
    <w:p>
      <w:pPr>
        <w:pStyle w:val="BookText"/>
      </w:pPr>
      <w:r>
        <w:rPr>
          <w:rFonts w:ascii="Amiri" w:hAnsi="Amiri" w:eastAsia="Amiri" w:cs="Amiri"/>
          <w:lang w:bidi="ar-SA"/>
          <w:color w:val="111111"/>
          <w:sz w:val="28"/>
          <w:szCs w:val="28"/>
          <w:rtl/>
        </w:rPr>
        <w:t xml:space="preserve">استرآبادي ، محمّد مؤمن بن دوست محمّد -حسيني استرآبادي ، محمّد مؤمن بن</w:t>
      </w:r>
    </w:p>
    <w:p>
      <w:pPr>
        <w:pStyle w:val="BookText"/>
      </w:pPr>
      <w:r>
        <w:rPr>
          <w:rFonts w:ascii="Amiri" w:hAnsi="Amiri" w:eastAsia="Amiri" w:cs="Amiri"/>
          <w:lang w:bidi="ar-SA"/>
          <w:color w:val="111111"/>
          <w:sz w:val="28"/>
          <w:szCs w:val="28"/>
          <w:rtl/>
        </w:rPr>
        <w:t xml:space="preserve">دوست محمّد</w:t>
      </w:r>
    </w:p>
    <w:p>
      <w:pPr>
        <w:pStyle w:val="Heading2"/>
      </w:pPr>
      <w:bookmarkStart w:id="2145" w:name="_Toc1247"/>
      <w:r>
        <w:t>استرآبادي، محمّد معصوم بن محمّد امین</w:t>
      </w:r>
      <w:bookmarkEnd w:id="2145"/>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الرسالة الوجيزة في المطالب الالهية</w:t>
      </w:r>
    </w:p>
    <w:p>
      <w:pPr>
        <w:pStyle w:val="BookText"/>
      </w:pPr>
      <w:r>
        <w:rPr>
          <w:rFonts w:ascii="IRNazanin" w:hAnsi="IRNazanin" w:eastAsia="IRNazanin" w:cs="IRNazanin"/>
          <w:lang w:bidi="fa-IR"/>
          <w:color w:val="111111"/>
          <w:sz w:val="28"/>
          <w:szCs w:val="28"/>
          <w:rtl/>
        </w:rPr>
        <w:t xml:space="preserve">ج 8، ص 294.</w:t>
      </w:r>
    </w:p>
    <w:p>
      <w:pPr>
        <w:pStyle w:val="Heading2"/>
      </w:pPr>
      <w:bookmarkStart w:id="2146" w:name="_Toc1248"/>
      <w:r>
        <w:t>استرآبادي، محمّد مهدي بن محمّد شفيع، اسحاق بن ابراهيم</w:t>
      </w:r>
      <w:bookmarkEnd w:id="21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1259 ه-</w:t>
      </w:r>
    </w:p>
    <w:p>
      <w:pPr>
        <w:pStyle w:val="BookText"/>
      </w:pPr>
      <w:r>
        <w:rPr>
          <w:rFonts w:ascii="Amiri" w:hAnsi="Amiri" w:eastAsia="Amiri" w:cs="Amiri"/>
          <w:lang w:bidi="ar-SA"/>
          <w:color w:val="111111"/>
          <w:sz w:val="28"/>
          <w:szCs w:val="28"/>
          <w:rtl/>
        </w:rPr>
        <w:t xml:space="preserve">1 .غرة الجبين في احكام الصلاة الواجبة اليومية، ج 11، ص 471.</w:t>
      </w:r>
    </w:p>
    <w:p>
      <w:pPr>
        <w:pStyle w:val="BookText"/>
      </w:pPr>
      <w:r>
        <w:rPr>
          <w:rFonts w:ascii="Amiri" w:hAnsi="Amiri" w:eastAsia="Amiri" w:cs="Amiri"/>
          <w:lang w:bidi="ar-SA"/>
          <w:color w:val="111111"/>
          <w:sz w:val="28"/>
          <w:szCs w:val="28"/>
          <w:rtl/>
        </w:rPr>
        <w:t xml:space="preserve">2 .فصل الخطاب في حجية ظواهر</w:t>
      </w:r>
    </w:p>
    <w:p>
      <w:pPr>
        <w:pStyle w:val="BookText"/>
      </w:pPr>
      <w:r>
        <w:rPr>
          <w:rFonts w:ascii="Amiri" w:hAnsi="Amiri" w:eastAsia="Amiri" w:cs="Amiri"/>
          <w:lang w:bidi="ar-SA"/>
          <w:color w:val="111111"/>
          <w:sz w:val="28"/>
          <w:szCs w:val="28"/>
          <w:rtl/>
        </w:rPr>
        <w:t xml:space="preserve">الكتاب، ج 11، ص832.</w:t>
      </w:r>
    </w:p>
    <w:p>
      <w:pPr>
        <w:pStyle w:val="Heading2"/>
      </w:pPr>
      <w:bookmarkStart w:id="2147" w:name="_Toc1249"/>
      <w:r>
        <w:t>استرآبادي، محمّد مهدي بن محمّد نصير</w:t>
      </w:r>
      <w:bookmarkEnd w:id="2147"/>
    </w:p>
    <w:p>
      <w:pPr>
        <w:pStyle w:val="BookText"/>
      </w:pPr>
      <w:r>
        <w:rPr>
          <w:rFonts w:ascii="IRNazanin" w:hAnsi="IRNazanin" w:eastAsia="IRNazanin" w:cs="IRNazanin"/>
          <w:lang w:bidi="fa-IR"/>
          <w:color w:val="111111"/>
          <w:sz w:val="28"/>
          <w:szCs w:val="28"/>
          <w:rtl/>
        </w:rPr>
        <w:t xml:space="preserve">1100 - 1180 ه-</w:t>
      </w:r>
    </w:p>
    <w:p>
      <w:pPr>
        <w:pStyle w:val="BookText"/>
      </w:pPr>
      <w:r>
        <w:rPr>
          <w:rFonts w:ascii="IRNazanin" w:hAnsi="IRNazanin" w:eastAsia="IRNazanin" w:cs="IRNazanin"/>
          <w:lang w:bidi="fa-IR"/>
          <w:color w:val="111111"/>
          <w:sz w:val="28"/>
          <w:szCs w:val="28"/>
          <w:rtl/>
        </w:rPr>
        <w:t xml:space="preserve">1 .جهانگشاي نادري = تاريخ نادري</w:t>
      </w:r>
    </w:p>
    <w:p>
      <w:pPr>
        <w:pStyle w:val="BookText"/>
      </w:pPr>
      <w:r>
        <w:rPr>
          <w:rFonts w:ascii="IRNazanin" w:hAnsi="IRNazanin" w:eastAsia="IRNazanin" w:cs="IRNazanin"/>
          <w:lang w:bidi="fa-IR"/>
          <w:color w:val="111111"/>
          <w:sz w:val="28"/>
          <w:szCs w:val="28"/>
          <w:rtl/>
        </w:rPr>
        <w:t xml:space="preserve">وقایع نادري، ج 5، ص 478.</w:t>
      </w:r>
    </w:p>
    <w:p>
      <w:pPr>
        <w:pStyle w:val="BookText"/>
      </w:pPr>
      <w:r>
        <w:rPr>
          <w:rFonts w:ascii="Amiri" w:hAnsi="Amiri" w:eastAsia="Amiri" w:cs="Amiri"/>
          <w:lang w:bidi="ar-SA"/>
          <w:color w:val="111111"/>
          <w:sz w:val="28"/>
          <w:szCs w:val="28"/>
          <w:rtl/>
        </w:rPr>
        <w:t xml:space="preserve">2 .دره نادره = دره نادري، ج7،</w:t>
      </w:r>
    </w:p>
    <w:p>
      <w:pPr>
        <w:pStyle w:val="BookText"/>
      </w:pPr>
      <w:r>
        <w:rPr>
          <w:rFonts w:ascii="IRNazanin" w:hAnsi="IRNazanin" w:eastAsia="IRNazanin" w:cs="IRNazanin"/>
          <w:lang w:bidi="fa-IR"/>
          <w:color w:val="111111"/>
          <w:sz w:val="28"/>
          <w:szCs w:val="28"/>
          <w:rtl/>
        </w:rPr>
        <w:t xml:space="preserve">ص 269.</w:t>
      </w:r>
    </w:p>
    <w:p>
      <w:pPr>
        <w:pStyle w:val="Heading2"/>
      </w:pPr>
      <w:bookmarkStart w:id="2148" w:name="_Toc1250"/>
      <w:r>
        <w:t>استرآبادي ، محمّد يوسف، - 1286 ه-</w:t>
      </w:r>
      <w:bookmarkEnd w:id="2148"/>
    </w:p>
    <w:p>
      <w:pPr>
        <w:pStyle w:val="BookText"/>
      </w:pPr>
      <w:r>
        <w:rPr>
          <w:rFonts w:ascii="IRNazanin" w:hAnsi="IRNazanin" w:eastAsia="IRNazanin" w:cs="IRNazanin"/>
          <w:lang w:bidi="fa-IR"/>
          <w:color w:val="111111"/>
          <w:sz w:val="28"/>
          <w:szCs w:val="28"/>
          <w:rtl/>
        </w:rPr>
        <w:t xml:space="preserve">1 .رضاعیه، ج8، ص328</w:t>
      </w:r>
    </w:p>
    <w:p>
      <w:pPr>
        <w:pStyle w:val="BookText"/>
      </w:pPr>
      <w:r>
        <w:rPr>
          <w:rFonts w:ascii="Amiri" w:hAnsi="Amiri" w:eastAsia="Amiri" w:cs="Amiri"/>
          <w:lang w:bidi="ar-SA"/>
          <w:color w:val="111111"/>
          <w:sz w:val="28"/>
          <w:szCs w:val="28"/>
          <w:rtl/>
        </w:rPr>
        <w:t xml:space="preserve">2 .صيغ العقود والايقاعات، ج 10،</w:t>
      </w:r>
    </w:p>
    <w:p>
      <w:pPr>
        <w:pStyle w:val="BookText"/>
      </w:pPr>
      <w:r>
        <w:rPr>
          <w:rFonts w:ascii="IRNazanin" w:hAnsi="IRNazanin" w:eastAsia="IRNazanin" w:cs="IRNazanin"/>
          <w:lang w:bidi="fa-IR"/>
          <w:color w:val="111111"/>
          <w:sz w:val="28"/>
          <w:szCs w:val="28"/>
          <w:rtl/>
        </w:rPr>
        <w:t xml:space="preserve">ص 681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اللقطة (رسالة في)، ج13، ص 604.</w:t>
      </w:r>
    </w:p>
    <w:p>
      <w:pPr>
        <w:pStyle w:val="BookText"/>
      </w:pPr>
      <w:r>
        <w:rPr>
          <w:rFonts w:ascii="Amiri" w:hAnsi="Amiri" w:eastAsia="Amiri" w:cs="Amiri"/>
          <w:lang w:bidi="ar-SA"/>
          <w:color w:val="111111"/>
          <w:sz w:val="28"/>
          <w:szCs w:val="28"/>
          <w:rtl/>
        </w:rPr>
        <w:t xml:space="preserve">استرآبادي ، نصيرالدين محمّد بن عبد الكريم -انصاري ، محمّد بن عبدالكريم</w:t>
      </w:r>
    </w:p>
    <w:p>
      <w:pPr>
        <w:pStyle w:val="BookText"/>
      </w:pPr>
      <w:r>
        <w:rPr>
          <w:rFonts w:ascii="Amiri" w:hAnsi="Amiri" w:eastAsia="Amiri" w:cs="Amiri"/>
          <w:lang w:bidi="ar-SA"/>
          <w:color w:val="111111"/>
          <w:sz w:val="28"/>
          <w:szCs w:val="28"/>
          <w:rtl/>
        </w:rPr>
        <w:t xml:space="preserve">استعدادخان -آرزو ، سراج الدين علي بن</w:t>
      </w:r>
    </w:p>
    <w:p>
      <w:pPr>
        <w:pStyle w:val="BookText"/>
      </w:pPr>
      <w:r>
        <w:rPr>
          <w:rFonts w:ascii="Amiri" w:hAnsi="Amiri" w:eastAsia="Amiri" w:cs="Amiri"/>
          <w:lang w:bidi="ar-SA"/>
          <w:color w:val="111111"/>
          <w:sz w:val="28"/>
          <w:szCs w:val="28"/>
          <w:rtl/>
        </w:rPr>
        <w:t xml:space="preserve">حسام الدين</w:t>
      </w:r>
    </w:p>
    <w:p>
      <w:pPr>
        <w:pStyle w:val="BookText"/>
      </w:pPr>
      <w:r>
        <w:rPr>
          <w:rFonts w:ascii="Amiri" w:hAnsi="Amiri" w:eastAsia="Amiri" w:cs="Amiri"/>
          <w:lang w:bidi="ar-SA"/>
          <w:color w:val="111111"/>
          <w:sz w:val="28"/>
          <w:szCs w:val="28"/>
          <w:rtl/>
        </w:rPr>
        <w:t xml:space="preserve">استيفانوس مينوكيوس - مينوكيوس ، استيفانوس</w:t>
      </w:r>
    </w:p>
    <w:p>
      <w:pPr>
        <w:pStyle w:val="BookText"/>
      </w:pPr>
      <w:r>
        <w:rPr>
          <w:rFonts w:ascii="Amiri" w:hAnsi="Amiri" w:eastAsia="Amiri" w:cs="Amiri"/>
          <w:lang w:bidi="ar-SA"/>
          <w:color w:val="111111"/>
          <w:sz w:val="28"/>
          <w:szCs w:val="28"/>
          <w:rtl/>
        </w:rPr>
        <w:t xml:space="preserve">اسحاق بن ابراهيم السرخسي الهروي- قراب ، اسحاق بن ابراهيم</w:t>
      </w:r>
    </w:p>
    <w:p>
      <w:pPr>
        <w:pStyle w:val="BookText"/>
      </w:pPr>
      <w:r>
        <w:rPr>
          <w:rFonts w:ascii="Amiri" w:hAnsi="Amiri" w:eastAsia="Amiri" w:cs="Amiri"/>
          <w:lang w:bidi="ar-SA"/>
          <w:color w:val="111111"/>
          <w:sz w:val="28"/>
          <w:szCs w:val="28"/>
          <w:rtl/>
        </w:rPr>
        <w:t xml:space="preserve">اسحاق بن ابراهيم تدمري -دميري ،</w:t>
      </w:r>
    </w:p>
    <w:p>
      <w:pPr>
        <w:pStyle w:val="BookText"/>
      </w:pPr>
      <w:r>
        <w:rPr>
          <w:rFonts w:ascii="Amiri" w:hAnsi="Amiri" w:eastAsia="Amiri" w:cs="Amiri"/>
          <w:lang w:bidi="ar-SA"/>
          <w:color w:val="111111"/>
          <w:sz w:val="28"/>
          <w:szCs w:val="28"/>
          <w:rtl/>
        </w:rPr>
        <w:t xml:space="preserve">اسحاق بن ابراهيم فارابي -فارابي ، اسحاق</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اسحاق بن ابراهيم موصلي -ابن نديم</w:t>
      </w:r>
    </w:p>
    <w:p>
      <w:pPr>
        <w:pStyle w:val="BookText"/>
      </w:pPr>
      <w:r>
        <w:rPr>
          <w:rFonts w:ascii="Amiri" w:hAnsi="Amiri" w:eastAsia="Amiri" w:cs="Amiri"/>
          <w:lang w:bidi="ar-SA"/>
          <w:color w:val="111111"/>
          <w:sz w:val="28"/>
          <w:szCs w:val="28"/>
          <w:rtl/>
        </w:rPr>
        <w:t xml:space="preserve">موصلي، اسحاق بن ابراهيم</w:t>
      </w:r>
    </w:p>
    <w:p>
      <w:pPr>
        <w:pStyle w:val="BookText"/>
      </w:pPr>
      <w:r>
        <w:rPr>
          <w:rFonts w:ascii="Amiri" w:hAnsi="Amiri" w:eastAsia="Amiri" w:cs="Amiri"/>
          <w:lang w:bidi="ar-SA"/>
          <w:color w:val="111111"/>
          <w:sz w:val="28"/>
          <w:szCs w:val="28"/>
          <w:rtl/>
        </w:rPr>
        <w:t xml:space="preserve">اسحاق بن ابي بكر ولوالجي- ولوالجي</w:t>
      </w:r>
    </w:p>
    <w:p>
      <w:pPr>
        <w:pStyle w:val="BookText"/>
      </w:pPr>
      <w:r>
        <w:rPr>
          <w:rFonts w:ascii="Amiri" w:hAnsi="Amiri" w:eastAsia="Amiri" w:cs="Amiri"/>
          <w:lang w:bidi="ar-SA"/>
          <w:color w:val="111111"/>
          <w:sz w:val="28"/>
          <w:szCs w:val="28"/>
          <w:rtl/>
        </w:rPr>
        <w:t xml:space="preserve">اسحاق بن ابي بكر</w:t>
      </w:r>
    </w:p>
    <w:p>
      <w:pPr>
        <w:pStyle w:val="BookText"/>
      </w:pPr>
      <w:r>
        <w:rPr>
          <w:rFonts w:ascii="Amiri" w:hAnsi="Amiri" w:eastAsia="Amiri" w:cs="Amiri"/>
          <w:lang w:bidi="ar-SA"/>
          <w:color w:val="111111"/>
          <w:sz w:val="28"/>
          <w:szCs w:val="28"/>
          <w:rtl/>
        </w:rPr>
        <w:t xml:space="preserve">اسحاق بن امين الدين جبرئيل موسوي</w:t>
      </w:r>
    </w:p>
    <w:p>
      <w:pPr>
        <w:pStyle w:val="BookText"/>
      </w:pPr>
      <w:r>
        <w:rPr>
          <w:rFonts w:ascii="Amiri" w:hAnsi="Amiri" w:eastAsia="Amiri" w:cs="Amiri"/>
          <w:lang w:bidi="ar-SA"/>
          <w:color w:val="111111"/>
          <w:sz w:val="28"/>
          <w:szCs w:val="28"/>
          <w:rtl/>
        </w:rPr>
        <w:t xml:space="preserve">اردبيلي - صفي الدين اردبيلي ، اسحاق بن</w:t>
      </w:r>
    </w:p>
    <w:p>
      <w:pPr>
        <w:pStyle w:val="BookText"/>
      </w:pPr>
      <w:r>
        <w:rPr>
          <w:rFonts w:ascii="IRNazanin" w:hAnsi="IRNazanin" w:eastAsia="IRNazanin" w:cs="IRNazanin"/>
          <w:lang w:bidi="fa-IR"/>
          <w:color w:val="111111"/>
          <w:sz w:val="28"/>
          <w:szCs w:val="28"/>
          <w:rtl/>
        </w:rPr>
        <w:t xml:space="preserve">جبرئیل</w:t>
      </w:r>
    </w:p>
    <w:p>
      <w:pPr>
        <w:pStyle w:val="BookText"/>
      </w:pPr>
      <w:r>
        <w:rPr>
          <w:rFonts w:ascii="Amiri" w:hAnsi="Amiri" w:eastAsia="Amiri" w:cs="Amiri"/>
          <w:lang w:bidi="ar-SA"/>
          <w:color w:val="111111"/>
          <w:sz w:val="28"/>
          <w:szCs w:val="28"/>
          <w:rtl/>
        </w:rPr>
        <w:t xml:space="preserve">اسحاق بن حسن زنجاني تو قادي- زنجاني ،</w:t>
      </w:r>
    </w:p>
    <w:p>
      <w:pPr>
        <w:pStyle w:val="BookText"/>
      </w:pPr>
      <w:r>
        <w:rPr>
          <w:rFonts w:ascii="IRNazanin" w:hAnsi="IRNazanin" w:eastAsia="IRNazanin" w:cs="IRNazanin"/>
          <w:lang w:bidi="fa-IR"/>
          <w:color w:val="111111"/>
          <w:sz w:val="28"/>
          <w:szCs w:val="28"/>
          <w:rtl/>
        </w:rPr>
        <w:t xml:space="preserve">اسحاق بن حسن</w:t>
      </w:r>
    </w:p>
    <w:p>
      <w:pPr>
        <w:pStyle w:val="Heading2"/>
      </w:pPr>
      <w:bookmarkStart w:id="2149" w:name="_Toc1251"/>
      <w:r>
        <w:t>اسحاق بن حنين، 215 - 298 ه-</w:t>
      </w:r>
      <w:bookmarkEnd w:id="2149"/>
    </w:p>
    <w:p>
      <w:pPr>
        <w:pStyle w:val="BookText"/>
      </w:pPr>
      <w:r>
        <w:rPr>
          <w:rFonts w:ascii="Amiri" w:hAnsi="Amiri" w:eastAsia="Amiri" w:cs="Amiri"/>
          <w:lang w:bidi="ar-SA"/>
          <w:color w:val="111111"/>
          <w:sz w:val="28"/>
          <w:szCs w:val="28"/>
          <w:rtl/>
        </w:rPr>
        <w:t xml:space="preserve">الطب (رسالة في)، ج 10، ص 735.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7" w:name="pg7742_69759"/>
    <w:bookmarkEnd w:id="187"/>
    <w:p>
      <w:pPr>
        <w:pStyle w:val="BookText"/>
      </w:pPr>
      <w:r>
        <w:rPr>
          <w:rFonts w:ascii="Amiri" w:hAnsi="Amiri" w:eastAsia="Amiri" w:cs="Amiri"/>
          <w:lang w:bidi="ar-SA"/>
          <w:color w:val="111111"/>
          <w:sz w:val="28"/>
          <w:szCs w:val="28"/>
          <w:rtl/>
        </w:rPr>
        <w:t xml:space="preserve">اسحاق بن علي الملتاني - ملتاني ، اسحاق بن علي</w:t>
      </w:r>
    </w:p>
    <w:p>
      <w:pPr>
        <w:pStyle w:val="BookText"/>
      </w:pPr>
      <w:r>
        <w:rPr>
          <w:rFonts w:ascii="Amiri" w:hAnsi="Amiri" w:eastAsia="Amiri" w:cs="Amiri"/>
          <w:lang w:bidi="ar-SA"/>
          <w:color w:val="111111"/>
          <w:sz w:val="28"/>
          <w:szCs w:val="28"/>
          <w:rtl/>
        </w:rPr>
        <w:t xml:space="preserve">اسحاق بن علي ويذكي- ويذكلي ، اسحاق</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اسحاق بن محمّد سمرقندي - سمرقندي ،</w:t>
      </w:r>
    </w:p>
    <w:p>
      <w:pPr>
        <w:pStyle w:val="BookText"/>
      </w:pPr>
      <w:r>
        <w:rPr>
          <w:rFonts w:ascii="Amiri" w:hAnsi="Amiri" w:eastAsia="Amiri" w:cs="Amiri"/>
          <w:lang w:bidi="ar-SA"/>
          <w:color w:val="111111"/>
          <w:sz w:val="28"/>
          <w:szCs w:val="28"/>
          <w:rtl/>
        </w:rPr>
        <w:t xml:space="preserve">اسحاق بن محمّد اسحاق بن مرار شيباني- شيباني ، اسحاق</w:t>
      </w:r>
    </w:p>
    <w:p>
      <w:pPr>
        <w:pStyle w:val="BookText"/>
      </w:pPr>
      <w:r>
        <w:rPr>
          <w:rFonts w:ascii="IRNazanin" w:hAnsi="IRNazanin" w:eastAsia="IRNazanin" w:cs="IRNazanin"/>
          <w:lang w:bidi="fa-IR"/>
          <w:color w:val="111111"/>
          <w:sz w:val="28"/>
          <w:szCs w:val="28"/>
          <w:rtl/>
        </w:rPr>
        <w:t xml:space="preserve">بن مرار</w:t>
      </w:r>
    </w:p>
    <w:p>
      <w:pPr>
        <w:pStyle w:val="BookText"/>
      </w:pPr>
      <w:r>
        <w:rPr>
          <w:rFonts w:ascii="IRNazanin" w:hAnsi="IRNazanin" w:eastAsia="IRNazanin" w:cs="IRNazanin"/>
          <w:lang w:bidi="fa-IR"/>
          <w:color w:val="111111"/>
          <w:sz w:val="28"/>
          <w:szCs w:val="28"/>
          <w:rtl/>
        </w:rPr>
        <w:t xml:space="preserve">اسحاق بن یوسف گيلاني -گيلاني ، اسحاق</w:t>
      </w:r>
    </w:p>
    <w:p>
      <w:pPr>
        <w:pStyle w:val="BookText"/>
      </w:pPr>
      <w:r>
        <w:rPr>
          <w:rFonts w:ascii="Amiri" w:hAnsi="Amiri" w:eastAsia="Amiri" w:cs="Amiri"/>
          <w:lang w:bidi="ar-SA"/>
          <w:color w:val="111111"/>
          <w:sz w:val="28"/>
          <w:szCs w:val="28"/>
          <w:rtl/>
        </w:rPr>
        <w:t xml:space="preserve">بن يوسف</w:t>
      </w:r>
    </w:p>
    <w:p>
      <w:pPr>
        <w:pStyle w:val="BookText"/>
      </w:pPr>
      <w:r>
        <w:rPr>
          <w:rFonts w:ascii="IRNazanin" w:hAnsi="IRNazanin" w:eastAsia="IRNazanin" w:cs="IRNazanin"/>
          <w:lang w:bidi="fa-IR"/>
          <w:color w:val="111111"/>
          <w:sz w:val="28"/>
          <w:szCs w:val="28"/>
          <w:rtl/>
        </w:rPr>
        <w:t xml:space="preserve">اسحاق حکیم -حکیم اسحاق</w:t>
      </w:r>
    </w:p>
    <w:p>
      <w:pPr>
        <w:pStyle w:val="BookText"/>
      </w:pPr>
      <w:r>
        <w:rPr>
          <w:rFonts w:ascii="Amiri" w:hAnsi="Amiri" w:eastAsia="Amiri" w:cs="Amiri"/>
          <w:lang w:bidi="ar-SA"/>
          <w:color w:val="111111"/>
          <w:sz w:val="28"/>
          <w:szCs w:val="28"/>
          <w:rtl/>
        </w:rPr>
        <w:t xml:space="preserve">اسحاق حويزي- حويزي ، اسحاق</w:t>
      </w:r>
    </w:p>
    <w:p>
      <w:pPr>
        <w:pStyle w:val="BookText"/>
      </w:pPr>
      <w:r>
        <w:rPr>
          <w:rFonts w:ascii="Amiri" w:hAnsi="Amiri" w:eastAsia="Amiri" w:cs="Amiri"/>
          <w:lang w:bidi="ar-SA"/>
          <w:color w:val="111111"/>
          <w:sz w:val="28"/>
          <w:szCs w:val="28"/>
          <w:rtl/>
        </w:rPr>
        <w:t xml:space="preserve">اسحاقي ، احمد بن علي- سهارنفوري</w:t>
      </w:r>
    </w:p>
    <w:p>
      <w:pPr>
        <w:pStyle w:val="BookText"/>
      </w:pPr>
      <w:r>
        <w:rPr>
          <w:rFonts w:ascii="Amiri" w:hAnsi="Amiri" w:eastAsia="Amiri" w:cs="Amiri"/>
          <w:lang w:bidi="ar-SA"/>
          <w:color w:val="111111"/>
          <w:sz w:val="28"/>
          <w:szCs w:val="28"/>
          <w:rtl/>
        </w:rPr>
        <w:t xml:space="preserve">احمد بن علي</w:t>
      </w:r>
    </w:p>
    <w:p>
      <w:pPr>
        <w:pStyle w:val="Heading2"/>
      </w:pPr>
      <w:bookmarkStart w:id="2150" w:name="_Toc1252"/>
      <w:r>
        <w:t>اسحق افندي</w:t>
      </w:r>
      <w:bookmarkEnd w:id="2150"/>
    </w:p>
    <w:p>
      <w:pPr>
        <w:pStyle w:val="BookText"/>
      </w:pPr>
      <w:r>
        <w:rPr>
          <w:rFonts w:ascii="Amiri" w:hAnsi="Amiri" w:eastAsia="Amiri" w:cs="Amiri"/>
          <w:lang w:bidi="ar-SA"/>
          <w:color w:val="111111"/>
          <w:sz w:val="28"/>
          <w:szCs w:val="28"/>
          <w:rtl/>
        </w:rPr>
        <w:t xml:space="preserve">علم الجيب (رسالة في)، ج 11، ص239.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آبادي ، جمال الدين بن صفدر -جمال</w:t>
      </w:r>
    </w:p>
    <w:p>
      <w:pPr>
        <w:pStyle w:val="BookText"/>
      </w:pPr>
      <w:r>
        <w:rPr>
          <w:rFonts w:ascii="Amiri" w:hAnsi="Amiri" w:eastAsia="Amiri" w:cs="Amiri"/>
          <w:lang w:bidi="ar-SA"/>
          <w:color w:val="111111"/>
          <w:sz w:val="28"/>
          <w:szCs w:val="28"/>
          <w:rtl/>
        </w:rPr>
        <w:t xml:space="preserve">الدين اسدآبادي</w:t>
      </w:r>
    </w:p>
    <w:p>
      <w:pPr>
        <w:pStyle w:val="BookText"/>
      </w:pPr>
      <w:r>
        <w:rPr>
          <w:rFonts w:ascii="Amiri" w:hAnsi="Amiri" w:eastAsia="Amiri" w:cs="Amiri"/>
          <w:lang w:bidi="ar-SA"/>
          <w:color w:val="111111"/>
          <w:sz w:val="28"/>
          <w:szCs w:val="28"/>
          <w:rtl/>
        </w:rPr>
        <w:t xml:space="preserve">اسد آبادي ، عبدالجبار بن احمد- همداني ،</w:t>
      </w:r>
    </w:p>
    <w:p>
      <w:pPr>
        <w:pStyle w:val="BookText"/>
      </w:pPr>
      <w:r>
        <w:rPr>
          <w:rFonts w:ascii="IRNazanin" w:hAnsi="IRNazanin" w:eastAsia="IRNazanin" w:cs="IRNazanin"/>
          <w:lang w:bidi="fa-IR"/>
          <w:color w:val="111111"/>
          <w:sz w:val="28"/>
          <w:szCs w:val="28"/>
          <w:rtl/>
        </w:rPr>
        <w:t xml:space="preserve">عبدالجبار بن احمد</w:t>
      </w:r>
    </w:p>
    <w:p>
      <w:pPr>
        <w:pStyle w:val="BookText"/>
      </w:pPr>
      <w:r>
        <w:rPr>
          <w:rFonts w:ascii="Amiri" w:hAnsi="Amiri" w:eastAsia="Amiri" w:cs="Amiri"/>
          <w:lang w:bidi="ar-SA"/>
          <w:color w:val="111111"/>
          <w:sz w:val="28"/>
          <w:szCs w:val="28"/>
          <w:rtl/>
        </w:rPr>
        <w:t xml:space="preserve">اسدالله بن اسماعيل كاظمي -كاظمي</w:t>
      </w:r>
    </w:p>
    <w:p>
      <w:pPr>
        <w:pStyle w:val="BookText"/>
      </w:pPr>
      <w:r>
        <w:rPr>
          <w:rFonts w:ascii="IRNazanin" w:hAnsi="IRNazanin" w:eastAsia="IRNazanin" w:cs="IRNazanin"/>
          <w:lang w:bidi="fa-IR"/>
          <w:color w:val="111111"/>
          <w:sz w:val="28"/>
          <w:szCs w:val="28"/>
          <w:rtl/>
        </w:rPr>
        <w:t xml:space="preserve">اسدالله بن اسماعیل</w:t>
      </w:r>
    </w:p>
    <w:p>
      <w:pPr>
        <w:pStyle w:val="BookText"/>
      </w:pPr>
      <w:r>
        <w:rPr>
          <w:rFonts w:ascii="Amiri" w:hAnsi="Amiri" w:eastAsia="Amiri" w:cs="Amiri"/>
          <w:lang w:bidi="ar-SA"/>
          <w:color w:val="111111"/>
          <w:sz w:val="28"/>
          <w:szCs w:val="28"/>
          <w:rtl/>
        </w:rPr>
        <w:t xml:space="preserve">اسدالله بن علي اكبر زنجاني- زنجاني</w:t>
      </w:r>
    </w:p>
    <w:p>
      <w:pPr>
        <w:pStyle w:val="BookText"/>
      </w:pPr>
      <w:r>
        <w:rPr>
          <w:rFonts w:ascii="Amiri" w:hAnsi="Amiri" w:eastAsia="Amiri" w:cs="Amiri"/>
          <w:lang w:bidi="ar-SA"/>
          <w:color w:val="111111"/>
          <w:sz w:val="28"/>
          <w:szCs w:val="28"/>
          <w:rtl/>
        </w:rPr>
        <w:t xml:space="preserve">اسدالله بن علي اكبر</w:t>
      </w:r>
    </w:p>
    <w:p>
      <w:pPr>
        <w:pStyle w:val="BookText"/>
      </w:pPr>
      <w:r>
        <w:rPr>
          <w:rFonts w:ascii="Amiri" w:hAnsi="Amiri" w:eastAsia="Amiri" w:cs="Amiri"/>
          <w:lang w:bidi="ar-SA"/>
          <w:color w:val="111111"/>
          <w:sz w:val="28"/>
          <w:szCs w:val="28"/>
          <w:rtl/>
        </w:rPr>
        <w:t xml:space="preserve">اسدالله بن علي بن محمّد حسيني مرعشي -</w:t>
      </w:r>
    </w:p>
    <w:p>
      <w:pPr>
        <w:pStyle w:val="BookText"/>
      </w:pPr>
      <w:r>
        <w:rPr>
          <w:rFonts w:ascii="Amiri" w:hAnsi="Amiri" w:eastAsia="Amiri" w:cs="Amiri"/>
          <w:lang w:bidi="ar-SA"/>
          <w:color w:val="111111"/>
          <w:sz w:val="28"/>
          <w:szCs w:val="28"/>
          <w:rtl/>
        </w:rPr>
        <w:t xml:space="preserve">شاهمير ، اسدالله بن علي</w:t>
      </w:r>
    </w:p>
    <w:p>
      <w:pPr>
        <w:pStyle w:val="BookText"/>
      </w:pPr>
      <w:r>
        <w:rPr>
          <w:rFonts w:ascii="Amiri" w:hAnsi="Amiri" w:eastAsia="Amiri" w:cs="Amiri"/>
          <w:lang w:bidi="ar-SA"/>
          <w:color w:val="111111"/>
          <w:sz w:val="28"/>
          <w:szCs w:val="28"/>
          <w:rtl/>
        </w:rPr>
        <w:t xml:space="preserve">اسدالله بن محمّد علي الخالصي الكاظمي -خالصي ، اسدالله بن محمّد علي</w:t>
      </w:r>
    </w:p>
    <w:p>
      <w:pPr>
        <w:pStyle w:val="BookText"/>
      </w:pPr>
      <w:r>
        <w:rPr>
          <w:rFonts w:ascii="Amiri" w:hAnsi="Amiri" w:eastAsia="Amiri" w:cs="Amiri"/>
          <w:lang w:bidi="ar-SA"/>
          <w:color w:val="111111"/>
          <w:sz w:val="28"/>
          <w:szCs w:val="28"/>
          <w:rtl/>
        </w:rPr>
        <w:t xml:space="preserve">اسدالله حسيني قائيني كربلائي- حسيني</w:t>
      </w:r>
    </w:p>
    <w:p>
      <w:pPr>
        <w:pStyle w:val="BookText"/>
      </w:pPr>
      <w:r>
        <w:rPr>
          <w:rFonts w:ascii="IRNazanin" w:hAnsi="IRNazanin" w:eastAsia="IRNazanin" w:cs="IRNazanin"/>
          <w:lang w:bidi="fa-IR"/>
          <w:color w:val="111111"/>
          <w:sz w:val="28"/>
          <w:szCs w:val="28"/>
          <w:rtl/>
        </w:rPr>
        <w:t xml:space="preserve">قائيني ، اسدالله اسد بن محمّد حیدر -حیدر ، اسد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اسد حیدر -حیدر ، اسد بن محمّد</w:t>
      </w:r>
    </w:p>
    <w:p>
      <w:pPr>
        <w:pStyle w:val="BookText"/>
      </w:pPr>
      <w:r>
        <w:rPr>
          <w:rFonts w:ascii="IRNazanin" w:hAnsi="IRNazanin" w:eastAsia="IRNazanin" w:cs="IRNazanin"/>
          <w:lang w:bidi="fa-IR"/>
          <w:color w:val="111111"/>
          <w:sz w:val="28"/>
          <w:szCs w:val="28"/>
          <w:rtl/>
        </w:rPr>
        <w:t xml:space="preserve">اسد خان ، مصطفى -مصطفی اسد خان</w:t>
      </w:r>
    </w:p>
    <w:p>
      <w:pPr>
        <w:pStyle w:val="Heading2"/>
      </w:pPr>
      <w:bookmarkStart w:id="2151" w:name="_Toc1253"/>
      <w:r>
        <w:t>اسدي ، احمد بن محمّد - 1066 ه-</w:t>
      </w:r>
      <w:bookmarkEnd w:id="2151"/>
    </w:p>
    <w:p>
      <w:pPr>
        <w:pStyle w:val="BookText"/>
      </w:pPr>
      <w:r>
        <w:rPr>
          <w:rFonts w:ascii="Amiri" w:hAnsi="Amiri" w:eastAsia="Amiri" w:cs="Amiri"/>
          <w:lang w:bidi="ar-SA"/>
          <w:color w:val="111111"/>
          <w:sz w:val="28"/>
          <w:szCs w:val="28"/>
          <w:rtl/>
        </w:rPr>
        <w:t xml:space="preserve">فضل البيت الشريف و الطواف به و</w:t>
      </w:r>
    </w:p>
    <w:p>
      <w:pPr>
        <w:pStyle w:val="BookText"/>
      </w:pPr>
      <w:r>
        <w:rPr>
          <w:rFonts w:ascii="Amiri" w:hAnsi="Amiri" w:eastAsia="Amiri" w:cs="Amiri"/>
          <w:lang w:bidi="ar-SA"/>
          <w:color w:val="111111"/>
          <w:sz w:val="28"/>
          <w:szCs w:val="28"/>
          <w:rtl/>
        </w:rPr>
        <w:t xml:space="preserve">بناء الكعبة (كتاب في)، ج 12، ص22.</w:t>
      </w:r>
    </w:p>
    <w:p>
      <w:pPr>
        <w:pStyle w:val="Heading2"/>
      </w:pPr>
      <w:bookmarkStart w:id="2152" w:name="_Toc1254"/>
      <w:r>
        <w:t>اسدي جزائري، محمّد صادق بن محمّد</w:t>
      </w:r>
      <w:bookmarkEnd w:id="2152"/>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الأربعون حديثاً في فضائل أمير</w:t>
      </w:r>
    </w:p>
    <w:p>
      <w:pPr>
        <w:pStyle w:val="BookText"/>
      </w:pPr>
      <w:r>
        <w:rPr>
          <w:rFonts w:ascii="Amiri" w:hAnsi="Amiri" w:eastAsia="Amiri" w:cs="Amiri"/>
          <w:lang w:bidi="ar-SA"/>
          <w:color w:val="111111"/>
          <w:sz w:val="28"/>
          <w:szCs w:val="28"/>
          <w:rtl/>
        </w:rPr>
        <w:t xml:space="preserve">المؤمنين، ج 1، ص 726.</w:t>
      </w:r>
    </w:p>
    <w:p>
      <w:pPr>
        <w:pStyle w:val="Heading2"/>
      </w:pPr>
      <w:bookmarkStart w:id="2153" w:name="_Toc1255"/>
      <w:r>
        <w:t>اسدي ، جواد بن محمّد حسين، 1210 - 1281 ه</w:t>
      </w:r>
      <w:bookmarkEnd w:id="2153"/>
    </w:p>
    <w:p>
      <w:pPr>
        <w:pStyle w:val="BookText"/>
      </w:pPr>
      <w:r>
        <w:rPr>
          <w:rFonts w:ascii="Amiri" w:hAnsi="Amiri" w:eastAsia="Amiri" w:cs="Amiri"/>
          <w:lang w:bidi="ar-SA"/>
          <w:color w:val="111111"/>
          <w:sz w:val="28"/>
          <w:szCs w:val="28"/>
          <w:rtl/>
        </w:rPr>
        <w:t xml:space="preserve">ملحمة الشاعر الحاج جواد برقت</w:t>
      </w:r>
    </w:p>
    <w:p>
      <w:pPr>
        <w:pStyle w:val="BookText"/>
      </w:pPr>
      <w:r>
        <w:rPr>
          <w:rFonts w:ascii="IRNazanin" w:hAnsi="IRNazanin" w:eastAsia="IRNazanin" w:cs="IRNazanin"/>
          <w:lang w:bidi="fa-IR"/>
          <w:color w:val="111111"/>
          <w:sz w:val="28"/>
          <w:szCs w:val="28"/>
          <w:rtl/>
        </w:rPr>
        <w:t xml:space="preserve">ج 15 ، ص 455.</w:t>
      </w:r>
    </w:p>
    <w:p>
      <w:pPr>
        <w:pStyle w:val="Heading2"/>
      </w:pPr>
      <w:bookmarkStart w:id="2154" w:name="_Toc1256"/>
      <w:r>
        <w:t>اسدي ، حسن بن محمّد قرن 8 ه-</w:t>
      </w:r>
      <w:bookmarkEnd w:id="2154"/>
    </w:p>
    <w:p>
      <w:pPr>
        <w:pStyle w:val="BookText"/>
      </w:pPr>
      <w:r>
        <w:rPr>
          <w:rFonts w:ascii="Amiri" w:hAnsi="Amiri" w:eastAsia="Amiri" w:cs="Amiri"/>
          <w:lang w:bidi="ar-SA"/>
          <w:color w:val="111111"/>
          <w:sz w:val="28"/>
          <w:szCs w:val="28"/>
          <w:rtl/>
        </w:rPr>
        <w:t xml:space="preserve">حل الالغاز في مسائل الايجاز، ج 6،</w:t>
      </w:r>
    </w:p>
    <w:p>
      <w:pPr>
        <w:pStyle w:val="BookText"/>
      </w:pPr>
      <w:r>
        <w:rPr>
          <w:rFonts w:ascii="IRNazanin" w:hAnsi="IRNazanin" w:eastAsia="IRNazanin" w:cs="IRNazanin"/>
          <w:lang w:bidi="fa-IR"/>
          <w:color w:val="111111"/>
          <w:sz w:val="28"/>
          <w:szCs w:val="28"/>
          <w:rtl/>
        </w:rPr>
        <w:t xml:space="preserve">ص 772.</w:t>
      </w:r>
    </w:p>
    <w:p>
      <w:pPr>
        <w:pStyle w:val="Heading2"/>
      </w:pPr>
      <w:bookmarkStart w:id="2155" w:name="_Toc1257"/>
      <w:r>
        <w:t>اسدي حلي ، سرايا بن حماد قرن 5 ه-</w:t>
      </w:r>
      <w:bookmarkEnd w:id="2155"/>
    </w:p>
    <w:p>
      <w:pPr>
        <w:pStyle w:val="BookText"/>
      </w:pPr>
      <w:r>
        <w:rPr>
          <w:rFonts w:ascii="Amiri" w:hAnsi="Amiri" w:eastAsia="Amiri" w:cs="Amiri"/>
          <w:lang w:bidi="ar-SA"/>
          <w:color w:val="111111"/>
          <w:sz w:val="28"/>
          <w:szCs w:val="28"/>
          <w:rtl/>
        </w:rPr>
        <w:t xml:space="preserve">ديوان ابي السرايا الحلي، ج 7، ص 562.</w:t>
      </w:r>
    </w:p>
    <w:p>
      <w:pPr>
        <w:pStyle w:val="Heading2"/>
      </w:pPr>
      <w:bookmarkStart w:id="2156" w:name="_Toc1258"/>
      <w:r>
        <w:t>اسدي صحاف مهدي بن محمّد قرن 14ه-</w:t>
      </w:r>
      <w:bookmarkEnd w:id="2156"/>
    </w:p>
    <w:p>
      <w:pPr>
        <w:pStyle w:val="BookText"/>
      </w:pPr>
      <w:r>
        <w:rPr>
          <w:rFonts w:ascii="Amiri" w:hAnsi="Amiri" w:eastAsia="Amiri" w:cs="Amiri"/>
          <w:lang w:bidi="ar-SA"/>
          <w:color w:val="111111"/>
          <w:sz w:val="28"/>
          <w:szCs w:val="28"/>
          <w:rtl/>
        </w:rPr>
        <w:t xml:space="preserve">منهاج النبي واله، ج 15، ص 782.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8" w:name="pg7742_69761"/>
    <w:bookmarkEnd w:id="188"/>
    <w:p>
      <w:pPr>
        <w:pStyle w:val="Heading2"/>
      </w:pPr>
      <w:bookmarkStart w:id="2157" w:name="_Toc1259"/>
      <w:r>
        <w:t>اسدي ، عبد السميع بن فياض قرن 10 ه-</w:t>
      </w:r>
      <w:bookmarkEnd w:id="2157"/>
    </w:p>
    <w:p>
      <w:pPr>
        <w:pStyle w:val="BookText"/>
      </w:pPr>
      <w:r>
        <w:rPr>
          <w:rFonts w:ascii="Amiri" w:hAnsi="Amiri" w:eastAsia="Amiri" w:cs="Amiri"/>
          <w:lang w:bidi="ar-SA"/>
          <w:color w:val="111111"/>
          <w:sz w:val="28"/>
          <w:szCs w:val="28"/>
          <w:rtl/>
        </w:rPr>
        <w:t xml:space="preserve">1 .تحفة الطالبين في معرفة اصول</w:t>
      </w:r>
    </w:p>
    <w:p>
      <w:pPr>
        <w:pStyle w:val="BookText"/>
      </w:pPr>
      <w:r>
        <w:rPr>
          <w:rFonts w:ascii="Amiri" w:hAnsi="Amiri" w:eastAsia="Amiri" w:cs="Amiri"/>
          <w:lang w:bidi="ar-SA"/>
          <w:color w:val="111111"/>
          <w:sz w:val="28"/>
          <w:szCs w:val="28"/>
          <w:rtl/>
        </w:rPr>
        <w:t xml:space="preserve">الدين، ج 3، ص 860.</w:t>
      </w:r>
    </w:p>
    <w:p>
      <w:pPr>
        <w:pStyle w:val="BookText"/>
      </w:pPr>
      <w:r>
        <w:rPr>
          <w:rFonts w:ascii="Amiri" w:hAnsi="Amiri" w:eastAsia="Amiri" w:cs="Amiri"/>
          <w:lang w:bidi="ar-SA"/>
          <w:color w:val="111111"/>
          <w:sz w:val="28"/>
          <w:szCs w:val="28"/>
          <w:rtl/>
        </w:rPr>
        <w:t xml:space="preserve">2 .كفاية الطالبين، ج13، ص319.</w:t>
      </w:r>
    </w:p>
    <w:p>
      <w:pPr>
        <w:pStyle w:val="BookText"/>
      </w:pPr>
      <w:r>
        <w:rPr>
          <w:rFonts w:ascii="Amiri" w:hAnsi="Amiri" w:eastAsia="Amiri" w:cs="Amiri"/>
          <w:lang w:bidi="ar-SA"/>
          <w:color w:val="111111"/>
          <w:sz w:val="28"/>
          <w:szCs w:val="28"/>
          <w:rtl/>
        </w:rPr>
        <w:t xml:space="preserve">اسدي ، عيسى بن علي بازنامه، ج 3، ص 180.</w:t>
      </w:r>
    </w:p>
    <w:p>
      <w:pPr>
        <w:pStyle w:val="Heading2"/>
      </w:pPr>
      <w:bookmarkStart w:id="2158" w:name="_Toc1260"/>
      <w:r>
        <w:t>اسدي، محمّد بن عبدالوهاب، قرن 11 ه-</w:t>
      </w:r>
      <w:bookmarkEnd w:id="2158"/>
    </w:p>
    <w:p>
      <w:pPr>
        <w:pStyle w:val="BookText"/>
      </w:pPr>
      <w:r>
        <w:rPr>
          <w:rFonts w:ascii="Amiri" w:hAnsi="Amiri" w:eastAsia="Amiri" w:cs="Amiri"/>
          <w:lang w:bidi="ar-SA"/>
          <w:color w:val="111111"/>
          <w:sz w:val="28"/>
          <w:szCs w:val="28"/>
          <w:rtl/>
        </w:rPr>
        <w:t xml:space="preserve">المواهب السنية في شرح الفرائض</w:t>
      </w:r>
    </w:p>
    <w:p>
      <w:pPr>
        <w:pStyle w:val="BookText"/>
      </w:pPr>
      <w:r>
        <w:rPr>
          <w:rFonts w:ascii="Amiri" w:hAnsi="Amiri" w:eastAsia="Amiri" w:cs="Amiri"/>
          <w:lang w:bidi="ar-SA"/>
          <w:color w:val="111111"/>
          <w:sz w:val="28"/>
          <w:szCs w:val="28"/>
          <w:rtl/>
        </w:rPr>
        <w:t xml:space="preserve">الاشنهية، ج 15، ص888.</w:t>
      </w:r>
    </w:p>
    <w:p>
      <w:pPr>
        <w:pStyle w:val="BookText"/>
      </w:pPr>
      <w:r>
        <w:rPr>
          <w:rFonts w:ascii="Amiri" w:hAnsi="Amiri" w:eastAsia="Amiri" w:cs="Amiri"/>
          <w:lang w:bidi="ar-SA"/>
          <w:color w:val="111111"/>
          <w:sz w:val="28"/>
          <w:szCs w:val="28"/>
          <w:rtl/>
        </w:rPr>
        <w:t xml:space="preserve">اسرائيل اودو القوشي اودو ، اسرائيل</w:t>
      </w:r>
    </w:p>
    <w:p>
      <w:pPr>
        <w:pStyle w:val="Heading2"/>
      </w:pPr>
      <w:bookmarkStart w:id="2159" w:name="_Toc1261"/>
      <w:r>
        <w:t>اسرائیل بن شمعون بن اسرائيل</w:t>
      </w:r>
      <w:bookmarkEnd w:id="2159"/>
    </w:p>
    <w:p>
      <w:pPr>
        <w:pStyle w:val="BookText"/>
      </w:pPr>
      <w:r>
        <w:rPr>
          <w:rFonts w:ascii="Amiri" w:hAnsi="Amiri" w:eastAsia="Amiri" w:cs="Amiri"/>
          <w:lang w:bidi="ar-SA"/>
          <w:color w:val="111111"/>
          <w:sz w:val="28"/>
          <w:szCs w:val="28"/>
          <w:rtl/>
        </w:rPr>
        <w:t xml:space="preserve">القراءات الطقسية بالسورث حسب</w:t>
      </w:r>
    </w:p>
    <w:p>
      <w:pPr>
        <w:pStyle w:val="BookText"/>
      </w:pPr>
      <w:r>
        <w:rPr>
          <w:rFonts w:ascii="Amiri" w:hAnsi="Amiri" w:eastAsia="Amiri" w:cs="Amiri"/>
          <w:lang w:bidi="ar-SA"/>
          <w:color w:val="111111"/>
          <w:sz w:val="28"/>
          <w:szCs w:val="28"/>
          <w:rtl/>
        </w:rPr>
        <w:t xml:space="preserve">الدير الأعلى، ج 12 ، ص 545.</w:t>
      </w:r>
    </w:p>
    <w:p>
      <w:pPr>
        <w:pStyle w:val="Heading2"/>
      </w:pPr>
      <w:bookmarkStart w:id="2160" w:name="_Toc1262"/>
      <w:r>
        <w:t>اسرائيلي ، سهل بن بشر - 235 ؟ ه-</w:t>
      </w:r>
      <w:bookmarkEnd w:id="2160"/>
    </w:p>
    <w:p>
      <w:pPr>
        <w:pStyle w:val="BookText"/>
      </w:pPr>
      <w:r>
        <w:rPr>
          <w:rFonts w:ascii="IRNazanin" w:hAnsi="IRNazanin" w:eastAsia="IRNazanin" w:cs="IRNazanin"/>
          <w:lang w:bidi="fa-IR"/>
          <w:color w:val="111111"/>
          <w:sz w:val="28"/>
          <w:szCs w:val="28"/>
          <w:rtl/>
        </w:rPr>
        <w:t xml:space="preserve">المدخل إلى علم النجوم، ج 14،</w:t>
      </w:r>
    </w:p>
    <w:p>
      <w:pPr>
        <w:pStyle w:val="BookText"/>
      </w:pPr>
      <w:r>
        <w:rPr>
          <w:rFonts w:ascii="IRNazanin" w:hAnsi="IRNazanin" w:eastAsia="IRNazanin" w:cs="IRNazanin"/>
          <w:lang w:bidi="fa-IR"/>
          <w:color w:val="111111"/>
          <w:sz w:val="28"/>
          <w:szCs w:val="28"/>
          <w:rtl/>
        </w:rPr>
        <w:t xml:space="preserve">ص 327.</w:t>
      </w:r>
    </w:p>
    <w:p>
      <w:pPr>
        <w:pStyle w:val="Heading2"/>
      </w:pPr>
      <w:bookmarkStart w:id="2161" w:name="_Toc1263"/>
      <w:r>
        <w:t>اسروشني ، محمّد بن محمود - 632 ه-</w:t>
      </w:r>
      <w:bookmarkEnd w:id="2161"/>
    </w:p>
    <w:p>
      <w:pPr>
        <w:pStyle w:val="BookText"/>
      </w:pPr>
      <w:r>
        <w:rPr>
          <w:rFonts w:ascii="Amiri" w:hAnsi="Amiri" w:eastAsia="Amiri" w:cs="Amiri"/>
          <w:lang w:bidi="ar-SA"/>
          <w:color w:val="111111"/>
          <w:sz w:val="28"/>
          <w:szCs w:val="28"/>
          <w:rtl/>
        </w:rPr>
        <w:t xml:space="preserve">1 .الجامع الصغير = الاحكام الصغائر</w:t>
      </w:r>
    </w:p>
    <w:p>
      <w:pPr>
        <w:pStyle w:val="BookText"/>
      </w:pPr>
      <w:r>
        <w:rPr>
          <w:rFonts w:ascii="Amiri" w:hAnsi="Amiri" w:eastAsia="Amiri" w:cs="Amiri"/>
          <w:lang w:bidi="ar-SA"/>
          <w:color w:val="111111"/>
          <w:sz w:val="28"/>
          <w:szCs w:val="28"/>
          <w:rtl/>
        </w:rPr>
        <w:t xml:space="preserve">في الفروغ، ج 5، ص 295.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الفصول في المعاملات، ج11،</w:t>
      </w:r>
    </w:p>
    <w:p>
      <w:pPr>
        <w:pStyle w:val="BookText"/>
      </w:pPr>
      <w:r>
        <w:rPr>
          <w:rFonts w:ascii="IRNazanin" w:hAnsi="IRNazanin" w:eastAsia="IRNazanin" w:cs="IRNazanin"/>
          <w:lang w:bidi="fa-IR"/>
          <w:color w:val="111111"/>
          <w:sz w:val="28"/>
          <w:szCs w:val="28"/>
          <w:rtl/>
        </w:rPr>
        <w:t xml:space="preserve">ص 860.</w:t>
      </w:r>
    </w:p>
    <w:p>
      <w:pPr>
        <w:pStyle w:val="Heading2"/>
      </w:pPr>
      <w:bookmarkStart w:id="2162" w:name="_Toc1264"/>
      <w:r>
        <w:t>اسطرلابي ، هبة الله بن حسين - 534 ه-</w:t>
      </w:r>
      <w:bookmarkEnd w:id="2162"/>
    </w:p>
    <w:p>
      <w:pPr>
        <w:pStyle w:val="BookText"/>
      </w:pPr>
      <w:r>
        <w:rPr>
          <w:rFonts w:ascii="Amiri" w:hAnsi="Amiri" w:eastAsia="Amiri" w:cs="Amiri"/>
          <w:lang w:bidi="ar-SA"/>
          <w:color w:val="111111"/>
          <w:sz w:val="28"/>
          <w:szCs w:val="28"/>
          <w:rtl/>
        </w:rPr>
        <w:t xml:space="preserve">1 .درة التاج من شعر ابن حجاج، ج7، اسعد بن يوسف</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مختارات بديع الزمان ج 14،</w:t>
      </w:r>
    </w:p>
    <w:p>
      <w:pPr>
        <w:pStyle w:val="BookText"/>
      </w:pPr>
      <w:r>
        <w:rPr>
          <w:rFonts w:ascii="IRNazanin" w:hAnsi="IRNazanin" w:eastAsia="IRNazanin" w:cs="IRNazanin"/>
          <w:lang w:bidi="fa-IR"/>
          <w:color w:val="111111"/>
          <w:sz w:val="28"/>
          <w:szCs w:val="28"/>
          <w:rtl/>
        </w:rPr>
        <w:t xml:space="preserve">ص 142 .</w:t>
      </w:r>
    </w:p>
    <w:p>
      <w:pPr>
        <w:pStyle w:val="Heading2"/>
      </w:pPr>
      <w:bookmarkStart w:id="2163" w:name="_Toc1265"/>
      <w:r>
        <w:t>اسطواني ، محمّد بن حسن</w:t>
      </w:r>
      <w:bookmarkEnd w:id="2163"/>
    </w:p>
    <w:p>
      <w:pPr>
        <w:pStyle w:val="BookText"/>
      </w:pPr>
      <w:r>
        <w:rPr>
          <w:rFonts w:ascii="Amiri" w:hAnsi="Amiri" w:eastAsia="Amiri" w:cs="Amiri"/>
          <w:lang w:bidi="ar-SA"/>
          <w:color w:val="111111"/>
          <w:sz w:val="28"/>
          <w:szCs w:val="28"/>
          <w:rtl/>
        </w:rPr>
        <w:t xml:space="preserve">ري الصادي في فتاوى العمادي، ج8،</w:t>
      </w:r>
    </w:p>
    <w:p>
      <w:pPr>
        <w:pStyle w:val="BookText"/>
      </w:pPr>
      <w:r>
        <w:rPr>
          <w:rFonts w:ascii="IRNazanin" w:hAnsi="IRNazanin" w:eastAsia="IRNazanin" w:cs="IRNazanin"/>
          <w:lang w:bidi="fa-IR"/>
          <w:color w:val="111111"/>
          <w:sz w:val="28"/>
          <w:szCs w:val="28"/>
          <w:rtl/>
        </w:rPr>
        <w:t xml:space="preserve">ص 517</w:t>
      </w:r>
    </w:p>
    <w:p>
      <w:pPr>
        <w:pStyle w:val="BookText"/>
      </w:pPr>
      <w:r>
        <w:rPr>
          <w:rFonts w:ascii="Amiri" w:hAnsi="Amiri" w:eastAsia="Amiri" w:cs="Amiri"/>
          <w:lang w:bidi="ar-SA"/>
          <w:color w:val="111111"/>
          <w:sz w:val="28"/>
          <w:szCs w:val="28"/>
          <w:rtl/>
        </w:rPr>
        <w:t xml:space="preserve">اسعد بك بن مصطفى -كوبريلي زاده ، اسعد باشا</w:t>
      </w:r>
    </w:p>
    <w:p>
      <w:pPr>
        <w:pStyle w:val="BookText"/>
      </w:pPr>
      <w:r>
        <w:rPr>
          <w:rFonts w:ascii="Amiri" w:hAnsi="Amiri" w:eastAsia="Amiri" w:cs="Amiri"/>
          <w:lang w:bidi="ar-SA"/>
          <w:color w:val="111111"/>
          <w:sz w:val="28"/>
          <w:szCs w:val="28"/>
          <w:rtl/>
        </w:rPr>
        <w:t xml:space="preserve">اسعد بن ابراهيم اربلي حلي- اربلي</w:t>
      </w:r>
    </w:p>
    <w:p>
      <w:pPr>
        <w:pStyle w:val="BookText"/>
      </w:pPr>
      <w:r>
        <w:rPr>
          <w:rFonts w:ascii="Amiri" w:hAnsi="Amiri" w:eastAsia="Amiri" w:cs="Amiri"/>
          <w:lang w:bidi="ar-SA"/>
          <w:color w:val="111111"/>
          <w:sz w:val="28"/>
          <w:szCs w:val="28"/>
          <w:rtl/>
        </w:rPr>
        <w:t xml:space="preserve">اسعد بن ابراهيم</w:t>
      </w:r>
    </w:p>
    <w:p>
      <w:pPr>
        <w:pStyle w:val="BookText"/>
      </w:pPr>
      <w:r>
        <w:rPr>
          <w:rFonts w:ascii="Amiri" w:hAnsi="Amiri" w:eastAsia="Amiri" w:cs="Amiri"/>
          <w:lang w:bidi="ar-SA"/>
          <w:color w:val="111111"/>
          <w:sz w:val="28"/>
          <w:szCs w:val="28"/>
          <w:rtl/>
        </w:rPr>
        <w:t xml:space="preserve">اسعد بن ابي بكر حلملي</w:t>
      </w:r>
    </w:p>
    <w:p>
      <w:pPr>
        <w:pStyle w:val="BookText"/>
      </w:pPr>
      <w:r>
        <w:rPr>
          <w:rFonts w:ascii="Amiri" w:hAnsi="Amiri" w:eastAsia="Amiri" w:cs="Amiri"/>
          <w:lang w:bidi="ar-SA"/>
          <w:color w:val="111111"/>
          <w:sz w:val="28"/>
          <w:szCs w:val="28"/>
          <w:rtl/>
        </w:rPr>
        <w:t xml:space="preserve">اسكداري- اسكداري ، اسعد بن ابي بكر</w:t>
      </w:r>
    </w:p>
    <w:p>
      <w:pPr>
        <w:pStyle w:val="BookText"/>
      </w:pPr>
      <w:r>
        <w:rPr>
          <w:rFonts w:ascii="Amiri" w:hAnsi="Amiri" w:eastAsia="Amiri" w:cs="Amiri"/>
          <w:lang w:bidi="ar-SA"/>
          <w:color w:val="111111"/>
          <w:sz w:val="28"/>
          <w:szCs w:val="28"/>
          <w:rtl/>
        </w:rPr>
        <w:t xml:space="preserve">اسعد بن الياس بن مطران طبيب- ابن</w:t>
      </w:r>
    </w:p>
    <w:p>
      <w:pPr>
        <w:pStyle w:val="BookText"/>
      </w:pPr>
      <w:r>
        <w:rPr>
          <w:rFonts w:ascii="Amiri" w:hAnsi="Amiri" w:eastAsia="Amiri" w:cs="Amiri"/>
          <w:lang w:bidi="ar-SA"/>
          <w:color w:val="111111"/>
          <w:sz w:val="28"/>
          <w:szCs w:val="28"/>
          <w:rtl/>
        </w:rPr>
        <w:t xml:space="preserve">مطران ، اسعد بن الياس</w:t>
      </w:r>
    </w:p>
    <w:p>
      <w:pPr>
        <w:pStyle w:val="BookText"/>
      </w:pPr>
      <w:r>
        <w:rPr>
          <w:rFonts w:ascii="Amiri" w:hAnsi="Amiri" w:eastAsia="Amiri" w:cs="Amiri"/>
          <w:lang w:bidi="ar-SA"/>
          <w:color w:val="111111"/>
          <w:sz w:val="28"/>
          <w:szCs w:val="28"/>
          <w:rtl/>
        </w:rPr>
        <w:t xml:space="preserve">اسعد بن عبد الله الكاتب- فخري زاده ،</w:t>
      </w:r>
    </w:p>
    <w:p>
      <w:pPr>
        <w:pStyle w:val="BookText"/>
      </w:pPr>
      <w:r>
        <w:rPr>
          <w:rFonts w:ascii="IRNazanin" w:hAnsi="IRNazanin" w:eastAsia="IRNazanin" w:cs="IRNazanin"/>
          <w:lang w:bidi="fa-IR"/>
          <w:color w:val="111111"/>
          <w:sz w:val="28"/>
          <w:szCs w:val="28"/>
          <w:rtl/>
        </w:rPr>
        <w:t xml:space="preserve">اسعد بن عبدالله</w:t>
      </w:r>
    </w:p>
    <w:p>
      <w:pPr>
        <w:pStyle w:val="BookText"/>
      </w:pPr>
      <w:r>
        <w:rPr>
          <w:rFonts w:ascii="Amiri" w:hAnsi="Amiri" w:eastAsia="Amiri" w:cs="Amiri"/>
          <w:lang w:bidi="ar-SA"/>
          <w:color w:val="111111"/>
          <w:sz w:val="28"/>
          <w:szCs w:val="28"/>
          <w:rtl/>
        </w:rPr>
        <w:t xml:space="preserve">اسعد بن محمود عجلي- ابوالفتوح</w:t>
      </w:r>
    </w:p>
    <w:p>
      <w:pPr>
        <w:pStyle w:val="BookText"/>
      </w:pPr>
      <w:r>
        <w:rPr>
          <w:rFonts w:ascii="Amiri" w:hAnsi="Amiri" w:eastAsia="Amiri" w:cs="Amiri"/>
          <w:lang w:bidi="ar-SA"/>
          <w:color w:val="111111"/>
          <w:sz w:val="28"/>
          <w:szCs w:val="28"/>
          <w:rtl/>
        </w:rPr>
        <w:t xml:space="preserve">اصفهاني ، اسعد بن محمود</w:t>
      </w:r>
    </w:p>
    <w:p>
      <w:pPr>
        <w:pStyle w:val="BookText"/>
      </w:pPr>
      <w:r>
        <w:rPr>
          <w:rFonts w:ascii="Amiri" w:hAnsi="Amiri" w:eastAsia="Amiri" w:cs="Amiri"/>
          <w:lang w:bidi="ar-SA"/>
          <w:color w:val="111111"/>
          <w:sz w:val="28"/>
          <w:szCs w:val="28"/>
          <w:rtl/>
        </w:rPr>
        <w:t xml:space="preserve">اسعد بن مهذب بن مينا -ابن مهذب ، اسعد بن مينا</w:t>
      </w:r>
    </w:p>
    <w:p>
      <w:pPr>
        <w:pStyle w:val="BookText"/>
      </w:pPr>
      <w:r>
        <w:rPr>
          <w:rFonts w:ascii="Amiri" w:hAnsi="Amiri" w:eastAsia="Amiri" w:cs="Amiri"/>
          <w:lang w:bidi="ar-SA"/>
          <w:color w:val="111111"/>
          <w:sz w:val="28"/>
          <w:szCs w:val="28"/>
          <w:rtl/>
        </w:rPr>
        <w:t xml:space="preserve">اسعد بن نصر انصاري فالي ابزري- فالي ،</w:t>
      </w:r>
    </w:p>
    <w:p>
      <w:pPr>
        <w:pStyle w:val="BookText"/>
      </w:pPr>
      <w:r>
        <w:rPr>
          <w:rFonts w:ascii="IRNazanin" w:hAnsi="IRNazanin" w:eastAsia="IRNazanin" w:cs="IRNazanin"/>
          <w:lang w:bidi="fa-IR"/>
          <w:color w:val="111111"/>
          <w:sz w:val="28"/>
          <w:szCs w:val="28"/>
          <w:rtl/>
        </w:rPr>
        <w:t xml:space="preserve">اسعد بن نصر</w:t>
      </w:r>
    </w:p>
    <w:p>
      <w:pPr>
        <w:pStyle w:val="BookText"/>
      </w:pPr>
      <w:r>
        <w:rPr>
          <w:rFonts w:ascii="Amiri" w:hAnsi="Amiri" w:eastAsia="Amiri" w:cs="Amiri"/>
          <w:lang w:bidi="ar-SA"/>
          <w:color w:val="111111"/>
          <w:sz w:val="28"/>
          <w:szCs w:val="28"/>
          <w:rtl/>
        </w:rPr>
        <w:t xml:space="preserve">اسعد بن يحيى السنجاري -سنجاري ،</w:t>
      </w:r>
    </w:p>
    <w:p>
      <w:pPr>
        <w:pStyle w:val="BookText"/>
      </w:pPr>
      <w:r>
        <w:rPr>
          <w:rFonts w:ascii="Amiri" w:hAnsi="Amiri" w:eastAsia="Amiri" w:cs="Amiri"/>
          <w:lang w:bidi="ar-SA"/>
          <w:color w:val="111111"/>
          <w:sz w:val="28"/>
          <w:szCs w:val="28"/>
          <w:rtl/>
        </w:rPr>
        <w:t xml:space="preserve">اسعد بن يحيى</w:t>
      </w:r>
    </w:p>
    <w:p>
      <w:pPr>
        <w:pStyle w:val="BookText"/>
      </w:pPr>
      <w:r>
        <w:rPr>
          <w:rFonts w:ascii="Amiri" w:hAnsi="Amiri" w:eastAsia="Amiri" w:cs="Amiri"/>
          <w:lang w:bidi="ar-SA"/>
          <w:color w:val="111111"/>
          <w:sz w:val="28"/>
          <w:szCs w:val="28"/>
          <w:rtl/>
        </w:rPr>
        <w:t xml:space="preserve">اسعد بن يوسف صير في بخاري- صيرفي ،</w:t>
      </w:r>
    </w:p>
    <w:p>
      <w:pPr>
        <w:pStyle w:val="BookText"/>
      </w:pPr>
      <w:r>
        <w:rPr>
          <w:rFonts w:ascii="Amiri" w:hAnsi="Amiri" w:eastAsia="Amiri" w:cs="Amiri"/>
          <w:lang w:bidi="ar-SA"/>
          <w:color w:val="111111"/>
          <w:sz w:val="28"/>
          <w:szCs w:val="28"/>
          <w:rtl/>
        </w:rPr>
        <w:t xml:space="preserve">اسعد بن يوسف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9" w:name="pg7742_69763"/>
    <w:bookmarkEnd w:id="189"/>
    <w:p>
      <w:pPr>
        <w:pStyle w:val="Heading2"/>
      </w:pPr>
      <w:bookmarkStart w:id="2164" w:name="_Toc1266"/>
      <w:r>
        <w:t>اسعردي خليل بن حسين، 1167-1259ه-</w:t>
      </w:r>
      <w:bookmarkEnd w:id="2164"/>
    </w:p>
    <w:p>
      <w:pPr>
        <w:pStyle w:val="BookText"/>
      </w:pPr>
      <w:r>
        <w:rPr>
          <w:rFonts w:ascii="Amiri" w:hAnsi="Amiri" w:eastAsia="Amiri" w:cs="Amiri"/>
          <w:lang w:bidi="ar-SA"/>
          <w:color w:val="111111"/>
          <w:sz w:val="28"/>
          <w:szCs w:val="28"/>
          <w:rtl/>
        </w:rPr>
        <w:t xml:space="preserve">1 .المختصر في الفقه لاختلاف الشافعي و الحنفي، ج 14، ص 225.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معفوات، ج 15، ص80.</w:t>
      </w:r>
    </w:p>
    <w:p>
      <w:pPr>
        <w:pStyle w:val="BookText"/>
      </w:pPr>
      <w:r>
        <w:rPr>
          <w:rFonts w:ascii="Amiri" w:hAnsi="Amiri" w:eastAsia="Amiri" w:cs="Amiri"/>
          <w:lang w:bidi="ar-SA"/>
          <w:color w:val="111111"/>
          <w:sz w:val="28"/>
          <w:szCs w:val="28"/>
          <w:rtl/>
        </w:rPr>
        <w:t xml:space="preserve">مسعود بن حسين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المقولات في الفقه الشافعي، ج 15</w:t>
      </w:r>
    </w:p>
    <w:p>
      <w:pPr>
        <w:pStyle w:val="BookText"/>
      </w:pPr>
      <w:r>
        <w:rPr>
          <w:rFonts w:ascii="IRNazanin" w:hAnsi="IRNazanin" w:eastAsia="IRNazanin" w:cs="IRNazanin"/>
          <w:lang w:bidi="fa-IR"/>
          <w:color w:val="111111"/>
          <w:sz w:val="28"/>
          <w:szCs w:val="28"/>
          <w:rtl/>
        </w:rPr>
        <w:t xml:space="preserve">ص 399.</w:t>
      </w:r>
    </w:p>
    <w:p>
      <w:pPr>
        <w:pStyle w:val="BookText"/>
      </w:pPr>
      <w:r>
        <w:rPr>
          <w:rFonts w:ascii="Amiri" w:hAnsi="Amiri" w:eastAsia="Amiri" w:cs="Amiri"/>
          <w:lang w:bidi="ar-SA"/>
          <w:color w:val="111111"/>
          <w:sz w:val="28"/>
          <w:szCs w:val="28"/>
          <w:rtl/>
        </w:rPr>
        <w:t xml:space="preserve">اسعردي ، محمّد بن احمد -ابن لبان</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2165" w:name="_Toc1267"/>
      <w:r>
        <w:t>اسفرائيني ، عبدالملك بن جمال الدين</w:t>
      </w:r>
      <w:bookmarkEnd w:id="2165"/>
    </w:p>
    <w:p>
      <w:pPr>
        <w:pStyle w:val="BookText"/>
      </w:pPr>
      <w:r>
        <w:rPr>
          <w:rFonts w:ascii="IRNazanin" w:hAnsi="IRNazanin" w:eastAsia="IRNazanin" w:cs="IRNazanin"/>
          <w:lang w:bidi="fa-IR"/>
          <w:color w:val="111111"/>
          <w:sz w:val="28"/>
          <w:szCs w:val="28"/>
          <w:rtl/>
        </w:rPr>
        <w:t xml:space="preserve">978 - 1037ه-</w:t>
      </w:r>
    </w:p>
    <w:p>
      <w:pPr>
        <w:pStyle w:val="BookText"/>
      </w:pPr>
      <w:r>
        <w:rPr>
          <w:rFonts w:ascii="Amiri" w:hAnsi="Amiri" w:eastAsia="Amiri" w:cs="Amiri"/>
          <w:lang w:bidi="ar-SA"/>
          <w:color w:val="111111"/>
          <w:sz w:val="28"/>
          <w:szCs w:val="28"/>
          <w:rtl/>
        </w:rPr>
        <w:t xml:space="preserve">1 .بلوغ الارب في تحقيق استعارة</w:t>
      </w:r>
    </w:p>
    <w:p>
      <w:pPr>
        <w:pStyle w:val="BookText"/>
      </w:pPr>
      <w:r>
        <w:rPr>
          <w:rFonts w:ascii="Amiri" w:hAnsi="Amiri" w:eastAsia="Amiri" w:cs="Amiri"/>
          <w:lang w:bidi="ar-SA"/>
          <w:color w:val="111111"/>
          <w:sz w:val="28"/>
          <w:szCs w:val="28"/>
          <w:rtl/>
        </w:rPr>
        <w:t xml:space="preserve">العرب - رسالة الاستعارات للسمرقندي (مختصر)، ج3،</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بلوغ المرام في حل قطر ابن هشام</w:t>
      </w:r>
    </w:p>
    <w:p>
      <w:pPr>
        <w:pStyle w:val="BookText"/>
      </w:pPr>
      <w:r>
        <w:rPr>
          <w:rFonts w:ascii="IRNazanin" w:hAnsi="IRNazanin" w:eastAsia="IRNazanin" w:cs="IRNazanin"/>
          <w:lang w:bidi="fa-IR"/>
          <w:color w:val="111111"/>
          <w:sz w:val="28"/>
          <w:szCs w:val="28"/>
          <w:rtl/>
        </w:rPr>
        <w:t xml:space="preserve">ج 3، ص 401.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تحريم الدخان، ج 3، ص 761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تسهيل العروض إلى علم العروض</w:t>
      </w:r>
    </w:p>
    <w:p>
      <w:pPr>
        <w:pStyle w:val="BookText"/>
      </w:pPr>
      <w:r>
        <w:rPr>
          <w:rFonts w:ascii="IRNazanin" w:hAnsi="IRNazanin" w:eastAsia="IRNazanin" w:cs="IRNazanin"/>
          <w:lang w:bidi="fa-IR"/>
          <w:color w:val="111111"/>
          <w:sz w:val="28"/>
          <w:szCs w:val="28"/>
          <w:rtl/>
        </w:rPr>
        <w:t xml:space="preserve">ج 4، ص 351.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حاشية شرح الفية ابن مالك، ج 6،</w:t>
      </w:r>
    </w:p>
    <w:p>
      <w:pPr>
        <w:pStyle w:val="BookText"/>
      </w:pPr>
      <w:r>
        <w:rPr>
          <w:rFonts w:ascii="IRNazanin" w:hAnsi="IRNazanin" w:eastAsia="IRNazanin" w:cs="IRNazanin"/>
          <w:lang w:bidi="fa-IR"/>
          <w:color w:val="111111"/>
          <w:sz w:val="28"/>
          <w:szCs w:val="28"/>
          <w:rtl/>
        </w:rPr>
        <w:t xml:space="preserve">ص 38 .</w:t>
      </w:r>
    </w:p>
    <w:p>
      <w:pPr>
        <w:pStyle w:val="BookText"/>
      </w:pPr>
      <w:r>
        <w:rPr>
          <w:rFonts w:ascii="Amiri" w:hAnsi="Amiri" w:eastAsia="Amiri" w:cs="Amiri"/>
          <w:lang w:bidi="ar-SA"/>
          <w:color w:val="111111"/>
          <w:sz w:val="28"/>
          <w:szCs w:val="28"/>
          <w:rtl/>
        </w:rPr>
        <w:t xml:space="preserve">6 .شرح الكافي في علم العروض و</w:t>
      </w:r>
    </w:p>
    <w:p>
      <w:pPr>
        <w:pStyle w:val="BookText"/>
      </w:pPr>
      <w:r>
        <w:rPr>
          <w:rFonts w:ascii="Amiri" w:hAnsi="Amiri" w:eastAsia="Amiri" w:cs="Amiri"/>
          <w:lang w:bidi="ar-SA"/>
          <w:color w:val="111111"/>
          <w:sz w:val="28"/>
          <w:szCs w:val="28"/>
          <w:rtl/>
        </w:rPr>
        <w:t xml:space="preserve">القوافي، ج 10، ص39.</w:t>
      </w:r>
    </w:p>
    <w:p>
      <w:pPr>
        <w:pStyle w:val="BookText"/>
      </w:pPr>
      <w:r>
        <w:rPr>
          <w:rFonts w:ascii="Amiri" w:hAnsi="Amiri" w:eastAsia="Amiri" w:cs="Amiri"/>
          <w:lang w:bidi="ar-SA"/>
          <w:color w:val="111111"/>
          <w:sz w:val="28"/>
          <w:szCs w:val="28"/>
          <w:rtl/>
        </w:rPr>
        <w:t xml:space="preserve">7 .شرح بلوغ الارب في تحقيق استعارات العرب للسمرقندي، ج 9،</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شفاء الصدور في شرح الشذور</w:t>
      </w:r>
    </w:p>
    <w:p>
      <w:pPr>
        <w:pStyle w:val="BookText"/>
      </w:pPr>
      <w:r>
        <w:rPr>
          <w:rFonts w:ascii="IRNazanin" w:hAnsi="IRNazanin" w:eastAsia="IRNazanin" w:cs="IRNazanin"/>
          <w:lang w:bidi="fa-IR"/>
          <w:color w:val="111111"/>
          <w:sz w:val="28"/>
          <w:szCs w:val="28"/>
          <w:rtl/>
        </w:rPr>
        <w:t xml:space="preserve">ج 10، ص 385.</w:t>
      </w:r>
    </w:p>
    <w:p>
      <w:pPr>
        <w:pStyle w:val="BookText"/>
      </w:pPr>
      <w:r>
        <w:rPr>
          <w:rFonts w:ascii="Amiri" w:hAnsi="Amiri" w:eastAsia="Amiri" w:cs="Amiri"/>
          <w:lang w:bidi="ar-SA"/>
          <w:color w:val="111111"/>
          <w:sz w:val="28"/>
          <w:szCs w:val="28"/>
          <w:rtl/>
        </w:rPr>
        <w:t xml:space="preserve">9 .الكافي الوافي بعلم القوافي، ج 13،</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Amiri" w:hAnsi="Amiri" w:eastAsia="Amiri" w:cs="Amiri"/>
          <w:lang w:bidi="ar-SA"/>
          <w:color w:val="111111"/>
          <w:sz w:val="28"/>
          <w:szCs w:val="28"/>
          <w:rtl/>
        </w:rPr>
        <w:t xml:space="preserve">اسفرائيني ، علي بن اسماعيل- عصامي</w:t>
      </w:r>
    </w:p>
    <w:p>
      <w:pPr>
        <w:pStyle w:val="BookText"/>
      </w:pPr>
      <w:r>
        <w:rPr>
          <w:rFonts w:ascii="Amiri" w:hAnsi="Amiri" w:eastAsia="Amiri" w:cs="Amiri"/>
          <w:lang w:bidi="ar-SA"/>
          <w:color w:val="111111"/>
          <w:sz w:val="28"/>
          <w:szCs w:val="28"/>
          <w:rtl/>
        </w:rPr>
        <w:t xml:space="preserve">علي بن اسماعيل</w:t>
      </w:r>
    </w:p>
    <w:p>
      <w:pPr>
        <w:pStyle w:val="BookText"/>
      </w:pPr>
      <w:r>
        <w:rPr>
          <w:rFonts w:ascii="Amiri" w:hAnsi="Amiri" w:eastAsia="Amiri" w:cs="Amiri"/>
          <w:lang w:bidi="ar-SA"/>
          <w:color w:val="111111"/>
          <w:sz w:val="28"/>
          <w:szCs w:val="28"/>
          <w:rtl/>
        </w:rPr>
        <w:t xml:space="preserve">اسفرائيني ، مسعود بن حسين- شيرواني ،</w:t>
      </w:r>
    </w:p>
    <w:p>
      <w:pPr>
        <w:pStyle w:val="BookText"/>
      </w:pPr>
      <w:r>
        <w:rPr>
          <w:rFonts w:ascii="Amiri" w:hAnsi="Amiri" w:eastAsia="Amiri" w:cs="Amiri"/>
          <w:lang w:bidi="ar-SA"/>
          <w:color w:val="111111"/>
          <w:sz w:val="28"/>
          <w:szCs w:val="28"/>
          <w:rtl/>
        </w:rPr>
        <w:t xml:space="preserve">اسفرايني، ابراهيم بن محمّد -عصام</w:t>
      </w:r>
    </w:p>
    <w:p>
      <w:pPr>
        <w:pStyle w:val="BookText"/>
      </w:pPr>
      <w:r>
        <w:rPr>
          <w:rFonts w:ascii="Amiri" w:hAnsi="Amiri" w:eastAsia="Amiri" w:cs="Amiri"/>
          <w:lang w:bidi="ar-SA"/>
          <w:color w:val="111111"/>
          <w:sz w:val="28"/>
          <w:szCs w:val="28"/>
          <w:rtl/>
        </w:rPr>
        <w:t xml:space="preserve">الدين اسفرايني، ابراهيم بن محمّد</w:t>
      </w:r>
    </w:p>
    <w:p>
      <w:pPr>
        <w:pStyle w:val="BookText"/>
      </w:pPr>
      <w:r>
        <w:rPr>
          <w:rFonts w:ascii="Amiri" w:hAnsi="Amiri" w:eastAsia="Amiri" w:cs="Amiri"/>
          <w:lang w:bidi="ar-SA"/>
          <w:color w:val="111111"/>
          <w:sz w:val="28"/>
          <w:szCs w:val="28"/>
          <w:rtl/>
        </w:rPr>
        <w:t xml:space="preserve">اسفرايني ، حسين بن شجاع -حافظ توني ،</w:t>
      </w:r>
    </w:p>
    <w:p>
      <w:pPr>
        <w:pStyle w:val="BookText"/>
      </w:pPr>
      <w:r>
        <w:rPr>
          <w:rFonts w:ascii="Amiri" w:hAnsi="Amiri" w:eastAsia="Amiri" w:cs="Amiri"/>
          <w:lang w:bidi="ar-SA"/>
          <w:color w:val="111111"/>
          <w:sz w:val="28"/>
          <w:szCs w:val="28"/>
          <w:rtl/>
        </w:rPr>
        <w:t xml:space="preserve">حسين بن شجاع</w:t>
      </w:r>
    </w:p>
    <w:p>
      <w:pPr>
        <w:pStyle w:val="BookText"/>
      </w:pPr>
      <w:r>
        <w:rPr>
          <w:rFonts w:ascii="Amiri" w:hAnsi="Amiri" w:eastAsia="Amiri" w:cs="Amiri"/>
          <w:lang w:bidi="ar-SA"/>
          <w:color w:val="111111"/>
          <w:sz w:val="28"/>
          <w:szCs w:val="28"/>
          <w:rtl/>
        </w:rPr>
        <w:t xml:space="preserve">اسفرايني ، حمزة بن علي- آذري طوسي ،</w:t>
      </w:r>
    </w:p>
    <w:p>
      <w:pPr>
        <w:pStyle w:val="BookText"/>
      </w:pPr>
      <w:r>
        <w:rPr>
          <w:rFonts w:ascii="Amiri" w:hAnsi="Amiri" w:eastAsia="Amiri" w:cs="Amiri"/>
          <w:lang w:bidi="ar-SA"/>
          <w:color w:val="111111"/>
          <w:sz w:val="28"/>
          <w:szCs w:val="28"/>
          <w:rtl/>
        </w:rPr>
        <w:t xml:space="preserve">حمزة بن علي</w:t>
      </w:r>
    </w:p>
    <w:p>
      <w:pPr>
        <w:pStyle w:val="BookText"/>
      </w:pPr>
      <w:r>
        <w:rPr>
          <w:rFonts w:ascii="IRNazanin" w:hAnsi="IRNazanin" w:eastAsia="IRNazanin" w:cs="IRNazanin"/>
          <w:lang w:bidi="fa-IR"/>
          <w:color w:val="111111"/>
          <w:sz w:val="28"/>
          <w:szCs w:val="28"/>
          <w:rtl/>
        </w:rPr>
        <w:t xml:space="preserve">اسفرايني ساوي، محمّد بن محمّد- شعيبي اسفرايني ، محمّد بن زنگي</w:t>
      </w:r>
    </w:p>
    <w:p>
      <w:pPr>
        <w:pStyle w:val="Heading2"/>
      </w:pPr>
      <w:bookmarkStart w:id="2166" w:name="_Toc1268"/>
      <w:r>
        <w:t>اسفرايني ، عبد الرحمن بن محمّد، 639 -</w:t>
      </w:r>
      <w:bookmarkEnd w:id="2166"/>
    </w:p>
    <w:p>
      <w:pPr>
        <w:pStyle w:val="BookText"/>
      </w:pPr>
      <w:r>
        <w:rPr>
          <w:rFonts w:ascii="IRNazanin" w:hAnsi="IRNazanin" w:eastAsia="IRNazanin" w:cs="IRNazanin"/>
          <w:lang w:bidi="fa-IR"/>
          <w:color w:val="111111"/>
          <w:sz w:val="28"/>
          <w:szCs w:val="28"/>
          <w:rtl/>
        </w:rPr>
        <w:t xml:space="preserve">717 ه-</w:t>
      </w:r>
    </w:p>
    <w:p>
      <w:pPr>
        <w:pStyle w:val="BookText"/>
      </w:pPr>
      <w:r>
        <w:rPr>
          <w:rFonts w:ascii="IRNazanin" w:hAnsi="IRNazanin" w:eastAsia="IRNazanin" w:cs="IRNazanin"/>
          <w:lang w:bidi="fa-IR"/>
          <w:color w:val="111111"/>
          <w:sz w:val="28"/>
          <w:szCs w:val="28"/>
          <w:rtl/>
        </w:rPr>
        <w:t xml:space="preserve">منور القلوب = خلوت، ج 15، ص818</w:t>
      </w:r>
    </w:p>
    <w:p>
      <w:pPr>
        <w:pStyle w:val="BookText"/>
      </w:pPr>
      <w:r>
        <w:rPr>
          <w:rFonts w:ascii="Amiri" w:hAnsi="Amiri" w:eastAsia="Amiri" w:cs="Amiri"/>
          <w:lang w:bidi="ar-SA"/>
          <w:color w:val="111111"/>
          <w:sz w:val="28"/>
          <w:szCs w:val="28"/>
          <w:rtl/>
        </w:rPr>
        <w:t xml:space="preserve">اسفرايني ، عبد القاهر بن طاهر بغدادي</w:t>
      </w:r>
    </w:p>
    <w:p>
      <w:pPr>
        <w:pStyle w:val="BookText"/>
      </w:pPr>
      <w:r>
        <w:rPr>
          <w:rFonts w:ascii="IRNazanin" w:hAnsi="IRNazanin" w:eastAsia="IRNazanin" w:cs="IRNazanin"/>
          <w:lang w:bidi="fa-IR"/>
          <w:color w:val="111111"/>
          <w:sz w:val="28"/>
          <w:szCs w:val="28"/>
          <w:rtl/>
        </w:rPr>
        <w:t xml:space="preserve">، عبدالقاهر بن طاهر</w:t>
      </w:r>
    </w:p>
    <w:p>
      <w:pPr>
        <w:pStyle w:val="Heading2"/>
      </w:pPr>
      <w:bookmarkStart w:id="2167" w:name="_Toc1269"/>
      <w:r>
        <w:t>اسفرايني ، علي بن قاسم</w:t>
      </w:r>
      <w:bookmarkEnd w:id="2167"/>
    </w:p>
    <w:p>
      <w:pPr>
        <w:pStyle w:val="BookText"/>
      </w:pPr>
      <w:r>
        <w:rPr>
          <w:rFonts w:ascii="Amiri" w:hAnsi="Amiri" w:eastAsia="Amiri" w:cs="Amiri"/>
          <w:lang w:bidi="ar-SA"/>
          <w:color w:val="111111"/>
          <w:sz w:val="28"/>
          <w:szCs w:val="28"/>
          <w:rtl/>
        </w:rPr>
        <w:t xml:space="preserve">اثبات الواجب (رسالة في)، ج1،</w:t>
      </w:r>
    </w:p>
    <w:p>
      <w:pPr>
        <w:pStyle w:val="BookText"/>
      </w:pPr>
      <w:r>
        <w:rPr>
          <w:rFonts w:ascii="IRNazanin" w:hAnsi="IRNazanin" w:eastAsia="IRNazanin" w:cs="IRNazanin"/>
          <w:lang w:bidi="fa-IR"/>
          <w:color w:val="111111"/>
          <w:sz w:val="28"/>
          <w:szCs w:val="28"/>
          <w:rtl/>
        </w:rPr>
        <w:t xml:space="preserve">ص 167 .</w:t>
      </w:r>
    </w:p>
    <w:p>
      <w:pPr>
        <w:pStyle w:val="BookText"/>
      </w:pPr>
      <w:r>
        <w:rPr>
          <w:rFonts w:ascii="IRNazanin" w:hAnsi="IRNazanin" w:eastAsia="IRNazanin" w:cs="IRNazanin"/>
          <w:lang w:bidi="fa-IR"/>
          <w:color w:val="111111"/>
          <w:sz w:val="28"/>
          <w:szCs w:val="28"/>
          <w:rtl/>
        </w:rPr>
        <w:t xml:space="preserve">اسفرايني فرخي ، دولتشاه بن علاء الدوله -دولتشاه ، دولتشاه بن بختیشاه</w:t>
      </w:r>
    </w:p>
    <w:p>
      <w:pPr>
        <w:pStyle w:val="BookText"/>
      </w:pPr>
      <w:r>
        <w:rPr>
          <w:rFonts w:ascii="Amiri" w:hAnsi="Amiri" w:eastAsia="Amiri" w:cs="Amiri"/>
          <w:lang w:bidi="ar-SA"/>
          <w:color w:val="111111"/>
          <w:sz w:val="28"/>
          <w:szCs w:val="28"/>
          <w:rtl/>
        </w:rPr>
        <w:t xml:space="preserve">اسفرايني ، محمّد بن احمد- بهشتي</w:t>
      </w:r>
    </w:p>
    <w:p>
      <w:pPr>
        <w:pStyle w:val="BookText"/>
      </w:pPr>
      <w:r>
        <w:rPr>
          <w:rFonts w:ascii="Amiri" w:hAnsi="Amiri" w:eastAsia="Amiri" w:cs="Amiri"/>
          <w:lang w:bidi="ar-SA"/>
          <w:color w:val="111111"/>
          <w:sz w:val="28"/>
          <w:szCs w:val="28"/>
          <w:rtl/>
        </w:rPr>
        <w:t xml:space="preserve">اسفرايني ، محمّد بن احمد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0" w:name="pg7742_69765"/>
    <w:bookmarkEnd w:id="190"/>
    <w:p>
      <w:pPr>
        <w:pStyle w:val="Heading2"/>
      </w:pPr>
      <w:bookmarkStart w:id="2168" w:name="_Toc1270"/>
      <w:r>
        <w:t>اسفرايني ، محمّد بن عبدالله قرن 10</w:t>
      </w:r>
      <w:bookmarkEnd w:id="2168"/>
    </w:p>
    <w:p>
      <w:pPr>
        <w:pStyle w:val="BookText"/>
      </w:pPr>
      <w:r>
        <w:rPr>
          <w:rFonts w:ascii="IRNazanin" w:hAnsi="IRNazanin" w:eastAsia="IRNazanin" w:cs="IRNazanin"/>
          <w:lang w:bidi="fa-IR"/>
          <w:color w:val="111111"/>
          <w:sz w:val="28"/>
          <w:szCs w:val="28"/>
          <w:rtl/>
        </w:rPr>
        <w:t xml:space="preserve">الناسخ والمنسوخ، ج 16، ص89.</w:t>
      </w:r>
    </w:p>
    <w:p>
      <w:pPr>
        <w:pStyle w:val="BookText"/>
      </w:pPr>
      <w:r>
        <w:rPr>
          <w:rFonts w:ascii="Amiri" w:hAnsi="Amiri" w:eastAsia="Amiri" w:cs="Amiri"/>
          <w:lang w:bidi="ar-SA"/>
          <w:color w:val="111111"/>
          <w:sz w:val="28"/>
          <w:szCs w:val="28"/>
          <w:rtl/>
        </w:rPr>
        <w:t xml:space="preserve">اسفرايني ، محمّد بن عبدالملك- آذري</w:t>
      </w:r>
    </w:p>
    <w:p>
      <w:pPr>
        <w:pStyle w:val="BookText"/>
      </w:pPr>
      <w:r>
        <w:rPr>
          <w:rFonts w:ascii="Amiri" w:hAnsi="Amiri" w:eastAsia="Amiri" w:cs="Amiri"/>
          <w:lang w:bidi="ar-SA"/>
          <w:color w:val="111111"/>
          <w:sz w:val="28"/>
          <w:szCs w:val="28"/>
          <w:rtl/>
        </w:rPr>
        <w:t xml:space="preserve">طوسي، حمزة بن علي</w:t>
      </w:r>
    </w:p>
    <w:p>
      <w:pPr>
        <w:pStyle w:val="BookText"/>
      </w:pPr>
      <w:r>
        <w:rPr>
          <w:rFonts w:ascii="IRNazanin" w:hAnsi="IRNazanin" w:eastAsia="IRNazanin" w:cs="IRNazanin"/>
          <w:lang w:bidi="fa-IR"/>
          <w:color w:val="111111"/>
          <w:sz w:val="28"/>
          <w:szCs w:val="28"/>
          <w:rtl/>
        </w:rPr>
        <w:t xml:space="preserve">اسفرايني ، محمّد بن محمّد -تاج الدین</w:t>
      </w:r>
    </w:p>
    <w:p>
      <w:pPr>
        <w:pStyle w:val="BookText"/>
      </w:pPr>
      <w:r>
        <w:rPr>
          <w:rFonts w:ascii="Amiri" w:hAnsi="Amiri" w:eastAsia="Amiri" w:cs="Amiri"/>
          <w:lang w:bidi="ar-SA"/>
          <w:color w:val="111111"/>
          <w:sz w:val="28"/>
          <w:szCs w:val="28"/>
          <w:rtl/>
        </w:rPr>
        <w:t xml:space="preserve">اسفرايني ، محمّد بن محمّد</w:t>
      </w:r>
    </w:p>
    <w:p>
      <w:pPr>
        <w:pStyle w:val="BookText"/>
      </w:pPr>
      <w:r>
        <w:rPr>
          <w:rFonts w:ascii="Amiri" w:hAnsi="Amiri" w:eastAsia="Amiri" w:cs="Amiri"/>
          <w:lang w:bidi="ar-SA"/>
          <w:color w:val="111111"/>
          <w:sz w:val="28"/>
          <w:szCs w:val="28"/>
          <w:rtl/>
        </w:rPr>
        <w:t xml:space="preserve">اسفرايني ، محمّد بن محمّد -شعيبي</w:t>
      </w:r>
    </w:p>
    <w:p>
      <w:pPr>
        <w:pStyle w:val="BookText"/>
      </w:pPr>
      <w:r>
        <w:rPr>
          <w:rFonts w:ascii="IRNazanin" w:hAnsi="IRNazanin" w:eastAsia="IRNazanin" w:cs="IRNazanin"/>
          <w:lang w:bidi="fa-IR"/>
          <w:color w:val="111111"/>
          <w:sz w:val="28"/>
          <w:szCs w:val="28"/>
          <w:rtl/>
        </w:rPr>
        <w:t xml:space="preserve">اسفرايني ، محمّد بن زنگي</w:t>
      </w:r>
    </w:p>
    <w:p>
      <w:pPr>
        <w:pStyle w:val="BookText"/>
      </w:pPr>
      <w:r>
        <w:rPr>
          <w:rFonts w:ascii="IRNazanin" w:hAnsi="IRNazanin" w:eastAsia="IRNazanin" w:cs="IRNazanin"/>
          <w:lang w:bidi="fa-IR"/>
          <w:color w:val="111111"/>
          <w:sz w:val="28"/>
          <w:szCs w:val="28"/>
          <w:rtl/>
        </w:rPr>
        <w:t xml:space="preserve">اسفرايني ، محمّد بن محمّد بن زنگي- شعيبي اسفرايني ، محمّد بن زنگي</w:t>
      </w:r>
    </w:p>
    <w:p>
      <w:pPr>
        <w:pStyle w:val="BookText"/>
      </w:pPr>
      <w:r>
        <w:rPr>
          <w:rFonts w:ascii="Amiri" w:hAnsi="Amiri" w:eastAsia="Amiri" w:cs="Amiri"/>
          <w:lang w:bidi="ar-SA"/>
          <w:color w:val="111111"/>
          <w:sz w:val="28"/>
          <w:szCs w:val="28"/>
          <w:rtl/>
        </w:rPr>
        <w:t xml:space="preserve">اسفراييني ، عبدالملك بن جمال</w:t>
      </w:r>
    </w:p>
    <w:p>
      <w:pPr>
        <w:pStyle w:val="BookText"/>
      </w:pPr>
      <w:r>
        <w:rPr>
          <w:rFonts w:ascii="Amiri" w:hAnsi="Amiri" w:eastAsia="Amiri" w:cs="Amiri"/>
          <w:lang w:bidi="ar-SA"/>
          <w:color w:val="111111"/>
          <w:sz w:val="28"/>
          <w:szCs w:val="28"/>
          <w:rtl/>
        </w:rPr>
        <w:t xml:space="preserve">الدين -اسفرائيني ، عبدالملك بن جمال الدين</w:t>
      </w:r>
    </w:p>
    <w:p>
      <w:pPr>
        <w:pStyle w:val="Heading2"/>
      </w:pPr>
      <w:bookmarkStart w:id="2169" w:name="_Toc1271"/>
      <w:r>
        <w:t>اسفرنگي ، محمّد بن محمّد حسین</w:t>
      </w:r>
      <w:bookmarkEnd w:id="2169"/>
    </w:p>
    <w:p>
      <w:pPr>
        <w:pStyle w:val="BookText"/>
      </w:pPr>
      <w:r>
        <w:rPr>
          <w:rFonts w:ascii="Amiri" w:hAnsi="Amiri" w:eastAsia="Amiri" w:cs="Amiri"/>
          <w:lang w:bidi="ar-SA"/>
          <w:color w:val="111111"/>
          <w:sz w:val="28"/>
          <w:szCs w:val="28"/>
          <w:rtl/>
        </w:rPr>
        <w:t xml:space="preserve">فوائد الاختيارات، ج12، ص177</w:t>
      </w:r>
    </w:p>
    <w:p>
      <w:pPr>
        <w:pStyle w:val="BookText"/>
      </w:pPr>
      <w:r>
        <w:rPr>
          <w:rFonts w:ascii="Amiri" w:hAnsi="Amiri" w:eastAsia="Amiri" w:cs="Amiri"/>
          <w:lang w:bidi="ar-SA"/>
          <w:color w:val="111111"/>
          <w:sz w:val="28"/>
          <w:szCs w:val="28"/>
          <w:rtl/>
        </w:rPr>
        <w:t xml:space="preserve">اسفندري ، علي بن عمر -اسفيذاري ، علي</w:t>
      </w:r>
    </w:p>
    <w:p>
      <w:pPr>
        <w:pStyle w:val="BookText"/>
      </w:pPr>
      <w:r>
        <w:rPr>
          <w:rFonts w:ascii="IRNazanin" w:hAnsi="IRNazanin" w:eastAsia="IRNazanin" w:cs="IRNazanin"/>
          <w:lang w:bidi="fa-IR"/>
          <w:color w:val="111111"/>
          <w:sz w:val="28"/>
          <w:szCs w:val="28"/>
          <w:rtl/>
        </w:rPr>
        <w:t xml:space="preserve">بن عمر</w:t>
      </w:r>
    </w:p>
    <w:p>
      <w:pPr>
        <w:pStyle w:val="Heading2"/>
      </w:pPr>
      <w:bookmarkStart w:id="2170" w:name="_Toc1272"/>
      <w:r>
        <w:t>اسفيدوس</w:t>
      </w:r>
      <w:bookmarkEnd w:id="2170"/>
    </w:p>
    <w:p>
      <w:pPr>
        <w:pStyle w:val="BookText"/>
      </w:pPr>
      <w:r>
        <w:rPr>
          <w:rFonts w:ascii="Amiri" w:hAnsi="Amiri" w:eastAsia="Amiri" w:cs="Amiri"/>
          <w:lang w:bidi="ar-SA"/>
          <w:color w:val="111111"/>
          <w:sz w:val="28"/>
          <w:szCs w:val="28"/>
          <w:rtl/>
        </w:rPr>
        <w:t xml:space="preserve">الحكمة = رسالة اسفيدوس الحكيم</w:t>
      </w:r>
    </w:p>
    <w:p>
      <w:pPr>
        <w:pStyle w:val="BookText"/>
      </w:pPr>
      <w:r>
        <w:rPr>
          <w:rFonts w:ascii="IRNazanin" w:hAnsi="IRNazanin" w:eastAsia="IRNazanin" w:cs="IRNazanin"/>
          <w:lang w:bidi="fa-IR"/>
          <w:color w:val="111111"/>
          <w:sz w:val="28"/>
          <w:szCs w:val="28"/>
          <w:rtl/>
        </w:rPr>
        <w:t xml:space="preserve">ج 6 ، ص 737.</w:t>
      </w:r>
    </w:p>
    <w:p>
      <w:pPr>
        <w:pStyle w:val="Heading2"/>
      </w:pPr>
      <w:bookmarkStart w:id="2171" w:name="_Toc1273"/>
      <w:r>
        <w:t>اسفيذاري ، علي بن عمر، - 698 ه-</w:t>
      </w:r>
      <w:bookmarkEnd w:id="2171"/>
    </w:p>
    <w:p>
      <w:pPr>
        <w:pStyle w:val="BookText"/>
      </w:pPr>
      <w:r>
        <w:rPr>
          <w:rFonts w:ascii="Amiri" w:hAnsi="Amiri" w:eastAsia="Amiri" w:cs="Amiri"/>
          <w:lang w:bidi="ar-SA"/>
          <w:color w:val="111111"/>
          <w:sz w:val="28"/>
          <w:szCs w:val="28"/>
          <w:rtl/>
        </w:rPr>
        <w:t xml:space="preserve">المقتبس في توضيح ما التبس ج 15</w:t>
      </w:r>
    </w:p>
    <w:p>
      <w:pPr>
        <w:pStyle w:val="BookText"/>
      </w:pPr>
      <w:r>
        <w:rPr>
          <w:rFonts w:ascii="IRNazanin" w:hAnsi="IRNazanin" w:eastAsia="IRNazanin" w:cs="IRNazanin"/>
          <w:lang w:bidi="fa-IR"/>
          <w:color w:val="111111"/>
          <w:sz w:val="28"/>
          <w:szCs w:val="28"/>
          <w:rtl/>
        </w:rPr>
        <w:t xml:space="preserve">ص 326.</w:t>
      </w:r>
    </w:p>
    <w:p>
      <w:pPr>
        <w:pStyle w:val="Heading2"/>
      </w:pPr>
      <w:bookmarkStart w:id="2172" w:name="_Toc1274"/>
      <w:r>
        <w:t>اسقاطي ، احمد بن عمر - 1159 ه-</w:t>
      </w:r>
      <w:bookmarkEnd w:id="2172"/>
    </w:p>
    <w:p>
      <w:pPr>
        <w:pStyle w:val="BookText"/>
      </w:pPr>
      <w:r>
        <w:rPr>
          <w:rFonts w:ascii="Amiri" w:hAnsi="Amiri" w:eastAsia="Amiri" w:cs="Amiri"/>
          <w:lang w:bidi="ar-SA"/>
          <w:color w:val="111111"/>
          <w:sz w:val="28"/>
          <w:szCs w:val="28"/>
          <w:rtl/>
        </w:rPr>
        <w:t xml:space="preserve">تنوير الحالك على منهج السالك، ج5،</w:t>
      </w:r>
    </w:p>
    <w:p>
      <w:pPr>
        <w:pStyle w:val="BookText"/>
      </w:pPr>
      <w:r>
        <w:rPr>
          <w:rFonts w:ascii="IRNazanin" w:hAnsi="IRNazanin" w:eastAsia="IRNazanin" w:cs="IRNazanin"/>
          <w:lang w:bidi="fa-IR"/>
          <w:color w:val="111111"/>
          <w:sz w:val="28"/>
          <w:szCs w:val="28"/>
          <w:rtl/>
        </w:rPr>
        <w:t xml:space="preserve">ص 76 .</w:t>
      </w:r>
    </w:p>
    <w:p>
      <w:pPr>
        <w:pStyle w:val="Heading2"/>
      </w:pPr>
      <w:bookmarkStart w:id="2173" w:name="_Toc1275"/>
      <w:r>
        <w:t>اسقاطي ، محمّد بن احمد قرن 12 ه-</w:t>
      </w:r>
      <w:bookmarkEnd w:id="2173"/>
    </w:p>
    <w:p>
      <w:pPr>
        <w:pStyle w:val="BookText"/>
      </w:pPr>
      <w:r>
        <w:rPr>
          <w:rFonts w:ascii="Amiri" w:hAnsi="Amiri" w:eastAsia="Amiri" w:cs="Amiri"/>
          <w:lang w:bidi="ar-SA"/>
          <w:color w:val="111111"/>
          <w:sz w:val="28"/>
          <w:szCs w:val="28"/>
          <w:rtl/>
        </w:rPr>
        <w:t xml:space="preserve">كفاية القنوع ببدائع عوالي الاسناد المرفوع، ج 13، ص329.</w:t>
      </w:r>
    </w:p>
    <w:p>
      <w:pPr>
        <w:pStyle w:val="BookText"/>
      </w:pPr>
      <w:r>
        <w:rPr>
          <w:rFonts w:ascii="Amiri" w:hAnsi="Amiri" w:eastAsia="Amiri" w:cs="Amiri"/>
          <w:lang w:bidi="ar-SA"/>
          <w:color w:val="111111"/>
          <w:sz w:val="28"/>
          <w:szCs w:val="28"/>
          <w:rtl/>
        </w:rPr>
        <w:t xml:space="preserve">اسكافي ، محمّد بن همام -ابن همام ،</w:t>
      </w:r>
    </w:p>
    <w:p>
      <w:pPr>
        <w:pStyle w:val="BookText"/>
      </w:pPr>
      <w:r>
        <w:rPr>
          <w:rFonts w:ascii="IRNazanin" w:hAnsi="IRNazanin" w:eastAsia="IRNazanin" w:cs="IRNazanin"/>
          <w:lang w:bidi="fa-IR"/>
          <w:color w:val="111111"/>
          <w:sz w:val="28"/>
          <w:szCs w:val="28"/>
          <w:rtl/>
        </w:rPr>
        <w:t xml:space="preserve">محمّد بن همام</w:t>
      </w:r>
    </w:p>
    <w:p>
      <w:pPr>
        <w:pStyle w:val="BookText"/>
      </w:pPr>
      <w:r>
        <w:rPr>
          <w:rFonts w:ascii="Amiri" w:hAnsi="Amiri" w:eastAsia="Amiri" w:cs="Amiri"/>
          <w:lang w:bidi="ar-SA"/>
          <w:color w:val="111111"/>
          <w:sz w:val="28"/>
          <w:szCs w:val="28"/>
          <w:rtl/>
        </w:rPr>
        <w:t xml:space="preserve">اسكافي اصفهاني ، محمّد بن عبدالله - خطيب اسكاني ، محمّد بن عبدالله</w:t>
      </w:r>
    </w:p>
    <w:p>
      <w:pPr>
        <w:pStyle w:val="Heading2"/>
      </w:pPr>
      <w:bookmarkStart w:id="2174" w:name="_Toc1276"/>
      <w:r>
        <w:t>اسكداري ، اسعد بن ابي بكر 1050 -</w:t>
      </w:r>
      <w:bookmarkEnd w:id="2174"/>
    </w:p>
    <w:p>
      <w:pPr>
        <w:pStyle w:val="BookText"/>
      </w:pPr>
      <w:r>
        <w:rPr>
          <w:rFonts w:ascii="IRNazanin" w:hAnsi="IRNazanin" w:eastAsia="IRNazanin" w:cs="IRNazanin"/>
          <w:lang w:bidi="fa-IR"/>
          <w:color w:val="111111"/>
          <w:sz w:val="28"/>
          <w:szCs w:val="28"/>
          <w:rtl/>
        </w:rPr>
        <w:t xml:space="preserve">1116ه-</w:t>
      </w:r>
    </w:p>
    <w:p>
      <w:pPr>
        <w:pStyle w:val="BookText"/>
      </w:pPr>
      <w:r>
        <w:rPr>
          <w:rFonts w:ascii="Amiri" w:hAnsi="Amiri" w:eastAsia="Amiri" w:cs="Amiri"/>
          <w:lang w:bidi="ar-SA"/>
          <w:color w:val="111111"/>
          <w:sz w:val="28"/>
          <w:szCs w:val="28"/>
          <w:rtl/>
        </w:rPr>
        <w:t xml:space="preserve">سلسلة اسعد الرفاعي، ج8، ص 801.</w:t>
      </w:r>
    </w:p>
    <w:p>
      <w:pPr>
        <w:pStyle w:val="Heading2"/>
      </w:pPr>
      <w:bookmarkStart w:id="2175" w:name="_Toc1277"/>
      <w:r>
        <w:t>اسکداري ، مصطفى بن علي قرن 12 ه-</w:t>
      </w:r>
      <w:bookmarkEnd w:id="2175"/>
    </w:p>
    <w:p>
      <w:pPr>
        <w:pStyle w:val="BookText"/>
      </w:pPr>
      <w:r>
        <w:rPr>
          <w:rFonts w:ascii="Amiri" w:hAnsi="Amiri" w:eastAsia="Amiri" w:cs="Amiri"/>
          <w:lang w:bidi="ar-SA"/>
          <w:color w:val="111111"/>
          <w:sz w:val="28"/>
          <w:szCs w:val="28"/>
          <w:rtl/>
        </w:rPr>
        <w:t xml:space="preserve">تحفة الاخوان و هدية الصبيان، ج3،</w:t>
      </w:r>
    </w:p>
    <w:p>
      <w:pPr>
        <w:pStyle w:val="BookText"/>
      </w:pPr>
      <w:r>
        <w:rPr>
          <w:rFonts w:ascii="IRNazanin" w:hAnsi="IRNazanin" w:eastAsia="IRNazanin" w:cs="IRNazanin"/>
          <w:lang w:bidi="fa-IR"/>
          <w:color w:val="111111"/>
          <w:sz w:val="28"/>
          <w:szCs w:val="28"/>
          <w:rtl/>
        </w:rPr>
        <w:t xml:space="preserve">ص791</w:t>
      </w:r>
    </w:p>
    <w:p>
      <w:pPr>
        <w:pStyle w:val="Heading2"/>
      </w:pPr>
      <w:bookmarkStart w:id="2176" w:name="_Toc1278"/>
      <w:r>
        <w:t>اسكري عبدالرحمن بن عبدالله قرن 11ه-</w:t>
      </w:r>
      <w:bookmarkEnd w:id="2176"/>
    </w:p>
    <w:p>
      <w:pPr>
        <w:pStyle w:val="BookText"/>
      </w:pPr>
      <w:r>
        <w:rPr>
          <w:rFonts w:ascii="Amiri" w:hAnsi="Amiri" w:eastAsia="Amiri" w:cs="Amiri"/>
          <w:lang w:bidi="ar-SA"/>
          <w:color w:val="111111"/>
          <w:sz w:val="28"/>
          <w:szCs w:val="28"/>
          <w:rtl/>
        </w:rPr>
        <w:t xml:space="preserve">تحصيل الانتفاع و غاية الارتفاع في وضع المقاييس و رسم الارباع، ج 3،</w:t>
      </w:r>
    </w:p>
    <w:p>
      <w:pPr>
        <w:pStyle w:val="BookText"/>
      </w:pPr>
      <w:r>
        <w:rPr>
          <w:rFonts w:ascii="IRNazanin" w:hAnsi="IRNazanin" w:eastAsia="IRNazanin" w:cs="IRNazanin"/>
          <w:lang w:bidi="fa-IR"/>
          <w:color w:val="111111"/>
          <w:sz w:val="28"/>
          <w:szCs w:val="28"/>
          <w:rtl/>
        </w:rPr>
        <w:t xml:space="preserve">ص 765 .</w:t>
      </w:r>
    </w:p>
    <w:p>
      <w:pPr>
        <w:pStyle w:val="BookText"/>
      </w:pPr>
      <w:r>
        <w:rPr>
          <w:rFonts w:ascii="IRNazanin" w:hAnsi="IRNazanin" w:eastAsia="IRNazanin" w:cs="IRNazanin"/>
          <w:lang w:bidi="fa-IR"/>
          <w:color w:val="111111"/>
          <w:sz w:val="28"/>
          <w:szCs w:val="28"/>
          <w:rtl/>
        </w:rPr>
        <w:t xml:space="preserve">اسکلپیوس اسفیدوس</w:t>
      </w:r>
    </w:p>
    <w:p>
      <w:pPr>
        <w:pStyle w:val="Heading2"/>
      </w:pPr>
      <w:bookmarkStart w:id="2177" w:name="_Toc1279"/>
      <w:r>
        <w:t>اسکندر افروديسي قرن 3 م</w:t>
      </w:r>
      <w:bookmarkEnd w:id="2177"/>
    </w:p>
    <w:p>
      <w:pPr>
        <w:pStyle w:val="BookText"/>
      </w:pPr>
      <w:r>
        <w:rPr>
          <w:rFonts w:ascii="Amiri" w:hAnsi="Amiri" w:eastAsia="Amiri" w:cs="Amiri"/>
          <w:lang w:bidi="ar-SA"/>
          <w:color w:val="111111"/>
          <w:sz w:val="28"/>
          <w:szCs w:val="28"/>
          <w:rtl/>
        </w:rPr>
        <w:t xml:space="preserve">1 .العقل على رأي ارسطوطاليس</w:t>
      </w:r>
    </w:p>
    <w:p>
      <w:pPr>
        <w:pStyle w:val="BookText"/>
      </w:pPr>
      <w:r>
        <w:rPr>
          <w:rFonts w:ascii="IRNazanin" w:hAnsi="IRNazanin" w:eastAsia="IRNazanin" w:cs="IRNazanin"/>
          <w:lang w:bidi="fa-IR"/>
          <w:color w:val="111111"/>
          <w:sz w:val="28"/>
          <w:szCs w:val="28"/>
          <w:rtl/>
        </w:rPr>
        <w:t xml:space="preserve">ج 11، ص 180.</w:t>
      </w:r>
    </w:p>
    <w:p>
      <w:pPr>
        <w:pStyle w:val="BookText"/>
      </w:pPr>
      <w:r>
        <w:rPr>
          <w:rFonts w:ascii="Amiri" w:hAnsi="Amiri" w:eastAsia="Amiri" w:cs="Amiri"/>
          <w:lang w:bidi="ar-SA"/>
          <w:color w:val="111111"/>
          <w:sz w:val="28"/>
          <w:szCs w:val="28"/>
          <w:rtl/>
        </w:rPr>
        <w:t xml:space="preserve">2 .القول في المبادي الكل على رأي ارسطو طاليس، ج 12، ص 851.</w:t>
      </w:r>
    </w:p>
    <w:p>
      <w:pPr>
        <w:pStyle w:val="Heading2"/>
      </w:pPr>
      <w:bookmarkStart w:id="2178" w:name="_Toc1280"/>
      <w:r>
        <w:t>اسكندراني ، احمد بن عمر - 795 ه-</w:t>
      </w:r>
      <w:bookmarkEnd w:id="2178"/>
    </w:p>
    <w:p>
      <w:pPr>
        <w:pStyle w:val="BookText"/>
      </w:pPr>
      <w:r>
        <w:rPr>
          <w:rFonts w:ascii="Amiri" w:hAnsi="Amiri" w:eastAsia="Amiri" w:cs="Amiri"/>
          <w:lang w:bidi="ar-SA"/>
          <w:color w:val="111111"/>
          <w:sz w:val="28"/>
          <w:szCs w:val="28"/>
          <w:rtl/>
        </w:rPr>
        <w:t xml:space="preserve">تفسير آية الكرسي، ج4، ص 581.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1" w:name="pg7742_69767"/>
    <w:bookmarkEnd w:id="191"/>
    <w:p>
      <w:pPr>
        <w:pStyle w:val="BookText"/>
      </w:pPr>
      <w:r>
        <w:rPr>
          <w:rFonts w:ascii="Amiri" w:hAnsi="Amiri" w:eastAsia="Amiri" w:cs="Amiri"/>
          <w:lang w:bidi="ar-SA"/>
          <w:color w:val="111111"/>
          <w:sz w:val="28"/>
          <w:szCs w:val="28"/>
          <w:rtl/>
        </w:rPr>
        <w:t xml:space="preserve">اسكندراني ، احمد بن محمّد -ابن عطاء</w:t>
      </w:r>
    </w:p>
    <w:p>
      <w:pPr>
        <w:pStyle w:val="BookText"/>
      </w:pPr>
      <w:r>
        <w:rPr>
          <w:rFonts w:ascii="Amiri" w:hAnsi="Amiri" w:eastAsia="Amiri" w:cs="Amiri"/>
          <w:lang w:bidi="ar-SA"/>
          <w:color w:val="111111"/>
          <w:sz w:val="28"/>
          <w:szCs w:val="28"/>
          <w:rtl/>
        </w:rPr>
        <w:t xml:space="preserve">الله اسكندري ، احمد بن محمّد</w:t>
      </w:r>
    </w:p>
    <w:p>
      <w:pPr>
        <w:pStyle w:val="Heading2"/>
      </w:pPr>
      <w:bookmarkStart w:id="2179" w:name="_Toc1281"/>
      <w:r>
        <w:t>اسكندراني ، منصور بن سليم - 673 ه-</w:t>
      </w:r>
      <w:bookmarkEnd w:id="2179"/>
    </w:p>
    <w:p>
      <w:pPr>
        <w:pStyle w:val="BookText"/>
      </w:pPr>
      <w:r>
        <w:rPr>
          <w:rFonts w:ascii="Amiri" w:hAnsi="Amiri" w:eastAsia="Amiri" w:cs="Amiri"/>
          <w:lang w:bidi="ar-SA"/>
          <w:color w:val="111111"/>
          <w:sz w:val="28"/>
          <w:szCs w:val="28"/>
          <w:rtl/>
        </w:rPr>
        <w:t xml:space="preserve">ذيل مشتبه الاسماء والنسب المذيل</w:t>
      </w:r>
    </w:p>
    <w:p>
      <w:pPr>
        <w:pStyle w:val="BookText"/>
      </w:pPr>
      <w:r>
        <w:rPr>
          <w:rFonts w:ascii="Amiri" w:hAnsi="Amiri" w:eastAsia="Amiri" w:cs="Amiri"/>
          <w:lang w:bidi="ar-SA"/>
          <w:color w:val="111111"/>
          <w:sz w:val="28"/>
          <w:szCs w:val="28"/>
          <w:rtl/>
        </w:rPr>
        <w:t xml:space="preserve">على كتاب ابن ماكولا، ج7، ص881</w:t>
      </w:r>
    </w:p>
    <w:p>
      <w:pPr>
        <w:pStyle w:val="BookText"/>
      </w:pPr>
      <w:r>
        <w:rPr>
          <w:rFonts w:ascii="IRNazanin" w:hAnsi="IRNazanin" w:eastAsia="IRNazanin" w:cs="IRNazanin"/>
          <w:lang w:bidi="fa-IR"/>
          <w:color w:val="111111"/>
          <w:sz w:val="28"/>
          <w:szCs w:val="28"/>
          <w:rtl/>
        </w:rPr>
        <w:t xml:space="preserve">اسكندر بن يعقوب ابکاریوس- ابکاریوس</w:t>
      </w:r>
    </w:p>
    <w:p>
      <w:pPr>
        <w:pStyle w:val="BookText"/>
      </w:pPr>
      <w:r>
        <w:rPr>
          <w:rFonts w:ascii="Amiri" w:hAnsi="Amiri" w:eastAsia="Amiri" w:cs="Amiri"/>
          <w:lang w:bidi="ar-SA"/>
          <w:color w:val="111111"/>
          <w:sz w:val="28"/>
          <w:szCs w:val="28"/>
          <w:rtl/>
        </w:rPr>
        <w:t xml:space="preserve">، اسكندر بن يعقوب</w:t>
      </w:r>
    </w:p>
    <w:p>
      <w:pPr>
        <w:pStyle w:val="Heading2"/>
      </w:pPr>
      <w:bookmarkStart w:id="2180" w:name="_Toc1282"/>
      <w:r>
        <w:t>اسكندر مقدوني، 356 - 323 قبل ميلاد</w:t>
      </w:r>
      <w:bookmarkEnd w:id="2180"/>
    </w:p>
    <w:p>
      <w:pPr>
        <w:pStyle w:val="BookText"/>
      </w:pPr>
      <w:r>
        <w:rPr>
          <w:rFonts w:ascii="Amiri" w:hAnsi="Amiri" w:eastAsia="Amiri" w:cs="Amiri"/>
          <w:lang w:bidi="ar-SA"/>
          <w:color w:val="111111"/>
          <w:sz w:val="28"/>
          <w:szCs w:val="28"/>
          <w:rtl/>
        </w:rPr>
        <w:t xml:space="preserve">رسالة الاسكندر ذي القرنين، ج8،</w:t>
      </w:r>
    </w:p>
    <w:p>
      <w:pPr>
        <w:pStyle w:val="BookText"/>
      </w:pPr>
      <w:r>
        <w:rPr>
          <w:rFonts w:ascii="Amiri" w:hAnsi="Amiri" w:eastAsia="Amiri" w:cs="Amiri"/>
          <w:lang w:bidi="ar-SA"/>
          <w:color w:val="111111"/>
          <w:sz w:val="28"/>
          <w:szCs w:val="28"/>
          <w:rtl/>
        </w:rPr>
        <w:t xml:space="preserve">اسلمي، محمّد بن محيي الدين -1227ه-</w:t>
      </w:r>
    </w:p>
    <w:p>
      <w:pPr>
        <w:pStyle w:val="BookText"/>
      </w:pPr>
      <w:r>
        <w:rPr>
          <w:rFonts w:ascii="Amiri" w:hAnsi="Amiri" w:eastAsia="Amiri" w:cs="Amiri"/>
          <w:lang w:bidi="ar-SA"/>
          <w:color w:val="111111"/>
          <w:sz w:val="28"/>
          <w:szCs w:val="28"/>
          <w:rtl/>
        </w:rPr>
        <w:t xml:space="preserve">التحفة الاثنا عشرية (ترجمه)، ج3،</w:t>
      </w:r>
    </w:p>
    <w:p>
      <w:pPr>
        <w:pStyle w:val="BookText"/>
      </w:pPr>
      <w:r>
        <w:rPr>
          <w:rFonts w:ascii="IRNazanin" w:hAnsi="IRNazanin" w:eastAsia="IRNazanin" w:cs="IRNazanin"/>
          <w:lang w:bidi="fa-IR"/>
          <w:color w:val="111111"/>
          <w:sz w:val="28"/>
          <w:szCs w:val="28"/>
          <w:rtl/>
        </w:rPr>
        <w:t xml:space="preserve">ص 164 .</w:t>
      </w:r>
    </w:p>
    <w:p>
      <w:pPr>
        <w:pStyle w:val="Heading2"/>
      </w:pPr>
      <w:bookmarkStart w:id="2181" w:name="_Toc1283"/>
      <w:r>
        <w:t>اسكندر منشي، 968 - 143 ه-</w:t>
      </w:r>
      <w:bookmarkEnd w:id="2181"/>
    </w:p>
    <w:p>
      <w:pPr>
        <w:pStyle w:val="BookText"/>
      </w:pPr>
      <w:r>
        <w:rPr>
          <w:rFonts w:ascii="Amiri" w:hAnsi="Amiri" w:eastAsia="Amiri" w:cs="Amiri"/>
          <w:lang w:bidi="ar-SA"/>
          <w:color w:val="111111"/>
          <w:sz w:val="28"/>
          <w:szCs w:val="28"/>
          <w:rtl/>
        </w:rPr>
        <w:t xml:space="preserve">عالم آراي عباسي = تاريخ عالم آراي عباسي، ج 11، ص 5.</w:t>
      </w:r>
    </w:p>
    <w:p>
      <w:pPr>
        <w:pStyle w:val="BookText"/>
      </w:pPr>
      <w:r>
        <w:rPr>
          <w:rFonts w:ascii="IRNazanin" w:hAnsi="IRNazanin" w:eastAsia="IRNazanin" w:cs="IRNazanin"/>
          <w:lang w:bidi="fa-IR"/>
          <w:color w:val="111111"/>
          <w:sz w:val="28"/>
          <w:szCs w:val="28"/>
          <w:rtl/>
        </w:rPr>
        <w:t xml:space="preserve">اسکندر، نصرة بن عمر نصرة بن عمر</w:t>
      </w:r>
    </w:p>
    <w:p>
      <w:pPr>
        <w:pStyle w:val="BookText"/>
      </w:pPr>
      <w:r>
        <w:rPr>
          <w:rFonts w:ascii="Amiri" w:hAnsi="Amiri" w:eastAsia="Amiri" w:cs="Amiri"/>
          <w:lang w:bidi="ar-SA"/>
          <w:color w:val="111111"/>
          <w:sz w:val="28"/>
          <w:szCs w:val="28"/>
          <w:rtl/>
        </w:rPr>
        <w:t xml:space="preserve">اسكندري ، ظافر بن قاسم حداد ، ظافر</w:t>
      </w:r>
    </w:p>
    <w:p>
      <w:pPr>
        <w:pStyle w:val="BookText"/>
      </w:pPr>
      <w:r>
        <w:rPr>
          <w:rFonts w:ascii="IRNazanin" w:hAnsi="IRNazanin" w:eastAsia="IRNazanin" w:cs="IRNazanin"/>
          <w:lang w:bidi="fa-IR"/>
          <w:color w:val="111111"/>
          <w:sz w:val="28"/>
          <w:szCs w:val="28"/>
          <w:rtl/>
        </w:rPr>
        <w:t xml:space="preserve">بن قاسم</w:t>
      </w:r>
    </w:p>
    <w:p>
      <w:pPr>
        <w:pStyle w:val="Heading2"/>
      </w:pPr>
      <w:bookmarkStart w:id="2182" w:name="_Toc1284"/>
      <w:r>
        <w:t>اسكندري، عبدالله بن عبدالعزيز، قرن 12ه-</w:t>
      </w:r>
      <w:bookmarkEnd w:id="2182"/>
    </w:p>
    <w:p>
      <w:pPr>
        <w:pStyle w:val="BookText"/>
      </w:pPr>
      <w:r>
        <w:rPr>
          <w:rFonts w:ascii="Amiri" w:hAnsi="Amiri" w:eastAsia="Amiri" w:cs="Amiri"/>
          <w:lang w:bidi="ar-SA"/>
          <w:color w:val="111111"/>
          <w:sz w:val="28"/>
          <w:szCs w:val="28"/>
          <w:rtl/>
        </w:rPr>
        <w:t xml:space="preserve">الفتحية في شرح الخمرية، ج 11،</w:t>
      </w:r>
    </w:p>
    <w:p>
      <w:pPr>
        <w:pStyle w:val="BookText"/>
      </w:pPr>
      <w:r>
        <w:rPr>
          <w:rFonts w:ascii="IRNazanin" w:hAnsi="IRNazanin" w:eastAsia="IRNazanin" w:cs="IRNazanin"/>
          <w:lang w:bidi="fa-IR"/>
          <w:color w:val="111111"/>
          <w:sz w:val="28"/>
          <w:szCs w:val="28"/>
          <w:rtl/>
        </w:rPr>
        <w:t xml:space="preserve">ص 698.</w:t>
      </w:r>
    </w:p>
    <w:p>
      <w:pPr>
        <w:pStyle w:val="Heading2"/>
      </w:pPr>
      <w:bookmarkStart w:id="2183" w:name="_Toc1285"/>
      <w:r>
        <w:t>اسكوئي ، علي بن موسى قرن 14</w:t>
      </w:r>
      <w:bookmarkEnd w:id="2183"/>
    </w:p>
    <w:p>
      <w:pPr>
        <w:pStyle w:val="BookText"/>
      </w:pPr>
      <w:r>
        <w:rPr>
          <w:rFonts w:ascii="Amiri" w:hAnsi="Amiri" w:eastAsia="Amiri" w:cs="Amiri"/>
          <w:lang w:bidi="ar-SA"/>
          <w:color w:val="111111"/>
          <w:sz w:val="28"/>
          <w:szCs w:val="28"/>
          <w:rtl/>
        </w:rPr>
        <w:t xml:space="preserve">إجازة للشيخ علي بن الشيخ حسن بن الشيخ سليمان البلادي البحراني، ج1،</w:t>
      </w:r>
    </w:p>
    <w:p>
      <w:pPr>
        <w:pStyle w:val="BookText"/>
      </w:pPr>
      <w:r>
        <w:rPr>
          <w:rFonts w:ascii="IRNazanin" w:hAnsi="IRNazanin" w:eastAsia="IRNazanin" w:cs="IRNazanin"/>
          <w:lang w:bidi="fa-IR"/>
          <w:color w:val="111111"/>
          <w:sz w:val="28"/>
          <w:szCs w:val="28"/>
          <w:rtl/>
        </w:rPr>
        <w:t xml:space="preserve">ص 269 .</w:t>
      </w:r>
    </w:p>
    <w:p>
      <w:pPr>
        <w:pStyle w:val="BookText"/>
      </w:pPr>
      <w:r>
        <w:rPr>
          <w:rFonts w:ascii="IRNazanin" w:hAnsi="IRNazanin" w:eastAsia="IRNazanin" w:cs="IRNazanin"/>
          <w:lang w:bidi="fa-IR"/>
          <w:color w:val="111111"/>
          <w:sz w:val="28"/>
          <w:szCs w:val="28"/>
          <w:rtl/>
        </w:rPr>
        <w:t xml:space="preserve">اسکوئي ، موسى - حائري اسكوئي ، موسى</w:t>
      </w:r>
    </w:p>
    <w:p>
      <w:pPr>
        <w:pStyle w:val="BookText"/>
      </w:pPr>
      <w:r>
        <w:rPr>
          <w:rFonts w:ascii="IRNazanin" w:hAnsi="IRNazanin" w:eastAsia="IRNazanin" w:cs="IRNazanin"/>
          <w:lang w:bidi="fa-IR"/>
          <w:color w:val="111111"/>
          <w:sz w:val="28"/>
          <w:szCs w:val="28"/>
          <w:rtl/>
        </w:rPr>
        <w:t xml:space="preserve">بن محمّد باقر</w:t>
      </w:r>
    </w:p>
    <w:p>
      <w:pPr>
        <w:pStyle w:val="Heading2"/>
      </w:pPr>
      <w:bookmarkStart w:id="2184" w:name="_Toc1286"/>
      <w:r>
        <w:t>اسكوبي ، حسين بن فرهاد قرن 12 ه-</w:t>
      </w:r>
      <w:bookmarkEnd w:id="2184"/>
    </w:p>
    <w:p>
      <w:pPr>
        <w:pStyle w:val="BookText"/>
      </w:pPr>
      <w:r>
        <w:rPr>
          <w:rFonts w:ascii="Amiri" w:hAnsi="Amiri" w:eastAsia="Amiri" w:cs="Amiri"/>
          <w:lang w:bidi="ar-SA"/>
          <w:color w:val="111111"/>
          <w:sz w:val="28"/>
          <w:szCs w:val="28"/>
          <w:rtl/>
        </w:rPr>
        <w:t xml:space="preserve">العناية في شرح الكفاية = شرح كفاية</w:t>
      </w:r>
    </w:p>
    <w:p>
      <w:pPr>
        <w:pStyle w:val="BookText"/>
      </w:pPr>
      <w:r>
        <w:rPr>
          <w:rFonts w:ascii="Amiri" w:hAnsi="Amiri" w:eastAsia="Amiri" w:cs="Amiri"/>
          <w:lang w:bidi="ar-SA"/>
          <w:color w:val="111111"/>
          <w:sz w:val="28"/>
          <w:szCs w:val="28"/>
          <w:rtl/>
        </w:rPr>
        <w:t xml:space="preserve">المبتدي، ج11، ص331.</w:t>
      </w:r>
    </w:p>
    <w:p>
      <w:pPr>
        <w:pStyle w:val="BookText"/>
      </w:pPr>
      <w:r>
        <w:rPr>
          <w:rFonts w:ascii="Amiri" w:hAnsi="Amiri" w:eastAsia="Amiri" w:cs="Amiri"/>
          <w:lang w:bidi="ar-SA"/>
          <w:color w:val="111111"/>
          <w:sz w:val="28"/>
          <w:szCs w:val="28"/>
          <w:rtl/>
        </w:rPr>
        <w:t xml:space="preserve">اسلم بن سهل واسطي -واسطي ، اسلم بن سهل</w:t>
      </w:r>
    </w:p>
    <w:p>
      <w:pPr>
        <w:pStyle w:val="Heading2"/>
      </w:pPr>
      <w:bookmarkStart w:id="2185" w:name="_Toc1287"/>
      <w:r>
        <w:t>اسلمي نجفي ، كاظم بن عبود</w:t>
      </w:r>
      <w:bookmarkEnd w:id="2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الشجرة المثمرة في فضل الرسول</w:t>
      </w:r>
    </w:p>
    <w:p>
      <w:pPr>
        <w:pStyle w:val="BookText"/>
      </w:pPr>
      <w:r>
        <w:rPr>
          <w:rFonts w:ascii="Amiri" w:hAnsi="Amiri" w:eastAsia="Amiri" w:cs="Amiri"/>
          <w:lang w:bidi="ar-SA"/>
          <w:color w:val="111111"/>
          <w:sz w:val="28"/>
          <w:szCs w:val="28"/>
          <w:rtl/>
        </w:rPr>
        <w:t xml:space="preserve">محمّد و العترة المطهرة، ج 9،</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IRNazanin" w:hAnsi="IRNazanin" w:eastAsia="IRNazanin" w:cs="IRNazanin"/>
          <w:lang w:bidi="fa-IR"/>
          <w:color w:val="111111"/>
          <w:sz w:val="28"/>
          <w:szCs w:val="28"/>
          <w:rtl/>
        </w:rPr>
        <w:t xml:space="preserve">2 .کشکول، ج13، ص292.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مجالس حسينية، ج13، ص790.</w:t>
      </w:r>
    </w:p>
    <w:p>
      <w:pPr>
        <w:pStyle w:val="BookText"/>
      </w:pPr>
      <w:r>
        <w:rPr>
          <w:rFonts w:ascii="Amiri" w:hAnsi="Amiri" w:eastAsia="Amiri" w:cs="Amiri"/>
          <w:lang w:bidi="ar-SA"/>
          <w:color w:val="111111"/>
          <w:sz w:val="28"/>
          <w:szCs w:val="28"/>
          <w:rtl/>
        </w:rPr>
        <w:t xml:space="preserve">4 .من سيرة النبي، ج 15، ص 686.</w:t>
      </w:r>
    </w:p>
    <w:p>
      <w:pPr>
        <w:pStyle w:val="Heading2"/>
      </w:pPr>
      <w:bookmarkStart w:id="2186" w:name="_Toc1288"/>
      <w:r>
        <w:t>اسلمي هندي ، محمّد سعيد - 1272 ه-</w:t>
      </w:r>
      <w:bookmarkEnd w:id="2186"/>
    </w:p>
    <w:p>
      <w:pPr>
        <w:pStyle w:val="BookText"/>
      </w:pPr>
      <w:r>
        <w:rPr>
          <w:rFonts w:ascii="Amiri" w:hAnsi="Amiri" w:eastAsia="Amiri" w:cs="Amiri"/>
          <w:lang w:bidi="ar-SA"/>
          <w:color w:val="111111"/>
          <w:sz w:val="28"/>
          <w:szCs w:val="28"/>
          <w:rtl/>
        </w:rPr>
        <w:t xml:space="preserve">الترجمة العبقرية و الصولة الحيدرية</w:t>
      </w:r>
    </w:p>
    <w:p>
      <w:pPr>
        <w:pStyle w:val="BookText"/>
      </w:pPr>
      <w:r>
        <w:rPr>
          <w:rFonts w:ascii="Amiri" w:hAnsi="Amiri" w:eastAsia="Amiri" w:cs="Amiri"/>
          <w:lang w:bidi="ar-SA"/>
          <w:color w:val="111111"/>
          <w:sz w:val="28"/>
          <w:szCs w:val="28"/>
          <w:rtl/>
        </w:rPr>
        <w:t xml:space="preserve">للتحفة الاثنى عشرية، ج4، ص288.</w:t>
      </w:r>
    </w:p>
    <w:p>
      <w:pPr>
        <w:pStyle w:val="Heading2"/>
      </w:pPr>
      <w:bookmarkStart w:id="2187" w:name="_Toc1289"/>
      <w:r>
        <w:t>اسماعيل بن ابراهيم</w:t>
      </w:r>
      <w:bookmarkEnd w:id="2187"/>
    </w:p>
    <w:p>
      <w:pPr>
        <w:pStyle w:val="BookText"/>
      </w:pPr>
      <w:r>
        <w:rPr>
          <w:rFonts w:ascii="Amiri" w:hAnsi="Amiri" w:eastAsia="Amiri" w:cs="Amiri"/>
          <w:lang w:bidi="ar-SA"/>
          <w:color w:val="111111"/>
          <w:sz w:val="28"/>
          <w:szCs w:val="28"/>
          <w:rtl/>
        </w:rPr>
        <w:t xml:space="preserve">الميراث (رسالة في)، ج 16، ص 58.</w:t>
      </w:r>
    </w:p>
    <w:p>
      <w:pPr>
        <w:pStyle w:val="BookText"/>
      </w:pPr>
      <w:r>
        <w:rPr>
          <w:rFonts w:ascii="Amiri" w:hAnsi="Amiri" w:eastAsia="Amiri" w:cs="Amiri"/>
          <w:lang w:bidi="ar-SA"/>
          <w:color w:val="111111"/>
          <w:sz w:val="28"/>
          <w:szCs w:val="28"/>
          <w:rtl/>
        </w:rPr>
        <w:t xml:space="preserve">اسماعيل بن ابراهيم الجبرتي اليمني يمني</w:t>
      </w:r>
    </w:p>
    <w:p>
      <w:pPr>
        <w:pStyle w:val="BookText"/>
      </w:pPr>
      <w:r>
        <w:rPr>
          <w:rFonts w:ascii="IRNazanin" w:hAnsi="IRNazanin" w:eastAsia="IRNazanin" w:cs="IRNazanin"/>
          <w:lang w:bidi="fa-IR"/>
          <w:color w:val="111111"/>
          <w:sz w:val="28"/>
          <w:szCs w:val="28"/>
          <w:rtl/>
        </w:rPr>
        <w:t xml:space="preserve">، اسماعیل بن ابراهيم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2" w:name="pg7742_69769"/>
    <w:bookmarkEnd w:id="192"/>
    <w:p>
      <w:pPr>
        <w:pStyle w:val="BookText"/>
      </w:pPr>
      <w:r>
        <w:rPr>
          <w:rFonts w:ascii="IRNazanin" w:hAnsi="IRNazanin" w:eastAsia="IRNazanin" w:cs="IRNazanin"/>
          <w:lang w:bidi="fa-IR"/>
          <w:color w:val="111111"/>
          <w:sz w:val="28"/>
          <w:szCs w:val="28"/>
          <w:rtl/>
        </w:rPr>
        <w:t xml:space="preserve">اسماعيل بن ابراهيم بن اسفندیار- ابن</w:t>
      </w:r>
    </w:p>
    <w:p>
      <w:pPr>
        <w:pStyle w:val="BookText"/>
      </w:pPr>
      <w:r>
        <w:rPr>
          <w:rFonts w:ascii="IRNazanin" w:hAnsi="IRNazanin" w:eastAsia="IRNazanin" w:cs="IRNazanin"/>
          <w:lang w:bidi="fa-IR"/>
          <w:color w:val="111111"/>
          <w:sz w:val="28"/>
          <w:szCs w:val="28"/>
          <w:rtl/>
        </w:rPr>
        <w:t xml:space="preserve">اسفنديار ، اسماعیل بن ابراهيم</w:t>
      </w:r>
    </w:p>
    <w:p>
      <w:pPr>
        <w:pStyle w:val="BookText"/>
      </w:pPr>
      <w:r>
        <w:rPr>
          <w:rFonts w:ascii="Amiri" w:hAnsi="Amiri" w:eastAsia="Amiri" w:cs="Amiri"/>
          <w:lang w:bidi="ar-SA"/>
          <w:color w:val="111111"/>
          <w:sz w:val="28"/>
          <w:szCs w:val="28"/>
          <w:rtl/>
        </w:rPr>
        <w:t xml:space="preserve">اسماعيل بن ابراهيم بن حيدر حيدري</w:t>
      </w:r>
    </w:p>
    <w:p>
      <w:pPr>
        <w:pStyle w:val="BookText"/>
      </w:pPr>
      <w:r>
        <w:rPr>
          <w:rFonts w:ascii="Amiri" w:hAnsi="Amiri" w:eastAsia="Amiri" w:cs="Amiri"/>
          <w:lang w:bidi="ar-SA"/>
          <w:color w:val="111111"/>
          <w:sz w:val="28"/>
          <w:szCs w:val="28"/>
          <w:rtl/>
        </w:rPr>
        <w:t xml:space="preserve">كردي- حيدري، اسماعيل بن ابراهيم</w:t>
      </w:r>
    </w:p>
    <w:p>
      <w:pPr>
        <w:pStyle w:val="BookText"/>
      </w:pPr>
      <w:r>
        <w:rPr>
          <w:rFonts w:ascii="Amiri" w:hAnsi="Amiri" w:eastAsia="Amiri" w:cs="Amiri"/>
          <w:lang w:bidi="ar-SA"/>
          <w:color w:val="111111"/>
          <w:sz w:val="28"/>
          <w:szCs w:val="28"/>
          <w:rtl/>
        </w:rPr>
        <w:t xml:space="preserve">اسماعيل بن ابراهيم حسين آبادي- حسين</w:t>
      </w:r>
    </w:p>
    <w:p>
      <w:pPr>
        <w:pStyle w:val="BookText"/>
      </w:pPr>
      <w:r>
        <w:rPr>
          <w:rFonts w:ascii="Amiri" w:hAnsi="Amiri" w:eastAsia="Amiri" w:cs="Amiri"/>
          <w:lang w:bidi="ar-SA"/>
          <w:color w:val="111111"/>
          <w:sz w:val="28"/>
          <w:szCs w:val="28"/>
          <w:rtl/>
        </w:rPr>
        <w:t xml:space="preserve">آبادي ، اسماعيل بن ابراهيم</w:t>
      </w:r>
    </w:p>
    <w:p>
      <w:pPr>
        <w:pStyle w:val="BookText"/>
      </w:pPr>
      <w:r>
        <w:rPr>
          <w:rFonts w:ascii="Amiri" w:hAnsi="Amiri" w:eastAsia="Amiri" w:cs="Amiri"/>
          <w:lang w:bidi="ar-SA"/>
          <w:color w:val="111111"/>
          <w:sz w:val="28"/>
          <w:szCs w:val="28"/>
          <w:rtl/>
        </w:rPr>
        <w:t xml:space="preserve">اسماعيل بن ابراهيم علوي - علوي ،</w:t>
      </w:r>
    </w:p>
    <w:p>
      <w:pPr>
        <w:pStyle w:val="BookText"/>
      </w:pPr>
      <w:r>
        <w:rPr>
          <w:rFonts w:ascii="Amiri" w:hAnsi="Amiri" w:eastAsia="Amiri" w:cs="Amiri"/>
          <w:lang w:bidi="ar-SA"/>
          <w:color w:val="111111"/>
          <w:sz w:val="28"/>
          <w:szCs w:val="28"/>
          <w:rtl/>
        </w:rPr>
        <w:t xml:space="preserve">اسماعيل بن ابراهيم</w:t>
      </w:r>
    </w:p>
    <w:p>
      <w:pPr>
        <w:pStyle w:val="BookText"/>
      </w:pPr>
      <w:r>
        <w:rPr>
          <w:rFonts w:ascii="Amiri" w:hAnsi="Amiri" w:eastAsia="Amiri" w:cs="Amiri"/>
          <w:lang w:bidi="ar-SA"/>
          <w:color w:val="111111"/>
          <w:sz w:val="28"/>
          <w:szCs w:val="28"/>
          <w:rtl/>
        </w:rPr>
        <w:t xml:space="preserve">اسماعيل بن ابراهيم كناني مقدسي- ابن</w:t>
      </w:r>
    </w:p>
    <w:p>
      <w:pPr>
        <w:pStyle w:val="BookText"/>
      </w:pPr>
      <w:r>
        <w:rPr>
          <w:rFonts w:ascii="Amiri" w:hAnsi="Amiri" w:eastAsia="Amiri" w:cs="Amiri"/>
          <w:lang w:bidi="ar-SA"/>
          <w:color w:val="111111"/>
          <w:sz w:val="28"/>
          <w:szCs w:val="28"/>
          <w:rtl/>
        </w:rPr>
        <w:t xml:space="preserve">جماعه ، اسماعيل بن ابراهيم</w:t>
      </w:r>
    </w:p>
    <w:p>
      <w:pPr>
        <w:pStyle w:val="BookText"/>
      </w:pPr>
      <w:r>
        <w:rPr>
          <w:rFonts w:ascii="Amiri" w:hAnsi="Amiri" w:eastAsia="Amiri" w:cs="Amiri"/>
          <w:lang w:bidi="ar-SA"/>
          <w:color w:val="111111"/>
          <w:sz w:val="28"/>
          <w:szCs w:val="28"/>
          <w:rtl/>
        </w:rPr>
        <w:t xml:space="preserve">اسماعيل بن ابراهيم مارديني- مارديني</w:t>
      </w:r>
    </w:p>
    <w:p>
      <w:pPr>
        <w:pStyle w:val="BookText"/>
      </w:pPr>
      <w:r>
        <w:rPr>
          <w:rFonts w:ascii="Amiri" w:hAnsi="Amiri" w:eastAsia="Amiri" w:cs="Amiri"/>
          <w:lang w:bidi="ar-SA"/>
          <w:color w:val="111111"/>
          <w:sz w:val="28"/>
          <w:szCs w:val="28"/>
          <w:rtl/>
        </w:rPr>
        <w:t xml:space="preserve">اسماعيل بن ابراهيم</w:t>
      </w:r>
    </w:p>
    <w:p>
      <w:pPr>
        <w:pStyle w:val="BookText"/>
      </w:pPr>
      <w:r>
        <w:rPr>
          <w:rFonts w:ascii="Amiri" w:hAnsi="Amiri" w:eastAsia="Amiri" w:cs="Amiri"/>
          <w:lang w:bidi="ar-SA"/>
          <w:color w:val="111111"/>
          <w:sz w:val="28"/>
          <w:szCs w:val="28"/>
          <w:rtl/>
        </w:rPr>
        <w:t xml:space="preserve">اسماعيل بن ابي بكر مقري يمني -ابن</w:t>
      </w:r>
    </w:p>
    <w:p>
      <w:pPr>
        <w:pStyle w:val="BookText"/>
      </w:pPr>
      <w:r>
        <w:rPr>
          <w:rFonts w:ascii="Amiri" w:hAnsi="Amiri" w:eastAsia="Amiri" w:cs="Amiri"/>
          <w:lang w:bidi="ar-SA"/>
          <w:color w:val="111111"/>
          <w:sz w:val="28"/>
          <w:szCs w:val="28"/>
          <w:rtl/>
        </w:rPr>
        <w:t xml:space="preserve">مقري، اسماعيل بن ابي بكر</w:t>
      </w:r>
    </w:p>
    <w:p>
      <w:pPr>
        <w:pStyle w:val="Heading2"/>
      </w:pPr>
      <w:bookmarkStart w:id="2188" w:name="_Toc1290"/>
      <w:r>
        <w:t>اسماعيل بن احمد قرن 13 ه-</w:t>
      </w:r>
      <w:bookmarkEnd w:id="2188"/>
    </w:p>
    <w:p>
      <w:pPr>
        <w:pStyle w:val="BookText"/>
      </w:pPr>
      <w:r>
        <w:rPr>
          <w:rFonts w:ascii="Amiri" w:hAnsi="Amiri" w:eastAsia="Amiri" w:cs="Amiri"/>
          <w:lang w:bidi="ar-SA"/>
          <w:color w:val="111111"/>
          <w:sz w:val="28"/>
          <w:szCs w:val="28"/>
          <w:rtl/>
        </w:rPr>
        <w:t xml:space="preserve">شرح الحكمة في طب الرحمة، ج 9،</w:t>
      </w:r>
    </w:p>
    <w:p>
      <w:pPr>
        <w:pStyle w:val="BookText"/>
      </w:pPr>
      <w:r>
        <w:rPr>
          <w:rFonts w:ascii="IRNazanin" w:hAnsi="IRNazanin" w:eastAsia="IRNazanin" w:cs="IRNazanin"/>
          <w:lang w:bidi="fa-IR"/>
          <w:color w:val="111111"/>
          <w:sz w:val="28"/>
          <w:szCs w:val="28"/>
          <w:rtl/>
        </w:rPr>
        <w:t xml:space="preserve">ص 425 .</w:t>
      </w:r>
    </w:p>
    <w:p>
      <w:pPr>
        <w:pStyle w:val="BookText"/>
      </w:pPr>
      <w:r>
        <w:rPr>
          <w:rFonts w:ascii="Amiri" w:hAnsi="Amiri" w:eastAsia="Amiri" w:cs="Amiri"/>
          <w:lang w:bidi="ar-SA"/>
          <w:color w:val="111111"/>
          <w:sz w:val="28"/>
          <w:szCs w:val="28"/>
          <w:rtl/>
        </w:rPr>
        <w:t xml:space="preserve">اسماعيل بن احمد حيري</w:t>
      </w:r>
    </w:p>
    <w:p>
      <w:pPr>
        <w:pStyle w:val="BookText"/>
      </w:pPr>
      <w:r>
        <w:rPr>
          <w:rFonts w:ascii="Amiri" w:hAnsi="Amiri" w:eastAsia="Amiri" w:cs="Amiri"/>
          <w:lang w:bidi="ar-SA"/>
          <w:color w:val="111111"/>
          <w:sz w:val="28"/>
          <w:szCs w:val="28"/>
          <w:rtl/>
        </w:rPr>
        <w:t xml:space="preserve">نيشابوري - حيري، اسماعيل بن احمد</w:t>
      </w:r>
    </w:p>
    <w:p>
      <w:pPr>
        <w:pStyle w:val="BookText"/>
      </w:pPr>
      <w:r>
        <w:rPr>
          <w:rFonts w:ascii="IRNazanin" w:hAnsi="IRNazanin" w:eastAsia="IRNazanin" w:cs="IRNazanin"/>
          <w:lang w:bidi="fa-IR"/>
          <w:color w:val="111111"/>
          <w:sz w:val="28"/>
          <w:szCs w:val="28"/>
          <w:rtl/>
        </w:rPr>
        <w:t xml:space="preserve">اسماعیل بن احمد سمرقندي- سمرقندي ،</w:t>
      </w:r>
    </w:p>
    <w:p>
      <w:pPr>
        <w:pStyle w:val="Heading2"/>
      </w:pPr>
      <w:bookmarkStart w:id="2189" w:name="_Toc1291"/>
      <w:r>
        <w:t>اسماعيل بن احمد( شرف الدین )</w:t>
      </w:r>
      <w:bookmarkEnd w:id="2189"/>
    </w:p>
    <w:p>
      <w:pPr>
        <w:pStyle w:val="BookText"/>
      </w:pPr>
      <w:r>
        <w:rPr>
          <w:rFonts w:ascii="Amiri" w:hAnsi="Amiri" w:eastAsia="Amiri" w:cs="Amiri"/>
          <w:lang w:bidi="ar-SA"/>
          <w:color w:val="111111"/>
          <w:sz w:val="28"/>
          <w:szCs w:val="28"/>
          <w:rtl/>
        </w:rPr>
        <w:t xml:space="preserve">تعليقة في زوال الشمس، ج 4، ص 536.</w:t>
      </w:r>
    </w:p>
    <w:p>
      <w:pPr>
        <w:pStyle w:val="BookText"/>
      </w:pPr>
      <w:r>
        <w:rPr>
          <w:rFonts w:ascii="IRNazanin" w:hAnsi="IRNazanin" w:eastAsia="IRNazanin" w:cs="IRNazanin"/>
          <w:lang w:bidi="fa-IR"/>
          <w:color w:val="111111"/>
          <w:sz w:val="28"/>
          <w:szCs w:val="28"/>
          <w:rtl/>
        </w:rPr>
        <w:t xml:space="preserve">اسماعیل بن اسحاق الازدي</w:t>
      </w:r>
    </w:p>
    <w:p>
      <w:pPr>
        <w:pStyle w:val="BookText"/>
      </w:pPr>
      <w:r>
        <w:rPr>
          <w:rFonts w:ascii="Amiri" w:hAnsi="Amiri" w:eastAsia="Amiri" w:cs="Amiri"/>
          <w:lang w:bidi="ar-SA"/>
          <w:color w:val="111111"/>
          <w:sz w:val="28"/>
          <w:szCs w:val="28"/>
          <w:rtl/>
        </w:rPr>
        <w:t xml:space="preserve">الجهضي -ازدي، اسماعيل بن اسحاق</w:t>
      </w:r>
    </w:p>
    <w:p>
      <w:pPr>
        <w:pStyle w:val="BookText"/>
      </w:pPr>
      <w:r>
        <w:rPr>
          <w:rFonts w:ascii="Amiri" w:hAnsi="Amiri" w:eastAsia="Amiri" w:cs="Amiri"/>
          <w:lang w:bidi="ar-SA"/>
          <w:color w:val="111111"/>
          <w:sz w:val="28"/>
          <w:szCs w:val="28"/>
          <w:rtl/>
        </w:rPr>
        <w:t xml:space="preserve">اسماعيل بن اسحاق بن</w:t>
      </w:r>
    </w:p>
    <w:p>
      <w:pPr>
        <w:pStyle w:val="BookText"/>
      </w:pPr>
      <w:r>
        <w:rPr>
          <w:rFonts w:ascii="Amiri" w:hAnsi="Amiri" w:eastAsia="Amiri" w:cs="Amiri"/>
          <w:lang w:bidi="ar-SA"/>
          <w:color w:val="111111"/>
          <w:sz w:val="28"/>
          <w:szCs w:val="28"/>
          <w:rtl/>
        </w:rPr>
        <w:t xml:space="preserve">اسماعيل -جهضمي، اسماعيل بن اسحاق</w:t>
      </w:r>
    </w:p>
    <w:p>
      <w:pPr>
        <w:pStyle w:val="BookText"/>
      </w:pPr>
      <w:r>
        <w:rPr>
          <w:rFonts w:ascii="Amiri" w:hAnsi="Amiri" w:eastAsia="Amiri" w:cs="Amiri"/>
          <w:lang w:bidi="ar-SA"/>
          <w:color w:val="111111"/>
          <w:sz w:val="28"/>
          <w:szCs w:val="28"/>
          <w:rtl/>
        </w:rPr>
        <w:t xml:space="preserve">اسماعيل بن افضل علي ايوبي- ابوالفداء</w:t>
      </w:r>
    </w:p>
    <w:p>
      <w:pPr>
        <w:pStyle w:val="BookText"/>
      </w:pPr>
      <w:r>
        <w:rPr>
          <w:rFonts w:ascii="Amiri" w:hAnsi="Amiri" w:eastAsia="Amiri" w:cs="Amiri"/>
          <w:lang w:bidi="ar-SA"/>
          <w:color w:val="111111"/>
          <w:sz w:val="28"/>
          <w:szCs w:val="28"/>
          <w:rtl/>
        </w:rPr>
        <w:t xml:space="preserve">اسماعيل بن علي</w:t>
      </w:r>
    </w:p>
    <w:p>
      <w:pPr>
        <w:pStyle w:val="BookText"/>
      </w:pPr>
      <w:r>
        <w:rPr>
          <w:rFonts w:ascii="IRNazanin" w:hAnsi="IRNazanin" w:eastAsia="IRNazanin" w:cs="IRNazanin"/>
          <w:lang w:bidi="fa-IR"/>
          <w:color w:val="111111"/>
          <w:sz w:val="28"/>
          <w:szCs w:val="28"/>
          <w:rtl/>
        </w:rPr>
        <w:t xml:space="preserve">اسماعیل بن بردس بعلبكي- بعلبكي</w:t>
      </w:r>
    </w:p>
    <w:p>
      <w:pPr>
        <w:pStyle w:val="BookText"/>
      </w:pPr>
      <w:r>
        <w:rPr>
          <w:rFonts w:ascii="IRNazanin" w:hAnsi="IRNazanin" w:eastAsia="IRNazanin" w:cs="IRNazanin"/>
          <w:lang w:bidi="fa-IR"/>
          <w:color w:val="111111"/>
          <w:sz w:val="28"/>
          <w:szCs w:val="28"/>
          <w:rtl/>
        </w:rPr>
        <w:t xml:space="preserve">اسماعیل بن محمّد</w:t>
      </w:r>
    </w:p>
    <w:p>
      <w:pPr>
        <w:pStyle w:val="BookText"/>
      </w:pPr>
      <w:r>
        <w:rPr>
          <w:rFonts w:ascii="Amiri" w:hAnsi="Amiri" w:eastAsia="Amiri" w:cs="Amiri"/>
          <w:lang w:bidi="ar-SA"/>
          <w:color w:val="111111"/>
          <w:sz w:val="28"/>
          <w:szCs w:val="28"/>
          <w:rtl/>
        </w:rPr>
        <w:t xml:space="preserve">اسماعيل بن جعفر قائني- قائني</w:t>
      </w:r>
    </w:p>
    <w:p>
      <w:pPr>
        <w:pStyle w:val="BookText"/>
      </w:pPr>
      <w:r>
        <w:rPr>
          <w:rFonts w:ascii="Amiri" w:hAnsi="Amiri" w:eastAsia="Amiri" w:cs="Amiri"/>
          <w:lang w:bidi="ar-SA"/>
          <w:color w:val="111111"/>
          <w:sz w:val="28"/>
          <w:szCs w:val="28"/>
          <w:rtl/>
        </w:rPr>
        <w:t xml:space="preserve">اسماعيل بن جعفر اسماعيل بن جمال الدين اصفهاني- كمال</w:t>
      </w:r>
    </w:p>
    <w:p>
      <w:pPr>
        <w:pStyle w:val="BookText"/>
      </w:pPr>
      <w:r>
        <w:rPr>
          <w:rFonts w:ascii="Amiri" w:hAnsi="Amiri" w:eastAsia="Amiri" w:cs="Amiri"/>
          <w:lang w:bidi="ar-SA"/>
          <w:color w:val="111111"/>
          <w:sz w:val="28"/>
          <w:szCs w:val="28"/>
          <w:rtl/>
        </w:rPr>
        <w:t xml:space="preserve">اصفهاني، اسماعيل بن محمّد</w:t>
      </w:r>
    </w:p>
    <w:p>
      <w:pPr>
        <w:pStyle w:val="BookText"/>
      </w:pPr>
      <w:r>
        <w:rPr>
          <w:rFonts w:ascii="Amiri" w:hAnsi="Amiri" w:eastAsia="Amiri" w:cs="Amiri"/>
          <w:lang w:bidi="ar-SA"/>
          <w:color w:val="111111"/>
          <w:sz w:val="28"/>
          <w:szCs w:val="28"/>
          <w:rtl/>
        </w:rPr>
        <w:t xml:space="preserve">اسماعيل بن حسن جرجاني- جرجاني ،</w:t>
      </w:r>
    </w:p>
    <w:p>
      <w:pPr>
        <w:pStyle w:val="BookText"/>
      </w:pPr>
      <w:r>
        <w:rPr>
          <w:rFonts w:ascii="Amiri" w:hAnsi="Amiri" w:eastAsia="Amiri" w:cs="Amiri"/>
          <w:lang w:bidi="ar-SA"/>
          <w:color w:val="111111"/>
          <w:sz w:val="28"/>
          <w:szCs w:val="28"/>
          <w:rtl/>
        </w:rPr>
        <w:t xml:space="preserve">اسماعيل بن حسن</w:t>
      </w:r>
    </w:p>
    <w:p>
      <w:pPr>
        <w:pStyle w:val="BookText"/>
      </w:pPr>
      <w:r>
        <w:rPr>
          <w:rFonts w:ascii="IRNazanin" w:hAnsi="IRNazanin" w:eastAsia="IRNazanin" w:cs="IRNazanin"/>
          <w:lang w:bidi="fa-IR"/>
          <w:color w:val="111111"/>
          <w:sz w:val="28"/>
          <w:szCs w:val="28"/>
          <w:rtl/>
        </w:rPr>
        <w:t xml:space="preserve">اسماعيل بن حسين بن محمّد دیباج -دیباج ، اسماعیل بن حسين</w:t>
      </w:r>
    </w:p>
    <w:p>
      <w:pPr>
        <w:pStyle w:val="BookText"/>
      </w:pPr>
      <w:r>
        <w:rPr>
          <w:rFonts w:ascii="Amiri" w:hAnsi="Amiri" w:eastAsia="Amiri" w:cs="Amiri"/>
          <w:lang w:bidi="ar-SA"/>
          <w:color w:val="111111"/>
          <w:sz w:val="28"/>
          <w:szCs w:val="28"/>
          <w:rtl/>
        </w:rPr>
        <w:t xml:space="preserve">اسماعيل بن حسين تائب تبريزي- تائب</w:t>
      </w:r>
    </w:p>
    <w:p>
      <w:pPr>
        <w:pStyle w:val="BookText"/>
      </w:pPr>
      <w:r>
        <w:rPr>
          <w:rFonts w:ascii="Amiri" w:hAnsi="Amiri" w:eastAsia="Amiri" w:cs="Amiri"/>
          <w:lang w:bidi="ar-SA"/>
          <w:color w:val="111111"/>
          <w:sz w:val="28"/>
          <w:szCs w:val="28"/>
          <w:rtl/>
        </w:rPr>
        <w:t xml:space="preserve">تبريزي، اسماعيل بن حسين</w:t>
      </w:r>
    </w:p>
    <w:p>
      <w:pPr>
        <w:pStyle w:val="BookText"/>
      </w:pPr>
      <w:r>
        <w:rPr>
          <w:rFonts w:ascii="Amiri" w:hAnsi="Amiri" w:eastAsia="Amiri" w:cs="Amiri"/>
          <w:lang w:bidi="ar-SA"/>
          <w:color w:val="111111"/>
          <w:sz w:val="28"/>
          <w:szCs w:val="28"/>
          <w:rtl/>
        </w:rPr>
        <w:t xml:space="preserve">اسماعيل بن حماد جوهري- جوهري</w:t>
      </w:r>
    </w:p>
    <w:p>
      <w:pPr>
        <w:pStyle w:val="BookText"/>
      </w:pPr>
      <w:r>
        <w:rPr>
          <w:rFonts w:ascii="Amiri" w:hAnsi="Amiri" w:eastAsia="Amiri" w:cs="Amiri"/>
          <w:lang w:bidi="ar-SA"/>
          <w:color w:val="111111"/>
          <w:sz w:val="28"/>
          <w:szCs w:val="28"/>
          <w:rtl/>
        </w:rPr>
        <w:t xml:space="preserve">اسماعيل بن حماد</w:t>
      </w:r>
    </w:p>
    <w:p>
      <w:pPr>
        <w:pStyle w:val="BookText"/>
      </w:pPr>
      <w:r>
        <w:rPr>
          <w:rFonts w:ascii="Amiri" w:hAnsi="Amiri" w:eastAsia="Amiri" w:cs="Amiri"/>
          <w:lang w:bidi="ar-SA"/>
          <w:color w:val="111111"/>
          <w:sz w:val="28"/>
          <w:szCs w:val="28"/>
          <w:rtl/>
        </w:rPr>
        <w:t xml:space="preserve">اسماعيل بن خلف سرقسطي - سرقسطي</w:t>
      </w:r>
    </w:p>
    <w:p>
      <w:pPr>
        <w:pStyle w:val="BookText"/>
      </w:pPr>
      <w:r>
        <w:rPr>
          <w:rFonts w:ascii="Amiri" w:hAnsi="Amiri" w:eastAsia="Amiri" w:cs="Amiri"/>
          <w:lang w:bidi="ar-SA"/>
          <w:color w:val="111111"/>
          <w:sz w:val="28"/>
          <w:szCs w:val="28"/>
          <w:rtl/>
        </w:rPr>
        <w:t xml:space="preserve">اسماعيل بن خلف</w:t>
      </w:r>
    </w:p>
    <w:p>
      <w:pPr>
        <w:pStyle w:val="BookText"/>
      </w:pPr>
      <w:r>
        <w:rPr>
          <w:rFonts w:ascii="IRNazanin" w:hAnsi="IRNazanin" w:eastAsia="IRNazanin" w:cs="IRNazanin"/>
          <w:lang w:bidi="fa-IR"/>
          <w:color w:val="111111"/>
          <w:sz w:val="28"/>
          <w:szCs w:val="28"/>
          <w:rtl/>
        </w:rPr>
        <w:t xml:space="preserve">اسماعیل بن سليمان الكردي</w:t>
      </w:r>
    </w:p>
    <w:p>
      <w:pPr>
        <w:pStyle w:val="BookText"/>
      </w:pPr>
      <w:r>
        <w:rPr>
          <w:rFonts w:ascii="Amiri" w:hAnsi="Amiri" w:eastAsia="Amiri" w:cs="Amiri"/>
          <w:lang w:bidi="ar-SA"/>
          <w:color w:val="111111"/>
          <w:sz w:val="28"/>
          <w:szCs w:val="28"/>
          <w:rtl/>
        </w:rPr>
        <w:t xml:space="preserve">البغدادي -كردي، اسماعيل بن سليمان</w:t>
      </w:r>
    </w:p>
    <w:p>
      <w:pPr>
        <w:pStyle w:val="BookText"/>
      </w:pPr>
      <w:r>
        <w:rPr>
          <w:rFonts w:ascii="Amiri" w:hAnsi="Amiri" w:eastAsia="Amiri" w:cs="Amiri"/>
          <w:lang w:bidi="ar-SA"/>
          <w:color w:val="111111"/>
          <w:sz w:val="28"/>
          <w:szCs w:val="28"/>
          <w:rtl/>
        </w:rPr>
        <w:t xml:space="preserve">اسماعيل بن سنان افدي سيواسي- سيواسي</w:t>
      </w:r>
    </w:p>
    <w:p>
      <w:pPr>
        <w:pStyle w:val="BookText"/>
      </w:pPr>
      <w:r>
        <w:rPr>
          <w:rFonts w:ascii="Amiri" w:hAnsi="Amiri" w:eastAsia="Amiri" w:cs="Amiri"/>
          <w:lang w:bidi="ar-SA"/>
          <w:color w:val="111111"/>
          <w:sz w:val="28"/>
          <w:szCs w:val="28"/>
          <w:rtl/>
        </w:rPr>
        <w:t xml:space="preserve">اسماعيل بن احمد</w:t>
      </w:r>
    </w:p>
    <w:p>
      <w:pPr>
        <w:pStyle w:val="BookText"/>
      </w:pPr>
      <w:r>
        <w:rPr>
          <w:rFonts w:ascii="IRNazanin" w:hAnsi="IRNazanin" w:eastAsia="IRNazanin" w:cs="IRNazanin"/>
          <w:lang w:bidi="fa-IR"/>
          <w:color w:val="111111"/>
          <w:sz w:val="28"/>
          <w:szCs w:val="28"/>
          <w:rtl/>
        </w:rPr>
        <w:t xml:space="preserve">، اسماعیل بن سنان</w:t>
      </w:r>
    </w:p>
    <w:p>
      <w:pPr>
        <w:pStyle w:val="BookText"/>
      </w:pPr>
      <w:r>
        <w:rPr>
          <w:rFonts w:ascii="IRNazanin" w:hAnsi="IRNazanin" w:eastAsia="IRNazanin" w:cs="IRNazanin"/>
          <w:lang w:bidi="fa-IR"/>
          <w:color w:val="111111"/>
          <w:sz w:val="28"/>
          <w:szCs w:val="28"/>
          <w:rtl/>
        </w:rPr>
        <w:t xml:space="preserve">اسماعيل بن صدرالدین صدر</w:t>
      </w:r>
    </w:p>
    <w:p>
      <w:pPr>
        <w:pStyle w:val="BookText"/>
      </w:pPr>
      <w:r>
        <w:rPr>
          <w:rFonts w:ascii="Amiri" w:hAnsi="Amiri" w:eastAsia="Amiri" w:cs="Amiri"/>
          <w:lang w:bidi="ar-SA"/>
          <w:color w:val="111111"/>
          <w:sz w:val="28"/>
          <w:szCs w:val="28"/>
          <w:rtl/>
        </w:rPr>
        <w:t xml:space="preserve">اصفهاني -صدر اصفهاني، اسماعيل بن</w:t>
      </w:r>
    </w:p>
    <w:p>
      <w:pPr>
        <w:pStyle w:val="BookText"/>
      </w:pPr>
      <w:r>
        <w:rPr>
          <w:rFonts w:ascii="IRNazanin" w:hAnsi="IRNazanin" w:eastAsia="IRNazanin" w:cs="IRNazanin"/>
          <w:lang w:bidi="fa-IR"/>
          <w:color w:val="111111"/>
          <w:sz w:val="28"/>
          <w:szCs w:val="28"/>
          <w:rtl/>
        </w:rPr>
        <w:t xml:space="preserve">صدرالدین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3" w:name="pg7742_69771"/>
    <w:bookmarkEnd w:id="193"/>
    <w:p>
      <w:pPr>
        <w:pStyle w:val="BookText"/>
      </w:pPr>
      <w:r>
        <w:rPr>
          <w:rFonts w:ascii="Amiri" w:hAnsi="Amiri" w:eastAsia="Amiri" w:cs="Amiri"/>
          <w:lang w:bidi="ar-SA"/>
          <w:color w:val="111111"/>
          <w:sz w:val="28"/>
          <w:szCs w:val="28"/>
          <w:rtl/>
        </w:rPr>
        <w:t xml:space="preserve">اسماعيل بن عباد -صاحب بن عباد ،</w:t>
      </w:r>
    </w:p>
    <w:p>
      <w:pPr>
        <w:pStyle w:val="BookText"/>
      </w:pPr>
      <w:r>
        <w:rPr>
          <w:rFonts w:ascii="Amiri" w:hAnsi="Amiri" w:eastAsia="Amiri" w:cs="Amiri"/>
          <w:lang w:bidi="ar-SA"/>
          <w:color w:val="111111"/>
          <w:sz w:val="28"/>
          <w:szCs w:val="28"/>
          <w:rtl/>
        </w:rPr>
        <w:t xml:space="preserve">اسماعيل بن عباد</w:t>
      </w:r>
    </w:p>
    <w:p>
      <w:pPr>
        <w:pStyle w:val="BookText"/>
      </w:pPr>
      <w:r>
        <w:rPr>
          <w:rFonts w:ascii="Amiri" w:hAnsi="Amiri" w:eastAsia="Amiri" w:cs="Amiri"/>
          <w:lang w:bidi="ar-SA"/>
          <w:color w:val="111111"/>
          <w:sz w:val="28"/>
          <w:szCs w:val="28"/>
          <w:rtl/>
        </w:rPr>
        <w:t xml:space="preserve">اسماعيل بن عباس غساني- غساني ،</w:t>
      </w:r>
    </w:p>
    <w:p>
      <w:pPr>
        <w:pStyle w:val="BookText"/>
      </w:pPr>
      <w:r>
        <w:rPr>
          <w:rFonts w:ascii="Amiri" w:hAnsi="Amiri" w:eastAsia="Amiri" w:cs="Amiri"/>
          <w:lang w:bidi="ar-SA"/>
          <w:color w:val="111111"/>
          <w:sz w:val="28"/>
          <w:szCs w:val="28"/>
          <w:rtl/>
        </w:rPr>
        <w:t xml:space="preserve">اسماعيل بن عباس</w:t>
      </w:r>
    </w:p>
    <w:p>
      <w:pPr>
        <w:pStyle w:val="BookText"/>
      </w:pPr>
      <w:r>
        <w:rPr>
          <w:rFonts w:ascii="Amiri" w:hAnsi="Amiri" w:eastAsia="Amiri" w:cs="Amiri"/>
          <w:lang w:bidi="ar-SA"/>
          <w:color w:val="111111"/>
          <w:sz w:val="28"/>
          <w:szCs w:val="28"/>
          <w:rtl/>
        </w:rPr>
        <w:t xml:space="preserve">اسماعيل بن عبد الغني الحفيد -ابن</w:t>
      </w:r>
    </w:p>
    <w:p>
      <w:pPr>
        <w:pStyle w:val="BookText"/>
      </w:pPr>
      <w:r>
        <w:rPr>
          <w:rFonts w:ascii="Amiri" w:hAnsi="Amiri" w:eastAsia="Amiri" w:cs="Amiri"/>
          <w:lang w:bidi="ar-SA"/>
          <w:color w:val="111111"/>
          <w:sz w:val="28"/>
          <w:szCs w:val="28"/>
          <w:rtl/>
        </w:rPr>
        <w:t xml:space="preserve">نابلسي ، اسماعيل بن عبدالغني</w:t>
      </w:r>
    </w:p>
    <w:p>
      <w:pPr>
        <w:pStyle w:val="BookText"/>
      </w:pPr>
      <w:r>
        <w:rPr>
          <w:rFonts w:ascii="Amiri" w:hAnsi="Amiri" w:eastAsia="Amiri" w:cs="Amiri"/>
          <w:lang w:bidi="ar-SA"/>
          <w:color w:val="111111"/>
          <w:sz w:val="28"/>
          <w:szCs w:val="28"/>
          <w:rtl/>
        </w:rPr>
        <w:t xml:space="preserve">اسماعيل بن عبدالله زبيدي عطار -زبيدي</w:t>
      </w:r>
    </w:p>
    <w:p>
      <w:pPr>
        <w:pStyle w:val="BookText"/>
      </w:pPr>
      <w:r>
        <w:rPr>
          <w:rFonts w:ascii="IRNazanin" w:hAnsi="IRNazanin" w:eastAsia="IRNazanin" w:cs="IRNazanin"/>
          <w:lang w:bidi="fa-IR"/>
          <w:color w:val="111111"/>
          <w:sz w:val="28"/>
          <w:szCs w:val="28"/>
          <w:rtl/>
        </w:rPr>
        <w:t xml:space="preserve">، اسماعیل بن عبدالله</w:t>
      </w:r>
    </w:p>
    <w:p>
      <w:pPr>
        <w:pStyle w:val="BookText"/>
      </w:pPr>
      <w:r>
        <w:rPr>
          <w:rFonts w:ascii="Amiri" w:hAnsi="Amiri" w:eastAsia="Amiri" w:cs="Amiri"/>
          <w:lang w:bidi="ar-SA"/>
          <w:color w:val="111111"/>
          <w:sz w:val="28"/>
          <w:szCs w:val="28"/>
          <w:rtl/>
        </w:rPr>
        <w:t xml:space="preserve">اسماعيل بن عبدالله موصلي - موصلي ،</w:t>
      </w:r>
    </w:p>
    <w:p>
      <w:pPr>
        <w:pStyle w:val="BookText"/>
      </w:pPr>
      <w:r>
        <w:rPr>
          <w:rFonts w:ascii="Amiri" w:hAnsi="Amiri" w:eastAsia="Amiri" w:cs="Amiri"/>
          <w:lang w:bidi="ar-SA"/>
          <w:color w:val="111111"/>
          <w:sz w:val="28"/>
          <w:szCs w:val="28"/>
          <w:rtl/>
        </w:rPr>
        <w:t xml:space="preserve">اسماعيل بن عبدالله نقشبندي -نقشبندي</w:t>
      </w:r>
    </w:p>
    <w:p>
      <w:pPr>
        <w:pStyle w:val="BookText"/>
      </w:pPr>
      <w:r>
        <w:rPr>
          <w:rFonts w:ascii="Amiri" w:hAnsi="Amiri" w:eastAsia="Amiri" w:cs="Amiri"/>
          <w:lang w:bidi="ar-SA"/>
          <w:color w:val="111111"/>
          <w:sz w:val="28"/>
          <w:szCs w:val="28"/>
          <w:rtl/>
        </w:rPr>
        <w:t xml:space="preserve">اسماعيل بن عبدالله</w:t>
      </w:r>
    </w:p>
    <w:p>
      <w:pPr>
        <w:pStyle w:val="BookText"/>
      </w:pPr>
      <w:r>
        <w:rPr>
          <w:rFonts w:ascii="Amiri" w:hAnsi="Amiri" w:eastAsia="Amiri" w:cs="Amiri"/>
          <w:lang w:bidi="ar-SA"/>
          <w:color w:val="111111"/>
          <w:sz w:val="28"/>
          <w:szCs w:val="28"/>
          <w:rtl/>
        </w:rPr>
        <w:t xml:space="preserve">اسماعيل بن علي قزويني- قزويني اسماعيل بن علي</w:t>
      </w:r>
    </w:p>
    <w:p>
      <w:pPr>
        <w:pStyle w:val="BookText"/>
      </w:pPr>
      <w:r>
        <w:rPr>
          <w:rFonts w:ascii="Amiri" w:hAnsi="Amiri" w:eastAsia="Amiri" w:cs="Amiri"/>
          <w:lang w:bidi="ar-SA"/>
          <w:color w:val="111111"/>
          <w:sz w:val="28"/>
          <w:szCs w:val="28"/>
          <w:rtl/>
        </w:rPr>
        <w:t xml:space="preserve">اسماعيل بن عمر ابن كثير- ابن كثير</w:t>
      </w:r>
    </w:p>
    <w:p>
      <w:pPr>
        <w:pStyle w:val="BookText"/>
      </w:pPr>
      <w:r>
        <w:rPr>
          <w:rFonts w:ascii="Amiri" w:hAnsi="Amiri" w:eastAsia="Amiri" w:cs="Amiri"/>
          <w:lang w:bidi="ar-SA"/>
          <w:color w:val="111111"/>
          <w:sz w:val="28"/>
          <w:szCs w:val="28"/>
          <w:rtl/>
        </w:rPr>
        <w:t xml:space="preserve">اسماعيل بن عمر</w:t>
      </w:r>
    </w:p>
    <w:p>
      <w:pPr>
        <w:pStyle w:val="BookText"/>
      </w:pPr>
      <w:r>
        <w:rPr>
          <w:rFonts w:ascii="Amiri" w:hAnsi="Amiri" w:eastAsia="Amiri" w:cs="Amiri"/>
          <w:lang w:bidi="ar-SA"/>
          <w:color w:val="111111"/>
          <w:sz w:val="28"/>
          <w:szCs w:val="28"/>
          <w:rtl/>
        </w:rPr>
        <w:t xml:space="preserve">اسماعيل بن عمر الشنواني</w:t>
      </w:r>
    </w:p>
    <w:p>
      <w:pPr>
        <w:pStyle w:val="BookText"/>
      </w:pPr>
      <w:r>
        <w:rPr>
          <w:rFonts w:ascii="Amiri" w:hAnsi="Amiri" w:eastAsia="Amiri" w:cs="Amiri"/>
          <w:lang w:bidi="ar-SA"/>
          <w:color w:val="111111"/>
          <w:sz w:val="28"/>
          <w:szCs w:val="28"/>
          <w:rtl/>
        </w:rPr>
        <w:t xml:space="preserve">العجلوني -شنواني، اسماعيل بن عمر</w:t>
      </w:r>
    </w:p>
    <w:p>
      <w:pPr>
        <w:pStyle w:val="BookText"/>
      </w:pPr>
      <w:r>
        <w:rPr>
          <w:rFonts w:ascii="Amiri" w:hAnsi="Amiri" w:eastAsia="Amiri" w:cs="Amiri"/>
          <w:lang w:bidi="ar-SA"/>
          <w:color w:val="111111"/>
          <w:sz w:val="28"/>
          <w:szCs w:val="28"/>
          <w:rtl/>
        </w:rPr>
        <w:t xml:space="preserve">اسماعيل بن غنيم جوهري</w:t>
      </w:r>
    </w:p>
    <w:p>
      <w:pPr>
        <w:pStyle w:val="BookText"/>
      </w:pPr>
      <w:r>
        <w:rPr>
          <w:rFonts w:ascii="Amiri" w:hAnsi="Amiri" w:eastAsia="Amiri" w:cs="Amiri"/>
          <w:lang w:bidi="ar-SA"/>
          <w:color w:val="111111"/>
          <w:sz w:val="28"/>
          <w:szCs w:val="28"/>
          <w:rtl/>
        </w:rPr>
        <w:t xml:space="preserve">غنيمي -جوهري، اسماعيل بن غنيم</w:t>
      </w:r>
    </w:p>
    <w:p>
      <w:pPr>
        <w:pStyle w:val="BookText"/>
      </w:pPr>
      <w:r>
        <w:rPr>
          <w:rFonts w:ascii="Amiri" w:hAnsi="Amiri" w:eastAsia="Amiri" w:cs="Amiri"/>
          <w:lang w:bidi="ar-SA"/>
          <w:color w:val="111111"/>
          <w:sz w:val="28"/>
          <w:szCs w:val="28"/>
          <w:rtl/>
        </w:rPr>
        <w:t xml:space="preserve">اسماعيل بن قاسم حسني -حسني</w:t>
      </w:r>
    </w:p>
    <w:p>
      <w:pPr>
        <w:pStyle w:val="BookText"/>
      </w:pPr>
      <w:r>
        <w:rPr>
          <w:rFonts w:ascii="Amiri" w:hAnsi="Amiri" w:eastAsia="Amiri" w:cs="Amiri"/>
          <w:lang w:bidi="ar-SA"/>
          <w:color w:val="111111"/>
          <w:sz w:val="28"/>
          <w:szCs w:val="28"/>
          <w:rtl/>
        </w:rPr>
        <w:t xml:space="preserve">اسماعيل بن قاسم</w:t>
      </w:r>
    </w:p>
    <w:p>
      <w:pPr>
        <w:pStyle w:val="BookText"/>
      </w:pPr>
      <w:r>
        <w:rPr>
          <w:rFonts w:ascii="Amiri" w:hAnsi="Amiri" w:eastAsia="Amiri" w:cs="Amiri"/>
          <w:lang w:bidi="ar-SA"/>
          <w:color w:val="111111"/>
          <w:sz w:val="28"/>
          <w:szCs w:val="28"/>
          <w:rtl/>
        </w:rPr>
        <w:t xml:space="preserve">اسماعيل بن قاسم قالي- قالي ، اسماعيل</w:t>
      </w:r>
    </w:p>
    <w:p>
      <w:pPr>
        <w:pStyle w:val="BookText"/>
      </w:pPr>
      <w:r>
        <w:rPr>
          <w:rFonts w:ascii="IRNazanin" w:hAnsi="IRNazanin" w:eastAsia="IRNazanin" w:cs="IRNazanin"/>
          <w:lang w:bidi="fa-IR"/>
          <w:color w:val="111111"/>
          <w:sz w:val="28"/>
          <w:szCs w:val="28"/>
          <w:rtl/>
        </w:rPr>
        <w:t xml:space="preserve">بن قاسم</w:t>
      </w:r>
    </w:p>
    <w:p>
      <w:pPr>
        <w:pStyle w:val="Heading2"/>
      </w:pPr>
      <w:bookmarkStart w:id="2190" w:name="_Toc1292"/>
      <w:r>
        <w:t>اسماعیل بن محسن</w:t>
      </w:r>
      <w:bookmarkEnd w:id="2190"/>
    </w:p>
    <w:p>
      <w:pPr>
        <w:pStyle w:val="BookText"/>
      </w:pPr>
      <w:r>
        <w:rPr>
          <w:rFonts w:ascii="IRNazanin" w:hAnsi="IRNazanin" w:eastAsia="IRNazanin" w:cs="IRNazanin"/>
          <w:lang w:bidi="fa-IR"/>
          <w:color w:val="111111"/>
          <w:sz w:val="28"/>
          <w:szCs w:val="28"/>
          <w:rtl/>
        </w:rPr>
        <w:t xml:space="preserve">البدع، ج 3، ص270.</w:t>
      </w:r>
    </w:p>
    <w:p>
      <w:pPr>
        <w:pStyle w:val="BookText"/>
      </w:pPr>
      <w:r>
        <w:rPr>
          <w:rFonts w:ascii="Amiri" w:hAnsi="Amiri" w:eastAsia="Amiri" w:cs="Amiri"/>
          <w:lang w:bidi="ar-SA"/>
          <w:color w:val="111111"/>
          <w:sz w:val="28"/>
          <w:szCs w:val="28"/>
          <w:rtl/>
        </w:rPr>
        <w:t xml:space="preserve">اسماعيل بن محمّد (ابوالفداء) -بعلبكي</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محمّد العجلوني- عجلوني</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IRNazanin" w:hAnsi="IRNazanin" w:eastAsia="IRNazanin" w:cs="IRNazanin"/>
          <w:lang w:bidi="fa-IR"/>
          <w:color w:val="111111"/>
          <w:sz w:val="28"/>
          <w:szCs w:val="28"/>
          <w:rtl/>
        </w:rPr>
        <w:t xml:space="preserve">اسماعیل بن محمّد باقر حسيني- خاتون</w:t>
      </w:r>
    </w:p>
    <w:p>
      <w:pPr>
        <w:pStyle w:val="BookText"/>
      </w:pPr>
      <w:r>
        <w:rPr>
          <w:rFonts w:ascii="IRNazanin" w:hAnsi="IRNazanin" w:eastAsia="IRNazanin" w:cs="IRNazanin"/>
          <w:lang w:bidi="fa-IR"/>
          <w:color w:val="111111"/>
          <w:sz w:val="28"/>
          <w:szCs w:val="28"/>
          <w:rtl/>
        </w:rPr>
        <w:t xml:space="preserve">آبادي ، اسماعیل بن محمّد باقر</w:t>
      </w:r>
    </w:p>
    <w:p>
      <w:pPr>
        <w:pStyle w:val="BookText"/>
      </w:pPr>
      <w:r>
        <w:rPr>
          <w:rFonts w:ascii="IRNazanin" w:hAnsi="IRNazanin" w:eastAsia="IRNazanin" w:cs="IRNazanin"/>
          <w:lang w:bidi="fa-IR"/>
          <w:color w:val="111111"/>
          <w:sz w:val="28"/>
          <w:szCs w:val="28"/>
          <w:rtl/>
        </w:rPr>
        <w:t xml:space="preserve">اسماعیل بن محمّد بن بردس- ابن بردس</w:t>
      </w:r>
    </w:p>
    <w:p>
      <w:pPr>
        <w:pStyle w:val="BookText"/>
      </w:pPr>
      <w:r>
        <w:rPr>
          <w:rFonts w:ascii="Amiri" w:hAnsi="Amiri" w:eastAsia="Amiri" w:cs="Amiri"/>
          <w:lang w:bidi="ar-SA"/>
          <w:color w:val="111111"/>
          <w:sz w:val="28"/>
          <w:szCs w:val="28"/>
          <w:rtl/>
        </w:rPr>
        <w:t xml:space="preserve">، اسماعيل بن محمّد</w:t>
      </w:r>
    </w:p>
    <w:p>
      <w:pPr>
        <w:pStyle w:val="BookText"/>
      </w:pPr>
      <w:r>
        <w:rPr>
          <w:rFonts w:ascii="Amiri" w:hAnsi="Amiri" w:eastAsia="Amiri" w:cs="Amiri"/>
          <w:lang w:bidi="ar-SA"/>
          <w:color w:val="111111"/>
          <w:sz w:val="28"/>
          <w:szCs w:val="28"/>
          <w:rtl/>
        </w:rPr>
        <w:t xml:space="preserve">اسماعيل بن محمّد بن حسن- صنعاني ،</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محمّد بن سعد حلبي -ابن</w:t>
      </w:r>
    </w:p>
    <w:p>
      <w:pPr>
        <w:pStyle w:val="BookText"/>
      </w:pPr>
      <w:r>
        <w:rPr>
          <w:rFonts w:ascii="Amiri" w:hAnsi="Amiri" w:eastAsia="Amiri" w:cs="Amiri"/>
          <w:lang w:bidi="ar-SA"/>
          <w:color w:val="111111"/>
          <w:sz w:val="28"/>
          <w:szCs w:val="28"/>
          <w:rtl/>
        </w:rPr>
        <w:t xml:space="preserve">اثير ، اسماعيل بن احمد</w:t>
      </w:r>
    </w:p>
    <w:p>
      <w:pPr>
        <w:pStyle w:val="BookText"/>
      </w:pPr>
      <w:r>
        <w:rPr>
          <w:rFonts w:ascii="Amiri" w:hAnsi="Amiri" w:eastAsia="Amiri" w:cs="Amiri"/>
          <w:lang w:bidi="ar-SA"/>
          <w:color w:val="111111"/>
          <w:sz w:val="28"/>
          <w:szCs w:val="28"/>
          <w:rtl/>
        </w:rPr>
        <w:t xml:space="preserve">اسماعيل بن محمّد بن فضل بن علي</w:t>
      </w:r>
    </w:p>
    <w:p>
      <w:pPr>
        <w:pStyle w:val="BookText"/>
      </w:pPr>
      <w:r>
        <w:rPr>
          <w:rFonts w:ascii="Amiri" w:hAnsi="Amiri" w:eastAsia="Amiri" w:cs="Amiri"/>
          <w:lang w:bidi="ar-SA"/>
          <w:color w:val="111111"/>
          <w:sz w:val="28"/>
          <w:szCs w:val="28"/>
          <w:rtl/>
        </w:rPr>
        <w:t xml:space="preserve">اصفهاني شافعي- قوام السنه اصفهاني</w:t>
      </w:r>
    </w:p>
    <w:p>
      <w:pPr>
        <w:pStyle w:val="BookText"/>
      </w:pPr>
      <w:r>
        <w:rPr>
          <w:rFonts w:ascii="IRNazanin" w:hAnsi="IRNazanin" w:eastAsia="IRNazanin" w:cs="IRNazanin"/>
          <w:lang w:bidi="fa-IR"/>
          <w:color w:val="111111"/>
          <w:sz w:val="28"/>
          <w:szCs w:val="28"/>
          <w:rtl/>
        </w:rPr>
        <w:t xml:space="preserve">اسماعیل بن محمّد تميمي- تميمي ،</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محمّد اسماعيل بن محمّد حسيني- حسيني</w:t>
      </w:r>
    </w:p>
    <w:p>
      <w:pPr>
        <w:pStyle w:val="BookText"/>
      </w:pPr>
      <w:r>
        <w:rPr>
          <w:rFonts w:ascii="Amiri" w:hAnsi="Amiri" w:eastAsia="Amiri" w:cs="Amiri"/>
          <w:lang w:bidi="ar-SA"/>
          <w:color w:val="111111"/>
          <w:sz w:val="28"/>
          <w:szCs w:val="28"/>
          <w:rtl/>
        </w:rPr>
        <w:t xml:space="preserve">موصلي، اسماعيل بن محمّد</w:t>
      </w:r>
    </w:p>
    <w:p>
      <w:pPr>
        <w:pStyle w:val="BookText"/>
      </w:pPr>
      <w:r>
        <w:rPr>
          <w:rFonts w:ascii="Amiri" w:hAnsi="Amiri" w:eastAsia="Amiri" w:cs="Amiri"/>
          <w:lang w:bidi="ar-SA"/>
          <w:color w:val="111111"/>
          <w:sz w:val="28"/>
          <w:szCs w:val="28"/>
          <w:rtl/>
        </w:rPr>
        <w:t xml:space="preserve">اسماعيل بن محمّد حميري -سيد حميري ،</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محمّد صفار -صفار</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محمّد عاملي حضرمي- عاملي، اسماعيل بن محمّد</w:t>
      </w:r>
    </w:p>
    <w:p>
      <w:pPr>
        <w:pStyle w:val="BookText"/>
      </w:pPr>
      <w:r>
        <w:rPr>
          <w:rFonts w:ascii="IRNazanin" w:hAnsi="IRNazanin" w:eastAsia="IRNazanin" w:cs="IRNazanin"/>
          <w:lang w:bidi="fa-IR"/>
          <w:color w:val="111111"/>
          <w:sz w:val="28"/>
          <w:szCs w:val="28"/>
          <w:rtl/>
        </w:rPr>
        <w:t xml:space="preserve">اسماعیل بن محمّد عقدائي- عقداني ،</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محمّد قونوي- قونوي</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اسماعيل بن مصطفى الارضرومي - تائب ،</w:t>
      </w:r>
    </w:p>
    <w:p>
      <w:pPr>
        <w:pStyle w:val="BookText"/>
      </w:pPr>
      <w:r>
        <w:rPr>
          <w:rFonts w:ascii="Amiri" w:hAnsi="Amiri" w:eastAsia="Amiri" w:cs="Amiri"/>
          <w:lang w:bidi="ar-SA"/>
          <w:color w:val="111111"/>
          <w:sz w:val="28"/>
          <w:szCs w:val="28"/>
          <w:rtl/>
        </w:rPr>
        <w:t xml:space="preserve">اسماعيل بن مصطفى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4" w:name="pg7742_69772"/>
    <w:bookmarkEnd w:id="194"/>
    <w:p>
      <w:pPr>
        <w:pStyle w:val="BookText"/>
      </w:pPr>
      <w:r>
        <w:rPr>
          <w:rFonts w:ascii="Amiri" w:hAnsi="Amiri" w:eastAsia="Amiri" w:cs="Amiri"/>
          <w:lang w:bidi="ar-SA"/>
          <w:color w:val="111111"/>
          <w:sz w:val="28"/>
          <w:szCs w:val="28"/>
          <w:rtl/>
        </w:rPr>
        <w:t xml:space="preserve">اسماعيل بن مصطفى حقي حقي برسوي</w:t>
      </w:r>
    </w:p>
    <w:p>
      <w:pPr>
        <w:pStyle w:val="BookText"/>
      </w:pPr>
      <w:r>
        <w:rPr>
          <w:rFonts w:ascii="Amiri" w:hAnsi="Amiri" w:eastAsia="Amiri" w:cs="Amiri"/>
          <w:lang w:bidi="ar-SA"/>
          <w:color w:val="111111"/>
          <w:sz w:val="28"/>
          <w:szCs w:val="28"/>
          <w:rtl/>
        </w:rPr>
        <w:t xml:space="preserve">، اسماعيل بن مصطفى</w:t>
      </w:r>
    </w:p>
    <w:p>
      <w:pPr>
        <w:pStyle w:val="BookText"/>
      </w:pPr>
      <w:r>
        <w:rPr>
          <w:rFonts w:ascii="IRNazanin" w:hAnsi="IRNazanin" w:eastAsia="IRNazanin" w:cs="IRNazanin"/>
          <w:lang w:bidi="fa-IR"/>
          <w:color w:val="111111"/>
          <w:sz w:val="28"/>
          <w:szCs w:val="28"/>
          <w:rtl/>
        </w:rPr>
        <w:t xml:space="preserve">اسماعیل بن مصطفى خليفه زاده خلیفه</w:t>
      </w:r>
    </w:p>
    <w:p>
      <w:pPr>
        <w:pStyle w:val="BookText"/>
      </w:pPr>
      <w:r>
        <w:rPr>
          <w:rFonts w:ascii="Amiri" w:hAnsi="Amiri" w:eastAsia="Amiri" w:cs="Amiri"/>
          <w:lang w:bidi="ar-SA"/>
          <w:color w:val="111111"/>
          <w:sz w:val="28"/>
          <w:szCs w:val="28"/>
          <w:rtl/>
        </w:rPr>
        <w:t xml:space="preserve">اسماعيلي</w:t>
      </w:r>
    </w:p>
    <w:p>
      <w:pPr>
        <w:pStyle w:val="BookText"/>
      </w:pPr>
      <w:r>
        <w:rPr>
          <w:rFonts w:ascii="Amiri" w:hAnsi="Amiri" w:eastAsia="Amiri" w:cs="Amiri"/>
          <w:lang w:bidi="ar-SA"/>
          <w:color w:val="111111"/>
          <w:sz w:val="28"/>
          <w:szCs w:val="28"/>
          <w:rtl/>
        </w:rPr>
        <w:t xml:space="preserve">زاده، اسماعيل بن مصطفى</w:t>
      </w:r>
    </w:p>
    <w:p>
      <w:pPr>
        <w:pStyle w:val="BookText"/>
      </w:pPr>
      <w:r>
        <w:rPr>
          <w:rFonts w:ascii="Amiri" w:hAnsi="Amiri" w:eastAsia="Amiri" w:cs="Amiri"/>
          <w:lang w:bidi="ar-SA"/>
          <w:color w:val="111111"/>
          <w:sz w:val="28"/>
          <w:szCs w:val="28"/>
          <w:rtl/>
        </w:rPr>
        <w:t xml:space="preserve">اسماعيل بن مصطفى كلنبوي روحي حنفي كلنبوي، اسماعيل بن مصطفى</w:t>
      </w:r>
    </w:p>
    <w:p>
      <w:pPr>
        <w:pStyle w:val="BookText"/>
      </w:pPr>
      <w:r>
        <w:rPr>
          <w:rFonts w:ascii="IRNazanin" w:hAnsi="IRNazanin" w:eastAsia="IRNazanin" w:cs="IRNazanin"/>
          <w:lang w:bidi="fa-IR"/>
          <w:color w:val="111111"/>
          <w:sz w:val="28"/>
          <w:szCs w:val="28"/>
          <w:rtl/>
        </w:rPr>
        <w:t xml:space="preserve">اسماعیل بن موسى حامدي حامدي ،</w:t>
      </w:r>
    </w:p>
    <w:p>
      <w:pPr>
        <w:pStyle w:val="BookText"/>
      </w:pPr>
      <w:r>
        <w:rPr>
          <w:rFonts w:ascii="Amiri" w:hAnsi="Amiri" w:eastAsia="Amiri" w:cs="Amiri"/>
          <w:lang w:bidi="ar-SA"/>
          <w:color w:val="111111"/>
          <w:sz w:val="28"/>
          <w:szCs w:val="28"/>
          <w:rtl/>
        </w:rPr>
        <w:t xml:space="preserve">اسماعيل بن موسى</w:t>
      </w:r>
    </w:p>
    <w:p>
      <w:pPr>
        <w:pStyle w:val="BookText"/>
      </w:pPr>
      <w:r>
        <w:rPr>
          <w:rFonts w:ascii="Amiri" w:hAnsi="Amiri" w:eastAsia="Amiri" w:cs="Amiri"/>
          <w:lang w:bidi="ar-SA"/>
          <w:color w:val="111111"/>
          <w:sz w:val="28"/>
          <w:szCs w:val="28"/>
          <w:rtl/>
        </w:rPr>
        <w:t xml:space="preserve">اسماعيل بن نجف حسيني بنائي حسيني</w:t>
      </w:r>
    </w:p>
    <w:p>
      <w:pPr>
        <w:pStyle w:val="BookText"/>
      </w:pPr>
      <w:r>
        <w:rPr>
          <w:rFonts w:ascii="Amiri" w:hAnsi="Amiri" w:eastAsia="Amiri" w:cs="Amiri"/>
          <w:lang w:bidi="ar-SA"/>
          <w:color w:val="111111"/>
          <w:sz w:val="28"/>
          <w:szCs w:val="28"/>
          <w:rtl/>
        </w:rPr>
        <w:t xml:space="preserve">بنائي، اسماعيل بن نجف</w:t>
      </w:r>
    </w:p>
    <w:p>
      <w:pPr>
        <w:pStyle w:val="BookText"/>
      </w:pPr>
      <w:r>
        <w:rPr>
          <w:rFonts w:ascii="Amiri" w:hAnsi="Amiri" w:eastAsia="Amiri" w:cs="Amiri"/>
          <w:lang w:bidi="ar-SA"/>
          <w:color w:val="111111"/>
          <w:sz w:val="28"/>
          <w:szCs w:val="28"/>
          <w:rtl/>
        </w:rPr>
        <w:t xml:space="preserve">اسماعيل بن هبة الله بن باطيش ابن</w:t>
      </w:r>
    </w:p>
    <w:p>
      <w:pPr>
        <w:pStyle w:val="BookText"/>
      </w:pPr>
      <w:r>
        <w:rPr>
          <w:rFonts w:ascii="Amiri" w:hAnsi="Amiri" w:eastAsia="Amiri" w:cs="Amiri"/>
          <w:lang w:bidi="ar-SA"/>
          <w:color w:val="111111"/>
          <w:sz w:val="28"/>
          <w:szCs w:val="28"/>
          <w:rtl/>
        </w:rPr>
        <w:t xml:space="preserve">باطيش ، اسماعيل بن هبة الله</w:t>
      </w:r>
    </w:p>
    <w:p>
      <w:pPr>
        <w:pStyle w:val="BookText"/>
      </w:pPr>
      <w:r>
        <w:rPr>
          <w:rFonts w:ascii="Amiri" w:hAnsi="Amiri" w:eastAsia="Amiri" w:cs="Amiri"/>
          <w:lang w:bidi="ar-SA"/>
          <w:color w:val="111111"/>
          <w:sz w:val="28"/>
          <w:szCs w:val="28"/>
          <w:rtl/>
        </w:rPr>
        <w:t xml:space="preserve">اسماعيل جرجاني - جرجاني، اسماعيل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اسماعيل حقي حقي ، اسماعيل</w:t>
      </w:r>
    </w:p>
    <w:p>
      <w:pPr>
        <w:pStyle w:val="BookText"/>
      </w:pPr>
      <w:r>
        <w:rPr>
          <w:rFonts w:ascii="Amiri" w:hAnsi="Amiri" w:eastAsia="Amiri" w:cs="Amiri"/>
          <w:lang w:bidi="ar-SA"/>
          <w:color w:val="111111"/>
          <w:sz w:val="28"/>
          <w:szCs w:val="28"/>
          <w:rtl/>
        </w:rPr>
        <w:t xml:space="preserve">اسماعيل حيدري حسين آبادي حيدري ،</w:t>
      </w:r>
    </w:p>
    <w:p>
      <w:pPr>
        <w:pStyle w:val="BookText"/>
      </w:pPr>
      <w:r>
        <w:rPr>
          <w:rFonts w:ascii="Amiri" w:hAnsi="Amiri" w:eastAsia="Amiri" w:cs="Amiri"/>
          <w:lang w:bidi="ar-SA"/>
          <w:color w:val="111111"/>
          <w:sz w:val="28"/>
          <w:szCs w:val="28"/>
          <w:rtl/>
        </w:rPr>
        <w:t xml:space="preserve">اسماعيل بن ابراهيم</w:t>
      </w:r>
    </w:p>
    <w:p>
      <w:pPr>
        <w:pStyle w:val="BookText"/>
      </w:pPr>
      <w:r>
        <w:rPr>
          <w:rFonts w:ascii="IRNazanin" w:hAnsi="IRNazanin" w:eastAsia="IRNazanin" w:cs="IRNazanin"/>
          <w:lang w:bidi="fa-IR"/>
          <w:color w:val="111111"/>
          <w:sz w:val="28"/>
          <w:szCs w:val="28"/>
          <w:rtl/>
        </w:rPr>
        <w:t xml:space="preserve">اسماعیل خواجو اصفهاني ، محمّد بن</w:t>
      </w:r>
    </w:p>
    <w:p>
      <w:pPr>
        <w:pStyle w:val="BookText"/>
      </w:pPr>
      <w:r>
        <w:rPr>
          <w:rFonts w:ascii="IRNazanin" w:hAnsi="IRNazanin" w:eastAsia="IRNazanin" w:cs="IRNazanin"/>
          <w:lang w:bidi="fa-IR"/>
          <w:color w:val="111111"/>
          <w:sz w:val="28"/>
          <w:szCs w:val="28"/>
          <w:rtl/>
        </w:rPr>
        <w:t xml:space="preserve">محمّد زمان اسماعیل دده انقره اي انقروي ،</w:t>
      </w:r>
    </w:p>
    <w:p>
      <w:pPr>
        <w:pStyle w:val="BookText"/>
      </w:pPr>
      <w:r>
        <w:rPr>
          <w:rFonts w:ascii="Amiri" w:hAnsi="Amiri" w:eastAsia="Amiri" w:cs="Amiri"/>
          <w:lang w:bidi="ar-SA"/>
          <w:color w:val="111111"/>
          <w:sz w:val="28"/>
          <w:szCs w:val="28"/>
          <w:rtl/>
        </w:rPr>
        <w:t xml:space="preserve">اسماعيل بن احمد اسماعيل سليماني سليماني اوغاني :</w:t>
      </w:r>
    </w:p>
    <w:p>
      <w:pPr>
        <w:pStyle w:val="BookText"/>
      </w:pPr>
      <w:r>
        <w:rPr>
          <w:rFonts w:ascii="Amiri" w:hAnsi="Amiri" w:eastAsia="Amiri" w:cs="Amiri"/>
          <w:lang w:bidi="ar-SA"/>
          <w:color w:val="111111"/>
          <w:sz w:val="28"/>
          <w:szCs w:val="28"/>
          <w:rtl/>
        </w:rPr>
        <w:t xml:space="preserve">اسماعيل</w:t>
      </w:r>
    </w:p>
    <w:p>
      <w:pPr>
        <w:pStyle w:val="Heading2"/>
      </w:pPr>
      <w:bookmarkStart w:id="2191" w:name="_Toc1293"/>
      <w:r>
        <w:t>اسماعيل ، محمّد بن حسين</w:t>
      </w:r>
      <w:bookmarkEnd w:id="2191"/>
    </w:p>
    <w:p>
      <w:pPr>
        <w:pStyle w:val="BookText"/>
      </w:pPr>
      <w:r>
        <w:rPr>
          <w:rFonts w:ascii="Amiri" w:hAnsi="Amiri" w:eastAsia="Amiri" w:cs="Amiri"/>
          <w:lang w:bidi="ar-SA"/>
          <w:color w:val="111111"/>
          <w:sz w:val="28"/>
          <w:szCs w:val="28"/>
          <w:rtl/>
        </w:rPr>
        <w:t xml:space="preserve">الحج والعمرتين، ج 6، ص 491</w:t>
      </w:r>
    </w:p>
    <w:p>
      <w:pPr>
        <w:pStyle w:val="BookText"/>
      </w:pPr>
      <w:r>
        <w:rPr>
          <w:rFonts w:ascii="Amiri" w:hAnsi="Amiri" w:eastAsia="Amiri" w:cs="Amiri"/>
          <w:lang w:bidi="ar-SA"/>
          <w:color w:val="111111"/>
          <w:sz w:val="28"/>
          <w:szCs w:val="28"/>
          <w:rtl/>
        </w:rPr>
        <w:t xml:space="preserve">اسماعيل مصلح صعيدي عدوي صعيدي</w:t>
      </w:r>
    </w:p>
    <w:p>
      <w:pPr>
        <w:pStyle w:val="BookText"/>
      </w:pPr>
      <w:r>
        <w:rPr>
          <w:rFonts w:ascii="Amiri" w:hAnsi="Amiri" w:eastAsia="Amiri" w:cs="Amiri"/>
          <w:lang w:bidi="ar-SA"/>
          <w:color w:val="111111"/>
          <w:sz w:val="28"/>
          <w:szCs w:val="28"/>
          <w:rtl/>
        </w:rPr>
        <w:t xml:space="preserve">، اسماعيل مصلح</w:t>
      </w:r>
    </w:p>
    <w:p>
      <w:pPr>
        <w:pStyle w:val="BookText"/>
      </w:pPr>
      <w:r>
        <w:rPr>
          <w:rFonts w:ascii="IRNazanin" w:hAnsi="IRNazanin" w:eastAsia="IRNazanin" w:cs="IRNazanin"/>
          <w:lang w:bidi="fa-IR"/>
          <w:color w:val="111111"/>
          <w:sz w:val="28"/>
          <w:szCs w:val="28"/>
          <w:rtl/>
        </w:rPr>
        <w:t xml:space="preserve">اسماعیل منجم اسماعيل -منجم ، اسماعيل</w:t>
      </w:r>
    </w:p>
    <w:p>
      <w:pPr>
        <w:pStyle w:val="Heading2"/>
      </w:pPr>
      <w:bookmarkStart w:id="2192" w:name="_Toc1294"/>
      <w:r>
        <w:t>اسماعيلی</w:t>
      </w:r>
      <w:bookmarkEnd w:id="2192"/>
    </w:p>
    <w:p>
      <w:pPr>
        <w:pStyle w:val="BookText"/>
      </w:pPr>
      <w:r>
        <w:rPr>
          <w:rFonts w:ascii="Amiri" w:hAnsi="Amiri" w:eastAsia="Amiri" w:cs="Amiri"/>
          <w:lang w:bidi="ar-SA"/>
          <w:color w:val="111111"/>
          <w:sz w:val="28"/>
          <w:szCs w:val="28"/>
          <w:rtl/>
        </w:rPr>
        <w:t xml:space="preserve">اعتقاد الإسماعيلي، ج 2، ص 513</w:t>
      </w:r>
    </w:p>
    <w:p>
      <w:pPr>
        <w:pStyle w:val="Heading2"/>
      </w:pPr>
      <w:bookmarkStart w:id="2193" w:name="_Toc1295"/>
      <w:r>
        <w:t>اسمندي، محمّد بن عبد الحميد 488 -</w:t>
      </w:r>
      <w:bookmarkEnd w:id="2193"/>
    </w:p>
    <w:p>
      <w:pPr>
        <w:pStyle w:val="BookText"/>
      </w:pPr>
      <w:r>
        <w:rPr>
          <w:rFonts w:ascii="IRNazanin" w:hAnsi="IRNazanin" w:eastAsia="IRNazanin" w:cs="IRNazanin"/>
          <w:lang w:bidi="fa-IR"/>
          <w:color w:val="111111"/>
          <w:sz w:val="28"/>
          <w:szCs w:val="28"/>
          <w:rtl/>
        </w:rPr>
        <w:t xml:space="preserve">563؟ ه-</w:t>
      </w:r>
    </w:p>
    <w:p>
      <w:pPr>
        <w:pStyle w:val="BookText"/>
      </w:pPr>
      <w:r>
        <w:rPr>
          <w:rFonts w:ascii="Amiri" w:hAnsi="Amiri" w:eastAsia="Amiri" w:cs="Amiri"/>
          <w:lang w:bidi="ar-SA"/>
          <w:color w:val="111111"/>
          <w:sz w:val="28"/>
          <w:szCs w:val="28"/>
          <w:rtl/>
        </w:rPr>
        <w:t xml:space="preserve">1 .عون الدراية بشرح منظومة</w:t>
      </w:r>
    </w:p>
    <w:p>
      <w:pPr>
        <w:pStyle w:val="BookText"/>
      </w:pPr>
      <w:r>
        <w:rPr>
          <w:rFonts w:ascii="Amiri" w:hAnsi="Amiri" w:eastAsia="Amiri" w:cs="Amiri"/>
          <w:lang w:bidi="ar-SA"/>
          <w:color w:val="111111"/>
          <w:sz w:val="28"/>
          <w:szCs w:val="28"/>
          <w:rtl/>
        </w:rPr>
        <w:t xml:space="preserve">النسفي في الخلاف، ج11، ص 369.</w:t>
      </w:r>
    </w:p>
    <w:p>
      <w:pPr>
        <w:pStyle w:val="BookText"/>
      </w:pPr>
      <w:r>
        <w:rPr>
          <w:rFonts w:ascii="Amiri" w:hAnsi="Amiri" w:eastAsia="Amiri" w:cs="Amiri"/>
          <w:lang w:bidi="ar-SA"/>
          <w:color w:val="111111"/>
          <w:sz w:val="28"/>
          <w:szCs w:val="28"/>
          <w:rtl/>
        </w:rPr>
        <w:t xml:space="preserve">2 .مختلف الرواية، ج 14، ص 279.</w:t>
      </w:r>
    </w:p>
    <w:p>
      <w:pPr>
        <w:pStyle w:val="Heading2"/>
      </w:pPr>
      <w:bookmarkStart w:id="2194" w:name="_Toc1296"/>
      <w:r>
        <w:t>اسنوي، عبدالرحيم بن حسن، 704-772ه-</w:t>
      </w:r>
      <w:bookmarkEnd w:id="2194"/>
    </w:p>
    <w:p>
      <w:pPr>
        <w:pStyle w:val="BookText"/>
      </w:pPr>
      <w:r>
        <w:rPr>
          <w:rFonts w:ascii="Amiri" w:hAnsi="Amiri" w:eastAsia="Amiri" w:cs="Amiri"/>
          <w:lang w:bidi="ar-SA"/>
          <w:color w:val="111111"/>
          <w:sz w:val="28"/>
          <w:szCs w:val="28"/>
          <w:rtl/>
        </w:rPr>
        <w:t xml:space="preserve">1 .التمهيد في تنزيل الفروع على</w:t>
      </w:r>
    </w:p>
    <w:p>
      <w:pPr>
        <w:pStyle w:val="BookText"/>
      </w:pPr>
      <w:r>
        <w:rPr>
          <w:rFonts w:ascii="IRNazanin" w:hAnsi="IRNazanin" w:eastAsia="IRNazanin" w:cs="IRNazanin"/>
          <w:lang w:bidi="fa-IR"/>
          <w:color w:val="111111"/>
          <w:sz w:val="28"/>
          <w:szCs w:val="28"/>
          <w:rtl/>
        </w:rPr>
        <w:t xml:space="preserve">الاصول، ج 5، ص 3.</w:t>
      </w:r>
    </w:p>
    <w:p>
      <w:pPr>
        <w:pStyle w:val="BookText"/>
      </w:pPr>
      <w:r>
        <w:rPr>
          <w:rFonts w:ascii="Amiri" w:hAnsi="Amiri" w:eastAsia="Amiri" w:cs="Amiri"/>
          <w:lang w:bidi="ar-SA"/>
          <w:color w:val="111111"/>
          <w:sz w:val="28"/>
          <w:szCs w:val="28"/>
          <w:rtl/>
        </w:rPr>
        <w:t xml:space="preserve">2 .التنقيح فيما يرد على التصحيح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زوايد الاصول، ج8، ص 642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طبقات الشافعية، ج 10، ص 775.</w:t>
      </w:r>
    </w:p>
    <w:p>
      <w:pPr>
        <w:pStyle w:val="BookText"/>
      </w:pPr>
      <w:r>
        <w:rPr>
          <w:rFonts w:ascii="Amiri" w:hAnsi="Amiri" w:eastAsia="Amiri" w:cs="Amiri"/>
          <w:lang w:bidi="ar-SA"/>
          <w:color w:val="111111"/>
          <w:sz w:val="28"/>
          <w:szCs w:val="28"/>
          <w:rtl/>
        </w:rPr>
        <w:t xml:space="preserve">5.طراز المحافل في ألغاز المسائل</w:t>
      </w:r>
    </w:p>
    <w:p>
      <w:pPr>
        <w:pStyle w:val="BookText"/>
      </w:pPr>
      <w:r>
        <w:rPr>
          <w:rFonts w:ascii="IRNazanin" w:hAnsi="IRNazanin" w:eastAsia="IRNazanin" w:cs="IRNazanin"/>
          <w:lang w:bidi="fa-IR"/>
          <w:color w:val="111111"/>
          <w:sz w:val="28"/>
          <w:szCs w:val="28"/>
          <w:rtl/>
        </w:rPr>
        <w:t xml:space="preserve">ج 10، ص 808.</w:t>
      </w:r>
    </w:p>
    <w:p>
      <w:pPr>
        <w:pStyle w:val="BookText"/>
      </w:pPr>
      <w:r>
        <w:rPr>
          <w:rFonts w:ascii="Amiri" w:hAnsi="Amiri" w:eastAsia="Amiri" w:cs="Amiri"/>
          <w:lang w:bidi="ar-SA"/>
          <w:color w:val="111111"/>
          <w:sz w:val="28"/>
          <w:szCs w:val="28"/>
          <w:rtl/>
        </w:rPr>
        <w:t xml:space="preserve">6 .كافي المحتاج في شرح المنهاج، ج 13،</w:t>
      </w:r>
    </w:p>
    <w:p>
      <w:pPr>
        <w:pStyle w:val="BookText"/>
      </w:pPr>
      <w:r>
        <w:rPr>
          <w:rFonts w:ascii="IRNazanin" w:hAnsi="IRNazanin" w:eastAsia="IRNazanin" w:cs="IRNazanin"/>
          <w:lang w:bidi="fa-IR"/>
          <w:color w:val="111111"/>
          <w:sz w:val="28"/>
          <w:szCs w:val="28"/>
          <w:rtl/>
        </w:rPr>
        <w:t xml:space="preserve">ص 55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الكوكب الدري، ج 13، ص 469.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مطالع الدقائق في تحرير الجوامع و</w:t>
      </w:r>
    </w:p>
    <w:p>
      <w:pPr>
        <w:pStyle w:val="BookText"/>
      </w:pPr>
      <w:r>
        <w:rPr>
          <w:rFonts w:ascii="IRNazanin" w:hAnsi="IRNazanin" w:eastAsia="IRNazanin" w:cs="IRNazanin"/>
          <w:lang w:bidi="fa-IR"/>
          <w:color w:val="111111"/>
          <w:sz w:val="28"/>
          <w:szCs w:val="28"/>
          <w:rtl/>
        </w:rPr>
        <w:t xml:space="preserve">الفوارق، ج 14 ، ص 776 .</w:t>
      </w:r>
    </w:p>
    <w:p>
      <w:pPr>
        <w:pStyle w:val="BookText"/>
      </w:pPr>
      <w:r>
        <w:rPr>
          <w:rFonts w:ascii="Amiri" w:hAnsi="Amiri" w:eastAsia="Amiri" w:cs="Amiri"/>
          <w:lang w:bidi="ar-SA"/>
          <w:color w:val="111111"/>
          <w:sz w:val="28"/>
          <w:szCs w:val="28"/>
          <w:rtl/>
        </w:rPr>
        <w:t xml:space="preserve">9 .المهمات على الروضة = المبهمات على روضة الطالبين، ج 15 ، ص 849.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نهاية السؤول في شرح منهاج الوصول إلى علم الاصول، ج 16،</w:t>
      </w:r>
    </w:p>
    <w:p>
      <w:pPr>
        <w:pStyle w:val="BookText"/>
      </w:pPr>
      <w:r>
        <w:rPr>
          <w:rFonts w:ascii="IRNazanin" w:hAnsi="IRNazanin" w:eastAsia="IRNazanin" w:cs="IRNazanin"/>
          <w:lang w:bidi="fa-IR"/>
          <w:color w:val="111111"/>
          <w:sz w:val="28"/>
          <w:szCs w:val="28"/>
          <w:rtl/>
        </w:rPr>
        <w:t xml:space="preserve">ص 493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7742_69774"/>
    <w:bookmarkEnd w:id="195"/>
    <w:p>
      <w:pPr>
        <w:pStyle w:val="Heading2"/>
      </w:pPr>
      <w:bookmarkStart w:id="2195" w:name="_Toc1297"/>
      <w:r>
        <w:t>اسنوي ، محمّد بن حسن، 695 - 764 ه-</w:t>
      </w:r>
      <w:bookmarkEnd w:id="2195"/>
    </w:p>
    <w:p>
      <w:pPr>
        <w:pStyle w:val="BookText"/>
      </w:pPr>
      <w:r>
        <w:rPr>
          <w:rFonts w:ascii="Amiri" w:hAnsi="Amiri" w:eastAsia="Amiri" w:cs="Amiri"/>
          <w:lang w:bidi="ar-SA"/>
          <w:color w:val="111111"/>
          <w:sz w:val="28"/>
          <w:szCs w:val="28"/>
          <w:rtl/>
        </w:rPr>
        <w:t xml:space="preserve">اشبيلي، ابراهيم بن سهل ابن سهل</w:t>
      </w:r>
    </w:p>
    <w:p>
      <w:pPr>
        <w:pStyle w:val="BookText"/>
      </w:pPr>
      <w:r>
        <w:rPr>
          <w:rFonts w:ascii="Amiri" w:hAnsi="Amiri" w:eastAsia="Amiri" w:cs="Amiri"/>
          <w:lang w:bidi="ar-SA"/>
          <w:color w:val="111111"/>
          <w:sz w:val="28"/>
          <w:szCs w:val="28"/>
          <w:rtl/>
        </w:rPr>
        <w:t xml:space="preserve">1 .حياة القلوب في كيفية الوصول إلى ابراهيم بن سهل</w:t>
      </w:r>
    </w:p>
    <w:p>
      <w:pPr>
        <w:pStyle w:val="BookText"/>
      </w:pPr>
      <w:r>
        <w:rPr>
          <w:rFonts w:ascii="IRNazanin" w:hAnsi="IRNazanin" w:eastAsia="IRNazanin" w:cs="IRNazanin"/>
          <w:lang w:bidi="fa-IR"/>
          <w:color w:val="111111"/>
          <w:sz w:val="28"/>
          <w:szCs w:val="28"/>
          <w:rtl/>
        </w:rPr>
        <w:t xml:space="preserve">المحبوب، ج 6، ص 862.</w:t>
      </w:r>
    </w:p>
    <w:p>
      <w:pPr>
        <w:pStyle w:val="BookText"/>
      </w:pPr>
      <w:r>
        <w:rPr>
          <w:rFonts w:ascii="Amiri" w:hAnsi="Amiri" w:eastAsia="Amiri" w:cs="Amiri"/>
          <w:lang w:bidi="ar-SA"/>
          <w:color w:val="111111"/>
          <w:sz w:val="28"/>
          <w:szCs w:val="28"/>
          <w:rtl/>
        </w:rPr>
        <w:t xml:space="preserve">2 .حياة القلوب لما يزول به علل</w:t>
      </w:r>
    </w:p>
    <w:p>
      <w:pPr>
        <w:pStyle w:val="BookText"/>
      </w:pPr>
      <w:r>
        <w:rPr>
          <w:rFonts w:ascii="IRNazanin" w:hAnsi="IRNazanin" w:eastAsia="IRNazanin" w:cs="IRNazanin"/>
          <w:lang w:bidi="fa-IR"/>
          <w:color w:val="111111"/>
          <w:sz w:val="28"/>
          <w:szCs w:val="28"/>
          <w:rtl/>
        </w:rPr>
        <w:t xml:space="preserve">الجهل والذنوب، ج 6، ص 862.</w:t>
      </w:r>
    </w:p>
    <w:p>
      <w:pPr>
        <w:pStyle w:val="Heading2"/>
      </w:pPr>
      <w:bookmarkStart w:id="2196" w:name="_Toc1298"/>
      <w:r>
        <w:t>اسود ، حسن بن علاء الدين قرن 9 ه-</w:t>
      </w:r>
      <w:bookmarkEnd w:id="2196"/>
    </w:p>
    <w:p>
      <w:pPr>
        <w:pStyle w:val="BookText"/>
      </w:pPr>
      <w:r>
        <w:rPr>
          <w:rFonts w:ascii="Amiri" w:hAnsi="Amiri" w:eastAsia="Amiri" w:cs="Amiri"/>
          <w:lang w:bidi="ar-SA"/>
          <w:color w:val="111111"/>
          <w:sz w:val="28"/>
          <w:szCs w:val="28"/>
          <w:rtl/>
        </w:rPr>
        <w:t xml:space="preserve">1 .الافتتاح في شرح المصباح، ج 2،</w:t>
      </w:r>
    </w:p>
    <w:p>
      <w:pPr>
        <w:pStyle w:val="BookText"/>
      </w:pPr>
      <w:r>
        <w:rPr>
          <w:rFonts w:ascii="IRNazanin" w:hAnsi="IRNazanin" w:eastAsia="IRNazanin" w:cs="IRNazanin"/>
          <w:lang w:bidi="fa-IR"/>
          <w:color w:val="111111"/>
          <w:sz w:val="28"/>
          <w:szCs w:val="28"/>
          <w:rtl/>
        </w:rPr>
        <w:t xml:space="preserve">ص 590.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المفراح في شرح مراح الارواح، ج 15</w:t>
      </w:r>
    </w:p>
    <w:p>
      <w:pPr>
        <w:pStyle w:val="BookText"/>
      </w:pPr>
      <w:r>
        <w:rPr>
          <w:rFonts w:ascii="IRNazanin" w:hAnsi="IRNazanin" w:eastAsia="IRNazanin" w:cs="IRNazanin"/>
          <w:lang w:bidi="fa-IR"/>
          <w:color w:val="111111"/>
          <w:sz w:val="28"/>
          <w:szCs w:val="28"/>
          <w:rtl/>
        </w:rPr>
        <w:t xml:space="preserve">ص 236 .</w:t>
      </w:r>
    </w:p>
    <w:p>
      <w:pPr>
        <w:pStyle w:val="Heading2"/>
      </w:pPr>
      <w:bookmarkStart w:id="2197" w:name="_Toc1299"/>
      <w:r>
        <w:t>اسود غندجاني ، حسن بن احمد - 428 ه-</w:t>
      </w:r>
      <w:bookmarkEnd w:id="2197"/>
    </w:p>
    <w:p>
      <w:pPr>
        <w:pStyle w:val="BookText"/>
      </w:pPr>
      <w:r>
        <w:rPr>
          <w:rFonts w:ascii="Amiri" w:hAnsi="Amiri" w:eastAsia="Amiri" w:cs="Amiri"/>
          <w:lang w:bidi="ar-SA"/>
          <w:color w:val="111111"/>
          <w:sz w:val="28"/>
          <w:szCs w:val="28"/>
          <w:rtl/>
        </w:rPr>
        <w:t xml:space="preserve">أسماء خيل العرب و أنسابها وذكر</w:t>
      </w:r>
    </w:p>
    <w:p>
      <w:pPr>
        <w:pStyle w:val="BookText"/>
      </w:pPr>
      <w:r>
        <w:rPr>
          <w:rFonts w:ascii="IRNazanin" w:hAnsi="IRNazanin" w:eastAsia="IRNazanin" w:cs="IRNazanin"/>
          <w:lang w:bidi="fa-IR"/>
          <w:color w:val="111111"/>
          <w:sz w:val="28"/>
          <w:szCs w:val="28"/>
          <w:rtl/>
        </w:rPr>
        <w:t xml:space="preserve">فرسانها، ج 2، ص218</w:t>
      </w:r>
    </w:p>
    <w:p>
      <w:pPr>
        <w:pStyle w:val="Heading2"/>
      </w:pPr>
      <w:bookmarkStart w:id="2198" w:name="_Toc1300"/>
      <w:r>
        <w:t>اسيري زاده ، عبدالباقي بن محمّد</w:t>
      </w:r>
      <w:bookmarkEnd w:id="2198"/>
    </w:p>
    <w:p>
      <w:pPr>
        <w:pStyle w:val="BookText"/>
      </w:pPr>
      <w:r>
        <w:rPr>
          <w:rFonts w:ascii="IRNazanin" w:hAnsi="IRNazanin" w:eastAsia="IRNazanin" w:cs="IRNazanin"/>
          <w:lang w:bidi="fa-IR"/>
          <w:color w:val="111111"/>
          <w:sz w:val="28"/>
          <w:szCs w:val="28"/>
          <w:rtl/>
        </w:rPr>
        <w:t xml:space="preserve">1160؟ ه-</w:t>
      </w:r>
    </w:p>
    <w:p>
      <w:pPr>
        <w:pStyle w:val="BookText"/>
      </w:pPr>
      <w:r>
        <w:rPr>
          <w:rFonts w:ascii="Amiri" w:hAnsi="Amiri" w:eastAsia="Amiri" w:cs="Amiri"/>
          <w:lang w:bidi="ar-SA"/>
          <w:color w:val="111111"/>
          <w:sz w:val="28"/>
          <w:szCs w:val="28"/>
          <w:rtl/>
        </w:rPr>
        <w:t xml:space="preserve">ميزان المدعيين في اقامة البينتين</w:t>
      </w:r>
    </w:p>
    <w:p>
      <w:pPr>
        <w:pStyle w:val="BookText"/>
      </w:pPr>
      <w:r>
        <w:rPr>
          <w:rFonts w:ascii="IRNazanin" w:hAnsi="IRNazanin" w:eastAsia="IRNazanin" w:cs="IRNazanin"/>
          <w:lang w:bidi="fa-IR"/>
          <w:color w:val="111111"/>
          <w:sz w:val="28"/>
          <w:szCs w:val="28"/>
          <w:rtl/>
        </w:rPr>
        <w:t xml:space="preserve">ج 16 ، ص 74 .</w:t>
      </w:r>
    </w:p>
    <w:p>
      <w:pPr>
        <w:pStyle w:val="BookText"/>
      </w:pPr>
      <w:r>
        <w:rPr>
          <w:rFonts w:ascii="Amiri" w:hAnsi="Amiri" w:eastAsia="Amiri" w:cs="Amiri"/>
          <w:lang w:bidi="ar-SA"/>
          <w:color w:val="111111"/>
          <w:sz w:val="28"/>
          <w:szCs w:val="28"/>
          <w:rtl/>
        </w:rPr>
        <w:t xml:space="preserve">اسيري لاهيجي ، محمّد بن يحيى - لاهيجي ، محمّد بن يحيى</w:t>
      </w:r>
    </w:p>
    <w:p>
      <w:pPr>
        <w:pStyle w:val="Heading2"/>
      </w:pPr>
      <w:bookmarkStart w:id="2199" w:name="_Toc1301"/>
      <w:r>
        <w:t>اسيري ، محمّد بن يوسف، - 1194 ه-</w:t>
      </w:r>
      <w:bookmarkEnd w:id="2199"/>
    </w:p>
    <w:p>
      <w:pPr>
        <w:pStyle w:val="BookText"/>
      </w:pPr>
      <w:r>
        <w:rPr>
          <w:rFonts w:ascii="Amiri" w:hAnsi="Amiri" w:eastAsia="Amiri" w:cs="Amiri"/>
          <w:lang w:bidi="ar-SA"/>
          <w:color w:val="111111"/>
          <w:sz w:val="28"/>
          <w:szCs w:val="28"/>
          <w:rtl/>
        </w:rPr>
        <w:t xml:space="preserve">مسالة كسب الافعال الاختيارية (رسالة في)، ج 14، ص 546.</w:t>
      </w:r>
    </w:p>
    <w:p>
      <w:pPr>
        <w:pStyle w:val="Heading2"/>
      </w:pPr>
      <w:bookmarkStart w:id="2200" w:name="_Toc1302"/>
      <w:r>
        <w:t>اسيوطي ، علي</w:t>
      </w:r>
      <w:bookmarkEnd w:id="2200"/>
    </w:p>
    <w:p>
      <w:pPr>
        <w:pStyle w:val="BookText"/>
      </w:pPr>
      <w:r>
        <w:rPr>
          <w:rFonts w:ascii="Amiri" w:hAnsi="Amiri" w:eastAsia="Amiri" w:cs="Amiri"/>
          <w:lang w:bidi="ar-SA"/>
          <w:color w:val="111111"/>
          <w:sz w:val="28"/>
          <w:szCs w:val="28"/>
          <w:rtl/>
        </w:rPr>
        <w:t xml:space="preserve">فقهاء الحنفية، ج 12، ص89.</w:t>
      </w:r>
    </w:p>
    <w:p>
      <w:pPr>
        <w:pStyle w:val="Heading2"/>
      </w:pPr>
      <w:bookmarkStart w:id="2201" w:name="_Toc1303"/>
      <w:r>
        <w:t>اشبيلي ، احمد بن فرح 625 - 699 ه-</w:t>
      </w:r>
      <w:bookmarkEnd w:id="2201"/>
    </w:p>
    <w:p>
      <w:pPr>
        <w:pStyle w:val="BookText"/>
      </w:pPr>
      <w:r>
        <w:rPr>
          <w:rFonts w:ascii="Amiri" w:hAnsi="Amiri" w:eastAsia="Amiri" w:cs="Amiri"/>
          <w:lang w:bidi="ar-SA"/>
          <w:color w:val="111111"/>
          <w:sz w:val="28"/>
          <w:szCs w:val="28"/>
          <w:rtl/>
        </w:rPr>
        <w:t xml:space="preserve">شرح الاربعين النووية، ج9، ص174.</w:t>
      </w:r>
    </w:p>
    <w:p>
      <w:pPr>
        <w:pStyle w:val="Heading2"/>
      </w:pPr>
      <w:bookmarkStart w:id="2202" w:name="_Toc1304"/>
      <w:r>
        <w:t>اشتهاردي ، علي احمد بن اسماعيل</w:t>
      </w:r>
      <w:bookmarkEnd w:id="2202"/>
    </w:p>
    <w:p>
      <w:pPr>
        <w:pStyle w:val="BookText"/>
      </w:pPr>
      <w:r>
        <w:rPr>
          <w:rFonts w:ascii="IRNazanin" w:hAnsi="IRNazanin" w:eastAsia="IRNazanin" w:cs="IRNazanin"/>
          <w:lang w:bidi="fa-IR"/>
          <w:color w:val="111111"/>
          <w:sz w:val="28"/>
          <w:szCs w:val="28"/>
          <w:rtl/>
        </w:rPr>
        <w:t xml:space="preserve">اصول الفقه، ج 2، ص 441.</w:t>
      </w:r>
    </w:p>
    <w:p>
      <w:pPr>
        <w:pStyle w:val="BookText"/>
      </w:pPr>
      <w:r>
        <w:rPr>
          <w:rFonts w:ascii="Amiri" w:hAnsi="Amiri" w:eastAsia="Amiri" w:cs="Amiri"/>
          <w:lang w:bidi="ar-SA"/>
          <w:color w:val="111111"/>
          <w:sz w:val="28"/>
          <w:szCs w:val="28"/>
          <w:rtl/>
        </w:rPr>
        <w:t xml:space="preserve">اشبيلي ، عيسى بن احمد- لخمي اشبيلي</w:t>
      </w:r>
    </w:p>
    <w:p>
      <w:pPr>
        <w:pStyle w:val="BookText"/>
      </w:pPr>
      <w:r>
        <w:rPr>
          <w:rFonts w:ascii="IRNazanin" w:hAnsi="IRNazanin" w:eastAsia="IRNazanin" w:cs="IRNazanin"/>
          <w:lang w:bidi="fa-IR"/>
          <w:color w:val="111111"/>
          <w:sz w:val="28"/>
          <w:szCs w:val="28"/>
          <w:rtl/>
        </w:rPr>
        <w:t xml:space="preserve">عیسی بن احمد</w:t>
      </w:r>
    </w:p>
    <w:p>
      <w:pPr>
        <w:pStyle w:val="Heading2"/>
      </w:pPr>
      <w:bookmarkStart w:id="2203" w:name="_Toc1305"/>
      <w:r>
        <w:t>اشج ، عبدالله بن سعيد - 257 ه-</w:t>
      </w:r>
      <w:bookmarkEnd w:id="2203"/>
    </w:p>
    <w:p>
      <w:pPr>
        <w:pStyle w:val="BookText"/>
      </w:pPr>
      <w:r>
        <w:rPr>
          <w:rFonts w:ascii="Amiri" w:hAnsi="Amiri" w:eastAsia="Amiri" w:cs="Amiri"/>
          <w:lang w:bidi="ar-SA"/>
          <w:color w:val="111111"/>
          <w:sz w:val="28"/>
          <w:szCs w:val="28"/>
          <w:rtl/>
        </w:rPr>
        <w:t xml:space="preserve">الاحاديث، ج 1، ص388.</w:t>
      </w:r>
    </w:p>
    <w:p>
      <w:pPr>
        <w:pStyle w:val="BookText"/>
      </w:pPr>
      <w:r>
        <w:rPr>
          <w:rFonts w:ascii="IRNazanin" w:hAnsi="IRNazanin" w:eastAsia="IRNazanin" w:cs="IRNazanin"/>
          <w:lang w:bidi="fa-IR"/>
          <w:color w:val="111111"/>
          <w:sz w:val="28"/>
          <w:szCs w:val="28"/>
          <w:rtl/>
        </w:rPr>
        <w:t xml:space="preserve">اشراق اصفهاني ، مير محمّد باقر داماد -میرداماد ، محمّد باقر بن محمّد</w:t>
      </w:r>
    </w:p>
    <w:p>
      <w:pPr>
        <w:pStyle w:val="BookText"/>
      </w:pPr>
      <w:r>
        <w:rPr>
          <w:rFonts w:ascii="Amiri" w:hAnsi="Amiri" w:eastAsia="Amiri" w:cs="Amiri"/>
          <w:lang w:bidi="ar-SA"/>
          <w:color w:val="111111"/>
          <w:sz w:val="28"/>
          <w:szCs w:val="28"/>
          <w:rtl/>
        </w:rPr>
        <w:t xml:space="preserve">اشرف الحسيني الكازروني - حسيني</w:t>
      </w:r>
    </w:p>
    <w:p>
      <w:pPr>
        <w:pStyle w:val="BookText"/>
      </w:pPr>
      <w:r>
        <w:rPr>
          <w:rFonts w:ascii="Amiri" w:hAnsi="Amiri" w:eastAsia="Amiri" w:cs="Amiri"/>
          <w:lang w:bidi="ar-SA"/>
          <w:color w:val="111111"/>
          <w:sz w:val="28"/>
          <w:szCs w:val="28"/>
          <w:rtl/>
        </w:rPr>
        <w:t xml:space="preserve">كازروني ، اشرف</w:t>
      </w:r>
    </w:p>
    <w:p>
      <w:pPr>
        <w:pStyle w:val="Heading2"/>
      </w:pPr>
      <w:bookmarkStart w:id="2204" w:name="_Toc1306"/>
      <w:r>
        <w:t>اشرف الرسولي ، عمر بن يوسف -696ه-</w:t>
      </w:r>
      <w:bookmarkEnd w:id="2204"/>
    </w:p>
    <w:p>
      <w:pPr>
        <w:pStyle w:val="BookText"/>
      </w:pPr>
      <w:r>
        <w:rPr>
          <w:rFonts w:ascii="Amiri" w:hAnsi="Amiri" w:eastAsia="Amiri" w:cs="Amiri"/>
          <w:lang w:bidi="ar-SA"/>
          <w:color w:val="111111"/>
          <w:sz w:val="28"/>
          <w:szCs w:val="28"/>
          <w:rtl/>
        </w:rPr>
        <w:t xml:space="preserve">1 .المغني في البيطرة ، ج 15 ، ص 122.</w:t>
      </w:r>
    </w:p>
    <w:p>
      <w:pPr>
        <w:pStyle w:val="BookText"/>
      </w:pPr>
      <w:r>
        <w:rPr>
          <w:rFonts w:ascii="Amiri" w:hAnsi="Amiri" w:eastAsia="Amiri" w:cs="Amiri"/>
          <w:lang w:bidi="ar-SA"/>
          <w:color w:val="111111"/>
          <w:sz w:val="28"/>
          <w:szCs w:val="28"/>
          <w:rtl/>
        </w:rPr>
        <w:t xml:space="preserve">2 .منهج الطلاب في عمل الاسطرلاب</w:t>
      </w:r>
    </w:p>
    <w:p>
      <w:pPr>
        <w:pStyle w:val="BookText"/>
      </w:pPr>
      <w:r>
        <w:rPr>
          <w:rFonts w:ascii="IRNazanin" w:hAnsi="IRNazanin" w:eastAsia="IRNazanin" w:cs="IRNazanin"/>
          <w:lang w:bidi="fa-IR"/>
          <w:color w:val="111111"/>
          <w:sz w:val="28"/>
          <w:szCs w:val="28"/>
          <w:rtl/>
        </w:rPr>
        <w:t xml:space="preserve">ج 15، ص 804.</w:t>
      </w:r>
    </w:p>
    <w:p>
      <w:pPr>
        <w:pStyle w:val="BookText"/>
      </w:pPr>
      <w:r>
        <w:rPr>
          <w:rFonts w:ascii="Amiri" w:hAnsi="Amiri" w:eastAsia="Amiri" w:cs="Amiri"/>
          <w:lang w:bidi="ar-SA"/>
          <w:color w:val="111111"/>
          <w:sz w:val="28"/>
          <w:szCs w:val="28"/>
          <w:rtl/>
        </w:rPr>
        <w:t xml:space="preserve">اشرف بن محمّد رازي رازي ، اشرف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اشرف بن محمّد صادق حسيني</w:t>
      </w:r>
    </w:p>
    <w:p>
      <w:pPr>
        <w:pStyle w:val="BookText"/>
      </w:pPr>
      <w:r>
        <w:rPr>
          <w:rFonts w:ascii="IRNazanin" w:hAnsi="IRNazanin" w:eastAsia="IRNazanin" w:cs="IRNazanin"/>
          <w:lang w:bidi="fa-IR"/>
          <w:color w:val="111111"/>
          <w:sz w:val="28"/>
          <w:szCs w:val="28"/>
          <w:rtl/>
        </w:rPr>
        <w:t xml:space="preserve">خادم حسيني خادم ، معین الدین اشرف بن</w:t>
      </w:r>
    </w:p>
    <w:p>
      <w:pPr>
        <w:pStyle w:val="BookText"/>
      </w:pPr>
      <w:r>
        <w:rPr>
          <w:rFonts w:ascii="Amiri" w:hAnsi="Amiri" w:eastAsia="Amiri" w:cs="Amiri"/>
          <w:lang w:bidi="ar-SA"/>
          <w:color w:val="111111"/>
          <w:sz w:val="28"/>
          <w:szCs w:val="28"/>
          <w:rtl/>
        </w:rPr>
        <w:t xml:space="preserve">محمّد صادق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6" w:name="pg7742_69776"/>
    <w:bookmarkEnd w:id="196"/>
    <w:p>
      <w:pPr>
        <w:pStyle w:val="Heading2"/>
      </w:pPr>
      <w:bookmarkStart w:id="2205" w:name="_Toc1307"/>
      <w:r>
        <w:t>اشرف زاده</w:t>
      </w:r>
      <w:bookmarkEnd w:id="2205"/>
    </w:p>
    <w:p>
      <w:pPr>
        <w:pStyle w:val="BookText"/>
      </w:pPr>
      <w:r>
        <w:rPr>
          <w:rFonts w:ascii="Amiri" w:hAnsi="Amiri" w:eastAsia="Amiri" w:cs="Amiri"/>
          <w:lang w:bidi="ar-SA"/>
          <w:color w:val="111111"/>
          <w:sz w:val="28"/>
          <w:szCs w:val="28"/>
          <w:rtl/>
        </w:rPr>
        <w:t xml:space="preserve">مزكي النفوس، ج 14، ص 424.</w:t>
      </w:r>
    </w:p>
    <w:p>
      <w:pPr>
        <w:pStyle w:val="Heading2"/>
      </w:pPr>
      <w:bookmarkStart w:id="2206" w:name="_Toc1308"/>
      <w:r>
        <w:t>اشرفي جرجاني ، عبد الحي بن عبدالوهاب</w:t>
      </w:r>
      <w:bookmarkEnd w:id="22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959؟ ه-</w:t>
      </w:r>
    </w:p>
    <w:p>
      <w:pPr>
        <w:pStyle w:val="BookText"/>
      </w:pPr>
      <w:r>
        <w:rPr>
          <w:rFonts w:ascii="Amiri" w:hAnsi="Amiri" w:eastAsia="Amiri" w:cs="Amiri"/>
          <w:lang w:bidi="ar-SA"/>
          <w:color w:val="111111"/>
          <w:sz w:val="28"/>
          <w:szCs w:val="28"/>
          <w:rtl/>
        </w:rPr>
        <w:t xml:space="preserve">1 .حاشية حاشية الجرجاني على تحرير القواعد المنطقية = الحاشية على مبحث تمام المشترك، ج ،</w:t>
      </w:r>
    </w:p>
    <w:p>
      <w:pPr>
        <w:pStyle w:val="BookText"/>
      </w:pPr>
      <w:r>
        <w:rPr>
          <w:rFonts w:ascii="IRNazanin" w:hAnsi="IRNazanin" w:eastAsia="IRNazanin" w:cs="IRNazanin"/>
          <w:lang w:bidi="fa-IR"/>
          <w:color w:val="111111"/>
          <w:sz w:val="28"/>
          <w:szCs w:val="28"/>
          <w:rtl/>
        </w:rPr>
        <w:t xml:space="preserve">ص 785</w:t>
      </w:r>
    </w:p>
    <w:p>
      <w:pPr>
        <w:pStyle w:val="BookText"/>
      </w:pPr>
      <w:r>
        <w:rPr>
          <w:rFonts w:ascii="Amiri" w:hAnsi="Amiri" w:eastAsia="Amiri" w:cs="Amiri"/>
          <w:lang w:bidi="ar-SA"/>
          <w:color w:val="111111"/>
          <w:sz w:val="28"/>
          <w:szCs w:val="28"/>
          <w:rtl/>
        </w:rPr>
        <w:t xml:space="preserve">2 .حاشية على التصورات ج6،</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تهذيب المنطق، ج9، ص 351.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مكارم الاخلاق (ترجمه)، ج 15،</w:t>
      </w:r>
    </w:p>
    <w:p>
      <w:pPr>
        <w:pStyle w:val="BookText"/>
      </w:pPr>
      <w:r>
        <w:rPr>
          <w:rFonts w:ascii="IRNazanin" w:hAnsi="IRNazanin" w:eastAsia="IRNazanin" w:cs="IRNazanin"/>
          <w:lang w:bidi="fa-IR"/>
          <w:color w:val="111111"/>
          <w:sz w:val="28"/>
          <w:szCs w:val="28"/>
          <w:rtl/>
        </w:rPr>
        <w:t xml:space="preserve">ص 411.</w:t>
      </w:r>
    </w:p>
    <w:p>
      <w:pPr>
        <w:pStyle w:val="Heading2"/>
      </w:pPr>
      <w:bookmarkStart w:id="2207" w:name="_Toc1309"/>
      <w:r>
        <w:t>اشرفي ، خليل</w:t>
      </w:r>
      <w:bookmarkEnd w:id="2207"/>
    </w:p>
    <w:p>
      <w:pPr>
        <w:pStyle w:val="BookText"/>
      </w:pPr>
      <w:r>
        <w:rPr>
          <w:rFonts w:ascii="Amiri" w:hAnsi="Amiri" w:eastAsia="Amiri" w:cs="Amiri"/>
          <w:lang w:bidi="ar-SA"/>
          <w:color w:val="111111"/>
          <w:sz w:val="28"/>
          <w:szCs w:val="28"/>
          <w:rtl/>
        </w:rPr>
        <w:t xml:space="preserve">بلوغ المراد من فضل سيد العباد في</w:t>
      </w:r>
    </w:p>
    <w:p>
      <w:pPr>
        <w:pStyle w:val="BookText"/>
      </w:pPr>
      <w:r>
        <w:rPr>
          <w:rFonts w:ascii="Amiri" w:hAnsi="Amiri" w:eastAsia="Amiri" w:cs="Amiri"/>
          <w:lang w:bidi="ar-SA"/>
          <w:color w:val="111111"/>
          <w:sz w:val="28"/>
          <w:szCs w:val="28"/>
          <w:rtl/>
        </w:rPr>
        <w:t xml:space="preserve">تخميس بانت سعاد، ج 3، ص 401.</w:t>
      </w:r>
    </w:p>
    <w:p>
      <w:pPr>
        <w:pStyle w:val="Heading2"/>
      </w:pPr>
      <w:bookmarkStart w:id="2208" w:name="_Toc1310"/>
      <w:r>
        <w:t>اشرفي ، شهاب الدین احمد - 875 ه-</w:t>
      </w:r>
      <w:bookmarkEnd w:id="2208"/>
    </w:p>
    <w:p>
      <w:pPr>
        <w:pStyle w:val="BookText"/>
      </w:pPr>
      <w:r>
        <w:rPr>
          <w:rFonts w:ascii="Amiri" w:hAnsi="Amiri" w:eastAsia="Amiri" w:cs="Amiri"/>
          <w:lang w:bidi="ar-SA"/>
          <w:color w:val="111111"/>
          <w:sz w:val="28"/>
          <w:szCs w:val="28"/>
          <w:rtl/>
        </w:rPr>
        <w:t xml:space="preserve">البرهان في فضل السلطان، ج3،</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Amiri" w:hAnsi="Amiri" w:eastAsia="Amiri" w:cs="Amiri"/>
          <w:lang w:bidi="ar-SA"/>
          <w:color w:val="111111"/>
          <w:sz w:val="28"/>
          <w:szCs w:val="28"/>
          <w:rtl/>
        </w:rPr>
        <w:t xml:space="preserve">اشرفي ، محمّد بن خاص بك التحف والظرف، ج 4، ص 41.</w:t>
      </w:r>
    </w:p>
    <w:p>
      <w:pPr>
        <w:pStyle w:val="Heading2"/>
      </w:pPr>
      <w:bookmarkStart w:id="2209" w:name="_Toc1311"/>
      <w:r>
        <w:t>اشرفي ، محمّد بن محمّد مهدي، 1215 -</w:t>
      </w:r>
      <w:bookmarkEnd w:id="2209"/>
    </w:p>
    <w:p>
      <w:pPr>
        <w:pStyle w:val="BookText"/>
      </w:pPr>
      <w:r>
        <w:rPr>
          <w:rFonts w:ascii="IRNazanin" w:hAnsi="IRNazanin" w:eastAsia="IRNazanin" w:cs="IRNazanin"/>
          <w:lang w:bidi="fa-IR"/>
          <w:color w:val="111111"/>
          <w:sz w:val="28"/>
          <w:szCs w:val="28"/>
          <w:rtl/>
        </w:rPr>
        <w:t xml:space="preserve">1315 ه-</w:t>
      </w:r>
    </w:p>
    <w:p>
      <w:pPr>
        <w:pStyle w:val="BookText"/>
      </w:pPr>
      <w:r>
        <w:rPr>
          <w:rFonts w:ascii="IRNazanin" w:hAnsi="IRNazanin" w:eastAsia="IRNazanin" w:cs="IRNazanin"/>
          <w:lang w:bidi="fa-IR"/>
          <w:color w:val="111111"/>
          <w:sz w:val="28"/>
          <w:szCs w:val="28"/>
          <w:rtl/>
        </w:rPr>
        <w:t xml:space="preserve">اجتهاد و تقلید، ج 1، ص 304.</w:t>
      </w:r>
    </w:p>
    <w:p>
      <w:pPr>
        <w:pStyle w:val="BookText"/>
      </w:pPr>
      <w:r>
        <w:rPr>
          <w:rFonts w:ascii="Amiri" w:hAnsi="Amiri" w:eastAsia="Amiri" w:cs="Amiri"/>
          <w:lang w:bidi="ar-SA"/>
          <w:color w:val="111111"/>
          <w:sz w:val="28"/>
          <w:szCs w:val="28"/>
          <w:rtl/>
        </w:rPr>
        <w:t xml:space="preserve">اشرفي ملكي -طيبغا ، اشرفي</w:t>
      </w:r>
    </w:p>
    <w:p>
      <w:pPr>
        <w:pStyle w:val="BookText"/>
      </w:pPr>
      <w:r>
        <w:rPr>
          <w:rFonts w:ascii="Amiri" w:hAnsi="Amiri" w:eastAsia="Amiri" w:cs="Amiri"/>
          <w:lang w:bidi="ar-SA"/>
          <w:color w:val="111111"/>
          <w:sz w:val="28"/>
          <w:szCs w:val="28"/>
          <w:rtl/>
        </w:rPr>
        <w:t xml:space="preserve">اسنوي ، محمّد بن حسن - اشكوري</w:t>
      </w:r>
    </w:p>
    <w:p>
      <w:pPr>
        <w:pStyle w:val="BookText"/>
      </w:pPr>
      <w:r>
        <w:rPr>
          <w:rFonts w:ascii="Times New Roman" w:hAnsi="Times New Roman" w:eastAsia="Times New Roman" w:cs="Times New Roman"/>
          <w:lang w:val="en-US" w:bidi="en-US"/>
          <w:color w:val="111111"/>
          <w:sz w:val="28"/>
          <w:szCs w:val="28"/>
          <w:rtl/>
        </w:rPr>
        <w:t xml:space="preserve">227</w:t>
      </w:r>
    </w:p>
    <w:p>
      <w:pPr>
        <w:pStyle w:val="Heading2"/>
      </w:pPr>
      <w:bookmarkStart w:id="2210" w:name="_Toc1312"/>
      <w:r>
        <w:t>اشعري ، احمد بن عثمان</w:t>
      </w:r>
      <w:bookmarkEnd w:id="2210"/>
    </w:p>
    <w:p>
      <w:pPr>
        <w:pStyle w:val="BookText"/>
      </w:pPr>
      <w:r>
        <w:rPr>
          <w:rFonts w:ascii="Amiri" w:hAnsi="Amiri" w:eastAsia="Amiri" w:cs="Amiri"/>
          <w:lang w:bidi="ar-SA"/>
          <w:color w:val="111111"/>
          <w:sz w:val="28"/>
          <w:szCs w:val="28"/>
          <w:rtl/>
        </w:rPr>
        <w:t xml:space="preserve">حياة الفؤاد في حل ألفاظ العباد، ج 6 ،</w:t>
      </w:r>
    </w:p>
    <w:p>
      <w:pPr>
        <w:pStyle w:val="BookText"/>
      </w:pPr>
      <w:r>
        <w:rPr>
          <w:rFonts w:ascii="IRNazanin" w:hAnsi="IRNazanin" w:eastAsia="IRNazanin" w:cs="IRNazanin"/>
          <w:lang w:bidi="fa-IR"/>
          <w:color w:val="111111"/>
          <w:sz w:val="28"/>
          <w:szCs w:val="28"/>
          <w:rtl/>
        </w:rPr>
        <w:t xml:space="preserve">ص 859</w:t>
      </w:r>
    </w:p>
    <w:p>
      <w:pPr>
        <w:pStyle w:val="Heading2"/>
      </w:pPr>
      <w:bookmarkStart w:id="2211" w:name="_Toc1313"/>
      <w:r>
        <w:t>اشعري ، احمد بن عيسى قرن 3 ه-</w:t>
      </w:r>
      <w:bookmarkEnd w:id="2211"/>
    </w:p>
    <w:p>
      <w:pPr>
        <w:pStyle w:val="BookText"/>
      </w:pPr>
      <w:r>
        <w:rPr>
          <w:rFonts w:ascii="IRNazanin" w:hAnsi="IRNazanin" w:eastAsia="IRNazanin" w:cs="IRNazanin"/>
          <w:lang w:bidi="fa-IR"/>
          <w:color w:val="111111"/>
          <w:sz w:val="28"/>
          <w:szCs w:val="28"/>
          <w:rtl/>
        </w:rPr>
        <w:t xml:space="preserve">النوادر، ج 16، ص 537.</w:t>
      </w:r>
    </w:p>
    <w:p>
      <w:pPr>
        <w:pStyle w:val="Heading2"/>
      </w:pPr>
      <w:bookmarkStart w:id="2212" w:name="_Toc1314"/>
      <w:r>
        <w:t>اشعري ، احمد بن محمّد - 550 ؟ ه-</w:t>
      </w:r>
      <w:bookmarkEnd w:id="22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التفاحة في علم المساحة، جع،</w:t>
      </w:r>
    </w:p>
    <w:p>
      <w:pPr>
        <w:pStyle w:val="BookText"/>
      </w:pPr>
      <w:r>
        <w:rPr>
          <w:rFonts w:ascii="IRNazanin" w:hAnsi="IRNazanin" w:eastAsia="IRNazanin" w:cs="IRNazanin"/>
          <w:lang w:bidi="fa-IR"/>
          <w:color w:val="111111"/>
          <w:sz w:val="28"/>
          <w:szCs w:val="28"/>
          <w:rtl/>
        </w:rPr>
        <w:t xml:space="preserve">ص 565.</w:t>
      </w:r>
    </w:p>
    <w:p>
      <w:pPr>
        <w:pStyle w:val="BookText"/>
      </w:pPr>
      <w:r>
        <w:rPr>
          <w:rFonts w:ascii="Amiri" w:hAnsi="Amiri" w:eastAsia="Amiri" w:cs="Amiri"/>
          <w:lang w:bidi="ar-SA"/>
          <w:color w:val="111111"/>
          <w:sz w:val="28"/>
          <w:szCs w:val="28"/>
          <w:rtl/>
        </w:rPr>
        <w:t xml:space="preserve">2 .لب اللباب و نزهة الاحباب، ج13،</w:t>
      </w:r>
    </w:p>
    <w:p>
      <w:pPr>
        <w:pStyle w:val="BookText"/>
      </w:pPr>
      <w:r>
        <w:rPr>
          <w:rFonts w:ascii="IRNazanin" w:hAnsi="IRNazanin" w:eastAsia="IRNazanin" w:cs="IRNazanin"/>
          <w:lang w:bidi="fa-IR"/>
          <w:color w:val="111111"/>
          <w:sz w:val="28"/>
          <w:szCs w:val="28"/>
          <w:rtl/>
        </w:rPr>
        <w:t xml:space="preserve">ص 563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نوادر الاشعري، ج 16، ص 541.</w:t>
      </w:r>
    </w:p>
    <w:p>
      <w:pPr>
        <w:pStyle w:val="Heading2"/>
      </w:pPr>
      <w:bookmarkStart w:id="2213" w:name="_Toc1315"/>
      <w:r>
        <w:t>اشعري ، علي بن اسماعيل، 260 - 324 ه-</w:t>
      </w:r>
      <w:bookmarkEnd w:id="2213"/>
    </w:p>
    <w:p>
      <w:pPr>
        <w:pStyle w:val="BookText"/>
      </w:pPr>
      <w:r>
        <w:rPr>
          <w:rFonts w:ascii="Amiri" w:hAnsi="Amiri" w:eastAsia="Amiri" w:cs="Amiri"/>
          <w:lang w:bidi="ar-SA"/>
          <w:color w:val="111111"/>
          <w:sz w:val="28"/>
          <w:szCs w:val="28"/>
          <w:rtl/>
        </w:rPr>
        <w:t xml:space="preserve">1 .إبانة عن وصول الديانة، ج1،</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Amiri" w:hAnsi="Amiri" w:eastAsia="Amiri" w:cs="Amiri"/>
          <w:lang w:bidi="ar-SA"/>
          <w:color w:val="111111"/>
          <w:sz w:val="28"/>
          <w:szCs w:val="28"/>
          <w:rtl/>
        </w:rPr>
        <w:t xml:space="preserve">2 .الكلام على البسملة و الحمدلة</w:t>
      </w:r>
    </w:p>
    <w:p>
      <w:pPr>
        <w:pStyle w:val="BookText"/>
      </w:pPr>
      <w:r>
        <w:rPr>
          <w:rFonts w:ascii="Amiri" w:hAnsi="Amiri" w:eastAsia="Amiri" w:cs="Amiri"/>
          <w:lang w:bidi="ar-SA"/>
          <w:color w:val="111111"/>
          <w:sz w:val="28"/>
          <w:szCs w:val="28"/>
          <w:rtl/>
        </w:rPr>
        <w:t xml:space="preserve">(رسالة في)، ج 13، ص 357.</w:t>
      </w:r>
    </w:p>
    <w:p>
      <w:pPr>
        <w:pStyle w:val="BookText"/>
      </w:pPr>
      <w:r>
        <w:rPr>
          <w:rFonts w:ascii="Amiri" w:hAnsi="Amiri" w:eastAsia="Amiri" w:cs="Amiri"/>
          <w:lang w:bidi="ar-SA"/>
          <w:color w:val="111111"/>
          <w:sz w:val="28"/>
          <w:szCs w:val="28"/>
          <w:rtl/>
        </w:rPr>
        <w:t xml:space="preserve">اشق قاسم ازنيقي- ازنيقي ، اشق قاسم</w:t>
      </w:r>
    </w:p>
    <w:p>
      <w:pPr>
        <w:pStyle w:val="Heading2"/>
      </w:pPr>
      <w:bookmarkStart w:id="2214" w:name="_Toc1316"/>
      <w:r>
        <w:t>اشكوري، ابوالقاسم بن معصوم - 1325ه-</w:t>
      </w:r>
      <w:bookmarkEnd w:id="2214"/>
    </w:p>
    <w:p>
      <w:pPr>
        <w:pStyle w:val="BookText"/>
      </w:pPr>
      <w:r>
        <w:rPr>
          <w:rFonts w:ascii="Amiri" w:hAnsi="Amiri" w:eastAsia="Amiri" w:cs="Amiri"/>
          <w:lang w:bidi="ar-SA"/>
          <w:color w:val="111111"/>
          <w:sz w:val="28"/>
          <w:szCs w:val="28"/>
          <w:rtl/>
        </w:rPr>
        <w:t xml:space="preserve">1 .اجازة لثقة الاسلام الساروي، ج1،</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Amiri" w:hAnsi="Amiri" w:eastAsia="Amiri" w:cs="Amiri"/>
          <w:lang w:bidi="ar-SA"/>
          <w:color w:val="111111"/>
          <w:sz w:val="28"/>
          <w:szCs w:val="28"/>
          <w:rtl/>
        </w:rPr>
        <w:t xml:space="preserve">2 .بغية الطالب في شرح المكاسب، ج3،</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جواهر العقول في شرح فرائد</w:t>
      </w:r>
    </w:p>
    <w:p>
      <w:pPr>
        <w:pStyle w:val="BookText"/>
      </w:pPr>
      <w:r>
        <w:rPr>
          <w:rFonts w:ascii="IRNazanin" w:hAnsi="IRNazanin" w:eastAsia="IRNazanin" w:cs="IRNazanin"/>
          <w:lang w:bidi="fa-IR"/>
          <w:color w:val="111111"/>
          <w:sz w:val="28"/>
          <w:szCs w:val="28"/>
          <w:rtl/>
        </w:rPr>
        <w:t xml:space="preserve">الاصول، ج5، ص 552.</w:t>
      </w:r>
    </w:p>
    <w:p>
      <w:pPr>
        <w:pStyle w:val="BookText"/>
      </w:pPr>
      <w:r>
        <w:rPr>
          <w:rFonts w:ascii="IRNazanin" w:hAnsi="IRNazanin" w:eastAsia="IRNazanin" w:cs="IRNazanin"/>
          <w:lang w:bidi="fa-IR"/>
          <w:color w:val="111111"/>
          <w:sz w:val="28"/>
          <w:szCs w:val="28"/>
          <w:rtl/>
        </w:rPr>
        <w:t xml:space="preserve">اشکوري ، حسين بن محمّد قاسم -حسيني اشكوري ، حسين بن محمّد</w:t>
      </w:r>
    </w:p>
    <w:p>
      <w:pPr>
        <w:pStyle w:val="BookText"/>
      </w:pPr>
      <w:r>
        <w:rPr>
          <w:rFonts w:ascii="IRNazanin" w:hAnsi="IRNazanin" w:eastAsia="IRNazanin" w:cs="IRNazanin"/>
          <w:lang w:bidi="fa-IR"/>
          <w:color w:val="111111"/>
          <w:sz w:val="28"/>
          <w:szCs w:val="28"/>
          <w:rtl/>
        </w:rPr>
        <w:t xml:space="preserve">قاسم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7" w:name="pg7742_69778"/>
    <w:bookmarkEnd w:id="197"/>
    <w:p>
      <w:pPr>
        <w:pStyle w:val="Heading2"/>
      </w:pPr>
      <w:bookmarkStart w:id="2215" w:name="_Toc1317"/>
      <w:r>
        <w:t>اشكي تركستاني ، عبدالمؤمن، قرن 10 ه-</w:t>
      </w:r>
      <w:bookmarkEnd w:id="2215"/>
    </w:p>
    <w:p>
      <w:pPr>
        <w:pStyle w:val="BookText"/>
      </w:pPr>
      <w:r>
        <w:rPr>
          <w:rFonts w:ascii="Amiri" w:hAnsi="Amiri" w:eastAsia="Amiri" w:cs="Amiri"/>
          <w:lang w:bidi="ar-SA"/>
          <w:color w:val="111111"/>
          <w:sz w:val="28"/>
          <w:szCs w:val="28"/>
          <w:rtl/>
        </w:rPr>
        <w:t xml:space="preserve">سد اسكندري، ج8، ص722.</w:t>
      </w:r>
    </w:p>
    <w:p>
      <w:pPr>
        <w:pStyle w:val="BookText"/>
      </w:pPr>
      <w:r>
        <w:rPr>
          <w:rFonts w:ascii="Amiri" w:hAnsi="Amiri" w:eastAsia="Amiri" w:cs="Amiri"/>
          <w:lang w:bidi="ar-SA"/>
          <w:color w:val="111111"/>
          <w:sz w:val="28"/>
          <w:szCs w:val="28"/>
          <w:rtl/>
        </w:rPr>
        <w:t xml:space="preserve">اشليمر فلمنكي ، يوهان- فلمنكي ، يوهان</w:t>
      </w:r>
    </w:p>
    <w:p>
      <w:pPr>
        <w:pStyle w:val="BookText"/>
      </w:pPr>
      <w:r>
        <w:rPr>
          <w:rFonts w:ascii="Amiri" w:hAnsi="Amiri" w:eastAsia="Amiri" w:cs="Amiri"/>
          <w:lang w:bidi="ar-SA"/>
          <w:color w:val="111111"/>
          <w:sz w:val="28"/>
          <w:szCs w:val="28"/>
          <w:rtl/>
        </w:rPr>
        <w:t xml:space="preserve">شليمر</w:t>
      </w:r>
    </w:p>
    <w:p>
      <w:pPr>
        <w:pStyle w:val="Heading2"/>
      </w:pPr>
      <w:bookmarkStart w:id="2216" w:name="_Toc1318"/>
      <w:r>
        <w:t>اشموني ، احمد بن عبد الكريم قرن 11 ه-</w:t>
      </w:r>
      <w:bookmarkEnd w:id="2216"/>
    </w:p>
    <w:p>
      <w:pPr>
        <w:pStyle w:val="BookText"/>
      </w:pPr>
      <w:r>
        <w:rPr>
          <w:rFonts w:ascii="Amiri" w:hAnsi="Amiri" w:eastAsia="Amiri" w:cs="Amiri"/>
          <w:lang w:bidi="ar-SA"/>
          <w:color w:val="111111"/>
          <w:sz w:val="28"/>
          <w:szCs w:val="28"/>
          <w:rtl/>
        </w:rPr>
        <w:t xml:space="preserve">منار الهدى في بيان الوقف و الإبتداء</w:t>
      </w:r>
    </w:p>
    <w:p>
      <w:pPr>
        <w:pStyle w:val="BookText"/>
      </w:pPr>
      <w:r>
        <w:rPr>
          <w:rFonts w:ascii="IRNazanin" w:hAnsi="IRNazanin" w:eastAsia="IRNazanin" w:cs="IRNazanin"/>
          <w:lang w:bidi="fa-IR"/>
          <w:color w:val="111111"/>
          <w:sz w:val="28"/>
          <w:szCs w:val="28"/>
          <w:rtl/>
        </w:rPr>
        <w:t xml:space="preserve">ج 15، ص 486.</w:t>
      </w:r>
    </w:p>
    <w:p>
      <w:pPr>
        <w:pStyle w:val="Heading2"/>
      </w:pPr>
      <w:bookmarkStart w:id="2217" w:name="_Toc1319"/>
      <w:r>
        <w:t>اشموني ، احمد بن محمّد، 801 - 872 ه-</w:t>
      </w:r>
      <w:bookmarkEnd w:id="2217"/>
    </w:p>
    <w:p>
      <w:pPr>
        <w:pStyle w:val="BookText"/>
      </w:pPr>
      <w:r>
        <w:rPr>
          <w:rFonts w:ascii="Amiri" w:hAnsi="Amiri" w:eastAsia="Amiri" w:cs="Amiri"/>
          <w:lang w:bidi="ar-SA"/>
          <w:color w:val="111111"/>
          <w:sz w:val="28"/>
          <w:szCs w:val="28"/>
          <w:rtl/>
        </w:rPr>
        <w:t xml:space="preserve">1 .الرتبة في شرح نظم النخبة، ج8،</w:t>
      </w:r>
    </w:p>
    <w:p>
      <w:pPr>
        <w:pStyle w:val="BookText"/>
      </w:pPr>
      <w:r>
        <w:rPr>
          <w:rFonts w:ascii="IRNazanin" w:hAnsi="IRNazanin" w:eastAsia="IRNazanin" w:cs="IRNazanin"/>
          <w:lang w:bidi="fa-IR"/>
          <w:color w:val="111111"/>
          <w:sz w:val="28"/>
          <w:szCs w:val="28"/>
          <w:rtl/>
        </w:rPr>
        <w:t xml:space="preserve">ص 41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نخبة الفكر في مصطلح اهل</w:t>
      </w:r>
    </w:p>
    <w:p>
      <w:pPr>
        <w:pStyle w:val="BookText"/>
      </w:pPr>
      <w:r>
        <w:rPr>
          <w:rFonts w:ascii="IRNazanin" w:hAnsi="IRNazanin" w:eastAsia="IRNazanin" w:cs="IRNazanin"/>
          <w:lang w:bidi="fa-IR"/>
          <w:color w:val="111111"/>
          <w:sz w:val="28"/>
          <w:szCs w:val="28"/>
          <w:rtl/>
        </w:rPr>
        <w:t xml:space="preserve">الاثر، ج 10، ص283.</w:t>
      </w:r>
    </w:p>
    <w:p>
      <w:pPr>
        <w:pStyle w:val="BookText"/>
      </w:pPr>
      <w:r>
        <w:rPr>
          <w:rFonts w:ascii="Amiri" w:hAnsi="Amiri" w:eastAsia="Amiri" w:cs="Amiri"/>
          <w:lang w:bidi="ar-SA"/>
          <w:color w:val="111111"/>
          <w:sz w:val="28"/>
          <w:szCs w:val="28"/>
          <w:rtl/>
        </w:rPr>
        <w:t xml:space="preserve">3.العالي الرتبة شرح نظم النخبة</w:t>
      </w:r>
    </w:p>
    <w:p>
      <w:pPr>
        <w:pStyle w:val="BookText"/>
      </w:pPr>
      <w:r>
        <w:rPr>
          <w:rFonts w:ascii="IRNazanin" w:hAnsi="IRNazanin" w:eastAsia="IRNazanin" w:cs="IRNazanin"/>
          <w:lang w:bidi="fa-IR"/>
          <w:color w:val="111111"/>
          <w:sz w:val="28"/>
          <w:szCs w:val="28"/>
          <w:rtl/>
        </w:rPr>
        <w:t xml:space="preserve">ج 11، ص 7 .</w:t>
      </w:r>
    </w:p>
    <w:p>
      <w:pPr>
        <w:pStyle w:val="BookText"/>
      </w:pPr>
      <w:r>
        <w:rPr>
          <w:rFonts w:ascii="Amiri" w:hAnsi="Amiri" w:eastAsia="Amiri" w:cs="Amiri"/>
          <w:lang w:bidi="ar-SA"/>
          <w:color w:val="111111"/>
          <w:sz w:val="28"/>
          <w:szCs w:val="28"/>
          <w:rtl/>
        </w:rPr>
        <w:t xml:space="preserve">4 .كمال الدراية في شرح النقاية، ج13،</w:t>
      </w:r>
    </w:p>
    <w:p>
      <w:pPr>
        <w:pStyle w:val="BookText"/>
      </w:pPr>
      <w:r>
        <w:rPr>
          <w:rFonts w:ascii="IRNazanin" w:hAnsi="IRNazanin" w:eastAsia="IRNazanin" w:cs="IRNazanin"/>
          <w:lang w:bidi="fa-IR"/>
          <w:color w:val="111111"/>
          <w:sz w:val="28"/>
          <w:szCs w:val="28"/>
          <w:rtl/>
        </w:rPr>
        <w:t xml:space="preserve">ص390.</w:t>
      </w:r>
    </w:p>
    <w:p>
      <w:pPr>
        <w:pStyle w:val="BookText"/>
      </w:pPr>
      <w:r>
        <w:rPr>
          <w:rFonts w:ascii="Amiri" w:hAnsi="Amiri" w:eastAsia="Amiri" w:cs="Amiri"/>
          <w:lang w:bidi="ar-SA"/>
          <w:color w:val="111111"/>
          <w:sz w:val="28"/>
          <w:szCs w:val="28"/>
          <w:rtl/>
        </w:rPr>
        <w:t xml:space="preserve">5 .مزيل الخفاء عن الفاظ الشفاء</w:t>
      </w:r>
    </w:p>
    <w:p>
      <w:pPr>
        <w:pStyle w:val="BookText"/>
      </w:pPr>
      <w:r>
        <w:rPr>
          <w:rFonts w:ascii="IRNazanin" w:hAnsi="IRNazanin" w:eastAsia="IRNazanin" w:cs="IRNazanin"/>
          <w:lang w:bidi="fa-IR"/>
          <w:color w:val="111111"/>
          <w:sz w:val="28"/>
          <w:szCs w:val="28"/>
          <w:rtl/>
        </w:rPr>
        <w:t xml:space="preserve">ج 14 ، ص 427 .</w:t>
      </w:r>
    </w:p>
    <w:p>
      <w:pPr>
        <w:pStyle w:val="BookText"/>
      </w:pPr>
      <w:r>
        <w:rPr>
          <w:rFonts w:ascii="Amiri" w:hAnsi="Amiri" w:eastAsia="Amiri" w:cs="Amiri"/>
          <w:lang w:bidi="ar-SA"/>
          <w:color w:val="111111"/>
          <w:sz w:val="28"/>
          <w:szCs w:val="28"/>
          <w:rtl/>
        </w:rPr>
        <w:t xml:space="preserve">6 .المنصف من الكلام على مغني ابن هشام = حاشيه ،مغني، ج 15</w:t>
      </w:r>
    </w:p>
    <w:p>
      <w:pPr>
        <w:pStyle w:val="BookText"/>
      </w:pPr>
      <w:r>
        <w:rPr>
          <w:rFonts w:ascii="IRNazanin" w:hAnsi="IRNazanin" w:eastAsia="IRNazanin" w:cs="IRNazanin"/>
          <w:lang w:bidi="fa-IR"/>
          <w:color w:val="111111"/>
          <w:sz w:val="28"/>
          <w:szCs w:val="28"/>
          <w:rtl/>
        </w:rPr>
        <w:t xml:space="preserve">ص 692 .</w:t>
      </w:r>
    </w:p>
    <w:p>
      <w:pPr>
        <w:pStyle w:val="BookText"/>
      </w:pPr>
      <w:r>
        <w:rPr>
          <w:rFonts w:ascii="Amiri" w:hAnsi="Amiri" w:eastAsia="Amiri" w:cs="Amiri"/>
          <w:lang w:bidi="ar-SA"/>
          <w:color w:val="111111"/>
          <w:sz w:val="28"/>
          <w:szCs w:val="28"/>
          <w:rtl/>
        </w:rPr>
        <w:t xml:space="preserve">7.منهج السالك إلى الفية ابن مالك</w:t>
      </w:r>
    </w:p>
    <w:p>
      <w:pPr>
        <w:pStyle w:val="BookText"/>
      </w:pPr>
      <w:r>
        <w:rPr>
          <w:rFonts w:ascii="Amiri" w:hAnsi="Amiri" w:eastAsia="Amiri" w:cs="Amiri"/>
          <w:lang w:bidi="ar-SA"/>
          <w:color w:val="111111"/>
          <w:sz w:val="28"/>
          <w:szCs w:val="28"/>
          <w:rtl/>
        </w:rPr>
        <w:t xml:space="preserve">شرح الفية ابن مالك، ج 15</w:t>
      </w:r>
    </w:p>
    <w:p>
      <w:pPr>
        <w:pStyle w:val="BookText"/>
      </w:pPr>
      <w:r>
        <w:rPr>
          <w:rFonts w:ascii="IRNazanin" w:hAnsi="IRNazanin" w:eastAsia="IRNazanin" w:cs="IRNazanin"/>
          <w:lang w:bidi="fa-IR"/>
          <w:color w:val="111111"/>
          <w:sz w:val="28"/>
          <w:szCs w:val="28"/>
          <w:rtl/>
        </w:rPr>
        <w:t xml:space="preserve">ص 796.</w:t>
      </w:r>
    </w:p>
    <w:p>
      <w:pPr>
        <w:pStyle w:val="Heading2"/>
      </w:pPr>
      <w:bookmarkStart w:id="2218" w:name="_Toc1320"/>
      <w:r>
        <w:t>اشموني سعيدي ، علي</w:t>
      </w:r>
      <w:bookmarkEnd w:id="2218"/>
    </w:p>
    <w:p>
      <w:pPr>
        <w:pStyle w:val="BookText"/>
      </w:pPr>
      <w:r>
        <w:rPr>
          <w:rFonts w:ascii="IRNazanin" w:hAnsi="IRNazanin" w:eastAsia="IRNazanin" w:cs="IRNazanin"/>
          <w:lang w:bidi="fa-IR"/>
          <w:color w:val="111111"/>
          <w:sz w:val="28"/>
          <w:szCs w:val="28"/>
          <w:rtl/>
        </w:rPr>
        <w:t xml:space="preserve">مجموع المسائل، ج 14، ص 77</w:t>
      </w:r>
    </w:p>
    <w:p>
      <w:pPr>
        <w:pStyle w:val="Heading2"/>
      </w:pPr>
      <w:bookmarkStart w:id="2219" w:name="_Toc1321"/>
      <w:r>
        <w:t>اشموني ، علي بن محمّد، 838 - 900 ه-</w:t>
      </w:r>
      <w:bookmarkEnd w:id="2219"/>
    </w:p>
    <w:p>
      <w:pPr>
        <w:pStyle w:val="BookText"/>
      </w:pPr>
      <w:r>
        <w:rPr>
          <w:rFonts w:ascii="Amiri" w:hAnsi="Amiri" w:eastAsia="Amiri" w:cs="Amiri"/>
          <w:lang w:bidi="ar-SA"/>
          <w:color w:val="111111"/>
          <w:sz w:val="28"/>
          <w:szCs w:val="28"/>
          <w:rtl/>
        </w:rPr>
        <w:t xml:space="preserve">1 .شرح الآجرومية، ج9، ص117.</w:t>
      </w:r>
    </w:p>
    <w:p>
      <w:pPr>
        <w:pStyle w:val="BookText"/>
      </w:pPr>
      <w:r>
        <w:rPr>
          <w:rFonts w:ascii="Amiri" w:hAnsi="Amiri" w:eastAsia="Amiri" w:cs="Amiri"/>
          <w:lang w:bidi="ar-SA"/>
          <w:color w:val="111111"/>
          <w:sz w:val="28"/>
          <w:szCs w:val="28"/>
          <w:rtl/>
        </w:rPr>
        <w:t xml:space="preserve">2 .الضرورات الشعرية (ارجوزة في)</w:t>
      </w:r>
    </w:p>
    <w:p>
      <w:pPr>
        <w:pStyle w:val="BookText"/>
      </w:pPr>
      <w:r>
        <w:rPr>
          <w:rFonts w:ascii="IRNazanin" w:hAnsi="IRNazanin" w:eastAsia="IRNazanin" w:cs="IRNazanin"/>
          <w:lang w:bidi="fa-IR"/>
          <w:color w:val="111111"/>
          <w:sz w:val="28"/>
          <w:szCs w:val="28"/>
          <w:rtl/>
        </w:rPr>
        <w:t xml:space="preserve">ج 10، ص 693 .</w:t>
      </w:r>
    </w:p>
    <w:p>
      <w:pPr>
        <w:pStyle w:val="Heading2"/>
      </w:pPr>
      <w:bookmarkStart w:id="2220" w:name="_Toc1322"/>
      <w:r>
        <w:t>اشموني ، نعمة الله بن محمّد</w:t>
      </w:r>
      <w:bookmarkEnd w:id="2220"/>
    </w:p>
    <w:p>
      <w:pPr>
        <w:pStyle w:val="BookText"/>
      </w:pPr>
      <w:r>
        <w:rPr>
          <w:rFonts w:ascii="Amiri" w:hAnsi="Amiri" w:eastAsia="Amiri" w:cs="Amiri"/>
          <w:lang w:bidi="ar-SA"/>
          <w:color w:val="111111"/>
          <w:sz w:val="28"/>
          <w:szCs w:val="28"/>
          <w:rtl/>
        </w:rPr>
        <w:t xml:space="preserve">شرح المنظومة الهاملية في الفرائض</w:t>
      </w:r>
    </w:p>
    <w:p>
      <w:pPr>
        <w:pStyle w:val="BookText"/>
      </w:pPr>
      <w:r>
        <w:rPr>
          <w:rFonts w:ascii="IRNazanin" w:hAnsi="IRNazanin" w:eastAsia="IRNazanin" w:cs="IRNazanin"/>
          <w:lang w:bidi="fa-IR"/>
          <w:color w:val="111111"/>
          <w:sz w:val="28"/>
          <w:szCs w:val="28"/>
          <w:rtl/>
        </w:rPr>
        <w:t xml:space="preserve">ج 10، ص 259.</w:t>
      </w:r>
    </w:p>
    <w:p>
      <w:pPr>
        <w:pStyle w:val="Heading2"/>
      </w:pPr>
      <w:bookmarkStart w:id="2221" w:name="_Toc1323"/>
      <w:r>
        <w:t>اشنهي ، عبدالعزيز بن علي - 550 ؟ ه-</w:t>
      </w:r>
      <w:bookmarkEnd w:id="2221"/>
    </w:p>
    <w:p>
      <w:pPr>
        <w:pStyle w:val="BookText"/>
      </w:pPr>
      <w:r>
        <w:rPr>
          <w:rFonts w:ascii="Amiri" w:hAnsi="Amiri" w:eastAsia="Amiri" w:cs="Amiri"/>
          <w:lang w:bidi="ar-SA"/>
          <w:color w:val="111111"/>
          <w:sz w:val="28"/>
          <w:szCs w:val="28"/>
          <w:rtl/>
        </w:rPr>
        <w:t xml:space="preserve">1 .الكفاية في احكام الفرائض الفرائض الاشنهية، ج13، ص 324.</w:t>
      </w:r>
    </w:p>
    <w:p>
      <w:pPr>
        <w:pStyle w:val="BookText"/>
      </w:pPr>
      <w:r>
        <w:rPr>
          <w:rFonts w:ascii="Amiri" w:hAnsi="Amiri" w:eastAsia="Amiri" w:cs="Amiri"/>
          <w:lang w:bidi="ar-SA"/>
          <w:color w:val="111111"/>
          <w:sz w:val="28"/>
          <w:szCs w:val="28"/>
          <w:rtl/>
        </w:rPr>
        <w:t xml:space="preserve">2 .مختصر الفوائد في حل مسائل الغوامض، ج 14، ص 209.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مختصر في الفرائض، ج 14، ص 223.</w:t>
      </w:r>
    </w:p>
    <w:p>
      <w:pPr>
        <w:pStyle w:val="Heading2"/>
      </w:pPr>
      <w:bookmarkStart w:id="2222" w:name="_Toc1324"/>
      <w:r>
        <w:t>اشنوي ، علي بن حامد قرن 12 ه-</w:t>
      </w:r>
      <w:bookmarkEnd w:id="2222"/>
    </w:p>
    <w:p>
      <w:pPr>
        <w:pStyle w:val="BookText"/>
      </w:pPr>
      <w:r>
        <w:rPr>
          <w:rFonts w:ascii="Amiri" w:hAnsi="Amiri" w:eastAsia="Amiri" w:cs="Amiri"/>
          <w:lang w:bidi="ar-SA"/>
          <w:color w:val="111111"/>
          <w:sz w:val="28"/>
          <w:szCs w:val="28"/>
          <w:rtl/>
        </w:rPr>
        <w:t xml:space="preserve">1 .تفصيل الزنجاني، ج4، ص 699.</w:t>
      </w:r>
    </w:p>
    <w:p>
      <w:pPr>
        <w:pStyle w:val="BookText"/>
      </w:pPr>
      <w:r>
        <w:rPr>
          <w:rFonts w:ascii="Amiri" w:hAnsi="Amiri" w:eastAsia="Amiri" w:cs="Amiri"/>
          <w:lang w:bidi="ar-SA"/>
          <w:color w:val="111111"/>
          <w:sz w:val="28"/>
          <w:szCs w:val="28"/>
          <w:rtl/>
        </w:rPr>
        <w:t xml:space="preserve">2 .شرح العزي في التصريف = شرح</w:t>
      </w:r>
    </w:p>
    <w:p>
      <w:pPr>
        <w:pStyle w:val="BookText"/>
      </w:pPr>
      <w:r>
        <w:rPr>
          <w:rFonts w:ascii="Amiri" w:hAnsi="Amiri" w:eastAsia="Amiri" w:cs="Amiri"/>
          <w:lang w:bidi="ar-SA"/>
          <w:color w:val="111111"/>
          <w:sz w:val="28"/>
          <w:szCs w:val="28"/>
          <w:rtl/>
        </w:rPr>
        <w:t xml:space="preserve">التصريف العزي، ج 9، ص 709.</w:t>
      </w:r>
    </w:p>
    <w:p>
      <w:pPr>
        <w:pStyle w:val="Heading2"/>
      </w:pPr>
      <w:bookmarkStart w:id="2223" w:name="_Toc1325"/>
      <w:r>
        <w:t>اشيب ، قاسم بن موسى - 209 ه-</w:t>
      </w:r>
      <w:bookmarkEnd w:id="2223"/>
    </w:p>
    <w:p>
      <w:pPr>
        <w:pStyle w:val="BookText"/>
      </w:pPr>
      <w:r>
        <w:rPr>
          <w:rFonts w:ascii="Amiri" w:hAnsi="Amiri" w:eastAsia="Amiri" w:cs="Amiri"/>
          <w:lang w:bidi="ar-SA"/>
          <w:color w:val="111111"/>
          <w:sz w:val="28"/>
          <w:szCs w:val="28"/>
          <w:rtl/>
        </w:rPr>
        <w:t xml:space="preserve">الحديث، ج 1، ص 555.</w:t>
      </w:r>
    </w:p>
    <w:p>
      <w:pPr>
        <w:pStyle w:val="Heading2"/>
      </w:pPr>
      <w:bookmarkStart w:id="2224" w:name="_Toc1326"/>
      <w:r>
        <w:t>اصبحي، ابراهيم بن علي - 667 ه-</w:t>
      </w:r>
      <w:bookmarkEnd w:id="2224"/>
    </w:p>
    <w:p>
      <w:pPr>
        <w:pStyle w:val="BookText"/>
      </w:pPr>
      <w:r>
        <w:rPr>
          <w:rFonts w:ascii="Amiri" w:hAnsi="Amiri" w:eastAsia="Amiri" w:cs="Amiri"/>
          <w:lang w:bidi="ar-SA"/>
          <w:color w:val="111111"/>
          <w:sz w:val="28"/>
          <w:szCs w:val="28"/>
          <w:rtl/>
        </w:rPr>
        <w:t xml:space="preserve">اليواقيت في علم المواقيت ج 16،</w:t>
      </w:r>
    </w:p>
    <w:p>
      <w:pPr>
        <w:pStyle w:val="BookText"/>
      </w:pPr>
      <w:r>
        <w:rPr>
          <w:rFonts w:ascii="IRNazanin" w:hAnsi="IRNazanin" w:eastAsia="IRNazanin" w:cs="IRNazanin"/>
          <w:lang w:bidi="fa-IR"/>
          <w:color w:val="111111"/>
          <w:sz w:val="28"/>
          <w:szCs w:val="28"/>
          <w:rtl/>
        </w:rPr>
        <w:t xml:space="preserve">ص 903.</w:t>
      </w:r>
    </w:p>
    <w:p>
      <w:pPr>
        <w:pStyle w:val="Heading2"/>
      </w:pPr>
      <w:bookmarkStart w:id="2225" w:name="_Toc1327"/>
      <w:r>
        <w:t>اصبحي، محمّد بن ابي بكر 632 - 691 ه-</w:t>
      </w:r>
      <w:bookmarkEnd w:id="2225"/>
    </w:p>
    <w:p>
      <w:pPr>
        <w:pStyle w:val="BookText"/>
      </w:pPr>
      <w:r>
        <w:rPr>
          <w:rFonts w:ascii="Amiri" w:hAnsi="Amiri" w:eastAsia="Amiri" w:cs="Amiri"/>
          <w:lang w:bidi="ar-SA"/>
          <w:color w:val="111111"/>
          <w:sz w:val="28"/>
          <w:szCs w:val="28"/>
          <w:rtl/>
        </w:rPr>
        <w:t xml:space="preserve">الاشراف في تصحيح الخلاف، ج2،</w:t>
      </w:r>
    </w:p>
    <w:p>
      <w:pPr>
        <w:pStyle w:val="BookText"/>
      </w:pPr>
      <w:r>
        <w:rPr>
          <w:rFonts w:ascii="IRNazanin" w:hAnsi="IRNazanin" w:eastAsia="IRNazanin" w:cs="IRNazanin"/>
          <w:lang w:bidi="fa-IR"/>
          <w:color w:val="111111"/>
          <w:sz w:val="28"/>
          <w:szCs w:val="28"/>
          <w:rtl/>
        </w:rPr>
        <w:t xml:space="preserve">ص 278.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8" w:name="pg7742_69780"/>
    <w:bookmarkEnd w:id="198"/>
    <w:p>
      <w:pPr>
        <w:pStyle w:val="BookText"/>
      </w:pPr>
      <w:r>
        <w:rPr>
          <w:rFonts w:ascii="Amiri" w:hAnsi="Amiri" w:eastAsia="Amiri" w:cs="Amiri"/>
          <w:lang w:bidi="ar-SA"/>
          <w:color w:val="111111"/>
          <w:sz w:val="28"/>
          <w:szCs w:val="28"/>
          <w:rtl/>
        </w:rPr>
        <w:t xml:space="preserve">اصبعي سماهيجي ، عبد صالح- سماهيجي ، عبدالله بن صالح</w:t>
      </w:r>
    </w:p>
    <w:p>
      <w:pPr>
        <w:pStyle w:val="Heading2"/>
      </w:pPr>
      <w:bookmarkStart w:id="2226" w:name="_Toc1328"/>
      <w:r>
        <w:t>اصبهاني ، احمد بن محمّد</w:t>
      </w:r>
      <w:bookmarkEnd w:id="2226"/>
    </w:p>
    <w:p>
      <w:pPr>
        <w:pStyle w:val="BookText"/>
      </w:pPr>
      <w:r>
        <w:rPr>
          <w:rFonts w:ascii="Amiri" w:hAnsi="Amiri" w:eastAsia="Amiri" w:cs="Amiri"/>
          <w:lang w:bidi="ar-SA"/>
          <w:color w:val="111111"/>
          <w:sz w:val="28"/>
          <w:szCs w:val="28"/>
          <w:rtl/>
        </w:rPr>
        <w:t xml:space="preserve">1 .شرح قصيدة بانت سعاد، ج 9،</w:t>
      </w:r>
    </w:p>
    <w:p>
      <w:pPr>
        <w:pStyle w:val="BookText"/>
      </w:pPr>
      <w:r>
        <w:rPr>
          <w:rFonts w:ascii="IRNazanin" w:hAnsi="IRNazanin" w:eastAsia="IRNazanin" w:cs="IRNazanin"/>
          <w:lang w:bidi="fa-IR"/>
          <w:color w:val="111111"/>
          <w:sz w:val="28"/>
          <w:szCs w:val="28"/>
          <w:rtl/>
        </w:rPr>
        <w:t xml:space="preserve">ص 841.</w:t>
      </w:r>
    </w:p>
    <w:p>
      <w:pPr>
        <w:pStyle w:val="BookText"/>
      </w:pPr>
      <w:r>
        <w:rPr>
          <w:rFonts w:ascii="Amiri" w:hAnsi="Amiri" w:eastAsia="Amiri" w:cs="Amiri"/>
          <w:lang w:bidi="ar-SA"/>
          <w:color w:val="111111"/>
          <w:sz w:val="28"/>
          <w:szCs w:val="28"/>
          <w:rtl/>
        </w:rPr>
        <w:t xml:space="preserve">2 .المبسوط في القرآت العشر، ج13،</w:t>
      </w:r>
    </w:p>
    <w:p>
      <w:pPr>
        <w:pStyle w:val="BookText"/>
      </w:pPr>
      <w:r>
        <w:rPr>
          <w:rFonts w:ascii="IRNazanin" w:hAnsi="IRNazanin" w:eastAsia="IRNazanin" w:cs="IRNazanin"/>
          <w:lang w:bidi="fa-IR"/>
          <w:color w:val="111111"/>
          <w:sz w:val="28"/>
          <w:szCs w:val="28"/>
          <w:rtl/>
        </w:rPr>
        <w:t xml:space="preserve">ص 739.</w:t>
      </w:r>
    </w:p>
    <w:p>
      <w:pPr>
        <w:pStyle w:val="BookText"/>
      </w:pPr>
      <w:r>
        <w:rPr>
          <w:rFonts w:ascii="Amiri" w:hAnsi="Amiri" w:eastAsia="Amiri" w:cs="Amiri"/>
          <w:lang w:bidi="ar-SA"/>
          <w:color w:val="111111"/>
          <w:sz w:val="28"/>
          <w:szCs w:val="28"/>
          <w:rtl/>
        </w:rPr>
        <w:t xml:space="preserve">3 .معرفة التقويم (رسالة في)، ج 15،</w:t>
      </w:r>
    </w:p>
    <w:p>
      <w:pPr>
        <w:pStyle w:val="BookText"/>
      </w:pPr>
      <w:r>
        <w:rPr>
          <w:rFonts w:ascii="IRNazanin" w:hAnsi="IRNazanin" w:eastAsia="IRNazanin" w:cs="IRNazanin"/>
          <w:lang w:bidi="fa-IR"/>
          <w:color w:val="111111"/>
          <w:sz w:val="28"/>
          <w:szCs w:val="28"/>
          <w:rtl/>
        </w:rPr>
        <w:t xml:space="preserve">ص 52 .</w:t>
      </w:r>
    </w:p>
    <w:p>
      <w:pPr>
        <w:pStyle w:val="Heading2"/>
      </w:pPr>
      <w:bookmarkStart w:id="2227" w:name="_Toc1329"/>
      <w:r>
        <w:t>اصبهاني ، محمّد</w:t>
      </w:r>
      <w:bookmarkEnd w:id="2227"/>
    </w:p>
    <w:p>
      <w:pPr>
        <w:pStyle w:val="BookText"/>
      </w:pPr>
      <w:r>
        <w:rPr>
          <w:rFonts w:ascii="Amiri" w:hAnsi="Amiri" w:eastAsia="Amiri" w:cs="Amiri"/>
          <w:lang w:bidi="ar-SA"/>
          <w:color w:val="111111"/>
          <w:sz w:val="28"/>
          <w:szCs w:val="28"/>
          <w:rtl/>
        </w:rPr>
        <w:t xml:space="preserve">رثاء العترة الطاهرة و بيان احوال الحسين، ج8، ص 44.</w:t>
      </w:r>
    </w:p>
    <w:p>
      <w:pPr>
        <w:pStyle w:val="BookText"/>
      </w:pPr>
      <w:r>
        <w:rPr>
          <w:rFonts w:ascii="Amiri" w:hAnsi="Amiri" w:eastAsia="Amiri" w:cs="Amiri"/>
          <w:lang w:bidi="ar-SA"/>
          <w:color w:val="111111"/>
          <w:sz w:val="28"/>
          <w:szCs w:val="28"/>
          <w:rtl/>
        </w:rPr>
        <w:t xml:space="preserve">اصطهباناتي ، محمّد بن محمّد- دارابي</w:t>
      </w:r>
    </w:p>
    <w:p>
      <w:pPr>
        <w:pStyle w:val="BookText"/>
      </w:pPr>
      <w:r>
        <w:rPr>
          <w:rFonts w:ascii="Amiri" w:hAnsi="Amiri" w:eastAsia="Amiri" w:cs="Amiri"/>
          <w:lang w:bidi="ar-SA"/>
          <w:color w:val="111111"/>
          <w:sz w:val="28"/>
          <w:szCs w:val="28"/>
          <w:rtl/>
        </w:rPr>
        <w:t xml:space="preserve">شاہ محمّد بن محمّد</w:t>
      </w:r>
    </w:p>
    <w:p>
      <w:pPr>
        <w:pStyle w:val="Heading2"/>
      </w:pPr>
      <w:bookmarkStart w:id="2228" w:name="_Toc1330"/>
      <w:r>
        <w:t>اصفهاني</w:t>
      </w:r>
      <w:bookmarkEnd w:id="2228"/>
    </w:p>
    <w:p>
      <w:pPr>
        <w:pStyle w:val="BookText"/>
      </w:pPr>
      <w:r>
        <w:rPr>
          <w:rFonts w:ascii="Amiri" w:hAnsi="Amiri" w:eastAsia="Amiri" w:cs="Amiri"/>
          <w:lang w:bidi="ar-SA"/>
          <w:color w:val="111111"/>
          <w:sz w:val="28"/>
          <w:szCs w:val="28"/>
          <w:rtl/>
        </w:rPr>
        <w:t xml:space="preserve">شرح التجريد في العقايد، ج 9، ص 316.</w:t>
      </w:r>
    </w:p>
    <w:p>
      <w:pPr>
        <w:pStyle w:val="Heading2"/>
      </w:pPr>
      <w:bookmarkStart w:id="2229" w:name="_Toc1331"/>
      <w:r>
        <w:t>اصفهاني ، ابن ابي شيبه</w:t>
      </w:r>
      <w:bookmarkEnd w:id="2229"/>
    </w:p>
    <w:p>
      <w:pPr>
        <w:pStyle w:val="BookText"/>
      </w:pPr>
      <w:r>
        <w:rPr>
          <w:rFonts w:ascii="Amiri" w:hAnsi="Amiri" w:eastAsia="Amiri" w:cs="Amiri"/>
          <w:lang w:bidi="ar-SA"/>
          <w:color w:val="111111"/>
          <w:sz w:val="28"/>
          <w:szCs w:val="28"/>
          <w:rtl/>
        </w:rPr>
        <w:t xml:space="preserve">مسائل ابن أبي شيبة الاصفهاني، ج 14،</w:t>
      </w:r>
    </w:p>
    <w:p>
      <w:pPr>
        <w:pStyle w:val="BookText"/>
      </w:pPr>
      <w:r>
        <w:rPr>
          <w:rFonts w:ascii="IRNazanin" w:hAnsi="IRNazanin" w:eastAsia="IRNazanin" w:cs="IRNazanin"/>
          <w:lang w:bidi="fa-IR"/>
          <w:color w:val="111111"/>
          <w:sz w:val="28"/>
          <w:szCs w:val="28"/>
          <w:rtl/>
        </w:rPr>
        <w:t xml:space="preserve">ص 431 .</w:t>
      </w:r>
    </w:p>
    <w:p>
      <w:pPr>
        <w:pStyle w:val="Heading2"/>
      </w:pPr>
      <w:bookmarkStart w:id="2230" w:name="_Toc1332"/>
      <w:r>
        <w:t>اصفهاني ، ابوالحسن بن عبدالمطلب</w:t>
      </w:r>
      <w:bookmarkEnd w:id="2230"/>
    </w:p>
    <w:p>
      <w:pPr>
        <w:pStyle w:val="BookText"/>
      </w:pPr>
      <w:r>
        <w:rPr>
          <w:rFonts w:ascii="Amiri" w:hAnsi="Amiri" w:eastAsia="Amiri" w:cs="Amiri"/>
          <w:lang w:bidi="ar-SA"/>
          <w:color w:val="111111"/>
          <w:sz w:val="28"/>
          <w:szCs w:val="28"/>
          <w:rtl/>
        </w:rPr>
        <w:t xml:space="preserve">دعا ختم زيارات، ج7، ص 396.</w:t>
      </w:r>
    </w:p>
    <w:p>
      <w:pPr>
        <w:pStyle w:val="Heading2"/>
      </w:pPr>
      <w:bookmarkStart w:id="2231" w:name="_Toc1333"/>
      <w:r>
        <w:t>اصفهاني ، ابوالفضل، قرن 14 ه-</w:t>
      </w:r>
      <w:bookmarkEnd w:id="2231"/>
    </w:p>
    <w:p>
      <w:pPr>
        <w:pStyle w:val="BookText"/>
      </w:pPr>
      <w:r>
        <w:rPr>
          <w:rFonts w:ascii="Amiri" w:hAnsi="Amiri" w:eastAsia="Amiri" w:cs="Amiri"/>
          <w:lang w:bidi="ar-SA"/>
          <w:color w:val="111111"/>
          <w:sz w:val="28"/>
          <w:szCs w:val="28"/>
          <w:rtl/>
        </w:rPr>
        <w:t xml:space="preserve">1 .تزاحم الحكمين (رسالة في)، ج4،</w:t>
      </w:r>
    </w:p>
    <w:p>
      <w:pPr>
        <w:pStyle w:val="BookText"/>
      </w:pPr>
      <w:r>
        <w:rPr>
          <w:rFonts w:ascii="IRNazanin" w:hAnsi="IRNazanin" w:eastAsia="IRNazanin" w:cs="IRNazanin"/>
          <w:lang w:bidi="fa-IR"/>
          <w:color w:val="111111"/>
          <w:sz w:val="28"/>
          <w:szCs w:val="28"/>
          <w:rtl/>
        </w:rPr>
        <w:t xml:space="preserve">ص 320.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تقريرات الاصول، ج 4، ص 743 .</w:t>
      </w:r>
    </w:p>
    <w:p>
      <w:pPr>
        <w:pStyle w:val="Heading2"/>
      </w:pPr>
      <w:bookmarkStart w:id="2232" w:name="_Toc1334"/>
      <w:r>
        <w:t>اصفهاني ، ابوالفضل بن عبدالله</w:t>
      </w:r>
      <w:bookmarkEnd w:id="2232"/>
    </w:p>
    <w:p>
      <w:pPr>
        <w:pStyle w:val="BookText"/>
      </w:pPr>
      <w:r>
        <w:rPr>
          <w:rFonts w:ascii="Amiri" w:hAnsi="Amiri" w:eastAsia="Amiri" w:cs="Amiri"/>
          <w:lang w:bidi="ar-SA"/>
          <w:color w:val="111111"/>
          <w:sz w:val="28"/>
          <w:szCs w:val="28"/>
          <w:rtl/>
        </w:rPr>
        <w:t xml:space="preserve">شرح حديث الأربعين، ج 9، ص382.</w:t>
      </w:r>
    </w:p>
    <w:p>
      <w:pPr>
        <w:pStyle w:val="BookText"/>
      </w:pPr>
      <w:r>
        <w:rPr>
          <w:rFonts w:ascii="IRNazanin" w:hAnsi="IRNazanin" w:eastAsia="IRNazanin" w:cs="IRNazanin"/>
          <w:lang w:bidi="fa-IR"/>
          <w:color w:val="111111"/>
          <w:sz w:val="28"/>
          <w:szCs w:val="28"/>
          <w:rtl/>
        </w:rPr>
        <w:t xml:space="preserve">اصفهاني ، ابونعيم -ابونعیم اصفهاني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اصفهاني ، احمد بن حسين -ابو شجاع</w:t>
      </w:r>
    </w:p>
    <w:p>
      <w:pPr>
        <w:pStyle w:val="BookText"/>
      </w:pPr>
      <w:r>
        <w:rPr>
          <w:rFonts w:ascii="Amiri" w:hAnsi="Amiri" w:eastAsia="Amiri" w:cs="Amiri"/>
          <w:lang w:bidi="ar-SA"/>
          <w:color w:val="111111"/>
          <w:sz w:val="28"/>
          <w:szCs w:val="28"/>
          <w:rtl/>
        </w:rPr>
        <w:t xml:space="preserve">اصفهاني ، احمد بن حسين</w:t>
      </w:r>
    </w:p>
    <w:p>
      <w:pPr>
        <w:pStyle w:val="BookText"/>
      </w:pPr>
      <w:r>
        <w:rPr>
          <w:rFonts w:ascii="Amiri" w:hAnsi="Amiri" w:eastAsia="Amiri" w:cs="Amiri"/>
          <w:lang w:bidi="ar-SA"/>
          <w:color w:val="111111"/>
          <w:sz w:val="28"/>
          <w:szCs w:val="28"/>
          <w:rtl/>
        </w:rPr>
        <w:t xml:space="preserve">اصفهاني ، احمد بن حسين بن</w:t>
      </w:r>
    </w:p>
    <w:p>
      <w:pPr>
        <w:pStyle w:val="BookText"/>
      </w:pPr>
      <w:r>
        <w:rPr>
          <w:rFonts w:ascii="IRNazanin" w:hAnsi="IRNazanin" w:eastAsia="IRNazanin" w:cs="IRNazanin"/>
          <w:lang w:bidi="fa-IR"/>
          <w:color w:val="111111"/>
          <w:sz w:val="28"/>
          <w:szCs w:val="28"/>
          <w:rtl/>
        </w:rPr>
        <w:t xml:space="preserve">احمد -شهاب الدین اصفهاني ، احمد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اصفهاني ، احمد بن عبدالله -ابونعيم</w:t>
      </w:r>
    </w:p>
    <w:p>
      <w:pPr>
        <w:pStyle w:val="BookText"/>
      </w:pPr>
      <w:r>
        <w:rPr>
          <w:rFonts w:ascii="Amiri" w:hAnsi="Amiri" w:eastAsia="Amiri" w:cs="Amiri"/>
          <w:lang w:bidi="ar-SA"/>
          <w:color w:val="111111"/>
          <w:sz w:val="28"/>
          <w:szCs w:val="28"/>
          <w:rtl/>
        </w:rPr>
        <w:t xml:space="preserve">اصفهاني ، احمد بن عبدالله</w:t>
      </w:r>
    </w:p>
    <w:p>
      <w:pPr>
        <w:pStyle w:val="BookText"/>
      </w:pPr>
      <w:r>
        <w:rPr>
          <w:rFonts w:ascii="Amiri" w:hAnsi="Amiri" w:eastAsia="Amiri" w:cs="Amiri"/>
          <w:lang w:bidi="ar-SA"/>
          <w:color w:val="111111"/>
          <w:sz w:val="28"/>
          <w:szCs w:val="28"/>
          <w:rtl/>
        </w:rPr>
        <w:t xml:space="preserve">اصفهاني ، احمد بن محمّد -اصبهاني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اصفهاني ، احمد بن محمّد- مرزوقي</w:t>
      </w:r>
    </w:p>
    <w:p>
      <w:pPr>
        <w:pStyle w:val="BookText"/>
      </w:pPr>
      <w:r>
        <w:rPr>
          <w:rFonts w:ascii="Amiri" w:hAnsi="Amiri" w:eastAsia="Amiri" w:cs="Amiri"/>
          <w:lang w:bidi="ar-SA"/>
          <w:color w:val="111111"/>
          <w:sz w:val="28"/>
          <w:szCs w:val="28"/>
          <w:rtl/>
        </w:rPr>
        <w:t xml:space="preserve">اصفهاني ، احمد بن محمّد</w:t>
      </w:r>
    </w:p>
    <w:p>
      <w:pPr>
        <w:pStyle w:val="BookText"/>
      </w:pPr>
      <w:r>
        <w:rPr>
          <w:rFonts w:ascii="Amiri" w:hAnsi="Amiri" w:eastAsia="Amiri" w:cs="Amiri"/>
          <w:lang w:bidi="ar-SA"/>
          <w:color w:val="111111"/>
          <w:sz w:val="28"/>
          <w:szCs w:val="28"/>
          <w:rtl/>
        </w:rPr>
        <w:t xml:space="preserve">اصفهاني ، اسعد بن محمود- ابوالفتوح</w:t>
      </w:r>
    </w:p>
    <w:p>
      <w:pPr>
        <w:pStyle w:val="BookText"/>
      </w:pPr>
      <w:r>
        <w:rPr>
          <w:rFonts w:ascii="Amiri" w:hAnsi="Amiri" w:eastAsia="Amiri" w:cs="Amiri"/>
          <w:lang w:bidi="ar-SA"/>
          <w:color w:val="111111"/>
          <w:sz w:val="28"/>
          <w:szCs w:val="28"/>
          <w:rtl/>
        </w:rPr>
        <w:t xml:space="preserve">اصفهاني ، اسعد بن محمود</w:t>
      </w:r>
    </w:p>
    <w:p>
      <w:pPr>
        <w:pStyle w:val="BookText"/>
      </w:pPr>
      <w:r>
        <w:rPr>
          <w:rFonts w:ascii="Amiri" w:hAnsi="Amiri" w:eastAsia="Amiri" w:cs="Amiri"/>
          <w:lang w:bidi="ar-SA"/>
          <w:color w:val="111111"/>
          <w:sz w:val="28"/>
          <w:szCs w:val="28"/>
          <w:rtl/>
        </w:rPr>
        <w:t xml:space="preserve">اصفهاني، اسماعيل بن جمال الدين- كمال</w:t>
      </w:r>
    </w:p>
    <w:p>
      <w:pPr>
        <w:pStyle w:val="BookText"/>
      </w:pPr>
      <w:r>
        <w:rPr>
          <w:rFonts w:ascii="Amiri" w:hAnsi="Amiri" w:eastAsia="Amiri" w:cs="Amiri"/>
          <w:lang w:bidi="ar-SA"/>
          <w:color w:val="111111"/>
          <w:sz w:val="28"/>
          <w:szCs w:val="28"/>
          <w:rtl/>
        </w:rPr>
        <w:t xml:space="preserve">اصفهاني، اسماعيل بن محمّد</w:t>
      </w:r>
    </w:p>
    <w:p>
      <w:pPr>
        <w:pStyle w:val="BookText"/>
      </w:pPr>
      <w:r>
        <w:rPr>
          <w:rFonts w:ascii="Amiri" w:hAnsi="Amiri" w:eastAsia="Amiri" w:cs="Amiri"/>
          <w:lang w:bidi="ar-SA"/>
          <w:color w:val="111111"/>
          <w:sz w:val="28"/>
          <w:szCs w:val="28"/>
          <w:rtl/>
        </w:rPr>
        <w:t xml:space="preserve">اصفهاني، اسماعيل بن محمّد- قوام</w:t>
      </w:r>
    </w:p>
    <w:p>
      <w:pPr>
        <w:pStyle w:val="BookText"/>
      </w:pPr>
      <w:r>
        <w:rPr>
          <w:rFonts w:ascii="Amiri" w:hAnsi="Amiri" w:eastAsia="Amiri" w:cs="Amiri"/>
          <w:lang w:bidi="ar-SA"/>
          <w:color w:val="111111"/>
          <w:sz w:val="28"/>
          <w:szCs w:val="28"/>
          <w:rtl/>
        </w:rPr>
        <w:t xml:space="preserve">السنه اصفهاني، اسماعيل بن محمّد</w:t>
      </w:r>
    </w:p>
    <w:p>
      <w:pPr>
        <w:pStyle w:val="Heading2"/>
      </w:pPr>
      <w:bookmarkStart w:id="2233" w:name="_Toc1335"/>
      <w:r>
        <w:t>اصفهاني ، بهاء الدين محمّد قرن 12 ه-</w:t>
      </w:r>
      <w:bookmarkEnd w:id="2233"/>
    </w:p>
    <w:p>
      <w:pPr>
        <w:pStyle w:val="BookText"/>
      </w:pPr>
      <w:r>
        <w:rPr>
          <w:rFonts w:ascii="Amiri" w:hAnsi="Amiri" w:eastAsia="Amiri" w:cs="Amiri"/>
          <w:lang w:bidi="ar-SA"/>
          <w:color w:val="111111"/>
          <w:sz w:val="28"/>
          <w:szCs w:val="28"/>
          <w:rtl/>
        </w:rPr>
        <w:t xml:space="preserve">مسائل و اجوبة، ج 14، ص 494.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9" w:name="pg7742_69782"/>
    <w:bookmarkEnd w:id="199"/>
    <w:p>
      <w:pPr>
        <w:pStyle w:val="Heading2"/>
      </w:pPr>
      <w:bookmarkStart w:id="2234" w:name="_Toc1336"/>
      <w:r>
        <w:t>اصفهاني ، جلال الدین محمّد ، قرن 7 ه-</w:t>
      </w:r>
      <w:bookmarkEnd w:id="2234"/>
    </w:p>
    <w:p>
      <w:pPr>
        <w:pStyle w:val="BookText"/>
      </w:pPr>
      <w:r>
        <w:rPr>
          <w:rFonts w:ascii="Amiri" w:hAnsi="Amiri" w:eastAsia="Amiri" w:cs="Amiri"/>
          <w:lang w:bidi="ar-SA"/>
          <w:color w:val="111111"/>
          <w:sz w:val="28"/>
          <w:szCs w:val="28"/>
          <w:rtl/>
        </w:rPr>
        <w:t xml:space="preserve">تحفة الوزراء = تحفة الملوك = تحفه ، حمزه بن حسن</w:t>
      </w:r>
    </w:p>
    <w:p>
      <w:pPr>
        <w:pStyle w:val="BookText"/>
      </w:pPr>
      <w:r>
        <w:rPr>
          <w:rFonts w:ascii="IRNazanin" w:hAnsi="IRNazanin" w:eastAsia="IRNazanin" w:cs="IRNazanin"/>
          <w:lang w:bidi="fa-IR"/>
          <w:color w:val="111111"/>
          <w:sz w:val="28"/>
          <w:szCs w:val="28"/>
          <w:rtl/>
        </w:rPr>
        <w:t xml:space="preserve">انوار، ج 4، ص 40.</w:t>
      </w:r>
    </w:p>
    <w:p>
      <w:pPr>
        <w:pStyle w:val="Heading2"/>
      </w:pPr>
      <w:bookmarkStart w:id="2235" w:name="_Toc1337"/>
      <w:r>
        <w:t>اصفهاني ، جمال الدين</w:t>
      </w:r>
      <w:bookmarkEnd w:id="2235"/>
    </w:p>
    <w:p>
      <w:pPr>
        <w:pStyle w:val="BookText"/>
      </w:pPr>
      <w:r>
        <w:rPr>
          <w:rFonts w:ascii="IRNazanin" w:hAnsi="IRNazanin" w:eastAsia="IRNazanin" w:cs="IRNazanin"/>
          <w:lang w:bidi="fa-IR"/>
          <w:color w:val="111111"/>
          <w:sz w:val="28"/>
          <w:szCs w:val="28"/>
          <w:rtl/>
        </w:rPr>
        <w:t xml:space="preserve">صحائف الأعمال، ج 10، ص 484.</w:t>
      </w:r>
    </w:p>
    <w:p>
      <w:pPr>
        <w:pStyle w:val="BookText"/>
      </w:pPr>
      <w:r>
        <w:rPr>
          <w:rFonts w:ascii="Amiri" w:hAnsi="Amiri" w:eastAsia="Amiri" w:cs="Amiri"/>
          <w:lang w:bidi="ar-SA"/>
          <w:color w:val="111111"/>
          <w:sz w:val="28"/>
          <w:szCs w:val="28"/>
          <w:rtl/>
        </w:rPr>
        <w:t xml:space="preserve">اصفهاني ، خليل بن محمّد قائني اصفهاني</w:t>
      </w:r>
    </w:p>
    <w:p>
      <w:pPr>
        <w:pStyle w:val="Heading2"/>
      </w:pPr>
      <w:bookmarkStart w:id="2236" w:name="_Toc1338"/>
      <w:r>
        <w:t>اصفهاني حائري همداني ، عبدالرزاق بن</w:t>
      </w:r>
      <w:bookmarkEnd w:id="2236"/>
    </w:p>
    <w:p>
      <w:pPr>
        <w:pStyle w:val="BookText"/>
      </w:pPr>
      <w:r>
        <w:rPr>
          <w:rFonts w:ascii="IRNazanin" w:hAnsi="IRNazanin" w:eastAsia="IRNazanin" w:cs="IRNazanin"/>
          <w:lang w:bidi="fa-IR"/>
          <w:color w:val="111111"/>
          <w:sz w:val="28"/>
          <w:szCs w:val="28"/>
          <w:rtl/>
        </w:rPr>
        <w:t xml:space="preserve">،علیرضا 1293 - 1383 ه-</w:t>
      </w:r>
    </w:p>
    <w:p>
      <w:pPr>
        <w:pStyle w:val="BookText"/>
      </w:pPr>
      <w:r>
        <w:rPr>
          <w:rFonts w:ascii="Amiri" w:hAnsi="Amiri" w:eastAsia="Amiri" w:cs="Amiri"/>
          <w:lang w:bidi="ar-SA"/>
          <w:color w:val="111111"/>
          <w:sz w:val="28"/>
          <w:szCs w:val="28"/>
          <w:rtl/>
        </w:rPr>
        <w:t xml:space="preserve">تسهيل المشاكل، ج 4، ص 353.</w:t>
      </w:r>
    </w:p>
    <w:p>
      <w:pPr>
        <w:pStyle w:val="Heading2"/>
      </w:pPr>
      <w:bookmarkStart w:id="2237" w:name="_Toc1339"/>
      <w:r>
        <w:t>اصفهاني ، حسن بن احمد قرن 10 ه-</w:t>
      </w:r>
      <w:bookmarkEnd w:id="2237"/>
    </w:p>
    <w:p>
      <w:pPr>
        <w:pStyle w:val="BookText"/>
      </w:pPr>
      <w:r>
        <w:rPr>
          <w:rFonts w:ascii="Amiri" w:hAnsi="Amiri" w:eastAsia="Amiri" w:cs="Amiri"/>
          <w:lang w:bidi="ar-SA"/>
          <w:color w:val="111111"/>
          <w:sz w:val="28"/>
          <w:szCs w:val="28"/>
          <w:rtl/>
        </w:rPr>
        <w:t xml:space="preserve">بيان العيوب التي يجب أن يجتنبها اصفهاني ، محمّد بن صالح</w:t>
      </w:r>
    </w:p>
    <w:p>
      <w:pPr>
        <w:pStyle w:val="BookText"/>
      </w:pPr>
      <w:r>
        <w:rPr>
          <w:rFonts w:ascii="Amiri" w:hAnsi="Amiri" w:eastAsia="Amiri" w:cs="Amiri"/>
          <w:lang w:bidi="ar-SA"/>
          <w:color w:val="111111"/>
          <w:sz w:val="28"/>
          <w:szCs w:val="28"/>
          <w:rtl/>
        </w:rPr>
        <w:t xml:space="preserve">القراء وإيضاح الأدوات التي بني عليها</w:t>
      </w:r>
    </w:p>
    <w:p>
      <w:pPr>
        <w:pStyle w:val="BookText"/>
      </w:pPr>
      <w:r>
        <w:rPr>
          <w:rFonts w:ascii="IRNazanin" w:hAnsi="IRNazanin" w:eastAsia="IRNazanin" w:cs="IRNazanin"/>
          <w:lang w:bidi="fa-IR"/>
          <w:color w:val="111111"/>
          <w:sz w:val="28"/>
          <w:szCs w:val="28"/>
          <w:rtl/>
        </w:rPr>
        <w:t xml:space="preserve">الإقرار، ج 3، ص 477.</w:t>
      </w:r>
    </w:p>
    <w:p>
      <w:pPr>
        <w:pStyle w:val="BookText"/>
      </w:pPr>
      <w:r>
        <w:rPr>
          <w:rFonts w:ascii="Amiri" w:hAnsi="Amiri" w:eastAsia="Amiri" w:cs="Amiri"/>
          <w:lang w:bidi="ar-SA"/>
          <w:color w:val="111111"/>
          <w:sz w:val="28"/>
          <w:szCs w:val="28"/>
          <w:rtl/>
        </w:rPr>
        <w:t xml:space="preserve">اصفهاني ، حسن بن عبدالله- لغده</w:t>
      </w:r>
    </w:p>
    <w:p>
      <w:pPr>
        <w:pStyle w:val="BookText"/>
      </w:pPr>
      <w:r>
        <w:rPr>
          <w:rFonts w:ascii="Amiri" w:hAnsi="Amiri" w:eastAsia="Amiri" w:cs="Amiri"/>
          <w:lang w:bidi="ar-SA"/>
          <w:color w:val="111111"/>
          <w:sz w:val="28"/>
          <w:szCs w:val="28"/>
          <w:rtl/>
        </w:rPr>
        <w:t xml:space="preserve">اصفهاني ، حسن بن عبدالله</w:t>
      </w:r>
    </w:p>
    <w:p>
      <w:pPr>
        <w:pStyle w:val="Heading2"/>
      </w:pPr>
      <w:bookmarkStart w:id="2238" w:name="_Toc1340"/>
      <w:r>
        <w:t>اصفهاني ، حسن بن عبدالمطلب</w:t>
      </w:r>
      <w:bookmarkEnd w:id="2238"/>
    </w:p>
    <w:p>
      <w:pPr>
        <w:pStyle w:val="BookText"/>
      </w:pPr>
      <w:r>
        <w:rPr>
          <w:rFonts w:ascii="Amiri" w:hAnsi="Amiri" w:eastAsia="Amiri" w:cs="Amiri"/>
          <w:lang w:bidi="ar-SA"/>
          <w:color w:val="111111"/>
          <w:sz w:val="28"/>
          <w:szCs w:val="28"/>
          <w:rtl/>
        </w:rPr>
        <w:t xml:space="preserve">الادعية، ج 1، ص 605.</w:t>
      </w:r>
    </w:p>
    <w:p>
      <w:pPr>
        <w:pStyle w:val="Heading2"/>
      </w:pPr>
      <w:bookmarkStart w:id="2239" w:name="_Toc1341"/>
      <w:r>
        <w:t>اصفهاني حسن بن محمّد تقي - 1263ه-</w:t>
      </w:r>
      <w:bookmarkEnd w:id="2239"/>
    </w:p>
    <w:p>
      <w:pPr>
        <w:pStyle w:val="BookText"/>
      </w:pPr>
      <w:r>
        <w:rPr>
          <w:rFonts w:ascii="IRNazanin" w:hAnsi="IRNazanin" w:eastAsia="IRNazanin" w:cs="IRNazanin"/>
          <w:lang w:bidi="fa-IR"/>
          <w:color w:val="111111"/>
          <w:sz w:val="28"/>
          <w:szCs w:val="28"/>
          <w:rtl/>
        </w:rPr>
        <w:t xml:space="preserve">اعجاز القرآن، ج2، ص522.</w:t>
      </w:r>
    </w:p>
    <w:p>
      <w:pPr>
        <w:pStyle w:val="Heading2"/>
      </w:pPr>
      <w:bookmarkStart w:id="2240" w:name="_Toc1342"/>
      <w:r>
        <w:t>اصفهاني ، حسين، قرن 13ه-</w:t>
      </w:r>
      <w:bookmarkEnd w:id="2240"/>
    </w:p>
    <w:p>
      <w:pPr>
        <w:pStyle w:val="BookText"/>
      </w:pPr>
      <w:r>
        <w:rPr>
          <w:rFonts w:ascii="IRNazanin" w:hAnsi="IRNazanin" w:eastAsia="IRNazanin" w:cs="IRNazanin"/>
          <w:lang w:bidi="fa-IR"/>
          <w:color w:val="111111"/>
          <w:sz w:val="28"/>
          <w:szCs w:val="28"/>
          <w:rtl/>
        </w:rPr>
        <w:t xml:space="preserve">جنگ، ج 5، ص 470</w:t>
      </w:r>
    </w:p>
    <w:p>
      <w:pPr>
        <w:pStyle w:val="Heading2"/>
      </w:pPr>
      <w:bookmarkStart w:id="2241" w:name="_Toc1343"/>
      <w:r>
        <w:t>اصفهاني ، حسين بن يوسف</w:t>
      </w:r>
      <w:bookmarkEnd w:id="2241"/>
    </w:p>
    <w:p>
      <w:pPr>
        <w:pStyle w:val="BookText"/>
      </w:pPr>
      <w:r>
        <w:rPr>
          <w:rFonts w:ascii="Amiri" w:hAnsi="Amiri" w:eastAsia="Amiri" w:cs="Amiri"/>
          <w:lang w:bidi="ar-SA"/>
          <w:color w:val="111111"/>
          <w:sz w:val="28"/>
          <w:szCs w:val="28"/>
          <w:rtl/>
        </w:rPr>
        <w:t xml:space="preserve">زبدة النسخ، ج8، ص 594.</w:t>
      </w:r>
    </w:p>
    <w:p>
      <w:pPr>
        <w:pStyle w:val="BookText"/>
      </w:pPr>
      <w:r>
        <w:rPr>
          <w:rFonts w:ascii="Amiri" w:hAnsi="Amiri" w:eastAsia="Amiri" w:cs="Amiri"/>
          <w:lang w:bidi="ar-SA"/>
          <w:color w:val="111111"/>
          <w:sz w:val="28"/>
          <w:szCs w:val="28"/>
          <w:rtl/>
        </w:rPr>
        <w:t xml:space="preserve">اصفهاني ، حمزة بن حسن- حمزه اصفهاني</w:t>
      </w:r>
    </w:p>
    <w:p>
      <w:pPr>
        <w:pStyle w:val="BookText"/>
      </w:pPr>
      <w:r>
        <w:rPr>
          <w:rFonts w:ascii="Amiri" w:hAnsi="Amiri" w:eastAsia="Amiri" w:cs="Amiri"/>
          <w:lang w:bidi="ar-SA"/>
          <w:color w:val="111111"/>
          <w:sz w:val="28"/>
          <w:szCs w:val="28"/>
          <w:rtl/>
        </w:rPr>
        <w:t xml:space="preserve">اصفهاني خراساني ، محمّد مهدي -موسوي</w:t>
      </w:r>
    </w:p>
    <w:p>
      <w:pPr>
        <w:pStyle w:val="BookText"/>
      </w:pPr>
      <w:r>
        <w:rPr>
          <w:rFonts w:ascii="Amiri" w:hAnsi="Amiri" w:eastAsia="Amiri" w:cs="Amiri"/>
          <w:lang w:bidi="ar-SA"/>
          <w:color w:val="111111"/>
          <w:sz w:val="28"/>
          <w:szCs w:val="28"/>
          <w:rtl/>
        </w:rPr>
        <w:t xml:space="preserve">اصفهاني ، محمّد مهدي</w:t>
      </w:r>
    </w:p>
    <w:p>
      <w:pPr>
        <w:pStyle w:val="BookText"/>
      </w:pPr>
      <w:r>
        <w:rPr>
          <w:rFonts w:ascii="Amiri" w:hAnsi="Amiri" w:eastAsia="Amiri" w:cs="Amiri"/>
          <w:lang w:bidi="ar-SA"/>
          <w:color w:val="111111"/>
          <w:sz w:val="28"/>
          <w:szCs w:val="28"/>
          <w:rtl/>
        </w:rPr>
        <w:t xml:space="preserve">خليل بن محمّد اشرف</w:t>
      </w:r>
    </w:p>
    <w:p>
      <w:pPr>
        <w:pStyle w:val="BookText"/>
      </w:pPr>
      <w:r>
        <w:rPr>
          <w:rFonts w:ascii="Amiri" w:hAnsi="Amiri" w:eastAsia="Amiri" w:cs="Amiri"/>
          <w:lang w:bidi="ar-SA"/>
          <w:color w:val="111111"/>
          <w:sz w:val="28"/>
          <w:szCs w:val="28"/>
          <w:rtl/>
        </w:rPr>
        <w:t xml:space="preserve">اصفهاني دارايي ، محمّد جواد -قاهر</w:t>
      </w:r>
    </w:p>
    <w:p>
      <w:pPr>
        <w:pStyle w:val="BookText"/>
      </w:pPr>
      <w:r>
        <w:rPr>
          <w:rFonts w:ascii="Amiri" w:hAnsi="Amiri" w:eastAsia="Amiri" w:cs="Amiri"/>
          <w:lang w:bidi="ar-SA"/>
          <w:color w:val="111111"/>
          <w:sz w:val="28"/>
          <w:szCs w:val="28"/>
          <w:rtl/>
        </w:rPr>
        <w:t xml:space="preserve">اصفهاني ، محمّد جواد</w:t>
      </w:r>
    </w:p>
    <w:p>
      <w:pPr>
        <w:pStyle w:val="BookText"/>
      </w:pPr>
      <w:r>
        <w:rPr>
          <w:rFonts w:ascii="Amiri" w:hAnsi="Amiri" w:eastAsia="Amiri" w:cs="Amiri"/>
          <w:lang w:bidi="ar-SA"/>
          <w:color w:val="111111"/>
          <w:sz w:val="28"/>
          <w:szCs w:val="28"/>
          <w:rtl/>
        </w:rPr>
        <w:t xml:space="preserve">اصفهاني ، رجبعلي بن محمّد</w:t>
      </w:r>
    </w:p>
    <w:p>
      <w:pPr>
        <w:pStyle w:val="BookText"/>
      </w:pPr>
      <w:r>
        <w:rPr>
          <w:rFonts w:ascii="Amiri" w:hAnsi="Amiri" w:eastAsia="Amiri" w:cs="Amiri"/>
          <w:lang w:bidi="ar-SA"/>
          <w:color w:val="111111"/>
          <w:sz w:val="28"/>
          <w:szCs w:val="28"/>
          <w:rtl/>
        </w:rPr>
        <w:t xml:space="preserve">صالح- طوسي اصفهاني ، رجبعلي بن محمّد</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Amiri" w:hAnsi="Amiri" w:eastAsia="Amiri" w:cs="Amiri"/>
          <w:lang w:bidi="ar-SA"/>
          <w:color w:val="111111"/>
          <w:sz w:val="28"/>
          <w:szCs w:val="28"/>
          <w:rtl/>
        </w:rPr>
        <w:t xml:space="preserve">اصفهاني ، صدر الدين بن صالح -عاملي</w:t>
      </w:r>
    </w:p>
    <w:p>
      <w:pPr>
        <w:pStyle w:val="BookText"/>
      </w:pPr>
      <w:r>
        <w:rPr>
          <w:rFonts w:ascii="Amiri" w:hAnsi="Amiri" w:eastAsia="Amiri" w:cs="Amiri"/>
          <w:lang w:bidi="ar-SA"/>
          <w:color w:val="111111"/>
          <w:sz w:val="28"/>
          <w:szCs w:val="28"/>
          <w:rtl/>
        </w:rPr>
        <w:t xml:space="preserve">اصفهاني ، طاهر بن عرب- حافظ اصفهاني</w:t>
      </w:r>
    </w:p>
    <w:p>
      <w:pPr>
        <w:pStyle w:val="BookText"/>
      </w:pPr>
      <w:r>
        <w:rPr>
          <w:rFonts w:ascii="IRNazanin" w:hAnsi="IRNazanin" w:eastAsia="IRNazanin" w:cs="IRNazanin"/>
          <w:lang w:bidi="fa-IR"/>
          <w:color w:val="111111"/>
          <w:sz w:val="28"/>
          <w:szCs w:val="28"/>
          <w:rtl/>
        </w:rPr>
        <w:t xml:space="preserve">، محمّد طاهر بن عرب</w:t>
      </w:r>
    </w:p>
    <w:p>
      <w:pPr>
        <w:pStyle w:val="BookText"/>
      </w:pPr>
      <w:r>
        <w:rPr>
          <w:rFonts w:ascii="Amiri" w:hAnsi="Amiri" w:eastAsia="Amiri" w:cs="Amiri"/>
          <w:lang w:bidi="ar-SA"/>
          <w:color w:val="111111"/>
          <w:sz w:val="28"/>
          <w:szCs w:val="28"/>
          <w:rtl/>
        </w:rPr>
        <w:t xml:space="preserve">اصفهاني ، عاشق- عاشق اصفهاني ، محمّد</w:t>
      </w:r>
    </w:p>
    <w:p>
      <w:pPr>
        <w:pStyle w:val="Heading2"/>
      </w:pPr>
      <w:bookmarkStart w:id="2242" w:name="_Toc1344"/>
      <w:r>
        <w:t>اصفهاني ، عبدالجواد بن عبدالرحيم قرن</w:t>
      </w:r>
      <w:bookmarkEnd w:id="2242"/>
    </w:p>
    <w:p>
      <w:pPr>
        <w:pStyle w:val="BookText"/>
      </w:pPr>
      <w:r>
        <w:rPr>
          <w:rFonts w:ascii="IRNazanin" w:hAnsi="IRNazanin" w:eastAsia="IRNazanin" w:cs="IRNazanin"/>
          <w:lang w:bidi="fa-IR"/>
          <w:color w:val="111111"/>
          <w:sz w:val="28"/>
          <w:szCs w:val="28"/>
          <w:rtl/>
        </w:rPr>
        <w:t xml:space="preserve">14 ه-</w:t>
      </w:r>
    </w:p>
    <w:p>
      <w:pPr>
        <w:pStyle w:val="BookText"/>
      </w:pPr>
      <w:r>
        <w:rPr>
          <w:rFonts w:ascii="IRNazanin" w:hAnsi="IRNazanin" w:eastAsia="IRNazanin" w:cs="IRNazanin"/>
          <w:lang w:bidi="fa-IR"/>
          <w:color w:val="111111"/>
          <w:sz w:val="28"/>
          <w:szCs w:val="28"/>
          <w:rtl/>
        </w:rPr>
        <w:t xml:space="preserve">بحر المعجزات ، ج 3، ص 232.</w:t>
      </w:r>
    </w:p>
    <w:p>
      <w:pPr>
        <w:pStyle w:val="BookText"/>
      </w:pPr>
      <w:r>
        <w:rPr>
          <w:rFonts w:ascii="Amiri" w:hAnsi="Amiri" w:eastAsia="Amiri" w:cs="Amiri"/>
          <w:lang w:bidi="ar-SA"/>
          <w:color w:val="111111"/>
          <w:sz w:val="28"/>
          <w:szCs w:val="28"/>
          <w:rtl/>
        </w:rPr>
        <w:t xml:space="preserve">اصفهاني ، عبد الرحيم بن علي نجف</w:t>
      </w:r>
    </w:p>
    <w:p>
      <w:pPr>
        <w:pStyle w:val="BookText"/>
      </w:pPr>
      <w:r>
        <w:rPr>
          <w:rFonts w:ascii="Amiri" w:hAnsi="Amiri" w:eastAsia="Amiri" w:cs="Amiri"/>
          <w:lang w:bidi="ar-SA"/>
          <w:color w:val="111111"/>
          <w:sz w:val="28"/>
          <w:szCs w:val="28"/>
          <w:rtl/>
        </w:rPr>
        <w:t xml:space="preserve">آبادي اصفهاني ، عبدالرحيم بن علي</w:t>
      </w:r>
    </w:p>
    <w:p>
      <w:pPr>
        <w:pStyle w:val="BookText"/>
      </w:pPr>
      <w:r>
        <w:rPr>
          <w:rFonts w:ascii="Amiri" w:hAnsi="Amiri" w:eastAsia="Amiri" w:cs="Amiri"/>
          <w:lang w:bidi="ar-SA"/>
          <w:color w:val="111111"/>
          <w:sz w:val="28"/>
          <w:szCs w:val="28"/>
          <w:rtl/>
        </w:rPr>
        <w:t xml:space="preserve">اصفهاني ، عبد العظيم بن عليرضا حسيني</w:t>
      </w:r>
    </w:p>
    <w:p>
      <w:pPr>
        <w:pStyle w:val="BookText"/>
      </w:pPr>
      <w:r>
        <w:rPr>
          <w:rFonts w:ascii="Amiri" w:hAnsi="Amiri" w:eastAsia="Amiri" w:cs="Amiri"/>
          <w:lang w:bidi="ar-SA"/>
          <w:color w:val="111111"/>
          <w:sz w:val="28"/>
          <w:szCs w:val="28"/>
          <w:rtl/>
        </w:rPr>
        <w:t xml:space="preserve">اصفهاني ، عبد العظيم بن عليرضا</w:t>
      </w:r>
    </w:p>
    <w:p>
      <w:pPr>
        <w:pStyle w:val="Heading2"/>
      </w:pPr>
      <w:bookmarkStart w:id="2243" w:name="_Toc1345"/>
      <w:r>
        <w:t>اصفهاني ، عبدالله بن حيان</w:t>
      </w:r>
      <w:bookmarkEnd w:id="2243"/>
    </w:p>
    <w:p>
      <w:pPr>
        <w:pStyle w:val="BookText"/>
      </w:pPr>
      <w:r>
        <w:rPr>
          <w:rFonts w:ascii="Amiri" w:hAnsi="Amiri" w:eastAsia="Amiri" w:cs="Amiri"/>
          <w:lang w:bidi="ar-SA"/>
          <w:color w:val="111111"/>
          <w:sz w:val="28"/>
          <w:szCs w:val="28"/>
          <w:rtl/>
        </w:rPr>
        <w:t xml:space="preserve">جزء من أحاديث أبي الزبير عن غير</w:t>
      </w:r>
    </w:p>
    <w:p>
      <w:pPr>
        <w:pStyle w:val="BookText"/>
      </w:pPr>
      <w:r>
        <w:rPr>
          <w:rFonts w:ascii="IRNazanin" w:hAnsi="IRNazanin" w:eastAsia="IRNazanin" w:cs="IRNazanin"/>
          <w:lang w:bidi="fa-IR"/>
          <w:color w:val="111111"/>
          <w:sz w:val="28"/>
          <w:szCs w:val="28"/>
          <w:rtl/>
        </w:rPr>
        <w:t xml:space="preserve">جابر، ج 5، ص 382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0" w:name="pg7742_69784"/>
    <w:bookmarkEnd w:id="200"/>
    <w:p>
      <w:pPr>
        <w:pStyle w:val="Heading2"/>
      </w:pPr>
      <w:bookmarkStart w:id="2244" w:name="_Toc1346"/>
      <w:r>
        <w:t>اصفهاني ، عبدالله بن محمّد - 446 ه-</w:t>
      </w:r>
      <w:bookmarkEnd w:id="2244"/>
    </w:p>
    <w:p>
      <w:pPr>
        <w:pStyle w:val="BookText"/>
      </w:pPr>
      <w:r>
        <w:rPr>
          <w:rFonts w:ascii="Amiri" w:hAnsi="Amiri" w:eastAsia="Amiri" w:cs="Amiri"/>
          <w:lang w:bidi="ar-SA"/>
          <w:color w:val="111111"/>
          <w:sz w:val="28"/>
          <w:szCs w:val="28"/>
          <w:rtl/>
        </w:rPr>
        <w:t xml:space="preserve">الفائدة فى الاوزان و المقادير، ج 11</w:t>
      </w:r>
    </w:p>
    <w:p>
      <w:pPr>
        <w:pStyle w:val="BookText"/>
      </w:pPr>
      <w:r>
        <w:rPr>
          <w:rFonts w:ascii="IRNazanin" w:hAnsi="IRNazanin" w:eastAsia="IRNazanin" w:cs="IRNazanin"/>
          <w:lang w:bidi="fa-IR"/>
          <w:color w:val="111111"/>
          <w:sz w:val="28"/>
          <w:szCs w:val="28"/>
          <w:rtl/>
        </w:rPr>
        <w:t xml:space="preserve">ص 573</w:t>
      </w:r>
    </w:p>
    <w:p>
      <w:pPr>
        <w:pStyle w:val="BookText"/>
      </w:pPr>
      <w:r>
        <w:rPr>
          <w:rFonts w:ascii="Amiri" w:hAnsi="Amiri" w:eastAsia="Amiri" w:cs="Amiri"/>
          <w:lang w:bidi="ar-SA"/>
          <w:color w:val="111111"/>
          <w:sz w:val="28"/>
          <w:szCs w:val="28"/>
          <w:rtl/>
        </w:rPr>
        <w:t xml:space="preserve">اصفهاني ، عبدالله بن محمّد</w:t>
      </w:r>
    </w:p>
    <w:p>
      <w:pPr>
        <w:pStyle w:val="BookText"/>
      </w:pPr>
      <w:r>
        <w:rPr>
          <w:rFonts w:ascii="Amiri" w:hAnsi="Amiri" w:eastAsia="Amiri" w:cs="Amiri"/>
          <w:lang w:bidi="ar-SA"/>
          <w:color w:val="111111"/>
          <w:sz w:val="28"/>
          <w:szCs w:val="28"/>
          <w:rtl/>
        </w:rPr>
        <w:t xml:space="preserve">حسن -خوراسكاني اصفهاني ، عبدالله</w:t>
      </w:r>
    </w:p>
    <w:p>
      <w:pPr>
        <w:pStyle w:val="BookText"/>
      </w:pPr>
      <w:r>
        <w:rPr>
          <w:rFonts w:ascii="Amiri" w:hAnsi="Amiri" w:eastAsia="Amiri" w:cs="Amiri"/>
          <w:lang w:bidi="ar-SA"/>
          <w:color w:val="111111"/>
          <w:sz w:val="28"/>
          <w:szCs w:val="28"/>
          <w:rtl/>
        </w:rPr>
        <w:t xml:space="preserve">محمّد حسن</w:t>
      </w:r>
    </w:p>
    <w:p>
      <w:pPr>
        <w:pStyle w:val="Heading2"/>
      </w:pPr>
      <w:bookmarkStart w:id="2245" w:name="_Toc1347"/>
      <w:r>
        <w:t>اصفهاني ، عبدالله بن محمّد کاظم قرن</w:t>
      </w:r>
      <w:bookmarkEnd w:id="2245"/>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المقادير و الاوزان ج 15، ص 266.</w:t>
      </w:r>
    </w:p>
    <w:p>
      <w:pPr>
        <w:pStyle w:val="Heading2"/>
      </w:pPr>
      <w:bookmarkStart w:id="2246" w:name="_Toc1348"/>
      <w:r>
        <w:t>اصفهاني عبد المطلب بن حسن قرن 11ه-</w:t>
      </w:r>
      <w:bookmarkEnd w:id="2246"/>
    </w:p>
    <w:p>
      <w:pPr>
        <w:pStyle w:val="BookText"/>
      </w:pPr>
      <w:r>
        <w:rPr>
          <w:rFonts w:ascii="IRNazanin" w:hAnsi="IRNazanin" w:eastAsia="IRNazanin" w:cs="IRNazanin"/>
          <w:lang w:bidi="fa-IR"/>
          <w:color w:val="111111"/>
          <w:sz w:val="28"/>
          <w:szCs w:val="28"/>
          <w:rtl/>
        </w:rPr>
        <w:t xml:space="preserve">الصفات، ج 10، ص 562.</w:t>
      </w:r>
    </w:p>
    <w:p>
      <w:pPr>
        <w:pStyle w:val="Heading2"/>
      </w:pPr>
      <w:bookmarkStart w:id="2247" w:name="_Toc1349"/>
      <w:r>
        <w:t>اصفهاني، علي اكبر قرن 13 ه-</w:t>
      </w:r>
      <w:bookmarkEnd w:id="2247"/>
    </w:p>
    <w:p>
      <w:pPr>
        <w:pStyle w:val="BookText"/>
      </w:pPr>
      <w:r>
        <w:rPr>
          <w:rFonts w:ascii="IRNazanin" w:hAnsi="IRNazanin" w:eastAsia="IRNazanin" w:cs="IRNazanin"/>
          <w:lang w:bidi="fa-IR"/>
          <w:color w:val="111111"/>
          <w:sz w:val="28"/>
          <w:szCs w:val="28"/>
          <w:rtl/>
        </w:rPr>
        <w:t xml:space="preserve">دستور العمل، ج 7، ص383.</w:t>
      </w:r>
    </w:p>
    <w:p>
      <w:pPr>
        <w:pStyle w:val="BookText"/>
      </w:pPr>
      <w:r>
        <w:rPr>
          <w:rFonts w:ascii="IRNazanin" w:hAnsi="IRNazanin" w:eastAsia="IRNazanin" w:cs="IRNazanin"/>
          <w:lang w:bidi="fa-IR"/>
          <w:color w:val="111111"/>
          <w:sz w:val="28"/>
          <w:szCs w:val="28"/>
          <w:rtl/>
        </w:rPr>
        <w:t xml:space="preserve">اصفهاني ، علي بن داود ترکه اصفهاني ،</w:t>
      </w:r>
    </w:p>
    <w:p>
      <w:pPr>
        <w:pStyle w:val="BookText"/>
      </w:pPr>
      <w:r>
        <w:rPr>
          <w:rFonts w:ascii="Amiri" w:hAnsi="Amiri" w:eastAsia="Amiri" w:cs="Amiri"/>
          <w:lang w:bidi="ar-SA"/>
          <w:color w:val="111111"/>
          <w:sz w:val="28"/>
          <w:szCs w:val="28"/>
          <w:rtl/>
        </w:rPr>
        <w:t xml:space="preserve">علي بن محمّد</w:t>
      </w:r>
    </w:p>
    <w:p>
      <w:pPr>
        <w:pStyle w:val="Heading2"/>
      </w:pPr>
      <w:bookmarkStart w:id="2248" w:name="_Toc1350"/>
      <w:r>
        <w:t>اصفهاني ، علي محمّد بن محمّد علي</w:t>
      </w:r>
      <w:bookmarkEnd w:id="2248"/>
    </w:p>
    <w:p>
      <w:pPr>
        <w:pStyle w:val="BookText"/>
      </w:pPr>
      <w:r>
        <w:rPr>
          <w:rFonts w:ascii="Amiri" w:hAnsi="Amiri" w:eastAsia="Amiri" w:cs="Amiri"/>
          <w:lang w:bidi="ar-SA"/>
          <w:color w:val="111111"/>
          <w:sz w:val="28"/>
          <w:szCs w:val="28"/>
          <w:rtl/>
        </w:rPr>
        <w:t xml:space="preserve">توضيح الالغاز، ج 5، ص 171</w:t>
      </w:r>
    </w:p>
    <w:p>
      <w:pPr>
        <w:pStyle w:val="Heading2"/>
      </w:pPr>
      <w:bookmarkStart w:id="2249" w:name="_Toc1351"/>
      <w:r>
        <w:t>اصفهاني ، علينقي بن عبدالله</w:t>
      </w:r>
      <w:bookmarkEnd w:id="2249"/>
    </w:p>
    <w:p>
      <w:pPr>
        <w:pStyle w:val="BookText"/>
      </w:pPr>
      <w:r>
        <w:rPr>
          <w:rFonts w:ascii="IRNazanin" w:hAnsi="IRNazanin" w:eastAsia="IRNazanin" w:cs="IRNazanin"/>
          <w:lang w:bidi="fa-IR"/>
          <w:color w:val="111111"/>
          <w:sz w:val="28"/>
          <w:szCs w:val="28"/>
          <w:rtl/>
        </w:rPr>
        <w:t xml:space="preserve">الطاعون، ج 10، ص 733 .</w:t>
      </w:r>
    </w:p>
    <w:p>
      <w:pPr>
        <w:pStyle w:val="Heading2"/>
      </w:pPr>
      <w:bookmarkStart w:id="2250" w:name="_Toc1352"/>
      <w:r>
        <w:t>اصفهاني ، فتح الله بن محمّد</w:t>
      </w:r>
      <w:bookmarkEnd w:id="2250"/>
    </w:p>
    <w:p>
      <w:pPr>
        <w:pStyle w:val="BookText"/>
      </w:pPr>
      <w:r>
        <w:rPr>
          <w:rFonts w:ascii="IRNazanin" w:hAnsi="IRNazanin" w:eastAsia="IRNazanin" w:cs="IRNazanin"/>
          <w:lang w:bidi="fa-IR"/>
          <w:color w:val="111111"/>
          <w:sz w:val="28"/>
          <w:szCs w:val="28"/>
          <w:rtl/>
        </w:rPr>
        <w:t xml:space="preserve">جواد شریعت اصفهاني ، فتح الله بن محمّد</w:t>
      </w:r>
    </w:p>
    <w:p>
      <w:pPr>
        <w:pStyle w:val="BookText"/>
      </w:pPr>
      <w:r>
        <w:rPr>
          <w:rFonts w:ascii="IRNazanin" w:hAnsi="IRNazanin" w:eastAsia="IRNazanin" w:cs="IRNazanin"/>
          <w:lang w:bidi="fa-IR"/>
          <w:color w:val="111111"/>
          <w:sz w:val="28"/>
          <w:szCs w:val="28"/>
          <w:rtl/>
        </w:rPr>
        <w:t xml:space="preserve">جواد</w:t>
      </w:r>
    </w:p>
    <w:p>
      <w:pPr>
        <w:pStyle w:val="BookText"/>
      </w:pPr>
      <w:r>
        <w:rPr>
          <w:rFonts w:ascii="Amiri" w:hAnsi="Amiri" w:eastAsia="Amiri" w:cs="Amiri"/>
          <w:lang w:bidi="ar-SA"/>
          <w:color w:val="111111"/>
          <w:sz w:val="28"/>
          <w:szCs w:val="28"/>
          <w:rtl/>
        </w:rPr>
        <w:t xml:space="preserve">اصفهاني ، فروغ بن بهجت فروغ اصفهاني</w:t>
      </w:r>
    </w:p>
    <w:p>
      <w:pPr>
        <w:pStyle w:val="BookText"/>
      </w:pPr>
      <w:r>
        <w:rPr>
          <w:rFonts w:ascii="Amiri" w:hAnsi="Amiri" w:eastAsia="Amiri" w:cs="Amiri"/>
          <w:lang w:bidi="ar-SA"/>
          <w:color w:val="111111"/>
          <w:sz w:val="28"/>
          <w:szCs w:val="28"/>
          <w:rtl/>
        </w:rPr>
        <w:t xml:space="preserve">، محمّد مهدي بن باقر</w:t>
      </w:r>
    </w:p>
    <w:p>
      <w:pPr>
        <w:pStyle w:val="Heading2"/>
      </w:pPr>
      <w:bookmarkStart w:id="2251" w:name="_Toc1353"/>
      <w:r>
        <w:t>اصفهاني ، كمال الدين حسين</w:t>
      </w:r>
      <w:bookmarkEnd w:id="2251"/>
    </w:p>
    <w:p>
      <w:pPr>
        <w:pStyle w:val="BookText"/>
      </w:pPr>
      <w:r>
        <w:rPr>
          <w:rFonts w:ascii="Amiri" w:hAnsi="Amiri" w:eastAsia="Amiri" w:cs="Amiri"/>
          <w:lang w:bidi="ar-SA"/>
          <w:color w:val="111111"/>
          <w:sz w:val="28"/>
          <w:szCs w:val="28"/>
          <w:rtl/>
        </w:rPr>
        <w:t xml:space="preserve">شرح لغز لواقع رباني، ج 10، ص 82.</w:t>
      </w:r>
    </w:p>
    <w:p>
      <w:pPr>
        <w:pStyle w:val="Heading2"/>
      </w:pPr>
      <w:bookmarkStart w:id="2252" w:name="_Toc1354"/>
      <w:r>
        <w:t>اصفهاني کمپاني ، محمّد حسین بن محمّد</w:t>
      </w:r>
      <w:bookmarkEnd w:id="2252"/>
    </w:p>
    <w:p>
      <w:pPr>
        <w:pStyle w:val="BookText"/>
      </w:pPr>
      <w:r>
        <w:rPr>
          <w:rFonts w:ascii="IRNazanin" w:hAnsi="IRNazanin" w:eastAsia="IRNazanin" w:cs="IRNazanin"/>
          <w:lang w:bidi="fa-IR"/>
          <w:color w:val="111111"/>
          <w:sz w:val="28"/>
          <w:szCs w:val="28"/>
          <w:rtl/>
        </w:rPr>
        <w:t xml:space="preserve">حسن 1397 - 1362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الاجارة، ج 1، ص198.</w:t>
      </w:r>
    </w:p>
    <w:p>
      <w:pPr>
        <w:pStyle w:val="BookText"/>
      </w:pPr>
      <w:r>
        <w:rPr>
          <w:rFonts w:ascii="Amiri" w:hAnsi="Amiri" w:eastAsia="Amiri" w:cs="Amiri"/>
          <w:lang w:bidi="ar-SA"/>
          <w:color w:val="111111"/>
          <w:sz w:val="28"/>
          <w:szCs w:val="28"/>
          <w:rtl/>
        </w:rPr>
        <w:t xml:space="preserve">2 .اجازة لثقة الاسلام الساروي، ج 1،</w:t>
      </w:r>
    </w:p>
    <w:p>
      <w:pPr>
        <w:pStyle w:val="BookText"/>
      </w:pPr>
      <w:r>
        <w:rPr>
          <w:rFonts w:ascii="IRNazanin" w:hAnsi="IRNazanin" w:eastAsia="IRNazanin" w:cs="IRNazanin"/>
          <w:lang w:bidi="fa-IR"/>
          <w:color w:val="111111"/>
          <w:sz w:val="28"/>
          <w:szCs w:val="28"/>
          <w:rtl/>
        </w:rPr>
        <w:t xml:space="preserve">ص238.</w:t>
      </w:r>
    </w:p>
    <w:p>
      <w:pPr>
        <w:pStyle w:val="BookText"/>
      </w:pPr>
      <w:r>
        <w:rPr>
          <w:rFonts w:ascii="Amiri" w:hAnsi="Amiri" w:eastAsia="Amiri" w:cs="Amiri"/>
          <w:lang w:bidi="ar-SA"/>
          <w:color w:val="111111"/>
          <w:sz w:val="28"/>
          <w:szCs w:val="28"/>
          <w:rtl/>
        </w:rPr>
        <w:t xml:space="preserve">3.الاجتهاد والتقليد، ج 1، ص 304.</w:t>
      </w:r>
    </w:p>
    <w:p>
      <w:pPr>
        <w:pStyle w:val="BookText"/>
      </w:pPr>
      <w:r>
        <w:rPr>
          <w:rFonts w:ascii="Amiri" w:hAnsi="Amiri" w:eastAsia="Amiri" w:cs="Amiri"/>
          <w:lang w:bidi="ar-SA"/>
          <w:color w:val="111111"/>
          <w:sz w:val="28"/>
          <w:szCs w:val="28"/>
          <w:rtl/>
        </w:rPr>
        <w:t xml:space="preserve">4 .اخذ الاجرة على الواجبات، ج1،</w:t>
      </w:r>
    </w:p>
    <w:p>
      <w:pPr>
        <w:pStyle w:val="BookText"/>
      </w:pPr>
      <w:r>
        <w:rPr>
          <w:rFonts w:ascii="IRNazanin" w:hAnsi="IRNazanin" w:eastAsia="IRNazanin" w:cs="IRNazanin"/>
          <w:lang w:bidi="fa-IR"/>
          <w:color w:val="111111"/>
          <w:sz w:val="28"/>
          <w:szCs w:val="28"/>
          <w:rtl/>
        </w:rPr>
        <w:t xml:space="preserve">ص 566.</w:t>
      </w:r>
    </w:p>
    <w:p>
      <w:pPr>
        <w:pStyle w:val="BookText"/>
      </w:pPr>
      <w:r>
        <w:rPr>
          <w:rFonts w:ascii="Amiri" w:hAnsi="Amiri" w:eastAsia="Amiri" w:cs="Amiri"/>
          <w:lang w:bidi="ar-SA"/>
          <w:color w:val="111111"/>
          <w:sz w:val="28"/>
          <w:szCs w:val="28"/>
          <w:rtl/>
        </w:rPr>
        <w:t xml:space="preserve">5 .الاصول على النهج الحديث، ج 2،</w:t>
      </w:r>
    </w:p>
    <w:p>
      <w:pPr>
        <w:pStyle w:val="BookText"/>
      </w:pPr>
      <w:r>
        <w:rPr>
          <w:rFonts w:ascii="IRNazanin" w:hAnsi="IRNazanin" w:eastAsia="IRNazanin" w:cs="IRNazanin"/>
          <w:lang w:bidi="fa-IR"/>
          <w:color w:val="111111"/>
          <w:sz w:val="28"/>
          <w:szCs w:val="28"/>
          <w:rtl/>
        </w:rPr>
        <w:t xml:space="preserve">ص 429.</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6 .تحفة الحكيم، ج3، ص823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تفسير القرآن الكريم، ج4، ص 670.</w:t>
      </w:r>
    </w:p>
    <w:p>
      <w:pPr>
        <w:pStyle w:val="BookText"/>
      </w:pPr>
      <w:r>
        <w:rPr>
          <w:rFonts w:ascii="Amiri" w:hAnsi="Amiri" w:eastAsia="Amiri" w:cs="Amiri"/>
          <w:lang w:bidi="ar-SA"/>
          <w:color w:val="111111"/>
          <w:sz w:val="28"/>
          <w:szCs w:val="28"/>
          <w:rtl/>
        </w:rPr>
        <w:t xml:space="preserve">8 تقريرات فقهية، ج4، ص 766 .</w:t>
      </w:r>
    </w:p>
    <w:p>
      <w:pPr>
        <w:pStyle w:val="BookText"/>
      </w:pPr>
      <w:r>
        <w:rPr>
          <w:rFonts w:ascii="Amiri" w:hAnsi="Amiri" w:eastAsia="Amiri" w:cs="Amiri"/>
          <w:lang w:bidi="ar-SA"/>
          <w:color w:val="111111"/>
          <w:sz w:val="28"/>
          <w:szCs w:val="28"/>
          <w:rtl/>
        </w:rPr>
        <w:t xml:space="preserve">9 حاشية كفاية الاصول، ج 6، ص 335.</w:t>
      </w:r>
    </w:p>
    <w:p>
      <w:pPr>
        <w:pStyle w:val="BookText"/>
      </w:pPr>
      <w:r>
        <w:rPr>
          <w:rFonts w:ascii="Amiri" w:hAnsi="Amiri" w:eastAsia="Amiri" w:cs="Amiri"/>
          <w:lang w:bidi="ar-SA"/>
          <w:color w:val="111111"/>
          <w:sz w:val="28"/>
          <w:szCs w:val="28"/>
          <w:rtl/>
        </w:rPr>
        <w:t xml:space="preserve">10 .الطهارة، ج 10، ص 860.</w:t>
      </w:r>
    </w:p>
    <w:p>
      <w:pPr>
        <w:pStyle w:val="BookText"/>
      </w:pPr>
      <w:r>
        <w:rPr>
          <w:rFonts w:ascii="Amiri" w:hAnsi="Amiri" w:eastAsia="Amiri" w:cs="Amiri"/>
          <w:lang w:bidi="ar-SA"/>
          <w:color w:val="111111"/>
          <w:sz w:val="28"/>
          <w:szCs w:val="28"/>
          <w:rtl/>
        </w:rPr>
        <w:t xml:space="preserve">11.الفلسفة (رسالة في)، ج 12،</w:t>
      </w:r>
    </w:p>
    <w:p>
      <w:pPr>
        <w:pStyle w:val="BookText"/>
      </w:pPr>
      <w:r>
        <w:rPr>
          <w:rFonts w:ascii="IRNazanin" w:hAnsi="IRNazanin" w:eastAsia="IRNazanin" w:cs="IRNazanin"/>
          <w:lang w:bidi="fa-IR"/>
          <w:color w:val="111111"/>
          <w:sz w:val="28"/>
          <w:szCs w:val="28"/>
          <w:rtl/>
        </w:rPr>
        <w:t xml:space="preserve">ص 125 .</w:t>
      </w:r>
    </w:p>
    <w:p>
      <w:pPr>
        <w:pStyle w:val="BookText"/>
      </w:pPr>
      <w:r>
        <w:rPr>
          <w:rFonts w:ascii="Amiri" w:hAnsi="Amiri" w:eastAsia="Amiri" w:cs="Amiri"/>
          <w:lang w:bidi="ar-SA"/>
          <w:color w:val="111111"/>
          <w:sz w:val="28"/>
          <w:szCs w:val="28"/>
          <w:rtl/>
        </w:rPr>
        <w:t xml:space="preserve">12.قاعدة التجاوز و الفراغ و اصالة</w:t>
      </w:r>
    </w:p>
    <w:p>
      <w:pPr>
        <w:pStyle w:val="BookText"/>
      </w:pPr>
      <w:r>
        <w:rPr>
          <w:rFonts w:ascii="Amiri" w:hAnsi="Amiri" w:eastAsia="Amiri" w:cs="Amiri"/>
          <w:lang w:bidi="ar-SA"/>
          <w:color w:val="111111"/>
          <w:sz w:val="28"/>
          <w:szCs w:val="28"/>
          <w:rtl/>
        </w:rPr>
        <w:t xml:space="preserve">الصحة، ج 12، ص331.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قاعدة اليد، ج 12، ص 339.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نهاية الدراية في شرح الكفاية</w:t>
      </w:r>
    </w:p>
    <w:p>
      <w:pPr>
        <w:pStyle w:val="BookText"/>
      </w:pPr>
      <w:r>
        <w:rPr>
          <w:rFonts w:ascii="IRNazanin" w:hAnsi="IRNazanin" w:eastAsia="IRNazanin" w:cs="IRNazanin"/>
          <w:lang w:bidi="fa-IR"/>
          <w:color w:val="111111"/>
          <w:sz w:val="28"/>
          <w:szCs w:val="28"/>
          <w:rtl/>
        </w:rPr>
        <w:t xml:space="preserve">ج 16، ص 492 .</w:t>
      </w:r>
    </w:p>
    <w:p>
      <w:pPr>
        <w:pStyle w:val="Heading2"/>
      </w:pPr>
      <w:bookmarkStart w:id="2253" w:name="_Toc1355"/>
      <w:r>
        <w:t>اصفهاني ، محمّد</w:t>
      </w:r>
      <w:bookmarkEnd w:id="2253"/>
    </w:p>
    <w:p>
      <w:pPr>
        <w:pStyle w:val="BookText"/>
      </w:pPr>
      <w:r>
        <w:rPr>
          <w:rFonts w:ascii="Amiri" w:hAnsi="Amiri" w:eastAsia="Amiri" w:cs="Amiri"/>
          <w:lang w:bidi="ar-SA"/>
          <w:color w:val="111111"/>
          <w:sz w:val="28"/>
          <w:szCs w:val="28"/>
          <w:rtl/>
        </w:rPr>
        <w:t xml:space="preserve">1 .احكام السهو في الصلاة (رسالة في)،</w:t>
      </w:r>
    </w:p>
    <w:p>
      <w:pPr>
        <w:pStyle w:val="BookText"/>
      </w:pPr>
      <w:r>
        <w:rPr>
          <w:rFonts w:ascii="IRNazanin" w:hAnsi="IRNazanin" w:eastAsia="IRNazanin" w:cs="IRNazanin"/>
          <w:lang w:bidi="fa-IR"/>
          <w:color w:val="111111"/>
          <w:sz w:val="28"/>
          <w:szCs w:val="28"/>
          <w:rtl/>
        </w:rPr>
        <w:t xml:space="preserve">ج 1، ص 473.</w:t>
      </w:r>
    </w:p>
    <w:p>
      <w:pPr>
        <w:pStyle w:val="BookText"/>
      </w:pPr>
      <w:r>
        <w:rPr>
          <w:rFonts w:ascii="IRNazanin" w:hAnsi="IRNazanin" w:eastAsia="IRNazanin" w:cs="IRNazanin"/>
          <w:lang w:bidi="fa-IR"/>
          <w:color w:val="111111"/>
          <w:sz w:val="28"/>
          <w:szCs w:val="28"/>
          <w:rtl/>
        </w:rPr>
        <w:t xml:space="preserve">2 .الاستصحاب، ج2، ص 135.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اصول الفقه (رسالة في)، ج2،</w:t>
      </w:r>
    </w:p>
    <w:p>
      <w:pPr>
        <w:pStyle w:val="BookText"/>
      </w:pPr>
      <w:r>
        <w:rPr>
          <w:rFonts w:ascii="IRNazanin" w:hAnsi="IRNazanin" w:eastAsia="IRNazanin" w:cs="IRNazanin"/>
          <w:lang w:bidi="fa-IR"/>
          <w:color w:val="111111"/>
          <w:sz w:val="28"/>
          <w:szCs w:val="28"/>
          <w:rtl/>
        </w:rPr>
        <w:t xml:space="preserve">ص 442.</w:t>
      </w:r>
    </w:p>
    <w:p>
      <w:pPr>
        <w:pStyle w:val="BookText"/>
      </w:pPr>
      <w:r>
        <w:rPr>
          <w:rFonts w:ascii="Amiri" w:hAnsi="Amiri" w:eastAsia="Amiri" w:cs="Amiri"/>
          <w:lang w:bidi="ar-SA"/>
          <w:color w:val="111111"/>
          <w:sz w:val="28"/>
          <w:szCs w:val="28"/>
          <w:rtl/>
        </w:rPr>
        <w:t xml:space="preserve">4 .تقريرات السيد محمّد الاصفهاني</w:t>
      </w:r>
    </w:p>
    <w:p>
      <w:pPr>
        <w:pStyle w:val="BookText"/>
      </w:pPr>
      <w:r>
        <w:rPr>
          <w:rFonts w:ascii="IRNazanin" w:hAnsi="IRNazanin" w:eastAsia="IRNazanin" w:cs="IRNazanin"/>
          <w:lang w:bidi="fa-IR"/>
          <w:color w:val="111111"/>
          <w:sz w:val="28"/>
          <w:szCs w:val="28"/>
          <w:rtl/>
        </w:rPr>
        <w:t xml:space="preserve">ج 4، ص 756.</w:t>
      </w:r>
    </w:p>
    <w:p>
      <w:pPr>
        <w:pStyle w:val="BookText"/>
      </w:pPr>
      <w:r>
        <w:rPr>
          <w:rFonts w:ascii="Amiri" w:hAnsi="Amiri" w:eastAsia="Amiri" w:cs="Amiri"/>
          <w:lang w:bidi="ar-SA"/>
          <w:color w:val="111111"/>
          <w:sz w:val="28"/>
          <w:szCs w:val="28"/>
          <w:rtl/>
        </w:rPr>
        <w:t xml:space="preserve">5 .رسائل مختلفة، ج8، ص 152.</w:t>
      </w:r>
    </w:p>
    <w:p>
      <w:pPr>
        <w:pStyle w:val="BookText"/>
      </w:pPr>
      <w:r>
        <w:rPr>
          <w:rFonts w:ascii="Amiri" w:hAnsi="Amiri" w:eastAsia="Amiri" w:cs="Amiri"/>
          <w:lang w:bidi="ar-SA"/>
          <w:color w:val="111111"/>
          <w:sz w:val="28"/>
          <w:szCs w:val="28"/>
          <w:rtl/>
        </w:rPr>
        <w:t xml:space="preserve">6 .مسائل متفرقة، ج 14، ص 484.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1" w:name="pg7742_69786"/>
    <w:bookmarkEnd w:id="201"/>
    <w:p>
      <w:pPr>
        <w:pStyle w:val="Heading2"/>
      </w:pPr>
      <w:bookmarkStart w:id="2254" w:name="_Toc1356"/>
      <w:r>
        <w:t>اصفهاني ، محمّد ابراهيم</w:t>
      </w:r>
      <w:bookmarkEnd w:id="2254"/>
    </w:p>
    <w:p>
      <w:pPr>
        <w:pStyle w:val="BookText"/>
      </w:pPr>
      <w:r>
        <w:rPr>
          <w:rFonts w:ascii="Amiri" w:hAnsi="Amiri" w:eastAsia="Amiri" w:cs="Amiri"/>
          <w:lang w:bidi="ar-SA"/>
          <w:color w:val="111111"/>
          <w:sz w:val="28"/>
          <w:szCs w:val="28"/>
          <w:rtl/>
        </w:rPr>
        <w:t xml:space="preserve">الحياة بعد الموت، ج 6، ص 852.</w:t>
      </w:r>
    </w:p>
    <w:p>
      <w:pPr>
        <w:pStyle w:val="Heading2"/>
      </w:pPr>
      <w:bookmarkStart w:id="2255" w:name="_Toc1357"/>
      <w:r>
        <w:t>اصفهاني ، محمّد اسماعیل بن محمّد جان</w:t>
      </w:r>
      <w:bookmarkEnd w:id="2255"/>
    </w:p>
    <w:p>
      <w:pPr>
        <w:pStyle w:val="BookText"/>
      </w:pPr>
      <w:r>
        <w:rPr>
          <w:rFonts w:ascii="Amiri" w:hAnsi="Amiri" w:eastAsia="Amiri" w:cs="Amiri"/>
          <w:lang w:bidi="ar-SA"/>
          <w:color w:val="111111"/>
          <w:sz w:val="28"/>
          <w:szCs w:val="28"/>
          <w:rtl/>
        </w:rPr>
        <w:t xml:space="preserve">حاشية المثناة بالتكرير، ج 6، ص 347.</w:t>
      </w:r>
    </w:p>
    <w:p>
      <w:pPr>
        <w:pStyle w:val="BookText"/>
      </w:pPr>
      <w:r>
        <w:rPr>
          <w:rFonts w:ascii="IRNazanin" w:hAnsi="IRNazanin" w:eastAsia="IRNazanin" w:cs="IRNazanin"/>
          <w:lang w:bidi="fa-IR"/>
          <w:color w:val="111111"/>
          <w:sz w:val="28"/>
          <w:szCs w:val="28"/>
          <w:rtl/>
        </w:rPr>
        <w:t xml:space="preserve">اصفهاني ، محمّد باقر بن مرتضى- درچهاي</w:t>
      </w:r>
    </w:p>
    <w:p>
      <w:pPr>
        <w:pStyle w:val="BookText"/>
      </w:pPr>
      <w:r>
        <w:rPr>
          <w:rFonts w:ascii="Amiri" w:hAnsi="Amiri" w:eastAsia="Amiri" w:cs="Amiri"/>
          <w:lang w:bidi="ar-SA"/>
          <w:color w:val="111111"/>
          <w:sz w:val="28"/>
          <w:szCs w:val="28"/>
          <w:rtl/>
        </w:rPr>
        <w:t xml:space="preserve">اصفهاني ، محمّد باقر بن مرتضى</w:t>
      </w:r>
    </w:p>
    <w:p>
      <w:pPr>
        <w:pStyle w:val="BookText"/>
      </w:pPr>
      <w:r>
        <w:rPr>
          <w:rFonts w:ascii="Amiri" w:hAnsi="Amiri" w:eastAsia="Amiri" w:cs="Amiri"/>
          <w:lang w:bidi="ar-SA"/>
          <w:color w:val="111111"/>
          <w:sz w:val="28"/>
          <w:szCs w:val="28"/>
          <w:rtl/>
        </w:rPr>
        <w:t xml:space="preserve">اصفهاني ، محمد باقر -بهبهاني اصفهاني ،</w:t>
      </w:r>
    </w:p>
    <w:p>
      <w:pPr>
        <w:pStyle w:val="BookText"/>
      </w:pPr>
      <w:r>
        <w:rPr>
          <w:rFonts w:ascii="Amiri" w:hAnsi="Amiri" w:eastAsia="Amiri" w:cs="Amiri"/>
          <w:lang w:bidi="ar-SA"/>
          <w:color w:val="111111"/>
          <w:sz w:val="28"/>
          <w:szCs w:val="28"/>
          <w:rtl/>
        </w:rPr>
        <w:t xml:space="preserve">محمّد باقر</w:t>
      </w:r>
    </w:p>
    <w:p>
      <w:pPr>
        <w:pStyle w:val="BookText"/>
      </w:pPr>
      <w:r>
        <w:rPr>
          <w:rFonts w:ascii="IRNazanin" w:hAnsi="IRNazanin" w:eastAsia="IRNazanin" w:cs="IRNazanin"/>
          <w:lang w:bidi="fa-IR"/>
          <w:color w:val="111111"/>
          <w:sz w:val="28"/>
          <w:szCs w:val="28"/>
          <w:rtl/>
        </w:rPr>
        <w:t xml:space="preserve">اصفهاني ، محمّد بن ابي تراب- گلستانه</w:t>
      </w:r>
    </w:p>
    <w:p>
      <w:pPr>
        <w:pStyle w:val="BookText"/>
      </w:pPr>
      <w:r>
        <w:rPr>
          <w:rFonts w:ascii="Amiri" w:hAnsi="Amiri" w:eastAsia="Amiri" w:cs="Amiri"/>
          <w:lang w:bidi="ar-SA"/>
          <w:color w:val="111111"/>
          <w:sz w:val="28"/>
          <w:szCs w:val="28"/>
          <w:rtl/>
        </w:rPr>
        <w:t xml:space="preserve">اصفهاني ، محمّد بن ابي تراب</w:t>
      </w:r>
    </w:p>
    <w:p>
      <w:pPr>
        <w:pStyle w:val="Heading2"/>
      </w:pPr>
      <w:bookmarkStart w:id="2256" w:name="_Toc1358"/>
      <w:r>
        <w:t>اصفهاني ، محمّد بن اسامه ، قرن 7 ه-</w:t>
      </w:r>
      <w:bookmarkEnd w:id="2256"/>
    </w:p>
    <w:p>
      <w:pPr>
        <w:pStyle w:val="BookText"/>
      </w:pPr>
      <w:r>
        <w:rPr>
          <w:rFonts w:ascii="IRNazanin" w:hAnsi="IRNazanin" w:eastAsia="IRNazanin" w:cs="IRNazanin"/>
          <w:lang w:bidi="fa-IR"/>
          <w:color w:val="111111"/>
          <w:sz w:val="28"/>
          <w:szCs w:val="28"/>
          <w:rtl/>
        </w:rPr>
        <w:t xml:space="preserve">1 .اوراد الاسبوع، ج 3، ص 63.</w:t>
      </w:r>
    </w:p>
    <w:p>
      <w:pPr>
        <w:pStyle w:val="BookText"/>
      </w:pPr>
      <w:r>
        <w:rPr>
          <w:rFonts w:ascii="Amiri" w:hAnsi="Amiri" w:eastAsia="Amiri" w:cs="Amiri"/>
          <w:lang w:bidi="ar-SA"/>
          <w:color w:val="111111"/>
          <w:sz w:val="28"/>
          <w:szCs w:val="28"/>
          <w:rtl/>
        </w:rPr>
        <w:t xml:space="preserve">2 .شرح جواهر الآيات = اوراد قرآني = الادعية و الاوراد، ج 9، ص 374.</w:t>
      </w:r>
    </w:p>
    <w:p>
      <w:pPr>
        <w:pStyle w:val="BookText"/>
      </w:pPr>
      <w:r>
        <w:rPr>
          <w:rFonts w:ascii="Amiri" w:hAnsi="Amiri" w:eastAsia="Amiri" w:cs="Amiri"/>
          <w:lang w:bidi="ar-SA"/>
          <w:color w:val="111111"/>
          <w:sz w:val="28"/>
          <w:szCs w:val="28"/>
          <w:rtl/>
        </w:rPr>
        <w:t xml:space="preserve">اصفهاني ، محمّد بن حسن- مطلب</w:t>
      </w:r>
    </w:p>
    <w:p>
      <w:pPr>
        <w:pStyle w:val="BookText"/>
      </w:pPr>
      <w:r>
        <w:rPr>
          <w:rFonts w:ascii="Amiri" w:hAnsi="Amiri" w:eastAsia="Amiri" w:cs="Amiri"/>
          <w:lang w:bidi="ar-SA"/>
          <w:color w:val="111111"/>
          <w:sz w:val="28"/>
          <w:szCs w:val="28"/>
          <w:rtl/>
        </w:rPr>
        <w:t xml:space="preserve">اصفهاني ، محمّد بن حسن</w:t>
      </w:r>
    </w:p>
    <w:p>
      <w:pPr>
        <w:pStyle w:val="Heading2"/>
      </w:pPr>
      <w:bookmarkStart w:id="2257" w:name="_Toc1359"/>
      <w:r>
        <w:t>اصفهاني ، محمّد بن عبدالله - 360 ه-</w:t>
      </w:r>
      <w:bookmarkEnd w:id="2257"/>
    </w:p>
    <w:p>
      <w:pPr>
        <w:pStyle w:val="BookText"/>
      </w:pPr>
      <w:r>
        <w:rPr>
          <w:rFonts w:ascii="Amiri" w:hAnsi="Amiri" w:eastAsia="Amiri" w:cs="Amiri"/>
          <w:lang w:bidi="ar-SA"/>
          <w:color w:val="111111"/>
          <w:sz w:val="28"/>
          <w:szCs w:val="28"/>
          <w:rtl/>
        </w:rPr>
        <w:t xml:space="preserve">رياضة الالسنة، ج 8، ص 479.</w:t>
      </w:r>
    </w:p>
    <w:p>
      <w:pPr>
        <w:pStyle w:val="Heading2"/>
      </w:pPr>
      <w:bookmarkStart w:id="2258" w:name="_Toc1360"/>
      <w:r>
        <w:t>اصفهاني محمّد بن محمّد زمان قرن 12ه-</w:t>
      </w:r>
      <w:bookmarkEnd w:id="2258"/>
    </w:p>
    <w:p>
      <w:pPr>
        <w:pStyle w:val="BookText"/>
      </w:pPr>
      <w:r>
        <w:rPr>
          <w:rFonts w:ascii="IRNazanin" w:hAnsi="IRNazanin" w:eastAsia="IRNazanin" w:cs="IRNazanin"/>
          <w:lang w:bidi="fa-IR"/>
          <w:color w:val="111111"/>
          <w:sz w:val="28"/>
          <w:szCs w:val="28"/>
          <w:rtl/>
        </w:rPr>
        <w:t xml:space="preserve">1 .الحق الصراح فيما لابد منه في ایجاب النكاح = القول السديد</w:t>
      </w:r>
    </w:p>
    <w:p>
      <w:pPr>
        <w:pStyle w:val="BookText"/>
      </w:pPr>
      <w:r>
        <w:rPr>
          <w:rFonts w:ascii="IRNazanin" w:hAnsi="IRNazanin" w:eastAsia="IRNazanin" w:cs="IRNazanin"/>
          <w:lang w:bidi="fa-IR"/>
          <w:color w:val="111111"/>
          <w:sz w:val="28"/>
          <w:szCs w:val="28"/>
          <w:rtl/>
        </w:rPr>
        <w:t xml:space="preserve">ج 6 ، ص 693 .</w:t>
      </w:r>
    </w:p>
    <w:p>
      <w:pPr>
        <w:pStyle w:val="BookText"/>
      </w:pPr>
      <w:r>
        <w:rPr>
          <w:rFonts w:ascii="Amiri" w:hAnsi="Amiri" w:eastAsia="Amiri" w:cs="Amiri"/>
          <w:lang w:bidi="ar-SA"/>
          <w:color w:val="111111"/>
          <w:sz w:val="28"/>
          <w:szCs w:val="28"/>
          <w:rtl/>
        </w:rPr>
        <w:t xml:space="preserve">2 .صيغ النكاح، ج 10، ص 683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قبله اثنا عشریه، ج 12، ص378.</w:t>
      </w:r>
    </w:p>
    <w:p>
      <w:pPr>
        <w:pStyle w:val="BookText"/>
      </w:pPr>
      <w:r>
        <w:rPr>
          <w:rFonts w:ascii="Amiri" w:hAnsi="Amiri" w:eastAsia="Amiri" w:cs="Amiri"/>
          <w:lang w:bidi="ar-SA"/>
          <w:color w:val="111111"/>
          <w:sz w:val="28"/>
          <w:szCs w:val="28"/>
          <w:rtl/>
        </w:rPr>
        <w:t xml:space="preserve">4 .نور الهدى = الزكاة بعد اخراج</w:t>
      </w:r>
    </w:p>
    <w:p>
      <w:pPr>
        <w:pStyle w:val="BookText"/>
      </w:pPr>
      <w:r>
        <w:rPr>
          <w:rFonts w:ascii="Amiri" w:hAnsi="Amiri" w:eastAsia="Amiri" w:cs="Amiri"/>
          <w:lang w:bidi="ar-SA"/>
          <w:color w:val="111111"/>
          <w:sz w:val="28"/>
          <w:szCs w:val="28"/>
          <w:rtl/>
        </w:rPr>
        <w:t xml:space="preserve">المؤونة، ج 16، ص 570.</w:t>
      </w:r>
    </w:p>
    <w:p>
      <w:pPr>
        <w:pStyle w:val="BookText"/>
      </w:pPr>
      <w:r>
        <w:rPr>
          <w:rFonts w:ascii="Amiri" w:hAnsi="Amiri" w:eastAsia="Amiri" w:cs="Amiri"/>
          <w:lang w:bidi="ar-SA"/>
          <w:color w:val="111111"/>
          <w:sz w:val="28"/>
          <w:szCs w:val="28"/>
          <w:rtl/>
        </w:rPr>
        <w:t xml:space="preserve">5 .هداية المسترشدين، ج 16، ص 631.</w:t>
      </w:r>
    </w:p>
    <w:p>
      <w:pPr>
        <w:pStyle w:val="Heading2"/>
      </w:pPr>
      <w:bookmarkStart w:id="2259" w:name="_Toc1361"/>
      <w:r>
        <w:t>اصفهاني ، محمّد بن محمود</w:t>
      </w:r>
      <w:bookmarkEnd w:id="2259"/>
    </w:p>
    <w:p>
      <w:pPr>
        <w:pStyle w:val="BookText"/>
      </w:pPr>
      <w:r>
        <w:rPr>
          <w:rFonts w:ascii="IRNazanin" w:hAnsi="IRNazanin" w:eastAsia="IRNazanin" w:cs="IRNazanin"/>
          <w:lang w:bidi="fa-IR"/>
          <w:color w:val="111111"/>
          <w:sz w:val="28"/>
          <w:szCs w:val="28"/>
          <w:rtl/>
        </w:rPr>
        <w:t xml:space="preserve">شرح منهاج الوصول إلى علم الاصول</w:t>
      </w:r>
    </w:p>
    <w:p>
      <w:pPr>
        <w:pStyle w:val="BookText"/>
      </w:pPr>
      <w:r>
        <w:rPr>
          <w:rFonts w:ascii="IRNazanin" w:hAnsi="IRNazanin" w:eastAsia="IRNazanin" w:cs="IRNazanin"/>
          <w:lang w:bidi="fa-IR"/>
          <w:color w:val="111111"/>
          <w:sz w:val="28"/>
          <w:szCs w:val="28"/>
          <w:rtl/>
        </w:rPr>
        <w:t xml:space="preserve">ج 10، ص 267.</w:t>
      </w:r>
    </w:p>
    <w:p>
      <w:pPr>
        <w:pStyle w:val="Heading2"/>
      </w:pPr>
      <w:bookmarkStart w:id="2260" w:name="_Toc1362"/>
      <w:r>
        <w:t>اصفهاني ، محمّد تقي</w:t>
      </w:r>
      <w:bookmarkEnd w:id="2260"/>
    </w:p>
    <w:p>
      <w:pPr>
        <w:pStyle w:val="BookText"/>
      </w:pPr>
      <w:r>
        <w:rPr>
          <w:rFonts w:ascii="Amiri" w:hAnsi="Amiri" w:eastAsia="Amiri" w:cs="Amiri"/>
          <w:lang w:bidi="ar-SA"/>
          <w:color w:val="111111"/>
          <w:sz w:val="28"/>
          <w:szCs w:val="28"/>
          <w:rtl/>
        </w:rPr>
        <w:t xml:space="preserve">حديث الرسول (ص) (رسالة في)، ج6،</w:t>
      </w:r>
    </w:p>
    <w:p>
      <w:pPr>
        <w:pStyle w:val="BookText"/>
      </w:pPr>
      <w:r>
        <w:rPr>
          <w:rFonts w:ascii="IRNazanin" w:hAnsi="IRNazanin" w:eastAsia="IRNazanin" w:cs="IRNazanin"/>
          <w:lang w:bidi="fa-IR"/>
          <w:color w:val="111111"/>
          <w:sz w:val="28"/>
          <w:szCs w:val="28"/>
          <w:rtl/>
        </w:rPr>
        <w:t xml:space="preserve">ص569.</w:t>
      </w:r>
    </w:p>
    <w:p>
      <w:pPr>
        <w:pStyle w:val="Heading2"/>
      </w:pPr>
      <w:bookmarkStart w:id="2261" w:name="_Toc1363"/>
      <w:r>
        <w:t>اصفهاني ، محمّد تقي بن عبد الرحيم</w:t>
      </w:r>
      <w:bookmarkEnd w:id="2261"/>
    </w:p>
    <w:p>
      <w:pPr>
        <w:pStyle w:val="BookText"/>
      </w:pPr>
      <w:r>
        <w:rPr>
          <w:rFonts w:ascii="IRNazanin" w:hAnsi="IRNazanin" w:eastAsia="IRNazanin" w:cs="IRNazanin"/>
          <w:lang w:bidi="fa-IR"/>
          <w:color w:val="111111"/>
          <w:sz w:val="28"/>
          <w:szCs w:val="28"/>
          <w:rtl/>
        </w:rPr>
        <w:t xml:space="preserve">1248ه-</w:t>
      </w:r>
    </w:p>
    <w:p>
      <w:pPr>
        <w:pStyle w:val="BookText"/>
      </w:pPr>
      <w:r>
        <w:rPr>
          <w:rFonts w:ascii="Amiri" w:hAnsi="Amiri" w:eastAsia="Amiri" w:cs="Amiri"/>
          <w:lang w:bidi="ar-SA"/>
          <w:color w:val="111111"/>
          <w:sz w:val="28"/>
          <w:szCs w:val="28"/>
          <w:rtl/>
        </w:rPr>
        <w:t xml:space="preserve">1 .تبصرة الفقهاء، ج 3، ص 639.</w:t>
      </w:r>
    </w:p>
    <w:p>
      <w:pPr>
        <w:pStyle w:val="BookText"/>
      </w:pPr>
      <w:r>
        <w:rPr>
          <w:rFonts w:ascii="Amiri" w:hAnsi="Amiri" w:eastAsia="Amiri" w:cs="Amiri"/>
          <w:lang w:bidi="ar-SA"/>
          <w:color w:val="111111"/>
          <w:sz w:val="28"/>
          <w:szCs w:val="28"/>
          <w:rtl/>
        </w:rPr>
        <w:t xml:space="preserve">2 .هداية المسترشدين في شرح معالم</w:t>
      </w:r>
    </w:p>
    <w:p>
      <w:pPr>
        <w:pStyle w:val="BookText"/>
      </w:pPr>
      <w:r>
        <w:rPr>
          <w:rFonts w:ascii="Amiri" w:hAnsi="Amiri" w:eastAsia="Amiri" w:cs="Amiri"/>
          <w:lang w:bidi="ar-SA"/>
          <w:color w:val="111111"/>
          <w:sz w:val="28"/>
          <w:szCs w:val="28"/>
          <w:rtl/>
        </w:rPr>
        <w:t xml:space="preserve">الدين، ج16، ص 632.</w:t>
      </w:r>
    </w:p>
    <w:p>
      <w:pPr>
        <w:pStyle w:val="Heading2"/>
      </w:pPr>
      <w:bookmarkStart w:id="2262" w:name="_Toc1364"/>
      <w:r>
        <w:t>اصفهاني ، محمّد جعفر</w:t>
      </w:r>
      <w:bookmarkEnd w:id="2262"/>
    </w:p>
    <w:p>
      <w:pPr>
        <w:pStyle w:val="BookText"/>
      </w:pPr>
      <w:r>
        <w:rPr>
          <w:rFonts w:ascii="Amiri" w:hAnsi="Amiri" w:eastAsia="Amiri" w:cs="Amiri"/>
          <w:lang w:bidi="ar-SA"/>
          <w:color w:val="111111"/>
          <w:sz w:val="28"/>
          <w:szCs w:val="28"/>
          <w:rtl/>
        </w:rPr>
        <w:t xml:space="preserve">1 .الاغسال (رسالة في)، ج 2، ص 586.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التجارة، ج 3، ص 682.</w:t>
      </w:r>
    </w:p>
    <w:p>
      <w:pPr>
        <w:pStyle w:val="Heading2"/>
      </w:pPr>
      <w:bookmarkStart w:id="2263" w:name="_Toc1365"/>
      <w:r>
        <w:t>اصفهاني ، محمّد جعفر، قرن 10 ه-</w:t>
      </w:r>
      <w:bookmarkEnd w:id="2263"/>
    </w:p>
    <w:p>
      <w:pPr>
        <w:pStyle w:val="BookText"/>
      </w:pPr>
      <w:r>
        <w:rPr>
          <w:rFonts w:ascii="IRNazanin" w:hAnsi="IRNazanin" w:eastAsia="IRNazanin" w:cs="IRNazanin"/>
          <w:lang w:bidi="fa-IR"/>
          <w:color w:val="111111"/>
          <w:sz w:val="28"/>
          <w:szCs w:val="28"/>
          <w:rtl/>
        </w:rPr>
        <w:t xml:space="preserve">تداخل الاسباب، ج 4 ، ص 164.</w:t>
      </w:r>
    </w:p>
    <w:p>
      <w:pPr>
        <w:pStyle w:val="Heading2"/>
      </w:pPr>
      <w:bookmarkStart w:id="2264" w:name="_Toc1366"/>
      <w:r>
        <w:t>اصفهاني ، محمّد جعفر</w:t>
      </w:r>
      <w:bookmarkEnd w:id="2264"/>
    </w:p>
    <w:p>
      <w:pPr>
        <w:pStyle w:val="BookText"/>
      </w:pPr>
      <w:r>
        <w:rPr>
          <w:rFonts w:ascii="Amiri" w:hAnsi="Amiri" w:eastAsia="Amiri" w:cs="Amiri"/>
          <w:lang w:bidi="ar-SA"/>
          <w:color w:val="111111"/>
          <w:sz w:val="28"/>
          <w:szCs w:val="28"/>
          <w:rtl/>
        </w:rPr>
        <w:t xml:space="preserve">1 .الشك في الطهارة و الحدث (رسالة</w:t>
      </w:r>
    </w:p>
    <w:p>
      <w:pPr>
        <w:pStyle w:val="BookText"/>
      </w:pPr>
      <w:r>
        <w:rPr>
          <w:rFonts w:ascii="Amiri" w:hAnsi="Amiri" w:eastAsia="Amiri" w:cs="Amiri"/>
          <w:lang w:bidi="ar-SA"/>
          <w:color w:val="111111"/>
          <w:sz w:val="28"/>
          <w:szCs w:val="28"/>
          <w:rtl/>
        </w:rPr>
        <w:t xml:space="preserve">في)، ج 10، ص 403.</w:t>
      </w:r>
    </w:p>
    <w:p>
      <w:pPr>
        <w:pStyle w:val="BookText"/>
      </w:pPr>
      <w:r>
        <w:rPr>
          <w:rFonts w:ascii="Amiri" w:hAnsi="Amiri" w:eastAsia="Amiri" w:cs="Amiri"/>
          <w:lang w:bidi="ar-SA"/>
          <w:color w:val="111111"/>
          <w:sz w:val="28"/>
          <w:szCs w:val="28"/>
          <w:rtl/>
        </w:rPr>
        <w:t xml:space="preserve">2 .الشهرة (رسالة في)، ج 10، ص 436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المفاهيم، ج 15 ص 181.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النهي في العبادة و العبادات (رسالة</w:t>
      </w:r>
    </w:p>
    <w:p>
      <w:pPr>
        <w:pStyle w:val="BookText"/>
      </w:pPr>
      <w:r>
        <w:rPr>
          <w:rFonts w:ascii="Amiri" w:hAnsi="Amiri" w:eastAsia="Amiri" w:cs="Amiri"/>
          <w:lang w:bidi="ar-SA"/>
          <w:color w:val="111111"/>
          <w:sz w:val="28"/>
          <w:szCs w:val="28"/>
          <w:rtl/>
        </w:rPr>
        <w:t xml:space="preserve">في)، ج 16، ص 535.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2" w:name="pg7742_69787"/>
    <w:bookmarkEnd w:id="202"/>
    <w:p>
      <w:pPr>
        <w:pStyle w:val="Heading2"/>
      </w:pPr>
      <w:bookmarkStart w:id="2265" w:name="_Toc1367"/>
      <w:r>
        <w:t>اصفهاني ، محمّد حسن بن كرمعلي، قرن</w:t>
      </w:r>
      <w:bookmarkEnd w:id="2265"/>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الكشكول، ج 13، ص 287 .</w:t>
      </w:r>
    </w:p>
    <w:p>
      <w:pPr>
        <w:pStyle w:val="BookText"/>
      </w:pPr>
      <w:r>
        <w:rPr>
          <w:rFonts w:ascii="IRNazanin" w:hAnsi="IRNazanin" w:eastAsia="IRNazanin" w:cs="IRNazanin"/>
          <w:lang w:bidi="fa-IR"/>
          <w:color w:val="111111"/>
          <w:sz w:val="28"/>
          <w:szCs w:val="28"/>
          <w:rtl/>
        </w:rPr>
        <w:t xml:space="preserve">اصفهاني ، محمّد حسین بن عبد</w:t>
      </w:r>
    </w:p>
    <w:p>
      <w:pPr>
        <w:pStyle w:val="BookText"/>
      </w:pPr>
      <w:r>
        <w:rPr>
          <w:rFonts w:ascii="Amiri" w:hAnsi="Amiri" w:eastAsia="Amiri" w:cs="Amiri"/>
          <w:lang w:bidi="ar-SA"/>
          <w:color w:val="111111"/>
          <w:sz w:val="28"/>
          <w:szCs w:val="28"/>
          <w:rtl/>
        </w:rPr>
        <w:t xml:space="preserve">الرحيم -حائري اصفهاني ، محمّد حسين بن</w:t>
      </w:r>
    </w:p>
    <w:p>
      <w:pPr>
        <w:pStyle w:val="BookText"/>
      </w:pPr>
      <w:r>
        <w:rPr>
          <w:rFonts w:ascii="Amiri" w:hAnsi="Amiri" w:eastAsia="Amiri" w:cs="Amiri"/>
          <w:lang w:bidi="ar-SA"/>
          <w:color w:val="111111"/>
          <w:sz w:val="28"/>
          <w:szCs w:val="28"/>
          <w:rtl/>
        </w:rPr>
        <w:t xml:space="preserve">عبد الرحيم</w:t>
      </w:r>
    </w:p>
    <w:p>
      <w:pPr>
        <w:pStyle w:val="Heading2"/>
      </w:pPr>
      <w:bookmarkStart w:id="2266" w:name="_Toc1368"/>
      <w:r>
        <w:t>اصفهاني ، محمّد حسين بن علي اكبر قرن</w:t>
      </w:r>
      <w:bookmarkEnd w:id="2266"/>
    </w:p>
    <w:p>
      <w:pPr>
        <w:pStyle w:val="BookText"/>
      </w:pPr>
      <w:r>
        <w:rPr>
          <w:rFonts w:ascii="IRNazanin" w:hAnsi="IRNazanin" w:eastAsia="IRNazanin" w:cs="IRNazanin"/>
          <w:lang w:bidi="fa-IR"/>
          <w:color w:val="111111"/>
          <w:sz w:val="28"/>
          <w:szCs w:val="28"/>
          <w:rtl/>
        </w:rPr>
        <w:t xml:space="preserve">13 ه-</w:t>
      </w:r>
    </w:p>
    <w:p>
      <w:pPr>
        <w:pStyle w:val="BookText"/>
      </w:pPr>
      <w:r>
        <w:rPr>
          <w:rFonts w:ascii="IRNazanin" w:hAnsi="IRNazanin" w:eastAsia="IRNazanin" w:cs="IRNazanin"/>
          <w:lang w:bidi="fa-IR"/>
          <w:color w:val="111111"/>
          <w:sz w:val="28"/>
          <w:szCs w:val="28"/>
          <w:rtl/>
        </w:rPr>
        <w:t xml:space="preserve">دروس الاصول، ج 7، ص 368.</w:t>
      </w:r>
    </w:p>
    <w:p>
      <w:pPr>
        <w:pStyle w:val="Heading2"/>
      </w:pPr>
      <w:bookmarkStart w:id="2267" w:name="_Toc1369"/>
      <w:r>
        <w:t>اصفهاني ، محمّد حسین بن محمّد قرن</w:t>
      </w:r>
      <w:bookmarkEnd w:id="2267"/>
    </w:p>
    <w:p>
      <w:pPr>
        <w:pStyle w:val="BookText"/>
      </w:pPr>
      <w:r>
        <w:rPr>
          <w:rFonts w:ascii="IRNazanin" w:hAnsi="IRNazanin" w:eastAsia="IRNazanin" w:cs="IRNazanin"/>
          <w:lang w:bidi="fa-IR"/>
          <w:color w:val="111111"/>
          <w:sz w:val="28"/>
          <w:szCs w:val="28"/>
          <w:rtl/>
        </w:rPr>
        <w:t xml:space="preserve">14 ه-</w:t>
      </w:r>
    </w:p>
    <w:p>
      <w:pPr>
        <w:pStyle w:val="BookText"/>
      </w:pPr>
      <w:r>
        <w:rPr>
          <w:rFonts w:ascii="Amiri" w:hAnsi="Amiri" w:eastAsia="Amiri" w:cs="Amiri"/>
          <w:lang w:bidi="ar-SA"/>
          <w:color w:val="111111"/>
          <w:sz w:val="28"/>
          <w:szCs w:val="28"/>
          <w:rtl/>
        </w:rPr>
        <w:t xml:space="preserve">1 .صلاة الجماعة، ج 10، ص 594.</w:t>
      </w:r>
    </w:p>
    <w:p>
      <w:pPr>
        <w:pStyle w:val="BookText"/>
      </w:pPr>
      <w:r>
        <w:rPr>
          <w:rFonts w:ascii="Amiri" w:hAnsi="Amiri" w:eastAsia="Amiri" w:cs="Amiri"/>
          <w:lang w:bidi="ar-SA"/>
          <w:color w:val="111111"/>
          <w:sz w:val="28"/>
          <w:szCs w:val="28"/>
          <w:rtl/>
        </w:rPr>
        <w:t xml:space="preserve">2 .صلاة المسافر، ج 10، ص 614.</w:t>
      </w:r>
    </w:p>
    <w:p>
      <w:pPr>
        <w:pStyle w:val="BookText"/>
      </w:pPr>
      <w:r>
        <w:rPr>
          <w:rFonts w:ascii="IRNazanin" w:hAnsi="IRNazanin" w:eastAsia="IRNazanin" w:cs="IRNazanin"/>
          <w:lang w:bidi="fa-IR"/>
          <w:color w:val="111111"/>
          <w:sz w:val="28"/>
          <w:szCs w:val="28"/>
          <w:rtl/>
        </w:rPr>
        <w:t xml:space="preserve">اصفهاني ، محمّد حسین بن محمّد رحیم -حائري اصفهاني ، محمّد حسين بن عبد</w:t>
      </w:r>
    </w:p>
    <w:p>
      <w:pPr>
        <w:pStyle w:val="BookText"/>
      </w:pPr>
      <w:r>
        <w:rPr>
          <w:rFonts w:ascii="Amiri" w:hAnsi="Amiri" w:eastAsia="Amiri" w:cs="Amiri"/>
          <w:lang w:bidi="ar-SA"/>
          <w:color w:val="111111"/>
          <w:sz w:val="28"/>
          <w:szCs w:val="28"/>
          <w:rtl/>
        </w:rPr>
        <w:t xml:space="preserve">الرحيم</w:t>
      </w:r>
    </w:p>
    <w:p>
      <w:pPr>
        <w:pStyle w:val="BookText"/>
      </w:pPr>
      <w:r>
        <w:rPr>
          <w:rFonts w:ascii="Amiri" w:hAnsi="Amiri" w:eastAsia="Amiri" w:cs="Amiri"/>
          <w:lang w:bidi="ar-SA"/>
          <w:color w:val="111111"/>
          <w:sz w:val="28"/>
          <w:szCs w:val="28"/>
          <w:rtl/>
        </w:rPr>
        <w:t xml:space="preserve">اصفهاني ، محمّد شفيع- حسيني اصفهاني</w:t>
      </w:r>
    </w:p>
    <w:p>
      <w:pPr>
        <w:pStyle w:val="BookText"/>
      </w:pPr>
      <w:r>
        <w:rPr>
          <w:rFonts w:ascii="Amiri" w:hAnsi="Amiri" w:eastAsia="Amiri" w:cs="Amiri"/>
          <w:lang w:bidi="ar-SA"/>
          <w:color w:val="111111"/>
          <w:sz w:val="28"/>
          <w:szCs w:val="28"/>
          <w:rtl/>
        </w:rPr>
        <w:t xml:space="preserve">، محمّد شفیع</w:t>
      </w:r>
    </w:p>
    <w:p>
      <w:pPr>
        <w:pStyle w:val="Heading2"/>
      </w:pPr>
      <w:bookmarkStart w:id="2268" w:name="_Toc1370"/>
      <w:r>
        <w:t>اصفهاني ، محمّد علي بن محمّد قلي</w:t>
      </w:r>
      <w:bookmarkEnd w:id="2268"/>
    </w:p>
    <w:p>
      <w:pPr>
        <w:pStyle w:val="BookText"/>
      </w:pPr>
      <w:r>
        <w:rPr>
          <w:rFonts w:ascii="Amiri" w:hAnsi="Amiri" w:eastAsia="Amiri" w:cs="Amiri"/>
          <w:lang w:bidi="ar-SA"/>
          <w:color w:val="111111"/>
          <w:sz w:val="28"/>
          <w:szCs w:val="28"/>
          <w:rtl/>
        </w:rPr>
        <w:t xml:space="preserve">شرح الايساغوجي، ج 9، ص 272.</w:t>
      </w:r>
    </w:p>
    <w:p>
      <w:pPr>
        <w:pStyle w:val="BookText"/>
      </w:pPr>
      <w:r>
        <w:rPr>
          <w:rFonts w:ascii="Amiri" w:hAnsi="Amiri" w:eastAsia="Amiri" w:cs="Amiri"/>
          <w:lang w:bidi="ar-SA"/>
          <w:color w:val="111111"/>
          <w:sz w:val="28"/>
          <w:szCs w:val="28"/>
          <w:rtl/>
        </w:rPr>
        <w:t xml:space="preserve">اصفهاني ، محمّد قاسم بن محمّد</w:t>
      </w:r>
    </w:p>
    <w:p>
      <w:pPr>
        <w:pStyle w:val="BookText"/>
      </w:pPr>
      <w:r>
        <w:rPr>
          <w:rFonts w:ascii="Amiri" w:hAnsi="Amiri" w:eastAsia="Amiri" w:cs="Amiri"/>
          <w:lang w:bidi="ar-SA"/>
          <w:color w:val="111111"/>
          <w:sz w:val="28"/>
          <w:szCs w:val="28"/>
          <w:rtl/>
        </w:rPr>
        <w:t xml:space="preserve">صالح مدرس اصفهاني ، محمّد قاسم بن</w:t>
      </w:r>
    </w:p>
    <w:p>
      <w:pPr>
        <w:pStyle w:val="BookText"/>
      </w:pPr>
      <w:r>
        <w:rPr>
          <w:rFonts w:ascii="Amiri" w:hAnsi="Amiri" w:eastAsia="Amiri" w:cs="Amiri"/>
          <w:lang w:bidi="ar-SA"/>
          <w:color w:val="111111"/>
          <w:sz w:val="28"/>
          <w:szCs w:val="28"/>
          <w:rtl/>
        </w:rPr>
        <w:t xml:space="preserve">محمّد صالح</w:t>
      </w:r>
    </w:p>
    <w:p>
      <w:pPr>
        <w:pStyle w:val="BookText"/>
      </w:pPr>
      <w:r>
        <w:rPr>
          <w:rFonts w:ascii="IRNazanin" w:hAnsi="IRNazanin" w:eastAsia="IRNazanin" w:cs="IRNazanin"/>
          <w:lang w:bidi="fa-IR"/>
          <w:color w:val="111111"/>
          <w:sz w:val="28"/>
          <w:szCs w:val="28"/>
          <w:rtl/>
        </w:rPr>
        <w:t xml:space="preserve">اصفهاني ، مختار اعمی- اعمی اصفهاني ،</w:t>
      </w:r>
    </w:p>
    <w:p>
      <w:pPr>
        <w:pStyle w:val="BookText"/>
      </w:pPr>
      <w:r>
        <w:rPr>
          <w:rFonts w:ascii="IRNazanin" w:hAnsi="IRNazanin" w:eastAsia="IRNazanin" w:cs="IRNazanin"/>
          <w:lang w:bidi="fa-IR"/>
          <w:color w:val="111111"/>
          <w:sz w:val="28"/>
          <w:szCs w:val="28"/>
          <w:rtl/>
        </w:rPr>
        <w:t xml:space="preserve">مختار</w:t>
      </w:r>
    </w:p>
    <w:p>
      <w:pPr>
        <w:pStyle w:val="Heading2"/>
      </w:pPr>
      <w:bookmarkStart w:id="2269" w:name="_Toc1371"/>
      <w:r>
        <w:t>اصفهاني ، محمّد مقیم بن محمّد باقر</w:t>
      </w:r>
      <w:bookmarkEnd w:id="2269"/>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إجازة لتلميذه المولى سلطان، ج 1،</w:t>
      </w:r>
    </w:p>
    <w:p>
      <w:pPr>
        <w:pStyle w:val="BookText"/>
      </w:pPr>
      <w:r>
        <w:rPr>
          <w:rFonts w:ascii="IRNazanin" w:hAnsi="IRNazanin" w:eastAsia="IRNazanin" w:cs="IRNazanin"/>
          <w:lang w:bidi="fa-IR"/>
          <w:color w:val="111111"/>
          <w:sz w:val="28"/>
          <w:szCs w:val="28"/>
          <w:rtl/>
        </w:rPr>
        <w:t xml:space="preserve">ص 234 .</w:t>
      </w:r>
    </w:p>
    <w:p>
      <w:pPr>
        <w:pStyle w:val="Heading2"/>
      </w:pPr>
      <w:bookmarkStart w:id="2270" w:name="_Toc1372"/>
      <w:r>
        <w:t>اصفهاني ، محمود بن عبدالرحمن 674 -</w:t>
      </w:r>
      <w:bookmarkEnd w:id="2270"/>
    </w:p>
    <w:p>
      <w:pPr>
        <w:pStyle w:val="BookText"/>
      </w:pPr>
      <w:r>
        <w:rPr>
          <w:rFonts w:ascii="IRNazanin" w:hAnsi="IRNazanin" w:eastAsia="IRNazanin" w:cs="IRNazanin"/>
          <w:lang w:bidi="fa-IR"/>
          <w:color w:val="111111"/>
          <w:sz w:val="28"/>
          <w:szCs w:val="28"/>
          <w:rtl/>
        </w:rPr>
        <w:t xml:space="preserve">749 ه-</w:t>
      </w:r>
    </w:p>
    <w:p>
      <w:pPr>
        <w:pStyle w:val="BookText"/>
      </w:pPr>
      <w:r>
        <w:rPr>
          <w:rFonts w:ascii="Amiri" w:hAnsi="Amiri" w:eastAsia="Amiri" w:cs="Amiri"/>
          <w:lang w:bidi="ar-SA"/>
          <w:color w:val="111111"/>
          <w:sz w:val="28"/>
          <w:szCs w:val="28"/>
          <w:rtl/>
        </w:rPr>
        <w:t xml:space="preserve">1 .بيان المختصر في شرح مختصر منتهي الوصول والامل في علمي الاصول والجدل، ج 3، ص 489.</w:t>
      </w:r>
    </w:p>
    <w:p>
      <w:pPr>
        <w:pStyle w:val="BookText"/>
      </w:pPr>
      <w:r>
        <w:rPr>
          <w:rFonts w:ascii="Amiri" w:hAnsi="Amiri" w:eastAsia="Amiri" w:cs="Amiri"/>
          <w:lang w:bidi="ar-SA"/>
          <w:color w:val="111111"/>
          <w:sz w:val="28"/>
          <w:szCs w:val="28"/>
          <w:rtl/>
        </w:rPr>
        <w:t xml:space="preserve">2 .تسديد القواعد في شرح تجريد العقايد = تشييد العقايد في شرح تجريد العقايد = شرح قديم</w:t>
      </w:r>
    </w:p>
    <w:p>
      <w:pPr>
        <w:pStyle w:val="BookText"/>
      </w:pPr>
      <w:r>
        <w:rPr>
          <w:rFonts w:ascii="Amiri" w:hAnsi="Amiri" w:eastAsia="Amiri" w:cs="Amiri"/>
          <w:lang w:bidi="ar-SA"/>
          <w:color w:val="111111"/>
          <w:sz w:val="28"/>
          <w:szCs w:val="28"/>
          <w:rtl/>
        </w:rPr>
        <w:t xml:space="preserve">تجريد، ج 4، ص 335.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تنوير المطالع، ج 5، ص 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على التحقيق في شرح</w:t>
      </w:r>
    </w:p>
    <w:p>
      <w:pPr>
        <w:pStyle w:val="BookText"/>
      </w:pPr>
      <w:r>
        <w:rPr>
          <w:rFonts w:ascii="IRNazanin" w:hAnsi="IRNazanin" w:eastAsia="IRNazanin" w:cs="IRNazanin"/>
          <w:lang w:bidi="fa-IR"/>
          <w:color w:val="111111"/>
          <w:sz w:val="28"/>
          <w:szCs w:val="28"/>
          <w:rtl/>
        </w:rPr>
        <w:t xml:space="preserve">المنتخب، ج 6، ص 235.</w:t>
      </w:r>
    </w:p>
    <w:p>
      <w:pPr>
        <w:pStyle w:val="BookText"/>
      </w:pPr>
      <w:r>
        <w:rPr>
          <w:rFonts w:ascii="IRNazanin" w:hAnsi="IRNazanin" w:eastAsia="IRNazanin" w:cs="IRNazanin"/>
          <w:lang w:bidi="fa-IR"/>
          <w:color w:val="111111"/>
          <w:sz w:val="28"/>
          <w:szCs w:val="28"/>
          <w:rtl/>
        </w:rPr>
        <w:t xml:space="preserve">5 .شرح منهاج الوصول إلى علم</w:t>
      </w:r>
    </w:p>
    <w:p>
      <w:pPr>
        <w:pStyle w:val="BookText"/>
      </w:pPr>
      <w:r>
        <w:rPr>
          <w:rFonts w:ascii="IRNazanin" w:hAnsi="IRNazanin" w:eastAsia="IRNazanin" w:cs="IRNazanin"/>
          <w:lang w:bidi="fa-IR"/>
          <w:color w:val="111111"/>
          <w:sz w:val="28"/>
          <w:szCs w:val="28"/>
          <w:rtl/>
        </w:rPr>
        <w:t xml:space="preserve">الاصول، ج 10، ص 267.</w:t>
      </w:r>
    </w:p>
    <w:p>
      <w:pPr>
        <w:pStyle w:val="BookText"/>
      </w:pPr>
      <w:r>
        <w:rPr>
          <w:rFonts w:ascii="Amiri" w:hAnsi="Amiri" w:eastAsia="Amiri" w:cs="Amiri"/>
          <w:lang w:bidi="ar-SA"/>
          <w:color w:val="111111"/>
          <w:sz w:val="28"/>
          <w:szCs w:val="28"/>
          <w:rtl/>
        </w:rPr>
        <w:t xml:space="preserve">6 .شرح نهاية الوصول إلى علم</w:t>
      </w:r>
    </w:p>
    <w:p>
      <w:pPr>
        <w:pStyle w:val="BookText"/>
      </w:pPr>
      <w:r>
        <w:rPr>
          <w:rFonts w:ascii="IRNazanin" w:hAnsi="IRNazanin" w:eastAsia="IRNazanin" w:cs="IRNazanin"/>
          <w:lang w:bidi="fa-IR"/>
          <w:color w:val="111111"/>
          <w:sz w:val="28"/>
          <w:szCs w:val="28"/>
          <w:rtl/>
        </w:rPr>
        <w:t xml:space="preserve">الوصول، ج 10، ص 295.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مطالع الانظار في شرح طوالع</w:t>
      </w:r>
    </w:p>
    <w:p>
      <w:pPr>
        <w:pStyle w:val="BookText"/>
      </w:pPr>
      <w:r>
        <w:rPr>
          <w:rFonts w:ascii="IRNazanin" w:hAnsi="IRNazanin" w:eastAsia="IRNazanin" w:cs="IRNazanin"/>
          <w:lang w:bidi="fa-IR"/>
          <w:color w:val="111111"/>
          <w:sz w:val="28"/>
          <w:szCs w:val="28"/>
          <w:rtl/>
        </w:rPr>
        <w:t xml:space="preserve">الانوار، ج 14، ص 767 .</w:t>
      </w:r>
    </w:p>
    <w:p>
      <w:pPr>
        <w:pStyle w:val="BookText"/>
      </w:pPr>
      <w:r>
        <w:rPr>
          <w:rFonts w:ascii="Amiri" w:hAnsi="Amiri" w:eastAsia="Amiri" w:cs="Amiri"/>
          <w:lang w:bidi="ar-SA"/>
          <w:color w:val="111111"/>
          <w:sz w:val="28"/>
          <w:szCs w:val="28"/>
          <w:rtl/>
        </w:rPr>
        <w:t xml:space="preserve">اصفهاني ، مصطفى بن عقيل -علوي</w:t>
      </w:r>
    </w:p>
    <w:p>
      <w:pPr>
        <w:pStyle w:val="BookText"/>
      </w:pPr>
      <w:r>
        <w:rPr>
          <w:rFonts w:ascii="Amiri" w:hAnsi="Amiri" w:eastAsia="Amiri" w:cs="Amiri"/>
          <w:lang w:bidi="ar-SA"/>
          <w:color w:val="111111"/>
          <w:sz w:val="28"/>
          <w:szCs w:val="28"/>
          <w:rtl/>
        </w:rPr>
        <w:t xml:space="preserve">اصفهاني ، مصطفى بن عقيل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3" w:name="pg7742_69789"/>
    <w:bookmarkEnd w:id="203"/>
    <w:p>
      <w:pPr>
        <w:pStyle w:val="Heading2"/>
      </w:pPr>
      <w:bookmarkStart w:id="2271" w:name="_Toc1373"/>
      <w:r>
        <w:t>اصفهاني ، مظفر بن مرتضى</w:t>
      </w:r>
      <w:bookmarkEnd w:id="2271"/>
    </w:p>
    <w:p>
      <w:pPr>
        <w:pStyle w:val="BookText"/>
      </w:pPr>
      <w:r>
        <w:rPr>
          <w:rFonts w:ascii="IRNazanin" w:hAnsi="IRNazanin" w:eastAsia="IRNazanin" w:cs="IRNazanin"/>
          <w:lang w:bidi="fa-IR"/>
          <w:color w:val="111111"/>
          <w:sz w:val="28"/>
          <w:szCs w:val="28"/>
          <w:rtl/>
        </w:rPr>
        <w:t xml:space="preserve">تنبهات مظفریه، ج5، ص13.</w:t>
      </w:r>
    </w:p>
    <w:p>
      <w:pPr>
        <w:pStyle w:val="Heading2"/>
      </w:pPr>
      <w:bookmarkStart w:id="2272" w:name="_Toc1374"/>
      <w:r>
        <w:t>اصفهاني ، معمر بن احمد - 418؟ ه-</w:t>
      </w:r>
      <w:bookmarkEnd w:id="2272"/>
    </w:p>
    <w:p>
      <w:pPr>
        <w:pStyle w:val="BookText"/>
      </w:pPr>
      <w:r>
        <w:rPr>
          <w:rFonts w:ascii="IRNazanin" w:hAnsi="IRNazanin" w:eastAsia="IRNazanin" w:cs="IRNazanin"/>
          <w:lang w:bidi="fa-IR"/>
          <w:color w:val="111111"/>
          <w:sz w:val="28"/>
          <w:szCs w:val="28"/>
          <w:rtl/>
        </w:rPr>
        <w:t xml:space="preserve">حقائق الآداب، ج 6، ص 682.</w:t>
      </w:r>
    </w:p>
    <w:p>
      <w:pPr>
        <w:pStyle w:val="Heading2"/>
      </w:pPr>
      <w:bookmarkStart w:id="2273" w:name="_Toc1375"/>
      <w:r>
        <w:t>اصفهاني ، ملا ابراهيم</w:t>
      </w:r>
      <w:bookmarkEnd w:id="2273"/>
    </w:p>
    <w:p>
      <w:pPr>
        <w:pStyle w:val="BookText"/>
      </w:pPr>
      <w:r>
        <w:rPr>
          <w:rFonts w:ascii="IRNazanin" w:hAnsi="IRNazanin" w:eastAsia="IRNazanin" w:cs="IRNazanin"/>
          <w:lang w:bidi="fa-IR"/>
          <w:color w:val="111111"/>
          <w:sz w:val="28"/>
          <w:szCs w:val="28"/>
          <w:rtl/>
        </w:rPr>
        <w:t xml:space="preserve">منهج البیان، ج 15 ، ص 793.</w:t>
      </w:r>
    </w:p>
    <w:p>
      <w:pPr>
        <w:pStyle w:val="BookText"/>
      </w:pPr>
      <w:r>
        <w:rPr>
          <w:rFonts w:ascii="Amiri" w:hAnsi="Amiri" w:eastAsia="Amiri" w:cs="Amiri"/>
          <w:lang w:bidi="ar-SA"/>
          <w:color w:val="111111"/>
          <w:sz w:val="28"/>
          <w:szCs w:val="28"/>
          <w:rtl/>
        </w:rPr>
        <w:t xml:space="preserve">اصفهاني ، ملك محمّد بن حسين قرن 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جبر و مقابله = میزان الحساب</w:t>
      </w:r>
    </w:p>
    <w:p>
      <w:pPr>
        <w:pStyle w:val="BookText"/>
      </w:pPr>
      <w:r>
        <w:rPr>
          <w:rFonts w:ascii="IRNazanin" w:hAnsi="IRNazanin" w:eastAsia="IRNazanin" w:cs="IRNazanin"/>
          <w:lang w:bidi="fa-IR"/>
          <w:color w:val="111111"/>
          <w:sz w:val="28"/>
          <w:szCs w:val="28"/>
          <w:rtl/>
        </w:rPr>
        <w:t xml:space="preserve">ج 5، ص 362 .</w:t>
      </w:r>
    </w:p>
    <w:p>
      <w:pPr>
        <w:pStyle w:val="BookText"/>
      </w:pPr>
      <w:r>
        <w:rPr>
          <w:rFonts w:ascii="Amiri" w:hAnsi="Amiri" w:eastAsia="Amiri" w:cs="Amiri"/>
          <w:lang w:bidi="ar-SA"/>
          <w:color w:val="111111"/>
          <w:sz w:val="28"/>
          <w:szCs w:val="28"/>
          <w:rtl/>
        </w:rPr>
        <w:t xml:space="preserve">2 .شرح رسالة الحساب = شرح رسالة عبدالله بن عبدالعزيز</w:t>
      </w:r>
    </w:p>
    <w:p>
      <w:pPr>
        <w:pStyle w:val="BookText"/>
      </w:pPr>
      <w:r>
        <w:rPr>
          <w:rFonts w:ascii="Amiri" w:hAnsi="Amiri" w:eastAsia="Amiri" w:cs="Amiri"/>
          <w:lang w:bidi="ar-SA"/>
          <w:color w:val="111111"/>
          <w:sz w:val="28"/>
          <w:szCs w:val="28"/>
          <w:rtl/>
        </w:rPr>
        <w:t xml:space="preserve">الجبر و المقابلة، ج 9، ص 530.</w:t>
      </w:r>
    </w:p>
    <w:p>
      <w:pPr>
        <w:pStyle w:val="Heading2"/>
      </w:pPr>
      <w:bookmarkStart w:id="2274" w:name="_Toc1376"/>
      <w:r>
        <w:t>اصفهاني نجفي ، حسين بن محمّد صادق</w:t>
      </w:r>
      <w:bookmarkEnd w:id="2274"/>
    </w:p>
    <w:p>
      <w:pPr>
        <w:pStyle w:val="BookText"/>
      </w:pPr>
      <w:r>
        <w:rPr>
          <w:rFonts w:ascii="Amiri" w:hAnsi="Amiri" w:eastAsia="Amiri" w:cs="Amiri"/>
          <w:lang w:bidi="ar-SA"/>
          <w:color w:val="111111"/>
          <w:sz w:val="28"/>
          <w:szCs w:val="28"/>
          <w:rtl/>
        </w:rPr>
        <w:t xml:space="preserve">السيف المسلول في غزوات الرسول</w:t>
      </w:r>
    </w:p>
    <w:p>
      <w:pPr>
        <w:pStyle w:val="BookText"/>
      </w:pPr>
      <w:r>
        <w:rPr>
          <w:rFonts w:ascii="IRNazanin" w:hAnsi="IRNazanin" w:eastAsia="IRNazanin" w:cs="IRNazanin"/>
          <w:lang w:bidi="fa-IR"/>
          <w:color w:val="111111"/>
          <w:sz w:val="28"/>
          <w:szCs w:val="28"/>
          <w:rtl/>
        </w:rPr>
        <w:t xml:space="preserve">ج 9، ص 43.</w:t>
      </w:r>
    </w:p>
    <w:p>
      <w:pPr>
        <w:pStyle w:val="Heading2"/>
      </w:pPr>
      <w:bookmarkStart w:id="2275" w:name="_Toc1377"/>
      <w:r>
        <w:t>اصفهاني، هادي بن محمّد هاشم</w:t>
      </w:r>
      <w:bookmarkEnd w:id="2275"/>
    </w:p>
    <w:p>
      <w:pPr>
        <w:pStyle w:val="BookText"/>
      </w:pPr>
      <w:r>
        <w:rPr>
          <w:rFonts w:ascii="Amiri" w:hAnsi="Amiri" w:eastAsia="Amiri" w:cs="Amiri"/>
          <w:lang w:bidi="ar-SA"/>
          <w:color w:val="111111"/>
          <w:sz w:val="28"/>
          <w:szCs w:val="28"/>
          <w:rtl/>
        </w:rPr>
        <w:t xml:space="preserve">شرح الجعفرية، ج9، ص 364.</w:t>
      </w:r>
    </w:p>
    <w:p>
      <w:pPr>
        <w:pStyle w:val="Heading2"/>
      </w:pPr>
      <w:bookmarkStart w:id="2276" w:name="_Toc1378"/>
      <w:r>
        <w:t>اصفهاني يحيى بن محمّد شفیع قرن 14ه-</w:t>
      </w:r>
      <w:bookmarkEnd w:id="2276"/>
    </w:p>
    <w:p>
      <w:pPr>
        <w:pStyle w:val="BookText"/>
      </w:pPr>
      <w:r>
        <w:rPr>
          <w:rFonts w:ascii="Amiri" w:hAnsi="Amiri" w:eastAsia="Amiri" w:cs="Amiri"/>
          <w:lang w:bidi="ar-SA"/>
          <w:color w:val="111111"/>
          <w:sz w:val="28"/>
          <w:szCs w:val="28"/>
          <w:rtl/>
        </w:rPr>
        <w:t xml:space="preserve">1 .قصة غريبة، ج 12، ص 614.</w:t>
      </w:r>
    </w:p>
    <w:p>
      <w:pPr>
        <w:pStyle w:val="BookText"/>
      </w:pPr>
      <w:r>
        <w:rPr>
          <w:rFonts w:ascii="Amiri" w:hAnsi="Amiri" w:eastAsia="Amiri" w:cs="Amiri"/>
          <w:lang w:bidi="ar-SA"/>
          <w:color w:val="111111"/>
          <w:sz w:val="28"/>
          <w:szCs w:val="28"/>
          <w:rtl/>
        </w:rPr>
        <w:t xml:space="preserve">2 .هدية الطالبين وتحفة المتقين</w:t>
      </w:r>
    </w:p>
    <w:p>
      <w:pPr>
        <w:pStyle w:val="BookText"/>
      </w:pPr>
      <w:r>
        <w:rPr>
          <w:rFonts w:ascii="IRNazanin" w:hAnsi="IRNazanin" w:eastAsia="IRNazanin" w:cs="IRNazanin"/>
          <w:lang w:bidi="fa-IR"/>
          <w:color w:val="111111"/>
          <w:sz w:val="28"/>
          <w:szCs w:val="28"/>
          <w:rtl/>
        </w:rPr>
        <w:t xml:space="preserve">ج 16، ص 641 .</w:t>
      </w:r>
    </w:p>
    <w:p>
      <w:pPr>
        <w:pStyle w:val="BookText"/>
      </w:pPr>
      <w:r>
        <w:rPr>
          <w:rFonts w:ascii="Amiri" w:hAnsi="Amiri" w:eastAsia="Amiri" w:cs="Amiri"/>
          <w:lang w:bidi="ar-SA"/>
          <w:color w:val="111111"/>
          <w:sz w:val="28"/>
          <w:szCs w:val="28"/>
          <w:rtl/>
        </w:rPr>
        <w:t xml:space="preserve">اصفهبدي ، احمد بن محمود- جيلي ،</w:t>
      </w:r>
    </w:p>
    <w:p>
      <w:pPr>
        <w:pStyle w:val="BookText"/>
      </w:pPr>
      <w:r>
        <w:rPr>
          <w:rFonts w:ascii="IRNazanin" w:hAnsi="IRNazanin" w:eastAsia="IRNazanin" w:cs="IRNazanin"/>
          <w:lang w:bidi="fa-IR"/>
          <w:color w:val="111111"/>
          <w:sz w:val="28"/>
          <w:szCs w:val="28"/>
          <w:rtl/>
        </w:rPr>
        <w:t xml:space="preserve">احمد بن محمود</w:t>
      </w:r>
    </w:p>
    <w:p>
      <w:pPr>
        <w:pStyle w:val="BookText"/>
      </w:pPr>
      <w:r>
        <w:rPr>
          <w:rFonts w:ascii="IRNazanin" w:hAnsi="IRNazanin" w:eastAsia="IRNazanin" w:cs="IRNazanin"/>
          <w:lang w:bidi="fa-IR"/>
          <w:color w:val="111111"/>
          <w:sz w:val="28"/>
          <w:szCs w:val="28"/>
          <w:rtl/>
        </w:rPr>
        <w:t xml:space="preserve">اصفهبدي ، عبدالله بن محمّد- اسپهبدي</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2277" w:name="_Toc1379"/>
      <w:r>
        <w:t>اصفهيدي كرماني ، محمود بن محمّد</w:t>
      </w:r>
      <w:bookmarkEnd w:id="2277"/>
    </w:p>
    <w:p>
      <w:pPr>
        <w:pStyle w:val="BookText"/>
      </w:pPr>
      <w:r>
        <w:rPr>
          <w:rFonts w:ascii="IRNazanin" w:hAnsi="IRNazanin" w:eastAsia="IRNazanin" w:cs="IRNazanin"/>
          <w:lang w:bidi="fa-IR"/>
          <w:color w:val="111111"/>
          <w:sz w:val="28"/>
          <w:szCs w:val="28"/>
          <w:rtl/>
        </w:rPr>
        <w:t xml:space="preserve">807 ه-</w:t>
      </w:r>
    </w:p>
    <w:p>
      <w:pPr>
        <w:pStyle w:val="BookText"/>
      </w:pPr>
      <w:r>
        <w:rPr>
          <w:rFonts w:ascii="Amiri" w:hAnsi="Amiri" w:eastAsia="Amiri" w:cs="Amiri"/>
          <w:lang w:bidi="ar-SA"/>
          <w:color w:val="111111"/>
          <w:sz w:val="28"/>
          <w:szCs w:val="28"/>
          <w:rtl/>
        </w:rPr>
        <w:t xml:space="preserve">الايجاز في الفتاوى = ايجاز المحرر</w:t>
      </w:r>
    </w:p>
    <w:p>
      <w:pPr>
        <w:pStyle w:val="BookText"/>
      </w:pPr>
      <w:r>
        <w:rPr>
          <w:rFonts w:ascii="IRNazanin" w:hAnsi="IRNazanin" w:eastAsia="IRNazanin" w:cs="IRNazanin"/>
          <w:lang w:bidi="fa-IR"/>
          <w:color w:val="111111"/>
          <w:sz w:val="28"/>
          <w:szCs w:val="28"/>
          <w:rtl/>
        </w:rPr>
        <w:t xml:space="preserve">ج 3، ص 95.</w:t>
      </w:r>
    </w:p>
    <w:p>
      <w:pPr>
        <w:pStyle w:val="Heading2"/>
      </w:pPr>
      <w:bookmarkStart w:id="2278" w:name="_Toc1380"/>
      <w:r>
        <w:t>اصفوني ، عبدالرحمن بن يوسف، 677 -</w:t>
      </w:r>
      <w:bookmarkEnd w:id="2278"/>
    </w:p>
    <w:p>
      <w:pPr>
        <w:pStyle w:val="BookText"/>
      </w:pPr>
      <w:r>
        <w:rPr>
          <w:rFonts w:ascii="IRNazanin" w:hAnsi="IRNazanin" w:eastAsia="IRNazanin" w:cs="IRNazanin"/>
          <w:lang w:bidi="fa-IR"/>
          <w:color w:val="111111"/>
          <w:sz w:val="28"/>
          <w:szCs w:val="28"/>
          <w:rtl/>
        </w:rPr>
        <w:t xml:space="preserve">750 ه-</w:t>
      </w:r>
    </w:p>
    <w:p>
      <w:pPr>
        <w:pStyle w:val="BookText"/>
      </w:pPr>
      <w:r>
        <w:rPr>
          <w:rFonts w:ascii="Amiri" w:hAnsi="Amiri" w:eastAsia="Amiri" w:cs="Amiri"/>
          <w:lang w:bidi="ar-SA"/>
          <w:color w:val="111111"/>
          <w:sz w:val="28"/>
          <w:szCs w:val="28"/>
          <w:rtl/>
        </w:rPr>
        <w:t xml:space="preserve">1 .المسائل الجبرية في ايضاح المسائل</w:t>
      </w:r>
    </w:p>
    <w:p>
      <w:pPr>
        <w:pStyle w:val="BookText"/>
      </w:pPr>
      <w:r>
        <w:rPr>
          <w:rFonts w:ascii="Amiri" w:hAnsi="Amiri" w:eastAsia="Amiri" w:cs="Amiri"/>
          <w:lang w:bidi="ar-SA"/>
          <w:color w:val="111111"/>
          <w:sz w:val="28"/>
          <w:szCs w:val="28"/>
          <w:rtl/>
        </w:rPr>
        <w:t xml:space="preserve">الدورية، ج 14، ص 441.</w:t>
      </w:r>
    </w:p>
    <w:p>
      <w:pPr>
        <w:pStyle w:val="BookText"/>
      </w:pPr>
      <w:r>
        <w:rPr>
          <w:rFonts w:ascii="Amiri" w:hAnsi="Amiri" w:eastAsia="Amiri" w:cs="Amiri"/>
          <w:lang w:bidi="ar-SA"/>
          <w:color w:val="111111"/>
          <w:sz w:val="28"/>
          <w:szCs w:val="28"/>
          <w:rtl/>
        </w:rPr>
        <w:t xml:space="preserve">2 .الوسائل الجبرية في ايضاح المسائل</w:t>
      </w:r>
    </w:p>
    <w:p>
      <w:pPr>
        <w:pStyle w:val="BookText"/>
      </w:pPr>
      <w:r>
        <w:rPr>
          <w:rFonts w:ascii="Amiri" w:hAnsi="Amiri" w:eastAsia="Amiri" w:cs="Amiri"/>
          <w:lang w:bidi="ar-SA"/>
          <w:color w:val="111111"/>
          <w:sz w:val="28"/>
          <w:szCs w:val="28"/>
          <w:rtl/>
        </w:rPr>
        <w:t xml:space="preserve">الدورية، ج 16 ، ص 772.</w:t>
      </w:r>
    </w:p>
    <w:p>
      <w:pPr>
        <w:pStyle w:val="BookText"/>
      </w:pPr>
      <w:r>
        <w:rPr>
          <w:rFonts w:ascii="Amiri" w:hAnsi="Amiri" w:eastAsia="Amiri" w:cs="Amiri"/>
          <w:lang w:bidi="ar-SA"/>
          <w:color w:val="111111"/>
          <w:sz w:val="28"/>
          <w:szCs w:val="28"/>
          <w:rtl/>
        </w:rPr>
        <w:t xml:space="preserve">اصم ، عبدالله بن عبدالعزيز -اسكندري عبدالله بن عبدالعزيز</w:t>
      </w:r>
    </w:p>
    <w:p>
      <w:pPr>
        <w:pStyle w:val="Heading2"/>
      </w:pPr>
      <w:bookmarkStart w:id="2279" w:name="_Toc1381"/>
      <w:r>
        <w:t>اصمعي، عبدالملك بن قريب 122-216ه-</w:t>
      </w:r>
      <w:bookmarkEnd w:id="22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الابل، ج 1، ص108.</w:t>
      </w:r>
    </w:p>
    <w:p>
      <w:pPr>
        <w:pStyle w:val="BookText"/>
      </w:pPr>
      <w:r>
        <w:rPr>
          <w:rFonts w:ascii="Amiri" w:hAnsi="Amiri" w:eastAsia="Amiri" w:cs="Amiri"/>
          <w:lang w:bidi="ar-SA"/>
          <w:color w:val="111111"/>
          <w:sz w:val="28"/>
          <w:szCs w:val="28"/>
          <w:rtl/>
        </w:rPr>
        <w:t xml:space="preserve">2 .اخبار ملوك العرب الاولين من بني</w:t>
      </w:r>
    </w:p>
    <w:p>
      <w:pPr>
        <w:pStyle w:val="BookText"/>
      </w:pPr>
      <w:r>
        <w:rPr>
          <w:rFonts w:ascii="IRNazanin" w:hAnsi="IRNazanin" w:eastAsia="IRNazanin" w:cs="IRNazanin"/>
          <w:lang w:bidi="fa-IR"/>
          <w:color w:val="111111"/>
          <w:sz w:val="28"/>
          <w:szCs w:val="28"/>
          <w:rtl/>
        </w:rPr>
        <w:t xml:space="preserve">جرهم و هود، ج 1، ص 537.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الاشتقاق، ج 2، ص 274.</w:t>
      </w:r>
    </w:p>
    <w:p>
      <w:pPr>
        <w:pStyle w:val="BookText"/>
      </w:pPr>
      <w:r>
        <w:rPr>
          <w:rFonts w:ascii="IRNazanin" w:hAnsi="IRNazanin" w:eastAsia="IRNazanin" w:cs="IRNazanin"/>
          <w:lang w:bidi="fa-IR"/>
          <w:color w:val="111111"/>
          <w:sz w:val="28"/>
          <w:szCs w:val="28"/>
          <w:rtl/>
        </w:rPr>
        <w:t xml:space="preserve">4 .الخلق، ج 7، ص 147.</w:t>
      </w:r>
    </w:p>
    <w:p>
      <w:pPr>
        <w:pStyle w:val="BookText"/>
      </w:pPr>
      <w:r>
        <w:rPr>
          <w:rFonts w:ascii="Amiri" w:hAnsi="Amiri" w:eastAsia="Amiri" w:cs="Amiri"/>
          <w:lang w:bidi="ar-SA"/>
          <w:color w:val="111111"/>
          <w:sz w:val="28"/>
          <w:szCs w:val="28"/>
          <w:rtl/>
        </w:rPr>
        <w:t xml:space="preserve">5 .الخيل، ج 7، ص197.</w:t>
      </w:r>
    </w:p>
    <w:p>
      <w:pPr>
        <w:pStyle w:val="BookText"/>
      </w:pPr>
      <w:r>
        <w:rPr>
          <w:rFonts w:ascii="IRNazanin" w:hAnsi="IRNazanin" w:eastAsia="IRNazanin" w:cs="IRNazanin"/>
          <w:lang w:bidi="fa-IR"/>
          <w:color w:val="111111"/>
          <w:sz w:val="28"/>
          <w:szCs w:val="28"/>
          <w:rtl/>
        </w:rPr>
        <w:t xml:space="preserve">6 .دارات العرب، ج 7، ص 209.</w:t>
      </w:r>
    </w:p>
    <w:p>
      <w:pPr>
        <w:pStyle w:val="BookText"/>
      </w:pPr>
      <w:r>
        <w:rPr>
          <w:rFonts w:ascii="Amiri" w:hAnsi="Amiri" w:eastAsia="Amiri" w:cs="Amiri"/>
          <w:lang w:bidi="ar-SA"/>
          <w:color w:val="111111"/>
          <w:sz w:val="28"/>
          <w:szCs w:val="28"/>
          <w:rtl/>
        </w:rPr>
        <w:t xml:space="preserve">7.الشاة، ج 9، ص 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ديوان ذي الرمة، ج 9، ص 488.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قصة سيدنا إبراهيم عليه السلام</w:t>
      </w:r>
    </w:p>
    <w:p>
      <w:pPr>
        <w:pStyle w:val="BookText"/>
      </w:pPr>
      <w:r>
        <w:rPr>
          <w:rFonts w:ascii="IRNazanin" w:hAnsi="IRNazanin" w:eastAsia="IRNazanin" w:cs="IRNazanin"/>
          <w:lang w:bidi="fa-IR"/>
          <w:color w:val="111111"/>
          <w:sz w:val="28"/>
          <w:szCs w:val="28"/>
          <w:rtl/>
        </w:rPr>
        <w:t xml:space="preserve">ج 12، ص 612.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النبات، ج 16، ص 105.</w:t>
      </w:r>
    </w:p>
    <w:p>
      <w:pPr>
        <w:pStyle w:val="BookText"/>
      </w:pPr>
      <w:r>
        <w:rPr>
          <w:rFonts w:ascii="Amiri" w:hAnsi="Amiri" w:eastAsia="Amiri" w:cs="Amiri"/>
          <w:lang w:bidi="ar-SA"/>
          <w:color w:val="111111"/>
          <w:sz w:val="28"/>
          <w:szCs w:val="28"/>
          <w:rtl/>
        </w:rPr>
        <w:t xml:space="preserve">11 .نهاية الارب في أخبار الفرس و العرب - تاريخ الاصمعي، ج 16،</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IRNazanin" w:hAnsi="IRNazanin" w:eastAsia="IRNazanin" w:cs="IRNazanin"/>
          <w:lang w:bidi="fa-IR"/>
          <w:color w:val="111111"/>
          <w:sz w:val="28"/>
          <w:szCs w:val="28"/>
          <w:rtl/>
        </w:rPr>
        <w:t xml:space="preserve">12 .الوحوش، ج 16 ، ص 757.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4" w:name="pg7742_69791"/>
    <w:bookmarkEnd w:id="204"/>
    <w:p>
      <w:pPr>
        <w:pStyle w:val="Heading2"/>
      </w:pPr>
      <w:bookmarkStart w:id="2280" w:name="_Toc1382"/>
      <w:r>
        <w:t>اصم ، محمّد بن يعقوب - 346 ه-</w:t>
      </w:r>
      <w:bookmarkEnd w:id="2280"/>
    </w:p>
    <w:p>
      <w:pPr>
        <w:pStyle w:val="BookText"/>
      </w:pPr>
      <w:r>
        <w:rPr>
          <w:rFonts w:ascii="Amiri" w:hAnsi="Amiri" w:eastAsia="Amiri" w:cs="Amiri"/>
          <w:lang w:bidi="ar-SA"/>
          <w:color w:val="111111"/>
          <w:sz w:val="28"/>
          <w:szCs w:val="28"/>
          <w:rtl/>
        </w:rPr>
        <w:t xml:space="preserve">حديث ابي العباس الأصم، ج 6،</w:t>
      </w:r>
    </w:p>
    <w:p>
      <w:pPr>
        <w:pStyle w:val="BookText"/>
      </w:pPr>
      <w:r>
        <w:rPr>
          <w:rFonts w:ascii="IRNazanin" w:hAnsi="IRNazanin" w:eastAsia="IRNazanin" w:cs="IRNazanin"/>
          <w:lang w:bidi="fa-IR"/>
          <w:color w:val="111111"/>
          <w:sz w:val="28"/>
          <w:szCs w:val="28"/>
          <w:rtl/>
        </w:rPr>
        <w:t xml:space="preserve">ص 563 .</w:t>
      </w:r>
    </w:p>
    <w:p>
      <w:pPr>
        <w:pStyle w:val="Heading2"/>
      </w:pPr>
      <w:bookmarkStart w:id="2281" w:name="_Toc1383"/>
      <w:r>
        <w:t>اصيلي ، يحيى بن محمّد - 1010 ه-</w:t>
      </w:r>
      <w:bookmarkEnd w:id="2281"/>
    </w:p>
    <w:p>
      <w:pPr>
        <w:pStyle w:val="BookText"/>
      </w:pPr>
      <w:r>
        <w:rPr>
          <w:rFonts w:ascii="Amiri" w:hAnsi="Amiri" w:eastAsia="Amiri" w:cs="Amiri"/>
          <w:lang w:bidi="ar-SA"/>
          <w:color w:val="111111"/>
          <w:sz w:val="28"/>
          <w:szCs w:val="28"/>
          <w:rtl/>
        </w:rPr>
        <w:t xml:space="preserve">ديوان الاصيلي، ج 7، ص 574.</w:t>
      </w:r>
    </w:p>
    <w:p>
      <w:pPr>
        <w:pStyle w:val="Heading2"/>
      </w:pPr>
      <w:bookmarkStart w:id="2282" w:name="_Toc1384"/>
      <w:r>
        <w:t>اطفيش ، محمّد بن يوسف، 1820 -</w:t>
      </w:r>
      <w:bookmarkEnd w:id="2282"/>
    </w:p>
    <w:p>
      <w:pPr>
        <w:pStyle w:val="BookText"/>
      </w:pPr>
      <w:r>
        <w:rPr>
          <w:rFonts w:ascii="IRNazanin" w:hAnsi="IRNazanin" w:eastAsia="IRNazanin" w:cs="IRNazanin"/>
          <w:lang w:bidi="fa-IR"/>
          <w:color w:val="111111"/>
          <w:sz w:val="28"/>
          <w:szCs w:val="28"/>
          <w:rtl/>
        </w:rPr>
        <w:t xml:space="preserve">1914م</w:t>
      </w:r>
    </w:p>
    <w:p>
      <w:pPr>
        <w:pStyle w:val="BookText"/>
      </w:pPr>
      <w:r>
        <w:rPr>
          <w:rFonts w:ascii="Amiri" w:hAnsi="Amiri" w:eastAsia="Amiri" w:cs="Amiri"/>
          <w:lang w:bidi="ar-SA"/>
          <w:color w:val="111111"/>
          <w:sz w:val="28"/>
          <w:szCs w:val="28"/>
          <w:rtl/>
        </w:rPr>
        <w:t xml:space="preserve">هميان الزاد إلى دار المعاد، ج 16،</w:t>
      </w:r>
    </w:p>
    <w:p>
      <w:pPr>
        <w:pStyle w:val="BookText"/>
      </w:pPr>
      <w:r>
        <w:rPr>
          <w:rFonts w:ascii="IRNazanin" w:hAnsi="IRNazanin" w:eastAsia="IRNazanin" w:cs="IRNazanin"/>
          <w:lang w:bidi="fa-IR"/>
          <w:color w:val="111111"/>
          <w:sz w:val="28"/>
          <w:szCs w:val="28"/>
          <w:rtl/>
        </w:rPr>
        <w:t xml:space="preserve">ص 654 .</w:t>
      </w:r>
    </w:p>
    <w:p>
      <w:pPr>
        <w:pStyle w:val="BookText"/>
      </w:pPr>
      <w:r>
        <w:rPr>
          <w:rFonts w:ascii="IRNazanin" w:hAnsi="IRNazanin" w:eastAsia="IRNazanin" w:cs="IRNazanin"/>
          <w:lang w:bidi="fa-IR"/>
          <w:color w:val="111111"/>
          <w:sz w:val="28"/>
          <w:szCs w:val="28"/>
          <w:rtl/>
        </w:rPr>
        <w:t xml:space="preserve">ج 3، ص 462 .</w:t>
      </w:r>
    </w:p>
    <w:p>
      <w:pPr>
        <w:pStyle w:val="BookText"/>
      </w:pPr>
      <w:r>
        <w:rPr>
          <w:rFonts w:ascii="Amiri" w:hAnsi="Amiri" w:eastAsia="Amiri" w:cs="Amiri"/>
          <w:lang w:bidi="ar-SA"/>
          <w:color w:val="111111"/>
          <w:sz w:val="28"/>
          <w:szCs w:val="28"/>
          <w:rtl/>
        </w:rPr>
        <w:t xml:space="preserve">اعتضاد الاطباء ، خليل بن عبدالباقي -ثقفي، خليل بن عبد الباقي</w:t>
      </w:r>
    </w:p>
    <w:p>
      <w:pPr>
        <w:pStyle w:val="Heading2"/>
      </w:pPr>
      <w:bookmarkStart w:id="2283" w:name="_Toc1385"/>
      <w:r>
        <w:t>اعتضاد السلطنه ، عليقلي بن فتحعلي</w:t>
      </w:r>
      <w:bookmarkEnd w:id="2283"/>
    </w:p>
    <w:p>
      <w:pPr>
        <w:pStyle w:val="BookText"/>
      </w:pPr>
      <w:r>
        <w:rPr>
          <w:rFonts w:ascii="IRNazanin" w:hAnsi="IRNazanin" w:eastAsia="IRNazanin" w:cs="IRNazanin"/>
          <w:lang w:bidi="fa-IR"/>
          <w:color w:val="111111"/>
          <w:sz w:val="28"/>
          <w:szCs w:val="28"/>
          <w:rtl/>
        </w:rPr>
        <w:t xml:space="preserve">1234 - 1298 ه-</w:t>
      </w:r>
    </w:p>
    <w:p>
      <w:pPr>
        <w:pStyle w:val="BookText"/>
      </w:pPr>
      <w:r>
        <w:rPr>
          <w:rFonts w:ascii="IRNazanin" w:hAnsi="IRNazanin" w:eastAsia="IRNazanin" w:cs="IRNazanin"/>
          <w:lang w:bidi="fa-IR"/>
          <w:color w:val="111111"/>
          <w:sz w:val="28"/>
          <w:szCs w:val="28"/>
          <w:rtl/>
        </w:rPr>
        <w:t xml:space="preserve">خصائص، ج 7، ص30.</w:t>
      </w:r>
    </w:p>
    <w:p>
      <w:pPr>
        <w:pStyle w:val="Heading2"/>
      </w:pPr>
      <w:bookmarkStart w:id="2284" w:name="_Toc1386"/>
      <w:r>
        <w:t>اعتماد السلطنه ، محمّد حسن بن علي</w:t>
      </w:r>
      <w:bookmarkEnd w:id="2284"/>
    </w:p>
    <w:p>
      <w:pPr>
        <w:pStyle w:val="BookText"/>
      </w:pPr>
      <w:r>
        <w:rPr>
          <w:rFonts w:ascii="IRNazanin" w:hAnsi="IRNazanin" w:eastAsia="IRNazanin" w:cs="IRNazanin"/>
          <w:lang w:bidi="fa-IR"/>
          <w:color w:val="111111"/>
          <w:sz w:val="28"/>
          <w:szCs w:val="28"/>
          <w:rtl/>
        </w:rPr>
        <w:t xml:space="preserve">1259 - 1313 ه-</w:t>
      </w:r>
    </w:p>
    <w:p>
      <w:pPr>
        <w:pStyle w:val="BookText"/>
      </w:pPr>
      <w:r>
        <w:rPr>
          <w:rFonts w:ascii="Amiri" w:hAnsi="Amiri" w:eastAsia="Amiri" w:cs="Amiri"/>
          <w:lang w:bidi="ar-SA"/>
          <w:color w:val="111111"/>
          <w:sz w:val="28"/>
          <w:szCs w:val="28"/>
          <w:rtl/>
        </w:rPr>
        <w:t xml:space="preserve">حكمت الهي و طبيعي - كشف</w:t>
      </w:r>
    </w:p>
    <w:p>
      <w:pPr>
        <w:pStyle w:val="BookText"/>
      </w:pPr>
      <w:r>
        <w:rPr>
          <w:rFonts w:ascii="IRNazanin" w:hAnsi="IRNazanin" w:eastAsia="IRNazanin" w:cs="IRNazanin"/>
          <w:lang w:bidi="fa-IR"/>
          <w:color w:val="111111"/>
          <w:sz w:val="28"/>
          <w:szCs w:val="28"/>
          <w:rtl/>
        </w:rPr>
        <w:t xml:space="preserve">حقائق، ج 6 ، ص 742.</w:t>
      </w:r>
    </w:p>
    <w:p>
      <w:pPr>
        <w:pStyle w:val="BookText"/>
      </w:pPr>
      <w:r>
        <w:rPr>
          <w:rFonts w:ascii="Amiri" w:hAnsi="Amiri" w:eastAsia="Amiri" w:cs="Amiri"/>
          <w:lang w:bidi="ar-SA"/>
          <w:color w:val="111111"/>
          <w:sz w:val="28"/>
          <w:szCs w:val="28"/>
          <w:rtl/>
        </w:rPr>
        <w:t xml:space="preserve">اعدادي ، محمّد منعم بن منور -جفري</w:t>
      </w:r>
    </w:p>
    <w:p>
      <w:pPr>
        <w:pStyle w:val="BookText"/>
      </w:pPr>
      <w:r>
        <w:rPr>
          <w:rFonts w:ascii="Amiri" w:hAnsi="Amiri" w:eastAsia="Amiri" w:cs="Amiri"/>
          <w:lang w:bidi="ar-SA"/>
          <w:color w:val="111111"/>
          <w:sz w:val="28"/>
          <w:szCs w:val="28"/>
          <w:rtl/>
        </w:rPr>
        <w:t xml:space="preserve">اعدادي، محمّد منعم بن منور</w:t>
      </w:r>
    </w:p>
    <w:p>
      <w:pPr>
        <w:pStyle w:val="BookText"/>
      </w:pPr>
      <w:r>
        <w:rPr>
          <w:rFonts w:ascii="Amiri" w:hAnsi="Amiri" w:eastAsia="Amiri" w:cs="Amiri"/>
          <w:lang w:bidi="ar-SA"/>
          <w:color w:val="111111"/>
          <w:sz w:val="28"/>
          <w:szCs w:val="28"/>
          <w:rtl/>
        </w:rPr>
        <w:t xml:space="preserve">اعرجي ، احمد بن حبيب آل زوين- آل</w:t>
      </w:r>
    </w:p>
    <w:p>
      <w:pPr>
        <w:pStyle w:val="BookText"/>
      </w:pPr>
      <w:r>
        <w:rPr>
          <w:rFonts w:ascii="Amiri" w:hAnsi="Amiri" w:eastAsia="Amiri" w:cs="Amiri"/>
          <w:lang w:bidi="ar-SA"/>
          <w:color w:val="111111"/>
          <w:sz w:val="28"/>
          <w:szCs w:val="28"/>
          <w:rtl/>
        </w:rPr>
        <w:t xml:space="preserve">زوين اعرجي ، احمد بن حبيب</w:t>
      </w:r>
    </w:p>
    <w:p>
      <w:pPr>
        <w:pStyle w:val="Heading2"/>
      </w:pPr>
      <w:bookmarkStart w:id="2285" w:name="_Toc1387"/>
      <w:r>
        <w:t>اعرجي ، احمد بن محمّد قرن 12 ه-</w:t>
      </w:r>
      <w:bookmarkEnd w:id="2285"/>
    </w:p>
    <w:p>
      <w:pPr>
        <w:pStyle w:val="BookText"/>
      </w:pPr>
      <w:r>
        <w:rPr>
          <w:rFonts w:ascii="Amiri" w:hAnsi="Amiri" w:eastAsia="Amiri" w:cs="Amiri"/>
          <w:lang w:bidi="ar-SA"/>
          <w:color w:val="111111"/>
          <w:sz w:val="28"/>
          <w:szCs w:val="28"/>
          <w:rtl/>
        </w:rPr>
        <w:t xml:space="preserve">1 .الدر الثمين في ارشاد العالمين، ج7،</w:t>
      </w:r>
    </w:p>
    <w:p>
      <w:pPr>
        <w:pStyle w:val="BookText"/>
      </w:pPr>
      <w:r>
        <w:rPr>
          <w:rFonts w:ascii="IRNazanin" w:hAnsi="IRNazanin" w:eastAsia="IRNazanin" w:cs="IRNazanin"/>
          <w:lang w:bidi="fa-IR"/>
          <w:color w:val="111111"/>
          <w:sz w:val="28"/>
          <w:szCs w:val="28"/>
          <w:rtl/>
        </w:rPr>
        <w:t xml:space="preserve">ص 275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مواعظ، ج 15 ، ص 862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المواعظ (كتاب في)، ج 15 ، ص 862.</w:t>
      </w:r>
    </w:p>
    <w:p>
      <w:pPr>
        <w:pStyle w:val="BookText"/>
      </w:pPr>
      <w:r>
        <w:rPr>
          <w:rFonts w:ascii="Amiri" w:hAnsi="Amiri" w:eastAsia="Amiri" w:cs="Amiri"/>
          <w:lang w:bidi="ar-SA"/>
          <w:color w:val="111111"/>
          <w:sz w:val="28"/>
          <w:szCs w:val="28"/>
          <w:rtl/>
        </w:rPr>
        <w:t xml:space="preserve">اعرجي، جعفر بن محمّد -حسيني</w:t>
      </w:r>
    </w:p>
    <w:p>
      <w:pPr>
        <w:pStyle w:val="BookText"/>
      </w:pPr>
      <w:r>
        <w:rPr>
          <w:rFonts w:ascii="Amiri" w:hAnsi="Amiri" w:eastAsia="Amiri" w:cs="Amiri"/>
          <w:lang w:bidi="ar-SA"/>
          <w:color w:val="111111"/>
          <w:sz w:val="28"/>
          <w:szCs w:val="28"/>
          <w:rtl/>
        </w:rPr>
        <w:t xml:space="preserve">اعرجي ، جعفر بن محمّد</w:t>
      </w:r>
    </w:p>
    <w:p>
      <w:pPr>
        <w:pStyle w:val="Heading2"/>
      </w:pPr>
      <w:bookmarkStart w:id="2286" w:name="_Toc1388"/>
      <w:r>
        <w:t>اعرجي، حازم بن فؤاد قرن 14 ه-</w:t>
      </w:r>
      <w:bookmarkEnd w:id="2286"/>
    </w:p>
    <w:p>
      <w:pPr>
        <w:pStyle w:val="BookText"/>
      </w:pPr>
      <w:r>
        <w:rPr>
          <w:rFonts w:ascii="Amiri" w:hAnsi="Amiri" w:eastAsia="Amiri" w:cs="Amiri"/>
          <w:lang w:bidi="ar-SA"/>
          <w:color w:val="111111"/>
          <w:sz w:val="28"/>
          <w:szCs w:val="28"/>
          <w:rtl/>
        </w:rPr>
        <w:t xml:space="preserve">بيان بأنساب سادات الموصل العلويين</w:t>
      </w:r>
    </w:p>
    <w:p>
      <w:pPr>
        <w:pStyle w:val="BookText"/>
      </w:pPr>
      <w:r>
        <w:rPr>
          <w:rFonts w:ascii="Amiri" w:hAnsi="Amiri" w:eastAsia="Amiri" w:cs="Amiri"/>
          <w:lang w:bidi="ar-SA"/>
          <w:color w:val="111111"/>
          <w:sz w:val="28"/>
          <w:szCs w:val="28"/>
          <w:rtl/>
        </w:rPr>
        <w:t xml:space="preserve">اعرجي ، حسن بن محسن -كاظمي</w:t>
      </w:r>
    </w:p>
    <w:p>
      <w:pPr>
        <w:pStyle w:val="BookText"/>
      </w:pPr>
      <w:r>
        <w:rPr>
          <w:rFonts w:ascii="Amiri" w:hAnsi="Amiri" w:eastAsia="Amiri" w:cs="Amiri"/>
          <w:lang w:bidi="ar-SA"/>
          <w:color w:val="111111"/>
          <w:sz w:val="28"/>
          <w:szCs w:val="28"/>
          <w:rtl/>
        </w:rPr>
        <w:t xml:space="preserve">اعرجي ، حسن بن محسن</w:t>
      </w:r>
    </w:p>
    <w:p>
      <w:pPr>
        <w:pStyle w:val="Heading2"/>
      </w:pPr>
      <w:bookmarkStart w:id="2287" w:name="_Toc1389"/>
      <w:r>
        <w:t>اعرجي حلي ، عبد المطلب بن محمّد، 681</w:t>
      </w:r>
      <w:bookmarkEnd w:id="22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745 ه-</w:t>
      </w:r>
    </w:p>
    <w:p>
      <w:pPr>
        <w:pStyle w:val="BookText"/>
      </w:pPr>
      <w:r>
        <w:rPr>
          <w:rFonts w:ascii="Amiri" w:hAnsi="Amiri" w:eastAsia="Amiri" w:cs="Amiri"/>
          <w:lang w:bidi="ar-SA"/>
          <w:color w:val="111111"/>
          <w:sz w:val="28"/>
          <w:szCs w:val="28"/>
          <w:rtl/>
        </w:rPr>
        <w:t xml:space="preserve">1 .اشراق اللاهوت في نقد شرح</w:t>
      </w:r>
    </w:p>
    <w:p>
      <w:pPr>
        <w:pStyle w:val="BookText"/>
      </w:pPr>
      <w:r>
        <w:rPr>
          <w:rFonts w:ascii="Amiri" w:hAnsi="Amiri" w:eastAsia="Amiri" w:cs="Amiri"/>
          <w:lang w:bidi="ar-SA"/>
          <w:color w:val="111111"/>
          <w:sz w:val="28"/>
          <w:szCs w:val="28"/>
          <w:rtl/>
        </w:rPr>
        <w:t xml:space="preserve">الياقوت، ج 2، ص280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تبصرة الطالبين في شرح نهج</w:t>
      </w:r>
    </w:p>
    <w:p>
      <w:pPr>
        <w:pStyle w:val="BookText"/>
      </w:pPr>
      <w:r>
        <w:rPr>
          <w:rFonts w:ascii="Amiri" w:hAnsi="Amiri" w:eastAsia="Amiri" w:cs="Amiri"/>
          <w:lang w:bidi="ar-SA"/>
          <w:color w:val="111111"/>
          <w:sz w:val="28"/>
          <w:szCs w:val="28"/>
          <w:rtl/>
        </w:rPr>
        <w:t xml:space="preserve">المسترشدين، ج 3، ص 638.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الفوائد في حل مشكلات القواعد و تردداته، ج13، ص 431 .</w:t>
      </w:r>
    </w:p>
    <w:p>
      <w:pPr>
        <w:pStyle w:val="BookText"/>
      </w:pPr>
      <w:r>
        <w:rPr>
          <w:rFonts w:ascii="Amiri" w:hAnsi="Amiri" w:eastAsia="Amiri" w:cs="Amiri"/>
          <w:lang w:bidi="ar-SA"/>
          <w:color w:val="111111"/>
          <w:sz w:val="28"/>
          <w:szCs w:val="28"/>
          <w:rtl/>
        </w:rPr>
        <w:t xml:space="preserve">4 .مناسخات الميراث = المسألة النافعة</w:t>
      </w:r>
    </w:p>
    <w:p>
      <w:pPr>
        <w:pStyle w:val="BookText"/>
      </w:pPr>
      <w:r>
        <w:rPr>
          <w:rFonts w:ascii="Amiri" w:hAnsi="Amiri" w:eastAsia="Amiri" w:cs="Amiri"/>
          <w:lang w:bidi="ar-SA"/>
          <w:color w:val="111111"/>
          <w:sz w:val="28"/>
          <w:szCs w:val="28"/>
          <w:rtl/>
        </w:rPr>
        <w:t xml:space="preserve">للمباحث الجامعة لأقسام الوارث</w:t>
      </w:r>
    </w:p>
    <w:p>
      <w:pPr>
        <w:pStyle w:val="BookText"/>
      </w:pPr>
      <w:r>
        <w:rPr>
          <w:rFonts w:ascii="IRNazanin" w:hAnsi="IRNazanin" w:eastAsia="IRNazanin" w:cs="IRNazanin"/>
          <w:lang w:bidi="fa-IR"/>
          <w:color w:val="111111"/>
          <w:sz w:val="28"/>
          <w:szCs w:val="28"/>
          <w:rtl/>
        </w:rPr>
        <w:t xml:space="preserve">ج 15، ص 495.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منية اللبيب في شرح التهذيب غنية اللبيب في شرح التهذيب</w:t>
      </w:r>
    </w:p>
    <w:p>
      <w:pPr>
        <w:pStyle w:val="BookText"/>
      </w:pPr>
      <w:r>
        <w:rPr>
          <w:rFonts w:ascii="IRNazanin" w:hAnsi="IRNazanin" w:eastAsia="IRNazanin" w:cs="IRNazanin"/>
          <w:lang w:bidi="fa-IR"/>
          <w:color w:val="111111"/>
          <w:sz w:val="28"/>
          <w:szCs w:val="28"/>
          <w:rtl/>
        </w:rPr>
        <w:t xml:space="preserve">ج 15، ص 823.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5" w:name="pg7742_69793"/>
    <w:bookmarkEnd w:id="205"/>
    <w:p>
      <w:pPr>
        <w:pStyle w:val="BookText"/>
      </w:pPr>
      <w:r>
        <w:rPr>
          <w:rFonts w:ascii="Amiri" w:hAnsi="Amiri" w:eastAsia="Amiri" w:cs="Amiri"/>
          <w:lang w:bidi="ar-SA"/>
          <w:color w:val="111111"/>
          <w:sz w:val="28"/>
          <w:szCs w:val="28"/>
          <w:rtl/>
        </w:rPr>
        <w:t xml:space="preserve">اعرجي ، صادق بن علي- فحام اعرجي ،</w:t>
      </w:r>
    </w:p>
    <w:p>
      <w:pPr>
        <w:pStyle w:val="BookText"/>
      </w:pPr>
      <w:r>
        <w:rPr>
          <w:rFonts w:ascii="Amiri" w:hAnsi="Amiri" w:eastAsia="Amiri" w:cs="Amiri"/>
          <w:lang w:bidi="ar-SA"/>
          <w:color w:val="111111"/>
          <w:sz w:val="28"/>
          <w:szCs w:val="28"/>
          <w:rtl/>
        </w:rPr>
        <w:t xml:space="preserve">صادق بن علي</w:t>
      </w:r>
    </w:p>
    <w:p>
      <w:pPr>
        <w:pStyle w:val="Heading2"/>
      </w:pPr>
      <w:bookmarkStart w:id="2288" w:name="_Toc1390"/>
      <w:r>
        <w:t>اعرجي ، عبد الكريم بن حسن</w:t>
      </w:r>
      <w:bookmarkEnd w:id="22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البنود المنضمة في حل رموز قوانين</w:t>
      </w:r>
    </w:p>
    <w:p>
      <w:pPr>
        <w:pStyle w:val="BookText"/>
      </w:pPr>
      <w:r>
        <w:rPr>
          <w:rFonts w:ascii="Amiri" w:hAnsi="Amiri" w:eastAsia="Amiri" w:cs="Amiri"/>
          <w:lang w:bidi="ar-SA"/>
          <w:color w:val="111111"/>
          <w:sz w:val="28"/>
          <w:szCs w:val="28"/>
          <w:rtl/>
        </w:rPr>
        <w:t xml:space="preserve">المحكمة، ج 3، ص 409.</w:t>
      </w:r>
    </w:p>
    <w:p>
      <w:pPr>
        <w:pStyle w:val="BookText"/>
      </w:pPr>
      <w:r>
        <w:rPr>
          <w:rFonts w:ascii="Amiri" w:hAnsi="Amiri" w:eastAsia="Amiri" w:cs="Amiri"/>
          <w:lang w:bidi="ar-SA"/>
          <w:color w:val="111111"/>
          <w:sz w:val="28"/>
          <w:szCs w:val="28"/>
          <w:rtl/>
        </w:rPr>
        <w:t xml:space="preserve">2 .حاشية القوانين المحكمة ج6،</w:t>
      </w:r>
    </w:p>
    <w:p>
      <w:pPr>
        <w:pStyle w:val="BookText"/>
      </w:pPr>
      <w:r>
        <w:rPr>
          <w:rFonts w:ascii="IRNazanin" w:hAnsi="IRNazanin" w:eastAsia="IRNazanin" w:cs="IRNazanin"/>
          <w:lang w:bidi="fa-IR"/>
          <w:color w:val="111111"/>
          <w:sz w:val="28"/>
          <w:szCs w:val="28"/>
          <w:rtl/>
        </w:rPr>
        <w:t xml:space="preserve">ص318.</w:t>
      </w:r>
    </w:p>
    <w:p>
      <w:pPr>
        <w:pStyle w:val="Heading2"/>
      </w:pPr>
      <w:bookmarkStart w:id="2289" w:name="_Toc1391"/>
      <w:r>
        <w:t>اعرجي ، عبد المهدي بن راضي</w:t>
      </w:r>
      <w:bookmarkEnd w:id="2289"/>
    </w:p>
    <w:p>
      <w:pPr>
        <w:pStyle w:val="BookText"/>
      </w:pPr>
      <w:r>
        <w:rPr>
          <w:rFonts w:ascii="Amiri" w:hAnsi="Amiri" w:eastAsia="Amiri" w:cs="Amiri"/>
          <w:lang w:bidi="ar-SA"/>
          <w:color w:val="111111"/>
          <w:sz w:val="28"/>
          <w:szCs w:val="28"/>
          <w:rtl/>
        </w:rPr>
        <w:t xml:space="preserve">1 .ديوان عبد المهدي الاعرجي، ج7،</w:t>
      </w:r>
    </w:p>
    <w:p>
      <w:pPr>
        <w:pStyle w:val="BookText"/>
      </w:pPr>
      <w:r>
        <w:rPr>
          <w:rFonts w:ascii="IRNazanin" w:hAnsi="IRNazanin" w:eastAsia="IRNazanin" w:cs="IRNazanin"/>
          <w:lang w:bidi="fa-IR"/>
          <w:color w:val="111111"/>
          <w:sz w:val="28"/>
          <w:szCs w:val="28"/>
          <w:rtl/>
        </w:rPr>
        <w:t xml:space="preserve">ص 714.</w:t>
      </w:r>
    </w:p>
    <w:p>
      <w:pPr>
        <w:pStyle w:val="BookText"/>
      </w:pPr>
      <w:r>
        <w:rPr>
          <w:rFonts w:ascii="Amiri" w:hAnsi="Amiri" w:eastAsia="Amiri" w:cs="Amiri"/>
          <w:lang w:bidi="ar-SA"/>
          <w:color w:val="111111"/>
          <w:sz w:val="28"/>
          <w:szCs w:val="28"/>
          <w:rtl/>
        </w:rPr>
        <w:t xml:space="preserve">2 .صدح السني و الشعور الحي، ج 10،</w:t>
      </w:r>
    </w:p>
    <w:p>
      <w:pPr>
        <w:pStyle w:val="BookText"/>
      </w:pPr>
      <w:r>
        <w:rPr>
          <w:rFonts w:ascii="IRNazanin" w:hAnsi="IRNazanin" w:eastAsia="IRNazanin" w:cs="IRNazanin"/>
          <w:lang w:bidi="fa-IR"/>
          <w:color w:val="111111"/>
          <w:sz w:val="28"/>
          <w:szCs w:val="28"/>
          <w:rtl/>
        </w:rPr>
        <w:t xml:space="preserve">ص 537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صرح السنا و الشعور الحي، ج 10،</w:t>
      </w:r>
    </w:p>
    <w:p>
      <w:pPr>
        <w:pStyle w:val="BookText"/>
      </w:pPr>
      <w:r>
        <w:rPr>
          <w:rFonts w:ascii="IRNazanin" w:hAnsi="IRNazanin" w:eastAsia="IRNazanin" w:cs="IRNazanin"/>
          <w:lang w:bidi="fa-IR"/>
          <w:color w:val="111111"/>
          <w:sz w:val="28"/>
          <w:szCs w:val="28"/>
          <w:rtl/>
        </w:rPr>
        <w:t xml:space="preserve">ص 550.</w:t>
      </w:r>
    </w:p>
    <w:p>
      <w:pPr>
        <w:pStyle w:val="Heading2"/>
      </w:pPr>
      <w:bookmarkStart w:id="2290" w:name="_Toc1392"/>
      <w:r>
        <w:t>اعرجي ، علي بن محمّد حسن، -1349ه-</w:t>
      </w:r>
      <w:bookmarkEnd w:id="2290"/>
    </w:p>
    <w:p>
      <w:pPr>
        <w:pStyle w:val="BookText"/>
      </w:pPr>
      <w:r>
        <w:rPr>
          <w:rFonts w:ascii="Amiri" w:hAnsi="Amiri" w:eastAsia="Amiri" w:cs="Amiri"/>
          <w:lang w:bidi="ar-SA"/>
          <w:color w:val="111111"/>
          <w:sz w:val="28"/>
          <w:szCs w:val="28"/>
          <w:rtl/>
        </w:rPr>
        <w:t xml:space="preserve">1 .تحفة المشتغلين على شرح بدر الدين ج 4، ص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التقريب لايضاح التهذيب، ج 4،</w:t>
      </w:r>
    </w:p>
    <w:p>
      <w:pPr>
        <w:pStyle w:val="BookText"/>
      </w:pPr>
      <w:r>
        <w:rPr>
          <w:rFonts w:ascii="IRNazanin" w:hAnsi="IRNazanin" w:eastAsia="IRNazanin" w:cs="IRNazanin"/>
          <w:lang w:bidi="fa-IR"/>
          <w:color w:val="111111"/>
          <w:sz w:val="28"/>
          <w:szCs w:val="28"/>
          <w:rtl/>
        </w:rPr>
        <w:t xml:space="preserve">ص 727</w:t>
      </w:r>
    </w:p>
    <w:p>
      <w:pPr>
        <w:pStyle w:val="BookText"/>
      </w:pPr>
      <w:r>
        <w:rPr>
          <w:rFonts w:ascii="Amiri" w:hAnsi="Amiri" w:eastAsia="Amiri" w:cs="Amiri"/>
          <w:lang w:bidi="ar-SA"/>
          <w:color w:val="111111"/>
          <w:sz w:val="28"/>
          <w:szCs w:val="28"/>
          <w:rtl/>
        </w:rPr>
        <w:t xml:space="preserve">اعرجي فحام ، ، محمّد رضا بن جعفر- حسيني اعرجي ، محمّد رضا بن</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اعرجي كاظمي، جعفر بن راضي -حسيني</w:t>
      </w:r>
    </w:p>
    <w:p>
      <w:pPr>
        <w:pStyle w:val="BookText"/>
      </w:pPr>
      <w:r>
        <w:rPr>
          <w:rFonts w:ascii="Amiri" w:hAnsi="Amiri" w:eastAsia="Amiri" w:cs="Amiri"/>
          <w:lang w:bidi="ar-SA"/>
          <w:color w:val="111111"/>
          <w:sz w:val="28"/>
          <w:szCs w:val="28"/>
          <w:rtl/>
        </w:rPr>
        <w:t xml:space="preserve">اعرجي ، جعفر بن محمّد</w:t>
      </w:r>
    </w:p>
    <w:p>
      <w:pPr>
        <w:pStyle w:val="Heading2"/>
      </w:pPr>
      <w:bookmarkStart w:id="2291" w:name="_Toc1393"/>
      <w:r>
        <w:t>اعرجي، محسن بن حسن، 1130-1227ه-</w:t>
      </w:r>
      <w:bookmarkEnd w:id="2291"/>
    </w:p>
    <w:p>
      <w:pPr>
        <w:pStyle w:val="BookText"/>
      </w:pPr>
      <w:r>
        <w:rPr>
          <w:rFonts w:ascii="Amiri" w:hAnsi="Amiri" w:eastAsia="Amiri" w:cs="Amiri"/>
          <w:lang w:bidi="ar-SA"/>
          <w:color w:val="111111"/>
          <w:sz w:val="28"/>
          <w:szCs w:val="28"/>
          <w:rtl/>
        </w:rPr>
        <w:t xml:space="preserve">1 .اختلاف العلماء في القراءة، ج 1،</w:t>
      </w:r>
    </w:p>
    <w:p>
      <w:pPr>
        <w:pStyle w:val="BookText"/>
      </w:pPr>
      <w:r>
        <w:rPr>
          <w:rFonts w:ascii="IRNazanin" w:hAnsi="IRNazanin" w:eastAsia="IRNazanin" w:cs="IRNazanin"/>
          <w:lang w:bidi="fa-IR"/>
          <w:color w:val="111111"/>
          <w:sz w:val="28"/>
          <w:szCs w:val="28"/>
          <w:rtl/>
        </w:rPr>
        <w:t xml:space="preserve">ص 550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الارث وطبقاته ( رسالة في)، ج1،</w:t>
      </w:r>
    </w:p>
    <w:p>
      <w:pPr>
        <w:pStyle w:val="BookText"/>
      </w:pPr>
      <w:r>
        <w:rPr>
          <w:rFonts w:ascii="IRNazanin" w:hAnsi="IRNazanin" w:eastAsia="IRNazanin" w:cs="IRNazanin"/>
          <w:lang w:bidi="fa-IR"/>
          <w:color w:val="111111"/>
          <w:sz w:val="28"/>
          <w:szCs w:val="28"/>
          <w:rtl/>
        </w:rPr>
        <w:t xml:space="preserve">ص 758.</w:t>
      </w:r>
    </w:p>
    <w:p>
      <w:pPr>
        <w:pStyle w:val="BookText"/>
      </w:pPr>
      <w:r>
        <w:rPr>
          <w:rFonts w:ascii="Amiri" w:hAnsi="Amiri" w:eastAsia="Amiri" w:cs="Amiri"/>
          <w:lang w:bidi="ar-SA"/>
          <w:color w:val="111111"/>
          <w:sz w:val="28"/>
          <w:szCs w:val="28"/>
          <w:rtl/>
        </w:rPr>
        <w:t xml:space="preserve">3 .اصل البرائة و الاباحة، ج 2، ص380.</w:t>
      </w:r>
    </w:p>
    <w:p>
      <w:pPr>
        <w:pStyle w:val="BookText"/>
      </w:pPr>
      <w:r>
        <w:rPr>
          <w:rFonts w:ascii="Amiri" w:hAnsi="Amiri" w:eastAsia="Amiri" w:cs="Amiri"/>
          <w:lang w:bidi="ar-SA"/>
          <w:color w:val="111111"/>
          <w:sz w:val="28"/>
          <w:szCs w:val="28"/>
          <w:rtl/>
        </w:rPr>
        <w:t xml:space="preserve">4 .اصول الفقه (رسالة في)، ج2،</w:t>
      </w:r>
    </w:p>
    <w:p>
      <w:pPr>
        <w:pStyle w:val="BookText"/>
      </w:pPr>
      <w:r>
        <w:rPr>
          <w:rFonts w:ascii="IRNazanin" w:hAnsi="IRNazanin" w:eastAsia="IRNazanin" w:cs="IRNazanin"/>
          <w:lang w:bidi="fa-IR"/>
          <w:color w:val="111111"/>
          <w:sz w:val="28"/>
          <w:szCs w:val="28"/>
          <w:rtl/>
        </w:rPr>
        <w:t xml:space="preserve">ص 433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اقسام البيع (رسالة في)، ج2،</w:t>
      </w:r>
    </w:p>
    <w:p>
      <w:pPr>
        <w:pStyle w:val="BookText"/>
      </w:pPr>
      <w:r>
        <w:rPr>
          <w:rFonts w:ascii="IRNazanin" w:hAnsi="IRNazanin" w:eastAsia="IRNazanin" w:cs="IRNazanin"/>
          <w:lang w:bidi="fa-IR"/>
          <w:color w:val="111111"/>
          <w:sz w:val="28"/>
          <w:szCs w:val="28"/>
          <w:rtl/>
        </w:rPr>
        <w:t xml:space="preserve">ص 622.</w:t>
      </w:r>
    </w:p>
    <w:p>
      <w:pPr>
        <w:pStyle w:val="BookText"/>
      </w:pPr>
      <w:r>
        <w:rPr>
          <w:rFonts w:ascii="Amiri" w:hAnsi="Amiri" w:eastAsia="Amiri" w:cs="Amiri"/>
          <w:lang w:bidi="ar-SA"/>
          <w:color w:val="111111"/>
          <w:sz w:val="28"/>
          <w:szCs w:val="28"/>
          <w:rtl/>
        </w:rPr>
        <w:t xml:space="preserve">6 .التجارة والمكاسب، ج 3، ص 682.</w:t>
      </w:r>
    </w:p>
    <w:p>
      <w:pPr>
        <w:pStyle w:val="BookText"/>
      </w:pPr>
      <w:r>
        <w:rPr>
          <w:rFonts w:ascii="Amiri" w:hAnsi="Amiri" w:eastAsia="Amiri" w:cs="Amiri"/>
          <w:lang w:bidi="ar-SA"/>
          <w:color w:val="111111"/>
          <w:sz w:val="28"/>
          <w:szCs w:val="28"/>
          <w:rtl/>
        </w:rPr>
        <w:t xml:space="preserve">7.تحقيق معنى الكعب (رسالة في)</w:t>
      </w:r>
    </w:p>
    <w:p>
      <w:pPr>
        <w:pStyle w:val="BookText"/>
      </w:pPr>
      <w:r>
        <w:rPr>
          <w:rFonts w:ascii="IRNazanin" w:hAnsi="IRNazanin" w:eastAsia="IRNazanin" w:cs="IRNazanin"/>
          <w:lang w:bidi="fa-IR"/>
          <w:color w:val="111111"/>
          <w:sz w:val="28"/>
          <w:szCs w:val="28"/>
          <w:rtl/>
        </w:rPr>
        <w:t xml:space="preserve">ج 4، ص 80.</w:t>
      </w:r>
    </w:p>
    <w:p>
      <w:pPr>
        <w:pStyle w:val="BookText"/>
      </w:pPr>
      <w:r>
        <w:rPr>
          <w:rFonts w:ascii="Amiri" w:hAnsi="Amiri" w:eastAsia="Amiri" w:cs="Amiri"/>
          <w:lang w:bidi="ar-SA"/>
          <w:color w:val="111111"/>
          <w:sz w:val="28"/>
          <w:szCs w:val="28"/>
          <w:rtl/>
        </w:rPr>
        <w:t xml:space="preserve">8 .التخلص من الربا بالضميمة (رسالة</w:t>
      </w:r>
    </w:p>
    <w:p>
      <w:pPr>
        <w:pStyle w:val="BookText"/>
      </w:pPr>
      <w:r>
        <w:rPr>
          <w:rFonts w:ascii="Amiri" w:hAnsi="Amiri" w:eastAsia="Amiri" w:cs="Amiri"/>
          <w:lang w:bidi="ar-SA"/>
          <w:color w:val="111111"/>
          <w:sz w:val="28"/>
          <w:szCs w:val="28"/>
          <w:rtl/>
        </w:rPr>
        <w:t xml:space="preserve">في)، ج 4، ص 97 .</w:t>
      </w:r>
    </w:p>
    <w:p>
      <w:pPr>
        <w:pStyle w:val="BookText"/>
      </w:pPr>
      <w:r>
        <w:rPr>
          <w:rFonts w:ascii="Amiri" w:hAnsi="Amiri" w:eastAsia="Amiri" w:cs="Amiri"/>
          <w:lang w:bidi="ar-SA"/>
          <w:color w:val="111111"/>
          <w:sz w:val="28"/>
          <w:szCs w:val="28"/>
          <w:rtl/>
        </w:rPr>
        <w:t xml:space="preserve">9 .تعليقة على الوافي، ج 4، ص 535.</w:t>
      </w:r>
    </w:p>
    <w:p>
      <w:pPr>
        <w:pStyle w:val="BookText"/>
      </w:pPr>
      <w:r>
        <w:rPr>
          <w:rFonts w:ascii="Amiri" w:hAnsi="Amiri" w:eastAsia="Amiri" w:cs="Amiri"/>
          <w:lang w:bidi="ar-SA"/>
          <w:color w:val="111111"/>
          <w:sz w:val="28"/>
          <w:szCs w:val="28"/>
          <w:rtl/>
        </w:rPr>
        <w:t xml:space="preserve">10 .التقصير في السفر، ج 4، ص788.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تلخيص كتاب النكاح من وسائل</w:t>
      </w:r>
    </w:p>
    <w:p>
      <w:pPr>
        <w:pStyle w:val="BookText"/>
      </w:pPr>
      <w:r>
        <w:rPr>
          <w:rFonts w:ascii="Amiri" w:hAnsi="Amiri" w:eastAsia="Amiri" w:cs="Amiri"/>
          <w:lang w:bidi="ar-SA"/>
          <w:color w:val="111111"/>
          <w:sz w:val="28"/>
          <w:szCs w:val="28"/>
          <w:rtl/>
        </w:rPr>
        <w:t xml:space="preserve">الشيعة في احكام الشريعة، ج 4،</w:t>
      </w:r>
    </w:p>
    <w:p>
      <w:pPr>
        <w:pStyle w:val="BookText"/>
      </w:pPr>
      <w:r>
        <w:rPr>
          <w:rFonts w:ascii="IRNazanin" w:hAnsi="IRNazanin" w:eastAsia="IRNazanin" w:cs="IRNazanin"/>
          <w:lang w:bidi="fa-IR"/>
          <w:color w:val="111111"/>
          <w:sz w:val="28"/>
          <w:szCs w:val="28"/>
          <w:rtl/>
        </w:rPr>
        <w:t xml:space="preserve">ص 854.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حاشية كفاية المقتصد، ج 6،</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Amiri" w:hAnsi="Amiri" w:eastAsia="Amiri" w:cs="Amiri"/>
          <w:lang w:bidi="ar-SA"/>
          <w:color w:val="111111"/>
          <w:sz w:val="28"/>
          <w:szCs w:val="28"/>
          <w:rtl/>
        </w:rPr>
        <w:t xml:space="preserve">13 .حكم صلاة الجمعة (رسالة في)</w:t>
      </w:r>
    </w:p>
    <w:p>
      <w:pPr>
        <w:pStyle w:val="BookText"/>
      </w:pPr>
      <w:r>
        <w:rPr>
          <w:rFonts w:ascii="IRNazanin" w:hAnsi="IRNazanin" w:eastAsia="IRNazanin" w:cs="IRNazanin"/>
          <w:lang w:bidi="fa-IR"/>
          <w:color w:val="111111"/>
          <w:sz w:val="28"/>
          <w:szCs w:val="28"/>
          <w:rtl/>
        </w:rPr>
        <w:t xml:space="preserve">ج 6 ، ص 757 .</w:t>
      </w:r>
    </w:p>
    <w:p>
      <w:pPr>
        <w:pStyle w:val="BookText"/>
      </w:pPr>
      <w:r>
        <w:rPr>
          <w:rFonts w:ascii="IRNazanin" w:hAnsi="IRNazanin" w:eastAsia="IRNazanin" w:cs="IRNazanin"/>
          <w:lang w:bidi="fa-IR"/>
          <w:color w:val="111111"/>
          <w:sz w:val="28"/>
          <w:szCs w:val="28"/>
          <w:rtl/>
        </w:rPr>
        <w:t xml:space="preserve">14 .رسائل، ج8، ص123.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الرسائل العشر، ج8، ص 144 .</w:t>
      </w:r>
    </w:p>
    <w:p>
      <w:pPr>
        <w:pStyle w:val="BookText"/>
      </w:pPr>
      <w:r>
        <w:rPr>
          <w:rFonts w:ascii="Amiri" w:hAnsi="Amiri" w:eastAsia="Amiri" w:cs="Amiri"/>
          <w:lang w:bidi="ar-SA"/>
          <w:color w:val="111111"/>
          <w:sz w:val="28"/>
          <w:szCs w:val="28"/>
          <w:rtl/>
        </w:rPr>
        <w:t xml:space="preserve">16 . رسالة مطولة في الرد على الاخباريين خصوصا (الاسترابادي)</w:t>
      </w:r>
    </w:p>
    <w:p>
      <w:pPr>
        <w:pStyle w:val="BookText"/>
      </w:pPr>
      <w:r>
        <w:rPr>
          <w:rFonts w:ascii="Amiri" w:hAnsi="Amiri" w:eastAsia="Amiri" w:cs="Amiri"/>
          <w:lang w:bidi="ar-SA"/>
          <w:color w:val="111111"/>
          <w:sz w:val="28"/>
          <w:szCs w:val="28"/>
          <w:rtl/>
        </w:rPr>
        <w:t xml:space="preserve">في فوائده، ج8، ص273.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الاستبصار = محصول ما في</w:t>
      </w:r>
    </w:p>
    <w:p>
      <w:pPr>
        <w:pStyle w:val="BookText"/>
      </w:pPr>
      <w:r>
        <w:rPr>
          <w:rFonts w:ascii="IRNazanin" w:hAnsi="IRNazanin" w:eastAsia="IRNazanin" w:cs="IRNazanin"/>
          <w:lang w:bidi="fa-IR"/>
          <w:color w:val="111111"/>
          <w:sz w:val="28"/>
          <w:szCs w:val="28"/>
          <w:rtl/>
        </w:rPr>
        <w:t xml:space="preserve">الاستبصار، ج9، ص193.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مقدمة الحدائق الناضرة</w:t>
      </w:r>
    </w:p>
    <w:p>
      <w:pPr>
        <w:pStyle w:val="BookText"/>
      </w:pPr>
      <w:r>
        <w:rPr>
          <w:rFonts w:ascii="IRNazanin" w:hAnsi="IRNazanin" w:eastAsia="IRNazanin" w:cs="IRNazanin"/>
          <w:lang w:bidi="fa-IR"/>
          <w:color w:val="111111"/>
          <w:sz w:val="28"/>
          <w:szCs w:val="28"/>
          <w:rtl/>
        </w:rPr>
        <w:t xml:space="preserve">ج 10 ، ص 194.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6" w:name="pg7742_69795"/>
    <w:bookmarkEnd w:id="206"/>
    <w:p>
      <w:pPr>
        <w:pStyle w:val="BookText"/>
      </w:pPr>
      <w:r>
        <w:rPr>
          <w:rFonts w:ascii="Amiri" w:hAnsi="Amiri" w:eastAsia="Amiri" w:cs="Amiri"/>
          <w:lang w:bidi="ar-SA"/>
          <w:color w:val="111111"/>
          <w:sz w:val="28"/>
          <w:szCs w:val="28"/>
          <w:rtl/>
        </w:rPr>
        <w:t xml:space="preserve">19 .الشغل اليقيني و الفراغ اليقيني (رسالة في)، ج 10، ص 371.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الصلاة، ج 10، ص 584.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صلاة المسافر الناوي للاقامة الخارج إلى دون المسافة (رسالة</w:t>
      </w:r>
    </w:p>
    <w:p>
      <w:pPr>
        <w:pStyle w:val="BookText"/>
      </w:pPr>
      <w:r>
        <w:rPr>
          <w:rFonts w:ascii="Amiri" w:hAnsi="Amiri" w:eastAsia="Amiri" w:cs="Amiri"/>
          <w:lang w:bidi="ar-SA"/>
          <w:color w:val="111111"/>
          <w:sz w:val="28"/>
          <w:szCs w:val="28"/>
          <w:rtl/>
        </w:rPr>
        <w:t xml:space="preserve">في)، ج 10 ، ص 616.</w:t>
      </w:r>
    </w:p>
    <w:p>
      <w:pPr>
        <w:pStyle w:val="BookText"/>
      </w:pPr>
      <w:r>
        <w:rPr>
          <w:rFonts w:ascii="Amiri" w:hAnsi="Amiri" w:eastAsia="Amiri" w:cs="Amiri"/>
          <w:lang w:bidi="ar-SA"/>
          <w:color w:val="111111"/>
          <w:sz w:val="28"/>
          <w:szCs w:val="28"/>
          <w:rtl/>
        </w:rPr>
        <w:t xml:space="preserve">22 .عدة الرجال، ج 11، ص 52.</w:t>
      </w:r>
    </w:p>
    <w:p>
      <w:pPr>
        <w:pStyle w:val="BookText"/>
      </w:pPr>
      <w:r>
        <w:rPr>
          <w:rFonts w:ascii="IRNazanin" w:hAnsi="IRNazanin" w:eastAsia="IRNazanin" w:cs="IRNazanin"/>
          <w:lang w:bidi="fa-IR"/>
          <w:color w:val="111111"/>
          <w:sz w:val="28"/>
          <w:szCs w:val="28"/>
          <w:rtl/>
        </w:rPr>
        <w:t xml:space="preserve">23 .غرر الفرائد، ج 11، ص 482.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الفقه( كتاب في)، ج 12، ص 45.</w:t>
      </w:r>
    </w:p>
    <w:p>
      <w:pPr>
        <w:pStyle w:val="BookText"/>
      </w:pPr>
      <w:r>
        <w:rPr>
          <w:rFonts w:ascii="Amiri" w:hAnsi="Amiri" w:eastAsia="Amiri" w:cs="Amiri"/>
          <w:lang w:bidi="ar-SA"/>
          <w:color w:val="111111"/>
          <w:sz w:val="28"/>
          <w:szCs w:val="28"/>
          <w:rtl/>
        </w:rPr>
        <w:t xml:space="preserve">25 .الفقهية المستطرفة = الفية = درر</w:t>
      </w:r>
    </w:p>
    <w:p>
      <w:pPr>
        <w:pStyle w:val="BookText"/>
      </w:pPr>
      <w:r>
        <w:rPr>
          <w:rFonts w:ascii="Amiri" w:hAnsi="Amiri" w:eastAsia="Amiri" w:cs="Amiri"/>
          <w:lang w:bidi="ar-SA"/>
          <w:color w:val="111111"/>
          <w:sz w:val="28"/>
          <w:szCs w:val="28"/>
          <w:rtl/>
        </w:rPr>
        <w:t xml:space="preserve">البهية، ج 12، ص 117.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مجمع الاحكام - جامع الاحكام في شرح شرایع الاسلام، ج13، ص 823.</w:t>
      </w:r>
    </w:p>
    <w:p>
      <w:pPr>
        <w:pStyle w:val="BookText"/>
      </w:pPr>
      <w:r>
        <w:rPr>
          <w:rFonts w:ascii="Amiri" w:hAnsi="Amiri" w:eastAsia="Amiri" w:cs="Amiri"/>
          <w:lang w:bidi="ar-SA"/>
          <w:color w:val="111111"/>
          <w:sz w:val="28"/>
          <w:szCs w:val="28"/>
          <w:rtl/>
        </w:rPr>
        <w:t xml:space="preserve">27 .المحصول في علم الاصول، ج 14 ،</w:t>
      </w:r>
    </w:p>
    <w:p>
      <w:pPr>
        <w:pStyle w:val="BookText"/>
      </w:pPr>
      <w:r>
        <w:rPr>
          <w:rFonts w:ascii="IRNazanin" w:hAnsi="IRNazanin" w:eastAsia="IRNazanin" w:cs="IRNazanin"/>
          <w:lang w:bidi="fa-IR"/>
          <w:color w:val="111111"/>
          <w:sz w:val="28"/>
          <w:szCs w:val="28"/>
          <w:rtl/>
        </w:rPr>
        <w:t xml:space="preserve">ص 125 .</w:t>
      </w:r>
    </w:p>
    <w:p>
      <w:pPr>
        <w:pStyle w:val="BookText"/>
      </w:pPr>
      <w:r>
        <w:rPr>
          <w:rFonts w:ascii="Amiri" w:hAnsi="Amiri" w:eastAsia="Amiri" w:cs="Amiri"/>
          <w:lang w:bidi="ar-SA"/>
          <w:color w:val="111111"/>
          <w:sz w:val="28"/>
          <w:szCs w:val="28"/>
          <w:rtl/>
        </w:rPr>
        <w:t xml:space="preserve">28 .مسائل في النكاح و غيره، ج 14،</w:t>
      </w:r>
    </w:p>
    <w:p>
      <w:pPr>
        <w:pStyle w:val="BookText"/>
      </w:pPr>
      <w:r>
        <w:rPr>
          <w:rFonts w:ascii="IRNazanin" w:hAnsi="IRNazanin" w:eastAsia="IRNazanin" w:cs="IRNazanin"/>
          <w:lang w:bidi="fa-IR"/>
          <w:color w:val="111111"/>
          <w:sz w:val="28"/>
          <w:szCs w:val="28"/>
          <w:rtl/>
        </w:rPr>
        <w:t xml:space="preserve">ص 479.</w:t>
      </w:r>
    </w:p>
    <w:p>
      <w:pPr>
        <w:pStyle w:val="BookText"/>
      </w:pPr>
      <w:r>
        <w:rPr>
          <w:rFonts w:ascii="Amiri" w:hAnsi="Amiri" w:eastAsia="Amiri" w:cs="Amiri"/>
          <w:lang w:bidi="ar-SA"/>
          <w:color w:val="111111"/>
          <w:sz w:val="28"/>
          <w:szCs w:val="28"/>
          <w:rtl/>
        </w:rPr>
        <w:t xml:space="preserve">29 .المواسعة و المضايقة (رسالة في)،</w:t>
      </w:r>
    </w:p>
    <w:p>
      <w:pPr>
        <w:pStyle w:val="BookText"/>
      </w:pPr>
      <w:r>
        <w:rPr>
          <w:rFonts w:ascii="IRNazanin" w:hAnsi="IRNazanin" w:eastAsia="IRNazanin" w:cs="IRNazanin"/>
          <w:lang w:bidi="fa-IR"/>
          <w:color w:val="111111"/>
          <w:sz w:val="28"/>
          <w:szCs w:val="28"/>
          <w:rtl/>
        </w:rPr>
        <w:t xml:space="preserve">ج 15 ، ص 859.</w:t>
      </w:r>
    </w:p>
    <w:p>
      <w:pPr>
        <w:pStyle w:val="BookText"/>
      </w:pPr>
      <w:r>
        <w:rPr>
          <w:rFonts w:ascii="Amiri" w:hAnsi="Amiri" w:eastAsia="Amiri" w:cs="Amiri"/>
          <w:lang w:bidi="ar-SA"/>
          <w:color w:val="111111"/>
          <w:sz w:val="28"/>
          <w:szCs w:val="28"/>
          <w:rtl/>
        </w:rPr>
        <w:t xml:space="preserve">30.نجاة العباد في يوم المعاد، ج 16،</w:t>
      </w:r>
    </w:p>
    <w:p>
      <w:pPr>
        <w:pStyle w:val="BookText"/>
      </w:pPr>
      <w:r>
        <w:rPr>
          <w:rFonts w:ascii="IRNazanin" w:hAnsi="IRNazanin" w:eastAsia="IRNazanin" w:cs="IRNazanin"/>
          <w:lang w:bidi="fa-IR"/>
          <w:color w:val="111111"/>
          <w:sz w:val="28"/>
          <w:szCs w:val="28"/>
          <w:rtl/>
        </w:rPr>
        <w:t xml:space="preserve">ص 147 .</w:t>
      </w:r>
    </w:p>
    <w:p>
      <w:pPr>
        <w:pStyle w:val="BookText"/>
      </w:pPr>
      <w:r>
        <w:rPr>
          <w:rFonts w:ascii="IRNazanin" w:hAnsi="IRNazanin" w:eastAsia="IRNazanin" w:cs="IRNazanin"/>
          <w:lang w:bidi="fa-IR"/>
          <w:color w:val="111111"/>
          <w:sz w:val="28"/>
          <w:szCs w:val="28"/>
          <w:rtl/>
        </w:rPr>
        <w:t xml:space="preserve">31 .نقض الفوائد، ج 16، ص 424.</w:t>
      </w:r>
    </w:p>
    <w:p>
      <w:pPr>
        <w:pStyle w:val="BookText"/>
      </w:pPr>
      <w:r>
        <w:rPr>
          <w:rFonts w:ascii="Amiri" w:hAnsi="Amiri" w:eastAsia="Amiri" w:cs="Amiri"/>
          <w:lang w:bidi="ar-SA"/>
          <w:color w:val="111111"/>
          <w:sz w:val="28"/>
          <w:szCs w:val="28"/>
          <w:rtl/>
        </w:rPr>
        <w:t xml:space="preserve">32 .النوم باعتباره من النواقض (رسالة</w:t>
      </w:r>
    </w:p>
    <w:p>
      <w:pPr>
        <w:pStyle w:val="BookText"/>
      </w:pPr>
      <w:r>
        <w:rPr>
          <w:rFonts w:ascii="Amiri" w:hAnsi="Amiri" w:eastAsia="Amiri" w:cs="Amiri"/>
          <w:lang w:bidi="ar-SA"/>
          <w:color w:val="111111"/>
          <w:sz w:val="28"/>
          <w:szCs w:val="28"/>
          <w:rtl/>
        </w:rPr>
        <w:t xml:space="preserve">في)، ج 16، ص 573.</w:t>
      </w:r>
    </w:p>
    <w:p>
      <w:pPr>
        <w:pStyle w:val="BookText"/>
      </w:pPr>
      <w:r>
        <w:rPr>
          <w:rFonts w:ascii="Amiri" w:hAnsi="Amiri" w:eastAsia="Amiri" w:cs="Amiri"/>
          <w:lang w:bidi="ar-SA"/>
          <w:color w:val="111111"/>
          <w:sz w:val="28"/>
          <w:szCs w:val="28"/>
          <w:rtl/>
        </w:rPr>
        <w:t xml:space="preserve">33 .الوافي في شرح الوافية، ج 16،</w:t>
      </w:r>
    </w:p>
    <w:p>
      <w:pPr>
        <w:pStyle w:val="BookText"/>
      </w:pPr>
      <w:r>
        <w:rPr>
          <w:rFonts w:ascii="IRNazanin" w:hAnsi="IRNazanin" w:eastAsia="IRNazanin" w:cs="IRNazanin"/>
          <w:lang w:bidi="fa-IR"/>
          <w:color w:val="111111"/>
          <w:sz w:val="28"/>
          <w:szCs w:val="28"/>
          <w:rtl/>
        </w:rPr>
        <w:t xml:space="preserve">ص 716.</w:t>
      </w:r>
    </w:p>
    <w:p>
      <w:pPr>
        <w:pStyle w:val="BookText"/>
      </w:pPr>
      <w:r>
        <w:rPr>
          <w:rFonts w:ascii="Amiri" w:hAnsi="Amiri" w:eastAsia="Amiri" w:cs="Amiri"/>
          <w:lang w:bidi="ar-SA"/>
          <w:color w:val="111111"/>
          <w:sz w:val="28"/>
          <w:szCs w:val="28"/>
          <w:rtl/>
        </w:rPr>
        <w:t xml:space="preserve">الوجيزة، ج 16 ، ص738.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وسائل الشيعة إلى احكام</w:t>
      </w:r>
    </w:p>
    <w:p>
      <w:pPr>
        <w:pStyle w:val="BookText"/>
      </w:pPr>
      <w:r>
        <w:rPr>
          <w:rFonts w:ascii="Amiri" w:hAnsi="Amiri" w:eastAsia="Amiri" w:cs="Amiri"/>
          <w:lang w:bidi="ar-SA"/>
          <w:color w:val="111111"/>
          <w:sz w:val="28"/>
          <w:szCs w:val="28"/>
          <w:rtl/>
        </w:rPr>
        <w:t xml:space="preserve">الشريعة، ج 16، ص 773.</w:t>
      </w:r>
    </w:p>
    <w:p>
      <w:pPr>
        <w:pStyle w:val="Heading2"/>
      </w:pPr>
      <w:bookmarkStart w:id="2292" w:name="_Toc1394"/>
      <w:r>
        <w:t>اعرجي، محمّد علي بن كاظم - 1227 ه- اعرجي</w:t>
      </w:r>
      <w:bookmarkEnd w:id="2292"/>
    </w:p>
    <w:p>
      <w:pPr>
        <w:pStyle w:val="BookText"/>
      </w:pPr>
      <w:r>
        <w:rPr>
          <w:rFonts w:ascii="Amiri" w:hAnsi="Amiri" w:eastAsia="Amiri" w:cs="Amiri"/>
          <w:lang w:bidi="ar-SA"/>
          <w:color w:val="111111"/>
          <w:sz w:val="28"/>
          <w:szCs w:val="28"/>
          <w:rtl/>
        </w:rPr>
        <w:t xml:space="preserve">1 .جملة من معضلات المسائل و</w:t>
      </w:r>
    </w:p>
    <w:p>
      <w:pPr>
        <w:pStyle w:val="BookText"/>
      </w:pPr>
      <w:r>
        <w:rPr>
          <w:rFonts w:ascii="IRNazanin" w:hAnsi="IRNazanin" w:eastAsia="IRNazanin" w:cs="IRNazanin"/>
          <w:lang w:bidi="fa-IR"/>
          <w:color w:val="111111"/>
          <w:sz w:val="28"/>
          <w:szCs w:val="28"/>
          <w:rtl/>
        </w:rPr>
        <w:t xml:space="preserve">مهماتها، ج 5، ص 442 .</w:t>
      </w:r>
    </w:p>
    <w:p>
      <w:pPr>
        <w:pStyle w:val="BookText"/>
      </w:pPr>
      <w:r>
        <w:rPr>
          <w:rFonts w:ascii="Amiri" w:hAnsi="Amiri" w:eastAsia="Amiri" w:cs="Amiri"/>
          <w:lang w:bidi="ar-SA"/>
          <w:color w:val="111111"/>
          <w:sz w:val="28"/>
          <w:szCs w:val="28"/>
          <w:rtl/>
        </w:rPr>
        <w:t xml:space="preserve">2 حل ما يرد من اشكال على خبر اذا</w:t>
      </w:r>
    </w:p>
    <w:p>
      <w:pPr>
        <w:pStyle w:val="BookText"/>
      </w:pPr>
      <w:r>
        <w:rPr>
          <w:rFonts w:ascii="Amiri" w:hAnsi="Amiri" w:eastAsia="Amiri" w:cs="Amiri"/>
          <w:lang w:bidi="ar-SA"/>
          <w:color w:val="111111"/>
          <w:sz w:val="28"/>
          <w:szCs w:val="28"/>
          <w:rtl/>
        </w:rPr>
        <w:t xml:space="preserve">كان الماء قدر كر لم ينجسه»</w:t>
      </w:r>
    </w:p>
    <w:p>
      <w:pPr>
        <w:pStyle w:val="BookText"/>
      </w:pPr>
      <w:r>
        <w:rPr>
          <w:rFonts w:ascii="Amiri" w:hAnsi="Amiri" w:eastAsia="Amiri" w:cs="Amiri"/>
          <w:lang w:bidi="ar-SA"/>
          <w:color w:val="111111"/>
          <w:sz w:val="28"/>
          <w:szCs w:val="28"/>
          <w:rtl/>
        </w:rPr>
        <w:t xml:space="preserve">(رسالة في)، ج 6 ، ص 791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رد على القول بحجة الظن، ج8،</w:t>
      </w:r>
    </w:p>
    <w:p>
      <w:pPr>
        <w:pStyle w:val="BookText"/>
      </w:pPr>
      <w:r>
        <w:rPr>
          <w:rFonts w:ascii="IRNazanin" w:hAnsi="IRNazanin" w:eastAsia="IRNazanin" w:cs="IRNazanin"/>
          <w:lang w:bidi="fa-IR"/>
          <w:color w:val="111111"/>
          <w:sz w:val="28"/>
          <w:szCs w:val="28"/>
          <w:rtl/>
        </w:rPr>
        <w:t xml:space="preserve">ص 99.</w:t>
      </w:r>
    </w:p>
    <w:p>
      <w:pPr>
        <w:pStyle w:val="BookText"/>
      </w:pPr>
      <w:r>
        <w:rPr>
          <w:rFonts w:ascii="Amiri" w:hAnsi="Amiri" w:eastAsia="Amiri" w:cs="Amiri"/>
          <w:lang w:bidi="ar-SA"/>
          <w:color w:val="111111"/>
          <w:sz w:val="28"/>
          <w:szCs w:val="28"/>
          <w:rtl/>
        </w:rPr>
        <w:t xml:space="preserve">4 .فصل في كتاب الطهارة، ج 11،</w:t>
      </w:r>
    </w:p>
    <w:p>
      <w:pPr>
        <w:pStyle w:val="BookText"/>
      </w:pPr>
      <w:r>
        <w:rPr>
          <w:rFonts w:ascii="IRNazanin" w:hAnsi="IRNazanin" w:eastAsia="IRNazanin" w:cs="IRNazanin"/>
          <w:lang w:bidi="fa-IR"/>
          <w:color w:val="111111"/>
          <w:sz w:val="28"/>
          <w:szCs w:val="28"/>
          <w:rtl/>
        </w:rPr>
        <w:t xml:space="preserve">ص 836.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مجموع ج 14، ص 2.</w:t>
      </w:r>
    </w:p>
    <w:p>
      <w:pPr>
        <w:pStyle w:val="BookText"/>
      </w:pPr>
      <w:r>
        <w:rPr>
          <w:rFonts w:ascii="Amiri" w:hAnsi="Amiri" w:eastAsia="Amiri" w:cs="Amiri"/>
          <w:lang w:bidi="ar-SA"/>
          <w:color w:val="111111"/>
          <w:sz w:val="28"/>
          <w:szCs w:val="28"/>
          <w:rtl/>
        </w:rPr>
        <w:t xml:space="preserve">6 .مكاتبة في مسألة في الرهن، ج 15،</w:t>
      </w:r>
    </w:p>
    <w:p>
      <w:pPr>
        <w:pStyle w:val="BookText"/>
      </w:pPr>
      <w:r>
        <w:rPr>
          <w:rFonts w:ascii="IRNazanin" w:hAnsi="IRNazanin" w:eastAsia="IRNazanin" w:cs="IRNazanin"/>
          <w:lang w:bidi="fa-IR"/>
          <w:color w:val="111111"/>
          <w:sz w:val="28"/>
          <w:szCs w:val="28"/>
          <w:rtl/>
        </w:rPr>
        <w:t xml:space="preserve">ص 406 .</w:t>
      </w:r>
    </w:p>
    <w:p>
      <w:pPr>
        <w:pStyle w:val="BookText"/>
      </w:pPr>
      <w:r>
        <w:rPr>
          <w:rFonts w:ascii="Amiri" w:hAnsi="Amiri" w:eastAsia="Amiri" w:cs="Amiri"/>
          <w:lang w:bidi="ar-SA"/>
          <w:color w:val="111111"/>
          <w:sz w:val="28"/>
          <w:szCs w:val="28"/>
          <w:rtl/>
        </w:rPr>
        <w:t xml:space="preserve">7 .المنشأ فى كثرة تعارض اخبار الائمة (رسالة في)، ج 15 ، ص 689.</w:t>
      </w:r>
    </w:p>
    <w:p>
      <w:pPr>
        <w:pStyle w:val="BookText"/>
      </w:pPr>
      <w:r>
        <w:rPr>
          <w:rFonts w:ascii="Amiri" w:hAnsi="Amiri" w:eastAsia="Amiri" w:cs="Amiri"/>
          <w:lang w:bidi="ar-SA"/>
          <w:color w:val="111111"/>
          <w:sz w:val="28"/>
          <w:szCs w:val="28"/>
          <w:rtl/>
        </w:rPr>
        <w:t xml:space="preserve">8.وقوع الاختلاف في اخبار النبي «ص»</w:t>
      </w:r>
    </w:p>
    <w:p>
      <w:pPr>
        <w:pStyle w:val="BookText"/>
      </w:pPr>
      <w:r>
        <w:rPr>
          <w:rFonts w:ascii="Amiri" w:hAnsi="Amiri" w:eastAsia="Amiri" w:cs="Amiri"/>
          <w:lang w:bidi="ar-SA"/>
          <w:color w:val="111111"/>
          <w:sz w:val="28"/>
          <w:szCs w:val="28"/>
          <w:rtl/>
        </w:rPr>
        <w:t xml:space="preserve">و الائمة (رسالة في)، ج 16، ص 876.</w:t>
      </w:r>
    </w:p>
    <w:p>
      <w:pPr>
        <w:pStyle w:val="Heading2"/>
      </w:pPr>
      <w:bookmarkStart w:id="2293" w:name="_Toc1395"/>
      <w:r>
        <w:t>اعرجي ، مهدي بن راضي قرن 14 ه-</w:t>
      </w:r>
      <w:bookmarkEnd w:id="2293"/>
    </w:p>
    <w:p>
      <w:pPr>
        <w:pStyle w:val="BookText"/>
      </w:pPr>
      <w:r>
        <w:rPr>
          <w:rFonts w:ascii="Amiri" w:hAnsi="Amiri" w:eastAsia="Amiri" w:cs="Amiri"/>
          <w:lang w:bidi="ar-SA"/>
          <w:color w:val="111111"/>
          <w:sz w:val="28"/>
          <w:szCs w:val="28"/>
          <w:rtl/>
        </w:rPr>
        <w:t xml:space="preserve">ديوان السيد مهدي الاعرجي، ج7،</w:t>
      </w:r>
    </w:p>
    <w:p>
      <w:pPr>
        <w:pStyle w:val="BookText"/>
      </w:pPr>
      <w:r>
        <w:rPr>
          <w:rFonts w:ascii="IRNazanin" w:hAnsi="IRNazanin" w:eastAsia="IRNazanin" w:cs="IRNazanin"/>
          <w:lang w:bidi="fa-IR"/>
          <w:color w:val="111111"/>
          <w:sz w:val="28"/>
          <w:szCs w:val="28"/>
          <w:rtl/>
        </w:rPr>
        <w:t xml:space="preserve">ص 664 .</w:t>
      </w:r>
    </w:p>
    <w:p>
      <w:pPr>
        <w:pStyle w:val="Heading2"/>
      </w:pPr>
      <w:bookmarkStart w:id="2294" w:name="_Toc1396"/>
      <w:r>
        <w:t>اعرجي ، نظام الدین محمّد قرن 8 ه-</w:t>
      </w:r>
      <w:bookmarkEnd w:id="2294"/>
    </w:p>
    <w:p>
      <w:pPr>
        <w:pStyle w:val="BookText"/>
      </w:pPr>
      <w:r>
        <w:rPr>
          <w:rFonts w:ascii="IRNazanin" w:hAnsi="IRNazanin" w:eastAsia="IRNazanin" w:cs="IRNazanin"/>
          <w:lang w:bidi="fa-IR"/>
          <w:color w:val="111111"/>
          <w:sz w:val="28"/>
          <w:szCs w:val="28"/>
          <w:rtl/>
        </w:rPr>
        <w:t xml:space="preserve">تذكرة الواصلين في شرح نهج المسترشدین، ج4، ص217</w:t>
      </w:r>
    </w:p>
    <w:p>
      <w:pPr>
        <w:pStyle w:val="Heading2"/>
      </w:pPr>
      <w:bookmarkStart w:id="2295" w:name="_Toc1397"/>
      <w:r>
        <w:t>اعسم ، عباس بن عبد الساده</w:t>
      </w:r>
      <w:bookmarkEnd w:id="2295"/>
    </w:p>
    <w:p>
      <w:pPr>
        <w:pStyle w:val="BookText"/>
      </w:pPr>
      <w:r>
        <w:rPr>
          <w:rFonts w:ascii="Amiri" w:hAnsi="Amiri" w:eastAsia="Amiri" w:cs="Amiri"/>
          <w:lang w:bidi="ar-SA"/>
          <w:color w:val="111111"/>
          <w:sz w:val="28"/>
          <w:szCs w:val="28"/>
          <w:rtl/>
        </w:rPr>
        <w:t xml:space="preserve">ديوان الاعسم، ج 7، ص 575.</w:t>
      </w:r>
    </w:p>
    <w:p>
      <w:pPr>
        <w:pStyle w:val="Heading2"/>
      </w:pPr>
      <w:bookmarkStart w:id="2296" w:name="_Toc1398"/>
      <w:r>
        <w:t>اعسم ، محسن بن مرتضى - 1238 ه-</w:t>
      </w:r>
      <w:bookmarkEnd w:id="2296"/>
    </w:p>
    <w:p>
      <w:pPr>
        <w:pStyle w:val="BookText"/>
      </w:pPr>
      <w:r>
        <w:rPr>
          <w:rFonts w:ascii="Amiri" w:hAnsi="Amiri" w:eastAsia="Amiri" w:cs="Amiri"/>
          <w:lang w:bidi="ar-SA"/>
          <w:color w:val="111111"/>
          <w:sz w:val="28"/>
          <w:szCs w:val="28"/>
          <w:rtl/>
        </w:rPr>
        <w:t xml:space="preserve">1 .كشف الظلام عن وجوه (وجه)</w:t>
      </w:r>
    </w:p>
    <w:p>
      <w:pPr>
        <w:pStyle w:val="BookText"/>
      </w:pPr>
      <w:r>
        <w:rPr>
          <w:rFonts w:ascii="IRNazanin" w:hAnsi="IRNazanin" w:eastAsia="IRNazanin" w:cs="IRNazanin"/>
          <w:lang w:bidi="fa-IR"/>
          <w:color w:val="111111"/>
          <w:sz w:val="28"/>
          <w:szCs w:val="28"/>
          <w:rtl/>
        </w:rPr>
        <w:t xml:space="preserve">شرایع الاسلام، ج13، ص 224.</w:t>
      </w:r>
    </w:p>
    <w:p>
      <w:pPr>
        <w:pStyle w:val="BookText"/>
      </w:pPr>
      <w:r>
        <w:rPr>
          <w:rFonts w:ascii="Amiri" w:hAnsi="Amiri" w:eastAsia="Amiri" w:cs="Amiri"/>
          <w:lang w:bidi="ar-SA"/>
          <w:color w:val="111111"/>
          <w:sz w:val="28"/>
          <w:szCs w:val="28"/>
          <w:rtl/>
        </w:rPr>
        <w:t xml:space="preserve">2 .المطاعم و المشارب (منظومة)</w:t>
      </w:r>
    </w:p>
    <w:p>
      <w:pPr>
        <w:pStyle w:val="BookText"/>
      </w:pPr>
      <w:r>
        <w:rPr>
          <w:rFonts w:ascii="IRNazanin" w:hAnsi="IRNazanin" w:eastAsia="IRNazanin" w:cs="IRNazanin"/>
          <w:lang w:bidi="fa-IR"/>
          <w:color w:val="111111"/>
          <w:sz w:val="28"/>
          <w:szCs w:val="28"/>
          <w:rtl/>
        </w:rPr>
        <w:t xml:space="preserve">ج 14، ص 759.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7" w:name="pg7742_69797"/>
    <w:bookmarkEnd w:id="207"/>
    <w:p>
      <w:pPr>
        <w:pStyle w:val="Heading2"/>
      </w:pPr>
      <w:bookmarkStart w:id="2297" w:name="_Toc1399"/>
      <w:r>
        <w:t>اعسم ، محمّد علي بن حسين -1233ه-</w:t>
      </w:r>
      <w:bookmarkEnd w:id="2297"/>
    </w:p>
    <w:p>
      <w:pPr>
        <w:pStyle w:val="BookText"/>
      </w:pPr>
      <w:r>
        <w:rPr>
          <w:rFonts w:ascii="Amiri" w:hAnsi="Amiri" w:eastAsia="Amiri" w:cs="Amiri"/>
          <w:lang w:bidi="ar-SA"/>
          <w:color w:val="111111"/>
          <w:sz w:val="28"/>
          <w:szCs w:val="28"/>
          <w:rtl/>
        </w:rPr>
        <w:t xml:space="preserve">1 .الارث = منظومة في المواريث، ج 1،</w:t>
      </w:r>
    </w:p>
    <w:p>
      <w:pPr>
        <w:pStyle w:val="BookText"/>
      </w:pPr>
      <w:r>
        <w:rPr>
          <w:rFonts w:ascii="IRNazanin" w:hAnsi="IRNazanin" w:eastAsia="IRNazanin" w:cs="IRNazanin"/>
          <w:lang w:bidi="fa-IR"/>
          <w:color w:val="111111"/>
          <w:sz w:val="28"/>
          <w:szCs w:val="28"/>
          <w:rtl/>
        </w:rPr>
        <w:t xml:space="preserve">ص 751 .</w:t>
      </w:r>
    </w:p>
    <w:p>
      <w:pPr>
        <w:pStyle w:val="BookText"/>
      </w:pPr>
      <w:r>
        <w:rPr>
          <w:rFonts w:ascii="Amiri" w:hAnsi="Amiri" w:eastAsia="Amiri" w:cs="Amiri"/>
          <w:lang w:bidi="ar-SA"/>
          <w:color w:val="111111"/>
          <w:sz w:val="28"/>
          <w:szCs w:val="28"/>
          <w:rtl/>
        </w:rPr>
        <w:t xml:space="preserve">2 .الارث و الديات و الاكل و</w:t>
      </w:r>
    </w:p>
    <w:p>
      <w:pPr>
        <w:pStyle w:val="BookText"/>
      </w:pPr>
      <w:r>
        <w:rPr>
          <w:rFonts w:ascii="Amiri" w:hAnsi="Amiri" w:eastAsia="Amiri" w:cs="Amiri"/>
          <w:lang w:bidi="ar-SA"/>
          <w:color w:val="111111"/>
          <w:sz w:val="28"/>
          <w:szCs w:val="28"/>
          <w:rtl/>
        </w:rPr>
        <w:t xml:space="preserve">الشرب (منظومة في ) ، ج 1، ص 758 .</w:t>
      </w:r>
    </w:p>
    <w:p>
      <w:pPr>
        <w:pStyle w:val="BookText"/>
      </w:pPr>
      <w:r>
        <w:rPr>
          <w:rFonts w:ascii="Amiri" w:hAnsi="Amiri" w:eastAsia="Amiri" w:cs="Amiri"/>
          <w:lang w:bidi="ar-SA"/>
          <w:color w:val="111111"/>
          <w:sz w:val="28"/>
          <w:szCs w:val="28"/>
          <w:rtl/>
        </w:rPr>
        <w:t xml:space="preserve">3 .الأطعمة والأشربة (ارجوزة)، ج2،</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Amiri" w:hAnsi="Amiri" w:eastAsia="Amiri" w:cs="Amiri"/>
          <w:lang w:bidi="ar-SA"/>
          <w:color w:val="111111"/>
          <w:sz w:val="28"/>
          <w:szCs w:val="28"/>
          <w:rtl/>
        </w:rPr>
        <w:t xml:space="preserve">4 .ديوان اعسم كبير، ج 7، ص 575.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الرضاع - منظومة في الرضاع، ج8،</w:t>
      </w:r>
    </w:p>
    <w:p>
      <w:pPr>
        <w:pStyle w:val="BookText"/>
      </w:pPr>
      <w:r>
        <w:rPr>
          <w:rFonts w:ascii="IRNazanin" w:hAnsi="IRNazanin" w:eastAsia="IRNazanin" w:cs="IRNazanin"/>
          <w:lang w:bidi="fa-IR"/>
          <w:color w:val="111111"/>
          <w:sz w:val="28"/>
          <w:szCs w:val="28"/>
          <w:rtl/>
        </w:rPr>
        <w:t xml:space="preserve">ص319.</w:t>
      </w:r>
    </w:p>
    <w:p>
      <w:pPr>
        <w:pStyle w:val="BookText"/>
      </w:pPr>
      <w:r>
        <w:rPr>
          <w:rFonts w:ascii="Amiri" w:hAnsi="Amiri" w:eastAsia="Amiri" w:cs="Amiri"/>
          <w:lang w:bidi="ar-SA"/>
          <w:color w:val="111111"/>
          <w:sz w:val="28"/>
          <w:szCs w:val="28"/>
          <w:rtl/>
        </w:rPr>
        <w:t xml:space="preserve">6 .العدد (منظومة في)، ج 11، ص 60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مجموعة شعرية في رثاء الحسين و الأئمة عليهم السلام، ج 14، ص 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مناهل الاصول في شرح تهذيب</w:t>
      </w:r>
    </w:p>
    <w:p>
      <w:pPr>
        <w:pStyle w:val="BookText"/>
      </w:pPr>
      <w:r>
        <w:rPr>
          <w:rFonts w:ascii="IRNazanin" w:hAnsi="IRNazanin" w:eastAsia="IRNazanin" w:cs="IRNazanin"/>
          <w:lang w:bidi="fa-IR"/>
          <w:color w:val="111111"/>
          <w:sz w:val="28"/>
          <w:szCs w:val="28"/>
          <w:rtl/>
        </w:rPr>
        <w:t xml:space="preserve">الوصول، ج 15 ، ص 577.</w:t>
      </w:r>
    </w:p>
    <w:p>
      <w:pPr>
        <w:pStyle w:val="Heading2"/>
      </w:pPr>
      <w:bookmarkStart w:id="2298" w:name="_Toc1400"/>
      <w:r>
        <w:t>اعسم نجفي ، عبد الحسين بن محمّد علي 476 ه-</w:t>
      </w:r>
      <w:bookmarkEnd w:id="22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1247ه-</w:t>
      </w:r>
    </w:p>
    <w:p>
      <w:pPr>
        <w:pStyle w:val="BookText"/>
      </w:pPr>
      <w:r>
        <w:rPr>
          <w:rFonts w:ascii="Amiri" w:hAnsi="Amiri" w:eastAsia="Amiri" w:cs="Amiri"/>
          <w:lang w:bidi="ar-SA"/>
          <w:color w:val="111111"/>
          <w:sz w:val="28"/>
          <w:szCs w:val="28"/>
          <w:rtl/>
        </w:rPr>
        <w:t xml:space="preserve">1 .ايضاح الكلام في شرح شرائع</w:t>
      </w:r>
    </w:p>
    <w:p>
      <w:pPr>
        <w:pStyle w:val="BookText"/>
      </w:pPr>
      <w:r>
        <w:rPr>
          <w:rFonts w:ascii="IRNazanin" w:hAnsi="IRNazanin" w:eastAsia="IRNazanin" w:cs="IRNazanin"/>
          <w:lang w:bidi="fa-IR"/>
          <w:color w:val="111111"/>
          <w:sz w:val="28"/>
          <w:szCs w:val="28"/>
          <w:rtl/>
        </w:rPr>
        <w:t xml:space="preserve">الاسلام، ج 3، ص 135.</w:t>
      </w:r>
    </w:p>
    <w:p>
      <w:pPr>
        <w:pStyle w:val="BookText"/>
      </w:pPr>
      <w:r>
        <w:rPr>
          <w:rFonts w:ascii="Amiri" w:hAnsi="Amiri" w:eastAsia="Amiri" w:cs="Amiri"/>
          <w:lang w:bidi="ar-SA"/>
          <w:color w:val="111111"/>
          <w:sz w:val="28"/>
          <w:szCs w:val="28"/>
          <w:rtl/>
        </w:rPr>
        <w:t xml:space="preserve">2 .ديوان الأعسم الصغير، ج 7، ص 575.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ذرائع .الافهام إلى إحكام شرائع</w:t>
      </w:r>
    </w:p>
    <w:p>
      <w:pPr>
        <w:pStyle w:val="BookText"/>
      </w:pPr>
      <w:r>
        <w:rPr>
          <w:rFonts w:ascii="IRNazanin" w:hAnsi="IRNazanin" w:eastAsia="IRNazanin" w:cs="IRNazanin"/>
          <w:lang w:bidi="fa-IR"/>
          <w:color w:val="111111"/>
          <w:sz w:val="28"/>
          <w:szCs w:val="28"/>
          <w:rtl/>
        </w:rPr>
        <w:t xml:space="preserve">الاسلام، ج 7، ص 843.</w:t>
      </w:r>
    </w:p>
    <w:p>
      <w:pPr>
        <w:pStyle w:val="BookText"/>
      </w:pPr>
      <w:r>
        <w:rPr>
          <w:rFonts w:ascii="Amiri" w:hAnsi="Amiri" w:eastAsia="Amiri" w:cs="Amiri"/>
          <w:lang w:bidi="ar-SA"/>
          <w:color w:val="111111"/>
          <w:sz w:val="28"/>
          <w:szCs w:val="28"/>
          <w:rtl/>
        </w:rPr>
        <w:t xml:space="preserve">4 .شرح الأرجوزة في الرضاع = الفي</w:t>
      </w:r>
    </w:p>
    <w:p>
      <w:pPr>
        <w:pStyle w:val="BookText"/>
      </w:pPr>
      <w:r>
        <w:rPr>
          <w:rFonts w:ascii="Amiri" w:hAnsi="Amiri" w:eastAsia="Amiri" w:cs="Amiri"/>
          <w:lang w:bidi="ar-SA"/>
          <w:color w:val="111111"/>
          <w:sz w:val="28"/>
          <w:szCs w:val="28"/>
          <w:rtl/>
        </w:rPr>
        <w:t xml:space="preserve">الياء، ج 9، ص 181 .</w:t>
      </w:r>
    </w:p>
    <w:p>
      <w:pPr>
        <w:pStyle w:val="Heading2"/>
      </w:pPr>
      <w:bookmarkStart w:id="2299" w:name="_Toc1401"/>
      <w:r>
        <w:t>اعشی ، میمون بن قيس - 7 ه-</w:t>
      </w:r>
      <w:bookmarkEnd w:id="2299"/>
    </w:p>
    <w:p>
      <w:pPr>
        <w:pStyle w:val="BookText"/>
      </w:pPr>
      <w:r>
        <w:rPr>
          <w:rFonts w:ascii="Amiri" w:hAnsi="Amiri" w:eastAsia="Amiri" w:cs="Amiri"/>
          <w:lang w:bidi="ar-SA"/>
          <w:color w:val="111111"/>
          <w:sz w:val="28"/>
          <w:szCs w:val="28"/>
          <w:rtl/>
        </w:rPr>
        <w:t xml:space="preserve">قصيدة الاعشي، ج 12، ص 651.</w:t>
      </w:r>
    </w:p>
    <w:p>
      <w:pPr>
        <w:pStyle w:val="BookText"/>
      </w:pPr>
      <w:r>
        <w:rPr>
          <w:rFonts w:ascii="IRNazanin" w:hAnsi="IRNazanin" w:eastAsia="IRNazanin" w:cs="IRNazanin"/>
          <w:lang w:bidi="fa-IR"/>
          <w:color w:val="111111"/>
          <w:sz w:val="28"/>
          <w:szCs w:val="28"/>
          <w:rtl/>
        </w:rPr>
        <w:t xml:space="preserve">اعظم ، محمّد -ناظم جهان ، محمّد اعظم</w:t>
      </w:r>
    </w:p>
    <w:p>
      <w:pPr>
        <w:pStyle w:val="BookText"/>
      </w:pPr>
      <w:r>
        <w:rPr>
          <w:rFonts w:ascii="Amiri" w:hAnsi="Amiri" w:eastAsia="Amiri" w:cs="Amiri"/>
          <w:lang w:bidi="ar-SA"/>
          <w:color w:val="111111"/>
          <w:sz w:val="28"/>
          <w:szCs w:val="28"/>
          <w:rtl/>
        </w:rPr>
        <w:t xml:space="preserve">اعظمي ، حمدي- حمدي اعظمي</w:t>
      </w:r>
    </w:p>
    <w:p>
      <w:pPr>
        <w:pStyle w:val="Heading2"/>
      </w:pPr>
      <w:bookmarkStart w:id="2300" w:name="_Toc1402"/>
      <w:r>
        <w:t>اعظمي، خليل بن محمّد - 1246 ه-</w:t>
      </w:r>
      <w:bookmarkEnd w:id="2300"/>
    </w:p>
    <w:p>
      <w:pPr>
        <w:pStyle w:val="BookText"/>
      </w:pPr>
      <w:r>
        <w:rPr>
          <w:rFonts w:ascii="Amiri" w:hAnsi="Amiri" w:eastAsia="Amiri" w:cs="Amiri"/>
          <w:lang w:bidi="ar-SA"/>
          <w:color w:val="111111"/>
          <w:sz w:val="28"/>
          <w:szCs w:val="28"/>
          <w:rtl/>
        </w:rPr>
        <w:t xml:space="preserve">1.تحفة الأحباب في جلب قلوب</w:t>
      </w:r>
    </w:p>
    <w:p>
      <w:pPr>
        <w:pStyle w:val="BookText"/>
      </w:pPr>
      <w:r>
        <w:rPr>
          <w:rFonts w:ascii="IRNazanin" w:hAnsi="IRNazanin" w:eastAsia="IRNazanin" w:cs="IRNazanin"/>
          <w:lang w:bidi="fa-IR"/>
          <w:color w:val="111111"/>
          <w:sz w:val="28"/>
          <w:szCs w:val="28"/>
          <w:rtl/>
        </w:rPr>
        <w:t xml:space="preserve">الأصحاب، ج3، ص781.</w:t>
      </w:r>
    </w:p>
    <w:p>
      <w:pPr>
        <w:pStyle w:val="BookText"/>
      </w:pPr>
      <w:r>
        <w:rPr>
          <w:rFonts w:ascii="Amiri" w:hAnsi="Amiri" w:eastAsia="Amiri" w:cs="Amiri"/>
          <w:lang w:bidi="ar-SA"/>
          <w:color w:val="111111"/>
          <w:sz w:val="28"/>
          <w:szCs w:val="28"/>
          <w:rtl/>
        </w:rPr>
        <w:t xml:space="preserve">2 .زينة الكتاب و مغني الطلاب، ج8،</w:t>
      </w:r>
    </w:p>
    <w:p>
      <w:pPr>
        <w:pStyle w:val="BookText"/>
      </w:pPr>
      <w:r>
        <w:rPr>
          <w:rFonts w:ascii="IRNazanin" w:hAnsi="IRNazanin" w:eastAsia="IRNazanin" w:cs="IRNazanin"/>
          <w:lang w:bidi="fa-IR"/>
          <w:color w:val="111111"/>
          <w:sz w:val="28"/>
          <w:szCs w:val="28"/>
          <w:rtl/>
        </w:rPr>
        <w:t xml:space="preserve">ص 663 .</w:t>
      </w:r>
    </w:p>
    <w:p>
      <w:pPr>
        <w:pStyle w:val="Heading2"/>
      </w:pPr>
      <w:bookmarkStart w:id="2301" w:name="_Toc1403"/>
      <w:r>
        <w:t>اعظمي وليد بن عبدالكريم 1349 - قرن</w:t>
      </w:r>
      <w:bookmarkEnd w:id="2301"/>
    </w:p>
    <w:p>
      <w:pPr>
        <w:pStyle w:val="BookText"/>
      </w:pPr>
      <w:r>
        <w:rPr>
          <w:rFonts w:ascii="IRNazanin" w:hAnsi="IRNazanin" w:eastAsia="IRNazanin" w:cs="IRNazanin"/>
          <w:lang w:bidi="fa-IR"/>
          <w:color w:val="111111"/>
          <w:sz w:val="28"/>
          <w:szCs w:val="28"/>
          <w:rtl/>
        </w:rPr>
        <w:t xml:space="preserve">15 ه-</w:t>
      </w:r>
    </w:p>
    <w:p>
      <w:pPr>
        <w:pStyle w:val="BookText"/>
      </w:pPr>
      <w:r>
        <w:rPr>
          <w:rFonts w:ascii="Amiri" w:hAnsi="Amiri" w:eastAsia="Amiri" w:cs="Amiri"/>
          <w:lang w:bidi="ar-SA"/>
          <w:color w:val="111111"/>
          <w:sz w:val="28"/>
          <w:szCs w:val="28"/>
          <w:rtl/>
        </w:rPr>
        <w:t xml:space="preserve">1 .الاعظميات، ج 2، ص 550</w:t>
      </w:r>
    </w:p>
    <w:p>
      <w:pPr>
        <w:pStyle w:val="BookText"/>
      </w:pPr>
      <w:r>
        <w:rPr>
          <w:rFonts w:ascii="Amiri" w:hAnsi="Amiri" w:eastAsia="Amiri" w:cs="Amiri"/>
          <w:lang w:bidi="ar-SA"/>
          <w:color w:val="111111"/>
          <w:sz w:val="28"/>
          <w:szCs w:val="28"/>
          <w:rtl/>
        </w:rPr>
        <w:t xml:space="preserve">2 .خصائص الخط العربي، ج 7، ص34.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نفحات الحرم، ج 16 ، ص 381 .</w:t>
      </w:r>
    </w:p>
    <w:p>
      <w:pPr>
        <w:pStyle w:val="BookText"/>
      </w:pPr>
      <w:r>
        <w:rPr>
          <w:rFonts w:ascii="Amiri" w:hAnsi="Amiri" w:eastAsia="Amiri" w:cs="Amiri"/>
          <w:lang w:bidi="ar-SA"/>
          <w:color w:val="111111"/>
          <w:sz w:val="28"/>
          <w:szCs w:val="28"/>
          <w:rtl/>
        </w:rPr>
        <w:t xml:space="preserve">اعلم الدوله ، خليل بن عبد الباقي- ثقفي</w:t>
      </w:r>
    </w:p>
    <w:p>
      <w:pPr>
        <w:pStyle w:val="BookText"/>
      </w:pPr>
      <w:r>
        <w:rPr>
          <w:rFonts w:ascii="Amiri" w:hAnsi="Amiri" w:eastAsia="Amiri" w:cs="Amiri"/>
          <w:lang w:bidi="ar-SA"/>
          <w:color w:val="111111"/>
          <w:sz w:val="28"/>
          <w:szCs w:val="28"/>
          <w:rtl/>
        </w:rPr>
        <w:t xml:space="preserve">خليل بن عبد الباقي</w:t>
      </w:r>
    </w:p>
    <w:p>
      <w:pPr>
        <w:pStyle w:val="Heading2"/>
      </w:pPr>
      <w:bookmarkStart w:id="2302" w:name="_Toc1404"/>
      <w:r>
        <w:t>اعلم شنتمري، يوسف بن سليمان، 410 -</w:t>
      </w:r>
      <w:bookmarkEnd w:id="2302"/>
    </w:p>
    <w:p>
      <w:pPr>
        <w:pStyle w:val="BookText"/>
      </w:pPr>
      <w:r>
        <w:rPr>
          <w:rFonts w:ascii="Amiri" w:hAnsi="Amiri" w:eastAsia="Amiri" w:cs="Amiri"/>
          <w:lang w:bidi="ar-SA"/>
          <w:color w:val="111111"/>
          <w:sz w:val="28"/>
          <w:szCs w:val="28"/>
          <w:rtl/>
        </w:rPr>
        <w:t xml:space="preserve">العقد الثمين في دواوين الشعراء</w:t>
      </w:r>
    </w:p>
    <w:p>
      <w:pPr>
        <w:pStyle w:val="BookText"/>
      </w:pPr>
      <w:r>
        <w:rPr>
          <w:rFonts w:ascii="Amiri" w:hAnsi="Amiri" w:eastAsia="Amiri" w:cs="Amiri"/>
          <w:lang w:bidi="ar-SA"/>
          <w:color w:val="111111"/>
          <w:sz w:val="28"/>
          <w:szCs w:val="28"/>
          <w:rtl/>
        </w:rPr>
        <w:t xml:space="preserve">الستة الجاهليين، ج 11، ص 158.</w:t>
      </w:r>
    </w:p>
    <w:p>
      <w:pPr>
        <w:pStyle w:val="Heading2"/>
      </w:pPr>
      <w:bookmarkStart w:id="2303" w:name="_Toc1405"/>
      <w:r>
        <w:t>اعلمي ، محمّد حسین، 1281 - 1349 ش</w:t>
      </w:r>
      <w:bookmarkEnd w:id="23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اسماء الرجال و القابهم( رسالة في)</w:t>
      </w:r>
    </w:p>
    <w:p>
      <w:pPr>
        <w:pStyle w:val="BookText"/>
      </w:pPr>
      <w:r>
        <w:rPr>
          <w:rFonts w:ascii="IRNazanin" w:hAnsi="IRNazanin" w:eastAsia="IRNazanin" w:cs="IRNazanin"/>
          <w:lang w:bidi="fa-IR"/>
          <w:color w:val="111111"/>
          <w:sz w:val="28"/>
          <w:szCs w:val="28"/>
          <w:rtl/>
        </w:rPr>
        <w:t xml:space="preserve">ج 2، ص 225.</w:t>
      </w:r>
    </w:p>
    <w:p>
      <w:pPr>
        <w:pStyle w:val="BookText"/>
      </w:pPr>
      <w:r>
        <w:rPr>
          <w:rFonts w:ascii="Amiri" w:hAnsi="Amiri" w:eastAsia="Amiri" w:cs="Amiri"/>
          <w:lang w:bidi="ar-SA"/>
          <w:color w:val="111111"/>
          <w:sz w:val="28"/>
          <w:szCs w:val="28"/>
          <w:rtl/>
        </w:rPr>
        <w:t xml:space="preserve">2 .خلاصة المشايخ، ج 7، ص 136.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الرجال( كتاب في)، ج 8، ص 49.</w:t>
      </w:r>
    </w:p>
    <w:p>
      <w:pPr>
        <w:pStyle w:val="BookText"/>
      </w:pPr>
      <w:r>
        <w:rPr>
          <w:rFonts w:ascii="Amiri" w:hAnsi="Amiri" w:eastAsia="Amiri" w:cs="Amiri"/>
          <w:lang w:bidi="ar-SA"/>
          <w:color w:val="111111"/>
          <w:sz w:val="28"/>
          <w:szCs w:val="28"/>
          <w:rtl/>
        </w:rPr>
        <w:t xml:space="preserve">4 .السادات في مقابلة الشيوخ، ج8،</w:t>
      </w:r>
    </w:p>
    <w:p>
      <w:pPr>
        <w:pStyle w:val="BookText"/>
      </w:pPr>
      <w:r>
        <w:rPr>
          <w:rFonts w:ascii="IRNazanin" w:hAnsi="IRNazanin" w:eastAsia="IRNazanin" w:cs="IRNazanin"/>
          <w:lang w:bidi="fa-IR"/>
          <w:color w:val="111111"/>
          <w:sz w:val="28"/>
          <w:szCs w:val="28"/>
          <w:rtl/>
        </w:rPr>
        <w:t xml:space="preserve">ص 669 .</w:t>
      </w:r>
    </w:p>
    <w:p>
      <w:pPr>
        <w:pStyle w:val="BookText"/>
      </w:pPr>
      <w:r>
        <w:rPr>
          <w:rFonts w:ascii="Amiri" w:hAnsi="Amiri" w:eastAsia="Amiri" w:cs="Amiri"/>
          <w:lang w:bidi="ar-SA"/>
          <w:color w:val="111111"/>
          <w:sz w:val="28"/>
          <w:szCs w:val="28"/>
          <w:rtl/>
        </w:rPr>
        <w:t xml:space="preserve">5 .غرائب الرجال في نهج الاخبار</w:t>
      </w:r>
    </w:p>
    <w:p>
      <w:pPr>
        <w:pStyle w:val="BookText"/>
      </w:pPr>
      <w:r>
        <w:rPr>
          <w:rFonts w:ascii="IRNazanin" w:hAnsi="IRNazanin" w:eastAsia="IRNazanin" w:cs="IRNazanin"/>
          <w:lang w:bidi="fa-IR"/>
          <w:color w:val="111111"/>
          <w:sz w:val="28"/>
          <w:szCs w:val="28"/>
          <w:rtl/>
        </w:rPr>
        <w:t xml:space="preserve">ج 11، ص 465.</w:t>
      </w:r>
    </w:p>
    <w:p>
      <w:pPr>
        <w:pStyle w:val="BookText"/>
      </w:pPr>
      <w:r>
        <w:rPr>
          <w:rFonts w:ascii="Amiri" w:hAnsi="Amiri" w:eastAsia="Amiri" w:cs="Amiri"/>
          <w:lang w:bidi="ar-SA"/>
          <w:color w:val="111111"/>
          <w:sz w:val="28"/>
          <w:szCs w:val="28"/>
          <w:rtl/>
        </w:rPr>
        <w:t xml:space="preserve">6 .فهرست رجال الكشي، ج 12،</w:t>
      </w:r>
    </w:p>
    <w:p>
      <w:pPr>
        <w:pStyle w:val="BookText"/>
      </w:pPr>
      <w:r>
        <w:rPr>
          <w:rFonts w:ascii="IRNazanin" w:hAnsi="IRNazanin" w:eastAsia="IRNazanin" w:cs="IRNazanin"/>
          <w:lang w:bidi="fa-IR"/>
          <w:color w:val="111111"/>
          <w:sz w:val="28"/>
          <w:szCs w:val="28"/>
          <w:rtl/>
        </w:rPr>
        <w:t xml:space="preserve">ص 151.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8" w:name="pg7742_69799"/>
    <w:bookmarkEnd w:id="208"/>
    <w:p>
      <w:pPr>
        <w:pStyle w:val="Heading2"/>
      </w:pPr>
      <w:bookmarkStart w:id="2304" w:name="_Toc1406"/>
      <w:r>
        <w:t>اعلمي ، محمّد حسين</w:t>
      </w:r>
      <w:bookmarkEnd w:id="2304"/>
    </w:p>
    <w:p>
      <w:pPr>
        <w:pStyle w:val="BookText"/>
      </w:pPr>
      <w:r>
        <w:rPr>
          <w:rFonts w:ascii="Amiri" w:hAnsi="Amiri" w:eastAsia="Amiri" w:cs="Amiri"/>
          <w:lang w:bidi="ar-SA"/>
          <w:color w:val="111111"/>
          <w:sz w:val="28"/>
          <w:szCs w:val="28"/>
          <w:rtl/>
        </w:rPr>
        <w:t xml:space="preserve">منار الهدى في مستدرك الانساب</w:t>
      </w:r>
    </w:p>
    <w:p>
      <w:pPr>
        <w:pStyle w:val="BookText"/>
      </w:pPr>
      <w:r>
        <w:rPr>
          <w:rFonts w:ascii="IRNazanin" w:hAnsi="IRNazanin" w:eastAsia="IRNazanin" w:cs="IRNazanin"/>
          <w:lang w:bidi="fa-IR"/>
          <w:color w:val="111111"/>
          <w:sz w:val="28"/>
          <w:szCs w:val="28"/>
          <w:rtl/>
        </w:rPr>
        <w:t xml:space="preserve">ج 15، ص 487.</w:t>
      </w:r>
    </w:p>
    <w:p>
      <w:pPr>
        <w:pStyle w:val="Heading2"/>
      </w:pPr>
      <w:bookmarkStart w:id="2305" w:name="_Toc1407"/>
      <w:r>
        <w:t>اعلمي ، محمّد حسین، 1281 - 1349 ش</w:t>
      </w:r>
      <w:bookmarkEnd w:id="2305"/>
    </w:p>
    <w:p>
      <w:pPr>
        <w:pStyle w:val="BookText"/>
      </w:pPr>
      <w:r>
        <w:rPr>
          <w:rFonts w:ascii="Amiri" w:hAnsi="Amiri" w:eastAsia="Amiri" w:cs="Amiri"/>
          <w:lang w:bidi="ar-SA"/>
          <w:color w:val="111111"/>
          <w:sz w:val="28"/>
          <w:szCs w:val="28"/>
          <w:rtl/>
        </w:rPr>
        <w:t xml:space="preserve">الهجرة النبوية (رسالة في)، ج 16،</w:t>
      </w:r>
    </w:p>
    <w:p>
      <w:pPr>
        <w:pStyle w:val="BookText"/>
      </w:pPr>
      <w:r>
        <w:rPr>
          <w:rFonts w:ascii="IRNazanin" w:hAnsi="IRNazanin" w:eastAsia="IRNazanin" w:cs="IRNazanin"/>
          <w:lang w:bidi="fa-IR"/>
          <w:color w:val="111111"/>
          <w:sz w:val="28"/>
          <w:szCs w:val="28"/>
          <w:rtl/>
        </w:rPr>
        <w:t xml:space="preserve">ص 592</w:t>
      </w:r>
    </w:p>
    <w:p>
      <w:pPr>
        <w:pStyle w:val="Heading2"/>
      </w:pPr>
      <w:bookmarkStart w:id="2306" w:name="_Toc1408"/>
      <w:r>
        <w:t>اعمی اصفهاني ، مختار قرن 10 ه-</w:t>
      </w:r>
      <w:bookmarkEnd w:id="2306"/>
    </w:p>
    <w:p>
      <w:pPr>
        <w:pStyle w:val="BookText"/>
      </w:pPr>
      <w:r>
        <w:rPr>
          <w:rFonts w:ascii="Amiri" w:hAnsi="Amiri" w:eastAsia="Amiri" w:cs="Amiri"/>
          <w:lang w:bidi="ar-SA"/>
          <w:color w:val="111111"/>
          <w:sz w:val="28"/>
          <w:szCs w:val="28"/>
          <w:rtl/>
        </w:rPr>
        <w:t xml:space="preserve">درج مضامين = لؤلؤ درج مضامين</w:t>
      </w:r>
    </w:p>
    <w:p>
      <w:pPr>
        <w:pStyle w:val="BookText"/>
      </w:pPr>
      <w:r>
        <w:rPr>
          <w:rFonts w:ascii="IRNazanin" w:hAnsi="IRNazanin" w:eastAsia="IRNazanin" w:cs="IRNazanin"/>
          <w:lang w:bidi="fa-IR"/>
          <w:color w:val="111111"/>
          <w:sz w:val="28"/>
          <w:szCs w:val="28"/>
          <w:rtl/>
        </w:rPr>
        <w:t xml:space="preserve">ج 7، ص280.</w:t>
      </w:r>
    </w:p>
    <w:p>
      <w:pPr>
        <w:pStyle w:val="Heading2"/>
      </w:pPr>
      <w:bookmarkStart w:id="2307" w:name="_Toc1409"/>
      <w:r>
        <w:t>أغا كردي ، حبيب بن قاسم - 1295 ه-</w:t>
      </w:r>
      <w:bookmarkEnd w:id="2307"/>
    </w:p>
    <w:p>
      <w:pPr>
        <w:pStyle w:val="BookText"/>
      </w:pPr>
      <w:r>
        <w:rPr>
          <w:rFonts w:ascii="Amiri" w:hAnsi="Amiri" w:eastAsia="Amiri" w:cs="Amiri"/>
          <w:lang w:bidi="ar-SA"/>
          <w:color w:val="111111"/>
          <w:sz w:val="28"/>
          <w:szCs w:val="28"/>
          <w:rtl/>
        </w:rPr>
        <w:t xml:space="preserve">شرح تجريد البخاري، ج 9، ص 316.</w:t>
      </w:r>
    </w:p>
    <w:p>
      <w:pPr>
        <w:pStyle w:val="BookText"/>
      </w:pPr>
      <w:r>
        <w:rPr>
          <w:rFonts w:ascii="Amiri" w:hAnsi="Amiri" w:eastAsia="Amiri" w:cs="Amiri"/>
          <w:lang w:bidi="ar-SA"/>
          <w:color w:val="111111"/>
          <w:sz w:val="28"/>
          <w:szCs w:val="28"/>
          <w:rtl/>
        </w:rPr>
        <w:t xml:space="preserve">اغطاشي ، عبد العزيز -نقشبندي ،</w:t>
      </w:r>
    </w:p>
    <w:p>
      <w:pPr>
        <w:pStyle w:val="BookText"/>
      </w:pPr>
      <w:r>
        <w:rPr>
          <w:rFonts w:ascii="Amiri" w:hAnsi="Amiri" w:eastAsia="Amiri" w:cs="Amiri"/>
          <w:lang w:bidi="ar-SA"/>
          <w:color w:val="111111"/>
          <w:sz w:val="28"/>
          <w:szCs w:val="28"/>
          <w:rtl/>
        </w:rPr>
        <w:t xml:space="preserve">عبدالعزيز اغناطيوس جروة -جروة انطاكي</w:t>
      </w:r>
    </w:p>
    <w:p>
      <w:pPr>
        <w:pStyle w:val="BookText"/>
      </w:pPr>
      <w:r>
        <w:rPr>
          <w:rFonts w:ascii="Amiri" w:hAnsi="Amiri" w:eastAsia="Amiri" w:cs="Amiri"/>
          <w:lang w:bidi="ar-SA"/>
          <w:color w:val="111111"/>
          <w:sz w:val="28"/>
          <w:szCs w:val="28"/>
          <w:rtl/>
        </w:rPr>
        <w:t xml:space="preserve">اغناطيوس</w:t>
      </w:r>
    </w:p>
    <w:p>
      <w:pPr>
        <w:pStyle w:val="Heading2"/>
      </w:pPr>
      <w:bookmarkStart w:id="2308" w:name="_Toc1410"/>
      <w:r>
        <w:t>افراني ، محمّد - 1082 ؟ ه-</w:t>
      </w:r>
      <w:bookmarkEnd w:id="2308"/>
    </w:p>
    <w:p>
      <w:pPr>
        <w:pStyle w:val="BookText"/>
      </w:pPr>
      <w:r>
        <w:rPr>
          <w:rFonts w:ascii="Amiri" w:hAnsi="Amiri" w:eastAsia="Amiri" w:cs="Amiri"/>
          <w:lang w:bidi="ar-SA"/>
          <w:color w:val="111111"/>
          <w:sz w:val="28"/>
          <w:szCs w:val="28"/>
          <w:rtl/>
        </w:rPr>
        <w:t xml:space="preserve">اقامة البرهان على مسائل تذكرة الاخوان = شرح ارجوزة مشكلات القرآن، ج 2، ص 605.</w:t>
      </w:r>
    </w:p>
    <w:p>
      <w:pPr>
        <w:pStyle w:val="Heading2"/>
      </w:pPr>
      <w:bookmarkStart w:id="2309" w:name="_Toc1411"/>
      <w:r>
        <w:t>افراني ، محمّد بن محمّد قرن 12 ه-</w:t>
      </w:r>
      <w:bookmarkEnd w:id="2309"/>
    </w:p>
    <w:p>
      <w:pPr>
        <w:pStyle w:val="BookText"/>
      </w:pPr>
      <w:r>
        <w:rPr>
          <w:rFonts w:ascii="Amiri" w:hAnsi="Amiri" w:eastAsia="Amiri" w:cs="Amiri"/>
          <w:lang w:bidi="ar-SA"/>
          <w:color w:val="111111"/>
          <w:sz w:val="28"/>
          <w:szCs w:val="28"/>
          <w:rtl/>
        </w:rPr>
        <w:t xml:space="preserve">صفوة من انتشر من اخبار علماء القرن الحادي عشر، ج 10، ص 576.</w:t>
      </w:r>
    </w:p>
    <w:p>
      <w:pPr>
        <w:pStyle w:val="BookText"/>
      </w:pPr>
      <w:r>
        <w:rPr>
          <w:rFonts w:ascii="Amiri" w:hAnsi="Amiri" w:eastAsia="Amiri" w:cs="Amiri"/>
          <w:lang w:bidi="ar-SA"/>
          <w:color w:val="111111"/>
          <w:sz w:val="28"/>
          <w:szCs w:val="28"/>
          <w:rtl/>
        </w:rPr>
        <w:t xml:space="preserve">افرام الاول -مار اغناطيوس افرام الاول</w:t>
      </w:r>
    </w:p>
    <w:p>
      <w:pPr>
        <w:pStyle w:val="BookText"/>
      </w:pPr>
      <w:r>
        <w:rPr>
          <w:rFonts w:ascii="IRNazanin" w:hAnsi="IRNazanin" w:eastAsia="IRNazanin" w:cs="IRNazanin"/>
          <w:lang w:bidi="fa-IR"/>
          <w:color w:val="111111"/>
          <w:sz w:val="28"/>
          <w:szCs w:val="28"/>
          <w:rtl/>
        </w:rPr>
        <w:t xml:space="preserve">افروديسي ، اسکندر -اسکندر افروديسي</w:t>
      </w:r>
    </w:p>
    <w:p>
      <w:pPr>
        <w:pStyle w:val="BookText"/>
      </w:pPr>
      <w:r>
        <w:rPr>
          <w:rFonts w:ascii="IRNazanin" w:hAnsi="IRNazanin" w:eastAsia="IRNazanin" w:cs="IRNazanin"/>
          <w:lang w:bidi="fa-IR"/>
          <w:color w:val="111111"/>
          <w:sz w:val="28"/>
          <w:szCs w:val="28"/>
          <w:rtl/>
        </w:rPr>
        <w:t xml:space="preserve">افرولیوس -کرولیوس</w:t>
      </w:r>
    </w:p>
    <w:p>
      <w:pPr>
        <w:pStyle w:val="Heading2"/>
      </w:pPr>
      <w:bookmarkStart w:id="2310" w:name="_Toc1412"/>
      <w:r>
        <w:t>افسنجي ، محمود بن محمّد، 627-671ه-</w:t>
      </w:r>
      <w:bookmarkEnd w:id="2310"/>
    </w:p>
    <w:p>
      <w:pPr>
        <w:pStyle w:val="BookText"/>
      </w:pPr>
      <w:r>
        <w:rPr>
          <w:rFonts w:ascii="Amiri" w:hAnsi="Amiri" w:eastAsia="Amiri" w:cs="Amiri"/>
          <w:lang w:bidi="ar-SA"/>
          <w:color w:val="111111"/>
          <w:sz w:val="28"/>
          <w:szCs w:val="28"/>
          <w:rtl/>
        </w:rPr>
        <w:t xml:space="preserve">حقائق المنظومة النسفية، ج 6،</w:t>
      </w:r>
    </w:p>
    <w:p>
      <w:pPr>
        <w:pStyle w:val="BookText"/>
      </w:pPr>
      <w:r>
        <w:rPr>
          <w:rFonts w:ascii="IRNazanin" w:hAnsi="IRNazanin" w:eastAsia="IRNazanin" w:cs="IRNazanin"/>
          <w:lang w:bidi="fa-IR"/>
          <w:color w:val="111111"/>
          <w:sz w:val="28"/>
          <w:szCs w:val="28"/>
          <w:rtl/>
        </w:rPr>
        <w:t xml:space="preserve">ص 690 .</w:t>
      </w:r>
    </w:p>
    <w:p>
      <w:pPr>
        <w:pStyle w:val="Heading2"/>
      </w:pPr>
      <w:bookmarkStart w:id="2311" w:name="_Toc1413"/>
      <w:r>
        <w:t>افشار بكشلو قزويني ، رضا، قرن 14 ه-</w:t>
      </w:r>
      <w:bookmarkEnd w:id="2311"/>
    </w:p>
    <w:p>
      <w:pPr>
        <w:pStyle w:val="BookText"/>
      </w:pPr>
      <w:r>
        <w:rPr>
          <w:rFonts w:ascii="IRNazanin" w:hAnsi="IRNazanin" w:eastAsia="IRNazanin" w:cs="IRNazanin"/>
          <w:lang w:bidi="fa-IR"/>
          <w:color w:val="111111"/>
          <w:sz w:val="28"/>
          <w:szCs w:val="28"/>
          <w:rtl/>
        </w:rPr>
        <w:t xml:space="preserve">پرویز نگارش پارسی، ج 3، ص521</w:t>
      </w:r>
    </w:p>
    <w:p>
      <w:pPr>
        <w:pStyle w:val="Heading2"/>
      </w:pPr>
      <w:bookmarkStart w:id="2312" w:name="_Toc1414"/>
      <w:r>
        <w:t>افشار ، خداوردي بن قاسم قرن 11 ه-</w:t>
      </w:r>
      <w:bookmarkEnd w:id="2312"/>
    </w:p>
    <w:p>
      <w:pPr>
        <w:pStyle w:val="BookText"/>
      </w:pPr>
      <w:r>
        <w:rPr>
          <w:rFonts w:ascii="Amiri" w:hAnsi="Amiri" w:eastAsia="Amiri" w:cs="Amiri"/>
          <w:lang w:bidi="ar-SA"/>
          <w:color w:val="111111"/>
          <w:sz w:val="28"/>
          <w:szCs w:val="28"/>
          <w:rtl/>
        </w:rPr>
        <w:t xml:space="preserve">زبدة الرجال، ج8، ص 575.</w:t>
      </w:r>
    </w:p>
    <w:p>
      <w:pPr>
        <w:pStyle w:val="BookText"/>
      </w:pPr>
      <w:r>
        <w:rPr>
          <w:rFonts w:ascii="Amiri" w:hAnsi="Amiri" w:eastAsia="Amiri" w:cs="Amiri"/>
          <w:lang w:bidi="ar-SA"/>
          <w:color w:val="111111"/>
          <w:sz w:val="28"/>
          <w:szCs w:val="28"/>
          <w:rtl/>
        </w:rPr>
        <w:t xml:space="preserve">افشار ، طرزي - طرزي افشار</w:t>
      </w:r>
    </w:p>
    <w:p>
      <w:pPr>
        <w:pStyle w:val="Heading2"/>
      </w:pPr>
      <w:bookmarkStart w:id="2313" w:name="_Toc1415"/>
      <w:r>
        <w:t>افشار محمّد حسین بن احمد قرن 13 ه-</w:t>
      </w:r>
      <w:bookmarkEnd w:id="2313"/>
    </w:p>
    <w:p>
      <w:pPr>
        <w:pStyle w:val="BookText"/>
      </w:pPr>
      <w:r>
        <w:rPr>
          <w:rFonts w:ascii="IRNazanin" w:hAnsi="IRNazanin" w:eastAsia="IRNazanin" w:cs="IRNazanin"/>
          <w:lang w:bidi="fa-IR"/>
          <w:color w:val="111111"/>
          <w:sz w:val="28"/>
          <w:szCs w:val="28"/>
          <w:rtl/>
        </w:rPr>
        <w:t xml:space="preserve">علاج الاسقام، ج 11، ص 214.</w:t>
      </w:r>
    </w:p>
    <w:p>
      <w:pPr>
        <w:pStyle w:val="BookText"/>
      </w:pPr>
      <w:r>
        <w:rPr>
          <w:rFonts w:ascii="Amiri" w:hAnsi="Amiri" w:eastAsia="Amiri" w:cs="Amiri"/>
          <w:lang w:bidi="ar-SA"/>
          <w:color w:val="111111"/>
          <w:sz w:val="28"/>
          <w:szCs w:val="28"/>
          <w:rtl/>
        </w:rPr>
        <w:t xml:space="preserve">افضل الدين كاشاني ، محمّد بن حسين- بابا افضل كاشاني ، محمّد بن حسين</w:t>
      </w:r>
    </w:p>
    <w:p>
      <w:pPr>
        <w:pStyle w:val="Heading2"/>
      </w:pPr>
      <w:bookmarkStart w:id="2314" w:name="_Toc1416"/>
      <w:r>
        <w:t>افضل الدین محمّد</w:t>
      </w:r>
      <w:bookmarkEnd w:id="2314"/>
    </w:p>
    <w:p>
      <w:pPr>
        <w:pStyle w:val="BookText"/>
      </w:pPr>
      <w:r>
        <w:rPr>
          <w:rFonts w:ascii="Amiri" w:hAnsi="Amiri" w:eastAsia="Amiri" w:cs="Amiri"/>
          <w:lang w:bidi="ar-SA"/>
          <w:color w:val="111111"/>
          <w:sz w:val="28"/>
          <w:szCs w:val="28"/>
          <w:rtl/>
        </w:rPr>
        <w:t xml:space="preserve">تكذيب حديث: «نحن معاشر الانبياء</w:t>
      </w:r>
    </w:p>
    <w:p>
      <w:pPr>
        <w:pStyle w:val="BookText"/>
      </w:pPr>
      <w:r>
        <w:rPr>
          <w:rFonts w:ascii="IRNazanin" w:hAnsi="IRNazanin" w:eastAsia="IRNazanin" w:cs="IRNazanin"/>
          <w:lang w:bidi="fa-IR"/>
          <w:color w:val="111111"/>
          <w:sz w:val="28"/>
          <w:szCs w:val="28"/>
          <w:rtl/>
        </w:rPr>
        <w:t xml:space="preserve">لا نورث»، ج 4، ص 811</w:t>
      </w:r>
    </w:p>
    <w:p>
      <w:pPr>
        <w:pStyle w:val="BookText"/>
      </w:pPr>
      <w:r>
        <w:rPr>
          <w:rFonts w:ascii="Amiri" w:hAnsi="Amiri" w:eastAsia="Amiri" w:cs="Amiri"/>
          <w:lang w:bidi="ar-SA"/>
          <w:color w:val="111111"/>
          <w:sz w:val="28"/>
          <w:szCs w:val="28"/>
          <w:rtl/>
        </w:rPr>
        <w:t xml:space="preserve">افضل الدين محمّد تركه ت-ركه طوسي</w:t>
      </w:r>
    </w:p>
    <w:p>
      <w:pPr>
        <w:pStyle w:val="BookText"/>
      </w:pPr>
      <w:r>
        <w:rPr>
          <w:rFonts w:ascii="IRNazanin" w:hAnsi="IRNazanin" w:eastAsia="IRNazanin" w:cs="IRNazanin"/>
          <w:lang w:bidi="fa-IR"/>
          <w:color w:val="111111"/>
          <w:sz w:val="28"/>
          <w:szCs w:val="28"/>
          <w:rtl/>
        </w:rPr>
        <w:t xml:space="preserve">افضل الدین محمّد</w:t>
      </w:r>
    </w:p>
    <w:p>
      <w:pPr>
        <w:pStyle w:val="Heading2"/>
      </w:pPr>
      <w:bookmarkStart w:id="2315" w:name="_Toc1417"/>
      <w:r>
        <w:t>افضلي ، جعفر بن محمّد - 622 ه-</w:t>
      </w:r>
      <w:bookmarkEnd w:id="2315"/>
    </w:p>
    <w:p>
      <w:pPr>
        <w:pStyle w:val="BookText"/>
      </w:pPr>
      <w:r>
        <w:rPr>
          <w:rFonts w:ascii="Amiri" w:hAnsi="Amiri" w:eastAsia="Amiri" w:cs="Amiri"/>
          <w:lang w:bidi="ar-SA"/>
          <w:color w:val="111111"/>
          <w:sz w:val="28"/>
          <w:szCs w:val="28"/>
          <w:rtl/>
        </w:rPr>
        <w:t xml:space="preserve">1.الآداب النافعة بالألفاظ المختارة</w:t>
      </w:r>
    </w:p>
    <w:p>
      <w:pPr>
        <w:pStyle w:val="BookText"/>
      </w:pPr>
      <w:r>
        <w:rPr>
          <w:rFonts w:ascii="Amiri" w:hAnsi="Amiri" w:eastAsia="Amiri" w:cs="Amiri"/>
          <w:lang w:bidi="ar-SA"/>
          <w:color w:val="111111"/>
          <w:sz w:val="28"/>
          <w:szCs w:val="28"/>
          <w:rtl/>
        </w:rPr>
        <w:t xml:space="preserve">الجامعة، ج 1، ص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ابيات الآداب، ج 1، ص 117.</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9" w:name="pg7742_69801"/>
    <w:bookmarkEnd w:id="209"/>
    <w:p>
      <w:pPr>
        <w:pStyle w:val="BookText"/>
      </w:pPr>
      <w:r>
        <w:rPr>
          <w:rFonts w:ascii="Amiri" w:hAnsi="Amiri" w:eastAsia="Amiri" w:cs="Amiri"/>
          <w:lang w:bidi="ar-SA"/>
          <w:color w:val="111111"/>
          <w:sz w:val="28"/>
          <w:szCs w:val="28"/>
          <w:rtl/>
        </w:rPr>
        <w:t xml:space="preserve">افغاني ، جمال الدين- جمال الدين</w:t>
      </w:r>
    </w:p>
    <w:p>
      <w:pPr>
        <w:pStyle w:val="BookText"/>
      </w:pPr>
      <w:r>
        <w:rPr>
          <w:rFonts w:ascii="Amiri" w:hAnsi="Amiri" w:eastAsia="Amiri" w:cs="Amiri"/>
          <w:lang w:bidi="ar-SA"/>
          <w:color w:val="111111"/>
          <w:sz w:val="28"/>
          <w:szCs w:val="28"/>
          <w:rtl/>
        </w:rPr>
        <w:t xml:space="preserve">اسد آبادي</w:t>
      </w:r>
    </w:p>
    <w:p>
      <w:pPr>
        <w:pStyle w:val="Heading2"/>
      </w:pPr>
      <w:bookmarkStart w:id="2316" w:name="_Toc1418"/>
      <w:r>
        <w:t>افغاني حنفي ، احمد، قرن 13 ه-</w:t>
      </w:r>
      <w:bookmarkEnd w:id="2316"/>
    </w:p>
    <w:p>
      <w:pPr>
        <w:pStyle w:val="BookText"/>
      </w:pPr>
      <w:r>
        <w:rPr>
          <w:rFonts w:ascii="Amiri" w:hAnsi="Amiri" w:eastAsia="Amiri" w:cs="Amiri"/>
          <w:lang w:bidi="ar-SA"/>
          <w:color w:val="111111"/>
          <w:sz w:val="28"/>
          <w:szCs w:val="28"/>
          <w:rtl/>
        </w:rPr>
        <w:t xml:space="preserve">تحفة الاخوان في التفرقة بين الكفر و</w:t>
      </w:r>
    </w:p>
    <w:p>
      <w:pPr>
        <w:pStyle w:val="BookText"/>
      </w:pPr>
      <w:r>
        <w:rPr>
          <w:rFonts w:ascii="Amiri" w:hAnsi="Amiri" w:eastAsia="Amiri" w:cs="Amiri"/>
          <w:lang w:bidi="ar-SA"/>
          <w:color w:val="111111"/>
          <w:sz w:val="28"/>
          <w:szCs w:val="28"/>
          <w:rtl/>
        </w:rPr>
        <w:t xml:space="preserve">الايمان، ج3، ص789.</w:t>
      </w:r>
    </w:p>
    <w:p>
      <w:pPr>
        <w:pStyle w:val="Heading2"/>
      </w:pPr>
      <w:bookmarkStart w:id="2317" w:name="_Toc1419"/>
      <w:r>
        <w:t>افلاطون، 427 - 347 ؟ قبل میلاد</w:t>
      </w:r>
      <w:bookmarkEnd w:id="23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فضائل النفس، ج 1، ص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الواح الجواهر - جواهر الالواح</w:t>
      </w:r>
    </w:p>
    <w:p>
      <w:pPr>
        <w:pStyle w:val="BookText"/>
      </w:pPr>
      <w:r>
        <w:rPr>
          <w:rFonts w:ascii="IRNazanin" w:hAnsi="IRNazanin" w:eastAsia="IRNazanin" w:cs="IRNazanin"/>
          <w:lang w:bidi="fa-IR"/>
          <w:color w:val="111111"/>
          <w:sz w:val="28"/>
          <w:szCs w:val="28"/>
          <w:rtl/>
        </w:rPr>
        <w:t xml:space="preserve">ج 2، ص 697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جواهرنامه = تنگسوقنامه جه،</w:t>
      </w:r>
    </w:p>
    <w:p>
      <w:pPr>
        <w:pStyle w:val="BookText"/>
      </w:pPr>
      <w:r>
        <w:rPr>
          <w:rFonts w:ascii="IRNazanin" w:hAnsi="IRNazanin" w:eastAsia="IRNazanin" w:cs="IRNazanin"/>
          <w:lang w:bidi="fa-IR"/>
          <w:color w:val="111111"/>
          <w:sz w:val="28"/>
          <w:szCs w:val="28"/>
          <w:rtl/>
        </w:rPr>
        <w:t xml:space="preserve">ص 604.</w:t>
      </w:r>
    </w:p>
    <w:p>
      <w:pPr>
        <w:pStyle w:val="BookText"/>
      </w:pPr>
      <w:r>
        <w:rPr>
          <w:rFonts w:ascii="Amiri" w:hAnsi="Amiri" w:eastAsia="Amiri" w:cs="Amiri"/>
          <w:lang w:bidi="ar-SA"/>
          <w:color w:val="111111"/>
          <w:sz w:val="28"/>
          <w:szCs w:val="28"/>
          <w:rtl/>
        </w:rPr>
        <w:t xml:space="preserve">4 .الكلمات الافلاطونية - وصايا</w:t>
      </w:r>
    </w:p>
    <w:p>
      <w:pPr>
        <w:pStyle w:val="BookText"/>
      </w:pPr>
      <w:r>
        <w:rPr>
          <w:rFonts w:ascii="IRNazanin" w:hAnsi="IRNazanin" w:eastAsia="IRNazanin" w:cs="IRNazanin"/>
          <w:lang w:bidi="fa-IR"/>
          <w:color w:val="111111"/>
          <w:sz w:val="28"/>
          <w:szCs w:val="28"/>
          <w:rtl/>
        </w:rPr>
        <w:t xml:space="preserve">افلاطون، ج13، ص 362.</w:t>
      </w:r>
    </w:p>
    <w:p>
      <w:pPr>
        <w:pStyle w:val="BookText"/>
      </w:pPr>
      <w:r>
        <w:rPr>
          <w:rFonts w:ascii="Amiri" w:hAnsi="Amiri" w:eastAsia="Amiri" w:cs="Amiri"/>
          <w:lang w:bidi="ar-SA"/>
          <w:color w:val="111111"/>
          <w:sz w:val="28"/>
          <w:szCs w:val="28"/>
          <w:rtl/>
        </w:rPr>
        <w:t xml:space="preserve">5 .الموسيقي (رسالة في)، ج 16، ص 14.</w:t>
      </w:r>
    </w:p>
    <w:p>
      <w:pPr>
        <w:pStyle w:val="BookText"/>
      </w:pPr>
      <w:r>
        <w:rPr>
          <w:rFonts w:ascii="Amiri" w:hAnsi="Amiri" w:eastAsia="Amiri" w:cs="Amiri"/>
          <w:lang w:bidi="ar-SA"/>
          <w:color w:val="111111"/>
          <w:sz w:val="28"/>
          <w:szCs w:val="28"/>
          <w:rtl/>
        </w:rPr>
        <w:t xml:space="preserve">افلاطون بن آرستين- افلاطون</w:t>
      </w:r>
    </w:p>
    <w:p>
      <w:pPr>
        <w:pStyle w:val="Heading2"/>
      </w:pPr>
      <w:bookmarkStart w:id="2318" w:name="_Toc1420"/>
      <w:r>
        <w:t>افلاكي ، احمد بن اخي ناطور، 649-745ه-</w:t>
      </w:r>
      <w:bookmarkEnd w:id="2318"/>
    </w:p>
    <w:p>
      <w:pPr>
        <w:pStyle w:val="BookText"/>
      </w:pPr>
      <w:r>
        <w:rPr>
          <w:rFonts w:ascii="Amiri" w:hAnsi="Amiri" w:eastAsia="Amiri" w:cs="Amiri"/>
          <w:lang w:bidi="ar-SA"/>
          <w:color w:val="111111"/>
          <w:sz w:val="28"/>
          <w:szCs w:val="28"/>
          <w:rtl/>
        </w:rPr>
        <w:t xml:space="preserve">مناقب العارفين و مراتب الكاشفين</w:t>
      </w:r>
    </w:p>
    <w:p>
      <w:pPr>
        <w:pStyle w:val="BookText"/>
      </w:pPr>
      <w:r>
        <w:rPr>
          <w:rFonts w:ascii="IRNazanin" w:hAnsi="IRNazanin" w:eastAsia="IRNazanin" w:cs="IRNazanin"/>
          <w:lang w:bidi="fa-IR"/>
          <w:color w:val="111111"/>
          <w:sz w:val="28"/>
          <w:szCs w:val="28"/>
          <w:rtl/>
        </w:rPr>
        <w:t xml:space="preserve">ج 15، ص 550.</w:t>
      </w:r>
    </w:p>
    <w:p>
      <w:pPr>
        <w:pStyle w:val="BookText"/>
      </w:pPr>
      <w:r>
        <w:rPr>
          <w:rFonts w:ascii="Amiri" w:hAnsi="Amiri" w:eastAsia="Amiri" w:cs="Amiri"/>
          <w:lang w:bidi="ar-SA"/>
          <w:color w:val="111111"/>
          <w:sz w:val="28"/>
          <w:szCs w:val="28"/>
          <w:rtl/>
        </w:rPr>
        <w:t xml:space="preserve">افلوطين فلوطين</w:t>
      </w:r>
    </w:p>
    <w:p>
      <w:pPr>
        <w:pStyle w:val="Heading2"/>
      </w:pPr>
      <w:bookmarkStart w:id="2319" w:name="_Toc1421"/>
      <w:r>
        <w:t>افندي ، احمد بن يحيى</w:t>
      </w:r>
      <w:bookmarkEnd w:id="2319"/>
    </w:p>
    <w:p>
      <w:pPr>
        <w:pStyle w:val="BookText"/>
      </w:pPr>
      <w:r>
        <w:rPr>
          <w:rFonts w:ascii="Amiri" w:hAnsi="Amiri" w:eastAsia="Amiri" w:cs="Amiri"/>
          <w:lang w:bidi="ar-SA"/>
          <w:color w:val="111111"/>
          <w:sz w:val="28"/>
          <w:szCs w:val="28"/>
          <w:rtl/>
        </w:rPr>
        <w:t xml:space="preserve">اللغة وتفسير الآيات (رسالة في)،</w:t>
      </w:r>
    </w:p>
    <w:p>
      <w:pPr>
        <w:pStyle w:val="BookText"/>
      </w:pPr>
      <w:r>
        <w:rPr>
          <w:rFonts w:ascii="IRNazanin" w:hAnsi="IRNazanin" w:eastAsia="IRNazanin" w:cs="IRNazanin"/>
          <w:lang w:bidi="fa-IR"/>
          <w:color w:val="111111"/>
          <w:sz w:val="28"/>
          <w:szCs w:val="28"/>
          <w:rtl/>
        </w:rPr>
        <w:t xml:space="preserve">ج 13، ص 595.</w:t>
      </w:r>
    </w:p>
    <w:p>
      <w:pPr>
        <w:pStyle w:val="Heading2"/>
      </w:pPr>
      <w:bookmarkStart w:id="2320" w:name="_Toc1422"/>
      <w:r>
        <w:t>افندي ، پرویز</w:t>
      </w:r>
      <w:bookmarkEnd w:id="2320"/>
    </w:p>
    <w:p>
      <w:pPr>
        <w:pStyle w:val="BookText"/>
      </w:pPr>
      <w:r>
        <w:rPr>
          <w:rFonts w:ascii="Amiri" w:hAnsi="Amiri" w:eastAsia="Amiri" w:cs="Amiri"/>
          <w:lang w:bidi="ar-SA"/>
          <w:color w:val="111111"/>
          <w:sz w:val="28"/>
          <w:szCs w:val="28"/>
          <w:rtl/>
        </w:rPr>
        <w:t xml:space="preserve">ريب المنون في تحقيق مسألة</w:t>
      </w:r>
    </w:p>
    <w:p>
      <w:pPr>
        <w:pStyle w:val="BookText"/>
      </w:pPr>
      <w:r>
        <w:rPr>
          <w:rFonts w:ascii="IRNazanin" w:hAnsi="IRNazanin" w:eastAsia="IRNazanin" w:cs="IRNazanin"/>
          <w:lang w:bidi="fa-IR"/>
          <w:color w:val="111111"/>
          <w:sz w:val="28"/>
          <w:szCs w:val="28"/>
          <w:rtl/>
        </w:rPr>
        <w:t xml:space="preserve">الطاحون، ج8، ص 517</w:t>
      </w:r>
    </w:p>
    <w:p>
      <w:pPr>
        <w:pStyle w:val="Heading2"/>
      </w:pPr>
      <w:bookmarkStart w:id="2321" w:name="_Toc1423"/>
      <w:r>
        <w:t>افندي پهلواني توقاني</w:t>
      </w:r>
      <w:bookmarkEnd w:id="2321"/>
    </w:p>
    <w:p>
      <w:pPr>
        <w:pStyle w:val="BookText"/>
      </w:pPr>
      <w:r>
        <w:rPr>
          <w:rFonts w:ascii="Amiri" w:hAnsi="Amiri" w:eastAsia="Amiri" w:cs="Amiri"/>
          <w:lang w:bidi="ar-SA"/>
          <w:color w:val="111111"/>
          <w:sz w:val="28"/>
          <w:szCs w:val="28"/>
          <w:rtl/>
        </w:rPr>
        <w:t xml:space="preserve">قياس، ج 12، ص 873.</w:t>
      </w:r>
    </w:p>
    <w:p>
      <w:pPr>
        <w:pStyle w:val="Heading2"/>
      </w:pPr>
      <w:bookmarkStart w:id="2322" w:name="_Toc1424"/>
      <w:r>
        <w:t>افندي ، حاجي خطاب</w:t>
      </w:r>
      <w:bookmarkEnd w:id="2322"/>
    </w:p>
    <w:p>
      <w:pPr>
        <w:pStyle w:val="BookText"/>
      </w:pPr>
      <w:r>
        <w:rPr>
          <w:rFonts w:ascii="Amiri" w:hAnsi="Amiri" w:eastAsia="Amiri" w:cs="Amiri"/>
          <w:lang w:bidi="ar-SA"/>
          <w:color w:val="111111"/>
          <w:sz w:val="28"/>
          <w:szCs w:val="28"/>
          <w:rtl/>
        </w:rPr>
        <w:t xml:space="preserve">مجموعة، ج 14، ص 6.</w:t>
      </w:r>
    </w:p>
    <w:p>
      <w:pPr>
        <w:pStyle w:val="Heading2"/>
      </w:pPr>
      <w:bookmarkStart w:id="2323" w:name="_Toc1425"/>
      <w:r>
        <w:t>افندي ، حسين قرن 14 ه-</w:t>
      </w:r>
      <w:bookmarkEnd w:id="2323"/>
    </w:p>
    <w:p>
      <w:pPr>
        <w:pStyle w:val="BookText"/>
      </w:pPr>
      <w:r>
        <w:rPr>
          <w:rFonts w:ascii="Amiri" w:hAnsi="Amiri" w:eastAsia="Amiri" w:cs="Amiri"/>
          <w:lang w:bidi="ar-SA"/>
          <w:color w:val="111111"/>
          <w:sz w:val="28"/>
          <w:szCs w:val="28"/>
          <w:rtl/>
        </w:rPr>
        <w:t xml:space="preserve">مقامة ادبية، ج 15، ص 312.</w:t>
      </w:r>
    </w:p>
    <w:p>
      <w:pPr>
        <w:pStyle w:val="Heading2"/>
      </w:pPr>
      <w:bookmarkStart w:id="2324" w:name="_Toc1426"/>
      <w:r>
        <w:t>افندي خطيب رشيد بن صالح - 1400ه-</w:t>
      </w:r>
      <w:bookmarkEnd w:id="2324"/>
    </w:p>
    <w:p>
      <w:pPr>
        <w:pStyle w:val="BookText"/>
      </w:pPr>
      <w:r>
        <w:rPr>
          <w:rFonts w:ascii="Amiri" w:hAnsi="Amiri" w:eastAsia="Amiri" w:cs="Amiri"/>
          <w:lang w:bidi="ar-SA"/>
          <w:color w:val="111111"/>
          <w:sz w:val="28"/>
          <w:szCs w:val="28"/>
          <w:rtl/>
        </w:rPr>
        <w:t xml:space="preserve">علم التوحيد المسمى بعلم الكلام (رسالة في)، ج11، ص237.</w:t>
      </w:r>
    </w:p>
    <w:p>
      <w:pPr>
        <w:pStyle w:val="Heading2"/>
      </w:pPr>
      <w:bookmarkStart w:id="2325" w:name="_Toc1427"/>
      <w:r>
        <w:t>افندي خوري ، خليل</w:t>
      </w:r>
      <w:bookmarkEnd w:id="2325"/>
    </w:p>
    <w:p>
      <w:pPr>
        <w:pStyle w:val="BookText"/>
      </w:pPr>
      <w:r>
        <w:rPr>
          <w:rFonts w:ascii="Amiri" w:hAnsi="Amiri" w:eastAsia="Amiri" w:cs="Amiri"/>
          <w:lang w:bidi="ar-SA"/>
          <w:color w:val="111111"/>
          <w:sz w:val="28"/>
          <w:szCs w:val="28"/>
          <w:rtl/>
        </w:rPr>
        <w:t xml:space="preserve">السمير الأمين، ج8، ص 835.</w:t>
      </w:r>
    </w:p>
    <w:p>
      <w:pPr>
        <w:pStyle w:val="Heading2"/>
      </w:pPr>
      <w:bookmarkStart w:id="2326" w:name="_Toc1428"/>
      <w:r>
        <w:t>افندي زاده ، جرجيس بن عمر</w:t>
      </w:r>
      <w:bookmarkEnd w:id="2326"/>
    </w:p>
    <w:p>
      <w:pPr>
        <w:pStyle w:val="BookText"/>
      </w:pPr>
      <w:r>
        <w:rPr>
          <w:rFonts w:ascii="IRNazanin" w:hAnsi="IRNazanin" w:eastAsia="IRNazanin" w:cs="IRNazanin"/>
          <w:lang w:bidi="fa-IR"/>
          <w:color w:val="111111"/>
          <w:sz w:val="28"/>
          <w:szCs w:val="28"/>
          <w:rtl/>
        </w:rPr>
        <w:t xml:space="preserve">نصاب الاخبار، ج 16، ص 294.</w:t>
      </w:r>
    </w:p>
    <w:p>
      <w:pPr>
        <w:pStyle w:val="Heading2"/>
      </w:pPr>
      <w:bookmarkStart w:id="2327" w:name="_Toc1429"/>
      <w:r>
        <w:t>افندي زاده عبدالله بن محمّد - 1167 ه-</w:t>
      </w:r>
      <w:bookmarkEnd w:id="2327"/>
    </w:p>
    <w:p>
      <w:pPr>
        <w:pStyle w:val="BookText"/>
      </w:pPr>
      <w:r>
        <w:rPr>
          <w:rFonts w:ascii="Amiri" w:hAnsi="Amiri" w:eastAsia="Amiri" w:cs="Amiri"/>
          <w:lang w:bidi="ar-SA"/>
          <w:color w:val="111111"/>
          <w:sz w:val="28"/>
          <w:szCs w:val="28"/>
          <w:rtl/>
        </w:rPr>
        <w:t xml:space="preserve">1 .بيان مراتب المد في قراآت الائمة العشرة (رسالة في)، ج 3، ص 490.</w:t>
      </w:r>
    </w:p>
    <w:p>
      <w:pPr>
        <w:pStyle w:val="BookText"/>
      </w:pPr>
      <w:r>
        <w:rPr>
          <w:rFonts w:ascii="Amiri" w:hAnsi="Amiri" w:eastAsia="Amiri" w:cs="Amiri"/>
          <w:lang w:bidi="ar-SA"/>
          <w:color w:val="111111"/>
          <w:sz w:val="28"/>
          <w:szCs w:val="28"/>
          <w:rtl/>
        </w:rPr>
        <w:t xml:space="preserve">2 .حاشية شرح رسالة الاستعارة، ج 6،</w:t>
      </w:r>
    </w:p>
    <w:p>
      <w:pPr>
        <w:pStyle w:val="BookText"/>
      </w:pPr>
      <w:r>
        <w:rPr>
          <w:rFonts w:ascii="IRNazanin" w:hAnsi="IRNazanin" w:eastAsia="IRNazanin" w:cs="IRNazanin"/>
          <w:lang w:bidi="fa-IR"/>
          <w:color w:val="111111"/>
          <w:sz w:val="28"/>
          <w:szCs w:val="28"/>
          <w:rtl/>
        </w:rPr>
        <w:t xml:space="preserve">ص 107.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في ادب البحث، ج 6،</w:t>
      </w:r>
    </w:p>
    <w:p>
      <w:pPr>
        <w:pStyle w:val="BookText"/>
      </w:pPr>
      <w:r>
        <w:rPr>
          <w:rFonts w:ascii="IRNazanin" w:hAnsi="IRNazanin" w:eastAsia="IRNazanin" w:cs="IRNazanin"/>
          <w:lang w:bidi="fa-IR"/>
          <w:color w:val="111111"/>
          <w:sz w:val="28"/>
          <w:szCs w:val="28"/>
          <w:rtl/>
        </w:rPr>
        <w:t xml:space="preserve">ص 291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0" w:name="pg7742_69803"/>
    <w:bookmarkEnd w:id="210"/>
    <w:p>
      <w:pPr>
        <w:pStyle w:val="Heading2"/>
      </w:pPr>
      <w:bookmarkStart w:id="2328" w:name="_Toc1430"/>
      <w:r>
        <w:t>افندي زاده ، عبدالله بن محمّد امین</w:t>
      </w:r>
      <w:bookmarkEnd w:id="2328"/>
    </w:p>
    <w:p>
      <w:pPr>
        <w:pStyle w:val="BookText"/>
      </w:pPr>
      <w:r>
        <w:rPr>
          <w:rFonts w:ascii="IRNazanin" w:hAnsi="IRNazanin" w:eastAsia="IRNazanin" w:cs="IRNazanin"/>
          <w:lang w:bidi="fa-IR"/>
          <w:color w:val="111111"/>
          <w:sz w:val="28"/>
          <w:szCs w:val="28"/>
          <w:rtl/>
        </w:rPr>
        <w:t xml:space="preserve">1226 ؟ ه-</w:t>
      </w:r>
    </w:p>
    <w:p>
      <w:pPr>
        <w:pStyle w:val="BookText"/>
      </w:pPr>
      <w:r>
        <w:rPr>
          <w:rFonts w:ascii="Amiri" w:hAnsi="Amiri" w:eastAsia="Amiri" w:cs="Amiri"/>
          <w:lang w:bidi="ar-SA"/>
          <w:color w:val="111111"/>
          <w:sz w:val="28"/>
          <w:szCs w:val="28"/>
          <w:rtl/>
        </w:rPr>
        <w:t xml:space="preserve">1 .تخميس القصيدة الهمزية، ج 4،</w:t>
      </w:r>
    </w:p>
    <w:p>
      <w:pPr>
        <w:pStyle w:val="BookText"/>
      </w:pPr>
      <w:r>
        <w:rPr>
          <w:rFonts w:ascii="IRNazanin" w:hAnsi="IRNazanin" w:eastAsia="IRNazanin" w:cs="IRNazanin"/>
          <w:lang w:bidi="fa-IR"/>
          <w:color w:val="111111"/>
          <w:sz w:val="28"/>
          <w:szCs w:val="28"/>
          <w:rtl/>
        </w:rPr>
        <w:t xml:space="preserve">ص 145 .</w:t>
      </w:r>
    </w:p>
    <w:p>
      <w:pPr>
        <w:pStyle w:val="BookText"/>
      </w:pPr>
      <w:r>
        <w:rPr>
          <w:rFonts w:ascii="Amiri" w:hAnsi="Amiri" w:eastAsia="Amiri" w:cs="Amiri"/>
          <w:lang w:bidi="ar-SA"/>
          <w:color w:val="111111"/>
          <w:sz w:val="28"/>
          <w:szCs w:val="28"/>
          <w:rtl/>
        </w:rPr>
        <w:t xml:space="preserve">2 .تشطير ابيات نعمان افندي العمري</w:t>
      </w:r>
    </w:p>
    <w:p>
      <w:pPr>
        <w:pStyle w:val="BookText"/>
      </w:pPr>
      <w:r>
        <w:rPr>
          <w:rFonts w:ascii="IRNazanin" w:hAnsi="IRNazanin" w:eastAsia="IRNazanin" w:cs="IRNazanin"/>
          <w:lang w:bidi="fa-IR"/>
          <w:color w:val="111111"/>
          <w:sz w:val="28"/>
          <w:szCs w:val="28"/>
          <w:rtl/>
        </w:rPr>
        <w:t xml:space="preserve">ج 4، ص 384.</w:t>
      </w:r>
    </w:p>
    <w:p>
      <w:pPr>
        <w:pStyle w:val="BookText"/>
      </w:pPr>
      <w:r>
        <w:rPr>
          <w:rFonts w:ascii="Amiri" w:hAnsi="Amiri" w:eastAsia="Amiri" w:cs="Amiri"/>
          <w:lang w:bidi="ar-SA"/>
          <w:color w:val="111111"/>
          <w:sz w:val="28"/>
          <w:szCs w:val="28"/>
          <w:rtl/>
        </w:rPr>
        <w:t xml:space="preserve">3 .تشطير الدريدية، ج 4، ص 384.</w:t>
      </w:r>
    </w:p>
    <w:p>
      <w:pPr>
        <w:pStyle w:val="BookText"/>
      </w:pPr>
      <w:r>
        <w:rPr>
          <w:rFonts w:ascii="Amiri" w:hAnsi="Amiri" w:eastAsia="Amiri" w:cs="Amiri"/>
          <w:lang w:bidi="ar-SA"/>
          <w:color w:val="111111"/>
          <w:sz w:val="28"/>
          <w:szCs w:val="28"/>
          <w:rtl/>
        </w:rPr>
        <w:t xml:space="preserve">4 .تشطير في مناظرة ابن الوردي جع</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تشطير قصيدة ابن الوردي جع</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Amiri" w:hAnsi="Amiri" w:eastAsia="Amiri" w:cs="Amiri"/>
          <w:lang w:bidi="ar-SA"/>
          <w:color w:val="111111"/>
          <w:sz w:val="28"/>
          <w:szCs w:val="28"/>
          <w:rtl/>
        </w:rPr>
        <w:t xml:space="preserve">6 .ديوان المفتي، ج 7، ص 774.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مدح الرسول بعدد سور القرآن</w:t>
      </w:r>
    </w:p>
    <w:p>
      <w:pPr>
        <w:pStyle w:val="BookText"/>
      </w:pPr>
      <w:r>
        <w:rPr>
          <w:rFonts w:ascii="Amiri" w:hAnsi="Amiri" w:eastAsia="Amiri" w:cs="Amiri"/>
          <w:lang w:bidi="ar-SA"/>
          <w:color w:val="111111"/>
          <w:sz w:val="28"/>
          <w:szCs w:val="28"/>
          <w:rtl/>
        </w:rPr>
        <w:t xml:space="preserve">الكريم (منظومة في)، ج 14،</w:t>
      </w:r>
    </w:p>
    <w:p>
      <w:pPr>
        <w:pStyle w:val="BookText"/>
      </w:pPr>
      <w:r>
        <w:rPr>
          <w:rFonts w:ascii="IRNazanin" w:hAnsi="IRNazanin" w:eastAsia="IRNazanin" w:cs="IRNazanin"/>
          <w:lang w:bidi="fa-IR"/>
          <w:color w:val="111111"/>
          <w:sz w:val="28"/>
          <w:szCs w:val="28"/>
          <w:rtl/>
        </w:rPr>
        <w:t xml:space="preserve">ص 321.</w:t>
      </w:r>
    </w:p>
    <w:p>
      <w:pPr>
        <w:pStyle w:val="Heading2"/>
      </w:pPr>
      <w:bookmarkStart w:id="2329" w:name="_Toc1431"/>
      <w:r>
        <w:t>افندي زاده، محمّد امین بن ابراهیم</w:t>
      </w:r>
      <w:bookmarkEnd w:id="2329"/>
    </w:p>
    <w:p>
      <w:pPr>
        <w:pStyle w:val="BookText"/>
      </w:pPr>
      <w:r>
        <w:rPr>
          <w:rFonts w:ascii="IRNazanin" w:hAnsi="IRNazanin" w:eastAsia="IRNazanin" w:cs="IRNazanin"/>
          <w:lang w:bidi="fa-IR"/>
          <w:color w:val="111111"/>
          <w:sz w:val="28"/>
          <w:szCs w:val="28"/>
          <w:rtl/>
        </w:rPr>
        <w:t xml:space="preserve">1140 - 1216ه-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البديعية الامينية في مدائح النبوية</w:t>
      </w:r>
    </w:p>
    <w:p>
      <w:pPr>
        <w:pStyle w:val="BookText"/>
      </w:pPr>
      <w:r>
        <w:rPr>
          <w:rFonts w:ascii="IRNazanin" w:hAnsi="IRNazanin" w:eastAsia="IRNazanin" w:cs="IRNazanin"/>
          <w:lang w:bidi="fa-IR"/>
          <w:color w:val="111111"/>
          <w:sz w:val="28"/>
          <w:szCs w:val="28"/>
          <w:rtl/>
        </w:rPr>
        <w:t xml:space="preserve">ج 3، ص290.</w:t>
      </w:r>
    </w:p>
    <w:p>
      <w:pPr>
        <w:pStyle w:val="BookText"/>
      </w:pPr>
      <w:r>
        <w:rPr>
          <w:rFonts w:ascii="Amiri" w:hAnsi="Amiri" w:eastAsia="Amiri" w:cs="Amiri"/>
          <w:lang w:bidi="ar-SA"/>
          <w:color w:val="111111"/>
          <w:sz w:val="28"/>
          <w:szCs w:val="28"/>
          <w:rtl/>
        </w:rPr>
        <w:t xml:space="preserve">2 .تخاميس ج4، ص87</w:t>
      </w:r>
    </w:p>
    <w:p>
      <w:pPr>
        <w:pStyle w:val="BookText"/>
      </w:pPr>
      <w:r>
        <w:rPr>
          <w:rFonts w:ascii="Amiri" w:hAnsi="Amiri" w:eastAsia="Amiri" w:cs="Amiri"/>
          <w:lang w:bidi="ar-SA"/>
          <w:color w:val="111111"/>
          <w:sz w:val="28"/>
          <w:szCs w:val="28"/>
          <w:rtl/>
        </w:rPr>
        <w:t xml:space="preserve">3 .تشطير لامية العجم، ج4، ص389.</w:t>
      </w:r>
    </w:p>
    <w:p>
      <w:pPr>
        <w:pStyle w:val="BookText"/>
      </w:pPr>
      <w:r>
        <w:rPr>
          <w:rFonts w:ascii="Amiri" w:hAnsi="Amiri" w:eastAsia="Amiri" w:cs="Amiri"/>
          <w:lang w:bidi="ar-SA"/>
          <w:color w:val="111111"/>
          <w:sz w:val="28"/>
          <w:szCs w:val="28"/>
          <w:rtl/>
        </w:rPr>
        <w:t xml:space="preserve">4 .تقريض، ج4، ص778.</w:t>
      </w:r>
    </w:p>
    <w:p>
      <w:pPr>
        <w:pStyle w:val="BookText"/>
      </w:pPr>
      <w:r>
        <w:rPr>
          <w:rFonts w:ascii="Amiri" w:hAnsi="Amiri" w:eastAsia="Amiri" w:cs="Amiri"/>
          <w:lang w:bidi="ar-SA"/>
          <w:color w:val="111111"/>
          <w:sz w:val="28"/>
          <w:szCs w:val="28"/>
          <w:rtl/>
        </w:rPr>
        <w:t xml:space="preserve">5 .دستور العمل في علاجات الجدري و الحصبة والاحتراز من الوقوع فيهما، ج 7، ص 383.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دیوان محمّد امین بك، ج 7، ص 763.</w:t>
      </w:r>
    </w:p>
    <w:p>
      <w:pPr>
        <w:pStyle w:val="BookText"/>
      </w:pPr>
      <w:r>
        <w:rPr>
          <w:rFonts w:ascii="IRNazanin" w:hAnsi="IRNazanin" w:eastAsia="IRNazanin" w:cs="IRNazanin"/>
          <w:lang w:bidi="fa-IR"/>
          <w:color w:val="111111"/>
          <w:sz w:val="28"/>
          <w:szCs w:val="28"/>
          <w:rtl/>
        </w:rPr>
        <w:t xml:space="preserve">7 .شرح الاسباب و العلامات، ج 9،</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Amiri" w:hAnsi="Amiri" w:eastAsia="Amiri" w:cs="Amiri"/>
          <w:lang w:bidi="ar-SA"/>
          <w:color w:val="111111"/>
          <w:sz w:val="28"/>
          <w:szCs w:val="28"/>
          <w:rtl/>
        </w:rPr>
        <w:t xml:space="preserve">8 .الشفاء العاجل والدواء الكافل</w:t>
      </w:r>
    </w:p>
    <w:p>
      <w:pPr>
        <w:pStyle w:val="BookText"/>
      </w:pPr>
      <w:r>
        <w:rPr>
          <w:rFonts w:ascii="IRNazanin" w:hAnsi="IRNazanin" w:eastAsia="IRNazanin" w:cs="IRNazanin"/>
          <w:lang w:bidi="fa-IR"/>
          <w:color w:val="111111"/>
          <w:sz w:val="28"/>
          <w:szCs w:val="28"/>
          <w:rtl/>
        </w:rPr>
        <w:t xml:space="preserve">ج 10، ص 386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قصيدة، ج 12، ص 638.</w:t>
      </w:r>
    </w:p>
    <w:p>
      <w:pPr>
        <w:pStyle w:val="Heading2"/>
      </w:pPr>
      <w:bookmarkStart w:id="2330" w:name="_Toc1432"/>
      <w:r>
        <w:t>افندي زاده ، يوسف - 1167 ه-</w:t>
      </w:r>
      <w:bookmarkEnd w:id="2330"/>
    </w:p>
    <w:p>
      <w:pPr>
        <w:pStyle w:val="BookText"/>
      </w:pPr>
      <w:r>
        <w:rPr>
          <w:rFonts w:ascii="IRNazanin" w:hAnsi="IRNazanin" w:eastAsia="IRNazanin" w:cs="IRNazanin"/>
          <w:lang w:bidi="fa-IR"/>
          <w:color w:val="111111"/>
          <w:sz w:val="28"/>
          <w:szCs w:val="28"/>
          <w:rtl/>
        </w:rPr>
        <w:t xml:space="preserve">الائتلاف بوجوه الاختلاف، ج 1، ص83.</w:t>
      </w:r>
    </w:p>
    <w:p>
      <w:pPr>
        <w:pStyle w:val="Heading2"/>
      </w:pPr>
      <w:bookmarkStart w:id="2331" w:name="_Toc1433"/>
      <w:r>
        <w:t>افندي، سليمان، قرن 13 ه-</w:t>
      </w:r>
      <w:bookmarkEnd w:id="2331"/>
    </w:p>
    <w:p>
      <w:pPr>
        <w:pStyle w:val="BookText"/>
      </w:pPr>
      <w:r>
        <w:rPr>
          <w:rFonts w:ascii="IRNazanin" w:hAnsi="IRNazanin" w:eastAsia="IRNazanin" w:cs="IRNazanin"/>
          <w:lang w:bidi="fa-IR"/>
          <w:color w:val="111111"/>
          <w:sz w:val="28"/>
          <w:szCs w:val="28"/>
          <w:rtl/>
        </w:rPr>
        <w:t xml:space="preserve">موال، ج 15، ص 880</w:t>
      </w:r>
    </w:p>
    <w:p>
      <w:pPr>
        <w:pStyle w:val="Heading2"/>
      </w:pPr>
      <w:bookmarkStart w:id="2332" w:name="_Toc1434"/>
      <w:r>
        <w:t>افندي صفوت ، محمود</w:t>
      </w:r>
      <w:bookmarkEnd w:id="2332"/>
    </w:p>
    <w:p>
      <w:pPr>
        <w:pStyle w:val="BookText"/>
      </w:pPr>
      <w:r>
        <w:rPr>
          <w:rFonts w:ascii="IRNazanin" w:hAnsi="IRNazanin" w:eastAsia="IRNazanin" w:cs="IRNazanin"/>
          <w:lang w:bidi="fa-IR"/>
          <w:color w:val="111111"/>
          <w:sz w:val="28"/>
          <w:szCs w:val="28"/>
          <w:rtl/>
        </w:rPr>
        <w:t xml:space="preserve">دیوان محمود افندي صفوت، ج 7،</w:t>
      </w:r>
    </w:p>
    <w:p>
      <w:pPr>
        <w:pStyle w:val="BookText"/>
      </w:pPr>
      <w:r>
        <w:rPr>
          <w:rFonts w:ascii="IRNazanin" w:hAnsi="IRNazanin" w:eastAsia="IRNazanin" w:cs="IRNazanin"/>
          <w:lang w:bidi="fa-IR"/>
          <w:color w:val="111111"/>
          <w:sz w:val="28"/>
          <w:szCs w:val="28"/>
          <w:rtl/>
        </w:rPr>
        <w:t xml:space="preserve">ص 768 .</w:t>
      </w:r>
    </w:p>
    <w:p>
      <w:pPr>
        <w:pStyle w:val="Heading2"/>
      </w:pPr>
      <w:bookmarkStart w:id="2333" w:name="_Toc1435"/>
      <w:r>
        <w:t>افندي ، صنع الله</w:t>
      </w:r>
      <w:bookmarkEnd w:id="2333"/>
    </w:p>
    <w:p>
      <w:pPr>
        <w:pStyle w:val="BookText"/>
      </w:pPr>
      <w:r>
        <w:rPr>
          <w:rFonts w:ascii="IRNazanin" w:hAnsi="IRNazanin" w:eastAsia="IRNazanin" w:cs="IRNazanin"/>
          <w:lang w:bidi="fa-IR"/>
          <w:color w:val="111111"/>
          <w:sz w:val="28"/>
          <w:szCs w:val="28"/>
          <w:rtl/>
        </w:rPr>
        <w:t xml:space="preserve">فتح الفتاح، ج 11، ص 663 .</w:t>
      </w:r>
    </w:p>
    <w:p>
      <w:pPr>
        <w:pStyle w:val="Heading2"/>
      </w:pPr>
      <w:bookmarkStart w:id="2334" w:name="_Toc1436"/>
      <w:r>
        <w:t>افندي ، عبدالرحمن سليمان</w:t>
      </w:r>
      <w:bookmarkEnd w:id="23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تخامیس، ج4، ص88</w:t>
      </w:r>
    </w:p>
    <w:p>
      <w:pPr>
        <w:pStyle w:val="BookText"/>
      </w:pPr>
      <w:r>
        <w:rPr>
          <w:rFonts w:ascii="Amiri" w:hAnsi="Amiri" w:eastAsia="Amiri" w:cs="Amiri"/>
          <w:lang w:bidi="ar-SA"/>
          <w:color w:val="111111"/>
          <w:sz w:val="28"/>
          <w:szCs w:val="28"/>
          <w:rtl/>
        </w:rPr>
        <w:t xml:space="preserve">2 .ديوان العراقي، ج 7، ص 716.</w:t>
      </w:r>
    </w:p>
    <w:p>
      <w:pPr>
        <w:pStyle w:val="Heading2"/>
      </w:pPr>
      <w:bookmarkStart w:id="2335" w:name="_Toc1437"/>
      <w:r>
        <w:t>افندي، عبدالغني بن مراد</w:t>
      </w:r>
      <w:bookmarkEnd w:id="2335"/>
    </w:p>
    <w:p>
      <w:pPr>
        <w:pStyle w:val="BookText"/>
      </w:pPr>
      <w:r>
        <w:rPr>
          <w:rFonts w:ascii="Amiri" w:hAnsi="Amiri" w:eastAsia="Amiri" w:cs="Amiri"/>
          <w:lang w:bidi="ar-SA"/>
          <w:color w:val="111111"/>
          <w:sz w:val="28"/>
          <w:szCs w:val="28"/>
          <w:rtl/>
        </w:rPr>
        <w:t xml:space="preserve">ادعية، ج 1 ، ص 607 .</w:t>
      </w:r>
    </w:p>
    <w:p>
      <w:pPr>
        <w:pStyle w:val="Heading2"/>
      </w:pPr>
      <w:bookmarkStart w:id="2336" w:name="_Toc1438"/>
      <w:r>
        <w:t>افندي ، عبدالله بن عرفان</w:t>
      </w:r>
      <w:bookmarkEnd w:id="2336"/>
    </w:p>
    <w:p>
      <w:pPr>
        <w:pStyle w:val="BookText"/>
      </w:pPr>
      <w:r>
        <w:rPr>
          <w:rFonts w:ascii="Amiri" w:hAnsi="Amiri" w:eastAsia="Amiri" w:cs="Amiri"/>
          <w:lang w:bidi="ar-SA"/>
          <w:color w:val="111111"/>
          <w:sz w:val="28"/>
          <w:szCs w:val="28"/>
          <w:rtl/>
        </w:rPr>
        <w:t xml:space="preserve">الربع المجيب (ترجمه)، ج8، ص26.</w:t>
      </w:r>
    </w:p>
    <w:p>
      <w:pPr>
        <w:pStyle w:val="Heading2"/>
      </w:pPr>
      <w:bookmarkStart w:id="2337" w:name="_Toc1439"/>
      <w:r>
        <w:t>افندي ، عبدالله بن عیسی بیگ، 1066 -</w:t>
      </w:r>
      <w:bookmarkEnd w:id="2337"/>
    </w:p>
    <w:p>
      <w:pPr>
        <w:pStyle w:val="BookText"/>
      </w:pPr>
      <w:r>
        <w:rPr>
          <w:rFonts w:ascii="IRNazanin" w:hAnsi="IRNazanin" w:eastAsia="IRNazanin" w:cs="IRNazanin"/>
          <w:lang w:bidi="fa-IR"/>
          <w:color w:val="111111"/>
          <w:sz w:val="28"/>
          <w:szCs w:val="28"/>
          <w:rtl/>
        </w:rPr>
        <w:t xml:space="preserve">1430 ه-</w:t>
      </w:r>
    </w:p>
    <w:p>
      <w:pPr>
        <w:pStyle w:val="BookText"/>
      </w:pPr>
      <w:r>
        <w:rPr>
          <w:rFonts w:ascii="Amiri" w:hAnsi="Amiri" w:eastAsia="Amiri" w:cs="Amiri"/>
          <w:lang w:bidi="ar-SA"/>
          <w:color w:val="111111"/>
          <w:sz w:val="28"/>
          <w:szCs w:val="28"/>
          <w:rtl/>
        </w:rPr>
        <w:t xml:space="preserve">رياض العلماء و حياض الفضلاء، ج 8،</w:t>
      </w:r>
    </w:p>
    <w:p>
      <w:pPr>
        <w:pStyle w:val="BookText"/>
      </w:pPr>
      <w:r>
        <w:rPr>
          <w:rFonts w:ascii="IRNazanin" w:hAnsi="IRNazanin" w:eastAsia="IRNazanin" w:cs="IRNazanin"/>
          <w:lang w:bidi="fa-IR"/>
          <w:color w:val="111111"/>
          <w:sz w:val="28"/>
          <w:szCs w:val="28"/>
          <w:rtl/>
        </w:rPr>
        <w:t xml:space="preserve">ص 487 .</w:t>
      </w:r>
    </w:p>
    <w:p>
      <w:pPr>
        <w:pStyle w:val="Heading2"/>
      </w:pPr>
      <w:bookmarkStart w:id="2338" w:name="_Toc1440"/>
      <w:r>
        <w:t>افندي ، علي، قرن 12 ه-</w:t>
      </w:r>
      <w:bookmarkEnd w:id="2338"/>
    </w:p>
    <w:p>
      <w:pPr>
        <w:pStyle w:val="BookText"/>
      </w:pPr>
      <w:r>
        <w:rPr>
          <w:rFonts w:ascii="Amiri" w:hAnsi="Amiri" w:eastAsia="Amiri" w:cs="Amiri"/>
          <w:lang w:bidi="ar-SA"/>
          <w:color w:val="111111"/>
          <w:sz w:val="28"/>
          <w:szCs w:val="28"/>
          <w:rtl/>
        </w:rPr>
        <w:t xml:space="preserve">علم التفسير (رسالة في)، ج11،</w:t>
      </w:r>
    </w:p>
    <w:p>
      <w:pPr>
        <w:pStyle w:val="BookText"/>
      </w:pPr>
      <w:r>
        <w:rPr>
          <w:rFonts w:ascii="IRNazanin" w:hAnsi="IRNazanin" w:eastAsia="IRNazanin" w:cs="IRNazanin"/>
          <w:lang w:bidi="fa-IR"/>
          <w:color w:val="111111"/>
          <w:sz w:val="28"/>
          <w:szCs w:val="28"/>
          <w:rtl/>
        </w:rPr>
        <w:t xml:space="preserve">ص 236.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1" w:name="pg7742_69805"/>
    <w:bookmarkEnd w:id="211"/>
    <w:p>
      <w:pPr>
        <w:pStyle w:val="Heading2"/>
      </w:pPr>
      <w:bookmarkStart w:id="2339" w:name="_Toc1441"/>
      <w:r>
        <w:t>افندي ، علي، - 1090 ه-</w:t>
      </w:r>
      <w:bookmarkEnd w:id="2339"/>
    </w:p>
    <w:p>
      <w:pPr>
        <w:pStyle w:val="BookText"/>
      </w:pPr>
      <w:r>
        <w:rPr>
          <w:rFonts w:ascii="Amiri" w:hAnsi="Amiri" w:eastAsia="Amiri" w:cs="Amiri"/>
          <w:lang w:bidi="ar-SA"/>
          <w:color w:val="111111"/>
          <w:sz w:val="28"/>
          <w:szCs w:val="28"/>
          <w:rtl/>
        </w:rPr>
        <w:t xml:space="preserve">1 .فتاوى منظومة = حور العين في</w:t>
      </w:r>
    </w:p>
    <w:p>
      <w:pPr>
        <w:pStyle w:val="BookText"/>
      </w:pPr>
      <w:r>
        <w:rPr>
          <w:rFonts w:ascii="IRNazanin" w:hAnsi="IRNazanin" w:eastAsia="IRNazanin" w:cs="IRNazanin"/>
          <w:lang w:bidi="fa-IR"/>
          <w:color w:val="111111"/>
          <w:sz w:val="28"/>
          <w:szCs w:val="28"/>
          <w:rtl/>
        </w:rPr>
        <w:t xml:space="preserve">الفتاوى، ج 11، ص 627.</w:t>
      </w:r>
    </w:p>
    <w:p>
      <w:pPr>
        <w:pStyle w:val="BookText"/>
      </w:pPr>
      <w:r>
        <w:rPr>
          <w:rFonts w:ascii="Amiri" w:hAnsi="Amiri" w:eastAsia="Amiri" w:cs="Amiri"/>
          <w:lang w:bidi="ar-SA"/>
          <w:color w:val="111111"/>
          <w:sz w:val="28"/>
          <w:szCs w:val="28"/>
          <w:rtl/>
        </w:rPr>
        <w:t xml:space="preserve">2 .مجموعة المسائل - اسئلة و اجوبة</w:t>
      </w:r>
    </w:p>
    <w:p>
      <w:pPr>
        <w:pStyle w:val="BookText"/>
      </w:pPr>
      <w:r>
        <w:rPr>
          <w:rFonts w:ascii="Amiri" w:hAnsi="Amiri" w:eastAsia="Amiri" w:cs="Amiri"/>
          <w:lang w:bidi="ar-SA"/>
          <w:color w:val="111111"/>
          <w:sz w:val="28"/>
          <w:szCs w:val="28"/>
          <w:rtl/>
        </w:rPr>
        <w:t xml:space="preserve">فقهية ج 14 ، ص 57.</w:t>
      </w:r>
    </w:p>
    <w:p>
      <w:pPr>
        <w:pStyle w:val="Heading2"/>
      </w:pPr>
      <w:bookmarkStart w:id="2340" w:name="_Toc1442"/>
      <w:r>
        <w:t>افندي ، محمّد امین بن محمّد سعید</w:t>
      </w:r>
      <w:bookmarkEnd w:id="2340"/>
    </w:p>
    <w:p>
      <w:pPr>
        <w:pStyle w:val="BookText"/>
      </w:pPr>
      <w:r>
        <w:rPr>
          <w:rFonts w:ascii="IRNazanin" w:hAnsi="IRNazanin" w:eastAsia="IRNazanin" w:cs="IRNazanin"/>
          <w:lang w:bidi="fa-IR"/>
          <w:color w:val="111111"/>
          <w:sz w:val="28"/>
          <w:szCs w:val="28"/>
          <w:rtl/>
        </w:rPr>
        <w:t xml:space="preserve">130 - 1377 ه-</w:t>
      </w:r>
    </w:p>
    <w:p>
      <w:pPr>
        <w:pStyle w:val="BookText"/>
      </w:pPr>
      <w:r>
        <w:rPr>
          <w:rFonts w:ascii="Amiri" w:hAnsi="Amiri" w:eastAsia="Amiri" w:cs="Amiri"/>
          <w:lang w:bidi="ar-SA"/>
          <w:color w:val="111111"/>
          <w:sz w:val="28"/>
          <w:szCs w:val="28"/>
          <w:rtl/>
        </w:rPr>
        <w:t xml:space="preserve">1 .التحفة الندية في تحريم ذبائح أهل الشرك واليزيدية، ج 4،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الدرر الحسان في لغة القرآن، ج7،</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الدلالات القاطعات في الرد على من</w:t>
      </w:r>
    </w:p>
    <w:p>
      <w:pPr>
        <w:pStyle w:val="BookText"/>
      </w:pPr>
      <w:r>
        <w:rPr>
          <w:rFonts w:ascii="Amiri" w:hAnsi="Amiri" w:eastAsia="Amiri" w:cs="Amiri"/>
          <w:lang w:bidi="ar-SA"/>
          <w:color w:val="111111"/>
          <w:sz w:val="28"/>
          <w:szCs w:val="28"/>
          <w:rtl/>
        </w:rPr>
        <w:t xml:space="preserve">انكر على الاولياء الكرامات، ج 7،</w:t>
      </w:r>
    </w:p>
    <w:p>
      <w:pPr>
        <w:pStyle w:val="BookText"/>
      </w:pPr>
      <w:r>
        <w:rPr>
          <w:rFonts w:ascii="IRNazanin" w:hAnsi="IRNazanin" w:eastAsia="IRNazanin" w:cs="IRNazanin"/>
          <w:lang w:bidi="fa-IR"/>
          <w:color w:val="111111"/>
          <w:sz w:val="28"/>
          <w:szCs w:val="28"/>
          <w:rtl/>
        </w:rPr>
        <w:t xml:space="preserve">ص 463 .</w:t>
      </w:r>
    </w:p>
    <w:p>
      <w:pPr>
        <w:pStyle w:val="BookText"/>
      </w:pPr>
      <w:r>
        <w:rPr>
          <w:rFonts w:ascii="Amiri" w:hAnsi="Amiri" w:eastAsia="Amiri" w:cs="Amiri"/>
          <w:lang w:bidi="ar-SA"/>
          <w:color w:val="111111"/>
          <w:sz w:val="28"/>
          <w:szCs w:val="28"/>
          <w:rtl/>
        </w:rPr>
        <w:t xml:space="preserve">4 .الدليل المكين في الرد على من كفر</w:t>
      </w:r>
    </w:p>
    <w:p>
      <w:pPr>
        <w:pStyle w:val="BookText"/>
      </w:pPr>
      <w:r>
        <w:rPr>
          <w:rFonts w:ascii="Amiri" w:hAnsi="Amiri" w:eastAsia="Amiri" w:cs="Amiri"/>
          <w:lang w:bidi="ar-SA"/>
          <w:color w:val="111111"/>
          <w:sz w:val="28"/>
          <w:szCs w:val="28"/>
          <w:rtl/>
        </w:rPr>
        <w:t xml:space="preserve">المسلمين، ج 7، ص 471.</w:t>
      </w:r>
    </w:p>
    <w:p>
      <w:pPr>
        <w:pStyle w:val="BookText"/>
      </w:pPr>
      <w:r>
        <w:rPr>
          <w:rFonts w:ascii="Amiri" w:hAnsi="Amiri" w:eastAsia="Amiri" w:cs="Amiri"/>
          <w:lang w:bidi="ar-SA"/>
          <w:color w:val="111111"/>
          <w:sz w:val="28"/>
          <w:szCs w:val="28"/>
          <w:rtl/>
        </w:rPr>
        <w:t xml:space="preserve">5 .دليل الموحدين في الرد على شبه</w:t>
      </w:r>
    </w:p>
    <w:p>
      <w:pPr>
        <w:pStyle w:val="BookText"/>
      </w:pPr>
      <w:r>
        <w:rPr>
          <w:rFonts w:ascii="Amiri" w:hAnsi="Amiri" w:eastAsia="Amiri" w:cs="Amiri"/>
          <w:lang w:bidi="ar-SA"/>
          <w:color w:val="111111"/>
          <w:sz w:val="28"/>
          <w:szCs w:val="28"/>
          <w:rtl/>
        </w:rPr>
        <w:t xml:space="preserve">المبشرين، ج 7، ص 471</w:t>
      </w:r>
    </w:p>
    <w:p>
      <w:pPr>
        <w:pStyle w:val="BookText"/>
      </w:pPr>
      <w:r>
        <w:rPr>
          <w:rFonts w:ascii="Amiri" w:hAnsi="Amiri" w:eastAsia="Amiri" w:cs="Amiri"/>
          <w:lang w:bidi="ar-SA"/>
          <w:color w:val="111111"/>
          <w:sz w:val="28"/>
          <w:szCs w:val="28"/>
          <w:rtl/>
        </w:rPr>
        <w:t xml:space="preserve">6 .الرسالة الكاشفة الوضحي عن نقاب</w:t>
      </w:r>
    </w:p>
    <w:p>
      <w:pPr>
        <w:pStyle w:val="BookText"/>
      </w:pPr>
      <w:r>
        <w:rPr>
          <w:rFonts w:ascii="Amiri" w:hAnsi="Amiri" w:eastAsia="Amiri" w:cs="Amiri"/>
          <w:lang w:bidi="ar-SA"/>
          <w:color w:val="111111"/>
          <w:sz w:val="28"/>
          <w:szCs w:val="28"/>
          <w:rtl/>
        </w:rPr>
        <w:t xml:space="preserve">الشوارب و اللحي، ج8، ص 252.</w:t>
      </w:r>
    </w:p>
    <w:p>
      <w:pPr>
        <w:pStyle w:val="BookText"/>
      </w:pPr>
      <w:r>
        <w:rPr>
          <w:rFonts w:ascii="Amiri" w:hAnsi="Amiri" w:eastAsia="Amiri" w:cs="Amiri"/>
          <w:lang w:bidi="ar-SA"/>
          <w:color w:val="111111"/>
          <w:sz w:val="28"/>
          <w:szCs w:val="28"/>
          <w:rtl/>
        </w:rPr>
        <w:t xml:space="preserve">7 .قصد السبيل و مختلف الدليل في الصلاة وما يتعلق بها من احكام</w:t>
      </w:r>
    </w:p>
    <w:p>
      <w:pPr>
        <w:pStyle w:val="BookText"/>
      </w:pPr>
      <w:r>
        <w:rPr>
          <w:rFonts w:ascii="IRNazanin" w:hAnsi="IRNazanin" w:eastAsia="IRNazanin" w:cs="IRNazanin"/>
          <w:lang w:bidi="fa-IR"/>
          <w:color w:val="111111"/>
          <w:sz w:val="28"/>
          <w:szCs w:val="28"/>
          <w:rtl/>
        </w:rPr>
        <w:t xml:space="preserve">ج 12، ص 620.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كف الملام في مسألة الافطار و</w:t>
      </w:r>
    </w:p>
    <w:p>
      <w:pPr>
        <w:pStyle w:val="BookText"/>
      </w:pPr>
      <w:r>
        <w:rPr>
          <w:rFonts w:ascii="Amiri" w:hAnsi="Amiri" w:eastAsia="Amiri" w:cs="Amiri"/>
          <w:lang w:bidi="ar-SA"/>
          <w:color w:val="111111"/>
          <w:sz w:val="28"/>
          <w:szCs w:val="28"/>
          <w:rtl/>
        </w:rPr>
        <w:t xml:space="preserve">الصيام، ج13، ص 344.</w:t>
      </w:r>
    </w:p>
    <w:p>
      <w:pPr>
        <w:pStyle w:val="BookText"/>
      </w:pPr>
      <w:r>
        <w:rPr>
          <w:rFonts w:ascii="Amiri" w:hAnsi="Amiri" w:eastAsia="Amiri" w:cs="Amiri"/>
          <w:lang w:bidi="ar-SA"/>
          <w:color w:val="111111"/>
          <w:sz w:val="28"/>
          <w:szCs w:val="28"/>
          <w:rtl/>
        </w:rPr>
        <w:t xml:space="preserve">9 .هداية الحائر في البيونة والفراق إلى</w:t>
      </w:r>
    </w:p>
    <w:p>
      <w:pPr>
        <w:pStyle w:val="BookText"/>
      </w:pPr>
      <w:r>
        <w:rPr>
          <w:rFonts w:ascii="Amiri" w:hAnsi="Amiri" w:eastAsia="Amiri" w:cs="Amiri"/>
          <w:lang w:bidi="ar-SA"/>
          <w:color w:val="111111"/>
          <w:sz w:val="28"/>
          <w:szCs w:val="28"/>
          <w:rtl/>
        </w:rPr>
        <w:t xml:space="preserve">معرفة الصواب في ايقاع الثلاث من الطلاق، ج 16، ص 606.</w:t>
      </w:r>
    </w:p>
    <w:p>
      <w:pPr>
        <w:pStyle w:val="BookText"/>
      </w:pPr>
      <w:r>
        <w:rPr>
          <w:rFonts w:ascii="Amiri" w:hAnsi="Amiri" w:eastAsia="Amiri" w:cs="Amiri"/>
          <w:lang w:bidi="ar-SA"/>
          <w:color w:val="111111"/>
          <w:sz w:val="28"/>
          <w:szCs w:val="28"/>
          <w:rtl/>
        </w:rPr>
        <w:t xml:space="preserve">10 .هداية المرتاب في جواز اهداء</w:t>
      </w:r>
    </w:p>
    <w:p>
      <w:pPr>
        <w:pStyle w:val="BookText"/>
      </w:pPr>
      <w:r>
        <w:rPr>
          <w:rFonts w:ascii="IRNazanin" w:hAnsi="IRNazanin" w:eastAsia="IRNazanin" w:cs="IRNazanin"/>
          <w:lang w:bidi="fa-IR"/>
          <w:color w:val="111111"/>
          <w:sz w:val="28"/>
          <w:szCs w:val="28"/>
          <w:rtl/>
        </w:rPr>
        <w:t xml:space="preserve">الثواب، ج 16، ص 629 .</w:t>
      </w:r>
    </w:p>
    <w:p>
      <w:pPr>
        <w:pStyle w:val="Heading2"/>
      </w:pPr>
      <w:bookmarkStart w:id="2341" w:name="_Toc1443"/>
      <w:r>
        <w:t>افندي ، محمّد بن فرج الله</w:t>
      </w:r>
      <w:bookmarkEnd w:id="2341"/>
    </w:p>
    <w:p>
      <w:pPr>
        <w:pStyle w:val="BookText"/>
      </w:pPr>
      <w:r>
        <w:rPr>
          <w:rFonts w:ascii="Amiri" w:hAnsi="Amiri" w:eastAsia="Amiri" w:cs="Amiri"/>
          <w:lang w:bidi="ar-SA"/>
          <w:color w:val="111111"/>
          <w:sz w:val="28"/>
          <w:szCs w:val="28"/>
          <w:rtl/>
        </w:rPr>
        <w:t xml:space="preserve">زاد المفتي و القاضي، ج8، ص 543.</w:t>
      </w:r>
    </w:p>
    <w:p>
      <w:pPr>
        <w:pStyle w:val="Heading2"/>
      </w:pPr>
      <w:bookmarkStart w:id="2342" w:name="_Toc1444"/>
      <w:r>
        <w:t>افندي ، محمود بن عبدالله قرن 13 ه-</w:t>
      </w:r>
      <w:bookmarkEnd w:id="2342"/>
    </w:p>
    <w:p>
      <w:pPr>
        <w:pStyle w:val="BookText"/>
      </w:pPr>
      <w:r>
        <w:rPr>
          <w:rFonts w:ascii="IRNazanin" w:hAnsi="IRNazanin" w:eastAsia="IRNazanin" w:cs="IRNazanin"/>
          <w:lang w:bidi="fa-IR"/>
          <w:color w:val="111111"/>
          <w:sz w:val="28"/>
          <w:szCs w:val="28"/>
          <w:rtl/>
        </w:rPr>
        <w:t xml:space="preserve">دیوان محمود افندي، ج7، ص 768.</w:t>
      </w:r>
    </w:p>
    <w:p>
      <w:pPr>
        <w:pStyle w:val="Heading2"/>
      </w:pPr>
      <w:bookmarkStart w:id="2343" w:name="_Toc1445"/>
      <w:r>
        <w:t>افندي، مصطفى بن سهراب قرن 11 ه-</w:t>
      </w:r>
      <w:bookmarkEnd w:id="2343"/>
    </w:p>
    <w:p>
      <w:pPr>
        <w:pStyle w:val="BookText"/>
      </w:pPr>
      <w:r>
        <w:rPr>
          <w:rFonts w:ascii="Amiri" w:hAnsi="Amiri" w:eastAsia="Amiri" w:cs="Amiri"/>
          <w:lang w:bidi="ar-SA"/>
          <w:color w:val="111111"/>
          <w:sz w:val="28"/>
          <w:szCs w:val="28"/>
          <w:rtl/>
        </w:rPr>
        <w:t xml:space="preserve">دائرة الكبرى على الشجرة النعمانية</w:t>
      </w:r>
    </w:p>
    <w:p>
      <w:pPr>
        <w:pStyle w:val="BookText"/>
      </w:pPr>
      <w:r>
        <w:rPr>
          <w:rFonts w:ascii="IRNazanin" w:hAnsi="IRNazanin" w:eastAsia="IRNazanin" w:cs="IRNazanin"/>
          <w:lang w:bidi="fa-IR"/>
          <w:color w:val="111111"/>
          <w:sz w:val="28"/>
          <w:szCs w:val="28"/>
          <w:rtl/>
        </w:rPr>
        <w:t xml:space="preserve">ج 7، ص203.</w:t>
      </w:r>
    </w:p>
    <w:p>
      <w:pPr>
        <w:pStyle w:val="Heading2"/>
      </w:pPr>
      <w:bookmarkStart w:id="2344" w:name="_Toc1446"/>
      <w:r>
        <w:t>افندي، مصطفى بن محمّد سعید</w:t>
      </w:r>
      <w:bookmarkEnd w:id="2344"/>
    </w:p>
    <w:p>
      <w:pPr>
        <w:pStyle w:val="BookText"/>
      </w:pPr>
      <w:r>
        <w:rPr>
          <w:rFonts w:ascii="IRNazanin" w:hAnsi="IRNazanin" w:eastAsia="IRNazanin" w:cs="IRNazanin"/>
          <w:lang w:bidi="fa-IR"/>
          <w:color w:val="111111"/>
          <w:sz w:val="28"/>
          <w:szCs w:val="28"/>
          <w:rtl/>
        </w:rPr>
        <w:t xml:space="preserve">مجمع الخطب، ج13، ص 849.</w:t>
      </w:r>
    </w:p>
    <w:p>
      <w:pPr>
        <w:pStyle w:val="Heading2"/>
      </w:pPr>
      <w:bookmarkStart w:id="2345" w:name="_Toc1447"/>
      <w:r>
        <w:t>افندي ، ملاطه قرن 13 ه-</w:t>
      </w:r>
      <w:bookmarkEnd w:id="2345"/>
    </w:p>
    <w:p>
      <w:pPr>
        <w:pStyle w:val="BookText"/>
      </w:pPr>
      <w:r>
        <w:rPr>
          <w:rFonts w:ascii="Amiri" w:hAnsi="Amiri" w:eastAsia="Amiri" w:cs="Amiri"/>
          <w:lang w:bidi="ar-SA"/>
          <w:color w:val="111111"/>
          <w:sz w:val="28"/>
          <w:szCs w:val="28"/>
          <w:rtl/>
        </w:rPr>
        <w:t xml:space="preserve">حاشية على فرائض التحفة، ج6،</w:t>
      </w:r>
    </w:p>
    <w:p>
      <w:pPr>
        <w:pStyle w:val="BookText"/>
      </w:pPr>
      <w:r>
        <w:rPr>
          <w:rFonts w:ascii="IRNazanin" w:hAnsi="IRNazanin" w:eastAsia="IRNazanin" w:cs="IRNazanin"/>
          <w:lang w:bidi="fa-IR"/>
          <w:color w:val="111111"/>
          <w:sz w:val="28"/>
          <w:szCs w:val="28"/>
          <w:rtl/>
        </w:rPr>
        <w:t xml:space="preserve">ص 248.</w:t>
      </w:r>
    </w:p>
    <w:p>
      <w:pPr>
        <w:pStyle w:val="Heading2"/>
      </w:pPr>
      <w:bookmarkStart w:id="2346" w:name="_Toc1448"/>
      <w:r>
        <w:t>افندي ، يحيى بن فخرالدين - 1187 ه-</w:t>
      </w:r>
      <w:bookmarkEnd w:id="2346"/>
    </w:p>
    <w:p>
      <w:pPr>
        <w:pStyle w:val="BookText"/>
      </w:pPr>
      <w:r>
        <w:rPr>
          <w:rFonts w:ascii="Amiri" w:hAnsi="Amiri" w:eastAsia="Amiri" w:cs="Amiri"/>
          <w:lang w:bidi="ar-SA"/>
          <w:color w:val="111111"/>
          <w:sz w:val="28"/>
          <w:szCs w:val="28"/>
          <w:rtl/>
        </w:rPr>
        <w:t xml:space="preserve">الفتاوى = فتاوى يحيى افندي، ج11،</w:t>
      </w:r>
    </w:p>
    <w:p>
      <w:pPr>
        <w:pStyle w:val="BookText"/>
      </w:pPr>
      <w:r>
        <w:rPr>
          <w:rFonts w:ascii="IRNazanin" w:hAnsi="IRNazanin" w:eastAsia="IRNazanin" w:cs="IRNazanin"/>
          <w:lang w:bidi="fa-IR"/>
          <w:color w:val="111111"/>
          <w:sz w:val="28"/>
          <w:szCs w:val="28"/>
          <w:rtl/>
        </w:rPr>
        <w:t xml:space="preserve">ص 600 .</w:t>
      </w:r>
    </w:p>
    <w:p>
      <w:pPr>
        <w:pStyle w:val="Heading2"/>
      </w:pPr>
      <w:bookmarkStart w:id="2347" w:name="_Toc1449"/>
      <w:r>
        <w:t>افندي ، يوسف - 1115 ه-</w:t>
      </w:r>
      <w:bookmarkEnd w:id="2347"/>
    </w:p>
    <w:p>
      <w:pPr>
        <w:pStyle w:val="BookText"/>
      </w:pPr>
      <w:r>
        <w:rPr>
          <w:rFonts w:ascii="Amiri" w:hAnsi="Amiri" w:eastAsia="Amiri" w:cs="Amiri"/>
          <w:lang w:bidi="ar-SA"/>
          <w:color w:val="111111"/>
          <w:sz w:val="28"/>
          <w:szCs w:val="28"/>
          <w:rtl/>
        </w:rPr>
        <w:t xml:space="preserve">تفسير سور البلدة، ج 4، ص 623.</w:t>
      </w:r>
    </w:p>
    <w:p>
      <w:pPr>
        <w:pStyle w:val="Heading2"/>
      </w:pPr>
      <w:bookmarkStart w:id="2348" w:name="_Toc1450"/>
      <w:r>
        <w:t>افيوني ، عبدالله بن عمر - 1154 ه-</w:t>
      </w:r>
      <w:bookmarkEnd w:id="2348"/>
    </w:p>
    <w:p>
      <w:pPr>
        <w:pStyle w:val="BookText"/>
      </w:pPr>
      <w:r>
        <w:rPr>
          <w:rFonts w:ascii="Amiri" w:hAnsi="Amiri" w:eastAsia="Amiri" w:cs="Amiri"/>
          <w:lang w:bidi="ar-SA"/>
          <w:color w:val="111111"/>
          <w:sz w:val="28"/>
          <w:szCs w:val="28"/>
          <w:rtl/>
        </w:rPr>
        <w:t xml:space="preserve">مختصر الاشاعة في اشراط الساعة</w:t>
      </w:r>
    </w:p>
    <w:p>
      <w:pPr>
        <w:pStyle w:val="BookText"/>
      </w:pPr>
      <w:r>
        <w:rPr>
          <w:rFonts w:ascii="IRNazanin" w:hAnsi="IRNazanin" w:eastAsia="IRNazanin" w:cs="IRNazanin"/>
          <w:lang w:bidi="fa-IR"/>
          <w:color w:val="111111"/>
          <w:sz w:val="28"/>
          <w:szCs w:val="28"/>
          <w:rtl/>
        </w:rPr>
        <w:t xml:space="preserve">ج 14، ص 171.</w:t>
      </w:r>
    </w:p>
    <w:p>
      <w:pPr>
        <w:pStyle w:val="Heading2"/>
      </w:pPr>
      <w:bookmarkStart w:id="2349" w:name="_Toc1451"/>
      <w:r>
        <w:t>اقصرايي شاذلي ، ابراهيم بن محمود</w:t>
      </w:r>
      <w:bookmarkEnd w:id="2349"/>
    </w:p>
    <w:p>
      <w:pPr>
        <w:pStyle w:val="BookText"/>
      </w:pPr>
      <w:r>
        <w:rPr>
          <w:rFonts w:ascii="Amiri" w:hAnsi="Amiri" w:eastAsia="Amiri" w:cs="Amiri"/>
          <w:lang w:bidi="ar-SA"/>
          <w:color w:val="111111"/>
          <w:sz w:val="28"/>
          <w:szCs w:val="28"/>
          <w:rtl/>
        </w:rPr>
        <w:t xml:space="preserve">فوائد في السلوك، ج 12، ص 257.</w:t>
      </w:r>
    </w:p>
    <w:p>
      <w:pPr>
        <w:pStyle w:val="Heading2"/>
      </w:pPr>
      <w:bookmarkStart w:id="2350" w:name="_Toc1452"/>
      <w:r>
        <w:t>اقطع ، احمد بن محمّد - 474 ه-</w:t>
      </w:r>
      <w:bookmarkEnd w:id="2350"/>
    </w:p>
    <w:p>
      <w:pPr>
        <w:pStyle w:val="BookText"/>
      </w:pPr>
      <w:r>
        <w:rPr>
          <w:rFonts w:ascii="Amiri" w:hAnsi="Amiri" w:eastAsia="Amiri" w:cs="Amiri"/>
          <w:lang w:bidi="ar-SA"/>
          <w:color w:val="111111"/>
          <w:sz w:val="28"/>
          <w:szCs w:val="28"/>
          <w:rtl/>
        </w:rPr>
        <w:t xml:space="preserve">شرح مختصر القدوري، ج 10، ص 119.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2" w:name="pg7742_69807"/>
    <w:bookmarkEnd w:id="212"/>
    <w:p>
      <w:pPr>
        <w:pStyle w:val="Heading2"/>
      </w:pPr>
      <w:bookmarkStart w:id="2351" w:name="_Toc1453"/>
      <w:r>
        <w:t>اقفهسي ، احمد بن عماد، 750 - 808</w:t>
      </w:r>
      <w:bookmarkEnd w:id="2351"/>
    </w:p>
    <w:p>
      <w:pPr>
        <w:pStyle w:val="BookText"/>
      </w:pPr>
      <w:r>
        <w:rPr>
          <w:rFonts w:ascii="Amiri" w:hAnsi="Amiri" w:eastAsia="Amiri" w:cs="Amiri"/>
          <w:lang w:bidi="ar-SA"/>
          <w:color w:val="111111"/>
          <w:sz w:val="28"/>
          <w:szCs w:val="28"/>
          <w:rtl/>
        </w:rPr>
        <w:t xml:space="preserve">1 .آداب الأكل والشرب والنوم و اليقظة (منظومة في)، ج 1، ص18.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احكام الاواني و الظروف و ما فيها</w:t>
      </w:r>
    </w:p>
    <w:p>
      <w:pPr>
        <w:pStyle w:val="BookText"/>
      </w:pPr>
      <w:r>
        <w:rPr>
          <w:rFonts w:ascii="IRNazanin" w:hAnsi="IRNazanin" w:eastAsia="IRNazanin" w:cs="IRNazanin"/>
          <w:lang w:bidi="fa-IR"/>
          <w:color w:val="111111"/>
          <w:sz w:val="28"/>
          <w:szCs w:val="28"/>
          <w:rtl/>
        </w:rPr>
        <w:t xml:space="preserve">من المظروف، ج 1، ص 460.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ارجوزة الف بيت ج 1 ، ص 763 .</w:t>
      </w:r>
    </w:p>
    <w:p>
      <w:pPr>
        <w:pStyle w:val="BookText"/>
      </w:pPr>
      <w:r>
        <w:rPr>
          <w:rFonts w:ascii="Amiri" w:hAnsi="Amiri" w:eastAsia="Amiri" w:cs="Amiri"/>
          <w:lang w:bidi="ar-SA"/>
          <w:color w:val="111111"/>
          <w:sz w:val="28"/>
          <w:szCs w:val="28"/>
          <w:rtl/>
        </w:rPr>
        <w:t xml:space="preserve">4 .تسهيل المقاصد لزوار المساجد، جع،</w:t>
      </w:r>
    </w:p>
    <w:p>
      <w:pPr>
        <w:pStyle w:val="BookText"/>
      </w:pPr>
      <w:r>
        <w:rPr>
          <w:rFonts w:ascii="IRNazanin" w:hAnsi="IRNazanin" w:eastAsia="IRNazanin" w:cs="IRNazanin"/>
          <w:lang w:bidi="fa-IR"/>
          <w:color w:val="111111"/>
          <w:sz w:val="28"/>
          <w:szCs w:val="28"/>
          <w:rtl/>
        </w:rPr>
        <w:t xml:space="preserve">5ص 354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توفيق الحكام على غوامض الأحكام</w:t>
      </w:r>
    </w:p>
    <w:p>
      <w:pPr>
        <w:pStyle w:val="BookText"/>
      </w:pPr>
      <w:r>
        <w:rPr>
          <w:rFonts w:ascii="Amiri" w:hAnsi="Amiri" w:eastAsia="Amiri" w:cs="Amiri"/>
          <w:lang w:bidi="ar-SA"/>
          <w:color w:val="111111"/>
          <w:sz w:val="28"/>
          <w:szCs w:val="28"/>
          <w:rtl/>
        </w:rPr>
        <w:t xml:space="preserve">توقيف الحكام على غوامض</w:t>
      </w:r>
    </w:p>
    <w:p>
      <w:pPr>
        <w:pStyle w:val="BookText"/>
      </w:pPr>
      <w:r>
        <w:rPr>
          <w:rFonts w:ascii="Amiri" w:hAnsi="Amiri" w:eastAsia="Amiri" w:cs="Amiri"/>
          <w:lang w:bidi="ar-SA"/>
          <w:color w:val="111111"/>
          <w:sz w:val="28"/>
          <w:szCs w:val="28"/>
          <w:rtl/>
        </w:rPr>
        <w:t xml:space="preserve">الأحكام، ج 5، ص 185.</w:t>
      </w:r>
    </w:p>
    <w:p>
      <w:pPr>
        <w:pStyle w:val="BookText"/>
      </w:pPr>
      <w:r>
        <w:rPr>
          <w:rFonts w:ascii="IRNazanin" w:hAnsi="IRNazanin" w:eastAsia="IRNazanin" w:cs="IRNazanin"/>
          <w:lang w:bidi="fa-IR"/>
          <w:color w:val="111111"/>
          <w:sz w:val="28"/>
          <w:szCs w:val="28"/>
          <w:rtl/>
        </w:rPr>
        <w:t xml:space="preserve">6.شرح المقصود، ج 10، ص207.</w:t>
      </w:r>
    </w:p>
    <w:p>
      <w:pPr>
        <w:pStyle w:val="BookText"/>
      </w:pPr>
      <w:r>
        <w:rPr>
          <w:rFonts w:ascii="Amiri" w:hAnsi="Amiri" w:eastAsia="Amiri" w:cs="Amiri"/>
          <w:lang w:bidi="ar-SA"/>
          <w:color w:val="111111"/>
          <w:sz w:val="28"/>
          <w:szCs w:val="28"/>
          <w:rtl/>
        </w:rPr>
        <w:t xml:space="preserve">7 .شرح قصيدة البردة، ج 9، ص 847.</w:t>
      </w:r>
    </w:p>
    <w:p>
      <w:pPr>
        <w:pStyle w:val="BookText"/>
      </w:pPr>
      <w:r>
        <w:rPr>
          <w:rFonts w:ascii="Amiri" w:hAnsi="Amiri" w:eastAsia="Amiri" w:cs="Amiri"/>
          <w:lang w:bidi="ar-SA"/>
          <w:color w:val="111111"/>
          <w:sz w:val="28"/>
          <w:szCs w:val="28"/>
          <w:rtl/>
        </w:rPr>
        <w:t xml:space="preserve">8 .شرح كفاية العقاد، ج 10، ص 57.</w:t>
      </w:r>
    </w:p>
    <w:p>
      <w:pPr>
        <w:pStyle w:val="BookText"/>
      </w:pPr>
      <w:r>
        <w:rPr>
          <w:rFonts w:ascii="Amiri" w:hAnsi="Amiri" w:eastAsia="Amiri" w:cs="Amiri"/>
          <w:lang w:bidi="ar-SA"/>
          <w:color w:val="111111"/>
          <w:sz w:val="28"/>
          <w:szCs w:val="28"/>
          <w:rtl/>
        </w:rPr>
        <w:t xml:space="preserve">9 .شكرية المقصود، ج 10، ص 402.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العدد (منظومة في)، ج 11، ص 60.</w:t>
      </w:r>
    </w:p>
    <w:p>
      <w:pPr>
        <w:pStyle w:val="BookText"/>
      </w:pPr>
      <w:r>
        <w:rPr>
          <w:rFonts w:ascii="Amiri" w:hAnsi="Amiri" w:eastAsia="Amiri" w:cs="Amiri"/>
          <w:lang w:bidi="ar-SA"/>
          <w:color w:val="111111"/>
          <w:sz w:val="28"/>
          <w:szCs w:val="28"/>
          <w:rtl/>
        </w:rPr>
        <w:t xml:space="preserve">11 .الفرق بين الحياة المستمرة و الحياة المستقرة، ج 11، ص791.</w:t>
      </w:r>
    </w:p>
    <w:p>
      <w:pPr>
        <w:pStyle w:val="BookText"/>
      </w:pPr>
      <w:r>
        <w:rPr>
          <w:rFonts w:ascii="Amiri" w:hAnsi="Amiri" w:eastAsia="Amiri" w:cs="Amiri"/>
          <w:lang w:bidi="ar-SA"/>
          <w:color w:val="111111"/>
          <w:sz w:val="28"/>
          <w:szCs w:val="28"/>
          <w:rtl/>
        </w:rPr>
        <w:t xml:space="preserve">12 .القول التام في أحكام المأموم و</w:t>
      </w:r>
    </w:p>
    <w:p>
      <w:pPr>
        <w:pStyle w:val="BookText"/>
      </w:pPr>
      <w:r>
        <w:rPr>
          <w:rFonts w:ascii="IRNazanin" w:hAnsi="IRNazanin" w:eastAsia="IRNazanin" w:cs="IRNazanin"/>
          <w:lang w:bidi="fa-IR"/>
          <w:color w:val="111111"/>
          <w:sz w:val="28"/>
          <w:szCs w:val="28"/>
          <w:rtl/>
        </w:rPr>
        <w:t xml:space="preserve">الامام، ج 12، ص 840.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القول التمام في آداب دخول</w:t>
      </w:r>
    </w:p>
    <w:p>
      <w:pPr>
        <w:pStyle w:val="BookText"/>
      </w:pPr>
      <w:r>
        <w:rPr>
          <w:rFonts w:ascii="IRNazanin" w:hAnsi="IRNazanin" w:eastAsia="IRNazanin" w:cs="IRNazanin"/>
          <w:lang w:bidi="fa-IR"/>
          <w:color w:val="111111"/>
          <w:sz w:val="28"/>
          <w:szCs w:val="28"/>
          <w:rtl/>
        </w:rPr>
        <w:t xml:space="preserve">الحمام، ج 12، ص 841</w:t>
      </w:r>
    </w:p>
    <w:p>
      <w:pPr>
        <w:pStyle w:val="BookText"/>
      </w:pPr>
      <w:r>
        <w:rPr>
          <w:rFonts w:ascii="Amiri" w:hAnsi="Amiri" w:eastAsia="Amiri" w:cs="Amiri"/>
          <w:lang w:bidi="ar-SA"/>
          <w:color w:val="111111"/>
          <w:sz w:val="28"/>
          <w:szCs w:val="28"/>
          <w:rtl/>
        </w:rPr>
        <w:t xml:space="preserve">14 .كشف الاسرار عما خفي عن غوامض (فهم) الافكار، ج13،</w:t>
      </w:r>
    </w:p>
    <w:p>
      <w:pPr>
        <w:pStyle w:val="BookText"/>
      </w:pPr>
      <w:r>
        <w:rPr>
          <w:rFonts w:ascii="IRNazanin" w:hAnsi="IRNazanin" w:eastAsia="IRNazanin" w:cs="IRNazanin"/>
          <w:lang w:bidi="fa-IR"/>
          <w:color w:val="111111"/>
          <w:sz w:val="28"/>
          <w:szCs w:val="28"/>
          <w:rtl/>
        </w:rPr>
        <w:t xml:space="preserve">ص 185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النجاسات المعفو عنها في الصلاة</w:t>
      </w:r>
    </w:p>
    <w:p>
      <w:pPr>
        <w:pStyle w:val="BookText"/>
      </w:pPr>
      <w:r>
        <w:rPr>
          <w:rFonts w:ascii="Amiri" w:hAnsi="Amiri" w:eastAsia="Amiri" w:cs="Amiri"/>
          <w:lang w:bidi="ar-SA"/>
          <w:color w:val="111111"/>
          <w:sz w:val="28"/>
          <w:szCs w:val="28"/>
          <w:rtl/>
        </w:rPr>
        <w:t xml:space="preserve">(ارجوزة في)، ج 16، ص 153.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النجاسات المعفو عنها لزوار المساجد، ج 16، ص 154 .</w:t>
      </w:r>
    </w:p>
    <w:p>
      <w:pPr>
        <w:pStyle w:val="Heading2"/>
      </w:pPr>
      <w:bookmarkStart w:id="2352" w:name="_Toc1454"/>
      <w:r>
        <w:t>اقفهسي، عبد الرحمن بن علي - 860 ه-</w:t>
      </w:r>
      <w:bookmarkEnd w:id="2352"/>
    </w:p>
    <w:p>
      <w:pPr>
        <w:pStyle w:val="BookText"/>
      </w:pPr>
      <w:r>
        <w:rPr>
          <w:rFonts w:ascii="Amiri" w:hAnsi="Amiri" w:eastAsia="Amiri" w:cs="Amiri"/>
          <w:lang w:bidi="ar-SA"/>
          <w:color w:val="111111"/>
          <w:sz w:val="28"/>
          <w:szCs w:val="28"/>
          <w:rtl/>
        </w:rPr>
        <w:t xml:space="preserve">1 .الامثلة الظاهرة من حساب ربع</w:t>
      </w:r>
    </w:p>
    <w:p>
      <w:pPr>
        <w:pStyle w:val="BookText"/>
      </w:pPr>
      <w:r>
        <w:rPr>
          <w:rFonts w:ascii="Amiri" w:hAnsi="Amiri" w:eastAsia="Amiri" w:cs="Amiri"/>
          <w:lang w:bidi="ar-SA"/>
          <w:color w:val="111111"/>
          <w:sz w:val="28"/>
          <w:szCs w:val="28"/>
          <w:rtl/>
        </w:rPr>
        <w:t xml:space="preserve">الدائرة، ج 2، ص 753 .</w:t>
      </w:r>
    </w:p>
    <w:p>
      <w:pPr>
        <w:pStyle w:val="BookText"/>
      </w:pPr>
      <w:r>
        <w:rPr>
          <w:rFonts w:ascii="Amiri" w:hAnsi="Amiri" w:eastAsia="Amiri" w:cs="Amiri"/>
          <w:lang w:bidi="ar-SA"/>
          <w:color w:val="111111"/>
          <w:sz w:val="28"/>
          <w:szCs w:val="28"/>
          <w:rtl/>
        </w:rPr>
        <w:t xml:space="preserve">2 .الجوهر المكنون في الحساب المصون، ج 5، ص 625.</w:t>
      </w:r>
    </w:p>
    <w:p>
      <w:pPr>
        <w:pStyle w:val="BookText"/>
      </w:pPr>
      <w:r>
        <w:rPr>
          <w:rFonts w:ascii="Amiri" w:hAnsi="Amiri" w:eastAsia="Amiri" w:cs="Amiri"/>
          <w:lang w:bidi="ar-SA"/>
          <w:color w:val="111111"/>
          <w:sz w:val="28"/>
          <w:szCs w:val="28"/>
          <w:rtl/>
        </w:rPr>
        <w:t xml:space="preserve">اقفهسي ، محمّد بن احمد بن عماد- ابن</w:t>
      </w:r>
    </w:p>
    <w:p>
      <w:pPr>
        <w:pStyle w:val="BookText"/>
      </w:pPr>
      <w:r>
        <w:rPr>
          <w:rFonts w:ascii="IRNazanin" w:hAnsi="IRNazanin" w:eastAsia="IRNazanin" w:cs="IRNazanin"/>
          <w:lang w:bidi="fa-IR"/>
          <w:color w:val="111111"/>
          <w:sz w:val="28"/>
          <w:szCs w:val="28"/>
          <w:rtl/>
        </w:rPr>
        <w:t xml:space="preserve">العماد ، محمّد بن احمد</w:t>
      </w:r>
    </w:p>
    <w:p>
      <w:pPr>
        <w:pStyle w:val="Heading2"/>
      </w:pPr>
      <w:bookmarkStart w:id="2353" w:name="_Toc1455"/>
      <w:r>
        <w:t>اقليشي ، احمد بن معد - 550 ؟ ه-</w:t>
      </w:r>
      <w:bookmarkEnd w:id="2353"/>
    </w:p>
    <w:p>
      <w:pPr>
        <w:pStyle w:val="BookText"/>
      </w:pPr>
      <w:r>
        <w:rPr>
          <w:rFonts w:ascii="Amiri" w:hAnsi="Amiri" w:eastAsia="Amiri" w:cs="Amiri"/>
          <w:lang w:bidi="ar-SA"/>
          <w:color w:val="111111"/>
          <w:sz w:val="28"/>
          <w:szCs w:val="28"/>
          <w:rtl/>
        </w:rPr>
        <w:t xml:space="preserve">1 .انوار الاذكار المختصة بفضل الصلاة على النبي المختار، ج 2، ص 840.</w:t>
      </w:r>
    </w:p>
    <w:p>
      <w:pPr>
        <w:pStyle w:val="BookText"/>
      </w:pPr>
      <w:r>
        <w:rPr>
          <w:rFonts w:ascii="Amiri" w:hAnsi="Amiri" w:eastAsia="Amiri" w:cs="Amiri"/>
          <w:lang w:bidi="ar-SA"/>
          <w:color w:val="111111"/>
          <w:sz w:val="28"/>
          <w:szCs w:val="28"/>
          <w:rtl/>
        </w:rPr>
        <w:t xml:space="preserve">2 .الدر المنظوم فيما يزيل الغموم</w:t>
      </w:r>
    </w:p>
    <w:p>
      <w:pPr>
        <w:pStyle w:val="BookText"/>
      </w:pPr>
      <w:r>
        <w:rPr>
          <w:rFonts w:ascii="IRNazanin" w:hAnsi="IRNazanin" w:eastAsia="IRNazanin" w:cs="IRNazanin"/>
          <w:lang w:bidi="fa-IR"/>
          <w:color w:val="111111"/>
          <w:sz w:val="28"/>
          <w:szCs w:val="28"/>
          <w:rtl/>
        </w:rPr>
        <w:t xml:space="preserve">الهموم، ج 7، ص 354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الكوكب الدري المستخرج من</w:t>
      </w:r>
    </w:p>
    <w:p>
      <w:pPr>
        <w:pStyle w:val="BookText"/>
      </w:pPr>
      <w:r>
        <w:rPr>
          <w:rFonts w:ascii="Amiri" w:hAnsi="Amiri" w:eastAsia="Amiri" w:cs="Amiri"/>
          <w:lang w:bidi="ar-SA"/>
          <w:color w:val="111111"/>
          <w:sz w:val="28"/>
          <w:szCs w:val="28"/>
          <w:rtl/>
        </w:rPr>
        <w:t xml:space="preserve">النبي، ج 13، ص 470.</w:t>
      </w:r>
    </w:p>
    <w:p>
      <w:pPr>
        <w:pStyle w:val="BookText"/>
      </w:pPr>
      <w:r>
        <w:rPr>
          <w:rFonts w:ascii="Amiri" w:hAnsi="Amiri" w:eastAsia="Amiri" w:cs="Amiri"/>
          <w:lang w:bidi="ar-SA"/>
          <w:color w:val="111111"/>
          <w:sz w:val="28"/>
          <w:szCs w:val="28"/>
          <w:rtl/>
        </w:rPr>
        <w:t xml:space="preserve">4 .النجم من كلم سيد العرب و</w:t>
      </w:r>
    </w:p>
    <w:p>
      <w:pPr>
        <w:pStyle w:val="BookText"/>
      </w:pPr>
      <w:r>
        <w:rPr>
          <w:rFonts w:ascii="IRNazanin" w:hAnsi="IRNazanin" w:eastAsia="IRNazanin" w:cs="IRNazanin"/>
          <w:lang w:bidi="fa-IR"/>
          <w:color w:val="111111"/>
          <w:sz w:val="28"/>
          <w:szCs w:val="28"/>
          <w:rtl/>
        </w:rPr>
        <w:t xml:space="preserve">العجم، ج 16، ص 158.</w:t>
      </w:r>
    </w:p>
    <w:p>
      <w:pPr>
        <w:pStyle w:val="BookText"/>
      </w:pPr>
      <w:r>
        <w:rPr>
          <w:rFonts w:ascii="IRNazanin" w:hAnsi="IRNazanin" w:eastAsia="IRNazanin" w:cs="IRNazanin"/>
          <w:lang w:bidi="fa-IR"/>
          <w:color w:val="111111"/>
          <w:sz w:val="28"/>
          <w:szCs w:val="28"/>
          <w:rtl/>
        </w:rPr>
        <w:t xml:space="preserve">اقلیمیس یوسف داود -یوسف داود ،</w:t>
      </w:r>
    </w:p>
    <w:p>
      <w:pPr>
        <w:pStyle w:val="BookText"/>
      </w:pPr>
      <w:r>
        <w:rPr>
          <w:rFonts w:ascii="IRNazanin" w:hAnsi="IRNazanin" w:eastAsia="IRNazanin" w:cs="IRNazanin"/>
          <w:lang w:bidi="fa-IR"/>
          <w:color w:val="111111"/>
          <w:sz w:val="28"/>
          <w:szCs w:val="28"/>
          <w:rtl/>
        </w:rPr>
        <w:t xml:space="preserve">اقلیمیس</w:t>
      </w:r>
    </w:p>
    <w:p>
      <w:pPr>
        <w:pStyle w:val="BookText"/>
      </w:pPr>
      <w:r>
        <w:rPr>
          <w:rFonts w:ascii="Amiri" w:hAnsi="Amiri" w:eastAsia="Amiri" w:cs="Amiri"/>
          <w:lang w:bidi="ar-SA"/>
          <w:color w:val="111111"/>
          <w:sz w:val="28"/>
          <w:szCs w:val="28"/>
          <w:rtl/>
        </w:rPr>
        <w:t xml:space="preserve">اقناطيوس افرام الاول- مار افناطيوس</w:t>
      </w:r>
    </w:p>
    <w:p>
      <w:pPr>
        <w:pStyle w:val="BookText"/>
      </w:pPr>
      <w:r>
        <w:rPr>
          <w:rFonts w:ascii="IRNazanin" w:hAnsi="IRNazanin" w:eastAsia="IRNazanin" w:cs="IRNazanin"/>
          <w:lang w:bidi="fa-IR"/>
          <w:color w:val="111111"/>
          <w:sz w:val="28"/>
          <w:szCs w:val="28"/>
          <w:rtl/>
        </w:rPr>
        <w:t xml:space="preserve">افرام الاول</w:t>
      </w:r>
    </w:p>
    <w:p>
      <w:pPr>
        <w:pStyle w:val="BookText"/>
      </w:pPr>
      <w:r>
        <w:rPr>
          <w:rFonts w:ascii="Amiri" w:hAnsi="Amiri" w:eastAsia="Amiri" w:cs="Amiri"/>
          <w:lang w:bidi="ar-SA"/>
          <w:color w:val="111111"/>
          <w:sz w:val="28"/>
          <w:szCs w:val="28"/>
          <w:rtl/>
        </w:rPr>
        <w:t xml:space="preserve">كلام</w:t>
      </w:r>
    </w:p>
    <w:p>
      <w:pPr>
        <w:pStyle w:val="Heading2"/>
      </w:pPr>
      <w:bookmarkStart w:id="2354" w:name="_Toc1456"/>
      <w:r>
        <w:t>اکبرآبادي ، غلام امام - 1214 ه-</w:t>
      </w:r>
      <w:bookmarkEnd w:id="2354"/>
    </w:p>
    <w:p>
      <w:pPr>
        <w:pStyle w:val="BookText"/>
      </w:pPr>
      <w:r>
        <w:rPr>
          <w:rFonts w:ascii="Amiri" w:hAnsi="Amiri" w:eastAsia="Amiri" w:cs="Amiri"/>
          <w:lang w:bidi="ar-SA"/>
          <w:color w:val="111111"/>
          <w:sz w:val="28"/>
          <w:szCs w:val="28"/>
          <w:rtl/>
        </w:rPr>
        <w:t xml:space="preserve">معالجات هندي = مجربات امامي</w:t>
      </w:r>
    </w:p>
    <w:p>
      <w:pPr>
        <w:pStyle w:val="BookText"/>
      </w:pPr>
      <w:r>
        <w:rPr>
          <w:rFonts w:ascii="IRNazanin" w:hAnsi="IRNazanin" w:eastAsia="IRNazanin" w:cs="IRNazanin"/>
          <w:lang w:bidi="fa-IR"/>
          <w:color w:val="111111"/>
          <w:sz w:val="28"/>
          <w:szCs w:val="28"/>
          <w:rtl/>
        </w:rPr>
        <w:t xml:space="preserve">ج 14، ص 853.</w:t>
      </w:r>
    </w:p>
    <w:p>
      <w:pPr>
        <w:pStyle w:val="Heading2"/>
      </w:pPr>
      <w:bookmarkStart w:id="2355" w:name="_Toc1457"/>
      <w:r>
        <w:t>اکبرآبادي محمّد منعم بن منور قرن 11ه-</w:t>
      </w:r>
      <w:bookmarkEnd w:id="2355"/>
    </w:p>
    <w:p>
      <w:pPr>
        <w:pStyle w:val="BookText"/>
      </w:pPr>
      <w:r>
        <w:rPr>
          <w:rFonts w:ascii="IRNazanin" w:hAnsi="IRNazanin" w:eastAsia="IRNazanin" w:cs="IRNazanin"/>
          <w:lang w:bidi="fa-IR"/>
          <w:color w:val="111111"/>
          <w:sz w:val="28"/>
          <w:szCs w:val="28"/>
          <w:rtl/>
        </w:rPr>
        <w:t xml:space="preserve">مفتاح الاستخراج = مصباح الاستخراج</w:t>
      </w:r>
    </w:p>
    <w:p>
      <w:pPr>
        <w:pStyle w:val="BookText"/>
      </w:pPr>
      <w:r>
        <w:rPr>
          <w:rFonts w:ascii="IRNazanin" w:hAnsi="IRNazanin" w:eastAsia="IRNazanin" w:cs="IRNazanin"/>
          <w:lang w:bidi="fa-IR"/>
          <w:color w:val="111111"/>
          <w:sz w:val="28"/>
          <w:szCs w:val="28"/>
          <w:rtl/>
        </w:rPr>
        <w:t xml:space="preserve">ج 15، ص 183.</w:t>
      </w:r>
    </w:p>
    <w:p>
      <w:pPr>
        <w:pStyle w:val="Heading2"/>
      </w:pPr>
      <w:bookmarkStart w:id="2356" w:name="_Toc1458"/>
      <w:r>
        <w:t>اکبر ادوسا ، زین الدین</w:t>
      </w:r>
      <w:bookmarkEnd w:id="2356"/>
    </w:p>
    <w:p>
      <w:pPr>
        <w:pStyle w:val="BookText"/>
      </w:pPr>
      <w:r>
        <w:rPr>
          <w:rFonts w:ascii="Amiri" w:hAnsi="Amiri" w:eastAsia="Amiri" w:cs="Amiri"/>
          <w:lang w:bidi="ar-SA"/>
          <w:color w:val="111111"/>
          <w:sz w:val="28"/>
          <w:szCs w:val="28"/>
          <w:rtl/>
        </w:rPr>
        <w:t xml:space="preserve">جهة الوحدة (رسالة في)، ج 5، ص 481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3" w:name="pg7742_69809"/>
    <w:bookmarkEnd w:id="213"/>
    <w:p>
      <w:pPr>
        <w:pStyle w:val="BookText"/>
      </w:pPr>
      <w:r>
        <w:rPr>
          <w:rFonts w:ascii="IRNazanin" w:hAnsi="IRNazanin" w:eastAsia="IRNazanin" w:cs="IRNazanin"/>
          <w:lang w:bidi="fa-IR"/>
          <w:color w:val="111111"/>
          <w:sz w:val="28"/>
          <w:szCs w:val="28"/>
          <w:rtl/>
        </w:rPr>
        <w:t xml:space="preserve">اکرم عبد الوهاب محمّد امین آل ملا يوسف- آل ملا يوسف ، اكرم عبد الوهاب</w:t>
      </w:r>
    </w:p>
    <w:p>
      <w:pPr>
        <w:pStyle w:val="BookText"/>
      </w:pPr>
      <w:r>
        <w:rPr>
          <w:rFonts w:ascii="Amiri" w:hAnsi="Amiri" w:eastAsia="Amiri" w:cs="Amiri"/>
          <w:lang w:bidi="ar-SA"/>
          <w:color w:val="111111"/>
          <w:sz w:val="28"/>
          <w:szCs w:val="28"/>
          <w:rtl/>
        </w:rPr>
        <w:t xml:space="preserve">محمّد امین</w:t>
      </w:r>
    </w:p>
    <w:p>
      <w:pPr>
        <w:pStyle w:val="BookText"/>
      </w:pPr>
      <w:r>
        <w:rPr>
          <w:rFonts w:ascii="Amiri" w:hAnsi="Amiri" w:eastAsia="Amiri" w:cs="Amiri"/>
          <w:lang w:bidi="ar-SA"/>
          <w:color w:val="111111"/>
          <w:sz w:val="28"/>
          <w:szCs w:val="28"/>
          <w:rtl/>
        </w:rPr>
        <w:t xml:space="preserve">اكمل الدين بايوردي -بايوردي ، اكمل</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اكمل الدين حنفي- بايوردي ، اكمل الدين</w:t>
      </w:r>
    </w:p>
    <w:p>
      <w:pPr>
        <w:pStyle w:val="Heading2"/>
      </w:pPr>
      <w:bookmarkStart w:id="2357" w:name="_Toc1459"/>
      <w:r>
        <w:t>اكيني ، ابراهيم بن خليل</w:t>
      </w:r>
      <w:bookmarkEnd w:id="2357"/>
    </w:p>
    <w:p>
      <w:pPr>
        <w:pStyle w:val="BookText"/>
      </w:pPr>
      <w:r>
        <w:rPr>
          <w:rFonts w:ascii="Amiri" w:hAnsi="Amiri" w:eastAsia="Amiri" w:cs="Amiri"/>
          <w:lang w:bidi="ar-SA"/>
          <w:color w:val="111111"/>
          <w:sz w:val="28"/>
          <w:szCs w:val="28"/>
          <w:rtl/>
        </w:rPr>
        <w:t xml:space="preserve">علم الوضع (رسالة في)، ج11، ص 269.</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2358" w:name="_Toc1460"/>
      <w:r>
        <w:t>الاب البادري بوناونتور قرن 17 م</w:t>
      </w:r>
      <w:bookmarkEnd w:id="2358"/>
    </w:p>
    <w:p>
      <w:pPr>
        <w:pStyle w:val="BookText"/>
      </w:pPr>
      <w:r>
        <w:rPr>
          <w:rFonts w:ascii="Amiri" w:hAnsi="Amiri" w:eastAsia="Amiri" w:cs="Amiri"/>
          <w:lang w:bidi="ar-SA"/>
          <w:color w:val="111111"/>
          <w:sz w:val="28"/>
          <w:szCs w:val="28"/>
          <w:rtl/>
        </w:rPr>
        <w:t xml:space="preserve">شرح مختصر في بعض قواعد الامانة</w:t>
      </w:r>
    </w:p>
    <w:p>
      <w:pPr>
        <w:pStyle w:val="BookText"/>
      </w:pPr>
      <w:r>
        <w:rPr>
          <w:rFonts w:ascii="Amiri" w:hAnsi="Amiri" w:eastAsia="Amiri" w:cs="Amiri"/>
          <w:lang w:bidi="ar-SA"/>
          <w:color w:val="111111"/>
          <w:sz w:val="28"/>
          <w:szCs w:val="28"/>
          <w:rtl/>
        </w:rPr>
        <w:t xml:space="preserve">المسيحية، ج 10، ص118.</w:t>
      </w:r>
    </w:p>
    <w:p>
      <w:pPr>
        <w:pStyle w:val="Heading2"/>
      </w:pPr>
      <w:bookmarkStart w:id="2359" w:name="_Toc1461"/>
      <w:r>
        <w:t>الاي ، بكر بن محمّد قرن 12 ه-</w:t>
      </w:r>
      <w:bookmarkEnd w:id="2359"/>
    </w:p>
    <w:p>
      <w:pPr>
        <w:pStyle w:val="BookText"/>
      </w:pPr>
      <w:r>
        <w:rPr>
          <w:rFonts w:ascii="Amiri" w:hAnsi="Amiri" w:eastAsia="Amiri" w:cs="Amiri"/>
          <w:lang w:bidi="ar-SA"/>
          <w:color w:val="111111"/>
          <w:sz w:val="28"/>
          <w:szCs w:val="28"/>
          <w:rtl/>
        </w:rPr>
        <w:t xml:space="preserve">تصنيف الاصناف في المواريث ج4، ص422.</w:t>
      </w:r>
    </w:p>
    <w:p>
      <w:pPr>
        <w:pStyle w:val="Heading2"/>
      </w:pPr>
      <w:bookmarkStart w:id="2360" w:name="_Toc1462"/>
      <w:r>
        <w:t>الباني ، محمّد باقر بن محمود قرن 11 ه-</w:t>
      </w:r>
      <w:bookmarkEnd w:id="2360"/>
    </w:p>
    <w:p>
      <w:pPr>
        <w:pStyle w:val="BookText"/>
      </w:pPr>
      <w:r>
        <w:rPr>
          <w:rFonts w:ascii="Amiri" w:hAnsi="Amiri" w:eastAsia="Amiri" w:cs="Amiri"/>
          <w:lang w:bidi="ar-SA"/>
          <w:color w:val="111111"/>
          <w:sz w:val="28"/>
          <w:szCs w:val="28"/>
          <w:rtl/>
        </w:rPr>
        <w:t xml:space="preserve">معراج الادراك في شرح تشريح الافلاك</w:t>
      </w:r>
    </w:p>
    <w:p>
      <w:pPr>
        <w:pStyle w:val="BookText"/>
      </w:pPr>
      <w:r>
        <w:rPr>
          <w:rFonts w:ascii="IRNazanin" w:hAnsi="IRNazanin" w:eastAsia="IRNazanin" w:cs="IRNazanin"/>
          <w:lang w:bidi="fa-IR"/>
          <w:color w:val="111111"/>
          <w:sz w:val="28"/>
          <w:szCs w:val="28"/>
          <w:rtl/>
        </w:rPr>
        <w:t xml:space="preserve">ج 15 ، ص 28.</w:t>
      </w:r>
    </w:p>
    <w:p>
      <w:pPr>
        <w:pStyle w:val="Heading2"/>
      </w:pPr>
      <w:bookmarkStart w:id="2361" w:name="_Toc1463"/>
      <w:r>
        <w:t>الباني ، محمّد بن محمّد مؤمن قرن 13 ه-</w:t>
      </w:r>
      <w:bookmarkEnd w:id="2361"/>
    </w:p>
    <w:p>
      <w:pPr>
        <w:pStyle w:val="BookText"/>
      </w:pPr>
      <w:r>
        <w:rPr>
          <w:rFonts w:ascii="IRNazanin" w:hAnsi="IRNazanin" w:eastAsia="IRNazanin" w:cs="IRNazanin"/>
          <w:lang w:bidi="fa-IR"/>
          <w:color w:val="111111"/>
          <w:sz w:val="28"/>
          <w:szCs w:val="28"/>
          <w:rtl/>
        </w:rPr>
        <w:t xml:space="preserve">العقائد، ج 11، ص 135.</w:t>
      </w:r>
    </w:p>
    <w:p>
      <w:pPr>
        <w:pStyle w:val="Heading2"/>
      </w:pPr>
      <w:bookmarkStart w:id="2362" w:name="_Toc1464"/>
      <w:r>
        <w:t>البتي ، احمد بن عبدالعزيز</w:t>
      </w:r>
      <w:bookmarkEnd w:id="2362"/>
    </w:p>
    <w:p>
      <w:pPr>
        <w:pStyle w:val="BookText"/>
      </w:pPr>
      <w:r>
        <w:rPr>
          <w:rFonts w:ascii="Amiri" w:hAnsi="Amiri" w:eastAsia="Amiri" w:cs="Amiri"/>
          <w:lang w:bidi="ar-SA"/>
          <w:color w:val="111111"/>
          <w:sz w:val="28"/>
          <w:szCs w:val="28"/>
          <w:rtl/>
        </w:rPr>
        <w:t xml:space="preserve">تذكرة الالباب باصول الانساب، ج 4</w:t>
      </w:r>
    </w:p>
    <w:p>
      <w:pPr>
        <w:pStyle w:val="BookText"/>
      </w:pPr>
      <w:r>
        <w:rPr>
          <w:rFonts w:ascii="IRNazanin" w:hAnsi="IRNazanin" w:eastAsia="IRNazanin" w:cs="IRNazanin"/>
          <w:lang w:bidi="fa-IR"/>
          <w:color w:val="111111"/>
          <w:sz w:val="28"/>
          <w:szCs w:val="28"/>
          <w:rtl/>
        </w:rPr>
        <w:t xml:space="preserve">ص 178</w:t>
      </w:r>
    </w:p>
    <w:p>
      <w:pPr>
        <w:pStyle w:val="Heading2"/>
      </w:pPr>
      <w:bookmarkStart w:id="2363" w:name="_Toc1465"/>
      <w:r>
        <w:t>الغ بيك ، محمّد بن شاهرخ، 796-853ه-</w:t>
      </w:r>
      <w:bookmarkEnd w:id="2363"/>
    </w:p>
    <w:p>
      <w:pPr>
        <w:pStyle w:val="BookText"/>
      </w:pPr>
      <w:r>
        <w:rPr>
          <w:rFonts w:ascii="Amiri" w:hAnsi="Amiri" w:eastAsia="Amiri" w:cs="Amiri"/>
          <w:lang w:bidi="ar-SA"/>
          <w:color w:val="111111"/>
          <w:sz w:val="28"/>
          <w:szCs w:val="28"/>
          <w:rtl/>
        </w:rPr>
        <w:t xml:space="preserve">1 .حاشية الرسالة السمرقندية، ج5،</w:t>
      </w:r>
    </w:p>
    <w:p>
      <w:pPr>
        <w:pStyle w:val="BookText"/>
      </w:pPr>
      <w:r>
        <w:rPr>
          <w:rFonts w:ascii="IRNazanin" w:hAnsi="IRNazanin" w:eastAsia="IRNazanin" w:cs="IRNazanin"/>
          <w:lang w:bidi="fa-IR"/>
          <w:color w:val="111111"/>
          <w:sz w:val="28"/>
          <w:szCs w:val="28"/>
          <w:rtl/>
        </w:rPr>
        <w:t xml:space="preserve">ص 874.</w:t>
      </w:r>
    </w:p>
    <w:p>
      <w:pPr>
        <w:pStyle w:val="BookText"/>
      </w:pPr>
      <w:r>
        <w:rPr>
          <w:rFonts w:ascii="Amiri" w:hAnsi="Amiri" w:eastAsia="Amiri" w:cs="Amiri"/>
          <w:lang w:bidi="ar-SA"/>
          <w:color w:val="111111"/>
          <w:sz w:val="28"/>
          <w:szCs w:val="28"/>
          <w:rtl/>
        </w:rPr>
        <w:t xml:space="preserve">2 .حاشية شرح آداب البحث السمرقندية، ج 6 ، ص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زيج الغ بيك = زيج كوركاني - زيج</w:t>
      </w:r>
    </w:p>
    <w:p>
      <w:pPr>
        <w:pStyle w:val="BookText"/>
      </w:pPr>
      <w:r>
        <w:rPr>
          <w:rFonts w:ascii="IRNazanin" w:hAnsi="IRNazanin" w:eastAsia="IRNazanin" w:cs="IRNazanin"/>
          <w:lang w:bidi="fa-IR"/>
          <w:color w:val="111111"/>
          <w:sz w:val="28"/>
          <w:szCs w:val="28"/>
          <w:rtl/>
        </w:rPr>
        <w:t xml:space="preserve">جدید سلطاني، ج8، ص 655.</w:t>
      </w:r>
    </w:p>
    <w:p>
      <w:pPr>
        <w:pStyle w:val="BookText"/>
      </w:pPr>
      <w:r>
        <w:rPr>
          <w:rFonts w:ascii="Amiri" w:hAnsi="Amiri" w:eastAsia="Amiri" w:cs="Amiri"/>
          <w:lang w:bidi="ar-SA"/>
          <w:color w:val="111111"/>
          <w:sz w:val="28"/>
          <w:szCs w:val="28"/>
          <w:rtl/>
        </w:rPr>
        <w:t xml:space="preserve">الف هاشم ، محمّد بن احمد -فوتي محمّد بن احمد</w:t>
      </w:r>
    </w:p>
    <w:p>
      <w:pPr>
        <w:pStyle w:val="BookText"/>
      </w:pPr>
      <w:r>
        <w:rPr>
          <w:rFonts w:ascii="Amiri" w:hAnsi="Amiri" w:eastAsia="Amiri" w:cs="Amiri"/>
          <w:lang w:bidi="ar-SA"/>
          <w:color w:val="111111"/>
          <w:sz w:val="28"/>
          <w:szCs w:val="28"/>
          <w:rtl/>
        </w:rPr>
        <w:t xml:space="preserve">الفتي تبريزي ، حسين بن احمد- خالدي ،</w:t>
      </w:r>
    </w:p>
    <w:p>
      <w:pPr>
        <w:pStyle w:val="BookText"/>
      </w:pPr>
      <w:r>
        <w:rPr>
          <w:rFonts w:ascii="Amiri" w:hAnsi="Amiri" w:eastAsia="Amiri" w:cs="Amiri"/>
          <w:lang w:bidi="ar-SA"/>
          <w:color w:val="111111"/>
          <w:sz w:val="28"/>
          <w:szCs w:val="28"/>
          <w:rtl/>
        </w:rPr>
        <w:t xml:space="preserve">حسين بن احمد</w:t>
      </w:r>
    </w:p>
    <w:p>
      <w:pPr>
        <w:pStyle w:val="Heading2"/>
      </w:pPr>
      <w:bookmarkStart w:id="2364" w:name="_Toc1466"/>
      <w:r>
        <w:t>القس استیفانوس قرن 18 م</w:t>
      </w:r>
      <w:bookmarkEnd w:id="2364"/>
    </w:p>
    <w:p>
      <w:pPr>
        <w:pStyle w:val="BookText"/>
      </w:pPr>
      <w:r>
        <w:rPr>
          <w:rFonts w:ascii="Amiri" w:hAnsi="Amiri" w:eastAsia="Amiri" w:cs="Amiri"/>
          <w:lang w:bidi="ar-SA"/>
          <w:color w:val="111111"/>
          <w:sz w:val="28"/>
          <w:szCs w:val="28"/>
          <w:rtl/>
        </w:rPr>
        <w:t xml:space="preserve">مواعظ الانبا بولس سنيري اليسوعي</w:t>
      </w:r>
    </w:p>
    <w:p>
      <w:pPr>
        <w:pStyle w:val="BookText"/>
      </w:pPr>
      <w:r>
        <w:rPr>
          <w:rFonts w:ascii="IRNazanin" w:hAnsi="IRNazanin" w:eastAsia="IRNazanin" w:cs="IRNazanin"/>
          <w:lang w:bidi="fa-IR"/>
          <w:color w:val="111111"/>
          <w:sz w:val="28"/>
          <w:szCs w:val="28"/>
          <w:rtl/>
        </w:rPr>
        <w:t xml:space="preserve">ج 15، ص 869.</w:t>
      </w:r>
    </w:p>
    <w:p>
      <w:pPr>
        <w:pStyle w:val="BookText"/>
      </w:pPr>
      <w:r>
        <w:rPr>
          <w:rFonts w:ascii="Amiri" w:hAnsi="Amiri" w:eastAsia="Amiri" w:cs="Amiri"/>
          <w:lang w:bidi="ar-SA"/>
          <w:color w:val="111111"/>
          <w:sz w:val="28"/>
          <w:szCs w:val="28"/>
          <w:rtl/>
        </w:rPr>
        <w:t xml:space="preserve">القس اسحاق بعشيقي -بعشيقي ، القس</w:t>
      </w:r>
    </w:p>
    <w:p>
      <w:pPr>
        <w:pStyle w:val="BookText"/>
      </w:pPr>
      <w:r>
        <w:rPr>
          <w:rFonts w:ascii="IRNazanin" w:hAnsi="IRNazanin" w:eastAsia="IRNazanin" w:cs="IRNazanin"/>
          <w:lang w:bidi="fa-IR"/>
          <w:color w:val="111111"/>
          <w:sz w:val="28"/>
          <w:szCs w:val="28"/>
          <w:rtl/>
        </w:rPr>
        <w:t xml:space="preserve">اسحاق</w:t>
      </w:r>
    </w:p>
    <w:p>
      <w:pPr>
        <w:pStyle w:val="BookText"/>
      </w:pPr>
      <w:r>
        <w:rPr>
          <w:rFonts w:ascii="Amiri" w:hAnsi="Amiri" w:eastAsia="Amiri" w:cs="Amiri"/>
          <w:lang w:bidi="ar-SA"/>
          <w:color w:val="111111"/>
          <w:sz w:val="28"/>
          <w:szCs w:val="28"/>
          <w:rtl/>
        </w:rPr>
        <w:t xml:space="preserve">القس اوراها شكوانا -اوراها شكوانا ،</w:t>
      </w:r>
    </w:p>
    <w:p>
      <w:pPr>
        <w:pStyle w:val="BookText"/>
      </w:pPr>
      <w:r>
        <w:rPr>
          <w:rFonts w:ascii="IRNazanin" w:hAnsi="IRNazanin" w:eastAsia="IRNazanin" w:cs="IRNazanin"/>
          <w:lang w:bidi="fa-IR"/>
          <w:color w:val="111111"/>
          <w:sz w:val="28"/>
          <w:szCs w:val="28"/>
          <w:rtl/>
        </w:rPr>
        <w:t xml:space="preserve">القس</w:t>
      </w:r>
    </w:p>
    <w:p>
      <w:pPr>
        <w:pStyle w:val="BookText"/>
      </w:pPr>
      <w:r>
        <w:rPr>
          <w:rFonts w:ascii="Amiri" w:hAnsi="Amiri" w:eastAsia="Amiri" w:cs="Amiri"/>
          <w:lang w:bidi="ar-SA"/>
          <w:color w:val="111111"/>
          <w:sz w:val="28"/>
          <w:szCs w:val="28"/>
          <w:rtl/>
        </w:rPr>
        <w:t xml:space="preserve">القس بطرس نصري - نصري ، القس بطرس</w:t>
      </w:r>
    </w:p>
    <w:p>
      <w:pPr>
        <w:pStyle w:val="Heading2"/>
      </w:pPr>
      <w:bookmarkStart w:id="2365" w:name="_Toc1467"/>
      <w:r>
        <w:t>القس بهنام بدرية</w:t>
      </w:r>
      <w:bookmarkEnd w:id="2365"/>
    </w:p>
    <w:p>
      <w:pPr>
        <w:pStyle w:val="BookText"/>
      </w:pPr>
      <w:r>
        <w:rPr>
          <w:rFonts w:ascii="Amiri" w:hAnsi="Amiri" w:eastAsia="Amiri" w:cs="Amiri"/>
          <w:lang w:bidi="ar-SA"/>
          <w:color w:val="111111"/>
          <w:sz w:val="28"/>
          <w:szCs w:val="28"/>
          <w:rtl/>
        </w:rPr>
        <w:t xml:space="preserve">صفوة العربية في اللغة العربية، ج10،</w:t>
      </w:r>
    </w:p>
    <w:p>
      <w:pPr>
        <w:pStyle w:val="BookText"/>
      </w:pPr>
      <w:r>
        <w:rPr>
          <w:rFonts w:ascii="IRNazanin" w:hAnsi="IRNazanin" w:eastAsia="IRNazanin" w:cs="IRNazanin"/>
          <w:lang w:bidi="fa-IR"/>
          <w:color w:val="111111"/>
          <w:sz w:val="28"/>
          <w:szCs w:val="28"/>
          <w:rtl/>
        </w:rPr>
        <w:t xml:space="preserve">ص 575</w:t>
      </w:r>
    </w:p>
    <w:p>
      <w:pPr>
        <w:pStyle w:val="Heading2"/>
      </w:pPr>
      <w:bookmarkStart w:id="2366" w:name="_Toc1468"/>
      <w:r>
        <w:t>القس يواكيم ،راهب قرن 18م</w:t>
      </w:r>
      <w:bookmarkEnd w:id="2366"/>
    </w:p>
    <w:p>
      <w:pPr>
        <w:pStyle w:val="BookText"/>
      </w:pPr>
      <w:r>
        <w:rPr>
          <w:rFonts w:ascii="Amiri" w:hAnsi="Amiri" w:eastAsia="Amiri" w:cs="Amiri"/>
          <w:lang w:bidi="ar-SA"/>
          <w:color w:val="111111"/>
          <w:sz w:val="28"/>
          <w:szCs w:val="28"/>
          <w:rtl/>
        </w:rPr>
        <w:t xml:space="preserve">1 .ايساغوجي، ج 3، ص104.</w:t>
      </w:r>
    </w:p>
    <w:p>
      <w:pPr>
        <w:pStyle w:val="BookText"/>
      </w:pPr>
      <w:r>
        <w:rPr>
          <w:rFonts w:ascii="Amiri" w:hAnsi="Amiri" w:eastAsia="Amiri" w:cs="Amiri"/>
          <w:lang w:bidi="ar-SA"/>
          <w:color w:val="111111"/>
          <w:sz w:val="28"/>
          <w:szCs w:val="28"/>
          <w:rtl/>
        </w:rPr>
        <w:t xml:space="preserve">2 .الصحيفة العبقرية، ج 10، ص 518.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4" w:name="pg7742_69811"/>
    <w:bookmarkEnd w:id="214"/>
    <w:p>
      <w:pPr>
        <w:pStyle w:val="Heading2"/>
      </w:pPr>
      <w:bookmarkStart w:id="2367" w:name="_Toc1469"/>
      <w:r>
        <w:t>القوشي ، ارميا</w:t>
      </w:r>
      <w:bookmarkEnd w:id="2367"/>
    </w:p>
    <w:p>
      <w:pPr>
        <w:pStyle w:val="BookText"/>
      </w:pPr>
      <w:r>
        <w:rPr>
          <w:rFonts w:ascii="Amiri" w:hAnsi="Amiri" w:eastAsia="Amiri" w:cs="Amiri"/>
          <w:lang w:bidi="ar-SA"/>
          <w:color w:val="111111"/>
          <w:sz w:val="28"/>
          <w:szCs w:val="28"/>
          <w:rtl/>
        </w:rPr>
        <w:t xml:space="preserve">اسئلة القس بطرس الكرمليسي الالقوشي الاصل و اجوبة القس الراهب</w:t>
      </w:r>
    </w:p>
    <w:p>
      <w:pPr>
        <w:pStyle w:val="BookText"/>
      </w:pPr>
      <w:r>
        <w:rPr>
          <w:rFonts w:ascii="Amiri" w:hAnsi="Amiri" w:eastAsia="Amiri" w:cs="Amiri"/>
          <w:lang w:bidi="ar-SA"/>
          <w:color w:val="111111"/>
          <w:sz w:val="28"/>
          <w:szCs w:val="28"/>
          <w:rtl/>
        </w:rPr>
        <w:t xml:space="preserve">ارميا الالقوشي، ج 2، ص 83</w:t>
      </w:r>
    </w:p>
    <w:p>
      <w:pPr>
        <w:pStyle w:val="Heading2"/>
      </w:pPr>
      <w:bookmarkStart w:id="2368" w:name="_Toc1470"/>
      <w:r>
        <w:t>القوشي ، دميانوس</w:t>
      </w:r>
      <w:bookmarkEnd w:id="2368"/>
    </w:p>
    <w:p>
      <w:pPr>
        <w:pStyle w:val="BookText"/>
      </w:pPr>
      <w:r>
        <w:rPr>
          <w:rFonts w:ascii="Amiri" w:hAnsi="Amiri" w:eastAsia="Amiri" w:cs="Amiri"/>
          <w:lang w:bidi="ar-SA"/>
          <w:color w:val="111111"/>
          <w:sz w:val="28"/>
          <w:szCs w:val="28"/>
          <w:rtl/>
        </w:rPr>
        <w:t xml:space="preserve">مرشد الكهنة، ج 14، ص 399.</w:t>
      </w:r>
    </w:p>
    <w:p>
      <w:pPr>
        <w:pStyle w:val="BookText"/>
      </w:pPr>
      <w:r>
        <w:rPr>
          <w:rFonts w:ascii="Amiri" w:hAnsi="Amiri" w:eastAsia="Amiri" w:cs="Amiri"/>
          <w:lang w:bidi="ar-SA"/>
          <w:color w:val="111111"/>
          <w:sz w:val="28"/>
          <w:szCs w:val="28"/>
          <w:rtl/>
        </w:rPr>
        <w:t xml:space="preserve">الله قلي اصفهاني- صوفي ، الله يار بن</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الله قلي بن شاه ميرزاي محزون سلماسي -محزون سلماسي ، الله قلي بن شاه</w:t>
      </w:r>
    </w:p>
    <w:p>
      <w:pPr>
        <w:pStyle w:val="BookText"/>
      </w:pPr>
      <w:r>
        <w:rPr>
          <w:rFonts w:ascii="IRNazanin" w:hAnsi="IRNazanin" w:eastAsia="IRNazanin" w:cs="IRNazanin"/>
          <w:lang w:bidi="fa-IR"/>
          <w:color w:val="111111"/>
          <w:sz w:val="28"/>
          <w:szCs w:val="28"/>
          <w:rtl/>
        </w:rPr>
        <w:t xml:space="preserve">میرزا</w:t>
      </w:r>
    </w:p>
    <w:p>
      <w:pPr>
        <w:pStyle w:val="BookText"/>
      </w:pPr>
      <w:r>
        <w:rPr>
          <w:rFonts w:ascii="IRNazanin" w:hAnsi="IRNazanin" w:eastAsia="IRNazanin" w:cs="IRNazanin"/>
          <w:lang w:bidi="fa-IR"/>
          <w:color w:val="111111"/>
          <w:sz w:val="28"/>
          <w:szCs w:val="28"/>
          <w:rtl/>
        </w:rPr>
        <w:t xml:space="preserve">بن</w:t>
      </w:r>
    </w:p>
    <w:p>
      <w:pPr>
        <w:pStyle w:val="BookText"/>
      </w:pPr>
      <w:r>
        <w:rPr>
          <w:rFonts w:ascii="Amiri" w:hAnsi="Amiri" w:eastAsia="Amiri" w:cs="Amiri"/>
          <w:lang w:bidi="ar-SA"/>
          <w:color w:val="111111"/>
          <w:sz w:val="28"/>
          <w:szCs w:val="28"/>
          <w:rtl/>
        </w:rPr>
        <w:t xml:space="preserve">الله يار بن الله قلي صوفي- صوفي ، الله يار الله قلي</w:t>
      </w:r>
    </w:p>
    <w:p>
      <w:pPr>
        <w:pStyle w:val="BookText"/>
      </w:pPr>
      <w:r>
        <w:rPr>
          <w:rFonts w:ascii="Amiri" w:hAnsi="Amiri" w:eastAsia="Amiri" w:cs="Amiri"/>
          <w:lang w:bidi="ar-SA"/>
          <w:color w:val="111111"/>
          <w:sz w:val="28"/>
          <w:szCs w:val="28"/>
          <w:rtl/>
        </w:rPr>
        <w:t xml:space="preserve">الله يار نقشبندي بخاراتي -صوفي ، الله يار</w:t>
      </w:r>
    </w:p>
    <w:p>
      <w:pPr>
        <w:pStyle w:val="BookText"/>
      </w:pPr>
      <w:r>
        <w:rPr>
          <w:rFonts w:ascii="Amiri" w:hAnsi="Amiri" w:eastAsia="Amiri" w:cs="Amiri"/>
          <w:lang w:bidi="ar-SA"/>
          <w:color w:val="111111"/>
          <w:sz w:val="28"/>
          <w:szCs w:val="28"/>
          <w:rtl/>
        </w:rPr>
        <w:t xml:space="preserve">بن الله قلي</w:t>
      </w:r>
    </w:p>
    <w:p>
      <w:pPr>
        <w:pStyle w:val="BookText"/>
      </w:pPr>
      <w:r>
        <w:rPr>
          <w:rFonts w:ascii="Amiri" w:hAnsi="Amiri" w:eastAsia="Amiri" w:cs="Amiri"/>
          <w:lang w:bidi="ar-SA"/>
          <w:color w:val="111111"/>
          <w:sz w:val="28"/>
          <w:szCs w:val="28"/>
          <w:rtl/>
        </w:rPr>
        <w:t xml:space="preserve">الماسي ، محمد بن محمّد -جامي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المعي ، حسين بن بايزيد -برزنجي ، حسين</w:t>
      </w:r>
    </w:p>
    <w:p>
      <w:pPr>
        <w:pStyle w:val="BookText"/>
      </w:pPr>
      <w:r>
        <w:rPr>
          <w:rFonts w:ascii="IRNazanin" w:hAnsi="IRNazanin" w:eastAsia="IRNazanin" w:cs="IRNazanin"/>
          <w:lang w:bidi="fa-IR"/>
          <w:color w:val="111111"/>
          <w:sz w:val="28"/>
          <w:szCs w:val="28"/>
          <w:rtl/>
        </w:rPr>
        <w:t xml:space="preserve">بن بایزید</w:t>
      </w:r>
    </w:p>
    <w:p>
      <w:pPr>
        <w:pStyle w:val="Heading2"/>
      </w:pPr>
      <w:bookmarkStart w:id="2369" w:name="_Toc1471"/>
      <w:r>
        <w:t>المهدي ، صلاح بن علي - 849 ه-</w:t>
      </w:r>
      <w:bookmarkEnd w:id="2369"/>
    </w:p>
    <w:p>
      <w:pPr>
        <w:pStyle w:val="BookText"/>
      </w:pPr>
      <w:r>
        <w:rPr>
          <w:rFonts w:ascii="Amiri" w:hAnsi="Amiri" w:eastAsia="Amiri" w:cs="Amiri"/>
          <w:lang w:bidi="ar-SA"/>
          <w:color w:val="111111"/>
          <w:sz w:val="28"/>
          <w:szCs w:val="28"/>
          <w:rtl/>
        </w:rPr>
        <w:t xml:space="preserve">النجم الثاقب في شرح مختصر ابن</w:t>
      </w:r>
    </w:p>
    <w:p>
      <w:pPr>
        <w:pStyle w:val="BookText"/>
      </w:pPr>
      <w:r>
        <w:rPr>
          <w:rFonts w:ascii="IRNazanin" w:hAnsi="IRNazanin" w:eastAsia="IRNazanin" w:cs="IRNazanin"/>
          <w:lang w:bidi="fa-IR"/>
          <w:color w:val="111111"/>
          <w:sz w:val="28"/>
          <w:szCs w:val="28"/>
          <w:rtl/>
        </w:rPr>
        <w:t xml:space="preserve">الحاجب، ج 16، ص 157.</w:t>
      </w:r>
    </w:p>
    <w:p>
      <w:pPr>
        <w:pStyle w:val="BookText"/>
      </w:pPr>
      <w:r>
        <w:rPr>
          <w:rFonts w:ascii="Amiri" w:hAnsi="Amiri" w:eastAsia="Amiri" w:cs="Amiri"/>
          <w:lang w:bidi="ar-SA"/>
          <w:color w:val="111111"/>
          <w:sz w:val="28"/>
          <w:szCs w:val="28"/>
          <w:rtl/>
        </w:rPr>
        <w:t xml:space="preserve">الموتي ، علي اصغر بن محمّد</w:t>
      </w:r>
    </w:p>
    <w:p>
      <w:pPr>
        <w:pStyle w:val="BookText"/>
      </w:pPr>
      <w:r>
        <w:rPr>
          <w:rFonts w:ascii="Amiri" w:hAnsi="Amiri" w:eastAsia="Amiri" w:cs="Amiri"/>
          <w:lang w:bidi="ar-SA"/>
          <w:color w:val="111111"/>
          <w:sz w:val="28"/>
          <w:szCs w:val="28"/>
          <w:rtl/>
        </w:rPr>
        <w:t xml:space="preserve">يوسف- قزويني ، علي اصغر بن محمّد</w:t>
      </w:r>
    </w:p>
    <w:p>
      <w:pPr>
        <w:pStyle w:val="BookText"/>
      </w:pPr>
      <w:r>
        <w:rPr>
          <w:rFonts w:ascii="Amiri" w:hAnsi="Amiri" w:eastAsia="Amiri" w:cs="Amiri"/>
          <w:lang w:bidi="ar-SA"/>
          <w:color w:val="111111"/>
          <w:sz w:val="28"/>
          <w:szCs w:val="28"/>
          <w:rtl/>
        </w:rPr>
        <w:t xml:space="preserve">يوسف</w:t>
      </w:r>
    </w:p>
    <w:p>
      <w:pPr>
        <w:pStyle w:val="Heading2"/>
      </w:pPr>
      <w:bookmarkStart w:id="2370" w:name="_Toc1472"/>
      <w:r>
        <w:t>النرسي ، زيد، قرن 2 ه-</w:t>
      </w:r>
      <w:bookmarkEnd w:id="2370"/>
    </w:p>
    <w:p>
      <w:pPr>
        <w:pStyle w:val="BookText"/>
      </w:pPr>
      <w:r>
        <w:rPr>
          <w:rFonts w:ascii="Amiri" w:hAnsi="Amiri" w:eastAsia="Amiri" w:cs="Amiri"/>
          <w:lang w:bidi="ar-SA"/>
          <w:color w:val="111111"/>
          <w:sz w:val="28"/>
          <w:szCs w:val="28"/>
          <w:rtl/>
        </w:rPr>
        <w:t xml:space="preserve">اصل زيد النرسي = كتاب زيد النرسي</w:t>
      </w:r>
    </w:p>
    <w:p>
      <w:pPr>
        <w:pStyle w:val="BookText"/>
      </w:pPr>
      <w:r>
        <w:rPr>
          <w:rFonts w:ascii="IRNazanin" w:hAnsi="IRNazanin" w:eastAsia="IRNazanin" w:cs="IRNazanin"/>
          <w:lang w:bidi="fa-IR"/>
          <w:color w:val="111111"/>
          <w:sz w:val="28"/>
          <w:szCs w:val="28"/>
          <w:rtl/>
        </w:rPr>
        <w:t xml:space="preserve">ج 2، ص 387</w:t>
      </w:r>
    </w:p>
    <w:p>
      <w:pPr>
        <w:pStyle w:val="Heading2"/>
      </w:pPr>
      <w:bookmarkStart w:id="2371" w:name="_Toc1473"/>
      <w:r>
        <w:t>الهاني ، عبدالعزيز بن يحيى</w:t>
      </w:r>
      <w:bookmarkEnd w:id="2371"/>
    </w:p>
    <w:p>
      <w:pPr>
        <w:pStyle w:val="BookText"/>
      </w:pPr>
      <w:r>
        <w:rPr>
          <w:rFonts w:ascii="Amiri" w:hAnsi="Amiri" w:eastAsia="Amiri" w:cs="Amiri"/>
          <w:lang w:bidi="ar-SA"/>
          <w:color w:val="111111"/>
          <w:sz w:val="28"/>
          <w:szCs w:val="28"/>
          <w:rtl/>
        </w:rPr>
        <w:t xml:space="preserve">الكامل في علم الرمل، ج 13، ص 74.</w:t>
      </w:r>
    </w:p>
    <w:p>
      <w:pPr>
        <w:pStyle w:val="Heading2"/>
      </w:pPr>
      <w:bookmarkStart w:id="2372" w:name="_Toc1474"/>
      <w:r>
        <w:t>الهي اردبيلي ، حسين بن عبد الحق، 870 -</w:t>
      </w:r>
      <w:bookmarkEnd w:id="2372"/>
    </w:p>
    <w:p>
      <w:pPr>
        <w:pStyle w:val="BookText"/>
      </w:pPr>
      <w:r>
        <w:rPr>
          <w:rFonts w:ascii="IRNazanin" w:hAnsi="IRNazanin" w:eastAsia="IRNazanin" w:cs="IRNazanin"/>
          <w:lang w:bidi="fa-IR"/>
          <w:color w:val="111111"/>
          <w:sz w:val="28"/>
          <w:szCs w:val="28"/>
          <w:rtl/>
        </w:rPr>
        <w:t xml:space="preserve">950؟ ه-</w:t>
      </w:r>
    </w:p>
    <w:p>
      <w:pPr>
        <w:pStyle w:val="BookText"/>
      </w:pPr>
      <w:r>
        <w:rPr>
          <w:rFonts w:ascii="Amiri" w:hAnsi="Amiri" w:eastAsia="Amiri" w:cs="Amiri"/>
          <w:lang w:bidi="ar-SA"/>
          <w:color w:val="111111"/>
          <w:sz w:val="28"/>
          <w:szCs w:val="28"/>
          <w:rtl/>
        </w:rPr>
        <w:t xml:space="preserve">1 .اثبات الواجب = شرح اثبات الواجب الجديد، ج 1، ص 164 .</w:t>
      </w:r>
    </w:p>
    <w:p>
      <w:pPr>
        <w:pStyle w:val="BookText"/>
      </w:pPr>
      <w:r>
        <w:rPr>
          <w:rFonts w:ascii="Amiri" w:hAnsi="Amiri" w:eastAsia="Amiri" w:cs="Amiri"/>
          <w:lang w:bidi="ar-SA"/>
          <w:color w:val="111111"/>
          <w:sz w:val="28"/>
          <w:szCs w:val="28"/>
          <w:rtl/>
        </w:rPr>
        <w:t xml:space="preserve">2 .حاشية تحرير القواعد المنطقية في</w:t>
      </w:r>
    </w:p>
    <w:p>
      <w:pPr>
        <w:pStyle w:val="BookText"/>
      </w:pPr>
      <w:r>
        <w:rPr>
          <w:rFonts w:ascii="Amiri" w:hAnsi="Amiri" w:eastAsia="Amiri" w:cs="Amiri"/>
          <w:lang w:bidi="ar-SA"/>
          <w:color w:val="111111"/>
          <w:sz w:val="28"/>
          <w:szCs w:val="28"/>
          <w:rtl/>
        </w:rPr>
        <w:t xml:space="preserve">شرح الشمسية = حاشية شرح الشمسية، ج 5، ص 726.</w:t>
      </w:r>
    </w:p>
    <w:p>
      <w:pPr>
        <w:pStyle w:val="Heading2"/>
      </w:pPr>
      <w:bookmarkStart w:id="2373" w:name="_Toc1475"/>
      <w:r>
        <w:t>الهي ، شهاب الدين</w:t>
      </w:r>
      <w:bookmarkEnd w:id="2373"/>
    </w:p>
    <w:p>
      <w:pPr>
        <w:pStyle w:val="BookText"/>
      </w:pPr>
      <w:r>
        <w:rPr>
          <w:rFonts w:ascii="Amiri" w:hAnsi="Amiri" w:eastAsia="Amiri" w:cs="Amiri"/>
          <w:lang w:bidi="ar-SA"/>
          <w:color w:val="111111"/>
          <w:sz w:val="28"/>
          <w:szCs w:val="28"/>
          <w:rtl/>
        </w:rPr>
        <w:t xml:space="preserve">موجبة الثناء بمعنى انت وانا ج16،</w:t>
      </w:r>
    </w:p>
    <w:p>
      <w:pPr>
        <w:pStyle w:val="BookText"/>
      </w:pPr>
      <w:r>
        <w:rPr>
          <w:rFonts w:ascii="IRNazanin" w:hAnsi="IRNazanin" w:eastAsia="IRNazanin" w:cs="IRNazanin"/>
          <w:lang w:bidi="fa-IR"/>
          <w:color w:val="111111"/>
          <w:sz w:val="28"/>
          <w:szCs w:val="28"/>
          <w:rtl/>
        </w:rPr>
        <w:t xml:space="preserve">ص 2.</w:t>
      </w:r>
    </w:p>
    <w:p>
      <w:pPr>
        <w:pStyle w:val="Heading2"/>
      </w:pPr>
      <w:bookmarkStart w:id="2374" w:name="_Toc1476"/>
      <w:r>
        <w:t>الهي نيشابوري، احمد بن موسى -896ه-</w:t>
      </w:r>
      <w:bookmarkEnd w:id="2374"/>
    </w:p>
    <w:p>
      <w:pPr>
        <w:pStyle w:val="BookText"/>
      </w:pPr>
      <w:r>
        <w:rPr>
          <w:rFonts w:ascii="Amiri" w:hAnsi="Amiri" w:eastAsia="Amiri" w:cs="Amiri"/>
          <w:lang w:bidi="ar-SA"/>
          <w:color w:val="111111"/>
          <w:sz w:val="28"/>
          <w:szCs w:val="28"/>
          <w:rtl/>
        </w:rPr>
        <w:t xml:space="preserve">التصوف (رسالة في)، ج 4، ص 428.</w:t>
      </w:r>
    </w:p>
    <w:p>
      <w:pPr>
        <w:pStyle w:val="BookText"/>
      </w:pPr>
      <w:r>
        <w:rPr>
          <w:rFonts w:ascii="Amiri" w:hAnsi="Amiri" w:eastAsia="Amiri" w:cs="Amiri"/>
          <w:lang w:bidi="ar-SA"/>
          <w:color w:val="111111"/>
          <w:sz w:val="28"/>
          <w:szCs w:val="28"/>
          <w:rtl/>
        </w:rPr>
        <w:t xml:space="preserve">الهي هروي، محمّد بن محمّد -هروي</w:t>
      </w:r>
    </w:p>
    <w:p>
      <w:pPr>
        <w:pStyle w:val="BookText"/>
      </w:pPr>
      <w:r>
        <w:rPr>
          <w:rFonts w:ascii="Amiri" w:hAnsi="Amiri" w:eastAsia="Amiri" w:cs="Amiri"/>
          <w:lang w:bidi="ar-SA"/>
          <w:color w:val="111111"/>
          <w:sz w:val="28"/>
          <w:szCs w:val="28"/>
          <w:rtl/>
        </w:rPr>
        <w:t xml:space="preserve">محمّد بن محمّد</w:t>
      </w:r>
    </w:p>
    <w:p>
      <w:pPr>
        <w:pStyle w:val="Heading2"/>
      </w:pPr>
      <w:bookmarkStart w:id="2375" w:name="_Toc1477"/>
      <w:r>
        <w:t>الواني، عبدالكريم بن محمود</w:t>
      </w:r>
      <w:bookmarkEnd w:id="2375"/>
    </w:p>
    <w:p>
      <w:pPr>
        <w:pStyle w:val="BookText"/>
      </w:pPr>
      <w:r>
        <w:rPr>
          <w:rFonts w:ascii="Amiri" w:hAnsi="Amiri" w:eastAsia="Amiri" w:cs="Amiri"/>
          <w:lang w:bidi="ar-SA"/>
          <w:color w:val="111111"/>
          <w:sz w:val="28"/>
          <w:szCs w:val="28"/>
          <w:rtl/>
        </w:rPr>
        <w:t xml:space="preserve">الرسالة الكريمة شرح الروزنامة، ج8،</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Amiri" w:hAnsi="Amiri" w:eastAsia="Amiri" w:cs="Amiri"/>
          <w:lang w:bidi="ar-SA"/>
          <w:color w:val="111111"/>
          <w:sz w:val="28"/>
          <w:szCs w:val="28"/>
          <w:rtl/>
        </w:rPr>
        <w:t xml:space="preserve">الياس بن ابراهيم الكوراني- كوراني ، الياس</w:t>
      </w:r>
    </w:p>
    <w:p>
      <w:pPr>
        <w:pStyle w:val="BookText"/>
      </w:pPr>
      <w:r>
        <w:rPr>
          <w:rFonts w:ascii="Amiri" w:hAnsi="Amiri" w:eastAsia="Amiri" w:cs="Amiri"/>
          <w:lang w:bidi="ar-SA"/>
          <w:color w:val="111111"/>
          <w:sz w:val="28"/>
          <w:szCs w:val="28"/>
          <w:rtl/>
        </w:rPr>
        <w:t xml:space="preserve">بن ابراهيم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5" w:name="pg7742_69814"/>
    <w:bookmarkEnd w:id="215"/>
    <w:p>
      <w:pPr>
        <w:pStyle w:val="BookText"/>
      </w:pPr>
      <w:r>
        <w:rPr>
          <w:rFonts w:ascii="Amiri" w:hAnsi="Amiri" w:eastAsia="Amiri" w:cs="Amiri"/>
          <w:lang w:bidi="ar-SA"/>
          <w:color w:val="111111"/>
          <w:sz w:val="28"/>
          <w:szCs w:val="28"/>
          <w:rtl/>
        </w:rPr>
        <w:t xml:space="preserve">الياس بن ابراهيم سينوبي- سينوبي ، الياس</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الياس بن يوسف نظامي- نظامي ، الياس بن يوسف</w:t>
      </w:r>
    </w:p>
    <w:p>
      <w:pPr>
        <w:pStyle w:val="BookText"/>
      </w:pPr>
      <w:r>
        <w:rPr>
          <w:rFonts w:ascii="Amiri" w:hAnsi="Amiri" w:eastAsia="Amiri" w:cs="Amiri"/>
          <w:lang w:bidi="ar-SA"/>
          <w:color w:val="111111"/>
          <w:sz w:val="28"/>
          <w:szCs w:val="28"/>
          <w:rtl/>
        </w:rPr>
        <w:t xml:space="preserve">الياس زاده رومي- رومي ، محمود بن</w:t>
      </w:r>
    </w:p>
    <w:p>
      <w:pPr>
        <w:pStyle w:val="BookText"/>
      </w:pPr>
      <w:r>
        <w:rPr>
          <w:rFonts w:ascii="Amiri" w:hAnsi="Amiri" w:eastAsia="Amiri" w:cs="Amiri"/>
          <w:lang w:bidi="ar-SA"/>
          <w:color w:val="111111"/>
          <w:sz w:val="28"/>
          <w:szCs w:val="28"/>
          <w:rtl/>
        </w:rPr>
        <w:t xml:space="preserve">الياس</w:t>
      </w:r>
    </w:p>
    <w:p>
      <w:pPr>
        <w:pStyle w:val="BookText"/>
      </w:pPr>
      <w:r>
        <w:rPr>
          <w:rFonts w:ascii="Amiri" w:hAnsi="Amiri" w:eastAsia="Amiri" w:cs="Amiri"/>
          <w:lang w:bidi="ar-SA"/>
          <w:color w:val="111111"/>
          <w:sz w:val="28"/>
          <w:szCs w:val="28"/>
          <w:rtl/>
        </w:rPr>
        <w:t xml:space="preserve">الياس الكرماني -كرماني ، الياس</w:t>
      </w:r>
    </w:p>
    <w:p>
      <w:pPr>
        <w:pStyle w:val="BookText"/>
      </w:pPr>
      <w:r>
        <w:rPr>
          <w:rFonts w:ascii="Amiri" w:hAnsi="Amiri" w:eastAsia="Amiri" w:cs="Amiri"/>
          <w:lang w:bidi="ar-SA"/>
          <w:color w:val="111111"/>
          <w:sz w:val="28"/>
          <w:szCs w:val="28"/>
          <w:rtl/>
        </w:rPr>
        <w:t xml:space="preserve">الياس كرملثاني -كرملثاني ، الياس</w:t>
      </w:r>
    </w:p>
    <w:p>
      <w:pPr>
        <w:pStyle w:val="Heading2"/>
      </w:pPr>
      <w:bookmarkStart w:id="2376" w:name="_Toc1478"/>
      <w:r>
        <w:t>الياسي ، محمّد حسن</w:t>
      </w:r>
      <w:bookmarkEnd w:id="2376"/>
    </w:p>
    <w:p>
      <w:pPr>
        <w:pStyle w:val="BookText"/>
      </w:pPr>
      <w:r>
        <w:rPr>
          <w:rFonts w:ascii="Amiri" w:hAnsi="Amiri" w:eastAsia="Amiri" w:cs="Amiri"/>
          <w:lang w:bidi="ar-SA"/>
          <w:color w:val="111111"/>
          <w:sz w:val="28"/>
          <w:szCs w:val="28"/>
          <w:rtl/>
        </w:rPr>
        <w:t xml:space="preserve">الدراية في الحديث، ج 7، ص 219</w:t>
      </w:r>
    </w:p>
    <w:p>
      <w:pPr>
        <w:pStyle w:val="BookText"/>
      </w:pPr>
      <w:r>
        <w:rPr>
          <w:rFonts w:ascii="Amiri" w:hAnsi="Amiri" w:eastAsia="Amiri" w:cs="Amiri"/>
          <w:lang w:bidi="ar-SA"/>
          <w:color w:val="111111"/>
          <w:sz w:val="28"/>
          <w:szCs w:val="28"/>
          <w:rtl/>
        </w:rPr>
        <w:t xml:space="preserve">الياني ، علي اكبر بن محمّد- كريم طبيب</w:t>
      </w:r>
    </w:p>
    <w:p>
      <w:pPr>
        <w:pStyle w:val="BookText"/>
      </w:pPr>
      <w:r>
        <w:rPr>
          <w:rFonts w:ascii="Amiri" w:hAnsi="Amiri" w:eastAsia="Amiri" w:cs="Amiri"/>
          <w:lang w:bidi="ar-SA"/>
          <w:color w:val="111111"/>
          <w:sz w:val="28"/>
          <w:szCs w:val="28"/>
          <w:rtl/>
        </w:rPr>
        <w:t xml:space="preserve">سالياني، علي اكبر بن محمّد كريم</w:t>
      </w:r>
    </w:p>
    <w:p>
      <w:pPr>
        <w:pStyle w:val="Heading2"/>
      </w:pPr>
      <w:bookmarkStart w:id="2377" w:name="_Toc1479"/>
      <w:r>
        <w:t>آماسي ، موسی بن موسی - 938</w:t>
      </w:r>
      <w:bookmarkEnd w:id="2377"/>
    </w:p>
    <w:p>
      <w:pPr>
        <w:pStyle w:val="BookText"/>
      </w:pPr>
      <w:r>
        <w:rPr>
          <w:rFonts w:ascii="IRNazanin" w:hAnsi="IRNazanin" w:eastAsia="IRNazanin" w:cs="IRNazanin"/>
          <w:lang w:bidi="fa-IR"/>
          <w:color w:val="111111"/>
          <w:sz w:val="28"/>
          <w:szCs w:val="28"/>
          <w:rtl/>
        </w:rPr>
        <w:t xml:space="preserve">مخزن الفقه، ج 14، ص 291</w:t>
      </w:r>
    </w:p>
    <w:p>
      <w:pPr>
        <w:pStyle w:val="Heading2"/>
      </w:pPr>
      <w:bookmarkStart w:id="2378" w:name="_Toc1480"/>
      <w:r>
        <w:t>امام الحرمين ، عبدالملك بن عبدالله 419 -</w:t>
      </w:r>
      <w:bookmarkEnd w:id="2378"/>
    </w:p>
    <w:p>
      <w:pPr>
        <w:pStyle w:val="BookText"/>
      </w:pPr>
      <w:r>
        <w:rPr>
          <w:rFonts w:ascii="IRNazanin" w:hAnsi="IRNazanin" w:eastAsia="IRNazanin" w:cs="IRNazanin"/>
          <w:lang w:bidi="fa-IR"/>
          <w:color w:val="111111"/>
          <w:sz w:val="28"/>
          <w:szCs w:val="28"/>
          <w:rtl/>
        </w:rPr>
        <w:t xml:space="preserve">478 ه-</w:t>
      </w:r>
    </w:p>
    <w:p>
      <w:pPr>
        <w:pStyle w:val="BookText"/>
      </w:pPr>
      <w:r>
        <w:rPr>
          <w:rFonts w:ascii="Amiri" w:hAnsi="Amiri" w:eastAsia="Amiri" w:cs="Amiri"/>
          <w:lang w:bidi="ar-SA"/>
          <w:color w:val="111111"/>
          <w:sz w:val="28"/>
          <w:szCs w:val="28"/>
          <w:rtl/>
        </w:rPr>
        <w:t xml:space="preserve">1.ابيات في مدح الموطا للامام مالك</w:t>
      </w:r>
    </w:p>
    <w:p>
      <w:pPr>
        <w:pStyle w:val="BookText"/>
      </w:pPr>
      <w:r>
        <w:rPr>
          <w:rFonts w:ascii="IRNazanin" w:hAnsi="IRNazanin" w:eastAsia="IRNazanin" w:cs="IRNazanin"/>
          <w:lang w:bidi="fa-IR"/>
          <w:color w:val="111111"/>
          <w:sz w:val="28"/>
          <w:szCs w:val="28"/>
          <w:rtl/>
        </w:rPr>
        <w:t xml:space="preserve">ج 1، ص118.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اصول الفقه، ج2، ص 431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التلخيص في اصول الفقه جع،</w:t>
      </w:r>
    </w:p>
    <w:p>
      <w:pPr>
        <w:pStyle w:val="BookText"/>
      </w:pPr>
      <w:r>
        <w:rPr>
          <w:rFonts w:ascii="IRNazanin" w:hAnsi="IRNazanin" w:eastAsia="IRNazanin" w:cs="IRNazanin"/>
          <w:lang w:bidi="fa-IR"/>
          <w:color w:val="111111"/>
          <w:sz w:val="28"/>
          <w:szCs w:val="28"/>
          <w:rtl/>
        </w:rPr>
        <w:t xml:space="preserve">ص 852.</w:t>
      </w:r>
    </w:p>
    <w:p>
      <w:pPr>
        <w:pStyle w:val="BookText"/>
      </w:pPr>
      <w:r>
        <w:rPr>
          <w:rFonts w:ascii="Amiri" w:hAnsi="Amiri" w:eastAsia="Amiri" w:cs="Amiri"/>
          <w:lang w:bidi="ar-SA"/>
          <w:color w:val="111111"/>
          <w:sz w:val="28"/>
          <w:szCs w:val="28"/>
          <w:rtl/>
        </w:rPr>
        <w:t xml:space="preserve">4 .شفاء الغليل في بيان ما وقع في التوراة والإنجيل من التعديل ج 10، ص388.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غنية المسترشدين في مختصر اصول</w:t>
      </w:r>
    </w:p>
    <w:p>
      <w:pPr>
        <w:pStyle w:val="BookText"/>
      </w:pPr>
      <w:r>
        <w:rPr>
          <w:rFonts w:ascii="Amiri" w:hAnsi="Amiri" w:eastAsia="Amiri" w:cs="Amiri"/>
          <w:lang w:bidi="ar-SA"/>
          <w:color w:val="111111"/>
          <w:sz w:val="28"/>
          <w:szCs w:val="28"/>
          <w:rtl/>
        </w:rPr>
        <w:t xml:space="preserve">الدين، ج 11، ص 534.</w:t>
      </w:r>
    </w:p>
    <w:p>
      <w:pPr>
        <w:pStyle w:val="BookText"/>
      </w:pPr>
      <w:r>
        <w:rPr>
          <w:rFonts w:ascii="Amiri" w:hAnsi="Amiri" w:eastAsia="Amiri" w:cs="Amiri"/>
          <w:lang w:bidi="ar-SA"/>
          <w:color w:val="111111"/>
          <w:sz w:val="28"/>
          <w:szCs w:val="28"/>
          <w:rtl/>
        </w:rPr>
        <w:t xml:space="preserve">6 .نهاية المطلب في دراية المذهب</w:t>
      </w:r>
    </w:p>
    <w:p>
      <w:pPr>
        <w:pStyle w:val="BookText"/>
      </w:pPr>
      <w:r>
        <w:rPr>
          <w:rFonts w:ascii="IRNazanin" w:hAnsi="IRNazanin" w:eastAsia="IRNazanin" w:cs="IRNazanin"/>
          <w:lang w:bidi="fa-IR"/>
          <w:color w:val="111111"/>
          <w:sz w:val="28"/>
          <w:szCs w:val="28"/>
          <w:rtl/>
        </w:rPr>
        <w:t xml:space="preserve">ج 16، ص 510.</w:t>
      </w:r>
    </w:p>
    <w:p>
      <w:pPr>
        <w:pStyle w:val="BookText"/>
      </w:pPr>
      <w:r>
        <w:rPr>
          <w:rFonts w:ascii="Amiri" w:hAnsi="Amiri" w:eastAsia="Amiri" w:cs="Amiri"/>
          <w:lang w:bidi="ar-SA"/>
          <w:color w:val="111111"/>
          <w:sz w:val="28"/>
          <w:szCs w:val="28"/>
          <w:rtl/>
        </w:rPr>
        <w:t xml:space="preserve">7 .الورقات = الوريقات، ج 16 ، ص 763.</w:t>
      </w:r>
    </w:p>
    <w:p>
      <w:pPr>
        <w:pStyle w:val="Heading2"/>
      </w:pPr>
      <w:bookmarkStart w:id="2379" w:name="_Toc1481"/>
      <w:r>
        <w:t>امام الحرمين همداني ، محمّد بن</w:t>
      </w:r>
      <w:bookmarkEnd w:id="2379"/>
    </w:p>
    <w:p>
      <w:pPr>
        <w:pStyle w:val="BookText"/>
      </w:pPr>
      <w:r>
        <w:rPr>
          <w:rFonts w:ascii="IRNazanin" w:hAnsi="IRNazanin" w:eastAsia="IRNazanin" w:cs="IRNazanin"/>
          <w:lang w:bidi="fa-IR"/>
          <w:color w:val="111111"/>
          <w:sz w:val="28"/>
          <w:szCs w:val="28"/>
          <w:rtl/>
        </w:rPr>
        <w:t xml:space="preserve">عبدالوهاب - 1303 ه-</w:t>
      </w:r>
    </w:p>
    <w:p>
      <w:pPr>
        <w:pStyle w:val="BookText"/>
      </w:pPr>
      <w:r>
        <w:rPr>
          <w:rFonts w:ascii="Amiri" w:hAnsi="Amiri" w:eastAsia="Amiri" w:cs="Amiri"/>
          <w:lang w:bidi="ar-SA"/>
          <w:color w:val="111111"/>
          <w:sz w:val="28"/>
          <w:szCs w:val="28"/>
          <w:rtl/>
        </w:rPr>
        <w:t xml:space="preserve">1 .اجوبة مسائل السيد محمّد التستري، ج 1، ص 354.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احوال الأئمة (رسالة في)، ج1،</w:t>
      </w:r>
    </w:p>
    <w:p>
      <w:pPr>
        <w:pStyle w:val="BookText"/>
      </w:pPr>
      <w:r>
        <w:rPr>
          <w:rFonts w:ascii="IRNazanin" w:hAnsi="IRNazanin" w:eastAsia="IRNazanin" w:cs="IRNazanin"/>
          <w:lang w:bidi="fa-IR"/>
          <w:color w:val="111111"/>
          <w:sz w:val="28"/>
          <w:szCs w:val="28"/>
          <w:rtl/>
        </w:rPr>
        <w:t xml:space="preserve">ص 497 .</w:t>
      </w:r>
    </w:p>
    <w:p>
      <w:pPr>
        <w:pStyle w:val="BookText"/>
      </w:pPr>
      <w:r>
        <w:rPr>
          <w:rFonts w:ascii="Amiri" w:hAnsi="Amiri" w:eastAsia="Amiri" w:cs="Amiri"/>
          <w:lang w:bidi="ar-SA"/>
          <w:color w:val="111111"/>
          <w:sz w:val="28"/>
          <w:szCs w:val="28"/>
          <w:rtl/>
        </w:rPr>
        <w:t xml:space="preserve">3 .ازهاق الباطل في رد شبهة الفرقة</w:t>
      </w:r>
    </w:p>
    <w:p>
      <w:pPr>
        <w:pStyle w:val="BookText"/>
      </w:pPr>
      <w:r>
        <w:rPr>
          <w:rFonts w:ascii="Amiri" w:hAnsi="Amiri" w:eastAsia="Amiri" w:cs="Amiri"/>
          <w:lang w:bidi="ar-SA"/>
          <w:color w:val="111111"/>
          <w:sz w:val="28"/>
          <w:szCs w:val="28"/>
          <w:rtl/>
        </w:rPr>
        <w:t xml:space="preserve">الوهابية، ج 2، ص 69.</w:t>
      </w:r>
    </w:p>
    <w:p>
      <w:pPr>
        <w:pStyle w:val="BookText"/>
      </w:pPr>
      <w:r>
        <w:rPr>
          <w:rFonts w:ascii="Amiri" w:hAnsi="Amiri" w:eastAsia="Amiri" w:cs="Amiri"/>
          <w:lang w:bidi="ar-SA"/>
          <w:color w:val="111111"/>
          <w:sz w:val="28"/>
          <w:szCs w:val="28"/>
          <w:rtl/>
        </w:rPr>
        <w:t xml:space="preserve">4 .الاسنة في قلوب السنة، ج 2، ص 241.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اعراب عليه الله، ج2، ص 536.</w:t>
      </w:r>
    </w:p>
    <w:p>
      <w:pPr>
        <w:pStyle w:val="BookText"/>
      </w:pPr>
      <w:r>
        <w:rPr>
          <w:rFonts w:ascii="Amiri" w:hAnsi="Amiri" w:eastAsia="Amiri" w:cs="Amiri"/>
          <w:lang w:bidi="ar-SA"/>
          <w:color w:val="111111"/>
          <w:sz w:val="28"/>
          <w:szCs w:val="28"/>
          <w:rtl/>
        </w:rPr>
        <w:t xml:space="preserve">6 .البشرى في انشاء الصلوات الباهرة</w:t>
      </w:r>
    </w:p>
    <w:p>
      <w:pPr>
        <w:pStyle w:val="BookText"/>
      </w:pPr>
      <w:r>
        <w:rPr>
          <w:rFonts w:ascii="IRNazanin" w:hAnsi="IRNazanin" w:eastAsia="IRNazanin" w:cs="IRNazanin"/>
          <w:lang w:bidi="fa-IR"/>
          <w:color w:val="111111"/>
          <w:sz w:val="28"/>
          <w:szCs w:val="28"/>
          <w:rtl/>
        </w:rPr>
        <w:t xml:space="preserve">ج 3، ص 337</w:t>
      </w:r>
    </w:p>
    <w:p>
      <w:pPr>
        <w:pStyle w:val="BookText"/>
      </w:pPr>
      <w:r>
        <w:rPr>
          <w:rFonts w:ascii="IRNazanin" w:hAnsi="IRNazanin" w:eastAsia="IRNazanin" w:cs="IRNazanin"/>
          <w:lang w:bidi="fa-IR"/>
          <w:color w:val="111111"/>
          <w:sz w:val="28"/>
          <w:szCs w:val="28"/>
          <w:rtl/>
        </w:rPr>
        <w:t xml:space="preserve">7 .بیان اصل لاتخشون، ج 3، ص 459.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بيان المسافة (رسالة في)، ج 3،</w:t>
      </w:r>
    </w:p>
    <w:p>
      <w:pPr>
        <w:pStyle w:val="BookText"/>
      </w:pPr>
      <w:r>
        <w:rPr>
          <w:rFonts w:ascii="IRNazanin" w:hAnsi="IRNazanin" w:eastAsia="IRNazanin" w:cs="IRNazanin"/>
          <w:lang w:bidi="fa-IR"/>
          <w:color w:val="111111"/>
          <w:sz w:val="28"/>
          <w:szCs w:val="28"/>
          <w:rtl/>
        </w:rPr>
        <w:t xml:space="preserve">ص 491.</w:t>
      </w:r>
    </w:p>
    <w:p>
      <w:pPr>
        <w:pStyle w:val="BookText"/>
      </w:pPr>
      <w:r>
        <w:rPr>
          <w:rFonts w:ascii="IRNazanin" w:hAnsi="IRNazanin" w:eastAsia="IRNazanin" w:cs="IRNazanin"/>
          <w:lang w:bidi="fa-IR"/>
          <w:color w:val="111111"/>
          <w:sz w:val="28"/>
          <w:szCs w:val="28"/>
          <w:rtl/>
        </w:rPr>
        <w:t xml:space="preserve">9 .تاريخ أسر عبیدالله و تمزيق أكراده</w:t>
      </w:r>
    </w:p>
    <w:p>
      <w:pPr>
        <w:pStyle w:val="BookText"/>
      </w:pPr>
      <w:r>
        <w:rPr>
          <w:rFonts w:ascii="IRNazanin" w:hAnsi="IRNazanin" w:eastAsia="IRNazanin" w:cs="IRNazanin"/>
          <w:lang w:bidi="fa-IR"/>
          <w:color w:val="111111"/>
          <w:sz w:val="28"/>
          <w:szCs w:val="28"/>
          <w:rtl/>
        </w:rPr>
        <w:t xml:space="preserve">ج 3، ص 546.</w:t>
      </w:r>
    </w:p>
    <w:p>
      <w:pPr>
        <w:pStyle w:val="BookText"/>
      </w:pPr>
      <w:r>
        <w:rPr>
          <w:rFonts w:ascii="Amiri" w:hAnsi="Amiri" w:eastAsia="Amiri" w:cs="Amiri"/>
          <w:lang w:bidi="ar-SA"/>
          <w:color w:val="111111"/>
          <w:sz w:val="28"/>
          <w:szCs w:val="28"/>
          <w:rtl/>
        </w:rPr>
        <w:t xml:space="preserve">10 .تاريخ كرامة ظهرت في محكمة</w:t>
      </w:r>
    </w:p>
    <w:p>
      <w:pPr>
        <w:pStyle w:val="BookText"/>
      </w:pPr>
      <w:r>
        <w:rPr>
          <w:rFonts w:ascii="Amiri" w:hAnsi="Amiri" w:eastAsia="Amiri" w:cs="Amiri"/>
          <w:lang w:bidi="ar-SA"/>
          <w:color w:val="111111"/>
          <w:sz w:val="28"/>
          <w:szCs w:val="28"/>
          <w:rtl/>
        </w:rPr>
        <w:t xml:space="preserve">امام الحرمين، ج 3، ص 587.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جمع الشتات في صور الإجازات</w:t>
      </w:r>
    </w:p>
    <w:p>
      <w:pPr>
        <w:pStyle w:val="BookText"/>
      </w:pPr>
      <w:r>
        <w:rPr>
          <w:rFonts w:ascii="IRNazanin" w:hAnsi="IRNazanin" w:eastAsia="IRNazanin" w:cs="IRNazanin"/>
          <w:lang w:bidi="fa-IR"/>
          <w:color w:val="111111"/>
          <w:sz w:val="28"/>
          <w:szCs w:val="28"/>
          <w:rtl/>
        </w:rPr>
        <w:t xml:space="preserve">ج 5، ص 437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الجوهر النظيم في شرح عصمة</w:t>
      </w:r>
    </w:p>
    <w:p>
      <w:pPr>
        <w:pStyle w:val="BookText"/>
      </w:pPr>
      <w:r>
        <w:rPr>
          <w:rFonts w:ascii="IRNazanin" w:hAnsi="IRNazanin" w:eastAsia="IRNazanin" w:cs="IRNazanin"/>
          <w:lang w:bidi="fa-IR"/>
          <w:color w:val="111111"/>
          <w:sz w:val="28"/>
          <w:szCs w:val="28"/>
          <w:rtl/>
        </w:rPr>
        <w:t xml:space="preserve">الاذهان، ج 5، ص 630.</w:t>
      </w:r>
    </w:p>
    <w:p>
      <w:pPr>
        <w:pStyle w:val="BookText"/>
      </w:pPr>
      <w:r>
        <w:rPr>
          <w:rFonts w:ascii="Amiri" w:hAnsi="Amiri" w:eastAsia="Amiri" w:cs="Amiri"/>
          <w:lang w:bidi="ar-SA"/>
          <w:color w:val="111111"/>
          <w:sz w:val="28"/>
          <w:szCs w:val="28"/>
          <w:rtl/>
        </w:rPr>
        <w:t xml:space="preserve">13 .درة الاسلاك في حكم دخان</w:t>
      </w:r>
    </w:p>
    <w:p>
      <w:pPr>
        <w:pStyle w:val="BookText"/>
      </w:pPr>
      <w:r>
        <w:rPr>
          <w:rFonts w:ascii="Amiri" w:hAnsi="Amiri" w:eastAsia="Amiri" w:cs="Amiri"/>
          <w:lang w:bidi="ar-SA"/>
          <w:color w:val="111111"/>
          <w:sz w:val="28"/>
          <w:szCs w:val="28"/>
          <w:rtl/>
        </w:rPr>
        <w:t xml:space="preserve">التنباك، ج 7، ص221</w:t>
      </w:r>
    </w:p>
    <w:p>
      <w:pPr>
        <w:pStyle w:val="BookText"/>
      </w:pPr>
      <w:r>
        <w:rPr>
          <w:rFonts w:ascii="Amiri" w:hAnsi="Amiri" w:eastAsia="Amiri" w:cs="Amiri"/>
          <w:lang w:bidi="ar-SA"/>
          <w:color w:val="111111"/>
          <w:sz w:val="28"/>
          <w:szCs w:val="28"/>
          <w:rtl/>
        </w:rPr>
        <w:t xml:space="preserve">14 .الدعاء (رسالة في)، ج 7، ص389.</w:t>
      </w:r>
    </w:p>
    <w:p>
      <w:pPr>
        <w:pStyle w:val="BookText"/>
      </w:pPr>
      <w:r>
        <w:rPr>
          <w:rFonts w:ascii="Amiri" w:hAnsi="Amiri" w:eastAsia="Amiri" w:cs="Amiri"/>
          <w:lang w:bidi="ar-SA"/>
          <w:color w:val="111111"/>
          <w:sz w:val="28"/>
          <w:szCs w:val="28"/>
          <w:rtl/>
        </w:rPr>
        <w:t xml:space="preserve">15 .الزهرة البارقة، ج8، ص 618.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الشجرة المورقة والمشيخة المونقة</w:t>
      </w:r>
    </w:p>
    <w:p>
      <w:pPr>
        <w:pStyle w:val="BookText"/>
      </w:pPr>
      <w:r>
        <w:rPr>
          <w:rFonts w:ascii="IRNazanin" w:hAnsi="IRNazanin" w:eastAsia="IRNazanin" w:cs="IRNazanin"/>
          <w:lang w:bidi="fa-IR"/>
          <w:color w:val="111111"/>
          <w:sz w:val="28"/>
          <w:szCs w:val="28"/>
          <w:rtl/>
        </w:rPr>
        <w:t xml:space="preserve">ج 9، ص 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تعريف الكلمة، ج9، ص338.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الصلوات الشريفة، ج 10، ص 628.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6" w:name="pg7742_69816"/>
    <w:bookmarkEnd w:id="216"/>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طي الأرض، ج 10، ص 875.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عبير التعبير، ج 11، ص 20.</w:t>
      </w:r>
    </w:p>
    <w:p>
      <w:pPr>
        <w:pStyle w:val="BookText"/>
      </w:pPr>
      <w:r>
        <w:rPr>
          <w:rFonts w:ascii="IRNazanin" w:hAnsi="IRNazanin" w:eastAsia="IRNazanin" w:cs="IRNazanin"/>
          <w:lang w:bidi="fa-IR"/>
          <w:color w:val="111111"/>
          <w:sz w:val="28"/>
          <w:szCs w:val="28"/>
          <w:rtl/>
        </w:rPr>
        <w:t xml:space="preserve">21 .عجائب الاسرار، ج11، ص31.</w:t>
      </w:r>
    </w:p>
    <w:p>
      <w:pPr>
        <w:pStyle w:val="BookText"/>
      </w:pPr>
      <w:r>
        <w:rPr>
          <w:rFonts w:ascii="IRNazanin" w:hAnsi="IRNazanin" w:eastAsia="IRNazanin" w:cs="IRNazanin"/>
          <w:lang w:bidi="fa-IR"/>
          <w:color w:val="111111"/>
          <w:sz w:val="28"/>
          <w:szCs w:val="28"/>
          <w:rtl/>
        </w:rPr>
        <w:t xml:space="preserve">22.عصر ألاذهان، ج11، ص122.</w:t>
      </w:r>
    </w:p>
    <w:p>
      <w:pPr>
        <w:pStyle w:val="BookText"/>
      </w:pPr>
      <w:r>
        <w:rPr>
          <w:rFonts w:ascii="Amiri" w:hAnsi="Amiri" w:eastAsia="Amiri" w:cs="Amiri"/>
          <w:lang w:bidi="ar-SA"/>
          <w:color w:val="111111"/>
          <w:sz w:val="28"/>
          <w:szCs w:val="28"/>
          <w:rtl/>
        </w:rPr>
        <w:t xml:space="preserve">23 .عصمة الأذهان في علم الميزان</w:t>
      </w:r>
    </w:p>
    <w:p>
      <w:pPr>
        <w:pStyle w:val="BookText"/>
      </w:pPr>
      <w:r>
        <w:rPr>
          <w:rFonts w:ascii="IRNazanin" w:hAnsi="IRNazanin" w:eastAsia="IRNazanin" w:cs="IRNazanin"/>
          <w:lang w:bidi="fa-IR"/>
          <w:color w:val="111111"/>
          <w:sz w:val="28"/>
          <w:szCs w:val="28"/>
          <w:rtl/>
        </w:rPr>
        <w:t xml:space="preserve">ج 11، ص 124.</w:t>
      </w:r>
    </w:p>
    <w:p>
      <w:pPr>
        <w:pStyle w:val="BookText"/>
      </w:pPr>
      <w:r>
        <w:rPr>
          <w:rFonts w:ascii="Amiri" w:hAnsi="Amiri" w:eastAsia="Amiri" w:cs="Amiri"/>
          <w:lang w:bidi="ar-SA"/>
          <w:color w:val="111111"/>
          <w:sz w:val="28"/>
          <w:szCs w:val="28"/>
          <w:rtl/>
        </w:rPr>
        <w:t xml:space="preserve">24 .عطر العروس و لاح خمر الكؤوس</w:t>
      </w:r>
    </w:p>
    <w:p>
      <w:pPr>
        <w:pStyle w:val="BookText"/>
      </w:pPr>
      <w:r>
        <w:rPr>
          <w:rFonts w:ascii="IRNazanin" w:hAnsi="IRNazanin" w:eastAsia="IRNazanin" w:cs="IRNazanin"/>
          <w:lang w:bidi="fa-IR"/>
          <w:color w:val="111111"/>
          <w:sz w:val="28"/>
          <w:szCs w:val="28"/>
          <w:rtl/>
        </w:rPr>
        <w:t xml:space="preserve">من النفوس، ج11، ص127.</w:t>
      </w:r>
    </w:p>
    <w:p>
      <w:pPr>
        <w:pStyle w:val="BookText"/>
      </w:pPr>
      <w:r>
        <w:rPr>
          <w:rFonts w:ascii="Amiri" w:hAnsi="Amiri" w:eastAsia="Amiri" w:cs="Amiri"/>
          <w:lang w:bidi="ar-SA"/>
          <w:color w:val="111111"/>
          <w:sz w:val="28"/>
          <w:szCs w:val="28"/>
          <w:rtl/>
        </w:rPr>
        <w:t xml:space="preserve">25 .الغنية في ابطال الرؤية، ج 11،</w:t>
      </w:r>
    </w:p>
    <w:p>
      <w:pPr>
        <w:pStyle w:val="BookText"/>
      </w:pPr>
      <w:r>
        <w:rPr>
          <w:rFonts w:ascii="IRNazanin" w:hAnsi="IRNazanin" w:eastAsia="IRNazanin" w:cs="IRNazanin"/>
          <w:lang w:bidi="fa-IR"/>
          <w:color w:val="111111"/>
          <w:sz w:val="28"/>
          <w:szCs w:val="28"/>
          <w:rtl/>
        </w:rPr>
        <w:t xml:space="preserve">ص 518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غنيمة السفر في احوال جعفر</w:t>
      </w:r>
    </w:p>
    <w:p>
      <w:pPr>
        <w:pStyle w:val="BookText"/>
      </w:pPr>
      <w:r>
        <w:rPr>
          <w:rFonts w:ascii="IRNazanin" w:hAnsi="IRNazanin" w:eastAsia="IRNazanin" w:cs="IRNazanin"/>
          <w:lang w:bidi="fa-IR"/>
          <w:color w:val="111111"/>
          <w:sz w:val="28"/>
          <w:szCs w:val="28"/>
          <w:rtl/>
        </w:rPr>
        <w:t xml:space="preserve">ج 11، ص 536.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فصوص اليواقيت، ج 11، ص 840.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فصول اليواقيت في بعض المواقيت</w:t>
      </w:r>
    </w:p>
    <w:p>
      <w:pPr>
        <w:pStyle w:val="BookText"/>
      </w:pPr>
      <w:r>
        <w:rPr>
          <w:rFonts w:ascii="IRNazanin" w:hAnsi="IRNazanin" w:eastAsia="IRNazanin" w:cs="IRNazanin"/>
          <w:lang w:bidi="fa-IR"/>
          <w:color w:val="111111"/>
          <w:sz w:val="28"/>
          <w:szCs w:val="28"/>
          <w:rtl/>
        </w:rPr>
        <w:t xml:space="preserve">ج 11، ص 871</w:t>
      </w:r>
    </w:p>
    <w:p>
      <w:pPr>
        <w:pStyle w:val="BookText"/>
      </w:pPr>
      <w:r>
        <w:rPr>
          <w:rFonts w:ascii="Amiri" w:hAnsi="Amiri" w:eastAsia="Amiri" w:cs="Amiri"/>
          <w:lang w:bidi="ar-SA"/>
          <w:color w:val="111111"/>
          <w:sz w:val="28"/>
          <w:szCs w:val="28"/>
          <w:rtl/>
        </w:rPr>
        <w:t xml:space="preserve">29 .كشف النقاب في جواب المسائل</w:t>
      </w:r>
    </w:p>
    <w:p>
      <w:pPr>
        <w:pStyle w:val="BookText"/>
      </w:pPr>
      <w:r>
        <w:rPr>
          <w:rFonts w:ascii="IRNazanin" w:hAnsi="IRNazanin" w:eastAsia="IRNazanin" w:cs="IRNazanin"/>
          <w:lang w:bidi="fa-IR"/>
          <w:color w:val="111111"/>
          <w:sz w:val="28"/>
          <w:szCs w:val="28"/>
          <w:rtl/>
        </w:rPr>
        <w:t xml:space="preserve">الصعاب، ج13، ص271.</w:t>
      </w:r>
    </w:p>
    <w:p>
      <w:pPr>
        <w:pStyle w:val="BookText"/>
      </w:pPr>
      <w:r>
        <w:rPr>
          <w:rFonts w:ascii="IRNazanin" w:hAnsi="IRNazanin" w:eastAsia="IRNazanin" w:cs="IRNazanin"/>
          <w:lang w:bidi="fa-IR"/>
          <w:color w:val="111111"/>
          <w:sz w:val="28"/>
          <w:szCs w:val="28"/>
          <w:rtl/>
        </w:rPr>
        <w:t xml:space="preserve">30 .المحاسن فى الانشاآت و المراسلات</w:t>
      </w:r>
    </w:p>
    <w:p>
      <w:pPr>
        <w:pStyle w:val="BookText"/>
      </w:pPr>
      <w:r>
        <w:rPr>
          <w:rFonts w:ascii="IRNazanin" w:hAnsi="IRNazanin" w:eastAsia="IRNazanin" w:cs="IRNazanin"/>
          <w:lang w:bidi="fa-IR"/>
          <w:color w:val="111111"/>
          <w:sz w:val="28"/>
          <w:szCs w:val="28"/>
          <w:rtl/>
        </w:rPr>
        <w:t xml:space="preserve">ج 14، ص 94 .</w:t>
      </w:r>
    </w:p>
    <w:p>
      <w:pPr>
        <w:pStyle w:val="BookText"/>
      </w:pPr>
      <w:r>
        <w:rPr>
          <w:rFonts w:ascii="Amiri" w:hAnsi="Amiri" w:eastAsia="Amiri" w:cs="Amiri"/>
          <w:lang w:bidi="ar-SA"/>
          <w:color w:val="111111"/>
          <w:sz w:val="28"/>
          <w:szCs w:val="28"/>
          <w:rtl/>
        </w:rPr>
        <w:t xml:space="preserve">31 .المشكاة في مسائل الخمس و</w:t>
      </w:r>
    </w:p>
    <w:p>
      <w:pPr>
        <w:pStyle w:val="BookText"/>
      </w:pPr>
      <w:r>
        <w:rPr>
          <w:rFonts w:ascii="Amiri" w:hAnsi="Amiri" w:eastAsia="Amiri" w:cs="Amiri"/>
          <w:lang w:bidi="ar-SA"/>
          <w:color w:val="111111"/>
          <w:sz w:val="28"/>
          <w:szCs w:val="28"/>
          <w:rtl/>
        </w:rPr>
        <w:t xml:space="preserve">الزكاة، ج 14، ص 638 .</w:t>
      </w:r>
    </w:p>
    <w:p>
      <w:pPr>
        <w:pStyle w:val="BookText"/>
      </w:pPr>
      <w:r>
        <w:rPr>
          <w:rFonts w:ascii="Amiri" w:hAnsi="Amiri" w:eastAsia="Amiri" w:cs="Amiri"/>
          <w:lang w:bidi="ar-SA"/>
          <w:color w:val="111111"/>
          <w:sz w:val="28"/>
          <w:szCs w:val="28"/>
          <w:rtl/>
        </w:rPr>
        <w:t xml:space="preserve">32 .مشكلات العلوم، ج 14 ، ص 646.</w:t>
      </w:r>
    </w:p>
    <w:p>
      <w:pPr>
        <w:pStyle w:val="BookText"/>
      </w:pPr>
      <w:r>
        <w:rPr>
          <w:rFonts w:ascii="IRNazanin" w:hAnsi="IRNazanin" w:eastAsia="IRNazanin" w:cs="IRNazanin"/>
          <w:lang w:bidi="fa-IR"/>
          <w:color w:val="111111"/>
          <w:sz w:val="28"/>
          <w:szCs w:val="28"/>
          <w:rtl/>
        </w:rPr>
        <w:t xml:space="preserve">33 .معاصرون من آل عثمان ج 14،</w:t>
      </w:r>
    </w:p>
    <w:p>
      <w:pPr>
        <w:pStyle w:val="BookText"/>
      </w:pPr>
      <w:r>
        <w:rPr>
          <w:rFonts w:ascii="IRNazanin" w:hAnsi="IRNazanin" w:eastAsia="IRNazanin" w:cs="IRNazanin"/>
          <w:lang w:bidi="fa-IR"/>
          <w:color w:val="111111"/>
          <w:sz w:val="28"/>
          <w:szCs w:val="28"/>
          <w:rtl/>
        </w:rPr>
        <w:t xml:space="preserve">ص 850.</w:t>
      </w:r>
    </w:p>
    <w:p>
      <w:pPr>
        <w:pStyle w:val="BookText"/>
      </w:pPr>
      <w:r>
        <w:rPr>
          <w:rFonts w:ascii="Amiri" w:hAnsi="Amiri" w:eastAsia="Amiri" w:cs="Amiri"/>
          <w:lang w:bidi="ar-SA"/>
          <w:color w:val="111111"/>
          <w:sz w:val="28"/>
          <w:szCs w:val="28"/>
          <w:rtl/>
        </w:rPr>
        <w:t xml:space="preserve">34 .ملوك الكلام في جمع ما جرى بيننا</w:t>
      </w:r>
    </w:p>
    <w:p>
      <w:pPr>
        <w:pStyle w:val="BookText"/>
      </w:pPr>
      <w:r>
        <w:rPr>
          <w:rFonts w:ascii="Amiri" w:hAnsi="Amiri" w:eastAsia="Amiri" w:cs="Amiri"/>
          <w:lang w:bidi="ar-SA"/>
          <w:color w:val="111111"/>
          <w:sz w:val="28"/>
          <w:szCs w:val="28"/>
          <w:rtl/>
        </w:rPr>
        <w:t xml:space="preserve">و بين اولي الافهام، ج 15، ص 469 .</w:t>
      </w:r>
    </w:p>
    <w:p>
      <w:pPr>
        <w:pStyle w:val="BookText"/>
      </w:pPr>
      <w:r>
        <w:rPr>
          <w:rFonts w:ascii="Amiri" w:hAnsi="Amiri" w:eastAsia="Amiri" w:cs="Amiri"/>
          <w:lang w:bidi="ar-SA"/>
          <w:color w:val="111111"/>
          <w:sz w:val="28"/>
          <w:szCs w:val="28"/>
          <w:rtl/>
        </w:rPr>
        <w:t xml:space="preserve">35 .المواعظ البالغة، ج 15، ص 869.</w:t>
      </w:r>
    </w:p>
    <w:p>
      <w:pPr>
        <w:pStyle w:val="BookText"/>
      </w:pPr>
      <w:r>
        <w:rPr>
          <w:rFonts w:ascii="Amiri" w:hAnsi="Amiri" w:eastAsia="Amiri" w:cs="Amiri"/>
          <w:lang w:bidi="ar-SA"/>
          <w:color w:val="111111"/>
          <w:sz w:val="28"/>
          <w:szCs w:val="28"/>
          <w:rtl/>
        </w:rPr>
        <w:t xml:space="preserve">36 .نزهة القلوب و الخواطر ببعض ما</w:t>
      </w:r>
    </w:p>
    <w:p>
      <w:pPr>
        <w:pStyle w:val="BookText"/>
      </w:pPr>
      <w:r>
        <w:rPr>
          <w:rFonts w:ascii="Amiri" w:hAnsi="Amiri" w:eastAsia="Amiri" w:cs="Amiri"/>
          <w:lang w:bidi="ar-SA"/>
          <w:color w:val="111111"/>
          <w:sz w:val="28"/>
          <w:szCs w:val="28"/>
          <w:rtl/>
        </w:rPr>
        <w:t xml:space="preserve">تركه الاوائل للاواخر، ج 16،</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37 .هبة الشباب، ج 16، ص 591.</w:t>
      </w:r>
    </w:p>
    <w:p>
      <w:pPr>
        <w:pStyle w:val="Heading2"/>
      </w:pPr>
      <w:bookmarkStart w:id="2380" w:name="_Toc1482"/>
      <w:r>
        <w:t>امام الكاملية ، محمّد بن محمّد 808 -</w:t>
      </w:r>
      <w:bookmarkEnd w:id="2380"/>
    </w:p>
    <w:p>
      <w:pPr>
        <w:pStyle w:val="BookText"/>
      </w:pPr>
      <w:r>
        <w:rPr>
          <w:rFonts w:ascii="Amiri" w:hAnsi="Amiri" w:eastAsia="Amiri" w:cs="Amiri"/>
          <w:lang w:bidi="ar-SA"/>
          <w:color w:val="111111"/>
          <w:sz w:val="28"/>
          <w:szCs w:val="28"/>
          <w:rtl/>
        </w:rPr>
        <w:t xml:space="preserve">1 .الاختلاف في وجود الخضر (رسالة</w:t>
      </w:r>
    </w:p>
    <w:p>
      <w:pPr>
        <w:pStyle w:val="BookText"/>
      </w:pPr>
      <w:r>
        <w:rPr>
          <w:rFonts w:ascii="Amiri" w:hAnsi="Amiri" w:eastAsia="Amiri" w:cs="Amiri"/>
          <w:lang w:bidi="ar-SA"/>
          <w:color w:val="111111"/>
          <w:sz w:val="28"/>
          <w:szCs w:val="28"/>
          <w:rtl/>
        </w:rPr>
        <w:t xml:space="preserve">في)، ج 1، ص 550 .</w:t>
      </w:r>
    </w:p>
    <w:p>
      <w:pPr>
        <w:pStyle w:val="BookText"/>
      </w:pPr>
      <w:r>
        <w:rPr>
          <w:rFonts w:ascii="Amiri" w:hAnsi="Amiri" w:eastAsia="Amiri" w:cs="Amiri"/>
          <w:lang w:bidi="ar-SA"/>
          <w:color w:val="111111"/>
          <w:sz w:val="28"/>
          <w:szCs w:val="28"/>
          <w:rtl/>
        </w:rPr>
        <w:t xml:space="preserve">2 .ايضاح النصوص في نقض الفصوص</w:t>
      </w:r>
    </w:p>
    <w:p>
      <w:pPr>
        <w:pStyle w:val="BookText"/>
      </w:pPr>
      <w:r>
        <w:rPr>
          <w:rFonts w:ascii="IRNazanin" w:hAnsi="IRNazanin" w:eastAsia="IRNazanin" w:cs="IRNazanin"/>
          <w:lang w:bidi="fa-IR"/>
          <w:color w:val="111111"/>
          <w:sz w:val="28"/>
          <w:szCs w:val="28"/>
          <w:rtl/>
        </w:rPr>
        <w:t xml:space="preserve">ج 3، ص 140.</w:t>
      </w:r>
    </w:p>
    <w:p>
      <w:pPr>
        <w:pStyle w:val="BookText"/>
      </w:pPr>
      <w:r>
        <w:rPr>
          <w:rFonts w:ascii="Amiri" w:hAnsi="Amiri" w:eastAsia="Amiri" w:cs="Amiri"/>
          <w:lang w:bidi="ar-SA"/>
          <w:color w:val="111111"/>
          <w:sz w:val="28"/>
          <w:szCs w:val="28"/>
          <w:rtl/>
        </w:rPr>
        <w:t xml:space="preserve">3.بسط الكف إلى المسلسل بالصف</w:t>
      </w:r>
    </w:p>
    <w:p>
      <w:pPr>
        <w:pStyle w:val="BookText"/>
      </w:pPr>
      <w:r>
        <w:rPr>
          <w:rFonts w:ascii="IRNazanin" w:hAnsi="IRNazanin" w:eastAsia="IRNazanin" w:cs="IRNazanin"/>
          <w:lang w:bidi="fa-IR"/>
          <w:color w:val="111111"/>
          <w:sz w:val="28"/>
          <w:szCs w:val="28"/>
          <w:rtl/>
        </w:rPr>
        <w:t xml:space="preserve">ج 3، ص330.</w:t>
      </w:r>
    </w:p>
    <w:p>
      <w:pPr>
        <w:pStyle w:val="BookText"/>
      </w:pPr>
      <w:r>
        <w:rPr>
          <w:rFonts w:ascii="Amiri" w:hAnsi="Amiri" w:eastAsia="Amiri" w:cs="Amiri"/>
          <w:lang w:bidi="ar-SA"/>
          <w:color w:val="111111"/>
          <w:sz w:val="28"/>
          <w:szCs w:val="28"/>
          <w:rtl/>
        </w:rPr>
        <w:t xml:space="preserve">4 .شرح الشافية، ج 9، ص 606.</w:t>
      </w:r>
    </w:p>
    <w:p>
      <w:pPr>
        <w:pStyle w:val="BookText"/>
      </w:pPr>
      <w:r>
        <w:rPr>
          <w:rFonts w:ascii="IRNazanin" w:hAnsi="IRNazanin" w:eastAsia="IRNazanin" w:cs="IRNazanin"/>
          <w:lang w:bidi="fa-IR"/>
          <w:color w:val="111111"/>
          <w:sz w:val="28"/>
          <w:szCs w:val="28"/>
          <w:rtl/>
        </w:rPr>
        <w:t xml:space="preserve">5 .شرح الورقات، ج 10، ص 325.</w:t>
      </w:r>
    </w:p>
    <w:p>
      <w:pPr>
        <w:pStyle w:val="BookText"/>
      </w:pPr>
      <w:r>
        <w:rPr>
          <w:rFonts w:ascii="Amiri" w:hAnsi="Amiri" w:eastAsia="Amiri" w:cs="Amiri"/>
          <w:lang w:bidi="ar-SA"/>
          <w:color w:val="111111"/>
          <w:sz w:val="28"/>
          <w:szCs w:val="28"/>
          <w:rtl/>
        </w:rPr>
        <w:t xml:space="preserve">امام بن احمد بن امام كججاني - كليجاني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امام جمعه تبريزي ، لطفعلي بن احمد- تبريزي ، لطفعلي بن احمد</w:t>
      </w:r>
    </w:p>
    <w:p>
      <w:pPr>
        <w:pStyle w:val="Heading2"/>
      </w:pPr>
      <w:bookmarkStart w:id="2381" w:name="_Toc1483"/>
      <w:r>
        <w:t>امام زاده، محمّد بن ابي بكر - 573 ه-</w:t>
      </w:r>
      <w:bookmarkEnd w:id="2381"/>
    </w:p>
    <w:p>
      <w:pPr>
        <w:pStyle w:val="BookText"/>
      </w:pPr>
      <w:r>
        <w:rPr>
          <w:rFonts w:ascii="Amiri" w:hAnsi="Amiri" w:eastAsia="Amiri" w:cs="Amiri"/>
          <w:lang w:bidi="ar-SA"/>
          <w:color w:val="111111"/>
          <w:sz w:val="28"/>
          <w:szCs w:val="28"/>
          <w:rtl/>
        </w:rPr>
        <w:t xml:space="preserve">1 .الاربعون حديثاً = شرح حديث</w:t>
      </w:r>
    </w:p>
    <w:p>
      <w:pPr>
        <w:pStyle w:val="BookText"/>
      </w:pPr>
      <w:r>
        <w:rPr>
          <w:rFonts w:ascii="Amiri" w:hAnsi="Amiri" w:eastAsia="Amiri" w:cs="Amiri"/>
          <w:lang w:bidi="ar-SA"/>
          <w:color w:val="111111"/>
          <w:sz w:val="28"/>
          <w:szCs w:val="28"/>
          <w:rtl/>
        </w:rPr>
        <w:t xml:space="preserve">الاربعين، ج 1، ص712.</w:t>
      </w:r>
    </w:p>
    <w:p>
      <w:pPr>
        <w:pStyle w:val="BookText"/>
      </w:pPr>
      <w:r>
        <w:rPr>
          <w:rFonts w:ascii="Amiri" w:hAnsi="Amiri" w:eastAsia="Amiri" w:cs="Amiri"/>
          <w:lang w:bidi="ar-SA"/>
          <w:color w:val="111111"/>
          <w:sz w:val="28"/>
          <w:szCs w:val="28"/>
          <w:rtl/>
        </w:rPr>
        <w:t xml:space="preserve">2 .شرعة الاسلام إلى دار السلام، ج10،</w:t>
      </w:r>
    </w:p>
    <w:p>
      <w:pPr>
        <w:pStyle w:val="BookText"/>
      </w:pPr>
      <w:r>
        <w:rPr>
          <w:rFonts w:ascii="IRNazanin" w:hAnsi="IRNazanin" w:eastAsia="IRNazanin" w:cs="IRNazanin"/>
          <w:lang w:bidi="fa-IR"/>
          <w:color w:val="111111"/>
          <w:sz w:val="28"/>
          <w:szCs w:val="28"/>
          <w:rtl/>
        </w:rPr>
        <w:t xml:space="preserve">ص 346 .</w:t>
      </w:r>
    </w:p>
    <w:p>
      <w:pPr>
        <w:pStyle w:val="Heading2"/>
      </w:pPr>
      <w:bookmarkStart w:id="2382" w:name="_Toc1484"/>
      <w:r>
        <w:t>الامام شرف الله عماد</w:t>
      </w:r>
      <w:bookmarkEnd w:id="2382"/>
    </w:p>
    <w:p>
      <w:pPr>
        <w:pStyle w:val="BookText"/>
      </w:pPr>
      <w:r>
        <w:rPr>
          <w:rFonts w:ascii="Amiri" w:hAnsi="Amiri" w:eastAsia="Amiri" w:cs="Amiri"/>
          <w:lang w:bidi="ar-SA"/>
          <w:color w:val="111111"/>
          <w:sz w:val="28"/>
          <w:szCs w:val="28"/>
          <w:rtl/>
        </w:rPr>
        <w:t xml:space="preserve">الوقف (رسالة في)، ج 16 ، ص 868.</w:t>
      </w:r>
    </w:p>
    <w:p>
      <w:pPr>
        <w:pStyle w:val="Heading2"/>
      </w:pPr>
      <w:bookmarkStart w:id="2383" w:name="_Toc1485"/>
      <w:r>
        <w:t>امام قاسم بن ابراهيم</w:t>
      </w:r>
      <w:bookmarkEnd w:id="2383"/>
    </w:p>
    <w:p>
      <w:pPr>
        <w:pStyle w:val="BookText"/>
      </w:pPr>
      <w:r>
        <w:rPr>
          <w:rFonts w:ascii="Amiri" w:hAnsi="Amiri" w:eastAsia="Amiri" w:cs="Amiri"/>
          <w:lang w:bidi="ar-SA"/>
          <w:color w:val="111111"/>
          <w:sz w:val="28"/>
          <w:szCs w:val="28"/>
          <w:rtl/>
        </w:rPr>
        <w:t xml:space="preserve">مناظرة الامام القاسم للرجل الملحد</w:t>
      </w:r>
    </w:p>
    <w:p>
      <w:pPr>
        <w:pStyle w:val="BookText"/>
      </w:pPr>
      <w:r>
        <w:rPr>
          <w:rFonts w:ascii="IRNazanin" w:hAnsi="IRNazanin" w:eastAsia="IRNazanin" w:cs="IRNazanin"/>
          <w:lang w:bidi="fa-IR"/>
          <w:color w:val="111111"/>
          <w:sz w:val="28"/>
          <w:szCs w:val="28"/>
          <w:rtl/>
        </w:rPr>
        <w:t xml:space="preserve">ج 15، ص 515.</w:t>
      </w:r>
    </w:p>
    <w:p>
      <w:pPr>
        <w:pStyle w:val="Heading2"/>
      </w:pPr>
      <w:bookmarkStart w:id="2384" w:name="_Toc1486"/>
      <w:r>
        <w:t>امامي خاتون آبادي ، محمّد رضا بن محمّد مؤمن - 1127 ؟ ه-</w:t>
      </w:r>
      <w:bookmarkEnd w:id="2384"/>
    </w:p>
    <w:p>
      <w:pPr>
        <w:pStyle w:val="BookText"/>
      </w:pPr>
      <w:r>
        <w:rPr>
          <w:rFonts w:ascii="Amiri" w:hAnsi="Amiri" w:eastAsia="Amiri" w:cs="Amiri"/>
          <w:lang w:bidi="ar-SA"/>
          <w:color w:val="111111"/>
          <w:sz w:val="28"/>
          <w:szCs w:val="28"/>
          <w:rtl/>
        </w:rPr>
        <w:t xml:space="preserve">جنات الخلود المعمور في جداول النور</w:t>
      </w:r>
    </w:p>
    <w:p>
      <w:pPr>
        <w:pStyle w:val="BookText"/>
      </w:pPr>
      <w:r>
        <w:rPr>
          <w:rFonts w:ascii="IRNazanin" w:hAnsi="IRNazanin" w:eastAsia="IRNazanin" w:cs="IRNazanin"/>
          <w:lang w:bidi="fa-IR"/>
          <w:color w:val="111111"/>
          <w:sz w:val="28"/>
          <w:szCs w:val="28"/>
          <w:rtl/>
        </w:rPr>
        <w:t xml:space="preserve">ج5 ،ص455.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7" w:name="pg7742_69817"/>
    <w:bookmarkEnd w:id="217"/>
    <w:p>
      <w:pPr>
        <w:pStyle w:val="Heading2"/>
      </w:pPr>
      <w:bookmarkStart w:id="2385" w:name="_Toc1487"/>
      <w:r>
        <w:t>امامي ، عباس بن حسن</w:t>
      </w:r>
      <w:bookmarkEnd w:id="2385"/>
    </w:p>
    <w:p>
      <w:pPr>
        <w:pStyle w:val="BookText"/>
      </w:pPr>
      <w:r>
        <w:rPr>
          <w:rFonts w:ascii="Amiri" w:hAnsi="Amiri" w:eastAsia="Amiri" w:cs="Amiri"/>
          <w:lang w:bidi="ar-SA"/>
          <w:color w:val="111111"/>
          <w:sz w:val="28"/>
          <w:szCs w:val="28"/>
          <w:rtl/>
        </w:rPr>
        <w:t xml:space="preserve">شرح الاجوبة العراقية عن الاسئلة الايرانية، ج9، ص158.</w:t>
      </w:r>
    </w:p>
    <w:p>
      <w:pPr>
        <w:pStyle w:val="Heading2"/>
      </w:pPr>
      <w:bookmarkStart w:id="2386" w:name="_Toc1488"/>
      <w:r>
        <w:t>امامي ، قطب الدین احمد</w:t>
      </w:r>
      <w:bookmarkEnd w:id="2386"/>
    </w:p>
    <w:p>
      <w:pPr>
        <w:pStyle w:val="BookText"/>
      </w:pPr>
      <w:r>
        <w:rPr>
          <w:rFonts w:ascii="Amiri" w:hAnsi="Amiri" w:eastAsia="Amiri" w:cs="Amiri"/>
          <w:lang w:bidi="ar-SA"/>
          <w:color w:val="111111"/>
          <w:sz w:val="28"/>
          <w:szCs w:val="28"/>
          <w:rtl/>
        </w:rPr>
        <w:t xml:space="preserve">حاشية المطول، ج 6 ، ص 384 .</w:t>
      </w:r>
    </w:p>
    <w:p>
      <w:pPr>
        <w:pStyle w:val="BookText"/>
      </w:pPr>
      <w:r>
        <w:rPr>
          <w:rFonts w:ascii="IRNazanin" w:hAnsi="IRNazanin" w:eastAsia="IRNazanin" w:cs="IRNazanin"/>
          <w:lang w:bidi="fa-IR"/>
          <w:color w:val="111111"/>
          <w:sz w:val="28"/>
          <w:szCs w:val="28"/>
          <w:rtl/>
        </w:rPr>
        <w:t xml:space="preserve">امان الله خان بن مهابه خان</w:t>
      </w:r>
    </w:p>
    <w:p>
      <w:pPr>
        <w:pStyle w:val="BookText"/>
      </w:pPr>
      <w:r>
        <w:rPr>
          <w:rFonts w:ascii="IRNazanin" w:hAnsi="IRNazanin" w:eastAsia="IRNazanin" w:cs="IRNazanin"/>
          <w:lang w:bidi="fa-IR"/>
          <w:color w:val="111111"/>
          <w:sz w:val="28"/>
          <w:szCs w:val="28"/>
          <w:rtl/>
        </w:rPr>
        <w:t xml:space="preserve">سپهسالار- حسيني ، امان الله خان بن مهابت</w:t>
      </w:r>
    </w:p>
    <w:p>
      <w:pPr>
        <w:pStyle w:val="BookText"/>
      </w:pPr>
      <w:r>
        <w:rPr>
          <w:rFonts w:ascii="IRNazanin" w:hAnsi="IRNazanin" w:eastAsia="IRNazanin" w:cs="IRNazanin"/>
          <w:lang w:bidi="fa-IR"/>
          <w:color w:val="111111"/>
          <w:sz w:val="28"/>
          <w:szCs w:val="28"/>
          <w:rtl/>
        </w:rPr>
        <w:t xml:space="preserve">خان</w:t>
      </w:r>
    </w:p>
    <w:p>
      <w:pPr>
        <w:pStyle w:val="Heading2"/>
      </w:pPr>
      <w:bookmarkStart w:id="2387" w:name="_Toc1489"/>
      <w:r>
        <w:t>اماني مازندراني ، محمّد، - 1061 ه-</w:t>
      </w:r>
      <w:bookmarkEnd w:id="2387"/>
    </w:p>
    <w:p>
      <w:pPr>
        <w:pStyle w:val="BookText"/>
      </w:pPr>
      <w:r>
        <w:rPr>
          <w:rFonts w:ascii="Amiri" w:hAnsi="Amiri" w:eastAsia="Amiri" w:cs="Amiri"/>
          <w:lang w:bidi="ar-SA"/>
          <w:color w:val="111111"/>
          <w:sz w:val="28"/>
          <w:szCs w:val="28"/>
          <w:rtl/>
        </w:rPr>
        <w:t xml:space="preserve">الكافي في الأدوية، ج13، ص 49</w:t>
      </w:r>
    </w:p>
    <w:p>
      <w:pPr>
        <w:pStyle w:val="Heading2"/>
      </w:pPr>
      <w:bookmarkStart w:id="2388" w:name="_Toc1490"/>
      <w:r>
        <w:t>امرؤ القيس ، جندح بن حجر، 130 - 80</w:t>
      </w:r>
      <w:bookmarkEnd w:id="2388"/>
    </w:p>
    <w:p>
      <w:pPr>
        <w:pStyle w:val="BookText"/>
      </w:pPr>
      <w:r>
        <w:rPr>
          <w:rFonts w:ascii="Amiri" w:hAnsi="Amiri" w:eastAsia="Amiri" w:cs="Amiri"/>
          <w:lang w:bidi="ar-SA"/>
          <w:color w:val="111111"/>
          <w:sz w:val="28"/>
          <w:szCs w:val="28"/>
          <w:rtl/>
        </w:rPr>
        <w:t xml:space="preserve">قبل الهجرة</w:t>
      </w:r>
    </w:p>
    <w:p>
      <w:pPr>
        <w:pStyle w:val="BookText"/>
      </w:pPr>
      <w:r>
        <w:rPr>
          <w:rFonts w:ascii="IRNazanin" w:hAnsi="IRNazanin" w:eastAsia="IRNazanin" w:cs="IRNazanin"/>
          <w:lang w:bidi="fa-IR"/>
          <w:color w:val="111111"/>
          <w:sz w:val="28"/>
          <w:szCs w:val="28"/>
          <w:rtl/>
        </w:rPr>
        <w:t xml:space="preserve">امام</w:t>
      </w:r>
    </w:p>
    <w:p>
      <w:pPr>
        <w:pStyle w:val="BookText"/>
      </w:pPr>
      <w:r>
        <w:rPr>
          <w:rFonts w:ascii="Amiri" w:hAnsi="Amiri" w:eastAsia="Amiri" w:cs="Amiri"/>
          <w:lang w:bidi="ar-SA"/>
          <w:color w:val="111111"/>
          <w:sz w:val="28"/>
          <w:szCs w:val="28"/>
          <w:rtl/>
        </w:rPr>
        <w:t xml:space="preserve">1 .ديوان امرؤ القيس، ج 7، ص 576.</w:t>
      </w:r>
    </w:p>
    <w:p>
      <w:pPr>
        <w:pStyle w:val="BookText"/>
      </w:pPr>
      <w:r>
        <w:rPr>
          <w:rFonts w:ascii="IRNazanin" w:hAnsi="IRNazanin" w:eastAsia="IRNazanin" w:cs="IRNazanin"/>
          <w:lang w:bidi="fa-IR"/>
          <w:color w:val="111111"/>
          <w:sz w:val="28"/>
          <w:szCs w:val="28"/>
          <w:rtl/>
        </w:rPr>
        <w:t xml:space="preserve">2 .المعلقات السبع = السبع الطوال -</w:t>
      </w:r>
    </w:p>
    <w:p>
      <w:pPr>
        <w:pStyle w:val="BookText"/>
      </w:pPr>
      <w:r>
        <w:rPr>
          <w:rFonts w:ascii="Amiri" w:hAnsi="Amiri" w:eastAsia="Amiri" w:cs="Amiri"/>
          <w:lang w:bidi="ar-SA"/>
          <w:color w:val="111111"/>
          <w:sz w:val="28"/>
          <w:szCs w:val="28"/>
          <w:rtl/>
        </w:rPr>
        <w:t xml:space="preserve">السبعيات، ج 15 ، ص 81.</w:t>
      </w:r>
    </w:p>
    <w:p>
      <w:pPr>
        <w:pStyle w:val="BookText"/>
      </w:pPr>
      <w:r>
        <w:rPr>
          <w:rFonts w:ascii="Amiri" w:hAnsi="Amiri" w:eastAsia="Amiri" w:cs="Amiri"/>
          <w:lang w:bidi="ar-SA"/>
          <w:color w:val="111111"/>
          <w:sz w:val="28"/>
          <w:szCs w:val="28"/>
          <w:rtl/>
        </w:rPr>
        <w:t xml:space="preserve">3 .معلقة امرؤ القيس - القصيدة</w:t>
      </w:r>
    </w:p>
    <w:p>
      <w:pPr>
        <w:pStyle w:val="BookText"/>
      </w:pPr>
      <w:r>
        <w:rPr>
          <w:rFonts w:ascii="Amiri" w:hAnsi="Amiri" w:eastAsia="Amiri" w:cs="Amiri"/>
          <w:lang w:bidi="ar-SA"/>
          <w:color w:val="111111"/>
          <w:sz w:val="28"/>
          <w:szCs w:val="28"/>
          <w:rtl/>
        </w:rPr>
        <w:t xml:space="preserve">اللامية، ج 15 ، ص 82.</w:t>
      </w:r>
    </w:p>
    <w:p>
      <w:pPr>
        <w:pStyle w:val="BookText"/>
      </w:pPr>
      <w:r>
        <w:rPr>
          <w:rFonts w:ascii="Amiri" w:hAnsi="Amiri" w:eastAsia="Amiri" w:cs="Amiri"/>
          <w:lang w:bidi="ar-SA"/>
          <w:color w:val="111111"/>
          <w:sz w:val="28"/>
          <w:szCs w:val="28"/>
          <w:rtl/>
        </w:rPr>
        <w:t xml:space="preserve">امروهوي ، غلام امام- اكبر آبادي ، غلام</w:t>
      </w:r>
    </w:p>
    <w:p>
      <w:pPr>
        <w:pStyle w:val="Heading2"/>
      </w:pPr>
      <w:bookmarkStart w:id="2389" w:name="_Toc1491"/>
      <w:r>
        <w:t>امريك ، كاترينه</w:t>
      </w:r>
      <w:bookmarkEnd w:id="2389"/>
    </w:p>
    <w:p>
      <w:pPr>
        <w:pStyle w:val="BookText"/>
      </w:pPr>
      <w:r>
        <w:rPr>
          <w:rFonts w:ascii="Amiri" w:hAnsi="Amiri" w:eastAsia="Amiri" w:cs="Amiri"/>
          <w:lang w:bidi="ar-SA"/>
          <w:color w:val="111111"/>
          <w:sz w:val="28"/>
          <w:szCs w:val="28"/>
          <w:rtl/>
        </w:rPr>
        <w:t xml:space="preserve">آلام يسوع المسيح، ج 1، ص 69.</w:t>
      </w:r>
    </w:p>
    <w:p>
      <w:pPr>
        <w:pStyle w:val="Heading2"/>
      </w:pPr>
      <w:bookmarkStart w:id="2390" w:name="_Toc1492"/>
      <w:r>
        <w:t>امهوري ، علي قرن 11 ه-</w:t>
      </w:r>
      <w:bookmarkEnd w:id="2390"/>
    </w:p>
    <w:p>
      <w:pPr>
        <w:pStyle w:val="BookText"/>
      </w:pPr>
      <w:r>
        <w:rPr>
          <w:rFonts w:ascii="Amiri" w:hAnsi="Amiri" w:eastAsia="Amiri" w:cs="Amiri"/>
          <w:lang w:bidi="ar-SA"/>
          <w:color w:val="111111"/>
          <w:sz w:val="28"/>
          <w:szCs w:val="28"/>
          <w:rtl/>
        </w:rPr>
        <w:t xml:space="preserve">1 .فضل عاشوراء (رسالة في)، ج 12،</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2 .فضل ليلة النصف من شعبان</w:t>
      </w:r>
    </w:p>
    <w:p>
      <w:pPr>
        <w:pStyle w:val="BookText"/>
      </w:pPr>
      <w:r>
        <w:rPr>
          <w:rFonts w:ascii="Amiri" w:hAnsi="Amiri" w:eastAsia="Amiri" w:cs="Amiri"/>
          <w:lang w:bidi="ar-SA"/>
          <w:color w:val="111111"/>
          <w:sz w:val="28"/>
          <w:szCs w:val="28"/>
          <w:rtl/>
        </w:rPr>
        <w:t xml:space="preserve">(رسالة في)، ج 12، ص29.</w:t>
      </w:r>
    </w:p>
    <w:p>
      <w:pPr>
        <w:pStyle w:val="Heading2"/>
      </w:pPr>
      <w:bookmarkStart w:id="2391" w:name="_Toc1493"/>
      <w:r>
        <w:t>اموي ، عدي بن مسافر، 467 - 558 ه-</w:t>
      </w:r>
      <w:bookmarkEnd w:id="23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اعتقاد اهل السنة و الجماعة، ج 2،</w:t>
      </w:r>
    </w:p>
    <w:p>
      <w:pPr>
        <w:pStyle w:val="BookText"/>
      </w:pPr>
      <w:r>
        <w:rPr>
          <w:rFonts w:ascii="IRNazanin" w:hAnsi="IRNazanin" w:eastAsia="IRNazanin" w:cs="IRNazanin"/>
          <w:lang w:bidi="fa-IR"/>
          <w:color w:val="111111"/>
          <w:sz w:val="28"/>
          <w:szCs w:val="28"/>
          <w:rtl/>
        </w:rPr>
        <w:t xml:space="preserve">ص 514.</w:t>
      </w:r>
    </w:p>
    <w:p>
      <w:pPr>
        <w:pStyle w:val="BookText"/>
      </w:pPr>
      <w:r>
        <w:rPr>
          <w:rFonts w:ascii="Amiri" w:hAnsi="Amiri" w:eastAsia="Amiri" w:cs="Amiri"/>
          <w:lang w:bidi="ar-SA"/>
          <w:color w:val="111111"/>
          <w:sz w:val="28"/>
          <w:szCs w:val="28"/>
          <w:rtl/>
        </w:rPr>
        <w:t xml:space="preserve">2 .قصيدة، ج 12، ص 634.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الشيخ عدي بن مسافر</w:t>
      </w:r>
    </w:p>
    <w:p>
      <w:pPr>
        <w:pStyle w:val="BookText"/>
      </w:pPr>
      <w:r>
        <w:rPr>
          <w:rFonts w:ascii="IRNazanin" w:hAnsi="IRNazanin" w:eastAsia="IRNazanin" w:cs="IRNazanin"/>
          <w:lang w:bidi="fa-IR"/>
          <w:color w:val="111111"/>
          <w:sz w:val="28"/>
          <w:szCs w:val="28"/>
          <w:rtl/>
        </w:rPr>
        <w:t xml:space="preserve">ج 15 ، ص 547</w:t>
      </w:r>
    </w:p>
    <w:p>
      <w:pPr>
        <w:pStyle w:val="Heading2"/>
      </w:pPr>
      <w:bookmarkStart w:id="2392" w:name="_Toc1494"/>
      <w:r>
        <w:t>اموي ، محمّد بن يزيد بن عبدالملك</w:t>
      </w:r>
      <w:bookmarkEnd w:id="2392"/>
    </w:p>
    <w:p>
      <w:pPr>
        <w:pStyle w:val="BookText"/>
      </w:pPr>
      <w:r>
        <w:rPr>
          <w:rFonts w:ascii="IRNazanin" w:hAnsi="IRNazanin" w:eastAsia="IRNazanin" w:cs="IRNazanin"/>
          <w:lang w:bidi="fa-IR"/>
          <w:color w:val="111111"/>
          <w:sz w:val="28"/>
          <w:szCs w:val="28"/>
          <w:rtl/>
        </w:rPr>
        <w:t xml:space="preserve">اوصاف النجوم، ج 3، ص78.</w:t>
      </w:r>
    </w:p>
    <w:p>
      <w:pPr>
        <w:pStyle w:val="Heading2"/>
      </w:pPr>
      <w:bookmarkStart w:id="2393" w:name="_Toc1495"/>
      <w:r>
        <w:t>اموي ، يعيش بن ابراهيم - 895 ه-</w:t>
      </w:r>
      <w:bookmarkEnd w:id="2393"/>
    </w:p>
    <w:p>
      <w:pPr>
        <w:pStyle w:val="BookText"/>
      </w:pPr>
      <w:r>
        <w:rPr>
          <w:rFonts w:ascii="Amiri" w:hAnsi="Amiri" w:eastAsia="Amiri" w:cs="Amiri"/>
          <w:lang w:bidi="ar-SA"/>
          <w:color w:val="111111"/>
          <w:sz w:val="28"/>
          <w:szCs w:val="28"/>
          <w:rtl/>
        </w:rPr>
        <w:t xml:space="preserve">1 .ايراد المسائل و ايضاح المجاهل</w:t>
      </w:r>
    </w:p>
    <w:p>
      <w:pPr>
        <w:pStyle w:val="BookText"/>
      </w:pPr>
      <w:r>
        <w:rPr>
          <w:rFonts w:ascii="IRNazanin" w:hAnsi="IRNazanin" w:eastAsia="IRNazanin" w:cs="IRNazanin"/>
          <w:lang w:bidi="fa-IR"/>
          <w:color w:val="111111"/>
          <w:sz w:val="28"/>
          <w:szCs w:val="28"/>
          <w:rtl/>
        </w:rPr>
        <w:t xml:space="preserve">ج 3، ص 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رفع الاشكال في مساحة الاشكال</w:t>
      </w:r>
    </w:p>
    <w:p>
      <w:pPr>
        <w:pStyle w:val="BookText"/>
      </w:pPr>
      <w:r>
        <w:rPr>
          <w:rFonts w:ascii="IRNazanin" w:hAnsi="IRNazanin" w:eastAsia="IRNazanin" w:cs="IRNazanin"/>
          <w:lang w:bidi="fa-IR"/>
          <w:color w:val="111111"/>
          <w:sz w:val="28"/>
          <w:szCs w:val="28"/>
          <w:rtl/>
        </w:rPr>
        <w:t xml:space="preserve">ج 8، ص337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مراسم الانتساب في معالم الحساب</w:t>
      </w:r>
    </w:p>
    <w:p>
      <w:pPr>
        <w:pStyle w:val="BookText"/>
      </w:pPr>
      <w:r>
        <w:rPr>
          <w:rFonts w:ascii="IRNazanin" w:hAnsi="IRNazanin" w:eastAsia="IRNazanin" w:cs="IRNazanin"/>
          <w:lang w:bidi="fa-IR"/>
          <w:color w:val="111111"/>
          <w:sz w:val="28"/>
          <w:szCs w:val="28"/>
          <w:rtl/>
        </w:rPr>
        <w:t xml:space="preserve">ج 14، ص 383.</w:t>
      </w:r>
    </w:p>
    <w:p>
      <w:pPr>
        <w:pStyle w:val="BookText"/>
      </w:pPr>
      <w:r>
        <w:rPr>
          <w:rFonts w:ascii="IRNazanin" w:hAnsi="IRNazanin" w:eastAsia="IRNazanin" w:cs="IRNazanin"/>
          <w:lang w:bidi="fa-IR"/>
          <w:color w:val="111111"/>
          <w:sz w:val="28"/>
          <w:szCs w:val="28"/>
          <w:rtl/>
        </w:rPr>
        <w:t xml:space="preserve">امیتاوس- میتآوس</w:t>
      </w:r>
    </w:p>
    <w:p>
      <w:pPr>
        <w:pStyle w:val="BookText"/>
      </w:pPr>
      <w:r>
        <w:rPr>
          <w:rFonts w:ascii="Amiri" w:hAnsi="Amiri" w:eastAsia="Amiri" w:cs="Amiri"/>
          <w:lang w:bidi="ar-SA"/>
          <w:color w:val="111111"/>
          <w:sz w:val="28"/>
          <w:szCs w:val="28"/>
          <w:rtl/>
        </w:rPr>
        <w:t xml:space="preserve">امية بن عبد العزيز بن أبي الصلت -ابن ابي</w:t>
      </w:r>
    </w:p>
    <w:p>
      <w:pPr>
        <w:pStyle w:val="BookText"/>
      </w:pPr>
      <w:r>
        <w:rPr>
          <w:rFonts w:ascii="Amiri" w:hAnsi="Amiri" w:eastAsia="Amiri" w:cs="Amiri"/>
          <w:lang w:bidi="ar-SA"/>
          <w:color w:val="111111"/>
          <w:sz w:val="28"/>
          <w:szCs w:val="28"/>
          <w:rtl/>
        </w:rPr>
        <w:t xml:space="preserve">الصلت ، امية بن عبد العزيز</w:t>
      </w:r>
    </w:p>
    <w:p>
      <w:pPr>
        <w:pStyle w:val="BookText"/>
      </w:pPr>
      <w:r>
        <w:rPr>
          <w:rFonts w:ascii="Amiri" w:hAnsi="Amiri" w:eastAsia="Amiri" w:cs="Amiri"/>
          <w:lang w:bidi="ar-SA"/>
          <w:color w:val="111111"/>
          <w:sz w:val="28"/>
          <w:szCs w:val="28"/>
          <w:rtl/>
        </w:rPr>
        <w:t xml:space="preserve">امير المؤمنين علي- علي بن ابي طالب (ع)</w:t>
      </w:r>
    </w:p>
    <w:p>
      <w:pPr>
        <w:pStyle w:val="Heading2"/>
      </w:pPr>
      <w:bookmarkStart w:id="2394" w:name="_Toc1496"/>
      <w:r>
        <w:t>اميران حسيني ، علي بن علي قرن 9 ه-</w:t>
      </w:r>
      <w:bookmarkEnd w:id="2394"/>
    </w:p>
    <w:p>
      <w:pPr>
        <w:pStyle w:val="BookText"/>
      </w:pPr>
      <w:r>
        <w:rPr>
          <w:rFonts w:ascii="IRNazanin" w:hAnsi="IRNazanin" w:eastAsia="IRNazanin" w:cs="IRNazanin"/>
          <w:lang w:bidi="fa-IR"/>
          <w:color w:val="111111"/>
          <w:sz w:val="28"/>
          <w:szCs w:val="28"/>
          <w:rtl/>
        </w:rPr>
        <w:t xml:space="preserve">مقصد الاسماء وفقي در تحصیل مرام</w:t>
      </w:r>
    </w:p>
    <w:p>
      <w:pPr>
        <w:pStyle w:val="BookText"/>
      </w:pPr>
      <w:r>
        <w:rPr>
          <w:rFonts w:ascii="Amiri" w:hAnsi="Amiri" w:eastAsia="Amiri" w:cs="Amiri"/>
          <w:lang w:bidi="ar-SA"/>
          <w:color w:val="111111"/>
          <w:sz w:val="28"/>
          <w:szCs w:val="28"/>
          <w:rtl/>
        </w:rPr>
        <w:t xml:space="preserve">رتقي و فتقي، ج 15، ص 379.</w:t>
      </w:r>
    </w:p>
    <w:p>
      <w:pPr>
        <w:pStyle w:val="BookText"/>
      </w:pPr>
      <w:r>
        <w:rPr>
          <w:rFonts w:ascii="IRNazanin" w:hAnsi="IRNazanin" w:eastAsia="IRNazanin" w:cs="IRNazanin"/>
          <w:lang w:bidi="fa-IR"/>
          <w:color w:val="111111"/>
          <w:sz w:val="28"/>
          <w:szCs w:val="28"/>
          <w:rtl/>
        </w:rPr>
        <w:t xml:space="preserve">امیران ، فیض الله بن مبارك -فيضي</w:t>
      </w:r>
    </w:p>
    <w:p>
      <w:pPr>
        <w:pStyle w:val="BookText"/>
      </w:pPr>
      <w:r>
        <w:rPr>
          <w:rFonts w:ascii="Amiri" w:hAnsi="Amiri" w:eastAsia="Amiri" w:cs="Amiri"/>
          <w:lang w:bidi="ar-SA"/>
          <w:color w:val="111111"/>
          <w:sz w:val="28"/>
          <w:szCs w:val="28"/>
          <w:rtl/>
        </w:rPr>
        <w:t xml:space="preserve">ابوالفيض بن مبارك</w:t>
      </w:r>
    </w:p>
    <w:p>
      <w:pPr>
        <w:pStyle w:val="BookText"/>
      </w:pPr>
      <w:r>
        <w:rPr>
          <w:rFonts w:ascii="IRNazanin" w:hAnsi="IRNazanin" w:eastAsia="IRNazanin" w:cs="IRNazanin"/>
          <w:lang w:bidi="fa-IR"/>
          <w:color w:val="111111"/>
          <w:sz w:val="28"/>
          <w:szCs w:val="28"/>
          <w:rtl/>
        </w:rPr>
        <w:t xml:space="preserve">امیر تیمور گورکانی- تیمور گورکان</w:t>
      </w:r>
    </w:p>
    <w:p>
      <w:pPr>
        <w:pStyle w:val="BookText"/>
      </w:pPr>
      <w:r>
        <w:rPr>
          <w:rFonts w:ascii="IRNazanin" w:hAnsi="IRNazanin" w:eastAsia="IRNazanin" w:cs="IRNazanin"/>
          <w:lang w:bidi="fa-IR"/>
          <w:color w:val="111111"/>
          <w:sz w:val="28"/>
          <w:szCs w:val="28"/>
          <w:rtl/>
        </w:rPr>
        <w:t xml:space="preserve">اميرجان تبريزي- تبريزي ، محمد امیرجان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8" w:name="pg7742_69819"/>
    <w:bookmarkEnd w:id="218"/>
    <w:p>
      <w:pPr>
        <w:pStyle w:val="BookText"/>
      </w:pPr>
      <w:r>
        <w:rPr>
          <w:rFonts w:ascii="IRNazanin" w:hAnsi="IRNazanin" w:eastAsia="IRNazanin" w:cs="IRNazanin"/>
          <w:lang w:bidi="fa-IR"/>
          <w:color w:val="111111"/>
          <w:sz w:val="28"/>
          <w:szCs w:val="28"/>
          <w:rtl/>
        </w:rPr>
        <w:t xml:space="preserve">امير چلبي معلول - معلول ، امير جلبي</w:t>
      </w:r>
    </w:p>
    <w:p>
      <w:pPr>
        <w:pStyle w:val="BookText"/>
      </w:pPr>
      <w:r>
        <w:rPr>
          <w:rFonts w:ascii="Amiri" w:hAnsi="Amiri" w:eastAsia="Amiri" w:cs="Amiri"/>
          <w:lang w:bidi="ar-SA"/>
          <w:color w:val="111111"/>
          <w:sz w:val="28"/>
          <w:szCs w:val="28"/>
          <w:rtl/>
        </w:rPr>
        <w:t xml:space="preserve">اميرحسين بن عالم حسيني هروي غوري - حسيني هروي ، امير حسين بن امير</w:t>
      </w:r>
    </w:p>
    <w:p>
      <w:pPr>
        <w:pStyle w:val="BookText"/>
      </w:pPr>
      <w:r>
        <w:rPr>
          <w:rFonts w:ascii="IRNazanin" w:hAnsi="IRNazanin" w:eastAsia="IRNazanin" w:cs="IRNazanin"/>
          <w:lang w:bidi="fa-IR"/>
          <w:color w:val="111111"/>
          <w:sz w:val="28"/>
          <w:szCs w:val="28"/>
          <w:rtl/>
        </w:rPr>
        <w:t xml:space="preserve">عالم</w:t>
      </w:r>
    </w:p>
    <w:p>
      <w:pPr>
        <w:pStyle w:val="BookText"/>
      </w:pPr>
      <w:r>
        <w:rPr>
          <w:rFonts w:ascii="Amiri" w:hAnsi="Amiri" w:eastAsia="Amiri" w:cs="Amiri"/>
          <w:lang w:bidi="ar-SA"/>
          <w:color w:val="111111"/>
          <w:sz w:val="28"/>
          <w:szCs w:val="28"/>
          <w:rtl/>
        </w:rPr>
        <w:t xml:space="preserve">امير حسين كرماني- كرماني ، امير حسين</w:t>
      </w:r>
    </w:p>
    <w:p>
      <w:pPr>
        <w:pStyle w:val="BookText"/>
      </w:pPr>
      <w:r>
        <w:rPr>
          <w:rFonts w:ascii="IRNazanin" w:hAnsi="IRNazanin" w:eastAsia="IRNazanin" w:cs="IRNazanin"/>
          <w:lang w:bidi="fa-IR"/>
          <w:color w:val="111111"/>
          <w:sz w:val="28"/>
          <w:szCs w:val="28"/>
          <w:rtl/>
        </w:rPr>
        <w:t xml:space="preserve">امیر حیدر بلگرامي حسيني- بلگرامي</w:t>
      </w:r>
    </w:p>
    <w:p>
      <w:pPr>
        <w:pStyle w:val="BookText"/>
      </w:pPr>
      <w:r>
        <w:rPr>
          <w:rFonts w:ascii="IRNazanin" w:hAnsi="IRNazanin" w:eastAsia="IRNazanin" w:cs="IRNazanin"/>
          <w:lang w:bidi="fa-IR"/>
          <w:color w:val="111111"/>
          <w:sz w:val="28"/>
          <w:szCs w:val="28"/>
          <w:rtl/>
        </w:rPr>
        <w:t xml:space="preserve">امير حيدر بن نورحسین</w:t>
      </w:r>
    </w:p>
    <w:p>
      <w:pPr>
        <w:pStyle w:val="BookText"/>
      </w:pPr>
      <w:r>
        <w:rPr>
          <w:rFonts w:ascii="Amiri" w:hAnsi="Amiri" w:eastAsia="Amiri" w:cs="Amiri"/>
          <w:lang w:bidi="ar-SA"/>
          <w:color w:val="111111"/>
          <w:sz w:val="28"/>
          <w:szCs w:val="28"/>
          <w:rtl/>
        </w:rPr>
        <w:t xml:space="preserve">امير شرفي- شرفي ، امير</w:t>
      </w:r>
    </w:p>
    <w:p>
      <w:pPr>
        <w:pStyle w:val="Heading2"/>
      </w:pPr>
      <w:bookmarkStart w:id="2395" w:name="_Toc1497"/>
      <w:r>
        <w:t>امير صنعاني ، محمّد بن اسماعیل 1099 -</w:t>
      </w:r>
      <w:bookmarkEnd w:id="2395"/>
    </w:p>
    <w:p>
      <w:pPr>
        <w:pStyle w:val="BookText"/>
      </w:pPr>
      <w:r>
        <w:rPr>
          <w:rFonts w:ascii="IRNazanin" w:hAnsi="IRNazanin" w:eastAsia="IRNazanin" w:cs="IRNazanin"/>
          <w:lang w:bidi="fa-IR"/>
          <w:color w:val="111111"/>
          <w:sz w:val="28"/>
          <w:szCs w:val="28"/>
          <w:rtl/>
        </w:rPr>
        <w:t xml:space="preserve">1182 ه-</w:t>
      </w:r>
    </w:p>
    <w:p>
      <w:pPr>
        <w:pStyle w:val="BookText"/>
      </w:pPr>
      <w:r>
        <w:rPr>
          <w:rFonts w:ascii="Amiri" w:hAnsi="Amiri" w:eastAsia="Amiri" w:cs="Amiri"/>
          <w:lang w:bidi="ar-SA"/>
          <w:color w:val="111111"/>
          <w:sz w:val="28"/>
          <w:szCs w:val="28"/>
          <w:rtl/>
        </w:rPr>
        <w:t xml:space="preserve">1 .تفسير آية «و قاتلوا الذين لايؤمنون بالله»، ج4، ص588.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آية «و ما اوتي عيسى و</w:t>
      </w:r>
    </w:p>
    <w:p>
      <w:pPr>
        <w:pStyle w:val="BookText"/>
      </w:pPr>
      <w:r>
        <w:rPr>
          <w:rFonts w:ascii="IRNazanin" w:hAnsi="IRNazanin" w:eastAsia="IRNazanin" w:cs="IRNazanin"/>
          <w:lang w:bidi="fa-IR"/>
          <w:color w:val="111111"/>
          <w:sz w:val="28"/>
          <w:szCs w:val="28"/>
          <w:rtl/>
        </w:rPr>
        <w:t xml:space="preserve">موسى ...»، ج 4، ص 589.</w:t>
      </w:r>
    </w:p>
    <w:p>
      <w:pPr>
        <w:pStyle w:val="BookText"/>
      </w:pPr>
      <w:r>
        <w:rPr>
          <w:rFonts w:ascii="Amiri" w:hAnsi="Amiri" w:eastAsia="Amiri" w:cs="Amiri"/>
          <w:lang w:bidi="ar-SA"/>
          <w:color w:val="111111"/>
          <w:sz w:val="28"/>
          <w:szCs w:val="28"/>
          <w:rtl/>
        </w:rPr>
        <w:t xml:space="preserve">3 .توضيح الافكار لمعاني تنقيح الانظار</w:t>
      </w:r>
    </w:p>
    <w:p>
      <w:pPr>
        <w:pStyle w:val="BookText"/>
      </w:pPr>
      <w:r>
        <w:rPr>
          <w:rFonts w:ascii="IRNazanin" w:hAnsi="IRNazanin" w:eastAsia="IRNazanin" w:cs="IRNazanin"/>
          <w:lang w:bidi="fa-IR"/>
          <w:color w:val="111111"/>
          <w:sz w:val="28"/>
          <w:szCs w:val="28"/>
          <w:rtl/>
        </w:rPr>
        <w:t xml:space="preserve">ج 5، ص 170.</w:t>
      </w:r>
    </w:p>
    <w:p>
      <w:pPr>
        <w:pStyle w:val="BookText"/>
      </w:pPr>
      <w:r>
        <w:rPr>
          <w:rFonts w:ascii="Amiri" w:hAnsi="Amiri" w:eastAsia="Amiri" w:cs="Amiri"/>
          <w:lang w:bidi="ar-SA"/>
          <w:color w:val="111111"/>
          <w:sz w:val="28"/>
          <w:szCs w:val="28"/>
          <w:rtl/>
        </w:rPr>
        <w:t xml:space="preserve">4 .ثبت الحبر الشيخ محمّد الامير، ج 5،</w:t>
      </w:r>
    </w:p>
    <w:p>
      <w:pPr>
        <w:pStyle w:val="BookText"/>
      </w:pPr>
      <w:r>
        <w:rPr>
          <w:rFonts w:ascii="IRNazanin" w:hAnsi="IRNazanin" w:eastAsia="IRNazanin" w:cs="IRNazanin"/>
          <w:lang w:bidi="fa-IR"/>
          <w:color w:val="111111"/>
          <w:sz w:val="28"/>
          <w:szCs w:val="28"/>
          <w:rtl/>
        </w:rPr>
        <w:t xml:space="preserve">ص 211 .</w:t>
      </w:r>
    </w:p>
    <w:p>
      <w:pPr>
        <w:pStyle w:val="BookText"/>
      </w:pPr>
      <w:r>
        <w:rPr>
          <w:rFonts w:ascii="IRNazanin" w:hAnsi="IRNazanin" w:eastAsia="IRNazanin" w:cs="IRNazanin"/>
          <w:lang w:bidi="fa-IR"/>
          <w:color w:val="111111"/>
          <w:sz w:val="28"/>
          <w:szCs w:val="28"/>
          <w:rtl/>
        </w:rPr>
        <w:t xml:space="preserve">5 .دیوان امیر صنعاني، ج7، ص 579.</w:t>
      </w:r>
    </w:p>
    <w:p>
      <w:pPr>
        <w:pStyle w:val="BookText"/>
      </w:pPr>
      <w:r>
        <w:rPr>
          <w:rFonts w:ascii="Amiri" w:hAnsi="Amiri" w:eastAsia="Amiri" w:cs="Amiri"/>
          <w:lang w:bidi="ar-SA"/>
          <w:color w:val="111111"/>
          <w:sz w:val="28"/>
          <w:szCs w:val="28"/>
          <w:rtl/>
        </w:rPr>
        <w:t xml:space="preserve">6 .الشرح المليح على مقدمة غرامي</w:t>
      </w:r>
    </w:p>
    <w:p>
      <w:pPr>
        <w:pStyle w:val="BookText"/>
      </w:pPr>
      <w:r>
        <w:rPr>
          <w:rFonts w:ascii="Amiri" w:hAnsi="Amiri" w:eastAsia="Amiri" w:cs="Amiri"/>
          <w:lang w:bidi="ar-SA"/>
          <w:color w:val="111111"/>
          <w:sz w:val="28"/>
          <w:szCs w:val="28"/>
          <w:rtl/>
        </w:rPr>
        <w:t xml:space="preserve">صحيح، ج 10، ص229.</w:t>
      </w:r>
    </w:p>
    <w:p>
      <w:pPr>
        <w:pStyle w:val="BookText"/>
      </w:pPr>
      <w:r>
        <w:rPr>
          <w:rFonts w:ascii="IRNazanin" w:hAnsi="IRNazanin" w:eastAsia="IRNazanin" w:cs="IRNazanin"/>
          <w:lang w:bidi="fa-IR"/>
          <w:color w:val="111111"/>
          <w:sz w:val="28"/>
          <w:szCs w:val="28"/>
          <w:rtl/>
        </w:rPr>
        <w:t xml:space="preserve">7 .شرح حدیث «انت ومالك لأبيك»،</w:t>
      </w:r>
    </w:p>
    <w:p>
      <w:pPr>
        <w:pStyle w:val="BookText"/>
      </w:pPr>
      <w:r>
        <w:rPr>
          <w:rFonts w:ascii="IRNazanin" w:hAnsi="IRNazanin" w:eastAsia="IRNazanin" w:cs="IRNazanin"/>
          <w:lang w:bidi="fa-IR"/>
          <w:color w:val="111111"/>
          <w:sz w:val="28"/>
          <w:szCs w:val="28"/>
          <w:rtl/>
        </w:rPr>
        <w:t xml:space="preserve">ج 9، ص 384.</w:t>
      </w:r>
    </w:p>
    <w:p>
      <w:pPr>
        <w:pStyle w:val="BookText"/>
      </w:pPr>
      <w:r>
        <w:rPr>
          <w:rFonts w:ascii="Amiri" w:hAnsi="Amiri" w:eastAsia="Amiri" w:cs="Amiri"/>
          <w:lang w:bidi="ar-SA"/>
          <w:color w:val="111111"/>
          <w:sz w:val="28"/>
          <w:szCs w:val="28"/>
          <w:rtl/>
        </w:rPr>
        <w:t xml:space="preserve">8.شرح قصيدة ابن فرح الاشبيلي، ج9،</w:t>
      </w:r>
    </w:p>
    <w:p>
      <w:pPr>
        <w:pStyle w:val="BookText"/>
      </w:pPr>
      <w:r>
        <w:rPr>
          <w:rFonts w:ascii="IRNazanin" w:hAnsi="IRNazanin" w:eastAsia="IRNazanin" w:cs="IRNazanin"/>
          <w:lang w:bidi="fa-IR"/>
          <w:color w:val="111111"/>
          <w:sz w:val="28"/>
          <w:szCs w:val="28"/>
          <w:rtl/>
        </w:rPr>
        <w:t xml:space="preserve">ص 833.</w:t>
      </w:r>
    </w:p>
    <w:p>
      <w:pPr>
        <w:pStyle w:val="Heading2"/>
      </w:pPr>
      <w:bookmarkStart w:id="2396" w:name="_Toc1498"/>
      <w:r>
        <w:t>امیر علیشیر نوائي ، علیشیر بن ،کیچکنه</w:t>
      </w:r>
      <w:bookmarkEnd w:id="2396"/>
    </w:p>
    <w:p>
      <w:pPr>
        <w:pStyle w:val="BookText"/>
      </w:pPr>
      <w:r>
        <w:rPr>
          <w:rFonts w:ascii="IRNazanin" w:hAnsi="IRNazanin" w:eastAsia="IRNazanin" w:cs="IRNazanin"/>
          <w:lang w:bidi="fa-IR"/>
          <w:color w:val="111111"/>
          <w:sz w:val="28"/>
          <w:szCs w:val="28"/>
          <w:rtl/>
        </w:rPr>
        <w:t xml:space="preserve">844 - 906 ه-</w:t>
      </w:r>
    </w:p>
    <w:p>
      <w:pPr>
        <w:pStyle w:val="BookText"/>
      </w:pPr>
      <w:r>
        <w:rPr>
          <w:rFonts w:ascii="Amiri" w:hAnsi="Amiri" w:eastAsia="Amiri" w:cs="Amiri"/>
          <w:lang w:bidi="ar-SA"/>
          <w:color w:val="111111"/>
          <w:sz w:val="28"/>
          <w:szCs w:val="28"/>
          <w:rtl/>
        </w:rPr>
        <w:t xml:space="preserve">ديوان عليشير نوائي، ج 7، ص 724 .</w:t>
      </w:r>
    </w:p>
    <w:p>
      <w:pPr>
        <w:pStyle w:val="Heading2"/>
      </w:pPr>
      <w:bookmarkStart w:id="2397" w:name="_Toc1499"/>
      <w:r>
        <w:t>امیر معزي محمّد بن عبد الملك -2520ه-</w:t>
      </w:r>
      <w:bookmarkEnd w:id="2397"/>
    </w:p>
    <w:p>
      <w:pPr>
        <w:pStyle w:val="BookText"/>
      </w:pPr>
      <w:r>
        <w:rPr>
          <w:rFonts w:ascii="IRNazanin" w:hAnsi="IRNazanin" w:eastAsia="IRNazanin" w:cs="IRNazanin"/>
          <w:lang w:bidi="fa-IR"/>
          <w:color w:val="111111"/>
          <w:sz w:val="28"/>
          <w:szCs w:val="28"/>
          <w:rtl/>
        </w:rPr>
        <w:t xml:space="preserve">دیوان امیر معزي، ج 7، ص 580.</w:t>
      </w:r>
    </w:p>
    <w:p>
      <w:pPr>
        <w:pStyle w:val="BookText"/>
      </w:pPr>
      <w:r>
        <w:rPr>
          <w:rFonts w:ascii="Amiri" w:hAnsi="Amiri" w:eastAsia="Amiri" w:cs="Amiri"/>
          <w:lang w:bidi="ar-SA"/>
          <w:color w:val="111111"/>
          <w:sz w:val="28"/>
          <w:szCs w:val="28"/>
          <w:rtl/>
        </w:rPr>
        <w:t xml:space="preserve">امير وجيه الدولة حمداني - حمداني ، امير</w:t>
      </w:r>
    </w:p>
    <w:p>
      <w:pPr>
        <w:pStyle w:val="BookText"/>
      </w:pPr>
      <w:r>
        <w:rPr>
          <w:rFonts w:ascii="Amiri" w:hAnsi="Amiri" w:eastAsia="Amiri" w:cs="Amiri"/>
          <w:lang w:bidi="ar-SA"/>
          <w:color w:val="111111"/>
          <w:sz w:val="28"/>
          <w:szCs w:val="28"/>
          <w:rtl/>
        </w:rPr>
        <w:t xml:space="preserve">وجيه الدوله</w:t>
      </w:r>
    </w:p>
    <w:p>
      <w:pPr>
        <w:pStyle w:val="BookText"/>
      </w:pPr>
      <w:r>
        <w:rPr>
          <w:rFonts w:ascii="Amiri" w:hAnsi="Amiri" w:eastAsia="Amiri" w:cs="Amiri"/>
          <w:lang w:bidi="ar-SA"/>
          <w:color w:val="111111"/>
          <w:sz w:val="28"/>
          <w:szCs w:val="28"/>
          <w:rtl/>
        </w:rPr>
        <w:t xml:space="preserve">امين الدين ابهري ابهري ، امين الدين</w:t>
      </w:r>
    </w:p>
    <w:p>
      <w:pPr>
        <w:pStyle w:val="Heading2"/>
      </w:pPr>
      <w:bookmarkStart w:id="2398" w:name="_Toc1500"/>
      <w:r>
        <w:t>امين الفتوى ، خليل بن ابراهيم</w:t>
      </w:r>
      <w:bookmarkEnd w:id="2398"/>
    </w:p>
    <w:p>
      <w:pPr>
        <w:pStyle w:val="BookText"/>
      </w:pPr>
      <w:r>
        <w:rPr>
          <w:rFonts w:ascii="Amiri" w:hAnsi="Amiri" w:eastAsia="Amiri" w:cs="Amiri"/>
          <w:lang w:bidi="ar-SA"/>
          <w:color w:val="111111"/>
          <w:sz w:val="28"/>
          <w:szCs w:val="28"/>
          <w:rtl/>
        </w:rPr>
        <w:t xml:space="preserve">شوارد في الفتاوى، ج 10، ص 438</w:t>
      </w:r>
    </w:p>
    <w:p>
      <w:pPr>
        <w:pStyle w:val="BookText"/>
      </w:pPr>
      <w:r>
        <w:rPr>
          <w:rFonts w:ascii="Amiri" w:hAnsi="Amiri" w:eastAsia="Amiri" w:cs="Amiri"/>
          <w:lang w:bidi="ar-SA"/>
          <w:color w:val="111111"/>
          <w:sz w:val="28"/>
          <w:szCs w:val="28"/>
          <w:rtl/>
        </w:rPr>
        <w:t xml:space="preserve">امين بن حسن حلواني -حلواني ، امين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امين بن عبدالكريم كبه -كبه ، محمّد امین</w:t>
      </w:r>
    </w:p>
    <w:p>
      <w:pPr>
        <w:pStyle w:val="BookText"/>
      </w:pPr>
      <w:r>
        <w:rPr>
          <w:rFonts w:ascii="Amiri" w:hAnsi="Amiri" w:eastAsia="Amiri" w:cs="Amiri"/>
          <w:lang w:bidi="ar-SA"/>
          <w:color w:val="111111"/>
          <w:sz w:val="28"/>
          <w:szCs w:val="28"/>
          <w:rtl/>
        </w:rPr>
        <w:t xml:space="preserve">بن عبدالكريم</w:t>
      </w:r>
    </w:p>
    <w:p>
      <w:pPr>
        <w:pStyle w:val="BookText"/>
      </w:pPr>
      <w:r>
        <w:rPr>
          <w:rFonts w:ascii="Amiri" w:hAnsi="Amiri" w:eastAsia="Amiri" w:cs="Amiri"/>
          <w:lang w:bidi="ar-SA"/>
          <w:color w:val="111111"/>
          <w:sz w:val="28"/>
          <w:szCs w:val="28"/>
          <w:rtl/>
        </w:rPr>
        <w:t xml:space="preserve">امين بن محمّد صالح بغدادي</w:t>
      </w:r>
    </w:p>
    <w:p>
      <w:pPr>
        <w:pStyle w:val="BookText"/>
      </w:pPr>
      <w:r>
        <w:rPr>
          <w:rFonts w:ascii="IRNazanin" w:hAnsi="IRNazanin" w:eastAsia="IRNazanin" w:cs="IRNazanin"/>
          <w:lang w:bidi="fa-IR"/>
          <w:color w:val="111111"/>
          <w:sz w:val="28"/>
          <w:szCs w:val="28"/>
          <w:rtl/>
        </w:rPr>
        <w:t xml:space="preserve">الكردي- كردي ، محمّد امین بن محمّد صالح</w:t>
      </w:r>
    </w:p>
    <w:p>
      <w:pPr>
        <w:pStyle w:val="Heading2"/>
      </w:pPr>
      <w:bookmarkStart w:id="2399" w:name="_Toc1501"/>
      <w:r>
        <w:t>امین زاده، محمّد ضیاء بن عبد الرحمن</w:t>
      </w:r>
      <w:bookmarkEnd w:id="2399"/>
    </w:p>
    <w:p>
      <w:pPr>
        <w:pStyle w:val="BookText"/>
      </w:pPr>
      <w:r>
        <w:rPr>
          <w:rFonts w:ascii="IRNazanin" w:hAnsi="IRNazanin" w:eastAsia="IRNazanin" w:cs="IRNazanin"/>
          <w:lang w:bidi="fa-IR"/>
          <w:color w:val="111111"/>
          <w:sz w:val="28"/>
          <w:szCs w:val="28"/>
          <w:rtl/>
        </w:rPr>
        <w:t xml:space="preserve">1354 ه-</w:t>
      </w:r>
    </w:p>
    <w:p>
      <w:pPr>
        <w:pStyle w:val="BookText"/>
      </w:pPr>
      <w:r>
        <w:rPr>
          <w:rFonts w:ascii="Amiri" w:hAnsi="Amiri" w:eastAsia="Amiri" w:cs="Amiri"/>
          <w:lang w:bidi="ar-SA"/>
          <w:color w:val="111111"/>
          <w:sz w:val="28"/>
          <w:szCs w:val="28"/>
          <w:rtl/>
        </w:rPr>
        <w:t xml:space="preserve">تعليق على كتاب النقش في الحجر</w:t>
      </w:r>
    </w:p>
    <w:p>
      <w:pPr>
        <w:pStyle w:val="BookText"/>
      </w:pPr>
      <w:r>
        <w:rPr>
          <w:rFonts w:ascii="Amiri" w:hAnsi="Amiri" w:eastAsia="Amiri" w:cs="Amiri"/>
          <w:lang w:bidi="ar-SA"/>
          <w:color w:val="111111"/>
          <w:sz w:val="28"/>
          <w:szCs w:val="28"/>
          <w:rtl/>
        </w:rPr>
        <w:t xml:space="preserve">لفان ديك، ج4، ص 551.</w:t>
      </w:r>
    </w:p>
    <w:p>
      <w:pPr>
        <w:pStyle w:val="Heading2"/>
      </w:pPr>
      <w:bookmarkStart w:id="2400" w:name="_Toc1502"/>
      <w:r>
        <w:t>امين طائي ، علي</w:t>
      </w:r>
      <w:bookmarkEnd w:id="2400"/>
    </w:p>
    <w:p>
      <w:pPr>
        <w:pStyle w:val="BookText"/>
      </w:pPr>
      <w:r>
        <w:rPr>
          <w:rFonts w:ascii="IRNazanin" w:hAnsi="IRNazanin" w:eastAsia="IRNazanin" w:cs="IRNazanin"/>
          <w:lang w:bidi="fa-IR"/>
          <w:color w:val="111111"/>
          <w:sz w:val="28"/>
          <w:szCs w:val="28"/>
          <w:rtl/>
        </w:rPr>
        <w:t xml:space="preserve">دیوان امين طائي، ج 7، ص 581.</w:t>
      </w:r>
    </w:p>
    <w:p>
      <w:pPr>
        <w:pStyle w:val="Heading2"/>
      </w:pPr>
      <w:bookmarkStart w:id="2401" w:name="_Toc1503"/>
      <w:r>
        <w:t>امين ، علي بن محمّد</w:t>
      </w:r>
      <w:bookmarkEnd w:id="2401"/>
    </w:p>
    <w:p>
      <w:pPr>
        <w:pStyle w:val="BookText"/>
      </w:pPr>
      <w:r>
        <w:rPr>
          <w:rFonts w:ascii="Amiri" w:hAnsi="Amiri" w:eastAsia="Amiri" w:cs="Amiri"/>
          <w:lang w:bidi="ar-SA"/>
          <w:color w:val="111111"/>
          <w:sz w:val="28"/>
          <w:szCs w:val="28"/>
          <w:rtl/>
        </w:rPr>
        <w:t xml:space="preserve">شرح منظومة بحر العلوم، ج 10،</w:t>
      </w:r>
    </w:p>
    <w:p>
      <w:pPr>
        <w:pStyle w:val="BookText"/>
      </w:pPr>
      <w:r>
        <w:rPr>
          <w:rFonts w:ascii="IRNazanin" w:hAnsi="IRNazanin" w:eastAsia="IRNazanin" w:cs="IRNazanin"/>
          <w:lang w:bidi="fa-IR"/>
          <w:color w:val="111111"/>
          <w:sz w:val="28"/>
          <w:szCs w:val="28"/>
          <w:rtl/>
        </w:rPr>
        <w:t xml:space="preserve">ص 243 .</w:t>
      </w:r>
    </w:p>
    <w:p>
      <w:pPr>
        <w:pStyle w:val="Heading2"/>
      </w:pPr>
      <w:bookmarkStart w:id="2402" w:name="_Toc1504"/>
      <w:r>
        <w:t>امین ، محسن 1284 - 1371 ه-</w:t>
      </w:r>
      <w:bookmarkEnd w:id="2402"/>
    </w:p>
    <w:p>
      <w:pPr>
        <w:pStyle w:val="BookText"/>
      </w:pPr>
      <w:r>
        <w:rPr>
          <w:rFonts w:ascii="Amiri" w:hAnsi="Amiri" w:eastAsia="Amiri" w:cs="Amiri"/>
          <w:lang w:bidi="ar-SA"/>
          <w:color w:val="111111"/>
          <w:sz w:val="28"/>
          <w:szCs w:val="28"/>
          <w:rtl/>
        </w:rPr>
        <w:t xml:space="preserve">تلخيص أخبار شعراء الشيعة، ج 4،</w:t>
      </w:r>
    </w:p>
    <w:p>
      <w:pPr>
        <w:pStyle w:val="BookText"/>
      </w:pPr>
      <w:r>
        <w:rPr>
          <w:rFonts w:ascii="IRNazanin" w:hAnsi="IRNazanin" w:eastAsia="IRNazanin" w:cs="IRNazanin"/>
          <w:lang w:bidi="fa-IR"/>
          <w:color w:val="111111"/>
          <w:sz w:val="28"/>
          <w:szCs w:val="28"/>
          <w:rtl/>
        </w:rPr>
        <w:t xml:space="preserve">ص 834.</w:t>
      </w:r>
    </w:p>
    <w:p>
      <w:pPr>
        <w:pStyle w:val="BookText"/>
      </w:pPr>
      <w:r>
        <w:rPr>
          <w:rFonts w:ascii="Amiri" w:hAnsi="Amiri" w:eastAsia="Amiri" w:cs="Amiri"/>
          <w:lang w:bidi="ar-SA"/>
          <w:color w:val="111111"/>
          <w:sz w:val="28"/>
          <w:szCs w:val="28"/>
          <w:rtl/>
        </w:rPr>
        <w:t xml:space="preserve">امین ، محمّد محمّد امین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9" w:name="pg7742_69821"/>
    <w:bookmarkEnd w:id="219"/>
    <w:p>
      <w:pPr>
        <w:pStyle w:val="Heading2"/>
      </w:pPr>
      <w:bookmarkStart w:id="2403" w:name="_Toc1505"/>
      <w:r>
        <w:t>امین ، محمّد بن عبد الوهاب</w:t>
      </w:r>
      <w:bookmarkEnd w:id="2403"/>
    </w:p>
    <w:p>
      <w:pPr>
        <w:pStyle w:val="BookText"/>
      </w:pPr>
      <w:r>
        <w:rPr>
          <w:rFonts w:ascii="Amiri" w:hAnsi="Amiri" w:eastAsia="Amiri" w:cs="Amiri"/>
          <w:lang w:bidi="ar-SA"/>
          <w:color w:val="111111"/>
          <w:sz w:val="28"/>
          <w:szCs w:val="28"/>
          <w:rtl/>
        </w:rPr>
        <w:t xml:space="preserve">المؤنث والمذكر (كتاب في)، ج13،</w:t>
      </w:r>
    </w:p>
    <w:p>
      <w:pPr>
        <w:pStyle w:val="BookText"/>
      </w:pPr>
      <w:r>
        <w:rPr>
          <w:rFonts w:ascii="IRNazanin" w:hAnsi="IRNazanin" w:eastAsia="IRNazanin" w:cs="IRNazanin"/>
          <w:lang w:bidi="fa-IR"/>
          <w:color w:val="111111"/>
          <w:sz w:val="28"/>
          <w:szCs w:val="28"/>
          <w:rtl/>
        </w:rPr>
        <w:t xml:space="preserve">ص 707.</w:t>
      </w:r>
    </w:p>
    <w:p>
      <w:pPr>
        <w:pStyle w:val="BookText"/>
      </w:pPr>
      <w:r>
        <w:rPr>
          <w:rFonts w:ascii="Amiri" w:hAnsi="Amiri" w:eastAsia="Amiri" w:cs="Amiri"/>
          <w:lang w:bidi="ar-SA"/>
          <w:color w:val="111111"/>
          <w:sz w:val="28"/>
          <w:szCs w:val="28"/>
          <w:rtl/>
        </w:rPr>
        <w:t xml:space="preserve">اميني زاده ، فتوة -احمد افندي فتوة</w:t>
      </w:r>
    </w:p>
    <w:p>
      <w:pPr>
        <w:pStyle w:val="BookText"/>
      </w:pPr>
      <w:r>
        <w:rPr>
          <w:rFonts w:ascii="Amiri" w:hAnsi="Amiri" w:eastAsia="Amiri" w:cs="Amiri"/>
          <w:lang w:bidi="ar-SA"/>
          <w:color w:val="111111"/>
          <w:sz w:val="28"/>
          <w:szCs w:val="28"/>
          <w:rtl/>
        </w:rPr>
        <w:t xml:space="preserve">اميني زاده</w:t>
      </w:r>
    </w:p>
    <w:p>
      <w:pPr>
        <w:pStyle w:val="Heading2"/>
      </w:pPr>
      <w:bookmarkStart w:id="2404" w:name="_Toc1506"/>
      <w:r>
        <w:t>اميني ، عبد الحسين، 1281 - 1349 ش</w:t>
      </w:r>
      <w:bookmarkEnd w:id="2404"/>
    </w:p>
    <w:p>
      <w:pPr>
        <w:pStyle w:val="BookText"/>
      </w:pPr>
      <w:r>
        <w:rPr>
          <w:rFonts w:ascii="Amiri" w:hAnsi="Amiri" w:eastAsia="Amiri" w:cs="Amiri"/>
          <w:lang w:bidi="ar-SA"/>
          <w:color w:val="111111"/>
          <w:sz w:val="28"/>
          <w:szCs w:val="28"/>
          <w:rtl/>
        </w:rPr>
        <w:t xml:space="preserve">1 .تعليقة على كتاب شهداء الفضيلة</w:t>
      </w:r>
    </w:p>
    <w:p>
      <w:pPr>
        <w:pStyle w:val="BookText"/>
      </w:pPr>
      <w:r>
        <w:rPr>
          <w:rFonts w:ascii="IRNazanin" w:hAnsi="IRNazanin" w:eastAsia="IRNazanin" w:cs="IRNazanin"/>
          <w:lang w:bidi="fa-IR"/>
          <w:color w:val="111111"/>
          <w:sz w:val="28"/>
          <w:szCs w:val="28"/>
          <w:rtl/>
        </w:rPr>
        <w:t xml:space="preserve">ج 4، ص 530.</w:t>
      </w:r>
    </w:p>
    <w:p>
      <w:pPr>
        <w:pStyle w:val="BookText"/>
      </w:pPr>
      <w:r>
        <w:rPr>
          <w:rFonts w:ascii="Amiri" w:hAnsi="Amiri" w:eastAsia="Amiri" w:cs="Amiri"/>
          <w:lang w:bidi="ar-SA"/>
          <w:color w:val="111111"/>
          <w:sz w:val="28"/>
          <w:szCs w:val="28"/>
          <w:rtl/>
        </w:rPr>
        <w:t xml:space="preserve">2 .تفسير سورة الفاتحة، ج4، ص 636 .</w:t>
      </w:r>
    </w:p>
    <w:p>
      <w:pPr>
        <w:pStyle w:val="Heading2"/>
      </w:pPr>
      <w:bookmarkStart w:id="2405" w:name="_Toc1507"/>
      <w:r>
        <w:t>اميني ، عبدالحسين بن احمد</w:t>
      </w:r>
      <w:bookmarkEnd w:id="2405"/>
    </w:p>
    <w:p>
      <w:pPr>
        <w:pStyle w:val="BookText"/>
      </w:pPr>
      <w:r>
        <w:rPr>
          <w:rFonts w:ascii="Amiri" w:hAnsi="Amiri" w:eastAsia="Amiri" w:cs="Amiri"/>
          <w:lang w:bidi="ar-SA"/>
          <w:color w:val="111111"/>
          <w:sz w:val="28"/>
          <w:szCs w:val="28"/>
          <w:rtl/>
        </w:rPr>
        <w:t xml:space="preserve">ثمرات الإسفار في الأقطار، ج 5، ص 226.</w:t>
      </w:r>
    </w:p>
    <w:p>
      <w:pPr>
        <w:pStyle w:val="Heading2"/>
      </w:pPr>
      <w:bookmarkStart w:id="2406" w:name="_Toc1508"/>
      <w:r>
        <w:t>اميني ، ميرزا احمد</w:t>
      </w:r>
      <w:bookmarkEnd w:id="2406"/>
    </w:p>
    <w:p>
      <w:pPr>
        <w:pStyle w:val="BookText"/>
      </w:pPr>
      <w:r>
        <w:rPr>
          <w:rFonts w:ascii="Amiri" w:hAnsi="Amiri" w:eastAsia="Amiri" w:cs="Amiri"/>
          <w:lang w:bidi="ar-SA"/>
          <w:color w:val="111111"/>
          <w:sz w:val="28"/>
          <w:szCs w:val="28"/>
          <w:rtl/>
        </w:rPr>
        <w:t xml:space="preserve">حاشية حاشية المنطق، ج 5، ص 850.</w:t>
      </w:r>
    </w:p>
    <w:p>
      <w:pPr>
        <w:pStyle w:val="BookText"/>
      </w:pPr>
      <w:r>
        <w:rPr>
          <w:rFonts w:ascii="Amiri" w:hAnsi="Amiri" w:eastAsia="Amiri" w:cs="Amiri"/>
          <w:lang w:bidi="ar-SA"/>
          <w:color w:val="111111"/>
          <w:sz w:val="28"/>
          <w:szCs w:val="28"/>
          <w:rtl/>
        </w:rPr>
        <w:t xml:space="preserve">اميه بن عبد العزيز داني ابن ابي الصلت ،امية بن عبدالعزيز</w:t>
      </w:r>
    </w:p>
    <w:p>
      <w:pPr>
        <w:pStyle w:val="Heading2"/>
      </w:pPr>
      <w:bookmarkStart w:id="2407" w:name="_Toc1509"/>
      <w:r>
        <w:t>اميهي نجفي ، يحيى بن عيسى</w:t>
      </w:r>
      <w:bookmarkEnd w:id="2407"/>
    </w:p>
    <w:p>
      <w:pPr>
        <w:pStyle w:val="BookText"/>
      </w:pPr>
      <w:r>
        <w:rPr>
          <w:rFonts w:ascii="Amiri" w:hAnsi="Amiri" w:eastAsia="Amiri" w:cs="Amiri"/>
          <w:lang w:bidi="ar-SA"/>
          <w:color w:val="111111"/>
          <w:sz w:val="28"/>
          <w:szCs w:val="28"/>
          <w:rtl/>
        </w:rPr>
        <w:t xml:space="preserve">مغني الطلاب و حاوي مسائل</w:t>
      </w:r>
    </w:p>
    <w:p>
      <w:pPr>
        <w:pStyle w:val="BookText"/>
      </w:pPr>
      <w:r>
        <w:rPr>
          <w:rFonts w:ascii="IRNazanin" w:hAnsi="IRNazanin" w:eastAsia="IRNazanin" w:cs="IRNazanin"/>
          <w:lang w:bidi="fa-IR"/>
          <w:color w:val="111111"/>
          <w:sz w:val="28"/>
          <w:szCs w:val="28"/>
          <w:rtl/>
        </w:rPr>
        <w:t xml:space="preserve">الاعراب، ج 15، ص 119.</w:t>
      </w:r>
    </w:p>
    <w:p>
      <w:pPr>
        <w:pStyle w:val="Heading2"/>
      </w:pPr>
      <w:bookmarkStart w:id="2408" w:name="_Toc1510"/>
      <w:r>
        <w:t>اميوطي، ابراهيم بن محمّد، 715-790ه-</w:t>
      </w:r>
      <w:bookmarkEnd w:id="2408"/>
    </w:p>
    <w:p>
      <w:pPr>
        <w:pStyle w:val="BookText"/>
      </w:pPr>
      <w:r>
        <w:rPr>
          <w:rFonts w:ascii="Amiri" w:hAnsi="Amiri" w:eastAsia="Amiri" w:cs="Amiri"/>
          <w:lang w:bidi="ar-SA"/>
          <w:color w:val="111111"/>
          <w:sz w:val="28"/>
          <w:szCs w:val="28"/>
          <w:rtl/>
        </w:rPr>
        <w:t xml:space="preserve">تلخيص شرح قصيدة بانت سعاد ج4،</w:t>
      </w:r>
    </w:p>
    <w:p>
      <w:pPr>
        <w:pStyle w:val="BookText"/>
      </w:pPr>
      <w:r>
        <w:rPr>
          <w:rFonts w:ascii="IRNazanin" w:hAnsi="IRNazanin" w:eastAsia="IRNazanin" w:cs="IRNazanin"/>
          <w:lang w:bidi="fa-IR"/>
          <w:color w:val="111111"/>
          <w:sz w:val="28"/>
          <w:szCs w:val="28"/>
          <w:rtl/>
        </w:rPr>
        <w:t xml:space="preserve">ص 849.</w:t>
      </w:r>
    </w:p>
    <w:p>
      <w:pPr>
        <w:pStyle w:val="Heading2"/>
      </w:pPr>
      <w:bookmarkStart w:id="2409" w:name="_Toc1511"/>
      <w:r>
        <w:t>انبابي ، محمّد بن محمّد، 1240-1313 ه-</w:t>
      </w:r>
      <w:bookmarkEnd w:id="2409"/>
    </w:p>
    <w:p>
      <w:pPr>
        <w:pStyle w:val="BookText"/>
      </w:pPr>
      <w:r>
        <w:rPr>
          <w:rFonts w:ascii="Amiri" w:hAnsi="Amiri" w:eastAsia="Amiri" w:cs="Amiri"/>
          <w:lang w:bidi="ar-SA"/>
          <w:color w:val="111111"/>
          <w:sz w:val="28"/>
          <w:szCs w:val="28"/>
          <w:rtl/>
        </w:rPr>
        <w:t xml:space="preserve">1.حاشية شرح قطر الندى و بل</w:t>
      </w:r>
    </w:p>
    <w:p>
      <w:pPr>
        <w:pStyle w:val="BookText"/>
      </w:pPr>
      <w:r>
        <w:rPr>
          <w:rFonts w:ascii="IRNazanin" w:hAnsi="IRNazanin" w:eastAsia="IRNazanin" w:cs="IRNazanin"/>
          <w:lang w:bidi="fa-IR"/>
          <w:color w:val="111111"/>
          <w:sz w:val="28"/>
          <w:szCs w:val="28"/>
          <w:rtl/>
        </w:rPr>
        <w:t xml:space="preserve">الصدى، ج 6، ص 158.</w:t>
      </w:r>
    </w:p>
    <w:p>
      <w:pPr>
        <w:pStyle w:val="BookText"/>
      </w:pPr>
      <w:r>
        <w:rPr>
          <w:rFonts w:ascii="Amiri" w:hAnsi="Amiri" w:eastAsia="Amiri" w:cs="Amiri"/>
          <w:lang w:bidi="ar-SA"/>
          <w:color w:val="111111"/>
          <w:sz w:val="28"/>
          <w:szCs w:val="28"/>
          <w:rtl/>
        </w:rPr>
        <w:t xml:space="preserve">2 .الصياغة في فنون البلاغة، ج 10،</w:t>
      </w:r>
    </w:p>
    <w:p>
      <w:pPr>
        <w:pStyle w:val="BookText"/>
      </w:pPr>
      <w:r>
        <w:rPr>
          <w:rFonts w:ascii="IRNazanin" w:hAnsi="IRNazanin" w:eastAsia="IRNazanin" w:cs="IRNazanin"/>
          <w:lang w:bidi="fa-IR"/>
          <w:color w:val="111111"/>
          <w:sz w:val="28"/>
          <w:szCs w:val="28"/>
          <w:rtl/>
        </w:rPr>
        <w:t xml:space="preserve">ص 671 .</w:t>
      </w:r>
    </w:p>
    <w:p>
      <w:pPr>
        <w:pStyle w:val="BookText"/>
      </w:pPr>
      <w:r>
        <w:rPr>
          <w:rFonts w:ascii="Amiri" w:hAnsi="Amiri" w:eastAsia="Amiri" w:cs="Amiri"/>
          <w:lang w:bidi="ar-SA"/>
          <w:color w:val="111111"/>
          <w:sz w:val="28"/>
          <w:szCs w:val="28"/>
          <w:rtl/>
        </w:rPr>
        <w:t xml:space="preserve">انباري ، عبد الرحمن بن محمّد -ابن</w:t>
      </w:r>
    </w:p>
    <w:p>
      <w:pPr>
        <w:pStyle w:val="BookText"/>
      </w:pPr>
      <w:r>
        <w:rPr>
          <w:rFonts w:ascii="Amiri" w:hAnsi="Amiri" w:eastAsia="Amiri" w:cs="Amiri"/>
          <w:lang w:bidi="ar-SA"/>
          <w:color w:val="111111"/>
          <w:sz w:val="28"/>
          <w:szCs w:val="28"/>
          <w:rtl/>
        </w:rPr>
        <w:t xml:space="preserve">انباري ، عبدالرحمن بن محمّد</w:t>
      </w:r>
    </w:p>
    <w:p>
      <w:pPr>
        <w:pStyle w:val="Heading2"/>
      </w:pPr>
      <w:bookmarkStart w:id="2410" w:name="_Toc1512"/>
      <w:r>
        <w:t>انباري ، محمّد بن عمر</w:t>
      </w:r>
      <w:bookmarkEnd w:id="2410"/>
    </w:p>
    <w:p>
      <w:pPr>
        <w:pStyle w:val="BookText"/>
      </w:pPr>
      <w:r>
        <w:rPr>
          <w:rFonts w:ascii="Amiri" w:hAnsi="Amiri" w:eastAsia="Amiri" w:cs="Amiri"/>
          <w:lang w:bidi="ar-SA"/>
          <w:color w:val="111111"/>
          <w:sz w:val="28"/>
          <w:szCs w:val="28"/>
          <w:rtl/>
        </w:rPr>
        <w:t xml:space="preserve">قصيدة في رثاء ابن بقية، ج 12،</w:t>
      </w:r>
    </w:p>
    <w:p>
      <w:pPr>
        <w:pStyle w:val="BookText"/>
      </w:pPr>
      <w:r>
        <w:rPr>
          <w:rFonts w:ascii="IRNazanin" w:hAnsi="IRNazanin" w:eastAsia="IRNazanin" w:cs="IRNazanin"/>
          <w:lang w:bidi="fa-IR"/>
          <w:color w:val="111111"/>
          <w:sz w:val="28"/>
          <w:szCs w:val="28"/>
          <w:rtl/>
        </w:rPr>
        <w:t xml:space="preserve">ص 692 .</w:t>
      </w:r>
    </w:p>
    <w:p>
      <w:pPr>
        <w:pStyle w:val="BookText"/>
      </w:pPr>
      <w:r>
        <w:rPr>
          <w:rFonts w:ascii="Amiri" w:hAnsi="Amiri" w:eastAsia="Amiri" w:cs="Amiri"/>
          <w:lang w:bidi="ar-SA"/>
          <w:color w:val="111111"/>
          <w:sz w:val="28"/>
          <w:szCs w:val="28"/>
          <w:rtl/>
        </w:rPr>
        <w:t xml:space="preserve">انباري ، محمّد بن قاسم- ابن انباري ، محمّد بن قاسم</w:t>
      </w:r>
    </w:p>
    <w:p>
      <w:pPr>
        <w:pStyle w:val="Heading2"/>
      </w:pPr>
      <w:bookmarkStart w:id="2411" w:name="_Toc1513"/>
      <w:r>
        <w:t>انباري ، محمّد بن محمّد 507 - 596 ه-</w:t>
      </w:r>
      <w:bookmarkEnd w:id="2411"/>
    </w:p>
    <w:p>
      <w:pPr>
        <w:pStyle w:val="BookText"/>
      </w:pPr>
      <w:r>
        <w:rPr>
          <w:rFonts w:ascii="Amiri" w:hAnsi="Amiri" w:eastAsia="Amiri" w:cs="Amiri"/>
          <w:lang w:bidi="ar-SA"/>
          <w:color w:val="111111"/>
          <w:sz w:val="28"/>
          <w:szCs w:val="28"/>
          <w:rtl/>
        </w:rPr>
        <w:t xml:space="preserve">تفسير القرآن المجيد، ج4، ص 689.</w:t>
      </w:r>
    </w:p>
    <w:p>
      <w:pPr>
        <w:pStyle w:val="BookText"/>
      </w:pPr>
      <w:r>
        <w:rPr>
          <w:rFonts w:ascii="Amiri" w:hAnsi="Amiri" w:eastAsia="Amiri" w:cs="Amiri"/>
          <w:lang w:bidi="ar-SA"/>
          <w:color w:val="111111"/>
          <w:sz w:val="28"/>
          <w:szCs w:val="28"/>
          <w:rtl/>
        </w:rPr>
        <w:t xml:space="preserve">انجداني دكني ، شاه طاهر بن شاه رضي</w:t>
      </w:r>
    </w:p>
    <w:p>
      <w:pPr>
        <w:pStyle w:val="BookText"/>
      </w:pPr>
      <w:r>
        <w:rPr>
          <w:rFonts w:ascii="IRNazanin" w:hAnsi="IRNazanin" w:eastAsia="IRNazanin" w:cs="IRNazanin"/>
          <w:lang w:bidi="fa-IR"/>
          <w:color w:val="111111"/>
          <w:sz w:val="28"/>
          <w:szCs w:val="28"/>
          <w:rtl/>
        </w:rPr>
        <w:t xml:space="preserve">الدین -شاه طاهر انجداني دكني</w:t>
      </w:r>
    </w:p>
    <w:p>
      <w:pPr>
        <w:pStyle w:val="BookText"/>
      </w:pPr>
      <w:r>
        <w:rPr>
          <w:rFonts w:ascii="Amiri" w:hAnsi="Amiri" w:eastAsia="Amiri" w:cs="Amiri"/>
          <w:lang w:bidi="ar-SA"/>
          <w:color w:val="111111"/>
          <w:sz w:val="28"/>
          <w:szCs w:val="28"/>
          <w:rtl/>
        </w:rPr>
        <w:t xml:space="preserve">انجو شيرازي ، جمال الدين- جمال الدين</w:t>
      </w:r>
    </w:p>
    <w:p>
      <w:pPr>
        <w:pStyle w:val="BookText"/>
      </w:pPr>
      <w:r>
        <w:rPr>
          <w:rFonts w:ascii="Amiri" w:hAnsi="Amiri" w:eastAsia="Amiri" w:cs="Amiri"/>
          <w:lang w:bidi="ar-SA"/>
          <w:color w:val="111111"/>
          <w:sz w:val="28"/>
          <w:szCs w:val="28"/>
          <w:rtl/>
        </w:rPr>
        <w:t xml:space="preserve">انجو ، حسين بن حسن</w:t>
      </w:r>
    </w:p>
    <w:p>
      <w:pPr>
        <w:pStyle w:val="BookText"/>
      </w:pPr>
      <w:r>
        <w:rPr>
          <w:rFonts w:ascii="IRNazanin" w:hAnsi="IRNazanin" w:eastAsia="IRNazanin" w:cs="IRNazanin"/>
          <w:lang w:bidi="fa-IR"/>
          <w:color w:val="111111"/>
          <w:sz w:val="28"/>
          <w:szCs w:val="28"/>
          <w:rtl/>
        </w:rPr>
        <w:t xml:space="preserve">اندروسفاني ، عبد السلام بن حسن -حجی،عبدالسلام بن محمّد</w:t>
      </w:r>
    </w:p>
    <w:p>
      <w:pPr>
        <w:pStyle w:val="Heading2"/>
      </w:pPr>
      <w:bookmarkStart w:id="2412" w:name="_Toc1514"/>
      <w:r>
        <w:t>اندريتي ، عالم بن علاء قرن 8 ه-</w:t>
      </w:r>
      <w:bookmarkEnd w:id="2412"/>
    </w:p>
    <w:p>
      <w:pPr>
        <w:pStyle w:val="BookText"/>
      </w:pPr>
      <w:r>
        <w:rPr>
          <w:rFonts w:ascii="Amiri" w:hAnsi="Amiri" w:eastAsia="Amiri" w:cs="Amiri"/>
          <w:lang w:bidi="ar-SA"/>
          <w:color w:val="111111"/>
          <w:sz w:val="28"/>
          <w:szCs w:val="28"/>
          <w:rtl/>
        </w:rPr>
        <w:t xml:space="preserve">التاتارخانية = الفتاوى التاتارخانية =</w:t>
      </w:r>
    </w:p>
    <w:p>
      <w:pPr>
        <w:pStyle w:val="BookText"/>
      </w:pPr>
      <w:r>
        <w:rPr>
          <w:rFonts w:ascii="IRNazanin" w:hAnsi="IRNazanin" w:eastAsia="IRNazanin" w:cs="IRNazanin"/>
          <w:lang w:bidi="fa-IR"/>
          <w:color w:val="111111"/>
          <w:sz w:val="28"/>
          <w:szCs w:val="28"/>
          <w:rtl/>
        </w:rPr>
        <w:t xml:space="preserve">زاد المسافر، ج 3، ص 529.</w:t>
      </w:r>
    </w:p>
    <w:p>
      <w:pPr>
        <w:pStyle w:val="Heading2"/>
      </w:pPr>
      <w:bookmarkStart w:id="2413" w:name="_Toc1515"/>
      <w:r>
        <w:t>اندلسي ، ابو عبدالله</w:t>
      </w:r>
      <w:bookmarkEnd w:id="2413"/>
    </w:p>
    <w:p>
      <w:pPr>
        <w:pStyle w:val="BookText"/>
      </w:pPr>
      <w:r>
        <w:rPr>
          <w:rFonts w:ascii="Amiri" w:hAnsi="Amiri" w:eastAsia="Amiri" w:cs="Amiri"/>
          <w:lang w:bidi="ar-SA"/>
          <w:color w:val="111111"/>
          <w:sz w:val="28"/>
          <w:szCs w:val="28"/>
          <w:rtl/>
        </w:rPr>
        <w:t xml:space="preserve">شرح قصيدة بديعة المعاني، ج9،</w:t>
      </w:r>
    </w:p>
    <w:p>
      <w:pPr>
        <w:pStyle w:val="BookText"/>
      </w:pPr>
      <w:r>
        <w:rPr>
          <w:rFonts w:ascii="IRNazanin" w:hAnsi="IRNazanin" w:eastAsia="IRNazanin" w:cs="IRNazanin"/>
          <w:lang w:bidi="fa-IR"/>
          <w:color w:val="111111"/>
          <w:sz w:val="28"/>
          <w:szCs w:val="28"/>
          <w:rtl/>
        </w:rPr>
        <w:t xml:space="preserve">ص 844.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0" w:name="pg7742_69823"/>
    <w:bookmarkEnd w:id="220"/>
    <w:p>
      <w:pPr>
        <w:pStyle w:val="BookText"/>
      </w:pPr>
      <w:r>
        <w:rPr>
          <w:rFonts w:ascii="Amiri" w:hAnsi="Amiri" w:eastAsia="Amiri" w:cs="Amiri"/>
          <w:lang w:bidi="ar-SA"/>
          <w:color w:val="111111"/>
          <w:sz w:val="28"/>
          <w:szCs w:val="28"/>
          <w:rtl/>
        </w:rPr>
        <w:t xml:space="preserve">اندلسي، احمد بن ادريس -ابن ادريس ،</w:t>
      </w:r>
    </w:p>
    <w:p>
      <w:pPr>
        <w:pStyle w:val="BookText"/>
      </w:pPr>
      <w:r>
        <w:rPr>
          <w:rFonts w:ascii="IRNazanin" w:hAnsi="IRNazanin" w:eastAsia="IRNazanin" w:cs="IRNazanin"/>
          <w:lang w:bidi="fa-IR"/>
          <w:color w:val="111111"/>
          <w:sz w:val="28"/>
          <w:szCs w:val="28"/>
          <w:rtl/>
        </w:rPr>
        <w:t xml:space="preserve">احمد بن ادریس</w:t>
      </w:r>
    </w:p>
    <w:p>
      <w:pPr>
        <w:pStyle w:val="Heading2"/>
      </w:pPr>
      <w:bookmarkStart w:id="2414" w:name="_Toc1516"/>
      <w:r>
        <w:t>اندلسي ، احمد بن عبدالعزيز قرن 11 ه-</w:t>
      </w:r>
      <w:bookmarkEnd w:id="2414"/>
    </w:p>
    <w:p>
      <w:pPr>
        <w:pStyle w:val="BookText"/>
      </w:pPr>
      <w:r>
        <w:rPr>
          <w:rFonts w:ascii="Amiri" w:hAnsi="Amiri" w:eastAsia="Amiri" w:cs="Amiri"/>
          <w:lang w:bidi="ar-SA"/>
          <w:color w:val="111111"/>
          <w:sz w:val="28"/>
          <w:szCs w:val="28"/>
          <w:rtl/>
        </w:rPr>
        <w:t xml:space="preserve">مانح الغناء و مزيل العناء عن كتاب</w:t>
      </w:r>
    </w:p>
    <w:p>
      <w:pPr>
        <w:pStyle w:val="BookText"/>
      </w:pPr>
      <w:r>
        <w:rPr>
          <w:rFonts w:ascii="IRNazanin" w:hAnsi="IRNazanin" w:eastAsia="IRNazanin" w:cs="IRNazanin"/>
          <w:lang w:bidi="fa-IR"/>
          <w:color w:val="111111"/>
          <w:sz w:val="28"/>
          <w:szCs w:val="28"/>
          <w:rtl/>
        </w:rPr>
        <w:t xml:space="preserve">البناء = شرح بناء الأفعال، ج13،</w:t>
      </w:r>
    </w:p>
    <w:p>
      <w:pPr>
        <w:pStyle w:val="BookText"/>
      </w:pPr>
      <w:r>
        <w:rPr>
          <w:rFonts w:ascii="IRNazanin" w:hAnsi="IRNazanin" w:eastAsia="IRNazanin" w:cs="IRNazanin"/>
          <w:lang w:bidi="fa-IR"/>
          <w:color w:val="111111"/>
          <w:sz w:val="28"/>
          <w:szCs w:val="28"/>
          <w:rtl/>
        </w:rPr>
        <w:t xml:space="preserve">ص 687 .</w:t>
      </w:r>
    </w:p>
    <w:p>
      <w:pPr>
        <w:pStyle w:val="BookText"/>
      </w:pPr>
      <w:r>
        <w:rPr>
          <w:rFonts w:ascii="Amiri" w:hAnsi="Amiri" w:eastAsia="Amiri" w:cs="Amiri"/>
          <w:lang w:bidi="ar-SA"/>
          <w:color w:val="111111"/>
          <w:sz w:val="28"/>
          <w:szCs w:val="28"/>
          <w:rtl/>
        </w:rPr>
        <w:t xml:space="preserve">اندلسي ، برهان الدين بن وثيق -ابن وثيق</w:t>
      </w:r>
    </w:p>
    <w:p>
      <w:pPr>
        <w:pStyle w:val="BookText"/>
      </w:pPr>
      <w:r>
        <w:rPr>
          <w:rFonts w:ascii="Amiri" w:hAnsi="Amiri" w:eastAsia="Amiri" w:cs="Amiri"/>
          <w:lang w:bidi="ar-SA"/>
          <w:color w:val="111111"/>
          <w:sz w:val="28"/>
          <w:szCs w:val="28"/>
          <w:rtl/>
        </w:rPr>
        <w:t xml:space="preserve">اندلسي ، برهان الدين</w:t>
      </w:r>
    </w:p>
    <w:p>
      <w:pPr>
        <w:pStyle w:val="Heading2"/>
      </w:pPr>
      <w:bookmarkStart w:id="2415" w:name="_Toc1517"/>
      <w:r>
        <w:t>اندلسي ، قاسم بن احمد، 575 - 661 ه-</w:t>
      </w:r>
      <w:bookmarkEnd w:id="2415"/>
    </w:p>
    <w:p>
      <w:pPr>
        <w:pStyle w:val="BookText"/>
      </w:pPr>
      <w:r>
        <w:rPr>
          <w:rFonts w:ascii="Amiri" w:hAnsi="Amiri" w:eastAsia="Amiri" w:cs="Amiri"/>
          <w:lang w:bidi="ar-SA"/>
          <w:color w:val="111111"/>
          <w:sz w:val="28"/>
          <w:szCs w:val="28"/>
          <w:rtl/>
        </w:rPr>
        <w:t xml:space="preserve">المفيد في شرح القصيد = شرح</w:t>
      </w:r>
    </w:p>
    <w:p>
      <w:pPr>
        <w:pStyle w:val="BookText"/>
      </w:pPr>
      <w:r>
        <w:rPr>
          <w:rFonts w:ascii="Amiri" w:hAnsi="Amiri" w:eastAsia="Amiri" w:cs="Amiri"/>
          <w:lang w:bidi="ar-SA"/>
          <w:color w:val="111111"/>
          <w:sz w:val="28"/>
          <w:szCs w:val="28"/>
          <w:rtl/>
        </w:rPr>
        <w:t xml:space="preserve">الشاطبية، ج 15 ، ص 260 .</w:t>
      </w:r>
    </w:p>
    <w:p>
      <w:pPr>
        <w:pStyle w:val="BookText"/>
      </w:pPr>
      <w:r>
        <w:rPr>
          <w:rFonts w:ascii="Amiri" w:hAnsi="Amiri" w:eastAsia="Amiri" w:cs="Amiri"/>
          <w:lang w:bidi="ar-SA"/>
          <w:color w:val="111111"/>
          <w:sz w:val="28"/>
          <w:szCs w:val="28"/>
          <w:rtl/>
        </w:rPr>
        <w:t xml:space="preserve">اندلسي ، محمّد بن ابي جيش- ابوالجيش</w:t>
      </w:r>
    </w:p>
    <w:p>
      <w:pPr>
        <w:pStyle w:val="BookText"/>
      </w:pPr>
      <w:r>
        <w:rPr>
          <w:rFonts w:ascii="Amiri" w:hAnsi="Amiri" w:eastAsia="Amiri" w:cs="Amiri"/>
          <w:lang w:bidi="ar-SA"/>
          <w:color w:val="111111"/>
          <w:sz w:val="28"/>
          <w:szCs w:val="28"/>
          <w:rtl/>
        </w:rPr>
        <w:t xml:space="preserve">اندلسي ، عبدالله بن محمّد</w:t>
      </w:r>
    </w:p>
    <w:p>
      <w:pPr>
        <w:pStyle w:val="Heading2"/>
      </w:pPr>
      <w:bookmarkStart w:id="2416" w:name="_Toc1518"/>
      <w:r>
        <w:t>اندلسي ، محمّد بن جابر - 793 ه-</w:t>
      </w:r>
      <w:bookmarkEnd w:id="2416"/>
    </w:p>
    <w:p>
      <w:pPr>
        <w:pStyle w:val="BookText"/>
      </w:pPr>
      <w:r>
        <w:rPr>
          <w:rFonts w:ascii="Amiri" w:hAnsi="Amiri" w:eastAsia="Amiri" w:cs="Amiri"/>
          <w:lang w:bidi="ar-SA"/>
          <w:color w:val="111111"/>
          <w:sz w:val="28"/>
          <w:szCs w:val="28"/>
          <w:rtl/>
        </w:rPr>
        <w:t xml:space="preserve">1 .الحلة السيراء في مدح خير الورى</w:t>
      </w:r>
    </w:p>
    <w:p>
      <w:pPr>
        <w:pStyle w:val="BookText"/>
      </w:pPr>
      <w:r>
        <w:rPr>
          <w:rFonts w:ascii="IRNazanin" w:hAnsi="IRNazanin" w:eastAsia="IRNazanin" w:cs="IRNazanin"/>
          <w:lang w:bidi="fa-IR"/>
          <w:color w:val="111111"/>
          <w:sz w:val="28"/>
          <w:szCs w:val="28"/>
          <w:rtl/>
        </w:rPr>
        <w:t xml:space="preserve">ج 6، ص 776 .</w:t>
      </w:r>
    </w:p>
    <w:p>
      <w:pPr>
        <w:pStyle w:val="BookText"/>
      </w:pPr>
      <w:r>
        <w:rPr>
          <w:rFonts w:ascii="Amiri" w:hAnsi="Amiri" w:eastAsia="Amiri" w:cs="Amiri"/>
          <w:lang w:bidi="ar-SA"/>
          <w:color w:val="111111"/>
          <w:sz w:val="28"/>
          <w:szCs w:val="28"/>
          <w:rtl/>
        </w:rPr>
        <w:t xml:space="preserve">2 .سور القرآن الكريم (ارجوزة في)</w:t>
      </w:r>
    </w:p>
    <w:p>
      <w:pPr>
        <w:pStyle w:val="BookText"/>
      </w:pPr>
      <w:r>
        <w:rPr>
          <w:rFonts w:ascii="IRNazanin" w:hAnsi="IRNazanin" w:eastAsia="IRNazanin" w:cs="IRNazanin"/>
          <w:lang w:bidi="fa-IR"/>
          <w:color w:val="111111"/>
          <w:sz w:val="28"/>
          <w:szCs w:val="28"/>
          <w:rtl/>
        </w:rPr>
        <w:t xml:space="preserve">ج 8، ص 866.</w:t>
      </w:r>
    </w:p>
    <w:p>
      <w:pPr>
        <w:pStyle w:val="BookText"/>
      </w:pPr>
      <w:r>
        <w:rPr>
          <w:rFonts w:ascii="Amiri" w:hAnsi="Amiri" w:eastAsia="Amiri" w:cs="Amiri"/>
          <w:lang w:bidi="ar-SA"/>
          <w:color w:val="111111"/>
          <w:sz w:val="28"/>
          <w:szCs w:val="28"/>
          <w:rtl/>
        </w:rPr>
        <w:t xml:space="preserve">اندلسي ، محمّد بن هاني- ابن هاني اندلسي ، محمّد بن هاني</w:t>
      </w:r>
    </w:p>
    <w:p>
      <w:pPr>
        <w:pStyle w:val="Heading2"/>
      </w:pPr>
      <w:bookmarkStart w:id="2417" w:name="_Toc1519"/>
      <w:r>
        <w:t>اندلسي ، يوسف بن عبدالله</w:t>
      </w:r>
      <w:bookmarkEnd w:id="2417"/>
    </w:p>
    <w:p>
      <w:pPr>
        <w:pStyle w:val="BookText"/>
      </w:pPr>
      <w:r>
        <w:rPr>
          <w:rFonts w:ascii="Amiri" w:hAnsi="Amiri" w:eastAsia="Amiri" w:cs="Amiri"/>
          <w:lang w:bidi="ar-SA"/>
          <w:color w:val="111111"/>
          <w:sz w:val="28"/>
          <w:szCs w:val="28"/>
          <w:rtl/>
        </w:rPr>
        <w:t xml:space="preserve">الاستذكار، ج 2، ص 128</w:t>
      </w:r>
    </w:p>
    <w:p>
      <w:pPr>
        <w:pStyle w:val="BookText"/>
      </w:pPr>
      <w:r>
        <w:rPr>
          <w:rFonts w:ascii="Amiri" w:hAnsi="Amiri" w:eastAsia="Amiri" w:cs="Amiri"/>
          <w:lang w:bidi="ar-SA"/>
          <w:color w:val="111111"/>
          <w:sz w:val="28"/>
          <w:szCs w:val="28"/>
          <w:rtl/>
        </w:rPr>
        <w:t xml:space="preserve">انستاس ماري -كرملي، انستاس ماري</w:t>
      </w:r>
    </w:p>
    <w:p>
      <w:pPr>
        <w:pStyle w:val="BookText"/>
      </w:pPr>
      <w:r>
        <w:rPr>
          <w:rFonts w:ascii="Amiri" w:hAnsi="Amiri" w:eastAsia="Amiri" w:cs="Amiri"/>
          <w:lang w:bidi="ar-SA"/>
          <w:color w:val="111111"/>
          <w:sz w:val="28"/>
          <w:szCs w:val="28"/>
          <w:rtl/>
        </w:rPr>
        <w:t xml:space="preserve">انصاري ، ابراهيم بن محمّد -برماوي ،</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انصاري ابزري، عميد الدين ابونصر- فالي</w:t>
      </w:r>
    </w:p>
    <w:p>
      <w:pPr>
        <w:pStyle w:val="BookText"/>
      </w:pPr>
      <w:r>
        <w:rPr>
          <w:rFonts w:ascii="IRNazanin" w:hAnsi="IRNazanin" w:eastAsia="IRNazanin" w:cs="IRNazanin"/>
          <w:lang w:bidi="fa-IR"/>
          <w:color w:val="111111"/>
          <w:sz w:val="28"/>
          <w:szCs w:val="28"/>
          <w:rtl/>
        </w:rPr>
        <w:t xml:space="preserve">اسعد بن نصر</w:t>
      </w:r>
    </w:p>
    <w:p>
      <w:pPr>
        <w:pStyle w:val="Heading2"/>
      </w:pPr>
      <w:bookmarkStart w:id="2418" w:name="_Toc1520"/>
      <w:r>
        <w:t>انصاري ، ابوطالب</w:t>
      </w:r>
      <w:bookmarkEnd w:id="2418"/>
    </w:p>
    <w:p>
      <w:pPr>
        <w:pStyle w:val="BookText"/>
      </w:pPr>
      <w:r>
        <w:rPr>
          <w:rFonts w:ascii="Amiri" w:hAnsi="Amiri" w:eastAsia="Amiri" w:cs="Amiri"/>
          <w:lang w:bidi="ar-SA"/>
          <w:color w:val="111111"/>
          <w:sz w:val="28"/>
          <w:szCs w:val="28"/>
          <w:rtl/>
        </w:rPr>
        <w:t xml:space="preserve">علم الفراسة (رسالة في)، ج11،</w:t>
      </w:r>
    </w:p>
    <w:p>
      <w:pPr>
        <w:pStyle w:val="BookText"/>
      </w:pPr>
      <w:r>
        <w:rPr>
          <w:rFonts w:ascii="IRNazanin" w:hAnsi="IRNazanin" w:eastAsia="IRNazanin" w:cs="IRNazanin"/>
          <w:lang w:bidi="fa-IR"/>
          <w:color w:val="111111"/>
          <w:sz w:val="28"/>
          <w:szCs w:val="28"/>
          <w:rtl/>
        </w:rPr>
        <w:t xml:space="preserve">ص 252 .</w:t>
      </w:r>
    </w:p>
    <w:p>
      <w:pPr>
        <w:pStyle w:val="Heading2"/>
      </w:pPr>
      <w:bookmarkStart w:id="2419" w:name="_Toc1521"/>
      <w:r>
        <w:t>انصاري ، احمد بن روح الله - 1008 ه-</w:t>
      </w:r>
      <w:bookmarkEnd w:id="2419"/>
    </w:p>
    <w:p>
      <w:pPr>
        <w:pStyle w:val="BookText"/>
      </w:pPr>
      <w:r>
        <w:rPr>
          <w:rFonts w:ascii="Amiri" w:hAnsi="Amiri" w:eastAsia="Amiri" w:cs="Amiri"/>
          <w:lang w:bidi="ar-SA"/>
          <w:color w:val="111111"/>
          <w:sz w:val="28"/>
          <w:szCs w:val="28"/>
          <w:rtl/>
        </w:rPr>
        <w:t xml:space="preserve">1 .ادب القاضي، ج 1، ص 592.</w:t>
      </w:r>
    </w:p>
    <w:p>
      <w:pPr>
        <w:pStyle w:val="BookText"/>
      </w:pPr>
      <w:r>
        <w:rPr>
          <w:rFonts w:ascii="Amiri" w:hAnsi="Amiri" w:eastAsia="Amiri" w:cs="Amiri"/>
          <w:lang w:bidi="ar-SA"/>
          <w:color w:val="111111"/>
          <w:sz w:val="28"/>
          <w:szCs w:val="28"/>
          <w:rtl/>
        </w:rPr>
        <w:t xml:space="preserve">2 .تعليقة على أنوار التنزيل و اسرار</w:t>
      </w:r>
    </w:p>
    <w:p>
      <w:pPr>
        <w:pStyle w:val="BookText"/>
      </w:pPr>
      <w:r>
        <w:rPr>
          <w:rFonts w:ascii="Amiri" w:hAnsi="Amiri" w:eastAsia="Amiri" w:cs="Amiri"/>
          <w:lang w:bidi="ar-SA"/>
          <w:color w:val="111111"/>
          <w:sz w:val="28"/>
          <w:szCs w:val="28"/>
          <w:rtl/>
        </w:rPr>
        <w:t xml:space="preserve">التأويل، ج4، ص 512.</w:t>
      </w:r>
    </w:p>
    <w:p>
      <w:pPr>
        <w:pStyle w:val="BookText"/>
      </w:pPr>
      <w:r>
        <w:rPr>
          <w:rFonts w:ascii="Amiri" w:hAnsi="Amiri" w:eastAsia="Amiri" w:cs="Amiri"/>
          <w:lang w:bidi="ar-SA"/>
          <w:color w:val="111111"/>
          <w:sz w:val="28"/>
          <w:szCs w:val="28"/>
          <w:rtl/>
        </w:rPr>
        <w:t xml:space="preserve">انصاري ، احمد بن علي( ابن خاتمه)- ابن</w:t>
      </w:r>
    </w:p>
    <w:p>
      <w:pPr>
        <w:pStyle w:val="BookText"/>
      </w:pPr>
      <w:r>
        <w:rPr>
          <w:rFonts w:ascii="Amiri" w:hAnsi="Amiri" w:eastAsia="Amiri" w:cs="Amiri"/>
          <w:lang w:bidi="ar-SA"/>
          <w:color w:val="111111"/>
          <w:sz w:val="28"/>
          <w:szCs w:val="28"/>
          <w:rtl/>
        </w:rPr>
        <w:t xml:space="preserve">خاتمه ، احمد بن علي</w:t>
      </w:r>
    </w:p>
    <w:p>
      <w:pPr>
        <w:pStyle w:val="BookText"/>
      </w:pPr>
      <w:r>
        <w:rPr>
          <w:rFonts w:ascii="Amiri" w:hAnsi="Amiri" w:eastAsia="Amiri" w:cs="Amiri"/>
          <w:lang w:bidi="ar-SA"/>
          <w:color w:val="111111"/>
          <w:sz w:val="28"/>
          <w:szCs w:val="28"/>
          <w:rtl/>
        </w:rPr>
        <w:t xml:space="preserve">انصاري ، احمد بن عمر -قرطبي ، احمد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انصاري ، احمد بن محمّد- شرواني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انصاري ، احمد بن محمّد- غنيمي ، احمد</w:t>
      </w:r>
    </w:p>
    <w:p>
      <w:pPr>
        <w:pStyle w:val="BookText"/>
      </w:pPr>
      <w:r>
        <w:rPr>
          <w:rFonts w:ascii="Amiri" w:hAnsi="Amiri" w:eastAsia="Amiri" w:cs="Amiri"/>
          <w:lang w:bidi="ar-SA"/>
          <w:color w:val="111111"/>
          <w:sz w:val="28"/>
          <w:szCs w:val="28"/>
          <w:rtl/>
        </w:rPr>
        <w:t xml:space="preserve">بن محمّد</w:t>
      </w:r>
    </w:p>
    <w:p>
      <w:pPr>
        <w:pStyle w:val="Heading2"/>
      </w:pPr>
      <w:bookmarkStart w:id="2420" w:name="_Toc1522"/>
      <w:r>
        <w:t>انصاري ، احمد بن محمّد - 910؟ ه-</w:t>
      </w:r>
      <w:bookmarkEnd w:id="2420"/>
    </w:p>
    <w:p>
      <w:pPr>
        <w:pStyle w:val="BookText"/>
      </w:pPr>
      <w:r>
        <w:rPr>
          <w:rFonts w:ascii="Amiri" w:hAnsi="Amiri" w:eastAsia="Amiri" w:cs="Amiri"/>
          <w:lang w:bidi="ar-SA"/>
          <w:color w:val="111111"/>
          <w:sz w:val="28"/>
          <w:szCs w:val="28"/>
          <w:rtl/>
        </w:rPr>
        <w:t xml:space="preserve">حوادث الزمان و وفيات الشيوخ و</w:t>
      </w:r>
    </w:p>
    <w:p>
      <w:pPr>
        <w:pStyle w:val="BookText"/>
      </w:pPr>
      <w:r>
        <w:rPr>
          <w:rFonts w:ascii="IRNazanin" w:hAnsi="IRNazanin" w:eastAsia="IRNazanin" w:cs="IRNazanin"/>
          <w:lang w:bidi="fa-IR"/>
          <w:color w:val="111111"/>
          <w:sz w:val="28"/>
          <w:szCs w:val="28"/>
          <w:rtl/>
        </w:rPr>
        <w:t xml:space="preserve">الاقران، ج 6، ص 828.</w:t>
      </w:r>
    </w:p>
    <w:p>
      <w:pPr>
        <w:pStyle w:val="BookText"/>
      </w:pPr>
      <w:r>
        <w:rPr>
          <w:rFonts w:ascii="Amiri" w:hAnsi="Amiri" w:eastAsia="Amiri" w:cs="Amiri"/>
          <w:lang w:bidi="ar-SA"/>
          <w:color w:val="111111"/>
          <w:sz w:val="28"/>
          <w:szCs w:val="28"/>
          <w:rtl/>
        </w:rPr>
        <w:t xml:space="preserve">انصاري، اسماعيل بن خلف- سرقسطي</w:t>
      </w:r>
    </w:p>
    <w:p>
      <w:pPr>
        <w:pStyle w:val="BookText"/>
      </w:pPr>
      <w:r>
        <w:rPr>
          <w:rFonts w:ascii="Amiri" w:hAnsi="Amiri" w:eastAsia="Amiri" w:cs="Amiri"/>
          <w:lang w:bidi="ar-SA"/>
          <w:color w:val="111111"/>
          <w:sz w:val="28"/>
          <w:szCs w:val="28"/>
          <w:rtl/>
        </w:rPr>
        <w:t xml:space="preserve">اسماعيل بن خلف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1" w:name="pg7742_69825"/>
    <w:bookmarkEnd w:id="221"/>
    <w:p>
      <w:pPr>
        <w:pStyle w:val="BookText"/>
      </w:pPr>
      <w:r>
        <w:rPr>
          <w:rFonts w:ascii="Amiri" w:hAnsi="Amiri" w:eastAsia="Amiri" w:cs="Amiri"/>
          <w:lang w:bidi="ar-SA"/>
          <w:color w:val="111111"/>
          <w:sz w:val="28"/>
          <w:szCs w:val="28"/>
          <w:rtl/>
        </w:rPr>
        <w:t xml:space="preserve">انصاري بخاري ، احمد بن محمّد -ابن</w:t>
      </w:r>
    </w:p>
    <w:p>
      <w:pPr>
        <w:pStyle w:val="BookText"/>
      </w:pPr>
      <w:r>
        <w:rPr>
          <w:rFonts w:ascii="Amiri" w:hAnsi="Amiri" w:eastAsia="Amiri" w:cs="Amiri"/>
          <w:lang w:bidi="ar-SA"/>
          <w:color w:val="111111"/>
          <w:sz w:val="28"/>
          <w:szCs w:val="28"/>
          <w:rtl/>
        </w:rPr>
        <w:t xml:space="preserve">الرفعة ، احمد بن محمّد</w:t>
      </w:r>
    </w:p>
    <w:p>
      <w:pPr>
        <w:pStyle w:val="Heading2"/>
      </w:pPr>
      <w:bookmarkStart w:id="2421" w:name="_Toc1523"/>
      <w:r>
        <w:t>انصاري ، بدر الدين بن احمد قرن 11 ه-</w:t>
      </w:r>
      <w:bookmarkEnd w:id="2421"/>
    </w:p>
    <w:p>
      <w:pPr>
        <w:pStyle w:val="BookText"/>
      </w:pPr>
      <w:r>
        <w:rPr>
          <w:rFonts w:ascii="Amiri" w:hAnsi="Amiri" w:eastAsia="Amiri" w:cs="Amiri"/>
          <w:lang w:bidi="ar-SA"/>
          <w:color w:val="111111"/>
          <w:sz w:val="28"/>
          <w:szCs w:val="28"/>
          <w:rtl/>
        </w:rPr>
        <w:t xml:space="preserve">حاشية الكافي، ج 6، ص 321.</w:t>
      </w:r>
    </w:p>
    <w:p>
      <w:pPr>
        <w:pStyle w:val="Heading2"/>
      </w:pPr>
      <w:bookmarkStart w:id="2422" w:name="_Toc1524"/>
      <w:r>
        <w:t>انصاري ، حسن بن اسدالله قرن 13 ه-</w:t>
      </w:r>
      <w:bookmarkEnd w:id="2422"/>
    </w:p>
    <w:p>
      <w:pPr>
        <w:pStyle w:val="BookText"/>
      </w:pPr>
      <w:r>
        <w:rPr>
          <w:rFonts w:ascii="Amiri" w:hAnsi="Amiri" w:eastAsia="Amiri" w:cs="Amiri"/>
          <w:lang w:bidi="ar-SA"/>
          <w:color w:val="111111"/>
          <w:sz w:val="28"/>
          <w:szCs w:val="28"/>
          <w:rtl/>
        </w:rPr>
        <w:t xml:space="preserve">1 .أنوار مشارق الأقمار في أحكام النبي المختار و آله الأئمة الأطهار،</w:t>
      </w:r>
    </w:p>
    <w:p>
      <w:pPr>
        <w:pStyle w:val="BookText"/>
      </w:pPr>
      <w:r>
        <w:rPr>
          <w:rFonts w:ascii="IRNazanin" w:hAnsi="IRNazanin" w:eastAsia="IRNazanin" w:cs="IRNazanin"/>
          <w:lang w:bidi="fa-IR"/>
          <w:color w:val="111111"/>
          <w:sz w:val="28"/>
          <w:szCs w:val="28"/>
          <w:rtl/>
        </w:rPr>
        <w:t xml:space="preserve">ج 3، ص22.</w:t>
      </w:r>
    </w:p>
    <w:p>
      <w:pPr>
        <w:pStyle w:val="BookText"/>
      </w:pPr>
      <w:r>
        <w:rPr>
          <w:rFonts w:ascii="Amiri" w:hAnsi="Amiri" w:eastAsia="Amiri" w:cs="Amiri"/>
          <w:lang w:bidi="ar-SA"/>
          <w:color w:val="111111"/>
          <w:sz w:val="28"/>
          <w:szCs w:val="28"/>
          <w:rtl/>
        </w:rPr>
        <w:t xml:space="preserve">2 .مسلك النجاة إلى معرفة أحكام</w:t>
      </w:r>
    </w:p>
    <w:p>
      <w:pPr>
        <w:pStyle w:val="BookText"/>
      </w:pPr>
      <w:r>
        <w:rPr>
          <w:rFonts w:ascii="Amiri" w:hAnsi="Amiri" w:eastAsia="Amiri" w:cs="Amiri"/>
          <w:lang w:bidi="ar-SA"/>
          <w:color w:val="111111"/>
          <w:sz w:val="28"/>
          <w:szCs w:val="28"/>
          <w:rtl/>
        </w:rPr>
        <w:t xml:space="preserve">الزكاة، ج 14، ص 585.</w:t>
      </w:r>
    </w:p>
    <w:p>
      <w:pPr>
        <w:pStyle w:val="BookText"/>
      </w:pPr>
      <w:r>
        <w:rPr>
          <w:rFonts w:ascii="IRNazanin" w:hAnsi="IRNazanin" w:eastAsia="IRNazanin" w:cs="IRNazanin"/>
          <w:lang w:bidi="fa-IR"/>
          <w:color w:val="111111"/>
          <w:sz w:val="28"/>
          <w:szCs w:val="28"/>
          <w:rtl/>
        </w:rPr>
        <w:t xml:space="preserve">انصاري ، خالد بن زيد -ابوایوب انصاري ،</w:t>
      </w:r>
    </w:p>
    <w:p>
      <w:pPr>
        <w:pStyle w:val="BookText"/>
      </w:pPr>
      <w:r>
        <w:rPr>
          <w:rFonts w:ascii="IRNazanin" w:hAnsi="IRNazanin" w:eastAsia="IRNazanin" w:cs="IRNazanin"/>
          <w:lang w:bidi="fa-IR"/>
          <w:color w:val="111111"/>
          <w:sz w:val="28"/>
          <w:szCs w:val="28"/>
          <w:rtl/>
        </w:rPr>
        <w:t xml:space="preserve">خالد بن زید</w:t>
      </w:r>
    </w:p>
    <w:p>
      <w:pPr>
        <w:pStyle w:val="Heading2"/>
      </w:pPr>
      <w:bookmarkStart w:id="2423" w:name="_Toc1525"/>
      <w:r>
        <w:t>انصاري خزرجي ، سعد بن علي 568 ه-</w:t>
      </w:r>
      <w:bookmarkEnd w:id="2423"/>
    </w:p>
    <w:p>
      <w:pPr>
        <w:pStyle w:val="BookText"/>
      </w:pPr>
      <w:r>
        <w:rPr>
          <w:rFonts w:ascii="Amiri" w:hAnsi="Amiri" w:eastAsia="Amiri" w:cs="Amiri"/>
          <w:lang w:bidi="ar-SA"/>
          <w:color w:val="111111"/>
          <w:sz w:val="28"/>
          <w:szCs w:val="28"/>
          <w:rtl/>
        </w:rPr>
        <w:t xml:space="preserve">1 .الاعجاز في الاحاجي و الالغاز، ج 2،</w:t>
      </w:r>
    </w:p>
    <w:p>
      <w:pPr>
        <w:pStyle w:val="BookText"/>
      </w:pPr>
      <w:r>
        <w:rPr>
          <w:rFonts w:ascii="IRNazanin" w:hAnsi="IRNazanin" w:eastAsia="IRNazanin" w:cs="IRNazanin"/>
          <w:lang w:bidi="fa-IR"/>
          <w:color w:val="111111"/>
          <w:sz w:val="28"/>
          <w:szCs w:val="28"/>
          <w:rtl/>
        </w:rPr>
        <w:t xml:space="preserve">ص 521.</w:t>
      </w:r>
    </w:p>
    <w:p>
      <w:pPr>
        <w:pStyle w:val="BookText"/>
      </w:pPr>
      <w:r>
        <w:rPr>
          <w:rFonts w:ascii="Amiri" w:hAnsi="Amiri" w:eastAsia="Amiri" w:cs="Amiri"/>
          <w:lang w:bidi="ar-SA"/>
          <w:color w:val="111111"/>
          <w:sz w:val="28"/>
          <w:szCs w:val="28"/>
          <w:rtl/>
        </w:rPr>
        <w:t xml:space="preserve">2 .الكلم الصادقية في الحكمة</w:t>
      </w:r>
    </w:p>
    <w:p>
      <w:pPr>
        <w:pStyle w:val="BookText"/>
      </w:pPr>
      <w:r>
        <w:rPr>
          <w:rFonts w:ascii="Amiri" w:hAnsi="Amiri" w:eastAsia="Amiri" w:cs="Amiri"/>
          <w:lang w:bidi="ar-SA"/>
          <w:color w:val="111111"/>
          <w:sz w:val="28"/>
          <w:szCs w:val="28"/>
          <w:rtl/>
        </w:rPr>
        <w:t xml:space="preserve">الحقيقية، ج13، ص378.</w:t>
      </w:r>
    </w:p>
    <w:p>
      <w:pPr>
        <w:pStyle w:val="BookText"/>
      </w:pPr>
      <w:r>
        <w:rPr>
          <w:rFonts w:ascii="Amiri" w:hAnsi="Amiri" w:eastAsia="Amiri" w:cs="Amiri"/>
          <w:lang w:bidi="ar-SA"/>
          <w:color w:val="111111"/>
          <w:sz w:val="28"/>
          <w:szCs w:val="28"/>
          <w:rtl/>
        </w:rPr>
        <w:t xml:space="preserve">انصاري خزرجي ، عبد الله بن محمّد - خزرجي ، عبدالله بن محمّد</w:t>
      </w:r>
    </w:p>
    <w:p>
      <w:pPr>
        <w:pStyle w:val="BookText"/>
      </w:pPr>
      <w:r>
        <w:rPr>
          <w:rFonts w:ascii="Amiri" w:hAnsi="Amiri" w:eastAsia="Amiri" w:cs="Amiri"/>
          <w:lang w:bidi="ar-SA"/>
          <w:color w:val="111111"/>
          <w:sz w:val="28"/>
          <w:szCs w:val="28"/>
          <w:rtl/>
        </w:rPr>
        <w:t xml:space="preserve">محمّد</w:t>
      </w:r>
    </w:p>
    <w:p>
      <w:pPr>
        <w:pStyle w:val="Heading2"/>
      </w:pPr>
      <w:bookmarkStart w:id="2424" w:name="_Toc1526"/>
      <w:r>
        <w:t>انصاري ، خلف بن عبد العلي قرن 12 ه-</w:t>
      </w:r>
      <w:bookmarkEnd w:id="2424"/>
    </w:p>
    <w:p>
      <w:pPr>
        <w:pStyle w:val="BookText"/>
      </w:pPr>
      <w:r>
        <w:rPr>
          <w:rFonts w:ascii="Amiri" w:hAnsi="Amiri" w:eastAsia="Amiri" w:cs="Amiri"/>
          <w:lang w:bidi="ar-SA"/>
          <w:color w:val="111111"/>
          <w:sz w:val="28"/>
          <w:szCs w:val="28"/>
          <w:rtl/>
        </w:rPr>
        <w:t xml:space="preserve">1 .نجاسة عرق الجنب بالحرام (رسالة</w:t>
      </w:r>
    </w:p>
    <w:p>
      <w:pPr>
        <w:pStyle w:val="BookText"/>
      </w:pPr>
      <w:r>
        <w:rPr>
          <w:rFonts w:ascii="Amiri" w:hAnsi="Amiri" w:eastAsia="Amiri" w:cs="Amiri"/>
          <w:lang w:bidi="ar-SA"/>
          <w:color w:val="111111"/>
          <w:sz w:val="28"/>
          <w:szCs w:val="28"/>
          <w:rtl/>
        </w:rPr>
        <w:t xml:space="preserve">في)، ج 16 ، ص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ولاية الوصي على تزويج الصغير و الصغيرة و المجنون، ج 16، ص 884.</w:t>
      </w:r>
    </w:p>
    <w:p>
      <w:pPr>
        <w:pStyle w:val="Heading2"/>
      </w:pPr>
      <w:bookmarkStart w:id="2425" w:name="_Toc1527"/>
      <w:r>
        <w:t>انصاري، زكريا بن محمّد، 826-2926ه-</w:t>
      </w:r>
      <w:bookmarkEnd w:id="2425"/>
    </w:p>
    <w:p>
      <w:pPr>
        <w:pStyle w:val="BookText"/>
      </w:pPr>
      <w:r>
        <w:rPr>
          <w:rFonts w:ascii="Amiri" w:hAnsi="Amiri" w:eastAsia="Amiri" w:cs="Amiri"/>
          <w:lang w:bidi="ar-SA"/>
          <w:color w:val="111111"/>
          <w:sz w:val="28"/>
          <w:szCs w:val="28"/>
          <w:rtl/>
        </w:rPr>
        <w:t xml:space="preserve">1 .احكام الدلالة على تحرير الرسالة</w:t>
      </w:r>
    </w:p>
    <w:p>
      <w:pPr>
        <w:pStyle w:val="BookText"/>
      </w:pPr>
      <w:r>
        <w:rPr>
          <w:rFonts w:ascii="IRNazanin" w:hAnsi="IRNazanin" w:eastAsia="IRNazanin" w:cs="IRNazanin"/>
          <w:lang w:bidi="fa-IR"/>
          <w:color w:val="111111"/>
          <w:sz w:val="28"/>
          <w:szCs w:val="28"/>
          <w:rtl/>
        </w:rPr>
        <w:t xml:space="preserve">ج 1، ص 468.</w:t>
      </w:r>
    </w:p>
    <w:p>
      <w:pPr>
        <w:pStyle w:val="BookText"/>
      </w:pPr>
      <w:r>
        <w:rPr>
          <w:rFonts w:ascii="Amiri" w:hAnsi="Amiri" w:eastAsia="Amiri" w:cs="Amiri"/>
          <w:lang w:bidi="ar-SA"/>
          <w:color w:val="111111"/>
          <w:sz w:val="28"/>
          <w:szCs w:val="28"/>
          <w:rtl/>
        </w:rPr>
        <w:t xml:space="preserve">2 .أسنى المطالب في شرح الروض</w:t>
      </w:r>
    </w:p>
    <w:p>
      <w:pPr>
        <w:pStyle w:val="BookText"/>
      </w:pPr>
      <w:r>
        <w:rPr>
          <w:rFonts w:ascii="IRNazanin" w:hAnsi="IRNazanin" w:eastAsia="IRNazanin" w:cs="IRNazanin"/>
          <w:lang w:bidi="fa-IR"/>
          <w:color w:val="111111"/>
          <w:sz w:val="28"/>
          <w:szCs w:val="28"/>
          <w:rtl/>
        </w:rPr>
        <w:t xml:space="preserve">الطالب، ج2، ص 242.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الاضواء البهجة في ابراز دقايق المنفرجة = شرح قصيدة ابن</w:t>
      </w:r>
    </w:p>
    <w:p>
      <w:pPr>
        <w:pStyle w:val="BookText"/>
      </w:pPr>
      <w:r>
        <w:rPr>
          <w:rFonts w:ascii="Amiri" w:hAnsi="Amiri" w:eastAsia="Amiri" w:cs="Amiri"/>
          <w:lang w:bidi="ar-SA"/>
          <w:color w:val="111111"/>
          <w:sz w:val="28"/>
          <w:szCs w:val="28"/>
          <w:rtl/>
        </w:rPr>
        <w:t xml:space="preserve">النحوي، ج 2، ص 474.</w:t>
      </w:r>
    </w:p>
    <w:p>
      <w:pPr>
        <w:pStyle w:val="BookText"/>
      </w:pPr>
      <w:r>
        <w:rPr>
          <w:rFonts w:ascii="Amiri" w:hAnsi="Amiri" w:eastAsia="Amiri" w:cs="Amiri"/>
          <w:lang w:bidi="ar-SA"/>
          <w:color w:val="111111"/>
          <w:sz w:val="28"/>
          <w:szCs w:val="28"/>
          <w:rtl/>
        </w:rPr>
        <w:t xml:space="preserve">4 .أقصى الاماني في علم البيان والبديع</w:t>
      </w:r>
    </w:p>
    <w:p>
      <w:pPr>
        <w:pStyle w:val="BookText"/>
      </w:pPr>
      <w:r>
        <w:rPr>
          <w:rFonts w:ascii="Amiri" w:hAnsi="Amiri" w:eastAsia="Amiri" w:cs="Amiri"/>
          <w:lang w:bidi="ar-SA"/>
          <w:color w:val="111111"/>
          <w:sz w:val="28"/>
          <w:szCs w:val="28"/>
          <w:rtl/>
        </w:rPr>
        <w:t xml:space="preserve">و المعاني، ج 2، ص 626.</w:t>
      </w:r>
    </w:p>
    <w:p>
      <w:pPr>
        <w:pStyle w:val="BookText"/>
      </w:pPr>
      <w:r>
        <w:rPr>
          <w:rFonts w:ascii="Amiri" w:hAnsi="Amiri" w:eastAsia="Amiri" w:cs="Amiri"/>
          <w:lang w:bidi="ar-SA"/>
          <w:color w:val="111111"/>
          <w:sz w:val="28"/>
          <w:szCs w:val="28"/>
          <w:rtl/>
        </w:rPr>
        <w:t xml:space="preserve">5 .بديع المعاني في شرح عقيدة</w:t>
      </w:r>
    </w:p>
    <w:p>
      <w:pPr>
        <w:pStyle w:val="BookText"/>
      </w:pPr>
      <w:r>
        <w:rPr>
          <w:rFonts w:ascii="Amiri" w:hAnsi="Amiri" w:eastAsia="Amiri" w:cs="Amiri"/>
          <w:lang w:bidi="ar-SA"/>
          <w:color w:val="111111"/>
          <w:sz w:val="28"/>
          <w:szCs w:val="28"/>
          <w:rtl/>
        </w:rPr>
        <w:t xml:space="preserve">الشيباني، ج3، ص283.</w:t>
      </w:r>
    </w:p>
    <w:p>
      <w:pPr>
        <w:pStyle w:val="BookText"/>
      </w:pPr>
      <w:r>
        <w:rPr>
          <w:rFonts w:ascii="IRNazanin" w:hAnsi="IRNazanin" w:eastAsia="IRNazanin" w:cs="IRNazanin"/>
          <w:lang w:bidi="fa-IR"/>
          <w:color w:val="111111"/>
          <w:sz w:val="28"/>
          <w:szCs w:val="28"/>
          <w:rtl/>
        </w:rPr>
        <w:t xml:space="preserve">6 .بلوغ الارب بشرح شذور الذهب</w:t>
      </w:r>
    </w:p>
    <w:p>
      <w:pPr>
        <w:pStyle w:val="BookText"/>
      </w:pPr>
      <w:r>
        <w:rPr>
          <w:rFonts w:ascii="IRNazanin" w:hAnsi="IRNazanin" w:eastAsia="IRNazanin" w:cs="IRNazanin"/>
          <w:lang w:bidi="fa-IR"/>
          <w:color w:val="111111"/>
          <w:sz w:val="28"/>
          <w:szCs w:val="28"/>
          <w:rtl/>
        </w:rPr>
        <w:t xml:space="preserve">ج 3، ص 396.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تحرير تنقيح اللباب، ج 3، ص 736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تحفة الراغبين في بيان أمر الطواعين</w:t>
      </w:r>
    </w:p>
    <w:p>
      <w:pPr>
        <w:pStyle w:val="BookText"/>
      </w:pPr>
      <w:r>
        <w:rPr>
          <w:rFonts w:ascii="IRNazanin" w:hAnsi="IRNazanin" w:eastAsia="IRNazanin" w:cs="IRNazanin"/>
          <w:lang w:bidi="fa-IR"/>
          <w:color w:val="111111"/>
          <w:sz w:val="28"/>
          <w:szCs w:val="28"/>
          <w:rtl/>
        </w:rPr>
        <w:t xml:space="preserve">ج 3، ص 830.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تحفة الطلاب بشرح تحرير تنقيح</w:t>
      </w:r>
    </w:p>
    <w:p>
      <w:pPr>
        <w:pStyle w:val="BookText"/>
      </w:pPr>
      <w:r>
        <w:rPr>
          <w:rFonts w:ascii="IRNazanin" w:hAnsi="IRNazanin" w:eastAsia="IRNazanin" w:cs="IRNazanin"/>
          <w:lang w:bidi="fa-IR"/>
          <w:color w:val="111111"/>
          <w:sz w:val="28"/>
          <w:szCs w:val="28"/>
          <w:rtl/>
        </w:rPr>
        <w:t xml:space="preserve">اللباب، ج3، ص 861.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تحفة نجباء العصر في احكام النون</w:t>
      </w:r>
    </w:p>
    <w:p>
      <w:pPr>
        <w:pStyle w:val="BookText"/>
      </w:pPr>
      <w:r>
        <w:rPr>
          <w:rFonts w:ascii="Amiri" w:hAnsi="Amiri" w:eastAsia="Amiri" w:cs="Amiri"/>
          <w:lang w:bidi="ar-SA"/>
          <w:color w:val="111111"/>
          <w:sz w:val="28"/>
          <w:szCs w:val="28"/>
          <w:rtl/>
        </w:rPr>
        <w:t xml:space="preserve">الساكنة والتنوين و المد و القصر</w:t>
      </w:r>
    </w:p>
    <w:p>
      <w:pPr>
        <w:pStyle w:val="BookText"/>
      </w:pPr>
      <w:r>
        <w:rPr>
          <w:rFonts w:ascii="IRNazanin" w:hAnsi="IRNazanin" w:eastAsia="IRNazanin" w:cs="IRNazanin"/>
          <w:lang w:bidi="fa-IR"/>
          <w:color w:val="111111"/>
          <w:sz w:val="28"/>
          <w:szCs w:val="28"/>
          <w:rtl/>
        </w:rPr>
        <w:t xml:space="preserve">ج 4، ص 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التصوف (رسالة في)، ج 4، ص 429.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تلخيص الأزهية في أحكام الأدعية</w:t>
      </w:r>
    </w:p>
    <w:p>
      <w:pPr>
        <w:pStyle w:val="BookText"/>
      </w:pPr>
      <w:r>
        <w:rPr>
          <w:rFonts w:ascii="IRNazanin" w:hAnsi="IRNazanin" w:eastAsia="IRNazanin" w:cs="IRNazanin"/>
          <w:lang w:bidi="fa-IR"/>
          <w:color w:val="111111"/>
          <w:sz w:val="28"/>
          <w:szCs w:val="28"/>
          <w:rtl/>
        </w:rPr>
        <w:t xml:space="preserve">ج 4، ص 835.</w:t>
      </w:r>
    </w:p>
    <w:p>
      <w:pPr>
        <w:pStyle w:val="BookText"/>
      </w:pPr>
      <w:r>
        <w:rPr>
          <w:rFonts w:ascii="Amiri" w:hAnsi="Amiri" w:eastAsia="Amiri" w:cs="Amiri"/>
          <w:lang w:bidi="ar-SA"/>
          <w:color w:val="111111"/>
          <w:sz w:val="28"/>
          <w:szCs w:val="28"/>
          <w:rtl/>
        </w:rPr>
        <w:t xml:space="preserve">13 .ثبت زكريا الأنصاري - اسانيد المشايخ (رسالة في)، ج 5، ص 211.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الجنائز (رسالة في)، ج 5، ص 454 .</w:t>
      </w:r>
    </w:p>
    <w:p>
      <w:pPr>
        <w:pStyle w:val="BookText"/>
      </w:pPr>
      <w:r>
        <w:rPr>
          <w:rFonts w:ascii="Amiri" w:hAnsi="Amiri" w:eastAsia="Amiri" w:cs="Amiri"/>
          <w:lang w:bidi="ar-SA"/>
          <w:color w:val="111111"/>
          <w:sz w:val="28"/>
          <w:szCs w:val="28"/>
          <w:rtl/>
        </w:rPr>
        <w:t xml:space="preserve">15 .حاشية الدرة المضيئة في شرح</w:t>
      </w:r>
    </w:p>
    <w:p>
      <w:pPr>
        <w:pStyle w:val="BookText"/>
      </w:pPr>
      <w:r>
        <w:rPr>
          <w:rFonts w:ascii="Amiri" w:hAnsi="Amiri" w:eastAsia="Amiri" w:cs="Amiri"/>
          <w:lang w:bidi="ar-SA"/>
          <w:color w:val="111111"/>
          <w:sz w:val="28"/>
          <w:szCs w:val="28"/>
          <w:rtl/>
        </w:rPr>
        <w:t xml:space="preserve">الالفية، ج 5، ص 866.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حاشية شرح الالفية، ج 6، ص 37.</w:t>
      </w:r>
    </w:p>
    <w:p>
      <w:pPr>
        <w:pStyle w:val="BookText"/>
      </w:pPr>
      <w:r>
        <w:rPr>
          <w:rFonts w:ascii="Amiri" w:hAnsi="Amiri" w:eastAsia="Amiri" w:cs="Amiri"/>
          <w:lang w:bidi="ar-SA"/>
          <w:color w:val="111111"/>
          <w:sz w:val="28"/>
          <w:szCs w:val="28"/>
          <w:rtl/>
        </w:rPr>
        <w:t xml:space="preserve">17 . حاشية شرح البهجة الوردية على</w:t>
      </w:r>
    </w:p>
    <w:p>
      <w:pPr>
        <w:pStyle w:val="BookText"/>
      </w:pPr>
      <w:r>
        <w:rPr>
          <w:rFonts w:ascii="Amiri" w:hAnsi="Amiri" w:eastAsia="Amiri" w:cs="Amiri"/>
          <w:lang w:bidi="ar-SA"/>
          <w:color w:val="111111"/>
          <w:sz w:val="28"/>
          <w:szCs w:val="28"/>
          <w:rtl/>
        </w:rPr>
        <w:t xml:space="preserve">الحاوي الصغير، ج 6، ص 55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 حاشية شرح جمع الجوامع، ج 6،</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الحواشي المفهمة في شرح المقدمة</w:t>
      </w:r>
    </w:p>
    <w:p>
      <w:pPr>
        <w:pStyle w:val="BookText"/>
      </w:pPr>
      <w:r>
        <w:rPr>
          <w:rFonts w:ascii="Amiri" w:hAnsi="Amiri" w:eastAsia="Amiri" w:cs="Amiri"/>
          <w:lang w:bidi="ar-SA"/>
          <w:color w:val="111111"/>
          <w:sz w:val="28"/>
          <w:szCs w:val="28"/>
          <w:rtl/>
        </w:rPr>
        <w:t xml:space="preserve">الجزرية، ج 6، ص 846.</w:t>
      </w:r>
    </w:p>
    <w:p>
      <w:pPr>
        <w:pStyle w:val="BookText"/>
      </w:pPr>
      <w:r>
        <w:rPr>
          <w:rFonts w:ascii="Amiri" w:hAnsi="Amiri" w:eastAsia="Amiri" w:cs="Amiri"/>
          <w:lang w:bidi="ar-SA"/>
          <w:color w:val="111111"/>
          <w:sz w:val="28"/>
          <w:szCs w:val="28"/>
          <w:rtl/>
        </w:rPr>
        <w:t xml:space="preserve">20 .الخطب المنبرية = التحفة العلية</w:t>
      </w:r>
    </w:p>
    <w:p>
      <w:pPr>
        <w:pStyle w:val="BookText"/>
      </w:pPr>
      <w:r>
        <w:rPr>
          <w:rFonts w:ascii="Amiri" w:hAnsi="Amiri" w:eastAsia="Amiri" w:cs="Amiri"/>
          <w:lang w:bidi="ar-SA"/>
          <w:color w:val="111111"/>
          <w:sz w:val="28"/>
          <w:szCs w:val="28"/>
          <w:rtl/>
        </w:rPr>
        <w:t xml:space="preserve">في الخطب المنبرية، ج 7، ص 59.</w:t>
      </w:r>
    </w:p>
    <w:p>
      <w:pPr>
        <w:pStyle w:val="BookText"/>
      </w:pPr>
      <w:r>
        <w:rPr>
          <w:rFonts w:ascii="Amiri" w:hAnsi="Amiri" w:eastAsia="Amiri" w:cs="Amiri"/>
          <w:lang w:bidi="ar-SA"/>
          <w:color w:val="111111"/>
          <w:sz w:val="28"/>
          <w:szCs w:val="28"/>
          <w:rtl/>
        </w:rPr>
        <w:t xml:space="preserve">21 .خلاصة الفوائد الحموية في شرح</w:t>
      </w:r>
    </w:p>
    <w:p>
      <w:pPr>
        <w:pStyle w:val="BookText"/>
      </w:pPr>
      <w:r>
        <w:rPr>
          <w:rFonts w:ascii="Amiri" w:hAnsi="Amiri" w:eastAsia="Amiri" w:cs="Amiri"/>
          <w:lang w:bidi="ar-SA"/>
          <w:color w:val="111111"/>
          <w:sz w:val="28"/>
          <w:szCs w:val="28"/>
          <w:rtl/>
        </w:rPr>
        <w:t xml:space="preserve">البهجة الوردية، ج 7، ص 124.</w:t>
      </w:r>
    </w:p>
    <w:p>
      <w:pPr>
        <w:pStyle w:val="BookText"/>
      </w:pPr>
      <w:r>
        <w:rPr>
          <w:rFonts w:ascii="Amiri" w:hAnsi="Amiri" w:eastAsia="Amiri" w:cs="Amiri"/>
          <w:lang w:bidi="ar-SA"/>
          <w:color w:val="111111"/>
          <w:sz w:val="28"/>
          <w:szCs w:val="28"/>
          <w:rtl/>
        </w:rPr>
        <w:t xml:space="preserve">22 ا.لدرر السنية على شرح الالفية =</w:t>
      </w:r>
    </w:p>
    <w:p>
      <w:pPr>
        <w:pStyle w:val="BookText"/>
      </w:pPr>
      <w:r>
        <w:rPr>
          <w:rFonts w:ascii="Amiri" w:hAnsi="Amiri" w:eastAsia="Amiri" w:cs="Amiri"/>
          <w:lang w:bidi="ar-SA"/>
          <w:color w:val="111111"/>
          <w:sz w:val="28"/>
          <w:szCs w:val="28"/>
          <w:rtl/>
        </w:rPr>
        <w:t xml:space="preserve">الدرة السنية، ج 7، ص298.</w:t>
      </w:r>
    </w:p>
    <w:p>
      <w:pPr>
        <w:pStyle w:val="BookText"/>
      </w:pPr>
      <w:r>
        <w:rPr>
          <w:rFonts w:ascii="Amiri" w:hAnsi="Amiri" w:eastAsia="Amiri" w:cs="Amiri"/>
          <w:lang w:bidi="ar-SA"/>
          <w:color w:val="111111"/>
          <w:sz w:val="28"/>
          <w:szCs w:val="28"/>
          <w:rtl/>
        </w:rPr>
        <w:t xml:space="preserve">23 .الدقائق المحكمة في شرح المقدمة - شرح شيخ الاسلام، ج 7، ص 434 .</w:t>
      </w:r>
    </w:p>
    <w:p>
      <w:pPr>
        <w:pStyle w:val="BookText"/>
      </w:pPr>
      <w:r>
        <w:rPr>
          <w:rFonts w:ascii="Amiri" w:hAnsi="Amiri" w:eastAsia="Amiri" w:cs="Amiri"/>
          <w:lang w:bidi="ar-SA"/>
          <w:color w:val="111111"/>
          <w:sz w:val="28"/>
          <w:szCs w:val="28"/>
          <w:rtl/>
        </w:rPr>
        <w:t xml:space="preserve">24 .الزبدة الرائقة في شرح البردة</w:t>
      </w:r>
    </w:p>
    <w:p>
      <w:pPr>
        <w:pStyle w:val="BookText"/>
      </w:pPr>
      <w:r>
        <w:rPr>
          <w:rFonts w:ascii="Amiri" w:hAnsi="Amiri" w:eastAsia="Amiri" w:cs="Amiri"/>
          <w:lang w:bidi="ar-SA"/>
          <w:color w:val="111111"/>
          <w:sz w:val="28"/>
          <w:szCs w:val="28"/>
          <w:rtl/>
        </w:rPr>
        <w:t xml:space="preserve">الفائقة، ج8، ص 575.</w:t>
      </w:r>
    </w:p>
    <w:p>
      <w:pPr>
        <w:pStyle w:val="BookText"/>
      </w:pPr>
      <w:r>
        <w:rPr>
          <w:rFonts w:ascii="Amiri" w:hAnsi="Amiri" w:eastAsia="Amiri" w:cs="Amiri"/>
          <w:lang w:bidi="ar-SA"/>
          <w:color w:val="111111"/>
          <w:sz w:val="28"/>
          <w:szCs w:val="28"/>
          <w:rtl/>
        </w:rPr>
        <w:t xml:space="preserve">25 .شرح الايساغوجي، ج9، ص 269.</w:t>
      </w:r>
    </w:p>
    <w:p>
      <w:pPr>
        <w:pStyle w:val="BookText"/>
      </w:pPr>
      <w:r>
        <w:rPr>
          <w:rFonts w:ascii="Amiri" w:hAnsi="Amiri" w:eastAsia="Amiri" w:cs="Amiri"/>
          <w:lang w:bidi="ar-SA"/>
          <w:color w:val="111111"/>
          <w:sz w:val="28"/>
          <w:szCs w:val="28"/>
          <w:rtl/>
        </w:rPr>
        <w:t xml:space="preserve">26 .شرح البسملة و الحمدلة، ج 9،</w:t>
      </w:r>
    </w:p>
    <w:p>
      <w:pPr>
        <w:pStyle w:val="BookText"/>
      </w:pPr>
      <w:r>
        <w:rPr>
          <w:rFonts w:ascii="IRNazanin" w:hAnsi="IRNazanin" w:eastAsia="IRNazanin" w:cs="IRNazanin"/>
          <w:lang w:bidi="fa-IR"/>
          <w:color w:val="111111"/>
          <w:sz w:val="28"/>
          <w:szCs w:val="28"/>
          <w:rtl/>
        </w:rPr>
        <w:t xml:space="preserve">ص 285 .</w:t>
      </w:r>
    </w:p>
    <w:p>
      <w:pPr>
        <w:pStyle w:val="BookText"/>
      </w:pPr>
      <w:r>
        <w:rPr>
          <w:rFonts w:ascii="Amiri" w:hAnsi="Amiri" w:eastAsia="Amiri" w:cs="Amiri"/>
          <w:lang w:bidi="ar-SA"/>
          <w:color w:val="111111"/>
          <w:sz w:val="28"/>
          <w:szCs w:val="28"/>
          <w:rtl/>
        </w:rPr>
        <w:t xml:space="preserve">27 .شرح الرياض، ج 9، ص 572.</w:t>
      </w:r>
    </w:p>
    <w:p>
      <w:pPr>
        <w:pStyle w:val="BookText"/>
      </w:pPr>
      <w:r>
        <w:rPr>
          <w:rFonts w:ascii="Amiri" w:hAnsi="Amiri" w:eastAsia="Amiri" w:cs="Amiri"/>
          <w:lang w:bidi="ar-SA"/>
          <w:color w:val="111111"/>
          <w:sz w:val="28"/>
          <w:szCs w:val="28"/>
          <w:rtl/>
        </w:rPr>
        <w:t xml:space="preserve">28 .شرح القصيدة المنفرجة، ج9،</w:t>
      </w:r>
    </w:p>
    <w:p>
      <w:pPr>
        <w:pStyle w:val="BookText"/>
      </w:pPr>
      <w:r>
        <w:rPr>
          <w:rFonts w:ascii="IRNazanin" w:hAnsi="IRNazanin" w:eastAsia="IRNazanin" w:cs="IRNazanin"/>
          <w:lang w:bidi="fa-IR"/>
          <w:color w:val="111111"/>
          <w:sz w:val="28"/>
          <w:szCs w:val="28"/>
          <w:rtl/>
        </w:rPr>
        <w:t xml:space="preserve">ص 897</w:t>
      </w:r>
    </w:p>
    <w:p>
      <w:pPr>
        <w:pStyle w:val="BookText"/>
      </w:pPr>
      <w:r>
        <w:rPr>
          <w:rFonts w:ascii="Amiri" w:hAnsi="Amiri" w:eastAsia="Amiri" w:cs="Amiri"/>
          <w:lang w:bidi="ar-SA"/>
          <w:color w:val="111111"/>
          <w:sz w:val="28"/>
          <w:szCs w:val="28"/>
          <w:rtl/>
        </w:rPr>
        <w:t xml:space="preserve">29 .شرح المقدمة على البسملة الحمدلة، ج 10، ص 204.</w:t>
      </w:r>
    </w:p>
    <w:p>
      <w:pPr>
        <w:pStyle w:val="BookText"/>
      </w:pPr>
      <w:r>
        <w:rPr>
          <w:rFonts w:ascii="IRNazanin" w:hAnsi="IRNazanin" w:eastAsia="IRNazanin" w:cs="IRNazanin"/>
          <w:lang w:bidi="fa-IR"/>
          <w:color w:val="111111"/>
          <w:sz w:val="28"/>
          <w:szCs w:val="28"/>
          <w:rtl/>
        </w:rPr>
        <w:t xml:space="preserve">30 .شرح الورقات، ج 10، ص327.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شرح فرائض منهج الطلاب، ج 9،</w:t>
      </w:r>
    </w:p>
    <w:p>
      <w:pPr>
        <w:pStyle w:val="BookText"/>
      </w:pPr>
      <w:r>
        <w:rPr>
          <w:rFonts w:ascii="IRNazanin" w:hAnsi="IRNazanin" w:eastAsia="IRNazanin" w:cs="IRNazanin"/>
          <w:lang w:bidi="fa-IR"/>
          <w:color w:val="111111"/>
          <w:sz w:val="28"/>
          <w:szCs w:val="28"/>
          <w:rtl/>
        </w:rPr>
        <w:t xml:space="preserve">ص 788.</w:t>
      </w:r>
    </w:p>
    <w:p>
      <w:pPr>
        <w:pStyle w:val="BookText"/>
      </w:pPr>
      <w:r>
        <w:rPr>
          <w:rFonts w:ascii="Amiri" w:hAnsi="Amiri" w:eastAsia="Amiri" w:cs="Amiri"/>
          <w:lang w:bidi="ar-SA"/>
          <w:color w:val="111111"/>
          <w:sz w:val="28"/>
          <w:szCs w:val="28"/>
          <w:rtl/>
        </w:rPr>
        <w:t xml:space="preserve">32 .عماد الرضاء ببيان أدب القضاء</w:t>
      </w:r>
    </w:p>
    <w:p>
      <w:pPr>
        <w:pStyle w:val="BookText"/>
      </w:pPr>
      <w:r>
        <w:rPr>
          <w:rFonts w:ascii="IRNazanin" w:hAnsi="IRNazanin" w:eastAsia="IRNazanin" w:cs="IRNazanin"/>
          <w:lang w:bidi="fa-IR"/>
          <w:color w:val="111111"/>
          <w:sz w:val="28"/>
          <w:szCs w:val="28"/>
          <w:rtl/>
        </w:rPr>
        <w:t xml:space="preserve">ج 11، ص 283.</w:t>
      </w:r>
    </w:p>
    <w:p>
      <w:pPr>
        <w:pStyle w:val="BookText"/>
      </w:pPr>
      <w:r>
        <w:rPr>
          <w:rFonts w:ascii="Amiri" w:hAnsi="Amiri" w:eastAsia="Amiri" w:cs="Amiri"/>
          <w:lang w:bidi="ar-SA"/>
          <w:color w:val="111111"/>
          <w:sz w:val="28"/>
          <w:szCs w:val="28"/>
          <w:rtl/>
        </w:rPr>
        <w:t xml:space="preserve">33 .غاية الوصول إلى شرح لب الاصول، ج 11، ص 458.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الغرر البهية في شرح البهجة الوردية، ج 11، ص 477.</w:t>
      </w:r>
    </w:p>
    <w:p>
      <w:pPr>
        <w:pStyle w:val="BookText"/>
      </w:pPr>
      <w:r>
        <w:rPr>
          <w:rFonts w:ascii="IRNazanin" w:hAnsi="IRNazanin" w:eastAsia="IRNazanin" w:cs="IRNazanin"/>
          <w:lang w:bidi="fa-IR"/>
          <w:color w:val="111111"/>
          <w:sz w:val="28"/>
          <w:szCs w:val="28"/>
          <w:rtl/>
        </w:rPr>
        <w:t xml:space="preserve">35 .الفتاوى، ج 11، ص 596.</w:t>
      </w:r>
    </w:p>
    <w:p>
      <w:pPr>
        <w:pStyle w:val="BookText"/>
      </w:pPr>
      <w:r>
        <w:rPr>
          <w:rFonts w:ascii="Amiri" w:hAnsi="Amiri" w:eastAsia="Amiri" w:cs="Amiri"/>
          <w:lang w:bidi="ar-SA"/>
          <w:color w:val="111111"/>
          <w:sz w:val="28"/>
          <w:szCs w:val="28"/>
          <w:rtl/>
        </w:rPr>
        <w:t xml:space="preserve">36 .فتح الباقي بشرح الفية العراقي :</w:t>
      </w:r>
    </w:p>
    <w:p>
      <w:pPr>
        <w:pStyle w:val="BookText"/>
      </w:pPr>
      <w:r>
        <w:rPr>
          <w:rFonts w:ascii="Amiri" w:hAnsi="Amiri" w:eastAsia="Amiri" w:cs="Amiri"/>
          <w:lang w:bidi="ar-SA"/>
          <w:color w:val="111111"/>
          <w:sz w:val="28"/>
          <w:szCs w:val="28"/>
          <w:rtl/>
        </w:rPr>
        <w:t xml:space="preserve">شرح التبصرة والتذكرة، ج 11،</w:t>
      </w:r>
    </w:p>
    <w:p>
      <w:pPr>
        <w:pStyle w:val="BookText"/>
      </w:pPr>
      <w:r>
        <w:rPr>
          <w:rFonts w:ascii="IRNazanin" w:hAnsi="IRNazanin" w:eastAsia="IRNazanin" w:cs="IRNazanin"/>
          <w:lang w:bidi="fa-IR"/>
          <w:color w:val="111111"/>
          <w:sz w:val="28"/>
          <w:szCs w:val="28"/>
          <w:rtl/>
        </w:rPr>
        <w:t xml:space="preserve">ص 638 .</w:t>
      </w:r>
    </w:p>
    <w:p>
      <w:pPr>
        <w:pStyle w:val="BookText"/>
      </w:pPr>
      <w:r>
        <w:rPr>
          <w:rFonts w:ascii="Amiri" w:hAnsi="Amiri" w:eastAsia="Amiri" w:cs="Amiri"/>
          <w:lang w:bidi="ar-SA"/>
          <w:color w:val="111111"/>
          <w:sz w:val="28"/>
          <w:szCs w:val="28"/>
          <w:rtl/>
        </w:rPr>
        <w:t xml:space="preserve">37 .فتح الجليل ببيان خفي انوار</w:t>
      </w:r>
    </w:p>
    <w:p>
      <w:pPr>
        <w:pStyle w:val="BookText"/>
      </w:pPr>
      <w:r>
        <w:rPr>
          <w:rFonts w:ascii="Amiri" w:hAnsi="Amiri" w:eastAsia="Amiri" w:cs="Amiri"/>
          <w:lang w:bidi="ar-SA"/>
          <w:color w:val="111111"/>
          <w:sz w:val="28"/>
          <w:szCs w:val="28"/>
          <w:rtl/>
        </w:rPr>
        <w:t xml:space="preserve">التنزيل، ج 11، ص 641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فتح الرحمن بشرح لقطة العجلان</w:t>
      </w:r>
    </w:p>
    <w:p>
      <w:pPr>
        <w:pStyle w:val="BookText"/>
      </w:pPr>
      <w:r>
        <w:rPr>
          <w:rFonts w:ascii="Amiri" w:hAnsi="Amiri" w:eastAsia="Amiri" w:cs="Amiri"/>
          <w:lang w:bidi="ar-SA"/>
          <w:color w:val="111111"/>
          <w:sz w:val="28"/>
          <w:szCs w:val="28"/>
          <w:rtl/>
        </w:rPr>
        <w:t xml:space="preserve">و بلة الضمان، ج11، ص 652.</w:t>
      </w:r>
    </w:p>
    <w:p>
      <w:pPr>
        <w:pStyle w:val="BookText"/>
      </w:pPr>
      <w:r>
        <w:rPr>
          <w:rFonts w:ascii="Amiri" w:hAnsi="Amiri" w:eastAsia="Amiri" w:cs="Amiri"/>
          <w:lang w:bidi="ar-SA"/>
          <w:color w:val="111111"/>
          <w:sz w:val="28"/>
          <w:szCs w:val="28"/>
          <w:rtl/>
        </w:rPr>
        <w:t xml:space="preserve">39 .فتح الرحمن بكشف ما يلتبس في</w:t>
      </w:r>
    </w:p>
    <w:p>
      <w:pPr>
        <w:pStyle w:val="BookText"/>
      </w:pPr>
      <w:r>
        <w:rPr>
          <w:rFonts w:ascii="IRNazanin" w:hAnsi="IRNazanin" w:eastAsia="IRNazanin" w:cs="IRNazanin"/>
          <w:lang w:bidi="fa-IR"/>
          <w:color w:val="111111"/>
          <w:sz w:val="28"/>
          <w:szCs w:val="28"/>
          <w:rtl/>
        </w:rPr>
        <w:t xml:space="preserve">القرآن، ج 11، ص 652 11، .</w:t>
      </w:r>
    </w:p>
    <w:p>
      <w:pPr>
        <w:pStyle w:val="BookText"/>
      </w:pPr>
      <w:r>
        <w:rPr>
          <w:rFonts w:ascii="Amiri" w:hAnsi="Amiri" w:eastAsia="Amiri" w:cs="Amiri"/>
          <w:lang w:bidi="ar-SA"/>
          <w:color w:val="111111"/>
          <w:sz w:val="28"/>
          <w:szCs w:val="28"/>
          <w:rtl/>
        </w:rPr>
        <w:t xml:space="preserve">40 .فتح الرحمن الشرح رسالة الولي ارسلان = شرح رسالة التوحيد = شرح الرسالة الرسلانية، ج11، ص 656 .</w:t>
      </w:r>
    </w:p>
    <w:p>
      <w:pPr>
        <w:pStyle w:val="BookText"/>
      </w:pPr>
      <w:r>
        <w:rPr>
          <w:rFonts w:ascii="Amiri" w:hAnsi="Amiri" w:eastAsia="Amiri" w:cs="Amiri"/>
          <w:lang w:bidi="ar-SA"/>
          <w:color w:val="111111"/>
          <w:sz w:val="28"/>
          <w:szCs w:val="28"/>
          <w:rtl/>
        </w:rPr>
        <w:t xml:space="preserve">41 .فتح العلام لشرح الاعلام بأحاديث</w:t>
      </w:r>
    </w:p>
    <w:p>
      <w:pPr>
        <w:pStyle w:val="BookText"/>
      </w:pPr>
      <w:r>
        <w:rPr>
          <w:rFonts w:ascii="Amiri" w:hAnsi="Amiri" w:eastAsia="Amiri" w:cs="Amiri"/>
          <w:lang w:bidi="ar-SA"/>
          <w:color w:val="111111"/>
          <w:sz w:val="28"/>
          <w:szCs w:val="28"/>
          <w:rtl/>
        </w:rPr>
        <w:t xml:space="preserve">الأحكام، ج 11، ص 660 .</w:t>
      </w:r>
    </w:p>
    <w:p>
      <w:pPr>
        <w:pStyle w:val="BookText"/>
      </w:pPr>
      <w:r>
        <w:rPr>
          <w:rFonts w:ascii="Amiri" w:hAnsi="Amiri" w:eastAsia="Amiri" w:cs="Amiri"/>
          <w:lang w:bidi="ar-SA"/>
          <w:color w:val="111111"/>
          <w:sz w:val="28"/>
          <w:szCs w:val="28"/>
          <w:rtl/>
        </w:rPr>
        <w:t xml:space="preserve">42 .فتح المبدع في شرح المقنع، ج11،</w:t>
      </w:r>
    </w:p>
    <w:p>
      <w:pPr>
        <w:pStyle w:val="BookText"/>
      </w:pPr>
      <w:r>
        <w:rPr>
          <w:rFonts w:ascii="IRNazanin" w:hAnsi="IRNazanin" w:eastAsia="IRNazanin" w:cs="IRNazanin"/>
          <w:lang w:bidi="fa-IR"/>
          <w:color w:val="111111"/>
          <w:sz w:val="28"/>
          <w:szCs w:val="28"/>
          <w:rtl/>
        </w:rPr>
        <w:t xml:space="preserve">ص 669 .</w:t>
      </w:r>
    </w:p>
    <w:p>
      <w:pPr>
        <w:pStyle w:val="BookText"/>
      </w:pPr>
      <w:r>
        <w:rPr>
          <w:rFonts w:ascii="IRNazanin" w:hAnsi="IRNazanin" w:eastAsia="IRNazanin" w:cs="IRNazanin"/>
          <w:lang w:bidi="fa-IR"/>
          <w:color w:val="111111"/>
          <w:sz w:val="28"/>
          <w:szCs w:val="28"/>
          <w:rtl/>
        </w:rPr>
        <w:t xml:space="preserve">43 .فتح الوهاب بشرح منهج الطلاب</w:t>
      </w:r>
    </w:p>
    <w:p>
      <w:pPr>
        <w:pStyle w:val="BookText"/>
      </w:pPr>
      <w:r>
        <w:rPr>
          <w:rFonts w:ascii="IRNazanin" w:hAnsi="IRNazanin" w:eastAsia="IRNazanin" w:cs="IRNazanin"/>
          <w:lang w:bidi="fa-IR"/>
          <w:color w:val="111111"/>
          <w:sz w:val="28"/>
          <w:szCs w:val="28"/>
          <w:rtl/>
        </w:rPr>
        <w:t xml:space="preserve">ج 11، ص 691 .</w:t>
      </w:r>
    </w:p>
    <w:p>
      <w:pPr>
        <w:pStyle w:val="BookText"/>
      </w:pPr>
      <w:r>
        <w:rPr>
          <w:rFonts w:ascii="Amiri" w:hAnsi="Amiri" w:eastAsia="Amiri" w:cs="Amiri"/>
          <w:lang w:bidi="ar-SA"/>
          <w:color w:val="111111"/>
          <w:sz w:val="28"/>
          <w:szCs w:val="28"/>
          <w:rtl/>
        </w:rPr>
        <w:t xml:space="preserve">44 .الفتحة الانسية لغلق التحفة القدسية، ج 11، ص 641.</w:t>
      </w:r>
    </w:p>
    <w:p>
      <w:pPr>
        <w:pStyle w:val="BookText"/>
      </w:pPr>
      <w:r>
        <w:rPr>
          <w:rFonts w:ascii="Amiri" w:hAnsi="Amiri" w:eastAsia="Amiri" w:cs="Amiri"/>
          <w:lang w:bidi="ar-SA"/>
          <w:color w:val="111111"/>
          <w:sz w:val="28"/>
          <w:szCs w:val="28"/>
          <w:rtl/>
        </w:rPr>
        <w:t xml:space="preserve">45 .فتح رب البرية بشرح القصيدة الخزرجية، ج 11 ، ص 649 .</w:t>
      </w:r>
    </w:p>
    <w:p>
      <w:pPr>
        <w:pStyle w:val="BookText"/>
      </w:pPr>
      <w:r>
        <w:rPr>
          <w:rFonts w:ascii="Amiri" w:hAnsi="Amiri" w:eastAsia="Amiri" w:cs="Amiri"/>
          <w:lang w:bidi="ar-SA"/>
          <w:color w:val="111111"/>
          <w:sz w:val="28"/>
          <w:szCs w:val="28"/>
          <w:rtl/>
        </w:rPr>
        <w:t xml:space="preserve">46 .فتح مفرج الكروب في شرح القصيدة المنفرجة = مختصر الاضواء البهجة، ج 11، ص 683.</w:t>
      </w:r>
    </w:p>
    <w:p>
      <w:pPr>
        <w:pStyle w:val="BookText"/>
      </w:pPr>
      <w:r>
        <w:rPr>
          <w:rFonts w:ascii="Amiri" w:hAnsi="Amiri" w:eastAsia="Amiri" w:cs="Amiri"/>
          <w:lang w:bidi="ar-SA"/>
          <w:color w:val="111111"/>
          <w:sz w:val="28"/>
          <w:szCs w:val="28"/>
          <w:rtl/>
        </w:rPr>
        <w:t xml:space="preserve">47 .فتح منزل المثاني بشرح أقصى</w:t>
      </w:r>
    </w:p>
    <w:p>
      <w:pPr>
        <w:pStyle w:val="BookText"/>
      </w:pPr>
      <w:r>
        <w:rPr>
          <w:rFonts w:ascii="Amiri" w:hAnsi="Amiri" w:eastAsia="Amiri" w:cs="Amiri"/>
          <w:lang w:bidi="ar-SA"/>
          <w:color w:val="111111"/>
          <w:sz w:val="28"/>
          <w:szCs w:val="28"/>
          <w:rtl/>
        </w:rPr>
        <w:t xml:space="preserve">الأماني، ج 11، ص 686 .</w:t>
      </w:r>
    </w:p>
    <w:p>
      <w:pPr>
        <w:pStyle w:val="BookText"/>
      </w:pPr>
      <w:r>
        <w:rPr>
          <w:rFonts w:ascii="Amiri" w:hAnsi="Amiri" w:eastAsia="Amiri" w:cs="Amiri"/>
          <w:lang w:bidi="ar-SA"/>
          <w:color w:val="111111"/>
          <w:sz w:val="28"/>
          <w:szCs w:val="28"/>
          <w:rtl/>
        </w:rPr>
        <w:t xml:space="preserve">48 .الفتوحات الالهية، ج 11، ص 704.</w:t>
      </w:r>
    </w:p>
    <w:p>
      <w:pPr>
        <w:pStyle w:val="BookText"/>
      </w:pPr>
      <w:r>
        <w:rPr>
          <w:rFonts w:ascii="IRNazanin" w:hAnsi="IRNazanin" w:eastAsia="IRNazanin" w:cs="IRNazanin"/>
          <w:lang w:bidi="fa-IR"/>
          <w:color w:val="111111"/>
          <w:sz w:val="28"/>
          <w:szCs w:val="28"/>
          <w:rtl/>
        </w:rPr>
        <w:t xml:space="preserve">49 .لب الاصول، ج13، ص 553.</w:t>
      </w:r>
    </w:p>
    <w:p>
      <w:pPr>
        <w:pStyle w:val="BookText"/>
      </w:pPr>
      <w:r>
        <w:rPr>
          <w:rFonts w:ascii="Amiri" w:hAnsi="Amiri" w:eastAsia="Amiri" w:cs="Amiri"/>
          <w:lang w:bidi="ar-SA"/>
          <w:color w:val="111111"/>
          <w:sz w:val="28"/>
          <w:szCs w:val="28"/>
          <w:rtl/>
        </w:rPr>
        <w:t xml:space="preserve">50 .اللؤلؤ النظيم في روم التعلم و</w:t>
      </w:r>
    </w:p>
    <w:p>
      <w:pPr>
        <w:pStyle w:val="BookText"/>
      </w:pPr>
      <w:r>
        <w:rPr>
          <w:rFonts w:ascii="Amiri" w:hAnsi="Amiri" w:eastAsia="Amiri" w:cs="Amiri"/>
          <w:lang w:bidi="ar-SA"/>
          <w:color w:val="111111"/>
          <w:sz w:val="28"/>
          <w:szCs w:val="28"/>
          <w:rtl/>
        </w:rPr>
        <w:t xml:space="preserve">التعليم، ج13، ص 538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المطلع في شرح الايساغوجي، ج 14،</w:t>
      </w:r>
    </w:p>
    <w:p>
      <w:pPr>
        <w:pStyle w:val="BookText"/>
      </w:pPr>
      <w:r>
        <w:rPr>
          <w:rFonts w:ascii="IRNazanin" w:hAnsi="IRNazanin" w:eastAsia="IRNazanin" w:cs="IRNazanin"/>
          <w:lang w:bidi="fa-IR"/>
          <w:color w:val="111111"/>
          <w:sz w:val="28"/>
          <w:szCs w:val="28"/>
          <w:rtl/>
        </w:rPr>
        <w:t xml:space="preserve">ص 799.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2" w:name="pg7742_69829"/>
    <w:bookmarkEnd w:id="222"/>
    <w:p>
      <w:pPr>
        <w:pStyle w:val="BookText"/>
      </w:pPr>
      <w:r>
        <w:rPr>
          <w:rFonts w:ascii="Amiri" w:hAnsi="Amiri" w:eastAsia="Amiri" w:cs="Amiri"/>
          <w:lang w:bidi="ar-SA"/>
          <w:color w:val="111111"/>
          <w:sz w:val="28"/>
          <w:szCs w:val="28"/>
          <w:rtl/>
        </w:rPr>
        <w:t xml:space="preserve">52 .المقصد لتلخيص ما في المرشد في الوقف والابتداء، ج 15، ص383.</w:t>
      </w:r>
    </w:p>
    <w:p>
      <w:pPr>
        <w:pStyle w:val="BookText"/>
      </w:pPr>
      <w:r>
        <w:rPr>
          <w:rFonts w:ascii="Amiri" w:hAnsi="Amiri" w:eastAsia="Amiri" w:cs="Amiri"/>
          <w:lang w:bidi="ar-SA"/>
          <w:color w:val="111111"/>
          <w:sz w:val="28"/>
          <w:szCs w:val="28"/>
          <w:rtl/>
        </w:rPr>
        <w:t xml:space="preserve">53 .المناهج الكافية في شرح الشافية</w:t>
      </w:r>
    </w:p>
    <w:p>
      <w:pPr>
        <w:pStyle w:val="BookText"/>
      </w:pPr>
      <w:r>
        <w:rPr>
          <w:rFonts w:ascii="IRNazanin" w:hAnsi="IRNazanin" w:eastAsia="IRNazanin" w:cs="IRNazanin"/>
          <w:lang w:bidi="fa-IR"/>
          <w:color w:val="111111"/>
          <w:sz w:val="28"/>
          <w:szCs w:val="28"/>
          <w:rtl/>
        </w:rPr>
        <w:t xml:space="preserve">ج 15، ص 573.</w:t>
      </w:r>
    </w:p>
    <w:p>
      <w:pPr>
        <w:pStyle w:val="BookText"/>
      </w:pPr>
      <w:r>
        <w:rPr>
          <w:rFonts w:ascii="Amiri" w:hAnsi="Amiri" w:eastAsia="Amiri" w:cs="Amiri"/>
          <w:lang w:bidi="ar-SA"/>
          <w:color w:val="111111"/>
          <w:sz w:val="28"/>
          <w:szCs w:val="28"/>
          <w:rtl/>
        </w:rPr>
        <w:t xml:space="preserve">54 .منحة (تحفة) الباري بشرح صحيح</w:t>
      </w:r>
    </w:p>
    <w:p>
      <w:pPr>
        <w:pStyle w:val="BookText"/>
      </w:pPr>
      <w:r>
        <w:rPr>
          <w:rFonts w:ascii="Amiri" w:hAnsi="Amiri" w:eastAsia="Amiri" w:cs="Amiri"/>
          <w:lang w:bidi="ar-SA"/>
          <w:color w:val="111111"/>
          <w:sz w:val="28"/>
          <w:szCs w:val="28"/>
          <w:rtl/>
        </w:rPr>
        <w:t xml:space="preserve">البخاري، ج 15، ص 661.</w:t>
      </w:r>
    </w:p>
    <w:p>
      <w:pPr>
        <w:pStyle w:val="BookText"/>
      </w:pPr>
      <w:r>
        <w:rPr>
          <w:rFonts w:ascii="IRNazanin" w:hAnsi="IRNazanin" w:eastAsia="IRNazanin" w:cs="IRNazanin"/>
          <w:lang w:bidi="fa-IR"/>
          <w:color w:val="111111"/>
          <w:sz w:val="28"/>
          <w:szCs w:val="28"/>
          <w:rtl/>
        </w:rPr>
        <w:t xml:space="preserve">55 .منهج الطلاب، ج 15 ، ص 801.</w:t>
      </w:r>
    </w:p>
    <w:p>
      <w:pPr>
        <w:pStyle w:val="BookText"/>
      </w:pPr>
      <w:r>
        <w:rPr>
          <w:rFonts w:ascii="Amiri" w:hAnsi="Amiri" w:eastAsia="Amiri" w:cs="Amiri"/>
          <w:lang w:bidi="ar-SA"/>
          <w:color w:val="111111"/>
          <w:sz w:val="28"/>
          <w:szCs w:val="28"/>
          <w:rtl/>
        </w:rPr>
        <w:t xml:space="preserve">56 نهاية الهداية إلى تحرير الكفاية</w:t>
      </w:r>
    </w:p>
    <w:p>
      <w:pPr>
        <w:pStyle w:val="BookText"/>
      </w:pPr>
      <w:r>
        <w:rPr>
          <w:rFonts w:ascii="IRNazanin" w:hAnsi="IRNazanin" w:eastAsia="IRNazanin" w:cs="IRNazanin"/>
          <w:lang w:bidi="fa-IR"/>
          <w:color w:val="111111"/>
          <w:sz w:val="28"/>
          <w:szCs w:val="28"/>
          <w:rtl/>
        </w:rPr>
        <w:t xml:space="preserve">ج 16، ص 511.</w:t>
      </w:r>
    </w:p>
    <w:p>
      <w:pPr>
        <w:pStyle w:val="Heading2"/>
      </w:pPr>
      <w:bookmarkStart w:id="2426" w:name="_Toc1528"/>
      <w:r>
        <w:t>انصاري ، سعيد بن اوس 119 - 215 ه-</w:t>
      </w:r>
      <w:bookmarkEnd w:id="2426"/>
    </w:p>
    <w:p>
      <w:pPr>
        <w:pStyle w:val="BookText"/>
      </w:pPr>
      <w:r>
        <w:rPr>
          <w:rFonts w:ascii="Amiri" w:hAnsi="Amiri" w:eastAsia="Amiri" w:cs="Amiri"/>
          <w:lang w:bidi="ar-SA"/>
          <w:color w:val="111111"/>
          <w:sz w:val="28"/>
          <w:szCs w:val="28"/>
          <w:rtl/>
        </w:rPr>
        <w:t xml:space="preserve">1 .كتاب الهمز و تخفيف الهمز</w:t>
      </w:r>
    </w:p>
    <w:p>
      <w:pPr>
        <w:pStyle w:val="BookText"/>
      </w:pPr>
      <w:r>
        <w:rPr>
          <w:rFonts w:ascii="IRNazanin" w:hAnsi="IRNazanin" w:eastAsia="IRNazanin" w:cs="IRNazanin"/>
          <w:lang w:bidi="fa-IR"/>
          <w:color w:val="111111"/>
          <w:sz w:val="28"/>
          <w:szCs w:val="28"/>
          <w:rtl/>
        </w:rPr>
        <w:t xml:space="preserve">ج 13، ص 146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اللبأ و اللبن، ج13، ص 557.</w:t>
      </w:r>
    </w:p>
    <w:p>
      <w:pPr>
        <w:pStyle w:val="Heading2"/>
      </w:pPr>
      <w:bookmarkStart w:id="2427" w:name="_Toc1529"/>
      <w:r>
        <w:t>انصاري ، طاها بن قاسم قرن 8 ه-</w:t>
      </w:r>
      <w:bookmarkEnd w:id="2427"/>
    </w:p>
    <w:p>
      <w:pPr>
        <w:pStyle w:val="BookText"/>
      </w:pPr>
      <w:r>
        <w:rPr>
          <w:rFonts w:ascii="Amiri" w:hAnsi="Amiri" w:eastAsia="Amiri" w:cs="Amiri"/>
          <w:lang w:bidi="ar-SA"/>
          <w:color w:val="111111"/>
          <w:sz w:val="28"/>
          <w:szCs w:val="28"/>
          <w:rtl/>
        </w:rPr>
        <w:t xml:space="preserve">المسائل المختلفة بين الامامين الماتريدي و الاشعري، ج 14، ص 486.</w:t>
      </w:r>
    </w:p>
    <w:p>
      <w:pPr>
        <w:pStyle w:val="Heading2"/>
      </w:pPr>
      <w:bookmarkStart w:id="2428" w:name="_Toc1530"/>
      <w:r>
        <w:t>انصاري ، طاهر بن سلام قرن 8 ه-</w:t>
      </w:r>
      <w:bookmarkEnd w:id="2428"/>
    </w:p>
    <w:p>
      <w:pPr>
        <w:pStyle w:val="BookText"/>
      </w:pPr>
      <w:r>
        <w:rPr>
          <w:rFonts w:ascii="IRNazanin" w:hAnsi="IRNazanin" w:eastAsia="IRNazanin" w:cs="IRNazanin"/>
          <w:lang w:bidi="fa-IR"/>
          <w:color w:val="111111"/>
          <w:sz w:val="28"/>
          <w:szCs w:val="28"/>
          <w:rtl/>
        </w:rPr>
        <w:t xml:space="preserve">جواهر الفقه، ج 5، ص 557.</w:t>
      </w:r>
    </w:p>
    <w:p>
      <w:pPr>
        <w:pStyle w:val="Heading2"/>
      </w:pPr>
      <w:bookmarkStart w:id="2429" w:name="_Toc1531"/>
      <w:r>
        <w:t>انصاري ، عابر بن محمّد</w:t>
      </w:r>
      <w:bookmarkEnd w:id="2429"/>
    </w:p>
    <w:p>
      <w:pPr>
        <w:pStyle w:val="BookText"/>
      </w:pPr>
      <w:r>
        <w:rPr>
          <w:rFonts w:ascii="Amiri" w:hAnsi="Amiri" w:eastAsia="Amiri" w:cs="Amiri"/>
          <w:lang w:bidi="ar-SA"/>
          <w:color w:val="111111"/>
          <w:sz w:val="28"/>
          <w:szCs w:val="28"/>
          <w:rtl/>
        </w:rPr>
        <w:t xml:space="preserve">مختارات من فهرست الكتب المخطوطة النادرة الموجودة في مكتبة</w:t>
      </w:r>
    </w:p>
    <w:p>
      <w:pPr>
        <w:pStyle w:val="BookText"/>
      </w:pPr>
      <w:r>
        <w:rPr>
          <w:rFonts w:ascii="Amiri" w:hAnsi="Amiri" w:eastAsia="Amiri" w:cs="Amiri"/>
          <w:lang w:bidi="ar-SA"/>
          <w:color w:val="111111"/>
          <w:sz w:val="28"/>
          <w:szCs w:val="28"/>
          <w:rtl/>
        </w:rPr>
        <w:t xml:space="preserve">دار العلوم الالمانية بالمانيا الشرقية (سابقا)، ج 14، ص 147.</w:t>
      </w:r>
    </w:p>
    <w:p>
      <w:pPr>
        <w:pStyle w:val="Heading2"/>
      </w:pPr>
      <w:bookmarkStart w:id="2430" w:name="_Toc1532"/>
      <w:r>
        <w:t>انصاري ، عبد الرحيم بن نصر الله، 1272 -</w:t>
      </w:r>
      <w:bookmarkEnd w:id="2430"/>
    </w:p>
    <w:p>
      <w:pPr>
        <w:pStyle w:val="BookText"/>
      </w:pPr>
      <w:r>
        <w:rPr>
          <w:rFonts w:ascii="IRNazanin" w:hAnsi="IRNazanin" w:eastAsia="IRNazanin" w:cs="IRNazanin"/>
          <w:lang w:bidi="fa-IR"/>
          <w:color w:val="111111"/>
          <w:sz w:val="28"/>
          <w:szCs w:val="28"/>
          <w:rtl/>
        </w:rPr>
        <w:t xml:space="preserve">1334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فرحة الداعي و قرة الساعي، ج 11،</w:t>
      </w:r>
    </w:p>
    <w:p>
      <w:pPr>
        <w:pStyle w:val="BookText"/>
      </w:pPr>
      <w:r>
        <w:rPr>
          <w:rFonts w:ascii="IRNazanin" w:hAnsi="IRNazanin" w:eastAsia="IRNazanin" w:cs="IRNazanin"/>
          <w:lang w:bidi="fa-IR"/>
          <w:color w:val="111111"/>
          <w:sz w:val="28"/>
          <w:szCs w:val="28"/>
          <w:rtl/>
        </w:rPr>
        <w:t xml:space="preserve">ص 776.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قاطعة العناد في صحة الحبس المرمي بالفساد، ج 12، ص327</w:t>
      </w:r>
    </w:p>
    <w:p>
      <w:pPr>
        <w:pStyle w:val="Heading2"/>
      </w:pPr>
      <w:bookmarkStart w:id="2431" w:name="_Toc1533"/>
      <w:r>
        <w:t>انصاري ، عبدالله بن حديده قرن 8 ه-</w:t>
      </w:r>
      <w:bookmarkEnd w:id="2431"/>
    </w:p>
    <w:p>
      <w:pPr>
        <w:pStyle w:val="BookText"/>
      </w:pPr>
      <w:r>
        <w:rPr>
          <w:rFonts w:ascii="Amiri" w:hAnsi="Amiri" w:eastAsia="Amiri" w:cs="Amiri"/>
          <w:lang w:bidi="ar-SA"/>
          <w:color w:val="111111"/>
          <w:sz w:val="28"/>
          <w:szCs w:val="28"/>
          <w:rtl/>
        </w:rPr>
        <w:t xml:space="preserve">المصباح المضيء في كتاب النبي الأمي و رسله إلى ملوك الارض، ج 14، ص 739 .</w:t>
      </w:r>
    </w:p>
    <w:p>
      <w:pPr>
        <w:pStyle w:val="Heading2"/>
      </w:pPr>
      <w:bookmarkStart w:id="2432" w:name="_Toc1534"/>
      <w:r>
        <w:t>انصاري ، عبدالله بن عمر، - 677</w:t>
      </w:r>
      <w:bookmarkEnd w:id="2432"/>
    </w:p>
    <w:p>
      <w:pPr>
        <w:pStyle w:val="BookText"/>
      </w:pPr>
      <w:r>
        <w:rPr>
          <w:rFonts w:ascii="Amiri" w:hAnsi="Amiri" w:eastAsia="Amiri" w:cs="Amiri"/>
          <w:lang w:bidi="ar-SA"/>
          <w:color w:val="111111"/>
          <w:sz w:val="28"/>
          <w:szCs w:val="28"/>
          <w:rtl/>
        </w:rPr>
        <w:t xml:space="preserve">تخميس مقصورة ابن دريد ج4</w:t>
      </w:r>
    </w:p>
    <w:p>
      <w:pPr>
        <w:pStyle w:val="BookText"/>
      </w:pPr>
      <w:r>
        <w:rPr>
          <w:rFonts w:ascii="IRNazanin" w:hAnsi="IRNazanin" w:eastAsia="IRNazanin" w:cs="IRNazanin"/>
          <w:lang w:bidi="fa-IR"/>
          <w:color w:val="111111"/>
          <w:sz w:val="28"/>
          <w:szCs w:val="28"/>
          <w:rtl/>
        </w:rPr>
        <w:t xml:space="preserve">ص160.</w:t>
      </w:r>
    </w:p>
    <w:p>
      <w:pPr>
        <w:pStyle w:val="Heading2"/>
      </w:pPr>
      <w:bookmarkStart w:id="2433" w:name="_Toc1535"/>
      <w:r>
        <w:t>انصاري ، عبدالله بن محمّد، 396-481 ه-</w:t>
      </w:r>
      <w:bookmarkEnd w:id="24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الهي نامه = مناجات = سجعيات</w:t>
      </w:r>
    </w:p>
    <w:p>
      <w:pPr>
        <w:pStyle w:val="BookText"/>
      </w:pPr>
      <w:r>
        <w:rPr>
          <w:rFonts w:ascii="IRNazanin" w:hAnsi="IRNazanin" w:eastAsia="IRNazanin" w:cs="IRNazanin"/>
          <w:lang w:bidi="fa-IR"/>
          <w:color w:val="111111"/>
          <w:sz w:val="28"/>
          <w:szCs w:val="28"/>
          <w:rtl/>
        </w:rPr>
        <w:t xml:space="preserve">ج 2، ص 700.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حوراء، ج 9، ص 428.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قلندر ،نامه ج 12، ص 767</w:t>
      </w:r>
    </w:p>
    <w:p>
      <w:pPr>
        <w:pStyle w:val="BookText"/>
      </w:pPr>
      <w:r>
        <w:rPr>
          <w:rFonts w:ascii="Amiri" w:hAnsi="Amiri" w:eastAsia="Amiri" w:cs="Amiri"/>
          <w:lang w:bidi="ar-SA"/>
          <w:color w:val="111111"/>
          <w:sz w:val="28"/>
          <w:szCs w:val="28"/>
          <w:rtl/>
        </w:rPr>
        <w:t xml:space="preserve">4 .القوافي الثلاث، ج 12 ، ص 815.</w:t>
      </w:r>
    </w:p>
    <w:p>
      <w:pPr>
        <w:pStyle w:val="BookText"/>
      </w:pPr>
      <w:r>
        <w:rPr>
          <w:rFonts w:ascii="Amiri" w:hAnsi="Amiri" w:eastAsia="Amiri" w:cs="Amiri"/>
          <w:lang w:bidi="ar-SA"/>
          <w:color w:val="111111"/>
          <w:sz w:val="28"/>
          <w:szCs w:val="28"/>
          <w:rtl/>
        </w:rPr>
        <w:t xml:space="preserve">5 .مقالة، ج 15 ، ص 282 .</w:t>
      </w:r>
    </w:p>
    <w:p>
      <w:pPr>
        <w:pStyle w:val="BookText"/>
      </w:pPr>
      <w:r>
        <w:rPr>
          <w:rFonts w:ascii="Amiri" w:hAnsi="Amiri" w:eastAsia="Amiri" w:cs="Amiri"/>
          <w:lang w:bidi="ar-SA"/>
          <w:color w:val="111111"/>
          <w:sz w:val="28"/>
          <w:szCs w:val="28"/>
          <w:rtl/>
        </w:rPr>
        <w:t xml:space="preserve">6 .مناجات خواجه عبدالله انصاري</w:t>
      </w:r>
    </w:p>
    <w:p>
      <w:pPr>
        <w:pStyle w:val="BookText"/>
      </w:pPr>
      <w:r>
        <w:rPr>
          <w:rFonts w:ascii="IRNazanin" w:hAnsi="IRNazanin" w:eastAsia="IRNazanin" w:cs="IRNazanin"/>
          <w:lang w:bidi="fa-IR"/>
          <w:color w:val="111111"/>
          <w:sz w:val="28"/>
          <w:szCs w:val="28"/>
          <w:rtl/>
        </w:rPr>
        <w:t xml:space="preserve">ج 15، ص 477 .</w:t>
      </w:r>
    </w:p>
    <w:p>
      <w:pPr>
        <w:pStyle w:val="BookText"/>
      </w:pPr>
      <w:r>
        <w:rPr>
          <w:rFonts w:ascii="IRNazanin" w:hAnsi="IRNazanin" w:eastAsia="IRNazanin" w:cs="IRNazanin"/>
          <w:lang w:bidi="fa-IR"/>
          <w:color w:val="111111"/>
          <w:sz w:val="28"/>
          <w:szCs w:val="28"/>
          <w:rtl/>
        </w:rPr>
        <w:t xml:space="preserve">7 .مناجات نامه، ج 10، ص 480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منازل السائرين، ج 15، ص 490.</w:t>
      </w:r>
    </w:p>
    <w:p>
      <w:pPr>
        <w:pStyle w:val="Heading2"/>
      </w:pPr>
      <w:bookmarkStart w:id="2434" w:name="_Toc1536"/>
      <w:r>
        <w:t>انصاري ، عبود بن درويش - 1327 ه-</w:t>
      </w:r>
      <w:bookmarkEnd w:id="2434"/>
    </w:p>
    <w:p>
      <w:pPr>
        <w:pStyle w:val="BookText"/>
      </w:pPr>
      <w:r>
        <w:rPr>
          <w:rFonts w:ascii="IRNazanin" w:hAnsi="IRNazanin" w:eastAsia="IRNazanin" w:cs="IRNazanin"/>
          <w:lang w:bidi="fa-IR"/>
          <w:color w:val="111111"/>
          <w:sz w:val="28"/>
          <w:szCs w:val="28"/>
          <w:rtl/>
        </w:rPr>
        <w:t xml:space="preserve">المجالس، ج13، ص 784.</w:t>
      </w:r>
    </w:p>
    <w:p>
      <w:pPr>
        <w:pStyle w:val="BookText"/>
      </w:pPr>
      <w:r>
        <w:rPr>
          <w:rFonts w:ascii="Amiri" w:hAnsi="Amiri" w:eastAsia="Amiri" w:cs="Amiri"/>
          <w:lang w:bidi="ar-SA"/>
          <w:color w:val="111111"/>
          <w:sz w:val="28"/>
          <w:szCs w:val="28"/>
          <w:rtl/>
        </w:rPr>
        <w:t xml:space="preserve">انصاري ، عفان بن مسلم -صفار انصاري ، عفان بن مسلم</w:t>
      </w:r>
    </w:p>
    <w:p>
      <w:pPr>
        <w:pStyle w:val="Heading2"/>
      </w:pPr>
      <w:bookmarkStart w:id="2435" w:name="_Toc1537"/>
      <w:r>
        <w:t>انصاري ، علي بن احمد - 788 ه-</w:t>
      </w:r>
      <w:bookmarkEnd w:id="2435"/>
    </w:p>
    <w:p>
      <w:pPr>
        <w:pStyle w:val="BookText"/>
      </w:pPr>
      <w:r>
        <w:rPr>
          <w:rFonts w:ascii="Amiri" w:hAnsi="Amiri" w:eastAsia="Amiri" w:cs="Amiri"/>
          <w:lang w:bidi="ar-SA"/>
          <w:color w:val="111111"/>
          <w:sz w:val="28"/>
          <w:szCs w:val="28"/>
          <w:rtl/>
        </w:rPr>
        <w:t xml:space="preserve">تصحيح الحاوي، ج4، ص398.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3" w:name="pg7742_69831"/>
    <w:bookmarkEnd w:id="223"/>
    <w:p>
      <w:pPr>
        <w:pStyle w:val="Heading2"/>
      </w:pPr>
      <w:bookmarkStart w:id="2436" w:name="_Toc1538"/>
      <w:r>
        <w:t>انصاري ، علي بن زكريا - 686 ه-</w:t>
      </w:r>
      <w:bookmarkEnd w:id="2436"/>
    </w:p>
    <w:p>
      <w:pPr>
        <w:pStyle w:val="BookText"/>
      </w:pPr>
      <w:r>
        <w:rPr>
          <w:rFonts w:ascii="Amiri" w:hAnsi="Amiri" w:eastAsia="Amiri" w:cs="Amiri"/>
          <w:lang w:bidi="ar-SA"/>
          <w:color w:val="111111"/>
          <w:sz w:val="28"/>
          <w:szCs w:val="28"/>
          <w:rtl/>
        </w:rPr>
        <w:t xml:space="preserve">اللباب في الجمع بين السنة والكتاب 654 - 727 ه-</w:t>
      </w:r>
    </w:p>
    <w:p>
      <w:pPr>
        <w:pStyle w:val="BookText"/>
      </w:pPr>
      <w:r>
        <w:rPr>
          <w:rFonts w:ascii="IRNazanin" w:hAnsi="IRNazanin" w:eastAsia="IRNazanin" w:cs="IRNazanin"/>
          <w:lang w:bidi="fa-IR"/>
          <w:color w:val="111111"/>
          <w:sz w:val="28"/>
          <w:szCs w:val="28"/>
          <w:rtl/>
        </w:rPr>
        <w:t xml:space="preserve">على ابواب فقه المذهب، ج 13،</w:t>
      </w:r>
    </w:p>
    <w:p>
      <w:pPr>
        <w:pStyle w:val="BookText"/>
      </w:pPr>
      <w:r>
        <w:rPr>
          <w:rFonts w:ascii="IRNazanin" w:hAnsi="IRNazanin" w:eastAsia="IRNazanin" w:cs="IRNazanin"/>
          <w:lang w:bidi="fa-IR"/>
          <w:color w:val="111111"/>
          <w:sz w:val="28"/>
          <w:szCs w:val="28"/>
          <w:rtl/>
        </w:rPr>
        <w:t xml:space="preserve">ص 548 .</w:t>
      </w:r>
    </w:p>
    <w:p>
      <w:pPr>
        <w:pStyle w:val="Heading2"/>
      </w:pPr>
      <w:bookmarkStart w:id="2437" w:name="_Toc1539"/>
      <w:r>
        <w:t>انصاري ، علي بن سيد حسين</w:t>
      </w:r>
      <w:bookmarkEnd w:id="2437"/>
    </w:p>
    <w:p>
      <w:pPr>
        <w:pStyle w:val="BookText"/>
      </w:pPr>
      <w:r>
        <w:rPr>
          <w:rFonts w:ascii="Amiri" w:hAnsi="Amiri" w:eastAsia="Amiri" w:cs="Amiri"/>
          <w:lang w:bidi="ar-SA"/>
          <w:color w:val="111111"/>
          <w:sz w:val="28"/>
          <w:szCs w:val="28"/>
          <w:rtl/>
        </w:rPr>
        <w:t xml:space="preserve">الزكاة (ارجوزة في)، ج8، ص 604.</w:t>
      </w:r>
    </w:p>
    <w:p>
      <w:pPr>
        <w:pStyle w:val="Heading2"/>
      </w:pPr>
      <w:bookmarkStart w:id="2438" w:name="_Toc1540"/>
      <w:r>
        <w:t>انصاري ، علي بن محمّد</w:t>
      </w:r>
      <w:bookmarkEnd w:id="2438"/>
    </w:p>
    <w:p>
      <w:pPr>
        <w:pStyle w:val="BookText"/>
      </w:pPr>
      <w:r>
        <w:rPr>
          <w:rFonts w:ascii="IRNazanin" w:hAnsi="IRNazanin" w:eastAsia="IRNazanin" w:cs="IRNazanin"/>
          <w:lang w:bidi="fa-IR"/>
          <w:color w:val="111111"/>
          <w:sz w:val="28"/>
          <w:szCs w:val="28"/>
          <w:rtl/>
        </w:rPr>
        <w:t xml:space="preserve">کشکول، ج13، ص 293.</w:t>
      </w:r>
    </w:p>
    <w:p>
      <w:pPr>
        <w:pStyle w:val="BookText"/>
      </w:pPr>
      <w:r>
        <w:rPr>
          <w:rFonts w:ascii="Amiri" w:hAnsi="Amiri" w:eastAsia="Amiri" w:cs="Amiri"/>
          <w:lang w:bidi="ar-SA"/>
          <w:color w:val="111111"/>
          <w:sz w:val="28"/>
          <w:szCs w:val="28"/>
          <w:rtl/>
        </w:rPr>
        <w:t xml:space="preserve">انصاري ، علي بن موسى -انصاري مغربي ،</w:t>
      </w:r>
    </w:p>
    <w:p>
      <w:pPr>
        <w:pStyle w:val="BookText"/>
      </w:pPr>
      <w:r>
        <w:rPr>
          <w:rFonts w:ascii="Amiri" w:hAnsi="Amiri" w:eastAsia="Amiri" w:cs="Amiri"/>
          <w:lang w:bidi="ar-SA"/>
          <w:color w:val="111111"/>
          <w:sz w:val="28"/>
          <w:szCs w:val="28"/>
          <w:rtl/>
        </w:rPr>
        <w:t xml:space="preserve">علي بن موسى</w:t>
      </w:r>
    </w:p>
    <w:p>
      <w:pPr>
        <w:pStyle w:val="Heading2"/>
      </w:pPr>
      <w:bookmarkStart w:id="2439" w:name="_Toc1541"/>
      <w:r>
        <w:t>انصاري ، عمر بن ابراهيم - 751 ه-</w:t>
      </w:r>
      <w:bookmarkEnd w:id="2439"/>
    </w:p>
    <w:p>
      <w:pPr>
        <w:pStyle w:val="BookText"/>
      </w:pPr>
      <w:r>
        <w:rPr>
          <w:rFonts w:ascii="Amiri" w:hAnsi="Amiri" w:eastAsia="Amiri" w:cs="Amiri"/>
          <w:lang w:bidi="ar-SA"/>
          <w:color w:val="111111"/>
          <w:sz w:val="28"/>
          <w:szCs w:val="28"/>
          <w:rtl/>
        </w:rPr>
        <w:t xml:space="preserve">زهر الكمام في قصة يوسف عليه</w:t>
      </w:r>
    </w:p>
    <w:p>
      <w:pPr>
        <w:pStyle w:val="BookText"/>
      </w:pPr>
      <w:r>
        <w:rPr>
          <w:rFonts w:ascii="Amiri" w:hAnsi="Amiri" w:eastAsia="Amiri" w:cs="Amiri"/>
          <w:lang w:bidi="ar-SA"/>
          <w:color w:val="111111"/>
          <w:sz w:val="28"/>
          <w:szCs w:val="28"/>
          <w:rtl/>
        </w:rPr>
        <w:t xml:space="preserve">الصلاة السلام، ج8، ص 631.</w:t>
      </w:r>
    </w:p>
    <w:p>
      <w:pPr>
        <w:pStyle w:val="Heading2"/>
      </w:pPr>
      <w:bookmarkStart w:id="2440" w:name="_Toc1542"/>
      <w:r>
        <w:t>انصاري ، عمر بن قاسم، - 937 ه-</w:t>
      </w:r>
      <w:bookmarkEnd w:id="2440"/>
    </w:p>
    <w:p>
      <w:pPr>
        <w:pStyle w:val="BookText"/>
      </w:pPr>
      <w:r>
        <w:rPr>
          <w:rFonts w:ascii="Amiri" w:hAnsi="Amiri" w:eastAsia="Amiri" w:cs="Amiri"/>
          <w:lang w:bidi="ar-SA"/>
          <w:color w:val="111111"/>
          <w:sz w:val="28"/>
          <w:szCs w:val="28"/>
          <w:rtl/>
        </w:rPr>
        <w:t xml:space="preserve">1 .البدر المنير في شرح التيسير، ج3،</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Amiri" w:hAnsi="Amiri" w:eastAsia="Amiri" w:cs="Amiri"/>
          <w:lang w:bidi="ar-SA"/>
          <w:color w:val="111111"/>
          <w:sz w:val="28"/>
          <w:szCs w:val="28"/>
          <w:rtl/>
        </w:rPr>
        <w:t xml:space="preserve">2 .المكرر فيما تواتر من القراءآت السبع وتحرر، ج 15، ص 426.</w:t>
      </w:r>
    </w:p>
    <w:p>
      <w:pPr>
        <w:pStyle w:val="Heading2"/>
      </w:pPr>
      <w:bookmarkStart w:id="2441" w:name="_Toc1543"/>
      <w:r>
        <w:t>انصاري ، عمر بن محمّد</w:t>
      </w:r>
      <w:bookmarkEnd w:id="2441"/>
    </w:p>
    <w:p>
      <w:pPr>
        <w:pStyle w:val="BookText"/>
      </w:pPr>
      <w:r>
        <w:rPr>
          <w:rFonts w:ascii="Amiri" w:hAnsi="Amiri" w:eastAsia="Amiri" w:cs="Amiri"/>
          <w:lang w:bidi="ar-SA"/>
          <w:color w:val="111111"/>
          <w:sz w:val="28"/>
          <w:szCs w:val="28"/>
          <w:rtl/>
        </w:rPr>
        <w:t xml:space="preserve">الابتهاج في تحبير الحاوي و المنهاج</w:t>
      </w:r>
    </w:p>
    <w:p>
      <w:pPr>
        <w:pStyle w:val="BookText"/>
      </w:pPr>
      <w:r>
        <w:rPr>
          <w:rFonts w:ascii="IRNazanin" w:hAnsi="IRNazanin" w:eastAsia="IRNazanin" w:cs="IRNazanin"/>
          <w:lang w:bidi="fa-IR"/>
          <w:color w:val="111111"/>
          <w:sz w:val="28"/>
          <w:szCs w:val="28"/>
          <w:rtl/>
        </w:rPr>
        <w:t xml:space="preserve">ج 1، ص92.</w:t>
      </w:r>
    </w:p>
    <w:p>
      <w:pPr>
        <w:pStyle w:val="BookText"/>
      </w:pPr>
      <w:r>
        <w:rPr>
          <w:rFonts w:ascii="Amiri" w:hAnsi="Amiri" w:eastAsia="Amiri" w:cs="Amiri"/>
          <w:lang w:bidi="ar-SA"/>
          <w:color w:val="111111"/>
          <w:sz w:val="28"/>
          <w:szCs w:val="28"/>
          <w:rtl/>
        </w:rPr>
        <w:t xml:space="preserve">انصاري لاري ، محمّد بن صلاح- لاري</w:t>
      </w:r>
    </w:p>
    <w:p>
      <w:pPr>
        <w:pStyle w:val="BookText"/>
      </w:pPr>
      <w:r>
        <w:rPr>
          <w:rFonts w:ascii="Amiri" w:hAnsi="Amiri" w:eastAsia="Amiri" w:cs="Amiri"/>
          <w:lang w:bidi="ar-SA"/>
          <w:color w:val="111111"/>
          <w:sz w:val="28"/>
          <w:szCs w:val="28"/>
          <w:rtl/>
        </w:rPr>
        <w:t xml:space="preserve">انصاري ، محمّد بن صلاح</w:t>
      </w:r>
    </w:p>
    <w:p>
      <w:pPr>
        <w:pStyle w:val="Heading2"/>
      </w:pPr>
      <w:bookmarkStart w:id="2442" w:name="_Toc1544"/>
      <w:r>
        <w:t>انصاري ، محمّد ابراهيم بن ابي طالب</w:t>
      </w:r>
      <w:bookmarkEnd w:id="2442"/>
    </w:p>
    <w:p>
      <w:pPr>
        <w:pStyle w:val="BookText"/>
      </w:pPr>
      <w:r>
        <w:rPr>
          <w:rFonts w:ascii="Amiri" w:hAnsi="Amiri" w:eastAsia="Amiri" w:cs="Amiri"/>
          <w:lang w:bidi="ar-SA"/>
          <w:color w:val="111111"/>
          <w:sz w:val="28"/>
          <w:szCs w:val="28"/>
          <w:rtl/>
        </w:rPr>
        <w:t xml:space="preserve">السياسة في علم القيافة = الفراسة و</w:t>
      </w:r>
    </w:p>
    <w:p>
      <w:pPr>
        <w:pStyle w:val="BookText"/>
      </w:pPr>
      <w:r>
        <w:rPr>
          <w:rFonts w:ascii="IRNazanin" w:hAnsi="IRNazanin" w:eastAsia="IRNazanin" w:cs="IRNazanin"/>
          <w:lang w:bidi="fa-IR"/>
          <w:color w:val="111111"/>
          <w:sz w:val="28"/>
          <w:szCs w:val="28"/>
          <w:rtl/>
        </w:rPr>
        <w:t xml:space="preserve">التوسم، ج8، ص872.</w:t>
      </w:r>
    </w:p>
    <w:p>
      <w:pPr>
        <w:pStyle w:val="Heading2"/>
      </w:pPr>
      <w:bookmarkStart w:id="2443" w:name="_Toc1545"/>
      <w:r>
        <w:t>انصاري ، محمّد بن ابراهيم - 749 ه-</w:t>
      </w:r>
      <w:bookmarkEnd w:id="2443"/>
    </w:p>
    <w:p>
      <w:pPr>
        <w:pStyle w:val="BookText"/>
      </w:pPr>
      <w:r>
        <w:rPr>
          <w:rFonts w:ascii="IRNazanin" w:hAnsi="IRNazanin" w:eastAsia="IRNazanin" w:cs="IRNazanin"/>
          <w:lang w:bidi="fa-IR"/>
          <w:color w:val="111111"/>
          <w:sz w:val="28"/>
          <w:szCs w:val="28"/>
          <w:rtl/>
        </w:rPr>
        <w:t xml:space="preserve">1 .ارشاد القاصد إلى أسنى المقاصد</w:t>
      </w:r>
    </w:p>
    <w:p>
      <w:pPr>
        <w:pStyle w:val="BookText"/>
      </w:pPr>
      <w:r>
        <w:rPr>
          <w:rFonts w:ascii="IRNazanin" w:hAnsi="IRNazanin" w:eastAsia="IRNazanin" w:cs="IRNazanin"/>
          <w:lang w:bidi="fa-IR"/>
          <w:color w:val="111111"/>
          <w:sz w:val="28"/>
          <w:szCs w:val="28"/>
          <w:rtl/>
        </w:rPr>
        <w:t xml:space="preserve">ج 2، ص 44.</w:t>
      </w:r>
    </w:p>
    <w:p>
      <w:pPr>
        <w:pStyle w:val="BookText"/>
      </w:pPr>
      <w:r>
        <w:rPr>
          <w:rFonts w:ascii="Amiri" w:hAnsi="Amiri" w:eastAsia="Amiri" w:cs="Amiri"/>
          <w:lang w:bidi="ar-SA"/>
          <w:color w:val="111111"/>
          <w:sz w:val="28"/>
          <w:szCs w:val="28"/>
          <w:rtl/>
        </w:rPr>
        <w:t xml:space="preserve">2 .غنية اللبيب حيث لا يوجد طبيب</w:t>
      </w:r>
    </w:p>
    <w:p>
      <w:pPr>
        <w:pStyle w:val="BookText"/>
      </w:pPr>
      <w:r>
        <w:rPr>
          <w:rFonts w:ascii="IRNazanin" w:hAnsi="IRNazanin" w:eastAsia="IRNazanin" w:cs="IRNazanin"/>
          <w:lang w:bidi="fa-IR"/>
          <w:color w:val="111111"/>
          <w:sz w:val="28"/>
          <w:szCs w:val="28"/>
          <w:rtl/>
        </w:rPr>
        <w:t xml:space="preserve">ج 11، ص518.</w:t>
      </w:r>
    </w:p>
    <w:p>
      <w:pPr>
        <w:pStyle w:val="BookText"/>
      </w:pPr>
      <w:r>
        <w:rPr>
          <w:rFonts w:ascii="Amiri" w:hAnsi="Amiri" w:eastAsia="Amiri" w:cs="Amiri"/>
          <w:lang w:bidi="ar-SA"/>
          <w:color w:val="111111"/>
          <w:sz w:val="28"/>
          <w:szCs w:val="28"/>
          <w:rtl/>
        </w:rPr>
        <w:t xml:space="preserve">3 .اللباب في علم الحساب، ج13،</w:t>
      </w:r>
    </w:p>
    <w:p>
      <w:pPr>
        <w:pStyle w:val="BookText"/>
      </w:pPr>
      <w:r>
        <w:rPr>
          <w:rFonts w:ascii="IRNazanin" w:hAnsi="IRNazanin" w:eastAsia="IRNazanin" w:cs="IRNazanin"/>
          <w:lang w:bidi="fa-IR"/>
          <w:color w:val="111111"/>
          <w:sz w:val="28"/>
          <w:szCs w:val="28"/>
          <w:rtl/>
        </w:rPr>
        <w:t xml:space="preserve">ص550.</w:t>
      </w:r>
    </w:p>
    <w:p>
      <w:pPr>
        <w:pStyle w:val="BookText"/>
      </w:pPr>
      <w:r>
        <w:rPr>
          <w:rFonts w:ascii="Amiri" w:hAnsi="Amiri" w:eastAsia="Amiri" w:cs="Amiri"/>
          <w:lang w:bidi="ar-SA"/>
          <w:color w:val="111111"/>
          <w:sz w:val="28"/>
          <w:szCs w:val="28"/>
          <w:rtl/>
        </w:rPr>
        <w:t xml:space="preserve">4 .نخب الذخائر في احوال الجواهر</w:t>
      </w:r>
    </w:p>
    <w:p>
      <w:pPr>
        <w:pStyle w:val="BookText"/>
      </w:pPr>
      <w:r>
        <w:rPr>
          <w:rFonts w:ascii="IRNazanin" w:hAnsi="IRNazanin" w:eastAsia="IRNazanin" w:cs="IRNazanin"/>
          <w:lang w:bidi="fa-IR"/>
          <w:color w:val="111111"/>
          <w:sz w:val="28"/>
          <w:szCs w:val="28"/>
          <w:rtl/>
        </w:rPr>
        <w:t xml:space="preserve">ج 16، ص 211.</w:t>
      </w:r>
    </w:p>
    <w:p>
      <w:pPr>
        <w:pStyle w:val="BookText"/>
      </w:pPr>
      <w:r>
        <w:rPr>
          <w:rFonts w:ascii="Amiri" w:hAnsi="Amiri" w:eastAsia="Amiri" w:cs="Amiri"/>
          <w:lang w:bidi="ar-SA"/>
          <w:color w:val="111111"/>
          <w:sz w:val="28"/>
          <w:szCs w:val="28"/>
          <w:rtl/>
        </w:rPr>
        <w:t xml:space="preserve">5 .نهاية القصد في صناعة الفصد</w:t>
      </w:r>
    </w:p>
    <w:p>
      <w:pPr>
        <w:pStyle w:val="BookText"/>
      </w:pPr>
      <w:r>
        <w:rPr>
          <w:rFonts w:ascii="IRNazanin" w:hAnsi="IRNazanin" w:eastAsia="IRNazanin" w:cs="IRNazanin"/>
          <w:lang w:bidi="fa-IR"/>
          <w:color w:val="111111"/>
          <w:sz w:val="28"/>
          <w:szCs w:val="28"/>
          <w:rtl/>
        </w:rPr>
        <w:t xml:space="preserve">ج 16 ، ص 506.</w:t>
      </w:r>
    </w:p>
    <w:p>
      <w:pPr>
        <w:pStyle w:val="Heading2"/>
      </w:pPr>
      <w:bookmarkStart w:id="2444" w:name="_Toc1546"/>
      <w:r>
        <w:t>انصاري ، محمّد بن ابي الجيش - 750 ه-</w:t>
      </w:r>
      <w:bookmarkEnd w:id="2444"/>
    </w:p>
    <w:p>
      <w:pPr>
        <w:pStyle w:val="BookText"/>
      </w:pPr>
      <w:r>
        <w:rPr>
          <w:rFonts w:ascii="Amiri" w:hAnsi="Amiri" w:eastAsia="Amiri" w:cs="Amiri"/>
          <w:lang w:bidi="ar-SA"/>
          <w:color w:val="111111"/>
          <w:sz w:val="28"/>
          <w:szCs w:val="28"/>
          <w:rtl/>
        </w:rPr>
        <w:t xml:space="preserve">الرسالة الأندلسية في علم</w:t>
      </w:r>
    </w:p>
    <w:p>
      <w:pPr>
        <w:pStyle w:val="BookText"/>
      </w:pPr>
      <w:r>
        <w:rPr>
          <w:rFonts w:ascii="Amiri" w:hAnsi="Amiri" w:eastAsia="Amiri" w:cs="Amiri"/>
          <w:lang w:bidi="ar-SA"/>
          <w:color w:val="111111"/>
          <w:sz w:val="28"/>
          <w:szCs w:val="28"/>
          <w:rtl/>
        </w:rPr>
        <w:t xml:space="preserve">العروض العروض الاندلسي، ج8،</w:t>
      </w:r>
    </w:p>
    <w:p>
      <w:pPr>
        <w:pStyle w:val="BookText"/>
      </w:pPr>
      <w:r>
        <w:rPr>
          <w:rFonts w:ascii="IRNazanin" w:hAnsi="IRNazanin" w:eastAsia="IRNazanin" w:cs="IRNazanin"/>
          <w:lang w:bidi="fa-IR"/>
          <w:color w:val="111111"/>
          <w:sz w:val="28"/>
          <w:szCs w:val="28"/>
          <w:rtl/>
        </w:rPr>
        <w:t xml:space="preserve">ص 172.</w:t>
      </w:r>
    </w:p>
    <w:p>
      <w:pPr>
        <w:pStyle w:val="BookText"/>
      </w:pPr>
      <w:r>
        <w:rPr>
          <w:rFonts w:ascii="Amiri" w:hAnsi="Amiri" w:eastAsia="Amiri" w:cs="Amiri"/>
          <w:lang w:bidi="ar-SA"/>
          <w:color w:val="111111"/>
          <w:sz w:val="28"/>
          <w:szCs w:val="28"/>
          <w:rtl/>
        </w:rPr>
        <w:t xml:space="preserve">انصاري ، محمّد بن ابي بكر -قادري</w:t>
      </w:r>
    </w:p>
    <w:p>
      <w:pPr>
        <w:pStyle w:val="BookText"/>
      </w:pPr>
      <w:r>
        <w:rPr>
          <w:rFonts w:ascii="Amiri" w:hAnsi="Amiri" w:eastAsia="Amiri" w:cs="Amiri"/>
          <w:lang w:bidi="ar-SA"/>
          <w:color w:val="111111"/>
          <w:sz w:val="28"/>
          <w:szCs w:val="28"/>
          <w:rtl/>
        </w:rPr>
        <w:t xml:space="preserve">انصاري ، محمّد بن ابي بكر</w:t>
      </w:r>
    </w:p>
    <w:p>
      <w:pPr>
        <w:pStyle w:val="BookText"/>
      </w:pPr>
      <w:r>
        <w:rPr>
          <w:rFonts w:ascii="Amiri" w:hAnsi="Amiri" w:eastAsia="Amiri" w:cs="Amiri"/>
          <w:lang w:bidi="ar-SA"/>
          <w:color w:val="111111"/>
          <w:sz w:val="28"/>
          <w:szCs w:val="28"/>
          <w:rtl/>
        </w:rPr>
        <w:t xml:space="preserve">انصاري ، محمّد بن صلاح-لاري انصاري</w:t>
      </w:r>
    </w:p>
    <w:p>
      <w:pPr>
        <w:pStyle w:val="BookText"/>
      </w:pPr>
      <w:r>
        <w:rPr>
          <w:rFonts w:ascii="IRNazanin" w:hAnsi="IRNazanin" w:eastAsia="IRNazanin" w:cs="IRNazanin"/>
          <w:lang w:bidi="fa-IR"/>
          <w:color w:val="111111"/>
          <w:sz w:val="28"/>
          <w:szCs w:val="28"/>
          <w:rtl/>
        </w:rPr>
        <w:t xml:space="preserve">محمّد بن صلاح</w:t>
      </w:r>
    </w:p>
    <w:p>
      <w:pPr>
        <w:pStyle w:val="Heading2"/>
      </w:pPr>
      <w:bookmarkStart w:id="2445" w:name="_Toc1547"/>
      <w:r>
        <w:t>انصاري، محمّد بن عبد الرحمن قرن 9 ه-</w:t>
      </w:r>
      <w:bookmarkEnd w:id="2445"/>
    </w:p>
    <w:p>
      <w:pPr>
        <w:pStyle w:val="BookText"/>
      </w:pPr>
      <w:r>
        <w:rPr>
          <w:rFonts w:ascii="Amiri" w:hAnsi="Amiri" w:eastAsia="Amiri" w:cs="Amiri"/>
          <w:lang w:bidi="ar-SA"/>
          <w:color w:val="111111"/>
          <w:sz w:val="28"/>
          <w:szCs w:val="28"/>
          <w:rtl/>
        </w:rPr>
        <w:t xml:space="preserve">ترجمة الشافعي، ج4، ص 277.</w:t>
      </w:r>
    </w:p>
    <w:p>
      <w:pPr>
        <w:pStyle w:val="Heading2"/>
      </w:pPr>
      <w:bookmarkStart w:id="2446" w:name="_Toc1548"/>
      <w:r>
        <w:t>انصاري، محمّد بن عبد الكريم - 967 ه-</w:t>
      </w:r>
      <w:bookmarkEnd w:id="2446"/>
    </w:p>
    <w:p>
      <w:pPr>
        <w:pStyle w:val="BookText"/>
      </w:pPr>
      <w:r>
        <w:rPr>
          <w:rFonts w:ascii="Amiri" w:hAnsi="Amiri" w:eastAsia="Amiri" w:cs="Amiri"/>
          <w:lang w:bidi="ar-SA"/>
          <w:color w:val="111111"/>
          <w:sz w:val="28"/>
          <w:szCs w:val="28"/>
          <w:rtl/>
        </w:rPr>
        <w:t xml:space="preserve">محاسن الآداب في ترجمة مكارم</w:t>
      </w:r>
    </w:p>
    <w:p>
      <w:pPr>
        <w:pStyle w:val="BookText"/>
      </w:pPr>
      <w:r>
        <w:rPr>
          <w:rFonts w:ascii="IRNazanin" w:hAnsi="IRNazanin" w:eastAsia="IRNazanin" w:cs="IRNazanin"/>
          <w:lang w:bidi="fa-IR"/>
          <w:color w:val="111111"/>
          <w:sz w:val="28"/>
          <w:szCs w:val="28"/>
          <w:rtl/>
        </w:rPr>
        <w:t xml:space="preserve">الاخلاق، ج 14، ص 91.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4" w:name="pg7742_69833"/>
    <w:bookmarkEnd w:id="224"/>
    <w:p>
      <w:pPr>
        <w:pStyle w:val="Heading2"/>
      </w:pPr>
      <w:bookmarkStart w:id="2447" w:name="_Toc1549"/>
      <w:r>
        <w:t>انصاري ، محمّد بن عبدالله - 214 ه-</w:t>
      </w:r>
      <w:bookmarkEnd w:id="2447"/>
    </w:p>
    <w:p>
      <w:pPr>
        <w:pStyle w:val="BookText"/>
      </w:pPr>
      <w:r>
        <w:rPr>
          <w:rFonts w:ascii="IRNazanin" w:hAnsi="IRNazanin" w:eastAsia="IRNazanin" w:cs="IRNazanin"/>
          <w:lang w:bidi="fa-IR"/>
          <w:color w:val="111111"/>
          <w:sz w:val="28"/>
          <w:szCs w:val="28"/>
          <w:rtl/>
        </w:rPr>
        <w:t xml:space="preserve">احادیث، ج1، ص 386.</w:t>
      </w:r>
    </w:p>
    <w:p>
      <w:pPr>
        <w:pStyle w:val="Heading2"/>
      </w:pPr>
      <w:bookmarkStart w:id="2448" w:name="_Toc1550"/>
      <w:r>
        <w:t>انصاري ، محمّد بن يوسف</w:t>
      </w:r>
      <w:bookmarkEnd w:id="2448"/>
    </w:p>
    <w:p>
      <w:pPr>
        <w:pStyle w:val="BookText"/>
      </w:pPr>
      <w:r>
        <w:rPr>
          <w:rFonts w:ascii="Amiri" w:hAnsi="Amiri" w:eastAsia="Amiri" w:cs="Amiri"/>
          <w:lang w:bidi="ar-SA"/>
          <w:color w:val="111111"/>
          <w:sz w:val="28"/>
          <w:szCs w:val="28"/>
          <w:rtl/>
        </w:rPr>
        <w:t xml:space="preserve">نظم دور السمطين، ج 16، ص 342.</w:t>
      </w:r>
    </w:p>
    <w:p>
      <w:pPr>
        <w:pStyle w:val="BookText"/>
      </w:pPr>
      <w:r>
        <w:rPr>
          <w:rFonts w:ascii="Amiri" w:hAnsi="Amiri" w:eastAsia="Amiri" w:cs="Amiri"/>
          <w:lang w:bidi="ar-SA"/>
          <w:color w:val="111111"/>
          <w:sz w:val="28"/>
          <w:szCs w:val="28"/>
          <w:rtl/>
        </w:rPr>
        <w:t xml:space="preserve">انصاري ، محمود بن بركات - باقاني</w:t>
      </w:r>
    </w:p>
    <w:p>
      <w:pPr>
        <w:pStyle w:val="BookText"/>
      </w:pPr>
      <w:r>
        <w:rPr>
          <w:rFonts w:ascii="Amiri" w:hAnsi="Amiri" w:eastAsia="Amiri" w:cs="Amiri"/>
          <w:lang w:bidi="ar-SA"/>
          <w:color w:val="111111"/>
          <w:sz w:val="28"/>
          <w:szCs w:val="28"/>
          <w:rtl/>
        </w:rPr>
        <w:t xml:space="preserve">انصاري ، نورالدين بن حسين</w:t>
      </w:r>
    </w:p>
    <w:p>
      <w:pPr>
        <w:pStyle w:val="Heading2"/>
      </w:pPr>
      <w:bookmarkStart w:id="2449" w:name="_Toc1551"/>
      <w:r>
        <w:t>انصاري ، مرتضى بن محمّد امین 1214 -</w:t>
      </w:r>
      <w:bookmarkEnd w:id="2449"/>
    </w:p>
    <w:p>
      <w:pPr>
        <w:pStyle w:val="BookText"/>
      </w:pPr>
      <w:r>
        <w:rPr>
          <w:rFonts w:ascii="IRNazanin" w:hAnsi="IRNazanin" w:eastAsia="IRNazanin" w:cs="IRNazanin"/>
          <w:lang w:bidi="fa-IR"/>
          <w:color w:val="111111"/>
          <w:sz w:val="28"/>
          <w:szCs w:val="28"/>
          <w:rtl/>
        </w:rPr>
        <w:t xml:space="preserve">1281 ه-</w:t>
      </w:r>
    </w:p>
    <w:p>
      <w:pPr>
        <w:pStyle w:val="BookText"/>
      </w:pPr>
      <w:r>
        <w:rPr>
          <w:rFonts w:ascii="Amiri" w:hAnsi="Amiri" w:eastAsia="Amiri" w:cs="Amiri"/>
          <w:lang w:bidi="ar-SA"/>
          <w:color w:val="111111"/>
          <w:sz w:val="28"/>
          <w:szCs w:val="28"/>
          <w:rtl/>
        </w:rPr>
        <w:t xml:space="preserve">1 .إجازة للشيخ محمّد حسن بن محمّد جعفر الإسترابادي، ج 1، ص 273 .</w:t>
      </w:r>
    </w:p>
    <w:p>
      <w:pPr>
        <w:pStyle w:val="BookText"/>
      </w:pPr>
      <w:r>
        <w:rPr>
          <w:rFonts w:ascii="Amiri" w:hAnsi="Amiri" w:eastAsia="Amiri" w:cs="Amiri"/>
          <w:lang w:bidi="ar-SA"/>
          <w:color w:val="111111"/>
          <w:sz w:val="28"/>
          <w:szCs w:val="28"/>
          <w:rtl/>
        </w:rPr>
        <w:t xml:space="preserve">2 .الاجتهاد والتقليد، ج1، ص303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احكام الخلل (رسالة في)، ج1،</w:t>
      </w:r>
    </w:p>
    <w:p>
      <w:pPr>
        <w:pStyle w:val="BookText"/>
      </w:pPr>
      <w:r>
        <w:rPr>
          <w:rFonts w:ascii="IRNazanin" w:hAnsi="IRNazanin" w:eastAsia="IRNazanin" w:cs="IRNazanin"/>
          <w:lang w:bidi="fa-IR"/>
          <w:color w:val="111111"/>
          <w:sz w:val="28"/>
          <w:szCs w:val="28"/>
          <w:rtl/>
        </w:rPr>
        <w:t xml:space="preserve">ص 468 .</w:t>
      </w:r>
    </w:p>
    <w:p>
      <w:pPr>
        <w:pStyle w:val="BookText"/>
      </w:pPr>
      <w:r>
        <w:rPr>
          <w:rFonts w:ascii="IRNazanin" w:hAnsi="IRNazanin" w:eastAsia="IRNazanin" w:cs="IRNazanin"/>
          <w:lang w:bidi="fa-IR"/>
          <w:color w:val="111111"/>
          <w:sz w:val="28"/>
          <w:szCs w:val="28"/>
          <w:rtl/>
        </w:rPr>
        <w:t xml:space="preserve">4 .لاستصحاب، ج 2، ص131.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تحريرات الشيخ مرتضى الانصاري</w:t>
      </w:r>
    </w:p>
    <w:p>
      <w:pPr>
        <w:pStyle w:val="BookText"/>
      </w:pPr>
      <w:r>
        <w:rPr>
          <w:rFonts w:ascii="IRNazanin" w:hAnsi="IRNazanin" w:eastAsia="IRNazanin" w:cs="IRNazanin"/>
          <w:lang w:bidi="fa-IR"/>
          <w:color w:val="111111"/>
          <w:sz w:val="28"/>
          <w:szCs w:val="28"/>
          <w:rtl/>
        </w:rPr>
        <w:t xml:space="preserve">ج 3، ص 725 .</w:t>
      </w:r>
    </w:p>
    <w:p>
      <w:pPr>
        <w:pStyle w:val="BookText"/>
      </w:pPr>
      <w:r>
        <w:rPr>
          <w:rFonts w:ascii="Amiri" w:hAnsi="Amiri" w:eastAsia="Amiri" w:cs="Amiri"/>
          <w:lang w:bidi="ar-SA"/>
          <w:color w:val="111111"/>
          <w:sz w:val="28"/>
          <w:szCs w:val="28"/>
          <w:rtl/>
        </w:rPr>
        <w:t xml:space="preserve">6 .التسامح في ادلة السنن، ج 4،</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التعادل والتراجيح، ج 4، ص 445.</w:t>
      </w:r>
    </w:p>
    <w:p>
      <w:pPr>
        <w:pStyle w:val="BookText"/>
      </w:pPr>
      <w:r>
        <w:rPr>
          <w:rFonts w:ascii="Amiri" w:hAnsi="Amiri" w:eastAsia="Amiri" w:cs="Amiri"/>
          <w:lang w:bidi="ar-SA"/>
          <w:color w:val="111111"/>
          <w:sz w:val="28"/>
          <w:szCs w:val="28"/>
          <w:rtl/>
        </w:rPr>
        <w:t xml:space="preserve">8 .تقديم الفائتة على الحاضرة، جع،</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Amiri" w:hAnsi="Amiri" w:eastAsia="Amiri" w:cs="Amiri"/>
          <w:lang w:bidi="ar-SA"/>
          <w:color w:val="111111"/>
          <w:sz w:val="28"/>
          <w:szCs w:val="28"/>
          <w:rtl/>
        </w:rPr>
        <w:t xml:space="preserve">9 .تقريرات الاصول، ج 4 ، ص 740.</w:t>
      </w:r>
    </w:p>
    <w:p>
      <w:pPr>
        <w:pStyle w:val="BookText"/>
      </w:pPr>
      <w:r>
        <w:rPr>
          <w:rFonts w:ascii="Amiri" w:hAnsi="Amiri" w:eastAsia="Amiri" w:cs="Amiri"/>
          <w:lang w:bidi="ar-SA"/>
          <w:color w:val="111111"/>
          <w:sz w:val="28"/>
          <w:szCs w:val="28"/>
          <w:rtl/>
        </w:rPr>
        <w:t xml:space="preserve">10 .تقريرات الفقه، ج4، ص 763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التقية، ج 4، ص 806.</w:t>
      </w:r>
    </w:p>
    <w:p>
      <w:pPr>
        <w:pStyle w:val="BookText"/>
      </w:pPr>
      <w:r>
        <w:rPr>
          <w:rFonts w:ascii="Amiri" w:hAnsi="Amiri" w:eastAsia="Amiri" w:cs="Amiri"/>
          <w:lang w:bidi="ar-SA"/>
          <w:color w:val="111111"/>
          <w:sz w:val="28"/>
          <w:szCs w:val="28"/>
          <w:rtl/>
        </w:rPr>
        <w:t xml:space="preserve">12 .حاشية القوانين المحكمة، ج 6،</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Amiri" w:hAnsi="Amiri" w:eastAsia="Amiri" w:cs="Amiri"/>
          <w:lang w:bidi="ar-SA"/>
          <w:color w:val="111111"/>
          <w:sz w:val="28"/>
          <w:szCs w:val="28"/>
          <w:rtl/>
        </w:rPr>
        <w:t xml:space="preserve">13 .حاشية النخبة، ج6، ص 435.</w:t>
      </w:r>
    </w:p>
    <w:p>
      <w:pPr>
        <w:pStyle w:val="BookText"/>
      </w:pPr>
      <w:r>
        <w:rPr>
          <w:rFonts w:ascii="IRNazanin" w:hAnsi="IRNazanin" w:eastAsia="IRNazanin" w:cs="IRNazanin"/>
          <w:lang w:bidi="fa-IR"/>
          <w:color w:val="111111"/>
          <w:sz w:val="28"/>
          <w:szCs w:val="28"/>
          <w:rtl/>
        </w:rPr>
        <w:t xml:space="preserve">14 .ذخيرة المعاد = رساله عملیه، ج7،</w:t>
      </w:r>
    </w:p>
    <w:p>
      <w:pPr>
        <w:pStyle w:val="BookText"/>
      </w:pPr>
      <w:r>
        <w:rPr>
          <w:rFonts w:ascii="IRNazanin" w:hAnsi="IRNazanin" w:eastAsia="IRNazanin" w:cs="IRNazanin"/>
          <w:lang w:bidi="fa-IR"/>
          <w:color w:val="111111"/>
          <w:sz w:val="28"/>
          <w:szCs w:val="28"/>
          <w:rtl/>
        </w:rPr>
        <w:t xml:space="preserve">ص 833.</w:t>
      </w:r>
    </w:p>
    <w:p>
      <w:pPr>
        <w:pStyle w:val="BookText"/>
      </w:pPr>
      <w:r>
        <w:rPr>
          <w:rFonts w:ascii="Amiri" w:hAnsi="Amiri" w:eastAsia="Amiri" w:cs="Amiri"/>
          <w:lang w:bidi="ar-SA"/>
          <w:color w:val="111111"/>
          <w:sz w:val="28"/>
          <w:szCs w:val="28"/>
          <w:rtl/>
        </w:rPr>
        <w:t xml:space="preserve">15 .رسائل الشيخ الأنصاري، ج8،</w:t>
      </w:r>
    </w:p>
    <w:p>
      <w:pPr>
        <w:pStyle w:val="BookText"/>
      </w:pPr>
      <w:r>
        <w:rPr>
          <w:rFonts w:ascii="IRNazanin" w:hAnsi="IRNazanin" w:eastAsia="IRNazanin" w:cs="IRNazanin"/>
          <w:lang w:bidi="fa-IR"/>
          <w:color w:val="111111"/>
          <w:sz w:val="28"/>
          <w:szCs w:val="28"/>
          <w:rtl/>
        </w:rPr>
        <w:t xml:space="preserve">ص 143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الرضاعية، ج8، ص327.</w:t>
      </w:r>
    </w:p>
    <w:p>
      <w:pPr>
        <w:pStyle w:val="BookText"/>
      </w:pPr>
      <w:r>
        <w:rPr>
          <w:rFonts w:ascii="Amiri" w:hAnsi="Amiri" w:eastAsia="Amiri" w:cs="Amiri"/>
          <w:lang w:bidi="ar-SA"/>
          <w:color w:val="111111"/>
          <w:sz w:val="28"/>
          <w:szCs w:val="28"/>
          <w:rtl/>
        </w:rPr>
        <w:t xml:space="preserve">17 .الزكاة، ج 8، ص 603.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سراج العباد، ج8، ص732</w:t>
      </w:r>
    </w:p>
    <w:p>
      <w:pPr>
        <w:pStyle w:val="BookText"/>
      </w:pPr>
      <w:r>
        <w:rPr>
          <w:rFonts w:ascii="IRNazanin" w:hAnsi="IRNazanin" w:eastAsia="IRNazanin" w:cs="IRNazanin"/>
          <w:lang w:bidi="fa-IR"/>
          <w:color w:val="111111"/>
          <w:sz w:val="28"/>
          <w:szCs w:val="28"/>
          <w:rtl/>
        </w:rPr>
        <w:t xml:space="preserve">19 .شرح ارشاد الاذهان، ج 9، ص 185.</w:t>
      </w:r>
    </w:p>
    <w:p>
      <w:pPr>
        <w:pStyle w:val="BookText"/>
      </w:pPr>
      <w:r>
        <w:rPr>
          <w:rFonts w:ascii="IRNazanin" w:hAnsi="IRNazanin" w:eastAsia="IRNazanin" w:cs="IRNazanin"/>
          <w:lang w:bidi="fa-IR"/>
          <w:color w:val="111111"/>
          <w:sz w:val="28"/>
          <w:szCs w:val="28"/>
          <w:rtl/>
        </w:rPr>
        <w:t xml:space="preserve">20 .شرح ارشاد الاذهان = الخمس</w:t>
      </w:r>
    </w:p>
    <w:p>
      <w:pPr>
        <w:pStyle w:val="BookText"/>
      </w:pPr>
      <w:r>
        <w:rPr>
          <w:rFonts w:ascii="IRNazanin" w:hAnsi="IRNazanin" w:eastAsia="IRNazanin" w:cs="IRNazanin"/>
          <w:lang w:bidi="fa-IR"/>
          <w:color w:val="111111"/>
          <w:sz w:val="28"/>
          <w:szCs w:val="28"/>
          <w:rtl/>
        </w:rPr>
        <w:t xml:space="preserve">ج 9، ص 186 .</w:t>
      </w:r>
    </w:p>
    <w:p>
      <w:pPr>
        <w:pStyle w:val="BookText"/>
      </w:pPr>
      <w:r>
        <w:rPr>
          <w:rFonts w:ascii="Amiri" w:hAnsi="Amiri" w:eastAsia="Amiri" w:cs="Amiri"/>
          <w:lang w:bidi="ar-SA"/>
          <w:color w:val="111111"/>
          <w:sz w:val="28"/>
          <w:szCs w:val="28"/>
          <w:rtl/>
        </w:rPr>
        <w:t xml:space="preserve">21 .صراط النجاة، ج 10 ، ص 547.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الصلاة، ج 10، ص 586.</w:t>
      </w:r>
    </w:p>
    <w:p>
      <w:pPr>
        <w:pStyle w:val="BookText"/>
      </w:pPr>
      <w:r>
        <w:rPr>
          <w:rFonts w:ascii="Amiri" w:hAnsi="Amiri" w:eastAsia="Amiri" w:cs="Amiri"/>
          <w:lang w:bidi="ar-SA"/>
          <w:color w:val="111111"/>
          <w:sz w:val="28"/>
          <w:szCs w:val="28"/>
          <w:rtl/>
        </w:rPr>
        <w:t xml:space="preserve">23 .صلاة المسافر، ج 10، ص 613.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الصوم، ج 10، ص 664.</w:t>
      </w:r>
    </w:p>
    <w:p>
      <w:pPr>
        <w:pStyle w:val="BookText"/>
      </w:pPr>
      <w:r>
        <w:rPr>
          <w:rFonts w:ascii="Amiri" w:hAnsi="Amiri" w:eastAsia="Amiri" w:cs="Amiri"/>
          <w:lang w:bidi="ar-SA"/>
          <w:color w:val="111111"/>
          <w:sz w:val="28"/>
          <w:szCs w:val="28"/>
          <w:rtl/>
        </w:rPr>
        <w:t xml:space="preserve">25 .الصوم و التقليد، ج 10، ص 668.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الطهارة - شرح ارشاد الاذهان</w:t>
      </w:r>
    </w:p>
    <w:p>
      <w:pPr>
        <w:pStyle w:val="BookText"/>
      </w:pPr>
      <w:r>
        <w:rPr>
          <w:rFonts w:ascii="IRNazanin" w:hAnsi="IRNazanin" w:eastAsia="IRNazanin" w:cs="IRNazanin"/>
          <w:lang w:bidi="fa-IR"/>
          <w:color w:val="111111"/>
          <w:sz w:val="28"/>
          <w:szCs w:val="28"/>
          <w:rtl/>
        </w:rPr>
        <w:t xml:space="preserve">ج 10، ص 856.</w:t>
      </w:r>
    </w:p>
    <w:p>
      <w:pPr>
        <w:pStyle w:val="BookText"/>
      </w:pPr>
      <w:r>
        <w:rPr>
          <w:rFonts w:ascii="Amiri" w:hAnsi="Amiri" w:eastAsia="Amiri" w:cs="Amiri"/>
          <w:lang w:bidi="ar-SA"/>
          <w:color w:val="111111"/>
          <w:sz w:val="28"/>
          <w:szCs w:val="28"/>
          <w:rtl/>
        </w:rPr>
        <w:t xml:space="preserve">27 .العدالة، ج 11، ص 42.</w:t>
      </w:r>
    </w:p>
    <w:p>
      <w:pPr>
        <w:pStyle w:val="BookText"/>
      </w:pPr>
      <w:r>
        <w:rPr>
          <w:rFonts w:ascii="IRNazanin" w:hAnsi="IRNazanin" w:eastAsia="IRNazanin" w:cs="IRNazanin"/>
          <w:lang w:bidi="fa-IR"/>
          <w:color w:val="111111"/>
          <w:sz w:val="28"/>
          <w:szCs w:val="28"/>
          <w:rtl/>
        </w:rPr>
        <w:t xml:space="preserve">28 .الغصب، ج 11، ص 505.</w:t>
      </w:r>
    </w:p>
    <w:p>
      <w:pPr>
        <w:pStyle w:val="BookText"/>
      </w:pPr>
      <w:r>
        <w:rPr>
          <w:rFonts w:ascii="IRNazanin" w:hAnsi="IRNazanin" w:eastAsia="IRNazanin" w:cs="IRNazanin"/>
          <w:lang w:bidi="fa-IR"/>
          <w:color w:val="111111"/>
          <w:sz w:val="28"/>
          <w:szCs w:val="28"/>
          <w:rtl/>
        </w:rPr>
        <w:t xml:space="preserve">29 .فرائد الاصول = الرسائل، ج 11،</w:t>
      </w:r>
    </w:p>
    <w:p>
      <w:pPr>
        <w:pStyle w:val="BookText"/>
      </w:pPr>
      <w:r>
        <w:rPr>
          <w:rFonts w:ascii="IRNazanin" w:hAnsi="IRNazanin" w:eastAsia="IRNazanin" w:cs="IRNazanin"/>
          <w:lang w:bidi="fa-IR"/>
          <w:color w:val="111111"/>
          <w:sz w:val="28"/>
          <w:szCs w:val="28"/>
          <w:rtl/>
        </w:rPr>
        <w:t xml:space="preserve">ص 726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قاعدة لاضرر، ج 12، ص 335.</w:t>
      </w:r>
    </w:p>
    <w:p>
      <w:pPr>
        <w:pStyle w:val="BookText"/>
      </w:pPr>
      <w:r>
        <w:rPr>
          <w:rFonts w:ascii="Amiri" w:hAnsi="Amiri" w:eastAsia="Amiri" w:cs="Amiri"/>
          <w:lang w:bidi="ar-SA"/>
          <w:color w:val="111111"/>
          <w:sz w:val="28"/>
          <w:szCs w:val="28"/>
          <w:rtl/>
        </w:rPr>
        <w:t xml:space="preserve">31 .قاعدة من ملك شيئاً ملك الاقرار</w:t>
      </w:r>
    </w:p>
    <w:p>
      <w:pPr>
        <w:pStyle w:val="BookText"/>
      </w:pPr>
      <w:r>
        <w:rPr>
          <w:rFonts w:ascii="IRNazanin" w:hAnsi="IRNazanin" w:eastAsia="IRNazanin" w:cs="IRNazanin"/>
          <w:lang w:bidi="fa-IR"/>
          <w:color w:val="111111"/>
          <w:sz w:val="28"/>
          <w:szCs w:val="28"/>
          <w:rtl/>
        </w:rPr>
        <w:t xml:space="preserve">به، ج12، ص336.</w:t>
      </w:r>
    </w:p>
    <w:p>
      <w:pPr>
        <w:pStyle w:val="BookText"/>
      </w:pPr>
      <w:r>
        <w:rPr>
          <w:rFonts w:ascii="Amiri" w:hAnsi="Amiri" w:eastAsia="Amiri" w:cs="Amiri"/>
          <w:lang w:bidi="ar-SA"/>
          <w:color w:val="111111"/>
          <w:sz w:val="28"/>
          <w:szCs w:val="28"/>
          <w:rtl/>
        </w:rPr>
        <w:t xml:space="preserve">32 .القضاء عن الميت، ج 12، ص 735.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المكاسب = المتاجر، ج 15، ص 414.</w:t>
      </w:r>
    </w:p>
    <w:p>
      <w:pPr>
        <w:pStyle w:val="BookText"/>
      </w:pPr>
      <w:r>
        <w:rPr>
          <w:rFonts w:ascii="Amiri" w:hAnsi="Amiri" w:eastAsia="Amiri" w:cs="Amiri"/>
          <w:lang w:bidi="ar-SA"/>
          <w:color w:val="111111"/>
          <w:sz w:val="28"/>
          <w:szCs w:val="28"/>
          <w:rtl/>
        </w:rPr>
        <w:t xml:space="preserve">34 .المواسعة والمضايقة، ج 15</w:t>
      </w:r>
    </w:p>
    <w:p>
      <w:pPr>
        <w:pStyle w:val="BookText"/>
      </w:pPr>
      <w:r>
        <w:rPr>
          <w:rFonts w:ascii="IRNazanin" w:hAnsi="IRNazanin" w:eastAsia="IRNazanin" w:cs="IRNazanin"/>
          <w:lang w:bidi="fa-IR"/>
          <w:color w:val="111111"/>
          <w:sz w:val="28"/>
          <w:szCs w:val="28"/>
          <w:rtl/>
        </w:rPr>
        <w:t xml:space="preserve">ص 860.</w:t>
      </w:r>
    </w:p>
    <w:p>
      <w:pPr>
        <w:pStyle w:val="BookText"/>
      </w:pPr>
      <w:r>
        <w:rPr>
          <w:rFonts w:ascii="Amiri" w:hAnsi="Amiri" w:eastAsia="Amiri" w:cs="Amiri"/>
          <w:lang w:bidi="ar-SA"/>
          <w:color w:val="111111"/>
          <w:sz w:val="28"/>
          <w:szCs w:val="28"/>
          <w:rtl/>
        </w:rPr>
        <w:t xml:space="preserve">35 .النية (رسالة في)، ج 16، ص 576.</w:t>
      </w:r>
    </w:p>
    <w:p>
      <w:pPr>
        <w:pStyle w:val="BookText"/>
      </w:pPr>
      <w:r>
        <w:rPr>
          <w:rFonts w:ascii="IRNazanin" w:hAnsi="IRNazanin" w:eastAsia="IRNazanin" w:cs="IRNazanin"/>
          <w:lang w:bidi="fa-IR"/>
          <w:color w:val="111111"/>
          <w:sz w:val="28"/>
          <w:szCs w:val="28"/>
          <w:rtl/>
        </w:rPr>
        <w:t xml:space="preserve">36 .الوقوف، ج 16، ص 876.</w:t>
      </w:r>
    </w:p>
    <w:p>
      <w:pPr>
        <w:pStyle w:val="BookText"/>
      </w:pPr>
      <w:r>
        <w:rPr>
          <w:rFonts w:ascii="Amiri" w:hAnsi="Amiri" w:eastAsia="Amiri" w:cs="Amiri"/>
          <w:lang w:bidi="ar-SA"/>
          <w:color w:val="111111"/>
          <w:sz w:val="28"/>
          <w:szCs w:val="28"/>
          <w:rtl/>
        </w:rPr>
        <w:t xml:space="preserve">انصاري ، مصطفى -نجم الدين انصاري</w:t>
      </w:r>
    </w:p>
    <w:p>
      <w:pPr>
        <w:pStyle w:val="BookText"/>
      </w:pPr>
      <w:r>
        <w:rPr>
          <w:rFonts w:ascii="IRNazanin" w:hAnsi="IRNazanin" w:eastAsia="IRNazanin" w:cs="IRNazanin"/>
          <w:lang w:bidi="fa-IR"/>
          <w:color w:val="111111"/>
          <w:sz w:val="28"/>
          <w:szCs w:val="28"/>
          <w:rtl/>
        </w:rPr>
        <w:t xml:space="preserve">مصطفى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5" w:name="pg7742_69835"/>
    <w:bookmarkEnd w:id="225"/>
    <w:p>
      <w:pPr>
        <w:pStyle w:val="Heading2"/>
      </w:pPr>
      <w:bookmarkStart w:id="2450" w:name="_Toc1552"/>
      <w:r>
        <w:t>انصاري مغربي ، علي بن موسى 515 -</w:t>
      </w:r>
      <w:bookmarkEnd w:id="2450"/>
    </w:p>
    <w:p>
      <w:pPr>
        <w:pStyle w:val="BookText"/>
      </w:pPr>
      <w:r>
        <w:rPr>
          <w:rFonts w:ascii="IRNazanin" w:hAnsi="IRNazanin" w:eastAsia="IRNazanin" w:cs="IRNazanin"/>
          <w:lang w:bidi="fa-IR"/>
          <w:color w:val="111111"/>
          <w:sz w:val="28"/>
          <w:szCs w:val="28"/>
          <w:rtl/>
        </w:rPr>
        <w:t xml:space="preserve">593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ترتيب الاكسير، ج 4، ص 236 .</w:t>
      </w:r>
    </w:p>
    <w:p>
      <w:pPr>
        <w:pStyle w:val="BookText"/>
      </w:pPr>
      <w:r>
        <w:rPr>
          <w:rFonts w:ascii="Amiri" w:hAnsi="Amiri" w:eastAsia="Amiri" w:cs="Amiri"/>
          <w:lang w:bidi="ar-SA"/>
          <w:color w:val="111111"/>
          <w:sz w:val="28"/>
          <w:szCs w:val="28"/>
          <w:rtl/>
        </w:rPr>
        <w:t xml:space="preserve">2 .الجهات في علم التوجهات جه،</w:t>
      </w:r>
    </w:p>
    <w:p>
      <w:pPr>
        <w:pStyle w:val="BookText"/>
      </w:pPr>
      <w:r>
        <w:rPr>
          <w:rFonts w:ascii="IRNazanin" w:hAnsi="IRNazanin" w:eastAsia="IRNazanin" w:cs="IRNazanin"/>
          <w:lang w:bidi="fa-IR"/>
          <w:color w:val="111111"/>
          <w:sz w:val="28"/>
          <w:szCs w:val="28"/>
          <w:rtl/>
        </w:rPr>
        <w:t xml:space="preserve">ص 476 .</w:t>
      </w:r>
    </w:p>
    <w:p>
      <w:pPr>
        <w:pStyle w:val="BookText"/>
      </w:pPr>
      <w:r>
        <w:rPr>
          <w:rFonts w:ascii="Amiri" w:hAnsi="Amiri" w:eastAsia="Amiri" w:cs="Amiri"/>
          <w:lang w:bidi="ar-SA"/>
          <w:color w:val="111111"/>
          <w:sz w:val="28"/>
          <w:szCs w:val="28"/>
          <w:rtl/>
        </w:rPr>
        <w:t xml:space="preserve">3 .شذور الذهب - ديوان الشذور</w:t>
      </w:r>
    </w:p>
    <w:p>
      <w:pPr>
        <w:pStyle w:val="BookText"/>
      </w:pPr>
      <w:r>
        <w:rPr>
          <w:rFonts w:ascii="IRNazanin" w:hAnsi="IRNazanin" w:eastAsia="IRNazanin" w:cs="IRNazanin"/>
          <w:lang w:bidi="fa-IR"/>
          <w:color w:val="111111"/>
          <w:sz w:val="28"/>
          <w:szCs w:val="28"/>
          <w:rtl/>
        </w:rPr>
        <w:t xml:space="preserve">ج 9، ص89.</w:t>
      </w:r>
    </w:p>
    <w:p>
      <w:pPr>
        <w:pStyle w:val="BookText"/>
      </w:pPr>
      <w:r>
        <w:rPr>
          <w:rFonts w:ascii="Amiri" w:hAnsi="Amiri" w:eastAsia="Amiri" w:cs="Amiri"/>
          <w:lang w:bidi="ar-SA"/>
          <w:color w:val="111111"/>
          <w:sz w:val="28"/>
          <w:szCs w:val="28"/>
          <w:rtl/>
        </w:rPr>
        <w:t xml:space="preserve">انصاري ، نورالدين بن حسين- باقاني</w:t>
      </w:r>
    </w:p>
    <w:p>
      <w:pPr>
        <w:pStyle w:val="BookText"/>
      </w:pPr>
      <w:r>
        <w:rPr>
          <w:rFonts w:ascii="Amiri" w:hAnsi="Amiri" w:eastAsia="Amiri" w:cs="Amiri"/>
          <w:lang w:bidi="ar-SA"/>
          <w:color w:val="111111"/>
          <w:sz w:val="28"/>
          <w:szCs w:val="28"/>
          <w:rtl/>
        </w:rPr>
        <w:t xml:space="preserve">انصاري ، نورالدين بن حسين</w:t>
      </w:r>
    </w:p>
    <w:p>
      <w:pPr>
        <w:pStyle w:val="Heading2"/>
      </w:pPr>
      <w:bookmarkStart w:id="2451" w:name="_Toc1553"/>
      <w:r>
        <w:t>انصاري ، هند بنت نعمان</w:t>
      </w:r>
      <w:bookmarkEnd w:id="2451"/>
    </w:p>
    <w:p>
      <w:pPr>
        <w:pStyle w:val="BookText"/>
      </w:pPr>
      <w:r>
        <w:rPr>
          <w:rFonts w:ascii="IRNazanin" w:hAnsi="IRNazanin" w:eastAsia="IRNazanin" w:cs="IRNazanin"/>
          <w:lang w:bidi="fa-IR"/>
          <w:color w:val="111111"/>
          <w:sz w:val="28"/>
          <w:szCs w:val="28"/>
          <w:rtl/>
        </w:rPr>
        <w:t xml:space="preserve">دیوان هند انصاري، ج7، ص793.</w:t>
      </w:r>
    </w:p>
    <w:p>
      <w:pPr>
        <w:pStyle w:val="Heading2"/>
      </w:pPr>
      <w:bookmarkStart w:id="2452" w:name="_Toc1554"/>
      <w:r>
        <w:t>انصاري ولي الله بن حبيب الله - 1270 ه-</w:t>
      </w:r>
      <w:bookmarkEnd w:id="2452"/>
    </w:p>
    <w:p>
      <w:pPr>
        <w:pStyle w:val="BookText"/>
      </w:pPr>
      <w:r>
        <w:rPr>
          <w:rFonts w:ascii="Amiri" w:hAnsi="Amiri" w:eastAsia="Amiri" w:cs="Amiri"/>
          <w:lang w:bidi="ar-SA"/>
          <w:color w:val="111111"/>
          <w:sz w:val="28"/>
          <w:szCs w:val="28"/>
          <w:rtl/>
        </w:rPr>
        <w:t xml:space="preserve">شرح غاية العلوم، ج 9، ص 768 .</w:t>
      </w:r>
    </w:p>
    <w:p>
      <w:pPr>
        <w:pStyle w:val="Heading2"/>
      </w:pPr>
      <w:bookmarkStart w:id="2453" w:name="_Toc1555"/>
      <w:r>
        <w:t>انصاري ، يعقوب، قرن 14 ه-</w:t>
      </w:r>
      <w:bookmarkEnd w:id="2453"/>
    </w:p>
    <w:p>
      <w:pPr>
        <w:pStyle w:val="BookText"/>
      </w:pPr>
      <w:r>
        <w:rPr>
          <w:rFonts w:ascii="Amiri" w:hAnsi="Amiri" w:eastAsia="Amiri" w:cs="Amiri"/>
          <w:lang w:bidi="ar-SA"/>
          <w:color w:val="111111"/>
          <w:sz w:val="28"/>
          <w:szCs w:val="28"/>
          <w:rtl/>
        </w:rPr>
        <w:t xml:space="preserve">الفوائد الصمدية (ترجمه) = صمدية</w:t>
      </w:r>
    </w:p>
    <w:p>
      <w:pPr>
        <w:pStyle w:val="BookText"/>
      </w:pPr>
      <w:r>
        <w:rPr>
          <w:rFonts w:ascii="IRNazanin" w:hAnsi="IRNazanin" w:eastAsia="IRNazanin" w:cs="IRNazanin"/>
          <w:lang w:bidi="fa-IR"/>
          <w:color w:val="111111"/>
          <w:sz w:val="28"/>
          <w:szCs w:val="28"/>
          <w:rtl/>
        </w:rPr>
        <w:t xml:space="preserve">(ترجمه)، ج 12، ص222</w:t>
      </w:r>
    </w:p>
    <w:p>
      <w:pPr>
        <w:pStyle w:val="Heading2"/>
      </w:pPr>
      <w:bookmarkStart w:id="2454" w:name="_Toc1556"/>
      <w:r>
        <w:t>انصراغوشي ، محمّد حسن بن محمّدتقي</w:t>
      </w:r>
      <w:bookmarkEnd w:id="2454"/>
    </w:p>
    <w:p>
      <w:pPr>
        <w:pStyle w:val="BookText"/>
      </w:pPr>
      <w:r>
        <w:rPr>
          <w:rFonts w:ascii="Amiri" w:hAnsi="Amiri" w:eastAsia="Amiri" w:cs="Amiri"/>
          <w:lang w:bidi="ar-SA"/>
          <w:color w:val="111111"/>
          <w:sz w:val="28"/>
          <w:szCs w:val="28"/>
          <w:rtl/>
        </w:rPr>
        <w:t xml:space="preserve">حاشية حاشية اليزدي على تهذيب</w:t>
      </w:r>
    </w:p>
    <w:p>
      <w:pPr>
        <w:pStyle w:val="BookText"/>
      </w:pPr>
      <w:r>
        <w:rPr>
          <w:rFonts w:ascii="IRNazanin" w:hAnsi="IRNazanin" w:eastAsia="IRNazanin" w:cs="IRNazanin"/>
          <w:lang w:bidi="fa-IR"/>
          <w:color w:val="111111"/>
          <w:sz w:val="28"/>
          <w:szCs w:val="28"/>
          <w:rtl/>
        </w:rPr>
        <w:t xml:space="preserve">المنطق، ج 5، ص 856.</w:t>
      </w:r>
    </w:p>
    <w:p>
      <w:pPr>
        <w:pStyle w:val="BookText"/>
      </w:pPr>
      <w:r>
        <w:rPr>
          <w:rFonts w:ascii="Amiri" w:hAnsi="Amiri" w:eastAsia="Amiri" w:cs="Amiri"/>
          <w:lang w:bidi="ar-SA"/>
          <w:color w:val="111111"/>
          <w:sz w:val="28"/>
          <w:szCs w:val="28"/>
          <w:rtl/>
        </w:rPr>
        <w:t xml:space="preserve">انطاسبوس سينائي- قديس سينائي</w:t>
      </w:r>
    </w:p>
    <w:p>
      <w:pPr>
        <w:pStyle w:val="BookText"/>
      </w:pPr>
      <w:r>
        <w:rPr>
          <w:rFonts w:ascii="IRNazanin" w:hAnsi="IRNazanin" w:eastAsia="IRNazanin" w:cs="IRNazanin"/>
          <w:lang w:bidi="fa-IR"/>
          <w:color w:val="111111"/>
          <w:sz w:val="28"/>
          <w:szCs w:val="28"/>
          <w:rtl/>
        </w:rPr>
        <w:t xml:space="preserve">انطاسبوس</w:t>
      </w:r>
    </w:p>
    <w:p>
      <w:pPr>
        <w:pStyle w:val="BookText"/>
      </w:pPr>
      <w:r>
        <w:rPr>
          <w:rFonts w:ascii="Amiri" w:hAnsi="Amiri" w:eastAsia="Amiri" w:cs="Amiri"/>
          <w:lang w:bidi="ar-SA"/>
          <w:color w:val="111111"/>
          <w:sz w:val="28"/>
          <w:szCs w:val="28"/>
          <w:rtl/>
        </w:rPr>
        <w:t xml:space="preserve">انطاكي اثناسيوس- اثنا سيوس انطاكي</w:t>
      </w:r>
    </w:p>
    <w:p>
      <w:pPr>
        <w:pStyle w:val="BookText"/>
      </w:pPr>
      <w:r>
        <w:rPr>
          <w:rFonts w:ascii="Amiri" w:hAnsi="Amiri" w:eastAsia="Amiri" w:cs="Amiri"/>
          <w:lang w:bidi="ar-SA"/>
          <w:color w:val="111111"/>
          <w:sz w:val="28"/>
          <w:szCs w:val="28"/>
          <w:rtl/>
        </w:rPr>
        <w:t xml:space="preserve">انطون بن جميل- جميل ، انطون</w:t>
      </w:r>
    </w:p>
    <w:p>
      <w:pPr>
        <w:pStyle w:val="Heading2"/>
      </w:pPr>
      <w:bookmarkStart w:id="2455" w:name="_Toc1557"/>
      <w:r>
        <w:t>انطاكي ، بولس</w:t>
      </w:r>
      <w:bookmarkEnd w:id="2455"/>
    </w:p>
    <w:p>
      <w:pPr>
        <w:pStyle w:val="BookText"/>
      </w:pPr>
      <w:r>
        <w:rPr>
          <w:rFonts w:ascii="Amiri" w:hAnsi="Amiri" w:eastAsia="Amiri" w:cs="Amiri"/>
          <w:lang w:bidi="ar-SA"/>
          <w:color w:val="111111"/>
          <w:sz w:val="28"/>
          <w:szCs w:val="28"/>
          <w:rtl/>
        </w:rPr>
        <w:t xml:space="preserve">رسالة اسقف صيدا إلى علمائها من المسلمين، ج8، ص 164.</w:t>
      </w:r>
    </w:p>
    <w:p>
      <w:pPr>
        <w:pStyle w:val="Heading2"/>
      </w:pPr>
      <w:bookmarkStart w:id="2456" w:name="_Toc1558"/>
      <w:r>
        <w:t>انطاكي ، بولس بطرس سعد، قرن 19م</w:t>
      </w:r>
      <w:bookmarkEnd w:id="2456"/>
    </w:p>
    <w:p>
      <w:pPr>
        <w:pStyle w:val="BookText"/>
      </w:pPr>
      <w:r>
        <w:rPr>
          <w:rFonts w:ascii="Amiri" w:hAnsi="Amiri" w:eastAsia="Amiri" w:cs="Amiri"/>
          <w:lang w:bidi="ar-SA"/>
          <w:color w:val="111111"/>
          <w:sz w:val="28"/>
          <w:szCs w:val="28"/>
          <w:rtl/>
        </w:rPr>
        <w:t xml:space="preserve">نخبة من كتاب الدر المنظوم، ج 16،</w:t>
      </w:r>
    </w:p>
    <w:p>
      <w:pPr>
        <w:pStyle w:val="BookText"/>
      </w:pPr>
      <w:r>
        <w:rPr>
          <w:rFonts w:ascii="IRNazanin" w:hAnsi="IRNazanin" w:eastAsia="IRNazanin" w:cs="IRNazanin"/>
          <w:lang w:bidi="fa-IR"/>
          <w:color w:val="111111"/>
          <w:sz w:val="28"/>
          <w:szCs w:val="28"/>
          <w:rtl/>
        </w:rPr>
        <w:t xml:space="preserve">ص 208.</w:t>
      </w:r>
    </w:p>
    <w:p>
      <w:pPr>
        <w:pStyle w:val="Heading2"/>
      </w:pPr>
      <w:bookmarkStart w:id="2457" w:name="_Toc1559"/>
      <w:r>
        <w:t>انطاكي ، حسين بن عبدالله - 1130 ه-</w:t>
      </w:r>
      <w:bookmarkEnd w:id="2457"/>
    </w:p>
    <w:p>
      <w:pPr>
        <w:pStyle w:val="BookText"/>
      </w:pPr>
      <w:r>
        <w:rPr>
          <w:rFonts w:ascii="Amiri" w:hAnsi="Amiri" w:eastAsia="Amiri" w:cs="Amiri"/>
          <w:lang w:bidi="ar-SA"/>
          <w:color w:val="111111"/>
          <w:sz w:val="28"/>
          <w:szCs w:val="28"/>
          <w:rtl/>
        </w:rPr>
        <w:t xml:space="preserve">آداب البحث والمناظرة = الرسالة</w:t>
      </w:r>
    </w:p>
    <w:p>
      <w:pPr>
        <w:pStyle w:val="BookText"/>
      </w:pPr>
      <w:r>
        <w:rPr>
          <w:rFonts w:ascii="Amiri" w:hAnsi="Amiri" w:eastAsia="Amiri" w:cs="Amiri"/>
          <w:lang w:bidi="ar-SA"/>
          <w:color w:val="111111"/>
          <w:sz w:val="28"/>
          <w:szCs w:val="28"/>
          <w:rtl/>
        </w:rPr>
        <w:t xml:space="preserve">الحسينية، ج 1، ص28.</w:t>
      </w:r>
    </w:p>
    <w:p>
      <w:pPr>
        <w:pStyle w:val="Heading2"/>
      </w:pPr>
      <w:bookmarkStart w:id="2458" w:name="_Toc1560"/>
      <w:r>
        <w:t>انطاكي، خليل بن محمّد قرن 12 ه-</w:t>
      </w:r>
      <w:bookmarkEnd w:id="2458"/>
    </w:p>
    <w:p>
      <w:pPr>
        <w:pStyle w:val="BookText"/>
      </w:pPr>
      <w:r>
        <w:rPr>
          <w:rFonts w:ascii="Amiri" w:hAnsi="Amiri" w:eastAsia="Amiri" w:cs="Amiri"/>
          <w:lang w:bidi="ar-SA"/>
          <w:color w:val="111111"/>
          <w:sz w:val="28"/>
          <w:szCs w:val="28"/>
          <w:rtl/>
        </w:rPr>
        <w:t xml:space="preserve">الجوهر المنجب في عقد المرجب، ج5،</w:t>
      </w:r>
    </w:p>
    <w:p>
      <w:pPr>
        <w:pStyle w:val="BookText"/>
      </w:pPr>
      <w:r>
        <w:rPr>
          <w:rFonts w:ascii="IRNazanin" w:hAnsi="IRNazanin" w:eastAsia="IRNazanin" w:cs="IRNazanin"/>
          <w:lang w:bidi="fa-IR"/>
          <w:color w:val="111111"/>
          <w:sz w:val="28"/>
          <w:szCs w:val="28"/>
          <w:rtl/>
        </w:rPr>
        <w:t xml:space="preserve">ص 626.</w:t>
      </w:r>
    </w:p>
    <w:p>
      <w:pPr>
        <w:pStyle w:val="Heading2"/>
      </w:pPr>
      <w:bookmarkStart w:id="2459" w:name="_Toc1561"/>
      <w:r>
        <w:t>انطاكي ، داود بن عمر، 950 - 1008 ه-</w:t>
      </w:r>
      <w:bookmarkEnd w:id="2459"/>
    </w:p>
    <w:p>
      <w:pPr>
        <w:pStyle w:val="BookText"/>
      </w:pPr>
      <w:r>
        <w:rPr>
          <w:rFonts w:ascii="Amiri" w:hAnsi="Amiri" w:eastAsia="Amiri" w:cs="Amiri"/>
          <w:lang w:bidi="ar-SA"/>
          <w:color w:val="111111"/>
          <w:sz w:val="28"/>
          <w:szCs w:val="28"/>
          <w:rtl/>
        </w:rPr>
        <w:t xml:space="preserve">1 .التحفة البكرية في احكام الاستحمام الكلية و الجزئية، ج3،</w:t>
      </w:r>
    </w:p>
    <w:p>
      <w:pPr>
        <w:pStyle w:val="BookText"/>
      </w:pPr>
      <w:r>
        <w:rPr>
          <w:rFonts w:ascii="IRNazanin" w:hAnsi="IRNazanin" w:eastAsia="IRNazanin" w:cs="IRNazanin"/>
          <w:lang w:bidi="fa-IR"/>
          <w:color w:val="111111"/>
          <w:sz w:val="28"/>
          <w:szCs w:val="28"/>
          <w:rtl/>
        </w:rPr>
        <w:t xml:space="preserve">ص 815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التذكرة النجومية (منتخب)، جع،</w:t>
      </w:r>
    </w:p>
    <w:p>
      <w:pPr>
        <w:pStyle w:val="BookText"/>
      </w:pPr>
      <w:r>
        <w:rPr>
          <w:rFonts w:ascii="IRNazanin" w:hAnsi="IRNazanin" w:eastAsia="IRNazanin" w:cs="IRNazanin"/>
          <w:lang w:bidi="fa-IR"/>
          <w:color w:val="111111"/>
          <w:sz w:val="28"/>
          <w:szCs w:val="28"/>
          <w:rtl/>
        </w:rPr>
        <w:t xml:space="preserve">ص 215.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اولي الالباب والجامع للعجب العجاب، ج 4، ص 182.</w:t>
      </w:r>
    </w:p>
    <w:p>
      <w:pPr>
        <w:pStyle w:val="BookText"/>
      </w:pPr>
      <w:r>
        <w:rPr>
          <w:rFonts w:ascii="Amiri" w:hAnsi="Amiri" w:eastAsia="Amiri" w:cs="Amiri"/>
          <w:lang w:bidi="ar-SA"/>
          <w:color w:val="111111"/>
          <w:sz w:val="28"/>
          <w:szCs w:val="28"/>
          <w:rtl/>
        </w:rPr>
        <w:t xml:space="preserve">4 .تزيين الاسواق بتفصيل اشواق</w:t>
      </w:r>
    </w:p>
    <w:p>
      <w:pPr>
        <w:pStyle w:val="BookText"/>
      </w:pPr>
      <w:r>
        <w:rPr>
          <w:rFonts w:ascii="IRNazanin" w:hAnsi="IRNazanin" w:eastAsia="IRNazanin" w:cs="IRNazanin"/>
          <w:lang w:bidi="fa-IR"/>
          <w:color w:val="111111"/>
          <w:sz w:val="28"/>
          <w:szCs w:val="28"/>
          <w:rtl/>
        </w:rPr>
        <w:t xml:space="preserve">العشاق، ج4، ص326.</w:t>
      </w:r>
    </w:p>
    <w:p>
      <w:pPr>
        <w:pStyle w:val="BookText"/>
      </w:pPr>
      <w:r>
        <w:rPr>
          <w:rFonts w:ascii="Amiri" w:hAnsi="Amiri" w:eastAsia="Amiri" w:cs="Amiri"/>
          <w:lang w:bidi="ar-SA"/>
          <w:color w:val="111111"/>
          <w:sz w:val="28"/>
          <w:szCs w:val="28"/>
          <w:rtl/>
        </w:rPr>
        <w:t xml:space="preserve">5 .علم احكام النجوم ( رسالة في)</w:t>
      </w:r>
    </w:p>
    <w:p>
      <w:pPr>
        <w:pStyle w:val="BookText"/>
      </w:pPr>
      <w:r>
        <w:rPr>
          <w:rFonts w:ascii="IRNazanin" w:hAnsi="IRNazanin" w:eastAsia="IRNazanin" w:cs="IRNazanin"/>
          <w:lang w:bidi="fa-IR"/>
          <w:color w:val="111111"/>
          <w:sz w:val="28"/>
          <w:szCs w:val="28"/>
          <w:rtl/>
        </w:rPr>
        <w:t xml:space="preserve">ج 11، ص227.</w:t>
      </w:r>
    </w:p>
    <w:p>
      <w:pPr>
        <w:pStyle w:val="BookText"/>
      </w:pPr>
      <w:r>
        <w:rPr>
          <w:rFonts w:ascii="Amiri" w:hAnsi="Amiri" w:eastAsia="Amiri" w:cs="Amiri"/>
          <w:lang w:bidi="ar-SA"/>
          <w:color w:val="111111"/>
          <w:sz w:val="28"/>
          <w:szCs w:val="28"/>
          <w:rtl/>
        </w:rPr>
        <w:t xml:space="preserve">6 .الفصد و الحجامة، ج 11، ص830.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مجربات، ج13، ص 811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مجمع الفوائد، ج13، ص 859.</w:t>
      </w:r>
    </w:p>
    <w:p>
      <w:pPr>
        <w:pStyle w:val="BookText"/>
      </w:pPr>
      <w:r>
        <w:rPr>
          <w:rFonts w:ascii="Amiri" w:hAnsi="Amiri" w:eastAsia="Amiri" w:cs="Amiri"/>
          <w:lang w:bidi="ar-SA"/>
          <w:color w:val="111111"/>
          <w:sz w:val="28"/>
          <w:szCs w:val="28"/>
          <w:rtl/>
        </w:rPr>
        <w:t xml:space="preserve">9 .النزهة المبهجة في تشحيذ الاذهان و</w:t>
      </w:r>
    </w:p>
    <w:p>
      <w:pPr>
        <w:pStyle w:val="BookText"/>
      </w:pPr>
      <w:r>
        <w:rPr>
          <w:rFonts w:ascii="Amiri" w:hAnsi="Amiri" w:eastAsia="Amiri" w:cs="Amiri"/>
          <w:lang w:bidi="ar-SA"/>
          <w:color w:val="111111"/>
          <w:sz w:val="28"/>
          <w:szCs w:val="28"/>
          <w:rtl/>
        </w:rPr>
        <w:t xml:space="preserve">تعديل الامزجة، ج 16، ص 241.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النزهة المبهجة في تشحيذ الاذهان و تعديل الامزجه (مختصر)، ج 16،</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IRNazanin" w:hAnsi="IRNazanin" w:eastAsia="IRNazanin" w:cs="IRNazanin"/>
          <w:lang w:bidi="fa-IR"/>
          <w:color w:val="111111"/>
          <w:sz w:val="28"/>
          <w:szCs w:val="28"/>
          <w:rtl/>
        </w:rPr>
        <w:t xml:space="preserve">11 .نقولات، ج 16، ص 430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6" w:name="pg7742_69837"/>
    <w:bookmarkEnd w:id="226"/>
    <w:p>
      <w:pPr>
        <w:pStyle w:val="Heading2"/>
      </w:pPr>
      <w:bookmarkStart w:id="2460" w:name="_Toc1562"/>
      <w:r>
        <w:t>انطاكي ، سعيد افندي</w:t>
      </w:r>
      <w:bookmarkEnd w:id="2460"/>
    </w:p>
    <w:p>
      <w:pPr>
        <w:pStyle w:val="BookText"/>
      </w:pPr>
      <w:r>
        <w:rPr>
          <w:rFonts w:ascii="Amiri" w:hAnsi="Amiri" w:eastAsia="Amiri" w:cs="Amiri"/>
          <w:lang w:bidi="ar-SA"/>
          <w:color w:val="111111"/>
          <w:sz w:val="28"/>
          <w:szCs w:val="28"/>
          <w:rtl/>
        </w:rPr>
        <w:t xml:space="preserve">حاشية شرح رسالة الاستعارة = حاشية شرح الرسالة السمرقندية، ج 6، ص 109.</w:t>
      </w:r>
    </w:p>
    <w:p>
      <w:pPr>
        <w:pStyle w:val="Heading2"/>
      </w:pPr>
      <w:bookmarkStart w:id="2461" w:name="_Toc1563"/>
      <w:r>
        <w:t>انطاكي ، محمّد ، محمّد بن علي - 1172 ه-</w:t>
      </w:r>
      <w:bookmarkEnd w:id="2461"/>
    </w:p>
    <w:p>
      <w:pPr>
        <w:pStyle w:val="BookText"/>
      </w:pPr>
      <w:r>
        <w:rPr>
          <w:rFonts w:ascii="Amiri" w:hAnsi="Amiri" w:eastAsia="Amiri" w:cs="Amiri"/>
          <w:lang w:bidi="ar-SA"/>
          <w:color w:val="111111"/>
          <w:sz w:val="28"/>
          <w:szCs w:val="28"/>
          <w:rtl/>
        </w:rPr>
        <w:t xml:space="preserve">الاربعون حديثا، ج 1، ص 709.</w:t>
      </w:r>
    </w:p>
    <w:p>
      <w:pPr>
        <w:pStyle w:val="Heading2"/>
      </w:pPr>
      <w:bookmarkStart w:id="2462" w:name="_Toc1564"/>
      <w:r>
        <w:t>انطاكي ، محمّد بن عمر، - 938 ه-</w:t>
      </w:r>
      <w:bookmarkEnd w:id="2462"/>
    </w:p>
    <w:p>
      <w:pPr>
        <w:pStyle w:val="BookText"/>
      </w:pPr>
      <w:r>
        <w:rPr>
          <w:rFonts w:ascii="IRNazanin" w:hAnsi="IRNazanin" w:eastAsia="IRNazanin" w:cs="IRNazanin"/>
          <w:lang w:bidi="fa-IR"/>
          <w:color w:val="111111"/>
          <w:sz w:val="28"/>
          <w:szCs w:val="28"/>
          <w:rtl/>
        </w:rPr>
        <w:t xml:space="preserve">ذم الرقص والدوران، ج7، ص 865.</w:t>
      </w:r>
    </w:p>
    <w:p>
      <w:pPr>
        <w:pStyle w:val="Heading2"/>
      </w:pPr>
      <w:bookmarkStart w:id="2463" w:name="_Toc1565"/>
      <w:r>
        <w:t>انطاكي ، محمود بن عبدالله - 1160 ه-</w:t>
      </w:r>
      <w:bookmarkEnd w:id="2463"/>
    </w:p>
    <w:p>
      <w:pPr>
        <w:pStyle w:val="BookText"/>
      </w:pPr>
      <w:r>
        <w:rPr>
          <w:rFonts w:ascii="Amiri" w:hAnsi="Amiri" w:eastAsia="Amiri" w:cs="Amiri"/>
          <w:lang w:bidi="ar-SA"/>
          <w:color w:val="111111"/>
          <w:sz w:val="28"/>
          <w:szCs w:val="28"/>
          <w:rtl/>
        </w:rPr>
        <w:t xml:space="preserve">شرح رسالة في الاستعارة، ج 9، ص 542.</w:t>
      </w:r>
    </w:p>
    <w:p>
      <w:pPr>
        <w:pStyle w:val="Heading2"/>
      </w:pPr>
      <w:bookmarkStart w:id="2464" w:name="_Toc1566"/>
      <w:r>
        <w:t>انطاكي ، محمود بن عمر</w:t>
      </w:r>
      <w:bookmarkEnd w:id="2464"/>
    </w:p>
    <w:p>
      <w:pPr>
        <w:pStyle w:val="BookText"/>
      </w:pPr>
      <w:r>
        <w:rPr>
          <w:rFonts w:ascii="Amiri" w:hAnsi="Amiri" w:eastAsia="Amiri" w:cs="Amiri"/>
          <w:lang w:bidi="ar-SA"/>
          <w:color w:val="111111"/>
          <w:sz w:val="28"/>
          <w:szCs w:val="28"/>
          <w:rtl/>
        </w:rPr>
        <w:t xml:space="preserve">1 .حاشية التصريف العزي، ج 5،</w:t>
      </w:r>
    </w:p>
    <w:p>
      <w:pPr>
        <w:pStyle w:val="BookText"/>
      </w:pPr>
      <w:r>
        <w:rPr>
          <w:rFonts w:ascii="IRNazanin" w:hAnsi="IRNazanin" w:eastAsia="IRNazanin" w:cs="IRNazanin"/>
          <w:lang w:bidi="fa-IR"/>
          <w:color w:val="111111"/>
          <w:sz w:val="28"/>
          <w:szCs w:val="28"/>
          <w:rtl/>
        </w:rPr>
        <w:t xml:space="preserve">ص 739.</w:t>
      </w:r>
    </w:p>
    <w:p>
      <w:pPr>
        <w:pStyle w:val="BookText"/>
      </w:pPr>
      <w:r>
        <w:rPr>
          <w:rFonts w:ascii="Amiri" w:hAnsi="Amiri" w:eastAsia="Amiri" w:cs="Amiri"/>
          <w:lang w:bidi="ar-SA"/>
          <w:color w:val="111111"/>
          <w:sz w:val="28"/>
          <w:szCs w:val="28"/>
          <w:rtl/>
        </w:rPr>
        <w:t xml:space="preserve">2 .نسخة ما كتبه الإمام العالم العلامة</w:t>
      </w:r>
    </w:p>
    <w:p>
      <w:pPr>
        <w:pStyle w:val="BookText"/>
      </w:pPr>
      <w:r>
        <w:rPr>
          <w:rFonts w:ascii="Amiri" w:hAnsi="Amiri" w:eastAsia="Amiri" w:cs="Amiri"/>
          <w:lang w:bidi="ar-SA"/>
          <w:color w:val="111111"/>
          <w:sz w:val="28"/>
          <w:szCs w:val="28"/>
          <w:rtl/>
        </w:rPr>
        <w:t xml:space="preserve">شرف الدين أبوالثناء محمود الأنطاكي الحنفي، ج 16، ص 276.</w:t>
      </w:r>
    </w:p>
    <w:p>
      <w:pPr>
        <w:pStyle w:val="Heading2"/>
      </w:pPr>
      <w:bookmarkStart w:id="2465" w:name="_Toc1567"/>
      <w:r>
        <w:t>انطاكي ، يوسف بن حسن</w:t>
      </w:r>
      <w:bookmarkEnd w:id="2465"/>
    </w:p>
    <w:p>
      <w:pPr>
        <w:pStyle w:val="BookText"/>
      </w:pPr>
      <w:r>
        <w:rPr>
          <w:rFonts w:ascii="Amiri" w:hAnsi="Amiri" w:eastAsia="Amiri" w:cs="Amiri"/>
          <w:lang w:bidi="ar-SA"/>
          <w:color w:val="111111"/>
          <w:sz w:val="28"/>
          <w:szCs w:val="28"/>
          <w:rtl/>
        </w:rPr>
        <w:t xml:space="preserve">حاشية الكشاف، ج 6، ص 333.</w:t>
      </w:r>
    </w:p>
    <w:p>
      <w:pPr>
        <w:pStyle w:val="Heading2"/>
      </w:pPr>
      <w:bookmarkStart w:id="2466" w:name="_Toc1568"/>
      <w:r>
        <w:t>انطوان ،بولاد - 1871م</w:t>
      </w:r>
      <w:bookmarkEnd w:id="2466"/>
    </w:p>
    <w:p>
      <w:pPr>
        <w:pStyle w:val="BookText"/>
      </w:pPr>
      <w:r>
        <w:rPr>
          <w:rFonts w:ascii="Amiri" w:hAnsi="Amiri" w:eastAsia="Amiri" w:cs="Amiri"/>
          <w:lang w:bidi="ar-SA"/>
          <w:color w:val="111111"/>
          <w:sz w:val="28"/>
          <w:szCs w:val="28"/>
          <w:rtl/>
        </w:rPr>
        <w:t xml:space="preserve">1 .الرسالة الكربلية، ج8، ص 254.</w:t>
      </w:r>
    </w:p>
    <w:p>
      <w:pPr>
        <w:pStyle w:val="BookText"/>
      </w:pPr>
      <w:r>
        <w:rPr>
          <w:rFonts w:ascii="Amiri" w:hAnsi="Amiri" w:eastAsia="Amiri" w:cs="Amiri"/>
          <w:lang w:bidi="ar-SA"/>
          <w:color w:val="111111"/>
          <w:sz w:val="28"/>
          <w:szCs w:val="28"/>
          <w:rtl/>
        </w:rPr>
        <w:t xml:space="preserve">2.الشجرة الكابلية، ج 9، ص 80.</w:t>
      </w:r>
    </w:p>
    <w:p>
      <w:pPr>
        <w:pStyle w:val="Heading2"/>
      </w:pPr>
      <w:bookmarkStart w:id="2467" w:name="_Toc1569"/>
      <w:r>
        <w:t>انطوفوريوس</w:t>
      </w:r>
      <w:bookmarkEnd w:id="2467"/>
    </w:p>
    <w:p>
      <w:pPr>
        <w:pStyle w:val="BookText"/>
      </w:pPr>
      <w:r>
        <w:rPr>
          <w:rFonts w:ascii="Amiri" w:hAnsi="Amiri" w:eastAsia="Amiri" w:cs="Amiri"/>
          <w:lang w:bidi="ar-SA"/>
          <w:color w:val="111111"/>
          <w:sz w:val="28"/>
          <w:szCs w:val="28"/>
          <w:rtl/>
        </w:rPr>
        <w:t xml:space="preserve">رسالة انطوفوريوس ابن عم قلوبطرة</w:t>
      </w:r>
    </w:p>
    <w:p>
      <w:pPr>
        <w:pStyle w:val="BookText"/>
      </w:pPr>
      <w:r>
        <w:rPr>
          <w:rFonts w:ascii="IRNazanin" w:hAnsi="IRNazanin" w:eastAsia="IRNazanin" w:cs="IRNazanin"/>
          <w:lang w:bidi="fa-IR"/>
          <w:color w:val="111111"/>
          <w:sz w:val="28"/>
          <w:szCs w:val="28"/>
          <w:rtl/>
        </w:rPr>
        <w:t xml:space="preserve">ج 8، ص 172.</w:t>
      </w:r>
    </w:p>
    <w:p>
      <w:pPr>
        <w:pStyle w:val="Heading2"/>
      </w:pPr>
      <w:bookmarkStart w:id="2468" w:name="_Toc1570"/>
      <w:r>
        <w:t>انقروي، اسماعيل بن احمد - 1041 ؟ ه-</w:t>
      </w:r>
      <w:bookmarkEnd w:id="2468"/>
    </w:p>
    <w:p>
      <w:pPr>
        <w:pStyle w:val="BookText"/>
      </w:pPr>
      <w:r>
        <w:rPr>
          <w:rFonts w:ascii="Amiri" w:hAnsi="Amiri" w:eastAsia="Amiri" w:cs="Amiri"/>
          <w:lang w:bidi="ar-SA"/>
          <w:color w:val="111111"/>
          <w:sz w:val="28"/>
          <w:szCs w:val="28"/>
          <w:rtl/>
        </w:rPr>
        <w:t xml:space="preserve">نصاب مولوي = انتخاب مثنوي ج 16،</w:t>
      </w:r>
    </w:p>
    <w:p>
      <w:pPr>
        <w:pStyle w:val="BookText"/>
      </w:pPr>
      <w:r>
        <w:rPr>
          <w:rFonts w:ascii="IRNazanin" w:hAnsi="IRNazanin" w:eastAsia="IRNazanin" w:cs="IRNazanin"/>
          <w:lang w:bidi="fa-IR"/>
          <w:color w:val="111111"/>
          <w:sz w:val="28"/>
          <w:szCs w:val="28"/>
          <w:rtl/>
        </w:rPr>
        <w:t xml:space="preserve">ص 297.</w:t>
      </w:r>
    </w:p>
    <w:p>
      <w:pPr>
        <w:pStyle w:val="Heading2"/>
      </w:pPr>
      <w:bookmarkStart w:id="2469" w:name="_Toc1571"/>
      <w:r>
        <w:t>انقروي ، شجاع بن نور الله قرن 10 ه-</w:t>
      </w:r>
      <w:bookmarkEnd w:id="2469"/>
    </w:p>
    <w:p>
      <w:pPr>
        <w:pStyle w:val="BookText"/>
      </w:pPr>
      <w:r>
        <w:rPr>
          <w:rFonts w:ascii="Amiri" w:hAnsi="Amiri" w:eastAsia="Amiri" w:cs="Amiri"/>
          <w:lang w:bidi="ar-SA"/>
          <w:color w:val="111111"/>
          <w:sz w:val="28"/>
          <w:szCs w:val="28"/>
          <w:rtl/>
        </w:rPr>
        <w:t xml:space="preserve">حل المشكلات في الفرائض، ج 6،</w:t>
      </w:r>
    </w:p>
    <w:p>
      <w:pPr>
        <w:pStyle w:val="BookText"/>
      </w:pPr>
      <w:r>
        <w:rPr>
          <w:rFonts w:ascii="IRNazanin" w:hAnsi="IRNazanin" w:eastAsia="IRNazanin" w:cs="IRNazanin"/>
          <w:lang w:bidi="fa-IR"/>
          <w:color w:val="111111"/>
          <w:sz w:val="28"/>
          <w:szCs w:val="28"/>
          <w:rtl/>
        </w:rPr>
        <w:t xml:space="preserve">ص 800.</w:t>
      </w:r>
    </w:p>
    <w:p>
      <w:pPr>
        <w:pStyle w:val="BookText"/>
      </w:pPr>
      <w:r>
        <w:rPr>
          <w:rFonts w:ascii="Amiri" w:hAnsi="Amiri" w:eastAsia="Amiri" w:cs="Amiri"/>
          <w:lang w:bidi="ar-SA"/>
          <w:color w:val="111111"/>
          <w:sz w:val="28"/>
          <w:szCs w:val="28"/>
          <w:rtl/>
        </w:rPr>
        <w:t xml:space="preserve">انقروي ، محمّد بن حسين- آنقره وي ،</w:t>
      </w:r>
    </w:p>
    <w:p>
      <w:pPr>
        <w:pStyle w:val="BookText"/>
      </w:pPr>
      <w:r>
        <w:rPr>
          <w:rFonts w:ascii="Amiri" w:hAnsi="Amiri" w:eastAsia="Amiri" w:cs="Amiri"/>
          <w:lang w:bidi="ar-SA"/>
          <w:color w:val="111111"/>
          <w:sz w:val="28"/>
          <w:szCs w:val="28"/>
          <w:rtl/>
        </w:rPr>
        <w:t xml:space="preserve">محمّد امين بن حسين</w:t>
      </w:r>
    </w:p>
    <w:p>
      <w:pPr>
        <w:pStyle w:val="BookText"/>
      </w:pPr>
      <w:r>
        <w:rPr>
          <w:rFonts w:ascii="Amiri" w:hAnsi="Amiri" w:eastAsia="Amiri" w:cs="Amiri"/>
          <w:lang w:bidi="ar-SA"/>
          <w:color w:val="111111"/>
          <w:sz w:val="28"/>
          <w:szCs w:val="28"/>
          <w:rtl/>
        </w:rPr>
        <w:t xml:space="preserve">انكوري ، عبد الحميد بن</w:t>
      </w:r>
    </w:p>
    <w:p>
      <w:pPr>
        <w:pStyle w:val="BookText"/>
      </w:pPr>
      <w:r>
        <w:rPr>
          <w:rFonts w:ascii="Amiri" w:hAnsi="Amiri" w:eastAsia="Amiri" w:cs="Amiri"/>
          <w:lang w:bidi="ar-SA"/>
          <w:color w:val="111111"/>
          <w:sz w:val="28"/>
          <w:szCs w:val="28"/>
          <w:rtl/>
        </w:rPr>
        <w:t xml:space="preserve">عبد الرحمن- آنقروي ، عبد الحميد بن</w:t>
      </w:r>
    </w:p>
    <w:p>
      <w:pPr>
        <w:pStyle w:val="BookText"/>
      </w:pPr>
      <w:r>
        <w:rPr>
          <w:rFonts w:ascii="IRNazanin" w:hAnsi="IRNazanin" w:eastAsia="IRNazanin" w:cs="IRNazanin"/>
          <w:lang w:bidi="fa-IR"/>
          <w:color w:val="111111"/>
          <w:sz w:val="28"/>
          <w:szCs w:val="28"/>
          <w:rtl/>
        </w:rPr>
        <w:t xml:space="preserve">عبد الرحمن</w:t>
      </w:r>
    </w:p>
    <w:p>
      <w:pPr>
        <w:pStyle w:val="Heading2"/>
      </w:pPr>
      <w:bookmarkStart w:id="2470" w:name="_Toc1572"/>
      <w:r>
        <w:t>انوري ، محمّد بن محمّد - 583 ؟</w:t>
      </w:r>
      <w:bookmarkEnd w:id="2470"/>
    </w:p>
    <w:p>
      <w:pPr>
        <w:pStyle w:val="BookText"/>
      </w:pPr>
      <w:r>
        <w:rPr>
          <w:rFonts w:ascii="IRNazanin" w:hAnsi="IRNazanin" w:eastAsia="IRNazanin" w:cs="IRNazanin"/>
          <w:lang w:bidi="fa-IR"/>
          <w:color w:val="111111"/>
          <w:sz w:val="28"/>
          <w:szCs w:val="28"/>
          <w:rtl/>
        </w:rPr>
        <w:t xml:space="preserve">دیوان انوري ابيوردي، ج7، ص 582.</w:t>
      </w:r>
    </w:p>
    <w:p>
      <w:pPr>
        <w:pStyle w:val="Heading2"/>
      </w:pPr>
      <w:bookmarkStart w:id="2471" w:name="_Toc1573"/>
      <w:r>
        <w:t>انون</w:t>
      </w:r>
      <w:bookmarkEnd w:id="2471"/>
    </w:p>
    <w:p>
      <w:pPr>
        <w:pStyle w:val="BookText"/>
      </w:pPr>
      <w:r>
        <w:rPr>
          <w:rFonts w:ascii="Amiri" w:hAnsi="Amiri" w:eastAsia="Amiri" w:cs="Amiri"/>
          <w:lang w:bidi="ar-SA"/>
          <w:color w:val="111111"/>
          <w:sz w:val="28"/>
          <w:szCs w:val="28"/>
          <w:rtl/>
        </w:rPr>
        <w:t xml:space="preserve">قياسات حرز مرجانه، ج12، ص873.</w:t>
      </w:r>
    </w:p>
    <w:p>
      <w:pPr>
        <w:pStyle w:val="Heading2"/>
      </w:pPr>
      <w:bookmarkStart w:id="2472" w:name="_Toc1574"/>
      <w:r>
        <w:t>اهدل ، ابوبكر بن أبي القاسم، 984.</w:t>
      </w:r>
      <w:bookmarkEnd w:id="2472"/>
    </w:p>
    <w:p>
      <w:pPr>
        <w:pStyle w:val="BookText"/>
      </w:pPr>
      <w:r>
        <w:rPr>
          <w:rFonts w:ascii="IRNazanin" w:hAnsi="IRNazanin" w:eastAsia="IRNazanin" w:cs="IRNazanin"/>
          <w:lang w:bidi="fa-IR"/>
          <w:color w:val="111111"/>
          <w:sz w:val="28"/>
          <w:szCs w:val="28"/>
          <w:rtl/>
        </w:rPr>
        <w:t xml:space="preserve">1035ه-</w:t>
      </w:r>
    </w:p>
    <w:p>
      <w:pPr>
        <w:pStyle w:val="BookText"/>
      </w:pPr>
      <w:r>
        <w:rPr>
          <w:rFonts w:ascii="Amiri" w:hAnsi="Amiri" w:eastAsia="Amiri" w:cs="Amiri"/>
          <w:lang w:bidi="ar-SA"/>
          <w:color w:val="111111"/>
          <w:sz w:val="28"/>
          <w:szCs w:val="28"/>
          <w:rtl/>
        </w:rPr>
        <w:t xml:space="preserve">فضل سورة الكافرون والاخلاص و في الاماكن المستحبة قراءتهما فيها من الصلوات المفروضات و المسنونات</w:t>
      </w:r>
    </w:p>
    <w:p>
      <w:pPr>
        <w:pStyle w:val="BookText"/>
      </w:pPr>
      <w:r>
        <w:rPr>
          <w:rFonts w:ascii="IRNazanin" w:hAnsi="IRNazanin" w:eastAsia="IRNazanin" w:cs="IRNazanin"/>
          <w:lang w:bidi="fa-IR"/>
          <w:color w:val="111111"/>
          <w:sz w:val="28"/>
          <w:szCs w:val="28"/>
          <w:rtl/>
        </w:rPr>
        <w:t xml:space="preserve">ج 12، ص 25.</w:t>
      </w:r>
    </w:p>
    <w:p>
      <w:pPr>
        <w:pStyle w:val="Heading2"/>
      </w:pPr>
      <w:bookmarkStart w:id="2473" w:name="_Toc1575"/>
      <w:r>
        <w:t>اهدل ، حاتم بن احمد - 1013 ه-</w:t>
      </w:r>
      <w:bookmarkEnd w:id="2473"/>
    </w:p>
    <w:p>
      <w:pPr>
        <w:pStyle w:val="BookText"/>
      </w:pPr>
      <w:r>
        <w:rPr>
          <w:rFonts w:ascii="Amiri" w:hAnsi="Amiri" w:eastAsia="Amiri" w:cs="Amiri"/>
          <w:lang w:bidi="ar-SA"/>
          <w:color w:val="111111"/>
          <w:sz w:val="28"/>
          <w:szCs w:val="28"/>
          <w:rtl/>
        </w:rPr>
        <w:t xml:space="preserve">ديوان الأهدل اليمني، ج7، ص 583.</w:t>
      </w:r>
    </w:p>
    <w:p>
      <w:pPr>
        <w:pStyle w:val="Heading2"/>
      </w:pPr>
      <w:bookmarkStart w:id="2474" w:name="_Toc1576"/>
      <w:r>
        <w:t>اهدل ، حسين بن ابي القاسم</w:t>
      </w:r>
      <w:bookmarkEnd w:id="2474"/>
    </w:p>
    <w:p>
      <w:pPr>
        <w:pStyle w:val="BookText"/>
      </w:pPr>
      <w:r>
        <w:rPr>
          <w:rFonts w:ascii="Amiri" w:hAnsi="Amiri" w:eastAsia="Amiri" w:cs="Amiri"/>
          <w:lang w:bidi="ar-SA"/>
          <w:color w:val="111111"/>
          <w:sz w:val="28"/>
          <w:szCs w:val="28"/>
          <w:rtl/>
        </w:rPr>
        <w:t xml:space="preserve">احكام الصناعة في اعذار الجماعة، ج 1،</w:t>
      </w:r>
    </w:p>
    <w:p>
      <w:pPr>
        <w:pStyle w:val="BookText"/>
      </w:pPr>
      <w:r>
        <w:rPr>
          <w:rFonts w:ascii="IRNazanin" w:hAnsi="IRNazanin" w:eastAsia="IRNazanin" w:cs="IRNazanin"/>
          <w:lang w:bidi="fa-IR"/>
          <w:color w:val="111111"/>
          <w:sz w:val="28"/>
          <w:szCs w:val="28"/>
          <w:rtl/>
        </w:rPr>
        <w:t xml:space="preserve">ص 477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7" w:name="pg7742_69839"/>
    <w:bookmarkEnd w:id="227"/>
    <w:p>
      <w:pPr>
        <w:pStyle w:val="BookText"/>
      </w:pPr>
      <w:r>
        <w:rPr>
          <w:rFonts w:ascii="IRNazanin" w:hAnsi="IRNazanin" w:eastAsia="IRNazanin" w:cs="IRNazanin"/>
          <w:lang w:bidi="fa-IR"/>
          <w:color w:val="111111"/>
          <w:sz w:val="28"/>
          <w:szCs w:val="28"/>
          <w:rtl/>
        </w:rPr>
        <w:t xml:space="preserve">اهدل ، حسین بن عبدالرحمن- ابن اهدل</w:t>
      </w:r>
    </w:p>
    <w:p>
      <w:pPr>
        <w:pStyle w:val="BookText"/>
      </w:pPr>
      <w:r>
        <w:rPr>
          <w:rFonts w:ascii="Amiri" w:hAnsi="Amiri" w:eastAsia="Amiri" w:cs="Amiri"/>
          <w:lang w:bidi="ar-SA"/>
          <w:color w:val="111111"/>
          <w:sz w:val="28"/>
          <w:szCs w:val="28"/>
          <w:rtl/>
        </w:rPr>
        <w:t xml:space="preserve">، حسين بن عبدالرحمن</w:t>
      </w:r>
    </w:p>
    <w:p>
      <w:pPr>
        <w:pStyle w:val="Heading2"/>
      </w:pPr>
      <w:bookmarkStart w:id="2475" w:name="_Toc1577"/>
      <w:r>
        <w:t>اهرن بن اعين الغير القس</w:t>
      </w:r>
      <w:bookmarkEnd w:id="2475"/>
    </w:p>
    <w:p>
      <w:pPr>
        <w:pStyle w:val="BookText"/>
      </w:pPr>
      <w:r>
        <w:rPr>
          <w:rFonts w:ascii="Amiri" w:hAnsi="Amiri" w:eastAsia="Amiri" w:cs="Amiri"/>
          <w:lang w:bidi="ar-SA"/>
          <w:color w:val="111111"/>
          <w:sz w:val="28"/>
          <w:szCs w:val="28"/>
          <w:rtl/>
        </w:rPr>
        <w:t xml:space="preserve">الادوية القاتلة، ج 1، ص 668.</w:t>
      </w:r>
    </w:p>
    <w:p>
      <w:pPr>
        <w:pStyle w:val="BookText"/>
      </w:pPr>
      <w:r>
        <w:rPr>
          <w:rFonts w:ascii="Amiri" w:hAnsi="Amiri" w:eastAsia="Amiri" w:cs="Amiri"/>
          <w:lang w:bidi="ar-SA"/>
          <w:color w:val="111111"/>
          <w:sz w:val="28"/>
          <w:szCs w:val="28"/>
          <w:rtl/>
        </w:rPr>
        <w:t xml:space="preserve">اهوازي ارجاني ، علي بن عباس -مجوسي ،</w:t>
      </w:r>
    </w:p>
    <w:p>
      <w:pPr>
        <w:pStyle w:val="BookText"/>
      </w:pPr>
      <w:r>
        <w:rPr>
          <w:rFonts w:ascii="Amiri" w:hAnsi="Amiri" w:eastAsia="Amiri" w:cs="Amiri"/>
          <w:lang w:bidi="ar-SA"/>
          <w:color w:val="111111"/>
          <w:sz w:val="28"/>
          <w:szCs w:val="28"/>
          <w:rtl/>
        </w:rPr>
        <w:t xml:space="preserve">علي بن عباس</w:t>
      </w:r>
    </w:p>
    <w:p>
      <w:pPr>
        <w:pStyle w:val="Heading2"/>
      </w:pPr>
      <w:bookmarkStart w:id="2476" w:name="_Toc1578"/>
      <w:r>
        <w:t>اهوازي ، حسن بن علي، 362 - 446 ه-</w:t>
      </w:r>
      <w:bookmarkEnd w:id="2476"/>
    </w:p>
    <w:p>
      <w:pPr>
        <w:pStyle w:val="BookText"/>
      </w:pPr>
      <w:r>
        <w:rPr>
          <w:rFonts w:ascii="IRNazanin" w:hAnsi="IRNazanin" w:eastAsia="IRNazanin" w:cs="IRNazanin"/>
          <w:lang w:bidi="fa-IR"/>
          <w:color w:val="111111"/>
          <w:sz w:val="28"/>
          <w:szCs w:val="28"/>
          <w:rtl/>
        </w:rPr>
        <w:t xml:space="preserve">التفرد والالتفاف، ج 4، ص 568.</w:t>
      </w:r>
    </w:p>
    <w:p>
      <w:pPr>
        <w:pStyle w:val="Heading2"/>
      </w:pPr>
      <w:bookmarkStart w:id="2477" w:name="_Toc1579"/>
      <w:r>
        <w:t>اهوازي ، حسين بن سعيد - 275 ه-</w:t>
      </w:r>
      <w:bookmarkEnd w:id="2477"/>
    </w:p>
    <w:p>
      <w:pPr>
        <w:pStyle w:val="BookText"/>
      </w:pPr>
      <w:r>
        <w:rPr>
          <w:rFonts w:ascii="Amiri" w:hAnsi="Amiri" w:eastAsia="Amiri" w:cs="Amiri"/>
          <w:lang w:bidi="ar-SA"/>
          <w:color w:val="111111"/>
          <w:sz w:val="28"/>
          <w:szCs w:val="28"/>
          <w:rtl/>
        </w:rPr>
        <w:t xml:space="preserve">1 .الزهد = كتاب الزهد، ج8، ص 611.</w:t>
      </w:r>
    </w:p>
    <w:p>
      <w:pPr>
        <w:pStyle w:val="BookText"/>
      </w:pPr>
      <w:r>
        <w:rPr>
          <w:rFonts w:ascii="Amiri" w:hAnsi="Amiri" w:eastAsia="Amiri" w:cs="Amiri"/>
          <w:lang w:bidi="ar-SA"/>
          <w:color w:val="111111"/>
          <w:sz w:val="28"/>
          <w:szCs w:val="28"/>
          <w:rtl/>
        </w:rPr>
        <w:t xml:space="preserve">2 .كتاب المؤمن = حقوق المؤمنين و ابتلاء المؤمن و ما يبتلي به المؤمن ج 13، ص 120 .</w:t>
      </w:r>
    </w:p>
    <w:p>
      <w:pPr>
        <w:pStyle w:val="Heading2"/>
      </w:pPr>
      <w:bookmarkStart w:id="2478" w:name="_Toc1580"/>
      <w:r>
        <w:t>اهوازي ، محمّد بن حسين 290-360ه-</w:t>
      </w:r>
      <w:bookmarkEnd w:id="2478"/>
    </w:p>
    <w:p>
      <w:pPr>
        <w:pStyle w:val="BookText"/>
      </w:pPr>
      <w:r>
        <w:rPr>
          <w:rFonts w:ascii="Amiri" w:hAnsi="Amiri" w:eastAsia="Amiri" w:cs="Amiri"/>
          <w:lang w:bidi="ar-SA"/>
          <w:color w:val="111111"/>
          <w:sz w:val="28"/>
          <w:szCs w:val="28"/>
          <w:rtl/>
        </w:rPr>
        <w:t xml:space="preserve">الفرائد و القلائد = يتيمة الدهر</w:t>
      </w:r>
    </w:p>
    <w:p>
      <w:pPr>
        <w:pStyle w:val="BookText"/>
      </w:pPr>
      <w:r>
        <w:rPr>
          <w:rFonts w:ascii="IRNazanin" w:hAnsi="IRNazanin" w:eastAsia="IRNazanin" w:cs="IRNazanin"/>
          <w:lang w:bidi="fa-IR"/>
          <w:color w:val="111111"/>
          <w:sz w:val="28"/>
          <w:szCs w:val="28"/>
          <w:rtl/>
        </w:rPr>
        <w:t xml:space="preserve">ج 11 ، ص 746.</w:t>
      </w:r>
    </w:p>
    <w:p>
      <w:pPr>
        <w:pStyle w:val="Heading2"/>
      </w:pPr>
      <w:bookmarkStart w:id="2479" w:name="_Toc1581"/>
      <w:r>
        <w:t>اوالي بحراني ، محمّد بن علي قرن 12 ه-</w:t>
      </w:r>
      <w:bookmarkEnd w:id="2479"/>
    </w:p>
    <w:p>
      <w:pPr>
        <w:pStyle w:val="BookText"/>
      </w:pPr>
      <w:r>
        <w:rPr>
          <w:rFonts w:ascii="Amiri" w:hAnsi="Amiri" w:eastAsia="Amiri" w:cs="Amiri"/>
          <w:lang w:bidi="ar-SA"/>
          <w:color w:val="111111"/>
          <w:sz w:val="28"/>
          <w:szCs w:val="28"/>
          <w:rtl/>
        </w:rPr>
        <w:t xml:space="preserve">1 .تتميم امل الآمل، ج 3، ص 676.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مجمع الأحكام الشرعية، ج13،</w:t>
      </w:r>
    </w:p>
    <w:p>
      <w:pPr>
        <w:pStyle w:val="BookText"/>
      </w:pPr>
      <w:r>
        <w:rPr>
          <w:rFonts w:ascii="IRNazanin" w:hAnsi="IRNazanin" w:eastAsia="IRNazanin" w:cs="IRNazanin"/>
          <w:lang w:bidi="fa-IR"/>
          <w:color w:val="111111"/>
          <w:sz w:val="28"/>
          <w:szCs w:val="28"/>
          <w:rtl/>
        </w:rPr>
        <w:t xml:space="preserve">ص 823.</w:t>
      </w:r>
    </w:p>
    <w:p>
      <w:pPr>
        <w:pStyle w:val="BookText"/>
      </w:pPr>
      <w:r>
        <w:rPr>
          <w:rFonts w:ascii="Amiri" w:hAnsi="Amiri" w:eastAsia="Amiri" w:cs="Amiri"/>
          <w:lang w:bidi="ar-SA"/>
          <w:color w:val="111111"/>
          <w:sz w:val="28"/>
          <w:szCs w:val="28"/>
          <w:rtl/>
        </w:rPr>
        <w:t xml:space="preserve">اوالي ، حسين بن علي- ابن ابي سروال ،</w:t>
      </w:r>
    </w:p>
    <w:p>
      <w:pPr>
        <w:pStyle w:val="BookText"/>
      </w:pPr>
      <w:r>
        <w:rPr>
          <w:rFonts w:ascii="Amiri" w:hAnsi="Amiri" w:eastAsia="Amiri" w:cs="Amiri"/>
          <w:lang w:bidi="ar-SA"/>
          <w:color w:val="111111"/>
          <w:sz w:val="28"/>
          <w:szCs w:val="28"/>
          <w:rtl/>
        </w:rPr>
        <w:t xml:space="preserve">حسين بن علي</w:t>
      </w:r>
    </w:p>
    <w:p>
      <w:pPr>
        <w:pStyle w:val="Heading2"/>
      </w:pPr>
      <w:bookmarkStart w:id="2480" w:name="_Toc1582"/>
      <w:r>
        <w:t>اوالي ، عبدالرضا بن محمد قرن 12 ه-</w:t>
      </w:r>
      <w:bookmarkEnd w:id="2480"/>
    </w:p>
    <w:p>
      <w:pPr>
        <w:pStyle w:val="BookText"/>
      </w:pPr>
      <w:r>
        <w:rPr>
          <w:rFonts w:ascii="Amiri" w:hAnsi="Amiri" w:eastAsia="Amiri" w:cs="Amiri"/>
          <w:lang w:bidi="ar-SA"/>
          <w:color w:val="111111"/>
          <w:sz w:val="28"/>
          <w:szCs w:val="28"/>
          <w:rtl/>
        </w:rPr>
        <w:t xml:space="preserve">1 .التهاب نيران الاحزان و مثير اكتئاب</w:t>
      </w:r>
    </w:p>
    <w:p>
      <w:pPr>
        <w:pStyle w:val="BookText"/>
      </w:pPr>
      <w:r>
        <w:rPr>
          <w:rFonts w:ascii="IRNazanin" w:hAnsi="IRNazanin" w:eastAsia="IRNazanin" w:cs="IRNazanin"/>
          <w:lang w:bidi="fa-IR"/>
          <w:color w:val="111111"/>
          <w:sz w:val="28"/>
          <w:szCs w:val="28"/>
          <w:rtl/>
        </w:rPr>
        <w:t xml:space="preserve">الاشجان، ج2، ص 661.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تأجيج نيران الاحزان - جامع الاحزان = مؤجّج الاحزان في وفات غریب خراسان، ج 3، ص 617.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وفاة الامام الحسن بن علي (ع)</w:t>
      </w:r>
    </w:p>
    <w:p>
      <w:pPr>
        <w:pStyle w:val="BookText"/>
      </w:pPr>
      <w:r>
        <w:rPr>
          <w:rFonts w:ascii="IRNazanin" w:hAnsi="IRNazanin" w:eastAsia="IRNazanin" w:cs="IRNazanin"/>
          <w:lang w:bidi="fa-IR"/>
          <w:color w:val="111111"/>
          <w:sz w:val="28"/>
          <w:szCs w:val="28"/>
          <w:rtl/>
        </w:rPr>
        <w:t xml:space="preserve">ج 16، ص 845.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وفاة النبي يحيى، ج 16، ص 848.</w:t>
      </w:r>
    </w:p>
    <w:p>
      <w:pPr>
        <w:pStyle w:val="Heading2"/>
      </w:pPr>
      <w:bookmarkStart w:id="2481" w:name="_Toc1583"/>
      <w:r>
        <w:t>اوالي ، عبدالله بن صالح</w:t>
      </w:r>
      <w:bookmarkEnd w:id="2481"/>
    </w:p>
    <w:p>
      <w:pPr>
        <w:pStyle w:val="BookText"/>
      </w:pPr>
      <w:r>
        <w:rPr>
          <w:rFonts w:ascii="Amiri" w:hAnsi="Amiri" w:eastAsia="Amiri" w:cs="Amiri"/>
          <w:lang w:bidi="ar-SA"/>
          <w:color w:val="111111"/>
          <w:sz w:val="28"/>
          <w:szCs w:val="28"/>
          <w:rtl/>
        </w:rPr>
        <w:t xml:space="preserve">ذخيرة العباد، ج 7، ص 826.</w:t>
      </w:r>
    </w:p>
    <w:p>
      <w:pPr>
        <w:pStyle w:val="Heading2"/>
      </w:pPr>
      <w:bookmarkStart w:id="2482" w:name="_Toc1584"/>
      <w:r>
        <w:t>اواني ، محمّد بن احمد - 557 ه-</w:t>
      </w:r>
      <w:bookmarkEnd w:id="2482"/>
    </w:p>
    <w:p>
      <w:pPr>
        <w:pStyle w:val="BookText"/>
      </w:pPr>
      <w:r>
        <w:rPr>
          <w:rFonts w:ascii="Amiri" w:hAnsi="Amiri" w:eastAsia="Amiri" w:cs="Amiri"/>
          <w:lang w:bidi="ar-SA"/>
          <w:color w:val="111111"/>
          <w:sz w:val="28"/>
          <w:szCs w:val="28"/>
          <w:rtl/>
        </w:rPr>
        <w:t xml:space="preserve">الفرق بين الظاء و الضاد (ارجوزة في)</w:t>
      </w:r>
    </w:p>
    <w:p>
      <w:pPr>
        <w:pStyle w:val="BookText"/>
      </w:pPr>
      <w:r>
        <w:rPr>
          <w:rFonts w:ascii="IRNazanin" w:hAnsi="IRNazanin" w:eastAsia="IRNazanin" w:cs="IRNazanin"/>
          <w:lang w:bidi="fa-IR"/>
          <w:color w:val="111111"/>
          <w:sz w:val="28"/>
          <w:szCs w:val="28"/>
          <w:rtl/>
        </w:rPr>
        <w:t xml:space="preserve">ج 11، ص 793.</w:t>
      </w:r>
    </w:p>
    <w:p>
      <w:pPr>
        <w:pStyle w:val="Heading2"/>
      </w:pPr>
      <w:bookmarkStart w:id="2483" w:name="_Toc1585"/>
      <w:r>
        <w:t>اوجلي مغربي ، عبدالرحيم</w:t>
      </w:r>
      <w:bookmarkEnd w:id="2483"/>
    </w:p>
    <w:p>
      <w:pPr>
        <w:pStyle w:val="BookText"/>
      </w:pPr>
      <w:r>
        <w:rPr>
          <w:rFonts w:ascii="Amiri" w:hAnsi="Amiri" w:eastAsia="Amiri" w:cs="Amiri"/>
          <w:lang w:bidi="ar-SA"/>
          <w:color w:val="111111"/>
          <w:sz w:val="28"/>
          <w:szCs w:val="28"/>
          <w:rtl/>
        </w:rPr>
        <w:t xml:space="preserve">المنظومة الاوجلية في علم الكلام</w:t>
      </w:r>
    </w:p>
    <w:p>
      <w:pPr>
        <w:pStyle w:val="BookText"/>
      </w:pPr>
      <w:r>
        <w:rPr>
          <w:rFonts w:ascii="IRNazanin" w:hAnsi="IRNazanin" w:eastAsia="IRNazanin" w:cs="IRNazanin"/>
          <w:lang w:bidi="fa-IR"/>
          <w:color w:val="111111"/>
          <w:sz w:val="28"/>
          <w:szCs w:val="28"/>
          <w:rtl/>
        </w:rPr>
        <w:t xml:space="preserve">ج 15، ص 717.</w:t>
      </w:r>
    </w:p>
    <w:p>
      <w:pPr>
        <w:pStyle w:val="Heading2"/>
      </w:pPr>
      <w:bookmarkStart w:id="2484" w:name="_Toc1586"/>
      <w:r>
        <w:t>اوجي ، عبدالحليم بن احمد قرن 12 ه-</w:t>
      </w:r>
      <w:bookmarkEnd w:id="2484"/>
    </w:p>
    <w:p>
      <w:pPr>
        <w:pStyle w:val="BookText"/>
      </w:pPr>
      <w:r>
        <w:rPr>
          <w:rFonts w:ascii="Amiri" w:hAnsi="Amiri" w:eastAsia="Amiri" w:cs="Amiri"/>
          <w:lang w:bidi="ar-SA"/>
          <w:color w:val="111111"/>
          <w:sz w:val="28"/>
          <w:szCs w:val="28"/>
          <w:rtl/>
        </w:rPr>
        <w:t xml:space="preserve">مجموعة الأوجي، ج 14، ص22.</w:t>
      </w:r>
    </w:p>
    <w:p>
      <w:pPr>
        <w:pStyle w:val="Heading2"/>
      </w:pPr>
      <w:bookmarkStart w:id="2485" w:name="_Toc1587"/>
      <w:r>
        <w:t>اودو ، اسرائیل قرن 20 م</w:t>
      </w:r>
      <w:bookmarkEnd w:id="2485"/>
    </w:p>
    <w:p>
      <w:pPr>
        <w:pStyle w:val="BookText"/>
      </w:pPr>
      <w:r>
        <w:rPr>
          <w:rFonts w:ascii="Amiri" w:hAnsi="Amiri" w:eastAsia="Amiri" w:cs="Amiri"/>
          <w:lang w:bidi="ar-SA"/>
          <w:color w:val="111111"/>
          <w:sz w:val="28"/>
          <w:szCs w:val="28"/>
          <w:rtl/>
        </w:rPr>
        <w:t xml:space="preserve">1 .اضطهاد المسيحيين بتركيا سنة</w:t>
      </w:r>
    </w:p>
    <w:p>
      <w:pPr>
        <w:pStyle w:val="BookText"/>
      </w:pPr>
      <w:r>
        <w:rPr>
          <w:rFonts w:ascii="IRNazanin" w:hAnsi="IRNazanin" w:eastAsia="IRNazanin" w:cs="IRNazanin"/>
          <w:lang w:bidi="fa-IR"/>
          <w:color w:val="111111"/>
          <w:sz w:val="28"/>
          <w:szCs w:val="28"/>
          <w:rtl/>
        </w:rPr>
        <w:t xml:space="preserve">1915، ج 2، ص 473 .</w:t>
      </w:r>
    </w:p>
    <w:p>
      <w:pPr>
        <w:pStyle w:val="BookText"/>
      </w:pPr>
      <w:r>
        <w:rPr>
          <w:rFonts w:ascii="Amiri" w:hAnsi="Amiri" w:eastAsia="Amiri" w:cs="Amiri"/>
          <w:lang w:bidi="ar-SA"/>
          <w:color w:val="111111"/>
          <w:sz w:val="28"/>
          <w:szCs w:val="28"/>
          <w:rtl/>
        </w:rPr>
        <w:t xml:space="preserve">2 .اضطهاد المسيحيين (مرد) آمد</w:t>
      </w:r>
    </w:p>
    <w:p>
      <w:pPr>
        <w:pStyle w:val="BookText"/>
      </w:pPr>
      <w:r>
        <w:rPr>
          <w:rFonts w:ascii="Amiri" w:hAnsi="Amiri" w:eastAsia="Amiri" w:cs="Amiri"/>
          <w:lang w:bidi="ar-SA"/>
          <w:color w:val="111111"/>
          <w:sz w:val="28"/>
          <w:szCs w:val="28"/>
          <w:rtl/>
        </w:rPr>
        <w:t xml:space="preserve">،سعرد الجزيرة (نصيبين من الارمن و الاراميين سنة 1915م، ج2، ص 474 .</w:t>
      </w:r>
    </w:p>
    <w:p>
      <w:pPr>
        <w:pStyle w:val="Heading2"/>
      </w:pPr>
      <w:bookmarkStart w:id="2486" w:name="_Toc1588"/>
      <w:r>
        <w:t>اودو ، يوسف</w:t>
      </w:r>
      <w:bookmarkEnd w:id="2486"/>
    </w:p>
    <w:p>
      <w:pPr>
        <w:pStyle w:val="BookText"/>
      </w:pPr>
      <w:r>
        <w:rPr>
          <w:rFonts w:ascii="Amiri" w:hAnsi="Amiri" w:eastAsia="Amiri" w:cs="Amiri"/>
          <w:lang w:bidi="ar-SA"/>
          <w:color w:val="111111"/>
          <w:sz w:val="28"/>
          <w:szCs w:val="28"/>
          <w:rtl/>
        </w:rPr>
        <w:t xml:space="preserve">صلوات تقال عندما يرتدي الكاهن</w:t>
      </w:r>
    </w:p>
    <w:p>
      <w:pPr>
        <w:pStyle w:val="BookText"/>
      </w:pPr>
      <w:r>
        <w:rPr>
          <w:rFonts w:ascii="Amiri" w:hAnsi="Amiri" w:eastAsia="Amiri" w:cs="Amiri"/>
          <w:lang w:bidi="ar-SA"/>
          <w:color w:val="111111"/>
          <w:sz w:val="28"/>
          <w:szCs w:val="28"/>
          <w:rtl/>
        </w:rPr>
        <w:t xml:space="preserve">الكبير (المطران) الثياب الطقسية التقدمة القداس، ج 10، ص 626.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8" w:name="pg7742_69841"/>
    <w:bookmarkEnd w:id="228"/>
    <w:p>
      <w:pPr>
        <w:pStyle w:val="BookText"/>
      </w:pPr>
      <w:r>
        <w:rPr>
          <w:rFonts w:ascii="Amiri" w:hAnsi="Amiri" w:eastAsia="Amiri" w:cs="Amiri"/>
          <w:lang w:bidi="ar-SA"/>
          <w:color w:val="111111"/>
          <w:sz w:val="28"/>
          <w:szCs w:val="28"/>
          <w:rtl/>
        </w:rPr>
        <w:t xml:space="preserve">اورازاني ، محمّد تقي بن احمد -طالقاني</w:t>
      </w:r>
    </w:p>
    <w:p>
      <w:pPr>
        <w:pStyle w:val="BookText"/>
      </w:pPr>
      <w:r>
        <w:rPr>
          <w:rFonts w:ascii="Amiri" w:hAnsi="Amiri" w:eastAsia="Amiri" w:cs="Amiri"/>
          <w:lang w:bidi="ar-SA"/>
          <w:color w:val="111111"/>
          <w:sz w:val="28"/>
          <w:szCs w:val="28"/>
          <w:rtl/>
        </w:rPr>
        <w:t xml:space="preserve">محمّد تقي بن احمد</w:t>
      </w:r>
    </w:p>
    <w:p>
      <w:pPr>
        <w:pStyle w:val="Heading2"/>
      </w:pPr>
      <w:bookmarkStart w:id="2487" w:name="_Toc1589"/>
      <w:r>
        <w:t>اورام ، محمود بن محمّد قرن 9 ه-</w:t>
      </w:r>
      <w:bookmarkEnd w:id="2487"/>
    </w:p>
    <w:p>
      <w:pPr>
        <w:pStyle w:val="BookText"/>
      </w:pPr>
      <w:r>
        <w:rPr>
          <w:rFonts w:ascii="IRNazanin" w:hAnsi="IRNazanin" w:eastAsia="IRNazanin" w:cs="IRNazanin"/>
          <w:lang w:bidi="fa-IR"/>
          <w:color w:val="111111"/>
          <w:sz w:val="28"/>
          <w:szCs w:val="28"/>
          <w:rtl/>
        </w:rPr>
        <w:t xml:space="preserve">محاضرات الأدباء و محاورات الشعراء</w:t>
      </w:r>
    </w:p>
    <w:p>
      <w:pPr>
        <w:pStyle w:val="BookText"/>
      </w:pPr>
      <w:r>
        <w:rPr>
          <w:rFonts w:ascii="IRNazanin" w:hAnsi="IRNazanin" w:eastAsia="IRNazanin" w:cs="IRNazanin"/>
          <w:lang w:bidi="fa-IR"/>
          <w:color w:val="111111"/>
          <w:sz w:val="28"/>
          <w:szCs w:val="28"/>
          <w:rtl/>
        </w:rPr>
        <w:t xml:space="preserve">و البلغاء (مختصر)، ج 14، ص 99.</w:t>
      </w:r>
    </w:p>
    <w:p>
      <w:pPr>
        <w:pStyle w:val="Heading2"/>
      </w:pPr>
      <w:bookmarkStart w:id="2488" w:name="_Toc1590"/>
      <w:r>
        <w:t>اوراها شكوانا ، القس - 1931م</w:t>
      </w:r>
      <w:bookmarkEnd w:id="2488"/>
    </w:p>
    <w:p>
      <w:pPr>
        <w:pStyle w:val="BookText"/>
      </w:pPr>
      <w:r>
        <w:rPr>
          <w:rFonts w:ascii="Amiri" w:hAnsi="Amiri" w:eastAsia="Amiri" w:cs="Amiri"/>
          <w:lang w:bidi="ar-SA"/>
          <w:color w:val="111111"/>
          <w:sz w:val="28"/>
          <w:szCs w:val="28"/>
          <w:rtl/>
        </w:rPr>
        <w:t xml:space="preserve">كثاوا دسوكالي، ج 13، ص 148 .</w:t>
      </w:r>
    </w:p>
    <w:p>
      <w:pPr>
        <w:pStyle w:val="Heading2"/>
      </w:pPr>
      <w:bookmarkStart w:id="2489" w:name="_Toc1591"/>
      <w:r>
        <w:t>اورله وي ، محمّد قرن 10 ه-</w:t>
      </w:r>
      <w:bookmarkEnd w:id="2489"/>
    </w:p>
    <w:p>
      <w:pPr>
        <w:pStyle w:val="BookText"/>
      </w:pPr>
      <w:r>
        <w:rPr>
          <w:rFonts w:ascii="Amiri" w:hAnsi="Amiri" w:eastAsia="Amiri" w:cs="Amiri"/>
          <w:lang w:bidi="ar-SA"/>
          <w:color w:val="111111"/>
          <w:sz w:val="28"/>
          <w:szCs w:val="28"/>
          <w:rtl/>
        </w:rPr>
        <w:t xml:space="preserve">منبع الحياة لما يحصل منه صحية من المهلكات، ج 15 ، ص 58</w:t>
      </w:r>
    </w:p>
    <w:p>
      <w:pPr>
        <w:pStyle w:val="BookText"/>
      </w:pPr>
      <w:r>
        <w:rPr>
          <w:rFonts w:ascii="Amiri" w:hAnsi="Amiri" w:eastAsia="Amiri" w:cs="Amiri"/>
          <w:lang w:bidi="ar-SA"/>
          <w:color w:val="111111"/>
          <w:sz w:val="28"/>
          <w:szCs w:val="28"/>
          <w:rtl/>
        </w:rPr>
        <w:t xml:space="preserve">اوز جندي ، محمّد بن عمر</w:t>
      </w:r>
    </w:p>
    <w:p>
      <w:pPr>
        <w:pStyle w:val="BookText"/>
      </w:pPr>
      <w:r>
        <w:rPr>
          <w:rFonts w:ascii="Amiri" w:hAnsi="Amiri" w:eastAsia="Amiri" w:cs="Amiri"/>
          <w:lang w:bidi="ar-SA"/>
          <w:color w:val="111111"/>
          <w:sz w:val="28"/>
          <w:szCs w:val="28"/>
          <w:rtl/>
        </w:rPr>
        <w:t xml:space="preserve">الفقه (رسالة في)، ج 12، ص 54.</w:t>
      </w:r>
    </w:p>
    <w:p>
      <w:pPr>
        <w:pStyle w:val="Heading2"/>
      </w:pPr>
      <w:bookmarkStart w:id="2490" w:name="_Toc1592"/>
      <w:r>
        <w:t>اوز جندي ، محمود</w:t>
      </w:r>
      <w:bookmarkEnd w:id="2490"/>
    </w:p>
    <w:p>
      <w:pPr>
        <w:pStyle w:val="BookText"/>
      </w:pPr>
      <w:r>
        <w:rPr>
          <w:rFonts w:ascii="Amiri" w:hAnsi="Amiri" w:eastAsia="Amiri" w:cs="Amiri"/>
          <w:lang w:bidi="ar-SA"/>
          <w:color w:val="111111"/>
          <w:sz w:val="28"/>
          <w:szCs w:val="28"/>
          <w:rtl/>
        </w:rPr>
        <w:t xml:space="preserve">الفوائد في فروع الحنفية، ج 12،</w:t>
      </w:r>
    </w:p>
    <w:p>
      <w:pPr>
        <w:pStyle w:val="BookText"/>
      </w:pPr>
      <w:r>
        <w:rPr>
          <w:rFonts w:ascii="IRNazanin" w:hAnsi="IRNazanin" w:eastAsia="IRNazanin" w:cs="IRNazanin"/>
          <w:lang w:bidi="fa-IR"/>
          <w:color w:val="111111"/>
          <w:sz w:val="28"/>
          <w:szCs w:val="28"/>
          <w:rtl/>
        </w:rPr>
        <w:t xml:space="preserve">ص 259 .</w:t>
      </w:r>
    </w:p>
    <w:p>
      <w:pPr>
        <w:pStyle w:val="BookText"/>
      </w:pPr>
      <w:r>
        <w:rPr>
          <w:rFonts w:ascii="Amiri" w:hAnsi="Amiri" w:eastAsia="Amiri" w:cs="Amiri"/>
          <w:lang w:bidi="ar-SA"/>
          <w:color w:val="111111"/>
          <w:sz w:val="28"/>
          <w:szCs w:val="28"/>
          <w:rtl/>
        </w:rPr>
        <w:t xml:space="preserve">اوشي فرغاني ، علي بن عثمان- سراج الدين قهستاني ، حسين بن جمال</w:t>
      </w:r>
    </w:p>
    <w:p>
      <w:pPr>
        <w:pStyle w:val="BookText"/>
      </w:pPr>
      <w:r>
        <w:rPr>
          <w:rFonts w:ascii="Amiri" w:hAnsi="Amiri" w:eastAsia="Amiri" w:cs="Amiri"/>
          <w:lang w:bidi="ar-SA"/>
          <w:color w:val="111111"/>
          <w:sz w:val="28"/>
          <w:szCs w:val="28"/>
          <w:rtl/>
        </w:rPr>
        <w:t xml:space="preserve">اوشي ، علي بن عثمان</w:t>
      </w:r>
    </w:p>
    <w:p>
      <w:pPr>
        <w:pStyle w:val="Heading2"/>
      </w:pPr>
      <w:bookmarkStart w:id="2491" w:name="_Toc1593"/>
      <w:r>
        <w:t>اوفي ، محمود بن احمد - 1045 ه-</w:t>
      </w:r>
      <w:bookmarkEnd w:id="2491"/>
    </w:p>
    <w:p>
      <w:pPr>
        <w:pStyle w:val="BookText"/>
      </w:pPr>
      <w:r>
        <w:rPr>
          <w:rFonts w:ascii="Amiri" w:hAnsi="Amiri" w:eastAsia="Amiri" w:cs="Amiri"/>
          <w:lang w:bidi="ar-SA"/>
          <w:color w:val="111111"/>
          <w:sz w:val="28"/>
          <w:szCs w:val="28"/>
          <w:rtl/>
        </w:rPr>
        <w:t xml:space="preserve">كيفية استخراج التقويم = استخراج التقويم، ج13، ص 478.</w:t>
      </w:r>
    </w:p>
    <w:p>
      <w:pPr>
        <w:pStyle w:val="Heading2"/>
      </w:pPr>
      <w:bookmarkStart w:id="2492" w:name="_Toc1594"/>
      <w:r>
        <w:t>اولامشي ، مصلح الدين - 1000 ه-</w:t>
      </w:r>
      <w:bookmarkEnd w:id="2492"/>
    </w:p>
    <w:p>
      <w:pPr>
        <w:pStyle w:val="BookText"/>
      </w:pPr>
      <w:r>
        <w:rPr>
          <w:rFonts w:ascii="Amiri" w:hAnsi="Amiri" w:eastAsia="Amiri" w:cs="Amiri"/>
          <w:lang w:bidi="ar-SA"/>
          <w:color w:val="111111"/>
          <w:sz w:val="28"/>
          <w:szCs w:val="28"/>
          <w:rtl/>
        </w:rPr>
        <w:t xml:space="preserve">كشف الاسرار في شرح اظهار الاسرار</w:t>
      </w:r>
    </w:p>
    <w:p>
      <w:pPr>
        <w:pStyle w:val="BookText"/>
      </w:pPr>
      <w:r>
        <w:rPr>
          <w:rFonts w:ascii="IRNazanin" w:hAnsi="IRNazanin" w:eastAsia="IRNazanin" w:cs="IRNazanin"/>
          <w:lang w:bidi="fa-IR"/>
          <w:color w:val="111111"/>
          <w:sz w:val="28"/>
          <w:szCs w:val="28"/>
          <w:rtl/>
        </w:rPr>
        <w:t xml:space="preserve">ج 13، ص190.</w:t>
      </w:r>
    </w:p>
    <w:p>
      <w:pPr>
        <w:pStyle w:val="BookText"/>
      </w:pPr>
      <w:r>
        <w:rPr>
          <w:rFonts w:ascii="IRNazanin" w:hAnsi="IRNazanin" w:eastAsia="IRNazanin" w:cs="IRNazanin"/>
          <w:lang w:bidi="fa-IR"/>
          <w:color w:val="111111"/>
          <w:sz w:val="28"/>
          <w:szCs w:val="28"/>
          <w:rtl/>
        </w:rPr>
        <w:t xml:space="preserve">اویس بن محمّد ويسي افندي- ويسي ،</w:t>
      </w:r>
    </w:p>
    <w:p>
      <w:pPr>
        <w:pStyle w:val="BookText"/>
      </w:pPr>
      <w:r>
        <w:rPr>
          <w:rFonts w:ascii="IRNazanin" w:hAnsi="IRNazanin" w:eastAsia="IRNazanin" w:cs="IRNazanin"/>
          <w:lang w:bidi="fa-IR"/>
          <w:color w:val="111111"/>
          <w:sz w:val="28"/>
          <w:szCs w:val="28"/>
          <w:rtl/>
        </w:rPr>
        <w:t xml:space="preserve">اویس بن محمّد</w:t>
      </w:r>
    </w:p>
    <w:p>
      <w:pPr>
        <w:pStyle w:val="BookText"/>
      </w:pPr>
      <w:r>
        <w:rPr>
          <w:rFonts w:ascii="Amiri" w:hAnsi="Amiri" w:eastAsia="Amiri" w:cs="Amiri"/>
          <w:lang w:bidi="ar-SA"/>
          <w:color w:val="111111"/>
          <w:sz w:val="28"/>
          <w:szCs w:val="28"/>
          <w:rtl/>
        </w:rPr>
        <w:t xml:space="preserve">ايجي ، ابراهيم بن احمد- ايكي</w:t>
      </w:r>
    </w:p>
    <w:p>
      <w:pPr>
        <w:pStyle w:val="BookText"/>
      </w:pPr>
      <w:r>
        <w:rPr>
          <w:rFonts w:ascii="IRNazanin" w:hAnsi="IRNazanin" w:eastAsia="IRNazanin" w:cs="IRNazanin"/>
          <w:lang w:bidi="fa-IR"/>
          <w:color w:val="111111"/>
          <w:sz w:val="28"/>
          <w:szCs w:val="28"/>
          <w:rtl/>
        </w:rPr>
        <w:t xml:space="preserve">مجدالدین</w:t>
      </w:r>
    </w:p>
    <w:p>
      <w:pPr>
        <w:pStyle w:val="BookText"/>
      </w:pPr>
      <w:r>
        <w:rPr>
          <w:rFonts w:ascii="IRNazanin" w:hAnsi="IRNazanin" w:eastAsia="IRNazanin" w:cs="IRNazanin"/>
          <w:lang w:bidi="fa-IR"/>
          <w:color w:val="111111"/>
          <w:sz w:val="28"/>
          <w:szCs w:val="28"/>
          <w:rtl/>
        </w:rPr>
        <w:t xml:space="preserve">ايجي ، عبد الرحمن بن احمد- عضدالدین</w:t>
      </w:r>
    </w:p>
    <w:p>
      <w:pPr>
        <w:pStyle w:val="BookText"/>
      </w:pPr>
      <w:r>
        <w:rPr>
          <w:rFonts w:ascii="Amiri" w:hAnsi="Amiri" w:eastAsia="Amiri" w:cs="Amiri"/>
          <w:lang w:bidi="ar-SA"/>
          <w:color w:val="111111"/>
          <w:sz w:val="28"/>
          <w:szCs w:val="28"/>
          <w:rtl/>
        </w:rPr>
        <w:t xml:space="preserve">ايجي ، عبدالرحمن بن احمد</w:t>
      </w:r>
    </w:p>
    <w:p>
      <w:pPr>
        <w:pStyle w:val="Heading2"/>
      </w:pPr>
      <w:bookmarkStart w:id="2493" w:name="_Toc1595"/>
      <w:r>
        <w:t>ايجي محمّد بن عبدالرحمن، 832-906ه-</w:t>
      </w:r>
      <w:bookmarkEnd w:id="2493"/>
    </w:p>
    <w:p>
      <w:pPr>
        <w:pStyle w:val="BookText"/>
      </w:pPr>
      <w:r>
        <w:rPr>
          <w:rFonts w:ascii="Amiri" w:hAnsi="Amiri" w:eastAsia="Amiri" w:cs="Amiri"/>
          <w:lang w:bidi="ar-SA"/>
          <w:color w:val="111111"/>
          <w:sz w:val="28"/>
          <w:szCs w:val="28"/>
          <w:rtl/>
        </w:rPr>
        <w:t xml:space="preserve">1 .جامع البيان في تفسير القرآن -</w:t>
      </w:r>
    </w:p>
    <w:p>
      <w:pPr>
        <w:pStyle w:val="BookText"/>
      </w:pPr>
      <w:r>
        <w:rPr>
          <w:rFonts w:ascii="Amiri" w:hAnsi="Amiri" w:eastAsia="Amiri" w:cs="Amiri"/>
          <w:lang w:bidi="ar-SA"/>
          <w:color w:val="111111"/>
          <w:sz w:val="28"/>
          <w:szCs w:val="28"/>
          <w:rtl/>
        </w:rPr>
        <w:t xml:space="preserve">جوامع التبيان، ج 5، ص 255.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الاربعين النووية = شرح الاربعين حديثاً، ج9، ص 174.</w:t>
      </w:r>
    </w:p>
    <w:p>
      <w:pPr>
        <w:pStyle w:val="Heading2"/>
      </w:pPr>
      <w:bookmarkStart w:id="2494" w:name="_Toc1596"/>
      <w:r>
        <w:t>ايجي ، منصور بن حسن قرن 10 ه-</w:t>
      </w:r>
      <w:bookmarkEnd w:id="2494"/>
    </w:p>
    <w:p>
      <w:pPr>
        <w:pStyle w:val="BookText"/>
      </w:pPr>
      <w:r>
        <w:rPr>
          <w:rFonts w:ascii="Amiri" w:hAnsi="Amiri" w:eastAsia="Amiri" w:cs="Amiri"/>
          <w:lang w:bidi="ar-SA"/>
          <w:color w:val="111111"/>
          <w:sz w:val="28"/>
          <w:szCs w:val="28"/>
          <w:rtl/>
        </w:rPr>
        <w:t xml:space="preserve">صفات الحيوان = ترجمه حيوة</w:t>
      </w:r>
    </w:p>
    <w:p>
      <w:pPr>
        <w:pStyle w:val="BookText"/>
      </w:pPr>
      <w:r>
        <w:rPr>
          <w:rFonts w:ascii="Amiri" w:hAnsi="Amiri" w:eastAsia="Amiri" w:cs="Amiri"/>
          <w:lang w:bidi="ar-SA"/>
          <w:color w:val="111111"/>
          <w:sz w:val="28"/>
          <w:szCs w:val="28"/>
          <w:rtl/>
        </w:rPr>
        <w:t xml:space="preserve">الحيوان، ج 10 ، ص 563.</w:t>
      </w:r>
    </w:p>
    <w:p>
      <w:pPr>
        <w:pStyle w:val="BookText"/>
      </w:pPr>
      <w:r>
        <w:rPr>
          <w:rFonts w:ascii="Amiri" w:hAnsi="Amiri" w:eastAsia="Amiri" w:cs="Amiri"/>
          <w:lang w:bidi="ar-SA"/>
          <w:color w:val="111111"/>
          <w:sz w:val="28"/>
          <w:szCs w:val="28"/>
          <w:rtl/>
        </w:rPr>
        <w:t xml:space="preserve">ايذي، نظام الدين حسين بن جمال- اثيري</w:t>
      </w:r>
    </w:p>
    <w:p>
      <w:pPr>
        <w:pStyle w:val="BookText"/>
      </w:pPr>
      <w:r>
        <w:rPr>
          <w:rFonts w:ascii="IRNazanin" w:hAnsi="IRNazanin" w:eastAsia="IRNazanin" w:cs="IRNazanin"/>
          <w:lang w:bidi="fa-IR"/>
          <w:color w:val="111111"/>
          <w:sz w:val="28"/>
          <w:szCs w:val="28"/>
          <w:rtl/>
        </w:rPr>
        <w:t xml:space="preserve">ايراني ، ميرزا ابوالفضل- گلپایگانی ،</w:t>
      </w:r>
    </w:p>
    <w:p>
      <w:pPr>
        <w:pStyle w:val="BookText"/>
      </w:pPr>
      <w:r>
        <w:rPr>
          <w:rFonts w:ascii="IRNazanin" w:hAnsi="IRNazanin" w:eastAsia="IRNazanin" w:cs="IRNazanin"/>
          <w:lang w:bidi="fa-IR"/>
          <w:color w:val="111111"/>
          <w:sz w:val="28"/>
          <w:szCs w:val="28"/>
          <w:rtl/>
        </w:rPr>
        <w:t xml:space="preserve">ابوالفضل بن محمّد</w:t>
      </w:r>
    </w:p>
    <w:p>
      <w:pPr>
        <w:pStyle w:val="Heading2"/>
      </w:pPr>
      <w:bookmarkStart w:id="2495" w:name="_Toc1597"/>
      <w:r>
        <w:t>ايرواني، عبدالكريم بن أبي القاسم 1220</w:t>
      </w:r>
      <w:bookmarkEnd w:id="24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1294ه-</w:t>
      </w:r>
    </w:p>
    <w:p>
      <w:pPr>
        <w:pStyle w:val="BookText"/>
      </w:pPr>
      <w:r>
        <w:rPr>
          <w:rFonts w:ascii="Amiri" w:hAnsi="Amiri" w:eastAsia="Amiri" w:cs="Amiri"/>
          <w:lang w:bidi="ar-SA"/>
          <w:color w:val="111111"/>
          <w:sz w:val="28"/>
          <w:szCs w:val="28"/>
          <w:rtl/>
        </w:rPr>
        <w:t xml:space="preserve">1 .دستور زبان فارسي، ج7، ص 379.</w:t>
      </w:r>
    </w:p>
    <w:p>
      <w:pPr>
        <w:pStyle w:val="BookText"/>
      </w:pPr>
      <w:r>
        <w:rPr>
          <w:rFonts w:ascii="Amiri" w:hAnsi="Amiri" w:eastAsia="Amiri" w:cs="Amiri"/>
          <w:lang w:bidi="ar-SA"/>
          <w:color w:val="111111"/>
          <w:sz w:val="28"/>
          <w:szCs w:val="28"/>
          <w:rtl/>
        </w:rPr>
        <w:t xml:space="preserve">2.قواعد اللغة الفارسية، ج 12،</w:t>
      </w:r>
    </w:p>
    <w:p>
      <w:pPr>
        <w:pStyle w:val="BookText"/>
      </w:pPr>
      <w:r>
        <w:rPr>
          <w:rFonts w:ascii="IRNazanin" w:hAnsi="IRNazanin" w:eastAsia="IRNazanin" w:cs="IRNazanin"/>
          <w:lang w:bidi="fa-IR"/>
          <w:color w:val="111111"/>
          <w:sz w:val="28"/>
          <w:szCs w:val="28"/>
          <w:rtl/>
        </w:rPr>
        <w:t xml:space="preserve">ص 804.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9" w:name="pg7742_69843"/>
    <w:bookmarkEnd w:id="229"/>
    <w:p>
      <w:pPr>
        <w:pStyle w:val="Heading2"/>
      </w:pPr>
      <w:bookmarkStart w:id="2496" w:name="_Toc1598"/>
      <w:r>
        <w:t>ايرواني ، كريم بن حسن قرن 13 ه-</w:t>
      </w:r>
      <w:bookmarkEnd w:id="2496"/>
    </w:p>
    <w:p>
      <w:pPr>
        <w:pStyle w:val="BookText"/>
      </w:pPr>
      <w:r>
        <w:rPr>
          <w:rFonts w:ascii="IRNazanin" w:hAnsi="IRNazanin" w:eastAsia="IRNazanin" w:cs="IRNazanin"/>
          <w:lang w:bidi="fa-IR"/>
          <w:color w:val="111111"/>
          <w:sz w:val="28"/>
          <w:szCs w:val="28"/>
          <w:rtl/>
        </w:rPr>
        <w:t xml:space="preserve">اصلاح العمل (مختصر)، ج2، ص372</w:t>
      </w:r>
    </w:p>
    <w:p>
      <w:pPr>
        <w:pStyle w:val="Heading2"/>
      </w:pPr>
      <w:bookmarkStart w:id="2497" w:name="_Toc1599"/>
      <w:r>
        <w:t>ايرواني محمّد بن زين العابدين قرن 14ه-</w:t>
      </w:r>
      <w:bookmarkEnd w:id="2497"/>
    </w:p>
    <w:p>
      <w:pPr>
        <w:pStyle w:val="BookText"/>
      </w:pPr>
      <w:r>
        <w:rPr>
          <w:rFonts w:ascii="Amiri" w:hAnsi="Amiri" w:eastAsia="Amiri" w:cs="Amiri"/>
          <w:lang w:bidi="ar-SA"/>
          <w:color w:val="111111"/>
          <w:sz w:val="28"/>
          <w:szCs w:val="28"/>
          <w:rtl/>
        </w:rPr>
        <w:t xml:space="preserve">حياة الانسان، ج 6، ص 851.</w:t>
      </w:r>
    </w:p>
    <w:p>
      <w:pPr>
        <w:pStyle w:val="Heading2"/>
      </w:pPr>
      <w:bookmarkStart w:id="2498" w:name="_Toc1600"/>
      <w:r>
        <w:t>ايرواني ، محمّد جعفر</w:t>
      </w:r>
      <w:bookmarkEnd w:id="2498"/>
    </w:p>
    <w:p>
      <w:pPr>
        <w:pStyle w:val="BookText"/>
      </w:pPr>
      <w:r>
        <w:rPr>
          <w:rFonts w:ascii="Amiri" w:hAnsi="Amiri" w:eastAsia="Amiri" w:cs="Amiri"/>
          <w:lang w:bidi="ar-SA"/>
          <w:color w:val="111111"/>
          <w:sz w:val="28"/>
          <w:szCs w:val="28"/>
          <w:rtl/>
        </w:rPr>
        <w:t xml:space="preserve">بلغة النفائس، ج 3، ص 394.</w:t>
      </w:r>
    </w:p>
    <w:p>
      <w:pPr>
        <w:pStyle w:val="Heading2"/>
      </w:pPr>
      <w:bookmarkStart w:id="2499" w:name="_Toc1601"/>
      <w:r>
        <w:t>ایشوعياب - 1611 م</w:t>
      </w:r>
      <w:bookmarkEnd w:id="2499"/>
    </w:p>
    <w:p>
      <w:pPr>
        <w:pStyle w:val="BookText"/>
      </w:pPr>
      <w:r>
        <w:rPr>
          <w:rFonts w:ascii="Amiri" w:hAnsi="Amiri" w:eastAsia="Amiri" w:cs="Amiri"/>
          <w:lang w:bidi="ar-SA"/>
          <w:color w:val="111111"/>
          <w:sz w:val="28"/>
          <w:szCs w:val="28"/>
          <w:rtl/>
        </w:rPr>
        <w:t xml:space="preserve">الانجيل (ترجمة)، ج2، ص793.</w:t>
      </w:r>
    </w:p>
    <w:p>
      <w:pPr>
        <w:pStyle w:val="BookText"/>
      </w:pPr>
      <w:r>
        <w:rPr>
          <w:rFonts w:ascii="Amiri" w:hAnsi="Amiri" w:eastAsia="Amiri" w:cs="Amiri"/>
          <w:lang w:bidi="ar-SA"/>
          <w:color w:val="111111"/>
          <w:sz w:val="28"/>
          <w:szCs w:val="28"/>
          <w:rtl/>
        </w:rPr>
        <w:t xml:space="preserve">ايشوعياب حديابي- حديابي ، ايشوعياب</w:t>
      </w:r>
    </w:p>
    <w:p>
      <w:pPr>
        <w:pStyle w:val="Heading2"/>
      </w:pPr>
      <w:bookmarkStart w:id="2500" w:name="_Toc1602"/>
      <w:r>
        <w:t>ايكي ، مجدالدين قرن 8 ه-</w:t>
      </w:r>
      <w:bookmarkEnd w:id="2500"/>
    </w:p>
    <w:p>
      <w:pPr>
        <w:pStyle w:val="BookText"/>
      </w:pPr>
      <w:r>
        <w:rPr>
          <w:rFonts w:ascii="Amiri" w:hAnsi="Amiri" w:eastAsia="Amiri" w:cs="Amiri"/>
          <w:lang w:bidi="ar-SA"/>
          <w:color w:val="111111"/>
          <w:sz w:val="28"/>
          <w:szCs w:val="28"/>
          <w:rtl/>
        </w:rPr>
        <w:t xml:space="preserve">معراج الوصول في شرح منهاج الاصول اسماعيل بن علي</w:t>
      </w:r>
    </w:p>
    <w:p>
      <w:pPr>
        <w:pStyle w:val="BookText"/>
      </w:pPr>
      <w:r>
        <w:rPr>
          <w:rFonts w:ascii="IRNazanin" w:hAnsi="IRNazanin" w:eastAsia="IRNazanin" w:cs="IRNazanin"/>
          <w:lang w:bidi="fa-IR"/>
          <w:color w:val="111111"/>
          <w:sz w:val="28"/>
          <w:szCs w:val="28"/>
          <w:rtl/>
        </w:rPr>
        <w:t xml:space="preserve">ج 15، ص 37.</w:t>
      </w:r>
    </w:p>
    <w:p>
      <w:pPr>
        <w:pStyle w:val="BookText"/>
      </w:pPr>
      <w:r>
        <w:rPr>
          <w:rFonts w:ascii="Amiri" w:hAnsi="Amiri" w:eastAsia="Amiri" w:cs="Amiri"/>
          <w:lang w:bidi="ar-SA"/>
          <w:color w:val="111111"/>
          <w:sz w:val="28"/>
          <w:szCs w:val="28"/>
          <w:rtl/>
        </w:rPr>
        <w:t xml:space="preserve">ايلاقي ، ابوجعفر بن احمد- ابن رازي ،</w:t>
      </w:r>
    </w:p>
    <w:p>
      <w:pPr>
        <w:pStyle w:val="BookText"/>
      </w:pPr>
      <w:r>
        <w:rPr>
          <w:rFonts w:ascii="IRNazanin" w:hAnsi="IRNazanin" w:eastAsia="IRNazanin" w:cs="IRNazanin"/>
          <w:lang w:bidi="fa-IR"/>
          <w:color w:val="111111"/>
          <w:sz w:val="28"/>
          <w:szCs w:val="28"/>
          <w:rtl/>
        </w:rPr>
        <w:t xml:space="preserve">جعفر بن احمد</w:t>
      </w:r>
    </w:p>
    <w:p>
      <w:pPr>
        <w:pStyle w:val="Heading2"/>
      </w:pPr>
      <w:bookmarkStart w:id="2501" w:name="_Toc1603"/>
      <w:r>
        <w:t>ايلاقي ، محمّد بن يوسف - 536 ه-</w:t>
      </w:r>
      <w:bookmarkEnd w:id="2501"/>
    </w:p>
    <w:p>
      <w:pPr>
        <w:pStyle w:val="BookText"/>
      </w:pPr>
      <w:r>
        <w:rPr>
          <w:rFonts w:ascii="IRNazanin" w:hAnsi="IRNazanin" w:eastAsia="IRNazanin" w:cs="IRNazanin"/>
          <w:lang w:bidi="fa-IR"/>
          <w:color w:val="111111"/>
          <w:sz w:val="28"/>
          <w:szCs w:val="28"/>
          <w:rtl/>
        </w:rPr>
        <w:t xml:space="preserve">الاسباب والعلامات - المعالجات</w:t>
      </w:r>
    </w:p>
    <w:p>
      <w:pPr>
        <w:pStyle w:val="BookText"/>
      </w:pPr>
      <w:r>
        <w:rPr>
          <w:rFonts w:ascii="Amiri" w:hAnsi="Amiri" w:eastAsia="Amiri" w:cs="Amiri"/>
          <w:lang w:bidi="ar-SA"/>
          <w:color w:val="111111"/>
          <w:sz w:val="28"/>
          <w:szCs w:val="28"/>
          <w:rtl/>
        </w:rPr>
        <w:t xml:space="preserve">الايلاقية = مختصر القانون، ج2،</w:t>
      </w:r>
    </w:p>
    <w:p>
      <w:pPr>
        <w:pStyle w:val="BookText"/>
      </w:pPr>
      <w:r>
        <w:rPr>
          <w:rFonts w:ascii="IRNazanin" w:hAnsi="IRNazanin" w:eastAsia="IRNazanin" w:cs="IRNazanin"/>
          <w:lang w:bidi="fa-IR"/>
          <w:color w:val="111111"/>
          <w:sz w:val="28"/>
          <w:szCs w:val="28"/>
          <w:rtl/>
        </w:rPr>
        <w:t xml:space="preserve">ص 100 .</w:t>
      </w:r>
    </w:p>
    <w:p>
      <w:pPr>
        <w:pStyle w:val="Heading2"/>
      </w:pPr>
      <w:bookmarkStart w:id="2502" w:name="_Toc1604"/>
      <w:r>
        <w:t>ايليا بن شينايا - 448 ه-</w:t>
      </w:r>
      <w:bookmarkEnd w:id="2502"/>
    </w:p>
    <w:p>
      <w:pPr>
        <w:pStyle w:val="BookText"/>
      </w:pPr>
      <w:r>
        <w:rPr>
          <w:rFonts w:ascii="IRNazanin" w:hAnsi="IRNazanin" w:eastAsia="IRNazanin" w:cs="IRNazanin"/>
          <w:lang w:bidi="fa-IR"/>
          <w:color w:val="111111"/>
          <w:sz w:val="28"/>
          <w:szCs w:val="28"/>
          <w:rtl/>
        </w:rPr>
        <w:t xml:space="preserve">1 .دفع الهم، ج 7، ص 426 .</w:t>
      </w:r>
    </w:p>
    <w:p>
      <w:pPr>
        <w:pStyle w:val="BookText"/>
      </w:pPr>
      <w:r>
        <w:rPr>
          <w:rFonts w:ascii="Amiri" w:hAnsi="Amiri" w:eastAsia="Amiri" w:cs="Amiri"/>
          <w:lang w:bidi="ar-SA"/>
          <w:color w:val="111111"/>
          <w:sz w:val="28"/>
          <w:szCs w:val="28"/>
          <w:rtl/>
        </w:rPr>
        <w:t xml:space="preserve">2 .السفر الاول من قواعد اللغة</w:t>
      </w:r>
    </w:p>
    <w:p>
      <w:pPr>
        <w:pStyle w:val="BookText"/>
      </w:pPr>
      <w:r>
        <w:rPr>
          <w:rFonts w:ascii="Amiri" w:hAnsi="Amiri" w:eastAsia="Amiri" w:cs="Amiri"/>
          <w:lang w:bidi="ar-SA"/>
          <w:color w:val="111111"/>
          <w:sz w:val="28"/>
          <w:szCs w:val="28"/>
          <w:rtl/>
        </w:rPr>
        <w:t xml:space="preserve">الآرامية، ج8، ص 776.</w:t>
      </w:r>
    </w:p>
    <w:p>
      <w:pPr>
        <w:pStyle w:val="BookText"/>
      </w:pPr>
      <w:r>
        <w:rPr>
          <w:rFonts w:ascii="Amiri" w:hAnsi="Amiri" w:eastAsia="Amiri" w:cs="Amiri"/>
          <w:lang w:bidi="ar-SA"/>
          <w:color w:val="111111"/>
          <w:sz w:val="28"/>
          <w:szCs w:val="28"/>
          <w:rtl/>
        </w:rPr>
        <w:t xml:space="preserve">3 .فضيلة العفة عن الجماع (رسالة</w:t>
      </w:r>
    </w:p>
    <w:p>
      <w:pPr>
        <w:pStyle w:val="BookText"/>
      </w:pPr>
      <w:r>
        <w:rPr>
          <w:rFonts w:ascii="Amiri" w:hAnsi="Amiri" w:eastAsia="Amiri" w:cs="Amiri"/>
          <w:lang w:bidi="ar-SA"/>
          <w:color w:val="111111"/>
          <w:sz w:val="28"/>
          <w:szCs w:val="28"/>
          <w:rtl/>
        </w:rPr>
        <w:t xml:space="preserve">في)، ج 12، ص 32 .</w:t>
      </w:r>
    </w:p>
    <w:p>
      <w:pPr>
        <w:pStyle w:val="BookText"/>
      </w:pPr>
      <w:r>
        <w:rPr>
          <w:rFonts w:ascii="Amiri" w:hAnsi="Amiri" w:eastAsia="Amiri" w:cs="Amiri"/>
          <w:lang w:bidi="ar-SA"/>
          <w:color w:val="111111"/>
          <w:sz w:val="28"/>
          <w:szCs w:val="28"/>
          <w:rtl/>
        </w:rPr>
        <w:t xml:space="preserve">4 .قواعد اللغة الآرامية، ج 12، ص 801.</w:t>
      </w:r>
    </w:p>
    <w:p>
      <w:pPr>
        <w:pStyle w:val="BookText"/>
      </w:pPr>
      <w:r>
        <w:rPr>
          <w:rFonts w:ascii="Amiri" w:hAnsi="Amiri" w:eastAsia="Amiri" w:cs="Amiri"/>
          <w:lang w:bidi="ar-SA"/>
          <w:color w:val="111111"/>
          <w:sz w:val="28"/>
          <w:szCs w:val="28"/>
          <w:rtl/>
        </w:rPr>
        <w:t xml:space="preserve">5 .قواعد اللغة السريانية، ج 12،</w:t>
      </w:r>
    </w:p>
    <w:p>
      <w:pPr>
        <w:pStyle w:val="BookText"/>
      </w:pPr>
      <w:r>
        <w:rPr>
          <w:rFonts w:ascii="IRNazanin" w:hAnsi="IRNazanin" w:eastAsia="IRNazanin" w:cs="IRNazanin"/>
          <w:lang w:bidi="fa-IR"/>
          <w:color w:val="111111"/>
          <w:sz w:val="28"/>
          <w:szCs w:val="28"/>
          <w:rtl/>
        </w:rPr>
        <w:t xml:space="preserve">ص 802.</w:t>
      </w:r>
    </w:p>
    <w:p>
      <w:pPr>
        <w:pStyle w:val="BookText"/>
      </w:pPr>
      <w:r>
        <w:rPr>
          <w:rFonts w:ascii="Amiri" w:hAnsi="Amiri" w:eastAsia="Amiri" w:cs="Amiri"/>
          <w:lang w:bidi="ar-SA"/>
          <w:color w:val="111111"/>
          <w:sz w:val="28"/>
          <w:szCs w:val="28"/>
          <w:rtl/>
        </w:rPr>
        <w:t xml:space="preserve">6 .المجالس السبعة، ج13، ص793.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المعونة على دفع الهم، ج 15 ،</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Amiri" w:hAnsi="Amiri" w:eastAsia="Amiri" w:cs="Amiri"/>
          <w:lang w:bidi="ar-SA"/>
          <w:color w:val="111111"/>
          <w:sz w:val="28"/>
          <w:szCs w:val="28"/>
          <w:rtl/>
        </w:rPr>
        <w:t xml:space="preserve">ايوان كيفي، محمد حسين بن عبد</w:t>
      </w:r>
    </w:p>
    <w:p>
      <w:pPr>
        <w:pStyle w:val="BookText"/>
      </w:pPr>
      <w:r>
        <w:rPr>
          <w:rFonts w:ascii="Amiri" w:hAnsi="Amiri" w:eastAsia="Amiri" w:cs="Amiri"/>
          <w:lang w:bidi="ar-SA"/>
          <w:color w:val="111111"/>
          <w:sz w:val="28"/>
          <w:szCs w:val="28"/>
          <w:rtl/>
        </w:rPr>
        <w:t xml:space="preserve">الرحيم- حائري اصفهاني ، محمّد حسين بن</w:t>
      </w:r>
    </w:p>
    <w:p>
      <w:pPr>
        <w:pStyle w:val="BookText"/>
      </w:pPr>
      <w:r>
        <w:rPr>
          <w:rFonts w:ascii="Amiri" w:hAnsi="Amiri" w:eastAsia="Amiri" w:cs="Amiri"/>
          <w:lang w:bidi="ar-SA"/>
          <w:color w:val="111111"/>
          <w:sz w:val="28"/>
          <w:szCs w:val="28"/>
          <w:rtl/>
        </w:rPr>
        <w:t xml:space="preserve">عبد الرحيم</w:t>
      </w:r>
    </w:p>
    <w:p>
      <w:pPr>
        <w:pStyle w:val="BookText"/>
      </w:pPr>
      <w:r>
        <w:rPr>
          <w:rFonts w:ascii="IRNazanin" w:hAnsi="IRNazanin" w:eastAsia="IRNazanin" w:cs="IRNazanin"/>
          <w:lang w:bidi="fa-IR"/>
          <w:color w:val="111111"/>
          <w:sz w:val="28"/>
          <w:szCs w:val="28"/>
          <w:rtl/>
        </w:rPr>
        <w:t xml:space="preserve">ایوب بن احمد بن ايوب خلوتي -خلوتي</w:t>
      </w:r>
    </w:p>
    <w:p>
      <w:pPr>
        <w:pStyle w:val="BookText"/>
      </w:pPr>
      <w:r>
        <w:rPr>
          <w:rFonts w:ascii="IRNazanin" w:hAnsi="IRNazanin" w:eastAsia="IRNazanin" w:cs="IRNazanin"/>
          <w:lang w:bidi="fa-IR"/>
          <w:color w:val="111111"/>
          <w:sz w:val="28"/>
          <w:szCs w:val="28"/>
          <w:rtl/>
        </w:rPr>
        <w:t xml:space="preserve">ایوب بن احمد</w:t>
      </w:r>
    </w:p>
    <w:p>
      <w:pPr>
        <w:pStyle w:val="BookText"/>
      </w:pPr>
      <w:r>
        <w:rPr>
          <w:rFonts w:ascii="IRNazanin" w:hAnsi="IRNazanin" w:eastAsia="IRNazanin" w:cs="IRNazanin"/>
          <w:lang w:bidi="fa-IR"/>
          <w:color w:val="111111"/>
          <w:sz w:val="28"/>
          <w:szCs w:val="28"/>
          <w:rtl/>
        </w:rPr>
        <w:t xml:space="preserve">ایوب بن موسى كفوي -كفوي ، ايوب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ايوبي، اسماعيل بن علي- ابوالفداء ،</w:t>
      </w:r>
    </w:p>
    <w:p>
      <w:pPr>
        <w:pStyle w:val="BookText"/>
      </w:pPr>
      <w:r>
        <w:rPr>
          <w:rFonts w:ascii="Amiri" w:hAnsi="Amiri" w:eastAsia="Amiri" w:cs="Amiri"/>
          <w:lang w:bidi="ar-SA"/>
          <w:color w:val="111111"/>
          <w:sz w:val="28"/>
          <w:szCs w:val="28"/>
          <w:rtl/>
        </w:rPr>
        <w:t xml:space="preserve">ايوبي ، خير الدين بن احمد- رملي</w:t>
      </w:r>
    </w:p>
    <w:p>
      <w:pPr>
        <w:pStyle w:val="BookText"/>
      </w:pPr>
      <w:r>
        <w:rPr>
          <w:rFonts w:ascii="IRNazanin" w:hAnsi="IRNazanin" w:eastAsia="IRNazanin" w:cs="IRNazanin"/>
          <w:lang w:bidi="fa-IR"/>
          <w:color w:val="111111"/>
          <w:sz w:val="28"/>
          <w:szCs w:val="28"/>
          <w:rtl/>
        </w:rPr>
        <w:t xml:space="preserve">خیرالدین بن احمد</w:t>
      </w:r>
    </w:p>
    <w:p>
      <w:pPr>
        <w:pStyle w:val="Heading2"/>
      </w:pPr>
      <w:bookmarkStart w:id="2503" w:name="_Toc1605"/>
      <w:r>
        <w:t>ايوبي، عبدالله بن محمّد صالح -1252ه-</w:t>
      </w:r>
      <w:bookmarkEnd w:id="2503"/>
    </w:p>
    <w:p>
      <w:pPr>
        <w:pStyle w:val="BookText"/>
      </w:pPr>
      <w:r>
        <w:rPr>
          <w:rFonts w:ascii="Amiri" w:hAnsi="Amiri" w:eastAsia="Amiri" w:cs="Amiri"/>
          <w:lang w:bidi="ar-SA"/>
          <w:color w:val="111111"/>
          <w:sz w:val="28"/>
          <w:szCs w:val="28"/>
          <w:rtl/>
        </w:rPr>
        <w:t xml:space="preserve">محمودية، ج 14، ص 133.</w:t>
      </w:r>
    </w:p>
    <w:p>
      <w:pPr>
        <w:pStyle w:val="Heading2"/>
      </w:pPr>
      <w:bookmarkStart w:id="2504" w:name="_Toc1606"/>
      <w:r>
        <w:t>ايوبي ، مصطفى بن يوسف، 1061 -</w:t>
      </w:r>
      <w:bookmarkEnd w:id="2504"/>
    </w:p>
    <w:p>
      <w:pPr>
        <w:pStyle w:val="BookText"/>
      </w:pPr>
      <w:r>
        <w:rPr>
          <w:rFonts w:ascii="IRNazanin" w:hAnsi="IRNazanin" w:eastAsia="IRNazanin" w:cs="IRNazanin"/>
          <w:lang w:bidi="fa-IR"/>
          <w:color w:val="111111"/>
          <w:sz w:val="28"/>
          <w:szCs w:val="28"/>
          <w:rtl/>
        </w:rPr>
        <w:t xml:space="preserve">1119ه-</w:t>
      </w:r>
    </w:p>
    <w:p>
      <w:pPr>
        <w:pStyle w:val="BookText"/>
      </w:pPr>
      <w:r>
        <w:rPr>
          <w:rFonts w:ascii="Amiri" w:hAnsi="Amiri" w:eastAsia="Amiri" w:cs="Amiri"/>
          <w:lang w:bidi="ar-SA"/>
          <w:color w:val="111111"/>
          <w:sz w:val="28"/>
          <w:szCs w:val="28"/>
          <w:rtl/>
        </w:rPr>
        <w:t xml:space="preserve">آداب البحث والمناظرة، ج 1، ص27.</w:t>
      </w:r>
    </w:p>
    <w:p>
      <w:pPr>
        <w:pStyle w:val="Heading2"/>
      </w:pPr>
      <w:bookmarkStart w:id="2505" w:name="_Toc1607"/>
      <w:r>
        <w:t>بابا افضل کاشاني ، محمّد بن حسين</w:t>
      </w:r>
      <w:bookmarkEnd w:id="2505"/>
    </w:p>
    <w:p>
      <w:pPr>
        <w:pStyle w:val="BookText"/>
      </w:pPr>
      <w:r>
        <w:rPr>
          <w:rFonts w:ascii="IRNazanin" w:hAnsi="IRNazanin" w:eastAsia="IRNazanin" w:cs="IRNazanin"/>
          <w:lang w:bidi="fa-IR"/>
          <w:color w:val="111111"/>
          <w:sz w:val="28"/>
          <w:szCs w:val="28"/>
          <w:rtl/>
        </w:rPr>
        <w:t xml:space="preserve">667 ه-</w:t>
      </w:r>
    </w:p>
    <w:p>
      <w:pPr>
        <w:pStyle w:val="BookText"/>
      </w:pPr>
      <w:r>
        <w:rPr>
          <w:rFonts w:ascii="Amiri" w:hAnsi="Amiri" w:eastAsia="Amiri" w:cs="Amiri"/>
          <w:lang w:bidi="ar-SA"/>
          <w:color w:val="111111"/>
          <w:sz w:val="28"/>
          <w:szCs w:val="28"/>
          <w:rtl/>
        </w:rPr>
        <w:t xml:space="preserve">ينبوع الحياة = زجر النفس - ترجمه</w:t>
      </w:r>
    </w:p>
    <w:p>
      <w:pPr>
        <w:pStyle w:val="BookText"/>
      </w:pPr>
      <w:r>
        <w:rPr>
          <w:rFonts w:ascii="IRNazanin" w:hAnsi="IRNazanin" w:eastAsia="IRNazanin" w:cs="IRNazanin"/>
          <w:lang w:bidi="fa-IR"/>
          <w:color w:val="111111"/>
          <w:sz w:val="28"/>
          <w:szCs w:val="28"/>
          <w:rtl/>
        </w:rPr>
        <w:t xml:space="preserve">فصول هرمس، ج 16، ص 901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0" w:name="pg7742_69845"/>
    <w:bookmarkEnd w:id="230"/>
    <w:p>
      <w:pPr>
        <w:pStyle w:val="Heading2"/>
      </w:pPr>
      <w:bookmarkStart w:id="2506" w:name="_Toc1608"/>
      <w:r>
        <w:t>باباجان ، علي بن علي قرن 11 ه-</w:t>
      </w:r>
      <w:bookmarkEnd w:id="2506"/>
    </w:p>
    <w:p>
      <w:pPr>
        <w:pStyle w:val="BookText"/>
      </w:pPr>
      <w:r>
        <w:rPr>
          <w:rFonts w:ascii="Amiri" w:hAnsi="Amiri" w:eastAsia="Amiri" w:cs="Amiri"/>
          <w:lang w:bidi="ar-SA"/>
          <w:color w:val="111111"/>
          <w:sz w:val="28"/>
          <w:szCs w:val="28"/>
          <w:rtl/>
        </w:rPr>
        <w:t xml:space="preserve">الدرة المنيفة في تخميس البردة الشريفة، ج7، ص 269.</w:t>
      </w:r>
    </w:p>
    <w:p>
      <w:pPr>
        <w:pStyle w:val="BookText"/>
      </w:pPr>
      <w:r>
        <w:rPr>
          <w:rFonts w:ascii="Amiri" w:hAnsi="Amiri" w:eastAsia="Amiri" w:cs="Amiri"/>
          <w:lang w:bidi="ar-SA"/>
          <w:color w:val="111111"/>
          <w:sz w:val="28"/>
          <w:szCs w:val="28"/>
          <w:rtl/>
        </w:rPr>
        <w:t xml:space="preserve">بابا ركنا ، مسعود -ركن الدين شيرازي ،</w:t>
      </w:r>
    </w:p>
    <w:p>
      <w:pPr>
        <w:pStyle w:val="BookText"/>
      </w:pPr>
      <w:r>
        <w:rPr>
          <w:rFonts w:ascii="IRNazanin" w:hAnsi="IRNazanin" w:eastAsia="IRNazanin" w:cs="IRNazanin"/>
          <w:lang w:bidi="fa-IR"/>
          <w:color w:val="111111"/>
          <w:sz w:val="28"/>
          <w:szCs w:val="28"/>
          <w:rtl/>
        </w:rPr>
        <w:t xml:space="preserve">مسعود بن عبدالله</w:t>
      </w:r>
    </w:p>
    <w:p>
      <w:pPr>
        <w:pStyle w:val="Heading2"/>
      </w:pPr>
      <w:bookmarkStart w:id="2507" w:name="_Toc1609"/>
      <w:r>
        <w:t>بابا سماسي ، خواجه محمّد</w:t>
      </w:r>
      <w:bookmarkEnd w:id="2507"/>
    </w:p>
    <w:p>
      <w:pPr>
        <w:pStyle w:val="BookText"/>
      </w:pPr>
      <w:r>
        <w:rPr>
          <w:rFonts w:ascii="Amiri" w:hAnsi="Amiri" w:eastAsia="Amiri" w:cs="Amiri"/>
          <w:lang w:bidi="ar-SA"/>
          <w:color w:val="111111"/>
          <w:sz w:val="28"/>
          <w:szCs w:val="28"/>
          <w:rtl/>
        </w:rPr>
        <w:t xml:space="preserve">الطريقة النقشبندية( رسالة في)، ج10،</w:t>
      </w:r>
    </w:p>
    <w:p>
      <w:pPr>
        <w:pStyle w:val="BookText"/>
      </w:pPr>
      <w:r>
        <w:rPr>
          <w:rFonts w:ascii="IRNazanin" w:hAnsi="IRNazanin" w:eastAsia="IRNazanin" w:cs="IRNazanin"/>
          <w:lang w:bidi="fa-IR"/>
          <w:color w:val="111111"/>
          <w:sz w:val="28"/>
          <w:szCs w:val="28"/>
          <w:rtl/>
        </w:rPr>
        <w:t xml:space="preserve">ص 828.</w:t>
      </w:r>
    </w:p>
    <w:p>
      <w:pPr>
        <w:pStyle w:val="Heading2"/>
      </w:pPr>
      <w:bookmarkStart w:id="2508" w:name="_Toc1610"/>
      <w:r>
        <w:t>بابا فغاني شيرازي - 925 ه-</w:t>
      </w:r>
      <w:bookmarkEnd w:id="2508"/>
    </w:p>
    <w:p>
      <w:pPr>
        <w:pStyle w:val="BookText"/>
      </w:pPr>
      <w:r>
        <w:rPr>
          <w:rFonts w:ascii="Amiri" w:hAnsi="Amiri" w:eastAsia="Amiri" w:cs="Amiri"/>
          <w:lang w:bidi="ar-SA"/>
          <w:color w:val="111111"/>
          <w:sz w:val="28"/>
          <w:szCs w:val="28"/>
          <w:rtl/>
        </w:rPr>
        <w:t xml:space="preserve">ديوان فغاني شيرازي، ج 7، ص 734.</w:t>
      </w:r>
    </w:p>
    <w:p>
      <w:pPr>
        <w:pStyle w:val="BookText"/>
      </w:pPr>
      <w:r>
        <w:rPr>
          <w:rFonts w:ascii="Amiri" w:hAnsi="Amiri" w:eastAsia="Amiri" w:cs="Amiri"/>
          <w:lang w:bidi="ar-SA"/>
          <w:color w:val="111111"/>
          <w:sz w:val="28"/>
          <w:szCs w:val="28"/>
          <w:rtl/>
        </w:rPr>
        <w:t xml:space="preserve">بابا نعمت الله نخجواني- شيخ بابا</w:t>
      </w:r>
    </w:p>
    <w:p>
      <w:pPr>
        <w:pStyle w:val="BookText"/>
      </w:pPr>
      <w:r>
        <w:rPr>
          <w:rFonts w:ascii="Amiri" w:hAnsi="Amiri" w:eastAsia="Amiri" w:cs="Amiri"/>
          <w:lang w:bidi="ar-SA"/>
          <w:color w:val="111111"/>
          <w:sz w:val="28"/>
          <w:szCs w:val="28"/>
          <w:rtl/>
        </w:rPr>
        <w:t xml:space="preserve">نخجواني ، نعمت الله بن محمود</w:t>
      </w:r>
    </w:p>
    <w:p>
      <w:pPr>
        <w:pStyle w:val="Heading2"/>
      </w:pPr>
      <w:bookmarkStart w:id="2509" w:name="_Toc1611"/>
      <w:r>
        <w:t>بابرتي ، محمّد بن محمّد، 714 - 786 ه-</w:t>
      </w:r>
      <w:bookmarkEnd w:id="25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حاشية شرح الجامع الكبير، ج 6،</w:t>
      </w:r>
    </w:p>
    <w:p>
      <w:pPr>
        <w:pStyle w:val="BookText"/>
      </w:pPr>
      <w:r>
        <w:rPr>
          <w:rFonts w:ascii="IRNazanin" w:hAnsi="IRNazanin" w:eastAsia="IRNazanin" w:cs="IRNazanin"/>
          <w:lang w:bidi="fa-IR"/>
          <w:color w:val="111111"/>
          <w:sz w:val="28"/>
          <w:szCs w:val="28"/>
          <w:rtl/>
        </w:rPr>
        <w:t xml:space="preserve">ص 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وصية أبي حنيفة، ج 10،</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Amiri" w:hAnsi="Amiri" w:eastAsia="Amiri" w:cs="Amiri"/>
          <w:lang w:bidi="ar-SA"/>
          <w:color w:val="111111"/>
          <w:sz w:val="28"/>
          <w:szCs w:val="28"/>
          <w:rtl/>
        </w:rPr>
        <w:t xml:space="preserve">3 .العناية في شرح الهداية، ج11،</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Amiri" w:hAnsi="Amiri" w:eastAsia="Amiri" w:cs="Amiri"/>
          <w:lang w:bidi="ar-SA"/>
          <w:color w:val="111111"/>
          <w:sz w:val="28"/>
          <w:szCs w:val="28"/>
          <w:rtl/>
        </w:rPr>
        <w:t xml:space="preserve">4 .الفرق الاسلامية = افتراق الامة على</w:t>
      </w:r>
    </w:p>
    <w:p>
      <w:pPr>
        <w:pStyle w:val="BookText"/>
      </w:pPr>
      <w:r>
        <w:rPr>
          <w:rFonts w:ascii="Amiri" w:hAnsi="Amiri" w:eastAsia="Amiri" w:cs="Amiri"/>
          <w:lang w:bidi="ar-SA"/>
          <w:color w:val="111111"/>
          <w:sz w:val="28"/>
          <w:szCs w:val="28"/>
          <w:rtl/>
        </w:rPr>
        <w:t xml:space="preserve">ثلثة وسبعين فرقة، ج 11، ص 787</w:t>
      </w:r>
    </w:p>
    <w:p>
      <w:pPr>
        <w:pStyle w:val="BookText"/>
      </w:pPr>
      <w:r>
        <w:rPr>
          <w:rFonts w:ascii="Amiri" w:hAnsi="Amiri" w:eastAsia="Amiri" w:cs="Amiri"/>
          <w:lang w:bidi="ar-SA"/>
          <w:color w:val="111111"/>
          <w:sz w:val="28"/>
          <w:szCs w:val="28"/>
          <w:rtl/>
        </w:rPr>
        <w:t xml:space="preserve">5 .فيض الباري في شرح صحيحي مسلم و البخاري، ج 12، ص308</w:t>
      </w:r>
    </w:p>
    <w:p>
      <w:pPr>
        <w:pStyle w:val="BookText"/>
      </w:pPr>
      <w:r>
        <w:rPr>
          <w:rFonts w:ascii="Amiri" w:hAnsi="Amiri" w:eastAsia="Amiri" w:cs="Amiri"/>
          <w:lang w:bidi="ar-SA"/>
          <w:color w:val="111111"/>
          <w:sz w:val="28"/>
          <w:szCs w:val="28"/>
          <w:rtl/>
        </w:rPr>
        <w:t xml:space="preserve">6 .النقود والردود في شرح مختصر</w:t>
      </w:r>
    </w:p>
    <w:p>
      <w:pPr>
        <w:pStyle w:val="BookText"/>
      </w:pPr>
      <w:r>
        <w:rPr>
          <w:rFonts w:ascii="IRNazanin" w:hAnsi="IRNazanin" w:eastAsia="IRNazanin" w:cs="IRNazanin"/>
          <w:lang w:bidi="fa-IR"/>
          <w:color w:val="111111"/>
          <w:sz w:val="28"/>
          <w:szCs w:val="28"/>
          <w:rtl/>
        </w:rPr>
        <w:t xml:space="preserve">الاصول، ج 16، ص 427.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النكت الطريفة في ترجيح مذهب</w:t>
      </w:r>
    </w:p>
    <w:p>
      <w:pPr>
        <w:pStyle w:val="BookText"/>
      </w:pPr>
      <w:r>
        <w:rPr>
          <w:rFonts w:ascii="Amiri" w:hAnsi="Amiri" w:eastAsia="Amiri" w:cs="Amiri"/>
          <w:lang w:bidi="ar-SA"/>
          <w:color w:val="111111"/>
          <w:sz w:val="28"/>
          <w:szCs w:val="28"/>
          <w:rtl/>
        </w:rPr>
        <w:t xml:space="preserve">ابي حنيفة، ج 16، ص 465. .</w:t>
      </w:r>
    </w:p>
    <w:p>
      <w:pPr>
        <w:pStyle w:val="Heading2"/>
      </w:pPr>
      <w:bookmarkStart w:id="2510" w:name="_Toc1612"/>
      <w:r>
        <w:t>بابرتي ، محمّد بن ولي قرن 13 ه-</w:t>
      </w:r>
      <w:bookmarkEnd w:id="2510"/>
    </w:p>
    <w:p>
      <w:pPr>
        <w:pStyle w:val="BookText"/>
      </w:pPr>
      <w:r>
        <w:rPr>
          <w:rFonts w:ascii="Amiri" w:hAnsi="Amiri" w:eastAsia="Amiri" w:cs="Amiri"/>
          <w:lang w:bidi="ar-SA"/>
          <w:color w:val="111111"/>
          <w:sz w:val="28"/>
          <w:szCs w:val="28"/>
          <w:rtl/>
        </w:rPr>
        <w:t xml:space="preserve">مختصر في الحديث، ج 14، ص 212.</w:t>
      </w:r>
    </w:p>
    <w:p>
      <w:pPr>
        <w:pStyle w:val="Heading2"/>
      </w:pPr>
      <w:bookmarkStart w:id="2511" w:name="_Toc1613"/>
      <w:r>
        <w:t>بابلي ، عطارد بن محمّد - 206 ه-</w:t>
      </w:r>
      <w:bookmarkEnd w:id="2511"/>
    </w:p>
    <w:p>
      <w:pPr>
        <w:pStyle w:val="BookText"/>
      </w:pPr>
      <w:r>
        <w:rPr>
          <w:rFonts w:ascii="Amiri" w:hAnsi="Amiri" w:eastAsia="Amiri" w:cs="Amiri"/>
          <w:lang w:bidi="ar-SA"/>
          <w:color w:val="111111"/>
          <w:sz w:val="28"/>
          <w:szCs w:val="28"/>
          <w:rtl/>
        </w:rPr>
        <w:t xml:space="preserve">المرايا المحرقة = الانوار المشرقة في</w:t>
      </w:r>
    </w:p>
    <w:p>
      <w:pPr>
        <w:pStyle w:val="BookText"/>
      </w:pPr>
      <w:r>
        <w:rPr>
          <w:rFonts w:ascii="Amiri" w:hAnsi="Amiri" w:eastAsia="Amiri" w:cs="Amiri"/>
          <w:lang w:bidi="ar-SA"/>
          <w:color w:val="111111"/>
          <w:sz w:val="28"/>
          <w:szCs w:val="28"/>
          <w:rtl/>
        </w:rPr>
        <w:t xml:space="preserve">عمل المرايا المحرقة، ج 14 ، ص389.</w:t>
      </w:r>
    </w:p>
    <w:p>
      <w:pPr>
        <w:pStyle w:val="Heading2"/>
      </w:pPr>
      <w:bookmarkStart w:id="2512" w:name="_Toc1614"/>
      <w:r>
        <w:t>بابوني ، محمّد بن محمّد</w:t>
      </w:r>
      <w:bookmarkEnd w:id="2512"/>
    </w:p>
    <w:p>
      <w:pPr>
        <w:pStyle w:val="BookText"/>
      </w:pPr>
      <w:r>
        <w:rPr>
          <w:rFonts w:ascii="Amiri" w:hAnsi="Amiri" w:eastAsia="Amiri" w:cs="Amiri"/>
          <w:lang w:bidi="ar-SA"/>
          <w:color w:val="111111"/>
          <w:sz w:val="28"/>
          <w:szCs w:val="28"/>
          <w:rtl/>
        </w:rPr>
        <w:t xml:space="preserve">ترجيح المذاهب، ج4، ص 303.</w:t>
      </w:r>
    </w:p>
    <w:p>
      <w:pPr>
        <w:pStyle w:val="Heading2"/>
      </w:pPr>
      <w:bookmarkStart w:id="2513" w:name="_Toc1615"/>
      <w:r>
        <w:t>بابي حلبي عبدالملك بن أبي المني -829ه-</w:t>
      </w:r>
      <w:bookmarkEnd w:id="2513"/>
    </w:p>
    <w:p>
      <w:pPr>
        <w:pStyle w:val="BookText"/>
      </w:pPr>
      <w:r>
        <w:rPr>
          <w:rFonts w:ascii="Amiri" w:hAnsi="Amiri" w:eastAsia="Amiri" w:cs="Amiri"/>
          <w:lang w:bidi="ar-SA"/>
          <w:color w:val="111111"/>
          <w:sz w:val="28"/>
          <w:szCs w:val="28"/>
          <w:rtl/>
        </w:rPr>
        <w:t xml:space="preserve">نزهة الناظرين في الأخبار والآثار المروية عن الأنبياء والصالحين، ج 16،</w:t>
      </w:r>
    </w:p>
    <w:p>
      <w:pPr>
        <w:pStyle w:val="BookText"/>
      </w:pPr>
      <w:r>
        <w:rPr>
          <w:rFonts w:ascii="IRNazanin" w:hAnsi="IRNazanin" w:eastAsia="IRNazanin" w:cs="IRNazanin"/>
          <w:lang w:bidi="fa-IR"/>
          <w:color w:val="111111"/>
          <w:sz w:val="28"/>
          <w:szCs w:val="28"/>
          <w:rtl/>
        </w:rPr>
        <w:t xml:space="preserve">ص 250.</w:t>
      </w:r>
    </w:p>
    <w:p>
      <w:pPr>
        <w:pStyle w:val="Heading2"/>
      </w:pPr>
      <w:bookmarkStart w:id="2514" w:name="_Toc1616"/>
      <w:r>
        <w:t>باجمال محمّد بن عبد الرحمن -1019ه-</w:t>
      </w:r>
      <w:bookmarkEnd w:id="2514"/>
    </w:p>
    <w:p>
      <w:pPr>
        <w:pStyle w:val="BookText"/>
      </w:pPr>
      <w:r>
        <w:rPr>
          <w:rFonts w:ascii="Amiri" w:hAnsi="Amiri" w:eastAsia="Amiri" w:cs="Amiri"/>
          <w:lang w:bidi="ar-SA"/>
          <w:color w:val="111111"/>
          <w:sz w:val="28"/>
          <w:szCs w:val="28"/>
          <w:rtl/>
        </w:rPr>
        <w:t xml:space="preserve">المشكاة الزجاجية في شرح المنظومة</w:t>
      </w:r>
    </w:p>
    <w:p>
      <w:pPr>
        <w:pStyle w:val="BookText"/>
      </w:pPr>
      <w:r>
        <w:rPr>
          <w:rFonts w:ascii="Amiri" w:hAnsi="Amiri" w:eastAsia="Amiri" w:cs="Amiri"/>
          <w:lang w:bidi="ar-SA"/>
          <w:color w:val="111111"/>
          <w:sz w:val="28"/>
          <w:szCs w:val="28"/>
          <w:rtl/>
        </w:rPr>
        <w:t xml:space="preserve">السراجية، ج 14، ص 636.</w:t>
      </w:r>
    </w:p>
    <w:p>
      <w:pPr>
        <w:pStyle w:val="Heading2"/>
      </w:pPr>
      <w:bookmarkStart w:id="2515" w:name="_Toc1617"/>
      <w:r>
        <w:t>باجوري، ابراهيم بن محمّد، 1198 -</w:t>
      </w:r>
      <w:bookmarkEnd w:id="2515"/>
    </w:p>
    <w:p>
      <w:pPr>
        <w:pStyle w:val="BookText"/>
      </w:pPr>
      <w:r>
        <w:rPr>
          <w:rFonts w:ascii="IRNazanin" w:hAnsi="IRNazanin" w:eastAsia="IRNazanin" w:cs="IRNazanin"/>
          <w:lang w:bidi="fa-IR"/>
          <w:color w:val="111111"/>
          <w:sz w:val="28"/>
          <w:szCs w:val="28"/>
          <w:rtl/>
        </w:rPr>
        <w:t xml:space="preserve">1277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الإسعاد على بانت سعاد، ج 2،</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Amiri" w:hAnsi="Amiri" w:eastAsia="Amiri" w:cs="Amiri"/>
          <w:lang w:bidi="ar-SA"/>
          <w:color w:val="111111"/>
          <w:sz w:val="28"/>
          <w:szCs w:val="28"/>
          <w:rtl/>
        </w:rPr>
        <w:t xml:space="preserve">2 .حاشية الباجوري، ج 5، ص 705.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البيجوري في الفقه، جه،</w:t>
      </w:r>
    </w:p>
    <w:p>
      <w:pPr>
        <w:pStyle w:val="BookText"/>
      </w:pPr>
      <w:r>
        <w:rPr>
          <w:rFonts w:ascii="IRNazanin" w:hAnsi="IRNazanin" w:eastAsia="IRNazanin" w:cs="IRNazanin"/>
          <w:lang w:bidi="fa-IR"/>
          <w:color w:val="111111"/>
          <w:sz w:val="28"/>
          <w:szCs w:val="28"/>
          <w:rtl/>
        </w:rPr>
        <w:t xml:space="preserve">ص 712.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متن أبي شجاع = حاشية شرح مختصر ابي شجاع</w:t>
      </w:r>
    </w:p>
    <w:p>
      <w:pPr>
        <w:pStyle w:val="BookText"/>
      </w:pPr>
      <w:r>
        <w:rPr>
          <w:rFonts w:ascii="IRNazanin" w:hAnsi="IRNazanin" w:eastAsia="IRNazanin" w:cs="IRNazanin"/>
          <w:lang w:bidi="fa-IR"/>
          <w:color w:val="111111"/>
          <w:sz w:val="28"/>
          <w:szCs w:val="28"/>
          <w:rtl/>
        </w:rPr>
        <w:t xml:space="preserve">ج 6، ص 165.</w:t>
      </w:r>
    </w:p>
    <w:p>
      <w:pPr>
        <w:pStyle w:val="BookText"/>
      </w:pPr>
      <w:r>
        <w:rPr>
          <w:rFonts w:ascii="Amiri" w:hAnsi="Amiri" w:eastAsia="Amiri" w:cs="Amiri"/>
          <w:lang w:bidi="ar-SA"/>
          <w:color w:val="111111"/>
          <w:sz w:val="28"/>
          <w:szCs w:val="28"/>
          <w:rtl/>
        </w:rPr>
        <w:t xml:space="preserve">5 .حاشية فتح القريب المجيب في شرح</w:t>
      </w:r>
    </w:p>
    <w:p>
      <w:pPr>
        <w:pStyle w:val="BookText"/>
      </w:pPr>
      <w:r>
        <w:rPr>
          <w:rFonts w:ascii="Amiri" w:hAnsi="Amiri" w:eastAsia="Amiri" w:cs="Amiri"/>
          <w:lang w:bidi="ar-SA"/>
          <w:color w:val="111111"/>
          <w:sz w:val="28"/>
          <w:szCs w:val="28"/>
          <w:rtl/>
        </w:rPr>
        <w:t xml:space="preserve">الفاظ التقريب، ج 6، ص 260.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1" w:name="pg7742_69847"/>
    <w:bookmarkEnd w:id="231"/>
    <w:p>
      <w:pPr>
        <w:pStyle w:val="BookText"/>
      </w:pPr>
      <w:r>
        <w:rPr>
          <w:rFonts w:ascii="Amiri" w:hAnsi="Amiri" w:eastAsia="Amiri" w:cs="Amiri"/>
          <w:lang w:bidi="ar-SA"/>
          <w:color w:val="111111"/>
          <w:sz w:val="28"/>
          <w:szCs w:val="28"/>
          <w:rtl/>
        </w:rPr>
        <w:t xml:space="preserve">6 . حاشية مقدمة السنوسي ج6،</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الآجرومية، ج 9، ص 122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فتح رب البرية على الدرة البهية نظم الآجرومية، ج 11، ص 651.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المواهب اللدنية على الشمائل المحمّدية، ج 15، ص 895</w:t>
      </w:r>
    </w:p>
    <w:p>
      <w:pPr>
        <w:pStyle w:val="Heading2"/>
      </w:pPr>
      <w:bookmarkStart w:id="2516" w:name="_Toc1618"/>
      <w:r>
        <w:t>باجي ، سليمان بن خلف، 403 - 474 ه-</w:t>
      </w:r>
      <w:bookmarkEnd w:id="2516"/>
    </w:p>
    <w:p>
      <w:pPr>
        <w:pStyle w:val="BookText"/>
      </w:pPr>
      <w:r>
        <w:rPr>
          <w:rFonts w:ascii="Amiri" w:hAnsi="Amiri" w:eastAsia="Amiri" w:cs="Amiri"/>
          <w:lang w:bidi="ar-SA"/>
          <w:color w:val="111111"/>
          <w:sz w:val="28"/>
          <w:szCs w:val="28"/>
          <w:rtl/>
        </w:rPr>
        <w:t xml:space="preserve">التعديل و التجريح لمن خرج له البخاري في الجامع الصحيح، ج4،</w:t>
      </w:r>
    </w:p>
    <w:p>
      <w:pPr>
        <w:pStyle w:val="BookText"/>
      </w:pPr>
      <w:r>
        <w:rPr>
          <w:rFonts w:ascii="IRNazanin" w:hAnsi="IRNazanin" w:eastAsia="IRNazanin" w:cs="IRNazanin"/>
          <w:lang w:bidi="fa-IR"/>
          <w:color w:val="111111"/>
          <w:sz w:val="28"/>
          <w:szCs w:val="28"/>
          <w:rtl/>
        </w:rPr>
        <w:t xml:space="preserve">ص 463 .</w:t>
      </w:r>
    </w:p>
    <w:p>
      <w:pPr>
        <w:pStyle w:val="Heading2"/>
      </w:pPr>
      <w:bookmarkStart w:id="2517" w:name="_Toc1619"/>
      <w:r>
        <w:t>باخرزي ، علي بن حسن - 467 ه-</w:t>
      </w:r>
      <w:bookmarkEnd w:id="2517"/>
    </w:p>
    <w:p>
      <w:pPr>
        <w:pStyle w:val="BookText"/>
      </w:pPr>
      <w:r>
        <w:rPr>
          <w:rFonts w:ascii="Amiri" w:hAnsi="Amiri" w:eastAsia="Amiri" w:cs="Amiri"/>
          <w:lang w:bidi="ar-SA"/>
          <w:color w:val="111111"/>
          <w:sz w:val="28"/>
          <w:szCs w:val="28"/>
          <w:rtl/>
        </w:rPr>
        <w:t xml:space="preserve">1 .دمية القصر و عصرة اهل العصر</w:t>
      </w:r>
    </w:p>
    <w:p>
      <w:pPr>
        <w:pStyle w:val="BookText"/>
      </w:pPr>
      <w:r>
        <w:rPr>
          <w:rFonts w:ascii="IRNazanin" w:hAnsi="IRNazanin" w:eastAsia="IRNazanin" w:cs="IRNazanin"/>
          <w:lang w:bidi="fa-IR"/>
          <w:color w:val="111111"/>
          <w:sz w:val="28"/>
          <w:szCs w:val="28"/>
          <w:rtl/>
        </w:rPr>
        <w:t xml:space="preserve">ج 7، ص 478 .</w:t>
      </w:r>
    </w:p>
    <w:p>
      <w:pPr>
        <w:pStyle w:val="BookText"/>
      </w:pPr>
      <w:r>
        <w:rPr>
          <w:rFonts w:ascii="IRNazanin" w:hAnsi="IRNazanin" w:eastAsia="IRNazanin" w:cs="IRNazanin"/>
          <w:lang w:bidi="fa-IR"/>
          <w:color w:val="111111"/>
          <w:sz w:val="28"/>
          <w:szCs w:val="28"/>
          <w:rtl/>
        </w:rPr>
        <w:t xml:space="preserve">2 .دیوان باخرزي، ج 7، ص 583.</w:t>
      </w:r>
    </w:p>
    <w:p>
      <w:pPr>
        <w:pStyle w:val="Heading2"/>
      </w:pPr>
      <w:bookmarkStart w:id="2518" w:name="_Toc1620"/>
      <w:r>
        <w:t>باخرزي ، محمّد قاسم بن محمّد صالح</w:t>
      </w:r>
      <w:bookmarkEnd w:id="2518"/>
    </w:p>
    <w:p>
      <w:pPr>
        <w:pStyle w:val="BookText"/>
      </w:pPr>
      <w:r>
        <w:rPr>
          <w:rFonts w:ascii="Amiri" w:hAnsi="Amiri" w:eastAsia="Amiri" w:cs="Amiri"/>
          <w:lang w:bidi="ar-SA"/>
          <w:color w:val="111111"/>
          <w:sz w:val="28"/>
          <w:szCs w:val="28"/>
          <w:rtl/>
        </w:rPr>
        <w:t xml:space="preserve">حاشية حاشية الخيالي على شرح عقائد النسفي، ج 5، ص 809.</w:t>
      </w:r>
    </w:p>
    <w:p>
      <w:pPr>
        <w:pStyle w:val="Heading2"/>
      </w:pPr>
      <w:bookmarkStart w:id="2519" w:name="_Toc1621"/>
      <w:r>
        <w:t>بادري بطرس فرماج</w:t>
      </w:r>
      <w:bookmarkEnd w:id="2519"/>
    </w:p>
    <w:p>
      <w:pPr>
        <w:pStyle w:val="BookText"/>
      </w:pPr>
      <w:r>
        <w:rPr>
          <w:rFonts w:ascii="IRNazanin" w:hAnsi="IRNazanin" w:eastAsia="IRNazanin" w:cs="IRNazanin"/>
          <w:lang w:bidi="fa-IR"/>
          <w:color w:val="111111"/>
          <w:sz w:val="28"/>
          <w:szCs w:val="28"/>
          <w:rtl/>
        </w:rPr>
        <w:t xml:space="preserve">مواعظ، ج 15، ص 864.</w:t>
      </w:r>
    </w:p>
    <w:p>
      <w:pPr>
        <w:pStyle w:val="Heading2"/>
      </w:pPr>
      <w:bookmarkStart w:id="2520" w:name="_Toc1622"/>
      <w:r>
        <w:t>بادكوبه اي علي بن مصطفى -1286ه-</w:t>
      </w:r>
      <w:bookmarkEnd w:id="2520"/>
    </w:p>
    <w:p>
      <w:pPr>
        <w:pStyle w:val="BookText"/>
      </w:pPr>
      <w:r>
        <w:rPr>
          <w:rFonts w:ascii="Amiri" w:hAnsi="Amiri" w:eastAsia="Amiri" w:cs="Amiri"/>
          <w:lang w:bidi="ar-SA"/>
          <w:color w:val="111111"/>
          <w:sz w:val="28"/>
          <w:szCs w:val="28"/>
          <w:rtl/>
        </w:rPr>
        <w:t xml:space="preserve">تجريد اللغات = كالنصاب، ج3،</w:t>
      </w:r>
    </w:p>
    <w:p>
      <w:pPr>
        <w:pStyle w:val="BookText"/>
      </w:pPr>
      <w:r>
        <w:rPr>
          <w:rFonts w:ascii="IRNazanin" w:hAnsi="IRNazanin" w:eastAsia="IRNazanin" w:cs="IRNazanin"/>
          <w:lang w:bidi="fa-IR"/>
          <w:color w:val="111111"/>
          <w:sz w:val="28"/>
          <w:szCs w:val="28"/>
          <w:rtl/>
        </w:rPr>
        <w:t xml:space="preserve">ص 693 .</w:t>
      </w:r>
    </w:p>
    <w:p>
      <w:pPr>
        <w:pStyle w:val="Heading2"/>
      </w:pPr>
      <w:bookmarkStart w:id="2521" w:name="_Toc1623"/>
      <w:r>
        <w:t>بادكوبي ، حافظ</w:t>
      </w:r>
      <w:bookmarkEnd w:id="2521"/>
    </w:p>
    <w:p>
      <w:pPr>
        <w:pStyle w:val="BookText"/>
      </w:pPr>
      <w:r>
        <w:rPr>
          <w:rFonts w:ascii="Amiri" w:hAnsi="Amiri" w:eastAsia="Amiri" w:cs="Amiri"/>
          <w:lang w:bidi="ar-SA"/>
          <w:color w:val="111111"/>
          <w:sz w:val="28"/>
          <w:szCs w:val="28"/>
          <w:rtl/>
        </w:rPr>
        <w:t xml:space="preserve">الكشاف، ج13، ص 157.</w:t>
      </w:r>
    </w:p>
    <w:p>
      <w:pPr>
        <w:pStyle w:val="Heading2"/>
      </w:pPr>
      <w:bookmarkStart w:id="2522" w:name="_Toc1624"/>
      <w:r>
        <w:t>بارزي عجلوني ، سعد الدين</w:t>
      </w:r>
      <w:bookmarkEnd w:id="2522"/>
    </w:p>
    <w:p>
      <w:pPr>
        <w:pStyle w:val="BookText"/>
      </w:pPr>
      <w:r>
        <w:rPr>
          <w:rFonts w:ascii="Amiri" w:hAnsi="Amiri" w:eastAsia="Amiri" w:cs="Amiri"/>
          <w:lang w:bidi="ar-SA"/>
          <w:color w:val="111111"/>
          <w:sz w:val="28"/>
          <w:szCs w:val="28"/>
          <w:rtl/>
        </w:rPr>
        <w:t xml:space="preserve">ما يؤنث و يذكر من جسم الانسان</w:t>
      </w:r>
    </w:p>
    <w:p>
      <w:pPr>
        <w:pStyle w:val="BookText"/>
      </w:pPr>
      <w:r>
        <w:rPr>
          <w:rFonts w:ascii="Amiri" w:hAnsi="Amiri" w:eastAsia="Amiri" w:cs="Amiri"/>
          <w:lang w:bidi="ar-SA"/>
          <w:color w:val="111111"/>
          <w:sz w:val="28"/>
          <w:szCs w:val="28"/>
          <w:rtl/>
        </w:rPr>
        <w:t xml:space="preserve">(منظومة في)، ج13، ص 692 .</w:t>
      </w:r>
    </w:p>
    <w:p>
      <w:pPr>
        <w:pStyle w:val="Heading2"/>
      </w:pPr>
      <w:bookmarkStart w:id="2523" w:name="_Toc1625"/>
      <w:r>
        <w:t>بارع بغدادي ، حسين بن محمّد، 443 -</w:t>
      </w:r>
      <w:bookmarkEnd w:id="2523"/>
    </w:p>
    <w:p>
      <w:pPr>
        <w:pStyle w:val="BookText"/>
      </w:pPr>
      <w:r>
        <w:rPr>
          <w:rFonts w:ascii="IRNazanin" w:hAnsi="IRNazanin" w:eastAsia="IRNazanin" w:cs="IRNazanin"/>
          <w:lang w:bidi="fa-IR"/>
          <w:color w:val="111111"/>
          <w:sz w:val="28"/>
          <w:szCs w:val="28"/>
          <w:rtl/>
        </w:rPr>
        <w:t xml:space="preserve">524 ه-</w:t>
      </w:r>
    </w:p>
    <w:p>
      <w:pPr>
        <w:pStyle w:val="BookText"/>
      </w:pPr>
      <w:r>
        <w:rPr>
          <w:rFonts w:ascii="IRNazanin" w:hAnsi="IRNazanin" w:eastAsia="IRNazanin" w:cs="IRNazanin"/>
          <w:lang w:bidi="fa-IR"/>
          <w:color w:val="111111"/>
          <w:sz w:val="28"/>
          <w:szCs w:val="28"/>
          <w:rtl/>
        </w:rPr>
        <w:t xml:space="preserve">طرائف الطرف، ج10، ص 801.</w:t>
      </w:r>
    </w:p>
    <w:p>
      <w:pPr>
        <w:pStyle w:val="Heading2"/>
      </w:pPr>
      <w:bookmarkStart w:id="2524" w:name="_Toc1626"/>
      <w:r>
        <w:t>بارفروشي مازندراني ، حمزه، قرن 13 ه-</w:t>
      </w:r>
      <w:bookmarkEnd w:id="2524"/>
    </w:p>
    <w:p>
      <w:pPr>
        <w:pStyle w:val="BookText"/>
      </w:pPr>
      <w:r>
        <w:rPr>
          <w:rFonts w:ascii="Amiri" w:hAnsi="Amiri" w:eastAsia="Amiri" w:cs="Amiri"/>
          <w:lang w:bidi="ar-SA"/>
          <w:color w:val="111111"/>
          <w:sz w:val="28"/>
          <w:szCs w:val="28"/>
          <w:rtl/>
        </w:rPr>
        <w:t xml:space="preserve">ذروة التصنيف في حل غوامض التصريف، ج 7، ص 844.</w:t>
      </w:r>
    </w:p>
    <w:p>
      <w:pPr>
        <w:pStyle w:val="Heading2"/>
      </w:pPr>
      <w:bookmarkStart w:id="2525" w:name="_Toc1627"/>
      <w:r>
        <w:t>بار فروشي ، محمّد حسن بن صفرعلي</w:t>
      </w:r>
      <w:bookmarkEnd w:id="2525"/>
    </w:p>
    <w:p>
      <w:pPr>
        <w:pStyle w:val="BookText"/>
      </w:pPr>
      <w:r>
        <w:rPr>
          <w:rFonts w:ascii="IRNazanin" w:hAnsi="IRNazanin" w:eastAsia="IRNazanin" w:cs="IRNazanin"/>
          <w:lang w:bidi="fa-IR"/>
          <w:color w:val="111111"/>
          <w:sz w:val="28"/>
          <w:szCs w:val="28"/>
          <w:rtl/>
        </w:rPr>
        <w:t xml:space="preserve">1345 ه-</w:t>
      </w:r>
    </w:p>
    <w:p>
      <w:pPr>
        <w:pStyle w:val="BookText"/>
      </w:pPr>
      <w:r>
        <w:rPr>
          <w:rFonts w:ascii="Amiri" w:hAnsi="Amiri" w:eastAsia="Amiri" w:cs="Amiri"/>
          <w:lang w:bidi="ar-SA"/>
          <w:color w:val="111111"/>
          <w:sz w:val="28"/>
          <w:szCs w:val="28"/>
          <w:rtl/>
        </w:rPr>
        <w:t xml:space="preserve">حديقة الشيعة، ج 6 ، ص 590.</w:t>
      </w:r>
    </w:p>
    <w:p>
      <w:pPr>
        <w:pStyle w:val="Heading2"/>
      </w:pPr>
      <w:bookmarkStart w:id="2526" w:name="_Toc1628"/>
      <w:r>
        <w:t>باروقي ، علي بن عمر</w:t>
      </w:r>
      <w:bookmarkEnd w:id="2526"/>
    </w:p>
    <w:p>
      <w:pPr>
        <w:pStyle w:val="BookText"/>
      </w:pPr>
      <w:r>
        <w:rPr>
          <w:rFonts w:ascii="Amiri" w:hAnsi="Amiri" w:eastAsia="Amiri" w:cs="Amiri"/>
          <w:lang w:bidi="ar-SA"/>
          <w:color w:val="111111"/>
          <w:sz w:val="28"/>
          <w:szCs w:val="28"/>
          <w:rtl/>
        </w:rPr>
        <w:t xml:space="preserve">ديوان الامير سيف الدين علي المشد</w:t>
      </w:r>
    </w:p>
    <w:p>
      <w:pPr>
        <w:pStyle w:val="BookText"/>
      </w:pPr>
      <w:r>
        <w:rPr>
          <w:rFonts w:ascii="IRNazanin" w:hAnsi="IRNazanin" w:eastAsia="IRNazanin" w:cs="IRNazanin"/>
          <w:lang w:bidi="fa-IR"/>
          <w:color w:val="111111"/>
          <w:sz w:val="28"/>
          <w:szCs w:val="28"/>
          <w:rtl/>
        </w:rPr>
        <w:t xml:space="preserve">ج 7، ص 579 .</w:t>
      </w:r>
    </w:p>
    <w:p>
      <w:pPr>
        <w:pStyle w:val="Heading2"/>
      </w:pPr>
      <w:bookmarkStart w:id="2527" w:name="_Toc1629"/>
      <w:r>
        <w:t>بازقي ، محمّد بن ابراهيم</w:t>
      </w:r>
      <w:bookmarkEnd w:id="2527"/>
    </w:p>
    <w:p>
      <w:pPr>
        <w:pStyle w:val="BookText"/>
      </w:pPr>
      <w:r>
        <w:rPr>
          <w:rFonts w:ascii="Amiri" w:hAnsi="Amiri" w:eastAsia="Amiri" w:cs="Amiri"/>
          <w:lang w:bidi="ar-SA"/>
          <w:color w:val="111111"/>
          <w:sz w:val="28"/>
          <w:szCs w:val="28"/>
          <w:rtl/>
        </w:rPr>
        <w:t xml:space="preserve">الدر الملتقط في تبيين الغلط، ج7،</w:t>
      </w:r>
    </w:p>
    <w:p>
      <w:pPr>
        <w:pStyle w:val="BookText"/>
      </w:pPr>
      <w:r>
        <w:rPr>
          <w:rFonts w:ascii="IRNazanin" w:hAnsi="IRNazanin" w:eastAsia="IRNazanin" w:cs="IRNazanin"/>
          <w:lang w:bidi="fa-IR"/>
          <w:color w:val="111111"/>
          <w:sz w:val="28"/>
          <w:szCs w:val="28"/>
          <w:rtl/>
        </w:rPr>
        <w:t xml:space="preserve">ص 337.</w:t>
      </w:r>
    </w:p>
    <w:p>
      <w:pPr>
        <w:pStyle w:val="Heading2"/>
      </w:pPr>
      <w:bookmarkStart w:id="2528" w:name="_Toc1630"/>
      <w:r>
        <w:t>باز كوكني قرن 14 ه-</w:t>
      </w:r>
      <w:bookmarkEnd w:id="2528"/>
    </w:p>
    <w:p>
      <w:pPr>
        <w:pStyle w:val="BookText"/>
      </w:pPr>
      <w:r>
        <w:rPr>
          <w:rFonts w:ascii="Amiri" w:hAnsi="Amiri" w:eastAsia="Amiri" w:cs="Amiri"/>
          <w:lang w:bidi="ar-SA"/>
          <w:color w:val="111111"/>
          <w:sz w:val="28"/>
          <w:szCs w:val="28"/>
          <w:rtl/>
        </w:rPr>
        <w:t xml:space="preserve">الرد على كتاب لباب المعاني لابي</w:t>
      </w:r>
    </w:p>
    <w:p>
      <w:pPr>
        <w:pStyle w:val="BookText"/>
      </w:pPr>
      <w:r>
        <w:rPr>
          <w:rFonts w:ascii="Amiri" w:hAnsi="Amiri" w:eastAsia="Amiri" w:cs="Amiri"/>
          <w:lang w:bidi="ar-SA"/>
          <w:color w:val="111111"/>
          <w:sz w:val="28"/>
          <w:szCs w:val="28"/>
          <w:rtl/>
        </w:rPr>
        <w:t xml:space="preserve">الهدى الصيادي، ج8، ص100.</w:t>
      </w:r>
    </w:p>
    <w:p>
      <w:pPr>
        <w:pStyle w:val="Heading2"/>
      </w:pPr>
      <w:bookmarkStart w:id="2529" w:name="_Toc1631"/>
      <w:r>
        <w:t>بازلي ، محمّد بن داود، 845 - 925 ه-</w:t>
      </w:r>
      <w:bookmarkEnd w:id="2529"/>
    </w:p>
    <w:p>
      <w:pPr>
        <w:pStyle w:val="BookText"/>
      </w:pPr>
      <w:r>
        <w:rPr>
          <w:rFonts w:ascii="Amiri" w:hAnsi="Amiri" w:eastAsia="Amiri" w:cs="Amiri"/>
          <w:lang w:bidi="ar-SA"/>
          <w:color w:val="111111"/>
          <w:sz w:val="28"/>
          <w:szCs w:val="28"/>
          <w:rtl/>
        </w:rPr>
        <w:t xml:space="preserve">1 .جواب مسألة «لا اله الا الله» التي</w:t>
      </w:r>
    </w:p>
    <w:p>
      <w:pPr>
        <w:pStyle w:val="BookText"/>
      </w:pPr>
      <w:r>
        <w:rPr>
          <w:rFonts w:ascii="Amiri" w:hAnsi="Amiri" w:eastAsia="Amiri" w:cs="Amiri"/>
          <w:lang w:bidi="ar-SA"/>
          <w:color w:val="111111"/>
          <w:sz w:val="28"/>
          <w:szCs w:val="28"/>
          <w:rtl/>
        </w:rPr>
        <w:t xml:space="preserve">اوردها التفتازاني في التلويح جه، ص 511 .</w:t>
      </w:r>
    </w:p>
    <w:p>
      <w:pPr>
        <w:pStyle w:val="BookText"/>
      </w:pPr>
      <w:r>
        <w:rPr>
          <w:rFonts w:ascii="Amiri" w:hAnsi="Amiri" w:eastAsia="Amiri" w:cs="Amiri"/>
          <w:lang w:bidi="ar-SA"/>
          <w:color w:val="111111"/>
          <w:sz w:val="28"/>
          <w:szCs w:val="28"/>
          <w:rtl/>
        </w:rPr>
        <w:t xml:space="preserve">2 .كلمة التوحيد، ج13، ص 374.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ابي الحسن الاشعري، ج 15</w:t>
      </w:r>
    </w:p>
    <w:p>
      <w:pPr>
        <w:pStyle w:val="BookText"/>
      </w:pPr>
      <w:r>
        <w:rPr>
          <w:rFonts w:ascii="IRNazanin" w:hAnsi="IRNazanin" w:eastAsia="IRNazanin" w:cs="IRNazanin"/>
          <w:lang w:bidi="fa-IR"/>
          <w:color w:val="111111"/>
          <w:sz w:val="28"/>
          <w:szCs w:val="28"/>
          <w:rtl/>
        </w:rPr>
        <w:t xml:space="preserve">ص 536.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2" w:name="pg7742_69849"/>
    <w:bookmarkEnd w:id="232"/>
    <w:p>
      <w:pPr>
        <w:pStyle w:val="Heading2"/>
      </w:pPr>
      <w:bookmarkStart w:id="2530" w:name="_Toc1632"/>
      <w:r>
        <w:t>بازياراني ، احمد بن محمّد - 245 ؟ ه-</w:t>
      </w:r>
      <w:bookmarkEnd w:id="2530"/>
    </w:p>
    <w:p>
      <w:pPr>
        <w:pStyle w:val="BookText"/>
      </w:pPr>
      <w:r>
        <w:rPr>
          <w:rFonts w:ascii="Amiri" w:hAnsi="Amiri" w:eastAsia="Amiri" w:cs="Amiri"/>
          <w:lang w:bidi="ar-SA"/>
          <w:color w:val="111111"/>
          <w:sz w:val="28"/>
          <w:szCs w:val="28"/>
          <w:rtl/>
        </w:rPr>
        <w:t xml:space="preserve">احكام القرانات و تحويل سني العالم</w:t>
      </w:r>
    </w:p>
    <w:p>
      <w:pPr>
        <w:pStyle w:val="BookText"/>
      </w:pPr>
      <w:r>
        <w:rPr>
          <w:rFonts w:ascii="Amiri" w:hAnsi="Amiri" w:eastAsia="Amiri" w:cs="Amiri"/>
          <w:lang w:bidi="ar-SA"/>
          <w:color w:val="111111"/>
          <w:sz w:val="28"/>
          <w:szCs w:val="28"/>
          <w:rtl/>
        </w:rPr>
        <w:t xml:space="preserve">اسرار الفلك، ج 1، ص 481.</w:t>
      </w:r>
    </w:p>
    <w:p>
      <w:pPr>
        <w:pStyle w:val="Heading2"/>
      </w:pPr>
      <w:bookmarkStart w:id="2531" w:name="_Toc1633"/>
      <w:r>
        <w:t>بازي ، علي بن حسين - 1387 ه-</w:t>
      </w:r>
      <w:bookmarkEnd w:id="2531"/>
    </w:p>
    <w:p>
      <w:pPr>
        <w:pStyle w:val="BookText"/>
      </w:pPr>
      <w:r>
        <w:rPr>
          <w:rFonts w:ascii="Amiri" w:hAnsi="Amiri" w:eastAsia="Amiri" w:cs="Amiri"/>
          <w:lang w:bidi="ar-SA"/>
          <w:color w:val="111111"/>
          <w:sz w:val="28"/>
          <w:szCs w:val="28"/>
          <w:rtl/>
        </w:rPr>
        <w:t xml:space="preserve">أدب التأريخ، ج 1، ص 586.</w:t>
      </w:r>
    </w:p>
    <w:p>
      <w:pPr>
        <w:pStyle w:val="Heading2"/>
      </w:pPr>
      <w:bookmarkStart w:id="2532" w:name="_Toc1634"/>
      <w:r>
        <w:t>باشقالي ، ملا ابوبكر</w:t>
      </w:r>
      <w:bookmarkEnd w:id="2532"/>
    </w:p>
    <w:p>
      <w:pPr>
        <w:pStyle w:val="BookText"/>
      </w:pPr>
      <w:r>
        <w:rPr>
          <w:rFonts w:ascii="Amiri" w:hAnsi="Amiri" w:eastAsia="Amiri" w:cs="Amiri"/>
          <w:lang w:bidi="ar-SA"/>
          <w:color w:val="111111"/>
          <w:sz w:val="28"/>
          <w:szCs w:val="28"/>
          <w:rtl/>
        </w:rPr>
        <w:t xml:space="preserve">الفتاوى الكبرى الهيثمية (مختصر)</w:t>
      </w:r>
    </w:p>
    <w:p>
      <w:pPr>
        <w:pStyle w:val="BookText"/>
      </w:pPr>
      <w:r>
        <w:rPr>
          <w:rFonts w:ascii="IRNazanin" w:hAnsi="IRNazanin" w:eastAsia="IRNazanin" w:cs="IRNazanin"/>
          <w:lang w:bidi="fa-IR"/>
          <w:color w:val="111111"/>
          <w:sz w:val="28"/>
          <w:szCs w:val="28"/>
          <w:rtl/>
        </w:rPr>
        <w:t xml:space="preserve">ج 11، ص 625.</w:t>
      </w:r>
    </w:p>
    <w:p>
      <w:pPr>
        <w:pStyle w:val="Heading2"/>
      </w:pPr>
      <w:bookmarkStart w:id="2533" w:name="_Toc1635"/>
      <w:r>
        <w:t>با طرقاني ، احمد بن فضل، 372 - 460 ه-</w:t>
      </w:r>
      <w:bookmarkEnd w:id="2533"/>
    </w:p>
    <w:p>
      <w:pPr>
        <w:pStyle w:val="BookText"/>
      </w:pPr>
      <w:r>
        <w:rPr>
          <w:rFonts w:ascii="Amiri" w:hAnsi="Amiri" w:eastAsia="Amiri" w:cs="Amiri"/>
          <w:lang w:bidi="ar-SA"/>
          <w:color w:val="111111"/>
          <w:sz w:val="28"/>
          <w:szCs w:val="28"/>
          <w:rtl/>
        </w:rPr>
        <w:t xml:space="preserve">الامالي مجلس، ج 2، ص728.</w:t>
      </w:r>
    </w:p>
    <w:p>
      <w:pPr>
        <w:pStyle w:val="Heading2"/>
      </w:pPr>
      <w:bookmarkStart w:id="2534" w:name="_Toc1636"/>
      <w:r>
        <w:t>باعبود علوي، جعفر بن صادق - 1170ه-</w:t>
      </w:r>
      <w:bookmarkEnd w:id="2534"/>
    </w:p>
    <w:p>
      <w:pPr>
        <w:pStyle w:val="BookText"/>
      </w:pPr>
      <w:r>
        <w:rPr>
          <w:rFonts w:ascii="Amiri" w:hAnsi="Amiri" w:eastAsia="Amiri" w:cs="Amiri"/>
          <w:lang w:bidi="ar-SA"/>
          <w:color w:val="111111"/>
          <w:sz w:val="28"/>
          <w:szCs w:val="28"/>
          <w:rtl/>
        </w:rPr>
        <w:t xml:space="preserve">1.اجازة، ج 1، ص 209.</w:t>
      </w:r>
    </w:p>
    <w:p>
      <w:pPr>
        <w:pStyle w:val="BookText"/>
      </w:pPr>
      <w:r>
        <w:rPr>
          <w:rFonts w:ascii="Amiri" w:hAnsi="Amiri" w:eastAsia="Amiri" w:cs="Amiri"/>
          <w:lang w:bidi="ar-SA"/>
          <w:color w:val="111111"/>
          <w:sz w:val="28"/>
          <w:szCs w:val="28"/>
          <w:rtl/>
        </w:rPr>
        <w:t xml:space="preserve">2 .تعليقة على بيت من تائية ابن</w:t>
      </w:r>
    </w:p>
    <w:p>
      <w:pPr>
        <w:pStyle w:val="BookText"/>
      </w:pPr>
      <w:r>
        <w:rPr>
          <w:rFonts w:ascii="IRNazanin" w:hAnsi="IRNazanin" w:eastAsia="IRNazanin" w:cs="IRNazanin"/>
          <w:lang w:bidi="fa-IR"/>
          <w:color w:val="111111"/>
          <w:sz w:val="28"/>
          <w:szCs w:val="28"/>
          <w:rtl/>
        </w:rPr>
        <w:t xml:space="preserve">الفارض، ج 4، ص 514.</w:t>
      </w:r>
    </w:p>
    <w:p>
      <w:pPr>
        <w:pStyle w:val="BookText"/>
      </w:pPr>
      <w:r>
        <w:rPr>
          <w:rFonts w:ascii="IRNazanin" w:hAnsi="IRNazanin" w:eastAsia="IRNazanin" w:cs="IRNazanin"/>
          <w:lang w:bidi="fa-IR"/>
          <w:color w:val="111111"/>
          <w:sz w:val="28"/>
          <w:szCs w:val="28"/>
          <w:rtl/>
        </w:rPr>
        <w:t xml:space="preserve">3.رشف السلاف من مشرب الأسلاف</w:t>
      </w:r>
    </w:p>
    <w:p>
      <w:pPr>
        <w:pStyle w:val="BookText"/>
      </w:pPr>
      <w:r>
        <w:rPr>
          <w:rFonts w:ascii="IRNazanin" w:hAnsi="IRNazanin" w:eastAsia="IRNazanin" w:cs="IRNazanin"/>
          <w:lang w:bidi="fa-IR"/>
          <w:color w:val="111111"/>
          <w:sz w:val="28"/>
          <w:szCs w:val="28"/>
          <w:rtl/>
        </w:rPr>
        <w:t xml:space="preserve">ج8، ص312.</w:t>
      </w:r>
    </w:p>
    <w:p>
      <w:pPr>
        <w:pStyle w:val="BookText"/>
      </w:pPr>
      <w:r>
        <w:rPr>
          <w:rFonts w:ascii="IRNazanin" w:hAnsi="IRNazanin" w:eastAsia="IRNazanin" w:cs="IRNazanin"/>
          <w:lang w:bidi="fa-IR"/>
          <w:color w:val="111111"/>
          <w:sz w:val="28"/>
          <w:szCs w:val="28"/>
          <w:rtl/>
        </w:rPr>
        <w:t xml:space="preserve">4 صلوات، ج 10، ص 623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مذكرات، ج 14، ص 338.</w:t>
      </w:r>
    </w:p>
    <w:p>
      <w:pPr>
        <w:pStyle w:val="BookText"/>
      </w:pPr>
      <w:r>
        <w:rPr>
          <w:rFonts w:ascii="Amiri" w:hAnsi="Amiri" w:eastAsia="Amiri" w:cs="Amiri"/>
          <w:lang w:bidi="ar-SA"/>
          <w:color w:val="111111"/>
          <w:sz w:val="28"/>
          <w:szCs w:val="28"/>
          <w:rtl/>
        </w:rPr>
        <w:t xml:space="preserve">6 .المشرب الرايق للواجد الذايق، ج 14،</w:t>
      </w:r>
    </w:p>
    <w:p>
      <w:pPr>
        <w:pStyle w:val="BookText"/>
      </w:pPr>
      <w:r>
        <w:rPr>
          <w:rFonts w:ascii="IRNazanin" w:hAnsi="IRNazanin" w:eastAsia="IRNazanin" w:cs="IRNazanin"/>
          <w:lang w:bidi="fa-IR"/>
          <w:color w:val="111111"/>
          <w:sz w:val="28"/>
          <w:szCs w:val="28"/>
          <w:rtl/>
        </w:rPr>
        <w:t xml:space="preserve">ص 624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النفحة المحمّدية في الطريقة</w:t>
      </w:r>
    </w:p>
    <w:p>
      <w:pPr>
        <w:pStyle w:val="BookText"/>
      </w:pPr>
      <w:r>
        <w:rPr>
          <w:rFonts w:ascii="Amiri" w:hAnsi="Amiri" w:eastAsia="Amiri" w:cs="Amiri"/>
          <w:lang w:bidi="ar-SA"/>
          <w:color w:val="111111"/>
          <w:sz w:val="28"/>
          <w:szCs w:val="28"/>
          <w:rtl/>
        </w:rPr>
        <w:t xml:space="preserve">النقشبندية، ج 16، ص 394 .</w:t>
      </w:r>
    </w:p>
    <w:p>
      <w:pPr>
        <w:pStyle w:val="BookText"/>
      </w:pPr>
      <w:r>
        <w:rPr>
          <w:rFonts w:ascii="Amiri" w:hAnsi="Amiri" w:eastAsia="Amiri" w:cs="Amiri"/>
          <w:lang w:bidi="ar-SA"/>
          <w:color w:val="111111"/>
          <w:sz w:val="28"/>
          <w:szCs w:val="28"/>
          <w:rtl/>
        </w:rPr>
        <w:t xml:space="preserve">باعلوي ، جعفر بن صادق -باعبود علوي ،</w:t>
      </w:r>
    </w:p>
    <w:p>
      <w:pPr>
        <w:pStyle w:val="BookText"/>
      </w:pPr>
      <w:r>
        <w:rPr>
          <w:rFonts w:ascii="IRNazanin" w:hAnsi="IRNazanin" w:eastAsia="IRNazanin" w:cs="IRNazanin"/>
          <w:lang w:bidi="fa-IR"/>
          <w:color w:val="111111"/>
          <w:sz w:val="28"/>
          <w:szCs w:val="28"/>
          <w:rtl/>
        </w:rPr>
        <w:t xml:space="preserve">جعفر بن صادق</w:t>
      </w:r>
    </w:p>
    <w:p>
      <w:pPr>
        <w:pStyle w:val="Heading2"/>
      </w:pPr>
      <w:bookmarkStart w:id="2535" w:name="_Toc1637"/>
      <w:r>
        <w:t>باعلوي ، عبد الله بن جعفر - 1168 ه-</w:t>
      </w:r>
      <w:bookmarkEnd w:id="2535"/>
    </w:p>
    <w:p>
      <w:pPr>
        <w:pStyle w:val="BookText"/>
      </w:pPr>
      <w:r>
        <w:rPr>
          <w:rFonts w:ascii="Amiri" w:hAnsi="Amiri" w:eastAsia="Amiri" w:cs="Amiri"/>
          <w:lang w:bidi="ar-SA"/>
          <w:color w:val="111111"/>
          <w:sz w:val="28"/>
          <w:szCs w:val="28"/>
          <w:rtl/>
        </w:rPr>
        <w:t xml:space="preserve">الحقيقة المحمّدية في كمالات مظهر</w:t>
      </w:r>
    </w:p>
    <w:p>
      <w:pPr>
        <w:pStyle w:val="BookText"/>
      </w:pPr>
      <w:r>
        <w:rPr>
          <w:rFonts w:ascii="Amiri" w:hAnsi="Amiri" w:eastAsia="Amiri" w:cs="Amiri"/>
          <w:lang w:bidi="ar-SA"/>
          <w:color w:val="111111"/>
          <w:sz w:val="28"/>
          <w:szCs w:val="28"/>
          <w:rtl/>
        </w:rPr>
        <w:t xml:space="preserve">محمّد و اسراره الآلهية، ج 6، ص 712.</w:t>
      </w:r>
    </w:p>
    <w:p>
      <w:pPr>
        <w:pStyle w:val="Heading2"/>
      </w:pPr>
      <w:bookmarkStart w:id="2536" w:name="_Toc1638"/>
      <w:r>
        <w:t>باعلوي ، مشيخ، قرن 12 ه-</w:t>
      </w:r>
      <w:bookmarkEnd w:id="2536"/>
    </w:p>
    <w:p>
      <w:pPr>
        <w:pStyle w:val="BookText"/>
      </w:pPr>
      <w:r>
        <w:rPr>
          <w:rFonts w:ascii="Amiri" w:hAnsi="Amiri" w:eastAsia="Amiri" w:cs="Amiri"/>
          <w:lang w:bidi="ar-SA"/>
          <w:color w:val="111111"/>
          <w:sz w:val="28"/>
          <w:szCs w:val="28"/>
          <w:rtl/>
        </w:rPr>
        <w:t xml:space="preserve">مجموعة من الشعر و النثر، ج 14،</w:t>
      </w:r>
    </w:p>
    <w:p>
      <w:pPr>
        <w:pStyle w:val="BookText"/>
      </w:pPr>
      <w:r>
        <w:rPr>
          <w:rFonts w:ascii="IRNazanin" w:hAnsi="IRNazanin" w:eastAsia="IRNazanin" w:cs="IRNazanin"/>
          <w:lang w:bidi="fa-IR"/>
          <w:color w:val="111111"/>
          <w:sz w:val="28"/>
          <w:szCs w:val="28"/>
          <w:rtl/>
        </w:rPr>
        <w:t xml:space="preserve">ص 59.</w:t>
      </w:r>
    </w:p>
    <w:p>
      <w:pPr>
        <w:pStyle w:val="Heading2"/>
      </w:pPr>
      <w:bookmarkStart w:id="2537" w:name="_Toc1639"/>
      <w:r>
        <w:t>باعوني ، محمّد بن احمد - 871 ؟ ه-</w:t>
      </w:r>
      <w:bookmarkEnd w:id="2537"/>
    </w:p>
    <w:p>
      <w:pPr>
        <w:pStyle w:val="BookText"/>
      </w:pPr>
      <w:r>
        <w:rPr>
          <w:rFonts w:ascii="Amiri" w:hAnsi="Amiri" w:eastAsia="Amiri" w:cs="Amiri"/>
          <w:lang w:bidi="ar-SA"/>
          <w:color w:val="111111"/>
          <w:sz w:val="28"/>
          <w:szCs w:val="28"/>
          <w:rtl/>
        </w:rPr>
        <w:t xml:space="preserve">1 .الألفاظ الرائقة و المعاني الرائقة</w:t>
      </w:r>
    </w:p>
    <w:p>
      <w:pPr>
        <w:pStyle w:val="BookText"/>
      </w:pPr>
      <w:r>
        <w:rPr>
          <w:rFonts w:ascii="IRNazanin" w:hAnsi="IRNazanin" w:eastAsia="IRNazanin" w:cs="IRNazanin"/>
          <w:lang w:bidi="fa-IR"/>
          <w:color w:val="111111"/>
          <w:sz w:val="28"/>
          <w:szCs w:val="28"/>
          <w:rtl/>
        </w:rPr>
        <w:t xml:space="preserve">ج 2، ص 675 .</w:t>
      </w:r>
    </w:p>
    <w:p>
      <w:pPr>
        <w:pStyle w:val="BookText"/>
      </w:pPr>
      <w:r>
        <w:rPr>
          <w:rFonts w:ascii="Amiri" w:hAnsi="Amiri" w:eastAsia="Amiri" w:cs="Amiri"/>
          <w:lang w:bidi="ar-SA"/>
          <w:color w:val="111111"/>
          <w:sz w:val="28"/>
          <w:szCs w:val="28"/>
          <w:rtl/>
        </w:rPr>
        <w:t xml:space="preserve">2 .تذكرة الظرفاء بالملوك و الخلفاء</w:t>
      </w:r>
    </w:p>
    <w:p>
      <w:pPr>
        <w:pStyle w:val="BookText"/>
      </w:pPr>
      <w:r>
        <w:rPr>
          <w:rFonts w:ascii="Amiri" w:hAnsi="Amiri" w:eastAsia="Amiri" w:cs="Amiri"/>
          <w:lang w:bidi="ar-SA"/>
          <w:color w:val="111111"/>
          <w:sz w:val="28"/>
          <w:szCs w:val="28"/>
          <w:rtl/>
        </w:rPr>
        <w:t xml:space="preserve">(منظومة) - تحفة الظرفاء في</w:t>
      </w:r>
    </w:p>
    <w:p>
      <w:pPr>
        <w:pStyle w:val="BookText"/>
      </w:pPr>
      <w:r>
        <w:rPr>
          <w:rFonts w:ascii="Amiri" w:hAnsi="Amiri" w:eastAsia="Amiri" w:cs="Amiri"/>
          <w:lang w:bidi="ar-SA"/>
          <w:color w:val="111111"/>
          <w:sz w:val="28"/>
          <w:szCs w:val="28"/>
          <w:rtl/>
        </w:rPr>
        <w:t xml:space="preserve">تواريخ الملوك و الخلفاء، ج 4،</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جواهر المطالب في مناقب الامام علي بن ابي طالب (ع)، ج ،</w:t>
      </w:r>
    </w:p>
    <w:p>
      <w:pPr>
        <w:pStyle w:val="BookText"/>
      </w:pPr>
      <w:r>
        <w:rPr>
          <w:rFonts w:ascii="IRNazanin" w:hAnsi="IRNazanin" w:eastAsia="IRNazanin" w:cs="IRNazanin"/>
          <w:lang w:bidi="fa-IR"/>
          <w:color w:val="111111"/>
          <w:sz w:val="28"/>
          <w:szCs w:val="28"/>
          <w:rtl/>
        </w:rPr>
        <w:t xml:space="preserve">ص 599.</w:t>
      </w:r>
    </w:p>
    <w:p>
      <w:pPr>
        <w:pStyle w:val="BookText"/>
      </w:pPr>
      <w:r>
        <w:rPr>
          <w:rFonts w:ascii="Amiri" w:hAnsi="Amiri" w:eastAsia="Amiri" w:cs="Amiri"/>
          <w:lang w:bidi="ar-SA"/>
          <w:color w:val="111111"/>
          <w:sz w:val="28"/>
          <w:szCs w:val="28"/>
          <w:rtl/>
        </w:rPr>
        <w:t xml:space="preserve">4 .منهل البلاغة، ج 15 ، ص 813.</w:t>
      </w:r>
    </w:p>
    <w:p>
      <w:pPr>
        <w:pStyle w:val="Heading2"/>
      </w:pPr>
      <w:bookmarkStart w:id="2538" w:name="_Toc1640"/>
      <w:r>
        <w:t>باعونيه ، عائشه بنت يوسف - 922 ه-</w:t>
      </w:r>
      <w:bookmarkEnd w:id="2538"/>
    </w:p>
    <w:p>
      <w:pPr>
        <w:pStyle w:val="BookText"/>
      </w:pPr>
      <w:r>
        <w:rPr>
          <w:rFonts w:ascii="Amiri" w:hAnsi="Amiri" w:eastAsia="Amiri" w:cs="Amiri"/>
          <w:lang w:bidi="ar-SA"/>
          <w:color w:val="111111"/>
          <w:sz w:val="28"/>
          <w:szCs w:val="28"/>
          <w:rtl/>
        </w:rPr>
        <w:t xml:space="preserve">1 .بديعة الباعونية بن خليفة، ج3،</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Amiri" w:hAnsi="Amiri" w:eastAsia="Amiri" w:cs="Amiri"/>
          <w:lang w:bidi="ar-SA"/>
          <w:color w:val="111111"/>
          <w:sz w:val="28"/>
          <w:szCs w:val="28"/>
          <w:rtl/>
        </w:rPr>
        <w:t xml:space="preserve">2 .الفتح المبين في مدح الامين، ج11،</w:t>
      </w:r>
    </w:p>
    <w:p>
      <w:pPr>
        <w:pStyle w:val="BookText"/>
      </w:pPr>
      <w:r>
        <w:rPr>
          <w:rFonts w:ascii="IRNazanin" w:hAnsi="IRNazanin" w:eastAsia="IRNazanin" w:cs="IRNazanin"/>
          <w:lang w:bidi="fa-IR"/>
          <w:color w:val="111111"/>
          <w:sz w:val="28"/>
          <w:szCs w:val="28"/>
          <w:rtl/>
        </w:rPr>
        <w:t xml:space="preserve">ص 676.</w:t>
      </w:r>
    </w:p>
    <w:p>
      <w:pPr>
        <w:pStyle w:val="BookText"/>
      </w:pPr>
      <w:r>
        <w:rPr>
          <w:rFonts w:ascii="Amiri" w:hAnsi="Amiri" w:eastAsia="Amiri" w:cs="Amiri"/>
          <w:lang w:bidi="ar-SA"/>
          <w:color w:val="111111"/>
          <w:sz w:val="28"/>
          <w:szCs w:val="28"/>
          <w:rtl/>
        </w:rPr>
        <w:t xml:space="preserve">باغباداراني ، ملا عبد الجواد -اصفهاني ،</w:t>
      </w:r>
    </w:p>
    <w:p>
      <w:pPr>
        <w:pStyle w:val="BookText"/>
      </w:pPr>
      <w:r>
        <w:rPr>
          <w:rFonts w:ascii="Amiri" w:hAnsi="Amiri" w:eastAsia="Amiri" w:cs="Amiri"/>
          <w:lang w:bidi="ar-SA"/>
          <w:color w:val="111111"/>
          <w:sz w:val="28"/>
          <w:szCs w:val="28"/>
          <w:rtl/>
        </w:rPr>
        <w:t xml:space="preserve">عبد الجواد بن عبدالرحيم</w:t>
      </w:r>
    </w:p>
    <w:p>
      <w:pPr>
        <w:pStyle w:val="Heading2"/>
      </w:pPr>
      <w:bookmarkStart w:id="2539" w:name="_Toc1641"/>
      <w:r>
        <w:t>باغنوي شيرازي، مظفر بن محمّد -688ه-</w:t>
      </w:r>
      <w:bookmarkEnd w:id="2539"/>
    </w:p>
    <w:p>
      <w:pPr>
        <w:pStyle w:val="BookText"/>
      </w:pPr>
      <w:r>
        <w:rPr>
          <w:rFonts w:ascii="IRNazanin" w:hAnsi="IRNazanin" w:eastAsia="IRNazanin" w:cs="IRNazanin"/>
          <w:lang w:bidi="fa-IR"/>
          <w:color w:val="111111"/>
          <w:sz w:val="28"/>
          <w:szCs w:val="28"/>
          <w:rtl/>
        </w:rPr>
        <w:t xml:space="preserve">المرموزات العشرون، ج 14، ص 410.</w:t>
      </w:r>
    </w:p>
    <w:p>
      <w:pPr>
        <w:pStyle w:val="BookText"/>
      </w:pPr>
      <w:r>
        <w:rPr>
          <w:rFonts w:ascii="Amiri" w:hAnsi="Amiri" w:eastAsia="Amiri" w:cs="Amiri"/>
          <w:lang w:bidi="ar-SA"/>
          <w:color w:val="111111"/>
          <w:sz w:val="28"/>
          <w:szCs w:val="28"/>
          <w:rtl/>
        </w:rPr>
        <w:t xml:space="preserve">باغنوي ، ميرزا جان- ميرزا جان باغنوي ،</w:t>
      </w:r>
    </w:p>
    <w:p>
      <w:pPr>
        <w:pStyle w:val="BookText"/>
      </w:pPr>
      <w:r>
        <w:rPr>
          <w:rFonts w:ascii="IRNazanin" w:hAnsi="IRNazanin" w:eastAsia="IRNazanin" w:cs="IRNazanin"/>
          <w:lang w:bidi="fa-IR"/>
          <w:color w:val="111111"/>
          <w:sz w:val="28"/>
          <w:szCs w:val="28"/>
          <w:rtl/>
        </w:rPr>
        <w:t xml:space="preserve">حبیب الله بن عبدالله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3" w:name="pg7742_69851"/>
    <w:bookmarkEnd w:id="233"/>
    <w:p>
      <w:pPr>
        <w:pStyle w:val="Heading2"/>
      </w:pPr>
      <w:bookmarkStart w:id="2540" w:name="_Toc1642"/>
      <w:r>
        <w:t>بافضل ، احمد بن عبدالله - 929 ه-</w:t>
      </w:r>
      <w:bookmarkEnd w:id="2540"/>
    </w:p>
    <w:p>
      <w:pPr>
        <w:pStyle w:val="BookText"/>
      </w:pPr>
      <w:r>
        <w:rPr>
          <w:rFonts w:ascii="Amiri" w:hAnsi="Amiri" w:eastAsia="Amiri" w:cs="Amiri"/>
          <w:lang w:bidi="ar-SA"/>
          <w:color w:val="111111"/>
          <w:sz w:val="28"/>
          <w:szCs w:val="28"/>
          <w:rtl/>
        </w:rPr>
        <w:t xml:space="preserve">الحجج القواطع في معرفة الواصل و القاطع، ج1، ص 489.</w:t>
      </w:r>
    </w:p>
    <w:p>
      <w:pPr>
        <w:pStyle w:val="Heading2"/>
      </w:pPr>
      <w:bookmarkStart w:id="2541" w:name="_Toc1643"/>
      <w:r>
        <w:t>بافضل ، عبدالله بن عبد الرحمن 850 -</w:t>
      </w:r>
      <w:bookmarkEnd w:id="2541"/>
    </w:p>
    <w:p>
      <w:pPr>
        <w:pStyle w:val="BookText"/>
      </w:pPr>
      <w:r>
        <w:rPr>
          <w:rFonts w:ascii="IRNazanin" w:hAnsi="IRNazanin" w:eastAsia="IRNazanin" w:cs="IRNazanin"/>
          <w:lang w:bidi="fa-IR"/>
          <w:color w:val="111111"/>
          <w:sz w:val="28"/>
          <w:szCs w:val="28"/>
          <w:rtl/>
        </w:rPr>
        <w:t xml:space="preserve">918 ه-</w:t>
      </w:r>
    </w:p>
    <w:p>
      <w:pPr>
        <w:pStyle w:val="BookText"/>
      </w:pPr>
      <w:r>
        <w:rPr>
          <w:rFonts w:ascii="Amiri" w:hAnsi="Amiri" w:eastAsia="Amiri" w:cs="Amiri"/>
          <w:lang w:bidi="ar-SA"/>
          <w:color w:val="111111"/>
          <w:sz w:val="28"/>
          <w:szCs w:val="28"/>
          <w:rtl/>
        </w:rPr>
        <w:t xml:space="preserve">1 .مشكاة المصابيح بشرح العدة و</w:t>
      </w:r>
    </w:p>
    <w:p>
      <w:pPr>
        <w:pStyle w:val="BookText"/>
      </w:pPr>
      <w:r>
        <w:rPr>
          <w:rFonts w:ascii="Amiri" w:hAnsi="Amiri" w:eastAsia="Amiri" w:cs="Amiri"/>
          <w:lang w:bidi="ar-SA"/>
          <w:color w:val="111111"/>
          <w:sz w:val="28"/>
          <w:szCs w:val="28"/>
          <w:rtl/>
        </w:rPr>
        <w:t xml:space="preserve">السلاح في أحكام النكاح، ج 14،</w:t>
      </w:r>
    </w:p>
    <w:p>
      <w:pPr>
        <w:pStyle w:val="BookText"/>
      </w:pPr>
      <w:r>
        <w:rPr>
          <w:rFonts w:ascii="IRNazanin" w:hAnsi="IRNazanin" w:eastAsia="IRNazanin" w:cs="IRNazanin"/>
          <w:lang w:bidi="fa-IR"/>
          <w:color w:val="111111"/>
          <w:sz w:val="28"/>
          <w:szCs w:val="28"/>
          <w:rtl/>
        </w:rPr>
        <w:t xml:space="preserve">ص 643 .</w:t>
      </w:r>
    </w:p>
    <w:p>
      <w:pPr>
        <w:pStyle w:val="BookText"/>
      </w:pPr>
      <w:r>
        <w:rPr>
          <w:rFonts w:ascii="Amiri" w:hAnsi="Amiri" w:eastAsia="Amiri" w:cs="Amiri"/>
          <w:lang w:bidi="ar-SA"/>
          <w:color w:val="111111"/>
          <w:sz w:val="28"/>
          <w:szCs w:val="28"/>
          <w:rtl/>
        </w:rPr>
        <w:t xml:space="preserve">2 .المقدمة الحضرمية في فقه الشافعية</w:t>
      </w:r>
    </w:p>
    <w:p>
      <w:pPr>
        <w:pStyle w:val="BookText"/>
      </w:pPr>
      <w:r>
        <w:rPr>
          <w:rFonts w:ascii="IRNazanin" w:hAnsi="IRNazanin" w:eastAsia="IRNazanin" w:cs="IRNazanin"/>
          <w:lang w:bidi="fa-IR"/>
          <w:color w:val="111111"/>
          <w:sz w:val="28"/>
          <w:szCs w:val="28"/>
          <w:rtl/>
        </w:rPr>
        <w:t xml:space="preserve">ج 15، ص 357.</w:t>
      </w:r>
    </w:p>
    <w:p>
      <w:pPr>
        <w:pStyle w:val="Heading2"/>
      </w:pPr>
      <w:bookmarkStart w:id="2542" w:name="_Toc1644"/>
      <w:r>
        <w:t>بافضل ، محمّد بن احمد - 903 ه-</w:t>
      </w:r>
      <w:bookmarkEnd w:id="2542"/>
    </w:p>
    <w:p>
      <w:pPr>
        <w:pStyle w:val="BookText"/>
      </w:pPr>
      <w:r>
        <w:rPr>
          <w:rFonts w:ascii="Amiri" w:hAnsi="Amiri" w:eastAsia="Amiri" w:cs="Amiri"/>
          <w:lang w:bidi="ar-SA"/>
          <w:color w:val="111111"/>
          <w:sz w:val="28"/>
          <w:szCs w:val="28"/>
          <w:rtl/>
        </w:rPr>
        <w:t xml:space="preserve">شرح المدخل في علم البلاغه و توابعه</w:t>
      </w:r>
    </w:p>
    <w:p>
      <w:pPr>
        <w:pStyle w:val="BookText"/>
      </w:pPr>
      <w:r>
        <w:rPr>
          <w:rFonts w:ascii="IRNazanin" w:hAnsi="IRNazanin" w:eastAsia="IRNazanin" w:cs="IRNazanin"/>
          <w:lang w:bidi="fa-IR"/>
          <w:color w:val="111111"/>
          <w:sz w:val="28"/>
          <w:szCs w:val="28"/>
          <w:rtl/>
        </w:rPr>
        <w:t xml:space="preserve">ج 10، ص 129.</w:t>
      </w:r>
    </w:p>
    <w:p>
      <w:pPr>
        <w:pStyle w:val="Heading2"/>
      </w:pPr>
      <w:bookmarkStart w:id="2543" w:name="_Toc1645"/>
      <w:r>
        <w:t>بافقي ، عبدالله بن مهدي قرن 13 ه-</w:t>
      </w:r>
      <w:bookmarkEnd w:id="2543"/>
    </w:p>
    <w:p>
      <w:pPr>
        <w:pStyle w:val="BookText"/>
      </w:pPr>
      <w:r>
        <w:rPr>
          <w:rFonts w:ascii="Amiri" w:hAnsi="Amiri" w:eastAsia="Amiri" w:cs="Amiri"/>
          <w:lang w:bidi="ar-SA"/>
          <w:color w:val="111111"/>
          <w:sz w:val="28"/>
          <w:szCs w:val="28"/>
          <w:rtl/>
        </w:rPr>
        <w:t xml:space="preserve">سراج الظلمة و الرحمة، ج 8، ص731 .</w:t>
      </w:r>
    </w:p>
    <w:p>
      <w:pPr>
        <w:pStyle w:val="Heading2"/>
      </w:pPr>
      <w:bookmarkStart w:id="2544" w:name="_Toc1646"/>
      <w:r>
        <w:t>بافقي ، علي بن محمود قرن 11 ه-</w:t>
      </w:r>
      <w:bookmarkEnd w:id="2544"/>
    </w:p>
    <w:p>
      <w:pPr>
        <w:pStyle w:val="BookText"/>
      </w:pPr>
      <w:r>
        <w:rPr>
          <w:rFonts w:ascii="Amiri" w:hAnsi="Amiri" w:eastAsia="Amiri" w:cs="Amiri"/>
          <w:lang w:bidi="ar-SA"/>
          <w:color w:val="111111"/>
          <w:sz w:val="28"/>
          <w:szCs w:val="28"/>
          <w:rtl/>
        </w:rPr>
        <w:t xml:space="preserve">1 .انيس العابدين - انيس الزاهدين</w:t>
      </w:r>
    </w:p>
    <w:p>
      <w:pPr>
        <w:pStyle w:val="BookText"/>
      </w:pPr>
      <w:r>
        <w:rPr>
          <w:rFonts w:ascii="IRNazanin" w:hAnsi="IRNazanin" w:eastAsia="IRNazanin" w:cs="IRNazanin"/>
          <w:lang w:bidi="fa-IR"/>
          <w:color w:val="111111"/>
          <w:sz w:val="28"/>
          <w:szCs w:val="28"/>
          <w:rtl/>
        </w:rPr>
        <w:t xml:space="preserve">ج 3، ص38.</w:t>
      </w:r>
    </w:p>
    <w:p>
      <w:pPr>
        <w:pStyle w:val="BookText"/>
      </w:pPr>
      <w:r>
        <w:rPr>
          <w:rFonts w:ascii="Amiri" w:hAnsi="Amiri" w:eastAsia="Amiri" w:cs="Amiri"/>
          <w:lang w:bidi="ar-SA"/>
          <w:color w:val="111111"/>
          <w:sz w:val="28"/>
          <w:szCs w:val="28"/>
          <w:rtl/>
        </w:rPr>
        <w:t xml:space="preserve">2 .منهاج الفلاح في اعمال السنة = عمل السنة، ج 15 ، ص 771</w:t>
      </w:r>
    </w:p>
    <w:p>
      <w:pPr>
        <w:pStyle w:val="Heading2"/>
      </w:pPr>
      <w:bookmarkStart w:id="2545" w:name="_Toc1647"/>
      <w:r>
        <w:t>بافقي محمّد حكيم بن عبدالله قرن 11 ه-</w:t>
      </w:r>
      <w:bookmarkEnd w:id="2545"/>
    </w:p>
    <w:p>
      <w:pPr>
        <w:pStyle w:val="BookText"/>
      </w:pPr>
      <w:r>
        <w:rPr>
          <w:rFonts w:ascii="Amiri" w:hAnsi="Amiri" w:eastAsia="Amiri" w:cs="Amiri"/>
          <w:lang w:bidi="ar-SA"/>
          <w:color w:val="111111"/>
          <w:sz w:val="28"/>
          <w:szCs w:val="28"/>
          <w:rtl/>
        </w:rPr>
        <w:t xml:space="preserve">مصفاة الحياة، ج 14، ص 750</w:t>
      </w:r>
    </w:p>
    <w:p>
      <w:pPr>
        <w:pStyle w:val="Heading2"/>
      </w:pPr>
      <w:bookmarkStart w:id="2546" w:name="_Toc1648"/>
      <w:r>
        <w:t>باقاني انصاري، نورالدین بن حسين</w:t>
      </w:r>
      <w:bookmarkEnd w:id="2546"/>
    </w:p>
    <w:p>
      <w:pPr>
        <w:pStyle w:val="BookText"/>
      </w:pPr>
      <w:r>
        <w:rPr>
          <w:rFonts w:ascii="IRNazanin" w:hAnsi="IRNazanin" w:eastAsia="IRNazanin" w:cs="IRNazanin"/>
          <w:lang w:bidi="fa-IR"/>
          <w:color w:val="111111"/>
          <w:sz w:val="28"/>
          <w:szCs w:val="28"/>
          <w:rtl/>
        </w:rPr>
        <w:t xml:space="preserve">1003ه-</w:t>
      </w:r>
    </w:p>
    <w:p>
      <w:pPr>
        <w:pStyle w:val="BookText"/>
      </w:pPr>
      <w:r>
        <w:rPr>
          <w:rFonts w:ascii="IRNazanin" w:hAnsi="IRNazanin" w:eastAsia="IRNazanin" w:cs="IRNazanin"/>
          <w:lang w:bidi="fa-IR"/>
          <w:color w:val="111111"/>
          <w:sz w:val="28"/>
          <w:szCs w:val="28"/>
          <w:rtl/>
        </w:rPr>
        <w:t xml:space="preserve">مجرى الانهر على ملتقى الابحر، ج13</w:t>
      </w:r>
    </w:p>
    <w:p>
      <w:pPr>
        <w:pStyle w:val="BookText"/>
      </w:pPr>
      <w:r>
        <w:rPr>
          <w:rFonts w:ascii="IRNazanin" w:hAnsi="IRNazanin" w:eastAsia="IRNazanin" w:cs="IRNazanin"/>
          <w:lang w:bidi="fa-IR"/>
          <w:color w:val="111111"/>
          <w:sz w:val="28"/>
          <w:szCs w:val="28"/>
          <w:rtl/>
        </w:rPr>
        <w:t xml:space="preserve">ص 816.</w:t>
      </w:r>
    </w:p>
    <w:p>
      <w:pPr>
        <w:pStyle w:val="BookText"/>
      </w:pPr>
      <w:r>
        <w:rPr>
          <w:rFonts w:ascii="Amiri" w:hAnsi="Amiri" w:eastAsia="Amiri" w:cs="Amiri"/>
          <w:lang w:bidi="ar-SA"/>
          <w:color w:val="111111"/>
          <w:sz w:val="28"/>
          <w:szCs w:val="28"/>
          <w:rtl/>
        </w:rPr>
        <w:t xml:space="preserve">باقر بن حبيب خفاجي حلي- خفاجي</w:t>
      </w:r>
    </w:p>
    <w:p>
      <w:pPr>
        <w:pStyle w:val="BookText"/>
      </w:pPr>
      <w:r>
        <w:rPr>
          <w:rFonts w:ascii="Amiri" w:hAnsi="Amiri" w:eastAsia="Amiri" w:cs="Amiri"/>
          <w:lang w:bidi="ar-SA"/>
          <w:color w:val="111111"/>
          <w:sz w:val="28"/>
          <w:szCs w:val="28"/>
          <w:rtl/>
        </w:rPr>
        <w:t xml:space="preserve">باقر بن حبيب</w:t>
      </w:r>
    </w:p>
    <w:p>
      <w:pPr>
        <w:pStyle w:val="BookText"/>
      </w:pPr>
      <w:r>
        <w:rPr>
          <w:rFonts w:ascii="Amiri" w:hAnsi="Amiri" w:eastAsia="Amiri" w:cs="Amiri"/>
          <w:lang w:bidi="ar-SA"/>
          <w:color w:val="111111"/>
          <w:sz w:val="28"/>
          <w:szCs w:val="28"/>
          <w:rtl/>
        </w:rPr>
        <w:t xml:space="preserve">باقر بن حسين مولوي نقوي</w:t>
      </w:r>
    </w:p>
    <w:p>
      <w:pPr>
        <w:pStyle w:val="BookText"/>
      </w:pPr>
      <w:r>
        <w:rPr>
          <w:rFonts w:ascii="Amiri" w:hAnsi="Amiri" w:eastAsia="Amiri" w:cs="Amiri"/>
          <w:lang w:bidi="ar-SA"/>
          <w:color w:val="111111"/>
          <w:sz w:val="28"/>
          <w:szCs w:val="28"/>
          <w:rtl/>
        </w:rPr>
        <w:t xml:space="preserve">حائري- مولوي نقوي ، باقر بن حسين</w:t>
      </w:r>
    </w:p>
    <w:p>
      <w:pPr>
        <w:pStyle w:val="BookText"/>
      </w:pPr>
      <w:r>
        <w:rPr>
          <w:rFonts w:ascii="Amiri" w:hAnsi="Amiri" w:eastAsia="Amiri" w:cs="Amiri"/>
          <w:lang w:bidi="ar-SA"/>
          <w:color w:val="111111"/>
          <w:sz w:val="28"/>
          <w:szCs w:val="28"/>
          <w:rtl/>
        </w:rPr>
        <w:t xml:space="preserve">باقر بن شعبان جيلاني رشتي- جيلاني</w:t>
      </w:r>
    </w:p>
    <w:p>
      <w:pPr>
        <w:pStyle w:val="BookText"/>
      </w:pPr>
      <w:r>
        <w:rPr>
          <w:rFonts w:ascii="Amiri" w:hAnsi="Amiri" w:eastAsia="Amiri" w:cs="Amiri"/>
          <w:lang w:bidi="ar-SA"/>
          <w:color w:val="111111"/>
          <w:sz w:val="28"/>
          <w:szCs w:val="28"/>
          <w:rtl/>
        </w:rPr>
        <w:t xml:space="preserve">رشتي ، باقر بن شعبان</w:t>
      </w:r>
    </w:p>
    <w:p>
      <w:pPr>
        <w:pStyle w:val="Heading2"/>
      </w:pPr>
      <w:bookmarkStart w:id="2547" w:name="_Toc1649"/>
      <w:r>
        <w:t>باقر بن عبد محمّد</w:t>
      </w:r>
      <w:bookmarkEnd w:id="2547"/>
    </w:p>
    <w:p>
      <w:pPr>
        <w:pStyle w:val="BookText"/>
      </w:pPr>
      <w:r>
        <w:rPr>
          <w:rFonts w:ascii="IRNazanin" w:hAnsi="IRNazanin" w:eastAsia="IRNazanin" w:cs="IRNazanin"/>
          <w:lang w:bidi="fa-IR"/>
          <w:color w:val="111111"/>
          <w:sz w:val="28"/>
          <w:szCs w:val="28"/>
          <w:rtl/>
        </w:rPr>
        <w:t xml:space="preserve">اسهم الخوارق لفؤاد صاحب الصواعق، ج 2، ص 246.</w:t>
      </w:r>
    </w:p>
    <w:p>
      <w:pPr>
        <w:pStyle w:val="BookText"/>
      </w:pPr>
      <w:r>
        <w:rPr>
          <w:rFonts w:ascii="Amiri" w:hAnsi="Amiri" w:eastAsia="Amiri" w:cs="Amiri"/>
          <w:lang w:bidi="ar-SA"/>
          <w:color w:val="111111"/>
          <w:sz w:val="28"/>
          <w:szCs w:val="28"/>
          <w:rtl/>
        </w:rPr>
        <w:t xml:space="preserve">باقر شريف القرشي - شريف القرشي ، باقر</w:t>
      </w:r>
    </w:p>
    <w:p>
      <w:pPr>
        <w:pStyle w:val="Heading2"/>
      </w:pPr>
      <w:bookmarkStart w:id="2548" w:name="_Toc1650"/>
      <w:r>
        <w:t>باقلابادي احمد بن ابوالحسن قرن 13ه-</w:t>
      </w:r>
      <w:bookmarkEnd w:id="2548"/>
    </w:p>
    <w:p>
      <w:pPr>
        <w:pStyle w:val="BookText"/>
      </w:pPr>
      <w:r>
        <w:rPr>
          <w:rFonts w:ascii="Amiri" w:hAnsi="Amiri" w:eastAsia="Amiri" w:cs="Amiri"/>
          <w:lang w:bidi="ar-SA"/>
          <w:color w:val="111111"/>
          <w:sz w:val="28"/>
          <w:szCs w:val="28"/>
          <w:rtl/>
        </w:rPr>
        <w:t xml:space="preserve">اسامي الشهور (مختصر في)، ج2،</w:t>
      </w:r>
    </w:p>
    <w:p>
      <w:pPr>
        <w:pStyle w:val="BookText"/>
      </w:pPr>
      <w:r>
        <w:rPr>
          <w:rFonts w:ascii="IRNazanin" w:hAnsi="IRNazanin" w:eastAsia="IRNazanin" w:cs="IRNazanin"/>
          <w:lang w:bidi="fa-IR"/>
          <w:color w:val="111111"/>
          <w:sz w:val="28"/>
          <w:szCs w:val="28"/>
          <w:rtl/>
        </w:rPr>
        <w:t xml:space="preserve">ص 80.</w:t>
      </w:r>
    </w:p>
    <w:p>
      <w:pPr>
        <w:pStyle w:val="Heading2"/>
      </w:pPr>
      <w:bookmarkStart w:id="2549" w:name="_Toc1651"/>
      <w:r>
        <w:t>باقوفي ، داود عیسی، 1878 - 1924 م</w:t>
      </w:r>
      <w:bookmarkEnd w:id="2549"/>
    </w:p>
    <w:p>
      <w:pPr>
        <w:pStyle w:val="BookText"/>
      </w:pPr>
      <w:r>
        <w:rPr>
          <w:rFonts w:ascii="Amiri" w:hAnsi="Amiri" w:eastAsia="Amiri" w:cs="Amiri"/>
          <w:lang w:bidi="ar-SA"/>
          <w:color w:val="111111"/>
          <w:sz w:val="28"/>
          <w:szCs w:val="28"/>
          <w:rtl/>
        </w:rPr>
        <w:t xml:space="preserve">سفر في دراسة الطبائع الناطقة و في</w:t>
      </w:r>
    </w:p>
    <w:p>
      <w:pPr>
        <w:pStyle w:val="BookText"/>
      </w:pPr>
      <w:r>
        <w:rPr>
          <w:rFonts w:ascii="Amiri" w:hAnsi="Amiri" w:eastAsia="Amiri" w:cs="Amiri"/>
          <w:lang w:bidi="ar-SA"/>
          <w:color w:val="111111"/>
          <w:sz w:val="28"/>
          <w:szCs w:val="28"/>
          <w:rtl/>
        </w:rPr>
        <w:t xml:space="preserve">الحيوانات = الفيسيولوجيا، ج8، ص 778.</w:t>
      </w:r>
    </w:p>
    <w:p>
      <w:pPr>
        <w:pStyle w:val="BookText"/>
      </w:pPr>
      <w:r>
        <w:rPr>
          <w:rFonts w:ascii="Amiri" w:hAnsi="Amiri" w:eastAsia="Amiri" w:cs="Amiri"/>
          <w:lang w:bidi="ar-SA"/>
          <w:color w:val="111111"/>
          <w:sz w:val="28"/>
          <w:szCs w:val="28"/>
          <w:rtl/>
        </w:rPr>
        <w:t xml:space="preserve">باقي افندي ، محمّد بن عبد الحي- سلطان</w:t>
      </w:r>
    </w:p>
    <w:p>
      <w:pPr>
        <w:pStyle w:val="BookText"/>
      </w:pPr>
      <w:r>
        <w:rPr>
          <w:rFonts w:ascii="IRNazanin" w:hAnsi="IRNazanin" w:eastAsia="IRNazanin" w:cs="IRNazanin"/>
          <w:lang w:bidi="fa-IR"/>
          <w:color w:val="111111"/>
          <w:sz w:val="28"/>
          <w:szCs w:val="28"/>
          <w:rtl/>
        </w:rPr>
        <w:t xml:space="preserve">الشعراء ، محمود بن محمّد</w:t>
      </w:r>
    </w:p>
    <w:p>
      <w:pPr>
        <w:pStyle w:val="BookText"/>
      </w:pPr>
      <w:r>
        <w:rPr>
          <w:rFonts w:ascii="Amiri" w:hAnsi="Amiri" w:eastAsia="Amiri" w:cs="Amiri"/>
          <w:lang w:bidi="ar-SA"/>
          <w:color w:val="111111"/>
          <w:sz w:val="28"/>
          <w:szCs w:val="28"/>
          <w:rtl/>
        </w:rPr>
        <w:t xml:space="preserve">باقي القريشي علي بن الحسين- ابن باقي</w:t>
      </w:r>
    </w:p>
    <w:p>
      <w:pPr>
        <w:pStyle w:val="BookText"/>
      </w:pPr>
      <w:r>
        <w:rPr>
          <w:rFonts w:ascii="Amiri" w:hAnsi="Amiri" w:eastAsia="Amiri" w:cs="Amiri"/>
          <w:lang w:bidi="ar-SA"/>
          <w:color w:val="111111"/>
          <w:sz w:val="28"/>
          <w:szCs w:val="28"/>
          <w:rtl/>
        </w:rPr>
        <w:t xml:space="preserve">، علي بن حسين</w:t>
      </w:r>
    </w:p>
    <w:p>
      <w:pPr>
        <w:pStyle w:val="Heading2"/>
      </w:pPr>
      <w:bookmarkStart w:id="2550" w:name="_Toc1652"/>
      <w:r>
        <w:t>باكثير ، احمد بن فضل، 985 - 1047 ه-</w:t>
      </w:r>
      <w:bookmarkEnd w:id="2550"/>
    </w:p>
    <w:p>
      <w:pPr>
        <w:pStyle w:val="BookText"/>
      </w:pPr>
      <w:r>
        <w:rPr>
          <w:rFonts w:ascii="Amiri" w:hAnsi="Amiri" w:eastAsia="Amiri" w:cs="Amiri"/>
          <w:lang w:bidi="ar-SA"/>
          <w:color w:val="111111"/>
          <w:sz w:val="28"/>
          <w:szCs w:val="28"/>
          <w:rtl/>
        </w:rPr>
        <w:t xml:space="preserve">وسيلة المآل في عد مناقب الآل، ج16،</w:t>
      </w:r>
    </w:p>
    <w:p>
      <w:pPr>
        <w:pStyle w:val="BookText"/>
      </w:pPr>
      <w:r>
        <w:rPr>
          <w:rFonts w:ascii="IRNazanin" w:hAnsi="IRNazanin" w:eastAsia="IRNazanin" w:cs="IRNazanin"/>
          <w:lang w:bidi="fa-IR"/>
          <w:color w:val="111111"/>
          <w:sz w:val="28"/>
          <w:szCs w:val="28"/>
          <w:rtl/>
        </w:rPr>
        <w:t xml:space="preserve">ص 787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4" w:name="pg7742_69853"/>
    <w:bookmarkEnd w:id="234"/>
    <w:p>
      <w:pPr>
        <w:pStyle w:val="Heading2"/>
      </w:pPr>
      <w:bookmarkStart w:id="2551" w:name="_Toc1653"/>
      <w:r>
        <w:t>باكثير ، عبد القادر</w:t>
      </w:r>
      <w:bookmarkEnd w:id="2551"/>
    </w:p>
    <w:p>
      <w:pPr>
        <w:pStyle w:val="BookText"/>
      </w:pPr>
      <w:r>
        <w:rPr>
          <w:rFonts w:ascii="Amiri" w:hAnsi="Amiri" w:eastAsia="Amiri" w:cs="Amiri"/>
          <w:lang w:bidi="ar-SA"/>
          <w:color w:val="111111"/>
          <w:sz w:val="28"/>
          <w:szCs w:val="28"/>
          <w:rtl/>
        </w:rPr>
        <w:t xml:space="preserve">قصيدة فيما يثبت للخيار من البيع</w:t>
      </w:r>
    </w:p>
    <w:p>
      <w:pPr>
        <w:pStyle w:val="BookText"/>
      </w:pPr>
      <w:r>
        <w:rPr>
          <w:rFonts w:ascii="IRNazanin" w:hAnsi="IRNazanin" w:eastAsia="IRNazanin" w:cs="IRNazanin"/>
          <w:lang w:bidi="fa-IR"/>
          <w:color w:val="111111"/>
          <w:sz w:val="28"/>
          <w:szCs w:val="28"/>
          <w:rtl/>
        </w:rPr>
        <w:t xml:space="preserve">ج 12، ص 695.</w:t>
      </w:r>
    </w:p>
    <w:p>
      <w:pPr>
        <w:pStyle w:val="BookText"/>
      </w:pPr>
      <w:r>
        <w:rPr>
          <w:rFonts w:ascii="Amiri" w:hAnsi="Amiri" w:eastAsia="Amiri" w:cs="Amiri"/>
          <w:lang w:bidi="ar-SA"/>
          <w:color w:val="111111"/>
          <w:sz w:val="28"/>
          <w:szCs w:val="28"/>
          <w:rtl/>
        </w:rPr>
        <w:t xml:space="preserve">باكير ، ابوبكر اسحاق- كختاوي ، باكير بن</w:t>
      </w:r>
    </w:p>
    <w:p>
      <w:pPr>
        <w:pStyle w:val="Heading2"/>
      </w:pPr>
      <w:bookmarkStart w:id="2552" w:name="_Toc1654"/>
      <w:r>
        <w:t>بالسي ، محمّد بن عقيل - 729 ه-</w:t>
      </w:r>
      <w:bookmarkEnd w:id="2552"/>
    </w:p>
    <w:p>
      <w:pPr>
        <w:pStyle w:val="BookText"/>
      </w:pPr>
      <w:r>
        <w:rPr>
          <w:rFonts w:ascii="Amiri" w:hAnsi="Amiri" w:eastAsia="Amiri" w:cs="Amiri"/>
          <w:lang w:bidi="ar-SA"/>
          <w:color w:val="111111"/>
          <w:sz w:val="28"/>
          <w:szCs w:val="28"/>
          <w:rtl/>
        </w:rPr>
        <w:t xml:space="preserve">مدخل الراغب في معرفة المذاهب</w:t>
      </w:r>
    </w:p>
    <w:p>
      <w:pPr>
        <w:pStyle w:val="BookText"/>
      </w:pPr>
      <w:r>
        <w:rPr>
          <w:rFonts w:ascii="IRNazanin" w:hAnsi="IRNazanin" w:eastAsia="IRNazanin" w:cs="IRNazanin"/>
          <w:lang w:bidi="fa-IR"/>
          <w:color w:val="111111"/>
          <w:sz w:val="28"/>
          <w:szCs w:val="28"/>
          <w:rtl/>
        </w:rPr>
        <w:t xml:space="preserve">ج 14، ص 329.</w:t>
      </w:r>
    </w:p>
    <w:p>
      <w:pPr>
        <w:pStyle w:val="BookText"/>
      </w:pPr>
      <w:r>
        <w:rPr>
          <w:rFonts w:ascii="IRNazanin" w:hAnsi="IRNazanin" w:eastAsia="IRNazanin" w:cs="IRNazanin"/>
          <w:lang w:bidi="fa-IR"/>
          <w:color w:val="111111"/>
          <w:sz w:val="28"/>
          <w:szCs w:val="28"/>
          <w:rtl/>
        </w:rPr>
        <w:t xml:space="preserve">بالوي ، حامد بن عبد الفتاح- پالوي</w:t>
      </w:r>
    </w:p>
    <w:p>
      <w:pPr>
        <w:pStyle w:val="BookText"/>
      </w:pPr>
      <w:r>
        <w:rPr>
          <w:rFonts w:ascii="IRNazanin" w:hAnsi="IRNazanin" w:eastAsia="IRNazanin" w:cs="IRNazanin"/>
          <w:lang w:bidi="fa-IR"/>
          <w:color w:val="111111"/>
          <w:sz w:val="28"/>
          <w:szCs w:val="28"/>
          <w:rtl/>
        </w:rPr>
        <w:t xml:space="preserve">حامد بن عبدالفتاح</w:t>
      </w:r>
    </w:p>
    <w:p>
      <w:pPr>
        <w:pStyle w:val="Heading2"/>
      </w:pPr>
      <w:bookmarkStart w:id="2553" w:name="_Toc1655"/>
      <w:r>
        <w:t>بالي خليفه صوفيوي، - 960 ه-</w:t>
      </w:r>
      <w:bookmarkEnd w:id="2553"/>
    </w:p>
    <w:p>
      <w:pPr>
        <w:pStyle w:val="BookText"/>
      </w:pPr>
      <w:r>
        <w:rPr>
          <w:rFonts w:ascii="IRNazanin" w:hAnsi="IRNazanin" w:eastAsia="IRNazanin" w:cs="IRNazanin"/>
          <w:lang w:bidi="fa-IR"/>
          <w:color w:val="111111"/>
          <w:sz w:val="28"/>
          <w:szCs w:val="28"/>
          <w:rtl/>
        </w:rPr>
        <w:t xml:space="preserve">فتوى، ج 11، ص 716.</w:t>
      </w:r>
    </w:p>
    <w:p>
      <w:pPr>
        <w:pStyle w:val="Heading2"/>
      </w:pPr>
      <w:bookmarkStart w:id="2554" w:name="_Toc1656"/>
      <w:r>
        <w:t>باليسي ، محمّد بن علي</w:t>
      </w:r>
      <w:bookmarkEnd w:id="2554"/>
    </w:p>
    <w:p>
      <w:pPr>
        <w:pStyle w:val="BookText"/>
      </w:pPr>
      <w:r>
        <w:rPr>
          <w:rFonts w:ascii="IRNazanin" w:hAnsi="IRNazanin" w:eastAsia="IRNazanin" w:cs="IRNazanin"/>
          <w:lang w:bidi="fa-IR"/>
          <w:color w:val="111111"/>
          <w:sz w:val="28"/>
          <w:szCs w:val="28"/>
          <w:rtl/>
        </w:rPr>
        <w:t xml:space="preserve">التصوف، ج 4، ص 431 .</w:t>
      </w:r>
    </w:p>
    <w:p>
      <w:pPr>
        <w:pStyle w:val="Heading2"/>
      </w:pPr>
      <w:bookmarkStart w:id="2555" w:name="_Toc1657"/>
      <w:r>
        <w:t>بالي ، محمّد</w:t>
      </w:r>
      <w:bookmarkEnd w:id="2555"/>
    </w:p>
    <w:p>
      <w:pPr>
        <w:pStyle w:val="BookText"/>
      </w:pPr>
      <w:r>
        <w:rPr>
          <w:rFonts w:ascii="Amiri" w:hAnsi="Amiri" w:eastAsia="Amiri" w:cs="Amiri"/>
          <w:lang w:bidi="ar-SA"/>
          <w:color w:val="111111"/>
          <w:sz w:val="28"/>
          <w:szCs w:val="28"/>
          <w:rtl/>
        </w:rPr>
        <w:t xml:space="preserve">حاشية ديباجة تحفة المحتاج، ج5،</w:t>
      </w:r>
    </w:p>
    <w:p>
      <w:pPr>
        <w:pStyle w:val="BookText"/>
      </w:pPr>
      <w:r>
        <w:rPr>
          <w:rFonts w:ascii="IRNazanin" w:hAnsi="IRNazanin" w:eastAsia="IRNazanin" w:cs="IRNazanin"/>
          <w:lang w:bidi="fa-IR"/>
          <w:color w:val="111111"/>
          <w:sz w:val="28"/>
          <w:szCs w:val="28"/>
          <w:rtl/>
        </w:rPr>
        <w:t xml:space="preserve">ص870.</w:t>
      </w:r>
    </w:p>
    <w:p>
      <w:pPr>
        <w:pStyle w:val="Heading2"/>
      </w:pPr>
      <w:bookmarkStart w:id="2556" w:name="_Toc1658"/>
      <w:r>
        <w:t>با مخرمه ، عبدالله بن عمر</w:t>
      </w:r>
      <w:bookmarkEnd w:id="2556"/>
    </w:p>
    <w:p>
      <w:pPr>
        <w:pStyle w:val="BookText"/>
      </w:pPr>
      <w:r>
        <w:rPr>
          <w:rFonts w:ascii="Amiri" w:hAnsi="Amiri" w:eastAsia="Amiri" w:cs="Amiri"/>
          <w:lang w:bidi="ar-SA"/>
          <w:color w:val="111111"/>
          <w:sz w:val="28"/>
          <w:szCs w:val="28"/>
          <w:rtl/>
        </w:rPr>
        <w:t xml:space="preserve">1 .الشامل في دلائل القبلة، ج9،</w:t>
      </w:r>
    </w:p>
    <w:p>
      <w:pPr>
        <w:pStyle w:val="BookText"/>
      </w:pPr>
      <w:r>
        <w:rPr>
          <w:rFonts w:ascii="IRNazanin" w:hAnsi="IRNazanin" w:eastAsia="IRNazanin" w:cs="IRNazanin"/>
          <w:lang w:bidi="fa-IR"/>
          <w:color w:val="111111"/>
          <w:sz w:val="28"/>
          <w:szCs w:val="28"/>
          <w:rtl/>
        </w:rPr>
        <w:t xml:space="preserve">ص 67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مشكاة المصباح لشرح العدة و</w:t>
      </w:r>
    </w:p>
    <w:p>
      <w:pPr>
        <w:pStyle w:val="BookText"/>
      </w:pPr>
      <w:r>
        <w:rPr>
          <w:rFonts w:ascii="IRNazanin" w:hAnsi="IRNazanin" w:eastAsia="IRNazanin" w:cs="IRNazanin"/>
          <w:lang w:bidi="fa-IR"/>
          <w:color w:val="111111"/>
          <w:sz w:val="28"/>
          <w:szCs w:val="28"/>
          <w:rtl/>
        </w:rPr>
        <w:t xml:space="preserve">السلاح، ج 14 ، ص 643 .</w:t>
      </w:r>
    </w:p>
    <w:p>
      <w:pPr>
        <w:pStyle w:val="Heading2"/>
      </w:pPr>
      <w:bookmarkStart w:id="2557" w:name="_Toc1659"/>
      <w:r>
        <w:t>باني، ابراهيم بن محمّد قرن 11 ه-</w:t>
      </w:r>
      <w:bookmarkEnd w:id="2557"/>
    </w:p>
    <w:p>
      <w:pPr>
        <w:pStyle w:val="BookText"/>
      </w:pPr>
      <w:r>
        <w:rPr>
          <w:rFonts w:ascii="Amiri" w:hAnsi="Amiri" w:eastAsia="Amiri" w:cs="Amiri"/>
          <w:lang w:bidi="ar-SA"/>
          <w:color w:val="111111"/>
          <w:sz w:val="28"/>
          <w:szCs w:val="28"/>
          <w:rtl/>
        </w:rPr>
        <w:t xml:space="preserve">مشتهي العارفين بالوصال و السالكين</w:t>
      </w:r>
    </w:p>
    <w:p>
      <w:pPr>
        <w:pStyle w:val="BookText"/>
      </w:pPr>
      <w:r>
        <w:rPr>
          <w:rFonts w:ascii="Amiri" w:hAnsi="Amiri" w:eastAsia="Amiri" w:cs="Amiri"/>
          <w:lang w:bidi="ar-SA"/>
          <w:color w:val="111111"/>
          <w:sz w:val="28"/>
          <w:szCs w:val="28"/>
          <w:rtl/>
        </w:rPr>
        <w:t xml:space="preserve">في طريق الكمال في شرح شمايل الرجال، ج 14 ، ص 622 .</w:t>
      </w:r>
    </w:p>
    <w:p>
      <w:pPr>
        <w:pStyle w:val="BookText"/>
      </w:pPr>
      <w:r>
        <w:rPr>
          <w:rFonts w:ascii="Amiri" w:hAnsi="Amiri" w:eastAsia="Amiri" w:cs="Amiri"/>
          <w:lang w:bidi="ar-SA"/>
          <w:color w:val="111111"/>
          <w:sz w:val="28"/>
          <w:szCs w:val="28"/>
          <w:rtl/>
        </w:rPr>
        <w:t xml:space="preserve">باني ، حسن بن موسى -كردي باني ، حسن</w:t>
      </w:r>
    </w:p>
    <w:p>
      <w:pPr>
        <w:pStyle w:val="BookText"/>
      </w:pPr>
      <w:r>
        <w:rPr>
          <w:rFonts w:ascii="IRNazanin" w:hAnsi="IRNazanin" w:eastAsia="IRNazanin" w:cs="IRNazanin"/>
          <w:lang w:bidi="fa-IR"/>
          <w:color w:val="111111"/>
          <w:sz w:val="28"/>
          <w:szCs w:val="28"/>
          <w:rtl/>
        </w:rPr>
        <w:t xml:space="preserve">اسحاق</w:t>
      </w:r>
    </w:p>
    <w:p>
      <w:pPr>
        <w:pStyle w:val="BookText"/>
      </w:pPr>
      <w:r>
        <w:rPr>
          <w:rFonts w:ascii="IRNazanin" w:hAnsi="IRNazanin" w:eastAsia="IRNazanin" w:cs="IRNazanin"/>
          <w:lang w:bidi="fa-IR"/>
          <w:color w:val="111111"/>
          <w:sz w:val="28"/>
          <w:szCs w:val="28"/>
          <w:rtl/>
        </w:rPr>
        <w:t xml:space="preserve">بن موسى</w:t>
      </w:r>
    </w:p>
    <w:p>
      <w:pPr>
        <w:pStyle w:val="Heading2"/>
      </w:pPr>
      <w:bookmarkStart w:id="2558" w:name="_Toc1660"/>
      <w:r>
        <w:t>باني حلبي، مصطفى - 1091 ه-</w:t>
      </w:r>
      <w:bookmarkEnd w:id="2558"/>
    </w:p>
    <w:p>
      <w:pPr>
        <w:pStyle w:val="BookText"/>
      </w:pPr>
      <w:r>
        <w:rPr>
          <w:rFonts w:ascii="IRNazanin" w:hAnsi="IRNazanin" w:eastAsia="IRNazanin" w:cs="IRNazanin"/>
          <w:lang w:bidi="fa-IR"/>
          <w:color w:val="111111"/>
          <w:sz w:val="28"/>
          <w:szCs w:val="28"/>
          <w:rtl/>
        </w:rPr>
        <w:t xml:space="preserve">نظم، ج 16، ص 326.</w:t>
      </w:r>
    </w:p>
    <w:p>
      <w:pPr>
        <w:pStyle w:val="Heading2"/>
      </w:pPr>
      <w:bookmarkStart w:id="2559" w:name="_Toc1661"/>
      <w:r>
        <w:t>باهلي ، عامر بن حارث</w:t>
      </w:r>
      <w:bookmarkEnd w:id="2559"/>
    </w:p>
    <w:p>
      <w:pPr>
        <w:pStyle w:val="BookText"/>
      </w:pPr>
      <w:r>
        <w:rPr>
          <w:rFonts w:ascii="Amiri" w:hAnsi="Amiri" w:eastAsia="Amiri" w:cs="Amiri"/>
          <w:lang w:bidi="ar-SA"/>
          <w:color w:val="111111"/>
          <w:sz w:val="28"/>
          <w:szCs w:val="28"/>
          <w:rtl/>
        </w:rPr>
        <w:t xml:space="preserve">قصيدة أعشي باهلة في رثاء المنتشر بن</w:t>
      </w:r>
    </w:p>
    <w:p>
      <w:pPr>
        <w:pStyle w:val="BookText"/>
      </w:pPr>
      <w:r>
        <w:rPr>
          <w:rFonts w:ascii="IRNazanin" w:hAnsi="IRNazanin" w:eastAsia="IRNazanin" w:cs="IRNazanin"/>
          <w:lang w:bidi="fa-IR"/>
          <w:color w:val="111111"/>
          <w:sz w:val="28"/>
          <w:szCs w:val="28"/>
          <w:rtl/>
        </w:rPr>
        <w:t xml:space="preserve">وهب، ج 12، ص 651.</w:t>
      </w:r>
    </w:p>
    <w:p>
      <w:pPr>
        <w:pStyle w:val="Heading2"/>
      </w:pPr>
      <w:bookmarkStart w:id="2560" w:name="_Toc1662"/>
      <w:r>
        <w:t>باهلي ، عبد الواحد بن محمّد - 750 ه-</w:t>
      </w:r>
      <w:bookmarkEnd w:id="2560"/>
    </w:p>
    <w:p>
      <w:pPr>
        <w:pStyle w:val="BookText"/>
      </w:pPr>
      <w:r>
        <w:rPr>
          <w:rFonts w:ascii="Amiri" w:hAnsi="Amiri" w:eastAsia="Amiri" w:cs="Amiri"/>
          <w:lang w:bidi="ar-SA"/>
          <w:color w:val="111111"/>
          <w:sz w:val="28"/>
          <w:szCs w:val="28"/>
          <w:rtl/>
        </w:rPr>
        <w:t xml:space="preserve">المنتخب في فضائل القرآن، ج 15</w:t>
      </w:r>
    </w:p>
    <w:p>
      <w:pPr>
        <w:pStyle w:val="BookText"/>
      </w:pPr>
      <w:r>
        <w:rPr>
          <w:rFonts w:ascii="IRNazanin" w:hAnsi="IRNazanin" w:eastAsia="IRNazanin" w:cs="IRNazanin"/>
          <w:lang w:bidi="fa-IR"/>
          <w:color w:val="111111"/>
          <w:sz w:val="28"/>
          <w:szCs w:val="28"/>
          <w:rtl/>
        </w:rPr>
        <w:t xml:space="preserve">ص 611 .</w:t>
      </w:r>
    </w:p>
    <w:p>
      <w:pPr>
        <w:pStyle w:val="Heading2"/>
      </w:pPr>
      <w:bookmarkStart w:id="2561" w:name="_Toc1663"/>
      <w:r>
        <w:t>باهلي ، هلال بن علاء - 280 ه-</w:t>
      </w:r>
      <w:bookmarkEnd w:id="2561"/>
    </w:p>
    <w:p>
      <w:pPr>
        <w:pStyle w:val="BookText"/>
      </w:pPr>
      <w:r>
        <w:rPr>
          <w:rFonts w:ascii="Amiri" w:hAnsi="Amiri" w:eastAsia="Amiri" w:cs="Amiri"/>
          <w:lang w:bidi="ar-SA"/>
          <w:color w:val="111111"/>
          <w:sz w:val="28"/>
          <w:szCs w:val="28"/>
          <w:rtl/>
        </w:rPr>
        <w:t xml:space="preserve">تهذيب حديث زيد بن ابي أنيسة</w:t>
      </w:r>
    </w:p>
    <w:p>
      <w:pPr>
        <w:pStyle w:val="BookText"/>
      </w:pPr>
      <w:r>
        <w:rPr>
          <w:rFonts w:ascii="Amiri" w:hAnsi="Amiri" w:eastAsia="Amiri" w:cs="Amiri"/>
          <w:lang w:bidi="ar-SA"/>
          <w:color w:val="111111"/>
          <w:sz w:val="28"/>
          <w:szCs w:val="28"/>
          <w:rtl/>
        </w:rPr>
        <w:t xml:space="preserve">الزهاوي، ج 5، ص 113.</w:t>
      </w:r>
    </w:p>
    <w:p>
      <w:pPr>
        <w:pStyle w:val="Heading2"/>
      </w:pPr>
      <w:bookmarkStart w:id="2562" w:name="_Toc1664"/>
      <w:r>
        <w:t>بايزيد بسطامي ، طيفور بن عيسى 188؟</w:t>
      </w:r>
      <w:bookmarkEnd w:id="25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261ه-</w:t>
      </w:r>
    </w:p>
    <w:p>
      <w:pPr>
        <w:pStyle w:val="BookText"/>
      </w:pPr>
      <w:r>
        <w:rPr>
          <w:rFonts w:ascii="Amiri" w:hAnsi="Amiri" w:eastAsia="Amiri" w:cs="Amiri"/>
          <w:lang w:bidi="ar-SA"/>
          <w:color w:val="111111"/>
          <w:sz w:val="28"/>
          <w:szCs w:val="28"/>
          <w:rtl/>
        </w:rPr>
        <w:t xml:space="preserve">1 .رزنامة، ج 8، ص117.</w:t>
      </w:r>
    </w:p>
    <w:p>
      <w:pPr>
        <w:pStyle w:val="BookText"/>
      </w:pPr>
      <w:r>
        <w:rPr>
          <w:rFonts w:ascii="Amiri" w:hAnsi="Amiri" w:eastAsia="Amiri" w:cs="Amiri"/>
          <w:lang w:bidi="ar-SA"/>
          <w:color w:val="111111"/>
          <w:sz w:val="28"/>
          <w:szCs w:val="28"/>
          <w:rtl/>
        </w:rPr>
        <w:t xml:space="preserve">2 .كتاب النور من كلمات ابي يزيد</w:t>
      </w:r>
    </w:p>
    <w:p>
      <w:pPr>
        <w:pStyle w:val="BookText"/>
      </w:pPr>
      <w:r>
        <w:rPr>
          <w:rFonts w:ascii="Amiri" w:hAnsi="Amiri" w:eastAsia="Amiri" w:cs="Amiri"/>
          <w:lang w:bidi="ar-SA"/>
          <w:color w:val="111111"/>
          <w:sz w:val="28"/>
          <w:szCs w:val="28"/>
          <w:rtl/>
        </w:rPr>
        <w:t xml:space="preserve">طيفور = مناقب ابي يزيد البسطامي، ج 13، 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مسألة القضاء (رسالة في)، ج 14،</w:t>
      </w:r>
    </w:p>
    <w:p>
      <w:pPr>
        <w:pStyle w:val="BookText"/>
      </w:pPr>
      <w:r>
        <w:rPr>
          <w:rFonts w:ascii="IRNazanin" w:hAnsi="IRNazanin" w:eastAsia="IRNazanin" w:cs="IRNazanin"/>
          <w:lang w:bidi="fa-IR"/>
          <w:color w:val="111111"/>
          <w:sz w:val="28"/>
          <w:szCs w:val="28"/>
          <w:rtl/>
        </w:rPr>
        <w:t xml:space="preserve">ص 546.</w:t>
      </w:r>
    </w:p>
    <w:p>
      <w:pPr>
        <w:pStyle w:val="BookText"/>
      </w:pPr>
      <w:r>
        <w:rPr>
          <w:rFonts w:ascii="Amiri" w:hAnsi="Amiri" w:eastAsia="Amiri" w:cs="Amiri"/>
          <w:lang w:bidi="ar-SA"/>
          <w:color w:val="111111"/>
          <w:sz w:val="28"/>
          <w:szCs w:val="28"/>
          <w:rtl/>
        </w:rPr>
        <w:t xml:space="preserve">4 .مكاتيب، ج 15 ، ص 407.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5" w:name="pg7742_69855"/>
    <w:bookmarkEnd w:id="235"/>
    <w:p>
      <w:pPr>
        <w:pStyle w:val="Heading2"/>
      </w:pPr>
      <w:bookmarkStart w:id="2563" w:name="_Toc1665"/>
      <w:r>
        <w:t>بايزيد ثاني بسطامي ، علي بن عنايت الله قرن 11 ه-</w:t>
      </w:r>
      <w:bookmarkEnd w:id="2563"/>
    </w:p>
    <w:p>
      <w:pPr>
        <w:pStyle w:val="BookText"/>
      </w:pPr>
      <w:r>
        <w:rPr>
          <w:rFonts w:ascii="Amiri" w:hAnsi="Amiri" w:eastAsia="Amiri" w:cs="Amiri"/>
          <w:lang w:bidi="ar-SA"/>
          <w:color w:val="111111"/>
          <w:sz w:val="28"/>
          <w:szCs w:val="28"/>
          <w:rtl/>
        </w:rPr>
        <w:t xml:space="preserve">روضة العارفين = روضة العابدين</w:t>
      </w:r>
    </w:p>
    <w:p>
      <w:pPr>
        <w:pStyle w:val="BookText"/>
      </w:pPr>
      <w:r>
        <w:rPr>
          <w:rFonts w:ascii="IRNazanin" w:hAnsi="IRNazanin" w:eastAsia="IRNazanin" w:cs="IRNazanin"/>
          <w:lang w:bidi="fa-IR"/>
          <w:color w:val="111111"/>
          <w:sz w:val="28"/>
          <w:szCs w:val="28"/>
          <w:rtl/>
        </w:rPr>
        <w:t xml:space="preserve">ج 8، ص 444.</w:t>
      </w:r>
    </w:p>
    <w:p>
      <w:pPr>
        <w:pStyle w:val="Heading2"/>
      </w:pPr>
      <w:bookmarkStart w:id="2564" w:name="_Toc1666"/>
      <w:r>
        <w:t>بايوردي ، اكمل الدين</w:t>
      </w:r>
      <w:bookmarkEnd w:id="25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الوصية، ج 10، ص330.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مذهب ابي حنيفه (رسالة في)، ج 14،</w:t>
      </w:r>
    </w:p>
    <w:p>
      <w:pPr>
        <w:pStyle w:val="BookText"/>
      </w:pPr>
      <w:r>
        <w:rPr>
          <w:rFonts w:ascii="IRNazanin" w:hAnsi="IRNazanin" w:eastAsia="IRNazanin" w:cs="IRNazanin"/>
          <w:lang w:bidi="fa-IR"/>
          <w:color w:val="111111"/>
          <w:sz w:val="28"/>
          <w:szCs w:val="28"/>
          <w:rtl/>
        </w:rPr>
        <w:t xml:space="preserve">ص 341 .</w:t>
      </w:r>
    </w:p>
    <w:p>
      <w:pPr>
        <w:pStyle w:val="BookText"/>
      </w:pPr>
      <w:r>
        <w:rPr>
          <w:rFonts w:ascii="Amiri" w:hAnsi="Amiri" w:eastAsia="Amiri" w:cs="Amiri"/>
          <w:lang w:bidi="ar-SA"/>
          <w:color w:val="111111"/>
          <w:sz w:val="28"/>
          <w:szCs w:val="28"/>
          <w:rtl/>
        </w:rPr>
        <w:t xml:space="preserve">بتالوي ، محمّد بن غلام غوث- قادري</w:t>
      </w:r>
    </w:p>
    <w:p>
      <w:pPr>
        <w:pStyle w:val="BookText"/>
      </w:pPr>
      <w:r>
        <w:rPr>
          <w:rFonts w:ascii="Amiri" w:hAnsi="Amiri" w:eastAsia="Amiri" w:cs="Amiri"/>
          <w:lang w:bidi="ar-SA"/>
          <w:color w:val="111111"/>
          <w:sz w:val="28"/>
          <w:szCs w:val="28"/>
          <w:rtl/>
        </w:rPr>
        <w:t xml:space="preserve">بتالوي ، محمّد بن غلام غوث</w:t>
      </w:r>
    </w:p>
    <w:p>
      <w:pPr>
        <w:pStyle w:val="Heading2"/>
      </w:pPr>
      <w:bookmarkStart w:id="2565" w:name="_Toc1667"/>
      <w:r>
        <w:t>بتروني ، ابوالجود</w:t>
      </w:r>
      <w:bookmarkEnd w:id="2565"/>
    </w:p>
    <w:p>
      <w:pPr>
        <w:pStyle w:val="BookText"/>
      </w:pPr>
      <w:r>
        <w:rPr>
          <w:rFonts w:ascii="Amiri" w:hAnsi="Amiri" w:eastAsia="Amiri" w:cs="Amiri"/>
          <w:lang w:bidi="ar-SA"/>
          <w:color w:val="111111"/>
          <w:sz w:val="28"/>
          <w:szCs w:val="28"/>
          <w:rtl/>
        </w:rPr>
        <w:t xml:space="preserve">الكوكب المضي، ج 13، ص 475 .</w:t>
      </w:r>
    </w:p>
    <w:p>
      <w:pPr>
        <w:pStyle w:val="Heading2"/>
      </w:pPr>
      <w:bookmarkStart w:id="2566" w:name="_Toc1668"/>
      <w:r>
        <w:t>بتروني ، عبدالرحمن بن محمّد - 977 ه-</w:t>
      </w:r>
      <w:bookmarkEnd w:id="2566"/>
    </w:p>
    <w:p>
      <w:pPr>
        <w:pStyle w:val="BookText"/>
      </w:pPr>
      <w:r>
        <w:rPr>
          <w:rFonts w:ascii="Amiri" w:hAnsi="Amiri" w:eastAsia="Amiri" w:cs="Amiri"/>
          <w:lang w:bidi="ar-SA"/>
          <w:color w:val="111111"/>
          <w:sz w:val="28"/>
          <w:szCs w:val="28"/>
          <w:rtl/>
        </w:rPr>
        <w:t xml:space="preserve">1 .اجازة لعبد الكافي بن تقي الدين الشهير بابن البركات، ج 1، ص278.</w:t>
      </w:r>
    </w:p>
    <w:p>
      <w:pPr>
        <w:pStyle w:val="BookText"/>
      </w:pPr>
      <w:r>
        <w:rPr>
          <w:rFonts w:ascii="Amiri" w:hAnsi="Amiri" w:eastAsia="Amiri" w:cs="Amiri"/>
          <w:lang w:bidi="ar-SA"/>
          <w:color w:val="111111"/>
          <w:sz w:val="28"/>
          <w:szCs w:val="28"/>
          <w:rtl/>
        </w:rPr>
        <w:t xml:space="preserve">2 .شرح العزي في التصريف = شرح</w:t>
      </w:r>
    </w:p>
    <w:p>
      <w:pPr>
        <w:pStyle w:val="BookText"/>
      </w:pPr>
      <w:r>
        <w:rPr>
          <w:rFonts w:ascii="Amiri" w:hAnsi="Amiri" w:eastAsia="Amiri" w:cs="Amiri"/>
          <w:lang w:bidi="ar-SA"/>
          <w:color w:val="111111"/>
          <w:sz w:val="28"/>
          <w:szCs w:val="28"/>
          <w:rtl/>
        </w:rPr>
        <w:t xml:space="preserve">تصريف العزي، ج 9، ص 706.</w:t>
      </w:r>
    </w:p>
    <w:p>
      <w:pPr>
        <w:pStyle w:val="BookText"/>
      </w:pPr>
      <w:r>
        <w:rPr>
          <w:rFonts w:ascii="Amiri" w:hAnsi="Amiri" w:eastAsia="Amiri" w:cs="Amiri"/>
          <w:lang w:bidi="ar-SA"/>
          <w:color w:val="111111"/>
          <w:sz w:val="28"/>
          <w:szCs w:val="28"/>
          <w:rtl/>
        </w:rPr>
        <w:t xml:space="preserve">بتنوني ، علي بن عمر- ابن بتنوني ، علي بن</w:t>
      </w:r>
    </w:p>
    <w:p>
      <w:pPr>
        <w:pStyle w:val="Heading2"/>
      </w:pPr>
      <w:bookmarkStart w:id="2567" w:name="_Toc1669"/>
      <w:r>
        <w:t>بجائي ، عبدالرحمن بن يوسف - 577 ه-</w:t>
      </w:r>
      <w:bookmarkEnd w:id="2567"/>
    </w:p>
    <w:p>
      <w:pPr>
        <w:pStyle w:val="BookText"/>
      </w:pPr>
      <w:r>
        <w:rPr>
          <w:rFonts w:ascii="Amiri" w:hAnsi="Amiri" w:eastAsia="Amiri" w:cs="Amiri"/>
          <w:lang w:bidi="ar-SA"/>
          <w:color w:val="111111"/>
          <w:sz w:val="28"/>
          <w:szCs w:val="28"/>
          <w:rtl/>
        </w:rPr>
        <w:t xml:space="preserve">قطب العارفين، ج 12، ص 745.</w:t>
      </w:r>
    </w:p>
    <w:p>
      <w:pPr>
        <w:pStyle w:val="BookText"/>
      </w:pPr>
      <w:r>
        <w:rPr>
          <w:rFonts w:ascii="Amiri" w:hAnsi="Amiri" w:eastAsia="Amiri" w:cs="Amiri"/>
          <w:lang w:bidi="ar-SA"/>
          <w:color w:val="111111"/>
          <w:sz w:val="28"/>
          <w:szCs w:val="28"/>
          <w:rtl/>
        </w:rPr>
        <w:t xml:space="preserve">بجاني ، شهاب الدين -شهاب الدين بجائي ،</w:t>
      </w:r>
    </w:p>
    <w:p>
      <w:pPr>
        <w:pStyle w:val="BookText"/>
      </w:pPr>
      <w:r>
        <w:rPr>
          <w:rFonts w:ascii="Amiri" w:hAnsi="Amiri" w:eastAsia="Amiri" w:cs="Amiri"/>
          <w:lang w:bidi="ar-SA"/>
          <w:color w:val="111111"/>
          <w:sz w:val="28"/>
          <w:szCs w:val="28"/>
          <w:rtl/>
        </w:rPr>
        <w:t xml:space="preserve">احمد بن علي</w:t>
      </w:r>
    </w:p>
    <w:p>
      <w:pPr>
        <w:pStyle w:val="Heading2"/>
      </w:pPr>
      <w:bookmarkStart w:id="2568" w:name="_Toc1670"/>
      <w:r>
        <w:t>بجلي رازي ، تمام بن محمّد - 414 ه-</w:t>
      </w:r>
      <w:bookmarkEnd w:id="2568"/>
    </w:p>
    <w:p>
      <w:pPr>
        <w:pStyle w:val="BookText"/>
      </w:pPr>
      <w:r>
        <w:rPr>
          <w:rFonts w:ascii="Amiri" w:hAnsi="Amiri" w:eastAsia="Amiri" w:cs="Amiri"/>
          <w:lang w:bidi="ar-SA"/>
          <w:color w:val="111111"/>
          <w:sz w:val="28"/>
          <w:szCs w:val="28"/>
          <w:rtl/>
        </w:rPr>
        <w:t xml:space="preserve">فوائد الرازي، ج 12، ص 204.</w:t>
      </w:r>
    </w:p>
    <w:p>
      <w:pPr>
        <w:pStyle w:val="Heading2"/>
      </w:pPr>
      <w:bookmarkStart w:id="2569" w:name="_Toc1671"/>
      <w:r>
        <w:t>بحاري ، عبدالله بن علي</w:t>
      </w:r>
      <w:bookmarkEnd w:id="2569"/>
    </w:p>
    <w:p>
      <w:pPr>
        <w:pStyle w:val="BookText"/>
      </w:pPr>
      <w:r>
        <w:rPr>
          <w:rFonts w:ascii="Amiri" w:hAnsi="Amiri" w:eastAsia="Amiri" w:cs="Amiri"/>
          <w:lang w:bidi="ar-SA"/>
          <w:color w:val="111111"/>
          <w:sz w:val="28"/>
          <w:szCs w:val="28"/>
          <w:rtl/>
        </w:rPr>
        <w:t xml:space="preserve">شرح الدرة المنطقية، ج 9، ص 455.</w:t>
      </w:r>
    </w:p>
    <w:p>
      <w:pPr>
        <w:pStyle w:val="Heading2"/>
      </w:pPr>
      <w:bookmarkStart w:id="2570" w:name="_Toc1672"/>
      <w:r>
        <w:t>بحتري ، وليد بن عبيد، 206 - 284 ه-</w:t>
      </w:r>
      <w:bookmarkEnd w:id="2570"/>
    </w:p>
    <w:p>
      <w:pPr>
        <w:pStyle w:val="BookText"/>
      </w:pPr>
      <w:r>
        <w:rPr>
          <w:rFonts w:ascii="Amiri" w:hAnsi="Amiri" w:eastAsia="Amiri" w:cs="Amiri"/>
          <w:lang w:bidi="ar-SA"/>
          <w:color w:val="111111"/>
          <w:sz w:val="28"/>
          <w:szCs w:val="28"/>
          <w:rtl/>
        </w:rPr>
        <w:t xml:space="preserve">ديوان بحتري = سلاسل الذهب، ج7،</w:t>
      </w:r>
    </w:p>
    <w:p>
      <w:pPr>
        <w:pStyle w:val="BookText"/>
      </w:pPr>
      <w:r>
        <w:rPr>
          <w:rFonts w:ascii="IRNazanin" w:hAnsi="IRNazanin" w:eastAsia="IRNazanin" w:cs="IRNazanin"/>
          <w:lang w:bidi="fa-IR"/>
          <w:color w:val="111111"/>
          <w:sz w:val="28"/>
          <w:szCs w:val="28"/>
          <w:rtl/>
        </w:rPr>
        <w:t xml:space="preserve">ص 584 .</w:t>
      </w:r>
    </w:p>
    <w:p>
      <w:pPr>
        <w:pStyle w:val="Heading2"/>
      </w:pPr>
      <w:bookmarkStart w:id="2571" w:name="_Toc1673"/>
      <w:r>
        <w:t>بحر آبادي ، محمّد بن يوسف، قرن 10 ه-</w:t>
      </w:r>
      <w:bookmarkEnd w:id="2571"/>
    </w:p>
    <w:p>
      <w:pPr>
        <w:pStyle w:val="BookText"/>
      </w:pPr>
      <w:r>
        <w:rPr>
          <w:rFonts w:ascii="Amiri" w:hAnsi="Amiri" w:eastAsia="Amiri" w:cs="Amiri"/>
          <w:lang w:bidi="ar-SA"/>
          <w:color w:val="111111"/>
          <w:sz w:val="28"/>
          <w:szCs w:val="28"/>
          <w:rtl/>
        </w:rPr>
        <w:t xml:space="preserve">حاشية شرح العقائد النسفية، ج6،</w:t>
      </w:r>
    </w:p>
    <w:p>
      <w:pPr>
        <w:pStyle w:val="BookText"/>
      </w:pPr>
      <w:r>
        <w:rPr>
          <w:rFonts w:ascii="IRNazanin" w:hAnsi="IRNazanin" w:eastAsia="IRNazanin" w:cs="IRNazanin"/>
          <w:lang w:bidi="fa-IR"/>
          <w:color w:val="111111"/>
          <w:sz w:val="28"/>
          <w:szCs w:val="28"/>
          <w:rtl/>
        </w:rPr>
        <w:t xml:space="preserve">ص 151.</w:t>
      </w:r>
    </w:p>
    <w:p>
      <w:pPr>
        <w:pStyle w:val="Heading2"/>
      </w:pPr>
      <w:bookmarkStart w:id="2572" w:name="_Toc1674"/>
      <w:r>
        <w:t>بحر العلوم بروجردي ، حسين بن محمّد</w:t>
      </w:r>
      <w:bookmarkEnd w:id="2572"/>
    </w:p>
    <w:p>
      <w:pPr>
        <w:pStyle w:val="BookText"/>
      </w:pPr>
      <w:r>
        <w:rPr>
          <w:rFonts w:ascii="IRNazanin" w:hAnsi="IRNazanin" w:eastAsia="IRNazanin" w:cs="IRNazanin"/>
          <w:lang w:bidi="fa-IR"/>
          <w:color w:val="111111"/>
          <w:sz w:val="28"/>
          <w:szCs w:val="28"/>
          <w:rtl/>
        </w:rPr>
        <w:t xml:space="preserve">رضا 1221 - 1306ه-</w:t>
      </w:r>
    </w:p>
    <w:p>
      <w:pPr>
        <w:pStyle w:val="BookText"/>
      </w:pPr>
      <w:r>
        <w:rPr>
          <w:rFonts w:ascii="Amiri" w:hAnsi="Amiri" w:eastAsia="Amiri" w:cs="Amiri"/>
          <w:lang w:bidi="ar-SA"/>
          <w:color w:val="111111"/>
          <w:sz w:val="28"/>
          <w:szCs w:val="28"/>
          <w:rtl/>
        </w:rPr>
        <w:t xml:space="preserve">1 .إجازة للسيّد محمود الطالقاني</w:t>
      </w:r>
    </w:p>
    <w:p>
      <w:pPr>
        <w:pStyle w:val="BookText"/>
      </w:pPr>
      <w:r>
        <w:rPr>
          <w:rFonts w:ascii="Amiri" w:hAnsi="Amiri" w:eastAsia="Amiri" w:cs="Amiri"/>
          <w:lang w:bidi="ar-SA"/>
          <w:color w:val="111111"/>
          <w:sz w:val="28"/>
          <w:szCs w:val="28"/>
          <w:rtl/>
        </w:rPr>
        <w:t xml:space="preserve">النجفي، ج 1 ، ص 257.</w:t>
      </w:r>
    </w:p>
    <w:p>
      <w:pPr>
        <w:pStyle w:val="BookText"/>
      </w:pPr>
      <w:r>
        <w:rPr>
          <w:rFonts w:ascii="Amiri" w:hAnsi="Amiri" w:eastAsia="Amiri" w:cs="Amiri"/>
          <w:lang w:bidi="ar-SA"/>
          <w:color w:val="111111"/>
          <w:sz w:val="28"/>
          <w:szCs w:val="28"/>
          <w:rtl/>
        </w:rPr>
        <w:t xml:space="preserve">2 .إجازة للميرزا عبد الوهاب الهمداني</w:t>
      </w:r>
    </w:p>
    <w:p>
      <w:pPr>
        <w:pStyle w:val="BookText"/>
      </w:pPr>
      <w:r>
        <w:rPr>
          <w:rFonts w:ascii="Amiri" w:hAnsi="Amiri" w:eastAsia="Amiri" w:cs="Amiri"/>
          <w:lang w:bidi="ar-SA"/>
          <w:color w:val="111111"/>
          <w:sz w:val="28"/>
          <w:szCs w:val="28"/>
          <w:rtl/>
        </w:rPr>
        <w:t xml:space="preserve">إمام الحرمين، ج1، ص290.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تخميسات لقصائد السيّد مهدي بحر العلوم، ج 4، ص 106.</w:t>
      </w:r>
    </w:p>
    <w:p>
      <w:pPr>
        <w:pStyle w:val="BookText"/>
      </w:pPr>
      <w:r>
        <w:rPr>
          <w:rFonts w:ascii="Amiri" w:hAnsi="Amiri" w:eastAsia="Amiri" w:cs="Amiri"/>
          <w:lang w:bidi="ar-SA"/>
          <w:color w:val="111111"/>
          <w:sz w:val="28"/>
          <w:szCs w:val="28"/>
          <w:rtl/>
        </w:rPr>
        <w:t xml:space="preserve">4 .ديوان بحر العلوم، ج 7، ص 586.</w:t>
      </w:r>
    </w:p>
    <w:p>
      <w:pPr>
        <w:pStyle w:val="BookText"/>
      </w:pPr>
      <w:r>
        <w:rPr>
          <w:rFonts w:ascii="Amiri" w:hAnsi="Amiri" w:eastAsia="Amiri" w:cs="Amiri"/>
          <w:lang w:bidi="ar-SA"/>
          <w:color w:val="111111"/>
          <w:sz w:val="28"/>
          <w:szCs w:val="28"/>
          <w:rtl/>
        </w:rPr>
        <w:t xml:space="preserve">بحر العلوم ، ابراهيم بن حسين- آل</w:t>
      </w:r>
    </w:p>
    <w:p>
      <w:pPr>
        <w:pStyle w:val="BookText"/>
      </w:pPr>
      <w:r>
        <w:rPr>
          <w:rFonts w:ascii="Amiri" w:hAnsi="Amiri" w:eastAsia="Amiri" w:cs="Amiri"/>
          <w:lang w:bidi="ar-SA"/>
          <w:color w:val="111111"/>
          <w:sz w:val="28"/>
          <w:szCs w:val="28"/>
          <w:rtl/>
        </w:rPr>
        <w:t xml:space="preserve">بحر العلوم ، ابراهيم بن حسين</w:t>
      </w:r>
    </w:p>
    <w:p>
      <w:pPr>
        <w:pStyle w:val="Heading2"/>
      </w:pPr>
      <w:bookmarkStart w:id="2573" w:name="_Toc1675"/>
      <w:r>
        <w:t>بحر العلوم، جعفر بن محمّد باقر 1289 -</w:t>
      </w:r>
      <w:bookmarkEnd w:id="2573"/>
    </w:p>
    <w:p>
      <w:pPr>
        <w:pStyle w:val="BookText"/>
      </w:pPr>
      <w:r>
        <w:rPr>
          <w:rFonts w:ascii="IRNazanin" w:hAnsi="IRNazanin" w:eastAsia="IRNazanin" w:cs="IRNazanin"/>
          <w:lang w:bidi="fa-IR"/>
          <w:color w:val="111111"/>
          <w:sz w:val="28"/>
          <w:szCs w:val="28"/>
          <w:rtl/>
        </w:rPr>
        <w:t xml:space="preserve">1377 ه-</w:t>
      </w:r>
    </w:p>
    <w:p>
      <w:pPr>
        <w:pStyle w:val="BookText"/>
      </w:pPr>
      <w:r>
        <w:rPr>
          <w:rFonts w:ascii="Amiri" w:hAnsi="Amiri" w:eastAsia="Amiri" w:cs="Amiri"/>
          <w:lang w:bidi="ar-SA"/>
          <w:color w:val="111111"/>
          <w:sz w:val="28"/>
          <w:szCs w:val="28"/>
          <w:rtl/>
        </w:rPr>
        <w:t xml:space="preserve">اسرار العارفين في شرح دعاء كميل</w:t>
      </w:r>
    </w:p>
    <w:p>
      <w:pPr>
        <w:pStyle w:val="BookText"/>
      </w:pPr>
      <w:r>
        <w:rPr>
          <w:rFonts w:ascii="IRNazanin" w:hAnsi="IRNazanin" w:eastAsia="IRNazanin" w:cs="IRNazanin"/>
          <w:lang w:bidi="fa-IR"/>
          <w:color w:val="111111"/>
          <w:sz w:val="28"/>
          <w:szCs w:val="28"/>
          <w:rtl/>
        </w:rPr>
        <w:t xml:space="preserve">ج 2، ص 174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6" w:name="pg7742_69857"/>
    <w:bookmarkEnd w:id="236"/>
    <w:p>
      <w:pPr>
        <w:pStyle w:val="BookText"/>
      </w:pPr>
      <w:r>
        <w:rPr>
          <w:rFonts w:ascii="Amiri" w:hAnsi="Amiri" w:eastAsia="Amiri" w:cs="Amiri"/>
          <w:lang w:bidi="ar-SA"/>
          <w:color w:val="111111"/>
          <w:sz w:val="28"/>
          <w:szCs w:val="28"/>
          <w:rtl/>
        </w:rPr>
        <w:t xml:space="preserve">بحر العلوم ، حسن بن ابراهيم- آل</w:t>
      </w:r>
    </w:p>
    <w:p>
      <w:pPr>
        <w:pStyle w:val="BookText"/>
      </w:pPr>
      <w:r>
        <w:rPr>
          <w:rFonts w:ascii="Amiri" w:hAnsi="Amiri" w:eastAsia="Amiri" w:cs="Amiri"/>
          <w:lang w:bidi="ar-SA"/>
          <w:color w:val="111111"/>
          <w:sz w:val="28"/>
          <w:szCs w:val="28"/>
          <w:rtl/>
        </w:rPr>
        <w:t xml:space="preserve">بحر العلوم ، حسن بن ابراهيم</w:t>
      </w:r>
    </w:p>
    <w:p>
      <w:pPr>
        <w:pStyle w:val="Heading2"/>
      </w:pPr>
      <w:bookmarkStart w:id="2574" w:name="_Toc1676"/>
      <w:r>
        <w:t>بحر العلوم ، حسن بن محمّد تقي</w:t>
      </w:r>
      <w:bookmarkEnd w:id="2574"/>
    </w:p>
    <w:p>
      <w:pPr>
        <w:pStyle w:val="BookText"/>
      </w:pPr>
      <w:r>
        <w:rPr>
          <w:rFonts w:ascii="IRNazanin" w:hAnsi="IRNazanin" w:eastAsia="IRNazanin" w:cs="IRNazanin"/>
          <w:lang w:bidi="fa-IR"/>
          <w:color w:val="111111"/>
          <w:sz w:val="28"/>
          <w:szCs w:val="28"/>
          <w:rtl/>
        </w:rPr>
        <w:t xml:space="preserve">1298 ه-</w:t>
      </w:r>
    </w:p>
    <w:p>
      <w:pPr>
        <w:pStyle w:val="BookText"/>
      </w:pPr>
      <w:r>
        <w:rPr>
          <w:rFonts w:ascii="Amiri" w:hAnsi="Amiri" w:eastAsia="Amiri" w:cs="Amiri"/>
          <w:lang w:bidi="ar-SA"/>
          <w:color w:val="111111"/>
          <w:sz w:val="28"/>
          <w:szCs w:val="28"/>
          <w:rtl/>
        </w:rPr>
        <w:t xml:space="preserve">اصول الفقه (ارجوزة في)، ج 2، ص 435 .</w:t>
      </w:r>
    </w:p>
    <w:p>
      <w:pPr>
        <w:pStyle w:val="Heading2"/>
      </w:pPr>
      <w:bookmarkStart w:id="2575" w:name="_Toc1677"/>
      <w:r>
        <w:t>بحر العلوم، رضا بن محمّد مهدي 1189 -</w:t>
      </w:r>
      <w:bookmarkEnd w:id="2575"/>
    </w:p>
    <w:p>
      <w:pPr>
        <w:pStyle w:val="BookText"/>
      </w:pPr>
      <w:r>
        <w:rPr>
          <w:rFonts w:ascii="IRNazanin" w:hAnsi="IRNazanin" w:eastAsia="IRNazanin" w:cs="IRNazanin"/>
          <w:lang w:bidi="fa-IR"/>
          <w:color w:val="111111"/>
          <w:sz w:val="28"/>
          <w:szCs w:val="28"/>
          <w:rtl/>
        </w:rPr>
        <w:t xml:space="preserve">1253 ه-</w:t>
      </w:r>
    </w:p>
    <w:p>
      <w:pPr>
        <w:pStyle w:val="BookText"/>
      </w:pPr>
      <w:r>
        <w:rPr>
          <w:rFonts w:ascii="IRNazanin" w:hAnsi="IRNazanin" w:eastAsia="IRNazanin" w:cs="IRNazanin"/>
          <w:lang w:bidi="fa-IR"/>
          <w:color w:val="111111"/>
          <w:sz w:val="28"/>
          <w:szCs w:val="28"/>
          <w:rtl/>
        </w:rPr>
        <w:t xml:space="preserve">1 .الفوائد الأربع، ج 12، ص178.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مجموعة السيّد رضا بحر العلوم</w:t>
      </w:r>
    </w:p>
    <w:p>
      <w:pPr>
        <w:pStyle w:val="BookText"/>
      </w:pPr>
      <w:r>
        <w:rPr>
          <w:rFonts w:ascii="IRNazanin" w:hAnsi="IRNazanin" w:eastAsia="IRNazanin" w:cs="IRNazanin"/>
          <w:lang w:bidi="fa-IR"/>
          <w:color w:val="111111"/>
          <w:sz w:val="28"/>
          <w:szCs w:val="28"/>
          <w:rtl/>
        </w:rPr>
        <w:t xml:space="preserve">ج 14، ص 39.</w:t>
      </w:r>
    </w:p>
    <w:p>
      <w:pPr>
        <w:pStyle w:val="Heading2"/>
      </w:pPr>
      <w:bookmarkStart w:id="2576" w:name="_Toc1678"/>
      <w:r>
        <w:t>بحر العلوم ، علي</w:t>
      </w:r>
      <w:bookmarkEnd w:id="2576"/>
    </w:p>
    <w:p>
      <w:pPr>
        <w:pStyle w:val="BookText"/>
      </w:pPr>
      <w:r>
        <w:rPr>
          <w:rFonts w:ascii="Amiri" w:hAnsi="Amiri" w:eastAsia="Amiri" w:cs="Amiri"/>
          <w:lang w:bidi="ar-SA"/>
          <w:color w:val="111111"/>
          <w:sz w:val="28"/>
          <w:szCs w:val="28"/>
          <w:rtl/>
        </w:rPr>
        <w:t xml:space="preserve">1 .كشف الاسرار في شرح الاظهار</w:t>
      </w:r>
    </w:p>
    <w:p>
      <w:pPr>
        <w:pStyle w:val="BookText"/>
      </w:pPr>
      <w:r>
        <w:rPr>
          <w:rFonts w:ascii="IRNazanin" w:hAnsi="IRNazanin" w:eastAsia="IRNazanin" w:cs="IRNazanin"/>
          <w:lang w:bidi="fa-IR"/>
          <w:color w:val="111111"/>
          <w:sz w:val="28"/>
          <w:szCs w:val="28"/>
          <w:rtl/>
        </w:rPr>
        <w:t xml:space="preserve">ج 13، ص192.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العباد، ج 16، ص 530.</w:t>
      </w:r>
    </w:p>
    <w:p>
      <w:pPr>
        <w:pStyle w:val="Heading2"/>
      </w:pPr>
      <w:bookmarkStart w:id="2577" w:name="_Toc1679"/>
      <w:r>
        <w:t>بحر العلوم، علي بن محمّد رضا 1224 -</w:t>
      </w:r>
      <w:bookmarkEnd w:id="2577"/>
    </w:p>
    <w:p>
      <w:pPr>
        <w:pStyle w:val="BookText"/>
      </w:pPr>
      <w:r>
        <w:rPr>
          <w:rFonts w:ascii="IRNazanin" w:hAnsi="IRNazanin" w:eastAsia="IRNazanin" w:cs="IRNazanin"/>
          <w:lang w:bidi="fa-IR"/>
          <w:color w:val="111111"/>
          <w:sz w:val="28"/>
          <w:szCs w:val="28"/>
          <w:rtl/>
        </w:rPr>
        <w:t xml:space="preserve">1298 ه-</w:t>
      </w:r>
    </w:p>
    <w:p>
      <w:pPr>
        <w:pStyle w:val="BookText"/>
      </w:pPr>
      <w:r>
        <w:rPr>
          <w:rFonts w:ascii="Amiri" w:hAnsi="Amiri" w:eastAsia="Amiri" w:cs="Amiri"/>
          <w:lang w:bidi="ar-SA"/>
          <w:color w:val="111111"/>
          <w:sz w:val="28"/>
          <w:szCs w:val="28"/>
          <w:rtl/>
        </w:rPr>
        <w:t xml:space="preserve">1 .إجازة للشيخ محمّد بهاء الدين صدر الشريعة بن نظام الدولة ج 1، ص 272.</w:t>
      </w:r>
    </w:p>
    <w:p>
      <w:pPr>
        <w:pStyle w:val="BookText"/>
      </w:pPr>
      <w:r>
        <w:rPr>
          <w:rFonts w:ascii="Amiri" w:hAnsi="Amiri" w:eastAsia="Amiri" w:cs="Amiri"/>
          <w:lang w:bidi="ar-SA"/>
          <w:color w:val="111111"/>
          <w:sz w:val="28"/>
          <w:szCs w:val="28"/>
          <w:rtl/>
        </w:rPr>
        <w:t xml:space="preserve">2 .إجازة للملا عباس القزويني، ج 1،</w:t>
      </w:r>
    </w:p>
    <w:p>
      <w:pPr>
        <w:pStyle w:val="BookText"/>
      </w:pPr>
      <w:r>
        <w:rPr>
          <w:rFonts w:ascii="IRNazanin" w:hAnsi="IRNazanin" w:eastAsia="IRNazanin" w:cs="IRNazanin"/>
          <w:lang w:bidi="fa-IR"/>
          <w:color w:val="111111"/>
          <w:sz w:val="28"/>
          <w:szCs w:val="28"/>
          <w:rtl/>
        </w:rPr>
        <w:t xml:space="preserve">ص 288</w:t>
      </w:r>
    </w:p>
    <w:p>
      <w:pPr>
        <w:pStyle w:val="BookText"/>
      </w:pPr>
      <w:r>
        <w:rPr>
          <w:rFonts w:ascii="Amiri" w:hAnsi="Amiri" w:eastAsia="Amiri" w:cs="Amiri"/>
          <w:lang w:bidi="ar-SA"/>
          <w:color w:val="111111"/>
          <w:sz w:val="28"/>
          <w:szCs w:val="28"/>
          <w:rtl/>
        </w:rPr>
        <w:t xml:space="preserve">3 .البرهان القاطع في شرح المختصر</w:t>
      </w:r>
    </w:p>
    <w:p>
      <w:pPr>
        <w:pStyle w:val="BookText"/>
      </w:pPr>
      <w:r>
        <w:rPr>
          <w:rFonts w:ascii="IRNazanin" w:hAnsi="IRNazanin" w:eastAsia="IRNazanin" w:cs="IRNazanin"/>
          <w:lang w:bidi="fa-IR"/>
          <w:color w:val="111111"/>
          <w:sz w:val="28"/>
          <w:szCs w:val="28"/>
          <w:rtl/>
        </w:rPr>
        <w:t xml:space="preserve">النافع، ج 3، ص 314.</w:t>
      </w:r>
    </w:p>
    <w:p>
      <w:pPr>
        <w:pStyle w:val="Heading2"/>
      </w:pPr>
      <w:bookmarkStart w:id="2578" w:name="_Toc1680"/>
      <w:r>
        <w:t>بحر العلوم ، محمّد بن محمّد تقي</w:t>
      </w:r>
      <w:bookmarkEnd w:id="25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1326ه-</w:t>
      </w:r>
    </w:p>
    <w:p>
      <w:pPr>
        <w:pStyle w:val="BookText"/>
      </w:pPr>
      <w:r>
        <w:rPr>
          <w:rFonts w:ascii="Amiri" w:hAnsi="Amiri" w:eastAsia="Amiri" w:cs="Amiri"/>
          <w:lang w:bidi="ar-SA"/>
          <w:color w:val="111111"/>
          <w:sz w:val="28"/>
          <w:szCs w:val="28"/>
          <w:rtl/>
        </w:rPr>
        <w:t xml:space="preserve">1 .بلغة الفقيه، ج3، ص392.</w:t>
      </w:r>
    </w:p>
    <w:p>
      <w:pPr>
        <w:pStyle w:val="BookText"/>
      </w:pPr>
      <w:r>
        <w:rPr>
          <w:rFonts w:ascii="Amiri" w:hAnsi="Amiri" w:eastAsia="Amiri" w:cs="Amiri"/>
          <w:lang w:bidi="ar-SA"/>
          <w:color w:val="111111"/>
          <w:sz w:val="28"/>
          <w:szCs w:val="28"/>
          <w:rtl/>
        </w:rPr>
        <w:t xml:space="preserve">2 .مجالة الحاج في مناسك الحاج</w:t>
      </w:r>
    </w:p>
    <w:p>
      <w:pPr>
        <w:pStyle w:val="BookText"/>
      </w:pPr>
      <w:r>
        <w:rPr>
          <w:rFonts w:ascii="IRNazanin" w:hAnsi="IRNazanin" w:eastAsia="IRNazanin" w:cs="IRNazanin"/>
          <w:lang w:bidi="fa-IR"/>
          <w:color w:val="111111"/>
          <w:sz w:val="28"/>
          <w:szCs w:val="28"/>
          <w:rtl/>
        </w:rPr>
        <w:t xml:space="preserve">ج 13، ص 782.</w:t>
      </w:r>
    </w:p>
    <w:p>
      <w:pPr>
        <w:pStyle w:val="BookText"/>
      </w:pPr>
      <w:r>
        <w:rPr>
          <w:rFonts w:ascii="Amiri" w:hAnsi="Amiri" w:eastAsia="Amiri" w:cs="Amiri"/>
          <w:lang w:bidi="ar-SA"/>
          <w:color w:val="111111"/>
          <w:sz w:val="28"/>
          <w:szCs w:val="28"/>
          <w:rtl/>
        </w:rPr>
        <w:t xml:space="preserve">بحر العلوم ، محمّد تقي بن محمّد رضا -طباطبائي بروجردي ، محمّد تقي بن</w:t>
      </w:r>
    </w:p>
    <w:p>
      <w:pPr>
        <w:pStyle w:val="BookText"/>
      </w:pPr>
      <w:r>
        <w:rPr>
          <w:rFonts w:ascii="Amiri" w:hAnsi="Amiri" w:eastAsia="Amiri" w:cs="Amiri"/>
          <w:lang w:bidi="ar-SA"/>
          <w:color w:val="111111"/>
          <w:sz w:val="28"/>
          <w:szCs w:val="28"/>
          <w:rtl/>
        </w:rPr>
        <w:t xml:space="preserve">محمّدرضا</w:t>
      </w:r>
    </w:p>
    <w:p>
      <w:pPr>
        <w:pStyle w:val="BookText"/>
      </w:pPr>
      <w:r>
        <w:rPr>
          <w:rFonts w:ascii="IRNazanin" w:hAnsi="IRNazanin" w:eastAsia="IRNazanin" w:cs="IRNazanin"/>
          <w:lang w:bidi="fa-IR"/>
          <w:color w:val="111111"/>
          <w:sz w:val="28"/>
          <w:szCs w:val="28"/>
          <w:rtl/>
        </w:rPr>
        <w:t xml:space="preserve">بحر العلوم ، محمّد صادق بن حسن- آل</w:t>
      </w:r>
    </w:p>
    <w:p>
      <w:pPr>
        <w:pStyle w:val="BookText"/>
      </w:pPr>
      <w:r>
        <w:rPr>
          <w:rFonts w:ascii="IRNazanin" w:hAnsi="IRNazanin" w:eastAsia="IRNazanin" w:cs="IRNazanin"/>
          <w:lang w:bidi="fa-IR"/>
          <w:color w:val="111111"/>
          <w:sz w:val="28"/>
          <w:szCs w:val="28"/>
          <w:rtl/>
        </w:rPr>
        <w:t xml:space="preserve">بحر العلوم ، محمّد صادق بن حسن</w:t>
      </w:r>
    </w:p>
    <w:p>
      <w:pPr>
        <w:pStyle w:val="Heading2"/>
      </w:pPr>
      <w:bookmarkStart w:id="2579" w:name="_Toc1681"/>
      <w:r>
        <w:t>بحر العلوم ، محمّد مهدي بن مرتضى 1155-1212ه-</w:t>
      </w:r>
      <w:bookmarkEnd w:id="2579"/>
    </w:p>
    <w:p>
      <w:pPr>
        <w:pStyle w:val="BookText"/>
      </w:pPr>
      <w:r>
        <w:rPr>
          <w:rFonts w:ascii="Amiri" w:hAnsi="Amiri" w:eastAsia="Amiri" w:cs="Amiri"/>
          <w:lang w:bidi="ar-SA"/>
          <w:color w:val="111111"/>
          <w:sz w:val="28"/>
          <w:szCs w:val="28"/>
          <w:rtl/>
        </w:rPr>
        <w:t xml:space="preserve">1 .الاثنى عشريات في المراثي، ج 1،</w:t>
      </w:r>
    </w:p>
    <w:p>
      <w:pPr>
        <w:pStyle w:val="BookText"/>
      </w:pPr>
      <w:r>
        <w:rPr>
          <w:rFonts w:ascii="IRNazanin" w:hAnsi="IRNazanin" w:eastAsia="IRNazanin" w:cs="IRNazanin"/>
          <w:lang w:bidi="fa-IR"/>
          <w:color w:val="111111"/>
          <w:sz w:val="28"/>
          <w:szCs w:val="28"/>
          <w:rtl/>
        </w:rPr>
        <w:t xml:space="preserve">ص 182.</w:t>
      </w:r>
    </w:p>
    <w:p>
      <w:pPr>
        <w:pStyle w:val="BookText"/>
      </w:pPr>
      <w:r>
        <w:rPr>
          <w:rFonts w:ascii="Amiri" w:hAnsi="Amiri" w:eastAsia="Amiri" w:cs="Amiri"/>
          <w:lang w:bidi="ar-SA"/>
          <w:color w:val="111111"/>
          <w:sz w:val="28"/>
          <w:szCs w:val="28"/>
          <w:rtl/>
        </w:rPr>
        <w:t xml:space="preserve">2 .اجازة لحيدر بن حسين الموسوي</w:t>
      </w:r>
    </w:p>
    <w:p>
      <w:pPr>
        <w:pStyle w:val="BookText"/>
      </w:pPr>
      <w:r>
        <w:rPr>
          <w:rFonts w:ascii="Amiri" w:hAnsi="Amiri" w:eastAsia="Amiri" w:cs="Amiri"/>
          <w:lang w:bidi="ar-SA"/>
          <w:color w:val="111111"/>
          <w:sz w:val="28"/>
          <w:szCs w:val="28"/>
          <w:rtl/>
        </w:rPr>
        <w:t xml:space="preserve">اليزدي، ج 1، ص 241.</w:t>
      </w:r>
    </w:p>
    <w:p>
      <w:pPr>
        <w:pStyle w:val="BookText"/>
      </w:pPr>
      <w:r>
        <w:rPr>
          <w:rFonts w:ascii="Amiri" w:hAnsi="Amiri" w:eastAsia="Amiri" w:cs="Amiri"/>
          <w:lang w:bidi="ar-SA"/>
          <w:color w:val="111111"/>
          <w:sz w:val="28"/>
          <w:szCs w:val="28"/>
          <w:rtl/>
        </w:rPr>
        <w:t xml:space="preserve">3 اجازة لدلدار علي بن محمّد معين</w:t>
      </w:r>
    </w:p>
    <w:p>
      <w:pPr>
        <w:pStyle w:val="BookText"/>
      </w:pPr>
      <w:r>
        <w:rPr>
          <w:rFonts w:ascii="Amiri" w:hAnsi="Amiri" w:eastAsia="Amiri" w:cs="Amiri"/>
          <w:lang w:bidi="ar-SA"/>
          <w:color w:val="111111"/>
          <w:sz w:val="28"/>
          <w:szCs w:val="28"/>
          <w:rtl/>
        </w:rPr>
        <w:t xml:space="preserve">نقوي نصيرآبادي، ج 1، ص 243.</w:t>
      </w:r>
    </w:p>
    <w:p>
      <w:pPr>
        <w:pStyle w:val="BookText"/>
      </w:pPr>
      <w:r>
        <w:rPr>
          <w:rFonts w:ascii="Amiri" w:hAnsi="Amiri" w:eastAsia="Amiri" w:cs="Amiri"/>
          <w:lang w:bidi="ar-SA"/>
          <w:color w:val="111111"/>
          <w:sz w:val="28"/>
          <w:szCs w:val="28"/>
          <w:rtl/>
        </w:rPr>
        <w:t xml:space="preserve">4 .اجازة لعبد النبي قزويني، ج 1،</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Amiri" w:hAnsi="Amiri" w:eastAsia="Amiri" w:cs="Amiri"/>
          <w:lang w:bidi="ar-SA"/>
          <w:color w:val="111111"/>
          <w:sz w:val="28"/>
          <w:szCs w:val="28"/>
          <w:rtl/>
        </w:rPr>
        <w:t xml:space="preserve">5.اجازة للسيّد ابي القاسم الخوانساري، ج 1، ص 244.</w:t>
      </w:r>
    </w:p>
    <w:p>
      <w:pPr>
        <w:pStyle w:val="BookText"/>
      </w:pPr>
      <w:r>
        <w:rPr>
          <w:rFonts w:ascii="Amiri" w:hAnsi="Amiri" w:eastAsia="Amiri" w:cs="Amiri"/>
          <w:lang w:bidi="ar-SA"/>
          <w:color w:val="111111"/>
          <w:sz w:val="28"/>
          <w:szCs w:val="28"/>
          <w:rtl/>
        </w:rPr>
        <w:t xml:space="preserve">6 .اجازة للسيّد عبدالكريم بن محمّد</w:t>
      </w:r>
    </w:p>
    <w:p>
      <w:pPr>
        <w:pStyle w:val="BookText"/>
      </w:pPr>
      <w:r>
        <w:rPr>
          <w:rFonts w:ascii="IRNazanin" w:hAnsi="IRNazanin" w:eastAsia="IRNazanin" w:cs="IRNazanin"/>
          <w:lang w:bidi="fa-IR"/>
          <w:color w:val="111111"/>
          <w:sz w:val="28"/>
          <w:szCs w:val="28"/>
          <w:rtl/>
        </w:rPr>
        <w:t xml:space="preserve">بن جواد، ج1، ص 253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اجازة للسيد عبدالكريم جزائري</w:t>
      </w:r>
    </w:p>
    <w:p>
      <w:pPr>
        <w:pStyle w:val="BookText"/>
      </w:pPr>
      <w:r>
        <w:rPr>
          <w:rFonts w:ascii="IRNazanin" w:hAnsi="IRNazanin" w:eastAsia="IRNazanin" w:cs="IRNazanin"/>
          <w:lang w:bidi="fa-IR"/>
          <w:color w:val="111111"/>
          <w:sz w:val="28"/>
          <w:szCs w:val="28"/>
          <w:rtl/>
        </w:rPr>
        <w:t xml:space="preserve">ج 1، ص 253.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اجازة للسيّد عبدالله ابن السيد نورالدین ابن السيّد نعمة الله الموسوي، ج 1، ص 253.</w:t>
      </w:r>
    </w:p>
    <w:p>
      <w:pPr>
        <w:pStyle w:val="BookText"/>
      </w:pPr>
      <w:r>
        <w:rPr>
          <w:rFonts w:ascii="Amiri" w:hAnsi="Amiri" w:eastAsia="Amiri" w:cs="Amiri"/>
          <w:lang w:bidi="ar-SA"/>
          <w:color w:val="111111"/>
          <w:sz w:val="28"/>
          <w:szCs w:val="28"/>
          <w:rtl/>
        </w:rPr>
        <w:t xml:space="preserve">9 .اجازة للشيخ عبد علي بحراني، ج 1،</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Amiri" w:hAnsi="Amiri" w:eastAsia="Amiri" w:cs="Amiri"/>
          <w:lang w:bidi="ar-SA"/>
          <w:color w:val="111111"/>
          <w:sz w:val="28"/>
          <w:szCs w:val="28"/>
          <w:rtl/>
        </w:rPr>
        <w:t xml:space="preserve">10 .اجازة لمحمّد بن محمّد صالح</w:t>
      </w:r>
    </w:p>
    <w:p>
      <w:pPr>
        <w:pStyle w:val="BookText"/>
      </w:pPr>
      <w:r>
        <w:rPr>
          <w:rFonts w:ascii="Amiri" w:hAnsi="Amiri" w:eastAsia="Amiri" w:cs="Amiri"/>
          <w:lang w:bidi="ar-SA"/>
          <w:color w:val="111111"/>
          <w:sz w:val="28"/>
          <w:szCs w:val="28"/>
          <w:rtl/>
        </w:rPr>
        <w:t xml:space="preserve">لاهيجي، ج 1، ص282.</w:t>
      </w:r>
    </w:p>
    <w:p>
      <w:pPr>
        <w:pStyle w:val="BookText"/>
      </w:pPr>
      <w:r>
        <w:rPr>
          <w:rFonts w:ascii="Amiri" w:hAnsi="Amiri" w:eastAsia="Amiri" w:cs="Amiri"/>
          <w:lang w:bidi="ar-SA"/>
          <w:color w:val="111111"/>
          <w:sz w:val="28"/>
          <w:szCs w:val="28"/>
          <w:rtl/>
        </w:rPr>
        <w:t xml:space="preserve">11 .اجازة لمحمد حسن بن معصوم</w:t>
      </w:r>
    </w:p>
    <w:p>
      <w:pPr>
        <w:pStyle w:val="BookText"/>
      </w:pPr>
      <w:r>
        <w:rPr>
          <w:rFonts w:ascii="Amiri" w:hAnsi="Amiri" w:eastAsia="Amiri" w:cs="Amiri"/>
          <w:lang w:bidi="ar-SA"/>
          <w:color w:val="111111"/>
          <w:sz w:val="28"/>
          <w:szCs w:val="28"/>
          <w:rtl/>
        </w:rPr>
        <w:t xml:space="preserve">قزويني، ج 1، ص 284.</w:t>
      </w:r>
    </w:p>
    <w:p>
      <w:pPr>
        <w:pStyle w:val="BookText"/>
      </w:pPr>
      <w:r>
        <w:rPr>
          <w:rFonts w:ascii="Amiri" w:hAnsi="Amiri" w:eastAsia="Amiri" w:cs="Amiri"/>
          <w:lang w:bidi="ar-SA"/>
          <w:color w:val="111111"/>
          <w:sz w:val="28"/>
          <w:szCs w:val="28"/>
          <w:rtl/>
        </w:rPr>
        <w:t xml:space="preserve">12 .اجازة لميرزا ،داود، ج 1، ص290.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اصحاب الاجماع، ج 2، ص 360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7" w:name="pg7742_69859"/>
    <w:bookmarkEnd w:id="237"/>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بيان حقيقة الايمان و الاسلام و</w:t>
      </w:r>
    </w:p>
    <w:p>
      <w:pPr>
        <w:pStyle w:val="BookText"/>
      </w:pPr>
      <w:r>
        <w:rPr>
          <w:rFonts w:ascii="Amiri" w:hAnsi="Amiri" w:eastAsia="Amiri" w:cs="Amiri"/>
          <w:lang w:bidi="ar-SA"/>
          <w:color w:val="111111"/>
          <w:sz w:val="28"/>
          <w:szCs w:val="28"/>
          <w:rtl/>
        </w:rPr>
        <w:t xml:space="preserve">الكفر، ج 3، ص 469.</w:t>
      </w:r>
    </w:p>
    <w:p>
      <w:pPr>
        <w:pStyle w:val="BookText"/>
      </w:pPr>
      <w:r>
        <w:rPr>
          <w:rFonts w:ascii="Amiri" w:hAnsi="Amiri" w:eastAsia="Amiri" w:cs="Amiri"/>
          <w:lang w:bidi="ar-SA"/>
          <w:color w:val="111111"/>
          <w:sz w:val="28"/>
          <w:szCs w:val="28"/>
          <w:rtl/>
        </w:rPr>
        <w:t xml:space="preserve">15 .تتمة الدرة المنظومة، ج 3، ص 673.</w:t>
      </w:r>
    </w:p>
    <w:p>
      <w:pPr>
        <w:pStyle w:val="BookText"/>
      </w:pPr>
      <w:r>
        <w:rPr>
          <w:rFonts w:ascii="Amiri" w:hAnsi="Amiri" w:eastAsia="Amiri" w:cs="Amiri"/>
          <w:lang w:bidi="ar-SA"/>
          <w:color w:val="111111"/>
          <w:sz w:val="28"/>
          <w:szCs w:val="28"/>
          <w:rtl/>
        </w:rPr>
        <w:t xml:space="preserve">16 . تحفة الكرام في تاريخ مكة و</w:t>
      </w:r>
    </w:p>
    <w:p>
      <w:pPr>
        <w:pStyle w:val="BookText"/>
      </w:pPr>
      <w:r>
        <w:rPr>
          <w:rFonts w:ascii="IRNazanin" w:hAnsi="IRNazanin" w:eastAsia="IRNazanin" w:cs="IRNazanin"/>
          <w:lang w:bidi="fa-IR"/>
          <w:color w:val="111111"/>
          <w:sz w:val="28"/>
          <w:szCs w:val="28"/>
          <w:rtl/>
        </w:rPr>
        <w:t xml:space="preserve">المسجد الحرام، ج4، ص 1.</w:t>
      </w:r>
    </w:p>
    <w:p>
      <w:pPr>
        <w:pStyle w:val="BookText"/>
      </w:pPr>
      <w:r>
        <w:rPr>
          <w:rFonts w:ascii="Amiri" w:hAnsi="Amiri" w:eastAsia="Amiri" w:cs="Amiri"/>
          <w:lang w:bidi="ar-SA"/>
          <w:color w:val="111111"/>
          <w:sz w:val="28"/>
          <w:szCs w:val="28"/>
          <w:rtl/>
        </w:rPr>
        <w:t xml:space="preserve">17 .حاشية وافية الاصول = شرح</w:t>
      </w:r>
    </w:p>
    <w:p>
      <w:pPr>
        <w:pStyle w:val="BookText"/>
      </w:pPr>
      <w:r>
        <w:rPr>
          <w:rFonts w:ascii="Amiri" w:hAnsi="Amiri" w:eastAsia="Amiri" w:cs="Amiri"/>
          <w:lang w:bidi="ar-SA"/>
          <w:color w:val="111111"/>
          <w:sz w:val="28"/>
          <w:szCs w:val="28"/>
          <w:rtl/>
        </w:rPr>
        <w:t xml:space="preserve">الوافية، ج 6 ، ص 447.</w:t>
      </w:r>
    </w:p>
    <w:p>
      <w:pPr>
        <w:pStyle w:val="BookText"/>
      </w:pPr>
      <w:r>
        <w:rPr>
          <w:rFonts w:ascii="Amiri" w:hAnsi="Amiri" w:eastAsia="Amiri" w:cs="Amiri"/>
          <w:lang w:bidi="ar-SA"/>
          <w:color w:val="111111"/>
          <w:sz w:val="28"/>
          <w:szCs w:val="28"/>
          <w:rtl/>
        </w:rPr>
        <w:t xml:space="preserve">18 .الخلل و صلاة المسافر، ج 7،</w:t>
      </w:r>
    </w:p>
    <w:p>
      <w:pPr>
        <w:pStyle w:val="BookText"/>
      </w:pPr>
      <w:r>
        <w:rPr>
          <w:rFonts w:ascii="IRNazanin" w:hAnsi="IRNazanin" w:eastAsia="IRNazanin" w:cs="IRNazanin"/>
          <w:lang w:bidi="fa-IR"/>
          <w:color w:val="111111"/>
          <w:sz w:val="28"/>
          <w:szCs w:val="28"/>
          <w:rtl/>
        </w:rPr>
        <w:t xml:space="preserve">ص 157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الدرة البهية = الدرة النجفية = الدرة المنظومة = الدرة الغالية في</w:t>
      </w:r>
    </w:p>
    <w:p>
      <w:pPr>
        <w:pStyle w:val="BookText"/>
      </w:pPr>
      <w:r>
        <w:rPr>
          <w:rFonts w:ascii="Amiri" w:hAnsi="Amiri" w:eastAsia="Amiri" w:cs="Amiri"/>
          <w:lang w:bidi="ar-SA"/>
          <w:color w:val="111111"/>
          <w:sz w:val="28"/>
          <w:szCs w:val="28"/>
          <w:rtl/>
        </w:rPr>
        <w:t xml:space="preserve">مسائل العالية، ج 7، ص 222.</w:t>
      </w:r>
    </w:p>
    <w:p>
      <w:pPr>
        <w:pStyle w:val="BookText"/>
      </w:pPr>
      <w:r>
        <w:rPr>
          <w:rFonts w:ascii="Amiri" w:hAnsi="Amiri" w:eastAsia="Amiri" w:cs="Amiri"/>
          <w:lang w:bidi="ar-SA"/>
          <w:color w:val="111111"/>
          <w:sz w:val="28"/>
          <w:szCs w:val="28"/>
          <w:rtl/>
        </w:rPr>
        <w:t xml:space="preserve">20 .ديوان بحر العلوم، ج7، ص 586.</w:t>
      </w:r>
    </w:p>
    <w:p>
      <w:pPr>
        <w:pStyle w:val="BookText"/>
      </w:pPr>
      <w:r>
        <w:rPr>
          <w:rFonts w:ascii="Amiri" w:hAnsi="Amiri" w:eastAsia="Amiri" w:cs="Amiri"/>
          <w:lang w:bidi="ar-SA"/>
          <w:color w:val="111111"/>
          <w:sz w:val="28"/>
          <w:szCs w:val="28"/>
          <w:rtl/>
        </w:rPr>
        <w:t xml:space="preserve">21 .رثاء الأمام الحسين (ع)، ج8، ص 43 .</w:t>
      </w:r>
    </w:p>
    <w:p>
      <w:pPr>
        <w:pStyle w:val="BookText"/>
      </w:pPr>
      <w:r>
        <w:rPr>
          <w:rFonts w:ascii="IRNazanin" w:hAnsi="IRNazanin" w:eastAsia="IRNazanin" w:cs="IRNazanin"/>
          <w:lang w:bidi="fa-IR"/>
          <w:color w:val="111111"/>
          <w:sz w:val="28"/>
          <w:szCs w:val="28"/>
          <w:rtl/>
        </w:rPr>
        <w:t xml:space="preserve">22 .رجال بحر العلوم - الفوائد</w:t>
      </w:r>
    </w:p>
    <w:p>
      <w:pPr>
        <w:pStyle w:val="BookText"/>
      </w:pPr>
      <w:r>
        <w:rPr>
          <w:rFonts w:ascii="Amiri" w:hAnsi="Amiri" w:eastAsia="Amiri" w:cs="Amiri"/>
          <w:lang w:bidi="ar-SA"/>
          <w:color w:val="111111"/>
          <w:sz w:val="28"/>
          <w:szCs w:val="28"/>
          <w:rtl/>
        </w:rPr>
        <w:t xml:space="preserve">الرجالية، ج8، ص 52.</w:t>
      </w:r>
    </w:p>
    <w:p>
      <w:pPr>
        <w:pStyle w:val="BookText"/>
      </w:pPr>
      <w:r>
        <w:rPr>
          <w:rFonts w:ascii="IRNazanin" w:hAnsi="IRNazanin" w:eastAsia="IRNazanin" w:cs="IRNazanin"/>
          <w:lang w:bidi="fa-IR"/>
          <w:color w:val="111111"/>
          <w:sz w:val="28"/>
          <w:szCs w:val="28"/>
          <w:rtl/>
        </w:rPr>
        <w:t xml:space="preserve">23 .رسائل، ج8، ص123.</w:t>
      </w:r>
    </w:p>
    <w:p>
      <w:pPr>
        <w:pStyle w:val="BookText"/>
      </w:pPr>
      <w:r>
        <w:rPr>
          <w:rFonts w:ascii="Amiri" w:hAnsi="Amiri" w:eastAsia="Amiri" w:cs="Amiri"/>
          <w:lang w:bidi="ar-SA"/>
          <w:color w:val="111111"/>
          <w:sz w:val="28"/>
          <w:szCs w:val="28"/>
          <w:rtl/>
        </w:rPr>
        <w:t xml:space="preserve">24 .الرسالة الطاعونية، ج8، ص219.</w:t>
      </w:r>
    </w:p>
    <w:p>
      <w:pPr>
        <w:pStyle w:val="BookText"/>
      </w:pPr>
      <w:r>
        <w:rPr>
          <w:rFonts w:ascii="IRNazanin" w:hAnsi="IRNazanin" w:eastAsia="IRNazanin" w:cs="IRNazanin"/>
          <w:lang w:bidi="fa-IR"/>
          <w:color w:val="111111"/>
          <w:sz w:val="28"/>
          <w:szCs w:val="28"/>
          <w:rtl/>
        </w:rPr>
        <w:t xml:space="preserve">25 .الرضاع، ج8، ص319.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الرمانية (ارجوزة)، ج8، ص354.</w:t>
      </w:r>
    </w:p>
    <w:p>
      <w:pPr>
        <w:pStyle w:val="BookText"/>
      </w:pPr>
      <w:r>
        <w:rPr>
          <w:rFonts w:ascii="IRNazanin" w:hAnsi="IRNazanin" w:eastAsia="IRNazanin" w:cs="IRNazanin"/>
          <w:lang w:bidi="fa-IR"/>
          <w:color w:val="111111"/>
          <w:sz w:val="28"/>
          <w:szCs w:val="28"/>
          <w:rtl/>
        </w:rPr>
        <w:t xml:space="preserve">27 .سیر و سلوك = تحفة الملوك في</w:t>
      </w:r>
    </w:p>
    <w:p>
      <w:pPr>
        <w:pStyle w:val="BookText"/>
      </w:pPr>
      <w:r>
        <w:rPr>
          <w:rFonts w:ascii="Amiri" w:hAnsi="Amiri" w:eastAsia="Amiri" w:cs="Amiri"/>
          <w:lang w:bidi="ar-SA"/>
          <w:color w:val="111111"/>
          <w:sz w:val="28"/>
          <w:szCs w:val="28"/>
          <w:rtl/>
        </w:rPr>
        <w:t xml:space="preserve">السير والسلوك، ج 9، ص30.</w:t>
      </w:r>
    </w:p>
    <w:p>
      <w:pPr>
        <w:pStyle w:val="BookText"/>
      </w:pPr>
      <w:r>
        <w:rPr>
          <w:rFonts w:ascii="Amiri" w:hAnsi="Amiri" w:eastAsia="Amiri" w:cs="Amiri"/>
          <w:lang w:bidi="ar-SA"/>
          <w:color w:val="111111"/>
          <w:sz w:val="28"/>
          <w:szCs w:val="28"/>
          <w:rtl/>
        </w:rPr>
        <w:t xml:space="preserve">28 .شرح الوافية في أصول الفقه، ج 10،</w:t>
      </w:r>
    </w:p>
    <w:p>
      <w:pPr>
        <w:pStyle w:val="BookText"/>
      </w:pPr>
      <w:r>
        <w:rPr>
          <w:rFonts w:ascii="IRNazanin" w:hAnsi="IRNazanin" w:eastAsia="IRNazanin" w:cs="IRNazanin"/>
          <w:lang w:bidi="fa-IR"/>
          <w:color w:val="111111"/>
          <w:sz w:val="28"/>
          <w:szCs w:val="28"/>
          <w:rtl/>
        </w:rPr>
        <w:t xml:space="preserve">ص 322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شرح شرایع الاسلام، ج9، ص 623.</w:t>
      </w:r>
    </w:p>
    <w:p>
      <w:pPr>
        <w:pStyle w:val="BookText"/>
      </w:pPr>
      <w:r>
        <w:rPr>
          <w:rFonts w:ascii="Amiri" w:hAnsi="Amiri" w:eastAsia="Amiri" w:cs="Amiri"/>
          <w:lang w:bidi="ar-SA"/>
          <w:color w:val="111111"/>
          <w:sz w:val="28"/>
          <w:szCs w:val="28"/>
          <w:rtl/>
        </w:rPr>
        <w:t xml:space="preserve">30.الفوائد الاصولية في تسجيل مسائل الفقهية = الفوائد الوافية و العوائد</w:t>
      </w:r>
    </w:p>
    <w:p>
      <w:pPr>
        <w:pStyle w:val="BookText"/>
      </w:pPr>
      <w:r>
        <w:rPr>
          <w:rFonts w:ascii="Amiri" w:hAnsi="Amiri" w:eastAsia="Amiri" w:cs="Amiri"/>
          <w:lang w:bidi="ar-SA"/>
          <w:color w:val="111111"/>
          <w:sz w:val="28"/>
          <w:szCs w:val="28"/>
          <w:rtl/>
        </w:rPr>
        <w:t xml:space="preserve">الشافية، ج 12، ص 181 .</w:t>
      </w:r>
    </w:p>
    <w:p>
      <w:pPr>
        <w:pStyle w:val="BookText"/>
      </w:pPr>
      <w:r>
        <w:rPr>
          <w:rFonts w:ascii="Amiri" w:hAnsi="Amiri" w:eastAsia="Amiri" w:cs="Amiri"/>
          <w:lang w:bidi="ar-SA"/>
          <w:color w:val="111111"/>
          <w:sz w:val="28"/>
          <w:szCs w:val="28"/>
          <w:rtl/>
        </w:rPr>
        <w:t xml:space="preserve">31 .المشاعر المقدسة، ج 14، ص 617.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مشكاة الهداية، ج 14، ص 644.</w:t>
      </w:r>
    </w:p>
    <w:p>
      <w:pPr>
        <w:pStyle w:val="BookText"/>
      </w:pPr>
      <w:r>
        <w:rPr>
          <w:rFonts w:ascii="Amiri" w:hAnsi="Amiri" w:eastAsia="Amiri" w:cs="Amiri"/>
          <w:lang w:bidi="ar-SA"/>
          <w:color w:val="111111"/>
          <w:sz w:val="28"/>
          <w:szCs w:val="28"/>
          <w:rtl/>
        </w:rPr>
        <w:t xml:space="preserve">33 .مصابيح الهدى، ج 14، ص 692.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المصابيح في الفقه المستنبط على الوجه الصحيح - مصابيح الاحكام ج 14، ص 686 .</w:t>
      </w:r>
    </w:p>
    <w:p>
      <w:pPr>
        <w:pStyle w:val="BookText"/>
      </w:pPr>
      <w:r>
        <w:rPr>
          <w:rFonts w:ascii="Amiri" w:hAnsi="Amiri" w:eastAsia="Amiri" w:cs="Amiri"/>
          <w:lang w:bidi="ar-SA"/>
          <w:color w:val="111111"/>
          <w:sz w:val="28"/>
          <w:szCs w:val="28"/>
          <w:rtl/>
        </w:rPr>
        <w:t xml:space="preserve">35 .المصابيح في شرح المفاتيح، ج 14،</w:t>
      </w:r>
    </w:p>
    <w:p>
      <w:pPr>
        <w:pStyle w:val="BookText"/>
      </w:pPr>
      <w:r>
        <w:rPr>
          <w:rFonts w:ascii="IRNazanin" w:hAnsi="IRNazanin" w:eastAsia="IRNazanin" w:cs="IRNazanin"/>
          <w:lang w:bidi="fa-IR"/>
          <w:color w:val="111111"/>
          <w:sz w:val="28"/>
          <w:szCs w:val="28"/>
          <w:rtl/>
        </w:rPr>
        <w:t xml:space="preserve">ص 689 .</w:t>
      </w:r>
    </w:p>
    <w:p>
      <w:pPr>
        <w:pStyle w:val="BookText"/>
      </w:pPr>
      <w:r>
        <w:rPr>
          <w:rFonts w:ascii="Amiri" w:hAnsi="Amiri" w:eastAsia="Amiri" w:cs="Amiri"/>
          <w:lang w:bidi="ar-SA"/>
          <w:color w:val="111111"/>
          <w:sz w:val="28"/>
          <w:szCs w:val="28"/>
          <w:rtl/>
        </w:rPr>
        <w:t xml:space="preserve">36 .مناظرة مع علماء اليهود = ابطال</w:t>
      </w:r>
    </w:p>
    <w:p>
      <w:pPr>
        <w:pStyle w:val="BookText"/>
      </w:pPr>
      <w:r>
        <w:rPr>
          <w:rFonts w:ascii="Amiri" w:hAnsi="Amiri" w:eastAsia="Amiri" w:cs="Amiri"/>
          <w:lang w:bidi="ar-SA"/>
          <w:color w:val="111111"/>
          <w:sz w:val="28"/>
          <w:szCs w:val="28"/>
          <w:rtl/>
        </w:rPr>
        <w:t xml:space="preserve">مذهب اليهود والمباحثة معهم</w:t>
      </w:r>
    </w:p>
    <w:p>
      <w:pPr>
        <w:pStyle w:val="BookText"/>
      </w:pPr>
      <w:r>
        <w:rPr>
          <w:rFonts w:ascii="IRNazanin" w:hAnsi="IRNazanin" w:eastAsia="IRNazanin" w:cs="IRNazanin"/>
          <w:lang w:bidi="fa-IR"/>
          <w:color w:val="111111"/>
          <w:sz w:val="28"/>
          <w:szCs w:val="28"/>
          <w:rtl/>
        </w:rPr>
        <w:t xml:space="preserve">ج 15، ص 525.</w:t>
      </w:r>
    </w:p>
    <w:p>
      <w:pPr>
        <w:pStyle w:val="BookText"/>
      </w:pPr>
      <w:r>
        <w:rPr>
          <w:rFonts w:ascii="Amiri" w:hAnsi="Amiri" w:eastAsia="Amiri" w:cs="Amiri"/>
          <w:lang w:bidi="ar-SA"/>
          <w:color w:val="111111"/>
          <w:sz w:val="28"/>
          <w:szCs w:val="28"/>
          <w:rtl/>
        </w:rPr>
        <w:t xml:space="preserve">37 .الهداية في الفقه، ج 16، ص 624.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الوكالة، ج 16، ص 881.</w:t>
      </w:r>
    </w:p>
    <w:p>
      <w:pPr>
        <w:pStyle w:val="Heading2"/>
      </w:pPr>
      <w:bookmarkStart w:id="2580" w:name="_Toc1682"/>
      <w:r>
        <w:t>بحر العلوم، مهدي بن محسن، 1302 -</w:t>
      </w:r>
      <w:bookmarkEnd w:id="2580"/>
    </w:p>
    <w:p>
      <w:pPr>
        <w:pStyle w:val="BookText"/>
      </w:pPr>
      <w:r>
        <w:rPr>
          <w:rFonts w:ascii="IRNazanin" w:hAnsi="IRNazanin" w:eastAsia="IRNazanin" w:cs="IRNazanin"/>
          <w:lang w:bidi="fa-IR"/>
          <w:color w:val="111111"/>
          <w:sz w:val="28"/>
          <w:szCs w:val="28"/>
          <w:rtl/>
        </w:rPr>
        <w:t xml:space="preserve">1335 ه-</w:t>
      </w:r>
    </w:p>
    <w:p>
      <w:pPr>
        <w:pStyle w:val="BookText"/>
      </w:pPr>
      <w:r>
        <w:rPr>
          <w:rFonts w:ascii="IRNazanin" w:hAnsi="IRNazanin" w:eastAsia="IRNazanin" w:cs="IRNazanin"/>
          <w:lang w:bidi="fa-IR"/>
          <w:color w:val="111111"/>
          <w:sz w:val="28"/>
          <w:szCs w:val="28"/>
          <w:rtl/>
        </w:rPr>
        <w:t xml:space="preserve">دیوان سید مهدي بحر العلوم، ج7،</w:t>
      </w:r>
    </w:p>
    <w:p>
      <w:pPr>
        <w:pStyle w:val="BookText"/>
      </w:pPr>
      <w:r>
        <w:rPr>
          <w:rFonts w:ascii="IRNazanin" w:hAnsi="IRNazanin" w:eastAsia="IRNazanin" w:cs="IRNazanin"/>
          <w:lang w:bidi="fa-IR"/>
          <w:color w:val="111111"/>
          <w:sz w:val="28"/>
          <w:szCs w:val="28"/>
          <w:rtl/>
        </w:rPr>
        <w:t xml:space="preserve">ص 664 .</w:t>
      </w:r>
    </w:p>
    <w:p>
      <w:pPr>
        <w:pStyle w:val="BookText"/>
      </w:pPr>
      <w:r>
        <w:rPr>
          <w:rFonts w:ascii="Amiri" w:hAnsi="Amiri" w:eastAsia="Amiri" w:cs="Amiri"/>
          <w:lang w:bidi="ar-SA"/>
          <w:color w:val="111111"/>
          <w:sz w:val="28"/>
          <w:szCs w:val="28"/>
          <w:rtl/>
        </w:rPr>
        <w:t xml:space="preserve">بحراني، ابراهيم بن سليمان - بحراني، ابراهيم بن سليمان قطيفي</w:t>
      </w:r>
    </w:p>
    <w:p>
      <w:pPr>
        <w:pStyle w:val="BookText"/>
      </w:pPr>
      <w:r>
        <w:rPr>
          <w:rFonts w:ascii="Amiri" w:hAnsi="Amiri" w:eastAsia="Amiri" w:cs="Amiri"/>
          <w:lang w:bidi="ar-SA"/>
          <w:color w:val="111111"/>
          <w:sz w:val="28"/>
          <w:szCs w:val="28"/>
          <w:rtl/>
        </w:rPr>
        <w:t xml:space="preserve">بحراني ، ابراهيم بن ناصر- توبلي بحراني</w:t>
      </w:r>
    </w:p>
    <w:p>
      <w:pPr>
        <w:pStyle w:val="BookText"/>
      </w:pPr>
      <w:r>
        <w:rPr>
          <w:rFonts w:ascii="Amiri" w:hAnsi="Amiri" w:eastAsia="Amiri" w:cs="Amiri"/>
          <w:lang w:bidi="ar-SA"/>
          <w:color w:val="111111"/>
          <w:sz w:val="28"/>
          <w:szCs w:val="28"/>
          <w:rtl/>
        </w:rPr>
        <w:t xml:space="preserve">ابراهيم بن ناصر</w:t>
      </w:r>
    </w:p>
    <w:p>
      <w:pPr>
        <w:pStyle w:val="BookText"/>
      </w:pPr>
      <w:r>
        <w:rPr>
          <w:rFonts w:ascii="Amiri" w:hAnsi="Amiri" w:eastAsia="Amiri" w:cs="Amiri"/>
          <w:lang w:bidi="ar-SA"/>
          <w:color w:val="111111"/>
          <w:sz w:val="28"/>
          <w:szCs w:val="28"/>
          <w:rtl/>
        </w:rPr>
        <w:t xml:space="preserve">بحراني احسائي ، احمد بن زين الدين- احسائي ، احمد بن زين الدين</w:t>
      </w:r>
    </w:p>
    <w:p>
      <w:pPr>
        <w:pStyle w:val="BookText"/>
      </w:pPr>
      <w:r>
        <w:rPr>
          <w:rFonts w:ascii="Amiri" w:hAnsi="Amiri" w:eastAsia="Amiri" w:cs="Amiri"/>
          <w:lang w:bidi="ar-SA"/>
          <w:color w:val="111111"/>
          <w:sz w:val="28"/>
          <w:szCs w:val="28"/>
          <w:rtl/>
        </w:rPr>
        <w:t xml:space="preserve">بحراني ، احمد بن ابراهيم -آل عصفور</w:t>
      </w:r>
    </w:p>
    <w:p>
      <w:pPr>
        <w:pStyle w:val="BookText"/>
      </w:pPr>
      <w:r>
        <w:rPr>
          <w:rFonts w:ascii="Amiri" w:hAnsi="Amiri" w:eastAsia="Amiri" w:cs="Amiri"/>
          <w:lang w:bidi="ar-SA"/>
          <w:color w:val="111111"/>
          <w:sz w:val="28"/>
          <w:szCs w:val="28"/>
          <w:rtl/>
        </w:rPr>
        <w:t xml:space="preserve">بحراني ، احمد بن ابراهيم</w:t>
      </w:r>
    </w:p>
    <w:p>
      <w:pPr>
        <w:pStyle w:val="Heading2"/>
      </w:pPr>
      <w:bookmarkStart w:id="2581" w:name="_Toc1683"/>
      <w:r>
        <w:t>بحراني ، احمد بن سالم ه-</w:t>
      </w:r>
      <w:bookmarkEnd w:id="2581"/>
    </w:p>
    <w:p>
      <w:pPr>
        <w:pStyle w:val="BookText"/>
      </w:pPr>
      <w:r>
        <w:rPr>
          <w:rFonts w:ascii="Amiri" w:hAnsi="Amiri" w:eastAsia="Amiri" w:cs="Amiri"/>
          <w:lang w:bidi="ar-SA"/>
          <w:color w:val="111111"/>
          <w:sz w:val="28"/>
          <w:szCs w:val="28"/>
          <w:rtl/>
        </w:rPr>
        <w:t xml:space="preserve">المقارعة = الاستخارة (رسالة في ) =</w:t>
      </w:r>
    </w:p>
    <w:p>
      <w:pPr>
        <w:pStyle w:val="BookText"/>
      </w:pPr>
      <w:r>
        <w:rPr>
          <w:rFonts w:ascii="Amiri" w:hAnsi="Amiri" w:eastAsia="Amiri" w:cs="Amiri"/>
          <w:lang w:bidi="ar-SA"/>
          <w:color w:val="111111"/>
          <w:sz w:val="28"/>
          <w:szCs w:val="28"/>
          <w:rtl/>
        </w:rPr>
        <w:t xml:space="preserve">خيرة الطير، ج 15 ، ص 267 .</w:t>
      </w:r>
    </w:p>
    <w:p>
      <w:pPr>
        <w:pStyle w:val="Heading2"/>
      </w:pPr>
      <w:bookmarkStart w:id="2582" w:name="_Toc1684"/>
      <w:r>
        <w:t>بحراني ، احمد بن سلیمان قرن 12 ه-</w:t>
      </w:r>
      <w:bookmarkEnd w:id="2582"/>
    </w:p>
    <w:p>
      <w:pPr>
        <w:pStyle w:val="BookText"/>
      </w:pPr>
      <w:r>
        <w:rPr>
          <w:rFonts w:ascii="Amiri" w:hAnsi="Amiri" w:eastAsia="Amiri" w:cs="Amiri"/>
          <w:lang w:bidi="ar-SA"/>
          <w:color w:val="111111"/>
          <w:sz w:val="28"/>
          <w:szCs w:val="28"/>
          <w:rtl/>
        </w:rPr>
        <w:t xml:space="preserve">عقد اللآل في مناقب الآل، ج11،</w:t>
      </w:r>
    </w:p>
    <w:p>
      <w:pPr>
        <w:pStyle w:val="BookText"/>
      </w:pPr>
      <w:r>
        <w:rPr>
          <w:rFonts w:ascii="IRNazanin" w:hAnsi="IRNazanin" w:eastAsia="IRNazanin" w:cs="IRNazanin"/>
          <w:lang w:bidi="fa-IR"/>
          <w:color w:val="111111"/>
          <w:sz w:val="28"/>
          <w:szCs w:val="28"/>
          <w:rtl/>
        </w:rPr>
        <w:t xml:space="preserve">ص 172 .</w:t>
      </w:r>
    </w:p>
    <w:p>
      <w:pPr>
        <w:pStyle w:val="Heading2"/>
      </w:pPr>
      <w:bookmarkStart w:id="2583" w:name="_Toc1685"/>
      <w:r>
        <w:t>بحراني ، احمد بن صالح قرن 13 ه-</w:t>
      </w:r>
      <w:bookmarkEnd w:id="2583"/>
    </w:p>
    <w:p>
      <w:pPr>
        <w:pStyle w:val="BookText"/>
      </w:pPr>
      <w:r>
        <w:rPr>
          <w:rFonts w:ascii="Amiri" w:hAnsi="Amiri" w:eastAsia="Amiri" w:cs="Amiri"/>
          <w:lang w:bidi="ar-SA"/>
          <w:color w:val="111111"/>
          <w:sz w:val="28"/>
          <w:szCs w:val="28"/>
          <w:rtl/>
        </w:rPr>
        <w:t xml:space="preserve">شرح رسالة في الأداب، ج 9، ص 542.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8" w:name="pg7742_69861"/>
    <w:bookmarkEnd w:id="238"/>
    <w:p>
      <w:pPr>
        <w:pStyle w:val="Heading2"/>
      </w:pPr>
      <w:bookmarkStart w:id="2584" w:name="_Toc1686"/>
      <w:r>
        <w:t>بحراني ، احمد بن صالح - 1315 ه-</w:t>
      </w:r>
      <w:bookmarkEnd w:id="2584"/>
    </w:p>
    <w:p>
      <w:pPr>
        <w:pStyle w:val="BookText"/>
      </w:pPr>
      <w:r>
        <w:rPr>
          <w:rFonts w:ascii="Amiri" w:hAnsi="Amiri" w:eastAsia="Amiri" w:cs="Amiri"/>
          <w:lang w:bidi="ar-SA"/>
          <w:color w:val="111111"/>
          <w:sz w:val="28"/>
          <w:szCs w:val="28"/>
          <w:rtl/>
        </w:rPr>
        <w:t xml:space="preserve">الصحيفة الصادقية والدعوات</w:t>
      </w:r>
    </w:p>
    <w:p>
      <w:pPr>
        <w:pStyle w:val="BookText"/>
      </w:pPr>
      <w:r>
        <w:rPr>
          <w:rFonts w:ascii="Amiri" w:hAnsi="Amiri" w:eastAsia="Amiri" w:cs="Amiri"/>
          <w:lang w:bidi="ar-SA"/>
          <w:color w:val="111111"/>
          <w:sz w:val="28"/>
          <w:szCs w:val="28"/>
          <w:rtl/>
        </w:rPr>
        <w:t xml:space="preserve">الجعفرية، ج 10، ص 516.</w:t>
      </w:r>
    </w:p>
    <w:p>
      <w:pPr>
        <w:pStyle w:val="Heading2"/>
      </w:pPr>
      <w:bookmarkStart w:id="2585" w:name="_Toc1687"/>
      <w:r>
        <w:t>بحراني ، احمد بن عبد السلام قرن 11 ه-</w:t>
      </w:r>
      <w:bookmarkEnd w:id="2585"/>
    </w:p>
    <w:p>
      <w:pPr>
        <w:pStyle w:val="BookText"/>
      </w:pPr>
      <w:r>
        <w:rPr>
          <w:rFonts w:ascii="IRNazanin" w:hAnsi="IRNazanin" w:eastAsia="IRNazanin" w:cs="IRNazanin"/>
          <w:lang w:bidi="fa-IR"/>
          <w:color w:val="111111"/>
          <w:sz w:val="28"/>
          <w:szCs w:val="28"/>
          <w:rtl/>
        </w:rPr>
        <w:t xml:space="preserve">خطب شیخ احمد بحراني، ج 7، ص58.</w:t>
      </w:r>
    </w:p>
    <w:p>
      <w:pPr>
        <w:pStyle w:val="Heading2"/>
      </w:pPr>
      <w:bookmarkStart w:id="2586" w:name="_Toc1688"/>
      <w:r>
        <w:t>بحراني ، احمد بن محمّد - 1368 ه-</w:t>
      </w:r>
      <w:bookmarkEnd w:id="2586"/>
    </w:p>
    <w:p>
      <w:pPr>
        <w:pStyle w:val="BookText"/>
      </w:pPr>
      <w:r>
        <w:rPr>
          <w:rFonts w:ascii="Amiri" w:hAnsi="Amiri" w:eastAsia="Amiri" w:cs="Amiri"/>
          <w:lang w:bidi="ar-SA"/>
          <w:color w:val="111111"/>
          <w:sz w:val="28"/>
          <w:szCs w:val="28"/>
          <w:rtl/>
        </w:rPr>
        <w:t xml:space="preserve">الأجوبة العلية للمسائل المسقطية</w:t>
      </w:r>
    </w:p>
    <w:p>
      <w:pPr>
        <w:pStyle w:val="BookText"/>
      </w:pPr>
      <w:r>
        <w:rPr>
          <w:rFonts w:ascii="IRNazanin" w:hAnsi="IRNazanin" w:eastAsia="IRNazanin" w:cs="IRNazanin"/>
          <w:lang w:bidi="fa-IR"/>
          <w:color w:val="111111"/>
          <w:sz w:val="28"/>
          <w:szCs w:val="28"/>
          <w:rtl/>
        </w:rPr>
        <w:t xml:space="preserve">ج 1، ص 326.</w:t>
      </w:r>
    </w:p>
    <w:p>
      <w:pPr>
        <w:pStyle w:val="BookText"/>
      </w:pPr>
      <w:r>
        <w:rPr>
          <w:rFonts w:ascii="Amiri" w:hAnsi="Amiri" w:eastAsia="Amiri" w:cs="Amiri"/>
          <w:lang w:bidi="ar-SA"/>
          <w:color w:val="111111"/>
          <w:sz w:val="28"/>
          <w:szCs w:val="28"/>
          <w:rtl/>
        </w:rPr>
        <w:t xml:space="preserve">بحراني اصفهاني ، ماجد بن محمّد- حسيني بحراني ، ماجد بن محمّد</w:t>
      </w:r>
    </w:p>
    <w:p>
      <w:pPr>
        <w:pStyle w:val="Heading2"/>
      </w:pPr>
      <w:bookmarkStart w:id="2587" w:name="_Toc1689"/>
      <w:r>
        <w:t>بحراني بلادي حسين بن محمّد قرن 12ه-</w:t>
      </w:r>
      <w:bookmarkEnd w:id="2587"/>
    </w:p>
    <w:p>
      <w:pPr>
        <w:pStyle w:val="BookText"/>
      </w:pPr>
      <w:r>
        <w:rPr>
          <w:rFonts w:ascii="Amiri" w:hAnsi="Amiri" w:eastAsia="Amiri" w:cs="Amiri"/>
          <w:lang w:bidi="ar-SA"/>
          <w:color w:val="111111"/>
          <w:sz w:val="28"/>
          <w:szCs w:val="28"/>
          <w:rtl/>
        </w:rPr>
        <w:t xml:space="preserve">معراج الكمال، ج 15 ، ص 34.</w:t>
      </w:r>
    </w:p>
    <w:p>
      <w:pPr>
        <w:pStyle w:val="Heading2"/>
      </w:pPr>
      <w:bookmarkStart w:id="2588" w:name="_Toc1690"/>
      <w:r>
        <w:t>بحراني بلادي، محمّد بن عبدالله قرن 11ه-</w:t>
      </w:r>
      <w:bookmarkEnd w:id="2588"/>
    </w:p>
    <w:p>
      <w:pPr>
        <w:pStyle w:val="BookText"/>
      </w:pPr>
      <w:r>
        <w:rPr>
          <w:rFonts w:ascii="Amiri" w:hAnsi="Amiri" w:eastAsia="Amiri" w:cs="Amiri"/>
          <w:lang w:bidi="ar-SA"/>
          <w:color w:val="111111"/>
          <w:sz w:val="28"/>
          <w:szCs w:val="28"/>
          <w:rtl/>
        </w:rPr>
        <w:t xml:space="preserve">غاية الطالبين ونهاية الراغبين في ايضاح طرق احكام المنجمين ج11،</w:t>
      </w:r>
    </w:p>
    <w:p>
      <w:pPr>
        <w:pStyle w:val="BookText"/>
      </w:pPr>
      <w:r>
        <w:rPr>
          <w:rFonts w:ascii="IRNazanin" w:hAnsi="IRNazanin" w:eastAsia="IRNazanin" w:cs="IRNazanin"/>
          <w:lang w:bidi="fa-IR"/>
          <w:color w:val="111111"/>
          <w:sz w:val="28"/>
          <w:szCs w:val="28"/>
          <w:rtl/>
        </w:rPr>
        <w:t xml:space="preserve">ص 439 .</w:t>
      </w:r>
    </w:p>
    <w:p>
      <w:pPr>
        <w:pStyle w:val="Heading2"/>
      </w:pPr>
      <w:bookmarkStart w:id="2589" w:name="_Toc1691"/>
      <w:r>
        <w:t>بحراني ، جعفر بن كمال الدين - 1088ه-</w:t>
      </w:r>
      <w:bookmarkEnd w:id="2589"/>
    </w:p>
    <w:p>
      <w:pPr>
        <w:pStyle w:val="BookText"/>
      </w:pPr>
      <w:r>
        <w:rPr>
          <w:rFonts w:ascii="Amiri" w:hAnsi="Amiri" w:eastAsia="Amiri" w:cs="Amiri"/>
          <w:lang w:bidi="ar-SA"/>
          <w:color w:val="111111"/>
          <w:sz w:val="28"/>
          <w:szCs w:val="28"/>
          <w:rtl/>
        </w:rPr>
        <w:t xml:space="preserve">التجويد (ارجوزة في)، ج 3، ص 699.</w:t>
      </w:r>
    </w:p>
    <w:p>
      <w:pPr>
        <w:pStyle w:val="Heading2"/>
      </w:pPr>
      <w:bookmarkStart w:id="2590" w:name="_Toc1692"/>
      <w:r>
        <w:t>بحراني ، جعفر بن محمّد، 1285-1341ه-</w:t>
      </w:r>
      <w:bookmarkEnd w:id="2590"/>
    </w:p>
    <w:p>
      <w:pPr>
        <w:pStyle w:val="BookText"/>
      </w:pPr>
      <w:r>
        <w:rPr>
          <w:rFonts w:ascii="Amiri" w:hAnsi="Amiri" w:eastAsia="Amiri" w:cs="Amiri"/>
          <w:lang w:bidi="ar-SA"/>
          <w:color w:val="111111"/>
          <w:sz w:val="28"/>
          <w:szCs w:val="28"/>
          <w:rtl/>
        </w:rPr>
        <w:t xml:space="preserve">ديوان البحراني، ج7، ص 588.</w:t>
      </w:r>
    </w:p>
    <w:p>
      <w:pPr>
        <w:pStyle w:val="Heading2"/>
      </w:pPr>
      <w:bookmarkStart w:id="2591" w:name="_Toc1693"/>
      <w:r>
        <w:t>بحراني ، حامد</w:t>
      </w:r>
      <w:bookmarkEnd w:id="2591"/>
    </w:p>
    <w:p>
      <w:pPr>
        <w:pStyle w:val="BookText"/>
      </w:pPr>
      <w:r>
        <w:rPr>
          <w:rFonts w:ascii="IRNazanin" w:hAnsi="IRNazanin" w:eastAsia="IRNazanin" w:cs="IRNazanin"/>
          <w:lang w:bidi="fa-IR"/>
          <w:color w:val="111111"/>
          <w:sz w:val="28"/>
          <w:szCs w:val="28"/>
          <w:rtl/>
        </w:rPr>
        <w:t xml:space="preserve">دیوان سیّد حامد بحراني، ج 7، ص658.</w:t>
      </w:r>
    </w:p>
    <w:p>
      <w:pPr>
        <w:pStyle w:val="Heading2"/>
      </w:pPr>
      <w:bookmarkStart w:id="2592" w:name="_Toc1694"/>
      <w:r>
        <w:t>بحراني ، حسن بن حسين قرن 13 ه-</w:t>
      </w:r>
      <w:bookmarkEnd w:id="2592"/>
    </w:p>
    <w:p>
      <w:pPr>
        <w:pStyle w:val="BookText"/>
      </w:pPr>
      <w:r>
        <w:rPr>
          <w:rFonts w:ascii="Amiri" w:hAnsi="Amiri" w:eastAsia="Amiri" w:cs="Amiri"/>
          <w:lang w:bidi="ar-SA"/>
          <w:color w:val="111111"/>
          <w:sz w:val="28"/>
          <w:szCs w:val="28"/>
          <w:rtl/>
        </w:rPr>
        <w:t xml:space="preserve">تهذيب الفوادح الحسينيه، جه،</w:t>
      </w:r>
    </w:p>
    <w:p>
      <w:pPr>
        <w:pStyle w:val="BookText"/>
      </w:pPr>
      <w:r>
        <w:rPr>
          <w:rFonts w:ascii="IRNazanin" w:hAnsi="IRNazanin" w:eastAsia="IRNazanin" w:cs="IRNazanin"/>
          <w:lang w:bidi="fa-IR"/>
          <w:color w:val="111111"/>
          <w:sz w:val="28"/>
          <w:szCs w:val="28"/>
          <w:rtl/>
        </w:rPr>
        <w:t xml:space="preserve">ص 114.</w:t>
      </w:r>
    </w:p>
    <w:p>
      <w:pPr>
        <w:pStyle w:val="Heading2"/>
      </w:pPr>
      <w:bookmarkStart w:id="2593" w:name="_Toc1695"/>
      <w:r>
        <w:t>بحراني ، حسن بن سليمان قرن 8 ه-</w:t>
      </w:r>
      <w:bookmarkEnd w:id="2593"/>
    </w:p>
    <w:p>
      <w:pPr>
        <w:pStyle w:val="BookText"/>
      </w:pPr>
      <w:r>
        <w:rPr>
          <w:rFonts w:ascii="IRNazanin" w:hAnsi="IRNazanin" w:eastAsia="IRNazanin" w:cs="IRNazanin"/>
          <w:lang w:bidi="fa-IR"/>
          <w:color w:val="111111"/>
          <w:sz w:val="28"/>
          <w:szCs w:val="28"/>
          <w:rtl/>
        </w:rPr>
        <w:t xml:space="preserve">المناقب (مختصر)، ج 15، ص 554.</w:t>
      </w:r>
    </w:p>
    <w:p>
      <w:pPr>
        <w:pStyle w:val="Heading2"/>
      </w:pPr>
      <w:bookmarkStart w:id="2594" w:name="_Toc1696"/>
      <w:r>
        <w:t>بحراني ، حسين بن عباس قرن 13 ه-</w:t>
      </w:r>
      <w:bookmarkEnd w:id="2594"/>
    </w:p>
    <w:p>
      <w:pPr>
        <w:pStyle w:val="BookText"/>
      </w:pPr>
      <w:r>
        <w:rPr>
          <w:rFonts w:ascii="Amiri" w:hAnsi="Amiri" w:eastAsia="Amiri" w:cs="Amiri"/>
          <w:lang w:bidi="ar-SA"/>
          <w:color w:val="111111"/>
          <w:sz w:val="28"/>
          <w:szCs w:val="28"/>
          <w:rtl/>
        </w:rPr>
        <w:t xml:space="preserve">رسائل فقهية، ج 8، ص 146.</w:t>
      </w:r>
    </w:p>
    <w:p>
      <w:pPr>
        <w:pStyle w:val="BookText"/>
      </w:pPr>
      <w:r>
        <w:rPr>
          <w:rFonts w:ascii="Amiri" w:hAnsi="Amiri" w:eastAsia="Amiri" w:cs="Amiri"/>
          <w:lang w:bidi="ar-SA"/>
          <w:color w:val="111111"/>
          <w:sz w:val="28"/>
          <w:szCs w:val="28"/>
          <w:rtl/>
        </w:rPr>
        <w:t xml:space="preserve">بحراني ، حسين بن علي -بلادي بحراني ،</w:t>
      </w:r>
    </w:p>
    <w:p>
      <w:pPr>
        <w:pStyle w:val="BookText"/>
      </w:pPr>
      <w:r>
        <w:rPr>
          <w:rFonts w:ascii="Amiri" w:hAnsi="Amiri" w:eastAsia="Amiri" w:cs="Amiri"/>
          <w:lang w:bidi="ar-SA"/>
          <w:color w:val="111111"/>
          <w:sz w:val="28"/>
          <w:szCs w:val="28"/>
          <w:rtl/>
        </w:rPr>
        <w:t xml:space="preserve">حسين بن علي</w:t>
      </w:r>
    </w:p>
    <w:p>
      <w:pPr>
        <w:pStyle w:val="Heading2"/>
      </w:pPr>
      <w:bookmarkStart w:id="2595" w:name="_Toc1697"/>
      <w:r>
        <w:t>بحراني ، حسين بن علي قرن 13 ه-</w:t>
      </w:r>
      <w:bookmarkEnd w:id="2595"/>
    </w:p>
    <w:p>
      <w:pPr>
        <w:pStyle w:val="BookText"/>
      </w:pPr>
      <w:r>
        <w:rPr>
          <w:rFonts w:ascii="Amiri" w:hAnsi="Amiri" w:eastAsia="Amiri" w:cs="Amiri"/>
          <w:lang w:bidi="ar-SA"/>
          <w:color w:val="111111"/>
          <w:sz w:val="28"/>
          <w:szCs w:val="28"/>
          <w:rtl/>
        </w:rPr>
        <w:t xml:space="preserve">1.الاخلاق = الطريق الله تعالى -</w:t>
      </w:r>
    </w:p>
    <w:p>
      <w:pPr>
        <w:pStyle w:val="BookText"/>
      </w:pPr>
      <w:r>
        <w:rPr>
          <w:rFonts w:ascii="Amiri" w:hAnsi="Amiri" w:eastAsia="Amiri" w:cs="Amiri"/>
          <w:lang w:bidi="ar-SA"/>
          <w:color w:val="111111"/>
          <w:sz w:val="28"/>
          <w:szCs w:val="28"/>
          <w:rtl/>
        </w:rPr>
        <w:t xml:space="preserve">اخلاق بحراني، ج 1، ص 571.</w:t>
      </w:r>
    </w:p>
    <w:p>
      <w:pPr>
        <w:pStyle w:val="BookText"/>
      </w:pPr>
      <w:r>
        <w:rPr>
          <w:rFonts w:ascii="IRNazanin" w:hAnsi="IRNazanin" w:eastAsia="IRNazanin" w:cs="IRNazanin"/>
          <w:lang w:bidi="fa-IR"/>
          <w:color w:val="111111"/>
          <w:sz w:val="28"/>
          <w:szCs w:val="28"/>
          <w:rtl/>
        </w:rPr>
        <w:t xml:space="preserve">2 .ادعیه و ختومات، ج 1، ص 646.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الحث على الزواج (رسالة في)، ج 6،</w:t>
      </w:r>
    </w:p>
    <w:p>
      <w:pPr>
        <w:pStyle w:val="BookText"/>
      </w:pPr>
      <w:r>
        <w:rPr>
          <w:rFonts w:ascii="IRNazanin" w:hAnsi="IRNazanin" w:eastAsia="IRNazanin" w:cs="IRNazanin"/>
          <w:lang w:bidi="fa-IR"/>
          <w:color w:val="111111"/>
          <w:sz w:val="28"/>
          <w:szCs w:val="28"/>
          <w:rtl/>
        </w:rPr>
        <w:t xml:space="preserve">ص 474 .</w:t>
      </w:r>
    </w:p>
    <w:p>
      <w:pPr>
        <w:pStyle w:val="BookText"/>
      </w:pPr>
      <w:r>
        <w:rPr>
          <w:rFonts w:ascii="Amiri" w:hAnsi="Amiri" w:eastAsia="Amiri" w:cs="Amiri"/>
          <w:lang w:bidi="ar-SA"/>
          <w:color w:val="111111"/>
          <w:sz w:val="28"/>
          <w:szCs w:val="28"/>
          <w:rtl/>
        </w:rPr>
        <w:t xml:space="preserve">4 .مكارم الاخلاق (رسالة في)، ج 15 ،</w:t>
      </w:r>
    </w:p>
    <w:p>
      <w:pPr>
        <w:pStyle w:val="BookText"/>
      </w:pPr>
      <w:r>
        <w:rPr>
          <w:rFonts w:ascii="IRNazanin" w:hAnsi="IRNazanin" w:eastAsia="IRNazanin" w:cs="IRNazanin"/>
          <w:lang w:bidi="fa-IR"/>
          <w:color w:val="111111"/>
          <w:sz w:val="28"/>
          <w:szCs w:val="28"/>
          <w:rtl/>
        </w:rPr>
        <w:t xml:space="preserve">ص 412.</w:t>
      </w:r>
    </w:p>
    <w:p>
      <w:pPr>
        <w:pStyle w:val="Heading2"/>
      </w:pPr>
      <w:bookmarkStart w:id="2596" w:name="_Toc1698"/>
      <w:r>
        <w:t>بحراني ، حسين بن علي بن سليمان</w:t>
      </w:r>
      <w:bookmarkEnd w:id="2596"/>
    </w:p>
    <w:p>
      <w:pPr>
        <w:pStyle w:val="BookText"/>
      </w:pPr>
      <w:r>
        <w:rPr>
          <w:rFonts w:ascii="Amiri" w:hAnsi="Amiri" w:eastAsia="Amiri" w:cs="Amiri"/>
          <w:lang w:bidi="ar-SA"/>
          <w:color w:val="111111"/>
          <w:sz w:val="28"/>
          <w:szCs w:val="28"/>
          <w:rtl/>
        </w:rPr>
        <w:t xml:space="preserve">معنى التقليد (رسالة في)، ج 15</w:t>
      </w:r>
    </w:p>
    <w:p>
      <w:pPr>
        <w:pStyle w:val="BookText"/>
      </w:pPr>
      <w:r>
        <w:rPr>
          <w:rFonts w:ascii="IRNazanin" w:hAnsi="IRNazanin" w:eastAsia="IRNazanin" w:cs="IRNazanin"/>
          <w:lang w:bidi="fa-IR"/>
          <w:color w:val="111111"/>
          <w:sz w:val="28"/>
          <w:szCs w:val="28"/>
          <w:rtl/>
        </w:rPr>
        <w:t xml:space="preserve">ص 91</w:t>
      </w:r>
    </w:p>
    <w:p>
      <w:pPr>
        <w:pStyle w:val="Heading2"/>
      </w:pPr>
      <w:bookmarkStart w:id="2597" w:name="_Toc1699"/>
      <w:r>
        <w:t>بحراني ، حسين بن محمّد بن احمد</w:t>
      </w:r>
      <w:bookmarkEnd w:id="25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اجوبة المسائل، ج 1، ص 340.</w:t>
      </w:r>
    </w:p>
    <w:p>
      <w:pPr>
        <w:pStyle w:val="BookText"/>
      </w:pPr>
      <w:r>
        <w:rPr>
          <w:rFonts w:ascii="Amiri" w:hAnsi="Amiri" w:eastAsia="Amiri" w:cs="Amiri"/>
          <w:lang w:bidi="ar-SA"/>
          <w:color w:val="111111"/>
          <w:sz w:val="28"/>
          <w:szCs w:val="28"/>
          <w:rtl/>
        </w:rPr>
        <w:t xml:space="preserve">2 .اجوبة مسائل عبدالله البلادي، ج1،</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الفرحة الانسية في شرح النفحة</w:t>
      </w:r>
    </w:p>
    <w:p>
      <w:pPr>
        <w:pStyle w:val="BookText"/>
      </w:pPr>
      <w:r>
        <w:rPr>
          <w:rFonts w:ascii="Amiri" w:hAnsi="Amiri" w:eastAsia="Amiri" w:cs="Amiri"/>
          <w:lang w:bidi="ar-SA"/>
          <w:color w:val="111111"/>
          <w:sz w:val="28"/>
          <w:szCs w:val="28"/>
          <w:rtl/>
        </w:rPr>
        <w:t xml:space="preserve">القدسية، ج11، ص 776.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9" w:name="pg7742_69863"/>
    <w:bookmarkEnd w:id="239"/>
    <w:p>
      <w:pPr>
        <w:pStyle w:val="BookText"/>
      </w:pPr>
      <w:r>
        <w:rPr>
          <w:rFonts w:ascii="Amiri" w:hAnsi="Amiri" w:eastAsia="Amiri" w:cs="Amiri"/>
          <w:lang w:bidi="ar-SA"/>
          <w:color w:val="111111"/>
          <w:sz w:val="28"/>
          <w:szCs w:val="28"/>
          <w:rtl/>
        </w:rPr>
        <w:t xml:space="preserve">4 .القول الشارح والحجة لثمرات</w:t>
      </w:r>
    </w:p>
    <w:p>
      <w:pPr>
        <w:pStyle w:val="BookText"/>
      </w:pPr>
      <w:r>
        <w:rPr>
          <w:rFonts w:ascii="Amiri" w:hAnsi="Amiri" w:eastAsia="Amiri" w:cs="Amiri"/>
          <w:lang w:bidi="ar-SA"/>
          <w:color w:val="111111"/>
          <w:sz w:val="28"/>
          <w:szCs w:val="28"/>
          <w:rtl/>
        </w:rPr>
        <w:t xml:space="preserve">المهجة، ج 12، ص 848.</w:t>
      </w:r>
    </w:p>
    <w:p>
      <w:pPr>
        <w:pStyle w:val="BookText"/>
      </w:pPr>
      <w:r>
        <w:rPr>
          <w:rFonts w:ascii="Amiri" w:hAnsi="Amiri" w:eastAsia="Amiri" w:cs="Amiri"/>
          <w:lang w:bidi="ar-SA"/>
          <w:color w:val="111111"/>
          <w:sz w:val="28"/>
          <w:szCs w:val="28"/>
          <w:rtl/>
        </w:rPr>
        <w:t xml:space="preserve">5 .لب الحزن الضارم في وفاة موسى بن جعفر الكاظم، ج13، ص 558</w:t>
      </w:r>
    </w:p>
    <w:p>
      <w:pPr>
        <w:pStyle w:val="BookText"/>
      </w:pPr>
      <w:r>
        <w:rPr>
          <w:rFonts w:ascii="Amiri" w:hAnsi="Amiri" w:eastAsia="Amiri" w:cs="Amiri"/>
          <w:lang w:bidi="ar-SA"/>
          <w:color w:val="111111"/>
          <w:sz w:val="28"/>
          <w:szCs w:val="28"/>
          <w:rtl/>
        </w:rPr>
        <w:t xml:space="preserve">6 مسائل السيد علي بن عبداللطيف</w:t>
      </w:r>
    </w:p>
    <w:p>
      <w:pPr>
        <w:pStyle w:val="BookText"/>
      </w:pPr>
      <w:r>
        <w:rPr>
          <w:rFonts w:ascii="IRNazanin" w:hAnsi="IRNazanin" w:eastAsia="IRNazanin" w:cs="IRNazanin"/>
          <w:lang w:bidi="fa-IR"/>
          <w:color w:val="111111"/>
          <w:sz w:val="28"/>
          <w:szCs w:val="28"/>
          <w:rtl/>
        </w:rPr>
        <w:t xml:space="preserve">ج 14، ص 454.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النفحات الزكية من اجوبة مسائل</w:t>
      </w:r>
    </w:p>
    <w:p>
      <w:pPr>
        <w:pStyle w:val="BookText"/>
      </w:pPr>
      <w:r>
        <w:rPr>
          <w:rFonts w:ascii="Amiri" w:hAnsi="Amiri" w:eastAsia="Amiri" w:cs="Amiri"/>
          <w:lang w:bidi="ar-SA"/>
          <w:color w:val="111111"/>
          <w:sz w:val="28"/>
          <w:szCs w:val="28"/>
          <w:rtl/>
        </w:rPr>
        <w:t xml:space="preserve">الدهلكية، ج 16 ، ص382.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هداية القلوب والحواس في احكام</w:t>
      </w:r>
    </w:p>
    <w:p>
      <w:pPr>
        <w:pStyle w:val="BookText"/>
      </w:pPr>
      <w:r>
        <w:rPr>
          <w:rFonts w:ascii="Amiri" w:hAnsi="Amiri" w:eastAsia="Amiri" w:cs="Amiri"/>
          <w:lang w:bidi="ar-SA"/>
          <w:color w:val="111111"/>
          <w:sz w:val="28"/>
          <w:szCs w:val="28"/>
          <w:rtl/>
        </w:rPr>
        <w:t xml:space="preserve">الزكاة والاخماس، ج 16، ص 626 .</w:t>
      </w:r>
    </w:p>
    <w:p>
      <w:pPr>
        <w:pStyle w:val="BookText"/>
      </w:pPr>
      <w:r>
        <w:rPr>
          <w:rFonts w:ascii="Amiri" w:hAnsi="Amiri" w:eastAsia="Amiri" w:cs="Amiri"/>
          <w:lang w:bidi="ar-SA"/>
          <w:color w:val="111111"/>
          <w:sz w:val="28"/>
          <w:szCs w:val="28"/>
          <w:rtl/>
        </w:rPr>
        <w:t xml:space="preserve">9 .وسيلة الانام إلى احكام الصيام</w:t>
      </w:r>
    </w:p>
    <w:p>
      <w:pPr>
        <w:pStyle w:val="BookText"/>
      </w:pPr>
      <w:r>
        <w:rPr>
          <w:rFonts w:ascii="IRNazanin" w:hAnsi="IRNazanin" w:eastAsia="IRNazanin" w:cs="IRNazanin"/>
          <w:lang w:bidi="fa-IR"/>
          <w:color w:val="111111"/>
          <w:sz w:val="28"/>
          <w:szCs w:val="28"/>
          <w:rtl/>
        </w:rPr>
        <w:t xml:space="preserve">ج 16، ص 784.</w:t>
      </w:r>
    </w:p>
    <w:p>
      <w:pPr>
        <w:pStyle w:val="Heading2"/>
      </w:pPr>
      <w:bookmarkStart w:id="2598" w:name="_Toc1700"/>
      <w:r>
        <w:t>بحراني حسيني احمد بن سليمان قرن 8ه-</w:t>
      </w:r>
      <w:bookmarkEnd w:id="2598"/>
    </w:p>
    <w:p>
      <w:pPr>
        <w:pStyle w:val="BookText"/>
      </w:pPr>
      <w:r>
        <w:rPr>
          <w:rFonts w:ascii="Amiri" w:hAnsi="Amiri" w:eastAsia="Amiri" w:cs="Amiri"/>
          <w:lang w:bidi="ar-SA"/>
          <w:color w:val="111111"/>
          <w:sz w:val="28"/>
          <w:szCs w:val="28"/>
          <w:rtl/>
        </w:rPr>
        <w:t xml:space="preserve">تفسير آية «أطيعوا الله و اطيعوا الرسول وأولي الأمر منكم»، ج 4،</w:t>
      </w:r>
    </w:p>
    <w:p>
      <w:pPr>
        <w:pStyle w:val="BookText"/>
      </w:pPr>
      <w:r>
        <w:rPr>
          <w:rFonts w:ascii="IRNazanin" w:hAnsi="IRNazanin" w:eastAsia="IRNazanin" w:cs="IRNazanin"/>
          <w:lang w:bidi="fa-IR"/>
          <w:color w:val="111111"/>
          <w:sz w:val="28"/>
          <w:szCs w:val="28"/>
          <w:rtl/>
        </w:rPr>
        <w:t xml:space="preserve">ص 576 .</w:t>
      </w:r>
    </w:p>
    <w:p>
      <w:pPr>
        <w:pStyle w:val="BookText"/>
      </w:pPr>
      <w:r>
        <w:rPr>
          <w:rFonts w:ascii="Amiri" w:hAnsi="Amiri" w:eastAsia="Amiri" w:cs="Amiri"/>
          <w:lang w:bidi="ar-SA"/>
          <w:color w:val="111111"/>
          <w:sz w:val="28"/>
          <w:szCs w:val="28"/>
          <w:rtl/>
        </w:rPr>
        <w:t xml:space="preserve">بحراني حسيني ، ماجد بن محمّد -حسيني</w:t>
      </w:r>
    </w:p>
    <w:p>
      <w:pPr>
        <w:pStyle w:val="BookText"/>
      </w:pPr>
      <w:r>
        <w:rPr>
          <w:rFonts w:ascii="Amiri" w:hAnsi="Amiri" w:eastAsia="Amiri" w:cs="Amiri"/>
          <w:lang w:bidi="ar-SA"/>
          <w:color w:val="111111"/>
          <w:sz w:val="28"/>
          <w:szCs w:val="28"/>
          <w:rtl/>
        </w:rPr>
        <w:t xml:space="preserve">بحراني ، ماجد بن محمّد</w:t>
      </w:r>
    </w:p>
    <w:p>
      <w:pPr>
        <w:pStyle w:val="Heading2"/>
      </w:pPr>
      <w:bookmarkStart w:id="2599" w:name="_Toc1701"/>
      <w:r>
        <w:t>بحراني، سليمان بن عبدالله 1075؟ -</w:t>
      </w:r>
      <w:bookmarkEnd w:id="2599"/>
    </w:p>
    <w:p>
      <w:pPr>
        <w:pStyle w:val="BookText"/>
      </w:pPr>
      <w:r>
        <w:rPr>
          <w:rFonts w:ascii="IRNazanin" w:hAnsi="IRNazanin" w:eastAsia="IRNazanin" w:cs="IRNazanin"/>
          <w:lang w:bidi="fa-IR"/>
          <w:color w:val="111111"/>
          <w:sz w:val="28"/>
          <w:szCs w:val="28"/>
          <w:rtl/>
        </w:rPr>
        <w:t xml:space="preserve">1121 ه-</w:t>
      </w:r>
    </w:p>
    <w:p>
      <w:pPr>
        <w:pStyle w:val="BookText"/>
      </w:pPr>
      <w:r>
        <w:rPr>
          <w:rFonts w:ascii="Amiri" w:hAnsi="Amiri" w:eastAsia="Amiri" w:cs="Amiri"/>
          <w:lang w:bidi="ar-SA"/>
          <w:color w:val="111111"/>
          <w:sz w:val="28"/>
          <w:szCs w:val="28"/>
          <w:rtl/>
        </w:rPr>
        <w:t xml:space="preserve">1 .ابواب الدواب (رسالة في)، ج1،</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Amiri" w:hAnsi="Amiri" w:eastAsia="Amiri" w:cs="Amiri"/>
          <w:lang w:bidi="ar-SA"/>
          <w:color w:val="111111"/>
          <w:sz w:val="28"/>
          <w:szCs w:val="28"/>
          <w:rtl/>
        </w:rPr>
        <w:t xml:space="preserve">2 .اجازة في الرواية، ج 1، ص 224.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اجازة لمحمّد رفيع البيرمي اللازي</w:t>
      </w:r>
    </w:p>
    <w:p>
      <w:pPr>
        <w:pStyle w:val="BookText"/>
      </w:pPr>
      <w:r>
        <w:rPr>
          <w:rFonts w:ascii="IRNazanin" w:hAnsi="IRNazanin" w:eastAsia="IRNazanin" w:cs="IRNazanin"/>
          <w:lang w:bidi="fa-IR"/>
          <w:color w:val="111111"/>
          <w:sz w:val="28"/>
          <w:szCs w:val="28"/>
          <w:rtl/>
        </w:rPr>
        <w:t xml:space="preserve">ج 1، ص 286.</w:t>
      </w:r>
    </w:p>
    <w:p>
      <w:pPr>
        <w:pStyle w:val="BookText"/>
      </w:pPr>
      <w:r>
        <w:rPr>
          <w:rFonts w:ascii="Amiri" w:hAnsi="Amiri" w:eastAsia="Amiri" w:cs="Amiri"/>
          <w:lang w:bidi="ar-SA"/>
          <w:color w:val="111111"/>
          <w:sz w:val="28"/>
          <w:szCs w:val="28"/>
          <w:rtl/>
        </w:rPr>
        <w:t xml:space="preserve">4 .اجازة لميرزا محمّد رضي الحسيني</w:t>
      </w:r>
    </w:p>
    <w:p>
      <w:pPr>
        <w:pStyle w:val="BookText"/>
      </w:pPr>
      <w:r>
        <w:rPr>
          <w:rFonts w:ascii="IRNazanin" w:hAnsi="IRNazanin" w:eastAsia="IRNazanin" w:cs="IRNazanin"/>
          <w:lang w:bidi="fa-IR"/>
          <w:color w:val="111111"/>
          <w:sz w:val="28"/>
          <w:szCs w:val="28"/>
          <w:rtl/>
        </w:rPr>
        <w:t xml:space="preserve">ج 1، ص290.</w:t>
      </w:r>
    </w:p>
    <w:p>
      <w:pPr>
        <w:pStyle w:val="BookText"/>
      </w:pPr>
      <w:r>
        <w:rPr>
          <w:rFonts w:ascii="Amiri" w:hAnsi="Amiri" w:eastAsia="Amiri" w:cs="Amiri"/>
          <w:lang w:bidi="ar-SA"/>
          <w:color w:val="111111"/>
          <w:sz w:val="28"/>
          <w:szCs w:val="28"/>
          <w:rtl/>
        </w:rPr>
        <w:t xml:space="preserve">5 .اجوبة اسئلة الشيخ ناصر بن محمّد</w:t>
      </w:r>
    </w:p>
    <w:p>
      <w:pPr>
        <w:pStyle w:val="BookText"/>
      </w:pPr>
      <w:r>
        <w:rPr>
          <w:rFonts w:ascii="Amiri" w:hAnsi="Amiri" w:eastAsia="Amiri" w:cs="Amiri"/>
          <w:lang w:bidi="ar-SA"/>
          <w:color w:val="111111"/>
          <w:sz w:val="28"/>
          <w:szCs w:val="28"/>
          <w:rtl/>
        </w:rPr>
        <w:t xml:space="preserve">الخطي الجارودي، ج1، ص320.</w:t>
      </w:r>
    </w:p>
    <w:p>
      <w:pPr>
        <w:pStyle w:val="BookText"/>
      </w:pPr>
      <w:r>
        <w:rPr>
          <w:rFonts w:ascii="Amiri" w:hAnsi="Amiri" w:eastAsia="Amiri" w:cs="Amiri"/>
          <w:lang w:bidi="ar-SA"/>
          <w:color w:val="111111"/>
          <w:sz w:val="28"/>
          <w:szCs w:val="28"/>
          <w:rtl/>
        </w:rPr>
        <w:t xml:space="preserve">6 .اجوبة مسائل فقهية = اجوبة مسائل شتى، ج 1، ص 367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الاحباط، ج1، ص 433 .</w:t>
      </w:r>
    </w:p>
    <w:p>
      <w:pPr>
        <w:pStyle w:val="BookText"/>
      </w:pPr>
      <w:r>
        <w:rPr>
          <w:rFonts w:ascii="Amiri" w:hAnsi="Amiri" w:eastAsia="Amiri" w:cs="Amiri"/>
          <w:lang w:bidi="ar-SA"/>
          <w:color w:val="111111"/>
          <w:sz w:val="28"/>
          <w:szCs w:val="28"/>
          <w:rtl/>
        </w:rPr>
        <w:t xml:space="preserve">8.اسرار الصلاة، ج 2، ص 173.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افضلية التسبيح في الركعتين الاخيرتين، ج2، ص 597.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افضلية التسبيح من الحمد، ج2،</w:t>
      </w:r>
    </w:p>
    <w:p>
      <w:pPr>
        <w:pStyle w:val="BookText"/>
      </w:pPr>
      <w:r>
        <w:rPr>
          <w:rFonts w:ascii="IRNazanin" w:hAnsi="IRNazanin" w:eastAsia="IRNazanin" w:cs="IRNazanin"/>
          <w:lang w:bidi="fa-IR"/>
          <w:color w:val="111111"/>
          <w:sz w:val="28"/>
          <w:szCs w:val="28"/>
          <w:rtl/>
        </w:rPr>
        <w:t xml:space="preserve">ص598.</w:t>
      </w:r>
    </w:p>
    <w:p>
      <w:pPr>
        <w:pStyle w:val="BookText"/>
      </w:pPr>
      <w:r>
        <w:rPr>
          <w:rFonts w:ascii="Amiri" w:hAnsi="Amiri" w:eastAsia="Amiri" w:cs="Amiri"/>
          <w:lang w:bidi="ar-SA"/>
          <w:color w:val="111111"/>
          <w:sz w:val="28"/>
          <w:szCs w:val="28"/>
          <w:rtl/>
        </w:rPr>
        <w:t xml:space="preserve">11 .انوار الهدى من تحقيق البدا، ج3،</w:t>
      </w:r>
    </w:p>
    <w:p>
      <w:pPr>
        <w:pStyle w:val="BookText"/>
      </w:pPr>
      <w:r>
        <w:rPr>
          <w:rFonts w:ascii="IRNazanin" w:hAnsi="IRNazanin" w:eastAsia="IRNazanin" w:cs="IRNazanin"/>
          <w:lang w:bidi="fa-IR"/>
          <w:color w:val="111111"/>
          <w:sz w:val="28"/>
          <w:szCs w:val="28"/>
          <w:rtl/>
        </w:rPr>
        <w:t xml:space="preserve">ص 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البداء = حقيقة البداء (رسالة في)</w:t>
      </w:r>
    </w:p>
    <w:p>
      <w:pPr>
        <w:pStyle w:val="BookText"/>
      </w:pPr>
      <w:r>
        <w:rPr>
          <w:rFonts w:ascii="IRNazanin" w:hAnsi="IRNazanin" w:eastAsia="IRNazanin" w:cs="IRNazanin"/>
          <w:lang w:bidi="fa-IR"/>
          <w:color w:val="111111"/>
          <w:sz w:val="28"/>
          <w:szCs w:val="28"/>
          <w:rtl/>
        </w:rPr>
        <w:t xml:space="preserve">ج 3، ص239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بلغة المحدثين، ج3، ص393.</w:t>
      </w:r>
    </w:p>
    <w:p>
      <w:pPr>
        <w:pStyle w:val="BookText"/>
      </w:pPr>
      <w:r>
        <w:rPr>
          <w:rFonts w:ascii="Amiri" w:hAnsi="Amiri" w:eastAsia="Amiri" w:cs="Amiri"/>
          <w:lang w:bidi="ar-SA"/>
          <w:color w:val="111111"/>
          <w:sz w:val="28"/>
          <w:szCs w:val="28"/>
          <w:rtl/>
        </w:rPr>
        <w:t xml:space="preserve">14 .تحقق وجود الكلي الطبيعي، جع،</w:t>
      </w:r>
    </w:p>
    <w:p>
      <w:pPr>
        <w:pStyle w:val="BookText"/>
      </w:pPr>
      <w:r>
        <w:rPr>
          <w:rFonts w:ascii="IRNazanin" w:hAnsi="IRNazanin" w:eastAsia="IRNazanin" w:cs="IRNazanin"/>
          <w:lang w:bidi="fa-IR"/>
          <w:color w:val="111111"/>
          <w:sz w:val="28"/>
          <w:szCs w:val="28"/>
          <w:rtl/>
        </w:rPr>
        <w:t xml:space="preserve">ص 43 .</w:t>
      </w:r>
    </w:p>
    <w:p>
      <w:pPr>
        <w:pStyle w:val="BookText"/>
      </w:pPr>
      <w:r>
        <w:rPr>
          <w:rFonts w:ascii="Amiri" w:hAnsi="Amiri" w:eastAsia="Amiri" w:cs="Amiri"/>
          <w:lang w:bidi="ar-SA"/>
          <w:color w:val="111111"/>
          <w:sz w:val="28"/>
          <w:szCs w:val="28"/>
          <w:rtl/>
        </w:rPr>
        <w:t xml:space="preserve">15 .تحقيق مسألة تباعد البئر عن</w:t>
      </w:r>
    </w:p>
    <w:p>
      <w:pPr>
        <w:pStyle w:val="BookText"/>
      </w:pPr>
      <w:r>
        <w:rPr>
          <w:rFonts w:ascii="Amiri" w:hAnsi="Amiri" w:eastAsia="Amiri" w:cs="Amiri"/>
          <w:lang w:bidi="ar-SA"/>
          <w:color w:val="111111"/>
          <w:sz w:val="28"/>
          <w:szCs w:val="28"/>
          <w:rtl/>
        </w:rPr>
        <w:t xml:space="preserve">البالوعة، ج 4، ص 76 .</w:t>
      </w:r>
    </w:p>
    <w:p>
      <w:pPr>
        <w:pStyle w:val="BookText"/>
      </w:pPr>
      <w:r>
        <w:rPr>
          <w:rFonts w:ascii="Amiri" w:hAnsi="Amiri" w:eastAsia="Amiri" w:cs="Amiri"/>
          <w:lang w:bidi="ar-SA"/>
          <w:color w:val="111111"/>
          <w:sz w:val="28"/>
          <w:szCs w:val="28"/>
          <w:rtl/>
        </w:rPr>
        <w:t xml:space="preserve">16 . التسامح في ادلة السنن، ج 4،</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Amiri" w:hAnsi="Amiri" w:eastAsia="Amiri" w:cs="Amiri"/>
          <w:lang w:bidi="ar-SA"/>
          <w:color w:val="111111"/>
          <w:sz w:val="28"/>
          <w:szCs w:val="28"/>
          <w:rtl/>
        </w:rPr>
        <w:t xml:space="preserve">17 .التطيب بالزياد (رسالة في)، ج 4،</w:t>
      </w:r>
    </w:p>
    <w:p>
      <w:pPr>
        <w:pStyle w:val="BookText"/>
      </w:pPr>
      <w:r>
        <w:rPr>
          <w:rFonts w:ascii="IRNazanin" w:hAnsi="IRNazanin" w:eastAsia="IRNazanin" w:cs="IRNazanin"/>
          <w:lang w:bidi="fa-IR"/>
          <w:color w:val="111111"/>
          <w:sz w:val="28"/>
          <w:szCs w:val="28"/>
          <w:rtl/>
        </w:rPr>
        <w:t xml:space="preserve">ص 444 .</w:t>
      </w:r>
    </w:p>
    <w:p>
      <w:pPr>
        <w:pStyle w:val="BookText"/>
      </w:pPr>
      <w:r>
        <w:rPr>
          <w:rFonts w:ascii="Amiri" w:hAnsi="Amiri" w:eastAsia="Amiri" w:cs="Amiri"/>
          <w:lang w:bidi="ar-SA"/>
          <w:color w:val="111111"/>
          <w:sz w:val="28"/>
          <w:szCs w:val="28"/>
          <w:rtl/>
        </w:rPr>
        <w:t xml:space="preserve">18 .جواز تقليد الميت ج5 ص 516</w:t>
      </w:r>
    </w:p>
    <w:p>
      <w:pPr>
        <w:pStyle w:val="BookText"/>
      </w:pPr>
      <w:r>
        <w:rPr>
          <w:rFonts w:ascii="Amiri" w:hAnsi="Amiri" w:eastAsia="Amiri" w:cs="Amiri"/>
          <w:lang w:bidi="ar-SA"/>
          <w:color w:val="111111"/>
          <w:sz w:val="28"/>
          <w:szCs w:val="28"/>
          <w:rtl/>
        </w:rPr>
        <w:t xml:space="preserve">19 .حاشية ارشاد الاذهان جه،</w:t>
      </w:r>
    </w:p>
    <w:p>
      <w:pPr>
        <w:pStyle w:val="BookText"/>
      </w:pPr>
      <w:r>
        <w:rPr>
          <w:rFonts w:ascii="Times New Roman" w:hAnsi="Times New Roman" w:eastAsia="Times New Roman" w:cs="Times New Roman"/>
          <w:lang w:val="en-US" w:bidi="en-US"/>
          <w:color w:val="111111"/>
          <w:sz w:val="28"/>
          <w:szCs w:val="28"/>
          <w:rtl/>
        </w:rPr>
        <w:t xml:space="preserve">.77160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حقيقة السجود، ج 6، ص 710.</w:t>
      </w:r>
    </w:p>
    <w:p>
      <w:pPr>
        <w:pStyle w:val="BookText"/>
      </w:pPr>
      <w:r>
        <w:rPr>
          <w:rFonts w:ascii="Amiri" w:hAnsi="Amiri" w:eastAsia="Amiri" w:cs="Amiri"/>
          <w:lang w:bidi="ar-SA"/>
          <w:color w:val="111111"/>
          <w:sz w:val="28"/>
          <w:szCs w:val="28"/>
          <w:rtl/>
        </w:rPr>
        <w:t xml:space="preserve">21 .سهو الانبياء، ج8، ص 852.</w:t>
      </w:r>
    </w:p>
    <w:p>
      <w:pPr>
        <w:pStyle w:val="BookText"/>
      </w:pPr>
      <w:r>
        <w:rPr>
          <w:rFonts w:ascii="IRNazanin" w:hAnsi="IRNazanin" w:eastAsia="IRNazanin" w:cs="IRNazanin"/>
          <w:lang w:bidi="fa-IR"/>
          <w:color w:val="111111"/>
          <w:sz w:val="28"/>
          <w:szCs w:val="28"/>
          <w:rtl/>
        </w:rPr>
        <w:t xml:space="preserve">22 .شرح حدیث «نية المؤمن خير من</w:t>
      </w:r>
    </w:p>
    <w:p>
      <w:pPr>
        <w:pStyle w:val="BookText"/>
      </w:pPr>
      <w:r>
        <w:rPr>
          <w:rFonts w:ascii="IRNazanin" w:hAnsi="IRNazanin" w:eastAsia="IRNazanin" w:cs="IRNazanin"/>
          <w:lang w:bidi="fa-IR"/>
          <w:color w:val="111111"/>
          <w:sz w:val="28"/>
          <w:szCs w:val="28"/>
          <w:rtl/>
        </w:rPr>
        <w:t xml:space="preserve">عمله»، ج 9، ص 406.</w:t>
      </w:r>
    </w:p>
    <w:p>
      <w:pPr>
        <w:pStyle w:val="BookText"/>
      </w:pPr>
      <w:r>
        <w:rPr>
          <w:rFonts w:ascii="Amiri" w:hAnsi="Amiri" w:eastAsia="Amiri" w:cs="Amiri"/>
          <w:lang w:bidi="ar-SA"/>
          <w:color w:val="111111"/>
          <w:sz w:val="28"/>
          <w:szCs w:val="28"/>
          <w:rtl/>
        </w:rPr>
        <w:t xml:space="preserve">23 .شرح مسألة من كتاب من لا يحضره الفقيه، ج 10، ص 135.</w:t>
      </w:r>
    </w:p>
    <w:p>
      <w:pPr>
        <w:pStyle w:val="BookText"/>
      </w:pPr>
      <w:r>
        <w:rPr>
          <w:rFonts w:ascii="IRNazanin" w:hAnsi="IRNazanin" w:eastAsia="IRNazanin" w:cs="IRNazanin"/>
          <w:lang w:bidi="fa-IR"/>
          <w:color w:val="111111"/>
          <w:sz w:val="28"/>
          <w:szCs w:val="28"/>
          <w:rtl/>
        </w:rPr>
        <w:t xml:space="preserve">24 .طلاق الغائب، ج 10، ص 847.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العشرة الكاملة = لباب الاجتهاد</w:t>
      </w:r>
    </w:p>
    <w:p>
      <w:pPr>
        <w:pStyle w:val="BookText"/>
      </w:pPr>
      <w:r>
        <w:rPr>
          <w:rFonts w:ascii="IRNazanin" w:hAnsi="IRNazanin" w:eastAsia="IRNazanin" w:cs="IRNazanin"/>
          <w:lang w:bidi="fa-IR"/>
          <w:color w:val="111111"/>
          <w:sz w:val="28"/>
          <w:szCs w:val="28"/>
          <w:rtl/>
        </w:rPr>
        <w:t xml:space="preserve">ج 11، ص118.</w:t>
      </w:r>
    </w:p>
    <w:p>
      <w:pPr>
        <w:pStyle w:val="BookText"/>
      </w:pPr>
      <w:r>
        <w:rPr>
          <w:rFonts w:ascii="Amiri" w:hAnsi="Amiri" w:eastAsia="Amiri" w:cs="Amiri"/>
          <w:lang w:bidi="ar-SA"/>
          <w:color w:val="111111"/>
          <w:sz w:val="28"/>
          <w:szCs w:val="28"/>
          <w:rtl/>
        </w:rPr>
        <w:t xml:space="preserve">26 .العصير الزبيبي (رسالة في)، ج11،</w:t>
      </w:r>
    </w:p>
    <w:p>
      <w:pPr>
        <w:pStyle w:val="BookText"/>
      </w:pPr>
      <w:r>
        <w:rPr>
          <w:rFonts w:ascii="IRNazanin" w:hAnsi="IRNazanin" w:eastAsia="IRNazanin" w:cs="IRNazanin"/>
          <w:lang w:bidi="fa-IR"/>
          <w:color w:val="111111"/>
          <w:sz w:val="28"/>
          <w:szCs w:val="28"/>
          <w:rtl/>
        </w:rPr>
        <w:t xml:space="preserve">ص 127.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0" w:name="pg7742_69865"/>
    <w:bookmarkEnd w:id="240"/>
    <w:p>
      <w:pPr>
        <w:pStyle w:val="BookText"/>
      </w:pPr>
      <w:r>
        <w:rPr>
          <w:rFonts w:ascii="Amiri" w:hAnsi="Amiri" w:eastAsia="Amiri" w:cs="Amiri"/>
          <w:lang w:bidi="ar-SA"/>
          <w:color w:val="111111"/>
          <w:sz w:val="28"/>
          <w:szCs w:val="28"/>
          <w:rtl/>
        </w:rPr>
        <w:t xml:space="preserve">27 .فصل الخطاب و كنه الصواب في</w:t>
      </w:r>
    </w:p>
    <w:p>
      <w:pPr>
        <w:pStyle w:val="BookText"/>
      </w:pPr>
      <w:r>
        <w:rPr>
          <w:rFonts w:ascii="Amiri" w:hAnsi="Amiri" w:eastAsia="Amiri" w:cs="Amiri"/>
          <w:lang w:bidi="ar-SA"/>
          <w:color w:val="111111"/>
          <w:sz w:val="28"/>
          <w:szCs w:val="28"/>
          <w:rtl/>
        </w:rPr>
        <w:t xml:space="preserve">نجاسة أهل الكتاب و النصاب ج 11، ص 835.</w:t>
      </w:r>
    </w:p>
    <w:p>
      <w:pPr>
        <w:pStyle w:val="BookText"/>
      </w:pPr>
      <w:r>
        <w:rPr>
          <w:rFonts w:ascii="Amiri" w:hAnsi="Amiri" w:eastAsia="Amiri" w:cs="Amiri"/>
          <w:lang w:bidi="ar-SA"/>
          <w:color w:val="111111"/>
          <w:sz w:val="28"/>
          <w:szCs w:val="28"/>
          <w:rtl/>
        </w:rPr>
        <w:t xml:space="preserve">28 .فهرس علماء البحرين، ج 12</w:t>
      </w:r>
    </w:p>
    <w:p>
      <w:pPr>
        <w:pStyle w:val="BookText"/>
      </w:pPr>
      <w:r>
        <w:rPr>
          <w:rFonts w:ascii="IRNazanin" w:hAnsi="IRNazanin" w:eastAsia="IRNazanin" w:cs="IRNazanin"/>
          <w:lang w:bidi="fa-IR"/>
          <w:color w:val="111111"/>
          <w:sz w:val="28"/>
          <w:szCs w:val="28"/>
          <w:rtl/>
        </w:rPr>
        <w:t xml:space="preserve">ص 159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الفوائد السرية في شرح الاثنى</w:t>
      </w:r>
    </w:p>
    <w:p>
      <w:pPr>
        <w:pStyle w:val="BookText"/>
      </w:pPr>
      <w:r>
        <w:rPr>
          <w:rFonts w:ascii="Amiri" w:hAnsi="Amiri" w:eastAsia="Amiri" w:cs="Amiri"/>
          <w:lang w:bidi="ar-SA"/>
          <w:color w:val="111111"/>
          <w:sz w:val="28"/>
          <w:szCs w:val="28"/>
          <w:rtl/>
        </w:rPr>
        <w:t xml:space="preserve">عشرية، ج 12، ص 207.</w:t>
      </w:r>
    </w:p>
    <w:p>
      <w:pPr>
        <w:pStyle w:val="BookText"/>
      </w:pPr>
      <w:r>
        <w:rPr>
          <w:rFonts w:ascii="Amiri" w:hAnsi="Amiri" w:eastAsia="Amiri" w:cs="Amiri"/>
          <w:lang w:bidi="ar-SA"/>
          <w:color w:val="111111"/>
          <w:sz w:val="28"/>
          <w:szCs w:val="28"/>
          <w:rtl/>
        </w:rPr>
        <w:t xml:space="preserve">30.كشف القناع عن حجية الاجماع</w:t>
      </w:r>
    </w:p>
    <w:p>
      <w:pPr>
        <w:pStyle w:val="BookText"/>
      </w:pPr>
      <w:r>
        <w:rPr>
          <w:rFonts w:ascii="IRNazanin" w:hAnsi="IRNazanin" w:eastAsia="IRNazanin" w:cs="IRNazanin"/>
          <w:lang w:bidi="fa-IR"/>
          <w:color w:val="111111"/>
          <w:sz w:val="28"/>
          <w:szCs w:val="28"/>
          <w:rtl/>
        </w:rPr>
        <w:t xml:space="preserve">ج 13 ، ص 247.</w:t>
      </w:r>
    </w:p>
    <w:p>
      <w:pPr>
        <w:pStyle w:val="BookText"/>
      </w:pPr>
      <w:r>
        <w:rPr>
          <w:rFonts w:ascii="Amiri" w:hAnsi="Amiri" w:eastAsia="Amiri" w:cs="Amiri"/>
          <w:lang w:bidi="ar-SA"/>
          <w:color w:val="111111"/>
          <w:sz w:val="28"/>
          <w:szCs w:val="28"/>
          <w:rtl/>
        </w:rPr>
        <w:t xml:space="preserve">31 .كيفية التسبيح في الركعتين الآخرتين، ج13، ص 479.</w:t>
      </w:r>
    </w:p>
    <w:p>
      <w:pPr>
        <w:pStyle w:val="BookText"/>
      </w:pPr>
      <w:r>
        <w:rPr>
          <w:rFonts w:ascii="Amiri" w:hAnsi="Amiri" w:eastAsia="Amiri" w:cs="Amiri"/>
          <w:lang w:bidi="ar-SA"/>
          <w:color w:val="111111"/>
          <w:sz w:val="28"/>
          <w:szCs w:val="28"/>
          <w:rtl/>
        </w:rPr>
        <w:t xml:space="preserve">32 .المسائل الخلافية في مناسك الحج</w:t>
      </w:r>
    </w:p>
    <w:p>
      <w:pPr>
        <w:pStyle w:val="BookText"/>
      </w:pPr>
      <w:r>
        <w:rPr>
          <w:rFonts w:ascii="IRNazanin" w:hAnsi="IRNazanin" w:eastAsia="IRNazanin" w:cs="IRNazanin"/>
          <w:lang w:bidi="fa-IR"/>
          <w:color w:val="111111"/>
          <w:sz w:val="28"/>
          <w:szCs w:val="28"/>
          <w:rtl/>
        </w:rPr>
        <w:t xml:space="preserve">ج 14، ص 450.</w:t>
      </w:r>
    </w:p>
    <w:p>
      <w:pPr>
        <w:pStyle w:val="BookText"/>
      </w:pPr>
      <w:r>
        <w:rPr>
          <w:rFonts w:ascii="Amiri" w:hAnsi="Amiri" w:eastAsia="Amiri" w:cs="Amiri"/>
          <w:lang w:bidi="ar-SA"/>
          <w:color w:val="111111"/>
          <w:sz w:val="28"/>
          <w:szCs w:val="28"/>
          <w:rtl/>
        </w:rPr>
        <w:t xml:space="preserve">33 .مسائل متفرقة، ج 14، ص 483.</w:t>
      </w:r>
    </w:p>
    <w:p>
      <w:pPr>
        <w:pStyle w:val="BookText"/>
      </w:pPr>
      <w:r>
        <w:rPr>
          <w:rFonts w:ascii="Amiri" w:hAnsi="Amiri" w:eastAsia="Amiri" w:cs="Amiri"/>
          <w:lang w:bidi="ar-SA"/>
          <w:color w:val="111111"/>
          <w:sz w:val="28"/>
          <w:szCs w:val="28"/>
          <w:rtl/>
        </w:rPr>
        <w:t xml:space="preserve">34 .معراج اهل الكمال إلى معرفة</w:t>
      </w:r>
    </w:p>
    <w:p>
      <w:pPr>
        <w:pStyle w:val="BookText"/>
      </w:pPr>
      <w:r>
        <w:rPr>
          <w:rFonts w:ascii="IRNazanin" w:hAnsi="IRNazanin" w:eastAsia="IRNazanin" w:cs="IRNazanin"/>
          <w:lang w:bidi="fa-IR"/>
          <w:color w:val="111111"/>
          <w:sz w:val="28"/>
          <w:szCs w:val="28"/>
          <w:rtl/>
        </w:rPr>
        <w:t xml:space="preserve">الرجال، ج 15، ص 29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مقتطفات من كشكول ج 15</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Amiri" w:hAnsi="Amiri" w:eastAsia="Amiri" w:cs="Amiri"/>
          <w:lang w:bidi="ar-SA"/>
          <w:color w:val="111111"/>
          <w:sz w:val="28"/>
          <w:szCs w:val="28"/>
          <w:rtl/>
        </w:rPr>
        <w:t xml:space="preserve">36 .المنارات الظاهرة في الاستخارات المأثورة عن العترة الطاهرة، ج 15</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Amiri" w:hAnsi="Amiri" w:eastAsia="Amiri" w:cs="Amiri"/>
          <w:lang w:bidi="ar-SA"/>
          <w:color w:val="111111"/>
          <w:sz w:val="28"/>
          <w:szCs w:val="28"/>
          <w:rtl/>
        </w:rPr>
        <w:t xml:space="preserve">37 .مناسك الحج، ج 15، ص 500.</w:t>
      </w:r>
    </w:p>
    <w:p>
      <w:pPr>
        <w:pStyle w:val="BookText"/>
      </w:pPr>
      <w:r>
        <w:rPr>
          <w:rFonts w:ascii="Amiri" w:hAnsi="Amiri" w:eastAsia="Amiri" w:cs="Amiri"/>
          <w:lang w:bidi="ar-SA"/>
          <w:color w:val="111111"/>
          <w:sz w:val="28"/>
          <w:szCs w:val="28"/>
          <w:rtl/>
        </w:rPr>
        <w:t xml:space="preserve">38 .مواضع تأخير الصلاة عن اول</w:t>
      </w:r>
    </w:p>
    <w:p>
      <w:pPr>
        <w:pStyle w:val="BookText"/>
      </w:pPr>
      <w:r>
        <w:rPr>
          <w:rFonts w:ascii="IRNazanin" w:hAnsi="IRNazanin" w:eastAsia="IRNazanin" w:cs="IRNazanin"/>
          <w:lang w:bidi="fa-IR"/>
          <w:color w:val="111111"/>
          <w:sz w:val="28"/>
          <w:szCs w:val="28"/>
          <w:rtl/>
        </w:rPr>
        <w:t xml:space="preserve">وقتها، ج 15 ، ص 861.</w:t>
      </w:r>
    </w:p>
    <w:p>
      <w:pPr>
        <w:pStyle w:val="BookText"/>
      </w:pPr>
      <w:r>
        <w:rPr>
          <w:rFonts w:ascii="Amiri" w:hAnsi="Amiri" w:eastAsia="Amiri" w:cs="Amiri"/>
          <w:lang w:bidi="ar-SA"/>
          <w:color w:val="111111"/>
          <w:sz w:val="28"/>
          <w:szCs w:val="28"/>
          <w:rtl/>
        </w:rPr>
        <w:t xml:space="preserve">39 .ناظمة الشتات فيما يستحب تأخيره من اول الاوقات، ج 16،</w:t>
      </w:r>
    </w:p>
    <w:p>
      <w:pPr>
        <w:pStyle w:val="BookText"/>
      </w:pPr>
      <w:r>
        <w:rPr>
          <w:rFonts w:ascii="IRNazanin" w:hAnsi="IRNazanin" w:eastAsia="IRNazanin" w:cs="IRNazanin"/>
          <w:lang w:bidi="fa-IR"/>
          <w:color w:val="111111"/>
          <w:sz w:val="28"/>
          <w:szCs w:val="28"/>
          <w:rtl/>
        </w:rPr>
        <w:t xml:space="preserve">ص 94 .</w:t>
      </w:r>
    </w:p>
    <w:p>
      <w:pPr>
        <w:pStyle w:val="BookText"/>
      </w:pPr>
      <w:r>
        <w:rPr>
          <w:rFonts w:ascii="Amiri" w:hAnsi="Amiri" w:eastAsia="Amiri" w:cs="Amiri"/>
          <w:lang w:bidi="ar-SA"/>
          <w:color w:val="111111"/>
          <w:sz w:val="28"/>
          <w:szCs w:val="28"/>
          <w:rtl/>
        </w:rPr>
        <w:t xml:space="preserve">40 .النكت البديعة في تحقيق الشيعة</w:t>
      </w:r>
    </w:p>
    <w:p>
      <w:pPr>
        <w:pStyle w:val="BookText"/>
      </w:pPr>
      <w:r>
        <w:rPr>
          <w:rFonts w:ascii="IRNazanin" w:hAnsi="IRNazanin" w:eastAsia="IRNazanin" w:cs="IRNazanin"/>
          <w:lang w:bidi="fa-IR"/>
          <w:color w:val="111111"/>
          <w:sz w:val="28"/>
          <w:szCs w:val="28"/>
          <w:rtl/>
        </w:rPr>
        <w:t xml:space="preserve">ج 16، ص 462.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النكتة السنية في المسألة المازنية</w:t>
      </w:r>
    </w:p>
    <w:p>
      <w:pPr>
        <w:pStyle w:val="BookText"/>
      </w:pPr>
      <w:r>
        <w:rPr>
          <w:rFonts w:ascii="IRNazanin" w:hAnsi="IRNazanin" w:eastAsia="IRNazanin" w:cs="IRNazanin"/>
          <w:lang w:bidi="fa-IR"/>
          <w:color w:val="111111"/>
          <w:sz w:val="28"/>
          <w:szCs w:val="28"/>
          <w:rtl/>
        </w:rPr>
        <w:t xml:space="preserve">ج 16، ص 462.</w:t>
      </w:r>
    </w:p>
    <w:p>
      <w:pPr>
        <w:pStyle w:val="BookText"/>
      </w:pPr>
      <w:r>
        <w:rPr>
          <w:rFonts w:ascii="Amiri" w:hAnsi="Amiri" w:eastAsia="Amiri" w:cs="Amiri"/>
          <w:lang w:bidi="ar-SA"/>
          <w:color w:val="111111"/>
          <w:sz w:val="28"/>
          <w:szCs w:val="28"/>
          <w:rtl/>
        </w:rPr>
        <w:t xml:space="preserve">42 .هل يجوز خلو زمان الغيبة عن المجتهد أم لا ، ج 16 ، ص 650 .</w:t>
      </w:r>
    </w:p>
    <w:p>
      <w:pPr>
        <w:pStyle w:val="BookText"/>
      </w:pPr>
      <w:r>
        <w:rPr>
          <w:rFonts w:ascii="Amiri" w:hAnsi="Amiri" w:eastAsia="Amiri" w:cs="Amiri"/>
          <w:lang w:bidi="ar-SA"/>
          <w:color w:val="111111"/>
          <w:sz w:val="28"/>
          <w:szCs w:val="28"/>
          <w:rtl/>
        </w:rPr>
        <w:t xml:space="preserve">43 .واجبات الصلاة وشرائطها و احكامها اللابدية، ج 16، ص 673.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وجوب الذكر في سجدتي السهو،</w:t>
      </w:r>
    </w:p>
    <w:p>
      <w:pPr>
        <w:pStyle w:val="BookText"/>
      </w:pPr>
      <w:r>
        <w:rPr>
          <w:rFonts w:ascii="IRNazanin" w:hAnsi="IRNazanin" w:eastAsia="IRNazanin" w:cs="IRNazanin"/>
          <w:lang w:bidi="fa-IR"/>
          <w:color w:val="111111"/>
          <w:sz w:val="28"/>
          <w:szCs w:val="28"/>
          <w:rtl/>
        </w:rPr>
        <w:t xml:space="preserve">ج 16، ص 730.</w:t>
      </w:r>
    </w:p>
    <w:p>
      <w:pPr>
        <w:pStyle w:val="BookText"/>
      </w:pPr>
      <w:r>
        <w:rPr>
          <w:rFonts w:ascii="Amiri" w:hAnsi="Amiri" w:eastAsia="Amiri" w:cs="Amiri"/>
          <w:lang w:bidi="ar-SA"/>
          <w:color w:val="111111"/>
          <w:sz w:val="28"/>
          <w:szCs w:val="28"/>
          <w:rtl/>
        </w:rPr>
        <w:t xml:space="preserve">45 .وجوب صلاة الجمعة في زمن</w:t>
      </w:r>
    </w:p>
    <w:p>
      <w:pPr>
        <w:pStyle w:val="BookText"/>
      </w:pPr>
      <w:r>
        <w:rPr>
          <w:rFonts w:ascii="Amiri" w:hAnsi="Amiri" w:eastAsia="Amiri" w:cs="Amiri"/>
          <w:lang w:bidi="ar-SA"/>
          <w:color w:val="111111"/>
          <w:sz w:val="28"/>
          <w:szCs w:val="28"/>
          <w:rtl/>
        </w:rPr>
        <w:t xml:space="preserve">الغيبة، ج 16، ص 730.</w:t>
      </w:r>
    </w:p>
    <w:p>
      <w:pPr>
        <w:pStyle w:val="BookText"/>
      </w:pPr>
      <w:r>
        <w:rPr>
          <w:rFonts w:ascii="Amiri" w:hAnsi="Amiri" w:eastAsia="Amiri" w:cs="Amiri"/>
          <w:lang w:bidi="ar-SA"/>
          <w:color w:val="111111"/>
          <w:sz w:val="28"/>
          <w:szCs w:val="28"/>
          <w:rtl/>
        </w:rPr>
        <w:t xml:space="preserve">46 .وجوب غسل الجنابة وغيرها</w:t>
      </w:r>
    </w:p>
    <w:p>
      <w:pPr>
        <w:pStyle w:val="BookText"/>
      </w:pPr>
      <w:r>
        <w:rPr>
          <w:rFonts w:ascii="Amiri" w:hAnsi="Amiri" w:eastAsia="Amiri" w:cs="Amiri"/>
          <w:lang w:bidi="ar-SA"/>
          <w:color w:val="111111"/>
          <w:sz w:val="28"/>
          <w:szCs w:val="28"/>
          <w:rtl/>
        </w:rPr>
        <w:t xml:space="preserve">لغيرها، ج 16، ص 731.</w:t>
      </w:r>
    </w:p>
    <w:p>
      <w:pPr>
        <w:pStyle w:val="Heading2"/>
      </w:pPr>
      <w:bookmarkStart w:id="2600" w:name="_Toc1702"/>
      <w:r>
        <w:t>بحراني شاخوري، عبدالنبي بن حسين</w:t>
      </w:r>
      <w:bookmarkEnd w:id="2600"/>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IRNazanin" w:hAnsi="IRNazanin" w:eastAsia="IRNazanin" w:cs="IRNazanin"/>
          <w:lang w:bidi="fa-IR"/>
          <w:color w:val="111111"/>
          <w:sz w:val="28"/>
          <w:szCs w:val="28"/>
          <w:rtl/>
        </w:rPr>
        <w:t xml:space="preserve">ندیم العشاق و نزهة المشتاق، ج 16،</w:t>
      </w:r>
    </w:p>
    <w:p>
      <w:pPr>
        <w:pStyle w:val="BookText"/>
      </w:pPr>
      <w:r>
        <w:rPr>
          <w:rFonts w:ascii="IRNazanin" w:hAnsi="IRNazanin" w:eastAsia="IRNazanin" w:cs="IRNazanin"/>
          <w:lang w:bidi="fa-IR"/>
          <w:color w:val="111111"/>
          <w:sz w:val="28"/>
          <w:szCs w:val="28"/>
          <w:rtl/>
        </w:rPr>
        <w:t xml:space="preserve">ص 212 .</w:t>
      </w:r>
    </w:p>
    <w:p>
      <w:pPr>
        <w:pStyle w:val="BookText"/>
      </w:pPr>
      <w:r>
        <w:rPr>
          <w:rFonts w:ascii="Amiri" w:hAnsi="Amiri" w:eastAsia="Amiri" w:cs="Amiri"/>
          <w:lang w:bidi="ar-SA"/>
          <w:color w:val="111111"/>
          <w:sz w:val="28"/>
          <w:szCs w:val="28"/>
          <w:rtl/>
        </w:rPr>
        <w:t xml:space="preserve">بحراني ، شبر علي بن مشعل- ستري بحراني</w:t>
      </w:r>
    </w:p>
    <w:p>
      <w:pPr>
        <w:pStyle w:val="BookText"/>
      </w:pPr>
      <w:r>
        <w:rPr>
          <w:rFonts w:ascii="Amiri" w:hAnsi="Amiri" w:eastAsia="Amiri" w:cs="Amiri"/>
          <w:lang w:bidi="ar-SA"/>
          <w:color w:val="111111"/>
          <w:sz w:val="28"/>
          <w:szCs w:val="28"/>
          <w:rtl/>
        </w:rPr>
        <w:t xml:space="preserve">، شبر علي بن مشعل</w:t>
      </w:r>
    </w:p>
    <w:p>
      <w:pPr>
        <w:pStyle w:val="Heading2"/>
      </w:pPr>
      <w:bookmarkStart w:id="2601" w:name="_Toc1703"/>
      <w:r>
        <w:t>بحراني ، صالح بن عبدالكريم - 1098 ه-</w:t>
      </w:r>
      <w:bookmarkEnd w:id="2601"/>
    </w:p>
    <w:p>
      <w:pPr>
        <w:pStyle w:val="BookText"/>
      </w:pPr>
      <w:r>
        <w:rPr>
          <w:rFonts w:ascii="Amiri" w:hAnsi="Amiri" w:eastAsia="Amiri" w:cs="Amiri"/>
          <w:lang w:bidi="ar-SA"/>
          <w:color w:val="111111"/>
          <w:sz w:val="28"/>
          <w:szCs w:val="28"/>
          <w:rtl/>
        </w:rPr>
        <w:t xml:space="preserve">1 .إجازة للشيخ عزيز بن نصار</w:t>
      </w:r>
    </w:p>
    <w:p>
      <w:pPr>
        <w:pStyle w:val="BookText"/>
      </w:pPr>
      <w:r>
        <w:rPr>
          <w:rFonts w:ascii="Amiri" w:hAnsi="Amiri" w:eastAsia="Amiri" w:cs="Amiri"/>
          <w:lang w:bidi="ar-SA"/>
          <w:color w:val="111111"/>
          <w:sz w:val="28"/>
          <w:szCs w:val="28"/>
          <w:rtl/>
        </w:rPr>
        <w:t xml:space="preserve">الجزائري، ج 1، ص 269.</w:t>
      </w:r>
    </w:p>
    <w:p>
      <w:pPr>
        <w:pStyle w:val="BookText"/>
      </w:pPr>
      <w:r>
        <w:rPr>
          <w:rFonts w:ascii="Amiri" w:hAnsi="Amiri" w:eastAsia="Amiri" w:cs="Amiri"/>
          <w:lang w:bidi="ar-SA"/>
          <w:color w:val="111111"/>
          <w:sz w:val="28"/>
          <w:szCs w:val="28"/>
          <w:rtl/>
        </w:rPr>
        <w:t xml:space="preserve">2.مطلع السعادات في تحريم الخمر و</w:t>
      </w:r>
    </w:p>
    <w:p>
      <w:pPr>
        <w:pStyle w:val="BookText"/>
      </w:pPr>
      <w:r>
        <w:rPr>
          <w:rFonts w:ascii="Amiri" w:hAnsi="Amiri" w:eastAsia="Amiri" w:cs="Amiri"/>
          <w:lang w:bidi="ar-SA"/>
          <w:color w:val="111111"/>
          <w:sz w:val="28"/>
          <w:szCs w:val="28"/>
          <w:rtl/>
        </w:rPr>
        <w:t xml:space="preserve">المسكرات، ج 14، ص 798.</w:t>
      </w:r>
    </w:p>
    <w:p>
      <w:pPr>
        <w:pStyle w:val="Heading2"/>
      </w:pPr>
      <w:bookmarkStart w:id="2602" w:name="_Toc1704"/>
      <w:r>
        <w:t>بحراني ، عبدالحسين</w:t>
      </w:r>
      <w:bookmarkEnd w:id="2602"/>
    </w:p>
    <w:p>
      <w:pPr>
        <w:pStyle w:val="BookText"/>
      </w:pPr>
      <w:r>
        <w:rPr>
          <w:rFonts w:ascii="Amiri" w:hAnsi="Amiri" w:eastAsia="Amiri" w:cs="Amiri"/>
          <w:lang w:bidi="ar-SA"/>
          <w:color w:val="111111"/>
          <w:sz w:val="28"/>
          <w:szCs w:val="28"/>
          <w:rtl/>
        </w:rPr>
        <w:t xml:space="preserve">المنهج القويم، ج 15 ، ص 806.</w:t>
      </w:r>
    </w:p>
    <w:p>
      <w:pPr>
        <w:pStyle w:val="Heading2"/>
      </w:pPr>
      <w:bookmarkStart w:id="2603" w:name="_Toc1705"/>
      <w:r>
        <w:t>بحراني ، عبدالرؤف بن حسين - 1113 ه-</w:t>
      </w:r>
      <w:bookmarkEnd w:id="2603"/>
    </w:p>
    <w:p>
      <w:pPr>
        <w:pStyle w:val="BookText"/>
      </w:pPr>
      <w:r>
        <w:rPr>
          <w:rFonts w:ascii="Amiri" w:hAnsi="Amiri" w:eastAsia="Amiri" w:cs="Amiri"/>
          <w:lang w:bidi="ar-SA"/>
          <w:color w:val="111111"/>
          <w:sz w:val="28"/>
          <w:szCs w:val="28"/>
          <w:rtl/>
        </w:rPr>
        <w:t xml:space="preserve">ديوان البحراني، ج 7، ص 587.</w:t>
      </w:r>
    </w:p>
    <w:p>
      <w:pPr>
        <w:pStyle w:val="Heading2"/>
      </w:pPr>
      <w:bookmarkStart w:id="2604" w:name="_Toc1706"/>
      <w:r>
        <w:t>بحراني ، عبدالله بن رائد</w:t>
      </w:r>
      <w:bookmarkEnd w:id="2604"/>
    </w:p>
    <w:p>
      <w:pPr>
        <w:pStyle w:val="BookText"/>
      </w:pPr>
      <w:r>
        <w:rPr>
          <w:rFonts w:ascii="Amiri" w:hAnsi="Amiri" w:eastAsia="Amiri" w:cs="Amiri"/>
          <w:lang w:bidi="ar-SA"/>
          <w:color w:val="111111"/>
          <w:sz w:val="28"/>
          <w:szCs w:val="28"/>
          <w:rtl/>
        </w:rPr>
        <w:t xml:space="preserve">التنوين (رسالة في)، ج 5، ص 82.</w:t>
      </w:r>
    </w:p>
    <w:p>
      <w:pPr>
        <w:pStyle w:val="BookText"/>
      </w:pPr>
      <w:r>
        <w:rPr>
          <w:rFonts w:ascii="Amiri" w:hAnsi="Amiri" w:eastAsia="Amiri" w:cs="Amiri"/>
          <w:lang w:bidi="ar-SA"/>
          <w:color w:val="111111"/>
          <w:sz w:val="28"/>
          <w:szCs w:val="28"/>
          <w:rtl/>
        </w:rPr>
        <w:t xml:space="preserve">بحراني ، عبد الله بن عباس -ستري بحراني ،</w:t>
      </w:r>
    </w:p>
    <w:p>
      <w:pPr>
        <w:pStyle w:val="BookText"/>
      </w:pPr>
      <w:r>
        <w:rPr>
          <w:rFonts w:ascii="IRNazanin" w:hAnsi="IRNazanin" w:eastAsia="IRNazanin" w:cs="IRNazanin"/>
          <w:lang w:bidi="fa-IR"/>
          <w:color w:val="111111"/>
          <w:sz w:val="28"/>
          <w:szCs w:val="28"/>
          <w:rtl/>
        </w:rPr>
        <w:t xml:space="preserve">عبدالله بن عباس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1" w:name="pg7742_69867"/>
    <w:bookmarkEnd w:id="241"/>
    <w:p>
      <w:pPr>
        <w:pStyle w:val="Heading2"/>
      </w:pPr>
      <w:bookmarkStart w:id="2605" w:name="_Toc1707"/>
      <w:r>
        <w:t>بحراني ، عبد الله بن علي - 1148 ه-</w:t>
      </w:r>
      <w:bookmarkEnd w:id="26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فوائد منطقية، ج 12، ص 283.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مراقي الدرجات العليه في تحقيق بعض المسائل العقليه، ج 14،</w:t>
      </w:r>
    </w:p>
    <w:p>
      <w:pPr>
        <w:pStyle w:val="BookText"/>
      </w:pPr>
      <w:r>
        <w:rPr>
          <w:rFonts w:ascii="IRNazanin" w:hAnsi="IRNazanin" w:eastAsia="IRNazanin" w:cs="IRNazanin"/>
          <w:lang w:bidi="fa-IR"/>
          <w:color w:val="111111"/>
          <w:sz w:val="28"/>
          <w:szCs w:val="28"/>
          <w:rtl/>
        </w:rPr>
        <w:t xml:space="preserve">ص 386.</w:t>
      </w:r>
    </w:p>
    <w:p>
      <w:pPr>
        <w:pStyle w:val="Heading2"/>
      </w:pPr>
      <w:bookmarkStart w:id="2606" w:name="_Toc1708"/>
      <w:r>
        <w:t>بحراني ، عبدالله بن نور الله قرن 12 ه-</w:t>
      </w:r>
      <w:bookmarkEnd w:id="2606"/>
    </w:p>
    <w:p>
      <w:pPr>
        <w:pStyle w:val="BookText"/>
      </w:pPr>
      <w:r>
        <w:rPr>
          <w:rFonts w:ascii="Amiri" w:hAnsi="Amiri" w:eastAsia="Amiri" w:cs="Amiri"/>
          <w:lang w:bidi="ar-SA"/>
          <w:color w:val="111111"/>
          <w:sz w:val="28"/>
          <w:szCs w:val="28"/>
          <w:rtl/>
        </w:rPr>
        <w:t xml:space="preserve">عوالم العلوم والمعارف و الاحوال من الآيات و الاخبار و الاقوال = العوالم = جامع العلوم والمعارف، ج 11، ص 349.</w:t>
      </w:r>
    </w:p>
    <w:p>
      <w:pPr>
        <w:pStyle w:val="Heading2"/>
      </w:pPr>
      <w:bookmarkStart w:id="2607" w:name="_Toc1709"/>
      <w:r>
        <w:t>بحراني ، عبد النبي بن احمد قرن 12 ه-</w:t>
      </w:r>
      <w:bookmarkEnd w:id="2607"/>
    </w:p>
    <w:p>
      <w:pPr>
        <w:pStyle w:val="BookText"/>
      </w:pPr>
      <w:r>
        <w:rPr>
          <w:rFonts w:ascii="Amiri" w:hAnsi="Amiri" w:eastAsia="Amiri" w:cs="Amiri"/>
          <w:lang w:bidi="ar-SA"/>
          <w:color w:val="111111"/>
          <w:sz w:val="28"/>
          <w:szCs w:val="28"/>
          <w:rtl/>
        </w:rPr>
        <w:t xml:space="preserve">الرضاعية، ج8، ص 326.</w:t>
      </w:r>
    </w:p>
    <w:p>
      <w:pPr>
        <w:pStyle w:val="BookText"/>
      </w:pPr>
      <w:r>
        <w:rPr>
          <w:rFonts w:ascii="Amiri" w:hAnsi="Amiri" w:eastAsia="Amiri" w:cs="Amiri"/>
          <w:lang w:bidi="ar-SA"/>
          <w:color w:val="111111"/>
          <w:sz w:val="28"/>
          <w:szCs w:val="28"/>
          <w:rtl/>
        </w:rPr>
        <w:t xml:space="preserve">بحراني ، عبد علي بن احمد- درازي بحراني</w:t>
      </w:r>
    </w:p>
    <w:p>
      <w:pPr>
        <w:pStyle w:val="BookText"/>
      </w:pPr>
      <w:r>
        <w:rPr>
          <w:rFonts w:ascii="Amiri" w:hAnsi="Amiri" w:eastAsia="Amiri" w:cs="Amiri"/>
          <w:lang w:bidi="ar-SA"/>
          <w:color w:val="111111"/>
          <w:sz w:val="28"/>
          <w:szCs w:val="28"/>
          <w:rtl/>
        </w:rPr>
        <w:t xml:space="preserve">، عبد علي بن احمد</w:t>
      </w:r>
    </w:p>
    <w:p>
      <w:pPr>
        <w:pStyle w:val="Heading2"/>
      </w:pPr>
      <w:bookmarkStart w:id="2608" w:name="_Toc1710"/>
      <w:r>
        <w:t>بحراني ، عبد علي بن محمّد قرن 13 ه-</w:t>
      </w:r>
      <w:bookmarkEnd w:id="26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رفع جسد المعصوم، ج8، ص338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العدالة، ج 11، ص 42.</w:t>
      </w:r>
    </w:p>
    <w:p>
      <w:pPr>
        <w:pStyle w:val="BookText"/>
      </w:pPr>
      <w:r>
        <w:rPr>
          <w:rFonts w:ascii="Amiri" w:hAnsi="Amiri" w:eastAsia="Amiri" w:cs="Amiri"/>
          <w:lang w:bidi="ar-SA"/>
          <w:color w:val="111111"/>
          <w:sz w:val="28"/>
          <w:szCs w:val="28"/>
          <w:rtl/>
        </w:rPr>
        <w:t xml:space="preserve">3 .العدالة و غيبة الامام و ...، ج 11،</w:t>
      </w:r>
    </w:p>
    <w:p>
      <w:pPr>
        <w:pStyle w:val="BookText"/>
      </w:pPr>
      <w:r>
        <w:rPr>
          <w:rFonts w:ascii="IRNazanin" w:hAnsi="IRNazanin" w:eastAsia="IRNazanin" w:cs="IRNazanin"/>
          <w:lang w:bidi="fa-IR"/>
          <w:color w:val="111111"/>
          <w:sz w:val="28"/>
          <w:szCs w:val="28"/>
          <w:rtl/>
        </w:rPr>
        <w:t xml:space="preserve">ص 43 .</w:t>
      </w:r>
    </w:p>
    <w:p>
      <w:pPr>
        <w:pStyle w:val="BookText"/>
      </w:pPr>
      <w:r>
        <w:rPr>
          <w:rFonts w:ascii="Amiri" w:hAnsi="Amiri" w:eastAsia="Amiri" w:cs="Amiri"/>
          <w:lang w:bidi="ar-SA"/>
          <w:color w:val="111111"/>
          <w:sz w:val="28"/>
          <w:szCs w:val="28"/>
          <w:rtl/>
        </w:rPr>
        <w:t xml:space="preserve">4 .المفاهيم في العام و المخصص، ج 15</w:t>
      </w:r>
    </w:p>
    <w:p>
      <w:pPr>
        <w:pStyle w:val="BookText"/>
      </w:pPr>
      <w:r>
        <w:rPr>
          <w:rFonts w:ascii="IRNazanin" w:hAnsi="IRNazanin" w:eastAsia="IRNazanin" w:cs="IRNazanin"/>
          <w:lang w:bidi="fa-IR"/>
          <w:color w:val="111111"/>
          <w:sz w:val="28"/>
          <w:szCs w:val="28"/>
          <w:rtl/>
        </w:rPr>
        <w:t xml:space="preserve">ص 181 .</w:t>
      </w:r>
    </w:p>
    <w:p>
      <w:pPr>
        <w:pStyle w:val="Heading2"/>
      </w:pPr>
      <w:bookmarkStart w:id="2609" w:name="_Toc1711"/>
      <w:r>
        <w:t>بحراني ، علي بن ابراهيم قرن 12 ه-</w:t>
      </w:r>
      <w:bookmarkEnd w:id="2609"/>
    </w:p>
    <w:p>
      <w:pPr>
        <w:pStyle w:val="BookText"/>
      </w:pPr>
      <w:r>
        <w:rPr>
          <w:rFonts w:ascii="Amiri" w:hAnsi="Amiri" w:eastAsia="Amiri" w:cs="Amiri"/>
          <w:lang w:bidi="ar-SA"/>
          <w:color w:val="111111"/>
          <w:sz w:val="28"/>
          <w:szCs w:val="28"/>
          <w:rtl/>
        </w:rPr>
        <w:t xml:space="preserve">شرح اللمعة الدمشقية، ج 10، ص 85.</w:t>
      </w:r>
    </w:p>
    <w:p>
      <w:pPr>
        <w:pStyle w:val="Heading2"/>
      </w:pPr>
      <w:bookmarkStart w:id="2610" w:name="_Toc1712"/>
      <w:r>
        <w:t>بحراني ، علي بن حسن، 1269 - 1340 ه-</w:t>
      </w:r>
      <w:bookmarkEnd w:id="2610"/>
    </w:p>
    <w:p>
      <w:pPr>
        <w:pStyle w:val="BookText"/>
      </w:pPr>
      <w:r>
        <w:rPr>
          <w:rFonts w:ascii="Amiri" w:hAnsi="Amiri" w:eastAsia="Amiri" w:cs="Amiri"/>
          <w:lang w:bidi="ar-SA"/>
          <w:color w:val="111111"/>
          <w:sz w:val="28"/>
          <w:szCs w:val="28"/>
          <w:rtl/>
        </w:rPr>
        <w:t xml:space="preserve">1 .اجوبة المسائل، ج1، ص339.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اجوبة مسائل علي بن عيسى آل</w:t>
      </w:r>
    </w:p>
    <w:p>
      <w:pPr>
        <w:pStyle w:val="BookText"/>
      </w:pPr>
      <w:r>
        <w:rPr>
          <w:rFonts w:ascii="Amiri" w:hAnsi="Amiri" w:eastAsia="Amiri" w:cs="Amiri"/>
          <w:lang w:bidi="ar-SA"/>
          <w:color w:val="111111"/>
          <w:sz w:val="28"/>
          <w:szCs w:val="28"/>
          <w:rtl/>
        </w:rPr>
        <w:t xml:space="preserve">سليم، ج 1، ص 365.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انوار البدرين في ترجمة احوال العلماء البحرين، ج 2، ص 843.</w:t>
      </w:r>
    </w:p>
    <w:p>
      <w:pPr>
        <w:pStyle w:val="Heading2"/>
      </w:pPr>
      <w:bookmarkStart w:id="2611" w:name="_Toc1713"/>
      <w:r>
        <w:t>بحراني ، علي بن حسين قرن 13 ه-</w:t>
      </w:r>
      <w:bookmarkEnd w:id="2611"/>
    </w:p>
    <w:p>
      <w:pPr>
        <w:pStyle w:val="BookText"/>
      </w:pPr>
      <w:r>
        <w:rPr>
          <w:rFonts w:ascii="Amiri" w:hAnsi="Amiri" w:eastAsia="Amiri" w:cs="Amiri"/>
          <w:lang w:bidi="ar-SA"/>
          <w:color w:val="111111"/>
          <w:sz w:val="28"/>
          <w:szCs w:val="28"/>
          <w:rtl/>
        </w:rPr>
        <w:t xml:space="preserve">وفاة الزهراء (س)، ج 16، ص 846.</w:t>
      </w:r>
    </w:p>
    <w:p>
      <w:pPr>
        <w:pStyle w:val="Heading2"/>
      </w:pPr>
      <w:bookmarkStart w:id="2612" w:name="_Toc1714"/>
      <w:r>
        <w:t>بحراني ، علي بن سليمان ، قرن 7 ه-</w:t>
      </w:r>
      <w:bookmarkEnd w:id="26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مفتاح الخير في شرح ديباجة رسالة</w:t>
      </w:r>
    </w:p>
    <w:p>
      <w:pPr>
        <w:pStyle w:val="BookText"/>
      </w:pPr>
      <w:r>
        <w:rPr>
          <w:rFonts w:ascii="Amiri" w:hAnsi="Amiri" w:eastAsia="Amiri" w:cs="Amiri"/>
          <w:lang w:bidi="ar-SA"/>
          <w:color w:val="111111"/>
          <w:sz w:val="28"/>
          <w:szCs w:val="28"/>
          <w:rtl/>
        </w:rPr>
        <w:t xml:space="preserve">الطير، ج 15 ، ص 198.</w:t>
      </w:r>
    </w:p>
    <w:p>
      <w:pPr>
        <w:pStyle w:val="BookText"/>
      </w:pPr>
      <w:r>
        <w:rPr>
          <w:rFonts w:ascii="Amiri" w:hAnsi="Amiri" w:eastAsia="Amiri" w:cs="Amiri"/>
          <w:lang w:bidi="ar-SA"/>
          <w:color w:val="111111"/>
          <w:sz w:val="28"/>
          <w:szCs w:val="28"/>
          <w:rtl/>
        </w:rPr>
        <w:t xml:space="preserve">2 .النهج المستقيم على طريقة الحكيم، ج 16، ص 533.</w:t>
      </w:r>
    </w:p>
    <w:p>
      <w:pPr>
        <w:pStyle w:val="Heading2"/>
      </w:pPr>
      <w:bookmarkStart w:id="2613" w:name="_Toc1715"/>
      <w:r>
        <w:t>بحراني ، علي بن عبدالله - 1319 ه-</w:t>
      </w:r>
      <w:bookmarkEnd w:id="2613"/>
    </w:p>
    <w:p>
      <w:pPr>
        <w:pStyle w:val="BookText"/>
      </w:pPr>
      <w:r>
        <w:rPr>
          <w:rFonts w:ascii="Amiri" w:hAnsi="Amiri" w:eastAsia="Amiri" w:cs="Amiri"/>
          <w:lang w:bidi="ar-SA"/>
          <w:color w:val="111111"/>
          <w:sz w:val="28"/>
          <w:szCs w:val="28"/>
          <w:rtl/>
        </w:rPr>
        <w:t xml:space="preserve">انيس النفوس، ج 3، ص 47.</w:t>
      </w:r>
    </w:p>
    <w:p>
      <w:pPr>
        <w:pStyle w:val="Heading2"/>
      </w:pPr>
      <w:bookmarkStart w:id="2614" w:name="_Toc1716"/>
      <w:r>
        <w:t>بحراني ، علي بن عدنان قرن 14 ه-</w:t>
      </w:r>
      <w:bookmarkEnd w:id="2614"/>
    </w:p>
    <w:p>
      <w:pPr>
        <w:pStyle w:val="BookText"/>
      </w:pPr>
      <w:r>
        <w:rPr>
          <w:rFonts w:ascii="Amiri" w:hAnsi="Amiri" w:eastAsia="Amiri" w:cs="Amiri"/>
          <w:lang w:bidi="ar-SA"/>
          <w:color w:val="111111"/>
          <w:sz w:val="28"/>
          <w:szCs w:val="28"/>
          <w:rtl/>
        </w:rPr>
        <w:t xml:space="preserve">ديوان البحراني، ج 7، ص588.</w:t>
      </w:r>
    </w:p>
    <w:p>
      <w:pPr>
        <w:pStyle w:val="BookText"/>
      </w:pPr>
      <w:r>
        <w:rPr>
          <w:rFonts w:ascii="Amiri" w:hAnsi="Amiri" w:eastAsia="Amiri" w:cs="Amiri"/>
          <w:lang w:bidi="ar-SA"/>
          <w:color w:val="111111"/>
          <w:sz w:val="28"/>
          <w:szCs w:val="28"/>
          <w:rtl/>
        </w:rPr>
        <w:t xml:space="preserve">بحراني ، علي بن محمّد بن حسين- بلادي</w:t>
      </w:r>
    </w:p>
    <w:p>
      <w:pPr>
        <w:pStyle w:val="BookText"/>
      </w:pPr>
      <w:r>
        <w:rPr>
          <w:rFonts w:ascii="Amiri" w:hAnsi="Amiri" w:eastAsia="Amiri" w:cs="Amiri"/>
          <w:lang w:bidi="ar-SA"/>
          <w:color w:val="111111"/>
          <w:sz w:val="28"/>
          <w:szCs w:val="28"/>
          <w:rtl/>
        </w:rPr>
        <w:t xml:space="preserve">بحراني ، علي بن محمّد</w:t>
      </w:r>
    </w:p>
    <w:p>
      <w:pPr>
        <w:pStyle w:val="BookText"/>
      </w:pPr>
      <w:r>
        <w:rPr>
          <w:rFonts w:ascii="Amiri" w:hAnsi="Amiri" w:eastAsia="Amiri" w:cs="Amiri"/>
          <w:lang w:bidi="ar-SA"/>
          <w:color w:val="111111"/>
          <w:sz w:val="28"/>
          <w:szCs w:val="28"/>
          <w:rtl/>
        </w:rPr>
        <w:t xml:space="preserve">بحراني ، علي بن محمّد -مقابي بحراني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بحراني ، ماجد بن ابراهيم -حسيني بحراني</w:t>
      </w:r>
    </w:p>
    <w:p>
      <w:pPr>
        <w:pStyle w:val="BookText"/>
      </w:pPr>
      <w:r>
        <w:rPr>
          <w:rFonts w:ascii="Amiri" w:hAnsi="Amiri" w:eastAsia="Amiri" w:cs="Amiri"/>
          <w:lang w:bidi="ar-SA"/>
          <w:color w:val="111111"/>
          <w:sz w:val="28"/>
          <w:szCs w:val="28"/>
          <w:rtl/>
        </w:rPr>
        <w:t xml:space="preserve">، محمّد بن ابراهيم</w:t>
      </w:r>
    </w:p>
    <w:p>
      <w:pPr>
        <w:pStyle w:val="BookText"/>
      </w:pPr>
      <w:r>
        <w:rPr>
          <w:rFonts w:ascii="Amiri" w:hAnsi="Amiri" w:eastAsia="Amiri" w:cs="Amiri"/>
          <w:lang w:bidi="ar-SA"/>
          <w:color w:val="111111"/>
          <w:sz w:val="28"/>
          <w:szCs w:val="28"/>
          <w:rtl/>
        </w:rPr>
        <w:t xml:space="preserve">بحراني ، ماجد بن محمّد- حسيني بحراني ،</w:t>
      </w:r>
    </w:p>
    <w:p>
      <w:pPr>
        <w:pStyle w:val="BookText"/>
      </w:pPr>
      <w:r>
        <w:rPr>
          <w:rFonts w:ascii="IRNazanin" w:hAnsi="IRNazanin" w:eastAsia="IRNazanin" w:cs="IRNazanin"/>
          <w:lang w:bidi="fa-IR"/>
          <w:color w:val="111111"/>
          <w:sz w:val="28"/>
          <w:szCs w:val="28"/>
          <w:rtl/>
        </w:rPr>
        <w:t xml:space="preserve">ماجد بن محمّد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2" w:name="pg7742_69869"/>
    <w:bookmarkEnd w:id="242"/>
    <w:p>
      <w:pPr>
        <w:pStyle w:val="Heading2"/>
      </w:pPr>
      <w:bookmarkStart w:id="2615" w:name="_Toc1717"/>
      <w:r>
        <w:t>بحراني ، ماجد بن هاشم، 976 - 1028 ه-</w:t>
      </w:r>
      <w:bookmarkEnd w:id="2615"/>
    </w:p>
    <w:p>
      <w:pPr>
        <w:pStyle w:val="BookText"/>
      </w:pPr>
      <w:r>
        <w:rPr>
          <w:rFonts w:ascii="Amiri" w:hAnsi="Amiri" w:eastAsia="Amiri" w:cs="Amiri"/>
          <w:lang w:bidi="ar-SA"/>
          <w:color w:val="111111"/>
          <w:sz w:val="28"/>
          <w:szCs w:val="28"/>
          <w:rtl/>
        </w:rPr>
        <w:t xml:space="preserve">1 .ديوان السيّد ماجد البحراني، ج7،</w:t>
      </w:r>
    </w:p>
    <w:p>
      <w:pPr>
        <w:pStyle w:val="BookText"/>
      </w:pPr>
      <w:r>
        <w:rPr>
          <w:rFonts w:ascii="IRNazanin" w:hAnsi="IRNazanin" w:eastAsia="IRNazanin" w:cs="IRNazanin"/>
          <w:lang w:bidi="fa-IR"/>
          <w:color w:val="111111"/>
          <w:sz w:val="28"/>
          <w:szCs w:val="28"/>
          <w:rtl/>
        </w:rPr>
        <w:t xml:space="preserve">ص661.</w:t>
      </w:r>
    </w:p>
    <w:p>
      <w:pPr>
        <w:pStyle w:val="BookText"/>
      </w:pPr>
      <w:r>
        <w:rPr>
          <w:rFonts w:ascii="IRNazanin" w:hAnsi="IRNazanin" w:eastAsia="IRNazanin" w:cs="IRNazanin"/>
          <w:lang w:bidi="fa-IR"/>
          <w:color w:val="111111"/>
          <w:sz w:val="28"/>
          <w:szCs w:val="28"/>
          <w:rtl/>
        </w:rPr>
        <w:t xml:space="preserve">2 .العام المخصص، ج 11، ص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مقامات الادبية (رسالة في)، ج 15 ،</w:t>
      </w:r>
    </w:p>
    <w:p>
      <w:pPr>
        <w:pStyle w:val="BookText"/>
      </w:pPr>
      <w:r>
        <w:rPr>
          <w:rFonts w:ascii="IRNazanin" w:hAnsi="IRNazanin" w:eastAsia="IRNazanin" w:cs="IRNazanin"/>
          <w:lang w:bidi="fa-IR"/>
          <w:color w:val="111111"/>
          <w:sz w:val="28"/>
          <w:szCs w:val="28"/>
          <w:rtl/>
        </w:rPr>
        <w:t xml:space="preserve">ص 294.</w:t>
      </w:r>
    </w:p>
    <w:p>
      <w:pPr>
        <w:pStyle w:val="BookText"/>
      </w:pPr>
      <w:r>
        <w:rPr>
          <w:rFonts w:ascii="Amiri" w:hAnsi="Amiri" w:eastAsia="Amiri" w:cs="Amiri"/>
          <w:lang w:bidi="ar-SA"/>
          <w:color w:val="111111"/>
          <w:sz w:val="28"/>
          <w:szCs w:val="28"/>
          <w:rtl/>
        </w:rPr>
        <w:t xml:space="preserve">4 .مقدمة الواجب، ج 15، ص 373.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اليوسفية، ج 16، ص 909 .</w:t>
      </w:r>
    </w:p>
    <w:p>
      <w:pPr>
        <w:pStyle w:val="Heading2"/>
      </w:pPr>
      <w:bookmarkStart w:id="2616" w:name="_Toc1718"/>
      <w:r>
        <w:t>بحراني ، محسن بن محمّد قرن 14 ه-</w:t>
      </w:r>
      <w:bookmarkEnd w:id="2616"/>
    </w:p>
    <w:p>
      <w:pPr>
        <w:pStyle w:val="BookText"/>
      </w:pPr>
      <w:r>
        <w:rPr>
          <w:rFonts w:ascii="Amiri" w:hAnsi="Amiri" w:eastAsia="Amiri" w:cs="Amiri"/>
          <w:lang w:bidi="ar-SA"/>
          <w:color w:val="111111"/>
          <w:sz w:val="28"/>
          <w:szCs w:val="28"/>
          <w:rtl/>
        </w:rPr>
        <w:t xml:space="preserve">الروض النضير في أعرفية العلم على محمّد بن علي</w:t>
      </w:r>
    </w:p>
    <w:p>
      <w:pPr>
        <w:pStyle w:val="BookText"/>
      </w:pPr>
      <w:r>
        <w:rPr>
          <w:rFonts w:ascii="Amiri" w:hAnsi="Amiri" w:eastAsia="Amiri" w:cs="Amiri"/>
          <w:lang w:bidi="ar-SA"/>
          <w:color w:val="111111"/>
          <w:sz w:val="28"/>
          <w:szCs w:val="28"/>
          <w:rtl/>
        </w:rPr>
        <w:t xml:space="preserve">الضمير، ج 8، ص 471.</w:t>
      </w:r>
    </w:p>
    <w:p>
      <w:pPr>
        <w:pStyle w:val="BookText"/>
      </w:pPr>
      <w:r>
        <w:rPr>
          <w:rFonts w:ascii="Amiri" w:hAnsi="Amiri" w:eastAsia="Amiri" w:cs="Amiri"/>
          <w:lang w:bidi="ar-SA"/>
          <w:color w:val="111111"/>
          <w:sz w:val="28"/>
          <w:szCs w:val="28"/>
          <w:rtl/>
        </w:rPr>
        <w:t xml:space="preserve">بحراني ، محمّد بن احمد -خطي بحراني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2617" w:name="_Toc1719"/>
      <w:r>
        <w:t>بحراني ، محمّد بن احمد، 1112-1186 ه-</w:t>
      </w:r>
      <w:bookmarkEnd w:id="2617"/>
    </w:p>
    <w:p>
      <w:pPr>
        <w:pStyle w:val="BookText"/>
      </w:pPr>
      <w:r>
        <w:rPr>
          <w:rFonts w:ascii="Amiri" w:hAnsi="Amiri" w:eastAsia="Amiri" w:cs="Amiri"/>
          <w:lang w:bidi="ar-SA"/>
          <w:color w:val="111111"/>
          <w:sz w:val="28"/>
          <w:szCs w:val="28"/>
          <w:rtl/>
        </w:rPr>
        <w:t xml:space="preserve">1 .الاستيجار لرثاء الحسين (ع)، ج2،</w:t>
      </w:r>
    </w:p>
    <w:p>
      <w:pPr>
        <w:pStyle w:val="BookText"/>
      </w:pPr>
      <w:r>
        <w:rPr>
          <w:rFonts w:ascii="IRNazanin" w:hAnsi="IRNazanin" w:eastAsia="IRNazanin" w:cs="IRNazanin"/>
          <w:lang w:bidi="fa-IR"/>
          <w:color w:val="111111"/>
          <w:sz w:val="28"/>
          <w:szCs w:val="28"/>
          <w:rtl/>
        </w:rPr>
        <w:t xml:space="preserve">ص 156 .</w:t>
      </w:r>
    </w:p>
    <w:p>
      <w:pPr>
        <w:pStyle w:val="BookText"/>
      </w:pPr>
      <w:r>
        <w:rPr>
          <w:rFonts w:ascii="Amiri" w:hAnsi="Amiri" w:eastAsia="Amiri" w:cs="Amiri"/>
          <w:lang w:bidi="ar-SA"/>
          <w:color w:val="111111"/>
          <w:sz w:val="28"/>
          <w:szCs w:val="28"/>
          <w:rtl/>
        </w:rPr>
        <w:t xml:space="preserve">2 .التسبيحات الاربعة (رسالة في) -</w:t>
      </w:r>
    </w:p>
    <w:p>
      <w:pPr>
        <w:pStyle w:val="BookText"/>
      </w:pPr>
      <w:r>
        <w:rPr>
          <w:rFonts w:ascii="Amiri" w:hAnsi="Amiri" w:eastAsia="Amiri" w:cs="Amiri"/>
          <w:lang w:bidi="ar-SA"/>
          <w:color w:val="111111"/>
          <w:sz w:val="28"/>
          <w:szCs w:val="28"/>
          <w:rtl/>
        </w:rPr>
        <w:t xml:space="preserve">وجوب الجهر بالتسبيحات في الاخيرتين، ج4، ص 329.</w:t>
      </w:r>
    </w:p>
    <w:p>
      <w:pPr>
        <w:pStyle w:val="BookText"/>
      </w:pPr>
      <w:r>
        <w:rPr>
          <w:rFonts w:ascii="Amiri" w:hAnsi="Amiri" w:eastAsia="Amiri" w:cs="Amiri"/>
          <w:lang w:bidi="ar-SA"/>
          <w:color w:val="111111"/>
          <w:sz w:val="28"/>
          <w:szCs w:val="28"/>
          <w:rtl/>
        </w:rPr>
        <w:t xml:space="preserve">3 .الجمع بين الفاطميتين، ج 5، ص 432</w:t>
      </w:r>
    </w:p>
    <w:p>
      <w:pPr>
        <w:pStyle w:val="BookText"/>
      </w:pPr>
      <w:r>
        <w:rPr>
          <w:rFonts w:ascii="Amiri" w:hAnsi="Amiri" w:eastAsia="Amiri" w:cs="Amiri"/>
          <w:lang w:bidi="ar-SA"/>
          <w:color w:val="111111"/>
          <w:sz w:val="28"/>
          <w:szCs w:val="28"/>
          <w:rtl/>
        </w:rPr>
        <w:t xml:space="preserve">4 .الحدث في اثناء الغسل (رسالة في)</w:t>
      </w:r>
    </w:p>
    <w:p>
      <w:pPr>
        <w:pStyle w:val="BookText"/>
      </w:pPr>
      <w:r>
        <w:rPr>
          <w:rFonts w:ascii="IRNazanin" w:hAnsi="IRNazanin" w:eastAsia="IRNazanin" w:cs="IRNazanin"/>
          <w:lang w:bidi="fa-IR"/>
          <w:color w:val="111111"/>
          <w:sz w:val="28"/>
          <w:szCs w:val="28"/>
          <w:rtl/>
        </w:rPr>
        <w:t xml:space="preserve">ج 6، ص 541.</w:t>
      </w:r>
    </w:p>
    <w:p>
      <w:pPr>
        <w:pStyle w:val="BookText"/>
      </w:pPr>
      <w:r>
        <w:rPr>
          <w:rFonts w:ascii="Amiri" w:hAnsi="Amiri" w:eastAsia="Amiri" w:cs="Amiri"/>
          <w:lang w:bidi="ar-SA"/>
          <w:color w:val="111111"/>
          <w:sz w:val="28"/>
          <w:szCs w:val="28"/>
          <w:rtl/>
        </w:rPr>
        <w:t xml:space="preserve">5 .شرح حديث زرارة في صلاة الجماعة، ج 9، ص390.</w:t>
      </w:r>
    </w:p>
    <w:p>
      <w:pPr>
        <w:pStyle w:val="BookText"/>
      </w:pPr>
      <w:r>
        <w:rPr>
          <w:rFonts w:ascii="Amiri" w:hAnsi="Amiri" w:eastAsia="Amiri" w:cs="Amiri"/>
          <w:lang w:bidi="ar-SA"/>
          <w:color w:val="111111"/>
          <w:sz w:val="28"/>
          <w:szCs w:val="28"/>
          <w:rtl/>
        </w:rPr>
        <w:t xml:space="preserve">6 .مرآة الاخيار في احكام الاسفار -</w:t>
      </w:r>
    </w:p>
    <w:p>
      <w:pPr>
        <w:pStyle w:val="BookText"/>
      </w:pPr>
      <w:r>
        <w:rPr>
          <w:rFonts w:ascii="IRNazanin" w:hAnsi="IRNazanin" w:eastAsia="IRNazanin" w:cs="IRNazanin"/>
          <w:lang w:bidi="fa-IR"/>
          <w:color w:val="111111"/>
          <w:sz w:val="28"/>
          <w:szCs w:val="28"/>
          <w:rtl/>
        </w:rPr>
        <w:t xml:space="preserve">رساله سفریه، ج 14، ص 344.</w:t>
      </w:r>
    </w:p>
    <w:p>
      <w:pPr>
        <w:pStyle w:val="BookText"/>
      </w:pPr>
      <w:r>
        <w:rPr>
          <w:rFonts w:ascii="Amiri" w:hAnsi="Amiri" w:eastAsia="Amiri" w:cs="Amiri"/>
          <w:lang w:bidi="ar-SA"/>
          <w:color w:val="111111"/>
          <w:sz w:val="28"/>
          <w:szCs w:val="28"/>
          <w:rtl/>
        </w:rPr>
        <w:t xml:space="preserve">7 .وجوب الاحتياط بركعة او ركعتين</w:t>
      </w:r>
    </w:p>
    <w:p>
      <w:pPr>
        <w:pStyle w:val="BookText"/>
      </w:pPr>
      <w:r>
        <w:rPr>
          <w:rFonts w:ascii="IRNazanin" w:hAnsi="IRNazanin" w:eastAsia="IRNazanin" w:cs="IRNazanin"/>
          <w:lang w:bidi="fa-IR"/>
          <w:color w:val="111111"/>
          <w:sz w:val="28"/>
          <w:szCs w:val="28"/>
          <w:rtl/>
        </w:rPr>
        <w:t xml:space="preserve">ج 16، ص 728.</w:t>
      </w:r>
    </w:p>
    <w:p>
      <w:pPr>
        <w:pStyle w:val="BookText"/>
      </w:pPr>
      <w:r>
        <w:rPr>
          <w:rFonts w:ascii="Amiri" w:hAnsi="Amiri" w:eastAsia="Amiri" w:cs="Amiri"/>
          <w:lang w:bidi="ar-SA"/>
          <w:color w:val="111111"/>
          <w:sz w:val="28"/>
          <w:szCs w:val="28"/>
          <w:rtl/>
        </w:rPr>
        <w:t xml:space="preserve">بحراني ، محمّد بن عبد الجبار -قطيفي</w:t>
      </w:r>
    </w:p>
    <w:p>
      <w:pPr>
        <w:pStyle w:val="BookText"/>
      </w:pPr>
      <w:r>
        <w:rPr>
          <w:rFonts w:ascii="Amiri" w:hAnsi="Amiri" w:eastAsia="Amiri" w:cs="Amiri"/>
          <w:lang w:bidi="ar-SA"/>
          <w:color w:val="111111"/>
          <w:sz w:val="28"/>
          <w:szCs w:val="28"/>
          <w:rtl/>
        </w:rPr>
        <w:t xml:space="preserve">بحراني ، محمّد بن عبدالجبار</w:t>
      </w:r>
    </w:p>
    <w:p>
      <w:pPr>
        <w:pStyle w:val="Heading2"/>
      </w:pPr>
      <w:bookmarkStart w:id="2618" w:name="_Toc1720"/>
      <w:r>
        <w:t>بحراني ، محمّد بن عبدالله قرن 12 ه-</w:t>
      </w:r>
      <w:bookmarkEnd w:id="2618"/>
    </w:p>
    <w:p>
      <w:pPr>
        <w:pStyle w:val="BookText"/>
      </w:pPr>
      <w:r>
        <w:rPr>
          <w:rFonts w:ascii="Amiri" w:hAnsi="Amiri" w:eastAsia="Amiri" w:cs="Amiri"/>
          <w:lang w:bidi="ar-SA"/>
          <w:color w:val="111111"/>
          <w:sz w:val="28"/>
          <w:szCs w:val="28"/>
          <w:rtl/>
        </w:rPr>
        <w:t xml:space="preserve">1 .ذخيرة المحشر في احوال الامام</w:t>
      </w:r>
    </w:p>
    <w:p>
      <w:pPr>
        <w:pStyle w:val="BookText"/>
      </w:pPr>
      <w:r>
        <w:rPr>
          <w:rFonts w:ascii="IRNazanin" w:hAnsi="IRNazanin" w:eastAsia="IRNazanin" w:cs="IRNazanin"/>
          <w:lang w:bidi="fa-IR"/>
          <w:color w:val="111111"/>
          <w:sz w:val="28"/>
          <w:szCs w:val="28"/>
          <w:rtl/>
        </w:rPr>
        <w:t xml:space="preserve">المنتظر، ج 7، ص833.</w:t>
      </w:r>
    </w:p>
    <w:p>
      <w:pPr>
        <w:pStyle w:val="BookText"/>
      </w:pPr>
      <w:r>
        <w:rPr>
          <w:rFonts w:ascii="Amiri" w:hAnsi="Amiri" w:eastAsia="Amiri" w:cs="Amiri"/>
          <w:lang w:bidi="ar-SA"/>
          <w:color w:val="111111"/>
          <w:sz w:val="28"/>
          <w:szCs w:val="28"/>
          <w:rtl/>
        </w:rPr>
        <w:t xml:space="preserve">2 .الرجال (منظومة في)، ج 8، ص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السلاسل في الحاق الأواخر بالأوائل</w:t>
      </w:r>
    </w:p>
    <w:p>
      <w:pPr>
        <w:pStyle w:val="BookText"/>
      </w:pPr>
      <w:r>
        <w:rPr>
          <w:rFonts w:ascii="IRNazanin" w:hAnsi="IRNazanin" w:eastAsia="IRNazanin" w:cs="IRNazanin"/>
          <w:lang w:bidi="fa-IR"/>
          <w:color w:val="111111"/>
          <w:sz w:val="28"/>
          <w:szCs w:val="28"/>
          <w:rtl/>
        </w:rPr>
        <w:t xml:space="preserve">ج 8، ص 795 .</w:t>
      </w:r>
    </w:p>
    <w:p>
      <w:pPr>
        <w:pStyle w:val="BookText"/>
      </w:pPr>
      <w:r>
        <w:rPr>
          <w:rFonts w:ascii="Amiri" w:hAnsi="Amiri" w:eastAsia="Amiri" w:cs="Amiri"/>
          <w:lang w:bidi="ar-SA"/>
          <w:color w:val="111111"/>
          <w:sz w:val="28"/>
          <w:szCs w:val="28"/>
          <w:rtl/>
        </w:rPr>
        <w:t xml:space="preserve">بحراني ، محمّد بن علي- اوالي بحراني</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بحراني ، محمّد بن علي- مقابي بحراني ،</w:t>
      </w:r>
    </w:p>
    <w:p>
      <w:pPr>
        <w:pStyle w:val="Heading2"/>
      </w:pPr>
      <w:bookmarkStart w:id="2619" w:name="_Toc1721"/>
      <w:r>
        <w:t>بحراني ، محمّد بن ماجد - 1105 ه-</w:t>
      </w:r>
      <w:bookmarkEnd w:id="2619"/>
    </w:p>
    <w:p>
      <w:pPr>
        <w:pStyle w:val="BookText"/>
      </w:pPr>
      <w:r>
        <w:rPr>
          <w:rFonts w:ascii="Amiri" w:hAnsi="Amiri" w:eastAsia="Amiri" w:cs="Amiri"/>
          <w:lang w:bidi="ar-SA"/>
          <w:color w:val="111111"/>
          <w:sz w:val="28"/>
          <w:szCs w:val="28"/>
          <w:rtl/>
        </w:rPr>
        <w:t xml:space="preserve">الروضة الصفوية في فقه الصلاة</w:t>
      </w:r>
    </w:p>
    <w:p>
      <w:pPr>
        <w:pStyle w:val="BookText"/>
      </w:pPr>
      <w:r>
        <w:rPr>
          <w:rFonts w:ascii="Amiri" w:hAnsi="Amiri" w:eastAsia="Amiri" w:cs="Amiri"/>
          <w:lang w:bidi="ar-SA"/>
          <w:color w:val="111111"/>
          <w:sz w:val="28"/>
          <w:szCs w:val="28"/>
          <w:rtl/>
        </w:rPr>
        <w:t xml:space="preserve">اليومية، ج 8، ص 440.</w:t>
      </w:r>
    </w:p>
    <w:p>
      <w:pPr>
        <w:pStyle w:val="Heading2"/>
      </w:pPr>
      <w:bookmarkStart w:id="2620" w:name="_Toc1722"/>
      <w:r>
        <w:t>بحراني ، محمّد بن ناصر المعلم</w:t>
      </w:r>
      <w:bookmarkEnd w:id="2620"/>
    </w:p>
    <w:p>
      <w:pPr>
        <w:pStyle w:val="BookText"/>
      </w:pPr>
      <w:r>
        <w:rPr>
          <w:rFonts w:ascii="Amiri" w:hAnsi="Amiri" w:eastAsia="Amiri" w:cs="Amiri"/>
          <w:lang w:bidi="ar-SA"/>
          <w:color w:val="111111"/>
          <w:sz w:val="28"/>
          <w:szCs w:val="28"/>
          <w:rtl/>
        </w:rPr>
        <w:t xml:space="preserve">ثاني المصائب و الشهاب الثاقب على</w:t>
      </w:r>
    </w:p>
    <w:p>
      <w:pPr>
        <w:pStyle w:val="BookText"/>
      </w:pPr>
      <w:r>
        <w:rPr>
          <w:rFonts w:ascii="IRNazanin" w:hAnsi="IRNazanin" w:eastAsia="IRNazanin" w:cs="IRNazanin"/>
          <w:lang w:bidi="fa-IR"/>
          <w:color w:val="111111"/>
          <w:sz w:val="28"/>
          <w:szCs w:val="28"/>
          <w:rtl/>
        </w:rPr>
        <w:t xml:space="preserve">رؤؤس المناصب، ج 5، ص208.</w:t>
      </w:r>
    </w:p>
    <w:p>
      <w:pPr>
        <w:pStyle w:val="Heading2"/>
      </w:pPr>
      <w:bookmarkStart w:id="2621" w:name="_Toc1723"/>
      <w:r>
        <w:t>بحراني ، محمّد بن يوسف قرن 11 ه-</w:t>
      </w:r>
      <w:bookmarkEnd w:id="2621"/>
    </w:p>
    <w:p>
      <w:pPr>
        <w:pStyle w:val="BookText"/>
      </w:pPr>
      <w:r>
        <w:rPr>
          <w:rFonts w:ascii="Amiri" w:hAnsi="Amiri" w:eastAsia="Amiri" w:cs="Amiri"/>
          <w:lang w:bidi="ar-SA"/>
          <w:color w:val="111111"/>
          <w:sz w:val="28"/>
          <w:szCs w:val="28"/>
          <w:rtl/>
        </w:rPr>
        <w:t xml:space="preserve">زبدة الدعوات، ج 8، ص 573 .</w:t>
      </w:r>
    </w:p>
    <w:p>
      <w:pPr>
        <w:pStyle w:val="Heading2"/>
      </w:pPr>
      <w:bookmarkStart w:id="2622" w:name="_Toc1724"/>
      <w:r>
        <w:t>بحراني ، مكي بن صالح قرن 12 ه-</w:t>
      </w:r>
      <w:bookmarkEnd w:id="2622"/>
    </w:p>
    <w:p>
      <w:pPr>
        <w:pStyle w:val="BookText"/>
      </w:pPr>
      <w:r>
        <w:rPr>
          <w:rFonts w:ascii="Amiri" w:hAnsi="Amiri" w:eastAsia="Amiri" w:cs="Amiri"/>
          <w:lang w:bidi="ar-SA"/>
          <w:color w:val="111111"/>
          <w:sz w:val="28"/>
          <w:szCs w:val="28"/>
          <w:rtl/>
        </w:rPr>
        <w:t xml:space="preserve">ديوان شعر الشيخ مكي البحراني، ج 7،</w:t>
      </w:r>
    </w:p>
    <w:p>
      <w:pPr>
        <w:pStyle w:val="BookText"/>
      </w:pPr>
      <w:r>
        <w:rPr>
          <w:rFonts w:ascii="IRNazanin" w:hAnsi="IRNazanin" w:eastAsia="IRNazanin" w:cs="IRNazanin"/>
          <w:lang w:bidi="fa-IR"/>
          <w:color w:val="111111"/>
          <w:sz w:val="28"/>
          <w:szCs w:val="28"/>
          <w:rtl/>
        </w:rPr>
        <w:t xml:space="preserve">ص 672 .</w:t>
      </w:r>
    </w:p>
    <w:p>
      <w:pPr>
        <w:pStyle w:val="Heading2"/>
      </w:pPr>
      <w:bookmarkStart w:id="2623" w:name="_Toc1725"/>
      <w:r>
        <w:t>بحراني ، مكي بن محمّد ماجد</w:t>
      </w:r>
      <w:bookmarkEnd w:id="2623"/>
    </w:p>
    <w:p>
      <w:pPr>
        <w:pStyle w:val="BookText"/>
      </w:pPr>
      <w:r>
        <w:rPr>
          <w:rFonts w:ascii="IRNazanin" w:hAnsi="IRNazanin" w:eastAsia="IRNazanin" w:cs="IRNazanin"/>
          <w:lang w:bidi="fa-IR"/>
          <w:color w:val="111111"/>
          <w:sz w:val="28"/>
          <w:szCs w:val="28"/>
          <w:rtl/>
        </w:rPr>
        <w:t xml:space="preserve">منتخب الأعمال و منتخب الأفعال</w:t>
      </w:r>
    </w:p>
    <w:p>
      <w:pPr>
        <w:pStyle w:val="BookText"/>
      </w:pPr>
      <w:r>
        <w:rPr>
          <w:rFonts w:ascii="IRNazanin" w:hAnsi="IRNazanin" w:eastAsia="IRNazanin" w:cs="IRNazanin"/>
          <w:lang w:bidi="fa-IR"/>
          <w:color w:val="111111"/>
          <w:sz w:val="28"/>
          <w:szCs w:val="28"/>
          <w:rtl/>
        </w:rPr>
        <w:t xml:space="preserve">ج 15 ، ص 600 .</w:t>
      </w:r>
    </w:p>
    <w:p>
      <w:pPr>
        <w:pStyle w:val="Heading2"/>
      </w:pPr>
      <w:bookmarkStart w:id="2624" w:name="_Toc1726"/>
      <w:r>
        <w:t>بحراني موسوي، محمّد علي، قرن 14 ه-</w:t>
      </w:r>
      <w:bookmarkEnd w:id="2624"/>
    </w:p>
    <w:p>
      <w:pPr>
        <w:pStyle w:val="BookText"/>
      </w:pPr>
      <w:r>
        <w:rPr>
          <w:rFonts w:ascii="IRNazanin" w:hAnsi="IRNazanin" w:eastAsia="IRNazanin" w:cs="IRNazanin"/>
          <w:lang w:bidi="fa-IR"/>
          <w:color w:val="111111"/>
          <w:sz w:val="28"/>
          <w:szCs w:val="28"/>
          <w:rtl/>
        </w:rPr>
        <w:t xml:space="preserve">مجموع من استفتاءات العلماء، ج 14،</w:t>
      </w:r>
    </w:p>
    <w:p>
      <w:pPr>
        <w:pStyle w:val="BookText"/>
      </w:pPr>
      <w:r>
        <w:rPr>
          <w:rFonts w:ascii="IRNazanin" w:hAnsi="IRNazanin" w:eastAsia="IRNazanin" w:cs="IRNazanin"/>
          <w:lang w:bidi="fa-IR"/>
          <w:color w:val="111111"/>
          <w:sz w:val="28"/>
          <w:szCs w:val="28"/>
          <w:rtl/>
        </w:rPr>
        <w:t xml:space="preserve">ص78.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3" w:name="pg7742_69871"/>
    <w:bookmarkEnd w:id="243"/>
    <w:p>
      <w:pPr>
        <w:pStyle w:val="Heading2"/>
      </w:pPr>
      <w:bookmarkStart w:id="2625" w:name="_Toc1727"/>
      <w:r>
        <w:t>بحراني ، ناصر بن علي قرن 12 ه-</w:t>
      </w:r>
      <w:bookmarkEnd w:id="2625"/>
    </w:p>
    <w:p>
      <w:pPr>
        <w:pStyle w:val="BookText"/>
      </w:pPr>
      <w:r>
        <w:rPr>
          <w:rFonts w:ascii="Amiri" w:hAnsi="Amiri" w:eastAsia="Amiri" w:cs="Amiri"/>
          <w:lang w:bidi="ar-SA"/>
          <w:color w:val="111111"/>
          <w:sz w:val="28"/>
          <w:szCs w:val="28"/>
          <w:rtl/>
        </w:rPr>
        <w:t xml:space="preserve">توضيح عبارة في المختلف، ج5،</w:t>
      </w:r>
    </w:p>
    <w:p>
      <w:pPr>
        <w:pStyle w:val="BookText"/>
      </w:pPr>
      <w:r>
        <w:rPr>
          <w:rFonts w:ascii="IRNazanin" w:hAnsi="IRNazanin" w:eastAsia="IRNazanin" w:cs="IRNazanin"/>
          <w:lang w:bidi="fa-IR"/>
          <w:color w:val="111111"/>
          <w:sz w:val="28"/>
          <w:szCs w:val="28"/>
          <w:rtl/>
        </w:rPr>
        <w:t xml:space="preserve">ص 174 .</w:t>
      </w:r>
    </w:p>
    <w:p>
      <w:pPr>
        <w:pStyle w:val="Heading2"/>
      </w:pPr>
      <w:bookmarkStart w:id="2626" w:name="_Toc1728"/>
      <w:r>
        <w:t>بحراني ، هاشم بن سليمان - 1107 ه-</w:t>
      </w:r>
      <w:bookmarkEnd w:id="2626"/>
    </w:p>
    <w:p>
      <w:pPr>
        <w:pStyle w:val="BookText"/>
      </w:pPr>
      <w:r>
        <w:rPr>
          <w:rFonts w:ascii="Amiri" w:hAnsi="Amiri" w:eastAsia="Amiri" w:cs="Amiri"/>
          <w:lang w:bidi="ar-SA"/>
          <w:color w:val="111111"/>
          <w:sz w:val="28"/>
          <w:szCs w:val="28"/>
          <w:rtl/>
        </w:rPr>
        <w:t xml:space="preserve">1 .الانصاف في النص على الائمة</w:t>
      </w:r>
    </w:p>
    <w:p>
      <w:pPr>
        <w:pStyle w:val="BookText"/>
      </w:pPr>
      <w:r>
        <w:rPr>
          <w:rFonts w:ascii="IRNazanin" w:hAnsi="IRNazanin" w:eastAsia="IRNazanin" w:cs="IRNazanin"/>
          <w:lang w:bidi="fa-IR"/>
          <w:color w:val="111111"/>
          <w:sz w:val="28"/>
          <w:szCs w:val="28"/>
          <w:rtl/>
        </w:rPr>
        <w:t xml:space="preserve">الاشراف، ج2، ص818</w:t>
      </w:r>
    </w:p>
    <w:p>
      <w:pPr>
        <w:pStyle w:val="BookText"/>
      </w:pPr>
      <w:r>
        <w:rPr>
          <w:rFonts w:ascii="Amiri" w:hAnsi="Amiri" w:eastAsia="Amiri" w:cs="Amiri"/>
          <w:lang w:bidi="ar-SA"/>
          <w:color w:val="111111"/>
          <w:sz w:val="28"/>
          <w:szCs w:val="28"/>
          <w:rtl/>
        </w:rPr>
        <w:t xml:space="preserve">2 .البرهان في تفسير القرآن، ج3،</w:t>
      </w:r>
    </w:p>
    <w:p>
      <w:pPr>
        <w:pStyle w:val="BookText"/>
      </w:pPr>
      <w:r>
        <w:rPr>
          <w:rFonts w:ascii="IRNazanin" w:hAnsi="IRNazanin" w:eastAsia="IRNazanin" w:cs="IRNazanin"/>
          <w:lang w:bidi="fa-IR"/>
          <w:color w:val="111111"/>
          <w:sz w:val="28"/>
          <w:szCs w:val="28"/>
          <w:rtl/>
        </w:rPr>
        <w:t xml:space="preserve">ص 310.</w:t>
      </w:r>
    </w:p>
    <w:p>
      <w:pPr>
        <w:pStyle w:val="BookText"/>
      </w:pPr>
      <w:r>
        <w:rPr>
          <w:rFonts w:ascii="Amiri" w:hAnsi="Amiri" w:eastAsia="Amiri" w:cs="Amiri"/>
          <w:lang w:bidi="ar-SA"/>
          <w:color w:val="111111"/>
          <w:sz w:val="28"/>
          <w:szCs w:val="28"/>
          <w:rtl/>
        </w:rPr>
        <w:t xml:space="preserve">3 .تنبيه الاريب وتذكرة اللبيب في ايضاح رجال التهذيب، ج5، ص22.</w:t>
      </w:r>
    </w:p>
    <w:p>
      <w:pPr>
        <w:pStyle w:val="BookText"/>
      </w:pPr>
      <w:r>
        <w:rPr>
          <w:rFonts w:ascii="Amiri" w:hAnsi="Amiri" w:eastAsia="Amiri" w:cs="Amiri"/>
          <w:lang w:bidi="ar-SA"/>
          <w:color w:val="111111"/>
          <w:sz w:val="28"/>
          <w:szCs w:val="28"/>
          <w:rtl/>
        </w:rPr>
        <w:t xml:space="preserve">4 .جامع الاخبار الجسام في احكام الحلال والحرام، ج 5، ص 246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حلية الابرار في احوال محمد و آله</w:t>
      </w:r>
    </w:p>
    <w:p>
      <w:pPr>
        <w:pStyle w:val="BookText"/>
      </w:pPr>
      <w:r>
        <w:rPr>
          <w:rFonts w:ascii="IRNazanin" w:hAnsi="IRNazanin" w:eastAsia="IRNazanin" w:cs="IRNazanin"/>
          <w:lang w:bidi="fa-IR"/>
          <w:color w:val="111111"/>
          <w:sz w:val="28"/>
          <w:szCs w:val="28"/>
          <w:rtl/>
        </w:rPr>
        <w:t xml:space="preserve">الاطهار، ج 6، ص 808</w:t>
      </w:r>
    </w:p>
    <w:p>
      <w:pPr>
        <w:pStyle w:val="BookText"/>
      </w:pPr>
      <w:r>
        <w:rPr>
          <w:rFonts w:ascii="Amiri" w:hAnsi="Amiri" w:eastAsia="Amiri" w:cs="Amiri"/>
          <w:lang w:bidi="ar-SA"/>
          <w:color w:val="111111"/>
          <w:sz w:val="28"/>
          <w:szCs w:val="28"/>
          <w:rtl/>
        </w:rPr>
        <w:t xml:space="preserve">6 .روضة العارفين و نزهة الراغبين</w:t>
      </w:r>
    </w:p>
    <w:p>
      <w:pPr>
        <w:pStyle w:val="BookText"/>
      </w:pPr>
      <w:r>
        <w:rPr>
          <w:rFonts w:ascii="IRNazanin" w:hAnsi="IRNazanin" w:eastAsia="IRNazanin" w:cs="IRNazanin"/>
          <w:lang w:bidi="fa-IR"/>
          <w:color w:val="111111"/>
          <w:sz w:val="28"/>
          <w:szCs w:val="28"/>
          <w:rtl/>
        </w:rPr>
        <w:t xml:space="preserve">ج 8، ص 445.</w:t>
      </w:r>
    </w:p>
    <w:p>
      <w:pPr>
        <w:pStyle w:val="BookText"/>
      </w:pPr>
      <w:r>
        <w:rPr>
          <w:rFonts w:ascii="Amiri" w:hAnsi="Amiri" w:eastAsia="Amiri" w:cs="Amiri"/>
          <w:lang w:bidi="ar-SA"/>
          <w:color w:val="111111"/>
          <w:sz w:val="28"/>
          <w:szCs w:val="28"/>
          <w:rtl/>
        </w:rPr>
        <w:t xml:space="preserve">7 .عمدة النظر في بيان عصمة الائمة الاثنى عشر، ج 11، ص309.</w:t>
      </w:r>
    </w:p>
    <w:p>
      <w:pPr>
        <w:pStyle w:val="BookText"/>
      </w:pPr>
      <w:r>
        <w:rPr>
          <w:rFonts w:ascii="Amiri" w:hAnsi="Amiri" w:eastAsia="Amiri" w:cs="Amiri"/>
          <w:lang w:bidi="ar-SA"/>
          <w:color w:val="111111"/>
          <w:sz w:val="28"/>
          <w:szCs w:val="28"/>
          <w:rtl/>
        </w:rPr>
        <w:t xml:space="preserve">8 .المحجة فيما نزل في القائم الحجة</w:t>
      </w:r>
    </w:p>
    <w:p>
      <w:pPr>
        <w:pStyle w:val="BookText"/>
      </w:pPr>
      <w:r>
        <w:rPr>
          <w:rFonts w:ascii="IRNazanin" w:hAnsi="IRNazanin" w:eastAsia="IRNazanin" w:cs="IRNazanin"/>
          <w:lang w:bidi="fa-IR"/>
          <w:color w:val="111111"/>
          <w:sz w:val="28"/>
          <w:szCs w:val="28"/>
          <w:rtl/>
        </w:rPr>
        <w:t xml:space="preserve">ج 14، ص 114.</w:t>
      </w:r>
    </w:p>
    <w:p>
      <w:pPr>
        <w:pStyle w:val="BookText"/>
      </w:pPr>
      <w:r>
        <w:rPr>
          <w:rFonts w:ascii="Amiri" w:hAnsi="Amiri" w:eastAsia="Amiri" w:cs="Amiri"/>
          <w:lang w:bidi="ar-SA"/>
          <w:color w:val="111111"/>
          <w:sz w:val="28"/>
          <w:szCs w:val="28"/>
          <w:rtl/>
        </w:rPr>
        <w:t xml:space="preserve">9 .مدينة المعاجز = مدينة معاجز الائمة الاثنى عشر ودلائل الحجج</w:t>
      </w:r>
    </w:p>
    <w:p>
      <w:pPr>
        <w:pStyle w:val="BookText"/>
      </w:pPr>
      <w:r>
        <w:rPr>
          <w:rFonts w:ascii="IRNazanin" w:hAnsi="IRNazanin" w:eastAsia="IRNazanin" w:cs="IRNazanin"/>
          <w:lang w:bidi="fa-IR"/>
          <w:color w:val="111111"/>
          <w:sz w:val="28"/>
          <w:szCs w:val="28"/>
          <w:rtl/>
        </w:rPr>
        <w:t xml:space="preserve">على البشر، ج 14، ص 336.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معالم الزلفي، ج 14، ص878.</w:t>
      </w:r>
    </w:p>
    <w:p>
      <w:pPr>
        <w:pStyle w:val="BookText"/>
      </w:pPr>
      <w:r>
        <w:rPr>
          <w:rFonts w:ascii="Amiri" w:hAnsi="Amiri" w:eastAsia="Amiri" w:cs="Amiri"/>
          <w:lang w:bidi="ar-SA"/>
          <w:color w:val="111111"/>
          <w:sz w:val="28"/>
          <w:szCs w:val="28"/>
          <w:rtl/>
        </w:rPr>
        <w:t xml:space="preserve">11 .نهاية الاكمال فيما به تقبل</w:t>
      </w:r>
    </w:p>
    <w:p>
      <w:pPr>
        <w:pStyle w:val="BookText"/>
      </w:pPr>
      <w:r>
        <w:rPr>
          <w:rFonts w:ascii="IRNazanin" w:hAnsi="IRNazanin" w:eastAsia="IRNazanin" w:cs="IRNazanin"/>
          <w:lang w:bidi="fa-IR"/>
          <w:color w:val="111111"/>
          <w:sz w:val="28"/>
          <w:szCs w:val="28"/>
          <w:rtl/>
        </w:rPr>
        <w:t xml:space="preserve">الاعمال، ج 16، ص 486 .</w:t>
      </w:r>
    </w:p>
    <w:p>
      <w:pPr>
        <w:pStyle w:val="BookText"/>
      </w:pPr>
      <w:r>
        <w:rPr>
          <w:rFonts w:ascii="Amiri" w:hAnsi="Amiri" w:eastAsia="Amiri" w:cs="Amiri"/>
          <w:lang w:bidi="ar-SA"/>
          <w:color w:val="111111"/>
          <w:sz w:val="28"/>
          <w:szCs w:val="28"/>
          <w:rtl/>
        </w:rPr>
        <w:t xml:space="preserve">12 .الهادي و مصباح النادي، ج 16،</w:t>
      </w:r>
    </w:p>
    <w:p>
      <w:pPr>
        <w:pStyle w:val="BookText"/>
      </w:pPr>
      <w:r>
        <w:rPr>
          <w:rFonts w:ascii="IRNazanin" w:hAnsi="IRNazanin" w:eastAsia="IRNazanin" w:cs="IRNazanin"/>
          <w:lang w:bidi="fa-IR"/>
          <w:color w:val="111111"/>
          <w:sz w:val="28"/>
          <w:szCs w:val="28"/>
          <w:rtl/>
        </w:rPr>
        <w:t xml:space="preserve">ص588</w:t>
      </w:r>
    </w:p>
    <w:p>
      <w:pPr>
        <w:pStyle w:val="Heading2"/>
      </w:pPr>
      <w:bookmarkStart w:id="2627" w:name="_Toc1729"/>
      <w:r>
        <w:t>بحراني ياسين بن صلاح الدین قرن 12 ه-</w:t>
      </w:r>
      <w:bookmarkEnd w:id="2627"/>
    </w:p>
    <w:p>
      <w:pPr>
        <w:pStyle w:val="BookText"/>
      </w:pPr>
      <w:r>
        <w:rPr>
          <w:rFonts w:ascii="Amiri" w:hAnsi="Amiri" w:eastAsia="Amiri" w:cs="Amiri"/>
          <w:lang w:bidi="ar-SA"/>
          <w:color w:val="111111"/>
          <w:sz w:val="28"/>
          <w:szCs w:val="28"/>
          <w:rtl/>
        </w:rPr>
        <w:t xml:space="preserve">معين النبيه في رجال من لا يحضره</w:t>
      </w:r>
    </w:p>
    <w:p>
      <w:pPr>
        <w:pStyle w:val="BookText"/>
      </w:pPr>
      <w:r>
        <w:rPr>
          <w:rFonts w:ascii="Amiri" w:hAnsi="Amiri" w:eastAsia="Amiri" w:cs="Amiri"/>
          <w:lang w:bidi="ar-SA"/>
          <w:color w:val="111111"/>
          <w:sz w:val="28"/>
          <w:szCs w:val="28"/>
          <w:rtl/>
        </w:rPr>
        <w:t xml:space="preserve">الفقيه، ج 15 ، ص 109.</w:t>
      </w:r>
    </w:p>
    <w:p>
      <w:pPr>
        <w:pStyle w:val="Heading2"/>
      </w:pPr>
      <w:bookmarkStart w:id="2628" w:name="_Toc1730"/>
      <w:r>
        <w:t>بحراني ، يحيى بن حسين قرن 10 ه-</w:t>
      </w:r>
      <w:bookmarkEnd w:id="26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إجازة لعبد الله بن عبدالكريم، ج1،</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Amiri" w:hAnsi="Amiri" w:eastAsia="Amiri" w:cs="Amiri"/>
          <w:lang w:bidi="ar-SA"/>
          <w:color w:val="111111"/>
          <w:sz w:val="28"/>
          <w:szCs w:val="28"/>
          <w:rtl/>
        </w:rPr>
        <w:t xml:space="preserve">2 .بهجة الخاطر و نزهة الناظر، ج3،</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Amiri" w:hAnsi="Amiri" w:eastAsia="Amiri" w:cs="Amiri"/>
          <w:lang w:bidi="ar-SA"/>
          <w:color w:val="111111"/>
          <w:sz w:val="28"/>
          <w:szCs w:val="28"/>
          <w:rtl/>
        </w:rPr>
        <w:t xml:space="preserve">3 .التحفة الرضية إلى طلاب الامامية( في شرح الجعفرية)، ج 3، ص 837.</w:t>
      </w:r>
    </w:p>
    <w:p>
      <w:pPr>
        <w:pStyle w:val="BookText"/>
      </w:pPr>
      <w:r>
        <w:rPr>
          <w:rFonts w:ascii="Amiri" w:hAnsi="Amiri" w:eastAsia="Amiri" w:cs="Amiri"/>
          <w:lang w:bidi="ar-SA"/>
          <w:color w:val="111111"/>
          <w:sz w:val="28"/>
          <w:szCs w:val="28"/>
          <w:rtl/>
        </w:rPr>
        <w:t xml:space="preserve">4 .معرفة مشايخ الشيعة = تراجم</w:t>
      </w:r>
    </w:p>
    <w:p>
      <w:pPr>
        <w:pStyle w:val="BookText"/>
      </w:pPr>
      <w:r>
        <w:rPr>
          <w:rFonts w:ascii="Amiri" w:hAnsi="Amiri" w:eastAsia="Amiri" w:cs="Amiri"/>
          <w:lang w:bidi="ar-SA"/>
          <w:color w:val="111111"/>
          <w:sz w:val="28"/>
          <w:szCs w:val="28"/>
          <w:rtl/>
        </w:rPr>
        <w:t xml:space="preserve">مشايخ الشيعة = تذكرة المجتهدين، ج 15، ص70.</w:t>
      </w:r>
    </w:p>
    <w:p>
      <w:pPr>
        <w:pStyle w:val="Heading2"/>
      </w:pPr>
      <w:bookmarkStart w:id="2629" w:name="_Toc1731"/>
      <w:r>
        <w:t>بحراني ، يوسف بن احمد، 1107-1186ه-</w:t>
      </w:r>
      <w:bookmarkEnd w:id="2629"/>
    </w:p>
    <w:p>
      <w:pPr>
        <w:pStyle w:val="BookText"/>
      </w:pPr>
      <w:r>
        <w:rPr>
          <w:rFonts w:ascii="Amiri" w:hAnsi="Amiri" w:eastAsia="Amiri" w:cs="Amiri"/>
          <w:lang w:bidi="ar-SA"/>
          <w:color w:val="111111"/>
          <w:sz w:val="28"/>
          <w:szCs w:val="28"/>
          <w:rtl/>
        </w:rPr>
        <w:t xml:space="preserve">1 .اجازة للسيد بحر العلوم، ج1،</w:t>
      </w:r>
    </w:p>
    <w:p>
      <w:pPr>
        <w:pStyle w:val="BookText"/>
      </w:pPr>
      <w:r>
        <w:rPr>
          <w:rFonts w:ascii="IRNazanin" w:hAnsi="IRNazanin" w:eastAsia="IRNazanin" w:cs="IRNazanin"/>
          <w:lang w:bidi="fa-IR"/>
          <w:color w:val="111111"/>
          <w:sz w:val="28"/>
          <w:szCs w:val="28"/>
          <w:rtl/>
        </w:rPr>
        <w:t xml:space="preserve">ص 246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اجوبة المسائل، ج 1، ص 335.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اجوبة مسائل الشيخ يوسف آل</w:t>
      </w:r>
    </w:p>
    <w:p>
      <w:pPr>
        <w:pStyle w:val="BookText"/>
      </w:pPr>
      <w:r>
        <w:rPr>
          <w:rFonts w:ascii="IRNazanin" w:hAnsi="IRNazanin" w:eastAsia="IRNazanin" w:cs="IRNazanin"/>
          <w:lang w:bidi="fa-IR"/>
          <w:color w:val="111111"/>
          <w:sz w:val="28"/>
          <w:szCs w:val="28"/>
          <w:rtl/>
        </w:rPr>
        <w:t xml:space="preserve">عصفور، ج 1، ص 357.</w:t>
      </w:r>
    </w:p>
    <w:p>
      <w:pPr>
        <w:pStyle w:val="BookText"/>
      </w:pPr>
      <w:r>
        <w:rPr>
          <w:rFonts w:ascii="Amiri" w:hAnsi="Amiri" w:eastAsia="Amiri" w:cs="Amiri"/>
          <w:lang w:bidi="ar-SA"/>
          <w:color w:val="111111"/>
          <w:sz w:val="28"/>
          <w:szCs w:val="28"/>
          <w:rtl/>
        </w:rPr>
        <w:t xml:space="preserve">4 .احكام الصلاة، ج 1، ص 475.</w:t>
      </w:r>
    </w:p>
    <w:p>
      <w:pPr>
        <w:pStyle w:val="BookText"/>
      </w:pPr>
      <w:r>
        <w:rPr>
          <w:rFonts w:ascii="IRNazanin" w:hAnsi="IRNazanin" w:eastAsia="IRNazanin" w:cs="IRNazanin"/>
          <w:lang w:bidi="fa-IR"/>
          <w:color w:val="111111"/>
          <w:sz w:val="28"/>
          <w:szCs w:val="28"/>
          <w:rtl/>
        </w:rPr>
        <w:t xml:space="preserve">5 .الارث، ج 1، ص 750 .</w:t>
      </w:r>
    </w:p>
    <w:p>
      <w:pPr>
        <w:pStyle w:val="BookText"/>
      </w:pPr>
      <w:r>
        <w:rPr>
          <w:rFonts w:ascii="Amiri" w:hAnsi="Amiri" w:eastAsia="Amiri" w:cs="Amiri"/>
          <w:lang w:bidi="ar-SA"/>
          <w:color w:val="111111"/>
          <w:sz w:val="28"/>
          <w:szCs w:val="28"/>
          <w:rtl/>
        </w:rPr>
        <w:t xml:space="preserve">6 .الانوار الخيرية و الأقمار البدرية في اجوبة المسائل الأحمدية، ج 2،</w:t>
      </w:r>
    </w:p>
    <w:p>
      <w:pPr>
        <w:pStyle w:val="BookText"/>
      </w:pPr>
      <w:r>
        <w:rPr>
          <w:rFonts w:ascii="IRNazanin" w:hAnsi="IRNazanin" w:eastAsia="IRNazanin" w:cs="IRNazanin"/>
          <w:lang w:bidi="fa-IR"/>
          <w:color w:val="111111"/>
          <w:sz w:val="28"/>
          <w:szCs w:val="28"/>
          <w:rtl/>
        </w:rPr>
        <w:t xml:space="preserve">ص 883</w:t>
      </w:r>
    </w:p>
    <w:p>
      <w:pPr>
        <w:pStyle w:val="BookText"/>
      </w:pPr>
      <w:r>
        <w:rPr>
          <w:rFonts w:ascii="IRNazanin" w:hAnsi="IRNazanin" w:eastAsia="IRNazanin" w:cs="IRNazanin"/>
          <w:lang w:bidi="fa-IR"/>
          <w:color w:val="111111"/>
          <w:sz w:val="28"/>
          <w:szCs w:val="28"/>
          <w:rtl/>
        </w:rPr>
        <w:t xml:space="preserve">7.انيس المسافر و جليس الحاضر (الخواطر) = کشکول، ج 3، ص 44.</w:t>
      </w:r>
    </w:p>
    <w:p>
      <w:pPr>
        <w:pStyle w:val="BookText"/>
      </w:pPr>
      <w:r>
        <w:rPr>
          <w:rFonts w:ascii="Amiri" w:hAnsi="Amiri" w:eastAsia="Amiri" w:cs="Amiri"/>
          <w:lang w:bidi="ar-SA"/>
          <w:color w:val="111111"/>
          <w:sz w:val="28"/>
          <w:szCs w:val="28"/>
          <w:rtl/>
        </w:rPr>
        <w:t xml:space="preserve">8 .تدارك المدارك = حاشية المدارك</w:t>
      </w:r>
    </w:p>
    <w:p>
      <w:pPr>
        <w:pStyle w:val="BookText"/>
      </w:pPr>
      <w:r>
        <w:rPr>
          <w:rFonts w:ascii="IRNazanin" w:hAnsi="IRNazanin" w:eastAsia="IRNazanin" w:cs="IRNazanin"/>
          <w:lang w:bidi="fa-IR"/>
          <w:color w:val="111111"/>
          <w:sz w:val="28"/>
          <w:szCs w:val="28"/>
          <w:rtl/>
        </w:rPr>
        <w:t xml:space="preserve">ج ،4، ص 165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الحدائق الناضرة في احكام العترة</w:t>
      </w:r>
    </w:p>
    <w:p>
      <w:pPr>
        <w:pStyle w:val="BookText"/>
      </w:pPr>
      <w:r>
        <w:rPr>
          <w:rFonts w:ascii="Amiri" w:hAnsi="Amiri" w:eastAsia="Amiri" w:cs="Amiri"/>
          <w:lang w:bidi="ar-SA"/>
          <w:color w:val="111111"/>
          <w:sz w:val="28"/>
          <w:szCs w:val="28"/>
          <w:rtl/>
        </w:rPr>
        <w:t xml:space="preserve">الطاهرة، ج 6، ص 524.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الخطب، ج 7، ص 44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4" w:name="pg7742_69873"/>
    <w:bookmarkEnd w:id="244"/>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الدرر النجفية من الملتقطات</w:t>
      </w:r>
    </w:p>
    <w:p>
      <w:pPr>
        <w:pStyle w:val="BookText"/>
      </w:pPr>
      <w:r>
        <w:rPr>
          <w:rFonts w:ascii="Amiri" w:hAnsi="Amiri" w:eastAsia="Amiri" w:cs="Amiri"/>
          <w:lang w:bidi="ar-SA"/>
          <w:color w:val="111111"/>
          <w:sz w:val="28"/>
          <w:szCs w:val="28"/>
          <w:rtl/>
        </w:rPr>
        <w:t xml:space="preserve">اليوسفية، ج 7، ص319.</w:t>
      </w:r>
    </w:p>
    <w:p>
      <w:pPr>
        <w:pStyle w:val="BookText"/>
      </w:pPr>
      <w:r>
        <w:rPr>
          <w:rFonts w:ascii="Amiri" w:hAnsi="Amiri" w:eastAsia="Amiri" w:cs="Amiri"/>
          <w:lang w:bidi="ar-SA"/>
          <w:color w:val="111111"/>
          <w:sz w:val="28"/>
          <w:szCs w:val="28"/>
          <w:rtl/>
        </w:rPr>
        <w:t xml:space="preserve">12 .رسائل متفرقة، ج 8، ص 150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الرسالة المحمّدية في احكام الميراث</w:t>
      </w:r>
    </w:p>
    <w:p>
      <w:pPr>
        <w:pStyle w:val="BookText"/>
      </w:pPr>
      <w:r>
        <w:rPr>
          <w:rFonts w:ascii="Amiri" w:hAnsi="Amiri" w:eastAsia="Amiri" w:cs="Amiri"/>
          <w:lang w:bidi="ar-SA"/>
          <w:color w:val="111111"/>
          <w:sz w:val="28"/>
          <w:szCs w:val="28"/>
          <w:rtl/>
        </w:rPr>
        <w:t xml:space="preserve">الابدية، ج8، ص 262.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سلاسل الحديد لتقييد ابن ابي</w:t>
      </w:r>
    </w:p>
    <w:p>
      <w:pPr>
        <w:pStyle w:val="BookText"/>
      </w:pPr>
      <w:r>
        <w:rPr>
          <w:rFonts w:ascii="Amiri" w:hAnsi="Amiri" w:eastAsia="Amiri" w:cs="Amiri"/>
          <w:lang w:bidi="ar-SA"/>
          <w:color w:val="111111"/>
          <w:sz w:val="28"/>
          <w:szCs w:val="28"/>
          <w:rtl/>
        </w:rPr>
        <w:t xml:space="preserve">الحديد، ج8، ص 794 .</w:t>
      </w:r>
    </w:p>
    <w:p>
      <w:pPr>
        <w:pStyle w:val="BookText"/>
      </w:pPr>
      <w:r>
        <w:rPr>
          <w:rFonts w:ascii="Amiri" w:hAnsi="Amiri" w:eastAsia="Amiri" w:cs="Amiri"/>
          <w:lang w:bidi="ar-SA"/>
          <w:color w:val="111111"/>
          <w:sz w:val="28"/>
          <w:szCs w:val="28"/>
          <w:rtl/>
        </w:rPr>
        <w:t xml:space="preserve">15 .شرح الرسالة الصلاتية، ج 9،</w:t>
      </w:r>
    </w:p>
    <w:p>
      <w:pPr>
        <w:pStyle w:val="BookText"/>
      </w:pPr>
      <w:r>
        <w:rPr>
          <w:rFonts w:ascii="IRNazanin" w:hAnsi="IRNazanin" w:eastAsia="IRNazanin" w:cs="IRNazanin"/>
          <w:lang w:bidi="fa-IR"/>
          <w:color w:val="111111"/>
          <w:sz w:val="28"/>
          <w:szCs w:val="28"/>
          <w:rtl/>
        </w:rPr>
        <w:t xml:space="preserve">ص 535.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حديث «نية المؤمن خير من</w:t>
      </w:r>
    </w:p>
    <w:p>
      <w:pPr>
        <w:pStyle w:val="BookText"/>
      </w:pPr>
      <w:r>
        <w:rPr>
          <w:rFonts w:ascii="IRNazanin" w:hAnsi="IRNazanin" w:eastAsia="IRNazanin" w:cs="IRNazanin"/>
          <w:lang w:bidi="fa-IR"/>
          <w:color w:val="111111"/>
          <w:sz w:val="28"/>
          <w:szCs w:val="28"/>
          <w:rtl/>
        </w:rPr>
        <w:t xml:space="preserve">عمله»، ج 9، ص 406.</w:t>
      </w:r>
    </w:p>
    <w:p>
      <w:pPr>
        <w:pStyle w:val="BookText"/>
      </w:pPr>
      <w:r>
        <w:rPr>
          <w:rFonts w:ascii="Amiri" w:hAnsi="Amiri" w:eastAsia="Amiri" w:cs="Amiri"/>
          <w:lang w:bidi="ar-SA"/>
          <w:color w:val="111111"/>
          <w:sz w:val="28"/>
          <w:szCs w:val="28"/>
          <w:rtl/>
        </w:rPr>
        <w:t xml:space="preserve">17 .شرح هداية الاحكام، ج10،</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Amiri" w:hAnsi="Amiri" w:eastAsia="Amiri" w:cs="Amiri"/>
          <w:lang w:bidi="ar-SA"/>
          <w:color w:val="111111"/>
          <w:sz w:val="28"/>
          <w:szCs w:val="28"/>
          <w:rtl/>
        </w:rPr>
        <w:t xml:space="preserve">18 .الشهاب الثاقب في بيان معنى</w:t>
      </w:r>
    </w:p>
    <w:p>
      <w:pPr>
        <w:pStyle w:val="BookText"/>
      </w:pPr>
      <w:r>
        <w:rPr>
          <w:rFonts w:ascii="IRNazanin" w:hAnsi="IRNazanin" w:eastAsia="IRNazanin" w:cs="IRNazanin"/>
          <w:lang w:bidi="fa-IR"/>
          <w:color w:val="111111"/>
          <w:sz w:val="28"/>
          <w:szCs w:val="28"/>
          <w:rtl/>
        </w:rPr>
        <w:t xml:space="preserve">الناصب، ج 10، ص 430 .</w:t>
      </w:r>
    </w:p>
    <w:p>
      <w:pPr>
        <w:pStyle w:val="BookText"/>
      </w:pPr>
      <w:r>
        <w:rPr>
          <w:rFonts w:ascii="IRNazanin" w:hAnsi="IRNazanin" w:eastAsia="IRNazanin" w:cs="IRNazanin"/>
          <w:lang w:bidi="fa-IR"/>
          <w:color w:val="111111"/>
          <w:sz w:val="28"/>
          <w:szCs w:val="28"/>
          <w:rtl/>
        </w:rPr>
        <w:t xml:space="preserve">19 .الفقه، ج 12، ص 44.</w:t>
      </w:r>
    </w:p>
    <w:p>
      <w:pPr>
        <w:pStyle w:val="BookText"/>
      </w:pPr>
      <w:r>
        <w:rPr>
          <w:rFonts w:ascii="Amiri" w:hAnsi="Amiri" w:eastAsia="Amiri" w:cs="Amiri"/>
          <w:lang w:bidi="ar-SA"/>
          <w:color w:val="111111"/>
          <w:sz w:val="28"/>
          <w:szCs w:val="28"/>
          <w:rtl/>
        </w:rPr>
        <w:t xml:space="preserve">20 .الفقه = فقهية (رسالة)، ج12،</w:t>
      </w:r>
    </w:p>
    <w:p>
      <w:pPr>
        <w:pStyle w:val="BookText"/>
      </w:pPr>
      <w:r>
        <w:rPr>
          <w:rFonts w:ascii="IRNazanin" w:hAnsi="IRNazanin" w:eastAsia="IRNazanin" w:cs="IRNazanin"/>
          <w:lang w:bidi="fa-IR"/>
          <w:color w:val="111111"/>
          <w:sz w:val="28"/>
          <w:szCs w:val="28"/>
          <w:rtl/>
        </w:rPr>
        <w:t xml:space="preserve">ص 45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الفقه (تاب في)، ج 12، ص 44.</w:t>
      </w:r>
    </w:p>
    <w:p>
      <w:pPr>
        <w:pStyle w:val="BookText"/>
      </w:pPr>
      <w:r>
        <w:rPr>
          <w:rFonts w:ascii="Amiri" w:hAnsi="Amiri" w:eastAsia="Amiri" w:cs="Amiri"/>
          <w:lang w:bidi="ar-SA"/>
          <w:color w:val="111111"/>
          <w:sz w:val="28"/>
          <w:szCs w:val="28"/>
          <w:rtl/>
        </w:rPr>
        <w:t xml:space="preserve">22 .كشف القناع عن صريح الدليل في</w:t>
      </w:r>
    </w:p>
    <w:p>
      <w:pPr>
        <w:pStyle w:val="BookText"/>
      </w:pPr>
      <w:r>
        <w:rPr>
          <w:rFonts w:ascii="Amiri" w:hAnsi="Amiri" w:eastAsia="Amiri" w:cs="Amiri"/>
          <w:lang w:bidi="ar-SA"/>
          <w:color w:val="111111"/>
          <w:sz w:val="28"/>
          <w:szCs w:val="28"/>
          <w:rtl/>
        </w:rPr>
        <w:t xml:space="preserve">الرد على من قال في الرضاع</w:t>
      </w:r>
    </w:p>
    <w:p>
      <w:pPr>
        <w:pStyle w:val="BookText"/>
      </w:pPr>
      <w:r>
        <w:rPr>
          <w:rFonts w:ascii="Amiri" w:hAnsi="Amiri" w:eastAsia="Amiri" w:cs="Amiri"/>
          <w:lang w:bidi="ar-SA"/>
          <w:color w:val="111111"/>
          <w:sz w:val="28"/>
          <w:szCs w:val="28"/>
          <w:rtl/>
        </w:rPr>
        <w:t xml:space="preserve">بالتنزيل، ج13، ص 247.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لؤلؤة البحرين في الاجازة لقرتي</w:t>
      </w:r>
    </w:p>
    <w:p>
      <w:pPr>
        <w:pStyle w:val="BookText"/>
      </w:pPr>
      <w:r>
        <w:rPr>
          <w:rFonts w:ascii="Amiri" w:hAnsi="Amiri" w:eastAsia="Amiri" w:cs="Amiri"/>
          <w:lang w:bidi="ar-SA"/>
          <w:color w:val="111111"/>
          <w:sz w:val="28"/>
          <w:szCs w:val="28"/>
          <w:rtl/>
        </w:rPr>
        <w:t xml:space="preserve">العين، ج13، ص 533.</w:t>
      </w:r>
    </w:p>
    <w:p>
      <w:pPr>
        <w:pStyle w:val="BookText"/>
      </w:pPr>
      <w:r>
        <w:rPr>
          <w:rFonts w:ascii="Amiri" w:hAnsi="Amiri" w:eastAsia="Amiri" w:cs="Amiri"/>
          <w:lang w:bidi="ar-SA"/>
          <w:color w:val="111111"/>
          <w:sz w:val="28"/>
          <w:szCs w:val="28"/>
          <w:rtl/>
        </w:rPr>
        <w:t xml:space="preserve">24 .مقدمة الحدائق الناضرة، ج 15،</w:t>
      </w:r>
    </w:p>
    <w:p>
      <w:pPr>
        <w:pStyle w:val="BookText"/>
      </w:pPr>
      <w:r>
        <w:rPr>
          <w:rFonts w:ascii="IRNazanin" w:hAnsi="IRNazanin" w:eastAsia="IRNazanin" w:cs="IRNazanin"/>
          <w:lang w:bidi="fa-IR"/>
          <w:color w:val="111111"/>
          <w:sz w:val="28"/>
          <w:szCs w:val="28"/>
          <w:rtl/>
        </w:rPr>
        <w:t xml:space="preserve">ص 356 .</w:t>
      </w:r>
    </w:p>
    <w:p>
      <w:pPr>
        <w:pStyle w:val="BookText"/>
      </w:pPr>
      <w:r>
        <w:rPr>
          <w:rFonts w:ascii="Amiri" w:hAnsi="Amiri" w:eastAsia="Amiri" w:cs="Amiri"/>
          <w:lang w:bidi="ar-SA"/>
          <w:color w:val="111111"/>
          <w:sz w:val="28"/>
          <w:szCs w:val="28"/>
          <w:rtl/>
        </w:rPr>
        <w:t xml:space="preserve">25 .مناسك الحج، ج 15، ص 501.</w:t>
      </w:r>
    </w:p>
    <w:p>
      <w:pPr>
        <w:pStyle w:val="Heading2"/>
      </w:pPr>
      <w:bookmarkStart w:id="2630" w:name="_Toc1732"/>
      <w:r>
        <w:t>بحراني ، يوسف بن حسين</w:t>
      </w:r>
      <w:bookmarkEnd w:id="2630"/>
    </w:p>
    <w:p>
      <w:pPr>
        <w:pStyle w:val="BookText"/>
      </w:pPr>
      <w:r>
        <w:rPr>
          <w:rFonts w:ascii="Amiri" w:hAnsi="Amiri" w:eastAsia="Amiri" w:cs="Amiri"/>
          <w:lang w:bidi="ar-SA"/>
          <w:color w:val="111111"/>
          <w:sz w:val="28"/>
          <w:szCs w:val="28"/>
          <w:rtl/>
        </w:rPr>
        <w:t xml:space="preserve">صيغ العقود الشرعية، ج 10، ص 677.</w:t>
      </w:r>
    </w:p>
    <w:p>
      <w:pPr>
        <w:pStyle w:val="Heading2"/>
      </w:pPr>
      <w:bookmarkStart w:id="2631" w:name="_Toc1733"/>
      <w:r>
        <w:t>بحراني ، يوسف بن علي، قرن 12 ه-</w:t>
      </w:r>
      <w:bookmarkEnd w:id="2631"/>
    </w:p>
    <w:p>
      <w:pPr>
        <w:pStyle w:val="BookText"/>
      </w:pPr>
      <w:r>
        <w:rPr>
          <w:rFonts w:ascii="Amiri" w:hAnsi="Amiri" w:eastAsia="Amiri" w:cs="Amiri"/>
          <w:lang w:bidi="ar-SA"/>
          <w:color w:val="111111"/>
          <w:sz w:val="28"/>
          <w:szCs w:val="28"/>
          <w:rtl/>
        </w:rPr>
        <w:t xml:space="preserve">غاية المرام و شرح شرائع الاسلام</w:t>
      </w:r>
    </w:p>
    <w:p>
      <w:pPr>
        <w:pStyle w:val="BookText"/>
      </w:pPr>
      <w:r>
        <w:rPr>
          <w:rFonts w:ascii="IRNazanin" w:hAnsi="IRNazanin" w:eastAsia="IRNazanin" w:cs="IRNazanin"/>
          <w:lang w:bidi="fa-IR"/>
          <w:color w:val="111111"/>
          <w:sz w:val="28"/>
          <w:szCs w:val="28"/>
          <w:rtl/>
        </w:rPr>
        <w:t xml:space="preserve">ج 11، ص 455.</w:t>
      </w:r>
    </w:p>
    <w:p>
      <w:pPr>
        <w:pStyle w:val="BookText"/>
      </w:pPr>
      <w:r>
        <w:rPr>
          <w:rFonts w:ascii="Amiri" w:hAnsi="Amiri" w:eastAsia="Amiri" w:cs="Amiri"/>
          <w:lang w:bidi="ar-SA"/>
          <w:color w:val="111111"/>
          <w:sz w:val="28"/>
          <w:szCs w:val="28"/>
          <w:rtl/>
        </w:rPr>
        <w:t xml:space="preserve">بحر بن ريس بن صلاح -ابن صلاح ، بحر</w:t>
      </w:r>
    </w:p>
    <w:p>
      <w:pPr>
        <w:pStyle w:val="BookText"/>
      </w:pPr>
      <w:r>
        <w:rPr>
          <w:rFonts w:ascii="Amiri" w:hAnsi="Amiri" w:eastAsia="Amiri" w:cs="Amiri"/>
          <w:lang w:bidi="ar-SA"/>
          <w:color w:val="111111"/>
          <w:sz w:val="28"/>
          <w:szCs w:val="28"/>
          <w:rtl/>
        </w:rPr>
        <w:t xml:space="preserve">بن ريس</w:t>
      </w:r>
    </w:p>
    <w:p>
      <w:pPr>
        <w:pStyle w:val="Heading2"/>
      </w:pPr>
      <w:bookmarkStart w:id="2632" w:name="_Toc1734"/>
      <w:r>
        <w:t>بحرق ، محمّد بن عمر، 869 - 930 ه-</w:t>
      </w:r>
      <w:bookmarkEnd w:id="2632"/>
    </w:p>
    <w:p>
      <w:pPr>
        <w:pStyle w:val="BookText"/>
      </w:pPr>
      <w:r>
        <w:rPr>
          <w:rFonts w:ascii="Amiri" w:hAnsi="Amiri" w:eastAsia="Amiri" w:cs="Amiri"/>
          <w:lang w:bidi="ar-SA"/>
          <w:color w:val="111111"/>
          <w:sz w:val="28"/>
          <w:szCs w:val="28"/>
          <w:rtl/>
        </w:rPr>
        <w:t xml:space="preserve">1 .شرح فتح الرؤف في احكام الحروف</w:t>
      </w:r>
    </w:p>
    <w:p>
      <w:pPr>
        <w:pStyle w:val="BookText"/>
      </w:pPr>
      <w:r>
        <w:rPr>
          <w:rFonts w:ascii="IRNazanin" w:hAnsi="IRNazanin" w:eastAsia="IRNazanin" w:cs="IRNazanin"/>
          <w:lang w:bidi="fa-IR"/>
          <w:color w:val="111111"/>
          <w:sz w:val="28"/>
          <w:szCs w:val="28"/>
          <w:rtl/>
        </w:rPr>
        <w:t xml:space="preserve">و ما معناها من الاسماء و</w:t>
      </w:r>
    </w:p>
    <w:p>
      <w:pPr>
        <w:pStyle w:val="BookText"/>
      </w:pPr>
      <w:r>
        <w:rPr>
          <w:rFonts w:ascii="IRNazanin" w:hAnsi="IRNazanin" w:eastAsia="IRNazanin" w:cs="IRNazanin"/>
          <w:lang w:bidi="fa-IR"/>
          <w:color w:val="111111"/>
          <w:sz w:val="28"/>
          <w:szCs w:val="28"/>
          <w:rtl/>
        </w:rPr>
        <w:t xml:space="preserve">الحروف، ج 9، ص 772.</w:t>
      </w:r>
    </w:p>
    <w:p>
      <w:pPr>
        <w:pStyle w:val="BookText"/>
      </w:pPr>
      <w:r>
        <w:rPr>
          <w:rFonts w:ascii="Amiri" w:hAnsi="Amiri" w:eastAsia="Amiri" w:cs="Amiri"/>
          <w:lang w:bidi="ar-SA"/>
          <w:color w:val="111111"/>
          <w:sz w:val="28"/>
          <w:szCs w:val="28"/>
          <w:rtl/>
        </w:rPr>
        <w:t xml:space="preserve">2 .شرح قصيدة لامية العجم، ج9،</w:t>
      </w:r>
    </w:p>
    <w:p>
      <w:pPr>
        <w:pStyle w:val="BookText"/>
      </w:pPr>
      <w:r>
        <w:rPr>
          <w:rFonts w:ascii="IRNazanin" w:hAnsi="IRNazanin" w:eastAsia="IRNazanin" w:cs="IRNazanin"/>
          <w:lang w:bidi="fa-IR"/>
          <w:color w:val="111111"/>
          <w:sz w:val="28"/>
          <w:szCs w:val="28"/>
          <w:rtl/>
        </w:rPr>
        <w:t xml:space="preserve">ص 888</w:t>
      </w:r>
    </w:p>
    <w:p>
      <w:pPr>
        <w:pStyle w:val="BookText"/>
      </w:pPr>
      <w:r>
        <w:rPr>
          <w:rFonts w:ascii="Amiri" w:hAnsi="Amiri" w:eastAsia="Amiri" w:cs="Amiri"/>
          <w:lang w:bidi="ar-SA"/>
          <w:color w:val="111111"/>
          <w:sz w:val="28"/>
          <w:szCs w:val="28"/>
          <w:rtl/>
        </w:rPr>
        <w:t xml:space="preserve">3 .شرح لامية الافعال، ج 10، ص73.</w:t>
      </w:r>
    </w:p>
    <w:p>
      <w:pPr>
        <w:pStyle w:val="BookText"/>
      </w:pPr>
      <w:r>
        <w:rPr>
          <w:rFonts w:ascii="IRNazanin" w:hAnsi="IRNazanin" w:eastAsia="IRNazanin" w:cs="IRNazanin"/>
          <w:lang w:bidi="fa-IR"/>
          <w:color w:val="111111"/>
          <w:sz w:val="28"/>
          <w:szCs w:val="28"/>
          <w:rtl/>
        </w:rPr>
        <w:t xml:space="preserve">4 .فتح الاقفال و ضرب الامثال = شرح</w:t>
      </w:r>
    </w:p>
    <w:p>
      <w:pPr>
        <w:pStyle w:val="BookText"/>
      </w:pPr>
      <w:r>
        <w:rPr>
          <w:rFonts w:ascii="Amiri" w:hAnsi="Amiri" w:eastAsia="Amiri" w:cs="Amiri"/>
          <w:lang w:bidi="ar-SA"/>
          <w:color w:val="111111"/>
          <w:sz w:val="28"/>
          <w:szCs w:val="28"/>
          <w:rtl/>
        </w:rPr>
        <w:t xml:space="preserve">ابنية الافعال، ج11، ص 632.</w:t>
      </w:r>
    </w:p>
    <w:p>
      <w:pPr>
        <w:pStyle w:val="BookText"/>
      </w:pPr>
      <w:r>
        <w:rPr>
          <w:rFonts w:ascii="Amiri" w:hAnsi="Amiri" w:eastAsia="Amiri" w:cs="Amiri"/>
          <w:lang w:bidi="ar-SA"/>
          <w:color w:val="111111"/>
          <w:sz w:val="28"/>
          <w:szCs w:val="28"/>
          <w:rtl/>
        </w:rPr>
        <w:t xml:space="preserve">5 .كشف الحجاب في شرح اللباب في</w:t>
      </w:r>
    </w:p>
    <w:p>
      <w:pPr>
        <w:pStyle w:val="BookText"/>
      </w:pPr>
      <w:r>
        <w:rPr>
          <w:rFonts w:ascii="IRNazanin" w:hAnsi="IRNazanin" w:eastAsia="IRNazanin" w:cs="IRNazanin"/>
          <w:lang w:bidi="fa-IR"/>
          <w:color w:val="111111"/>
          <w:sz w:val="28"/>
          <w:szCs w:val="28"/>
          <w:rtl/>
        </w:rPr>
        <w:t xml:space="preserve">اصول الحساب، ج13، ص201.</w:t>
      </w:r>
    </w:p>
    <w:p>
      <w:pPr>
        <w:pStyle w:val="BookText"/>
      </w:pPr>
      <w:r>
        <w:rPr>
          <w:rFonts w:ascii="Amiri" w:hAnsi="Amiri" w:eastAsia="Amiri" w:cs="Amiri"/>
          <w:lang w:bidi="ar-SA"/>
          <w:color w:val="111111"/>
          <w:sz w:val="28"/>
          <w:szCs w:val="28"/>
          <w:rtl/>
        </w:rPr>
        <w:t xml:space="preserve">6 .اللباب في اصول الحساب (ارجوزة)</w:t>
      </w:r>
    </w:p>
    <w:p>
      <w:pPr>
        <w:pStyle w:val="BookText"/>
      </w:pPr>
      <w:r>
        <w:rPr>
          <w:rFonts w:ascii="IRNazanin" w:hAnsi="IRNazanin" w:eastAsia="IRNazanin" w:cs="IRNazanin"/>
          <w:lang w:bidi="fa-IR"/>
          <w:color w:val="111111"/>
          <w:sz w:val="28"/>
          <w:szCs w:val="28"/>
          <w:rtl/>
        </w:rPr>
        <w:t xml:space="preserve">ج 13، ص 547.</w:t>
      </w:r>
    </w:p>
    <w:p>
      <w:pPr>
        <w:pStyle w:val="BookText"/>
      </w:pPr>
      <w:r>
        <w:rPr>
          <w:rFonts w:ascii="Amiri" w:hAnsi="Amiri" w:eastAsia="Amiri" w:cs="Amiri"/>
          <w:lang w:bidi="ar-SA"/>
          <w:color w:val="111111"/>
          <w:sz w:val="28"/>
          <w:szCs w:val="28"/>
          <w:rtl/>
        </w:rPr>
        <w:t xml:space="preserve">7 .متعة الأسماع باحكام السماع، ج 13،</w:t>
      </w:r>
    </w:p>
    <w:p>
      <w:pPr>
        <w:pStyle w:val="BookText"/>
      </w:pPr>
      <w:r>
        <w:rPr>
          <w:rFonts w:ascii="IRNazanin" w:hAnsi="IRNazanin" w:eastAsia="IRNazanin" w:cs="IRNazanin"/>
          <w:lang w:bidi="fa-IR"/>
          <w:color w:val="111111"/>
          <w:sz w:val="28"/>
          <w:szCs w:val="28"/>
          <w:rtl/>
        </w:rPr>
        <w:t xml:space="preserve">ص 753.</w:t>
      </w:r>
    </w:p>
    <w:p>
      <w:pPr>
        <w:pStyle w:val="BookText"/>
      </w:pPr>
      <w:r>
        <w:rPr>
          <w:rFonts w:ascii="Amiri" w:hAnsi="Amiri" w:eastAsia="Amiri" w:cs="Amiri"/>
          <w:lang w:bidi="ar-SA"/>
          <w:color w:val="111111"/>
          <w:sz w:val="28"/>
          <w:szCs w:val="28"/>
          <w:rtl/>
        </w:rPr>
        <w:t xml:space="preserve">8 .نشر العلم في شرح لامية العجم</w:t>
      </w:r>
    </w:p>
    <w:p>
      <w:pPr>
        <w:pStyle w:val="BookText"/>
      </w:pPr>
      <w:r>
        <w:rPr>
          <w:rFonts w:ascii="IRNazanin" w:hAnsi="IRNazanin" w:eastAsia="IRNazanin" w:cs="IRNazanin"/>
          <w:lang w:bidi="fa-IR"/>
          <w:color w:val="111111"/>
          <w:sz w:val="28"/>
          <w:szCs w:val="28"/>
          <w:rtl/>
        </w:rPr>
        <w:t xml:space="preserve">ج 16، ص 287.</w:t>
      </w:r>
    </w:p>
    <w:p>
      <w:pPr>
        <w:pStyle w:val="Heading2"/>
      </w:pPr>
      <w:bookmarkStart w:id="2633" w:name="_Toc1735"/>
      <w:r>
        <w:t>بحريني ، عبدالحسين</w:t>
      </w:r>
      <w:bookmarkEnd w:id="2633"/>
    </w:p>
    <w:p>
      <w:pPr>
        <w:pStyle w:val="BookText"/>
      </w:pPr>
      <w:r>
        <w:rPr>
          <w:rFonts w:ascii="Amiri" w:hAnsi="Amiri" w:eastAsia="Amiri" w:cs="Amiri"/>
          <w:lang w:bidi="ar-SA"/>
          <w:color w:val="111111"/>
          <w:sz w:val="28"/>
          <w:szCs w:val="28"/>
          <w:rtl/>
        </w:rPr>
        <w:t xml:space="preserve">الزكاة والحج، ج8، ص 606.</w:t>
      </w:r>
    </w:p>
    <w:p>
      <w:pPr>
        <w:pStyle w:val="BookText"/>
      </w:pPr>
      <w:r>
        <w:rPr>
          <w:rFonts w:ascii="Amiri" w:hAnsi="Amiri" w:eastAsia="Amiri" w:cs="Amiri"/>
          <w:lang w:bidi="ar-SA"/>
          <w:color w:val="111111"/>
          <w:sz w:val="28"/>
          <w:szCs w:val="28"/>
          <w:rtl/>
        </w:rPr>
        <w:t xml:space="preserve">بخارائي ، محمّد بن مباركشاه -ميرك</w:t>
      </w:r>
    </w:p>
    <w:p>
      <w:pPr>
        <w:pStyle w:val="BookText"/>
      </w:pPr>
      <w:r>
        <w:rPr>
          <w:rFonts w:ascii="Amiri" w:hAnsi="Amiri" w:eastAsia="Amiri" w:cs="Amiri"/>
          <w:lang w:bidi="ar-SA"/>
          <w:color w:val="111111"/>
          <w:sz w:val="28"/>
          <w:szCs w:val="28"/>
          <w:rtl/>
        </w:rPr>
        <w:t xml:space="preserve">بخاري، محمّد بن مباركشاه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5" w:name="pg7742_69875"/>
    <w:bookmarkEnd w:id="245"/>
    <w:p>
      <w:pPr>
        <w:pStyle w:val="Heading2"/>
      </w:pPr>
      <w:bookmarkStart w:id="2634" w:name="_Toc1736"/>
      <w:r>
        <w:t>بخاري ابراهيم بن میردرویش قرن 10ه-</w:t>
      </w:r>
      <w:bookmarkEnd w:id="2634"/>
    </w:p>
    <w:p>
      <w:pPr>
        <w:pStyle w:val="BookText"/>
      </w:pPr>
      <w:r>
        <w:rPr>
          <w:rFonts w:ascii="Amiri" w:hAnsi="Amiri" w:eastAsia="Amiri" w:cs="Amiri"/>
          <w:lang w:bidi="ar-SA"/>
          <w:color w:val="111111"/>
          <w:sz w:val="28"/>
          <w:szCs w:val="28"/>
          <w:rtl/>
        </w:rPr>
        <w:t xml:space="preserve">شرح خلاصة الفقه الكيداني = شرح مقدمة الصلاة - شرح عمدة المصلي في الفقه الكيداني، ج 9، ص 449.</w:t>
      </w:r>
    </w:p>
    <w:p>
      <w:pPr>
        <w:pStyle w:val="BookText"/>
      </w:pPr>
      <w:r>
        <w:rPr>
          <w:rFonts w:ascii="Amiri" w:hAnsi="Amiri" w:eastAsia="Amiri" w:cs="Amiri"/>
          <w:lang w:bidi="ar-SA"/>
          <w:color w:val="111111"/>
          <w:sz w:val="28"/>
          <w:szCs w:val="28"/>
          <w:rtl/>
        </w:rPr>
        <w:t xml:space="preserve">بخاري ، احمد بن محمّد -كلاباذي بخاري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IRNazanin" w:hAnsi="IRNazanin" w:eastAsia="IRNazanin" w:cs="IRNazanin"/>
          <w:lang w:bidi="fa-IR"/>
          <w:color w:val="111111"/>
          <w:sz w:val="28"/>
          <w:szCs w:val="28"/>
          <w:rtl/>
        </w:rPr>
        <w:t xml:space="preserve">بخاري اصفهاني ، محمّد اسحاق- شوکت</w:t>
      </w:r>
    </w:p>
    <w:p>
      <w:pPr>
        <w:pStyle w:val="BookText"/>
      </w:pPr>
      <w:r>
        <w:rPr>
          <w:rFonts w:ascii="Amiri" w:hAnsi="Amiri" w:eastAsia="Amiri" w:cs="Amiri"/>
          <w:lang w:bidi="ar-SA"/>
          <w:color w:val="111111"/>
          <w:sz w:val="28"/>
          <w:szCs w:val="28"/>
          <w:rtl/>
        </w:rPr>
        <w:t xml:space="preserve">بخاري ، محمّد اسحاق</w:t>
      </w:r>
    </w:p>
    <w:p>
      <w:pPr>
        <w:pStyle w:val="Heading2"/>
      </w:pPr>
      <w:bookmarkStart w:id="2635" w:name="_Toc1737"/>
      <w:r>
        <w:t>بخاري، بكار بن احمد ه-</w:t>
      </w:r>
      <w:bookmarkEnd w:id="2635"/>
    </w:p>
    <w:p>
      <w:pPr>
        <w:pStyle w:val="BookText"/>
      </w:pPr>
      <w:r>
        <w:rPr>
          <w:rFonts w:ascii="Amiri" w:hAnsi="Amiri" w:eastAsia="Amiri" w:cs="Amiri"/>
          <w:lang w:bidi="ar-SA"/>
          <w:color w:val="111111"/>
          <w:sz w:val="28"/>
          <w:szCs w:val="28"/>
          <w:rtl/>
        </w:rPr>
        <w:t xml:space="preserve">اسرار الرموز في الجفر الجامع، ج 2،</w:t>
      </w:r>
    </w:p>
    <w:p>
      <w:pPr>
        <w:pStyle w:val="BookText"/>
      </w:pPr>
      <w:r>
        <w:rPr>
          <w:rFonts w:ascii="IRNazanin" w:hAnsi="IRNazanin" w:eastAsia="IRNazanin" w:cs="IRNazanin"/>
          <w:lang w:bidi="fa-IR"/>
          <w:color w:val="111111"/>
          <w:sz w:val="28"/>
          <w:szCs w:val="28"/>
          <w:rtl/>
        </w:rPr>
        <w:t xml:space="preserve">ص 169 .</w:t>
      </w:r>
    </w:p>
    <w:p>
      <w:pPr>
        <w:pStyle w:val="Heading2"/>
      </w:pPr>
      <w:bookmarkStart w:id="2636" w:name="_Toc1738"/>
      <w:r>
        <w:t>بخاري، خليل بن علاء - 632 ه-</w:t>
      </w:r>
      <w:bookmarkEnd w:id="2636"/>
    </w:p>
    <w:p>
      <w:pPr>
        <w:pStyle w:val="BookText"/>
      </w:pPr>
      <w:r>
        <w:rPr>
          <w:rFonts w:ascii="Amiri" w:hAnsi="Amiri" w:eastAsia="Amiri" w:cs="Amiri"/>
          <w:lang w:bidi="ar-SA"/>
          <w:color w:val="111111"/>
          <w:sz w:val="28"/>
          <w:szCs w:val="28"/>
          <w:rtl/>
        </w:rPr>
        <w:t xml:space="preserve">نفيس الرياض لاعدام الامراض = شرح بدء الامالي = شرح قصيده يقول العبد ج 16، ص 409.</w:t>
      </w:r>
    </w:p>
    <w:p>
      <w:pPr>
        <w:pStyle w:val="Heading2"/>
      </w:pPr>
      <w:bookmarkStart w:id="2637" w:name="_Toc1739"/>
      <w:r>
        <w:t>بخاري خوارزمي ، علیشاه بن محمّد</w:t>
      </w:r>
      <w:bookmarkEnd w:id="2637"/>
    </w:p>
    <w:p>
      <w:pPr>
        <w:pStyle w:val="BookText"/>
      </w:pPr>
      <w:r>
        <w:rPr>
          <w:rFonts w:ascii="IRNazanin" w:hAnsi="IRNazanin" w:eastAsia="IRNazanin" w:cs="IRNazanin"/>
          <w:lang w:bidi="fa-IR"/>
          <w:color w:val="111111"/>
          <w:sz w:val="28"/>
          <w:szCs w:val="28"/>
          <w:rtl/>
        </w:rPr>
        <w:t xml:space="preserve">4624 - 4695 ه-</w:t>
      </w:r>
    </w:p>
    <w:p>
      <w:pPr>
        <w:pStyle w:val="BookText"/>
      </w:pPr>
      <w:r>
        <w:rPr>
          <w:rFonts w:ascii="IRNazanin" w:hAnsi="IRNazanin" w:eastAsia="IRNazanin" w:cs="IRNazanin"/>
          <w:lang w:bidi="fa-IR"/>
          <w:color w:val="111111"/>
          <w:sz w:val="28"/>
          <w:szCs w:val="28"/>
          <w:rtl/>
        </w:rPr>
        <w:t xml:space="preserve">اشجار و اثمار، ج 2، ص 276.</w:t>
      </w:r>
    </w:p>
    <w:p>
      <w:pPr>
        <w:pStyle w:val="Heading2"/>
      </w:pPr>
      <w:bookmarkStart w:id="2638" w:name="_Toc1740"/>
      <w:r>
        <w:t>بخاري زندوي، محمّد بن محمّد قرن 8ه-</w:t>
      </w:r>
      <w:bookmarkEnd w:id="2638"/>
    </w:p>
    <w:p>
      <w:pPr>
        <w:pStyle w:val="BookText"/>
      </w:pPr>
      <w:r>
        <w:rPr>
          <w:rFonts w:ascii="Amiri" w:hAnsi="Amiri" w:eastAsia="Amiri" w:cs="Amiri"/>
          <w:lang w:bidi="ar-SA"/>
          <w:color w:val="111111"/>
          <w:sz w:val="28"/>
          <w:szCs w:val="28"/>
          <w:rtl/>
        </w:rPr>
        <w:t xml:space="preserve">وقوف سجاوندي = وقف و وصل</w:t>
      </w:r>
    </w:p>
    <w:p>
      <w:pPr>
        <w:pStyle w:val="BookText"/>
      </w:pPr>
      <w:r>
        <w:rPr>
          <w:rFonts w:ascii="IRNazanin" w:hAnsi="IRNazanin" w:eastAsia="IRNazanin" w:cs="IRNazanin"/>
          <w:lang w:bidi="fa-IR"/>
          <w:color w:val="111111"/>
          <w:sz w:val="28"/>
          <w:szCs w:val="28"/>
          <w:rtl/>
        </w:rPr>
        <w:t xml:space="preserve">ج 16، ص 877.</w:t>
      </w:r>
    </w:p>
    <w:p>
      <w:pPr>
        <w:pStyle w:val="Heading2"/>
      </w:pPr>
      <w:bookmarkStart w:id="2639" w:name="_Toc1741"/>
      <w:r>
        <w:t>بخاري ، سهل بن عبدالله - 357 ه-</w:t>
      </w:r>
      <w:bookmarkEnd w:id="2639"/>
    </w:p>
    <w:p>
      <w:pPr>
        <w:pStyle w:val="BookText"/>
      </w:pPr>
      <w:r>
        <w:rPr>
          <w:rFonts w:ascii="Amiri" w:hAnsi="Amiri" w:eastAsia="Amiri" w:cs="Amiri"/>
          <w:lang w:bidi="ar-SA"/>
          <w:color w:val="111111"/>
          <w:sz w:val="28"/>
          <w:szCs w:val="28"/>
          <w:rtl/>
        </w:rPr>
        <w:t xml:space="preserve">سر الانساب العلوية = سر سلسلة العلوية، ج8، ص 749.</w:t>
      </w:r>
    </w:p>
    <w:p>
      <w:pPr>
        <w:pStyle w:val="BookText"/>
      </w:pPr>
      <w:r>
        <w:rPr>
          <w:rFonts w:ascii="Amiri" w:hAnsi="Amiri" w:eastAsia="Amiri" w:cs="Amiri"/>
          <w:lang w:bidi="ar-SA"/>
          <w:color w:val="111111"/>
          <w:sz w:val="28"/>
          <w:szCs w:val="28"/>
          <w:rtl/>
        </w:rPr>
        <w:t xml:space="preserve">بخاري ، سيفي -سيفي بخارائي</w:t>
      </w:r>
    </w:p>
    <w:p>
      <w:pPr>
        <w:pStyle w:val="Heading2"/>
      </w:pPr>
      <w:bookmarkStart w:id="2640" w:name="_Toc1742"/>
      <w:r>
        <w:t>بخاري ، صفي الله يار قرن 11 ه-</w:t>
      </w:r>
      <w:bookmarkEnd w:id="2640"/>
    </w:p>
    <w:p>
      <w:pPr>
        <w:pStyle w:val="BookText"/>
      </w:pPr>
      <w:r>
        <w:rPr>
          <w:rFonts w:ascii="Amiri" w:hAnsi="Amiri" w:eastAsia="Amiri" w:cs="Amiri"/>
          <w:lang w:bidi="ar-SA"/>
          <w:color w:val="111111"/>
          <w:sz w:val="28"/>
          <w:szCs w:val="28"/>
          <w:rtl/>
        </w:rPr>
        <w:t xml:space="preserve">مسلك المتقين، ج 14، ص 585.</w:t>
      </w:r>
    </w:p>
    <w:p>
      <w:pPr>
        <w:pStyle w:val="Heading2"/>
      </w:pPr>
      <w:bookmarkStart w:id="2641" w:name="_Toc1743"/>
      <w:r>
        <w:t>بخاري، طاهر بن احمد، 482 - 542 ه-</w:t>
      </w:r>
      <w:bookmarkEnd w:id="2641"/>
    </w:p>
    <w:p>
      <w:pPr>
        <w:pStyle w:val="BookText"/>
      </w:pPr>
      <w:r>
        <w:rPr>
          <w:rFonts w:ascii="Amiri" w:hAnsi="Amiri" w:eastAsia="Amiri" w:cs="Amiri"/>
          <w:lang w:bidi="ar-SA"/>
          <w:color w:val="111111"/>
          <w:sz w:val="28"/>
          <w:szCs w:val="28"/>
          <w:rtl/>
        </w:rPr>
        <w:t xml:space="preserve">خلاصة الفتاوى، ج 7، ص 119</w:t>
      </w:r>
    </w:p>
    <w:p>
      <w:pPr>
        <w:pStyle w:val="Heading2"/>
      </w:pPr>
      <w:bookmarkStart w:id="2642" w:name="_Toc1744"/>
      <w:r>
        <w:t>بخاري، عبدالرحمن بن احمد - 461 ه-</w:t>
      </w:r>
      <w:bookmarkEnd w:id="2642"/>
    </w:p>
    <w:p>
      <w:pPr>
        <w:pStyle w:val="BookText"/>
      </w:pPr>
      <w:r>
        <w:rPr>
          <w:rFonts w:ascii="IRNazanin" w:hAnsi="IRNazanin" w:eastAsia="IRNazanin" w:cs="IRNazanin"/>
          <w:lang w:bidi="fa-IR"/>
          <w:color w:val="111111"/>
          <w:sz w:val="28"/>
          <w:szCs w:val="28"/>
          <w:rtl/>
        </w:rPr>
        <w:t xml:space="preserve">مجلس، ج13، ص819</w:t>
      </w:r>
    </w:p>
    <w:p>
      <w:pPr>
        <w:pStyle w:val="Heading2"/>
      </w:pPr>
      <w:bookmarkStart w:id="2643" w:name="_Toc1745"/>
      <w:r>
        <w:t>بخاري ، عبدالعزيز بن احمد - 730 ه-</w:t>
      </w:r>
      <w:bookmarkEnd w:id="2643"/>
    </w:p>
    <w:p>
      <w:pPr>
        <w:pStyle w:val="BookText"/>
      </w:pPr>
      <w:r>
        <w:rPr>
          <w:rFonts w:ascii="Amiri" w:hAnsi="Amiri" w:eastAsia="Amiri" w:cs="Amiri"/>
          <w:lang w:bidi="ar-SA"/>
          <w:color w:val="111111"/>
          <w:sz w:val="28"/>
          <w:szCs w:val="28"/>
          <w:rtl/>
        </w:rPr>
        <w:t xml:space="preserve">1 .التحقيق = شرح المنتخب في اصول</w:t>
      </w:r>
    </w:p>
    <w:p>
      <w:pPr>
        <w:pStyle w:val="BookText"/>
      </w:pPr>
      <w:r>
        <w:rPr>
          <w:rFonts w:ascii="IRNazanin" w:hAnsi="IRNazanin" w:eastAsia="IRNazanin" w:cs="IRNazanin"/>
          <w:lang w:bidi="fa-IR"/>
          <w:color w:val="111111"/>
          <w:sz w:val="28"/>
          <w:szCs w:val="28"/>
          <w:rtl/>
        </w:rPr>
        <w:t xml:space="preserve">المذهب، ج4،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الاسرار، ج13، ص 183.</w:t>
      </w:r>
    </w:p>
    <w:p>
      <w:pPr>
        <w:pStyle w:val="BookText"/>
      </w:pPr>
      <w:r>
        <w:rPr>
          <w:rFonts w:ascii="Amiri" w:hAnsi="Amiri" w:eastAsia="Amiri" w:cs="Amiri"/>
          <w:lang w:bidi="ar-SA"/>
          <w:color w:val="111111"/>
          <w:sz w:val="28"/>
          <w:szCs w:val="28"/>
          <w:rtl/>
        </w:rPr>
        <w:t xml:space="preserve">بخاري ، عصمت الله بن مسعود- عصمت</w:t>
      </w:r>
    </w:p>
    <w:p>
      <w:pPr>
        <w:pStyle w:val="BookText"/>
      </w:pPr>
      <w:r>
        <w:rPr>
          <w:rFonts w:ascii="Amiri" w:hAnsi="Amiri" w:eastAsia="Amiri" w:cs="Amiri"/>
          <w:lang w:bidi="ar-SA"/>
          <w:color w:val="111111"/>
          <w:sz w:val="28"/>
          <w:szCs w:val="28"/>
          <w:rtl/>
        </w:rPr>
        <w:t xml:space="preserve">بخاري</w:t>
      </w:r>
    </w:p>
    <w:p>
      <w:pPr>
        <w:pStyle w:val="Heading2"/>
      </w:pPr>
      <w:bookmarkStart w:id="2644" w:name="_Toc1746"/>
      <w:r>
        <w:t>بخاري ، علي</w:t>
      </w:r>
      <w:bookmarkEnd w:id="2644"/>
    </w:p>
    <w:p>
      <w:pPr>
        <w:pStyle w:val="BookText"/>
      </w:pPr>
      <w:r>
        <w:rPr>
          <w:rFonts w:ascii="Amiri" w:hAnsi="Amiri" w:eastAsia="Amiri" w:cs="Amiri"/>
          <w:lang w:bidi="ar-SA"/>
          <w:color w:val="111111"/>
          <w:sz w:val="28"/>
          <w:szCs w:val="28"/>
          <w:rtl/>
        </w:rPr>
        <w:t xml:space="preserve">ضياء القلوب، ج 10، ص 722.</w:t>
      </w:r>
    </w:p>
    <w:p>
      <w:pPr>
        <w:pStyle w:val="Heading2"/>
      </w:pPr>
      <w:bookmarkStart w:id="2645" w:name="_Toc1747"/>
      <w:r>
        <w:t>بخاري ، علي بن محمّد قرن 9 ه-</w:t>
      </w:r>
      <w:bookmarkEnd w:id="2645"/>
    </w:p>
    <w:p>
      <w:pPr>
        <w:pStyle w:val="BookText"/>
      </w:pPr>
      <w:r>
        <w:rPr>
          <w:rFonts w:ascii="Amiri" w:hAnsi="Amiri" w:eastAsia="Amiri" w:cs="Amiri"/>
          <w:lang w:bidi="ar-SA"/>
          <w:color w:val="111111"/>
          <w:sz w:val="28"/>
          <w:szCs w:val="28"/>
          <w:rtl/>
        </w:rPr>
        <w:t xml:space="preserve">نزهة النظر في كشف حقيقة الانشاء و الخبر، ج 16، ص 257.</w:t>
      </w:r>
    </w:p>
    <w:p>
      <w:pPr>
        <w:pStyle w:val="Heading2"/>
      </w:pPr>
      <w:bookmarkStart w:id="2646" w:name="_Toc1748"/>
      <w:r>
        <w:t>بخاري محمّد امين بن محمود - 987 ه-</w:t>
      </w:r>
      <w:bookmarkEnd w:id="2646"/>
    </w:p>
    <w:p>
      <w:pPr>
        <w:pStyle w:val="BookText"/>
      </w:pPr>
      <w:r>
        <w:rPr>
          <w:rFonts w:ascii="Amiri" w:hAnsi="Amiri" w:eastAsia="Amiri" w:cs="Amiri"/>
          <w:lang w:bidi="ar-SA"/>
          <w:color w:val="111111"/>
          <w:sz w:val="28"/>
          <w:szCs w:val="28"/>
          <w:rtl/>
        </w:rPr>
        <w:t xml:space="preserve">1 .اقتداء الحنفي بالشافعي و المالكي</w:t>
      </w:r>
    </w:p>
    <w:p>
      <w:pPr>
        <w:pStyle w:val="BookText"/>
      </w:pPr>
      <w:r>
        <w:rPr>
          <w:rFonts w:ascii="Amiri" w:hAnsi="Amiri" w:eastAsia="Amiri" w:cs="Amiri"/>
          <w:lang w:bidi="ar-SA"/>
          <w:color w:val="111111"/>
          <w:sz w:val="28"/>
          <w:szCs w:val="28"/>
          <w:rtl/>
        </w:rPr>
        <w:t xml:space="preserve">و الحنبلي، ج 2، ص 612.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تيسير التحرير، ج 5، ص 192.</w:t>
      </w:r>
    </w:p>
    <w:p>
      <w:pPr>
        <w:pStyle w:val="BookText"/>
      </w:pPr>
      <w:r>
        <w:rPr>
          <w:rFonts w:ascii="Amiri" w:hAnsi="Amiri" w:eastAsia="Amiri" w:cs="Amiri"/>
          <w:lang w:bidi="ar-SA"/>
          <w:color w:val="111111"/>
          <w:sz w:val="28"/>
          <w:szCs w:val="28"/>
          <w:rtl/>
        </w:rPr>
        <w:t xml:space="preserve">حاشية انوار التنزيل، ج 5، ص 689.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6" w:name="pg7742_69877"/>
    <w:bookmarkEnd w:id="246"/>
    <w:p>
      <w:pPr>
        <w:pStyle w:val="BookText"/>
      </w:pPr>
      <w:r>
        <w:rPr>
          <w:rFonts w:ascii="Amiri" w:hAnsi="Amiri" w:eastAsia="Amiri" w:cs="Amiri"/>
          <w:lang w:bidi="ar-SA"/>
          <w:color w:val="111111"/>
          <w:sz w:val="28"/>
          <w:szCs w:val="28"/>
          <w:rtl/>
        </w:rPr>
        <w:t xml:space="preserve">بخاري ، محمّد بن ابي بكر- امام زاده</w:t>
      </w:r>
    </w:p>
    <w:p>
      <w:pPr>
        <w:pStyle w:val="BookText"/>
      </w:pPr>
      <w:r>
        <w:rPr>
          <w:rFonts w:ascii="Amiri" w:hAnsi="Amiri" w:eastAsia="Amiri" w:cs="Amiri"/>
          <w:lang w:bidi="ar-SA"/>
          <w:color w:val="111111"/>
          <w:sz w:val="28"/>
          <w:szCs w:val="28"/>
          <w:rtl/>
        </w:rPr>
        <w:t xml:space="preserve">محمّد بن ابي بكر</w:t>
      </w:r>
    </w:p>
    <w:p>
      <w:pPr>
        <w:pStyle w:val="BookText"/>
      </w:pPr>
      <w:r>
        <w:rPr>
          <w:rFonts w:ascii="Amiri" w:hAnsi="Amiri" w:eastAsia="Amiri" w:cs="Amiri"/>
          <w:lang w:bidi="ar-SA"/>
          <w:color w:val="111111"/>
          <w:sz w:val="28"/>
          <w:szCs w:val="28"/>
          <w:rtl/>
        </w:rPr>
        <w:t xml:space="preserve">بخاري ، محمّد بن احمد- صفي الدين</w:t>
      </w:r>
    </w:p>
    <w:p>
      <w:pPr>
        <w:pStyle w:val="BookText"/>
      </w:pPr>
      <w:r>
        <w:rPr>
          <w:rFonts w:ascii="Amiri" w:hAnsi="Amiri" w:eastAsia="Amiri" w:cs="Amiri"/>
          <w:lang w:bidi="ar-SA"/>
          <w:color w:val="111111"/>
          <w:sz w:val="28"/>
          <w:szCs w:val="28"/>
          <w:rtl/>
        </w:rPr>
        <w:t xml:space="preserve">بخاري ، محمّد بن احمد</w:t>
      </w:r>
    </w:p>
    <w:p>
      <w:pPr>
        <w:pStyle w:val="Heading2"/>
      </w:pPr>
      <w:bookmarkStart w:id="2647" w:name="_Toc1749"/>
      <w:r>
        <w:t>بخاري، محمّد بن اسماعيل، 194-256ه-</w:t>
      </w:r>
      <w:bookmarkEnd w:id="2647"/>
    </w:p>
    <w:p>
      <w:pPr>
        <w:pStyle w:val="BookText"/>
      </w:pPr>
      <w:r>
        <w:rPr>
          <w:rFonts w:ascii="IRNazanin" w:hAnsi="IRNazanin" w:eastAsia="IRNazanin" w:cs="IRNazanin"/>
          <w:lang w:bidi="fa-IR"/>
          <w:color w:val="111111"/>
          <w:sz w:val="28"/>
          <w:szCs w:val="28"/>
          <w:rtl/>
        </w:rPr>
        <w:t xml:space="preserve">الادب المفرد، ج 1، ص 596.</w:t>
      </w:r>
    </w:p>
    <w:p>
      <w:pPr>
        <w:pStyle w:val="Heading2"/>
      </w:pPr>
      <w:bookmarkStart w:id="2648" w:name="_Toc1750"/>
      <w:r>
        <w:t>بخاري، محمّد بن اسماعيل</w:t>
      </w:r>
      <w:bookmarkEnd w:id="2648"/>
    </w:p>
    <w:p>
      <w:pPr>
        <w:pStyle w:val="BookText"/>
      </w:pPr>
      <w:r>
        <w:rPr>
          <w:rFonts w:ascii="Amiri" w:hAnsi="Amiri" w:eastAsia="Amiri" w:cs="Amiri"/>
          <w:lang w:bidi="ar-SA"/>
          <w:color w:val="111111"/>
          <w:sz w:val="28"/>
          <w:szCs w:val="28"/>
          <w:rtl/>
        </w:rPr>
        <w:t xml:space="preserve">التاريخ الصغير، ج 3، ص 580.</w:t>
      </w:r>
    </w:p>
    <w:p>
      <w:pPr>
        <w:pStyle w:val="Heading2"/>
      </w:pPr>
      <w:bookmarkStart w:id="2649" w:name="_Toc1751"/>
      <w:r>
        <w:t>بخاري، محمّد بن اسماعيل، 194-256ه-</w:t>
      </w:r>
      <w:bookmarkEnd w:id="264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الثلاثيات، ج 5، ص 222.</w:t>
      </w:r>
    </w:p>
    <w:p>
      <w:pPr>
        <w:pStyle w:val="BookText"/>
      </w:pPr>
      <w:r>
        <w:rPr>
          <w:rFonts w:ascii="Amiri" w:hAnsi="Amiri" w:eastAsia="Amiri" w:cs="Amiri"/>
          <w:lang w:bidi="ar-SA"/>
          <w:color w:val="111111"/>
          <w:sz w:val="28"/>
          <w:szCs w:val="28"/>
          <w:rtl/>
        </w:rPr>
        <w:t xml:space="preserve">2 .الجامع الصحيح = صحيح البخاري</w:t>
      </w:r>
    </w:p>
    <w:p>
      <w:pPr>
        <w:pStyle w:val="BookText"/>
      </w:pPr>
      <w:r>
        <w:rPr>
          <w:rFonts w:ascii="IRNazanin" w:hAnsi="IRNazanin" w:eastAsia="IRNazanin" w:cs="IRNazanin"/>
          <w:lang w:bidi="fa-IR"/>
          <w:color w:val="111111"/>
          <w:sz w:val="28"/>
          <w:szCs w:val="28"/>
          <w:rtl/>
        </w:rPr>
        <w:t xml:space="preserve">ج 5، ص 271.</w:t>
      </w:r>
    </w:p>
    <w:p>
      <w:pPr>
        <w:pStyle w:val="Heading2"/>
      </w:pPr>
      <w:bookmarkStart w:id="2650" w:name="_Toc1752"/>
      <w:r>
        <w:t>بخاري ، محمّد بن اسماعيل</w:t>
      </w:r>
      <w:bookmarkEnd w:id="2650"/>
    </w:p>
    <w:p>
      <w:pPr>
        <w:pStyle w:val="BookText"/>
      </w:pPr>
      <w:r>
        <w:rPr>
          <w:rFonts w:ascii="Amiri" w:hAnsi="Amiri" w:eastAsia="Amiri" w:cs="Amiri"/>
          <w:lang w:bidi="ar-SA"/>
          <w:color w:val="111111"/>
          <w:sz w:val="28"/>
          <w:szCs w:val="28"/>
          <w:rtl/>
        </w:rPr>
        <w:t xml:space="preserve">السيرة النبوية، ج9، ص 22.</w:t>
      </w:r>
    </w:p>
    <w:p>
      <w:pPr>
        <w:pStyle w:val="Heading2"/>
      </w:pPr>
      <w:bookmarkStart w:id="2651" w:name="_Toc1753"/>
      <w:r>
        <w:t>بخاري، محمّد بن عبد الباقي قرن 10 ه-</w:t>
      </w:r>
      <w:bookmarkEnd w:id="2651"/>
    </w:p>
    <w:p>
      <w:pPr>
        <w:pStyle w:val="BookText"/>
      </w:pPr>
      <w:r>
        <w:rPr>
          <w:rFonts w:ascii="Amiri" w:hAnsi="Amiri" w:eastAsia="Amiri" w:cs="Amiri"/>
          <w:lang w:bidi="ar-SA"/>
          <w:color w:val="111111"/>
          <w:sz w:val="28"/>
          <w:szCs w:val="28"/>
          <w:rtl/>
        </w:rPr>
        <w:t xml:space="preserve">الطراز المنقوش في محاسن الحبوش</w:t>
      </w:r>
    </w:p>
    <w:p>
      <w:pPr>
        <w:pStyle w:val="BookText"/>
      </w:pPr>
      <w:r>
        <w:rPr>
          <w:rFonts w:ascii="IRNazanin" w:hAnsi="IRNazanin" w:eastAsia="IRNazanin" w:cs="IRNazanin"/>
          <w:lang w:bidi="fa-IR"/>
          <w:color w:val="111111"/>
          <w:sz w:val="28"/>
          <w:szCs w:val="28"/>
          <w:rtl/>
        </w:rPr>
        <w:t xml:space="preserve">ج 10، ص 811</w:t>
      </w:r>
    </w:p>
    <w:p>
      <w:pPr>
        <w:pStyle w:val="BookText"/>
      </w:pPr>
      <w:r>
        <w:rPr>
          <w:rFonts w:ascii="Amiri" w:hAnsi="Amiri" w:eastAsia="Amiri" w:cs="Amiri"/>
          <w:lang w:bidi="ar-SA"/>
          <w:color w:val="111111"/>
          <w:sz w:val="28"/>
          <w:szCs w:val="28"/>
          <w:rtl/>
        </w:rPr>
        <w:t xml:space="preserve">بخاري ، محمّد بن عبدالرحمن- زاهد</w:t>
      </w:r>
    </w:p>
    <w:p>
      <w:pPr>
        <w:pStyle w:val="BookText"/>
      </w:pPr>
      <w:r>
        <w:rPr>
          <w:rFonts w:ascii="Amiri" w:hAnsi="Amiri" w:eastAsia="Amiri" w:cs="Amiri"/>
          <w:lang w:bidi="ar-SA"/>
          <w:color w:val="111111"/>
          <w:sz w:val="28"/>
          <w:szCs w:val="28"/>
          <w:rtl/>
        </w:rPr>
        <w:t xml:space="preserve">بخاري، محمّد بن عبد الرحمن</w:t>
      </w:r>
    </w:p>
    <w:p>
      <w:pPr>
        <w:pStyle w:val="Heading2"/>
      </w:pPr>
      <w:bookmarkStart w:id="2652" w:name="_Toc1754"/>
      <w:r>
        <w:t>بخاري ، محمّد بن عبدالسيد</w:t>
      </w:r>
      <w:bookmarkEnd w:id="2652"/>
    </w:p>
    <w:p>
      <w:pPr>
        <w:pStyle w:val="BookText"/>
      </w:pPr>
      <w:r>
        <w:rPr>
          <w:rFonts w:ascii="IRNazanin" w:hAnsi="IRNazanin" w:eastAsia="IRNazanin" w:cs="IRNazanin"/>
          <w:lang w:bidi="fa-IR"/>
          <w:color w:val="111111"/>
          <w:sz w:val="28"/>
          <w:szCs w:val="28"/>
          <w:rtl/>
        </w:rPr>
        <w:t xml:space="preserve">الشهاب، ج 10، ص 425 .</w:t>
      </w:r>
    </w:p>
    <w:p>
      <w:pPr>
        <w:pStyle w:val="BookText"/>
      </w:pPr>
      <w:r>
        <w:rPr>
          <w:rFonts w:ascii="Amiri" w:hAnsi="Amiri" w:eastAsia="Amiri" w:cs="Amiri"/>
          <w:lang w:bidi="ar-SA"/>
          <w:color w:val="111111"/>
          <w:sz w:val="28"/>
          <w:szCs w:val="28"/>
          <w:rtl/>
        </w:rPr>
        <w:t xml:space="preserve">بخاري ، محمّد بن مباركشاه- ميرك بخاري</w:t>
      </w:r>
    </w:p>
    <w:p>
      <w:pPr>
        <w:pStyle w:val="BookText"/>
      </w:pPr>
      <w:r>
        <w:rPr>
          <w:rFonts w:ascii="IRNazanin" w:hAnsi="IRNazanin" w:eastAsia="IRNazanin" w:cs="IRNazanin"/>
          <w:lang w:bidi="fa-IR"/>
          <w:color w:val="111111"/>
          <w:sz w:val="28"/>
          <w:szCs w:val="28"/>
          <w:rtl/>
        </w:rPr>
        <w:t xml:space="preserve">، محمّد بن مبارکشاه</w:t>
      </w:r>
    </w:p>
    <w:p>
      <w:pPr>
        <w:pStyle w:val="BookText"/>
      </w:pPr>
      <w:r>
        <w:rPr>
          <w:rFonts w:ascii="Amiri" w:hAnsi="Amiri" w:eastAsia="Amiri" w:cs="Amiri"/>
          <w:lang w:bidi="ar-SA"/>
          <w:color w:val="111111"/>
          <w:sz w:val="28"/>
          <w:szCs w:val="28"/>
          <w:rtl/>
        </w:rPr>
        <w:t xml:space="preserve">بخاري ، محمّد بن محمّد- شيخ بخاري</w:t>
      </w:r>
    </w:p>
    <w:p>
      <w:pPr>
        <w:pStyle w:val="BookText"/>
      </w:pPr>
      <w:r>
        <w:rPr>
          <w:rFonts w:ascii="IRNazanin" w:hAnsi="IRNazanin" w:eastAsia="IRNazanin" w:cs="IRNazanin"/>
          <w:lang w:bidi="fa-IR"/>
          <w:color w:val="111111"/>
          <w:sz w:val="28"/>
          <w:szCs w:val="28"/>
          <w:rtl/>
        </w:rPr>
        <w:t xml:space="preserve">محمد بن محمّد</w:t>
      </w:r>
    </w:p>
    <w:p>
      <w:pPr>
        <w:pStyle w:val="Heading2"/>
      </w:pPr>
      <w:bookmarkStart w:id="2653" w:name="_Toc1755"/>
      <w:r>
        <w:t>بخاري ، محمّد بن محمّد - 841 ه-</w:t>
      </w:r>
      <w:bookmarkEnd w:id="2653"/>
    </w:p>
    <w:p>
      <w:pPr>
        <w:pStyle w:val="BookText"/>
      </w:pPr>
      <w:r>
        <w:rPr>
          <w:rFonts w:ascii="Amiri" w:hAnsi="Amiri" w:eastAsia="Amiri" w:cs="Amiri"/>
          <w:lang w:bidi="ar-SA"/>
          <w:color w:val="111111"/>
          <w:sz w:val="28"/>
          <w:szCs w:val="28"/>
          <w:rtl/>
        </w:rPr>
        <w:t xml:space="preserve">فاضحة الملحدين و ناصحة الموحدين</w:t>
      </w:r>
    </w:p>
    <w:p>
      <w:pPr>
        <w:pStyle w:val="BookText"/>
      </w:pPr>
      <w:r>
        <w:rPr>
          <w:rFonts w:ascii="Amiri" w:hAnsi="Amiri" w:eastAsia="Amiri" w:cs="Amiri"/>
          <w:lang w:bidi="ar-SA"/>
          <w:color w:val="111111"/>
          <w:sz w:val="28"/>
          <w:szCs w:val="28"/>
          <w:rtl/>
        </w:rPr>
        <w:t xml:space="preserve">الرد على فصوص الحكم، ج11،</w:t>
      </w:r>
    </w:p>
    <w:p>
      <w:pPr>
        <w:pStyle w:val="BookText"/>
      </w:pPr>
      <w:r>
        <w:rPr>
          <w:rFonts w:ascii="IRNazanin" w:hAnsi="IRNazanin" w:eastAsia="IRNazanin" w:cs="IRNazanin"/>
          <w:lang w:bidi="fa-IR"/>
          <w:color w:val="111111"/>
          <w:sz w:val="28"/>
          <w:szCs w:val="28"/>
          <w:rtl/>
        </w:rPr>
        <w:t xml:space="preserve">ص 584 .</w:t>
      </w:r>
    </w:p>
    <w:p>
      <w:pPr>
        <w:pStyle w:val="Heading2"/>
      </w:pPr>
      <w:bookmarkStart w:id="2654" w:name="_Toc1756"/>
      <w:r>
        <w:t>بخاري ، محمّد بن يحيى</w:t>
      </w:r>
      <w:bookmarkEnd w:id="2654"/>
    </w:p>
    <w:p>
      <w:pPr>
        <w:pStyle w:val="BookText"/>
      </w:pPr>
      <w:r>
        <w:rPr>
          <w:rFonts w:ascii="IRNazanin" w:hAnsi="IRNazanin" w:eastAsia="IRNazanin" w:cs="IRNazanin"/>
          <w:lang w:bidi="fa-IR"/>
          <w:color w:val="111111"/>
          <w:sz w:val="28"/>
          <w:szCs w:val="28"/>
          <w:rtl/>
        </w:rPr>
        <w:t xml:space="preserve">فضيلة العمامة و بیان تسویمها، ج12،</w:t>
      </w:r>
    </w:p>
    <w:p>
      <w:pPr>
        <w:pStyle w:val="BookText"/>
      </w:pPr>
      <w:r>
        <w:rPr>
          <w:rFonts w:ascii="IRNazanin" w:hAnsi="IRNazanin" w:eastAsia="IRNazanin" w:cs="IRNazanin"/>
          <w:lang w:bidi="fa-IR"/>
          <w:color w:val="111111"/>
          <w:sz w:val="28"/>
          <w:szCs w:val="28"/>
          <w:rtl/>
        </w:rPr>
        <w:t xml:space="preserve">ص 33.</w:t>
      </w:r>
    </w:p>
    <w:p>
      <w:pPr>
        <w:pStyle w:val="Heading2"/>
      </w:pPr>
      <w:bookmarkStart w:id="2655" w:name="_Toc1757"/>
      <w:r>
        <w:t>بخاري ، محمّد شريف</w:t>
      </w:r>
      <w:bookmarkEnd w:id="2655"/>
    </w:p>
    <w:p>
      <w:pPr>
        <w:pStyle w:val="BookText"/>
      </w:pPr>
      <w:r>
        <w:rPr>
          <w:rFonts w:ascii="Amiri" w:hAnsi="Amiri" w:eastAsia="Amiri" w:cs="Amiri"/>
          <w:lang w:bidi="ar-SA"/>
          <w:color w:val="111111"/>
          <w:sz w:val="28"/>
          <w:szCs w:val="28"/>
          <w:rtl/>
        </w:rPr>
        <w:t xml:space="preserve">اصطلاحات المحدثين، ج 2، ص 367.</w:t>
      </w:r>
    </w:p>
    <w:p>
      <w:pPr>
        <w:pStyle w:val="Heading2"/>
      </w:pPr>
      <w:bookmarkStart w:id="2656" w:name="_Toc1758"/>
      <w:r>
        <w:t>بخاري، محمود بن احمد - 616؟ ه-</w:t>
      </w:r>
      <w:bookmarkEnd w:id="2656"/>
    </w:p>
    <w:p>
      <w:pPr>
        <w:pStyle w:val="BookText"/>
      </w:pPr>
      <w:r>
        <w:rPr>
          <w:rFonts w:ascii="Amiri" w:hAnsi="Amiri" w:eastAsia="Amiri" w:cs="Amiri"/>
          <w:lang w:bidi="ar-SA"/>
          <w:color w:val="111111"/>
          <w:sz w:val="28"/>
          <w:szCs w:val="28"/>
          <w:rtl/>
        </w:rPr>
        <w:t xml:space="preserve">1 .الذخيرة البرهانية - ذخيرة الفتاوى</w:t>
      </w:r>
    </w:p>
    <w:p>
      <w:pPr>
        <w:pStyle w:val="BookText"/>
      </w:pPr>
      <w:r>
        <w:rPr>
          <w:rFonts w:ascii="IRNazanin" w:hAnsi="IRNazanin" w:eastAsia="IRNazanin" w:cs="IRNazanin"/>
          <w:lang w:bidi="fa-IR"/>
          <w:color w:val="111111"/>
          <w:sz w:val="28"/>
          <w:szCs w:val="28"/>
          <w:rtl/>
        </w:rPr>
        <w:t xml:space="preserve">ج 7، ص 821</w:t>
      </w:r>
    </w:p>
    <w:p>
      <w:pPr>
        <w:pStyle w:val="BookText"/>
      </w:pPr>
      <w:r>
        <w:rPr>
          <w:rFonts w:ascii="Amiri" w:hAnsi="Amiri" w:eastAsia="Amiri" w:cs="Amiri"/>
          <w:lang w:bidi="ar-SA"/>
          <w:color w:val="111111"/>
          <w:sz w:val="28"/>
          <w:szCs w:val="28"/>
          <w:rtl/>
        </w:rPr>
        <w:t xml:space="preserve">2 .المحيط البرهاني في الفقه النعماني</w:t>
      </w:r>
    </w:p>
    <w:p>
      <w:pPr>
        <w:pStyle w:val="BookText"/>
      </w:pPr>
      <w:r>
        <w:rPr>
          <w:rFonts w:ascii="IRNazanin" w:hAnsi="IRNazanin" w:eastAsia="IRNazanin" w:cs="IRNazanin"/>
          <w:lang w:bidi="fa-IR"/>
          <w:color w:val="111111"/>
          <w:sz w:val="28"/>
          <w:szCs w:val="28"/>
          <w:rtl/>
        </w:rPr>
        <w:t xml:space="preserve">ج 14 ، ص 136 .</w:t>
      </w:r>
    </w:p>
    <w:p>
      <w:pPr>
        <w:pStyle w:val="Heading2"/>
      </w:pPr>
      <w:bookmarkStart w:id="2657" w:name="_Toc1759"/>
      <w:r>
        <w:t>بخاري ، محمود بن نعمة الله، قرن 10 ه-</w:t>
      </w:r>
      <w:bookmarkEnd w:id="2657"/>
    </w:p>
    <w:p>
      <w:pPr>
        <w:pStyle w:val="BookText"/>
      </w:pPr>
      <w:r>
        <w:rPr>
          <w:rFonts w:ascii="Amiri" w:hAnsi="Amiri" w:eastAsia="Amiri" w:cs="Amiri"/>
          <w:lang w:bidi="ar-SA"/>
          <w:color w:val="111111"/>
          <w:sz w:val="28"/>
          <w:szCs w:val="28"/>
          <w:rtl/>
        </w:rPr>
        <w:t xml:space="preserve">1 .حاشية شرح العقائد، ج 6، ص 135.</w:t>
      </w:r>
    </w:p>
    <w:p>
      <w:pPr>
        <w:pStyle w:val="BookText"/>
      </w:pPr>
      <w:r>
        <w:rPr>
          <w:rFonts w:ascii="IRNazanin" w:hAnsi="IRNazanin" w:eastAsia="IRNazanin" w:cs="IRNazanin"/>
          <w:lang w:bidi="fa-IR"/>
          <w:color w:val="111111"/>
          <w:sz w:val="28"/>
          <w:szCs w:val="28"/>
          <w:rtl/>
        </w:rPr>
        <w:t xml:space="preserve">2 .المغالطات = دوازده مقاله، ج 10،</w:t>
      </w:r>
    </w:p>
    <w:p>
      <w:pPr>
        <w:pStyle w:val="BookText"/>
      </w:pPr>
      <w:r>
        <w:rPr>
          <w:rFonts w:ascii="IRNazanin" w:hAnsi="IRNazanin" w:eastAsia="IRNazanin" w:cs="IRNazanin"/>
          <w:lang w:bidi="fa-IR"/>
          <w:color w:val="111111"/>
          <w:sz w:val="28"/>
          <w:szCs w:val="28"/>
          <w:rtl/>
        </w:rPr>
        <w:t xml:space="preserve">ص 111.</w:t>
      </w:r>
    </w:p>
    <w:p>
      <w:pPr>
        <w:pStyle w:val="Heading2"/>
      </w:pPr>
      <w:bookmarkStart w:id="2658" w:name="_Toc1760"/>
      <w:r>
        <w:t>بخاري ، مصطفى سلامه</w:t>
      </w:r>
      <w:bookmarkEnd w:id="2658"/>
    </w:p>
    <w:p>
      <w:pPr>
        <w:pStyle w:val="BookText"/>
      </w:pPr>
      <w:r>
        <w:rPr>
          <w:rFonts w:ascii="Amiri" w:hAnsi="Amiri" w:eastAsia="Amiri" w:cs="Amiri"/>
          <w:lang w:bidi="ar-SA"/>
          <w:color w:val="111111"/>
          <w:sz w:val="28"/>
          <w:szCs w:val="28"/>
          <w:rtl/>
        </w:rPr>
        <w:t xml:space="preserve">صورة مكتوب، ج 10، ص 656.</w:t>
      </w:r>
    </w:p>
    <w:p>
      <w:pPr>
        <w:pStyle w:val="Heading2"/>
      </w:pPr>
      <w:bookmarkStart w:id="2659" w:name="_Toc1761"/>
      <w:r>
        <w:t>بخاري نقشبندي، محمّد بن مراد</w:t>
      </w:r>
      <w:bookmarkEnd w:id="26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التصوف (رسالة في)، ج4، ص 431 .</w:t>
      </w:r>
    </w:p>
    <w:p>
      <w:pPr>
        <w:pStyle w:val="BookText"/>
      </w:pPr>
      <w:r>
        <w:rPr>
          <w:rFonts w:ascii="Amiri" w:hAnsi="Amiri" w:eastAsia="Amiri" w:cs="Amiri"/>
          <w:lang w:bidi="ar-SA"/>
          <w:color w:val="111111"/>
          <w:sz w:val="28"/>
          <w:szCs w:val="28"/>
          <w:rtl/>
        </w:rPr>
        <w:t xml:space="preserve">2 .الذكر على طريق النقشبندية (رسالة في)، ج 7، ص 856.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7" w:name="pg7742_69878"/>
    <w:bookmarkEnd w:id="247"/>
    <w:p>
      <w:pPr>
        <w:pStyle w:val="Heading2"/>
      </w:pPr>
      <w:bookmarkStart w:id="2660" w:name="_Toc1762"/>
      <w:r>
        <w:t>بختياري حويزي ، يعقوب بن ابراهيم</w:t>
      </w:r>
      <w:bookmarkEnd w:id="2660"/>
    </w:p>
    <w:p>
      <w:pPr>
        <w:pStyle w:val="BookText"/>
      </w:pPr>
      <w:r>
        <w:rPr>
          <w:rFonts w:ascii="Amiri" w:hAnsi="Amiri" w:eastAsia="Amiri" w:cs="Amiri"/>
          <w:lang w:bidi="ar-SA"/>
          <w:color w:val="111111"/>
          <w:sz w:val="28"/>
          <w:szCs w:val="28"/>
          <w:rtl/>
        </w:rPr>
        <w:t xml:space="preserve">1 .الاعتبار في اختصار الاستبصار، ج2،</w:t>
      </w:r>
    </w:p>
    <w:p>
      <w:pPr>
        <w:pStyle w:val="BookText"/>
      </w:pPr>
      <w:r>
        <w:rPr>
          <w:rFonts w:ascii="IRNazanin" w:hAnsi="IRNazanin" w:eastAsia="IRNazanin" w:cs="IRNazanin"/>
          <w:lang w:bidi="fa-IR"/>
          <w:color w:val="111111"/>
          <w:sz w:val="28"/>
          <w:szCs w:val="28"/>
          <w:rtl/>
        </w:rPr>
        <w:t xml:space="preserve">ص 495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خرائط الاخبار، ج 7، ص3.</w:t>
      </w:r>
    </w:p>
    <w:p>
      <w:pPr>
        <w:pStyle w:val="BookText"/>
      </w:pPr>
      <w:r>
        <w:rPr>
          <w:rFonts w:ascii="Amiri" w:hAnsi="Amiri" w:eastAsia="Amiri" w:cs="Amiri"/>
          <w:lang w:bidi="ar-SA"/>
          <w:color w:val="111111"/>
          <w:sz w:val="28"/>
          <w:szCs w:val="28"/>
          <w:rtl/>
        </w:rPr>
        <w:t xml:space="preserve">3 .فوائد الشيخ يعقوب، ج 12، ص 217. قرن 11 ه-</w:t>
      </w:r>
    </w:p>
    <w:p>
      <w:pPr>
        <w:pStyle w:val="Heading2"/>
      </w:pPr>
      <w:bookmarkStart w:id="2661" w:name="_Toc1763"/>
      <w:r>
        <w:t>بختیشوع بن جبرئيل قرن 3 ه-</w:t>
      </w:r>
      <w:bookmarkEnd w:id="2661"/>
    </w:p>
    <w:p>
      <w:pPr>
        <w:pStyle w:val="BookText"/>
      </w:pPr>
      <w:r>
        <w:rPr>
          <w:rFonts w:ascii="Amiri" w:hAnsi="Amiri" w:eastAsia="Amiri" w:cs="Amiri"/>
          <w:lang w:bidi="ar-SA"/>
          <w:color w:val="111111"/>
          <w:sz w:val="28"/>
          <w:szCs w:val="28"/>
          <w:rtl/>
        </w:rPr>
        <w:t xml:space="preserve">الروضة في الطب، ج8، ص 449.</w:t>
      </w:r>
    </w:p>
    <w:p>
      <w:pPr>
        <w:pStyle w:val="Heading2"/>
      </w:pPr>
      <w:bookmarkStart w:id="2662" w:name="_Toc1764"/>
      <w:r>
        <w:t>بخشي ، حسن بن عبدالله، 1111-1190ه-</w:t>
      </w:r>
      <w:bookmarkEnd w:id="2662"/>
    </w:p>
    <w:p>
      <w:pPr>
        <w:pStyle w:val="BookText"/>
      </w:pPr>
      <w:r>
        <w:rPr>
          <w:rFonts w:ascii="Amiri" w:hAnsi="Amiri" w:eastAsia="Amiri" w:cs="Amiri"/>
          <w:lang w:bidi="ar-SA"/>
          <w:color w:val="111111"/>
          <w:sz w:val="28"/>
          <w:szCs w:val="28"/>
          <w:rtl/>
        </w:rPr>
        <w:t xml:space="preserve">1 .تحرير المقال في مسألة الافعال</w:t>
      </w:r>
    </w:p>
    <w:p>
      <w:pPr>
        <w:pStyle w:val="BookText"/>
      </w:pPr>
      <w:r>
        <w:rPr>
          <w:rFonts w:ascii="IRNazanin" w:hAnsi="IRNazanin" w:eastAsia="IRNazanin" w:cs="IRNazanin"/>
          <w:lang w:bidi="fa-IR"/>
          <w:color w:val="111111"/>
          <w:sz w:val="28"/>
          <w:szCs w:val="28"/>
          <w:rtl/>
        </w:rPr>
        <w:t xml:space="preserve">ج 3، ص 758 .</w:t>
      </w:r>
    </w:p>
    <w:p>
      <w:pPr>
        <w:pStyle w:val="BookText"/>
      </w:pPr>
      <w:r>
        <w:rPr>
          <w:rFonts w:ascii="Amiri" w:hAnsi="Amiri" w:eastAsia="Amiri" w:cs="Amiri"/>
          <w:lang w:bidi="ar-SA"/>
          <w:color w:val="111111"/>
          <w:sz w:val="28"/>
          <w:szCs w:val="28"/>
          <w:rtl/>
        </w:rPr>
        <w:t xml:space="preserve">2 .السناء البهي ذيل النور الجلي، ج8،</w:t>
      </w:r>
    </w:p>
    <w:p>
      <w:pPr>
        <w:pStyle w:val="BookText"/>
      </w:pPr>
      <w:r>
        <w:rPr>
          <w:rFonts w:ascii="IRNazanin" w:hAnsi="IRNazanin" w:eastAsia="IRNazanin" w:cs="IRNazanin"/>
          <w:lang w:bidi="fa-IR"/>
          <w:color w:val="111111"/>
          <w:sz w:val="28"/>
          <w:szCs w:val="28"/>
          <w:rtl/>
        </w:rPr>
        <w:t xml:space="preserve">ص 837.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النور الجلي في النسب الشريف</w:t>
      </w:r>
    </w:p>
    <w:p>
      <w:pPr>
        <w:pStyle w:val="BookText"/>
      </w:pPr>
      <w:r>
        <w:rPr>
          <w:rFonts w:ascii="Amiri" w:hAnsi="Amiri" w:eastAsia="Amiri" w:cs="Amiri"/>
          <w:lang w:bidi="ar-SA"/>
          <w:color w:val="111111"/>
          <w:sz w:val="28"/>
          <w:szCs w:val="28"/>
          <w:rtl/>
        </w:rPr>
        <w:t xml:space="preserve">النبوي، ج 16، ص 558</w:t>
      </w:r>
    </w:p>
    <w:p>
      <w:pPr>
        <w:pStyle w:val="Heading2"/>
      </w:pPr>
      <w:bookmarkStart w:id="2663" w:name="_Toc1765"/>
      <w:r>
        <w:t>بخشي شيرخان احمد بن محمّد - 836ه-</w:t>
      </w:r>
      <w:bookmarkEnd w:id="2663"/>
    </w:p>
    <w:p>
      <w:pPr>
        <w:pStyle w:val="BookText"/>
      </w:pPr>
      <w:r>
        <w:rPr>
          <w:rFonts w:ascii="Amiri" w:hAnsi="Amiri" w:eastAsia="Amiri" w:cs="Amiri"/>
          <w:lang w:bidi="ar-SA"/>
          <w:color w:val="111111"/>
          <w:sz w:val="28"/>
          <w:szCs w:val="28"/>
          <w:rtl/>
        </w:rPr>
        <w:t xml:space="preserve">مرآة العارفين ومظهر الكاملين في ملتمس زين العابدين - تفسير سورة</w:t>
      </w:r>
    </w:p>
    <w:p>
      <w:pPr>
        <w:pStyle w:val="BookText"/>
      </w:pPr>
      <w:r>
        <w:rPr>
          <w:rFonts w:ascii="IRNazanin" w:hAnsi="IRNazanin" w:eastAsia="IRNazanin" w:cs="IRNazanin"/>
          <w:lang w:bidi="fa-IR"/>
          <w:color w:val="111111"/>
          <w:sz w:val="28"/>
          <w:szCs w:val="28"/>
          <w:rtl/>
        </w:rPr>
        <w:t xml:space="preserve">الحمد، ج 14، ص 356.</w:t>
      </w:r>
    </w:p>
    <w:p>
      <w:pPr>
        <w:pStyle w:val="Heading2"/>
      </w:pPr>
      <w:bookmarkStart w:id="2664" w:name="_Toc1766"/>
      <w:r>
        <w:t>بخشي ، محمّد بن محمّد - 1098 ه-</w:t>
      </w:r>
      <w:bookmarkEnd w:id="2664"/>
    </w:p>
    <w:p>
      <w:pPr>
        <w:pStyle w:val="BookText"/>
      </w:pPr>
      <w:r>
        <w:rPr>
          <w:rFonts w:ascii="Amiri" w:hAnsi="Amiri" w:eastAsia="Amiri" w:cs="Amiri"/>
          <w:lang w:bidi="ar-SA"/>
          <w:color w:val="111111"/>
          <w:sz w:val="28"/>
          <w:szCs w:val="28"/>
          <w:rtl/>
        </w:rPr>
        <w:t xml:space="preserve">الشافية في نظم الكافية، ج 9، ص 61 .</w:t>
      </w:r>
    </w:p>
    <w:p>
      <w:pPr>
        <w:pStyle w:val="Heading2"/>
      </w:pPr>
      <w:bookmarkStart w:id="2665" w:name="_Toc1767"/>
      <w:r>
        <w:t>بد احراري ، محمّد نجيب</w:t>
      </w:r>
      <w:bookmarkEnd w:id="2665"/>
    </w:p>
    <w:p>
      <w:pPr>
        <w:pStyle w:val="BookText"/>
      </w:pPr>
      <w:r>
        <w:rPr>
          <w:rFonts w:ascii="Amiri" w:hAnsi="Amiri" w:eastAsia="Amiri" w:cs="Amiri"/>
          <w:lang w:bidi="ar-SA"/>
          <w:color w:val="111111"/>
          <w:sz w:val="28"/>
          <w:szCs w:val="28"/>
          <w:rtl/>
        </w:rPr>
        <w:t xml:space="preserve">دلائل الخيرات، ج 7، ص 449 .</w:t>
      </w:r>
    </w:p>
    <w:p>
      <w:pPr>
        <w:pStyle w:val="BookText"/>
      </w:pPr>
      <w:r>
        <w:rPr>
          <w:rFonts w:ascii="IRNazanin" w:hAnsi="IRNazanin" w:eastAsia="IRNazanin" w:cs="IRNazanin"/>
          <w:lang w:bidi="fa-IR"/>
          <w:color w:val="111111"/>
          <w:sz w:val="28"/>
          <w:szCs w:val="28"/>
          <w:rtl/>
        </w:rPr>
        <w:t xml:space="preserve">بدايوني ، محمّد نجم الدین- خان ثاقب</w:t>
      </w:r>
    </w:p>
    <w:p>
      <w:pPr>
        <w:pStyle w:val="BookText"/>
      </w:pPr>
      <w:r>
        <w:rPr>
          <w:rFonts w:ascii="IRNazanin" w:hAnsi="IRNazanin" w:eastAsia="IRNazanin" w:cs="IRNazanin"/>
          <w:lang w:bidi="fa-IR"/>
          <w:color w:val="111111"/>
          <w:sz w:val="28"/>
          <w:szCs w:val="28"/>
          <w:rtl/>
        </w:rPr>
        <w:t xml:space="preserve">كاكوري ، محمّد نجم الدین خان</w:t>
      </w:r>
    </w:p>
    <w:p>
      <w:pPr>
        <w:pStyle w:val="BookText"/>
      </w:pPr>
      <w:r>
        <w:rPr>
          <w:rFonts w:ascii="Amiri" w:hAnsi="Amiri" w:eastAsia="Amiri" w:cs="Amiri"/>
          <w:lang w:bidi="ar-SA"/>
          <w:color w:val="111111"/>
          <w:sz w:val="28"/>
          <w:szCs w:val="28"/>
          <w:rtl/>
        </w:rPr>
        <w:t xml:space="preserve">بدخشاني ، علي بن محمود- رايض بدخشاني ، علي بن محمود</w:t>
      </w:r>
    </w:p>
    <w:p>
      <w:pPr>
        <w:pStyle w:val="Heading2"/>
      </w:pPr>
      <w:bookmarkStart w:id="2666" w:name="_Toc1768"/>
      <w:r>
        <w:t>بدخشاني ، محمّد بن محمّد قرن 13 ه-</w:t>
      </w:r>
      <w:bookmarkEnd w:id="2666"/>
    </w:p>
    <w:p>
      <w:pPr>
        <w:pStyle w:val="BookText"/>
      </w:pPr>
      <w:r>
        <w:rPr>
          <w:rFonts w:ascii="Amiri" w:hAnsi="Amiri" w:eastAsia="Amiri" w:cs="Amiri"/>
          <w:lang w:bidi="ar-SA"/>
          <w:color w:val="111111"/>
          <w:sz w:val="28"/>
          <w:szCs w:val="28"/>
          <w:rtl/>
        </w:rPr>
        <w:t xml:space="preserve">قواعد المتصوفة و المقاصد المتخوفة</w:t>
      </w:r>
    </w:p>
    <w:p>
      <w:pPr>
        <w:pStyle w:val="BookText"/>
      </w:pPr>
      <w:r>
        <w:rPr>
          <w:rFonts w:ascii="IRNazanin" w:hAnsi="IRNazanin" w:eastAsia="IRNazanin" w:cs="IRNazanin"/>
          <w:lang w:bidi="fa-IR"/>
          <w:color w:val="111111"/>
          <w:sz w:val="28"/>
          <w:szCs w:val="28"/>
          <w:rtl/>
        </w:rPr>
        <w:t xml:space="preserve">ج 12، ص 805.</w:t>
      </w:r>
    </w:p>
    <w:p>
      <w:pPr>
        <w:pStyle w:val="Heading2"/>
      </w:pPr>
      <w:bookmarkStart w:id="2667" w:name="_Toc1769"/>
      <w:r>
        <w:t>بدخشاني ، محمّد هاشم بن محمّد قاسم</w:t>
      </w:r>
      <w:bookmarkEnd w:id="2667"/>
    </w:p>
    <w:p>
      <w:pPr>
        <w:pStyle w:val="BookText"/>
      </w:pPr>
      <w:r>
        <w:rPr>
          <w:rFonts w:ascii="Amiri" w:hAnsi="Amiri" w:eastAsia="Amiri" w:cs="Amiri"/>
          <w:lang w:bidi="ar-SA"/>
          <w:color w:val="111111"/>
          <w:sz w:val="28"/>
          <w:szCs w:val="28"/>
          <w:rtl/>
        </w:rPr>
        <w:t xml:space="preserve">زبدة المقامات - بركات الاحمديه</w:t>
      </w:r>
    </w:p>
    <w:p>
      <w:pPr>
        <w:pStyle w:val="BookText"/>
      </w:pPr>
      <w:r>
        <w:rPr>
          <w:rFonts w:ascii="IRNazanin" w:hAnsi="IRNazanin" w:eastAsia="IRNazanin" w:cs="IRNazanin"/>
          <w:lang w:bidi="fa-IR"/>
          <w:color w:val="111111"/>
          <w:sz w:val="28"/>
          <w:szCs w:val="28"/>
          <w:rtl/>
        </w:rPr>
        <w:t xml:space="preserve">ج 8، ص 592 .</w:t>
      </w:r>
    </w:p>
    <w:p>
      <w:pPr>
        <w:pStyle w:val="BookText"/>
      </w:pPr>
      <w:r>
        <w:rPr>
          <w:rFonts w:ascii="Amiri" w:hAnsi="Amiri" w:eastAsia="Amiri" w:cs="Amiri"/>
          <w:lang w:bidi="ar-SA"/>
          <w:color w:val="111111"/>
          <w:sz w:val="28"/>
          <w:szCs w:val="28"/>
          <w:rtl/>
        </w:rPr>
        <w:t xml:space="preserve">بدخشي طالقاني - جديد بدخشي، يار محمّد</w:t>
      </w:r>
    </w:p>
    <w:p>
      <w:pPr>
        <w:pStyle w:val="Heading2"/>
      </w:pPr>
      <w:bookmarkStart w:id="2668" w:name="_Toc1770"/>
      <w:r>
        <w:t>بدخشي، علي بن عبد الله قرن 11 ه-</w:t>
      </w:r>
      <w:bookmarkEnd w:id="2668"/>
    </w:p>
    <w:p>
      <w:pPr>
        <w:pStyle w:val="BookText"/>
      </w:pPr>
      <w:r>
        <w:rPr>
          <w:rFonts w:ascii="Amiri" w:hAnsi="Amiri" w:eastAsia="Amiri" w:cs="Amiri"/>
          <w:lang w:bidi="ar-SA"/>
          <w:color w:val="111111"/>
          <w:sz w:val="28"/>
          <w:szCs w:val="28"/>
          <w:rtl/>
        </w:rPr>
        <w:t xml:space="preserve">تحفه شاهي و عطيه الهي - ترجمه</w:t>
      </w:r>
    </w:p>
    <w:p>
      <w:pPr>
        <w:pStyle w:val="BookText"/>
      </w:pPr>
      <w:r>
        <w:rPr>
          <w:rFonts w:ascii="Amiri" w:hAnsi="Amiri" w:eastAsia="Amiri" w:cs="Amiri"/>
          <w:lang w:bidi="ar-SA"/>
          <w:color w:val="111111"/>
          <w:sz w:val="28"/>
          <w:szCs w:val="28"/>
          <w:rtl/>
        </w:rPr>
        <w:t xml:space="preserve">تجريد الاعتقاد، ج 3، ص 855</w:t>
      </w:r>
    </w:p>
    <w:p>
      <w:pPr>
        <w:pStyle w:val="Heading2"/>
      </w:pPr>
      <w:bookmarkStart w:id="2669" w:name="_Toc1771"/>
      <w:r>
        <w:t>بدخشي، محمّد بن رستم 1098 ق 12 ه-</w:t>
      </w:r>
      <w:bookmarkEnd w:id="2669"/>
    </w:p>
    <w:p>
      <w:pPr>
        <w:pStyle w:val="BookText"/>
      </w:pPr>
      <w:r>
        <w:rPr>
          <w:rFonts w:ascii="Amiri" w:hAnsi="Amiri" w:eastAsia="Amiri" w:cs="Amiri"/>
          <w:lang w:bidi="ar-SA"/>
          <w:color w:val="111111"/>
          <w:sz w:val="28"/>
          <w:szCs w:val="28"/>
          <w:rtl/>
        </w:rPr>
        <w:t xml:space="preserve">مفتاح النجاء في مناقب آل العباء</w:t>
      </w:r>
    </w:p>
    <w:p>
      <w:pPr>
        <w:pStyle w:val="BookText"/>
      </w:pPr>
      <w:r>
        <w:rPr>
          <w:rFonts w:ascii="IRNazanin" w:hAnsi="IRNazanin" w:eastAsia="IRNazanin" w:cs="IRNazanin"/>
          <w:lang w:bidi="fa-IR"/>
          <w:color w:val="111111"/>
          <w:sz w:val="28"/>
          <w:szCs w:val="28"/>
          <w:rtl/>
        </w:rPr>
        <w:t xml:space="preserve">ج 15، ص 232.</w:t>
      </w:r>
    </w:p>
    <w:p>
      <w:pPr>
        <w:pStyle w:val="BookText"/>
      </w:pPr>
      <w:r>
        <w:rPr>
          <w:rFonts w:ascii="Amiri" w:hAnsi="Amiri" w:eastAsia="Amiri" w:cs="Amiri"/>
          <w:lang w:bidi="ar-SA"/>
          <w:color w:val="111111"/>
          <w:sz w:val="28"/>
          <w:szCs w:val="28"/>
          <w:rtl/>
        </w:rPr>
        <w:t xml:space="preserve">بدر الدين بن ابي المعمر تبريزي- تبريزي ،</w:t>
      </w:r>
    </w:p>
    <w:p>
      <w:pPr>
        <w:pStyle w:val="BookText"/>
      </w:pPr>
      <w:r>
        <w:rPr>
          <w:rFonts w:ascii="Amiri" w:hAnsi="Amiri" w:eastAsia="Amiri" w:cs="Amiri"/>
          <w:lang w:bidi="ar-SA"/>
          <w:color w:val="111111"/>
          <w:sz w:val="28"/>
          <w:szCs w:val="28"/>
          <w:rtl/>
        </w:rPr>
        <w:t xml:space="preserve">بدر الدين بن ابي المعمر</w:t>
      </w:r>
    </w:p>
    <w:p>
      <w:pPr>
        <w:pStyle w:val="BookText"/>
      </w:pPr>
      <w:r>
        <w:rPr>
          <w:rFonts w:ascii="IRNazanin" w:hAnsi="IRNazanin" w:eastAsia="IRNazanin" w:cs="IRNazanin"/>
          <w:lang w:bidi="fa-IR"/>
          <w:color w:val="111111"/>
          <w:sz w:val="28"/>
          <w:szCs w:val="28"/>
          <w:rtl/>
        </w:rPr>
        <w:t xml:space="preserve">بدرالدین بن احمد انصاري -انصاري ،</w:t>
      </w:r>
    </w:p>
    <w:p>
      <w:pPr>
        <w:pStyle w:val="BookText"/>
      </w:pPr>
      <w:r>
        <w:rPr>
          <w:rFonts w:ascii="IRNazanin" w:hAnsi="IRNazanin" w:eastAsia="IRNazanin" w:cs="IRNazanin"/>
          <w:lang w:bidi="fa-IR"/>
          <w:color w:val="111111"/>
          <w:sz w:val="28"/>
          <w:szCs w:val="28"/>
          <w:rtl/>
        </w:rPr>
        <w:t xml:space="preserve">بدرالدین بن احمد</w:t>
      </w:r>
    </w:p>
    <w:p>
      <w:pPr>
        <w:pStyle w:val="BookText"/>
      </w:pPr>
      <w:r>
        <w:rPr>
          <w:rFonts w:ascii="Amiri" w:hAnsi="Amiri" w:eastAsia="Amiri" w:cs="Amiri"/>
          <w:lang w:bidi="ar-SA"/>
          <w:color w:val="111111"/>
          <w:sz w:val="28"/>
          <w:szCs w:val="28"/>
          <w:rtl/>
        </w:rPr>
        <w:t xml:space="preserve">بدر الدين بن عبد الغني مقدسي - مقدسي ،</w:t>
      </w:r>
    </w:p>
    <w:p>
      <w:pPr>
        <w:pStyle w:val="BookText"/>
      </w:pPr>
      <w:r>
        <w:rPr>
          <w:rFonts w:ascii="Amiri" w:hAnsi="Amiri" w:eastAsia="Amiri" w:cs="Amiri"/>
          <w:lang w:bidi="ar-SA"/>
          <w:color w:val="111111"/>
          <w:sz w:val="28"/>
          <w:szCs w:val="28"/>
          <w:rtl/>
        </w:rPr>
        <w:t xml:space="preserve">بدر الدين بن عبدالغني</w:t>
      </w:r>
    </w:p>
    <w:p>
      <w:pPr>
        <w:pStyle w:val="Heading2"/>
      </w:pPr>
      <w:bookmarkStart w:id="2670" w:name="_Toc1772"/>
      <w:r>
        <w:t>بدرالدين رومي ، محمود بن احمد</w:t>
      </w:r>
      <w:bookmarkEnd w:id="2670"/>
    </w:p>
    <w:p>
      <w:pPr>
        <w:pStyle w:val="BookText"/>
      </w:pPr>
      <w:r>
        <w:rPr>
          <w:rFonts w:ascii="Amiri" w:hAnsi="Amiri" w:eastAsia="Amiri" w:cs="Amiri"/>
          <w:lang w:bidi="ar-SA"/>
          <w:color w:val="111111"/>
          <w:sz w:val="28"/>
          <w:szCs w:val="28"/>
          <w:rtl/>
        </w:rPr>
        <w:t xml:space="preserve">الفوائد الكشفية في شرح الرسالة</w:t>
      </w:r>
    </w:p>
    <w:p>
      <w:pPr>
        <w:pStyle w:val="BookText"/>
      </w:pPr>
      <w:r>
        <w:rPr>
          <w:rFonts w:ascii="Amiri" w:hAnsi="Amiri" w:eastAsia="Amiri" w:cs="Amiri"/>
          <w:lang w:bidi="ar-SA"/>
          <w:color w:val="111111"/>
          <w:sz w:val="28"/>
          <w:szCs w:val="28"/>
          <w:rtl/>
        </w:rPr>
        <w:t xml:space="preserve">الشريفية، ج12، ص 263.</w:t>
      </w:r>
    </w:p>
    <w:p>
      <w:pPr>
        <w:pStyle w:val="BookText"/>
      </w:pPr>
      <w:r>
        <w:rPr>
          <w:rFonts w:ascii="Amiri" w:hAnsi="Amiri" w:eastAsia="Amiri" w:cs="Amiri"/>
          <w:lang w:bidi="ar-SA"/>
          <w:color w:val="111111"/>
          <w:sz w:val="28"/>
          <w:szCs w:val="28"/>
          <w:rtl/>
        </w:rPr>
        <w:t xml:space="preserve">بدر الدين شاذلي -شاذلي ، بدر الدين بن</w:t>
      </w:r>
    </w:p>
    <w:p>
      <w:pPr>
        <w:pStyle w:val="BookText"/>
      </w:pPr>
      <w:r>
        <w:rPr>
          <w:rFonts w:ascii="IRNazanin" w:hAnsi="IRNazanin" w:eastAsia="IRNazanin" w:cs="IRNazanin"/>
          <w:lang w:bidi="fa-IR"/>
          <w:color w:val="111111"/>
          <w:sz w:val="28"/>
          <w:szCs w:val="28"/>
          <w:rtl/>
        </w:rPr>
        <w:t xml:space="preserve">عمر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8" w:name="pg7742_69881"/>
    <w:bookmarkEnd w:id="248"/>
    <w:p>
      <w:pPr>
        <w:pStyle w:val="BookText"/>
      </w:pPr>
      <w:r>
        <w:rPr>
          <w:rFonts w:ascii="IRNazanin" w:hAnsi="IRNazanin" w:eastAsia="IRNazanin" w:cs="IRNazanin"/>
          <w:lang w:bidi="fa-IR"/>
          <w:color w:val="111111"/>
          <w:sz w:val="28"/>
          <w:szCs w:val="28"/>
          <w:rtl/>
        </w:rPr>
        <w:t xml:space="preserve">بدرالدین صديق -صديق ، بدرالدین بن</w:t>
      </w:r>
    </w:p>
    <w:p>
      <w:pPr>
        <w:pStyle w:val="BookText"/>
      </w:pPr>
      <w:r>
        <w:rPr>
          <w:rFonts w:ascii="Amiri" w:hAnsi="Amiri" w:eastAsia="Amiri" w:cs="Amiri"/>
          <w:lang w:bidi="ar-SA"/>
          <w:color w:val="111111"/>
          <w:sz w:val="28"/>
          <w:szCs w:val="28"/>
          <w:rtl/>
        </w:rPr>
        <w:t xml:space="preserve">بدرالدين عاملي- انصاري ، بدر الدين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صنعاني ، محمّد بن اسماعيل</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بدر الدين عباسي - شاذلي ، بدر الدين بن</w:t>
      </w:r>
    </w:p>
    <w:p>
      <w:pPr>
        <w:pStyle w:val="BookText"/>
      </w:pPr>
      <w:r>
        <w:rPr>
          <w:rFonts w:ascii="Amiri" w:hAnsi="Amiri" w:eastAsia="Amiri" w:cs="Amiri"/>
          <w:lang w:bidi="ar-SA"/>
          <w:color w:val="111111"/>
          <w:sz w:val="28"/>
          <w:szCs w:val="28"/>
          <w:rtl/>
        </w:rPr>
        <w:t xml:space="preserve">بدر الدين قاضي -قاضي ، بدر الدين</w:t>
      </w:r>
    </w:p>
    <w:p>
      <w:pPr>
        <w:pStyle w:val="Heading2"/>
      </w:pPr>
      <w:bookmarkStart w:id="2671" w:name="_Toc1773"/>
      <w:r>
        <w:t>بدر العيني محمود بن احمد، 762-855ه-</w:t>
      </w:r>
      <w:bookmarkEnd w:id="2671"/>
    </w:p>
    <w:p>
      <w:pPr>
        <w:pStyle w:val="BookText"/>
      </w:pPr>
      <w:r>
        <w:rPr>
          <w:rFonts w:ascii="Amiri" w:hAnsi="Amiri" w:eastAsia="Amiri" w:cs="Amiri"/>
          <w:lang w:bidi="ar-SA"/>
          <w:color w:val="111111"/>
          <w:sz w:val="28"/>
          <w:szCs w:val="28"/>
          <w:rtl/>
        </w:rPr>
        <w:t xml:space="preserve">1 .اسماء المصادر التي اعتمدها محمود العيني في شرح الشواهد الكبرى ( رسالة في)، ج2، ص 235.</w:t>
      </w:r>
    </w:p>
    <w:p>
      <w:pPr>
        <w:pStyle w:val="BookText"/>
      </w:pPr>
      <w:r>
        <w:rPr>
          <w:rFonts w:ascii="Amiri" w:hAnsi="Amiri" w:eastAsia="Amiri" w:cs="Amiri"/>
          <w:lang w:bidi="ar-SA"/>
          <w:color w:val="111111"/>
          <w:sz w:val="28"/>
          <w:szCs w:val="28"/>
          <w:rtl/>
        </w:rPr>
        <w:t xml:space="preserve">2 .حاشية في النحو، ج6 ، ص301.</w:t>
      </w:r>
    </w:p>
    <w:p>
      <w:pPr>
        <w:pStyle w:val="BookText"/>
      </w:pPr>
      <w:r>
        <w:rPr>
          <w:rFonts w:ascii="Amiri" w:hAnsi="Amiri" w:eastAsia="Amiri" w:cs="Amiri"/>
          <w:lang w:bidi="ar-SA"/>
          <w:color w:val="111111"/>
          <w:sz w:val="28"/>
          <w:szCs w:val="28"/>
          <w:rtl/>
        </w:rPr>
        <w:t xml:space="preserve">3 .رمز الحقائق في شرح كنز الدقائق 894 ه-</w:t>
      </w:r>
    </w:p>
    <w:p>
      <w:pPr>
        <w:pStyle w:val="BookText"/>
      </w:pPr>
      <w:r>
        <w:rPr>
          <w:rFonts w:ascii="IRNazanin" w:hAnsi="IRNazanin" w:eastAsia="IRNazanin" w:cs="IRNazanin"/>
          <w:lang w:bidi="fa-IR"/>
          <w:color w:val="111111"/>
          <w:sz w:val="28"/>
          <w:szCs w:val="28"/>
          <w:rtl/>
        </w:rPr>
        <w:t xml:space="preserve">ج 8، ص 355.</w:t>
      </w:r>
    </w:p>
    <w:p>
      <w:pPr>
        <w:pStyle w:val="BookText"/>
      </w:pPr>
      <w:r>
        <w:rPr>
          <w:rFonts w:ascii="Amiri" w:hAnsi="Amiri" w:eastAsia="Amiri" w:cs="Amiri"/>
          <w:lang w:bidi="ar-SA"/>
          <w:color w:val="111111"/>
          <w:sz w:val="28"/>
          <w:szCs w:val="28"/>
          <w:rtl/>
        </w:rPr>
        <w:t xml:space="preserve">4 شرح العوامل المائة، ج 9، ص 760.</w:t>
      </w:r>
    </w:p>
    <w:p>
      <w:pPr>
        <w:pStyle w:val="BookText"/>
      </w:pPr>
      <w:r>
        <w:rPr>
          <w:rFonts w:ascii="Amiri" w:hAnsi="Amiri" w:eastAsia="Amiri" w:cs="Amiri"/>
          <w:lang w:bidi="ar-SA"/>
          <w:color w:val="111111"/>
          <w:sz w:val="28"/>
          <w:szCs w:val="28"/>
          <w:rtl/>
        </w:rPr>
        <w:t xml:space="preserve">5 .شرح خطبة فرائد القلائد، ج 9،</w:t>
      </w:r>
    </w:p>
    <w:p>
      <w:pPr>
        <w:pStyle w:val="BookText"/>
      </w:pPr>
      <w:r>
        <w:rPr>
          <w:rFonts w:ascii="IRNazanin" w:hAnsi="IRNazanin" w:eastAsia="IRNazanin" w:cs="IRNazanin"/>
          <w:lang w:bidi="fa-IR"/>
          <w:color w:val="111111"/>
          <w:sz w:val="28"/>
          <w:szCs w:val="28"/>
          <w:rtl/>
        </w:rPr>
        <w:t xml:space="preserve">ص 433 .</w:t>
      </w:r>
    </w:p>
    <w:p>
      <w:pPr>
        <w:pStyle w:val="BookText"/>
      </w:pPr>
      <w:r>
        <w:rPr>
          <w:rFonts w:ascii="Amiri" w:hAnsi="Amiri" w:eastAsia="Amiri" w:cs="Amiri"/>
          <w:lang w:bidi="ar-SA"/>
          <w:color w:val="111111"/>
          <w:sz w:val="28"/>
          <w:szCs w:val="28"/>
          <w:rtl/>
        </w:rPr>
        <w:t xml:space="preserve">6 .عمدة القاري بشرح صحيح</w:t>
      </w:r>
    </w:p>
    <w:p>
      <w:pPr>
        <w:pStyle w:val="BookText"/>
      </w:pPr>
      <w:r>
        <w:rPr>
          <w:rFonts w:ascii="Amiri" w:hAnsi="Amiri" w:eastAsia="Amiri" w:cs="Amiri"/>
          <w:lang w:bidi="ar-SA"/>
          <w:color w:val="111111"/>
          <w:sz w:val="28"/>
          <w:szCs w:val="28"/>
          <w:rtl/>
        </w:rPr>
        <w:t xml:space="preserve">البخاري، ج 11، ص 304.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فرائد القلائد في مختصر شرح الشواهد = شواهد صغری = شواهد عيني، ج 11، ص 741 .</w:t>
      </w:r>
    </w:p>
    <w:p>
      <w:pPr>
        <w:pStyle w:val="BookText"/>
      </w:pPr>
      <w:r>
        <w:rPr>
          <w:rFonts w:ascii="Amiri" w:hAnsi="Amiri" w:eastAsia="Amiri" w:cs="Amiri"/>
          <w:lang w:bidi="ar-SA"/>
          <w:color w:val="111111"/>
          <w:sz w:val="28"/>
          <w:szCs w:val="28"/>
          <w:rtl/>
        </w:rPr>
        <w:t xml:space="preserve">8 .المستجمع في شرح المجمع، ج 14،</w:t>
      </w:r>
    </w:p>
    <w:p>
      <w:pPr>
        <w:pStyle w:val="BookText"/>
      </w:pPr>
      <w:r>
        <w:rPr>
          <w:rFonts w:ascii="IRNazanin" w:hAnsi="IRNazanin" w:eastAsia="IRNazanin" w:cs="IRNazanin"/>
          <w:lang w:bidi="fa-IR"/>
          <w:color w:val="111111"/>
          <w:sz w:val="28"/>
          <w:szCs w:val="28"/>
          <w:rtl/>
        </w:rPr>
        <w:t xml:space="preserve">ص 549.</w:t>
      </w:r>
    </w:p>
    <w:p>
      <w:pPr>
        <w:pStyle w:val="BookText"/>
      </w:pPr>
      <w:r>
        <w:rPr>
          <w:rFonts w:ascii="Amiri" w:hAnsi="Amiri" w:eastAsia="Amiri" w:cs="Amiri"/>
          <w:lang w:bidi="ar-SA"/>
          <w:color w:val="111111"/>
          <w:sz w:val="28"/>
          <w:szCs w:val="28"/>
          <w:rtl/>
        </w:rPr>
        <w:t xml:space="preserve">9 .المقاصد النحوية في شرح شواهد شروح الالفية - شواهد الكبرى -</w:t>
      </w:r>
    </w:p>
    <w:p>
      <w:pPr>
        <w:pStyle w:val="BookText"/>
      </w:pPr>
      <w:r>
        <w:rPr>
          <w:rFonts w:ascii="Amiri" w:hAnsi="Amiri" w:eastAsia="Amiri" w:cs="Amiri"/>
          <w:lang w:bidi="ar-SA"/>
          <w:color w:val="111111"/>
          <w:sz w:val="28"/>
          <w:szCs w:val="28"/>
          <w:rtl/>
        </w:rPr>
        <w:t xml:space="preserve">شواهد عيني، ج 15، ص278.</w:t>
      </w:r>
    </w:p>
    <w:p>
      <w:pPr>
        <w:pStyle w:val="BookText"/>
      </w:pPr>
      <w:r>
        <w:rPr>
          <w:rFonts w:ascii="Amiri" w:hAnsi="Amiri" w:eastAsia="Amiri" w:cs="Amiri"/>
          <w:lang w:bidi="ar-SA"/>
          <w:color w:val="111111"/>
          <w:sz w:val="28"/>
          <w:szCs w:val="28"/>
          <w:rtl/>
        </w:rPr>
        <w:t xml:space="preserve">10 .منحة السلوك في شرح تحفة</w:t>
      </w:r>
    </w:p>
    <w:p>
      <w:pPr>
        <w:pStyle w:val="BookText"/>
      </w:pPr>
      <w:r>
        <w:rPr>
          <w:rFonts w:ascii="Amiri" w:hAnsi="Amiri" w:eastAsia="Amiri" w:cs="Amiri"/>
          <w:lang w:bidi="ar-SA"/>
          <w:color w:val="111111"/>
          <w:sz w:val="28"/>
          <w:szCs w:val="28"/>
          <w:rtl/>
        </w:rPr>
        <w:t xml:space="preserve">الملوك، ج 15 ، ص 661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النهاية في شرح الهداية، ج 16،</w:t>
      </w:r>
    </w:p>
    <w:p>
      <w:pPr>
        <w:pStyle w:val="BookText"/>
      </w:pPr>
      <w:r>
        <w:rPr>
          <w:rFonts w:ascii="IRNazanin" w:hAnsi="IRNazanin" w:eastAsia="IRNazanin" w:cs="IRNazanin"/>
          <w:lang w:bidi="fa-IR"/>
          <w:color w:val="111111"/>
          <w:sz w:val="28"/>
          <w:szCs w:val="28"/>
          <w:rtl/>
        </w:rPr>
        <w:t xml:space="preserve">ص 499.</w:t>
      </w:r>
    </w:p>
    <w:p>
      <w:pPr>
        <w:pStyle w:val="BookText"/>
      </w:pPr>
      <w:r>
        <w:rPr>
          <w:rFonts w:ascii="IRNazanin" w:hAnsi="IRNazanin" w:eastAsia="IRNazanin" w:cs="IRNazanin"/>
          <w:lang w:bidi="fa-IR"/>
          <w:color w:val="111111"/>
          <w:sz w:val="28"/>
          <w:szCs w:val="28"/>
          <w:rtl/>
        </w:rPr>
        <w:t xml:space="preserve">بدر امیر ، محمّد بن اسماعیل -امیر</w:t>
      </w:r>
    </w:p>
    <w:p>
      <w:pPr>
        <w:pStyle w:val="BookText"/>
      </w:pPr>
      <w:r>
        <w:rPr>
          <w:rFonts w:ascii="IRNazanin" w:hAnsi="IRNazanin" w:eastAsia="IRNazanin" w:cs="IRNazanin"/>
          <w:lang w:bidi="fa-IR"/>
          <w:color w:val="111111"/>
          <w:sz w:val="28"/>
          <w:szCs w:val="28"/>
          <w:rtl/>
        </w:rPr>
        <w:t xml:space="preserve">سالم</w:t>
      </w:r>
    </w:p>
    <w:p>
      <w:pPr>
        <w:pStyle w:val="BookText"/>
      </w:pPr>
      <w:r>
        <w:rPr>
          <w:rFonts w:ascii="Amiri" w:hAnsi="Amiri" w:eastAsia="Amiri" w:cs="Amiri"/>
          <w:lang w:bidi="ar-SA"/>
          <w:color w:val="111111"/>
          <w:sz w:val="28"/>
          <w:szCs w:val="28"/>
          <w:rtl/>
        </w:rPr>
        <w:t xml:space="preserve">بدر تستري ، محمّد بن اسعد- تستري ،</w:t>
      </w:r>
    </w:p>
    <w:p>
      <w:pPr>
        <w:pStyle w:val="BookText"/>
      </w:pPr>
      <w:r>
        <w:rPr>
          <w:rFonts w:ascii="IRNazanin" w:hAnsi="IRNazanin" w:eastAsia="IRNazanin" w:cs="IRNazanin"/>
          <w:lang w:bidi="fa-IR"/>
          <w:color w:val="111111"/>
          <w:sz w:val="28"/>
          <w:szCs w:val="28"/>
          <w:rtl/>
        </w:rPr>
        <w:t xml:space="preserve">محمّد بن اسعد</w:t>
      </w:r>
    </w:p>
    <w:p>
      <w:pPr>
        <w:pStyle w:val="BookText"/>
      </w:pPr>
      <w:r>
        <w:rPr>
          <w:rFonts w:ascii="Amiri" w:hAnsi="Amiri" w:eastAsia="Amiri" w:cs="Amiri"/>
          <w:lang w:bidi="ar-SA"/>
          <w:color w:val="111111"/>
          <w:sz w:val="28"/>
          <w:szCs w:val="28"/>
          <w:rtl/>
        </w:rPr>
        <w:t xml:space="preserve">بدر دماميني- ابن دماميني ، محمّد بن</w:t>
      </w:r>
    </w:p>
    <w:p>
      <w:pPr>
        <w:pStyle w:val="BookText"/>
      </w:pPr>
      <w:r>
        <w:rPr>
          <w:rFonts w:ascii="Amiri" w:hAnsi="Amiri" w:eastAsia="Amiri" w:cs="Amiri"/>
          <w:lang w:bidi="ar-SA"/>
          <w:color w:val="111111"/>
          <w:sz w:val="28"/>
          <w:szCs w:val="28"/>
          <w:rtl/>
        </w:rPr>
        <w:t xml:space="preserve">ابي بكر</w:t>
      </w:r>
    </w:p>
    <w:p>
      <w:pPr>
        <w:pStyle w:val="BookText"/>
      </w:pPr>
      <w:r>
        <w:rPr>
          <w:rFonts w:ascii="IRNazanin" w:hAnsi="IRNazanin" w:eastAsia="IRNazanin" w:cs="IRNazanin"/>
          <w:lang w:bidi="fa-IR"/>
          <w:color w:val="111111"/>
          <w:sz w:val="28"/>
          <w:szCs w:val="28"/>
          <w:rtl/>
        </w:rPr>
        <w:t xml:space="preserve">بدر رشید ، محمّد بن اسماعیل- رشید</w:t>
      </w:r>
    </w:p>
    <w:p>
      <w:pPr>
        <w:pStyle w:val="BookText"/>
      </w:pPr>
      <w:r>
        <w:rPr>
          <w:rFonts w:ascii="IRNazanin" w:hAnsi="IRNazanin" w:eastAsia="IRNazanin" w:cs="IRNazanin"/>
          <w:lang w:bidi="fa-IR"/>
          <w:color w:val="111111"/>
          <w:sz w:val="28"/>
          <w:szCs w:val="28"/>
          <w:rtl/>
        </w:rPr>
        <w:t xml:space="preserve">محمّد بن اسماعیل</w:t>
      </w:r>
    </w:p>
    <w:p>
      <w:pPr>
        <w:pStyle w:val="Heading2"/>
      </w:pPr>
      <w:bookmarkStart w:id="2672" w:name="_Toc1774"/>
      <w:r>
        <w:t>بدري ، حسن بن علي - 1214 ه-</w:t>
      </w:r>
      <w:bookmarkEnd w:id="2672"/>
    </w:p>
    <w:p>
      <w:pPr>
        <w:pStyle w:val="BookText"/>
      </w:pPr>
      <w:r>
        <w:rPr>
          <w:rFonts w:ascii="IRNazanin" w:hAnsi="IRNazanin" w:eastAsia="IRNazanin" w:cs="IRNazanin"/>
          <w:lang w:bidi="fa-IR"/>
          <w:color w:val="111111"/>
          <w:sz w:val="28"/>
          <w:szCs w:val="28"/>
          <w:rtl/>
        </w:rPr>
        <w:t xml:space="preserve">منهج الطلاب، ج 15، ص 804.</w:t>
      </w:r>
    </w:p>
    <w:p>
      <w:pPr>
        <w:pStyle w:val="Heading2"/>
      </w:pPr>
      <w:bookmarkStart w:id="2673" w:name="_Toc1775"/>
      <w:r>
        <w:t>بدري دمشقي ، ابوبكر بن عبدالله، 847</w:t>
      </w:r>
      <w:bookmarkEnd w:id="2673"/>
    </w:p>
    <w:p>
      <w:pPr>
        <w:pStyle w:val="BookText"/>
      </w:pPr>
      <w:r>
        <w:rPr>
          <w:rFonts w:ascii="Amiri" w:hAnsi="Amiri" w:eastAsia="Amiri" w:cs="Amiri"/>
          <w:lang w:bidi="ar-SA"/>
          <w:color w:val="111111"/>
          <w:sz w:val="28"/>
          <w:szCs w:val="28"/>
          <w:rtl/>
        </w:rPr>
        <w:t xml:space="preserve">نزهة الانام في محاسن الشام، ج 16،</w:t>
      </w:r>
    </w:p>
    <w:p>
      <w:pPr>
        <w:pStyle w:val="BookText"/>
      </w:pPr>
      <w:r>
        <w:rPr>
          <w:rFonts w:ascii="IRNazanin" w:hAnsi="IRNazanin" w:eastAsia="IRNazanin" w:cs="IRNazanin"/>
          <w:lang w:bidi="fa-IR"/>
          <w:color w:val="111111"/>
          <w:sz w:val="28"/>
          <w:szCs w:val="28"/>
          <w:rtl/>
        </w:rPr>
        <w:t xml:space="preserve">ص 225.</w:t>
      </w:r>
    </w:p>
    <w:p>
      <w:pPr>
        <w:pStyle w:val="Heading2"/>
      </w:pPr>
      <w:bookmarkStart w:id="2674" w:name="_Toc1776"/>
      <w:r>
        <w:t>بدري قشاشي ، صفي الدين احمد، 991 -</w:t>
      </w:r>
      <w:bookmarkEnd w:id="2674"/>
    </w:p>
    <w:p>
      <w:pPr>
        <w:pStyle w:val="BookText"/>
      </w:pPr>
      <w:r>
        <w:rPr>
          <w:rFonts w:ascii="IRNazanin" w:hAnsi="IRNazanin" w:eastAsia="IRNazanin" w:cs="IRNazanin"/>
          <w:lang w:bidi="fa-IR"/>
          <w:color w:val="111111"/>
          <w:sz w:val="28"/>
          <w:szCs w:val="28"/>
          <w:rtl/>
        </w:rPr>
        <w:t xml:space="preserve">1071ه-</w:t>
      </w:r>
    </w:p>
    <w:p>
      <w:pPr>
        <w:pStyle w:val="BookText"/>
      </w:pPr>
      <w:r>
        <w:rPr>
          <w:rFonts w:ascii="Amiri" w:hAnsi="Amiri" w:eastAsia="Amiri" w:cs="Amiri"/>
          <w:lang w:bidi="ar-SA"/>
          <w:color w:val="111111"/>
          <w:sz w:val="28"/>
          <w:szCs w:val="28"/>
          <w:rtl/>
        </w:rPr>
        <w:t xml:space="preserve">1 .خطاب الذاكرين بنفحة من</w:t>
      </w:r>
    </w:p>
    <w:p>
      <w:pPr>
        <w:pStyle w:val="BookText"/>
      </w:pPr>
      <w:r>
        <w:rPr>
          <w:rFonts w:ascii="Amiri" w:hAnsi="Amiri" w:eastAsia="Amiri" w:cs="Amiri"/>
          <w:lang w:bidi="ar-SA"/>
          <w:color w:val="111111"/>
          <w:sz w:val="28"/>
          <w:szCs w:val="28"/>
          <w:rtl/>
        </w:rPr>
        <w:t xml:space="preserve">نفحات عين اليقين، ج 7، ص 42.</w:t>
      </w:r>
    </w:p>
    <w:p>
      <w:pPr>
        <w:pStyle w:val="BookText"/>
      </w:pPr>
      <w:r>
        <w:rPr>
          <w:rFonts w:ascii="Amiri" w:hAnsi="Amiri" w:eastAsia="Amiri" w:cs="Amiri"/>
          <w:lang w:bidi="ar-SA"/>
          <w:color w:val="111111"/>
          <w:sz w:val="28"/>
          <w:szCs w:val="28"/>
          <w:rtl/>
        </w:rPr>
        <w:t xml:space="preserve">2 .الكمالات الالهية، ج13، ص389.</w:t>
      </w:r>
    </w:p>
    <w:p>
      <w:pPr>
        <w:pStyle w:val="Heading2"/>
      </w:pPr>
      <w:bookmarkStart w:id="2675" w:name="_Toc1777"/>
      <w:r>
        <w:t>بدري ، محمّد بن حسن</w:t>
      </w:r>
      <w:bookmarkEnd w:id="2675"/>
    </w:p>
    <w:p>
      <w:pPr>
        <w:pStyle w:val="BookText"/>
      </w:pPr>
      <w:r>
        <w:rPr>
          <w:rFonts w:ascii="IRNazanin" w:hAnsi="IRNazanin" w:eastAsia="IRNazanin" w:cs="IRNazanin"/>
          <w:lang w:bidi="fa-IR"/>
          <w:color w:val="111111"/>
          <w:sz w:val="28"/>
          <w:szCs w:val="28"/>
          <w:rtl/>
        </w:rPr>
        <w:t xml:space="preserve">نقول من المجموع الضلاح، ج 16،</w:t>
      </w:r>
    </w:p>
    <w:p>
      <w:pPr>
        <w:pStyle w:val="BookText"/>
      </w:pPr>
      <w:r>
        <w:rPr>
          <w:rFonts w:ascii="IRNazanin" w:hAnsi="IRNazanin" w:eastAsia="IRNazanin" w:cs="IRNazanin"/>
          <w:lang w:bidi="fa-IR"/>
          <w:color w:val="111111"/>
          <w:sz w:val="28"/>
          <w:szCs w:val="28"/>
          <w:rtl/>
        </w:rPr>
        <w:t xml:space="preserve">ص 454 .</w:t>
      </w:r>
    </w:p>
    <w:p>
      <w:pPr>
        <w:pStyle w:val="Heading2"/>
      </w:pPr>
      <w:bookmarkStart w:id="2676" w:name="_Toc1778"/>
      <w:r>
        <w:t>بدليسي ، ادريس بن حسام الدين علي ،930 ه-</w:t>
      </w:r>
      <w:bookmarkEnd w:id="2676"/>
    </w:p>
    <w:p>
      <w:pPr>
        <w:pStyle w:val="BookText"/>
      </w:pPr>
      <w:r>
        <w:rPr>
          <w:rFonts w:ascii="Amiri" w:hAnsi="Amiri" w:eastAsia="Amiri" w:cs="Amiri"/>
          <w:lang w:bidi="ar-SA"/>
          <w:color w:val="111111"/>
          <w:sz w:val="28"/>
          <w:szCs w:val="28"/>
          <w:rtl/>
        </w:rPr>
        <w:t xml:space="preserve">هشت بهشت = المواهب الرحمانية</w:t>
      </w:r>
    </w:p>
    <w:p>
      <w:pPr>
        <w:pStyle w:val="BookText"/>
      </w:pPr>
      <w:r>
        <w:rPr>
          <w:rFonts w:ascii="Amiri" w:hAnsi="Amiri" w:eastAsia="Amiri" w:cs="Amiri"/>
          <w:lang w:bidi="ar-SA"/>
          <w:color w:val="111111"/>
          <w:sz w:val="28"/>
          <w:szCs w:val="28"/>
          <w:rtl/>
        </w:rPr>
        <w:t xml:space="preserve">في ذكر الخلائف العثمانية، ج 16،</w:t>
      </w:r>
    </w:p>
    <w:p>
      <w:pPr>
        <w:pStyle w:val="BookText"/>
      </w:pPr>
      <w:r>
        <w:rPr>
          <w:rFonts w:ascii="IRNazanin" w:hAnsi="IRNazanin" w:eastAsia="IRNazanin" w:cs="IRNazanin"/>
          <w:lang w:bidi="fa-IR"/>
          <w:color w:val="111111"/>
          <w:sz w:val="28"/>
          <w:szCs w:val="28"/>
          <w:rtl/>
        </w:rPr>
        <w:t xml:space="preserve">ص 647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9" w:name="pg7742_69883"/>
    <w:bookmarkEnd w:id="249"/>
    <w:p>
      <w:pPr>
        <w:pStyle w:val="Heading2"/>
      </w:pPr>
      <w:bookmarkStart w:id="2677" w:name="_Toc1779"/>
      <w:r>
        <w:t>بدليسي ، خيرالدين بن محمّد عباس قرن 9ه-</w:t>
      </w:r>
      <w:bookmarkEnd w:id="2677"/>
    </w:p>
    <w:p>
      <w:pPr>
        <w:pStyle w:val="BookText"/>
      </w:pPr>
      <w:r>
        <w:rPr>
          <w:rFonts w:ascii="Amiri" w:hAnsi="Amiri" w:eastAsia="Amiri" w:cs="Amiri"/>
          <w:lang w:bidi="ar-SA"/>
          <w:color w:val="111111"/>
          <w:sz w:val="28"/>
          <w:szCs w:val="28"/>
          <w:rtl/>
        </w:rPr>
        <w:t xml:space="preserve">بديعي</w:t>
      </w:r>
    </w:p>
    <w:p>
      <w:pPr>
        <w:pStyle w:val="BookText"/>
      </w:pPr>
      <w:r>
        <w:rPr>
          <w:rFonts w:ascii="Amiri" w:hAnsi="Amiri" w:eastAsia="Amiri" w:cs="Amiri"/>
          <w:lang w:bidi="ar-SA"/>
          <w:color w:val="111111"/>
          <w:sz w:val="28"/>
          <w:szCs w:val="28"/>
          <w:rtl/>
        </w:rPr>
        <w:t xml:space="preserve">شرح الايساغوجي، ج 9، ص 268. ه-</w:t>
      </w:r>
    </w:p>
    <w:p>
      <w:pPr>
        <w:pStyle w:val="Heading2"/>
      </w:pPr>
      <w:bookmarkStart w:id="2678" w:name="_Toc1780"/>
      <w:r>
        <w:t>بدوي ، احمد بن احمد، 596 - 675</w:t>
      </w:r>
      <w:bookmarkEnd w:id="267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شمس النهار في ضياء القمر، ج 10،</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الفرائض، ج 11، ص 750.</w:t>
      </w:r>
    </w:p>
    <w:p>
      <w:pPr>
        <w:pStyle w:val="Heading2"/>
      </w:pPr>
      <w:bookmarkStart w:id="2679" w:name="_Toc1781"/>
      <w:r>
        <w:t>بديري ، احمد، قرن 12 ه-</w:t>
      </w:r>
      <w:bookmarkEnd w:id="2679"/>
    </w:p>
    <w:p>
      <w:pPr>
        <w:pStyle w:val="BookText"/>
      </w:pPr>
      <w:r>
        <w:rPr>
          <w:rFonts w:ascii="Amiri" w:hAnsi="Amiri" w:eastAsia="Amiri" w:cs="Amiri"/>
          <w:lang w:bidi="ar-SA"/>
          <w:color w:val="111111"/>
          <w:sz w:val="28"/>
          <w:szCs w:val="28"/>
          <w:rtl/>
        </w:rPr>
        <w:t xml:space="preserve">الجواهر الغوالي في بيان الاسانيد العوالي، ج 5، ص 554.</w:t>
      </w:r>
    </w:p>
    <w:p>
      <w:pPr>
        <w:pStyle w:val="Heading2"/>
      </w:pPr>
      <w:bookmarkStart w:id="2680" w:name="_Toc1782"/>
      <w:r>
        <w:t>بديري ، جعفر بن احمد قرن 14 ه-</w:t>
      </w:r>
      <w:bookmarkEnd w:id="2680"/>
    </w:p>
    <w:p>
      <w:pPr>
        <w:pStyle w:val="BookText"/>
      </w:pPr>
      <w:r>
        <w:rPr>
          <w:rFonts w:ascii="Amiri" w:hAnsi="Amiri" w:eastAsia="Amiri" w:cs="Amiri"/>
          <w:lang w:bidi="ar-SA"/>
          <w:color w:val="111111"/>
          <w:sz w:val="28"/>
          <w:szCs w:val="28"/>
          <w:rtl/>
        </w:rPr>
        <w:t xml:space="preserve">مصباح الانام في شرح شرائع الاسلام</w:t>
      </w:r>
    </w:p>
    <w:p>
      <w:pPr>
        <w:pStyle w:val="BookText"/>
      </w:pPr>
      <w:r>
        <w:rPr>
          <w:rFonts w:ascii="IRNazanin" w:hAnsi="IRNazanin" w:eastAsia="IRNazanin" w:cs="IRNazanin"/>
          <w:lang w:bidi="fa-IR"/>
          <w:color w:val="111111"/>
          <w:sz w:val="28"/>
          <w:szCs w:val="28"/>
          <w:rtl/>
        </w:rPr>
        <w:t xml:space="preserve">ج 14، ص 698.</w:t>
      </w:r>
    </w:p>
    <w:p>
      <w:pPr>
        <w:pStyle w:val="Heading2"/>
      </w:pPr>
      <w:bookmarkStart w:id="2681" w:name="_Toc1783"/>
      <w:r>
        <w:t>بدیع الدین</w:t>
      </w:r>
      <w:bookmarkEnd w:id="2681"/>
    </w:p>
    <w:p>
      <w:pPr>
        <w:pStyle w:val="BookText"/>
      </w:pPr>
      <w:r>
        <w:rPr>
          <w:rFonts w:ascii="Amiri" w:hAnsi="Amiri" w:eastAsia="Amiri" w:cs="Amiri"/>
          <w:lang w:bidi="ar-SA"/>
          <w:color w:val="111111"/>
          <w:sz w:val="28"/>
          <w:szCs w:val="28"/>
          <w:rtl/>
        </w:rPr>
        <w:t xml:space="preserve">حل الدقائق والغوامض في شرح الفرائض، ج 6 ، ص 779.</w:t>
      </w:r>
    </w:p>
    <w:p>
      <w:pPr>
        <w:pStyle w:val="BookText"/>
      </w:pPr>
      <w:r>
        <w:rPr>
          <w:rFonts w:ascii="Amiri" w:hAnsi="Amiri" w:eastAsia="Amiri" w:cs="Amiri"/>
          <w:lang w:bidi="ar-SA"/>
          <w:color w:val="111111"/>
          <w:sz w:val="28"/>
          <w:szCs w:val="28"/>
          <w:rtl/>
        </w:rPr>
        <w:t xml:space="preserve">بديع الزمان قهباني هرندي- هرندي ،</w:t>
      </w:r>
    </w:p>
    <w:p>
      <w:pPr>
        <w:pStyle w:val="BookText"/>
      </w:pPr>
      <w:r>
        <w:rPr>
          <w:rFonts w:ascii="Amiri" w:hAnsi="Amiri" w:eastAsia="Amiri" w:cs="Amiri"/>
          <w:lang w:bidi="ar-SA"/>
          <w:color w:val="111111"/>
          <w:sz w:val="28"/>
          <w:szCs w:val="28"/>
          <w:rtl/>
        </w:rPr>
        <w:t xml:space="preserve">بديع الزمان بن ابي اسحاق</w:t>
      </w:r>
    </w:p>
    <w:p>
      <w:pPr>
        <w:pStyle w:val="Heading2"/>
      </w:pPr>
      <w:bookmarkStart w:id="2682" w:name="_Toc1784"/>
      <w:r>
        <w:t>بديع الزمان همداني ، احمد بن حسين</w:t>
      </w:r>
      <w:bookmarkEnd w:id="2682"/>
    </w:p>
    <w:p>
      <w:pPr>
        <w:pStyle w:val="BookText"/>
      </w:pPr>
      <w:r>
        <w:rPr>
          <w:rFonts w:ascii="IRNazanin" w:hAnsi="IRNazanin" w:eastAsia="IRNazanin" w:cs="IRNazanin"/>
          <w:lang w:bidi="fa-IR"/>
          <w:color w:val="111111"/>
          <w:sz w:val="28"/>
          <w:szCs w:val="28"/>
          <w:rtl/>
        </w:rPr>
        <w:t xml:space="preserve">358 - 398ه-</w:t>
      </w:r>
    </w:p>
    <w:p>
      <w:pPr>
        <w:pStyle w:val="BookText"/>
      </w:pPr>
      <w:r>
        <w:rPr>
          <w:rFonts w:ascii="IRNazanin" w:hAnsi="IRNazanin" w:eastAsia="IRNazanin" w:cs="IRNazanin"/>
          <w:lang w:bidi="fa-IR"/>
          <w:color w:val="111111"/>
          <w:sz w:val="28"/>
          <w:szCs w:val="28"/>
          <w:rtl/>
        </w:rPr>
        <w:t xml:space="preserve">المقامات، ج 15، ص289.</w:t>
      </w:r>
    </w:p>
    <w:p>
      <w:pPr>
        <w:pStyle w:val="BookText"/>
      </w:pPr>
      <w:r>
        <w:rPr>
          <w:rFonts w:ascii="Amiri" w:hAnsi="Amiri" w:eastAsia="Amiri" w:cs="Amiri"/>
          <w:lang w:bidi="ar-SA"/>
          <w:color w:val="111111"/>
          <w:sz w:val="28"/>
          <w:szCs w:val="28"/>
          <w:rtl/>
        </w:rPr>
        <w:t xml:space="preserve">بديع حسيني تويسركاني- حسيني</w:t>
      </w:r>
    </w:p>
    <w:p>
      <w:pPr>
        <w:pStyle w:val="BookText"/>
      </w:pPr>
      <w:r>
        <w:rPr>
          <w:rFonts w:ascii="Amiri" w:hAnsi="Amiri" w:eastAsia="Amiri" w:cs="Amiri"/>
          <w:lang w:bidi="ar-SA"/>
          <w:color w:val="111111"/>
          <w:sz w:val="28"/>
          <w:szCs w:val="28"/>
          <w:rtl/>
        </w:rPr>
        <w:t xml:space="preserve">تويسركاني ، بديع</w:t>
      </w:r>
    </w:p>
    <w:p>
      <w:pPr>
        <w:pStyle w:val="Heading2"/>
      </w:pPr>
      <w:bookmarkStart w:id="2683" w:name="_Toc1785"/>
      <w:r>
        <w:t>بديعي</w:t>
      </w:r>
      <w:bookmarkEnd w:id="2683"/>
    </w:p>
    <w:p>
      <w:pPr>
        <w:pStyle w:val="BookText"/>
      </w:pPr>
      <w:r>
        <w:rPr>
          <w:rFonts w:ascii="Amiri" w:hAnsi="Amiri" w:eastAsia="Amiri" w:cs="Amiri"/>
          <w:lang w:bidi="ar-SA"/>
          <w:color w:val="111111"/>
          <w:sz w:val="28"/>
          <w:szCs w:val="28"/>
          <w:rtl/>
        </w:rPr>
        <w:t xml:space="preserve">المفردات في الطب، ج 15 ، ص 248.</w:t>
      </w:r>
    </w:p>
    <w:p>
      <w:pPr>
        <w:pStyle w:val="Heading2"/>
      </w:pPr>
      <w:bookmarkStart w:id="2684" w:name="_Toc1786"/>
      <w:r>
        <w:t>بديعي تبريزي قرن 10 ه-</w:t>
      </w:r>
      <w:bookmarkEnd w:id="2684"/>
    </w:p>
    <w:p>
      <w:pPr>
        <w:pStyle w:val="BookText"/>
      </w:pPr>
      <w:r>
        <w:rPr>
          <w:rFonts w:ascii="Amiri" w:hAnsi="Amiri" w:eastAsia="Amiri" w:cs="Amiri"/>
          <w:lang w:bidi="ar-SA"/>
          <w:color w:val="111111"/>
          <w:sz w:val="28"/>
          <w:szCs w:val="28"/>
          <w:rtl/>
        </w:rPr>
        <w:t xml:space="preserve">مثلثات بديعي - مثلثات منظوم =</w:t>
      </w:r>
    </w:p>
    <w:p>
      <w:pPr>
        <w:pStyle w:val="BookText"/>
      </w:pPr>
      <w:r>
        <w:rPr>
          <w:rFonts w:ascii="IRNazanin" w:hAnsi="IRNazanin" w:eastAsia="IRNazanin" w:cs="IRNazanin"/>
          <w:lang w:bidi="fa-IR"/>
          <w:color w:val="111111"/>
          <w:sz w:val="28"/>
          <w:szCs w:val="28"/>
          <w:rtl/>
        </w:rPr>
        <w:t xml:space="preserve">نصاب مثلث، ج 13، ص 770.</w:t>
      </w:r>
    </w:p>
    <w:p>
      <w:pPr>
        <w:pStyle w:val="Heading2"/>
      </w:pPr>
      <w:bookmarkStart w:id="2685" w:name="_Toc1787"/>
      <w:r>
        <w:t>بديعي ، يوسف - 1073 ه-</w:t>
      </w:r>
      <w:bookmarkEnd w:id="2685"/>
    </w:p>
    <w:p>
      <w:pPr>
        <w:pStyle w:val="BookText"/>
      </w:pPr>
      <w:r>
        <w:rPr>
          <w:rFonts w:ascii="Amiri" w:hAnsi="Amiri" w:eastAsia="Amiri" w:cs="Amiri"/>
          <w:lang w:bidi="ar-SA"/>
          <w:color w:val="111111"/>
          <w:sz w:val="28"/>
          <w:szCs w:val="28"/>
          <w:rtl/>
        </w:rPr>
        <w:t xml:space="preserve">الحدائق البديعية في الانواع الادبية</w:t>
      </w:r>
    </w:p>
    <w:p>
      <w:pPr>
        <w:pStyle w:val="BookText"/>
      </w:pPr>
      <w:r>
        <w:rPr>
          <w:rFonts w:ascii="IRNazanin" w:hAnsi="IRNazanin" w:eastAsia="IRNazanin" w:cs="IRNazanin"/>
          <w:lang w:bidi="fa-IR"/>
          <w:color w:val="111111"/>
          <w:sz w:val="28"/>
          <w:szCs w:val="28"/>
          <w:rtl/>
        </w:rPr>
        <w:t xml:space="preserve">ج 6، ص 511.</w:t>
      </w:r>
    </w:p>
    <w:p>
      <w:pPr>
        <w:pStyle w:val="BookText"/>
      </w:pPr>
      <w:r>
        <w:rPr>
          <w:rFonts w:ascii="Amiri" w:hAnsi="Amiri" w:eastAsia="Amiri" w:cs="Amiri"/>
          <w:lang w:bidi="ar-SA"/>
          <w:color w:val="111111"/>
          <w:sz w:val="28"/>
          <w:szCs w:val="28"/>
          <w:rtl/>
        </w:rPr>
        <w:t xml:space="preserve">برآبادي، محمّد بن محّمد -خوافي برآبادي</w:t>
      </w:r>
    </w:p>
    <w:p>
      <w:pPr>
        <w:pStyle w:val="BookText"/>
      </w:pPr>
      <w:r>
        <w:rPr>
          <w:rFonts w:ascii="Amiri" w:hAnsi="Amiri" w:eastAsia="Amiri" w:cs="Amiri"/>
          <w:lang w:bidi="ar-SA"/>
          <w:color w:val="111111"/>
          <w:sz w:val="28"/>
          <w:szCs w:val="28"/>
          <w:rtl/>
        </w:rPr>
        <w:t xml:space="preserve">، محمّد بن محمّد</w:t>
      </w:r>
    </w:p>
    <w:p>
      <w:pPr>
        <w:pStyle w:val="Heading2"/>
      </w:pPr>
      <w:bookmarkStart w:id="2686" w:name="_Toc1788"/>
      <w:r>
        <w:t>براجستر ایسر ، جوتهلف برك - 1933م</w:t>
      </w:r>
      <w:bookmarkEnd w:id="2686"/>
    </w:p>
    <w:p>
      <w:pPr>
        <w:pStyle w:val="BookText"/>
      </w:pPr>
      <w:r>
        <w:rPr>
          <w:rFonts w:ascii="Amiri" w:hAnsi="Amiri" w:eastAsia="Amiri" w:cs="Amiri"/>
          <w:lang w:bidi="ar-SA"/>
          <w:color w:val="111111"/>
          <w:sz w:val="28"/>
          <w:szCs w:val="28"/>
          <w:rtl/>
        </w:rPr>
        <w:t xml:space="preserve">التطور النحوي للغة العربية، جع،</w:t>
      </w:r>
    </w:p>
    <w:p>
      <w:pPr>
        <w:pStyle w:val="BookText"/>
      </w:pPr>
      <w:r>
        <w:rPr>
          <w:rFonts w:ascii="IRNazanin" w:hAnsi="IRNazanin" w:eastAsia="IRNazanin" w:cs="IRNazanin"/>
          <w:lang w:bidi="fa-IR"/>
          <w:color w:val="111111"/>
          <w:sz w:val="28"/>
          <w:szCs w:val="28"/>
          <w:rtl/>
        </w:rPr>
        <w:t xml:space="preserve">ص 444.</w:t>
      </w:r>
    </w:p>
    <w:p>
      <w:pPr>
        <w:pStyle w:val="Heading2"/>
      </w:pPr>
      <w:bookmarkStart w:id="2687" w:name="_Toc1789"/>
      <w:r>
        <w:t>برادة ، حسين بن عبد الجليل</w:t>
      </w:r>
      <w:bookmarkEnd w:id="2687"/>
    </w:p>
    <w:p>
      <w:pPr>
        <w:pStyle w:val="BookText"/>
      </w:pPr>
      <w:r>
        <w:rPr>
          <w:rFonts w:ascii="Amiri" w:hAnsi="Amiri" w:eastAsia="Amiri" w:cs="Amiri"/>
          <w:lang w:bidi="ar-SA"/>
          <w:color w:val="111111"/>
          <w:sz w:val="28"/>
          <w:szCs w:val="28"/>
          <w:rtl/>
        </w:rPr>
        <w:t xml:space="preserve">شرح اللاميات، ج 10، ص 72</w:t>
      </w:r>
    </w:p>
    <w:p>
      <w:pPr>
        <w:pStyle w:val="Heading2"/>
      </w:pPr>
      <w:bookmarkStart w:id="2688" w:name="_Toc1790"/>
      <w:r>
        <w:t>برادة ، عبد الجليل بن عبد السلام</w:t>
      </w:r>
      <w:bookmarkEnd w:id="2688"/>
    </w:p>
    <w:p>
      <w:pPr>
        <w:pStyle w:val="BookText"/>
      </w:pPr>
      <w:r>
        <w:rPr>
          <w:rFonts w:ascii="Amiri" w:hAnsi="Amiri" w:eastAsia="Amiri" w:cs="Amiri"/>
          <w:lang w:bidi="ar-SA"/>
          <w:color w:val="111111"/>
          <w:sz w:val="28"/>
          <w:szCs w:val="28"/>
          <w:rtl/>
        </w:rPr>
        <w:t xml:space="preserve">مجموعة عبد الجليل زاده، ج 14،</w:t>
      </w:r>
    </w:p>
    <w:p>
      <w:pPr>
        <w:pStyle w:val="BookText"/>
      </w:pPr>
      <w:r>
        <w:rPr>
          <w:rFonts w:ascii="IRNazanin" w:hAnsi="IRNazanin" w:eastAsia="IRNazanin" w:cs="IRNazanin"/>
          <w:lang w:bidi="fa-IR"/>
          <w:color w:val="111111"/>
          <w:sz w:val="28"/>
          <w:szCs w:val="28"/>
          <w:rtl/>
        </w:rPr>
        <w:t xml:space="preserve">ص 44 .</w:t>
      </w:r>
    </w:p>
    <w:p>
      <w:pPr>
        <w:pStyle w:val="Heading2"/>
      </w:pPr>
      <w:bookmarkStart w:id="2689" w:name="_Toc1791"/>
      <w:r>
        <w:t>برادكاهي لنكراني ، محمّد صادق بن</w:t>
      </w:r>
      <w:bookmarkEnd w:id="26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افتخار الشيعة في احكام الشريعة</w:t>
      </w:r>
    </w:p>
    <w:p>
      <w:pPr>
        <w:pStyle w:val="BookText"/>
      </w:pPr>
      <w:r>
        <w:rPr>
          <w:rFonts w:ascii="IRNazanin" w:hAnsi="IRNazanin" w:eastAsia="IRNazanin" w:cs="IRNazanin"/>
          <w:lang w:bidi="fa-IR"/>
          <w:color w:val="111111"/>
          <w:sz w:val="28"/>
          <w:szCs w:val="28"/>
          <w:rtl/>
        </w:rPr>
        <w:t xml:space="preserve">ج 2، ص 591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الدرر و الغرر، ج 7، ص320.</w:t>
      </w:r>
    </w:p>
    <w:p>
      <w:pPr>
        <w:pStyle w:val="BookText"/>
      </w:pPr>
      <w:r>
        <w:rPr>
          <w:rFonts w:ascii="Amiri" w:hAnsi="Amiri" w:eastAsia="Amiri" w:cs="Amiri"/>
          <w:lang w:bidi="ar-SA"/>
          <w:color w:val="111111"/>
          <w:sz w:val="28"/>
          <w:szCs w:val="28"/>
          <w:rtl/>
        </w:rPr>
        <w:t xml:space="preserve">براقي ، احمد بن عبدالكريم</w:t>
      </w:r>
    </w:p>
    <w:p>
      <w:pPr>
        <w:pStyle w:val="BookText"/>
      </w:pPr>
      <w:r>
        <w:rPr>
          <w:rFonts w:ascii="IRNazanin" w:hAnsi="IRNazanin" w:eastAsia="IRNazanin" w:cs="IRNazanin"/>
          <w:lang w:bidi="fa-IR"/>
          <w:color w:val="111111"/>
          <w:sz w:val="28"/>
          <w:szCs w:val="28"/>
          <w:rtl/>
        </w:rPr>
        <w:t xml:space="preserve">المحاسن، ج14، ص90.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0" w:name="pg7742_69885"/>
    <w:bookmarkEnd w:id="250"/>
    <w:p>
      <w:pPr>
        <w:pStyle w:val="Heading2"/>
      </w:pPr>
      <w:bookmarkStart w:id="2690" w:name="_Toc1792"/>
      <w:r>
        <w:t>براقي ، حسين بن احمد، 1260-1332ه-</w:t>
      </w:r>
      <w:bookmarkEnd w:id="2690"/>
    </w:p>
    <w:p>
      <w:pPr>
        <w:pStyle w:val="BookText"/>
      </w:pPr>
      <w:r>
        <w:rPr>
          <w:rFonts w:ascii="Amiri" w:hAnsi="Amiri" w:eastAsia="Amiri" w:cs="Amiri"/>
          <w:lang w:bidi="ar-SA"/>
          <w:color w:val="111111"/>
          <w:sz w:val="28"/>
          <w:szCs w:val="28"/>
          <w:rtl/>
        </w:rPr>
        <w:t xml:space="preserve">1 .احوال بعض العلماء (رسالة في)</w:t>
      </w:r>
    </w:p>
    <w:p>
      <w:pPr>
        <w:pStyle w:val="BookText"/>
      </w:pPr>
      <w:r>
        <w:rPr>
          <w:rFonts w:ascii="IRNazanin" w:hAnsi="IRNazanin" w:eastAsia="IRNazanin" w:cs="IRNazanin"/>
          <w:lang w:bidi="fa-IR"/>
          <w:color w:val="111111"/>
          <w:sz w:val="28"/>
          <w:szCs w:val="28"/>
          <w:rtl/>
        </w:rPr>
        <w:t xml:space="preserve">ج 1، ص 500.</w:t>
      </w:r>
    </w:p>
    <w:p>
      <w:pPr>
        <w:pStyle w:val="BookText"/>
      </w:pPr>
      <w:r>
        <w:rPr>
          <w:rFonts w:ascii="Amiri" w:hAnsi="Amiri" w:eastAsia="Amiri" w:cs="Amiri"/>
          <w:lang w:bidi="ar-SA"/>
          <w:color w:val="111111"/>
          <w:sz w:val="28"/>
          <w:szCs w:val="28"/>
          <w:rtl/>
        </w:rPr>
        <w:t xml:space="preserve">2 .الاوائل (رسالة في)، ج 3، ص 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تواريخ الأئمة، ج5، ص138.</w:t>
      </w:r>
    </w:p>
    <w:p>
      <w:pPr>
        <w:pStyle w:val="BookText"/>
      </w:pPr>
      <w:r>
        <w:rPr>
          <w:rFonts w:ascii="Amiri" w:hAnsi="Amiri" w:eastAsia="Amiri" w:cs="Amiri"/>
          <w:lang w:bidi="ar-SA"/>
          <w:color w:val="111111"/>
          <w:sz w:val="28"/>
          <w:szCs w:val="28"/>
          <w:rtl/>
        </w:rPr>
        <w:t xml:space="preserve">4 .الدرة البهية و الجوهرة المضية في الروضة الحسينية المسماة بكربلاء و الغاضرية، ج7، ص228.</w:t>
      </w:r>
    </w:p>
    <w:p>
      <w:pPr>
        <w:pStyle w:val="BookText"/>
      </w:pPr>
      <w:r>
        <w:rPr>
          <w:rFonts w:ascii="Amiri" w:hAnsi="Amiri" w:eastAsia="Amiri" w:cs="Amiri"/>
          <w:lang w:bidi="ar-SA"/>
          <w:color w:val="111111"/>
          <w:sz w:val="28"/>
          <w:szCs w:val="28"/>
          <w:rtl/>
        </w:rPr>
        <w:t xml:space="preserve">5 .الرد على الوهابيين و احوالهم، ج8،</w:t>
      </w:r>
    </w:p>
    <w:p>
      <w:pPr>
        <w:pStyle w:val="BookText"/>
      </w:pPr>
      <w:r>
        <w:rPr>
          <w:rFonts w:ascii="IRNazanin" w:hAnsi="IRNazanin" w:eastAsia="IRNazanin" w:cs="IRNazanin"/>
          <w:lang w:bidi="fa-IR"/>
          <w:color w:val="111111"/>
          <w:sz w:val="28"/>
          <w:szCs w:val="28"/>
          <w:rtl/>
        </w:rPr>
        <w:t xml:space="preserve">ص108.</w:t>
      </w:r>
    </w:p>
    <w:p>
      <w:pPr>
        <w:pStyle w:val="BookText"/>
      </w:pPr>
      <w:r>
        <w:rPr>
          <w:rFonts w:ascii="Amiri" w:hAnsi="Amiri" w:eastAsia="Amiri" w:cs="Amiri"/>
          <w:lang w:bidi="ar-SA"/>
          <w:color w:val="111111"/>
          <w:sz w:val="28"/>
          <w:szCs w:val="28"/>
          <w:rtl/>
        </w:rPr>
        <w:t xml:space="preserve">6 .سيرة المعصومين (كتاب في)، ج9،</w:t>
      </w:r>
    </w:p>
    <w:p>
      <w:pPr>
        <w:pStyle w:val="BookText"/>
      </w:pPr>
      <w:r>
        <w:rPr>
          <w:rFonts w:ascii="IRNazanin" w:hAnsi="IRNazanin" w:eastAsia="IRNazanin" w:cs="IRNazanin"/>
          <w:lang w:bidi="fa-IR"/>
          <w:color w:val="111111"/>
          <w:sz w:val="28"/>
          <w:szCs w:val="28"/>
          <w:rtl/>
        </w:rPr>
        <w:t xml:space="preserve">ص 19.</w:t>
      </w:r>
    </w:p>
    <w:p>
      <w:pPr>
        <w:pStyle w:val="BookText"/>
      </w:pPr>
      <w:r>
        <w:rPr>
          <w:rFonts w:ascii="Amiri" w:hAnsi="Amiri" w:eastAsia="Amiri" w:cs="Amiri"/>
          <w:lang w:bidi="ar-SA"/>
          <w:color w:val="111111"/>
          <w:sz w:val="28"/>
          <w:szCs w:val="28"/>
          <w:rtl/>
        </w:rPr>
        <w:t xml:space="preserve">7 .عقد اللؤلؤ والعقيان في تحديد ارض كوفان، ج 11، ص 174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قبور اولاد الائمة (رسالة في)، ج12،</w:t>
      </w:r>
    </w:p>
    <w:p>
      <w:pPr>
        <w:pStyle w:val="BookText"/>
      </w:pPr>
      <w:r>
        <w:rPr>
          <w:rFonts w:ascii="IRNazanin" w:hAnsi="IRNazanin" w:eastAsia="IRNazanin" w:cs="IRNazanin"/>
          <w:lang w:bidi="fa-IR"/>
          <w:color w:val="111111"/>
          <w:sz w:val="28"/>
          <w:szCs w:val="28"/>
          <w:rtl/>
        </w:rPr>
        <w:t xml:space="preserve">ص 379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قصص الأنبياء (مختصر)، ج12،</w:t>
      </w:r>
    </w:p>
    <w:p>
      <w:pPr>
        <w:pStyle w:val="BookText"/>
      </w:pPr>
      <w:r>
        <w:rPr>
          <w:rFonts w:ascii="IRNazanin" w:hAnsi="IRNazanin" w:eastAsia="IRNazanin" w:cs="IRNazanin"/>
          <w:lang w:bidi="fa-IR"/>
          <w:color w:val="111111"/>
          <w:sz w:val="28"/>
          <w:szCs w:val="28"/>
          <w:rtl/>
        </w:rPr>
        <w:t xml:space="preserve">ص 625 .</w:t>
      </w:r>
    </w:p>
    <w:p>
      <w:pPr>
        <w:pStyle w:val="BookText"/>
      </w:pPr>
      <w:r>
        <w:rPr>
          <w:rFonts w:ascii="IRNazanin" w:hAnsi="IRNazanin" w:eastAsia="IRNazanin" w:cs="IRNazanin"/>
          <w:lang w:bidi="fa-IR"/>
          <w:color w:val="111111"/>
          <w:sz w:val="28"/>
          <w:szCs w:val="28"/>
          <w:rtl/>
        </w:rPr>
        <w:t xml:space="preserve">10 .قلائد الدر و المرجان، ج 12،</w:t>
      </w:r>
    </w:p>
    <w:p>
      <w:pPr>
        <w:pStyle w:val="BookText"/>
      </w:pPr>
      <w:r>
        <w:rPr>
          <w:rFonts w:ascii="IRNazanin" w:hAnsi="IRNazanin" w:eastAsia="IRNazanin" w:cs="IRNazanin"/>
          <w:lang w:bidi="fa-IR"/>
          <w:color w:val="111111"/>
          <w:sz w:val="28"/>
          <w:szCs w:val="28"/>
          <w:rtl/>
        </w:rPr>
        <w:t xml:space="preserve">ص 758 .</w:t>
      </w:r>
    </w:p>
    <w:p>
      <w:pPr>
        <w:pStyle w:val="BookText"/>
      </w:pPr>
      <w:r>
        <w:rPr>
          <w:rFonts w:ascii="Amiri" w:hAnsi="Amiri" w:eastAsia="Amiri" w:cs="Amiri"/>
          <w:lang w:bidi="ar-SA"/>
          <w:color w:val="111111"/>
          <w:sz w:val="28"/>
          <w:szCs w:val="28"/>
          <w:rtl/>
        </w:rPr>
        <w:t xml:space="preserve">11 مجموعة أخبار و تاريخ، ج 14،</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اليتيمة الغروية و التحفة النجفية في البقعة المباركة الزكية، ج 16،</w:t>
      </w:r>
    </w:p>
    <w:p>
      <w:pPr>
        <w:pStyle w:val="BookText"/>
      </w:pPr>
      <w:r>
        <w:rPr>
          <w:rFonts w:ascii="IRNazanin" w:hAnsi="IRNazanin" w:eastAsia="IRNazanin" w:cs="IRNazanin"/>
          <w:lang w:bidi="fa-IR"/>
          <w:color w:val="111111"/>
          <w:sz w:val="28"/>
          <w:szCs w:val="28"/>
          <w:rtl/>
        </w:rPr>
        <w:t xml:space="preserve">ص 896.</w:t>
      </w:r>
    </w:p>
    <w:p>
      <w:pPr>
        <w:pStyle w:val="BookText"/>
      </w:pPr>
      <w:r>
        <w:rPr>
          <w:rFonts w:ascii="Amiri" w:hAnsi="Amiri" w:eastAsia="Amiri" w:cs="Amiri"/>
          <w:lang w:bidi="ar-SA"/>
          <w:color w:val="111111"/>
          <w:sz w:val="28"/>
          <w:szCs w:val="28"/>
          <w:rtl/>
        </w:rPr>
        <w:t xml:space="preserve">براقي ، سيّد حسون- حسني ، حسن بن</w:t>
      </w:r>
    </w:p>
    <w:p>
      <w:pPr>
        <w:pStyle w:val="BookText"/>
      </w:pPr>
      <w:r>
        <w:rPr>
          <w:rFonts w:ascii="Amiri" w:hAnsi="Amiri" w:eastAsia="Amiri" w:cs="Amiri"/>
          <w:lang w:bidi="ar-SA"/>
          <w:color w:val="111111"/>
          <w:sz w:val="28"/>
          <w:szCs w:val="28"/>
          <w:rtl/>
        </w:rPr>
        <w:t xml:space="preserve">اسماعيل</w:t>
      </w:r>
    </w:p>
    <w:p>
      <w:pPr>
        <w:pStyle w:val="BookText"/>
      </w:pPr>
      <w:r>
        <w:rPr>
          <w:rFonts w:ascii="IRNazanin" w:hAnsi="IRNazanin" w:eastAsia="IRNazanin" w:cs="IRNazanin"/>
          <w:lang w:bidi="fa-IR"/>
          <w:color w:val="111111"/>
          <w:sz w:val="28"/>
          <w:szCs w:val="28"/>
          <w:rtl/>
        </w:rPr>
        <w:t xml:space="preserve">براکلسوس حكيم يوناني -باراسلسوس</w:t>
      </w:r>
    </w:p>
    <w:p>
      <w:pPr>
        <w:pStyle w:val="BookText"/>
      </w:pPr>
      <w:r>
        <w:rPr>
          <w:rFonts w:ascii="IRNazanin" w:hAnsi="IRNazanin" w:eastAsia="IRNazanin" w:cs="IRNazanin"/>
          <w:lang w:bidi="fa-IR"/>
          <w:color w:val="111111"/>
          <w:sz w:val="28"/>
          <w:szCs w:val="28"/>
          <w:rtl/>
        </w:rPr>
        <w:t xml:space="preserve">براکلوس پاراسلسوس</w:t>
      </w:r>
    </w:p>
    <w:p>
      <w:pPr>
        <w:pStyle w:val="BookText"/>
      </w:pPr>
      <w:r>
        <w:rPr>
          <w:rFonts w:ascii="Amiri" w:hAnsi="Amiri" w:eastAsia="Amiri" w:cs="Amiri"/>
          <w:lang w:bidi="ar-SA"/>
          <w:color w:val="111111"/>
          <w:sz w:val="28"/>
          <w:szCs w:val="28"/>
          <w:rtl/>
        </w:rPr>
        <w:t xml:space="preserve">بربري ، عيسى بن عبد العزيز- جزولي ،</w:t>
      </w:r>
    </w:p>
    <w:p>
      <w:pPr>
        <w:pStyle w:val="BookText"/>
      </w:pPr>
      <w:r>
        <w:rPr>
          <w:rFonts w:ascii="Amiri" w:hAnsi="Amiri" w:eastAsia="Amiri" w:cs="Amiri"/>
          <w:lang w:bidi="ar-SA"/>
          <w:color w:val="111111"/>
          <w:sz w:val="28"/>
          <w:szCs w:val="28"/>
          <w:rtl/>
        </w:rPr>
        <w:t xml:space="preserve">عيسى بن عبدالعزيز</w:t>
      </w:r>
    </w:p>
    <w:p>
      <w:pPr>
        <w:pStyle w:val="BookText"/>
      </w:pPr>
      <w:r>
        <w:rPr>
          <w:rFonts w:ascii="Amiri" w:hAnsi="Amiri" w:eastAsia="Amiri" w:cs="Amiri"/>
          <w:lang w:bidi="ar-SA"/>
          <w:color w:val="111111"/>
          <w:sz w:val="28"/>
          <w:szCs w:val="28"/>
          <w:rtl/>
        </w:rPr>
        <w:t xml:space="preserve">بربلوي ، نثار علي بن اعظم علي- بخاري</w:t>
      </w:r>
    </w:p>
    <w:p>
      <w:pPr>
        <w:pStyle w:val="BookText"/>
      </w:pPr>
      <w:r>
        <w:rPr>
          <w:rFonts w:ascii="Amiri" w:hAnsi="Amiri" w:eastAsia="Amiri" w:cs="Amiri"/>
          <w:lang w:bidi="ar-SA"/>
          <w:color w:val="111111"/>
          <w:sz w:val="28"/>
          <w:szCs w:val="28"/>
          <w:rtl/>
        </w:rPr>
        <w:t xml:space="preserve">بريلوي ، نثار علي بن اعظم علي</w:t>
      </w:r>
    </w:p>
    <w:p>
      <w:pPr>
        <w:pStyle w:val="Heading2"/>
      </w:pPr>
      <w:bookmarkStart w:id="2691" w:name="_Toc1793"/>
      <w:r>
        <w:t>بربوري ، ناصر بن عبدالله</w:t>
      </w:r>
      <w:bookmarkEnd w:id="2691"/>
    </w:p>
    <w:p>
      <w:pPr>
        <w:pStyle w:val="BookText"/>
      </w:pPr>
      <w:r>
        <w:rPr>
          <w:rFonts w:ascii="Amiri" w:hAnsi="Amiri" w:eastAsia="Amiri" w:cs="Amiri"/>
          <w:lang w:bidi="ar-SA"/>
          <w:color w:val="111111"/>
          <w:sz w:val="28"/>
          <w:szCs w:val="28"/>
          <w:rtl/>
        </w:rPr>
        <w:t xml:space="preserve">فقه الحج (رسالة في)، ج 12، ص 96.</w:t>
      </w:r>
    </w:p>
    <w:p>
      <w:pPr>
        <w:pStyle w:val="Heading2"/>
      </w:pPr>
      <w:bookmarkStart w:id="2692" w:name="_Toc1794"/>
      <w:r>
        <w:t>بربير بيروتي ، محمود بن عمر</w:t>
      </w:r>
      <w:bookmarkEnd w:id="2692"/>
    </w:p>
    <w:p>
      <w:pPr>
        <w:pStyle w:val="BookText"/>
      </w:pPr>
      <w:r>
        <w:rPr>
          <w:rFonts w:ascii="Amiri" w:hAnsi="Amiri" w:eastAsia="Amiri" w:cs="Amiri"/>
          <w:lang w:bidi="ar-SA"/>
          <w:color w:val="111111"/>
          <w:sz w:val="28"/>
          <w:szCs w:val="28"/>
          <w:rtl/>
        </w:rPr>
        <w:t xml:space="preserve">الجواهر في مدح الباز عبد القادر الكيلاني، ج 5 ، ص 560.</w:t>
      </w:r>
    </w:p>
    <w:p>
      <w:pPr>
        <w:pStyle w:val="Heading2"/>
      </w:pPr>
      <w:bookmarkStart w:id="2693" w:name="_Toc1795"/>
      <w:r>
        <w:t>برخشي طالقاني ، محمّد</w:t>
      </w:r>
      <w:bookmarkEnd w:id="2693"/>
    </w:p>
    <w:p>
      <w:pPr>
        <w:pStyle w:val="BookText"/>
      </w:pPr>
      <w:r>
        <w:rPr>
          <w:rFonts w:ascii="Amiri" w:hAnsi="Amiri" w:eastAsia="Amiri" w:cs="Amiri"/>
          <w:lang w:bidi="ar-SA"/>
          <w:color w:val="111111"/>
          <w:sz w:val="28"/>
          <w:szCs w:val="28"/>
          <w:rtl/>
        </w:rPr>
        <w:t xml:space="preserve">تاريخ الامام قطب دائرة العارفين احمد الفاروقي النقشبندي، ج3،</w:t>
      </w:r>
    </w:p>
    <w:p>
      <w:pPr>
        <w:pStyle w:val="BookText"/>
      </w:pPr>
      <w:r>
        <w:rPr>
          <w:rFonts w:ascii="IRNazanin" w:hAnsi="IRNazanin" w:eastAsia="IRNazanin" w:cs="IRNazanin"/>
          <w:lang w:bidi="fa-IR"/>
          <w:color w:val="111111"/>
          <w:sz w:val="28"/>
          <w:szCs w:val="28"/>
          <w:rtl/>
        </w:rPr>
        <w:t xml:space="preserve">ص 557.</w:t>
      </w:r>
    </w:p>
    <w:p>
      <w:pPr>
        <w:pStyle w:val="BookText"/>
      </w:pPr>
      <w:r>
        <w:rPr>
          <w:rFonts w:ascii="IRNazanin" w:hAnsi="IRNazanin" w:eastAsia="IRNazanin" w:cs="IRNazanin"/>
          <w:lang w:bidi="fa-IR"/>
          <w:color w:val="111111"/>
          <w:sz w:val="28"/>
          <w:szCs w:val="28"/>
          <w:rtl/>
        </w:rPr>
        <w:t xml:space="preserve">برخوردار بن محمود ترکمان فراهاني- فراهي ، برخوردار بن محمود</w:t>
      </w:r>
    </w:p>
    <w:p>
      <w:pPr>
        <w:pStyle w:val="BookText"/>
      </w:pPr>
      <w:r>
        <w:rPr>
          <w:rFonts w:ascii="Amiri" w:hAnsi="Amiri" w:eastAsia="Amiri" w:cs="Amiri"/>
          <w:lang w:bidi="ar-SA"/>
          <w:color w:val="111111"/>
          <w:sz w:val="28"/>
          <w:szCs w:val="28"/>
          <w:rtl/>
        </w:rPr>
        <w:t xml:space="preserve">بردسيري كرماني ، عبدالحسين -ميرزا آقا</w:t>
      </w:r>
    </w:p>
    <w:p>
      <w:pPr>
        <w:pStyle w:val="BookText"/>
      </w:pPr>
      <w:r>
        <w:rPr>
          <w:rFonts w:ascii="Amiri" w:hAnsi="Amiri" w:eastAsia="Amiri" w:cs="Amiri"/>
          <w:lang w:bidi="ar-SA"/>
          <w:color w:val="111111"/>
          <w:sz w:val="28"/>
          <w:szCs w:val="28"/>
          <w:rtl/>
        </w:rPr>
        <w:t xml:space="preserve">خان كرماني ، عبدالحسين</w:t>
      </w:r>
    </w:p>
    <w:p>
      <w:pPr>
        <w:pStyle w:val="BookText"/>
      </w:pPr>
      <w:r>
        <w:rPr>
          <w:rFonts w:ascii="Amiri" w:hAnsi="Amiri" w:eastAsia="Amiri" w:cs="Amiri"/>
          <w:lang w:bidi="ar-SA"/>
          <w:color w:val="111111"/>
          <w:sz w:val="28"/>
          <w:szCs w:val="28"/>
          <w:rtl/>
        </w:rPr>
        <w:t xml:space="preserve">بردعي ، سنان الدين يوسف -سنان</w:t>
      </w:r>
    </w:p>
    <w:p>
      <w:pPr>
        <w:pStyle w:val="BookText"/>
      </w:pPr>
      <w:r>
        <w:rPr>
          <w:rFonts w:ascii="Amiri" w:hAnsi="Amiri" w:eastAsia="Amiri" w:cs="Amiri"/>
          <w:lang w:bidi="ar-SA"/>
          <w:color w:val="111111"/>
          <w:sz w:val="28"/>
          <w:szCs w:val="28"/>
          <w:rtl/>
        </w:rPr>
        <w:t xml:space="preserve">المحشي ، يوسف بن حسام الدين</w:t>
      </w:r>
    </w:p>
    <w:p>
      <w:pPr>
        <w:pStyle w:val="Heading2"/>
      </w:pPr>
      <w:bookmarkStart w:id="2694" w:name="_Toc1796"/>
      <w:r>
        <w:t>بردعي ، عبدالرحیم قرن 10 ه-</w:t>
      </w:r>
      <w:bookmarkEnd w:id="2694"/>
    </w:p>
    <w:p>
      <w:pPr>
        <w:pStyle w:val="BookText"/>
      </w:pPr>
      <w:r>
        <w:rPr>
          <w:rFonts w:ascii="Amiri" w:hAnsi="Amiri" w:eastAsia="Amiri" w:cs="Amiri"/>
          <w:lang w:bidi="ar-SA"/>
          <w:color w:val="111111"/>
          <w:sz w:val="28"/>
          <w:szCs w:val="28"/>
          <w:rtl/>
        </w:rPr>
        <w:t xml:space="preserve">قصيدة للشيخ عبدالرحيم بن أحمد</w:t>
      </w:r>
    </w:p>
    <w:p>
      <w:pPr>
        <w:pStyle w:val="BookText"/>
      </w:pPr>
      <w:r>
        <w:rPr>
          <w:rFonts w:ascii="Amiri" w:hAnsi="Amiri" w:eastAsia="Amiri" w:cs="Amiri"/>
          <w:lang w:bidi="ar-SA"/>
          <w:color w:val="111111"/>
          <w:sz w:val="28"/>
          <w:szCs w:val="28"/>
          <w:rtl/>
        </w:rPr>
        <w:t xml:space="preserve">البردعي، ج 12، ص708.</w:t>
      </w:r>
    </w:p>
    <w:p>
      <w:pPr>
        <w:pStyle w:val="Heading2"/>
      </w:pPr>
      <w:bookmarkStart w:id="2695" w:name="_Toc1797"/>
      <w:r>
        <w:t>بردعي ، محمّد بن سعد الله - 609 ه-</w:t>
      </w:r>
      <w:bookmarkEnd w:id="2695"/>
    </w:p>
    <w:p>
      <w:pPr>
        <w:pStyle w:val="BookText"/>
      </w:pPr>
      <w:r>
        <w:rPr>
          <w:rFonts w:ascii="Amiri" w:hAnsi="Amiri" w:eastAsia="Amiri" w:cs="Amiri"/>
          <w:lang w:bidi="ar-SA"/>
          <w:color w:val="111111"/>
          <w:sz w:val="28"/>
          <w:szCs w:val="28"/>
          <w:rtl/>
        </w:rPr>
        <w:t xml:space="preserve">1 .حاشية في النحو، ج6 ، ص 301.</w:t>
      </w:r>
    </w:p>
    <w:p>
      <w:pPr>
        <w:pStyle w:val="BookText"/>
      </w:pPr>
      <w:r>
        <w:rPr>
          <w:rFonts w:ascii="Amiri" w:hAnsi="Amiri" w:eastAsia="Amiri" w:cs="Amiri"/>
          <w:lang w:bidi="ar-SA"/>
          <w:color w:val="111111"/>
          <w:sz w:val="28"/>
          <w:szCs w:val="28"/>
          <w:rtl/>
        </w:rPr>
        <w:t xml:space="preserve">2 .حدائق الدقائق في شرح رسالة علامة الحقائق = شرح الانموذج</w:t>
      </w:r>
    </w:p>
    <w:p>
      <w:pPr>
        <w:pStyle w:val="BookText"/>
      </w:pPr>
      <w:r>
        <w:rPr>
          <w:rFonts w:ascii="IRNazanin" w:hAnsi="IRNazanin" w:eastAsia="IRNazanin" w:cs="IRNazanin"/>
          <w:lang w:bidi="fa-IR"/>
          <w:color w:val="111111"/>
          <w:sz w:val="28"/>
          <w:szCs w:val="28"/>
          <w:rtl/>
        </w:rPr>
        <w:t xml:space="preserve">ج 6، ص 516.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العوامل المائة = شرح سعد الله الصغير على العوامل، ج9، ص 756.</w:t>
      </w:r>
    </w:p>
    <w:p>
      <w:pPr>
        <w:pStyle w:val="BookText"/>
      </w:pPr>
      <w:r>
        <w:rPr>
          <w:rFonts w:ascii="IRNazanin" w:hAnsi="IRNazanin" w:eastAsia="IRNazanin" w:cs="IRNazanin"/>
          <w:lang w:bidi="fa-IR"/>
          <w:color w:val="111111"/>
          <w:sz w:val="28"/>
          <w:szCs w:val="28"/>
          <w:rtl/>
        </w:rPr>
        <w:t xml:space="preserve">4 .فعل سعد الله، ج 12، ص 36.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1" w:name="pg7742_69887"/>
    <w:bookmarkEnd w:id="251"/>
    <w:p>
      <w:pPr>
        <w:pStyle w:val="BookText"/>
      </w:pPr>
      <w:r>
        <w:rPr>
          <w:rFonts w:ascii="Amiri" w:hAnsi="Amiri" w:eastAsia="Amiri" w:cs="Amiri"/>
          <w:lang w:bidi="ar-SA"/>
          <w:color w:val="111111"/>
          <w:sz w:val="28"/>
          <w:szCs w:val="28"/>
          <w:rtl/>
        </w:rPr>
        <w:t xml:space="preserve">بردعي ، محمّد بن محمّد- حنفي تبريزي ،</w:t>
      </w:r>
    </w:p>
    <w:p>
      <w:pPr>
        <w:pStyle w:val="BookText"/>
      </w:pPr>
      <w:r>
        <w:rPr>
          <w:rFonts w:ascii="Amiri" w:hAnsi="Amiri" w:eastAsia="Amiri" w:cs="Amiri"/>
          <w:lang w:bidi="ar-SA"/>
          <w:color w:val="111111"/>
          <w:sz w:val="28"/>
          <w:szCs w:val="28"/>
          <w:rtl/>
        </w:rPr>
        <w:t xml:space="preserve">شمس الدين محمّد</w:t>
      </w:r>
    </w:p>
    <w:p>
      <w:pPr>
        <w:pStyle w:val="BookText"/>
      </w:pPr>
      <w:r>
        <w:rPr>
          <w:rFonts w:ascii="Amiri" w:hAnsi="Amiri" w:eastAsia="Amiri" w:cs="Amiri"/>
          <w:lang w:bidi="ar-SA"/>
          <w:color w:val="111111"/>
          <w:sz w:val="28"/>
          <w:szCs w:val="28"/>
          <w:rtl/>
        </w:rPr>
        <w:t xml:space="preserve">بردي ، صاعد بن محمّد -بريدي ، صاعد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بردي ، يوسف بن تغري- ابن تغري بردي</w:t>
      </w:r>
    </w:p>
    <w:p>
      <w:pPr>
        <w:pStyle w:val="BookText"/>
      </w:pPr>
      <w:r>
        <w:rPr>
          <w:rFonts w:ascii="Amiri" w:hAnsi="Amiri" w:eastAsia="Amiri" w:cs="Amiri"/>
          <w:lang w:bidi="ar-SA"/>
          <w:color w:val="111111"/>
          <w:sz w:val="28"/>
          <w:szCs w:val="28"/>
          <w:rtl/>
        </w:rPr>
        <w:t xml:space="preserve">، يوسف بن تغري</w:t>
      </w:r>
    </w:p>
    <w:p>
      <w:pPr>
        <w:pStyle w:val="Heading2"/>
      </w:pPr>
      <w:bookmarkStart w:id="2696" w:name="_Toc1798"/>
      <w:r>
        <w:t>برزالي ، قاسم بن محمّد، 665 - 739 ه-</w:t>
      </w:r>
      <w:bookmarkEnd w:id="2696"/>
    </w:p>
    <w:p>
      <w:pPr>
        <w:pStyle w:val="BookText"/>
      </w:pPr>
      <w:r>
        <w:rPr>
          <w:rFonts w:ascii="Amiri" w:hAnsi="Amiri" w:eastAsia="Amiri" w:cs="Amiri"/>
          <w:lang w:bidi="ar-SA"/>
          <w:color w:val="111111"/>
          <w:sz w:val="28"/>
          <w:szCs w:val="28"/>
          <w:rtl/>
        </w:rPr>
        <w:t xml:space="preserve">1 .ثبت مسموعات البرزالي علي</w:t>
      </w:r>
    </w:p>
    <w:p>
      <w:pPr>
        <w:pStyle w:val="BookText"/>
      </w:pPr>
      <w:r>
        <w:rPr>
          <w:rFonts w:ascii="Amiri" w:hAnsi="Amiri" w:eastAsia="Amiri" w:cs="Amiri"/>
          <w:lang w:bidi="ar-SA"/>
          <w:color w:val="111111"/>
          <w:sz w:val="28"/>
          <w:szCs w:val="28"/>
          <w:rtl/>
        </w:rPr>
        <w:t xml:space="preserve">شيوخه، ج 5، ص 216.</w:t>
      </w:r>
    </w:p>
    <w:p>
      <w:pPr>
        <w:pStyle w:val="BookText"/>
      </w:pPr>
      <w:r>
        <w:rPr>
          <w:rFonts w:ascii="Amiri" w:hAnsi="Amiri" w:eastAsia="Amiri" w:cs="Amiri"/>
          <w:lang w:bidi="ar-SA"/>
          <w:color w:val="111111"/>
          <w:sz w:val="28"/>
          <w:szCs w:val="28"/>
          <w:rtl/>
        </w:rPr>
        <w:t xml:space="preserve">2 .ذيل على تاريخ شهاب الدين ابي</w:t>
      </w:r>
    </w:p>
    <w:p>
      <w:pPr>
        <w:pStyle w:val="BookText"/>
      </w:pPr>
      <w:r>
        <w:rPr>
          <w:rFonts w:ascii="Amiri" w:hAnsi="Amiri" w:eastAsia="Amiri" w:cs="Amiri"/>
          <w:lang w:bidi="ar-SA"/>
          <w:color w:val="111111"/>
          <w:sz w:val="28"/>
          <w:szCs w:val="28"/>
          <w:rtl/>
        </w:rPr>
        <w:t xml:space="preserve">شادرة، ج7، ص877.</w:t>
      </w:r>
    </w:p>
    <w:p>
      <w:pPr>
        <w:pStyle w:val="Heading2"/>
      </w:pPr>
      <w:bookmarkStart w:id="2697" w:name="_Toc1799"/>
      <w:r>
        <w:t>برزالي ، محمّد بن يوسف - 638 ه-</w:t>
      </w:r>
      <w:bookmarkEnd w:id="2697"/>
    </w:p>
    <w:p>
      <w:pPr>
        <w:pStyle w:val="BookText"/>
      </w:pPr>
      <w:r>
        <w:rPr>
          <w:rFonts w:ascii="Amiri" w:hAnsi="Amiri" w:eastAsia="Amiri" w:cs="Amiri"/>
          <w:lang w:bidi="ar-SA"/>
          <w:color w:val="111111"/>
          <w:sz w:val="28"/>
          <w:szCs w:val="28"/>
          <w:rtl/>
        </w:rPr>
        <w:t xml:space="preserve">سلوك طريق السلف في ذكر مشايخ</w:t>
      </w:r>
    </w:p>
    <w:p>
      <w:pPr>
        <w:pStyle w:val="BookText"/>
      </w:pPr>
      <w:r>
        <w:rPr>
          <w:rFonts w:ascii="IRNazanin" w:hAnsi="IRNazanin" w:eastAsia="IRNazanin" w:cs="IRNazanin"/>
          <w:lang w:bidi="fa-IR"/>
          <w:color w:val="111111"/>
          <w:sz w:val="28"/>
          <w:szCs w:val="28"/>
          <w:rtl/>
        </w:rPr>
        <w:t xml:space="preserve">عبدالحق ابن خلف، ج8، ص 826.</w:t>
      </w:r>
    </w:p>
    <w:p>
      <w:pPr>
        <w:pStyle w:val="BookText"/>
      </w:pPr>
      <w:r>
        <w:rPr>
          <w:rFonts w:ascii="Amiri" w:hAnsi="Amiri" w:eastAsia="Amiri" w:cs="Amiri"/>
          <w:lang w:bidi="ar-SA"/>
          <w:color w:val="111111"/>
          <w:sz w:val="28"/>
          <w:szCs w:val="28"/>
          <w:rtl/>
        </w:rPr>
        <w:t xml:space="preserve">برزعبي ، يوحنا قواعد اللغة الكلدانية، ج 12، ص 805.</w:t>
      </w:r>
    </w:p>
    <w:p>
      <w:pPr>
        <w:pStyle w:val="BookText"/>
      </w:pPr>
      <w:r>
        <w:rPr>
          <w:rFonts w:ascii="Amiri" w:hAnsi="Amiri" w:eastAsia="Amiri" w:cs="Amiri"/>
          <w:lang w:bidi="ar-SA"/>
          <w:color w:val="111111"/>
          <w:sz w:val="28"/>
          <w:szCs w:val="28"/>
          <w:rtl/>
        </w:rPr>
        <w:t xml:space="preserve">برزنجي ، ابراهيم -ابن برزنجي، ابراهيم</w:t>
      </w:r>
    </w:p>
    <w:p>
      <w:pPr>
        <w:pStyle w:val="Heading2"/>
      </w:pPr>
      <w:bookmarkStart w:id="2698" w:name="_Toc1800"/>
      <w:r>
        <w:t>برزنجي ، احمد بن اسماعيل - 1332 ه-</w:t>
      </w:r>
      <w:bookmarkEnd w:id="2698"/>
    </w:p>
    <w:p>
      <w:pPr>
        <w:pStyle w:val="BookText"/>
      </w:pPr>
      <w:r>
        <w:rPr>
          <w:rFonts w:ascii="Amiri" w:hAnsi="Amiri" w:eastAsia="Amiri" w:cs="Amiri"/>
          <w:lang w:bidi="ar-SA"/>
          <w:color w:val="111111"/>
          <w:sz w:val="28"/>
          <w:szCs w:val="28"/>
          <w:rtl/>
        </w:rPr>
        <w:t xml:space="preserve">عين الصواب في السؤال والجواب ج 11، ص 379.</w:t>
      </w:r>
    </w:p>
    <w:p>
      <w:pPr>
        <w:pStyle w:val="BookText"/>
      </w:pPr>
      <w:r>
        <w:rPr>
          <w:rFonts w:ascii="Amiri" w:hAnsi="Amiri" w:eastAsia="Amiri" w:cs="Amiri"/>
          <w:lang w:bidi="ar-SA"/>
          <w:color w:val="111111"/>
          <w:sz w:val="28"/>
          <w:szCs w:val="28"/>
          <w:rtl/>
        </w:rPr>
        <w:t xml:space="preserve">برزنجي ، احمد- شهرزوري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برزنجي ، احمد بن معروف- نودهي</w:t>
      </w:r>
    </w:p>
    <w:p>
      <w:pPr>
        <w:pStyle w:val="BookText"/>
      </w:pPr>
      <w:r>
        <w:rPr>
          <w:rFonts w:ascii="IRNazanin" w:hAnsi="IRNazanin" w:eastAsia="IRNazanin" w:cs="IRNazanin"/>
          <w:lang w:bidi="fa-IR"/>
          <w:color w:val="111111"/>
          <w:sz w:val="28"/>
          <w:szCs w:val="28"/>
          <w:rtl/>
        </w:rPr>
        <w:t xml:space="preserve">احمد بن محمّد معروف</w:t>
      </w:r>
    </w:p>
    <w:p>
      <w:pPr>
        <w:pStyle w:val="Heading2"/>
      </w:pPr>
      <w:bookmarkStart w:id="2699" w:name="_Toc1801"/>
      <w:r>
        <w:t>برزنجي، جعفر بن حسن - 1187 ؟ ه-</w:t>
      </w:r>
      <w:bookmarkEnd w:id="2699"/>
    </w:p>
    <w:p>
      <w:pPr>
        <w:pStyle w:val="BookText"/>
      </w:pPr>
      <w:r>
        <w:rPr>
          <w:rFonts w:ascii="Amiri" w:hAnsi="Amiri" w:eastAsia="Amiri" w:cs="Amiri"/>
          <w:lang w:bidi="ar-SA"/>
          <w:color w:val="111111"/>
          <w:sz w:val="28"/>
          <w:szCs w:val="28"/>
          <w:rtl/>
        </w:rPr>
        <w:t xml:space="preserve">1 .جالية الكدر باصحاب سيد الملائك</w:t>
      </w:r>
    </w:p>
    <w:p>
      <w:pPr>
        <w:pStyle w:val="BookText"/>
      </w:pPr>
      <w:r>
        <w:rPr>
          <w:rFonts w:ascii="Amiri" w:hAnsi="Amiri" w:eastAsia="Amiri" w:cs="Amiri"/>
          <w:lang w:bidi="ar-SA"/>
          <w:color w:val="111111"/>
          <w:sz w:val="28"/>
          <w:szCs w:val="28"/>
          <w:rtl/>
        </w:rPr>
        <w:t xml:space="preserve">و البشر = جالية الكدر في فضل</w:t>
      </w:r>
    </w:p>
    <w:p>
      <w:pPr>
        <w:pStyle w:val="BookText"/>
      </w:pPr>
      <w:r>
        <w:rPr>
          <w:rFonts w:ascii="IRNazanin" w:hAnsi="IRNazanin" w:eastAsia="IRNazanin" w:cs="IRNazanin"/>
          <w:lang w:bidi="fa-IR"/>
          <w:color w:val="111111"/>
          <w:sz w:val="28"/>
          <w:szCs w:val="28"/>
          <w:rtl/>
        </w:rPr>
        <w:t xml:space="preserve">اهل بدر، ج5، ص238.</w:t>
      </w:r>
    </w:p>
    <w:p>
      <w:pPr>
        <w:pStyle w:val="BookText"/>
      </w:pPr>
      <w:r>
        <w:rPr>
          <w:rFonts w:ascii="Amiri" w:hAnsi="Amiri" w:eastAsia="Amiri" w:cs="Amiri"/>
          <w:lang w:bidi="ar-SA"/>
          <w:color w:val="111111"/>
          <w:sz w:val="28"/>
          <w:szCs w:val="28"/>
          <w:rtl/>
        </w:rPr>
        <w:t xml:space="preserve">2 .العرين لاسماء الصحابة البدريين =</w:t>
      </w:r>
    </w:p>
    <w:p>
      <w:pPr>
        <w:pStyle w:val="BookText"/>
      </w:pPr>
      <w:r>
        <w:rPr>
          <w:rFonts w:ascii="IRNazanin" w:hAnsi="IRNazanin" w:eastAsia="IRNazanin" w:cs="IRNazanin"/>
          <w:lang w:bidi="fa-IR"/>
          <w:color w:val="111111"/>
          <w:sz w:val="28"/>
          <w:szCs w:val="28"/>
          <w:rtl/>
        </w:rPr>
        <w:t xml:space="preserve">شرح اسماء اصحاب البدر، ج 11،</w:t>
      </w:r>
    </w:p>
    <w:p>
      <w:pPr>
        <w:pStyle w:val="BookText"/>
      </w:pPr>
      <w:r>
        <w:rPr>
          <w:rFonts w:ascii="IRNazanin" w:hAnsi="IRNazanin" w:eastAsia="IRNazanin" w:cs="IRNazanin"/>
          <w:lang w:bidi="fa-IR"/>
          <w:color w:val="111111"/>
          <w:sz w:val="28"/>
          <w:szCs w:val="28"/>
          <w:rtl/>
        </w:rPr>
        <w:t xml:space="preserve">ص 105.</w:t>
      </w:r>
    </w:p>
    <w:p>
      <w:pPr>
        <w:pStyle w:val="BookText"/>
      </w:pPr>
      <w:r>
        <w:rPr>
          <w:rFonts w:ascii="Amiri" w:hAnsi="Amiri" w:eastAsia="Amiri" w:cs="Amiri"/>
          <w:lang w:bidi="ar-SA"/>
          <w:color w:val="111111"/>
          <w:sz w:val="28"/>
          <w:szCs w:val="28"/>
          <w:rtl/>
        </w:rPr>
        <w:t xml:space="preserve">3.العقد الجوهري في مولد محمّد</w:t>
      </w:r>
    </w:p>
    <w:p>
      <w:pPr>
        <w:pStyle w:val="BookText"/>
      </w:pPr>
      <w:r>
        <w:rPr>
          <w:rFonts w:ascii="IRNazanin" w:hAnsi="IRNazanin" w:eastAsia="IRNazanin" w:cs="IRNazanin"/>
          <w:lang w:bidi="fa-IR"/>
          <w:color w:val="111111"/>
          <w:sz w:val="28"/>
          <w:szCs w:val="28"/>
          <w:rtl/>
        </w:rPr>
        <w:t xml:space="preserve">(ص)، ج 11، ص 161 .</w:t>
      </w:r>
    </w:p>
    <w:p>
      <w:pPr>
        <w:pStyle w:val="BookText"/>
      </w:pPr>
      <w:r>
        <w:rPr>
          <w:rFonts w:ascii="Amiri" w:hAnsi="Amiri" w:eastAsia="Amiri" w:cs="Amiri"/>
          <w:lang w:bidi="ar-SA"/>
          <w:color w:val="111111"/>
          <w:sz w:val="28"/>
          <w:szCs w:val="28"/>
          <w:rtl/>
        </w:rPr>
        <w:t xml:space="preserve">4 .مناقب القشاشي، ج 15، ص 552.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مولد النبي (ص)، ج 16، ص 48.</w:t>
      </w:r>
    </w:p>
    <w:p>
      <w:pPr>
        <w:pStyle w:val="BookText"/>
      </w:pPr>
      <w:r>
        <w:rPr>
          <w:rFonts w:ascii="Amiri" w:hAnsi="Amiri" w:eastAsia="Amiri" w:cs="Amiri"/>
          <w:lang w:bidi="ar-SA"/>
          <w:color w:val="111111"/>
          <w:sz w:val="28"/>
          <w:szCs w:val="28"/>
          <w:rtl/>
        </w:rPr>
        <w:t xml:space="preserve">برزنجي ، حسن- حسيني برزنجي ، حسن</w:t>
      </w:r>
    </w:p>
    <w:p>
      <w:pPr>
        <w:pStyle w:val="Heading2"/>
      </w:pPr>
      <w:bookmarkStart w:id="2700" w:name="_Toc1802"/>
      <w:r>
        <w:t>برزنجي ، حسن</w:t>
      </w:r>
      <w:bookmarkEnd w:id="2700"/>
    </w:p>
    <w:p>
      <w:pPr>
        <w:pStyle w:val="BookText"/>
      </w:pPr>
      <w:r>
        <w:rPr>
          <w:rFonts w:ascii="Amiri" w:hAnsi="Amiri" w:eastAsia="Amiri" w:cs="Amiri"/>
          <w:lang w:bidi="ar-SA"/>
          <w:color w:val="111111"/>
          <w:sz w:val="28"/>
          <w:szCs w:val="28"/>
          <w:rtl/>
        </w:rPr>
        <w:t xml:space="preserve">1 .القصيدة المنعكسة، ج 12، ص713.</w:t>
      </w:r>
    </w:p>
    <w:p>
      <w:pPr>
        <w:pStyle w:val="BookText"/>
      </w:pPr>
      <w:r>
        <w:rPr>
          <w:rFonts w:ascii="IRNazanin" w:hAnsi="IRNazanin" w:eastAsia="IRNazanin" w:cs="IRNazanin"/>
          <w:lang w:bidi="fa-IR"/>
          <w:color w:val="111111"/>
          <w:sz w:val="28"/>
          <w:szCs w:val="28"/>
          <w:rtl/>
        </w:rPr>
        <w:t xml:space="preserve">المغالطات، ج 15، ص 112.</w:t>
      </w:r>
    </w:p>
    <w:p>
      <w:pPr>
        <w:pStyle w:val="Heading2"/>
      </w:pPr>
      <w:bookmarkStart w:id="2701" w:name="_Toc1803"/>
      <w:r>
        <w:t>برزنجي ، حسين بن ،بایزید قرن 13 ه-</w:t>
      </w:r>
      <w:bookmarkEnd w:id="2701"/>
    </w:p>
    <w:p>
      <w:pPr>
        <w:pStyle w:val="BookText"/>
      </w:pPr>
      <w:r>
        <w:rPr>
          <w:rFonts w:ascii="Amiri" w:hAnsi="Amiri" w:eastAsia="Amiri" w:cs="Amiri"/>
          <w:lang w:bidi="ar-SA"/>
          <w:color w:val="111111"/>
          <w:sz w:val="28"/>
          <w:szCs w:val="28"/>
          <w:rtl/>
        </w:rPr>
        <w:t xml:space="preserve">حاشية على حاشية المصري، ج 6،</w:t>
      </w:r>
    </w:p>
    <w:p>
      <w:pPr>
        <w:pStyle w:val="BookText"/>
      </w:pPr>
      <w:r>
        <w:rPr>
          <w:rFonts w:ascii="IRNazanin" w:hAnsi="IRNazanin" w:eastAsia="IRNazanin" w:cs="IRNazanin"/>
          <w:lang w:bidi="fa-IR"/>
          <w:color w:val="111111"/>
          <w:sz w:val="28"/>
          <w:szCs w:val="28"/>
          <w:rtl/>
        </w:rPr>
        <w:t xml:space="preserve">ص 239.</w:t>
      </w:r>
    </w:p>
    <w:p>
      <w:pPr>
        <w:pStyle w:val="Heading2"/>
      </w:pPr>
      <w:bookmarkStart w:id="2702" w:name="_Toc1804"/>
      <w:r>
        <w:t>برزنجي حسيني ، محمّد طاهر بن</w:t>
      </w:r>
      <w:bookmarkEnd w:id="2702"/>
    </w:p>
    <w:p>
      <w:pPr>
        <w:pStyle w:val="BookText"/>
      </w:pPr>
      <w:r>
        <w:rPr>
          <w:rFonts w:ascii="IRNazanin" w:hAnsi="IRNazanin" w:eastAsia="IRNazanin" w:cs="IRNazanin"/>
          <w:lang w:bidi="fa-IR"/>
          <w:color w:val="111111"/>
          <w:sz w:val="28"/>
          <w:szCs w:val="28"/>
          <w:rtl/>
        </w:rPr>
        <w:t xml:space="preserve">معروف</w:t>
      </w:r>
    </w:p>
    <w:p>
      <w:pPr>
        <w:pStyle w:val="BookText"/>
      </w:pPr>
      <w:r>
        <w:rPr>
          <w:rFonts w:ascii="Amiri" w:hAnsi="Amiri" w:eastAsia="Amiri" w:cs="Amiri"/>
          <w:lang w:bidi="ar-SA"/>
          <w:color w:val="111111"/>
          <w:sz w:val="28"/>
          <w:szCs w:val="28"/>
          <w:rtl/>
        </w:rPr>
        <w:t xml:space="preserve">تحفة السلطان في شرح البرهان، ج3،</w:t>
      </w:r>
    </w:p>
    <w:p>
      <w:pPr>
        <w:pStyle w:val="BookText"/>
      </w:pPr>
      <w:r>
        <w:rPr>
          <w:rFonts w:ascii="IRNazanin" w:hAnsi="IRNazanin" w:eastAsia="IRNazanin" w:cs="IRNazanin"/>
          <w:lang w:bidi="fa-IR"/>
          <w:color w:val="111111"/>
          <w:sz w:val="28"/>
          <w:szCs w:val="28"/>
          <w:rtl/>
        </w:rPr>
        <w:t xml:space="preserve">ص 847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2" w:name="pg7742_69889"/>
    <w:bookmarkEnd w:id="252"/>
    <w:p>
      <w:pPr>
        <w:pStyle w:val="Heading2"/>
      </w:pPr>
      <w:bookmarkStart w:id="2703" w:name="_Toc1805"/>
      <w:r>
        <w:t>برزنجي، عبد السميع بن احمد -1338ه-</w:t>
      </w:r>
      <w:bookmarkEnd w:id="2703"/>
    </w:p>
    <w:p>
      <w:pPr>
        <w:pStyle w:val="BookText"/>
      </w:pPr>
      <w:r>
        <w:rPr>
          <w:rFonts w:ascii="Amiri" w:hAnsi="Amiri" w:eastAsia="Amiri" w:cs="Amiri"/>
          <w:lang w:bidi="ar-SA"/>
          <w:color w:val="111111"/>
          <w:sz w:val="28"/>
          <w:szCs w:val="28"/>
          <w:rtl/>
        </w:rPr>
        <w:t xml:space="preserve">العقيدة الكردية - عقيدة ملا سميع</w:t>
      </w:r>
    </w:p>
    <w:p>
      <w:pPr>
        <w:pStyle w:val="BookText"/>
      </w:pPr>
      <w:r>
        <w:rPr>
          <w:rFonts w:ascii="IRNazanin" w:hAnsi="IRNazanin" w:eastAsia="IRNazanin" w:cs="IRNazanin"/>
          <w:lang w:bidi="fa-IR"/>
          <w:color w:val="111111"/>
          <w:sz w:val="28"/>
          <w:szCs w:val="28"/>
          <w:rtl/>
        </w:rPr>
        <w:t xml:space="preserve">ج 11، ص 207.</w:t>
      </w:r>
    </w:p>
    <w:p>
      <w:pPr>
        <w:pStyle w:val="Heading2"/>
      </w:pPr>
      <w:bookmarkStart w:id="2704" w:name="_Toc1806"/>
      <w:r>
        <w:t>برزنجي ، عبد اللطيف بن عبدالرحيم .</w:t>
      </w:r>
      <w:bookmarkEnd w:id="2704"/>
    </w:p>
    <w:p>
      <w:pPr>
        <w:pStyle w:val="BookText"/>
      </w:pPr>
      <w:r>
        <w:rPr>
          <w:rFonts w:ascii="Amiri" w:hAnsi="Amiri" w:eastAsia="Amiri" w:cs="Amiri"/>
          <w:lang w:bidi="ar-SA"/>
          <w:color w:val="111111"/>
          <w:sz w:val="28"/>
          <w:szCs w:val="28"/>
          <w:rtl/>
        </w:rPr>
        <w:t xml:space="preserve">1.ديوان عبداللطيف برزنجي، ج7،</w:t>
      </w:r>
    </w:p>
    <w:p>
      <w:pPr>
        <w:pStyle w:val="BookText"/>
      </w:pPr>
      <w:r>
        <w:rPr>
          <w:rFonts w:ascii="IRNazanin" w:hAnsi="IRNazanin" w:eastAsia="IRNazanin" w:cs="IRNazanin"/>
          <w:lang w:bidi="fa-IR"/>
          <w:color w:val="111111"/>
          <w:sz w:val="28"/>
          <w:szCs w:val="28"/>
          <w:rtl/>
        </w:rPr>
        <w:t xml:space="preserve">ص 714 .</w:t>
      </w:r>
    </w:p>
    <w:p>
      <w:pPr>
        <w:pStyle w:val="BookText"/>
      </w:pPr>
      <w:r>
        <w:rPr>
          <w:rFonts w:ascii="Amiri" w:hAnsi="Amiri" w:eastAsia="Amiri" w:cs="Amiri"/>
          <w:lang w:bidi="ar-SA"/>
          <w:color w:val="111111"/>
          <w:sz w:val="28"/>
          <w:szCs w:val="28"/>
          <w:rtl/>
        </w:rPr>
        <w:t xml:space="preserve">2 .العوامل الحرفية، ج 11، ص 356.</w:t>
      </w:r>
    </w:p>
    <w:p>
      <w:pPr>
        <w:pStyle w:val="Heading2"/>
      </w:pPr>
      <w:bookmarkStart w:id="2705" w:name="_Toc1807"/>
      <w:r>
        <w:t>برزنجي ، علي بن حسن قرن 12 ه-</w:t>
      </w:r>
      <w:bookmarkEnd w:id="2705"/>
    </w:p>
    <w:p>
      <w:pPr>
        <w:pStyle w:val="BookText"/>
      </w:pPr>
      <w:r>
        <w:rPr>
          <w:rFonts w:ascii="Amiri" w:hAnsi="Amiri" w:eastAsia="Amiri" w:cs="Amiri"/>
          <w:lang w:bidi="ar-SA"/>
          <w:color w:val="111111"/>
          <w:sz w:val="28"/>
          <w:szCs w:val="28"/>
          <w:rtl/>
        </w:rPr>
        <w:t xml:space="preserve">1 .الاعراب المحلي، ج 2، ص 548.</w:t>
      </w:r>
    </w:p>
    <w:p>
      <w:pPr>
        <w:pStyle w:val="BookText"/>
      </w:pPr>
      <w:r>
        <w:rPr>
          <w:rFonts w:ascii="Amiri" w:hAnsi="Amiri" w:eastAsia="Amiri" w:cs="Amiri"/>
          <w:lang w:bidi="ar-SA"/>
          <w:color w:val="111111"/>
          <w:sz w:val="28"/>
          <w:szCs w:val="28"/>
          <w:rtl/>
        </w:rPr>
        <w:t xml:space="preserve">2 .جالية الكرب بأصحاب سيد العجم</w:t>
      </w:r>
    </w:p>
    <w:p>
      <w:pPr>
        <w:pStyle w:val="BookText"/>
      </w:pPr>
      <w:r>
        <w:rPr>
          <w:rFonts w:ascii="IRNazanin" w:hAnsi="IRNazanin" w:eastAsia="IRNazanin" w:cs="IRNazanin"/>
          <w:lang w:bidi="fa-IR"/>
          <w:color w:val="111111"/>
          <w:sz w:val="28"/>
          <w:szCs w:val="28"/>
          <w:rtl/>
        </w:rPr>
        <w:t xml:space="preserve">و العرب، ج 5، ص 239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الرسالة الوضعية جه،</w:t>
      </w:r>
    </w:p>
    <w:p>
      <w:pPr>
        <w:pStyle w:val="BookText"/>
      </w:pPr>
      <w:r>
        <w:rPr>
          <w:rFonts w:ascii="IRNazanin" w:hAnsi="IRNazanin" w:eastAsia="IRNazanin" w:cs="IRNazanin"/>
          <w:lang w:bidi="fa-IR"/>
          <w:color w:val="111111"/>
          <w:sz w:val="28"/>
          <w:szCs w:val="28"/>
          <w:rtl/>
        </w:rPr>
        <w:t xml:space="preserve">ص 876.</w:t>
      </w:r>
    </w:p>
    <w:p>
      <w:pPr>
        <w:pStyle w:val="BookText"/>
      </w:pPr>
      <w:r>
        <w:rPr>
          <w:rFonts w:ascii="Amiri" w:hAnsi="Amiri" w:eastAsia="Amiri" w:cs="Amiri"/>
          <w:lang w:bidi="ar-SA"/>
          <w:color w:val="111111"/>
          <w:sz w:val="28"/>
          <w:szCs w:val="28"/>
          <w:rtl/>
        </w:rPr>
        <w:t xml:space="preserve">4 .النحو (رسالة في)، ج 16، ص 172.</w:t>
      </w:r>
    </w:p>
    <w:p>
      <w:pPr>
        <w:pStyle w:val="BookText"/>
      </w:pPr>
      <w:r>
        <w:rPr>
          <w:rFonts w:ascii="Amiri" w:hAnsi="Amiri" w:eastAsia="Amiri" w:cs="Amiri"/>
          <w:lang w:bidi="ar-SA"/>
          <w:color w:val="111111"/>
          <w:sz w:val="28"/>
          <w:szCs w:val="28"/>
          <w:rtl/>
        </w:rPr>
        <w:t xml:space="preserve">برزنجي ، كاكا احمد بن محمّد معروف- نودهي ، احمد بن محمّد معروف</w:t>
      </w:r>
    </w:p>
    <w:p>
      <w:pPr>
        <w:pStyle w:val="Heading2"/>
      </w:pPr>
      <w:bookmarkStart w:id="2706" w:name="_Toc1808"/>
      <w:r>
        <w:t>برزنجي، محمّد بن عبدالرسول 1040 -</w:t>
      </w:r>
      <w:bookmarkEnd w:id="2706"/>
    </w:p>
    <w:p>
      <w:pPr>
        <w:pStyle w:val="BookText"/>
      </w:pPr>
      <w:r>
        <w:rPr>
          <w:rFonts w:ascii="IRNazanin" w:hAnsi="IRNazanin" w:eastAsia="IRNazanin" w:cs="IRNazanin"/>
          <w:lang w:bidi="fa-IR"/>
          <w:color w:val="111111"/>
          <w:sz w:val="28"/>
          <w:szCs w:val="28"/>
          <w:rtl/>
        </w:rPr>
        <w:t xml:space="preserve">1103 ه-</w:t>
      </w:r>
    </w:p>
    <w:p>
      <w:pPr>
        <w:pStyle w:val="BookText"/>
      </w:pPr>
      <w:r>
        <w:rPr>
          <w:rFonts w:ascii="Amiri" w:hAnsi="Amiri" w:eastAsia="Amiri" w:cs="Amiri"/>
          <w:lang w:bidi="ar-SA"/>
          <w:color w:val="111111"/>
          <w:sz w:val="28"/>
          <w:szCs w:val="28"/>
          <w:rtl/>
        </w:rPr>
        <w:t xml:space="preserve">1 .الاشاعة لاشراط الساعة، ج 2،</w:t>
      </w:r>
    </w:p>
    <w:p>
      <w:pPr>
        <w:pStyle w:val="BookText"/>
      </w:pPr>
      <w:r>
        <w:rPr>
          <w:rFonts w:ascii="IRNazanin" w:hAnsi="IRNazanin" w:eastAsia="IRNazanin" w:cs="IRNazanin"/>
          <w:lang w:bidi="fa-IR"/>
          <w:color w:val="111111"/>
          <w:sz w:val="28"/>
          <w:szCs w:val="28"/>
          <w:rtl/>
        </w:rPr>
        <w:t xml:space="preserve">ص 262 .</w:t>
      </w:r>
    </w:p>
    <w:p>
      <w:pPr>
        <w:pStyle w:val="BookText"/>
      </w:pPr>
      <w:r>
        <w:rPr>
          <w:rFonts w:ascii="Amiri" w:hAnsi="Amiri" w:eastAsia="Amiri" w:cs="Amiri"/>
          <w:lang w:bidi="ar-SA"/>
          <w:color w:val="111111"/>
          <w:sz w:val="28"/>
          <w:szCs w:val="28"/>
          <w:rtl/>
        </w:rPr>
        <w:t xml:space="preserve">2 .التاييد و النصر والعون للقائل</w:t>
      </w:r>
    </w:p>
    <w:p>
      <w:pPr>
        <w:pStyle w:val="BookText"/>
      </w:pPr>
      <w:r>
        <w:rPr>
          <w:rFonts w:ascii="Amiri" w:hAnsi="Amiri" w:eastAsia="Amiri" w:cs="Amiri"/>
          <w:lang w:bidi="ar-SA"/>
          <w:color w:val="111111"/>
          <w:sz w:val="28"/>
          <w:szCs w:val="28"/>
          <w:rtl/>
        </w:rPr>
        <w:t xml:space="preserve">بكفر ابي جهل و فرعون، ج3،</w:t>
      </w:r>
    </w:p>
    <w:p>
      <w:pPr>
        <w:pStyle w:val="BookText"/>
      </w:pPr>
      <w:r>
        <w:rPr>
          <w:rFonts w:ascii="IRNazanin" w:hAnsi="IRNazanin" w:eastAsia="IRNazanin" w:cs="IRNazanin"/>
          <w:lang w:bidi="fa-IR"/>
          <w:color w:val="111111"/>
          <w:sz w:val="28"/>
          <w:szCs w:val="28"/>
          <w:rtl/>
        </w:rPr>
        <w:t xml:space="preserve">ص 632 .</w:t>
      </w:r>
    </w:p>
    <w:p>
      <w:pPr>
        <w:pStyle w:val="BookText"/>
      </w:pPr>
      <w:r>
        <w:rPr>
          <w:rFonts w:ascii="Amiri" w:hAnsi="Amiri" w:eastAsia="Amiri" w:cs="Amiri"/>
          <w:lang w:bidi="ar-SA"/>
          <w:color w:val="111111"/>
          <w:sz w:val="28"/>
          <w:szCs w:val="28"/>
          <w:rtl/>
        </w:rPr>
        <w:t xml:space="preserve">3 .التضرع (قصيدة في)، ج 4، ص 441 .</w:t>
      </w:r>
    </w:p>
    <w:p>
      <w:pPr>
        <w:pStyle w:val="BookText"/>
      </w:pPr>
      <w:r>
        <w:rPr>
          <w:rFonts w:ascii="Amiri" w:hAnsi="Amiri" w:eastAsia="Amiri" w:cs="Amiri"/>
          <w:lang w:bidi="ar-SA"/>
          <w:color w:val="111111"/>
          <w:sz w:val="28"/>
          <w:szCs w:val="28"/>
          <w:rtl/>
        </w:rPr>
        <w:t xml:space="preserve">4 .شرح الخارق و جرح المارق في</w:t>
      </w:r>
    </w:p>
    <w:p>
      <w:pPr>
        <w:pStyle w:val="BookText"/>
      </w:pPr>
      <w:r>
        <w:rPr>
          <w:rFonts w:ascii="Amiri" w:hAnsi="Amiri" w:eastAsia="Amiri" w:cs="Amiri"/>
          <w:lang w:bidi="ar-SA"/>
          <w:color w:val="111111"/>
          <w:sz w:val="28"/>
          <w:szCs w:val="28"/>
          <w:rtl/>
        </w:rPr>
        <w:t xml:space="preserve">علامات الولي الصادق، ج9،</w:t>
      </w:r>
    </w:p>
    <w:p>
      <w:pPr>
        <w:pStyle w:val="BookText"/>
      </w:pPr>
      <w:r>
        <w:rPr>
          <w:rFonts w:ascii="IRNazanin" w:hAnsi="IRNazanin" w:eastAsia="IRNazanin" w:cs="IRNazanin"/>
          <w:lang w:bidi="fa-IR"/>
          <w:color w:val="111111"/>
          <w:sz w:val="28"/>
          <w:szCs w:val="28"/>
          <w:rtl/>
        </w:rPr>
        <w:t xml:space="preserve">ص 428.</w:t>
      </w:r>
    </w:p>
    <w:p>
      <w:pPr>
        <w:pStyle w:val="BookText"/>
      </w:pPr>
      <w:r>
        <w:rPr>
          <w:rFonts w:ascii="Amiri" w:hAnsi="Amiri" w:eastAsia="Amiri" w:cs="Amiri"/>
          <w:lang w:bidi="ar-SA"/>
          <w:color w:val="111111"/>
          <w:sz w:val="28"/>
          <w:szCs w:val="28"/>
          <w:rtl/>
        </w:rPr>
        <w:t xml:space="preserve">5.الفصول في مناقب السيد</w:t>
      </w:r>
    </w:p>
    <w:p>
      <w:pPr>
        <w:pStyle w:val="BookText"/>
      </w:pPr>
      <w:r>
        <w:rPr>
          <w:rFonts w:ascii="IRNazanin" w:hAnsi="IRNazanin" w:eastAsia="IRNazanin" w:cs="IRNazanin"/>
          <w:lang w:bidi="fa-IR"/>
          <w:color w:val="111111"/>
          <w:sz w:val="28"/>
          <w:szCs w:val="28"/>
          <w:rtl/>
        </w:rPr>
        <w:t xml:space="preserve">عبد الرسول، ج 11، ص 861.</w:t>
      </w:r>
    </w:p>
    <w:p>
      <w:pPr>
        <w:pStyle w:val="BookText"/>
      </w:pPr>
      <w:r>
        <w:rPr>
          <w:rFonts w:ascii="Amiri" w:hAnsi="Amiri" w:eastAsia="Amiri" w:cs="Amiri"/>
          <w:lang w:bidi="ar-SA"/>
          <w:color w:val="111111"/>
          <w:sz w:val="28"/>
          <w:szCs w:val="28"/>
          <w:rtl/>
        </w:rPr>
        <w:t xml:space="preserve">6 .القول السديد و النمط الجديد في رسم القرآن والتجويد، ج12،</w:t>
      </w:r>
    </w:p>
    <w:p>
      <w:pPr>
        <w:pStyle w:val="BookText"/>
      </w:pPr>
      <w:r>
        <w:rPr>
          <w:rFonts w:ascii="IRNazanin" w:hAnsi="IRNazanin" w:eastAsia="IRNazanin" w:cs="IRNazanin"/>
          <w:lang w:bidi="fa-IR"/>
          <w:color w:val="111111"/>
          <w:sz w:val="28"/>
          <w:szCs w:val="28"/>
          <w:rtl/>
        </w:rPr>
        <w:t xml:space="preserve">ص 847.</w:t>
      </w:r>
    </w:p>
    <w:p>
      <w:pPr>
        <w:pStyle w:val="BookText"/>
      </w:pPr>
      <w:r>
        <w:rPr>
          <w:rFonts w:ascii="IRNazanin" w:hAnsi="IRNazanin" w:eastAsia="IRNazanin" w:cs="IRNazanin"/>
          <w:lang w:bidi="fa-IR"/>
          <w:color w:val="111111"/>
          <w:sz w:val="28"/>
          <w:szCs w:val="28"/>
          <w:rtl/>
        </w:rPr>
        <w:t xml:space="preserve">7 .مختصر الفرائض، ج 14، ص208.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منائر سيرة الخلفاء من ذات الشفاء</w:t>
      </w:r>
    </w:p>
    <w:p>
      <w:pPr>
        <w:pStyle w:val="BookText"/>
      </w:pPr>
      <w:r>
        <w:rPr>
          <w:rFonts w:ascii="IRNazanin" w:hAnsi="IRNazanin" w:eastAsia="IRNazanin" w:cs="IRNazanin"/>
          <w:lang w:bidi="fa-IR"/>
          <w:color w:val="111111"/>
          <w:sz w:val="28"/>
          <w:szCs w:val="28"/>
          <w:rtl/>
        </w:rPr>
        <w:t xml:space="preserve">ج 15، ص 472.</w:t>
      </w:r>
    </w:p>
    <w:p>
      <w:pPr>
        <w:pStyle w:val="BookText"/>
      </w:pPr>
      <w:r>
        <w:rPr>
          <w:rFonts w:ascii="Amiri" w:hAnsi="Amiri" w:eastAsia="Amiri" w:cs="Amiri"/>
          <w:lang w:bidi="ar-SA"/>
          <w:color w:val="111111"/>
          <w:sz w:val="28"/>
          <w:szCs w:val="28"/>
          <w:rtl/>
        </w:rPr>
        <w:t xml:space="preserve">9 .نقولات في مناقب الصحابة، ج 16،</w:t>
      </w:r>
    </w:p>
    <w:p>
      <w:pPr>
        <w:pStyle w:val="BookText"/>
      </w:pPr>
      <w:r>
        <w:rPr>
          <w:rFonts w:ascii="IRNazanin" w:hAnsi="IRNazanin" w:eastAsia="IRNazanin" w:cs="IRNazanin"/>
          <w:lang w:bidi="fa-IR"/>
          <w:color w:val="111111"/>
          <w:sz w:val="28"/>
          <w:szCs w:val="28"/>
          <w:rtl/>
        </w:rPr>
        <w:t xml:space="preserve">ص 439 .</w:t>
      </w:r>
    </w:p>
    <w:p>
      <w:pPr>
        <w:pStyle w:val="BookText"/>
      </w:pPr>
      <w:r>
        <w:rPr>
          <w:rFonts w:ascii="IRNazanin" w:hAnsi="IRNazanin" w:eastAsia="IRNazanin" w:cs="IRNazanin"/>
          <w:lang w:bidi="fa-IR"/>
          <w:color w:val="111111"/>
          <w:sz w:val="28"/>
          <w:szCs w:val="28"/>
          <w:rtl/>
        </w:rPr>
        <w:t xml:space="preserve">10 .نواقض الروافض، ج 16 ، ص 547.</w:t>
      </w:r>
    </w:p>
    <w:p>
      <w:pPr>
        <w:pStyle w:val="BookText"/>
      </w:pPr>
      <w:r>
        <w:rPr>
          <w:rFonts w:ascii="Amiri" w:hAnsi="Amiri" w:eastAsia="Amiri" w:cs="Amiri"/>
          <w:lang w:bidi="ar-SA"/>
          <w:color w:val="111111"/>
          <w:sz w:val="28"/>
          <w:szCs w:val="28"/>
          <w:rtl/>
        </w:rPr>
        <w:t xml:space="preserve">برزنجي ، محمّد بن مصطفى- علوي ،</w:t>
      </w:r>
    </w:p>
    <w:p>
      <w:pPr>
        <w:pStyle w:val="BookText"/>
      </w:pPr>
      <w:r>
        <w:rPr>
          <w:rFonts w:ascii="IRNazanin" w:hAnsi="IRNazanin" w:eastAsia="IRNazanin" w:cs="IRNazanin"/>
          <w:lang w:bidi="fa-IR"/>
          <w:color w:val="111111"/>
          <w:sz w:val="28"/>
          <w:szCs w:val="28"/>
          <w:rtl/>
        </w:rPr>
        <w:t xml:space="preserve">محمد بن مصطفى</w:t>
      </w:r>
    </w:p>
    <w:p>
      <w:pPr>
        <w:pStyle w:val="Heading2"/>
      </w:pPr>
      <w:bookmarkStart w:id="2707" w:name="_Toc1809"/>
      <w:r>
        <w:t>برزنجي ، محمود قرن 13 ه-</w:t>
      </w:r>
      <w:bookmarkEnd w:id="2707"/>
    </w:p>
    <w:p>
      <w:pPr>
        <w:pStyle w:val="BookText"/>
      </w:pPr>
      <w:r>
        <w:rPr>
          <w:rFonts w:ascii="Amiri" w:hAnsi="Amiri" w:eastAsia="Amiri" w:cs="Amiri"/>
          <w:lang w:bidi="ar-SA"/>
          <w:color w:val="111111"/>
          <w:sz w:val="28"/>
          <w:szCs w:val="28"/>
          <w:rtl/>
        </w:rPr>
        <w:t xml:space="preserve">مكتوب، ج 15 ، ص 418.</w:t>
      </w:r>
    </w:p>
    <w:p>
      <w:pPr>
        <w:pStyle w:val="Heading2"/>
      </w:pPr>
      <w:bookmarkStart w:id="2708" w:name="_Toc1810"/>
      <w:r>
        <w:t>برزنجي، محمود بن اسماعیل قرن 14 ه-</w:t>
      </w:r>
      <w:bookmarkEnd w:id="2708"/>
    </w:p>
    <w:p>
      <w:pPr>
        <w:pStyle w:val="BookText"/>
      </w:pPr>
      <w:r>
        <w:rPr>
          <w:rFonts w:ascii="IRNazanin" w:hAnsi="IRNazanin" w:eastAsia="IRNazanin" w:cs="IRNazanin"/>
          <w:lang w:bidi="fa-IR"/>
          <w:color w:val="111111"/>
          <w:sz w:val="28"/>
          <w:szCs w:val="28"/>
          <w:rtl/>
        </w:rPr>
        <w:t xml:space="preserve">دیوان محمود برزنجي، ج7، ص 768.</w:t>
      </w:r>
    </w:p>
    <w:p>
      <w:pPr>
        <w:pStyle w:val="Heading2"/>
      </w:pPr>
      <w:bookmarkStart w:id="2709" w:name="_Toc1811"/>
      <w:r>
        <w:t>برزيعي ، محمّد بن قاسم</w:t>
      </w:r>
      <w:bookmarkEnd w:id="2709"/>
    </w:p>
    <w:p>
      <w:pPr>
        <w:pStyle w:val="BookText"/>
      </w:pPr>
      <w:r>
        <w:rPr>
          <w:rFonts w:ascii="Amiri" w:hAnsi="Amiri" w:eastAsia="Amiri" w:cs="Amiri"/>
          <w:lang w:bidi="ar-SA"/>
          <w:color w:val="111111"/>
          <w:sz w:val="28"/>
          <w:szCs w:val="28"/>
          <w:rtl/>
        </w:rPr>
        <w:t xml:space="preserve">إجازة لجمال الدين محمّد بن الناصر بن حمزة العلوي الحسيني العراقي</w:t>
      </w:r>
    </w:p>
    <w:p>
      <w:pPr>
        <w:pStyle w:val="BookText"/>
      </w:pPr>
      <w:r>
        <w:rPr>
          <w:rFonts w:ascii="IRNazanin" w:hAnsi="IRNazanin" w:eastAsia="IRNazanin" w:cs="IRNazanin"/>
          <w:lang w:bidi="fa-IR"/>
          <w:color w:val="111111"/>
          <w:sz w:val="28"/>
          <w:szCs w:val="28"/>
          <w:rtl/>
        </w:rPr>
        <w:t xml:space="preserve">ج 1، ص 239</w:t>
      </w:r>
    </w:p>
    <w:p>
      <w:pPr>
        <w:pStyle w:val="Heading2"/>
      </w:pPr>
      <w:bookmarkStart w:id="2710" w:name="_Toc1812"/>
      <w:r>
        <w:t>برزي ، مفرج بن ابي مفرج</w:t>
      </w:r>
      <w:bookmarkEnd w:id="2710"/>
    </w:p>
    <w:p>
      <w:pPr>
        <w:pStyle w:val="BookText"/>
      </w:pPr>
      <w:r>
        <w:rPr>
          <w:rFonts w:ascii="Amiri" w:hAnsi="Amiri" w:eastAsia="Amiri" w:cs="Amiri"/>
          <w:lang w:bidi="ar-SA"/>
          <w:color w:val="111111"/>
          <w:sz w:val="28"/>
          <w:szCs w:val="28"/>
          <w:rtl/>
        </w:rPr>
        <w:t xml:space="preserve">شرح العزي في التصريف = شرح</w:t>
      </w:r>
    </w:p>
    <w:p>
      <w:pPr>
        <w:pStyle w:val="BookText"/>
      </w:pPr>
      <w:r>
        <w:rPr>
          <w:rFonts w:ascii="Amiri" w:hAnsi="Amiri" w:eastAsia="Amiri" w:cs="Amiri"/>
          <w:lang w:bidi="ar-SA"/>
          <w:color w:val="111111"/>
          <w:sz w:val="28"/>
          <w:szCs w:val="28"/>
          <w:rtl/>
        </w:rPr>
        <w:t xml:space="preserve">تصريف العزي، ج 9، ص 707.</w:t>
      </w:r>
    </w:p>
    <w:p>
      <w:pPr>
        <w:pStyle w:val="BookText"/>
      </w:pPr>
      <w:r>
        <w:rPr>
          <w:rFonts w:ascii="Amiri" w:hAnsi="Amiri" w:eastAsia="Amiri" w:cs="Amiri"/>
          <w:lang w:bidi="ar-SA"/>
          <w:color w:val="111111"/>
          <w:sz w:val="28"/>
          <w:szCs w:val="28"/>
          <w:rtl/>
        </w:rPr>
        <w:t xml:space="preserve">برسوي، اسماعيل بن مصطفى- حقي</w:t>
      </w:r>
    </w:p>
    <w:p>
      <w:pPr>
        <w:pStyle w:val="BookText"/>
      </w:pPr>
      <w:r>
        <w:rPr>
          <w:rFonts w:ascii="Amiri" w:hAnsi="Amiri" w:eastAsia="Amiri" w:cs="Amiri"/>
          <w:lang w:bidi="ar-SA"/>
          <w:color w:val="111111"/>
          <w:sz w:val="28"/>
          <w:szCs w:val="28"/>
          <w:rtl/>
        </w:rPr>
        <w:t xml:space="preserve">برسوي، اسماعيل بن مصطفى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3" w:name="pg7742_69892"/>
    <w:bookmarkEnd w:id="253"/>
    <w:p>
      <w:pPr>
        <w:pStyle w:val="Heading2"/>
      </w:pPr>
      <w:bookmarkStart w:id="2711" w:name="_Toc1813"/>
      <w:r>
        <w:t>برسي ، بير محمّد بن موسى</w:t>
      </w:r>
      <w:bookmarkEnd w:id="2711"/>
    </w:p>
    <w:p>
      <w:pPr>
        <w:pStyle w:val="BookText"/>
      </w:pPr>
      <w:r>
        <w:rPr>
          <w:rFonts w:ascii="Amiri" w:hAnsi="Amiri" w:eastAsia="Amiri" w:cs="Amiri"/>
          <w:lang w:bidi="ar-SA"/>
          <w:color w:val="111111"/>
          <w:sz w:val="28"/>
          <w:szCs w:val="28"/>
          <w:rtl/>
        </w:rPr>
        <w:t xml:space="preserve">توريق الصكوك و ما يناسبها، جه،</w:t>
      </w:r>
    </w:p>
    <w:p>
      <w:pPr>
        <w:pStyle w:val="BookText"/>
      </w:pPr>
      <w:r>
        <w:rPr>
          <w:rFonts w:ascii="IRNazanin" w:hAnsi="IRNazanin" w:eastAsia="IRNazanin" w:cs="IRNazanin"/>
          <w:lang w:bidi="fa-IR"/>
          <w:color w:val="111111"/>
          <w:sz w:val="28"/>
          <w:szCs w:val="28"/>
          <w:rtl/>
        </w:rPr>
        <w:t xml:space="preserve">ص 160 .</w:t>
      </w:r>
    </w:p>
    <w:p>
      <w:pPr>
        <w:pStyle w:val="BookText"/>
      </w:pPr>
      <w:r>
        <w:rPr>
          <w:rFonts w:ascii="Amiri" w:hAnsi="Amiri" w:eastAsia="Amiri" w:cs="Amiri"/>
          <w:lang w:bidi="ar-SA"/>
          <w:color w:val="111111"/>
          <w:sz w:val="28"/>
          <w:szCs w:val="28"/>
          <w:rtl/>
        </w:rPr>
        <w:t xml:space="preserve">برسي حافظ رجب - حافظ برسي ، رجب بن محمّد</w:t>
      </w:r>
    </w:p>
    <w:p>
      <w:pPr>
        <w:pStyle w:val="Heading2"/>
      </w:pPr>
      <w:bookmarkStart w:id="2712" w:name="_Toc1814"/>
      <w:r>
        <w:t>برشهاوي ، عمانوئيل - 980 م</w:t>
      </w:r>
      <w:bookmarkEnd w:id="2712"/>
    </w:p>
    <w:p>
      <w:pPr>
        <w:pStyle w:val="BookText"/>
      </w:pPr>
      <w:r>
        <w:rPr>
          <w:rFonts w:ascii="Amiri" w:hAnsi="Amiri" w:eastAsia="Amiri" w:cs="Amiri"/>
          <w:lang w:bidi="ar-SA"/>
          <w:color w:val="111111"/>
          <w:sz w:val="28"/>
          <w:szCs w:val="28"/>
          <w:rtl/>
        </w:rPr>
        <w:t xml:space="preserve">الأيام الستة = تفسير لأيام الخلقة</w:t>
      </w:r>
    </w:p>
    <w:p>
      <w:pPr>
        <w:pStyle w:val="BookText"/>
      </w:pPr>
      <w:r>
        <w:rPr>
          <w:rFonts w:ascii="IRNazanin" w:hAnsi="IRNazanin" w:eastAsia="IRNazanin" w:cs="IRNazanin"/>
          <w:lang w:bidi="fa-IR"/>
          <w:color w:val="111111"/>
          <w:sz w:val="28"/>
          <w:szCs w:val="28"/>
          <w:rtl/>
        </w:rPr>
        <w:t xml:space="preserve">ج 3، ص91.</w:t>
      </w:r>
    </w:p>
    <w:p>
      <w:pPr>
        <w:pStyle w:val="Heading2"/>
      </w:pPr>
      <w:bookmarkStart w:id="2713" w:name="_Toc1815"/>
      <w:r>
        <w:t>برعي ، عبدالرحيم بن احمد - 803 ه-</w:t>
      </w:r>
      <w:bookmarkEnd w:id="27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عبد الرحيم برعي، ج7،</w:t>
      </w:r>
    </w:p>
    <w:p>
      <w:pPr>
        <w:pStyle w:val="BookText"/>
      </w:pPr>
      <w:r>
        <w:rPr>
          <w:rFonts w:ascii="IRNazanin" w:hAnsi="IRNazanin" w:eastAsia="IRNazanin" w:cs="IRNazanin"/>
          <w:lang w:bidi="fa-IR"/>
          <w:color w:val="111111"/>
          <w:sz w:val="28"/>
          <w:szCs w:val="28"/>
          <w:rtl/>
        </w:rPr>
        <w:t xml:space="preserve">ص 706.</w:t>
      </w:r>
    </w:p>
    <w:p>
      <w:pPr>
        <w:pStyle w:val="BookText"/>
      </w:pPr>
      <w:r>
        <w:rPr>
          <w:rFonts w:ascii="Amiri" w:hAnsi="Amiri" w:eastAsia="Amiri" w:cs="Amiri"/>
          <w:lang w:bidi="ar-SA"/>
          <w:color w:val="111111"/>
          <w:sz w:val="28"/>
          <w:szCs w:val="28"/>
          <w:rtl/>
        </w:rPr>
        <w:t xml:space="preserve">2 .القصيدة الهائية، ج 12، ص 724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رائية، ج 12، ص 672.</w:t>
      </w:r>
    </w:p>
    <w:p>
      <w:pPr>
        <w:pStyle w:val="Heading2"/>
      </w:pPr>
      <w:bookmarkStart w:id="2714" w:name="_Toc1816"/>
      <w:r>
        <w:t>برغاني ، اسحاق بن محمّد</w:t>
      </w:r>
      <w:bookmarkEnd w:id="2714"/>
    </w:p>
    <w:p>
      <w:pPr>
        <w:pStyle w:val="BookText"/>
      </w:pPr>
      <w:r>
        <w:rPr>
          <w:rFonts w:ascii="Amiri" w:hAnsi="Amiri" w:eastAsia="Amiri" w:cs="Amiri"/>
          <w:lang w:bidi="ar-SA"/>
          <w:color w:val="111111"/>
          <w:sz w:val="28"/>
          <w:szCs w:val="28"/>
          <w:rtl/>
        </w:rPr>
        <w:t xml:space="preserve">الخلل الواقع في الصلاة رسالة في)</w:t>
      </w:r>
    </w:p>
    <w:p>
      <w:pPr>
        <w:pStyle w:val="BookText"/>
      </w:pPr>
      <w:r>
        <w:rPr>
          <w:rFonts w:ascii="IRNazanin" w:hAnsi="IRNazanin" w:eastAsia="IRNazanin" w:cs="IRNazanin"/>
          <w:lang w:bidi="fa-IR"/>
          <w:color w:val="111111"/>
          <w:sz w:val="28"/>
          <w:szCs w:val="28"/>
          <w:rtl/>
        </w:rPr>
        <w:t xml:space="preserve">ج 7، ص 157 .</w:t>
      </w:r>
    </w:p>
    <w:p>
      <w:pPr>
        <w:pStyle w:val="BookText"/>
      </w:pPr>
      <w:r>
        <w:rPr>
          <w:rFonts w:ascii="Amiri" w:hAnsi="Amiri" w:eastAsia="Amiri" w:cs="Amiri"/>
          <w:lang w:bidi="ar-SA"/>
          <w:color w:val="111111"/>
          <w:sz w:val="28"/>
          <w:szCs w:val="28"/>
          <w:rtl/>
        </w:rPr>
        <w:t xml:space="preserve">برغاني ، عباس بن جبرئيل - حسيني برغاني</w:t>
      </w:r>
    </w:p>
    <w:p>
      <w:pPr>
        <w:pStyle w:val="BookText"/>
      </w:pPr>
      <w:r>
        <w:rPr>
          <w:rFonts w:ascii="Amiri" w:hAnsi="Amiri" w:eastAsia="Amiri" w:cs="Amiri"/>
          <w:lang w:bidi="ar-SA"/>
          <w:color w:val="111111"/>
          <w:sz w:val="28"/>
          <w:szCs w:val="28"/>
          <w:rtl/>
        </w:rPr>
        <w:t xml:space="preserve">عباس بن جبرئيل</w:t>
      </w:r>
    </w:p>
    <w:p>
      <w:pPr>
        <w:pStyle w:val="Heading2"/>
      </w:pPr>
      <w:bookmarkStart w:id="2715" w:name="_Toc1817"/>
      <w:r>
        <w:t>برغاني ، محمّد تقي بن محمّد، 1184 -</w:t>
      </w:r>
      <w:bookmarkEnd w:id="2715"/>
    </w:p>
    <w:p>
      <w:pPr>
        <w:pStyle w:val="BookText"/>
      </w:pPr>
      <w:r>
        <w:rPr>
          <w:rFonts w:ascii="IRNazanin" w:hAnsi="IRNazanin" w:eastAsia="IRNazanin" w:cs="IRNazanin"/>
          <w:lang w:bidi="fa-IR"/>
          <w:color w:val="111111"/>
          <w:sz w:val="28"/>
          <w:szCs w:val="28"/>
          <w:rtl/>
        </w:rPr>
        <w:t xml:space="preserve">1264ه-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الديات، ج 7، ص 494.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الاصول، ج 11، ص 395.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مجالس المتقين، ج13، ص 804.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منهج الاجتهاد في شرح شرايع</w:t>
      </w:r>
    </w:p>
    <w:p>
      <w:pPr>
        <w:pStyle w:val="BookText"/>
      </w:pPr>
      <w:r>
        <w:rPr>
          <w:rFonts w:ascii="IRNazanin" w:hAnsi="IRNazanin" w:eastAsia="IRNazanin" w:cs="IRNazanin"/>
          <w:lang w:bidi="fa-IR"/>
          <w:color w:val="111111"/>
          <w:sz w:val="28"/>
          <w:szCs w:val="28"/>
          <w:rtl/>
        </w:rPr>
        <w:t xml:space="preserve">الاسلام، ج 15، ص791</w:t>
      </w:r>
    </w:p>
    <w:p>
      <w:pPr>
        <w:pStyle w:val="Heading2"/>
      </w:pPr>
      <w:bookmarkStart w:id="2716" w:name="_Toc1818"/>
      <w:r>
        <w:t>برغاني محمّد صالح بن محمّد -1283ه-</w:t>
      </w:r>
      <w:bookmarkEnd w:id="27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بحر العرفان و معدن الايمان في تفسير القرآن، ج3، ص221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ذخيرة المعاد، ج 7، ص 833.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خطب نهج البلاغة، ج 9،</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الضوابط الكلية في المسائل الأصولية</w:t>
      </w:r>
    </w:p>
    <w:p>
      <w:pPr>
        <w:pStyle w:val="BookText"/>
      </w:pPr>
      <w:r>
        <w:rPr>
          <w:rFonts w:ascii="IRNazanin" w:hAnsi="IRNazanin" w:eastAsia="IRNazanin" w:cs="IRNazanin"/>
          <w:lang w:bidi="fa-IR"/>
          <w:color w:val="111111"/>
          <w:sz w:val="28"/>
          <w:szCs w:val="28"/>
          <w:rtl/>
        </w:rPr>
        <w:t xml:space="preserve">ج 10، ص 710.</w:t>
      </w:r>
    </w:p>
    <w:p>
      <w:pPr>
        <w:pStyle w:val="BookText"/>
      </w:pPr>
      <w:r>
        <w:rPr>
          <w:rFonts w:ascii="Amiri" w:hAnsi="Amiri" w:eastAsia="Amiri" w:cs="Amiri"/>
          <w:lang w:bidi="ar-SA"/>
          <w:color w:val="111111"/>
          <w:sz w:val="28"/>
          <w:szCs w:val="28"/>
          <w:rtl/>
        </w:rPr>
        <w:t xml:space="preserve">5 .غنيمة المعاد في شرح الارشاد، ج 11،</w:t>
      </w:r>
    </w:p>
    <w:p>
      <w:pPr>
        <w:pStyle w:val="BookText"/>
      </w:pPr>
      <w:r>
        <w:rPr>
          <w:rFonts w:ascii="IRNazanin" w:hAnsi="IRNazanin" w:eastAsia="IRNazanin" w:cs="IRNazanin"/>
          <w:lang w:bidi="fa-IR"/>
          <w:color w:val="111111"/>
          <w:sz w:val="28"/>
          <w:szCs w:val="28"/>
          <w:rtl/>
        </w:rPr>
        <w:t xml:space="preserve">ص 537.</w:t>
      </w:r>
    </w:p>
    <w:p>
      <w:pPr>
        <w:pStyle w:val="BookText"/>
      </w:pPr>
      <w:r>
        <w:rPr>
          <w:rFonts w:ascii="Amiri" w:hAnsi="Amiri" w:eastAsia="Amiri" w:cs="Amiri"/>
          <w:lang w:bidi="ar-SA"/>
          <w:color w:val="111111"/>
          <w:sz w:val="28"/>
          <w:szCs w:val="28"/>
          <w:rtl/>
        </w:rPr>
        <w:t xml:space="preserve">6 .كنز الاخبار، ج13، ص 400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الباكين في مصيبة ساداتنا</w:t>
      </w:r>
    </w:p>
    <w:p>
      <w:pPr>
        <w:pStyle w:val="BookText"/>
      </w:pPr>
      <w:r>
        <w:rPr>
          <w:rFonts w:ascii="Amiri" w:hAnsi="Amiri" w:eastAsia="Amiri" w:cs="Amiri"/>
          <w:lang w:bidi="ar-SA"/>
          <w:color w:val="111111"/>
          <w:sz w:val="28"/>
          <w:szCs w:val="28"/>
          <w:rtl/>
        </w:rPr>
        <w:t xml:space="preserve">الاكرمين، ج 13، ص 404.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كنز الزائرين في زيارات ساداتنا</w:t>
      </w:r>
    </w:p>
    <w:p>
      <w:pPr>
        <w:pStyle w:val="BookText"/>
      </w:pPr>
      <w:r>
        <w:rPr>
          <w:rFonts w:ascii="Amiri" w:hAnsi="Amiri" w:eastAsia="Amiri" w:cs="Amiri"/>
          <w:lang w:bidi="ar-SA"/>
          <w:color w:val="111111"/>
          <w:sz w:val="28"/>
          <w:szCs w:val="28"/>
          <w:rtl/>
        </w:rPr>
        <w:t xml:space="preserve">الاكرمين، ج13، ص 422.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كنز العباد = اعمال السنة، ج13،</w:t>
      </w:r>
    </w:p>
    <w:p>
      <w:pPr>
        <w:pStyle w:val="BookText"/>
      </w:pPr>
      <w:r>
        <w:rPr>
          <w:rFonts w:ascii="IRNazanin" w:hAnsi="IRNazanin" w:eastAsia="IRNazanin" w:cs="IRNazanin"/>
          <w:lang w:bidi="fa-IR"/>
          <w:color w:val="111111"/>
          <w:sz w:val="28"/>
          <w:szCs w:val="28"/>
          <w:rtl/>
        </w:rPr>
        <w:t xml:space="preserve">ص 424 .</w:t>
      </w:r>
    </w:p>
    <w:p>
      <w:pPr>
        <w:pStyle w:val="BookText"/>
      </w:pPr>
      <w:r>
        <w:rPr>
          <w:rFonts w:ascii="Amiri" w:hAnsi="Amiri" w:eastAsia="Amiri" w:cs="Amiri"/>
          <w:lang w:bidi="ar-SA"/>
          <w:color w:val="111111"/>
          <w:sz w:val="28"/>
          <w:szCs w:val="28"/>
          <w:rtl/>
        </w:rPr>
        <w:t xml:space="preserve">10 .كنز الواعظين في احوال الائمة الطاهرين، ج13، ص 440.</w:t>
      </w:r>
    </w:p>
    <w:p>
      <w:pPr>
        <w:pStyle w:val="BookText"/>
      </w:pPr>
      <w:r>
        <w:rPr>
          <w:rFonts w:ascii="IRNazanin" w:hAnsi="IRNazanin" w:eastAsia="IRNazanin" w:cs="IRNazanin"/>
          <w:lang w:bidi="fa-IR"/>
          <w:color w:val="111111"/>
          <w:sz w:val="28"/>
          <w:szCs w:val="28"/>
          <w:rtl/>
        </w:rPr>
        <w:t xml:space="preserve">11 .مجمع الدرر، ج 13، ص 850 850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مجمع المصائب، ج 13، ص 863.</w:t>
      </w:r>
    </w:p>
    <w:p>
      <w:pPr>
        <w:pStyle w:val="BookText"/>
      </w:pPr>
      <w:r>
        <w:rPr>
          <w:rFonts w:ascii="Amiri" w:hAnsi="Amiri" w:eastAsia="Amiri" w:cs="Amiri"/>
          <w:lang w:bidi="ar-SA"/>
          <w:color w:val="111111"/>
          <w:sz w:val="28"/>
          <w:szCs w:val="28"/>
          <w:rtl/>
        </w:rPr>
        <w:t xml:space="preserve">13 .مخزن البكاء، ج 14 ، ص290.</w:t>
      </w:r>
    </w:p>
    <w:p>
      <w:pPr>
        <w:pStyle w:val="BookText"/>
      </w:pPr>
      <w:r>
        <w:rPr>
          <w:rFonts w:ascii="Amiri" w:hAnsi="Amiri" w:eastAsia="Amiri" w:cs="Amiri"/>
          <w:lang w:bidi="ar-SA"/>
          <w:color w:val="111111"/>
          <w:sz w:val="28"/>
          <w:szCs w:val="28"/>
          <w:rtl/>
        </w:rPr>
        <w:t xml:space="preserve">14 .مسلك الراشدين في احكام الدين</w:t>
      </w:r>
    </w:p>
    <w:p>
      <w:pPr>
        <w:pStyle w:val="BookText"/>
      </w:pPr>
      <w:r>
        <w:rPr>
          <w:rFonts w:ascii="IRNazanin" w:hAnsi="IRNazanin" w:eastAsia="IRNazanin" w:cs="IRNazanin"/>
          <w:lang w:bidi="fa-IR"/>
          <w:color w:val="111111"/>
          <w:sz w:val="28"/>
          <w:szCs w:val="28"/>
          <w:rtl/>
        </w:rPr>
        <w:t xml:space="preserve">ج 14، ص 583.</w:t>
      </w:r>
    </w:p>
    <w:p>
      <w:pPr>
        <w:pStyle w:val="BookText"/>
      </w:pPr>
      <w:r>
        <w:rPr>
          <w:rFonts w:ascii="Amiri" w:hAnsi="Amiri" w:eastAsia="Amiri" w:cs="Amiri"/>
          <w:lang w:bidi="ar-SA"/>
          <w:color w:val="111111"/>
          <w:sz w:val="28"/>
          <w:szCs w:val="28"/>
          <w:rtl/>
        </w:rPr>
        <w:t xml:space="preserve">15 .مسلك الرشاد في شرح الأرشاد</w:t>
      </w:r>
    </w:p>
    <w:p>
      <w:pPr>
        <w:pStyle w:val="BookText"/>
      </w:pPr>
      <w:r>
        <w:rPr>
          <w:rFonts w:ascii="IRNazanin" w:hAnsi="IRNazanin" w:eastAsia="IRNazanin" w:cs="IRNazanin"/>
          <w:lang w:bidi="fa-IR"/>
          <w:color w:val="111111"/>
          <w:sz w:val="28"/>
          <w:szCs w:val="28"/>
          <w:rtl/>
        </w:rPr>
        <w:t xml:space="preserve">ج 14، ص 584.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مصباح الجنان لايضاح اسرار</w:t>
      </w:r>
    </w:p>
    <w:p>
      <w:pPr>
        <w:pStyle w:val="BookText"/>
      </w:pPr>
      <w:r>
        <w:rPr>
          <w:rFonts w:ascii="IRNazanin" w:hAnsi="IRNazanin" w:eastAsia="IRNazanin" w:cs="IRNazanin"/>
          <w:lang w:bidi="fa-IR"/>
          <w:color w:val="111111"/>
          <w:sz w:val="28"/>
          <w:szCs w:val="28"/>
          <w:rtl/>
        </w:rPr>
        <w:t xml:space="preserve">القرآن، ج 14، ص 704.</w:t>
      </w:r>
    </w:p>
    <w:p>
      <w:pPr>
        <w:pStyle w:val="BookText"/>
      </w:pPr>
      <w:r>
        <w:rPr>
          <w:rFonts w:ascii="Amiri" w:hAnsi="Amiri" w:eastAsia="Amiri" w:cs="Amiri"/>
          <w:lang w:bidi="ar-SA"/>
          <w:color w:val="111111"/>
          <w:sz w:val="28"/>
          <w:szCs w:val="28"/>
          <w:rtl/>
        </w:rPr>
        <w:t xml:space="preserve">17 .معدن البكاء في مقتل سيد</w:t>
      </w:r>
    </w:p>
    <w:p>
      <w:pPr>
        <w:pStyle w:val="BookText"/>
      </w:pPr>
      <w:r>
        <w:rPr>
          <w:rFonts w:ascii="IRNazanin" w:hAnsi="IRNazanin" w:eastAsia="IRNazanin" w:cs="IRNazanin"/>
          <w:lang w:bidi="fa-IR"/>
          <w:color w:val="111111"/>
          <w:sz w:val="28"/>
          <w:szCs w:val="28"/>
          <w:rtl/>
        </w:rPr>
        <w:t xml:space="preserve">الشهداء، ج 15 ، ص 24.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4" w:name="pg7742_69894"/>
    <w:bookmarkEnd w:id="254"/>
    <w:p>
      <w:pPr>
        <w:pStyle w:val="BookText"/>
      </w:pPr>
      <w:r>
        <w:rPr>
          <w:rFonts w:ascii="Amiri" w:hAnsi="Amiri" w:eastAsia="Amiri" w:cs="Amiri"/>
          <w:lang w:bidi="ar-SA"/>
          <w:color w:val="111111"/>
          <w:sz w:val="28"/>
          <w:szCs w:val="28"/>
          <w:rtl/>
        </w:rPr>
        <w:t xml:space="preserve">18 .مفتاح البكاء في مصيبة خامس آل</w:t>
      </w:r>
    </w:p>
    <w:p>
      <w:pPr>
        <w:pStyle w:val="BookText"/>
      </w:pPr>
      <w:r>
        <w:rPr>
          <w:rFonts w:ascii="IRNazanin" w:hAnsi="IRNazanin" w:eastAsia="IRNazanin" w:cs="IRNazanin"/>
          <w:lang w:bidi="fa-IR"/>
          <w:color w:val="111111"/>
          <w:sz w:val="28"/>
          <w:szCs w:val="28"/>
          <w:rtl/>
        </w:rPr>
        <w:t xml:space="preserve">العباء، ج 15 ، ص 187.</w:t>
      </w:r>
    </w:p>
    <w:p>
      <w:pPr>
        <w:pStyle w:val="BookText"/>
      </w:pPr>
      <w:r>
        <w:rPr>
          <w:rFonts w:ascii="Amiri" w:hAnsi="Amiri" w:eastAsia="Amiri" w:cs="Amiri"/>
          <w:lang w:bidi="ar-SA"/>
          <w:color w:val="111111"/>
          <w:sz w:val="28"/>
          <w:szCs w:val="28"/>
          <w:rtl/>
        </w:rPr>
        <w:t xml:space="preserve">19 مفتاح الجنان في حل رموز القرآن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البرغاني، ج15، ص 190.</w:t>
      </w:r>
    </w:p>
    <w:p>
      <w:pPr>
        <w:pStyle w:val="BookText"/>
      </w:pPr>
      <w:r>
        <w:rPr>
          <w:rFonts w:ascii="Amiri" w:hAnsi="Amiri" w:eastAsia="Amiri" w:cs="Amiri"/>
          <w:lang w:bidi="ar-SA"/>
          <w:color w:val="111111"/>
          <w:sz w:val="28"/>
          <w:szCs w:val="28"/>
          <w:rtl/>
        </w:rPr>
        <w:t xml:space="preserve">20 .منبع البكاء في مقتل سيّد الشهداء</w:t>
      </w:r>
    </w:p>
    <w:p>
      <w:pPr>
        <w:pStyle w:val="BookText"/>
      </w:pPr>
      <w:r>
        <w:rPr>
          <w:rFonts w:ascii="IRNazanin" w:hAnsi="IRNazanin" w:eastAsia="IRNazanin" w:cs="IRNazanin"/>
          <w:lang w:bidi="fa-IR"/>
          <w:color w:val="111111"/>
          <w:sz w:val="28"/>
          <w:szCs w:val="28"/>
          <w:rtl/>
        </w:rPr>
        <w:t xml:space="preserve">ج 15، ص 586.</w:t>
      </w:r>
    </w:p>
    <w:p>
      <w:pPr>
        <w:pStyle w:val="BookText"/>
      </w:pPr>
      <w:r>
        <w:rPr>
          <w:rFonts w:ascii="Amiri" w:hAnsi="Amiri" w:eastAsia="Amiri" w:cs="Amiri"/>
          <w:lang w:bidi="ar-SA"/>
          <w:color w:val="111111"/>
          <w:sz w:val="28"/>
          <w:szCs w:val="28"/>
          <w:rtl/>
        </w:rPr>
        <w:t xml:space="preserve">21 .منهج البكاء، ج 15 ، ص 793.</w:t>
      </w:r>
    </w:p>
    <w:p>
      <w:pPr>
        <w:pStyle w:val="Heading2"/>
      </w:pPr>
      <w:bookmarkStart w:id="2717" w:name="_Toc1819"/>
      <w:r>
        <w:t>برغاني محمّد علي بن محمّد - 1272 ه-</w:t>
      </w:r>
      <w:bookmarkEnd w:id="27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رياض الاحزان، ج8، ص 476.</w:t>
      </w:r>
    </w:p>
    <w:p>
      <w:pPr>
        <w:pStyle w:val="BookText"/>
      </w:pPr>
      <w:r>
        <w:rPr>
          <w:rFonts w:ascii="Amiri" w:hAnsi="Amiri" w:eastAsia="Amiri" w:cs="Amiri"/>
          <w:lang w:bidi="ar-SA"/>
          <w:color w:val="111111"/>
          <w:sz w:val="28"/>
          <w:szCs w:val="28"/>
          <w:rtl/>
        </w:rPr>
        <w:t xml:space="preserve">2 .رياض الاحزان - جنة الرضوان لاهل الايمان والعرفان، ج8، ص 476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لسان العارفين، ج13، ص 572.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هموم العارفين و اكسير الصادقين</w:t>
      </w:r>
    </w:p>
    <w:p>
      <w:pPr>
        <w:pStyle w:val="BookText"/>
      </w:pPr>
      <w:r>
        <w:rPr>
          <w:rFonts w:ascii="IRNazanin" w:hAnsi="IRNazanin" w:eastAsia="IRNazanin" w:cs="IRNazanin"/>
          <w:lang w:bidi="fa-IR"/>
          <w:color w:val="111111"/>
          <w:sz w:val="28"/>
          <w:szCs w:val="28"/>
          <w:rtl/>
        </w:rPr>
        <w:t xml:space="preserve">ج 16، ص 654 .</w:t>
      </w:r>
    </w:p>
    <w:p>
      <w:pPr>
        <w:pStyle w:val="BookText"/>
      </w:pPr>
      <w:r>
        <w:rPr>
          <w:rFonts w:ascii="IRNazanin" w:hAnsi="IRNazanin" w:eastAsia="IRNazanin" w:cs="IRNazanin"/>
          <w:lang w:bidi="fa-IR"/>
          <w:color w:val="111111"/>
          <w:sz w:val="28"/>
          <w:szCs w:val="28"/>
          <w:rtl/>
        </w:rPr>
        <w:t xml:space="preserve">برغمه اي ، ابراهيم بن قره مصطفی -شیخ زاده ، ابراهيم بن قره مصطفى</w:t>
      </w:r>
    </w:p>
    <w:p>
      <w:pPr>
        <w:pStyle w:val="Heading2"/>
      </w:pPr>
      <w:bookmarkStart w:id="2718" w:name="_Toc1820"/>
      <w:r>
        <w:t>برقعي ، علي اكبر بن رضي الدين</w:t>
      </w:r>
      <w:bookmarkEnd w:id="2718"/>
    </w:p>
    <w:p>
      <w:pPr>
        <w:pStyle w:val="BookText"/>
      </w:pPr>
      <w:r>
        <w:rPr>
          <w:rFonts w:ascii="IRNazanin" w:hAnsi="IRNazanin" w:eastAsia="IRNazanin" w:cs="IRNazanin"/>
          <w:lang w:bidi="fa-IR"/>
          <w:color w:val="111111"/>
          <w:sz w:val="28"/>
          <w:szCs w:val="28"/>
          <w:rtl/>
        </w:rPr>
        <w:t xml:space="preserve">1317 ق 14 ه-</w:t>
      </w:r>
    </w:p>
    <w:p>
      <w:pPr>
        <w:pStyle w:val="BookText"/>
      </w:pPr>
      <w:r>
        <w:rPr>
          <w:rFonts w:ascii="Amiri" w:hAnsi="Amiri" w:eastAsia="Amiri" w:cs="Amiri"/>
          <w:lang w:bidi="ar-SA"/>
          <w:color w:val="111111"/>
          <w:sz w:val="28"/>
          <w:szCs w:val="28"/>
          <w:rtl/>
        </w:rPr>
        <w:t xml:space="preserve">الامامة (رسالة في)، ج2، ص 734.</w:t>
      </w:r>
    </w:p>
    <w:p>
      <w:pPr>
        <w:pStyle w:val="Heading2"/>
      </w:pPr>
      <w:bookmarkStart w:id="2719" w:name="_Toc1821"/>
      <w:r>
        <w:t>برقي ، احمد بن محمّد - 274 ه-</w:t>
      </w:r>
      <w:bookmarkEnd w:id="2719"/>
    </w:p>
    <w:p>
      <w:pPr>
        <w:pStyle w:val="BookText"/>
      </w:pPr>
      <w:r>
        <w:rPr>
          <w:rFonts w:ascii="Amiri" w:hAnsi="Amiri" w:eastAsia="Amiri" w:cs="Amiri"/>
          <w:lang w:bidi="ar-SA"/>
          <w:color w:val="111111"/>
          <w:sz w:val="28"/>
          <w:szCs w:val="28"/>
          <w:rtl/>
        </w:rPr>
        <w:t xml:space="preserve">1 .رجال البرقي = طبقات الرجال</w:t>
      </w:r>
    </w:p>
    <w:p>
      <w:pPr>
        <w:pStyle w:val="BookText"/>
      </w:pPr>
      <w:r>
        <w:rPr>
          <w:rFonts w:ascii="IRNazanin" w:hAnsi="IRNazanin" w:eastAsia="IRNazanin" w:cs="IRNazanin"/>
          <w:lang w:bidi="fa-IR"/>
          <w:color w:val="111111"/>
          <w:sz w:val="28"/>
          <w:szCs w:val="28"/>
          <w:rtl/>
        </w:rPr>
        <w:t xml:space="preserve">ج 8، ص 54.</w:t>
      </w:r>
    </w:p>
    <w:p>
      <w:pPr>
        <w:pStyle w:val="BookText"/>
      </w:pPr>
      <w:r>
        <w:rPr>
          <w:rFonts w:ascii="IRNazanin" w:hAnsi="IRNazanin" w:eastAsia="IRNazanin" w:cs="IRNazanin"/>
          <w:lang w:bidi="fa-IR"/>
          <w:color w:val="111111"/>
          <w:sz w:val="28"/>
          <w:szCs w:val="28"/>
          <w:rtl/>
        </w:rPr>
        <w:t xml:space="preserve">2 .المحاسن = المحاسن و الآداب، ج 14،</w:t>
      </w:r>
    </w:p>
    <w:p>
      <w:pPr>
        <w:pStyle w:val="BookText"/>
      </w:pPr>
      <w:r>
        <w:rPr>
          <w:rFonts w:ascii="IRNazanin" w:hAnsi="IRNazanin" w:eastAsia="IRNazanin" w:cs="IRNazanin"/>
          <w:lang w:bidi="fa-IR"/>
          <w:color w:val="111111"/>
          <w:sz w:val="28"/>
          <w:szCs w:val="28"/>
          <w:rtl/>
        </w:rPr>
        <w:t xml:space="preserve">ص 89</w:t>
      </w:r>
    </w:p>
    <w:p>
      <w:pPr>
        <w:pStyle w:val="Heading2"/>
      </w:pPr>
      <w:bookmarkStart w:id="2720" w:name="_Toc1822"/>
      <w:r>
        <w:t>برقي ، محمّد بن خالد، قرن 2 ه-</w:t>
      </w:r>
      <w:bookmarkEnd w:id="2720"/>
    </w:p>
    <w:p>
      <w:pPr>
        <w:pStyle w:val="BookText"/>
      </w:pPr>
      <w:r>
        <w:rPr>
          <w:rFonts w:ascii="IRNazanin" w:hAnsi="IRNazanin" w:eastAsia="IRNazanin" w:cs="IRNazanin"/>
          <w:lang w:bidi="fa-IR"/>
          <w:color w:val="111111"/>
          <w:sz w:val="28"/>
          <w:szCs w:val="28"/>
          <w:rtl/>
        </w:rPr>
        <w:t xml:space="preserve">المحاسن، ج 14، ص89.</w:t>
      </w:r>
    </w:p>
    <w:p>
      <w:pPr>
        <w:pStyle w:val="BookText"/>
      </w:pPr>
      <w:r>
        <w:rPr>
          <w:rFonts w:ascii="Amiri" w:hAnsi="Amiri" w:eastAsia="Amiri" w:cs="Amiri"/>
          <w:lang w:bidi="ar-SA"/>
          <w:color w:val="111111"/>
          <w:sz w:val="28"/>
          <w:szCs w:val="28"/>
          <w:rtl/>
        </w:rPr>
        <w:t xml:space="preserve">بركات بن احمد دمشقي (ابن الكيال) -ابن كيال ، بركات بن احمد</w:t>
      </w:r>
    </w:p>
    <w:p>
      <w:pPr>
        <w:pStyle w:val="BookText"/>
      </w:pPr>
      <w:r>
        <w:rPr>
          <w:rFonts w:ascii="Amiri" w:hAnsi="Amiri" w:eastAsia="Amiri" w:cs="Amiri"/>
          <w:lang w:bidi="ar-SA"/>
          <w:color w:val="111111"/>
          <w:sz w:val="28"/>
          <w:szCs w:val="28"/>
          <w:rtl/>
        </w:rPr>
        <w:t xml:space="preserve">بركات بن يوسف عريشة</w:t>
      </w:r>
    </w:p>
    <w:p>
      <w:pPr>
        <w:pStyle w:val="BookText"/>
      </w:pPr>
      <w:r>
        <w:rPr>
          <w:rFonts w:ascii="Amiri" w:hAnsi="Amiri" w:eastAsia="Amiri" w:cs="Amiri"/>
          <w:lang w:bidi="ar-SA"/>
          <w:color w:val="111111"/>
          <w:sz w:val="28"/>
          <w:szCs w:val="28"/>
          <w:rtl/>
        </w:rPr>
        <w:t xml:space="preserve">هوريني -هوريني ، بركات بن يوسف عريشة</w:t>
      </w:r>
    </w:p>
    <w:p>
      <w:pPr>
        <w:pStyle w:val="Heading2"/>
      </w:pPr>
      <w:bookmarkStart w:id="2721" w:name="_Toc1823"/>
      <w:r>
        <w:t>بركاتي، موسى بن احمد - 1142 ه-</w:t>
      </w:r>
      <w:bookmarkEnd w:id="2721"/>
    </w:p>
    <w:p>
      <w:pPr>
        <w:pStyle w:val="BookText"/>
      </w:pPr>
      <w:r>
        <w:rPr>
          <w:rFonts w:ascii="Amiri" w:hAnsi="Amiri" w:eastAsia="Amiri" w:cs="Amiri"/>
          <w:lang w:bidi="ar-SA"/>
          <w:color w:val="111111"/>
          <w:sz w:val="28"/>
          <w:szCs w:val="28"/>
          <w:rtl/>
        </w:rPr>
        <w:t xml:space="preserve">شرح كلمة التوحيد، ج 10، ص 61.</w:t>
      </w:r>
    </w:p>
    <w:p>
      <w:pPr>
        <w:pStyle w:val="BookText"/>
      </w:pPr>
      <w:r>
        <w:rPr>
          <w:rFonts w:ascii="IRNazanin" w:hAnsi="IRNazanin" w:eastAsia="IRNazanin" w:cs="IRNazanin"/>
          <w:lang w:bidi="fa-IR"/>
          <w:color w:val="111111"/>
          <w:sz w:val="28"/>
          <w:szCs w:val="28"/>
          <w:rtl/>
        </w:rPr>
        <w:t xml:space="preserve">بركاني پهلواني ، موسی بن عبدالله -پهلواني</w:t>
      </w:r>
    </w:p>
    <w:p>
      <w:pPr>
        <w:pStyle w:val="BookText"/>
      </w:pPr>
      <w:r>
        <w:rPr>
          <w:rFonts w:ascii="IRNazanin" w:hAnsi="IRNazanin" w:eastAsia="IRNazanin" w:cs="IRNazanin"/>
          <w:lang w:bidi="fa-IR"/>
          <w:color w:val="111111"/>
          <w:sz w:val="28"/>
          <w:szCs w:val="28"/>
          <w:rtl/>
        </w:rPr>
        <w:t xml:space="preserve">، موسى بن عبدالله</w:t>
      </w:r>
    </w:p>
    <w:p>
      <w:pPr>
        <w:pStyle w:val="Heading2"/>
      </w:pPr>
      <w:bookmarkStart w:id="2722" w:name="_Toc1824"/>
      <w:r>
        <w:t>بركلي ، محمّد بن پيرعلي 929 - 981 ه-</w:t>
      </w:r>
      <w:bookmarkEnd w:id="2722"/>
    </w:p>
    <w:p>
      <w:pPr>
        <w:pStyle w:val="BookText"/>
      </w:pPr>
      <w:r>
        <w:rPr>
          <w:rFonts w:ascii="IRNazanin" w:hAnsi="IRNazanin" w:eastAsia="IRNazanin" w:cs="IRNazanin"/>
          <w:lang w:bidi="fa-IR"/>
          <w:color w:val="111111"/>
          <w:sz w:val="28"/>
          <w:szCs w:val="28"/>
          <w:rtl/>
        </w:rPr>
        <w:t xml:space="preserve">1 .آداب البحث، ج 1، ص20.</w:t>
      </w:r>
    </w:p>
    <w:p>
      <w:pPr>
        <w:pStyle w:val="BookText"/>
      </w:pPr>
      <w:r>
        <w:rPr>
          <w:rFonts w:ascii="Amiri" w:hAnsi="Amiri" w:eastAsia="Amiri" w:cs="Amiri"/>
          <w:lang w:bidi="ar-SA"/>
          <w:color w:val="111111"/>
          <w:sz w:val="28"/>
          <w:szCs w:val="28"/>
          <w:rtl/>
        </w:rPr>
        <w:t xml:space="preserve">2 .ابطال اتخاذ القرآن العظيم مكتسبا لجمع الدنيا (رسالة في)، ج1،</w:t>
      </w:r>
    </w:p>
    <w:p>
      <w:pPr>
        <w:pStyle w:val="BookText"/>
      </w:pPr>
      <w:r>
        <w:rPr>
          <w:rFonts w:ascii="IRNazanin" w:hAnsi="IRNazanin" w:eastAsia="IRNazanin" w:cs="IRNazanin"/>
          <w:lang w:bidi="fa-IR"/>
          <w:color w:val="111111"/>
          <w:sz w:val="28"/>
          <w:szCs w:val="28"/>
          <w:rtl/>
        </w:rPr>
        <w:t xml:space="preserve">ص 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الاربعون حديثاً، ج1، ص697.</w:t>
      </w:r>
    </w:p>
    <w:p>
      <w:pPr>
        <w:pStyle w:val="BookText"/>
      </w:pPr>
      <w:r>
        <w:rPr>
          <w:rFonts w:ascii="Amiri" w:hAnsi="Amiri" w:eastAsia="Amiri" w:cs="Amiri"/>
          <w:lang w:bidi="ar-SA"/>
          <w:color w:val="111111"/>
          <w:sz w:val="28"/>
          <w:szCs w:val="28"/>
          <w:rtl/>
        </w:rPr>
        <w:t xml:space="preserve">4 .اظهار الاسرار الخفية للقواعد</w:t>
      </w:r>
    </w:p>
    <w:p>
      <w:pPr>
        <w:pStyle w:val="BookText"/>
      </w:pPr>
      <w:r>
        <w:rPr>
          <w:rFonts w:ascii="Amiri" w:hAnsi="Amiri" w:eastAsia="Amiri" w:cs="Amiri"/>
          <w:lang w:bidi="ar-SA"/>
          <w:color w:val="111111"/>
          <w:sz w:val="28"/>
          <w:szCs w:val="28"/>
          <w:rtl/>
        </w:rPr>
        <w:t xml:space="preserve">النحوية، ج 2، ص 488.</w:t>
      </w:r>
    </w:p>
    <w:p>
      <w:pPr>
        <w:pStyle w:val="BookText"/>
      </w:pPr>
      <w:r>
        <w:rPr>
          <w:rFonts w:ascii="IRNazanin" w:hAnsi="IRNazanin" w:eastAsia="IRNazanin" w:cs="IRNazanin"/>
          <w:lang w:bidi="fa-IR"/>
          <w:color w:val="111111"/>
          <w:sz w:val="28"/>
          <w:szCs w:val="28"/>
          <w:rtl/>
        </w:rPr>
        <w:t xml:space="preserve">5 .اعراب العوامل، ج 2، ص 540.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امتحان الاذكياء، ج 2، ص 742.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انقاذ الهالكين في عدم جواز قرائة الاجزاء بالاجرة، ج 2، ص 825.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ايقاظ النائمين و افهام القاصرين</w:t>
      </w:r>
    </w:p>
    <w:p>
      <w:pPr>
        <w:pStyle w:val="BookText"/>
      </w:pPr>
      <w:r>
        <w:rPr>
          <w:rFonts w:ascii="IRNazanin" w:hAnsi="IRNazanin" w:eastAsia="IRNazanin" w:cs="IRNazanin"/>
          <w:lang w:bidi="fa-IR"/>
          <w:color w:val="111111"/>
          <w:sz w:val="28"/>
          <w:szCs w:val="28"/>
          <w:rtl/>
        </w:rPr>
        <w:t xml:space="preserve">ج 3، ص 150 .</w:t>
      </w:r>
    </w:p>
    <w:p>
      <w:pPr>
        <w:pStyle w:val="BookText"/>
      </w:pPr>
      <w:r>
        <w:rPr>
          <w:rFonts w:ascii="Amiri" w:hAnsi="Amiri" w:eastAsia="Amiri" w:cs="Amiri"/>
          <w:lang w:bidi="ar-SA"/>
          <w:color w:val="111111"/>
          <w:sz w:val="28"/>
          <w:szCs w:val="28"/>
          <w:rtl/>
        </w:rPr>
        <w:t xml:space="preserve">9 .بيان الصفات السلبية، ج3، ص 475.</w:t>
      </w:r>
    </w:p>
    <w:p>
      <w:pPr>
        <w:pStyle w:val="BookText"/>
      </w:pPr>
      <w:r>
        <w:rPr>
          <w:rFonts w:ascii="Amiri" w:hAnsi="Amiri" w:eastAsia="Amiri" w:cs="Amiri"/>
          <w:lang w:bidi="ar-SA"/>
          <w:color w:val="111111"/>
          <w:sz w:val="28"/>
          <w:szCs w:val="28"/>
          <w:rtl/>
        </w:rPr>
        <w:t xml:space="preserve">10 .تحفة المسترشدين في بيان فرق</w:t>
      </w:r>
    </w:p>
    <w:p>
      <w:pPr>
        <w:pStyle w:val="BookText"/>
      </w:pPr>
      <w:r>
        <w:rPr>
          <w:rFonts w:ascii="Amiri" w:hAnsi="Amiri" w:eastAsia="Amiri" w:cs="Amiri"/>
          <w:lang w:bidi="ar-SA"/>
          <w:color w:val="111111"/>
          <w:sz w:val="28"/>
          <w:szCs w:val="28"/>
          <w:rtl/>
        </w:rPr>
        <w:t xml:space="preserve">مذاهب المسلمين، ج4، ص 25</w:t>
      </w:r>
    </w:p>
    <w:p>
      <w:pPr>
        <w:pStyle w:val="BookText"/>
      </w:pPr>
      <w:r>
        <w:rPr>
          <w:rFonts w:ascii="IRNazanin" w:hAnsi="IRNazanin" w:eastAsia="IRNazanin" w:cs="IRNazanin"/>
          <w:lang w:bidi="fa-IR"/>
          <w:color w:val="111111"/>
          <w:sz w:val="28"/>
          <w:szCs w:val="28"/>
          <w:rtl/>
        </w:rPr>
        <w:t xml:space="preserve">11 .جلاء القلوب، ج 5، ص 413.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الدر اليتيم، ج 7، ص 376.</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5" w:name="pg7742_69896"/>
    <w:bookmarkEnd w:id="255"/>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ذخر المتأهلين و النساء في تعريف</w:t>
      </w:r>
    </w:p>
    <w:p>
      <w:pPr>
        <w:pStyle w:val="BookText"/>
      </w:pPr>
      <w:r>
        <w:rPr>
          <w:rFonts w:ascii="IRNazanin" w:hAnsi="IRNazanin" w:eastAsia="IRNazanin" w:cs="IRNazanin"/>
          <w:lang w:bidi="fa-IR"/>
          <w:color w:val="111111"/>
          <w:sz w:val="28"/>
          <w:szCs w:val="28"/>
          <w:rtl/>
        </w:rPr>
        <w:t xml:space="preserve">الاطهار والدماء، ج 7، ص817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رسالة البركوي، ج 8، ص 174 .</w:t>
      </w:r>
    </w:p>
    <w:p>
      <w:pPr>
        <w:pStyle w:val="BookText"/>
      </w:pPr>
      <w:r>
        <w:rPr>
          <w:rFonts w:ascii="Amiri" w:hAnsi="Amiri" w:eastAsia="Amiri" w:cs="Amiri"/>
          <w:lang w:bidi="ar-SA"/>
          <w:color w:val="111111"/>
          <w:sz w:val="28"/>
          <w:szCs w:val="28"/>
          <w:rtl/>
        </w:rPr>
        <w:t xml:space="preserve">15 .رسالة البركويه، ج8، ص 175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السيف الصارم في عدم جواز وقف</w:t>
      </w:r>
    </w:p>
    <w:p>
      <w:pPr>
        <w:pStyle w:val="BookText"/>
      </w:pPr>
      <w:r>
        <w:rPr>
          <w:rFonts w:ascii="IRNazanin" w:hAnsi="IRNazanin" w:eastAsia="IRNazanin" w:cs="IRNazanin"/>
          <w:lang w:bidi="fa-IR"/>
          <w:color w:val="111111"/>
          <w:sz w:val="28"/>
          <w:szCs w:val="28"/>
          <w:rtl/>
        </w:rPr>
        <w:t xml:space="preserve">المنقول والدراهم = ابطال وقف النقود، ج 9، ص 40.</w:t>
      </w:r>
    </w:p>
    <w:p>
      <w:pPr>
        <w:pStyle w:val="BookText"/>
      </w:pPr>
      <w:r>
        <w:rPr>
          <w:rFonts w:ascii="Amiri" w:hAnsi="Amiri" w:eastAsia="Amiri" w:cs="Amiri"/>
          <w:lang w:bidi="ar-SA"/>
          <w:color w:val="111111"/>
          <w:sz w:val="28"/>
          <w:szCs w:val="28"/>
          <w:rtl/>
        </w:rPr>
        <w:t xml:space="preserve">17 .شرح الاربعين النووية، ج 9،</w:t>
      </w:r>
    </w:p>
    <w:p>
      <w:pPr>
        <w:pStyle w:val="BookText"/>
      </w:pPr>
      <w:r>
        <w:rPr>
          <w:rFonts w:ascii="IRNazanin" w:hAnsi="IRNazanin" w:eastAsia="IRNazanin" w:cs="IRNazanin"/>
          <w:lang w:bidi="fa-IR"/>
          <w:color w:val="111111"/>
          <w:sz w:val="28"/>
          <w:szCs w:val="28"/>
          <w:rtl/>
        </w:rPr>
        <w:t xml:space="preserve">ص 175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شروط الصلاة، ج 9، ص 636 .</w:t>
      </w:r>
    </w:p>
    <w:p>
      <w:pPr>
        <w:pStyle w:val="BookText"/>
      </w:pPr>
      <w:r>
        <w:rPr>
          <w:rFonts w:ascii="Amiri" w:hAnsi="Amiri" w:eastAsia="Amiri" w:cs="Amiri"/>
          <w:lang w:bidi="ar-SA"/>
          <w:color w:val="111111"/>
          <w:sz w:val="28"/>
          <w:szCs w:val="28"/>
          <w:rtl/>
        </w:rPr>
        <w:t xml:space="preserve">19 .الصوفية (رسالة في)، ج 10،</w:t>
      </w:r>
    </w:p>
    <w:p>
      <w:pPr>
        <w:pStyle w:val="BookText"/>
      </w:pPr>
      <w:r>
        <w:rPr>
          <w:rFonts w:ascii="IRNazanin" w:hAnsi="IRNazanin" w:eastAsia="IRNazanin" w:cs="IRNazanin"/>
          <w:lang w:bidi="fa-IR"/>
          <w:color w:val="111111"/>
          <w:sz w:val="28"/>
          <w:szCs w:val="28"/>
          <w:rtl/>
        </w:rPr>
        <w:t xml:space="preserve">ص 663 .</w:t>
      </w:r>
    </w:p>
    <w:p>
      <w:pPr>
        <w:pStyle w:val="BookText"/>
      </w:pPr>
      <w:r>
        <w:rPr>
          <w:rFonts w:ascii="Amiri" w:hAnsi="Amiri" w:eastAsia="Amiri" w:cs="Amiri"/>
          <w:lang w:bidi="ar-SA"/>
          <w:color w:val="111111"/>
          <w:sz w:val="28"/>
          <w:szCs w:val="28"/>
          <w:rtl/>
        </w:rPr>
        <w:t xml:space="preserve">20 .الطريقة المحمّدية و السيرة</w:t>
      </w:r>
    </w:p>
    <w:p>
      <w:pPr>
        <w:pStyle w:val="BookText"/>
      </w:pPr>
      <w:r>
        <w:rPr>
          <w:rFonts w:ascii="Amiri" w:hAnsi="Amiri" w:eastAsia="Amiri" w:cs="Amiri"/>
          <w:lang w:bidi="ar-SA"/>
          <w:color w:val="111111"/>
          <w:sz w:val="28"/>
          <w:szCs w:val="28"/>
          <w:rtl/>
        </w:rPr>
        <w:t xml:space="preserve">الاحمدية، ج 10، ص 822.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الطمأنينة في الصلاة = معدل الصلاة - تعديل الاركان، ج 10،</w:t>
      </w:r>
    </w:p>
    <w:p>
      <w:pPr>
        <w:pStyle w:val="BookText"/>
      </w:pPr>
      <w:r>
        <w:rPr>
          <w:rFonts w:ascii="IRNazanin" w:hAnsi="IRNazanin" w:eastAsia="IRNazanin" w:cs="IRNazanin"/>
          <w:lang w:bidi="fa-IR"/>
          <w:color w:val="111111"/>
          <w:sz w:val="28"/>
          <w:szCs w:val="28"/>
          <w:rtl/>
        </w:rPr>
        <w:t xml:space="preserve">ص 854.</w:t>
      </w:r>
    </w:p>
    <w:p>
      <w:pPr>
        <w:pStyle w:val="BookText"/>
      </w:pPr>
      <w:r>
        <w:rPr>
          <w:rFonts w:ascii="Amiri" w:hAnsi="Amiri" w:eastAsia="Amiri" w:cs="Amiri"/>
          <w:lang w:bidi="ar-SA"/>
          <w:color w:val="111111"/>
          <w:sz w:val="28"/>
          <w:szCs w:val="28"/>
          <w:rtl/>
        </w:rPr>
        <w:t xml:space="preserve">22 .عقائد اهل السنة و الجماعة و</w:t>
      </w:r>
    </w:p>
    <w:p>
      <w:pPr>
        <w:pStyle w:val="BookText"/>
      </w:pPr>
      <w:r>
        <w:rPr>
          <w:rFonts w:ascii="Amiri" w:hAnsi="Amiri" w:eastAsia="Amiri" w:cs="Amiri"/>
          <w:lang w:bidi="ar-SA"/>
          <w:color w:val="111111"/>
          <w:sz w:val="28"/>
          <w:szCs w:val="28"/>
          <w:rtl/>
        </w:rPr>
        <w:t xml:space="preserve">علم الاخلاق و علم الاحكام الشرعية الفرعية (ترجمه)، ج 11،</w:t>
      </w:r>
    </w:p>
    <w:p>
      <w:pPr>
        <w:pStyle w:val="BookText"/>
      </w:pPr>
      <w:r>
        <w:rPr>
          <w:rFonts w:ascii="IRNazanin" w:hAnsi="IRNazanin" w:eastAsia="IRNazanin" w:cs="IRNazanin"/>
          <w:lang w:bidi="fa-IR"/>
          <w:color w:val="111111"/>
          <w:sz w:val="28"/>
          <w:szCs w:val="28"/>
          <w:rtl/>
        </w:rPr>
        <w:t xml:space="preserve">ص 146 .</w:t>
      </w:r>
    </w:p>
    <w:p>
      <w:pPr>
        <w:pStyle w:val="BookText"/>
      </w:pPr>
      <w:r>
        <w:rPr>
          <w:rFonts w:ascii="Amiri" w:hAnsi="Amiri" w:eastAsia="Amiri" w:cs="Amiri"/>
          <w:lang w:bidi="ar-SA"/>
          <w:color w:val="111111"/>
          <w:sz w:val="28"/>
          <w:szCs w:val="28"/>
          <w:rtl/>
        </w:rPr>
        <w:t xml:space="preserve">23 .العوامل الجديدة - معرفة</w:t>
      </w:r>
    </w:p>
    <w:p>
      <w:pPr>
        <w:pStyle w:val="BookText"/>
      </w:pPr>
      <w:r>
        <w:rPr>
          <w:rFonts w:ascii="IRNazanin" w:hAnsi="IRNazanin" w:eastAsia="IRNazanin" w:cs="IRNazanin"/>
          <w:lang w:bidi="fa-IR"/>
          <w:color w:val="111111"/>
          <w:sz w:val="28"/>
          <w:szCs w:val="28"/>
          <w:rtl/>
        </w:rPr>
        <w:t xml:space="preserve">الاعراب، ج 11، ص 354.</w:t>
      </w:r>
    </w:p>
    <w:p>
      <w:pPr>
        <w:pStyle w:val="BookText"/>
      </w:pPr>
      <w:r>
        <w:rPr>
          <w:rFonts w:ascii="IRNazanin" w:hAnsi="IRNazanin" w:eastAsia="IRNazanin" w:cs="IRNazanin"/>
          <w:lang w:bidi="fa-IR"/>
          <w:color w:val="111111"/>
          <w:sz w:val="28"/>
          <w:szCs w:val="28"/>
          <w:rtl/>
        </w:rPr>
        <w:t xml:space="preserve">24 .الفرائض، ج 11، ص 751.</w:t>
      </w:r>
    </w:p>
    <w:p>
      <w:pPr>
        <w:pStyle w:val="BookText"/>
      </w:pPr>
      <w:r>
        <w:rPr>
          <w:rFonts w:ascii="Amiri" w:hAnsi="Amiri" w:eastAsia="Amiri" w:cs="Amiri"/>
          <w:lang w:bidi="ar-SA"/>
          <w:color w:val="111111"/>
          <w:sz w:val="28"/>
          <w:szCs w:val="28"/>
          <w:rtl/>
        </w:rPr>
        <w:t xml:space="preserve">25 .مسلك الاعتدال إلى فهم آية خلق</w:t>
      </w:r>
    </w:p>
    <w:p>
      <w:pPr>
        <w:pStyle w:val="BookText"/>
      </w:pPr>
      <w:r>
        <w:rPr>
          <w:rFonts w:ascii="IRNazanin" w:hAnsi="IRNazanin" w:eastAsia="IRNazanin" w:cs="IRNazanin"/>
          <w:lang w:bidi="fa-IR"/>
          <w:color w:val="111111"/>
          <w:sz w:val="28"/>
          <w:szCs w:val="28"/>
          <w:rtl/>
        </w:rPr>
        <w:t xml:space="preserve">الاعمال، ج 14، ص 581.</w:t>
      </w:r>
    </w:p>
    <w:p>
      <w:pPr>
        <w:pStyle w:val="BookText"/>
      </w:pPr>
      <w:r>
        <w:rPr>
          <w:rFonts w:ascii="Amiri" w:hAnsi="Amiri" w:eastAsia="Amiri" w:cs="Amiri"/>
          <w:lang w:bidi="ar-SA"/>
          <w:color w:val="111111"/>
          <w:sz w:val="28"/>
          <w:szCs w:val="28"/>
          <w:rtl/>
        </w:rPr>
        <w:t xml:space="preserve">26 .وصيت، ج 16، ص 809.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وصیت نامه ج 16، ص820</w:t>
      </w:r>
    </w:p>
    <w:p>
      <w:pPr>
        <w:pStyle w:val="BookText"/>
      </w:pPr>
      <w:r>
        <w:rPr>
          <w:rFonts w:ascii="Amiri" w:hAnsi="Amiri" w:eastAsia="Amiri" w:cs="Amiri"/>
          <w:lang w:bidi="ar-SA"/>
          <w:color w:val="111111"/>
          <w:sz w:val="28"/>
          <w:szCs w:val="28"/>
          <w:rtl/>
        </w:rPr>
        <w:t xml:space="preserve">بركوي ، قره خليل بن حسن- قره خليل</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بركوي ، محمّد بن پير علي- بركلي ، محمّد</w:t>
      </w:r>
    </w:p>
    <w:p>
      <w:pPr>
        <w:pStyle w:val="BookText"/>
      </w:pPr>
      <w:r>
        <w:rPr>
          <w:rFonts w:ascii="IRNazanin" w:hAnsi="IRNazanin" w:eastAsia="IRNazanin" w:cs="IRNazanin"/>
          <w:lang w:bidi="fa-IR"/>
          <w:color w:val="111111"/>
          <w:sz w:val="28"/>
          <w:szCs w:val="28"/>
          <w:rtl/>
        </w:rPr>
        <w:t xml:space="preserve">بن پيرعلي</w:t>
      </w:r>
    </w:p>
    <w:p>
      <w:pPr>
        <w:pStyle w:val="Heading2"/>
      </w:pPr>
      <w:bookmarkStart w:id="2723" w:name="_Toc1825"/>
      <w:r>
        <w:t>برلسي ، محمّد شمس الدين قرن 10 ه-</w:t>
      </w:r>
      <w:bookmarkEnd w:id="2723"/>
    </w:p>
    <w:p>
      <w:pPr>
        <w:pStyle w:val="BookText"/>
      </w:pPr>
      <w:r>
        <w:rPr>
          <w:rFonts w:ascii="Amiri" w:hAnsi="Amiri" w:eastAsia="Amiri" w:cs="Amiri"/>
          <w:lang w:bidi="ar-SA"/>
          <w:color w:val="111111"/>
          <w:sz w:val="28"/>
          <w:szCs w:val="28"/>
          <w:rtl/>
        </w:rPr>
        <w:t xml:space="preserve">الانوار النبوية من صحاح الاحاديث</w:t>
      </w:r>
    </w:p>
    <w:p>
      <w:pPr>
        <w:pStyle w:val="BookText"/>
      </w:pPr>
      <w:r>
        <w:rPr>
          <w:rFonts w:ascii="Amiri" w:hAnsi="Amiri" w:eastAsia="Amiri" w:cs="Amiri"/>
          <w:lang w:bidi="ar-SA"/>
          <w:color w:val="111111"/>
          <w:sz w:val="28"/>
          <w:szCs w:val="28"/>
          <w:rtl/>
        </w:rPr>
        <w:t xml:space="preserve">المصطفوية، ج 3، ص 27.</w:t>
      </w:r>
    </w:p>
    <w:p>
      <w:pPr>
        <w:pStyle w:val="Heading2"/>
      </w:pPr>
      <w:bookmarkStart w:id="2724" w:name="_Toc1826"/>
      <w:r>
        <w:t>برماوي، ابراهيم بن محمّد - 1160 ه-</w:t>
      </w:r>
      <w:bookmarkEnd w:id="2724"/>
    </w:p>
    <w:p>
      <w:pPr>
        <w:pStyle w:val="BookText"/>
      </w:pPr>
      <w:r>
        <w:rPr>
          <w:rFonts w:ascii="Amiri" w:hAnsi="Amiri" w:eastAsia="Amiri" w:cs="Amiri"/>
          <w:lang w:bidi="ar-SA"/>
          <w:color w:val="111111"/>
          <w:sz w:val="28"/>
          <w:szCs w:val="28"/>
          <w:rtl/>
        </w:rPr>
        <w:t xml:space="preserve">1 .حاشية شرح الرحبية، ج 6 ، ص 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الدلائل الواضحات في اثبات الكرامات و جواز التوسل بالاولياء في الحياة و بعد الممات، ج 7،</w:t>
      </w:r>
    </w:p>
    <w:p>
      <w:pPr>
        <w:pStyle w:val="BookText"/>
      </w:pPr>
      <w:r>
        <w:rPr>
          <w:rFonts w:ascii="IRNazanin" w:hAnsi="IRNazanin" w:eastAsia="IRNazanin" w:cs="IRNazanin"/>
          <w:lang w:bidi="fa-IR"/>
          <w:color w:val="111111"/>
          <w:sz w:val="28"/>
          <w:szCs w:val="28"/>
          <w:rtl/>
        </w:rPr>
        <w:t xml:space="preserve">ص 461 .</w:t>
      </w:r>
    </w:p>
    <w:p>
      <w:pPr>
        <w:pStyle w:val="Heading2"/>
      </w:pPr>
      <w:bookmarkStart w:id="2725" w:name="_Toc1827"/>
      <w:r>
        <w:t>برماوي ، محمّد بن عبدالدائم، 763 -</w:t>
      </w:r>
      <w:bookmarkEnd w:id="2725"/>
    </w:p>
    <w:p>
      <w:pPr>
        <w:pStyle w:val="BookText"/>
      </w:pPr>
      <w:r>
        <w:rPr>
          <w:rFonts w:ascii="IRNazanin" w:hAnsi="IRNazanin" w:eastAsia="IRNazanin" w:cs="IRNazanin"/>
          <w:lang w:bidi="fa-IR"/>
          <w:color w:val="111111"/>
          <w:sz w:val="28"/>
          <w:szCs w:val="28"/>
          <w:rtl/>
        </w:rPr>
        <w:t xml:space="preserve">830 ه-</w:t>
      </w:r>
    </w:p>
    <w:p>
      <w:pPr>
        <w:pStyle w:val="BookText"/>
      </w:pPr>
      <w:r>
        <w:rPr>
          <w:rFonts w:ascii="Amiri" w:hAnsi="Amiri" w:eastAsia="Amiri" w:cs="Amiri"/>
          <w:lang w:bidi="ar-SA"/>
          <w:color w:val="111111"/>
          <w:sz w:val="28"/>
          <w:szCs w:val="28"/>
          <w:rtl/>
        </w:rPr>
        <w:t xml:space="preserve">1 .الالفية في الاصول الفقهية، ج2،</w:t>
      </w:r>
    </w:p>
    <w:p>
      <w:pPr>
        <w:pStyle w:val="BookText"/>
      </w:pPr>
      <w:r>
        <w:rPr>
          <w:rFonts w:ascii="IRNazanin" w:hAnsi="IRNazanin" w:eastAsia="IRNazanin" w:cs="IRNazanin"/>
          <w:lang w:bidi="fa-IR"/>
          <w:color w:val="111111"/>
          <w:sz w:val="28"/>
          <w:szCs w:val="28"/>
          <w:rtl/>
        </w:rPr>
        <w:t xml:space="preserve">ص 685 .</w:t>
      </w:r>
    </w:p>
    <w:p>
      <w:pPr>
        <w:pStyle w:val="BookText"/>
      </w:pPr>
      <w:r>
        <w:rPr>
          <w:rFonts w:ascii="Amiri" w:hAnsi="Amiri" w:eastAsia="Amiri" w:cs="Amiri"/>
          <w:lang w:bidi="ar-SA"/>
          <w:color w:val="111111"/>
          <w:sz w:val="28"/>
          <w:szCs w:val="28"/>
          <w:rtl/>
        </w:rPr>
        <w:t xml:space="preserve">2 .الفوائد السنية في شرح النبذة الالفية في الاصول الفقهية، ج 12،</w:t>
      </w:r>
    </w:p>
    <w:p>
      <w:pPr>
        <w:pStyle w:val="BookText"/>
      </w:pPr>
      <w:r>
        <w:rPr>
          <w:rFonts w:ascii="IRNazanin" w:hAnsi="IRNazanin" w:eastAsia="IRNazanin" w:cs="IRNazanin"/>
          <w:lang w:bidi="fa-IR"/>
          <w:color w:val="111111"/>
          <w:sz w:val="28"/>
          <w:szCs w:val="28"/>
          <w:rtl/>
        </w:rPr>
        <w:t xml:space="preserve">ص 208.</w:t>
      </w:r>
    </w:p>
    <w:p>
      <w:pPr>
        <w:pStyle w:val="Heading2"/>
      </w:pPr>
      <w:bookmarkStart w:id="2726" w:name="_Toc1828"/>
      <w:r>
        <w:t>برمكي، ابراهيم بن عمر - 445 ه-</w:t>
      </w:r>
      <w:bookmarkEnd w:id="2726"/>
    </w:p>
    <w:p>
      <w:pPr>
        <w:pStyle w:val="BookText"/>
      </w:pPr>
      <w:r>
        <w:rPr>
          <w:rFonts w:ascii="Amiri" w:hAnsi="Amiri" w:eastAsia="Amiri" w:cs="Amiri"/>
          <w:lang w:bidi="ar-SA"/>
          <w:color w:val="111111"/>
          <w:sz w:val="28"/>
          <w:szCs w:val="28"/>
          <w:rtl/>
        </w:rPr>
        <w:t xml:space="preserve">أربعون حديثا، ج 1، ص 681 .</w:t>
      </w:r>
    </w:p>
    <w:p>
      <w:pPr>
        <w:pStyle w:val="BookText"/>
      </w:pPr>
      <w:r>
        <w:rPr>
          <w:rFonts w:ascii="Amiri" w:hAnsi="Amiri" w:eastAsia="Amiri" w:cs="Amiri"/>
          <w:lang w:bidi="ar-SA"/>
          <w:color w:val="111111"/>
          <w:sz w:val="28"/>
          <w:szCs w:val="28"/>
          <w:rtl/>
        </w:rPr>
        <w:t xml:space="preserve">برمكي ، احمد بن محمّد بن خلكان- ابن</w:t>
      </w:r>
    </w:p>
    <w:p>
      <w:pPr>
        <w:pStyle w:val="BookText"/>
      </w:pPr>
      <w:r>
        <w:rPr>
          <w:rFonts w:ascii="IRNazanin" w:hAnsi="IRNazanin" w:eastAsia="IRNazanin" w:cs="IRNazanin"/>
          <w:lang w:bidi="fa-IR"/>
          <w:color w:val="111111"/>
          <w:sz w:val="28"/>
          <w:szCs w:val="28"/>
          <w:rtl/>
        </w:rPr>
        <w:t xml:space="preserve">خلکان، احمد بن محمّد</w:t>
      </w:r>
    </w:p>
    <w:p>
      <w:pPr>
        <w:pStyle w:val="Heading2"/>
      </w:pPr>
      <w:bookmarkStart w:id="2727" w:name="_Toc1829"/>
      <w:r>
        <w:t>برمكي شيرواني، مظفر بن عثمان - 964ه-</w:t>
      </w:r>
      <w:bookmarkEnd w:id="2727"/>
    </w:p>
    <w:p>
      <w:pPr>
        <w:pStyle w:val="BookText"/>
      </w:pPr>
      <w:r>
        <w:rPr>
          <w:rFonts w:ascii="Amiri" w:hAnsi="Amiri" w:eastAsia="Amiri" w:cs="Amiri"/>
          <w:lang w:bidi="ar-SA"/>
          <w:color w:val="111111"/>
          <w:sz w:val="28"/>
          <w:szCs w:val="28"/>
          <w:rtl/>
        </w:rPr>
        <w:t xml:space="preserve">1 .تحفة الوزاره، ج 4، ص 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السبحات القدسية في اخلاق الاتقياء وصفات الانبياء، ج 8، ص 695.</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6" w:name="pg7742_69898"/>
    <w:bookmarkEnd w:id="256"/>
    <w:p>
      <w:pPr>
        <w:pStyle w:val="Heading2"/>
      </w:pPr>
      <w:bookmarkStart w:id="2728" w:name="_Toc1830"/>
      <w:r>
        <w:t>برمكي ، يحيى بن ابي بكر - 200 ه-</w:t>
      </w:r>
      <w:bookmarkEnd w:id="2728"/>
    </w:p>
    <w:p>
      <w:pPr>
        <w:pStyle w:val="BookText"/>
      </w:pPr>
      <w:r>
        <w:rPr>
          <w:rFonts w:ascii="Amiri" w:hAnsi="Amiri" w:eastAsia="Amiri" w:cs="Amiri"/>
          <w:lang w:bidi="ar-SA"/>
          <w:color w:val="111111"/>
          <w:sz w:val="28"/>
          <w:szCs w:val="28"/>
          <w:rtl/>
        </w:rPr>
        <w:t xml:space="preserve">سراج الظلمة و الرحمة لهذه الامة</w:t>
      </w:r>
    </w:p>
    <w:p>
      <w:pPr>
        <w:pStyle w:val="BookText"/>
      </w:pPr>
      <w:r>
        <w:rPr>
          <w:rFonts w:ascii="IRNazanin" w:hAnsi="IRNazanin" w:eastAsia="IRNazanin" w:cs="IRNazanin"/>
          <w:lang w:bidi="fa-IR"/>
          <w:color w:val="111111"/>
          <w:sz w:val="28"/>
          <w:szCs w:val="28"/>
          <w:rtl/>
        </w:rPr>
        <w:t xml:space="preserve">ج 8، ص 731</w:t>
      </w:r>
    </w:p>
    <w:p>
      <w:pPr>
        <w:pStyle w:val="Heading2"/>
      </w:pPr>
      <w:bookmarkStart w:id="2729" w:name="_Toc1831"/>
      <w:r>
        <w:t>برمي ، شمس الدين محمّد</w:t>
      </w:r>
      <w:bookmarkEnd w:id="2729"/>
    </w:p>
    <w:p>
      <w:pPr>
        <w:pStyle w:val="BookText"/>
      </w:pPr>
      <w:r>
        <w:rPr>
          <w:rFonts w:ascii="Amiri" w:hAnsi="Amiri" w:eastAsia="Amiri" w:cs="Amiri"/>
          <w:lang w:bidi="ar-SA"/>
          <w:color w:val="111111"/>
          <w:sz w:val="28"/>
          <w:szCs w:val="28"/>
          <w:rtl/>
        </w:rPr>
        <w:t xml:space="preserve">تخميس القصيدة المنفرجة جع،</w:t>
      </w:r>
    </w:p>
    <w:p>
      <w:pPr>
        <w:pStyle w:val="BookText"/>
      </w:pPr>
      <w:r>
        <w:rPr>
          <w:rFonts w:ascii="IRNazanin" w:hAnsi="IRNazanin" w:eastAsia="IRNazanin" w:cs="IRNazanin"/>
          <w:lang w:bidi="fa-IR"/>
          <w:color w:val="111111"/>
          <w:sz w:val="28"/>
          <w:szCs w:val="28"/>
          <w:rtl/>
        </w:rPr>
        <w:t xml:space="preserve">ص 141 .</w:t>
      </w:r>
    </w:p>
    <w:p>
      <w:pPr>
        <w:pStyle w:val="BookText"/>
      </w:pPr>
      <w:r>
        <w:rPr>
          <w:rFonts w:ascii="Amiri" w:hAnsi="Amiri" w:eastAsia="Amiri" w:cs="Amiri"/>
          <w:lang w:bidi="ar-SA"/>
          <w:color w:val="111111"/>
          <w:sz w:val="28"/>
          <w:szCs w:val="28"/>
          <w:rtl/>
        </w:rPr>
        <w:t xml:space="preserve">برنسي زروق، احمد بن احمد- زروق</w:t>
      </w:r>
    </w:p>
    <w:p>
      <w:pPr>
        <w:pStyle w:val="BookText"/>
      </w:pPr>
      <w:r>
        <w:rPr>
          <w:rFonts w:ascii="IRNazanin" w:hAnsi="IRNazanin" w:eastAsia="IRNazanin" w:cs="IRNazanin"/>
          <w:lang w:bidi="fa-IR"/>
          <w:color w:val="111111"/>
          <w:sz w:val="28"/>
          <w:szCs w:val="28"/>
          <w:rtl/>
        </w:rPr>
        <w:t xml:space="preserve">احمد بن احمد</w:t>
      </w:r>
    </w:p>
    <w:p>
      <w:pPr>
        <w:pStyle w:val="Heading2"/>
      </w:pPr>
      <w:bookmarkStart w:id="2730" w:name="_Toc1832"/>
      <w:r>
        <w:t>برهان قرن 13 ه-</w:t>
      </w:r>
      <w:bookmarkEnd w:id="2730"/>
    </w:p>
    <w:p>
      <w:pPr>
        <w:pStyle w:val="BookText"/>
      </w:pPr>
      <w:r>
        <w:rPr>
          <w:rFonts w:ascii="Amiri" w:hAnsi="Amiri" w:eastAsia="Amiri" w:cs="Amiri"/>
          <w:lang w:bidi="ar-SA"/>
          <w:color w:val="111111"/>
          <w:sz w:val="28"/>
          <w:szCs w:val="28"/>
          <w:rtl/>
        </w:rPr>
        <w:t xml:space="preserve">انشاء برهاني، ج2، ص813.</w:t>
      </w:r>
    </w:p>
    <w:p>
      <w:pPr>
        <w:pStyle w:val="Heading2"/>
      </w:pPr>
      <w:bookmarkStart w:id="2731" w:name="_Toc1833"/>
      <w:r>
        <w:t>برهان الدین</w:t>
      </w:r>
      <w:bookmarkEnd w:id="2731"/>
    </w:p>
    <w:p>
      <w:pPr>
        <w:pStyle w:val="BookText"/>
      </w:pPr>
      <w:r>
        <w:rPr>
          <w:rFonts w:ascii="Amiri" w:hAnsi="Amiri" w:eastAsia="Amiri" w:cs="Amiri"/>
          <w:lang w:bidi="ar-SA"/>
          <w:color w:val="111111"/>
          <w:sz w:val="28"/>
          <w:szCs w:val="28"/>
          <w:rtl/>
        </w:rPr>
        <w:t xml:space="preserve">المنظومة السينية في الاسماء اللغوية</w:t>
      </w:r>
    </w:p>
    <w:p>
      <w:pPr>
        <w:pStyle w:val="BookText"/>
      </w:pPr>
      <w:r>
        <w:rPr>
          <w:rFonts w:ascii="IRNazanin" w:hAnsi="IRNazanin" w:eastAsia="IRNazanin" w:cs="IRNazanin"/>
          <w:lang w:bidi="fa-IR"/>
          <w:color w:val="111111"/>
          <w:sz w:val="28"/>
          <w:szCs w:val="28"/>
          <w:rtl/>
        </w:rPr>
        <w:t xml:space="preserve">ج ،15، ص 723.</w:t>
      </w:r>
    </w:p>
    <w:p>
      <w:pPr>
        <w:pStyle w:val="Heading2"/>
      </w:pPr>
      <w:bookmarkStart w:id="2732" w:name="_Toc1834"/>
      <w:r>
        <w:t>برهان الدین بن کمال الدین حمید، قرن 9 ه-</w:t>
      </w:r>
      <w:bookmarkEnd w:id="2732"/>
    </w:p>
    <w:p>
      <w:pPr>
        <w:pStyle w:val="BookText"/>
      </w:pPr>
      <w:r>
        <w:rPr>
          <w:rFonts w:ascii="Amiri" w:hAnsi="Amiri" w:eastAsia="Amiri" w:cs="Amiri"/>
          <w:lang w:bidi="ar-SA"/>
          <w:color w:val="111111"/>
          <w:sz w:val="28"/>
          <w:szCs w:val="28"/>
          <w:rtl/>
        </w:rPr>
        <w:t xml:space="preserve">1 .حاشية تحرير القواعد المنطقية في</w:t>
      </w:r>
    </w:p>
    <w:p>
      <w:pPr>
        <w:pStyle w:val="BookText"/>
      </w:pPr>
      <w:r>
        <w:rPr>
          <w:rFonts w:ascii="Amiri" w:hAnsi="Amiri" w:eastAsia="Amiri" w:cs="Amiri"/>
          <w:lang w:bidi="ar-SA"/>
          <w:color w:val="111111"/>
          <w:sz w:val="28"/>
          <w:szCs w:val="28"/>
          <w:rtl/>
        </w:rPr>
        <w:t xml:space="preserve">شرح الشمسية، ج 5، ص 725.</w:t>
      </w:r>
    </w:p>
    <w:p>
      <w:pPr>
        <w:pStyle w:val="BookText"/>
      </w:pPr>
      <w:r>
        <w:rPr>
          <w:rFonts w:ascii="Amiri" w:hAnsi="Amiri" w:eastAsia="Amiri" w:cs="Amiri"/>
          <w:lang w:bidi="ar-SA"/>
          <w:color w:val="111111"/>
          <w:sz w:val="28"/>
          <w:szCs w:val="28"/>
          <w:rtl/>
        </w:rPr>
        <w:t xml:space="preserve">2 .حاشية حاشية الشريف الجرجاني على الشمسية، ج 5، ص 833.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الرسالة الاثرية في الميزان، ج 8،</w:t>
      </w:r>
    </w:p>
    <w:p>
      <w:pPr>
        <w:pStyle w:val="BookText"/>
      </w:pPr>
      <w:r>
        <w:rPr>
          <w:rFonts w:ascii="IRNazanin" w:hAnsi="IRNazanin" w:eastAsia="IRNazanin" w:cs="IRNazanin"/>
          <w:lang w:bidi="fa-IR"/>
          <w:color w:val="111111"/>
          <w:sz w:val="28"/>
          <w:szCs w:val="28"/>
          <w:rtl/>
        </w:rPr>
        <w:t xml:space="preserve">ص 160.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ديباجة تحرير القواعد المنطقية، ج9، ص 471</w:t>
      </w:r>
    </w:p>
    <w:p>
      <w:pPr>
        <w:pStyle w:val="BookText"/>
      </w:pPr>
      <w:r>
        <w:rPr>
          <w:rFonts w:ascii="Amiri" w:hAnsi="Amiri" w:eastAsia="Amiri" w:cs="Amiri"/>
          <w:lang w:bidi="ar-SA"/>
          <w:color w:val="111111"/>
          <w:sz w:val="28"/>
          <w:szCs w:val="28"/>
          <w:rtl/>
        </w:rPr>
        <w:t xml:space="preserve">5 .الفوائد البرهانية في تحقيق الفوائد الفنارية - الفرايد البرهانية في</w:t>
      </w:r>
    </w:p>
    <w:p>
      <w:pPr>
        <w:pStyle w:val="BookText"/>
      </w:pPr>
      <w:r>
        <w:rPr>
          <w:rFonts w:ascii="Amiri" w:hAnsi="Amiri" w:eastAsia="Amiri" w:cs="Amiri"/>
          <w:lang w:bidi="ar-SA"/>
          <w:color w:val="111111"/>
          <w:sz w:val="28"/>
          <w:szCs w:val="28"/>
          <w:rtl/>
        </w:rPr>
        <w:t xml:space="preserve">تحقيق الفوائد الفنارية، ج 12،</w:t>
      </w:r>
    </w:p>
    <w:p>
      <w:pPr>
        <w:pStyle w:val="BookText"/>
      </w:pPr>
      <w:r>
        <w:rPr>
          <w:rFonts w:ascii="IRNazanin" w:hAnsi="IRNazanin" w:eastAsia="IRNazanin" w:cs="IRNazanin"/>
          <w:lang w:bidi="fa-IR"/>
          <w:color w:val="111111"/>
          <w:sz w:val="28"/>
          <w:szCs w:val="28"/>
          <w:rtl/>
        </w:rPr>
        <w:t xml:space="preserve">ص 184 .</w:t>
      </w:r>
    </w:p>
    <w:p>
      <w:pPr>
        <w:pStyle w:val="BookText"/>
      </w:pPr>
      <w:r>
        <w:rPr>
          <w:rFonts w:ascii="IRNazanin" w:hAnsi="IRNazanin" w:eastAsia="IRNazanin" w:cs="IRNazanin"/>
          <w:lang w:bidi="fa-IR"/>
          <w:color w:val="111111"/>
          <w:sz w:val="28"/>
          <w:szCs w:val="28"/>
          <w:rtl/>
        </w:rPr>
        <w:t xml:space="preserve">برهان الدین رشتاني - رشتاني ، برهان الدين</w:t>
      </w:r>
    </w:p>
    <w:p>
      <w:pPr>
        <w:pStyle w:val="Heading2"/>
      </w:pPr>
      <w:bookmarkStart w:id="2733" w:name="_Toc1835"/>
      <w:r>
        <w:t>برهان الشريعه ، محمود بن عبیدالله</w:t>
      </w:r>
      <w:bookmarkEnd w:id="2733"/>
    </w:p>
    <w:p>
      <w:pPr>
        <w:pStyle w:val="BookText"/>
      </w:pPr>
      <w:r>
        <w:rPr>
          <w:rFonts w:ascii="IRNazanin" w:hAnsi="IRNazanin" w:eastAsia="IRNazanin" w:cs="IRNazanin"/>
          <w:lang w:bidi="fa-IR"/>
          <w:color w:val="111111"/>
          <w:sz w:val="28"/>
          <w:szCs w:val="28"/>
          <w:rtl/>
        </w:rPr>
        <w:t xml:space="preserve">673 ه-</w:t>
      </w:r>
    </w:p>
    <w:p>
      <w:pPr>
        <w:pStyle w:val="BookText"/>
      </w:pPr>
      <w:r>
        <w:rPr>
          <w:rFonts w:ascii="Amiri" w:hAnsi="Amiri" w:eastAsia="Amiri" w:cs="Amiri"/>
          <w:lang w:bidi="ar-SA"/>
          <w:color w:val="111111"/>
          <w:sz w:val="28"/>
          <w:szCs w:val="28"/>
          <w:rtl/>
        </w:rPr>
        <w:t xml:space="preserve">وقاية الرواية في مسائل الهداية، ج 16،</w:t>
      </w:r>
    </w:p>
    <w:p>
      <w:pPr>
        <w:pStyle w:val="BookText"/>
      </w:pPr>
      <w:r>
        <w:rPr>
          <w:rFonts w:ascii="IRNazanin" w:hAnsi="IRNazanin" w:eastAsia="IRNazanin" w:cs="IRNazanin"/>
          <w:lang w:bidi="fa-IR"/>
          <w:color w:val="111111"/>
          <w:sz w:val="28"/>
          <w:szCs w:val="28"/>
          <w:rtl/>
        </w:rPr>
        <w:t xml:space="preserve">ص 858.</w:t>
      </w:r>
    </w:p>
    <w:p>
      <w:pPr>
        <w:pStyle w:val="BookText"/>
      </w:pPr>
      <w:r>
        <w:rPr>
          <w:rFonts w:ascii="IRNazanin" w:hAnsi="IRNazanin" w:eastAsia="IRNazanin" w:cs="IRNazanin"/>
          <w:lang w:bidi="fa-IR"/>
          <w:color w:val="111111"/>
          <w:sz w:val="28"/>
          <w:szCs w:val="28"/>
          <w:rtl/>
        </w:rPr>
        <w:t xml:space="preserve">برهان پوري ، علي المتقي بن حسام</w:t>
      </w:r>
    </w:p>
    <w:p>
      <w:pPr>
        <w:pStyle w:val="BookText"/>
      </w:pPr>
      <w:r>
        <w:rPr>
          <w:rFonts w:ascii="Amiri" w:hAnsi="Amiri" w:eastAsia="Amiri" w:cs="Amiri"/>
          <w:lang w:bidi="ar-SA"/>
          <w:color w:val="111111"/>
          <w:sz w:val="28"/>
          <w:szCs w:val="28"/>
          <w:rtl/>
        </w:rPr>
        <w:t xml:space="preserve">الدين -متقي ، علي بن حسام الدين</w:t>
      </w:r>
    </w:p>
    <w:p>
      <w:pPr>
        <w:pStyle w:val="Heading2"/>
      </w:pPr>
      <w:bookmarkStart w:id="2734" w:name="_Toc1836"/>
      <w:r>
        <w:t>برهانپوري ، فتح محمّد بن عيسى</w:t>
      </w:r>
      <w:bookmarkEnd w:id="2734"/>
    </w:p>
    <w:p>
      <w:pPr>
        <w:pStyle w:val="BookText"/>
      </w:pPr>
      <w:r>
        <w:rPr>
          <w:rFonts w:ascii="IRNazanin" w:hAnsi="IRNazanin" w:eastAsia="IRNazanin" w:cs="IRNazanin"/>
          <w:lang w:bidi="fa-IR"/>
          <w:color w:val="111111"/>
          <w:sz w:val="28"/>
          <w:szCs w:val="28"/>
          <w:rtl/>
        </w:rPr>
        <w:t xml:space="preserve">1080ه-</w:t>
      </w:r>
    </w:p>
    <w:p>
      <w:pPr>
        <w:pStyle w:val="BookText"/>
      </w:pPr>
      <w:r>
        <w:rPr>
          <w:rFonts w:ascii="Amiri" w:hAnsi="Amiri" w:eastAsia="Amiri" w:cs="Amiri"/>
          <w:lang w:bidi="ar-SA"/>
          <w:color w:val="111111"/>
          <w:sz w:val="28"/>
          <w:szCs w:val="28"/>
          <w:rtl/>
        </w:rPr>
        <w:t xml:space="preserve">مفتاح الصلاة، ج 15 ، ص 201.</w:t>
      </w:r>
    </w:p>
    <w:p>
      <w:pPr>
        <w:pStyle w:val="Heading2"/>
      </w:pPr>
      <w:bookmarkStart w:id="2735" w:name="_Toc1837"/>
      <w:r>
        <w:t>برهانپوری، محمّد بن فضل الله - 1029ه-</w:t>
      </w:r>
      <w:bookmarkEnd w:id="2735"/>
    </w:p>
    <w:p>
      <w:pPr>
        <w:pStyle w:val="BookText"/>
      </w:pPr>
      <w:r>
        <w:rPr>
          <w:rFonts w:ascii="Amiri" w:hAnsi="Amiri" w:eastAsia="Amiri" w:cs="Amiri"/>
          <w:lang w:bidi="ar-SA"/>
          <w:color w:val="111111"/>
          <w:sz w:val="28"/>
          <w:szCs w:val="28"/>
          <w:rtl/>
        </w:rPr>
        <w:t xml:space="preserve">1 .التحفة المرسلة إلى النبي (ص)</w:t>
      </w:r>
    </w:p>
    <w:p>
      <w:pPr>
        <w:pStyle w:val="BookText"/>
      </w:pPr>
      <w:r>
        <w:rPr>
          <w:rFonts w:ascii="IRNazanin" w:hAnsi="IRNazanin" w:eastAsia="IRNazanin" w:cs="IRNazanin"/>
          <w:lang w:bidi="fa-IR"/>
          <w:color w:val="111111"/>
          <w:sz w:val="28"/>
          <w:szCs w:val="28"/>
          <w:rtl/>
        </w:rPr>
        <w:t xml:space="preserve">ج4، ص 23.</w:t>
      </w:r>
    </w:p>
    <w:p>
      <w:pPr>
        <w:pStyle w:val="BookText"/>
      </w:pPr>
      <w:r>
        <w:rPr>
          <w:rFonts w:ascii="Amiri" w:hAnsi="Amiri" w:eastAsia="Amiri" w:cs="Amiri"/>
          <w:lang w:bidi="ar-SA"/>
          <w:color w:val="111111"/>
          <w:sz w:val="28"/>
          <w:szCs w:val="28"/>
          <w:rtl/>
        </w:rPr>
        <w:t xml:space="preserve">2 .الفقرات الحسان في بعض ما لاح على من جانب الملك المنان في شهر الله المبارك رمضان، ج 12، ص38.</w:t>
      </w:r>
    </w:p>
    <w:p>
      <w:pPr>
        <w:pStyle w:val="Heading2"/>
      </w:pPr>
      <w:bookmarkStart w:id="2736" w:name="_Toc1838"/>
      <w:r>
        <w:t>برهانپوري ، محمّد بيك بن يار محمّد</w:t>
      </w:r>
      <w:bookmarkEnd w:id="2736"/>
    </w:p>
    <w:p>
      <w:pPr>
        <w:pStyle w:val="BookText"/>
      </w:pPr>
      <w:r>
        <w:rPr>
          <w:rFonts w:ascii="Amiri" w:hAnsi="Amiri" w:eastAsia="Amiri" w:cs="Amiri"/>
          <w:lang w:bidi="ar-SA"/>
          <w:color w:val="111111"/>
          <w:sz w:val="28"/>
          <w:szCs w:val="28"/>
          <w:rtl/>
        </w:rPr>
        <w:t xml:space="preserve">1 .جامع دلائل الشافية لمذهب</w:t>
      </w:r>
    </w:p>
    <w:p>
      <w:pPr>
        <w:pStyle w:val="BookText"/>
      </w:pPr>
      <w:r>
        <w:rPr>
          <w:rFonts w:ascii="Amiri" w:hAnsi="Amiri" w:eastAsia="Amiri" w:cs="Amiri"/>
          <w:lang w:bidi="ar-SA"/>
          <w:color w:val="111111"/>
          <w:sz w:val="28"/>
          <w:szCs w:val="28"/>
          <w:rtl/>
        </w:rPr>
        <w:t xml:space="preserve">الحنفية، ج 5، ص 266.</w:t>
      </w:r>
    </w:p>
    <w:p>
      <w:pPr>
        <w:pStyle w:val="BookText"/>
      </w:pPr>
      <w:r>
        <w:rPr>
          <w:rFonts w:ascii="Amiri" w:hAnsi="Amiri" w:eastAsia="Amiri" w:cs="Amiri"/>
          <w:lang w:bidi="ar-SA"/>
          <w:color w:val="111111"/>
          <w:sz w:val="28"/>
          <w:szCs w:val="28"/>
          <w:rtl/>
        </w:rPr>
        <w:t xml:space="preserve">2 .الفوائد الفاخرة في بيان احوال الدنيا</w:t>
      </w:r>
    </w:p>
    <w:p>
      <w:pPr>
        <w:pStyle w:val="BookText"/>
      </w:pPr>
      <w:r>
        <w:rPr>
          <w:rFonts w:ascii="Amiri" w:hAnsi="Amiri" w:eastAsia="Amiri" w:cs="Amiri"/>
          <w:lang w:bidi="ar-SA"/>
          <w:color w:val="111111"/>
          <w:sz w:val="28"/>
          <w:szCs w:val="28"/>
          <w:rtl/>
        </w:rPr>
        <w:t xml:space="preserve">و الآخرة، ج 12، ص 253.</w:t>
      </w:r>
    </w:p>
    <w:p>
      <w:pPr>
        <w:pStyle w:val="Heading2"/>
      </w:pPr>
      <w:bookmarkStart w:id="2737" w:name="_Toc1839"/>
      <w:r>
        <w:t>برهانپوري هندي نظام الدين قرن 11 ه-</w:t>
      </w:r>
      <w:bookmarkEnd w:id="2737"/>
    </w:p>
    <w:p>
      <w:pPr>
        <w:pStyle w:val="BookText"/>
      </w:pPr>
      <w:r>
        <w:rPr>
          <w:rFonts w:ascii="Amiri" w:hAnsi="Amiri" w:eastAsia="Amiri" w:cs="Amiri"/>
          <w:lang w:bidi="ar-SA"/>
          <w:color w:val="111111"/>
          <w:sz w:val="28"/>
          <w:szCs w:val="28"/>
          <w:rtl/>
        </w:rPr>
        <w:t xml:space="preserve">الفتاوى العالمكيري = الفتاوى الهندية</w:t>
      </w:r>
    </w:p>
    <w:p>
      <w:pPr>
        <w:pStyle w:val="BookText"/>
      </w:pPr>
      <w:r>
        <w:rPr>
          <w:rFonts w:ascii="IRNazanin" w:hAnsi="IRNazanin" w:eastAsia="IRNazanin" w:cs="IRNazanin"/>
          <w:lang w:bidi="fa-IR"/>
          <w:color w:val="111111"/>
          <w:sz w:val="28"/>
          <w:szCs w:val="28"/>
          <w:rtl/>
        </w:rPr>
        <w:t xml:space="preserve">ج 11 ، ص 618.</w:t>
      </w:r>
    </w:p>
    <w:p>
      <w:pPr>
        <w:pStyle w:val="Heading2"/>
      </w:pPr>
      <w:bookmarkStart w:id="2738" w:name="_Toc1840"/>
      <w:r>
        <w:t>،برهان محمّد حسین بن خلف قرن 11 ه-</w:t>
      </w:r>
      <w:bookmarkEnd w:id="2738"/>
    </w:p>
    <w:p>
      <w:pPr>
        <w:pStyle w:val="BookText"/>
      </w:pPr>
      <w:r>
        <w:rPr>
          <w:rFonts w:ascii="IRNazanin" w:hAnsi="IRNazanin" w:eastAsia="IRNazanin" w:cs="IRNazanin"/>
          <w:lang w:bidi="fa-IR"/>
          <w:color w:val="111111"/>
          <w:sz w:val="28"/>
          <w:szCs w:val="28"/>
          <w:rtl/>
        </w:rPr>
        <w:t xml:space="preserve">برهان قاطع، ج 3، ص 314.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7" w:name="pg7742_69900"/>
    <w:bookmarkEnd w:id="257"/>
    <w:p>
      <w:pPr>
        <w:pStyle w:val="BookText"/>
      </w:pPr>
      <w:r>
        <w:rPr>
          <w:rFonts w:ascii="Amiri" w:hAnsi="Amiri" w:eastAsia="Amiri" w:cs="Amiri"/>
          <w:lang w:bidi="ar-SA"/>
          <w:color w:val="111111"/>
          <w:sz w:val="28"/>
          <w:szCs w:val="28"/>
          <w:rtl/>
        </w:rPr>
        <w:t xml:space="preserve">برهاني ، احمد بن محمود -خجندي</w:t>
      </w:r>
    </w:p>
    <w:p>
      <w:pPr>
        <w:pStyle w:val="BookText"/>
      </w:pPr>
      <w:r>
        <w:rPr>
          <w:rFonts w:ascii="IRNazanin" w:hAnsi="IRNazanin" w:eastAsia="IRNazanin" w:cs="IRNazanin"/>
          <w:lang w:bidi="fa-IR"/>
          <w:color w:val="111111"/>
          <w:sz w:val="28"/>
          <w:szCs w:val="28"/>
          <w:rtl/>
        </w:rPr>
        <w:t xml:space="preserve">احمد بن محمود</w:t>
      </w:r>
    </w:p>
    <w:p>
      <w:pPr>
        <w:pStyle w:val="BookText"/>
      </w:pPr>
      <w:r>
        <w:rPr>
          <w:rFonts w:ascii="Amiri" w:hAnsi="Amiri" w:eastAsia="Amiri" w:cs="Amiri"/>
          <w:lang w:bidi="ar-SA"/>
          <w:color w:val="111111"/>
          <w:sz w:val="28"/>
          <w:szCs w:val="28"/>
          <w:rtl/>
        </w:rPr>
        <w:t xml:space="preserve">برهاني ، عطية بن عطية- اجهوري ، عطية</w:t>
      </w:r>
    </w:p>
    <w:p>
      <w:pPr>
        <w:pStyle w:val="BookText"/>
      </w:pPr>
      <w:r>
        <w:rPr>
          <w:rFonts w:ascii="Amiri" w:hAnsi="Amiri" w:eastAsia="Amiri" w:cs="Amiri"/>
          <w:lang w:bidi="ar-SA"/>
          <w:color w:val="111111"/>
          <w:sz w:val="28"/>
          <w:szCs w:val="28"/>
          <w:rtl/>
        </w:rPr>
        <w:t xml:space="preserve">الله بن عطية</w:t>
      </w:r>
    </w:p>
    <w:p>
      <w:pPr>
        <w:pStyle w:val="Heading2"/>
      </w:pPr>
      <w:bookmarkStart w:id="2739" w:name="_Toc1841"/>
      <w:r>
        <w:t>برهاني ، محمّد، - 1205 ه-</w:t>
      </w:r>
      <w:bookmarkEnd w:id="2739"/>
    </w:p>
    <w:p>
      <w:pPr>
        <w:pStyle w:val="BookText"/>
      </w:pPr>
      <w:r>
        <w:rPr>
          <w:rFonts w:ascii="Amiri" w:hAnsi="Amiri" w:eastAsia="Amiri" w:cs="Amiri"/>
          <w:lang w:bidi="ar-SA"/>
          <w:color w:val="111111"/>
          <w:sz w:val="28"/>
          <w:szCs w:val="28"/>
          <w:rtl/>
        </w:rPr>
        <w:t xml:space="preserve">القلائد البرهانية، ج 12، ص 754.</w:t>
      </w:r>
    </w:p>
    <w:p>
      <w:pPr>
        <w:pStyle w:val="BookText"/>
      </w:pPr>
      <w:r>
        <w:rPr>
          <w:rFonts w:ascii="Amiri" w:hAnsi="Amiri" w:eastAsia="Amiri" w:cs="Amiri"/>
          <w:lang w:bidi="ar-SA"/>
          <w:color w:val="111111"/>
          <w:sz w:val="28"/>
          <w:szCs w:val="28"/>
          <w:rtl/>
        </w:rPr>
        <w:t xml:space="preserve">برهاني نيشابوري ، محمّد بن</w:t>
      </w:r>
    </w:p>
    <w:p>
      <w:pPr>
        <w:pStyle w:val="BookText"/>
      </w:pPr>
      <w:r>
        <w:rPr>
          <w:rFonts w:ascii="Amiri" w:hAnsi="Amiri" w:eastAsia="Amiri" w:cs="Amiri"/>
          <w:lang w:bidi="ar-SA"/>
          <w:color w:val="111111"/>
          <w:sz w:val="28"/>
          <w:szCs w:val="28"/>
          <w:rtl/>
        </w:rPr>
        <w:t xml:space="preserve">عبد الملك -امير معزي ، محمّد بن عبدالملك</w:t>
      </w:r>
    </w:p>
    <w:p>
      <w:pPr>
        <w:pStyle w:val="BookText"/>
      </w:pPr>
      <w:r>
        <w:rPr>
          <w:rFonts w:ascii="Amiri" w:hAnsi="Amiri" w:eastAsia="Amiri" w:cs="Amiri"/>
          <w:lang w:bidi="ar-SA"/>
          <w:color w:val="111111"/>
          <w:sz w:val="28"/>
          <w:szCs w:val="28"/>
          <w:rtl/>
        </w:rPr>
        <w:t xml:space="preserve">برهمي ، بيون ب-يون برهمي</w:t>
      </w:r>
    </w:p>
    <w:p>
      <w:pPr>
        <w:pStyle w:val="Heading2"/>
      </w:pPr>
      <w:bookmarkStart w:id="2740" w:name="_Toc1842"/>
      <w:r>
        <w:t>بروجردي ، حاج اسماعيل قرن 14 ه-</w:t>
      </w:r>
      <w:bookmarkEnd w:id="2740"/>
    </w:p>
    <w:p>
      <w:pPr>
        <w:pStyle w:val="BookText"/>
      </w:pPr>
      <w:r>
        <w:rPr>
          <w:rFonts w:ascii="Amiri" w:hAnsi="Amiri" w:eastAsia="Amiri" w:cs="Amiri"/>
          <w:lang w:bidi="ar-SA"/>
          <w:color w:val="111111"/>
          <w:sz w:val="28"/>
          <w:szCs w:val="28"/>
          <w:rtl/>
        </w:rPr>
        <w:t xml:space="preserve">ديوان البروجردي، ج 7، ص 589 .</w:t>
      </w:r>
    </w:p>
    <w:p>
      <w:pPr>
        <w:pStyle w:val="BookText"/>
      </w:pPr>
      <w:r>
        <w:rPr>
          <w:rFonts w:ascii="Amiri" w:hAnsi="Amiri" w:eastAsia="Amiri" w:cs="Amiri"/>
          <w:lang w:bidi="ar-SA"/>
          <w:color w:val="111111"/>
          <w:sz w:val="28"/>
          <w:szCs w:val="28"/>
          <w:rtl/>
        </w:rPr>
        <w:t xml:space="preserve">بروجردي ، حسين -طباطبائي بروجردي ،</w:t>
      </w:r>
    </w:p>
    <w:p>
      <w:pPr>
        <w:pStyle w:val="BookText"/>
      </w:pPr>
      <w:r>
        <w:rPr>
          <w:rFonts w:ascii="Amiri" w:hAnsi="Amiri" w:eastAsia="Amiri" w:cs="Amiri"/>
          <w:lang w:bidi="ar-SA"/>
          <w:color w:val="111111"/>
          <w:sz w:val="28"/>
          <w:szCs w:val="28"/>
          <w:rtl/>
        </w:rPr>
        <w:t xml:space="preserve">محمّد حسين</w:t>
      </w:r>
    </w:p>
    <w:p>
      <w:pPr>
        <w:pStyle w:val="Heading2"/>
      </w:pPr>
      <w:bookmarkStart w:id="2741" w:name="_Toc1843"/>
      <w:r>
        <w:t>بروجردي ، محمّد صادق قرن 12 ه-</w:t>
      </w:r>
      <w:bookmarkEnd w:id="2741"/>
    </w:p>
    <w:p>
      <w:pPr>
        <w:pStyle w:val="Heading2"/>
      </w:pPr>
      <w:bookmarkStart w:id="2742" w:name="_Toc1844"/>
      <w:r>
        <w:t>بروجردي ، حسين بن محمّد رضا 1238 -</w:t>
      </w:r>
      <w:bookmarkEnd w:id="2742"/>
    </w:p>
    <w:p>
      <w:pPr>
        <w:pStyle w:val="BookText"/>
      </w:pPr>
      <w:r>
        <w:rPr>
          <w:rFonts w:ascii="IRNazanin" w:hAnsi="IRNazanin" w:eastAsia="IRNazanin" w:cs="IRNazanin"/>
          <w:lang w:bidi="fa-IR"/>
          <w:color w:val="111111"/>
          <w:sz w:val="28"/>
          <w:szCs w:val="28"/>
          <w:rtl/>
        </w:rPr>
        <w:t xml:space="preserve">1279 ؟ ه-</w:t>
      </w:r>
    </w:p>
    <w:p>
      <w:pPr>
        <w:pStyle w:val="BookText"/>
      </w:pPr>
      <w:r>
        <w:rPr>
          <w:rFonts w:ascii="Amiri" w:hAnsi="Amiri" w:eastAsia="Amiri" w:cs="Amiri"/>
          <w:lang w:bidi="ar-SA"/>
          <w:color w:val="111111"/>
          <w:sz w:val="28"/>
          <w:szCs w:val="28"/>
          <w:rtl/>
        </w:rPr>
        <w:t xml:space="preserve">1 .الصراط المستقيم في تفسير الكتاب</w:t>
      </w:r>
    </w:p>
    <w:p>
      <w:pPr>
        <w:pStyle w:val="BookText"/>
      </w:pPr>
      <w:r>
        <w:rPr>
          <w:rFonts w:ascii="Amiri" w:hAnsi="Amiri" w:eastAsia="Amiri" w:cs="Amiri"/>
          <w:lang w:bidi="ar-SA"/>
          <w:color w:val="111111"/>
          <w:sz w:val="28"/>
          <w:szCs w:val="28"/>
          <w:rtl/>
        </w:rPr>
        <w:t xml:space="preserve">الكريم، ج 10، ص 545.</w:t>
      </w:r>
    </w:p>
    <w:p>
      <w:pPr>
        <w:pStyle w:val="BookText"/>
      </w:pPr>
      <w:r>
        <w:rPr>
          <w:rFonts w:ascii="Amiri" w:hAnsi="Amiri" w:eastAsia="Amiri" w:cs="Amiri"/>
          <w:lang w:bidi="ar-SA"/>
          <w:color w:val="111111"/>
          <w:sz w:val="28"/>
          <w:szCs w:val="28"/>
          <w:rtl/>
        </w:rPr>
        <w:t xml:space="preserve">2 .المستطرفات من الكني و الالقاب و</w:t>
      </w:r>
    </w:p>
    <w:p>
      <w:pPr>
        <w:pStyle w:val="BookText"/>
      </w:pPr>
      <w:r>
        <w:rPr>
          <w:rFonts w:ascii="IRNazanin" w:hAnsi="IRNazanin" w:eastAsia="IRNazanin" w:cs="IRNazanin"/>
          <w:lang w:bidi="fa-IR"/>
          <w:color w:val="111111"/>
          <w:sz w:val="28"/>
          <w:szCs w:val="28"/>
          <w:rtl/>
        </w:rPr>
        <w:t xml:space="preserve">الانساب، ج 14، ص 558.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نخبة المقال في معرفة الرجال منظومة في الرجال = زبدة المقال</w:t>
      </w:r>
    </w:p>
    <w:p>
      <w:pPr>
        <w:pStyle w:val="BookText"/>
      </w:pPr>
      <w:r>
        <w:rPr>
          <w:rFonts w:ascii="IRNazanin" w:hAnsi="IRNazanin" w:eastAsia="IRNazanin" w:cs="IRNazanin"/>
          <w:lang w:bidi="fa-IR"/>
          <w:color w:val="111111"/>
          <w:sz w:val="28"/>
          <w:szCs w:val="28"/>
          <w:rtl/>
        </w:rPr>
        <w:t xml:space="preserve">ج 16، ص 207.</w:t>
      </w:r>
    </w:p>
    <w:p>
      <w:pPr>
        <w:pStyle w:val="Heading2"/>
      </w:pPr>
      <w:bookmarkStart w:id="2743" w:name="_Toc1845"/>
      <w:r>
        <w:t>بروجردي طهراني محمّد حسین قرن 13ه-</w:t>
      </w:r>
      <w:bookmarkEnd w:id="2743"/>
    </w:p>
    <w:p>
      <w:pPr>
        <w:pStyle w:val="BookText"/>
      </w:pPr>
      <w:r>
        <w:rPr>
          <w:rFonts w:ascii="Amiri" w:hAnsi="Amiri" w:eastAsia="Amiri" w:cs="Amiri"/>
          <w:lang w:bidi="ar-SA"/>
          <w:color w:val="111111"/>
          <w:sz w:val="28"/>
          <w:szCs w:val="28"/>
          <w:rtl/>
        </w:rPr>
        <w:t xml:space="preserve">النجاة، ج 16، ص 144.</w:t>
      </w:r>
    </w:p>
    <w:p>
      <w:pPr>
        <w:pStyle w:val="Heading2"/>
      </w:pPr>
      <w:bookmarkStart w:id="2744" w:name="_Toc1846"/>
      <w:r>
        <w:t>بروجردي، عبدالله بن نوروزعلي، قرن 13ه-</w:t>
      </w:r>
      <w:bookmarkEnd w:id="2744"/>
    </w:p>
    <w:p>
      <w:pPr>
        <w:pStyle w:val="BookText"/>
      </w:pPr>
      <w:r>
        <w:rPr>
          <w:rFonts w:ascii="Amiri" w:hAnsi="Amiri" w:eastAsia="Amiri" w:cs="Amiri"/>
          <w:lang w:bidi="ar-SA"/>
          <w:color w:val="111111"/>
          <w:sz w:val="28"/>
          <w:szCs w:val="28"/>
          <w:rtl/>
        </w:rPr>
        <w:t xml:space="preserve">سرور الشيعة، ج8، ص 769.</w:t>
      </w:r>
    </w:p>
    <w:p>
      <w:pPr>
        <w:pStyle w:val="BookText"/>
      </w:pPr>
      <w:r>
        <w:rPr>
          <w:rFonts w:ascii="Amiri" w:hAnsi="Amiri" w:eastAsia="Amiri" w:cs="Amiri"/>
          <w:lang w:bidi="ar-SA"/>
          <w:color w:val="111111"/>
          <w:sz w:val="28"/>
          <w:szCs w:val="28"/>
          <w:rtl/>
        </w:rPr>
        <w:t xml:space="preserve">بروجردي ، علي اصغر بن علي اكبر- نير</w:t>
      </w:r>
    </w:p>
    <w:p>
      <w:pPr>
        <w:pStyle w:val="BookText"/>
      </w:pPr>
      <w:r>
        <w:rPr>
          <w:rFonts w:ascii="Amiri" w:hAnsi="Amiri" w:eastAsia="Amiri" w:cs="Amiri"/>
          <w:lang w:bidi="ar-SA"/>
          <w:color w:val="111111"/>
          <w:sz w:val="28"/>
          <w:szCs w:val="28"/>
          <w:rtl/>
        </w:rPr>
        <w:t xml:space="preserve">بروجردي ، علي اصغر بن علي اكبر</w:t>
      </w:r>
    </w:p>
    <w:p>
      <w:pPr>
        <w:pStyle w:val="Heading2"/>
      </w:pPr>
      <w:bookmarkStart w:id="2745" w:name="_Toc1847"/>
      <w:r>
        <w:t>بروجردي كاشاني ، محمّد تقي بن احمد</w:t>
      </w:r>
      <w:bookmarkEnd w:id="2745"/>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1 .عين البكاء، ج 11، ص 375.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لب عين البكاء، ج 13، ص 559.</w:t>
      </w:r>
    </w:p>
    <w:p>
      <w:pPr>
        <w:pStyle w:val="Heading2"/>
      </w:pPr>
      <w:bookmarkStart w:id="2746" w:name="_Toc1848"/>
      <w:r>
        <w:t>بروجردي ، محمّد رحيم بن محمّد</w:t>
      </w:r>
      <w:bookmarkEnd w:id="2746"/>
    </w:p>
    <w:p>
      <w:pPr>
        <w:pStyle w:val="BookText"/>
      </w:pPr>
      <w:r>
        <w:rPr>
          <w:rFonts w:ascii="IRNazanin" w:hAnsi="IRNazanin" w:eastAsia="IRNazanin" w:cs="IRNazanin"/>
          <w:lang w:bidi="fa-IR"/>
          <w:color w:val="111111"/>
          <w:sz w:val="28"/>
          <w:szCs w:val="28"/>
          <w:rtl/>
        </w:rPr>
        <w:t xml:space="preserve">1309 ه-</w:t>
      </w:r>
    </w:p>
    <w:p>
      <w:pPr>
        <w:pStyle w:val="BookText"/>
      </w:pPr>
      <w:r>
        <w:rPr>
          <w:rFonts w:ascii="Amiri" w:hAnsi="Amiri" w:eastAsia="Amiri" w:cs="Amiri"/>
          <w:lang w:bidi="ar-SA"/>
          <w:color w:val="111111"/>
          <w:sz w:val="28"/>
          <w:szCs w:val="28"/>
          <w:rtl/>
        </w:rPr>
        <w:t xml:space="preserve">هدية الرضوية = التحفة الرضوية</w:t>
      </w:r>
    </w:p>
    <w:p>
      <w:pPr>
        <w:pStyle w:val="BookText"/>
      </w:pPr>
      <w:r>
        <w:rPr>
          <w:rFonts w:ascii="IRNazanin" w:hAnsi="IRNazanin" w:eastAsia="IRNazanin" w:cs="IRNazanin"/>
          <w:lang w:bidi="fa-IR"/>
          <w:color w:val="111111"/>
          <w:sz w:val="28"/>
          <w:szCs w:val="28"/>
          <w:rtl/>
        </w:rPr>
        <w:t xml:space="preserve">ج 16، ص 640 .</w:t>
      </w:r>
    </w:p>
    <w:p>
      <w:pPr>
        <w:pStyle w:val="BookText"/>
      </w:pPr>
      <w:r>
        <w:rPr>
          <w:rFonts w:ascii="Amiri" w:hAnsi="Amiri" w:eastAsia="Amiri" w:cs="Amiri"/>
          <w:lang w:bidi="ar-SA"/>
          <w:color w:val="111111"/>
          <w:sz w:val="28"/>
          <w:szCs w:val="28"/>
          <w:rtl/>
        </w:rPr>
        <w:t xml:space="preserve">شرح الفية ابن مالك، ج 9، ص 224.</w:t>
      </w:r>
    </w:p>
    <w:p>
      <w:pPr>
        <w:pStyle w:val="Heading2"/>
      </w:pPr>
      <w:bookmarkStart w:id="2747" w:name="_Toc1849"/>
      <w:r>
        <w:t>بروجي هندي ، صبغة الله بن روح</w:t>
      </w:r>
      <w:bookmarkEnd w:id="2747"/>
    </w:p>
    <w:p>
      <w:pPr>
        <w:pStyle w:val="BookText"/>
      </w:pPr>
      <w:r>
        <w:rPr>
          <w:rFonts w:ascii="Amiri" w:hAnsi="Amiri" w:eastAsia="Amiri" w:cs="Amiri"/>
          <w:lang w:bidi="ar-SA"/>
          <w:color w:val="111111"/>
          <w:sz w:val="28"/>
          <w:szCs w:val="28"/>
          <w:rtl/>
        </w:rPr>
        <w:t xml:space="preserve">فائدة، ج 11، ص 567.</w:t>
      </w:r>
    </w:p>
    <w:p>
      <w:pPr>
        <w:pStyle w:val="Heading2"/>
      </w:pPr>
      <w:bookmarkStart w:id="2748" w:name="_Toc1850"/>
      <w:r>
        <w:t>بريدي ، صاعد بن محمّد قرن 6 ه-</w:t>
      </w:r>
      <w:bookmarkEnd w:id="2748"/>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1 .الحدود والحقايق، ج 6، ص 553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الصواب، ج 16، ص 529.</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8" w:name="pg7742_69902"/>
    <w:bookmarkEnd w:id="258"/>
    <w:p>
      <w:pPr>
        <w:pStyle w:val="Heading2"/>
      </w:pPr>
      <w:bookmarkStart w:id="2749" w:name="_Toc1851"/>
      <w:r>
        <w:t>بريفكاني ، عبدالحميد</w:t>
      </w:r>
      <w:bookmarkEnd w:id="2749"/>
    </w:p>
    <w:p>
      <w:pPr>
        <w:pStyle w:val="BookText"/>
      </w:pPr>
      <w:r>
        <w:rPr>
          <w:rFonts w:ascii="Amiri" w:hAnsi="Amiri" w:eastAsia="Amiri" w:cs="Amiri"/>
          <w:lang w:bidi="ar-SA"/>
          <w:color w:val="111111"/>
          <w:sz w:val="28"/>
          <w:szCs w:val="28"/>
          <w:rtl/>
        </w:rPr>
        <w:t xml:space="preserve">اجازة الطريقة القادرية، ج 1، ص220.</w:t>
      </w:r>
    </w:p>
    <w:p>
      <w:pPr>
        <w:pStyle w:val="Heading2"/>
      </w:pPr>
      <w:bookmarkStart w:id="2750" w:name="_Toc1852"/>
      <w:r>
        <w:t>بريفكاني ، نورالدين بن عبدالجبار 1205</w:t>
      </w:r>
      <w:bookmarkEnd w:id="27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1268ه-</w:t>
      </w:r>
    </w:p>
    <w:p>
      <w:pPr>
        <w:pStyle w:val="BookText"/>
      </w:pPr>
      <w:r>
        <w:rPr>
          <w:rFonts w:ascii="Amiri" w:hAnsi="Amiri" w:eastAsia="Amiri" w:cs="Amiri"/>
          <w:lang w:bidi="ar-SA"/>
          <w:color w:val="111111"/>
          <w:sz w:val="28"/>
          <w:szCs w:val="28"/>
          <w:rtl/>
        </w:rPr>
        <w:t xml:space="preserve">1 .البدور الجلية في ما مست اليه حاجات الفقراء الصوفية، ج3،</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Amiri" w:hAnsi="Amiri" w:eastAsia="Amiri" w:cs="Amiri"/>
          <w:lang w:bidi="ar-SA"/>
          <w:color w:val="111111"/>
          <w:sz w:val="28"/>
          <w:szCs w:val="28"/>
          <w:rtl/>
        </w:rPr>
        <w:t xml:space="preserve">2 .تخميس القصيدة الدمياطية، ج 4،</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بريفكاني، ج7، ص 589.</w:t>
      </w:r>
    </w:p>
    <w:p>
      <w:pPr>
        <w:pStyle w:val="BookText"/>
      </w:pPr>
      <w:r>
        <w:rPr>
          <w:rFonts w:ascii="Amiri" w:hAnsi="Amiri" w:eastAsia="Amiri" w:cs="Amiri"/>
          <w:lang w:bidi="ar-SA"/>
          <w:color w:val="111111"/>
          <w:sz w:val="28"/>
          <w:szCs w:val="28"/>
          <w:rtl/>
        </w:rPr>
        <w:t xml:space="preserve">4 .ذخرة السالكين ج 7، ص 816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منظومة، ج 15 ، ص 714.</w:t>
      </w:r>
    </w:p>
    <w:p>
      <w:pPr>
        <w:pStyle w:val="BookText"/>
      </w:pPr>
      <w:r>
        <w:rPr>
          <w:rFonts w:ascii="Amiri" w:hAnsi="Amiri" w:eastAsia="Amiri" w:cs="Amiri"/>
          <w:lang w:bidi="ar-SA"/>
          <w:color w:val="111111"/>
          <w:sz w:val="28"/>
          <w:szCs w:val="28"/>
          <w:rtl/>
        </w:rPr>
        <w:t xml:space="preserve">بريقيني ، محمّد بن محمّد- كردري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بريلوي ، نثار علي- بخاري بريلوي ، نثار</w:t>
      </w:r>
    </w:p>
    <w:p>
      <w:pPr>
        <w:pStyle w:val="BookText"/>
      </w:pPr>
      <w:r>
        <w:rPr>
          <w:rFonts w:ascii="Amiri" w:hAnsi="Amiri" w:eastAsia="Amiri" w:cs="Amiri"/>
          <w:lang w:bidi="ar-SA"/>
          <w:color w:val="111111"/>
          <w:sz w:val="28"/>
          <w:szCs w:val="28"/>
          <w:rtl/>
        </w:rPr>
        <w:t xml:space="preserve">علي بن اعظم علي</w:t>
      </w:r>
    </w:p>
    <w:p>
      <w:pPr>
        <w:pStyle w:val="Heading2"/>
      </w:pPr>
      <w:bookmarkStart w:id="2751" w:name="_Toc1853"/>
      <w:r>
        <w:t>بريلي ، محمّد بن عيسى - 400 ه-</w:t>
      </w:r>
      <w:bookmarkEnd w:id="2751"/>
    </w:p>
    <w:p>
      <w:pPr>
        <w:pStyle w:val="BookText"/>
      </w:pPr>
      <w:r>
        <w:rPr>
          <w:rFonts w:ascii="Amiri" w:hAnsi="Amiri" w:eastAsia="Amiri" w:cs="Amiri"/>
          <w:lang w:bidi="ar-SA"/>
          <w:color w:val="111111"/>
          <w:sz w:val="28"/>
          <w:szCs w:val="28"/>
          <w:rtl/>
        </w:rPr>
        <w:t xml:space="preserve">وقوف النبي (ص) في القرآن، ج 16،</w:t>
      </w:r>
    </w:p>
    <w:p>
      <w:pPr>
        <w:pStyle w:val="BookText"/>
      </w:pPr>
      <w:r>
        <w:rPr>
          <w:rFonts w:ascii="IRNazanin" w:hAnsi="IRNazanin" w:eastAsia="IRNazanin" w:cs="IRNazanin"/>
          <w:lang w:bidi="fa-IR"/>
          <w:color w:val="111111"/>
          <w:sz w:val="28"/>
          <w:szCs w:val="28"/>
          <w:rtl/>
        </w:rPr>
        <w:t xml:space="preserve">ص 880</w:t>
      </w:r>
    </w:p>
    <w:p>
      <w:pPr>
        <w:pStyle w:val="Heading2"/>
      </w:pPr>
      <w:bookmarkStart w:id="2752" w:name="_Toc1854"/>
      <w:r>
        <w:t>بزاز ، احمد بن عمرو، 210 - 292 ه-</w:t>
      </w:r>
      <w:bookmarkEnd w:id="2752"/>
    </w:p>
    <w:p>
      <w:pPr>
        <w:pStyle w:val="BookText"/>
      </w:pPr>
      <w:r>
        <w:rPr>
          <w:rFonts w:ascii="Amiri" w:hAnsi="Amiri" w:eastAsia="Amiri" w:cs="Amiri"/>
          <w:lang w:bidi="ar-SA"/>
          <w:color w:val="111111"/>
          <w:sz w:val="28"/>
          <w:szCs w:val="28"/>
          <w:rtl/>
        </w:rPr>
        <w:t xml:space="preserve">المسند البزاز = البحر الزاخر = المسند الكبير، ج 14، ص 597.</w:t>
      </w:r>
    </w:p>
    <w:p>
      <w:pPr>
        <w:pStyle w:val="BookText"/>
      </w:pPr>
      <w:r>
        <w:rPr>
          <w:rFonts w:ascii="IRNazanin" w:hAnsi="IRNazanin" w:eastAsia="IRNazanin" w:cs="IRNazanin"/>
          <w:lang w:bidi="fa-IR"/>
          <w:color w:val="111111"/>
          <w:sz w:val="28"/>
          <w:szCs w:val="28"/>
          <w:rtl/>
        </w:rPr>
        <w:t xml:space="preserve">بزاز ، حسن بن احمد- ابن شاذان ، حسن</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2753" w:name="_Toc1855"/>
      <w:r>
        <w:t>بزاز، حسن بن حسين، 1261 - 1305ه-</w:t>
      </w:r>
      <w:bookmarkEnd w:id="2753"/>
    </w:p>
    <w:p>
      <w:pPr>
        <w:pStyle w:val="BookText"/>
      </w:pPr>
      <w:r>
        <w:rPr>
          <w:rFonts w:ascii="IRNazanin" w:hAnsi="IRNazanin" w:eastAsia="IRNazanin" w:cs="IRNazanin"/>
          <w:lang w:bidi="fa-IR"/>
          <w:color w:val="111111"/>
          <w:sz w:val="28"/>
          <w:szCs w:val="28"/>
          <w:rtl/>
        </w:rPr>
        <w:t xml:space="preserve">1 .تخمیس، ج4، ص103</w:t>
      </w:r>
    </w:p>
    <w:p>
      <w:pPr>
        <w:pStyle w:val="BookText"/>
      </w:pPr>
      <w:r>
        <w:rPr>
          <w:rFonts w:ascii="Amiri" w:hAnsi="Amiri" w:eastAsia="Amiri" w:cs="Amiri"/>
          <w:lang w:bidi="ar-SA"/>
          <w:color w:val="111111"/>
          <w:sz w:val="28"/>
          <w:szCs w:val="28"/>
          <w:rtl/>
        </w:rPr>
        <w:t xml:space="preserve">2 .تخميس القصيدة العينية، ج 4،</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 قصيدة عبدالغني النابلسي</w:t>
      </w:r>
    </w:p>
    <w:p>
      <w:pPr>
        <w:pStyle w:val="BookText"/>
      </w:pPr>
      <w:r>
        <w:rPr>
          <w:rFonts w:ascii="IRNazanin" w:hAnsi="IRNazanin" w:eastAsia="IRNazanin" w:cs="IRNazanin"/>
          <w:lang w:bidi="fa-IR"/>
          <w:color w:val="111111"/>
          <w:sz w:val="28"/>
          <w:szCs w:val="28"/>
          <w:rtl/>
        </w:rPr>
        <w:t xml:space="preserve">ج 4، ص 132.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تقريض، ج4، ص 779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ديوان البزاز، ج 7، ص 589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مناجاة، ج 15 ، ص 473 .</w:t>
      </w:r>
    </w:p>
    <w:p>
      <w:pPr>
        <w:pStyle w:val="BookText"/>
      </w:pPr>
      <w:r>
        <w:rPr>
          <w:rFonts w:ascii="IRNazanin" w:hAnsi="IRNazanin" w:eastAsia="IRNazanin" w:cs="IRNazanin"/>
          <w:lang w:bidi="fa-IR"/>
          <w:color w:val="111111"/>
          <w:sz w:val="28"/>
          <w:szCs w:val="28"/>
          <w:rtl/>
        </w:rPr>
        <w:t xml:space="preserve">بزاز ، عبدالرحمن بن عمر -ابن نحاس</w:t>
      </w:r>
    </w:p>
    <w:p>
      <w:pPr>
        <w:pStyle w:val="BookText"/>
      </w:pPr>
      <w:r>
        <w:rPr>
          <w:rFonts w:ascii="IRNazanin" w:hAnsi="IRNazanin" w:eastAsia="IRNazanin" w:cs="IRNazanin"/>
          <w:lang w:bidi="fa-IR"/>
          <w:color w:val="111111"/>
          <w:sz w:val="28"/>
          <w:szCs w:val="28"/>
          <w:rtl/>
        </w:rPr>
        <w:t xml:space="preserve">عبدالرحمن بن عمر</w:t>
      </w:r>
    </w:p>
    <w:p>
      <w:pPr>
        <w:pStyle w:val="BookText"/>
      </w:pPr>
      <w:r>
        <w:rPr>
          <w:rFonts w:ascii="Amiri" w:hAnsi="Amiri" w:eastAsia="Amiri" w:cs="Amiri"/>
          <w:lang w:bidi="ar-SA"/>
          <w:color w:val="111111"/>
          <w:sz w:val="28"/>
          <w:szCs w:val="28"/>
          <w:rtl/>
        </w:rPr>
        <w:t xml:space="preserve">بزاز ، عبدالله بن محمّد -ابن ناقيا</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بزاز كوفي ، خلاد- سندي ، خلاد</w:t>
      </w:r>
    </w:p>
    <w:p>
      <w:pPr>
        <w:pStyle w:val="Heading2"/>
      </w:pPr>
      <w:bookmarkStart w:id="2754" w:name="_Toc1856"/>
      <w:r>
        <w:t>بزاز كوفي ، هارون بن حاتم - 246 ه-</w:t>
      </w:r>
      <w:bookmarkEnd w:id="2754"/>
    </w:p>
    <w:p>
      <w:pPr>
        <w:pStyle w:val="BookText"/>
      </w:pPr>
      <w:r>
        <w:rPr>
          <w:rFonts w:ascii="Amiri" w:hAnsi="Amiri" w:eastAsia="Amiri" w:cs="Amiri"/>
          <w:lang w:bidi="ar-SA"/>
          <w:color w:val="111111"/>
          <w:sz w:val="28"/>
          <w:szCs w:val="28"/>
          <w:rtl/>
        </w:rPr>
        <w:t xml:space="preserve">تاريخ ابي بشر هارون بن حاتم البزاز</w:t>
      </w:r>
    </w:p>
    <w:p>
      <w:pPr>
        <w:pStyle w:val="BookText"/>
      </w:pPr>
      <w:r>
        <w:rPr>
          <w:rFonts w:ascii="Amiri" w:hAnsi="Amiri" w:eastAsia="Amiri" w:cs="Amiri"/>
          <w:lang w:bidi="ar-SA"/>
          <w:color w:val="111111"/>
          <w:sz w:val="28"/>
          <w:szCs w:val="28"/>
          <w:rtl/>
        </w:rPr>
        <w:t xml:space="preserve">الكوفي، ج 3، ص 544.</w:t>
      </w:r>
    </w:p>
    <w:p>
      <w:pPr>
        <w:pStyle w:val="Heading2"/>
      </w:pPr>
      <w:bookmarkStart w:id="2755" w:name="_Toc1857"/>
      <w:r>
        <w:t>بزاز ، محمّد بن علي قرن 13 ه-</w:t>
      </w:r>
      <w:bookmarkEnd w:id="2755"/>
    </w:p>
    <w:p>
      <w:pPr>
        <w:pStyle w:val="BookText"/>
      </w:pPr>
      <w:r>
        <w:rPr>
          <w:rFonts w:ascii="Amiri" w:hAnsi="Amiri" w:eastAsia="Amiri" w:cs="Amiri"/>
          <w:lang w:bidi="ar-SA"/>
          <w:color w:val="111111"/>
          <w:sz w:val="28"/>
          <w:szCs w:val="28"/>
          <w:rtl/>
        </w:rPr>
        <w:t xml:space="preserve">مقتل ابي عبد الله الحسين، ج 15</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IRNazanin" w:hAnsi="IRNazanin" w:eastAsia="IRNazanin" w:cs="IRNazanin"/>
          <w:lang w:bidi="fa-IR"/>
          <w:color w:val="111111"/>
          <w:sz w:val="28"/>
          <w:szCs w:val="28"/>
          <w:rtl/>
        </w:rPr>
        <w:t xml:space="preserve">بزاز ، محمّد بن مظفر- ابن مظفر ،</w:t>
      </w:r>
    </w:p>
    <w:p>
      <w:pPr>
        <w:pStyle w:val="BookText"/>
      </w:pPr>
      <w:r>
        <w:rPr>
          <w:rFonts w:ascii="IRNazanin" w:hAnsi="IRNazanin" w:eastAsia="IRNazanin" w:cs="IRNazanin"/>
          <w:lang w:bidi="fa-IR"/>
          <w:color w:val="111111"/>
          <w:sz w:val="28"/>
          <w:szCs w:val="28"/>
          <w:rtl/>
        </w:rPr>
        <w:t xml:space="preserve">محمّد بن مظفر</w:t>
      </w:r>
    </w:p>
    <w:p>
      <w:pPr>
        <w:pStyle w:val="Heading2"/>
      </w:pPr>
      <w:bookmarkStart w:id="2756" w:name="_Toc1858"/>
      <w:r>
        <w:t>بزدوي ، علي بن محمّد، 400 - 482 ه-</w:t>
      </w:r>
      <w:bookmarkEnd w:id="2756"/>
    </w:p>
    <w:p>
      <w:pPr>
        <w:pStyle w:val="BookText"/>
      </w:pPr>
      <w:r>
        <w:rPr>
          <w:rFonts w:ascii="Amiri" w:hAnsi="Amiri" w:eastAsia="Amiri" w:cs="Amiri"/>
          <w:lang w:bidi="ar-SA"/>
          <w:color w:val="111111"/>
          <w:sz w:val="28"/>
          <w:szCs w:val="28"/>
          <w:rtl/>
        </w:rPr>
        <w:t xml:space="preserve">كنز الوصول إلى معاني الاصول =</w:t>
      </w:r>
    </w:p>
    <w:p>
      <w:pPr>
        <w:pStyle w:val="BookText"/>
      </w:pPr>
      <w:r>
        <w:rPr>
          <w:rFonts w:ascii="IRNazanin" w:hAnsi="IRNazanin" w:eastAsia="IRNazanin" w:cs="IRNazanin"/>
          <w:lang w:bidi="fa-IR"/>
          <w:color w:val="111111"/>
          <w:sz w:val="28"/>
          <w:szCs w:val="28"/>
          <w:rtl/>
        </w:rPr>
        <w:t xml:space="preserve">اصول الفقه، ج13، ص 440.</w:t>
      </w:r>
    </w:p>
    <w:p>
      <w:pPr>
        <w:pStyle w:val="Heading2"/>
      </w:pPr>
      <w:bookmarkStart w:id="2757" w:name="_Toc1859"/>
      <w:r>
        <w:t>بزري، عمر بن محمّد، 471 - 560 ه-</w:t>
      </w:r>
      <w:bookmarkEnd w:id="2757"/>
    </w:p>
    <w:p>
      <w:pPr>
        <w:pStyle w:val="BookText"/>
      </w:pPr>
      <w:r>
        <w:rPr>
          <w:rFonts w:ascii="Amiri" w:hAnsi="Amiri" w:eastAsia="Amiri" w:cs="Amiri"/>
          <w:lang w:bidi="ar-SA"/>
          <w:color w:val="111111"/>
          <w:sz w:val="28"/>
          <w:szCs w:val="28"/>
          <w:rtl/>
        </w:rPr>
        <w:t xml:space="preserve">شرح المسائل المتناقضة من المهذب</w:t>
      </w:r>
    </w:p>
    <w:p>
      <w:pPr>
        <w:pStyle w:val="BookText"/>
      </w:pPr>
      <w:r>
        <w:rPr>
          <w:rFonts w:ascii="IRNazanin" w:hAnsi="IRNazanin" w:eastAsia="IRNazanin" w:cs="IRNazanin"/>
          <w:lang w:bidi="fa-IR"/>
          <w:color w:val="111111"/>
          <w:sz w:val="28"/>
          <w:szCs w:val="28"/>
          <w:rtl/>
        </w:rPr>
        <w:t xml:space="preserve">ج 10، ص 137.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9" w:name="pg7742_69904"/>
    <w:bookmarkEnd w:id="259"/>
    <w:p>
      <w:pPr>
        <w:pStyle w:val="Heading2"/>
      </w:pPr>
      <w:bookmarkStart w:id="2758" w:name="_Toc1860"/>
      <w:r>
        <w:t>بساطي ، يوسف بن خالد 741 - 829 ه-</w:t>
      </w:r>
      <w:bookmarkEnd w:id="27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التاريخ (كتاب في)، ج 3، ص 537.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فتح الكنوز و فك الرموز في شرح</w:t>
      </w:r>
    </w:p>
    <w:p>
      <w:pPr>
        <w:pStyle w:val="BookText"/>
      </w:pPr>
      <w:r>
        <w:rPr>
          <w:rFonts w:ascii="Amiri" w:hAnsi="Amiri" w:eastAsia="Amiri" w:cs="Amiri"/>
          <w:lang w:bidi="ar-SA"/>
          <w:color w:val="111111"/>
          <w:sz w:val="28"/>
          <w:szCs w:val="28"/>
          <w:rtl/>
        </w:rPr>
        <w:t xml:space="preserve">البردة، ج 11 ، ص 669 .</w:t>
      </w:r>
    </w:p>
    <w:p>
      <w:pPr>
        <w:pStyle w:val="BookText"/>
      </w:pPr>
      <w:r>
        <w:rPr>
          <w:rFonts w:ascii="IRNazanin" w:hAnsi="IRNazanin" w:eastAsia="IRNazanin" w:cs="IRNazanin"/>
          <w:lang w:bidi="fa-IR"/>
          <w:color w:val="111111"/>
          <w:sz w:val="28"/>
          <w:szCs w:val="28"/>
          <w:rtl/>
        </w:rPr>
        <w:t xml:space="preserve">بسام ، محمّد بن خلف -ابن مرزبان</w:t>
      </w:r>
    </w:p>
    <w:p>
      <w:pPr>
        <w:pStyle w:val="BookText"/>
      </w:pPr>
      <w:r>
        <w:rPr>
          <w:rFonts w:ascii="Amiri" w:hAnsi="Amiri" w:eastAsia="Amiri" w:cs="Amiri"/>
          <w:lang w:bidi="ar-SA"/>
          <w:color w:val="111111"/>
          <w:sz w:val="28"/>
          <w:szCs w:val="28"/>
          <w:rtl/>
        </w:rPr>
        <w:t xml:space="preserve">محمّد بن خلف</w:t>
      </w:r>
    </w:p>
    <w:p>
      <w:pPr>
        <w:pStyle w:val="Heading2"/>
      </w:pPr>
      <w:bookmarkStart w:id="2759" w:name="_Toc1861"/>
      <w:r>
        <w:t>بستان ،زاده محمّد بن مصطفى 1016ه-</w:t>
      </w:r>
      <w:bookmarkEnd w:id="27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روح الشروح على المقصود = شرح المقصود لابي حنيفة، ج8، ص379.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قصيدة البردة، ج 9، ص 850.</w:t>
      </w:r>
    </w:p>
    <w:p>
      <w:pPr>
        <w:pStyle w:val="BookText"/>
      </w:pPr>
      <w:r>
        <w:rPr>
          <w:rFonts w:ascii="Amiri" w:hAnsi="Amiri" w:eastAsia="Amiri" w:cs="Amiri"/>
          <w:lang w:bidi="ar-SA"/>
          <w:color w:val="111111"/>
          <w:sz w:val="28"/>
          <w:szCs w:val="28"/>
          <w:rtl/>
        </w:rPr>
        <w:t xml:space="preserve">3 .المنقحات المشروحة في علمي المعاني</w:t>
      </w:r>
    </w:p>
    <w:p>
      <w:pPr>
        <w:pStyle w:val="BookText"/>
      </w:pPr>
      <w:r>
        <w:rPr>
          <w:rFonts w:ascii="Amiri" w:hAnsi="Amiri" w:eastAsia="Amiri" w:cs="Amiri"/>
          <w:lang w:bidi="ar-SA"/>
          <w:color w:val="111111"/>
          <w:sz w:val="28"/>
          <w:szCs w:val="28"/>
          <w:rtl/>
        </w:rPr>
        <w:t xml:space="preserve">و البيان، ج 15 ، ص 732.</w:t>
      </w:r>
    </w:p>
    <w:p>
      <w:pPr>
        <w:pStyle w:val="BookText"/>
      </w:pPr>
      <w:r>
        <w:rPr>
          <w:rFonts w:ascii="Amiri" w:hAnsi="Amiri" w:eastAsia="Amiri" w:cs="Amiri"/>
          <w:lang w:bidi="ar-SA"/>
          <w:color w:val="111111"/>
          <w:sz w:val="28"/>
          <w:szCs w:val="28"/>
          <w:rtl/>
        </w:rPr>
        <w:t xml:space="preserve">بستاني ، احمد- حياتي ، احمد بن احمد</w:t>
      </w:r>
    </w:p>
    <w:p>
      <w:pPr>
        <w:pStyle w:val="Heading2"/>
      </w:pPr>
      <w:bookmarkStart w:id="2760" w:name="_Toc1862"/>
      <w:r>
        <w:t>بستاني ، بطرس، 1819 - 1883 م</w:t>
      </w:r>
      <w:bookmarkEnd w:id="2760"/>
    </w:p>
    <w:p>
      <w:pPr>
        <w:pStyle w:val="BookText"/>
      </w:pPr>
      <w:r>
        <w:rPr>
          <w:rFonts w:ascii="Amiri" w:hAnsi="Amiri" w:eastAsia="Amiri" w:cs="Amiri"/>
          <w:lang w:bidi="ar-SA"/>
          <w:color w:val="111111"/>
          <w:sz w:val="28"/>
          <w:szCs w:val="28"/>
          <w:rtl/>
        </w:rPr>
        <w:t xml:space="preserve">كشف الحجاب في علم الحساب</w:t>
      </w:r>
    </w:p>
    <w:p>
      <w:pPr>
        <w:pStyle w:val="BookText"/>
      </w:pPr>
      <w:r>
        <w:rPr>
          <w:rFonts w:ascii="IRNazanin" w:hAnsi="IRNazanin" w:eastAsia="IRNazanin" w:cs="IRNazanin"/>
          <w:lang w:bidi="fa-IR"/>
          <w:color w:val="111111"/>
          <w:sz w:val="28"/>
          <w:szCs w:val="28"/>
          <w:rtl/>
        </w:rPr>
        <w:t xml:space="preserve">ج 13، ص 202.</w:t>
      </w:r>
    </w:p>
    <w:p>
      <w:pPr>
        <w:pStyle w:val="Heading2"/>
      </w:pPr>
      <w:bookmarkStart w:id="2761" w:name="_Toc1863"/>
      <w:r>
        <w:t>بستي ، احمد بن عبدالرحمن</w:t>
      </w:r>
      <w:bookmarkEnd w:id="2761"/>
    </w:p>
    <w:p>
      <w:pPr>
        <w:pStyle w:val="BookText"/>
      </w:pPr>
      <w:r>
        <w:rPr>
          <w:rFonts w:ascii="Amiri" w:hAnsi="Amiri" w:eastAsia="Amiri" w:cs="Amiri"/>
          <w:lang w:bidi="ar-SA"/>
          <w:color w:val="111111"/>
          <w:sz w:val="28"/>
          <w:szCs w:val="28"/>
          <w:rtl/>
        </w:rPr>
        <w:t xml:space="preserve">شرح الرحبية، ج 9، ص 505.</w:t>
      </w:r>
    </w:p>
    <w:p>
      <w:pPr>
        <w:pStyle w:val="Heading2"/>
      </w:pPr>
      <w:bookmarkStart w:id="2762" w:name="_Toc1864"/>
      <w:r>
        <w:t>بستي ، حسن بن محمود</w:t>
      </w:r>
      <w:bookmarkEnd w:id="2762"/>
    </w:p>
    <w:p>
      <w:pPr>
        <w:pStyle w:val="BookText"/>
      </w:pPr>
      <w:r>
        <w:rPr>
          <w:rFonts w:ascii="Amiri" w:hAnsi="Amiri" w:eastAsia="Amiri" w:cs="Amiri"/>
          <w:lang w:bidi="ar-SA"/>
          <w:color w:val="111111"/>
          <w:sz w:val="28"/>
          <w:szCs w:val="28"/>
          <w:rtl/>
        </w:rPr>
        <w:t xml:space="preserve">شرح الدعاء السيفي، ج 9، ص 463.</w:t>
      </w:r>
    </w:p>
    <w:p>
      <w:pPr>
        <w:pStyle w:val="BookText"/>
      </w:pPr>
      <w:r>
        <w:rPr>
          <w:rFonts w:ascii="Amiri" w:hAnsi="Amiri" w:eastAsia="Amiri" w:cs="Amiri"/>
          <w:lang w:bidi="ar-SA"/>
          <w:color w:val="111111"/>
          <w:sz w:val="28"/>
          <w:szCs w:val="28"/>
          <w:rtl/>
        </w:rPr>
        <w:t xml:space="preserve">بستي ، علي بن محمّد -ابوالفتح بستي ،</w:t>
      </w:r>
    </w:p>
    <w:p>
      <w:pPr>
        <w:pStyle w:val="BookText"/>
      </w:pPr>
      <w:r>
        <w:rPr>
          <w:rFonts w:ascii="Amiri" w:hAnsi="Amiri" w:eastAsia="Amiri" w:cs="Amiri"/>
          <w:lang w:bidi="ar-SA"/>
          <w:color w:val="111111"/>
          <w:sz w:val="28"/>
          <w:szCs w:val="28"/>
          <w:rtl/>
        </w:rPr>
        <w:t xml:space="preserve">علي بن محمّد</w:t>
      </w:r>
    </w:p>
    <w:p>
      <w:pPr>
        <w:pStyle w:val="Heading2"/>
      </w:pPr>
      <w:bookmarkStart w:id="2763" w:name="_Toc1865"/>
      <w:r>
        <w:t>بستي مالكي ، احمد بن محمّد</w:t>
      </w:r>
      <w:bookmarkEnd w:id="2763"/>
    </w:p>
    <w:p>
      <w:pPr>
        <w:pStyle w:val="BookText"/>
      </w:pPr>
      <w:r>
        <w:rPr>
          <w:rFonts w:ascii="Amiri" w:hAnsi="Amiri" w:eastAsia="Amiri" w:cs="Amiri"/>
          <w:lang w:bidi="ar-SA"/>
          <w:color w:val="111111"/>
          <w:sz w:val="28"/>
          <w:szCs w:val="28"/>
          <w:rtl/>
        </w:rPr>
        <w:t xml:space="preserve">تقريظ، ج4، ص 784.</w:t>
      </w:r>
    </w:p>
    <w:p>
      <w:pPr>
        <w:pStyle w:val="BookText"/>
      </w:pPr>
      <w:r>
        <w:rPr>
          <w:rFonts w:ascii="Amiri" w:hAnsi="Amiri" w:eastAsia="Amiri" w:cs="Amiri"/>
          <w:lang w:bidi="ar-SA"/>
          <w:color w:val="111111"/>
          <w:sz w:val="28"/>
          <w:szCs w:val="28"/>
          <w:rtl/>
        </w:rPr>
        <w:t xml:space="preserve">بستي ، محمّد بن حبان- ابن حبان ،</w:t>
      </w:r>
    </w:p>
    <w:p>
      <w:pPr>
        <w:pStyle w:val="BookText"/>
      </w:pPr>
      <w:r>
        <w:rPr>
          <w:rFonts w:ascii="IRNazanin" w:hAnsi="IRNazanin" w:eastAsia="IRNazanin" w:cs="IRNazanin"/>
          <w:lang w:bidi="fa-IR"/>
          <w:color w:val="111111"/>
          <w:sz w:val="28"/>
          <w:szCs w:val="28"/>
          <w:rtl/>
        </w:rPr>
        <w:t xml:space="preserve">محمّد بن حبان</w:t>
      </w:r>
    </w:p>
    <w:p>
      <w:pPr>
        <w:pStyle w:val="BookText"/>
      </w:pPr>
      <w:r>
        <w:rPr>
          <w:rFonts w:ascii="Amiri" w:hAnsi="Amiri" w:eastAsia="Amiri" w:cs="Amiri"/>
          <w:lang w:bidi="ar-SA"/>
          <w:color w:val="111111"/>
          <w:sz w:val="28"/>
          <w:szCs w:val="28"/>
          <w:rtl/>
        </w:rPr>
        <w:t xml:space="preserve">بسطامي ، بايزيد بايزيد- بسطامي ،</w:t>
      </w:r>
    </w:p>
    <w:p>
      <w:pPr>
        <w:pStyle w:val="BookText"/>
      </w:pPr>
      <w:r>
        <w:rPr>
          <w:rFonts w:ascii="Amiri" w:hAnsi="Amiri" w:eastAsia="Amiri" w:cs="Amiri"/>
          <w:lang w:bidi="ar-SA"/>
          <w:color w:val="111111"/>
          <w:sz w:val="28"/>
          <w:szCs w:val="28"/>
          <w:rtl/>
        </w:rPr>
        <w:t xml:space="preserve">طيفور بن عيسى</w:t>
      </w:r>
    </w:p>
    <w:p>
      <w:pPr>
        <w:pStyle w:val="Heading2"/>
      </w:pPr>
      <w:bookmarkStart w:id="2764" w:name="_Toc1866"/>
      <w:r>
        <w:t>بسطامي ، جلال الدین احمد قرن 9 ه-</w:t>
      </w:r>
      <w:bookmarkEnd w:id="2764"/>
    </w:p>
    <w:p>
      <w:pPr>
        <w:pStyle w:val="BookText"/>
      </w:pPr>
      <w:r>
        <w:rPr>
          <w:rFonts w:ascii="Amiri" w:hAnsi="Amiri" w:eastAsia="Amiri" w:cs="Amiri"/>
          <w:lang w:bidi="ar-SA"/>
          <w:color w:val="111111"/>
          <w:sz w:val="28"/>
          <w:szCs w:val="28"/>
          <w:rtl/>
        </w:rPr>
        <w:t xml:space="preserve">تحفة السفرة إلى حضرة البررة، ج 3،</w:t>
      </w:r>
    </w:p>
    <w:p>
      <w:pPr>
        <w:pStyle w:val="BookText"/>
      </w:pPr>
      <w:r>
        <w:rPr>
          <w:rFonts w:ascii="IRNazanin" w:hAnsi="IRNazanin" w:eastAsia="IRNazanin" w:cs="IRNazanin"/>
          <w:lang w:bidi="fa-IR"/>
          <w:color w:val="111111"/>
          <w:sz w:val="28"/>
          <w:szCs w:val="28"/>
          <w:rtl/>
        </w:rPr>
        <w:t xml:space="preserve">ص 846.</w:t>
      </w:r>
    </w:p>
    <w:p>
      <w:pPr>
        <w:pStyle w:val="Heading2"/>
      </w:pPr>
      <w:bookmarkStart w:id="2765" w:name="_Toc1867"/>
      <w:r>
        <w:t>بسطامي ، ذوالفقار خان بن علي اكبر</w:t>
      </w:r>
      <w:bookmarkEnd w:id="2765"/>
    </w:p>
    <w:p>
      <w:pPr>
        <w:pStyle w:val="BookText"/>
      </w:pPr>
      <w:r>
        <w:rPr>
          <w:rFonts w:ascii="Amiri" w:hAnsi="Amiri" w:eastAsia="Amiri" w:cs="Amiri"/>
          <w:lang w:bidi="ar-SA"/>
          <w:color w:val="111111"/>
          <w:sz w:val="28"/>
          <w:szCs w:val="28"/>
          <w:rtl/>
        </w:rPr>
        <w:t xml:space="preserve">1 .سؤال بسطامي از سبزواري = شرح حديث المعرفة بالنورانية، ج8،</w:t>
      </w:r>
    </w:p>
    <w:p>
      <w:pPr>
        <w:pStyle w:val="BookText"/>
      </w:pPr>
      <w:r>
        <w:rPr>
          <w:rFonts w:ascii="IRNazanin" w:hAnsi="IRNazanin" w:eastAsia="IRNazanin" w:cs="IRNazanin"/>
          <w:lang w:bidi="fa-IR"/>
          <w:color w:val="111111"/>
          <w:sz w:val="28"/>
          <w:szCs w:val="28"/>
          <w:rtl/>
        </w:rPr>
        <w:t xml:space="preserve">ص 678.</w:t>
      </w:r>
    </w:p>
    <w:p>
      <w:pPr>
        <w:pStyle w:val="BookText"/>
      </w:pPr>
      <w:r>
        <w:rPr>
          <w:rFonts w:ascii="Amiri" w:hAnsi="Amiri" w:eastAsia="Amiri" w:cs="Amiri"/>
          <w:lang w:bidi="ar-SA"/>
          <w:color w:val="111111"/>
          <w:sz w:val="28"/>
          <w:szCs w:val="28"/>
          <w:rtl/>
        </w:rPr>
        <w:t xml:space="preserve">2 .شرح حديث النورانية، ج 9، ص 405.</w:t>
      </w:r>
    </w:p>
    <w:p>
      <w:pPr>
        <w:pStyle w:val="Heading2"/>
      </w:pPr>
      <w:bookmarkStart w:id="2766" w:name="_Toc1868"/>
      <w:r>
        <w:t>بسطامي عبدالرحمن بن محمّد 858- ه-</w:t>
      </w:r>
      <w:bookmarkEnd w:id="27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الادعية المنتخبة في الادوية المجربة</w:t>
      </w:r>
    </w:p>
    <w:p>
      <w:pPr>
        <w:pStyle w:val="BookText"/>
      </w:pPr>
      <w:r>
        <w:rPr>
          <w:rFonts w:ascii="IRNazanin" w:hAnsi="IRNazanin" w:eastAsia="IRNazanin" w:cs="IRNazanin"/>
          <w:lang w:bidi="fa-IR"/>
          <w:color w:val="111111"/>
          <w:sz w:val="28"/>
          <w:szCs w:val="28"/>
          <w:rtl/>
        </w:rPr>
        <w:t xml:space="preserve">ج 1 ، ص 637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درة الاسرار و روضة الانوار في مناقب الابرار من الصفوة الاخيار</w:t>
      </w:r>
    </w:p>
    <w:p>
      <w:pPr>
        <w:pStyle w:val="BookText"/>
      </w:pPr>
      <w:r>
        <w:rPr>
          <w:rFonts w:ascii="IRNazanin" w:hAnsi="IRNazanin" w:eastAsia="IRNazanin" w:cs="IRNazanin"/>
          <w:lang w:bidi="fa-IR"/>
          <w:color w:val="111111"/>
          <w:sz w:val="28"/>
          <w:szCs w:val="28"/>
          <w:rtl/>
        </w:rPr>
        <w:t xml:space="preserve">ج 7، ص221</w:t>
      </w:r>
    </w:p>
    <w:p>
      <w:pPr>
        <w:pStyle w:val="BookText"/>
      </w:pPr>
      <w:r>
        <w:rPr>
          <w:rFonts w:ascii="Amiri" w:hAnsi="Amiri" w:eastAsia="Amiri" w:cs="Amiri"/>
          <w:lang w:bidi="ar-SA"/>
          <w:color w:val="111111"/>
          <w:sz w:val="28"/>
          <w:szCs w:val="28"/>
          <w:rtl/>
        </w:rPr>
        <w:t xml:space="preserve">3 .روضة الأسرار في مناقب الشيخ عبد القادر الكيلاني، ج8، ص 403.</w:t>
      </w:r>
    </w:p>
    <w:p>
      <w:pPr>
        <w:pStyle w:val="BookText"/>
      </w:pPr>
      <w:r>
        <w:rPr>
          <w:rFonts w:ascii="Amiri" w:hAnsi="Amiri" w:eastAsia="Amiri" w:cs="Amiri"/>
          <w:lang w:bidi="ar-SA"/>
          <w:color w:val="111111"/>
          <w:sz w:val="28"/>
          <w:szCs w:val="28"/>
          <w:rtl/>
        </w:rPr>
        <w:t xml:space="preserve">4 .شرح الكافي، ج 10، ص23.</w:t>
      </w:r>
    </w:p>
    <w:p>
      <w:pPr>
        <w:pStyle w:val="BookText"/>
      </w:pPr>
      <w:r>
        <w:rPr>
          <w:rFonts w:ascii="Amiri" w:hAnsi="Amiri" w:eastAsia="Amiri" w:cs="Amiri"/>
          <w:lang w:bidi="ar-SA"/>
          <w:color w:val="111111"/>
          <w:sz w:val="28"/>
          <w:szCs w:val="28"/>
          <w:rtl/>
        </w:rPr>
        <w:t xml:space="preserve">5 .شرح اللمعة النورانية في الاوراد</w:t>
      </w:r>
    </w:p>
    <w:p>
      <w:pPr>
        <w:pStyle w:val="BookText"/>
      </w:pPr>
      <w:r>
        <w:rPr>
          <w:rFonts w:ascii="Amiri" w:hAnsi="Amiri" w:eastAsia="Amiri" w:cs="Amiri"/>
          <w:lang w:bidi="ar-SA"/>
          <w:color w:val="111111"/>
          <w:sz w:val="28"/>
          <w:szCs w:val="28"/>
          <w:rtl/>
        </w:rPr>
        <w:t xml:space="preserve">الربانية، ج 10، ص 91 .</w:t>
      </w:r>
    </w:p>
    <w:p>
      <w:pPr>
        <w:pStyle w:val="BookText"/>
      </w:pPr>
      <w:r>
        <w:rPr>
          <w:rFonts w:ascii="Amiri" w:hAnsi="Amiri" w:eastAsia="Amiri" w:cs="Amiri"/>
          <w:lang w:bidi="ar-SA"/>
          <w:color w:val="111111"/>
          <w:sz w:val="28"/>
          <w:szCs w:val="28"/>
          <w:rtl/>
        </w:rPr>
        <w:t xml:space="preserve">6 .الفوائح المسكية و الفوائح المكية</w:t>
      </w:r>
    </w:p>
    <w:p>
      <w:pPr>
        <w:pStyle w:val="BookText"/>
      </w:pPr>
      <w:r>
        <w:rPr>
          <w:rFonts w:ascii="IRNazanin" w:hAnsi="IRNazanin" w:eastAsia="IRNazanin" w:cs="IRNazanin"/>
          <w:lang w:bidi="fa-IR"/>
          <w:color w:val="111111"/>
          <w:sz w:val="28"/>
          <w:szCs w:val="28"/>
          <w:rtl/>
        </w:rPr>
        <w:t xml:space="preserve">ج 12 ، ص 166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0" w:name="pg7742_69906"/>
    <w:bookmarkEnd w:id="26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مفاتیح اسرار الحروف و مصابیح</w:t>
      </w:r>
    </w:p>
    <w:p>
      <w:pPr>
        <w:pStyle w:val="BookText"/>
      </w:pPr>
      <w:r>
        <w:rPr>
          <w:rFonts w:ascii="IRNazanin" w:hAnsi="IRNazanin" w:eastAsia="IRNazanin" w:cs="IRNazanin"/>
          <w:lang w:bidi="fa-IR"/>
          <w:color w:val="111111"/>
          <w:sz w:val="28"/>
          <w:szCs w:val="28"/>
          <w:rtl/>
        </w:rPr>
        <w:t xml:space="preserve">انوار الظروف، ج 15 ، ص 145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مناهج التوسل في مباهج الترسل</w:t>
      </w:r>
    </w:p>
    <w:p>
      <w:pPr>
        <w:pStyle w:val="BookText"/>
      </w:pPr>
      <w:r>
        <w:rPr>
          <w:rFonts w:ascii="Amiri" w:hAnsi="Amiri" w:eastAsia="Amiri" w:cs="Amiri"/>
          <w:lang w:bidi="ar-SA"/>
          <w:color w:val="111111"/>
          <w:sz w:val="28"/>
          <w:szCs w:val="28"/>
          <w:rtl/>
        </w:rPr>
        <w:t xml:space="preserve">9 .ووصف الدواء في كشف آفات الوباء</w:t>
      </w:r>
    </w:p>
    <w:p>
      <w:pPr>
        <w:pStyle w:val="BookText"/>
      </w:pPr>
      <w:r>
        <w:rPr>
          <w:rFonts w:ascii="IRNazanin" w:hAnsi="IRNazanin" w:eastAsia="IRNazanin" w:cs="IRNazanin"/>
          <w:lang w:bidi="fa-IR"/>
          <w:color w:val="111111"/>
          <w:sz w:val="28"/>
          <w:szCs w:val="28"/>
          <w:rtl/>
        </w:rPr>
        <w:t xml:space="preserve">ج 16، ص 804.</w:t>
      </w:r>
    </w:p>
    <w:p>
      <w:pPr>
        <w:pStyle w:val="Heading2"/>
      </w:pPr>
      <w:bookmarkStart w:id="2767" w:name="_Toc1869"/>
      <w:r>
        <w:t>بسطامي ، علي بن طيفور قرن 11 ه-</w:t>
      </w:r>
      <w:bookmarkEnd w:id="27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انوار التحقيق = كلمات خواجه</w:t>
      </w:r>
    </w:p>
    <w:p>
      <w:pPr>
        <w:pStyle w:val="BookText"/>
      </w:pPr>
      <w:r>
        <w:rPr>
          <w:rFonts w:ascii="Amiri" w:hAnsi="Amiri" w:eastAsia="Amiri" w:cs="Amiri"/>
          <w:lang w:bidi="ar-SA"/>
          <w:color w:val="111111"/>
          <w:sz w:val="28"/>
          <w:szCs w:val="28"/>
          <w:rtl/>
        </w:rPr>
        <w:t xml:space="preserve">عبدالله انصاري، ج 2، ص 846.</w:t>
      </w:r>
    </w:p>
    <w:p>
      <w:pPr>
        <w:pStyle w:val="BookText"/>
      </w:pPr>
      <w:r>
        <w:rPr>
          <w:rFonts w:ascii="Amiri" w:hAnsi="Amiri" w:eastAsia="Amiri" w:cs="Amiri"/>
          <w:lang w:bidi="ar-SA"/>
          <w:color w:val="111111"/>
          <w:sz w:val="28"/>
          <w:szCs w:val="28"/>
          <w:rtl/>
        </w:rPr>
        <w:t xml:space="preserve">2 .تحفه ملكي = ترجمه عيون اخبار</w:t>
      </w:r>
    </w:p>
    <w:p>
      <w:pPr>
        <w:pStyle w:val="BookText"/>
      </w:pPr>
      <w:r>
        <w:rPr>
          <w:rFonts w:ascii="IRNazanin" w:hAnsi="IRNazanin" w:eastAsia="IRNazanin" w:cs="IRNazanin"/>
          <w:lang w:bidi="fa-IR"/>
          <w:color w:val="111111"/>
          <w:sz w:val="28"/>
          <w:szCs w:val="28"/>
          <w:rtl/>
        </w:rPr>
        <w:t xml:space="preserve">الرضا (ع)، ج 4، ص 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مكارم الاخلاق (ترجمه)، ج 15،</w:t>
      </w:r>
    </w:p>
    <w:p>
      <w:pPr>
        <w:pStyle w:val="BookText"/>
      </w:pPr>
      <w:r>
        <w:rPr>
          <w:rFonts w:ascii="IRNazanin" w:hAnsi="IRNazanin" w:eastAsia="IRNazanin" w:cs="IRNazanin"/>
          <w:lang w:bidi="fa-IR"/>
          <w:color w:val="111111"/>
          <w:sz w:val="28"/>
          <w:szCs w:val="28"/>
          <w:rtl/>
        </w:rPr>
        <w:t xml:space="preserve">ص 411 .</w:t>
      </w:r>
    </w:p>
    <w:p>
      <w:pPr>
        <w:pStyle w:val="BookText"/>
      </w:pPr>
      <w:r>
        <w:rPr>
          <w:rFonts w:ascii="Amiri" w:hAnsi="Amiri" w:eastAsia="Amiri" w:cs="Amiri"/>
          <w:lang w:bidi="ar-SA"/>
          <w:color w:val="111111"/>
          <w:sz w:val="28"/>
          <w:szCs w:val="28"/>
          <w:rtl/>
        </w:rPr>
        <w:t xml:space="preserve">بسطامي ، علي بن عنايت الله- بايزيد ثاني</w:t>
      </w:r>
    </w:p>
    <w:p>
      <w:pPr>
        <w:pStyle w:val="BookText"/>
      </w:pPr>
      <w:r>
        <w:rPr>
          <w:rFonts w:ascii="Amiri" w:hAnsi="Amiri" w:eastAsia="Amiri" w:cs="Amiri"/>
          <w:lang w:bidi="ar-SA"/>
          <w:color w:val="111111"/>
          <w:sz w:val="28"/>
          <w:szCs w:val="28"/>
          <w:rtl/>
        </w:rPr>
        <w:t xml:space="preserve">بسطامي ، علي بن عنايت الله</w:t>
      </w:r>
    </w:p>
    <w:p>
      <w:pPr>
        <w:pStyle w:val="BookText"/>
      </w:pPr>
      <w:r>
        <w:rPr>
          <w:rFonts w:ascii="Amiri" w:hAnsi="Amiri" w:eastAsia="Amiri" w:cs="Amiri"/>
          <w:lang w:bidi="ar-SA"/>
          <w:color w:val="111111"/>
          <w:sz w:val="28"/>
          <w:szCs w:val="28"/>
          <w:rtl/>
        </w:rPr>
        <w:t xml:space="preserve">بسطامي ، علي بن محمّد -مصنفك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بسطامي ، فصيح بن عبد الكريم -نظامي</w:t>
      </w:r>
    </w:p>
    <w:p>
      <w:pPr>
        <w:pStyle w:val="BookText"/>
      </w:pPr>
      <w:r>
        <w:rPr>
          <w:rFonts w:ascii="Amiri" w:hAnsi="Amiri" w:eastAsia="Amiri" w:cs="Amiri"/>
          <w:lang w:bidi="ar-SA"/>
          <w:color w:val="111111"/>
          <w:sz w:val="28"/>
          <w:szCs w:val="28"/>
          <w:rtl/>
        </w:rPr>
        <w:t xml:space="preserve">بسطامي ، فصيح بن عبدالكريم</w:t>
      </w:r>
    </w:p>
    <w:p>
      <w:pPr>
        <w:pStyle w:val="BookText"/>
      </w:pPr>
      <w:r>
        <w:rPr>
          <w:rFonts w:ascii="Amiri" w:hAnsi="Amiri" w:eastAsia="Amiri" w:cs="Amiri"/>
          <w:lang w:bidi="ar-SA"/>
          <w:color w:val="111111"/>
          <w:sz w:val="28"/>
          <w:szCs w:val="28"/>
          <w:rtl/>
        </w:rPr>
        <w:t xml:space="preserve">بسطامي ، محمّد بن شرف- شاهرودي</w:t>
      </w:r>
    </w:p>
    <w:p>
      <w:pPr>
        <w:pStyle w:val="BookText"/>
      </w:pPr>
      <w:r>
        <w:rPr>
          <w:rFonts w:ascii="IRNazanin" w:hAnsi="IRNazanin" w:eastAsia="IRNazanin" w:cs="IRNazanin"/>
          <w:lang w:bidi="fa-IR"/>
          <w:color w:val="111111"/>
          <w:sz w:val="28"/>
          <w:szCs w:val="28"/>
          <w:rtl/>
        </w:rPr>
        <w:t xml:space="preserve">ص 410.</w:t>
      </w:r>
    </w:p>
    <w:p>
      <w:pPr>
        <w:pStyle w:val="BookText"/>
      </w:pPr>
      <w:r>
        <w:rPr>
          <w:rFonts w:ascii="Amiri" w:hAnsi="Amiri" w:eastAsia="Amiri" w:cs="Amiri"/>
          <w:lang w:bidi="ar-SA"/>
          <w:color w:val="111111"/>
          <w:sz w:val="28"/>
          <w:szCs w:val="28"/>
          <w:rtl/>
        </w:rPr>
        <w:t xml:space="preserve">محمّد بن شرف</w:t>
      </w:r>
    </w:p>
    <w:p>
      <w:pPr>
        <w:pStyle w:val="Heading2"/>
      </w:pPr>
      <w:bookmarkStart w:id="2768" w:name="_Toc1870"/>
      <w:r>
        <w:t>بسطامي ، محمّد بن عبد الحميد</w:t>
      </w:r>
      <w:bookmarkEnd w:id="2768"/>
    </w:p>
    <w:p>
      <w:pPr>
        <w:pStyle w:val="BookText"/>
      </w:pPr>
      <w:r>
        <w:rPr>
          <w:rFonts w:ascii="Amiri" w:hAnsi="Amiri" w:eastAsia="Amiri" w:cs="Amiri"/>
          <w:lang w:bidi="ar-SA"/>
          <w:color w:val="111111"/>
          <w:sz w:val="28"/>
          <w:szCs w:val="28"/>
          <w:rtl/>
        </w:rPr>
        <w:t xml:space="preserve">مناقب ابي يزيد البسطامي ، ج 15 ،</w:t>
      </w:r>
    </w:p>
    <w:p>
      <w:pPr>
        <w:pStyle w:val="BookText"/>
      </w:pPr>
      <w:r>
        <w:rPr>
          <w:rFonts w:ascii="IRNazanin" w:hAnsi="IRNazanin" w:eastAsia="IRNazanin" w:cs="IRNazanin"/>
          <w:lang w:bidi="fa-IR"/>
          <w:color w:val="111111"/>
          <w:sz w:val="28"/>
          <w:szCs w:val="28"/>
          <w:rtl/>
        </w:rPr>
        <w:t xml:space="preserve">ص 538.</w:t>
      </w:r>
    </w:p>
    <w:p>
      <w:pPr>
        <w:pStyle w:val="BookText"/>
      </w:pPr>
      <w:r>
        <w:rPr>
          <w:rFonts w:ascii="IRNazanin" w:hAnsi="IRNazanin" w:eastAsia="IRNazanin" w:cs="IRNazanin"/>
          <w:lang w:bidi="fa-IR"/>
          <w:color w:val="111111"/>
          <w:sz w:val="28"/>
          <w:szCs w:val="28"/>
          <w:rtl/>
        </w:rPr>
        <w:t xml:space="preserve">بسطامي ، محمّد بن عنایت الله- بایزید</w:t>
      </w:r>
    </w:p>
    <w:p>
      <w:pPr>
        <w:pStyle w:val="BookText"/>
      </w:pPr>
      <w:r>
        <w:rPr>
          <w:rFonts w:ascii="Amiri" w:hAnsi="Amiri" w:eastAsia="Amiri" w:cs="Amiri"/>
          <w:lang w:bidi="ar-SA"/>
          <w:color w:val="111111"/>
          <w:sz w:val="28"/>
          <w:szCs w:val="28"/>
          <w:rtl/>
        </w:rPr>
        <w:t xml:space="preserve">ثاني بسطامي ، علي بن عنايت الله</w:t>
      </w:r>
    </w:p>
    <w:p>
      <w:pPr>
        <w:pStyle w:val="BookText"/>
      </w:pPr>
      <w:r>
        <w:rPr>
          <w:rFonts w:ascii="Amiri" w:hAnsi="Amiri" w:eastAsia="Amiri" w:cs="Amiri"/>
          <w:lang w:bidi="ar-SA"/>
          <w:color w:val="111111"/>
          <w:sz w:val="28"/>
          <w:szCs w:val="28"/>
          <w:rtl/>
        </w:rPr>
        <w:t xml:space="preserve">بسطامي ، نوروز علي بن محمّد</w:t>
      </w:r>
    </w:p>
    <w:p>
      <w:pPr>
        <w:pStyle w:val="BookText"/>
      </w:pPr>
      <w:r>
        <w:rPr>
          <w:rFonts w:ascii="Amiri" w:hAnsi="Amiri" w:eastAsia="Amiri" w:cs="Amiri"/>
          <w:lang w:bidi="ar-SA"/>
          <w:color w:val="111111"/>
          <w:sz w:val="28"/>
          <w:szCs w:val="28"/>
          <w:rtl/>
        </w:rPr>
        <w:t xml:space="preserve">باقر -فاضل بسطامي ، نوروز علي بن محمّد باقر</w:t>
      </w:r>
    </w:p>
    <w:p>
      <w:pPr>
        <w:pStyle w:val="Heading2"/>
      </w:pPr>
      <w:bookmarkStart w:id="2769" w:name="_Toc1871"/>
      <w:r>
        <w:t>بسنوي ، عبدالله بن محمّد، 992-1054ه-</w:t>
      </w:r>
      <w:bookmarkEnd w:id="2769"/>
    </w:p>
    <w:p>
      <w:pPr>
        <w:pStyle w:val="BookText"/>
      </w:pPr>
      <w:r>
        <w:rPr>
          <w:rFonts w:ascii="IRNazanin" w:hAnsi="IRNazanin" w:eastAsia="IRNazanin" w:cs="IRNazanin"/>
          <w:lang w:bidi="fa-IR"/>
          <w:color w:val="111111"/>
          <w:sz w:val="28"/>
          <w:szCs w:val="28"/>
          <w:rtl/>
        </w:rPr>
        <w:t xml:space="preserve">دستور الإنشاء، ج 7، ص377.</w:t>
      </w:r>
    </w:p>
    <w:p>
      <w:pPr>
        <w:pStyle w:val="Heading2"/>
      </w:pPr>
      <w:bookmarkStart w:id="2770" w:name="_Toc1872"/>
      <w:r>
        <w:t>بشاوري، عبد الله بن عبد اللطيف، قرن 14ه-</w:t>
      </w:r>
      <w:bookmarkEnd w:id="2770"/>
    </w:p>
    <w:p>
      <w:pPr>
        <w:pStyle w:val="BookText"/>
      </w:pPr>
      <w:r>
        <w:rPr>
          <w:rFonts w:ascii="Amiri" w:hAnsi="Amiri" w:eastAsia="Amiri" w:cs="Amiri"/>
          <w:lang w:bidi="ar-SA"/>
          <w:color w:val="111111"/>
          <w:sz w:val="28"/>
          <w:szCs w:val="28"/>
          <w:rtl/>
        </w:rPr>
        <w:t xml:space="preserve">تسهيل الوصول إلى علم الاصول، ج 4،</w:t>
      </w:r>
    </w:p>
    <w:p>
      <w:pPr>
        <w:pStyle w:val="BookText"/>
      </w:pPr>
      <w:r>
        <w:rPr>
          <w:rFonts w:ascii="IRNazanin" w:hAnsi="IRNazanin" w:eastAsia="IRNazanin" w:cs="IRNazanin"/>
          <w:lang w:bidi="fa-IR"/>
          <w:color w:val="111111"/>
          <w:sz w:val="28"/>
          <w:szCs w:val="28"/>
          <w:rtl/>
        </w:rPr>
        <w:t xml:space="preserve">ص 358.</w:t>
      </w:r>
    </w:p>
    <w:p>
      <w:pPr>
        <w:pStyle w:val="BookText"/>
      </w:pPr>
      <w:r>
        <w:rPr>
          <w:rFonts w:ascii="Amiri" w:hAnsi="Amiri" w:eastAsia="Amiri" w:cs="Amiri"/>
          <w:lang w:bidi="ar-SA"/>
          <w:color w:val="111111"/>
          <w:sz w:val="28"/>
          <w:szCs w:val="28"/>
          <w:rtl/>
        </w:rPr>
        <w:t xml:space="preserve">بشبغاوي ، علي بن سودون- ابن سودون علي بن سودون</w:t>
      </w:r>
    </w:p>
    <w:p>
      <w:pPr>
        <w:pStyle w:val="Heading2"/>
      </w:pPr>
      <w:bookmarkStart w:id="2771" w:name="_Toc1873"/>
      <w:r>
        <w:t>بشتكي ، محمّد بن ابراهيم - 830 ه-</w:t>
      </w:r>
      <w:bookmarkEnd w:id="2771"/>
    </w:p>
    <w:p>
      <w:pPr>
        <w:pStyle w:val="BookText"/>
      </w:pPr>
      <w:r>
        <w:rPr>
          <w:rFonts w:ascii="Amiri" w:hAnsi="Amiri" w:eastAsia="Amiri" w:cs="Amiri"/>
          <w:lang w:bidi="ar-SA"/>
          <w:color w:val="111111"/>
          <w:sz w:val="28"/>
          <w:szCs w:val="28"/>
          <w:rtl/>
        </w:rPr>
        <w:t xml:space="preserve">مركز الاحاطة بادباء القرناطة، ج 14</w:t>
      </w:r>
    </w:p>
    <w:p>
      <w:pPr>
        <w:pStyle w:val="Heading2"/>
      </w:pPr>
      <w:bookmarkStart w:id="2772" w:name="_Toc1874"/>
      <w:r>
        <w:t>بشدري ، حسين قرن 13 ه-</w:t>
      </w:r>
      <w:bookmarkEnd w:id="2772"/>
    </w:p>
    <w:p>
      <w:pPr>
        <w:pStyle w:val="BookText"/>
      </w:pPr>
      <w:r>
        <w:rPr>
          <w:rFonts w:ascii="Amiri" w:hAnsi="Amiri" w:eastAsia="Amiri" w:cs="Amiri"/>
          <w:lang w:bidi="ar-SA"/>
          <w:color w:val="111111"/>
          <w:sz w:val="28"/>
          <w:szCs w:val="28"/>
          <w:rtl/>
        </w:rPr>
        <w:t xml:space="preserve">المباحث الشريفة في مناقب الامام ابي</w:t>
      </w:r>
    </w:p>
    <w:p>
      <w:pPr>
        <w:pStyle w:val="BookText"/>
      </w:pPr>
      <w:r>
        <w:rPr>
          <w:rFonts w:ascii="Amiri" w:hAnsi="Amiri" w:eastAsia="Amiri" w:cs="Amiri"/>
          <w:lang w:bidi="ar-SA"/>
          <w:color w:val="111111"/>
          <w:sz w:val="28"/>
          <w:szCs w:val="28"/>
          <w:rtl/>
        </w:rPr>
        <w:t xml:space="preserve">حنيفه، ج13، ص 715.</w:t>
      </w:r>
    </w:p>
    <w:p>
      <w:pPr>
        <w:pStyle w:val="Heading2"/>
      </w:pPr>
      <w:bookmarkStart w:id="2773" w:name="_Toc1875"/>
      <w:r>
        <w:t>بشدري ، حسين بن عبدالله - 1322 ه-</w:t>
      </w:r>
      <w:bookmarkEnd w:id="27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للسيّد نعمان الآلوسي جا</w:t>
      </w:r>
    </w:p>
    <w:p>
      <w:pPr>
        <w:pStyle w:val="BookText"/>
      </w:pPr>
      <w:r>
        <w:rPr>
          <w:rFonts w:ascii="IRNazanin" w:hAnsi="IRNazanin" w:eastAsia="IRNazanin" w:cs="IRNazanin"/>
          <w:lang w:bidi="fa-IR"/>
          <w:color w:val="111111"/>
          <w:sz w:val="28"/>
          <w:szCs w:val="28"/>
          <w:rtl/>
        </w:rPr>
        <w:t xml:space="preserve">ص 260.</w:t>
      </w:r>
    </w:p>
    <w:p>
      <w:pPr>
        <w:pStyle w:val="BookText"/>
      </w:pPr>
      <w:r>
        <w:rPr>
          <w:rFonts w:ascii="Amiri" w:hAnsi="Amiri" w:eastAsia="Amiri" w:cs="Amiri"/>
          <w:lang w:bidi="ar-SA"/>
          <w:color w:val="111111"/>
          <w:sz w:val="28"/>
          <w:szCs w:val="28"/>
          <w:rtl/>
        </w:rPr>
        <w:t xml:space="preserve">2 .شرح تشريح الافلاك، ج9، ص332.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1" w:name="pg7742_69908"/>
    <w:bookmarkEnd w:id="261"/>
    <w:p>
      <w:pPr>
        <w:pStyle w:val="BookText"/>
      </w:pPr>
      <w:r>
        <w:rPr>
          <w:rFonts w:ascii="Amiri" w:hAnsi="Amiri" w:eastAsia="Amiri" w:cs="Amiri"/>
          <w:lang w:bidi="ar-SA"/>
          <w:color w:val="111111"/>
          <w:sz w:val="28"/>
          <w:szCs w:val="28"/>
          <w:rtl/>
        </w:rPr>
        <w:t xml:space="preserve">بشر بن عوانة العبدي الجاهلي - عبدي</w:t>
      </w:r>
    </w:p>
    <w:p>
      <w:pPr>
        <w:pStyle w:val="BookText"/>
      </w:pPr>
      <w:r>
        <w:rPr>
          <w:rFonts w:ascii="Amiri" w:hAnsi="Amiri" w:eastAsia="Amiri" w:cs="Amiri"/>
          <w:lang w:bidi="ar-SA"/>
          <w:color w:val="111111"/>
          <w:sz w:val="28"/>
          <w:szCs w:val="28"/>
          <w:rtl/>
        </w:rPr>
        <w:t xml:space="preserve">جاهلي ، بشر بن عوانة</w:t>
      </w:r>
    </w:p>
    <w:p>
      <w:pPr>
        <w:pStyle w:val="BookText"/>
      </w:pPr>
      <w:r>
        <w:rPr>
          <w:rFonts w:ascii="Amiri" w:hAnsi="Amiri" w:eastAsia="Amiri" w:cs="Amiri"/>
          <w:lang w:bidi="ar-SA"/>
          <w:color w:val="111111"/>
          <w:sz w:val="28"/>
          <w:szCs w:val="28"/>
          <w:rtl/>
        </w:rPr>
        <w:t xml:space="preserve">بشروي توني ، احمد بن محمّد- توني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2774" w:name="_Toc1876"/>
      <w:r>
        <w:t>بشروي خراساني ، حسن بن محمّد باقر .</w:t>
      </w:r>
      <w:bookmarkEnd w:id="2774"/>
    </w:p>
    <w:p>
      <w:pPr>
        <w:pStyle w:val="BookText"/>
      </w:pPr>
      <w:r>
        <w:rPr>
          <w:rFonts w:ascii="IRNazanin" w:hAnsi="IRNazanin" w:eastAsia="IRNazanin" w:cs="IRNazanin"/>
          <w:lang w:bidi="fa-IR"/>
          <w:color w:val="111111"/>
          <w:sz w:val="28"/>
          <w:szCs w:val="28"/>
          <w:rtl/>
        </w:rPr>
        <w:t xml:space="preserve">1248 ؟ ه-</w:t>
      </w:r>
    </w:p>
    <w:p>
      <w:pPr>
        <w:pStyle w:val="BookText"/>
      </w:pPr>
      <w:r>
        <w:rPr>
          <w:rFonts w:ascii="IRNazanin" w:hAnsi="IRNazanin" w:eastAsia="IRNazanin" w:cs="IRNazanin"/>
          <w:lang w:bidi="fa-IR"/>
          <w:color w:val="111111"/>
          <w:sz w:val="28"/>
          <w:szCs w:val="28"/>
          <w:rtl/>
        </w:rPr>
        <w:t xml:space="preserve">جوامع العلم، ج 5، ص 529.</w:t>
      </w:r>
    </w:p>
    <w:p>
      <w:pPr>
        <w:pStyle w:val="BookText"/>
      </w:pPr>
      <w:r>
        <w:rPr>
          <w:rFonts w:ascii="Amiri" w:hAnsi="Amiri" w:eastAsia="Amiri" w:cs="Amiri"/>
          <w:lang w:bidi="ar-SA"/>
          <w:color w:val="111111"/>
          <w:sz w:val="28"/>
          <w:szCs w:val="28"/>
          <w:rtl/>
        </w:rPr>
        <w:t xml:space="preserve">بشروي ، عبد الله بن محمّد -توني ، عبدالله</w:t>
      </w:r>
    </w:p>
    <w:p>
      <w:pPr>
        <w:pStyle w:val="BookText"/>
      </w:pPr>
      <w:r>
        <w:rPr>
          <w:rFonts w:ascii="Amiri" w:hAnsi="Amiri" w:eastAsia="Amiri" w:cs="Amiri"/>
          <w:lang w:bidi="ar-SA"/>
          <w:color w:val="111111"/>
          <w:sz w:val="28"/>
          <w:szCs w:val="28"/>
          <w:rtl/>
        </w:rPr>
        <w:t xml:space="preserve">بن محمّد</w:t>
      </w:r>
    </w:p>
    <w:p>
      <w:pPr>
        <w:pStyle w:val="Heading2"/>
      </w:pPr>
      <w:bookmarkStart w:id="2775" w:name="_Toc1877"/>
      <w:r>
        <w:t>بشيشي ، احمد بن عبداللطيف 1041 -</w:t>
      </w:r>
      <w:bookmarkEnd w:id="2775"/>
    </w:p>
    <w:p>
      <w:pPr>
        <w:pStyle w:val="BookText"/>
      </w:pPr>
      <w:r>
        <w:rPr>
          <w:rFonts w:ascii="IRNazanin" w:hAnsi="IRNazanin" w:eastAsia="IRNazanin" w:cs="IRNazanin"/>
          <w:lang w:bidi="fa-IR"/>
          <w:color w:val="111111"/>
          <w:sz w:val="28"/>
          <w:szCs w:val="28"/>
          <w:rtl/>
        </w:rPr>
        <w:t xml:space="preserve">1096ه-</w:t>
      </w:r>
    </w:p>
    <w:p>
      <w:pPr>
        <w:pStyle w:val="BookText"/>
      </w:pPr>
      <w:r>
        <w:rPr>
          <w:rFonts w:ascii="Amiri" w:hAnsi="Amiri" w:eastAsia="Amiri" w:cs="Amiri"/>
          <w:lang w:bidi="ar-SA"/>
          <w:color w:val="111111"/>
          <w:sz w:val="28"/>
          <w:szCs w:val="28"/>
          <w:rtl/>
        </w:rPr>
        <w:t xml:space="preserve">التحفة السنية بأجوبة الأسئلة المرضية</w:t>
      </w:r>
    </w:p>
    <w:p>
      <w:pPr>
        <w:pStyle w:val="BookText"/>
      </w:pPr>
      <w:r>
        <w:rPr>
          <w:rFonts w:ascii="IRNazanin" w:hAnsi="IRNazanin" w:eastAsia="IRNazanin" w:cs="IRNazanin"/>
          <w:lang w:bidi="fa-IR"/>
          <w:color w:val="111111"/>
          <w:sz w:val="28"/>
          <w:szCs w:val="28"/>
          <w:rtl/>
        </w:rPr>
        <w:t xml:space="preserve">ج 3، ص 850.</w:t>
      </w:r>
    </w:p>
    <w:p>
      <w:pPr>
        <w:pStyle w:val="Heading2"/>
      </w:pPr>
      <w:bookmarkStart w:id="2776" w:name="_Toc1878"/>
      <w:r>
        <w:t>بصراوي ، محمّد بن محمّد</w:t>
      </w:r>
      <w:bookmarkEnd w:id="2776"/>
    </w:p>
    <w:p>
      <w:pPr>
        <w:pStyle w:val="BookText"/>
      </w:pPr>
      <w:r>
        <w:rPr>
          <w:rFonts w:ascii="Amiri" w:hAnsi="Amiri" w:eastAsia="Amiri" w:cs="Amiri"/>
          <w:lang w:bidi="ar-SA"/>
          <w:color w:val="111111"/>
          <w:sz w:val="28"/>
          <w:szCs w:val="28"/>
          <w:rtl/>
        </w:rPr>
        <w:t xml:space="preserve">فهرس كتب المرتضى، ج 12، ص 162.</w:t>
      </w:r>
    </w:p>
    <w:p>
      <w:pPr>
        <w:pStyle w:val="Heading2"/>
      </w:pPr>
      <w:bookmarkStart w:id="2777" w:name="_Toc1879"/>
      <w:r>
        <w:t>بصروي ، علي بن يوسف - 905 ه-</w:t>
      </w:r>
      <w:bookmarkEnd w:id="2777"/>
    </w:p>
    <w:p>
      <w:pPr>
        <w:pStyle w:val="BookText"/>
      </w:pPr>
      <w:r>
        <w:rPr>
          <w:rFonts w:ascii="Amiri" w:hAnsi="Amiri" w:eastAsia="Amiri" w:cs="Amiri"/>
          <w:lang w:bidi="ar-SA"/>
          <w:color w:val="111111"/>
          <w:sz w:val="28"/>
          <w:szCs w:val="28"/>
          <w:rtl/>
        </w:rPr>
        <w:t xml:space="preserve">شرح القصيدة المنفرجة، ج 9، ص 896.</w:t>
      </w:r>
    </w:p>
    <w:p>
      <w:pPr>
        <w:pStyle w:val="Heading2"/>
      </w:pPr>
      <w:bookmarkStart w:id="2778" w:name="_Toc1880"/>
      <w:r>
        <w:t>بصري ، احمد بن عبد الرضا قرن 11 ه-</w:t>
      </w:r>
      <w:bookmarkEnd w:id="2778"/>
    </w:p>
    <w:p>
      <w:pPr>
        <w:pStyle w:val="BookText"/>
      </w:pPr>
      <w:r>
        <w:rPr>
          <w:rFonts w:ascii="Amiri" w:hAnsi="Amiri" w:eastAsia="Amiri" w:cs="Amiri"/>
          <w:lang w:bidi="ar-SA"/>
          <w:color w:val="111111"/>
          <w:sz w:val="28"/>
          <w:szCs w:val="28"/>
          <w:rtl/>
        </w:rPr>
        <w:t xml:space="preserve">1 .صلاة الليل، ج 10، ص 612.</w:t>
      </w:r>
    </w:p>
    <w:p>
      <w:pPr>
        <w:pStyle w:val="BookText"/>
      </w:pPr>
      <w:r>
        <w:rPr>
          <w:rFonts w:ascii="IRNazanin" w:hAnsi="IRNazanin" w:eastAsia="IRNazanin" w:cs="IRNazanin"/>
          <w:lang w:bidi="fa-IR"/>
          <w:color w:val="111111"/>
          <w:sz w:val="28"/>
          <w:szCs w:val="28"/>
          <w:rtl/>
        </w:rPr>
        <w:t xml:space="preserve">2 .مصباح الصلاح و مفتاح النجاح</w:t>
      </w:r>
    </w:p>
    <w:p>
      <w:pPr>
        <w:pStyle w:val="BookText"/>
      </w:pPr>
      <w:r>
        <w:rPr>
          <w:rFonts w:ascii="IRNazanin" w:hAnsi="IRNazanin" w:eastAsia="IRNazanin" w:cs="IRNazanin"/>
          <w:lang w:bidi="fa-IR"/>
          <w:color w:val="111111"/>
          <w:sz w:val="28"/>
          <w:szCs w:val="28"/>
          <w:rtl/>
        </w:rPr>
        <w:t xml:space="preserve">ج 14 ، ص 714 .</w:t>
      </w:r>
    </w:p>
    <w:p>
      <w:pPr>
        <w:pStyle w:val="BookText"/>
      </w:pPr>
      <w:r>
        <w:rPr>
          <w:rFonts w:ascii="Amiri" w:hAnsi="Amiri" w:eastAsia="Amiri" w:cs="Amiri"/>
          <w:lang w:bidi="ar-SA"/>
          <w:color w:val="111111"/>
          <w:sz w:val="28"/>
          <w:szCs w:val="28"/>
          <w:rtl/>
        </w:rPr>
        <w:t xml:space="preserve">3 .النافعة فى اعمال شهر رمضان، ج 16</w:t>
      </w:r>
    </w:p>
    <w:p>
      <w:pPr>
        <w:pStyle w:val="BookText"/>
      </w:pPr>
      <w:r>
        <w:rPr>
          <w:rFonts w:ascii="IRNazanin" w:hAnsi="IRNazanin" w:eastAsia="IRNazanin" w:cs="IRNazanin"/>
          <w:lang w:bidi="fa-IR"/>
          <w:color w:val="111111"/>
          <w:sz w:val="28"/>
          <w:szCs w:val="28"/>
          <w:rtl/>
        </w:rPr>
        <w:t xml:space="preserve">ص 94 .</w:t>
      </w:r>
    </w:p>
    <w:p>
      <w:pPr>
        <w:pStyle w:val="Heading2"/>
      </w:pPr>
      <w:bookmarkStart w:id="2779" w:name="_Toc1881"/>
      <w:r>
        <w:t>بصري ، احمد نور بن محمّد شریف .</w:t>
      </w:r>
      <w:bookmarkEnd w:id="2779"/>
    </w:p>
    <w:p>
      <w:pPr>
        <w:pStyle w:val="BookText"/>
      </w:pPr>
      <w:r>
        <w:rPr>
          <w:rFonts w:ascii="IRNazanin" w:hAnsi="IRNazanin" w:eastAsia="IRNazanin" w:cs="IRNazanin"/>
          <w:lang w:bidi="fa-IR"/>
          <w:color w:val="111111"/>
          <w:sz w:val="28"/>
          <w:szCs w:val="28"/>
          <w:rtl/>
        </w:rPr>
        <w:t xml:space="preserve">1302 ه-</w:t>
      </w:r>
    </w:p>
    <w:p>
      <w:pPr>
        <w:pStyle w:val="BookText"/>
      </w:pPr>
      <w:r>
        <w:rPr>
          <w:rFonts w:ascii="Amiri" w:hAnsi="Amiri" w:eastAsia="Amiri" w:cs="Amiri"/>
          <w:lang w:bidi="ar-SA"/>
          <w:color w:val="111111"/>
          <w:sz w:val="28"/>
          <w:szCs w:val="28"/>
          <w:rtl/>
        </w:rPr>
        <w:t xml:space="preserve">1 .الابانة في تحريض من له ديانة</w:t>
      </w:r>
    </w:p>
    <w:p>
      <w:pPr>
        <w:pStyle w:val="BookText"/>
      </w:pPr>
      <w:r>
        <w:rPr>
          <w:rFonts w:ascii="IRNazanin" w:hAnsi="IRNazanin" w:eastAsia="IRNazanin" w:cs="IRNazanin"/>
          <w:lang w:bidi="fa-IR"/>
          <w:color w:val="111111"/>
          <w:sz w:val="28"/>
          <w:szCs w:val="28"/>
          <w:rtl/>
        </w:rPr>
        <w:t xml:space="preserve">ج 1، ص 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مساجد البصرة، ج 14، ص 499.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النصرة في اخبار البصرة، ج 16،</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Amiri" w:hAnsi="Amiri" w:eastAsia="Amiri" w:cs="Amiri"/>
          <w:lang w:bidi="ar-SA"/>
          <w:color w:val="111111"/>
          <w:sz w:val="28"/>
          <w:szCs w:val="28"/>
          <w:rtl/>
        </w:rPr>
        <w:t xml:space="preserve">4 .نظم العدة و السلاح في النكاح</w:t>
      </w:r>
    </w:p>
    <w:p>
      <w:pPr>
        <w:pStyle w:val="BookText"/>
      </w:pPr>
      <w:r>
        <w:rPr>
          <w:rFonts w:ascii="IRNazanin" w:hAnsi="IRNazanin" w:eastAsia="IRNazanin" w:cs="IRNazanin"/>
          <w:lang w:bidi="fa-IR"/>
          <w:color w:val="111111"/>
          <w:sz w:val="28"/>
          <w:szCs w:val="28"/>
          <w:rtl/>
        </w:rPr>
        <w:t xml:space="preserve">ج 16، ص 347.</w:t>
      </w:r>
    </w:p>
    <w:p>
      <w:pPr>
        <w:pStyle w:val="BookText"/>
      </w:pPr>
      <w:r>
        <w:rPr>
          <w:rFonts w:ascii="IRNazanin" w:hAnsi="IRNazanin" w:eastAsia="IRNazanin" w:cs="IRNazanin"/>
          <w:lang w:bidi="fa-IR"/>
          <w:color w:val="111111"/>
          <w:sz w:val="28"/>
          <w:szCs w:val="28"/>
          <w:rtl/>
        </w:rPr>
        <w:t xml:space="preserve">5 .نظم اللب، ج 16، ص 360.</w:t>
      </w:r>
    </w:p>
    <w:p>
      <w:pPr>
        <w:pStyle w:val="BookText"/>
      </w:pPr>
      <w:r>
        <w:rPr>
          <w:rFonts w:ascii="Amiri" w:hAnsi="Amiri" w:eastAsia="Amiri" w:cs="Amiri"/>
          <w:lang w:bidi="ar-SA"/>
          <w:color w:val="111111"/>
          <w:sz w:val="28"/>
          <w:szCs w:val="28"/>
          <w:rtl/>
        </w:rPr>
        <w:t xml:space="preserve">بصري ، حسن بن يسار- حسن بصري</w:t>
      </w:r>
    </w:p>
    <w:p>
      <w:pPr>
        <w:pStyle w:val="Heading2"/>
      </w:pPr>
      <w:bookmarkStart w:id="2780" w:name="_Toc1882"/>
      <w:r>
        <w:t>بصري، سالم بن عبدالله - 1160 ه-</w:t>
      </w:r>
      <w:bookmarkEnd w:id="27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ج1، ص391.</w:t>
      </w:r>
    </w:p>
    <w:p>
      <w:pPr>
        <w:pStyle w:val="BookText"/>
      </w:pPr>
      <w:r>
        <w:rPr>
          <w:rFonts w:ascii="Amiri" w:hAnsi="Amiri" w:eastAsia="Amiri" w:cs="Amiri"/>
          <w:lang w:bidi="ar-SA"/>
          <w:color w:val="111111"/>
          <w:sz w:val="28"/>
          <w:szCs w:val="28"/>
          <w:rtl/>
        </w:rPr>
        <w:t xml:space="preserve">2 .الامداد بمعرفة علو الاسناد، ج 2،</w:t>
      </w:r>
    </w:p>
    <w:p>
      <w:pPr>
        <w:pStyle w:val="BookText"/>
      </w:pPr>
      <w:r>
        <w:rPr>
          <w:rFonts w:ascii="IRNazanin" w:hAnsi="IRNazanin" w:eastAsia="IRNazanin" w:cs="IRNazanin"/>
          <w:lang w:bidi="fa-IR"/>
          <w:color w:val="111111"/>
          <w:sz w:val="28"/>
          <w:szCs w:val="28"/>
          <w:rtl/>
        </w:rPr>
        <w:t xml:space="preserve">ص 755.</w:t>
      </w:r>
    </w:p>
    <w:p>
      <w:pPr>
        <w:pStyle w:val="Heading2"/>
      </w:pPr>
      <w:bookmarkStart w:id="2781" w:name="_Toc1883"/>
      <w:r>
        <w:t>بصري، سليمان - 1093؟ه-</w:t>
      </w:r>
      <w:bookmarkEnd w:id="2781"/>
    </w:p>
    <w:p>
      <w:pPr>
        <w:pStyle w:val="BookText"/>
      </w:pPr>
      <w:r>
        <w:rPr>
          <w:rFonts w:ascii="Amiri" w:hAnsi="Amiri" w:eastAsia="Amiri" w:cs="Amiri"/>
          <w:lang w:bidi="ar-SA"/>
          <w:color w:val="111111"/>
          <w:sz w:val="28"/>
          <w:szCs w:val="28"/>
          <w:rtl/>
        </w:rPr>
        <w:t xml:space="preserve">شرح الواسطة الوافية بين الرسالة المختصرة والصافية، ج 10، ص319.</w:t>
      </w:r>
    </w:p>
    <w:p>
      <w:pPr>
        <w:pStyle w:val="Heading2"/>
      </w:pPr>
      <w:bookmarkStart w:id="2782" w:name="_Toc1884"/>
      <w:r>
        <w:t>بصري، شمس الدين - 893 ه-</w:t>
      </w:r>
      <w:bookmarkEnd w:id="2782"/>
    </w:p>
    <w:p>
      <w:pPr>
        <w:pStyle w:val="BookText"/>
      </w:pPr>
      <w:r>
        <w:rPr>
          <w:rFonts w:ascii="Amiri" w:hAnsi="Amiri" w:eastAsia="Amiri" w:cs="Amiri"/>
          <w:lang w:bidi="ar-SA"/>
          <w:color w:val="111111"/>
          <w:sz w:val="28"/>
          <w:szCs w:val="28"/>
          <w:rtl/>
        </w:rPr>
        <w:t xml:space="preserve">الرسالة البصروية في النحو، ج8،</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IRNazanin" w:hAnsi="IRNazanin" w:eastAsia="IRNazanin" w:cs="IRNazanin"/>
          <w:lang w:bidi="fa-IR"/>
          <w:color w:val="111111"/>
          <w:sz w:val="28"/>
          <w:szCs w:val="28"/>
          <w:rtl/>
        </w:rPr>
        <w:t xml:space="preserve">12 ه-</w:t>
      </w:r>
    </w:p>
    <w:p>
      <w:pPr>
        <w:pStyle w:val="Heading2"/>
      </w:pPr>
      <w:bookmarkStart w:id="2783" w:name="_Toc1885"/>
      <w:r>
        <w:t>بصري طباطبائي، ياسين بن ابراهيم قرن 12ه-</w:t>
      </w:r>
      <w:bookmarkEnd w:id="2783"/>
    </w:p>
    <w:p>
      <w:pPr>
        <w:pStyle w:val="BookText"/>
      </w:pPr>
      <w:r>
        <w:rPr>
          <w:rFonts w:ascii="Amiri" w:hAnsi="Amiri" w:eastAsia="Amiri" w:cs="Amiri"/>
          <w:lang w:bidi="ar-SA"/>
          <w:color w:val="111111"/>
          <w:sz w:val="28"/>
          <w:szCs w:val="28"/>
          <w:rtl/>
        </w:rPr>
        <w:t xml:space="preserve">عجالة النصرة في جواب أسئلة حامد أفندي من علماء البصرة، ج 11، ص29.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2" w:name="pg7742_69910"/>
    <w:bookmarkEnd w:id="262"/>
    <w:p>
      <w:pPr>
        <w:pStyle w:val="Heading2"/>
      </w:pPr>
      <w:bookmarkStart w:id="2784" w:name="_Toc1886"/>
      <w:r>
        <w:t>بصري، عبد السلام بن احمد - 368 ه-</w:t>
      </w:r>
      <w:bookmarkEnd w:id="2784"/>
    </w:p>
    <w:p>
      <w:pPr>
        <w:pStyle w:val="BookText"/>
      </w:pPr>
      <w:r>
        <w:rPr>
          <w:rFonts w:ascii="Amiri" w:hAnsi="Amiri" w:eastAsia="Amiri" w:cs="Amiri"/>
          <w:lang w:bidi="ar-SA"/>
          <w:color w:val="111111"/>
          <w:sz w:val="28"/>
          <w:szCs w:val="28"/>
          <w:rtl/>
        </w:rPr>
        <w:t xml:space="preserve">ثواب القرآن الكريم، ج 5، ص 232.</w:t>
      </w:r>
    </w:p>
    <w:p>
      <w:pPr>
        <w:pStyle w:val="Heading2"/>
      </w:pPr>
      <w:bookmarkStart w:id="2785" w:name="_Toc1887"/>
      <w:r>
        <w:t>بصري، عبد القادر بن احمد - 1085 ه-</w:t>
      </w:r>
      <w:bookmarkEnd w:id="2785"/>
    </w:p>
    <w:p>
      <w:pPr>
        <w:pStyle w:val="BookText"/>
      </w:pPr>
      <w:r>
        <w:rPr>
          <w:rFonts w:ascii="Amiri" w:hAnsi="Amiri" w:eastAsia="Amiri" w:cs="Amiri"/>
          <w:lang w:bidi="ar-SA"/>
          <w:color w:val="111111"/>
          <w:sz w:val="28"/>
          <w:szCs w:val="28"/>
          <w:rtl/>
        </w:rPr>
        <w:t xml:space="preserve">1 .السيف المخذم بالذب عن مذهب</w:t>
      </w:r>
    </w:p>
    <w:p>
      <w:pPr>
        <w:pStyle w:val="BookText"/>
      </w:pPr>
      <w:r>
        <w:rPr>
          <w:rFonts w:ascii="IRNazanin" w:hAnsi="IRNazanin" w:eastAsia="IRNazanin" w:cs="IRNazanin"/>
          <w:lang w:bidi="fa-IR"/>
          <w:color w:val="111111"/>
          <w:sz w:val="28"/>
          <w:szCs w:val="28"/>
          <w:rtl/>
        </w:rPr>
        <w:t xml:space="preserve">الامام الاعظم، ج 9، ص 42.</w:t>
      </w:r>
    </w:p>
    <w:p>
      <w:pPr>
        <w:pStyle w:val="BookText"/>
      </w:pPr>
      <w:r>
        <w:rPr>
          <w:rFonts w:ascii="Amiri" w:hAnsi="Amiri" w:eastAsia="Amiri" w:cs="Amiri"/>
          <w:lang w:bidi="ar-SA"/>
          <w:color w:val="111111"/>
          <w:sz w:val="28"/>
          <w:szCs w:val="28"/>
          <w:rtl/>
        </w:rPr>
        <w:t xml:space="preserve">2 .معرفة المد و الجزر الكائنات في البحر = يتيمة العصر في المد و الجزر = وري الزند في الجزر والمد ج 15، ص 69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وري الزند في الجزر والمد، ج 16،</w:t>
      </w:r>
    </w:p>
    <w:p>
      <w:pPr>
        <w:pStyle w:val="BookText"/>
      </w:pPr>
      <w:r>
        <w:rPr>
          <w:rFonts w:ascii="IRNazanin" w:hAnsi="IRNazanin" w:eastAsia="IRNazanin" w:cs="IRNazanin"/>
          <w:lang w:bidi="fa-IR"/>
          <w:color w:val="111111"/>
          <w:sz w:val="28"/>
          <w:szCs w:val="28"/>
          <w:rtl/>
        </w:rPr>
        <w:t xml:space="preserve">ص 768 .</w:t>
      </w:r>
    </w:p>
    <w:p>
      <w:pPr>
        <w:pStyle w:val="Heading2"/>
      </w:pPr>
      <w:bookmarkStart w:id="2786" w:name="_Toc1888"/>
      <w:r>
        <w:t>بصري، عبدالله بن سالم، 21048-1134 ه-</w:t>
      </w:r>
      <w:bookmarkEnd w:id="2786"/>
    </w:p>
    <w:p>
      <w:pPr>
        <w:pStyle w:val="BookText"/>
      </w:pPr>
      <w:r>
        <w:rPr>
          <w:rFonts w:ascii="Amiri" w:hAnsi="Amiri" w:eastAsia="Amiri" w:cs="Amiri"/>
          <w:lang w:bidi="ar-SA"/>
          <w:color w:val="111111"/>
          <w:sz w:val="28"/>
          <w:szCs w:val="28"/>
          <w:rtl/>
        </w:rPr>
        <w:t xml:space="preserve">1 .التمييز بين الاسانيد الصحيحة و</w:t>
      </w:r>
    </w:p>
    <w:p>
      <w:pPr>
        <w:pStyle w:val="BookText"/>
      </w:pPr>
      <w:r>
        <w:rPr>
          <w:rFonts w:ascii="Amiri" w:hAnsi="Amiri" w:eastAsia="Amiri" w:cs="Amiri"/>
          <w:lang w:bidi="ar-SA"/>
          <w:color w:val="111111"/>
          <w:sz w:val="28"/>
          <w:szCs w:val="28"/>
          <w:rtl/>
        </w:rPr>
        <w:t xml:space="preserve">الضعيفة، ج 5، ص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الحديث، ج6، ص 561.</w:t>
      </w:r>
    </w:p>
    <w:p>
      <w:pPr>
        <w:pStyle w:val="Heading2"/>
      </w:pPr>
      <w:bookmarkStart w:id="2787" w:name="_Toc1889"/>
      <w:r>
        <w:t>بصري، عبدالله بن عبد الواحد - 1340 ه-</w:t>
      </w:r>
      <w:bookmarkEnd w:id="2787"/>
    </w:p>
    <w:p>
      <w:pPr>
        <w:pStyle w:val="BookText"/>
      </w:pPr>
      <w:r>
        <w:rPr>
          <w:rFonts w:ascii="Amiri" w:hAnsi="Amiri" w:eastAsia="Amiri" w:cs="Amiri"/>
          <w:lang w:bidi="ar-SA"/>
          <w:color w:val="111111"/>
          <w:sz w:val="28"/>
          <w:szCs w:val="28"/>
          <w:rtl/>
        </w:rPr>
        <w:t xml:space="preserve">1 .آل ياسين أعيان العباسيين = آل</w:t>
      </w:r>
    </w:p>
    <w:p>
      <w:pPr>
        <w:pStyle w:val="BookText"/>
      </w:pPr>
      <w:r>
        <w:rPr>
          <w:rFonts w:ascii="IRNazanin" w:hAnsi="IRNazanin" w:eastAsia="IRNazanin" w:cs="IRNazanin"/>
          <w:lang w:bidi="fa-IR"/>
          <w:color w:val="111111"/>
          <w:sz w:val="28"/>
          <w:szCs w:val="28"/>
          <w:rtl/>
        </w:rPr>
        <w:t xml:space="preserve">باش اعیان، ج1، ص70.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اعيان البصرة، ج 2، ص 575.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المجموعة العباسية، ج 14، ص 44 .</w:t>
      </w:r>
    </w:p>
    <w:p>
      <w:pPr>
        <w:pStyle w:val="Heading2"/>
      </w:pPr>
      <w:bookmarkStart w:id="2788" w:name="_Toc1890"/>
      <w:r>
        <w:t>بصري، علي بن ابي الفرج - 656 ه-</w:t>
      </w:r>
      <w:bookmarkEnd w:id="2788"/>
    </w:p>
    <w:p>
      <w:pPr>
        <w:pStyle w:val="BookText"/>
      </w:pPr>
      <w:r>
        <w:rPr>
          <w:rFonts w:ascii="Amiri" w:hAnsi="Amiri" w:eastAsia="Amiri" w:cs="Amiri"/>
          <w:lang w:bidi="ar-SA"/>
          <w:color w:val="111111"/>
          <w:sz w:val="28"/>
          <w:szCs w:val="28"/>
          <w:rtl/>
        </w:rPr>
        <w:t xml:space="preserve">الحماسة البصرية، ج6، ص820</w:t>
      </w:r>
    </w:p>
    <w:p>
      <w:pPr>
        <w:pStyle w:val="Heading2"/>
      </w:pPr>
      <w:bookmarkStart w:id="2789" w:name="_Toc1891"/>
      <w:r>
        <w:t>بصري ، علي بن حمزه - 375 ه-</w:t>
      </w:r>
      <w:bookmarkEnd w:id="2789"/>
    </w:p>
    <w:p>
      <w:pPr>
        <w:pStyle w:val="BookText"/>
      </w:pPr>
      <w:r>
        <w:rPr>
          <w:rFonts w:ascii="Amiri" w:hAnsi="Amiri" w:eastAsia="Amiri" w:cs="Amiri"/>
          <w:lang w:bidi="ar-SA"/>
          <w:color w:val="111111"/>
          <w:sz w:val="28"/>
          <w:szCs w:val="28"/>
          <w:rtl/>
        </w:rPr>
        <w:t xml:space="preserve">ديوان ابي طالب، ج 7، ص 563.</w:t>
      </w:r>
    </w:p>
    <w:p>
      <w:pPr>
        <w:pStyle w:val="Heading2"/>
      </w:pPr>
      <w:bookmarkStart w:id="2790" w:name="_Toc1892"/>
      <w:r>
        <w:t>بصري ، قطب الدین بن احمد</w:t>
      </w:r>
      <w:bookmarkEnd w:id="2790"/>
    </w:p>
    <w:p>
      <w:pPr>
        <w:pStyle w:val="BookText"/>
      </w:pPr>
      <w:r>
        <w:rPr>
          <w:rFonts w:ascii="IRNazanin" w:hAnsi="IRNazanin" w:eastAsia="IRNazanin" w:cs="IRNazanin"/>
          <w:lang w:bidi="fa-IR"/>
          <w:color w:val="111111"/>
          <w:sz w:val="28"/>
          <w:szCs w:val="28"/>
          <w:rtl/>
        </w:rPr>
        <w:t xml:space="preserve">تحف الادب، ج 3، ص 769.</w:t>
      </w:r>
    </w:p>
    <w:p>
      <w:pPr>
        <w:pStyle w:val="Heading2"/>
      </w:pPr>
      <w:bookmarkStart w:id="2791" w:name="_Toc1893"/>
      <w:r>
        <w:t>بصري ، محمّد بن بدرالدين</w:t>
      </w:r>
      <w:bookmarkEnd w:id="2791"/>
    </w:p>
    <w:p>
      <w:pPr>
        <w:pStyle w:val="BookText"/>
      </w:pPr>
      <w:r>
        <w:rPr>
          <w:rFonts w:ascii="IRNazanin" w:hAnsi="IRNazanin" w:eastAsia="IRNazanin" w:cs="IRNazanin"/>
          <w:lang w:bidi="fa-IR"/>
          <w:color w:val="111111"/>
          <w:sz w:val="28"/>
          <w:szCs w:val="28"/>
          <w:rtl/>
        </w:rPr>
        <w:t xml:space="preserve">المختار من شعر ابن المعتز ج 14</w:t>
      </w:r>
    </w:p>
    <w:p>
      <w:pPr>
        <w:pStyle w:val="BookText"/>
      </w:pPr>
      <w:r>
        <w:rPr>
          <w:rFonts w:ascii="IRNazanin" w:hAnsi="IRNazanin" w:eastAsia="IRNazanin" w:cs="IRNazanin"/>
          <w:lang w:bidi="fa-IR"/>
          <w:color w:val="111111"/>
          <w:sz w:val="28"/>
          <w:szCs w:val="28"/>
          <w:rtl/>
        </w:rPr>
        <w:t xml:space="preserve">ص 163 .</w:t>
      </w:r>
    </w:p>
    <w:p>
      <w:pPr>
        <w:pStyle w:val="Heading2"/>
      </w:pPr>
      <w:bookmarkStart w:id="2792" w:name="_Toc1894"/>
      <w:r>
        <w:t>بصري ، محمّد بن خليل - 889 ه-</w:t>
      </w:r>
      <w:bookmarkEnd w:id="2792"/>
    </w:p>
    <w:p>
      <w:pPr>
        <w:pStyle w:val="BookText"/>
      </w:pPr>
      <w:r>
        <w:rPr>
          <w:rFonts w:ascii="Amiri" w:hAnsi="Amiri" w:eastAsia="Amiri" w:cs="Amiri"/>
          <w:lang w:bidi="ar-SA"/>
          <w:color w:val="111111"/>
          <w:sz w:val="28"/>
          <w:szCs w:val="28"/>
          <w:rtl/>
        </w:rPr>
        <w:t xml:space="preserve">شرح القصيدة المنفرجة، ج 9، ص 896.</w:t>
      </w:r>
    </w:p>
    <w:p>
      <w:pPr>
        <w:pStyle w:val="Heading2"/>
      </w:pPr>
      <w:bookmarkStart w:id="2793" w:name="_Toc1895"/>
      <w:r>
        <w:t>بصري ، يحيى بن سعيد - 589 ه-</w:t>
      </w:r>
      <w:bookmarkEnd w:id="2793"/>
    </w:p>
    <w:p>
      <w:pPr>
        <w:pStyle w:val="BookText"/>
      </w:pPr>
      <w:r>
        <w:rPr>
          <w:rFonts w:ascii="Amiri" w:hAnsi="Amiri" w:eastAsia="Amiri" w:cs="Amiri"/>
          <w:lang w:bidi="ar-SA"/>
          <w:color w:val="111111"/>
          <w:sz w:val="28"/>
          <w:szCs w:val="28"/>
          <w:rtl/>
        </w:rPr>
        <w:t xml:space="preserve">المقامات المسيحية، ج 15، ص 308.</w:t>
      </w:r>
    </w:p>
    <w:p>
      <w:pPr>
        <w:pStyle w:val="Heading2"/>
      </w:pPr>
      <w:bookmarkStart w:id="2794" w:name="_Toc1896"/>
      <w:r>
        <w:t>بصير حاكمي ، علي بن عبدالله</w:t>
      </w:r>
      <w:bookmarkEnd w:id="2794"/>
    </w:p>
    <w:p>
      <w:pPr>
        <w:pStyle w:val="BookText"/>
      </w:pPr>
      <w:r>
        <w:rPr>
          <w:rFonts w:ascii="Amiri" w:hAnsi="Amiri" w:eastAsia="Amiri" w:cs="Amiri"/>
          <w:lang w:bidi="ar-SA"/>
          <w:color w:val="111111"/>
          <w:sz w:val="28"/>
          <w:szCs w:val="28"/>
          <w:rtl/>
        </w:rPr>
        <w:t xml:space="preserve">حور العين في الغاز الفقه (منظومة) ج 6، ص 846.</w:t>
      </w:r>
    </w:p>
    <w:p>
      <w:pPr>
        <w:pStyle w:val="Heading2"/>
      </w:pPr>
      <w:bookmarkStart w:id="2795" w:name="_Toc1897"/>
      <w:r>
        <w:t>بصير رقيبي ، ابراهيم بن مبارك</w:t>
      </w:r>
      <w:bookmarkEnd w:id="2795"/>
    </w:p>
    <w:p>
      <w:pPr>
        <w:pStyle w:val="BookText"/>
      </w:pPr>
      <w:r>
        <w:rPr>
          <w:rFonts w:ascii="Amiri" w:hAnsi="Amiri" w:eastAsia="Amiri" w:cs="Amiri"/>
          <w:lang w:bidi="ar-SA"/>
          <w:color w:val="111111"/>
          <w:sz w:val="28"/>
          <w:szCs w:val="28"/>
          <w:rtl/>
        </w:rPr>
        <w:t xml:space="preserve">اجازة بالطريقة القادرية، ج 1، ص 215.</w:t>
      </w:r>
    </w:p>
    <w:p>
      <w:pPr>
        <w:pStyle w:val="Heading2"/>
      </w:pPr>
      <w:bookmarkStart w:id="2796" w:name="_Toc1898"/>
      <w:r>
        <w:t>بصير ، عبد القادر بن يحيى قرن 11 ه-</w:t>
      </w:r>
      <w:bookmarkEnd w:id="2796"/>
    </w:p>
    <w:p>
      <w:pPr>
        <w:pStyle w:val="BookText"/>
      </w:pPr>
      <w:r>
        <w:rPr>
          <w:rFonts w:ascii="Amiri" w:hAnsi="Amiri" w:eastAsia="Amiri" w:cs="Amiri"/>
          <w:lang w:bidi="ar-SA"/>
          <w:color w:val="111111"/>
          <w:sz w:val="28"/>
          <w:szCs w:val="28"/>
          <w:rtl/>
        </w:rPr>
        <w:t xml:space="preserve">اجازة لشيخ خليل الخطيب بن محمّد</w:t>
      </w:r>
    </w:p>
    <w:p>
      <w:pPr>
        <w:pStyle w:val="BookText"/>
      </w:pPr>
      <w:r>
        <w:rPr>
          <w:rFonts w:ascii="Amiri" w:hAnsi="Amiri" w:eastAsia="Amiri" w:cs="Amiri"/>
          <w:lang w:bidi="ar-SA"/>
          <w:color w:val="111111"/>
          <w:sz w:val="28"/>
          <w:szCs w:val="28"/>
          <w:rtl/>
        </w:rPr>
        <w:t xml:space="preserve">بن يس السامري البغدادي، ج1،</w:t>
      </w:r>
    </w:p>
    <w:p>
      <w:pPr>
        <w:pStyle w:val="BookText"/>
      </w:pPr>
      <w:r>
        <w:rPr>
          <w:rFonts w:ascii="IRNazanin" w:hAnsi="IRNazanin" w:eastAsia="IRNazanin" w:cs="IRNazanin"/>
          <w:lang w:bidi="fa-IR"/>
          <w:color w:val="111111"/>
          <w:sz w:val="28"/>
          <w:szCs w:val="28"/>
          <w:rtl/>
        </w:rPr>
        <w:t xml:space="preserve">ص 265.</w:t>
      </w:r>
    </w:p>
    <w:p>
      <w:pPr>
        <w:pStyle w:val="Heading2"/>
      </w:pPr>
      <w:bookmarkStart w:id="2797" w:name="_Toc1899"/>
      <w:r>
        <w:t>بصيري ، خليل بن علي بن اسماعيل</w:t>
      </w:r>
      <w:bookmarkEnd w:id="2797"/>
    </w:p>
    <w:p>
      <w:pPr>
        <w:pStyle w:val="BookText"/>
      </w:pPr>
      <w:r>
        <w:rPr>
          <w:rFonts w:ascii="IRNazanin" w:hAnsi="IRNazanin" w:eastAsia="IRNazanin" w:cs="IRNazanin"/>
          <w:lang w:bidi="fa-IR"/>
          <w:color w:val="111111"/>
          <w:sz w:val="28"/>
          <w:szCs w:val="28"/>
          <w:rtl/>
        </w:rPr>
        <w:t xml:space="preserve">1176ه-</w:t>
      </w:r>
    </w:p>
    <w:p>
      <w:pPr>
        <w:pStyle w:val="BookText"/>
      </w:pPr>
      <w:r>
        <w:rPr>
          <w:rFonts w:ascii="IRNazanin" w:hAnsi="IRNazanin" w:eastAsia="IRNazanin" w:cs="IRNazanin"/>
          <w:lang w:bidi="fa-IR"/>
          <w:color w:val="111111"/>
          <w:sz w:val="28"/>
          <w:szCs w:val="28"/>
          <w:rtl/>
        </w:rPr>
        <w:t xml:space="preserve">دیوان بصيري، ج7، ص 591</w:t>
      </w:r>
    </w:p>
    <w:p>
      <w:pPr>
        <w:pStyle w:val="Heading2"/>
      </w:pPr>
      <w:bookmarkStart w:id="2798" w:name="_Toc1900"/>
      <w:r>
        <w:t>بصيري ، عبيد الله بن خليل، قرن 13 ه-</w:t>
      </w:r>
      <w:bookmarkEnd w:id="2798"/>
    </w:p>
    <w:p>
      <w:pPr>
        <w:pStyle w:val="BookText"/>
      </w:pPr>
      <w:r>
        <w:rPr>
          <w:rFonts w:ascii="Amiri" w:hAnsi="Amiri" w:eastAsia="Amiri" w:cs="Amiri"/>
          <w:lang w:bidi="ar-SA"/>
          <w:color w:val="111111"/>
          <w:sz w:val="28"/>
          <w:szCs w:val="28"/>
          <w:rtl/>
        </w:rPr>
        <w:t xml:space="preserve">قبلة الآفاق (ترجمه)، ج12، ص377.</w:t>
      </w:r>
    </w:p>
    <w:p>
      <w:pPr>
        <w:pStyle w:val="BookText"/>
      </w:pPr>
      <w:r>
        <w:rPr>
          <w:rFonts w:ascii="Amiri" w:hAnsi="Amiri" w:eastAsia="Amiri" w:cs="Amiri"/>
          <w:lang w:bidi="ar-SA"/>
          <w:color w:val="111111"/>
          <w:sz w:val="28"/>
          <w:szCs w:val="28"/>
          <w:rtl/>
        </w:rPr>
        <w:t xml:space="preserve">بطحاني ، يحيى بن حسين- ناطق بالحق ،</w:t>
      </w:r>
    </w:p>
    <w:p>
      <w:pPr>
        <w:pStyle w:val="BookText"/>
      </w:pPr>
      <w:r>
        <w:rPr>
          <w:rFonts w:ascii="Amiri" w:hAnsi="Amiri" w:eastAsia="Amiri" w:cs="Amiri"/>
          <w:lang w:bidi="ar-SA"/>
          <w:color w:val="111111"/>
          <w:sz w:val="28"/>
          <w:szCs w:val="28"/>
          <w:rtl/>
        </w:rPr>
        <w:t xml:space="preserve">يحيى بن حسين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3" w:name="pg7742_69912"/>
    <w:bookmarkEnd w:id="263"/>
    <w:p>
      <w:pPr>
        <w:pStyle w:val="BookText"/>
      </w:pPr>
      <w:r>
        <w:rPr>
          <w:rFonts w:ascii="Amiri" w:hAnsi="Amiri" w:eastAsia="Amiri" w:cs="Amiri"/>
          <w:lang w:bidi="ar-SA"/>
          <w:color w:val="111111"/>
          <w:sz w:val="28"/>
          <w:szCs w:val="28"/>
          <w:rtl/>
        </w:rPr>
        <w:t xml:space="preserve">بطرس البستاني -بستاني ، بطرس</w:t>
      </w:r>
    </w:p>
    <w:p>
      <w:pPr>
        <w:pStyle w:val="BookText"/>
      </w:pPr>
      <w:r>
        <w:rPr>
          <w:rFonts w:ascii="Amiri" w:hAnsi="Amiri" w:eastAsia="Amiri" w:cs="Amiri"/>
          <w:lang w:bidi="ar-SA"/>
          <w:color w:val="111111"/>
          <w:sz w:val="28"/>
          <w:szCs w:val="28"/>
          <w:rtl/>
        </w:rPr>
        <w:t xml:space="preserve">بطرس بن ابراهيم كرامة الحمصي - كرامة ،</w:t>
      </w:r>
    </w:p>
    <w:p>
      <w:pPr>
        <w:pStyle w:val="BookText"/>
      </w:pPr>
      <w:r>
        <w:rPr>
          <w:rFonts w:ascii="Amiri" w:hAnsi="Amiri" w:eastAsia="Amiri" w:cs="Amiri"/>
          <w:lang w:bidi="ar-SA"/>
          <w:color w:val="111111"/>
          <w:sz w:val="28"/>
          <w:szCs w:val="28"/>
          <w:rtl/>
        </w:rPr>
        <w:t xml:space="preserve">بطرس بن ابراهيم</w:t>
      </w:r>
    </w:p>
    <w:p>
      <w:pPr>
        <w:pStyle w:val="Heading2"/>
      </w:pPr>
      <w:bookmarkStart w:id="2799" w:name="_Toc1901"/>
      <w:r>
        <w:t>بطرس بوصيك، 1823 - 1906 م</w:t>
      </w:r>
      <w:bookmarkEnd w:id="2799"/>
    </w:p>
    <w:p>
      <w:pPr>
        <w:pStyle w:val="BookText"/>
      </w:pPr>
      <w:r>
        <w:rPr>
          <w:rFonts w:ascii="Amiri" w:hAnsi="Amiri" w:eastAsia="Amiri" w:cs="Amiri"/>
          <w:lang w:bidi="ar-SA"/>
          <w:color w:val="111111"/>
          <w:sz w:val="28"/>
          <w:szCs w:val="28"/>
          <w:rtl/>
        </w:rPr>
        <w:t xml:space="preserve">الصلاة الربية بمنة لغة، ج 10، ص 607.</w:t>
      </w:r>
    </w:p>
    <w:p>
      <w:pPr>
        <w:pStyle w:val="BookText"/>
      </w:pPr>
      <w:r>
        <w:rPr>
          <w:rFonts w:ascii="Amiri" w:hAnsi="Amiri" w:eastAsia="Amiri" w:cs="Amiri"/>
          <w:lang w:bidi="ar-SA"/>
          <w:color w:val="111111"/>
          <w:sz w:val="28"/>
          <w:szCs w:val="28"/>
          <w:rtl/>
        </w:rPr>
        <w:t xml:space="preserve">بطرس بولس البستاني -بستاني ، بطرس</w:t>
      </w:r>
    </w:p>
    <w:p>
      <w:pPr>
        <w:pStyle w:val="BookText"/>
      </w:pPr>
      <w:r>
        <w:rPr>
          <w:rFonts w:ascii="IRNazanin" w:hAnsi="IRNazanin" w:eastAsia="IRNazanin" w:cs="IRNazanin"/>
          <w:lang w:bidi="fa-IR"/>
          <w:color w:val="111111"/>
          <w:sz w:val="28"/>
          <w:szCs w:val="28"/>
          <w:rtl/>
        </w:rPr>
        <w:t xml:space="preserve">بطرس ججو -ججو ، بطرس</w:t>
      </w:r>
    </w:p>
    <w:p>
      <w:pPr>
        <w:pStyle w:val="BookText"/>
      </w:pPr>
      <w:r>
        <w:rPr>
          <w:rFonts w:ascii="Amiri" w:hAnsi="Amiri" w:eastAsia="Amiri" w:cs="Amiri"/>
          <w:lang w:bidi="ar-SA"/>
          <w:color w:val="111111"/>
          <w:sz w:val="28"/>
          <w:szCs w:val="28"/>
          <w:rtl/>
        </w:rPr>
        <w:t xml:space="preserve">بطرس ججو كرمليسي -كرمليسي ، بطرس</w:t>
      </w:r>
    </w:p>
    <w:p>
      <w:pPr>
        <w:pStyle w:val="BookText"/>
      </w:pPr>
      <w:r>
        <w:rPr>
          <w:rFonts w:ascii="Amiri" w:hAnsi="Amiri" w:eastAsia="Amiri" w:cs="Amiri"/>
          <w:lang w:bidi="ar-SA"/>
          <w:color w:val="111111"/>
          <w:sz w:val="28"/>
          <w:szCs w:val="28"/>
          <w:rtl/>
        </w:rPr>
        <w:t xml:space="preserve">بطرس فرماج يسوعي- فروماج ، بطرس ب</w:t>
      </w:r>
    </w:p>
    <w:p>
      <w:pPr>
        <w:pStyle w:val="BookText"/>
      </w:pPr>
      <w:r>
        <w:rPr>
          <w:rFonts w:ascii="Amiri" w:hAnsi="Amiri" w:eastAsia="Amiri" w:cs="Amiri"/>
          <w:lang w:bidi="ar-SA"/>
          <w:color w:val="111111"/>
          <w:sz w:val="28"/>
          <w:szCs w:val="28"/>
          <w:rtl/>
        </w:rPr>
        <w:t xml:space="preserve">طرس كرامة -كرامة ، بطرس بن ابراهيم</w:t>
      </w:r>
    </w:p>
    <w:p>
      <w:pPr>
        <w:pStyle w:val="BookText"/>
      </w:pPr>
      <w:r>
        <w:rPr>
          <w:rFonts w:ascii="Amiri" w:hAnsi="Amiri" w:eastAsia="Amiri" w:cs="Amiri"/>
          <w:lang w:bidi="ar-SA"/>
          <w:color w:val="111111"/>
          <w:sz w:val="28"/>
          <w:szCs w:val="28"/>
          <w:rtl/>
        </w:rPr>
        <w:t xml:space="preserve">بطريرك ، بولس بطرس سعد- انطاكي</w:t>
      </w:r>
    </w:p>
    <w:p>
      <w:pPr>
        <w:pStyle w:val="BookText"/>
      </w:pPr>
      <w:r>
        <w:rPr>
          <w:rFonts w:ascii="IRNazanin" w:hAnsi="IRNazanin" w:eastAsia="IRNazanin" w:cs="IRNazanin"/>
          <w:lang w:bidi="fa-IR"/>
          <w:color w:val="111111"/>
          <w:sz w:val="28"/>
          <w:szCs w:val="28"/>
          <w:rtl/>
        </w:rPr>
        <w:t xml:space="preserve">بولس بطرس سعد</w:t>
      </w:r>
    </w:p>
    <w:p>
      <w:pPr>
        <w:pStyle w:val="Heading2"/>
      </w:pPr>
      <w:bookmarkStart w:id="2800" w:name="_Toc1902"/>
      <w:r>
        <w:t>بطريرك مشرق ، مار يوسف</w:t>
      </w:r>
      <w:bookmarkEnd w:id="2800"/>
    </w:p>
    <w:p>
      <w:pPr>
        <w:pStyle w:val="BookText"/>
      </w:pPr>
      <w:r>
        <w:rPr>
          <w:rFonts w:ascii="Amiri" w:hAnsi="Amiri" w:eastAsia="Amiri" w:cs="Amiri"/>
          <w:lang w:bidi="ar-SA"/>
          <w:color w:val="111111"/>
          <w:sz w:val="28"/>
          <w:szCs w:val="28"/>
          <w:rtl/>
        </w:rPr>
        <w:t xml:space="preserve">تفسير الخدم الكنيسة، ج 4، ص 621 .</w:t>
      </w:r>
    </w:p>
    <w:p>
      <w:pPr>
        <w:pStyle w:val="Heading2"/>
      </w:pPr>
      <w:bookmarkStart w:id="2801" w:name="_Toc1903"/>
      <w:r>
        <w:t>بطلميوس كلاوديوس ، ش، 100-178 م</w:t>
      </w:r>
      <w:bookmarkEnd w:id="2801"/>
    </w:p>
    <w:p>
      <w:pPr>
        <w:pStyle w:val="BookText"/>
      </w:pPr>
      <w:r>
        <w:rPr>
          <w:rFonts w:ascii="Amiri" w:hAnsi="Amiri" w:eastAsia="Amiri" w:cs="Amiri"/>
          <w:lang w:bidi="ar-SA"/>
          <w:color w:val="111111"/>
          <w:sz w:val="28"/>
          <w:szCs w:val="28"/>
          <w:rtl/>
        </w:rPr>
        <w:t xml:space="preserve">1 .اربع مقالات في الاحكام، ج 1،</w:t>
      </w:r>
    </w:p>
    <w:p>
      <w:pPr>
        <w:pStyle w:val="BookText"/>
      </w:pPr>
      <w:r>
        <w:rPr>
          <w:rFonts w:ascii="IRNazanin" w:hAnsi="IRNazanin" w:eastAsia="IRNazanin" w:cs="IRNazanin"/>
          <w:lang w:bidi="fa-IR"/>
          <w:color w:val="111111"/>
          <w:sz w:val="28"/>
          <w:szCs w:val="28"/>
          <w:rtl/>
        </w:rPr>
        <w:t xml:space="preserve">ص 678.</w:t>
      </w:r>
    </w:p>
    <w:p>
      <w:pPr>
        <w:pStyle w:val="BookText"/>
      </w:pPr>
      <w:r>
        <w:rPr>
          <w:rFonts w:ascii="Amiri" w:hAnsi="Amiri" w:eastAsia="Amiri" w:cs="Amiri"/>
          <w:lang w:bidi="ar-SA"/>
          <w:color w:val="111111"/>
          <w:sz w:val="28"/>
          <w:szCs w:val="28"/>
          <w:rtl/>
        </w:rPr>
        <w:t xml:space="preserve">2 .الاسئلة والاجوبة، ج 2، ص89.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الثمرة = مأة كلمة، ج 5، ص227 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المجسطي، ج13، ص817.</w:t>
      </w:r>
    </w:p>
    <w:p>
      <w:pPr>
        <w:pStyle w:val="Heading2"/>
      </w:pPr>
      <w:bookmarkStart w:id="2802" w:name="_Toc1904"/>
      <w:r>
        <w:t>بطليوسي ، عاصم بن ايوب - 494 ه-</w:t>
      </w:r>
      <w:bookmarkEnd w:id="2802"/>
    </w:p>
    <w:p>
      <w:pPr>
        <w:pStyle w:val="BookText"/>
      </w:pPr>
      <w:r>
        <w:rPr>
          <w:rFonts w:ascii="Amiri" w:hAnsi="Amiri" w:eastAsia="Amiri" w:cs="Amiri"/>
          <w:lang w:bidi="ar-SA"/>
          <w:color w:val="111111"/>
          <w:sz w:val="28"/>
          <w:szCs w:val="28"/>
          <w:rtl/>
        </w:rPr>
        <w:t xml:space="preserve">شرح ديوان امرء القيس، ج9، ص 482.</w:t>
      </w:r>
    </w:p>
    <w:p>
      <w:pPr>
        <w:pStyle w:val="Heading2"/>
      </w:pPr>
      <w:bookmarkStart w:id="2803" w:name="_Toc1905"/>
      <w:r>
        <w:t>بطليوسي، عبدالله بن محمّد 444-521ه-</w:t>
      </w:r>
      <w:bookmarkEnd w:id="28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الاسئلة و الاجوبة، ج 2، ص90.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الاقتضاب في شرح أدب الكتاب</w:t>
      </w:r>
    </w:p>
    <w:p>
      <w:pPr>
        <w:pStyle w:val="BookText"/>
      </w:pPr>
      <w:r>
        <w:rPr>
          <w:rFonts w:ascii="IRNazanin" w:hAnsi="IRNazanin" w:eastAsia="IRNazanin" w:cs="IRNazanin"/>
          <w:lang w:bidi="fa-IR"/>
          <w:color w:val="111111"/>
          <w:sz w:val="28"/>
          <w:szCs w:val="28"/>
          <w:rtl/>
        </w:rPr>
        <w:t xml:space="preserve">ج 2، ص 618 .</w:t>
      </w:r>
    </w:p>
    <w:p>
      <w:pPr>
        <w:pStyle w:val="BookText"/>
      </w:pPr>
      <w:r>
        <w:rPr>
          <w:rFonts w:ascii="Amiri" w:hAnsi="Amiri" w:eastAsia="Amiri" w:cs="Amiri"/>
          <w:lang w:bidi="ar-SA"/>
          <w:color w:val="111111"/>
          <w:sz w:val="28"/>
          <w:szCs w:val="28"/>
          <w:rtl/>
        </w:rPr>
        <w:t xml:space="preserve">3 .الانصاف في التنبيه على الاسباب التي اوجبت الاختلاف بين المسلمين في آرائهم، ج2، ص817.</w:t>
      </w:r>
    </w:p>
    <w:p>
      <w:pPr>
        <w:pStyle w:val="BookText"/>
      </w:pPr>
      <w:r>
        <w:rPr>
          <w:rFonts w:ascii="Amiri" w:hAnsi="Amiri" w:eastAsia="Amiri" w:cs="Amiri"/>
          <w:lang w:bidi="ar-SA"/>
          <w:color w:val="111111"/>
          <w:sz w:val="28"/>
          <w:szCs w:val="28"/>
          <w:rtl/>
        </w:rPr>
        <w:t xml:space="preserve">4 .الحلل في شرح ابيات الجمل = الحلل في اصلاح الخلل من كتاب</w:t>
      </w:r>
    </w:p>
    <w:p>
      <w:pPr>
        <w:pStyle w:val="BookText"/>
      </w:pPr>
      <w:r>
        <w:rPr>
          <w:rFonts w:ascii="IRNazanin" w:hAnsi="IRNazanin" w:eastAsia="IRNazanin" w:cs="IRNazanin"/>
          <w:lang w:bidi="fa-IR"/>
          <w:color w:val="111111"/>
          <w:sz w:val="28"/>
          <w:szCs w:val="28"/>
          <w:rtl/>
        </w:rPr>
        <w:t xml:space="preserve">الجمل، ج 6، ص790.</w:t>
      </w:r>
    </w:p>
    <w:p>
      <w:pPr>
        <w:pStyle w:val="BookText"/>
      </w:pPr>
      <w:r>
        <w:rPr>
          <w:rFonts w:ascii="Amiri" w:hAnsi="Amiri" w:eastAsia="Amiri" w:cs="Amiri"/>
          <w:lang w:bidi="ar-SA"/>
          <w:color w:val="111111"/>
          <w:sz w:val="28"/>
          <w:szCs w:val="28"/>
          <w:rtl/>
        </w:rPr>
        <w:t xml:space="preserve">5 .شرح اعراب ابيات الجمل ومعانيها</w:t>
      </w:r>
    </w:p>
    <w:p>
      <w:pPr>
        <w:pStyle w:val="BookText"/>
      </w:pPr>
      <w:r>
        <w:rPr>
          <w:rFonts w:ascii="IRNazanin" w:hAnsi="IRNazanin" w:eastAsia="IRNazanin" w:cs="IRNazanin"/>
          <w:lang w:bidi="fa-IR"/>
          <w:color w:val="111111"/>
          <w:sz w:val="28"/>
          <w:szCs w:val="28"/>
          <w:rtl/>
        </w:rPr>
        <w:t xml:space="preserve">و اسماء قائلها، ج9، ص210.</w:t>
      </w:r>
    </w:p>
    <w:p>
      <w:pPr>
        <w:pStyle w:val="Heading2"/>
      </w:pPr>
      <w:bookmarkStart w:id="2804" w:name="_Toc1906"/>
      <w:r>
        <w:t>بعشيقي ، القس اسحاق</w:t>
      </w:r>
      <w:bookmarkEnd w:id="2804"/>
    </w:p>
    <w:p>
      <w:pPr>
        <w:pStyle w:val="BookText"/>
      </w:pPr>
      <w:r>
        <w:rPr>
          <w:rFonts w:ascii="Amiri" w:hAnsi="Amiri" w:eastAsia="Amiri" w:cs="Amiri"/>
          <w:lang w:bidi="ar-SA"/>
          <w:color w:val="111111"/>
          <w:sz w:val="28"/>
          <w:szCs w:val="28"/>
          <w:rtl/>
        </w:rPr>
        <w:t xml:space="preserve">عقائد اليزيدية، ج 11، ص 155.</w:t>
      </w:r>
    </w:p>
    <w:p>
      <w:pPr>
        <w:pStyle w:val="Heading2"/>
      </w:pPr>
      <w:bookmarkStart w:id="2805" w:name="_Toc1907"/>
      <w:r>
        <w:t>بعقوبي ، احمد مأمون</w:t>
      </w:r>
      <w:bookmarkEnd w:id="2805"/>
    </w:p>
    <w:p>
      <w:pPr>
        <w:pStyle w:val="BookText"/>
      </w:pPr>
      <w:r>
        <w:rPr>
          <w:rFonts w:ascii="Amiri" w:hAnsi="Amiri" w:eastAsia="Amiri" w:cs="Amiri"/>
          <w:lang w:bidi="ar-SA"/>
          <w:color w:val="111111"/>
          <w:sz w:val="28"/>
          <w:szCs w:val="28"/>
          <w:rtl/>
        </w:rPr>
        <w:t xml:space="preserve">كشف الغبار في شرح قرة الأبصار</w:t>
      </w:r>
    </w:p>
    <w:p>
      <w:pPr>
        <w:pStyle w:val="BookText"/>
      </w:pPr>
      <w:r>
        <w:rPr>
          <w:rFonts w:ascii="IRNazanin" w:hAnsi="IRNazanin" w:eastAsia="IRNazanin" w:cs="IRNazanin"/>
          <w:lang w:bidi="fa-IR"/>
          <w:color w:val="111111"/>
          <w:sz w:val="28"/>
          <w:szCs w:val="28"/>
          <w:rtl/>
        </w:rPr>
        <w:t xml:space="preserve">ج 13، ص 235.</w:t>
      </w:r>
    </w:p>
    <w:p>
      <w:pPr>
        <w:pStyle w:val="Heading2"/>
      </w:pPr>
      <w:bookmarkStart w:id="2806" w:name="_Toc1908"/>
      <w:r>
        <w:t>بعلبكي ، ابراهيم بن محمود ، قرن 7 ه-</w:t>
      </w:r>
      <w:bookmarkEnd w:id="2806"/>
    </w:p>
    <w:p>
      <w:pPr>
        <w:pStyle w:val="BookText"/>
      </w:pPr>
      <w:r>
        <w:rPr>
          <w:rFonts w:ascii="Amiri" w:hAnsi="Amiri" w:eastAsia="Amiri" w:cs="Amiri"/>
          <w:lang w:bidi="ar-SA"/>
          <w:color w:val="111111"/>
          <w:sz w:val="28"/>
          <w:szCs w:val="28"/>
          <w:rtl/>
        </w:rPr>
        <w:t xml:space="preserve">ترجمة الشيخ العماد ابواسحاق ابراهيم بن عبد الواحد، ج4، ص280.</w:t>
      </w:r>
    </w:p>
    <w:p>
      <w:pPr>
        <w:pStyle w:val="BookText"/>
      </w:pPr>
      <w:r>
        <w:rPr>
          <w:rFonts w:ascii="Amiri" w:hAnsi="Amiri" w:eastAsia="Amiri" w:cs="Amiri"/>
          <w:lang w:bidi="ar-SA"/>
          <w:color w:val="111111"/>
          <w:sz w:val="28"/>
          <w:szCs w:val="28"/>
          <w:rtl/>
        </w:rPr>
        <w:t xml:space="preserve">بعلبكي ، احمد بن علي- ابن ساعاتي ،</w:t>
      </w:r>
    </w:p>
    <w:p>
      <w:pPr>
        <w:pStyle w:val="BookText"/>
      </w:pPr>
      <w:r>
        <w:rPr>
          <w:rFonts w:ascii="Amiri" w:hAnsi="Amiri" w:eastAsia="Amiri" w:cs="Amiri"/>
          <w:lang w:bidi="ar-SA"/>
          <w:color w:val="111111"/>
          <w:sz w:val="28"/>
          <w:szCs w:val="28"/>
          <w:rtl/>
        </w:rPr>
        <w:t xml:space="preserve">احمد بن علي</w:t>
      </w:r>
    </w:p>
    <w:p>
      <w:pPr>
        <w:pStyle w:val="Heading2"/>
      </w:pPr>
      <w:bookmarkStart w:id="2807" w:name="_Toc1909"/>
      <w:r>
        <w:t>بعلبكي، اسماعيل بن محمّد، 720-786ه-</w:t>
      </w:r>
      <w:bookmarkEnd w:id="2807"/>
    </w:p>
    <w:p>
      <w:pPr>
        <w:pStyle w:val="BookText"/>
      </w:pPr>
      <w:r>
        <w:rPr>
          <w:rFonts w:ascii="Amiri" w:hAnsi="Amiri" w:eastAsia="Amiri" w:cs="Amiri"/>
          <w:lang w:bidi="ar-SA"/>
          <w:color w:val="111111"/>
          <w:sz w:val="28"/>
          <w:szCs w:val="28"/>
          <w:rtl/>
        </w:rPr>
        <w:t xml:space="preserve">الكفاية في نظم النهاية لابن الاثير</w:t>
      </w:r>
    </w:p>
    <w:p>
      <w:pPr>
        <w:pStyle w:val="BookText"/>
      </w:pPr>
      <w:r>
        <w:rPr>
          <w:rFonts w:ascii="IRNazanin" w:hAnsi="IRNazanin" w:eastAsia="IRNazanin" w:cs="IRNazanin"/>
          <w:lang w:bidi="fa-IR"/>
          <w:color w:val="111111"/>
          <w:sz w:val="28"/>
          <w:szCs w:val="28"/>
          <w:rtl/>
        </w:rPr>
        <w:t xml:space="preserve">ج 13، ص 329.</w:t>
      </w:r>
    </w:p>
    <w:p>
      <w:pPr>
        <w:pStyle w:val="BookText"/>
      </w:pPr>
      <w:r>
        <w:rPr>
          <w:rFonts w:ascii="Amiri" w:hAnsi="Amiri" w:eastAsia="Amiri" w:cs="Amiri"/>
          <w:lang w:bidi="ar-SA"/>
          <w:color w:val="111111"/>
          <w:sz w:val="28"/>
          <w:szCs w:val="28"/>
          <w:rtl/>
        </w:rPr>
        <w:t xml:space="preserve">بعلبكي ، محمّد بن احمد -يونيني ، محمّد</w:t>
      </w:r>
    </w:p>
    <w:p>
      <w:pPr>
        <w:pStyle w:val="BookText"/>
      </w:pPr>
      <w:r>
        <w:rPr>
          <w:rFonts w:ascii="IRNazanin" w:hAnsi="IRNazanin" w:eastAsia="IRNazanin" w:cs="IRNazanin"/>
          <w:lang w:bidi="fa-IR"/>
          <w:color w:val="111111"/>
          <w:sz w:val="28"/>
          <w:szCs w:val="28"/>
          <w:rtl/>
        </w:rPr>
        <w:t xml:space="preserve">بن احمد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4" w:name="pg7742_69914"/>
    <w:bookmarkEnd w:id="264"/>
    <w:p>
      <w:pPr>
        <w:pStyle w:val="Heading2"/>
      </w:pPr>
      <w:bookmarkStart w:id="2808" w:name="_Toc1910"/>
      <w:r>
        <w:t>بعلبكي، مظفر بن عبد الرحمن -675 ه-</w:t>
      </w:r>
      <w:bookmarkEnd w:id="2808"/>
    </w:p>
    <w:p>
      <w:pPr>
        <w:pStyle w:val="BookText"/>
      </w:pPr>
      <w:r>
        <w:rPr>
          <w:rFonts w:ascii="Amiri" w:hAnsi="Amiri" w:eastAsia="Amiri" w:cs="Amiri"/>
          <w:lang w:bidi="ar-SA"/>
          <w:color w:val="111111"/>
          <w:sz w:val="28"/>
          <w:szCs w:val="28"/>
          <w:rtl/>
        </w:rPr>
        <w:t xml:space="preserve">شرح تذكرة المعرفة لأبقراط، ج 9،</w:t>
      </w:r>
    </w:p>
    <w:p>
      <w:pPr>
        <w:pStyle w:val="BookText"/>
      </w:pPr>
      <w:r>
        <w:rPr>
          <w:rFonts w:ascii="IRNazanin" w:hAnsi="IRNazanin" w:eastAsia="IRNazanin" w:cs="IRNazanin"/>
          <w:lang w:bidi="fa-IR"/>
          <w:color w:val="111111"/>
          <w:sz w:val="28"/>
          <w:szCs w:val="28"/>
          <w:rtl/>
        </w:rPr>
        <w:t xml:space="preserve">ص 323.</w:t>
      </w:r>
    </w:p>
    <w:p>
      <w:pPr>
        <w:pStyle w:val="Heading2"/>
      </w:pPr>
      <w:bookmarkStart w:id="2809" w:name="_Toc1911"/>
      <w:r>
        <w:t>بعلبكي يحيى بن عبد الرحمن 1158- ه-</w:t>
      </w:r>
      <w:bookmarkEnd w:id="2809"/>
    </w:p>
    <w:p>
      <w:pPr>
        <w:pStyle w:val="BookText"/>
      </w:pPr>
      <w:r>
        <w:rPr>
          <w:rFonts w:ascii="Amiri" w:hAnsi="Amiri" w:eastAsia="Amiri" w:cs="Amiri"/>
          <w:lang w:bidi="ar-SA"/>
          <w:color w:val="111111"/>
          <w:sz w:val="28"/>
          <w:szCs w:val="28"/>
          <w:rtl/>
        </w:rPr>
        <w:t xml:space="preserve">مجموعة يحيى التاجي، ج 14، ص 63.</w:t>
      </w:r>
    </w:p>
    <w:p>
      <w:pPr>
        <w:pStyle w:val="Heading2"/>
      </w:pPr>
      <w:bookmarkStart w:id="2810" w:name="_Toc1912"/>
      <w:r>
        <w:t>بعلي ، جواد</w:t>
      </w:r>
      <w:bookmarkEnd w:id="2810"/>
    </w:p>
    <w:p>
      <w:pPr>
        <w:pStyle w:val="BookText"/>
      </w:pPr>
      <w:r>
        <w:rPr>
          <w:rFonts w:ascii="Amiri" w:hAnsi="Amiri" w:eastAsia="Amiri" w:cs="Amiri"/>
          <w:lang w:bidi="ar-SA"/>
          <w:color w:val="111111"/>
          <w:sz w:val="28"/>
          <w:szCs w:val="28"/>
          <w:rtl/>
        </w:rPr>
        <w:t xml:space="preserve">منظومة البعلي في الاصول، ج 15،</w:t>
      </w:r>
    </w:p>
    <w:p>
      <w:pPr>
        <w:pStyle w:val="BookText"/>
      </w:pPr>
      <w:r>
        <w:rPr>
          <w:rFonts w:ascii="IRNazanin" w:hAnsi="IRNazanin" w:eastAsia="IRNazanin" w:cs="IRNazanin"/>
          <w:lang w:bidi="fa-IR"/>
          <w:color w:val="111111"/>
          <w:sz w:val="28"/>
          <w:szCs w:val="28"/>
          <w:rtl/>
        </w:rPr>
        <w:t xml:space="preserve">1126ه-</w:t>
      </w:r>
    </w:p>
    <w:p>
      <w:pPr>
        <w:pStyle w:val="Heading2"/>
      </w:pPr>
      <w:bookmarkStart w:id="2811" w:name="_Toc1913"/>
      <w:r>
        <w:t>بعلي ،ابو بکر-1026ه-</w:t>
      </w:r>
      <w:bookmarkEnd w:id="2811"/>
    </w:p>
    <w:p>
      <w:pPr>
        <w:pStyle w:val="BookText"/>
      </w:pPr>
      <w:r>
        <w:rPr>
          <w:rFonts w:ascii="Amiri" w:hAnsi="Amiri" w:eastAsia="Amiri" w:cs="Amiri"/>
          <w:lang w:bidi="ar-SA"/>
          <w:color w:val="111111"/>
          <w:sz w:val="28"/>
          <w:szCs w:val="28"/>
          <w:rtl/>
        </w:rPr>
        <w:t xml:space="preserve">النحو (كتاب في)، ج 16 ، ص 171.</w:t>
      </w:r>
    </w:p>
    <w:p>
      <w:pPr>
        <w:pStyle w:val="BookText"/>
      </w:pPr>
      <w:r>
        <w:rPr>
          <w:rFonts w:ascii="IRNazanin" w:hAnsi="IRNazanin" w:eastAsia="IRNazanin" w:cs="IRNazanin"/>
          <w:lang w:bidi="fa-IR"/>
          <w:color w:val="111111"/>
          <w:sz w:val="28"/>
          <w:szCs w:val="28"/>
          <w:rtl/>
        </w:rPr>
        <w:t xml:space="preserve">ص 718.</w:t>
      </w:r>
    </w:p>
    <w:p>
      <w:pPr>
        <w:pStyle w:val="Heading2"/>
      </w:pPr>
      <w:bookmarkStart w:id="2812" w:name="_Toc1914"/>
      <w:r>
        <w:t>بعلي ، عبد الباقي، قرن 9 ه-</w:t>
      </w:r>
      <w:bookmarkEnd w:id="28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انسان العين وجلاء الغين مختصر العين و الاثر في عقائد اهل</w:t>
      </w:r>
    </w:p>
    <w:p>
      <w:pPr>
        <w:pStyle w:val="BookText"/>
      </w:pPr>
      <w:r>
        <w:rPr>
          <w:rFonts w:ascii="IRNazanin" w:hAnsi="IRNazanin" w:eastAsia="IRNazanin" w:cs="IRNazanin"/>
          <w:lang w:bidi="fa-IR"/>
          <w:color w:val="111111"/>
          <w:sz w:val="28"/>
          <w:szCs w:val="28"/>
          <w:rtl/>
        </w:rPr>
        <w:t xml:space="preserve">الاثر، ج 2، ص 804.</w:t>
      </w:r>
    </w:p>
    <w:p>
      <w:pPr>
        <w:pStyle w:val="BookText"/>
      </w:pPr>
      <w:r>
        <w:rPr>
          <w:rFonts w:ascii="Amiri" w:hAnsi="Amiri" w:eastAsia="Amiri" w:cs="Amiri"/>
          <w:lang w:bidi="ar-SA"/>
          <w:color w:val="111111"/>
          <w:sz w:val="28"/>
          <w:szCs w:val="28"/>
          <w:rtl/>
        </w:rPr>
        <w:t xml:space="preserve">2.العين و الاثر في عقائد اهل الاثر</w:t>
      </w:r>
    </w:p>
    <w:p>
      <w:pPr>
        <w:pStyle w:val="BookText"/>
      </w:pPr>
      <w:r>
        <w:rPr>
          <w:rFonts w:ascii="IRNazanin" w:hAnsi="IRNazanin" w:eastAsia="IRNazanin" w:cs="IRNazanin"/>
          <w:lang w:bidi="fa-IR"/>
          <w:color w:val="111111"/>
          <w:sz w:val="28"/>
          <w:szCs w:val="28"/>
          <w:rtl/>
        </w:rPr>
        <w:t xml:space="preserve">ج 11، ص 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الفتاوى، ج 11، ص 595</w:t>
      </w:r>
    </w:p>
    <w:p>
      <w:pPr>
        <w:pStyle w:val="BookText"/>
      </w:pPr>
      <w:r>
        <w:rPr>
          <w:rFonts w:ascii="Amiri" w:hAnsi="Amiri" w:eastAsia="Amiri" w:cs="Amiri"/>
          <w:lang w:bidi="ar-SA"/>
          <w:color w:val="111111"/>
          <w:sz w:val="28"/>
          <w:szCs w:val="28"/>
          <w:rtl/>
        </w:rPr>
        <w:t xml:space="preserve">بعلي ، عبد الباقي بن عبد الباقي- ابن بدر ،</w:t>
      </w:r>
    </w:p>
    <w:p>
      <w:pPr>
        <w:pStyle w:val="BookText"/>
      </w:pPr>
      <w:r>
        <w:rPr>
          <w:rFonts w:ascii="Amiri" w:hAnsi="Amiri" w:eastAsia="Amiri" w:cs="Amiri"/>
          <w:lang w:bidi="ar-SA"/>
          <w:color w:val="111111"/>
          <w:sz w:val="28"/>
          <w:szCs w:val="28"/>
          <w:rtl/>
        </w:rPr>
        <w:t xml:space="preserve">عبد الباقي بن عبد الباقي</w:t>
      </w:r>
    </w:p>
    <w:p>
      <w:pPr>
        <w:pStyle w:val="Heading2"/>
      </w:pPr>
      <w:bookmarkStart w:id="2813" w:name="_Toc1915"/>
      <w:r>
        <w:t>بعلي ، عبدالجليل بن محمّد - 1119 ه-</w:t>
      </w:r>
      <w:bookmarkEnd w:id="2813"/>
    </w:p>
    <w:p>
      <w:pPr>
        <w:pStyle w:val="BookText"/>
      </w:pPr>
      <w:r>
        <w:rPr>
          <w:rFonts w:ascii="Amiri" w:hAnsi="Amiri" w:eastAsia="Amiri" w:cs="Amiri"/>
          <w:lang w:bidi="ar-SA"/>
          <w:color w:val="111111"/>
          <w:sz w:val="28"/>
          <w:szCs w:val="28"/>
          <w:rtl/>
        </w:rPr>
        <w:t xml:space="preserve">الموارد الصوافي في علمي العروض و</w:t>
      </w:r>
    </w:p>
    <w:p>
      <w:pPr>
        <w:pStyle w:val="BookText"/>
      </w:pPr>
      <w:r>
        <w:rPr>
          <w:rFonts w:ascii="Amiri" w:hAnsi="Amiri" w:eastAsia="Amiri" w:cs="Amiri"/>
          <w:lang w:bidi="ar-SA"/>
          <w:color w:val="111111"/>
          <w:sz w:val="28"/>
          <w:szCs w:val="28"/>
          <w:rtl/>
        </w:rPr>
        <w:t xml:space="preserve">القوافي، ج 15، ص 853.</w:t>
      </w:r>
    </w:p>
    <w:p>
      <w:pPr>
        <w:pStyle w:val="Heading2"/>
      </w:pPr>
      <w:bookmarkStart w:id="2814" w:name="_Toc1916"/>
      <w:r>
        <w:t>بعلي ، عبدالرحمن بن عبدالله 1110 - بن علي</w:t>
      </w:r>
      <w:bookmarkEnd w:id="2814"/>
    </w:p>
    <w:p>
      <w:pPr>
        <w:pStyle w:val="BookText"/>
      </w:pPr>
      <w:r>
        <w:rPr>
          <w:rFonts w:ascii="IRNazanin" w:hAnsi="IRNazanin" w:eastAsia="IRNazanin" w:cs="IRNazanin"/>
          <w:lang w:bidi="fa-IR"/>
          <w:color w:val="111111"/>
          <w:sz w:val="28"/>
          <w:szCs w:val="28"/>
          <w:rtl/>
        </w:rPr>
        <w:t xml:space="preserve">1192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رفع العارض عن النور الوامض في</w:t>
      </w:r>
    </w:p>
    <w:p>
      <w:pPr>
        <w:pStyle w:val="BookText"/>
      </w:pPr>
      <w:r>
        <w:rPr>
          <w:rFonts w:ascii="IRNazanin" w:hAnsi="IRNazanin" w:eastAsia="IRNazanin" w:cs="IRNazanin"/>
          <w:lang w:bidi="fa-IR"/>
          <w:color w:val="111111"/>
          <w:sz w:val="28"/>
          <w:szCs w:val="28"/>
          <w:rtl/>
        </w:rPr>
        <w:t xml:space="preserve">علم الفرائض، ج8، ص 344.</w:t>
      </w:r>
    </w:p>
    <w:p>
      <w:pPr>
        <w:pStyle w:val="BookText"/>
      </w:pPr>
      <w:r>
        <w:rPr>
          <w:rFonts w:ascii="Amiri" w:hAnsi="Amiri" w:eastAsia="Amiri" w:cs="Amiri"/>
          <w:lang w:bidi="ar-SA"/>
          <w:color w:val="111111"/>
          <w:sz w:val="28"/>
          <w:szCs w:val="28"/>
          <w:rtl/>
        </w:rPr>
        <w:t xml:space="preserve">2 .النور الوامض في علم الفرائض</w:t>
      </w:r>
    </w:p>
    <w:p>
      <w:pPr>
        <w:pStyle w:val="BookText"/>
      </w:pPr>
      <w:r>
        <w:rPr>
          <w:rFonts w:ascii="IRNazanin" w:hAnsi="IRNazanin" w:eastAsia="IRNazanin" w:cs="IRNazanin"/>
          <w:lang w:bidi="fa-IR"/>
          <w:color w:val="111111"/>
          <w:sz w:val="28"/>
          <w:szCs w:val="28"/>
          <w:rtl/>
        </w:rPr>
        <w:t xml:space="preserve">ج 16، ص 571.</w:t>
      </w:r>
    </w:p>
    <w:p>
      <w:pPr>
        <w:pStyle w:val="BookText"/>
      </w:pPr>
      <w:r>
        <w:rPr>
          <w:rFonts w:ascii="Amiri" w:hAnsi="Amiri" w:eastAsia="Amiri" w:cs="Amiri"/>
          <w:lang w:bidi="ar-SA"/>
          <w:color w:val="111111"/>
          <w:sz w:val="28"/>
          <w:szCs w:val="28"/>
          <w:rtl/>
        </w:rPr>
        <w:t xml:space="preserve">بعلي ، عبداللطيف بن بهاء الدين -بهائي ، عبد اللطيف بن بهاء الدين</w:t>
      </w:r>
    </w:p>
    <w:p>
      <w:pPr>
        <w:pStyle w:val="Heading2"/>
      </w:pPr>
      <w:bookmarkStart w:id="2815" w:name="_Toc1917"/>
      <w:r>
        <w:t>بعلي ، محمّد بن ابي الفتح، 645 - 709 ه-</w:t>
      </w:r>
      <w:bookmarkEnd w:id="2815"/>
    </w:p>
    <w:p>
      <w:pPr>
        <w:pStyle w:val="BookText"/>
      </w:pPr>
      <w:r>
        <w:rPr>
          <w:rFonts w:ascii="Amiri" w:hAnsi="Amiri" w:eastAsia="Amiri" w:cs="Amiri"/>
          <w:lang w:bidi="ar-SA"/>
          <w:color w:val="111111"/>
          <w:sz w:val="28"/>
          <w:szCs w:val="28"/>
          <w:rtl/>
        </w:rPr>
        <w:t xml:space="preserve">علي ، ابوبكر - 1026 ه-</w:t>
      </w:r>
    </w:p>
    <w:p>
      <w:pPr>
        <w:pStyle w:val="BookText"/>
      </w:pPr>
      <w:r>
        <w:rPr>
          <w:rFonts w:ascii="Amiri" w:hAnsi="Amiri" w:eastAsia="Amiri" w:cs="Amiri"/>
          <w:lang w:bidi="ar-SA"/>
          <w:color w:val="111111"/>
          <w:sz w:val="28"/>
          <w:szCs w:val="28"/>
          <w:rtl/>
        </w:rPr>
        <w:t xml:space="preserve">تسهيل الطلاب و تذكرة اولي الالباب ج 4، ص 351.</w:t>
      </w:r>
    </w:p>
    <w:p>
      <w:pPr>
        <w:pStyle w:val="Heading2"/>
      </w:pPr>
      <w:bookmarkStart w:id="2816" w:name="_Toc1918"/>
      <w:r>
        <w:t>بعلي ، محمّد بن عبد الباقي 1044 -</w:t>
      </w:r>
      <w:bookmarkEnd w:id="28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فيض الودود بقرائة حفص عن</w:t>
      </w:r>
    </w:p>
    <w:p>
      <w:pPr>
        <w:pStyle w:val="BookText"/>
      </w:pPr>
      <w:r>
        <w:rPr>
          <w:rFonts w:ascii="Amiri" w:hAnsi="Amiri" w:eastAsia="Amiri" w:cs="Amiri"/>
          <w:lang w:bidi="ar-SA"/>
          <w:color w:val="111111"/>
          <w:sz w:val="28"/>
          <w:szCs w:val="28"/>
          <w:rtl/>
        </w:rPr>
        <w:t xml:space="preserve">عاصم ابن ابي النجود، ج 12، ص 317.</w:t>
      </w:r>
    </w:p>
    <w:p>
      <w:pPr>
        <w:pStyle w:val="BookText"/>
      </w:pPr>
      <w:r>
        <w:rPr>
          <w:rFonts w:ascii="Amiri" w:hAnsi="Amiri" w:eastAsia="Amiri" w:cs="Amiri"/>
          <w:lang w:bidi="ar-SA"/>
          <w:color w:val="111111"/>
          <w:sz w:val="28"/>
          <w:szCs w:val="28"/>
          <w:rtl/>
        </w:rPr>
        <w:t xml:space="preserve">2 .قرائة حفص عن عاصم بن ابي</w:t>
      </w:r>
    </w:p>
    <w:p>
      <w:pPr>
        <w:pStyle w:val="BookText"/>
      </w:pPr>
      <w:r>
        <w:rPr>
          <w:rFonts w:ascii="Amiri" w:hAnsi="Amiri" w:eastAsia="Amiri" w:cs="Amiri"/>
          <w:lang w:bidi="ar-SA"/>
          <w:color w:val="111111"/>
          <w:sz w:val="28"/>
          <w:szCs w:val="28"/>
          <w:rtl/>
        </w:rPr>
        <w:t xml:space="preserve">النجود ... (رسالة في)، ج 12، ص 548 .</w:t>
      </w:r>
    </w:p>
    <w:p>
      <w:pPr>
        <w:pStyle w:val="BookText"/>
      </w:pPr>
      <w:r>
        <w:rPr>
          <w:rFonts w:ascii="Amiri" w:hAnsi="Amiri" w:eastAsia="Amiri" w:cs="Amiri"/>
          <w:lang w:bidi="ar-SA"/>
          <w:color w:val="111111"/>
          <w:sz w:val="28"/>
          <w:szCs w:val="28"/>
          <w:rtl/>
        </w:rPr>
        <w:t xml:space="preserve">بعلي ، محمّد بن محمّد -موصلي ، محمّد بن محمّد</w:t>
      </w:r>
    </w:p>
    <w:p>
      <w:pPr>
        <w:pStyle w:val="Heading2"/>
      </w:pPr>
      <w:bookmarkStart w:id="2817" w:name="_Toc1919"/>
      <w:r>
        <w:t>بغدادي، ابراهيم بن محمّد</w:t>
      </w:r>
      <w:bookmarkEnd w:id="2817"/>
    </w:p>
    <w:p>
      <w:pPr>
        <w:pStyle w:val="BookText"/>
      </w:pPr>
      <w:r>
        <w:rPr>
          <w:rFonts w:ascii="Amiri" w:hAnsi="Amiri" w:eastAsia="Amiri" w:cs="Amiri"/>
          <w:lang w:bidi="ar-SA"/>
          <w:color w:val="111111"/>
          <w:sz w:val="28"/>
          <w:szCs w:val="28"/>
          <w:rtl/>
        </w:rPr>
        <w:t xml:space="preserve">تقريض، ج4، ص 780.</w:t>
      </w:r>
    </w:p>
    <w:p>
      <w:pPr>
        <w:pStyle w:val="BookText"/>
      </w:pPr>
      <w:r>
        <w:rPr>
          <w:rFonts w:ascii="Amiri" w:hAnsi="Amiri" w:eastAsia="Amiri" w:cs="Amiri"/>
          <w:lang w:bidi="ar-SA"/>
          <w:color w:val="111111"/>
          <w:sz w:val="28"/>
          <w:szCs w:val="28"/>
          <w:rtl/>
        </w:rPr>
        <w:t xml:space="preserve">بغدادي ، ابراهيم بن يحيى- نميري ،</w:t>
      </w:r>
    </w:p>
    <w:p>
      <w:pPr>
        <w:pStyle w:val="BookText"/>
      </w:pPr>
      <w:r>
        <w:rPr>
          <w:rFonts w:ascii="Amiri" w:hAnsi="Amiri" w:eastAsia="Amiri" w:cs="Amiri"/>
          <w:lang w:bidi="ar-SA"/>
          <w:color w:val="111111"/>
          <w:sz w:val="28"/>
          <w:szCs w:val="28"/>
          <w:rtl/>
        </w:rPr>
        <w:t xml:space="preserve">ابراهيم بن يحيى</w:t>
      </w:r>
    </w:p>
    <w:p>
      <w:pPr>
        <w:pStyle w:val="BookText"/>
      </w:pPr>
      <w:r>
        <w:rPr>
          <w:rFonts w:ascii="Amiri" w:hAnsi="Amiri" w:eastAsia="Amiri" w:cs="Amiri"/>
          <w:lang w:bidi="ar-SA"/>
          <w:color w:val="111111"/>
          <w:sz w:val="28"/>
          <w:szCs w:val="28"/>
          <w:rtl/>
        </w:rPr>
        <w:t xml:space="preserve">بغدادي ، ابوالبركات - ابن ملكا ، هبة الله</w:t>
      </w:r>
    </w:p>
    <w:p>
      <w:pPr>
        <w:pStyle w:val="BookText"/>
      </w:pPr>
      <w:r>
        <w:rPr>
          <w:rFonts w:ascii="IRNazanin" w:hAnsi="IRNazanin" w:eastAsia="IRNazanin" w:cs="IRNazanin"/>
          <w:lang w:bidi="fa-IR"/>
          <w:color w:val="111111"/>
          <w:sz w:val="28"/>
          <w:szCs w:val="28"/>
          <w:rtl/>
        </w:rPr>
        <w:t xml:space="preserve">بن علی</w:t>
      </w:r>
    </w:p>
    <w:p>
      <w:pPr>
        <w:pStyle w:val="Heading2"/>
      </w:pPr>
      <w:bookmarkStart w:id="2818" w:name="_Toc1920"/>
      <w:r>
        <w:t>بغدادي ، ابوالقاسم بن محفوظ</w:t>
      </w:r>
      <w:bookmarkEnd w:id="2818"/>
    </w:p>
    <w:p>
      <w:pPr>
        <w:pStyle w:val="BookText"/>
      </w:pPr>
      <w:r>
        <w:rPr>
          <w:rFonts w:ascii="Amiri" w:hAnsi="Amiri" w:eastAsia="Amiri" w:cs="Amiri"/>
          <w:lang w:bidi="ar-SA"/>
          <w:color w:val="111111"/>
          <w:sz w:val="28"/>
          <w:szCs w:val="28"/>
          <w:rtl/>
        </w:rPr>
        <w:t xml:space="preserve">الاسطرلاب (رسالة في)، ج 2، ص 189.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5" w:name="pg7742_69916"/>
    <w:bookmarkEnd w:id="265"/>
    <w:p>
      <w:pPr>
        <w:pStyle w:val="Heading2"/>
      </w:pPr>
      <w:bookmarkStart w:id="2819" w:name="_Toc1921"/>
      <w:r>
        <w:t>بغدادي ، ابي العباس احمد بن عبدالله</w:t>
      </w:r>
      <w:bookmarkEnd w:id="2819"/>
    </w:p>
    <w:p>
      <w:pPr>
        <w:pStyle w:val="BookText"/>
      </w:pPr>
      <w:r>
        <w:rPr>
          <w:rFonts w:ascii="IRNazanin" w:hAnsi="IRNazanin" w:eastAsia="IRNazanin" w:cs="IRNazanin"/>
          <w:lang w:bidi="fa-IR"/>
          <w:color w:val="111111"/>
          <w:sz w:val="28"/>
          <w:szCs w:val="28"/>
          <w:rtl/>
        </w:rPr>
        <w:t xml:space="preserve">نظم الجواهر، ج 16، ص 336.</w:t>
      </w:r>
    </w:p>
    <w:p>
      <w:pPr>
        <w:pStyle w:val="Heading2"/>
      </w:pPr>
      <w:bookmarkStart w:id="2820" w:name="_Toc1922"/>
      <w:r>
        <w:t>بغدادي احمد بن درويش علي - 1329ه-</w:t>
      </w:r>
      <w:bookmarkEnd w:id="2820"/>
    </w:p>
    <w:p>
      <w:pPr>
        <w:pStyle w:val="BookText"/>
      </w:pPr>
      <w:r>
        <w:rPr>
          <w:rFonts w:ascii="Amiri" w:hAnsi="Amiri" w:eastAsia="Amiri" w:cs="Amiri"/>
          <w:lang w:bidi="ar-SA"/>
          <w:color w:val="111111"/>
          <w:sz w:val="28"/>
          <w:szCs w:val="28"/>
          <w:rtl/>
        </w:rPr>
        <w:t xml:space="preserve">1 .ديوان الشيخ احمد البغدادي، ج7،</w:t>
      </w:r>
    </w:p>
    <w:p>
      <w:pPr>
        <w:pStyle w:val="BookText"/>
      </w:pPr>
      <w:r>
        <w:rPr>
          <w:rFonts w:ascii="IRNazanin" w:hAnsi="IRNazanin" w:eastAsia="IRNazanin" w:cs="IRNazanin"/>
          <w:lang w:bidi="fa-IR"/>
          <w:color w:val="111111"/>
          <w:sz w:val="28"/>
          <w:szCs w:val="28"/>
          <w:rtl/>
        </w:rPr>
        <w:t xml:space="preserve">ص 675 .</w:t>
      </w:r>
    </w:p>
    <w:p>
      <w:pPr>
        <w:pStyle w:val="BookText"/>
      </w:pPr>
      <w:r>
        <w:rPr>
          <w:rFonts w:ascii="Amiri" w:hAnsi="Amiri" w:eastAsia="Amiri" w:cs="Amiri"/>
          <w:lang w:bidi="ar-SA"/>
          <w:color w:val="111111"/>
          <w:sz w:val="28"/>
          <w:szCs w:val="28"/>
          <w:rtl/>
        </w:rPr>
        <w:t xml:space="preserve">2 .الكشكول، ج13، ص289.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الاديب في كل فن عجيب</w:t>
      </w:r>
    </w:p>
    <w:p>
      <w:pPr>
        <w:pStyle w:val="BookText"/>
      </w:pPr>
      <w:r>
        <w:rPr>
          <w:rFonts w:ascii="IRNazanin" w:hAnsi="IRNazanin" w:eastAsia="IRNazanin" w:cs="IRNazanin"/>
          <w:lang w:bidi="fa-IR"/>
          <w:color w:val="111111"/>
          <w:sz w:val="28"/>
          <w:szCs w:val="28"/>
          <w:rtl/>
        </w:rPr>
        <w:t xml:space="preserve">ج 13 ، ص 401.</w:t>
      </w:r>
    </w:p>
    <w:p>
      <w:pPr>
        <w:pStyle w:val="Heading2"/>
      </w:pPr>
      <w:bookmarkStart w:id="2821" w:name="_Toc1923"/>
      <w:r>
        <w:t>بغدادي ، احمد بن رجب - 1166 ه-</w:t>
      </w:r>
      <w:bookmarkEnd w:id="2821"/>
    </w:p>
    <w:p>
      <w:pPr>
        <w:pStyle w:val="BookText"/>
      </w:pPr>
      <w:r>
        <w:rPr>
          <w:rFonts w:ascii="Amiri" w:hAnsi="Amiri" w:eastAsia="Amiri" w:cs="Amiri"/>
          <w:lang w:bidi="ar-SA"/>
          <w:color w:val="111111"/>
          <w:sz w:val="28"/>
          <w:szCs w:val="28"/>
          <w:rtl/>
        </w:rPr>
        <w:t xml:space="preserve">كاشفة الغوامض في احكام الفرائض</w:t>
      </w:r>
    </w:p>
    <w:p>
      <w:pPr>
        <w:pStyle w:val="BookText"/>
      </w:pPr>
      <w:r>
        <w:rPr>
          <w:rFonts w:ascii="IRNazanin" w:hAnsi="IRNazanin" w:eastAsia="IRNazanin" w:cs="IRNazanin"/>
          <w:lang w:bidi="fa-IR"/>
          <w:color w:val="111111"/>
          <w:sz w:val="28"/>
          <w:szCs w:val="28"/>
          <w:rtl/>
        </w:rPr>
        <w:t xml:space="preserve">ج 13، ص 6.</w:t>
      </w:r>
    </w:p>
    <w:p>
      <w:pPr>
        <w:pStyle w:val="Heading2"/>
      </w:pPr>
      <w:bookmarkStart w:id="2822" w:name="_Toc1924"/>
      <w:r>
        <w:t>بغدادي ، احمد بن عبدالله - 1102 ه-</w:t>
      </w:r>
      <w:bookmarkEnd w:id="2822"/>
    </w:p>
    <w:p>
      <w:pPr>
        <w:pStyle w:val="BookText"/>
      </w:pPr>
      <w:r>
        <w:rPr>
          <w:rFonts w:ascii="Amiri" w:hAnsi="Amiri" w:eastAsia="Amiri" w:cs="Amiri"/>
          <w:lang w:bidi="ar-SA"/>
          <w:color w:val="111111"/>
          <w:sz w:val="28"/>
          <w:szCs w:val="28"/>
          <w:rtl/>
        </w:rPr>
        <w:t xml:space="preserve">عيون اخبار الاعيان ممن مضي من</w:t>
      </w:r>
    </w:p>
    <w:p>
      <w:pPr>
        <w:pStyle w:val="BookText"/>
      </w:pPr>
      <w:r>
        <w:rPr>
          <w:rFonts w:ascii="IRNazanin" w:hAnsi="IRNazanin" w:eastAsia="IRNazanin" w:cs="IRNazanin"/>
          <w:lang w:bidi="fa-IR"/>
          <w:color w:val="111111"/>
          <w:sz w:val="28"/>
          <w:szCs w:val="28"/>
          <w:rtl/>
        </w:rPr>
        <w:t xml:space="preserve">سالف العصور و الازمان، ج11، ص 389.</w:t>
      </w:r>
    </w:p>
    <w:p>
      <w:pPr>
        <w:pStyle w:val="Heading2"/>
      </w:pPr>
      <w:bookmarkStart w:id="2823" w:name="_Toc1925"/>
      <w:r>
        <w:t>بغدادي ، احمد بن محمّد بن خضر، قرن</w:t>
      </w:r>
      <w:bookmarkEnd w:id="2823"/>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1 .نقش الصحيفة في شرح الصفيحة</w:t>
      </w:r>
    </w:p>
    <w:p>
      <w:pPr>
        <w:pStyle w:val="BookText"/>
      </w:pPr>
      <w:r>
        <w:rPr>
          <w:rFonts w:ascii="IRNazanin" w:hAnsi="IRNazanin" w:eastAsia="IRNazanin" w:cs="IRNazanin"/>
          <w:lang w:bidi="fa-IR"/>
          <w:color w:val="111111"/>
          <w:sz w:val="28"/>
          <w:szCs w:val="28"/>
          <w:rtl/>
        </w:rPr>
        <w:t xml:space="preserve">ج 16، ص 420.</w:t>
      </w:r>
    </w:p>
    <w:p>
      <w:pPr>
        <w:pStyle w:val="BookText"/>
      </w:pPr>
      <w:r>
        <w:rPr>
          <w:rFonts w:ascii="Amiri" w:hAnsi="Amiri" w:eastAsia="Amiri" w:cs="Amiri"/>
          <w:lang w:bidi="ar-SA"/>
          <w:color w:val="111111"/>
          <w:sz w:val="28"/>
          <w:szCs w:val="28"/>
          <w:rtl/>
        </w:rPr>
        <w:t xml:space="preserve">2 .نوادر القضاء في احكام النجوم</w:t>
      </w:r>
    </w:p>
    <w:p>
      <w:pPr>
        <w:pStyle w:val="BookText"/>
      </w:pPr>
      <w:r>
        <w:rPr>
          <w:rFonts w:ascii="IRNazanin" w:hAnsi="IRNazanin" w:eastAsia="IRNazanin" w:cs="IRNazanin"/>
          <w:lang w:bidi="fa-IR"/>
          <w:color w:val="111111"/>
          <w:sz w:val="28"/>
          <w:szCs w:val="28"/>
          <w:rtl/>
        </w:rPr>
        <w:t xml:space="preserve">ج 16، ص 544.</w:t>
      </w:r>
    </w:p>
    <w:p>
      <w:pPr>
        <w:pStyle w:val="BookText"/>
      </w:pPr>
      <w:r>
        <w:rPr>
          <w:rFonts w:ascii="Amiri" w:hAnsi="Amiri" w:eastAsia="Amiri" w:cs="Amiri"/>
          <w:lang w:bidi="ar-SA"/>
          <w:color w:val="111111"/>
          <w:sz w:val="28"/>
          <w:szCs w:val="28"/>
          <w:rtl/>
        </w:rPr>
        <w:t xml:space="preserve">بغدادي ، جنيد بن محمّد- جنيد بغدادي</w:t>
      </w:r>
    </w:p>
    <w:p>
      <w:pPr>
        <w:pStyle w:val="Heading2"/>
      </w:pPr>
      <w:bookmarkStart w:id="2824" w:name="_Toc1926"/>
      <w:r>
        <w:t>بغدادي ، جواد بن عبد الرضا، قرن 12 ه-</w:t>
      </w:r>
      <w:bookmarkEnd w:id="28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البغدادي، ج 7، ص 591.</w:t>
      </w:r>
    </w:p>
    <w:p>
      <w:pPr>
        <w:pStyle w:val="BookText"/>
      </w:pPr>
      <w:r>
        <w:rPr>
          <w:rFonts w:ascii="Amiri" w:hAnsi="Amiri" w:eastAsia="Amiri" w:cs="Amiri"/>
          <w:lang w:bidi="ar-SA"/>
          <w:color w:val="111111"/>
          <w:sz w:val="28"/>
          <w:szCs w:val="28"/>
          <w:rtl/>
        </w:rPr>
        <w:t xml:space="preserve">2 .مجموعة البغدادي، ج 14 ، ص 24.</w:t>
      </w:r>
    </w:p>
    <w:p>
      <w:pPr>
        <w:pStyle w:val="BookText"/>
      </w:pPr>
      <w:r>
        <w:rPr>
          <w:rFonts w:ascii="Amiri" w:hAnsi="Amiri" w:eastAsia="Amiri" w:cs="Amiri"/>
          <w:lang w:bidi="ar-SA"/>
          <w:color w:val="111111"/>
          <w:sz w:val="28"/>
          <w:szCs w:val="28"/>
          <w:rtl/>
        </w:rPr>
        <w:t xml:space="preserve">بغدادي ، حسن بن موسى -نوبختي ،</w:t>
      </w:r>
    </w:p>
    <w:p>
      <w:pPr>
        <w:pStyle w:val="BookText"/>
      </w:pPr>
      <w:r>
        <w:rPr>
          <w:rFonts w:ascii="IRNazanin" w:hAnsi="IRNazanin" w:eastAsia="IRNazanin" w:cs="IRNazanin"/>
          <w:lang w:bidi="fa-IR"/>
          <w:color w:val="111111"/>
          <w:sz w:val="28"/>
          <w:szCs w:val="28"/>
          <w:rtl/>
        </w:rPr>
        <w:t xml:space="preserve">حسن بن موسى</w:t>
      </w:r>
    </w:p>
    <w:p>
      <w:pPr>
        <w:pStyle w:val="Heading2"/>
      </w:pPr>
      <w:bookmarkStart w:id="2825" w:name="_Toc1927"/>
      <w:r>
        <w:t>بغدادي ، حسين</w:t>
      </w:r>
      <w:bookmarkEnd w:id="2825"/>
    </w:p>
    <w:p>
      <w:pPr>
        <w:pStyle w:val="BookText"/>
      </w:pPr>
      <w:r>
        <w:rPr>
          <w:rFonts w:ascii="Amiri" w:hAnsi="Amiri" w:eastAsia="Amiri" w:cs="Amiri"/>
          <w:lang w:bidi="ar-SA"/>
          <w:color w:val="111111"/>
          <w:sz w:val="28"/>
          <w:szCs w:val="28"/>
          <w:rtl/>
        </w:rPr>
        <w:t xml:space="preserve">الرسالة الحسينية في كشف حقائق</w:t>
      </w:r>
    </w:p>
    <w:p>
      <w:pPr>
        <w:pStyle w:val="BookText"/>
      </w:pPr>
      <w:r>
        <w:rPr>
          <w:rFonts w:ascii="Amiri" w:hAnsi="Amiri" w:eastAsia="Amiri" w:cs="Amiri"/>
          <w:lang w:bidi="ar-SA"/>
          <w:color w:val="111111"/>
          <w:sz w:val="28"/>
          <w:szCs w:val="28"/>
          <w:rtl/>
        </w:rPr>
        <w:t xml:space="preserve">الانسانية، ج8، ص190.</w:t>
      </w:r>
    </w:p>
    <w:p>
      <w:pPr>
        <w:pStyle w:val="Heading2"/>
      </w:pPr>
      <w:bookmarkStart w:id="2826" w:name="_Toc1928"/>
      <w:r>
        <w:t>بغدادي ، حسين بن عبدالله - 474 ه-</w:t>
      </w:r>
      <w:bookmarkEnd w:id="2826"/>
    </w:p>
    <w:p>
      <w:pPr>
        <w:pStyle w:val="BookText"/>
      </w:pPr>
      <w:r>
        <w:rPr>
          <w:rFonts w:ascii="IRNazanin" w:hAnsi="IRNazanin" w:eastAsia="IRNazanin" w:cs="IRNazanin"/>
          <w:lang w:bidi="fa-IR"/>
          <w:color w:val="111111"/>
          <w:sz w:val="28"/>
          <w:szCs w:val="28"/>
          <w:rtl/>
        </w:rPr>
        <w:t xml:space="preserve">دیوان ابن شبل بغدادي، ج7، ص 523.</w:t>
      </w:r>
    </w:p>
    <w:p>
      <w:pPr>
        <w:pStyle w:val="BookText"/>
      </w:pPr>
      <w:r>
        <w:rPr>
          <w:rFonts w:ascii="Amiri" w:hAnsi="Amiri" w:eastAsia="Amiri" w:cs="Amiri"/>
          <w:lang w:bidi="ar-SA"/>
          <w:color w:val="111111"/>
          <w:sz w:val="28"/>
          <w:szCs w:val="28"/>
          <w:rtl/>
        </w:rPr>
        <w:t xml:space="preserve">بغدادي ، حسين بن محمّد- بارع بغدادي</w:t>
      </w:r>
    </w:p>
    <w:p>
      <w:pPr>
        <w:pStyle w:val="BookText"/>
      </w:pPr>
      <w:r>
        <w:rPr>
          <w:rFonts w:ascii="Amiri" w:hAnsi="Amiri" w:eastAsia="Amiri" w:cs="Amiri"/>
          <w:lang w:bidi="ar-SA"/>
          <w:color w:val="111111"/>
          <w:sz w:val="28"/>
          <w:szCs w:val="28"/>
          <w:rtl/>
        </w:rPr>
        <w:t xml:space="preserve">، حسين بن محمّد</w:t>
      </w:r>
    </w:p>
    <w:p>
      <w:pPr>
        <w:pStyle w:val="Heading2"/>
      </w:pPr>
      <w:bookmarkStart w:id="2827" w:name="_Toc1929"/>
      <w:r>
        <w:t>بغدادي ، حمزه</w:t>
      </w:r>
      <w:bookmarkEnd w:id="2827"/>
    </w:p>
    <w:p>
      <w:pPr>
        <w:pStyle w:val="BookText"/>
      </w:pPr>
      <w:r>
        <w:rPr>
          <w:rFonts w:ascii="IRNazanin" w:hAnsi="IRNazanin" w:eastAsia="IRNazanin" w:cs="IRNazanin"/>
          <w:lang w:bidi="fa-IR"/>
          <w:color w:val="111111"/>
          <w:sz w:val="28"/>
          <w:szCs w:val="28"/>
          <w:rtl/>
        </w:rPr>
        <w:t xml:space="preserve">موالیات و اغاني ج 15، ص881</w:t>
      </w:r>
    </w:p>
    <w:p>
      <w:pPr>
        <w:pStyle w:val="Heading2"/>
      </w:pPr>
      <w:bookmarkStart w:id="2828" w:name="_Toc1930"/>
      <w:r>
        <w:t>بغدادي ، خضر بن يوسف - 1345 ه-</w:t>
      </w:r>
      <w:bookmarkEnd w:id="2828"/>
    </w:p>
    <w:p>
      <w:pPr>
        <w:pStyle w:val="BookText"/>
      </w:pPr>
      <w:r>
        <w:rPr>
          <w:rFonts w:ascii="Amiri" w:hAnsi="Amiri" w:eastAsia="Amiri" w:cs="Amiri"/>
          <w:lang w:bidi="ar-SA"/>
          <w:color w:val="111111"/>
          <w:sz w:val="28"/>
          <w:szCs w:val="28"/>
          <w:rtl/>
        </w:rPr>
        <w:t xml:space="preserve">1 .تعليق على كتاب في الفقه الحنفي</w:t>
      </w:r>
    </w:p>
    <w:p>
      <w:pPr>
        <w:pStyle w:val="BookText"/>
      </w:pPr>
      <w:r>
        <w:rPr>
          <w:rFonts w:ascii="IRNazanin" w:hAnsi="IRNazanin" w:eastAsia="IRNazanin" w:cs="IRNazanin"/>
          <w:lang w:bidi="fa-IR"/>
          <w:color w:val="111111"/>
          <w:sz w:val="28"/>
          <w:szCs w:val="28"/>
          <w:rtl/>
        </w:rPr>
        <w:t xml:space="preserve">ج 4، ص 550.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مجموعة، ج 14 ، ص6 .</w:t>
      </w:r>
    </w:p>
    <w:p>
      <w:pPr>
        <w:pStyle w:val="BookText"/>
      </w:pPr>
      <w:r>
        <w:rPr>
          <w:rFonts w:ascii="Amiri" w:hAnsi="Amiri" w:eastAsia="Amiri" w:cs="Amiri"/>
          <w:lang w:bidi="ar-SA"/>
          <w:color w:val="111111"/>
          <w:sz w:val="28"/>
          <w:szCs w:val="28"/>
          <w:rtl/>
        </w:rPr>
        <w:t xml:space="preserve">3.المنح الربانية في شرح المنظومة</w:t>
      </w:r>
    </w:p>
    <w:p>
      <w:pPr>
        <w:pStyle w:val="BookText"/>
      </w:pPr>
      <w:r>
        <w:rPr>
          <w:rFonts w:ascii="Amiri" w:hAnsi="Amiri" w:eastAsia="Amiri" w:cs="Amiri"/>
          <w:lang w:bidi="ar-SA"/>
          <w:color w:val="111111"/>
          <w:sz w:val="28"/>
          <w:szCs w:val="28"/>
          <w:rtl/>
        </w:rPr>
        <w:t xml:space="preserve">الوهبانية، ج 15، ص 667.</w:t>
      </w:r>
    </w:p>
    <w:p>
      <w:pPr>
        <w:pStyle w:val="Heading2"/>
      </w:pPr>
      <w:bookmarkStart w:id="2829" w:name="_Toc1931"/>
      <w:r>
        <w:t>بغدادي ، داود</w:t>
      </w:r>
      <w:bookmarkEnd w:id="2829"/>
    </w:p>
    <w:p>
      <w:pPr>
        <w:pStyle w:val="BookText"/>
      </w:pPr>
      <w:r>
        <w:rPr>
          <w:rFonts w:ascii="Amiri" w:hAnsi="Amiri" w:eastAsia="Amiri" w:cs="Amiri"/>
          <w:lang w:bidi="ar-SA"/>
          <w:color w:val="111111"/>
          <w:sz w:val="28"/>
          <w:szCs w:val="28"/>
          <w:rtl/>
        </w:rPr>
        <w:t xml:space="preserve">الدر المصان في مناقب ابي حنيفة</w:t>
      </w:r>
    </w:p>
    <w:p>
      <w:pPr>
        <w:pStyle w:val="BookText"/>
      </w:pPr>
      <w:r>
        <w:rPr>
          <w:rFonts w:ascii="IRNazanin" w:hAnsi="IRNazanin" w:eastAsia="IRNazanin" w:cs="IRNazanin"/>
          <w:lang w:bidi="fa-IR"/>
          <w:color w:val="111111"/>
          <w:sz w:val="28"/>
          <w:szCs w:val="28"/>
          <w:rtl/>
        </w:rPr>
        <w:t xml:space="preserve">النعمان، ج7، ص333</w:t>
      </w:r>
    </w:p>
    <w:p>
      <w:pPr>
        <w:pStyle w:val="Heading2"/>
      </w:pPr>
      <w:bookmarkStart w:id="2830" w:name="_Toc1932"/>
      <w:r>
        <w:t>بغدادي داود بن سليمان، 1231-1299ه-</w:t>
      </w:r>
      <w:bookmarkEnd w:id="2830"/>
    </w:p>
    <w:p>
      <w:pPr>
        <w:pStyle w:val="BookText"/>
      </w:pPr>
      <w:r>
        <w:rPr>
          <w:rFonts w:ascii="IRNazanin" w:hAnsi="IRNazanin" w:eastAsia="IRNazanin" w:cs="IRNazanin"/>
          <w:lang w:bidi="fa-IR"/>
          <w:color w:val="111111"/>
          <w:sz w:val="28"/>
          <w:szCs w:val="28"/>
          <w:rtl/>
        </w:rPr>
        <w:t xml:space="preserve">1 .الاجازات، ج 1، ص 201.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أشهد الجهاد في ابطال دعوى</w:t>
      </w:r>
    </w:p>
    <w:p>
      <w:pPr>
        <w:pStyle w:val="BookText"/>
      </w:pPr>
      <w:r>
        <w:rPr>
          <w:rFonts w:ascii="IRNazanin" w:hAnsi="IRNazanin" w:eastAsia="IRNazanin" w:cs="IRNazanin"/>
          <w:lang w:bidi="fa-IR"/>
          <w:color w:val="111111"/>
          <w:sz w:val="28"/>
          <w:szCs w:val="28"/>
          <w:rtl/>
        </w:rPr>
        <w:t xml:space="preserve">الاجتهاد، ج 2، ص 348.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تحريم التتن، ج 3، ص 759.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تشطير القصيدة البردية، ج 4، ص 387.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تقريض على المنظومة، ج 4، ص783.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6" w:name="pg7742_69918"/>
    <w:bookmarkEnd w:id="266"/>
    <w:p>
      <w:pPr>
        <w:pStyle w:val="BookText"/>
      </w:pPr>
      <w:r>
        <w:rPr>
          <w:rFonts w:ascii="Amiri" w:hAnsi="Amiri" w:eastAsia="Amiri" w:cs="Amiri"/>
          <w:lang w:bidi="ar-SA"/>
          <w:color w:val="111111"/>
          <w:sz w:val="28"/>
          <w:szCs w:val="28"/>
          <w:rtl/>
        </w:rPr>
        <w:t xml:space="preserve">6 .الرد على الامام محمود شكري الآلوسي (رسالة في)، ج8، ص91.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الرد على البهاء العاملي في مسألة غسل الرجلين و مسحهما» (رسالة</w:t>
      </w:r>
    </w:p>
    <w:p>
      <w:pPr>
        <w:pStyle w:val="BookText"/>
      </w:pPr>
      <w:r>
        <w:rPr>
          <w:rFonts w:ascii="Amiri" w:hAnsi="Amiri" w:eastAsia="Amiri" w:cs="Amiri"/>
          <w:lang w:bidi="ar-SA"/>
          <w:color w:val="111111"/>
          <w:sz w:val="28"/>
          <w:szCs w:val="28"/>
          <w:rtl/>
        </w:rPr>
        <w:t xml:space="preserve">في)، ج8، ص 92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زبدة ما تحرر في مسئلة التقليد على المذاهب الأربعة، ج8، ص 591.</w:t>
      </w:r>
    </w:p>
    <w:p>
      <w:pPr>
        <w:pStyle w:val="BookText"/>
      </w:pPr>
      <w:r>
        <w:rPr>
          <w:rFonts w:ascii="Amiri" w:hAnsi="Amiri" w:eastAsia="Amiri" w:cs="Amiri"/>
          <w:lang w:bidi="ar-SA"/>
          <w:color w:val="111111"/>
          <w:sz w:val="28"/>
          <w:szCs w:val="28"/>
          <w:rtl/>
        </w:rPr>
        <w:t xml:space="preserve">9 .صرف الريح النتن عن مستعمل</w:t>
      </w:r>
    </w:p>
    <w:p>
      <w:pPr>
        <w:pStyle w:val="BookText"/>
      </w:pPr>
      <w:r>
        <w:rPr>
          <w:rFonts w:ascii="IRNazanin" w:hAnsi="IRNazanin" w:eastAsia="IRNazanin" w:cs="IRNazanin"/>
          <w:lang w:bidi="fa-IR"/>
          <w:color w:val="111111"/>
          <w:sz w:val="28"/>
          <w:szCs w:val="28"/>
          <w:rtl/>
        </w:rPr>
        <w:t xml:space="preserve">التتن، ج 10، ص 557.</w:t>
      </w:r>
    </w:p>
    <w:p>
      <w:pPr>
        <w:pStyle w:val="BookText"/>
      </w:pPr>
      <w:r>
        <w:rPr>
          <w:rFonts w:ascii="Amiri" w:hAnsi="Amiri" w:eastAsia="Amiri" w:cs="Amiri"/>
          <w:lang w:bidi="ar-SA"/>
          <w:color w:val="111111"/>
          <w:sz w:val="28"/>
          <w:szCs w:val="28"/>
          <w:rtl/>
        </w:rPr>
        <w:t xml:space="preserve">10 .الصلح بين الاخوان من اهل الايمان و بيان الدين القيم في تبرئة اين تيمية وابن القيم، ج 10، ص 623.</w:t>
      </w:r>
    </w:p>
    <w:p>
      <w:pPr>
        <w:pStyle w:val="BookText"/>
      </w:pPr>
      <w:r>
        <w:rPr>
          <w:rFonts w:ascii="Amiri" w:hAnsi="Amiri" w:eastAsia="Amiri" w:cs="Amiri"/>
          <w:lang w:bidi="ar-SA"/>
          <w:color w:val="111111"/>
          <w:sz w:val="28"/>
          <w:szCs w:val="28"/>
          <w:rtl/>
        </w:rPr>
        <w:t xml:space="preserve">11 .عدم وضع القرآن و كتب الحديث</w:t>
      </w:r>
    </w:p>
    <w:p>
      <w:pPr>
        <w:pStyle w:val="BookText"/>
      </w:pPr>
      <w:r>
        <w:rPr>
          <w:rFonts w:ascii="Amiri" w:hAnsi="Amiri" w:eastAsia="Amiri" w:cs="Amiri"/>
          <w:lang w:bidi="ar-SA"/>
          <w:color w:val="111111"/>
          <w:sz w:val="28"/>
          <w:szCs w:val="28"/>
          <w:rtl/>
        </w:rPr>
        <w:t xml:space="preserve">على الارض (رسالة في)، ج11،</w:t>
      </w:r>
    </w:p>
    <w:p>
      <w:pPr>
        <w:pStyle w:val="BookText"/>
      </w:pPr>
      <w:r>
        <w:rPr>
          <w:rFonts w:ascii="IRNazanin" w:hAnsi="IRNazanin" w:eastAsia="IRNazanin" w:cs="IRNazanin"/>
          <w:lang w:bidi="fa-IR"/>
          <w:color w:val="111111"/>
          <w:sz w:val="28"/>
          <w:szCs w:val="28"/>
          <w:rtl/>
        </w:rPr>
        <w:t xml:space="preserve">ص 70 .</w:t>
      </w:r>
    </w:p>
    <w:p>
      <w:pPr>
        <w:pStyle w:val="BookText"/>
      </w:pPr>
      <w:r>
        <w:rPr>
          <w:rFonts w:ascii="Amiri" w:hAnsi="Amiri" w:eastAsia="Amiri" w:cs="Amiri"/>
          <w:lang w:bidi="ar-SA"/>
          <w:color w:val="111111"/>
          <w:sz w:val="28"/>
          <w:szCs w:val="28"/>
          <w:rtl/>
        </w:rPr>
        <w:t xml:space="preserve">12 .الفقه (رسالة في)، ج 12، ص 48.</w:t>
      </w:r>
    </w:p>
    <w:p>
      <w:pPr>
        <w:pStyle w:val="BookText"/>
      </w:pPr>
      <w:r>
        <w:rPr>
          <w:rFonts w:ascii="Amiri" w:hAnsi="Amiri" w:eastAsia="Amiri" w:cs="Amiri"/>
          <w:lang w:bidi="ar-SA"/>
          <w:color w:val="111111"/>
          <w:sz w:val="28"/>
          <w:szCs w:val="28"/>
          <w:rtl/>
        </w:rPr>
        <w:t xml:space="preserve">13 .المسح على الخفين، ج 14 ، ص 571.</w:t>
      </w:r>
    </w:p>
    <w:p>
      <w:pPr>
        <w:pStyle w:val="BookText"/>
      </w:pPr>
      <w:r>
        <w:rPr>
          <w:rFonts w:ascii="Amiri" w:hAnsi="Amiri" w:eastAsia="Amiri" w:cs="Amiri"/>
          <w:lang w:bidi="ar-SA"/>
          <w:color w:val="111111"/>
          <w:sz w:val="28"/>
          <w:szCs w:val="28"/>
          <w:rtl/>
        </w:rPr>
        <w:t xml:space="preserve">14 .مسلى الواجد ومثير التواجد في</w:t>
      </w:r>
    </w:p>
    <w:p>
      <w:pPr>
        <w:pStyle w:val="BookText"/>
      </w:pPr>
      <w:r>
        <w:rPr>
          <w:rFonts w:ascii="Amiri" w:hAnsi="Amiri" w:eastAsia="Amiri" w:cs="Amiri"/>
          <w:lang w:bidi="ar-SA"/>
          <w:color w:val="111111"/>
          <w:sz w:val="28"/>
          <w:szCs w:val="28"/>
          <w:rtl/>
        </w:rPr>
        <w:t xml:space="preserve">تشطير مرثية مولانا خالد البغدادي (منظوم)، ج 14،</w:t>
      </w:r>
    </w:p>
    <w:p>
      <w:pPr>
        <w:pStyle w:val="BookText"/>
      </w:pPr>
      <w:r>
        <w:rPr>
          <w:rFonts w:ascii="IRNazanin" w:hAnsi="IRNazanin" w:eastAsia="IRNazanin" w:cs="IRNazanin"/>
          <w:lang w:bidi="fa-IR"/>
          <w:color w:val="111111"/>
          <w:sz w:val="28"/>
          <w:szCs w:val="28"/>
          <w:rtl/>
        </w:rPr>
        <w:t xml:space="preserve">ص 587.</w:t>
      </w:r>
    </w:p>
    <w:p>
      <w:pPr>
        <w:pStyle w:val="Heading2"/>
      </w:pPr>
      <w:bookmarkStart w:id="2831" w:name="_Toc1933"/>
      <w:r>
        <w:t>بغدادي ، درويش علي بن حسين، 1220 - ه-</w:t>
      </w:r>
      <w:bookmarkEnd w:id="2831"/>
    </w:p>
    <w:p>
      <w:pPr>
        <w:pStyle w:val="BookText"/>
      </w:pPr>
      <w:r>
        <w:rPr>
          <w:rFonts w:ascii="Amiri" w:hAnsi="Amiri" w:eastAsia="Amiri" w:cs="Amiri"/>
          <w:lang w:bidi="ar-SA"/>
          <w:color w:val="111111"/>
          <w:sz w:val="28"/>
          <w:szCs w:val="28"/>
          <w:rtl/>
        </w:rPr>
        <w:t xml:space="preserve">1 .الجوهر الثمين، ج 5، ص 619.</w:t>
      </w:r>
    </w:p>
    <w:p>
      <w:pPr>
        <w:pStyle w:val="BookText"/>
      </w:pPr>
      <w:r>
        <w:rPr>
          <w:rFonts w:ascii="IRNazanin" w:hAnsi="IRNazanin" w:eastAsia="IRNazanin" w:cs="IRNazanin"/>
          <w:lang w:bidi="fa-IR"/>
          <w:color w:val="111111"/>
          <w:sz w:val="28"/>
          <w:szCs w:val="28"/>
          <w:rtl/>
        </w:rPr>
        <w:t xml:space="preserve">2 .قبسات الاشجان، ج 12، ص 373.</w:t>
      </w:r>
    </w:p>
    <w:p>
      <w:pPr>
        <w:pStyle w:val="BookText"/>
      </w:pPr>
      <w:r>
        <w:rPr>
          <w:rFonts w:ascii="Amiri" w:hAnsi="Amiri" w:eastAsia="Amiri" w:cs="Amiri"/>
          <w:lang w:bidi="ar-SA"/>
          <w:color w:val="111111"/>
          <w:sz w:val="28"/>
          <w:szCs w:val="28"/>
          <w:rtl/>
        </w:rPr>
        <w:t xml:space="preserve">بغدادي ، سعد بن منصور- ابن كمونه</w:t>
      </w:r>
    </w:p>
    <w:p>
      <w:pPr>
        <w:pStyle w:val="BookText"/>
      </w:pPr>
      <w:r>
        <w:rPr>
          <w:rFonts w:ascii="IRNazanin" w:hAnsi="IRNazanin" w:eastAsia="IRNazanin" w:cs="IRNazanin"/>
          <w:lang w:bidi="fa-IR"/>
          <w:color w:val="111111"/>
          <w:sz w:val="28"/>
          <w:szCs w:val="28"/>
          <w:rtl/>
        </w:rPr>
        <w:t xml:space="preserve">سعد بن منصور</w:t>
      </w:r>
    </w:p>
    <w:p>
      <w:pPr>
        <w:pStyle w:val="BookText"/>
      </w:pPr>
      <w:r>
        <w:rPr>
          <w:rFonts w:ascii="Amiri" w:hAnsi="Amiri" w:eastAsia="Amiri" w:cs="Amiri"/>
          <w:lang w:bidi="ar-SA"/>
          <w:color w:val="111111"/>
          <w:sz w:val="28"/>
          <w:szCs w:val="28"/>
          <w:rtl/>
        </w:rPr>
        <w:t xml:space="preserve">بغدادي ، سعيد بن هبة الله- ابن هبة الله</w:t>
      </w:r>
    </w:p>
    <w:p>
      <w:pPr>
        <w:pStyle w:val="BookText"/>
      </w:pPr>
      <w:r>
        <w:rPr>
          <w:rFonts w:ascii="Amiri" w:hAnsi="Amiri" w:eastAsia="Amiri" w:cs="Amiri"/>
          <w:lang w:bidi="ar-SA"/>
          <w:color w:val="111111"/>
          <w:sz w:val="28"/>
          <w:szCs w:val="28"/>
          <w:rtl/>
        </w:rPr>
        <w:t xml:space="preserve">، سعيد بن هبة الله</w:t>
      </w:r>
    </w:p>
    <w:p>
      <w:pPr>
        <w:pStyle w:val="Heading2"/>
      </w:pPr>
      <w:bookmarkStart w:id="2832" w:name="_Toc1934"/>
      <w:r>
        <w:t>بغدادي ، صالح بن عباس</w:t>
      </w:r>
      <w:bookmarkEnd w:id="28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شيخ صالح الغدادي، ج 7،</w:t>
      </w:r>
    </w:p>
    <w:p>
      <w:pPr>
        <w:pStyle w:val="BookText"/>
      </w:pPr>
      <w:r>
        <w:rPr>
          <w:rFonts w:ascii="IRNazanin" w:hAnsi="IRNazanin" w:eastAsia="IRNazanin" w:cs="IRNazanin"/>
          <w:lang w:bidi="fa-IR"/>
          <w:color w:val="111111"/>
          <w:sz w:val="28"/>
          <w:szCs w:val="28"/>
          <w:rtl/>
        </w:rPr>
        <w:t xml:space="preserve">ص 675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النجم الزاهر (مجموعة شعرية)</w:t>
      </w:r>
    </w:p>
    <w:p>
      <w:pPr>
        <w:pStyle w:val="BookText"/>
      </w:pPr>
      <w:r>
        <w:rPr>
          <w:rFonts w:ascii="IRNazanin" w:hAnsi="IRNazanin" w:eastAsia="IRNazanin" w:cs="IRNazanin"/>
          <w:lang w:bidi="fa-IR"/>
          <w:color w:val="111111"/>
          <w:sz w:val="28"/>
          <w:szCs w:val="28"/>
          <w:rtl/>
        </w:rPr>
        <w:t xml:space="preserve">ج 16، ص 158.</w:t>
      </w:r>
    </w:p>
    <w:p>
      <w:pPr>
        <w:pStyle w:val="Heading2"/>
      </w:pPr>
      <w:bookmarkStart w:id="2833" w:name="_Toc1935"/>
      <w:r>
        <w:t>بغدادي، عباس بن جواد قرن 14 ه-</w:t>
      </w:r>
      <w:bookmarkEnd w:id="2833"/>
    </w:p>
    <w:p>
      <w:pPr>
        <w:pStyle w:val="BookText"/>
      </w:pPr>
      <w:r>
        <w:rPr>
          <w:rFonts w:ascii="Amiri" w:hAnsi="Amiri" w:eastAsia="Amiri" w:cs="Amiri"/>
          <w:lang w:bidi="ar-SA"/>
          <w:color w:val="111111"/>
          <w:sz w:val="28"/>
          <w:szCs w:val="28"/>
          <w:rtl/>
        </w:rPr>
        <w:t xml:space="preserve">نيل المراد في احوال العراق و بغداد</w:t>
      </w:r>
    </w:p>
    <w:p>
      <w:pPr>
        <w:pStyle w:val="BookText"/>
      </w:pPr>
      <w:r>
        <w:rPr>
          <w:rFonts w:ascii="IRNazanin" w:hAnsi="IRNazanin" w:eastAsia="IRNazanin" w:cs="IRNazanin"/>
          <w:lang w:bidi="fa-IR"/>
          <w:color w:val="111111"/>
          <w:sz w:val="28"/>
          <w:szCs w:val="28"/>
          <w:rtl/>
        </w:rPr>
        <w:t xml:space="preserve">ج 16، ص 579.</w:t>
      </w:r>
    </w:p>
    <w:p>
      <w:pPr>
        <w:pStyle w:val="Heading2"/>
      </w:pPr>
      <w:bookmarkStart w:id="2834" w:name="_Toc1936"/>
      <w:r>
        <w:t>بغدادي ، عبد الحسين بن عبدالرحمن قرن 13 ه-</w:t>
      </w:r>
      <w:bookmarkEnd w:id="2834"/>
    </w:p>
    <w:p>
      <w:pPr>
        <w:pStyle w:val="BookText"/>
      </w:pPr>
      <w:r>
        <w:rPr>
          <w:rFonts w:ascii="Amiri" w:hAnsi="Amiri" w:eastAsia="Amiri" w:cs="Amiri"/>
          <w:lang w:bidi="ar-SA"/>
          <w:color w:val="111111"/>
          <w:sz w:val="28"/>
          <w:szCs w:val="28"/>
          <w:rtl/>
        </w:rPr>
        <w:t xml:space="preserve">فرض الصلاة، ج 11، ص 784 .</w:t>
      </w:r>
    </w:p>
    <w:p>
      <w:pPr>
        <w:pStyle w:val="Heading2"/>
      </w:pPr>
      <w:bookmarkStart w:id="2835" w:name="_Toc1937"/>
      <w:r>
        <w:t>بغدادي ، عبدالعزيز</w:t>
      </w:r>
      <w:bookmarkEnd w:id="2835"/>
    </w:p>
    <w:p>
      <w:pPr>
        <w:pStyle w:val="BookText"/>
      </w:pPr>
      <w:r>
        <w:rPr>
          <w:rFonts w:ascii="Amiri" w:hAnsi="Amiri" w:eastAsia="Amiri" w:cs="Amiri"/>
          <w:lang w:bidi="ar-SA"/>
          <w:color w:val="111111"/>
          <w:sz w:val="28"/>
          <w:szCs w:val="28"/>
          <w:rtl/>
        </w:rPr>
        <w:t xml:space="preserve">مصباح الظلام في مناقب النبي و اهل</w:t>
      </w:r>
    </w:p>
    <w:p>
      <w:pPr>
        <w:pStyle w:val="BookText"/>
      </w:pPr>
      <w:r>
        <w:rPr>
          <w:rFonts w:ascii="Amiri" w:hAnsi="Amiri" w:eastAsia="Amiri" w:cs="Amiri"/>
          <w:lang w:bidi="ar-SA"/>
          <w:color w:val="111111"/>
          <w:sz w:val="28"/>
          <w:szCs w:val="28"/>
          <w:rtl/>
        </w:rPr>
        <w:t xml:space="preserve">بيته الكرام، ج14، ص 716.</w:t>
      </w:r>
    </w:p>
    <w:p>
      <w:pPr>
        <w:pStyle w:val="Heading2"/>
      </w:pPr>
      <w:bookmarkStart w:id="2836" w:name="_Toc1938"/>
      <w:r>
        <w:t>بغدادي ، عبد القادر بن عمر، 1030 -</w:t>
      </w:r>
      <w:bookmarkEnd w:id="2836"/>
    </w:p>
    <w:p>
      <w:pPr>
        <w:pStyle w:val="BookText"/>
      </w:pPr>
      <w:r>
        <w:rPr>
          <w:rFonts w:ascii="IRNazanin" w:hAnsi="IRNazanin" w:eastAsia="IRNazanin" w:cs="IRNazanin"/>
          <w:lang w:bidi="fa-IR"/>
          <w:color w:val="111111"/>
          <w:sz w:val="28"/>
          <w:szCs w:val="28"/>
          <w:rtl/>
        </w:rPr>
        <w:t xml:space="preserve">1093ه-</w:t>
      </w:r>
    </w:p>
    <w:p>
      <w:pPr>
        <w:pStyle w:val="BookText"/>
      </w:pPr>
      <w:r>
        <w:rPr>
          <w:rFonts w:ascii="Amiri" w:hAnsi="Amiri" w:eastAsia="Amiri" w:cs="Amiri"/>
          <w:lang w:bidi="ar-SA"/>
          <w:color w:val="111111"/>
          <w:sz w:val="28"/>
          <w:szCs w:val="28"/>
          <w:rtl/>
        </w:rPr>
        <w:t xml:space="preserve">1 .الأبيات التي وقعت في شرح بانت</w:t>
      </w:r>
    </w:p>
    <w:p>
      <w:pPr>
        <w:pStyle w:val="BookText"/>
      </w:pPr>
      <w:r>
        <w:rPr>
          <w:rFonts w:ascii="IRNazanin" w:hAnsi="IRNazanin" w:eastAsia="IRNazanin" w:cs="IRNazanin"/>
          <w:lang w:bidi="fa-IR"/>
          <w:color w:val="111111"/>
          <w:sz w:val="28"/>
          <w:szCs w:val="28"/>
          <w:rtl/>
        </w:rPr>
        <w:t xml:space="preserve">سعاد، ج1، ص117.</w:t>
      </w:r>
    </w:p>
    <w:p>
      <w:pPr>
        <w:pStyle w:val="BookText"/>
      </w:pPr>
      <w:r>
        <w:rPr>
          <w:rFonts w:ascii="Amiri" w:hAnsi="Amiri" w:eastAsia="Amiri" w:cs="Amiri"/>
          <w:lang w:bidi="ar-SA"/>
          <w:color w:val="111111"/>
          <w:sz w:val="28"/>
          <w:szCs w:val="28"/>
          <w:rtl/>
        </w:rPr>
        <w:t xml:space="preserve">2 .أسماء الشعراء والعلماء الذين وقع</w:t>
      </w:r>
    </w:p>
    <w:p>
      <w:pPr>
        <w:pStyle w:val="BookText"/>
      </w:pPr>
      <w:r>
        <w:rPr>
          <w:rFonts w:ascii="Amiri" w:hAnsi="Amiri" w:eastAsia="Amiri" w:cs="Amiri"/>
          <w:lang w:bidi="ar-SA"/>
          <w:color w:val="111111"/>
          <w:sz w:val="28"/>
          <w:szCs w:val="28"/>
          <w:rtl/>
        </w:rPr>
        <w:t xml:space="preserve">ذكرهم في شرح الرضي على الكافية، ج2، ص227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المجالس و نزهة المجالس</w:t>
      </w:r>
    </w:p>
    <w:p>
      <w:pPr>
        <w:pStyle w:val="BookText"/>
      </w:pPr>
      <w:r>
        <w:rPr>
          <w:rFonts w:ascii="IRNazanin" w:hAnsi="IRNazanin" w:eastAsia="IRNazanin" w:cs="IRNazanin"/>
          <w:lang w:bidi="fa-IR"/>
          <w:color w:val="111111"/>
          <w:sz w:val="28"/>
          <w:szCs w:val="28"/>
          <w:rtl/>
        </w:rPr>
        <w:t xml:space="preserve">ج 4، ص 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تراجم الادباء، ج 4، ص 224.</w:t>
      </w:r>
    </w:p>
    <w:p>
      <w:pPr>
        <w:pStyle w:val="BookText"/>
      </w:pPr>
      <w:r>
        <w:rPr>
          <w:rFonts w:ascii="Amiri" w:hAnsi="Amiri" w:eastAsia="Amiri" w:cs="Amiri"/>
          <w:lang w:bidi="ar-SA"/>
          <w:color w:val="111111"/>
          <w:sz w:val="28"/>
          <w:szCs w:val="28"/>
          <w:rtl/>
        </w:rPr>
        <w:t xml:space="preserve">5.خزانة الادب و لب لباب لسان العرب = شرح شواهد الكافية</w:t>
      </w:r>
    </w:p>
    <w:p>
      <w:pPr>
        <w:pStyle w:val="BookText"/>
      </w:pPr>
      <w:r>
        <w:rPr>
          <w:rFonts w:ascii="IRNazanin" w:hAnsi="IRNazanin" w:eastAsia="IRNazanin" w:cs="IRNazanin"/>
          <w:lang w:bidi="fa-IR"/>
          <w:color w:val="111111"/>
          <w:sz w:val="28"/>
          <w:szCs w:val="28"/>
          <w:rtl/>
        </w:rPr>
        <w:t xml:space="preserve">ج 7، ص 19.</w:t>
      </w:r>
    </w:p>
    <w:p>
      <w:pPr>
        <w:pStyle w:val="BookText"/>
      </w:pPr>
      <w:r>
        <w:rPr>
          <w:rFonts w:ascii="Amiri" w:hAnsi="Amiri" w:eastAsia="Amiri" w:cs="Amiri"/>
          <w:lang w:bidi="ar-SA"/>
          <w:color w:val="111111"/>
          <w:sz w:val="28"/>
          <w:szCs w:val="28"/>
          <w:rtl/>
        </w:rPr>
        <w:t xml:space="preserve">6 .معنى كلمة «التلميذ» (رسالة في)</w:t>
      </w:r>
    </w:p>
    <w:p>
      <w:pPr>
        <w:pStyle w:val="BookText"/>
      </w:pPr>
      <w:r>
        <w:rPr>
          <w:rFonts w:ascii="IRNazanin" w:hAnsi="IRNazanin" w:eastAsia="IRNazanin" w:cs="IRNazanin"/>
          <w:lang w:bidi="fa-IR"/>
          <w:color w:val="111111"/>
          <w:sz w:val="28"/>
          <w:szCs w:val="28"/>
          <w:rtl/>
        </w:rPr>
        <w:t xml:space="preserve">ج 15، ص 93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مقصد المرام في عجائب الاهرام</w:t>
      </w:r>
    </w:p>
    <w:p>
      <w:pPr>
        <w:pStyle w:val="BookText"/>
      </w:pPr>
      <w:r>
        <w:rPr>
          <w:rFonts w:ascii="IRNazanin" w:hAnsi="IRNazanin" w:eastAsia="IRNazanin" w:cs="IRNazanin"/>
          <w:lang w:bidi="fa-IR"/>
          <w:color w:val="111111"/>
          <w:sz w:val="28"/>
          <w:szCs w:val="28"/>
          <w:rtl/>
        </w:rPr>
        <w:t xml:space="preserve">ج 15 ، ص 383.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7" w:name="pg7742_69920"/>
    <w:bookmarkEnd w:id="267"/>
    <w:p>
      <w:pPr>
        <w:pStyle w:val="Heading2"/>
      </w:pPr>
      <w:bookmarkStart w:id="2837" w:name="_Toc1939"/>
      <w:r>
        <w:t>بغدادي ، عبد القاهر بن طاهر - 429 ه-</w:t>
      </w:r>
      <w:bookmarkEnd w:id="2837"/>
    </w:p>
    <w:p>
      <w:pPr>
        <w:pStyle w:val="BookText"/>
      </w:pPr>
      <w:r>
        <w:rPr>
          <w:rFonts w:ascii="IRNazanin" w:hAnsi="IRNazanin" w:eastAsia="IRNazanin" w:cs="IRNazanin"/>
          <w:lang w:bidi="fa-IR"/>
          <w:color w:val="111111"/>
          <w:sz w:val="28"/>
          <w:szCs w:val="28"/>
          <w:rtl/>
        </w:rPr>
        <w:t xml:space="preserve">بغدادي ، عثمان بن عبدالله چلبي</w:t>
      </w:r>
    </w:p>
    <w:p>
      <w:pPr>
        <w:pStyle w:val="BookText"/>
      </w:pPr>
      <w:r>
        <w:rPr>
          <w:rFonts w:ascii="Amiri" w:hAnsi="Amiri" w:eastAsia="Amiri" w:cs="Amiri"/>
          <w:lang w:bidi="ar-SA"/>
          <w:color w:val="111111"/>
          <w:sz w:val="28"/>
          <w:szCs w:val="28"/>
          <w:rtl/>
        </w:rPr>
        <w:t xml:space="preserve">1 .التكملة في علم الحساب، ج 4</w:t>
      </w:r>
    </w:p>
    <w:p>
      <w:pPr>
        <w:pStyle w:val="BookText"/>
      </w:pPr>
      <w:r>
        <w:rPr>
          <w:rFonts w:ascii="IRNazanin" w:hAnsi="IRNazanin" w:eastAsia="IRNazanin" w:cs="IRNazanin"/>
          <w:lang w:bidi="fa-IR"/>
          <w:color w:val="111111"/>
          <w:sz w:val="28"/>
          <w:szCs w:val="28"/>
          <w:rtl/>
        </w:rPr>
        <w:t xml:space="preserve">ص 821.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الفرق بين الفرق و بيان الفرقة</w:t>
      </w:r>
    </w:p>
    <w:p>
      <w:pPr>
        <w:pStyle w:val="BookText"/>
      </w:pPr>
      <w:r>
        <w:rPr>
          <w:rFonts w:ascii="Amiri" w:hAnsi="Amiri" w:eastAsia="Amiri" w:cs="Amiri"/>
          <w:lang w:bidi="ar-SA"/>
          <w:color w:val="111111"/>
          <w:sz w:val="28"/>
          <w:szCs w:val="28"/>
          <w:rtl/>
        </w:rPr>
        <w:t xml:space="preserve">الناجية، ج 11، ص 795.</w:t>
      </w:r>
    </w:p>
    <w:p>
      <w:pPr>
        <w:pStyle w:val="BookText"/>
      </w:pPr>
      <w:r>
        <w:rPr>
          <w:rFonts w:ascii="IRNazanin" w:hAnsi="IRNazanin" w:eastAsia="IRNazanin" w:cs="IRNazanin"/>
          <w:lang w:bidi="fa-IR"/>
          <w:color w:val="111111"/>
          <w:sz w:val="28"/>
          <w:szCs w:val="28"/>
          <w:rtl/>
        </w:rPr>
        <w:t xml:space="preserve">3 .الملل و النحل، ج 15، ص 465.</w:t>
      </w:r>
    </w:p>
    <w:p>
      <w:pPr>
        <w:pStyle w:val="BookText"/>
      </w:pPr>
      <w:r>
        <w:rPr>
          <w:rFonts w:ascii="Amiri" w:hAnsi="Amiri" w:eastAsia="Amiri" w:cs="Amiri"/>
          <w:lang w:bidi="ar-SA"/>
          <w:color w:val="111111"/>
          <w:sz w:val="28"/>
          <w:szCs w:val="28"/>
          <w:rtl/>
        </w:rPr>
        <w:t xml:space="preserve">بغدادي ، عبداللطيف بن</w:t>
      </w:r>
    </w:p>
    <w:p>
      <w:pPr>
        <w:pStyle w:val="BookText"/>
      </w:pPr>
      <w:r>
        <w:rPr>
          <w:rFonts w:ascii="Amiri" w:hAnsi="Amiri" w:eastAsia="Amiri" w:cs="Amiri"/>
          <w:lang w:bidi="ar-SA"/>
          <w:color w:val="111111"/>
          <w:sz w:val="28"/>
          <w:szCs w:val="28"/>
          <w:rtl/>
        </w:rPr>
        <w:t xml:space="preserve">يوسف - عبد اللطيف بغدادي ، عبداللطيف بن يوسف</w:t>
      </w:r>
    </w:p>
    <w:p>
      <w:pPr>
        <w:pStyle w:val="BookText"/>
      </w:pPr>
      <w:r>
        <w:rPr>
          <w:rFonts w:ascii="Amiri" w:hAnsi="Amiri" w:eastAsia="Amiri" w:cs="Amiri"/>
          <w:lang w:bidi="ar-SA"/>
          <w:color w:val="111111"/>
          <w:sz w:val="28"/>
          <w:szCs w:val="28"/>
          <w:rtl/>
        </w:rPr>
        <w:t xml:space="preserve">بغدادي ، عبد الله بن عبدالعزيز -ضرير عبدالله بن عبدالعزيز</w:t>
      </w:r>
    </w:p>
    <w:p>
      <w:pPr>
        <w:pStyle w:val="Heading2"/>
      </w:pPr>
      <w:bookmarkStart w:id="2838" w:name="_Toc1940"/>
      <w:r>
        <w:t>بغدادي ، عبدالله يكن</w:t>
      </w:r>
      <w:bookmarkEnd w:id="2838"/>
    </w:p>
    <w:p>
      <w:pPr>
        <w:pStyle w:val="BookText"/>
      </w:pPr>
      <w:r>
        <w:rPr>
          <w:rFonts w:ascii="IRNazanin" w:hAnsi="IRNazanin" w:eastAsia="IRNazanin" w:cs="IRNazanin"/>
          <w:lang w:bidi="fa-IR"/>
          <w:color w:val="111111"/>
          <w:sz w:val="28"/>
          <w:szCs w:val="28"/>
          <w:rtl/>
        </w:rPr>
        <w:t xml:space="preserve">کشکول، ج13، ص 293.</w:t>
      </w:r>
    </w:p>
    <w:p>
      <w:pPr>
        <w:pStyle w:val="Heading2"/>
      </w:pPr>
      <w:bookmarkStart w:id="2839" w:name="_Toc1941"/>
      <w:r>
        <w:t>بغدادي ، عبد النبي</w:t>
      </w:r>
      <w:bookmarkEnd w:id="2839"/>
    </w:p>
    <w:p>
      <w:pPr>
        <w:pStyle w:val="BookText"/>
      </w:pPr>
      <w:r>
        <w:rPr>
          <w:rFonts w:ascii="Amiri" w:hAnsi="Amiri" w:eastAsia="Amiri" w:cs="Amiri"/>
          <w:lang w:bidi="ar-SA"/>
          <w:color w:val="111111"/>
          <w:sz w:val="28"/>
          <w:szCs w:val="28"/>
          <w:rtl/>
        </w:rPr>
        <w:t xml:space="preserve">ديوان عبد النبي بغدادي، ج7، ص 715.</w:t>
      </w:r>
    </w:p>
    <w:p>
      <w:pPr>
        <w:pStyle w:val="Heading2"/>
      </w:pPr>
      <w:bookmarkStart w:id="2840" w:name="_Toc1942"/>
      <w:r>
        <w:t>بغدادي ، عبد النبي بن الرضي</w:t>
      </w:r>
      <w:bookmarkEnd w:id="2840"/>
    </w:p>
    <w:p>
      <w:pPr>
        <w:pStyle w:val="BookText"/>
      </w:pPr>
      <w:r>
        <w:rPr>
          <w:rFonts w:ascii="Amiri" w:hAnsi="Amiri" w:eastAsia="Amiri" w:cs="Amiri"/>
          <w:lang w:bidi="ar-SA"/>
          <w:color w:val="111111"/>
          <w:sz w:val="28"/>
          <w:szCs w:val="28"/>
          <w:rtl/>
        </w:rPr>
        <w:t xml:space="preserve">مزيد السرور و مزيل الحزون بمدح</w:t>
      </w:r>
    </w:p>
    <w:p>
      <w:pPr>
        <w:pStyle w:val="BookText"/>
      </w:pPr>
      <w:r>
        <w:rPr>
          <w:rFonts w:ascii="Amiri" w:hAnsi="Amiri" w:eastAsia="Amiri" w:cs="Amiri"/>
          <w:lang w:bidi="ar-SA"/>
          <w:color w:val="111111"/>
          <w:sz w:val="28"/>
          <w:szCs w:val="28"/>
          <w:rtl/>
        </w:rPr>
        <w:t xml:space="preserve">عجيل السعدون، ج 14، ص 426.</w:t>
      </w:r>
    </w:p>
    <w:p>
      <w:pPr>
        <w:pStyle w:val="Heading2"/>
      </w:pPr>
      <w:bookmarkStart w:id="2841" w:name="_Toc1943"/>
      <w:r>
        <w:t>بغدادي ، عبدالوهاب</w:t>
      </w:r>
      <w:bookmarkEnd w:id="2841"/>
    </w:p>
    <w:p>
      <w:pPr>
        <w:pStyle w:val="BookText"/>
      </w:pPr>
      <w:r>
        <w:rPr>
          <w:rFonts w:ascii="Amiri" w:hAnsi="Amiri" w:eastAsia="Amiri" w:cs="Amiri"/>
          <w:lang w:bidi="ar-SA"/>
          <w:color w:val="111111"/>
          <w:sz w:val="28"/>
          <w:szCs w:val="28"/>
          <w:rtl/>
        </w:rPr>
        <w:t xml:space="preserve">شرح القاضي عبد الوهاب، ج 9،</w:t>
      </w:r>
    </w:p>
    <w:p>
      <w:pPr>
        <w:pStyle w:val="BookText"/>
      </w:pPr>
      <w:r>
        <w:rPr>
          <w:rFonts w:ascii="IRNazanin" w:hAnsi="IRNazanin" w:eastAsia="IRNazanin" w:cs="IRNazanin"/>
          <w:lang w:bidi="fa-IR"/>
          <w:color w:val="111111"/>
          <w:sz w:val="28"/>
          <w:szCs w:val="28"/>
          <w:rtl/>
        </w:rPr>
        <w:t xml:space="preserve">ص 812</w:t>
      </w:r>
    </w:p>
    <w:p>
      <w:pPr>
        <w:pStyle w:val="BookText"/>
      </w:pPr>
      <w:r>
        <w:rPr>
          <w:rFonts w:ascii="Amiri" w:hAnsi="Amiri" w:eastAsia="Amiri" w:cs="Amiri"/>
          <w:lang w:bidi="ar-SA"/>
          <w:color w:val="111111"/>
          <w:sz w:val="28"/>
          <w:szCs w:val="28"/>
          <w:rtl/>
        </w:rPr>
        <w:t xml:space="preserve">بغدادي ، عبدالوهاب بن</w:t>
      </w:r>
    </w:p>
    <w:p>
      <w:pPr>
        <w:pStyle w:val="BookText"/>
      </w:pPr>
      <w:r>
        <w:rPr>
          <w:rFonts w:ascii="Amiri" w:hAnsi="Amiri" w:eastAsia="Amiri" w:cs="Amiri"/>
          <w:lang w:bidi="ar-SA"/>
          <w:color w:val="111111"/>
          <w:sz w:val="28"/>
          <w:szCs w:val="28"/>
          <w:rtl/>
        </w:rPr>
        <w:t xml:space="preserve">عبد الرزاق - حسيني بغدادي ، عبدالوهاب بن</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IRNazanin" w:hAnsi="IRNazanin" w:eastAsia="IRNazanin" w:cs="IRNazanin"/>
          <w:lang w:bidi="fa-IR"/>
          <w:color w:val="111111"/>
          <w:sz w:val="28"/>
          <w:szCs w:val="28"/>
          <w:rtl/>
        </w:rPr>
        <w:t xml:space="preserve">بغدادي ، عثمان بن عبدالله -چلبی بغدادي ، عثمان بن عبدالله</w:t>
      </w:r>
    </w:p>
    <w:p>
      <w:pPr>
        <w:pStyle w:val="BookText"/>
      </w:pPr>
      <w:r>
        <w:rPr>
          <w:rFonts w:ascii="Amiri" w:hAnsi="Amiri" w:eastAsia="Amiri" w:cs="Amiri"/>
          <w:lang w:bidi="ar-SA"/>
          <w:color w:val="111111"/>
          <w:sz w:val="28"/>
          <w:szCs w:val="28"/>
          <w:rtl/>
        </w:rPr>
        <w:t xml:space="preserve">بغدادي ، عطارد بن محمّد -بابلي ، عطارد</w:t>
      </w:r>
    </w:p>
    <w:p>
      <w:pPr>
        <w:pStyle w:val="BookText"/>
      </w:pPr>
      <w:r>
        <w:rPr>
          <w:rFonts w:ascii="Amiri" w:hAnsi="Amiri" w:eastAsia="Amiri" w:cs="Amiri"/>
          <w:lang w:bidi="ar-SA"/>
          <w:color w:val="111111"/>
          <w:sz w:val="28"/>
          <w:szCs w:val="28"/>
          <w:rtl/>
        </w:rPr>
        <w:t xml:space="preserve">بن محمّد</w:t>
      </w:r>
    </w:p>
    <w:p>
      <w:pPr>
        <w:pStyle w:val="Heading2"/>
      </w:pPr>
      <w:bookmarkStart w:id="2842" w:name="_Toc1944"/>
      <w:r>
        <w:t>بغدادي ، علي بن عبدالله قرن 5 ه-</w:t>
      </w:r>
      <w:bookmarkEnd w:id="2842"/>
    </w:p>
    <w:p>
      <w:pPr>
        <w:pStyle w:val="BookText"/>
      </w:pPr>
      <w:r>
        <w:rPr>
          <w:rFonts w:ascii="Amiri" w:hAnsi="Amiri" w:eastAsia="Amiri" w:cs="Amiri"/>
          <w:lang w:bidi="ar-SA"/>
          <w:color w:val="111111"/>
          <w:sz w:val="28"/>
          <w:szCs w:val="28"/>
          <w:rtl/>
        </w:rPr>
        <w:t xml:space="preserve">قصيدة، ج 12، ص 634.</w:t>
      </w:r>
    </w:p>
    <w:p>
      <w:pPr>
        <w:pStyle w:val="BookText"/>
      </w:pPr>
      <w:r>
        <w:rPr>
          <w:rFonts w:ascii="Amiri" w:hAnsi="Amiri" w:eastAsia="Amiri" w:cs="Amiri"/>
          <w:lang w:bidi="ar-SA"/>
          <w:color w:val="111111"/>
          <w:sz w:val="28"/>
          <w:szCs w:val="28"/>
          <w:rtl/>
        </w:rPr>
        <w:t xml:space="preserve">بغدادي ، علي بن عبيد الله -ابن حماد</w:t>
      </w:r>
    </w:p>
    <w:p>
      <w:pPr>
        <w:pStyle w:val="BookText"/>
      </w:pPr>
      <w:r>
        <w:rPr>
          <w:rFonts w:ascii="Amiri" w:hAnsi="Amiri" w:eastAsia="Amiri" w:cs="Amiri"/>
          <w:lang w:bidi="ar-SA"/>
          <w:color w:val="111111"/>
          <w:sz w:val="28"/>
          <w:szCs w:val="28"/>
          <w:rtl/>
        </w:rPr>
        <w:t xml:space="preserve">علي بن عبيد الله</w:t>
      </w:r>
    </w:p>
    <w:p>
      <w:pPr>
        <w:pStyle w:val="BookText"/>
      </w:pPr>
      <w:r>
        <w:rPr>
          <w:rFonts w:ascii="Amiri" w:hAnsi="Amiri" w:eastAsia="Amiri" w:cs="Amiri"/>
          <w:lang w:bidi="ar-SA"/>
          <w:color w:val="111111"/>
          <w:sz w:val="28"/>
          <w:szCs w:val="28"/>
          <w:rtl/>
        </w:rPr>
        <w:t xml:space="preserve">بغدادي ، عمر بن احمد- ابن شاهين ،</w:t>
      </w:r>
    </w:p>
    <w:p>
      <w:pPr>
        <w:pStyle w:val="BookText"/>
      </w:pPr>
      <w:r>
        <w:rPr>
          <w:rFonts w:ascii="IRNazanin" w:hAnsi="IRNazanin" w:eastAsia="IRNazanin" w:cs="IRNazanin"/>
          <w:lang w:bidi="fa-IR"/>
          <w:color w:val="111111"/>
          <w:sz w:val="28"/>
          <w:szCs w:val="28"/>
          <w:rtl/>
        </w:rPr>
        <w:t xml:space="preserve">عمر بن احمد</w:t>
      </w:r>
    </w:p>
    <w:p>
      <w:pPr>
        <w:pStyle w:val="Heading2"/>
      </w:pPr>
      <w:bookmarkStart w:id="2843" w:name="_Toc1945"/>
      <w:r>
        <w:t>بغدادي ، غانم بن محمّد - 1030 ه-</w:t>
      </w:r>
      <w:bookmarkEnd w:id="2843"/>
    </w:p>
    <w:p>
      <w:pPr>
        <w:pStyle w:val="BookText"/>
      </w:pPr>
      <w:r>
        <w:rPr>
          <w:rFonts w:ascii="Amiri" w:hAnsi="Amiri" w:eastAsia="Amiri" w:cs="Amiri"/>
          <w:lang w:bidi="ar-SA"/>
          <w:color w:val="111111"/>
          <w:sz w:val="28"/>
          <w:szCs w:val="28"/>
          <w:rtl/>
        </w:rPr>
        <w:t xml:space="preserve">1 .ترجيح البينات، ج 4 ، ص 300.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مجمع الضمانات، ج13، ص 853.</w:t>
      </w:r>
    </w:p>
    <w:p>
      <w:pPr>
        <w:pStyle w:val="BookText"/>
      </w:pPr>
      <w:r>
        <w:rPr>
          <w:rFonts w:ascii="Amiri" w:hAnsi="Amiri" w:eastAsia="Amiri" w:cs="Amiri"/>
          <w:lang w:bidi="ar-SA"/>
          <w:color w:val="111111"/>
          <w:sz w:val="28"/>
          <w:szCs w:val="28"/>
          <w:rtl/>
        </w:rPr>
        <w:t xml:space="preserve">3 .ملجأ القضاة عند تعارض البينات</w:t>
      </w:r>
    </w:p>
    <w:p>
      <w:pPr>
        <w:pStyle w:val="BookText"/>
      </w:pPr>
      <w:r>
        <w:rPr>
          <w:rFonts w:ascii="IRNazanin" w:hAnsi="IRNazanin" w:eastAsia="IRNazanin" w:cs="IRNazanin"/>
          <w:lang w:bidi="fa-IR"/>
          <w:color w:val="111111"/>
          <w:sz w:val="28"/>
          <w:szCs w:val="28"/>
          <w:rtl/>
        </w:rPr>
        <w:t xml:space="preserve">ج 15، ص 449.</w:t>
      </w:r>
    </w:p>
    <w:p>
      <w:pPr>
        <w:pStyle w:val="BookText"/>
      </w:pPr>
      <w:r>
        <w:rPr>
          <w:rFonts w:ascii="Amiri" w:hAnsi="Amiri" w:eastAsia="Amiri" w:cs="Amiri"/>
          <w:lang w:bidi="ar-SA"/>
          <w:color w:val="111111"/>
          <w:sz w:val="28"/>
          <w:szCs w:val="28"/>
          <w:rtl/>
        </w:rPr>
        <w:t xml:space="preserve">بغدادي قادري -سيد خطيب بغدادي</w:t>
      </w:r>
    </w:p>
    <w:p>
      <w:pPr>
        <w:pStyle w:val="Heading2"/>
      </w:pPr>
      <w:bookmarkStart w:id="2844" w:name="_Toc1946"/>
      <w:r>
        <w:t>بغدادي قادري ، عبد القادر</w:t>
      </w:r>
      <w:bookmarkEnd w:id="2844"/>
    </w:p>
    <w:p>
      <w:pPr>
        <w:pStyle w:val="BookText"/>
      </w:pPr>
      <w:r>
        <w:rPr>
          <w:rFonts w:ascii="IRNazanin" w:hAnsi="IRNazanin" w:eastAsia="IRNazanin" w:cs="IRNazanin"/>
          <w:lang w:bidi="fa-IR"/>
          <w:color w:val="111111"/>
          <w:sz w:val="28"/>
          <w:szCs w:val="28"/>
          <w:rtl/>
        </w:rPr>
        <w:t xml:space="preserve">دیوان عبد القادر بغدادي، ج7،</w:t>
      </w:r>
    </w:p>
    <w:p>
      <w:pPr>
        <w:pStyle w:val="BookText"/>
      </w:pPr>
      <w:r>
        <w:rPr>
          <w:rFonts w:ascii="IRNazanin" w:hAnsi="IRNazanin" w:eastAsia="IRNazanin" w:cs="IRNazanin"/>
          <w:lang w:bidi="fa-IR"/>
          <w:color w:val="111111"/>
          <w:sz w:val="28"/>
          <w:szCs w:val="28"/>
          <w:rtl/>
        </w:rPr>
        <w:t xml:space="preserve">ص 712 .</w:t>
      </w:r>
    </w:p>
    <w:p>
      <w:pPr>
        <w:pStyle w:val="Heading2"/>
      </w:pPr>
      <w:bookmarkStart w:id="2845" w:name="_Toc1947"/>
      <w:r>
        <w:t>بغدادي ، محمّد</w:t>
      </w:r>
      <w:bookmarkEnd w:id="2845"/>
    </w:p>
    <w:p>
      <w:pPr>
        <w:pStyle w:val="BookText"/>
      </w:pPr>
      <w:r>
        <w:rPr>
          <w:rFonts w:ascii="Amiri" w:hAnsi="Amiri" w:eastAsia="Amiri" w:cs="Amiri"/>
          <w:lang w:bidi="ar-SA"/>
          <w:color w:val="111111"/>
          <w:sz w:val="28"/>
          <w:szCs w:val="28"/>
          <w:rtl/>
        </w:rPr>
        <w:t xml:space="preserve">مجموع في الطب، ج 14، ص 73.</w:t>
      </w:r>
    </w:p>
    <w:p>
      <w:pPr>
        <w:pStyle w:val="Heading2"/>
      </w:pPr>
      <w:bookmarkStart w:id="2846" w:name="_Toc1948"/>
      <w:r>
        <w:t>بغدادي ، محمّد امین - 1231 ه-</w:t>
      </w:r>
      <w:bookmarkEnd w:id="2846"/>
    </w:p>
    <w:p>
      <w:pPr>
        <w:pStyle w:val="BookText"/>
      </w:pPr>
      <w:r>
        <w:rPr>
          <w:rFonts w:ascii="Amiri" w:hAnsi="Amiri" w:eastAsia="Amiri" w:cs="Amiri"/>
          <w:lang w:bidi="ar-SA"/>
          <w:color w:val="111111"/>
          <w:sz w:val="28"/>
          <w:szCs w:val="28"/>
          <w:rtl/>
        </w:rPr>
        <w:t xml:space="preserve">بيان الصواب بتحرير الخطاب، ج3،</w:t>
      </w:r>
    </w:p>
    <w:p>
      <w:pPr>
        <w:pStyle w:val="BookText"/>
      </w:pPr>
      <w:r>
        <w:rPr>
          <w:rFonts w:ascii="IRNazanin" w:hAnsi="IRNazanin" w:eastAsia="IRNazanin" w:cs="IRNazanin"/>
          <w:lang w:bidi="fa-IR"/>
          <w:color w:val="111111"/>
          <w:sz w:val="28"/>
          <w:szCs w:val="28"/>
          <w:rtl/>
        </w:rPr>
        <w:t xml:space="preserve">ص 475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8" w:name="pg7742_69922"/>
    <w:bookmarkEnd w:id="268"/>
    <w:p>
      <w:pPr>
        <w:pStyle w:val="BookText"/>
      </w:pPr>
      <w:r>
        <w:rPr>
          <w:rFonts w:ascii="Amiri" w:hAnsi="Amiri" w:eastAsia="Amiri" w:cs="Amiri"/>
          <w:lang w:bidi="ar-SA"/>
          <w:color w:val="111111"/>
          <w:sz w:val="28"/>
          <w:szCs w:val="28"/>
          <w:rtl/>
        </w:rPr>
        <w:t xml:space="preserve">بغدادي ، محمّد بن بختيار- ابله بغدادي</w:t>
      </w:r>
    </w:p>
    <w:p>
      <w:pPr>
        <w:pStyle w:val="BookText"/>
      </w:pPr>
      <w:r>
        <w:rPr>
          <w:rFonts w:ascii="IRNazanin" w:hAnsi="IRNazanin" w:eastAsia="IRNazanin" w:cs="IRNazanin"/>
          <w:lang w:bidi="fa-IR"/>
          <w:color w:val="111111"/>
          <w:sz w:val="28"/>
          <w:szCs w:val="28"/>
          <w:rtl/>
        </w:rPr>
        <w:t xml:space="preserve">، محمّد بن بختیار</w:t>
      </w:r>
    </w:p>
    <w:p>
      <w:pPr>
        <w:pStyle w:val="BookText"/>
      </w:pPr>
      <w:r>
        <w:rPr>
          <w:rFonts w:ascii="Amiri" w:hAnsi="Amiri" w:eastAsia="Amiri" w:cs="Amiri"/>
          <w:lang w:bidi="ar-SA"/>
          <w:color w:val="111111"/>
          <w:sz w:val="28"/>
          <w:szCs w:val="28"/>
          <w:rtl/>
        </w:rPr>
        <w:t xml:space="preserve">بغدادي ، محمّد بن حبيب- ابن حبيب</w:t>
      </w:r>
    </w:p>
    <w:p>
      <w:pPr>
        <w:pStyle w:val="BookText"/>
      </w:pPr>
      <w:r>
        <w:rPr>
          <w:rFonts w:ascii="Amiri" w:hAnsi="Amiri" w:eastAsia="Amiri" w:cs="Amiri"/>
          <w:lang w:bidi="ar-SA"/>
          <w:color w:val="111111"/>
          <w:sz w:val="28"/>
          <w:szCs w:val="28"/>
          <w:rtl/>
        </w:rPr>
        <w:t xml:space="preserve">محمّد بن حبيب</w:t>
      </w:r>
    </w:p>
    <w:p>
      <w:pPr>
        <w:pStyle w:val="Heading2"/>
      </w:pPr>
      <w:bookmarkStart w:id="2847" w:name="_Toc1949"/>
      <w:r>
        <w:t>بغدادي ، محمّد بن حيدر - 517 ه-</w:t>
      </w:r>
      <w:bookmarkEnd w:id="2847"/>
    </w:p>
    <w:p>
      <w:pPr>
        <w:pStyle w:val="BookText"/>
      </w:pPr>
      <w:r>
        <w:rPr>
          <w:rFonts w:ascii="Amiri" w:hAnsi="Amiri" w:eastAsia="Amiri" w:cs="Amiri"/>
          <w:lang w:bidi="ar-SA"/>
          <w:color w:val="111111"/>
          <w:sz w:val="28"/>
          <w:szCs w:val="28"/>
          <w:rtl/>
        </w:rPr>
        <w:t xml:space="preserve">قانون البلاغة، ج 12، ص 357.</w:t>
      </w:r>
    </w:p>
    <w:p>
      <w:pPr>
        <w:pStyle w:val="Heading2"/>
      </w:pPr>
      <w:bookmarkStart w:id="2848" w:name="_Toc1950"/>
      <w:r>
        <w:t>بغدادي ، محمّد بن سليمان - 1234 ه- قرن 13 ه-</w:t>
      </w:r>
      <w:bookmarkEnd w:id="2848"/>
    </w:p>
    <w:p>
      <w:pPr>
        <w:pStyle w:val="BookText"/>
      </w:pPr>
      <w:r>
        <w:rPr>
          <w:rFonts w:ascii="Amiri" w:hAnsi="Amiri" w:eastAsia="Amiri" w:cs="Amiri"/>
          <w:lang w:bidi="ar-SA"/>
          <w:color w:val="111111"/>
          <w:sz w:val="28"/>
          <w:szCs w:val="28"/>
          <w:rtl/>
        </w:rPr>
        <w:t xml:space="preserve">شرح قصيدة لامية العرب، ج 9،</w:t>
      </w:r>
    </w:p>
    <w:p>
      <w:pPr>
        <w:pStyle w:val="Heading2"/>
      </w:pPr>
      <w:bookmarkStart w:id="2849" w:name="_Toc1951"/>
      <w:r>
        <w:t>بغدادي ، محمّد سعيد بن عبد اللطيف</w:t>
      </w:r>
      <w:bookmarkEnd w:id="2849"/>
    </w:p>
    <w:p>
      <w:pPr>
        <w:pStyle w:val="BookText"/>
      </w:pPr>
      <w:r>
        <w:rPr>
          <w:rFonts w:ascii="Amiri" w:hAnsi="Amiri" w:eastAsia="Amiri" w:cs="Amiri"/>
          <w:lang w:bidi="ar-SA"/>
          <w:color w:val="111111"/>
          <w:sz w:val="28"/>
          <w:szCs w:val="28"/>
          <w:rtl/>
        </w:rPr>
        <w:t xml:space="preserve">1 .التبيان في تحقيق الايمان، ج3،</w:t>
      </w:r>
    </w:p>
    <w:p>
      <w:pPr>
        <w:pStyle w:val="BookText"/>
      </w:pPr>
      <w:r>
        <w:rPr>
          <w:rFonts w:ascii="IRNazanin" w:hAnsi="IRNazanin" w:eastAsia="IRNazanin" w:cs="IRNazanin"/>
          <w:lang w:bidi="fa-IR"/>
          <w:color w:val="111111"/>
          <w:sz w:val="28"/>
          <w:szCs w:val="28"/>
          <w:rtl/>
        </w:rPr>
        <w:t xml:space="preserve">ص 656 .</w:t>
      </w:r>
    </w:p>
    <w:p>
      <w:pPr>
        <w:pStyle w:val="BookText"/>
      </w:pPr>
      <w:r>
        <w:rPr>
          <w:rFonts w:ascii="Amiri" w:hAnsi="Amiri" w:eastAsia="Amiri" w:cs="Amiri"/>
          <w:lang w:bidi="ar-SA"/>
          <w:color w:val="111111"/>
          <w:sz w:val="28"/>
          <w:szCs w:val="28"/>
          <w:rtl/>
        </w:rPr>
        <w:t xml:space="preserve">2 .توضيح المعاني وكشف الاشتباه في</w:t>
      </w:r>
    </w:p>
    <w:p>
      <w:pPr>
        <w:pStyle w:val="BookText"/>
      </w:pPr>
      <w:r>
        <w:rPr>
          <w:rFonts w:ascii="IRNazanin" w:hAnsi="IRNazanin" w:eastAsia="IRNazanin" w:cs="IRNazanin"/>
          <w:lang w:bidi="fa-IR"/>
          <w:color w:val="111111"/>
          <w:sz w:val="28"/>
          <w:szCs w:val="28"/>
          <w:rtl/>
        </w:rPr>
        <w:t xml:space="preserve">ص 891</w:t>
      </w:r>
    </w:p>
    <w:p>
      <w:pPr>
        <w:pStyle w:val="BookText"/>
      </w:pPr>
      <w:r>
        <w:rPr>
          <w:rFonts w:ascii="Amiri" w:hAnsi="Amiri" w:eastAsia="Amiri" w:cs="Amiri"/>
          <w:lang w:bidi="ar-SA"/>
          <w:color w:val="111111"/>
          <w:sz w:val="28"/>
          <w:szCs w:val="28"/>
          <w:rtl/>
        </w:rPr>
        <w:t xml:space="preserve">أحكام مسائل الصلاة، ج 5، ص182.</w:t>
      </w:r>
    </w:p>
    <w:p>
      <w:pPr>
        <w:pStyle w:val="BookText"/>
      </w:pPr>
      <w:r>
        <w:rPr>
          <w:rFonts w:ascii="Amiri" w:hAnsi="Amiri" w:eastAsia="Amiri" w:cs="Amiri"/>
          <w:lang w:bidi="ar-SA"/>
          <w:color w:val="111111"/>
          <w:sz w:val="28"/>
          <w:szCs w:val="28"/>
          <w:rtl/>
        </w:rPr>
        <w:t xml:space="preserve">3 .الحديقة الندية و البهجة الخالدية في آداي الطريقة النقشبندية، ج 6،</w:t>
      </w:r>
    </w:p>
    <w:p>
      <w:pPr>
        <w:pStyle w:val="BookText"/>
      </w:pPr>
      <w:r>
        <w:rPr>
          <w:rFonts w:ascii="IRNazanin" w:hAnsi="IRNazanin" w:eastAsia="IRNazanin" w:cs="IRNazanin"/>
          <w:lang w:bidi="fa-IR"/>
          <w:color w:val="111111"/>
          <w:sz w:val="28"/>
          <w:szCs w:val="28"/>
          <w:rtl/>
        </w:rPr>
        <w:t xml:space="preserve">ص 596.</w:t>
      </w:r>
    </w:p>
    <w:p>
      <w:pPr>
        <w:pStyle w:val="BookText"/>
      </w:pPr>
      <w:r>
        <w:rPr>
          <w:rFonts w:ascii="Amiri" w:hAnsi="Amiri" w:eastAsia="Amiri" w:cs="Amiri"/>
          <w:lang w:bidi="ar-SA"/>
          <w:color w:val="111111"/>
          <w:sz w:val="28"/>
          <w:szCs w:val="28"/>
          <w:rtl/>
        </w:rPr>
        <w:t xml:space="preserve">بغدادي ، محّمد بن علي -شريف بغدادي</w:t>
      </w:r>
    </w:p>
    <w:p>
      <w:pPr>
        <w:pStyle w:val="BookText"/>
      </w:pPr>
      <w:r>
        <w:rPr>
          <w:rFonts w:ascii="Amiri" w:hAnsi="Amiri" w:eastAsia="Amiri" w:cs="Amiri"/>
          <w:lang w:bidi="ar-SA"/>
          <w:color w:val="111111"/>
          <w:sz w:val="28"/>
          <w:szCs w:val="28"/>
          <w:rtl/>
        </w:rPr>
        <w:t xml:space="preserve">، محمّد بن علي</w:t>
      </w:r>
    </w:p>
    <w:p>
      <w:pPr>
        <w:pStyle w:val="BookText"/>
      </w:pPr>
      <w:r>
        <w:rPr>
          <w:rFonts w:ascii="Amiri" w:hAnsi="Amiri" w:eastAsia="Amiri" w:cs="Amiri"/>
          <w:lang w:bidi="ar-SA"/>
          <w:color w:val="111111"/>
          <w:sz w:val="28"/>
          <w:szCs w:val="28"/>
          <w:rtl/>
        </w:rPr>
        <w:t xml:space="preserve">بغدادي ، محمّد بن محمّد- ابوالخطاب</w:t>
      </w:r>
    </w:p>
    <w:p>
      <w:pPr>
        <w:pStyle w:val="BookText"/>
      </w:pPr>
      <w:r>
        <w:rPr>
          <w:rFonts w:ascii="Amiri" w:hAnsi="Amiri" w:eastAsia="Amiri" w:cs="Amiri"/>
          <w:lang w:bidi="ar-SA"/>
          <w:color w:val="111111"/>
          <w:sz w:val="28"/>
          <w:szCs w:val="28"/>
          <w:rtl/>
        </w:rPr>
        <w:t xml:space="preserve">بغدادي ، محمّد بن محمّد</w:t>
      </w:r>
    </w:p>
    <w:p>
      <w:pPr>
        <w:pStyle w:val="Heading2"/>
      </w:pPr>
      <w:bookmarkStart w:id="2850" w:name="_Toc1952"/>
      <w:r>
        <w:t>بغدادي ، محمّد جواد بن عواد -1168ه-</w:t>
      </w:r>
      <w:bookmarkEnd w:id="2850"/>
    </w:p>
    <w:p>
      <w:pPr>
        <w:pStyle w:val="BookText"/>
      </w:pPr>
      <w:r>
        <w:rPr>
          <w:rFonts w:ascii="IRNazanin" w:hAnsi="IRNazanin" w:eastAsia="IRNazanin" w:cs="IRNazanin"/>
          <w:lang w:bidi="fa-IR"/>
          <w:color w:val="111111"/>
          <w:sz w:val="28"/>
          <w:szCs w:val="28"/>
          <w:rtl/>
        </w:rPr>
        <w:t xml:space="preserve">دیوان محمّد جواد البغدادي، ج7،</w:t>
      </w:r>
    </w:p>
    <w:p>
      <w:pPr>
        <w:pStyle w:val="BookText"/>
      </w:pPr>
      <w:r>
        <w:rPr>
          <w:rFonts w:ascii="IRNazanin" w:hAnsi="IRNazanin" w:eastAsia="IRNazanin" w:cs="IRNazanin"/>
          <w:lang w:bidi="fa-IR"/>
          <w:color w:val="111111"/>
          <w:sz w:val="28"/>
          <w:szCs w:val="28"/>
          <w:rtl/>
        </w:rPr>
        <w:t xml:space="preserve">ص 765 .</w:t>
      </w:r>
    </w:p>
    <w:p>
      <w:pPr>
        <w:pStyle w:val="Heading2"/>
      </w:pPr>
      <w:bookmarkStart w:id="2851" w:name="_Toc1953"/>
      <w:r>
        <w:t>بغدادي ، محمّد حسين بن علي</w:t>
      </w:r>
      <w:bookmarkEnd w:id="2851"/>
    </w:p>
    <w:p>
      <w:pPr>
        <w:pStyle w:val="BookText"/>
      </w:pPr>
      <w:r>
        <w:rPr>
          <w:rFonts w:ascii="Amiri" w:hAnsi="Amiri" w:eastAsia="Amiri" w:cs="Amiri"/>
          <w:lang w:bidi="ar-SA"/>
          <w:color w:val="111111"/>
          <w:sz w:val="28"/>
          <w:szCs w:val="28"/>
          <w:rtl/>
        </w:rPr>
        <w:t xml:space="preserve">قلائد الفرائد في شرح المقاصد، ج12،</w:t>
      </w:r>
    </w:p>
    <w:p>
      <w:pPr>
        <w:pStyle w:val="BookText"/>
      </w:pPr>
      <w:r>
        <w:rPr>
          <w:rFonts w:ascii="IRNazanin" w:hAnsi="IRNazanin" w:eastAsia="IRNazanin" w:cs="IRNazanin"/>
          <w:lang w:bidi="fa-IR"/>
          <w:color w:val="111111"/>
          <w:sz w:val="28"/>
          <w:szCs w:val="28"/>
          <w:rtl/>
        </w:rPr>
        <w:t xml:space="preserve">ص 762 .</w:t>
      </w:r>
    </w:p>
    <w:p>
      <w:pPr>
        <w:pStyle w:val="Heading2"/>
      </w:pPr>
      <w:bookmarkStart w:id="2852" w:name="_Toc1954"/>
      <w:r>
        <w:t>بغدادي ، محمّد سعيد بن عبد القادر -</w:t>
      </w:r>
      <w:bookmarkEnd w:id="2852"/>
    </w:p>
    <w:p>
      <w:pPr>
        <w:pStyle w:val="BookText"/>
      </w:pPr>
      <w:r>
        <w:rPr>
          <w:rFonts w:ascii="IRNazanin" w:hAnsi="IRNazanin" w:eastAsia="IRNazanin" w:cs="IRNazanin"/>
          <w:lang w:bidi="fa-IR"/>
          <w:color w:val="111111"/>
          <w:sz w:val="28"/>
          <w:szCs w:val="28"/>
          <w:rtl/>
        </w:rPr>
        <w:t xml:space="preserve">1339 ه-</w:t>
      </w:r>
    </w:p>
    <w:p>
      <w:pPr>
        <w:pStyle w:val="BookText"/>
      </w:pPr>
      <w:r>
        <w:rPr>
          <w:rFonts w:ascii="Amiri" w:hAnsi="Amiri" w:eastAsia="Amiri" w:cs="Amiri"/>
          <w:lang w:bidi="ar-SA"/>
          <w:color w:val="111111"/>
          <w:sz w:val="28"/>
          <w:szCs w:val="28"/>
          <w:rtl/>
        </w:rPr>
        <w:t xml:space="preserve">1 .قرة العيون في ان الاموات في</w:t>
      </w:r>
    </w:p>
    <w:p>
      <w:pPr>
        <w:pStyle w:val="BookText"/>
      </w:pPr>
      <w:r>
        <w:rPr>
          <w:rFonts w:ascii="Amiri" w:hAnsi="Amiri" w:eastAsia="Amiri" w:cs="Amiri"/>
          <w:lang w:bidi="ar-SA"/>
          <w:color w:val="111111"/>
          <w:sz w:val="28"/>
          <w:szCs w:val="28"/>
          <w:rtl/>
        </w:rPr>
        <w:t xml:space="preserve">المذاهب الاربعة يسمعون، ج12،</w:t>
      </w:r>
    </w:p>
    <w:p>
      <w:pPr>
        <w:pStyle w:val="BookText"/>
      </w:pPr>
      <w:r>
        <w:rPr>
          <w:rFonts w:ascii="IRNazanin" w:hAnsi="IRNazanin" w:eastAsia="IRNazanin" w:cs="IRNazanin"/>
          <w:lang w:bidi="fa-IR"/>
          <w:color w:val="111111"/>
          <w:sz w:val="28"/>
          <w:szCs w:val="28"/>
          <w:rtl/>
        </w:rPr>
        <w:t xml:space="preserve">ص 577.</w:t>
      </w:r>
    </w:p>
    <w:p>
      <w:pPr>
        <w:pStyle w:val="BookText"/>
      </w:pPr>
      <w:r>
        <w:rPr>
          <w:rFonts w:ascii="Amiri" w:hAnsi="Amiri" w:eastAsia="Amiri" w:cs="Amiri"/>
          <w:lang w:bidi="ar-SA"/>
          <w:color w:val="111111"/>
          <w:sz w:val="28"/>
          <w:szCs w:val="28"/>
          <w:rtl/>
        </w:rPr>
        <w:t xml:space="preserve">2 .الوجه في ابطال الجهة، ج 16،</w:t>
      </w:r>
    </w:p>
    <w:p>
      <w:pPr>
        <w:pStyle w:val="BookText"/>
      </w:pPr>
      <w:r>
        <w:rPr>
          <w:rFonts w:ascii="IRNazanin" w:hAnsi="IRNazanin" w:eastAsia="IRNazanin" w:cs="IRNazanin"/>
          <w:lang w:bidi="fa-IR"/>
          <w:color w:val="111111"/>
          <w:sz w:val="28"/>
          <w:szCs w:val="28"/>
          <w:rtl/>
        </w:rPr>
        <w:t xml:space="preserve">ص 737.</w:t>
      </w:r>
    </w:p>
    <w:p>
      <w:pPr>
        <w:pStyle w:val="BookText"/>
      </w:pPr>
      <w:r>
        <w:rPr>
          <w:rFonts w:ascii="Amiri" w:hAnsi="Amiri" w:eastAsia="Amiri" w:cs="Amiri"/>
          <w:lang w:bidi="ar-SA"/>
          <w:color w:val="111111"/>
          <w:sz w:val="28"/>
          <w:szCs w:val="28"/>
          <w:rtl/>
        </w:rPr>
        <w:t xml:space="preserve">بغدادي ، محمّد عبد الحميد</w:t>
      </w:r>
    </w:p>
    <w:p>
      <w:pPr>
        <w:pStyle w:val="BookText"/>
      </w:pPr>
      <w:r>
        <w:rPr>
          <w:rFonts w:ascii="Amiri" w:hAnsi="Amiri" w:eastAsia="Amiri" w:cs="Amiri"/>
          <w:lang w:bidi="ar-SA"/>
          <w:color w:val="111111"/>
          <w:sz w:val="28"/>
          <w:szCs w:val="28"/>
          <w:rtl/>
        </w:rPr>
        <w:t xml:space="preserve">الوقف (منظومة في)، ج 16، ص 871</w:t>
      </w:r>
    </w:p>
    <w:p>
      <w:pPr>
        <w:pStyle w:val="Heading2"/>
      </w:pPr>
      <w:bookmarkStart w:id="2853" w:name="_Toc1955"/>
      <w:r>
        <w:t>بغدادي ، مسعود بن احمد</w:t>
      </w:r>
      <w:bookmarkEnd w:id="2853"/>
    </w:p>
    <w:p>
      <w:pPr>
        <w:pStyle w:val="BookText"/>
      </w:pPr>
      <w:r>
        <w:rPr>
          <w:rFonts w:ascii="Amiri" w:hAnsi="Amiri" w:eastAsia="Amiri" w:cs="Amiri"/>
          <w:lang w:bidi="ar-SA"/>
          <w:color w:val="111111"/>
          <w:sz w:val="28"/>
          <w:szCs w:val="28"/>
          <w:rtl/>
        </w:rPr>
        <w:t xml:space="preserve">مشيخة عبد الرحمن المقدسي، ج 14،</w:t>
      </w:r>
    </w:p>
    <w:p>
      <w:pPr>
        <w:pStyle w:val="BookText"/>
      </w:pPr>
      <w:r>
        <w:rPr>
          <w:rFonts w:ascii="IRNazanin" w:hAnsi="IRNazanin" w:eastAsia="IRNazanin" w:cs="IRNazanin"/>
          <w:lang w:bidi="fa-IR"/>
          <w:color w:val="111111"/>
          <w:sz w:val="28"/>
          <w:szCs w:val="28"/>
          <w:rtl/>
        </w:rPr>
        <w:t xml:space="preserve">ص 655 .</w:t>
      </w:r>
    </w:p>
    <w:p>
      <w:pPr>
        <w:pStyle w:val="Heading2"/>
      </w:pPr>
      <w:bookmarkStart w:id="2854" w:name="_Toc1956"/>
      <w:r>
        <w:t>بغدادي نجفي ، عبدالهادي</w:t>
      </w:r>
      <w:bookmarkEnd w:id="2854"/>
    </w:p>
    <w:p>
      <w:pPr>
        <w:pStyle w:val="BookText"/>
      </w:pPr>
      <w:r>
        <w:rPr>
          <w:rFonts w:ascii="Amiri" w:hAnsi="Amiri" w:eastAsia="Amiri" w:cs="Amiri"/>
          <w:lang w:bidi="ar-SA"/>
          <w:color w:val="111111"/>
          <w:sz w:val="28"/>
          <w:szCs w:val="28"/>
          <w:rtl/>
        </w:rPr>
        <w:t xml:space="preserve">صلاة المسافر (ارجوزه)، ج 10، ص 615.</w:t>
      </w:r>
    </w:p>
    <w:p>
      <w:pPr>
        <w:pStyle w:val="Heading2"/>
      </w:pPr>
      <w:bookmarkStart w:id="2855" w:name="_Toc1957"/>
      <w:r>
        <w:t>بغدادي ، هبة الله بن سلامه - 410 ه-</w:t>
      </w:r>
      <w:bookmarkEnd w:id="2855"/>
    </w:p>
    <w:p>
      <w:pPr>
        <w:pStyle w:val="BookText"/>
      </w:pPr>
      <w:r>
        <w:rPr>
          <w:rFonts w:ascii="IRNazanin" w:hAnsi="IRNazanin" w:eastAsia="IRNazanin" w:cs="IRNazanin"/>
          <w:lang w:bidi="fa-IR"/>
          <w:color w:val="111111"/>
          <w:sz w:val="28"/>
          <w:szCs w:val="28"/>
          <w:rtl/>
        </w:rPr>
        <w:t xml:space="preserve">الناسخ والمنسوخ، ج 16، ص83.</w:t>
      </w:r>
    </w:p>
    <w:p>
      <w:pPr>
        <w:pStyle w:val="BookText"/>
      </w:pPr>
      <w:r>
        <w:rPr>
          <w:rFonts w:ascii="Amiri" w:hAnsi="Amiri" w:eastAsia="Amiri" w:cs="Amiri"/>
          <w:lang w:bidi="ar-SA"/>
          <w:color w:val="111111"/>
          <w:sz w:val="28"/>
          <w:szCs w:val="28"/>
          <w:rtl/>
        </w:rPr>
        <w:t xml:space="preserve">بغدادي ، هبة الله بن يعلي- ابن ملكا ،</w:t>
      </w:r>
    </w:p>
    <w:p>
      <w:pPr>
        <w:pStyle w:val="BookText"/>
      </w:pPr>
      <w:r>
        <w:rPr>
          <w:rFonts w:ascii="Amiri" w:hAnsi="Amiri" w:eastAsia="Amiri" w:cs="Amiri"/>
          <w:lang w:bidi="ar-SA"/>
          <w:color w:val="111111"/>
          <w:sz w:val="28"/>
          <w:szCs w:val="28"/>
          <w:rtl/>
        </w:rPr>
        <w:t xml:space="preserve">هبة الله بن علي</w:t>
      </w:r>
    </w:p>
    <w:p>
      <w:pPr>
        <w:pStyle w:val="BookText"/>
      </w:pPr>
      <w:r>
        <w:rPr>
          <w:rFonts w:ascii="Amiri" w:hAnsi="Amiri" w:eastAsia="Amiri" w:cs="Amiri"/>
          <w:lang w:bidi="ar-SA"/>
          <w:color w:val="111111"/>
          <w:sz w:val="28"/>
          <w:szCs w:val="28"/>
          <w:rtl/>
        </w:rPr>
        <w:t xml:space="preserve">بغدادي ، يحيى بن عيسى بن جزله -ابن</w:t>
      </w:r>
    </w:p>
    <w:p>
      <w:pPr>
        <w:pStyle w:val="BookText"/>
      </w:pPr>
      <w:r>
        <w:rPr>
          <w:rFonts w:ascii="Amiri" w:hAnsi="Amiri" w:eastAsia="Amiri" w:cs="Amiri"/>
          <w:lang w:bidi="ar-SA"/>
          <w:color w:val="111111"/>
          <w:sz w:val="28"/>
          <w:szCs w:val="28"/>
          <w:rtl/>
        </w:rPr>
        <w:t xml:space="preserve">جزله ، يحيى بن عيسى</w:t>
      </w:r>
    </w:p>
    <w:p>
      <w:pPr>
        <w:pStyle w:val="BookText"/>
      </w:pPr>
      <w:r>
        <w:rPr>
          <w:rFonts w:ascii="Amiri" w:hAnsi="Amiri" w:eastAsia="Amiri" w:cs="Amiri"/>
          <w:lang w:bidi="ar-SA"/>
          <w:color w:val="111111"/>
          <w:sz w:val="28"/>
          <w:szCs w:val="28"/>
          <w:rtl/>
        </w:rPr>
        <w:t xml:space="preserve">بغدادي ، يوحنا بن ماسويه -يوحنا بن</w:t>
      </w:r>
    </w:p>
    <w:p>
      <w:pPr>
        <w:pStyle w:val="BookText"/>
      </w:pPr>
      <w:r>
        <w:rPr>
          <w:rFonts w:ascii="Amiri" w:hAnsi="Amiri" w:eastAsia="Amiri" w:cs="Amiri"/>
          <w:lang w:bidi="ar-SA"/>
          <w:color w:val="111111"/>
          <w:sz w:val="28"/>
          <w:szCs w:val="28"/>
          <w:rtl/>
        </w:rPr>
        <w:t xml:space="preserve">ماسويه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9" w:name="pg7742_69925"/>
    <w:bookmarkEnd w:id="269"/>
    <w:p>
      <w:pPr>
        <w:pStyle w:val="BookText"/>
      </w:pPr>
      <w:r>
        <w:rPr>
          <w:rFonts w:ascii="Amiri" w:hAnsi="Amiri" w:eastAsia="Amiri" w:cs="Amiri"/>
          <w:lang w:bidi="ar-SA"/>
          <w:color w:val="111111"/>
          <w:sz w:val="28"/>
          <w:szCs w:val="28"/>
          <w:rtl/>
        </w:rPr>
        <w:t xml:space="preserve">بغوي ، احمد بن محمّد- ابن بغوي</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2856" w:name="_Toc1958"/>
      <w:r>
        <w:t>بغوي ، حسين بن مسعود، 436-510 ؟ ه-</w:t>
      </w:r>
      <w:bookmarkEnd w:id="2856"/>
    </w:p>
    <w:p>
      <w:pPr>
        <w:pStyle w:val="BookText"/>
      </w:pPr>
      <w:r>
        <w:rPr>
          <w:rFonts w:ascii="IRNazanin" w:hAnsi="IRNazanin" w:eastAsia="IRNazanin" w:cs="IRNazanin"/>
          <w:lang w:bidi="fa-IR"/>
          <w:color w:val="111111"/>
          <w:sz w:val="28"/>
          <w:szCs w:val="28"/>
          <w:rtl/>
        </w:rPr>
        <w:t xml:space="preserve">1 .تاج العروس و مذهب الهم و</w:t>
      </w:r>
    </w:p>
    <w:p>
      <w:pPr>
        <w:pStyle w:val="BookText"/>
      </w:pPr>
      <w:r>
        <w:rPr>
          <w:rFonts w:ascii="IRNazanin" w:hAnsi="IRNazanin" w:eastAsia="IRNazanin" w:cs="IRNazanin"/>
          <w:lang w:bidi="fa-IR"/>
          <w:color w:val="111111"/>
          <w:sz w:val="28"/>
          <w:szCs w:val="28"/>
          <w:rtl/>
        </w:rPr>
        <w:t xml:space="preserve">البوس ، ج 3، ص 534 .</w:t>
      </w:r>
    </w:p>
    <w:p>
      <w:pPr>
        <w:pStyle w:val="BookText"/>
      </w:pPr>
      <w:r>
        <w:rPr>
          <w:rFonts w:ascii="Amiri" w:hAnsi="Amiri" w:eastAsia="Amiri" w:cs="Amiri"/>
          <w:lang w:bidi="ar-SA"/>
          <w:color w:val="111111"/>
          <w:sz w:val="28"/>
          <w:szCs w:val="28"/>
          <w:rtl/>
        </w:rPr>
        <w:t xml:space="preserve">2 .تلخيص معالم التنزيل، ج4، ص 858.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السنة، ج 9، ص 589.</w:t>
      </w:r>
    </w:p>
    <w:p>
      <w:pPr>
        <w:pStyle w:val="BookText"/>
      </w:pPr>
      <w:r>
        <w:rPr>
          <w:rFonts w:ascii="Amiri" w:hAnsi="Amiri" w:eastAsia="Amiri" w:cs="Amiri"/>
          <w:lang w:bidi="ar-SA"/>
          <w:color w:val="111111"/>
          <w:sz w:val="28"/>
          <w:szCs w:val="28"/>
          <w:rtl/>
        </w:rPr>
        <w:t xml:space="preserve">4 .الكفاية في القراءة، ج13، ص328.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المختار من الصحاح، ج 14، ص 164.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مصابيح السنة = المصابيح في سنن</w:t>
      </w:r>
    </w:p>
    <w:p>
      <w:pPr>
        <w:pStyle w:val="BookText"/>
      </w:pPr>
      <w:r>
        <w:rPr>
          <w:rFonts w:ascii="Amiri" w:hAnsi="Amiri" w:eastAsia="Amiri" w:cs="Amiri"/>
          <w:lang w:bidi="ar-SA"/>
          <w:color w:val="111111"/>
          <w:sz w:val="28"/>
          <w:szCs w:val="28"/>
          <w:rtl/>
        </w:rPr>
        <w:t xml:space="preserve">المصطفى المليح، ج 14، ص 668.</w:t>
      </w:r>
    </w:p>
    <w:p>
      <w:pPr>
        <w:pStyle w:val="BookText"/>
      </w:pPr>
      <w:r>
        <w:rPr>
          <w:rFonts w:ascii="Amiri" w:hAnsi="Amiri" w:eastAsia="Amiri" w:cs="Amiri"/>
          <w:lang w:bidi="ar-SA"/>
          <w:color w:val="111111"/>
          <w:sz w:val="28"/>
          <w:szCs w:val="28"/>
          <w:rtl/>
        </w:rPr>
        <w:t xml:space="preserve">7 .معالم التنزيل و حقائق التأويل تفسير فراء - تفسير بغوي، ج 14 ،</w:t>
      </w:r>
    </w:p>
    <w:p>
      <w:pPr>
        <w:pStyle w:val="BookText"/>
      </w:pPr>
      <w:r>
        <w:rPr>
          <w:rFonts w:ascii="IRNazanin" w:hAnsi="IRNazanin" w:eastAsia="IRNazanin" w:cs="IRNazanin"/>
          <w:lang w:bidi="fa-IR"/>
          <w:color w:val="111111"/>
          <w:sz w:val="28"/>
          <w:szCs w:val="28"/>
          <w:rtl/>
        </w:rPr>
        <w:t xml:space="preserve">ص 865.</w:t>
      </w:r>
    </w:p>
    <w:p>
      <w:pPr>
        <w:pStyle w:val="Heading2"/>
      </w:pPr>
      <w:bookmarkStart w:id="2857" w:name="_Toc1959"/>
      <w:r>
        <w:t>بغوي ، عبدالله بن محمّد، 214 - 317 ه-</w:t>
      </w:r>
      <w:bookmarkEnd w:id="2857"/>
    </w:p>
    <w:p>
      <w:pPr>
        <w:pStyle w:val="BookText"/>
      </w:pPr>
      <w:r>
        <w:rPr>
          <w:rFonts w:ascii="Amiri" w:hAnsi="Amiri" w:eastAsia="Amiri" w:cs="Amiri"/>
          <w:lang w:bidi="ar-SA"/>
          <w:color w:val="111111"/>
          <w:sz w:val="28"/>
          <w:szCs w:val="28"/>
          <w:rtl/>
        </w:rPr>
        <w:t xml:space="preserve">1 .معجم الصحابة، ج 15، ص 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حديث أبي الحسن الجوهري</w:t>
      </w:r>
    </w:p>
    <w:p>
      <w:pPr>
        <w:pStyle w:val="BookText"/>
      </w:pPr>
      <w:r>
        <w:rPr>
          <w:rFonts w:ascii="IRNazanin" w:hAnsi="IRNazanin" w:eastAsia="IRNazanin" w:cs="IRNazanin"/>
          <w:lang w:bidi="fa-IR"/>
          <w:color w:val="111111"/>
          <w:sz w:val="28"/>
          <w:szCs w:val="28"/>
          <w:rtl/>
        </w:rPr>
        <w:t xml:space="preserve">ج 15، ص 665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حكايات شعبة بن الحجاج الواسطي، ج 15 ، ص 674.</w:t>
      </w:r>
    </w:p>
    <w:p>
      <w:pPr>
        <w:pStyle w:val="Heading2"/>
      </w:pPr>
      <w:bookmarkStart w:id="2858" w:name="_Toc1960"/>
      <w:r>
        <w:t>بغوي ، يزيد بن بنت احمد - 317 ه-</w:t>
      </w:r>
      <w:bookmarkEnd w:id="2858"/>
    </w:p>
    <w:p>
      <w:pPr>
        <w:pStyle w:val="BookText"/>
      </w:pPr>
      <w:r>
        <w:rPr>
          <w:rFonts w:ascii="Amiri" w:hAnsi="Amiri" w:eastAsia="Amiri" w:cs="Amiri"/>
          <w:lang w:bidi="ar-SA"/>
          <w:color w:val="111111"/>
          <w:sz w:val="28"/>
          <w:szCs w:val="28"/>
          <w:rtl/>
        </w:rPr>
        <w:t xml:space="preserve">مسند اسامة بن زيد عن رسول الله</w:t>
      </w:r>
    </w:p>
    <w:p>
      <w:pPr>
        <w:pStyle w:val="BookText"/>
      </w:pPr>
      <w:r>
        <w:rPr>
          <w:rFonts w:ascii="IRNazanin" w:hAnsi="IRNazanin" w:eastAsia="IRNazanin" w:cs="IRNazanin"/>
          <w:lang w:bidi="fa-IR"/>
          <w:color w:val="111111"/>
          <w:sz w:val="28"/>
          <w:szCs w:val="28"/>
          <w:rtl/>
        </w:rPr>
        <w:t xml:space="preserve">ج 14، ص 595.</w:t>
      </w:r>
    </w:p>
    <w:p>
      <w:pPr>
        <w:pStyle w:val="Heading2"/>
      </w:pPr>
      <w:bookmarkStart w:id="2859" w:name="_Toc1961"/>
      <w:r>
        <w:t>بفروني يزدي ، علي اصغر بن محمّد</w:t>
      </w:r>
      <w:bookmarkEnd w:id="2859"/>
    </w:p>
    <w:p>
      <w:pPr>
        <w:pStyle w:val="BookText"/>
      </w:pPr>
      <w:r>
        <w:rPr>
          <w:rFonts w:ascii="Amiri" w:hAnsi="Amiri" w:eastAsia="Amiri" w:cs="Amiri"/>
          <w:lang w:bidi="ar-SA"/>
          <w:color w:val="111111"/>
          <w:sz w:val="28"/>
          <w:szCs w:val="28"/>
          <w:rtl/>
        </w:rPr>
        <w:t xml:space="preserve">حسين قرن 13 ه-</w:t>
      </w:r>
    </w:p>
    <w:p>
      <w:pPr>
        <w:pStyle w:val="BookText"/>
      </w:pPr>
      <w:r>
        <w:rPr>
          <w:rFonts w:ascii="Amiri" w:hAnsi="Amiri" w:eastAsia="Amiri" w:cs="Amiri"/>
          <w:lang w:bidi="ar-SA"/>
          <w:color w:val="111111"/>
          <w:sz w:val="28"/>
          <w:szCs w:val="28"/>
          <w:rtl/>
        </w:rPr>
        <w:t xml:space="preserve">المناهج الحائرية، ج 15 ، ص 566.</w:t>
      </w:r>
    </w:p>
    <w:p>
      <w:pPr>
        <w:pStyle w:val="Heading2"/>
      </w:pPr>
      <w:bookmarkStart w:id="2860" w:name="_Toc1962"/>
      <w:r>
        <w:t>بفرويي يزدي ، محمّد باقر بن محمّد</w:t>
      </w:r>
      <w:bookmarkEnd w:id="2860"/>
    </w:p>
    <w:p>
      <w:pPr>
        <w:pStyle w:val="BookText"/>
      </w:pPr>
      <w:r>
        <w:rPr>
          <w:rFonts w:ascii="Amiri" w:hAnsi="Amiri" w:eastAsia="Amiri" w:cs="Amiri"/>
          <w:lang w:bidi="ar-SA"/>
          <w:color w:val="111111"/>
          <w:sz w:val="28"/>
          <w:szCs w:val="28"/>
          <w:rtl/>
        </w:rPr>
        <w:t xml:space="preserve">حسين قرن 13 ه-</w:t>
      </w:r>
    </w:p>
    <w:p>
      <w:pPr>
        <w:pStyle w:val="BookText"/>
      </w:pPr>
      <w:r>
        <w:rPr>
          <w:rFonts w:ascii="Amiri" w:hAnsi="Amiri" w:eastAsia="Amiri" w:cs="Amiri"/>
          <w:lang w:bidi="ar-SA"/>
          <w:color w:val="111111"/>
          <w:sz w:val="28"/>
          <w:szCs w:val="28"/>
          <w:rtl/>
        </w:rPr>
        <w:t xml:space="preserve">شرح شواهد البهجة المرضية = الشواهد الضيائية، ج 9، ص 653 .</w:t>
      </w:r>
    </w:p>
    <w:p>
      <w:pPr>
        <w:pStyle w:val="BookText"/>
      </w:pPr>
      <w:r>
        <w:rPr>
          <w:rFonts w:ascii="Amiri" w:hAnsi="Amiri" w:eastAsia="Amiri" w:cs="Amiri"/>
          <w:lang w:bidi="ar-SA"/>
          <w:color w:val="111111"/>
          <w:sz w:val="28"/>
          <w:szCs w:val="28"/>
          <w:rtl/>
        </w:rPr>
        <w:t xml:space="preserve">بقاعي ، ابراهيم بن عمر- رباط شافعي ،</w:t>
      </w:r>
    </w:p>
    <w:p>
      <w:pPr>
        <w:pStyle w:val="BookText"/>
      </w:pPr>
      <w:r>
        <w:rPr>
          <w:rFonts w:ascii="Amiri" w:hAnsi="Amiri" w:eastAsia="Amiri" w:cs="Amiri"/>
          <w:lang w:bidi="ar-SA"/>
          <w:color w:val="111111"/>
          <w:sz w:val="28"/>
          <w:szCs w:val="28"/>
          <w:rtl/>
        </w:rPr>
        <w:t xml:space="preserve">ابراهيم بن عمر</w:t>
      </w:r>
    </w:p>
    <w:p>
      <w:pPr>
        <w:pStyle w:val="Heading2"/>
      </w:pPr>
      <w:bookmarkStart w:id="2861" w:name="_Toc1963"/>
      <w:r>
        <w:t>بقاعي، ابراهيم بن عمر 4809 - 885 ه-</w:t>
      </w:r>
      <w:bookmarkEnd w:id="2861"/>
    </w:p>
    <w:p>
      <w:pPr>
        <w:pStyle w:val="BookText"/>
      </w:pPr>
      <w:r>
        <w:rPr>
          <w:rFonts w:ascii="Amiri" w:hAnsi="Amiri" w:eastAsia="Amiri" w:cs="Amiri"/>
          <w:lang w:bidi="ar-SA"/>
          <w:color w:val="111111"/>
          <w:sz w:val="28"/>
          <w:szCs w:val="28"/>
          <w:rtl/>
        </w:rPr>
        <w:t xml:space="preserve">1 .تجربة، ج 3، ص 683.</w:t>
      </w:r>
    </w:p>
    <w:p>
      <w:pPr>
        <w:pStyle w:val="BookText"/>
      </w:pPr>
      <w:r>
        <w:rPr>
          <w:rFonts w:ascii="Amiri" w:hAnsi="Amiri" w:eastAsia="Amiri" w:cs="Amiri"/>
          <w:lang w:bidi="ar-SA"/>
          <w:color w:val="111111"/>
          <w:sz w:val="28"/>
          <w:szCs w:val="28"/>
          <w:rtl/>
        </w:rPr>
        <w:t xml:space="preserve">2 .حاشية شرح الفية العراقي، ج6،</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السيف المسنون اللماع على المفتي</w:t>
      </w:r>
    </w:p>
    <w:p>
      <w:pPr>
        <w:pStyle w:val="BookText"/>
      </w:pPr>
      <w:r>
        <w:rPr>
          <w:rFonts w:ascii="IRNazanin" w:hAnsi="IRNazanin" w:eastAsia="IRNazanin" w:cs="IRNazanin"/>
          <w:lang w:bidi="fa-IR"/>
          <w:color w:val="111111"/>
          <w:sz w:val="28"/>
          <w:szCs w:val="28"/>
          <w:rtl/>
        </w:rPr>
        <w:t xml:space="preserve">المفتون بالابتداع، ج 9، ص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القصيدة النبوية في مدح الرسول</w:t>
      </w:r>
    </w:p>
    <w:p>
      <w:pPr>
        <w:pStyle w:val="BookText"/>
      </w:pPr>
      <w:r>
        <w:rPr>
          <w:rFonts w:ascii="Amiri" w:hAnsi="Amiri" w:eastAsia="Amiri" w:cs="Amiri"/>
          <w:lang w:bidi="ar-SA"/>
          <w:color w:val="111111"/>
          <w:sz w:val="28"/>
          <w:szCs w:val="28"/>
          <w:rtl/>
        </w:rPr>
        <w:t xml:space="preserve">عليه السلام، ج 12، ص 721.</w:t>
      </w:r>
    </w:p>
    <w:p>
      <w:pPr>
        <w:pStyle w:val="BookText"/>
      </w:pPr>
      <w:r>
        <w:rPr>
          <w:rFonts w:ascii="Amiri" w:hAnsi="Amiri" w:eastAsia="Amiri" w:cs="Amiri"/>
          <w:lang w:bidi="ar-SA"/>
          <w:color w:val="111111"/>
          <w:sz w:val="28"/>
          <w:szCs w:val="28"/>
          <w:rtl/>
        </w:rPr>
        <w:t xml:space="preserve">5 .لعب العرب بالميسر، ج 13، ص 586.</w:t>
      </w:r>
    </w:p>
    <w:p>
      <w:pPr>
        <w:pStyle w:val="BookText"/>
      </w:pPr>
      <w:r>
        <w:rPr>
          <w:rFonts w:ascii="Amiri" w:hAnsi="Amiri" w:eastAsia="Amiri" w:cs="Amiri"/>
          <w:lang w:bidi="ar-SA"/>
          <w:color w:val="111111"/>
          <w:sz w:val="28"/>
          <w:szCs w:val="28"/>
          <w:rtl/>
        </w:rPr>
        <w:t xml:space="preserve">6 .محق السيف لبنان الجواب الزيف</w:t>
      </w:r>
    </w:p>
    <w:p>
      <w:pPr>
        <w:pStyle w:val="BookText"/>
      </w:pPr>
      <w:r>
        <w:rPr>
          <w:rFonts w:ascii="IRNazanin" w:hAnsi="IRNazanin" w:eastAsia="IRNazanin" w:cs="IRNazanin"/>
          <w:lang w:bidi="fa-IR"/>
          <w:color w:val="111111"/>
          <w:sz w:val="28"/>
          <w:szCs w:val="28"/>
          <w:rtl/>
        </w:rPr>
        <w:t xml:space="preserve">ج 14، ص 129.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نظم الدرر في تناسب الآيات و السور = مناسبات البقاعي = فتح الرحمن في تناسب أجزاء القرآن</w:t>
      </w:r>
    </w:p>
    <w:p>
      <w:pPr>
        <w:pStyle w:val="BookText"/>
      </w:pPr>
      <w:r>
        <w:rPr>
          <w:rFonts w:ascii="IRNazanin" w:hAnsi="IRNazanin" w:eastAsia="IRNazanin" w:cs="IRNazanin"/>
          <w:lang w:bidi="fa-IR"/>
          <w:color w:val="111111"/>
          <w:sz w:val="28"/>
          <w:szCs w:val="28"/>
          <w:rtl/>
        </w:rPr>
        <w:t xml:space="preserve">ج 16، ص 340.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النكت الوفية بما في شرح الالفية</w:t>
      </w:r>
    </w:p>
    <w:p>
      <w:pPr>
        <w:pStyle w:val="BookText"/>
      </w:pPr>
      <w:r>
        <w:rPr>
          <w:rFonts w:ascii="IRNazanin" w:hAnsi="IRNazanin" w:eastAsia="IRNazanin" w:cs="IRNazanin"/>
          <w:lang w:bidi="fa-IR"/>
          <w:color w:val="111111"/>
          <w:sz w:val="28"/>
          <w:szCs w:val="28"/>
          <w:rtl/>
        </w:rPr>
        <w:t xml:space="preserve">ج 16، ص 474.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النكت والفوائد على شرح العقائد</w:t>
      </w:r>
    </w:p>
    <w:p>
      <w:pPr>
        <w:pStyle w:val="BookText"/>
      </w:pPr>
      <w:r>
        <w:rPr>
          <w:rFonts w:ascii="Amiri" w:hAnsi="Amiri" w:eastAsia="Amiri" w:cs="Amiri"/>
          <w:lang w:bidi="ar-SA"/>
          <w:color w:val="111111"/>
          <w:sz w:val="28"/>
          <w:szCs w:val="28"/>
          <w:rtl/>
        </w:rPr>
        <w:t xml:space="preserve">لسعد الدين التفتازاني، ج 16،</w:t>
      </w:r>
    </w:p>
    <w:p>
      <w:pPr>
        <w:pStyle w:val="BookText"/>
      </w:pPr>
      <w:r>
        <w:rPr>
          <w:rFonts w:ascii="IRNazanin" w:hAnsi="IRNazanin" w:eastAsia="IRNazanin" w:cs="IRNazanin"/>
          <w:lang w:bidi="fa-IR"/>
          <w:color w:val="111111"/>
          <w:sz w:val="28"/>
          <w:szCs w:val="28"/>
          <w:rtl/>
        </w:rPr>
        <w:t xml:space="preserve">ص 473 .</w:t>
      </w:r>
    </w:p>
    <w:p>
      <w:pPr>
        <w:pStyle w:val="Heading2"/>
      </w:pPr>
      <w:bookmarkStart w:id="2862" w:name="_Toc1964"/>
      <w:r>
        <w:t>بقاعي ، محمود بن علي</w:t>
      </w:r>
      <w:bookmarkEnd w:id="2862"/>
    </w:p>
    <w:p>
      <w:pPr>
        <w:pStyle w:val="BookText"/>
      </w:pPr>
      <w:r>
        <w:rPr>
          <w:rFonts w:ascii="Amiri" w:hAnsi="Amiri" w:eastAsia="Amiri" w:cs="Amiri"/>
          <w:lang w:bidi="ar-SA"/>
          <w:color w:val="111111"/>
          <w:sz w:val="28"/>
          <w:szCs w:val="28"/>
          <w:rtl/>
        </w:rPr>
        <w:t xml:space="preserve">المنحة البقاعية بشرح التحفة</w:t>
      </w:r>
    </w:p>
    <w:p>
      <w:pPr>
        <w:pStyle w:val="BookText"/>
      </w:pPr>
      <w:r>
        <w:rPr>
          <w:rFonts w:ascii="Amiri" w:hAnsi="Amiri" w:eastAsia="Amiri" w:cs="Amiri"/>
          <w:lang w:bidi="ar-SA"/>
          <w:color w:val="111111"/>
          <w:sz w:val="28"/>
          <w:szCs w:val="28"/>
          <w:rtl/>
        </w:rPr>
        <w:t xml:space="preserve">القدسية، ج 15 ، ص 660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0" w:name="pg7742_69927"/>
    <w:bookmarkEnd w:id="270"/>
    <w:p>
      <w:pPr>
        <w:pStyle w:val="Heading2"/>
      </w:pPr>
      <w:bookmarkStart w:id="2863" w:name="_Toc1965"/>
      <w:r>
        <w:t>بقال ، شرف الدين حسن شاه - 905 ه-</w:t>
      </w:r>
      <w:bookmarkEnd w:id="2863"/>
    </w:p>
    <w:p>
      <w:pPr>
        <w:pStyle w:val="BookText"/>
      </w:pPr>
      <w:r>
        <w:rPr>
          <w:rFonts w:ascii="Amiri" w:hAnsi="Amiri" w:eastAsia="Amiri" w:cs="Amiri"/>
          <w:lang w:bidi="ar-SA"/>
          <w:color w:val="111111"/>
          <w:sz w:val="28"/>
          <w:szCs w:val="28"/>
          <w:rtl/>
        </w:rPr>
        <w:t xml:space="preserve">1 .آداب البحث = آداب بحث و مناظره = زبدة - رسالة في الآداب ج 1، ص 19.</w:t>
      </w:r>
    </w:p>
    <w:p>
      <w:pPr>
        <w:pStyle w:val="BookText"/>
      </w:pPr>
      <w:r>
        <w:rPr>
          <w:rFonts w:ascii="Amiri" w:hAnsi="Amiri" w:eastAsia="Amiri" w:cs="Amiri"/>
          <w:lang w:bidi="ar-SA"/>
          <w:color w:val="111111"/>
          <w:sz w:val="28"/>
          <w:szCs w:val="28"/>
          <w:rtl/>
        </w:rPr>
        <w:t xml:space="preserve">2 .شرح القصاري، ج 9، ص821.</w:t>
      </w:r>
    </w:p>
    <w:p>
      <w:pPr>
        <w:pStyle w:val="Heading2"/>
      </w:pPr>
      <w:bookmarkStart w:id="2864" w:name="_Toc1966"/>
      <w:r>
        <w:t>بقالي ، محمّد بن ابوالقاسم، 490-562 ه-</w:t>
      </w:r>
      <w:bookmarkEnd w:id="2864"/>
    </w:p>
    <w:p>
      <w:pPr>
        <w:pStyle w:val="BookText"/>
      </w:pPr>
      <w:r>
        <w:rPr>
          <w:rFonts w:ascii="IRNazanin" w:hAnsi="IRNazanin" w:eastAsia="IRNazanin" w:cs="IRNazanin"/>
          <w:lang w:bidi="fa-IR"/>
          <w:color w:val="111111"/>
          <w:sz w:val="28"/>
          <w:szCs w:val="28"/>
          <w:rtl/>
        </w:rPr>
        <w:t xml:space="preserve">1 .ترجمان القرآن، ج 4، ص 250.</w:t>
      </w:r>
    </w:p>
    <w:p>
      <w:pPr>
        <w:pStyle w:val="BookText"/>
      </w:pPr>
      <w:r>
        <w:rPr>
          <w:rFonts w:ascii="Amiri" w:hAnsi="Amiri" w:eastAsia="Amiri" w:cs="Amiri"/>
          <w:lang w:bidi="ar-SA"/>
          <w:color w:val="111111"/>
          <w:sz w:val="28"/>
          <w:szCs w:val="28"/>
          <w:rtl/>
        </w:rPr>
        <w:t xml:space="preserve">2 .مفتاح التنزيل – تفسير البقالي</w:t>
      </w:r>
    </w:p>
    <w:p>
      <w:pPr>
        <w:pStyle w:val="BookText"/>
      </w:pPr>
      <w:r>
        <w:rPr>
          <w:rFonts w:ascii="IRNazanin" w:hAnsi="IRNazanin" w:eastAsia="IRNazanin" w:cs="IRNazanin"/>
          <w:lang w:bidi="fa-IR"/>
          <w:color w:val="111111"/>
          <w:sz w:val="28"/>
          <w:szCs w:val="28"/>
          <w:rtl/>
        </w:rPr>
        <w:t xml:space="preserve">ج 15، ص 189.</w:t>
      </w:r>
    </w:p>
    <w:p>
      <w:pPr>
        <w:pStyle w:val="BookText"/>
      </w:pPr>
      <w:r>
        <w:rPr>
          <w:rFonts w:ascii="Amiri" w:hAnsi="Amiri" w:eastAsia="Amiri" w:cs="Amiri"/>
          <w:lang w:bidi="ar-SA"/>
          <w:color w:val="111111"/>
          <w:sz w:val="28"/>
          <w:szCs w:val="28"/>
          <w:rtl/>
        </w:rPr>
        <w:t xml:space="preserve">بقا ، محمّد بن عبدالله- عين الملك شيرازي</w:t>
      </w:r>
    </w:p>
    <w:p>
      <w:pPr>
        <w:pStyle w:val="BookText"/>
      </w:pPr>
      <w:r>
        <w:rPr>
          <w:rFonts w:ascii="IRNazanin" w:hAnsi="IRNazanin" w:eastAsia="IRNazanin" w:cs="IRNazanin"/>
          <w:lang w:bidi="fa-IR"/>
          <w:color w:val="111111"/>
          <w:sz w:val="28"/>
          <w:szCs w:val="28"/>
          <w:rtl/>
        </w:rPr>
        <w:t xml:space="preserve">، محمّد بن عبدالله</w:t>
      </w:r>
    </w:p>
    <w:p>
      <w:pPr>
        <w:pStyle w:val="Heading2"/>
      </w:pPr>
      <w:bookmarkStart w:id="2865" w:name="_Toc1967"/>
      <w:r>
        <w:t>بقراط، 460 - 377 ؟ قبل الميلاد</w:t>
      </w:r>
      <w:bookmarkEnd w:id="2865"/>
    </w:p>
    <w:p>
      <w:pPr>
        <w:pStyle w:val="BookText"/>
      </w:pPr>
      <w:r>
        <w:rPr>
          <w:rFonts w:ascii="Amiri" w:hAnsi="Amiri" w:eastAsia="Amiri" w:cs="Amiri"/>
          <w:lang w:bidi="ar-SA"/>
          <w:color w:val="111111"/>
          <w:sz w:val="28"/>
          <w:szCs w:val="28"/>
          <w:rtl/>
        </w:rPr>
        <w:t xml:space="preserve">1 .ارجوزة بقراط، ج1، ص 764. م.</w:t>
      </w:r>
    </w:p>
    <w:p>
      <w:pPr>
        <w:pStyle w:val="BookText"/>
      </w:pPr>
      <w:r>
        <w:rPr>
          <w:rFonts w:ascii="Amiri" w:hAnsi="Amiri" w:eastAsia="Amiri" w:cs="Amiri"/>
          <w:lang w:bidi="ar-SA"/>
          <w:color w:val="111111"/>
          <w:sz w:val="28"/>
          <w:szCs w:val="28"/>
          <w:rtl/>
        </w:rPr>
        <w:t xml:space="preserve">2.بثورات = علامات الموت = القبرية</w:t>
      </w:r>
    </w:p>
    <w:p>
      <w:pPr>
        <w:pStyle w:val="BookText"/>
      </w:pPr>
      <w:r>
        <w:rPr>
          <w:rFonts w:ascii="IRNazanin" w:hAnsi="IRNazanin" w:eastAsia="IRNazanin" w:cs="IRNazanin"/>
          <w:lang w:bidi="fa-IR"/>
          <w:color w:val="111111"/>
          <w:sz w:val="28"/>
          <w:szCs w:val="28"/>
          <w:rtl/>
        </w:rPr>
        <w:t xml:space="preserve">ج 3، ص 186.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ترتيب الابواب = مختصر في الطب،</w:t>
      </w:r>
    </w:p>
    <w:p>
      <w:pPr>
        <w:pStyle w:val="BookText"/>
      </w:pPr>
      <w:r>
        <w:rPr>
          <w:rFonts w:ascii="IRNazanin" w:hAnsi="IRNazanin" w:eastAsia="IRNazanin" w:cs="IRNazanin"/>
          <w:lang w:bidi="fa-IR"/>
          <w:color w:val="111111"/>
          <w:sz w:val="28"/>
          <w:szCs w:val="28"/>
          <w:rtl/>
        </w:rPr>
        <w:t xml:space="preserve">ج 4، ص 235.</w:t>
      </w:r>
    </w:p>
    <w:p>
      <w:pPr>
        <w:pStyle w:val="BookText"/>
      </w:pPr>
      <w:r>
        <w:rPr>
          <w:rFonts w:ascii="Amiri" w:hAnsi="Amiri" w:eastAsia="Amiri" w:cs="Amiri"/>
          <w:lang w:bidi="ar-SA"/>
          <w:color w:val="111111"/>
          <w:sz w:val="28"/>
          <w:szCs w:val="28"/>
          <w:rtl/>
        </w:rPr>
        <w:t xml:space="preserve">4 .تقدمة المعرفة - ترجمة تقدمة</w:t>
      </w:r>
    </w:p>
    <w:p>
      <w:pPr>
        <w:pStyle w:val="BookText"/>
      </w:pPr>
      <w:r>
        <w:rPr>
          <w:rFonts w:ascii="Amiri" w:hAnsi="Amiri" w:eastAsia="Amiri" w:cs="Amiri"/>
          <w:lang w:bidi="ar-SA"/>
          <w:color w:val="111111"/>
          <w:sz w:val="28"/>
          <w:szCs w:val="28"/>
          <w:rtl/>
        </w:rPr>
        <w:t xml:space="preserve">المعرفة، ج 4، ص 718.</w:t>
      </w:r>
    </w:p>
    <w:p>
      <w:pPr>
        <w:pStyle w:val="BookText"/>
      </w:pPr>
      <w:r>
        <w:rPr>
          <w:rFonts w:ascii="Amiri" w:hAnsi="Amiri" w:eastAsia="Amiri" w:cs="Amiri"/>
          <w:lang w:bidi="ar-SA"/>
          <w:color w:val="111111"/>
          <w:sz w:val="28"/>
          <w:szCs w:val="28"/>
          <w:rtl/>
        </w:rPr>
        <w:t xml:space="preserve">5 .الطب (رسالة في)، ج 10، ص 735.</w:t>
      </w:r>
    </w:p>
    <w:p>
      <w:pPr>
        <w:pStyle w:val="BookText"/>
      </w:pPr>
      <w:r>
        <w:rPr>
          <w:rFonts w:ascii="IRNazanin" w:hAnsi="IRNazanin" w:eastAsia="IRNazanin" w:cs="IRNazanin"/>
          <w:lang w:bidi="fa-IR"/>
          <w:color w:val="111111"/>
          <w:sz w:val="28"/>
          <w:szCs w:val="28"/>
          <w:rtl/>
        </w:rPr>
        <w:t xml:space="preserve">6 .الفصول، ج 11، ص 841</w:t>
      </w:r>
    </w:p>
    <w:p>
      <w:pPr>
        <w:pStyle w:val="BookText"/>
      </w:pPr>
      <w:r>
        <w:rPr>
          <w:rFonts w:ascii="IRNazanin" w:hAnsi="IRNazanin" w:eastAsia="IRNazanin" w:cs="IRNazanin"/>
          <w:lang w:bidi="fa-IR"/>
          <w:color w:val="111111"/>
          <w:sz w:val="28"/>
          <w:szCs w:val="28"/>
          <w:rtl/>
        </w:rPr>
        <w:t xml:space="preserve">7 .فصول بقراط، ج 11، ص 845.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المعرفة، ج 15، ص 41.</w:t>
      </w:r>
    </w:p>
    <w:p>
      <w:pPr>
        <w:pStyle w:val="BookText"/>
      </w:pPr>
      <w:r>
        <w:rPr>
          <w:rFonts w:ascii="Amiri" w:hAnsi="Amiri" w:eastAsia="Amiri" w:cs="Amiri"/>
          <w:lang w:bidi="ar-SA"/>
          <w:color w:val="111111"/>
          <w:sz w:val="28"/>
          <w:szCs w:val="28"/>
          <w:rtl/>
        </w:rPr>
        <w:t xml:space="preserve">9 .مقالات ابقراط في الطب، ج 15 ،</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وصايا ج 16 ، ص 796.</w:t>
      </w:r>
    </w:p>
    <w:p>
      <w:pPr>
        <w:pStyle w:val="BookText"/>
      </w:pPr>
      <w:r>
        <w:rPr>
          <w:rFonts w:ascii="IRNazanin" w:hAnsi="IRNazanin" w:eastAsia="IRNazanin" w:cs="IRNazanin"/>
          <w:lang w:bidi="fa-IR"/>
          <w:color w:val="111111"/>
          <w:sz w:val="28"/>
          <w:szCs w:val="28"/>
          <w:rtl/>
        </w:rPr>
        <w:t xml:space="preserve">11 .وصیت نامه = تربية الطبيب =</w:t>
      </w:r>
    </w:p>
    <w:p>
      <w:pPr>
        <w:pStyle w:val="BookText"/>
      </w:pPr>
      <w:r>
        <w:rPr>
          <w:rFonts w:ascii="Amiri" w:hAnsi="Amiri" w:eastAsia="Amiri" w:cs="Amiri"/>
          <w:lang w:bidi="ar-SA"/>
          <w:color w:val="111111"/>
          <w:sz w:val="28"/>
          <w:szCs w:val="28"/>
          <w:rtl/>
        </w:rPr>
        <w:t xml:space="preserve">الوصية، ج 16 ، ص 820.</w:t>
      </w:r>
    </w:p>
    <w:p>
      <w:pPr>
        <w:pStyle w:val="Heading2"/>
      </w:pPr>
      <w:bookmarkStart w:id="2866" w:name="_Toc1968"/>
      <w:r>
        <w:t>بقري ، محمّد بن اسماعيل</w:t>
      </w:r>
      <w:bookmarkEnd w:id="2866"/>
    </w:p>
    <w:p>
      <w:pPr>
        <w:pStyle w:val="BookText"/>
      </w:pPr>
      <w:r>
        <w:rPr>
          <w:rFonts w:ascii="Amiri" w:hAnsi="Amiri" w:eastAsia="Amiri" w:cs="Amiri"/>
          <w:lang w:bidi="ar-SA"/>
          <w:color w:val="111111"/>
          <w:sz w:val="28"/>
          <w:szCs w:val="28"/>
          <w:rtl/>
        </w:rPr>
        <w:t xml:space="preserve">البقرية في علم القراءات السبع، ج 3،</w:t>
      </w:r>
    </w:p>
    <w:p>
      <w:pPr>
        <w:pStyle w:val="BookText"/>
      </w:pPr>
      <w:r>
        <w:rPr>
          <w:rFonts w:ascii="IRNazanin" w:hAnsi="IRNazanin" w:eastAsia="IRNazanin" w:cs="IRNazanin"/>
          <w:lang w:bidi="fa-IR"/>
          <w:color w:val="111111"/>
          <w:sz w:val="28"/>
          <w:szCs w:val="28"/>
          <w:rtl/>
        </w:rPr>
        <w:t xml:space="preserve">ص 380.</w:t>
      </w:r>
    </w:p>
    <w:p>
      <w:pPr>
        <w:pStyle w:val="Heading2"/>
      </w:pPr>
      <w:bookmarkStart w:id="2867" w:name="_Toc1969"/>
      <w:r>
        <w:t>بقري ، محمّد بن قاسم، 1018 - 1111 ه-</w:t>
      </w:r>
      <w:bookmarkEnd w:id="2867"/>
    </w:p>
    <w:p>
      <w:pPr>
        <w:pStyle w:val="BookText"/>
      </w:pPr>
      <w:r>
        <w:rPr>
          <w:rFonts w:ascii="Amiri" w:hAnsi="Amiri" w:eastAsia="Amiri" w:cs="Amiri"/>
          <w:lang w:bidi="ar-SA"/>
          <w:color w:val="111111"/>
          <w:sz w:val="28"/>
          <w:szCs w:val="28"/>
          <w:rtl/>
        </w:rPr>
        <w:t xml:space="preserve">1 .غنية الطالبين ومنية الراغبين</w:t>
      </w:r>
    </w:p>
    <w:p>
      <w:pPr>
        <w:pStyle w:val="BookText"/>
      </w:pPr>
      <w:r>
        <w:rPr>
          <w:rFonts w:ascii="IRNazanin" w:hAnsi="IRNazanin" w:eastAsia="IRNazanin" w:cs="IRNazanin"/>
          <w:lang w:bidi="fa-IR"/>
          <w:color w:val="111111"/>
          <w:sz w:val="28"/>
          <w:szCs w:val="28"/>
          <w:rtl/>
        </w:rPr>
        <w:t xml:space="preserve">ج 11، ص 517.</w:t>
      </w:r>
    </w:p>
    <w:p>
      <w:pPr>
        <w:pStyle w:val="BookText"/>
      </w:pPr>
      <w:r>
        <w:rPr>
          <w:rFonts w:ascii="Amiri" w:hAnsi="Amiri" w:eastAsia="Amiri" w:cs="Amiri"/>
          <w:lang w:bidi="ar-SA"/>
          <w:color w:val="111111"/>
          <w:sz w:val="28"/>
          <w:szCs w:val="28"/>
          <w:rtl/>
        </w:rPr>
        <w:t xml:space="preserve">2 .القواعد المقررة والفوائد المحررة = الرسالة البقرية، ج 12، ص 806.</w:t>
      </w:r>
    </w:p>
    <w:p>
      <w:pPr>
        <w:pStyle w:val="BookText"/>
      </w:pPr>
      <w:r>
        <w:rPr>
          <w:rFonts w:ascii="Amiri" w:hAnsi="Amiri" w:eastAsia="Amiri" w:cs="Amiri"/>
          <w:lang w:bidi="ar-SA"/>
          <w:color w:val="111111"/>
          <w:sz w:val="28"/>
          <w:szCs w:val="28"/>
          <w:rtl/>
        </w:rPr>
        <w:t xml:space="preserve">3 .نية الاحترام في بيان حكم السلام</w:t>
      </w:r>
    </w:p>
    <w:p>
      <w:pPr>
        <w:pStyle w:val="BookText"/>
      </w:pPr>
      <w:r>
        <w:rPr>
          <w:rFonts w:ascii="IRNazanin" w:hAnsi="IRNazanin" w:eastAsia="IRNazanin" w:cs="IRNazanin"/>
          <w:lang w:bidi="fa-IR"/>
          <w:color w:val="111111"/>
          <w:sz w:val="28"/>
          <w:szCs w:val="28"/>
          <w:rtl/>
        </w:rPr>
        <w:t xml:space="preserve">ج 16، ص 576.</w:t>
      </w:r>
    </w:p>
    <w:p>
      <w:pPr>
        <w:pStyle w:val="Heading2"/>
      </w:pPr>
      <w:bookmarkStart w:id="2868" w:name="_Toc1970"/>
      <w:r>
        <w:t>بقوري ، محمّد بن ابراهيم - 707 ه-</w:t>
      </w:r>
      <w:bookmarkEnd w:id="2868"/>
    </w:p>
    <w:p>
      <w:pPr>
        <w:pStyle w:val="BookText"/>
      </w:pPr>
      <w:r>
        <w:rPr>
          <w:rFonts w:ascii="Amiri" w:hAnsi="Amiri" w:eastAsia="Amiri" w:cs="Amiri"/>
          <w:lang w:bidi="ar-SA"/>
          <w:color w:val="111111"/>
          <w:sz w:val="28"/>
          <w:szCs w:val="28"/>
          <w:rtl/>
        </w:rPr>
        <w:t xml:space="preserve">مختصر في علل الاعاريض الاربع و</w:t>
      </w:r>
    </w:p>
    <w:p>
      <w:pPr>
        <w:pStyle w:val="BookText"/>
      </w:pPr>
      <w:r>
        <w:rPr>
          <w:rFonts w:ascii="Amiri" w:hAnsi="Amiri" w:eastAsia="Amiri" w:cs="Amiri"/>
          <w:lang w:bidi="ar-SA"/>
          <w:color w:val="111111"/>
          <w:sz w:val="28"/>
          <w:szCs w:val="28"/>
          <w:rtl/>
        </w:rPr>
        <w:t xml:space="preserve">الثلاثين، ج 14، ص217.</w:t>
      </w:r>
    </w:p>
    <w:p>
      <w:pPr>
        <w:pStyle w:val="BookText"/>
      </w:pPr>
      <w:r>
        <w:rPr>
          <w:rFonts w:ascii="Amiri" w:hAnsi="Amiri" w:eastAsia="Amiri" w:cs="Amiri"/>
          <w:lang w:bidi="ar-SA"/>
          <w:color w:val="111111"/>
          <w:sz w:val="28"/>
          <w:szCs w:val="28"/>
          <w:rtl/>
        </w:rPr>
        <w:t xml:space="preserve">بقلي شيرازي ، روزبهان بن ابي نصر -روزبهان بقلي ، روزبهان بن ابي نصر</w:t>
      </w:r>
    </w:p>
    <w:p>
      <w:pPr>
        <w:pStyle w:val="BookText"/>
      </w:pPr>
      <w:r>
        <w:rPr>
          <w:rFonts w:ascii="Amiri" w:hAnsi="Amiri" w:eastAsia="Amiri" w:cs="Amiri"/>
          <w:lang w:bidi="ar-SA"/>
          <w:color w:val="111111"/>
          <w:sz w:val="28"/>
          <w:szCs w:val="28"/>
          <w:rtl/>
        </w:rPr>
        <w:t xml:space="preserve">بقي بن مخلد قرطبي- ابن مخلد ، بقي</w:t>
      </w:r>
    </w:p>
    <w:p>
      <w:pPr>
        <w:pStyle w:val="BookText"/>
      </w:pPr>
      <w:r>
        <w:rPr>
          <w:rFonts w:ascii="IRNazanin" w:hAnsi="IRNazanin" w:eastAsia="IRNazanin" w:cs="IRNazanin"/>
          <w:lang w:bidi="fa-IR"/>
          <w:color w:val="111111"/>
          <w:sz w:val="28"/>
          <w:szCs w:val="28"/>
          <w:rtl/>
        </w:rPr>
        <w:t xml:space="preserve">بن مخلد</w:t>
      </w:r>
    </w:p>
    <w:p>
      <w:pPr>
        <w:pStyle w:val="Heading2"/>
      </w:pPr>
      <w:bookmarkStart w:id="2869" w:name="_Toc1971"/>
      <w:r>
        <w:t>بكائي ، احمد بن مختار</w:t>
      </w:r>
      <w:bookmarkEnd w:id="2869"/>
    </w:p>
    <w:p>
      <w:pPr>
        <w:pStyle w:val="BookText"/>
      </w:pPr>
      <w:r>
        <w:rPr>
          <w:rFonts w:ascii="Amiri" w:hAnsi="Amiri" w:eastAsia="Amiri" w:cs="Amiri"/>
          <w:lang w:bidi="ar-SA"/>
          <w:color w:val="111111"/>
          <w:sz w:val="28"/>
          <w:szCs w:val="28"/>
          <w:rtl/>
        </w:rPr>
        <w:t xml:space="preserve">الحث على اتباع الطريقة القادرية</w:t>
      </w:r>
    </w:p>
    <w:p>
      <w:pPr>
        <w:pStyle w:val="BookText"/>
      </w:pPr>
      <w:r>
        <w:rPr>
          <w:rFonts w:ascii="Amiri" w:hAnsi="Amiri" w:eastAsia="Amiri" w:cs="Amiri"/>
          <w:lang w:bidi="ar-SA"/>
          <w:color w:val="111111"/>
          <w:sz w:val="28"/>
          <w:szCs w:val="28"/>
          <w:rtl/>
        </w:rPr>
        <w:t xml:space="preserve">(رسالة في)، ج 6 ، ص 473.</w:t>
      </w:r>
    </w:p>
    <w:p>
      <w:pPr>
        <w:pStyle w:val="BookText"/>
      </w:pPr>
      <w:r>
        <w:rPr>
          <w:rFonts w:ascii="Amiri" w:hAnsi="Amiri" w:eastAsia="Amiri" w:cs="Amiri"/>
          <w:lang w:bidi="ar-SA"/>
          <w:color w:val="111111"/>
          <w:sz w:val="28"/>
          <w:szCs w:val="28"/>
          <w:rtl/>
        </w:rPr>
        <w:t xml:space="preserve">بكائي رومي- بكائي ، ولي الدين بن خليل</w:t>
      </w:r>
    </w:p>
    <w:p>
      <w:pPr>
        <w:pStyle w:val="Heading2"/>
      </w:pPr>
      <w:bookmarkStart w:id="2870" w:name="_Toc1972"/>
      <w:r>
        <w:t>بكائي، ولي الدين بن خليل - 1183 ه-</w:t>
      </w:r>
      <w:bookmarkEnd w:id="2870"/>
    </w:p>
    <w:p>
      <w:pPr>
        <w:pStyle w:val="BookText"/>
      </w:pPr>
      <w:r>
        <w:rPr>
          <w:rFonts w:ascii="Amiri" w:hAnsi="Amiri" w:eastAsia="Amiri" w:cs="Amiri"/>
          <w:lang w:bidi="ar-SA"/>
          <w:color w:val="111111"/>
          <w:sz w:val="28"/>
          <w:szCs w:val="28"/>
          <w:rtl/>
        </w:rPr>
        <w:t xml:space="preserve">1 .خزينة الغلمان في شرح</w:t>
      </w:r>
    </w:p>
    <w:p>
      <w:pPr>
        <w:pStyle w:val="BookText"/>
      </w:pPr>
      <w:r>
        <w:rPr>
          <w:rFonts w:ascii="Amiri" w:hAnsi="Amiri" w:eastAsia="Amiri" w:cs="Amiri"/>
          <w:lang w:bidi="ar-SA"/>
          <w:color w:val="111111"/>
          <w:sz w:val="28"/>
          <w:szCs w:val="28"/>
          <w:rtl/>
        </w:rPr>
        <w:t xml:space="preserve">المختلفة، ج 7، ص 26.</w:t>
      </w:r>
    </w:p>
    <w:p>
      <w:pPr>
        <w:pStyle w:val="BookText"/>
      </w:pPr>
      <w:r>
        <w:rPr>
          <w:rFonts w:ascii="Amiri" w:hAnsi="Amiri" w:eastAsia="Amiri" w:cs="Amiri"/>
          <w:lang w:bidi="ar-SA"/>
          <w:color w:val="111111"/>
          <w:sz w:val="28"/>
          <w:szCs w:val="28"/>
          <w:rtl/>
        </w:rPr>
        <w:t xml:space="preserve">الأمثلة</w:t>
      </w:r>
    </w:p>
    <w:p>
      <w:pPr>
        <w:pStyle w:val="BookText"/>
      </w:pPr>
      <w:r>
        <w:rPr>
          <w:rFonts w:ascii="Amiri" w:hAnsi="Amiri" w:eastAsia="Amiri" w:cs="Amiri"/>
          <w:lang w:bidi="ar-SA"/>
          <w:color w:val="111111"/>
          <w:sz w:val="28"/>
          <w:szCs w:val="28"/>
          <w:rtl/>
        </w:rPr>
        <w:t xml:space="preserve">2 .زبدة القواعد و عقدة الفوائد في شرح عوامل البركوي، ج8، ص 589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1" w:name="pg7742_69929"/>
    <w:bookmarkEnd w:id="271"/>
    <w:p>
      <w:pPr>
        <w:pStyle w:val="BookText"/>
      </w:pPr>
      <w:r>
        <w:rPr>
          <w:rFonts w:ascii="Amiri" w:hAnsi="Amiri" w:eastAsia="Amiri" w:cs="Amiri"/>
          <w:lang w:bidi="ar-SA"/>
          <w:color w:val="111111"/>
          <w:sz w:val="28"/>
          <w:szCs w:val="28"/>
          <w:rtl/>
        </w:rPr>
        <w:t xml:space="preserve">بكار بن احمد- بخاري ، بكار بن احمد</w:t>
      </w:r>
    </w:p>
    <w:p>
      <w:pPr>
        <w:pStyle w:val="BookText"/>
      </w:pPr>
      <w:r>
        <w:rPr>
          <w:rFonts w:ascii="Amiri" w:hAnsi="Amiri" w:eastAsia="Amiri" w:cs="Amiri"/>
          <w:lang w:bidi="ar-SA"/>
          <w:color w:val="111111"/>
          <w:sz w:val="28"/>
          <w:szCs w:val="28"/>
          <w:rtl/>
        </w:rPr>
        <w:t xml:space="preserve">بكتاش ، خليل بن ابراهيم -فخري زاده ،</w:t>
      </w:r>
    </w:p>
    <w:p>
      <w:pPr>
        <w:pStyle w:val="BookText"/>
      </w:pPr>
      <w:r>
        <w:rPr>
          <w:rFonts w:ascii="Amiri" w:hAnsi="Amiri" w:eastAsia="Amiri" w:cs="Amiri"/>
          <w:lang w:bidi="ar-SA"/>
          <w:color w:val="111111"/>
          <w:sz w:val="28"/>
          <w:szCs w:val="28"/>
          <w:rtl/>
        </w:rPr>
        <w:t xml:space="preserve">خليل بن ابراهيم</w:t>
      </w:r>
    </w:p>
    <w:p>
      <w:pPr>
        <w:pStyle w:val="Heading2"/>
      </w:pPr>
      <w:bookmarkStart w:id="2871" w:name="_Toc1973"/>
      <w:r>
        <w:t>بكتاش ، عثمان بن عمر - 1190 ه-</w:t>
      </w:r>
      <w:bookmarkEnd w:id="2871"/>
    </w:p>
    <w:p>
      <w:pPr>
        <w:pStyle w:val="BookText"/>
      </w:pPr>
      <w:r>
        <w:rPr>
          <w:rFonts w:ascii="Amiri" w:hAnsi="Amiri" w:eastAsia="Amiri" w:cs="Amiri"/>
          <w:lang w:bidi="ar-SA"/>
          <w:color w:val="111111"/>
          <w:sz w:val="28"/>
          <w:szCs w:val="28"/>
          <w:rtl/>
        </w:rPr>
        <w:t xml:space="preserve">1 .تخميس القصيدة الهمزية، جع،</w:t>
      </w:r>
    </w:p>
    <w:p>
      <w:pPr>
        <w:pStyle w:val="BookText"/>
      </w:pPr>
      <w:r>
        <w:rPr>
          <w:rFonts w:ascii="IRNazanin" w:hAnsi="IRNazanin" w:eastAsia="IRNazanin" w:cs="IRNazanin"/>
          <w:lang w:bidi="fa-IR"/>
          <w:color w:val="111111"/>
          <w:sz w:val="28"/>
          <w:szCs w:val="28"/>
          <w:rtl/>
        </w:rPr>
        <w:t xml:space="preserve">ص 143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بكتاش الموصلي، ج 7، ص 592.</w:t>
      </w:r>
    </w:p>
    <w:p>
      <w:pPr>
        <w:pStyle w:val="BookText"/>
      </w:pPr>
      <w:r>
        <w:rPr>
          <w:rFonts w:ascii="Amiri" w:hAnsi="Amiri" w:eastAsia="Amiri" w:cs="Amiri"/>
          <w:lang w:bidi="ar-SA"/>
          <w:color w:val="111111"/>
          <w:sz w:val="28"/>
          <w:szCs w:val="28"/>
          <w:rtl/>
        </w:rPr>
        <w:t xml:space="preserve">بكتاش ولي -حاجي بكتاش ولي</w:t>
      </w:r>
    </w:p>
    <w:p>
      <w:pPr>
        <w:pStyle w:val="BookText"/>
      </w:pPr>
      <w:r>
        <w:rPr>
          <w:rFonts w:ascii="Amiri" w:hAnsi="Amiri" w:eastAsia="Amiri" w:cs="Amiri"/>
          <w:lang w:bidi="ar-SA"/>
          <w:color w:val="111111"/>
          <w:sz w:val="28"/>
          <w:szCs w:val="28"/>
          <w:rtl/>
        </w:rPr>
        <w:t xml:space="preserve">بكتولي ، محمّد بن عبدالعزيز- ابن معيد ،</w:t>
      </w:r>
    </w:p>
    <w:p>
      <w:pPr>
        <w:pStyle w:val="BookText"/>
      </w:pPr>
      <w:r>
        <w:rPr>
          <w:rFonts w:ascii="Amiri" w:hAnsi="Amiri" w:eastAsia="Amiri" w:cs="Amiri"/>
          <w:lang w:bidi="ar-SA"/>
          <w:color w:val="111111"/>
          <w:sz w:val="28"/>
          <w:szCs w:val="28"/>
          <w:rtl/>
        </w:rPr>
        <w:t xml:space="preserve">محمّد بن عبدالعزيز</w:t>
      </w:r>
    </w:p>
    <w:p>
      <w:pPr>
        <w:pStyle w:val="Heading2"/>
      </w:pPr>
      <w:bookmarkStart w:id="2872" w:name="_Toc1974"/>
      <w:r>
        <w:t>بكجري ، مغلطاي بن قليج، 690-762 ه-</w:t>
      </w:r>
      <w:bookmarkEnd w:id="2872"/>
    </w:p>
    <w:p>
      <w:pPr>
        <w:pStyle w:val="BookText"/>
      </w:pPr>
      <w:r>
        <w:rPr>
          <w:rFonts w:ascii="Amiri" w:hAnsi="Amiri" w:eastAsia="Amiri" w:cs="Amiri"/>
          <w:lang w:bidi="ar-SA"/>
          <w:color w:val="111111"/>
          <w:sz w:val="28"/>
          <w:szCs w:val="28"/>
          <w:rtl/>
        </w:rPr>
        <w:t xml:space="preserve">1 .الاشارة إلى سيرة المصطفى و تاريخ</w:t>
      </w:r>
    </w:p>
    <w:p>
      <w:pPr>
        <w:pStyle w:val="BookText"/>
      </w:pPr>
      <w:r>
        <w:rPr>
          <w:rFonts w:ascii="Amiri" w:hAnsi="Amiri" w:eastAsia="Amiri" w:cs="Amiri"/>
          <w:lang w:bidi="ar-SA"/>
          <w:color w:val="111111"/>
          <w:sz w:val="28"/>
          <w:szCs w:val="28"/>
          <w:rtl/>
        </w:rPr>
        <w:t xml:space="preserve">2 .الإعلام بسنته عليه السلام = شرح</w:t>
      </w:r>
    </w:p>
    <w:p>
      <w:pPr>
        <w:pStyle w:val="BookText"/>
      </w:pPr>
      <w:r>
        <w:rPr>
          <w:rFonts w:ascii="IRNazanin" w:hAnsi="IRNazanin" w:eastAsia="IRNazanin" w:cs="IRNazanin"/>
          <w:lang w:bidi="fa-IR"/>
          <w:color w:val="111111"/>
          <w:sz w:val="28"/>
          <w:szCs w:val="28"/>
          <w:rtl/>
        </w:rPr>
        <w:t xml:space="preserve">سنن ابن ماجه، ج 2، ص 555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اكمال تهذيب الكمال في اسماء</w:t>
      </w:r>
    </w:p>
    <w:p>
      <w:pPr>
        <w:pStyle w:val="BookText"/>
      </w:pPr>
      <w:r>
        <w:rPr>
          <w:rFonts w:ascii="IRNazanin" w:hAnsi="IRNazanin" w:eastAsia="IRNazanin" w:cs="IRNazanin"/>
          <w:lang w:bidi="fa-IR"/>
          <w:color w:val="111111"/>
          <w:sz w:val="28"/>
          <w:szCs w:val="28"/>
          <w:rtl/>
        </w:rPr>
        <w:t xml:space="preserve">الرجال، ج 2، ص 656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إنتخاب من وافقت كنيته إسم أبيه</w:t>
      </w:r>
    </w:p>
    <w:p>
      <w:pPr>
        <w:pStyle w:val="BookText"/>
      </w:pPr>
      <w:r>
        <w:rPr>
          <w:rFonts w:ascii="Amiri" w:hAnsi="Amiri" w:eastAsia="Amiri" w:cs="Amiri"/>
          <w:lang w:bidi="ar-SA"/>
          <w:color w:val="111111"/>
          <w:sz w:val="28"/>
          <w:szCs w:val="28"/>
          <w:rtl/>
        </w:rPr>
        <w:t xml:space="preserve">للخطيب البغدادي، ج 2، ص 785.</w:t>
      </w:r>
    </w:p>
    <w:p>
      <w:pPr>
        <w:pStyle w:val="BookText"/>
      </w:pPr>
      <w:r>
        <w:rPr>
          <w:rFonts w:ascii="Amiri" w:hAnsi="Amiri" w:eastAsia="Amiri" w:cs="Amiri"/>
          <w:lang w:bidi="ar-SA"/>
          <w:color w:val="111111"/>
          <w:sz w:val="28"/>
          <w:szCs w:val="28"/>
          <w:rtl/>
        </w:rPr>
        <w:t xml:space="preserve">5 .تلخيص الزهر الباسم في سيرة ابي</w:t>
      </w:r>
    </w:p>
    <w:p>
      <w:pPr>
        <w:pStyle w:val="BookText"/>
      </w:pPr>
      <w:r>
        <w:rPr>
          <w:rFonts w:ascii="IRNazanin" w:hAnsi="IRNazanin" w:eastAsia="IRNazanin" w:cs="IRNazanin"/>
          <w:lang w:bidi="fa-IR"/>
          <w:color w:val="111111"/>
          <w:sz w:val="28"/>
          <w:szCs w:val="28"/>
          <w:rtl/>
        </w:rPr>
        <w:t xml:space="preserve">القاسم، ج 4، ص 846.</w:t>
      </w:r>
    </w:p>
    <w:p>
      <w:pPr>
        <w:pStyle w:val="BookText"/>
      </w:pPr>
      <w:r>
        <w:rPr>
          <w:rFonts w:ascii="Amiri" w:hAnsi="Amiri" w:eastAsia="Amiri" w:cs="Amiri"/>
          <w:lang w:bidi="ar-SA"/>
          <w:color w:val="111111"/>
          <w:sz w:val="28"/>
          <w:szCs w:val="28"/>
          <w:rtl/>
        </w:rPr>
        <w:t xml:space="preserve">6 .التلويح في شرح الجامع الصحيح</w:t>
      </w:r>
    </w:p>
    <w:p>
      <w:pPr>
        <w:pStyle w:val="BookText"/>
      </w:pPr>
      <w:r>
        <w:rPr>
          <w:rFonts w:ascii="Amiri" w:hAnsi="Amiri" w:eastAsia="Amiri" w:cs="Amiri"/>
          <w:lang w:bidi="ar-SA"/>
          <w:color w:val="111111"/>
          <w:sz w:val="28"/>
          <w:szCs w:val="28"/>
          <w:rtl/>
        </w:rPr>
        <w:t xml:space="preserve">للبخاري، ج4، ص 873.</w:t>
      </w:r>
    </w:p>
    <w:p>
      <w:pPr>
        <w:pStyle w:val="BookText"/>
      </w:pPr>
      <w:r>
        <w:rPr>
          <w:rFonts w:ascii="Amiri" w:hAnsi="Amiri" w:eastAsia="Amiri" w:cs="Amiri"/>
          <w:lang w:bidi="ar-SA"/>
          <w:color w:val="111111"/>
          <w:sz w:val="28"/>
          <w:szCs w:val="28"/>
          <w:rtl/>
        </w:rPr>
        <w:t xml:space="preserve">بكر بن محمّد بن احمد الاي- الاي ، بكر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بكر بن محمّد رحبي -رحبي ، بكر بن محمّد</w:t>
      </w:r>
    </w:p>
    <w:p>
      <w:pPr>
        <w:pStyle w:val="Heading2"/>
      </w:pPr>
      <w:bookmarkStart w:id="2873" w:name="_Toc1975"/>
      <w:r>
        <w:t>بكر شاهي، نورالدين محمّد ه-</w:t>
      </w:r>
      <w:bookmarkEnd w:id="2873"/>
    </w:p>
    <w:p>
      <w:pPr>
        <w:pStyle w:val="BookText"/>
      </w:pPr>
      <w:r>
        <w:rPr>
          <w:rFonts w:ascii="Amiri" w:hAnsi="Amiri" w:eastAsia="Amiri" w:cs="Amiri"/>
          <w:lang w:bidi="ar-SA"/>
          <w:color w:val="111111"/>
          <w:sz w:val="28"/>
          <w:szCs w:val="28"/>
          <w:rtl/>
        </w:rPr>
        <w:t xml:space="preserve">مختصر المطالب الاصولية، ج 14،</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Amiri" w:hAnsi="Amiri" w:eastAsia="Amiri" w:cs="Amiri"/>
          <w:lang w:bidi="ar-SA"/>
          <w:color w:val="111111"/>
          <w:sz w:val="28"/>
          <w:szCs w:val="28"/>
          <w:rtl/>
        </w:rPr>
        <w:t xml:space="preserve">بكر صدقي ، عوني -صدقي ، عوني بكر</w:t>
      </w:r>
    </w:p>
    <w:p>
      <w:pPr>
        <w:pStyle w:val="BookText"/>
      </w:pPr>
      <w:r>
        <w:rPr>
          <w:rFonts w:ascii="IRNazanin" w:hAnsi="IRNazanin" w:eastAsia="IRNazanin" w:cs="IRNazanin"/>
          <w:lang w:bidi="fa-IR"/>
          <w:color w:val="111111"/>
          <w:sz w:val="28"/>
          <w:szCs w:val="28"/>
          <w:rtl/>
        </w:rPr>
        <w:t xml:space="preserve">بكرجي ، قاسم بن محمّد- بکره چي ،</w:t>
      </w:r>
    </w:p>
    <w:p>
      <w:pPr>
        <w:pStyle w:val="BookText"/>
      </w:pPr>
      <w:r>
        <w:rPr>
          <w:rFonts w:ascii="IRNazanin" w:hAnsi="IRNazanin" w:eastAsia="IRNazanin" w:cs="IRNazanin"/>
          <w:lang w:bidi="fa-IR"/>
          <w:color w:val="111111"/>
          <w:sz w:val="28"/>
          <w:szCs w:val="28"/>
          <w:rtl/>
        </w:rPr>
        <w:t xml:space="preserve">قاسم بن محمّد .</w:t>
      </w:r>
    </w:p>
    <w:p>
      <w:pPr>
        <w:pStyle w:val="Heading2"/>
      </w:pPr>
      <w:bookmarkStart w:id="2874" w:name="_Toc1976"/>
      <w:r>
        <w:t>بکره چي ، قاسم بن محمّد، 1094 -</w:t>
      </w:r>
      <w:bookmarkEnd w:id="2874"/>
    </w:p>
    <w:p>
      <w:pPr>
        <w:pStyle w:val="BookText"/>
      </w:pPr>
      <w:r>
        <w:rPr>
          <w:rFonts w:ascii="IRNazanin" w:hAnsi="IRNazanin" w:eastAsia="IRNazanin" w:cs="IRNazanin"/>
          <w:lang w:bidi="fa-IR"/>
          <w:color w:val="111111"/>
          <w:sz w:val="28"/>
          <w:szCs w:val="28"/>
          <w:rtl/>
        </w:rPr>
        <w:t xml:space="preserve">1 .الدرر المنتخب من أمثال العرب</w:t>
      </w:r>
    </w:p>
    <w:p>
      <w:pPr>
        <w:pStyle w:val="BookText"/>
      </w:pPr>
      <w:r>
        <w:rPr>
          <w:rFonts w:ascii="IRNazanin" w:hAnsi="IRNazanin" w:eastAsia="IRNazanin" w:cs="IRNazanin"/>
          <w:lang w:bidi="fa-IR"/>
          <w:color w:val="111111"/>
          <w:sz w:val="28"/>
          <w:szCs w:val="28"/>
          <w:rtl/>
        </w:rPr>
        <w:t xml:space="preserve">ج 7، ص 316.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البكرجي، ج 7، ص 593.</w:t>
      </w:r>
    </w:p>
    <w:p>
      <w:pPr>
        <w:pStyle w:val="BookText"/>
      </w:pPr>
      <w:r>
        <w:rPr>
          <w:rFonts w:ascii="IRNazanin" w:hAnsi="IRNazanin" w:eastAsia="IRNazanin" w:cs="IRNazanin"/>
          <w:lang w:bidi="fa-IR"/>
          <w:color w:val="111111"/>
          <w:sz w:val="28"/>
          <w:szCs w:val="28"/>
          <w:rtl/>
        </w:rPr>
        <w:t xml:space="preserve">من بعده من الخلفاء، ج 2، ص 256.</w:t>
      </w:r>
    </w:p>
    <w:p>
      <w:pPr>
        <w:pStyle w:val="BookText"/>
      </w:pPr>
      <w:r>
        <w:rPr>
          <w:rFonts w:ascii="Amiri" w:hAnsi="Amiri" w:eastAsia="Amiri" w:cs="Amiri"/>
          <w:lang w:bidi="ar-SA"/>
          <w:color w:val="111111"/>
          <w:sz w:val="28"/>
          <w:szCs w:val="28"/>
          <w:rtl/>
        </w:rPr>
        <w:t xml:space="preserve">بكري ، احمد بن عبدالله- ابوالحسن بكري</w:t>
      </w:r>
    </w:p>
    <w:p>
      <w:pPr>
        <w:pStyle w:val="BookText"/>
      </w:pPr>
      <w:r>
        <w:rPr>
          <w:rFonts w:ascii="IRNazanin" w:hAnsi="IRNazanin" w:eastAsia="IRNazanin" w:cs="IRNazanin"/>
          <w:lang w:bidi="fa-IR"/>
          <w:color w:val="111111"/>
          <w:sz w:val="28"/>
          <w:szCs w:val="28"/>
          <w:rtl/>
        </w:rPr>
        <w:t xml:space="preserve">، احمد بن عبدالله</w:t>
      </w:r>
    </w:p>
    <w:p>
      <w:pPr>
        <w:pStyle w:val="BookText"/>
      </w:pPr>
      <w:r>
        <w:rPr>
          <w:rFonts w:ascii="Amiri" w:hAnsi="Amiri" w:eastAsia="Amiri" w:cs="Amiri"/>
          <w:lang w:bidi="ar-SA"/>
          <w:color w:val="111111"/>
          <w:sz w:val="28"/>
          <w:szCs w:val="28"/>
          <w:rtl/>
        </w:rPr>
        <w:t xml:space="preserve">بكري بغدادي ، حسين بن محمّد -بارع</w:t>
      </w:r>
    </w:p>
    <w:p>
      <w:pPr>
        <w:pStyle w:val="BookText"/>
      </w:pPr>
      <w:r>
        <w:rPr>
          <w:rFonts w:ascii="Amiri" w:hAnsi="Amiri" w:eastAsia="Amiri" w:cs="Amiri"/>
          <w:lang w:bidi="ar-SA"/>
          <w:color w:val="111111"/>
          <w:sz w:val="28"/>
          <w:szCs w:val="28"/>
          <w:rtl/>
        </w:rPr>
        <w:t xml:space="preserve">بغدادي ، حسين بن محمّد</w:t>
      </w:r>
    </w:p>
    <w:p>
      <w:pPr>
        <w:pStyle w:val="Heading2"/>
      </w:pPr>
      <w:bookmarkStart w:id="2875" w:name="_Toc1977"/>
      <w:r>
        <w:t>بكري حموي، محمّد بن عبد علي</w:t>
      </w:r>
      <w:bookmarkEnd w:id="2875"/>
    </w:p>
    <w:p>
      <w:pPr>
        <w:pStyle w:val="BookText"/>
      </w:pPr>
      <w:r>
        <w:rPr>
          <w:rFonts w:ascii="Amiri" w:hAnsi="Amiri" w:eastAsia="Amiri" w:cs="Amiri"/>
          <w:lang w:bidi="ar-SA"/>
          <w:color w:val="111111"/>
          <w:sz w:val="28"/>
          <w:szCs w:val="28"/>
          <w:rtl/>
        </w:rPr>
        <w:t xml:space="preserve">قطب العارفين، ج 12، ص 745 .</w:t>
      </w:r>
    </w:p>
    <w:p>
      <w:pPr>
        <w:pStyle w:val="Heading2"/>
      </w:pPr>
      <w:bookmarkStart w:id="2876" w:name="_Toc1978"/>
      <w:r>
        <w:t>بكري ، رضي الدين ابوالقاسم، قرن 10 ه-</w:t>
      </w:r>
      <w:bookmarkEnd w:id="2876"/>
    </w:p>
    <w:p>
      <w:pPr>
        <w:pStyle w:val="BookText"/>
      </w:pPr>
      <w:r>
        <w:rPr>
          <w:rFonts w:ascii="Amiri" w:hAnsi="Amiri" w:eastAsia="Amiri" w:cs="Amiri"/>
          <w:lang w:bidi="ar-SA"/>
          <w:color w:val="111111"/>
          <w:sz w:val="28"/>
          <w:szCs w:val="28"/>
          <w:rtl/>
        </w:rPr>
        <w:t xml:space="preserve">1 .عقد اللآلي في شرح بدء الامالي</w:t>
      </w:r>
    </w:p>
    <w:p>
      <w:pPr>
        <w:pStyle w:val="BookText"/>
      </w:pPr>
      <w:r>
        <w:rPr>
          <w:rFonts w:ascii="IRNazanin" w:hAnsi="IRNazanin" w:eastAsia="IRNazanin" w:cs="IRNazanin"/>
          <w:lang w:bidi="fa-IR"/>
          <w:color w:val="111111"/>
          <w:sz w:val="28"/>
          <w:szCs w:val="28"/>
          <w:rtl/>
        </w:rPr>
        <w:t xml:space="preserve">ج 11، ص 173 .</w:t>
      </w:r>
    </w:p>
    <w:p>
      <w:pPr>
        <w:pStyle w:val="BookText"/>
      </w:pPr>
      <w:r>
        <w:rPr>
          <w:rFonts w:ascii="Amiri" w:hAnsi="Amiri" w:eastAsia="Amiri" w:cs="Amiri"/>
          <w:lang w:bidi="ar-SA"/>
          <w:color w:val="111111"/>
          <w:sz w:val="28"/>
          <w:szCs w:val="28"/>
          <w:rtl/>
        </w:rPr>
        <w:t xml:space="preserve">2 .الهداية من اعتقاد اهل السنة الجماعة في شرح بدء الامالي، ج 16،</w:t>
      </w:r>
    </w:p>
    <w:p>
      <w:pPr>
        <w:pStyle w:val="BookText"/>
      </w:pPr>
      <w:r>
        <w:rPr>
          <w:rFonts w:ascii="IRNazanin" w:hAnsi="IRNazanin" w:eastAsia="IRNazanin" w:cs="IRNazanin"/>
          <w:lang w:bidi="fa-IR"/>
          <w:color w:val="111111"/>
          <w:sz w:val="28"/>
          <w:szCs w:val="28"/>
          <w:rtl/>
        </w:rPr>
        <w:t xml:space="preserve">ص 634.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2" w:name="pg7742_69930"/>
    <w:bookmarkEnd w:id="272"/>
    <w:p>
      <w:pPr>
        <w:pStyle w:val="Heading2"/>
      </w:pPr>
      <w:bookmarkStart w:id="2877" w:name="_Toc1979"/>
      <w:r>
        <w:t>بكري، زين الدين</w:t>
      </w:r>
      <w:bookmarkEnd w:id="2877"/>
    </w:p>
    <w:p>
      <w:pPr>
        <w:pStyle w:val="BookText"/>
      </w:pPr>
      <w:r>
        <w:rPr>
          <w:rFonts w:ascii="IRNazanin" w:hAnsi="IRNazanin" w:eastAsia="IRNazanin" w:cs="IRNazanin"/>
          <w:lang w:bidi="fa-IR"/>
          <w:color w:val="111111"/>
          <w:sz w:val="28"/>
          <w:szCs w:val="28"/>
          <w:rtl/>
        </w:rPr>
        <w:t xml:space="preserve">دیوان بكري، ج7، ص 594.</w:t>
      </w:r>
    </w:p>
    <w:p>
      <w:pPr>
        <w:pStyle w:val="Heading2"/>
      </w:pPr>
      <w:bookmarkStart w:id="2878" w:name="_Toc1980"/>
      <w:r>
        <w:t>بكري زين العابدين بن محمّد -1013ه-</w:t>
      </w:r>
      <w:bookmarkEnd w:id="2878"/>
    </w:p>
    <w:p>
      <w:pPr>
        <w:pStyle w:val="BookText"/>
      </w:pPr>
      <w:r>
        <w:rPr>
          <w:rFonts w:ascii="Amiri" w:hAnsi="Amiri" w:eastAsia="Amiri" w:cs="Amiri"/>
          <w:lang w:bidi="ar-SA"/>
          <w:color w:val="111111"/>
          <w:sz w:val="28"/>
          <w:szCs w:val="28"/>
          <w:rtl/>
        </w:rPr>
        <w:t xml:space="preserve">تقريض، ج4، ص778</w:t>
      </w:r>
    </w:p>
    <w:p>
      <w:pPr>
        <w:pStyle w:val="Heading2"/>
      </w:pPr>
      <w:bookmarkStart w:id="2879" w:name="_Toc1981"/>
      <w:r>
        <w:t>بكري صديقي ، احمد بن زين العابدين</w:t>
      </w:r>
      <w:bookmarkEnd w:id="287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1048ه-</w:t>
      </w:r>
    </w:p>
    <w:p>
      <w:pPr>
        <w:pStyle w:val="BookText"/>
      </w:pPr>
      <w:r>
        <w:rPr>
          <w:rFonts w:ascii="Amiri" w:hAnsi="Amiri" w:eastAsia="Amiri" w:cs="Amiri"/>
          <w:lang w:bidi="ar-SA"/>
          <w:color w:val="111111"/>
          <w:sz w:val="28"/>
          <w:szCs w:val="28"/>
          <w:rtl/>
        </w:rPr>
        <w:t xml:space="preserve">1 .إقامة الشواهد بين الشاهد و</w:t>
      </w:r>
    </w:p>
    <w:p>
      <w:pPr>
        <w:pStyle w:val="BookText"/>
      </w:pPr>
      <w:r>
        <w:rPr>
          <w:rFonts w:ascii="IRNazanin" w:hAnsi="IRNazanin" w:eastAsia="IRNazanin" w:cs="IRNazanin"/>
          <w:lang w:bidi="fa-IR"/>
          <w:color w:val="111111"/>
          <w:sz w:val="28"/>
          <w:szCs w:val="28"/>
          <w:rtl/>
        </w:rPr>
        <w:t xml:space="preserve">المشاهد، ج 2، ص 608.</w:t>
      </w:r>
    </w:p>
    <w:p>
      <w:pPr>
        <w:pStyle w:val="BookText"/>
      </w:pPr>
      <w:r>
        <w:rPr>
          <w:rFonts w:ascii="Amiri" w:hAnsi="Amiri" w:eastAsia="Amiri" w:cs="Amiri"/>
          <w:lang w:bidi="ar-SA"/>
          <w:color w:val="111111"/>
          <w:sz w:val="28"/>
          <w:szCs w:val="28"/>
          <w:rtl/>
        </w:rPr>
        <w:t xml:space="preserve">2 .تبلج فجر اللقا في مشاهد أهل</w:t>
      </w:r>
    </w:p>
    <w:p>
      <w:pPr>
        <w:pStyle w:val="BookText"/>
      </w:pPr>
      <w:r>
        <w:rPr>
          <w:rFonts w:ascii="IRNazanin" w:hAnsi="IRNazanin" w:eastAsia="IRNazanin" w:cs="IRNazanin"/>
          <w:lang w:bidi="fa-IR"/>
          <w:color w:val="111111"/>
          <w:sz w:val="28"/>
          <w:szCs w:val="28"/>
          <w:rtl/>
        </w:rPr>
        <w:t xml:space="preserve">التقى، ج 3، ص 648 .</w:t>
      </w:r>
    </w:p>
    <w:p>
      <w:pPr>
        <w:pStyle w:val="BookText"/>
      </w:pPr>
      <w:r>
        <w:rPr>
          <w:rFonts w:ascii="IRNazanin" w:hAnsi="IRNazanin" w:eastAsia="IRNazanin" w:cs="IRNazanin"/>
          <w:lang w:bidi="fa-IR"/>
          <w:color w:val="111111"/>
          <w:sz w:val="28"/>
          <w:szCs w:val="28"/>
          <w:rtl/>
        </w:rPr>
        <w:t xml:space="preserve">3 .رشف الزلال عن تبسم ثغر السؤال</w:t>
      </w:r>
    </w:p>
    <w:p>
      <w:pPr>
        <w:pStyle w:val="BookText"/>
      </w:pPr>
      <w:r>
        <w:rPr>
          <w:rFonts w:ascii="IRNazanin" w:hAnsi="IRNazanin" w:eastAsia="IRNazanin" w:cs="IRNazanin"/>
          <w:lang w:bidi="fa-IR"/>
          <w:color w:val="111111"/>
          <w:sz w:val="28"/>
          <w:szCs w:val="28"/>
          <w:rtl/>
        </w:rPr>
        <w:t xml:space="preserve">ج 8، ص310.</w:t>
      </w:r>
    </w:p>
    <w:p>
      <w:pPr>
        <w:pStyle w:val="BookText"/>
      </w:pPr>
      <w:r>
        <w:rPr>
          <w:rFonts w:ascii="Amiri" w:hAnsi="Amiri" w:eastAsia="Amiri" w:cs="Amiri"/>
          <w:lang w:bidi="ar-SA"/>
          <w:color w:val="111111"/>
          <w:sz w:val="28"/>
          <w:szCs w:val="28"/>
          <w:rtl/>
        </w:rPr>
        <w:t xml:space="preserve">4 .زهرة البستان و ثمرة الجنان، ج 8،</w:t>
      </w:r>
    </w:p>
    <w:p>
      <w:pPr>
        <w:pStyle w:val="BookText"/>
      </w:pPr>
      <w:r>
        <w:rPr>
          <w:rFonts w:ascii="IRNazanin" w:hAnsi="IRNazanin" w:eastAsia="IRNazanin" w:cs="IRNazanin"/>
          <w:lang w:bidi="fa-IR"/>
          <w:color w:val="111111"/>
          <w:sz w:val="28"/>
          <w:szCs w:val="28"/>
          <w:rtl/>
        </w:rPr>
        <w:t xml:space="preserve">ص 620.</w:t>
      </w:r>
    </w:p>
    <w:p>
      <w:pPr>
        <w:pStyle w:val="BookText"/>
      </w:pPr>
      <w:r>
        <w:rPr>
          <w:rFonts w:ascii="IRNazanin" w:hAnsi="IRNazanin" w:eastAsia="IRNazanin" w:cs="IRNazanin"/>
          <w:lang w:bidi="fa-IR"/>
          <w:color w:val="111111"/>
          <w:sz w:val="28"/>
          <w:szCs w:val="28"/>
          <w:rtl/>
        </w:rPr>
        <w:t xml:space="preserve">5 .فتق الرتق لاظهار الحق، ج11،</w:t>
      </w:r>
    </w:p>
    <w:p>
      <w:pPr>
        <w:pStyle w:val="BookText"/>
      </w:pPr>
      <w:r>
        <w:rPr>
          <w:rFonts w:ascii="IRNazanin" w:hAnsi="IRNazanin" w:eastAsia="IRNazanin" w:cs="IRNazanin"/>
          <w:lang w:bidi="fa-IR"/>
          <w:color w:val="111111"/>
          <w:sz w:val="28"/>
          <w:szCs w:val="28"/>
          <w:rtl/>
        </w:rPr>
        <w:t xml:space="preserve">ص 699 .</w:t>
      </w:r>
    </w:p>
    <w:p>
      <w:pPr>
        <w:pStyle w:val="BookText"/>
      </w:pPr>
      <w:r>
        <w:rPr>
          <w:rFonts w:ascii="Amiri" w:hAnsi="Amiri" w:eastAsia="Amiri" w:cs="Amiri"/>
          <w:lang w:bidi="ar-SA"/>
          <w:color w:val="111111"/>
          <w:sz w:val="28"/>
          <w:szCs w:val="28"/>
          <w:rtl/>
        </w:rPr>
        <w:t xml:space="preserve">6 .فيض الفياض في شواهد الرياض</w:t>
      </w:r>
    </w:p>
    <w:p>
      <w:pPr>
        <w:pStyle w:val="BookText"/>
      </w:pPr>
      <w:r>
        <w:rPr>
          <w:rFonts w:ascii="IRNazanin" w:hAnsi="IRNazanin" w:eastAsia="IRNazanin" w:cs="IRNazanin"/>
          <w:lang w:bidi="fa-IR"/>
          <w:color w:val="111111"/>
          <w:sz w:val="28"/>
          <w:szCs w:val="28"/>
          <w:rtl/>
        </w:rPr>
        <w:t xml:space="preserve">ج 12، ص 311.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الكواكب الوهاج في هداية الحجاج (ارجوزة)، ج13، ص 469.</w:t>
      </w:r>
    </w:p>
    <w:p>
      <w:pPr>
        <w:pStyle w:val="BookText"/>
      </w:pPr>
      <w:r>
        <w:rPr>
          <w:rFonts w:ascii="Amiri" w:hAnsi="Amiri" w:eastAsia="Amiri" w:cs="Amiri"/>
          <w:lang w:bidi="ar-SA"/>
          <w:color w:val="111111"/>
          <w:sz w:val="28"/>
          <w:szCs w:val="28"/>
          <w:rtl/>
        </w:rPr>
        <w:t xml:space="preserve">8 .لسان الحقيقة و المجاز فيما ورد من فيوضات الحجاز، ج 13،</w:t>
      </w:r>
    </w:p>
    <w:p>
      <w:pPr>
        <w:pStyle w:val="BookText"/>
      </w:pPr>
      <w:r>
        <w:rPr>
          <w:rFonts w:ascii="IRNazanin" w:hAnsi="IRNazanin" w:eastAsia="IRNazanin" w:cs="IRNazanin"/>
          <w:lang w:bidi="fa-IR"/>
          <w:color w:val="111111"/>
          <w:sz w:val="28"/>
          <w:szCs w:val="28"/>
          <w:rtl/>
        </w:rPr>
        <w:t xml:space="preserve">ص 568.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لسان المحبة والأشجان في حقائق الحقائق والعرفان، ج 13، ص 573.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هاتفة التكريم في أسرار الجيم</w:t>
      </w:r>
    </w:p>
    <w:p>
      <w:pPr>
        <w:pStyle w:val="BookText"/>
      </w:pPr>
      <w:r>
        <w:rPr>
          <w:rFonts w:ascii="IRNazanin" w:hAnsi="IRNazanin" w:eastAsia="IRNazanin" w:cs="IRNazanin"/>
          <w:lang w:bidi="fa-IR"/>
          <w:color w:val="111111"/>
          <w:sz w:val="28"/>
          <w:szCs w:val="28"/>
          <w:rtl/>
        </w:rPr>
        <w:t xml:space="preserve">ج 16، ص 585.</w:t>
      </w:r>
    </w:p>
    <w:p>
      <w:pPr>
        <w:pStyle w:val="Heading2"/>
      </w:pPr>
      <w:bookmarkStart w:id="2880" w:name="_Toc1982"/>
      <w:r>
        <w:t>بكري صديقي ، محمّد بن ابي الحسن</w:t>
      </w:r>
      <w:bookmarkEnd w:id="2880"/>
    </w:p>
    <w:p>
      <w:pPr>
        <w:pStyle w:val="BookText"/>
      </w:pPr>
      <w:r>
        <w:rPr>
          <w:rFonts w:ascii="IRNazanin" w:hAnsi="IRNazanin" w:eastAsia="IRNazanin" w:cs="IRNazanin"/>
          <w:lang w:bidi="fa-IR"/>
          <w:color w:val="111111"/>
          <w:sz w:val="28"/>
          <w:szCs w:val="28"/>
          <w:rtl/>
        </w:rPr>
        <w:t xml:space="preserve">1013ه-</w:t>
      </w:r>
    </w:p>
    <w:p>
      <w:pPr>
        <w:pStyle w:val="BookText"/>
      </w:pPr>
      <w:r>
        <w:rPr>
          <w:rFonts w:ascii="Amiri" w:hAnsi="Amiri" w:eastAsia="Amiri" w:cs="Amiri"/>
          <w:lang w:bidi="ar-SA"/>
          <w:color w:val="111111"/>
          <w:sz w:val="28"/>
          <w:szCs w:val="28"/>
          <w:rtl/>
        </w:rPr>
        <w:t xml:space="preserve">ديوان بكري صديقي، ج 7، ص 594</w:t>
      </w:r>
    </w:p>
    <w:p>
      <w:pPr>
        <w:pStyle w:val="Heading2"/>
      </w:pPr>
      <w:bookmarkStart w:id="2881" w:name="_Toc1983"/>
      <w:r>
        <w:t>بكري صديقي ، محمّد بن ابي السرور</w:t>
      </w:r>
      <w:bookmarkEnd w:id="2881"/>
    </w:p>
    <w:p>
      <w:pPr>
        <w:pStyle w:val="BookText"/>
      </w:pPr>
      <w:r>
        <w:rPr>
          <w:rFonts w:ascii="IRNazanin" w:hAnsi="IRNazanin" w:eastAsia="IRNazanin" w:cs="IRNazanin"/>
          <w:lang w:bidi="fa-IR"/>
          <w:color w:val="111111"/>
          <w:sz w:val="28"/>
          <w:szCs w:val="28"/>
          <w:rtl/>
        </w:rPr>
        <w:t xml:space="preserve">1005 - 100ه-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البكري، ج 7، ص 593.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نموذج من كتاب القول المقتضب</w:t>
      </w:r>
    </w:p>
    <w:p>
      <w:pPr>
        <w:pStyle w:val="BookText"/>
      </w:pPr>
      <w:r>
        <w:rPr>
          <w:rFonts w:ascii="Amiri" w:hAnsi="Amiri" w:eastAsia="Amiri" w:cs="Amiri"/>
          <w:lang w:bidi="ar-SA"/>
          <w:color w:val="111111"/>
          <w:sz w:val="28"/>
          <w:szCs w:val="28"/>
          <w:rtl/>
        </w:rPr>
        <w:t xml:space="preserve">فيما وافق اهل مصر من لغة العرب، ج 16، ص 478.</w:t>
      </w:r>
    </w:p>
    <w:p>
      <w:pPr>
        <w:pStyle w:val="Heading2"/>
      </w:pPr>
      <w:bookmarkStart w:id="2882" w:name="_Toc1984"/>
      <w:r>
        <w:t>بكري صديقي ، محمّد بن محمّد، 898 -</w:t>
      </w:r>
      <w:bookmarkEnd w:id="2882"/>
    </w:p>
    <w:p>
      <w:pPr>
        <w:pStyle w:val="BookText"/>
      </w:pPr>
      <w:r>
        <w:rPr>
          <w:rFonts w:ascii="IRNazanin" w:hAnsi="IRNazanin" w:eastAsia="IRNazanin" w:cs="IRNazanin"/>
          <w:lang w:bidi="fa-IR"/>
          <w:color w:val="111111"/>
          <w:sz w:val="28"/>
          <w:szCs w:val="28"/>
          <w:rtl/>
        </w:rPr>
        <w:t xml:space="preserve">952 ه-</w:t>
      </w:r>
    </w:p>
    <w:p>
      <w:pPr>
        <w:pStyle w:val="BookText"/>
      </w:pPr>
      <w:r>
        <w:rPr>
          <w:rFonts w:ascii="Amiri" w:hAnsi="Amiri" w:eastAsia="Amiri" w:cs="Amiri"/>
          <w:lang w:bidi="ar-SA"/>
          <w:color w:val="111111"/>
          <w:sz w:val="28"/>
          <w:szCs w:val="28"/>
          <w:rtl/>
        </w:rPr>
        <w:t xml:space="preserve">1 .الاربعينيات في الاعمال الصالحات</w:t>
      </w:r>
    </w:p>
    <w:p>
      <w:pPr>
        <w:pStyle w:val="BookText"/>
      </w:pPr>
      <w:r>
        <w:rPr>
          <w:rFonts w:ascii="IRNazanin" w:hAnsi="IRNazanin" w:eastAsia="IRNazanin" w:cs="IRNazanin"/>
          <w:lang w:bidi="fa-IR"/>
          <w:color w:val="111111"/>
          <w:sz w:val="28"/>
          <w:szCs w:val="28"/>
          <w:rtl/>
        </w:rPr>
        <w:t xml:space="preserve">ج 1، ص 747.</w:t>
      </w:r>
    </w:p>
    <w:p>
      <w:pPr>
        <w:pStyle w:val="BookText"/>
      </w:pPr>
      <w:r>
        <w:rPr>
          <w:rFonts w:ascii="Amiri" w:hAnsi="Amiri" w:eastAsia="Amiri" w:cs="Amiri"/>
          <w:lang w:bidi="ar-SA"/>
          <w:color w:val="111111"/>
          <w:sz w:val="28"/>
          <w:szCs w:val="28"/>
          <w:rtl/>
        </w:rPr>
        <w:t xml:space="preserve">2 .تأييد المنة في تأييد السنة، ج3،</w:t>
      </w:r>
    </w:p>
    <w:p>
      <w:pPr>
        <w:pStyle w:val="BookText"/>
      </w:pPr>
      <w:r>
        <w:rPr>
          <w:rFonts w:ascii="IRNazanin" w:hAnsi="IRNazanin" w:eastAsia="IRNazanin" w:cs="IRNazanin"/>
          <w:lang w:bidi="fa-IR"/>
          <w:color w:val="111111"/>
          <w:sz w:val="28"/>
          <w:szCs w:val="28"/>
          <w:rtl/>
        </w:rPr>
        <w:t xml:space="preserve">ص 632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تحفه واهب المواهب في بيان المقدمات و المراتب، ج،4، ص 39.</w:t>
      </w:r>
    </w:p>
    <w:p>
      <w:pPr>
        <w:pStyle w:val="BookText"/>
      </w:pPr>
      <w:r>
        <w:rPr>
          <w:rFonts w:ascii="Amiri" w:hAnsi="Amiri" w:eastAsia="Amiri" w:cs="Amiri"/>
          <w:lang w:bidi="ar-SA"/>
          <w:color w:val="111111"/>
          <w:sz w:val="28"/>
          <w:szCs w:val="28"/>
          <w:rtl/>
        </w:rPr>
        <w:t xml:space="preserve">4 .ترتيب السور و تركيب الصور، ج 4،</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تسهيل السبيل في فهم معاني</w:t>
      </w:r>
    </w:p>
    <w:p>
      <w:pPr>
        <w:pStyle w:val="BookText"/>
      </w:pPr>
      <w:r>
        <w:rPr>
          <w:rFonts w:ascii="Amiri" w:hAnsi="Amiri" w:eastAsia="Amiri" w:cs="Amiri"/>
          <w:lang w:bidi="ar-SA"/>
          <w:color w:val="111111"/>
          <w:sz w:val="28"/>
          <w:szCs w:val="28"/>
          <w:rtl/>
        </w:rPr>
        <w:t xml:space="preserve">التنزيل، ج 4 ، ص 349 .</w:t>
      </w:r>
    </w:p>
    <w:p>
      <w:pPr>
        <w:pStyle w:val="BookText"/>
      </w:pPr>
      <w:r>
        <w:rPr>
          <w:rFonts w:ascii="Amiri" w:hAnsi="Amiri" w:eastAsia="Amiri" w:cs="Amiri"/>
          <w:lang w:bidi="ar-SA"/>
          <w:color w:val="111111"/>
          <w:sz w:val="28"/>
          <w:szCs w:val="28"/>
          <w:rtl/>
        </w:rPr>
        <w:t xml:space="preserve">6 .التصوف (قصيدة في)، ج4، ص 430.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الجواب الاجل عن حكمة كرب المصطفى عند حلول الأجل، جه،</w:t>
      </w:r>
    </w:p>
    <w:p>
      <w:pPr>
        <w:pStyle w:val="BookText"/>
      </w:pPr>
      <w:r>
        <w:rPr>
          <w:rFonts w:ascii="IRNazanin" w:hAnsi="IRNazanin" w:eastAsia="IRNazanin" w:cs="IRNazanin"/>
          <w:lang w:bidi="fa-IR"/>
          <w:color w:val="111111"/>
          <w:sz w:val="28"/>
          <w:szCs w:val="28"/>
          <w:rtl/>
        </w:rPr>
        <w:t xml:space="preserve">ص 495 .</w:t>
      </w:r>
    </w:p>
    <w:p>
      <w:pPr>
        <w:pStyle w:val="BookText"/>
      </w:pPr>
      <w:r>
        <w:rPr>
          <w:rFonts w:ascii="Amiri" w:hAnsi="Amiri" w:eastAsia="Amiri" w:cs="Amiri"/>
          <w:lang w:bidi="ar-SA"/>
          <w:color w:val="111111"/>
          <w:sz w:val="28"/>
          <w:szCs w:val="28"/>
          <w:rtl/>
        </w:rPr>
        <w:t xml:space="preserve">8 .عقيلة الخدر و عقيدة السر، ج 11،</w:t>
      </w:r>
    </w:p>
    <w:p>
      <w:pPr>
        <w:pStyle w:val="BookText"/>
      </w:pPr>
      <w:r>
        <w:rPr>
          <w:rFonts w:ascii="IRNazanin" w:hAnsi="IRNazanin" w:eastAsia="IRNazanin" w:cs="IRNazanin"/>
          <w:lang w:bidi="fa-IR"/>
          <w:color w:val="111111"/>
          <w:sz w:val="28"/>
          <w:szCs w:val="28"/>
          <w:rtl/>
        </w:rPr>
        <w:t xml:space="preserve">ص 211.</w:t>
      </w:r>
    </w:p>
    <w:p>
      <w:pPr>
        <w:pStyle w:val="BookText"/>
      </w:pPr>
      <w:r>
        <w:rPr>
          <w:rFonts w:ascii="Amiri" w:hAnsi="Amiri" w:eastAsia="Amiri" w:cs="Amiri"/>
          <w:lang w:bidi="ar-SA"/>
          <w:color w:val="111111"/>
          <w:sz w:val="28"/>
          <w:szCs w:val="28"/>
          <w:rtl/>
        </w:rPr>
        <w:t xml:space="preserve">9 .الغرر في فضائل عمر = اربعون</w:t>
      </w:r>
    </w:p>
    <w:p>
      <w:pPr>
        <w:pStyle w:val="BookText"/>
      </w:pPr>
      <w:r>
        <w:rPr>
          <w:rFonts w:ascii="Amiri" w:hAnsi="Amiri" w:eastAsia="Amiri" w:cs="Amiri"/>
          <w:lang w:bidi="ar-SA"/>
          <w:color w:val="111111"/>
          <w:sz w:val="28"/>
          <w:szCs w:val="28"/>
          <w:rtl/>
        </w:rPr>
        <w:t xml:space="preserve">حديثا في فضائل عمر، ج11،</w:t>
      </w:r>
    </w:p>
    <w:p>
      <w:pPr>
        <w:pStyle w:val="BookText"/>
      </w:pPr>
      <w:r>
        <w:rPr>
          <w:rFonts w:ascii="IRNazanin" w:hAnsi="IRNazanin" w:eastAsia="IRNazanin" w:cs="IRNazanin"/>
          <w:lang w:bidi="fa-IR"/>
          <w:color w:val="111111"/>
          <w:sz w:val="28"/>
          <w:szCs w:val="28"/>
          <w:rtl/>
        </w:rPr>
        <w:t xml:space="preserve">ص 486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الفيض القدسي في فضل آية</w:t>
      </w:r>
    </w:p>
    <w:p>
      <w:pPr>
        <w:pStyle w:val="BookText"/>
      </w:pPr>
      <w:r>
        <w:rPr>
          <w:rFonts w:ascii="Amiri" w:hAnsi="Amiri" w:eastAsia="Amiri" w:cs="Amiri"/>
          <w:lang w:bidi="ar-SA"/>
          <w:color w:val="111111"/>
          <w:sz w:val="28"/>
          <w:szCs w:val="28"/>
          <w:rtl/>
        </w:rPr>
        <w:t xml:space="preserve">الكرسي، ج 12، ص312.</w:t>
      </w:r>
    </w:p>
    <w:p>
      <w:pPr>
        <w:pStyle w:val="BookText"/>
      </w:pPr>
      <w:r>
        <w:rPr>
          <w:rFonts w:ascii="Amiri" w:hAnsi="Amiri" w:eastAsia="Amiri" w:cs="Amiri"/>
          <w:lang w:bidi="ar-SA"/>
          <w:color w:val="111111"/>
          <w:sz w:val="28"/>
          <w:szCs w:val="28"/>
          <w:rtl/>
        </w:rPr>
        <w:t xml:space="preserve">بكري صديقي ، محمّد علي بن</w:t>
      </w:r>
    </w:p>
    <w:p>
      <w:pPr>
        <w:pStyle w:val="BookText"/>
      </w:pPr>
      <w:r>
        <w:rPr>
          <w:rFonts w:ascii="Amiri" w:hAnsi="Amiri" w:eastAsia="Amiri" w:cs="Amiri"/>
          <w:lang w:bidi="ar-SA"/>
          <w:color w:val="111111"/>
          <w:sz w:val="28"/>
          <w:szCs w:val="28"/>
          <w:rtl/>
        </w:rPr>
        <w:t xml:space="preserve">محمّد- ابن علان ، محمّد علي بن محمّد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3" w:name="pg7742_69932"/>
    <w:bookmarkEnd w:id="273"/>
    <w:p>
      <w:pPr>
        <w:pStyle w:val="Heading2"/>
      </w:pPr>
      <w:bookmarkStart w:id="2883" w:name="_Toc1985"/>
      <w:r>
        <w:t>بكري عبدالله بن عبدالعزيز، 432-487ه-</w:t>
      </w:r>
      <w:bookmarkEnd w:id="2883"/>
    </w:p>
    <w:p>
      <w:pPr>
        <w:pStyle w:val="BookText"/>
      </w:pPr>
      <w:r>
        <w:rPr>
          <w:rFonts w:ascii="Amiri" w:hAnsi="Amiri" w:eastAsia="Amiri" w:cs="Amiri"/>
          <w:lang w:bidi="ar-SA"/>
          <w:color w:val="111111"/>
          <w:sz w:val="28"/>
          <w:szCs w:val="28"/>
          <w:rtl/>
        </w:rPr>
        <w:t xml:space="preserve">1 .اللآلي على كتاب الامالي، ج 13،</w:t>
      </w:r>
    </w:p>
    <w:p>
      <w:pPr>
        <w:pStyle w:val="BookText"/>
      </w:pPr>
      <w:r>
        <w:rPr>
          <w:rFonts w:ascii="IRNazanin" w:hAnsi="IRNazanin" w:eastAsia="IRNazanin" w:cs="IRNazanin"/>
          <w:lang w:bidi="fa-IR"/>
          <w:color w:val="111111"/>
          <w:sz w:val="28"/>
          <w:szCs w:val="28"/>
          <w:rtl/>
        </w:rPr>
        <w:t xml:space="preserve">ص 519.</w:t>
      </w:r>
    </w:p>
    <w:p>
      <w:pPr>
        <w:pStyle w:val="BookText"/>
      </w:pPr>
      <w:r>
        <w:rPr>
          <w:rFonts w:ascii="Amiri" w:hAnsi="Amiri" w:eastAsia="Amiri" w:cs="Amiri"/>
          <w:lang w:bidi="ar-SA"/>
          <w:color w:val="111111"/>
          <w:sz w:val="28"/>
          <w:szCs w:val="28"/>
          <w:rtl/>
        </w:rPr>
        <w:t xml:space="preserve">2 .المسالك و الممالك، ج 14، ص 533.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المعجم ما استعجم، ج15، ص 21.</w:t>
      </w:r>
    </w:p>
    <w:p>
      <w:pPr>
        <w:pStyle w:val="BookText"/>
      </w:pPr>
      <w:r>
        <w:rPr>
          <w:rFonts w:ascii="Amiri" w:hAnsi="Amiri" w:eastAsia="Amiri" w:cs="Amiri"/>
          <w:lang w:bidi="ar-SA"/>
          <w:color w:val="111111"/>
          <w:sz w:val="28"/>
          <w:szCs w:val="28"/>
          <w:rtl/>
        </w:rPr>
        <w:t xml:space="preserve">بكري ، عبد القادر بن جلال الدين- محلي</w:t>
      </w:r>
    </w:p>
    <w:p>
      <w:pPr>
        <w:pStyle w:val="BookText"/>
      </w:pPr>
      <w:r>
        <w:rPr>
          <w:rFonts w:ascii="Amiri" w:hAnsi="Amiri" w:eastAsia="Amiri" w:cs="Amiri"/>
          <w:lang w:bidi="ar-SA"/>
          <w:color w:val="111111"/>
          <w:sz w:val="28"/>
          <w:szCs w:val="28"/>
          <w:rtl/>
        </w:rPr>
        <w:t xml:space="preserve">عبدالقادر بن ابراهيم</w:t>
      </w:r>
    </w:p>
    <w:p>
      <w:pPr>
        <w:pStyle w:val="Heading2"/>
      </w:pPr>
      <w:bookmarkStart w:id="2884" w:name="_Toc1986"/>
      <w:r>
        <w:t>بكري، عبد الملك بن علي - 896 ه-</w:t>
      </w:r>
      <w:bookmarkEnd w:id="2884"/>
    </w:p>
    <w:p>
      <w:pPr>
        <w:pStyle w:val="BookText"/>
      </w:pPr>
      <w:r>
        <w:rPr>
          <w:rFonts w:ascii="Amiri" w:hAnsi="Amiri" w:eastAsia="Amiri" w:cs="Amiri"/>
          <w:lang w:bidi="ar-SA"/>
          <w:color w:val="111111"/>
          <w:sz w:val="28"/>
          <w:szCs w:val="28"/>
          <w:rtl/>
        </w:rPr>
        <w:t xml:space="preserve">الاربعون حديثاً، ج 1، ص 695.</w:t>
      </w:r>
    </w:p>
    <w:p>
      <w:pPr>
        <w:pStyle w:val="BookText"/>
      </w:pPr>
      <w:r>
        <w:rPr>
          <w:rFonts w:ascii="Amiri" w:hAnsi="Amiri" w:eastAsia="Amiri" w:cs="Amiri"/>
          <w:lang w:bidi="ar-SA"/>
          <w:color w:val="111111"/>
          <w:sz w:val="28"/>
          <w:szCs w:val="28"/>
          <w:rtl/>
        </w:rPr>
        <w:t xml:space="preserve">بكري ، علي بن محمّد شريف -شريف</w:t>
      </w:r>
    </w:p>
    <w:p>
      <w:pPr>
        <w:pStyle w:val="BookText"/>
      </w:pPr>
      <w:r>
        <w:rPr>
          <w:rFonts w:ascii="Amiri" w:hAnsi="Amiri" w:eastAsia="Amiri" w:cs="Amiri"/>
          <w:lang w:bidi="ar-SA"/>
          <w:color w:val="111111"/>
          <w:sz w:val="28"/>
          <w:szCs w:val="28"/>
          <w:rtl/>
        </w:rPr>
        <w:t xml:space="preserve">بكري ، علي بن محمّد</w:t>
      </w:r>
    </w:p>
    <w:p>
      <w:pPr>
        <w:pStyle w:val="Heading2"/>
      </w:pPr>
      <w:bookmarkStart w:id="2885" w:name="_Toc1987"/>
      <w:r>
        <w:t>بكري قنائي، مسعود بن حسن</w:t>
      </w:r>
      <w:bookmarkEnd w:id="2885"/>
    </w:p>
    <w:p>
      <w:pPr>
        <w:pStyle w:val="BookText"/>
      </w:pPr>
      <w:r>
        <w:rPr>
          <w:rFonts w:ascii="Amiri" w:hAnsi="Amiri" w:eastAsia="Amiri" w:cs="Amiri"/>
          <w:lang w:bidi="ar-SA"/>
          <w:color w:val="111111"/>
          <w:sz w:val="28"/>
          <w:szCs w:val="28"/>
          <w:rtl/>
        </w:rPr>
        <w:t xml:space="preserve">شفاعة النبوية، ج 10، ص 386.</w:t>
      </w:r>
    </w:p>
    <w:p>
      <w:pPr>
        <w:pStyle w:val="Heading2"/>
      </w:pPr>
      <w:bookmarkStart w:id="2886" w:name="_Toc1988"/>
      <w:r>
        <w:t>بكري ، محمّد</w:t>
      </w:r>
      <w:bookmarkEnd w:id="2886"/>
    </w:p>
    <w:p>
      <w:pPr>
        <w:pStyle w:val="BookText"/>
      </w:pPr>
      <w:r>
        <w:rPr>
          <w:rFonts w:ascii="Amiri" w:hAnsi="Amiri" w:eastAsia="Amiri" w:cs="Amiri"/>
          <w:lang w:bidi="ar-SA"/>
          <w:color w:val="111111"/>
          <w:sz w:val="28"/>
          <w:szCs w:val="28"/>
          <w:rtl/>
        </w:rPr>
        <w:t xml:space="preserve">الادعية و الصلوات، ج 1، ص 653.</w:t>
      </w:r>
    </w:p>
    <w:p>
      <w:pPr>
        <w:pStyle w:val="Heading2"/>
      </w:pPr>
      <w:bookmarkStart w:id="2887" w:name="_Toc1989"/>
      <w:r>
        <w:t>بكري ، محمّد بن احمد ، قرن 7 ه-</w:t>
      </w:r>
      <w:bookmarkEnd w:id="2887"/>
    </w:p>
    <w:p>
      <w:pPr>
        <w:pStyle w:val="BookText"/>
      </w:pPr>
      <w:r>
        <w:rPr>
          <w:rFonts w:ascii="Amiri" w:hAnsi="Amiri" w:eastAsia="Amiri" w:cs="Amiri"/>
          <w:lang w:bidi="ar-SA"/>
          <w:color w:val="111111"/>
          <w:sz w:val="28"/>
          <w:szCs w:val="28"/>
          <w:rtl/>
        </w:rPr>
        <w:t xml:space="preserve">كشف القناع في رسم الارباع، ج13،</w:t>
      </w:r>
    </w:p>
    <w:p>
      <w:pPr>
        <w:pStyle w:val="BookText"/>
      </w:pPr>
      <w:r>
        <w:rPr>
          <w:rFonts w:ascii="IRNazanin" w:hAnsi="IRNazanin" w:eastAsia="IRNazanin" w:cs="IRNazanin"/>
          <w:lang w:bidi="fa-IR"/>
          <w:color w:val="111111"/>
          <w:sz w:val="28"/>
          <w:szCs w:val="28"/>
          <w:rtl/>
        </w:rPr>
        <w:t xml:space="preserve">ص 249.</w:t>
      </w:r>
    </w:p>
    <w:p>
      <w:pPr>
        <w:pStyle w:val="BookText"/>
      </w:pPr>
      <w:r>
        <w:rPr>
          <w:rFonts w:ascii="Amiri" w:hAnsi="Amiri" w:eastAsia="Amiri" w:cs="Amiri"/>
          <w:lang w:bidi="ar-SA"/>
          <w:color w:val="111111"/>
          <w:sz w:val="28"/>
          <w:szCs w:val="28"/>
          <w:rtl/>
        </w:rPr>
        <w:t xml:space="preserve">بكري ، محمّد بن محمّد-صديقي بكري ،</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بكري ، محمّد معصوم- ترمذي سمرقندي</w:t>
      </w:r>
    </w:p>
    <w:p>
      <w:pPr>
        <w:pStyle w:val="BookText"/>
      </w:pPr>
      <w:r>
        <w:rPr>
          <w:rFonts w:ascii="IRNazanin" w:hAnsi="IRNazanin" w:eastAsia="IRNazanin" w:cs="IRNazanin"/>
          <w:lang w:bidi="fa-IR"/>
          <w:color w:val="111111"/>
          <w:sz w:val="28"/>
          <w:szCs w:val="28"/>
          <w:rtl/>
        </w:rPr>
        <w:t xml:space="preserve">، محمّد معصوم</w:t>
      </w:r>
    </w:p>
    <w:p>
      <w:pPr>
        <w:pStyle w:val="Heading2"/>
      </w:pPr>
      <w:bookmarkStart w:id="2888" w:name="_Toc1990"/>
      <w:r>
        <w:t>بكري مصري</w:t>
      </w:r>
      <w:bookmarkEnd w:id="2888"/>
    </w:p>
    <w:p>
      <w:pPr>
        <w:pStyle w:val="BookText"/>
      </w:pPr>
      <w:r>
        <w:rPr>
          <w:rFonts w:ascii="Amiri" w:hAnsi="Amiri" w:eastAsia="Amiri" w:cs="Amiri"/>
          <w:lang w:bidi="ar-SA"/>
          <w:color w:val="111111"/>
          <w:sz w:val="28"/>
          <w:szCs w:val="28"/>
          <w:rtl/>
        </w:rPr>
        <w:t xml:space="preserve">قصيدة للشيخ البكري المصري، ج 12،</w:t>
      </w:r>
    </w:p>
    <w:p>
      <w:pPr>
        <w:pStyle w:val="BookText"/>
      </w:pPr>
      <w:r>
        <w:rPr>
          <w:rFonts w:ascii="IRNazanin" w:hAnsi="IRNazanin" w:eastAsia="IRNazanin" w:cs="IRNazanin"/>
          <w:lang w:bidi="fa-IR"/>
          <w:color w:val="111111"/>
          <w:sz w:val="28"/>
          <w:szCs w:val="28"/>
          <w:rtl/>
        </w:rPr>
        <w:t xml:space="preserve">ص 708.</w:t>
      </w:r>
    </w:p>
    <w:p>
      <w:pPr>
        <w:pStyle w:val="Heading2"/>
      </w:pPr>
      <w:bookmarkStart w:id="2889" w:name="_Toc1991"/>
      <w:r>
        <w:t>بكري، مصطفى بن کمال الدین 1099 -</w:t>
      </w:r>
      <w:bookmarkEnd w:id="2889"/>
    </w:p>
    <w:p>
      <w:pPr>
        <w:pStyle w:val="BookText"/>
      </w:pPr>
      <w:r>
        <w:rPr>
          <w:rFonts w:ascii="IRNazanin" w:hAnsi="IRNazanin" w:eastAsia="IRNazanin" w:cs="IRNazanin"/>
          <w:lang w:bidi="fa-IR"/>
          <w:color w:val="111111"/>
          <w:sz w:val="28"/>
          <w:szCs w:val="28"/>
          <w:rtl/>
        </w:rPr>
        <w:t xml:space="preserve">1162ه-</w:t>
      </w:r>
    </w:p>
    <w:p>
      <w:pPr>
        <w:pStyle w:val="BookText"/>
      </w:pPr>
      <w:r>
        <w:rPr>
          <w:rFonts w:ascii="Amiri" w:hAnsi="Amiri" w:eastAsia="Amiri" w:cs="Amiri"/>
          <w:lang w:bidi="ar-SA"/>
          <w:color w:val="111111"/>
          <w:sz w:val="28"/>
          <w:szCs w:val="28"/>
          <w:rtl/>
        </w:rPr>
        <w:t xml:space="preserve">1 .اقتحام لجة اللآلي في الكلام على منفرجة الحجة الغزالي، ج 2،</w:t>
      </w:r>
    </w:p>
    <w:p>
      <w:pPr>
        <w:pStyle w:val="BookText"/>
      </w:pPr>
      <w:r>
        <w:rPr>
          <w:rFonts w:ascii="IRNazanin" w:hAnsi="IRNazanin" w:eastAsia="IRNazanin" w:cs="IRNazanin"/>
          <w:lang w:bidi="fa-IR"/>
          <w:color w:val="111111"/>
          <w:sz w:val="28"/>
          <w:szCs w:val="28"/>
          <w:rtl/>
        </w:rPr>
        <w:t xml:space="preserve">ص 611 .</w:t>
      </w:r>
    </w:p>
    <w:p>
      <w:pPr>
        <w:pStyle w:val="BookText"/>
      </w:pPr>
      <w:r>
        <w:rPr>
          <w:rFonts w:ascii="Amiri" w:hAnsi="Amiri" w:eastAsia="Amiri" w:cs="Amiri"/>
          <w:lang w:bidi="ar-SA"/>
          <w:color w:val="111111"/>
          <w:sz w:val="28"/>
          <w:szCs w:val="28"/>
          <w:rtl/>
        </w:rPr>
        <w:t xml:space="preserve">2 .اوراد مبتلي السحر، ج 3، ص 66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بلغة المريد و منتهي الموافق</w:t>
      </w:r>
    </w:p>
    <w:p>
      <w:pPr>
        <w:pStyle w:val="BookText"/>
      </w:pPr>
      <w:r>
        <w:rPr>
          <w:rFonts w:ascii="Amiri" w:hAnsi="Amiri" w:eastAsia="Amiri" w:cs="Amiri"/>
          <w:lang w:bidi="ar-SA"/>
          <w:color w:val="111111"/>
          <w:sz w:val="28"/>
          <w:szCs w:val="28"/>
          <w:rtl/>
        </w:rPr>
        <w:t xml:space="preserve">السعيد، ج 3، ص 394 .</w:t>
      </w:r>
    </w:p>
    <w:p>
      <w:pPr>
        <w:pStyle w:val="BookText"/>
      </w:pPr>
      <w:r>
        <w:rPr>
          <w:rFonts w:ascii="Amiri" w:hAnsi="Amiri" w:eastAsia="Amiri" w:cs="Amiri"/>
          <w:lang w:bidi="ar-SA"/>
          <w:color w:val="111111"/>
          <w:sz w:val="28"/>
          <w:szCs w:val="28"/>
          <w:rtl/>
        </w:rPr>
        <w:t xml:space="preserve">4 .ديوان الروح والأرواح و عنوان الروح و الارواح، ج 7، ص 646.</w:t>
      </w:r>
    </w:p>
    <w:p>
      <w:pPr>
        <w:pStyle w:val="BookText"/>
      </w:pPr>
      <w:r>
        <w:rPr>
          <w:rFonts w:ascii="Amiri" w:hAnsi="Amiri" w:eastAsia="Amiri" w:cs="Amiri"/>
          <w:lang w:bidi="ar-SA"/>
          <w:color w:val="111111"/>
          <w:sz w:val="28"/>
          <w:szCs w:val="28"/>
          <w:rtl/>
        </w:rPr>
        <w:t xml:space="preserve">5 .شرح ورد السحر = الضياء الشمسي على الفتح القدسي، ج 10، ص 324.</w:t>
      </w:r>
    </w:p>
    <w:p>
      <w:pPr>
        <w:pStyle w:val="BookText"/>
      </w:pPr>
      <w:r>
        <w:rPr>
          <w:rFonts w:ascii="Amiri" w:hAnsi="Amiri" w:eastAsia="Amiri" w:cs="Amiri"/>
          <w:lang w:bidi="ar-SA"/>
          <w:color w:val="111111"/>
          <w:sz w:val="28"/>
          <w:szCs w:val="28"/>
          <w:rtl/>
        </w:rPr>
        <w:t xml:space="preserve">6 .صادحة الأزل، ج 10، ص 463.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قصيدة، ج 12، ص 637.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كشط الصدا و غسل الران في زيارة العراق وما والاها من البلدان</w:t>
      </w:r>
    </w:p>
    <w:p>
      <w:pPr>
        <w:pStyle w:val="BookText"/>
      </w:pPr>
      <w:r>
        <w:rPr>
          <w:rFonts w:ascii="IRNazanin" w:hAnsi="IRNazanin" w:eastAsia="IRNazanin" w:cs="IRNazanin"/>
          <w:lang w:bidi="fa-IR"/>
          <w:color w:val="111111"/>
          <w:sz w:val="28"/>
          <w:szCs w:val="28"/>
          <w:rtl/>
        </w:rPr>
        <w:t xml:space="preserve">ج 13، ص 173.</w:t>
      </w:r>
    </w:p>
    <w:p>
      <w:pPr>
        <w:pStyle w:val="BookText"/>
      </w:pPr>
      <w:r>
        <w:rPr>
          <w:rFonts w:ascii="Amiri" w:hAnsi="Amiri" w:eastAsia="Amiri" w:cs="Amiri"/>
          <w:lang w:bidi="ar-SA"/>
          <w:color w:val="111111"/>
          <w:sz w:val="28"/>
          <w:szCs w:val="28"/>
          <w:rtl/>
        </w:rPr>
        <w:t xml:space="preserve">9 .اللمحات الرافعات للتدهيش عن</w:t>
      </w:r>
    </w:p>
    <w:p>
      <w:pPr>
        <w:pStyle w:val="BookText"/>
      </w:pPr>
      <w:r>
        <w:rPr>
          <w:rFonts w:ascii="Amiri" w:hAnsi="Amiri" w:eastAsia="Amiri" w:cs="Amiri"/>
          <w:lang w:bidi="ar-SA"/>
          <w:color w:val="111111"/>
          <w:sz w:val="28"/>
          <w:szCs w:val="28"/>
          <w:rtl/>
        </w:rPr>
        <w:t xml:space="preserve">معاني صلاة ابن مشيش، ج 13،</w:t>
      </w:r>
    </w:p>
    <w:p>
      <w:pPr>
        <w:pStyle w:val="BookText"/>
      </w:pPr>
      <w:r>
        <w:rPr>
          <w:rFonts w:ascii="IRNazanin" w:hAnsi="IRNazanin" w:eastAsia="IRNazanin" w:cs="IRNazanin"/>
          <w:lang w:bidi="fa-IR"/>
          <w:color w:val="111111"/>
          <w:sz w:val="28"/>
          <w:szCs w:val="28"/>
          <w:rtl/>
        </w:rPr>
        <w:t xml:space="preserve">ص 608.</w:t>
      </w:r>
    </w:p>
    <w:p>
      <w:pPr>
        <w:pStyle w:val="BookText"/>
      </w:pPr>
      <w:r>
        <w:rPr>
          <w:rFonts w:ascii="Amiri" w:hAnsi="Amiri" w:eastAsia="Amiri" w:cs="Amiri"/>
          <w:lang w:bidi="ar-SA"/>
          <w:color w:val="111111"/>
          <w:sz w:val="28"/>
          <w:szCs w:val="28"/>
          <w:rtl/>
        </w:rPr>
        <w:t xml:space="preserve">10 .المطلب التام السوي على حزب الامام النووي، ج 14، ص 787.</w:t>
      </w:r>
    </w:p>
    <w:p>
      <w:pPr>
        <w:pStyle w:val="BookText"/>
      </w:pPr>
      <w:r>
        <w:rPr>
          <w:rFonts w:ascii="IRNazanin" w:hAnsi="IRNazanin" w:eastAsia="IRNazanin" w:cs="IRNazanin"/>
          <w:lang w:bidi="fa-IR"/>
          <w:color w:val="111111"/>
          <w:sz w:val="28"/>
          <w:szCs w:val="28"/>
          <w:rtl/>
        </w:rPr>
        <w:t xml:space="preserve">11 .المقامات، ج 15، ص292.</w:t>
      </w:r>
    </w:p>
    <w:p>
      <w:pPr>
        <w:pStyle w:val="BookText"/>
      </w:pPr>
      <w:r>
        <w:rPr>
          <w:rFonts w:ascii="Amiri" w:hAnsi="Amiri" w:eastAsia="Amiri" w:cs="Amiri"/>
          <w:lang w:bidi="ar-SA"/>
          <w:color w:val="111111"/>
          <w:sz w:val="28"/>
          <w:szCs w:val="28"/>
          <w:rtl/>
        </w:rPr>
        <w:t xml:space="preserve">12 .مقامات الكبرى الصديقي، ج 15</w:t>
      </w:r>
    </w:p>
    <w:p>
      <w:pPr>
        <w:pStyle w:val="BookText"/>
      </w:pPr>
      <w:r>
        <w:rPr>
          <w:rFonts w:ascii="IRNazanin" w:hAnsi="IRNazanin" w:eastAsia="IRNazanin" w:cs="IRNazanin"/>
          <w:lang w:bidi="fa-IR"/>
          <w:color w:val="111111"/>
          <w:sz w:val="28"/>
          <w:szCs w:val="28"/>
          <w:rtl/>
        </w:rPr>
        <w:t xml:space="preserve">ص 308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4" w:name="pg7742_69934"/>
    <w:bookmarkEnd w:id="274"/>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المنهج القريب إلى لقاء الحبيب =</w:t>
      </w:r>
    </w:p>
    <w:p>
      <w:pPr>
        <w:pStyle w:val="BookText"/>
      </w:pPr>
      <w:r>
        <w:rPr>
          <w:rFonts w:ascii="Amiri" w:hAnsi="Amiri" w:eastAsia="Amiri" w:cs="Amiri"/>
          <w:lang w:bidi="ar-SA"/>
          <w:color w:val="111111"/>
          <w:sz w:val="28"/>
          <w:szCs w:val="28"/>
          <w:rtl/>
        </w:rPr>
        <w:t xml:space="preserve">الاوراد القدسي و الكشف الانسي</w:t>
      </w:r>
    </w:p>
    <w:p>
      <w:pPr>
        <w:pStyle w:val="BookText"/>
      </w:pPr>
      <w:r>
        <w:rPr>
          <w:rFonts w:ascii="IRNazanin" w:hAnsi="IRNazanin" w:eastAsia="IRNazanin" w:cs="IRNazanin"/>
          <w:lang w:bidi="fa-IR"/>
          <w:color w:val="111111"/>
          <w:sz w:val="28"/>
          <w:szCs w:val="28"/>
          <w:rtl/>
        </w:rPr>
        <w:t xml:space="preserve">ج 15 ، ص 805.</w:t>
      </w:r>
    </w:p>
    <w:p>
      <w:pPr>
        <w:pStyle w:val="BookText"/>
      </w:pPr>
      <w:r>
        <w:rPr>
          <w:rFonts w:ascii="Amiri" w:hAnsi="Amiri" w:eastAsia="Amiri" w:cs="Amiri"/>
          <w:lang w:bidi="ar-SA"/>
          <w:color w:val="111111"/>
          <w:sz w:val="28"/>
          <w:szCs w:val="28"/>
          <w:rtl/>
        </w:rPr>
        <w:t xml:space="preserve">14 .المنهل العذب السائغ الوارده في</w:t>
      </w:r>
    </w:p>
    <w:p>
      <w:pPr>
        <w:pStyle w:val="BookText"/>
      </w:pPr>
      <w:r>
        <w:rPr>
          <w:rFonts w:ascii="Amiri" w:hAnsi="Amiri" w:eastAsia="Amiri" w:cs="Amiri"/>
          <w:lang w:bidi="ar-SA"/>
          <w:color w:val="111111"/>
          <w:sz w:val="28"/>
          <w:szCs w:val="28"/>
          <w:rtl/>
        </w:rPr>
        <w:t xml:space="preserve">ذكر صلوات الطريق و اوراده</w:t>
      </w:r>
    </w:p>
    <w:p>
      <w:pPr>
        <w:pStyle w:val="BookText"/>
      </w:pPr>
      <w:r>
        <w:rPr>
          <w:rFonts w:ascii="IRNazanin" w:hAnsi="IRNazanin" w:eastAsia="IRNazanin" w:cs="IRNazanin"/>
          <w:lang w:bidi="fa-IR"/>
          <w:color w:val="111111"/>
          <w:sz w:val="28"/>
          <w:szCs w:val="28"/>
          <w:rtl/>
        </w:rPr>
        <w:t xml:space="preserve">ج 15، ص 815.</w:t>
      </w:r>
    </w:p>
    <w:p>
      <w:pPr>
        <w:pStyle w:val="BookText"/>
      </w:pPr>
      <w:r>
        <w:rPr>
          <w:rFonts w:ascii="IRNazanin" w:hAnsi="IRNazanin" w:eastAsia="IRNazanin" w:cs="IRNazanin"/>
          <w:lang w:bidi="fa-IR"/>
          <w:color w:val="111111"/>
          <w:sz w:val="28"/>
          <w:szCs w:val="28"/>
          <w:rtl/>
        </w:rPr>
        <w:t xml:space="preserve">15 .ورد الاشراق، ج 16، ص 759.</w:t>
      </w:r>
    </w:p>
    <w:p>
      <w:pPr>
        <w:pStyle w:val="BookText"/>
      </w:pPr>
      <w:r>
        <w:rPr>
          <w:rFonts w:ascii="Amiri" w:hAnsi="Amiri" w:eastAsia="Amiri" w:cs="Amiri"/>
          <w:lang w:bidi="ar-SA"/>
          <w:color w:val="111111"/>
          <w:sz w:val="28"/>
          <w:szCs w:val="28"/>
          <w:rtl/>
        </w:rPr>
        <w:t xml:space="preserve">16 .ورد السحر للطريقة الخلوتية</w:t>
      </w:r>
    </w:p>
    <w:p>
      <w:pPr>
        <w:pStyle w:val="BookText"/>
      </w:pPr>
      <w:r>
        <w:rPr>
          <w:rFonts w:ascii="IRNazanin" w:hAnsi="IRNazanin" w:eastAsia="IRNazanin" w:cs="IRNazanin"/>
          <w:lang w:bidi="fa-IR"/>
          <w:color w:val="111111"/>
          <w:sz w:val="28"/>
          <w:szCs w:val="28"/>
          <w:rtl/>
        </w:rPr>
        <w:t xml:space="preserve">ج 16 ، ص 761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الوصية الجلية للسالكين طريق</w:t>
      </w:r>
    </w:p>
    <w:p>
      <w:pPr>
        <w:pStyle w:val="BookText"/>
      </w:pPr>
      <w:r>
        <w:rPr>
          <w:rFonts w:ascii="Amiri" w:hAnsi="Amiri" w:eastAsia="Amiri" w:cs="Amiri"/>
          <w:lang w:bidi="ar-SA"/>
          <w:color w:val="111111"/>
          <w:sz w:val="28"/>
          <w:szCs w:val="28"/>
          <w:rtl/>
        </w:rPr>
        <w:t xml:space="preserve">الخلوتية، ج 16، ص 815.</w:t>
      </w:r>
    </w:p>
    <w:p>
      <w:pPr>
        <w:pStyle w:val="BookText"/>
      </w:pPr>
      <w:r>
        <w:rPr>
          <w:rFonts w:ascii="Amiri" w:hAnsi="Amiri" w:eastAsia="Amiri" w:cs="Amiri"/>
          <w:lang w:bidi="ar-SA"/>
          <w:color w:val="111111"/>
          <w:sz w:val="28"/>
          <w:szCs w:val="28"/>
          <w:rtl/>
        </w:rPr>
        <w:t xml:space="preserve">بكري موصلي ، علي بن محمّد- شريف</w:t>
      </w:r>
    </w:p>
    <w:p>
      <w:pPr>
        <w:pStyle w:val="BookText"/>
      </w:pPr>
      <w:r>
        <w:rPr>
          <w:rFonts w:ascii="Amiri" w:hAnsi="Amiri" w:eastAsia="Amiri" w:cs="Amiri"/>
          <w:lang w:bidi="ar-SA"/>
          <w:color w:val="111111"/>
          <w:sz w:val="28"/>
          <w:szCs w:val="28"/>
          <w:rtl/>
        </w:rPr>
        <w:t xml:space="preserve">بكري ، علي بن محمّد</w:t>
      </w:r>
    </w:p>
    <w:p>
      <w:pPr>
        <w:pStyle w:val="Heading2"/>
      </w:pPr>
      <w:bookmarkStart w:id="2890" w:name="_Toc1992"/>
      <w:r>
        <w:t>بكري ، نجم الدين</w:t>
      </w:r>
      <w:bookmarkEnd w:id="2890"/>
    </w:p>
    <w:p>
      <w:pPr>
        <w:pStyle w:val="BookText"/>
      </w:pPr>
      <w:r>
        <w:rPr>
          <w:rFonts w:ascii="Amiri" w:hAnsi="Amiri" w:eastAsia="Amiri" w:cs="Amiri"/>
          <w:lang w:bidi="ar-SA"/>
          <w:color w:val="111111"/>
          <w:sz w:val="28"/>
          <w:szCs w:val="28"/>
          <w:rtl/>
        </w:rPr>
        <w:t xml:space="preserve">العبادة (بحث في)، ج 11، ص 14.</w:t>
      </w:r>
    </w:p>
    <w:p>
      <w:pPr>
        <w:pStyle w:val="BookText"/>
      </w:pPr>
      <w:r>
        <w:rPr>
          <w:rFonts w:ascii="IRNazanin" w:hAnsi="IRNazanin" w:eastAsia="IRNazanin" w:cs="IRNazanin"/>
          <w:lang w:bidi="fa-IR"/>
          <w:color w:val="111111"/>
          <w:sz w:val="28"/>
          <w:szCs w:val="28"/>
          <w:rtl/>
        </w:rPr>
        <w:t xml:space="preserve">بكشلو قزويني ، رضا -افشار بکشلو</w:t>
      </w:r>
    </w:p>
    <w:p>
      <w:pPr>
        <w:pStyle w:val="BookText"/>
      </w:pPr>
      <w:r>
        <w:rPr>
          <w:rFonts w:ascii="Amiri" w:hAnsi="Amiri" w:eastAsia="Amiri" w:cs="Amiri"/>
          <w:lang w:bidi="ar-SA"/>
          <w:color w:val="111111"/>
          <w:sz w:val="28"/>
          <w:szCs w:val="28"/>
          <w:rtl/>
        </w:rPr>
        <w:t xml:space="preserve">قزويني ، رضا</w:t>
      </w:r>
    </w:p>
    <w:p>
      <w:pPr>
        <w:pStyle w:val="BookText"/>
      </w:pPr>
      <w:r>
        <w:rPr>
          <w:rFonts w:ascii="Amiri" w:hAnsi="Amiri" w:eastAsia="Amiri" w:cs="Amiri"/>
          <w:lang w:bidi="ar-SA"/>
          <w:color w:val="111111"/>
          <w:sz w:val="28"/>
          <w:szCs w:val="28"/>
          <w:rtl/>
        </w:rPr>
        <w:t xml:space="preserve">بكشلوي ارومي، محمّد حسن- ارومي ،</w:t>
      </w:r>
    </w:p>
    <w:p>
      <w:pPr>
        <w:pStyle w:val="BookText"/>
      </w:pPr>
      <w:r>
        <w:rPr>
          <w:rFonts w:ascii="Amiri" w:hAnsi="Amiri" w:eastAsia="Amiri" w:cs="Amiri"/>
          <w:lang w:bidi="ar-SA"/>
          <w:color w:val="111111"/>
          <w:sz w:val="28"/>
          <w:szCs w:val="28"/>
          <w:rtl/>
        </w:rPr>
        <w:t xml:space="preserve">حسن بن محمّد ولي</w:t>
      </w:r>
    </w:p>
    <w:p>
      <w:pPr>
        <w:pStyle w:val="BookText"/>
      </w:pPr>
      <w:r>
        <w:rPr>
          <w:rFonts w:ascii="Amiri" w:hAnsi="Amiri" w:eastAsia="Amiri" w:cs="Amiri"/>
          <w:lang w:bidi="ar-SA"/>
          <w:color w:val="111111"/>
          <w:sz w:val="28"/>
          <w:szCs w:val="28"/>
          <w:rtl/>
        </w:rPr>
        <w:t xml:space="preserve">بكفالوني ، محمّد بن محمّد -بخشي ،</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بلادي ، علي بن حسن -بحراني ، علي بن حسن</w:t>
      </w:r>
    </w:p>
    <w:p>
      <w:pPr>
        <w:pStyle w:val="Heading2"/>
      </w:pPr>
      <w:bookmarkStart w:id="2891" w:name="_Toc1993"/>
      <w:r>
        <w:t>بلادي بحراني ، حسين بن علي 1302 قرن</w:t>
      </w:r>
      <w:bookmarkEnd w:id="2891"/>
    </w:p>
    <w:p>
      <w:pPr>
        <w:pStyle w:val="BookText"/>
      </w:pPr>
      <w:r>
        <w:rPr>
          <w:rFonts w:ascii="IRNazanin" w:hAnsi="IRNazanin" w:eastAsia="IRNazanin" w:cs="IRNazanin"/>
          <w:lang w:bidi="fa-IR"/>
          <w:color w:val="111111"/>
          <w:sz w:val="28"/>
          <w:szCs w:val="28"/>
          <w:rtl/>
        </w:rPr>
        <w:t xml:space="preserve">14 ه-</w:t>
      </w:r>
    </w:p>
    <w:p>
      <w:pPr>
        <w:pStyle w:val="BookText"/>
      </w:pPr>
      <w:r>
        <w:rPr>
          <w:rFonts w:ascii="Amiri" w:hAnsi="Amiri" w:eastAsia="Amiri" w:cs="Amiri"/>
          <w:lang w:bidi="ar-SA"/>
          <w:color w:val="111111"/>
          <w:sz w:val="28"/>
          <w:szCs w:val="28"/>
          <w:rtl/>
        </w:rPr>
        <w:t xml:space="preserve">1 .اجوبة و فوائد مختلفة، ج1،</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Amiri" w:hAnsi="Amiri" w:eastAsia="Amiri" w:cs="Amiri"/>
          <w:lang w:bidi="ar-SA"/>
          <w:color w:val="111111"/>
          <w:sz w:val="28"/>
          <w:szCs w:val="28"/>
          <w:rtl/>
        </w:rPr>
        <w:t xml:space="preserve">2 .احكام الشك و السهو، ج1، ص474.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الاربعون حديثا، ج 1، ص 710.</w:t>
      </w:r>
    </w:p>
    <w:p>
      <w:pPr>
        <w:pStyle w:val="BookText"/>
      </w:pPr>
      <w:r>
        <w:rPr>
          <w:rFonts w:ascii="Amiri" w:hAnsi="Amiri" w:eastAsia="Amiri" w:cs="Amiri"/>
          <w:lang w:bidi="ar-SA"/>
          <w:color w:val="111111"/>
          <w:sz w:val="28"/>
          <w:szCs w:val="28"/>
          <w:rtl/>
        </w:rPr>
        <w:t xml:space="preserve">4 .ارث الزوجة، ج 1، ص 756.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ترویح خاطر الحزين عن فقد الأقارب سيما البنين ج4، ص 316.</w:t>
      </w:r>
    </w:p>
    <w:p>
      <w:pPr>
        <w:pStyle w:val="BookText"/>
      </w:pPr>
      <w:r>
        <w:rPr>
          <w:rFonts w:ascii="Amiri" w:hAnsi="Amiri" w:eastAsia="Amiri" w:cs="Amiri"/>
          <w:lang w:bidi="ar-SA"/>
          <w:color w:val="111111"/>
          <w:sz w:val="28"/>
          <w:szCs w:val="28"/>
          <w:rtl/>
        </w:rPr>
        <w:t xml:space="preserve">6 .ديوان البحراني، ج 7، ص 588.</w:t>
      </w:r>
    </w:p>
    <w:p>
      <w:pPr>
        <w:pStyle w:val="BookText"/>
      </w:pPr>
      <w:r>
        <w:rPr>
          <w:rFonts w:ascii="Amiri" w:hAnsi="Amiri" w:eastAsia="Amiri" w:cs="Amiri"/>
          <w:lang w:bidi="ar-SA"/>
          <w:color w:val="111111"/>
          <w:sz w:val="28"/>
          <w:szCs w:val="28"/>
          <w:rtl/>
        </w:rPr>
        <w:t xml:space="preserve">7 .فوائد و مسائل و اجازات مختلفة</w:t>
      </w:r>
    </w:p>
    <w:p>
      <w:pPr>
        <w:pStyle w:val="BookText"/>
      </w:pPr>
      <w:r>
        <w:rPr>
          <w:rFonts w:ascii="IRNazanin" w:hAnsi="IRNazanin" w:eastAsia="IRNazanin" w:cs="IRNazanin"/>
          <w:lang w:bidi="fa-IR"/>
          <w:color w:val="111111"/>
          <w:sz w:val="28"/>
          <w:szCs w:val="28"/>
          <w:rtl/>
        </w:rPr>
        <w:t xml:space="preserve">ج 12، ص290.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مناسك الحج (مختصر)، ج 15،</w:t>
      </w:r>
    </w:p>
    <w:p>
      <w:pPr>
        <w:pStyle w:val="BookText"/>
      </w:pPr>
      <w:r>
        <w:rPr>
          <w:rFonts w:ascii="IRNazanin" w:hAnsi="IRNazanin" w:eastAsia="IRNazanin" w:cs="IRNazanin"/>
          <w:lang w:bidi="fa-IR"/>
          <w:color w:val="111111"/>
          <w:sz w:val="28"/>
          <w:szCs w:val="28"/>
          <w:rtl/>
        </w:rPr>
        <w:t xml:space="preserve">ص 505.</w:t>
      </w:r>
    </w:p>
    <w:p>
      <w:pPr>
        <w:pStyle w:val="BookText"/>
      </w:pPr>
      <w:r>
        <w:rPr>
          <w:rFonts w:ascii="Amiri" w:hAnsi="Amiri" w:eastAsia="Amiri" w:cs="Amiri"/>
          <w:lang w:bidi="ar-SA"/>
          <w:color w:val="111111"/>
          <w:sz w:val="28"/>
          <w:szCs w:val="28"/>
          <w:rtl/>
        </w:rPr>
        <w:t xml:space="preserve">9 .منية المرتاد ليوم التناد في الادعية و</w:t>
      </w:r>
    </w:p>
    <w:p>
      <w:pPr>
        <w:pStyle w:val="BookText"/>
      </w:pPr>
      <w:r>
        <w:rPr>
          <w:rFonts w:ascii="IRNazanin" w:hAnsi="IRNazanin" w:eastAsia="IRNazanin" w:cs="IRNazanin"/>
          <w:lang w:bidi="fa-IR"/>
          <w:color w:val="111111"/>
          <w:sz w:val="28"/>
          <w:szCs w:val="28"/>
          <w:rtl/>
        </w:rPr>
        <w:t xml:space="preserve">الاوراد، ج 15 ، ص 830.</w:t>
      </w:r>
    </w:p>
    <w:p>
      <w:pPr>
        <w:pStyle w:val="BookText"/>
      </w:pPr>
      <w:r>
        <w:rPr>
          <w:rFonts w:ascii="Amiri" w:hAnsi="Amiri" w:eastAsia="Amiri" w:cs="Amiri"/>
          <w:lang w:bidi="ar-SA"/>
          <w:color w:val="111111"/>
          <w:sz w:val="28"/>
          <w:szCs w:val="28"/>
          <w:rtl/>
        </w:rPr>
        <w:t xml:space="preserve">بلادي بحراني ، علي بن محمّد</w:t>
      </w:r>
    </w:p>
    <w:p>
      <w:pPr>
        <w:pStyle w:val="BookText"/>
      </w:pPr>
      <w:r>
        <w:rPr>
          <w:rFonts w:ascii="Amiri" w:hAnsi="Amiri" w:eastAsia="Amiri" w:cs="Amiri"/>
          <w:lang w:bidi="ar-SA"/>
          <w:color w:val="111111"/>
          <w:sz w:val="28"/>
          <w:szCs w:val="28"/>
          <w:rtl/>
        </w:rPr>
        <w:t xml:space="preserve">1 .شرح القصيدة الحميرية، ج 9،</w:t>
      </w:r>
    </w:p>
    <w:p>
      <w:pPr>
        <w:pStyle w:val="BookText"/>
      </w:pPr>
      <w:r>
        <w:rPr>
          <w:rFonts w:ascii="IRNazanin" w:hAnsi="IRNazanin" w:eastAsia="IRNazanin" w:cs="IRNazanin"/>
          <w:lang w:bidi="fa-IR"/>
          <w:color w:val="111111"/>
          <w:sz w:val="28"/>
          <w:szCs w:val="28"/>
          <w:rtl/>
        </w:rPr>
        <w:t xml:space="preserve">ص 861.</w:t>
      </w:r>
    </w:p>
    <w:p>
      <w:pPr>
        <w:pStyle w:val="BookText"/>
      </w:pPr>
      <w:r>
        <w:rPr>
          <w:rFonts w:ascii="Amiri" w:hAnsi="Amiri" w:eastAsia="Amiri" w:cs="Amiri"/>
          <w:lang w:bidi="ar-SA"/>
          <w:color w:val="111111"/>
          <w:sz w:val="28"/>
          <w:szCs w:val="28"/>
          <w:rtl/>
        </w:rPr>
        <w:t xml:space="preserve">2 .شرح القصيدة القرارية، ج 9،</w:t>
      </w:r>
    </w:p>
    <w:p>
      <w:pPr>
        <w:pStyle w:val="BookText"/>
      </w:pPr>
      <w:r>
        <w:rPr>
          <w:rFonts w:ascii="IRNazanin" w:hAnsi="IRNazanin" w:eastAsia="IRNazanin" w:cs="IRNazanin"/>
          <w:lang w:bidi="fa-IR"/>
          <w:color w:val="111111"/>
          <w:sz w:val="28"/>
          <w:szCs w:val="28"/>
          <w:rtl/>
        </w:rPr>
        <w:t xml:space="preserve">ص 886.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مناقب أمير المؤمنين (ع)، ج 15،</w:t>
      </w:r>
    </w:p>
    <w:p>
      <w:pPr>
        <w:pStyle w:val="BookText"/>
      </w:pPr>
      <w:r>
        <w:rPr>
          <w:rFonts w:ascii="IRNazanin" w:hAnsi="IRNazanin" w:eastAsia="IRNazanin" w:cs="IRNazanin"/>
          <w:lang w:bidi="fa-IR"/>
          <w:color w:val="111111"/>
          <w:sz w:val="28"/>
          <w:szCs w:val="28"/>
          <w:rtl/>
        </w:rPr>
        <w:t xml:space="preserve">ص 542 .</w:t>
      </w:r>
    </w:p>
    <w:p>
      <w:pPr>
        <w:pStyle w:val="BookText"/>
      </w:pPr>
      <w:r>
        <w:rPr>
          <w:rFonts w:ascii="Amiri" w:hAnsi="Amiri" w:eastAsia="Amiri" w:cs="Amiri"/>
          <w:lang w:bidi="ar-SA"/>
          <w:color w:val="111111"/>
          <w:sz w:val="28"/>
          <w:szCs w:val="28"/>
          <w:rtl/>
        </w:rPr>
        <w:t xml:space="preserve">بلادي ، محمّد بن عبدالله- بحراني بلادي ،</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بلادي ، ياسين بن صلاح الدين- بحراني ،</w:t>
      </w:r>
    </w:p>
    <w:p>
      <w:pPr>
        <w:pStyle w:val="BookText"/>
      </w:pPr>
      <w:r>
        <w:rPr>
          <w:rFonts w:ascii="Amiri" w:hAnsi="Amiri" w:eastAsia="Amiri" w:cs="Amiri"/>
          <w:lang w:bidi="ar-SA"/>
          <w:color w:val="111111"/>
          <w:sz w:val="28"/>
          <w:szCs w:val="28"/>
          <w:rtl/>
        </w:rPr>
        <w:t xml:space="preserve">ياسين بن صلاح الدين</w:t>
      </w:r>
    </w:p>
    <w:p>
      <w:pPr>
        <w:pStyle w:val="Heading2"/>
      </w:pPr>
      <w:bookmarkStart w:id="2892" w:name="_Toc1994"/>
      <w:r>
        <w:t>بلاذري، احمد بن يحيى - 279 ه-</w:t>
      </w:r>
      <w:bookmarkEnd w:id="2892"/>
    </w:p>
    <w:p>
      <w:pPr>
        <w:pStyle w:val="BookText"/>
      </w:pPr>
      <w:r>
        <w:rPr>
          <w:rFonts w:ascii="IRNazanin" w:hAnsi="IRNazanin" w:eastAsia="IRNazanin" w:cs="IRNazanin"/>
          <w:lang w:bidi="fa-IR"/>
          <w:color w:val="111111"/>
          <w:sz w:val="28"/>
          <w:szCs w:val="28"/>
          <w:rtl/>
        </w:rPr>
        <w:t xml:space="preserve">أنساب الأشراف، ج 2، ص 799.</w:t>
      </w:r>
    </w:p>
    <w:p>
      <w:pPr>
        <w:pStyle w:val="Heading2"/>
      </w:pPr>
      <w:bookmarkStart w:id="2893" w:name="_Toc1995"/>
      <w:r>
        <w:t>بلاسي شيرازي حسن بن حمزه - 2698ه-</w:t>
      </w:r>
      <w:bookmarkEnd w:id="2893"/>
    </w:p>
    <w:p>
      <w:pPr>
        <w:pStyle w:val="BookText"/>
      </w:pPr>
      <w:r>
        <w:rPr>
          <w:rFonts w:ascii="Amiri" w:hAnsi="Amiri" w:eastAsia="Amiri" w:cs="Amiri"/>
          <w:lang w:bidi="ar-SA"/>
          <w:color w:val="111111"/>
          <w:sz w:val="28"/>
          <w:szCs w:val="28"/>
          <w:rtl/>
        </w:rPr>
        <w:t xml:space="preserve">1 .تحفة الافراد في معرفة المبدء و</w:t>
      </w:r>
    </w:p>
    <w:p>
      <w:pPr>
        <w:pStyle w:val="BookText"/>
      </w:pPr>
      <w:r>
        <w:rPr>
          <w:rFonts w:ascii="IRNazanin" w:hAnsi="IRNazanin" w:eastAsia="IRNazanin" w:cs="IRNazanin"/>
          <w:lang w:bidi="fa-IR"/>
          <w:color w:val="111111"/>
          <w:sz w:val="28"/>
          <w:szCs w:val="28"/>
          <w:rtl/>
        </w:rPr>
        <w:t xml:space="preserve">المعاد، ج 3، ص 805</w:t>
      </w:r>
    </w:p>
    <w:p>
      <w:pPr>
        <w:pStyle w:val="BookText"/>
      </w:pPr>
      <w:r>
        <w:rPr>
          <w:rFonts w:ascii="Amiri" w:hAnsi="Amiri" w:eastAsia="Amiri" w:cs="Amiri"/>
          <w:lang w:bidi="ar-SA"/>
          <w:color w:val="111111"/>
          <w:sz w:val="28"/>
          <w:szCs w:val="28"/>
          <w:rtl/>
        </w:rPr>
        <w:t xml:space="preserve">2 .التصوف (رسالة في)، ج4، ص 427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5" w:name="pg7742_69936"/>
    <w:bookmarkEnd w:id="275"/>
    <w:p>
      <w:pPr>
        <w:pStyle w:val="Heading2"/>
      </w:pPr>
      <w:bookmarkStart w:id="2894" w:name="_Toc1996"/>
      <w:r>
        <w:t>بلاطنسي ، محمّد بن عبدالله - 863 ه-</w:t>
      </w:r>
      <w:bookmarkEnd w:id="2894"/>
    </w:p>
    <w:p>
      <w:pPr>
        <w:pStyle w:val="BookText"/>
      </w:pPr>
      <w:r>
        <w:rPr>
          <w:rFonts w:ascii="Amiri" w:hAnsi="Amiri" w:eastAsia="Amiri" w:cs="Amiri"/>
          <w:lang w:bidi="ar-SA"/>
          <w:color w:val="111111"/>
          <w:sz w:val="28"/>
          <w:szCs w:val="28"/>
          <w:rtl/>
        </w:rPr>
        <w:t xml:space="preserve">رسالة بالدعاء بالمغفرة للميت الصغير</w:t>
      </w:r>
    </w:p>
    <w:p>
      <w:pPr>
        <w:pStyle w:val="BookText"/>
      </w:pPr>
      <w:r>
        <w:rPr>
          <w:rFonts w:ascii="IRNazanin" w:hAnsi="IRNazanin" w:eastAsia="IRNazanin" w:cs="IRNazanin"/>
          <w:lang w:bidi="fa-IR"/>
          <w:color w:val="111111"/>
          <w:sz w:val="28"/>
          <w:szCs w:val="28"/>
          <w:rtl/>
        </w:rPr>
        <w:t xml:space="preserve">ج 8، ص 174 .</w:t>
      </w:r>
    </w:p>
    <w:p>
      <w:pPr>
        <w:pStyle w:val="Heading2"/>
      </w:pPr>
      <w:bookmarkStart w:id="2895" w:name="_Toc1997"/>
      <w:r>
        <w:t>بلاغي ، عباس بن حسن قرن 12 ه-</w:t>
      </w:r>
      <w:bookmarkEnd w:id="2895"/>
    </w:p>
    <w:p>
      <w:pPr>
        <w:pStyle w:val="BookText"/>
      </w:pPr>
      <w:r>
        <w:rPr>
          <w:rFonts w:ascii="Amiri" w:hAnsi="Amiri" w:eastAsia="Amiri" w:cs="Amiri"/>
          <w:lang w:bidi="ar-SA"/>
          <w:color w:val="111111"/>
          <w:sz w:val="28"/>
          <w:szCs w:val="28"/>
          <w:rtl/>
        </w:rPr>
        <w:t xml:space="preserve">وجوب الجمعة (رسالة في)، ج 16 ،</w:t>
      </w:r>
    </w:p>
    <w:p>
      <w:pPr>
        <w:pStyle w:val="BookText"/>
      </w:pPr>
      <w:r>
        <w:rPr>
          <w:rFonts w:ascii="IRNazanin" w:hAnsi="IRNazanin" w:eastAsia="IRNazanin" w:cs="IRNazanin"/>
          <w:lang w:bidi="fa-IR"/>
          <w:color w:val="111111"/>
          <w:sz w:val="28"/>
          <w:szCs w:val="28"/>
          <w:rtl/>
        </w:rPr>
        <w:t xml:space="preserve">ص 729.</w:t>
      </w:r>
    </w:p>
    <w:p>
      <w:pPr>
        <w:pStyle w:val="Heading2"/>
      </w:pPr>
      <w:bookmarkStart w:id="2896" w:name="_Toc1998"/>
      <w:r>
        <w:t>بلاغي ، محمّد جواد بن حسن 1289 -</w:t>
      </w:r>
      <w:bookmarkEnd w:id="2896"/>
    </w:p>
    <w:p>
      <w:pPr>
        <w:pStyle w:val="BookText"/>
      </w:pPr>
      <w:r>
        <w:rPr>
          <w:rFonts w:ascii="IRNazanin" w:hAnsi="IRNazanin" w:eastAsia="IRNazanin" w:cs="IRNazanin"/>
          <w:lang w:bidi="fa-IR"/>
          <w:color w:val="111111"/>
          <w:sz w:val="28"/>
          <w:szCs w:val="28"/>
          <w:rtl/>
        </w:rPr>
        <w:t xml:space="preserve">1352 ه-</w:t>
      </w:r>
    </w:p>
    <w:p>
      <w:pPr>
        <w:pStyle w:val="BookText"/>
      </w:pPr>
      <w:r>
        <w:rPr>
          <w:rFonts w:ascii="Amiri" w:hAnsi="Amiri" w:eastAsia="Amiri" w:cs="Amiri"/>
          <w:lang w:bidi="ar-SA"/>
          <w:color w:val="111111"/>
          <w:sz w:val="28"/>
          <w:szCs w:val="28"/>
          <w:rtl/>
        </w:rPr>
        <w:t xml:space="preserve">1 .إلزام غير الإمامي بأحكام نحلته</w:t>
      </w:r>
    </w:p>
    <w:p>
      <w:pPr>
        <w:pStyle w:val="BookText"/>
      </w:pPr>
      <w:r>
        <w:rPr>
          <w:rFonts w:ascii="IRNazanin" w:hAnsi="IRNazanin" w:eastAsia="IRNazanin" w:cs="IRNazanin"/>
          <w:lang w:bidi="fa-IR"/>
          <w:color w:val="111111"/>
          <w:sz w:val="28"/>
          <w:szCs w:val="28"/>
          <w:rtl/>
        </w:rPr>
        <w:t xml:space="preserve">ج 2، ص 666.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البداء، ج 3، ص 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بلاغي، ج 7، ص 594.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المعراج، ج 15، ص 26 .</w:t>
      </w:r>
    </w:p>
    <w:p>
      <w:pPr>
        <w:pStyle w:val="Heading2"/>
      </w:pPr>
      <w:bookmarkStart w:id="2897" w:name="_Toc1999"/>
      <w:r>
        <w:t>بلاغي ، محمّد علي</w:t>
      </w:r>
      <w:bookmarkEnd w:id="2897"/>
    </w:p>
    <w:p>
      <w:pPr>
        <w:pStyle w:val="BookText"/>
      </w:pPr>
      <w:r>
        <w:rPr>
          <w:rFonts w:ascii="Amiri" w:hAnsi="Amiri" w:eastAsia="Amiri" w:cs="Amiri"/>
          <w:lang w:bidi="ar-SA"/>
          <w:color w:val="111111"/>
          <w:sz w:val="28"/>
          <w:szCs w:val="28"/>
          <w:rtl/>
        </w:rPr>
        <w:t xml:space="preserve">نكاح والطلاق، ج 16، ص 460.</w:t>
      </w:r>
    </w:p>
    <w:p>
      <w:pPr>
        <w:pStyle w:val="Heading2"/>
      </w:pPr>
      <w:bookmarkStart w:id="2898" w:name="_Toc2000"/>
      <w:r>
        <w:t>بلاغي ، محمّد علي بن عباس قرن 13 ه-</w:t>
      </w:r>
      <w:bookmarkEnd w:id="28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الاقوال، ج 5، ص 253 .</w:t>
      </w:r>
    </w:p>
    <w:p>
      <w:pPr>
        <w:pStyle w:val="BookText"/>
      </w:pPr>
      <w:r>
        <w:rPr>
          <w:rFonts w:ascii="Amiri" w:hAnsi="Amiri" w:eastAsia="Amiri" w:cs="Amiri"/>
          <w:lang w:bidi="ar-SA"/>
          <w:color w:val="111111"/>
          <w:sz w:val="28"/>
          <w:szCs w:val="28"/>
          <w:rtl/>
        </w:rPr>
        <w:t xml:space="preserve">2 .الصلاة والصيد، ج 10، ص 618.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مطارح الانظار و نتائج الافكار</w:t>
      </w:r>
    </w:p>
    <w:p>
      <w:pPr>
        <w:pStyle w:val="BookText"/>
      </w:pPr>
      <w:r>
        <w:rPr>
          <w:rFonts w:ascii="IRNazanin" w:hAnsi="IRNazanin" w:eastAsia="IRNazanin" w:cs="IRNazanin"/>
          <w:lang w:bidi="fa-IR"/>
          <w:color w:val="111111"/>
          <w:sz w:val="28"/>
          <w:szCs w:val="28"/>
          <w:rtl/>
        </w:rPr>
        <w:t xml:space="preserve">ج 14، ص 759.</w:t>
      </w:r>
    </w:p>
    <w:p>
      <w:pPr>
        <w:pStyle w:val="Heading2"/>
      </w:pPr>
      <w:bookmarkStart w:id="2899" w:name="_Toc2001"/>
      <w:r>
        <w:t>بلالي ، محمّد بن علي 750 - 820 ه-</w:t>
      </w:r>
      <w:bookmarkEnd w:id="2899"/>
    </w:p>
    <w:p>
      <w:pPr>
        <w:pStyle w:val="BookText"/>
      </w:pPr>
      <w:r>
        <w:rPr>
          <w:rFonts w:ascii="Amiri" w:hAnsi="Amiri" w:eastAsia="Amiri" w:cs="Amiri"/>
          <w:lang w:bidi="ar-SA"/>
          <w:color w:val="111111"/>
          <w:sz w:val="28"/>
          <w:szCs w:val="28"/>
          <w:rtl/>
        </w:rPr>
        <w:t xml:space="preserve">لطائف الاعلام في اشارات أهل الالهام</w:t>
      </w:r>
    </w:p>
    <w:p>
      <w:pPr>
        <w:pStyle w:val="BookText"/>
      </w:pPr>
      <w:r>
        <w:rPr>
          <w:rFonts w:ascii="IRNazanin" w:hAnsi="IRNazanin" w:eastAsia="IRNazanin" w:cs="IRNazanin"/>
          <w:lang w:bidi="fa-IR"/>
          <w:color w:val="111111"/>
          <w:sz w:val="28"/>
          <w:szCs w:val="28"/>
          <w:rtl/>
        </w:rPr>
        <w:t xml:space="preserve">ج 13، ص 576.</w:t>
      </w:r>
    </w:p>
    <w:p>
      <w:pPr>
        <w:pStyle w:val="Heading2"/>
      </w:pPr>
      <w:bookmarkStart w:id="2900" w:name="_Toc2002"/>
      <w:r>
        <w:t>بلاي ، حسن بن عباس</w:t>
      </w:r>
      <w:bookmarkEnd w:id="2900"/>
    </w:p>
    <w:p>
      <w:pPr>
        <w:pStyle w:val="BookText"/>
      </w:pPr>
      <w:r>
        <w:rPr>
          <w:rFonts w:ascii="Amiri" w:hAnsi="Amiri" w:eastAsia="Amiri" w:cs="Amiri"/>
          <w:lang w:bidi="ar-SA"/>
          <w:color w:val="111111"/>
          <w:sz w:val="28"/>
          <w:szCs w:val="28"/>
          <w:rtl/>
        </w:rPr>
        <w:t xml:space="preserve">الفوائد السنية في شرح العشرية، ج 12،ص 208.</w:t>
      </w:r>
    </w:p>
    <w:p>
      <w:pPr>
        <w:pStyle w:val="Heading2"/>
      </w:pPr>
      <w:bookmarkStart w:id="2901" w:name="_Toc2003"/>
      <w:r>
        <w:t>بلباني جزري ، محمّد</w:t>
      </w:r>
      <w:bookmarkEnd w:id="2901"/>
    </w:p>
    <w:p>
      <w:pPr>
        <w:pStyle w:val="BookText"/>
      </w:pPr>
      <w:r>
        <w:rPr>
          <w:rFonts w:ascii="Amiri" w:hAnsi="Amiri" w:eastAsia="Amiri" w:cs="Amiri"/>
          <w:lang w:bidi="ar-SA"/>
          <w:color w:val="111111"/>
          <w:sz w:val="28"/>
          <w:szCs w:val="28"/>
          <w:rtl/>
        </w:rPr>
        <w:t xml:space="preserve">العقيدة، ج11، ص 196.</w:t>
      </w:r>
    </w:p>
    <w:p>
      <w:pPr>
        <w:pStyle w:val="Heading2"/>
      </w:pPr>
      <w:bookmarkStart w:id="2902" w:name="_Toc2004"/>
      <w:r>
        <w:t>بلباني ، محمّد بن بدرالدين - 1083 ه-</w:t>
      </w:r>
      <w:bookmarkEnd w:id="2902"/>
    </w:p>
    <w:p>
      <w:pPr>
        <w:pStyle w:val="BookText"/>
      </w:pPr>
      <w:r>
        <w:rPr>
          <w:rFonts w:ascii="Amiri" w:hAnsi="Amiri" w:eastAsia="Amiri" w:cs="Amiri"/>
          <w:lang w:bidi="ar-SA"/>
          <w:color w:val="111111"/>
          <w:sz w:val="28"/>
          <w:szCs w:val="28"/>
          <w:rtl/>
        </w:rPr>
        <w:t xml:space="preserve">بغية المستفيد في احكام التجويد، ج3،</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Amiri" w:hAnsi="Amiri" w:eastAsia="Amiri" w:cs="Amiri"/>
          <w:lang w:bidi="ar-SA"/>
          <w:color w:val="111111"/>
          <w:sz w:val="28"/>
          <w:szCs w:val="28"/>
          <w:rtl/>
        </w:rPr>
        <w:t xml:space="preserve">بلباني ، محمّد بن عمر -كفيري ، محمّد بن عمر</w:t>
      </w:r>
    </w:p>
    <w:p>
      <w:pPr>
        <w:pStyle w:val="Heading2"/>
      </w:pPr>
      <w:bookmarkStart w:id="2903" w:name="_Toc2005"/>
      <w:r>
        <w:t>بلبل زاده، علي بن مصطفی قرن 11 ه-</w:t>
      </w:r>
      <w:bookmarkEnd w:id="2903"/>
    </w:p>
    <w:p>
      <w:pPr>
        <w:pStyle w:val="BookText"/>
      </w:pPr>
      <w:r>
        <w:rPr>
          <w:rFonts w:ascii="Amiri" w:hAnsi="Amiri" w:eastAsia="Amiri" w:cs="Amiri"/>
          <w:lang w:bidi="ar-SA"/>
          <w:color w:val="111111"/>
          <w:sz w:val="28"/>
          <w:szCs w:val="28"/>
          <w:rtl/>
        </w:rPr>
        <w:t xml:space="preserve">1 .العقود الدرية في شرح فرائض</w:t>
      </w:r>
    </w:p>
    <w:p>
      <w:pPr>
        <w:pStyle w:val="BookText"/>
      </w:pPr>
      <w:r>
        <w:rPr>
          <w:rFonts w:ascii="Amiri" w:hAnsi="Amiri" w:eastAsia="Amiri" w:cs="Amiri"/>
          <w:lang w:bidi="ar-SA"/>
          <w:color w:val="111111"/>
          <w:sz w:val="28"/>
          <w:szCs w:val="28"/>
          <w:rtl/>
        </w:rPr>
        <w:t xml:space="preserve">الحبرية، ج 11، ص189 .</w:t>
      </w:r>
    </w:p>
    <w:p>
      <w:pPr>
        <w:pStyle w:val="BookText"/>
      </w:pPr>
      <w:r>
        <w:rPr>
          <w:rFonts w:ascii="Amiri" w:hAnsi="Amiri" w:eastAsia="Amiri" w:cs="Amiri"/>
          <w:lang w:bidi="ar-SA"/>
          <w:color w:val="111111"/>
          <w:sz w:val="28"/>
          <w:szCs w:val="28"/>
          <w:rtl/>
        </w:rPr>
        <w:t xml:space="preserve">2 .منهاج المحمدي و الطريق</w:t>
      </w:r>
    </w:p>
    <w:p>
      <w:pPr>
        <w:pStyle w:val="BookText"/>
      </w:pPr>
      <w:r>
        <w:rPr>
          <w:rFonts w:ascii="Amiri" w:hAnsi="Amiri" w:eastAsia="Amiri" w:cs="Amiri"/>
          <w:lang w:bidi="ar-SA"/>
          <w:color w:val="111111"/>
          <w:sz w:val="28"/>
          <w:szCs w:val="28"/>
          <w:rtl/>
        </w:rPr>
        <w:t xml:space="preserve">الاحمدي، ج 15 ، ص 781 .</w:t>
      </w:r>
    </w:p>
    <w:p>
      <w:pPr>
        <w:pStyle w:val="Heading2"/>
      </w:pPr>
      <w:bookmarkStart w:id="2904" w:name="_Toc2006"/>
      <w:r>
        <w:t>بلتساني باكستاني محسن علي، قرن 14 ه-</w:t>
      </w:r>
      <w:bookmarkEnd w:id="29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الصراط السوي في معنى المولى و</w:t>
      </w:r>
    </w:p>
    <w:p>
      <w:pPr>
        <w:pStyle w:val="BookText"/>
      </w:pPr>
      <w:r>
        <w:rPr>
          <w:rFonts w:ascii="Amiri" w:hAnsi="Amiri" w:eastAsia="Amiri" w:cs="Amiri"/>
          <w:lang w:bidi="ar-SA"/>
          <w:color w:val="111111"/>
          <w:sz w:val="28"/>
          <w:szCs w:val="28"/>
          <w:rtl/>
        </w:rPr>
        <w:t xml:space="preserve">الولي، ج 10، ص 542.</w:t>
      </w:r>
    </w:p>
    <w:p>
      <w:pPr>
        <w:pStyle w:val="BookText"/>
      </w:pPr>
      <w:r>
        <w:rPr>
          <w:rFonts w:ascii="Amiri" w:hAnsi="Amiri" w:eastAsia="Amiri" w:cs="Amiri"/>
          <w:lang w:bidi="ar-SA"/>
          <w:color w:val="111111"/>
          <w:sz w:val="28"/>
          <w:szCs w:val="28"/>
          <w:rtl/>
        </w:rPr>
        <w:t xml:space="preserve">2 .فوائد متفرقة، ج 12، ص 267.</w:t>
      </w:r>
    </w:p>
    <w:p>
      <w:pPr>
        <w:pStyle w:val="Heading2"/>
      </w:pPr>
      <w:bookmarkStart w:id="2905" w:name="_Toc2007"/>
      <w:r>
        <w:t>بلخي ، ابراهيم</w:t>
      </w:r>
      <w:bookmarkEnd w:id="2905"/>
    </w:p>
    <w:p>
      <w:pPr>
        <w:pStyle w:val="BookText"/>
      </w:pPr>
      <w:r>
        <w:rPr>
          <w:rFonts w:ascii="IRNazanin" w:hAnsi="IRNazanin" w:eastAsia="IRNazanin" w:cs="IRNazanin"/>
          <w:lang w:bidi="fa-IR"/>
          <w:color w:val="111111"/>
          <w:sz w:val="28"/>
          <w:szCs w:val="28"/>
          <w:rtl/>
        </w:rPr>
        <w:t xml:space="preserve">دیوان ابراهیم بلخي، ج7، ص 510.</w:t>
      </w:r>
    </w:p>
    <w:p>
      <w:pPr>
        <w:pStyle w:val="BookText"/>
      </w:pPr>
      <w:r>
        <w:rPr>
          <w:rFonts w:ascii="Amiri" w:hAnsi="Amiri" w:eastAsia="Amiri" w:cs="Amiri"/>
          <w:lang w:bidi="ar-SA"/>
          <w:color w:val="111111"/>
          <w:sz w:val="28"/>
          <w:szCs w:val="28"/>
          <w:rtl/>
        </w:rPr>
        <w:t xml:space="preserve">بلخي ، ابوالمؤيد -ابوزيد بلخي ، احمد بن</w:t>
      </w:r>
    </w:p>
    <w:p>
      <w:pPr>
        <w:pStyle w:val="BookText"/>
      </w:pPr>
      <w:r>
        <w:rPr>
          <w:rFonts w:ascii="IRNazanin" w:hAnsi="IRNazanin" w:eastAsia="IRNazanin" w:cs="IRNazanin"/>
          <w:lang w:bidi="fa-IR"/>
          <w:color w:val="111111"/>
          <w:sz w:val="28"/>
          <w:szCs w:val="28"/>
          <w:rtl/>
        </w:rPr>
        <w:t xml:space="preserve">سهل</w:t>
      </w:r>
    </w:p>
    <w:p>
      <w:pPr>
        <w:pStyle w:val="BookText"/>
      </w:pPr>
      <w:r>
        <w:rPr>
          <w:rFonts w:ascii="Amiri" w:hAnsi="Amiri" w:eastAsia="Amiri" w:cs="Amiri"/>
          <w:lang w:bidi="ar-SA"/>
          <w:color w:val="111111"/>
          <w:sz w:val="28"/>
          <w:szCs w:val="28"/>
          <w:rtl/>
        </w:rPr>
        <w:t xml:space="preserve">بلخي ، احمد بن سهل -ابوزيد بلخي ،</w:t>
      </w:r>
    </w:p>
    <w:p>
      <w:pPr>
        <w:pStyle w:val="BookText"/>
      </w:pPr>
      <w:r>
        <w:rPr>
          <w:rFonts w:ascii="IRNazanin" w:hAnsi="IRNazanin" w:eastAsia="IRNazanin" w:cs="IRNazanin"/>
          <w:lang w:bidi="fa-IR"/>
          <w:color w:val="111111"/>
          <w:sz w:val="28"/>
          <w:szCs w:val="28"/>
          <w:rtl/>
        </w:rPr>
        <w:t xml:space="preserve">احمد بن سهل</w:t>
      </w:r>
    </w:p>
    <w:p>
      <w:pPr>
        <w:pStyle w:val="BookText"/>
      </w:pPr>
      <w:r>
        <w:rPr>
          <w:rFonts w:ascii="Amiri" w:hAnsi="Amiri" w:eastAsia="Amiri" w:cs="Amiri"/>
          <w:lang w:bidi="ar-SA"/>
          <w:color w:val="111111"/>
          <w:sz w:val="28"/>
          <w:szCs w:val="28"/>
          <w:rtl/>
        </w:rPr>
        <w:t xml:space="preserve">بلخي ، جعفر بن محمّد -ابو معشر فلكي</w:t>
      </w:r>
    </w:p>
    <w:p>
      <w:pPr>
        <w:pStyle w:val="BookText"/>
      </w:pPr>
      <w:r>
        <w:rPr>
          <w:rFonts w:ascii="IRNazanin" w:hAnsi="IRNazanin" w:eastAsia="IRNazanin" w:cs="IRNazanin"/>
          <w:lang w:bidi="fa-IR"/>
          <w:color w:val="111111"/>
          <w:sz w:val="28"/>
          <w:szCs w:val="28"/>
          <w:rtl/>
        </w:rPr>
        <w:t xml:space="preserve">جعفر بن محمّد</w:t>
      </w:r>
    </w:p>
    <w:p>
      <w:pPr>
        <w:pStyle w:val="BookText"/>
      </w:pPr>
      <w:r>
        <w:rPr>
          <w:rFonts w:ascii="Amiri" w:hAnsi="Amiri" w:eastAsia="Amiri" w:cs="Amiri"/>
          <w:lang w:bidi="ar-SA"/>
          <w:color w:val="111111"/>
          <w:sz w:val="28"/>
          <w:szCs w:val="28"/>
          <w:rtl/>
        </w:rPr>
        <w:t xml:space="preserve">بلخي ، جلال الدين محمّد -مولوي ، جلال</w:t>
      </w:r>
    </w:p>
    <w:p>
      <w:pPr>
        <w:pStyle w:val="BookText"/>
      </w:pPr>
      <w:r>
        <w:rPr>
          <w:rFonts w:ascii="Amiri" w:hAnsi="Amiri" w:eastAsia="Amiri" w:cs="Amiri"/>
          <w:lang w:bidi="ar-SA"/>
          <w:color w:val="111111"/>
          <w:sz w:val="28"/>
          <w:szCs w:val="28"/>
          <w:rtl/>
        </w:rPr>
        <w:t xml:space="preserve">الدین محمّد بن محمّد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6" w:name="pg7742_69938"/>
    <w:bookmarkEnd w:id="276"/>
    <w:p>
      <w:pPr>
        <w:pStyle w:val="BookText"/>
      </w:pPr>
      <w:r>
        <w:rPr>
          <w:rFonts w:ascii="Amiri" w:hAnsi="Amiri" w:eastAsia="Amiri" w:cs="Amiri"/>
          <w:lang w:bidi="ar-SA"/>
          <w:color w:val="111111"/>
          <w:sz w:val="28"/>
          <w:szCs w:val="28"/>
          <w:rtl/>
        </w:rPr>
        <w:t xml:space="preserve">بلخي ، حسين بن محمّد- ابن خسرو</w:t>
      </w:r>
    </w:p>
    <w:p>
      <w:pPr>
        <w:pStyle w:val="BookText"/>
      </w:pPr>
      <w:r>
        <w:rPr>
          <w:rFonts w:ascii="Amiri" w:hAnsi="Amiri" w:eastAsia="Amiri" w:cs="Amiri"/>
          <w:lang w:bidi="ar-SA"/>
          <w:color w:val="111111"/>
          <w:sz w:val="28"/>
          <w:szCs w:val="28"/>
          <w:rtl/>
        </w:rPr>
        <w:t xml:space="preserve">بلخي ، حسين بن محمّد</w:t>
      </w:r>
    </w:p>
    <w:p>
      <w:pPr>
        <w:pStyle w:val="Heading2"/>
      </w:pPr>
      <w:bookmarkStart w:id="2906" w:name="_Toc2008"/>
      <w:r>
        <w:t>بلخي ، شهريار بن محمّد یار قرن 12 ه-</w:t>
      </w:r>
      <w:bookmarkEnd w:id="2906"/>
    </w:p>
    <w:p>
      <w:pPr>
        <w:pStyle w:val="BookText"/>
      </w:pPr>
      <w:r>
        <w:rPr>
          <w:rFonts w:ascii="Amiri" w:hAnsi="Amiri" w:eastAsia="Amiri" w:cs="Amiri"/>
          <w:lang w:bidi="ar-SA"/>
          <w:color w:val="111111"/>
          <w:sz w:val="28"/>
          <w:szCs w:val="28"/>
          <w:rtl/>
        </w:rPr>
        <w:t xml:space="preserve">سراج التأويل في شرح انوار التنزيل،</w:t>
      </w:r>
    </w:p>
    <w:p>
      <w:pPr>
        <w:pStyle w:val="BookText"/>
      </w:pPr>
      <w:r>
        <w:rPr>
          <w:rFonts w:ascii="IRNazanin" w:hAnsi="IRNazanin" w:eastAsia="IRNazanin" w:cs="IRNazanin"/>
          <w:lang w:bidi="fa-IR"/>
          <w:color w:val="111111"/>
          <w:sz w:val="28"/>
          <w:szCs w:val="28"/>
          <w:rtl/>
        </w:rPr>
        <w:t xml:space="preserve">ج 8، ص 727</w:t>
      </w:r>
    </w:p>
    <w:p>
      <w:pPr>
        <w:pStyle w:val="Heading2"/>
      </w:pPr>
      <w:bookmarkStart w:id="2907" w:name="_Toc2009"/>
      <w:r>
        <w:t>بلخي ، عبدالله بن محمّد قلي</w:t>
      </w:r>
      <w:bookmarkEnd w:id="2907"/>
    </w:p>
    <w:p>
      <w:pPr>
        <w:pStyle w:val="BookText"/>
      </w:pPr>
      <w:r>
        <w:rPr>
          <w:rFonts w:ascii="Amiri" w:hAnsi="Amiri" w:eastAsia="Amiri" w:cs="Amiri"/>
          <w:lang w:bidi="ar-SA"/>
          <w:color w:val="111111"/>
          <w:sz w:val="28"/>
          <w:szCs w:val="28"/>
          <w:rtl/>
        </w:rPr>
        <w:t xml:space="preserve">التحفة الوفية بحل الفاظ الآجرومية</w:t>
      </w:r>
    </w:p>
    <w:p>
      <w:pPr>
        <w:pStyle w:val="BookText"/>
      </w:pPr>
      <w:r>
        <w:rPr>
          <w:rFonts w:ascii="IRNazanin" w:hAnsi="IRNazanin" w:eastAsia="IRNazanin" w:cs="IRNazanin"/>
          <w:lang w:bidi="fa-IR"/>
          <w:color w:val="111111"/>
          <w:sz w:val="28"/>
          <w:szCs w:val="28"/>
          <w:rtl/>
        </w:rPr>
        <w:t xml:space="preserve">ج 4، ص 40 .</w:t>
      </w:r>
    </w:p>
    <w:p>
      <w:pPr>
        <w:pStyle w:val="Heading2"/>
      </w:pPr>
      <w:bookmarkStart w:id="2908" w:name="_Toc2010"/>
      <w:r>
        <w:t>بلخي ، علي بن احمد قرن 4 ه-</w:t>
      </w:r>
      <w:bookmarkEnd w:id="2908"/>
    </w:p>
    <w:p>
      <w:pPr>
        <w:pStyle w:val="BookText"/>
      </w:pPr>
      <w:r>
        <w:rPr>
          <w:rFonts w:ascii="Amiri" w:hAnsi="Amiri" w:eastAsia="Amiri" w:cs="Amiri"/>
          <w:lang w:bidi="ar-SA"/>
          <w:color w:val="111111"/>
          <w:sz w:val="28"/>
          <w:szCs w:val="28"/>
          <w:rtl/>
        </w:rPr>
        <w:t xml:space="preserve">1 .المدخل في علم النجوم، ج 14،</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مطالع النجوم، ج 14، ص 784.</w:t>
      </w:r>
    </w:p>
    <w:p>
      <w:pPr>
        <w:pStyle w:val="BookText"/>
      </w:pPr>
      <w:r>
        <w:rPr>
          <w:rFonts w:ascii="IRNazanin" w:hAnsi="IRNazanin" w:eastAsia="IRNazanin" w:cs="IRNazanin"/>
          <w:lang w:bidi="fa-IR"/>
          <w:color w:val="111111"/>
          <w:sz w:val="28"/>
          <w:szCs w:val="28"/>
          <w:rtl/>
        </w:rPr>
        <w:t xml:space="preserve">بلخي ، عمر بن محمود -حمیدالدین</w:t>
      </w:r>
    </w:p>
    <w:p>
      <w:pPr>
        <w:pStyle w:val="BookText"/>
      </w:pPr>
      <w:r>
        <w:rPr>
          <w:rFonts w:ascii="Amiri" w:hAnsi="Amiri" w:eastAsia="Amiri" w:cs="Amiri"/>
          <w:lang w:bidi="ar-SA"/>
          <w:color w:val="111111"/>
          <w:sz w:val="28"/>
          <w:szCs w:val="28"/>
          <w:rtl/>
        </w:rPr>
        <w:t xml:space="preserve">بلخي ، عمر بن محمود</w:t>
      </w:r>
    </w:p>
    <w:p>
      <w:pPr>
        <w:pStyle w:val="Heading2"/>
      </w:pPr>
      <w:bookmarkStart w:id="2909" w:name="_Toc2011"/>
      <w:r>
        <w:t>بلخي ، محمّد بن عثمان - 830 ه-</w:t>
      </w:r>
      <w:bookmarkEnd w:id="2909"/>
    </w:p>
    <w:p>
      <w:pPr>
        <w:pStyle w:val="BookText"/>
      </w:pPr>
      <w:r>
        <w:rPr>
          <w:rFonts w:ascii="Amiri" w:hAnsi="Amiri" w:eastAsia="Amiri" w:cs="Amiri"/>
          <w:lang w:bidi="ar-SA"/>
          <w:color w:val="111111"/>
          <w:sz w:val="28"/>
          <w:szCs w:val="28"/>
          <w:rtl/>
        </w:rPr>
        <w:t xml:space="preserve">عين العلم و زين الحلم، ج11،</w:t>
      </w:r>
    </w:p>
    <w:p>
      <w:pPr>
        <w:pStyle w:val="BookText"/>
      </w:pPr>
      <w:r>
        <w:rPr>
          <w:rFonts w:ascii="IRNazanin" w:hAnsi="IRNazanin" w:eastAsia="IRNazanin" w:cs="IRNazanin"/>
          <w:lang w:bidi="fa-IR"/>
          <w:color w:val="111111"/>
          <w:sz w:val="28"/>
          <w:szCs w:val="28"/>
          <w:rtl/>
        </w:rPr>
        <w:t xml:space="preserve">ص 380.</w:t>
      </w:r>
    </w:p>
    <w:p>
      <w:pPr>
        <w:pStyle w:val="Heading2"/>
      </w:pPr>
      <w:bookmarkStart w:id="2910" w:name="_Toc2012"/>
      <w:r>
        <w:t>بلخي ، يعقوب بن علي، - 931 ه-</w:t>
      </w:r>
      <w:bookmarkEnd w:id="29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اعراب ديباجة المصباح، ج2،</w:t>
      </w:r>
    </w:p>
    <w:p>
      <w:pPr>
        <w:pStyle w:val="BookText"/>
      </w:pPr>
      <w:r>
        <w:rPr>
          <w:rFonts w:ascii="IRNazanin" w:hAnsi="IRNazanin" w:eastAsia="IRNazanin" w:cs="IRNazanin"/>
          <w:lang w:bidi="fa-IR"/>
          <w:color w:val="111111"/>
          <w:sz w:val="28"/>
          <w:szCs w:val="28"/>
          <w:rtl/>
        </w:rPr>
        <w:t xml:space="preserve">ص 534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اعراب ديباجة المصباح، ج 9،</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شرح ديباجة المصباح، ج 9،</w:t>
      </w:r>
    </w:p>
    <w:p>
      <w:pPr>
        <w:pStyle w:val="BookText"/>
      </w:pPr>
      <w:r>
        <w:rPr>
          <w:rFonts w:ascii="IRNazanin" w:hAnsi="IRNazanin" w:eastAsia="IRNazanin" w:cs="IRNazanin"/>
          <w:lang w:bidi="fa-IR"/>
          <w:color w:val="111111"/>
          <w:sz w:val="28"/>
          <w:szCs w:val="28"/>
          <w:rtl/>
        </w:rPr>
        <w:t xml:space="preserve">ص 633.</w:t>
      </w:r>
    </w:p>
    <w:p>
      <w:pPr>
        <w:pStyle w:val="BookText"/>
      </w:pPr>
      <w:r>
        <w:rPr>
          <w:rFonts w:ascii="IRNazanin" w:hAnsi="IRNazanin" w:eastAsia="IRNazanin" w:cs="IRNazanin"/>
          <w:lang w:bidi="fa-IR"/>
          <w:color w:val="111111"/>
          <w:sz w:val="28"/>
          <w:szCs w:val="28"/>
          <w:rtl/>
        </w:rPr>
        <w:t xml:space="preserve">4 .شرح گلستان السعدي، ج 10،</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Amiri" w:hAnsi="Amiri" w:eastAsia="Amiri" w:cs="Amiri"/>
          <w:lang w:bidi="ar-SA"/>
          <w:color w:val="111111"/>
          <w:sz w:val="28"/>
          <w:szCs w:val="28"/>
          <w:rtl/>
        </w:rPr>
        <w:t xml:space="preserve">5 .مفاتيح الجنان و مصابيح الجنان -</w:t>
      </w:r>
    </w:p>
    <w:p>
      <w:pPr>
        <w:pStyle w:val="BookText"/>
      </w:pPr>
      <w:r>
        <w:rPr>
          <w:rFonts w:ascii="Amiri" w:hAnsi="Amiri" w:eastAsia="Amiri" w:cs="Amiri"/>
          <w:lang w:bidi="ar-SA"/>
          <w:color w:val="111111"/>
          <w:sz w:val="28"/>
          <w:szCs w:val="28"/>
          <w:rtl/>
        </w:rPr>
        <w:t xml:space="preserve">شرح شرعة الاسلام، ج 15 ، ص 151.</w:t>
      </w:r>
    </w:p>
    <w:p>
      <w:pPr>
        <w:pStyle w:val="BookText"/>
      </w:pPr>
      <w:r>
        <w:rPr>
          <w:rFonts w:ascii="Amiri" w:hAnsi="Amiri" w:eastAsia="Amiri" w:cs="Amiri"/>
          <w:lang w:bidi="ar-SA"/>
          <w:color w:val="111111"/>
          <w:sz w:val="28"/>
          <w:szCs w:val="28"/>
          <w:rtl/>
        </w:rPr>
        <w:t xml:space="preserve">بلدجي ، عبدالله بن محمود -ابن بلدجي ،</w:t>
      </w:r>
    </w:p>
    <w:p>
      <w:pPr>
        <w:pStyle w:val="BookText"/>
      </w:pPr>
      <w:r>
        <w:rPr>
          <w:rFonts w:ascii="IRNazanin" w:hAnsi="IRNazanin" w:eastAsia="IRNazanin" w:cs="IRNazanin"/>
          <w:lang w:bidi="fa-IR"/>
          <w:color w:val="111111"/>
          <w:sz w:val="28"/>
          <w:szCs w:val="28"/>
          <w:rtl/>
        </w:rPr>
        <w:t xml:space="preserve">عبدالله بن محمود</w:t>
      </w:r>
    </w:p>
    <w:p>
      <w:pPr>
        <w:pStyle w:val="BookText"/>
      </w:pPr>
      <w:r>
        <w:rPr>
          <w:rFonts w:ascii="Amiri" w:hAnsi="Amiri" w:eastAsia="Amiri" w:cs="Amiri"/>
          <w:lang w:bidi="ar-SA"/>
          <w:color w:val="111111"/>
          <w:sz w:val="28"/>
          <w:szCs w:val="28"/>
          <w:rtl/>
        </w:rPr>
        <w:t xml:space="preserve">بلشي ، احمد بن حسن بن زيات- ابن</w:t>
      </w:r>
    </w:p>
    <w:p>
      <w:pPr>
        <w:pStyle w:val="BookText"/>
      </w:pPr>
      <w:r>
        <w:rPr>
          <w:rFonts w:ascii="Amiri" w:hAnsi="Amiri" w:eastAsia="Amiri" w:cs="Amiri"/>
          <w:lang w:bidi="ar-SA"/>
          <w:color w:val="111111"/>
          <w:sz w:val="28"/>
          <w:szCs w:val="28"/>
          <w:rtl/>
        </w:rPr>
        <w:t xml:space="preserve">زيات ، احمد بن حسن</w:t>
      </w:r>
    </w:p>
    <w:p>
      <w:pPr>
        <w:pStyle w:val="Heading2"/>
      </w:pPr>
      <w:bookmarkStart w:id="2911" w:name="_Toc2013"/>
      <w:r>
        <w:t>بلطي ، عثمان بن عيسى - 599 ه-</w:t>
      </w:r>
      <w:bookmarkEnd w:id="2911"/>
    </w:p>
    <w:p>
      <w:pPr>
        <w:pStyle w:val="BookText"/>
      </w:pPr>
      <w:r>
        <w:rPr>
          <w:rFonts w:ascii="Amiri" w:hAnsi="Amiri" w:eastAsia="Amiri" w:cs="Amiri"/>
          <w:lang w:bidi="ar-SA"/>
          <w:color w:val="111111"/>
          <w:sz w:val="28"/>
          <w:szCs w:val="28"/>
          <w:rtl/>
        </w:rPr>
        <w:t xml:space="preserve">1 .شرح قصيدة الحرباوية، ج 9،</w:t>
      </w:r>
    </w:p>
    <w:p>
      <w:pPr>
        <w:pStyle w:val="BookText"/>
      </w:pPr>
      <w:r>
        <w:rPr>
          <w:rFonts w:ascii="IRNazanin" w:hAnsi="IRNazanin" w:eastAsia="IRNazanin" w:cs="IRNazanin"/>
          <w:lang w:bidi="fa-IR"/>
          <w:color w:val="111111"/>
          <w:sz w:val="28"/>
          <w:szCs w:val="28"/>
          <w:rtl/>
        </w:rPr>
        <w:t xml:space="preserve">ص 859.</w:t>
      </w:r>
    </w:p>
    <w:p>
      <w:pPr>
        <w:pStyle w:val="BookText"/>
      </w:pPr>
      <w:r>
        <w:rPr>
          <w:rFonts w:ascii="Amiri" w:hAnsi="Amiri" w:eastAsia="Amiri" w:cs="Amiri"/>
          <w:lang w:bidi="ar-SA"/>
          <w:color w:val="111111"/>
          <w:sz w:val="28"/>
          <w:szCs w:val="28"/>
          <w:rtl/>
        </w:rPr>
        <w:t xml:space="preserve">2 .القصيدة الجرباوية، ج 12، ص 663 .</w:t>
      </w:r>
    </w:p>
    <w:p>
      <w:pPr>
        <w:pStyle w:val="BookText"/>
      </w:pPr>
      <w:r>
        <w:rPr>
          <w:rFonts w:ascii="IRNazanin" w:hAnsi="IRNazanin" w:eastAsia="IRNazanin" w:cs="IRNazanin"/>
          <w:lang w:bidi="fa-IR"/>
          <w:color w:val="111111"/>
          <w:sz w:val="28"/>
          <w:szCs w:val="28"/>
          <w:rtl/>
        </w:rPr>
        <w:t xml:space="preserve">بلغاري، برهان الدين بن كمال الدين حمید- برهان الدين بن كمال الدين حميد</w:t>
      </w:r>
    </w:p>
    <w:p>
      <w:pPr>
        <w:pStyle w:val="Heading2"/>
      </w:pPr>
      <w:bookmarkStart w:id="2912" w:name="_Toc2014"/>
      <w:r>
        <w:t>بلغرادي، خليل باشا</w:t>
      </w:r>
      <w:bookmarkEnd w:id="2912"/>
    </w:p>
    <w:p>
      <w:pPr>
        <w:pStyle w:val="BookText"/>
      </w:pPr>
      <w:r>
        <w:rPr>
          <w:rFonts w:ascii="Amiri" w:hAnsi="Amiri" w:eastAsia="Amiri" w:cs="Amiri"/>
          <w:lang w:bidi="ar-SA"/>
          <w:color w:val="111111"/>
          <w:sz w:val="28"/>
          <w:szCs w:val="28"/>
          <w:rtl/>
        </w:rPr>
        <w:t xml:space="preserve">مسائل الخلاف بين الاشعري و الماتريدي (رسالة في)، ج 14، ص 446.</w:t>
      </w:r>
    </w:p>
    <w:p>
      <w:pPr>
        <w:pStyle w:val="Heading2"/>
      </w:pPr>
      <w:bookmarkStart w:id="2913" w:name="_Toc2015"/>
      <w:r>
        <w:t>بلقاوي ، عبدالرحمن بن حجي</w:t>
      </w:r>
      <w:bookmarkEnd w:id="2913"/>
    </w:p>
    <w:p>
      <w:pPr>
        <w:pStyle w:val="BookText"/>
      </w:pPr>
      <w:r>
        <w:rPr>
          <w:rFonts w:ascii="Amiri" w:hAnsi="Amiri" w:eastAsia="Amiri" w:cs="Amiri"/>
          <w:lang w:bidi="ar-SA"/>
          <w:color w:val="111111"/>
          <w:sz w:val="28"/>
          <w:szCs w:val="28"/>
          <w:rtl/>
        </w:rPr>
        <w:t xml:space="preserve">المفتاح الالي في فك القفل الكلي، ج 15،</w:t>
      </w:r>
    </w:p>
    <w:p>
      <w:pPr>
        <w:pStyle w:val="BookText"/>
      </w:pPr>
      <w:r>
        <w:rPr>
          <w:rFonts w:ascii="IRNazanin" w:hAnsi="IRNazanin" w:eastAsia="IRNazanin" w:cs="IRNazanin"/>
          <w:lang w:bidi="fa-IR"/>
          <w:color w:val="111111"/>
          <w:sz w:val="28"/>
          <w:szCs w:val="28"/>
          <w:rtl/>
        </w:rPr>
        <w:t xml:space="preserve">ص 185 .</w:t>
      </w:r>
    </w:p>
    <w:p>
      <w:pPr>
        <w:pStyle w:val="Heading2"/>
      </w:pPr>
      <w:bookmarkStart w:id="2914" w:name="_Toc2016"/>
      <w:r>
        <w:t>بلقيني ، سراج الدين</w:t>
      </w:r>
      <w:bookmarkEnd w:id="2914"/>
    </w:p>
    <w:p>
      <w:pPr>
        <w:pStyle w:val="BookText"/>
      </w:pPr>
      <w:r>
        <w:rPr>
          <w:rFonts w:ascii="Amiri" w:hAnsi="Amiri" w:eastAsia="Amiri" w:cs="Amiri"/>
          <w:lang w:bidi="ar-SA"/>
          <w:color w:val="111111"/>
          <w:sz w:val="28"/>
          <w:szCs w:val="28"/>
          <w:rtl/>
        </w:rPr>
        <w:t xml:space="preserve">المشكاة الزجاجية في شرح المنظومة</w:t>
      </w:r>
    </w:p>
    <w:p>
      <w:pPr>
        <w:pStyle w:val="BookText"/>
      </w:pPr>
      <w:r>
        <w:rPr>
          <w:rFonts w:ascii="Amiri" w:hAnsi="Amiri" w:eastAsia="Amiri" w:cs="Amiri"/>
          <w:lang w:bidi="ar-SA"/>
          <w:color w:val="111111"/>
          <w:sz w:val="28"/>
          <w:szCs w:val="28"/>
          <w:rtl/>
        </w:rPr>
        <w:t xml:space="preserve">السراجية، ج 14، ص 636.</w:t>
      </w:r>
    </w:p>
    <w:p>
      <w:pPr>
        <w:pStyle w:val="Heading2"/>
      </w:pPr>
      <w:bookmarkStart w:id="2915" w:name="_Toc2017"/>
      <w:r>
        <w:t>بلقيني ، صالح بن عمر، - 868 ه-</w:t>
      </w:r>
      <w:bookmarkEnd w:id="2915"/>
    </w:p>
    <w:p>
      <w:pPr>
        <w:pStyle w:val="BookText"/>
      </w:pPr>
      <w:r>
        <w:rPr>
          <w:rFonts w:ascii="Amiri" w:hAnsi="Amiri" w:eastAsia="Amiri" w:cs="Amiri"/>
          <w:lang w:bidi="ar-SA"/>
          <w:color w:val="111111"/>
          <w:sz w:val="28"/>
          <w:szCs w:val="28"/>
          <w:rtl/>
        </w:rPr>
        <w:t xml:space="preserve">1 .التجرد و الاهتمام بجمع فتاوى الوالد شيخ الاسلام، ج 3، ص 683 .</w:t>
      </w:r>
    </w:p>
    <w:p>
      <w:pPr>
        <w:pStyle w:val="BookText"/>
      </w:pPr>
      <w:r>
        <w:rPr>
          <w:rFonts w:ascii="Amiri" w:hAnsi="Amiri" w:eastAsia="Amiri" w:cs="Amiri"/>
          <w:lang w:bidi="ar-SA"/>
          <w:color w:val="111111"/>
          <w:sz w:val="28"/>
          <w:szCs w:val="28"/>
          <w:rtl/>
        </w:rPr>
        <w:t xml:space="preserve">2 .تحفة اليقظان في ليلة النصف من</w:t>
      </w:r>
    </w:p>
    <w:p>
      <w:pPr>
        <w:pStyle w:val="BookText"/>
      </w:pPr>
      <w:r>
        <w:rPr>
          <w:rFonts w:ascii="IRNazanin" w:hAnsi="IRNazanin" w:eastAsia="IRNazanin" w:cs="IRNazanin"/>
          <w:lang w:bidi="fa-IR"/>
          <w:color w:val="111111"/>
          <w:sz w:val="28"/>
          <w:szCs w:val="28"/>
          <w:rtl/>
        </w:rPr>
        <w:t xml:space="preserve">شعبان، ج 4، ص 40.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7" w:name="pg7742_69940"/>
    <w:bookmarkEnd w:id="277"/>
    <w:p>
      <w:pPr>
        <w:pStyle w:val="Heading2"/>
      </w:pPr>
      <w:bookmarkStart w:id="2916" w:name="_Toc2018"/>
      <w:r>
        <w:t>بلقيني، عبدالرحمن بن عمر 763-824ه-</w:t>
      </w:r>
      <w:bookmarkEnd w:id="2916"/>
    </w:p>
    <w:p>
      <w:pPr>
        <w:pStyle w:val="BookText"/>
      </w:pPr>
      <w:r>
        <w:rPr>
          <w:rFonts w:ascii="Amiri" w:hAnsi="Amiri" w:eastAsia="Amiri" w:cs="Amiri"/>
          <w:lang w:bidi="ar-SA"/>
          <w:color w:val="111111"/>
          <w:sz w:val="28"/>
          <w:szCs w:val="28"/>
          <w:rtl/>
        </w:rPr>
        <w:t xml:space="preserve">1 .الافهام لما في البخاري من الابهام</w:t>
      </w:r>
    </w:p>
    <w:p>
      <w:pPr>
        <w:pStyle w:val="BookText"/>
      </w:pPr>
      <w:r>
        <w:rPr>
          <w:rFonts w:ascii="IRNazanin" w:hAnsi="IRNazanin" w:eastAsia="IRNazanin" w:cs="IRNazanin"/>
          <w:lang w:bidi="fa-IR"/>
          <w:color w:val="111111"/>
          <w:sz w:val="28"/>
          <w:szCs w:val="28"/>
          <w:rtl/>
        </w:rPr>
        <w:t xml:space="preserve">ج 2، ص 605.</w:t>
      </w:r>
    </w:p>
    <w:p>
      <w:pPr>
        <w:pStyle w:val="BookText"/>
      </w:pPr>
      <w:r>
        <w:rPr>
          <w:rFonts w:ascii="Amiri" w:hAnsi="Amiri" w:eastAsia="Amiri" w:cs="Amiri"/>
          <w:lang w:bidi="ar-SA"/>
          <w:color w:val="111111"/>
          <w:sz w:val="28"/>
          <w:szCs w:val="28"/>
          <w:rtl/>
        </w:rPr>
        <w:t xml:space="preserve">2 .تقريض، ج4، ص778.</w:t>
      </w:r>
    </w:p>
    <w:p>
      <w:pPr>
        <w:pStyle w:val="Heading2"/>
      </w:pPr>
      <w:bookmarkStart w:id="2917" w:name="_Toc2019"/>
      <w:r>
        <w:t>بلقيني ، عمر بن رسلان 724 - 805ه-</w:t>
      </w:r>
      <w:bookmarkEnd w:id="2917"/>
    </w:p>
    <w:p>
      <w:pPr>
        <w:pStyle w:val="BookText"/>
      </w:pPr>
      <w:r>
        <w:rPr>
          <w:rFonts w:ascii="Amiri" w:hAnsi="Amiri" w:eastAsia="Amiri" w:cs="Amiri"/>
          <w:lang w:bidi="ar-SA"/>
          <w:color w:val="111111"/>
          <w:sz w:val="28"/>
          <w:szCs w:val="28"/>
          <w:rtl/>
        </w:rPr>
        <w:t xml:space="preserve">1 .التدريب، ج 4، ص 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تصحيح المنهاج، ج4، ص399. .</w:t>
      </w:r>
    </w:p>
    <w:p>
      <w:pPr>
        <w:pStyle w:val="BookText"/>
      </w:pPr>
      <w:r>
        <w:rPr>
          <w:rFonts w:ascii="Amiri" w:hAnsi="Amiri" w:eastAsia="Amiri" w:cs="Amiri"/>
          <w:lang w:bidi="ar-SA"/>
          <w:color w:val="111111"/>
          <w:sz w:val="28"/>
          <w:szCs w:val="28"/>
          <w:rtl/>
        </w:rPr>
        <w:t xml:space="preserve">3.قطر السيل في امراض الخيل، ج 12،</w:t>
      </w:r>
    </w:p>
    <w:p>
      <w:pPr>
        <w:pStyle w:val="BookText"/>
      </w:pPr>
      <w:r>
        <w:rPr>
          <w:rFonts w:ascii="IRNazanin" w:hAnsi="IRNazanin" w:eastAsia="IRNazanin" w:cs="IRNazanin"/>
          <w:lang w:bidi="fa-IR"/>
          <w:color w:val="111111"/>
          <w:sz w:val="28"/>
          <w:szCs w:val="28"/>
          <w:rtl/>
        </w:rPr>
        <w:t xml:space="preserve">ص 747 .</w:t>
      </w:r>
    </w:p>
    <w:p>
      <w:pPr>
        <w:pStyle w:val="BookText"/>
      </w:pPr>
      <w:r>
        <w:rPr>
          <w:rFonts w:ascii="IRNazanin" w:hAnsi="IRNazanin" w:eastAsia="IRNazanin" w:cs="IRNazanin"/>
          <w:lang w:bidi="fa-IR"/>
          <w:color w:val="111111"/>
          <w:sz w:val="28"/>
          <w:szCs w:val="28"/>
          <w:rtl/>
        </w:rPr>
        <w:t xml:space="preserve">بلگرامي ، مير غلامعلي بن نوح- آزاد</w:t>
      </w:r>
    </w:p>
    <w:p>
      <w:pPr>
        <w:pStyle w:val="BookText"/>
      </w:pPr>
      <w:r>
        <w:rPr>
          <w:rFonts w:ascii="IRNazanin" w:hAnsi="IRNazanin" w:eastAsia="IRNazanin" w:cs="IRNazanin"/>
          <w:lang w:bidi="fa-IR"/>
          <w:color w:val="111111"/>
          <w:sz w:val="28"/>
          <w:szCs w:val="28"/>
          <w:rtl/>
        </w:rPr>
        <w:t xml:space="preserve">بلگرامي ، مير غلامعلي بن نوح</w:t>
      </w:r>
    </w:p>
    <w:p>
      <w:pPr>
        <w:pStyle w:val="BookText"/>
      </w:pPr>
      <w:r>
        <w:rPr>
          <w:rFonts w:ascii="Amiri" w:hAnsi="Amiri" w:eastAsia="Amiri" w:cs="Amiri"/>
          <w:lang w:bidi="ar-SA"/>
          <w:color w:val="111111"/>
          <w:sz w:val="28"/>
          <w:szCs w:val="28"/>
          <w:rtl/>
        </w:rPr>
        <w:t xml:space="preserve">بلنسي ، ابو عبدالله محمّد بن عبدالله- ابن</w:t>
      </w:r>
    </w:p>
    <w:p>
      <w:pPr>
        <w:pStyle w:val="BookText"/>
      </w:pPr>
      <w:r>
        <w:rPr>
          <w:rFonts w:ascii="IRNazanin" w:hAnsi="IRNazanin" w:eastAsia="IRNazanin" w:cs="IRNazanin"/>
          <w:lang w:bidi="fa-IR"/>
          <w:color w:val="111111"/>
          <w:sz w:val="28"/>
          <w:szCs w:val="28"/>
          <w:rtl/>
        </w:rPr>
        <w:t xml:space="preserve">ابار ، محمّد بن عبدالله</w:t>
      </w:r>
    </w:p>
    <w:p>
      <w:pPr>
        <w:pStyle w:val="Heading2"/>
      </w:pPr>
      <w:bookmarkStart w:id="2918" w:name="_Toc2020"/>
      <w:r>
        <w:t>بلوي ، محمّد بن احمد - 559 ه-</w:t>
      </w:r>
      <w:bookmarkEnd w:id="2918"/>
    </w:p>
    <w:p>
      <w:pPr>
        <w:pStyle w:val="BookText"/>
      </w:pPr>
      <w:r>
        <w:rPr>
          <w:rFonts w:ascii="Amiri" w:hAnsi="Amiri" w:eastAsia="Amiri" w:cs="Amiri"/>
          <w:lang w:bidi="ar-SA"/>
          <w:color w:val="111111"/>
          <w:sz w:val="28"/>
          <w:szCs w:val="28"/>
          <w:rtl/>
        </w:rPr>
        <w:t xml:space="preserve">الاشارة إلى علم العبارة من تعبير الرؤيا، ج 2، ص 257.</w:t>
      </w:r>
    </w:p>
    <w:p>
      <w:pPr>
        <w:pStyle w:val="Heading2"/>
      </w:pPr>
      <w:bookmarkStart w:id="2919" w:name="_Toc2021"/>
      <w:r>
        <w:t>بلوي ، مصطفى بن علي</w:t>
      </w:r>
      <w:bookmarkEnd w:id="2919"/>
    </w:p>
    <w:p>
      <w:pPr>
        <w:pStyle w:val="BookText"/>
      </w:pPr>
      <w:r>
        <w:rPr>
          <w:rFonts w:ascii="Amiri" w:hAnsi="Amiri" w:eastAsia="Amiri" w:cs="Amiri"/>
          <w:lang w:bidi="ar-SA"/>
          <w:color w:val="111111"/>
          <w:sz w:val="28"/>
          <w:szCs w:val="28"/>
          <w:rtl/>
        </w:rPr>
        <w:t xml:space="preserve">اوراد و ادعية، ج 3، ص 67.</w:t>
      </w:r>
    </w:p>
    <w:p>
      <w:pPr>
        <w:pStyle w:val="Heading2"/>
      </w:pPr>
      <w:bookmarkStart w:id="2920" w:name="_Toc2022"/>
      <w:r>
        <w:t>بلوي ، يوسف بن محمّد، 529 - 604 ه- بن علي</w:t>
      </w:r>
      <w:bookmarkEnd w:id="2920"/>
    </w:p>
    <w:p>
      <w:pPr>
        <w:pStyle w:val="BookText"/>
      </w:pPr>
      <w:r>
        <w:rPr>
          <w:rFonts w:ascii="Amiri" w:hAnsi="Amiri" w:eastAsia="Amiri" w:cs="Amiri"/>
          <w:lang w:bidi="ar-SA"/>
          <w:color w:val="111111"/>
          <w:sz w:val="28"/>
          <w:szCs w:val="28"/>
          <w:rtl/>
        </w:rPr>
        <w:t xml:space="preserve">الف باء في المحاضرات، ج 2، ص 681.</w:t>
      </w:r>
    </w:p>
    <w:p>
      <w:pPr>
        <w:pStyle w:val="Heading2"/>
      </w:pPr>
      <w:bookmarkStart w:id="2921" w:name="_Toc2023"/>
      <w:r>
        <w:t>بلياني ، عبدالله بن مسعود - 683 ؟ ه-</w:t>
      </w:r>
      <w:bookmarkEnd w:id="2921"/>
    </w:p>
    <w:p>
      <w:pPr>
        <w:pStyle w:val="BookText"/>
      </w:pPr>
      <w:r>
        <w:rPr>
          <w:rFonts w:ascii="Amiri" w:hAnsi="Amiri" w:eastAsia="Amiri" w:cs="Amiri"/>
          <w:lang w:bidi="ar-SA"/>
          <w:color w:val="111111"/>
          <w:sz w:val="28"/>
          <w:szCs w:val="28"/>
          <w:rtl/>
        </w:rPr>
        <w:t xml:space="preserve">1 .التصوف (رسالة في)، ج4، ص 427.</w:t>
      </w:r>
    </w:p>
    <w:p>
      <w:pPr>
        <w:pStyle w:val="BookText"/>
      </w:pPr>
      <w:r>
        <w:rPr>
          <w:rFonts w:ascii="IRNazanin" w:hAnsi="IRNazanin" w:eastAsia="IRNazanin" w:cs="IRNazanin"/>
          <w:lang w:bidi="fa-IR"/>
          <w:color w:val="111111"/>
          <w:sz w:val="28"/>
          <w:szCs w:val="28"/>
          <w:rtl/>
        </w:rPr>
        <w:t xml:space="preserve">2 .عينية الوجود = شرح حدیث «من عرف نفسه فقد عرف ربه» = دائرة الوجود، ج 11، ص 384.</w:t>
      </w:r>
    </w:p>
    <w:p>
      <w:pPr>
        <w:pStyle w:val="BookText"/>
      </w:pPr>
      <w:r>
        <w:rPr>
          <w:rFonts w:ascii="Amiri" w:hAnsi="Amiri" w:eastAsia="Amiri" w:cs="Amiri"/>
          <w:lang w:bidi="ar-SA"/>
          <w:color w:val="111111"/>
          <w:sz w:val="28"/>
          <w:szCs w:val="28"/>
          <w:rtl/>
        </w:rPr>
        <w:t xml:space="preserve">بلياني، محمّد بن مسعود -كازروني ،</w:t>
      </w:r>
    </w:p>
    <w:p>
      <w:pPr>
        <w:pStyle w:val="BookText"/>
      </w:pPr>
      <w:r>
        <w:rPr>
          <w:rFonts w:ascii="IRNazanin" w:hAnsi="IRNazanin" w:eastAsia="IRNazanin" w:cs="IRNazanin"/>
          <w:lang w:bidi="fa-IR"/>
          <w:color w:val="111111"/>
          <w:sz w:val="28"/>
          <w:szCs w:val="28"/>
          <w:rtl/>
        </w:rPr>
        <w:t xml:space="preserve">محمد بن مسعود</w:t>
      </w:r>
    </w:p>
    <w:p>
      <w:pPr>
        <w:pStyle w:val="Heading2"/>
      </w:pPr>
      <w:bookmarkStart w:id="2922" w:name="_Toc2024"/>
      <w:r>
        <w:t>بناء، احمد بن محمّد - 1117 ه-</w:t>
      </w:r>
      <w:bookmarkEnd w:id="29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إتحاف فضلاء البشر في القراآت</w:t>
      </w:r>
    </w:p>
    <w:p>
      <w:pPr>
        <w:pStyle w:val="BookText"/>
      </w:pPr>
      <w:r>
        <w:rPr>
          <w:rFonts w:ascii="Amiri" w:hAnsi="Amiri" w:eastAsia="Amiri" w:cs="Amiri"/>
          <w:lang w:bidi="ar-SA"/>
          <w:color w:val="111111"/>
          <w:sz w:val="28"/>
          <w:szCs w:val="28"/>
          <w:rtl/>
        </w:rPr>
        <w:t xml:space="preserve">الاربعة عشر)، ج1، ص131.</w:t>
      </w:r>
    </w:p>
    <w:p>
      <w:pPr>
        <w:pStyle w:val="BookText"/>
      </w:pPr>
      <w:r>
        <w:rPr>
          <w:rFonts w:ascii="Amiri" w:hAnsi="Amiri" w:eastAsia="Amiri" w:cs="Amiri"/>
          <w:lang w:bidi="ar-SA"/>
          <w:color w:val="111111"/>
          <w:sz w:val="28"/>
          <w:szCs w:val="28"/>
          <w:rtl/>
        </w:rPr>
        <w:t xml:space="preserve">2 .التجويد (رسالة في)، ج 3، ص 703.</w:t>
      </w:r>
    </w:p>
    <w:p>
      <w:pPr>
        <w:pStyle w:val="BookText"/>
      </w:pPr>
      <w:r>
        <w:rPr>
          <w:rFonts w:ascii="Amiri" w:hAnsi="Amiri" w:eastAsia="Amiri" w:cs="Amiri"/>
          <w:lang w:bidi="ar-SA"/>
          <w:color w:val="111111"/>
          <w:sz w:val="28"/>
          <w:szCs w:val="28"/>
          <w:rtl/>
        </w:rPr>
        <w:t xml:space="preserve">بنائي ، اسماعيل بن نجف - حسيني بنائي ،</w:t>
      </w:r>
    </w:p>
    <w:p>
      <w:pPr>
        <w:pStyle w:val="BookText"/>
      </w:pPr>
      <w:r>
        <w:rPr>
          <w:rFonts w:ascii="Amiri" w:hAnsi="Amiri" w:eastAsia="Amiri" w:cs="Amiri"/>
          <w:lang w:bidi="ar-SA"/>
          <w:color w:val="111111"/>
          <w:sz w:val="28"/>
          <w:szCs w:val="28"/>
          <w:rtl/>
        </w:rPr>
        <w:t xml:space="preserve">اسماعيل بن نجف</w:t>
      </w:r>
    </w:p>
    <w:p>
      <w:pPr>
        <w:pStyle w:val="Heading2"/>
      </w:pPr>
      <w:bookmarkStart w:id="2923" w:name="_Toc2025"/>
      <w:r>
        <w:t>بناني ، محمّد بن عبد السلام - 1163 ه-</w:t>
      </w:r>
      <w:bookmarkEnd w:id="2923"/>
    </w:p>
    <w:p>
      <w:pPr>
        <w:pStyle w:val="BookText"/>
      </w:pPr>
      <w:r>
        <w:rPr>
          <w:rFonts w:ascii="Amiri" w:hAnsi="Amiri" w:eastAsia="Amiri" w:cs="Amiri"/>
          <w:lang w:bidi="ar-SA"/>
          <w:color w:val="111111"/>
          <w:sz w:val="28"/>
          <w:szCs w:val="28"/>
          <w:rtl/>
        </w:rPr>
        <w:t xml:space="preserve">شرح حزب البر الكبير، ج9، ص 411.</w:t>
      </w:r>
    </w:p>
    <w:p>
      <w:pPr>
        <w:pStyle w:val="Heading2"/>
      </w:pPr>
      <w:bookmarkStart w:id="2924" w:name="_Toc2026"/>
      <w:r>
        <w:t>بناني، مصطفى بن محمّد - 1237 ه-</w:t>
      </w:r>
      <w:bookmarkEnd w:id="2924"/>
    </w:p>
    <w:p>
      <w:pPr>
        <w:pStyle w:val="BookText"/>
      </w:pPr>
      <w:r>
        <w:rPr>
          <w:rFonts w:ascii="Amiri" w:hAnsi="Amiri" w:eastAsia="Amiri" w:cs="Amiri"/>
          <w:lang w:bidi="ar-SA"/>
          <w:color w:val="111111"/>
          <w:sz w:val="28"/>
          <w:szCs w:val="28"/>
          <w:rtl/>
        </w:rPr>
        <w:t xml:space="preserve">1 .التجريد على المطول في شرح تلخيص المفتاح، ج 3، ص 689.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التجريد على شرح مختصر</w:t>
      </w:r>
    </w:p>
    <w:p>
      <w:pPr>
        <w:pStyle w:val="BookText"/>
      </w:pPr>
      <w:r>
        <w:rPr>
          <w:rFonts w:ascii="Amiri" w:hAnsi="Amiri" w:eastAsia="Amiri" w:cs="Amiri"/>
          <w:lang w:bidi="ar-SA"/>
          <w:color w:val="111111"/>
          <w:sz w:val="28"/>
          <w:szCs w:val="28"/>
          <w:rtl/>
        </w:rPr>
        <w:t xml:space="preserve">المعاني، ج 5، ص 714.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جمع الجوامع، ج 5، ص 767.</w:t>
      </w:r>
    </w:p>
    <w:p>
      <w:pPr>
        <w:pStyle w:val="BookText"/>
      </w:pPr>
      <w:r>
        <w:rPr>
          <w:rFonts w:ascii="Amiri" w:hAnsi="Amiri" w:eastAsia="Amiri" w:cs="Amiri"/>
          <w:lang w:bidi="ar-SA"/>
          <w:color w:val="111111"/>
          <w:sz w:val="28"/>
          <w:szCs w:val="28"/>
          <w:rtl/>
        </w:rPr>
        <w:t xml:space="preserve">4 .حاشية على منظومة الصبان لاسماء</w:t>
      </w:r>
    </w:p>
    <w:p>
      <w:pPr>
        <w:pStyle w:val="BookText"/>
      </w:pPr>
      <w:r>
        <w:rPr>
          <w:rFonts w:ascii="IRNazanin" w:hAnsi="IRNazanin" w:eastAsia="IRNazanin" w:cs="IRNazanin"/>
          <w:lang w:bidi="fa-IR"/>
          <w:color w:val="111111"/>
          <w:sz w:val="28"/>
          <w:szCs w:val="28"/>
          <w:rtl/>
        </w:rPr>
        <w:t xml:space="preserve">أهل بدر، ج 6، ص 256.</w:t>
      </w:r>
    </w:p>
    <w:p>
      <w:pPr>
        <w:pStyle w:val="BookText"/>
      </w:pPr>
      <w:r>
        <w:rPr>
          <w:rFonts w:ascii="Amiri" w:hAnsi="Amiri" w:eastAsia="Amiri" w:cs="Amiri"/>
          <w:lang w:bidi="ar-SA"/>
          <w:color w:val="111111"/>
          <w:sz w:val="28"/>
          <w:szCs w:val="28"/>
          <w:rtl/>
        </w:rPr>
        <w:t xml:space="preserve">بنباني ، يعقوب بن علي -بلخي ، يعقوب</w:t>
      </w:r>
    </w:p>
    <w:p>
      <w:pPr>
        <w:pStyle w:val="Heading2"/>
      </w:pPr>
      <w:bookmarkStart w:id="2925" w:name="_Toc2027"/>
      <w:r>
        <w:t>بنجويني ، عبد الرحمن، 1828 - 1900 م</w:t>
      </w:r>
      <w:bookmarkEnd w:id="2925"/>
    </w:p>
    <w:p>
      <w:pPr>
        <w:pStyle w:val="BookText"/>
      </w:pPr>
      <w:r>
        <w:rPr>
          <w:rFonts w:ascii="Amiri" w:hAnsi="Amiri" w:eastAsia="Amiri" w:cs="Amiri"/>
          <w:lang w:bidi="ar-SA"/>
          <w:color w:val="111111"/>
          <w:sz w:val="28"/>
          <w:szCs w:val="28"/>
          <w:rtl/>
        </w:rPr>
        <w:t xml:space="preserve">1 .حاشية البنجويني على الكلنبوي</w:t>
      </w:r>
    </w:p>
    <w:p>
      <w:pPr>
        <w:pStyle w:val="BookText"/>
      </w:pPr>
      <w:r>
        <w:rPr>
          <w:rFonts w:ascii="IRNazanin" w:hAnsi="IRNazanin" w:eastAsia="IRNazanin" w:cs="IRNazanin"/>
          <w:lang w:bidi="fa-IR"/>
          <w:color w:val="111111"/>
          <w:sz w:val="28"/>
          <w:szCs w:val="28"/>
          <w:rtl/>
        </w:rPr>
        <w:t xml:space="preserve">ج 5 ، ص 706 .</w:t>
      </w:r>
    </w:p>
    <w:p>
      <w:pPr>
        <w:pStyle w:val="BookText"/>
      </w:pPr>
      <w:r>
        <w:rPr>
          <w:rFonts w:ascii="Amiri" w:hAnsi="Amiri" w:eastAsia="Amiri" w:cs="Amiri"/>
          <w:lang w:bidi="ar-SA"/>
          <w:color w:val="111111"/>
          <w:sz w:val="28"/>
          <w:szCs w:val="28"/>
          <w:rtl/>
        </w:rPr>
        <w:t xml:space="preserve">2 .حاشية شرح جمع الجوامع، ج 6،</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العقائد، ج11، ص137.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الفقه الشافعي (رسالة في)، ج12،</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Amiri" w:hAnsi="Amiri" w:eastAsia="Amiri" w:cs="Amiri"/>
          <w:lang w:bidi="ar-SA"/>
          <w:color w:val="111111"/>
          <w:sz w:val="28"/>
          <w:szCs w:val="28"/>
          <w:rtl/>
        </w:rPr>
        <w:t xml:space="preserve">5 .كلام الله تعالى، ج13، ص 355.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8" w:name="pg7742_69942"/>
    <w:bookmarkEnd w:id="278"/>
    <w:p>
      <w:pPr>
        <w:pStyle w:val="BookText"/>
      </w:pPr>
      <w:r>
        <w:rPr>
          <w:rFonts w:ascii="Amiri" w:hAnsi="Amiri" w:eastAsia="Amiri" w:cs="Amiri"/>
          <w:lang w:bidi="ar-SA"/>
          <w:color w:val="111111"/>
          <w:sz w:val="28"/>
          <w:szCs w:val="28"/>
          <w:rtl/>
        </w:rPr>
        <w:t xml:space="preserve">بندار ، عبدالله بن محمّد -ابن ناقيا</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2926" w:name="_Toc2028"/>
      <w:r>
        <w:t>بنداري ، فتح بن علي، 586 - 634 ه-</w:t>
      </w:r>
      <w:bookmarkEnd w:id="2926"/>
    </w:p>
    <w:p>
      <w:pPr>
        <w:pStyle w:val="BookText"/>
      </w:pPr>
      <w:r>
        <w:rPr>
          <w:rFonts w:ascii="Amiri" w:hAnsi="Amiri" w:eastAsia="Amiri" w:cs="Amiri"/>
          <w:lang w:bidi="ar-SA"/>
          <w:color w:val="111111"/>
          <w:sz w:val="28"/>
          <w:szCs w:val="28"/>
          <w:rtl/>
        </w:rPr>
        <w:t xml:space="preserve">ذيل تاريخ بغداد، ج 7، ص 868.</w:t>
      </w:r>
    </w:p>
    <w:p>
      <w:pPr>
        <w:pStyle w:val="Heading2"/>
      </w:pPr>
      <w:bookmarkStart w:id="2927" w:name="_Toc2029"/>
      <w:r>
        <w:t>بندري، عمر بن سليمان</w:t>
      </w:r>
      <w:bookmarkEnd w:id="2927"/>
    </w:p>
    <w:p>
      <w:pPr>
        <w:pStyle w:val="BookText"/>
      </w:pPr>
      <w:r>
        <w:rPr>
          <w:rFonts w:ascii="Amiri" w:hAnsi="Amiri" w:eastAsia="Amiri" w:cs="Amiri"/>
          <w:lang w:bidi="ar-SA"/>
          <w:color w:val="111111"/>
          <w:sz w:val="28"/>
          <w:szCs w:val="28"/>
          <w:rtl/>
        </w:rPr>
        <w:t xml:space="preserve">شرح المضرية، ج 10، ص 149.</w:t>
      </w:r>
    </w:p>
    <w:p>
      <w:pPr>
        <w:pStyle w:val="Heading2"/>
      </w:pPr>
      <w:bookmarkStart w:id="2928" w:name="_Toc2030"/>
      <w:r>
        <w:t>بندنيجي ، علي بن ابراهيم - 1186 ه-</w:t>
      </w:r>
      <w:bookmarkEnd w:id="2928"/>
    </w:p>
    <w:p>
      <w:pPr>
        <w:pStyle w:val="BookText"/>
      </w:pPr>
      <w:r>
        <w:rPr>
          <w:rFonts w:ascii="Amiri" w:hAnsi="Amiri" w:eastAsia="Amiri" w:cs="Amiri"/>
          <w:lang w:bidi="ar-SA"/>
          <w:color w:val="111111"/>
          <w:sz w:val="28"/>
          <w:szCs w:val="28"/>
          <w:rtl/>
        </w:rPr>
        <w:t xml:space="preserve">1 .اسماء البدريين (منظومة في)، ج2،</w:t>
      </w:r>
    </w:p>
    <w:p>
      <w:pPr>
        <w:pStyle w:val="BookText"/>
      </w:pPr>
      <w:r>
        <w:rPr>
          <w:rFonts w:ascii="IRNazanin" w:hAnsi="IRNazanin" w:eastAsia="IRNazanin" w:cs="IRNazanin"/>
          <w:lang w:bidi="fa-IR"/>
          <w:color w:val="111111"/>
          <w:sz w:val="28"/>
          <w:szCs w:val="28"/>
          <w:rtl/>
        </w:rPr>
        <w:t xml:space="preserve">ص 216.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تخميس، ج4،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البندنيجي، ج7، ص 594.</w:t>
      </w:r>
    </w:p>
    <w:p>
      <w:pPr>
        <w:pStyle w:val="BookText"/>
      </w:pPr>
      <w:r>
        <w:rPr>
          <w:rFonts w:ascii="Amiri" w:hAnsi="Amiri" w:eastAsia="Amiri" w:cs="Amiri"/>
          <w:lang w:bidi="ar-SA"/>
          <w:color w:val="111111"/>
          <w:sz w:val="28"/>
          <w:szCs w:val="28"/>
          <w:rtl/>
        </w:rPr>
        <w:t xml:space="preserve">4 .الرسالة البند نيجية، ج8، ص177.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العرفان - رسالة عرفانية، ج11،</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IRNazanin" w:hAnsi="IRNazanin" w:eastAsia="IRNazanin" w:cs="IRNazanin"/>
          <w:lang w:bidi="fa-IR"/>
          <w:color w:val="111111"/>
          <w:sz w:val="28"/>
          <w:szCs w:val="28"/>
          <w:rtl/>
        </w:rPr>
        <w:t xml:space="preserve">6 .قصائد، ج 12، ص 587.</w:t>
      </w:r>
    </w:p>
    <w:p>
      <w:pPr>
        <w:pStyle w:val="BookText"/>
      </w:pPr>
      <w:r>
        <w:rPr>
          <w:rFonts w:ascii="Amiri" w:hAnsi="Amiri" w:eastAsia="Amiri" w:cs="Amiri"/>
          <w:lang w:bidi="ar-SA"/>
          <w:color w:val="111111"/>
          <w:sz w:val="28"/>
          <w:szCs w:val="28"/>
          <w:rtl/>
        </w:rPr>
        <w:t xml:space="preserve">7 .قصيدة في مدح عبد القادر الكيلاني</w:t>
      </w:r>
    </w:p>
    <w:p>
      <w:pPr>
        <w:pStyle w:val="BookText"/>
      </w:pPr>
      <w:r>
        <w:rPr>
          <w:rFonts w:ascii="IRNazanin" w:hAnsi="IRNazanin" w:eastAsia="IRNazanin" w:cs="IRNazanin"/>
          <w:lang w:bidi="fa-IR"/>
          <w:color w:val="111111"/>
          <w:sz w:val="28"/>
          <w:szCs w:val="28"/>
          <w:rtl/>
        </w:rPr>
        <w:t xml:space="preserve">ج 12، ص 698 .</w:t>
      </w:r>
    </w:p>
    <w:p>
      <w:pPr>
        <w:pStyle w:val="BookText"/>
      </w:pPr>
      <w:r>
        <w:rPr>
          <w:rFonts w:ascii="Amiri" w:hAnsi="Amiri" w:eastAsia="Amiri" w:cs="Amiri"/>
          <w:lang w:bidi="ar-SA"/>
          <w:color w:val="111111"/>
          <w:sz w:val="28"/>
          <w:szCs w:val="28"/>
          <w:rtl/>
        </w:rPr>
        <w:t xml:space="preserve">8 .المنظومة البدرية، ج 15 ، ص 717.</w:t>
      </w:r>
    </w:p>
    <w:p>
      <w:pPr>
        <w:pStyle w:val="BookText"/>
      </w:pPr>
      <w:r>
        <w:rPr>
          <w:rFonts w:ascii="Amiri" w:hAnsi="Amiri" w:eastAsia="Amiri" w:cs="Amiri"/>
          <w:lang w:bidi="ar-SA"/>
          <w:color w:val="111111"/>
          <w:sz w:val="28"/>
          <w:szCs w:val="28"/>
          <w:rtl/>
        </w:rPr>
        <w:t xml:space="preserve">9 .المنظومة البند نيجية، ج 15 ، ص718.</w:t>
      </w:r>
    </w:p>
    <w:p>
      <w:pPr>
        <w:pStyle w:val="BookText"/>
      </w:pPr>
      <w:r>
        <w:rPr>
          <w:rFonts w:ascii="Amiri" w:hAnsi="Amiri" w:eastAsia="Amiri" w:cs="Amiri"/>
          <w:lang w:bidi="ar-SA"/>
          <w:color w:val="111111"/>
          <w:sz w:val="28"/>
          <w:szCs w:val="28"/>
          <w:rtl/>
        </w:rPr>
        <w:t xml:space="preserve">10 .الموارد اللدنية في شرح العينية</w:t>
      </w:r>
    </w:p>
    <w:p>
      <w:pPr>
        <w:pStyle w:val="BookText"/>
      </w:pPr>
      <w:r>
        <w:rPr>
          <w:rFonts w:ascii="IRNazanin" w:hAnsi="IRNazanin" w:eastAsia="IRNazanin" w:cs="IRNazanin"/>
          <w:lang w:bidi="fa-IR"/>
          <w:color w:val="111111"/>
          <w:sz w:val="28"/>
          <w:szCs w:val="28"/>
          <w:rtl/>
        </w:rPr>
        <w:t xml:space="preserve">ج 15، ص 853.</w:t>
      </w:r>
    </w:p>
    <w:p>
      <w:pPr>
        <w:pStyle w:val="BookText"/>
      </w:pPr>
      <w:r>
        <w:rPr>
          <w:rFonts w:ascii="IRNazanin" w:hAnsi="IRNazanin" w:eastAsia="IRNazanin" w:cs="IRNazanin"/>
          <w:lang w:bidi="fa-IR"/>
          <w:color w:val="111111"/>
          <w:sz w:val="28"/>
          <w:szCs w:val="28"/>
          <w:rtl/>
        </w:rPr>
        <w:t xml:space="preserve">11 .نظم اسماء اهل بدر، ج 16</w:t>
      </w:r>
    </w:p>
    <w:p>
      <w:pPr>
        <w:pStyle w:val="BookText"/>
      </w:pPr>
      <w:r>
        <w:rPr>
          <w:rFonts w:ascii="IRNazanin" w:hAnsi="IRNazanin" w:eastAsia="IRNazanin" w:cs="IRNazanin"/>
          <w:lang w:bidi="fa-IR"/>
          <w:color w:val="111111"/>
          <w:sz w:val="28"/>
          <w:szCs w:val="28"/>
          <w:rtl/>
        </w:rPr>
        <w:t xml:space="preserve">ص 329 .</w:t>
      </w:r>
    </w:p>
    <w:p>
      <w:pPr>
        <w:pStyle w:val="Heading2"/>
      </w:pPr>
      <w:bookmarkStart w:id="2929" w:name="_Toc2031"/>
      <w:r>
        <w:t>بندنيجي ، عيسى بن موسى - 1283 ه-</w:t>
      </w:r>
      <w:bookmarkEnd w:id="2929"/>
    </w:p>
    <w:p>
      <w:pPr>
        <w:pStyle w:val="BookText"/>
      </w:pPr>
      <w:r>
        <w:rPr>
          <w:rFonts w:ascii="IRNazanin" w:hAnsi="IRNazanin" w:eastAsia="IRNazanin" w:cs="IRNazanin"/>
          <w:lang w:bidi="fa-IR"/>
          <w:color w:val="111111"/>
          <w:sz w:val="28"/>
          <w:szCs w:val="28"/>
          <w:rtl/>
        </w:rPr>
        <w:t xml:space="preserve">1 .الاجازات، ج 1، ص200.</w:t>
      </w:r>
    </w:p>
    <w:p>
      <w:pPr>
        <w:pStyle w:val="BookText"/>
      </w:pPr>
      <w:r>
        <w:rPr>
          <w:rFonts w:ascii="Amiri" w:hAnsi="Amiri" w:eastAsia="Amiri" w:cs="Amiri"/>
          <w:lang w:bidi="ar-SA"/>
          <w:color w:val="111111"/>
          <w:sz w:val="28"/>
          <w:szCs w:val="28"/>
          <w:rtl/>
        </w:rPr>
        <w:t xml:space="preserve">2 .اجازة للسيّد نعمان الآلوسي جا</w:t>
      </w:r>
    </w:p>
    <w:p>
      <w:pPr>
        <w:pStyle w:val="BookText"/>
      </w:pPr>
      <w:r>
        <w:rPr>
          <w:rFonts w:ascii="IRNazanin" w:hAnsi="IRNazanin" w:eastAsia="IRNazanin" w:cs="IRNazanin"/>
          <w:lang w:bidi="fa-IR"/>
          <w:color w:val="111111"/>
          <w:sz w:val="28"/>
          <w:szCs w:val="28"/>
          <w:rtl/>
        </w:rPr>
        <w:t xml:space="preserve">ص 259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الاجوبة البندنيجية على الاسئلة</w:t>
      </w:r>
    </w:p>
    <w:p>
      <w:pPr>
        <w:pStyle w:val="BookText"/>
      </w:pPr>
      <w:r>
        <w:rPr>
          <w:rFonts w:ascii="Amiri" w:hAnsi="Amiri" w:eastAsia="Amiri" w:cs="Amiri"/>
          <w:lang w:bidi="ar-SA"/>
          <w:color w:val="111111"/>
          <w:sz w:val="28"/>
          <w:szCs w:val="28"/>
          <w:rtl/>
        </w:rPr>
        <w:t xml:space="preserve">اللاهورية، ج1، ص321.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ألغاز، ج2، ص 670.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تراجم الوجوه و الاعيان المدفونين</w:t>
      </w:r>
    </w:p>
    <w:p>
      <w:pPr>
        <w:pStyle w:val="BookText"/>
      </w:pPr>
      <w:r>
        <w:rPr>
          <w:rFonts w:ascii="Amiri" w:hAnsi="Amiri" w:eastAsia="Amiri" w:cs="Amiri"/>
          <w:lang w:bidi="ar-SA"/>
          <w:color w:val="111111"/>
          <w:sz w:val="28"/>
          <w:szCs w:val="28"/>
          <w:rtl/>
        </w:rPr>
        <w:t xml:space="preserve">في بغداد و ما يليها من البلاد</w:t>
      </w:r>
    </w:p>
    <w:p>
      <w:pPr>
        <w:pStyle w:val="BookText"/>
      </w:pPr>
      <w:r>
        <w:rPr>
          <w:rFonts w:ascii="Amiri" w:hAnsi="Amiri" w:eastAsia="Amiri" w:cs="Amiri"/>
          <w:lang w:bidi="ar-SA"/>
          <w:color w:val="111111"/>
          <w:sz w:val="28"/>
          <w:szCs w:val="28"/>
          <w:rtl/>
        </w:rPr>
        <w:t xml:space="preserve">جامع الانوار في مناقب الاخيار</w:t>
      </w:r>
    </w:p>
    <w:p>
      <w:pPr>
        <w:pStyle w:val="BookText"/>
      </w:pPr>
      <w:r>
        <w:rPr>
          <w:rFonts w:ascii="IRNazanin" w:hAnsi="IRNazanin" w:eastAsia="IRNazanin" w:cs="IRNazanin"/>
          <w:lang w:bidi="fa-IR"/>
          <w:color w:val="111111"/>
          <w:sz w:val="28"/>
          <w:szCs w:val="28"/>
          <w:rtl/>
        </w:rPr>
        <w:t xml:space="preserve">(ترجمه)، ج4، ص230.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ترجمة الاولياء الذين دفنوا بالعراق</w:t>
      </w:r>
    </w:p>
    <w:p>
      <w:pPr>
        <w:pStyle w:val="BookText"/>
      </w:pPr>
      <w:r>
        <w:rPr>
          <w:rFonts w:ascii="Amiri" w:hAnsi="Amiri" w:eastAsia="Amiri" w:cs="Amiri"/>
          <w:lang w:bidi="ar-SA"/>
          <w:color w:val="111111"/>
          <w:sz w:val="28"/>
          <w:szCs w:val="28"/>
          <w:rtl/>
        </w:rPr>
        <w:t xml:space="preserve">= جامع الانوار في مناقب الابرار</w:t>
      </w:r>
    </w:p>
    <w:p>
      <w:pPr>
        <w:pStyle w:val="BookText"/>
      </w:pPr>
      <w:r>
        <w:rPr>
          <w:rFonts w:ascii="Amiri" w:hAnsi="Amiri" w:eastAsia="Amiri" w:cs="Amiri"/>
          <w:lang w:bidi="ar-SA"/>
          <w:color w:val="111111"/>
          <w:sz w:val="28"/>
          <w:szCs w:val="28"/>
          <w:rtl/>
        </w:rPr>
        <w:t xml:space="preserve">(ترجمة)، ج 4، ص 262.</w:t>
      </w:r>
    </w:p>
    <w:p>
      <w:pPr>
        <w:pStyle w:val="BookText"/>
      </w:pPr>
      <w:r>
        <w:rPr>
          <w:rFonts w:ascii="Amiri" w:hAnsi="Amiri" w:eastAsia="Amiri" w:cs="Amiri"/>
          <w:lang w:bidi="ar-SA"/>
          <w:color w:val="111111"/>
          <w:sz w:val="28"/>
          <w:szCs w:val="28"/>
          <w:rtl/>
        </w:rPr>
        <w:t xml:space="preserve">7 .ثبت البندنيجي، ج 5، ص210.</w:t>
      </w:r>
    </w:p>
    <w:p>
      <w:pPr>
        <w:pStyle w:val="BookText"/>
      </w:pPr>
      <w:r>
        <w:rPr>
          <w:rFonts w:ascii="Amiri" w:hAnsi="Amiri" w:eastAsia="Amiri" w:cs="Amiri"/>
          <w:lang w:bidi="ar-SA"/>
          <w:color w:val="111111"/>
          <w:sz w:val="28"/>
          <w:szCs w:val="28"/>
          <w:rtl/>
        </w:rPr>
        <w:t xml:space="preserve">8 .جواب رسالة من لاهور في حق سب</w:t>
      </w:r>
    </w:p>
    <w:p>
      <w:pPr>
        <w:pStyle w:val="BookText"/>
      </w:pPr>
      <w:r>
        <w:rPr>
          <w:rFonts w:ascii="Amiri" w:hAnsi="Amiri" w:eastAsia="Amiri" w:cs="Amiri"/>
          <w:lang w:bidi="ar-SA"/>
          <w:color w:val="111111"/>
          <w:sz w:val="28"/>
          <w:szCs w:val="28"/>
          <w:rtl/>
        </w:rPr>
        <w:t xml:space="preserve">الصحابة، ج 5، ص 497.</w:t>
      </w:r>
    </w:p>
    <w:p>
      <w:pPr>
        <w:pStyle w:val="BookText"/>
      </w:pPr>
      <w:r>
        <w:rPr>
          <w:rFonts w:ascii="IRNazanin" w:hAnsi="IRNazanin" w:eastAsia="IRNazanin" w:cs="IRNazanin"/>
          <w:lang w:bidi="fa-IR"/>
          <w:color w:val="111111"/>
          <w:sz w:val="28"/>
          <w:szCs w:val="28"/>
          <w:rtl/>
        </w:rPr>
        <w:t xml:space="preserve">9 .فوائد و نبذ، ج 12، ص292.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مشيخة البندنيجي، ج 14، ص 652.</w:t>
      </w:r>
    </w:p>
    <w:p>
      <w:pPr>
        <w:pStyle w:val="BookText"/>
      </w:pPr>
      <w:r>
        <w:rPr>
          <w:rFonts w:ascii="Amiri" w:hAnsi="Amiri" w:eastAsia="Amiri" w:cs="Amiri"/>
          <w:lang w:bidi="ar-SA"/>
          <w:color w:val="111111"/>
          <w:sz w:val="28"/>
          <w:szCs w:val="28"/>
          <w:rtl/>
        </w:rPr>
        <w:t xml:space="preserve">11 .المنجز في شرح الموجز، ج 15</w:t>
      </w:r>
    </w:p>
    <w:p>
      <w:pPr>
        <w:pStyle w:val="BookText"/>
      </w:pPr>
      <w:r>
        <w:rPr>
          <w:rFonts w:ascii="IRNazanin" w:hAnsi="IRNazanin" w:eastAsia="IRNazanin" w:cs="IRNazanin"/>
          <w:lang w:bidi="fa-IR"/>
          <w:color w:val="111111"/>
          <w:sz w:val="28"/>
          <w:szCs w:val="28"/>
          <w:rtl/>
        </w:rPr>
        <w:t xml:space="preserve">ص 659 .</w:t>
      </w:r>
    </w:p>
    <w:p>
      <w:pPr>
        <w:pStyle w:val="BookText"/>
      </w:pPr>
      <w:r>
        <w:rPr>
          <w:rFonts w:ascii="IRNazanin" w:hAnsi="IRNazanin" w:eastAsia="IRNazanin" w:cs="IRNazanin"/>
          <w:lang w:bidi="fa-IR"/>
          <w:color w:val="111111"/>
          <w:sz w:val="28"/>
          <w:szCs w:val="28"/>
          <w:rtl/>
        </w:rPr>
        <w:t xml:space="preserve">بنده نواز چشتي دهلوي - گیسو دراز</w:t>
      </w:r>
    </w:p>
    <w:p>
      <w:pPr>
        <w:pStyle w:val="BookText"/>
      </w:pPr>
      <w:r>
        <w:rPr>
          <w:rFonts w:ascii="Amiri" w:hAnsi="Amiri" w:eastAsia="Amiri" w:cs="Amiri"/>
          <w:lang w:bidi="ar-SA"/>
          <w:color w:val="111111"/>
          <w:sz w:val="28"/>
          <w:szCs w:val="28"/>
          <w:rtl/>
        </w:rPr>
        <w:t xml:space="preserve">محمّد بن يوسف</w:t>
      </w:r>
    </w:p>
    <w:p>
      <w:pPr>
        <w:pStyle w:val="Heading2"/>
      </w:pPr>
      <w:bookmarkStart w:id="2930" w:name="_Toc2032"/>
      <w:r>
        <w:t>بندهي ، علي بن بديع ، قرن 7 ه-</w:t>
      </w:r>
      <w:bookmarkEnd w:id="2930"/>
    </w:p>
    <w:p>
      <w:pPr>
        <w:pStyle w:val="BookText"/>
      </w:pPr>
      <w:r>
        <w:rPr>
          <w:rFonts w:ascii="Amiri" w:hAnsi="Amiri" w:eastAsia="Amiri" w:cs="Amiri"/>
          <w:lang w:bidi="ar-SA"/>
          <w:color w:val="111111"/>
          <w:sz w:val="28"/>
          <w:szCs w:val="28"/>
          <w:rtl/>
        </w:rPr>
        <w:t xml:space="preserve">دلالة الالفاظ و ما يتعلق بها (رسالة</w:t>
      </w:r>
    </w:p>
    <w:p>
      <w:pPr>
        <w:pStyle w:val="BookText"/>
      </w:pPr>
      <w:r>
        <w:rPr>
          <w:rFonts w:ascii="Amiri" w:hAnsi="Amiri" w:eastAsia="Amiri" w:cs="Amiri"/>
          <w:lang w:bidi="ar-SA"/>
          <w:color w:val="111111"/>
          <w:sz w:val="28"/>
          <w:szCs w:val="28"/>
          <w:rtl/>
        </w:rPr>
        <w:t xml:space="preserve">في)، ج 7، ص 463.</w:t>
      </w:r>
    </w:p>
    <w:p>
      <w:pPr>
        <w:pStyle w:val="Heading2"/>
      </w:pPr>
      <w:bookmarkStart w:id="2931" w:name="_Toc2033"/>
      <w:r>
        <w:t>بنكجري آغاسي ، محمّد آغا</w:t>
      </w:r>
      <w:bookmarkEnd w:id="2931"/>
    </w:p>
    <w:p>
      <w:pPr>
        <w:pStyle w:val="BookText"/>
      </w:pPr>
      <w:r>
        <w:rPr>
          <w:rFonts w:ascii="IRNazanin" w:hAnsi="IRNazanin" w:eastAsia="IRNazanin" w:cs="IRNazanin"/>
          <w:lang w:bidi="fa-IR"/>
          <w:color w:val="111111"/>
          <w:sz w:val="28"/>
          <w:szCs w:val="28"/>
          <w:rtl/>
        </w:rPr>
        <w:t xml:space="preserve">دیوان بنكجري، ج 7، ص 595.</w:t>
      </w:r>
    </w:p>
    <w:p>
      <w:pPr>
        <w:pStyle w:val="BookText"/>
      </w:pPr>
      <w:r>
        <w:rPr>
          <w:rFonts w:ascii="Amiri" w:hAnsi="Amiri" w:eastAsia="Amiri" w:cs="Amiri"/>
          <w:lang w:bidi="ar-SA"/>
          <w:color w:val="111111"/>
          <w:sz w:val="28"/>
          <w:szCs w:val="28"/>
          <w:rtl/>
        </w:rPr>
        <w:t xml:space="preserve">بوليل</w:t>
      </w:r>
    </w:p>
    <w:p>
      <w:pPr>
        <w:pStyle w:val="Heading2"/>
      </w:pPr>
      <w:bookmarkStart w:id="2932" w:name="_Toc2034"/>
      <w:r>
        <w:t>بن ملامهدي ، عبدالكريم</w:t>
      </w:r>
      <w:bookmarkEnd w:id="2932"/>
    </w:p>
    <w:p>
      <w:pPr>
        <w:pStyle w:val="BookText"/>
      </w:pPr>
      <w:r>
        <w:rPr>
          <w:rFonts w:ascii="IRNazanin" w:hAnsi="IRNazanin" w:eastAsia="IRNazanin" w:cs="IRNazanin"/>
          <w:lang w:bidi="fa-IR"/>
          <w:color w:val="111111"/>
          <w:sz w:val="28"/>
          <w:szCs w:val="28"/>
          <w:rtl/>
        </w:rPr>
        <w:t xml:space="preserve">شرح دعاء السمات، ج 9، ص 463.</w:t>
      </w:r>
    </w:p>
    <w:p>
      <w:pPr>
        <w:pStyle w:val="Heading2"/>
      </w:pPr>
      <w:bookmarkStart w:id="2933" w:name="_Toc2035"/>
      <w:r>
        <w:t>بن ناصر الدين ثاني ، علي</w:t>
      </w:r>
      <w:bookmarkEnd w:id="2933"/>
    </w:p>
    <w:p>
      <w:pPr>
        <w:pStyle w:val="BookText"/>
      </w:pPr>
      <w:r>
        <w:rPr>
          <w:rFonts w:ascii="Amiri" w:hAnsi="Amiri" w:eastAsia="Amiri" w:cs="Amiri"/>
          <w:lang w:bidi="ar-SA"/>
          <w:color w:val="111111"/>
          <w:sz w:val="28"/>
          <w:szCs w:val="28"/>
          <w:rtl/>
        </w:rPr>
        <w:t xml:space="preserve">شرح نهج البلاغة، ج 10، ص 300.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9" w:name="pg7742_69944"/>
    <w:bookmarkEnd w:id="279"/>
    <w:p>
      <w:pPr>
        <w:pStyle w:val="Heading2"/>
      </w:pPr>
      <w:bookmarkStart w:id="2934" w:name="_Toc2036"/>
      <w:r>
        <w:t>بنهاوي مالكي ، محمّد، قرن 11 ه-</w:t>
      </w:r>
      <w:bookmarkEnd w:id="2934"/>
    </w:p>
    <w:p>
      <w:pPr>
        <w:pStyle w:val="BookText"/>
      </w:pPr>
      <w:r>
        <w:rPr>
          <w:rFonts w:ascii="Amiri" w:hAnsi="Amiri" w:eastAsia="Amiri" w:cs="Amiri"/>
          <w:lang w:bidi="ar-SA"/>
          <w:color w:val="111111"/>
          <w:sz w:val="28"/>
          <w:szCs w:val="28"/>
          <w:rtl/>
        </w:rPr>
        <w:t xml:space="preserve">اعانة المجدين في تصحيح الدين بشرح</w:t>
      </w:r>
    </w:p>
    <w:p>
      <w:pPr>
        <w:pStyle w:val="BookText"/>
      </w:pPr>
      <w:r>
        <w:rPr>
          <w:rFonts w:ascii="Amiri" w:hAnsi="Amiri" w:eastAsia="Amiri" w:cs="Amiri"/>
          <w:lang w:bidi="ar-SA"/>
          <w:color w:val="111111"/>
          <w:sz w:val="28"/>
          <w:szCs w:val="28"/>
          <w:rtl/>
        </w:rPr>
        <w:t xml:space="preserve">ام البراهين، ج2، ص 494.</w:t>
      </w:r>
    </w:p>
    <w:p>
      <w:pPr>
        <w:pStyle w:val="BookText"/>
      </w:pPr>
      <w:r>
        <w:rPr>
          <w:rFonts w:ascii="Amiri" w:hAnsi="Amiri" w:eastAsia="Amiri" w:cs="Amiri"/>
          <w:lang w:bidi="ar-SA"/>
          <w:color w:val="111111"/>
          <w:sz w:val="28"/>
          <w:szCs w:val="28"/>
          <w:rtl/>
        </w:rPr>
        <w:t xml:space="preserve">بنواني ، عبد الوهاب بن يوسف- كردي</w:t>
      </w:r>
    </w:p>
    <w:p>
      <w:pPr>
        <w:pStyle w:val="Heading2"/>
      </w:pPr>
      <w:bookmarkStart w:id="2935" w:name="_Toc2037"/>
      <w:r>
        <w:t>عبد الوهاب بن يوسف</w:t>
      </w:r>
      <w:bookmarkEnd w:id="2935"/>
    </w:p>
    <w:p>
      <w:pPr>
        <w:pStyle w:val="BookText"/>
      </w:pPr>
      <w:r>
        <w:rPr>
          <w:rFonts w:ascii="Amiri" w:hAnsi="Amiri" w:eastAsia="Amiri" w:cs="Amiri"/>
          <w:lang w:bidi="ar-SA"/>
          <w:color w:val="111111"/>
          <w:sz w:val="28"/>
          <w:szCs w:val="28"/>
          <w:rtl/>
        </w:rPr>
        <w:t xml:space="preserve">بن يحيى ، غانم بن زاير</w:t>
      </w:r>
    </w:p>
    <w:p>
      <w:pPr>
        <w:pStyle w:val="BookText"/>
      </w:pPr>
      <w:r>
        <w:rPr>
          <w:rFonts w:ascii="Amiri" w:hAnsi="Amiri" w:eastAsia="Amiri" w:cs="Amiri"/>
          <w:lang w:bidi="ar-SA"/>
          <w:color w:val="111111"/>
          <w:sz w:val="28"/>
          <w:szCs w:val="28"/>
          <w:rtl/>
        </w:rPr>
        <w:t xml:space="preserve">مستحبات الصلاة( رسالة في)، ج 14،</w:t>
      </w:r>
    </w:p>
    <w:p>
      <w:pPr>
        <w:pStyle w:val="BookText"/>
      </w:pPr>
      <w:r>
        <w:rPr>
          <w:rFonts w:ascii="IRNazanin" w:hAnsi="IRNazanin" w:eastAsia="IRNazanin" w:cs="IRNazanin"/>
          <w:lang w:bidi="fa-IR"/>
          <w:color w:val="111111"/>
          <w:sz w:val="28"/>
          <w:szCs w:val="28"/>
          <w:rtl/>
        </w:rPr>
        <w:t xml:space="preserve">ص 549.</w:t>
      </w:r>
    </w:p>
    <w:p>
      <w:pPr>
        <w:pStyle w:val="Heading2"/>
      </w:pPr>
      <w:bookmarkStart w:id="2936" w:name="_Toc2038"/>
      <w:r>
        <w:t>بهاء الدين بن يوسف</w:t>
      </w:r>
      <w:bookmarkEnd w:id="2936"/>
    </w:p>
    <w:p>
      <w:pPr>
        <w:pStyle w:val="BookText"/>
      </w:pPr>
      <w:r>
        <w:rPr>
          <w:rFonts w:ascii="Amiri" w:hAnsi="Amiri" w:eastAsia="Amiri" w:cs="Amiri"/>
          <w:lang w:bidi="ar-SA"/>
          <w:color w:val="111111"/>
          <w:sz w:val="28"/>
          <w:szCs w:val="28"/>
          <w:rtl/>
        </w:rPr>
        <w:t xml:space="preserve">ريحانة الذاكرين و نور جنان</w:t>
      </w:r>
    </w:p>
    <w:p>
      <w:pPr>
        <w:pStyle w:val="BookText"/>
      </w:pPr>
      <w:r>
        <w:rPr>
          <w:rFonts w:ascii="Amiri" w:hAnsi="Amiri" w:eastAsia="Amiri" w:cs="Amiri"/>
          <w:lang w:bidi="ar-SA"/>
          <w:color w:val="111111"/>
          <w:sz w:val="28"/>
          <w:szCs w:val="28"/>
          <w:rtl/>
        </w:rPr>
        <w:t xml:space="preserve">الشاكرين، ج8، ص 521.</w:t>
      </w:r>
    </w:p>
    <w:p>
      <w:pPr>
        <w:pStyle w:val="BookText"/>
      </w:pPr>
      <w:r>
        <w:rPr>
          <w:rFonts w:ascii="Amiri" w:hAnsi="Amiri" w:eastAsia="Amiri" w:cs="Amiri"/>
          <w:lang w:bidi="ar-SA"/>
          <w:color w:val="111111"/>
          <w:sz w:val="28"/>
          <w:szCs w:val="28"/>
          <w:rtl/>
        </w:rPr>
        <w:t xml:space="preserve">بهاء الدين توقاني -توقاني ، بهاء الدين</w:t>
      </w:r>
    </w:p>
    <w:p>
      <w:pPr>
        <w:pStyle w:val="Heading2"/>
      </w:pPr>
      <w:bookmarkStart w:id="2937" w:name="_Toc2039"/>
      <w:r>
        <w:t>بهاء الدین زاده، محمّد بن بهاء الدين 952 ه-</w:t>
      </w:r>
      <w:bookmarkEnd w:id="2937"/>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مختصر الحكمة النبوية، ج 14،</w:t>
      </w:r>
    </w:p>
    <w:p>
      <w:pPr>
        <w:pStyle w:val="BookText"/>
      </w:pPr>
      <w:r>
        <w:rPr>
          <w:rFonts w:ascii="IRNazanin" w:hAnsi="IRNazanin" w:eastAsia="IRNazanin" w:cs="IRNazanin"/>
          <w:lang w:bidi="fa-IR"/>
          <w:color w:val="111111"/>
          <w:sz w:val="28"/>
          <w:szCs w:val="28"/>
          <w:rtl/>
        </w:rPr>
        <w:t xml:space="preserve">ص 188 .</w:t>
      </w:r>
    </w:p>
    <w:p>
      <w:pPr>
        <w:pStyle w:val="BookText"/>
      </w:pPr>
      <w:r>
        <w:rPr>
          <w:rFonts w:ascii="Amiri" w:hAnsi="Amiri" w:eastAsia="Amiri" w:cs="Amiri"/>
          <w:lang w:bidi="ar-SA"/>
          <w:color w:val="111111"/>
          <w:sz w:val="28"/>
          <w:szCs w:val="28"/>
          <w:rtl/>
        </w:rPr>
        <w:t xml:space="preserve">بهاء الدين عاملي - شيخ بهائي ، محمّد بن</w:t>
      </w:r>
    </w:p>
    <w:p>
      <w:pPr>
        <w:pStyle w:val="BookText"/>
      </w:pPr>
      <w:r>
        <w:rPr>
          <w:rFonts w:ascii="Amiri" w:hAnsi="Amiri" w:eastAsia="Amiri" w:cs="Amiri"/>
          <w:lang w:bidi="ar-SA"/>
          <w:color w:val="111111"/>
          <w:sz w:val="28"/>
          <w:szCs w:val="28"/>
          <w:rtl/>
        </w:rPr>
        <w:t xml:space="preserve">حسين</w:t>
      </w:r>
    </w:p>
    <w:p>
      <w:pPr>
        <w:pStyle w:val="Heading2"/>
      </w:pPr>
      <w:bookmarkStart w:id="2938" w:name="_Toc2040"/>
      <w:r>
        <w:t>بهاء الدين ، محمّد بن حاجي</w:t>
      </w:r>
      <w:bookmarkEnd w:id="2938"/>
    </w:p>
    <w:p>
      <w:pPr>
        <w:pStyle w:val="BookText"/>
      </w:pPr>
      <w:r>
        <w:rPr>
          <w:rFonts w:ascii="Amiri" w:hAnsi="Amiri" w:eastAsia="Amiri" w:cs="Amiri"/>
          <w:lang w:bidi="ar-SA"/>
          <w:color w:val="111111"/>
          <w:sz w:val="28"/>
          <w:szCs w:val="28"/>
          <w:rtl/>
        </w:rPr>
        <w:t xml:space="preserve">جامع أبن بهائي، ج 5، ص 240.</w:t>
      </w:r>
    </w:p>
    <w:p>
      <w:pPr>
        <w:pStyle w:val="BookText"/>
      </w:pPr>
      <w:r>
        <w:rPr>
          <w:rFonts w:ascii="Amiri" w:hAnsi="Amiri" w:eastAsia="Amiri" w:cs="Amiri"/>
          <w:lang w:bidi="ar-SA"/>
          <w:color w:val="111111"/>
          <w:sz w:val="28"/>
          <w:szCs w:val="28"/>
          <w:rtl/>
        </w:rPr>
        <w:t xml:space="preserve">بهاء الدين ولد- سلطان ولد ، احمد بن</w:t>
      </w:r>
    </w:p>
    <w:p>
      <w:pPr>
        <w:pStyle w:val="BookText"/>
      </w:pPr>
      <w:r>
        <w:rPr>
          <w:rFonts w:ascii="Amiri" w:hAnsi="Amiri" w:eastAsia="Amiri" w:cs="Amiri"/>
          <w:lang w:bidi="ar-SA"/>
          <w:color w:val="111111"/>
          <w:sz w:val="28"/>
          <w:szCs w:val="28"/>
          <w:rtl/>
        </w:rPr>
        <w:t xml:space="preserve">محمّد</w:t>
      </w:r>
    </w:p>
    <w:p>
      <w:pPr>
        <w:pStyle w:val="Heading2"/>
      </w:pPr>
      <w:bookmarkStart w:id="2939" w:name="_Toc2041"/>
      <w:r>
        <w:t>بهاء الله ، حسينعلي بن ميرزا بزرگ 1233 -1309 ه-</w:t>
      </w:r>
      <w:bookmarkEnd w:id="2939"/>
    </w:p>
    <w:p>
      <w:pPr>
        <w:pStyle w:val="BookText"/>
      </w:pPr>
      <w:r>
        <w:rPr>
          <w:rFonts w:ascii="IRNazanin" w:hAnsi="IRNazanin" w:eastAsia="IRNazanin" w:cs="IRNazanin"/>
          <w:lang w:bidi="fa-IR"/>
          <w:color w:val="111111"/>
          <w:sz w:val="28"/>
          <w:szCs w:val="28"/>
          <w:rtl/>
        </w:rPr>
        <w:t xml:space="preserve">الواح، ج 2، ص 696 .</w:t>
      </w:r>
    </w:p>
    <w:p>
      <w:pPr>
        <w:pStyle w:val="Heading2"/>
      </w:pPr>
      <w:bookmarkStart w:id="2940" w:name="_Toc2042"/>
      <w:r>
        <w:t>بهاء زهير، زهير بن محمّد، 581 - 656 ه-</w:t>
      </w:r>
      <w:bookmarkEnd w:id="2940"/>
    </w:p>
    <w:p>
      <w:pPr>
        <w:pStyle w:val="BookText"/>
      </w:pPr>
      <w:r>
        <w:rPr>
          <w:rFonts w:ascii="IRNazanin" w:hAnsi="IRNazanin" w:eastAsia="IRNazanin" w:cs="IRNazanin"/>
          <w:lang w:bidi="fa-IR"/>
          <w:color w:val="111111"/>
          <w:sz w:val="28"/>
          <w:szCs w:val="28"/>
          <w:rtl/>
        </w:rPr>
        <w:t xml:space="preserve">دیوان بهاء زهير، ج 7، ص 595.</w:t>
      </w:r>
    </w:p>
    <w:p>
      <w:pPr>
        <w:pStyle w:val="Heading2"/>
      </w:pPr>
      <w:bookmarkStart w:id="2941" w:name="_Toc2043"/>
      <w:r>
        <w:t>بهائي ، عبد اللطيف بن بهاء الدين</w:t>
      </w:r>
      <w:bookmarkEnd w:id="2941"/>
    </w:p>
    <w:p>
      <w:pPr>
        <w:pStyle w:val="BookText"/>
      </w:pPr>
      <w:r>
        <w:rPr>
          <w:rFonts w:ascii="IRNazanin" w:hAnsi="IRNazanin" w:eastAsia="IRNazanin" w:cs="IRNazanin"/>
          <w:lang w:bidi="fa-IR"/>
          <w:color w:val="111111"/>
          <w:sz w:val="28"/>
          <w:szCs w:val="28"/>
          <w:rtl/>
        </w:rPr>
        <w:t xml:space="preserve">1082 ه-</w:t>
      </w:r>
    </w:p>
    <w:p>
      <w:pPr>
        <w:pStyle w:val="BookText"/>
      </w:pPr>
      <w:r>
        <w:rPr>
          <w:rFonts w:ascii="Amiri" w:hAnsi="Amiri" w:eastAsia="Amiri" w:cs="Amiri"/>
          <w:lang w:bidi="ar-SA"/>
          <w:color w:val="111111"/>
          <w:sz w:val="28"/>
          <w:szCs w:val="28"/>
          <w:rtl/>
        </w:rPr>
        <w:t xml:space="preserve">شرح ديوان ابي فراس، ج9، ص 481.</w:t>
      </w:r>
    </w:p>
    <w:p>
      <w:pPr>
        <w:pStyle w:val="Heading2"/>
      </w:pPr>
      <w:bookmarkStart w:id="2942" w:name="_Toc2044"/>
      <w:r>
        <w:t>بهائي ، علي بن عبدالله - 815 ه-</w:t>
      </w:r>
      <w:bookmarkEnd w:id="2942"/>
    </w:p>
    <w:p>
      <w:pPr>
        <w:pStyle w:val="BookText"/>
      </w:pPr>
      <w:r>
        <w:rPr>
          <w:rFonts w:ascii="Amiri" w:hAnsi="Amiri" w:eastAsia="Amiri" w:cs="Amiri"/>
          <w:lang w:bidi="ar-SA"/>
          <w:color w:val="111111"/>
          <w:sz w:val="28"/>
          <w:szCs w:val="28"/>
          <w:rtl/>
        </w:rPr>
        <w:t xml:space="preserve">مطالع البدور في منازل السرور، ج 14،</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Amiri" w:hAnsi="Amiri" w:eastAsia="Amiri" w:cs="Amiri"/>
          <w:lang w:bidi="ar-SA"/>
          <w:color w:val="111111"/>
          <w:sz w:val="28"/>
          <w:szCs w:val="28"/>
          <w:rtl/>
        </w:rPr>
        <w:t xml:space="preserve">بهائي ، محمّد بن حسين -شيخ بهائي ،</w:t>
      </w:r>
    </w:p>
    <w:p>
      <w:pPr>
        <w:pStyle w:val="BookText"/>
      </w:pPr>
      <w:r>
        <w:rPr>
          <w:rFonts w:ascii="Amiri" w:hAnsi="Amiri" w:eastAsia="Amiri" w:cs="Amiri"/>
          <w:lang w:bidi="ar-SA"/>
          <w:color w:val="111111"/>
          <w:sz w:val="28"/>
          <w:szCs w:val="28"/>
          <w:rtl/>
        </w:rPr>
        <w:t xml:space="preserve">محمّد بن حسين</w:t>
      </w:r>
    </w:p>
    <w:p>
      <w:pPr>
        <w:pStyle w:val="BookText"/>
      </w:pPr>
      <w:r>
        <w:rPr>
          <w:rFonts w:ascii="Amiri" w:hAnsi="Amiri" w:eastAsia="Amiri" w:cs="Amiri"/>
          <w:lang w:bidi="ar-SA"/>
          <w:color w:val="111111"/>
          <w:sz w:val="28"/>
          <w:szCs w:val="28"/>
          <w:rtl/>
        </w:rPr>
        <w:t xml:space="preserve">بهابادي يزدي ، عبد الله -يزدي ، ملاعبدالله</w:t>
      </w:r>
    </w:p>
    <w:p>
      <w:pPr>
        <w:pStyle w:val="Heading2"/>
      </w:pPr>
      <w:bookmarkStart w:id="2943" w:name="_Toc2045"/>
      <w:r>
        <w:t>بهاري ، غلام يحيى بن نجم الدين -</w:t>
      </w:r>
      <w:bookmarkEnd w:id="2943"/>
    </w:p>
    <w:p>
      <w:pPr>
        <w:pStyle w:val="BookText"/>
      </w:pPr>
      <w:r>
        <w:rPr>
          <w:rFonts w:ascii="IRNazanin" w:hAnsi="IRNazanin" w:eastAsia="IRNazanin" w:cs="IRNazanin"/>
          <w:lang w:bidi="fa-IR"/>
          <w:color w:val="111111"/>
          <w:sz w:val="28"/>
          <w:szCs w:val="28"/>
          <w:rtl/>
        </w:rPr>
        <w:t xml:space="preserve">1128 ه-</w:t>
      </w:r>
    </w:p>
    <w:p>
      <w:pPr>
        <w:pStyle w:val="BookText"/>
      </w:pPr>
      <w:r>
        <w:rPr>
          <w:rFonts w:ascii="Amiri" w:hAnsi="Amiri" w:eastAsia="Amiri" w:cs="Amiri"/>
          <w:lang w:bidi="ar-SA"/>
          <w:color w:val="111111"/>
          <w:sz w:val="28"/>
          <w:szCs w:val="28"/>
          <w:rtl/>
        </w:rPr>
        <w:t xml:space="preserve">لواء الهدى في الليل و الدجى = حاشية حاشية على التصور و التصديق</w:t>
      </w:r>
    </w:p>
    <w:p>
      <w:pPr>
        <w:pStyle w:val="BookText"/>
      </w:pPr>
      <w:r>
        <w:rPr>
          <w:rFonts w:ascii="IRNazanin" w:hAnsi="IRNazanin" w:eastAsia="IRNazanin" w:cs="IRNazanin"/>
          <w:lang w:bidi="fa-IR"/>
          <w:color w:val="111111"/>
          <w:sz w:val="28"/>
          <w:szCs w:val="28"/>
          <w:rtl/>
        </w:rPr>
        <w:t xml:space="preserve">ج 13، ص 632 .</w:t>
      </w:r>
    </w:p>
    <w:p>
      <w:pPr>
        <w:pStyle w:val="Heading2"/>
      </w:pPr>
      <w:bookmarkStart w:id="2944" w:name="_Toc2046"/>
      <w:r>
        <w:t>بهاري ، محب ، محب الله بن عبدالشكور</w:t>
      </w:r>
      <w:bookmarkEnd w:id="2944"/>
    </w:p>
    <w:p>
      <w:pPr>
        <w:pStyle w:val="BookText"/>
      </w:pPr>
      <w:r>
        <w:rPr>
          <w:rFonts w:ascii="IRNazanin" w:hAnsi="IRNazanin" w:eastAsia="IRNazanin" w:cs="IRNazanin"/>
          <w:lang w:bidi="fa-IR"/>
          <w:color w:val="111111"/>
          <w:sz w:val="28"/>
          <w:szCs w:val="28"/>
          <w:rtl/>
        </w:rPr>
        <w:t xml:space="preserve">1119 ه-</w:t>
      </w:r>
    </w:p>
    <w:p>
      <w:pPr>
        <w:pStyle w:val="BookText"/>
      </w:pPr>
      <w:r>
        <w:rPr>
          <w:rFonts w:ascii="Amiri" w:hAnsi="Amiri" w:eastAsia="Amiri" w:cs="Amiri"/>
          <w:lang w:bidi="ar-SA"/>
          <w:color w:val="111111"/>
          <w:sz w:val="28"/>
          <w:szCs w:val="28"/>
          <w:rtl/>
        </w:rPr>
        <w:t xml:space="preserve">1 .«ان موضوع الطبيعي ...» (رسالة</w:t>
      </w:r>
    </w:p>
    <w:p>
      <w:pPr>
        <w:pStyle w:val="BookText"/>
      </w:pPr>
      <w:r>
        <w:rPr>
          <w:rFonts w:ascii="Amiri" w:hAnsi="Amiri" w:eastAsia="Amiri" w:cs="Amiri"/>
          <w:lang w:bidi="ar-SA"/>
          <w:color w:val="111111"/>
          <w:sz w:val="28"/>
          <w:szCs w:val="28"/>
          <w:rtl/>
        </w:rPr>
        <w:t xml:space="preserve">في)، ج 2، ص 836.</w:t>
      </w:r>
    </w:p>
    <w:p>
      <w:pPr>
        <w:pStyle w:val="BookText"/>
      </w:pPr>
      <w:r>
        <w:rPr>
          <w:rFonts w:ascii="Amiri" w:hAnsi="Amiri" w:eastAsia="Amiri" w:cs="Amiri"/>
          <w:lang w:bidi="ar-SA"/>
          <w:color w:val="111111"/>
          <w:sz w:val="28"/>
          <w:szCs w:val="28"/>
          <w:rtl/>
        </w:rPr>
        <w:t xml:space="preserve">2 .برهان المنتصف في لاتناهي الابعاد</w:t>
      </w:r>
    </w:p>
    <w:p>
      <w:pPr>
        <w:pStyle w:val="BookText"/>
      </w:pPr>
      <w:r>
        <w:rPr>
          <w:rFonts w:ascii="IRNazanin" w:hAnsi="IRNazanin" w:eastAsia="IRNazanin" w:cs="IRNazanin"/>
          <w:lang w:bidi="fa-IR"/>
          <w:color w:val="111111"/>
          <w:sz w:val="28"/>
          <w:szCs w:val="28"/>
          <w:rtl/>
        </w:rPr>
        <w:t xml:space="preserve">ج 3، ص319.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0" w:name="pg7742_69946"/>
    <w:bookmarkEnd w:id="280"/>
    <w:p>
      <w:pPr>
        <w:pStyle w:val="BookText"/>
      </w:pPr>
      <w:r>
        <w:rPr>
          <w:rFonts w:ascii="Amiri" w:hAnsi="Amiri" w:eastAsia="Amiri" w:cs="Amiri"/>
          <w:lang w:bidi="ar-SA"/>
          <w:color w:val="111111"/>
          <w:sz w:val="28"/>
          <w:szCs w:val="28"/>
          <w:rtl/>
        </w:rPr>
        <w:t xml:space="preserve">3 .سلم العلوم في صناعة الميزان، ج 8،</w:t>
      </w:r>
    </w:p>
    <w:p>
      <w:pPr>
        <w:pStyle w:val="BookText"/>
      </w:pPr>
      <w:r>
        <w:rPr>
          <w:rFonts w:ascii="IRNazanin" w:hAnsi="IRNazanin" w:eastAsia="IRNazanin" w:cs="IRNazanin"/>
          <w:lang w:bidi="fa-IR"/>
          <w:color w:val="111111"/>
          <w:sz w:val="28"/>
          <w:szCs w:val="28"/>
          <w:rtl/>
        </w:rPr>
        <w:t xml:space="preserve">ص 815</w:t>
      </w:r>
    </w:p>
    <w:p>
      <w:pPr>
        <w:pStyle w:val="BookText"/>
      </w:pPr>
      <w:r>
        <w:rPr>
          <w:rFonts w:ascii="IRNazanin" w:hAnsi="IRNazanin" w:eastAsia="IRNazanin" w:cs="IRNazanin"/>
          <w:lang w:bidi="fa-IR"/>
          <w:color w:val="111111"/>
          <w:sz w:val="28"/>
          <w:szCs w:val="28"/>
          <w:rtl/>
        </w:rPr>
        <w:t xml:space="preserve">4 .مسلم الثبوت، ج 14، ص 586.</w:t>
      </w:r>
    </w:p>
    <w:p>
      <w:pPr>
        <w:pStyle w:val="BookText"/>
      </w:pPr>
      <w:r>
        <w:rPr>
          <w:rFonts w:ascii="Amiri" w:hAnsi="Amiri" w:eastAsia="Amiri" w:cs="Amiri"/>
          <w:lang w:bidi="ar-SA"/>
          <w:color w:val="111111"/>
          <w:sz w:val="28"/>
          <w:szCs w:val="28"/>
          <w:rtl/>
        </w:rPr>
        <w:t xml:space="preserve">5 .المغالطة العامة الورود (رسالة في)</w:t>
      </w:r>
    </w:p>
    <w:p>
      <w:pPr>
        <w:pStyle w:val="BookText"/>
      </w:pPr>
      <w:r>
        <w:rPr>
          <w:rFonts w:ascii="IRNazanin" w:hAnsi="IRNazanin" w:eastAsia="IRNazanin" w:cs="IRNazanin"/>
          <w:lang w:bidi="fa-IR"/>
          <w:color w:val="111111"/>
          <w:sz w:val="28"/>
          <w:szCs w:val="28"/>
          <w:rtl/>
        </w:rPr>
        <w:t xml:space="preserve">ج 15، ص 113.</w:t>
      </w:r>
    </w:p>
    <w:p>
      <w:pPr>
        <w:pStyle w:val="BookText"/>
      </w:pPr>
      <w:r>
        <w:rPr>
          <w:rFonts w:ascii="Amiri" w:hAnsi="Amiri" w:eastAsia="Amiri" w:cs="Amiri"/>
          <w:lang w:bidi="ar-SA"/>
          <w:color w:val="111111"/>
          <w:sz w:val="28"/>
          <w:szCs w:val="28"/>
          <w:rtl/>
        </w:rPr>
        <w:t xml:space="preserve">6 .موضوع الجسم (رسالة في)، ج 16 ،</w:t>
      </w:r>
    </w:p>
    <w:p>
      <w:pPr>
        <w:pStyle w:val="BookText"/>
      </w:pPr>
      <w:r>
        <w:rPr>
          <w:rFonts w:ascii="IRNazanin" w:hAnsi="IRNazanin" w:eastAsia="IRNazanin" w:cs="IRNazanin"/>
          <w:lang w:bidi="fa-IR"/>
          <w:color w:val="111111"/>
          <w:sz w:val="28"/>
          <w:szCs w:val="28"/>
          <w:rtl/>
        </w:rPr>
        <w:t xml:space="preserve">ص 36.</w:t>
      </w:r>
    </w:p>
    <w:p>
      <w:pPr>
        <w:pStyle w:val="Heading2"/>
      </w:pPr>
      <w:bookmarkStart w:id="2945" w:name="_Toc2047"/>
      <w:r>
        <w:t>بهاري همداني ، محمّد باقر بن محمّد</w:t>
      </w:r>
      <w:bookmarkEnd w:id="2945"/>
    </w:p>
    <w:p>
      <w:pPr>
        <w:pStyle w:val="BookText"/>
      </w:pPr>
      <w:r>
        <w:rPr>
          <w:rFonts w:ascii="IRNazanin" w:hAnsi="IRNazanin" w:eastAsia="IRNazanin" w:cs="IRNazanin"/>
          <w:lang w:bidi="fa-IR"/>
          <w:color w:val="111111"/>
          <w:sz w:val="28"/>
          <w:szCs w:val="28"/>
          <w:rtl/>
        </w:rPr>
        <w:t xml:space="preserve">جعفر 1277 - 1333 ه-</w:t>
      </w:r>
    </w:p>
    <w:p>
      <w:pPr>
        <w:pStyle w:val="BookText"/>
      </w:pPr>
      <w:r>
        <w:rPr>
          <w:rFonts w:ascii="IRNazanin" w:hAnsi="IRNazanin" w:eastAsia="IRNazanin" w:cs="IRNazanin"/>
          <w:lang w:bidi="fa-IR"/>
          <w:color w:val="111111"/>
          <w:sz w:val="28"/>
          <w:szCs w:val="28"/>
          <w:rtl/>
        </w:rPr>
        <w:t xml:space="preserve">الاجزاء، ج1، ص307.</w:t>
      </w:r>
    </w:p>
    <w:p>
      <w:pPr>
        <w:pStyle w:val="Heading2"/>
      </w:pPr>
      <w:bookmarkStart w:id="2946" w:name="_Toc2048"/>
      <w:r>
        <w:t>بهبهاني ، احمد بن محمّد علي، 1191 -</w:t>
      </w:r>
      <w:bookmarkEnd w:id="2946"/>
    </w:p>
    <w:p>
      <w:pPr>
        <w:pStyle w:val="BookText"/>
      </w:pPr>
      <w:r>
        <w:rPr>
          <w:rFonts w:ascii="IRNazanin" w:hAnsi="IRNazanin" w:eastAsia="IRNazanin" w:cs="IRNazanin"/>
          <w:lang w:bidi="fa-IR"/>
          <w:color w:val="111111"/>
          <w:sz w:val="28"/>
          <w:szCs w:val="28"/>
          <w:rtl/>
        </w:rPr>
        <w:t xml:space="preserve">1235 ؟ ه-</w:t>
      </w:r>
    </w:p>
    <w:p>
      <w:pPr>
        <w:pStyle w:val="BookText"/>
      </w:pPr>
      <w:r>
        <w:rPr>
          <w:rFonts w:ascii="IRNazanin" w:hAnsi="IRNazanin" w:eastAsia="IRNazanin" w:cs="IRNazanin"/>
          <w:lang w:bidi="fa-IR"/>
          <w:color w:val="111111"/>
          <w:sz w:val="28"/>
          <w:szCs w:val="28"/>
          <w:rtl/>
        </w:rPr>
        <w:t xml:space="preserve">1 .شرح المختصر النافع، ج10،</w:t>
      </w:r>
    </w:p>
    <w:p>
      <w:pPr>
        <w:pStyle w:val="BookText"/>
      </w:pPr>
      <w:r>
        <w:rPr>
          <w:rFonts w:ascii="IRNazanin" w:hAnsi="IRNazanin" w:eastAsia="IRNazanin" w:cs="IRNazanin"/>
          <w:lang w:bidi="fa-IR"/>
          <w:color w:val="111111"/>
          <w:sz w:val="28"/>
          <w:szCs w:val="28"/>
          <w:rtl/>
        </w:rPr>
        <w:t xml:space="preserve">ص 126 .</w:t>
      </w:r>
    </w:p>
    <w:p>
      <w:pPr>
        <w:pStyle w:val="BookText"/>
      </w:pPr>
      <w:r>
        <w:rPr>
          <w:rFonts w:ascii="Amiri" w:hAnsi="Amiri" w:eastAsia="Amiri" w:cs="Amiri"/>
          <w:lang w:bidi="ar-SA"/>
          <w:color w:val="111111"/>
          <w:sz w:val="28"/>
          <w:szCs w:val="28"/>
          <w:rtl/>
        </w:rPr>
        <w:t xml:space="preserve">2 .مرآة الاحوال = جهان نما ج 14</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مناهج الاحكام، ج 15 ، ص 560.</w:t>
      </w:r>
    </w:p>
    <w:p>
      <w:pPr>
        <w:pStyle w:val="Heading2"/>
      </w:pPr>
      <w:bookmarkStart w:id="2947" w:name="_Toc2049"/>
      <w:r>
        <w:t>بهبهاني اصفهاني ، محمّد باقر - 1144 ه-</w:t>
      </w:r>
      <w:bookmarkEnd w:id="2947"/>
    </w:p>
    <w:p>
      <w:pPr>
        <w:pStyle w:val="BookText"/>
      </w:pPr>
      <w:r>
        <w:rPr>
          <w:rFonts w:ascii="Amiri" w:hAnsi="Amiri" w:eastAsia="Amiri" w:cs="Amiri"/>
          <w:lang w:bidi="ar-SA"/>
          <w:color w:val="111111"/>
          <w:sz w:val="28"/>
          <w:szCs w:val="28"/>
          <w:rtl/>
        </w:rPr>
        <w:t xml:space="preserve">السوائل المعصورة حفظ الصحة (رسالة في)، ج8، ص 855.</w:t>
      </w:r>
    </w:p>
    <w:p>
      <w:pPr>
        <w:pStyle w:val="BookText"/>
      </w:pPr>
      <w:r>
        <w:rPr>
          <w:rFonts w:ascii="Amiri" w:hAnsi="Amiri" w:eastAsia="Amiri" w:cs="Amiri"/>
          <w:lang w:bidi="ar-SA"/>
          <w:color w:val="111111"/>
          <w:sz w:val="28"/>
          <w:szCs w:val="28"/>
          <w:rtl/>
        </w:rPr>
        <w:t xml:space="preserve">بهبهاني حائري ، محمّد باقر- وحيد</w:t>
      </w:r>
    </w:p>
    <w:p>
      <w:pPr>
        <w:pStyle w:val="BookText"/>
      </w:pPr>
      <w:r>
        <w:rPr>
          <w:rFonts w:ascii="IRNazanin" w:hAnsi="IRNazanin" w:eastAsia="IRNazanin" w:cs="IRNazanin"/>
          <w:lang w:bidi="fa-IR"/>
          <w:color w:val="111111"/>
          <w:sz w:val="28"/>
          <w:szCs w:val="28"/>
          <w:rtl/>
        </w:rPr>
        <w:t xml:space="preserve">بهبهاني ، محمّد باقر بن محمّد اکمل</w:t>
      </w:r>
    </w:p>
    <w:p>
      <w:pPr>
        <w:pStyle w:val="Heading2"/>
      </w:pPr>
      <w:bookmarkStart w:id="2948" w:name="_Toc2050"/>
      <w:r>
        <w:t>بهبهاني حائري، محمّد جعفر بن محمّد</w:t>
      </w:r>
      <w:bookmarkEnd w:id="2948"/>
    </w:p>
    <w:p>
      <w:pPr>
        <w:pStyle w:val="BookText"/>
      </w:pPr>
      <w:r>
        <w:rPr>
          <w:rFonts w:ascii="IRNazanin" w:hAnsi="IRNazanin" w:eastAsia="IRNazanin" w:cs="IRNazanin"/>
          <w:lang w:bidi="fa-IR"/>
          <w:color w:val="111111"/>
          <w:sz w:val="28"/>
          <w:szCs w:val="28"/>
          <w:rtl/>
        </w:rPr>
        <w:t xml:space="preserve">باقر، قرن 1254 ه-</w:t>
      </w:r>
    </w:p>
    <w:p>
      <w:pPr>
        <w:pStyle w:val="BookText"/>
      </w:pPr>
      <w:r>
        <w:rPr>
          <w:rFonts w:ascii="Amiri" w:hAnsi="Amiri" w:eastAsia="Amiri" w:cs="Amiri"/>
          <w:lang w:bidi="ar-SA"/>
          <w:color w:val="111111"/>
          <w:sz w:val="28"/>
          <w:szCs w:val="28"/>
          <w:rtl/>
        </w:rPr>
        <w:t xml:space="preserve">التذكرة في شرح التبصرة، ج4، ص 206.</w:t>
      </w:r>
    </w:p>
    <w:p>
      <w:pPr>
        <w:pStyle w:val="Heading2"/>
      </w:pPr>
      <w:bookmarkStart w:id="2949" w:name="_Toc2051"/>
      <w:r>
        <w:t>بهبهاني ، حسين بن علي</w:t>
      </w:r>
      <w:bookmarkEnd w:id="2949"/>
    </w:p>
    <w:p>
      <w:pPr>
        <w:pStyle w:val="BookText"/>
      </w:pPr>
      <w:r>
        <w:rPr>
          <w:rFonts w:ascii="Amiri" w:hAnsi="Amiri" w:eastAsia="Amiri" w:cs="Amiri"/>
          <w:lang w:bidi="ar-SA"/>
          <w:color w:val="111111"/>
          <w:sz w:val="28"/>
          <w:szCs w:val="28"/>
          <w:rtl/>
        </w:rPr>
        <w:t xml:space="preserve">الاربعين في خروج سبط الرسول الامين</w:t>
      </w:r>
    </w:p>
    <w:p>
      <w:pPr>
        <w:pStyle w:val="BookText"/>
      </w:pPr>
      <w:r>
        <w:rPr>
          <w:rFonts w:ascii="IRNazanin" w:hAnsi="IRNazanin" w:eastAsia="IRNazanin" w:cs="IRNazanin"/>
          <w:lang w:bidi="fa-IR"/>
          <w:color w:val="111111"/>
          <w:sz w:val="28"/>
          <w:szCs w:val="28"/>
          <w:rtl/>
        </w:rPr>
        <w:t xml:space="preserve">ج 1، ص 745.</w:t>
      </w:r>
    </w:p>
    <w:p>
      <w:pPr>
        <w:pStyle w:val="Heading2"/>
      </w:pPr>
      <w:bookmarkStart w:id="2950" w:name="_Toc2052"/>
      <w:r>
        <w:t>بهبهاني ، شمس الدين بن جمال الدين</w:t>
      </w:r>
      <w:bookmarkEnd w:id="2950"/>
    </w:p>
    <w:p>
      <w:pPr>
        <w:pStyle w:val="BookText"/>
      </w:pPr>
      <w:r>
        <w:rPr>
          <w:rFonts w:ascii="IRNazanin" w:hAnsi="IRNazanin" w:eastAsia="IRNazanin" w:cs="IRNazanin"/>
          <w:lang w:bidi="fa-IR"/>
          <w:color w:val="111111"/>
          <w:sz w:val="28"/>
          <w:szCs w:val="28"/>
          <w:rtl/>
        </w:rPr>
        <w:t xml:space="preserve">1248ه-</w:t>
      </w:r>
    </w:p>
    <w:p>
      <w:pPr>
        <w:pStyle w:val="BookText"/>
      </w:pPr>
      <w:r>
        <w:rPr>
          <w:rFonts w:ascii="Amiri" w:hAnsi="Amiri" w:eastAsia="Amiri" w:cs="Amiri"/>
          <w:lang w:bidi="ar-SA"/>
          <w:color w:val="111111"/>
          <w:sz w:val="28"/>
          <w:szCs w:val="28"/>
          <w:rtl/>
        </w:rPr>
        <w:t xml:space="preserve">1 .تعليقة على الروضة البهية، ج 4،</w:t>
      </w:r>
    </w:p>
    <w:p>
      <w:pPr>
        <w:pStyle w:val="BookText"/>
      </w:pPr>
      <w:r>
        <w:rPr>
          <w:rFonts w:ascii="IRNazanin" w:hAnsi="IRNazanin" w:eastAsia="IRNazanin" w:cs="IRNazanin"/>
          <w:lang w:bidi="fa-IR"/>
          <w:color w:val="111111"/>
          <w:sz w:val="28"/>
          <w:szCs w:val="28"/>
          <w:rtl/>
        </w:rPr>
        <w:t xml:space="preserve">ص 519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عملية، ج8، ص 226.</w:t>
      </w:r>
    </w:p>
    <w:p>
      <w:pPr>
        <w:pStyle w:val="Heading2"/>
      </w:pPr>
      <w:bookmarkStart w:id="2951" w:name="_Toc2053"/>
      <w:r>
        <w:t>بهبهاني ، عبد الحسين بن محمّد باقر -</w:t>
      </w:r>
      <w:bookmarkEnd w:id="2951"/>
    </w:p>
    <w:p>
      <w:pPr>
        <w:pStyle w:val="BookText"/>
      </w:pPr>
      <w:r>
        <w:rPr>
          <w:rFonts w:ascii="IRNazanin" w:hAnsi="IRNazanin" w:eastAsia="IRNazanin" w:cs="IRNazanin"/>
          <w:lang w:bidi="fa-IR"/>
          <w:color w:val="111111"/>
          <w:sz w:val="28"/>
          <w:szCs w:val="28"/>
          <w:rtl/>
        </w:rPr>
        <w:t xml:space="preserve">1240ه-</w:t>
      </w:r>
    </w:p>
    <w:p>
      <w:pPr>
        <w:pStyle w:val="BookText"/>
      </w:pPr>
      <w:r>
        <w:rPr>
          <w:rFonts w:ascii="Amiri" w:hAnsi="Amiri" w:eastAsia="Amiri" w:cs="Amiri"/>
          <w:lang w:bidi="ar-SA"/>
          <w:color w:val="111111"/>
          <w:sz w:val="28"/>
          <w:szCs w:val="28"/>
          <w:rtl/>
        </w:rPr>
        <w:t xml:space="preserve">ذخيرة المعاد في شرح الارشاد (ترجمه)</w:t>
      </w:r>
    </w:p>
    <w:p>
      <w:pPr>
        <w:pStyle w:val="BookText"/>
      </w:pPr>
      <w:r>
        <w:rPr>
          <w:rFonts w:ascii="IRNazanin" w:hAnsi="IRNazanin" w:eastAsia="IRNazanin" w:cs="IRNazanin"/>
          <w:lang w:bidi="fa-IR"/>
          <w:color w:val="111111"/>
          <w:sz w:val="28"/>
          <w:szCs w:val="28"/>
          <w:rtl/>
        </w:rPr>
        <w:t xml:space="preserve">ج 7، ص838</w:t>
      </w:r>
    </w:p>
    <w:p>
      <w:pPr>
        <w:pStyle w:val="Heading2"/>
      </w:pPr>
      <w:bookmarkStart w:id="2952" w:name="_Toc2054"/>
      <w:r>
        <w:t>بهبهاني ، عبدالله عبد الله بن محمّد - 1325 ؟ ه-</w:t>
      </w:r>
      <w:bookmarkEnd w:id="2952"/>
    </w:p>
    <w:p>
      <w:pPr>
        <w:pStyle w:val="BookText"/>
      </w:pPr>
      <w:r>
        <w:rPr>
          <w:rFonts w:ascii="IRNazanin" w:hAnsi="IRNazanin" w:eastAsia="IRNazanin" w:cs="IRNazanin"/>
          <w:lang w:bidi="fa-IR"/>
          <w:color w:val="111111"/>
          <w:sz w:val="28"/>
          <w:szCs w:val="28"/>
          <w:rtl/>
        </w:rPr>
        <w:t xml:space="preserve">خيرات باقیات، ج 7، ص188</w:t>
      </w:r>
    </w:p>
    <w:p>
      <w:pPr>
        <w:pStyle w:val="Heading2"/>
      </w:pPr>
      <w:bookmarkStart w:id="2953" w:name="_Toc2055"/>
      <w:r>
        <w:t>بهبهاني ، علي بن قطب الدين - 1206 ه-</w:t>
      </w:r>
      <w:bookmarkEnd w:id="2953"/>
    </w:p>
    <w:p>
      <w:pPr>
        <w:pStyle w:val="BookText"/>
      </w:pPr>
      <w:r>
        <w:rPr>
          <w:rFonts w:ascii="Amiri" w:hAnsi="Amiri" w:eastAsia="Amiri" w:cs="Amiri"/>
          <w:lang w:bidi="ar-SA"/>
          <w:color w:val="111111"/>
          <w:sz w:val="28"/>
          <w:szCs w:val="28"/>
          <w:rtl/>
        </w:rPr>
        <w:t xml:space="preserve">تفسير القرآن الكريم، ج4، ص 669.</w:t>
      </w:r>
    </w:p>
    <w:p>
      <w:pPr>
        <w:pStyle w:val="BookText"/>
      </w:pPr>
      <w:r>
        <w:rPr>
          <w:rFonts w:ascii="Amiri" w:hAnsi="Amiri" w:eastAsia="Amiri" w:cs="Amiri"/>
          <w:lang w:bidi="ar-SA"/>
          <w:color w:val="111111"/>
          <w:sz w:val="28"/>
          <w:szCs w:val="28"/>
          <w:rtl/>
        </w:rPr>
        <w:t xml:space="preserve">بهبهاني ، عمر بن عبد الرحمن -قزويني</w:t>
      </w:r>
    </w:p>
    <w:p>
      <w:pPr>
        <w:pStyle w:val="BookText"/>
      </w:pPr>
      <w:r>
        <w:rPr>
          <w:rFonts w:ascii="IRNazanin" w:hAnsi="IRNazanin" w:eastAsia="IRNazanin" w:cs="IRNazanin"/>
          <w:lang w:bidi="fa-IR"/>
          <w:color w:val="111111"/>
          <w:sz w:val="28"/>
          <w:szCs w:val="28"/>
          <w:rtl/>
        </w:rPr>
        <w:t xml:space="preserve">عمر بن عبدالرحمن</w:t>
      </w:r>
    </w:p>
    <w:p>
      <w:pPr>
        <w:pStyle w:val="BookText"/>
      </w:pPr>
      <w:r>
        <w:rPr>
          <w:rFonts w:ascii="IRNazanin" w:hAnsi="IRNazanin" w:eastAsia="IRNazanin" w:cs="IRNazanin"/>
          <w:lang w:bidi="fa-IR"/>
          <w:color w:val="111111"/>
          <w:sz w:val="28"/>
          <w:szCs w:val="28"/>
          <w:rtl/>
        </w:rPr>
        <w:t xml:space="preserve">1356 ه-</w:t>
      </w:r>
    </w:p>
    <w:p>
      <w:pPr>
        <w:pStyle w:val="Heading2"/>
      </w:pPr>
      <w:bookmarkStart w:id="2954" w:name="_Toc2056"/>
      <w:r>
        <w:t>بهبهاني ،غروي ، حسين بن اسدالله</w:t>
      </w:r>
      <w:bookmarkEnd w:id="2954"/>
    </w:p>
    <w:p>
      <w:pPr>
        <w:pStyle w:val="BookText"/>
      </w:pPr>
      <w:r>
        <w:rPr>
          <w:rFonts w:ascii="Amiri" w:hAnsi="Amiri" w:eastAsia="Amiri" w:cs="Amiri"/>
          <w:lang w:bidi="ar-SA"/>
          <w:color w:val="111111"/>
          <w:sz w:val="28"/>
          <w:szCs w:val="28"/>
          <w:rtl/>
        </w:rPr>
        <w:t xml:space="preserve">1 .اصول الفقه (كتاب في)، ج2،</w:t>
      </w:r>
    </w:p>
    <w:p>
      <w:pPr>
        <w:pStyle w:val="BookText"/>
      </w:pPr>
      <w:r>
        <w:rPr>
          <w:rFonts w:ascii="IRNazanin" w:hAnsi="IRNazanin" w:eastAsia="IRNazanin" w:cs="IRNazanin"/>
          <w:lang w:bidi="fa-IR"/>
          <w:color w:val="111111"/>
          <w:sz w:val="28"/>
          <w:szCs w:val="28"/>
          <w:rtl/>
        </w:rPr>
        <w:t xml:space="preserve">ص 439 .</w:t>
      </w:r>
    </w:p>
    <w:p>
      <w:pPr>
        <w:pStyle w:val="BookText"/>
      </w:pPr>
      <w:r>
        <w:rPr>
          <w:rFonts w:ascii="Amiri" w:hAnsi="Amiri" w:eastAsia="Amiri" w:cs="Amiri"/>
          <w:lang w:bidi="ar-SA"/>
          <w:color w:val="111111"/>
          <w:sz w:val="28"/>
          <w:szCs w:val="28"/>
          <w:rtl/>
        </w:rPr>
        <w:t xml:space="preserve">2 .تنبيه الواعظين و ايقاظ المفسرين</w:t>
      </w:r>
    </w:p>
    <w:p>
      <w:pPr>
        <w:pStyle w:val="BookText"/>
      </w:pPr>
      <w:r>
        <w:rPr>
          <w:rFonts w:ascii="IRNazanin" w:hAnsi="IRNazanin" w:eastAsia="IRNazanin" w:cs="IRNazanin"/>
          <w:lang w:bidi="fa-IR"/>
          <w:color w:val="111111"/>
          <w:sz w:val="28"/>
          <w:szCs w:val="28"/>
          <w:rtl/>
        </w:rPr>
        <w:t xml:space="preserve">ج 5، ص 43.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1" w:name="pg7742_69948"/>
    <w:bookmarkEnd w:id="281"/>
    <w:p>
      <w:pPr>
        <w:pStyle w:val="Heading2"/>
      </w:pPr>
      <w:bookmarkStart w:id="2955" w:name="_Toc2057"/>
      <w:r>
        <w:t>بهبهاني ، محمّد باقر بن عبدالکریم 1385 ه-</w:t>
      </w:r>
      <w:bookmarkEnd w:id="2955"/>
    </w:p>
    <w:p>
      <w:pPr>
        <w:pStyle w:val="BookText"/>
      </w:pPr>
      <w:r>
        <w:rPr>
          <w:rFonts w:ascii="Amiri" w:hAnsi="Amiri" w:eastAsia="Amiri" w:cs="Amiri"/>
          <w:lang w:bidi="ar-SA"/>
          <w:color w:val="111111"/>
          <w:sz w:val="28"/>
          <w:szCs w:val="28"/>
          <w:rtl/>
        </w:rPr>
        <w:t xml:space="preserve">الدمعة الساكبة في المصيبة الراتبة و المناقب الثاقبة و المثالب العائبة، ج 7،</w:t>
      </w:r>
    </w:p>
    <w:p>
      <w:pPr>
        <w:pStyle w:val="Heading2"/>
      </w:pPr>
      <w:bookmarkStart w:id="2956" w:name="_Toc2058"/>
      <w:r>
        <w:t>بهرام شاه بن فروخ - 628 ه-</w:t>
      </w:r>
      <w:bookmarkEnd w:id="2956"/>
    </w:p>
    <w:p>
      <w:pPr>
        <w:pStyle w:val="BookText"/>
      </w:pPr>
      <w:r>
        <w:rPr>
          <w:rFonts w:ascii="IRNazanin" w:hAnsi="IRNazanin" w:eastAsia="IRNazanin" w:cs="IRNazanin"/>
          <w:lang w:bidi="fa-IR"/>
          <w:color w:val="111111"/>
          <w:sz w:val="28"/>
          <w:szCs w:val="28"/>
          <w:rtl/>
        </w:rPr>
        <w:t xml:space="preserve">ص 476 .</w:t>
      </w:r>
    </w:p>
    <w:p>
      <w:pPr>
        <w:pStyle w:val="BookText"/>
      </w:pPr>
      <w:r>
        <w:rPr>
          <w:rFonts w:ascii="Amiri" w:hAnsi="Amiri" w:eastAsia="Amiri" w:cs="Amiri"/>
          <w:lang w:bidi="ar-SA"/>
          <w:color w:val="111111"/>
          <w:sz w:val="28"/>
          <w:szCs w:val="28"/>
          <w:rtl/>
        </w:rPr>
        <w:t xml:space="preserve">بهبهاني ، محمّد باقر بن محمّد اكمل -وحيد بهبهاني ، محمّد باقر بن محمّد</w:t>
      </w:r>
    </w:p>
    <w:p>
      <w:pPr>
        <w:pStyle w:val="BookText"/>
      </w:pPr>
      <w:r>
        <w:rPr>
          <w:rFonts w:ascii="IRNazanin" w:hAnsi="IRNazanin" w:eastAsia="IRNazanin" w:cs="IRNazanin"/>
          <w:lang w:bidi="fa-IR"/>
          <w:color w:val="111111"/>
          <w:sz w:val="28"/>
          <w:szCs w:val="28"/>
          <w:rtl/>
        </w:rPr>
        <w:t xml:space="preserve">اکمل</w:t>
      </w:r>
    </w:p>
    <w:p>
      <w:pPr>
        <w:pStyle w:val="BookText"/>
      </w:pPr>
      <w:r>
        <w:rPr>
          <w:rFonts w:ascii="Amiri" w:hAnsi="Amiri" w:eastAsia="Amiri" w:cs="Amiri"/>
          <w:lang w:bidi="ar-SA"/>
          <w:color w:val="111111"/>
          <w:sz w:val="28"/>
          <w:szCs w:val="28"/>
          <w:rtl/>
        </w:rPr>
        <w:t xml:space="preserve">ديوان الملك الامجد، ج 7، ص 776.</w:t>
      </w:r>
    </w:p>
    <w:p>
      <w:pPr>
        <w:pStyle w:val="Heading2"/>
      </w:pPr>
      <w:bookmarkStart w:id="2957" w:name="_Toc2059"/>
      <w:r>
        <w:t>بهبهاني ، محمّد جعفر بن محمّد علي</w:t>
      </w:r>
      <w:bookmarkEnd w:id="2957"/>
    </w:p>
    <w:p>
      <w:pPr>
        <w:pStyle w:val="BookText"/>
      </w:pPr>
      <w:r>
        <w:rPr>
          <w:rFonts w:ascii="IRNazanin" w:hAnsi="IRNazanin" w:eastAsia="IRNazanin" w:cs="IRNazanin"/>
          <w:lang w:bidi="fa-IR"/>
          <w:color w:val="111111"/>
          <w:sz w:val="28"/>
          <w:szCs w:val="28"/>
          <w:rtl/>
        </w:rPr>
        <w:t xml:space="preserve">1178 - 1259 ه-</w:t>
      </w:r>
    </w:p>
    <w:p>
      <w:pPr>
        <w:pStyle w:val="BookText"/>
      </w:pPr>
      <w:r>
        <w:rPr>
          <w:rFonts w:ascii="Amiri" w:hAnsi="Amiri" w:eastAsia="Amiri" w:cs="Amiri"/>
          <w:lang w:bidi="ar-SA"/>
          <w:color w:val="111111"/>
          <w:sz w:val="28"/>
          <w:szCs w:val="28"/>
          <w:rtl/>
        </w:rPr>
        <w:t xml:space="preserve">1 .انيس الطلاب، ج3، ص37.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تحفة الابرار، ج3، ص772</w:t>
      </w:r>
    </w:p>
    <w:p>
      <w:pPr>
        <w:pStyle w:val="BookText"/>
      </w:pPr>
      <w:r>
        <w:rPr>
          <w:rFonts w:ascii="Amiri" w:hAnsi="Amiri" w:eastAsia="Amiri" w:cs="Amiri"/>
          <w:lang w:bidi="ar-SA"/>
          <w:color w:val="111111"/>
          <w:sz w:val="28"/>
          <w:szCs w:val="28"/>
          <w:rtl/>
        </w:rPr>
        <w:t xml:space="preserve">3 .التذكرة في شرح ديباجة التبصرة</w:t>
      </w:r>
    </w:p>
    <w:p>
      <w:pPr>
        <w:pStyle w:val="BookText"/>
      </w:pPr>
      <w:r>
        <w:rPr>
          <w:rFonts w:ascii="IRNazanin" w:hAnsi="IRNazanin" w:eastAsia="IRNazanin" w:cs="IRNazanin"/>
          <w:lang w:bidi="fa-IR"/>
          <w:color w:val="111111"/>
          <w:sz w:val="28"/>
          <w:szCs w:val="28"/>
          <w:rtl/>
        </w:rPr>
        <w:t xml:space="preserve">ج 4، ص 207.</w:t>
      </w:r>
    </w:p>
    <w:p>
      <w:pPr>
        <w:pStyle w:val="BookText"/>
      </w:pPr>
      <w:r>
        <w:rPr>
          <w:rFonts w:ascii="Amiri" w:hAnsi="Amiri" w:eastAsia="Amiri" w:cs="Amiri"/>
          <w:lang w:bidi="ar-SA"/>
          <w:color w:val="111111"/>
          <w:sz w:val="28"/>
          <w:szCs w:val="28"/>
          <w:rtl/>
        </w:rPr>
        <w:t xml:space="preserve">4 .التكملة في شرح التبصرة = شرح</w:t>
      </w:r>
    </w:p>
    <w:p>
      <w:pPr>
        <w:pStyle w:val="BookText"/>
      </w:pPr>
      <w:r>
        <w:rPr>
          <w:rFonts w:ascii="Amiri" w:hAnsi="Amiri" w:eastAsia="Amiri" w:cs="Amiri"/>
          <w:lang w:bidi="ar-SA"/>
          <w:color w:val="111111"/>
          <w:sz w:val="28"/>
          <w:szCs w:val="28"/>
          <w:rtl/>
        </w:rPr>
        <w:t xml:space="preserve">تبصرة المتعلمين، ج4، ص819</w:t>
      </w:r>
    </w:p>
    <w:p>
      <w:pPr>
        <w:pStyle w:val="BookText"/>
      </w:pPr>
      <w:r>
        <w:rPr>
          <w:rFonts w:ascii="Amiri" w:hAnsi="Amiri" w:eastAsia="Amiri" w:cs="Amiri"/>
          <w:lang w:bidi="ar-SA"/>
          <w:color w:val="111111"/>
          <w:sz w:val="28"/>
          <w:szCs w:val="28"/>
          <w:rtl/>
        </w:rPr>
        <w:t xml:space="preserve">5 .المصابيح المنيفة في شرح مفاتيح</w:t>
      </w:r>
    </w:p>
    <w:p>
      <w:pPr>
        <w:pStyle w:val="BookText"/>
      </w:pPr>
      <w:r>
        <w:rPr>
          <w:rFonts w:ascii="Amiri" w:hAnsi="Amiri" w:eastAsia="Amiri" w:cs="Amiri"/>
          <w:lang w:bidi="ar-SA"/>
          <w:color w:val="111111"/>
          <w:sz w:val="28"/>
          <w:szCs w:val="28"/>
          <w:rtl/>
        </w:rPr>
        <w:t xml:space="preserve">الشريعة، ج 14 ، ص 691 .</w:t>
      </w:r>
    </w:p>
    <w:p>
      <w:pPr>
        <w:pStyle w:val="Heading2"/>
      </w:pPr>
      <w:bookmarkStart w:id="2958" w:name="_Toc2060"/>
      <w:r>
        <w:t>بهبهاني ، محمّد زكي بن فرج</w:t>
      </w:r>
      <w:bookmarkEnd w:id="2958"/>
    </w:p>
    <w:p>
      <w:pPr>
        <w:pStyle w:val="BookText"/>
      </w:pPr>
      <w:r>
        <w:rPr>
          <w:rFonts w:ascii="Amiri" w:hAnsi="Amiri" w:eastAsia="Amiri" w:cs="Amiri"/>
          <w:lang w:bidi="ar-SA"/>
          <w:color w:val="111111"/>
          <w:sz w:val="28"/>
          <w:szCs w:val="28"/>
          <w:rtl/>
        </w:rPr>
        <w:t xml:space="preserve">ذخيرة الفرائض، ج 7، ص 829</w:t>
      </w:r>
    </w:p>
    <w:p>
      <w:pPr>
        <w:pStyle w:val="BookText"/>
      </w:pPr>
      <w:r>
        <w:rPr>
          <w:rFonts w:ascii="Amiri" w:hAnsi="Amiri" w:eastAsia="Amiri" w:cs="Amiri"/>
          <w:lang w:bidi="ar-SA"/>
          <w:color w:val="111111"/>
          <w:sz w:val="28"/>
          <w:szCs w:val="28"/>
          <w:rtl/>
        </w:rPr>
        <w:t xml:space="preserve">بهبهاني ، محمّد علي بن محمّد</w:t>
      </w:r>
    </w:p>
    <w:p>
      <w:pPr>
        <w:pStyle w:val="BookText"/>
      </w:pPr>
      <w:r>
        <w:rPr>
          <w:rFonts w:ascii="Amiri" w:hAnsi="Amiri" w:eastAsia="Amiri" w:cs="Amiri"/>
          <w:lang w:bidi="ar-SA"/>
          <w:color w:val="111111"/>
          <w:sz w:val="28"/>
          <w:szCs w:val="28"/>
          <w:rtl/>
        </w:rPr>
        <w:t xml:space="preserve">باقر -آقا محمّد علي كرمانشاهي</w:t>
      </w:r>
    </w:p>
    <w:p>
      <w:pPr>
        <w:pStyle w:val="Heading2"/>
      </w:pPr>
      <w:bookmarkStart w:id="2959" w:name="_Toc2061"/>
      <w:r>
        <w:t>بهبهاني ، محمود بن محمّد علي، 1200 -</w:t>
      </w:r>
      <w:bookmarkEnd w:id="2959"/>
    </w:p>
    <w:p>
      <w:pPr>
        <w:pStyle w:val="BookText"/>
      </w:pPr>
      <w:r>
        <w:rPr>
          <w:rFonts w:ascii="IRNazanin" w:hAnsi="IRNazanin" w:eastAsia="IRNazanin" w:cs="IRNazanin"/>
          <w:lang w:bidi="fa-IR"/>
          <w:color w:val="111111"/>
          <w:sz w:val="28"/>
          <w:szCs w:val="28"/>
          <w:rtl/>
        </w:rPr>
        <w:t xml:space="preserve">1271 ه-</w:t>
      </w:r>
    </w:p>
    <w:p>
      <w:pPr>
        <w:pStyle w:val="BookText"/>
      </w:pPr>
      <w:r>
        <w:rPr>
          <w:rFonts w:ascii="Amiri" w:hAnsi="Amiri" w:eastAsia="Amiri" w:cs="Amiri"/>
          <w:lang w:bidi="ar-SA"/>
          <w:color w:val="111111"/>
          <w:sz w:val="28"/>
          <w:szCs w:val="28"/>
          <w:rtl/>
        </w:rPr>
        <w:t xml:space="preserve">1 .الجنة الواقية، ج 5، ص 467.</w:t>
      </w:r>
    </w:p>
    <w:p>
      <w:pPr>
        <w:pStyle w:val="BookText"/>
      </w:pPr>
      <w:r>
        <w:rPr>
          <w:rFonts w:ascii="Amiri" w:hAnsi="Amiri" w:eastAsia="Amiri" w:cs="Amiri"/>
          <w:lang w:bidi="ar-SA"/>
          <w:color w:val="111111"/>
          <w:sz w:val="28"/>
          <w:szCs w:val="28"/>
          <w:rtl/>
        </w:rPr>
        <w:t xml:space="preserve">2.مفتاح النجاة في شرح دعاء</w:t>
      </w:r>
    </w:p>
    <w:p>
      <w:pPr>
        <w:pStyle w:val="BookText"/>
      </w:pPr>
      <w:r>
        <w:rPr>
          <w:rFonts w:ascii="IRNazanin" w:hAnsi="IRNazanin" w:eastAsia="IRNazanin" w:cs="IRNazanin"/>
          <w:lang w:bidi="fa-IR"/>
          <w:color w:val="111111"/>
          <w:sz w:val="28"/>
          <w:szCs w:val="28"/>
          <w:rtl/>
        </w:rPr>
        <w:t xml:space="preserve">السمات، ج 15 ، ص 232.</w:t>
      </w:r>
    </w:p>
    <w:p>
      <w:pPr>
        <w:pStyle w:val="BookText"/>
      </w:pPr>
      <w:r>
        <w:rPr>
          <w:rFonts w:ascii="Amiri" w:hAnsi="Amiri" w:eastAsia="Amiri" w:cs="Amiri"/>
          <w:lang w:bidi="ar-SA"/>
          <w:color w:val="111111"/>
          <w:sz w:val="28"/>
          <w:szCs w:val="28"/>
          <w:rtl/>
        </w:rPr>
        <w:t xml:space="preserve">بهرام بن عبدالله سلمي دميري- دميري ،</w:t>
      </w:r>
    </w:p>
    <w:p>
      <w:pPr>
        <w:pStyle w:val="BookText"/>
      </w:pPr>
      <w:r>
        <w:rPr>
          <w:rFonts w:ascii="IRNazanin" w:hAnsi="IRNazanin" w:eastAsia="IRNazanin" w:cs="IRNazanin"/>
          <w:lang w:bidi="fa-IR"/>
          <w:color w:val="111111"/>
          <w:sz w:val="28"/>
          <w:szCs w:val="28"/>
          <w:rtl/>
        </w:rPr>
        <w:t xml:space="preserve">بهرام بن عبدالله</w:t>
      </w:r>
    </w:p>
    <w:p>
      <w:pPr>
        <w:pStyle w:val="Heading2"/>
      </w:pPr>
      <w:bookmarkStart w:id="2960" w:name="_Toc2062"/>
      <w:r>
        <w:t>بهران ، محمّد بن يحيى 888 - 957</w:t>
      </w:r>
      <w:bookmarkEnd w:id="2960"/>
    </w:p>
    <w:p>
      <w:pPr>
        <w:pStyle w:val="BookText"/>
      </w:pPr>
      <w:r>
        <w:rPr>
          <w:rFonts w:ascii="Amiri" w:hAnsi="Amiri" w:eastAsia="Amiri" w:cs="Amiri"/>
          <w:lang w:bidi="ar-SA"/>
          <w:color w:val="111111"/>
          <w:sz w:val="28"/>
          <w:szCs w:val="28"/>
          <w:rtl/>
        </w:rPr>
        <w:t xml:space="preserve">1 .لامية ابن بهران، ج13، ص 525.</w:t>
      </w:r>
    </w:p>
    <w:p>
      <w:pPr>
        <w:pStyle w:val="BookText"/>
      </w:pPr>
      <w:r>
        <w:rPr>
          <w:rFonts w:ascii="Amiri" w:hAnsi="Amiri" w:eastAsia="Amiri" w:cs="Amiri"/>
          <w:lang w:bidi="ar-SA"/>
          <w:color w:val="111111"/>
          <w:sz w:val="28"/>
          <w:szCs w:val="28"/>
          <w:rtl/>
        </w:rPr>
        <w:t xml:space="preserve">2 .معتمد ذوي العقول من جامع</w:t>
      </w:r>
    </w:p>
    <w:p>
      <w:pPr>
        <w:pStyle w:val="BookText"/>
      </w:pPr>
      <w:r>
        <w:rPr>
          <w:rFonts w:ascii="IRNazanin" w:hAnsi="IRNazanin" w:eastAsia="IRNazanin" w:cs="IRNazanin"/>
          <w:lang w:bidi="fa-IR"/>
          <w:color w:val="111111"/>
          <w:sz w:val="28"/>
          <w:szCs w:val="28"/>
          <w:rtl/>
        </w:rPr>
        <w:t xml:space="preserve">الاصول، ج 15 ، ص 7.</w:t>
      </w:r>
    </w:p>
    <w:p>
      <w:pPr>
        <w:pStyle w:val="BookText"/>
      </w:pPr>
      <w:r>
        <w:rPr>
          <w:rFonts w:ascii="Amiri" w:hAnsi="Amiri" w:eastAsia="Amiri" w:cs="Amiri"/>
          <w:lang w:bidi="ar-SA"/>
          <w:color w:val="111111"/>
          <w:sz w:val="28"/>
          <w:szCs w:val="28"/>
          <w:rtl/>
        </w:rPr>
        <w:t xml:space="preserve">بهسني ، احمد بن احمد -توقادي ، احمد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بهسني ، عبدالوهاب بن حسين- وراق</w:t>
      </w:r>
    </w:p>
    <w:p>
      <w:pPr>
        <w:pStyle w:val="BookText"/>
      </w:pPr>
      <w:r>
        <w:rPr>
          <w:rFonts w:ascii="Amiri" w:hAnsi="Amiri" w:eastAsia="Amiri" w:cs="Amiri"/>
          <w:lang w:bidi="ar-SA"/>
          <w:color w:val="111111"/>
          <w:sz w:val="28"/>
          <w:szCs w:val="28"/>
          <w:rtl/>
        </w:rPr>
        <w:t xml:space="preserve">عبدالوهاب بن حسين</w:t>
      </w:r>
    </w:p>
    <w:p>
      <w:pPr>
        <w:pStyle w:val="Heading2"/>
      </w:pPr>
      <w:bookmarkStart w:id="2961" w:name="_Toc2063"/>
      <w:r>
        <w:t>بهشتي ، احمد بن رمضان - 797 ه-</w:t>
      </w:r>
      <w:bookmarkEnd w:id="2961"/>
    </w:p>
    <w:p>
      <w:pPr>
        <w:pStyle w:val="BookText"/>
      </w:pPr>
      <w:r>
        <w:rPr>
          <w:rFonts w:ascii="Amiri" w:hAnsi="Amiri" w:eastAsia="Amiri" w:cs="Amiri"/>
          <w:lang w:bidi="ar-SA"/>
          <w:color w:val="111111"/>
          <w:sz w:val="28"/>
          <w:szCs w:val="28"/>
          <w:rtl/>
        </w:rPr>
        <w:t xml:space="preserve">شرح رسالة آداب البحث العضدية =</w:t>
      </w:r>
    </w:p>
    <w:p>
      <w:pPr>
        <w:pStyle w:val="BookText"/>
      </w:pPr>
      <w:r>
        <w:rPr>
          <w:rFonts w:ascii="Amiri" w:hAnsi="Amiri" w:eastAsia="Amiri" w:cs="Amiri"/>
          <w:lang w:bidi="ar-SA"/>
          <w:color w:val="111111"/>
          <w:sz w:val="28"/>
          <w:szCs w:val="28"/>
          <w:rtl/>
        </w:rPr>
        <w:t xml:space="preserve">رسالة البهشتي، ج 9، ص 508.</w:t>
      </w:r>
    </w:p>
    <w:p>
      <w:pPr>
        <w:pStyle w:val="Heading2"/>
      </w:pPr>
      <w:bookmarkStart w:id="2962" w:name="_Toc2064"/>
      <w:r>
        <w:t>بهشتي اسفرايني ، محمّد بن احمد</w:t>
      </w:r>
      <w:bookmarkEnd w:id="2962"/>
    </w:p>
    <w:p>
      <w:pPr>
        <w:pStyle w:val="BookText"/>
      </w:pPr>
      <w:r>
        <w:rPr>
          <w:rFonts w:ascii="IRNazanin" w:hAnsi="IRNazanin" w:eastAsia="IRNazanin" w:cs="IRNazanin"/>
          <w:lang w:bidi="fa-IR"/>
          <w:color w:val="111111"/>
          <w:sz w:val="28"/>
          <w:szCs w:val="28"/>
          <w:rtl/>
        </w:rPr>
        <w:t xml:space="preserve">749 ه-</w:t>
      </w:r>
    </w:p>
    <w:p>
      <w:pPr>
        <w:pStyle w:val="BookText"/>
      </w:pPr>
      <w:r>
        <w:rPr>
          <w:rFonts w:ascii="Amiri" w:hAnsi="Amiri" w:eastAsia="Amiri" w:cs="Amiri"/>
          <w:lang w:bidi="ar-SA"/>
          <w:color w:val="111111"/>
          <w:sz w:val="28"/>
          <w:szCs w:val="28"/>
          <w:rtl/>
        </w:rPr>
        <w:t xml:space="preserve">1 .الحساب والجبر والمقابلة = رسالة</w:t>
      </w:r>
    </w:p>
    <w:p>
      <w:pPr>
        <w:pStyle w:val="BookText"/>
      </w:pPr>
      <w:r>
        <w:rPr>
          <w:rFonts w:ascii="Amiri" w:hAnsi="Amiri" w:eastAsia="Amiri" w:cs="Amiri"/>
          <w:lang w:bidi="ar-SA"/>
          <w:color w:val="111111"/>
          <w:sz w:val="28"/>
          <w:szCs w:val="28"/>
          <w:rtl/>
        </w:rPr>
        <w:t xml:space="preserve">البهشتية = ما لابد للفقيه من</w:t>
      </w:r>
    </w:p>
    <w:p>
      <w:pPr>
        <w:pStyle w:val="BookText"/>
      </w:pPr>
      <w:r>
        <w:rPr>
          <w:rFonts w:ascii="IRNazanin" w:hAnsi="IRNazanin" w:eastAsia="IRNazanin" w:cs="IRNazanin"/>
          <w:lang w:bidi="fa-IR"/>
          <w:color w:val="111111"/>
          <w:sz w:val="28"/>
          <w:szCs w:val="28"/>
          <w:rtl/>
        </w:rPr>
        <w:t xml:space="preserve">الحساب، ج 6، ص 647.</w:t>
      </w:r>
    </w:p>
    <w:p>
      <w:pPr>
        <w:pStyle w:val="BookText"/>
      </w:pPr>
      <w:r>
        <w:rPr>
          <w:rFonts w:ascii="Amiri" w:hAnsi="Amiri" w:eastAsia="Amiri" w:cs="Amiri"/>
          <w:lang w:bidi="ar-SA"/>
          <w:color w:val="111111"/>
          <w:sz w:val="28"/>
          <w:szCs w:val="28"/>
          <w:rtl/>
        </w:rPr>
        <w:t xml:space="preserve">2 .الرسالة العينية في الحكمة</w:t>
      </w:r>
    </w:p>
    <w:p>
      <w:pPr>
        <w:pStyle w:val="BookText"/>
      </w:pPr>
      <w:r>
        <w:rPr>
          <w:rFonts w:ascii="Amiri" w:hAnsi="Amiri" w:eastAsia="Amiri" w:cs="Amiri"/>
          <w:lang w:bidi="ar-SA"/>
          <w:color w:val="111111"/>
          <w:sz w:val="28"/>
          <w:szCs w:val="28"/>
          <w:rtl/>
        </w:rPr>
        <w:t xml:space="preserve">الحقيقية، ج8، ص233.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2" w:name="pg7742_69950"/>
    <w:bookmarkEnd w:id="282"/>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القصيدة الطنطرانية، ج9،</w:t>
      </w:r>
    </w:p>
    <w:p>
      <w:pPr>
        <w:pStyle w:val="BookText"/>
      </w:pPr>
      <w:r>
        <w:rPr>
          <w:rFonts w:ascii="IRNazanin" w:hAnsi="IRNazanin" w:eastAsia="IRNazanin" w:cs="IRNazanin"/>
          <w:lang w:bidi="fa-IR"/>
          <w:color w:val="111111"/>
          <w:sz w:val="28"/>
          <w:szCs w:val="28"/>
          <w:rtl/>
        </w:rPr>
        <w:t xml:space="preserve">ص 873.</w:t>
      </w:r>
    </w:p>
    <w:p>
      <w:pPr>
        <w:pStyle w:val="BookText"/>
      </w:pPr>
      <w:r>
        <w:rPr>
          <w:rFonts w:ascii="Amiri" w:hAnsi="Amiri" w:eastAsia="Amiri" w:cs="Amiri"/>
          <w:lang w:bidi="ar-SA"/>
          <w:color w:val="111111"/>
          <w:sz w:val="28"/>
          <w:szCs w:val="28"/>
          <w:rtl/>
        </w:rPr>
        <w:t xml:space="preserve">4 .المآب في شرح الآداب، ج13،</w:t>
      </w:r>
    </w:p>
    <w:p>
      <w:pPr>
        <w:pStyle w:val="BookText"/>
      </w:pPr>
      <w:r>
        <w:rPr>
          <w:rFonts w:ascii="IRNazanin" w:hAnsi="IRNazanin" w:eastAsia="IRNazanin" w:cs="IRNazanin"/>
          <w:lang w:bidi="fa-IR"/>
          <w:color w:val="111111"/>
          <w:sz w:val="28"/>
          <w:szCs w:val="28"/>
          <w:rtl/>
        </w:rPr>
        <w:t xml:space="preserve">ص 671 .</w:t>
      </w:r>
    </w:p>
    <w:p>
      <w:pPr>
        <w:pStyle w:val="Heading2"/>
      </w:pPr>
      <w:bookmarkStart w:id="2963" w:name="_Toc2065"/>
      <w:r>
        <w:t>بهشتي رشتي ، محمّد علي بن حسين قرن 13 ه-</w:t>
      </w:r>
      <w:bookmarkEnd w:id="2963"/>
    </w:p>
    <w:p>
      <w:pPr>
        <w:pStyle w:val="BookText"/>
      </w:pPr>
      <w:r>
        <w:rPr>
          <w:rFonts w:ascii="Amiri" w:hAnsi="Amiri" w:eastAsia="Amiri" w:cs="Amiri"/>
          <w:lang w:bidi="ar-SA"/>
          <w:color w:val="111111"/>
          <w:sz w:val="28"/>
          <w:szCs w:val="28"/>
          <w:rtl/>
        </w:rPr>
        <w:t xml:space="preserve">1 .حلية المرتلين، ج 6، ص 818.</w:t>
      </w:r>
    </w:p>
    <w:p>
      <w:pPr>
        <w:pStyle w:val="BookText"/>
      </w:pPr>
      <w:r>
        <w:rPr>
          <w:rFonts w:ascii="Amiri" w:hAnsi="Amiri" w:eastAsia="Amiri" w:cs="Amiri"/>
          <w:lang w:bidi="ar-SA"/>
          <w:color w:val="111111"/>
          <w:sz w:val="28"/>
          <w:szCs w:val="28"/>
          <w:rtl/>
        </w:rPr>
        <w:t xml:space="preserve">2 .رياض المؤمنين، ج8، ص 492.</w:t>
      </w:r>
    </w:p>
    <w:p>
      <w:pPr>
        <w:pStyle w:val="Heading2"/>
      </w:pPr>
      <w:bookmarkStart w:id="2964" w:name="_Toc2066"/>
      <w:r>
        <w:t>بهشتي رمضان بن عبد المحسن، 979 ه-</w:t>
      </w:r>
      <w:bookmarkEnd w:id="2964"/>
    </w:p>
    <w:p>
      <w:pPr>
        <w:pStyle w:val="BookText"/>
      </w:pPr>
      <w:r>
        <w:rPr>
          <w:rFonts w:ascii="Amiri" w:hAnsi="Amiri" w:eastAsia="Amiri" w:cs="Amiri"/>
          <w:lang w:bidi="ar-SA"/>
          <w:color w:val="111111"/>
          <w:sz w:val="28"/>
          <w:szCs w:val="28"/>
          <w:rtl/>
        </w:rPr>
        <w:t xml:space="preserve">حاشية شرح العقائد النسفية، ج 6،</w:t>
      </w:r>
    </w:p>
    <w:p>
      <w:pPr>
        <w:pStyle w:val="BookText"/>
      </w:pPr>
      <w:r>
        <w:rPr>
          <w:rFonts w:ascii="IRNazanin" w:hAnsi="IRNazanin" w:eastAsia="IRNazanin" w:cs="IRNazanin"/>
          <w:lang w:bidi="fa-IR"/>
          <w:color w:val="111111"/>
          <w:sz w:val="28"/>
          <w:szCs w:val="28"/>
          <w:rtl/>
        </w:rPr>
        <w:t xml:space="preserve">ص 151.</w:t>
      </w:r>
    </w:p>
    <w:p>
      <w:pPr>
        <w:pStyle w:val="BookText"/>
      </w:pPr>
      <w:r>
        <w:rPr>
          <w:rFonts w:ascii="Amiri" w:hAnsi="Amiri" w:eastAsia="Amiri" w:cs="Amiri"/>
          <w:lang w:bidi="ar-SA"/>
          <w:color w:val="111111"/>
          <w:sz w:val="28"/>
          <w:szCs w:val="28"/>
          <w:rtl/>
        </w:rPr>
        <w:t xml:space="preserve">بهكري ، محمّد معصوم ت-رمذي</w:t>
      </w:r>
    </w:p>
    <w:p>
      <w:pPr>
        <w:pStyle w:val="BookText"/>
      </w:pPr>
      <w:r>
        <w:rPr>
          <w:rFonts w:ascii="Amiri" w:hAnsi="Amiri" w:eastAsia="Amiri" w:cs="Amiri"/>
          <w:lang w:bidi="ar-SA"/>
          <w:color w:val="111111"/>
          <w:sz w:val="28"/>
          <w:szCs w:val="28"/>
          <w:rtl/>
        </w:rPr>
        <w:t xml:space="preserve">سمرقندي، محمّد معصوم</w:t>
      </w:r>
    </w:p>
    <w:p>
      <w:pPr>
        <w:pStyle w:val="Heading2"/>
      </w:pPr>
      <w:bookmarkStart w:id="2965" w:name="_Toc2067"/>
      <w:r>
        <w:t>بهكهاري ، مظهر بن مظفر قرن 12 ه-</w:t>
      </w:r>
      <w:bookmarkEnd w:id="2965"/>
    </w:p>
    <w:p>
      <w:pPr>
        <w:pStyle w:val="BookText"/>
      </w:pPr>
      <w:r>
        <w:rPr>
          <w:rFonts w:ascii="Amiri" w:hAnsi="Amiri" w:eastAsia="Amiri" w:cs="Amiri"/>
          <w:lang w:bidi="ar-SA"/>
          <w:color w:val="111111"/>
          <w:sz w:val="28"/>
          <w:szCs w:val="28"/>
          <w:rtl/>
        </w:rPr>
        <w:t xml:space="preserve">خلاصة العيش عالم شاهي، ج7، ص 119.</w:t>
      </w:r>
    </w:p>
    <w:p>
      <w:pPr>
        <w:pStyle w:val="Heading2"/>
      </w:pPr>
      <w:bookmarkStart w:id="2966" w:name="_Toc2068"/>
      <w:r>
        <w:t>بهلولي يماني ، جعفر بن احمد - 573 ه-</w:t>
      </w:r>
      <w:bookmarkEnd w:id="2966"/>
    </w:p>
    <w:p>
      <w:pPr>
        <w:pStyle w:val="BookText"/>
      </w:pPr>
      <w:r>
        <w:rPr>
          <w:rFonts w:ascii="Amiri" w:hAnsi="Amiri" w:eastAsia="Amiri" w:cs="Amiri"/>
          <w:lang w:bidi="ar-SA"/>
          <w:color w:val="111111"/>
          <w:sz w:val="28"/>
          <w:szCs w:val="28"/>
          <w:rtl/>
        </w:rPr>
        <w:t xml:space="preserve">إبانة المناهج في نصيحة الخوارج، ج 1،</w:t>
      </w:r>
    </w:p>
    <w:p>
      <w:pPr>
        <w:pStyle w:val="BookText"/>
      </w:pPr>
      <w:r>
        <w:rPr>
          <w:rFonts w:ascii="IRNazanin" w:hAnsi="IRNazanin" w:eastAsia="IRNazanin" w:cs="IRNazanin"/>
          <w:lang w:bidi="fa-IR"/>
          <w:color w:val="111111"/>
          <w:sz w:val="28"/>
          <w:szCs w:val="28"/>
          <w:rtl/>
        </w:rPr>
        <w:t xml:space="preserve">ص89.</w:t>
      </w:r>
    </w:p>
    <w:p>
      <w:pPr>
        <w:pStyle w:val="Heading2"/>
      </w:pPr>
      <w:bookmarkStart w:id="2967" w:name="_Toc2069"/>
      <w:r>
        <w:t>بهمنیار بن مرزبان - 458 ه-</w:t>
      </w:r>
      <w:bookmarkEnd w:id="29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التحصيل، ج3، ص 764.</w:t>
      </w:r>
    </w:p>
    <w:p>
      <w:pPr>
        <w:pStyle w:val="BookText"/>
      </w:pPr>
      <w:r>
        <w:rPr>
          <w:rFonts w:ascii="IRNazanin" w:hAnsi="IRNazanin" w:eastAsia="IRNazanin" w:cs="IRNazanin"/>
          <w:lang w:bidi="fa-IR"/>
          <w:color w:val="111111"/>
          <w:sz w:val="28"/>
          <w:szCs w:val="28"/>
          <w:rtl/>
        </w:rPr>
        <w:t xml:space="preserve">2.مراتب الموجودات، ج 14، ص 367.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 بهمنیار، ج 14، ص 439</w:t>
      </w:r>
    </w:p>
    <w:p>
      <w:pPr>
        <w:pStyle w:val="BookText"/>
      </w:pPr>
      <w:r>
        <w:rPr>
          <w:rFonts w:ascii="Amiri" w:hAnsi="Amiri" w:eastAsia="Amiri" w:cs="Amiri"/>
          <w:lang w:bidi="ar-SA"/>
          <w:color w:val="111111"/>
          <w:sz w:val="28"/>
          <w:szCs w:val="28"/>
          <w:rtl/>
        </w:rPr>
        <w:t xml:space="preserve">بهنام بدرية ، خوري خوري ، بهنام بدرية</w:t>
      </w:r>
    </w:p>
    <w:p>
      <w:pPr>
        <w:pStyle w:val="Heading2"/>
      </w:pPr>
      <w:bookmarkStart w:id="2968" w:name="_Toc2070"/>
      <w:r>
        <w:t>بهنان آبادي ، شمس الدین شاه</w:t>
      </w:r>
      <w:bookmarkEnd w:id="2968"/>
    </w:p>
    <w:p>
      <w:pPr>
        <w:pStyle w:val="BookText"/>
      </w:pPr>
      <w:r>
        <w:rPr>
          <w:rFonts w:ascii="Amiri" w:hAnsi="Amiri" w:eastAsia="Amiri" w:cs="Amiri"/>
          <w:lang w:bidi="ar-SA"/>
          <w:color w:val="111111"/>
          <w:sz w:val="28"/>
          <w:szCs w:val="28"/>
          <w:rtl/>
        </w:rPr>
        <w:t xml:space="preserve">الحداد من البلاغة، ج 6، ص 541.</w:t>
      </w:r>
    </w:p>
    <w:p>
      <w:pPr>
        <w:pStyle w:val="BookText"/>
      </w:pPr>
      <w:r>
        <w:rPr>
          <w:rFonts w:ascii="Amiri" w:hAnsi="Amiri" w:eastAsia="Amiri" w:cs="Amiri"/>
          <w:lang w:bidi="ar-SA"/>
          <w:color w:val="111111"/>
          <w:sz w:val="28"/>
          <w:szCs w:val="28"/>
          <w:rtl/>
        </w:rPr>
        <w:t xml:space="preserve">بهنسي ، عبد الوهاب بن حسين- وراق ،</w:t>
      </w:r>
    </w:p>
    <w:p>
      <w:pPr>
        <w:pStyle w:val="BookText"/>
      </w:pPr>
      <w:r>
        <w:rPr>
          <w:rFonts w:ascii="Amiri" w:hAnsi="Amiri" w:eastAsia="Amiri" w:cs="Amiri"/>
          <w:lang w:bidi="ar-SA"/>
          <w:color w:val="111111"/>
          <w:sz w:val="28"/>
          <w:szCs w:val="28"/>
          <w:rtl/>
        </w:rPr>
        <w:t xml:space="preserve">عبدالوهاب بن حسين</w:t>
      </w:r>
    </w:p>
    <w:p>
      <w:pPr>
        <w:pStyle w:val="Heading2"/>
      </w:pPr>
      <w:bookmarkStart w:id="2969" w:name="_Toc2071"/>
      <w:r>
        <w:t>بهنسي، محمّد بن عبدالرحمن قرن 10 ه-</w:t>
      </w:r>
      <w:bookmarkEnd w:id="2969"/>
    </w:p>
    <w:p>
      <w:pPr>
        <w:pStyle w:val="BookText"/>
      </w:pPr>
      <w:r>
        <w:rPr>
          <w:rFonts w:ascii="Amiri" w:hAnsi="Amiri" w:eastAsia="Amiri" w:cs="Amiri"/>
          <w:lang w:bidi="ar-SA"/>
          <w:color w:val="111111"/>
          <w:sz w:val="28"/>
          <w:szCs w:val="28"/>
          <w:rtl/>
        </w:rPr>
        <w:t xml:space="preserve">موثق التثبيت في علم الحديث ج 16،</w:t>
      </w:r>
    </w:p>
    <w:p>
      <w:pPr>
        <w:pStyle w:val="BookText"/>
      </w:pPr>
      <w:r>
        <w:rPr>
          <w:rFonts w:ascii="IRNazanin" w:hAnsi="IRNazanin" w:eastAsia="IRNazanin" w:cs="IRNazanin"/>
          <w:lang w:bidi="fa-IR"/>
          <w:color w:val="111111"/>
          <w:sz w:val="28"/>
          <w:szCs w:val="28"/>
          <w:rtl/>
        </w:rPr>
        <w:t xml:space="preserve">ص 2.</w:t>
      </w:r>
    </w:p>
    <w:p>
      <w:pPr>
        <w:pStyle w:val="BookText"/>
      </w:pPr>
      <w:r>
        <w:rPr>
          <w:rFonts w:ascii="Amiri" w:hAnsi="Amiri" w:eastAsia="Amiri" w:cs="Amiri"/>
          <w:lang w:bidi="ar-SA"/>
          <w:color w:val="111111"/>
          <w:sz w:val="28"/>
          <w:szCs w:val="28"/>
          <w:rtl/>
        </w:rPr>
        <w:t xml:space="preserve">بهنسي ، مهلب بن حسن- مهلبي ، مهلب</w:t>
      </w:r>
    </w:p>
    <w:p>
      <w:pPr>
        <w:pStyle w:val="BookText"/>
      </w:pPr>
      <w:r>
        <w:rPr>
          <w:rFonts w:ascii="IRNazanin" w:hAnsi="IRNazanin" w:eastAsia="IRNazanin" w:cs="IRNazanin"/>
          <w:lang w:bidi="fa-IR"/>
          <w:color w:val="111111"/>
          <w:sz w:val="28"/>
          <w:szCs w:val="28"/>
          <w:rtl/>
        </w:rPr>
        <w:t xml:space="preserve">بن حسن</w:t>
      </w:r>
    </w:p>
    <w:p>
      <w:pPr>
        <w:pStyle w:val="Heading2"/>
      </w:pPr>
      <w:bookmarkStart w:id="2970" w:name="_Toc2072"/>
      <w:r>
        <w:t>بهوتي، منصور بن يونس، 1000-1051 ه-</w:t>
      </w:r>
      <w:bookmarkEnd w:id="2970"/>
    </w:p>
    <w:p>
      <w:pPr>
        <w:pStyle w:val="BookText"/>
      </w:pPr>
      <w:r>
        <w:rPr>
          <w:rFonts w:ascii="Amiri" w:hAnsi="Amiri" w:eastAsia="Amiri" w:cs="Amiri"/>
          <w:lang w:bidi="ar-SA"/>
          <w:color w:val="111111"/>
          <w:sz w:val="28"/>
          <w:szCs w:val="28"/>
          <w:rtl/>
        </w:rPr>
        <w:t xml:space="preserve">1 .دقائق الأولى لشرح المنتهي، ج7،</w:t>
      </w:r>
    </w:p>
    <w:p>
      <w:pPr>
        <w:pStyle w:val="BookText"/>
      </w:pPr>
      <w:r>
        <w:rPr>
          <w:rFonts w:ascii="Amiri" w:hAnsi="Amiri" w:eastAsia="Amiri" w:cs="Amiri"/>
          <w:lang w:bidi="ar-SA"/>
          <w:color w:val="111111"/>
          <w:sz w:val="28"/>
          <w:szCs w:val="28"/>
          <w:rtl/>
        </w:rPr>
        <w:t xml:space="preserve">بهي</w:t>
      </w:r>
    </w:p>
    <w:p>
      <w:pPr>
        <w:pStyle w:val="BookText"/>
      </w:pPr>
      <w:r>
        <w:rPr>
          <w:rFonts w:ascii="IRNazanin" w:hAnsi="IRNazanin" w:eastAsia="IRNazanin" w:cs="IRNazanin"/>
          <w:lang w:bidi="fa-IR"/>
          <w:color w:val="111111"/>
          <w:sz w:val="28"/>
          <w:szCs w:val="28"/>
          <w:rtl/>
        </w:rPr>
        <w:t xml:space="preserve">ص 430 .</w:t>
      </w:r>
    </w:p>
    <w:p>
      <w:pPr>
        <w:pStyle w:val="BookText"/>
      </w:pPr>
      <w:r>
        <w:rPr>
          <w:rFonts w:ascii="Amiri" w:hAnsi="Amiri" w:eastAsia="Amiri" w:cs="Amiri"/>
          <w:lang w:bidi="ar-SA"/>
          <w:color w:val="111111"/>
          <w:sz w:val="28"/>
          <w:szCs w:val="28"/>
          <w:rtl/>
        </w:rPr>
        <w:t xml:space="preserve">2 .الروض المربع في شرح زاد المستنقع في اختصار المقنع، ج 8، ص 468.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كشاف القناع عن الإقناع، ج 13،</w:t>
      </w:r>
    </w:p>
    <w:p>
      <w:pPr>
        <w:pStyle w:val="BookText"/>
      </w:pPr>
      <w:r>
        <w:rPr>
          <w:rFonts w:ascii="IRNazanin" w:hAnsi="IRNazanin" w:eastAsia="IRNazanin" w:cs="IRNazanin"/>
          <w:lang w:bidi="fa-IR"/>
          <w:color w:val="111111"/>
          <w:sz w:val="28"/>
          <w:szCs w:val="28"/>
          <w:rtl/>
        </w:rPr>
        <w:t xml:space="preserve">ص 172 .</w:t>
      </w:r>
    </w:p>
    <w:p>
      <w:pPr>
        <w:pStyle w:val="BookText"/>
      </w:pPr>
      <w:r>
        <w:rPr>
          <w:rFonts w:ascii="Amiri" w:hAnsi="Amiri" w:eastAsia="Amiri" w:cs="Amiri"/>
          <w:lang w:bidi="ar-SA"/>
          <w:color w:val="111111"/>
          <w:sz w:val="28"/>
          <w:szCs w:val="28"/>
          <w:rtl/>
        </w:rPr>
        <w:t xml:space="preserve">4 .المنح الشافيات بشرح نظم</w:t>
      </w:r>
    </w:p>
    <w:p>
      <w:pPr>
        <w:pStyle w:val="BookText"/>
      </w:pPr>
      <w:r>
        <w:rPr>
          <w:rFonts w:ascii="IRNazanin" w:hAnsi="IRNazanin" w:eastAsia="IRNazanin" w:cs="IRNazanin"/>
          <w:lang w:bidi="fa-IR"/>
          <w:color w:val="111111"/>
          <w:sz w:val="28"/>
          <w:szCs w:val="28"/>
          <w:rtl/>
        </w:rPr>
        <w:t xml:space="preserve">المفردات، ج 15 ، ص 671.</w:t>
      </w:r>
    </w:p>
    <w:p>
      <w:pPr>
        <w:pStyle w:val="Heading2"/>
      </w:pPr>
      <w:bookmarkStart w:id="2971" w:name="_Toc2073"/>
      <w:r>
        <w:t>بهی، محمّد بن احمد</w:t>
      </w:r>
      <w:bookmarkEnd w:id="2971"/>
    </w:p>
    <w:p>
      <w:pPr>
        <w:pStyle w:val="BookText"/>
      </w:pPr>
      <w:r>
        <w:rPr>
          <w:rFonts w:ascii="Amiri" w:hAnsi="Amiri" w:eastAsia="Amiri" w:cs="Amiri"/>
          <w:lang w:bidi="ar-SA"/>
          <w:color w:val="111111"/>
          <w:sz w:val="28"/>
          <w:szCs w:val="28"/>
          <w:rtl/>
        </w:rPr>
        <w:t xml:space="preserve">1 .تكبير البهي من والضحى جع،</w:t>
      </w:r>
    </w:p>
    <w:p>
      <w:pPr>
        <w:pStyle w:val="BookText"/>
      </w:pPr>
      <w:r>
        <w:rPr>
          <w:rFonts w:ascii="IRNazanin" w:hAnsi="IRNazanin" w:eastAsia="IRNazanin" w:cs="IRNazanin"/>
          <w:lang w:bidi="fa-IR"/>
          <w:color w:val="111111"/>
          <w:sz w:val="28"/>
          <w:szCs w:val="28"/>
          <w:rtl/>
        </w:rPr>
        <w:t xml:space="preserve">ص 810.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سلسلة السادة الشاذلية، ج8،</w:t>
      </w:r>
    </w:p>
    <w:p>
      <w:pPr>
        <w:pStyle w:val="BookText"/>
      </w:pPr>
      <w:r>
        <w:rPr>
          <w:rFonts w:ascii="IRNazanin" w:hAnsi="IRNazanin" w:eastAsia="IRNazanin" w:cs="IRNazanin"/>
          <w:lang w:bidi="fa-IR"/>
          <w:color w:val="111111"/>
          <w:sz w:val="28"/>
          <w:szCs w:val="28"/>
          <w:rtl/>
        </w:rPr>
        <w:t xml:space="preserve">ص 805.</w:t>
      </w:r>
    </w:p>
    <w:p>
      <w:pPr>
        <w:pStyle w:val="BookText"/>
      </w:pPr>
      <w:r>
        <w:rPr>
          <w:rFonts w:ascii="Amiri" w:hAnsi="Amiri" w:eastAsia="Amiri" w:cs="Amiri"/>
          <w:lang w:bidi="ar-SA"/>
          <w:color w:val="111111"/>
          <w:sz w:val="28"/>
          <w:szCs w:val="28"/>
          <w:rtl/>
        </w:rPr>
        <w:t xml:space="preserve">بوجددي ، حسين بن عبدالله -بشدري ، حسين بن عبدالله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3" w:name="pg7742_69952"/>
    <w:bookmarkEnd w:id="283"/>
    <w:p>
      <w:pPr>
        <w:pStyle w:val="Heading2"/>
      </w:pPr>
      <w:bookmarkStart w:id="2972" w:name="_Toc2074"/>
      <w:r>
        <w:t>بوري نكده وي ، محمّد بن حسن قرن</w:t>
      </w:r>
      <w:bookmarkEnd w:id="2972"/>
    </w:p>
    <w:p>
      <w:pPr>
        <w:pStyle w:val="BookText"/>
      </w:pPr>
      <w:r>
        <w:rPr>
          <w:rFonts w:ascii="IRNazanin" w:hAnsi="IRNazanin" w:eastAsia="IRNazanin" w:cs="IRNazanin"/>
          <w:lang w:bidi="fa-IR"/>
          <w:color w:val="111111"/>
          <w:sz w:val="28"/>
          <w:szCs w:val="28"/>
          <w:rtl/>
        </w:rPr>
        <w:t xml:space="preserve">12ه-</w:t>
      </w:r>
    </w:p>
    <w:p>
      <w:pPr>
        <w:pStyle w:val="BookText"/>
      </w:pPr>
      <w:r>
        <w:rPr>
          <w:rFonts w:ascii="Amiri" w:hAnsi="Amiri" w:eastAsia="Amiri" w:cs="Amiri"/>
          <w:lang w:bidi="ar-SA"/>
          <w:color w:val="111111"/>
          <w:sz w:val="28"/>
          <w:szCs w:val="28"/>
          <w:rtl/>
        </w:rPr>
        <w:t xml:space="preserve">بيان المشكلات على المبتدئين من جهة</w:t>
      </w:r>
    </w:p>
    <w:p>
      <w:pPr>
        <w:pStyle w:val="BookText"/>
      </w:pPr>
      <w:r>
        <w:rPr>
          <w:rFonts w:ascii="Amiri" w:hAnsi="Amiri" w:eastAsia="Amiri" w:cs="Amiri"/>
          <w:lang w:bidi="ar-SA"/>
          <w:color w:val="111111"/>
          <w:sz w:val="28"/>
          <w:szCs w:val="28"/>
          <w:rtl/>
        </w:rPr>
        <w:t xml:space="preserve">التجويد في القرآن المبين، ج 3، ص 493.</w:t>
      </w:r>
    </w:p>
    <w:p>
      <w:pPr>
        <w:pStyle w:val="Heading2"/>
      </w:pPr>
      <w:bookmarkStart w:id="2973" w:name="_Toc2075"/>
      <w:r>
        <w:t>بوريني حسن بن محمّد، 963 - 1024ه-</w:t>
      </w:r>
      <w:bookmarkEnd w:id="2973"/>
    </w:p>
    <w:p>
      <w:pPr>
        <w:pStyle w:val="BookText"/>
      </w:pPr>
      <w:r>
        <w:rPr>
          <w:rFonts w:ascii="Amiri" w:hAnsi="Amiri" w:eastAsia="Amiri" w:cs="Amiri"/>
          <w:lang w:bidi="ar-SA"/>
          <w:color w:val="111111"/>
          <w:sz w:val="28"/>
          <w:szCs w:val="28"/>
          <w:rtl/>
        </w:rPr>
        <w:t xml:space="preserve">1 .تعليق على اعراب ابي السعود لآية</w:t>
      </w:r>
    </w:p>
    <w:p>
      <w:pPr>
        <w:pStyle w:val="BookText"/>
      </w:pPr>
      <w:r>
        <w:rPr>
          <w:rFonts w:ascii="Amiri" w:hAnsi="Amiri" w:eastAsia="Amiri" w:cs="Amiri"/>
          <w:lang w:bidi="ar-SA"/>
          <w:color w:val="111111"/>
          <w:sz w:val="28"/>
          <w:szCs w:val="28"/>
          <w:rtl/>
        </w:rPr>
        <w:t xml:space="preserve">من القرآن الكريم، ج 4، ص 543.</w:t>
      </w:r>
    </w:p>
    <w:p>
      <w:pPr>
        <w:pStyle w:val="BookText"/>
      </w:pPr>
      <w:r>
        <w:rPr>
          <w:rFonts w:ascii="Amiri" w:hAnsi="Amiri" w:eastAsia="Amiri" w:cs="Amiri"/>
          <w:lang w:bidi="ar-SA"/>
          <w:color w:val="111111"/>
          <w:sz w:val="28"/>
          <w:szCs w:val="28"/>
          <w:rtl/>
        </w:rPr>
        <w:t xml:space="preserve">2 .التوحيد (منظومة في)، ج 5، ص 152.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أبيات، ج 9، ص 143.</w:t>
      </w:r>
    </w:p>
    <w:p>
      <w:pPr>
        <w:pStyle w:val="BookText"/>
      </w:pPr>
      <w:r>
        <w:rPr>
          <w:rFonts w:ascii="Amiri" w:hAnsi="Amiri" w:eastAsia="Amiri" w:cs="Amiri"/>
          <w:lang w:bidi="ar-SA"/>
          <w:color w:val="111111"/>
          <w:sz w:val="28"/>
          <w:szCs w:val="28"/>
          <w:rtl/>
        </w:rPr>
        <w:t xml:space="preserve">4 .شرح القصيدة الذالية، ج 9، ص 866.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دیوان ابن فارض - البحر الفائض في شرح ديوان ابن الفارض</w:t>
      </w:r>
    </w:p>
    <w:p>
      <w:pPr>
        <w:pStyle w:val="BookText"/>
      </w:pPr>
      <w:r>
        <w:rPr>
          <w:rFonts w:ascii="IRNazanin" w:hAnsi="IRNazanin" w:eastAsia="IRNazanin" w:cs="IRNazanin"/>
          <w:lang w:bidi="fa-IR"/>
          <w:color w:val="111111"/>
          <w:sz w:val="28"/>
          <w:szCs w:val="28"/>
          <w:rtl/>
        </w:rPr>
        <w:t xml:space="preserve">ج 9، ص 477.</w:t>
      </w:r>
    </w:p>
    <w:p>
      <w:pPr>
        <w:pStyle w:val="Heading2"/>
      </w:pPr>
      <w:bookmarkStart w:id="2974" w:name="_Toc2076"/>
      <w:r>
        <w:t>بوز بناو يسوعي ، هرمان</w:t>
      </w:r>
      <w:bookmarkEnd w:id="2974"/>
    </w:p>
    <w:p>
      <w:pPr>
        <w:pStyle w:val="BookText"/>
      </w:pPr>
      <w:r>
        <w:rPr>
          <w:rFonts w:ascii="Amiri" w:hAnsi="Amiri" w:eastAsia="Amiri" w:cs="Amiri"/>
          <w:lang w:bidi="ar-SA"/>
          <w:color w:val="111111"/>
          <w:sz w:val="28"/>
          <w:szCs w:val="28"/>
          <w:rtl/>
        </w:rPr>
        <w:t xml:space="preserve">علم النية، ج 11، ص 266.</w:t>
      </w:r>
    </w:p>
    <w:p>
      <w:pPr>
        <w:pStyle w:val="BookText"/>
      </w:pPr>
      <w:r>
        <w:rPr>
          <w:rFonts w:ascii="Amiri" w:hAnsi="Amiri" w:eastAsia="Amiri" w:cs="Amiri"/>
          <w:lang w:bidi="ar-SA"/>
          <w:color w:val="111111"/>
          <w:sz w:val="28"/>
          <w:szCs w:val="28"/>
          <w:rtl/>
        </w:rPr>
        <w:t xml:space="preserve">بوزجاني نيشابوري ، محمّد بن محمّد- ابوالوفاي بوزجاني ، محمّد بن محمّد</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بوزچي زاده، عمر بن حسين- آمدي</w:t>
      </w:r>
    </w:p>
    <w:p>
      <w:pPr>
        <w:pStyle w:val="BookText"/>
      </w:pPr>
      <w:r>
        <w:rPr>
          <w:rFonts w:ascii="Amiri" w:hAnsi="Amiri" w:eastAsia="Amiri" w:cs="Amiri"/>
          <w:lang w:bidi="ar-SA"/>
          <w:color w:val="111111"/>
          <w:sz w:val="28"/>
          <w:szCs w:val="28"/>
          <w:rtl/>
        </w:rPr>
        <w:t xml:space="preserve">عمر بن حسين</w:t>
      </w:r>
    </w:p>
    <w:p>
      <w:pPr>
        <w:pStyle w:val="Heading2"/>
      </w:pPr>
      <w:bookmarkStart w:id="2975" w:name="_Toc2077"/>
      <w:r>
        <w:t>بوسنوي، حسن بن مصطفى قرن 13 ه-</w:t>
      </w:r>
      <w:bookmarkEnd w:id="2975"/>
    </w:p>
    <w:p>
      <w:pPr>
        <w:pStyle w:val="BookText"/>
      </w:pPr>
      <w:r>
        <w:rPr>
          <w:rFonts w:ascii="Amiri" w:hAnsi="Amiri" w:eastAsia="Amiri" w:cs="Amiri"/>
          <w:lang w:bidi="ar-SA"/>
          <w:color w:val="111111"/>
          <w:sz w:val="28"/>
          <w:szCs w:val="28"/>
          <w:rtl/>
        </w:rPr>
        <w:t xml:space="preserve">خطبة النكاح، ج 7، ص 56.</w:t>
      </w:r>
    </w:p>
    <w:p>
      <w:pPr>
        <w:pStyle w:val="Heading2"/>
      </w:pPr>
      <w:bookmarkStart w:id="2976" w:name="_Toc2078"/>
      <w:r>
        <w:t>بوسنوي ، حسين بن نصوح - 1054 ه-</w:t>
      </w:r>
      <w:bookmarkEnd w:id="2976"/>
    </w:p>
    <w:p>
      <w:pPr>
        <w:pStyle w:val="BookText"/>
      </w:pPr>
      <w:r>
        <w:rPr>
          <w:rFonts w:ascii="Amiri" w:hAnsi="Amiri" w:eastAsia="Amiri" w:cs="Amiri"/>
          <w:lang w:bidi="ar-SA"/>
          <w:color w:val="111111"/>
          <w:sz w:val="28"/>
          <w:szCs w:val="28"/>
          <w:rtl/>
        </w:rPr>
        <w:t xml:space="preserve">مجمع ترجيح النيات عند تعارض البينات، ج13، ص 849.</w:t>
      </w:r>
    </w:p>
    <w:p>
      <w:pPr>
        <w:pStyle w:val="BookText"/>
      </w:pPr>
      <w:r>
        <w:rPr>
          <w:rFonts w:ascii="IRNazanin" w:hAnsi="IRNazanin" w:eastAsia="IRNazanin" w:cs="IRNazanin"/>
          <w:lang w:bidi="fa-IR"/>
          <w:color w:val="111111"/>
          <w:sz w:val="28"/>
          <w:szCs w:val="28"/>
          <w:rtl/>
        </w:rPr>
        <w:t xml:space="preserve">بوسنوي ، محمّد بن احمد -نرگسي زاده</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بوشهري ، حسن بن محمّد -دمستاني ، حسن بن محمّد</w:t>
      </w:r>
    </w:p>
    <w:p>
      <w:pPr>
        <w:pStyle w:val="Heading2"/>
      </w:pPr>
      <w:bookmarkStart w:id="2977" w:name="_Toc2079"/>
      <w:r>
        <w:t>بوشهري غلامحسين بن حسن قرن 14ه-</w:t>
      </w:r>
      <w:bookmarkEnd w:id="2977"/>
    </w:p>
    <w:p>
      <w:pPr>
        <w:pStyle w:val="BookText"/>
      </w:pPr>
      <w:r>
        <w:rPr>
          <w:rFonts w:ascii="IRNazanin" w:hAnsi="IRNazanin" w:eastAsia="IRNazanin" w:cs="IRNazanin"/>
          <w:lang w:bidi="fa-IR"/>
          <w:color w:val="111111"/>
          <w:sz w:val="28"/>
          <w:szCs w:val="28"/>
          <w:rtl/>
        </w:rPr>
        <w:t xml:space="preserve">حرب الجمل، ج 6، ص 601.</w:t>
      </w:r>
    </w:p>
    <w:p>
      <w:pPr>
        <w:pStyle w:val="Heading2"/>
      </w:pPr>
      <w:bookmarkStart w:id="2978" w:name="_Toc2080"/>
      <w:r>
        <w:t>بوشي ، علي بن احمد قرن 9 ه-</w:t>
      </w:r>
      <w:bookmarkEnd w:id="2978"/>
    </w:p>
    <w:p>
      <w:pPr>
        <w:pStyle w:val="BookText"/>
      </w:pPr>
      <w:r>
        <w:rPr>
          <w:rFonts w:ascii="Amiri" w:hAnsi="Amiri" w:eastAsia="Amiri" w:cs="Amiri"/>
          <w:lang w:bidi="ar-SA"/>
          <w:color w:val="111111"/>
          <w:sz w:val="28"/>
          <w:szCs w:val="28"/>
          <w:rtl/>
        </w:rPr>
        <w:t xml:space="preserve">1 .تهذيب التنبيه، ج 5، ص111.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الانوار لعمل الابرار، ج9،</w:t>
      </w:r>
    </w:p>
    <w:p>
      <w:pPr>
        <w:pStyle w:val="BookText"/>
      </w:pPr>
      <w:r>
        <w:rPr>
          <w:rFonts w:ascii="IRNazanin" w:hAnsi="IRNazanin" w:eastAsia="IRNazanin" w:cs="IRNazanin"/>
          <w:lang w:bidi="fa-IR"/>
          <w:color w:val="111111"/>
          <w:sz w:val="28"/>
          <w:szCs w:val="28"/>
          <w:rtl/>
        </w:rPr>
        <w:t xml:space="preserve">ص 246.</w:t>
      </w:r>
    </w:p>
    <w:p>
      <w:pPr>
        <w:pStyle w:val="Heading2"/>
      </w:pPr>
      <w:bookmarkStart w:id="2979" w:name="_Toc2081"/>
      <w:r>
        <w:t>بوصيري ، محمّد بن سعيد، 608 - 696 ه-</w:t>
      </w:r>
      <w:bookmarkEnd w:id="2979"/>
    </w:p>
    <w:p>
      <w:pPr>
        <w:pStyle w:val="BookText"/>
      </w:pPr>
      <w:r>
        <w:rPr>
          <w:rFonts w:ascii="Amiri" w:hAnsi="Amiri" w:eastAsia="Amiri" w:cs="Amiri"/>
          <w:lang w:bidi="ar-SA"/>
          <w:color w:val="111111"/>
          <w:sz w:val="28"/>
          <w:szCs w:val="28"/>
          <w:rtl/>
        </w:rPr>
        <w:t xml:space="preserve">1 .ديوان البوصيري، ج 7، ص 597.</w:t>
      </w:r>
    </w:p>
    <w:p>
      <w:pPr>
        <w:pStyle w:val="BookText"/>
      </w:pPr>
      <w:r>
        <w:rPr>
          <w:rFonts w:ascii="IRNazanin" w:hAnsi="IRNazanin" w:eastAsia="IRNazanin" w:cs="IRNazanin"/>
          <w:lang w:bidi="fa-IR"/>
          <w:color w:val="111111"/>
          <w:sz w:val="28"/>
          <w:szCs w:val="28"/>
          <w:rtl/>
        </w:rPr>
        <w:t xml:space="preserve">2 .ذخر المعاد على وزن بانت سعاد</w:t>
      </w:r>
    </w:p>
    <w:p>
      <w:pPr>
        <w:pStyle w:val="BookText"/>
      </w:pPr>
      <w:r>
        <w:rPr>
          <w:rFonts w:ascii="IRNazanin" w:hAnsi="IRNazanin" w:eastAsia="IRNazanin" w:cs="IRNazanin"/>
          <w:lang w:bidi="fa-IR"/>
          <w:color w:val="111111"/>
          <w:sz w:val="28"/>
          <w:szCs w:val="28"/>
          <w:rtl/>
        </w:rPr>
        <w:t xml:space="preserve">ج 7، ص 817</w:t>
      </w:r>
    </w:p>
    <w:p>
      <w:pPr>
        <w:pStyle w:val="BookText"/>
      </w:pPr>
      <w:r>
        <w:rPr>
          <w:rFonts w:ascii="Amiri" w:hAnsi="Amiri" w:eastAsia="Amiri" w:cs="Amiri"/>
          <w:lang w:bidi="ar-SA"/>
          <w:color w:val="111111"/>
          <w:sz w:val="28"/>
          <w:szCs w:val="28"/>
          <w:rtl/>
        </w:rPr>
        <w:t xml:space="preserve">3 .القصيدة المحمدية، ج 12، ص 709.</w:t>
      </w:r>
    </w:p>
    <w:p>
      <w:pPr>
        <w:pStyle w:val="BookText"/>
      </w:pPr>
      <w:r>
        <w:rPr>
          <w:rFonts w:ascii="Amiri" w:hAnsi="Amiri" w:eastAsia="Amiri" w:cs="Amiri"/>
          <w:lang w:bidi="ar-SA"/>
          <w:color w:val="111111"/>
          <w:sz w:val="28"/>
          <w:szCs w:val="28"/>
          <w:rtl/>
        </w:rPr>
        <w:t xml:space="preserve">4 .القصيدة المضرية، ج 12، ص711.</w:t>
      </w:r>
    </w:p>
    <w:p>
      <w:pPr>
        <w:pStyle w:val="BookText"/>
      </w:pPr>
      <w:r>
        <w:rPr>
          <w:rFonts w:ascii="Amiri" w:hAnsi="Amiri" w:eastAsia="Amiri" w:cs="Amiri"/>
          <w:lang w:bidi="ar-SA"/>
          <w:color w:val="111111"/>
          <w:sz w:val="28"/>
          <w:szCs w:val="28"/>
          <w:rtl/>
        </w:rPr>
        <w:t xml:space="preserve">5 .القصيدة الهمزية في المدائح النبوية</w:t>
      </w:r>
    </w:p>
    <w:p>
      <w:pPr>
        <w:pStyle w:val="BookText"/>
      </w:pPr>
      <w:r>
        <w:rPr>
          <w:rFonts w:ascii="Amiri" w:hAnsi="Amiri" w:eastAsia="Amiri" w:cs="Amiri"/>
          <w:lang w:bidi="ar-SA"/>
          <w:color w:val="111111"/>
          <w:sz w:val="28"/>
          <w:szCs w:val="28"/>
          <w:rtl/>
        </w:rPr>
        <w:t xml:space="preserve">= قصيدة ام القرى في مدح خير</w:t>
      </w:r>
    </w:p>
    <w:p>
      <w:pPr>
        <w:pStyle w:val="BookText"/>
      </w:pPr>
      <w:r>
        <w:rPr>
          <w:rFonts w:ascii="IRNazanin" w:hAnsi="IRNazanin" w:eastAsia="IRNazanin" w:cs="IRNazanin"/>
          <w:lang w:bidi="fa-IR"/>
          <w:color w:val="111111"/>
          <w:sz w:val="28"/>
          <w:szCs w:val="28"/>
          <w:rtl/>
        </w:rPr>
        <w:t xml:space="preserve">الورى، ج 12، ص 725 .</w:t>
      </w:r>
    </w:p>
    <w:p>
      <w:pPr>
        <w:pStyle w:val="BookText"/>
      </w:pPr>
      <w:r>
        <w:rPr>
          <w:rFonts w:ascii="Amiri" w:hAnsi="Amiri" w:eastAsia="Amiri" w:cs="Amiri"/>
          <w:lang w:bidi="ar-SA"/>
          <w:color w:val="111111"/>
          <w:sz w:val="28"/>
          <w:szCs w:val="28"/>
          <w:rtl/>
        </w:rPr>
        <w:t xml:space="preserve">6 .الكواكب الدرية في مدح خير البرية</w:t>
      </w:r>
    </w:p>
    <w:p>
      <w:pPr>
        <w:pStyle w:val="BookText"/>
      </w:pPr>
      <w:r>
        <w:rPr>
          <w:rFonts w:ascii="Amiri" w:hAnsi="Amiri" w:eastAsia="Amiri" w:cs="Amiri"/>
          <w:lang w:bidi="ar-SA"/>
          <w:color w:val="111111"/>
          <w:sz w:val="28"/>
          <w:szCs w:val="28"/>
          <w:rtl/>
        </w:rPr>
        <w:t xml:space="preserve">قصيدة البردة، ج 13، ص 456.</w:t>
      </w:r>
    </w:p>
    <w:p>
      <w:pPr>
        <w:pStyle w:val="Heading2"/>
      </w:pPr>
      <w:bookmarkStart w:id="2980" w:name="_Toc2082"/>
      <w:r>
        <w:t>بوصيري ، هبة الله بن علي، 506-598 ه-</w:t>
      </w:r>
      <w:bookmarkEnd w:id="2980"/>
    </w:p>
    <w:p>
      <w:pPr>
        <w:pStyle w:val="BookText"/>
      </w:pPr>
      <w:r>
        <w:rPr>
          <w:rFonts w:ascii="Amiri" w:hAnsi="Amiri" w:eastAsia="Amiri" w:cs="Amiri"/>
          <w:lang w:bidi="ar-SA"/>
          <w:color w:val="111111"/>
          <w:sz w:val="28"/>
          <w:szCs w:val="28"/>
          <w:rtl/>
        </w:rPr>
        <w:t xml:space="preserve">مختصر في الناسخ والمنسوخ، ج 14،</w:t>
      </w:r>
    </w:p>
    <w:p>
      <w:pPr>
        <w:pStyle w:val="BookText"/>
      </w:pPr>
      <w:r>
        <w:rPr>
          <w:rFonts w:ascii="IRNazanin" w:hAnsi="IRNazanin" w:eastAsia="IRNazanin" w:cs="IRNazanin"/>
          <w:lang w:bidi="fa-IR"/>
          <w:color w:val="111111"/>
          <w:sz w:val="28"/>
          <w:szCs w:val="28"/>
          <w:rtl/>
        </w:rPr>
        <w:t xml:space="preserve">ص228.</w:t>
      </w:r>
    </w:p>
    <w:p>
      <w:pPr>
        <w:pStyle w:val="BookText"/>
      </w:pPr>
      <w:r>
        <w:rPr>
          <w:rFonts w:ascii="Amiri" w:hAnsi="Amiri" w:eastAsia="Amiri" w:cs="Amiri"/>
          <w:lang w:bidi="ar-SA"/>
          <w:color w:val="111111"/>
          <w:sz w:val="28"/>
          <w:szCs w:val="28"/>
          <w:rtl/>
        </w:rPr>
        <w:t xml:space="preserve">بوعلي سينا- ابن سينا ، حسين بن عبدالله ب</w:t>
      </w:r>
    </w:p>
    <w:p>
      <w:pPr>
        <w:pStyle w:val="BookText"/>
      </w:pPr>
      <w:r>
        <w:rPr>
          <w:rFonts w:ascii="IRNazanin" w:hAnsi="IRNazanin" w:eastAsia="IRNazanin" w:cs="IRNazanin"/>
          <w:lang w:bidi="fa-IR"/>
          <w:color w:val="111111"/>
          <w:sz w:val="28"/>
          <w:szCs w:val="28"/>
          <w:rtl/>
        </w:rPr>
        <w:t xml:space="preserve">ولاد ، انطوان- انطوان بولاد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4" w:name="pg7742_69953"/>
    <w:bookmarkEnd w:id="284"/>
    <w:p>
      <w:pPr>
        <w:pStyle w:val="Heading2"/>
      </w:pPr>
      <w:bookmarkStart w:id="2981" w:name="_Toc2083"/>
      <w:r>
        <w:t>بولاقي ، شمس الدين بن عبدالرحمن</w:t>
      </w:r>
      <w:bookmarkEnd w:id="2981"/>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الجواهر المهدية لطلاب الفوائد الشنشورية، ج 5، ص 603.</w:t>
      </w:r>
    </w:p>
    <w:p>
      <w:pPr>
        <w:pStyle w:val="BookText"/>
      </w:pPr>
      <w:r>
        <w:rPr>
          <w:rFonts w:ascii="Amiri" w:hAnsi="Amiri" w:eastAsia="Amiri" w:cs="Amiri"/>
          <w:lang w:bidi="ar-SA"/>
          <w:color w:val="111111"/>
          <w:sz w:val="28"/>
          <w:szCs w:val="28"/>
          <w:rtl/>
        </w:rPr>
        <w:t xml:space="preserve">بولاقي ، علي بن احمد- عزيزي ، علي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2982" w:name="_Toc2084"/>
      <w:r>
        <w:t>بولاقي ، مصطفى بن رمضان - 1263</w:t>
      </w:r>
      <w:bookmarkEnd w:id="2982"/>
    </w:p>
    <w:p>
      <w:pPr>
        <w:pStyle w:val="BookText"/>
      </w:pPr>
      <w:r>
        <w:rPr>
          <w:rFonts w:ascii="IRNazanin" w:hAnsi="IRNazanin" w:eastAsia="IRNazanin" w:cs="IRNazanin"/>
          <w:lang w:bidi="fa-IR"/>
          <w:color w:val="111111"/>
          <w:sz w:val="28"/>
          <w:szCs w:val="28"/>
          <w:rtl/>
        </w:rPr>
        <w:t xml:space="preserve">دیوان بولاقي، ج 7، ص 597.</w:t>
      </w:r>
    </w:p>
    <w:p>
      <w:pPr>
        <w:pStyle w:val="BookText"/>
      </w:pPr>
      <w:r>
        <w:rPr>
          <w:rFonts w:ascii="Amiri" w:hAnsi="Amiri" w:eastAsia="Amiri" w:cs="Amiri"/>
          <w:lang w:bidi="ar-SA"/>
          <w:color w:val="111111"/>
          <w:sz w:val="28"/>
          <w:szCs w:val="28"/>
          <w:rtl/>
        </w:rPr>
        <w:t xml:space="preserve">بولس بطرس سعد بطريرك انطاكي- انطاكي</w:t>
      </w:r>
    </w:p>
    <w:p>
      <w:pPr>
        <w:pStyle w:val="BookText"/>
      </w:pPr>
      <w:r>
        <w:rPr>
          <w:rFonts w:ascii="IRNazanin" w:hAnsi="IRNazanin" w:eastAsia="IRNazanin" w:cs="IRNazanin"/>
          <w:lang w:bidi="fa-IR"/>
          <w:color w:val="111111"/>
          <w:sz w:val="28"/>
          <w:szCs w:val="28"/>
          <w:rtl/>
        </w:rPr>
        <w:t xml:space="preserve">، بولس بطرس سعد</w:t>
      </w:r>
    </w:p>
    <w:p>
      <w:pPr>
        <w:pStyle w:val="BookText"/>
      </w:pPr>
      <w:r>
        <w:rPr>
          <w:rFonts w:ascii="IRNazanin" w:hAnsi="IRNazanin" w:eastAsia="IRNazanin" w:cs="IRNazanin"/>
          <w:lang w:bidi="fa-IR"/>
          <w:color w:val="111111"/>
          <w:sz w:val="28"/>
          <w:szCs w:val="28"/>
          <w:rtl/>
        </w:rPr>
        <w:t xml:space="preserve">بولس قسطن- قسطن ، بولس</w:t>
      </w:r>
    </w:p>
    <w:p>
      <w:pPr>
        <w:pStyle w:val="Heading2"/>
      </w:pPr>
      <w:bookmarkStart w:id="2983" w:name="_Toc2085"/>
      <w:r>
        <w:t>بولوي ، ابراهيم بن عبدالله - 1041 ه-</w:t>
      </w:r>
      <w:bookmarkEnd w:id="2983"/>
    </w:p>
    <w:p>
      <w:pPr>
        <w:pStyle w:val="BookText"/>
      </w:pPr>
      <w:r>
        <w:rPr>
          <w:rFonts w:ascii="Amiri" w:hAnsi="Amiri" w:eastAsia="Amiri" w:cs="Amiri"/>
          <w:lang w:bidi="ar-SA"/>
          <w:color w:val="111111"/>
          <w:sz w:val="28"/>
          <w:szCs w:val="28"/>
          <w:rtl/>
        </w:rPr>
        <w:t xml:space="preserve">احكام الجنائز، ج 1، ص 464 .</w:t>
      </w:r>
    </w:p>
    <w:p>
      <w:pPr>
        <w:pStyle w:val="Heading2"/>
      </w:pPr>
      <w:bookmarkStart w:id="2984" w:name="_Toc2086"/>
      <w:r>
        <w:t>بوني ، احمد بن علي - 622 ه-</w:t>
      </w:r>
      <w:bookmarkEnd w:id="298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ادعية السحر = الثلاث الأول من كتاب اللمعة، ج 1، ص 632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ترتيب الدعوات في تخصيص الاوقات على اختلاف الارادات = علم سر الخواص في الاسماء الحسني (رسالة في)، ج4، ص 239.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خصائص سر الكريم في فضائل بسم الله الرحمن الرحيم، ج 7، ص 35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الخطب، ج 7، ص 44.</w:t>
      </w:r>
    </w:p>
    <w:p>
      <w:pPr>
        <w:pStyle w:val="BookText"/>
      </w:pPr>
      <w:r>
        <w:rPr>
          <w:rFonts w:ascii="Amiri" w:hAnsi="Amiri" w:eastAsia="Amiri" w:cs="Amiri"/>
          <w:lang w:bidi="ar-SA"/>
          <w:color w:val="111111"/>
          <w:sz w:val="28"/>
          <w:szCs w:val="28"/>
          <w:rtl/>
        </w:rPr>
        <w:t xml:space="preserve">5 .الدرة الفاخرة على رمز الشجرة الناضرة = شرح الشجرة النعمانية</w:t>
      </w:r>
    </w:p>
    <w:p>
      <w:pPr>
        <w:pStyle w:val="BookText"/>
      </w:pPr>
      <w:r>
        <w:rPr>
          <w:rFonts w:ascii="IRNazanin" w:hAnsi="IRNazanin" w:eastAsia="IRNazanin" w:cs="IRNazanin"/>
          <w:lang w:bidi="fa-IR"/>
          <w:color w:val="111111"/>
          <w:sz w:val="28"/>
          <w:szCs w:val="28"/>
          <w:rtl/>
        </w:rPr>
        <w:t xml:space="preserve">ج 7، ص 248 .</w:t>
      </w:r>
    </w:p>
    <w:p>
      <w:pPr>
        <w:pStyle w:val="BookText"/>
      </w:pPr>
      <w:r>
        <w:rPr>
          <w:rFonts w:ascii="Amiri" w:hAnsi="Amiri" w:eastAsia="Amiri" w:cs="Amiri"/>
          <w:lang w:bidi="ar-SA"/>
          <w:color w:val="111111"/>
          <w:sz w:val="28"/>
          <w:szCs w:val="28"/>
          <w:rtl/>
        </w:rPr>
        <w:t xml:space="preserve">6 .الرياضيات بمعرفة رب السموات =</w:t>
      </w:r>
    </w:p>
    <w:p>
      <w:pPr>
        <w:pStyle w:val="BookText"/>
      </w:pPr>
      <w:r>
        <w:rPr>
          <w:rFonts w:ascii="Amiri" w:hAnsi="Amiri" w:eastAsia="Amiri" w:cs="Amiri"/>
          <w:lang w:bidi="ar-SA"/>
          <w:color w:val="111111"/>
          <w:sz w:val="28"/>
          <w:szCs w:val="28"/>
          <w:rtl/>
        </w:rPr>
        <w:t xml:space="preserve">مواقف الغايات في اسرار</w:t>
      </w:r>
    </w:p>
    <w:p>
      <w:pPr>
        <w:pStyle w:val="BookText"/>
      </w:pPr>
      <w:r>
        <w:rPr>
          <w:rFonts w:ascii="Amiri" w:hAnsi="Amiri" w:eastAsia="Amiri" w:cs="Amiri"/>
          <w:lang w:bidi="ar-SA"/>
          <w:color w:val="111111"/>
          <w:sz w:val="28"/>
          <w:szCs w:val="28"/>
          <w:rtl/>
        </w:rPr>
        <w:t xml:space="preserve">الرياضيات، ج8، ص 517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السر المنير، ج 8، ص 767.</w:t>
      </w:r>
    </w:p>
    <w:p>
      <w:pPr>
        <w:pStyle w:val="BookText"/>
      </w:pPr>
      <w:r>
        <w:rPr>
          <w:rFonts w:ascii="IRNazanin" w:hAnsi="IRNazanin" w:eastAsia="IRNazanin" w:cs="IRNazanin"/>
          <w:lang w:bidi="fa-IR"/>
          <w:color w:val="111111"/>
          <w:sz w:val="28"/>
          <w:szCs w:val="28"/>
          <w:rtl/>
        </w:rPr>
        <w:t xml:space="preserve">8 .شرح اسم الله الاعظم = سر الخواص،</w:t>
      </w:r>
    </w:p>
    <w:p>
      <w:pPr>
        <w:pStyle w:val="BookText"/>
      </w:pPr>
      <w:r>
        <w:rPr>
          <w:rFonts w:ascii="IRNazanin" w:hAnsi="IRNazanin" w:eastAsia="IRNazanin" w:cs="IRNazanin"/>
          <w:lang w:bidi="fa-IR"/>
          <w:color w:val="111111"/>
          <w:sz w:val="28"/>
          <w:szCs w:val="28"/>
          <w:rtl/>
        </w:rPr>
        <w:t xml:space="preserve">ج 9، ص 201.</w:t>
      </w:r>
    </w:p>
    <w:p>
      <w:pPr>
        <w:pStyle w:val="BookText"/>
      </w:pPr>
      <w:r>
        <w:rPr>
          <w:rFonts w:ascii="IRNazanin" w:hAnsi="IRNazanin" w:eastAsia="IRNazanin" w:cs="IRNazanin"/>
          <w:lang w:bidi="fa-IR"/>
          <w:color w:val="111111"/>
          <w:sz w:val="28"/>
          <w:szCs w:val="28"/>
          <w:rtl/>
        </w:rPr>
        <w:t xml:space="preserve">9 .شمس المعارف و لطائف العوارف</w:t>
      </w:r>
    </w:p>
    <w:p>
      <w:pPr>
        <w:pStyle w:val="BookText"/>
      </w:pPr>
      <w:r>
        <w:rPr>
          <w:rFonts w:ascii="IRNazanin" w:hAnsi="IRNazanin" w:eastAsia="IRNazanin" w:cs="IRNazanin"/>
          <w:lang w:bidi="fa-IR"/>
          <w:color w:val="111111"/>
          <w:sz w:val="28"/>
          <w:szCs w:val="28"/>
          <w:rtl/>
        </w:rPr>
        <w:t xml:space="preserve">(مختصر)، ج 10، ص 416.</w:t>
      </w:r>
    </w:p>
    <w:p>
      <w:pPr>
        <w:pStyle w:val="BookText"/>
      </w:pPr>
      <w:r>
        <w:rPr>
          <w:rFonts w:ascii="IRNazanin" w:hAnsi="IRNazanin" w:eastAsia="IRNazanin" w:cs="IRNazanin"/>
          <w:lang w:bidi="fa-IR"/>
          <w:color w:val="111111"/>
          <w:sz w:val="28"/>
          <w:szCs w:val="28"/>
          <w:rtl/>
        </w:rPr>
        <w:t xml:space="preserve">10 .شمس المعارف و لطائف العوارف</w:t>
      </w:r>
    </w:p>
    <w:p>
      <w:pPr>
        <w:pStyle w:val="BookText"/>
      </w:pPr>
      <w:r>
        <w:rPr>
          <w:rFonts w:ascii="IRNazanin" w:hAnsi="IRNazanin" w:eastAsia="IRNazanin" w:cs="IRNazanin"/>
          <w:lang w:bidi="fa-IR"/>
          <w:color w:val="111111"/>
          <w:sz w:val="28"/>
          <w:szCs w:val="28"/>
          <w:rtl/>
        </w:rPr>
        <w:t xml:space="preserve">ج 10، ص 415.</w:t>
      </w:r>
    </w:p>
    <w:p>
      <w:pPr>
        <w:pStyle w:val="BookText"/>
      </w:pPr>
      <w:r>
        <w:rPr>
          <w:rFonts w:ascii="Amiri" w:hAnsi="Amiri" w:eastAsia="Amiri" w:cs="Amiri"/>
          <w:lang w:bidi="ar-SA"/>
          <w:color w:val="111111"/>
          <w:sz w:val="28"/>
          <w:szCs w:val="28"/>
          <w:rtl/>
        </w:rPr>
        <w:t xml:space="preserve">11 .علم الهدى واسرار الاهتدا في شرح اسماء الله الحسنى، ج11،</w:t>
      </w:r>
    </w:p>
    <w:p>
      <w:pPr>
        <w:pStyle w:val="BookText"/>
      </w:pPr>
      <w:r>
        <w:rPr>
          <w:rFonts w:ascii="IRNazanin" w:hAnsi="IRNazanin" w:eastAsia="IRNazanin" w:cs="IRNazanin"/>
          <w:lang w:bidi="fa-IR"/>
          <w:color w:val="111111"/>
          <w:sz w:val="28"/>
          <w:szCs w:val="28"/>
          <w:rtl/>
        </w:rPr>
        <w:t xml:space="preserve">ص 267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لطائف الاشارات في اسرار الحروف</w:t>
      </w:r>
    </w:p>
    <w:p>
      <w:pPr>
        <w:pStyle w:val="BookText"/>
      </w:pPr>
      <w:r>
        <w:rPr>
          <w:rFonts w:ascii="Amiri" w:hAnsi="Amiri" w:eastAsia="Amiri" w:cs="Amiri"/>
          <w:lang w:bidi="ar-SA"/>
          <w:color w:val="111111"/>
          <w:sz w:val="28"/>
          <w:szCs w:val="28"/>
          <w:rtl/>
        </w:rPr>
        <w:t xml:space="preserve">العلويات، ج 13، ص 575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اللمعة النورانية في الاوراد الربانية شمس الواصلين و انس الساترين دعوات الاسم الاعظم، ج13،</w:t>
      </w:r>
    </w:p>
    <w:p>
      <w:pPr>
        <w:pStyle w:val="BookText"/>
      </w:pPr>
      <w:r>
        <w:rPr>
          <w:rFonts w:ascii="IRNazanin" w:hAnsi="IRNazanin" w:eastAsia="IRNazanin" w:cs="IRNazanin"/>
          <w:lang w:bidi="fa-IR"/>
          <w:color w:val="111111"/>
          <w:sz w:val="28"/>
          <w:szCs w:val="28"/>
          <w:rtl/>
        </w:rPr>
        <w:t xml:space="preserve">ص 626.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معرفة طالع سنة العالم (رسالة</w:t>
      </w:r>
    </w:p>
    <w:p>
      <w:pPr>
        <w:pStyle w:val="BookText"/>
      </w:pPr>
      <w:r>
        <w:rPr>
          <w:rFonts w:ascii="Amiri" w:hAnsi="Amiri" w:eastAsia="Amiri" w:cs="Amiri"/>
          <w:lang w:bidi="ar-SA"/>
          <w:color w:val="111111"/>
          <w:sz w:val="28"/>
          <w:szCs w:val="28"/>
          <w:rtl/>
        </w:rPr>
        <w:t xml:space="preserve">في)، ج 15 ، ص 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هتك الاستار في علم الاسرار، ج 16،</w:t>
      </w:r>
    </w:p>
    <w:p>
      <w:pPr>
        <w:pStyle w:val="BookText"/>
      </w:pPr>
      <w:r>
        <w:rPr>
          <w:rFonts w:ascii="IRNazanin" w:hAnsi="IRNazanin" w:eastAsia="IRNazanin" w:cs="IRNazanin"/>
          <w:lang w:bidi="fa-IR"/>
          <w:color w:val="111111"/>
          <w:sz w:val="28"/>
          <w:szCs w:val="28"/>
          <w:rtl/>
        </w:rPr>
        <w:t xml:space="preserve">ص 591.</w:t>
      </w:r>
    </w:p>
    <w:p>
      <w:pPr>
        <w:pStyle w:val="BookText"/>
      </w:pPr>
      <w:r>
        <w:rPr>
          <w:rFonts w:ascii="Amiri" w:hAnsi="Amiri" w:eastAsia="Amiri" w:cs="Amiri"/>
          <w:lang w:bidi="ar-SA"/>
          <w:color w:val="111111"/>
          <w:sz w:val="28"/>
          <w:szCs w:val="28"/>
          <w:rtl/>
        </w:rPr>
        <w:t xml:space="preserve">بيابانكي سمناني ، احمد بن محمّد- علاء</w:t>
      </w:r>
    </w:p>
    <w:p>
      <w:pPr>
        <w:pStyle w:val="BookText"/>
      </w:pPr>
      <w:r>
        <w:rPr>
          <w:rFonts w:ascii="Amiri" w:hAnsi="Amiri" w:eastAsia="Amiri" w:cs="Amiri"/>
          <w:lang w:bidi="ar-SA"/>
          <w:color w:val="111111"/>
          <w:sz w:val="28"/>
          <w:szCs w:val="28"/>
          <w:rtl/>
        </w:rPr>
        <w:t xml:space="preserve">الدوله سمناني ، احمد بن محمّد</w:t>
      </w:r>
    </w:p>
    <w:p>
      <w:pPr>
        <w:pStyle w:val="Heading2"/>
      </w:pPr>
      <w:bookmarkStart w:id="2985" w:name="_Toc2087"/>
      <w:r>
        <w:t>بيابي ، محمّد بن يوسف</w:t>
      </w:r>
      <w:bookmarkEnd w:id="2985"/>
    </w:p>
    <w:p>
      <w:pPr>
        <w:pStyle w:val="BookText"/>
      </w:pPr>
      <w:r>
        <w:rPr>
          <w:rFonts w:ascii="Amiri" w:hAnsi="Amiri" w:eastAsia="Amiri" w:cs="Amiri"/>
          <w:lang w:bidi="ar-SA"/>
          <w:color w:val="111111"/>
          <w:sz w:val="28"/>
          <w:szCs w:val="28"/>
          <w:rtl/>
        </w:rPr>
        <w:t xml:space="preserve">شرح منظومة ابن فرح، ج 10، ص 241.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5" w:name="pg7742_69955"/>
    <w:bookmarkEnd w:id="285"/>
    <w:p>
      <w:pPr>
        <w:pStyle w:val="BookText"/>
      </w:pPr>
      <w:r>
        <w:rPr>
          <w:rFonts w:ascii="Amiri" w:hAnsi="Amiri" w:eastAsia="Amiri" w:cs="Amiri"/>
          <w:lang w:bidi="ar-SA"/>
          <w:color w:val="111111"/>
          <w:sz w:val="28"/>
          <w:szCs w:val="28"/>
          <w:rtl/>
        </w:rPr>
        <w:t xml:space="preserve">بياتي ، محمّدجواد بن محمّد تقي- ملا</w:t>
      </w:r>
    </w:p>
    <w:p>
      <w:pPr>
        <w:pStyle w:val="BookText"/>
      </w:pPr>
      <w:r>
        <w:rPr>
          <w:rFonts w:ascii="Amiri" w:hAnsi="Amiri" w:eastAsia="Amiri" w:cs="Amiri"/>
          <w:lang w:bidi="ar-SA"/>
          <w:color w:val="111111"/>
          <w:sz w:val="28"/>
          <w:szCs w:val="28"/>
          <w:rtl/>
        </w:rPr>
        <w:t xml:space="preserve">كتاب ، محمّد جواد بن تقي</w:t>
      </w:r>
    </w:p>
    <w:p>
      <w:pPr>
        <w:pStyle w:val="Heading2"/>
      </w:pPr>
      <w:bookmarkStart w:id="2986" w:name="_Toc2088"/>
      <w:r>
        <w:t>بياري ، عبد القادر - 1320 ه-</w:t>
      </w:r>
      <w:bookmarkEnd w:id="2986"/>
    </w:p>
    <w:p>
      <w:pPr>
        <w:pStyle w:val="BookText"/>
      </w:pPr>
      <w:r>
        <w:rPr>
          <w:rFonts w:ascii="Amiri" w:hAnsi="Amiri" w:eastAsia="Amiri" w:cs="Amiri"/>
          <w:lang w:bidi="ar-SA"/>
          <w:color w:val="111111"/>
          <w:sz w:val="28"/>
          <w:szCs w:val="28"/>
          <w:rtl/>
        </w:rPr>
        <w:t xml:space="preserve">1 .الاجازة العلمية، ج 1، ص222.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الطلاق، ج 10، ص 844.</w:t>
      </w:r>
    </w:p>
    <w:p>
      <w:pPr>
        <w:pStyle w:val="BookText"/>
      </w:pPr>
      <w:r>
        <w:rPr>
          <w:rFonts w:ascii="Amiri" w:hAnsi="Amiri" w:eastAsia="Amiri" w:cs="Amiri"/>
          <w:lang w:bidi="ar-SA"/>
          <w:color w:val="111111"/>
          <w:sz w:val="28"/>
          <w:szCs w:val="28"/>
          <w:rtl/>
        </w:rPr>
        <w:t xml:space="preserve">بياسي ، عمر بن عبد المجيد - قرشي ، عمر</w:t>
      </w:r>
    </w:p>
    <w:p>
      <w:pPr>
        <w:pStyle w:val="BookText"/>
      </w:pPr>
      <w:r>
        <w:rPr>
          <w:rFonts w:ascii="Amiri" w:hAnsi="Amiri" w:eastAsia="Amiri" w:cs="Amiri"/>
          <w:lang w:bidi="ar-SA"/>
          <w:color w:val="111111"/>
          <w:sz w:val="28"/>
          <w:szCs w:val="28"/>
          <w:rtl/>
        </w:rPr>
        <w:t xml:space="preserve">بن عبد المجيد</w:t>
      </w:r>
    </w:p>
    <w:p>
      <w:pPr>
        <w:pStyle w:val="Heading2"/>
      </w:pPr>
      <w:bookmarkStart w:id="2987" w:name="_Toc2089"/>
      <w:r>
        <w:t>بياسي ، يوسف بن محمّد، 573 - 653 ه-</w:t>
      </w:r>
      <w:bookmarkEnd w:id="2987"/>
    </w:p>
    <w:p>
      <w:pPr>
        <w:pStyle w:val="BookText"/>
      </w:pPr>
      <w:r>
        <w:rPr>
          <w:rFonts w:ascii="Amiri" w:hAnsi="Amiri" w:eastAsia="Amiri" w:cs="Amiri"/>
          <w:lang w:bidi="ar-SA"/>
          <w:color w:val="111111"/>
          <w:sz w:val="28"/>
          <w:szCs w:val="28"/>
          <w:rtl/>
        </w:rPr>
        <w:t xml:space="preserve">الإعلام بالحروب الواقعة في صدر الإسلام، ج 2، ص 554.</w:t>
      </w:r>
    </w:p>
    <w:p>
      <w:pPr>
        <w:pStyle w:val="BookText"/>
      </w:pPr>
      <w:r>
        <w:rPr>
          <w:rFonts w:ascii="Amiri" w:hAnsi="Amiri" w:eastAsia="Amiri" w:cs="Amiri"/>
          <w:lang w:bidi="ar-SA"/>
          <w:color w:val="111111"/>
          <w:sz w:val="28"/>
          <w:szCs w:val="28"/>
          <w:rtl/>
        </w:rPr>
        <w:t xml:space="preserve">بياضي زاده، احمد بن حسن 1044 -</w:t>
      </w:r>
    </w:p>
    <w:p>
      <w:pPr>
        <w:pStyle w:val="BookText"/>
      </w:pPr>
      <w:r>
        <w:rPr>
          <w:rFonts w:ascii="IRNazanin" w:hAnsi="IRNazanin" w:eastAsia="IRNazanin" w:cs="IRNazanin"/>
          <w:lang w:bidi="fa-IR"/>
          <w:color w:val="111111"/>
          <w:sz w:val="28"/>
          <w:szCs w:val="28"/>
          <w:rtl/>
        </w:rPr>
        <w:t xml:space="preserve">1097ه-</w:t>
      </w:r>
    </w:p>
    <w:p>
      <w:pPr>
        <w:pStyle w:val="BookText"/>
      </w:pPr>
      <w:r>
        <w:rPr>
          <w:rFonts w:ascii="IRNazanin" w:hAnsi="IRNazanin" w:eastAsia="IRNazanin" w:cs="IRNazanin"/>
          <w:lang w:bidi="fa-IR"/>
          <w:color w:val="111111"/>
          <w:sz w:val="28"/>
          <w:szCs w:val="28"/>
          <w:rtl/>
        </w:rPr>
        <w:t xml:space="preserve">اشارات المرام من عبارات الامام =</w:t>
      </w:r>
    </w:p>
    <w:p>
      <w:pPr>
        <w:pStyle w:val="BookText"/>
      </w:pPr>
      <w:r>
        <w:rPr>
          <w:rFonts w:ascii="Amiri" w:hAnsi="Amiri" w:eastAsia="Amiri" w:cs="Amiri"/>
          <w:lang w:bidi="ar-SA"/>
          <w:color w:val="111111"/>
          <w:sz w:val="28"/>
          <w:szCs w:val="28"/>
          <w:rtl/>
        </w:rPr>
        <w:t xml:space="preserve">شرح اصول المنيفة، ج 2، ص 254.</w:t>
      </w:r>
    </w:p>
    <w:p>
      <w:pPr>
        <w:pStyle w:val="Heading2"/>
      </w:pPr>
      <w:bookmarkStart w:id="2988" w:name="_Toc2090"/>
      <w:r>
        <w:t>بياضي ، علي بن محمّد، 791 - 877 ه-</w:t>
      </w:r>
      <w:bookmarkEnd w:id="2988"/>
    </w:p>
    <w:p>
      <w:pPr>
        <w:pStyle w:val="BookText"/>
      </w:pPr>
      <w:r>
        <w:rPr>
          <w:rFonts w:ascii="Amiri" w:hAnsi="Amiri" w:eastAsia="Amiri" w:cs="Amiri"/>
          <w:lang w:bidi="ar-SA"/>
          <w:color w:val="111111"/>
          <w:sz w:val="28"/>
          <w:szCs w:val="28"/>
          <w:rtl/>
        </w:rPr>
        <w:t xml:space="preserve">1 .اجازة لناصر بن ابراهيم بويهي</w:t>
      </w:r>
    </w:p>
    <w:p>
      <w:pPr>
        <w:pStyle w:val="BookText"/>
      </w:pPr>
      <w:r>
        <w:rPr>
          <w:rFonts w:ascii="Amiri" w:hAnsi="Amiri" w:eastAsia="Amiri" w:cs="Amiri"/>
          <w:lang w:bidi="ar-SA"/>
          <w:color w:val="111111"/>
          <w:sz w:val="28"/>
          <w:szCs w:val="28"/>
          <w:rtl/>
        </w:rPr>
        <w:t xml:space="preserve">حساوي، ج 1، ص291</w:t>
      </w:r>
    </w:p>
    <w:p>
      <w:pPr>
        <w:pStyle w:val="BookText"/>
      </w:pPr>
      <w:r>
        <w:rPr>
          <w:rFonts w:ascii="Amiri" w:hAnsi="Amiri" w:eastAsia="Amiri" w:cs="Amiri"/>
          <w:lang w:bidi="ar-SA"/>
          <w:color w:val="111111"/>
          <w:sz w:val="28"/>
          <w:szCs w:val="28"/>
          <w:rtl/>
        </w:rPr>
        <w:t xml:space="preserve">2 .الصراط المستقيم إلى مستحقي</w:t>
      </w:r>
    </w:p>
    <w:p>
      <w:pPr>
        <w:pStyle w:val="BookText"/>
      </w:pPr>
      <w:r>
        <w:rPr>
          <w:rFonts w:ascii="Amiri" w:hAnsi="Amiri" w:eastAsia="Amiri" w:cs="Amiri"/>
          <w:lang w:bidi="ar-SA"/>
          <w:color w:val="111111"/>
          <w:sz w:val="28"/>
          <w:szCs w:val="28"/>
          <w:rtl/>
        </w:rPr>
        <w:t xml:space="preserve">التقديم، ج 10، ص 543.</w:t>
      </w:r>
    </w:p>
    <w:p>
      <w:pPr>
        <w:pStyle w:val="BookText"/>
      </w:pPr>
      <w:r>
        <w:rPr>
          <w:rFonts w:ascii="Amiri" w:hAnsi="Amiri" w:eastAsia="Amiri" w:cs="Amiri"/>
          <w:lang w:bidi="ar-SA"/>
          <w:color w:val="111111"/>
          <w:sz w:val="28"/>
          <w:szCs w:val="28"/>
          <w:rtl/>
        </w:rPr>
        <w:t xml:space="preserve">3 .عصرة المنجود، ج 11، ص122.</w:t>
      </w:r>
    </w:p>
    <w:p>
      <w:pPr>
        <w:pStyle w:val="BookText"/>
      </w:pPr>
      <w:r>
        <w:rPr>
          <w:rFonts w:ascii="Amiri" w:hAnsi="Amiri" w:eastAsia="Amiri" w:cs="Amiri"/>
          <w:lang w:bidi="ar-SA"/>
          <w:color w:val="111111"/>
          <w:sz w:val="28"/>
          <w:szCs w:val="28"/>
          <w:rtl/>
        </w:rPr>
        <w:t xml:space="preserve">4 .قصيدة ذخيرة الايمان، ج12،</w:t>
      </w:r>
    </w:p>
    <w:p>
      <w:pPr>
        <w:pStyle w:val="BookText"/>
      </w:pPr>
      <w:r>
        <w:rPr>
          <w:rFonts w:ascii="IRNazanin" w:hAnsi="IRNazanin" w:eastAsia="IRNazanin" w:cs="IRNazanin"/>
          <w:lang w:bidi="fa-IR"/>
          <w:color w:val="111111"/>
          <w:sz w:val="28"/>
          <w:szCs w:val="28"/>
          <w:rtl/>
        </w:rPr>
        <w:t xml:space="preserve">ص 671 .</w:t>
      </w:r>
    </w:p>
    <w:p>
      <w:pPr>
        <w:pStyle w:val="BookText"/>
      </w:pPr>
      <w:r>
        <w:rPr>
          <w:rFonts w:ascii="Amiri" w:hAnsi="Amiri" w:eastAsia="Amiri" w:cs="Amiri"/>
          <w:lang w:bidi="ar-SA"/>
          <w:color w:val="111111"/>
          <w:sz w:val="28"/>
          <w:szCs w:val="28"/>
          <w:rtl/>
        </w:rPr>
        <w:t xml:space="preserve">5 .منتهي السؤل من شرح الفصول</w:t>
      </w:r>
    </w:p>
    <w:p>
      <w:pPr>
        <w:pStyle w:val="BookText"/>
      </w:pPr>
      <w:r>
        <w:rPr>
          <w:rFonts w:ascii="IRNazanin" w:hAnsi="IRNazanin" w:eastAsia="IRNazanin" w:cs="IRNazanin"/>
          <w:lang w:bidi="fa-IR"/>
          <w:color w:val="111111"/>
          <w:sz w:val="28"/>
          <w:szCs w:val="28"/>
          <w:rtl/>
        </w:rPr>
        <w:t xml:space="preserve">ج 15 ، ص 637 .</w:t>
      </w:r>
    </w:p>
    <w:p>
      <w:pPr>
        <w:pStyle w:val="Heading2"/>
      </w:pPr>
      <w:bookmarkStart w:id="2989" w:name="_Toc2091"/>
      <w:r>
        <w:t>بيانوني ، عيسى بن حسن</w:t>
      </w:r>
      <w:bookmarkEnd w:id="2989"/>
    </w:p>
    <w:p>
      <w:pPr>
        <w:pStyle w:val="BookText"/>
      </w:pPr>
      <w:r>
        <w:rPr>
          <w:rFonts w:ascii="Amiri" w:hAnsi="Amiri" w:eastAsia="Amiri" w:cs="Amiri"/>
          <w:lang w:bidi="ar-SA"/>
          <w:color w:val="111111"/>
          <w:sz w:val="28"/>
          <w:szCs w:val="28"/>
          <w:rtl/>
        </w:rPr>
        <w:t xml:space="preserve">الاقوال الضابطة في احوال الرابطة</w:t>
      </w:r>
    </w:p>
    <w:p>
      <w:pPr>
        <w:pStyle w:val="BookText"/>
      </w:pPr>
      <w:r>
        <w:rPr>
          <w:rFonts w:ascii="IRNazanin" w:hAnsi="IRNazanin" w:eastAsia="IRNazanin" w:cs="IRNazanin"/>
          <w:lang w:bidi="fa-IR"/>
          <w:color w:val="111111"/>
          <w:sz w:val="28"/>
          <w:szCs w:val="28"/>
          <w:rtl/>
        </w:rPr>
        <w:t xml:space="preserve">ج 2، ص 635 .</w:t>
      </w:r>
    </w:p>
    <w:p>
      <w:pPr>
        <w:pStyle w:val="Heading2"/>
      </w:pPr>
      <w:bookmarkStart w:id="2990" w:name="_Toc2092"/>
      <w:r>
        <w:t>بيتماني ، حسين بن طعمه - 1175 ه-</w:t>
      </w:r>
      <w:bookmarkEnd w:id="2990"/>
    </w:p>
    <w:p>
      <w:pPr>
        <w:pStyle w:val="BookText"/>
      </w:pPr>
      <w:r>
        <w:rPr>
          <w:rFonts w:ascii="Amiri" w:hAnsi="Amiri" w:eastAsia="Amiri" w:cs="Amiri"/>
          <w:lang w:bidi="ar-SA"/>
          <w:color w:val="111111"/>
          <w:sz w:val="28"/>
          <w:szCs w:val="28"/>
          <w:rtl/>
        </w:rPr>
        <w:t xml:space="preserve">كشف الاسرار في العلوم المستفادة من</w:t>
      </w:r>
    </w:p>
    <w:p>
      <w:pPr>
        <w:pStyle w:val="BookText"/>
      </w:pPr>
      <w:r>
        <w:rPr>
          <w:rFonts w:ascii="Amiri" w:hAnsi="Amiri" w:eastAsia="Amiri" w:cs="Amiri"/>
          <w:lang w:bidi="ar-SA"/>
          <w:color w:val="111111"/>
          <w:sz w:val="28"/>
          <w:szCs w:val="28"/>
          <w:rtl/>
        </w:rPr>
        <w:t xml:space="preserve">خيال الإزار، ج13، ص193.</w:t>
      </w:r>
    </w:p>
    <w:p>
      <w:pPr>
        <w:pStyle w:val="Heading2"/>
      </w:pPr>
      <w:bookmarkStart w:id="2991" w:name="_Toc2093"/>
      <w:r>
        <w:t>بيتوشي ، احمد بن عبدالله قرن 14 ه-</w:t>
      </w:r>
      <w:bookmarkEnd w:id="2991"/>
    </w:p>
    <w:p>
      <w:pPr>
        <w:pStyle w:val="BookText"/>
      </w:pPr>
      <w:r>
        <w:rPr>
          <w:rFonts w:ascii="IRNazanin" w:hAnsi="IRNazanin" w:eastAsia="IRNazanin" w:cs="IRNazanin"/>
          <w:lang w:bidi="fa-IR"/>
          <w:color w:val="111111"/>
          <w:sz w:val="28"/>
          <w:szCs w:val="28"/>
          <w:rtl/>
        </w:rPr>
        <w:t xml:space="preserve">ناوينه ي دورو که شکول)، ج 16،</w:t>
      </w:r>
    </w:p>
    <w:p>
      <w:pPr>
        <w:pStyle w:val="BookText"/>
      </w:pPr>
      <w:r>
        <w:rPr>
          <w:rFonts w:ascii="IRNazanin" w:hAnsi="IRNazanin" w:eastAsia="IRNazanin" w:cs="IRNazanin"/>
          <w:lang w:bidi="fa-IR"/>
          <w:color w:val="111111"/>
          <w:sz w:val="28"/>
          <w:szCs w:val="28"/>
          <w:rtl/>
        </w:rPr>
        <w:t xml:space="preserve">ص 104.</w:t>
      </w:r>
    </w:p>
    <w:p>
      <w:pPr>
        <w:pStyle w:val="Heading2"/>
      </w:pPr>
      <w:bookmarkStart w:id="2992" w:name="_Toc2094"/>
      <w:r>
        <w:t>بيتوشي كردي ، عبدالله بن محمّد، 1161 -</w:t>
      </w:r>
      <w:bookmarkEnd w:id="2992"/>
    </w:p>
    <w:p>
      <w:pPr>
        <w:pStyle w:val="BookText"/>
      </w:pPr>
      <w:r>
        <w:rPr>
          <w:rFonts w:ascii="IRNazanin" w:hAnsi="IRNazanin" w:eastAsia="IRNazanin" w:cs="IRNazanin"/>
          <w:lang w:bidi="fa-IR"/>
          <w:color w:val="111111"/>
          <w:sz w:val="28"/>
          <w:szCs w:val="28"/>
          <w:rtl/>
        </w:rPr>
        <w:t xml:space="preserve">1221 ه-</w:t>
      </w:r>
    </w:p>
    <w:p>
      <w:pPr>
        <w:pStyle w:val="BookText"/>
      </w:pPr>
      <w:r>
        <w:rPr>
          <w:rFonts w:ascii="IRNazanin" w:hAnsi="IRNazanin" w:eastAsia="IRNazanin" w:cs="IRNazanin"/>
          <w:lang w:bidi="fa-IR"/>
          <w:color w:val="111111"/>
          <w:sz w:val="28"/>
          <w:szCs w:val="28"/>
          <w:rtl/>
        </w:rPr>
        <w:t xml:space="preserve">1 .الاشتقاق والابدال (منظوم)، ج2،</w:t>
      </w:r>
    </w:p>
    <w:p>
      <w:pPr>
        <w:pStyle w:val="BookText"/>
      </w:pPr>
      <w:r>
        <w:rPr>
          <w:rFonts w:ascii="IRNazanin" w:hAnsi="IRNazanin" w:eastAsia="IRNazanin" w:cs="IRNazanin"/>
          <w:lang w:bidi="fa-IR"/>
          <w:color w:val="111111"/>
          <w:sz w:val="28"/>
          <w:szCs w:val="28"/>
          <w:rtl/>
        </w:rPr>
        <w:t xml:space="preserve">ص 276 .</w:t>
      </w:r>
    </w:p>
    <w:p>
      <w:pPr>
        <w:pStyle w:val="BookText"/>
      </w:pPr>
      <w:r>
        <w:rPr>
          <w:rFonts w:ascii="Amiri" w:hAnsi="Amiri" w:eastAsia="Amiri" w:cs="Amiri"/>
          <w:lang w:bidi="ar-SA"/>
          <w:color w:val="111111"/>
          <w:sz w:val="28"/>
          <w:szCs w:val="28"/>
          <w:rtl/>
        </w:rPr>
        <w:t xml:space="preserve">2 .الافعال المتعدية و اللازمة (منظوم)</w:t>
      </w:r>
    </w:p>
    <w:p>
      <w:pPr>
        <w:pStyle w:val="BookText"/>
      </w:pPr>
      <w:r>
        <w:rPr>
          <w:rFonts w:ascii="IRNazanin" w:hAnsi="IRNazanin" w:eastAsia="IRNazanin" w:cs="IRNazanin"/>
          <w:lang w:bidi="fa-IR"/>
          <w:color w:val="111111"/>
          <w:sz w:val="28"/>
          <w:szCs w:val="28"/>
          <w:rtl/>
        </w:rPr>
        <w:t xml:space="preserve">ج 2، ص 602 .</w:t>
      </w:r>
    </w:p>
    <w:p>
      <w:pPr>
        <w:pStyle w:val="BookText"/>
      </w:pPr>
      <w:r>
        <w:rPr>
          <w:rFonts w:ascii="Amiri" w:hAnsi="Amiri" w:eastAsia="Amiri" w:cs="Amiri"/>
          <w:lang w:bidi="ar-SA"/>
          <w:color w:val="111111"/>
          <w:sz w:val="28"/>
          <w:szCs w:val="28"/>
          <w:rtl/>
        </w:rPr>
        <w:t xml:space="preserve">3.الافعال الواوية و اليائية (منظوم)</w:t>
      </w:r>
    </w:p>
    <w:p>
      <w:pPr>
        <w:pStyle w:val="BookText"/>
      </w:pPr>
      <w:r>
        <w:rPr>
          <w:rFonts w:ascii="IRNazanin" w:hAnsi="IRNazanin" w:eastAsia="IRNazanin" w:cs="IRNazanin"/>
          <w:lang w:bidi="fa-IR"/>
          <w:color w:val="111111"/>
          <w:sz w:val="28"/>
          <w:szCs w:val="28"/>
          <w:rtl/>
        </w:rPr>
        <w:t xml:space="preserve">ج 2، ص 603 .</w:t>
      </w:r>
    </w:p>
    <w:p>
      <w:pPr>
        <w:pStyle w:val="BookText"/>
      </w:pPr>
      <w:r>
        <w:rPr>
          <w:rFonts w:ascii="Amiri" w:hAnsi="Amiri" w:eastAsia="Amiri" w:cs="Amiri"/>
          <w:lang w:bidi="ar-SA"/>
          <w:color w:val="111111"/>
          <w:sz w:val="28"/>
          <w:szCs w:val="28"/>
          <w:rtl/>
        </w:rPr>
        <w:t xml:space="preserve">4 .الالغاز النحوية، ج 2، ص 672.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تشطير، ج 4، ص381</w:t>
      </w:r>
    </w:p>
    <w:p>
      <w:pPr>
        <w:pStyle w:val="BookText"/>
      </w:pPr>
      <w:r>
        <w:rPr>
          <w:rFonts w:ascii="Amiri" w:hAnsi="Amiri" w:eastAsia="Amiri" w:cs="Amiri"/>
          <w:lang w:bidi="ar-SA"/>
          <w:color w:val="111111"/>
          <w:sz w:val="28"/>
          <w:szCs w:val="28"/>
          <w:rtl/>
        </w:rPr>
        <w:t xml:space="preserve">6 .حديقة السرائر في نظم ما جاء من</w:t>
      </w:r>
    </w:p>
    <w:p>
      <w:pPr>
        <w:pStyle w:val="BookText"/>
      </w:pPr>
      <w:r>
        <w:rPr>
          <w:rFonts w:ascii="Amiri" w:hAnsi="Amiri" w:eastAsia="Amiri" w:cs="Amiri"/>
          <w:lang w:bidi="ar-SA"/>
          <w:color w:val="111111"/>
          <w:sz w:val="28"/>
          <w:szCs w:val="28"/>
          <w:rtl/>
        </w:rPr>
        <w:t xml:space="preserve">الكبائر، ج6، ص 587.</w:t>
      </w:r>
    </w:p>
    <w:p>
      <w:pPr>
        <w:pStyle w:val="BookText"/>
      </w:pPr>
      <w:r>
        <w:rPr>
          <w:rFonts w:ascii="IRNazanin" w:hAnsi="IRNazanin" w:eastAsia="IRNazanin" w:cs="IRNazanin"/>
          <w:lang w:bidi="fa-IR"/>
          <w:color w:val="111111"/>
          <w:sz w:val="28"/>
          <w:szCs w:val="28"/>
          <w:rtl/>
        </w:rPr>
        <w:t xml:space="preserve">7 .حروف النحو (منظوم)، ج 6،</w:t>
      </w:r>
    </w:p>
    <w:p>
      <w:pPr>
        <w:pStyle w:val="BookText"/>
      </w:pPr>
      <w:r>
        <w:rPr>
          <w:rFonts w:ascii="IRNazanin" w:hAnsi="IRNazanin" w:eastAsia="IRNazanin" w:cs="IRNazanin"/>
          <w:lang w:bidi="fa-IR"/>
          <w:color w:val="111111"/>
          <w:sz w:val="28"/>
          <w:szCs w:val="28"/>
          <w:rtl/>
        </w:rPr>
        <w:t xml:space="preserve">ص 624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الحفاية في شرح الكفاية، ج 6،</w:t>
      </w:r>
    </w:p>
    <w:p>
      <w:pPr>
        <w:pStyle w:val="BookText"/>
      </w:pPr>
      <w:r>
        <w:rPr>
          <w:rFonts w:ascii="IRNazanin" w:hAnsi="IRNazanin" w:eastAsia="IRNazanin" w:cs="IRNazanin"/>
          <w:lang w:bidi="fa-IR"/>
          <w:color w:val="111111"/>
          <w:sz w:val="28"/>
          <w:szCs w:val="28"/>
          <w:rtl/>
        </w:rPr>
        <w:t xml:space="preserve">ص 675.</w:t>
      </w:r>
    </w:p>
    <w:p>
      <w:pPr>
        <w:pStyle w:val="BookText"/>
      </w:pPr>
      <w:r>
        <w:rPr>
          <w:rFonts w:ascii="IRNazanin" w:hAnsi="IRNazanin" w:eastAsia="IRNazanin" w:cs="IRNazanin"/>
          <w:lang w:bidi="fa-IR"/>
          <w:color w:val="111111"/>
          <w:sz w:val="28"/>
          <w:szCs w:val="28"/>
          <w:rtl/>
        </w:rPr>
        <w:t xml:space="preserve">9 .خصائص الاسماء، ج 7، ص32.</w:t>
      </w:r>
    </w:p>
    <w:p>
      <w:pPr>
        <w:pStyle w:val="BookText"/>
      </w:pPr>
      <w:r>
        <w:rPr>
          <w:rFonts w:ascii="Amiri" w:hAnsi="Amiri" w:eastAsia="Amiri" w:cs="Amiri"/>
          <w:lang w:bidi="ar-SA"/>
          <w:color w:val="111111"/>
          <w:sz w:val="28"/>
          <w:szCs w:val="28"/>
          <w:rtl/>
        </w:rPr>
        <w:t xml:space="preserve">10 .ديوان البيتوشي، ج 7، ص 598.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6" w:name="pg7742_69958"/>
    <w:bookmarkEnd w:id="286"/>
    <w:p>
      <w:pPr>
        <w:pStyle w:val="BookText"/>
      </w:pPr>
      <w:r>
        <w:rPr>
          <w:rFonts w:ascii="Amiri" w:hAnsi="Amiri" w:eastAsia="Amiri" w:cs="Amiri"/>
          <w:lang w:bidi="ar-SA"/>
          <w:color w:val="111111"/>
          <w:sz w:val="28"/>
          <w:szCs w:val="28"/>
          <w:rtl/>
        </w:rPr>
        <w:t xml:space="preserve">11 .رسالة، ج8، ص 157.</w:t>
      </w:r>
    </w:p>
    <w:p>
      <w:pPr>
        <w:pStyle w:val="BookText"/>
      </w:pPr>
      <w:r>
        <w:rPr>
          <w:rFonts w:ascii="Amiri" w:hAnsi="Amiri" w:eastAsia="Amiri" w:cs="Amiri"/>
          <w:lang w:bidi="ar-SA"/>
          <w:color w:val="111111"/>
          <w:sz w:val="28"/>
          <w:szCs w:val="28"/>
          <w:rtl/>
        </w:rPr>
        <w:t xml:space="preserve">12 .الرسالة العراقية، ج8، ص222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الرسالة إلى الأمير سليمان بك</w:t>
      </w:r>
    </w:p>
    <w:p>
      <w:pPr>
        <w:pStyle w:val="BookText"/>
      </w:pPr>
      <w:r>
        <w:rPr>
          <w:rFonts w:ascii="Amiri" w:hAnsi="Amiri" w:eastAsia="Amiri" w:cs="Amiri"/>
          <w:lang w:bidi="ar-SA"/>
          <w:color w:val="111111"/>
          <w:sz w:val="28"/>
          <w:szCs w:val="28"/>
          <w:rtl/>
        </w:rPr>
        <w:t xml:space="preserve">الشاوي، ج8، ص 167.</w:t>
      </w:r>
    </w:p>
    <w:p>
      <w:pPr>
        <w:pStyle w:val="BookText"/>
      </w:pPr>
      <w:r>
        <w:rPr>
          <w:rFonts w:ascii="IRNazanin" w:hAnsi="IRNazanin" w:eastAsia="IRNazanin" w:cs="IRNazanin"/>
          <w:lang w:bidi="fa-IR"/>
          <w:color w:val="111111"/>
          <w:sz w:val="28"/>
          <w:szCs w:val="28"/>
          <w:rtl/>
        </w:rPr>
        <w:t xml:space="preserve">14 .الزحاف و العلل، ج8، ص 601.</w:t>
      </w:r>
    </w:p>
    <w:p>
      <w:pPr>
        <w:pStyle w:val="BookText"/>
      </w:pPr>
      <w:r>
        <w:rPr>
          <w:rFonts w:ascii="Amiri" w:hAnsi="Amiri" w:eastAsia="Amiri" w:cs="Amiri"/>
          <w:lang w:bidi="ar-SA"/>
          <w:color w:val="111111"/>
          <w:sz w:val="28"/>
          <w:szCs w:val="28"/>
          <w:rtl/>
        </w:rPr>
        <w:t xml:space="preserve">15 .الزواجر في اقتراف الكبائر، ج8،</w:t>
      </w:r>
    </w:p>
    <w:p>
      <w:pPr>
        <w:pStyle w:val="BookText"/>
      </w:pPr>
      <w:r>
        <w:rPr>
          <w:rFonts w:ascii="IRNazanin" w:hAnsi="IRNazanin" w:eastAsia="IRNazanin" w:cs="IRNazanin"/>
          <w:lang w:bidi="fa-IR"/>
          <w:color w:val="111111"/>
          <w:sz w:val="28"/>
          <w:szCs w:val="28"/>
          <w:rtl/>
        </w:rPr>
        <w:t xml:space="preserve">ص 636.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الخصال المكفرة للذنوب</w:t>
      </w:r>
    </w:p>
    <w:p>
      <w:pPr>
        <w:pStyle w:val="BookText"/>
      </w:pPr>
      <w:r>
        <w:rPr>
          <w:rFonts w:ascii="IRNazanin" w:hAnsi="IRNazanin" w:eastAsia="IRNazanin" w:cs="IRNazanin"/>
          <w:lang w:bidi="fa-IR"/>
          <w:color w:val="111111"/>
          <w:sz w:val="28"/>
          <w:szCs w:val="28"/>
          <w:rtl/>
        </w:rPr>
        <w:t xml:space="preserve">ج 9، ص 429 .</w:t>
      </w:r>
    </w:p>
    <w:p>
      <w:pPr>
        <w:pStyle w:val="BookText"/>
      </w:pPr>
      <w:r>
        <w:rPr>
          <w:rFonts w:ascii="Amiri" w:hAnsi="Amiri" w:eastAsia="Amiri" w:cs="Amiri"/>
          <w:lang w:bidi="ar-SA"/>
          <w:color w:val="111111"/>
          <w:sz w:val="28"/>
          <w:szCs w:val="28"/>
          <w:rtl/>
        </w:rPr>
        <w:t xml:space="preserve">17 .شرح منظومة الافعال التي استوي</w:t>
      </w:r>
    </w:p>
    <w:p>
      <w:pPr>
        <w:pStyle w:val="BookText"/>
      </w:pPr>
      <w:r>
        <w:rPr>
          <w:rFonts w:ascii="Amiri" w:hAnsi="Amiri" w:eastAsia="Amiri" w:cs="Amiri"/>
          <w:lang w:bidi="ar-SA"/>
          <w:color w:val="111111"/>
          <w:sz w:val="28"/>
          <w:szCs w:val="28"/>
          <w:rtl/>
        </w:rPr>
        <w:t xml:space="preserve">فيها التعدي و اللزوم، ج 10،</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Amiri" w:hAnsi="Amiri" w:eastAsia="Amiri" w:cs="Amiri"/>
          <w:lang w:bidi="ar-SA"/>
          <w:color w:val="111111"/>
          <w:sz w:val="28"/>
          <w:szCs w:val="28"/>
          <w:rtl/>
        </w:rPr>
        <w:t xml:space="preserve">18 .شرح منظومة المثلث، ج 10،</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19 .شرح منظومة الواوي و اليائي من 1182 ه-</w:t>
      </w:r>
    </w:p>
    <w:p>
      <w:pPr>
        <w:pStyle w:val="BookText"/>
      </w:pPr>
      <w:r>
        <w:rPr>
          <w:rFonts w:ascii="IRNazanin" w:hAnsi="IRNazanin" w:eastAsia="IRNazanin" w:cs="IRNazanin"/>
          <w:lang w:bidi="fa-IR"/>
          <w:color w:val="111111"/>
          <w:sz w:val="28"/>
          <w:szCs w:val="28"/>
          <w:rtl/>
        </w:rPr>
        <w:t xml:space="preserve">الافعال، ج 10، ص 260.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منظومة ما جاء من الافعال</w:t>
      </w:r>
    </w:p>
    <w:p>
      <w:pPr>
        <w:pStyle w:val="BookText"/>
      </w:pPr>
      <w:r>
        <w:rPr>
          <w:rFonts w:ascii="IRNazanin" w:hAnsi="IRNazanin" w:eastAsia="IRNazanin" w:cs="IRNazanin"/>
          <w:lang w:bidi="fa-IR"/>
          <w:color w:val="111111"/>
          <w:sz w:val="28"/>
          <w:szCs w:val="28"/>
          <w:rtl/>
        </w:rPr>
        <w:t xml:space="preserve">على فعلته فانفعل»، ج10،</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Amiri" w:hAnsi="Amiri" w:eastAsia="Amiri" w:cs="Amiri"/>
          <w:lang w:bidi="ar-SA"/>
          <w:color w:val="111111"/>
          <w:sz w:val="28"/>
          <w:szCs w:val="28"/>
          <w:rtl/>
        </w:rPr>
        <w:t xml:space="preserve">21 .شرح منظومة ما جاء من الافعال بيدآبادي، محمّد باقر بن محمّد نقي</w:t>
      </w:r>
    </w:p>
    <w:p>
      <w:pPr>
        <w:pStyle w:val="BookText"/>
      </w:pPr>
      <w:r>
        <w:rPr>
          <w:rFonts w:ascii="IRNazanin" w:hAnsi="IRNazanin" w:eastAsia="IRNazanin" w:cs="IRNazanin"/>
          <w:lang w:bidi="fa-IR"/>
          <w:color w:val="111111"/>
          <w:sz w:val="28"/>
          <w:szCs w:val="28"/>
          <w:rtl/>
        </w:rPr>
        <w:t xml:space="preserve">على «فعلته ففعل»، ج10،</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22 .شرح نظم الكافي في بيان علمي 1197 ه-</w:t>
      </w:r>
    </w:p>
    <w:p>
      <w:pPr>
        <w:pStyle w:val="BookText"/>
      </w:pPr>
      <w:r>
        <w:rPr>
          <w:rFonts w:ascii="Amiri" w:hAnsi="Amiri" w:eastAsia="Amiri" w:cs="Amiri"/>
          <w:lang w:bidi="ar-SA"/>
          <w:color w:val="111111"/>
          <w:sz w:val="28"/>
          <w:szCs w:val="28"/>
          <w:rtl/>
        </w:rPr>
        <w:t xml:space="preserve">العروض والقوافي، ج 10، ص290.</w:t>
      </w:r>
    </w:p>
    <w:p>
      <w:pPr>
        <w:pStyle w:val="BookText"/>
      </w:pPr>
      <w:r>
        <w:rPr>
          <w:rFonts w:ascii="Amiri" w:hAnsi="Amiri" w:eastAsia="Amiri" w:cs="Amiri"/>
          <w:lang w:bidi="ar-SA"/>
          <w:color w:val="111111"/>
          <w:sz w:val="28"/>
          <w:szCs w:val="28"/>
          <w:rtl/>
        </w:rPr>
        <w:t xml:space="preserve">23 .الطب (رسالة في)، ج 10، ص 742.</w:t>
      </w:r>
    </w:p>
    <w:p>
      <w:pPr>
        <w:pStyle w:val="BookText"/>
      </w:pPr>
      <w:r>
        <w:rPr>
          <w:rFonts w:ascii="Amiri" w:hAnsi="Amiri" w:eastAsia="Amiri" w:cs="Amiri"/>
          <w:lang w:bidi="ar-SA"/>
          <w:color w:val="111111"/>
          <w:sz w:val="28"/>
          <w:szCs w:val="28"/>
          <w:rtl/>
        </w:rPr>
        <w:t xml:space="preserve">24 .طريقة البصائر إلى حديقة السرائر في نظم الكبائر، ج 10، ص819.</w:t>
      </w:r>
    </w:p>
    <w:p>
      <w:pPr>
        <w:pStyle w:val="BookText"/>
      </w:pPr>
      <w:r>
        <w:rPr>
          <w:rFonts w:ascii="Amiri" w:hAnsi="Amiri" w:eastAsia="Amiri" w:cs="Amiri"/>
          <w:lang w:bidi="ar-SA"/>
          <w:color w:val="111111"/>
          <w:sz w:val="28"/>
          <w:szCs w:val="28"/>
          <w:rtl/>
        </w:rPr>
        <w:t xml:space="preserve">25 .علامة الافعال، ج 11، ص219.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القصيدة الحائية، ج 12، ص 664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القصيدة اللامية، ج 12، ص 706.</w:t>
      </w:r>
    </w:p>
    <w:p>
      <w:pPr>
        <w:pStyle w:val="BookText"/>
      </w:pPr>
      <w:r>
        <w:rPr>
          <w:rFonts w:ascii="Amiri" w:hAnsi="Amiri" w:eastAsia="Amiri" w:cs="Amiri"/>
          <w:lang w:bidi="ar-SA"/>
          <w:color w:val="111111"/>
          <w:sz w:val="28"/>
          <w:szCs w:val="28"/>
          <w:rtl/>
        </w:rPr>
        <w:t xml:space="preserve">28 .قواعد صفة «فعلان» (منظومة</w:t>
      </w:r>
    </w:p>
    <w:p>
      <w:pPr>
        <w:pStyle w:val="BookText"/>
      </w:pPr>
      <w:r>
        <w:rPr>
          <w:rFonts w:ascii="Amiri" w:hAnsi="Amiri" w:eastAsia="Amiri" w:cs="Amiri"/>
          <w:lang w:bidi="ar-SA"/>
          <w:color w:val="111111"/>
          <w:sz w:val="28"/>
          <w:szCs w:val="28"/>
          <w:rtl/>
        </w:rPr>
        <w:t xml:space="preserve">في)، ج 12، ص 794 .</w:t>
      </w:r>
    </w:p>
    <w:p>
      <w:pPr>
        <w:pStyle w:val="BookText"/>
      </w:pPr>
      <w:r>
        <w:rPr>
          <w:rFonts w:ascii="Amiri" w:hAnsi="Amiri" w:eastAsia="Amiri" w:cs="Amiri"/>
          <w:lang w:bidi="ar-SA"/>
          <w:color w:val="111111"/>
          <w:sz w:val="28"/>
          <w:szCs w:val="28"/>
          <w:rtl/>
        </w:rPr>
        <w:t xml:space="preserve">29 .كفاية المعاني في نظم حرف المعاني</w:t>
      </w:r>
    </w:p>
    <w:p>
      <w:pPr>
        <w:pStyle w:val="BookText"/>
      </w:pPr>
      <w:r>
        <w:rPr>
          <w:rFonts w:ascii="Amiri" w:hAnsi="Amiri" w:eastAsia="Amiri" w:cs="Amiri"/>
          <w:lang w:bidi="ar-SA"/>
          <w:color w:val="111111"/>
          <w:sz w:val="28"/>
          <w:szCs w:val="28"/>
          <w:rtl/>
        </w:rPr>
        <w:t xml:space="preserve">= معاني حروف، ج 13، ص 339.</w:t>
      </w:r>
    </w:p>
    <w:p>
      <w:pPr>
        <w:pStyle w:val="BookText"/>
      </w:pPr>
      <w:r>
        <w:rPr>
          <w:rFonts w:ascii="Amiri" w:hAnsi="Amiri" w:eastAsia="Amiri" w:cs="Amiri"/>
          <w:lang w:bidi="ar-SA"/>
          <w:color w:val="111111"/>
          <w:sz w:val="28"/>
          <w:szCs w:val="28"/>
          <w:rtl/>
        </w:rPr>
        <w:t xml:space="preserve">30 .كيفية كتابة همزة «ابن» (رسالة</w:t>
      </w:r>
    </w:p>
    <w:p>
      <w:pPr>
        <w:pStyle w:val="BookText"/>
      </w:pPr>
      <w:r>
        <w:rPr>
          <w:rFonts w:ascii="Amiri" w:hAnsi="Amiri" w:eastAsia="Amiri" w:cs="Amiri"/>
          <w:lang w:bidi="ar-SA"/>
          <w:color w:val="111111"/>
          <w:sz w:val="28"/>
          <w:szCs w:val="28"/>
          <w:rtl/>
        </w:rPr>
        <w:t xml:space="preserve">في)، ج 13، ص 484.</w:t>
      </w:r>
    </w:p>
    <w:p>
      <w:pPr>
        <w:pStyle w:val="BookText"/>
      </w:pPr>
      <w:r>
        <w:rPr>
          <w:rFonts w:ascii="Amiri" w:hAnsi="Amiri" w:eastAsia="Amiri" w:cs="Amiri"/>
          <w:lang w:bidi="ar-SA"/>
          <w:color w:val="111111"/>
          <w:sz w:val="28"/>
          <w:szCs w:val="28"/>
          <w:rtl/>
        </w:rPr>
        <w:t xml:space="preserve">31 .المصادر الشاذة (منظوم)، ج 14،</w:t>
      </w:r>
    </w:p>
    <w:p>
      <w:pPr>
        <w:pStyle w:val="BookText"/>
      </w:pPr>
      <w:r>
        <w:rPr>
          <w:rFonts w:ascii="IRNazanin" w:hAnsi="IRNazanin" w:eastAsia="IRNazanin" w:cs="IRNazanin"/>
          <w:lang w:bidi="fa-IR"/>
          <w:color w:val="111111"/>
          <w:sz w:val="28"/>
          <w:szCs w:val="28"/>
          <w:rtl/>
        </w:rPr>
        <w:t xml:space="preserve">ص 694 .</w:t>
      </w:r>
    </w:p>
    <w:p>
      <w:pPr>
        <w:pStyle w:val="BookText"/>
      </w:pPr>
      <w:r>
        <w:rPr>
          <w:rFonts w:ascii="Amiri" w:hAnsi="Amiri" w:eastAsia="Amiri" w:cs="Amiri"/>
          <w:lang w:bidi="ar-SA"/>
          <w:color w:val="111111"/>
          <w:sz w:val="28"/>
          <w:szCs w:val="28"/>
          <w:rtl/>
        </w:rPr>
        <w:t xml:space="preserve">32 .المكفرات لكل ذنب سابق و آت</w:t>
      </w:r>
    </w:p>
    <w:p>
      <w:pPr>
        <w:pStyle w:val="BookText"/>
      </w:pPr>
      <w:r>
        <w:rPr>
          <w:rFonts w:ascii="IRNazanin" w:hAnsi="IRNazanin" w:eastAsia="IRNazanin" w:cs="IRNazanin"/>
          <w:lang w:bidi="fa-IR"/>
          <w:color w:val="111111"/>
          <w:sz w:val="28"/>
          <w:szCs w:val="28"/>
          <w:rtl/>
        </w:rPr>
        <w:t xml:space="preserve">منظومه)، ج 15، ص 429.</w:t>
      </w:r>
    </w:p>
    <w:p>
      <w:pPr>
        <w:pStyle w:val="BookText"/>
      </w:pPr>
      <w:r>
        <w:rPr>
          <w:rFonts w:ascii="Amiri" w:hAnsi="Amiri" w:eastAsia="Amiri" w:cs="Amiri"/>
          <w:lang w:bidi="ar-SA"/>
          <w:color w:val="111111"/>
          <w:sz w:val="28"/>
          <w:szCs w:val="28"/>
          <w:rtl/>
        </w:rPr>
        <w:t xml:space="preserve">33 .المؤنث السماعي (ارجوزة) =</w:t>
      </w:r>
    </w:p>
    <w:p>
      <w:pPr>
        <w:pStyle w:val="BookText"/>
      </w:pPr>
      <w:r>
        <w:rPr>
          <w:rFonts w:ascii="Amiri" w:hAnsi="Amiri" w:eastAsia="Amiri" w:cs="Amiri"/>
          <w:lang w:bidi="ar-SA"/>
          <w:color w:val="111111"/>
          <w:sz w:val="28"/>
          <w:szCs w:val="28"/>
          <w:rtl/>
        </w:rPr>
        <w:t xml:space="preserve">الاسماء المؤنثة ثانيثاً معنوياً منظومة، ج13، ص 706.</w:t>
      </w:r>
    </w:p>
    <w:p>
      <w:pPr>
        <w:pStyle w:val="BookText"/>
      </w:pPr>
      <w:r>
        <w:rPr>
          <w:rFonts w:ascii="Amiri" w:hAnsi="Amiri" w:eastAsia="Amiri" w:cs="Amiri"/>
          <w:lang w:bidi="ar-SA"/>
          <w:color w:val="111111"/>
          <w:sz w:val="28"/>
          <w:szCs w:val="28"/>
          <w:rtl/>
        </w:rPr>
        <w:t xml:space="preserve">34 .الوافية في نظم الشافية، ج16،</w:t>
      </w:r>
    </w:p>
    <w:p>
      <w:pPr>
        <w:pStyle w:val="BookText"/>
      </w:pPr>
      <w:r>
        <w:rPr>
          <w:rFonts w:ascii="IRNazanin" w:hAnsi="IRNazanin" w:eastAsia="IRNazanin" w:cs="IRNazanin"/>
          <w:lang w:bidi="fa-IR"/>
          <w:color w:val="111111"/>
          <w:sz w:val="28"/>
          <w:szCs w:val="28"/>
          <w:rtl/>
        </w:rPr>
        <w:t xml:space="preserve">ص 715</w:t>
      </w:r>
    </w:p>
    <w:p>
      <w:pPr>
        <w:pStyle w:val="Heading2"/>
      </w:pPr>
      <w:bookmarkStart w:id="2993" w:name="_Toc2095"/>
      <w:r>
        <w:t>بيتي سقاني ، جعفر بن محمّد، 1110 -</w:t>
      </w:r>
      <w:bookmarkEnd w:id="2993"/>
    </w:p>
    <w:p>
      <w:pPr>
        <w:pStyle w:val="BookText"/>
      </w:pPr>
      <w:r>
        <w:rPr>
          <w:rFonts w:ascii="Amiri" w:hAnsi="Amiri" w:eastAsia="Amiri" w:cs="Amiri"/>
          <w:lang w:bidi="ar-SA"/>
          <w:color w:val="111111"/>
          <w:sz w:val="28"/>
          <w:szCs w:val="28"/>
          <w:rtl/>
        </w:rPr>
        <w:t xml:space="preserve">ديوان البيتي، ج 7، ص 599.</w:t>
      </w:r>
    </w:p>
    <w:p>
      <w:pPr>
        <w:pStyle w:val="BookText"/>
      </w:pPr>
      <w:r>
        <w:rPr>
          <w:rFonts w:ascii="Amiri" w:hAnsi="Amiri" w:eastAsia="Amiri" w:cs="Amiri"/>
          <w:lang w:bidi="ar-SA"/>
          <w:color w:val="111111"/>
          <w:sz w:val="28"/>
          <w:szCs w:val="28"/>
          <w:rtl/>
        </w:rPr>
        <w:t xml:space="preserve">بيدآبادي اصفهاني ، محمّد باقر- شفتي</w:t>
      </w:r>
    </w:p>
    <w:p>
      <w:pPr>
        <w:pStyle w:val="Heading2"/>
      </w:pPr>
      <w:bookmarkStart w:id="2994" w:name="_Toc2096"/>
      <w:r>
        <w:t>بيدآبادي ، محمّد بن محمّد رفیع</w:t>
      </w:r>
      <w:bookmarkEnd w:id="2994"/>
    </w:p>
    <w:p>
      <w:pPr>
        <w:pStyle w:val="BookText"/>
      </w:pPr>
      <w:r>
        <w:rPr>
          <w:rFonts w:ascii="IRNazanin" w:hAnsi="IRNazanin" w:eastAsia="IRNazanin" w:cs="IRNazanin"/>
          <w:lang w:bidi="fa-IR"/>
          <w:color w:val="111111"/>
          <w:sz w:val="28"/>
          <w:szCs w:val="28"/>
          <w:rtl/>
        </w:rPr>
        <w:t xml:space="preserve">1 .پندنامه بيدآبادي = نصائح بيدآبادي، ج 3، ص 523.</w:t>
      </w:r>
    </w:p>
    <w:p>
      <w:pPr>
        <w:pStyle w:val="BookText"/>
      </w:pPr>
      <w:r>
        <w:rPr>
          <w:rFonts w:ascii="Amiri" w:hAnsi="Amiri" w:eastAsia="Amiri" w:cs="Amiri"/>
          <w:lang w:bidi="ar-SA"/>
          <w:color w:val="111111"/>
          <w:sz w:val="28"/>
          <w:szCs w:val="28"/>
          <w:rtl/>
        </w:rPr>
        <w:t xml:space="preserve">2 .السير والسلوك، ج9، ص30.</w:t>
      </w:r>
    </w:p>
    <w:p>
      <w:pPr>
        <w:pStyle w:val="BookText"/>
      </w:pPr>
      <w:r>
        <w:rPr>
          <w:rFonts w:ascii="Amiri" w:hAnsi="Amiri" w:eastAsia="Amiri" w:cs="Amiri"/>
          <w:lang w:bidi="ar-SA"/>
          <w:color w:val="111111"/>
          <w:sz w:val="28"/>
          <w:szCs w:val="28"/>
          <w:rtl/>
        </w:rPr>
        <w:t xml:space="preserve">3.مكاتيب، ج 15 ، ص 409.</w:t>
      </w:r>
    </w:p>
    <w:p>
      <w:pPr>
        <w:pStyle w:val="BookText"/>
      </w:pPr>
      <w:r>
        <w:rPr>
          <w:rFonts w:ascii="Amiri" w:hAnsi="Amiri" w:eastAsia="Amiri" w:cs="Amiri"/>
          <w:lang w:bidi="ar-SA"/>
          <w:color w:val="111111"/>
          <w:sz w:val="28"/>
          <w:szCs w:val="28"/>
          <w:rtl/>
        </w:rPr>
        <w:t xml:space="preserve">بيدآبادي ، يحيى بن محمّد</w:t>
      </w:r>
    </w:p>
    <w:p>
      <w:pPr>
        <w:pStyle w:val="BookText"/>
      </w:pPr>
      <w:r>
        <w:rPr>
          <w:rFonts w:ascii="Amiri" w:hAnsi="Amiri" w:eastAsia="Amiri" w:cs="Amiri"/>
          <w:lang w:bidi="ar-SA"/>
          <w:color w:val="111111"/>
          <w:sz w:val="28"/>
          <w:szCs w:val="28"/>
          <w:rtl/>
        </w:rPr>
        <w:t xml:space="preserve">شفيع- اصفهاني ، يحيى بن محمّد شفيع</w:t>
      </w:r>
    </w:p>
    <w:p>
      <w:pPr>
        <w:pStyle w:val="BookText"/>
      </w:pPr>
      <w:r>
        <w:rPr>
          <w:rFonts w:ascii="Amiri" w:hAnsi="Amiri" w:eastAsia="Amiri" w:cs="Amiri"/>
          <w:lang w:bidi="ar-SA"/>
          <w:color w:val="111111"/>
          <w:sz w:val="28"/>
          <w:szCs w:val="28"/>
          <w:rtl/>
        </w:rPr>
        <w:t xml:space="preserve">بيدخشاني ، علي بن محمود -رايض</w:t>
      </w:r>
    </w:p>
    <w:p>
      <w:pPr>
        <w:pStyle w:val="BookText"/>
      </w:pPr>
      <w:r>
        <w:rPr>
          <w:rFonts w:ascii="Amiri" w:hAnsi="Amiri" w:eastAsia="Amiri" w:cs="Amiri"/>
          <w:lang w:bidi="ar-SA"/>
          <w:color w:val="111111"/>
          <w:sz w:val="28"/>
          <w:szCs w:val="28"/>
          <w:rtl/>
        </w:rPr>
        <w:t xml:space="preserve">بدخشاني ، علي بن محمود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7" w:name="pg7742_69960"/>
    <w:bookmarkEnd w:id="287"/>
    <w:p>
      <w:pPr>
        <w:pStyle w:val="Heading2"/>
      </w:pPr>
      <w:bookmarkStart w:id="2995" w:name="_Toc2097"/>
      <w:r>
        <w:t>بيدگلي كاشاني ، عبد العظيم بن حسين</w:t>
      </w:r>
      <w:bookmarkEnd w:id="2995"/>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عائدة العقبى، ج 11، ص3</w:t>
      </w:r>
    </w:p>
    <w:p>
      <w:pPr>
        <w:pStyle w:val="BookText"/>
      </w:pPr>
      <w:r>
        <w:rPr>
          <w:rFonts w:ascii="IRNazanin" w:hAnsi="IRNazanin" w:eastAsia="IRNazanin" w:cs="IRNazanin"/>
          <w:lang w:bidi="fa-IR"/>
          <w:color w:val="111111"/>
          <w:sz w:val="28"/>
          <w:szCs w:val="28"/>
          <w:rtl/>
        </w:rPr>
        <w:t xml:space="preserve">بیدگلي كاشاني ، عبدالعلي بن محمّد باقر- موبد بيدگلي ، عبدالعلي بن محمّد باقر</w:t>
      </w:r>
    </w:p>
    <w:p>
      <w:pPr>
        <w:pStyle w:val="BookText"/>
      </w:pPr>
      <w:r>
        <w:rPr>
          <w:rFonts w:ascii="IRNazanin" w:hAnsi="IRNazanin" w:eastAsia="IRNazanin" w:cs="IRNazanin"/>
          <w:lang w:bidi="fa-IR"/>
          <w:color w:val="111111"/>
          <w:sz w:val="28"/>
          <w:szCs w:val="28"/>
          <w:rtl/>
        </w:rPr>
        <w:t xml:space="preserve">بيدگلي ، محمّد بن عبدالوهاب -كاشاني</w:t>
      </w:r>
    </w:p>
    <w:p>
      <w:pPr>
        <w:pStyle w:val="BookText"/>
      </w:pPr>
      <w:r>
        <w:rPr>
          <w:rFonts w:ascii="IRNazanin" w:hAnsi="IRNazanin" w:eastAsia="IRNazanin" w:cs="IRNazanin"/>
          <w:lang w:bidi="fa-IR"/>
          <w:color w:val="111111"/>
          <w:sz w:val="28"/>
          <w:szCs w:val="28"/>
          <w:rtl/>
        </w:rPr>
        <w:t xml:space="preserve">بيدگلي ، محمّد بن عبدالوهاب</w:t>
      </w:r>
    </w:p>
    <w:p>
      <w:pPr>
        <w:pStyle w:val="Heading2"/>
      </w:pPr>
      <w:bookmarkStart w:id="2996" w:name="_Toc2098"/>
      <w:r>
        <w:t>بيدل دهلوي ، عبدالقادر بن عبدالخالق</w:t>
      </w:r>
      <w:bookmarkEnd w:id="2996"/>
    </w:p>
    <w:p>
      <w:pPr>
        <w:pStyle w:val="BookText"/>
      </w:pPr>
      <w:r>
        <w:rPr>
          <w:rFonts w:ascii="IRNazanin" w:hAnsi="IRNazanin" w:eastAsia="IRNazanin" w:cs="IRNazanin"/>
          <w:lang w:bidi="fa-IR"/>
          <w:color w:val="111111"/>
          <w:sz w:val="28"/>
          <w:szCs w:val="28"/>
          <w:rtl/>
        </w:rPr>
        <w:t xml:space="preserve">1054 - 1133 ه-</w:t>
      </w:r>
    </w:p>
    <w:p>
      <w:pPr>
        <w:pStyle w:val="BookText"/>
      </w:pPr>
      <w:r>
        <w:rPr>
          <w:rFonts w:ascii="IRNazanin" w:hAnsi="IRNazanin" w:eastAsia="IRNazanin" w:cs="IRNazanin"/>
          <w:lang w:bidi="fa-IR"/>
          <w:color w:val="111111"/>
          <w:sz w:val="28"/>
          <w:szCs w:val="28"/>
          <w:rtl/>
        </w:rPr>
        <w:t xml:space="preserve">دیوان بیدل دهلوي، ج 7، ص 599.</w:t>
      </w:r>
    </w:p>
    <w:p>
      <w:pPr>
        <w:pStyle w:val="BookText"/>
      </w:pPr>
      <w:r>
        <w:rPr>
          <w:rFonts w:ascii="Amiri" w:hAnsi="Amiri" w:eastAsia="Amiri" w:cs="Amiri"/>
          <w:lang w:bidi="ar-SA"/>
          <w:color w:val="111111"/>
          <w:sz w:val="28"/>
          <w:szCs w:val="28"/>
          <w:rtl/>
        </w:rPr>
        <w:t xml:space="preserve">بيدلي، عبيد الله بن محمّد -عبري ،</w:t>
      </w:r>
    </w:p>
    <w:p>
      <w:pPr>
        <w:pStyle w:val="BookText"/>
      </w:pPr>
      <w:r>
        <w:rPr>
          <w:rFonts w:ascii="IRNazanin" w:hAnsi="IRNazanin" w:eastAsia="IRNazanin" w:cs="IRNazanin"/>
          <w:lang w:bidi="fa-IR"/>
          <w:color w:val="111111"/>
          <w:sz w:val="28"/>
          <w:szCs w:val="28"/>
          <w:rtl/>
        </w:rPr>
        <w:t xml:space="preserve">عبیدالله بن محمّد</w:t>
      </w:r>
    </w:p>
    <w:p>
      <w:pPr>
        <w:pStyle w:val="Heading2"/>
      </w:pPr>
      <w:bookmarkStart w:id="2997" w:name="_Toc2099"/>
      <w:r>
        <w:t>بيدوازي ، محمّد طاهر بن احمد</w:t>
      </w:r>
      <w:bookmarkEnd w:id="2997"/>
    </w:p>
    <w:p>
      <w:pPr>
        <w:pStyle w:val="BookText"/>
      </w:pPr>
      <w:r>
        <w:rPr>
          <w:rFonts w:ascii="Amiri" w:hAnsi="Amiri" w:eastAsia="Amiri" w:cs="Amiri"/>
          <w:lang w:bidi="ar-SA"/>
          <w:color w:val="111111"/>
          <w:sz w:val="28"/>
          <w:szCs w:val="28"/>
          <w:rtl/>
        </w:rPr>
        <w:t xml:space="preserve">حاشية على اجتماع الشرط مع القسم</w:t>
      </w:r>
    </w:p>
    <w:p>
      <w:pPr>
        <w:pStyle w:val="BookText"/>
      </w:pPr>
      <w:r>
        <w:rPr>
          <w:rFonts w:ascii="IRNazanin" w:hAnsi="IRNazanin" w:eastAsia="IRNazanin" w:cs="IRNazanin"/>
          <w:lang w:bidi="fa-IR"/>
          <w:color w:val="111111"/>
          <w:sz w:val="28"/>
          <w:szCs w:val="28"/>
          <w:rtl/>
        </w:rPr>
        <w:t xml:space="preserve">ج 6، ص 232.</w:t>
      </w:r>
    </w:p>
    <w:p>
      <w:pPr>
        <w:pStyle w:val="BookText"/>
      </w:pPr>
      <w:r>
        <w:rPr>
          <w:rFonts w:ascii="Amiri" w:hAnsi="Amiri" w:eastAsia="Amiri" w:cs="Amiri"/>
          <w:lang w:bidi="ar-SA"/>
          <w:color w:val="111111"/>
          <w:sz w:val="28"/>
          <w:szCs w:val="28"/>
          <w:rtl/>
        </w:rPr>
        <w:t xml:space="preserve">بيرجندي ، احمد بن حسن- يزدي ، احمد</w:t>
      </w:r>
    </w:p>
    <w:p>
      <w:pPr>
        <w:pStyle w:val="BookText"/>
      </w:pPr>
      <w:r>
        <w:rPr>
          <w:rFonts w:ascii="IRNazanin" w:hAnsi="IRNazanin" w:eastAsia="IRNazanin" w:cs="IRNazanin"/>
          <w:lang w:bidi="fa-IR"/>
          <w:color w:val="111111"/>
          <w:sz w:val="28"/>
          <w:szCs w:val="28"/>
          <w:rtl/>
        </w:rPr>
        <w:t xml:space="preserve">بن حسن</w:t>
      </w:r>
    </w:p>
    <w:p>
      <w:pPr>
        <w:pStyle w:val="Heading2"/>
      </w:pPr>
      <w:bookmarkStart w:id="2998" w:name="_Toc2100"/>
      <w:r>
        <w:t>بيرجندي، عبدالعلي بن محمّد - 934 ه-</w:t>
      </w:r>
      <w:bookmarkEnd w:id="2998"/>
    </w:p>
    <w:p>
      <w:pPr>
        <w:pStyle w:val="BookText"/>
      </w:pPr>
      <w:r>
        <w:rPr>
          <w:rFonts w:ascii="IRNazanin" w:hAnsi="IRNazanin" w:eastAsia="IRNazanin" w:cs="IRNazanin"/>
          <w:lang w:bidi="fa-IR"/>
          <w:color w:val="111111"/>
          <w:sz w:val="28"/>
          <w:szCs w:val="28"/>
          <w:rtl/>
        </w:rPr>
        <w:t xml:space="preserve">1 .ابعاد و اجرام = مساحت سطوح اجسام = بدایع آثار هفت اقلیم =</w:t>
      </w:r>
    </w:p>
    <w:p>
      <w:pPr>
        <w:pStyle w:val="BookText"/>
      </w:pPr>
      <w:r>
        <w:rPr>
          <w:rFonts w:ascii="Amiri" w:hAnsi="Amiri" w:eastAsia="Amiri" w:cs="Amiri"/>
          <w:lang w:bidi="ar-SA"/>
          <w:color w:val="111111"/>
          <w:sz w:val="28"/>
          <w:szCs w:val="28"/>
          <w:rtl/>
        </w:rPr>
        <w:t xml:space="preserve">عجائب الاجرام - مسالك و</w:t>
      </w:r>
    </w:p>
    <w:p>
      <w:pPr>
        <w:pStyle w:val="BookText"/>
      </w:pPr>
      <w:r>
        <w:rPr>
          <w:rFonts w:ascii="Amiri" w:hAnsi="Amiri" w:eastAsia="Amiri" w:cs="Amiri"/>
          <w:lang w:bidi="ar-SA"/>
          <w:color w:val="111111"/>
          <w:sz w:val="28"/>
          <w:szCs w:val="28"/>
          <w:rtl/>
        </w:rPr>
        <w:t xml:space="preserve">ممالك، ج 1، ص 105.</w:t>
      </w:r>
    </w:p>
    <w:p>
      <w:pPr>
        <w:pStyle w:val="BookText"/>
      </w:pPr>
      <w:r>
        <w:rPr>
          <w:rFonts w:ascii="Amiri" w:hAnsi="Amiri" w:eastAsia="Amiri" w:cs="Amiri"/>
          <w:lang w:bidi="ar-SA"/>
          <w:color w:val="111111"/>
          <w:sz w:val="28"/>
          <w:szCs w:val="28"/>
          <w:rtl/>
        </w:rPr>
        <w:t xml:space="preserve">2 .اسطرلاب شمالي و جنوبي = بيست</w:t>
      </w:r>
    </w:p>
    <w:p>
      <w:pPr>
        <w:pStyle w:val="BookText"/>
      </w:pPr>
      <w:r>
        <w:rPr>
          <w:rFonts w:ascii="IRNazanin" w:hAnsi="IRNazanin" w:eastAsia="IRNazanin" w:cs="IRNazanin"/>
          <w:lang w:bidi="fa-IR"/>
          <w:color w:val="111111"/>
          <w:sz w:val="28"/>
          <w:szCs w:val="28"/>
          <w:rtl/>
        </w:rPr>
        <w:t xml:space="preserve">باب در اسطرلاب، ج 2، ص 194.</w:t>
      </w:r>
    </w:p>
    <w:p>
      <w:pPr>
        <w:pStyle w:val="BookText"/>
      </w:pPr>
      <w:r>
        <w:rPr>
          <w:rFonts w:ascii="IRNazanin" w:hAnsi="IRNazanin" w:eastAsia="IRNazanin" w:cs="IRNazanin"/>
          <w:lang w:bidi="fa-IR"/>
          <w:color w:val="111111"/>
          <w:sz w:val="28"/>
          <w:szCs w:val="28"/>
          <w:rtl/>
        </w:rPr>
        <w:t xml:space="preserve">ص 508.</w:t>
      </w:r>
    </w:p>
    <w:p>
      <w:pPr>
        <w:pStyle w:val="BookText"/>
      </w:pPr>
      <w:r>
        <w:rPr>
          <w:rFonts w:ascii="IRNazanin" w:hAnsi="IRNazanin" w:eastAsia="IRNazanin" w:cs="IRNazanin"/>
          <w:lang w:bidi="fa-IR"/>
          <w:color w:val="111111"/>
          <w:sz w:val="28"/>
          <w:szCs w:val="28"/>
          <w:rtl/>
        </w:rPr>
        <w:t xml:space="preserve">3 .بیست باب در تقویم، ج 3، ص 501</w:t>
      </w:r>
    </w:p>
    <w:p>
      <w:pPr>
        <w:pStyle w:val="Heading2"/>
      </w:pPr>
      <w:bookmarkStart w:id="2999" w:name="_Toc2101"/>
      <w:r>
        <w:t>بير خضر ، يوسف بن عباس</w:t>
      </w:r>
      <w:bookmarkEnd w:id="2999"/>
    </w:p>
    <w:p>
      <w:pPr>
        <w:pStyle w:val="BookText"/>
      </w:pPr>
      <w:r>
        <w:rPr>
          <w:rFonts w:ascii="Amiri" w:hAnsi="Amiri" w:eastAsia="Amiri" w:cs="Amiri"/>
          <w:lang w:bidi="ar-SA"/>
          <w:color w:val="111111"/>
          <w:sz w:val="28"/>
          <w:szCs w:val="28"/>
          <w:rtl/>
        </w:rPr>
        <w:t xml:space="preserve">اعلال التصريف، ج 2، ص 550.</w:t>
      </w:r>
    </w:p>
    <w:p>
      <w:pPr>
        <w:pStyle w:val="BookText"/>
      </w:pPr>
      <w:r>
        <w:rPr>
          <w:rFonts w:ascii="Amiri" w:hAnsi="Amiri" w:eastAsia="Amiri" w:cs="Amiri"/>
          <w:lang w:bidi="ar-SA"/>
          <w:color w:val="111111"/>
          <w:sz w:val="28"/>
          <w:szCs w:val="28"/>
          <w:rtl/>
        </w:rPr>
        <w:t xml:space="preserve">4 .حاشية المختصر في الصرف، ج 6،</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IRNazanin" w:hAnsi="IRNazanin" w:eastAsia="IRNazanin" w:cs="IRNazanin"/>
          <w:lang w:bidi="fa-IR"/>
          <w:color w:val="111111"/>
          <w:sz w:val="28"/>
          <w:szCs w:val="28"/>
          <w:rtl/>
        </w:rPr>
        <w:t xml:space="preserve">5 .حاشية شرح الملخص چغميني ج6،</w:t>
      </w:r>
    </w:p>
    <w:p>
      <w:pPr>
        <w:pStyle w:val="BookText"/>
      </w:pPr>
      <w:r>
        <w:rPr>
          <w:rFonts w:ascii="IRNazanin" w:hAnsi="IRNazanin" w:eastAsia="IRNazanin" w:cs="IRNazanin"/>
          <w:lang w:bidi="fa-IR"/>
          <w:color w:val="111111"/>
          <w:sz w:val="28"/>
          <w:szCs w:val="28"/>
          <w:rtl/>
        </w:rPr>
        <w:t xml:space="preserve">ص 189 .</w:t>
      </w:r>
    </w:p>
    <w:p>
      <w:pPr>
        <w:pStyle w:val="BookText"/>
      </w:pPr>
      <w:r>
        <w:rPr>
          <w:rFonts w:ascii="Amiri" w:hAnsi="Amiri" w:eastAsia="Amiri" w:cs="Amiri"/>
          <w:lang w:bidi="ar-SA"/>
          <w:color w:val="111111"/>
          <w:sz w:val="28"/>
          <w:szCs w:val="28"/>
          <w:rtl/>
        </w:rPr>
        <w:t xml:space="preserve">6 .شرح آداب البحث العضدية = شرح الرسالة العضدية = حل آداب</w:t>
      </w:r>
    </w:p>
    <w:p>
      <w:pPr>
        <w:pStyle w:val="BookText"/>
      </w:pPr>
      <w:r>
        <w:rPr>
          <w:rFonts w:ascii="Amiri" w:hAnsi="Amiri" w:eastAsia="Amiri" w:cs="Amiri"/>
          <w:lang w:bidi="ar-SA"/>
          <w:color w:val="111111"/>
          <w:sz w:val="28"/>
          <w:szCs w:val="28"/>
          <w:rtl/>
        </w:rPr>
        <w:t xml:space="preserve">العضدي، ج 9، ص 132.</w:t>
      </w:r>
    </w:p>
    <w:p>
      <w:pPr>
        <w:pStyle w:val="BookText"/>
      </w:pPr>
      <w:r>
        <w:rPr>
          <w:rFonts w:ascii="Amiri" w:hAnsi="Amiri" w:eastAsia="Amiri" w:cs="Amiri"/>
          <w:lang w:bidi="ar-SA"/>
          <w:color w:val="111111"/>
          <w:sz w:val="28"/>
          <w:szCs w:val="28"/>
          <w:rtl/>
        </w:rPr>
        <w:t xml:space="preserve">7 .شرح التذكرة النصيرية، ج 9، ص 324.</w:t>
      </w:r>
    </w:p>
    <w:p>
      <w:pPr>
        <w:pStyle w:val="BookText"/>
      </w:pPr>
      <w:r>
        <w:rPr>
          <w:rFonts w:ascii="Amiri" w:hAnsi="Amiri" w:eastAsia="Amiri" w:cs="Amiri"/>
          <w:lang w:bidi="ar-SA"/>
          <w:color w:val="111111"/>
          <w:sz w:val="28"/>
          <w:szCs w:val="28"/>
          <w:rtl/>
        </w:rPr>
        <w:t xml:space="preserve">8 .شرح الشمسية في اصول الحسابية</w:t>
      </w:r>
    </w:p>
    <w:p>
      <w:pPr>
        <w:pStyle w:val="BookText"/>
      </w:pPr>
      <w:r>
        <w:rPr>
          <w:rFonts w:ascii="IRNazanin" w:hAnsi="IRNazanin" w:eastAsia="IRNazanin" w:cs="IRNazanin"/>
          <w:lang w:bidi="fa-IR"/>
          <w:color w:val="111111"/>
          <w:sz w:val="28"/>
          <w:szCs w:val="28"/>
          <w:rtl/>
        </w:rPr>
        <w:t xml:space="preserve">ج 9 ، ص 640 .</w:t>
      </w:r>
    </w:p>
    <w:p>
      <w:pPr>
        <w:pStyle w:val="BookText"/>
      </w:pPr>
      <w:r>
        <w:rPr>
          <w:rFonts w:ascii="IRNazanin" w:hAnsi="IRNazanin" w:eastAsia="IRNazanin" w:cs="IRNazanin"/>
          <w:lang w:bidi="fa-IR"/>
          <w:color w:val="111111"/>
          <w:sz w:val="28"/>
          <w:szCs w:val="28"/>
          <w:rtl/>
        </w:rPr>
        <w:t xml:space="preserve">9 .شرح بیست ،باب، ج 9، ص297 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تحرير المجسطي، ج9،</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شرح زيج الغ بیگ = شرح زیج سلطاني گوركاني = حل زيج جديد</w:t>
      </w:r>
    </w:p>
    <w:p>
      <w:pPr>
        <w:pStyle w:val="BookText"/>
      </w:pPr>
      <w:r>
        <w:rPr>
          <w:rFonts w:ascii="Amiri" w:hAnsi="Amiri" w:eastAsia="Amiri" w:cs="Amiri"/>
          <w:lang w:bidi="ar-SA"/>
          <w:color w:val="111111"/>
          <w:sz w:val="28"/>
          <w:szCs w:val="28"/>
          <w:rtl/>
        </w:rPr>
        <w:t xml:space="preserve">سلطاني، ج 9، ص 582.</w:t>
      </w:r>
    </w:p>
    <w:p>
      <w:pPr>
        <w:pStyle w:val="BookText"/>
      </w:pPr>
      <w:r>
        <w:rPr>
          <w:rFonts w:ascii="IRNazanin" w:hAnsi="IRNazanin" w:eastAsia="IRNazanin" w:cs="IRNazanin"/>
          <w:lang w:bidi="fa-IR"/>
          <w:color w:val="111111"/>
          <w:sz w:val="28"/>
          <w:szCs w:val="28"/>
          <w:rtl/>
        </w:rPr>
        <w:t xml:space="preserve">12 .فوائد آیات کلام الله، ج12،</w:t>
      </w:r>
    </w:p>
    <w:p>
      <w:pPr>
        <w:pStyle w:val="BookText"/>
      </w:pPr>
      <w:r>
        <w:rPr>
          <w:rFonts w:ascii="IRNazanin" w:hAnsi="IRNazanin" w:eastAsia="IRNazanin" w:cs="IRNazanin"/>
          <w:lang w:bidi="fa-IR"/>
          <w:color w:val="111111"/>
          <w:sz w:val="28"/>
          <w:szCs w:val="28"/>
          <w:rtl/>
        </w:rPr>
        <w:t xml:space="preserve">ص 175.</w:t>
      </w:r>
    </w:p>
    <w:p>
      <w:pPr>
        <w:pStyle w:val="Heading2"/>
      </w:pPr>
      <w:bookmarkStart w:id="3000" w:name="_Toc2102"/>
      <w:r>
        <w:t>بيرجندي ، عبداللطيف بن علي - 934 ه-</w:t>
      </w:r>
      <w:bookmarkEnd w:id="3000"/>
    </w:p>
    <w:p>
      <w:pPr>
        <w:pStyle w:val="BookText"/>
      </w:pPr>
      <w:r>
        <w:rPr>
          <w:rFonts w:ascii="IRNazanin" w:hAnsi="IRNazanin" w:eastAsia="IRNazanin" w:cs="IRNazanin"/>
          <w:lang w:bidi="fa-IR"/>
          <w:color w:val="111111"/>
          <w:sz w:val="28"/>
          <w:szCs w:val="28"/>
          <w:rtl/>
        </w:rPr>
        <w:t xml:space="preserve">تفسیر سوره فاتحه ج4، ص 635.</w:t>
      </w:r>
    </w:p>
    <w:p>
      <w:pPr>
        <w:pStyle w:val="Heading2"/>
      </w:pPr>
      <w:bookmarkStart w:id="3001" w:name="_Toc2103"/>
      <w:r>
        <w:t>بيرجندي ، محمّد باقر بن محمّد حسن</w:t>
      </w:r>
      <w:bookmarkEnd w:id="3001"/>
    </w:p>
    <w:p>
      <w:pPr>
        <w:pStyle w:val="BookText"/>
      </w:pPr>
      <w:r>
        <w:rPr>
          <w:rFonts w:ascii="IRNazanin" w:hAnsi="IRNazanin" w:eastAsia="IRNazanin" w:cs="IRNazanin"/>
          <w:lang w:bidi="fa-IR"/>
          <w:color w:val="111111"/>
          <w:sz w:val="28"/>
          <w:szCs w:val="28"/>
          <w:rtl/>
        </w:rPr>
        <w:t xml:space="preserve">1276 - 1352 ه-</w:t>
      </w:r>
    </w:p>
    <w:p>
      <w:pPr>
        <w:pStyle w:val="BookText"/>
      </w:pPr>
      <w:r>
        <w:rPr>
          <w:rFonts w:ascii="Amiri" w:hAnsi="Amiri" w:eastAsia="Amiri" w:cs="Amiri"/>
          <w:lang w:bidi="ar-SA"/>
          <w:color w:val="111111"/>
          <w:sz w:val="28"/>
          <w:szCs w:val="28"/>
          <w:rtl/>
        </w:rPr>
        <w:t xml:space="preserve">بيع المملوك مع ماله (رسالة في)، ج3،</w:t>
      </w:r>
    </w:p>
    <w:p>
      <w:pPr>
        <w:pStyle w:val="BookText"/>
      </w:pPr>
      <w:r>
        <w:rPr>
          <w:rFonts w:ascii="Amiri" w:hAnsi="Amiri" w:eastAsia="Amiri" w:cs="Amiri"/>
          <w:lang w:bidi="ar-SA"/>
          <w:color w:val="111111"/>
          <w:sz w:val="28"/>
          <w:szCs w:val="28"/>
          <w:rtl/>
        </w:rPr>
        <w:t xml:space="preserve">بير محمّد بن موسى برسي -برسي ،</w:t>
      </w:r>
    </w:p>
    <w:p>
      <w:pPr>
        <w:pStyle w:val="BookText"/>
      </w:pPr>
      <w:r>
        <w:rPr>
          <w:rFonts w:ascii="Amiri" w:hAnsi="Amiri" w:eastAsia="Amiri" w:cs="Amiri"/>
          <w:lang w:bidi="ar-SA"/>
          <w:color w:val="111111"/>
          <w:sz w:val="28"/>
          <w:szCs w:val="28"/>
          <w:rtl/>
        </w:rPr>
        <w:t xml:space="preserve">بير محمّد بن موسى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8" w:name="pg7742_69962"/>
    <w:bookmarkEnd w:id="288"/>
    <w:p>
      <w:pPr>
        <w:pStyle w:val="Heading2"/>
      </w:pPr>
      <w:bookmarkStart w:id="3002" w:name="_Toc2104"/>
      <w:r>
        <w:t>بيروتي ، محمّد بن علي قرن 12 ه-</w:t>
      </w:r>
      <w:bookmarkEnd w:id="3002"/>
    </w:p>
    <w:p>
      <w:pPr>
        <w:pStyle w:val="BookText"/>
      </w:pPr>
      <w:r>
        <w:rPr>
          <w:rFonts w:ascii="Amiri" w:hAnsi="Amiri" w:eastAsia="Amiri" w:cs="Amiri"/>
          <w:lang w:bidi="ar-SA"/>
          <w:color w:val="111111"/>
          <w:sz w:val="28"/>
          <w:szCs w:val="28"/>
          <w:rtl/>
        </w:rPr>
        <w:t xml:space="preserve">كنز الناظر فى مختصر الزواجر = مختصر الزواجر عن اقتراف الكبائر ج 13، ص 439.</w:t>
      </w:r>
    </w:p>
    <w:p>
      <w:pPr>
        <w:pStyle w:val="BookText"/>
      </w:pPr>
      <w:r>
        <w:rPr>
          <w:rFonts w:ascii="Amiri" w:hAnsi="Amiri" w:eastAsia="Amiri" w:cs="Amiri"/>
          <w:lang w:bidi="ar-SA"/>
          <w:color w:val="111111"/>
          <w:sz w:val="28"/>
          <w:szCs w:val="28"/>
          <w:rtl/>
        </w:rPr>
        <w:t xml:space="preserve">بيروتي ، محمود بن عمر -بربير بيروتي ،</w:t>
      </w:r>
    </w:p>
    <w:p>
      <w:pPr>
        <w:pStyle w:val="BookText"/>
      </w:pPr>
      <w:r>
        <w:rPr>
          <w:rFonts w:ascii="IRNazanin" w:hAnsi="IRNazanin" w:eastAsia="IRNazanin" w:cs="IRNazanin"/>
          <w:lang w:bidi="fa-IR"/>
          <w:color w:val="111111"/>
          <w:sz w:val="28"/>
          <w:szCs w:val="28"/>
          <w:rtl/>
        </w:rPr>
        <w:t xml:space="preserve">محمود بن عمر</w:t>
      </w:r>
    </w:p>
    <w:p>
      <w:pPr>
        <w:pStyle w:val="BookText"/>
      </w:pPr>
      <w:r>
        <w:rPr>
          <w:rFonts w:ascii="Amiri" w:hAnsi="Amiri" w:eastAsia="Amiri" w:cs="Amiri"/>
          <w:lang w:bidi="ar-SA"/>
          <w:color w:val="111111"/>
          <w:sz w:val="28"/>
          <w:szCs w:val="28"/>
          <w:rtl/>
        </w:rPr>
        <w:t xml:space="preserve">بيروني ، محمد بن احمد -ابوريحان بيروني</w:t>
      </w:r>
    </w:p>
    <w:p>
      <w:pPr>
        <w:pStyle w:val="BookText"/>
      </w:pPr>
      <w:r>
        <w:rPr>
          <w:rFonts w:ascii="IRNazanin" w:hAnsi="IRNazanin" w:eastAsia="IRNazanin" w:cs="IRNazanin"/>
          <w:lang w:bidi="fa-IR"/>
          <w:color w:val="111111"/>
          <w:sz w:val="28"/>
          <w:szCs w:val="28"/>
          <w:rtl/>
        </w:rPr>
        <w:t xml:space="preserve">، محمد بن احمد</w:t>
      </w:r>
    </w:p>
    <w:p>
      <w:pPr>
        <w:pStyle w:val="BookText"/>
      </w:pPr>
      <w:r>
        <w:rPr>
          <w:rFonts w:ascii="IRNazanin" w:hAnsi="IRNazanin" w:eastAsia="IRNazanin" w:cs="IRNazanin"/>
          <w:lang w:bidi="fa-IR"/>
          <w:color w:val="111111"/>
          <w:sz w:val="28"/>
          <w:szCs w:val="28"/>
          <w:rtl/>
        </w:rPr>
        <w:t xml:space="preserve">بيري زاده، ابراهيم بن الحسين بن احمد -پيري زاده ، ابراهیم بن حسين</w:t>
      </w:r>
    </w:p>
    <w:p>
      <w:pPr>
        <w:pStyle w:val="Heading2"/>
      </w:pPr>
      <w:bookmarkStart w:id="3003" w:name="_Toc2105"/>
      <w:r>
        <w:t>بيري، زين بن يغلب قرن 10 ه-</w:t>
      </w:r>
      <w:bookmarkEnd w:id="3003"/>
    </w:p>
    <w:p>
      <w:pPr>
        <w:pStyle w:val="BookText"/>
      </w:pPr>
      <w:r>
        <w:rPr>
          <w:rFonts w:ascii="IRNazanin" w:hAnsi="IRNazanin" w:eastAsia="IRNazanin" w:cs="IRNazanin"/>
          <w:lang w:bidi="fa-IR"/>
          <w:color w:val="111111"/>
          <w:sz w:val="28"/>
          <w:szCs w:val="28"/>
          <w:rtl/>
        </w:rPr>
        <w:t xml:space="preserve">اوزان الشعر، ج 3، ص71.</w:t>
      </w:r>
    </w:p>
    <w:p>
      <w:pPr>
        <w:pStyle w:val="BookText"/>
      </w:pPr>
      <w:r>
        <w:rPr>
          <w:rFonts w:ascii="Amiri" w:hAnsi="Amiri" w:eastAsia="Amiri" w:cs="Amiri"/>
          <w:lang w:bidi="ar-SA"/>
          <w:color w:val="111111"/>
          <w:sz w:val="28"/>
          <w:szCs w:val="28"/>
          <w:rtl/>
        </w:rPr>
        <w:t xml:space="preserve">بيزوي ، حيدر بن علي -حسيني بيروي ،</w:t>
      </w:r>
    </w:p>
    <w:p>
      <w:pPr>
        <w:pStyle w:val="BookText"/>
      </w:pPr>
      <w:r>
        <w:rPr>
          <w:rFonts w:ascii="IRNazanin" w:hAnsi="IRNazanin" w:eastAsia="IRNazanin" w:cs="IRNazanin"/>
          <w:lang w:bidi="fa-IR"/>
          <w:color w:val="111111"/>
          <w:sz w:val="28"/>
          <w:szCs w:val="28"/>
          <w:rtl/>
        </w:rPr>
        <w:t xml:space="preserve">حيدر بن علاءالدین</w:t>
      </w:r>
    </w:p>
    <w:p>
      <w:pPr>
        <w:pStyle w:val="Heading2"/>
      </w:pPr>
      <w:bookmarkStart w:id="3004" w:name="_Toc2106"/>
      <w:r>
        <w:t>بيضاني ، حسين بن صالح - 1395 ه-</w:t>
      </w:r>
      <w:bookmarkEnd w:id="30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سيرة الشيخ نعمة البيضاني، ج9،</w:t>
      </w:r>
    </w:p>
    <w:p>
      <w:pPr>
        <w:pStyle w:val="BookText"/>
      </w:pPr>
      <w:r>
        <w:rPr>
          <w:rFonts w:ascii="IRNazanin" w:hAnsi="IRNazanin" w:eastAsia="IRNazanin" w:cs="IRNazanin"/>
          <w:lang w:bidi="fa-IR"/>
          <w:color w:val="111111"/>
          <w:sz w:val="28"/>
          <w:szCs w:val="28"/>
          <w:rtl/>
        </w:rPr>
        <w:t xml:space="preserve">ص18.</w:t>
      </w:r>
    </w:p>
    <w:p>
      <w:pPr>
        <w:pStyle w:val="BookText"/>
      </w:pPr>
      <w:r>
        <w:rPr>
          <w:rFonts w:ascii="Amiri" w:hAnsi="Amiri" w:eastAsia="Amiri" w:cs="Amiri"/>
          <w:lang w:bidi="ar-SA"/>
          <w:color w:val="111111"/>
          <w:sz w:val="28"/>
          <w:szCs w:val="28"/>
          <w:rtl/>
        </w:rPr>
        <w:t xml:space="preserve">2 .الهزل في ترويح النفس، ج 16،</w:t>
      </w:r>
    </w:p>
    <w:p>
      <w:pPr>
        <w:pStyle w:val="BookText"/>
      </w:pPr>
      <w:r>
        <w:rPr>
          <w:rFonts w:ascii="IRNazanin" w:hAnsi="IRNazanin" w:eastAsia="IRNazanin" w:cs="IRNazanin"/>
          <w:lang w:bidi="fa-IR"/>
          <w:color w:val="111111"/>
          <w:sz w:val="28"/>
          <w:szCs w:val="28"/>
          <w:rtl/>
        </w:rPr>
        <w:t xml:space="preserve">ص 647 .</w:t>
      </w:r>
    </w:p>
    <w:p>
      <w:pPr>
        <w:pStyle w:val="Heading2"/>
      </w:pPr>
      <w:bookmarkStart w:id="3005" w:name="_Toc2107"/>
      <w:r>
        <w:t>بيضاوي ، جواد بن هاشم</w:t>
      </w:r>
      <w:bookmarkEnd w:id="3005"/>
    </w:p>
    <w:p>
      <w:pPr>
        <w:pStyle w:val="BookText"/>
      </w:pPr>
      <w:r>
        <w:rPr>
          <w:rFonts w:ascii="Amiri" w:hAnsi="Amiri" w:eastAsia="Amiri" w:cs="Amiri"/>
          <w:lang w:bidi="ar-SA"/>
          <w:color w:val="111111"/>
          <w:sz w:val="28"/>
          <w:szCs w:val="28"/>
          <w:rtl/>
        </w:rPr>
        <w:t xml:space="preserve">حاشية تهذيب المنطق، ج 5، ص 761.</w:t>
      </w:r>
    </w:p>
    <w:p>
      <w:pPr>
        <w:pStyle w:val="Heading2"/>
      </w:pPr>
      <w:bookmarkStart w:id="3006" w:name="_Toc2108"/>
      <w:r>
        <w:t>بيضاوي ، عبدالله بن عمر - 685؟ ه-</w:t>
      </w:r>
      <w:bookmarkEnd w:id="3006"/>
    </w:p>
    <w:p>
      <w:pPr>
        <w:pStyle w:val="BookText"/>
      </w:pPr>
      <w:r>
        <w:rPr>
          <w:rFonts w:ascii="Amiri" w:hAnsi="Amiri" w:eastAsia="Amiri" w:cs="Amiri"/>
          <w:lang w:bidi="ar-SA"/>
          <w:color w:val="111111"/>
          <w:sz w:val="28"/>
          <w:szCs w:val="28"/>
          <w:rtl/>
        </w:rPr>
        <w:t xml:space="preserve">1 .انوار التنزيل واسرار التأويل تفسير بيضاوي، ج 2، ص 846.</w:t>
      </w:r>
    </w:p>
    <w:p>
      <w:pPr>
        <w:pStyle w:val="BookText"/>
      </w:pPr>
      <w:r>
        <w:rPr>
          <w:rFonts w:ascii="Amiri" w:hAnsi="Amiri" w:eastAsia="Amiri" w:cs="Amiri"/>
          <w:lang w:bidi="ar-SA"/>
          <w:color w:val="111111"/>
          <w:sz w:val="28"/>
          <w:szCs w:val="28"/>
          <w:rtl/>
        </w:rPr>
        <w:t xml:space="preserve">2 .تحفة الأبرار = شرح مصابيح السنة</w:t>
      </w:r>
    </w:p>
    <w:p>
      <w:pPr>
        <w:pStyle w:val="BookText"/>
      </w:pPr>
      <w:r>
        <w:rPr>
          <w:rFonts w:ascii="IRNazanin" w:hAnsi="IRNazanin" w:eastAsia="IRNazanin" w:cs="IRNazanin"/>
          <w:lang w:bidi="fa-IR"/>
          <w:color w:val="111111"/>
          <w:sz w:val="28"/>
          <w:szCs w:val="28"/>
          <w:rtl/>
        </w:rPr>
        <w:t xml:space="preserve">ج 3، ص 771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المحتاج إلى احاديث المنهاج</w:t>
      </w:r>
    </w:p>
    <w:p>
      <w:pPr>
        <w:pStyle w:val="BookText"/>
      </w:pPr>
      <w:r>
        <w:rPr>
          <w:rFonts w:ascii="Amiri" w:hAnsi="Amiri" w:eastAsia="Amiri" w:cs="Amiri"/>
          <w:lang w:bidi="ar-SA"/>
          <w:color w:val="111111"/>
          <w:sz w:val="28"/>
          <w:szCs w:val="28"/>
          <w:rtl/>
        </w:rPr>
        <w:t xml:space="preserve">للبيضاوي، ج4، ص211.</w:t>
      </w:r>
    </w:p>
    <w:p>
      <w:pPr>
        <w:pStyle w:val="BookText"/>
      </w:pPr>
      <w:r>
        <w:rPr>
          <w:rFonts w:ascii="Amiri" w:hAnsi="Amiri" w:eastAsia="Amiri" w:cs="Amiri"/>
          <w:lang w:bidi="ar-SA"/>
          <w:color w:val="111111"/>
          <w:sz w:val="28"/>
          <w:szCs w:val="28"/>
          <w:rtl/>
        </w:rPr>
        <w:t xml:space="preserve">4 .تسبيع قصيدة البردة = تفريج</w:t>
      </w:r>
    </w:p>
    <w:p>
      <w:pPr>
        <w:pStyle w:val="BookText"/>
      </w:pPr>
      <w:r>
        <w:rPr>
          <w:rFonts w:ascii="Amiri" w:hAnsi="Amiri" w:eastAsia="Amiri" w:cs="Amiri"/>
          <w:lang w:bidi="ar-SA"/>
          <w:color w:val="111111"/>
          <w:sz w:val="28"/>
          <w:szCs w:val="28"/>
          <w:rtl/>
        </w:rPr>
        <w:t xml:space="preserve">الشدة في تسبيع البردة، ج 4،</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Amiri" w:hAnsi="Amiri" w:eastAsia="Amiri" w:cs="Amiri"/>
          <w:lang w:bidi="ar-SA"/>
          <w:color w:val="111111"/>
          <w:sz w:val="28"/>
          <w:szCs w:val="28"/>
          <w:rtl/>
        </w:rPr>
        <w:t xml:space="preserve">5 .تعريفات العلوم و موضوعاتها (رسالة في) = مقدمة في انواع</w:t>
      </w:r>
    </w:p>
    <w:p>
      <w:pPr>
        <w:pStyle w:val="BookText"/>
      </w:pPr>
      <w:r>
        <w:rPr>
          <w:rFonts w:ascii="IRNazanin" w:hAnsi="IRNazanin" w:eastAsia="IRNazanin" w:cs="IRNazanin"/>
          <w:lang w:bidi="fa-IR"/>
          <w:color w:val="111111"/>
          <w:sz w:val="28"/>
          <w:szCs w:val="28"/>
          <w:rtl/>
        </w:rPr>
        <w:t xml:space="preserve">العلوم، ج 4، ص 471.</w:t>
      </w:r>
    </w:p>
    <w:p>
      <w:pPr>
        <w:pStyle w:val="BookText"/>
      </w:pPr>
      <w:r>
        <w:rPr>
          <w:rFonts w:ascii="Amiri" w:hAnsi="Amiri" w:eastAsia="Amiri" w:cs="Amiri"/>
          <w:lang w:bidi="ar-SA"/>
          <w:color w:val="111111"/>
          <w:sz w:val="28"/>
          <w:szCs w:val="28"/>
          <w:rtl/>
        </w:rPr>
        <w:t xml:space="preserve">6 .تفسير آية «فمن يعمل مثقال ذرة</w:t>
      </w:r>
    </w:p>
    <w:p>
      <w:pPr>
        <w:pStyle w:val="BookText"/>
      </w:pPr>
      <w:r>
        <w:rPr>
          <w:rFonts w:ascii="Amiri" w:hAnsi="Amiri" w:eastAsia="Amiri" w:cs="Amiri"/>
          <w:lang w:bidi="ar-SA"/>
          <w:color w:val="111111"/>
          <w:sz w:val="28"/>
          <w:szCs w:val="28"/>
          <w:rtl/>
        </w:rPr>
        <w:t xml:space="preserve">خيراً يره و من يعمل مثقال ذرة</w:t>
      </w:r>
    </w:p>
    <w:p>
      <w:pPr>
        <w:pStyle w:val="BookText"/>
      </w:pPr>
      <w:r>
        <w:rPr>
          <w:rFonts w:ascii="Amiri" w:hAnsi="Amiri" w:eastAsia="Amiri" w:cs="Amiri"/>
          <w:lang w:bidi="ar-SA"/>
          <w:color w:val="111111"/>
          <w:sz w:val="28"/>
          <w:szCs w:val="28"/>
          <w:rtl/>
        </w:rPr>
        <w:t xml:space="preserve">شراً يره»، ج 4، ص 580.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المصابيح، ج 10، ص 143.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منهاج الوصول إلى علم</w:t>
      </w:r>
    </w:p>
    <w:p>
      <w:pPr>
        <w:pStyle w:val="BookText"/>
      </w:pPr>
      <w:r>
        <w:rPr>
          <w:rFonts w:ascii="IRNazanin" w:hAnsi="IRNazanin" w:eastAsia="IRNazanin" w:cs="IRNazanin"/>
          <w:lang w:bidi="fa-IR"/>
          <w:color w:val="111111"/>
          <w:sz w:val="28"/>
          <w:szCs w:val="28"/>
          <w:rtl/>
        </w:rPr>
        <w:t xml:space="preserve">الاصول، ج 10، ص 264.</w:t>
      </w:r>
    </w:p>
    <w:p>
      <w:pPr>
        <w:pStyle w:val="BookText"/>
      </w:pPr>
      <w:r>
        <w:rPr>
          <w:rFonts w:ascii="IRNazanin" w:hAnsi="IRNazanin" w:eastAsia="IRNazanin" w:cs="IRNazanin"/>
          <w:lang w:bidi="fa-IR"/>
          <w:color w:val="111111"/>
          <w:sz w:val="28"/>
          <w:szCs w:val="28"/>
          <w:rtl/>
        </w:rPr>
        <w:t xml:space="preserve">9 .طوالع الانوار من مطالع الانظار</w:t>
      </w:r>
    </w:p>
    <w:p>
      <w:pPr>
        <w:pStyle w:val="BookText"/>
      </w:pPr>
      <w:r>
        <w:rPr>
          <w:rFonts w:ascii="IRNazanin" w:hAnsi="IRNazanin" w:eastAsia="IRNazanin" w:cs="IRNazanin"/>
          <w:lang w:bidi="fa-IR"/>
          <w:color w:val="111111"/>
          <w:sz w:val="28"/>
          <w:szCs w:val="28"/>
          <w:rtl/>
        </w:rPr>
        <w:t xml:space="preserve">ج 10، ص 868.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الغاية القصوي في دراية الفتوى</w:t>
      </w:r>
    </w:p>
    <w:p>
      <w:pPr>
        <w:pStyle w:val="BookText"/>
      </w:pPr>
      <w:r>
        <w:rPr>
          <w:rFonts w:ascii="IRNazanin" w:hAnsi="IRNazanin" w:eastAsia="IRNazanin" w:cs="IRNazanin"/>
          <w:lang w:bidi="fa-IR"/>
          <w:color w:val="111111"/>
          <w:sz w:val="28"/>
          <w:szCs w:val="28"/>
          <w:rtl/>
        </w:rPr>
        <w:t xml:space="preserve">ج ،11 ، ص 441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الكتاب المنيف في صناعة</w:t>
      </w:r>
    </w:p>
    <w:p>
      <w:pPr>
        <w:pStyle w:val="BookText"/>
      </w:pPr>
      <w:r>
        <w:rPr>
          <w:rFonts w:ascii="Amiri" w:hAnsi="Amiri" w:eastAsia="Amiri" w:cs="Amiri"/>
          <w:lang w:bidi="ar-SA"/>
          <w:color w:val="111111"/>
          <w:sz w:val="28"/>
          <w:szCs w:val="28"/>
          <w:rtl/>
        </w:rPr>
        <w:t xml:space="preserve">التعريف، ج 13، ص 144.</w:t>
      </w:r>
    </w:p>
    <w:p>
      <w:pPr>
        <w:pStyle w:val="BookText"/>
      </w:pPr>
      <w:r>
        <w:rPr>
          <w:rFonts w:ascii="IRNazanin" w:hAnsi="IRNazanin" w:eastAsia="IRNazanin" w:cs="IRNazanin"/>
          <w:lang w:bidi="fa-IR"/>
          <w:color w:val="111111"/>
          <w:sz w:val="28"/>
          <w:szCs w:val="28"/>
          <w:rtl/>
        </w:rPr>
        <w:t xml:space="preserve">12 .مصباح الارواح، ج 14، ص 697.</w:t>
      </w:r>
    </w:p>
    <w:p>
      <w:pPr>
        <w:pStyle w:val="BookText"/>
      </w:pPr>
      <w:r>
        <w:rPr>
          <w:rFonts w:ascii="IRNazanin" w:hAnsi="IRNazanin" w:eastAsia="IRNazanin" w:cs="IRNazanin"/>
          <w:lang w:bidi="fa-IR"/>
          <w:color w:val="111111"/>
          <w:sz w:val="28"/>
          <w:szCs w:val="28"/>
          <w:rtl/>
        </w:rPr>
        <w:t xml:space="preserve">13 .منهاج الوصول إلى علم الاصول</w:t>
      </w:r>
    </w:p>
    <w:p>
      <w:pPr>
        <w:pStyle w:val="BookText"/>
      </w:pPr>
      <w:r>
        <w:rPr>
          <w:rFonts w:ascii="IRNazanin" w:hAnsi="IRNazanin" w:eastAsia="IRNazanin" w:cs="IRNazanin"/>
          <w:lang w:bidi="fa-IR"/>
          <w:color w:val="111111"/>
          <w:sz w:val="28"/>
          <w:szCs w:val="28"/>
          <w:rtl/>
        </w:rPr>
        <w:t xml:space="preserve">ج 15، ص 789.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نظام التواريخ، ج 16 ، ص321.</w:t>
      </w:r>
    </w:p>
    <w:p>
      <w:pPr>
        <w:pStyle w:val="Heading2"/>
      </w:pPr>
      <w:bookmarkStart w:id="3007" w:name="_Toc2109"/>
      <w:r>
        <w:t>بيطار ، ابوبكر بن منذر قرن 8 ه-</w:t>
      </w:r>
      <w:bookmarkEnd w:id="3007"/>
    </w:p>
    <w:p>
      <w:pPr>
        <w:pStyle w:val="BookText"/>
      </w:pPr>
      <w:r>
        <w:rPr>
          <w:rFonts w:ascii="Amiri" w:hAnsi="Amiri" w:eastAsia="Amiri" w:cs="Amiri"/>
          <w:lang w:bidi="ar-SA"/>
          <w:color w:val="111111"/>
          <w:sz w:val="28"/>
          <w:szCs w:val="28"/>
          <w:rtl/>
        </w:rPr>
        <w:t xml:space="preserve">كشف الويل في معرفة امراض الخيل كامل الصناعتين البيطرة و الزرطقة</w:t>
      </w:r>
    </w:p>
    <w:p>
      <w:pPr>
        <w:pStyle w:val="BookText"/>
      </w:pPr>
      <w:r>
        <w:rPr>
          <w:rFonts w:ascii="Amiri" w:hAnsi="Amiri" w:eastAsia="Amiri" w:cs="Amiri"/>
          <w:lang w:bidi="ar-SA"/>
          <w:color w:val="111111"/>
          <w:sz w:val="28"/>
          <w:szCs w:val="28"/>
          <w:rtl/>
        </w:rPr>
        <w:t xml:space="preserve">المعرف بالناصري، ج13، ص282.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9" w:name="pg7742_69964"/>
    <w:bookmarkEnd w:id="289"/>
    <w:p>
      <w:pPr>
        <w:pStyle w:val="Heading2"/>
      </w:pPr>
      <w:bookmarkStart w:id="3008" w:name="_Toc2110"/>
      <w:r>
        <w:t>بيطار ، حسن بن ابراهيم - 1272 ه-</w:t>
      </w:r>
      <w:bookmarkEnd w:id="3008"/>
    </w:p>
    <w:p>
      <w:pPr>
        <w:pStyle w:val="BookText"/>
      </w:pPr>
      <w:r>
        <w:rPr>
          <w:rFonts w:ascii="Amiri" w:hAnsi="Amiri" w:eastAsia="Amiri" w:cs="Amiri"/>
          <w:lang w:bidi="ar-SA"/>
          <w:color w:val="111111"/>
          <w:sz w:val="28"/>
          <w:szCs w:val="28"/>
          <w:rtl/>
        </w:rPr>
        <w:t xml:space="preserve">ارشاد العباد في فضل الجهاد، ج 2،</w:t>
      </w:r>
    </w:p>
    <w:p>
      <w:pPr>
        <w:pStyle w:val="BookText"/>
      </w:pPr>
      <w:r>
        <w:rPr>
          <w:rFonts w:ascii="IRNazanin" w:hAnsi="IRNazanin" w:eastAsia="IRNazanin" w:cs="IRNazanin"/>
          <w:lang w:bidi="fa-IR"/>
          <w:color w:val="111111"/>
          <w:sz w:val="28"/>
          <w:szCs w:val="28"/>
          <w:rtl/>
        </w:rPr>
        <w:t xml:space="preserve">ص 32.</w:t>
      </w:r>
    </w:p>
    <w:p>
      <w:pPr>
        <w:pStyle w:val="Heading2"/>
      </w:pPr>
      <w:bookmarkStart w:id="3009" w:name="_Toc2111"/>
      <w:r>
        <w:t>بيقوني ، طه بن محمّد - 1080 ؟ ه-</w:t>
      </w:r>
      <w:bookmarkEnd w:id="3009"/>
    </w:p>
    <w:p>
      <w:pPr>
        <w:pStyle w:val="BookText"/>
      </w:pPr>
      <w:r>
        <w:rPr>
          <w:rFonts w:ascii="Amiri" w:hAnsi="Amiri" w:eastAsia="Amiri" w:cs="Amiri"/>
          <w:lang w:bidi="ar-SA"/>
          <w:color w:val="111111"/>
          <w:sz w:val="28"/>
          <w:szCs w:val="28"/>
          <w:rtl/>
        </w:rPr>
        <w:t xml:space="preserve">البيقونية في مصطلح الحديث، ج 3،</w:t>
      </w:r>
    </w:p>
    <w:p>
      <w:pPr>
        <w:pStyle w:val="BookText"/>
      </w:pPr>
      <w:r>
        <w:rPr>
          <w:rFonts w:ascii="IRNazanin" w:hAnsi="IRNazanin" w:eastAsia="IRNazanin" w:cs="IRNazanin"/>
          <w:lang w:bidi="fa-IR"/>
          <w:color w:val="111111"/>
          <w:sz w:val="28"/>
          <w:szCs w:val="28"/>
          <w:rtl/>
        </w:rPr>
        <w:t xml:space="preserve">ص 510</w:t>
      </w:r>
    </w:p>
    <w:p>
      <w:pPr>
        <w:pStyle w:val="BookText"/>
      </w:pPr>
      <w:r>
        <w:rPr>
          <w:rFonts w:ascii="Amiri" w:hAnsi="Amiri" w:eastAsia="Amiri" w:cs="Amiri"/>
          <w:lang w:bidi="ar-SA"/>
          <w:color w:val="111111"/>
          <w:sz w:val="28"/>
          <w:szCs w:val="28"/>
          <w:rtl/>
        </w:rPr>
        <w:t xml:space="preserve">بيك افشار بكشلوي- ارومي ، حسن بن</w:t>
      </w:r>
    </w:p>
    <w:p>
      <w:pPr>
        <w:pStyle w:val="BookText"/>
      </w:pPr>
      <w:r>
        <w:rPr>
          <w:rFonts w:ascii="Amiri" w:hAnsi="Amiri" w:eastAsia="Amiri" w:cs="Amiri"/>
          <w:lang w:bidi="ar-SA"/>
          <w:color w:val="111111"/>
          <w:sz w:val="28"/>
          <w:szCs w:val="28"/>
          <w:rtl/>
        </w:rPr>
        <w:t xml:space="preserve">محمد ولي</w:t>
      </w:r>
    </w:p>
    <w:p>
      <w:pPr>
        <w:pStyle w:val="BookText"/>
      </w:pPr>
      <w:r>
        <w:rPr>
          <w:rFonts w:ascii="IRNazanin" w:hAnsi="IRNazanin" w:eastAsia="IRNazanin" w:cs="IRNazanin"/>
          <w:lang w:bidi="fa-IR"/>
          <w:color w:val="111111"/>
          <w:sz w:val="28"/>
          <w:szCs w:val="28"/>
          <w:rtl/>
        </w:rPr>
        <w:t xml:space="preserve">بيگدلي شاملو ، لطفعلي بيگ -آذر بيگدلي</w:t>
      </w:r>
    </w:p>
    <w:p>
      <w:pPr>
        <w:pStyle w:val="BookText"/>
      </w:pPr>
      <w:r>
        <w:rPr>
          <w:rFonts w:ascii="Amiri" w:hAnsi="Amiri" w:eastAsia="Amiri" w:cs="Amiri"/>
          <w:lang w:bidi="ar-SA"/>
          <w:color w:val="111111"/>
          <w:sz w:val="28"/>
          <w:szCs w:val="28"/>
          <w:rtl/>
        </w:rPr>
        <w:t xml:space="preserve">، لطفعلي بن آقا خان</w:t>
      </w:r>
    </w:p>
    <w:p>
      <w:pPr>
        <w:pStyle w:val="BookText"/>
      </w:pPr>
      <w:r>
        <w:rPr>
          <w:rFonts w:ascii="IRNazanin" w:hAnsi="IRNazanin" w:eastAsia="IRNazanin" w:cs="IRNazanin"/>
          <w:lang w:bidi="fa-IR"/>
          <w:color w:val="111111"/>
          <w:sz w:val="28"/>
          <w:szCs w:val="28"/>
          <w:rtl/>
        </w:rPr>
        <w:t xml:space="preserve">بیگلر بيگي ، عبدالرزاق بن</w:t>
      </w:r>
    </w:p>
    <w:p>
      <w:pPr>
        <w:pStyle w:val="BookText"/>
      </w:pPr>
      <w:r>
        <w:rPr>
          <w:rFonts w:ascii="Amiri" w:hAnsi="Amiri" w:eastAsia="Amiri" w:cs="Amiri"/>
          <w:lang w:bidi="ar-SA"/>
          <w:color w:val="111111"/>
          <w:sz w:val="28"/>
          <w:szCs w:val="28"/>
          <w:rtl/>
        </w:rPr>
        <w:t xml:space="preserve">نجفقلي- مفتون دنبلي، عبدالرزاق بن</w:t>
      </w:r>
    </w:p>
    <w:p>
      <w:pPr>
        <w:pStyle w:val="BookText"/>
      </w:pPr>
      <w:r>
        <w:rPr>
          <w:rFonts w:ascii="Amiri" w:hAnsi="Amiri" w:eastAsia="Amiri" w:cs="Amiri"/>
          <w:lang w:bidi="ar-SA"/>
          <w:color w:val="111111"/>
          <w:sz w:val="28"/>
          <w:szCs w:val="28"/>
          <w:rtl/>
        </w:rPr>
        <w:t xml:space="preserve">نجفقلي</w:t>
      </w:r>
    </w:p>
    <w:p>
      <w:pPr>
        <w:pStyle w:val="Heading2"/>
      </w:pPr>
      <w:bookmarkStart w:id="3010" w:name="_Toc2112"/>
      <w:r>
        <w:t>بيلاني ، ابوعبدالله محمّد</w:t>
      </w:r>
      <w:bookmarkEnd w:id="3010"/>
    </w:p>
    <w:p>
      <w:pPr>
        <w:pStyle w:val="BookText"/>
      </w:pPr>
      <w:r>
        <w:rPr>
          <w:rFonts w:ascii="Amiri" w:hAnsi="Amiri" w:eastAsia="Amiri" w:cs="Amiri"/>
          <w:lang w:bidi="ar-SA"/>
          <w:color w:val="111111"/>
          <w:sz w:val="28"/>
          <w:szCs w:val="28"/>
          <w:rtl/>
        </w:rPr>
        <w:t xml:space="preserve">الاحدية، ج1، ص 442.</w:t>
      </w:r>
    </w:p>
    <w:p>
      <w:pPr>
        <w:pStyle w:val="Heading2"/>
      </w:pPr>
      <w:bookmarkStart w:id="3011" w:name="_Toc2113"/>
      <w:r>
        <w:t>بيلوني ، محمّد بن فتح الله - 1085 ه-</w:t>
      </w:r>
      <w:bookmarkEnd w:id="3011"/>
    </w:p>
    <w:p>
      <w:pPr>
        <w:pStyle w:val="BookText"/>
      </w:pPr>
      <w:r>
        <w:rPr>
          <w:rFonts w:ascii="IRNazanin" w:hAnsi="IRNazanin" w:eastAsia="IRNazanin" w:cs="IRNazanin"/>
          <w:lang w:bidi="fa-IR"/>
          <w:color w:val="111111"/>
          <w:sz w:val="28"/>
          <w:szCs w:val="28"/>
          <w:rtl/>
        </w:rPr>
        <w:t xml:space="preserve">دیوان محمّد البيلوني، ج 7، ص 765.</w:t>
      </w:r>
    </w:p>
    <w:p>
      <w:pPr>
        <w:pStyle w:val="Heading2"/>
      </w:pPr>
      <w:bookmarkStart w:id="3012" w:name="_Toc2114"/>
      <w:r>
        <w:t>بيلي ، احمد بن موسی 1141 - 1213 ه-</w:t>
      </w:r>
      <w:bookmarkEnd w:id="3012"/>
    </w:p>
    <w:p>
      <w:pPr>
        <w:pStyle w:val="BookText"/>
      </w:pPr>
      <w:r>
        <w:rPr>
          <w:rFonts w:ascii="Amiri" w:hAnsi="Amiri" w:eastAsia="Amiri" w:cs="Amiri"/>
          <w:lang w:bidi="ar-SA"/>
          <w:color w:val="111111"/>
          <w:sz w:val="28"/>
          <w:szCs w:val="28"/>
          <w:rtl/>
        </w:rPr>
        <w:t xml:space="preserve">تذكرة الإخوان = شرح على منظومة</w:t>
      </w:r>
    </w:p>
    <w:p>
      <w:pPr>
        <w:pStyle w:val="BookText"/>
      </w:pPr>
      <w:r>
        <w:rPr>
          <w:rFonts w:ascii="Amiri" w:hAnsi="Amiri" w:eastAsia="Amiri" w:cs="Amiri"/>
          <w:lang w:bidi="ar-SA"/>
          <w:color w:val="111111"/>
          <w:sz w:val="28"/>
          <w:szCs w:val="28"/>
          <w:rtl/>
        </w:rPr>
        <w:t xml:space="preserve">معاني حروف الجر، ج 4، ص 177.</w:t>
      </w:r>
    </w:p>
    <w:p>
      <w:pPr>
        <w:pStyle w:val="Heading2"/>
      </w:pPr>
      <w:bookmarkStart w:id="3013" w:name="_Toc2115"/>
      <w:r>
        <w:t>بينجويني ، عبدالرحمن بن محمد 1244</w:t>
      </w:r>
      <w:bookmarkEnd w:id="301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1318 ه-</w:t>
      </w:r>
    </w:p>
    <w:p>
      <w:pPr>
        <w:pStyle w:val="BookText"/>
      </w:pPr>
      <w:r>
        <w:rPr>
          <w:rFonts w:ascii="Amiri" w:hAnsi="Amiri" w:eastAsia="Amiri" w:cs="Amiri"/>
          <w:lang w:bidi="ar-SA"/>
          <w:color w:val="111111"/>
          <w:sz w:val="28"/>
          <w:szCs w:val="28"/>
          <w:rtl/>
        </w:rPr>
        <w:t xml:space="preserve">1 .حاشية آداب البحث، ج 5 ، ص 645 .</w:t>
      </w:r>
    </w:p>
    <w:p>
      <w:pPr>
        <w:pStyle w:val="BookText"/>
      </w:pPr>
      <w:r>
        <w:rPr>
          <w:rFonts w:ascii="Amiri" w:hAnsi="Amiri" w:eastAsia="Amiri" w:cs="Amiri"/>
          <w:lang w:bidi="ar-SA"/>
          <w:color w:val="111111"/>
          <w:sz w:val="28"/>
          <w:szCs w:val="28"/>
          <w:rtl/>
        </w:rPr>
        <w:t xml:space="preserve">2 .حاشية على البرهان في علم الميزان</w:t>
      </w:r>
    </w:p>
    <w:p>
      <w:pPr>
        <w:pStyle w:val="BookText"/>
      </w:pPr>
      <w:r>
        <w:rPr>
          <w:rFonts w:ascii="IRNazanin" w:hAnsi="IRNazanin" w:eastAsia="IRNazanin" w:cs="IRNazanin"/>
          <w:lang w:bidi="fa-IR"/>
          <w:color w:val="111111"/>
          <w:sz w:val="28"/>
          <w:szCs w:val="28"/>
          <w:rtl/>
        </w:rPr>
        <w:t xml:space="preserve">ج 6 ، ص 234.</w:t>
      </w:r>
    </w:p>
    <w:p>
      <w:pPr>
        <w:pStyle w:val="BookText"/>
      </w:pPr>
      <w:r>
        <w:rPr>
          <w:rFonts w:ascii="Amiri" w:hAnsi="Amiri" w:eastAsia="Amiri" w:cs="Amiri"/>
          <w:lang w:bidi="ar-SA"/>
          <w:color w:val="111111"/>
          <w:sz w:val="28"/>
          <w:szCs w:val="28"/>
          <w:rtl/>
        </w:rPr>
        <w:t xml:space="preserve">3 .حاشية منطقية، ج 6، ص 424.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ماهية العلم (رسالة في)، ج 13،</w:t>
      </w:r>
    </w:p>
    <w:p>
      <w:pPr>
        <w:pStyle w:val="BookText"/>
      </w:pPr>
      <w:r>
        <w:rPr>
          <w:rFonts w:ascii="IRNazanin" w:hAnsi="IRNazanin" w:eastAsia="IRNazanin" w:cs="IRNazanin"/>
          <w:lang w:bidi="fa-IR"/>
          <w:color w:val="111111"/>
          <w:sz w:val="28"/>
          <w:szCs w:val="28"/>
          <w:rtl/>
        </w:rPr>
        <w:t xml:space="preserve">ص 690 .</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5 .المسائل الشرعية و الفتاوى الفقهية</w:t>
      </w:r>
    </w:p>
    <w:p>
      <w:pPr>
        <w:pStyle w:val="BookText"/>
      </w:pPr>
      <w:r>
        <w:rPr>
          <w:rFonts w:ascii="IRNazanin" w:hAnsi="IRNazanin" w:eastAsia="IRNazanin" w:cs="IRNazanin"/>
          <w:lang w:bidi="fa-IR"/>
          <w:color w:val="111111"/>
          <w:sz w:val="28"/>
          <w:szCs w:val="28"/>
          <w:rtl/>
        </w:rPr>
        <w:t xml:space="preserve">ج 14، ص 455.</w:t>
      </w:r>
    </w:p>
    <w:p>
      <w:pPr>
        <w:pStyle w:val="Heading2"/>
      </w:pPr>
      <w:bookmarkStart w:id="3014" w:name="_Toc2116"/>
      <w:r>
        <w:t>بيهقي ، ابوالحسن بن ابي القسم</w:t>
      </w:r>
      <w:bookmarkEnd w:id="3014"/>
    </w:p>
    <w:p>
      <w:pPr>
        <w:pStyle w:val="BookText"/>
      </w:pPr>
      <w:r>
        <w:rPr>
          <w:rFonts w:ascii="Amiri" w:hAnsi="Amiri" w:eastAsia="Amiri" w:cs="Amiri"/>
          <w:lang w:bidi="ar-SA"/>
          <w:color w:val="111111"/>
          <w:sz w:val="28"/>
          <w:szCs w:val="28"/>
          <w:rtl/>
        </w:rPr>
        <w:t xml:space="preserve">الكلم الفارقية في الحكم الحقيقية</w:t>
      </w:r>
    </w:p>
    <w:p>
      <w:pPr>
        <w:pStyle w:val="BookText"/>
      </w:pPr>
      <w:r>
        <w:rPr>
          <w:rFonts w:ascii="IRNazanin" w:hAnsi="IRNazanin" w:eastAsia="IRNazanin" w:cs="IRNazanin"/>
          <w:lang w:bidi="fa-IR"/>
          <w:color w:val="111111"/>
          <w:sz w:val="28"/>
          <w:szCs w:val="28"/>
          <w:rtl/>
        </w:rPr>
        <w:t xml:space="preserve">ج 13، ص 381.</w:t>
      </w:r>
    </w:p>
    <w:p>
      <w:pPr>
        <w:pStyle w:val="Heading2"/>
      </w:pPr>
      <w:bookmarkStart w:id="3015" w:name="_Toc2117"/>
      <w:r>
        <w:t>بيهقي ، احمد بن حسين، 384 - 458 ه-</w:t>
      </w:r>
      <w:bookmarkEnd w:id="30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احكام القرآن، ج 1، ص 480</w:t>
      </w:r>
    </w:p>
    <w:p>
      <w:pPr>
        <w:pStyle w:val="BookText"/>
      </w:pPr>
      <w:r>
        <w:rPr>
          <w:rFonts w:ascii="IRNazanin" w:hAnsi="IRNazanin" w:eastAsia="IRNazanin" w:cs="IRNazanin"/>
          <w:lang w:bidi="fa-IR"/>
          <w:color w:val="111111"/>
          <w:sz w:val="28"/>
          <w:szCs w:val="28"/>
          <w:rtl/>
        </w:rPr>
        <w:t xml:space="preserve">2 .الاسماء والصفات، ج 2، ص237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البعث والنشور، ج 3، ص 354.</w:t>
      </w:r>
    </w:p>
    <w:p>
      <w:pPr>
        <w:pStyle w:val="BookText"/>
      </w:pPr>
      <w:r>
        <w:rPr>
          <w:rFonts w:ascii="Amiri" w:hAnsi="Amiri" w:eastAsia="Amiri" w:cs="Amiri"/>
          <w:lang w:bidi="ar-SA"/>
          <w:color w:val="111111"/>
          <w:sz w:val="28"/>
          <w:szCs w:val="28"/>
          <w:rtl/>
        </w:rPr>
        <w:t xml:space="preserve">4 .الجامع المنصف لشعب الايمان، جه،</w:t>
      </w:r>
    </w:p>
    <w:p>
      <w:pPr>
        <w:pStyle w:val="BookText"/>
      </w:pPr>
      <w:r>
        <w:rPr>
          <w:rFonts w:ascii="IRNazanin" w:hAnsi="IRNazanin" w:eastAsia="IRNazanin" w:cs="IRNazanin"/>
          <w:lang w:bidi="fa-IR"/>
          <w:color w:val="111111"/>
          <w:sz w:val="28"/>
          <w:szCs w:val="28"/>
          <w:rtl/>
        </w:rPr>
        <w:t xml:space="preserve">ص 347.</w:t>
      </w:r>
    </w:p>
    <w:p>
      <w:pPr>
        <w:pStyle w:val="BookText"/>
      </w:pPr>
      <w:r>
        <w:rPr>
          <w:rFonts w:ascii="Amiri" w:hAnsi="Amiri" w:eastAsia="Amiri" w:cs="Amiri"/>
          <w:lang w:bidi="ar-SA"/>
          <w:color w:val="111111"/>
          <w:sz w:val="28"/>
          <w:szCs w:val="28"/>
          <w:rtl/>
        </w:rPr>
        <w:t xml:space="preserve">5 .دلائل النبوة ومعرفة احوال صاحب الشريعة، ج 7، ص 461.</w:t>
      </w:r>
    </w:p>
    <w:p>
      <w:pPr>
        <w:pStyle w:val="BookText"/>
      </w:pPr>
      <w:r>
        <w:rPr>
          <w:rFonts w:ascii="Amiri" w:hAnsi="Amiri" w:eastAsia="Amiri" w:cs="Amiri"/>
          <w:lang w:bidi="ar-SA"/>
          <w:color w:val="111111"/>
          <w:sz w:val="28"/>
          <w:szCs w:val="28"/>
          <w:rtl/>
        </w:rPr>
        <w:t xml:space="preserve">6 .مسائل الخلاف = اختلاف الإمامين الشافعي وأبي حنيفة، ج 14،</w:t>
      </w:r>
    </w:p>
    <w:p>
      <w:pPr>
        <w:pStyle w:val="BookText"/>
      </w:pPr>
      <w:r>
        <w:rPr>
          <w:rFonts w:ascii="IRNazanin" w:hAnsi="IRNazanin" w:eastAsia="IRNazanin" w:cs="IRNazanin"/>
          <w:lang w:bidi="fa-IR"/>
          <w:color w:val="111111"/>
          <w:sz w:val="28"/>
          <w:szCs w:val="28"/>
          <w:rtl/>
        </w:rPr>
        <w:t xml:space="preserve">ص 445.</w:t>
      </w:r>
    </w:p>
    <w:p>
      <w:pPr>
        <w:pStyle w:val="Heading2"/>
      </w:pPr>
      <w:bookmarkStart w:id="3016" w:name="_Toc2118"/>
      <w:r>
        <w:t>بيهقي ، احمد بن علي 4470 - 544 ه-</w:t>
      </w:r>
      <w:bookmarkEnd w:id="3016"/>
    </w:p>
    <w:p>
      <w:pPr>
        <w:pStyle w:val="BookText"/>
      </w:pPr>
      <w:r>
        <w:rPr>
          <w:rFonts w:ascii="Amiri" w:hAnsi="Amiri" w:eastAsia="Amiri" w:cs="Amiri"/>
          <w:lang w:bidi="ar-SA"/>
          <w:color w:val="111111"/>
          <w:sz w:val="28"/>
          <w:szCs w:val="28"/>
          <w:rtl/>
        </w:rPr>
        <w:t xml:space="preserve">تاج المصادر = تهذيب الاسماء = تاج</w:t>
      </w:r>
    </w:p>
    <w:p>
      <w:pPr>
        <w:pStyle w:val="BookText"/>
      </w:pPr>
      <w:r>
        <w:rPr>
          <w:rFonts w:ascii="Amiri" w:hAnsi="Amiri" w:eastAsia="Amiri" w:cs="Amiri"/>
          <w:lang w:bidi="ar-SA"/>
          <w:color w:val="111111"/>
          <w:sz w:val="28"/>
          <w:szCs w:val="28"/>
          <w:rtl/>
        </w:rPr>
        <w:t xml:space="preserve">الاسامي، ج3، ص536.</w:t>
      </w:r>
    </w:p>
    <w:p>
      <w:pPr>
        <w:pStyle w:val="BookText"/>
      </w:pPr>
      <w:r>
        <w:rPr>
          <w:rFonts w:ascii="Amiri" w:hAnsi="Amiri" w:eastAsia="Amiri" w:cs="Amiri"/>
          <w:lang w:bidi="ar-SA"/>
          <w:color w:val="111111"/>
          <w:sz w:val="28"/>
          <w:szCs w:val="28"/>
          <w:rtl/>
        </w:rPr>
        <w:t xml:space="preserve">بيهقي اسفرايني ، محمّد بن احمد- بهشتي اسفرايني ، محمّد بن احمد</w:t>
      </w:r>
    </w:p>
    <w:p>
      <w:pPr>
        <w:pStyle w:val="BookText"/>
      </w:pPr>
      <w:r>
        <w:rPr>
          <w:rFonts w:ascii="Amiri" w:hAnsi="Amiri" w:eastAsia="Amiri" w:cs="Amiri"/>
          <w:lang w:bidi="ar-SA"/>
          <w:color w:val="111111"/>
          <w:sz w:val="28"/>
          <w:szCs w:val="28"/>
          <w:rtl/>
        </w:rPr>
        <w:t xml:space="preserve">بيهقي ، حسن بن ابي طالب- آبي ، حسن</w:t>
      </w:r>
    </w:p>
    <w:p>
      <w:pPr>
        <w:pStyle w:val="BookText"/>
      </w:pPr>
      <w:r>
        <w:rPr>
          <w:rFonts w:ascii="Amiri" w:hAnsi="Amiri" w:eastAsia="Amiri" w:cs="Amiri"/>
          <w:lang w:bidi="ar-SA"/>
          <w:color w:val="111111"/>
          <w:sz w:val="28"/>
          <w:szCs w:val="28"/>
          <w:rtl/>
        </w:rPr>
        <w:t xml:space="preserve">بن ابي طالب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0" w:name="pg7742_69966"/>
    <w:bookmarkEnd w:id="290"/>
    <w:p>
      <w:pPr>
        <w:pStyle w:val="BookText"/>
      </w:pPr>
      <w:r>
        <w:rPr>
          <w:rFonts w:ascii="Amiri" w:hAnsi="Amiri" w:eastAsia="Amiri" w:cs="Amiri"/>
          <w:lang w:bidi="ar-SA"/>
          <w:color w:val="111111"/>
          <w:sz w:val="28"/>
          <w:szCs w:val="28"/>
          <w:rtl/>
        </w:rPr>
        <w:t xml:space="preserve">بيهقي ، حسن بن حسين- شيعي سبزواري</w:t>
      </w:r>
    </w:p>
    <w:p>
      <w:pPr>
        <w:pStyle w:val="BookText"/>
      </w:pPr>
      <w:r>
        <w:rPr>
          <w:rFonts w:ascii="Amiri" w:hAnsi="Amiri" w:eastAsia="Amiri" w:cs="Amiri"/>
          <w:lang w:bidi="ar-SA"/>
          <w:color w:val="111111"/>
          <w:sz w:val="28"/>
          <w:szCs w:val="28"/>
          <w:rtl/>
        </w:rPr>
        <w:t xml:space="preserve">، حسن بن حسين</w:t>
      </w:r>
    </w:p>
    <w:p>
      <w:pPr>
        <w:pStyle w:val="BookText"/>
      </w:pPr>
      <w:r>
        <w:rPr>
          <w:rFonts w:ascii="Amiri" w:hAnsi="Amiri" w:eastAsia="Amiri" w:cs="Amiri"/>
          <w:lang w:bidi="ar-SA"/>
          <w:color w:val="111111"/>
          <w:sz w:val="28"/>
          <w:szCs w:val="28"/>
          <w:rtl/>
        </w:rPr>
        <w:t xml:space="preserve">بيهقي ، حسين بن علي- كاشفي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بيهقي طوسي ، حمزة بن علي - آذري</w:t>
      </w:r>
    </w:p>
    <w:p>
      <w:pPr>
        <w:pStyle w:val="BookText"/>
      </w:pPr>
      <w:r>
        <w:rPr>
          <w:rFonts w:ascii="Amiri" w:hAnsi="Amiri" w:eastAsia="Amiri" w:cs="Amiri"/>
          <w:lang w:bidi="ar-SA"/>
          <w:color w:val="111111"/>
          <w:sz w:val="28"/>
          <w:szCs w:val="28"/>
          <w:rtl/>
        </w:rPr>
        <w:t xml:space="preserve">طوسي، حمزة بن علي</w:t>
      </w:r>
    </w:p>
    <w:p>
      <w:pPr>
        <w:pStyle w:val="BookText"/>
      </w:pPr>
      <w:r>
        <w:rPr>
          <w:rFonts w:ascii="Amiri" w:hAnsi="Amiri" w:eastAsia="Amiri" w:cs="Amiri"/>
          <w:lang w:bidi="ar-SA"/>
          <w:color w:val="111111"/>
          <w:sz w:val="28"/>
          <w:szCs w:val="28"/>
          <w:rtl/>
        </w:rPr>
        <w:t xml:space="preserve">بيهقي ، علي بن حسين- فخرالدين صفي ،</w:t>
      </w:r>
    </w:p>
    <w:p>
      <w:pPr>
        <w:pStyle w:val="BookText"/>
      </w:pPr>
      <w:r>
        <w:rPr>
          <w:rFonts w:ascii="Amiri" w:hAnsi="Amiri" w:eastAsia="Amiri" w:cs="Amiri"/>
          <w:lang w:bidi="ar-SA"/>
          <w:color w:val="111111"/>
          <w:sz w:val="28"/>
          <w:szCs w:val="28"/>
          <w:rtl/>
        </w:rPr>
        <w:t xml:space="preserve">علي بن حسين</w:t>
      </w:r>
    </w:p>
    <w:p>
      <w:pPr>
        <w:pStyle w:val="Heading2"/>
      </w:pPr>
      <w:bookmarkStart w:id="3017" w:name="_Toc2119"/>
      <w:r>
        <w:t>بيهقي ، علي بن زيد، 499 - 565 ه-</w:t>
      </w:r>
      <w:bookmarkEnd w:id="3017"/>
    </w:p>
    <w:p>
      <w:pPr>
        <w:pStyle w:val="BookText"/>
      </w:pPr>
      <w:r>
        <w:rPr>
          <w:rFonts w:ascii="Amiri" w:hAnsi="Amiri" w:eastAsia="Amiri" w:cs="Amiri"/>
          <w:lang w:bidi="ar-SA"/>
          <w:color w:val="111111"/>
          <w:sz w:val="28"/>
          <w:szCs w:val="28"/>
          <w:rtl/>
        </w:rPr>
        <w:t xml:space="preserve">1 .جوامع احكام النجوم، ج 5، ص 519.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جوامع النجوم، ج 5، ص 534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وشاح الدمية، ج 16، ص 793.</w:t>
      </w:r>
    </w:p>
    <w:p>
      <w:pPr>
        <w:pStyle w:val="BookText"/>
      </w:pPr>
      <w:r>
        <w:rPr>
          <w:rFonts w:ascii="Amiri" w:hAnsi="Amiri" w:eastAsia="Amiri" w:cs="Amiri"/>
          <w:lang w:bidi="ar-SA"/>
          <w:color w:val="111111"/>
          <w:sz w:val="28"/>
          <w:szCs w:val="28"/>
          <w:rtl/>
        </w:rPr>
        <w:t xml:space="preserve">بيهقي ، محسن بن محمّد- ابن كرامه ،</w:t>
      </w:r>
    </w:p>
    <w:p>
      <w:pPr>
        <w:pStyle w:val="BookText"/>
      </w:pPr>
      <w:r>
        <w:rPr>
          <w:rFonts w:ascii="IRNazanin" w:hAnsi="IRNazanin" w:eastAsia="IRNazanin" w:cs="IRNazanin"/>
          <w:lang w:bidi="fa-IR"/>
          <w:color w:val="111111"/>
          <w:sz w:val="28"/>
          <w:szCs w:val="28"/>
          <w:rtl/>
        </w:rPr>
        <w:t xml:space="preserve">محسن بن محمّد</w:t>
      </w:r>
    </w:p>
    <w:p>
      <w:pPr>
        <w:pStyle w:val="Heading2"/>
      </w:pPr>
      <w:bookmarkStart w:id="3018" w:name="_Toc2120"/>
      <w:r>
        <w:t>بيهقي ، محمّد بن حسين 385 - 470</w:t>
      </w:r>
      <w:bookmarkEnd w:id="3018"/>
    </w:p>
    <w:p>
      <w:pPr>
        <w:pStyle w:val="BookText"/>
      </w:pPr>
      <w:r>
        <w:rPr>
          <w:rFonts w:ascii="Amiri" w:hAnsi="Amiri" w:eastAsia="Amiri" w:cs="Amiri"/>
          <w:lang w:bidi="ar-SA"/>
          <w:color w:val="111111"/>
          <w:sz w:val="28"/>
          <w:szCs w:val="28"/>
          <w:rtl/>
        </w:rPr>
        <w:t xml:space="preserve">تاريخ بيهقي = تاريخ ناصري = تاريخ</w:t>
      </w:r>
    </w:p>
    <w:p>
      <w:pPr>
        <w:pStyle w:val="BookText"/>
      </w:pPr>
      <w:r>
        <w:rPr>
          <w:rFonts w:ascii="Amiri" w:hAnsi="Amiri" w:eastAsia="Amiri" w:cs="Amiri"/>
          <w:lang w:bidi="ar-SA"/>
          <w:color w:val="111111"/>
          <w:sz w:val="28"/>
          <w:szCs w:val="28"/>
          <w:rtl/>
        </w:rPr>
        <w:t xml:space="preserve">آل سبكتكين = تاريخ مسعودي، ج3، ص 564.</w:t>
      </w:r>
    </w:p>
    <w:p>
      <w:pPr>
        <w:pStyle w:val="BookText"/>
      </w:pPr>
      <w:r>
        <w:rPr>
          <w:rFonts w:ascii="Amiri" w:hAnsi="Amiri" w:eastAsia="Amiri" w:cs="Amiri"/>
          <w:lang w:bidi="ar-SA"/>
          <w:color w:val="111111"/>
          <w:sz w:val="28"/>
          <w:szCs w:val="28"/>
          <w:rtl/>
        </w:rPr>
        <w:t xml:space="preserve">بيهقي ، محمّد بن قاسم- برزيعي ، محمّد</w:t>
      </w:r>
    </w:p>
    <w:p>
      <w:pPr>
        <w:pStyle w:val="BookText"/>
      </w:pPr>
      <w:r>
        <w:rPr>
          <w:rFonts w:ascii="IRNazanin" w:hAnsi="IRNazanin" w:eastAsia="IRNazanin" w:cs="IRNazanin"/>
          <w:lang w:bidi="fa-IR"/>
          <w:color w:val="111111"/>
          <w:sz w:val="28"/>
          <w:szCs w:val="28"/>
          <w:rtl/>
        </w:rPr>
        <w:t xml:space="preserve">بن قاسم</w:t>
      </w:r>
    </w:p>
    <w:p>
      <w:pPr>
        <w:pStyle w:val="Heading2"/>
      </w:pPr>
      <w:bookmarkStart w:id="3019" w:name="_Toc2121"/>
      <w:r>
        <w:t>بيهقي نيشابوري كيدري ، محمّد بن</w:t>
      </w:r>
      <w:bookmarkEnd w:id="3019"/>
    </w:p>
    <w:p>
      <w:pPr>
        <w:pStyle w:val="BookText"/>
      </w:pPr>
      <w:r>
        <w:rPr>
          <w:rFonts w:ascii="Amiri" w:hAnsi="Amiri" w:eastAsia="Amiri" w:cs="Amiri"/>
          <w:lang w:bidi="ar-SA"/>
          <w:color w:val="111111"/>
          <w:sz w:val="28"/>
          <w:szCs w:val="28"/>
          <w:rtl/>
        </w:rPr>
        <w:t xml:space="preserve">حسين قرن 6 ه-</w:t>
      </w:r>
    </w:p>
    <w:p>
      <w:pPr>
        <w:pStyle w:val="BookText"/>
      </w:pPr>
      <w:r>
        <w:rPr>
          <w:rFonts w:ascii="Amiri" w:hAnsi="Amiri" w:eastAsia="Amiri" w:cs="Amiri"/>
          <w:lang w:bidi="ar-SA"/>
          <w:color w:val="111111"/>
          <w:sz w:val="28"/>
          <w:szCs w:val="28"/>
          <w:rtl/>
        </w:rPr>
        <w:t xml:space="preserve">1 .انوار العقول من اشعار وصي الرسول = ديوان اميرالمؤمنين علي . (ع)، ج 3، ص 5.</w:t>
      </w:r>
    </w:p>
    <w:p>
      <w:pPr>
        <w:pStyle w:val="BookText"/>
      </w:pPr>
      <w:r>
        <w:rPr>
          <w:rFonts w:ascii="Amiri" w:hAnsi="Amiri" w:eastAsia="Amiri" w:cs="Amiri"/>
          <w:lang w:bidi="ar-SA"/>
          <w:color w:val="111111"/>
          <w:sz w:val="28"/>
          <w:szCs w:val="28"/>
          <w:rtl/>
        </w:rPr>
        <w:t xml:space="preserve">2 .حدائق الحقائق في تفسير دقائق</w:t>
      </w:r>
    </w:p>
    <w:p>
      <w:pPr>
        <w:pStyle w:val="BookText"/>
      </w:pPr>
      <w:r>
        <w:rPr>
          <w:rFonts w:ascii="IRNazanin" w:hAnsi="IRNazanin" w:eastAsia="IRNazanin" w:cs="IRNazanin"/>
          <w:lang w:bidi="fa-IR"/>
          <w:color w:val="111111"/>
          <w:sz w:val="28"/>
          <w:szCs w:val="28"/>
          <w:rtl/>
        </w:rPr>
        <w:t xml:space="preserve">احسن الخلائق = شرح نهج</w:t>
      </w:r>
    </w:p>
    <w:p>
      <w:pPr>
        <w:pStyle w:val="BookText"/>
      </w:pPr>
      <w:r>
        <w:rPr>
          <w:rFonts w:ascii="Amiri" w:hAnsi="Amiri" w:eastAsia="Amiri" w:cs="Amiri"/>
          <w:lang w:bidi="ar-SA"/>
          <w:color w:val="111111"/>
          <w:sz w:val="28"/>
          <w:szCs w:val="28"/>
          <w:rtl/>
        </w:rPr>
        <w:t xml:space="preserve">البلاغة، ج6، ص 514.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وصية النبي أبي هريره، ج 16،</w:t>
      </w:r>
    </w:p>
    <w:p>
      <w:pPr>
        <w:pStyle w:val="BookText"/>
      </w:pPr>
      <w:r>
        <w:rPr>
          <w:rFonts w:ascii="IRNazanin" w:hAnsi="IRNazanin" w:eastAsia="IRNazanin" w:cs="IRNazanin"/>
          <w:lang w:bidi="fa-IR"/>
          <w:color w:val="111111"/>
          <w:sz w:val="28"/>
          <w:szCs w:val="28"/>
          <w:rtl/>
        </w:rPr>
        <w:t xml:space="preserve">ص 821.</w:t>
      </w:r>
    </w:p>
    <w:p>
      <w:pPr>
        <w:pStyle w:val="Heading2"/>
      </w:pPr>
      <w:bookmarkStart w:id="3020" w:name="_Toc2122"/>
      <w:r>
        <w:t>بيومي حلبي ، محمّد</w:t>
      </w:r>
      <w:bookmarkEnd w:id="3020"/>
    </w:p>
    <w:p>
      <w:pPr>
        <w:pStyle w:val="BookText"/>
      </w:pPr>
      <w:r>
        <w:rPr>
          <w:rFonts w:ascii="Amiri" w:hAnsi="Amiri" w:eastAsia="Amiri" w:cs="Amiri"/>
          <w:lang w:bidi="ar-SA"/>
          <w:color w:val="111111"/>
          <w:sz w:val="28"/>
          <w:szCs w:val="28"/>
          <w:rtl/>
        </w:rPr>
        <w:t xml:space="preserve">فوائد في المناسك، ج 12، ص 261.</w:t>
      </w:r>
    </w:p>
    <w:p>
      <w:pPr>
        <w:pStyle w:val="Heading2"/>
      </w:pPr>
      <w:bookmarkStart w:id="3021" w:name="_Toc2123"/>
      <w:r>
        <w:t>بيون برهمي</w:t>
      </w:r>
      <w:bookmarkEnd w:id="3021"/>
    </w:p>
    <w:p>
      <w:pPr>
        <w:pStyle w:val="BookText"/>
      </w:pPr>
      <w:r>
        <w:rPr>
          <w:rFonts w:ascii="Amiri" w:hAnsi="Amiri" w:eastAsia="Amiri" w:cs="Amiri"/>
          <w:lang w:bidi="ar-SA"/>
          <w:color w:val="111111"/>
          <w:sz w:val="28"/>
          <w:szCs w:val="28"/>
          <w:rtl/>
        </w:rPr>
        <w:t xml:space="preserve">الاكسير = رسالة بيون البرهمي =</w:t>
      </w:r>
    </w:p>
    <w:p>
      <w:pPr>
        <w:pStyle w:val="BookText"/>
      </w:pPr>
      <w:r>
        <w:rPr>
          <w:rFonts w:ascii="Amiri" w:hAnsi="Amiri" w:eastAsia="Amiri" w:cs="Amiri"/>
          <w:lang w:bidi="ar-SA"/>
          <w:color w:val="111111"/>
          <w:sz w:val="28"/>
          <w:szCs w:val="28"/>
          <w:rtl/>
        </w:rPr>
        <w:t xml:space="preserve">تركيب الحجر، ج 2، ص 643 .</w:t>
      </w:r>
    </w:p>
    <w:p>
      <w:pPr>
        <w:pStyle w:val="Heading2"/>
      </w:pPr>
      <w:bookmarkStart w:id="3022" w:name="_Toc2124"/>
      <w:r>
        <w:t>پاراسلسوس، 1493 - 1541</w:t>
      </w:r>
      <w:bookmarkEnd w:id="30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الاكسير في صناعة الكيميا، ج2،</w:t>
      </w:r>
    </w:p>
    <w:p>
      <w:pPr>
        <w:pStyle w:val="BookText"/>
      </w:pPr>
      <w:r>
        <w:rPr>
          <w:rFonts w:ascii="IRNazanin" w:hAnsi="IRNazanin" w:eastAsia="IRNazanin" w:cs="IRNazanin"/>
          <w:lang w:bidi="fa-IR"/>
          <w:color w:val="111111"/>
          <w:sz w:val="28"/>
          <w:szCs w:val="28"/>
          <w:rtl/>
        </w:rPr>
        <w:t xml:space="preserve">ص 646 .</w:t>
      </w:r>
    </w:p>
    <w:p>
      <w:pPr>
        <w:pStyle w:val="BookText"/>
      </w:pPr>
      <w:r>
        <w:rPr>
          <w:rFonts w:ascii="Amiri" w:hAnsi="Amiri" w:eastAsia="Amiri" w:cs="Amiri"/>
          <w:lang w:bidi="ar-SA"/>
          <w:color w:val="111111"/>
          <w:sz w:val="28"/>
          <w:szCs w:val="28"/>
          <w:rtl/>
        </w:rPr>
        <w:t xml:space="preserve">2 .الطب الجديد الكيميائي = الطب الكيمياوي، ج 10، ص 766.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منقولات في صناعة الطب، ج 15،</w:t>
      </w:r>
    </w:p>
    <w:p>
      <w:pPr>
        <w:pStyle w:val="BookText"/>
      </w:pPr>
      <w:r>
        <w:rPr>
          <w:rFonts w:ascii="IRNazanin" w:hAnsi="IRNazanin" w:eastAsia="IRNazanin" w:cs="IRNazanin"/>
          <w:lang w:bidi="fa-IR"/>
          <w:color w:val="111111"/>
          <w:sz w:val="28"/>
          <w:szCs w:val="28"/>
          <w:rtl/>
        </w:rPr>
        <w:t xml:space="preserve">ص 736.</w:t>
      </w:r>
    </w:p>
    <w:p>
      <w:pPr>
        <w:pStyle w:val="Heading2"/>
      </w:pPr>
      <w:bookmarkStart w:id="3023" w:name="_Toc2125"/>
      <w:r>
        <w:t>پارسا ، محمّد بن محمّد 739 - 5822</w:t>
      </w:r>
      <w:bookmarkEnd w:id="3023"/>
    </w:p>
    <w:p>
      <w:pPr>
        <w:pStyle w:val="BookText"/>
      </w:pPr>
      <w:r>
        <w:rPr>
          <w:rFonts w:ascii="IRNazanin" w:hAnsi="IRNazanin" w:eastAsia="IRNazanin" w:cs="IRNazanin"/>
          <w:lang w:bidi="fa-IR"/>
          <w:color w:val="111111"/>
          <w:sz w:val="28"/>
          <w:szCs w:val="28"/>
          <w:rtl/>
        </w:rPr>
        <w:t xml:space="preserve">1 .فصل الخطاب لوصل الاحباب =</w:t>
      </w:r>
    </w:p>
    <w:p>
      <w:pPr>
        <w:pStyle w:val="BookText"/>
      </w:pPr>
      <w:r>
        <w:rPr>
          <w:rFonts w:ascii="Amiri" w:hAnsi="Amiri" w:eastAsia="Amiri" w:cs="Amiri"/>
          <w:lang w:bidi="ar-SA"/>
          <w:color w:val="111111"/>
          <w:sz w:val="28"/>
          <w:szCs w:val="28"/>
          <w:rtl/>
        </w:rPr>
        <w:t xml:space="preserve">الفارق بين الخطاء و الثواب</w:t>
      </w:r>
    </w:p>
    <w:p>
      <w:pPr>
        <w:pStyle w:val="BookText"/>
      </w:pPr>
      <w:r>
        <w:rPr>
          <w:rFonts w:ascii="Amiri" w:hAnsi="Amiri" w:eastAsia="Amiri" w:cs="Amiri"/>
          <w:lang w:bidi="ar-SA"/>
          <w:color w:val="111111"/>
          <w:sz w:val="28"/>
          <w:szCs w:val="28"/>
          <w:rtl/>
        </w:rPr>
        <w:t xml:space="preserve">1.فصل الخطاب في المحاضرات، ج 11،</w:t>
      </w:r>
    </w:p>
    <w:p>
      <w:pPr>
        <w:pStyle w:val="BookText"/>
      </w:pPr>
      <w:r>
        <w:rPr>
          <w:rFonts w:ascii="IRNazanin" w:hAnsi="IRNazanin" w:eastAsia="IRNazanin" w:cs="IRNazanin"/>
          <w:lang w:bidi="fa-IR"/>
          <w:color w:val="111111"/>
          <w:sz w:val="28"/>
          <w:szCs w:val="28"/>
          <w:rtl/>
        </w:rPr>
        <w:t xml:space="preserve">ص 834.</w:t>
      </w:r>
    </w:p>
    <w:p>
      <w:pPr>
        <w:pStyle w:val="BookText"/>
      </w:pPr>
      <w:r>
        <w:rPr>
          <w:rFonts w:ascii="Amiri" w:hAnsi="Amiri" w:eastAsia="Amiri" w:cs="Amiri"/>
          <w:lang w:bidi="ar-SA"/>
          <w:color w:val="111111"/>
          <w:sz w:val="28"/>
          <w:szCs w:val="28"/>
          <w:rtl/>
        </w:rPr>
        <w:t xml:space="preserve">2 .كشفيه، ج13، ص 284.</w:t>
      </w:r>
    </w:p>
    <w:p>
      <w:pPr>
        <w:pStyle w:val="Heading2"/>
      </w:pPr>
      <w:bookmarkStart w:id="3024" w:name="_Toc2126"/>
      <w:r>
        <w:t>پاکستاني ، غلام محمّد بن غلام حیدر قرن 15ه-</w:t>
      </w:r>
      <w:bookmarkEnd w:id="3024"/>
    </w:p>
    <w:p>
      <w:pPr>
        <w:pStyle w:val="BookText"/>
      </w:pPr>
      <w:r>
        <w:rPr>
          <w:rFonts w:ascii="IRNazanin" w:hAnsi="IRNazanin" w:eastAsia="IRNazanin" w:cs="IRNazanin"/>
          <w:lang w:bidi="fa-IR"/>
          <w:color w:val="111111"/>
          <w:sz w:val="28"/>
          <w:szCs w:val="28"/>
          <w:rtl/>
        </w:rPr>
        <w:t xml:space="preserve">تقریرات نصر الله الموسوي المستنبط</w:t>
      </w:r>
    </w:p>
    <w:p>
      <w:pPr>
        <w:pStyle w:val="BookText"/>
      </w:pPr>
      <w:r>
        <w:rPr>
          <w:rFonts w:ascii="IRNazanin" w:hAnsi="IRNazanin" w:eastAsia="IRNazanin" w:cs="IRNazanin"/>
          <w:lang w:bidi="fa-IR"/>
          <w:color w:val="111111"/>
          <w:sz w:val="28"/>
          <w:szCs w:val="28"/>
          <w:rtl/>
        </w:rPr>
        <w:t xml:space="preserve">ج 4، ص 774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1" w:name="pg7742_69968"/>
    <w:bookmarkEnd w:id="291"/>
    <w:p>
      <w:pPr>
        <w:pStyle w:val="Heading2"/>
      </w:pPr>
      <w:bookmarkStart w:id="3025" w:name="_Toc2127"/>
      <w:r>
        <w:t>پالوي ، حامد بن عبد الفتاح، قرن 12 ه-</w:t>
      </w:r>
      <w:bookmarkEnd w:id="3025"/>
    </w:p>
    <w:p>
      <w:pPr>
        <w:pStyle w:val="BookText"/>
      </w:pPr>
      <w:r>
        <w:rPr>
          <w:rFonts w:ascii="Amiri" w:hAnsi="Amiri" w:eastAsia="Amiri" w:cs="Amiri"/>
          <w:lang w:bidi="ar-SA"/>
          <w:color w:val="111111"/>
          <w:sz w:val="28"/>
          <w:szCs w:val="28"/>
          <w:rtl/>
        </w:rPr>
        <w:t xml:space="preserve">1 .تجويد المتجودين، ج3، ص718.</w:t>
      </w:r>
    </w:p>
    <w:p>
      <w:pPr>
        <w:pStyle w:val="BookText"/>
      </w:pPr>
      <w:r>
        <w:rPr>
          <w:rFonts w:ascii="Amiri" w:hAnsi="Amiri" w:eastAsia="Amiri" w:cs="Amiri"/>
          <w:lang w:bidi="ar-SA"/>
          <w:color w:val="111111"/>
          <w:sz w:val="28"/>
          <w:szCs w:val="28"/>
          <w:rtl/>
        </w:rPr>
        <w:t xml:space="preserve">2 .زبدة العرفان في وجوه القرآن، ج 8،</w:t>
      </w:r>
    </w:p>
    <w:p>
      <w:pPr>
        <w:pStyle w:val="BookText"/>
      </w:pPr>
      <w:r>
        <w:rPr>
          <w:rFonts w:ascii="IRNazanin" w:hAnsi="IRNazanin" w:eastAsia="IRNazanin" w:cs="IRNazanin"/>
          <w:lang w:bidi="fa-IR"/>
          <w:color w:val="111111"/>
          <w:sz w:val="28"/>
          <w:szCs w:val="28"/>
          <w:rtl/>
        </w:rPr>
        <w:t xml:space="preserve">ص 580.</w:t>
      </w:r>
    </w:p>
    <w:p>
      <w:pPr>
        <w:pStyle w:val="Heading2"/>
      </w:pPr>
      <w:bookmarkStart w:id="3026" w:name="_Toc2128"/>
      <w:r>
        <w:t>پدانیوس دیوسکوریدس، قرن 1 م</w:t>
      </w:r>
      <w:bookmarkEnd w:id="3026"/>
    </w:p>
    <w:p>
      <w:pPr>
        <w:pStyle w:val="BookText"/>
      </w:pPr>
      <w:r>
        <w:rPr>
          <w:rFonts w:ascii="Amiri" w:hAnsi="Amiri" w:eastAsia="Amiri" w:cs="Amiri"/>
          <w:lang w:bidi="ar-SA"/>
          <w:color w:val="111111"/>
          <w:sz w:val="28"/>
          <w:szCs w:val="28"/>
          <w:rtl/>
        </w:rPr>
        <w:t xml:space="preserve">الحشائش = الادوية المفردة - خواص</w:t>
      </w:r>
    </w:p>
    <w:p>
      <w:pPr>
        <w:pStyle w:val="BookText"/>
      </w:pPr>
      <w:r>
        <w:rPr>
          <w:rFonts w:ascii="Amiri" w:hAnsi="Amiri" w:eastAsia="Amiri" w:cs="Amiri"/>
          <w:lang w:bidi="ar-SA"/>
          <w:color w:val="111111"/>
          <w:sz w:val="28"/>
          <w:szCs w:val="28"/>
          <w:rtl/>
        </w:rPr>
        <w:t xml:space="preserve">الاشجار - هيولي علاج الطب، ج 6،</w:t>
      </w:r>
    </w:p>
    <w:p>
      <w:pPr>
        <w:pStyle w:val="BookText"/>
      </w:pPr>
      <w:r>
        <w:rPr>
          <w:rFonts w:ascii="IRNazanin" w:hAnsi="IRNazanin" w:eastAsia="IRNazanin" w:cs="IRNazanin"/>
          <w:lang w:bidi="fa-IR"/>
          <w:color w:val="111111"/>
          <w:sz w:val="28"/>
          <w:szCs w:val="28"/>
          <w:rtl/>
        </w:rPr>
        <w:t xml:space="preserve">ص 656 .</w:t>
      </w:r>
    </w:p>
    <w:p>
      <w:pPr>
        <w:pStyle w:val="BookText"/>
      </w:pPr>
      <w:r>
        <w:rPr>
          <w:rFonts w:ascii="IRNazanin" w:hAnsi="IRNazanin" w:eastAsia="IRNazanin" w:cs="IRNazanin"/>
          <w:lang w:bidi="fa-IR"/>
          <w:color w:val="111111"/>
          <w:sz w:val="28"/>
          <w:szCs w:val="28"/>
          <w:rtl/>
        </w:rPr>
        <w:t xml:space="preserve">پراکلسوس - پاراسلسوس</w:t>
      </w:r>
    </w:p>
    <w:p>
      <w:pPr>
        <w:pStyle w:val="BookText"/>
      </w:pPr>
      <w:r>
        <w:rPr>
          <w:rFonts w:ascii="IRNazanin" w:hAnsi="IRNazanin" w:eastAsia="IRNazanin" w:cs="IRNazanin"/>
          <w:lang w:bidi="fa-IR"/>
          <w:color w:val="111111"/>
          <w:sz w:val="28"/>
          <w:szCs w:val="28"/>
          <w:rtl/>
        </w:rPr>
        <w:t xml:space="preserve">پرزريني ، حسين بن فرهاد- اسكوبي ،</w:t>
      </w:r>
    </w:p>
    <w:p>
      <w:pPr>
        <w:pStyle w:val="BookText"/>
      </w:pPr>
      <w:r>
        <w:rPr>
          <w:rFonts w:ascii="Amiri" w:hAnsi="Amiri" w:eastAsia="Amiri" w:cs="Amiri"/>
          <w:lang w:bidi="ar-SA"/>
          <w:color w:val="111111"/>
          <w:sz w:val="28"/>
          <w:szCs w:val="28"/>
          <w:rtl/>
        </w:rPr>
        <w:t xml:space="preserve">حسين بن فرهاد</w:t>
      </w:r>
    </w:p>
    <w:p>
      <w:pPr>
        <w:pStyle w:val="BookText"/>
      </w:pPr>
      <w:r>
        <w:rPr>
          <w:rFonts w:ascii="IRNazanin" w:hAnsi="IRNazanin" w:eastAsia="IRNazanin" w:cs="IRNazanin"/>
          <w:lang w:bidi="fa-IR"/>
          <w:color w:val="111111"/>
          <w:sz w:val="28"/>
          <w:szCs w:val="28"/>
          <w:rtl/>
        </w:rPr>
        <w:t xml:space="preserve">پرویز افندي - افندي ، پرویز</w:t>
      </w:r>
    </w:p>
    <w:p>
      <w:pPr>
        <w:pStyle w:val="Heading2"/>
      </w:pPr>
      <w:bookmarkStart w:id="3027" w:name="_Toc2129"/>
      <w:r>
        <w:t>پرویز ، عبدالله بن عبدالله قرن 10 ه-</w:t>
      </w:r>
      <w:bookmarkEnd w:id="3027"/>
    </w:p>
    <w:p>
      <w:pPr>
        <w:pStyle w:val="BookText"/>
      </w:pPr>
      <w:r>
        <w:rPr>
          <w:rFonts w:ascii="Amiri" w:hAnsi="Amiri" w:eastAsia="Amiri" w:cs="Amiri"/>
          <w:lang w:bidi="ar-SA"/>
          <w:color w:val="111111"/>
          <w:sz w:val="28"/>
          <w:szCs w:val="28"/>
          <w:rtl/>
        </w:rPr>
        <w:t xml:space="preserve">تلخيص تلخيص المفتاح، ج 4، ص 844.</w:t>
      </w:r>
    </w:p>
    <w:p>
      <w:pPr>
        <w:pStyle w:val="BookText"/>
      </w:pPr>
      <w:r>
        <w:rPr>
          <w:rFonts w:ascii="IRNazanin" w:hAnsi="IRNazanin" w:eastAsia="IRNazanin" w:cs="IRNazanin"/>
          <w:lang w:bidi="fa-IR"/>
          <w:color w:val="111111"/>
          <w:sz w:val="28"/>
          <w:szCs w:val="28"/>
          <w:rtl/>
        </w:rPr>
        <w:t xml:space="preserve">پشت مشهدي ، محمّد تقي بن</w:t>
      </w:r>
    </w:p>
    <w:p>
      <w:pPr>
        <w:pStyle w:val="BookText"/>
      </w:pPr>
      <w:r>
        <w:rPr>
          <w:rFonts w:ascii="Amiri" w:hAnsi="Amiri" w:eastAsia="Amiri" w:cs="Amiri"/>
          <w:lang w:bidi="ar-SA"/>
          <w:color w:val="111111"/>
          <w:sz w:val="28"/>
          <w:szCs w:val="28"/>
          <w:rtl/>
        </w:rPr>
        <w:t xml:space="preserve">عبد الحي - حسيني كاشاني ، محمّد تقي بن عبد الحي</w:t>
      </w:r>
    </w:p>
    <w:p>
      <w:pPr>
        <w:pStyle w:val="Heading2"/>
      </w:pPr>
      <w:bookmarkStart w:id="3028" w:name="_Toc2130"/>
      <w:r>
        <w:t>پنجوني ، عبدالرحمن ه-</w:t>
      </w:r>
      <w:bookmarkEnd w:id="3028"/>
    </w:p>
    <w:p>
      <w:pPr>
        <w:pStyle w:val="BookText"/>
      </w:pPr>
      <w:r>
        <w:rPr>
          <w:rFonts w:ascii="Amiri" w:hAnsi="Amiri" w:eastAsia="Amiri" w:cs="Amiri"/>
          <w:lang w:bidi="ar-SA"/>
          <w:color w:val="111111"/>
          <w:sz w:val="28"/>
          <w:szCs w:val="28"/>
          <w:rtl/>
        </w:rPr>
        <w:t xml:space="preserve">الطلاق (مسألة في)، ج10، ص 845.</w:t>
      </w:r>
    </w:p>
    <w:p>
      <w:pPr>
        <w:pStyle w:val="Heading2"/>
      </w:pPr>
      <w:bookmarkStart w:id="3029" w:name="_Toc2131"/>
      <w:r>
        <w:t>پندت کشميري</w:t>
      </w:r>
      <w:bookmarkEnd w:id="3029"/>
    </w:p>
    <w:p>
      <w:pPr>
        <w:pStyle w:val="BookText"/>
      </w:pPr>
      <w:r>
        <w:rPr>
          <w:rFonts w:ascii="Amiri" w:hAnsi="Amiri" w:eastAsia="Amiri" w:cs="Amiri"/>
          <w:lang w:bidi="ar-SA"/>
          <w:color w:val="111111"/>
          <w:sz w:val="28"/>
          <w:szCs w:val="28"/>
          <w:rtl/>
        </w:rPr>
        <w:t xml:space="preserve">جوك باشست ج5 ص 609.</w:t>
      </w:r>
    </w:p>
    <w:p>
      <w:pPr>
        <w:pStyle w:val="Heading2"/>
      </w:pPr>
      <w:bookmarkStart w:id="3030" w:name="_Toc2132"/>
      <w:r>
        <w:t>پهلواني ، موسی بن عبدالله - 1133 ه-</w:t>
      </w:r>
      <w:bookmarkEnd w:id="3030"/>
    </w:p>
    <w:p>
      <w:pPr>
        <w:pStyle w:val="BookText"/>
      </w:pPr>
      <w:r>
        <w:rPr>
          <w:rFonts w:ascii="Amiri" w:hAnsi="Amiri" w:eastAsia="Amiri" w:cs="Amiri"/>
          <w:lang w:bidi="ar-SA"/>
          <w:color w:val="111111"/>
          <w:sz w:val="28"/>
          <w:szCs w:val="28"/>
          <w:rtl/>
        </w:rPr>
        <w:t xml:space="preserve">الرسالة القياسية = القياس الغير</w:t>
      </w:r>
    </w:p>
    <w:p>
      <w:pPr>
        <w:pStyle w:val="BookText"/>
      </w:pPr>
      <w:r>
        <w:rPr>
          <w:rFonts w:ascii="IRNazanin" w:hAnsi="IRNazanin" w:eastAsia="IRNazanin" w:cs="IRNazanin"/>
          <w:lang w:bidi="fa-IR"/>
          <w:color w:val="111111"/>
          <w:sz w:val="28"/>
          <w:szCs w:val="28"/>
          <w:rtl/>
        </w:rPr>
        <w:t xml:space="preserve">المتعارف، ج8، ص 252 .</w:t>
      </w:r>
    </w:p>
    <w:p>
      <w:pPr>
        <w:pStyle w:val="Heading2"/>
      </w:pPr>
      <w:bookmarkStart w:id="3031" w:name="_Toc2133"/>
      <w:r>
        <w:t>پولاك ، ياكوب ادوارد، 1818 - 1891 م</w:t>
      </w:r>
      <w:bookmarkEnd w:id="3031"/>
    </w:p>
    <w:p>
      <w:pPr>
        <w:pStyle w:val="BookText"/>
      </w:pPr>
      <w:r>
        <w:rPr>
          <w:rFonts w:ascii="Amiri" w:hAnsi="Amiri" w:eastAsia="Amiri" w:cs="Amiri"/>
          <w:lang w:bidi="ar-SA"/>
          <w:color w:val="111111"/>
          <w:sz w:val="28"/>
          <w:szCs w:val="28"/>
          <w:rtl/>
        </w:rPr>
        <w:t xml:space="preserve">1 .كتاب جراحي، ج 13، ص 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كحالي، ج13، ص 149.</w:t>
      </w:r>
    </w:p>
    <w:p>
      <w:pPr>
        <w:pStyle w:val="BookText"/>
      </w:pPr>
      <w:r>
        <w:rPr>
          <w:rFonts w:ascii="IRNazanin" w:hAnsi="IRNazanin" w:eastAsia="IRNazanin" w:cs="IRNazanin"/>
          <w:lang w:bidi="fa-IR"/>
          <w:color w:val="111111"/>
          <w:sz w:val="28"/>
          <w:szCs w:val="28"/>
          <w:rtl/>
        </w:rPr>
        <w:t xml:space="preserve">پیر خضرائي ، حسن بن هداية الله -شهرزوري ، حسن بن هداية الله</w:t>
      </w:r>
    </w:p>
    <w:p>
      <w:pPr>
        <w:pStyle w:val="Heading2"/>
      </w:pPr>
      <w:bookmarkStart w:id="3032" w:name="_Toc2134"/>
      <w:r>
        <w:t>پیر خضري ، يوسف جان بن ابي بكر</w:t>
      </w:r>
      <w:bookmarkEnd w:id="3032"/>
    </w:p>
    <w:p>
      <w:pPr>
        <w:pStyle w:val="BookText"/>
      </w:pPr>
      <w:r>
        <w:rPr>
          <w:rFonts w:ascii="Amiri" w:hAnsi="Amiri" w:eastAsia="Amiri" w:cs="Amiri"/>
          <w:lang w:bidi="ar-SA"/>
          <w:color w:val="111111"/>
          <w:sz w:val="28"/>
          <w:szCs w:val="28"/>
          <w:rtl/>
        </w:rPr>
        <w:t xml:space="preserve">شرح العزي في التصريف، ج9، ص713.</w:t>
      </w:r>
    </w:p>
    <w:p>
      <w:pPr>
        <w:pStyle w:val="Heading2"/>
      </w:pPr>
      <w:bookmarkStart w:id="3033" w:name="_Toc2135"/>
      <w:r>
        <w:t>پیرزاده، محمّد رفیع قرن 11 ه-</w:t>
      </w:r>
      <w:bookmarkEnd w:id="3033"/>
    </w:p>
    <w:p>
      <w:pPr>
        <w:pStyle w:val="BookText"/>
      </w:pPr>
      <w:r>
        <w:rPr>
          <w:rFonts w:ascii="Amiri" w:hAnsi="Amiri" w:eastAsia="Amiri" w:cs="Amiri"/>
          <w:lang w:bidi="ar-SA"/>
          <w:color w:val="111111"/>
          <w:sz w:val="28"/>
          <w:szCs w:val="28"/>
          <w:rtl/>
        </w:rPr>
        <w:t xml:space="preserve">المعارف الالهية، ج 14، ص 844.</w:t>
      </w:r>
    </w:p>
    <w:p>
      <w:pPr>
        <w:pStyle w:val="BookText"/>
      </w:pPr>
      <w:r>
        <w:rPr>
          <w:rFonts w:ascii="IRNazanin" w:hAnsi="IRNazanin" w:eastAsia="IRNazanin" w:cs="IRNazanin"/>
          <w:lang w:bidi="fa-IR"/>
          <w:color w:val="111111"/>
          <w:sz w:val="28"/>
          <w:szCs w:val="28"/>
          <w:rtl/>
        </w:rPr>
        <w:t xml:space="preserve">پیر محمّد وقوفي- وقوفي ، پير محمّد</w:t>
      </w:r>
    </w:p>
    <w:p>
      <w:pPr>
        <w:pStyle w:val="Heading2"/>
      </w:pPr>
      <w:bookmarkStart w:id="3034" w:name="_Toc2136"/>
      <w:r>
        <w:t>پيري زاده، ابراهيم بن حسين 1023 -</w:t>
      </w:r>
      <w:bookmarkEnd w:id="3034"/>
    </w:p>
    <w:p>
      <w:pPr>
        <w:pStyle w:val="BookText"/>
      </w:pPr>
      <w:r>
        <w:rPr>
          <w:rFonts w:ascii="IRNazanin" w:hAnsi="IRNazanin" w:eastAsia="IRNazanin" w:cs="IRNazanin"/>
          <w:lang w:bidi="fa-IR"/>
          <w:color w:val="111111"/>
          <w:sz w:val="28"/>
          <w:szCs w:val="28"/>
          <w:rtl/>
        </w:rPr>
        <w:t xml:space="preserve">1096ه-</w:t>
      </w:r>
    </w:p>
    <w:p>
      <w:pPr>
        <w:pStyle w:val="BookText"/>
      </w:pPr>
      <w:r>
        <w:rPr>
          <w:rFonts w:ascii="Amiri" w:hAnsi="Amiri" w:eastAsia="Amiri" w:cs="Amiri"/>
          <w:lang w:bidi="ar-SA"/>
          <w:color w:val="111111"/>
          <w:sz w:val="28"/>
          <w:szCs w:val="28"/>
          <w:rtl/>
        </w:rPr>
        <w:t xml:space="preserve">1 .الاقتداء بالامام من داخل الكعبة و</w:t>
      </w:r>
    </w:p>
    <w:p>
      <w:pPr>
        <w:pStyle w:val="BookText"/>
      </w:pPr>
      <w:r>
        <w:rPr>
          <w:rFonts w:ascii="IRNazanin" w:hAnsi="IRNazanin" w:eastAsia="IRNazanin" w:cs="IRNazanin"/>
          <w:lang w:bidi="fa-IR"/>
          <w:color w:val="111111"/>
          <w:sz w:val="28"/>
          <w:szCs w:val="28"/>
          <w:rtl/>
        </w:rPr>
        <w:t xml:space="preserve">الباب مفتوح، ج 2، ص 611 .</w:t>
      </w:r>
    </w:p>
    <w:p>
      <w:pPr>
        <w:pStyle w:val="BookText"/>
      </w:pPr>
      <w:r>
        <w:rPr>
          <w:rFonts w:ascii="Amiri" w:hAnsi="Amiri" w:eastAsia="Amiri" w:cs="Amiri"/>
          <w:lang w:bidi="ar-SA"/>
          <w:color w:val="111111"/>
          <w:sz w:val="28"/>
          <w:szCs w:val="28"/>
          <w:rtl/>
        </w:rPr>
        <w:t xml:space="preserve">2 .عمدة ذوي الالباب والبصائر لحل</w:t>
      </w:r>
    </w:p>
    <w:p>
      <w:pPr>
        <w:pStyle w:val="BookText"/>
      </w:pPr>
      <w:r>
        <w:rPr>
          <w:rFonts w:ascii="IRNazanin" w:hAnsi="IRNazanin" w:eastAsia="IRNazanin" w:cs="IRNazanin"/>
          <w:lang w:bidi="fa-IR"/>
          <w:color w:val="111111"/>
          <w:sz w:val="28"/>
          <w:szCs w:val="28"/>
          <w:rtl/>
        </w:rPr>
        <w:t xml:space="preserve">مبهمات الاشباه والنظائر، ج11،</w:t>
      </w:r>
    </w:p>
    <w:p>
      <w:pPr>
        <w:pStyle w:val="BookText"/>
      </w:pPr>
      <w:r>
        <w:rPr>
          <w:rFonts w:ascii="IRNazanin" w:hAnsi="IRNazanin" w:eastAsia="IRNazanin" w:cs="IRNazanin"/>
          <w:lang w:bidi="fa-IR"/>
          <w:color w:val="111111"/>
          <w:sz w:val="28"/>
          <w:szCs w:val="28"/>
          <w:rtl/>
        </w:rPr>
        <w:t xml:space="preserve">ص 291</w:t>
      </w:r>
    </w:p>
    <w:p>
      <w:pPr>
        <w:pStyle w:val="BookText"/>
      </w:pPr>
      <w:r>
        <w:rPr>
          <w:rFonts w:ascii="Amiri" w:hAnsi="Amiri" w:eastAsia="Amiri" w:cs="Amiri"/>
          <w:lang w:bidi="ar-SA"/>
          <w:color w:val="111111"/>
          <w:sz w:val="28"/>
          <w:szCs w:val="28"/>
          <w:rtl/>
        </w:rPr>
        <w:t xml:space="preserve">عبدالحي</w:t>
      </w:r>
    </w:p>
    <w:p>
      <w:pPr>
        <w:pStyle w:val="BookText"/>
      </w:pPr>
      <w:r>
        <w:rPr>
          <w:rFonts w:ascii="Amiri" w:hAnsi="Amiri" w:eastAsia="Amiri" w:cs="Amiri"/>
          <w:lang w:bidi="ar-SA"/>
          <w:color w:val="111111"/>
          <w:sz w:val="28"/>
          <w:szCs w:val="28"/>
          <w:rtl/>
        </w:rPr>
        <w:t xml:space="preserve">تئودوسيوس- ثاودوسيوس</w:t>
      </w:r>
    </w:p>
    <w:p>
      <w:pPr>
        <w:pStyle w:val="BookText"/>
      </w:pPr>
      <w:r>
        <w:rPr>
          <w:rFonts w:ascii="IRNazanin" w:hAnsi="IRNazanin" w:eastAsia="IRNazanin" w:cs="IRNazanin"/>
          <w:lang w:bidi="fa-IR"/>
          <w:color w:val="111111"/>
          <w:sz w:val="28"/>
          <w:szCs w:val="28"/>
          <w:rtl/>
        </w:rPr>
        <w:t xml:space="preserve">تائب ، احمد بن عثمان- عثمان زاده</w:t>
      </w:r>
    </w:p>
    <w:p>
      <w:pPr>
        <w:pStyle w:val="BookText"/>
      </w:pPr>
      <w:r>
        <w:rPr>
          <w:rFonts w:ascii="IRNazanin" w:hAnsi="IRNazanin" w:eastAsia="IRNazanin" w:cs="IRNazanin"/>
          <w:lang w:bidi="fa-IR"/>
          <w:color w:val="111111"/>
          <w:sz w:val="28"/>
          <w:szCs w:val="28"/>
          <w:rtl/>
        </w:rPr>
        <w:t xml:space="preserve">احمد تائب بن عثمان</w:t>
      </w:r>
    </w:p>
    <w:p>
      <w:pPr>
        <w:pStyle w:val="Heading2"/>
      </w:pPr>
      <w:bookmarkStart w:id="3035" w:name="_Toc2137"/>
      <w:r>
        <w:t>تائب ، اسماعيل بن مصطفى، - 1214 ه-</w:t>
      </w:r>
      <w:bookmarkEnd w:id="3035"/>
    </w:p>
    <w:p>
      <w:pPr>
        <w:pStyle w:val="BookText"/>
      </w:pPr>
      <w:r>
        <w:rPr>
          <w:rFonts w:ascii="Amiri" w:hAnsi="Amiri" w:eastAsia="Amiri" w:cs="Amiri"/>
          <w:lang w:bidi="ar-SA"/>
          <w:color w:val="111111"/>
          <w:sz w:val="28"/>
          <w:szCs w:val="28"/>
          <w:rtl/>
        </w:rPr>
        <w:t xml:space="preserve">التصديق (رسالة في)، ج4، ص 401.</w:t>
      </w:r>
    </w:p>
    <w:p>
      <w:pPr>
        <w:pStyle w:val="Heading2"/>
      </w:pPr>
      <w:bookmarkStart w:id="3036" w:name="_Toc2138"/>
      <w:r>
        <w:t>تائب تبريزي، اسماعيل بن حسين</w:t>
      </w:r>
      <w:bookmarkEnd w:id="3036"/>
    </w:p>
    <w:p>
      <w:pPr>
        <w:pStyle w:val="BookText"/>
      </w:pPr>
      <w:r>
        <w:rPr>
          <w:rFonts w:ascii="IRNazanin" w:hAnsi="IRNazanin" w:eastAsia="IRNazanin" w:cs="IRNazanin"/>
          <w:lang w:bidi="fa-IR"/>
          <w:color w:val="111111"/>
          <w:sz w:val="28"/>
          <w:szCs w:val="28"/>
          <w:rtl/>
        </w:rPr>
        <w:t xml:space="preserve">1374ه-</w:t>
      </w:r>
    </w:p>
    <w:p>
      <w:pPr>
        <w:pStyle w:val="BookText"/>
      </w:pPr>
      <w:r>
        <w:rPr>
          <w:rFonts w:ascii="Amiri" w:hAnsi="Amiri" w:eastAsia="Amiri" w:cs="Amiri"/>
          <w:lang w:bidi="ar-SA"/>
          <w:color w:val="111111"/>
          <w:sz w:val="28"/>
          <w:szCs w:val="28"/>
          <w:rtl/>
        </w:rPr>
        <w:t xml:space="preserve">البلاغ المبين = معارضات مودت نامه</w:t>
      </w:r>
    </w:p>
    <w:p>
      <w:pPr>
        <w:pStyle w:val="BookText"/>
      </w:pPr>
      <w:r>
        <w:rPr>
          <w:rFonts w:ascii="IRNazanin" w:hAnsi="IRNazanin" w:eastAsia="IRNazanin" w:cs="IRNazanin"/>
          <w:lang w:bidi="fa-IR"/>
          <w:color w:val="111111"/>
          <w:sz w:val="28"/>
          <w:szCs w:val="28"/>
          <w:rtl/>
        </w:rPr>
        <w:t xml:space="preserve">ج 3، ص 387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2" w:name="pg7742_69969"/>
    <w:bookmarkEnd w:id="292"/>
    <w:p>
      <w:pPr>
        <w:pStyle w:val="Heading2"/>
      </w:pPr>
      <w:bookmarkStart w:id="3037" w:name="_Toc2139"/>
      <w:r>
        <w:t>تاج الدين اسفرايني ، محمّد بن محمّد -</w:t>
      </w:r>
      <w:bookmarkEnd w:id="3037"/>
    </w:p>
    <w:p>
      <w:pPr>
        <w:pStyle w:val="BookText"/>
      </w:pPr>
      <w:r>
        <w:rPr>
          <w:rFonts w:ascii="IRNazanin" w:hAnsi="IRNazanin" w:eastAsia="IRNazanin" w:cs="IRNazanin"/>
          <w:lang w:bidi="fa-IR"/>
          <w:color w:val="111111"/>
          <w:sz w:val="28"/>
          <w:szCs w:val="28"/>
          <w:rtl/>
        </w:rPr>
        <w:t xml:space="preserve">684 ه-</w:t>
      </w:r>
    </w:p>
    <w:p>
      <w:pPr>
        <w:pStyle w:val="BookText"/>
      </w:pPr>
      <w:r>
        <w:rPr>
          <w:rFonts w:ascii="IRNazanin" w:hAnsi="IRNazanin" w:eastAsia="IRNazanin" w:cs="IRNazanin"/>
          <w:lang w:bidi="fa-IR"/>
          <w:color w:val="111111"/>
          <w:sz w:val="28"/>
          <w:szCs w:val="28"/>
          <w:rtl/>
        </w:rPr>
        <w:t xml:space="preserve">1 .شرح آداب البحث، ج 9، ص 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ضوء المصباح، ج 10، ص 701.</w:t>
      </w:r>
    </w:p>
    <w:p>
      <w:pPr>
        <w:pStyle w:val="BookText"/>
      </w:pPr>
      <w:r>
        <w:rPr>
          <w:rFonts w:ascii="Amiri" w:hAnsi="Amiri" w:eastAsia="Amiri" w:cs="Amiri"/>
          <w:lang w:bidi="ar-SA"/>
          <w:color w:val="111111"/>
          <w:sz w:val="28"/>
          <w:szCs w:val="28"/>
          <w:rtl/>
        </w:rPr>
        <w:t xml:space="preserve">3 .اللباب في علم الاعراب، ج 13،</w:t>
      </w:r>
    </w:p>
    <w:p>
      <w:pPr>
        <w:pStyle w:val="BookText"/>
      </w:pPr>
      <w:r>
        <w:rPr>
          <w:rFonts w:ascii="IRNazanin" w:hAnsi="IRNazanin" w:eastAsia="IRNazanin" w:cs="IRNazanin"/>
          <w:lang w:bidi="fa-IR"/>
          <w:color w:val="111111"/>
          <w:sz w:val="28"/>
          <w:szCs w:val="28"/>
          <w:rtl/>
        </w:rPr>
        <w:t xml:space="preserve">ص 549.</w:t>
      </w:r>
    </w:p>
    <w:p>
      <w:pPr>
        <w:pStyle w:val="BookText"/>
      </w:pPr>
      <w:r>
        <w:rPr>
          <w:rFonts w:ascii="Amiri" w:hAnsi="Amiri" w:eastAsia="Amiri" w:cs="Amiri"/>
          <w:lang w:bidi="ar-SA"/>
          <w:color w:val="111111"/>
          <w:sz w:val="28"/>
          <w:szCs w:val="28"/>
          <w:rtl/>
        </w:rPr>
        <w:t xml:space="preserve">تاج الدين بن زكريا نقشبندي- عثماني ،</w:t>
      </w:r>
    </w:p>
    <w:p>
      <w:pPr>
        <w:pStyle w:val="BookText"/>
      </w:pPr>
      <w:r>
        <w:rPr>
          <w:rFonts w:ascii="Amiri" w:hAnsi="Amiri" w:eastAsia="Amiri" w:cs="Amiri"/>
          <w:lang w:bidi="ar-SA"/>
          <w:color w:val="111111"/>
          <w:sz w:val="28"/>
          <w:szCs w:val="28"/>
          <w:rtl/>
        </w:rPr>
        <w:t xml:space="preserve">تاج الدين بن زكريا</w:t>
      </w:r>
    </w:p>
    <w:p>
      <w:pPr>
        <w:pStyle w:val="BookText"/>
      </w:pPr>
      <w:r>
        <w:rPr>
          <w:rFonts w:ascii="Amiri" w:hAnsi="Amiri" w:eastAsia="Amiri" w:cs="Amiri"/>
          <w:lang w:bidi="ar-SA"/>
          <w:color w:val="111111"/>
          <w:sz w:val="28"/>
          <w:szCs w:val="28"/>
          <w:rtl/>
        </w:rPr>
        <w:t xml:space="preserve">تاج الدين بن محمّد باقي مهدي الزمان- عثماني ، تاج الدين بن زكريا</w:t>
      </w:r>
    </w:p>
    <w:p>
      <w:pPr>
        <w:pStyle w:val="BookText"/>
      </w:pPr>
      <w:r>
        <w:rPr>
          <w:rFonts w:ascii="Amiri" w:hAnsi="Amiri" w:eastAsia="Amiri" w:cs="Amiri"/>
          <w:lang w:bidi="ar-SA"/>
          <w:color w:val="111111"/>
          <w:sz w:val="28"/>
          <w:szCs w:val="28"/>
          <w:rtl/>
        </w:rPr>
        <w:t xml:space="preserve">تاج الدين بن محمّد بن ابراهيم هاشمي- هاشمي ، تاج الدين بن محمّد</w:t>
      </w:r>
    </w:p>
    <w:p>
      <w:pPr>
        <w:pStyle w:val="BookText"/>
      </w:pPr>
      <w:r>
        <w:rPr>
          <w:rFonts w:ascii="Amiri" w:hAnsi="Amiri" w:eastAsia="Amiri" w:cs="Amiri"/>
          <w:lang w:bidi="ar-SA"/>
          <w:color w:val="111111"/>
          <w:sz w:val="28"/>
          <w:szCs w:val="28"/>
          <w:rtl/>
        </w:rPr>
        <w:t xml:space="preserve">تاج الدين بن محمّد بن زهرة حسيني- ابن زهرة ، تاج الدين بن محمّد</w:t>
      </w:r>
    </w:p>
    <w:p>
      <w:pPr>
        <w:pStyle w:val="Heading2"/>
      </w:pPr>
      <w:bookmarkStart w:id="3038" w:name="_Toc2140"/>
      <w:r>
        <w:t>تاج الدين حلي حسن بن محمّد قرن 9ه-</w:t>
      </w:r>
      <w:bookmarkEnd w:id="3038"/>
    </w:p>
    <w:p>
      <w:pPr>
        <w:pStyle w:val="BookText"/>
      </w:pPr>
      <w:r>
        <w:rPr>
          <w:rFonts w:ascii="Amiri" w:hAnsi="Amiri" w:eastAsia="Amiri" w:cs="Amiri"/>
          <w:lang w:bidi="ar-SA"/>
          <w:color w:val="111111"/>
          <w:sz w:val="28"/>
          <w:szCs w:val="28"/>
          <w:rtl/>
        </w:rPr>
        <w:t xml:space="preserve">1 .الجمانة البهية في نظم الرسالة</w:t>
      </w:r>
    </w:p>
    <w:p>
      <w:pPr>
        <w:pStyle w:val="BookText"/>
      </w:pPr>
      <w:r>
        <w:rPr>
          <w:rFonts w:ascii="Amiri" w:hAnsi="Amiri" w:eastAsia="Amiri" w:cs="Amiri"/>
          <w:lang w:bidi="ar-SA"/>
          <w:color w:val="111111"/>
          <w:sz w:val="28"/>
          <w:szCs w:val="28"/>
          <w:rtl/>
        </w:rPr>
        <w:t xml:space="preserve">الالفية، ج 5، ص 423. . حكايات، ج 6 ، ص718.</w:t>
      </w:r>
    </w:p>
    <w:p>
      <w:pPr>
        <w:pStyle w:val="Heading2"/>
      </w:pPr>
      <w:bookmarkStart w:id="3039" w:name="_Toc2141"/>
      <w:r>
        <w:t>تاج الدين حنفي، 1160 ه-</w:t>
      </w:r>
      <w:bookmarkEnd w:id="3039"/>
    </w:p>
    <w:p>
      <w:pPr>
        <w:pStyle w:val="BookText"/>
      </w:pPr>
      <w:r>
        <w:rPr>
          <w:rFonts w:ascii="Amiri" w:hAnsi="Amiri" w:eastAsia="Amiri" w:cs="Amiri"/>
          <w:lang w:bidi="ar-SA"/>
          <w:color w:val="111111"/>
          <w:sz w:val="28"/>
          <w:szCs w:val="28"/>
          <w:rtl/>
        </w:rPr>
        <w:t xml:space="preserve">الرسالة التاجية في الطريقة</w:t>
      </w:r>
    </w:p>
    <w:p>
      <w:pPr>
        <w:pStyle w:val="BookText"/>
      </w:pPr>
      <w:r>
        <w:rPr>
          <w:rFonts w:ascii="Amiri" w:hAnsi="Amiri" w:eastAsia="Amiri" w:cs="Amiri"/>
          <w:lang w:bidi="ar-SA"/>
          <w:color w:val="111111"/>
          <w:sz w:val="28"/>
          <w:szCs w:val="28"/>
          <w:rtl/>
        </w:rPr>
        <w:t xml:space="preserve">النقشبندية، ج8، ص178.</w:t>
      </w:r>
    </w:p>
    <w:p>
      <w:pPr>
        <w:pStyle w:val="BookText"/>
      </w:pPr>
      <w:r>
        <w:rPr>
          <w:rFonts w:ascii="Amiri" w:hAnsi="Amiri" w:eastAsia="Amiri" w:cs="Amiri"/>
          <w:lang w:bidi="ar-SA"/>
          <w:color w:val="111111"/>
          <w:sz w:val="28"/>
          <w:szCs w:val="28"/>
          <w:rtl/>
        </w:rPr>
        <w:t xml:space="preserve">تاج الدين سعيدي ، ابوالفتح- تاج</w:t>
      </w:r>
    </w:p>
    <w:p>
      <w:pPr>
        <w:pStyle w:val="BookText"/>
      </w:pPr>
      <w:r>
        <w:rPr>
          <w:rFonts w:ascii="Amiri" w:hAnsi="Amiri" w:eastAsia="Amiri" w:cs="Amiri"/>
          <w:lang w:bidi="ar-SA"/>
          <w:color w:val="111111"/>
          <w:sz w:val="28"/>
          <w:szCs w:val="28"/>
          <w:rtl/>
        </w:rPr>
        <w:t xml:space="preserve">السعيدي، محمّد بن ابي سعيد</w:t>
      </w:r>
    </w:p>
    <w:p>
      <w:pPr>
        <w:pStyle w:val="BookText"/>
      </w:pPr>
      <w:r>
        <w:rPr>
          <w:rFonts w:ascii="Amiri" w:hAnsi="Amiri" w:eastAsia="Amiri" w:cs="Amiri"/>
          <w:lang w:bidi="ar-SA"/>
          <w:color w:val="111111"/>
          <w:sz w:val="28"/>
          <w:szCs w:val="28"/>
          <w:rtl/>
        </w:rPr>
        <w:t xml:space="preserve">تاج الدين سنبهلي -عثماني ، تاج الدين بن</w:t>
      </w:r>
    </w:p>
    <w:p>
      <w:pPr>
        <w:pStyle w:val="BookText"/>
      </w:pPr>
      <w:r>
        <w:rPr>
          <w:rFonts w:ascii="IRNazanin" w:hAnsi="IRNazanin" w:eastAsia="IRNazanin" w:cs="IRNazanin"/>
          <w:lang w:bidi="fa-IR"/>
          <w:color w:val="111111"/>
          <w:sz w:val="28"/>
          <w:szCs w:val="28"/>
          <w:rtl/>
        </w:rPr>
        <w:t xml:space="preserve">زکریا</w:t>
      </w:r>
    </w:p>
    <w:p>
      <w:pPr>
        <w:pStyle w:val="BookText"/>
      </w:pPr>
      <w:r>
        <w:rPr>
          <w:rFonts w:ascii="Amiri" w:hAnsi="Amiri" w:eastAsia="Amiri" w:cs="Amiri"/>
          <w:lang w:bidi="ar-SA"/>
          <w:color w:val="111111"/>
          <w:sz w:val="28"/>
          <w:szCs w:val="28"/>
          <w:rtl/>
        </w:rPr>
        <w:t xml:space="preserve">تاج الدين عثماني ، تاج الدين بن</w:t>
      </w:r>
    </w:p>
    <w:p>
      <w:pPr>
        <w:pStyle w:val="BookText"/>
      </w:pPr>
      <w:r>
        <w:rPr>
          <w:rFonts w:ascii="Amiri" w:hAnsi="Amiri" w:eastAsia="Amiri" w:cs="Amiri"/>
          <w:lang w:bidi="ar-SA"/>
          <w:color w:val="111111"/>
          <w:sz w:val="28"/>
          <w:szCs w:val="28"/>
          <w:rtl/>
        </w:rPr>
        <w:t xml:space="preserve">زكريا- عثماني ، تاج الدين بن زكريا</w:t>
      </w:r>
    </w:p>
    <w:p>
      <w:pPr>
        <w:pStyle w:val="BookText"/>
      </w:pPr>
      <w:r>
        <w:rPr>
          <w:rFonts w:ascii="Amiri" w:hAnsi="Amiri" w:eastAsia="Amiri" w:cs="Amiri"/>
          <w:lang w:bidi="ar-SA"/>
          <w:color w:val="111111"/>
          <w:sz w:val="28"/>
          <w:szCs w:val="28"/>
          <w:rtl/>
        </w:rPr>
        <w:t xml:space="preserve">تاج الدين كندي ، زيد بن حسن- كندي ،</w:t>
      </w:r>
    </w:p>
    <w:p>
      <w:pPr>
        <w:pStyle w:val="BookText"/>
      </w:pPr>
      <w:r>
        <w:rPr>
          <w:rFonts w:ascii="IRNazanin" w:hAnsi="IRNazanin" w:eastAsia="IRNazanin" w:cs="IRNazanin"/>
          <w:lang w:bidi="fa-IR"/>
          <w:color w:val="111111"/>
          <w:sz w:val="28"/>
          <w:szCs w:val="28"/>
          <w:rtl/>
        </w:rPr>
        <w:t xml:space="preserve">زید بن حسن</w:t>
      </w:r>
    </w:p>
    <w:p>
      <w:pPr>
        <w:pStyle w:val="BookText"/>
      </w:pPr>
      <w:r>
        <w:rPr>
          <w:rFonts w:ascii="Amiri" w:hAnsi="Amiri" w:eastAsia="Amiri" w:cs="Amiri"/>
          <w:lang w:bidi="ar-SA"/>
          <w:color w:val="111111"/>
          <w:sz w:val="28"/>
          <w:szCs w:val="28"/>
          <w:rtl/>
        </w:rPr>
        <w:t xml:space="preserve">تاج الدين هراس كازروني- كازروني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3040" w:name="_Toc2142"/>
      <w:r>
        <w:t>تاج السعيدي، محمّد بن ابي سعيد -</w:t>
      </w:r>
      <w:bookmarkEnd w:id="3040"/>
    </w:p>
    <w:p>
      <w:pPr>
        <w:pStyle w:val="BookText"/>
      </w:pPr>
      <w:r>
        <w:rPr>
          <w:rFonts w:ascii="IRNazanin" w:hAnsi="IRNazanin" w:eastAsia="IRNazanin" w:cs="IRNazanin"/>
          <w:lang w:bidi="fa-IR"/>
          <w:color w:val="111111"/>
          <w:sz w:val="28"/>
          <w:szCs w:val="28"/>
          <w:rtl/>
        </w:rPr>
        <w:t xml:space="preserve">950؟ ه-</w:t>
      </w:r>
    </w:p>
    <w:p>
      <w:pPr>
        <w:pStyle w:val="BookText"/>
      </w:pPr>
      <w:r>
        <w:rPr>
          <w:rFonts w:ascii="Amiri" w:hAnsi="Amiri" w:eastAsia="Amiri" w:cs="Amiri"/>
          <w:lang w:bidi="ar-SA"/>
          <w:color w:val="111111"/>
          <w:sz w:val="28"/>
          <w:szCs w:val="28"/>
          <w:rtl/>
        </w:rPr>
        <w:t xml:space="preserve">1 .حاشية حاشية الدواني على تهذيب</w:t>
      </w:r>
    </w:p>
    <w:p>
      <w:pPr>
        <w:pStyle w:val="BookText"/>
      </w:pPr>
      <w:r>
        <w:rPr>
          <w:rFonts w:ascii="IRNazanin" w:hAnsi="IRNazanin" w:eastAsia="IRNazanin" w:cs="IRNazanin"/>
          <w:lang w:bidi="fa-IR"/>
          <w:color w:val="111111"/>
          <w:sz w:val="28"/>
          <w:szCs w:val="28"/>
          <w:rtl/>
        </w:rPr>
        <w:t xml:space="preserve">المنطق، ج 5، ص 811</w:t>
      </w:r>
    </w:p>
    <w:p>
      <w:pPr>
        <w:pStyle w:val="BookText"/>
      </w:pPr>
      <w:r>
        <w:rPr>
          <w:rFonts w:ascii="Amiri" w:hAnsi="Amiri" w:eastAsia="Amiri" w:cs="Amiri"/>
          <w:lang w:bidi="ar-SA"/>
          <w:color w:val="111111"/>
          <w:sz w:val="28"/>
          <w:szCs w:val="28"/>
          <w:rtl/>
        </w:rPr>
        <w:t xml:space="preserve">2 .حاشية حاشية القوشجي في تقديم</w:t>
      </w:r>
    </w:p>
    <w:p>
      <w:pPr>
        <w:pStyle w:val="BookText"/>
      </w:pPr>
      <w:r>
        <w:rPr>
          <w:rFonts w:ascii="IRNazanin" w:hAnsi="IRNazanin" w:eastAsia="IRNazanin" w:cs="IRNazanin"/>
          <w:lang w:bidi="fa-IR"/>
          <w:color w:val="111111"/>
          <w:sz w:val="28"/>
          <w:szCs w:val="28"/>
          <w:rtl/>
        </w:rPr>
        <w:t xml:space="preserve">المسند، ج 5، ص 843.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آداب البحث السمرقندية، ج6، ص 15.</w:t>
      </w:r>
    </w:p>
    <w:p>
      <w:pPr>
        <w:pStyle w:val="BookText"/>
      </w:pPr>
      <w:r>
        <w:rPr>
          <w:rFonts w:ascii="Amiri" w:hAnsi="Amiri" w:eastAsia="Amiri" w:cs="Amiri"/>
          <w:lang w:bidi="ar-SA"/>
          <w:color w:val="111111"/>
          <w:sz w:val="28"/>
          <w:szCs w:val="28"/>
          <w:rtl/>
        </w:rPr>
        <w:t xml:space="preserve">4 .حاشية شرح اشكال التأسيس ج6،</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Amiri" w:hAnsi="Amiri" w:eastAsia="Amiri" w:cs="Amiri"/>
          <w:lang w:bidi="ar-SA"/>
          <w:color w:val="111111"/>
          <w:sz w:val="28"/>
          <w:szCs w:val="28"/>
          <w:rtl/>
        </w:rPr>
        <w:t xml:space="preserve">5 .حاشية شرح تجريد العقائد، ج 6،</w:t>
      </w:r>
    </w:p>
    <w:p>
      <w:pPr>
        <w:pStyle w:val="BookText"/>
      </w:pPr>
      <w:r>
        <w:rPr>
          <w:rFonts w:ascii="IRNazanin" w:hAnsi="IRNazanin" w:eastAsia="IRNazanin" w:cs="IRNazanin"/>
          <w:lang w:bidi="fa-IR"/>
          <w:color w:val="111111"/>
          <w:sz w:val="28"/>
          <w:szCs w:val="28"/>
          <w:rtl/>
        </w:rPr>
        <w:t xml:space="preserve">ص 64 .</w:t>
      </w:r>
    </w:p>
    <w:p>
      <w:pPr>
        <w:pStyle w:val="BookText"/>
      </w:pPr>
      <w:r>
        <w:rPr>
          <w:rFonts w:ascii="Amiri" w:hAnsi="Amiri" w:eastAsia="Amiri" w:cs="Amiri"/>
          <w:lang w:bidi="ar-SA"/>
          <w:color w:val="111111"/>
          <w:sz w:val="28"/>
          <w:szCs w:val="28"/>
          <w:rtl/>
        </w:rPr>
        <w:t xml:space="preserve">6 .شرح الفتحية، ج 9، ص 773.</w:t>
      </w:r>
    </w:p>
    <w:p>
      <w:pPr>
        <w:pStyle w:val="BookText"/>
      </w:pPr>
      <w:r>
        <w:rPr>
          <w:rFonts w:ascii="Amiri" w:hAnsi="Amiri" w:eastAsia="Amiri" w:cs="Amiri"/>
          <w:lang w:bidi="ar-SA"/>
          <w:color w:val="111111"/>
          <w:sz w:val="28"/>
          <w:szCs w:val="28"/>
          <w:rtl/>
        </w:rPr>
        <w:t xml:space="preserve">تاج الشريعة ، عبيد الله بن</w:t>
      </w:r>
    </w:p>
    <w:p>
      <w:pPr>
        <w:pStyle w:val="BookText"/>
      </w:pPr>
      <w:r>
        <w:rPr>
          <w:rFonts w:ascii="Amiri" w:hAnsi="Amiri" w:eastAsia="Amiri" w:cs="Amiri"/>
          <w:lang w:bidi="ar-SA"/>
          <w:color w:val="111111"/>
          <w:sz w:val="28"/>
          <w:szCs w:val="28"/>
          <w:rtl/>
        </w:rPr>
        <w:t xml:space="preserve">مسعود -صدر الشريعة الثاني ، عبيد الله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Amiri" w:hAnsi="Amiri" w:eastAsia="Amiri" w:cs="Amiri"/>
          <w:lang w:bidi="ar-SA"/>
          <w:color w:val="111111"/>
          <w:sz w:val="28"/>
          <w:szCs w:val="28"/>
          <w:rtl/>
        </w:rPr>
        <w:t xml:space="preserve">تاجر كاشاني ، محمّد تقي بن حسين -كاشاني ، محمّد تقي بن حسين</w:t>
      </w:r>
    </w:p>
    <w:p>
      <w:pPr>
        <w:pStyle w:val="Heading2"/>
      </w:pPr>
      <w:bookmarkStart w:id="3041" w:name="_Toc2143"/>
      <w:r>
        <w:t>تاجوري عبدالرحمن بن محمّد - 999ه-</w:t>
      </w:r>
      <w:bookmarkEnd w:id="3041"/>
    </w:p>
    <w:p>
      <w:pPr>
        <w:pStyle w:val="BookText"/>
      </w:pPr>
      <w:r>
        <w:rPr>
          <w:rFonts w:ascii="Amiri" w:hAnsi="Amiri" w:eastAsia="Amiri" w:cs="Amiri"/>
          <w:lang w:bidi="ar-SA"/>
          <w:color w:val="111111"/>
          <w:sz w:val="28"/>
          <w:szCs w:val="28"/>
          <w:rtl/>
        </w:rPr>
        <w:t xml:space="preserve">1 .شرح الرسالة الماردينية في العمل بالربع المجيب، ج 9، ص 551.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3" w:name="pg7742_69971"/>
    <w:bookmarkEnd w:id="29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وضع بيت الإبرة على الجهات الأربع (رسالة في)، ج 16، ص 827.</w:t>
      </w:r>
    </w:p>
    <w:p>
      <w:pPr>
        <w:pStyle w:val="Heading2"/>
      </w:pPr>
      <w:bookmarkStart w:id="3042" w:name="_Toc2144"/>
      <w:r>
        <w:t>تاجي ، محمّد بن محمّد - 1224 ه-</w:t>
      </w:r>
      <w:bookmarkEnd w:id="3042"/>
    </w:p>
    <w:p>
      <w:pPr>
        <w:pStyle w:val="BookText"/>
      </w:pPr>
      <w:r>
        <w:rPr>
          <w:rFonts w:ascii="Amiri" w:hAnsi="Amiri" w:eastAsia="Amiri" w:cs="Amiri"/>
          <w:lang w:bidi="ar-SA"/>
          <w:color w:val="111111"/>
          <w:sz w:val="28"/>
          <w:szCs w:val="28"/>
          <w:rtl/>
        </w:rPr>
        <w:t xml:space="preserve">شرح رسالة الوضع، ج 9، ص 553.</w:t>
      </w:r>
    </w:p>
    <w:p>
      <w:pPr>
        <w:pStyle w:val="BookText"/>
      </w:pPr>
      <w:r>
        <w:rPr>
          <w:rFonts w:ascii="Amiri" w:hAnsi="Amiri" w:eastAsia="Amiri" w:cs="Amiri"/>
          <w:lang w:bidi="ar-SA"/>
          <w:color w:val="111111"/>
          <w:sz w:val="28"/>
          <w:szCs w:val="28"/>
          <w:rtl/>
        </w:rPr>
        <w:t xml:space="preserve">تاجي ، يحيى بن عبدالرحمن- بعلبكي</w:t>
      </w:r>
    </w:p>
    <w:p>
      <w:pPr>
        <w:pStyle w:val="BookText"/>
      </w:pPr>
      <w:r>
        <w:rPr>
          <w:rFonts w:ascii="Amiri" w:hAnsi="Amiri" w:eastAsia="Amiri" w:cs="Amiri"/>
          <w:lang w:bidi="ar-SA"/>
          <w:color w:val="111111"/>
          <w:sz w:val="28"/>
          <w:szCs w:val="28"/>
          <w:rtl/>
        </w:rPr>
        <w:t xml:space="preserve">يحيى بن عبد الرحمن</w:t>
      </w:r>
    </w:p>
    <w:p>
      <w:pPr>
        <w:pStyle w:val="Heading2"/>
      </w:pPr>
      <w:bookmarkStart w:id="3043" w:name="_Toc2145"/>
      <w:r>
        <w:t>تاذفي ، محمّد بن يحيى 899 - 963 ه-</w:t>
      </w:r>
      <w:bookmarkEnd w:id="30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قلائد الجواهر [في] مناقب سيد</w:t>
      </w:r>
    </w:p>
    <w:p>
      <w:pPr>
        <w:pStyle w:val="BookText"/>
      </w:pPr>
      <w:r>
        <w:rPr>
          <w:rFonts w:ascii="IRNazanin" w:hAnsi="IRNazanin" w:eastAsia="IRNazanin" w:cs="IRNazanin"/>
          <w:lang w:bidi="fa-IR"/>
          <w:color w:val="111111"/>
          <w:sz w:val="28"/>
          <w:szCs w:val="28"/>
          <w:rtl/>
        </w:rPr>
        <w:t xml:space="preserve">عبد القادر، ج 12، ص 755.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كحل العيون النحل في مسألة الكحل (في المسألة النحوية)، ج13،</w:t>
      </w:r>
    </w:p>
    <w:p>
      <w:pPr>
        <w:pStyle w:val="BookText"/>
      </w:pPr>
      <w:r>
        <w:rPr>
          <w:rFonts w:ascii="IRNazanin" w:hAnsi="IRNazanin" w:eastAsia="IRNazanin" w:cs="IRNazanin"/>
          <w:lang w:bidi="fa-IR"/>
          <w:color w:val="111111"/>
          <w:sz w:val="28"/>
          <w:szCs w:val="28"/>
          <w:rtl/>
        </w:rPr>
        <w:t xml:space="preserve">ص150.</w:t>
      </w:r>
    </w:p>
    <w:p>
      <w:pPr>
        <w:pStyle w:val="BookText"/>
      </w:pPr>
      <w:r>
        <w:rPr>
          <w:rFonts w:ascii="Amiri" w:hAnsi="Amiri" w:eastAsia="Amiri" w:cs="Amiri"/>
          <w:lang w:bidi="ar-SA"/>
          <w:color w:val="111111"/>
          <w:sz w:val="28"/>
          <w:szCs w:val="28"/>
          <w:rtl/>
        </w:rPr>
        <w:t xml:space="preserve">3.المتصل و المنفصل (رسالة في)، ج 13،</w:t>
      </w:r>
    </w:p>
    <w:p>
      <w:pPr>
        <w:pStyle w:val="BookText"/>
      </w:pPr>
      <w:r>
        <w:rPr>
          <w:rFonts w:ascii="IRNazanin" w:hAnsi="IRNazanin" w:eastAsia="IRNazanin" w:cs="IRNazanin"/>
          <w:lang w:bidi="fa-IR"/>
          <w:color w:val="111111"/>
          <w:sz w:val="28"/>
          <w:szCs w:val="28"/>
          <w:rtl/>
        </w:rPr>
        <w:t xml:space="preserve">ص 752 .</w:t>
      </w:r>
    </w:p>
    <w:p>
      <w:pPr>
        <w:pStyle w:val="Heading2"/>
      </w:pPr>
      <w:bookmarkStart w:id="3044" w:name="_Toc2146"/>
      <w:r>
        <w:t>تازي ، عبدالله بن فارس 11 ه-</w:t>
      </w:r>
      <w:bookmarkEnd w:id="3044"/>
    </w:p>
    <w:p>
      <w:pPr>
        <w:pStyle w:val="BookText"/>
      </w:pPr>
      <w:r>
        <w:rPr>
          <w:rFonts w:ascii="Amiri" w:hAnsi="Amiri" w:eastAsia="Amiri" w:cs="Amiri"/>
          <w:lang w:bidi="ar-SA"/>
          <w:color w:val="111111"/>
          <w:sz w:val="28"/>
          <w:szCs w:val="28"/>
          <w:rtl/>
        </w:rPr>
        <w:t xml:space="preserve">النصيحة، ج 16، ص 311.</w:t>
      </w:r>
    </w:p>
    <w:p>
      <w:pPr>
        <w:pStyle w:val="Heading2"/>
      </w:pPr>
      <w:bookmarkStart w:id="3045" w:name="_Toc2147"/>
      <w:r>
        <w:t>تاشغب ، حسن</w:t>
      </w:r>
      <w:bookmarkEnd w:id="3045"/>
    </w:p>
    <w:p>
      <w:pPr>
        <w:pStyle w:val="BookText"/>
      </w:pPr>
      <w:r>
        <w:rPr>
          <w:rFonts w:ascii="Amiri" w:hAnsi="Amiri" w:eastAsia="Amiri" w:cs="Amiri"/>
          <w:lang w:bidi="ar-SA"/>
          <w:color w:val="111111"/>
          <w:sz w:val="28"/>
          <w:szCs w:val="28"/>
          <w:rtl/>
        </w:rPr>
        <w:t xml:space="preserve">رسائل متعددة، ج8، ص 150 .</w:t>
      </w:r>
    </w:p>
    <w:p>
      <w:pPr>
        <w:pStyle w:val="Heading2"/>
      </w:pPr>
      <w:bookmarkStart w:id="3046" w:name="_Toc2148"/>
      <w:r>
        <w:t>تافلاتي ، محمّد بن محمّد - 1191 ه-</w:t>
      </w:r>
      <w:bookmarkEnd w:id="3046"/>
    </w:p>
    <w:p>
      <w:pPr>
        <w:pStyle w:val="BookText"/>
      </w:pPr>
      <w:r>
        <w:rPr>
          <w:rFonts w:ascii="Amiri" w:hAnsi="Amiri" w:eastAsia="Amiri" w:cs="Amiri"/>
          <w:lang w:bidi="ar-SA"/>
          <w:color w:val="111111"/>
          <w:sz w:val="28"/>
          <w:szCs w:val="28"/>
          <w:rtl/>
        </w:rPr>
        <w:t xml:space="preserve">ايضاح الدلالات بحرمة استماع المنهي من الآلات، ج3، ص117</w:t>
      </w:r>
    </w:p>
    <w:p>
      <w:pPr>
        <w:pStyle w:val="Heading2"/>
      </w:pPr>
      <w:bookmarkStart w:id="3047" w:name="_Toc2149"/>
      <w:r>
        <w:t>تالجي ، محمّد بن موسى - 887 ه-</w:t>
      </w:r>
      <w:bookmarkEnd w:id="3047"/>
    </w:p>
    <w:p>
      <w:pPr>
        <w:pStyle w:val="BookText"/>
      </w:pPr>
      <w:r>
        <w:rPr>
          <w:rFonts w:ascii="Amiri" w:hAnsi="Amiri" w:eastAsia="Amiri" w:cs="Amiri"/>
          <w:lang w:bidi="ar-SA"/>
          <w:color w:val="111111"/>
          <w:sz w:val="28"/>
          <w:szCs w:val="28"/>
          <w:rtl/>
        </w:rPr>
        <w:t xml:space="preserve">1 .حاشية شرح الايساغوجي = حاشية</w:t>
      </w:r>
    </w:p>
    <w:p>
      <w:pPr>
        <w:pStyle w:val="BookText"/>
      </w:pPr>
      <w:r>
        <w:rPr>
          <w:rFonts w:ascii="Amiri" w:hAnsi="Amiri" w:eastAsia="Amiri" w:cs="Amiri"/>
          <w:lang w:bidi="ar-SA"/>
          <w:color w:val="111111"/>
          <w:sz w:val="28"/>
          <w:szCs w:val="28"/>
          <w:rtl/>
        </w:rPr>
        <w:t xml:space="preserve">التالجي، ج 6، ص 40.</w:t>
      </w:r>
    </w:p>
    <w:p>
      <w:pPr>
        <w:pStyle w:val="BookText"/>
      </w:pPr>
      <w:r>
        <w:rPr>
          <w:rFonts w:ascii="Amiri" w:hAnsi="Amiri" w:eastAsia="Amiri" w:cs="Amiri"/>
          <w:lang w:bidi="ar-SA"/>
          <w:color w:val="111111"/>
          <w:sz w:val="28"/>
          <w:szCs w:val="28"/>
          <w:rtl/>
        </w:rPr>
        <w:t xml:space="preserve">2 .شرح حكمة العين، ج 9، ص 421 .</w:t>
      </w:r>
    </w:p>
    <w:p>
      <w:pPr>
        <w:pStyle w:val="Heading2"/>
      </w:pPr>
      <w:bookmarkStart w:id="3048" w:name="_Toc2150"/>
      <w:r>
        <w:t>تالشي ، حسن بن حسين - 964 ه-</w:t>
      </w:r>
      <w:bookmarkEnd w:id="3048"/>
    </w:p>
    <w:p>
      <w:pPr>
        <w:pStyle w:val="BookText"/>
      </w:pPr>
      <w:r>
        <w:rPr>
          <w:rFonts w:ascii="Amiri" w:hAnsi="Amiri" w:eastAsia="Amiri" w:cs="Amiri"/>
          <w:lang w:bidi="ar-SA"/>
          <w:color w:val="111111"/>
          <w:sz w:val="28"/>
          <w:szCs w:val="28"/>
          <w:rtl/>
        </w:rPr>
        <w:t xml:space="preserve">1 .بحر الافكار = حاشية حاشية شرح</w:t>
      </w:r>
    </w:p>
    <w:p>
      <w:pPr>
        <w:pStyle w:val="BookText"/>
      </w:pPr>
      <w:r>
        <w:rPr>
          <w:rFonts w:ascii="Amiri" w:hAnsi="Amiri" w:eastAsia="Amiri" w:cs="Amiri"/>
          <w:lang w:bidi="ar-SA"/>
          <w:color w:val="111111"/>
          <w:sz w:val="28"/>
          <w:szCs w:val="28"/>
          <w:rtl/>
        </w:rPr>
        <w:t xml:space="preserve">عقائد النسفي، ج 3، ص 204.</w:t>
      </w:r>
    </w:p>
    <w:p>
      <w:pPr>
        <w:pStyle w:val="BookText"/>
      </w:pPr>
      <w:r>
        <w:rPr>
          <w:rFonts w:ascii="Amiri" w:hAnsi="Amiri" w:eastAsia="Amiri" w:cs="Amiri"/>
          <w:lang w:bidi="ar-SA"/>
          <w:color w:val="111111"/>
          <w:sz w:val="28"/>
          <w:szCs w:val="28"/>
          <w:rtl/>
        </w:rPr>
        <w:t xml:space="preserve">2 .حاشية شرح الايساغوجي، ج6،</w:t>
      </w:r>
    </w:p>
    <w:p>
      <w:pPr>
        <w:pStyle w:val="BookText"/>
      </w:pPr>
      <w:r>
        <w:rPr>
          <w:rFonts w:ascii="IRNazanin" w:hAnsi="IRNazanin" w:eastAsia="IRNazanin" w:cs="IRNazanin"/>
          <w:lang w:bidi="fa-IR"/>
          <w:color w:val="111111"/>
          <w:sz w:val="28"/>
          <w:szCs w:val="28"/>
          <w:rtl/>
        </w:rPr>
        <w:t xml:space="preserve">ص 44 .</w:t>
      </w:r>
    </w:p>
    <w:p>
      <w:pPr>
        <w:pStyle w:val="BookText"/>
      </w:pPr>
      <w:r>
        <w:rPr>
          <w:rFonts w:ascii="IRNazanin" w:hAnsi="IRNazanin" w:eastAsia="IRNazanin" w:cs="IRNazanin"/>
          <w:lang w:bidi="fa-IR"/>
          <w:color w:val="111111"/>
          <w:sz w:val="28"/>
          <w:szCs w:val="28"/>
          <w:rtl/>
        </w:rPr>
        <w:t xml:space="preserve">تاوفیطس رودنيس -قبرصي سينائي</w:t>
      </w:r>
    </w:p>
    <w:p>
      <w:pPr>
        <w:pStyle w:val="BookText"/>
      </w:pPr>
      <w:r>
        <w:rPr>
          <w:rFonts w:ascii="Amiri" w:hAnsi="Amiri" w:eastAsia="Amiri" w:cs="Amiri"/>
          <w:lang w:bidi="ar-SA"/>
          <w:color w:val="111111"/>
          <w:sz w:val="28"/>
          <w:szCs w:val="28"/>
          <w:rtl/>
        </w:rPr>
        <w:t xml:space="preserve">تاوفيطس رودنيس</w:t>
      </w:r>
    </w:p>
    <w:p>
      <w:pPr>
        <w:pStyle w:val="BookText"/>
      </w:pPr>
      <w:r>
        <w:rPr>
          <w:rFonts w:ascii="IRNazanin" w:hAnsi="IRNazanin" w:eastAsia="IRNazanin" w:cs="IRNazanin"/>
          <w:lang w:bidi="fa-IR"/>
          <w:color w:val="111111"/>
          <w:sz w:val="28"/>
          <w:szCs w:val="28"/>
          <w:rtl/>
        </w:rPr>
        <w:t xml:space="preserve">تاوکوزي ، عبد الرحيم - مولوي ،</w:t>
      </w:r>
    </w:p>
    <w:p>
      <w:pPr>
        <w:pStyle w:val="BookText"/>
      </w:pPr>
      <w:r>
        <w:rPr>
          <w:rFonts w:ascii="Amiri" w:hAnsi="Amiri" w:eastAsia="Amiri" w:cs="Amiri"/>
          <w:lang w:bidi="ar-SA"/>
          <w:color w:val="111111"/>
          <w:sz w:val="28"/>
          <w:szCs w:val="28"/>
          <w:rtl/>
        </w:rPr>
        <w:t xml:space="preserve">عبد الرحيم</w:t>
      </w:r>
    </w:p>
    <w:p>
      <w:pPr>
        <w:pStyle w:val="BookText"/>
      </w:pPr>
      <w:r>
        <w:rPr>
          <w:rFonts w:ascii="Amiri" w:hAnsi="Amiri" w:eastAsia="Amiri" w:cs="Amiri"/>
          <w:lang w:bidi="ar-SA"/>
          <w:color w:val="111111"/>
          <w:sz w:val="28"/>
          <w:szCs w:val="28"/>
          <w:rtl/>
        </w:rPr>
        <w:t xml:space="preserve">تايلوني ، محمّد بن علاء الدين طيلوني</w:t>
      </w:r>
    </w:p>
    <w:p>
      <w:pPr>
        <w:pStyle w:val="BookText"/>
      </w:pPr>
      <w:r>
        <w:rPr>
          <w:rFonts w:ascii="Amiri" w:hAnsi="Amiri" w:eastAsia="Amiri" w:cs="Amiri"/>
          <w:lang w:bidi="ar-SA"/>
          <w:color w:val="111111"/>
          <w:sz w:val="28"/>
          <w:szCs w:val="28"/>
          <w:rtl/>
        </w:rPr>
        <w:t xml:space="preserve">مصري -</w:t>
      </w:r>
    </w:p>
    <w:p>
      <w:pPr>
        <w:pStyle w:val="BookText"/>
      </w:pPr>
      <w:r>
        <w:rPr>
          <w:rFonts w:ascii="IRNazanin" w:hAnsi="IRNazanin" w:eastAsia="IRNazanin" w:cs="IRNazanin"/>
          <w:lang w:bidi="fa-IR"/>
          <w:color w:val="111111"/>
          <w:sz w:val="28"/>
          <w:szCs w:val="28"/>
          <w:rtl/>
        </w:rPr>
        <w:t xml:space="preserve">، محمّد بن علاء الدين تبريزي اصفهاني ، عبدالله بن عيسى بیگ- افندي ، عبدالله بن عیسی بیگ</w:t>
      </w:r>
    </w:p>
    <w:p>
      <w:pPr>
        <w:pStyle w:val="Heading2"/>
      </w:pPr>
      <w:bookmarkStart w:id="3049" w:name="_Toc2151"/>
      <w:r>
        <w:t>تبريزي اصفهاني ، محمّد کاظم بن شاه</w:t>
      </w:r>
      <w:bookmarkEnd w:id="3049"/>
    </w:p>
    <w:p>
      <w:pPr>
        <w:pStyle w:val="BookText"/>
      </w:pPr>
      <w:r>
        <w:rPr>
          <w:rFonts w:ascii="Amiri" w:hAnsi="Amiri" w:eastAsia="Amiri" w:cs="Amiri"/>
          <w:lang w:bidi="ar-SA"/>
          <w:color w:val="111111"/>
          <w:sz w:val="28"/>
          <w:szCs w:val="28"/>
          <w:rtl/>
        </w:rPr>
        <w:t xml:space="preserve">محمّد قرن 12 ه-</w:t>
      </w:r>
    </w:p>
    <w:p>
      <w:pPr>
        <w:pStyle w:val="BookText"/>
      </w:pPr>
      <w:r>
        <w:rPr>
          <w:rFonts w:ascii="IRNazanin" w:hAnsi="IRNazanin" w:eastAsia="IRNazanin" w:cs="IRNazanin"/>
          <w:lang w:bidi="fa-IR"/>
          <w:color w:val="111111"/>
          <w:sz w:val="28"/>
          <w:szCs w:val="28"/>
          <w:rtl/>
        </w:rPr>
        <w:t xml:space="preserve">حدیقه ازهار و انجمن انوار - ترجمه</w:t>
      </w:r>
    </w:p>
    <w:p>
      <w:pPr>
        <w:pStyle w:val="BookText"/>
      </w:pPr>
      <w:r>
        <w:rPr>
          <w:rFonts w:ascii="Amiri" w:hAnsi="Amiri" w:eastAsia="Amiri" w:cs="Amiri"/>
          <w:lang w:bidi="ar-SA"/>
          <w:color w:val="111111"/>
          <w:sz w:val="28"/>
          <w:szCs w:val="28"/>
          <w:rtl/>
        </w:rPr>
        <w:t xml:space="preserve">تفسير برهان ج6، ص 582.</w:t>
      </w:r>
    </w:p>
    <w:p>
      <w:pPr>
        <w:pStyle w:val="BookText"/>
      </w:pPr>
      <w:r>
        <w:rPr>
          <w:rFonts w:ascii="Amiri" w:hAnsi="Amiri" w:eastAsia="Amiri" w:cs="Amiri"/>
          <w:lang w:bidi="ar-SA"/>
          <w:color w:val="111111"/>
          <w:sz w:val="28"/>
          <w:szCs w:val="28"/>
          <w:rtl/>
        </w:rPr>
        <w:t xml:space="preserve">تبريزي، امير اسماعيل- فارابي تبريزي ،</w:t>
      </w:r>
    </w:p>
    <w:p>
      <w:pPr>
        <w:pStyle w:val="BookText"/>
      </w:pPr>
      <w:r>
        <w:rPr>
          <w:rFonts w:ascii="IRNazanin" w:hAnsi="IRNazanin" w:eastAsia="IRNazanin" w:cs="IRNazanin"/>
          <w:lang w:bidi="fa-IR"/>
          <w:color w:val="111111"/>
          <w:sz w:val="28"/>
          <w:szCs w:val="28"/>
          <w:rtl/>
        </w:rPr>
        <w:t xml:space="preserve">امیر اسماعيل بن حسين</w:t>
      </w:r>
    </w:p>
    <w:p>
      <w:pPr>
        <w:pStyle w:val="Heading2"/>
      </w:pPr>
      <w:bookmarkStart w:id="3050" w:name="_Toc2152"/>
      <w:r>
        <w:t>تبريزي بدرالدين بن ابي المعمر، قرن 7 ه-</w:t>
      </w:r>
      <w:bookmarkEnd w:id="3050"/>
    </w:p>
    <w:p>
      <w:pPr>
        <w:pStyle w:val="BookText"/>
      </w:pPr>
      <w:r>
        <w:rPr>
          <w:rFonts w:ascii="Amiri" w:hAnsi="Amiri" w:eastAsia="Amiri" w:cs="Amiri"/>
          <w:lang w:bidi="ar-SA"/>
          <w:color w:val="111111"/>
          <w:sz w:val="28"/>
          <w:szCs w:val="28"/>
          <w:rtl/>
        </w:rPr>
        <w:t xml:space="preserve">تحفة الاولياء و الاتقياء في ذكر سيد الاتقياء ومعرفة الخلفاء، ج 3، ص 813</w:t>
      </w:r>
    </w:p>
    <w:p>
      <w:pPr>
        <w:pStyle w:val="BookText"/>
      </w:pPr>
      <w:r>
        <w:rPr>
          <w:rFonts w:ascii="Amiri" w:hAnsi="Amiri" w:eastAsia="Amiri" w:cs="Amiri"/>
          <w:lang w:bidi="ar-SA"/>
          <w:color w:val="111111"/>
          <w:sz w:val="28"/>
          <w:szCs w:val="28"/>
          <w:rtl/>
        </w:rPr>
        <w:t xml:space="preserve">تبريزي ، جمال الدين محمود -شيرازي</w:t>
      </w:r>
    </w:p>
    <w:p>
      <w:pPr>
        <w:pStyle w:val="BookText"/>
      </w:pPr>
      <w:r>
        <w:rPr>
          <w:rFonts w:ascii="Amiri" w:hAnsi="Amiri" w:eastAsia="Amiri" w:cs="Amiri"/>
          <w:lang w:bidi="ar-SA"/>
          <w:color w:val="111111"/>
          <w:sz w:val="28"/>
          <w:szCs w:val="28"/>
          <w:rtl/>
        </w:rPr>
        <w:t xml:space="preserve">محمود بن يعقوب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4" w:name="pg7742_69973"/>
    <w:bookmarkEnd w:id="294"/>
    <w:p>
      <w:pPr>
        <w:pStyle w:val="BookText"/>
      </w:pPr>
      <w:r>
        <w:rPr>
          <w:rFonts w:ascii="Amiri" w:hAnsi="Amiri" w:eastAsia="Amiri" w:cs="Amiri"/>
          <w:lang w:bidi="ar-SA"/>
          <w:color w:val="111111"/>
          <w:sz w:val="28"/>
          <w:szCs w:val="28"/>
          <w:rtl/>
        </w:rPr>
        <w:t xml:space="preserve">تبريزي حائري، ابوالقاسم بن محمّد رضا -طباطبائي، ابوالقاسم بن محمّد رضا</w:t>
      </w:r>
    </w:p>
    <w:p>
      <w:pPr>
        <w:pStyle w:val="Heading2"/>
      </w:pPr>
      <w:bookmarkStart w:id="3051" w:name="_Toc2153"/>
      <w:r>
        <w:t>تبريزي ، حسن بن شرف - 790؟ ه-</w:t>
      </w:r>
      <w:bookmarkEnd w:id="3051"/>
    </w:p>
    <w:p>
      <w:pPr>
        <w:pStyle w:val="BookText"/>
      </w:pPr>
      <w:r>
        <w:rPr>
          <w:rFonts w:ascii="Amiri" w:hAnsi="Amiri" w:eastAsia="Amiri" w:cs="Amiri"/>
          <w:lang w:bidi="ar-SA"/>
          <w:color w:val="111111"/>
          <w:sz w:val="28"/>
          <w:szCs w:val="28"/>
          <w:rtl/>
        </w:rPr>
        <w:t xml:space="preserve">1 .البحار الزاخرة = منظومة درر</w:t>
      </w:r>
    </w:p>
    <w:p>
      <w:pPr>
        <w:pStyle w:val="BookText"/>
      </w:pPr>
      <w:r>
        <w:rPr>
          <w:rFonts w:ascii="IRNazanin" w:hAnsi="IRNazanin" w:eastAsia="IRNazanin" w:cs="IRNazanin"/>
          <w:lang w:bidi="fa-IR"/>
          <w:color w:val="111111"/>
          <w:sz w:val="28"/>
          <w:szCs w:val="28"/>
          <w:rtl/>
        </w:rPr>
        <w:t xml:space="preserve">البحار، ج 3، ص200.</w:t>
      </w:r>
    </w:p>
    <w:p>
      <w:pPr>
        <w:pStyle w:val="BookText"/>
      </w:pPr>
      <w:r>
        <w:rPr>
          <w:rFonts w:ascii="Amiri" w:hAnsi="Amiri" w:eastAsia="Amiri" w:cs="Amiri"/>
          <w:lang w:bidi="ar-SA"/>
          <w:color w:val="111111"/>
          <w:sz w:val="28"/>
          <w:szCs w:val="28"/>
          <w:rtl/>
        </w:rPr>
        <w:t xml:space="preserve">2 .دامغة المبتدعين وناصرة المهتدين</w:t>
      </w:r>
    </w:p>
    <w:p>
      <w:pPr>
        <w:pStyle w:val="BookText"/>
      </w:pPr>
      <w:r>
        <w:rPr>
          <w:rFonts w:ascii="Amiri" w:hAnsi="Amiri" w:eastAsia="Amiri" w:cs="Amiri"/>
          <w:lang w:bidi="ar-SA"/>
          <w:color w:val="111111"/>
          <w:sz w:val="28"/>
          <w:szCs w:val="28"/>
          <w:rtl/>
        </w:rPr>
        <w:t xml:space="preserve">في الرد على الدراويش في سجودهم لشيخهم الضالين، ج7،</w:t>
      </w:r>
    </w:p>
    <w:p>
      <w:pPr>
        <w:pStyle w:val="BookText"/>
      </w:pPr>
      <w:r>
        <w:rPr>
          <w:rFonts w:ascii="IRNazanin" w:hAnsi="IRNazanin" w:eastAsia="IRNazanin" w:cs="IRNazanin"/>
          <w:lang w:bidi="fa-IR"/>
          <w:color w:val="111111"/>
          <w:sz w:val="28"/>
          <w:szCs w:val="28"/>
          <w:rtl/>
        </w:rPr>
        <w:t xml:space="preserve">ص 212.</w:t>
      </w:r>
    </w:p>
    <w:p>
      <w:pPr>
        <w:pStyle w:val="BookText"/>
      </w:pPr>
      <w:r>
        <w:rPr>
          <w:rFonts w:ascii="Amiri" w:hAnsi="Amiri" w:eastAsia="Amiri" w:cs="Amiri"/>
          <w:lang w:bidi="ar-SA"/>
          <w:color w:val="111111"/>
          <w:sz w:val="28"/>
          <w:szCs w:val="28"/>
          <w:rtl/>
        </w:rPr>
        <w:t xml:space="preserve">تبريزي ، حسين بن محمّد- حسيني تبريزي</w:t>
      </w:r>
    </w:p>
    <w:p>
      <w:pPr>
        <w:pStyle w:val="BookText"/>
      </w:pPr>
      <w:r>
        <w:rPr>
          <w:rFonts w:ascii="Amiri" w:hAnsi="Amiri" w:eastAsia="Amiri" w:cs="Amiri"/>
          <w:lang w:bidi="ar-SA"/>
          <w:color w:val="111111"/>
          <w:sz w:val="28"/>
          <w:szCs w:val="28"/>
          <w:rtl/>
        </w:rPr>
        <w:t xml:space="preserve">، حسين بن محمّد</w:t>
      </w:r>
    </w:p>
    <w:p>
      <w:pPr>
        <w:pStyle w:val="Heading2"/>
      </w:pPr>
      <w:bookmarkStart w:id="3052" w:name="_Toc2154"/>
      <w:r>
        <w:t>تبريزي حلوائي، محمّد بن يوسف، قرن 9ه-</w:t>
      </w:r>
      <w:bookmarkEnd w:id="3052"/>
    </w:p>
    <w:p>
      <w:pPr>
        <w:pStyle w:val="BookText"/>
      </w:pPr>
      <w:r>
        <w:rPr>
          <w:rFonts w:ascii="Amiri" w:hAnsi="Amiri" w:eastAsia="Amiri" w:cs="Amiri"/>
          <w:lang w:bidi="ar-SA"/>
          <w:color w:val="111111"/>
          <w:sz w:val="28"/>
          <w:szCs w:val="28"/>
          <w:rtl/>
        </w:rPr>
        <w:t xml:space="preserve">شرح الكافية، ج 10، ص 34.</w:t>
      </w:r>
    </w:p>
    <w:p>
      <w:pPr>
        <w:pStyle w:val="Heading2"/>
      </w:pPr>
      <w:bookmarkStart w:id="3053" w:name="_Toc2155"/>
      <w:r>
        <w:t>تبريزي ، رجبعلي، - 1080 ه-</w:t>
      </w:r>
      <w:bookmarkEnd w:id="3053"/>
    </w:p>
    <w:p>
      <w:pPr>
        <w:pStyle w:val="BookText"/>
      </w:pPr>
      <w:r>
        <w:rPr>
          <w:rFonts w:ascii="Amiri" w:hAnsi="Amiri" w:eastAsia="Amiri" w:cs="Amiri"/>
          <w:lang w:bidi="ar-SA"/>
          <w:color w:val="111111"/>
          <w:sz w:val="28"/>
          <w:szCs w:val="28"/>
          <w:rtl/>
        </w:rPr>
        <w:t xml:space="preserve">اثبات الواجب = اشتراك لفظي وجود (رساله)، ج 1، ص 166.</w:t>
      </w:r>
    </w:p>
    <w:p>
      <w:pPr>
        <w:pStyle w:val="BookText"/>
      </w:pPr>
      <w:r>
        <w:rPr>
          <w:rFonts w:ascii="Amiri" w:hAnsi="Amiri" w:eastAsia="Amiri" w:cs="Amiri"/>
          <w:lang w:bidi="ar-SA"/>
          <w:color w:val="111111"/>
          <w:sz w:val="28"/>
          <w:szCs w:val="28"/>
          <w:rtl/>
        </w:rPr>
        <w:t xml:space="preserve">تبريزي رومي ، محمّد بن محمّد- حنفي</w:t>
      </w:r>
    </w:p>
    <w:p>
      <w:pPr>
        <w:pStyle w:val="BookText"/>
      </w:pPr>
      <w:r>
        <w:rPr>
          <w:rFonts w:ascii="IRNazanin" w:hAnsi="IRNazanin" w:eastAsia="IRNazanin" w:cs="IRNazanin"/>
          <w:lang w:bidi="fa-IR"/>
          <w:color w:val="111111"/>
          <w:sz w:val="28"/>
          <w:szCs w:val="28"/>
          <w:rtl/>
        </w:rPr>
        <w:t xml:space="preserve">تبريزي، شمس الدین محمّد</w:t>
      </w:r>
    </w:p>
    <w:p>
      <w:pPr>
        <w:pStyle w:val="Heading2"/>
      </w:pPr>
      <w:bookmarkStart w:id="3054" w:name="_Toc2156"/>
      <w:r>
        <w:t>تبريزي رياضي ، عباسعلي بن نجفعلي</w:t>
      </w:r>
      <w:bookmarkEnd w:id="3054"/>
    </w:p>
    <w:p>
      <w:pPr>
        <w:pStyle w:val="BookText"/>
      </w:pPr>
      <w:r>
        <w:rPr>
          <w:rFonts w:ascii="Amiri" w:hAnsi="Amiri" w:eastAsia="Amiri" w:cs="Amiri"/>
          <w:lang w:bidi="ar-SA"/>
          <w:color w:val="111111"/>
          <w:sz w:val="28"/>
          <w:szCs w:val="28"/>
          <w:rtl/>
        </w:rPr>
        <w:t xml:space="preserve">كشف الحقائق في حل الدقائق، ج13،</w:t>
      </w:r>
    </w:p>
    <w:p>
      <w:pPr>
        <w:pStyle w:val="BookText"/>
      </w:pPr>
      <w:r>
        <w:rPr>
          <w:rFonts w:ascii="IRNazanin" w:hAnsi="IRNazanin" w:eastAsia="IRNazanin" w:cs="IRNazanin"/>
          <w:lang w:bidi="fa-IR"/>
          <w:color w:val="111111"/>
          <w:sz w:val="28"/>
          <w:szCs w:val="28"/>
          <w:rtl/>
        </w:rPr>
        <w:t xml:space="preserve">ص 207 .</w:t>
      </w:r>
    </w:p>
    <w:p>
      <w:pPr>
        <w:pStyle w:val="Heading2"/>
      </w:pPr>
      <w:bookmarkStart w:id="3055" w:name="_Toc2157"/>
      <w:r>
        <w:t>تبريزي ، شرف الدين محمّد</w:t>
      </w:r>
      <w:bookmarkEnd w:id="3055"/>
    </w:p>
    <w:p>
      <w:pPr>
        <w:pStyle w:val="BookText"/>
      </w:pPr>
      <w:r>
        <w:rPr>
          <w:rFonts w:ascii="IRNazanin" w:hAnsi="IRNazanin" w:eastAsia="IRNazanin" w:cs="IRNazanin"/>
          <w:lang w:bidi="fa-IR"/>
          <w:color w:val="111111"/>
          <w:sz w:val="28"/>
          <w:szCs w:val="28"/>
          <w:rtl/>
        </w:rPr>
        <w:t xml:space="preserve">ص 50.</w:t>
      </w:r>
    </w:p>
    <w:p>
      <w:pPr>
        <w:pStyle w:val="BookText"/>
      </w:pPr>
      <w:r>
        <w:rPr>
          <w:rFonts w:ascii="Amiri" w:hAnsi="Amiri" w:eastAsia="Amiri" w:cs="Amiri"/>
          <w:lang w:bidi="ar-SA"/>
          <w:color w:val="111111"/>
          <w:sz w:val="28"/>
          <w:szCs w:val="28"/>
          <w:rtl/>
        </w:rPr>
        <w:t xml:space="preserve">1 .حاشية تحرير القواعد المنطقية في شرح الشمسية، ج 5، ص 729.</w:t>
      </w:r>
    </w:p>
    <w:p>
      <w:pPr>
        <w:pStyle w:val="BookText"/>
      </w:pPr>
      <w:r>
        <w:rPr>
          <w:rFonts w:ascii="Amiri" w:hAnsi="Amiri" w:eastAsia="Amiri" w:cs="Amiri"/>
          <w:lang w:bidi="ar-SA"/>
          <w:color w:val="111111"/>
          <w:sz w:val="28"/>
          <w:szCs w:val="28"/>
          <w:rtl/>
        </w:rPr>
        <w:t xml:space="preserve">2 .حاشية حاشية الجرجاني على تحرير القواعد المنطقية، ج 5، ص 786.</w:t>
      </w:r>
    </w:p>
    <w:p>
      <w:pPr>
        <w:pStyle w:val="BookText"/>
      </w:pPr>
      <w:r>
        <w:rPr>
          <w:rFonts w:ascii="Amiri" w:hAnsi="Amiri" w:eastAsia="Amiri" w:cs="Amiri"/>
          <w:lang w:bidi="ar-SA"/>
          <w:color w:val="111111"/>
          <w:sz w:val="28"/>
          <w:szCs w:val="28"/>
          <w:rtl/>
        </w:rPr>
        <w:t xml:space="preserve">تبريزي ، شريف بن رضا -شيرواني تبريزي ،</w:t>
      </w:r>
    </w:p>
    <w:p>
      <w:pPr>
        <w:pStyle w:val="BookText"/>
      </w:pPr>
      <w:r>
        <w:rPr>
          <w:rFonts w:ascii="Amiri" w:hAnsi="Amiri" w:eastAsia="Amiri" w:cs="Amiri"/>
          <w:lang w:bidi="ar-SA"/>
          <w:color w:val="111111"/>
          <w:sz w:val="28"/>
          <w:szCs w:val="28"/>
          <w:rtl/>
        </w:rPr>
        <w:t xml:space="preserve">شريف بن رضا</w:t>
      </w:r>
    </w:p>
    <w:p>
      <w:pPr>
        <w:pStyle w:val="BookText"/>
      </w:pPr>
      <w:r>
        <w:rPr>
          <w:rFonts w:ascii="Amiri" w:hAnsi="Amiri" w:eastAsia="Amiri" w:cs="Amiri"/>
          <w:lang w:bidi="ar-SA"/>
          <w:color w:val="111111"/>
          <w:sz w:val="28"/>
          <w:szCs w:val="28"/>
          <w:rtl/>
        </w:rPr>
        <w:t xml:space="preserve">تبريزي ، شمس الدين - عجمي ، شمس</w:t>
      </w:r>
    </w:p>
    <w:p>
      <w:pPr>
        <w:pStyle w:val="BookText"/>
      </w:pPr>
      <w:r>
        <w:rPr>
          <w:rFonts w:ascii="IRNazanin" w:hAnsi="IRNazanin" w:eastAsia="IRNazanin" w:cs="IRNazanin"/>
          <w:lang w:bidi="fa-IR"/>
          <w:color w:val="111111"/>
          <w:sz w:val="28"/>
          <w:szCs w:val="28"/>
          <w:rtl/>
        </w:rPr>
        <w:t xml:space="preserve">الدین احمد</w:t>
      </w:r>
    </w:p>
    <w:p>
      <w:pPr>
        <w:pStyle w:val="Heading2"/>
      </w:pPr>
      <w:bookmarkStart w:id="3056" w:name="_Toc2158"/>
      <w:r>
        <w:t>تبريزي ،شيرازي يار علي بن عبد الله، قرن 9 ه-</w:t>
      </w:r>
      <w:bookmarkEnd w:id="3056"/>
    </w:p>
    <w:p>
      <w:pPr>
        <w:pStyle w:val="BookText"/>
      </w:pPr>
      <w:r>
        <w:rPr>
          <w:rFonts w:ascii="Amiri" w:hAnsi="Amiri" w:eastAsia="Amiri" w:cs="Amiri"/>
          <w:lang w:bidi="ar-SA"/>
          <w:color w:val="111111"/>
          <w:sz w:val="28"/>
          <w:szCs w:val="28"/>
          <w:rtl/>
        </w:rPr>
        <w:t xml:space="preserve">اللمحات في شرح اللمعات، ج13،</w:t>
      </w:r>
    </w:p>
    <w:p>
      <w:pPr>
        <w:pStyle w:val="BookText"/>
      </w:pPr>
      <w:r>
        <w:rPr>
          <w:rFonts w:ascii="IRNazanin" w:hAnsi="IRNazanin" w:eastAsia="IRNazanin" w:cs="IRNazanin"/>
          <w:lang w:bidi="fa-IR"/>
          <w:color w:val="111111"/>
          <w:sz w:val="28"/>
          <w:szCs w:val="28"/>
          <w:rtl/>
        </w:rPr>
        <w:t xml:space="preserve">ص 609 .</w:t>
      </w:r>
    </w:p>
    <w:p>
      <w:pPr>
        <w:pStyle w:val="Heading2"/>
      </w:pPr>
      <w:bookmarkStart w:id="3057" w:name="_Toc2159"/>
      <w:r>
        <w:t>تبريزي، صادق بن محمّد - 1351 ه-</w:t>
      </w:r>
      <w:bookmarkEnd w:id="3057"/>
    </w:p>
    <w:p>
      <w:pPr>
        <w:pStyle w:val="BookText"/>
      </w:pPr>
      <w:r>
        <w:rPr>
          <w:rFonts w:ascii="Amiri" w:hAnsi="Amiri" w:eastAsia="Amiri" w:cs="Amiri"/>
          <w:lang w:bidi="ar-SA"/>
          <w:color w:val="111111"/>
          <w:sz w:val="28"/>
          <w:szCs w:val="28"/>
          <w:rtl/>
        </w:rPr>
        <w:t xml:space="preserve">المقالات الاصولية، ج 15، ص280</w:t>
      </w:r>
    </w:p>
    <w:p>
      <w:pPr>
        <w:pStyle w:val="BookText"/>
      </w:pPr>
      <w:r>
        <w:rPr>
          <w:rFonts w:ascii="IRNazanin" w:hAnsi="IRNazanin" w:eastAsia="IRNazanin" w:cs="IRNazanin"/>
          <w:lang w:bidi="fa-IR"/>
          <w:color w:val="111111"/>
          <w:sz w:val="28"/>
          <w:szCs w:val="28"/>
          <w:rtl/>
        </w:rPr>
        <w:t xml:space="preserve">تبريزي ، صدرالدين محمّد- صدرالدین</w:t>
      </w:r>
    </w:p>
    <w:p>
      <w:pPr>
        <w:pStyle w:val="BookText"/>
      </w:pPr>
      <w:r>
        <w:rPr>
          <w:rFonts w:ascii="Amiri" w:hAnsi="Amiri" w:eastAsia="Amiri" w:cs="Amiri"/>
          <w:lang w:bidi="ar-SA"/>
          <w:color w:val="111111"/>
          <w:sz w:val="28"/>
          <w:szCs w:val="28"/>
          <w:rtl/>
        </w:rPr>
        <w:t xml:space="preserve">تبريزي ، محمد بن محب علي</w:t>
      </w:r>
    </w:p>
    <w:p>
      <w:pPr>
        <w:pStyle w:val="BookText"/>
      </w:pPr>
      <w:r>
        <w:rPr>
          <w:rFonts w:ascii="Amiri" w:hAnsi="Amiri" w:eastAsia="Amiri" w:cs="Amiri"/>
          <w:lang w:bidi="ar-SA"/>
          <w:color w:val="111111"/>
          <w:sz w:val="28"/>
          <w:szCs w:val="28"/>
          <w:rtl/>
        </w:rPr>
        <w:t xml:space="preserve">تبريزي طباطبائي ، محمّد رفيع -نظام</w:t>
      </w:r>
    </w:p>
    <w:p>
      <w:pPr>
        <w:pStyle w:val="BookText"/>
      </w:pPr>
      <w:r>
        <w:rPr>
          <w:rFonts w:ascii="Amiri" w:hAnsi="Amiri" w:eastAsia="Amiri" w:cs="Amiri"/>
          <w:lang w:bidi="ar-SA"/>
          <w:color w:val="111111"/>
          <w:sz w:val="28"/>
          <w:szCs w:val="28"/>
          <w:rtl/>
        </w:rPr>
        <w:t xml:space="preserve">العلماء ، محمّد رفيع بن علي اصغر</w:t>
      </w:r>
    </w:p>
    <w:p>
      <w:pPr>
        <w:pStyle w:val="Heading2"/>
      </w:pPr>
      <w:bookmarkStart w:id="3058" w:name="_Toc2160"/>
      <w:r>
        <w:t>تبريزي ، عباسعلي، قرن 13 ه-</w:t>
      </w:r>
      <w:bookmarkEnd w:id="3058"/>
    </w:p>
    <w:p>
      <w:pPr>
        <w:pStyle w:val="BookText"/>
      </w:pPr>
      <w:r>
        <w:rPr>
          <w:rFonts w:ascii="Amiri" w:hAnsi="Amiri" w:eastAsia="Amiri" w:cs="Amiri"/>
          <w:lang w:bidi="ar-SA"/>
          <w:color w:val="111111"/>
          <w:sz w:val="28"/>
          <w:szCs w:val="28"/>
          <w:rtl/>
        </w:rPr>
        <w:t xml:space="preserve">فهرس الفاظ القرآن الكريم، ج12،</w:t>
      </w:r>
    </w:p>
    <w:p>
      <w:pPr>
        <w:pStyle w:val="BookText"/>
      </w:pPr>
      <w:r>
        <w:rPr>
          <w:rFonts w:ascii="IRNazanin" w:hAnsi="IRNazanin" w:eastAsia="IRNazanin" w:cs="IRNazanin"/>
          <w:lang w:bidi="fa-IR"/>
          <w:color w:val="111111"/>
          <w:sz w:val="28"/>
          <w:szCs w:val="28"/>
          <w:rtl/>
        </w:rPr>
        <w:t xml:space="preserve">ص 144.</w:t>
      </w:r>
    </w:p>
    <w:p>
      <w:pPr>
        <w:pStyle w:val="Heading2"/>
      </w:pPr>
      <w:bookmarkStart w:id="3059" w:name="_Toc2161"/>
      <w:r>
        <w:t>تبريزي عبد الله بن محمّدکاظم قرن 12ه-</w:t>
      </w:r>
      <w:bookmarkEnd w:id="3059"/>
    </w:p>
    <w:p>
      <w:pPr>
        <w:pStyle w:val="BookText"/>
      </w:pPr>
      <w:r>
        <w:rPr>
          <w:rFonts w:ascii="Amiri" w:hAnsi="Amiri" w:eastAsia="Amiri" w:cs="Amiri"/>
          <w:lang w:bidi="ar-SA"/>
          <w:color w:val="111111"/>
          <w:sz w:val="28"/>
          <w:szCs w:val="28"/>
          <w:rtl/>
        </w:rPr>
        <w:t xml:space="preserve">اهداء الاهبة في شرح النخبة، ج3،</w:t>
      </w:r>
    </w:p>
    <w:p>
      <w:pPr>
        <w:pStyle w:val="Heading2"/>
      </w:pPr>
      <w:bookmarkStart w:id="3060" w:name="_Toc2162"/>
      <w:r>
        <w:t>تبريزي ، علي</w:t>
      </w:r>
      <w:bookmarkEnd w:id="3060"/>
    </w:p>
    <w:p>
      <w:pPr>
        <w:pStyle w:val="BookText"/>
      </w:pPr>
      <w:r>
        <w:rPr>
          <w:rFonts w:ascii="Amiri" w:hAnsi="Amiri" w:eastAsia="Amiri" w:cs="Amiri"/>
          <w:lang w:bidi="ar-SA"/>
          <w:color w:val="111111"/>
          <w:sz w:val="28"/>
          <w:szCs w:val="28"/>
          <w:rtl/>
        </w:rPr>
        <w:t xml:space="preserve">الفقه الأكبر، ج 12، ص 94.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5" w:name="pg7742_69975"/>
    <w:bookmarkEnd w:id="295"/>
    <w:p>
      <w:pPr>
        <w:pStyle w:val="BookText"/>
      </w:pPr>
      <w:r>
        <w:rPr>
          <w:rFonts w:ascii="Amiri" w:hAnsi="Amiri" w:eastAsia="Amiri" w:cs="Amiri"/>
          <w:lang w:bidi="ar-SA"/>
          <w:color w:val="111111"/>
          <w:sz w:val="28"/>
          <w:szCs w:val="28"/>
          <w:rtl/>
        </w:rPr>
        <w:t xml:space="preserve">تبريزي ، علي بن اسماعيل -علاء الدين</w:t>
      </w:r>
    </w:p>
    <w:p>
      <w:pPr>
        <w:pStyle w:val="BookText"/>
      </w:pPr>
      <w:r>
        <w:rPr>
          <w:rFonts w:ascii="Amiri" w:hAnsi="Amiri" w:eastAsia="Amiri" w:cs="Amiri"/>
          <w:lang w:bidi="ar-SA"/>
          <w:color w:val="111111"/>
          <w:sz w:val="28"/>
          <w:szCs w:val="28"/>
          <w:rtl/>
        </w:rPr>
        <w:t xml:space="preserve">تبريزي ، علي بن اسماعيل</w:t>
      </w:r>
    </w:p>
    <w:p>
      <w:pPr>
        <w:pStyle w:val="Heading2"/>
      </w:pPr>
      <w:bookmarkStart w:id="3061" w:name="_Toc2163"/>
      <w:r>
        <w:t>تبريزي ، علي بن عبد الله، 677 - 746 ه-</w:t>
      </w:r>
      <w:bookmarkEnd w:id="3061"/>
    </w:p>
    <w:p>
      <w:pPr>
        <w:pStyle w:val="BookText"/>
      </w:pPr>
      <w:r>
        <w:rPr>
          <w:rFonts w:ascii="Amiri" w:hAnsi="Amiri" w:eastAsia="Amiri" w:cs="Amiri"/>
          <w:lang w:bidi="ar-SA"/>
          <w:color w:val="111111"/>
          <w:sz w:val="28"/>
          <w:szCs w:val="28"/>
          <w:rtl/>
        </w:rPr>
        <w:t xml:space="preserve">تذكرة الإخوان، ج 4، ص 176.</w:t>
      </w:r>
    </w:p>
    <w:p>
      <w:pPr>
        <w:pStyle w:val="BookText"/>
      </w:pPr>
      <w:r>
        <w:rPr>
          <w:rFonts w:ascii="Amiri" w:hAnsi="Amiri" w:eastAsia="Amiri" w:cs="Amiri"/>
          <w:lang w:bidi="ar-SA"/>
          <w:color w:val="111111"/>
          <w:sz w:val="28"/>
          <w:szCs w:val="28"/>
          <w:rtl/>
        </w:rPr>
        <w:t xml:space="preserve">تبريزي، غضنفر ابراهيم بن محمّد -غضنفر تبريزي ، ابراهيم بن محمّد</w:t>
      </w:r>
    </w:p>
    <w:p>
      <w:pPr>
        <w:pStyle w:val="Heading2"/>
      </w:pPr>
      <w:bookmarkStart w:id="3062" w:name="_Toc2164"/>
      <w:r>
        <w:t>تبريزي ، فرج الله بن محمّد، قرن 14 ه-</w:t>
      </w:r>
      <w:bookmarkEnd w:id="3062"/>
    </w:p>
    <w:p>
      <w:pPr>
        <w:pStyle w:val="BookText"/>
      </w:pPr>
      <w:r>
        <w:rPr>
          <w:rFonts w:ascii="IRNazanin" w:hAnsi="IRNazanin" w:eastAsia="IRNazanin" w:cs="IRNazanin"/>
          <w:lang w:bidi="fa-IR"/>
          <w:color w:val="111111"/>
          <w:sz w:val="28"/>
          <w:szCs w:val="28"/>
          <w:rtl/>
        </w:rPr>
        <w:t xml:space="preserve">1 .الاستصحاب، ج 2، ص 134.</w:t>
      </w:r>
    </w:p>
    <w:p>
      <w:pPr>
        <w:pStyle w:val="BookText"/>
      </w:pPr>
      <w:r>
        <w:rPr>
          <w:rFonts w:ascii="Amiri" w:hAnsi="Amiri" w:eastAsia="Amiri" w:cs="Amiri"/>
          <w:lang w:bidi="ar-SA"/>
          <w:color w:val="111111"/>
          <w:sz w:val="28"/>
          <w:szCs w:val="28"/>
          <w:rtl/>
        </w:rPr>
        <w:t xml:space="preserve">2 .اصالة البرائة، ج2، ص 353.</w:t>
      </w:r>
    </w:p>
    <w:p>
      <w:pPr>
        <w:pStyle w:val="BookText"/>
      </w:pPr>
      <w:r>
        <w:rPr>
          <w:rFonts w:ascii="Amiri" w:hAnsi="Amiri" w:eastAsia="Amiri" w:cs="Amiri"/>
          <w:lang w:bidi="ar-SA"/>
          <w:color w:val="111111"/>
          <w:sz w:val="28"/>
          <w:szCs w:val="28"/>
          <w:rtl/>
        </w:rPr>
        <w:t xml:space="preserve">3 .تحقيق العدالة، ج4، ص 62 .</w:t>
      </w:r>
    </w:p>
    <w:p>
      <w:pPr>
        <w:pStyle w:val="BookText"/>
      </w:pPr>
      <w:r>
        <w:rPr>
          <w:rFonts w:ascii="IRNazanin" w:hAnsi="IRNazanin" w:eastAsia="IRNazanin" w:cs="IRNazanin"/>
          <w:lang w:bidi="fa-IR"/>
          <w:color w:val="111111"/>
          <w:sz w:val="28"/>
          <w:szCs w:val="28"/>
          <w:rtl/>
        </w:rPr>
        <w:t xml:space="preserve">4 .تداخل الاسباب و تداخل المسببات</w:t>
      </w:r>
    </w:p>
    <w:p>
      <w:pPr>
        <w:pStyle w:val="BookText"/>
      </w:pPr>
      <w:r>
        <w:rPr>
          <w:rFonts w:ascii="IRNazanin" w:hAnsi="IRNazanin" w:eastAsia="IRNazanin" w:cs="IRNazanin"/>
          <w:lang w:bidi="fa-IR"/>
          <w:color w:val="111111"/>
          <w:sz w:val="28"/>
          <w:szCs w:val="28"/>
          <w:rtl/>
        </w:rPr>
        <w:t xml:space="preserve">ج 4، ص 165 .</w:t>
      </w:r>
    </w:p>
    <w:p>
      <w:pPr>
        <w:pStyle w:val="BookText"/>
      </w:pPr>
      <w:r>
        <w:rPr>
          <w:rFonts w:ascii="Amiri" w:hAnsi="Amiri" w:eastAsia="Amiri" w:cs="Amiri"/>
          <w:lang w:bidi="ar-SA"/>
          <w:color w:val="111111"/>
          <w:sz w:val="28"/>
          <w:szCs w:val="28"/>
          <w:rtl/>
        </w:rPr>
        <w:t xml:space="preserve">5 .تعليقة على المكاسب، ج4، ص 532.</w:t>
      </w:r>
    </w:p>
    <w:p>
      <w:pPr>
        <w:pStyle w:val="BookText"/>
      </w:pPr>
      <w:r>
        <w:rPr>
          <w:rFonts w:ascii="Amiri" w:hAnsi="Amiri" w:eastAsia="Amiri" w:cs="Amiri"/>
          <w:lang w:bidi="ar-SA"/>
          <w:color w:val="111111"/>
          <w:sz w:val="28"/>
          <w:szCs w:val="28"/>
          <w:rtl/>
        </w:rPr>
        <w:t xml:space="preserve">6 .تعليقة على فرائد الاصول، جع،</w:t>
      </w:r>
    </w:p>
    <w:p>
      <w:pPr>
        <w:pStyle w:val="BookText"/>
      </w:pPr>
      <w:r>
        <w:rPr>
          <w:rFonts w:ascii="IRNazanin" w:hAnsi="IRNazanin" w:eastAsia="IRNazanin" w:cs="IRNazanin"/>
          <w:lang w:bidi="fa-IR"/>
          <w:color w:val="111111"/>
          <w:sz w:val="28"/>
          <w:szCs w:val="28"/>
          <w:rtl/>
        </w:rPr>
        <w:t xml:space="preserve">ص 525.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حواشي على الفصول الغروية في</w:t>
      </w:r>
    </w:p>
    <w:p>
      <w:pPr>
        <w:pStyle w:val="BookText"/>
      </w:pPr>
      <w:r>
        <w:rPr>
          <w:rFonts w:ascii="IRNazanin" w:hAnsi="IRNazanin" w:eastAsia="IRNazanin" w:cs="IRNazanin"/>
          <w:lang w:bidi="fa-IR"/>
          <w:color w:val="111111"/>
          <w:sz w:val="28"/>
          <w:szCs w:val="28"/>
          <w:rtl/>
        </w:rPr>
        <w:t xml:space="preserve">الاصول، ج 6، ص839.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الدماء الثلاث تعليقة على نجاة</w:t>
      </w:r>
    </w:p>
    <w:p>
      <w:pPr>
        <w:pStyle w:val="BookText"/>
      </w:pPr>
      <w:r>
        <w:rPr>
          <w:rFonts w:ascii="IRNazanin" w:hAnsi="IRNazanin" w:eastAsia="IRNazanin" w:cs="IRNazanin"/>
          <w:lang w:bidi="fa-IR"/>
          <w:color w:val="111111"/>
          <w:sz w:val="28"/>
          <w:szCs w:val="28"/>
          <w:rtl/>
        </w:rPr>
        <w:t xml:space="preserve">العباد، ج 7، ص 474.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الزكاة شرحاً على الشرايع، ج8،</w:t>
      </w:r>
    </w:p>
    <w:p>
      <w:pPr>
        <w:pStyle w:val="BookText"/>
      </w:pPr>
      <w:r>
        <w:rPr>
          <w:rFonts w:ascii="IRNazanin" w:hAnsi="IRNazanin" w:eastAsia="IRNazanin" w:cs="IRNazanin"/>
          <w:lang w:bidi="fa-IR"/>
          <w:color w:val="111111"/>
          <w:sz w:val="28"/>
          <w:szCs w:val="28"/>
          <w:rtl/>
        </w:rPr>
        <w:t xml:space="preserve">ص 606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عدة الكامل في عدة الحامل، ج11،</w:t>
      </w:r>
    </w:p>
    <w:p>
      <w:pPr>
        <w:pStyle w:val="BookText"/>
      </w:pPr>
      <w:r>
        <w:rPr>
          <w:rFonts w:ascii="IRNazanin" w:hAnsi="IRNazanin" w:eastAsia="IRNazanin" w:cs="IRNazanin"/>
          <w:lang w:bidi="fa-IR"/>
          <w:color w:val="111111"/>
          <w:sz w:val="28"/>
          <w:szCs w:val="28"/>
          <w:rtl/>
        </w:rPr>
        <w:t xml:space="preserve">ص 56 .</w:t>
      </w:r>
    </w:p>
    <w:p>
      <w:pPr>
        <w:pStyle w:val="BookText"/>
      </w:pPr>
      <w:r>
        <w:rPr>
          <w:rFonts w:ascii="IRNazanin" w:hAnsi="IRNazanin" w:eastAsia="IRNazanin" w:cs="IRNazanin"/>
          <w:lang w:bidi="fa-IR"/>
          <w:color w:val="111111"/>
          <w:sz w:val="28"/>
          <w:szCs w:val="28"/>
          <w:rtl/>
        </w:rPr>
        <w:t xml:space="preserve">11 .مباحث الالفاظ، ج 13، ص711.</w:t>
      </w:r>
    </w:p>
    <w:p>
      <w:pPr>
        <w:pStyle w:val="BookText"/>
      </w:pPr>
      <w:r>
        <w:rPr>
          <w:rFonts w:ascii="Amiri" w:hAnsi="Amiri" w:eastAsia="Amiri" w:cs="Amiri"/>
          <w:lang w:bidi="ar-SA"/>
          <w:color w:val="111111"/>
          <w:sz w:val="28"/>
          <w:szCs w:val="28"/>
          <w:rtl/>
        </w:rPr>
        <w:t xml:space="preserve">12 .مباحث من كتاب الصلاة، ج13،</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مسألة حرمة حليلة الابن</w:t>
      </w:r>
    </w:p>
    <w:p>
      <w:pPr>
        <w:pStyle w:val="BookText"/>
      </w:pPr>
      <w:r>
        <w:rPr>
          <w:rFonts w:ascii="Amiri" w:hAnsi="Amiri" w:eastAsia="Amiri" w:cs="Amiri"/>
          <w:lang w:bidi="ar-SA"/>
          <w:color w:val="111111"/>
          <w:sz w:val="28"/>
          <w:szCs w:val="28"/>
          <w:rtl/>
        </w:rPr>
        <w:t xml:space="preserve">الرضاعي، ج 14، ص 539.</w:t>
      </w:r>
    </w:p>
    <w:p>
      <w:pPr>
        <w:pStyle w:val="BookText"/>
      </w:pPr>
      <w:r>
        <w:rPr>
          <w:rFonts w:ascii="Amiri" w:hAnsi="Amiri" w:eastAsia="Amiri" w:cs="Amiri"/>
          <w:lang w:bidi="ar-SA"/>
          <w:color w:val="111111"/>
          <w:sz w:val="28"/>
          <w:szCs w:val="28"/>
          <w:rtl/>
        </w:rPr>
        <w:t xml:space="preserve">14 . نبذة من مباحث البيع شرحا على</w:t>
      </w:r>
    </w:p>
    <w:p>
      <w:pPr>
        <w:pStyle w:val="BookText"/>
      </w:pPr>
      <w:r>
        <w:rPr>
          <w:rFonts w:ascii="Amiri" w:hAnsi="Amiri" w:eastAsia="Amiri" w:cs="Amiri"/>
          <w:lang w:bidi="ar-SA"/>
          <w:color w:val="111111"/>
          <w:sz w:val="28"/>
          <w:szCs w:val="28"/>
          <w:rtl/>
        </w:rPr>
        <w:t xml:space="preserve">الشرايع، ج 16، ص 117.</w:t>
      </w:r>
    </w:p>
    <w:p>
      <w:pPr>
        <w:pStyle w:val="BookText"/>
      </w:pPr>
      <w:r>
        <w:rPr>
          <w:rFonts w:ascii="Amiri" w:hAnsi="Amiri" w:eastAsia="Amiri" w:cs="Amiri"/>
          <w:lang w:bidi="ar-SA"/>
          <w:color w:val="111111"/>
          <w:sz w:val="28"/>
          <w:szCs w:val="28"/>
          <w:rtl/>
        </w:rPr>
        <w:t xml:space="preserve">15 .نبذة من مباحث الصوم، ج 16،</w:t>
      </w:r>
    </w:p>
    <w:p>
      <w:pPr>
        <w:pStyle w:val="BookText"/>
      </w:pPr>
      <w:r>
        <w:rPr>
          <w:rFonts w:ascii="IRNazanin" w:hAnsi="IRNazanin" w:eastAsia="IRNazanin" w:cs="IRNazanin"/>
          <w:lang w:bidi="fa-IR"/>
          <w:color w:val="111111"/>
          <w:sz w:val="28"/>
          <w:szCs w:val="28"/>
          <w:rtl/>
        </w:rPr>
        <w:t xml:space="preserve">ص 118.</w:t>
      </w:r>
    </w:p>
    <w:p>
      <w:pPr>
        <w:pStyle w:val="Heading2"/>
      </w:pPr>
      <w:bookmarkStart w:id="3063" w:name="_Toc2165"/>
      <w:r>
        <w:t>تبريزي ، فضل الله</w:t>
      </w:r>
      <w:bookmarkEnd w:id="3063"/>
    </w:p>
    <w:p>
      <w:pPr>
        <w:pStyle w:val="BookText"/>
      </w:pPr>
      <w:r>
        <w:rPr>
          <w:rFonts w:ascii="Amiri" w:hAnsi="Amiri" w:eastAsia="Amiri" w:cs="Amiri"/>
          <w:lang w:bidi="ar-SA"/>
          <w:color w:val="111111"/>
          <w:sz w:val="28"/>
          <w:szCs w:val="28"/>
          <w:rtl/>
        </w:rPr>
        <w:t xml:space="preserve">الرسالة الشريفة في اسماء الادوية، ج8،</w:t>
      </w:r>
    </w:p>
    <w:p>
      <w:pPr>
        <w:pStyle w:val="BookText"/>
      </w:pPr>
      <w:r>
        <w:rPr>
          <w:rFonts w:ascii="IRNazanin" w:hAnsi="IRNazanin" w:eastAsia="IRNazanin" w:cs="IRNazanin"/>
          <w:lang w:bidi="fa-IR"/>
          <w:color w:val="111111"/>
          <w:sz w:val="28"/>
          <w:szCs w:val="28"/>
          <w:rtl/>
        </w:rPr>
        <w:t xml:space="preserve">ص 214.</w:t>
      </w:r>
    </w:p>
    <w:p>
      <w:pPr>
        <w:pStyle w:val="Heading2"/>
      </w:pPr>
      <w:bookmarkStart w:id="3064" w:name="_Toc2166"/>
      <w:r>
        <w:t>تبريزي ، كاظم</w:t>
      </w:r>
      <w:bookmarkEnd w:id="3064"/>
    </w:p>
    <w:p>
      <w:pPr>
        <w:pStyle w:val="BookText"/>
      </w:pPr>
      <w:r>
        <w:rPr>
          <w:rFonts w:ascii="Amiri" w:hAnsi="Amiri" w:eastAsia="Amiri" w:cs="Amiri"/>
          <w:lang w:bidi="ar-SA"/>
          <w:color w:val="111111"/>
          <w:sz w:val="28"/>
          <w:szCs w:val="28"/>
          <w:rtl/>
        </w:rPr>
        <w:t xml:space="preserve">دقائق الميزان، ج 7، ص 440</w:t>
      </w:r>
    </w:p>
    <w:p>
      <w:pPr>
        <w:pStyle w:val="Heading2"/>
      </w:pPr>
      <w:bookmarkStart w:id="3065" w:name="_Toc2167"/>
      <w:r>
        <w:t>تبريزي ، لطفعلي بن احمد - 1262 ه-</w:t>
      </w:r>
      <w:bookmarkEnd w:id="3065"/>
    </w:p>
    <w:p>
      <w:pPr>
        <w:pStyle w:val="BookText"/>
      </w:pPr>
      <w:r>
        <w:rPr>
          <w:rFonts w:ascii="Amiri" w:hAnsi="Amiri" w:eastAsia="Amiri" w:cs="Amiri"/>
          <w:lang w:bidi="ar-SA"/>
          <w:color w:val="111111"/>
          <w:sz w:val="28"/>
          <w:szCs w:val="28"/>
          <w:rtl/>
        </w:rPr>
        <w:t xml:space="preserve">حاشية القوانين المحكمة، ج 6، ص 314.</w:t>
      </w:r>
    </w:p>
    <w:p>
      <w:pPr>
        <w:pStyle w:val="BookText"/>
      </w:pPr>
      <w:r>
        <w:rPr>
          <w:rFonts w:ascii="Amiri" w:hAnsi="Amiri" w:eastAsia="Amiri" w:cs="Amiri"/>
          <w:lang w:bidi="ar-SA"/>
          <w:color w:val="111111"/>
          <w:sz w:val="28"/>
          <w:szCs w:val="28"/>
          <w:rtl/>
        </w:rPr>
        <w:t xml:space="preserve">تبريزي ، محمّد -حنفي تبريزي ، شمس</w:t>
      </w:r>
    </w:p>
    <w:p>
      <w:pPr>
        <w:pStyle w:val="BookText"/>
      </w:pPr>
      <w:r>
        <w:rPr>
          <w:rFonts w:ascii="Amiri" w:hAnsi="Amiri" w:eastAsia="Amiri" w:cs="Amiri"/>
          <w:lang w:bidi="ar-SA"/>
          <w:color w:val="111111"/>
          <w:sz w:val="28"/>
          <w:szCs w:val="28"/>
          <w:rtl/>
        </w:rPr>
        <w:t xml:space="preserve">الدین محمّد</w:t>
      </w:r>
    </w:p>
    <w:p>
      <w:pPr>
        <w:pStyle w:val="Heading2"/>
      </w:pPr>
      <w:bookmarkStart w:id="3066" w:name="_Toc2168"/>
      <w:r>
        <w:t>تبريزي ، محمّد امیرجان - 950؟ ه-</w:t>
      </w:r>
      <w:bookmarkEnd w:id="3066"/>
    </w:p>
    <w:p>
      <w:pPr>
        <w:pStyle w:val="BookText"/>
      </w:pPr>
      <w:r>
        <w:rPr>
          <w:rFonts w:ascii="Amiri" w:hAnsi="Amiri" w:eastAsia="Amiri" w:cs="Amiri"/>
          <w:lang w:bidi="ar-SA"/>
          <w:color w:val="111111"/>
          <w:sz w:val="28"/>
          <w:szCs w:val="28"/>
          <w:rtl/>
        </w:rPr>
        <w:t xml:space="preserve">1 .التصوف (رسالة في)، ج4، ص 430 .</w:t>
      </w:r>
    </w:p>
    <w:p>
      <w:pPr>
        <w:pStyle w:val="BookText"/>
      </w:pPr>
      <w:r>
        <w:rPr>
          <w:rFonts w:ascii="Amiri" w:hAnsi="Amiri" w:eastAsia="Amiri" w:cs="Amiri"/>
          <w:lang w:bidi="ar-SA"/>
          <w:color w:val="111111"/>
          <w:sz w:val="28"/>
          <w:szCs w:val="28"/>
          <w:rtl/>
        </w:rPr>
        <w:t xml:space="preserve">2 .المطالب العالية، ج 14 ، ص 762.</w:t>
      </w:r>
    </w:p>
    <w:p>
      <w:pPr>
        <w:pStyle w:val="BookText"/>
      </w:pPr>
      <w:r>
        <w:rPr>
          <w:rFonts w:ascii="Amiri" w:hAnsi="Amiri" w:eastAsia="Amiri" w:cs="Amiri"/>
          <w:lang w:bidi="ar-SA"/>
          <w:color w:val="111111"/>
          <w:sz w:val="28"/>
          <w:szCs w:val="28"/>
          <w:rtl/>
        </w:rPr>
        <w:t xml:space="preserve">تبريزي، محمّد باقر بن</w:t>
      </w:r>
    </w:p>
    <w:p>
      <w:pPr>
        <w:pStyle w:val="BookText"/>
      </w:pPr>
      <w:r>
        <w:rPr>
          <w:rFonts w:ascii="IRNazanin" w:hAnsi="IRNazanin" w:eastAsia="IRNazanin" w:cs="IRNazanin"/>
          <w:lang w:bidi="fa-IR"/>
          <w:color w:val="111111"/>
          <w:sz w:val="28"/>
          <w:szCs w:val="28"/>
          <w:rtl/>
        </w:rPr>
        <w:t xml:space="preserve">ابوالقاسم -حسيني تبريزي، محمّد باقر بن ابی القاسم</w:t>
      </w:r>
    </w:p>
    <w:p>
      <w:pPr>
        <w:pStyle w:val="BookText"/>
      </w:pPr>
      <w:r>
        <w:rPr>
          <w:rFonts w:ascii="Amiri" w:hAnsi="Amiri" w:eastAsia="Amiri" w:cs="Amiri"/>
          <w:lang w:bidi="ar-SA"/>
          <w:color w:val="111111"/>
          <w:sz w:val="28"/>
          <w:szCs w:val="28"/>
          <w:rtl/>
        </w:rPr>
        <w:t xml:space="preserve">ابي القاسم تبريزي ، محمّد باقر بن محب علي -صدر الدين تبريزي ، محمّد بن محب علي</w:t>
      </w:r>
    </w:p>
    <w:p>
      <w:pPr>
        <w:pStyle w:val="Heading2"/>
      </w:pPr>
      <w:bookmarkStart w:id="3067" w:name="_Toc2169"/>
      <w:r>
        <w:t>تبريزي، محمّد باقر بن محمّد سلیم قرن 13ه-</w:t>
      </w:r>
      <w:bookmarkEnd w:id="3067"/>
    </w:p>
    <w:p>
      <w:pPr>
        <w:pStyle w:val="BookText"/>
      </w:pPr>
      <w:r>
        <w:rPr>
          <w:rFonts w:ascii="Amiri" w:hAnsi="Amiri" w:eastAsia="Amiri" w:cs="Amiri"/>
          <w:lang w:bidi="ar-SA"/>
          <w:color w:val="111111"/>
          <w:sz w:val="28"/>
          <w:szCs w:val="28"/>
          <w:rtl/>
        </w:rPr>
        <w:t xml:space="preserve">اجازة للشيخ محمّد الاحسائي، ج 1،</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Amiri" w:hAnsi="Amiri" w:eastAsia="Amiri" w:cs="Amiri"/>
          <w:lang w:bidi="ar-SA"/>
          <w:color w:val="111111"/>
          <w:sz w:val="28"/>
          <w:szCs w:val="28"/>
          <w:rtl/>
        </w:rPr>
        <w:t xml:space="preserve">تبريزي ، محمّد بن عبد الرزاق -دنبلي ،</w:t>
      </w:r>
    </w:p>
    <w:p>
      <w:pPr>
        <w:pStyle w:val="BookText"/>
      </w:pPr>
      <w:r>
        <w:rPr>
          <w:rFonts w:ascii="IRNazanin" w:hAnsi="IRNazanin" w:eastAsia="IRNazanin" w:cs="IRNazanin"/>
          <w:lang w:bidi="fa-IR"/>
          <w:color w:val="111111"/>
          <w:sz w:val="28"/>
          <w:szCs w:val="28"/>
          <w:rtl/>
        </w:rPr>
        <w:t xml:space="preserve">محمّد بن عبد الرزاق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6" w:name="pg7742_69978"/>
    <w:bookmarkEnd w:id="296"/>
    <w:p>
      <w:pPr>
        <w:pStyle w:val="Heading2"/>
      </w:pPr>
      <w:bookmarkStart w:id="3068" w:name="_Toc2170"/>
      <w:r>
        <w:t>تبريزي ، محمّد بن فرج الله قرن 14 ه-</w:t>
      </w:r>
      <w:bookmarkEnd w:id="3068"/>
    </w:p>
    <w:p>
      <w:pPr>
        <w:pStyle w:val="BookText"/>
      </w:pPr>
      <w:r>
        <w:rPr>
          <w:rFonts w:ascii="Amiri" w:hAnsi="Amiri" w:eastAsia="Amiri" w:cs="Amiri"/>
          <w:lang w:bidi="ar-SA"/>
          <w:color w:val="111111"/>
          <w:sz w:val="28"/>
          <w:szCs w:val="28"/>
          <w:rtl/>
        </w:rPr>
        <w:t xml:space="preserve">الرضاع (رسالة في)، ج8، ص321.</w:t>
      </w:r>
    </w:p>
    <w:p>
      <w:pPr>
        <w:pStyle w:val="Heading2"/>
      </w:pPr>
      <w:bookmarkStart w:id="3069" w:name="_Toc2171"/>
      <w:r>
        <w:t>تبريزي ، محمّد بن قاسم</w:t>
      </w:r>
      <w:bookmarkEnd w:id="3069"/>
    </w:p>
    <w:p>
      <w:pPr>
        <w:pStyle w:val="BookText"/>
      </w:pPr>
      <w:r>
        <w:rPr>
          <w:rFonts w:ascii="IRNazanin" w:hAnsi="IRNazanin" w:eastAsia="IRNazanin" w:cs="IRNazanin"/>
          <w:lang w:bidi="fa-IR"/>
          <w:color w:val="111111"/>
          <w:sz w:val="28"/>
          <w:szCs w:val="28"/>
          <w:rtl/>
        </w:rPr>
        <w:t xml:space="preserve">الارث = الفرائض، ج 1، ص 754.</w:t>
      </w:r>
    </w:p>
    <w:p>
      <w:pPr>
        <w:pStyle w:val="BookText"/>
      </w:pPr>
      <w:r>
        <w:rPr>
          <w:rFonts w:ascii="Amiri" w:hAnsi="Amiri" w:eastAsia="Amiri" w:cs="Amiri"/>
          <w:lang w:bidi="ar-SA"/>
          <w:color w:val="111111"/>
          <w:sz w:val="28"/>
          <w:szCs w:val="28"/>
          <w:rtl/>
        </w:rPr>
        <w:t xml:space="preserve">تبريزي ، محمّد بن محب علي -صدر الدين</w:t>
      </w:r>
    </w:p>
    <w:p>
      <w:pPr>
        <w:pStyle w:val="BookText"/>
      </w:pPr>
      <w:r>
        <w:rPr>
          <w:rFonts w:ascii="Amiri" w:hAnsi="Amiri" w:eastAsia="Amiri" w:cs="Amiri"/>
          <w:lang w:bidi="ar-SA"/>
          <w:color w:val="111111"/>
          <w:sz w:val="28"/>
          <w:szCs w:val="28"/>
          <w:rtl/>
        </w:rPr>
        <w:t xml:space="preserve">تبريزي ، محمّد بن محب علي</w:t>
      </w:r>
    </w:p>
    <w:p>
      <w:pPr>
        <w:pStyle w:val="BookText"/>
      </w:pPr>
      <w:r>
        <w:rPr>
          <w:rFonts w:ascii="Amiri" w:hAnsi="Amiri" w:eastAsia="Amiri" w:cs="Amiri"/>
          <w:lang w:bidi="ar-SA"/>
          <w:color w:val="111111"/>
          <w:sz w:val="28"/>
          <w:szCs w:val="28"/>
          <w:rtl/>
        </w:rPr>
        <w:t xml:space="preserve">تبريزي ، محمّد بن محمّد- مجذوب</w:t>
      </w:r>
    </w:p>
    <w:p>
      <w:pPr>
        <w:pStyle w:val="BookText"/>
      </w:pPr>
      <w:r>
        <w:rPr>
          <w:rFonts w:ascii="Amiri" w:hAnsi="Amiri" w:eastAsia="Amiri" w:cs="Amiri"/>
          <w:lang w:bidi="ar-SA"/>
          <w:color w:val="111111"/>
          <w:sz w:val="28"/>
          <w:szCs w:val="28"/>
          <w:rtl/>
        </w:rPr>
        <w:t xml:space="preserve">تبريزي ، محمّد بن محمّد رضا</w:t>
      </w:r>
    </w:p>
    <w:p>
      <w:pPr>
        <w:pStyle w:val="BookText"/>
      </w:pPr>
      <w:r>
        <w:rPr>
          <w:rFonts w:ascii="Amiri" w:hAnsi="Amiri" w:eastAsia="Amiri" w:cs="Amiri"/>
          <w:lang w:bidi="ar-SA"/>
          <w:color w:val="111111"/>
          <w:sz w:val="28"/>
          <w:szCs w:val="28"/>
          <w:rtl/>
        </w:rPr>
        <w:t xml:space="preserve">تبريزي ، محمّد بن مهدي -حسيني تبريزي ، محمّد بن مهدي</w:t>
      </w:r>
    </w:p>
    <w:p>
      <w:pPr>
        <w:pStyle w:val="Heading2"/>
      </w:pPr>
      <w:bookmarkStart w:id="3070" w:name="_Toc2172"/>
      <w:r>
        <w:t>تبريزي ، محمّد حسن</w:t>
      </w:r>
      <w:bookmarkEnd w:id="3070"/>
    </w:p>
    <w:p>
      <w:pPr>
        <w:pStyle w:val="BookText"/>
      </w:pPr>
      <w:r>
        <w:rPr>
          <w:rFonts w:ascii="Amiri" w:hAnsi="Amiri" w:eastAsia="Amiri" w:cs="Amiri"/>
          <w:lang w:bidi="ar-SA"/>
          <w:color w:val="111111"/>
          <w:sz w:val="28"/>
          <w:szCs w:val="28"/>
          <w:rtl/>
        </w:rPr>
        <w:t xml:space="preserve">حكاية نافعة، ج 6 ، ص 732.</w:t>
      </w:r>
    </w:p>
    <w:p>
      <w:pPr>
        <w:pStyle w:val="Heading2"/>
      </w:pPr>
      <w:bookmarkStart w:id="3071" w:name="_Toc2173"/>
      <w:r>
        <w:t>تبريزي ، محمّد رضا بن عبد المطلب قرن</w:t>
      </w:r>
      <w:bookmarkEnd w:id="3071"/>
    </w:p>
    <w:p>
      <w:pPr>
        <w:pStyle w:val="BookText"/>
      </w:pPr>
      <w:r>
        <w:rPr>
          <w:rFonts w:ascii="IRNazanin" w:hAnsi="IRNazanin" w:eastAsia="IRNazanin" w:cs="IRNazanin"/>
          <w:lang w:bidi="fa-IR"/>
          <w:color w:val="111111"/>
          <w:sz w:val="28"/>
          <w:szCs w:val="28"/>
          <w:rtl/>
        </w:rPr>
        <w:t xml:space="preserve">12ه-</w:t>
      </w:r>
    </w:p>
    <w:p>
      <w:pPr>
        <w:pStyle w:val="BookText"/>
      </w:pPr>
      <w:r>
        <w:rPr>
          <w:rFonts w:ascii="Amiri" w:hAnsi="Amiri" w:eastAsia="Amiri" w:cs="Amiri"/>
          <w:lang w:bidi="ar-SA"/>
          <w:color w:val="111111"/>
          <w:sz w:val="28"/>
          <w:szCs w:val="28"/>
          <w:rtl/>
        </w:rPr>
        <w:t xml:space="preserve">المصابيح في شرح المفاتيح، ج 14،</w:t>
      </w:r>
    </w:p>
    <w:p>
      <w:pPr>
        <w:pStyle w:val="BookText"/>
      </w:pPr>
      <w:r>
        <w:rPr>
          <w:rFonts w:ascii="IRNazanin" w:hAnsi="IRNazanin" w:eastAsia="IRNazanin" w:cs="IRNazanin"/>
          <w:lang w:bidi="fa-IR"/>
          <w:color w:val="111111"/>
          <w:sz w:val="28"/>
          <w:szCs w:val="28"/>
          <w:rtl/>
        </w:rPr>
        <w:t xml:space="preserve">ص 688.</w:t>
      </w:r>
    </w:p>
    <w:p>
      <w:pPr>
        <w:pStyle w:val="Heading2"/>
      </w:pPr>
      <w:bookmarkStart w:id="3072" w:name="_Toc2174"/>
      <w:r>
        <w:t>تبريزي قرن ، محمّد زمان بن محمّد طاهر 13 ه-</w:t>
      </w:r>
      <w:bookmarkEnd w:id="3072"/>
    </w:p>
    <w:p>
      <w:pPr>
        <w:pStyle w:val="BookText"/>
      </w:pPr>
      <w:r>
        <w:rPr>
          <w:rFonts w:ascii="IRNazanin" w:hAnsi="IRNazanin" w:eastAsia="IRNazanin" w:cs="IRNazanin"/>
          <w:lang w:bidi="fa-IR"/>
          <w:color w:val="111111"/>
          <w:sz w:val="28"/>
          <w:szCs w:val="28"/>
          <w:rtl/>
        </w:rPr>
        <w:t xml:space="preserve">1 .تجوید، ج 3، ص 706.</w:t>
      </w:r>
    </w:p>
    <w:p>
      <w:pPr>
        <w:pStyle w:val="BookText"/>
      </w:pPr>
      <w:r>
        <w:rPr>
          <w:rFonts w:ascii="IRNazanin" w:hAnsi="IRNazanin" w:eastAsia="IRNazanin" w:cs="IRNazanin"/>
          <w:lang w:bidi="fa-IR"/>
          <w:color w:val="111111"/>
          <w:sz w:val="28"/>
          <w:szCs w:val="28"/>
          <w:rtl/>
        </w:rPr>
        <w:t xml:space="preserve">2 .دره نظمیه = موجز منظومه، ج7،</w:t>
      </w:r>
    </w:p>
    <w:p>
      <w:pPr>
        <w:pStyle w:val="BookText"/>
      </w:pPr>
      <w:r>
        <w:rPr>
          <w:rFonts w:ascii="IRNazanin" w:hAnsi="IRNazanin" w:eastAsia="IRNazanin" w:cs="IRNazanin"/>
          <w:lang w:bidi="fa-IR"/>
          <w:color w:val="111111"/>
          <w:sz w:val="28"/>
          <w:szCs w:val="28"/>
          <w:rtl/>
        </w:rPr>
        <w:t xml:space="preserve">ص 272</w:t>
      </w:r>
    </w:p>
    <w:p>
      <w:pPr>
        <w:pStyle w:val="Heading2"/>
      </w:pPr>
      <w:bookmarkStart w:id="3073" w:name="_Toc2175"/>
      <w:r>
        <w:t>تبريزي ، محمّد شفيع بن محمّد جعفر</w:t>
      </w:r>
      <w:bookmarkEnd w:id="3073"/>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احكام الصلاة والصيام، ج 1، ص 477 .</w:t>
      </w:r>
    </w:p>
    <w:p>
      <w:pPr>
        <w:pStyle w:val="Heading2"/>
      </w:pPr>
      <w:bookmarkStart w:id="3074" w:name="_Toc2176"/>
      <w:r>
        <w:t>تبريزي ، محمّد طه بن مهدي، 1241 -</w:t>
      </w:r>
      <w:bookmarkEnd w:id="3074"/>
    </w:p>
    <w:p>
      <w:pPr>
        <w:pStyle w:val="BookText"/>
      </w:pPr>
      <w:r>
        <w:rPr>
          <w:rFonts w:ascii="IRNazanin" w:hAnsi="IRNazanin" w:eastAsia="IRNazanin" w:cs="IRNazanin"/>
          <w:lang w:bidi="fa-IR"/>
          <w:color w:val="111111"/>
          <w:sz w:val="28"/>
          <w:szCs w:val="28"/>
          <w:rtl/>
        </w:rPr>
        <w:t xml:space="preserve">1323 ه-</w:t>
      </w:r>
    </w:p>
    <w:p>
      <w:pPr>
        <w:pStyle w:val="BookText"/>
      </w:pPr>
      <w:r>
        <w:rPr>
          <w:rFonts w:ascii="Amiri" w:hAnsi="Amiri" w:eastAsia="Amiri" w:cs="Amiri"/>
          <w:lang w:bidi="ar-SA"/>
          <w:color w:val="111111"/>
          <w:sz w:val="28"/>
          <w:szCs w:val="28"/>
          <w:rtl/>
        </w:rPr>
        <w:t xml:space="preserve">1 .اتقان المقال في احوال الرجال = احياء</w:t>
      </w:r>
    </w:p>
    <w:p>
      <w:pPr>
        <w:pStyle w:val="BookText"/>
      </w:pPr>
      <w:r>
        <w:rPr>
          <w:rFonts w:ascii="Amiri" w:hAnsi="Amiri" w:eastAsia="Amiri" w:cs="Amiri"/>
          <w:lang w:bidi="ar-SA"/>
          <w:color w:val="111111"/>
          <w:sz w:val="28"/>
          <w:szCs w:val="28"/>
          <w:rtl/>
        </w:rPr>
        <w:t xml:space="preserve">الموات في احوال الروات، ج 1، ص 142</w:t>
      </w:r>
    </w:p>
    <w:p>
      <w:pPr>
        <w:pStyle w:val="BookText"/>
      </w:pPr>
      <w:r>
        <w:rPr>
          <w:rFonts w:ascii="Amiri" w:hAnsi="Amiri" w:eastAsia="Amiri" w:cs="Amiri"/>
          <w:lang w:bidi="ar-SA"/>
          <w:color w:val="111111"/>
          <w:sz w:val="28"/>
          <w:szCs w:val="28"/>
          <w:rtl/>
        </w:rPr>
        <w:t xml:space="preserve">2 .التحفة السنية والدرة النجفية</w:t>
      </w:r>
    </w:p>
    <w:p>
      <w:pPr>
        <w:pStyle w:val="BookText"/>
      </w:pPr>
      <w:r>
        <w:rPr>
          <w:rFonts w:ascii="IRNazanin" w:hAnsi="IRNazanin" w:eastAsia="IRNazanin" w:cs="IRNazanin"/>
          <w:lang w:bidi="fa-IR"/>
          <w:color w:val="111111"/>
          <w:sz w:val="28"/>
          <w:szCs w:val="28"/>
          <w:rtl/>
        </w:rPr>
        <w:t xml:space="preserve">ج 3، ص 852.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غناء المخلصين، ج11، ص 511.</w:t>
      </w:r>
    </w:p>
    <w:p>
      <w:pPr>
        <w:pStyle w:val="BookText"/>
      </w:pPr>
      <w:r>
        <w:rPr>
          <w:rFonts w:ascii="Amiri" w:hAnsi="Amiri" w:eastAsia="Amiri" w:cs="Amiri"/>
          <w:lang w:bidi="ar-SA"/>
          <w:color w:val="111111"/>
          <w:sz w:val="28"/>
          <w:szCs w:val="28"/>
          <w:rtl/>
        </w:rPr>
        <w:t xml:space="preserve">4 .نعم الزاد ليوم المعاد، ج 16 ،</w:t>
      </w:r>
    </w:p>
    <w:p>
      <w:pPr>
        <w:pStyle w:val="BookText"/>
      </w:pPr>
      <w:r>
        <w:rPr>
          <w:rFonts w:ascii="IRNazanin" w:hAnsi="IRNazanin" w:eastAsia="IRNazanin" w:cs="IRNazanin"/>
          <w:lang w:bidi="fa-IR"/>
          <w:color w:val="111111"/>
          <w:sz w:val="28"/>
          <w:szCs w:val="28"/>
          <w:rtl/>
        </w:rPr>
        <w:t xml:space="preserve">ص 369 .</w:t>
      </w:r>
    </w:p>
    <w:p>
      <w:pPr>
        <w:pStyle w:val="BookText"/>
      </w:pPr>
      <w:r>
        <w:rPr>
          <w:rFonts w:ascii="Amiri" w:hAnsi="Amiri" w:eastAsia="Amiri" w:cs="Amiri"/>
          <w:lang w:bidi="ar-SA"/>
          <w:color w:val="111111"/>
          <w:sz w:val="28"/>
          <w:szCs w:val="28"/>
          <w:rtl/>
        </w:rPr>
        <w:t xml:space="preserve">تبريزي ، محمود بن سعد الدين- حكيم</w:t>
      </w:r>
    </w:p>
    <w:p>
      <w:pPr>
        <w:pStyle w:val="BookText"/>
      </w:pPr>
      <w:r>
        <w:rPr>
          <w:rFonts w:ascii="Amiri" w:hAnsi="Amiri" w:eastAsia="Amiri" w:cs="Amiri"/>
          <w:lang w:bidi="ar-SA"/>
          <w:color w:val="111111"/>
          <w:sz w:val="28"/>
          <w:szCs w:val="28"/>
          <w:rtl/>
        </w:rPr>
        <w:t xml:space="preserve">الدين تبريزي، محمود بن سعد الدين</w:t>
      </w:r>
    </w:p>
    <w:p>
      <w:pPr>
        <w:pStyle w:val="BookText"/>
      </w:pPr>
      <w:r>
        <w:rPr>
          <w:rFonts w:ascii="Amiri" w:hAnsi="Amiri" w:eastAsia="Amiri" w:cs="Amiri"/>
          <w:lang w:bidi="ar-SA"/>
          <w:color w:val="111111"/>
          <w:sz w:val="28"/>
          <w:szCs w:val="28"/>
          <w:rtl/>
        </w:rPr>
        <w:t xml:space="preserve">تبريزي ، محمود بن محمّد -نظام العلماء</w:t>
      </w:r>
    </w:p>
    <w:p>
      <w:pPr>
        <w:pStyle w:val="BookText"/>
      </w:pPr>
      <w:r>
        <w:rPr>
          <w:rFonts w:ascii="Amiri" w:hAnsi="Amiri" w:eastAsia="Amiri" w:cs="Amiri"/>
          <w:lang w:bidi="ar-SA"/>
          <w:color w:val="111111"/>
          <w:sz w:val="28"/>
          <w:szCs w:val="28"/>
          <w:rtl/>
        </w:rPr>
        <w:t xml:space="preserve">تبريزي ، محمود بن محمّد</w:t>
      </w:r>
    </w:p>
    <w:p>
      <w:pPr>
        <w:pStyle w:val="Heading2"/>
      </w:pPr>
      <w:bookmarkStart w:id="3075" w:name="_Toc2177"/>
      <w:r>
        <w:t>تبريزي ، مقصود علي قرن 11 ه-</w:t>
      </w:r>
      <w:bookmarkEnd w:id="3075"/>
    </w:p>
    <w:p>
      <w:pPr>
        <w:pStyle w:val="BookText"/>
      </w:pPr>
      <w:r>
        <w:rPr>
          <w:rFonts w:ascii="IRNazanin" w:hAnsi="IRNazanin" w:eastAsia="IRNazanin" w:cs="IRNazanin"/>
          <w:lang w:bidi="fa-IR"/>
          <w:color w:val="111111"/>
          <w:sz w:val="28"/>
          <w:szCs w:val="28"/>
          <w:rtl/>
        </w:rPr>
        <w:t xml:space="preserve">گنجینه جواهر، ج13، ص 506.</w:t>
      </w:r>
    </w:p>
    <w:p>
      <w:pPr>
        <w:pStyle w:val="Heading2"/>
      </w:pPr>
      <w:bookmarkStart w:id="3076" w:name="_Toc2178"/>
      <w:r>
        <w:t>تبريزي، موسى بن جعفر - 1307 ش</w:t>
      </w:r>
      <w:bookmarkEnd w:id="3076"/>
    </w:p>
    <w:p>
      <w:pPr>
        <w:pStyle w:val="BookText"/>
      </w:pPr>
      <w:r>
        <w:rPr>
          <w:rFonts w:ascii="Amiri" w:hAnsi="Amiri" w:eastAsia="Amiri" w:cs="Amiri"/>
          <w:lang w:bidi="ar-SA"/>
          <w:color w:val="111111"/>
          <w:sz w:val="28"/>
          <w:szCs w:val="28"/>
          <w:rtl/>
        </w:rPr>
        <w:t xml:space="preserve">1 .اوثق الوسائل في شرح الرسائل</w:t>
      </w:r>
    </w:p>
    <w:p>
      <w:pPr>
        <w:pStyle w:val="BookText"/>
      </w:pPr>
      <w:r>
        <w:rPr>
          <w:rFonts w:ascii="IRNazanin" w:hAnsi="IRNazanin" w:eastAsia="IRNazanin" w:cs="IRNazanin"/>
          <w:lang w:bidi="fa-IR"/>
          <w:color w:val="111111"/>
          <w:sz w:val="28"/>
          <w:szCs w:val="28"/>
          <w:rtl/>
        </w:rPr>
        <w:t xml:space="preserve">ج 3، ص 61.</w:t>
      </w:r>
    </w:p>
    <w:p>
      <w:pPr>
        <w:pStyle w:val="BookText"/>
      </w:pPr>
      <w:r>
        <w:rPr>
          <w:rFonts w:ascii="Amiri" w:hAnsi="Amiri" w:eastAsia="Amiri" w:cs="Amiri"/>
          <w:lang w:bidi="ar-SA"/>
          <w:color w:val="111111"/>
          <w:sz w:val="28"/>
          <w:szCs w:val="28"/>
          <w:rtl/>
        </w:rPr>
        <w:t xml:space="preserve">2 .حجية الظن، ج 6 ، ص 501.</w:t>
      </w:r>
    </w:p>
    <w:p>
      <w:pPr>
        <w:pStyle w:val="Heading2"/>
      </w:pPr>
      <w:bookmarkStart w:id="3077" w:name="_Toc2179"/>
      <w:r>
        <w:t>تبريزي مير اویس بن امیرجان قرن 10 ه-</w:t>
      </w:r>
      <w:bookmarkEnd w:id="3077"/>
    </w:p>
    <w:p>
      <w:pPr>
        <w:pStyle w:val="BookText"/>
      </w:pPr>
      <w:r>
        <w:rPr>
          <w:rFonts w:ascii="Amiri" w:hAnsi="Amiri" w:eastAsia="Amiri" w:cs="Amiri"/>
          <w:lang w:bidi="ar-SA"/>
          <w:color w:val="111111"/>
          <w:sz w:val="28"/>
          <w:szCs w:val="28"/>
          <w:rtl/>
        </w:rPr>
        <w:t xml:space="preserve">مفتاح المنجمين، ج 15 ، ص 231.</w:t>
      </w:r>
    </w:p>
    <w:p>
      <w:pPr>
        <w:pStyle w:val="BookText"/>
      </w:pPr>
      <w:r>
        <w:rPr>
          <w:rFonts w:ascii="Amiri" w:hAnsi="Amiri" w:eastAsia="Amiri" w:cs="Amiri"/>
          <w:lang w:bidi="ar-SA"/>
          <w:color w:val="111111"/>
          <w:sz w:val="28"/>
          <w:szCs w:val="28"/>
          <w:rtl/>
        </w:rPr>
        <w:t xml:space="preserve">تبريزي ، وحيد- وحيدي تبريزي</w:t>
      </w:r>
    </w:p>
    <w:p>
      <w:pPr>
        <w:pStyle w:val="BookText"/>
      </w:pPr>
      <w:r>
        <w:rPr>
          <w:rFonts w:ascii="Amiri" w:hAnsi="Amiri" w:eastAsia="Amiri" w:cs="Amiri"/>
          <w:lang w:bidi="ar-SA"/>
          <w:color w:val="111111"/>
          <w:sz w:val="28"/>
          <w:szCs w:val="28"/>
          <w:rtl/>
        </w:rPr>
        <w:t xml:space="preserve">تبريزي ، يحيى بن علي- خطيب تبريزي ،</w:t>
      </w:r>
    </w:p>
    <w:p>
      <w:pPr>
        <w:pStyle w:val="BookText"/>
      </w:pPr>
      <w:r>
        <w:rPr>
          <w:rFonts w:ascii="Amiri" w:hAnsi="Amiri" w:eastAsia="Amiri" w:cs="Amiri"/>
          <w:lang w:bidi="ar-SA"/>
          <w:color w:val="111111"/>
          <w:sz w:val="28"/>
          <w:szCs w:val="28"/>
          <w:rtl/>
        </w:rPr>
        <w:t xml:space="preserve">يحيى بن علي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7" w:name="pg7742_69979"/>
    <w:bookmarkEnd w:id="297"/>
    <w:p>
      <w:pPr>
        <w:pStyle w:val="Heading2"/>
      </w:pPr>
      <w:bookmarkStart w:id="3078" w:name="_Toc2180"/>
      <w:r>
        <w:t>تبريزي ، يوسف بن احمد</w:t>
      </w:r>
      <w:bookmarkEnd w:id="3078"/>
    </w:p>
    <w:p>
      <w:pPr>
        <w:pStyle w:val="BookText"/>
      </w:pPr>
      <w:r>
        <w:rPr>
          <w:rFonts w:ascii="Amiri" w:hAnsi="Amiri" w:eastAsia="Amiri" w:cs="Amiri"/>
          <w:lang w:bidi="ar-SA"/>
          <w:color w:val="111111"/>
          <w:sz w:val="28"/>
          <w:szCs w:val="28"/>
          <w:rtl/>
        </w:rPr>
        <w:t xml:space="preserve">شرح تقدمة المعرفة، ج 9، ص 341.</w:t>
      </w:r>
    </w:p>
    <w:p>
      <w:pPr>
        <w:pStyle w:val="Heading2"/>
      </w:pPr>
      <w:bookmarkStart w:id="3079" w:name="_Toc2181"/>
      <w:r>
        <w:t>تتشوري ، عبدالله بن محمّد</w:t>
      </w:r>
      <w:bookmarkEnd w:id="3079"/>
    </w:p>
    <w:p>
      <w:pPr>
        <w:pStyle w:val="BookText"/>
      </w:pPr>
      <w:r>
        <w:rPr>
          <w:rFonts w:ascii="Amiri" w:hAnsi="Amiri" w:eastAsia="Amiri" w:cs="Amiri"/>
          <w:lang w:bidi="ar-SA"/>
          <w:color w:val="111111"/>
          <w:sz w:val="28"/>
          <w:szCs w:val="28"/>
          <w:rtl/>
        </w:rPr>
        <w:t xml:space="preserve">فوائد التتشورية، ج 12، ص189.</w:t>
      </w:r>
    </w:p>
    <w:p>
      <w:pPr>
        <w:pStyle w:val="Heading2"/>
      </w:pPr>
      <w:bookmarkStart w:id="3080" w:name="_Toc2182"/>
      <w:r>
        <w:t>تتوي ، احمد بن نصر الله - 996 ه-</w:t>
      </w:r>
      <w:bookmarkEnd w:id="3080"/>
    </w:p>
    <w:p>
      <w:pPr>
        <w:pStyle w:val="BookText"/>
      </w:pPr>
      <w:r>
        <w:rPr>
          <w:rFonts w:ascii="Amiri" w:hAnsi="Amiri" w:eastAsia="Amiri" w:cs="Amiri"/>
          <w:lang w:bidi="ar-SA"/>
          <w:color w:val="111111"/>
          <w:sz w:val="28"/>
          <w:szCs w:val="28"/>
          <w:rtl/>
        </w:rPr>
        <w:t xml:space="preserve">اخلاق تتوي، ج 1، ص 576.</w:t>
      </w:r>
    </w:p>
    <w:p>
      <w:pPr>
        <w:pStyle w:val="Heading2"/>
      </w:pPr>
      <w:bookmarkStart w:id="3081" w:name="_Toc2183"/>
      <w:r>
        <w:t>تجاري ، مجد بن حسن</w:t>
      </w:r>
      <w:bookmarkEnd w:id="3081"/>
    </w:p>
    <w:p>
      <w:pPr>
        <w:pStyle w:val="BookText"/>
      </w:pPr>
      <w:r>
        <w:rPr>
          <w:rFonts w:ascii="Amiri" w:hAnsi="Amiri" w:eastAsia="Amiri" w:cs="Amiri"/>
          <w:lang w:bidi="ar-SA"/>
          <w:color w:val="111111"/>
          <w:sz w:val="28"/>
          <w:szCs w:val="28"/>
          <w:rtl/>
        </w:rPr>
        <w:t xml:space="preserve">بضاعة المجود، ج 3، ص 352.</w:t>
      </w:r>
    </w:p>
    <w:p>
      <w:pPr>
        <w:pStyle w:val="Heading2"/>
      </w:pPr>
      <w:bookmarkStart w:id="3082" w:name="_Toc2184"/>
      <w:r>
        <w:t>تجاني ، محمّد بن احمد قرن 8 ه-</w:t>
      </w:r>
      <w:bookmarkEnd w:id="3082"/>
    </w:p>
    <w:p>
      <w:pPr>
        <w:pStyle w:val="BookText"/>
      </w:pPr>
      <w:r>
        <w:rPr>
          <w:rFonts w:ascii="Amiri" w:hAnsi="Amiri" w:eastAsia="Amiri" w:cs="Amiri"/>
          <w:lang w:bidi="ar-SA"/>
          <w:color w:val="111111"/>
          <w:sz w:val="28"/>
          <w:szCs w:val="28"/>
          <w:rtl/>
        </w:rPr>
        <w:t xml:space="preserve">تحفة العروس و متعة (نزهة) النفوس، ج 3، ص 869.</w:t>
      </w:r>
    </w:p>
    <w:p>
      <w:pPr>
        <w:pStyle w:val="Heading2"/>
      </w:pPr>
      <w:bookmarkStart w:id="3083" w:name="_Toc2185"/>
      <w:r>
        <w:t>تجلي شيرازي عليرضا بن حسين -1085ه-</w:t>
      </w:r>
      <w:bookmarkEnd w:id="3083"/>
    </w:p>
    <w:p>
      <w:pPr>
        <w:pStyle w:val="BookText"/>
      </w:pPr>
      <w:r>
        <w:rPr>
          <w:rFonts w:ascii="Amiri" w:hAnsi="Amiri" w:eastAsia="Amiri" w:cs="Amiri"/>
          <w:lang w:bidi="ar-SA"/>
          <w:color w:val="111111"/>
          <w:sz w:val="28"/>
          <w:szCs w:val="28"/>
          <w:rtl/>
        </w:rPr>
        <w:t xml:space="preserve">1 .حاشيه حاشيه تهذيب المنطق، جه،</w:t>
      </w:r>
    </w:p>
    <w:p>
      <w:pPr>
        <w:pStyle w:val="BookText"/>
      </w:pPr>
      <w:r>
        <w:rPr>
          <w:rFonts w:ascii="IRNazanin" w:hAnsi="IRNazanin" w:eastAsia="IRNazanin" w:cs="IRNazanin"/>
          <w:lang w:bidi="fa-IR"/>
          <w:color w:val="111111"/>
          <w:sz w:val="28"/>
          <w:szCs w:val="28"/>
          <w:rtl/>
        </w:rPr>
        <w:t xml:space="preserve">ص 773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صلاة الجمعة، ج 10، ص 601.</w:t>
      </w:r>
    </w:p>
    <w:p>
      <w:pPr>
        <w:pStyle w:val="BookText"/>
      </w:pPr>
      <w:r>
        <w:rPr>
          <w:rFonts w:ascii="Amiri" w:hAnsi="Amiri" w:eastAsia="Amiri" w:cs="Amiri"/>
          <w:lang w:bidi="ar-SA"/>
          <w:color w:val="111111"/>
          <w:sz w:val="28"/>
          <w:szCs w:val="28"/>
          <w:rtl/>
        </w:rPr>
        <w:t xml:space="preserve">تجيبي ، احمد بن معد- اقليشي ، احمد</w:t>
      </w:r>
    </w:p>
    <w:p>
      <w:pPr>
        <w:pStyle w:val="BookText"/>
      </w:pPr>
      <w:r>
        <w:rPr>
          <w:rFonts w:ascii="IRNazanin" w:hAnsi="IRNazanin" w:eastAsia="IRNazanin" w:cs="IRNazanin"/>
          <w:lang w:bidi="fa-IR"/>
          <w:color w:val="111111"/>
          <w:sz w:val="28"/>
          <w:szCs w:val="28"/>
          <w:rtl/>
        </w:rPr>
        <w:t xml:space="preserve">بن معد</w:t>
      </w:r>
    </w:p>
    <w:p>
      <w:pPr>
        <w:pStyle w:val="BookText"/>
      </w:pPr>
      <w:r>
        <w:rPr>
          <w:rFonts w:ascii="Amiri" w:hAnsi="Amiri" w:eastAsia="Amiri" w:cs="Amiri"/>
          <w:lang w:bidi="ar-SA"/>
          <w:color w:val="111111"/>
          <w:sz w:val="28"/>
          <w:szCs w:val="28"/>
          <w:rtl/>
        </w:rPr>
        <w:t xml:space="preserve">تجيبي ، عبد الرحمن بن عمر- ابن نحاس ،</w:t>
      </w:r>
    </w:p>
    <w:p>
      <w:pPr>
        <w:pStyle w:val="BookText"/>
      </w:pPr>
      <w:r>
        <w:rPr>
          <w:rFonts w:ascii="IRNazanin" w:hAnsi="IRNazanin" w:eastAsia="IRNazanin" w:cs="IRNazanin"/>
          <w:lang w:bidi="fa-IR"/>
          <w:color w:val="111111"/>
          <w:sz w:val="28"/>
          <w:szCs w:val="28"/>
          <w:rtl/>
        </w:rPr>
        <w:t xml:space="preserve">عبد الرحمن بن عمر</w:t>
      </w:r>
    </w:p>
    <w:p>
      <w:pPr>
        <w:pStyle w:val="BookText"/>
      </w:pPr>
      <w:r>
        <w:rPr>
          <w:rFonts w:ascii="Amiri" w:hAnsi="Amiri" w:eastAsia="Amiri" w:cs="Amiri"/>
          <w:lang w:bidi="ar-SA"/>
          <w:color w:val="111111"/>
          <w:sz w:val="28"/>
          <w:szCs w:val="28"/>
          <w:rtl/>
        </w:rPr>
        <w:t xml:space="preserve">تحاريري ، علي بن احمد -عاملي ، علي بن</w:t>
      </w:r>
    </w:p>
    <w:p>
      <w:pPr>
        <w:pStyle w:val="BookText"/>
      </w:pPr>
      <w:r>
        <w:rPr>
          <w:rFonts w:ascii="IRNazanin" w:hAnsi="IRNazanin" w:eastAsia="IRNazanin" w:cs="IRNazanin"/>
          <w:lang w:bidi="fa-IR"/>
          <w:color w:val="111111"/>
          <w:sz w:val="28"/>
          <w:szCs w:val="28"/>
          <w:rtl/>
        </w:rPr>
        <w:t xml:space="preserve">احمد -</w:t>
      </w:r>
    </w:p>
    <w:p>
      <w:pPr>
        <w:pStyle w:val="BookText"/>
      </w:pPr>
      <w:r>
        <w:rPr>
          <w:rFonts w:ascii="Amiri" w:hAnsi="Amiri" w:eastAsia="Amiri" w:cs="Amiri"/>
          <w:lang w:bidi="ar-SA"/>
          <w:color w:val="111111"/>
          <w:sz w:val="28"/>
          <w:szCs w:val="28"/>
          <w:rtl/>
        </w:rPr>
        <w:t xml:space="preserve">تختي كردستاني ، عبد القادر بن محمّد</w:t>
      </w:r>
    </w:p>
    <w:p>
      <w:pPr>
        <w:pStyle w:val="BookText"/>
      </w:pPr>
      <w:r>
        <w:rPr>
          <w:rFonts w:ascii="Amiri" w:hAnsi="Amiri" w:eastAsia="Amiri" w:cs="Amiri"/>
          <w:lang w:bidi="ar-SA"/>
          <w:color w:val="111111"/>
          <w:sz w:val="28"/>
          <w:szCs w:val="28"/>
          <w:rtl/>
        </w:rPr>
        <w:t xml:space="preserve">سعيد -كردي ، عبد القادر بن محمّد سعيد</w:t>
      </w:r>
    </w:p>
    <w:p>
      <w:pPr>
        <w:pStyle w:val="Heading2"/>
      </w:pPr>
      <w:bookmarkStart w:id="3084" w:name="_Toc2186"/>
      <w:r>
        <w:t>تدرومي، يوسف بن قورقماز - 807 ه-</w:t>
      </w:r>
      <w:bookmarkEnd w:id="3084"/>
    </w:p>
    <w:p>
      <w:pPr>
        <w:pStyle w:val="BookText"/>
      </w:pPr>
      <w:r>
        <w:rPr>
          <w:rFonts w:ascii="IRNazanin" w:hAnsi="IRNazanin" w:eastAsia="IRNazanin" w:cs="IRNazanin"/>
          <w:lang w:bidi="fa-IR"/>
          <w:color w:val="111111"/>
          <w:sz w:val="28"/>
          <w:szCs w:val="28"/>
          <w:rtl/>
        </w:rPr>
        <w:t xml:space="preserve">قابس الانوار و جامع الاسرار، ج 12،</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Amiri" w:hAnsi="Amiri" w:eastAsia="Amiri" w:cs="Amiri"/>
          <w:lang w:bidi="ar-SA"/>
          <w:color w:val="111111"/>
          <w:sz w:val="28"/>
          <w:szCs w:val="28"/>
          <w:rtl/>
        </w:rPr>
        <w:t xml:space="preserve">تدمري ، اسحاق بن ابراهيم -دميري ،</w:t>
      </w:r>
    </w:p>
    <w:p>
      <w:pPr>
        <w:pStyle w:val="BookText"/>
      </w:pPr>
      <w:r>
        <w:rPr>
          <w:rFonts w:ascii="Amiri" w:hAnsi="Amiri" w:eastAsia="Amiri" w:cs="Amiri"/>
          <w:lang w:bidi="ar-SA"/>
          <w:color w:val="111111"/>
          <w:sz w:val="28"/>
          <w:szCs w:val="28"/>
          <w:rtl/>
        </w:rPr>
        <w:t xml:space="preserve">اسحاق بن ابراهيم</w:t>
      </w:r>
    </w:p>
    <w:p>
      <w:pPr>
        <w:pStyle w:val="Heading2"/>
      </w:pPr>
      <w:bookmarkStart w:id="3085" w:name="_Toc2187"/>
      <w:r>
        <w:t>ترازيا - 1582 م</w:t>
      </w:r>
      <w:bookmarkEnd w:id="3085"/>
    </w:p>
    <w:p>
      <w:pPr>
        <w:pStyle w:val="BookText"/>
      </w:pPr>
      <w:r>
        <w:rPr>
          <w:rFonts w:ascii="Amiri" w:hAnsi="Amiri" w:eastAsia="Amiri" w:cs="Amiri"/>
          <w:lang w:bidi="ar-SA"/>
          <w:color w:val="111111"/>
          <w:sz w:val="28"/>
          <w:szCs w:val="28"/>
          <w:rtl/>
        </w:rPr>
        <w:t xml:space="preserve">الجمل المفيدة للنفس السعيدة، ج 5،</w:t>
      </w:r>
    </w:p>
    <w:p>
      <w:pPr>
        <w:pStyle w:val="BookText"/>
      </w:pPr>
      <w:r>
        <w:rPr>
          <w:rFonts w:ascii="IRNazanin" w:hAnsi="IRNazanin" w:eastAsia="IRNazanin" w:cs="IRNazanin"/>
          <w:lang w:bidi="fa-IR"/>
          <w:color w:val="111111"/>
          <w:sz w:val="28"/>
          <w:szCs w:val="28"/>
          <w:rtl/>
        </w:rPr>
        <w:t xml:space="preserve">ص 447 .</w:t>
      </w:r>
    </w:p>
    <w:p>
      <w:pPr>
        <w:pStyle w:val="Heading2"/>
      </w:pPr>
      <w:bookmarkStart w:id="3086" w:name="_Toc2188"/>
      <w:r>
        <w:t>ترانشي</w:t>
      </w:r>
      <w:bookmarkEnd w:id="3086"/>
    </w:p>
    <w:p>
      <w:pPr>
        <w:pStyle w:val="BookText"/>
      </w:pPr>
      <w:r>
        <w:rPr>
          <w:rFonts w:ascii="Amiri" w:hAnsi="Amiri" w:eastAsia="Amiri" w:cs="Amiri"/>
          <w:lang w:bidi="ar-SA"/>
          <w:color w:val="111111"/>
          <w:sz w:val="28"/>
          <w:szCs w:val="28"/>
          <w:rtl/>
        </w:rPr>
        <w:t xml:space="preserve">حاشية شرح رسالة الاستعارة، ج 6،</w:t>
      </w:r>
    </w:p>
    <w:p>
      <w:pPr>
        <w:pStyle w:val="BookText"/>
      </w:pPr>
      <w:r>
        <w:rPr>
          <w:rFonts w:ascii="IRNazanin" w:hAnsi="IRNazanin" w:eastAsia="IRNazanin" w:cs="IRNazanin"/>
          <w:lang w:bidi="fa-IR"/>
          <w:color w:val="111111"/>
          <w:sz w:val="28"/>
          <w:szCs w:val="28"/>
          <w:rtl/>
        </w:rPr>
        <w:t xml:space="preserve">ص 110.</w:t>
      </w:r>
    </w:p>
    <w:p>
      <w:pPr>
        <w:pStyle w:val="BookText"/>
      </w:pPr>
      <w:r>
        <w:rPr>
          <w:rFonts w:ascii="Amiri" w:hAnsi="Amiri" w:eastAsia="Amiri" w:cs="Amiri"/>
          <w:lang w:bidi="ar-SA"/>
          <w:color w:val="111111"/>
          <w:sz w:val="28"/>
          <w:szCs w:val="28"/>
          <w:rtl/>
        </w:rPr>
        <w:t xml:space="preserve">تربتي هروي ، حسن بن غياث الدين- حسيني هروي ، حسين بن غياث</w:t>
      </w:r>
    </w:p>
    <w:p>
      <w:pPr>
        <w:pStyle w:val="BookText"/>
      </w:pPr>
      <w:r>
        <w:rPr>
          <w:rFonts w:ascii="Amiri" w:hAnsi="Amiri" w:eastAsia="Amiri" w:cs="Amiri"/>
          <w:lang w:bidi="ar-SA"/>
          <w:color w:val="111111"/>
          <w:sz w:val="28"/>
          <w:szCs w:val="28"/>
          <w:rtl/>
        </w:rPr>
        <w:t xml:space="preserve">الدين</w:t>
      </w:r>
    </w:p>
    <w:p>
      <w:pPr>
        <w:pStyle w:val="Heading2"/>
      </w:pPr>
      <w:bookmarkStart w:id="3087" w:name="_Toc2189"/>
      <w:r>
        <w:t>ترجماني ، عبدالرحيم بن عمر - 645 ه-</w:t>
      </w:r>
      <w:bookmarkEnd w:id="3087"/>
    </w:p>
    <w:p>
      <w:pPr>
        <w:pStyle w:val="BookText"/>
      </w:pPr>
      <w:r>
        <w:rPr>
          <w:rFonts w:ascii="Amiri" w:hAnsi="Amiri" w:eastAsia="Amiri" w:cs="Amiri"/>
          <w:lang w:bidi="ar-SA"/>
          <w:color w:val="111111"/>
          <w:sz w:val="28"/>
          <w:szCs w:val="28"/>
          <w:rtl/>
        </w:rPr>
        <w:t xml:space="preserve">يتيمة الدهر في فتاوى العصر، ج 16،</w:t>
      </w:r>
    </w:p>
    <w:p>
      <w:pPr>
        <w:pStyle w:val="BookText"/>
      </w:pPr>
      <w:r>
        <w:rPr>
          <w:rFonts w:ascii="IRNazanin" w:hAnsi="IRNazanin" w:eastAsia="IRNazanin" w:cs="IRNazanin"/>
          <w:lang w:bidi="fa-IR"/>
          <w:color w:val="111111"/>
          <w:sz w:val="28"/>
          <w:szCs w:val="28"/>
          <w:rtl/>
        </w:rPr>
        <w:t xml:space="preserve">ص 893 .</w:t>
      </w:r>
    </w:p>
    <w:p>
      <w:pPr>
        <w:pStyle w:val="BookText"/>
      </w:pPr>
      <w:r>
        <w:rPr>
          <w:rFonts w:ascii="Amiri" w:hAnsi="Amiri" w:eastAsia="Amiri" w:cs="Amiri"/>
          <w:lang w:bidi="ar-SA"/>
          <w:color w:val="111111"/>
          <w:sz w:val="28"/>
          <w:szCs w:val="28"/>
          <w:rtl/>
        </w:rPr>
        <w:t xml:space="preserve">ترجماني ، محّمد بن محمود- خوارزمي</w:t>
      </w:r>
    </w:p>
    <w:p>
      <w:pPr>
        <w:pStyle w:val="BookText"/>
      </w:pPr>
      <w:r>
        <w:rPr>
          <w:rFonts w:ascii="IRNazanin" w:hAnsi="IRNazanin" w:eastAsia="IRNazanin" w:cs="IRNazanin"/>
          <w:lang w:bidi="fa-IR"/>
          <w:color w:val="111111"/>
          <w:sz w:val="28"/>
          <w:szCs w:val="28"/>
          <w:rtl/>
        </w:rPr>
        <w:t xml:space="preserve">محمّد بن محمود</w:t>
      </w:r>
    </w:p>
    <w:p>
      <w:pPr>
        <w:pStyle w:val="BookText"/>
      </w:pPr>
      <w:r>
        <w:rPr>
          <w:rFonts w:ascii="Amiri" w:hAnsi="Amiri" w:eastAsia="Amiri" w:cs="Amiri"/>
          <w:lang w:bidi="ar-SA"/>
          <w:color w:val="111111"/>
          <w:sz w:val="28"/>
          <w:szCs w:val="28"/>
          <w:rtl/>
        </w:rPr>
        <w:t xml:space="preserve">ترشيزي ، احمد بن اسماعيل - خراساني</w:t>
      </w:r>
    </w:p>
    <w:p>
      <w:pPr>
        <w:pStyle w:val="BookText"/>
      </w:pPr>
      <w:r>
        <w:rPr>
          <w:rFonts w:ascii="Amiri" w:hAnsi="Amiri" w:eastAsia="Amiri" w:cs="Amiri"/>
          <w:lang w:bidi="ar-SA"/>
          <w:color w:val="111111"/>
          <w:sz w:val="28"/>
          <w:szCs w:val="28"/>
          <w:rtl/>
        </w:rPr>
        <w:t xml:space="preserve">ترشيزي ، احمد بن اسماعيل</w:t>
      </w:r>
    </w:p>
    <w:p>
      <w:pPr>
        <w:pStyle w:val="BookText"/>
      </w:pPr>
      <w:r>
        <w:rPr>
          <w:rFonts w:ascii="Amiri" w:hAnsi="Amiri" w:eastAsia="Amiri" w:cs="Amiri"/>
          <w:lang w:bidi="ar-SA"/>
          <w:color w:val="111111"/>
          <w:sz w:val="28"/>
          <w:szCs w:val="28"/>
          <w:rtl/>
        </w:rPr>
        <w:t xml:space="preserve">ترشيزي ، نورالدين محمّد -ظهوري</w:t>
      </w:r>
    </w:p>
    <w:p>
      <w:pPr>
        <w:pStyle w:val="BookText"/>
      </w:pPr>
      <w:r>
        <w:rPr>
          <w:rFonts w:ascii="Amiri" w:hAnsi="Amiri" w:eastAsia="Amiri" w:cs="Amiri"/>
          <w:lang w:bidi="ar-SA"/>
          <w:color w:val="111111"/>
          <w:sz w:val="28"/>
          <w:szCs w:val="28"/>
          <w:rtl/>
        </w:rPr>
        <w:t xml:space="preserve">ترشيزي ، نورالدين محمّد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8" w:name="pg7742_69982"/>
    <w:bookmarkEnd w:id="298"/>
    <w:p>
      <w:pPr>
        <w:pStyle w:val="BookText"/>
      </w:pPr>
      <w:r>
        <w:rPr>
          <w:rFonts w:ascii="Amiri" w:hAnsi="Amiri" w:eastAsia="Amiri" w:cs="Amiri"/>
          <w:lang w:bidi="ar-SA"/>
          <w:color w:val="111111"/>
          <w:sz w:val="28"/>
          <w:szCs w:val="28"/>
          <w:rtl/>
        </w:rPr>
        <w:t xml:space="preserve">ترك آبادي ، محمّد بن محمّد علي- كاشاني</w:t>
      </w:r>
    </w:p>
    <w:p>
      <w:pPr>
        <w:pStyle w:val="BookText"/>
      </w:pPr>
      <w:r>
        <w:rPr>
          <w:rFonts w:ascii="Amiri" w:hAnsi="Amiri" w:eastAsia="Amiri" w:cs="Amiri"/>
          <w:lang w:bidi="ar-SA"/>
          <w:color w:val="111111"/>
          <w:sz w:val="28"/>
          <w:szCs w:val="28"/>
          <w:rtl/>
        </w:rPr>
        <w:t xml:space="preserve">ترك آبادي ، محمّد بن محمّد علي</w:t>
      </w:r>
    </w:p>
    <w:p>
      <w:pPr>
        <w:pStyle w:val="Heading2"/>
      </w:pPr>
      <w:bookmarkStart w:id="3088" w:name="_Toc2190"/>
      <w:r>
        <w:t>ترك ، حسن</w:t>
      </w:r>
      <w:bookmarkEnd w:id="3088"/>
    </w:p>
    <w:p>
      <w:pPr>
        <w:pStyle w:val="BookText"/>
      </w:pPr>
      <w:r>
        <w:rPr>
          <w:rFonts w:ascii="Amiri" w:hAnsi="Amiri" w:eastAsia="Amiri" w:cs="Amiri"/>
          <w:lang w:bidi="ar-SA"/>
          <w:color w:val="111111"/>
          <w:sz w:val="28"/>
          <w:szCs w:val="28"/>
          <w:rtl/>
        </w:rPr>
        <w:t xml:space="preserve">الطهارة، ج 10، ص 860.</w:t>
      </w:r>
    </w:p>
    <w:p>
      <w:pPr>
        <w:pStyle w:val="BookText"/>
      </w:pPr>
      <w:r>
        <w:rPr>
          <w:rFonts w:ascii="Amiri" w:hAnsi="Amiri" w:eastAsia="Amiri" w:cs="Amiri"/>
          <w:lang w:bidi="ar-SA"/>
          <w:color w:val="111111"/>
          <w:sz w:val="28"/>
          <w:szCs w:val="28"/>
          <w:rtl/>
        </w:rPr>
        <w:t xml:space="preserve">تركزي ، محمّد محمود بن</w:t>
      </w:r>
    </w:p>
    <w:p>
      <w:pPr>
        <w:pStyle w:val="BookText"/>
      </w:pPr>
      <w:r>
        <w:rPr>
          <w:rFonts w:ascii="Amiri" w:hAnsi="Amiri" w:eastAsia="Amiri" w:cs="Amiri"/>
          <w:lang w:bidi="ar-SA"/>
          <w:color w:val="111111"/>
          <w:sz w:val="28"/>
          <w:szCs w:val="28"/>
          <w:rtl/>
        </w:rPr>
        <w:t xml:space="preserve">احمد -شنقيطي ، محمّد محمود بن احمد</w:t>
      </w:r>
    </w:p>
    <w:p>
      <w:pPr>
        <w:pStyle w:val="BookText"/>
      </w:pPr>
      <w:r>
        <w:rPr>
          <w:rFonts w:ascii="Amiri" w:hAnsi="Amiri" w:eastAsia="Amiri" w:cs="Amiri"/>
          <w:lang w:bidi="ar-SA"/>
          <w:color w:val="111111"/>
          <w:sz w:val="28"/>
          <w:szCs w:val="28"/>
          <w:rtl/>
        </w:rPr>
        <w:t xml:space="preserve">تركستاني ، عبد المؤمن- اشكي تركستاني ،</w:t>
      </w:r>
    </w:p>
    <w:p>
      <w:pPr>
        <w:pStyle w:val="BookText"/>
      </w:pPr>
      <w:r>
        <w:rPr>
          <w:rFonts w:ascii="IRNazanin" w:hAnsi="IRNazanin" w:eastAsia="IRNazanin" w:cs="IRNazanin"/>
          <w:lang w:bidi="fa-IR"/>
          <w:color w:val="111111"/>
          <w:sz w:val="28"/>
          <w:szCs w:val="28"/>
          <w:rtl/>
        </w:rPr>
        <w:t xml:space="preserve">عبد المؤمن</w:t>
      </w:r>
    </w:p>
    <w:p>
      <w:pPr>
        <w:pStyle w:val="Heading2"/>
      </w:pPr>
      <w:bookmarkStart w:id="3089" w:name="_Toc2191"/>
      <w:r>
        <w:t>تركستاني ، فخرالدین، قرن 11 ه-</w:t>
      </w:r>
      <w:bookmarkEnd w:id="3089"/>
    </w:p>
    <w:p>
      <w:pPr>
        <w:pStyle w:val="BookText"/>
      </w:pPr>
      <w:r>
        <w:rPr>
          <w:rFonts w:ascii="Amiri" w:hAnsi="Amiri" w:eastAsia="Amiri" w:cs="Amiri"/>
          <w:lang w:bidi="ar-SA"/>
          <w:color w:val="111111"/>
          <w:sz w:val="28"/>
          <w:szCs w:val="28"/>
          <w:rtl/>
        </w:rPr>
        <w:t xml:space="preserve">1 .ترجمة حديث فيه معاجز لأمير المؤمنين، ج 4، ص 265.</w:t>
      </w:r>
    </w:p>
    <w:p>
      <w:pPr>
        <w:pStyle w:val="BookText"/>
      </w:pPr>
      <w:r>
        <w:rPr>
          <w:rFonts w:ascii="IRNazanin" w:hAnsi="IRNazanin" w:eastAsia="IRNazanin" w:cs="IRNazanin"/>
          <w:lang w:bidi="fa-IR"/>
          <w:color w:val="111111"/>
          <w:sz w:val="28"/>
          <w:szCs w:val="28"/>
          <w:rtl/>
        </w:rPr>
        <w:t xml:space="preserve">2.توحید مفضل ترجمه و شرح</w:t>
      </w:r>
    </w:p>
    <w:p>
      <w:pPr>
        <w:pStyle w:val="BookText"/>
      </w:pPr>
      <w:r>
        <w:rPr>
          <w:rFonts w:ascii="IRNazanin" w:hAnsi="IRNazanin" w:eastAsia="IRNazanin" w:cs="IRNazanin"/>
          <w:lang w:bidi="fa-IR"/>
          <w:color w:val="111111"/>
          <w:sz w:val="28"/>
          <w:szCs w:val="28"/>
          <w:rtl/>
        </w:rPr>
        <w:t xml:space="preserve">ج 5، ص 159.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حديث الغمامة = شرح حديث البساط، ج9، ص 394.</w:t>
      </w:r>
    </w:p>
    <w:p>
      <w:pPr>
        <w:pStyle w:val="Heading2"/>
      </w:pPr>
      <w:bookmarkStart w:id="3090" w:name="_Toc2192"/>
      <w:r>
        <w:t>تركماني ، ادريس بن بيدكين - 800 ه-</w:t>
      </w:r>
      <w:bookmarkEnd w:id="3090"/>
    </w:p>
    <w:p>
      <w:pPr>
        <w:pStyle w:val="BookText"/>
      </w:pPr>
      <w:r>
        <w:rPr>
          <w:rFonts w:ascii="Amiri" w:hAnsi="Amiri" w:eastAsia="Amiri" w:cs="Amiri"/>
          <w:lang w:bidi="ar-SA"/>
          <w:color w:val="111111"/>
          <w:sz w:val="28"/>
          <w:szCs w:val="28"/>
          <w:rtl/>
        </w:rPr>
        <w:t xml:space="preserve">الحجة والبرهان على فتيان هذا</w:t>
      </w:r>
    </w:p>
    <w:p>
      <w:pPr>
        <w:pStyle w:val="BookText"/>
      </w:pPr>
      <w:r>
        <w:rPr>
          <w:rFonts w:ascii="IRNazanin" w:hAnsi="IRNazanin" w:eastAsia="IRNazanin" w:cs="IRNazanin"/>
          <w:lang w:bidi="fa-IR"/>
          <w:color w:val="111111"/>
          <w:sz w:val="28"/>
          <w:szCs w:val="28"/>
          <w:rtl/>
        </w:rPr>
        <w:t xml:space="preserve">الزمان، ج6، ص 488.</w:t>
      </w:r>
    </w:p>
    <w:p>
      <w:pPr>
        <w:pStyle w:val="Heading2"/>
      </w:pPr>
      <w:bookmarkStart w:id="3091" w:name="_Toc2193"/>
      <w:r>
        <w:t>تركماني، عثمان بن ابراهيم 2650-731ه-</w:t>
      </w:r>
      <w:bookmarkEnd w:id="3091"/>
    </w:p>
    <w:p>
      <w:pPr>
        <w:pStyle w:val="BookText"/>
      </w:pPr>
      <w:r>
        <w:rPr>
          <w:rFonts w:ascii="Amiri" w:hAnsi="Amiri" w:eastAsia="Amiri" w:cs="Amiri"/>
          <w:lang w:bidi="ar-SA"/>
          <w:color w:val="111111"/>
          <w:sz w:val="28"/>
          <w:szCs w:val="28"/>
          <w:rtl/>
        </w:rPr>
        <w:t xml:space="preserve">حاشية الدرر، ج 5، ص 867.</w:t>
      </w:r>
    </w:p>
    <w:p>
      <w:pPr>
        <w:pStyle w:val="BookText"/>
      </w:pPr>
      <w:r>
        <w:rPr>
          <w:rFonts w:ascii="Amiri" w:hAnsi="Amiri" w:eastAsia="Amiri" w:cs="Amiri"/>
          <w:lang w:bidi="ar-SA"/>
          <w:color w:val="111111"/>
          <w:sz w:val="28"/>
          <w:szCs w:val="28"/>
          <w:rtl/>
        </w:rPr>
        <w:t xml:space="preserve">تركماني ، علي بن عثمان- ابن تركماني ،</w:t>
      </w:r>
    </w:p>
    <w:p>
      <w:pPr>
        <w:pStyle w:val="BookText"/>
      </w:pPr>
      <w:r>
        <w:rPr>
          <w:rFonts w:ascii="Amiri" w:hAnsi="Amiri" w:eastAsia="Amiri" w:cs="Amiri"/>
          <w:lang w:bidi="ar-SA"/>
          <w:color w:val="111111"/>
          <w:sz w:val="28"/>
          <w:szCs w:val="28"/>
          <w:rtl/>
        </w:rPr>
        <w:t xml:space="preserve">علي بن عثمان</w:t>
      </w:r>
    </w:p>
    <w:p>
      <w:pPr>
        <w:pStyle w:val="BookText"/>
      </w:pPr>
      <w:r>
        <w:rPr>
          <w:rFonts w:ascii="Amiri" w:hAnsi="Amiri" w:eastAsia="Amiri" w:cs="Amiri"/>
          <w:lang w:bidi="ar-SA"/>
          <w:color w:val="111111"/>
          <w:sz w:val="28"/>
          <w:szCs w:val="28"/>
          <w:rtl/>
        </w:rPr>
        <w:t xml:space="preserve">تركمان فراهي ، برخوردار بن</w:t>
      </w:r>
    </w:p>
    <w:p>
      <w:pPr>
        <w:pStyle w:val="BookText"/>
      </w:pPr>
      <w:r>
        <w:rPr>
          <w:rFonts w:ascii="Amiri" w:hAnsi="Amiri" w:eastAsia="Amiri" w:cs="Amiri"/>
          <w:lang w:bidi="ar-SA"/>
          <w:color w:val="111111"/>
          <w:sz w:val="28"/>
          <w:szCs w:val="28"/>
          <w:rtl/>
        </w:rPr>
        <w:t xml:space="preserve">محمود -فراهي ، برخوردار بن محمود</w:t>
      </w:r>
    </w:p>
    <w:p>
      <w:pPr>
        <w:pStyle w:val="Heading2"/>
      </w:pPr>
      <w:bookmarkStart w:id="3092" w:name="_Toc2194"/>
      <w:r>
        <w:t>تركماني ، محمّد بن احمد، 714 - 750 ه-</w:t>
      </w:r>
      <w:bookmarkEnd w:id="3092"/>
    </w:p>
    <w:p>
      <w:pPr>
        <w:pStyle w:val="BookText"/>
      </w:pPr>
      <w:r>
        <w:rPr>
          <w:rFonts w:ascii="Amiri" w:hAnsi="Amiri" w:eastAsia="Amiri" w:cs="Amiri"/>
          <w:lang w:bidi="ar-SA"/>
          <w:color w:val="111111"/>
          <w:sz w:val="28"/>
          <w:szCs w:val="28"/>
          <w:rtl/>
        </w:rPr>
        <w:t xml:space="preserve">شرح الملخص في الهيئة، ج 10، ص 216.</w:t>
      </w:r>
    </w:p>
    <w:p>
      <w:pPr>
        <w:pStyle w:val="Heading2"/>
      </w:pPr>
      <w:bookmarkStart w:id="3093" w:name="_Toc2195"/>
      <w:r>
        <w:t>ترکه اصفهاني ، خواجه افضل الدین قرن 10ه-</w:t>
      </w:r>
      <w:bookmarkEnd w:id="3093"/>
    </w:p>
    <w:p>
      <w:pPr>
        <w:pStyle w:val="BookText"/>
      </w:pPr>
      <w:r>
        <w:rPr>
          <w:rFonts w:ascii="Amiri" w:hAnsi="Amiri" w:eastAsia="Amiri" w:cs="Amiri"/>
          <w:lang w:bidi="ar-SA"/>
          <w:color w:val="111111"/>
          <w:sz w:val="28"/>
          <w:szCs w:val="28"/>
          <w:rtl/>
        </w:rPr>
        <w:t xml:space="preserve">تنقيح الادلة و العلل في ترجمة كتاب</w:t>
      </w:r>
    </w:p>
    <w:p>
      <w:pPr>
        <w:pStyle w:val="BookText"/>
      </w:pPr>
      <w:r>
        <w:rPr>
          <w:rFonts w:ascii="IRNazanin" w:hAnsi="IRNazanin" w:eastAsia="IRNazanin" w:cs="IRNazanin"/>
          <w:lang w:bidi="fa-IR"/>
          <w:color w:val="111111"/>
          <w:sz w:val="28"/>
          <w:szCs w:val="28"/>
          <w:rtl/>
        </w:rPr>
        <w:t xml:space="preserve">الملل و النحل، ج 5، ص 60.</w:t>
      </w:r>
    </w:p>
    <w:p>
      <w:pPr>
        <w:pStyle w:val="Heading2"/>
      </w:pPr>
      <w:bookmarkStart w:id="3094" w:name="_Toc2196"/>
      <w:r>
        <w:t>تركه اصفهاني ، علي بن محمّد - 836 ؟ ه-</w:t>
      </w:r>
      <w:bookmarkEnd w:id="3094"/>
    </w:p>
    <w:p>
      <w:pPr>
        <w:pStyle w:val="BookText"/>
      </w:pPr>
      <w:r>
        <w:rPr>
          <w:rFonts w:ascii="IRNazanin" w:hAnsi="IRNazanin" w:eastAsia="IRNazanin" w:cs="IRNazanin"/>
          <w:lang w:bidi="fa-IR"/>
          <w:color w:val="111111"/>
          <w:sz w:val="28"/>
          <w:szCs w:val="28"/>
          <w:rtl/>
        </w:rPr>
        <w:t xml:space="preserve">1 .اسرار العبادات، ج 2، ص 175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اطوار ثلاثه، ج2، ص 484.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خواص الحروف = مقبول الملوك =</w:t>
      </w:r>
    </w:p>
    <w:p>
      <w:pPr>
        <w:pStyle w:val="BookText"/>
      </w:pPr>
      <w:r>
        <w:rPr>
          <w:rFonts w:ascii="Amiri" w:hAnsi="Amiri" w:eastAsia="Amiri" w:cs="Amiri"/>
          <w:lang w:bidi="ar-SA"/>
          <w:color w:val="111111"/>
          <w:sz w:val="28"/>
          <w:szCs w:val="28"/>
          <w:rtl/>
        </w:rPr>
        <w:t xml:space="preserve">سؤال الملوك، ج 7، ص 174.</w:t>
      </w:r>
    </w:p>
    <w:p>
      <w:pPr>
        <w:pStyle w:val="BookText"/>
      </w:pPr>
      <w:r>
        <w:rPr>
          <w:rFonts w:ascii="Amiri" w:hAnsi="Amiri" w:eastAsia="Amiri" w:cs="Amiri"/>
          <w:lang w:bidi="ar-SA"/>
          <w:color w:val="111111"/>
          <w:sz w:val="28"/>
          <w:szCs w:val="28"/>
          <w:rtl/>
        </w:rPr>
        <w:t xml:space="preserve">4 .شرح رساله تجلي ذاتي = شرح كلمات ابن هود، ج 9، ص528</w:t>
      </w:r>
    </w:p>
    <w:p>
      <w:pPr>
        <w:pStyle w:val="BookText"/>
      </w:pPr>
      <w:r>
        <w:rPr>
          <w:rFonts w:ascii="IRNazanin" w:hAnsi="IRNazanin" w:eastAsia="IRNazanin" w:cs="IRNazanin"/>
          <w:lang w:bidi="fa-IR"/>
          <w:color w:val="111111"/>
          <w:sz w:val="28"/>
          <w:szCs w:val="28"/>
          <w:rtl/>
        </w:rPr>
        <w:t xml:space="preserve">5 .شق القمر، ج 10، ص398</w:t>
      </w:r>
    </w:p>
    <w:p>
      <w:pPr>
        <w:pStyle w:val="BookText"/>
      </w:pPr>
      <w:r>
        <w:rPr>
          <w:rFonts w:ascii="IRNazanin" w:hAnsi="IRNazanin" w:eastAsia="IRNazanin" w:cs="IRNazanin"/>
          <w:lang w:bidi="fa-IR"/>
          <w:color w:val="111111"/>
          <w:sz w:val="28"/>
          <w:szCs w:val="28"/>
          <w:rtl/>
        </w:rPr>
        <w:t xml:space="preserve">6 .ضوء اللمعات = شرح لمعات، ج 10،</w:t>
      </w:r>
    </w:p>
    <w:p>
      <w:pPr>
        <w:pStyle w:val="BookText"/>
      </w:pPr>
      <w:r>
        <w:rPr>
          <w:rFonts w:ascii="IRNazanin" w:hAnsi="IRNazanin" w:eastAsia="IRNazanin" w:cs="IRNazanin"/>
          <w:lang w:bidi="fa-IR"/>
          <w:color w:val="111111"/>
          <w:sz w:val="28"/>
          <w:szCs w:val="28"/>
          <w:rtl/>
        </w:rPr>
        <w:t xml:space="preserve">ص 700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معنى انا نقطة التي تحت الباء»</w:t>
      </w:r>
    </w:p>
    <w:p>
      <w:pPr>
        <w:pStyle w:val="BookText"/>
      </w:pPr>
      <w:r>
        <w:rPr>
          <w:rFonts w:ascii="IRNazanin" w:hAnsi="IRNazanin" w:eastAsia="IRNazanin" w:cs="IRNazanin"/>
          <w:lang w:bidi="fa-IR"/>
          <w:color w:val="111111"/>
          <w:sz w:val="28"/>
          <w:szCs w:val="28"/>
          <w:rtl/>
        </w:rPr>
        <w:t xml:space="preserve">= نقطه، ج 15، ص 90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مناظره بزم و رزم، ج 15 ، ص516.</w:t>
      </w:r>
    </w:p>
    <w:p>
      <w:pPr>
        <w:pStyle w:val="Heading2"/>
      </w:pPr>
      <w:bookmarkStart w:id="3095" w:name="_Toc2197"/>
      <w:r>
        <w:t>تركه طوسي، افضل الدین محمّد -991ه-</w:t>
      </w:r>
      <w:bookmarkEnd w:id="3095"/>
    </w:p>
    <w:p>
      <w:pPr>
        <w:pStyle w:val="BookText"/>
      </w:pPr>
      <w:r>
        <w:rPr>
          <w:rFonts w:ascii="IRNazanin" w:hAnsi="IRNazanin" w:eastAsia="IRNazanin" w:cs="IRNazanin"/>
          <w:lang w:bidi="fa-IR"/>
          <w:color w:val="111111"/>
          <w:sz w:val="28"/>
          <w:szCs w:val="28"/>
          <w:rtl/>
        </w:rPr>
        <w:t xml:space="preserve">1 .انموذج العلوم، ج 2، ص831</w:t>
      </w:r>
    </w:p>
    <w:p>
      <w:pPr>
        <w:pStyle w:val="BookText"/>
      </w:pPr>
      <w:r>
        <w:rPr>
          <w:rFonts w:ascii="Amiri" w:hAnsi="Amiri" w:eastAsia="Amiri" w:cs="Amiri"/>
          <w:lang w:bidi="ar-SA"/>
          <w:color w:val="111111"/>
          <w:sz w:val="28"/>
          <w:szCs w:val="28"/>
          <w:rtl/>
        </w:rPr>
        <w:t xml:space="preserve">2 .مسائل متفرقة، ج 14، ص 483.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نكات علمية مختلفة، ج 16،</w:t>
      </w:r>
    </w:p>
    <w:p>
      <w:pPr>
        <w:pStyle w:val="BookText"/>
      </w:pPr>
      <w:r>
        <w:rPr>
          <w:rFonts w:ascii="IRNazanin" w:hAnsi="IRNazanin" w:eastAsia="IRNazanin" w:cs="IRNazanin"/>
          <w:lang w:bidi="fa-IR"/>
          <w:color w:val="111111"/>
          <w:sz w:val="28"/>
          <w:szCs w:val="28"/>
          <w:rtl/>
        </w:rPr>
        <w:t xml:space="preserve">ص 457 .</w:t>
      </w:r>
    </w:p>
    <w:p>
      <w:pPr>
        <w:pStyle w:val="BookText"/>
      </w:pPr>
      <w:r>
        <w:rPr>
          <w:rFonts w:ascii="Amiri" w:hAnsi="Amiri" w:eastAsia="Amiri" w:cs="Amiri"/>
          <w:lang w:bidi="ar-SA"/>
          <w:color w:val="111111"/>
          <w:sz w:val="28"/>
          <w:szCs w:val="28"/>
          <w:rtl/>
        </w:rPr>
        <w:t xml:space="preserve">تركي ، محمّد بن مصطفى -صاغري</w:t>
      </w:r>
    </w:p>
    <w:p>
      <w:pPr>
        <w:pStyle w:val="BookText"/>
      </w:pPr>
      <w:r>
        <w:rPr>
          <w:rFonts w:ascii="IRNazanin" w:hAnsi="IRNazanin" w:eastAsia="IRNazanin" w:cs="IRNazanin"/>
          <w:lang w:bidi="fa-IR"/>
          <w:color w:val="111111"/>
          <w:sz w:val="28"/>
          <w:szCs w:val="28"/>
          <w:rtl/>
        </w:rPr>
        <w:t xml:space="preserve">محمّد بن مصطفى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9" w:name="pg7742_69984"/>
    <w:bookmarkEnd w:id="299"/>
    <w:p>
      <w:pPr>
        <w:pStyle w:val="Heading2"/>
      </w:pPr>
      <w:bookmarkStart w:id="3096" w:name="_Toc2198"/>
      <w:r>
        <w:t>ترمدي محمّد ابراهيم بن محمّد - 791ه-</w:t>
      </w:r>
      <w:bookmarkEnd w:id="3096"/>
    </w:p>
    <w:p>
      <w:pPr>
        <w:pStyle w:val="BookText"/>
      </w:pPr>
      <w:r>
        <w:rPr>
          <w:rFonts w:ascii="Amiri" w:hAnsi="Amiri" w:eastAsia="Amiri" w:cs="Amiri"/>
          <w:lang w:bidi="ar-SA"/>
          <w:color w:val="111111"/>
          <w:sz w:val="28"/>
          <w:szCs w:val="28"/>
          <w:rtl/>
        </w:rPr>
        <w:t xml:space="preserve">تنبيه الغافلين = وسائل المحبين جه،</w:t>
      </w:r>
    </w:p>
    <w:p>
      <w:pPr>
        <w:pStyle w:val="BookText"/>
      </w:pPr>
      <w:r>
        <w:rPr>
          <w:rFonts w:ascii="IRNazanin" w:hAnsi="IRNazanin" w:eastAsia="IRNazanin" w:cs="IRNazanin"/>
          <w:lang w:bidi="fa-IR"/>
          <w:color w:val="111111"/>
          <w:sz w:val="28"/>
          <w:szCs w:val="28"/>
          <w:rtl/>
        </w:rPr>
        <w:t xml:space="preserve">ص 34 .</w:t>
      </w:r>
    </w:p>
    <w:p>
      <w:pPr>
        <w:pStyle w:val="Heading2"/>
      </w:pPr>
      <w:bookmarkStart w:id="3097" w:name="_Toc2199"/>
      <w:r>
        <w:t>ترمذي ، ابو عبدالله قرن 3 ه-</w:t>
      </w:r>
      <w:bookmarkEnd w:id="3097"/>
    </w:p>
    <w:p>
      <w:pPr>
        <w:pStyle w:val="BookText"/>
      </w:pPr>
      <w:r>
        <w:rPr>
          <w:rFonts w:ascii="IRNazanin" w:hAnsi="IRNazanin" w:eastAsia="IRNazanin" w:cs="IRNazanin"/>
          <w:lang w:bidi="fa-IR"/>
          <w:color w:val="111111"/>
          <w:sz w:val="28"/>
          <w:szCs w:val="28"/>
          <w:rtl/>
        </w:rPr>
        <w:t xml:space="preserve">اثبات العلل، ج 1، ص 157</w:t>
      </w:r>
    </w:p>
    <w:p>
      <w:pPr>
        <w:pStyle w:val="Heading2"/>
      </w:pPr>
      <w:bookmarkStart w:id="3098" w:name="_Toc2200"/>
      <w:r>
        <w:t>ترمذي سمرقندي، محمّد معصوم، 944 -</w:t>
      </w:r>
      <w:bookmarkEnd w:id="3098"/>
    </w:p>
    <w:p>
      <w:pPr>
        <w:pStyle w:val="BookText"/>
      </w:pPr>
      <w:r>
        <w:rPr>
          <w:rFonts w:ascii="IRNazanin" w:hAnsi="IRNazanin" w:eastAsia="IRNazanin" w:cs="IRNazanin"/>
          <w:lang w:bidi="fa-IR"/>
          <w:color w:val="111111"/>
          <w:sz w:val="28"/>
          <w:szCs w:val="28"/>
          <w:rtl/>
        </w:rPr>
        <w:t xml:space="preserve">1019ه-</w:t>
      </w:r>
    </w:p>
    <w:p>
      <w:pPr>
        <w:pStyle w:val="BookText"/>
      </w:pPr>
      <w:r>
        <w:rPr>
          <w:rFonts w:ascii="IRNazanin" w:hAnsi="IRNazanin" w:eastAsia="IRNazanin" w:cs="IRNazanin"/>
          <w:lang w:bidi="fa-IR"/>
          <w:color w:val="111111"/>
          <w:sz w:val="28"/>
          <w:szCs w:val="28"/>
          <w:rtl/>
        </w:rPr>
        <w:t xml:space="preserve">مفردات صحت، ج 15 ، ص 245 .</w:t>
      </w:r>
    </w:p>
    <w:p>
      <w:pPr>
        <w:pStyle w:val="BookText"/>
      </w:pPr>
      <w:r>
        <w:rPr>
          <w:rFonts w:ascii="Amiri" w:hAnsi="Amiri" w:eastAsia="Amiri" w:cs="Amiri"/>
          <w:lang w:bidi="ar-SA"/>
          <w:color w:val="111111"/>
          <w:sz w:val="28"/>
          <w:szCs w:val="28"/>
          <w:rtl/>
        </w:rPr>
        <w:t xml:space="preserve">ترمذي كاشفي ، محمّد صالح بن عبد الله- كشفي ترمذي ، محمّد صالح بن عبدالله</w:t>
      </w:r>
    </w:p>
    <w:p>
      <w:pPr>
        <w:pStyle w:val="BookText"/>
      </w:pPr>
      <w:r>
        <w:rPr>
          <w:rFonts w:ascii="Amiri" w:hAnsi="Amiri" w:eastAsia="Amiri" w:cs="Amiri"/>
          <w:lang w:bidi="ar-SA"/>
          <w:color w:val="111111"/>
          <w:sz w:val="28"/>
          <w:szCs w:val="28"/>
          <w:rtl/>
        </w:rPr>
        <w:t xml:space="preserve">ترمذي ، محمّد بن علي -حكيم ترمذي ،</w:t>
      </w:r>
    </w:p>
    <w:p>
      <w:pPr>
        <w:pStyle w:val="BookText"/>
      </w:pPr>
      <w:r>
        <w:rPr>
          <w:rFonts w:ascii="Amiri" w:hAnsi="Amiri" w:eastAsia="Amiri" w:cs="Amiri"/>
          <w:lang w:bidi="ar-SA"/>
          <w:color w:val="111111"/>
          <w:sz w:val="28"/>
          <w:szCs w:val="28"/>
          <w:rtl/>
        </w:rPr>
        <w:t xml:space="preserve">محمّد بن علي</w:t>
      </w:r>
    </w:p>
    <w:p>
      <w:pPr>
        <w:pStyle w:val="Heading2"/>
      </w:pPr>
      <w:bookmarkStart w:id="3099" w:name="_Toc2201"/>
      <w:r>
        <w:t>ترمذي ، محمّد بن عيسى، 209 - 279 ه-</w:t>
      </w:r>
      <w:bookmarkEnd w:id="3099"/>
    </w:p>
    <w:p>
      <w:pPr>
        <w:pStyle w:val="BookText"/>
      </w:pPr>
      <w:r>
        <w:rPr>
          <w:rFonts w:ascii="Amiri" w:hAnsi="Amiri" w:eastAsia="Amiri" w:cs="Amiri"/>
          <w:lang w:bidi="ar-SA"/>
          <w:color w:val="111111"/>
          <w:sz w:val="28"/>
          <w:szCs w:val="28"/>
          <w:rtl/>
        </w:rPr>
        <w:t xml:space="preserve">1 .أهل البدر (ارجوزة في)، ج 3،</w:t>
      </w:r>
    </w:p>
    <w:p>
      <w:pPr>
        <w:pStyle w:val="BookText"/>
      </w:pPr>
      <w:r>
        <w:rPr>
          <w:rFonts w:ascii="IRNazanin" w:hAnsi="IRNazanin" w:eastAsia="IRNazanin" w:cs="IRNazanin"/>
          <w:lang w:bidi="fa-IR"/>
          <w:color w:val="111111"/>
          <w:sz w:val="28"/>
          <w:szCs w:val="28"/>
          <w:rtl/>
        </w:rPr>
        <w:t xml:space="preserve">ص 50 .</w:t>
      </w:r>
    </w:p>
    <w:p>
      <w:pPr>
        <w:pStyle w:val="BookText"/>
      </w:pPr>
      <w:r>
        <w:rPr>
          <w:rFonts w:ascii="Amiri" w:hAnsi="Amiri" w:eastAsia="Amiri" w:cs="Amiri"/>
          <w:lang w:bidi="ar-SA"/>
          <w:color w:val="111111"/>
          <w:sz w:val="28"/>
          <w:szCs w:val="28"/>
          <w:rtl/>
        </w:rPr>
        <w:t xml:space="preserve">2 .الجامع الصحيح = جامع المسند الصحيح - جامع ترمذي = سنن</w:t>
      </w:r>
    </w:p>
    <w:p>
      <w:pPr>
        <w:pStyle w:val="BookText"/>
      </w:pPr>
      <w:r>
        <w:rPr>
          <w:rFonts w:ascii="Amiri" w:hAnsi="Amiri" w:eastAsia="Amiri" w:cs="Amiri"/>
          <w:lang w:bidi="ar-SA"/>
          <w:color w:val="111111"/>
          <w:sz w:val="28"/>
          <w:szCs w:val="28"/>
          <w:rtl/>
        </w:rPr>
        <w:t xml:space="preserve">ترمذي، ج 5، ص 293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حديث، ج 6، ص 556.</w:t>
      </w:r>
    </w:p>
    <w:p>
      <w:pPr>
        <w:pStyle w:val="BookText"/>
      </w:pPr>
      <w:r>
        <w:rPr>
          <w:rFonts w:ascii="Amiri" w:hAnsi="Amiri" w:eastAsia="Amiri" w:cs="Amiri"/>
          <w:lang w:bidi="ar-SA"/>
          <w:color w:val="111111"/>
          <w:sz w:val="28"/>
          <w:szCs w:val="28"/>
          <w:rtl/>
        </w:rPr>
        <w:t xml:space="preserve">4 .الشمائل النبوية و الخصائل المصطفوية، ج 10، ص 407.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العلل، ج11، ص220.</w:t>
      </w:r>
    </w:p>
    <w:p>
      <w:pPr>
        <w:pStyle w:val="Heading2"/>
      </w:pPr>
      <w:bookmarkStart w:id="3100" w:name="_Toc2202"/>
      <w:r>
        <w:t>تستري ، جان حبيب الله</w:t>
      </w:r>
      <w:bookmarkEnd w:id="3100"/>
    </w:p>
    <w:p>
      <w:pPr>
        <w:pStyle w:val="BookText"/>
      </w:pPr>
      <w:r>
        <w:rPr>
          <w:rFonts w:ascii="Amiri" w:hAnsi="Amiri" w:eastAsia="Amiri" w:cs="Amiri"/>
          <w:lang w:bidi="ar-SA"/>
          <w:color w:val="111111"/>
          <w:sz w:val="28"/>
          <w:szCs w:val="28"/>
          <w:rtl/>
        </w:rPr>
        <w:t xml:space="preserve">حاشية حاشية مختصر ابن الحاجب</w:t>
      </w:r>
    </w:p>
    <w:p>
      <w:pPr>
        <w:pStyle w:val="BookText"/>
      </w:pPr>
      <w:r>
        <w:rPr>
          <w:rFonts w:ascii="IRNazanin" w:hAnsi="IRNazanin" w:eastAsia="IRNazanin" w:cs="IRNazanin"/>
          <w:lang w:bidi="fa-IR"/>
          <w:color w:val="111111"/>
          <w:sz w:val="28"/>
          <w:szCs w:val="28"/>
          <w:rtl/>
        </w:rPr>
        <w:t xml:space="preserve">ج 5، ص 847</w:t>
      </w:r>
    </w:p>
    <w:p>
      <w:pPr>
        <w:pStyle w:val="BookText"/>
      </w:pPr>
      <w:r>
        <w:rPr>
          <w:rFonts w:ascii="Amiri" w:hAnsi="Amiri" w:eastAsia="Amiri" w:cs="Amiri"/>
          <w:lang w:bidi="ar-SA"/>
          <w:color w:val="111111"/>
          <w:sz w:val="28"/>
          <w:szCs w:val="28"/>
          <w:rtl/>
        </w:rPr>
        <w:t xml:space="preserve">تستري ، جعفر بن حسين - شوشتري ، جعفر بن حسين</w:t>
      </w:r>
    </w:p>
    <w:p>
      <w:pPr>
        <w:pStyle w:val="Heading2"/>
      </w:pPr>
      <w:bookmarkStart w:id="3101" w:name="_Toc2203"/>
      <w:r>
        <w:t>تستري ، حسنعلي بن عبدالله - 1075؟ ه-</w:t>
      </w:r>
      <w:bookmarkEnd w:id="3101"/>
    </w:p>
    <w:p>
      <w:pPr>
        <w:pStyle w:val="BookText"/>
      </w:pPr>
      <w:r>
        <w:rPr>
          <w:rFonts w:ascii="Amiri" w:hAnsi="Amiri" w:eastAsia="Amiri" w:cs="Amiri"/>
          <w:lang w:bidi="ar-SA"/>
          <w:color w:val="111111"/>
          <w:sz w:val="28"/>
          <w:szCs w:val="28"/>
          <w:rtl/>
        </w:rPr>
        <w:t xml:space="preserve">البيان في الفقه، ج 3، ص 482.</w:t>
      </w:r>
    </w:p>
    <w:p>
      <w:pPr>
        <w:pStyle w:val="Heading2"/>
      </w:pPr>
      <w:bookmarkStart w:id="3102" w:name="_Toc2204"/>
      <w:r>
        <w:t>تستري ، سهل بن عبد الله، 2200-283؟ ه-</w:t>
      </w:r>
      <w:bookmarkEnd w:id="3102"/>
    </w:p>
    <w:p>
      <w:pPr>
        <w:pStyle w:val="BookText"/>
      </w:pPr>
      <w:r>
        <w:rPr>
          <w:rFonts w:ascii="Amiri" w:hAnsi="Amiri" w:eastAsia="Amiri" w:cs="Amiri"/>
          <w:lang w:bidi="ar-SA"/>
          <w:color w:val="111111"/>
          <w:sz w:val="28"/>
          <w:szCs w:val="28"/>
          <w:rtl/>
        </w:rPr>
        <w:t xml:space="preserve">1 .خواص استعمال قرائة لفظ الجلالة، ج 7، ص171.</w:t>
      </w:r>
    </w:p>
    <w:p>
      <w:pPr>
        <w:pStyle w:val="BookText"/>
      </w:pPr>
      <w:r>
        <w:rPr>
          <w:rFonts w:ascii="Amiri" w:hAnsi="Amiri" w:eastAsia="Amiri" w:cs="Amiri"/>
          <w:lang w:bidi="ar-SA"/>
          <w:color w:val="111111"/>
          <w:sz w:val="28"/>
          <w:szCs w:val="28"/>
          <w:rtl/>
        </w:rPr>
        <w:t xml:space="preserve">2 .مفاتيح الكنوز = زايرجه، ج 15،</w:t>
      </w:r>
    </w:p>
    <w:p>
      <w:pPr>
        <w:pStyle w:val="BookText"/>
      </w:pPr>
      <w:r>
        <w:rPr>
          <w:rFonts w:ascii="IRNazanin" w:hAnsi="IRNazanin" w:eastAsia="IRNazanin" w:cs="IRNazanin"/>
          <w:lang w:bidi="fa-IR"/>
          <w:color w:val="111111"/>
          <w:sz w:val="28"/>
          <w:szCs w:val="28"/>
          <w:rtl/>
        </w:rPr>
        <w:t xml:space="preserve">ص 177</w:t>
      </w:r>
    </w:p>
    <w:p>
      <w:pPr>
        <w:pStyle w:val="Heading2"/>
      </w:pPr>
      <w:bookmarkStart w:id="3103" w:name="_Toc2205"/>
      <w:r>
        <w:t>تستري ، عباس</w:t>
      </w:r>
      <w:bookmarkEnd w:id="3103"/>
    </w:p>
    <w:p>
      <w:pPr>
        <w:pStyle w:val="BookText"/>
      </w:pPr>
      <w:r>
        <w:rPr>
          <w:rFonts w:ascii="Amiri" w:hAnsi="Amiri" w:eastAsia="Amiri" w:cs="Amiri"/>
          <w:lang w:bidi="ar-SA"/>
          <w:color w:val="111111"/>
          <w:sz w:val="28"/>
          <w:szCs w:val="28"/>
          <w:rtl/>
        </w:rPr>
        <w:t xml:space="preserve">تعريف على روح القرآن، ج4، ص 479.</w:t>
      </w:r>
    </w:p>
    <w:p>
      <w:pPr>
        <w:pStyle w:val="Heading2"/>
      </w:pPr>
      <w:bookmarkStart w:id="3104" w:name="_Toc2206"/>
      <w:r>
        <w:t>تستري ، عبد الحسين بن محمّدرضا قرن</w:t>
      </w:r>
      <w:bookmarkEnd w:id="3104"/>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1 .حاشية فرائد الاصول، ج 6، ص 262.</w:t>
      </w:r>
    </w:p>
    <w:p>
      <w:pPr>
        <w:pStyle w:val="BookText"/>
      </w:pPr>
      <w:r>
        <w:rPr>
          <w:rFonts w:ascii="Amiri" w:hAnsi="Amiri" w:eastAsia="Amiri" w:cs="Amiri"/>
          <w:lang w:bidi="ar-SA"/>
          <w:color w:val="111111"/>
          <w:sz w:val="28"/>
          <w:szCs w:val="28"/>
          <w:rtl/>
        </w:rPr>
        <w:t xml:space="preserve">2 .فرائد الاصول في تمييز المزيف عن</w:t>
      </w:r>
    </w:p>
    <w:p>
      <w:pPr>
        <w:pStyle w:val="BookText"/>
      </w:pPr>
      <w:r>
        <w:rPr>
          <w:rFonts w:ascii="IRNazanin" w:hAnsi="IRNazanin" w:eastAsia="IRNazanin" w:cs="IRNazanin"/>
          <w:lang w:bidi="fa-IR"/>
          <w:color w:val="111111"/>
          <w:sz w:val="28"/>
          <w:szCs w:val="28"/>
          <w:rtl/>
        </w:rPr>
        <w:t xml:space="preserve">المقبول، ج11، ص728.</w:t>
      </w:r>
    </w:p>
    <w:p>
      <w:pPr>
        <w:pStyle w:val="BookText"/>
      </w:pPr>
      <w:r>
        <w:rPr>
          <w:rFonts w:ascii="Amiri" w:hAnsi="Amiri" w:eastAsia="Amiri" w:cs="Amiri"/>
          <w:lang w:bidi="ar-SA"/>
          <w:color w:val="111111"/>
          <w:sz w:val="28"/>
          <w:szCs w:val="28"/>
          <w:rtl/>
        </w:rPr>
        <w:t xml:space="preserve">تستري ، عبدالله بن نعمت الله -موسوي</w:t>
      </w:r>
    </w:p>
    <w:p>
      <w:pPr>
        <w:pStyle w:val="BookText"/>
      </w:pPr>
      <w:r>
        <w:rPr>
          <w:rFonts w:ascii="Amiri" w:hAnsi="Amiri" w:eastAsia="Amiri" w:cs="Amiri"/>
          <w:lang w:bidi="ar-SA"/>
          <w:color w:val="111111"/>
          <w:sz w:val="28"/>
          <w:szCs w:val="28"/>
          <w:rtl/>
        </w:rPr>
        <w:t xml:space="preserve">جزائري ، عبدالله بن نعمت الله</w:t>
      </w:r>
    </w:p>
    <w:p>
      <w:pPr>
        <w:pStyle w:val="Heading2"/>
      </w:pPr>
      <w:bookmarkStart w:id="3105" w:name="_Toc2207"/>
      <w:r>
        <w:t>تستري كاظمي، محمّد تقي بن حسن -</w:t>
      </w:r>
      <w:bookmarkEnd w:id="3105"/>
    </w:p>
    <w:p>
      <w:pPr>
        <w:pStyle w:val="BookText"/>
      </w:pPr>
      <w:r>
        <w:rPr>
          <w:rFonts w:ascii="IRNazanin" w:hAnsi="IRNazanin" w:eastAsia="IRNazanin" w:cs="IRNazanin"/>
          <w:lang w:bidi="fa-IR"/>
          <w:color w:val="111111"/>
          <w:sz w:val="28"/>
          <w:szCs w:val="28"/>
          <w:rtl/>
        </w:rPr>
        <w:t xml:space="preserve">1327 ه-</w:t>
      </w:r>
    </w:p>
    <w:p>
      <w:pPr>
        <w:pStyle w:val="BookText"/>
      </w:pPr>
      <w:r>
        <w:rPr>
          <w:rFonts w:ascii="Amiri" w:hAnsi="Amiri" w:eastAsia="Amiri" w:cs="Amiri"/>
          <w:lang w:bidi="ar-SA"/>
          <w:color w:val="111111"/>
          <w:sz w:val="28"/>
          <w:szCs w:val="28"/>
          <w:rtl/>
        </w:rPr>
        <w:t xml:space="preserve">شقائق المطالب في توضيح كافية ابن</w:t>
      </w:r>
    </w:p>
    <w:p>
      <w:pPr>
        <w:pStyle w:val="BookText"/>
      </w:pPr>
      <w:r>
        <w:rPr>
          <w:rFonts w:ascii="IRNazanin" w:hAnsi="IRNazanin" w:eastAsia="IRNazanin" w:cs="IRNazanin"/>
          <w:lang w:bidi="fa-IR"/>
          <w:color w:val="111111"/>
          <w:sz w:val="28"/>
          <w:szCs w:val="28"/>
          <w:rtl/>
        </w:rPr>
        <w:t xml:space="preserve">الحاجب، ج 10، ص 395.</w:t>
      </w:r>
    </w:p>
    <w:p>
      <w:pPr>
        <w:pStyle w:val="Heading2"/>
      </w:pPr>
      <w:bookmarkStart w:id="3106" w:name="_Toc2208"/>
      <w:r>
        <w:t>تستري ، محمّد، قرن 9 ه-</w:t>
      </w:r>
      <w:bookmarkEnd w:id="3106"/>
    </w:p>
    <w:p>
      <w:pPr>
        <w:pStyle w:val="BookText"/>
      </w:pPr>
      <w:r>
        <w:rPr>
          <w:rFonts w:ascii="Amiri" w:hAnsi="Amiri" w:eastAsia="Amiri" w:cs="Amiri"/>
          <w:lang w:bidi="ar-SA"/>
          <w:color w:val="111111"/>
          <w:sz w:val="28"/>
          <w:szCs w:val="28"/>
          <w:rtl/>
        </w:rPr>
        <w:t xml:space="preserve">شرح منازل السائرين، ج 10، ص 235.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0" w:name="pg7742_69985"/>
    <w:bookmarkEnd w:id="300"/>
    <w:p>
      <w:pPr>
        <w:pStyle w:val="Heading2"/>
      </w:pPr>
      <w:bookmarkStart w:id="3107" w:name="_Toc2209"/>
      <w:r>
        <w:t>تستري ، محمّد باقر بن علي، قرن 13 ه-</w:t>
      </w:r>
      <w:bookmarkEnd w:id="3107"/>
    </w:p>
    <w:p>
      <w:pPr>
        <w:pStyle w:val="BookText"/>
      </w:pPr>
      <w:r>
        <w:rPr>
          <w:rFonts w:ascii="Amiri" w:hAnsi="Amiri" w:eastAsia="Amiri" w:cs="Amiri"/>
          <w:lang w:bidi="ar-SA"/>
          <w:color w:val="111111"/>
          <w:sz w:val="28"/>
          <w:szCs w:val="28"/>
          <w:rtl/>
        </w:rPr>
        <w:t xml:space="preserve">1 .حاشية زبدة الاصول، ج 6، ص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كشكول، ج 13، ص288.</w:t>
      </w:r>
    </w:p>
    <w:p>
      <w:pPr>
        <w:pStyle w:val="Heading2"/>
      </w:pPr>
      <w:bookmarkStart w:id="3108" w:name="_Toc2210"/>
      <w:r>
        <w:t>تستري ، محمّد بن اسعد - 732 ه-</w:t>
      </w:r>
      <w:bookmarkEnd w:id="3108"/>
    </w:p>
    <w:p>
      <w:pPr>
        <w:pStyle w:val="BookText"/>
      </w:pPr>
      <w:r>
        <w:rPr>
          <w:rFonts w:ascii="Amiri" w:hAnsi="Amiri" w:eastAsia="Amiri" w:cs="Amiri"/>
          <w:lang w:bidi="ar-SA"/>
          <w:color w:val="111111"/>
          <w:sz w:val="28"/>
          <w:szCs w:val="28"/>
          <w:rtl/>
        </w:rPr>
        <w:t xml:space="preserve">1 .شرح الإشارات و التنبيهات، ج 9،</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كاشف الاسرار عن معاني طوالع</w:t>
      </w:r>
    </w:p>
    <w:p>
      <w:pPr>
        <w:pStyle w:val="BookText"/>
      </w:pPr>
      <w:r>
        <w:rPr>
          <w:rFonts w:ascii="IRNazanin" w:hAnsi="IRNazanin" w:eastAsia="IRNazanin" w:cs="IRNazanin"/>
          <w:lang w:bidi="fa-IR"/>
          <w:color w:val="111111"/>
          <w:sz w:val="28"/>
          <w:szCs w:val="28"/>
          <w:rtl/>
        </w:rPr>
        <w:t xml:space="preserve">الانوار، ج13، ص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المحاكمات على شرح الرازي و</w:t>
      </w:r>
    </w:p>
    <w:p>
      <w:pPr>
        <w:pStyle w:val="BookText"/>
      </w:pPr>
      <w:r>
        <w:rPr>
          <w:rFonts w:ascii="Amiri" w:hAnsi="Amiri" w:eastAsia="Amiri" w:cs="Amiri"/>
          <w:lang w:bidi="ar-SA"/>
          <w:color w:val="111111"/>
          <w:sz w:val="28"/>
          <w:szCs w:val="28"/>
          <w:rtl/>
        </w:rPr>
        <w:t xml:space="preserve">الطوسي على كتاب الاشارات، ج 14،</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تستري ، محمّد حسين بن علي اصغر -حسيني رضوي ، محمّد حسين بن علي</w:t>
      </w:r>
    </w:p>
    <w:p>
      <w:pPr>
        <w:pStyle w:val="BookText"/>
      </w:pPr>
      <w:r>
        <w:rPr>
          <w:rFonts w:ascii="IRNazanin" w:hAnsi="IRNazanin" w:eastAsia="IRNazanin" w:cs="IRNazanin"/>
          <w:lang w:bidi="fa-IR"/>
          <w:color w:val="111111"/>
          <w:sz w:val="28"/>
          <w:szCs w:val="28"/>
          <w:rtl/>
        </w:rPr>
        <w:t xml:space="preserve">اصغر</w:t>
      </w:r>
    </w:p>
    <w:p>
      <w:pPr>
        <w:pStyle w:val="Heading2"/>
      </w:pPr>
      <w:bookmarkStart w:id="3109" w:name="_Toc2211"/>
      <w:r>
        <w:t>تستري ، محمّد عبد الرحيم</w:t>
      </w:r>
      <w:bookmarkEnd w:id="3109"/>
    </w:p>
    <w:p>
      <w:pPr>
        <w:pStyle w:val="BookText"/>
      </w:pPr>
      <w:r>
        <w:rPr>
          <w:rFonts w:ascii="Amiri" w:hAnsi="Amiri" w:eastAsia="Amiri" w:cs="Amiri"/>
          <w:lang w:bidi="ar-SA"/>
          <w:color w:val="111111"/>
          <w:sz w:val="28"/>
          <w:szCs w:val="28"/>
          <w:rtl/>
        </w:rPr>
        <w:t xml:space="preserve">اصل البراءة و الاستصحاب، ج 2،</w:t>
      </w:r>
    </w:p>
    <w:p>
      <w:pPr>
        <w:pStyle w:val="BookText"/>
      </w:pPr>
      <w:r>
        <w:rPr>
          <w:rFonts w:ascii="IRNazanin" w:hAnsi="IRNazanin" w:eastAsia="IRNazanin" w:cs="IRNazanin"/>
          <w:lang w:bidi="fa-IR"/>
          <w:color w:val="111111"/>
          <w:sz w:val="28"/>
          <w:szCs w:val="28"/>
          <w:rtl/>
        </w:rPr>
        <w:t xml:space="preserve">ص 380.</w:t>
      </w:r>
    </w:p>
    <w:p>
      <w:pPr>
        <w:pStyle w:val="Heading2"/>
      </w:pPr>
      <w:bookmarkStart w:id="3110" w:name="_Toc2212"/>
      <w:r>
        <w:t>تستري ، محمود</w:t>
      </w:r>
      <w:bookmarkEnd w:id="3110"/>
    </w:p>
    <w:p>
      <w:pPr>
        <w:pStyle w:val="BookText"/>
      </w:pPr>
      <w:r>
        <w:rPr>
          <w:rFonts w:ascii="IRNazanin" w:hAnsi="IRNazanin" w:eastAsia="IRNazanin" w:cs="IRNazanin"/>
          <w:lang w:bidi="fa-IR"/>
          <w:color w:val="111111"/>
          <w:sz w:val="28"/>
          <w:szCs w:val="28"/>
          <w:rtl/>
        </w:rPr>
        <w:t xml:space="preserve">الأسماء الحسنى، ج 2، ص217</w:t>
      </w:r>
    </w:p>
    <w:p>
      <w:pPr>
        <w:pStyle w:val="BookText"/>
      </w:pPr>
      <w:r>
        <w:rPr>
          <w:rFonts w:ascii="Amiri" w:hAnsi="Amiri" w:eastAsia="Amiri" w:cs="Amiri"/>
          <w:lang w:bidi="ar-SA"/>
          <w:color w:val="111111"/>
          <w:sz w:val="28"/>
          <w:szCs w:val="28"/>
          <w:rtl/>
        </w:rPr>
        <w:t xml:space="preserve">تعزي ، احمد بن محمّد -شرعي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تغري بردي، جمال الدين- ابن تغري</w:t>
      </w:r>
    </w:p>
    <w:p>
      <w:pPr>
        <w:pStyle w:val="BookText"/>
      </w:pPr>
      <w:r>
        <w:rPr>
          <w:rFonts w:ascii="Amiri" w:hAnsi="Amiri" w:eastAsia="Amiri" w:cs="Amiri"/>
          <w:lang w:bidi="ar-SA"/>
          <w:color w:val="111111"/>
          <w:sz w:val="28"/>
          <w:szCs w:val="28"/>
          <w:rtl/>
        </w:rPr>
        <w:t xml:space="preserve">بردي ، يوسف بن تغري</w:t>
      </w:r>
    </w:p>
    <w:p>
      <w:pPr>
        <w:pStyle w:val="BookText"/>
      </w:pPr>
      <w:r>
        <w:rPr>
          <w:rFonts w:ascii="Amiri" w:hAnsi="Amiri" w:eastAsia="Amiri" w:cs="Amiri"/>
          <w:lang w:bidi="ar-SA"/>
          <w:color w:val="111111"/>
          <w:sz w:val="28"/>
          <w:szCs w:val="28"/>
          <w:rtl/>
        </w:rPr>
        <w:t xml:space="preserve">تغلبي ، حارث بن سعيد- ابوفراس</w:t>
      </w:r>
    </w:p>
    <w:p>
      <w:pPr>
        <w:pStyle w:val="BookText"/>
      </w:pPr>
      <w:r>
        <w:rPr>
          <w:rFonts w:ascii="Amiri" w:hAnsi="Amiri" w:eastAsia="Amiri" w:cs="Amiri"/>
          <w:lang w:bidi="ar-SA"/>
          <w:color w:val="111111"/>
          <w:sz w:val="28"/>
          <w:szCs w:val="28"/>
          <w:rtl/>
        </w:rPr>
        <w:t xml:space="preserve">حمداني ، حارث بن سعيد</w:t>
      </w:r>
    </w:p>
    <w:p>
      <w:pPr>
        <w:pStyle w:val="Heading2"/>
      </w:pPr>
      <w:bookmarkStart w:id="3111" w:name="_Toc2213"/>
      <w:r>
        <w:t>تغلبي ، عبد القادر بن عمر، 1057 -</w:t>
      </w:r>
      <w:bookmarkEnd w:id="3111"/>
    </w:p>
    <w:p>
      <w:pPr>
        <w:pStyle w:val="BookText"/>
      </w:pPr>
      <w:r>
        <w:rPr>
          <w:rFonts w:ascii="IRNazanin" w:hAnsi="IRNazanin" w:eastAsia="IRNazanin" w:cs="IRNazanin"/>
          <w:lang w:bidi="fa-IR"/>
          <w:color w:val="111111"/>
          <w:sz w:val="28"/>
          <w:szCs w:val="28"/>
          <w:rtl/>
        </w:rPr>
        <w:t xml:space="preserve">1135 ه-</w:t>
      </w:r>
    </w:p>
    <w:p>
      <w:pPr>
        <w:pStyle w:val="BookText"/>
      </w:pPr>
      <w:r>
        <w:rPr>
          <w:rFonts w:ascii="Amiri" w:hAnsi="Amiri" w:eastAsia="Amiri" w:cs="Amiri"/>
          <w:lang w:bidi="ar-SA"/>
          <w:color w:val="111111"/>
          <w:sz w:val="28"/>
          <w:szCs w:val="28"/>
          <w:rtl/>
        </w:rPr>
        <w:t xml:space="preserve">نيل المآرب شرح دليل الطالب، ج 16،</w:t>
      </w:r>
    </w:p>
    <w:p>
      <w:pPr>
        <w:pStyle w:val="BookText"/>
      </w:pPr>
      <w:r>
        <w:rPr>
          <w:rFonts w:ascii="IRNazanin" w:hAnsi="IRNazanin" w:eastAsia="IRNazanin" w:cs="IRNazanin"/>
          <w:lang w:bidi="fa-IR"/>
          <w:color w:val="111111"/>
          <w:sz w:val="28"/>
          <w:szCs w:val="28"/>
          <w:rtl/>
        </w:rPr>
        <w:t xml:space="preserve">ص 579</w:t>
      </w:r>
    </w:p>
    <w:p>
      <w:pPr>
        <w:pStyle w:val="BookText"/>
      </w:pPr>
      <w:r>
        <w:rPr>
          <w:rFonts w:ascii="Amiri" w:hAnsi="Amiri" w:eastAsia="Amiri" w:cs="Amiri"/>
          <w:lang w:bidi="ar-SA"/>
          <w:color w:val="111111"/>
          <w:sz w:val="28"/>
          <w:szCs w:val="28"/>
          <w:rtl/>
        </w:rPr>
        <w:t xml:space="preserve">تفاحي ، محمّد يحيى بن سيبك- نيشابوري ، يحيى سيبك</w:t>
      </w:r>
    </w:p>
    <w:p>
      <w:pPr>
        <w:pStyle w:val="BookText"/>
      </w:pPr>
      <w:r>
        <w:rPr>
          <w:rFonts w:ascii="Amiri" w:hAnsi="Amiri" w:eastAsia="Amiri" w:cs="Amiri"/>
          <w:lang w:bidi="ar-SA"/>
          <w:color w:val="111111"/>
          <w:sz w:val="28"/>
          <w:szCs w:val="28"/>
          <w:rtl/>
        </w:rPr>
        <w:t xml:space="preserve">تفتازاني ، احمد بن يحيى- حفيد تفتازاني ، احمد بن يحيى</w:t>
      </w:r>
    </w:p>
    <w:p>
      <w:pPr>
        <w:pStyle w:val="Heading2"/>
      </w:pPr>
      <w:bookmarkStart w:id="3112" w:name="_Toc2214"/>
      <w:r>
        <w:t>تفتازاني ، مسعود بن عمر 722-792 ؟ ه-</w:t>
      </w:r>
      <w:bookmarkEnd w:id="3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ارشاد الهادي في النحو، ج2، ص 54.</w:t>
      </w:r>
    </w:p>
    <w:p>
      <w:pPr>
        <w:pStyle w:val="BookText"/>
      </w:pPr>
      <w:r>
        <w:rPr>
          <w:rFonts w:ascii="Amiri" w:hAnsi="Amiri" w:eastAsia="Amiri" w:cs="Amiri"/>
          <w:lang w:bidi="ar-SA"/>
          <w:color w:val="111111"/>
          <w:sz w:val="28"/>
          <w:szCs w:val="28"/>
          <w:rtl/>
        </w:rPr>
        <w:t xml:space="preserve">2 .تأليف التفتازاني، ج 3، ص 619.</w:t>
      </w:r>
    </w:p>
    <w:p>
      <w:pPr>
        <w:pStyle w:val="BookText"/>
      </w:pPr>
      <w:r>
        <w:rPr>
          <w:rFonts w:ascii="Amiri" w:hAnsi="Amiri" w:eastAsia="Amiri" w:cs="Amiri"/>
          <w:lang w:bidi="ar-SA"/>
          <w:color w:val="111111"/>
          <w:sz w:val="28"/>
          <w:szCs w:val="28"/>
          <w:rtl/>
        </w:rPr>
        <w:t xml:space="preserve">3.تحقيق يومئذ وحينئذ و ساعتئذ</w:t>
      </w:r>
    </w:p>
    <w:p>
      <w:pPr>
        <w:pStyle w:val="BookText"/>
      </w:pPr>
      <w:r>
        <w:rPr>
          <w:rFonts w:ascii="IRNazanin" w:hAnsi="IRNazanin" w:eastAsia="IRNazanin" w:cs="IRNazanin"/>
          <w:lang w:bidi="fa-IR"/>
          <w:color w:val="111111"/>
          <w:sz w:val="28"/>
          <w:szCs w:val="28"/>
          <w:rtl/>
        </w:rPr>
        <w:t xml:space="preserve">ج 4، ص 85.</w:t>
      </w:r>
    </w:p>
    <w:p>
      <w:pPr>
        <w:pStyle w:val="BookText"/>
      </w:pPr>
      <w:r>
        <w:rPr>
          <w:rFonts w:ascii="Amiri" w:hAnsi="Amiri" w:eastAsia="Amiri" w:cs="Amiri"/>
          <w:lang w:bidi="ar-SA"/>
          <w:color w:val="111111"/>
          <w:sz w:val="28"/>
          <w:szCs w:val="28"/>
          <w:rtl/>
        </w:rPr>
        <w:t xml:space="preserve">4 .تصريف اللغة، ج 4، ص 416.</w:t>
      </w:r>
    </w:p>
    <w:p>
      <w:pPr>
        <w:pStyle w:val="BookText"/>
      </w:pPr>
      <w:r>
        <w:rPr>
          <w:rFonts w:ascii="Amiri" w:hAnsi="Amiri" w:eastAsia="Amiri" w:cs="Amiri"/>
          <w:lang w:bidi="ar-SA"/>
          <w:color w:val="111111"/>
          <w:sz w:val="28"/>
          <w:szCs w:val="28"/>
          <w:rtl/>
        </w:rPr>
        <w:t xml:space="preserve">5 .التلويح إلى كشف حقايق التنقيح</w:t>
      </w:r>
    </w:p>
    <w:p>
      <w:pPr>
        <w:pStyle w:val="BookText"/>
      </w:pPr>
      <w:r>
        <w:rPr>
          <w:rFonts w:ascii="IRNazanin" w:hAnsi="IRNazanin" w:eastAsia="IRNazanin" w:cs="IRNazanin"/>
          <w:lang w:bidi="fa-IR"/>
          <w:color w:val="111111"/>
          <w:sz w:val="28"/>
          <w:szCs w:val="28"/>
          <w:rtl/>
        </w:rPr>
        <w:t xml:space="preserve">ج 4، ص 870.</w:t>
      </w:r>
    </w:p>
    <w:p>
      <w:pPr>
        <w:pStyle w:val="BookText"/>
      </w:pPr>
      <w:r>
        <w:rPr>
          <w:rFonts w:ascii="Amiri" w:hAnsi="Amiri" w:eastAsia="Amiri" w:cs="Amiri"/>
          <w:lang w:bidi="ar-SA"/>
          <w:color w:val="111111"/>
          <w:sz w:val="28"/>
          <w:szCs w:val="28"/>
          <w:rtl/>
        </w:rPr>
        <w:t xml:space="preserve">6 .تهذيب المنطق، ج 5، ص 124.</w:t>
      </w:r>
    </w:p>
    <w:p>
      <w:pPr>
        <w:pStyle w:val="BookText"/>
      </w:pPr>
      <w:r>
        <w:rPr>
          <w:rFonts w:ascii="Amiri" w:hAnsi="Amiri" w:eastAsia="Amiri" w:cs="Amiri"/>
          <w:lang w:bidi="ar-SA"/>
          <w:color w:val="111111"/>
          <w:sz w:val="28"/>
          <w:szCs w:val="28"/>
          <w:rtl/>
        </w:rPr>
        <w:t xml:space="preserve">7 .تهذيب المنطق و الكلام، جه،</w:t>
      </w:r>
    </w:p>
    <w:p>
      <w:pPr>
        <w:pStyle w:val="BookText"/>
      </w:pPr>
      <w:r>
        <w:rPr>
          <w:rFonts w:ascii="IRNazanin" w:hAnsi="IRNazanin" w:eastAsia="IRNazanin" w:cs="IRNazanin"/>
          <w:lang w:bidi="fa-IR"/>
          <w:color w:val="111111"/>
          <w:sz w:val="28"/>
          <w:szCs w:val="28"/>
          <w:rtl/>
        </w:rPr>
        <w:t xml:space="preserve">ص 126.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حاشية الكشاف - تلخيص فتوح الغيب في الكشف عن قناع الريب</w:t>
      </w:r>
    </w:p>
    <w:p>
      <w:pPr>
        <w:pStyle w:val="BookText"/>
      </w:pPr>
      <w:r>
        <w:rPr>
          <w:rFonts w:ascii="IRNazanin" w:hAnsi="IRNazanin" w:eastAsia="IRNazanin" w:cs="IRNazanin"/>
          <w:lang w:bidi="fa-IR"/>
          <w:color w:val="111111"/>
          <w:sz w:val="28"/>
          <w:szCs w:val="28"/>
          <w:rtl/>
        </w:rPr>
        <w:t xml:space="preserve">ج 6، ص 326.</w:t>
      </w:r>
    </w:p>
    <w:p>
      <w:pPr>
        <w:pStyle w:val="BookText"/>
      </w:pPr>
      <w:r>
        <w:rPr>
          <w:rFonts w:ascii="Amiri" w:hAnsi="Amiri" w:eastAsia="Amiri" w:cs="Amiri"/>
          <w:lang w:bidi="ar-SA"/>
          <w:color w:val="111111"/>
          <w:sz w:val="28"/>
          <w:szCs w:val="28"/>
          <w:rtl/>
        </w:rPr>
        <w:t xml:space="preserve">9 .حاشية شرح مختصر الاصول، ج 6،</w:t>
      </w:r>
    </w:p>
    <w:p>
      <w:pPr>
        <w:pStyle w:val="BookText"/>
      </w:pPr>
      <w:r>
        <w:rPr>
          <w:rFonts w:ascii="IRNazanin" w:hAnsi="IRNazanin" w:eastAsia="IRNazanin" w:cs="IRNazanin"/>
          <w:lang w:bidi="fa-IR"/>
          <w:color w:val="111111"/>
          <w:sz w:val="28"/>
          <w:szCs w:val="28"/>
          <w:rtl/>
        </w:rPr>
        <w:t xml:space="preserve">ص 168 .</w:t>
      </w:r>
    </w:p>
    <w:p>
      <w:pPr>
        <w:pStyle w:val="BookText"/>
      </w:pPr>
      <w:r>
        <w:rPr>
          <w:rFonts w:ascii="Amiri" w:hAnsi="Amiri" w:eastAsia="Amiri" w:cs="Amiri"/>
          <w:lang w:bidi="ar-SA"/>
          <w:color w:val="111111"/>
          <w:sz w:val="28"/>
          <w:szCs w:val="28"/>
          <w:rtl/>
        </w:rPr>
        <w:t xml:space="preserve">10 .الروض المنيف شرح مختصر</w:t>
      </w:r>
    </w:p>
    <w:p>
      <w:pPr>
        <w:pStyle w:val="BookText"/>
      </w:pPr>
      <w:r>
        <w:rPr>
          <w:rFonts w:ascii="Amiri" w:hAnsi="Amiri" w:eastAsia="Amiri" w:cs="Amiri"/>
          <w:lang w:bidi="ar-SA"/>
          <w:color w:val="111111"/>
          <w:sz w:val="28"/>
          <w:szCs w:val="28"/>
          <w:rtl/>
        </w:rPr>
        <w:t xml:space="preserve">التصريف، ج8، ص 469.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الشمسية في القواعد المنطقية، ج 9، ص 641.</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1" w:name="pg7742_69988"/>
    <w:bookmarkEnd w:id="301"/>
    <w:p>
      <w:pPr>
        <w:pStyle w:val="BookText"/>
      </w:pPr>
      <w:r>
        <w:rPr>
          <w:rFonts w:ascii="Amiri" w:hAnsi="Amiri" w:eastAsia="Amiri" w:cs="Amiri"/>
          <w:lang w:bidi="ar-SA"/>
          <w:color w:val="111111"/>
          <w:sz w:val="28"/>
          <w:szCs w:val="28"/>
          <w:rtl/>
        </w:rPr>
        <w:t xml:space="preserve">12 .شرح العزي في التصريف، ج 9،</w:t>
      </w:r>
    </w:p>
    <w:p>
      <w:pPr>
        <w:pStyle w:val="BookText"/>
      </w:pPr>
      <w:r>
        <w:rPr>
          <w:rFonts w:ascii="IRNazanin" w:hAnsi="IRNazanin" w:eastAsia="IRNazanin" w:cs="IRNazanin"/>
          <w:lang w:bidi="fa-IR"/>
          <w:color w:val="111111"/>
          <w:sz w:val="28"/>
          <w:szCs w:val="28"/>
          <w:rtl/>
        </w:rPr>
        <w:t xml:space="preserve">ص 692 .</w:t>
      </w:r>
    </w:p>
    <w:p>
      <w:pPr>
        <w:pStyle w:val="BookText"/>
      </w:pPr>
      <w:r>
        <w:rPr>
          <w:rFonts w:ascii="Amiri" w:hAnsi="Amiri" w:eastAsia="Amiri" w:cs="Amiri"/>
          <w:lang w:bidi="ar-SA"/>
          <w:color w:val="111111"/>
          <w:sz w:val="28"/>
          <w:szCs w:val="28"/>
          <w:rtl/>
        </w:rPr>
        <w:t xml:space="preserve">13 شرح الكشاف، ج 10، ص 53.</w:t>
      </w:r>
    </w:p>
    <w:p>
      <w:pPr>
        <w:pStyle w:val="BookText"/>
      </w:pPr>
      <w:r>
        <w:rPr>
          <w:rFonts w:ascii="Amiri" w:hAnsi="Amiri" w:eastAsia="Amiri" w:cs="Amiri"/>
          <w:lang w:bidi="ar-SA"/>
          <w:color w:val="111111"/>
          <w:sz w:val="28"/>
          <w:szCs w:val="28"/>
          <w:rtl/>
        </w:rPr>
        <w:t xml:space="preserve">14 . شرح عقائد النسفي، ج 9، ص727.</w:t>
      </w:r>
    </w:p>
    <w:p>
      <w:pPr>
        <w:pStyle w:val="BookText"/>
      </w:pPr>
      <w:r>
        <w:rPr>
          <w:rFonts w:ascii="Amiri" w:hAnsi="Amiri" w:eastAsia="Amiri" w:cs="Amiri"/>
          <w:lang w:bidi="ar-SA"/>
          <w:color w:val="111111"/>
          <w:sz w:val="28"/>
          <w:szCs w:val="28"/>
          <w:rtl/>
        </w:rPr>
        <w:t xml:space="preserve">15 . شرح قصيدة البردة، ج 9، ص 847.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مختصر الحاجب، ج10،</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Amiri" w:hAnsi="Amiri" w:eastAsia="Amiri" w:cs="Amiri"/>
          <w:lang w:bidi="ar-SA"/>
          <w:color w:val="111111"/>
          <w:sz w:val="28"/>
          <w:szCs w:val="28"/>
          <w:rtl/>
        </w:rPr>
        <w:t xml:space="preserve">17 .شرح مختصر منتهي السؤل، ج10،</w:t>
      </w:r>
    </w:p>
    <w:p>
      <w:pPr>
        <w:pStyle w:val="BookText"/>
      </w:pPr>
      <w:r>
        <w:rPr>
          <w:rFonts w:ascii="IRNazanin" w:hAnsi="IRNazanin" w:eastAsia="IRNazanin" w:cs="IRNazanin"/>
          <w:lang w:bidi="fa-IR"/>
          <w:color w:val="111111"/>
          <w:sz w:val="28"/>
          <w:szCs w:val="28"/>
          <w:rtl/>
        </w:rPr>
        <w:t xml:space="preserve">ص 125.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شرح مفتاح العلوم، ج 10، ص 166.</w:t>
      </w:r>
    </w:p>
    <w:p>
      <w:pPr>
        <w:pStyle w:val="BookText"/>
      </w:pPr>
      <w:r>
        <w:rPr>
          <w:rFonts w:ascii="Amiri" w:hAnsi="Amiri" w:eastAsia="Amiri" w:cs="Amiri"/>
          <w:lang w:bidi="ar-SA"/>
          <w:color w:val="111111"/>
          <w:sz w:val="28"/>
          <w:szCs w:val="28"/>
          <w:rtl/>
        </w:rPr>
        <w:t xml:space="preserve">19 .شرح مقاصد الطالبين في اصول</w:t>
      </w:r>
    </w:p>
    <w:p>
      <w:pPr>
        <w:pStyle w:val="BookText"/>
      </w:pPr>
      <w:r>
        <w:rPr>
          <w:rFonts w:ascii="Amiri" w:hAnsi="Amiri" w:eastAsia="Amiri" w:cs="Amiri"/>
          <w:lang w:bidi="ar-SA"/>
          <w:color w:val="111111"/>
          <w:sz w:val="28"/>
          <w:szCs w:val="28"/>
          <w:rtl/>
        </w:rPr>
        <w:t xml:space="preserve">الدين، ج 10، ص 172</w:t>
      </w:r>
    </w:p>
    <w:p>
      <w:pPr>
        <w:pStyle w:val="BookText"/>
      </w:pPr>
      <w:r>
        <w:rPr>
          <w:rFonts w:ascii="IRNazanin" w:hAnsi="IRNazanin" w:eastAsia="IRNazanin" w:cs="IRNazanin"/>
          <w:lang w:bidi="fa-IR"/>
          <w:color w:val="111111"/>
          <w:sz w:val="28"/>
          <w:szCs w:val="28"/>
          <w:rtl/>
        </w:rPr>
        <w:t xml:space="preserve">20 غاية تهذيب الكلام في تحرير المنطق و الكلام و تقریبه، ج11، ص 437.</w:t>
      </w:r>
    </w:p>
    <w:p>
      <w:pPr>
        <w:pStyle w:val="BookText"/>
      </w:pPr>
      <w:r>
        <w:rPr>
          <w:rFonts w:ascii="Amiri" w:hAnsi="Amiri" w:eastAsia="Amiri" w:cs="Amiri"/>
          <w:lang w:bidi="ar-SA"/>
          <w:color w:val="111111"/>
          <w:sz w:val="28"/>
          <w:szCs w:val="28"/>
          <w:rtl/>
        </w:rPr>
        <w:t xml:space="preserve">21 .مختصر المعاني = المختصر في شرح تلخيص المفتاح، ج 14 ، ص 246 .</w:t>
      </w:r>
    </w:p>
    <w:p>
      <w:pPr>
        <w:pStyle w:val="BookText"/>
      </w:pPr>
      <w:r>
        <w:rPr>
          <w:rFonts w:ascii="Amiri" w:hAnsi="Amiri" w:eastAsia="Amiri" w:cs="Amiri"/>
          <w:lang w:bidi="ar-SA"/>
          <w:color w:val="111111"/>
          <w:sz w:val="28"/>
          <w:szCs w:val="28"/>
          <w:rtl/>
        </w:rPr>
        <w:t xml:space="preserve">22 .المطول في شرح تلخيص المفتاح</w:t>
      </w:r>
    </w:p>
    <w:p>
      <w:pPr>
        <w:pStyle w:val="BookText"/>
      </w:pPr>
      <w:r>
        <w:rPr>
          <w:rFonts w:ascii="IRNazanin" w:hAnsi="IRNazanin" w:eastAsia="IRNazanin" w:cs="IRNazanin"/>
          <w:lang w:bidi="fa-IR"/>
          <w:color w:val="111111"/>
          <w:sz w:val="28"/>
          <w:szCs w:val="28"/>
          <w:rtl/>
        </w:rPr>
        <w:t xml:space="preserve">ج 14، ص 804.</w:t>
      </w:r>
    </w:p>
    <w:p>
      <w:pPr>
        <w:pStyle w:val="BookText"/>
      </w:pPr>
      <w:r>
        <w:rPr>
          <w:rFonts w:ascii="Amiri" w:hAnsi="Amiri" w:eastAsia="Amiri" w:cs="Amiri"/>
          <w:lang w:bidi="ar-SA"/>
          <w:color w:val="111111"/>
          <w:sz w:val="28"/>
          <w:szCs w:val="28"/>
          <w:rtl/>
        </w:rPr>
        <w:t xml:space="preserve">23 .مقاصد الطالبين في اصول الدين</w:t>
      </w:r>
    </w:p>
    <w:p>
      <w:pPr>
        <w:pStyle w:val="BookText"/>
      </w:pPr>
      <w:r>
        <w:rPr>
          <w:rFonts w:ascii="IRNazanin" w:hAnsi="IRNazanin" w:eastAsia="IRNazanin" w:cs="IRNazanin"/>
          <w:lang w:bidi="fa-IR"/>
          <w:color w:val="111111"/>
          <w:sz w:val="28"/>
          <w:szCs w:val="28"/>
          <w:rtl/>
        </w:rPr>
        <w:t xml:space="preserve">ج 15، ص 270.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النحو (رسالة في)، ج 16، ص 170.</w:t>
      </w:r>
    </w:p>
    <w:p>
      <w:pPr>
        <w:pStyle w:val="BookText"/>
      </w:pPr>
      <w:r>
        <w:rPr>
          <w:rFonts w:ascii="Amiri" w:hAnsi="Amiri" w:eastAsia="Amiri" w:cs="Amiri"/>
          <w:lang w:bidi="ar-SA"/>
          <w:color w:val="111111"/>
          <w:sz w:val="28"/>
          <w:szCs w:val="28"/>
          <w:rtl/>
        </w:rPr>
        <w:t xml:space="preserve">25 .النعم السوابغ في شرح الكلم</w:t>
      </w:r>
    </w:p>
    <w:p>
      <w:pPr>
        <w:pStyle w:val="BookText"/>
      </w:pPr>
      <w:r>
        <w:rPr>
          <w:rFonts w:ascii="IRNazanin" w:hAnsi="IRNazanin" w:eastAsia="IRNazanin" w:cs="IRNazanin"/>
          <w:lang w:bidi="fa-IR"/>
          <w:color w:val="111111"/>
          <w:sz w:val="28"/>
          <w:szCs w:val="28"/>
          <w:rtl/>
        </w:rPr>
        <w:t xml:space="preserve">النوابغ، ج 16، ص 370.</w:t>
      </w:r>
    </w:p>
    <w:p>
      <w:pPr>
        <w:pStyle w:val="BookText"/>
      </w:pPr>
      <w:r>
        <w:rPr>
          <w:rFonts w:ascii="IRNazanin" w:hAnsi="IRNazanin" w:eastAsia="IRNazanin" w:cs="IRNazanin"/>
          <w:lang w:bidi="fa-IR"/>
          <w:color w:val="111111"/>
          <w:sz w:val="28"/>
          <w:szCs w:val="28"/>
          <w:rtl/>
        </w:rPr>
        <w:t xml:space="preserve">26 .نقولات، ج 16، ص 429.</w:t>
      </w:r>
    </w:p>
    <w:p>
      <w:pPr>
        <w:pStyle w:val="Heading2"/>
      </w:pPr>
      <w:bookmarkStart w:id="3113" w:name="_Toc2215"/>
      <w:r>
        <w:t>تفرشی، احمد بن حسين قرن 14 ه-</w:t>
      </w:r>
      <w:bookmarkEnd w:id="3113"/>
    </w:p>
    <w:p>
      <w:pPr>
        <w:pStyle w:val="BookText"/>
      </w:pPr>
      <w:r>
        <w:rPr>
          <w:rFonts w:ascii="Amiri" w:hAnsi="Amiri" w:eastAsia="Amiri" w:cs="Amiri"/>
          <w:lang w:bidi="ar-SA"/>
          <w:color w:val="111111"/>
          <w:sz w:val="28"/>
          <w:szCs w:val="28"/>
          <w:rtl/>
        </w:rPr>
        <w:t xml:space="preserve">1 .احكام الخلل، ج 1 ، ص 467.</w:t>
      </w:r>
    </w:p>
    <w:p>
      <w:pPr>
        <w:pStyle w:val="BookText"/>
      </w:pPr>
      <w:r>
        <w:rPr>
          <w:rFonts w:ascii="Amiri" w:hAnsi="Amiri" w:eastAsia="Amiri" w:cs="Amiri"/>
          <w:lang w:bidi="ar-SA"/>
          <w:color w:val="111111"/>
          <w:sz w:val="28"/>
          <w:szCs w:val="28"/>
          <w:rtl/>
        </w:rPr>
        <w:t xml:space="preserve">2 .حاشية فرائد الاصول = مراشد الدلائل في كشف دقائق الرسائل</w:t>
      </w:r>
    </w:p>
    <w:p>
      <w:pPr>
        <w:pStyle w:val="BookText"/>
      </w:pPr>
      <w:r>
        <w:rPr>
          <w:rFonts w:ascii="IRNazanin" w:hAnsi="IRNazanin" w:eastAsia="IRNazanin" w:cs="IRNazanin"/>
          <w:lang w:bidi="fa-IR"/>
          <w:color w:val="111111"/>
          <w:sz w:val="28"/>
          <w:szCs w:val="28"/>
          <w:rtl/>
        </w:rPr>
        <w:t xml:space="preserve">ج 6 ، ص 266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الخمس، ج 7، ص 161.</w:t>
      </w:r>
    </w:p>
    <w:p>
      <w:pPr>
        <w:pStyle w:val="BookText"/>
      </w:pPr>
      <w:r>
        <w:rPr>
          <w:rFonts w:ascii="Amiri" w:hAnsi="Amiri" w:eastAsia="Amiri" w:cs="Amiri"/>
          <w:lang w:bidi="ar-SA"/>
          <w:color w:val="111111"/>
          <w:sz w:val="28"/>
          <w:szCs w:val="28"/>
          <w:rtl/>
        </w:rPr>
        <w:t xml:space="preserve">4 .ميراث الزوجة، ج 16 ، ص 62 .</w:t>
      </w:r>
    </w:p>
    <w:p>
      <w:pPr>
        <w:pStyle w:val="BookText"/>
      </w:pPr>
      <w:r>
        <w:rPr>
          <w:rFonts w:ascii="Amiri" w:hAnsi="Amiri" w:eastAsia="Amiri" w:cs="Amiri"/>
          <w:lang w:bidi="ar-SA"/>
          <w:color w:val="111111"/>
          <w:sz w:val="28"/>
          <w:szCs w:val="28"/>
          <w:rtl/>
        </w:rPr>
        <w:t xml:space="preserve">5 .ينابيع الاصول، ج 16، ص 900 .</w:t>
      </w:r>
    </w:p>
    <w:p>
      <w:pPr>
        <w:pStyle w:val="BookText"/>
      </w:pPr>
      <w:r>
        <w:rPr>
          <w:rFonts w:ascii="Amiri" w:hAnsi="Amiri" w:eastAsia="Amiri" w:cs="Amiri"/>
          <w:lang w:bidi="ar-SA"/>
          <w:color w:val="111111"/>
          <w:sz w:val="28"/>
          <w:szCs w:val="28"/>
          <w:rtl/>
        </w:rPr>
        <w:t xml:space="preserve">تفرشي ، تقي- دانش تفرشي ، محمّد تقي</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تفرشي ، رضي الدين محمّد -حسيني</w:t>
      </w:r>
    </w:p>
    <w:p>
      <w:pPr>
        <w:pStyle w:val="BookText"/>
      </w:pPr>
      <w:r>
        <w:rPr>
          <w:rFonts w:ascii="Amiri" w:hAnsi="Amiri" w:eastAsia="Amiri" w:cs="Amiri"/>
          <w:lang w:bidi="ar-SA"/>
          <w:color w:val="111111"/>
          <w:sz w:val="28"/>
          <w:szCs w:val="28"/>
          <w:rtl/>
        </w:rPr>
        <w:t xml:space="preserve">تفرشي ، رضي الدين محمّد</w:t>
      </w:r>
    </w:p>
    <w:p>
      <w:pPr>
        <w:pStyle w:val="BookText"/>
      </w:pPr>
      <w:r>
        <w:rPr>
          <w:rFonts w:ascii="Amiri" w:hAnsi="Amiri" w:eastAsia="Amiri" w:cs="Amiri"/>
          <w:lang w:bidi="ar-SA"/>
          <w:color w:val="111111"/>
          <w:sz w:val="28"/>
          <w:szCs w:val="28"/>
          <w:rtl/>
        </w:rPr>
        <w:t xml:space="preserve">تفرشي ، محسن- طبيب تفرشي ، محسن</w:t>
      </w:r>
    </w:p>
    <w:p>
      <w:pPr>
        <w:pStyle w:val="BookText"/>
      </w:pPr>
      <w:r>
        <w:rPr>
          <w:rFonts w:ascii="IRNazanin" w:hAnsi="IRNazanin" w:eastAsia="IRNazanin" w:cs="IRNazanin"/>
          <w:lang w:bidi="fa-IR"/>
          <w:color w:val="111111"/>
          <w:sz w:val="28"/>
          <w:szCs w:val="28"/>
          <w:rtl/>
        </w:rPr>
        <w:t xml:space="preserve">بن عبدالمولى</w:t>
      </w:r>
    </w:p>
    <w:p>
      <w:pPr>
        <w:pStyle w:val="Heading2"/>
      </w:pPr>
      <w:bookmarkStart w:id="3114" w:name="_Toc2216"/>
      <w:r>
        <w:t>تفرشي ، محمّد حسین قرن 13 ه-</w:t>
      </w:r>
      <w:bookmarkEnd w:id="3114"/>
    </w:p>
    <w:p>
      <w:pPr>
        <w:pStyle w:val="BookText"/>
      </w:pPr>
      <w:r>
        <w:rPr>
          <w:rFonts w:ascii="Amiri" w:hAnsi="Amiri" w:eastAsia="Amiri" w:cs="Amiri"/>
          <w:lang w:bidi="ar-SA"/>
          <w:color w:val="111111"/>
          <w:sz w:val="28"/>
          <w:szCs w:val="28"/>
          <w:rtl/>
        </w:rPr>
        <w:t xml:space="preserve">قصة الياقوت، ج 12، ص 618.</w:t>
      </w:r>
    </w:p>
    <w:p>
      <w:pPr>
        <w:pStyle w:val="Heading2"/>
      </w:pPr>
      <w:bookmarkStart w:id="3115" w:name="_Toc2217"/>
      <w:r>
        <w:t>تفرشي ، محمّد حسين بن محمّد اسماعیل</w:t>
      </w:r>
      <w:bookmarkEnd w:id="3115"/>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قصبة الياقوت النابتة في اجمة</w:t>
      </w:r>
    </w:p>
    <w:p>
      <w:pPr>
        <w:pStyle w:val="BookText"/>
      </w:pPr>
      <w:r>
        <w:rPr>
          <w:rFonts w:ascii="IRNazanin" w:hAnsi="IRNazanin" w:eastAsia="IRNazanin" w:cs="IRNazanin"/>
          <w:lang w:bidi="fa-IR"/>
          <w:color w:val="111111"/>
          <w:sz w:val="28"/>
          <w:szCs w:val="28"/>
          <w:rtl/>
        </w:rPr>
        <w:t xml:space="preserve">اللاهوت، ج 12، ص 604.</w:t>
      </w:r>
    </w:p>
    <w:p>
      <w:pPr>
        <w:pStyle w:val="Heading2"/>
      </w:pPr>
      <w:bookmarkStart w:id="3116" w:name="_Toc2218"/>
      <w:r>
        <w:t>تفرشي ، مراد بن علي، 965 - 1051 ه-</w:t>
      </w:r>
      <w:bookmarkEnd w:id="3116"/>
    </w:p>
    <w:p>
      <w:pPr>
        <w:pStyle w:val="BookText"/>
      </w:pPr>
      <w:r>
        <w:rPr>
          <w:rFonts w:ascii="Amiri" w:hAnsi="Amiri" w:eastAsia="Amiri" w:cs="Amiri"/>
          <w:lang w:bidi="ar-SA"/>
          <w:color w:val="111111"/>
          <w:sz w:val="28"/>
          <w:szCs w:val="28"/>
          <w:rtl/>
        </w:rPr>
        <w:t xml:space="preserve">1 .التعليقة السجادية - شرح كتاب</w:t>
      </w:r>
    </w:p>
    <w:p>
      <w:pPr>
        <w:pStyle w:val="BookText"/>
      </w:pPr>
      <w:r>
        <w:rPr>
          <w:rFonts w:ascii="Amiri" w:hAnsi="Amiri" w:eastAsia="Amiri" w:cs="Amiri"/>
          <w:lang w:bidi="ar-SA"/>
          <w:color w:val="111111"/>
          <w:sz w:val="28"/>
          <w:szCs w:val="28"/>
          <w:rtl/>
        </w:rPr>
        <w:t xml:space="preserve">من لا يحضره الفقيه، ج 4، ص 510.</w:t>
      </w:r>
    </w:p>
    <w:p>
      <w:pPr>
        <w:pStyle w:val="BookText"/>
      </w:pPr>
      <w:r>
        <w:rPr>
          <w:rFonts w:ascii="Amiri" w:hAnsi="Amiri" w:eastAsia="Amiri" w:cs="Amiri"/>
          <w:lang w:bidi="ar-SA"/>
          <w:color w:val="111111"/>
          <w:sz w:val="28"/>
          <w:szCs w:val="28"/>
          <w:rtl/>
        </w:rPr>
        <w:t xml:space="preserve">2 .الرضية الحسينية في شرح العريضة</w:t>
      </w:r>
    </w:p>
    <w:p>
      <w:pPr>
        <w:pStyle w:val="BookText"/>
      </w:pPr>
      <w:r>
        <w:rPr>
          <w:rFonts w:ascii="Amiri" w:hAnsi="Amiri" w:eastAsia="Amiri" w:cs="Amiri"/>
          <w:lang w:bidi="ar-SA"/>
          <w:color w:val="111111"/>
          <w:sz w:val="28"/>
          <w:szCs w:val="28"/>
          <w:rtl/>
        </w:rPr>
        <w:t xml:space="preserve">المهدوية، ج8، ص330.</w:t>
      </w:r>
    </w:p>
    <w:p>
      <w:pPr>
        <w:pStyle w:val="BookText"/>
      </w:pPr>
      <w:r>
        <w:rPr>
          <w:rFonts w:ascii="Amiri" w:hAnsi="Amiri" w:eastAsia="Amiri" w:cs="Amiri"/>
          <w:lang w:bidi="ar-SA"/>
          <w:color w:val="111111"/>
          <w:sz w:val="28"/>
          <w:szCs w:val="28"/>
          <w:rtl/>
        </w:rPr>
        <w:t xml:space="preserve">3 .العريضة المهدوية، ج 11، ص 104.</w:t>
      </w:r>
    </w:p>
    <w:p>
      <w:pPr>
        <w:pStyle w:val="Heading2"/>
      </w:pPr>
      <w:bookmarkStart w:id="3117" w:name="_Toc2219"/>
      <w:r>
        <w:t>تفرشي ، مصطفى بن حسين - 1015</w:t>
      </w:r>
      <w:bookmarkEnd w:id="3117"/>
    </w:p>
    <w:p>
      <w:pPr>
        <w:pStyle w:val="BookText"/>
      </w:pPr>
      <w:r>
        <w:rPr>
          <w:rFonts w:ascii="Amiri" w:hAnsi="Amiri" w:eastAsia="Amiri" w:cs="Amiri"/>
          <w:lang w:bidi="ar-SA"/>
          <w:color w:val="111111"/>
          <w:sz w:val="28"/>
          <w:szCs w:val="28"/>
          <w:rtl/>
        </w:rPr>
        <w:t xml:space="preserve">نقد الرجال = رجال مير مصطفى</w:t>
      </w:r>
    </w:p>
    <w:p>
      <w:pPr>
        <w:pStyle w:val="BookText"/>
      </w:pPr>
      <w:r>
        <w:rPr>
          <w:rFonts w:ascii="IRNazanin" w:hAnsi="IRNazanin" w:eastAsia="IRNazanin" w:cs="IRNazanin"/>
          <w:lang w:bidi="fa-IR"/>
          <w:color w:val="111111"/>
          <w:sz w:val="28"/>
          <w:szCs w:val="28"/>
          <w:rtl/>
        </w:rPr>
        <w:t xml:space="preserve">ج 16، ص 413.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302" w:name="pg7742_69989"/>
    <w:bookmarkEnd w:id="302"/>
    <w:p>
      <w:pPr>
        <w:pStyle w:val="Heading2"/>
      </w:pPr>
      <w:bookmarkStart w:id="3118" w:name="_Toc2220"/>
      <w:r>
        <w:t>تفليسي، حبيش بن ابراهيم ، قرن 7 ه-</w:t>
      </w:r>
      <w:bookmarkEnd w:id="3118"/>
    </w:p>
    <w:p>
      <w:pPr>
        <w:pStyle w:val="BookText"/>
      </w:pPr>
      <w:r>
        <w:rPr>
          <w:rFonts w:ascii="Amiri" w:hAnsi="Amiri" w:eastAsia="Amiri" w:cs="Amiri"/>
          <w:lang w:bidi="ar-SA"/>
          <w:color w:val="111111"/>
          <w:sz w:val="28"/>
          <w:szCs w:val="28"/>
          <w:rtl/>
        </w:rPr>
        <w:t xml:space="preserve">1 .بيان الطب، ج 3، ص 476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تحصيل الصحة بالاسباب الستة</w:t>
      </w:r>
    </w:p>
    <w:p>
      <w:pPr>
        <w:pStyle w:val="BookText"/>
      </w:pPr>
      <w:r>
        <w:rPr>
          <w:rFonts w:ascii="IRNazanin" w:hAnsi="IRNazanin" w:eastAsia="IRNazanin" w:cs="IRNazanin"/>
          <w:lang w:bidi="fa-IR"/>
          <w:color w:val="111111"/>
          <w:sz w:val="28"/>
          <w:szCs w:val="28"/>
          <w:rtl/>
        </w:rPr>
        <w:t xml:space="preserve">ج 3، ص 766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تقويم الادوية المفردة وكيفية اخذها و صفاتها، ج4، ص797</w:t>
      </w:r>
    </w:p>
    <w:p>
      <w:pPr>
        <w:pStyle w:val="BookText"/>
      </w:pPr>
      <w:r>
        <w:rPr>
          <w:rFonts w:ascii="IRNazanin" w:hAnsi="IRNazanin" w:eastAsia="IRNazanin" w:cs="IRNazanin"/>
          <w:lang w:bidi="fa-IR"/>
          <w:color w:val="111111"/>
          <w:sz w:val="28"/>
          <w:szCs w:val="28"/>
          <w:rtl/>
        </w:rPr>
        <w:t xml:space="preserve">4 .قانون الادب، ج 12، ص 356.</w:t>
      </w:r>
    </w:p>
    <w:p>
      <w:pPr>
        <w:pStyle w:val="BookText"/>
      </w:pPr>
      <w:r>
        <w:rPr>
          <w:rFonts w:ascii="Amiri" w:hAnsi="Amiri" w:eastAsia="Amiri" w:cs="Amiri"/>
          <w:lang w:bidi="ar-SA"/>
          <w:color w:val="111111"/>
          <w:sz w:val="28"/>
          <w:szCs w:val="28"/>
          <w:rtl/>
        </w:rPr>
        <w:t xml:space="preserve">5 .كامل التعبير، ج13، ص 68.</w:t>
      </w:r>
    </w:p>
    <w:p>
      <w:pPr>
        <w:pStyle w:val="BookText"/>
      </w:pPr>
      <w:r>
        <w:rPr>
          <w:rFonts w:ascii="Amiri" w:hAnsi="Amiri" w:eastAsia="Amiri" w:cs="Amiri"/>
          <w:lang w:bidi="ar-SA"/>
          <w:color w:val="111111"/>
          <w:sz w:val="28"/>
          <w:szCs w:val="28"/>
          <w:rtl/>
        </w:rPr>
        <w:t xml:space="preserve">6 .كفاية الطب، ج13، ص320.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ملحمه دانیال = اصول الملاحم کتاب بهمنشاه، ج 15 ، ص 455.</w:t>
      </w:r>
    </w:p>
    <w:p>
      <w:pPr>
        <w:pStyle w:val="BookText"/>
      </w:pPr>
      <w:r>
        <w:rPr>
          <w:rFonts w:ascii="Amiri" w:hAnsi="Amiri" w:eastAsia="Amiri" w:cs="Amiri"/>
          <w:lang w:bidi="ar-SA"/>
          <w:color w:val="111111"/>
          <w:sz w:val="28"/>
          <w:szCs w:val="28"/>
          <w:rtl/>
        </w:rPr>
        <w:t xml:space="preserve">تقوي ، عبد الرشيد بن عبد الغفور- رشيدي</w:t>
      </w:r>
    </w:p>
    <w:p>
      <w:pPr>
        <w:pStyle w:val="BookText"/>
      </w:pPr>
      <w:r>
        <w:rPr>
          <w:rFonts w:ascii="Amiri" w:hAnsi="Amiri" w:eastAsia="Amiri" w:cs="Amiri"/>
          <w:lang w:bidi="ar-SA"/>
          <w:color w:val="111111"/>
          <w:sz w:val="28"/>
          <w:szCs w:val="28"/>
          <w:rtl/>
        </w:rPr>
        <w:t xml:space="preserve">، عبد الرشيد بن عبدالغفور</w:t>
      </w:r>
    </w:p>
    <w:p>
      <w:pPr>
        <w:pStyle w:val="BookText"/>
      </w:pPr>
      <w:r>
        <w:rPr>
          <w:rFonts w:ascii="Amiri" w:hAnsi="Amiri" w:eastAsia="Amiri" w:cs="Amiri"/>
          <w:lang w:bidi="ar-SA"/>
          <w:color w:val="111111"/>
          <w:sz w:val="28"/>
          <w:szCs w:val="28"/>
          <w:rtl/>
        </w:rPr>
        <w:t xml:space="preserve">تقي الدين بن بركات - ابن بركات ، تقي</w:t>
      </w:r>
    </w:p>
    <w:p>
      <w:pPr>
        <w:pStyle w:val="BookText"/>
      </w:pPr>
      <w:r>
        <w:rPr>
          <w:rFonts w:ascii="Amiri" w:hAnsi="Amiri" w:eastAsia="Amiri" w:cs="Amiri"/>
          <w:lang w:bidi="ar-SA"/>
          <w:color w:val="111111"/>
          <w:sz w:val="28"/>
          <w:szCs w:val="28"/>
          <w:rtl/>
        </w:rPr>
        <w:t xml:space="preserve">الدين بن بركات</w:t>
      </w:r>
    </w:p>
    <w:p>
      <w:pPr>
        <w:pStyle w:val="BookText"/>
      </w:pPr>
      <w:r>
        <w:rPr>
          <w:rFonts w:ascii="Amiri" w:hAnsi="Amiri" w:eastAsia="Amiri" w:cs="Amiri"/>
          <w:lang w:bidi="ar-SA"/>
          <w:color w:val="111111"/>
          <w:sz w:val="28"/>
          <w:szCs w:val="28"/>
          <w:rtl/>
        </w:rPr>
        <w:t xml:space="preserve">تقي الدين بن نجم حلبي- ابو الصلاح</w:t>
      </w:r>
    </w:p>
    <w:p>
      <w:pPr>
        <w:pStyle w:val="BookText"/>
      </w:pPr>
      <w:r>
        <w:rPr>
          <w:rFonts w:ascii="Amiri" w:hAnsi="Amiri" w:eastAsia="Amiri" w:cs="Amiri"/>
          <w:lang w:bidi="ar-SA"/>
          <w:color w:val="111111"/>
          <w:sz w:val="28"/>
          <w:szCs w:val="28"/>
          <w:rtl/>
        </w:rPr>
        <w:t xml:space="preserve">حلبي ، تقي بن نجم</w:t>
      </w:r>
    </w:p>
    <w:p>
      <w:pPr>
        <w:pStyle w:val="BookText"/>
      </w:pPr>
      <w:r>
        <w:rPr>
          <w:rFonts w:ascii="Amiri" w:hAnsi="Amiri" w:eastAsia="Amiri" w:cs="Amiri"/>
          <w:lang w:bidi="ar-SA"/>
          <w:color w:val="111111"/>
          <w:sz w:val="28"/>
          <w:szCs w:val="28"/>
          <w:rtl/>
        </w:rPr>
        <w:t xml:space="preserve">تقي الدين حلي ، حسن بن علي- ابن</w:t>
      </w:r>
    </w:p>
    <w:p>
      <w:pPr>
        <w:pStyle w:val="BookText"/>
      </w:pPr>
      <w:r>
        <w:rPr>
          <w:rFonts w:ascii="Amiri" w:hAnsi="Amiri" w:eastAsia="Amiri" w:cs="Amiri"/>
          <w:lang w:bidi="ar-SA"/>
          <w:color w:val="111111"/>
          <w:sz w:val="28"/>
          <w:szCs w:val="28"/>
          <w:rtl/>
        </w:rPr>
        <w:t xml:space="preserve">داود حلي ، حسن بن علي</w:t>
      </w:r>
    </w:p>
    <w:p>
      <w:pPr>
        <w:pStyle w:val="BookText"/>
      </w:pPr>
      <w:r>
        <w:rPr>
          <w:rFonts w:ascii="Amiri" w:hAnsi="Amiri" w:eastAsia="Amiri" w:cs="Amiri"/>
          <w:lang w:bidi="ar-SA"/>
          <w:color w:val="111111"/>
          <w:sz w:val="28"/>
          <w:szCs w:val="28"/>
          <w:rtl/>
        </w:rPr>
        <w:t xml:space="preserve">تقي بن نجم الدين حلبي- ابو الصلاح</w:t>
      </w:r>
    </w:p>
    <w:p>
      <w:pPr>
        <w:pStyle w:val="BookText"/>
      </w:pPr>
      <w:r>
        <w:rPr>
          <w:rFonts w:ascii="Amiri" w:hAnsi="Amiri" w:eastAsia="Amiri" w:cs="Amiri"/>
          <w:lang w:bidi="ar-SA"/>
          <w:color w:val="111111"/>
          <w:sz w:val="28"/>
          <w:szCs w:val="28"/>
          <w:rtl/>
        </w:rPr>
        <w:t xml:space="preserve">حلبي ، تقي بن نجم</w:t>
      </w:r>
    </w:p>
    <w:p>
      <w:pPr>
        <w:pStyle w:val="Heading2"/>
      </w:pPr>
      <w:bookmarkStart w:id="3119" w:name="_Toc2221"/>
      <w:r>
        <w:t>تكريتي ، داود</w:t>
      </w:r>
      <w:bookmarkEnd w:id="3119"/>
    </w:p>
    <w:p>
      <w:pPr>
        <w:pStyle w:val="BookText"/>
      </w:pPr>
      <w:r>
        <w:rPr>
          <w:rFonts w:ascii="Amiri" w:hAnsi="Amiri" w:eastAsia="Amiri" w:cs="Amiri"/>
          <w:lang w:bidi="ar-SA"/>
          <w:color w:val="111111"/>
          <w:sz w:val="28"/>
          <w:szCs w:val="28"/>
          <w:rtl/>
        </w:rPr>
        <w:t xml:space="preserve">تحفة الأحباب للمستر شدين من</w:t>
      </w:r>
    </w:p>
    <w:p>
      <w:pPr>
        <w:pStyle w:val="BookText"/>
      </w:pPr>
      <w:r>
        <w:rPr>
          <w:rFonts w:ascii="IRNazanin" w:hAnsi="IRNazanin" w:eastAsia="IRNazanin" w:cs="IRNazanin"/>
          <w:lang w:bidi="fa-IR"/>
          <w:color w:val="111111"/>
          <w:sz w:val="28"/>
          <w:szCs w:val="28"/>
          <w:rtl/>
        </w:rPr>
        <w:t xml:space="preserve">الطلاب، ج 3، ص 786.</w:t>
      </w:r>
    </w:p>
    <w:p>
      <w:pPr>
        <w:pStyle w:val="Heading2"/>
      </w:pPr>
      <w:bookmarkStart w:id="3120" w:name="_Toc2222"/>
      <w:r>
        <w:t>تلعفري محمّد بن يوسف، 593-675 ه-</w:t>
      </w:r>
      <w:bookmarkEnd w:id="3120"/>
    </w:p>
    <w:p>
      <w:pPr>
        <w:pStyle w:val="BookText"/>
      </w:pPr>
      <w:r>
        <w:rPr>
          <w:rFonts w:ascii="IRNazanin" w:hAnsi="IRNazanin" w:eastAsia="IRNazanin" w:cs="IRNazanin"/>
          <w:lang w:bidi="fa-IR"/>
          <w:color w:val="111111"/>
          <w:sz w:val="28"/>
          <w:szCs w:val="28"/>
          <w:rtl/>
        </w:rPr>
        <w:t xml:space="preserve">دیوان تلعفري، ج7، ص 601.</w:t>
      </w:r>
    </w:p>
    <w:p>
      <w:pPr>
        <w:pStyle w:val="Heading2"/>
      </w:pPr>
      <w:bookmarkStart w:id="3121" w:name="_Toc2223"/>
      <w:r>
        <w:t>تلعكبرى ، محمّد بن هارون - 385 ه-</w:t>
      </w:r>
      <w:bookmarkEnd w:id="3121"/>
    </w:p>
    <w:p>
      <w:pPr>
        <w:pStyle w:val="BookText"/>
      </w:pPr>
      <w:r>
        <w:rPr>
          <w:rFonts w:ascii="Amiri" w:hAnsi="Amiri" w:eastAsia="Amiri" w:cs="Amiri"/>
          <w:lang w:bidi="ar-SA"/>
          <w:color w:val="111111"/>
          <w:sz w:val="28"/>
          <w:szCs w:val="28"/>
          <w:rtl/>
        </w:rPr>
        <w:t xml:space="preserve">خبر في الملاحم، ج6، ص 885.</w:t>
      </w:r>
    </w:p>
    <w:p>
      <w:pPr>
        <w:pStyle w:val="BookText"/>
      </w:pPr>
      <w:r>
        <w:rPr>
          <w:rFonts w:ascii="Amiri" w:hAnsi="Amiri" w:eastAsia="Amiri" w:cs="Amiri"/>
          <w:lang w:bidi="ar-SA"/>
          <w:color w:val="111111"/>
          <w:sz w:val="28"/>
          <w:szCs w:val="28"/>
          <w:rtl/>
        </w:rPr>
        <w:t xml:space="preserve">تلمساني ، احمد بن محمّد بن زكري- ابن</w:t>
      </w:r>
    </w:p>
    <w:p>
      <w:pPr>
        <w:pStyle w:val="BookText"/>
      </w:pPr>
      <w:r>
        <w:rPr>
          <w:rFonts w:ascii="Amiri" w:hAnsi="Amiri" w:eastAsia="Amiri" w:cs="Amiri"/>
          <w:lang w:bidi="ar-SA"/>
          <w:color w:val="111111"/>
          <w:sz w:val="28"/>
          <w:szCs w:val="28"/>
          <w:rtl/>
        </w:rPr>
        <w:t xml:space="preserve">زكري ، احمد بن محمّد</w:t>
      </w:r>
    </w:p>
    <w:p>
      <w:pPr>
        <w:pStyle w:val="BookText"/>
      </w:pPr>
      <w:r>
        <w:rPr>
          <w:rFonts w:ascii="Amiri" w:hAnsi="Amiri" w:eastAsia="Amiri" w:cs="Amiri"/>
          <w:lang w:bidi="ar-SA"/>
          <w:color w:val="111111"/>
          <w:sz w:val="28"/>
          <w:szCs w:val="28"/>
          <w:rtl/>
        </w:rPr>
        <w:t xml:space="preserve">تلمساني ، احمد بن يحيى- ابن ابي حجله ،</w:t>
      </w:r>
    </w:p>
    <w:p>
      <w:pPr>
        <w:pStyle w:val="BookText"/>
      </w:pPr>
      <w:r>
        <w:rPr>
          <w:rFonts w:ascii="Amiri" w:hAnsi="Amiri" w:eastAsia="Amiri" w:cs="Amiri"/>
          <w:lang w:bidi="ar-SA"/>
          <w:color w:val="111111"/>
          <w:sz w:val="28"/>
          <w:szCs w:val="28"/>
          <w:rtl/>
        </w:rPr>
        <w:t xml:space="preserve">احمد بن يحيى</w:t>
      </w:r>
    </w:p>
    <w:p>
      <w:pPr>
        <w:pStyle w:val="Heading2"/>
      </w:pPr>
      <w:bookmarkStart w:id="3122" w:name="_Toc2224"/>
      <w:r>
        <w:t>تلمساني، سليمان بن علي، 610 - 690 ه-</w:t>
      </w:r>
      <w:bookmarkEnd w:id="3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دیوان تلمساني، ج7، ص 601.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منازل السائرين، ج10،</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Amiri" w:hAnsi="Amiri" w:eastAsia="Amiri" w:cs="Amiri"/>
          <w:lang w:bidi="ar-SA"/>
          <w:color w:val="111111"/>
          <w:sz w:val="28"/>
          <w:szCs w:val="28"/>
          <w:rtl/>
        </w:rPr>
        <w:t xml:space="preserve">تلمساني ، شعيب بن الحسن- ابومدين</w:t>
      </w:r>
    </w:p>
    <w:p>
      <w:pPr>
        <w:pStyle w:val="BookText"/>
      </w:pPr>
      <w:r>
        <w:rPr>
          <w:rFonts w:ascii="Amiri" w:hAnsi="Amiri" w:eastAsia="Amiri" w:cs="Amiri"/>
          <w:lang w:bidi="ar-SA"/>
          <w:color w:val="111111"/>
          <w:sz w:val="28"/>
          <w:szCs w:val="28"/>
          <w:rtl/>
        </w:rPr>
        <w:t xml:space="preserve">مغربي ، شعيب بن حسن</w:t>
      </w:r>
    </w:p>
    <w:p>
      <w:pPr>
        <w:pStyle w:val="Heading2"/>
      </w:pPr>
      <w:bookmarkStart w:id="3123" w:name="_Toc2225"/>
      <w:r>
        <w:t>تلمساني ، عبدالله بن محمّد - 644 ه-</w:t>
      </w:r>
      <w:bookmarkEnd w:id="3123"/>
    </w:p>
    <w:p>
      <w:pPr>
        <w:pStyle w:val="BookText"/>
      </w:pPr>
      <w:r>
        <w:rPr>
          <w:rFonts w:ascii="Amiri" w:hAnsi="Amiri" w:eastAsia="Amiri" w:cs="Amiri"/>
          <w:lang w:bidi="ar-SA"/>
          <w:color w:val="111111"/>
          <w:sz w:val="28"/>
          <w:szCs w:val="28"/>
          <w:rtl/>
        </w:rPr>
        <w:t xml:space="preserve">شرح عقيدة السنوسي، ج9، ص 742.</w:t>
      </w:r>
    </w:p>
    <w:p>
      <w:pPr>
        <w:pStyle w:val="BookText"/>
      </w:pPr>
      <w:r>
        <w:rPr>
          <w:rFonts w:ascii="Amiri" w:hAnsi="Amiri" w:eastAsia="Amiri" w:cs="Amiri"/>
          <w:lang w:bidi="ar-SA"/>
          <w:color w:val="111111"/>
          <w:sz w:val="28"/>
          <w:szCs w:val="28"/>
          <w:rtl/>
        </w:rPr>
        <w:t xml:space="preserve">تلمساني ، محمّد بن احمد- ابن مرزوق</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3124" w:name="_Toc2226"/>
      <w:r>
        <w:t>تلمساني ، محمّد بن احمد، 710 - 781 ه-</w:t>
      </w:r>
      <w:bookmarkEnd w:id="3124"/>
    </w:p>
    <w:p>
      <w:pPr>
        <w:pStyle w:val="BookText"/>
      </w:pPr>
      <w:r>
        <w:rPr>
          <w:rFonts w:ascii="Amiri" w:hAnsi="Amiri" w:eastAsia="Amiri" w:cs="Amiri"/>
          <w:lang w:bidi="ar-SA"/>
          <w:color w:val="111111"/>
          <w:sz w:val="28"/>
          <w:szCs w:val="28"/>
          <w:rtl/>
        </w:rPr>
        <w:t xml:space="preserve">اظهار صدق المودة في شرح البردة</w:t>
      </w:r>
    </w:p>
    <w:p>
      <w:pPr>
        <w:pStyle w:val="BookText"/>
      </w:pPr>
      <w:r>
        <w:rPr>
          <w:rFonts w:ascii="IRNazanin" w:hAnsi="IRNazanin" w:eastAsia="IRNazanin" w:cs="IRNazanin"/>
          <w:lang w:bidi="fa-IR"/>
          <w:color w:val="111111"/>
          <w:sz w:val="28"/>
          <w:szCs w:val="28"/>
          <w:rtl/>
        </w:rPr>
        <w:t xml:space="preserve">ج 2، ص 492 .</w:t>
      </w:r>
    </w:p>
    <w:p>
      <w:pPr>
        <w:pStyle w:val="BookText"/>
      </w:pPr>
      <w:r>
        <w:rPr>
          <w:rFonts w:ascii="Amiri" w:hAnsi="Amiri" w:eastAsia="Amiri" w:cs="Amiri"/>
          <w:lang w:bidi="ar-SA"/>
          <w:color w:val="111111"/>
          <w:sz w:val="28"/>
          <w:szCs w:val="28"/>
          <w:rtl/>
        </w:rPr>
        <w:t xml:space="preserve">تلمساني ، محمّد بن سليمان- ابن عفيف</w:t>
      </w:r>
    </w:p>
    <w:p>
      <w:pPr>
        <w:pStyle w:val="BookText"/>
      </w:pPr>
      <w:r>
        <w:rPr>
          <w:rFonts w:ascii="Amiri" w:hAnsi="Amiri" w:eastAsia="Amiri" w:cs="Amiri"/>
          <w:lang w:bidi="ar-SA"/>
          <w:color w:val="111111"/>
          <w:sz w:val="28"/>
          <w:szCs w:val="28"/>
          <w:rtl/>
        </w:rPr>
        <w:t xml:space="preserve">تلمساني ، محمّد بن سليمان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3" w:name="pg7742_69991"/>
    <w:bookmarkEnd w:id="303"/>
    <w:p>
      <w:pPr>
        <w:pStyle w:val="Heading2"/>
      </w:pPr>
      <w:bookmarkStart w:id="3125" w:name="_Toc2227"/>
      <w:r>
        <w:t>تلمساني ، محمّد بن عمر، قرن 9 ه-</w:t>
      </w:r>
      <w:bookmarkEnd w:id="3125"/>
    </w:p>
    <w:p>
      <w:pPr>
        <w:pStyle w:val="BookText"/>
      </w:pPr>
      <w:r>
        <w:rPr>
          <w:rFonts w:ascii="Amiri" w:hAnsi="Amiri" w:eastAsia="Amiri" w:cs="Amiri"/>
          <w:lang w:bidi="ar-SA"/>
          <w:color w:val="111111"/>
          <w:sz w:val="28"/>
          <w:szCs w:val="28"/>
          <w:rtl/>
        </w:rPr>
        <w:t xml:space="preserve">1 .حاشية شرح التصريف العزي، ج 6،</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Amiri" w:hAnsi="Amiri" w:eastAsia="Amiri" w:cs="Amiri"/>
          <w:lang w:bidi="ar-SA"/>
          <w:color w:val="111111"/>
          <w:sz w:val="28"/>
          <w:szCs w:val="28"/>
          <w:rtl/>
        </w:rPr>
        <w:t xml:space="preserve">2 .حاشية على السنوسية ج6،</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ام البراهين = شرح العقيدة</w:t>
      </w:r>
    </w:p>
    <w:p>
      <w:pPr>
        <w:pStyle w:val="BookText"/>
      </w:pPr>
      <w:r>
        <w:rPr>
          <w:rFonts w:ascii="Amiri" w:hAnsi="Amiri" w:eastAsia="Amiri" w:cs="Amiri"/>
          <w:lang w:bidi="ar-SA"/>
          <w:color w:val="111111"/>
          <w:sz w:val="28"/>
          <w:szCs w:val="28"/>
          <w:rtl/>
        </w:rPr>
        <w:t xml:space="preserve">السنوسية، ج 9، ص232</w:t>
      </w:r>
    </w:p>
    <w:p>
      <w:pPr>
        <w:pStyle w:val="BookText"/>
      </w:pPr>
      <w:r>
        <w:rPr>
          <w:rFonts w:ascii="Amiri" w:hAnsi="Amiri" w:eastAsia="Amiri" w:cs="Amiri"/>
          <w:lang w:bidi="ar-SA"/>
          <w:color w:val="111111"/>
          <w:sz w:val="28"/>
          <w:szCs w:val="28"/>
          <w:rtl/>
        </w:rPr>
        <w:t xml:space="preserve">تلمساني ، محمّد بن محمّد- ابن حاج</w:t>
      </w:r>
    </w:p>
    <w:p>
      <w:pPr>
        <w:pStyle w:val="BookText"/>
      </w:pPr>
      <w:r>
        <w:rPr>
          <w:rFonts w:ascii="Amiri" w:hAnsi="Amiri" w:eastAsia="Amiri" w:cs="Amiri"/>
          <w:lang w:bidi="ar-SA"/>
          <w:color w:val="111111"/>
          <w:sz w:val="28"/>
          <w:szCs w:val="28"/>
          <w:rtl/>
        </w:rPr>
        <w:t xml:space="preserve">عبدري ، محمّد بن محمّد</w:t>
      </w:r>
    </w:p>
    <w:p>
      <w:pPr>
        <w:pStyle w:val="BookText"/>
      </w:pPr>
      <w:r>
        <w:rPr>
          <w:rFonts w:ascii="Amiri" w:hAnsi="Amiri" w:eastAsia="Amiri" w:cs="Amiri"/>
          <w:lang w:bidi="ar-SA"/>
          <w:color w:val="111111"/>
          <w:sz w:val="28"/>
          <w:szCs w:val="28"/>
          <w:rtl/>
        </w:rPr>
        <w:t xml:space="preserve">تلمساني ، محمّد بن يوسف- سنوسي</w:t>
      </w:r>
    </w:p>
    <w:p>
      <w:pPr>
        <w:pStyle w:val="BookText"/>
      </w:pPr>
      <w:r>
        <w:rPr>
          <w:rFonts w:ascii="Amiri" w:hAnsi="Amiri" w:eastAsia="Amiri" w:cs="Amiri"/>
          <w:lang w:bidi="ar-SA"/>
          <w:color w:val="111111"/>
          <w:sz w:val="28"/>
          <w:szCs w:val="28"/>
          <w:rtl/>
        </w:rPr>
        <w:t xml:space="preserve">محمّد بن يوسف</w:t>
      </w:r>
    </w:p>
    <w:p>
      <w:pPr>
        <w:pStyle w:val="Heading2"/>
      </w:pPr>
      <w:bookmarkStart w:id="3126" w:name="_Toc2228"/>
      <w:r>
        <w:t>تلوي ، مصطفى بن عبد القادر</w:t>
      </w:r>
      <w:bookmarkEnd w:id="3126"/>
    </w:p>
    <w:p>
      <w:pPr>
        <w:pStyle w:val="BookText"/>
      </w:pPr>
      <w:r>
        <w:rPr>
          <w:rFonts w:ascii="Amiri" w:hAnsi="Amiri" w:eastAsia="Amiri" w:cs="Amiri"/>
          <w:lang w:bidi="ar-SA"/>
          <w:color w:val="111111"/>
          <w:sz w:val="28"/>
          <w:szCs w:val="28"/>
          <w:rtl/>
        </w:rPr>
        <w:t xml:space="preserve">ميزان الاوقات، ج 16، ص 67.</w:t>
      </w:r>
    </w:p>
    <w:p>
      <w:pPr>
        <w:pStyle w:val="BookText"/>
      </w:pPr>
      <w:r>
        <w:rPr>
          <w:rFonts w:ascii="IRNazanin" w:hAnsi="IRNazanin" w:eastAsia="IRNazanin" w:cs="IRNazanin"/>
          <w:lang w:bidi="fa-IR"/>
          <w:color w:val="111111"/>
          <w:sz w:val="28"/>
          <w:szCs w:val="28"/>
          <w:rtl/>
        </w:rPr>
        <w:t xml:space="preserve">تماضر بنت عمرو -خنساء ، تماضر بنت</w:t>
      </w:r>
    </w:p>
    <w:p>
      <w:pPr>
        <w:pStyle w:val="BookText"/>
      </w:pPr>
      <w:r>
        <w:rPr>
          <w:rFonts w:ascii="IRNazanin" w:hAnsi="IRNazanin" w:eastAsia="IRNazanin" w:cs="IRNazanin"/>
          <w:lang w:bidi="fa-IR"/>
          <w:color w:val="111111"/>
          <w:sz w:val="28"/>
          <w:szCs w:val="28"/>
          <w:rtl/>
        </w:rPr>
        <w:t xml:space="preserve">عمرو</w:t>
      </w:r>
    </w:p>
    <w:p>
      <w:pPr>
        <w:pStyle w:val="BookText"/>
      </w:pPr>
      <w:r>
        <w:rPr>
          <w:rFonts w:ascii="Amiri" w:hAnsi="Amiri" w:eastAsia="Amiri" w:cs="Amiri"/>
          <w:lang w:bidi="ar-SA"/>
          <w:color w:val="111111"/>
          <w:sz w:val="28"/>
          <w:szCs w:val="28"/>
          <w:rtl/>
        </w:rPr>
        <w:t xml:space="preserve">تمام بن محمّد بجلي رازي- بجلي رازي</w:t>
      </w:r>
    </w:p>
    <w:p>
      <w:pPr>
        <w:pStyle w:val="BookText"/>
      </w:pPr>
      <w:r>
        <w:rPr>
          <w:rFonts w:ascii="IRNazanin" w:hAnsi="IRNazanin" w:eastAsia="IRNazanin" w:cs="IRNazanin"/>
          <w:lang w:bidi="fa-IR"/>
          <w:color w:val="111111"/>
          <w:sz w:val="28"/>
          <w:szCs w:val="28"/>
          <w:rtl/>
        </w:rPr>
        <w:t xml:space="preserve">تمام بن محمّد</w:t>
      </w:r>
    </w:p>
    <w:p>
      <w:pPr>
        <w:pStyle w:val="Heading2"/>
      </w:pPr>
      <w:bookmarkStart w:id="3127" w:name="_Toc2229"/>
      <w:r>
        <w:t>تمامي شيرازي ، محمّد بن محمّد صادق</w:t>
      </w:r>
      <w:bookmarkEnd w:id="3127"/>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ذخيرة المعاد، ج 7، ص 834.</w:t>
      </w:r>
    </w:p>
    <w:p>
      <w:pPr>
        <w:pStyle w:val="Heading2"/>
      </w:pPr>
      <w:bookmarkStart w:id="3128" w:name="_Toc2230"/>
      <w:r>
        <w:t>تمرتاشي ، احمد بن اسماعيل - 610 ؟ ه-</w:t>
      </w:r>
      <w:bookmarkEnd w:id="3128"/>
    </w:p>
    <w:p>
      <w:pPr>
        <w:pStyle w:val="BookText"/>
      </w:pPr>
      <w:r>
        <w:rPr>
          <w:rFonts w:ascii="Amiri" w:hAnsi="Amiri" w:eastAsia="Amiri" w:cs="Amiri"/>
          <w:lang w:bidi="ar-SA"/>
          <w:color w:val="111111"/>
          <w:sz w:val="28"/>
          <w:szCs w:val="28"/>
          <w:rtl/>
        </w:rPr>
        <w:t xml:space="preserve">الفتاوى التمرتاشية في الوقايع الغزية</w:t>
      </w:r>
    </w:p>
    <w:p>
      <w:pPr>
        <w:pStyle w:val="BookText"/>
      </w:pPr>
      <w:r>
        <w:rPr>
          <w:rFonts w:ascii="IRNazanin" w:hAnsi="IRNazanin" w:eastAsia="IRNazanin" w:cs="IRNazanin"/>
          <w:lang w:bidi="fa-IR"/>
          <w:color w:val="111111"/>
          <w:sz w:val="28"/>
          <w:szCs w:val="28"/>
          <w:rtl/>
        </w:rPr>
        <w:t xml:space="preserve">ج 11، ص 606.</w:t>
      </w:r>
    </w:p>
    <w:p>
      <w:pPr>
        <w:pStyle w:val="Heading2"/>
      </w:pPr>
      <w:bookmarkStart w:id="3129" w:name="_Toc2231"/>
      <w:r>
        <w:t>تمرتاشي ، صالح بن محمّد، 980-1055 ه-</w:t>
      </w:r>
      <w:bookmarkEnd w:id="3129"/>
    </w:p>
    <w:p>
      <w:pPr>
        <w:pStyle w:val="BookText"/>
      </w:pPr>
      <w:r>
        <w:rPr>
          <w:rFonts w:ascii="IRNazanin" w:hAnsi="IRNazanin" w:eastAsia="IRNazanin" w:cs="IRNazanin"/>
          <w:lang w:bidi="fa-IR"/>
          <w:color w:val="111111"/>
          <w:sz w:val="28"/>
          <w:szCs w:val="28"/>
          <w:rtl/>
        </w:rPr>
        <w:t xml:space="preserve">زواهر الجواهر النضائر على الاشباه و</w:t>
      </w:r>
    </w:p>
    <w:p>
      <w:pPr>
        <w:pStyle w:val="BookText"/>
      </w:pPr>
      <w:r>
        <w:rPr>
          <w:rFonts w:ascii="IRNazanin" w:hAnsi="IRNazanin" w:eastAsia="IRNazanin" w:cs="IRNazanin"/>
          <w:lang w:bidi="fa-IR"/>
          <w:color w:val="111111"/>
          <w:sz w:val="28"/>
          <w:szCs w:val="28"/>
          <w:rtl/>
        </w:rPr>
        <w:t xml:space="preserve">النظائر، ج8، ص 639 .</w:t>
      </w:r>
    </w:p>
    <w:p>
      <w:pPr>
        <w:pStyle w:val="BookText"/>
      </w:pPr>
      <w:r>
        <w:rPr>
          <w:rFonts w:ascii="Amiri" w:hAnsi="Amiri" w:eastAsia="Amiri" w:cs="Amiri"/>
          <w:lang w:bidi="ar-SA"/>
          <w:color w:val="111111"/>
          <w:sz w:val="28"/>
          <w:szCs w:val="28"/>
          <w:rtl/>
        </w:rPr>
        <w:t xml:space="preserve">تمرتاشي ، محمّد بن صالح -غزي تمرتاشي ، محمّد بن صالح</w:t>
      </w:r>
    </w:p>
    <w:p>
      <w:pPr>
        <w:pStyle w:val="Heading2"/>
      </w:pPr>
      <w:bookmarkStart w:id="3130" w:name="_Toc2232"/>
      <w:r>
        <w:t>تمرتاشي ، محمّد بن عبدالله 939-1004ه-</w:t>
      </w:r>
      <w:bookmarkEnd w:id="3130"/>
    </w:p>
    <w:p>
      <w:pPr>
        <w:pStyle w:val="BookText"/>
      </w:pPr>
      <w:r>
        <w:rPr>
          <w:rFonts w:ascii="Amiri" w:hAnsi="Amiri" w:eastAsia="Amiri" w:cs="Amiri"/>
          <w:lang w:bidi="ar-SA"/>
          <w:color w:val="111111"/>
          <w:sz w:val="28"/>
          <w:szCs w:val="28"/>
          <w:rtl/>
        </w:rPr>
        <w:t xml:space="preserve">1 .اعانة الحقير لشرح زاد الفقير، ج 2،</w:t>
      </w:r>
    </w:p>
    <w:p>
      <w:pPr>
        <w:pStyle w:val="BookText"/>
      </w:pPr>
      <w:r>
        <w:rPr>
          <w:rFonts w:ascii="IRNazanin" w:hAnsi="IRNazanin" w:eastAsia="IRNazanin" w:cs="IRNazanin"/>
          <w:lang w:bidi="fa-IR"/>
          <w:color w:val="111111"/>
          <w:sz w:val="28"/>
          <w:szCs w:val="28"/>
          <w:rtl/>
        </w:rPr>
        <w:t xml:space="preserve">ص 493.</w:t>
      </w:r>
    </w:p>
    <w:p>
      <w:pPr>
        <w:pStyle w:val="BookText"/>
      </w:pPr>
      <w:r>
        <w:rPr>
          <w:rFonts w:ascii="IRNazanin" w:hAnsi="IRNazanin" w:eastAsia="IRNazanin" w:cs="IRNazanin"/>
          <w:lang w:bidi="fa-IR"/>
          <w:color w:val="111111"/>
          <w:sz w:val="28"/>
          <w:szCs w:val="28"/>
          <w:rtl/>
        </w:rPr>
        <w:t xml:space="preserve">2 .ترتيب فتاوی ابن نجیم جع</w:t>
      </w:r>
    </w:p>
    <w:p>
      <w:pPr>
        <w:pStyle w:val="BookText"/>
      </w:pPr>
      <w:r>
        <w:rPr>
          <w:rFonts w:ascii="IRNazanin" w:hAnsi="IRNazanin" w:eastAsia="IRNazanin" w:cs="IRNazanin"/>
          <w:lang w:bidi="fa-IR"/>
          <w:color w:val="111111"/>
          <w:sz w:val="28"/>
          <w:szCs w:val="28"/>
          <w:rtl/>
        </w:rPr>
        <w:t xml:space="preserve">ص 244.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تنویر الابصار و جامع البحار، ج 5،</w:t>
      </w:r>
    </w:p>
    <w:p>
      <w:pPr>
        <w:pStyle w:val="BookText"/>
      </w:pPr>
      <w:r>
        <w:rPr>
          <w:rFonts w:ascii="IRNazanin" w:hAnsi="IRNazanin" w:eastAsia="IRNazanin" w:cs="IRNazanin"/>
          <w:lang w:bidi="fa-IR"/>
          <w:color w:val="111111"/>
          <w:sz w:val="28"/>
          <w:szCs w:val="28"/>
          <w:rtl/>
        </w:rPr>
        <w:t xml:space="preserve">ص 72 .</w:t>
      </w:r>
    </w:p>
    <w:p>
      <w:pPr>
        <w:pStyle w:val="BookText"/>
      </w:pPr>
      <w:r>
        <w:rPr>
          <w:rFonts w:ascii="Amiri" w:hAnsi="Amiri" w:eastAsia="Amiri" w:cs="Amiri"/>
          <w:lang w:bidi="ar-SA"/>
          <w:color w:val="111111"/>
          <w:sz w:val="28"/>
          <w:szCs w:val="28"/>
          <w:rtl/>
        </w:rPr>
        <w:t xml:space="preserve">4 .مسئلة التجويز الواقعة بين العوام بدل الازدواج، ج 14، ص 538.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مسعفة الحكام في ادب المفتي و</w:t>
      </w:r>
    </w:p>
    <w:p>
      <w:pPr>
        <w:pStyle w:val="BookText"/>
      </w:pPr>
      <w:r>
        <w:rPr>
          <w:rFonts w:ascii="Amiri" w:hAnsi="Amiri" w:eastAsia="Amiri" w:cs="Amiri"/>
          <w:lang w:bidi="ar-SA"/>
          <w:color w:val="111111"/>
          <w:sz w:val="28"/>
          <w:szCs w:val="28"/>
          <w:rtl/>
        </w:rPr>
        <w:t xml:space="preserve">رسم الحكام، ج 14، ص 573.</w:t>
      </w:r>
    </w:p>
    <w:p>
      <w:pPr>
        <w:pStyle w:val="BookText"/>
      </w:pPr>
      <w:r>
        <w:rPr>
          <w:rFonts w:ascii="Amiri" w:hAnsi="Amiri" w:eastAsia="Amiri" w:cs="Amiri"/>
          <w:lang w:bidi="ar-SA"/>
          <w:color w:val="111111"/>
          <w:sz w:val="28"/>
          <w:szCs w:val="28"/>
          <w:rtl/>
        </w:rPr>
        <w:t xml:space="preserve">6 .معين المفتي على جواب المستفتي</w:t>
      </w:r>
    </w:p>
    <w:p>
      <w:pPr>
        <w:pStyle w:val="BookText"/>
      </w:pPr>
      <w:r>
        <w:rPr>
          <w:rFonts w:ascii="IRNazanin" w:hAnsi="IRNazanin" w:eastAsia="IRNazanin" w:cs="IRNazanin"/>
          <w:lang w:bidi="fa-IR"/>
          <w:color w:val="111111"/>
          <w:sz w:val="28"/>
          <w:szCs w:val="28"/>
          <w:rtl/>
        </w:rPr>
        <w:t xml:space="preserve">ج 15 ، ص 108.</w:t>
      </w:r>
    </w:p>
    <w:p>
      <w:pPr>
        <w:pStyle w:val="BookText"/>
      </w:pPr>
      <w:r>
        <w:rPr>
          <w:rFonts w:ascii="IRNazanin" w:hAnsi="IRNazanin" w:eastAsia="IRNazanin" w:cs="IRNazanin"/>
          <w:lang w:bidi="fa-IR"/>
          <w:color w:val="111111"/>
          <w:sz w:val="28"/>
          <w:szCs w:val="28"/>
          <w:rtl/>
        </w:rPr>
        <w:t xml:space="preserve">7 .منح الغفار في شرح تنویر الابصار</w:t>
      </w:r>
    </w:p>
    <w:p>
      <w:pPr>
        <w:pStyle w:val="BookText"/>
      </w:pPr>
      <w:r>
        <w:rPr>
          <w:rFonts w:ascii="IRNazanin" w:hAnsi="IRNazanin" w:eastAsia="IRNazanin" w:cs="IRNazanin"/>
          <w:lang w:bidi="fa-IR"/>
          <w:color w:val="111111"/>
          <w:sz w:val="28"/>
          <w:szCs w:val="28"/>
          <w:rtl/>
        </w:rPr>
        <w:t xml:space="preserve">ج 15 ، ص 671.</w:t>
      </w:r>
    </w:p>
    <w:p>
      <w:pPr>
        <w:pStyle w:val="BookText"/>
      </w:pPr>
      <w:r>
        <w:rPr>
          <w:rFonts w:ascii="Amiri" w:hAnsi="Amiri" w:eastAsia="Amiri" w:cs="Amiri"/>
          <w:lang w:bidi="ar-SA"/>
          <w:color w:val="111111"/>
          <w:sz w:val="28"/>
          <w:szCs w:val="28"/>
          <w:rtl/>
        </w:rPr>
        <w:t xml:space="preserve">تمكين شيرواني - شيرواني، زين العابدين بن</w:t>
      </w:r>
    </w:p>
    <w:p>
      <w:pPr>
        <w:pStyle w:val="BookText"/>
      </w:pPr>
      <w:r>
        <w:rPr>
          <w:rFonts w:ascii="Amiri" w:hAnsi="Amiri" w:eastAsia="Amiri" w:cs="Amiri"/>
          <w:lang w:bidi="ar-SA"/>
          <w:color w:val="111111"/>
          <w:sz w:val="28"/>
          <w:szCs w:val="28"/>
          <w:rtl/>
        </w:rPr>
        <w:t xml:space="preserve">اسكندر</w:t>
      </w:r>
    </w:p>
    <w:p>
      <w:pPr>
        <w:pStyle w:val="Heading2"/>
      </w:pPr>
      <w:bookmarkStart w:id="3131" w:name="_Toc2233"/>
      <w:r>
        <w:t>تميمي ، احمد</w:t>
      </w:r>
      <w:bookmarkEnd w:id="3131"/>
    </w:p>
    <w:p>
      <w:pPr>
        <w:pStyle w:val="BookText"/>
      </w:pPr>
      <w:r>
        <w:rPr>
          <w:rFonts w:ascii="Amiri" w:hAnsi="Amiri" w:eastAsia="Amiri" w:cs="Amiri"/>
          <w:lang w:bidi="ar-SA"/>
          <w:color w:val="111111"/>
          <w:sz w:val="28"/>
          <w:szCs w:val="28"/>
          <w:rtl/>
        </w:rPr>
        <w:t xml:space="preserve">سند احمد التميمي، ج8، ص 840.</w:t>
      </w:r>
    </w:p>
    <w:p>
      <w:pPr>
        <w:pStyle w:val="Heading2"/>
      </w:pPr>
      <w:bookmarkStart w:id="3132" w:name="_Toc2234"/>
      <w:r>
        <w:t>تميمي ، احمد بن علي، 210 - 307 ه-</w:t>
      </w:r>
      <w:bookmarkEnd w:id="3132"/>
    </w:p>
    <w:p>
      <w:pPr>
        <w:pStyle w:val="BookText"/>
      </w:pPr>
      <w:r>
        <w:rPr>
          <w:rFonts w:ascii="Amiri" w:hAnsi="Amiri" w:eastAsia="Amiri" w:cs="Amiri"/>
          <w:lang w:bidi="ar-SA"/>
          <w:color w:val="111111"/>
          <w:sz w:val="28"/>
          <w:szCs w:val="28"/>
          <w:rtl/>
        </w:rPr>
        <w:t xml:space="preserve">معجم الصحابة، ج 15 ، ص 16.</w:t>
      </w:r>
    </w:p>
    <w:p>
      <w:pPr>
        <w:pStyle w:val="Heading2"/>
      </w:pPr>
      <w:bookmarkStart w:id="3133" w:name="_Toc2235"/>
      <w:r>
        <w:t>تميمي اسماعيل بن محمّد - 420 ه-</w:t>
      </w:r>
      <w:bookmarkEnd w:id="3133"/>
    </w:p>
    <w:p>
      <w:pPr>
        <w:pStyle w:val="BookText"/>
      </w:pPr>
      <w:r>
        <w:rPr>
          <w:rFonts w:ascii="Amiri" w:hAnsi="Amiri" w:eastAsia="Amiri" w:cs="Amiri"/>
          <w:lang w:bidi="ar-SA"/>
          <w:color w:val="111111"/>
          <w:sz w:val="28"/>
          <w:szCs w:val="28"/>
          <w:rtl/>
        </w:rPr>
        <w:t xml:space="preserve">1 .الرشد والهداية، ج 8، ص310.</w:t>
      </w:r>
    </w:p>
    <w:p>
      <w:pPr>
        <w:pStyle w:val="BookText"/>
      </w:pPr>
      <w:r>
        <w:rPr>
          <w:rFonts w:ascii="Amiri" w:hAnsi="Amiri" w:eastAsia="Amiri" w:cs="Amiri"/>
          <w:lang w:bidi="ar-SA"/>
          <w:color w:val="111111"/>
          <w:sz w:val="28"/>
          <w:szCs w:val="28"/>
          <w:rtl/>
        </w:rPr>
        <w:t xml:space="preserve">2 .شعر النفس = القصيدة الميمية</w:t>
      </w:r>
    </w:p>
    <w:p>
      <w:pPr>
        <w:pStyle w:val="BookText"/>
      </w:pPr>
      <w:r>
        <w:rPr>
          <w:rFonts w:ascii="IRNazanin" w:hAnsi="IRNazanin" w:eastAsia="IRNazanin" w:cs="IRNazanin"/>
          <w:lang w:bidi="fa-IR"/>
          <w:color w:val="111111"/>
          <w:sz w:val="28"/>
          <w:szCs w:val="28"/>
          <w:rtl/>
        </w:rPr>
        <w:t xml:space="preserve">ج 10، ص 369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4" w:name="pg7742_69993"/>
    <w:bookmarkEnd w:id="304"/>
    <w:p>
      <w:pPr>
        <w:pStyle w:val="Heading2"/>
      </w:pPr>
      <w:bookmarkStart w:id="3134" w:name="_Toc2236"/>
      <w:r>
        <w:t>تميمي ، تقي الدين بن عبد القادر 950 .</w:t>
      </w:r>
      <w:bookmarkEnd w:id="3134"/>
    </w:p>
    <w:p>
      <w:pPr>
        <w:pStyle w:val="BookText"/>
      </w:pPr>
      <w:r>
        <w:rPr>
          <w:rFonts w:ascii="Amiri" w:hAnsi="Amiri" w:eastAsia="Amiri" w:cs="Amiri"/>
          <w:lang w:bidi="ar-SA"/>
          <w:color w:val="111111"/>
          <w:sz w:val="28"/>
          <w:szCs w:val="28"/>
          <w:rtl/>
        </w:rPr>
        <w:t xml:space="preserve">التراجم السنية في تراجم الحنفية، جع،</w:t>
      </w:r>
    </w:p>
    <w:p>
      <w:pPr>
        <w:pStyle w:val="BookText"/>
      </w:pPr>
      <w:r>
        <w:rPr>
          <w:rFonts w:ascii="IRNazanin" w:hAnsi="IRNazanin" w:eastAsia="IRNazanin" w:cs="IRNazanin"/>
          <w:lang w:bidi="fa-IR"/>
          <w:color w:val="111111"/>
          <w:sz w:val="28"/>
          <w:szCs w:val="28"/>
          <w:rtl/>
        </w:rPr>
        <w:t xml:space="preserve">ص 227.</w:t>
      </w:r>
    </w:p>
    <w:p>
      <w:pPr>
        <w:pStyle w:val="Heading2"/>
      </w:pPr>
      <w:bookmarkStart w:id="3135" w:name="_Toc2237"/>
      <w:r>
        <w:t>تميمي خليلي ، احمد بن عبدالغني قرن</w:t>
      </w:r>
      <w:bookmarkEnd w:id="3135"/>
    </w:p>
    <w:p>
      <w:pPr>
        <w:pStyle w:val="BookText"/>
      </w:pPr>
      <w:r>
        <w:rPr>
          <w:rFonts w:ascii="IRNazanin" w:hAnsi="IRNazanin" w:eastAsia="IRNazanin" w:cs="IRNazanin"/>
          <w:lang w:bidi="fa-IR"/>
          <w:color w:val="111111"/>
          <w:sz w:val="28"/>
          <w:szCs w:val="28"/>
          <w:rtl/>
        </w:rPr>
        <w:t xml:space="preserve">12 ه-</w:t>
      </w:r>
    </w:p>
    <w:p>
      <w:pPr>
        <w:pStyle w:val="BookText"/>
      </w:pPr>
      <w:r>
        <w:rPr>
          <w:rFonts w:ascii="IRNazanin" w:hAnsi="IRNazanin" w:eastAsia="IRNazanin" w:cs="IRNazanin"/>
          <w:lang w:bidi="fa-IR"/>
          <w:color w:val="111111"/>
          <w:sz w:val="28"/>
          <w:szCs w:val="28"/>
          <w:rtl/>
        </w:rPr>
        <w:t xml:space="preserve">1 .الاجازات، ج 1، ص 199.</w:t>
      </w:r>
    </w:p>
    <w:p>
      <w:pPr>
        <w:pStyle w:val="BookText"/>
      </w:pPr>
      <w:r>
        <w:rPr>
          <w:rFonts w:ascii="Amiri" w:hAnsi="Amiri" w:eastAsia="Amiri" w:cs="Amiri"/>
          <w:lang w:bidi="ar-SA"/>
          <w:color w:val="111111"/>
          <w:sz w:val="28"/>
          <w:szCs w:val="28"/>
          <w:rtl/>
        </w:rPr>
        <w:t xml:space="preserve">2 .اسقاط الصلاة وغيرها عن الميت</w:t>
      </w:r>
    </w:p>
    <w:p>
      <w:pPr>
        <w:pStyle w:val="BookText"/>
      </w:pPr>
      <w:r>
        <w:rPr>
          <w:rFonts w:ascii="Amiri" w:hAnsi="Amiri" w:eastAsia="Amiri" w:cs="Amiri"/>
          <w:lang w:bidi="ar-SA"/>
          <w:color w:val="111111"/>
          <w:sz w:val="28"/>
          <w:szCs w:val="28"/>
          <w:rtl/>
        </w:rPr>
        <w:t xml:space="preserve">(رسالة في)، ج 2، ص 205.</w:t>
      </w:r>
    </w:p>
    <w:p>
      <w:pPr>
        <w:pStyle w:val="Heading2"/>
      </w:pPr>
      <w:bookmarkStart w:id="3136" w:name="_Toc2238"/>
      <w:r>
        <w:t>تميمي سليمان بن عبد الوهاب - 1210ه-</w:t>
      </w:r>
      <w:bookmarkEnd w:id="3136"/>
    </w:p>
    <w:p>
      <w:pPr>
        <w:pStyle w:val="BookText"/>
      </w:pPr>
      <w:r>
        <w:rPr>
          <w:rFonts w:ascii="Amiri" w:hAnsi="Amiri" w:eastAsia="Amiri" w:cs="Amiri"/>
          <w:lang w:bidi="ar-SA"/>
          <w:color w:val="111111"/>
          <w:sz w:val="28"/>
          <w:szCs w:val="28"/>
          <w:rtl/>
        </w:rPr>
        <w:t xml:space="preserve">الرد على الوهابية (رسالة في)، ج8،</w:t>
      </w:r>
    </w:p>
    <w:p>
      <w:pPr>
        <w:pStyle w:val="BookText"/>
      </w:pPr>
      <w:r>
        <w:rPr>
          <w:rFonts w:ascii="IRNazanin" w:hAnsi="IRNazanin" w:eastAsia="IRNazanin" w:cs="IRNazanin"/>
          <w:lang w:bidi="fa-IR"/>
          <w:color w:val="111111"/>
          <w:sz w:val="28"/>
          <w:szCs w:val="28"/>
          <w:rtl/>
        </w:rPr>
        <w:t xml:space="preserve">ص 106.</w:t>
      </w:r>
    </w:p>
    <w:p>
      <w:pPr>
        <w:pStyle w:val="Heading2"/>
      </w:pPr>
      <w:bookmarkStart w:id="3137" w:name="_Toc2239"/>
      <w:r>
        <w:t>تميمي ، صالح بن درویش 1190 -</w:t>
      </w:r>
      <w:bookmarkEnd w:id="3137"/>
    </w:p>
    <w:p>
      <w:pPr>
        <w:pStyle w:val="BookText"/>
      </w:pPr>
      <w:r>
        <w:rPr>
          <w:rFonts w:ascii="IRNazanin" w:hAnsi="IRNazanin" w:eastAsia="IRNazanin" w:cs="IRNazanin"/>
          <w:lang w:bidi="fa-IR"/>
          <w:color w:val="111111"/>
          <w:sz w:val="28"/>
          <w:szCs w:val="28"/>
          <w:rtl/>
        </w:rPr>
        <w:t xml:space="preserve">1261ه-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صالح التميمي، ج7، ص 682.</w:t>
      </w:r>
    </w:p>
    <w:p>
      <w:pPr>
        <w:pStyle w:val="BookText"/>
      </w:pPr>
      <w:r>
        <w:rPr>
          <w:rFonts w:ascii="Amiri" w:hAnsi="Amiri" w:eastAsia="Amiri" w:cs="Amiri"/>
          <w:lang w:bidi="ar-SA"/>
          <w:color w:val="111111"/>
          <w:sz w:val="28"/>
          <w:szCs w:val="28"/>
          <w:rtl/>
        </w:rPr>
        <w:t xml:space="preserve">2 .روضة الأدب، ج8، ص 402 .</w:t>
      </w:r>
    </w:p>
    <w:p>
      <w:pPr>
        <w:pStyle w:val="BookText"/>
      </w:pPr>
      <w:r>
        <w:rPr>
          <w:rFonts w:ascii="Amiri" w:hAnsi="Amiri" w:eastAsia="Amiri" w:cs="Amiri"/>
          <w:lang w:bidi="ar-SA"/>
          <w:color w:val="111111"/>
          <w:sz w:val="28"/>
          <w:szCs w:val="28"/>
          <w:rtl/>
        </w:rPr>
        <w:t xml:space="preserve">3 .الهمزية في مدح خير البرية، ج 16،</w:t>
      </w:r>
    </w:p>
    <w:p>
      <w:pPr>
        <w:pStyle w:val="BookText"/>
      </w:pPr>
      <w:r>
        <w:rPr>
          <w:rFonts w:ascii="IRNazanin" w:hAnsi="IRNazanin" w:eastAsia="IRNazanin" w:cs="IRNazanin"/>
          <w:lang w:bidi="fa-IR"/>
          <w:color w:val="111111"/>
          <w:sz w:val="28"/>
          <w:szCs w:val="28"/>
          <w:rtl/>
        </w:rPr>
        <w:t xml:space="preserve">ص 652 .</w:t>
      </w:r>
    </w:p>
    <w:p>
      <w:pPr>
        <w:pStyle w:val="Heading2"/>
      </w:pPr>
      <w:bookmarkStart w:id="3138" w:name="_Toc2240"/>
      <w:r>
        <w:t>تميمي، عبدالرحمن بن عثمان - 420 ه-</w:t>
      </w:r>
      <w:bookmarkEnd w:id="3138"/>
    </w:p>
    <w:p>
      <w:pPr>
        <w:pStyle w:val="BookText"/>
      </w:pPr>
      <w:r>
        <w:rPr>
          <w:rFonts w:ascii="Amiri" w:hAnsi="Amiri" w:eastAsia="Amiri" w:cs="Amiri"/>
          <w:lang w:bidi="ar-SA"/>
          <w:color w:val="111111"/>
          <w:sz w:val="28"/>
          <w:szCs w:val="28"/>
          <w:rtl/>
        </w:rPr>
        <w:t xml:space="preserve">مسند أمير المؤمنين أبي الحسن علي بن</w:t>
      </w:r>
    </w:p>
    <w:p>
      <w:pPr>
        <w:pStyle w:val="BookText"/>
      </w:pPr>
      <w:r>
        <w:rPr>
          <w:rFonts w:ascii="Amiri" w:hAnsi="Amiri" w:eastAsia="Amiri" w:cs="Amiri"/>
          <w:lang w:bidi="ar-SA"/>
          <w:color w:val="111111"/>
          <w:sz w:val="28"/>
          <w:szCs w:val="28"/>
          <w:rtl/>
        </w:rPr>
        <w:t xml:space="preserve">أبي طالب، ج 14، ص 597.</w:t>
      </w:r>
    </w:p>
    <w:p>
      <w:pPr>
        <w:pStyle w:val="BookText"/>
      </w:pPr>
      <w:r>
        <w:rPr>
          <w:rFonts w:ascii="Amiri" w:hAnsi="Amiri" w:eastAsia="Amiri" w:cs="Amiri"/>
          <w:lang w:bidi="ar-SA"/>
          <w:color w:val="111111"/>
          <w:sz w:val="28"/>
          <w:szCs w:val="28"/>
          <w:rtl/>
        </w:rPr>
        <w:t xml:space="preserve">تميمي عبد الواحد بن عبد الرحيم- ابو</w:t>
      </w:r>
    </w:p>
    <w:p>
      <w:pPr>
        <w:pStyle w:val="BookText"/>
      </w:pPr>
      <w:r>
        <w:rPr>
          <w:rFonts w:ascii="Amiri" w:hAnsi="Amiri" w:eastAsia="Amiri" w:cs="Amiri"/>
          <w:lang w:bidi="ar-SA"/>
          <w:color w:val="111111"/>
          <w:sz w:val="28"/>
          <w:szCs w:val="28"/>
          <w:rtl/>
        </w:rPr>
        <w:t xml:space="preserve">محمّد تميمي ، عبدالواحد بن عبدالرحيم</w:t>
      </w:r>
    </w:p>
    <w:p>
      <w:pPr>
        <w:pStyle w:val="Heading2"/>
      </w:pPr>
      <w:bookmarkStart w:id="3139" w:name="_Toc2241"/>
      <w:r>
        <w:t>تميمي، محمّد ابراهيم</w:t>
      </w:r>
      <w:bookmarkEnd w:id="3139"/>
    </w:p>
    <w:p>
      <w:pPr>
        <w:pStyle w:val="BookText"/>
      </w:pPr>
      <w:r>
        <w:rPr>
          <w:rFonts w:ascii="Amiri" w:hAnsi="Amiri" w:eastAsia="Amiri" w:cs="Amiri"/>
          <w:lang w:bidi="ar-SA"/>
          <w:color w:val="111111"/>
          <w:sz w:val="28"/>
          <w:szCs w:val="28"/>
          <w:rtl/>
        </w:rPr>
        <w:t xml:space="preserve">الادعية (كتاب في)، ج 1، ص 608.</w:t>
      </w:r>
    </w:p>
    <w:p>
      <w:pPr>
        <w:pStyle w:val="Heading2"/>
      </w:pPr>
      <w:bookmarkStart w:id="3140" w:name="_Toc2242"/>
      <w:r>
        <w:t>تميمي ، محمّد بن احمد - 390 ه-</w:t>
      </w:r>
      <w:bookmarkEnd w:id="3140"/>
    </w:p>
    <w:p>
      <w:pPr>
        <w:pStyle w:val="BookText"/>
      </w:pPr>
      <w:r>
        <w:rPr>
          <w:rFonts w:ascii="Amiri" w:hAnsi="Amiri" w:eastAsia="Amiri" w:cs="Amiri"/>
          <w:lang w:bidi="ar-SA"/>
          <w:color w:val="111111"/>
          <w:sz w:val="28"/>
          <w:szCs w:val="28"/>
          <w:rtl/>
        </w:rPr>
        <w:t xml:space="preserve">جواهر القرآن - كشف السر المصون و العلم المكنون في شرح خواص القرآن العظيم، ج 5، ص 560.</w:t>
      </w:r>
    </w:p>
    <w:p>
      <w:pPr>
        <w:pStyle w:val="Heading2"/>
      </w:pPr>
      <w:bookmarkStart w:id="3141" w:name="_Toc2243"/>
      <w:r>
        <w:t>تميمي ، محمّد بن امیل - 170 ه-</w:t>
      </w:r>
      <w:bookmarkEnd w:id="3141"/>
    </w:p>
    <w:p>
      <w:pPr>
        <w:pStyle w:val="BookText"/>
      </w:pPr>
      <w:r>
        <w:rPr>
          <w:rFonts w:ascii="Amiri" w:hAnsi="Amiri" w:eastAsia="Amiri" w:cs="Amiri"/>
          <w:lang w:bidi="ar-SA"/>
          <w:color w:val="111111"/>
          <w:sz w:val="28"/>
          <w:szCs w:val="28"/>
          <w:rtl/>
        </w:rPr>
        <w:t xml:space="preserve">1 .الحجر المكرم (رسالة في)، ج 6،</w:t>
      </w:r>
    </w:p>
    <w:p>
      <w:pPr>
        <w:pStyle w:val="BookText"/>
      </w:pPr>
      <w:r>
        <w:rPr>
          <w:rFonts w:ascii="IRNazanin" w:hAnsi="IRNazanin" w:eastAsia="IRNazanin" w:cs="IRNazanin"/>
          <w:lang w:bidi="fa-IR"/>
          <w:color w:val="111111"/>
          <w:sz w:val="28"/>
          <w:szCs w:val="28"/>
          <w:rtl/>
        </w:rPr>
        <w:t xml:space="preserve">ص 490.</w:t>
      </w:r>
    </w:p>
    <w:p>
      <w:pPr>
        <w:pStyle w:val="BookText"/>
      </w:pPr>
      <w:r>
        <w:rPr>
          <w:rFonts w:ascii="IRNazanin" w:hAnsi="IRNazanin" w:eastAsia="IRNazanin" w:cs="IRNazanin"/>
          <w:lang w:bidi="fa-IR"/>
          <w:color w:val="111111"/>
          <w:sz w:val="28"/>
          <w:szCs w:val="28"/>
          <w:rtl/>
        </w:rPr>
        <w:t xml:space="preserve">2 .حل الرموز و کشف الكنوز، ج 6،</w:t>
      </w:r>
    </w:p>
    <w:p>
      <w:pPr>
        <w:pStyle w:val="BookText"/>
      </w:pPr>
      <w:r>
        <w:rPr>
          <w:rFonts w:ascii="IRNazanin" w:hAnsi="IRNazanin" w:eastAsia="IRNazanin" w:cs="IRNazanin"/>
          <w:lang w:bidi="fa-IR"/>
          <w:color w:val="111111"/>
          <w:sz w:val="28"/>
          <w:szCs w:val="28"/>
          <w:rtl/>
        </w:rPr>
        <w:t xml:space="preserve">ص 780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النقية في علم الصناعة المضيئة، ج 7، ص 272.</w:t>
      </w:r>
    </w:p>
    <w:p>
      <w:pPr>
        <w:pStyle w:val="BookText"/>
      </w:pPr>
      <w:r>
        <w:rPr>
          <w:rFonts w:ascii="Amiri" w:hAnsi="Amiri" w:eastAsia="Amiri" w:cs="Amiri"/>
          <w:lang w:bidi="ar-SA"/>
          <w:color w:val="111111"/>
          <w:sz w:val="28"/>
          <w:szCs w:val="28"/>
          <w:rtl/>
        </w:rPr>
        <w:t xml:space="preserve">4 .قصيدة الحكيم محمّد بن اميل التي شرح فيها الصور البرباوية، ج 12،</w:t>
      </w:r>
    </w:p>
    <w:p>
      <w:pPr>
        <w:pStyle w:val="BookText"/>
      </w:pPr>
      <w:r>
        <w:rPr>
          <w:rFonts w:ascii="IRNazanin" w:hAnsi="IRNazanin" w:eastAsia="IRNazanin" w:cs="IRNazanin"/>
          <w:lang w:bidi="fa-IR"/>
          <w:color w:val="111111"/>
          <w:sz w:val="28"/>
          <w:szCs w:val="28"/>
          <w:rtl/>
        </w:rPr>
        <w:t xml:space="preserve">ص 665.</w:t>
      </w:r>
    </w:p>
    <w:p>
      <w:pPr>
        <w:pStyle w:val="BookText"/>
      </w:pPr>
      <w:r>
        <w:rPr>
          <w:rFonts w:ascii="Amiri" w:hAnsi="Amiri" w:eastAsia="Amiri" w:cs="Amiri"/>
          <w:lang w:bidi="ar-SA"/>
          <w:color w:val="111111"/>
          <w:sz w:val="28"/>
          <w:szCs w:val="28"/>
          <w:rtl/>
        </w:rPr>
        <w:t xml:space="preserve">5 .المغنيسيا في تفسير الرموز، ج 15 ،</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Amiri" w:hAnsi="Amiri" w:eastAsia="Amiri" w:cs="Amiri"/>
          <w:lang w:bidi="ar-SA"/>
          <w:color w:val="111111"/>
          <w:sz w:val="28"/>
          <w:szCs w:val="28"/>
          <w:rtl/>
        </w:rPr>
        <w:t xml:space="preserve">6 مفتاح الحكمة، ج 15 ، ص 195.</w:t>
      </w:r>
    </w:p>
    <w:p>
      <w:pPr>
        <w:pStyle w:val="BookText"/>
      </w:pPr>
      <w:r>
        <w:rPr>
          <w:rFonts w:ascii="Amiri" w:hAnsi="Amiri" w:eastAsia="Amiri" w:cs="Amiri"/>
          <w:lang w:bidi="ar-SA"/>
          <w:color w:val="111111"/>
          <w:sz w:val="28"/>
          <w:szCs w:val="28"/>
          <w:rtl/>
        </w:rPr>
        <w:t xml:space="preserve">تميمي مغربي ، نعمان بن محمّد- ابن</w:t>
      </w:r>
    </w:p>
    <w:p>
      <w:pPr>
        <w:pStyle w:val="BookText"/>
      </w:pPr>
      <w:r>
        <w:rPr>
          <w:rFonts w:ascii="Amiri" w:hAnsi="Amiri" w:eastAsia="Amiri" w:cs="Amiri"/>
          <w:lang w:bidi="ar-SA"/>
          <w:color w:val="111111"/>
          <w:sz w:val="28"/>
          <w:szCs w:val="28"/>
          <w:rtl/>
        </w:rPr>
        <w:t xml:space="preserve">حيون ، نعمان بن محمّد</w:t>
      </w:r>
    </w:p>
    <w:p>
      <w:pPr>
        <w:pStyle w:val="BookText"/>
      </w:pPr>
      <w:r>
        <w:rPr>
          <w:rFonts w:ascii="Amiri" w:hAnsi="Amiri" w:eastAsia="Amiri" w:cs="Amiri"/>
          <w:lang w:bidi="ar-SA"/>
          <w:color w:val="111111"/>
          <w:sz w:val="28"/>
          <w:szCs w:val="28"/>
          <w:rtl/>
        </w:rPr>
        <w:t xml:space="preserve">تميمي نجدي، محمّد بن عبد الوهاب -ابن عبدالوهاب ، محمّد بن</w:t>
      </w:r>
    </w:p>
    <w:p>
      <w:pPr>
        <w:pStyle w:val="BookText"/>
      </w:pPr>
      <w:r>
        <w:rPr>
          <w:rFonts w:ascii="IRNazanin" w:hAnsi="IRNazanin" w:eastAsia="IRNazanin" w:cs="IRNazanin"/>
          <w:lang w:bidi="fa-IR"/>
          <w:color w:val="111111"/>
          <w:sz w:val="28"/>
          <w:szCs w:val="28"/>
          <w:rtl/>
        </w:rPr>
        <w:t xml:space="preserve">عبدالوهاب</w:t>
      </w:r>
    </w:p>
    <w:p>
      <w:pPr>
        <w:pStyle w:val="BookText"/>
      </w:pPr>
      <w:r>
        <w:rPr>
          <w:rFonts w:ascii="Amiri" w:hAnsi="Amiri" w:eastAsia="Amiri" w:cs="Amiri"/>
          <w:lang w:bidi="ar-SA"/>
          <w:color w:val="111111"/>
          <w:sz w:val="28"/>
          <w:szCs w:val="28"/>
          <w:rtl/>
        </w:rPr>
        <w:t xml:space="preserve">تنبكتي ، احمد بابا بن احمد- بابا تنبكتي</w:t>
      </w:r>
    </w:p>
    <w:p>
      <w:pPr>
        <w:pStyle w:val="BookText"/>
      </w:pPr>
      <w:r>
        <w:rPr>
          <w:rFonts w:ascii="IRNazanin" w:hAnsi="IRNazanin" w:eastAsia="IRNazanin" w:cs="IRNazanin"/>
          <w:lang w:bidi="fa-IR"/>
          <w:color w:val="111111"/>
          <w:sz w:val="28"/>
          <w:szCs w:val="28"/>
          <w:rtl/>
        </w:rPr>
        <w:t xml:space="preserve">، احمد بن احمد</w:t>
      </w:r>
    </w:p>
    <w:p>
      <w:pPr>
        <w:pStyle w:val="Heading2"/>
      </w:pPr>
      <w:bookmarkStart w:id="3142" w:name="_Toc2244"/>
      <w:r>
        <w:t>تنكابني ، ابوالحسن بن محمّد هادي - 1386 ه-</w:t>
      </w:r>
      <w:bookmarkEnd w:id="3142"/>
    </w:p>
    <w:p>
      <w:pPr>
        <w:pStyle w:val="BookText"/>
      </w:pPr>
      <w:r>
        <w:rPr>
          <w:rFonts w:ascii="Amiri" w:hAnsi="Amiri" w:eastAsia="Amiri" w:cs="Amiri"/>
          <w:lang w:bidi="ar-SA"/>
          <w:color w:val="111111"/>
          <w:sz w:val="28"/>
          <w:szCs w:val="28"/>
          <w:rtl/>
        </w:rPr>
        <w:t xml:space="preserve">1 .براهين الأحكام في شرح شرايع</w:t>
      </w:r>
    </w:p>
    <w:p>
      <w:pPr>
        <w:pStyle w:val="BookText"/>
      </w:pPr>
      <w:r>
        <w:rPr>
          <w:rFonts w:ascii="IRNazanin" w:hAnsi="IRNazanin" w:eastAsia="IRNazanin" w:cs="IRNazanin"/>
          <w:lang w:bidi="fa-IR"/>
          <w:color w:val="111111"/>
          <w:sz w:val="28"/>
          <w:szCs w:val="28"/>
          <w:rtl/>
        </w:rPr>
        <w:t xml:space="preserve">الاسلام، ج 3، ص 295.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5" w:name="pg7742_69996"/>
    <w:bookmarkEnd w:id="305"/>
    <w:p>
      <w:pPr>
        <w:pStyle w:val="BookText"/>
      </w:pPr>
      <w:r>
        <w:rPr>
          <w:rFonts w:ascii="Amiri" w:hAnsi="Amiri" w:eastAsia="Amiri" w:cs="Amiri"/>
          <w:lang w:bidi="ar-SA"/>
          <w:color w:val="111111"/>
          <w:sz w:val="28"/>
          <w:szCs w:val="28"/>
          <w:rtl/>
        </w:rPr>
        <w:t xml:space="preserve">2 .البضاعة المزجية في اثبات وجود</w:t>
      </w:r>
    </w:p>
    <w:p>
      <w:pPr>
        <w:pStyle w:val="BookText"/>
      </w:pPr>
      <w:r>
        <w:rPr>
          <w:rFonts w:ascii="Amiri" w:hAnsi="Amiri" w:eastAsia="Amiri" w:cs="Amiri"/>
          <w:lang w:bidi="ar-SA"/>
          <w:color w:val="111111"/>
          <w:sz w:val="28"/>
          <w:szCs w:val="28"/>
          <w:rtl/>
        </w:rPr>
        <w:t xml:space="preserve">الكلي الطبيعي، ج3، ص 353.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الفصول، ج4، ص198.</w:t>
      </w:r>
    </w:p>
    <w:p>
      <w:pPr>
        <w:pStyle w:val="BookText"/>
      </w:pPr>
      <w:r>
        <w:rPr>
          <w:rFonts w:ascii="Amiri" w:hAnsi="Amiri" w:eastAsia="Amiri" w:cs="Amiri"/>
          <w:lang w:bidi="ar-SA"/>
          <w:color w:val="111111"/>
          <w:sz w:val="28"/>
          <w:szCs w:val="28"/>
          <w:rtl/>
        </w:rPr>
        <w:t xml:space="preserve">4 .حقائق الاحكام، ج 6 ، ص 682.</w:t>
      </w:r>
    </w:p>
    <w:p>
      <w:pPr>
        <w:pStyle w:val="BookText"/>
      </w:pPr>
      <w:r>
        <w:rPr>
          <w:rFonts w:ascii="Amiri" w:hAnsi="Amiri" w:eastAsia="Amiri" w:cs="Amiri"/>
          <w:lang w:bidi="ar-SA"/>
          <w:color w:val="111111"/>
          <w:sz w:val="28"/>
          <w:szCs w:val="28"/>
          <w:rtl/>
        </w:rPr>
        <w:t xml:space="preserve">5 .دره تنكابني، ج7، ص 234.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لسان الصدق والصواب، ج 13،</w:t>
      </w:r>
    </w:p>
    <w:p>
      <w:pPr>
        <w:pStyle w:val="BookText"/>
      </w:pPr>
      <w:r>
        <w:rPr>
          <w:rFonts w:ascii="IRNazanin" w:hAnsi="IRNazanin" w:eastAsia="IRNazanin" w:cs="IRNazanin"/>
          <w:lang w:bidi="fa-IR"/>
          <w:color w:val="111111"/>
          <w:sz w:val="28"/>
          <w:szCs w:val="28"/>
          <w:rtl/>
        </w:rPr>
        <w:t xml:space="preserve">ص 571</w:t>
      </w:r>
    </w:p>
    <w:p>
      <w:pPr>
        <w:pStyle w:val="BookText"/>
      </w:pPr>
      <w:r>
        <w:rPr>
          <w:rFonts w:ascii="Amiri" w:hAnsi="Amiri" w:eastAsia="Amiri" w:cs="Amiri"/>
          <w:lang w:bidi="ar-SA"/>
          <w:color w:val="111111"/>
          <w:sz w:val="28"/>
          <w:szCs w:val="28"/>
          <w:rtl/>
        </w:rPr>
        <w:t xml:space="preserve">7 .مصالح المومنين، ج 14، ص 696.</w:t>
      </w:r>
    </w:p>
    <w:p>
      <w:pPr>
        <w:pStyle w:val="Heading2"/>
      </w:pPr>
      <w:bookmarkStart w:id="3143" w:name="_Toc2245"/>
      <w:r>
        <w:t>تنكابني، احمد بن محمّد حسین قرن 13ه-</w:t>
      </w:r>
      <w:bookmarkEnd w:id="3143"/>
    </w:p>
    <w:p>
      <w:pPr>
        <w:pStyle w:val="BookText"/>
      </w:pPr>
      <w:r>
        <w:rPr>
          <w:rFonts w:ascii="IRNazanin" w:hAnsi="IRNazanin" w:eastAsia="IRNazanin" w:cs="IRNazanin"/>
          <w:lang w:bidi="fa-IR"/>
          <w:color w:val="111111"/>
          <w:sz w:val="28"/>
          <w:szCs w:val="28"/>
          <w:rtl/>
        </w:rPr>
        <w:t xml:space="preserve">اسهالیه، ج 2، ص 245</w:t>
      </w:r>
    </w:p>
    <w:p>
      <w:pPr>
        <w:pStyle w:val="Heading2"/>
      </w:pPr>
      <w:bookmarkStart w:id="3144" w:name="_Toc2246"/>
      <w:r>
        <w:t>تنكابني حسن بن ابي الحسن قرن 13 ه-</w:t>
      </w:r>
      <w:bookmarkEnd w:id="3144"/>
    </w:p>
    <w:p>
      <w:pPr>
        <w:pStyle w:val="BookText"/>
      </w:pPr>
      <w:r>
        <w:rPr>
          <w:rFonts w:ascii="IRNazanin" w:hAnsi="IRNazanin" w:eastAsia="IRNazanin" w:cs="IRNazanin"/>
          <w:lang w:bidi="fa-IR"/>
          <w:color w:val="111111"/>
          <w:sz w:val="28"/>
          <w:szCs w:val="28"/>
          <w:rtl/>
        </w:rPr>
        <w:t xml:space="preserve">حل الجذر الاصم، ج 6، ص777.</w:t>
      </w:r>
    </w:p>
    <w:p>
      <w:pPr>
        <w:pStyle w:val="Heading2"/>
      </w:pPr>
      <w:bookmarkStart w:id="3145" w:name="_Toc2247"/>
      <w:r>
        <w:t>تنكابني ، حسين بن ابراهيم - 1105 ه-</w:t>
      </w:r>
      <w:bookmarkEnd w:id="3145"/>
    </w:p>
    <w:p>
      <w:pPr>
        <w:pStyle w:val="BookText"/>
      </w:pPr>
      <w:r>
        <w:rPr>
          <w:rFonts w:ascii="Amiri" w:hAnsi="Amiri" w:eastAsia="Amiri" w:cs="Amiri"/>
          <w:lang w:bidi="ar-SA"/>
          <w:color w:val="111111"/>
          <w:sz w:val="28"/>
          <w:szCs w:val="28"/>
          <w:rtl/>
        </w:rPr>
        <w:t xml:space="preserve">1 .حاشية حاشية الخفري على شرح</w:t>
      </w:r>
    </w:p>
    <w:p>
      <w:pPr>
        <w:pStyle w:val="BookText"/>
      </w:pPr>
      <w:r>
        <w:rPr>
          <w:rFonts w:ascii="Amiri" w:hAnsi="Amiri" w:eastAsia="Amiri" w:cs="Amiri"/>
          <w:lang w:bidi="ar-SA"/>
          <w:color w:val="111111"/>
          <w:sz w:val="28"/>
          <w:szCs w:val="28"/>
          <w:rtl/>
        </w:rPr>
        <w:t xml:space="preserve">التجريد، ج 5، ص 801</w:t>
      </w:r>
    </w:p>
    <w:p>
      <w:pPr>
        <w:pStyle w:val="BookText"/>
      </w:pPr>
      <w:r>
        <w:rPr>
          <w:rFonts w:ascii="IRNazanin" w:hAnsi="IRNazanin" w:eastAsia="IRNazanin" w:cs="IRNazanin"/>
          <w:lang w:bidi="fa-IR"/>
          <w:color w:val="111111"/>
          <w:sz w:val="28"/>
          <w:szCs w:val="28"/>
          <w:rtl/>
        </w:rPr>
        <w:t xml:space="preserve">2 .حدوث العالم، ج 1، ص 149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المعاد = احوال صنوف الناس عند</w:t>
      </w:r>
    </w:p>
    <w:p>
      <w:pPr>
        <w:pStyle w:val="BookText"/>
      </w:pPr>
      <w:r>
        <w:rPr>
          <w:rFonts w:ascii="IRNazanin" w:hAnsi="IRNazanin" w:eastAsia="IRNazanin" w:cs="IRNazanin"/>
          <w:lang w:bidi="fa-IR"/>
          <w:color w:val="111111"/>
          <w:sz w:val="28"/>
          <w:szCs w:val="28"/>
          <w:rtl/>
        </w:rPr>
        <w:t xml:space="preserve">رجوعهم إلى دار البقاء، ج 14،</w:t>
      </w:r>
    </w:p>
    <w:p>
      <w:pPr>
        <w:pStyle w:val="BookText"/>
      </w:pPr>
      <w:r>
        <w:rPr>
          <w:rFonts w:ascii="IRNazanin" w:hAnsi="IRNazanin" w:eastAsia="IRNazanin" w:cs="IRNazanin"/>
          <w:lang w:bidi="fa-IR"/>
          <w:color w:val="111111"/>
          <w:sz w:val="28"/>
          <w:szCs w:val="28"/>
          <w:rtl/>
        </w:rPr>
        <w:t xml:space="preserve">ص 827</w:t>
      </w:r>
    </w:p>
    <w:p>
      <w:pPr>
        <w:pStyle w:val="BookText"/>
      </w:pPr>
      <w:r>
        <w:rPr>
          <w:rFonts w:ascii="Amiri" w:hAnsi="Amiri" w:eastAsia="Amiri" w:cs="Amiri"/>
          <w:lang w:bidi="ar-SA"/>
          <w:color w:val="111111"/>
          <w:sz w:val="28"/>
          <w:szCs w:val="28"/>
          <w:rtl/>
        </w:rPr>
        <w:t xml:space="preserve">4 .وحدة الوجود مع كثرة تجلياته</w:t>
      </w:r>
    </w:p>
    <w:p>
      <w:pPr>
        <w:pStyle w:val="BookText"/>
      </w:pPr>
      <w:r>
        <w:rPr>
          <w:rFonts w:ascii="IRNazanin" w:hAnsi="IRNazanin" w:eastAsia="IRNazanin" w:cs="IRNazanin"/>
          <w:lang w:bidi="fa-IR"/>
          <w:color w:val="111111"/>
          <w:sz w:val="28"/>
          <w:szCs w:val="28"/>
          <w:rtl/>
        </w:rPr>
        <w:t xml:space="preserve">ج 16، ص 757.</w:t>
      </w:r>
    </w:p>
    <w:p>
      <w:pPr>
        <w:pStyle w:val="BookText"/>
      </w:pPr>
      <w:r>
        <w:rPr>
          <w:rFonts w:ascii="Amiri" w:hAnsi="Amiri" w:eastAsia="Amiri" w:cs="Amiri"/>
          <w:lang w:bidi="ar-SA"/>
          <w:color w:val="111111"/>
          <w:sz w:val="28"/>
          <w:szCs w:val="28"/>
          <w:rtl/>
        </w:rPr>
        <w:t xml:space="preserve">تنكابني ديلمي ، محمّد مؤمن- حكيم</w:t>
      </w:r>
    </w:p>
    <w:p>
      <w:pPr>
        <w:pStyle w:val="BookText"/>
      </w:pPr>
      <w:r>
        <w:rPr>
          <w:rFonts w:ascii="IRNazanin" w:hAnsi="IRNazanin" w:eastAsia="IRNazanin" w:cs="IRNazanin"/>
          <w:lang w:bidi="fa-IR"/>
          <w:color w:val="111111"/>
          <w:sz w:val="28"/>
          <w:szCs w:val="28"/>
          <w:rtl/>
        </w:rPr>
        <w:t xml:space="preserve">مؤمن ، محمّد مؤمن بن محمّد زمان</w:t>
      </w:r>
    </w:p>
    <w:p>
      <w:pPr>
        <w:pStyle w:val="Heading2"/>
      </w:pPr>
      <w:bookmarkStart w:id="3146" w:name="_Toc2248"/>
      <w:r>
        <w:t>تنكابني ، عبد الكاظم بن عبدالعلي قرن</w:t>
      </w:r>
      <w:bookmarkEnd w:id="3146"/>
    </w:p>
    <w:p>
      <w:pPr>
        <w:pStyle w:val="BookText"/>
      </w:pPr>
      <w:r>
        <w:rPr>
          <w:rFonts w:ascii="IRNazanin" w:hAnsi="IRNazanin" w:eastAsia="IRNazanin" w:cs="IRNazanin"/>
          <w:lang w:bidi="fa-IR"/>
          <w:color w:val="111111"/>
          <w:sz w:val="28"/>
          <w:szCs w:val="28"/>
          <w:rtl/>
        </w:rPr>
        <w:t xml:space="preserve">11ه-</w:t>
      </w:r>
    </w:p>
    <w:p>
      <w:pPr>
        <w:pStyle w:val="BookText"/>
      </w:pPr>
      <w:r>
        <w:rPr>
          <w:rFonts w:ascii="Amiri" w:hAnsi="Amiri" w:eastAsia="Amiri" w:cs="Amiri"/>
          <w:lang w:bidi="ar-SA"/>
          <w:color w:val="111111"/>
          <w:sz w:val="28"/>
          <w:szCs w:val="28"/>
          <w:rtl/>
        </w:rPr>
        <w:t xml:space="preserve">1 .ظل المقياس المنصوب على سطح</w:t>
      </w:r>
    </w:p>
    <w:p>
      <w:pPr>
        <w:pStyle w:val="BookText"/>
      </w:pPr>
      <w:r>
        <w:rPr>
          <w:rFonts w:ascii="IRNazanin" w:hAnsi="IRNazanin" w:eastAsia="IRNazanin" w:cs="IRNazanin"/>
          <w:lang w:bidi="fa-IR"/>
          <w:color w:val="111111"/>
          <w:sz w:val="28"/>
          <w:szCs w:val="28"/>
          <w:rtl/>
        </w:rPr>
        <w:t xml:space="preserve">الافق، ج 10، ص888.</w:t>
      </w:r>
    </w:p>
    <w:p>
      <w:pPr>
        <w:pStyle w:val="BookText"/>
      </w:pPr>
      <w:r>
        <w:rPr>
          <w:rFonts w:ascii="Amiri" w:hAnsi="Amiri" w:eastAsia="Amiri" w:cs="Amiri"/>
          <w:lang w:bidi="ar-SA"/>
          <w:color w:val="111111"/>
          <w:sz w:val="28"/>
          <w:szCs w:val="28"/>
          <w:rtl/>
        </w:rPr>
        <w:t xml:space="preserve">2 .قانون الادراك = برهان الادراك في</w:t>
      </w:r>
    </w:p>
    <w:p>
      <w:pPr>
        <w:pStyle w:val="BookText"/>
      </w:pPr>
      <w:r>
        <w:rPr>
          <w:rFonts w:ascii="Amiri" w:hAnsi="Amiri" w:eastAsia="Amiri" w:cs="Amiri"/>
          <w:lang w:bidi="ar-SA"/>
          <w:color w:val="111111"/>
          <w:sz w:val="28"/>
          <w:szCs w:val="28"/>
          <w:rtl/>
        </w:rPr>
        <w:t xml:space="preserve">شرح تشريح الافلاك، ج 12، ص 357.</w:t>
      </w:r>
    </w:p>
    <w:p>
      <w:pPr>
        <w:pStyle w:val="Heading2"/>
      </w:pPr>
      <w:bookmarkStart w:id="3147" w:name="_Toc2249"/>
      <w:r>
        <w:t>تنكابني ، علي بن محمّد باقر</w:t>
      </w:r>
      <w:bookmarkEnd w:id="3147"/>
    </w:p>
    <w:p>
      <w:pPr>
        <w:pStyle w:val="BookText"/>
      </w:pPr>
      <w:r>
        <w:rPr>
          <w:rFonts w:ascii="Amiri" w:hAnsi="Amiri" w:eastAsia="Amiri" w:cs="Amiri"/>
          <w:lang w:bidi="ar-SA"/>
          <w:color w:val="111111"/>
          <w:sz w:val="28"/>
          <w:szCs w:val="28"/>
          <w:rtl/>
        </w:rPr>
        <w:t xml:space="preserve">مصباح السالكين، ج 14، ص 710.</w:t>
      </w:r>
    </w:p>
    <w:p>
      <w:pPr>
        <w:pStyle w:val="Heading2"/>
      </w:pPr>
      <w:bookmarkStart w:id="3148" w:name="_Toc2250"/>
      <w:r>
        <w:t>تنكابني ، محمّد بن عبد الفتاح 1040 -</w:t>
      </w:r>
      <w:bookmarkEnd w:id="3148"/>
    </w:p>
    <w:p>
      <w:pPr>
        <w:pStyle w:val="BookText"/>
      </w:pPr>
      <w:r>
        <w:rPr>
          <w:rFonts w:ascii="IRNazanin" w:hAnsi="IRNazanin" w:eastAsia="IRNazanin" w:cs="IRNazanin"/>
          <w:lang w:bidi="fa-IR"/>
          <w:color w:val="111111"/>
          <w:sz w:val="28"/>
          <w:szCs w:val="28"/>
          <w:rtl/>
        </w:rPr>
        <w:t xml:space="preserve">1124 ؟ ه-</w:t>
      </w:r>
    </w:p>
    <w:p>
      <w:pPr>
        <w:pStyle w:val="BookText"/>
      </w:pPr>
      <w:r>
        <w:rPr>
          <w:rFonts w:ascii="Amiri" w:hAnsi="Amiri" w:eastAsia="Amiri" w:cs="Amiri"/>
          <w:lang w:bidi="ar-SA"/>
          <w:color w:val="111111"/>
          <w:sz w:val="28"/>
          <w:szCs w:val="28"/>
          <w:rtl/>
        </w:rPr>
        <w:t xml:space="preserve">1 .ابطال كون الحركة فردا سيالا = حاشية الشفا = الحركة في المقولة</w:t>
      </w:r>
    </w:p>
    <w:p>
      <w:pPr>
        <w:pStyle w:val="BookText"/>
      </w:pPr>
      <w:r>
        <w:rPr>
          <w:rFonts w:ascii="IRNazanin" w:hAnsi="IRNazanin" w:eastAsia="IRNazanin" w:cs="IRNazanin"/>
          <w:lang w:bidi="fa-IR"/>
          <w:color w:val="111111"/>
          <w:sz w:val="28"/>
          <w:szCs w:val="28"/>
          <w:rtl/>
        </w:rPr>
        <w:t xml:space="preserve">ج 1، ص103.</w:t>
      </w:r>
    </w:p>
    <w:p>
      <w:pPr>
        <w:pStyle w:val="BookText"/>
      </w:pPr>
      <w:r>
        <w:rPr>
          <w:rFonts w:ascii="Amiri" w:hAnsi="Amiri" w:eastAsia="Amiri" w:cs="Amiri"/>
          <w:lang w:bidi="ar-SA"/>
          <w:color w:val="111111"/>
          <w:sz w:val="28"/>
          <w:szCs w:val="28"/>
          <w:rtl/>
        </w:rPr>
        <w:t xml:space="preserve">2 .حجية الاجماع و خبر الواحد ج6،</w:t>
      </w:r>
    </w:p>
    <w:p>
      <w:pPr>
        <w:pStyle w:val="BookText"/>
      </w:pPr>
      <w:r>
        <w:rPr>
          <w:rFonts w:ascii="IRNazanin" w:hAnsi="IRNazanin" w:eastAsia="IRNazanin" w:cs="IRNazanin"/>
          <w:lang w:bidi="fa-IR"/>
          <w:color w:val="111111"/>
          <w:sz w:val="28"/>
          <w:szCs w:val="28"/>
          <w:rtl/>
        </w:rPr>
        <w:t xml:space="preserve">ص 492 .</w:t>
      </w:r>
    </w:p>
    <w:p>
      <w:pPr>
        <w:pStyle w:val="BookText"/>
      </w:pPr>
      <w:r>
        <w:rPr>
          <w:rFonts w:ascii="Amiri" w:hAnsi="Amiri" w:eastAsia="Amiri" w:cs="Amiri"/>
          <w:lang w:bidi="ar-SA"/>
          <w:color w:val="111111"/>
          <w:sz w:val="28"/>
          <w:szCs w:val="28"/>
          <w:rtl/>
        </w:rPr>
        <w:t xml:space="preserve">3 .حل شبهة ابن كمونه = حل شبهة</w:t>
      </w:r>
    </w:p>
    <w:p>
      <w:pPr>
        <w:pStyle w:val="BookText"/>
      </w:pPr>
      <w:r>
        <w:rPr>
          <w:rFonts w:ascii="IRNazanin" w:hAnsi="IRNazanin" w:eastAsia="IRNazanin" w:cs="IRNazanin"/>
          <w:lang w:bidi="fa-IR"/>
          <w:color w:val="111111"/>
          <w:sz w:val="28"/>
          <w:szCs w:val="28"/>
          <w:rtl/>
        </w:rPr>
        <w:t xml:space="preserve">جذر الاصم، ج 6، ص782.</w:t>
      </w:r>
    </w:p>
    <w:p>
      <w:pPr>
        <w:pStyle w:val="BookText"/>
      </w:pPr>
      <w:r>
        <w:rPr>
          <w:rFonts w:ascii="Amiri" w:hAnsi="Amiri" w:eastAsia="Amiri" w:cs="Amiri"/>
          <w:lang w:bidi="ar-SA"/>
          <w:color w:val="111111"/>
          <w:sz w:val="28"/>
          <w:szCs w:val="28"/>
          <w:rtl/>
        </w:rPr>
        <w:t xml:space="preserve">4 .رؤية الهلال، ج8، ص 16.</w:t>
      </w:r>
    </w:p>
    <w:p>
      <w:pPr>
        <w:pStyle w:val="BookText"/>
      </w:pPr>
      <w:r>
        <w:rPr>
          <w:rFonts w:ascii="Amiri" w:hAnsi="Amiri" w:eastAsia="Amiri" w:cs="Amiri"/>
          <w:lang w:bidi="ar-SA"/>
          <w:color w:val="111111"/>
          <w:sz w:val="28"/>
          <w:szCs w:val="28"/>
          <w:rtl/>
        </w:rPr>
        <w:t xml:space="preserve">5 .سفينة النجاة، ج8، ص 784.</w:t>
      </w:r>
    </w:p>
    <w:p>
      <w:pPr>
        <w:pStyle w:val="BookText"/>
      </w:pPr>
      <w:r>
        <w:rPr>
          <w:rFonts w:ascii="Amiri" w:hAnsi="Amiri" w:eastAsia="Amiri" w:cs="Amiri"/>
          <w:lang w:bidi="ar-SA"/>
          <w:color w:val="111111"/>
          <w:sz w:val="28"/>
          <w:szCs w:val="28"/>
          <w:rtl/>
        </w:rPr>
        <w:t xml:space="preserve">6 .صلاة الجمعة (1) = تعليقة على رسالة صلاة الجمعة، ج 10، ص 603.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ضياء القلوب، ج 10، ص721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معدل الميزان = شبهة الميزان ج 15</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Amiri" w:hAnsi="Amiri" w:eastAsia="Amiri" w:cs="Amiri"/>
          <w:lang w:bidi="ar-SA"/>
          <w:color w:val="111111"/>
          <w:sz w:val="28"/>
          <w:szCs w:val="28"/>
          <w:rtl/>
        </w:rPr>
        <w:t xml:space="preserve">تنكابني ، صادق بن محمّد بن عبدالفتاح</w:t>
      </w:r>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IRNazanin" w:hAnsi="IRNazanin" w:eastAsia="IRNazanin" w:cs="IRNazanin"/>
          <w:lang w:bidi="fa-IR"/>
          <w:color w:val="111111"/>
          <w:sz w:val="28"/>
          <w:szCs w:val="28"/>
          <w:rtl/>
        </w:rPr>
        <w:t xml:space="preserve">1082 ق 12 ه-</w:t>
      </w:r>
    </w:p>
    <w:p>
      <w:pPr>
        <w:pStyle w:val="BookText"/>
      </w:pPr>
      <w:r>
        <w:rPr>
          <w:rFonts w:ascii="Amiri" w:hAnsi="Amiri" w:eastAsia="Amiri" w:cs="Amiri"/>
          <w:lang w:bidi="ar-SA"/>
          <w:color w:val="111111"/>
          <w:sz w:val="28"/>
          <w:szCs w:val="28"/>
          <w:rtl/>
        </w:rPr>
        <w:t xml:space="preserve">شرح تشريح الأفلاك، ج 9، ص332.</w:t>
      </w:r>
    </w:p>
    <w:p>
      <w:pPr>
        <w:pStyle w:val="Heading2"/>
      </w:pPr>
      <w:bookmarkStart w:id="3149" w:name="_Toc2251"/>
      <w:r>
        <w:t>تنكابني ، محمّد شريف بن محمّد يوسف</w:t>
      </w:r>
      <w:bookmarkEnd w:id="3149"/>
    </w:p>
    <w:p>
      <w:pPr>
        <w:pStyle w:val="BookText"/>
      </w:pPr>
      <w:r>
        <w:rPr>
          <w:rFonts w:ascii="Amiri" w:hAnsi="Amiri" w:eastAsia="Amiri" w:cs="Amiri"/>
          <w:lang w:bidi="ar-SA"/>
          <w:color w:val="111111"/>
          <w:sz w:val="28"/>
          <w:szCs w:val="28"/>
          <w:rtl/>
        </w:rPr>
        <w:t xml:space="preserve">اصالة الصحة في افعال المسلمين، ج2،</w:t>
      </w:r>
    </w:p>
    <w:p>
      <w:pPr>
        <w:pStyle w:val="BookText"/>
      </w:pPr>
      <w:r>
        <w:rPr>
          <w:rFonts w:ascii="IRNazanin" w:hAnsi="IRNazanin" w:eastAsia="IRNazanin" w:cs="IRNazanin"/>
          <w:lang w:bidi="fa-IR"/>
          <w:color w:val="111111"/>
          <w:sz w:val="28"/>
          <w:szCs w:val="28"/>
          <w:rtl/>
        </w:rPr>
        <w:t xml:space="preserve">ص 355.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6" w:name="pg7742_69997"/>
    <w:bookmarkEnd w:id="306"/>
    <w:p>
      <w:pPr>
        <w:pStyle w:val="BookText"/>
      </w:pPr>
      <w:r>
        <w:rPr>
          <w:rFonts w:ascii="Amiri" w:hAnsi="Amiri" w:eastAsia="Amiri" w:cs="Amiri"/>
          <w:lang w:bidi="ar-SA"/>
          <w:color w:val="111111"/>
          <w:sz w:val="28"/>
          <w:szCs w:val="28"/>
          <w:rtl/>
        </w:rPr>
        <w:t xml:space="preserve">تنكابني ، محمّد مؤمن بن محمّد</w:t>
      </w:r>
    </w:p>
    <w:p>
      <w:pPr>
        <w:pStyle w:val="BookText"/>
      </w:pPr>
      <w:r>
        <w:rPr>
          <w:rFonts w:ascii="IRNazanin" w:hAnsi="IRNazanin" w:eastAsia="IRNazanin" w:cs="IRNazanin"/>
          <w:lang w:bidi="fa-IR"/>
          <w:color w:val="111111"/>
          <w:sz w:val="28"/>
          <w:szCs w:val="28"/>
          <w:rtl/>
        </w:rPr>
        <w:t xml:space="preserve">زمان -حکیم مؤمن ، محمّد مؤمن بن محمّد</w:t>
      </w:r>
    </w:p>
    <w:p>
      <w:pPr>
        <w:pStyle w:val="BookText"/>
      </w:pPr>
      <w:r>
        <w:rPr>
          <w:rFonts w:ascii="IRNazanin" w:hAnsi="IRNazanin" w:eastAsia="IRNazanin" w:cs="IRNazanin"/>
          <w:lang w:bidi="fa-IR"/>
          <w:color w:val="111111"/>
          <w:sz w:val="28"/>
          <w:szCs w:val="28"/>
          <w:rtl/>
        </w:rPr>
        <w:t xml:space="preserve">زمان</w:t>
      </w:r>
    </w:p>
    <w:p>
      <w:pPr>
        <w:pStyle w:val="BookText"/>
      </w:pPr>
      <w:r>
        <w:rPr>
          <w:rFonts w:ascii="Amiri" w:hAnsi="Amiri" w:eastAsia="Amiri" w:cs="Amiri"/>
          <w:lang w:bidi="ar-SA"/>
          <w:color w:val="111111"/>
          <w:sz w:val="28"/>
          <w:szCs w:val="28"/>
          <w:rtl/>
        </w:rPr>
        <w:t xml:space="preserve">تنكابني ، محمّد مهدي بن محمّد</w:t>
      </w:r>
    </w:p>
    <w:p>
      <w:pPr>
        <w:pStyle w:val="BookText"/>
      </w:pPr>
      <w:r>
        <w:rPr>
          <w:rFonts w:ascii="Amiri" w:hAnsi="Amiri" w:eastAsia="Amiri" w:cs="Amiri"/>
          <w:lang w:bidi="ar-SA"/>
          <w:color w:val="111111"/>
          <w:sz w:val="28"/>
          <w:szCs w:val="28"/>
          <w:rtl/>
        </w:rPr>
        <w:t xml:space="preserve">جعفر- موسوي تنكابني ، محمّد مهدي بن</w:t>
      </w:r>
    </w:p>
    <w:p>
      <w:pPr>
        <w:pStyle w:val="BookText"/>
      </w:pPr>
      <w:r>
        <w:rPr>
          <w:rFonts w:ascii="Amiri" w:hAnsi="Amiri" w:eastAsia="Amiri" w:cs="Amiri"/>
          <w:lang w:bidi="ar-SA"/>
          <w:color w:val="111111"/>
          <w:sz w:val="28"/>
          <w:szCs w:val="28"/>
          <w:rtl/>
        </w:rPr>
        <w:t xml:space="preserve">محمّد جعفر</w:t>
      </w:r>
    </w:p>
    <w:p>
      <w:pPr>
        <w:pStyle w:val="BookText"/>
      </w:pPr>
      <w:r>
        <w:rPr>
          <w:rFonts w:ascii="Amiri" w:hAnsi="Amiri" w:eastAsia="Amiri" w:cs="Amiri"/>
          <w:lang w:bidi="ar-SA"/>
          <w:color w:val="111111"/>
          <w:sz w:val="28"/>
          <w:szCs w:val="28"/>
          <w:rtl/>
        </w:rPr>
        <w:t xml:space="preserve">تنكلو شاه بابلي- تنكلو شاه بابلي</w:t>
      </w:r>
    </w:p>
    <w:p>
      <w:pPr>
        <w:pStyle w:val="Heading2"/>
      </w:pPr>
      <w:bookmarkStart w:id="3150" w:name="_Toc2252"/>
      <w:r>
        <w:t>تنگلو شاه بابلي قرن 1 م</w:t>
      </w:r>
      <w:bookmarkEnd w:id="3150"/>
    </w:p>
    <w:p>
      <w:pPr>
        <w:pStyle w:val="BookText"/>
      </w:pPr>
      <w:r>
        <w:rPr>
          <w:rFonts w:ascii="Amiri" w:hAnsi="Amiri" w:eastAsia="Amiri" w:cs="Amiri"/>
          <w:lang w:bidi="ar-SA"/>
          <w:color w:val="111111"/>
          <w:sz w:val="28"/>
          <w:szCs w:val="28"/>
          <w:rtl/>
        </w:rPr>
        <w:t xml:space="preserve">1 .الاسرار السبعة، ج 2، ص171.</w:t>
      </w:r>
    </w:p>
    <w:p>
      <w:pPr>
        <w:pStyle w:val="BookText"/>
      </w:pPr>
      <w:r>
        <w:rPr>
          <w:rFonts w:ascii="Amiri" w:hAnsi="Amiri" w:eastAsia="Amiri" w:cs="Amiri"/>
          <w:lang w:bidi="ar-SA"/>
          <w:color w:val="111111"/>
          <w:sz w:val="28"/>
          <w:szCs w:val="28"/>
          <w:rtl/>
        </w:rPr>
        <w:t xml:space="preserve">2 .انوار سبعه = كنوز الحكمة، ج3،</w:t>
      </w:r>
    </w:p>
    <w:p>
      <w:pPr>
        <w:pStyle w:val="BookText"/>
      </w:pPr>
      <w:r>
        <w:rPr>
          <w:rFonts w:ascii="IRNazanin" w:hAnsi="IRNazanin" w:eastAsia="IRNazanin" w:cs="IRNazanin"/>
          <w:lang w:bidi="fa-IR"/>
          <w:color w:val="111111"/>
          <w:sz w:val="28"/>
          <w:szCs w:val="28"/>
          <w:rtl/>
        </w:rPr>
        <w:t xml:space="preserve">ص 1.</w:t>
      </w:r>
    </w:p>
    <w:p>
      <w:pPr>
        <w:pStyle w:val="BookText"/>
      </w:pPr>
      <w:r>
        <w:rPr>
          <w:rFonts w:ascii="IRNazanin" w:hAnsi="IRNazanin" w:eastAsia="IRNazanin" w:cs="IRNazanin"/>
          <w:lang w:bidi="fa-IR"/>
          <w:color w:val="111111"/>
          <w:sz w:val="28"/>
          <w:szCs w:val="28"/>
          <w:rtl/>
        </w:rPr>
        <w:t xml:space="preserve">3 .بیان مفتاح عمل ،گھر، ج 3، ص 495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عمل تاج زرین، ج11، ص321.</w:t>
      </w:r>
    </w:p>
    <w:p>
      <w:pPr>
        <w:pStyle w:val="BookText"/>
      </w:pPr>
      <w:r>
        <w:rPr>
          <w:rFonts w:ascii="IRNazanin" w:hAnsi="IRNazanin" w:eastAsia="IRNazanin" w:cs="IRNazanin"/>
          <w:lang w:bidi="fa-IR"/>
          <w:color w:val="111111"/>
          <w:sz w:val="28"/>
          <w:szCs w:val="28"/>
          <w:rtl/>
        </w:rPr>
        <w:t xml:space="preserve">5 .عمل دور کھر، ج 11، ص321.</w:t>
      </w:r>
    </w:p>
    <w:p>
      <w:pPr>
        <w:pStyle w:val="BookText"/>
      </w:pPr>
      <w:r>
        <w:rPr>
          <w:rFonts w:ascii="Amiri" w:hAnsi="Amiri" w:eastAsia="Amiri" w:cs="Amiri"/>
          <w:lang w:bidi="ar-SA"/>
          <w:color w:val="111111"/>
          <w:sz w:val="28"/>
          <w:szCs w:val="28"/>
          <w:rtl/>
        </w:rPr>
        <w:t xml:space="preserve">6 .كنوز الياقوت، ج 13، ص 445.</w:t>
      </w:r>
    </w:p>
    <w:p>
      <w:pPr>
        <w:pStyle w:val="BookText"/>
      </w:pPr>
      <w:r>
        <w:rPr>
          <w:rFonts w:ascii="Amiri" w:hAnsi="Amiri" w:eastAsia="Amiri" w:cs="Amiri"/>
          <w:lang w:bidi="ar-SA"/>
          <w:color w:val="111111"/>
          <w:sz w:val="28"/>
          <w:szCs w:val="28"/>
          <w:rtl/>
        </w:rPr>
        <w:t xml:space="preserve">7.مصابيح الأسرار و الأنوار، ج 14 ،</w:t>
      </w:r>
    </w:p>
    <w:p>
      <w:pPr>
        <w:pStyle w:val="BookText"/>
      </w:pPr>
      <w:r>
        <w:rPr>
          <w:rFonts w:ascii="IRNazanin" w:hAnsi="IRNazanin" w:eastAsia="IRNazanin" w:cs="IRNazanin"/>
          <w:lang w:bidi="fa-IR"/>
          <w:color w:val="111111"/>
          <w:sz w:val="28"/>
          <w:szCs w:val="28"/>
          <w:rtl/>
        </w:rPr>
        <w:t xml:space="preserve">ص661.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مفاتيح الاسرار، ج 15 ، ص 145 .</w:t>
      </w:r>
    </w:p>
    <w:p>
      <w:pPr>
        <w:pStyle w:val="BookText"/>
      </w:pPr>
      <w:r>
        <w:rPr>
          <w:rFonts w:ascii="Amiri" w:hAnsi="Amiri" w:eastAsia="Amiri" w:cs="Amiri"/>
          <w:lang w:bidi="ar-SA"/>
          <w:color w:val="111111"/>
          <w:sz w:val="28"/>
          <w:szCs w:val="28"/>
          <w:rtl/>
        </w:rPr>
        <w:t xml:space="preserve">9 .مفاتيح كنوز سبعه ، ج 15، ص177.</w:t>
      </w:r>
    </w:p>
    <w:p>
      <w:pPr>
        <w:pStyle w:val="BookText"/>
      </w:pPr>
      <w:r>
        <w:rPr>
          <w:rFonts w:ascii="IRNazanin" w:hAnsi="IRNazanin" w:eastAsia="IRNazanin" w:cs="IRNazanin"/>
          <w:lang w:bidi="fa-IR"/>
          <w:color w:val="111111"/>
          <w:sz w:val="28"/>
          <w:szCs w:val="28"/>
          <w:rtl/>
        </w:rPr>
        <w:t xml:space="preserve">10 .مفتاح اعمال سبعه، ج15، ص 185.</w:t>
      </w:r>
    </w:p>
    <w:p>
      <w:pPr>
        <w:pStyle w:val="BookText"/>
      </w:pPr>
      <w:r>
        <w:rPr>
          <w:rFonts w:ascii="IRNazanin" w:hAnsi="IRNazanin" w:eastAsia="IRNazanin" w:cs="IRNazanin"/>
          <w:lang w:bidi="fa-IR"/>
          <w:color w:val="111111"/>
          <w:sz w:val="28"/>
          <w:szCs w:val="28"/>
          <w:rtl/>
        </w:rPr>
        <w:t xml:space="preserve">11 .مفتاح ،گوهر، ج 15، ص228.</w:t>
      </w:r>
    </w:p>
    <w:p>
      <w:pPr>
        <w:pStyle w:val="BookText"/>
      </w:pPr>
      <w:r>
        <w:rPr>
          <w:rFonts w:ascii="Amiri" w:hAnsi="Amiri" w:eastAsia="Amiri" w:cs="Amiri"/>
          <w:lang w:bidi="ar-SA"/>
          <w:color w:val="111111"/>
          <w:sz w:val="28"/>
          <w:szCs w:val="28"/>
          <w:rtl/>
        </w:rPr>
        <w:t xml:space="preserve">تنوجي ، عبد الرحمن بن مروان- ابن</w:t>
      </w:r>
    </w:p>
    <w:p>
      <w:pPr>
        <w:pStyle w:val="BookText"/>
      </w:pPr>
      <w:r>
        <w:rPr>
          <w:rFonts w:ascii="IRNazanin" w:hAnsi="IRNazanin" w:eastAsia="IRNazanin" w:cs="IRNazanin"/>
          <w:lang w:bidi="fa-IR"/>
          <w:color w:val="111111"/>
          <w:sz w:val="28"/>
          <w:szCs w:val="28"/>
          <w:rtl/>
        </w:rPr>
        <w:t xml:space="preserve">منجم ، عبدالرحمن بن مروان</w:t>
      </w:r>
    </w:p>
    <w:p>
      <w:pPr>
        <w:pStyle w:val="Heading2"/>
      </w:pPr>
      <w:bookmarkStart w:id="3151" w:name="_Toc2253"/>
      <w:r>
        <w:t>تنوخي</w:t>
      </w:r>
      <w:bookmarkEnd w:id="3151"/>
    </w:p>
    <w:p>
      <w:pPr>
        <w:pStyle w:val="BookText"/>
      </w:pPr>
      <w:r>
        <w:rPr>
          <w:rFonts w:ascii="Amiri" w:hAnsi="Amiri" w:eastAsia="Amiri" w:cs="Amiri"/>
          <w:lang w:bidi="ar-SA"/>
          <w:color w:val="111111"/>
          <w:sz w:val="28"/>
          <w:szCs w:val="28"/>
          <w:rtl/>
        </w:rPr>
        <w:t xml:space="preserve">الثاني في الممتع في شرح المبهج، جه،</w:t>
      </w:r>
    </w:p>
    <w:p>
      <w:pPr>
        <w:pStyle w:val="BookText"/>
      </w:pPr>
      <w:r>
        <w:rPr>
          <w:rFonts w:ascii="IRNazanin" w:hAnsi="IRNazanin" w:eastAsia="IRNazanin" w:cs="IRNazanin"/>
          <w:lang w:bidi="fa-IR"/>
          <w:color w:val="111111"/>
          <w:sz w:val="28"/>
          <w:szCs w:val="28"/>
          <w:rtl/>
        </w:rPr>
        <w:t xml:space="preserve">ص 208.</w:t>
      </w:r>
    </w:p>
    <w:p>
      <w:pPr>
        <w:pStyle w:val="Heading2"/>
      </w:pPr>
      <w:bookmarkStart w:id="3152" w:name="_Toc2254"/>
      <w:r>
        <w:t>تنوخي ، عبد المحسن بن حمود 570 - 643ه-</w:t>
      </w:r>
      <w:bookmarkEnd w:id="3152"/>
    </w:p>
    <w:p>
      <w:pPr>
        <w:pStyle w:val="BookText"/>
      </w:pPr>
      <w:r>
        <w:rPr>
          <w:rFonts w:ascii="Amiri" w:hAnsi="Amiri" w:eastAsia="Amiri" w:cs="Amiri"/>
          <w:lang w:bidi="ar-SA"/>
          <w:color w:val="111111"/>
          <w:sz w:val="28"/>
          <w:szCs w:val="28"/>
          <w:rtl/>
        </w:rPr>
        <w:t xml:space="preserve">مفتاح الأرواح في المتداح الراح، ج 15</w:t>
      </w:r>
    </w:p>
    <w:p>
      <w:pPr>
        <w:pStyle w:val="BookText"/>
      </w:pPr>
      <w:r>
        <w:rPr>
          <w:rFonts w:ascii="IRNazanin" w:hAnsi="IRNazanin" w:eastAsia="IRNazanin" w:cs="IRNazanin"/>
          <w:lang w:bidi="fa-IR"/>
          <w:color w:val="111111"/>
          <w:sz w:val="28"/>
          <w:szCs w:val="28"/>
          <w:rtl/>
        </w:rPr>
        <w:t xml:space="preserve">ص 183.</w:t>
      </w:r>
    </w:p>
    <w:p>
      <w:pPr>
        <w:pStyle w:val="Heading2"/>
      </w:pPr>
      <w:bookmarkStart w:id="3153" w:name="_Toc2255"/>
      <w:r>
        <w:t>تنوخي ، محسن بن علي، 327 - 384 ه-</w:t>
      </w:r>
      <w:bookmarkEnd w:id="31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جامع الحكايات = الفرج بعد</w:t>
      </w:r>
    </w:p>
    <w:p>
      <w:pPr>
        <w:pStyle w:val="BookText"/>
      </w:pPr>
      <w:r>
        <w:rPr>
          <w:rFonts w:ascii="Amiri" w:hAnsi="Amiri" w:eastAsia="Amiri" w:cs="Amiri"/>
          <w:lang w:bidi="ar-SA"/>
          <w:color w:val="111111"/>
          <w:sz w:val="28"/>
          <w:szCs w:val="28"/>
          <w:rtl/>
        </w:rPr>
        <w:t xml:space="preserve">الشدة، ج 5، ص 263.</w:t>
      </w:r>
    </w:p>
    <w:p>
      <w:pPr>
        <w:pStyle w:val="BookText"/>
      </w:pPr>
      <w:r>
        <w:rPr>
          <w:rFonts w:ascii="Amiri" w:hAnsi="Amiri" w:eastAsia="Amiri" w:cs="Amiri"/>
          <w:lang w:bidi="ar-SA"/>
          <w:color w:val="111111"/>
          <w:sz w:val="28"/>
          <w:szCs w:val="28"/>
          <w:rtl/>
        </w:rPr>
        <w:t xml:space="preserve">2.نشوار المحاضرة و اخبار المذاكرة</w:t>
      </w:r>
    </w:p>
    <w:p>
      <w:pPr>
        <w:pStyle w:val="BookText"/>
      </w:pPr>
      <w:r>
        <w:rPr>
          <w:rFonts w:ascii="IRNazanin" w:hAnsi="IRNazanin" w:eastAsia="IRNazanin" w:cs="IRNazanin"/>
          <w:lang w:bidi="fa-IR"/>
          <w:color w:val="111111"/>
          <w:sz w:val="28"/>
          <w:szCs w:val="28"/>
          <w:rtl/>
        </w:rPr>
        <w:t xml:space="preserve">ج 16، ص 290.</w:t>
      </w:r>
    </w:p>
    <w:p>
      <w:pPr>
        <w:pStyle w:val="BookText"/>
      </w:pPr>
      <w:r>
        <w:rPr>
          <w:rFonts w:ascii="Amiri" w:hAnsi="Amiri" w:eastAsia="Amiri" w:cs="Amiri"/>
          <w:lang w:bidi="ar-SA"/>
          <w:color w:val="111111"/>
          <w:sz w:val="28"/>
          <w:szCs w:val="28"/>
          <w:rtl/>
        </w:rPr>
        <w:t xml:space="preserve">تنوخي ، محمّد بن علي-عظيمي ، محمّد</w:t>
      </w:r>
    </w:p>
    <w:p>
      <w:pPr>
        <w:pStyle w:val="BookText"/>
      </w:pPr>
      <w:r>
        <w:rPr>
          <w:rFonts w:ascii="Amiri" w:hAnsi="Amiri" w:eastAsia="Amiri" w:cs="Amiri"/>
          <w:lang w:bidi="ar-SA"/>
          <w:color w:val="111111"/>
          <w:sz w:val="28"/>
          <w:szCs w:val="28"/>
          <w:rtl/>
        </w:rPr>
        <w:t xml:space="preserve">بن علي</w:t>
      </w:r>
    </w:p>
    <w:p>
      <w:pPr>
        <w:pStyle w:val="Heading2"/>
      </w:pPr>
      <w:bookmarkStart w:id="3154" w:name="_Toc2256"/>
      <w:r>
        <w:t>تنوخي ، محمّد بن محمّد قرن 5 ه-</w:t>
      </w:r>
      <w:bookmarkEnd w:id="3154"/>
    </w:p>
    <w:p>
      <w:pPr>
        <w:pStyle w:val="BookText"/>
      </w:pPr>
      <w:r>
        <w:rPr>
          <w:rFonts w:ascii="Amiri" w:hAnsi="Amiri" w:eastAsia="Amiri" w:cs="Amiri"/>
          <w:lang w:bidi="ar-SA"/>
          <w:color w:val="111111"/>
          <w:sz w:val="28"/>
          <w:szCs w:val="28"/>
          <w:rtl/>
        </w:rPr>
        <w:t xml:space="preserve">انيس المروض ، في علم العروض، ج 3،</w:t>
      </w:r>
    </w:p>
    <w:p>
      <w:pPr>
        <w:pStyle w:val="BookText"/>
      </w:pPr>
      <w:r>
        <w:rPr>
          <w:rFonts w:ascii="IRNazanin" w:hAnsi="IRNazanin" w:eastAsia="IRNazanin" w:cs="IRNazanin"/>
          <w:lang w:bidi="fa-IR"/>
          <w:color w:val="111111"/>
          <w:sz w:val="28"/>
          <w:szCs w:val="28"/>
          <w:rtl/>
        </w:rPr>
        <w:t xml:space="preserve">ص 44 .</w:t>
      </w:r>
    </w:p>
    <w:p>
      <w:pPr>
        <w:pStyle w:val="BookText"/>
      </w:pPr>
      <w:r>
        <w:rPr>
          <w:rFonts w:ascii="Amiri" w:hAnsi="Amiri" w:eastAsia="Amiri" w:cs="Amiri"/>
          <w:lang w:bidi="ar-SA"/>
          <w:color w:val="111111"/>
          <w:sz w:val="28"/>
          <w:szCs w:val="28"/>
          <w:rtl/>
        </w:rPr>
        <w:t xml:space="preserve">تنيسي ، حسن بن علي -ابن وكيع تنيسي</w:t>
      </w:r>
    </w:p>
    <w:p>
      <w:pPr>
        <w:pStyle w:val="BookText"/>
      </w:pPr>
      <w:r>
        <w:rPr>
          <w:rFonts w:ascii="Amiri" w:hAnsi="Amiri" w:eastAsia="Amiri" w:cs="Amiri"/>
          <w:lang w:bidi="ar-SA"/>
          <w:color w:val="111111"/>
          <w:sz w:val="28"/>
          <w:szCs w:val="28"/>
          <w:rtl/>
        </w:rPr>
        <w:t xml:space="preserve">حسن بن علي</w:t>
      </w:r>
    </w:p>
    <w:p>
      <w:pPr>
        <w:pStyle w:val="Heading2"/>
      </w:pPr>
      <w:bookmarkStart w:id="3155" w:name="_Toc2257"/>
      <w:r>
        <w:t>تنيسي، عبد المحسن بن عثمان قرن 5 ه-</w:t>
      </w:r>
      <w:bookmarkEnd w:id="3155"/>
    </w:p>
    <w:p>
      <w:pPr>
        <w:pStyle w:val="BookText"/>
      </w:pPr>
      <w:r>
        <w:rPr>
          <w:rFonts w:ascii="Amiri" w:hAnsi="Amiri" w:eastAsia="Amiri" w:cs="Amiri"/>
          <w:lang w:bidi="ar-SA"/>
          <w:color w:val="111111"/>
          <w:sz w:val="28"/>
          <w:szCs w:val="28"/>
          <w:rtl/>
        </w:rPr>
        <w:t xml:space="preserve">الفائق في اللفظ الرائق، ج 11، ص 580.</w:t>
      </w:r>
    </w:p>
    <w:p>
      <w:pPr>
        <w:pStyle w:val="Heading2"/>
      </w:pPr>
      <w:bookmarkStart w:id="3156" w:name="_Toc2258"/>
      <w:r>
        <w:t>تهامي ، علي بن محمّد - 416 ه-</w:t>
      </w:r>
      <w:bookmarkEnd w:id="3156"/>
    </w:p>
    <w:p>
      <w:pPr>
        <w:pStyle w:val="BookText"/>
      </w:pPr>
      <w:r>
        <w:rPr>
          <w:rFonts w:ascii="IRNazanin" w:hAnsi="IRNazanin" w:eastAsia="IRNazanin" w:cs="IRNazanin"/>
          <w:lang w:bidi="fa-IR"/>
          <w:color w:val="111111"/>
          <w:sz w:val="28"/>
          <w:szCs w:val="28"/>
          <w:rtl/>
        </w:rPr>
        <w:t xml:space="preserve">1 .دیوان تهامي، ج7، ص 602.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قصيدة، ج12، ص 634.</w:t>
      </w:r>
    </w:p>
    <w:p>
      <w:pPr>
        <w:pStyle w:val="BookText"/>
      </w:pPr>
      <w:r>
        <w:rPr>
          <w:rFonts w:ascii="Amiri" w:hAnsi="Amiri" w:eastAsia="Amiri" w:cs="Amiri"/>
          <w:lang w:bidi="ar-SA"/>
          <w:color w:val="111111"/>
          <w:sz w:val="28"/>
          <w:szCs w:val="28"/>
          <w:rtl/>
        </w:rPr>
        <w:t xml:space="preserve">تهراني ، آقاحسن، قرن 14 ه-</w:t>
      </w:r>
    </w:p>
    <w:p>
      <w:pPr>
        <w:pStyle w:val="BookText"/>
      </w:pPr>
      <w:r>
        <w:rPr>
          <w:rFonts w:ascii="Amiri" w:hAnsi="Amiri" w:eastAsia="Amiri" w:cs="Amiri"/>
          <w:lang w:bidi="ar-SA"/>
          <w:color w:val="111111"/>
          <w:sz w:val="28"/>
          <w:szCs w:val="28"/>
          <w:rtl/>
        </w:rPr>
        <w:t xml:space="preserve">حاشية المكاسب، ج 6، ص 419.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7" w:name="pg7742_69999"/>
    <w:bookmarkEnd w:id="307"/>
    <w:p>
      <w:pPr>
        <w:pStyle w:val="Heading2"/>
      </w:pPr>
      <w:bookmarkStart w:id="3157" w:name="_Toc2259"/>
      <w:r>
        <w:t>تهراني، ابراهيم - 1355 ه-</w:t>
      </w:r>
      <w:bookmarkEnd w:id="3157"/>
    </w:p>
    <w:p>
      <w:pPr>
        <w:pStyle w:val="BookText"/>
      </w:pPr>
      <w:r>
        <w:rPr>
          <w:rFonts w:ascii="IRNazanin" w:hAnsi="IRNazanin" w:eastAsia="IRNazanin" w:cs="IRNazanin"/>
          <w:lang w:bidi="fa-IR"/>
          <w:color w:val="111111"/>
          <w:sz w:val="28"/>
          <w:szCs w:val="28"/>
          <w:rtl/>
        </w:rPr>
        <w:t xml:space="preserve">سؤالات و اجوبه ج8، ص 677</w:t>
      </w:r>
    </w:p>
    <w:p>
      <w:pPr>
        <w:pStyle w:val="Heading2"/>
      </w:pPr>
      <w:bookmarkStart w:id="3158" w:name="_Toc2260"/>
      <w:r>
        <w:t>تهراني ، خليل بن عبد الباقي قرن 14 ه-</w:t>
      </w:r>
      <w:bookmarkEnd w:id="3158"/>
    </w:p>
    <w:p>
      <w:pPr>
        <w:pStyle w:val="BookText"/>
      </w:pPr>
      <w:r>
        <w:rPr>
          <w:rFonts w:ascii="Amiri" w:hAnsi="Amiri" w:eastAsia="Amiri" w:cs="Amiri"/>
          <w:lang w:bidi="ar-SA"/>
          <w:color w:val="111111"/>
          <w:sz w:val="28"/>
          <w:szCs w:val="28"/>
          <w:rtl/>
        </w:rPr>
        <w:t xml:space="preserve">فيزيك، ج 12، ص 304.</w:t>
      </w:r>
    </w:p>
    <w:p>
      <w:pPr>
        <w:pStyle w:val="Heading2"/>
      </w:pPr>
      <w:bookmarkStart w:id="3159" w:name="_Toc2261"/>
      <w:r>
        <w:t>تهراني رازي قوام الدین محمّد -1093ه-</w:t>
      </w:r>
      <w:bookmarkEnd w:id="3159"/>
    </w:p>
    <w:p>
      <w:pPr>
        <w:pStyle w:val="BookText"/>
      </w:pPr>
      <w:r>
        <w:rPr>
          <w:rFonts w:ascii="Amiri" w:hAnsi="Amiri" w:eastAsia="Amiri" w:cs="Amiri"/>
          <w:lang w:bidi="ar-SA"/>
          <w:color w:val="111111"/>
          <w:sz w:val="28"/>
          <w:szCs w:val="28"/>
          <w:rtl/>
        </w:rPr>
        <w:t xml:space="preserve">عين الحكمة، ج 11، ص 376.</w:t>
      </w:r>
    </w:p>
    <w:p>
      <w:pPr>
        <w:pStyle w:val="Heading2"/>
      </w:pPr>
      <w:bookmarkStart w:id="3160" w:name="_Toc2262"/>
      <w:r>
        <w:t>تهراني ، علي بن خليل - 1296 ه-</w:t>
      </w:r>
      <w:bookmarkEnd w:id="3160"/>
    </w:p>
    <w:p>
      <w:pPr>
        <w:pStyle w:val="BookText"/>
      </w:pPr>
      <w:r>
        <w:rPr>
          <w:rFonts w:ascii="Amiri" w:hAnsi="Amiri" w:eastAsia="Amiri" w:cs="Amiri"/>
          <w:lang w:bidi="ar-SA"/>
          <w:color w:val="111111"/>
          <w:sz w:val="28"/>
          <w:szCs w:val="28"/>
          <w:rtl/>
        </w:rPr>
        <w:t xml:space="preserve">سبل الهداية في علم الدراية = الفوائد الرجالية، ج8، ص 706.</w:t>
      </w:r>
    </w:p>
    <w:p>
      <w:pPr>
        <w:pStyle w:val="BookText"/>
      </w:pPr>
      <w:r>
        <w:rPr>
          <w:rFonts w:ascii="Amiri" w:hAnsi="Amiri" w:eastAsia="Amiri" w:cs="Amiri"/>
          <w:lang w:bidi="ar-SA"/>
          <w:color w:val="111111"/>
          <w:sz w:val="28"/>
          <w:szCs w:val="28"/>
          <w:rtl/>
        </w:rPr>
        <w:t xml:space="preserve">تهراني ، محمّد حسين - بروجردي طهراني ،</w:t>
      </w:r>
    </w:p>
    <w:p>
      <w:pPr>
        <w:pStyle w:val="BookText"/>
      </w:pPr>
      <w:r>
        <w:rPr>
          <w:rFonts w:ascii="Amiri" w:hAnsi="Amiri" w:eastAsia="Amiri" w:cs="Amiri"/>
          <w:lang w:bidi="ar-SA"/>
          <w:color w:val="111111"/>
          <w:sz w:val="28"/>
          <w:szCs w:val="28"/>
          <w:rtl/>
        </w:rPr>
        <w:t xml:space="preserve">محمّد حسين</w:t>
      </w:r>
    </w:p>
    <w:p>
      <w:pPr>
        <w:pStyle w:val="BookText"/>
      </w:pPr>
      <w:r>
        <w:rPr>
          <w:rFonts w:ascii="Amiri" w:hAnsi="Amiri" w:eastAsia="Amiri" w:cs="Amiri"/>
          <w:lang w:bidi="ar-SA"/>
          <w:color w:val="111111"/>
          <w:sz w:val="28"/>
          <w:szCs w:val="28"/>
          <w:rtl/>
        </w:rPr>
        <w:t xml:space="preserve">تهراني ، محمّد رضا بن محمّد</w:t>
      </w:r>
    </w:p>
    <w:p>
      <w:pPr>
        <w:pStyle w:val="BookText"/>
      </w:pPr>
      <w:r>
        <w:rPr>
          <w:rFonts w:ascii="Amiri" w:hAnsi="Amiri" w:eastAsia="Amiri" w:cs="Amiri"/>
          <w:lang w:bidi="ar-SA"/>
          <w:color w:val="111111"/>
          <w:sz w:val="28"/>
          <w:szCs w:val="28"/>
          <w:rtl/>
        </w:rPr>
        <w:t xml:space="preserve">محسن- همداني ، محمّد رضا بن محمّد</w:t>
      </w:r>
    </w:p>
    <w:p>
      <w:pPr>
        <w:pStyle w:val="BookText"/>
      </w:pPr>
      <w:r>
        <w:rPr>
          <w:rFonts w:ascii="IRNazanin" w:hAnsi="IRNazanin" w:eastAsia="IRNazanin" w:cs="IRNazanin"/>
          <w:lang w:bidi="fa-IR"/>
          <w:color w:val="111111"/>
          <w:sz w:val="28"/>
          <w:szCs w:val="28"/>
          <w:rtl/>
        </w:rPr>
        <w:t xml:space="preserve">محسن</w:t>
      </w:r>
    </w:p>
    <w:p>
      <w:pPr>
        <w:pStyle w:val="BookText"/>
      </w:pPr>
      <w:r>
        <w:rPr>
          <w:rFonts w:ascii="IRNazanin" w:hAnsi="IRNazanin" w:eastAsia="IRNazanin" w:cs="IRNazanin"/>
          <w:lang w:bidi="fa-IR"/>
          <w:color w:val="111111"/>
          <w:sz w:val="28"/>
          <w:szCs w:val="28"/>
          <w:rtl/>
        </w:rPr>
        <w:t xml:space="preserve">تهراني ، محمّد محسن بن علي- آقابزرگ</w:t>
      </w:r>
    </w:p>
    <w:p>
      <w:pPr>
        <w:pStyle w:val="BookText"/>
      </w:pPr>
      <w:r>
        <w:rPr>
          <w:rFonts w:ascii="Amiri" w:hAnsi="Amiri" w:eastAsia="Amiri" w:cs="Amiri"/>
          <w:lang w:bidi="ar-SA"/>
          <w:color w:val="111111"/>
          <w:sz w:val="28"/>
          <w:szCs w:val="28"/>
          <w:rtl/>
        </w:rPr>
        <w:t xml:space="preserve">طهراني ، محمّد محسن</w:t>
      </w:r>
    </w:p>
    <w:p>
      <w:pPr>
        <w:pStyle w:val="BookText"/>
      </w:pPr>
      <w:r>
        <w:rPr>
          <w:rFonts w:ascii="Amiri" w:hAnsi="Amiri" w:eastAsia="Amiri" w:cs="Amiri"/>
          <w:lang w:bidi="ar-SA"/>
          <w:color w:val="111111"/>
          <w:sz w:val="28"/>
          <w:szCs w:val="28"/>
          <w:rtl/>
        </w:rPr>
        <w:t xml:space="preserve">تهراني ، محمود بن ابي القاسم- معرب</w:t>
      </w:r>
    </w:p>
    <w:p>
      <w:pPr>
        <w:pStyle w:val="BookText"/>
      </w:pPr>
      <w:r>
        <w:rPr>
          <w:rFonts w:ascii="Amiri" w:hAnsi="Amiri" w:eastAsia="Amiri" w:cs="Amiri"/>
          <w:lang w:bidi="ar-SA"/>
          <w:color w:val="111111"/>
          <w:sz w:val="28"/>
          <w:szCs w:val="28"/>
          <w:rtl/>
        </w:rPr>
        <w:t xml:space="preserve">تهراني ، محمود بن ابي القاسم</w:t>
      </w:r>
    </w:p>
    <w:p>
      <w:pPr>
        <w:pStyle w:val="Heading2"/>
      </w:pPr>
      <w:bookmarkStart w:id="3161" w:name="_Toc2263"/>
      <w:r>
        <w:t>تهراني نجفي، هادي بن محمّد امين</w:t>
      </w:r>
      <w:bookmarkEnd w:id="3161"/>
    </w:p>
    <w:p>
      <w:pPr>
        <w:pStyle w:val="BookText"/>
      </w:pPr>
      <w:r>
        <w:rPr>
          <w:rFonts w:ascii="IRNazanin" w:hAnsi="IRNazanin" w:eastAsia="IRNazanin" w:cs="IRNazanin"/>
          <w:lang w:bidi="fa-IR"/>
          <w:color w:val="111111"/>
          <w:sz w:val="28"/>
          <w:szCs w:val="28"/>
          <w:rtl/>
        </w:rPr>
        <w:t xml:space="preserve">1 .الاتقان، ج1، ص137.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الادلة العقلية = محجة العلماء = الأدلة الاصولية، ج 1 ، ص 664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الارث، ج 1، ص 754 .</w:t>
      </w:r>
    </w:p>
    <w:p>
      <w:pPr>
        <w:pStyle w:val="BookText"/>
      </w:pPr>
      <w:r>
        <w:rPr>
          <w:rFonts w:ascii="Amiri" w:hAnsi="Amiri" w:eastAsia="Amiri" w:cs="Amiri"/>
          <w:lang w:bidi="ar-SA"/>
          <w:color w:val="111111"/>
          <w:sz w:val="28"/>
          <w:szCs w:val="28"/>
          <w:rtl/>
        </w:rPr>
        <w:t xml:space="preserve">4 .الاستصحاب = محجة العلماء، ج2،</w:t>
      </w:r>
    </w:p>
    <w:p>
      <w:pPr>
        <w:pStyle w:val="BookText"/>
      </w:pPr>
      <w:r>
        <w:rPr>
          <w:rFonts w:ascii="IRNazanin" w:hAnsi="IRNazanin" w:eastAsia="IRNazanin" w:cs="IRNazanin"/>
          <w:lang w:bidi="fa-IR"/>
          <w:color w:val="111111"/>
          <w:sz w:val="28"/>
          <w:szCs w:val="28"/>
          <w:rtl/>
        </w:rPr>
        <w:t xml:space="preserve">ص 133.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اصول الفقه، ج 2، ص 437</w:t>
      </w:r>
    </w:p>
    <w:p>
      <w:pPr>
        <w:pStyle w:val="BookText"/>
      </w:pPr>
      <w:r>
        <w:rPr>
          <w:rFonts w:ascii="Amiri" w:hAnsi="Amiri" w:eastAsia="Amiri" w:cs="Amiri"/>
          <w:lang w:bidi="ar-SA"/>
          <w:color w:val="111111"/>
          <w:sz w:val="28"/>
          <w:szCs w:val="28"/>
          <w:rtl/>
        </w:rPr>
        <w:t xml:space="preserve">6 .اصول دين = التوحيد، ج 2، ص 418.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البراءة و الاشتغال، ج3، ص294.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تعارض الأدلة، ج4، ص 447.</w:t>
      </w:r>
    </w:p>
    <w:p>
      <w:pPr>
        <w:pStyle w:val="BookText"/>
      </w:pPr>
      <w:r>
        <w:rPr>
          <w:rFonts w:ascii="Amiri" w:hAnsi="Amiri" w:eastAsia="Amiri" w:cs="Amiri"/>
          <w:lang w:bidi="ar-SA"/>
          <w:color w:val="111111"/>
          <w:sz w:val="28"/>
          <w:szCs w:val="28"/>
          <w:rtl/>
        </w:rPr>
        <w:t xml:space="preserve">9 .تقوي عالي المياه بسافلها ج4،</w:t>
      </w:r>
    </w:p>
    <w:p>
      <w:pPr>
        <w:pStyle w:val="BookText"/>
      </w:pPr>
      <w:r>
        <w:rPr>
          <w:rFonts w:ascii="IRNazanin" w:hAnsi="IRNazanin" w:eastAsia="IRNazanin" w:cs="IRNazanin"/>
          <w:lang w:bidi="fa-IR"/>
          <w:color w:val="111111"/>
          <w:sz w:val="28"/>
          <w:szCs w:val="28"/>
          <w:rtl/>
        </w:rPr>
        <w:t xml:space="preserve">ص 794.</w:t>
      </w:r>
    </w:p>
    <w:p>
      <w:pPr>
        <w:pStyle w:val="BookText"/>
      </w:pPr>
      <w:r>
        <w:rPr>
          <w:rFonts w:ascii="Amiri" w:hAnsi="Amiri" w:eastAsia="Amiri" w:cs="Amiri"/>
          <w:lang w:bidi="ar-SA"/>
          <w:color w:val="111111"/>
          <w:sz w:val="28"/>
          <w:szCs w:val="28"/>
          <w:rtl/>
        </w:rPr>
        <w:t xml:space="preserve">10 .التوحيد، ج 5، ص 155.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حجية الخبر الواحد، ج 6، ص 495</w:t>
      </w:r>
    </w:p>
    <w:p>
      <w:pPr>
        <w:pStyle w:val="BookText"/>
      </w:pPr>
      <w:r>
        <w:rPr>
          <w:rFonts w:ascii="Amiri" w:hAnsi="Amiri" w:eastAsia="Amiri" w:cs="Amiri"/>
          <w:lang w:bidi="ar-SA"/>
          <w:color w:val="111111"/>
          <w:sz w:val="28"/>
          <w:szCs w:val="28"/>
          <w:rtl/>
        </w:rPr>
        <w:t xml:space="preserve">12 .حق اليقين في معرفة رب العالمين</w:t>
      </w:r>
    </w:p>
    <w:p>
      <w:pPr>
        <w:pStyle w:val="BookText"/>
      </w:pPr>
      <w:r>
        <w:rPr>
          <w:rFonts w:ascii="IRNazanin" w:hAnsi="IRNazanin" w:eastAsia="IRNazanin" w:cs="IRNazanin"/>
          <w:lang w:bidi="fa-IR"/>
          <w:color w:val="111111"/>
          <w:sz w:val="28"/>
          <w:szCs w:val="28"/>
          <w:rtl/>
        </w:rPr>
        <w:t xml:space="preserve">ج 6، ص 704.</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الحق والحكم = سلطنة الشخص</w:t>
      </w:r>
    </w:p>
    <w:p>
      <w:pPr>
        <w:pStyle w:val="BookText"/>
      </w:pPr>
      <w:r>
        <w:rPr>
          <w:rFonts w:ascii="Amiri" w:hAnsi="Amiri" w:eastAsia="Amiri" w:cs="Amiri"/>
          <w:lang w:bidi="ar-SA"/>
          <w:color w:val="111111"/>
          <w:sz w:val="28"/>
          <w:szCs w:val="28"/>
          <w:rtl/>
        </w:rPr>
        <w:t xml:space="preserve">على غيره، ج 6، ص 698.</w:t>
      </w:r>
    </w:p>
    <w:p>
      <w:pPr>
        <w:pStyle w:val="BookText"/>
      </w:pPr>
      <w:r>
        <w:rPr>
          <w:rFonts w:ascii="Amiri" w:hAnsi="Amiri" w:eastAsia="Amiri" w:cs="Amiri"/>
          <w:lang w:bidi="ar-SA"/>
          <w:color w:val="111111"/>
          <w:sz w:val="28"/>
          <w:szCs w:val="28"/>
          <w:rtl/>
        </w:rPr>
        <w:t xml:space="preserve">14 .الخيارات، ج 7، ص 186.</w:t>
      </w:r>
    </w:p>
    <w:p>
      <w:pPr>
        <w:pStyle w:val="BookText"/>
      </w:pPr>
      <w:r>
        <w:rPr>
          <w:rFonts w:ascii="Amiri" w:hAnsi="Amiri" w:eastAsia="Amiri" w:cs="Amiri"/>
          <w:lang w:bidi="ar-SA"/>
          <w:color w:val="111111"/>
          <w:sz w:val="28"/>
          <w:szCs w:val="28"/>
          <w:rtl/>
        </w:rPr>
        <w:t xml:space="preserve">15 .ذخائر النبوة = شرح شرايع</w:t>
      </w:r>
    </w:p>
    <w:p>
      <w:pPr>
        <w:pStyle w:val="BookText"/>
      </w:pPr>
      <w:r>
        <w:rPr>
          <w:rFonts w:ascii="IRNazanin" w:hAnsi="IRNazanin" w:eastAsia="IRNazanin" w:cs="IRNazanin"/>
          <w:lang w:bidi="fa-IR"/>
          <w:color w:val="111111"/>
          <w:sz w:val="28"/>
          <w:szCs w:val="28"/>
          <w:rtl/>
        </w:rPr>
        <w:t xml:space="preserve">الاسلام، ج 7، ص 815 16</w:t>
      </w:r>
    </w:p>
    <w:p>
      <w:pPr>
        <w:pStyle w:val="BookText"/>
      </w:pPr>
      <w:r>
        <w:rPr>
          <w:rFonts w:ascii="IRNazanin" w:hAnsi="IRNazanin" w:eastAsia="IRNazanin" w:cs="IRNazanin"/>
          <w:lang w:bidi="fa-IR"/>
          <w:color w:val="111111"/>
          <w:sz w:val="28"/>
          <w:szCs w:val="28"/>
          <w:rtl/>
        </w:rPr>
        <w:t xml:space="preserve">16.رسائل، ج8، ص 126.</w:t>
      </w:r>
    </w:p>
    <w:p>
      <w:pPr>
        <w:pStyle w:val="BookText"/>
      </w:pPr>
      <w:r>
        <w:rPr>
          <w:rFonts w:ascii="Amiri" w:hAnsi="Amiri" w:eastAsia="Amiri" w:cs="Amiri"/>
          <w:lang w:bidi="ar-SA"/>
          <w:color w:val="111111"/>
          <w:sz w:val="28"/>
          <w:szCs w:val="28"/>
          <w:rtl/>
        </w:rPr>
        <w:t xml:space="preserve">17 .رسائل فقهية، ج8، ص 146.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الرضاع، ج8، ص320.</w:t>
      </w:r>
    </w:p>
    <w:p>
      <w:pPr>
        <w:pStyle w:val="BookText"/>
      </w:pPr>
      <w:r>
        <w:rPr>
          <w:rFonts w:ascii="IRNazanin" w:hAnsi="IRNazanin" w:eastAsia="IRNazanin" w:cs="IRNazanin"/>
          <w:lang w:bidi="fa-IR"/>
          <w:color w:val="111111"/>
          <w:sz w:val="28"/>
          <w:szCs w:val="28"/>
          <w:rtl/>
        </w:rPr>
        <w:t xml:space="preserve">19 .الرضوان، ج 8، ص328.</w:t>
      </w:r>
    </w:p>
    <w:p>
      <w:pPr>
        <w:pStyle w:val="BookText"/>
      </w:pPr>
      <w:r>
        <w:rPr>
          <w:rFonts w:ascii="Amiri" w:hAnsi="Amiri" w:eastAsia="Amiri" w:cs="Amiri"/>
          <w:lang w:bidi="ar-SA"/>
          <w:color w:val="111111"/>
          <w:sz w:val="28"/>
          <w:szCs w:val="28"/>
          <w:rtl/>
        </w:rPr>
        <w:t xml:space="preserve">20 .الزكاة، ج 8، ص 604.</w:t>
      </w:r>
    </w:p>
    <w:p>
      <w:pPr>
        <w:pStyle w:val="BookText"/>
      </w:pPr>
      <w:r>
        <w:rPr>
          <w:rFonts w:ascii="Amiri" w:hAnsi="Amiri" w:eastAsia="Amiri" w:cs="Amiri"/>
          <w:lang w:bidi="ar-SA"/>
          <w:color w:val="111111"/>
          <w:sz w:val="28"/>
          <w:szCs w:val="28"/>
          <w:rtl/>
        </w:rPr>
        <w:t xml:space="preserve">21 .شرح خطبة الامام الرضا (ع)، ج 9،</w:t>
      </w:r>
    </w:p>
    <w:p>
      <w:pPr>
        <w:pStyle w:val="BookText"/>
      </w:pPr>
      <w:r>
        <w:rPr>
          <w:rFonts w:ascii="IRNazanin" w:hAnsi="IRNazanin" w:eastAsia="IRNazanin" w:cs="IRNazanin"/>
          <w:lang w:bidi="fa-IR"/>
          <w:color w:val="111111"/>
          <w:sz w:val="28"/>
          <w:szCs w:val="28"/>
          <w:rtl/>
        </w:rPr>
        <w:t xml:space="preserve">ص 430 .</w:t>
      </w:r>
    </w:p>
    <w:p>
      <w:pPr>
        <w:pStyle w:val="BookText"/>
      </w:pPr>
      <w:r>
        <w:rPr>
          <w:rFonts w:ascii="IRNazanin" w:hAnsi="IRNazanin" w:eastAsia="IRNazanin" w:cs="IRNazanin"/>
          <w:lang w:bidi="fa-IR"/>
          <w:color w:val="111111"/>
          <w:sz w:val="28"/>
          <w:szCs w:val="28"/>
          <w:rtl/>
        </w:rPr>
        <w:t xml:space="preserve">22 .شرح دعاء البهاء، ج 9، ص 459.</w:t>
      </w:r>
    </w:p>
    <w:p>
      <w:pPr>
        <w:pStyle w:val="BookText"/>
      </w:pPr>
      <w:r>
        <w:rPr>
          <w:rFonts w:ascii="Amiri" w:hAnsi="Amiri" w:eastAsia="Amiri" w:cs="Amiri"/>
          <w:lang w:bidi="ar-SA"/>
          <w:color w:val="111111"/>
          <w:sz w:val="28"/>
          <w:szCs w:val="28"/>
          <w:rtl/>
        </w:rPr>
        <w:t xml:space="preserve">23 .الصلاة، ج 10، ص 588.</w:t>
      </w:r>
    </w:p>
    <w:p>
      <w:pPr>
        <w:pStyle w:val="BookText"/>
      </w:pPr>
      <w:r>
        <w:rPr>
          <w:rFonts w:ascii="IRNazanin" w:hAnsi="IRNazanin" w:eastAsia="IRNazanin" w:cs="IRNazanin"/>
          <w:lang w:bidi="fa-IR"/>
          <w:color w:val="111111"/>
          <w:sz w:val="28"/>
          <w:szCs w:val="28"/>
          <w:rtl/>
        </w:rPr>
        <w:t xml:space="preserve">24 .الصوم، ج 10، ص 665.</w:t>
      </w:r>
    </w:p>
    <w:p>
      <w:pPr>
        <w:pStyle w:val="BookText"/>
      </w:pPr>
      <w:r>
        <w:rPr>
          <w:rFonts w:ascii="Amiri" w:hAnsi="Amiri" w:eastAsia="Amiri" w:cs="Amiri"/>
          <w:lang w:bidi="ar-SA"/>
          <w:color w:val="111111"/>
          <w:sz w:val="28"/>
          <w:szCs w:val="28"/>
          <w:rtl/>
        </w:rPr>
        <w:t xml:space="preserve">25 .الطهارة، ج 10، ص 857.</w:t>
      </w:r>
    </w:p>
    <w:p>
      <w:pPr>
        <w:pStyle w:val="BookText"/>
      </w:pPr>
      <w:r>
        <w:rPr>
          <w:rFonts w:ascii="IRNazanin" w:hAnsi="IRNazanin" w:eastAsia="IRNazanin" w:cs="IRNazanin"/>
          <w:lang w:bidi="fa-IR"/>
          <w:color w:val="111111"/>
          <w:sz w:val="28"/>
          <w:szCs w:val="28"/>
          <w:rtl/>
        </w:rPr>
        <w:t xml:space="preserve">26 .الغناء و اللهو، ج11، ص 511</w:t>
      </w:r>
    </w:p>
    <w:p>
      <w:pPr>
        <w:pStyle w:val="BookText"/>
      </w:pPr>
      <w:r>
        <w:rPr>
          <w:rFonts w:ascii="IRNazanin" w:hAnsi="IRNazanin" w:eastAsia="IRNazanin" w:cs="IRNazanin"/>
          <w:lang w:bidi="fa-IR"/>
          <w:color w:val="111111"/>
          <w:sz w:val="28"/>
          <w:szCs w:val="28"/>
          <w:rtl/>
        </w:rPr>
        <w:t xml:space="preserve">27 .فتوى المجتهد ورجوعه عنها، ج 11،</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الفرق بين البيع و الصلح، ج 11،</w:t>
      </w:r>
    </w:p>
    <w:p>
      <w:pPr>
        <w:pStyle w:val="BookText"/>
      </w:pPr>
      <w:r>
        <w:rPr>
          <w:rFonts w:ascii="IRNazanin" w:hAnsi="IRNazanin" w:eastAsia="IRNazanin" w:cs="IRNazanin"/>
          <w:lang w:bidi="fa-IR"/>
          <w:color w:val="111111"/>
          <w:sz w:val="28"/>
          <w:szCs w:val="28"/>
          <w:rtl/>
        </w:rPr>
        <w:t xml:space="preserve">ص 789.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8" w:name="pg7742_70001"/>
    <w:bookmarkEnd w:id="308"/>
    <w:p>
      <w:pPr>
        <w:pStyle w:val="BookText"/>
      </w:pPr>
      <w:r>
        <w:rPr>
          <w:rFonts w:ascii="IRNazanin" w:hAnsi="IRNazanin" w:eastAsia="IRNazanin" w:cs="IRNazanin"/>
          <w:lang w:bidi="fa-IR"/>
          <w:color w:val="111111"/>
          <w:sz w:val="28"/>
          <w:szCs w:val="28"/>
          <w:rtl/>
        </w:rPr>
        <w:t xml:space="preserve">29 .کشف الاستار عن وجه الاسرار</w:t>
      </w:r>
    </w:p>
    <w:p>
      <w:pPr>
        <w:pStyle w:val="BookText"/>
      </w:pPr>
      <w:r>
        <w:rPr>
          <w:rFonts w:ascii="IRNazanin" w:hAnsi="IRNazanin" w:eastAsia="IRNazanin" w:cs="IRNazanin"/>
          <w:lang w:bidi="fa-IR"/>
          <w:color w:val="111111"/>
          <w:sz w:val="28"/>
          <w:szCs w:val="28"/>
          <w:rtl/>
        </w:rPr>
        <w:t xml:space="preserve">ج 13، ص 182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محجة العلماء، ج 14، ص 113.</w:t>
      </w:r>
    </w:p>
    <w:p>
      <w:pPr>
        <w:pStyle w:val="BookText"/>
      </w:pPr>
      <w:r>
        <w:rPr>
          <w:rFonts w:ascii="IRNazanin" w:hAnsi="IRNazanin" w:eastAsia="IRNazanin" w:cs="IRNazanin"/>
          <w:lang w:bidi="fa-IR"/>
          <w:color w:val="111111"/>
          <w:sz w:val="28"/>
          <w:szCs w:val="28"/>
          <w:rtl/>
        </w:rPr>
        <w:t xml:space="preserve">31 المشتقات، ج 14، ص 621.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المقتل، ج 15 ، ص333.</w:t>
      </w:r>
    </w:p>
    <w:p>
      <w:pPr>
        <w:pStyle w:val="BookText"/>
      </w:pPr>
      <w:r>
        <w:rPr>
          <w:rFonts w:ascii="Amiri" w:hAnsi="Amiri" w:eastAsia="Amiri" w:cs="Amiri"/>
          <w:lang w:bidi="ar-SA"/>
          <w:color w:val="111111"/>
          <w:sz w:val="28"/>
          <w:szCs w:val="28"/>
          <w:rtl/>
        </w:rPr>
        <w:t xml:space="preserve">33 .الوجود و الماهية ، ج 16، ص 733.</w:t>
      </w:r>
    </w:p>
    <w:p>
      <w:pPr>
        <w:pStyle w:val="BookText"/>
      </w:pPr>
      <w:r>
        <w:rPr>
          <w:rFonts w:ascii="Amiri" w:hAnsi="Amiri" w:eastAsia="Amiri" w:cs="Amiri"/>
          <w:lang w:bidi="ar-SA"/>
          <w:color w:val="111111"/>
          <w:sz w:val="28"/>
          <w:szCs w:val="28"/>
          <w:rtl/>
        </w:rPr>
        <w:t xml:space="preserve">34 .ودائع النبوة في احكام الشريعة</w:t>
      </w:r>
    </w:p>
    <w:p>
      <w:pPr>
        <w:pStyle w:val="BookText"/>
      </w:pPr>
      <w:r>
        <w:rPr>
          <w:rFonts w:ascii="IRNazanin" w:hAnsi="IRNazanin" w:eastAsia="IRNazanin" w:cs="IRNazanin"/>
          <w:lang w:bidi="fa-IR"/>
          <w:color w:val="111111"/>
          <w:sz w:val="28"/>
          <w:szCs w:val="28"/>
          <w:rtl/>
        </w:rPr>
        <w:t xml:space="preserve">ج 16، ص 758.</w:t>
      </w:r>
    </w:p>
    <w:p>
      <w:pPr>
        <w:pStyle w:val="BookText"/>
      </w:pPr>
      <w:r>
        <w:rPr>
          <w:rFonts w:ascii="Amiri" w:hAnsi="Amiri" w:eastAsia="Amiri" w:cs="Amiri"/>
          <w:lang w:bidi="ar-SA"/>
          <w:color w:val="111111"/>
          <w:sz w:val="28"/>
          <w:szCs w:val="28"/>
          <w:rtl/>
        </w:rPr>
        <w:t xml:space="preserve">توبة بن الحمير -عقيلي ، توبة بن الحمير</w:t>
      </w:r>
    </w:p>
    <w:p>
      <w:pPr>
        <w:pStyle w:val="Heading2"/>
      </w:pPr>
      <w:bookmarkStart w:id="3162" w:name="_Toc2264"/>
      <w:r>
        <w:t>توبلي بحراني ابراهيم بن ناصر، قرن 14ه-</w:t>
      </w:r>
      <w:bookmarkEnd w:id="3162"/>
    </w:p>
    <w:p>
      <w:pPr>
        <w:pStyle w:val="BookText"/>
      </w:pPr>
      <w:r>
        <w:rPr>
          <w:rFonts w:ascii="Amiri" w:hAnsi="Amiri" w:eastAsia="Amiri" w:cs="Amiri"/>
          <w:lang w:bidi="ar-SA"/>
          <w:color w:val="111111"/>
          <w:sz w:val="28"/>
          <w:szCs w:val="28"/>
          <w:rtl/>
        </w:rPr>
        <w:t xml:space="preserve">ديوان توبلي بحراني، ج7، ص 603.</w:t>
      </w:r>
    </w:p>
    <w:p>
      <w:pPr>
        <w:pStyle w:val="BookText"/>
      </w:pPr>
      <w:r>
        <w:rPr>
          <w:rFonts w:ascii="Amiri" w:hAnsi="Amiri" w:eastAsia="Amiri" w:cs="Amiri"/>
          <w:lang w:bidi="ar-SA"/>
          <w:color w:val="111111"/>
          <w:sz w:val="28"/>
          <w:szCs w:val="28"/>
          <w:rtl/>
        </w:rPr>
        <w:t xml:space="preserve">توبلي بحراني ، حسن بن علي- حسيني</w:t>
      </w:r>
    </w:p>
    <w:p>
      <w:pPr>
        <w:pStyle w:val="BookText"/>
      </w:pPr>
      <w:r>
        <w:rPr>
          <w:rFonts w:ascii="Amiri" w:hAnsi="Amiri" w:eastAsia="Amiri" w:cs="Amiri"/>
          <w:lang w:bidi="ar-SA"/>
          <w:color w:val="111111"/>
          <w:sz w:val="28"/>
          <w:szCs w:val="28"/>
          <w:rtl/>
        </w:rPr>
        <w:t xml:space="preserve">بحراني ، حسن بن علي</w:t>
      </w:r>
    </w:p>
    <w:p>
      <w:pPr>
        <w:pStyle w:val="BookText"/>
      </w:pPr>
      <w:r>
        <w:rPr>
          <w:rFonts w:ascii="Amiri" w:hAnsi="Amiri" w:eastAsia="Amiri" w:cs="Amiri"/>
          <w:lang w:bidi="ar-SA"/>
          <w:color w:val="111111"/>
          <w:sz w:val="28"/>
          <w:szCs w:val="28"/>
          <w:rtl/>
        </w:rPr>
        <w:t xml:space="preserve">توحيدي ، ابوحيان علي بن</w:t>
      </w:r>
    </w:p>
    <w:p>
      <w:pPr>
        <w:pStyle w:val="BookText"/>
      </w:pPr>
      <w:r>
        <w:rPr>
          <w:rFonts w:ascii="IRNazanin" w:hAnsi="IRNazanin" w:eastAsia="IRNazanin" w:cs="IRNazanin"/>
          <w:lang w:bidi="fa-IR"/>
          <w:color w:val="111111"/>
          <w:sz w:val="28"/>
          <w:szCs w:val="28"/>
          <w:rtl/>
        </w:rPr>
        <w:t xml:space="preserve">محمّد -ابوحیان توحيدي ، علي بن محمّد</w:t>
      </w:r>
    </w:p>
    <w:p>
      <w:pPr>
        <w:pStyle w:val="Heading2"/>
      </w:pPr>
      <w:bookmarkStart w:id="3163" w:name="_Toc2265"/>
      <w:r>
        <w:t>توران پشتي ، فضل بن حسن - 661 ه-</w:t>
      </w:r>
      <w:bookmarkEnd w:id="3163"/>
    </w:p>
    <w:p>
      <w:pPr>
        <w:pStyle w:val="BookText"/>
      </w:pPr>
      <w:r>
        <w:rPr>
          <w:rFonts w:ascii="Amiri" w:hAnsi="Amiri" w:eastAsia="Amiri" w:cs="Amiri"/>
          <w:lang w:bidi="ar-SA"/>
          <w:color w:val="111111"/>
          <w:sz w:val="28"/>
          <w:szCs w:val="28"/>
          <w:rtl/>
        </w:rPr>
        <w:t xml:space="preserve">شرح ديوان التوربشتي، ج9، ص 485.</w:t>
      </w:r>
    </w:p>
    <w:p>
      <w:pPr>
        <w:pStyle w:val="BookText"/>
      </w:pPr>
      <w:r>
        <w:rPr>
          <w:rFonts w:ascii="Amiri" w:hAnsi="Amiri" w:eastAsia="Amiri" w:cs="Amiri"/>
          <w:lang w:bidi="ar-SA"/>
          <w:color w:val="111111"/>
          <w:sz w:val="28"/>
          <w:szCs w:val="28"/>
          <w:rtl/>
        </w:rPr>
        <w:t xml:space="preserve">توزري ، يوسف بن محمّد- ابن نحوي ،</w:t>
      </w:r>
    </w:p>
    <w:p>
      <w:pPr>
        <w:pStyle w:val="BookText"/>
      </w:pPr>
      <w:r>
        <w:rPr>
          <w:rFonts w:ascii="Amiri" w:hAnsi="Amiri" w:eastAsia="Amiri" w:cs="Amiri"/>
          <w:lang w:bidi="ar-SA"/>
          <w:color w:val="111111"/>
          <w:sz w:val="28"/>
          <w:szCs w:val="28"/>
          <w:rtl/>
        </w:rPr>
        <w:t xml:space="preserve">يوسف بن محمّد</w:t>
      </w:r>
    </w:p>
    <w:p>
      <w:pPr>
        <w:pStyle w:val="BookText"/>
      </w:pPr>
      <w:r>
        <w:rPr>
          <w:rFonts w:ascii="Amiri" w:hAnsi="Amiri" w:eastAsia="Amiri" w:cs="Amiri"/>
          <w:lang w:bidi="ar-SA"/>
          <w:color w:val="111111"/>
          <w:sz w:val="28"/>
          <w:szCs w:val="28"/>
          <w:rtl/>
        </w:rPr>
        <w:t xml:space="preserve">تو سركاني ، محمّد صادق بن محمّد</w:t>
      </w:r>
    </w:p>
    <w:p>
      <w:pPr>
        <w:pStyle w:val="BookText"/>
      </w:pPr>
      <w:r>
        <w:rPr>
          <w:rFonts w:ascii="Amiri" w:hAnsi="Amiri" w:eastAsia="Amiri" w:cs="Amiri"/>
          <w:lang w:bidi="ar-SA"/>
          <w:color w:val="111111"/>
          <w:sz w:val="28"/>
          <w:szCs w:val="28"/>
          <w:rtl/>
        </w:rPr>
        <w:t xml:space="preserve">علي -سركاني ، محمّد صادق بن محمّد علي</w:t>
      </w:r>
    </w:p>
    <w:p>
      <w:pPr>
        <w:pStyle w:val="BookText"/>
      </w:pPr>
      <w:r>
        <w:rPr>
          <w:rFonts w:ascii="Amiri" w:hAnsi="Amiri" w:eastAsia="Amiri" w:cs="Amiri"/>
          <w:lang w:bidi="ar-SA"/>
          <w:color w:val="111111"/>
          <w:sz w:val="28"/>
          <w:szCs w:val="28"/>
          <w:rtl/>
        </w:rPr>
        <w:t xml:space="preserve">توقاتي ، اسحاق بن حسن- زنجاني</w:t>
      </w:r>
    </w:p>
    <w:p>
      <w:pPr>
        <w:pStyle w:val="BookText"/>
      </w:pPr>
      <w:r>
        <w:rPr>
          <w:rFonts w:ascii="IRNazanin" w:hAnsi="IRNazanin" w:eastAsia="IRNazanin" w:cs="IRNazanin"/>
          <w:lang w:bidi="fa-IR"/>
          <w:color w:val="111111"/>
          <w:sz w:val="28"/>
          <w:szCs w:val="28"/>
          <w:rtl/>
        </w:rPr>
        <w:t xml:space="preserve">اسحاق بن حسن</w:t>
      </w:r>
    </w:p>
    <w:p>
      <w:pPr>
        <w:pStyle w:val="Heading2"/>
      </w:pPr>
      <w:bookmarkStart w:id="3164" w:name="_Toc2266"/>
      <w:r>
        <w:t>توقاتي ، لطف الله بن حسن - 904 ه-</w:t>
      </w:r>
      <w:bookmarkEnd w:id="3164"/>
    </w:p>
    <w:p>
      <w:pPr>
        <w:pStyle w:val="BookText"/>
      </w:pPr>
      <w:r>
        <w:rPr>
          <w:rFonts w:ascii="Amiri" w:hAnsi="Amiri" w:eastAsia="Amiri" w:cs="Amiri"/>
          <w:lang w:bidi="ar-SA"/>
          <w:color w:val="111111"/>
          <w:sz w:val="28"/>
          <w:szCs w:val="28"/>
          <w:rtl/>
        </w:rPr>
        <w:t xml:space="preserve">السبع الشداد (رسالة في)، ج8،</w:t>
      </w:r>
    </w:p>
    <w:p>
      <w:pPr>
        <w:pStyle w:val="BookText"/>
      </w:pPr>
      <w:r>
        <w:rPr>
          <w:rFonts w:ascii="IRNazanin" w:hAnsi="IRNazanin" w:eastAsia="IRNazanin" w:cs="IRNazanin"/>
          <w:lang w:bidi="fa-IR"/>
          <w:color w:val="111111"/>
          <w:sz w:val="28"/>
          <w:szCs w:val="28"/>
          <w:rtl/>
        </w:rPr>
        <w:t xml:space="preserve">ص 699 .</w:t>
      </w:r>
    </w:p>
    <w:p>
      <w:pPr>
        <w:pStyle w:val="BookText"/>
      </w:pPr>
      <w:r>
        <w:rPr>
          <w:rFonts w:ascii="Amiri" w:hAnsi="Amiri" w:eastAsia="Amiri" w:cs="Amiri"/>
          <w:lang w:bidi="ar-SA"/>
          <w:color w:val="111111"/>
          <w:sz w:val="28"/>
          <w:szCs w:val="28"/>
          <w:rtl/>
        </w:rPr>
        <w:t xml:space="preserve">توقاتي ، يوسف بن جنيد- اخي جلبي</w:t>
      </w:r>
    </w:p>
    <w:p>
      <w:pPr>
        <w:pStyle w:val="BookText"/>
      </w:pPr>
      <w:r>
        <w:rPr>
          <w:rFonts w:ascii="Amiri" w:hAnsi="Amiri" w:eastAsia="Amiri" w:cs="Amiri"/>
          <w:lang w:bidi="ar-SA"/>
          <w:color w:val="111111"/>
          <w:sz w:val="28"/>
          <w:szCs w:val="28"/>
          <w:rtl/>
        </w:rPr>
        <w:t xml:space="preserve">يوسف بن جنيد</w:t>
      </w:r>
    </w:p>
    <w:p>
      <w:pPr>
        <w:pStyle w:val="Heading2"/>
      </w:pPr>
      <w:bookmarkStart w:id="3165" w:name="_Toc2267"/>
      <w:r>
        <w:t>تو قادي ، احمد بن احمد قرن 12 ه-</w:t>
      </w:r>
      <w:bookmarkEnd w:id="3165"/>
    </w:p>
    <w:p>
      <w:pPr>
        <w:pStyle w:val="BookText"/>
      </w:pPr>
      <w:r>
        <w:rPr>
          <w:rFonts w:ascii="Amiri" w:hAnsi="Amiri" w:eastAsia="Amiri" w:cs="Amiri"/>
          <w:lang w:bidi="ar-SA"/>
          <w:color w:val="111111"/>
          <w:sz w:val="28"/>
          <w:szCs w:val="28"/>
          <w:rtl/>
        </w:rPr>
        <w:t xml:space="preserve">المآرب في شرح آداب البحث، ج 13،</w:t>
      </w:r>
    </w:p>
    <w:p>
      <w:pPr>
        <w:pStyle w:val="BookText"/>
      </w:pPr>
      <w:r>
        <w:rPr>
          <w:rFonts w:ascii="IRNazanin" w:hAnsi="IRNazanin" w:eastAsia="IRNazanin" w:cs="IRNazanin"/>
          <w:lang w:bidi="fa-IR"/>
          <w:color w:val="111111"/>
          <w:sz w:val="28"/>
          <w:szCs w:val="28"/>
          <w:rtl/>
        </w:rPr>
        <w:t xml:space="preserve">ص 672 .</w:t>
      </w:r>
    </w:p>
    <w:p>
      <w:pPr>
        <w:pStyle w:val="Heading2"/>
      </w:pPr>
      <w:bookmarkStart w:id="3166" w:name="_Toc2268"/>
      <w:r>
        <w:t>تو قادي ، لطفي چلبي</w:t>
      </w:r>
      <w:bookmarkEnd w:id="3166"/>
    </w:p>
    <w:p>
      <w:pPr>
        <w:pStyle w:val="BookText"/>
      </w:pPr>
      <w:r>
        <w:rPr>
          <w:rFonts w:ascii="Amiri" w:hAnsi="Amiri" w:eastAsia="Amiri" w:cs="Amiri"/>
          <w:lang w:bidi="ar-SA"/>
          <w:color w:val="111111"/>
          <w:sz w:val="28"/>
          <w:szCs w:val="28"/>
          <w:rtl/>
        </w:rPr>
        <w:t xml:space="preserve">حاشية شرح المواقف، ج 6، ص 202.</w:t>
      </w:r>
    </w:p>
    <w:p>
      <w:pPr>
        <w:pStyle w:val="Heading2"/>
      </w:pPr>
      <w:bookmarkStart w:id="3167" w:name="_Toc2269"/>
      <w:r>
        <w:t>توقاني ، بهاء الدين</w:t>
      </w:r>
      <w:bookmarkEnd w:id="3167"/>
    </w:p>
    <w:p>
      <w:pPr>
        <w:pStyle w:val="BookText"/>
      </w:pPr>
      <w:r>
        <w:rPr>
          <w:rFonts w:ascii="Amiri" w:hAnsi="Amiri" w:eastAsia="Amiri" w:cs="Amiri"/>
          <w:lang w:bidi="ar-SA"/>
          <w:color w:val="111111"/>
          <w:sz w:val="28"/>
          <w:szCs w:val="28"/>
          <w:rtl/>
        </w:rPr>
        <w:t xml:space="preserve">شرح القصيدة التائية، ج 9، ص 858.</w:t>
      </w:r>
    </w:p>
    <w:p>
      <w:pPr>
        <w:pStyle w:val="BookText"/>
      </w:pPr>
      <w:r>
        <w:rPr>
          <w:rFonts w:ascii="Amiri" w:hAnsi="Amiri" w:eastAsia="Amiri" w:cs="Amiri"/>
          <w:lang w:bidi="ar-SA"/>
          <w:color w:val="111111"/>
          <w:sz w:val="28"/>
          <w:szCs w:val="28"/>
          <w:rtl/>
        </w:rPr>
        <w:t xml:space="preserve">توكل بيك بن تولك بيك حسيني- حسيني</w:t>
      </w:r>
    </w:p>
    <w:p>
      <w:pPr>
        <w:pStyle w:val="BookText"/>
      </w:pPr>
      <w:r>
        <w:rPr>
          <w:rFonts w:ascii="Amiri" w:hAnsi="Amiri" w:eastAsia="Amiri" w:cs="Amiri"/>
          <w:lang w:bidi="ar-SA"/>
          <w:color w:val="111111"/>
          <w:sz w:val="28"/>
          <w:szCs w:val="28"/>
          <w:rtl/>
        </w:rPr>
        <w:t xml:space="preserve">توكل بيك بن تولك بيك</w:t>
      </w:r>
    </w:p>
    <w:p>
      <w:pPr>
        <w:pStyle w:val="Heading2"/>
      </w:pPr>
      <w:bookmarkStart w:id="3168" w:name="_Toc2270"/>
      <w:r>
        <w:t>توكلي ، ملا محمّد</w:t>
      </w:r>
      <w:bookmarkEnd w:id="3168"/>
    </w:p>
    <w:p>
      <w:pPr>
        <w:pStyle w:val="BookText"/>
      </w:pPr>
      <w:r>
        <w:rPr>
          <w:rFonts w:ascii="Amiri" w:hAnsi="Amiri" w:eastAsia="Amiri" w:cs="Amiri"/>
          <w:lang w:bidi="ar-SA"/>
          <w:color w:val="111111"/>
          <w:sz w:val="28"/>
          <w:szCs w:val="28"/>
          <w:rtl/>
        </w:rPr>
        <w:t xml:space="preserve">اجزاء القضية، ج 1، ص 311.</w:t>
      </w:r>
    </w:p>
    <w:p>
      <w:pPr>
        <w:pStyle w:val="Heading2"/>
      </w:pPr>
      <w:bookmarkStart w:id="3169" w:name="_Toc2271"/>
      <w:r>
        <w:t>توليني، علي بن محمّد قرن 9 ه-</w:t>
      </w:r>
      <w:bookmarkEnd w:id="3169"/>
    </w:p>
    <w:p>
      <w:pPr>
        <w:pStyle w:val="BookText"/>
      </w:pPr>
      <w:r>
        <w:rPr>
          <w:rFonts w:ascii="Amiri" w:hAnsi="Amiri" w:eastAsia="Amiri" w:cs="Amiri"/>
          <w:lang w:bidi="ar-SA"/>
          <w:color w:val="111111"/>
          <w:sz w:val="28"/>
          <w:szCs w:val="28"/>
          <w:rtl/>
        </w:rPr>
        <w:t xml:space="preserve">التولانية - كفاية المهتدي و بلغة</w:t>
      </w:r>
    </w:p>
    <w:p>
      <w:pPr>
        <w:pStyle w:val="BookText"/>
      </w:pPr>
      <w:r>
        <w:rPr>
          <w:rFonts w:ascii="Amiri" w:hAnsi="Amiri" w:eastAsia="Amiri" w:cs="Amiri"/>
          <w:lang w:bidi="ar-SA"/>
          <w:color w:val="111111"/>
          <w:sz w:val="28"/>
          <w:szCs w:val="28"/>
          <w:rtl/>
        </w:rPr>
        <w:t xml:space="preserve">المبتدي، ج 5، ص188.</w:t>
      </w:r>
    </w:p>
    <w:p>
      <w:pPr>
        <w:pStyle w:val="Heading2"/>
      </w:pPr>
      <w:bookmarkStart w:id="3170" w:name="_Toc2272"/>
      <w:r>
        <w:t>تونسي ، ابواسحاق</w:t>
      </w:r>
      <w:bookmarkEnd w:id="3170"/>
    </w:p>
    <w:p>
      <w:pPr>
        <w:pStyle w:val="BookText"/>
      </w:pPr>
      <w:r>
        <w:rPr>
          <w:rFonts w:ascii="Amiri" w:hAnsi="Amiri" w:eastAsia="Amiri" w:cs="Amiri"/>
          <w:lang w:bidi="ar-SA"/>
          <w:color w:val="111111"/>
          <w:sz w:val="28"/>
          <w:szCs w:val="28"/>
          <w:rtl/>
        </w:rPr>
        <w:t xml:space="preserve">العقائد التونسية، ج 11، ص 147.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9" w:name="pg7742_70003"/>
    <w:bookmarkEnd w:id="309"/>
    <w:p>
      <w:pPr>
        <w:pStyle w:val="Heading2"/>
      </w:pPr>
      <w:bookmarkStart w:id="3171" w:name="_Toc2273"/>
      <w:r>
        <w:t>تونسي ، ابوالفتح</w:t>
      </w:r>
      <w:bookmarkEnd w:id="3171"/>
    </w:p>
    <w:p>
      <w:pPr>
        <w:pStyle w:val="BookText"/>
      </w:pPr>
      <w:r>
        <w:rPr>
          <w:rFonts w:ascii="Amiri" w:hAnsi="Amiri" w:eastAsia="Amiri" w:cs="Amiri"/>
          <w:lang w:bidi="ar-SA"/>
          <w:color w:val="111111"/>
          <w:sz w:val="28"/>
          <w:szCs w:val="28"/>
          <w:rtl/>
        </w:rPr>
        <w:t xml:space="preserve">مجموعة أبي الفتح التونسي، ج 14،</w:t>
      </w:r>
    </w:p>
    <w:p>
      <w:pPr>
        <w:pStyle w:val="BookText"/>
      </w:pPr>
      <w:r>
        <w:rPr>
          <w:rFonts w:ascii="IRNazanin" w:hAnsi="IRNazanin" w:eastAsia="IRNazanin" w:cs="IRNazanin"/>
          <w:lang w:bidi="fa-IR"/>
          <w:color w:val="111111"/>
          <w:sz w:val="28"/>
          <w:szCs w:val="28"/>
          <w:rtl/>
        </w:rPr>
        <w:t xml:space="preserve">ص 16.</w:t>
      </w:r>
    </w:p>
    <w:p>
      <w:pPr>
        <w:pStyle w:val="BookText"/>
      </w:pPr>
      <w:r>
        <w:rPr>
          <w:rFonts w:ascii="Amiri" w:hAnsi="Amiri" w:eastAsia="Amiri" w:cs="Amiri"/>
          <w:lang w:bidi="ar-SA"/>
          <w:color w:val="111111"/>
          <w:sz w:val="28"/>
          <w:szCs w:val="28"/>
          <w:rtl/>
        </w:rPr>
        <w:t xml:space="preserve">تونسي ، احمد بن محمّد- جمالي تونسي ،</w:t>
      </w:r>
    </w:p>
    <w:p>
      <w:pPr>
        <w:pStyle w:val="BookText"/>
      </w:pPr>
      <w:r>
        <w:rPr>
          <w:rFonts w:ascii="IRNazanin" w:hAnsi="IRNazanin" w:eastAsia="IRNazanin" w:cs="IRNazanin"/>
          <w:lang w:bidi="fa-IR"/>
          <w:color w:val="111111"/>
          <w:sz w:val="28"/>
          <w:szCs w:val="28"/>
          <w:rtl/>
        </w:rPr>
        <w:t xml:space="preserve">احمد بن محمّد ت</w:t>
      </w:r>
    </w:p>
    <w:p>
      <w:pPr>
        <w:pStyle w:val="BookText"/>
      </w:pPr>
      <w:r>
        <w:rPr>
          <w:rFonts w:ascii="Amiri" w:hAnsi="Amiri" w:eastAsia="Amiri" w:cs="Amiri"/>
          <w:lang w:bidi="ar-SA"/>
          <w:color w:val="111111"/>
          <w:sz w:val="28"/>
          <w:szCs w:val="28"/>
          <w:rtl/>
        </w:rPr>
        <w:t xml:space="preserve">ونسي ، عبد الرحمن بن محمّد -ابن</w:t>
      </w:r>
    </w:p>
    <w:p>
      <w:pPr>
        <w:pStyle w:val="BookText"/>
      </w:pPr>
      <w:r>
        <w:rPr>
          <w:rFonts w:ascii="IRNazanin" w:hAnsi="IRNazanin" w:eastAsia="IRNazanin" w:cs="IRNazanin"/>
          <w:lang w:bidi="fa-IR"/>
          <w:color w:val="111111"/>
          <w:sz w:val="28"/>
          <w:szCs w:val="28"/>
          <w:rtl/>
        </w:rPr>
        <w:t xml:space="preserve">خلدون ، عبد الرحمن بن محمّد</w:t>
      </w:r>
    </w:p>
    <w:p>
      <w:pPr>
        <w:pStyle w:val="BookText"/>
      </w:pPr>
      <w:r>
        <w:rPr>
          <w:rFonts w:ascii="Amiri" w:hAnsi="Amiri" w:eastAsia="Amiri" w:cs="Amiri"/>
          <w:lang w:bidi="ar-SA"/>
          <w:color w:val="111111"/>
          <w:sz w:val="28"/>
          <w:szCs w:val="28"/>
          <w:rtl/>
        </w:rPr>
        <w:t xml:space="preserve">تونسي ، عمر بن محمّد -وكيل ، عمر بن</w:t>
      </w:r>
    </w:p>
    <w:p>
      <w:pPr>
        <w:pStyle w:val="BookText"/>
      </w:pPr>
      <w:r>
        <w:rPr>
          <w:rFonts w:ascii="Amiri" w:hAnsi="Amiri" w:eastAsia="Amiri" w:cs="Amiri"/>
          <w:lang w:bidi="ar-SA"/>
          <w:color w:val="111111"/>
          <w:sz w:val="28"/>
          <w:szCs w:val="28"/>
          <w:rtl/>
        </w:rPr>
        <w:t xml:space="preserve">محمّد</w:t>
      </w:r>
    </w:p>
    <w:p>
      <w:pPr>
        <w:pStyle w:val="Heading2"/>
      </w:pPr>
      <w:bookmarkStart w:id="3172" w:name="_Toc2274"/>
      <w:r>
        <w:t>تونسي ، محمّد</w:t>
      </w:r>
      <w:bookmarkEnd w:id="3172"/>
    </w:p>
    <w:p>
      <w:pPr>
        <w:pStyle w:val="BookText"/>
      </w:pPr>
      <w:r>
        <w:rPr>
          <w:rFonts w:ascii="IRNazanin" w:hAnsi="IRNazanin" w:eastAsia="IRNazanin" w:cs="IRNazanin"/>
          <w:lang w:bidi="fa-IR"/>
          <w:color w:val="111111"/>
          <w:sz w:val="28"/>
          <w:szCs w:val="28"/>
          <w:rtl/>
        </w:rPr>
        <w:t xml:space="preserve">استحضار الجن و صرف العمار، ج2،</w:t>
      </w:r>
    </w:p>
    <w:p>
      <w:pPr>
        <w:pStyle w:val="BookText"/>
      </w:pPr>
      <w:r>
        <w:rPr>
          <w:rFonts w:ascii="IRNazanin" w:hAnsi="IRNazanin" w:eastAsia="IRNazanin" w:cs="IRNazanin"/>
          <w:lang w:bidi="fa-IR"/>
          <w:color w:val="111111"/>
          <w:sz w:val="28"/>
          <w:szCs w:val="28"/>
          <w:rtl/>
        </w:rPr>
        <w:t xml:space="preserve">ص 119 .</w:t>
      </w:r>
    </w:p>
    <w:p>
      <w:pPr>
        <w:pStyle w:val="BookText"/>
      </w:pPr>
      <w:r>
        <w:rPr>
          <w:rFonts w:ascii="Amiri" w:hAnsi="Amiri" w:eastAsia="Amiri" w:cs="Amiri"/>
          <w:lang w:bidi="ar-SA"/>
          <w:color w:val="111111"/>
          <w:sz w:val="28"/>
          <w:szCs w:val="28"/>
          <w:rtl/>
        </w:rPr>
        <w:t xml:space="preserve">تونسي ، محمّد بن احمد- ابن زغدان</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3173" w:name="_Toc2275"/>
      <w:r>
        <w:t>توني ، ، احمد بن محمّد قرن 11 ه-</w:t>
      </w:r>
      <w:bookmarkEnd w:id="3173"/>
    </w:p>
    <w:p>
      <w:pPr>
        <w:pStyle w:val="BookText"/>
      </w:pPr>
      <w:r>
        <w:rPr>
          <w:rFonts w:ascii="Amiri" w:hAnsi="Amiri" w:eastAsia="Amiri" w:cs="Amiri"/>
          <w:lang w:bidi="ar-SA"/>
          <w:color w:val="111111"/>
          <w:sz w:val="28"/>
          <w:szCs w:val="28"/>
          <w:rtl/>
        </w:rPr>
        <w:t xml:space="preserve">حاشية الروضة البهية في شرح اللمعة 1286ه-</w:t>
      </w:r>
    </w:p>
    <w:p>
      <w:pPr>
        <w:pStyle w:val="BookText"/>
      </w:pPr>
      <w:r>
        <w:rPr>
          <w:rFonts w:ascii="Amiri" w:hAnsi="Amiri" w:eastAsia="Amiri" w:cs="Amiri"/>
          <w:lang w:bidi="ar-SA"/>
          <w:color w:val="111111"/>
          <w:sz w:val="28"/>
          <w:szCs w:val="28"/>
          <w:rtl/>
        </w:rPr>
        <w:t xml:space="preserve">الدمشقية، ج 5، ص878</w:t>
      </w:r>
    </w:p>
    <w:p>
      <w:pPr>
        <w:pStyle w:val="BookText"/>
      </w:pPr>
      <w:r>
        <w:rPr>
          <w:rFonts w:ascii="Amiri" w:hAnsi="Amiri" w:eastAsia="Amiri" w:cs="Amiri"/>
          <w:lang w:bidi="ar-SA"/>
          <w:color w:val="111111"/>
          <w:sz w:val="28"/>
          <w:szCs w:val="28"/>
          <w:rtl/>
        </w:rPr>
        <w:t xml:space="preserve">توني ، حبيب الله بن نور الدين</w:t>
      </w:r>
    </w:p>
    <w:p>
      <w:pPr>
        <w:pStyle w:val="BookText"/>
      </w:pPr>
      <w:r>
        <w:rPr>
          <w:rFonts w:ascii="Amiri" w:hAnsi="Amiri" w:eastAsia="Amiri" w:cs="Amiri"/>
          <w:lang w:bidi="ar-SA"/>
          <w:color w:val="111111"/>
          <w:sz w:val="28"/>
          <w:szCs w:val="28"/>
          <w:rtl/>
        </w:rPr>
        <w:t xml:space="preserve">محمّد -طبسي توني، حبيب الله بن نور الدين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توني، حسن بن شجاع -حافظ توني ،</w:t>
      </w:r>
    </w:p>
    <w:p>
      <w:pPr>
        <w:pStyle w:val="BookText"/>
      </w:pPr>
      <w:r>
        <w:rPr>
          <w:rFonts w:ascii="Amiri" w:hAnsi="Amiri" w:eastAsia="Amiri" w:cs="Amiri"/>
          <w:lang w:bidi="ar-SA"/>
          <w:color w:val="111111"/>
          <w:sz w:val="28"/>
          <w:szCs w:val="28"/>
          <w:rtl/>
        </w:rPr>
        <w:t xml:space="preserve">حسين بن شجاع</w:t>
      </w:r>
    </w:p>
    <w:p>
      <w:pPr>
        <w:pStyle w:val="Heading2"/>
      </w:pPr>
      <w:bookmarkStart w:id="3174" w:name="_Toc2276"/>
      <w:r>
        <w:t>توني خراساني ، محمّد علي بن محمّد رضا</w:t>
      </w:r>
      <w:bookmarkEnd w:id="3174"/>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علاج الاسقام و دفاع الآلام بعون الملك</w:t>
      </w:r>
    </w:p>
    <w:p>
      <w:pPr>
        <w:pStyle w:val="BookText"/>
      </w:pPr>
      <w:r>
        <w:rPr>
          <w:rFonts w:ascii="IRNazanin" w:hAnsi="IRNazanin" w:eastAsia="IRNazanin" w:cs="IRNazanin"/>
          <w:lang w:bidi="fa-IR"/>
          <w:color w:val="111111"/>
          <w:sz w:val="28"/>
          <w:szCs w:val="28"/>
          <w:rtl/>
        </w:rPr>
        <w:t xml:space="preserve">العلام، ج 11، ص 215 .</w:t>
      </w:r>
    </w:p>
    <w:p>
      <w:pPr>
        <w:pStyle w:val="Heading2"/>
      </w:pPr>
      <w:bookmarkStart w:id="3175" w:name="_Toc2277"/>
      <w:r>
        <w:t>توني، عبدالله بن محمّد - 1071 ه-</w:t>
      </w:r>
      <w:bookmarkEnd w:id="3175"/>
    </w:p>
    <w:p>
      <w:pPr>
        <w:pStyle w:val="BookText"/>
      </w:pPr>
      <w:r>
        <w:rPr>
          <w:rFonts w:ascii="Amiri" w:hAnsi="Amiri" w:eastAsia="Amiri" w:cs="Amiri"/>
          <w:lang w:bidi="ar-SA"/>
          <w:color w:val="111111"/>
          <w:sz w:val="28"/>
          <w:szCs w:val="28"/>
          <w:rtl/>
        </w:rPr>
        <w:t xml:space="preserve">1 .اصول الفقه (رسالة في)، ج2،</w:t>
      </w:r>
    </w:p>
    <w:p>
      <w:pPr>
        <w:pStyle w:val="BookText"/>
      </w:pPr>
      <w:r>
        <w:rPr>
          <w:rFonts w:ascii="IRNazanin" w:hAnsi="IRNazanin" w:eastAsia="IRNazanin" w:cs="IRNazanin"/>
          <w:lang w:bidi="fa-IR"/>
          <w:color w:val="111111"/>
          <w:sz w:val="28"/>
          <w:szCs w:val="28"/>
          <w:rtl/>
        </w:rPr>
        <w:t xml:space="preserve">ص 432 .</w:t>
      </w:r>
    </w:p>
    <w:p>
      <w:pPr>
        <w:pStyle w:val="BookText"/>
      </w:pPr>
      <w:r>
        <w:rPr>
          <w:rFonts w:ascii="IRNazanin" w:hAnsi="IRNazanin" w:eastAsia="IRNazanin" w:cs="IRNazanin"/>
          <w:lang w:bidi="fa-IR"/>
          <w:color w:val="111111"/>
          <w:sz w:val="28"/>
          <w:szCs w:val="28"/>
          <w:rtl/>
        </w:rPr>
        <w:t xml:space="preserve">2 .شرح ارشاد الاذهان، ج 9، ص 185.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صلاة الجمعة، ج 10، ص 600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وافية الاصول، ج 16، ص 702.</w:t>
      </w:r>
    </w:p>
    <w:p>
      <w:pPr>
        <w:pStyle w:val="BookText"/>
      </w:pPr>
      <w:r>
        <w:rPr>
          <w:rFonts w:ascii="Amiri" w:hAnsi="Amiri" w:eastAsia="Amiri" w:cs="Amiri"/>
          <w:lang w:bidi="ar-SA"/>
          <w:color w:val="111111"/>
          <w:sz w:val="28"/>
          <w:szCs w:val="28"/>
          <w:rtl/>
        </w:rPr>
        <w:t xml:space="preserve">توني ، علاء الملك- فاضل خان ، علاء الملك</w:t>
      </w:r>
    </w:p>
    <w:p>
      <w:pPr>
        <w:pStyle w:val="BookText"/>
      </w:pPr>
      <w:r>
        <w:rPr>
          <w:rFonts w:ascii="Amiri" w:hAnsi="Amiri" w:eastAsia="Amiri" w:cs="Amiri"/>
          <w:lang w:bidi="ar-SA"/>
          <w:color w:val="111111"/>
          <w:sz w:val="28"/>
          <w:szCs w:val="28"/>
          <w:rtl/>
        </w:rPr>
        <w:t xml:space="preserve">توني ، محمّد علي بن فيض علي</w:t>
      </w:r>
    </w:p>
    <w:p>
      <w:pPr>
        <w:pStyle w:val="BookText"/>
      </w:pPr>
      <w:r>
        <w:rPr>
          <w:rFonts w:ascii="IRNazanin" w:hAnsi="IRNazanin" w:eastAsia="IRNazanin" w:cs="IRNazanin"/>
          <w:lang w:bidi="fa-IR"/>
          <w:color w:val="111111"/>
          <w:sz w:val="28"/>
          <w:szCs w:val="28"/>
          <w:rtl/>
        </w:rPr>
        <w:t xml:space="preserve">شاه -نور علیشاه ، محمّد علي بن عبد الحسين</w:t>
      </w:r>
    </w:p>
    <w:p>
      <w:pPr>
        <w:pStyle w:val="Heading2"/>
      </w:pPr>
      <w:bookmarkStart w:id="3176" w:name="_Toc2278"/>
      <w:r>
        <w:t>تويجري عبادي ، قاسم</w:t>
      </w:r>
      <w:bookmarkEnd w:id="3176"/>
    </w:p>
    <w:p>
      <w:pPr>
        <w:pStyle w:val="BookText"/>
      </w:pPr>
      <w:r>
        <w:rPr>
          <w:rFonts w:ascii="Amiri" w:hAnsi="Amiri" w:eastAsia="Amiri" w:cs="Amiri"/>
          <w:lang w:bidi="ar-SA"/>
          <w:color w:val="111111"/>
          <w:sz w:val="28"/>
          <w:szCs w:val="28"/>
          <w:rtl/>
        </w:rPr>
        <w:t xml:space="preserve">روضة الطالبين، ج8، ص 440.</w:t>
      </w:r>
    </w:p>
    <w:p>
      <w:pPr>
        <w:pStyle w:val="BookText"/>
      </w:pPr>
      <w:r>
        <w:rPr>
          <w:rFonts w:ascii="Amiri" w:hAnsi="Amiri" w:eastAsia="Amiri" w:cs="Amiri"/>
          <w:lang w:bidi="ar-SA"/>
          <w:color w:val="111111"/>
          <w:sz w:val="28"/>
          <w:szCs w:val="28"/>
          <w:rtl/>
        </w:rPr>
        <w:t xml:space="preserve">تويسركاني ، توران- مسعودي ، توران</w:t>
      </w:r>
    </w:p>
    <w:p>
      <w:pPr>
        <w:pStyle w:val="Heading2"/>
      </w:pPr>
      <w:bookmarkStart w:id="3177" w:name="_Toc2279"/>
      <w:r>
        <w:t>تويسركاني ، حسينعلي بن نوروز علي</w:t>
      </w:r>
      <w:bookmarkEnd w:id="3177"/>
    </w:p>
    <w:p>
      <w:pPr>
        <w:pStyle w:val="BookText"/>
      </w:pPr>
      <w:r>
        <w:rPr>
          <w:rFonts w:ascii="IRNazanin" w:hAnsi="IRNazanin" w:eastAsia="IRNazanin" w:cs="IRNazanin"/>
          <w:lang w:bidi="fa-IR"/>
          <w:color w:val="111111"/>
          <w:sz w:val="28"/>
          <w:szCs w:val="28"/>
          <w:rtl/>
        </w:rPr>
        <w:t xml:space="preserve">1 .فصل الخطاب، ج11، ص831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الاسرار في احكام الائمة الاطهار، ج 13، ص189.</w:t>
      </w:r>
    </w:p>
    <w:p>
      <w:pPr>
        <w:pStyle w:val="Heading2"/>
      </w:pPr>
      <w:bookmarkStart w:id="3178" w:name="_Toc2280"/>
      <w:r>
        <w:t>تويسركاني ، عبد الباقي انيس العاشقين، ج3، ص38.</w:t>
      </w:r>
      <w:bookmarkEnd w:id="3178"/>
    </w:p>
    <w:p>
      <w:pPr>
        <w:pStyle w:val="Heading2"/>
      </w:pPr>
      <w:bookmarkStart w:id="3179" w:name="_Toc2281"/>
      <w:r>
        <w:t>تويسركاني ، عبدالغفار بن محمّد حسن - 1319 ش</w:t>
      </w:r>
      <w:bookmarkEnd w:id="31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احياء القلوب، ج 1، ص 517.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جواهر المعارف، ج 5، ص 600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حقیقت ایمان، ج6 ، ص 707.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0" w:name="pg7742_70005"/>
    <w:bookmarkEnd w:id="310"/>
    <w:p>
      <w:pPr>
        <w:pStyle w:val="BookText"/>
      </w:pPr>
      <w:r>
        <w:rPr>
          <w:rFonts w:ascii="IRNazanin" w:hAnsi="IRNazanin" w:eastAsia="IRNazanin" w:cs="IRNazanin"/>
          <w:lang w:bidi="fa-IR"/>
          <w:color w:val="111111"/>
          <w:sz w:val="28"/>
          <w:szCs w:val="28"/>
          <w:rtl/>
        </w:rPr>
        <w:t xml:space="preserve">تويسركاني ، محمّد شریف بن محمّد طاهر -حسيني تويسركاني ، محمّد شريف بن</w:t>
      </w:r>
    </w:p>
    <w:p>
      <w:pPr>
        <w:pStyle w:val="BookText"/>
      </w:pPr>
      <w:r>
        <w:rPr>
          <w:rFonts w:ascii="Amiri" w:hAnsi="Amiri" w:eastAsia="Amiri" w:cs="Amiri"/>
          <w:lang w:bidi="ar-SA"/>
          <w:color w:val="111111"/>
          <w:sz w:val="28"/>
          <w:szCs w:val="28"/>
          <w:rtl/>
        </w:rPr>
        <w:t xml:space="preserve">محمّد طاهر</w:t>
      </w:r>
    </w:p>
    <w:p>
      <w:pPr>
        <w:pStyle w:val="Heading2"/>
      </w:pPr>
      <w:bookmarkStart w:id="3180" w:name="_Toc2282"/>
      <w:r>
        <w:t>تويسركاني محمّدنبي بن احمد -1320ه-</w:t>
      </w:r>
      <w:bookmarkEnd w:id="3180"/>
    </w:p>
    <w:p>
      <w:pPr>
        <w:pStyle w:val="BookText"/>
      </w:pPr>
      <w:r>
        <w:rPr>
          <w:rFonts w:ascii="Amiri" w:hAnsi="Amiri" w:eastAsia="Amiri" w:cs="Amiri"/>
          <w:lang w:bidi="ar-SA"/>
          <w:color w:val="111111"/>
          <w:sz w:val="28"/>
          <w:szCs w:val="28"/>
          <w:rtl/>
        </w:rPr>
        <w:t xml:space="preserve">دقائق الاصول في شرح الفصول، ج 7،</w:t>
      </w:r>
    </w:p>
    <w:p>
      <w:pPr>
        <w:pStyle w:val="BookText"/>
      </w:pPr>
      <w:r>
        <w:rPr>
          <w:rFonts w:ascii="IRNazanin" w:hAnsi="IRNazanin" w:eastAsia="IRNazanin" w:cs="IRNazanin"/>
          <w:lang w:bidi="fa-IR"/>
          <w:color w:val="111111"/>
          <w:sz w:val="28"/>
          <w:szCs w:val="28"/>
          <w:rtl/>
        </w:rPr>
        <w:t xml:space="preserve">ص 429 .</w:t>
      </w:r>
    </w:p>
    <w:p>
      <w:pPr>
        <w:pStyle w:val="BookText"/>
      </w:pPr>
      <w:r>
        <w:rPr>
          <w:rFonts w:ascii="Amiri" w:hAnsi="Amiri" w:eastAsia="Amiri" w:cs="Amiri"/>
          <w:lang w:bidi="ar-SA"/>
          <w:color w:val="111111"/>
          <w:sz w:val="28"/>
          <w:szCs w:val="28"/>
          <w:rtl/>
        </w:rPr>
        <w:t xml:space="preserve">تويسركاني ، محمّد صادق بن محمّد علي- سركاني ، محمّد صادق بن محمّد علي</w:t>
      </w:r>
    </w:p>
    <w:p>
      <w:pPr>
        <w:pStyle w:val="Heading2"/>
      </w:pPr>
      <w:bookmarkStart w:id="3181" w:name="_Toc2283"/>
      <w:r>
        <w:t>تويلي ، ضياء الدين</w:t>
      </w:r>
      <w:bookmarkEnd w:id="3181"/>
    </w:p>
    <w:p>
      <w:pPr>
        <w:pStyle w:val="BookText"/>
      </w:pPr>
      <w:r>
        <w:rPr>
          <w:rFonts w:ascii="Amiri" w:hAnsi="Amiri" w:eastAsia="Amiri" w:cs="Amiri"/>
          <w:lang w:bidi="ar-SA"/>
          <w:color w:val="111111"/>
          <w:sz w:val="28"/>
          <w:szCs w:val="28"/>
          <w:rtl/>
        </w:rPr>
        <w:t xml:space="preserve">ديوان التويلي، ج 7، ص 604.</w:t>
      </w:r>
    </w:p>
    <w:p>
      <w:pPr>
        <w:pStyle w:val="BookText"/>
      </w:pPr>
      <w:r>
        <w:rPr>
          <w:rFonts w:ascii="Amiri" w:hAnsi="Amiri" w:eastAsia="Amiri" w:cs="Amiri"/>
          <w:lang w:bidi="ar-SA"/>
          <w:color w:val="111111"/>
          <w:sz w:val="28"/>
          <w:szCs w:val="28"/>
          <w:rtl/>
        </w:rPr>
        <w:t xml:space="preserve">تيراوي خليل بن حسن- قره خليل بن حسن</w:t>
      </w:r>
    </w:p>
    <w:p>
      <w:pPr>
        <w:pStyle w:val="Heading2"/>
      </w:pPr>
      <w:bookmarkStart w:id="3182" w:name="_Toc2284"/>
      <w:r>
        <w:t>تیره وي ، محمّد بن خضر قرن 9</w:t>
      </w:r>
      <w:bookmarkEnd w:id="3182"/>
    </w:p>
    <w:p>
      <w:pPr>
        <w:pStyle w:val="BookText"/>
      </w:pPr>
      <w:r>
        <w:rPr>
          <w:rFonts w:ascii="Amiri" w:hAnsi="Amiri" w:eastAsia="Amiri" w:cs="Amiri"/>
          <w:lang w:bidi="ar-SA"/>
          <w:color w:val="111111"/>
          <w:sz w:val="28"/>
          <w:szCs w:val="28"/>
          <w:rtl/>
        </w:rPr>
        <w:t xml:space="preserve">السلطان العلي و البرهان السني، ج8، ص 807</w:t>
      </w:r>
    </w:p>
    <w:p>
      <w:pPr>
        <w:pStyle w:val="BookText"/>
      </w:pPr>
      <w:r>
        <w:rPr>
          <w:rFonts w:ascii="IRNazanin" w:hAnsi="IRNazanin" w:eastAsia="IRNazanin" w:cs="IRNazanin"/>
          <w:lang w:bidi="fa-IR"/>
          <w:color w:val="111111"/>
          <w:sz w:val="28"/>
          <w:szCs w:val="28"/>
          <w:rtl/>
        </w:rPr>
        <w:t xml:space="preserve">تیره وي ، محمّد بن مصطفی- بستان زاده</w:t>
      </w:r>
    </w:p>
    <w:p>
      <w:pPr>
        <w:pStyle w:val="BookText"/>
      </w:pPr>
      <w:r>
        <w:rPr>
          <w:rFonts w:ascii="IRNazanin" w:hAnsi="IRNazanin" w:eastAsia="IRNazanin" w:cs="IRNazanin"/>
          <w:lang w:bidi="fa-IR"/>
          <w:color w:val="111111"/>
          <w:sz w:val="28"/>
          <w:szCs w:val="28"/>
          <w:rtl/>
        </w:rPr>
        <w:t xml:space="preserve">، محمّد بن مصطفى</w:t>
      </w:r>
    </w:p>
    <w:p>
      <w:pPr>
        <w:pStyle w:val="Heading2"/>
      </w:pPr>
      <w:bookmarkStart w:id="3183" w:name="_Toc2285"/>
      <w:r>
        <w:t>تيروي، ابراهيم بن حمزه - 970 ه-</w:t>
      </w:r>
      <w:bookmarkEnd w:id="3183"/>
    </w:p>
    <w:p>
      <w:pPr>
        <w:pStyle w:val="BookText"/>
      </w:pPr>
      <w:r>
        <w:rPr>
          <w:rFonts w:ascii="Amiri" w:hAnsi="Amiri" w:eastAsia="Amiri" w:cs="Amiri"/>
          <w:lang w:bidi="ar-SA"/>
          <w:color w:val="111111"/>
          <w:sz w:val="28"/>
          <w:szCs w:val="28"/>
          <w:rtl/>
        </w:rPr>
        <w:t xml:space="preserve">جامع الانوار و نزهة الابصار، ج 5، ص 254.</w:t>
      </w:r>
    </w:p>
    <w:p>
      <w:pPr>
        <w:pStyle w:val="Heading2"/>
      </w:pPr>
      <w:bookmarkStart w:id="3184" w:name="_Toc2286"/>
      <w:r>
        <w:t>تيزيني ، محمّد بن محمّد، 828 - 911 ه-</w:t>
      </w:r>
      <w:bookmarkEnd w:id="3184"/>
    </w:p>
    <w:p>
      <w:pPr>
        <w:pStyle w:val="BookText"/>
      </w:pPr>
      <w:r>
        <w:rPr>
          <w:rFonts w:ascii="Amiri" w:hAnsi="Amiri" w:eastAsia="Amiri" w:cs="Amiri"/>
          <w:lang w:bidi="ar-SA"/>
          <w:color w:val="111111"/>
          <w:sz w:val="28"/>
          <w:szCs w:val="28"/>
          <w:rtl/>
        </w:rPr>
        <w:t xml:space="preserve">1 .ربع الدائرة الموضوعة عليه المقنطرات (رسالة في)، ج8، ص21.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العمل بربع الدائرة فيه (في العمل</w:t>
      </w:r>
    </w:p>
    <w:p>
      <w:pPr>
        <w:pStyle w:val="BookText"/>
      </w:pPr>
      <w:r>
        <w:rPr>
          <w:rFonts w:ascii="Amiri" w:hAnsi="Amiri" w:eastAsia="Amiri" w:cs="Amiri"/>
          <w:lang w:bidi="ar-SA"/>
          <w:color w:val="111111"/>
          <w:sz w:val="28"/>
          <w:szCs w:val="28"/>
          <w:rtl/>
        </w:rPr>
        <w:t xml:space="preserve">بالمجيب)، ج 11، ص313.</w:t>
      </w:r>
    </w:p>
    <w:p>
      <w:pPr>
        <w:pStyle w:val="Heading2"/>
      </w:pPr>
      <w:bookmarkStart w:id="3185" w:name="_Toc2287"/>
      <w:r>
        <w:t>تيفاشي ، احمد بن يوسف، 580 - 651 ه-</w:t>
      </w:r>
      <w:bookmarkEnd w:id="3185"/>
    </w:p>
    <w:p>
      <w:pPr>
        <w:pStyle w:val="BookText"/>
      </w:pPr>
      <w:r>
        <w:rPr>
          <w:rFonts w:ascii="Amiri" w:hAnsi="Amiri" w:eastAsia="Amiri" w:cs="Amiri"/>
          <w:lang w:bidi="ar-SA"/>
          <w:color w:val="111111"/>
          <w:sz w:val="28"/>
          <w:szCs w:val="28"/>
          <w:rtl/>
        </w:rPr>
        <w:t xml:space="preserve">ازهار الافكار في جواهر الاحجار -</w:t>
      </w:r>
    </w:p>
    <w:p>
      <w:pPr>
        <w:pStyle w:val="BookText"/>
      </w:pPr>
      <w:r>
        <w:rPr>
          <w:rFonts w:ascii="Amiri" w:hAnsi="Amiri" w:eastAsia="Amiri" w:cs="Amiri"/>
          <w:lang w:bidi="ar-SA"/>
          <w:color w:val="111111"/>
          <w:sz w:val="28"/>
          <w:szCs w:val="28"/>
          <w:rtl/>
        </w:rPr>
        <w:t xml:space="preserve">كتاب الاحجار، ج 2، ص 64.</w:t>
      </w:r>
    </w:p>
    <w:p>
      <w:pPr>
        <w:pStyle w:val="Heading2"/>
      </w:pPr>
      <w:bookmarkStart w:id="3186" w:name="_Toc2288"/>
      <w:r>
        <w:t>تیمور ، احمد، 1287 - 1384 ه-</w:t>
      </w:r>
      <w:bookmarkEnd w:id="3186"/>
    </w:p>
    <w:p>
      <w:pPr>
        <w:pStyle w:val="BookText"/>
      </w:pPr>
      <w:r>
        <w:rPr>
          <w:rFonts w:ascii="Amiri" w:hAnsi="Amiri" w:eastAsia="Amiri" w:cs="Amiri"/>
          <w:lang w:bidi="ar-SA"/>
          <w:color w:val="111111"/>
          <w:sz w:val="28"/>
          <w:szCs w:val="28"/>
          <w:rtl/>
        </w:rPr>
        <w:t xml:space="preserve">اسماء الكلاب عند العرب، ج2،</w:t>
      </w:r>
    </w:p>
    <w:p>
      <w:pPr>
        <w:pStyle w:val="BookText"/>
      </w:pPr>
      <w:r>
        <w:rPr>
          <w:rFonts w:ascii="IRNazanin" w:hAnsi="IRNazanin" w:eastAsia="IRNazanin" w:cs="IRNazanin"/>
          <w:lang w:bidi="fa-IR"/>
          <w:color w:val="111111"/>
          <w:sz w:val="28"/>
          <w:szCs w:val="28"/>
          <w:rtl/>
        </w:rPr>
        <w:t xml:space="preserve">ص 233 .</w:t>
      </w:r>
    </w:p>
    <w:p>
      <w:pPr>
        <w:pStyle w:val="Heading2"/>
      </w:pPr>
      <w:bookmarkStart w:id="3187" w:name="_Toc2289"/>
      <w:r>
        <w:t>تیمور گورکان، 736 - 807 ه-</w:t>
      </w:r>
      <w:bookmarkEnd w:id="3187"/>
    </w:p>
    <w:p>
      <w:pPr>
        <w:pStyle w:val="BookText"/>
      </w:pPr>
      <w:r>
        <w:rPr>
          <w:rFonts w:ascii="IRNazanin" w:hAnsi="IRNazanin" w:eastAsia="IRNazanin" w:cs="IRNazanin"/>
          <w:lang w:bidi="fa-IR"/>
          <w:color w:val="111111"/>
          <w:sz w:val="28"/>
          <w:szCs w:val="28"/>
          <w:rtl/>
        </w:rPr>
        <w:t xml:space="preserve">توزك تيموري - تیمورنامه = نصایح</w:t>
      </w:r>
    </w:p>
    <w:p>
      <w:pPr>
        <w:pStyle w:val="BookText"/>
      </w:pPr>
      <w:r>
        <w:rPr>
          <w:rFonts w:ascii="IRNazanin" w:hAnsi="IRNazanin" w:eastAsia="IRNazanin" w:cs="IRNazanin"/>
          <w:lang w:bidi="fa-IR"/>
          <w:color w:val="111111"/>
          <w:sz w:val="28"/>
          <w:szCs w:val="28"/>
          <w:rtl/>
        </w:rPr>
        <w:t xml:space="preserve">الملوك = ملفوظات امیر تیمور، ج 5،</w:t>
      </w:r>
    </w:p>
    <w:p>
      <w:pPr>
        <w:pStyle w:val="BookText"/>
      </w:pPr>
      <w:r>
        <w:rPr>
          <w:rFonts w:ascii="IRNazanin" w:hAnsi="IRNazanin" w:eastAsia="IRNazanin" w:cs="IRNazanin"/>
          <w:lang w:bidi="fa-IR"/>
          <w:color w:val="111111"/>
          <w:sz w:val="28"/>
          <w:szCs w:val="28"/>
          <w:rtl/>
        </w:rPr>
        <w:t xml:space="preserve">ص 161 .</w:t>
      </w:r>
    </w:p>
    <w:p>
      <w:pPr>
        <w:pStyle w:val="Heading2"/>
      </w:pPr>
      <w:bookmarkStart w:id="3188" w:name="_Toc2290"/>
      <w:r>
        <w:t>تيموري، محمّد بن احمد قرن 12 ه-</w:t>
      </w:r>
      <w:bookmarkEnd w:id="3188"/>
    </w:p>
    <w:p>
      <w:pPr>
        <w:pStyle w:val="BookText"/>
      </w:pPr>
      <w:r>
        <w:rPr>
          <w:rFonts w:ascii="Amiri" w:hAnsi="Amiri" w:eastAsia="Amiri" w:cs="Amiri"/>
          <w:lang w:bidi="ar-SA"/>
          <w:color w:val="111111"/>
          <w:sz w:val="28"/>
          <w:szCs w:val="28"/>
          <w:rtl/>
        </w:rPr>
        <w:t xml:space="preserve">كشف المطالب في العمل بالربع المجيب، ج13، ص270.</w:t>
      </w:r>
    </w:p>
    <w:p>
      <w:pPr>
        <w:pStyle w:val="BookText"/>
      </w:pPr>
      <w:r>
        <w:rPr>
          <w:rFonts w:ascii="Amiri" w:hAnsi="Amiri" w:eastAsia="Amiri" w:cs="Amiri"/>
          <w:lang w:bidi="ar-SA"/>
          <w:color w:val="111111"/>
          <w:sz w:val="28"/>
          <w:szCs w:val="28"/>
          <w:rtl/>
        </w:rPr>
        <w:t xml:space="preserve">تيمي ، معمر بن مثنى- ابن المثنى ، معمر بن المثنى</w:t>
      </w:r>
    </w:p>
    <w:p>
      <w:pPr>
        <w:pStyle w:val="Heading2"/>
      </w:pPr>
      <w:bookmarkStart w:id="3189" w:name="_Toc2291"/>
      <w:r>
        <w:t>ثابت افندي ، ابراهيم بن محمّد</w:t>
      </w:r>
      <w:bookmarkEnd w:id="3189"/>
    </w:p>
    <w:p>
      <w:pPr>
        <w:pStyle w:val="BookText"/>
      </w:pPr>
      <w:r>
        <w:rPr>
          <w:rFonts w:ascii="Amiri" w:hAnsi="Amiri" w:eastAsia="Amiri" w:cs="Amiri"/>
          <w:lang w:bidi="ar-SA"/>
          <w:color w:val="111111"/>
          <w:sz w:val="28"/>
          <w:szCs w:val="28"/>
          <w:rtl/>
        </w:rPr>
        <w:t xml:space="preserve">فوائد منقولة في تفسير جامع البيان</w:t>
      </w:r>
    </w:p>
    <w:p>
      <w:pPr>
        <w:pStyle w:val="BookText"/>
      </w:pPr>
      <w:r>
        <w:rPr>
          <w:rFonts w:ascii="IRNazanin" w:hAnsi="IRNazanin" w:eastAsia="IRNazanin" w:cs="IRNazanin"/>
          <w:lang w:bidi="fa-IR"/>
          <w:color w:val="111111"/>
          <w:sz w:val="28"/>
          <w:szCs w:val="28"/>
          <w:rtl/>
        </w:rPr>
        <w:t xml:space="preserve">ج 12، ص 284.</w:t>
      </w:r>
    </w:p>
    <w:p>
      <w:pPr>
        <w:pStyle w:val="BookText"/>
      </w:pPr>
      <w:r>
        <w:rPr>
          <w:rFonts w:ascii="Amiri" w:hAnsi="Amiri" w:eastAsia="Amiri" w:cs="Amiri"/>
          <w:lang w:bidi="ar-SA"/>
          <w:color w:val="111111"/>
          <w:sz w:val="28"/>
          <w:szCs w:val="28"/>
          <w:rtl/>
        </w:rPr>
        <w:t xml:space="preserve">ثابت بن اوس شنقري يمني ازدي- شنفري ثابت بن اوس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1" w:name="pg7742_70007"/>
    <w:bookmarkEnd w:id="311"/>
    <w:p>
      <w:pPr>
        <w:pStyle w:val="Heading2"/>
      </w:pPr>
      <w:bookmarkStart w:id="3190" w:name="_Toc2292"/>
      <w:r>
        <w:t>ثابت بن قره 221 - 288 ه-</w:t>
      </w:r>
      <w:bookmarkEnd w:id="3190"/>
    </w:p>
    <w:p>
      <w:pPr>
        <w:pStyle w:val="BookText"/>
      </w:pPr>
      <w:r>
        <w:rPr>
          <w:rFonts w:ascii="Amiri" w:hAnsi="Amiri" w:eastAsia="Amiri" w:cs="Amiri"/>
          <w:lang w:bidi="ar-SA"/>
          <w:color w:val="111111"/>
          <w:sz w:val="28"/>
          <w:szCs w:val="28"/>
          <w:rtl/>
        </w:rPr>
        <w:t xml:space="preserve">1 .آلات الساعات التي تسمي</w:t>
      </w:r>
    </w:p>
    <w:p>
      <w:pPr>
        <w:pStyle w:val="BookText"/>
      </w:pPr>
      <w:r>
        <w:rPr>
          <w:rFonts w:ascii="IRNazanin" w:hAnsi="IRNazanin" w:eastAsia="IRNazanin" w:cs="IRNazanin"/>
          <w:lang w:bidi="fa-IR"/>
          <w:color w:val="111111"/>
          <w:sz w:val="28"/>
          <w:szCs w:val="28"/>
          <w:rtl/>
        </w:rPr>
        <w:t xml:space="preserve">رخامات، ج 1، ص 67.</w:t>
      </w:r>
    </w:p>
    <w:p>
      <w:pPr>
        <w:pStyle w:val="BookText"/>
      </w:pPr>
      <w:r>
        <w:rPr>
          <w:rFonts w:ascii="Amiri" w:hAnsi="Amiri" w:eastAsia="Amiri" w:cs="Amiri"/>
          <w:lang w:bidi="ar-SA"/>
          <w:color w:val="111111"/>
          <w:sz w:val="28"/>
          <w:szCs w:val="28"/>
          <w:rtl/>
        </w:rPr>
        <w:t xml:space="preserve">2 .الذخيرة في علم الطب، ج 7، ص 829.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عمل شكل مجسم ذي اربع عشرة قاعدة تحيط به كرة معلومة</w:t>
      </w:r>
    </w:p>
    <w:p>
      <w:pPr>
        <w:pStyle w:val="BookText"/>
      </w:pPr>
      <w:r>
        <w:rPr>
          <w:rFonts w:ascii="IRNazanin" w:hAnsi="IRNazanin" w:eastAsia="IRNazanin" w:cs="IRNazanin"/>
          <w:lang w:bidi="fa-IR"/>
          <w:color w:val="111111"/>
          <w:sz w:val="28"/>
          <w:szCs w:val="28"/>
          <w:rtl/>
        </w:rPr>
        <w:t xml:space="preserve">ج 11، ص322.</w:t>
      </w:r>
    </w:p>
    <w:p>
      <w:pPr>
        <w:pStyle w:val="BookText"/>
      </w:pPr>
      <w:r>
        <w:rPr>
          <w:rFonts w:ascii="Amiri" w:hAnsi="Amiri" w:eastAsia="Amiri" w:cs="Amiri"/>
          <w:lang w:bidi="ar-SA"/>
          <w:color w:val="111111"/>
          <w:sz w:val="28"/>
          <w:szCs w:val="28"/>
          <w:rtl/>
        </w:rPr>
        <w:t xml:space="preserve">4 .قول في إيضاح الوجه الذي ذكر بطلميوس ان به استخراج من تقدمه مسيرات القمر الدورية و هي المستوية، ج 12، ص 850. .5 الكرة المتحركة، ج 13، ص 155.</w:t>
      </w:r>
    </w:p>
    <w:p>
      <w:pPr>
        <w:pStyle w:val="Heading2"/>
      </w:pPr>
      <w:bookmarkStart w:id="3191" w:name="_Toc2293"/>
      <w:r>
        <w:t>ثابت ، علي بن عبدالله - 1124 ه-</w:t>
      </w:r>
      <w:bookmarkEnd w:id="3191"/>
    </w:p>
    <w:p>
      <w:pPr>
        <w:pStyle w:val="BookText"/>
      </w:pPr>
      <w:r>
        <w:rPr>
          <w:rFonts w:ascii="IRNazanin" w:hAnsi="IRNazanin" w:eastAsia="IRNazanin" w:cs="IRNazanin"/>
          <w:lang w:bidi="fa-IR"/>
          <w:color w:val="111111"/>
          <w:sz w:val="28"/>
          <w:szCs w:val="28"/>
          <w:rtl/>
        </w:rPr>
        <w:t xml:space="preserve">دیوان ثابت افندي، ج 7، ص 604.</w:t>
      </w:r>
    </w:p>
    <w:p>
      <w:pPr>
        <w:pStyle w:val="Heading2"/>
      </w:pPr>
      <w:bookmarkStart w:id="3192" w:name="_Toc2294"/>
      <w:r>
        <w:t>ثاقب ، قاضي محمّد - 1229 ه-</w:t>
      </w:r>
      <w:bookmarkEnd w:id="3192"/>
    </w:p>
    <w:p>
      <w:pPr>
        <w:pStyle w:val="BookText"/>
      </w:pPr>
      <w:r>
        <w:rPr>
          <w:rFonts w:ascii="IRNazanin" w:hAnsi="IRNazanin" w:eastAsia="IRNazanin" w:cs="IRNazanin"/>
          <w:lang w:bidi="fa-IR"/>
          <w:color w:val="111111"/>
          <w:sz w:val="28"/>
          <w:szCs w:val="28"/>
          <w:rtl/>
        </w:rPr>
        <w:t xml:space="preserve">جبر و مقابله، ج 5، ص 363.</w:t>
      </w:r>
    </w:p>
    <w:p>
      <w:pPr>
        <w:pStyle w:val="Heading2"/>
      </w:pPr>
      <w:bookmarkStart w:id="3193" w:name="_Toc2295"/>
      <w:r>
        <w:t>ثا وذوسیوس، قرن 1 قبل الميلاد</w:t>
      </w:r>
      <w:bookmarkEnd w:id="3193"/>
    </w:p>
    <w:p>
      <w:pPr>
        <w:pStyle w:val="BookText"/>
      </w:pPr>
      <w:r>
        <w:rPr>
          <w:rFonts w:ascii="Amiri" w:hAnsi="Amiri" w:eastAsia="Amiri" w:cs="Amiri"/>
          <w:lang w:bidi="ar-SA"/>
          <w:color w:val="111111"/>
          <w:sz w:val="28"/>
          <w:szCs w:val="28"/>
          <w:rtl/>
        </w:rPr>
        <w:t xml:space="preserve">الاكر، ج 2، ص 640 .</w:t>
      </w:r>
    </w:p>
    <w:p>
      <w:pPr>
        <w:pStyle w:val="Heading2"/>
      </w:pPr>
      <w:bookmarkStart w:id="3194" w:name="_Toc2296"/>
      <w:r>
        <w:t>ثعالبي، عبدالرحمن بن محمّد 786؟ -</w:t>
      </w:r>
      <w:bookmarkEnd w:id="3194"/>
    </w:p>
    <w:p>
      <w:pPr>
        <w:pStyle w:val="BookText"/>
      </w:pPr>
      <w:r>
        <w:rPr>
          <w:rFonts w:ascii="IRNazanin" w:hAnsi="IRNazanin" w:eastAsia="IRNazanin" w:cs="IRNazanin"/>
          <w:lang w:bidi="fa-IR"/>
          <w:color w:val="111111"/>
          <w:sz w:val="28"/>
          <w:szCs w:val="28"/>
          <w:rtl/>
        </w:rPr>
        <w:t xml:space="preserve">875 ه-</w:t>
      </w:r>
    </w:p>
    <w:p>
      <w:pPr>
        <w:pStyle w:val="BookText"/>
      </w:pPr>
      <w:r>
        <w:rPr>
          <w:rFonts w:ascii="Amiri" w:hAnsi="Amiri" w:eastAsia="Amiri" w:cs="Amiri"/>
          <w:lang w:bidi="ar-SA"/>
          <w:color w:val="111111"/>
          <w:sz w:val="28"/>
          <w:szCs w:val="28"/>
          <w:rtl/>
        </w:rPr>
        <w:t xml:space="preserve">العلوم الفاخرة في النظر في أمور</w:t>
      </w:r>
    </w:p>
    <w:p>
      <w:pPr>
        <w:pStyle w:val="BookText"/>
      </w:pPr>
      <w:r>
        <w:rPr>
          <w:rFonts w:ascii="Amiri" w:hAnsi="Amiri" w:eastAsia="Amiri" w:cs="Amiri"/>
          <w:lang w:bidi="ar-SA"/>
          <w:color w:val="111111"/>
          <w:sz w:val="28"/>
          <w:szCs w:val="28"/>
          <w:rtl/>
        </w:rPr>
        <w:t xml:space="preserve">الآخرة، ج 11، ص278.</w:t>
      </w:r>
    </w:p>
    <w:p>
      <w:pPr>
        <w:pStyle w:val="Heading2"/>
      </w:pPr>
      <w:bookmarkStart w:id="3195" w:name="_Toc2297"/>
      <w:r>
        <w:t>ثعالبي، عبدالملك بن محمّد، 350-429ه-</w:t>
      </w:r>
      <w:bookmarkEnd w:id="31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احسن ما سمعت = سحر البيان =</w:t>
      </w:r>
    </w:p>
    <w:p>
      <w:pPr>
        <w:pStyle w:val="BookText"/>
      </w:pPr>
      <w:r>
        <w:rPr>
          <w:rFonts w:ascii="Amiri" w:hAnsi="Amiri" w:eastAsia="Amiri" w:cs="Amiri"/>
          <w:lang w:bidi="ar-SA"/>
          <w:color w:val="111111"/>
          <w:sz w:val="28"/>
          <w:szCs w:val="28"/>
          <w:rtl/>
        </w:rPr>
        <w:t xml:space="preserve">اللآلي و الدرر = الاعجاز و الايجاز</w:t>
      </w:r>
    </w:p>
    <w:p>
      <w:pPr>
        <w:pStyle w:val="BookText"/>
      </w:pPr>
      <w:r>
        <w:rPr>
          <w:rFonts w:ascii="Amiri" w:hAnsi="Amiri" w:eastAsia="Amiri" w:cs="Amiri"/>
          <w:lang w:bidi="ar-SA"/>
          <w:color w:val="111111"/>
          <w:sz w:val="28"/>
          <w:szCs w:val="28"/>
          <w:rtl/>
        </w:rPr>
        <w:t xml:space="preserve">محاضرات ثعالبي، ج 1، ص 447.</w:t>
      </w:r>
    </w:p>
    <w:p>
      <w:pPr>
        <w:pStyle w:val="BookText"/>
      </w:pPr>
      <w:r>
        <w:rPr>
          <w:rFonts w:ascii="Amiri" w:hAnsi="Amiri" w:eastAsia="Amiri" w:cs="Amiri"/>
          <w:lang w:bidi="ar-SA"/>
          <w:color w:val="111111"/>
          <w:sz w:val="28"/>
          <w:szCs w:val="28"/>
          <w:rtl/>
        </w:rPr>
        <w:t xml:space="preserve">2 .تتمة يتيمة الدهر ، ج 3، ص 675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التمثيل و المحاضرة، ج 4، ص 877.</w:t>
      </w:r>
    </w:p>
    <w:p>
      <w:pPr>
        <w:pStyle w:val="BookText"/>
      </w:pPr>
      <w:r>
        <w:rPr>
          <w:rFonts w:ascii="Amiri" w:hAnsi="Amiri" w:eastAsia="Amiri" w:cs="Amiri"/>
          <w:lang w:bidi="ar-SA"/>
          <w:color w:val="111111"/>
          <w:sz w:val="28"/>
          <w:szCs w:val="28"/>
          <w:rtl/>
        </w:rPr>
        <w:t xml:space="preserve">4 .ثمار القلوب في المضاف والمنسوب</w:t>
      </w:r>
    </w:p>
    <w:p>
      <w:pPr>
        <w:pStyle w:val="BookText"/>
      </w:pPr>
      <w:r>
        <w:rPr>
          <w:rFonts w:ascii="IRNazanin" w:hAnsi="IRNazanin" w:eastAsia="IRNazanin" w:cs="IRNazanin"/>
          <w:lang w:bidi="fa-IR"/>
          <w:color w:val="111111"/>
          <w:sz w:val="28"/>
          <w:szCs w:val="28"/>
          <w:rtl/>
        </w:rPr>
        <w:t xml:space="preserve">ج 5، ص 225.</w:t>
      </w:r>
    </w:p>
    <w:p>
      <w:pPr>
        <w:pStyle w:val="BookText"/>
      </w:pPr>
      <w:r>
        <w:rPr>
          <w:rFonts w:ascii="Amiri" w:hAnsi="Amiri" w:eastAsia="Amiri" w:cs="Amiri"/>
          <w:lang w:bidi="ar-SA"/>
          <w:color w:val="111111"/>
          <w:sz w:val="28"/>
          <w:szCs w:val="28"/>
          <w:rtl/>
        </w:rPr>
        <w:t xml:space="preserve">5 .سحر البلاغة و سر البراعة، ج 8،</w:t>
      </w:r>
    </w:p>
    <w:p>
      <w:pPr>
        <w:pStyle w:val="BookText"/>
      </w:pPr>
      <w:r>
        <w:rPr>
          <w:rFonts w:ascii="IRNazanin" w:hAnsi="IRNazanin" w:eastAsia="IRNazanin" w:cs="IRNazanin"/>
          <w:lang w:bidi="fa-IR"/>
          <w:color w:val="111111"/>
          <w:sz w:val="28"/>
          <w:szCs w:val="28"/>
          <w:rtl/>
        </w:rPr>
        <w:t xml:space="preserve">ص 719.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سر الادب في مجاري كلام العرب = فقه اللغة و سر العربية، ج8،</w:t>
      </w:r>
    </w:p>
    <w:p>
      <w:pPr>
        <w:pStyle w:val="BookText"/>
      </w:pPr>
      <w:r>
        <w:rPr>
          <w:rFonts w:ascii="IRNazanin" w:hAnsi="IRNazanin" w:eastAsia="IRNazanin" w:cs="IRNazanin"/>
          <w:lang w:bidi="fa-IR"/>
          <w:color w:val="111111"/>
          <w:sz w:val="28"/>
          <w:szCs w:val="28"/>
          <w:rtl/>
        </w:rPr>
        <w:t xml:space="preserve">ص 743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سيرة الملوك، ج9، ص20.</w:t>
      </w:r>
    </w:p>
    <w:p>
      <w:pPr>
        <w:pStyle w:val="BookText"/>
      </w:pPr>
      <w:r>
        <w:rPr>
          <w:rFonts w:ascii="Amiri" w:hAnsi="Amiri" w:eastAsia="Amiri" w:cs="Amiri"/>
          <w:lang w:bidi="ar-SA"/>
          <w:color w:val="111111"/>
          <w:sz w:val="28"/>
          <w:szCs w:val="28"/>
          <w:rtl/>
        </w:rPr>
        <w:t xml:space="preserve">8.غرر البلاغة، ج 11، ص 477.</w:t>
      </w:r>
    </w:p>
    <w:p>
      <w:pPr>
        <w:pStyle w:val="BookText"/>
      </w:pPr>
      <w:r>
        <w:rPr>
          <w:rFonts w:ascii="Amiri" w:hAnsi="Amiri" w:eastAsia="Amiri" w:cs="Amiri"/>
          <w:lang w:bidi="ar-SA"/>
          <w:color w:val="111111"/>
          <w:sz w:val="28"/>
          <w:szCs w:val="28"/>
          <w:rtl/>
        </w:rPr>
        <w:t xml:space="preserve">9 .الفرائد و القلائد = العقد النفيس و</w:t>
      </w:r>
    </w:p>
    <w:p>
      <w:pPr>
        <w:pStyle w:val="BookText"/>
      </w:pPr>
      <w:r>
        <w:rPr>
          <w:rFonts w:ascii="Amiri" w:hAnsi="Amiri" w:eastAsia="Amiri" w:cs="Amiri"/>
          <w:lang w:bidi="ar-SA"/>
          <w:color w:val="111111"/>
          <w:sz w:val="28"/>
          <w:szCs w:val="28"/>
          <w:rtl/>
        </w:rPr>
        <w:t xml:space="preserve">نزهة الجليس، ج11، ص 747.</w:t>
      </w:r>
    </w:p>
    <w:p>
      <w:pPr>
        <w:pStyle w:val="BookText"/>
      </w:pPr>
      <w:r>
        <w:rPr>
          <w:rFonts w:ascii="IRNazanin" w:hAnsi="IRNazanin" w:eastAsia="IRNazanin" w:cs="IRNazanin"/>
          <w:lang w:bidi="fa-IR"/>
          <w:color w:val="111111"/>
          <w:sz w:val="28"/>
          <w:szCs w:val="28"/>
          <w:rtl/>
        </w:rPr>
        <w:t xml:space="preserve">10 .لباب الآداب، ج13، ص 541.</w:t>
      </w:r>
    </w:p>
    <w:p>
      <w:pPr>
        <w:pStyle w:val="BookText"/>
      </w:pPr>
      <w:r>
        <w:rPr>
          <w:rFonts w:ascii="IRNazanin" w:hAnsi="IRNazanin" w:eastAsia="IRNazanin" w:cs="IRNazanin"/>
          <w:lang w:bidi="fa-IR"/>
          <w:color w:val="111111"/>
          <w:sz w:val="28"/>
          <w:szCs w:val="28"/>
          <w:rtl/>
        </w:rPr>
        <w:t xml:space="preserve">11 .المبهج، ج13، ص 743.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المتشابه (رسالة)، ج13، ص 748.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المدح والذم، ج 14، ص 324.</w:t>
      </w:r>
    </w:p>
    <w:p>
      <w:pPr>
        <w:pStyle w:val="BookText"/>
      </w:pPr>
      <w:r>
        <w:rPr>
          <w:rFonts w:ascii="Amiri" w:hAnsi="Amiri" w:eastAsia="Amiri" w:cs="Amiri"/>
          <w:lang w:bidi="ar-SA"/>
          <w:color w:val="111111"/>
          <w:sz w:val="28"/>
          <w:szCs w:val="28"/>
          <w:rtl/>
        </w:rPr>
        <w:t xml:space="preserve">14 .مرآة المروءات، ج 14، ص 363.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المعرب من غاب عنه المطرب</w:t>
      </w:r>
    </w:p>
    <w:p>
      <w:pPr>
        <w:pStyle w:val="BookText"/>
      </w:pPr>
      <w:r>
        <w:rPr>
          <w:rFonts w:ascii="IRNazanin" w:hAnsi="IRNazanin" w:eastAsia="IRNazanin" w:cs="IRNazanin"/>
          <w:lang w:bidi="fa-IR"/>
          <w:color w:val="111111"/>
          <w:sz w:val="28"/>
          <w:szCs w:val="28"/>
          <w:rtl/>
        </w:rPr>
        <w:t xml:space="preserve">ج 15 ، ص 39.</w:t>
      </w:r>
    </w:p>
    <w:p>
      <w:pPr>
        <w:pStyle w:val="BookText"/>
      </w:pPr>
      <w:r>
        <w:rPr>
          <w:rFonts w:ascii="Amiri" w:hAnsi="Amiri" w:eastAsia="Amiri" w:cs="Amiri"/>
          <w:lang w:bidi="ar-SA"/>
          <w:color w:val="111111"/>
          <w:sz w:val="28"/>
          <w:szCs w:val="28"/>
          <w:rtl/>
        </w:rPr>
        <w:t xml:space="preserve">16 . نسيم السحر في خصائص اللغة</w:t>
      </w:r>
    </w:p>
    <w:p>
      <w:pPr>
        <w:pStyle w:val="BookText"/>
      </w:pPr>
      <w:r>
        <w:rPr>
          <w:rFonts w:ascii="IRNazanin" w:hAnsi="IRNazanin" w:eastAsia="IRNazanin" w:cs="IRNazanin"/>
          <w:lang w:bidi="fa-IR"/>
          <w:color w:val="111111"/>
          <w:sz w:val="28"/>
          <w:szCs w:val="28"/>
          <w:rtl/>
        </w:rPr>
        <w:t xml:space="preserve">ج 16، ص 283.</w:t>
      </w:r>
    </w:p>
    <w:p>
      <w:pPr>
        <w:pStyle w:val="BookText"/>
      </w:pPr>
      <w:r>
        <w:rPr>
          <w:rFonts w:ascii="Amiri" w:hAnsi="Amiri" w:eastAsia="Amiri" w:cs="Amiri"/>
          <w:lang w:bidi="ar-SA"/>
          <w:color w:val="111111"/>
          <w:sz w:val="28"/>
          <w:szCs w:val="28"/>
          <w:rtl/>
        </w:rPr>
        <w:t xml:space="preserve">17 .نفحة المجلوب من ثمار القلوب</w:t>
      </w:r>
    </w:p>
    <w:p>
      <w:pPr>
        <w:pStyle w:val="BookText"/>
      </w:pPr>
      <w:r>
        <w:rPr>
          <w:rFonts w:ascii="IRNazanin" w:hAnsi="IRNazanin" w:eastAsia="IRNazanin" w:cs="IRNazanin"/>
          <w:lang w:bidi="fa-IR"/>
          <w:color w:val="111111"/>
          <w:sz w:val="28"/>
          <w:szCs w:val="28"/>
          <w:rtl/>
        </w:rPr>
        <w:t xml:space="preserve">ج 16، ص 393.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يتيمة الدهر في محاسن اهل</w:t>
      </w:r>
    </w:p>
    <w:p>
      <w:pPr>
        <w:pStyle w:val="BookText"/>
      </w:pPr>
      <w:r>
        <w:rPr>
          <w:rFonts w:ascii="IRNazanin" w:hAnsi="IRNazanin" w:eastAsia="IRNazanin" w:cs="IRNazanin"/>
          <w:lang w:bidi="fa-IR"/>
          <w:color w:val="111111"/>
          <w:sz w:val="28"/>
          <w:szCs w:val="28"/>
          <w:rtl/>
        </w:rPr>
        <w:t xml:space="preserve">العصر، ج 16، ص 893.</w:t>
      </w:r>
    </w:p>
    <w:p>
      <w:pPr>
        <w:pStyle w:val="BookText"/>
      </w:pPr>
      <w:r>
        <w:rPr>
          <w:rFonts w:ascii="Amiri" w:hAnsi="Amiri" w:eastAsia="Amiri" w:cs="Amiri"/>
          <w:lang w:bidi="ar-SA"/>
          <w:color w:val="111111"/>
          <w:sz w:val="28"/>
          <w:szCs w:val="28"/>
          <w:rtl/>
        </w:rPr>
        <w:t xml:space="preserve">ثعالبي ، عيسى بن محمّد مغربي ، عيسى</w:t>
      </w:r>
    </w:p>
    <w:p>
      <w:pPr>
        <w:pStyle w:val="BookText"/>
      </w:pPr>
      <w:r>
        <w:rPr>
          <w:rFonts w:ascii="Amiri" w:hAnsi="Amiri" w:eastAsia="Amiri" w:cs="Amiri"/>
          <w:lang w:bidi="ar-SA"/>
          <w:color w:val="111111"/>
          <w:sz w:val="28"/>
          <w:szCs w:val="28"/>
          <w:rtl/>
        </w:rPr>
        <w:t xml:space="preserve">بن محمّد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2" w:name="pg7742_70009"/>
    <w:bookmarkEnd w:id="312"/>
    <w:p>
      <w:pPr>
        <w:pStyle w:val="BookText"/>
      </w:pPr>
      <w:r>
        <w:rPr>
          <w:rFonts w:ascii="Amiri" w:hAnsi="Amiri" w:eastAsia="Amiri" w:cs="Amiri"/>
          <w:lang w:bidi="ar-SA"/>
          <w:color w:val="111111"/>
          <w:sz w:val="28"/>
          <w:szCs w:val="28"/>
          <w:rtl/>
        </w:rPr>
        <w:t xml:space="preserve">ثعالبي ، محمّد بن احمد- مغربي ، محمّد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3196" w:name="_Toc2298"/>
      <w:r>
        <w:t>ثعالبي مرغني ، حسين بن محمّد، 4 -</w:t>
      </w:r>
      <w:bookmarkEnd w:id="3196"/>
    </w:p>
    <w:p>
      <w:pPr>
        <w:pStyle w:val="BookText"/>
      </w:pPr>
      <w:r>
        <w:rPr>
          <w:rFonts w:ascii="IRNazanin" w:hAnsi="IRNazanin" w:eastAsia="IRNazanin" w:cs="IRNazanin"/>
          <w:lang w:bidi="fa-IR"/>
          <w:color w:val="111111"/>
          <w:sz w:val="28"/>
          <w:szCs w:val="28"/>
          <w:rtl/>
        </w:rPr>
        <w:t xml:space="preserve">421 ه-</w:t>
      </w:r>
    </w:p>
    <w:p>
      <w:pPr>
        <w:pStyle w:val="BookText"/>
      </w:pPr>
      <w:r>
        <w:rPr>
          <w:rFonts w:ascii="Amiri" w:hAnsi="Amiri" w:eastAsia="Amiri" w:cs="Amiri"/>
          <w:lang w:bidi="ar-SA"/>
          <w:color w:val="111111"/>
          <w:sz w:val="28"/>
          <w:szCs w:val="28"/>
          <w:rtl/>
        </w:rPr>
        <w:t xml:space="preserve">غرر اخبار الملوك، ج 11، ص 475.</w:t>
      </w:r>
    </w:p>
    <w:p>
      <w:pPr>
        <w:pStyle w:val="Heading2"/>
      </w:pPr>
      <w:bookmarkStart w:id="3197" w:name="_Toc2299"/>
      <w:r>
        <w:t>ثعلب ، احمد بن يحيى، 200 - 291 ه-</w:t>
      </w:r>
      <w:bookmarkEnd w:id="3197"/>
    </w:p>
    <w:p>
      <w:pPr>
        <w:pStyle w:val="BookText"/>
      </w:pPr>
      <w:r>
        <w:rPr>
          <w:rFonts w:ascii="Amiri" w:hAnsi="Amiri" w:eastAsia="Amiri" w:cs="Amiri"/>
          <w:lang w:bidi="ar-SA"/>
          <w:color w:val="111111"/>
          <w:sz w:val="28"/>
          <w:szCs w:val="28"/>
          <w:rtl/>
        </w:rPr>
        <w:t xml:space="preserve">1 .شرح ديوان الخنساء، ج 9، ص 488.</w:t>
      </w:r>
    </w:p>
    <w:p>
      <w:pPr>
        <w:pStyle w:val="BookText"/>
      </w:pPr>
      <w:r>
        <w:rPr>
          <w:rFonts w:ascii="Amiri" w:hAnsi="Amiri" w:eastAsia="Amiri" w:cs="Amiri"/>
          <w:lang w:bidi="ar-SA"/>
          <w:color w:val="111111"/>
          <w:sz w:val="28"/>
          <w:szCs w:val="28"/>
          <w:rtl/>
        </w:rPr>
        <w:t xml:space="preserve">2 .الفصيح، ج 11، ص 871.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عمارة بن عقيل و شرحها</w:t>
      </w:r>
    </w:p>
    <w:p>
      <w:pPr>
        <w:pStyle w:val="BookText"/>
      </w:pPr>
      <w:r>
        <w:rPr>
          <w:rFonts w:ascii="IRNazanin" w:hAnsi="IRNazanin" w:eastAsia="IRNazanin" w:cs="IRNazanin"/>
          <w:lang w:bidi="fa-IR"/>
          <w:color w:val="111111"/>
          <w:sz w:val="28"/>
          <w:szCs w:val="28"/>
          <w:rtl/>
        </w:rPr>
        <w:t xml:space="preserve">ج 12، ص 683.</w:t>
      </w:r>
    </w:p>
    <w:p>
      <w:pPr>
        <w:pStyle w:val="Heading2"/>
      </w:pPr>
      <w:bookmarkStart w:id="3198" w:name="_Toc2300"/>
      <w:r>
        <w:t>ثعلبي ، احمد بن اسماعيل</w:t>
      </w:r>
      <w:bookmarkEnd w:id="3198"/>
    </w:p>
    <w:p>
      <w:pPr>
        <w:pStyle w:val="BookText"/>
      </w:pPr>
      <w:r>
        <w:rPr>
          <w:rFonts w:ascii="IRNazanin" w:hAnsi="IRNazanin" w:eastAsia="IRNazanin" w:cs="IRNazanin"/>
          <w:lang w:bidi="fa-IR"/>
          <w:color w:val="111111"/>
          <w:sz w:val="28"/>
          <w:szCs w:val="28"/>
          <w:rtl/>
        </w:rPr>
        <w:t xml:space="preserve">شرح المعلقات، ج 10، ص 155.</w:t>
      </w:r>
    </w:p>
    <w:p>
      <w:pPr>
        <w:pStyle w:val="Heading2"/>
      </w:pPr>
      <w:bookmarkStart w:id="3199" w:name="_Toc2301"/>
      <w:r>
        <w:t>ثعلبي ، احمد بن محمّد - 427 ؟ ه-</w:t>
      </w:r>
      <w:bookmarkEnd w:id="3199"/>
    </w:p>
    <w:p>
      <w:pPr>
        <w:pStyle w:val="BookText"/>
      </w:pPr>
      <w:r>
        <w:rPr>
          <w:rFonts w:ascii="Amiri" w:hAnsi="Amiri" w:eastAsia="Amiri" w:cs="Amiri"/>
          <w:lang w:bidi="ar-SA"/>
          <w:color w:val="111111"/>
          <w:sz w:val="28"/>
          <w:szCs w:val="28"/>
          <w:rtl/>
        </w:rPr>
        <w:t xml:space="preserve">1 .ذكر قوم قتلهم القرآن لما سمعوا</w:t>
      </w:r>
    </w:p>
    <w:p>
      <w:pPr>
        <w:pStyle w:val="BookText"/>
      </w:pPr>
      <w:r>
        <w:rPr>
          <w:rFonts w:ascii="IRNazanin" w:hAnsi="IRNazanin" w:eastAsia="IRNazanin" w:cs="IRNazanin"/>
          <w:lang w:bidi="fa-IR"/>
          <w:color w:val="111111"/>
          <w:sz w:val="28"/>
          <w:szCs w:val="28"/>
          <w:rtl/>
        </w:rPr>
        <w:t xml:space="preserve">آیاته( کتاب في)، ج 7، ص 856.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عرائس المجالس في قصص الانبياء</w:t>
      </w:r>
    </w:p>
    <w:p>
      <w:pPr>
        <w:pStyle w:val="BookText"/>
      </w:pPr>
      <w:r>
        <w:rPr>
          <w:rFonts w:ascii="Amiri" w:hAnsi="Amiri" w:eastAsia="Amiri" w:cs="Amiri"/>
          <w:lang w:bidi="ar-SA"/>
          <w:color w:val="111111"/>
          <w:sz w:val="28"/>
          <w:szCs w:val="28"/>
          <w:rtl/>
        </w:rPr>
        <w:t xml:space="preserve">يواقيت البيان في قصص القرآن ج 11، ص 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الكشف و البيان في تفسير القرآن -</w:t>
      </w:r>
    </w:p>
    <w:p>
      <w:pPr>
        <w:pStyle w:val="BookText"/>
      </w:pPr>
      <w:r>
        <w:rPr>
          <w:rFonts w:ascii="Amiri" w:hAnsi="Amiri" w:eastAsia="Amiri" w:cs="Amiri"/>
          <w:lang w:bidi="ar-SA"/>
          <w:color w:val="111111"/>
          <w:sz w:val="28"/>
          <w:szCs w:val="28"/>
          <w:rtl/>
        </w:rPr>
        <w:t xml:space="preserve">تفسير ثعلبي، ج13، ص276.</w:t>
      </w:r>
    </w:p>
    <w:p>
      <w:pPr>
        <w:pStyle w:val="Heading2"/>
      </w:pPr>
      <w:bookmarkStart w:id="3200" w:name="_Toc2302"/>
      <w:r>
        <w:t>ثعلبي ، علي بن محمّد</w:t>
      </w:r>
      <w:bookmarkEnd w:id="3200"/>
    </w:p>
    <w:p>
      <w:pPr>
        <w:pStyle w:val="BookText"/>
      </w:pPr>
      <w:r>
        <w:rPr>
          <w:rFonts w:ascii="Amiri" w:hAnsi="Amiri" w:eastAsia="Amiri" w:cs="Amiri"/>
          <w:lang w:bidi="ar-SA"/>
          <w:color w:val="111111"/>
          <w:sz w:val="28"/>
          <w:szCs w:val="28"/>
          <w:rtl/>
        </w:rPr>
        <w:t xml:space="preserve">الاحكام، ج1، ص 451.</w:t>
      </w:r>
    </w:p>
    <w:p>
      <w:pPr>
        <w:pStyle w:val="Heading2"/>
      </w:pPr>
      <w:bookmarkStart w:id="3201" w:name="_Toc2303"/>
      <w:r>
        <w:t>ثقة الاسلام ساروي ، محمّد بن فضل الله</w:t>
      </w:r>
      <w:bookmarkEnd w:id="3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1342ه-</w:t>
      </w:r>
    </w:p>
    <w:p>
      <w:pPr>
        <w:pStyle w:val="BookText"/>
      </w:pPr>
      <w:r>
        <w:rPr>
          <w:rFonts w:ascii="Amiri" w:hAnsi="Amiri" w:eastAsia="Amiri" w:cs="Amiri"/>
          <w:lang w:bidi="ar-SA"/>
          <w:color w:val="111111"/>
          <w:sz w:val="28"/>
          <w:szCs w:val="28"/>
          <w:rtl/>
        </w:rPr>
        <w:t xml:space="preserve">1 .احكام الجبائر، ج 1 ، ص 463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احکام خلف مطلق الوعد، ج1،</w:t>
      </w:r>
    </w:p>
    <w:p>
      <w:pPr>
        <w:pStyle w:val="BookText"/>
      </w:pPr>
      <w:r>
        <w:rPr>
          <w:rFonts w:ascii="IRNazanin" w:hAnsi="IRNazanin" w:eastAsia="IRNazanin" w:cs="IRNazanin"/>
          <w:lang w:bidi="fa-IR"/>
          <w:color w:val="111111"/>
          <w:sz w:val="28"/>
          <w:szCs w:val="28"/>
          <w:rtl/>
        </w:rPr>
        <w:t xml:space="preserve">ص 467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احكام سهو الامام والمأموم، ج 1،</w:t>
      </w:r>
    </w:p>
    <w:p>
      <w:pPr>
        <w:pStyle w:val="BookText"/>
      </w:pPr>
      <w:r>
        <w:rPr>
          <w:rFonts w:ascii="IRNazanin" w:hAnsi="IRNazanin" w:eastAsia="IRNazanin" w:cs="IRNazanin"/>
          <w:lang w:bidi="fa-IR"/>
          <w:color w:val="111111"/>
          <w:sz w:val="28"/>
          <w:szCs w:val="28"/>
          <w:rtl/>
        </w:rPr>
        <w:t xml:space="preserve">ص 473.</w:t>
      </w:r>
    </w:p>
    <w:p>
      <w:pPr>
        <w:pStyle w:val="BookText"/>
      </w:pPr>
      <w:r>
        <w:rPr>
          <w:rFonts w:ascii="Amiri" w:hAnsi="Amiri" w:eastAsia="Amiri" w:cs="Amiri"/>
          <w:lang w:bidi="ar-SA"/>
          <w:color w:val="111111"/>
          <w:sz w:val="28"/>
          <w:szCs w:val="28"/>
          <w:rtl/>
        </w:rPr>
        <w:t xml:space="preserve">4 .احكام كثير السهو، ج1، ص 481.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انوار الاحكام في شرائع سيد الانام</w:t>
      </w:r>
    </w:p>
    <w:p>
      <w:pPr>
        <w:pStyle w:val="BookText"/>
      </w:pPr>
      <w:r>
        <w:rPr>
          <w:rFonts w:ascii="IRNazanin" w:hAnsi="IRNazanin" w:eastAsia="IRNazanin" w:cs="IRNazanin"/>
          <w:lang w:bidi="fa-IR"/>
          <w:color w:val="111111"/>
          <w:sz w:val="28"/>
          <w:szCs w:val="28"/>
          <w:rtl/>
        </w:rPr>
        <w:t xml:space="preserve">ج 2، ص 838.</w:t>
      </w:r>
    </w:p>
    <w:p>
      <w:pPr>
        <w:pStyle w:val="BookText"/>
      </w:pPr>
      <w:r>
        <w:rPr>
          <w:rFonts w:ascii="IRNazanin" w:hAnsi="IRNazanin" w:eastAsia="IRNazanin" w:cs="IRNazanin"/>
          <w:lang w:bidi="fa-IR"/>
          <w:color w:val="111111"/>
          <w:sz w:val="28"/>
          <w:szCs w:val="28"/>
          <w:rtl/>
        </w:rPr>
        <w:t xml:space="preserve">6 .الانوار الاصول، ج 2، ص 840.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الانوار الغروية، ج 3، ص 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بيان احوال السيّد عماد الدين وكيفية وقوفه بطبرستان و اقامته</w:t>
      </w:r>
    </w:p>
    <w:p>
      <w:pPr>
        <w:pStyle w:val="BookText"/>
      </w:pPr>
      <w:r>
        <w:rPr>
          <w:rFonts w:ascii="IRNazanin" w:hAnsi="IRNazanin" w:eastAsia="IRNazanin" w:cs="IRNazanin"/>
          <w:lang w:bidi="fa-IR"/>
          <w:color w:val="111111"/>
          <w:sz w:val="28"/>
          <w:szCs w:val="28"/>
          <w:rtl/>
        </w:rPr>
        <w:t xml:space="preserve">ج 3، ص 456.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بيان احوال من انتهي اليه النسب</w:t>
      </w:r>
    </w:p>
    <w:p>
      <w:pPr>
        <w:pStyle w:val="BookText"/>
      </w:pPr>
      <w:r>
        <w:rPr>
          <w:rFonts w:ascii="Amiri" w:hAnsi="Amiri" w:eastAsia="Amiri" w:cs="Amiri"/>
          <w:lang w:bidi="ar-SA"/>
          <w:color w:val="111111"/>
          <w:sz w:val="28"/>
          <w:szCs w:val="28"/>
          <w:rtl/>
        </w:rPr>
        <w:t xml:space="preserve">(رسالة في)، ج3، ص456 .</w:t>
      </w:r>
    </w:p>
    <w:p>
      <w:pPr>
        <w:pStyle w:val="BookText"/>
      </w:pPr>
      <w:r>
        <w:rPr>
          <w:rFonts w:ascii="IRNazanin" w:hAnsi="IRNazanin" w:eastAsia="IRNazanin" w:cs="IRNazanin"/>
          <w:lang w:bidi="fa-IR"/>
          <w:color w:val="111111"/>
          <w:sz w:val="28"/>
          <w:szCs w:val="28"/>
          <w:rtl/>
        </w:rPr>
        <w:t xml:space="preserve">10 .دیوان هاشمي، ج7، ص792.</w:t>
      </w:r>
    </w:p>
    <w:p>
      <w:pPr>
        <w:pStyle w:val="BookText"/>
      </w:pPr>
      <w:r>
        <w:rPr>
          <w:rFonts w:ascii="IRNazanin" w:hAnsi="IRNazanin" w:eastAsia="IRNazanin" w:cs="IRNazanin"/>
          <w:lang w:bidi="fa-IR"/>
          <w:color w:val="111111"/>
          <w:sz w:val="28"/>
          <w:szCs w:val="28"/>
          <w:rtl/>
        </w:rPr>
        <w:t xml:space="preserve">11 .رسائل، ج8، ص127.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كرامات السيّد عماد الدین، ج13</w:t>
      </w:r>
    </w:p>
    <w:p>
      <w:pPr>
        <w:pStyle w:val="BookText"/>
      </w:pPr>
      <w:r>
        <w:rPr>
          <w:rFonts w:ascii="IRNazanin" w:hAnsi="IRNazanin" w:eastAsia="IRNazanin" w:cs="IRNazanin"/>
          <w:lang w:bidi="fa-IR"/>
          <w:color w:val="111111"/>
          <w:sz w:val="28"/>
          <w:szCs w:val="28"/>
          <w:rtl/>
        </w:rPr>
        <w:t xml:space="preserve">ص 153.</w:t>
      </w:r>
    </w:p>
    <w:p>
      <w:pPr>
        <w:pStyle w:val="BookText"/>
      </w:pPr>
      <w:r>
        <w:rPr>
          <w:rFonts w:ascii="Amiri" w:hAnsi="Amiri" w:eastAsia="Amiri" w:cs="Amiri"/>
          <w:lang w:bidi="ar-SA"/>
          <w:color w:val="111111"/>
          <w:sz w:val="28"/>
          <w:szCs w:val="28"/>
          <w:rtl/>
        </w:rPr>
        <w:t xml:space="preserve">13 .كنائز الاصول، ج13، ص 396.</w:t>
      </w:r>
    </w:p>
    <w:p>
      <w:pPr>
        <w:pStyle w:val="BookText"/>
      </w:pPr>
      <w:r>
        <w:rPr>
          <w:rFonts w:ascii="Amiri" w:hAnsi="Amiri" w:eastAsia="Amiri" w:cs="Amiri"/>
          <w:lang w:bidi="ar-SA"/>
          <w:color w:val="111111"/>
          <w:sz w:val="28"/>
          <w:szCs w:val="28"/>
          <w:rtl/>
        </w:rPr>
        <w:t xml:space="preserve">14 .لمعان انوار البهية الباهرة في مدارك احكام الشريعة الطاهرة</w:t>
      </w:r>
    </w:p>
    <w:p>
      <w:pPr>
        <w:pStyle w:val="BookText"/>
      </w:pPr>
      <w:r>
        <w:rPr>
          <w:rFonts w:ascii="IRNazanin" w:hAnsi="IRNazanin" w:eastAsia="IRNazanin" w:cs="IRNazanin"/>
          <w:lang w:bidi="fa-IR"/>
          <w:color w:val="111111"/>
          <w:sz w:val="28"/>
          <w:szCs w:val="28"/>
          <w:rtl/>
        </w:rPr>
        <w:t xml:space="preserve">ج 13، ص 616.</w:t>
      </w:r>
    </w:p>
    <w:p>
      <w:pPr>
        <w:pStyle w:val="BookText"/>
      </w:pPr>
      <w:r>
        <w:rPr>
          <w:rFonts w:ascii="Amiri" w:hAnsi="Amiri" w:eastAsia="Amiri" w:cs="Amiri"/>
          <w:lang w:bidi="ar-SA"/>
          <w:color w:val="111111"/>
          <w:sz w:val="28"/>
          <w:szCs w:val="28"/>
          <w:rtl/>
        </w:rPr>
        <w:t xml:space="preserve">15 .مشارق الانوار في احكام الخيار</w:t>
      </w:r>
    </w:p>
    <w:p>
      <w:pPr>
        <w:pStyle w:val="BookText"/>
      </w:pPr>
      <w:r>
        <w:rPr>
          <w:rFonts w:ascii="IRNazanin" w:hAnsi="IRNazanin" w:eastAsia="IRNazanin" w:cs="IRNazanin"/>
          <w:lang w:bidi="fa-IR"/>
          <w:color w:val="111111"/>
          <w:sz w:val="28"/>
          <w:szCs w:val="28"/>
          <w:rtl/>
        </w:rPr>
        <w:t xml:space="preserve">ج 14، ص 607.</w:t>
      </w:r>
    </w:p>
    <w:p>
      <w:pPr>
        <w:pStyle w:val="BookText"/>
      </w:pPr>
      <w:r>
        <w:rPr>
          <w:rFonts w:ascii="IRNazanin" w:hAnsi="IRNazanin" w:eastAsia="IRNazanin" w:cs="IRNazanin"/>
          <w:lang w:bidi="fa-IR"/>
          <w:color w:val="111111"/>
          <w:sz w:val="28"/>
          <w:szCs w:val="28"/>
          <w:rtl/>
        </w:rPr>
        <w:t xml:space="preserve">16 .مطلع الانوار، ج 14 ، ص789.</w:t>
      </w:r>
    </w:p>
    <w:p>
      <w:pPr>
        <w:pStyle w:val="BookText"/>
      </w:pPr>
      <w:r>
        <w:rPr>
          <w:rFonts w:ascii="Amiri" w:hAnsi="Amiri" w:eastAsia="Amiri" w:cs="Amiri"/>
          <w:lang w:bidi="ar-SA"/>
          <w:color w:val="111111"/>
          <w:sz w:val="28"/>
          <w:szCs w:val="28"/>
          <w:rtl/>
        </w:rPr>
        <w:t xml:space="preserve">ثقفي، احمد بن ابراهيم- ابن زبير ،</w:t>
      </w:r>
    </w:p>
    <w:p>
      <w:pPr>
        <w:pStyle w:val="BookText"/>
      </w:pPr>
      <w:r>
        <w:rPr>
          <w:rFonts w:ascii="Amiri" w:hAnsi="Amiri" w:eastAsia="Amiri" w:cs="Amiri"/>
          <w:lang w:bidi="ar-SA"/>
          <w:color w:val="111111"/>
          <w:sz w:val="28"/>
          <w:szCs w:val="28"/>
          <w:rtl/>
        </w:rPr>
        <w:t xml:space="preserve">احمد بن ابراهيم</w:t>
      </w:r>
    </w:p>
    <w:p>
      <w:pPr>
        <w:pStyle w:val="Heading2"/>
      </w:pPr>
      <w:bookmarkStart w:id="3202" w:name="_Toc2304"/>
      <w:r>
        <w:t>ثقفي ، زبير بن احمد</w:t>
      </w:r>
      <w:bookmarkEnd w:id="3202"/>
    </w:p>
    <w:p>
      <w:pPr>
        <w:pStyle w:val="BookText"/>
      </w:pPr>
      <w:r>
        <w:rPr>
          <w:rFonts w:ascii="Amiri" w:hAnsi="Amiri" w:eastAsia="Amiri" w:cs="Amiri"/>
          <w:lang w:bidi="ar-SA"/>
          <w:color w:val="111111"/>
          <w:sz w:val="28"/>
          <w:szCs w:val="28"/>
          <w:rtl/>
        </w:rPr>
        <w:t xml:space="preserve">الاسطرلاب (رسالة في)، ج2، ص191.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3" w:name="pg7742_70012"/>
    <w:bookmarkEnd w:id="313"/>
    <w:p>
      <w:pPr>
        <w:pStyle w:val="Heading2"/>
      </w:pPr>
      <w:bookmarkStart w:id="3203" w:name="_Toc2305"/>
      <w:r>
        <w:t>ثقفي ، علاء بن رزين ،قلاء قرن 2 ه-</w:t>
      </w:r>
      <w:bookmarkEnd w:id="32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اصل علاء بن رزين القلاء الثقفي</w:t>
      </w:r>
    </w:p>
    <w:p>
      <w:pPr>
        <w:pStyle w:val="BookText"/>
      </w:pPr>
      <w:r>
        <w:rPr>
          <w:rFonts w:ascii="IRNazanin" w:hAnsi="IRNazanin" w:eastAsia="IRNazanin" w:cs="IRNazanin"/>
          <w:lang w:bidi="fa-IR"/>
          <w:color w:val="111111"/>
          <w:sz w:val="28"/>
          <w:szCs w:val="28"/>
          <w:rtl/>
        </w:rPr>
        <w:t xml:space="preserve">ج 2، ص 395.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عبد الملك بن الحكم، ج13،</w:t>
      </w:r>
    </w:p>
    <w:p>
      <w:pPr>
        <w:pStyle w:val="BookText"/>
      </w:pPr>
      <w:r>
        <w:rPr>
          <w:rFonts w:ascii="IRNazanin" w:hAnsi="IRNazanin" w:eastAsia="IRNazanin" w:cs="IRNazanin"/>
          <w:lang w:bidi="fa-IR"/>
          <w:color w:val="111111"/>
          <w:sz w:val="28"/>
          <w:szCs w:val="28"/>
          <w:rtl/>
        </w:rPr>
        <w:t xml:space="preserve">ص108.</w:t>
      </w:r>
    </w:p>
    <w:p>
      <w:pPr>
        <w:pStyle w:val="Heading2"/>
      </w:pPr>
      <w:bookmarkStart w:id="3204" w:name="_Toc2306"/>
      <w:r>
        <w:t>ثقفي ، قاسم بن فضل - 489 ه-</w:t>
      </w:r>
      <w:bookmarkEnd w:id="3204"/>
    </w:p>
    <w:p>
      <w:pPr>
        <w:pStyle w:val="BookText"/>
      </w:pPr>
      <w:r>
        <w:rPr>
          <w:rFonts w:ascii="Amiri" w:hAnsi="Amiri" w:eastAsia="Amiri" w:cs="Amiri"/>
          <w:lang w:bidi="ar-SA"/>
          <w:color w:val="111111"/>
          <w:sz w:val="28"/>
          <w:szCs w:val="28"/>
          <w:rtl/>
        </w:rPr>
        <w:t xml:space="preserve">1 .الفوائد العوالي، ج 12، ص 249.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الفوائد المنتقاة (الثقفيات)، ج12،</w:t>
      </w:r>
    </w:p>
    <w:p>
      <w:pPr>
        <w:pStyle w:val="BookText"/>
      </w:pPr>
      <w:r>
        <w:rPr>
          <w:rFonts w:ascii="IRNazanin" w:hAnsi="IRNazanin" w:eastAsia="IRNazanin" w:cs="IRNazanin"/>
          <w:lang w:bidi="fa-IR"/>
          <w:color w:val="111111"/>
          <w:sz w:val="28"/>
          <w:szCs w:val="28"/>
          <w:rtl/>
        </w:rPr>
        <w:t xml:space="preserve">ص 278</w:t>
      </w:r>
    </w:p>
    <w:p>
      <w:pPr>
        <w:pStyle w:val="BookText"/>
      </w:pPr>
      <w:r>
        <w:rPr>
          <w:rFonts w:ascii="IRNazanin" w:hAnsi="IRNazanin" w:eastAsia="IRNazanin" w:cs="IRNazanin"/>
          <w:lang w:bidi="fa-IR"/>
          <w:color w:val="111111"/>
          <w:sz w:val="28"/>
          <w:szCs w:val="28"/>
          <w:rtl/>
        </w:rPr>
        <w:t xml:space="preserve">216 ه-</w:t>
      </w:r>
    </w:p>
    <w:p>
      <w:pPr>
        <w:pStyle w:val="Heading2"/>
      </w:pPr>
      <w:bookmarkStart w:id="3205" w:name="_Toc2307"/>
      <w:r>
        <w:t>ثقفي ، محمّد بن اسحاق، 216 - 0313</w:t>
      </w:r>
      <w:bookmarkEnd w:id="3205"/>
    </w:p>
    <w:p>
      <w:pPr>
        <w:pStyle w:val="BookText"/>
      </w:pPr>
      <w:r>
        <w:rPr>
          <w:rFonts w:ascii="Amiri" w:hAnsi="Amiri" w:eastAsia="Amiri" w:cs="Amiri"/>
          <w:lang w:bidi="ar-SA"/>
          <w:color w:val="111111"/>
          <w:sz w:val="28"/>
          <w:szCs w:val="28"/>
          <w:rtl/>
        </w:rPr>
        <w:t xml:space="preserve">1 .البيتوتة، ج 3، ص 500.</w:t>
      </w:r>
    </w:p>
    <w:p>
      <w:pPr>
        <w:pStyle w:val="BookText"/>
      </w:pPr>
      <w:r>
        <w:rPr>
          <w:rFonts w:ascii="IRNazanin" w:hAnsi="IRNazanin" w:eastAsia="IRNazanin" w:cs="IRNazanin"/>
          <w:lang w:bidi="fa-IR"/>
          <w:color w:val="111111"/>
          <w:sz w:val="28"/>
          <w:szCs w:val="28"/>
          <w:rtl/>
        </w:rPr>
        <w:t xml:space="preserve">2 .مستند النقض، ج 14، ص 569.</w:t>
      </w:r>
    </w:p>
    <w:p>
      <w:pPr>
        <w:pStyle w:val="BookText"/>
      </w:pPr>
      <w:r>
        <w:rPr>
          <w:rFonts w:ascii="Amiri" w:hAnsi="Amiri" w:eastAsia="Amiri" w:cs="Amiri"/>
          <w:lang w:bidi="ar-SA"/>
          <w:color w:val="111111"/>
          <w:sz w:val="28"/>
          <w:szCs w:val="28"/>
          <w:rtl/>
        </w:rPr>
        <w:t xml:space="preserve">ثنائي فراهاني- قائم مقام ، ابوالقاسم بن</w:t>
      </w:r>
    </w:p>
    <w:p>
      <w:pPr>
        <w:pStyle w:val="BookText"/>
      </w:pPr>
      <w:r>
        <w:rPr>
          <w:rFonts w:ascii="Amiri" w:hAnsi="Amiri" w:eastAsia="Amiri" w:cs="Amiri"/>
          <w:lang w:bidi="ar-SA"/>
          <w:color w:val="111111"/>
          <w:sz w:val="28"/>
          <w:szCs w:val="28"/>
          <w:rtl/>
        </w:rPr>
        <w:t xml:space="preserve">عيسى</w:t>
      </w:r>
    </w:p>
    <w:p>
      <w:pPr>
        <w:pStyle w:val="Heading2"/>
      </w:pPr>
      <w:bookmarkStart w:id="3206" w:name="_Toc2308"/>
      <w:r>
        <w:t>ثنيان عبداللطيف بن عبدالرحمن 1283</w:t>
      </w:r>
      <w:bookmarkEnd w:id="32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1363ه-</w:t>
      </w:r>
    </w:p>
    <w:p>
      <w:pPr>
        <w:pStyle w:val="BookText"/>
      </w:pPr>
      <w:r>
        <w:rPr>
          <w:rFonts w:ascii="Amiri" w:hAnsi="Amiri" w:eastAsia="Amiri" w:cs="Amiri"/>
          <w:lang w:bidi="ar-SA"/>
          <w:color w:val="111111"/>
          <w:sz w:val="28"/>
          <w:szCs w:val="28"/>
          <w:rtl/>
        </w:rPr>
        <w:t xml:space="preserve">1 .فهارس طبقات الشافعية الكبرى</w:t>
      </w:r>
    </w:p>
    <w:p>
      <w:pPr>
        <w:pStyle w:val="BookText"/>
      </w:pPr>
      <w:r>
        <w:rPr>
          <w:rFonts w:ascii="IRNazanin" w:hAnsi="IRNazanin" w:eastAsia="IRNazanin" w:cs="IRNazanin"/>
          <w:lang w:bidi="fa-IR"/>
          <w:color w:val="111111"/>
          <w:sz w:val="28"/>
          <w:szCs w:val="28"/>
          <w:rtl/>
        </w:rPr>
        <w:t xml:space="preserve">ج 12 ، ص 141 .</w:t>
      </w:r>
    </w:p>
    <w:p>
      <w:pPr>
        <w:pStyle w:val="BookText"/>
      </w:pPr>
      <w:r>
        <w:rPr>
          <w:rFonts w:ascii="Amiri" w:hAnsi="Amiri" w:eastAsia="Amiri" w:cs="Amiri"/>
          <w:lang w:bidi="ar-SA"/>
          <w:color w:val="111111"/>
          <w:sz w:val="28"/>
          <w:szCs w:val="28"/>
          <w:rtl/>
        </w:rPr>
        <w:t xml:space="preserve">2 .فهرس كتاب الأغاني، ج 12، ص 160 .</w:t>
      </w:r>
    </w:p>
    <w:p>
      <w:pPr>
        <w:pStyle w:val="BookText"/>
      </w:pPr>
      <w:r>
        <w:rPr>
          <w:rFonts w:ascii="Amiri" w:hAnsi="Amiri" w:eastAsia="Amiri" w:cs="Amiri"/>
          <w:lang w:bidi="ar-SA"/>
          <w:color w:val="111111"/>
          <w:sz w:val="28"/>
          <w:szCs w:val="28"/>
          <w:rtl/>
        </w:rPr>
        <w:t xml:space="preserve">ثوبان بن ابراهيم ذوالنون</w:t>
      </w:r>
    </w:p>
    <w:p>
      <w:pPr>
        <w:pStyle w:val="BookText"/>
      </w:pPr>
      <w:r>
        <w:rPr>
          <w:rFonts w:ascii="Amiri" w:hAnsi="Amiri" w:eastAsia="Amiri" w:cs="Amiri"/>
          <w:lang w:bidi="ar-SA"/>
          <w:color w:val="111111"/>
          <w:sz w:val="28"/>
          <w:szCs w:val="28"/>
          <w:rtl/>
        </w:rPr>
        <w:t xml:space="preserve">مصري -ذوالنون مصري ، ثوبان بن ابراهيم</w:t>
      </w:r>
    </w:p>
    <w:p>
      <w:pPr>
        <w:pStyle w:val="BookText"/>
      </w:pPr>
      <w:r>
        <w:rPr>
          <w:rFonts w:ascii="Amiri" w:hAnsi="Amiri" w:eastAsia="Amiri" w:cs="Amiri"/>
          <w:lang w:bidi="ar-SA"/>
          <w:color w:val="111111"/>
          <w:sz w:val="28"/>
          <w:szCs w:val="28"/>
          <w:rtl/>
        </w:rPr>
        <w:t xml:space="preserve">جابر بن حسين بن جواد كاظمي- كاظمي</w:t>
      </w:r>
    </w:p>
    <w:p>
      <w:pPr>
        <w:pStyle w:val="BookText"/>
      </w:pPr>
      <w:r>
        <w:rPr>
          <w:rFonts w:ascii="Amiri" w:hAnsi="Amiri" w:eastAsia="Amiri" w:cs="Amiri"/>
          <w:lang w:bidi="ar-SA"/>
          <w:color w:val="111111"/>
          <w:sz w:val="28"/>
          <w:szCs w:val="28"/>
          <w:rtl/>
        </w:rPr>
        <w:t xml:space="preserve">، جابر بن عبدالحسين</w:t>
      </w:r>
    </w:p>
    <w:p>
      <w:pPr>
        <w:pStyle w:val="Heading2"/>
      </w:pPr>
      <w:bookmarkStart w:id="3207" w:name="_Toc2309"/>
      <w:r>
        <w:t>جابر بن حيان، 120 - 198؟ ه-</w:t>
      </w:r>
      <w:bookmarkEnd w:id="3207"/>
    </w:p>
    <w:p>
      <w:pPr>
        <w:pStyle w:val="BookText"/>
      </w:pPr>
      <w:r>
        <w:rPr>
          <w:rFonts w:ascii="Amiri" w:hAnsi="Amiri" w:eastAsia="Amiri" w:cs="Amiri"/>
          <w:lang w:bidi="ar-SA"/>
          <w:color w:val="111111"/>
          <w:sz w:val="28"/>
          <w:szCs w:val="28"/>
          <w:rtl/>
        </w:rPr>
        <w:t xml:space="preserve">2 .الاسطقسات الثلاثة وتفسيرها، ج2،</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3 .اغراض كتاب المنفعة و تفسيره، ج2،</w:t>
      </w:r>
    </w:p>
    <w:p>
      <w:pPr>
        <w:pStyle w:val="BookText"/>
      </w:pPr>
      <w:r>
        <w:rPr>
          <w:rFonts w:ascii="IRNazanin" w:hAnsi="IRNazanin" w:eastAsia="IRNazanin" w:cs="IRNazanin"/>
          <w:lang w:bidi="fa-IR"/>
          <w:color w:val="111111"/>
          <w:sz w:val="28"/>
          <w:szCs w:val="28"/>
          <w:rtl/>
        </w:rPr>
        <w:t xml:space="preserve">ص 584.</w:t>
      </w:r>
    </w:p>
    <w:p>
      <w:pPr>
        <w:pStyle w:val="BookText"/>
      </w:pPr>
      <w:r>
        <w:rPr>
          <w:rFonts w:ascii="Amiri" w:hAnsi="Amiri" w:eastAsia="Amiri" w:cs="Amiri"/>
          <w:lang w:bidi="ar-SA"/>
          <w:color w:val="111111"/>
          <w:sz w:val="28"/>
          <w:szCs w:val="28"/>
          <w:rtl/>
        </w:rPr>
        <w:t xml:space="preserve">4 ا.وراق من مخطوطات ( يعتقد انها</w:t>
      </w:r>
    </w:p>
    <w:p>
      <w:pPr>
        <w:pStyle w:val="BookText"/>
      </w:pPr>
      <w:r>
        <w:rPr>
          <w:rFonts w:ascii="Amiri" w:hAnsi="Amiri" w:eastAsia="Amiri" w:cs="Amiri"/>
          <w:lang w:bidi="ar-SA"/>
          <w:color w:val="111111"/>
          <w:sz w:val="28"/>
          <w:szCs w:val="28"/>
          <w:rtl/>
        </w:rPr>
        <w:t xml:space="preserve">في الكيمياء، ج 3، ص70. .5 .الجامع، ج 5، ص 240.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جنات الخلد، ج 5، ص 455.</w:t>
      </w:r>
    </w:p>
    <w:p>
      <w:pPr>
        <w:pStyle w:val="BookText"/>
      </w:pPr>
      <w:r>
        <w:rPr>
          <w:rFonts w:ascii="Amiri" w:hAnsi="Amiri" w:eastAsia="Amiri" w:cs="Amiri"/>
          <w:lang w:bidi="ar-SA"/>
          <w:color w:val="111111"/>
          <w:sz w:val="28"/>
          <w:szCs w:val="28"/>
          <w:rtl/>
        </w:rPr>
        <w:t xml:space="preserve">7 .خواص الحروف و سر الطبيعة، ج 7،</w:t>
      </w:r>
    </w:p>
    <w:p>
      <w:pPr>
        <w:pStyle w:val="BookText"/>
      </w:pPr>
      <w:r>
        <w:rPr>
          <w:rFonts w:ascii="IRNazanin" w:hAnsi="IRNazanin" w:eastAsia="IRNazanin" w:cs="IRNazanin"/>
          <w:lang w:bidi="fa-IR"/>
          <w:color w:val="111111"/>
          <w:sz w:val="28"/>
          <w:szCs w:val="28"/>
          <w:rtl/>
        </w:rPr>
        <w:t xml:space="preserve">ص 176.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الخواص الكبير، ج 7، ص181.</w:t>
      </w:r>
    </w:p>
    <w:p>
      <w:pPr>
        <w:pStyle w:val="BookText"/>
      </w:pPr>
      <w:r>
        <w:rPr>
          <w:rFonts w:ascii="Amiri" w:hAnsi="Amiri" w:eastAsia="Amiri" w:cs="Amiri"/>
          <w:lang w:bidi="ar-SA"/>
          <w:color w:val="111111"/>
          <w:sz w:val="28"/>
          <w:szCs w:val="28"/>
          <w:rtl/>
        </w:rPr>
        <w:t xml:space="preserve">9 .الرحمة الصغير، ج 8، ص73.</w:t>
      </w:r>
    </w:p>
    <w:p>
      <w:pPr>
        <w:pStyle w:val="BookText"/>
      </w:pPr>
      <w:r>
        <w:rPr>
          <w:rFonts w:ascii="IRNazanin" w:hAnsi="IRNazanin" w:eastAsia="IRNazanin" w:cs="IRNazanin"/>
          <w:lang w:bidi="fa-IR"/>
          <w:color w:val="111111"/>
          <w:sz w:val="28"/>
          <w:szCs w:val="28"/>
          <w:rtl/>
        </w:rPr>
        <w:t xml:space="preserve">10 .رسائل، ج8، ص117</w:t>
      </w:r>
    </w:p>
    <w:p>
      <w:pPr>
        <w:pStyle w:val="BookText"/>
      </w:pPr>
      <w:r>
        <w:rPr>
          <w:rFonts w:ascii="Amiri" w:hAnsi="Amiri" w:eastAsia="Amiri" w:cs="Amiri"/>
          <w:lang w:bidi="ar-SA"/>
          <w:color w:val="111111"/>
          <w:sz w:val="28"/>
          <w:szCs w:val="28"/>
          <w:rtl/>
        </w:rPr>
        <w:t xml:space="preserve">11 .الرسالة الشمسية في شرح اكسير</w:t>
      </w:r>
    </w:p>
    <w:p>
      <w:pPr>
        <w:pStyle w:val="BookText"/>
      </w:pPr>
      <w:r>
        <w:rPr>
          <w:rFonts w:ascii="IRNazanin" w:hAnsi="IRNazanin" w:eastAsia="IRNazanin" w:cs="IRNazanin"/>
          <w:lang w:bidi="fa-IR"/>
          <w:color w:val="111111"/>
          <w:sz w:val="28"/>
          <w:szCs w:val="28"/>
          <w:rtl/>
        </w:rPr>
        <w:t xml:space="preserve">الأحمر، ج8، ص 215.</w:t>
      </w:r>
    </w:p>
    <w:p>
      <w:pPr>
        <w:pStyle w:val="BookText"/>
      </w:pPr>
      <w:r>
        <w:rPr>
          <w:rFonts w:ascii="IRNazanin" w:hAnsi="IRNazanin" w:eastAsia="IRNazanin" w:cs="IRNazanin"/>
          <w:lang w:bidi="fa-IR"/>
          <w:color w:val="111111"/>
          <w:sz w:val="28"/>
          <w:szCs w:val="28"/>
          <w:rtl/>
        </w:rPr>
        <w:t xml:space="preserve">12 .السموم و دفع مضارها، ج8،</w:t>
      </w:r>
    </w:p>
    <w:p>
      <w:pPr>
        <w:pStyle w:val="BookText"/>
      </w:pPr>
      <w:r>
        <w:rPr>
          <w:rFonts w:ascii="IRNazanin" w:hAnsi="IRNazanin" w:eastAsia="IRNazanin" w:cs="IRNazanin"/>
          <w:lang w:bidi="fa-IR"/>
          <w:color w:val="111111"/>
          <w:sz w:val="28"/>
          <w:szCs w:val="28"/>
          <w:rtl/>
        </w:rPr>
        <w:t xml:space="preserve">ص 835.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الصافي، ج 10، ص 470 .</w:t>
      </w:r>
    </w:p>
    <w:p>
      <w:pPr>
        <w:pStyle w:val="BookText"/>
      </w:pPr>
      <w:r>
        <w:rPr>
          <w:rFonts w:ascii="Amiri" w:hAnsi="Amiri" w:eastAsia="Amiri" w:cs="Amiri"/>
          <w:lang w:bidi="ar-SA"/>
          <w:color w:val="111111"/>
          <w:sz w:val="28"/>
          <w:szCs w:val="28"/>
          <w:rtl/>
        </w:rPr>
        <w:t xml:space="preserve">14 .الصنعة دهنية الراهب، ج 10،</w:t>
      </w:r>
    </w:p>
    <w:p>
      <w:pPr>
        <w:pStyle w:val="BookText"/>
      </w:pPr>
      <w:r>
        <w:rPr>
          <w:rFonts w:ascii="IRNazanin" w:hAnsi="IRNazanin" w:eastAsia="IRNazanin" w:cs="IRNazanin"/>
          <w:lang w:bidi="fa-IR"/>
          <w:color w:val="111111"/>
          <w:sz w:val="28"/>
          <w:szCs w:val="28"/>
          <w:rtl/>
        </w:rPr>
        <w:t xml:space="preserve">ص 640.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العوالم، ج11، ص 349.</w:t>
      </w:r>
    </w:p>
    <w:p>
      <w:pPr>
        <w:pStyle w:val="BookText"/>
      </w:pPr>
      <w:r>
        <w:rPr>
          <w:rFonts w:ascii="Amiri" w:hAnsi="Amiri" w:eastAsia="Amiri" w:cs="Amiri"/>
          <w:lang w:bidi="ar-SA"/>
          <w:color w:val="111111"/>
          <w:sz w:val="28"/>
          <w:szCs w:val="28"/>
          <w:rtl/>
        </w:rPr>
        <w:t xml:space="preserve">16 .المقابلة و المماثلة، ج 15، ص 264.</w:t>
      </w:r>
    </w:p>
    <w:p>
      <w:pPr>
        <w:pStyle w:val="BookText"/>
      </w:pPr>
      <w:r>
        <w:rPr>
          <w:rFonts w:ascii="Amiri" w:hAnsi="Amiri" w:eastAsia="Amiri" w:cs="Amiri"/>
          <w:lang w:bidi="ar-SA"/>
          <w:color w:val="111111"/>
          <w:sz w:val="28"/>
          <w:szCs w:val="28"/>
          <w:rtl/>
        </w:rPr>
        <w:t xml:space="preserve">17 .الملاغم الاول = الملاغم البرانية كتاب (1)، ج 15 ، ص 434 .</w:t>
      </w:r>
    </w:p>
    <w:p>
      <w:pPr>
        <w:pStyle w:val="BookText"/>
      </w:pPr>
      <w:r>
        <w:rPr>
          <w:rFonts w:ascii="Amiri" w:hAnsi="Amiri" w:eastAsia="Amiri" w:cs="Amiri"/>
          <w:lang w:bidi="ar-SA"/>
          <w:color w:val="111111"/>
          <w:sz w:val="28"/>
          <w:szCs w:val="28"/>
          <w:rtl/>
        </w:rPr>
        <w:t xml:space="preserve">18 .الملك في تدبير الملوك، ج 15</w:t>
      </w:r>
    </w:p>
    <w:p>
      <w:pPr>
        <w:pStyle w:val="BookText"/>
      </w:pPr>
      <w:r>
        <w:rPr>
          <w:rFonts w:ascii="IRNazanin" w:hAnsi="IRNazanin" w:eastAsia="IRNazanin" w:cs="IRNazanin"/>
          <w:lang w:bidi="fa-IR"/>
          <w:color w:val="111111"/>
          <w:sz w:val="28"/>
          <w:szCs w:val="28"/>
          <w:rtl/>
        </w:rPr>
        <w:t xml:space="preserve">ص 464.</w:t>
      </w:r>
    </w:p>
    <w:p>
      <w:pPr>
        <w:pStyle w:val="BookText"/>
      </w:pPr>
      <w:r>
        <w:rPr>
          <w:rFonts w:ascii="Amiri" w:hAnsi="Amiri" w:eastAsia="Amiri" w:cs="Amiri"/>
          <w:lang w:bidi="ar-SA"/>
          <w:color w:val="111111"/>
          <w:sz w:val="28"/>
          <w:szCs w:val="28"/>
          <w:rtl/>
        </w:rPr>
        <w:t xml:space="preserve">19 .الميزان، ج 16 ، ص 63.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النزهة في الخمسمائة، ج 16،</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Amiri" w:hAnsi="Amiri" w:eastAsia="Amiri" w:cs="Amiri"/>
          <w:lang w:bidi="ar-SA"/>
          <w:color w:val="111111"/>
          <w:sz w:val="28"/>
          <w:szCs w:val="28"/>
          <w:rtl/>
        </w:rPr>
        <w:t xml:space="preserve">جابر بن عبد الحسين كاظمي -كاظمي ، جابر بن عبد الحسين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الاتحاد، ج 1، ص 121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4" w:name="pg7742_70013"/>
    <w:bookmarkEnd w:id="314"/>
    <w:p>
      <w:pPr>
        <w:pStyle w:val="BookText"/>
      </w:pPr>
      <w:r>
        <w:rPr>
          <w:rFonts w:ascii="Amiri" w:hAnsi="Amiri" w:eastAsia="Amiri" w:cs="Amiri"/>
          <w:lang w:bidi="ar-SA"/>
          <w:color w:val="111111"/>
          <w:sz w:val="28"/>
          <w:szCs w:val="28"/>
          <w:rtl/>
        </w:rPr>
        <w:t xml:space="preserve">جابر بن عبد النبي حائري -حائري ، جابر</w:t>
      </w:r>
    </w:p>
    <w:p>
      <w:pPr>
        <w:pStyle w:val="BookText"/>
      </w:pPr>
      <w:r>
        <w:rPr>
          <w:rFonts w:ascii="Amiri" w:hAnsi="Amiri" w:eastAsia="Amiri" w:cs="Amiri"/>
          <w:lang w:bidi="ar-SA"/>
          <w:color w:val="111111"/>
          <w:sz w:val="28"/>
          <w:szCs w:val="28"/>
          <w:rtl/>
        </w:rPr>
        <w:t xml:space="preserve">بن عبدالنبي</w:t>
      </w:r>
    </w:p>
    <w:p>
      <w:pPr>
        <w:pStyle w:val="BookText"/>
      </w:pPr>
      <w:r>
        <w:rPr>
          <w:rFonts w:ascii="Amiri" w:hAnsi="Amiri" w:eastAsia="Amiri" w:cs="Amiri"/>
          <w:lang w:bidi="ar-SA"/>
          <w:color w:val="111111"/>
          <w:sz w:val="28"/>
          <w:szCs w:val="28"/>
          <w:rtl/>
        </w:rPr>
        <w:t xml:space="preserve">جابري ، عبد الرحيم بن نصر الله- انصاري</w:t>
      </w:r>
    </w:p>
    <w:p>
      <w:pPr>
        <w:pStyle w:val="BookText"/>
      </w:pPr>
      <w:r>
        <w:rPr>
          <w:rFonts w:ascii="Amiri" w:hAnsi="Amiri" w:eastAsia="Amiri" w:cs="Amiri"/>
          <w:lang w:bidi="ar-SA"/>
          <w:color w:val="111111"/>
          <w:sz w:val="28"/>
          <w:szCs w:val="28"/>
          <w:rtl/>
        </w:rPr>
        <w:t xml:space="preserve">عبد الرحيم بن نصر الله</w:t>
      </w:r>
    </w:p>
    <w:p>
      <w:pPr>
        <w:pStyle w:val="BookText"/>
      </w:pPr>
      <w:r>
        <w:rPr>
          <w:rFonts w:ascii="IRNazanin" w:hAnsi="IRNazanin" w:eastAsia="IRNazanin" w:cs="IRNazanin"/>
          <w:lang w:bidi="fa-IR"/>
          <w:color w:val="111111"/>
          <w:sz w:val="28"/>
          <w:szCs w:val="28"/>
          <w:rtl/>
        </w:rPr>
        <w:t xml:space="preserve">جابلقي بروجردي ، علي اصغر بن محمّد شفيع - چاپلقي ، علي اصغر بن محمّد شفیع</w:t>
      </w:r>
    </w:p>
    <w:p>
      <w:pPr>
        <w:pStyle w:val="Heading2"/>
      </w:pPr>
      <w:bookmarkStart w:id="3208" w:name="_Toc2310"/>
      <w:r>
        <w:t>جابلقي ، محمّد شفيع بن علي اكبر</w:t>
      </w:r>
      <w:bookmarkEnd w:id="3208"/>
    </w:p>
    <w:p>
      <w:pPr>
        <w:pStyle w:val="BookText"/>
      </w:pPr>
      <w:r>
        <w:rPr>
          <w:rFonts w:ascii="IRNazanin" w:hAnsi="IRNazanin" w:eastAsia="IRNazanin" w:cs="IRNazanin"/>
          <w:lang w:bidi="fa-IR"/>
          <w:color w:val="111111"/>
          <w:sz w:val="28"/>
          <w:szCs w:val="28"/>
          <w:rtl/>
        </w:rPr>
        <w:t xml:space="preserve">1280ه-</w:t>
      </w:r>
    </w:p>
    <w:p>
      <w:pPr>
        <w:pStyle w:val="BookText"/>
      </w:pPr>
      <w:r>
        <w:rPr>
          <w:rFonts w:ascii="Amiri" w:hAnsi="Amiri" w:eastAsia="Amiri" w:cs="Amiri"/>
          <w:lang w:bidi="ar-SA"/>
          <w:color w:val="111111"/>
          <w:sz w:val="28"/>
          <w:szCs w:val="28"/>
          <w:rtl/>
        </w:rPr>
        <w:t xml:space="preserve">القواعد الشريفية في مهمات المسائل</w:t>
      </w:r>
    </w:p>
    <w:p>
      <w:pPr>
        <w:pStyle w:val="BookText"/>
      </w:pPr>
      <w:r>
        <w:rPr>
          <w:rFonts w:ascii="Amiri" w:hAnsi="Amiri" w:eastAsia="Amiri" w:cs="Amiri"/>
          <w:lang w:bidi="ar-SA"/>
          <w:color w:val="111111"/>
          <w:sz w:val="28"/>
          <w:szCs w:val="28"/>
          <w:rtl/>
        </w:rPr>
        <w:t xml:space="preserve">الاصولية - تقريرات شريف العلماء ج 12، ص 793.</w:t>
      </w:r>
    </w:p>
    <w:p>
      <w:pPr>
        <w:pStyle w:val="BookText"/>
      </w:pPr>
      <w:r>
        <w:rPr>
          <w:rFonts w:ascii="Amiri" w:hAnsi="Amiri" w:eastAsia="Amiri" w:cs="Amiri"/>
          <w:lang w:bidi="ar-SA"/>
          <w:color w:val="111111"/>
          <w:sz w:val="28"/>
          <w:szCs w:val="28"/>
          <w:rtl/>
        </w:rPr>
        <w:t xml:space="preserve">جائليق ، عبد الله بن طيب -عراقي ،</w:t>
      </w:r>
    </w:p>
    <w:p>
      <w:pPr>
        <w:pStyle w:val="BookText"/>
      </w:pPr>
      <w:r>
        <w:rPr>
          <w:rFonts w:ascii="Amiri" w:hAnsi="Amiri" w:eastAsia="Amiri" w:cs="Amiri"/>
          <w:lang w:bidi="ar-SA"/>
          <w:color w:val="111111"/>
          <w:sz w:val="28"/>
          <w:szCs w:val="28"/>
          <w:rtl/>
        </w:rPr>
        <w:t xml:space="preserve">عبدالله بن طيب</w:t>
      </w:r>
    </w:p>
    <w:p>
      <w:pPr>
        <w:pStyle w:val="Heading2"/>
      </w:pPr>
      <w:bookmarkStart w:id="3209" w:name="_Toc2311"/>
      <w:r>
        <w:t>جاحظ، عمرو بن بحر، 150 - 255 ه-</w:t>
      </w:r>
      <w:bookmarkEnd w:id="32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الاخبار المنتخبة من كتاب البيان</w:t>
      </w:r>
    </w:p>
    <w:p>
      <w:pPr>
        <w:pStyle w:val="BookText"/>
      </w:pPr>
      <w:r>
        <w:rPr>
          <w:rFonts w:ascii="IRNazanin" w:hAnsi="IRNazanin" w:eastAsia="IRNazanin" w:cs="IRNazanin"/>
          <w:lang w:bidi="fa-IR"/>
          <w:color w:val="111111"/>
          <w:sz w:val="28"/>
          <w:szCs w:val="28"/>
          <w:rtl/>
        </w:rPr>
        <w:t xml:space="preserve">ج 1، ص 537.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اخلاق الكتاب، ج 1، ص 579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البغال و منافعها، ج3، ص 360.</w:t>
      </w:r>
    </w:p>
    <w:p>
      <w:pPr>
        <w:pStyle w:val="BookText"/>
      </w:pPr>
      <w:r>
        <w:rPr>
          <w:rFonts w:ascii="Amiri" w:hAnsi="Amiri" w:eastAsia="Amiri" w:cs="Amiri"/>
          <w:lang w:bidi="ar-SA"/>
          <w:color w:val="111111"/>
          <w:sz w:val="28"/>
          <w:szCs w:val="28"/>
          <w:rtl/>
        </w:rPr>
        <w:t xml:space="preserve">4 .البيان والتبيين، ج 3، ص 498</w:t>
      </w:r>
    </w:p>
    <w:p>
      <w:pPr>
        <w:pStyle w:val="BookText"/>
      </w:pPr>
      <w:r>
        <w:rPr>
          <w:rFonts w:ascii="Amiri" w:hAnsi="Amiri" w:eastAsia="Amiri" w:cs="Amiri"/>
          <w:lang w:bidi="ar-SA"/>
          <w:color w:val="111111"/>
          <w:sz w:val="28"/>
          <w:szCs w:val="28"/>
          <w:rtl/>
        </w:rPr>
        <w:t xml:space="preserve">5 .التبصر بالتجارة، ج 3، ص 635.</w:t>
      </w:r>
    </w:p>
    <w:p>
      <w:pPr>
        <w:pStyle w:val="BookText"/>
      </w:pPr>
      <w:r>
        <w:rPr>
          <w:rFonts w:ascii="Amiri" w:hAnsi="Amiri" w:eastAsia="Amiri" w:cs="Amiri"/>
          <w:lang w:bidi="ar-SA"/>
          <w:color w:val="111111"/>
          <w:sz w:val="28"/>
          <w:szCs w:val="28"/>
          <w:rtl/>
        </w:rPr>
        <w:t xml:space="preserve">6 .تفضيل بني هاشم (رسالة في)، جع،</w:t>
      </w:r>
    </w:p>
    <w:p>
      <w:pPr>
        <w:pStyle w:val="BookText"/>
      </w:pPr>
      <w:r>
        <w:rPr>
          <w:rFonts w:ascii="IRNazanin" w:hAnsi="IRNazanin" w:eastAsia="IRNazanin" w:cs="IRNazanin"/>
          <w:lang w:bidi="fa-IR"/>
          <w:color w:val="111111"/>
          <w:sz w:val="28"/>
          <w:szCs w:val="28"/>
          <w:rtl/>
        </w:rPr>
        <w:t xml:space="preserve">ص 710.</w:t>
      </w:r>
    </w:p>
    <w:p>
      <w:pPr>
        <w:pStyle w:val="BookText"/>
      </w:pPr>
      <w:r>
        <w:rPr>
          <w:rFonts w:ascii="Amiri" w:hAnsi="Amiri" w:eastAsia="Amiri" w:cs="Amiri"/>
          <w:lang w:bidi="ar-SA"/>
          <w:color w:val="111111"/>
          <w:sz w:val="28"/>
          <w:szCs w:val="28"/>
          <w:rtl/>
        </w:rPr>
        <w:t xml:space="preserve">7 .تفضيل علي عليه السلام و اثبات امامته (رسالة في)، ج4، ص 711.</w:t>
      </w:r>
    </w:p>
    <w:p>
      <w:pPr>
        <w:pStyle w:val="BookText"/>
      </w:pPr>
      <w:r>
        <w:rPr>
          <w:rFonts w:ascii="Amiri" w:hAnsi="Amiri" w:eastAsia="Amiri" w:cs="Amiri"/>
          <w:lang w:bidi="ar-SA"/>
          <w:color w:val="111111"/>
          <w:sz w:val="28"/>
          <w:szCs w:val="28"/>
          <w:rtl/>
        </w:rPr>
        <w:t xml:space="preserve">8 .تفضيل هاشم على عبد شمس، جع،</w:t>
      </w:r>
    </w:p>
    <w:p>
      <w:pPr>
        <w:pStyle w:val="BookText"/>
      </w:pPr>
      <w:r>
        <w:rPr>
          <w:rFonts w:ascii="IRNazanin" w:hAnsi="IRNazanin" w:eastAsia="IRNazanin" w:cs="IRNazanin"/>
          <w:lang w:bidi="fa-IR"/>
          <w:color w:val="111111"/>
          <w:sz w:val="28"/>
          <w:szCs w:val="28"/>
          <w:rtl/>
        </w:rPr>
        <w:t xml:space="preserve">ص 711.</w:t>
      </w:r>
    </w:p>
    <w:p>
      <w:pPr>
        <w:pStyle w:val="BookText"/>
      </w:pPr>
      <w:r>
        <w:rPr>
          <w:rFonts w:ascii="IRNazanin" w:hAnsi="IRNazanin" w:eastAsia="IRNazanin" w:cs="IRNazanin"/>
          <w:lang w:bidi="fa-IR"/>
          <w:color w:val="111111"/>
          <w:sz w:val="28"/>
          <w:szCs w:val="28"/>
          <w:rtl/>
        </w:rPr>
        <w:t xml:space="preserve">9 .الجد والهزل، ج 5، ص 375.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الحجاب، ج 6، ص 479.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حكاية عثمان الخياط في اللصوص</w:t>
      </w:r>
    </w:p>
    <w:p>
      <w:pPr>
        <w:pStyle w:val="BookText"/>
      </w:pPr>
      <w:r>
        <w:rPr>
          <w:rFonts w:ascii="Amiri" w:hAnsi="Amiri" w:eastAsia="Amiri" w:cs="Amiri"/>
          <w:lang w:bidi="ar-SA"/>
          <w:color w:val="111111"/>
          <w:sz w:val="28"/>
          <w:szCs w:val="28"/>
          <w:rtl/>
        </w:rPr>
        <w:t xml:space="preserve">و وصاياه، ج 6، ص729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الحنين إلى الأوطان (رسالة في)</w:t>
      </w:r>
    </w:p>
    <w:p>
      <w:pPr>
        <w:pStyle w:val="BookText"/>
      </w:pPr>
      <w:r>
        <w:rPr>
          <w:rFonts w:ascii="IRNazanin" w:hAnsi="IRNazanin" w:eastAsia="IRNazanin" w:cs="IRNazanin"/>
          <w:lang w:bidi="fa-IR"/>
          <w:color w:val="111111"/>
          <w:sz w:val="28"/>
          <w:szCs w:val="28"/>
          <w:rtl/>
        </w:rPr>
        <w:t xml:space="preserve">ج 6، ص 824.</w:t>
      </w:r>
    </w:p>
    <w:p>
      <w:pPr>
        <w:pStyle w:val="BookText"/>
      </w:pPr>
      <w:r>
        <w:rPr>
          <w:rFonts w:ascii="Amiri" w:hAnsi="Amiri" w:eastAsia="Amiri" w:cs="Amiri"/>
          <w:lang w:bidi="ar-SA"/>
          <w:color w:val="111111"/>
          <w:sz w:val="28"/>
          <w:szCs w:val="28"/>
          <w:rtl/>
        </w:rPr>
        <w:t xml:space="preserve">13 .الحيوان، ج6 ، ص 871</w:t>
      </w:r>
    </w:p>
    <w:p>
      <w:pPr>
        <w:pStyle w:val="BookText"/>
      </w:pPr>
      <w:r>
        <w:rPr>
          <w:rFonts w:ascii="Amiri" w:hAnsi="Amiri" w:eastAsia="Amiri" w:cs="Amiri"/>
          <w:lang w:bidi="ar-SA"/>
          <w:color w:val="111111"/>
          <w:sz w:val="28"/>
          <w:szCs w:val="28"/>
          <w:rtl/>
        </w:rPr>
        <w:t xml:space="preserve">14 .الرد على الشعوبية، ج8، ص 96 .</w:t>
      </w:r>
    </w:p>
    <w:p>
      <w:pPr>
        <w:pStyle w:val="BookText"/>
      </w:pPr>
      <w:r>
        <w:rPr>
          <w:rFonts w:ascii="Amiri" w:hAnsi="Amiri" w:eastAsia="Amiri" w:cs="Amiri"/>
          <w:lang w:bidi="ar-SA"/>
          <w:color w:val="111111"/>
          <w:sz w:val="28"/>
          <w:szCs w:val="28"/>
          <w:rtl/>
        </w:rPr>
        <w:t xml:space="preserve">15 .رسالة إلى محمّد بن عبدالملك في الاخلاق المحمودة و المذمومة، ج8،</w:t>
      </w:r>
    </w:p>
    <w:p>
      <w:pPr>
        <w:pStyle w:val="BookText"/>
      </w:pPr>
      <w:r>
        <w:rPr>
          <w:rFonts w:ascii="IRNazanin" w:hAnsi="IRNazanin" w:eastAsia="IRNazanin" w:cs="IRNazanin"/>
          <w:lang w:bidi="fa-IR"/>
          <w:color w:val="111111"/>
          <w:sz w:val="28"/>
          <w:szCs w:val="28"/>
          <w:rtl/>
        </w:rPr>
        <w:t xml:space="preserve">ص 169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العصا، ج 11، ص 121.</w:t>
      </w:r>
    </w:p>
    <w:p>
      <w:pPr>
        <w:pStyle w:val="BookText"/>
      </w:pPr>
      <w:r>
        <w:rPr>
          <w:rFonts w:ascii="Amiri" w:hAnsi="Amiri" w:eastAsia="Amiri" w:cs="Amiri"/>
          <w:lang w:bidi="ar-SA"/>
          <w:color w:val="111111"/>
          <w:sz w:val="28"/>
          <w:szCs w:val="28"/>
          <w:rtl/>
        </w:rPr>
        <w:t xml:space="preserve">17 .فخر السودان على البيضان، ج11،</w:t>
      </w:r>
    </w:p>
    <w:p>
      <w:pPr>
        <w:pStyle w:val="BookText"/>
      </w:pPr>
      <w:r>
        <w:rPr>
          <w:rFonts w:ascii="IRNazanin" w:hAnsi="IRNazanin" w:eastAsia="IRNazanin" w:cs="IRNazanin"/>
          <w:lang w:bidi="fa-IR"/>
          <w:color w:val="111111"/>
          <w:sz w:val="28"/>
          <w:szCs w:val="28"/>
          <w:rtl/>
        </w:rPr>
        <w:t xml:space="preserve">ص 722.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فصل ما بين العداوة و الحسد</w:t>
      </w:r>
    </w:p>
    <w:p>
      <w:pPr>
        <w:pStyle w:val="BookText"/>
      </w:pPr>
      <w:r>
        <w:rPr>
          <w:rFonts w:ascii="Amiri" w:hAnsi="Amiri" w:eastAsia="Amiri" w:cs="Amiri"/>
          <w:lang w:bidi="ar-SA"/>
          <w:color w:val="111111"/>
          <w:sz w:val="28"/>
          <w:szCs w:val="28"/>
          <w:rtl/>
        </w:rPr>
        <w:t xml:space="preserve">(رسالة في)، ج 11، ص837.</w:t>
      </w:r>
    </w:p>
    <w:p>
      <w:pPr>
        <w:pStyle w:val="BookText"/>
      </w:pPr>
      <w:r>
        <w:rPr>
          <w:rFonts w:ascii="Amiri" w:hAnsi="Amiri" w:eastAsia="Amiri" w:cs="Amiri"/>
          <w:lang w:bidi="ar-SA"/>
          <w:color w:val="111111"/>
          <w:sz w:val="28"/>
          <w:szCs w:val="28"/>
          <w:rtl/>
        </w:rPr>
        <w:t xml:space="preserve">19 .الفصول المختارة من كتب أبي</w:t>
      </w:r>
    </w:p>
    <w:p>
      <w:pPr>
        <w:pStyle w:val="BookText"/>
      </w:pPr>
      <w:r>
        <w:rPr>
          <w:rFonts w:ascii="IRNazanin" w:hAnsi="IRNazanin" w:eastAsia="IRNazanin" w:cs="IRNazanin"/>
          <w:lang w:bidi="fa-IR"/>
          <w:color w:val="111111"/>
          <w:sz w:val="28"/>
          <w:szCs w:val="28"/>
          <w:rtl/>
        </w:rPr>
        <w:t xml:space="preserve">عثمان، ج11، ص 863.</w:t>
      </w:r>
    </w:p>
    <w:p>
      <w:pPr>
        <w:pStyle w:val="BookText"/>
      </w:pPr>
      <w:r>
        <w:rPr>
          <w:rFonts w:ascii="Amiri" w:hAnsi="Amiri" w:eastAsia="Amiri" w:cs="Amiri"/>
          <w:lang w:bidi="ar-SA"/>
          <w:color w:val="111111"/>
          <w:sz w:val="28"/>
          <w:szCs w:val="28"/>
          <w:rtl/>
        </w:rPr>
        <w:t xml:space="preserve">20 .فضايل الاتراك، ج 12، ص 3.</w:t>
      </w:r>
    </w:p>
    <w:p>
      <w:pPr>
        <w:pStyle w:val="BookText"/>
      </w:pPr>
      <w:r>
        <w:rPr>
          <w:rFonts w:ascii="Amiri" w:hAnsi="Amiri" w:eastAsia="Amiri" w:cs="Amiri"/>
          <w:lang w:bidi="ar-SA"/>
          <w:color w:val="111111"/>
          <w:sz w:val="28"/>
          <w:szCs w:val="28"/>
          <w:rtl/>
        </w:rPr>
        <w:t xml:space="preserve">21 .القيان، ج 12، ص 874.</w:t>
      </w:r>
    </w:p>
    <w:p>
      <w:pPr>
        <w:pStyle w:val="BookText"/>
      </w:pPr>
      <w:r>
        <w:rPr>
          <w:rFonts w:ascii="Amiri" w:hAnsi="Amiri" w:eastAsia="Amiri" w:cs="Amiri"/>
          <w:lang w:bidi="ar-SA"/>
          <w:color w:val="111111"/>
          <w:sz w:val="28"/>
          <w:szCs w:val="28"/>
          <w:rtl/>
        </w:rPr>
        <w:t xml:space="preserve">22 .كتمان السر و حفظ اللسان، ج13،</w:t>
      </w:r>
    </w:p>
    <w:p>
      <w:pPr>
        <w:pStyle w:val="BookText"/>
      </w:pPr>
      <w:r>
        <w:rPr>
          <w:rFonts w:ascii="IRNazanin" w:hAnsi="IRNazanin" w:eastAsia="IRNazanin" w:cs="IRNazanin"/>
          <w:lang w:bidi="fa-IR"/>
          <w:color w:val="111111"/>
          <w:sz w:val="28"/>
          <w:szCs w:val="28"/>
          <w:rtl/>
        </w:rPr>
        <w:t xml:space="preserve">ص 148.</w:t>
      </w:r>
    </w:p>
    <w:p>
      <w:pPr>
        <w:pStyle w:val="BookText"/>
      </w:pPr>
      <w:r>
        <w:rPr>
          <w:rFonts w:ascii="Amiri" w:hAnsi="Amiri" w:eastAsia="Amiri" w:cs="Amiri"/>
          <w:lang w:bidi="ar-SA"/>
          <w:color w:val="111111"/>
          <w:sz w:val="28"/>
          <w:szCs w:val="28"/>
          <w:rtl/>
        </w:rPr>
        <w:t xml:space="preserve">23 .مائة كلمة امام علي (ع) = الكلمات المأة، ج 13، ص 698.</w:t>
      </w:r>
    </w:p>
    <w:p>
      <w:pPr>
        <w:pStyle w:val="BookText"/>
      </w:pPr>
      <w:r>
        <w:rPr>
          <w:rFonts w:ascii="IRNazanin" w:hAnsi="IRNazanin" w:eastAsia="IRNazanin" w:cs="IRNazanin"/>
          <w:lang w:bidi="fa-IR"/>
          <w:color w:val="111111"/>
          <w:sz w:val="28"/>
          <w:szCs w:val="28"/>
          <w:rtl/>
        </w:rPr>
        <w:t xml:space="preserve">24 .المحاسن و الإضداد، ج 14، ص 97.</w:t>
      </w:r>
    </w:p>
    <w:p>
      <w:pPr>
        <w:pStyle w:val="BookText"/>
      </w:pPr>
      <w:r>
        <w:rPr>
          <w:rFonts w:ascii="Amiri" w:hAnsi="Amiri" w:eastAsia="Amiri" w:cs="Amiri"/>
          <w:lang w:bidi="ar-SA"/>
          <w:color w:val="111111"/>
          <w:sz w:val="28"/>
          <w:szCs w:val="28"/>
          <w:rtl/>
        </w:rPr>
        <w:t xml:space="preserve">25 .مدح الكتب و الحث على جمعها</w:t>
      </w:r>
    </w:p>
    <w:p>
      <w:pPr>
        <w:pStyle w:val="BookText"/>
      </w:pPr>
      <w:r>
        <w:rPr>
          <w:rFonts w:ascii="IRNazanin" w:hAnsi="IRNazanin" w:eastAsia="IRNazanin" w:cs="IRNazanin"/>
          <w:lang w:bidi="fa-IR"/>
          <w:color w:val="111111"/>
          <w:sz w:val="28"/>
          <w:szCs w:val="28"/>
          <w:rtl/>
        </w:rPr>
        <w:t xml:space="preserve">ج 14، ص 322.</w:t>
      </w:r>
    </w:p>
    <w:p>
      <w:pPr>
        <w:pStyle w:val="BookText"/>
      </w:pPr>
      <w:r>
        <w:rPr>
          <w:rFonts w:ascii="Amiri" w:hAnsi="Amiri" w:eastAsia="Amiri" w:cs="Amiri"/>
          <w:lang w:bidi="ar-SA"/>
          <w:color w:val="111111"/>
          <w:sz w:val="28"/>
          <w:szCs w:val="28"/>
          <w:rtl/>
        </w:rPr>
        <w:t xml:space="preserve">26 .المعاد و المعاش في الادب و تدبير</w:t>
      </w:r>
    </w:p>
    <w:p>
      <w:pPr>
        <w:pStyle w:val="BookText"/>
      </w:pPr>
      <w:r>
        <w:rPr>
          <w:rFonts w:ascii="IRNazanin" w:hAnsi="IRNazanin" w:eastAsia="IRNazanin" w:cs="IRNazanin"/>
          <w:lang w:bidi="fa-IR"/>
          <w:color w:val="111111"/>
          <w:sz w:val="28"/>
          <w:szCs w:val="28"/>
          <w:rtl/>
        </w:rPr>
        <w:t xml:space="preserve">الناس، ج 14، ص 833.</w:t>
      </w:r>
    </w:p>
    <w:p>
      <w:pPr>
        <w:pStyle w:val="BookText"/>
      </w:pPr>
      <w:r>
        <w:rPr>
          <w:rFonts w:ascii="Amiri" w:hAnsi="Amiri" w:eastAsia="Amiri" w:cs="Amiri"/>
          <w:lang w:bidi="ar-SA"/>
          <w:color w:val="111111"/>
          <w:sz w:val="28"/>
          <w:szCs w:val="28"/>
          <w:rtl/>
        </w:rPr>
        <w:t xml:space="preserve">27 .مفاخرة بين الجواري و الغلمان</w:t>
      </w:r>
    </w:p>
    <w:p>
      <w:pPr>
        <w:pStyle w:val="BookText"/>
      </w:pPr>
      <w:r>
        <w:rPr>
          <w:rFonts w:ascii="IRNazanin" w:hAnsi="IRNazanin" w:eastAsia="IRNazanin" w:cs="IRNazanin"/>
          <w:lang w:bidi="fa-IR"/>
          <w:color w:val="111111"/>
          <w:sz w:val="28"/>
          <w:szCs w:val="28"/>
          <w:rtl/>
        </w:rPr>
        <w:t xml:space="preserve">ج 15، ص 179.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نفي التشبية (رسالة في)، ج 16،</w:t>
      </w:r>
    </w:p>
    <w:p>
      <w:pPr>
        <w:pStyle w:val="BookText"/>
      </w:pPr>
      <w:r>
        <w:rPr>
          <w:rFonts w:ascii="IRNazanin" w:hAnsi="IRNazanin" w:eastAsia="IRNazanin" w:cs="IRNazanin"/>
          <w:lang w:bidi="fa-IR"/>
          <w:color w:val="111111"/>
          <w:sz w:val="28"/>
          <w:szCs w:val="28"/>
          <w:rtl/>
        </w:rPr>
        <w:t xml:space="preserve">ص 407 .</w:t>
      </w:r>
    </w:p>
    <w:p>
      <w:pPr>
        <w:pStyle w:val="BookText"/>
      </w:pPr>
      <w:r>
        <w:rPr>
          <w:rFonts w:ascii="Amiri" w:hAnsi="Amiri" w:eastAsia="Amiri" w:cs="Amiri"/>
          <w:lang w:bidi="ar-SA"/>
          <w:color w:val="111111"/>
          <w:sz w:val="28"/>
          <w:szCs w:val="28"/>
          <w:rtl/>
        </w:rPr>
        <w:t xml:space="preserve">جار الله بن عبدالعزيز هاشمي- ابن فهد ،</w:t>
      </w:r>
    </w:p>
    <w:p>
      <w:pPr>
        <w:pStyle w:val="BookText"/>
      </w:pPr>
      <w:r>
        <w:rPr>
          <w:rFonts w:ascii="Amiri" w:hAnsi="Amiri" w:eastAsia="Amiri" w:cs="Amiri"/>
          <w:lang w:bidi="ar-SA"/>
          <w:color w:val="111111"/>
          <w:sz w:val="28"/>
          <w:szCs w:val="28"/>
          <w:rtl/>
        </w:rPr>
        <w:t xml:space="preserve">محمّد بن عبدالعزيز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5" w:name="pg7742_70015"/>
    <w:bookmarkEnd w:id="315"/>
    <w:p>
      <w:pPr>
        <w:pStyle w:val="BookText"/>
      </w:pPr>
      <w:r>
        <w:rPr>
          <w:rFonts w:ascii="Amiri" w:hAnsi="Amiri" w:eastAsia="Amiri" w:cs="Amiri"/>
          <w:lang w:bidi="ar-SA"/>
          <w:color w:val="111111"/>
          <w:sz w:val="28"/>
          <w:szCs w:val="28"/>
          <w:rtl/>
        </w:rPr>
        <w:t xml:space="preserve">جار الله زمخشري -زمخشري ، محمود بن عمر</w:t>
      </w:r>
    </w:p>
    <w:p>
      <w:pPr>
        <w:pStyle w:val="Heading2"/>
      </w:pPr>
      <w:bookmarkStart w:id="3210" w:name="_Toc2312"/>
      <w:r>
        <w:t>جاربردي ، احمد بن حسن - 746 ه-</w:t>
      </w:r>
      <w:bookmarkEnd w:id="3210"/>
    </w:p>
    <w:p>
      <w:pPr>
        <w:pStyle w:val="BookText"/>
      </w:pPr>
      <w:r>
        <w:rPr>
          <w:rFonts w:ascii="Amiri" w:hAnsi="Amiri" w:eastAsia="Amiri" w:cs="Amiri"/>
          <w:lang w:bidi="ar-SA"/>
          <w:color w:val="111111"/>
          <w:sz w:val="28"/>
          <w:szCs w:val="28"/>
          <w:rtl/>
        </w:rPr>
        <w:t xml:space="preserve">1 .السراج الوهاج في شرح المنهاج</w:t>
      </w:r>
    </w:p>
    <w:p>
      <w:pPr>
        <w:pStyle w:val="BookText"/>
      </w:pPr>
      <w:r>
        <w:rPr>
          <w:rFonts w:ascii="IRNazanin" w:hAnsi="IRNazanin" w:eastAsia="IRNazanin" w:cs="IRNazanin"/>
          <w:lang w:bidi="fa-IR"/>
          <w:color w:val="111111"/>
          <w:sz w:val="28"/>
          <w:szCs w:val="28"/>
          <w:rtl/>
        </w:rPr>
        <w:t xml:space="preserve">ج 8، ص 742.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التصريف، ج 9، ص 336.</w:t>
      </w:r>
    </w:p>
    <w:p>
      <w:pPr>
        <w:pStyle w:val="BookText"/>
      </w:pPr>
      <w:r>
        <w:rPr>
          <w:rFonts w:ascii="Amiri" w:hAnsi="Amiri" w:eastAsia="Amiri" w:cs="Amiri"/>
          <w:lang w:bidi="ar-SA"/>
          <w:color w:val="111111"/>
          <w:sz w:val="28"/>
          <w:szCs w:val="28"/>
          <w:rtl/>
        </w:rPr>
        <w:t xml:space="preserve">3.شرح الشافية، ج 9، ص 600.</w:t>
      </w:r>
    </w:p>
    <w:p>
      <w:pPr>
        <w:pStyle w:val="BookText"/>
      </w:pPr>
      <w:r>
        <w:rPr>
          <w:rFonts w:ascii="Amiri" w:hAnsi="Amiri" w:eastAsia="Amiri" w:cs="Amiri"/>
          <w:lang w:bidi="ar-SA"/>
          <w:color w:val="111111"/>
          <w:sz w:val="28"/>
          <w:szCs w:val="28"/>
          <w:rtl/>
        </w:rPr>
        <w:t xml:space="preserve">4 .شرح العزي في التصريف، ج9،</w:t>
      </w:r>
    </w:p>
    <w:p>
      <w:pPr>
        <w:pStyle w:val="BookText"/>
      </w:pPr>
      <w:r>
        <w:rPr>
          <w:rFonts w:ascii="IRNazanin" w:hAnsi="IRNazanin" w:eastAsia="IRNazanin" w:cs="IRNazanin"/>
          <w:lang w:bidi="fa-IR"/>
          <w:color w:val="111111"/>
          <w:sz w:val="28"/>
          <w:szCs w:val="28"/>
          <w:rtl/>
        </w:rPr>
        <w:t xml:space="preserve">ص 691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منهاج الوصول إلى علم</w:t>
      </w:r>
    </w:p>
    <w:p>
      <w:pPr>
        <w:pStyle w:val="BookText"/>
      </w:pPr>
      <w:r>
        <w:rPr>
          <w:rFonts w:ascii="IRNazanin" w:hAnsi="IRNazanin" w:eastAsia="IRNazanin" w:cs="IRNazanin"/>
          <w:lang w:bidi="fa-IR"/>
          <w:color w:val="111111"/>
          <w:sz w:val="28"/>
          <w:szCs w:val="28"/>
          <w:rtl/>
        </w:rPr>
        <w:t xml:space="preserve">الاصول، ج 10، ص 266.</w:t>
      </w:r>
    </w:p>
    <w:p>
      <w:pPr>
        <w:pStyle w:val="BookText"/>
      </w:pPr>
      <w:r>
        <w:rPr>
          <w:rFonts w:ascii="Amiri" w:hAnsi="Amiri" w:eastAsia="Amiri" w:cs="Amiri"/>
          <w:lang w:bidi="ar-SA"/>
          <w:color w:val="111111"/>
          <w:sz w:val="28"/>
          <w:szCs w:val="28"/>
          <w:rtl/>
        </w:rPr>
        <w:t xml:space="preserve">6 .الصرف (رسالة في)، ج 10، ص 551.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المغني في النحو، ج15، ص 129.</w:t>
      </w:r>
    </w:p>
    <w:p>
      <w:pPr>
        <w:pStyle w:val="BookText"/>
      </w:pPr>
      <w:r>
        <w:rPr>
          <w:rFonts w:ascii="Amiri" w:hAnsi="Amiri" w:eastAsia="Amiri" w:cs="Amiri"/>
          <w:lang w:bidi="ar-SA"/>
          <w:color w:val="111111"/>
          <w:sz w:val="28"/>
          <w:szCs w:val="28"/>
          <w:rtl/>
        </w:rPr>
        <w:t xml:space="preserve">8 .الوافي في شرح شافية ابن الحاجب</w:t>
      </w:r>
    </w:p>
    <w:p>
      <w:pPr>
        <w:pStyle w:val="BookText"/>
      </w:pPr>
      <w:r>
        <w:rPr>
          <w:rFonts w:ascii="IRNazanin" w:hAnsi="IRNazanin" w:eastAsia="IRNazanin" w:cs="IRNazanin"/>
          <w:lang w:bidi="fa-IR"/>
          <w:color w:val="111111"/>
          <w:sz w:val="28"/>
          <w:szCs w:val="28"/>
          <w:rtl/>
        </w:rPr>
        <w:t xml:space="preserve">ج 16، ص 719.</w:t>
      </w:r>
    </w:p>
    <w:p>
      <w:pPr>
        <w:pStyle w:val="BookText"/>
      </w:pPr>
      <w:r>
        <w:rPr>
          <w:rFonts w:ascii="Amiri" w:hAnsi="Amiri" w:eastAsia="Amiri" w:cs="Amiri"/>
          <w:lang w:bidi="ar-SA"/>
          <w:color w:val="111111"/>
          <w:sz w:val="28"/>
          <w:szCs w:val="28"/>
          <w:rtl/>
        </w:rPr>
        <w:t xml:space="preserve">جارجاني ، عبدالعلي بن احمد - كوكاني ،</w:t>
      </w:r>
    </w:p>
    <w:p>
      <w:pPr>
        <w:pStyle w:val="BookText"/>
      </w:pPr>
      <w:r>
        <w:rPr>
          <w:rFonts w:ascii="Amiri" w:hAnsi="Amiri" w:eastAsia="Amiri" w:cs="Amiri"/>
          <w:lang w:bidi="ar-SA"/>
          <w:color w:val="111111"/>
          <w:sz w:val="28"/>
          <w:szCs w:val="28"/>
          <w:rtl/>
        </w:rPr>
        <w:t xml:space="preserve">عبدالعلي بن احمد</w:t>
      </w:r>
    </w:p>
    <w:p>
      <w:pPr>
        <w:pStyle w:val="Heading2"/>
      </w:pPr>
      <w:bookmarkStart w:id="3211" w:name="_Toc2313"/>
      <w:r>
        <w:t>جارلس ،ریو قرن 19م</w:t>
      </w:r>
      <w:bookmarkEnd w:id="3211"/>
    </w:p>
    <w:p>
      <w:pPr>
        <w:pStyle w:val="BookText"/>
      </w:pPr>
      <w:r>
        <w:rPr>
          <w:rFonts w:ascii="Amiri" w:hAnsi="Amiri" w:eastAsia="Amiri" w:cs="Amiri"/>
          <w:lang w:bidi="ar-SA"/>
          <w:color w:val="111111"/>
          <w:sz w:val="28"/>
          <w:szCs w:val="28"/>
          <w:rtl/>
        </w:rPr>
        <w:t xml:space="preserve">فهرس المخطوطات العربية في المتحف</w:t>
      </w:r>
    </w:p>
    <w:p>
      <w:pPr>
        <w:pStyle w:val="BookText"/>
      </w:pPr>
      <w:r>
        <w:rPr>
          <w:rFonts w:ascii="Amiri" w:hAnsi="Amiri" w:eastAsia="Amiri" w:cs="Amiri"/>
          <w:lang w:bidi="ar-SA"/>
          <w:color w:val="111111"/>
          <w:sz w:val="28"/>
          <w:szCs w:val="28"/>
          <w:rtl/>
        </w:rPr>
        <w:t xml:space="preserve">البريطاني، ج 12، ص 164 .</w:t>
      </w:r>
    </w:p>
    <w:p>
      <w:pPr>
        <w:pStyle w:val="Heading2"/>
      </w:pPr>
      <w:bookmarkStart w:id="3212" w:name="_Toc2314"/>
      <w:r>
        <w:t>جاري ، علي رضا</w:t>
      </w:r>
      <w:bookmarkEnd w:id="3212"/>
    </w:p>
    <w:p>
      <w:pPr>
        <w:pStyle w:val="BookText"/>
      </w:pPr>
      <w:r>
        <w:rPr>
          <w:rFonts w:ascii="IRNazanin" w:hAnsi="IRNazanin" w:eastAsia="IRNazanin" w:cs="IRNazanin"/>
          <w:lang w:bidi="fa-IR"/>
          <w:color w:val="111111"/>
          <w:sz w:val="28"/>
          <w:szCs w:val="28"/>
          <w:rtl/>
        </w:rPr>
        <w:t xml:space="preserve">منطق، ج 15، ص 698.</w:t>
      </w:r>
    </w:p>
    <w:p>
      <w:pPr>
        <w:pStyle w:val="BookText"/>
      </w:pPr>
      <w:r>
        <w:rPr>
          <w:rFonts w:ascii="Amiri" w:hAnsi="Amiri" w:eastAsia="Amiri" w:cs="Amiri"/>
          <w:lang w:bidi="ar-SA"/>
          <w:color w:val="111111"/>
          <w:sz w:val="28"/>
          <w:szCs w:val="28"/>
          <w:rtl/>
        </w:rPr>
        <w:t xml:space="preserve">جاسم بن حسن النصار اخباري- اخباري ،</w:t>
      </w:r>
    </w:p>
    <w:p>
      <w:pPr>
        <w:pStyle w:val="BookText"/>
      </w:pPr>
      <w:r>
        <w:rPr>
          <w:rFonts w:ascii="IRNazanin" w:hAnsi="IRNazanin" w:eastAsia="IRNazanin" w:cs="IRNazanin"/>
          <w:lang w:bidi="fa-IR"/>
          <w:color w:val="111111"/>
          <w:sz w:val="28"/>
          <w:szCs w:val="28"/>
          <w:rtl/>
        </w:rPr>
        <w:t xml:space="preserve">جاسم بن حسن</w:t>
      </w:r>
    </w:p>
    <w:p>
      <w:pPr>
        <w:pStyle w:val="BookText"/>
      </w:pPr>
      <w:r>
        <w:rPr>
          <w:rFonts w:ascii="Amiri" w:hAnsi="Amiri" w:eastAsia="Amiri" w:cs="Amiri"/>
          <w:lang w:bidi="ar-SA"/>
          <w:color w:val="111111"/>
          <w:sz w:val="28"/>
          <w:szCs w:val="28"/>
          <w:rtl/>
        </w:rPr>
        <w:t xml:space="preserve">جاسم بن محمّد رضا الغراوي- غراوي ،</w:t>
      </w:r>
    </w:p>
    <w:p>
      <w:pPr>
        <w:pStyle w:val="BookText"/>
      </w:pPr>
      <w:r>
        <w:rPr>
          <w:rFonts w:ascii="IRNazanin" w:hAnsi="IRNazanin" w:eastAsia="IRNazanin" w:cs="IRNazanin"/>
          <w:lang w:bidi="fa-IR"/>
          <w:color w:val="111111"/>
          <w:sz w:val="28"/>
          <w:szCs w:val="28"/>
          <w:rtl/>
        </w:rPr>
        <w:t xml:space="preserve">جاسم بن محمّد رضا</w:t>
      </w:r>
    </w:p>
    <w:p>
      <w:pPr>
        <w:pStyle w:val="BookText"/>
      </w:pPr>
      <w:r>
        <w:rPr>
          <w:rFonts w:ascii="Amiri" w:hAnsi="Amiri" w:eastAsia="Amiri" w:cs="Amiri"/>
          <w:lang w:bidi="ar-SA"/>
          <w:color w:val="111111"/>
          <w:sz w:val="28"/>
          <w:szCs w:val="28"/>
          <w:rtl/>
        </w:rPr>
        <w:t xml:space="preserve">جاسم خابوري - خابوري ، جاسم</w:t>
      </w:r>
    </w:p>
    <w:p>
      <w:pPr>
        <w:pStyle w:val="BookText"/>
      </w:pPr>
      <w:r>
        <w:rPr>
          <w:rFonts w:ascii="Amiri" w:hAnsi="Amiri" w:eastAsia="Amiri" w:cs="Amiri"/>
          <w:lang w:bidi="ar-SA"/>
          <w:color w:val="111111"/>
          <w:sz w:val="28"/>
          <w:szCs w:val="28"/>
          <w:rtl/>
        </w:rPr>
        <w:t xml:space="preserve">جاكيري - ابن سعدي ، سعدي بن محمّد</w:t>
      </w:r>
    </w:p>
    <w:p>
      <w:pPr>
        <w:pStyle w:val="BookText"/>
      </w:pPr>
      <w:r>
        <w:rPr>
          <w:rFonts w:ascii="IRNazanin" w:hAnsi="IRNazanin" w:eastAsia="IRNazanin" w:cs="IRNazanin"/>
          <w:lang w:bidi="fa-IR"/>
          <w:color w:val="111111"/>
          <w:sz w:val="28"/>
          <w:szCs w:val="28"/>
          <w:rtl/>
        </w:rPr>
        <w:t xml:space="preserve">امین</w:t>
      </w:r>
    </w:p>
    <w:p>
      <w:pPr>
        <w:pStyle w:val="Heading2"/>
      </w:pPr>
      <w:bookmarkStart w:id="3213" w:name="_Toc2315"/>
      <w:r>
        <w:t>جالینوس، 129 - 199 م</w:t>
      </w:r>
      <w:bookmarkEnd w:id="3213"/>
    </w:p>
    <w:p>
      <w:pPr>
        <w:pStyle w:val="BookText"/>
      </w:pPr>
      <w:r>
        <w:rPr>
          <w:rFonts w:ascii="Amiri" w:hAnsi="Amiri" w:eastAsia="Amiri" w:cs="Amiri"/>
          <w:lang w:bidi="ar-SA"/>
          <w:color w:val="111111"/>
          <w:sz w:val="28"/>
          <w:szCs w:val="28"/>
          <w:rtl/>
        </w:rPr>
        <w:t xml:space="preserve">1 .الامراض الحادثة في العين = جوامع جالينوس في الامراض الحادثة في العين، ج 2، ص 760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الباه، ج 3، ص 183.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البول (رسالة في)، ج 3، ص 448 .</w:t>
      </w:r>
    </w:p>
    <w:p>
      <w:pPr>
        <w:pStyle w:val="BookText"/>
      </w:pPr>
      <w:r>
        <w:rPr>
          <w:rFonts w:ascii="Amiri" w:hAnsi="Amiri" w:eastAsia="Amiri" w:cs="Amiri"/>
          <w:lang w:bidi="ar-SA"/>
          <w:color w:val="111111"/>
          <w:sz w:val="28"/>
          <w:szCs w:val="28"/>
          <w:rtl/>
        </w:rPr>
        <w:t xml:space="preserve">4 .حيلة البرء جوامع)، ج 6، ص870.</w:t>
      </w:r>
    </w:p>
    <w:p>
      <w:pPr>
        <w:pStyle w:val="BookText"/>
      </w:pPr>
      <w:r>
        <w:rPr>
          <w:rFonts w:ascii="Amiri" w:hAnsi="Amiri" w:eastAsia="Amiri" w:cs="Amiri"/>
          <w:lang w:bidi="ar-SA"/>
          <w:color w:val="111111"/>
          <w:sz w:val="28"/>
          <w:szCs w:val="28"/>
          <w:rtl/>
        </w:rPr>
        <w:t xml:space="preserve">5 .شرح المقالة العاشرة في اغلوقنه</w:t>
      </w:r>
    </w:p>
    <w:p>
      <w:pPr>
        <w:pStyle w:val="BookText"/>
      </w:pPr>
      <w:r>
        <w:rPr>
          <w:rFonts w:ascii="IRNazanin" w:hAnsi="IRNazanin" w:eastAsia="IRNazanin" w:cs="IRNazanin"/>
          <w:lang w:bidi="fa-IR"/>
          <w:color w:val="111111"/>
          <w:sz w:val="28"/>
          <w:szCs w:val="28"/>
          <w:rtl/>
        </w:rPr>
        <w:t xml:space="preserve">ج 10، ص 175.</w:t>
      </w:r>
    </w:p>
    <w:p>
      <w:pPr>
        <w:pStyle w:val="BookText"/>
      </w:pPr>
      <w:r>
        <w:rPr>
          <w:rFonts w:ascii="Amiri" w:hAnsi="Amiri" w:eastAsia="Amiri" w:cs="Amiri"/>
          <w:lang w:bidi="ar-SA"/>
          <w:color w:val="111111"/>
          <w:sz w:val="28"/>
          <w:szCs w:val="28"/>
          <w:rtl/>
        </w:rPr>
        <w:t xml:space="preserve">6 .كتاب إلى اغلوقن في شفاء الامراض</w:t>
      </w:r>
    </w:p>
    <w:p>
      <w:pPr>
        <w:pStyle w:val="BookText"/>
      </w:pPr>
      <w:r>
        <w:rPr>
          <w:rFonts w:ascii="IRNazanin" w:hAnsi="IRNazanin" w:eastAsia="IRNazanin" w:cs="IRNazanin"/>
          <w:lang w:bidi="fa-IR"/>
          <w:color w:val="111111"/>
          <w:sz w:val="28"/>
          <w:szCs w:val="28"/>
          <w:rtl/>
        </w:rPr>
        <w:t xml:space="preserve">(جوامع)، ج 13، ص89.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مقالات جالينوس، ج 15 ، ص280.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منافع الاعضاء، ج 15، ص 528.</w:t>
      </w:r>
    </w:p>
    <w:p>
      <w:pPr>
        <w:pStyle w:val="Heading2"/>
      </w:pPr>
      <w:bookmarkStart w:id="3214" w:name="_Toc2316"/>
      <w:r>
        <w:t>جاماسب بن لهراسب قرن 3 م</w:t>
      </w:r>
      <w:bookmarkEnd w:id="3214"/>
    </w:p>
    <w:p>
      <w:pPr>
        <w:pStyle w:val="BookText"/>
      </w:pPr>
      <w:r>
        <w:rPr>
          <w:rFonts w:ascii="IRNazanin" w:hAnsi="IRNazanin" w:eastAsia="IRNazanin" w:cs="IRNazanin"/>
          <w:lang w:bidi="fa-IR"/>
          <w:color w:val="111111"/>
          <w:sz w:val="28"/>
          <w:szCs w:val="28"/>
          <w:rtl/>
        </w:rPr>
        <w:t xml:space="preserve">رسالة جاماسب حکیم به اردشیر</w:t>
      </w:r>
    </w:p>
    <w:p>
      <w:pPr>
        <w:pStyle w:val="BookText"/>
      </w:pPr>
      <w:r>
        <w:rPr>
          <w:rFonts w:ascii="IRNazanin" w:hAnsi="IRNazanin" w:eastAsia="IRNazanin" w:cs="IRNazanin"/>
          <w:lang w:bidi="fa-IR"/>
          <w:color w:val="111111"/>
          <w:sz w:val="28"/>
          <w:szCs w:val="28"/>
          <w:rtl/>
        </w:rPr>
        <w:t xml:space="preserve">پادشاه، ج8، ص183.</w:t>
      </w:r>
    </w:p>
    <w:p>
      <w:pPr>
        <w:pStyle w:val="BookText"/>
      </w:pPr>
      <w:r>
        <w:rPr>
          <w:rFonts w:ascii="Amiri" w:hAnsi="Amiri" w:eastAsia="Amiri" w:cs="Amiri"/>
          <w:lang w:bidi="ar-SA"/>
          <w:color w:val="111111"/>
          <w:sz w:val="28"/>
          <w:szCs w:val="28"/>
          <w:rtl/>
        </w:rPr>
        <w:t xml:space="preserve">جامع حارثي ، عبد اللطيف بن علي- عاملي</w:t>
      </w:r>
    </w:p>
    <w:p>
      <w:pPr>
        <w:pStyle w:val="BookText"/>
      </w:pPr>
      <w:r>
        <w:rPr>
          <w:rFonts w:ascii="Amiri" w:hAnsi="Amiri" w:eastAsia="Amiri" w:cs="Amiri"/>
          <w:lang w:bidi="ar-SA"/>
          <w:color w:val="111111"/>
          <w:sz w:val="28"/>
          <w:szCs w:val="28"/>
          <w:rtl/>
        </w:rPr>
        <w:t xml:space="preserve">، عبداللطيف بن علي</w:t>
      </w:r>
    </w:p>
    <w:p>
      <w:pPr>
        <w:pStyle w:val="Heading2"/>
      </w:pPr>
      <w:bookmarkStart w:id="3215" w:name="_Toc2317"/>
      <w:r>
        <w:t>جامع حسيني، ابراهيم</w:t>
      </w:r>
      <w:bookmarkEnd w:id="3215"/>
    </w:p>
    <w:p>
      <w:pPr>
        <w:pStyle w:val="BookText"/>
      </w:pPr>
      <w:r>
        <w:rPr>
          <w:rFonts w:ascii="Amiri" w:hAnsi="Amiri" w:eastAsia="Amiri" w:cs="Amiri"/>
          <w:lang w:bidi="ar-SA"/>
          <w:color w:val="111111"/>
          <w:sz w:val="28"/>
          <w:szCs w:val="28"/>
          <w:rtl/>
        </w:rPr>
        <w:t xml:space="preserve">كيميا - الاكسير و تحويل المعادن</w:t>
      </w:r>
    </w:p>
    <w:p>
      <w:pPr>
        <w:pStyle w:val="BookText"/>
      </w:pPr>
      <w:r>
        <w:rPr>
          <w:rFonts w:ascii="Amiri" w:hAnsi="Amiri" w:eastAsia="Amiri" w:cs="Amiri"/>
          <w:lang w:bidi="ar-SA"/>
          <w:color w:val="111111"/>
          <w:sz w:val="28"/>
          <w:szCs w:val="28"/>
          <w:rtl/>
        </w:rPr>
        <w:t xml:space="preserve">(رسالة في)، ج 13، ص 487.</w:t>
      </w:r>
    </w:p>
    <w:p>
      <w:pPr>
        <w:pStyle w:val="BookText"/>
      </w:pPr>
      <w:r>
        <w:rPr>
          <w:rFonts w:ascii="Amiri" w:hAnsi="Amiri" w:eastAsia="Amiri" w:cs="Amiri"/>
          <w:lang w:bidi="ar-SA"/>
          <w:color w:val="111111"/>
          <w:sz w:val="28"/>
          <w:szCs w:val="28"/>
          <w:rtl/>
        </w:rPr>
        <w:t xml:space="preserve">جامعي عاملي ، علي بن حسين -عاملي ،</w:t>
      </w:r>
    </w:p>
    <w:p>
      <w:pPr>
        <w:pStyle w:val="BookText"/>
      </w:pPr>
      <w:r>
        <w:rPr>
          <w:rFonts w:ascii="Amiri" w:hAnsi="Amiri" w:eastAsia="Amiri" w:cs="Amiri"/>
          <w:lang w:bidi="ar-SA"/>
          <w:color w:val="111111"/>
          <w:sz w:val="28"/>
          <w:szCs w:val="28"/>
          <w:rtl/>
        </w:rPr>
        <w:t xml:space="preserve">علي بن حسين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6" w:name="pg7742_70017"/>
    <w:bookmarkEnd w:id="316"/>
    <w:p>
      <w:pPr>
        <w:pStyle w:val="Heading2"/>
      </w:pPr>
      <w:bookmarkStart w:id="3216" w:name="_Toc2318"/>
      <w:r>
        <w:t>جامعي عاملي ، محمّد بن يوسف</w:t>
      </w:r>
      <w:bookmarkEnd w:id="3216"/>
    </w:p>
    <w:p>
      <w:pPr>
        <w:pStyle w:val="BookText"/>
      </w:pPr>
      <w:r>
        <w:rPr>
          <w:rFonts w:ascii="IRNazanin" w:hAnsi="IRNazanin" w:eastAsia="IRNazanin" w:cs="IRNazanin"/>
          <w:lang w:bidi="fa-IR"/>
          <w:color w:val="111111"/>
          <w:sz w:val="28"/>
          <w:szCs w:val="28"/>
          <w:rtl/>
        </w:rPr>
        <w:t xml:space="preserve">1219 ه-</w:t>
      </w:r>
    </w:p>
    <w:p>
      <w:pPr>
        <w:pStyle w:val="BookText"/>
      </w:pPr>
      <w:r>
        <w:rPr>
          <w:rFonts w:ascii="Amiri" w:hAnsi="Amiri" w:eastAsia="Amiri" w:cs="Amiri"/>
          <w:lang w:bidi="ar-SA"/>
          <w:color w:val="111111"/>
          <w:sz w:val="28"/>
          <w:szCs w:val="28"/>
          <w:rtl/>
        </w:rPr>
        <w:t xml:space="preserve">النفحة المحمدية في شرح اللمعة البهية، ج 16، ص 394.</w:t>
      </w:r>
    </w:p>
    <w:p>
      <w:pPr>
        <w:pStyle w:val="BookText"/>
      </w:pPr>
      <w:r>
        <w:rPr>
          <w:rFonts w:ascii="Amiri" w:hAnsi="Amiri" w:eastAsia="Amiri" w:cs="Amiri"/>
          <w:lang w:bidi="ar-SA"/>
          <w:color w:val="111111"/>
          <w:sz w:val="28"/>
          <w:szCs w:val="28"/>
          <w:rtl/>
        </w:rPr>
        <w:t xml:space="preserve">جامعي ، عبداللطيف بن نورالدين- عاملي</w:t>
      </w:r>
    </w:p>
    <w:p>
      <w:pPr>
        <w:pStyle w:val="BookText"/>
      </w:pPr>
      <w:r>
        <w:rPr>
          <w:rFonts w:ascii="Amiri" w:hAnsi="Amiri" w:eastAsia="Amiri" w:cs="Amiri"/>
          <w:lang w:bidi="ar-SA"/>
          <w:color w:val="111111"/>
          <w:sz w:val="28"/>
          <w:szCs w:val="28"/>
          <w:rtl/>
        </w:rPr>
        <w:t xml:space="preserve">، عبداللطيف بن علي</w:t>
      </w:r>
    </w:p>
    <w:p>
      <w:pPr>
        <w:pStyle w:val="Heading2"/>
      </w:pPr>
      <w:bookmarkStart w:id="3217" w:name="_Toc2319"/>
      <w:r>
        <w:t>جامعي عبد الحسين بن قاسم - 1271 ه-</w:t>
      </w:r>
      <w:bookmarkEnd w:id="3217"/>
    </w:p>
    <w:p>
      <w:pPr>
        <w:pStyle w:val="BookText"/>
      </w:pPr>
      <w:r>
        <w:rPr>
          <w:rFonts w:ascii="IRNazanin" w:hAnsi="IRNazanin" w:eastAsia="IRNazanin" w:cs="IRNazanin"/>
          <w:lang w:bidi="fa-IR"/>
          <w:color w:val="111111"/>
          <w:sz w:val="28"/>
          <w:szCs w:val="28"/>
          <w:rtl/>
        </w:rPr>
        <w:t xml:space="preserve">دیوان جامعي، ج 7، ص 604.</w:t>
      </w:r>
    </w:p>
    <w:p>
      <w:pPr>
        <w:pStyle w:val="Heading2"/>
      </w:pPr>
      <w:bookmarkStart w:id="3218" w:name="_Toc2320"/>
      <w:r>
        <w:t>جامعي، موسى بن شريف - 1281 ه-</w:t>
      </w:r>
      <w:bookmarkEnd w:id="3218"/>
    </w:p>
    <w:p>
      <w:pPr>
        <w:pStyle w:val="BookText"/>
      </w:pPr>
      <w:r>
        <w:rPr>
          <w:rFonts w:ascii="IRNazanin" w:hAnsi="IRNazanin" w:eastAsia="IRNazanin" w:cs="IRNazanin"/>
          <w:lang w:bidi="fa-IR"/>
          <w:color w:val="111111"/>
          <w:sz w:val="28"/>
          <w:szCs w:val="28"/>
          <w:rtl/>
        </w:rPr>
        <w:t xml:space="preserve">دیوان جامعي، ج 7، ص 605.</w:t>
      </w:r>
    </w:p>
    <w:p>
      <w:pPr>
        <w:pStyle w:val="Heading2"/>
      </w:pPr>
      <w:bookmarkStart w:id="3219" w:name="_Toc2321"/>
      <w:r>
        <w:t>جامي عبد الرحمن بن احمد، 817-898ه-</w:t>
      </w:r>
      <w:bookmarkEnd w:id="3219"/>
    </w:p>
    <w:p>
      <w:pPr>
        <w:pStyle w:val="BookText"/>
      </w:pPr>
      <w:r>
        <w:rPr>
          <w:rFonts w:ascii="Amiri" w:hAnsi="Amiri" w:eastAsia="Amiri" w:cs="Amiri"/>
          <w:lang w:bidi="ar-SA"/>
          <w:color w:val="111111"/>
          <w:sz w:val="28"/>
          <w:szCs w:val="28"/>
          <w:rtl/>
        </w:rPr>
        <w:t xml:space="preserve">1 .اسماء الاضداد (رسالة في)، ج2،</w:t>
      </w:r>
    </w:p>
    <w:p>
      <w:pPr>
        <w:pStyle w:val="BookText"/>
      </w:pPr>
      <w:r>
        <w:rPr>
          <w:rFonts w:ascii="IRNazanin" w:hAnsi="IRNazanin" w:eastAsia="IRNazanin" w:cs="IRNazanin"/>
          <w:lang w:bidi="fa-IR"/>
          <w:color w:val="111111"/>
          <w:sz w:val="28"/>
          <w:szCs w:val="28"/>
          <w:rtl/>
        </w:rPr>
        <w:t xml:space="preserve">ص 211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اشعة اللمعات، ج 2، ص 342.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اعتقاد نامه، ج2، ص 515</w:t>
      </w:r>
    </w:p>
    <w:p>
      <w:pPr>
        <w:pStyle w:val="BookText"/>
      </w:pPr>
      <w:r>
        <w:rPr>
          <w:rFonts w:ascii="IRNazanin" w:hAnsi="IRNazanin" w:eastAsia="IRNazanin" w:cs="IRNazanin"/>
          <w:lang w:bidi="fa-IR"/>
          <w:color w:val="111111"/>
          <w:sz w:val="28"/>
          <w:szCs w:val="28"/>
          <w:rtl/>
        </w:rPr>
        <w:t xml:space="preserve">4 .بهارستان، ج 3، ص 410.</w:t>
      </w:r>
    </w:p>
    <w:p>
      <w:pPr>
        <w:pStyle w:val="BookText"/>
      </w:pPr>
      <w:r>
        <w:rPr>
          <w:rFonts w:ascii="Amiri" w:hAnsi="Amiri" w:eastAsia="Amiri" w:cs="Amiri"/>
          <w:lang w:bidi="ar-SA"/>
          <w:color w:val="111111"/>
          <w:sz w:val="28"/>
          <w:szCs w:val="28"/>
          <w:rtl/>
        </w:rPr>
        <w:t xml:space="preserve">5 .تحفة الاحرار، ج 3، ص 786 .</w:t>
      </w:r>
    </w:p>
    <w:p>
      <w:pPr>
        <w:pStyle w:val="BookText"/>
      </w:pPr>
      <w:r>
        <w:rPr>
          <w:rFonts w:ascii="IRNazanin" w:hAnsi="IRNazanin" w:eastAsia="IRNazanin" w:cs="IRNazanin"/>
          <w:lang w:bidi="fa-IR"/>
          <w:color w:val="111111"/>
          <w:sz w:val="28"/>
          <w:szCs w:val="28"/>
          <w:rtl/>
        </w:rPr>
        <w:t xml:space="preserve">6 .تصوف (رساله در)، ج 4، ص 429 .</w:t>
      </w:r>
    </w:p>
    <w:p>
      <w:pPr>
        <w:pStyle w:val="BookText"/>
      </w:pPr>
      <w:r>
        <w:rPr>
          <w:rFonts w:ascii="Amiri" w:hAnsi="Amiri" w:eastAsia="Amiri" w:cs="Amiri"/>
          <w:lang w:bidi="ar-SA"/>
          <w:color w:val="111111"/>
          <w:sz w:val="28"/>
          <w:szCs w:val="28"/>
          <w:rtl/>
        </w:rPr>
        <w:t xml:space="preserve">7 .تفسير سورة الفاتحة والبقرة، جع،</w:t>
      </w:r>
    </w:p>
    <w:p>
      <w:pPr>
        <w:pStyle w:val="BookText"/>
      </w:pPr>
      <w:r>
        <w:rPr>
          <w:rFonts w:ascii="IRNazanin" w:hAnsi="IRNazanin" w:eastAsia="IRNazanin" w:cs="IRNazanin"/>
          <w:lang w:bidi="fa-IR"/>
          <w:color w:val="111111"/>
          <w:sz w:val="28"/>
          <w:szCs w:val="28"/>
          <w:rtl/>
        </w:rPr>
        <w:t xml:space="preserve">ص 637 .</w:t>
      </w:r>
    </w:p>
    <w:p>
      <w:pPr>
        <w:pStyle w:val="BookText"/>
      </w:pPr>
      <w:r>
        <w:rPr>
          <w:rFonts w:ascii="Amiri" w:hAnsi="Amiri" w:eastAsia="Amiri" w:cs="Amiri"/>
          <w:lang w:bidi="ar-SA"/>
          <w:color w:val="111111"/>
          <w:sz w:val="28"/>
          <w:szCs w:val="28"/>
          <w:rtl/>
        </w:rPr>
        <w:t xml:space="preserve">8 .تهليلية، ج 5، ص 136.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چهل حدیث، ج 5، ص 638.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خردنامه اسكندري = اسكندر</w:t>
      </w:r>
    </w:p>
    <w:p>
      <w:pPr>
        <w:pStyle w:val="BookText"/>
      </w:pPr>
      <w:r>
        <w:rPr>
          <w:rFonts w:ascii="IRNazanin" w:hAnsi="IRNazanin" w:eastAsia="IRNazanin" w:cs="IRNazanin"/>
          <w:lang w:bidi="fa-IR"/>
          <w:color w:val="111111"/>
          <w:sz w:val="28"/>
          <w:szCs w:val="28"/>
          <w:rtl/>
        </w:rPr>
        <w:t xml:space="preserve">نامه ج 7، ص5</w:t>
      </w:r>
    </w:p>
    <w:p>
      <w:pPr>
        <w:pStyle w:val="BookText"/>
      </w:pPr>
      <w:r>
        <w:rPr>
          <w:rFonts w:ascii="Amiri" w:hAnsi="Amiri" w:eastAsia="Amiri" w:cs="Amiri"/>
          <w:lang w:bidi="ar-SA"/>
          <w:color w:val="111111"/>
          <w:sz w:val="28"/>
          <w:szCs w:val="28"/>
          <w:rtl/>
        </w:rPr>
        <w:t xml:space="preserve">11 .الدرة الفاخرة - تحقيق مذهب</w:t>
      </w:r>
    </w:p>
    <w:p>
      <w:pPr>
        <w:pStyle w:val="BookText"/>
      </w:pPr>
      <w:r>
        <w:rPr>
          <w:rFonts w:ascii="Amiri" w:hAnsi="Amiri" w:eastAsia="Amiri" w:cs="Amiri"/>
          <w:lang w:bidi="ar-SA"/>
          <w:color w:val="111111"/>
          <w:sz w:val="28"/>
          <w:szCs w:val="28"/>
          <w:rtl/>
        </w:rPr>
        <w:t xml:space="preserve">الصوفية في وجود الواجب، ج7،</w:t>
      </w: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12 .دیوان جامي، ج 7، ص 605.</w:t>
      </w:r>
    </w:p>
    <w:p>
      <w:pPr>
        <w:pStyle w:val="BookText"/>
      </w:pPr>
      <w:r>
        <w:rPr>
          <w:rFonts w:ascii="Amiri" w:hAnsi="Amiri" w:eastAsia="Amiri" w:cs="Amiri"/>
          <w:lang w:bidi="ar-SA"/>
          <w:color w:val="111111"/>
          <w:sz w:val="28"/>
          <w:szCs w:val="28"/>
          <w:rtl/>
        </w:rPr>
        <w:t xml:space="preserve">13 .سبحة الابرار، ج 8، ص 695.</w:t>
      </w:r>
    </w:p>
    <w:p>
      <w:pPr>
        <w:pStyle w:val="BookText"/>
      </w:pPr>
      <w:r>
        <w:rPr>
          <w:rFonts w:ascii="IRNazanin" w:hAnsi="IRNazanin" w:eastAsia="IRNazanin" w:cs="IRNazanin"/>
          <w:lang w:bidi="fa-IR"/>
          <w:color w:val="111111"/>
          <w:sz w:val="28"/>
          <w:szCs w:val="28"/>
          <w:rtl/>
        </w:rPr>
        <w:t xml:space="preserve">14 .سلامان و ابسال، ج8، ص799</w:t>
      </w:r>
    </w:p>
    <w:p>
      <w:pPr>
        <w:pStyle w:val="BookText"/>
      </w:pPr>
      <w:r>
        <w:rPr>
          <w:rFonts w:ascii="Amiri" w:hAnsi="Amiri" w:eastAsia="Amiri" w:cs="Amiri"/>
          <w:lang w:bidi="ar-SA"/>
          <w:color w:val="111111"/>
          <w:sz w:val="28"/>
          <w:szCs w:val="28"/>
          <w:rtl/>
        </w:rPr>
        <w:t xml:space="preserve">15 .سلسلة الذهب، ج8، ص803.</w:t>
      </w:r>
    </w:p>
    <w:p>
      <w:pPr>
        <w:pStyle w:val="BookText"/>
      </w:pPr>
      <w:r>
        <w:rPr>
          <w:rFonts w:ascii="Amiri" w:hAnsi="Amiri" w:eastAsia="Amiri" w:cs="Amiri"/>
          <w:lang w:bidi="ar-SA"/>
          <w:color w:val="111111"/>
          <w:sz w:val="28"/>
          <w:szCs w:val="28"/>
          <w:rtl/>
        </w:rPr>
        <w:t xml:space="preserve">16 . شرح الرسالة الوضعية العضدية</w:t>
      </w:r>
    </w:p>
    <w:p>
      <w:pPr>
        <w:pStyle w:val="BookText"/>
      </w:pPr>
      <w:r>
        <w:rPr>
          <w:rFonts w:ascii="IRNazanin" w:hAnsi="IRNazanin" w:eastAsia="IRNazanin" w:cs="IRNazanin"/>
          <w:lang w:bidi="fa-IR"/>
          <w:color w:val="111111"/>
          <w:sz w:val="28"/>
          <w:szCs w:val="28"/>
          <w:rtl/>
        </w:rPr>
        <w:t xml:space="preserve">ج 9، ص 561.</w:t>
      </w:r>
    </w:p>
    <w:p>
      <w:pPr>
        <w:pStyle w:val="BookText"/>
      </w:pPr>
      <w:r>
        <w:rPr>
          <w:rFonts w:ascii="Amiri" w:hAnsi="Amiri" w:eastAsia="Amiri" w:cs="Amiri"/>
          <w:lang w:bidi="ar-SA"/>
          <w:color w:val="111111"/>
          <w:sz w:val="28"/>
          <w:szCs w:val="28"/>
          <w:rtl/>
        </w:rPr>
        <w:t xml:space="preserve">17 .شرح الفوائد الضيائية، ج 9،</w:t>
      </w:r>
    </w:p>
    <w:p>
      <w:pPr>
        <w:pStyle w:val="BookText"/>
      </w:pPr>
      <w:r>
        <w:rPr>
          <w:rFonts w:ascii="IRNazanin" w:hAnsi="IRNazanin" w:eastAsia="IRNazanin" w:cs="IRNazanin"/>
          <w:lang w:bidi="fa-IR"/>
          <w:color w:val="111111"/>
          <w:sz w:val="28"/>
          <w:szCs w:val="28"/>
          <w:rtl/>
        </w:rPr>
        <w:t xml:space="preserve">ص 810</w:t>
      </w:r>
    </w:p>
    <w:p>
      <w:pPr>
        <w:pStyle w:val="BookText"/>
      </w:pPr>
      <w:r>
        <w:rPr>
          <w:rFonts w:ascii="IRNazanin" w:hAnsi="IRNazanin" w:eastAsia="IRNazanin" w:cs="IRNazanin"/>
          <w:lang w:bidi="fa-IR"/>
          <w:color w:val="111111"/>
          <w:sz w:val="28"/>
          <w:szCs w:val="28"/>
          <w:rtl/>
        </w:rPr>
        <w:t xml:space="preserve">18 .شرح بیت ز درياي شهادت ...».</w:t>
      </w:r>
    </w:p>
    <w:p>
      <w:pPr>
        <w:pStyle w:val="BookText"/>
      </w:pPr>
      <w:r>
        <w:rPr>
          <w:rFonts w:ascii="IRNazanin" w:hAnsi="IRNazanin" w:eastAsia="IRNazanin" w:cs="IRNazanin"/>
          <w:lang w:bidi="fa-IR"/>
          <w:color w:val="111111"/>
          <w:sz w:val="28"/>
          <w:szCs w:val="28"/>
          <w:rtl/>
        </w:rPr>
        <w:t xml:space="preserve">ج 9، ص 294.</w:t>
      </w:r>
    </w:p>
    <w:p>
      <w:pPr>
        <w:pStyle w:val="BookText"/>
      </w:pPr>
      <w:r>
        <w:rPr>
          <w:rFonts w:ascii="Amiri" w:hAnsi="Amiri" w:eastAsia="Amiri" w:cs="Amiri"/>
          <w:lang w:bidi="ar-SA"/>
          <w:color w:val="111111"/>
          <w:sz w:val="28"/>
          <w:szCs w:val="28"/>
          <w:rtl/>
        </w:rPr>
        <w:t xml:space="preserve">19 .شرح تجريد الاعتقاد، ج9، ص312.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رباعيات جامي، ج 9، ص 498.</w:t>
      </w:r>
    </w:p>
    <w:p>
      <w:pPr>
        <w:pStyle w:val="BookText"/>
      </w:pPr>
      <w:r>
        <w:rPr>
          <w:rFonts w:ascii="Amiri" w:hAnsi="Amiri" w:eastAsia="Amiri" w:cs="Amiri"/>
          <w:lang w:bidi="ar-SA"/>
          <w:color w:val="111111"/>
          <w:sz w:val="28"/>
          <w:szCs w:val="28"/>
          <w:rtl/>
        </w:rPr>
        <w:t xml:space="preserve">21 .شرح فصوص الحكم، ج 9، ص793.</w:t>
      </w:r>
    </w:p>
    <w:p>
      <w:pPr>
        <w:pStyle w:val="BookText"/>
      </w:pPr>
      <w:r>
        <w:rPr>
          <w:rFonts w:ascii="IRNazanin" w:hAnsi="IRNazanin" w:eastAsia="IRNazanin" w:cs="IRNazanin"/>
          <w:lang w:bidi="fa-IR"/>
          <w:color w:val="111111"/>
          <w:sz w:val="28"/>
          <w:szCs w:val="28"/>
          <w:rtl/>
        </w:rPr>
        <w:t xml:space="preserve">22 .شرح قصیده مولوي، ج 9، ص898</w:t>
      </w:r>
    </w:p>
    <w:p>
      <w:pPr>
        <w:pStyle w:val="BookText"/>
      </w:pPr>
      <w:r>
        <w:rPr>
          <w:rFonts w:ascii="Amiri" w:hAnsi="Amiri" w:eastAsia="Amiri" w:cs="Amiri"/>
          <w:lang w:bidi="ar-SA"/>
          <w:color w:val="111111"/>
          <w:sz w:val="28"/>
          <w:szCs w:val="28"/>
          <w:rtl/>
        </w:rPr>
        <w:t xml:space="preserve">23 .شواهد النبوة لتقوية اهل الفتوة</w:t>
      </w:r>
    </w:p>
    <w:p>
      <w:pPr>
        <w:pStyle w:val="BookText"/>
      </w:pPr>
      <w:r>
        <w:rPr>
          <w:rFonts w:ascii="IRNazanin" w:hAnsi="IRNazanin" w:eastAsia="IRNazanin" w:cs="IRNazanin"/>
          <w:lang w:bidi="fa-IR"/>
          <w:color w:val="111111"/>
          <w:sz w:val="28"/>
          <w:szCs w:val="28"/>
          <w:rtl/>
        </w:rPr>
        <w:t xml:space="preserve">ج 10، ص 455.</w:t>
      </w:r>
    </w:p>
    <w:p>
      <w:pPr>
        <w:pStyle w:val="BookText"/>
      </w:pPr>
      <w:r>
        <w:rPr>
          <w:rFonts w:ascii="IRNazanin" w:hAnsi="IRNazanin" w:eastAsia="IRNazanin" w:cs="IRNazanin"/>
          <w:lang w:bidi="fa-IR"/>
          <w:color w:val="111111"/>
          <w:sz w:val="28"/>
          <w:szCs w:val="28"/>
          <w:rtl/>
        </w:rPr>
        <w:t xml:space="preserve">24 .عروض، ج 11، ص 95.</w:t>
      </w:r>
    </w:p>
    <w:p>
      <w:pPr>
        <w:pStyle w:val="BookText"/>
      </w:pPr>
      <w:r>
        <w:rPr>
          <w:rFonts w:ascii="IRNazanin" w:hAnsi="IRNazanin" w:eastAsia="IRNazanin" w:cs="IRNazanin"/>
          <w:lang w:bidi="fa-IR"/>
          <w:color w:val="111111"/>
          <w:sz w:val="28"/>
          <w:szCs w:val="28"/>
          <w:rtl/>
        </w:rPr>
        <w:t xml:space="preserve">25 .عوامل منظوم، ج11، ص 367.</w:t>
      </w:r>
    </w:p>
    <w:p>
      <w:pPr>
        <w:pStyle w:val="BookText"/>
      </w:pPr>
      <w:r>
        <w:rPr>
          <w:rFonts w:ascii="Amiri" w:hAnsi="Amiri" w:eastAsia="Amiri" w:cs="Amiri"/>
          <w:lang w:bidi="ar-SA"/>
          <w:color w:val="111111"/>
          <w:sz w:val="28"/>
          <w:szCs w:val="28"/>
          <w:rtl/>
        </w:rPr>
        <w:t xml:space="preserve">26 .الفرق بين النبي و الرسول، ج11،</w:t>
      </w:r>
    </w:p>
    <w:p>
      <w:pPr>
        <w:pStyle w:val="BookText"/>
      </w:pPr>
      <w:r>
        <w:rPr>
          <w:rFonts w:ascii="IRNazanin" w:hAnsi="IRNazanin" w:eastAsia="IRNazanin" w:cs="IRNazanin"/>
          <w:lang w:bidi="fa-IR"/>
          <w:color w:val="111111"/>
          <w:sz w:val="28"/>
          <w:szCs w:val="28"/>
          <w:rtl/>
        </w:rPr>
        <w:t xml:space="preserve">ص 798</w:t>
      </w:r>
    </w:p>
    <w:p>
      <w:pPr>
        <w:pStyle w:val="BookText"/>
      </w:pPr>
      <w:r>
        <w:rPr>
          <w:rFonts w:ascii="Amiri" w:hAnsi="Amiri" w:eastAsia="Amiri" w:cs="Amiri"/>
          <w:lang w:bidi="ar-SA"/>
          <w:color w:val="111111"/>
          <w:sz w:val="28"/>
          <w:szCs w:val="28"/>
          <w:rtl/>
        </w:rPr>
        <w:t xml:space="preserve">27 .الفوائد الضيائية في شرح الكافية</w:t>
      </w:r>
    </w:p>
    <w:p>
      <w:pPr>
        <w:pStyle w:val="BookText"/>
      </w:pPr>
      <w:r>
        <w:rPr>
          <w:rFonts w:ascii="IRNazanin" w:hAnsi="IRNazanin" w:eastAsia="IRNazanin" w:cs="IRNazanin"/>
          <w:lang w:bidi="fa-IR"/>
          <w:color w:val="111111"/>
          <w:sz w:val="28"/>
          <w:szCs w:val="28"/>
          <w:rtl/>
        </w:rPr>
        <w:t xml:space="preserve">ج 12، ص223.</w:t>
      </w:r>
    </w:p>
    <w:p>
      <w:pPr>
        <w:pStyle w:val="BookText"/>
      </w:pPr>
      <w:r>
        <w:rPr>
          <w:rFonts w:ascii="Amiri" w:hAnsi="Amiri" w:eastAsia="Amiri" w:cs="Amiri"/>
          <w:lang w:bidi="ar-SA"/>
          <w:color w:val="111111"/>
          <w:sz w:val="28"/>
          <w:szCs w:val="28"/>
          <w:rtl/>
        </w:rPr>
        <w:t xml:space="preserve">28 .لوامع انوار الكشف و الشهود على قلوب ارباب الذوق و الجود = شرح خمريه ابن فارض ج13</w:t>
      </w:r>
    </w:p>
    <w:p>
      <w:pPr>
        <w:pStyle w:val="BookText"/>
      </w:pPr>
      <w:r>
        <w:rPr>
          <w:rFonts w:ascii="IRNazanin" w:hAnsi="IRNazanin" w:eastAsia="IRNazanin" w:cs="IRNazanin"/>
          <w:lang w:bidi="fa-IR"/>
          <w:color w:val="111111"/>
          <w:sz w:val="28"/>
          <w:szCs w:val="28"/>
          <w:rtl/>
        </w:rPr>
        <w:t xml:space="preserve">ص 650 .</w:t>
      </w:r>
    </w:p>
    <w:p>
      <w:pPr>
        <w:pStyle w:val="BookText"/>
      </w:pPr>
      <w:r>
        <w:rPr>
          <w:rFonts w:ascii="Amiri" w:hAnsi="Amiri" w:eastAsia="Amiri" w:cs="Amiri"/>
          <w:lang w:bidi="ar-SA"/>
          <w:color w:val="111111"/>
          <w:sz w:val="28"/>
          <w:szCs w:val="28"/>
          <w:rtl/>
        </w:rPr>
        <w:t xml:space="preserve">29 .لوايح، ج 13، ص 660.</w:t>
      </w:r>
    </w:p>
    <w:p>
      <w:pPr>
        <w:pStyle w:val="BookText"/>
      </w:pPr>
      <w:r>
        <w:rPr>
          <w:rFonts w:ascii="Amiri" w:hAnsi="Amiri" w:eastAsia="Amiri" w:cs="Amiri"/>
          <w:lang w:bidi="ar-SA"/>
          <w:color w:val="111111"/>
          <w:sz w:val="28"/>
          <w:szCs w:val="28"/>
          <w:rtl/>
        </w:rPr>
        <w:t xml:space="preserve">30 .ليلي و مجنون، ج13، ص 667.</w:t>
      </w:r>
    </w:p>
    <w:p>
      <w:pPr>
        <w:pStyle w:val="BookText"/>
      </w:pPr>
      <w:r>
        <w:rPr>
          <w:rFonts w:ascii="Amiri" w:hAnsi="Amiri" w:eastAsia="Amiri" w:cs="Amiri"/>
          <w:lang w:bidi="ar-SA"/>
          <w:color w:val="111111"/>
          <w:sz w:val="28"/>
          <w:szCs w:val="28"/>
          <w:rtl/>
        </w:rPr>
        <w:t xml:space="preserve">31 .مختصر الوافي في علم القوافي</w:t>
      </w:r>
    </w:p>
    <w:p>
      <w:pPr>
        <w:pStyle w:val="BookText"/>
      </w:pPr>
      <w:r>
        <w:rPr>
          <w:rFonts w:ascii="IRNazanin" w:hAnsi="IRNazanin" w:eastAsia="IRNazanin" w:cs="IRNazanin"/>
          <w:lang w:bidi="fa-IR"/>
          <w:color w:val="111111"/>
          <w:sz w:val="28"/>
          <w:szCs w:val="28"/>
          <w:rtl/>
        </w:rPr>
        <w:t xml:space="preserve">ج 14، ص 278.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7" w:name="pg7742_70019"/>
    <w:bookmarkEnd w:id="317"/>
    <w:p>
      <w:pPr>
        <w:pStyle w:val="BookText"/>
      </w:pPr>
      <w:r>
        <w:rPr>
          <w:rFonts w:ascii="Amiri" w:hAnsi="Amiri" w:eastAsia="Amiri" w:cs="Amiri"/>
          <w:lang w:bidi="ar-SA"/>
          <w:color w:val="111111"/>
          <w:sz w:val="28"/>
          <w:szCs w:val="28"/>
          <w:rtl/>
        </w:rPr>
        <w:t xml:space="preserve">32 .مراتب التوحيد، ج 14، ص 365.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معما (4) = معماي منظوم، ج 15</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Amiri" w:hAnsi="Amiri" w:eastAsia="Amiri" w:cs="Amiri"/>
          <w:lang w:bidi="ar-SA"/>
          <w:color w:val="111111"/>
          <w:sz w:val="28"/>
          <w:szCs w:val="28"/>
          <w:rtl/>
        </w:rPr>
        <w:t xml:space="preserve">34 .معماي منظوم = معما (رساله</w:t>
      </w:r>
    </w:p>
    <w:p>
      <w:pPr>
        <w:pStyle w:val="BookText"/>
      </w:pPr>
      <w:r>
        <w:rPr>
          <w:rFonts w:ascii="IRNazanin" w:hAnsi="IRNazanin" w:eastAsia="IRNazanin" w:cs="IRNazanin"/>
          <w:lang w:bidi="fa-IR"/>
          <w:color w:val="111111"/>
          <w:sz w:val="28"/>
          <w:szCs w:val="28"/>
          <w:rtl/>
        </w:rPr>
        <w:t xml:space="preserve">در)، ج 15 ، ص 87.</w:t>
      </w:r>
    </w:p>
    <w:p>
      <w:pPr>
        <w:pStyle w:val="BookText"/>
      </w:pPr>
      <w:r>
        <w:rPr>
          <w:rFonts w:ascii="Amiri" w:hAnsi="Amiri" w:eastAsia="Amiri" w:cs="Amiri"/>
          <w:lang w:bidi="ar-SA"/>
          <w:color w:val="111111"/>
          <w:sz w:val="28"/>
          <w:szCs w:val="28"/>
          <w:rtl/>
        </w:rPr>
        <w:t xml:space="preserve">35 .ملاحظات حول رسالة العروض و</w:t>
      </w:r>
    </w:p>
    <w:p>
      <w:pPr>
        <w:pStyle w:val="BookText"/>
      </w:pPr>
      <w:r>
        <w:rPr>
          <w:rFonts w:ascii="Amiri" w:hAnsi="Amiri" w:eastAsia="Amiri" w:cs="Amiri"/>
          <w:lang w:bidi="ar-SA"/>
          <w:color w:val="111111"/>
          <w:sz w:val="28"/>
          <w:szCs w:val="28"/>
          <w:rtl/>
        </w:rPr>
        <w:t xml:space="preserve">القافية، ج 15 ، ص 430 .</w:t>
      </w:r>
    </w:p>
    <w:p>
      <w:pPr>
        <w:pStyle w:val="BookText"/>
      </w:pPr>
      <w:r>
        <w:rPr>
          <w:rFonts w:ascii="Amiri" w:hAnsi="Amiri" w:eastAsia="Amiri" w:cs="Amiri"/>
          <w:lang w:bidi="ar-SA"/>
          <w:color w:val="111111"/>
          <w:sz w:val="28"/>
          <w:szCs w:val="28"/>
          <w:rtl/>
        </w:rPr>
        <w:t xml:space="preserve">36 منشآت = مكاتيب، ج 15 ، ص 687.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نفحات الانس من حضرات</w:t>
      </w:r>
    </w:p>
    <w:p>
      <w:pPr>
        <w:pStyle w:val="BookText"/>
      </w:pPr>
      <w:r>
        <w:rPr>
          <w:rFonts w:ascii="IRNazanin" w:hAnsi="IRNazanin" w:eastAsia="IRNazanin" w:cs="IRNazanin"/>
          <w:lang w:bidi="fa-IR"/>
          <w:color w:val="111111"/>
          <w:sz w:val="28"/>
          <w:szCs w:val="28"/>
          <w:rtl/>
        </w:rPr>
        <w:t xml:space="preserve">القدس، ج 16، ص 380.</w:t>
      </w:r>
    </w:p>
    <w:p>
      <w:pPr>
        <w:pStyle w:val="BookText"/>
      </w:pPr>
      <w:r>
        <w:rPr>
          <w:rFonts w:ascii="Amiri" w:hAnsi="Amiri" w:eastAsia="Amiri" w:cs="Amiri"/>
          <w:lang w:bidi="ar-SA"/>
          <w:color w:val="111111"/>
          <w:sz w:val="28"/>
          <w:szCs w:val="28"/>
          <w:rtl/>
        </w:rPr>
        <w:t xml:space="preserve">38 .نقد النصوص في شرح نقش الفصوص، ج 16، ص 419.</w:t>
      </w:r>
    </w:p>
    <w:p>
      <w:pPr>
        <w:pStyle w:val="BookText"/>
      </w:pPr>
      <w:r>
        <w:rPr>
          <w:rFonts w:ascii="Amiri" w:hAnsi="Amiri" w:eastAsia="Amiri" w:cs="Amiri"/>
          <w:lang w:bidi="ar-SA"/>
          <w:color w:val="111111"/>
          <w:sz w:val="28"/>
          <w:szCs w:val="28"/>
          <w:rtl/>
        </w:rPr>
        <w:t xml:space="preserve">39 .وجودية، ج 16، ص 734.</w:t>
      </w:r>
    </w:p>
    <w:p>
      <w:pPr>
        <w:pStyle w:val="BookText"/>
      </w:pPr>
      <w:r>
        <w:rPr>
          <w:rFonts w:ascii="IRNazanin" w:hAnsi="IRNazanin" w:eastAsia="IRNazanin" w:cs="IRNazanin"/>
          <w:lang w:bidi="fa-IR"/>
          <w:color w:val="111111"/>
          <w:sz w:val="28"/>
          <w:szCs w:val="28"/>
          <w:rtl/>
        </w:rPr>
        <w:t xml:space="preserve">40 .يوسف و زلیخا ج 16، ص 907.</w:t>
      </w:r>
    </w:p>
    <w:p>
      <w:pPr>
        <w:pStyle w:val="Heading2"/>
      </w:pPr>
      <w:bookmarkStart w:id="3220" w:name="_Toc2322"/>
      <w:r>
        <w:t>جامي ، عبد اللطيف بن عبدالمؤمن</w:t>
      </w:r>
      <w:bookmarkEnd w:id="3220"/>
    </w:p>
    <w:p>
      <w:pPr>
        <w:pStyle w:val="BookText"/>
      </w:pPr>
      <w:r>
        <w:rPr>
          <w:rFonts w:ascii="IRNazanin" w:hAnsi="IRNazanin" w:eastAsia="IRNazanin" w:cs="IRNazanin"/>
          <w:lang w:bidi="fa-IR"/>
          <w:color w:val="111111"/>
          <w:sz w:val="28"/>
          <w:szCs w:val="28"/>
          <w:rtl/>
        </w:rPr>
        <w:t xml:space="preserve">963ه-</w:t>
      </w:r>
    </w:p>
    <w:p>
      <w:pPr>
        <w:pStyle w:val="BookText"/>
      </w:pPr>
      <w:r>
        <w:rPr>
          <w:rFonts w:ascii="IRNazanin" w:hAnsi="IRNazanin" w:eastAsia="IRNazanin" w:cs="IRNazanin"/>
          <w:lang w:bidi="fa-IR"/>
          <w:color w:val="111111"/>
          <w:sz w:val="28"/>
          <w:szCs w:val="28"/>
          <w:rtl/>
        </w:rPr>
        <w:t xml:space="preserve">شرح آداب البحث، ج9، ص129.</w:t>
      </w:r>
    </w:p>
    <w:p>
      <w:pPr>
        <w:pStyle w:val="Heading2"/>
      </w:pPr>
      <w:bookmarkStart w:id="3221" w:name="_Toc2323"/>
      <w:r>
        <w:t>جامي ، محمّد بن محمّد - 838 ه-</w:t>
      </w:r>
      <w:bookmarkEnd w:id="3221"/>
    </w:p>
    <w:p>
      <w:pPr>
        <w:pStyle w:val="BookText"/>
      </w:pPr>
      <w:r>
        <w:rPr>
          <w:rFonts w:ascii="Amiri" w:hAnsi="Amiri" w:eastAsia="Amiri" w:cs="Amiri"/>
          <w:lang w:bidi="ar-SA"/>
          <w:color w:val="111111"/>
          <w:sz w:val="28"/>
          <w:szCs w:val="28"/>
          <w:rtl/>
        </w:rPr>
        <w:t xml:space="preserve">رياض الناصحين، ج8، ص 514.</w:t>
      </w:r>
    </w:p>
    <w:p>
      <w:pPr>
        <w:pStyle w:val="BookText"/>
      </w:pPr>
      <w:r>
        <w:rPr>
          <w:rFonts w:ascii="Amiri" w:hAnsi="Amiri" w:eastAsia="Amiri" w:cs="Amiri"/>
          <w:lang w:bidi="ar-SA"/>
          <w:color w:val="111111"/>
          <w:sz w:val="28"/>
          <w:szCs w:val="28"/>
          <w:rtl/>
        </w:rPr>
        <w:t xml:space="preserve">جانداري، اسماعيل بن ابراهيم- ابن</w:t>
      </w:r>
    </w:p>
    <w:p>
      <w:pPr>
        <w:pStyle w:val="BookText"/>
      </w:pPr>
      <w:r>
        <w:rPr>
          <w:rFonts w:ascii="IRNazanin" w:hAnsi="IRNazanin" w:eastAsia="IRNazanin" w:cs="IRNazanin"/>
          <w:lang w:bidi="fa-IR"/>
          <w:color w:val="111111"/>
          <w:sz w:val="28"/>
          <w:szCs w:val="28"/>
          <w:rtl/>
        </w:rPr>
        <w:t xml:space="preserve">اسفندیار ، اسماعيل بن ابراهيم</w:t>
      </w:r>
    </w:p>
    <w:p>
      <w:pPr>
        <w:pStyle w:val="Heading2"/>
      </w:pPr>
      <w:bookmarkStart w:id="3222" w:name="_Toc2324"/>
      <w:r>
        <w:t>جاني زاده ، عبدالله بن مصطفى</w:t>
      </w:r>
      <w:bookmarkEnd w:id="3222"/>
    </w:p>
    <w:p>
      <w:pPr>
        <w:pStyle w:val="BookText"/>
      </w:pPr>
      <w:r>
        <w:rPr>
          <w:rFonts w:ascii="Amiri" w:hAnsi="Amiri" w:eastAsia="Amiri" w:cs="Amiri"/>
          <w:lang w:bidi="ar-SA"/>
          <w:color w:val="111111"/>
          <w:sz w:val="28"/>
          <w:szCs w:val="28"/>
          <w:rtl/>
        </w:rPr>
        <w:t xml:space="preserve">قصائد في مدح الرسول (ص)، ج 12،</w:t>
      </w:r>
    </w:p>
    <w:p>
      <w:pPr>
        <w:pStyle w:val="BookText"/>
      </w:pPr>
      <w:r>
        <w:rPr>
          <w:rFonts w:ascii="IRNazanin" w:hAnsi="IRNazanin" w:eastAsia="IRNazanin" w:cs="IRNazanin"/>
          <w:lang w:bidi="fa-IR"/>
          <w:color w:val="111111"/>
          <w:sz w:val="28"/>
          <w:szCs w:val="28"/>
          <w:rtl/>
        </w:rPr>
        <w:t xml:space="preserve">ص 595 .</w:t>
      </w:r>
    </w:p>
    <w:p>
      <w:pPr>
        <w:pStyle w:val="BookText"/>
      </w:pPr>
      <w:r>
        <w:rPr>
          <w:rFonts w:ascii="Amiri" w:hAnsi="Amiri" w:eastAsia="Amiri" w:cs="Amiri"/>
          <w:lang w:bidi="ar-SA"/>
          <w:color w:val="111111"/>
          <w:sz w:val="28"/>
          <w:szCs w:val="28"/>
          <w:rtl/>
        </w:rPr>
        <w:t xml:space="preserve">جاواني ، محمّد بن علي -ابن حمدان</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جاوجاني تبريري، عبدالعلي بن احمد- كوكاني ، عبدالعلي بن احمد</w:t>
      </w:r>
    </w:p>
    <w:p>
      <w:pPr>
        <w:pStyle w:val="Heading2"/>
      </w:pPr>
      <w:bookmarkStart w:id="3223" w:name="_Toc2325"/>
      <w:r>
        <w:t>جاووش ، سليم بن بطرس</w:t>
      </w:r>
      <w:bookmarkEnd w:id="3223"/>
    </w:p>
    <w:p>
      <w:pPr>
        <w:pStyle w:val="BookText"/>
      </w:pPr>
      <w:r>
        <w:rPr>
          <w:rFonts w:ascii="Amiri" w:hAnsi="Amiri" w:eastAsia="Amiri" w:cs="Amiri"/>
          <w:lang w:bidi="ar-SA"/>
          <w:color w:val="111111"/>
          <w:sz w:val="28"/>
          <w:szCs w:val="28"/>
          <w:rtl/>
        </w:rPr>
        <w:t xml:space="preserve">الموسيقي و الأنغام، ج 16، ص18.</w:t>
      </w:r>
    </w:p>
    <w:p>
      <w:pPr>
        <w:pStyle w:val="Heading2"/>
      </w:pPr>
      <w:bookmarkStart w:id="3224" w:name="_Toc2326"/>
      <w:r>
        <w:t>جاوي، ابن عربي بن يوسف</w:t>
      </w:r>
      <w:bookmarkEnd w:id="3224"/>
    </w:p>
    <w:p>
      <w:pPr>
        <w:pStyle w:val="BookText"/>
      </w:pPr>
      <w:r>
        <w:rPr>
          <w:rFonts w:ascii="Amiri" w:hAnsi="Amiri" w:eastAsia="Amiri" w:cs="Amiri"/>
          <w:lang w:bidi="ar-SA"/>
          <w:color w:val="111111"/>
          <w:sz w:val="28"/>
          <w:szCs w:val="28"/>
          <w:rtl/>
        </w:rPr>
        <w:t xml:space="preserve">اجازة في الورد المسمى بباب الرزق</w:t>
      </w:r>
    </w:p>
    <w:p>
      <w:pPr>
        <w:pStyle w:val="BookText"/>
      </w:pPr>
      <w:r>
        <w:rPr>
          <w:rFonts w:ascii="IRNazanin" w:hAnsi="IRNazanin" w:eastAsia="IRNazanin" w:cs="IRNazanin"/>
          <w:lang w:bidi="fa-IR"/>
          <w:color w:val="111111"/>
          <w:sz w:val="28"/>
          <w:szCs w:val="28"/>
          <w:rtl/>
        </w:rPr>
        <w:t xml:space="preserve">ج 1 ، ص 226 .</w:t>
      </w:r>
    </w:p>
    <w:p>
      <w:pPr>
        <w:pStyle w:val="BookText"/>
      </w:pPr>
      <w:r>
        <w:rPr>
          <w:rFonts w:ascii="Amiri" w:hAnsi="Amiri" w:eastAsia="Amiri" w:cs="Amiri"/>
          <w:lang w:bidi="ar-SA"/>
          <w:color w:val="111111"/>
          <w:sz w:val="28"/>
          <w:szCs w:val="28"/>
          <w:rtl/>
        </w:rPr>
        <w:t xml:space="preserve">جاهلي ، بشر بن عوانة -عبدي جاهلي</w:t>
      </w:r>
    </w:p>
    <w:p>
      <w:pPr>
        <w:pStyle w:val="BookText"/>
      </w:pPr>
      <w:r>
        <w:rPr>
          <w:rFonts w:ascii="Amiri" w:hAnsi="Amiri" w:eastAsia="Amiri" w:cs="Amiri"/>
          <w:lang w:bidi="ar-SA"/>
          <w:color w:val="111111"/>
          <w:sz w:val="28"/>
          <w:szCs w:val="28"/>
          <w:rtl/>
        </w:rPr>
        <w:t xml:space="preserve">بشر بن عوانة</w:t>
      </w:r>
    </w:p>
    <w:p>
      <w:pPr>
        <w:pStyle w:val="Heading2"/>
      </w:pPr>
      <w:bookmarkStart w:id="3225" w:name="_Toc2327"/>
      <w:r>
        <w:t>جباعي حارثي ، محمّد بن علي - 886 ه-</w:t>
      </w:r>
      <w:bookmarkEnd w:id="32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السبع العلويات، ج 9،</w:t>
      </w:r>
    </w:p>
    <w:p>
      <w:pPr>
        <w:pStyle w:val="BookText"/>
      </w:pPr>
      <w:r>
        <w:rPr>
          <w:rFonts w:ascii="IRNazanin" w:hAnsi="IRNazanin" w:eastAsia="IRNazanin" w:cs="IRNazanin"/>
          <w:lang w:bidi="fa-IR"/>
          <w:color w:val="111111"/>
          <w:sz w:val="28"/>
          <w:szCs w:val="28"/>
          <w:rtl/>
        </w:rPr>
        <w:t xml:space="preserve">ص 584 .</w:t>
      </w:r>
    </w:p>
    <w:p>
      <w:pPr>
        <w:pStyle w:val="BookText"/>
      </w:pPr>
      <w:r>
        <w:rPr>
          <w:rFonts w:ascii="Amiri" w:hAnsi="Amiri" w:eastAsia="Amiri" w:cs="Amiri"/>
          <w:lang w:bidi="ar-SA"/>
          <w:color w:val="111111"/>
          <w:sz w:val="28"/>
          <w:szCs w:val="28"/>
          <w:rtl/>
        </w:rPr>
        <w:t xml:space="preserve">2 .فائدة في أحوال العلماء، ج11،</w:t>
      </w:r>
    </w:p>
    <w:p>
      <w:pPr>
        <w:pStyle w:val="BookText"/>
      </w:pPr>
      <w:r>
        <w:rPr>
          <w:rFonts w:ascii="IRNazanin" w:hAnsi="IRNazanin" w:eastAsia="IRNazanin" w:cs="IRNazanin"/>
          <w:lang w:bidi="fa-IR"/>
          <w:color w:val="111111"/>
          <w:sz w:val="28"/>
          <w:szCs w:val="28"/>
          <w:rtl/>
        </w:rPr>
        <w:t xml:space="preserve">ص 572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مجموعة الجباعي الأولى، ج 14،</w:t>
      </w:r>
    </w:p>
    <w:p>
      <w:pPr>
        <w:pStyle w:val="BookText"/>
      </w:pPr>
      <w:r>
        <w:rPr>
          <w:rFonts w:ascii="IRNazanin" w:hAnsi="IRNazanin" w:eastAsia="IRNazanin" w:cs="IRNazanin"/>
          <w:lang w:bidi="fa-IR"/>
          <w:color w:val="111111"/>
          <w:sz w:val="28"/>
          <w:szCs w:val="28"/>
          <w:rtl/>
        </w:rPr>
        <w:t xml:space="preserve">ص 27.</w:t>
      </w:r>
    </w:p>
    <w:p>
      <w:pPr>
        <w:pStyle w:val="BookText"/>
      </w:pPr>
      <w:r>
        <w:rPr>
          <w:rFonts w:ascii="Amiri" w:hAnsi="Amiri" w:eastAsia="Amiri" w:cs="Amiri"/>
          <w:lang w:bidi="ar-SA"/>
          <w:color w:val="111111"/>
          <w:sz w:val="28"/>
          <w:szCs w:val="28"/>
          <w:rtl/>
        </w:rPr>
        <w:t xml:space="preserve">جباعي ، حسين بن عبد الصمد- عاملي</w:t>
      </w:r>
    </w:p>
    <w:p>
      <w:pPr>
        <w:pStyle w:val="BookText"/>
      </w:pPr>
      <w:r>
        <w:rPr>
          <w:rFonts w:ascii="Amiri" w:hAnsi="Amiri" w:eastAsia="Amiri" w:cs="Amiri"/>
          <w:lang w:bidi="ar-SA"/>
          <w:color w:val="111111"/>
          <w:sz w:val="28"/>
          <w:szCs w:val="28"/>
          <w:rtl/>
        </w:rPr>
        <w:t xml:space="preserve">حسين بن عبد الصمد</w:t>
      </w:r>
    </w:p>
    <w:p>
      <w:pPr>
        <w:pStyle w:val="Heading2"/>
      </w:pPr>
      <w:bookmarkStart w:id="3226" w:name="_Toc2328"/>
      <w:r>
        <w:t>جباوي نجفي، احمد شكر بن حسين قرن</w:t>
      </w:r>
      <w:bookmarkEnd w:id="3226"/>
    </w:p>
    <w:p>
      <w:pPr>
        <w:pStyle w:val="BookText"/>
      </w:pPr>
      <w:r>
        <w:rPr>
          <w:rFonts w:ascii="IRNazanin" w:hAnsi="IRNazanin" w:eastAsia="IRNazanin" w:cs="IRNazanin"/>
          <w:lang w:bidi="fa-IR"/>
          <w:color w:val="111111"/>
          <w:sz w:val="28"/>
          <w:szCs w:val="28"/>
          <w:rtl/>
        </w:rPr>
        <w:t xml:space="preserve">13 ه-</w:t>
      </w:r>
    </w:p>
    <w:p>
      <w:pPr>
        <w:pStyle w:val="BookText"/>
      </w:pPr>
      <w:r>
        <w:rPr>
          <w:rFonts w:ascii="IRNazanin" w:hAnsi="IRNazanin" w:eastAsia="IRNazanin" w:cs="IRNazanin"/>
          <w:lang w:bidi="fa-IR"/>
          <w:color w:val="111111"/>
          <w:sz w:val="28"/>
          <w:szCs w:val="28"/>
          <w:rtl/>
        </w:rPr>
        <w:t xml:space="preserve">إجازة للشيخ محمّد بهاء الدین صدر الشريعة بن نظام الدوله، ج 1، ص272.</w:t>
      </w:r>
    </w:p>
    <w:p>
      <w:pPr>
        <w:pStyle w:val="Heading2"/>
      </w:pPr>
      <w:bookmarkStart w:id="3227" w:name="_Toc2329"/>
      <w:r>
        <w:t>جبرائيل بن بختیشوع - 205 ه-</w:t>
      </w:r>
      <w:bookmarkEnd w:id="3227"/>
    </w:p>
    <w:p>
      <w:pPr>
        <w:pStyle w:val="BookText"/>
      </w:pPr>
      <w:r>
        <w:rPr>
          <w:rFonts w:ascii="Amiri" w:hAnsi="Amiri" w:eastAsia="Amiri" w:cs="Amiri"/>
          <w:lang w:bidi="ar-SA"/>
          <w:color w:val="111111"/>
          <w:sz w:val="28"/>
          <w:szCs w:val="28"/>
          <w:rtl/>
        </w:rPr>
        <w:t xml:space="preserve">المأمون في المطعم و المشرب، ج13،</w:t>
      </w:r>
    </w:p>
    <w:p>
      <w:pPr>
        <w:pStyle w:val="BookText"/>
      </w:pPr>
      <w:r>
        <w:rPr>
          <w:rFonts w:ascii="IRNazanin" w:hAnsi="IRNazanin" w:eastAsia="IRNazanin" w:cs="IRNazanin"/>
          <w:lang w:bidi="fa-IR"/>
          <w:color w:val="111111"/>
          <w:sz w:val="28"/>
          <w:szCs w:val="28"/>
          <w:rtl/>
        </w:rPr>
        <w:t xml:space="preserve">ص 704.</w:t>
      </w:r>
    </w:p>
    <w:p>
      <w:pPr>
        <w:pStyle w:val="BookText"/>
      </w:pPr>
      <w:r>
        <w:rPr>
          <w:rFonts w:ascii="IRNazanin" w:hAnsi="IRNazanin" w:eastAsia="IRNazanin" w:cs="IRNazanin"/>
          <w:lang w:bidi="fa-IR"/>
          <w:color w:val="111111"/>
          <w:sz w:val="28"/>
          <w:szCs w:val="28"/>
          <w:rtl/>
        </w:rPr>
        <w:t xml:space="preserve">جبرئيل بن بختیشوع بن جورجيس- جبرائيل بن بختیشوع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8" w:name="pg7742_70021"/>
    <w:bookmarkEnd w:id="318"/>
    <w:p>
      <w:pPr>
        <w:pStyle w:val="BookText"/>
      </w:pPr>
      <w:r>
        <w:rPr>
          <w:rFonts w:ascii="IRNazanin" w:hAnsi="IRNazanin" w:eastAsia="IRNazanin" w:cs="IRNazanin"/>
          <w:lang w:bidi="fa-IR"/>
          <w:color w:val="111111"/>
          <w:sz w:val="28"/>
          <w:szCs w:val="28"/>
          <w:rtl/>
        </w:rPr>
        <w:t xml:space="preserve">جبرئيل بن يوسف- مخلع ، جبرائیل بن</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جبرئيل فرحات -فرحات ، جرمانوس</w:t>
      </w:r>
    </w:p>
    <w:p>
      <w:pPr>
        <w:pStyle w:val="BookText"/>
      </w:pPr>
      <w:r>
        <w:rPr>
          <w:rFonts w:ascii="Amiri" w:hAnsi="Amiri" w:eastAsia="Amiri" w:cs="Amiri"/>
          <w:lang w:bidi="ar-SA"/>
          <w:color w:val="111111"/>
          <w:sz w:val="28"/>
          <w:szCs w:val="28"/>
          <w:rtl/>
        </w:rPr>
        <w:t xml:space="preserve">جبرائيل بن بطريق - راهب ، جبرائيل بن بطريق</w:t>
      </w:r>
    </w:p>
    <w:p>
      <w:pPr>
        <w:pStyle w:val="BookText"/>
      </w:pPr>
      <w:r>
        <w:rPr>
          <w:rFonts w:ascii="Amiri" w:hAnsi="Amiri" w:eastAsia="Amiri" w:cs="Amiri"/>
          <w:lang w:bidi="ar-SA"/>
          <w:color w:val="111111"/>
          <w:sz w:val="28"/>
          <w:szCs w:val="28"/>
          <w:rtl/>
        </w:rPr>
        <w:t xml:space="preserve">جبرائيل بن يوسف - مخلع ، جبرائيل بن</w:t>
      </w:r>
    </w:p>
    <w:p>
      <w:pPr>
        <w:pStyle w:val="BookText"/>
      </w:pPr>
      <w:r>
        <w:rPr>
          <w:rFonts w:ascii="Amiri" w:hAnsi="Amiri" w:eastAsia="Amiri" w:cs="Amiri"/>
          <w:lang w:bidi="ar-SA"/>
          <w:color w:val="111111"/>
          <w:sz w:val="28"/>
          <w:szCs w:val="28"/>
          <w:rtl/>
        </w:rPr>
        <w:t xml:space="preserve">يوسف</w:t>
      </w:r>
    </w:p>
    <w:p>
      <w:pPr>
        <w:pStyle w:val="Heading2"/>
      </w:pPr>
      <w:bookmarkStart w:id="3228" w:name="_Toc2330"/>
      <w:r>
        <w:t>جبرتي ، ابراهيم</w:t>
      </w:r>
      <w:bookmarkEnd w:id="3228"/>
    </w:p>
    <w:p>
      <w:pPr>
        <w:pStyle w:val="BookText"/>
      </w:pPr>
      <w:r>
        <w:rPr>
          <w:rFonts w:ascii="IRNazanin" w:hAnsi="IRNazanin" w:eastAsia="IRNazanin" w:cs="IRNazanin"/>
          <w:lang w:bidi="fa-IR"/>
          <w:color w:val="111111"/>
          <w:sz w:val="28"/>
          <w:szCs w:val="28"/>
          <w:rtl/>
        </w:rPr>
        <w:t xml:space="preserve">انبیاء نامه، ج 2، ص780.</w:t>
      </w:r>
    </w:p>
    <w:p>
      <w:pPr>
        <w:pStyle w:val="BookText"/>
      </w:pPr>
      <w:r>
        <w:rPr>
          <w:rFonts w:ascii="Amiri" w:hAnsi="Amiri" w:eastAsia="Amiri" w:cs="Amiri"/>
          <w:lang w:bidi="ar-SA"/>
          <w:color w:val="111111"/>
          <w:sz w:val="28"/>
          <w:szCs w:val="28"/>
          <w:rtl/>
        </w:rPr>
        <w:t xml:space="preserve">جبرتي، اسماعيل بن ابراهيم- يمني</w:t>
      </w:r>
    </w:p>
    <w:p>
      <w:pPr>
        <w:pStyle w:val="BookText"/>
      </w:pPr>
      <w:r>
        <w:rPr>
          <w:rFonts w:ascii="Amiri" w:hAnsi="Amiri" w:eastAsia="Amiri" w:cs="Amiri"/>
          <w:lang w:bidi="ar-SA"/>
          <w:color w:val="111111"/>
          <w:sz w:val="28"/>
          <w:szCs w:val="28"/>
          <w:rtl/>
        </w:rPr>
        <w:t xml:space="preserve">اسماعيل بن ابراهيم</w:t>
      </w:r>
    </w:p>
    <w:p>
      <w:pPr>
        <w:pStyle w:val="Heading2"/>
      </w:pPr>
      <w:bookmarkStart w:id="3229" w:name="_Toc2331"/>
      <w:r>
        <w:t>جبرتي، حسن بن ابراهيم، 1110-1188ه-</w:t>
      </w:r>
      <w:bookmarkEnd w:id="3229"/>
    </w:p>
    <w:p>
      <w:pPr>
        <w:pStyle w:val="BookText"/>
      </w:pPr>
      <w:r>
        <w:rPr>
          <w:rFonts w:ascii="IRNazanin" w:hAnsi="IRNazanin" w:eastAsia="IRNazanin" w:cs="IRNazanin"/>
          <w:lang w:bidi="fa-IR"/>
          <w:color w:val="111111"/>
          <w:sz w:val="28"/>
          <w:szCs w:val="28"/>
          <w:rtl/>
        </w:rPr>
        <w:t xml:space="preserve">1 .اصلاح الاسفار عن وجوه بعض مخدرات الدر المختار، ج 2،</w:t>
      </w:r>
    </w:p>
    <w:p>
      <w:pPr>
        <w:pStyle w:val="BookText"/>
      </w:pPr>
      <w:r>
        <w:rPr>
          <w:rFonts w:ascii="IRNazanin" w:hAnsi="IRNazanin" w:eastAsia="IRNazanin" w:cs="IRNazanin"/>
          <w:lang w:bidi="fa-IR"/>
          <w:color w:val="111111"/>
          <w:sz w:val="28"/>
          <w:szCs w:val="28"/>
          <w:rtl/>
        </w:rPr>
        <w:t xml:space="preserve">ص 371.</w:t>
      </w:r>
    </w:p>
    <w:p>
      <w:pPr>
        <w:pStyle w:val="BookText"/>
      </w:pPr>
      <w:r>
        <w:rPr>
          <w:rFonts w:ascii="Amiri" w:hAnsi="Amiri" w:eastAsia="Amiri" w:cs="Amiri"/>
          <w:lang w:bidi="ar-SA"/>
          <w:color w:val="111111"/>
          <w:sz w:val="28"/>
          <w:szCs w:val="28"/>
          <w:rtl/>
        </w:rPr>
        <w:t xml:space="preserve">2 .تعليقة على واجبات الصلاة في الدر</w:t>
      </w:r>
    </w:p>
    <w:p>
      <w:pPr>
        <w:pStyle w:val="BookText"/>
      </w:pPr>
      <w:r>
        <w:rPr>
          <w:rFonts w:ascii="IRNazanin" w:hAnsi="IRNazanin" w:eastAsia="IRNazanin" w:cs="IRNazanin"/>
          <w:lang w:bidi="fa-IR"/>
          <w:color w:val="111111"/>
          <w:sz w:val="28"/>
          <w:szCs w:val="28"/>
          <w:rtl/>
        </w:rPr>
        <w:t xml:space="preserve">المختار شرح تنویر الابصار، ج4،</w:t>
      </w:r>
    </w:p>
    <w:p>
      <w:pPr>
        <w:pStyle w:val="BookText"/>
      </w:pPr>
      <w:r>
        <w:rPr>
          <w:rFonts w:ascii="IRNazanin" w:hAnsi="IRNazanin" w:eastAsia="IRNazanin" w:cs="IRNazanin"/>
          <w:lang w:bidi="fa-IR"/>
          <w:color w:val="111111"/>
          <w:sz w:val="28"/>
          <w:szCs w:val="28"/>
          <w:rtl/>
        </w:rPr>
        <w:t xml:space="preserve">ص 535.</w:t>
      </w:r>
    </w:p>
    <w:p>
      <w:pPr>
        <w:pStyle w:val="BookText"/>
      </w:pPr>
      <w:r>
        <w:rPr>
          <w:rFonts w:ascii="IRNazanin" w:hAnsi="IRNazanin" w:eastAsia="IRNazanin" w:cs="IRNazanin"/>
          <w:lang w:bidi="fa-IR"/>
          <w:color w:val="111111"/>
          <w:sz w:val="28"/>
          <w:szCs w:val="28"/>
          <w:rtl/>
        </w:rPr>
        <w:t xml:space="preserve">3 .حقائق الرقائق على رقائق الحقائق</w:t>
      </w:r>
    </w:p>
    <w:p>
      <w:pPr>
        <w:pStyle w:val="BookText"/>
      </w:pPr>
      <w:r>
        <w:rPr>
          <w:rFonts w:ascii="Amiri" w:hAnsi="Amiri" w:eastAsia="Amiri" w:cs="Amiri"/>
          <w:lang w:bidi="ar-SA"/>
          <w:color w:val="111111"/>
          <w:sz w:val="28"/>
          <w:szCs w:val="28"/>
          <w:rtl/>
        </w:rPr>
        <w:t xml:space="preserve">لسبط المارديني، ج 6، ص 687.</w:t>
      </w:r>
    </w:p>
    <w:p>
      <w:pPr>
        <w:pStyle w:val="BookText"/>
      </w:pPr>
      <w:r>
        <w:rPr>
          <w:rFonts w:ascii="Amiri" w:hAnsi="Amiri" w:eastAsia="Amiri" w:cs="Amiri"/>
          <w:lang w:bidi="ar-SA"/>
          <w:color w:val="111111"/>
          <w:sz w:val="28"/>
          <w:szCs w:val="28"/>
          <w:rtl/>
        </w:rPr>
        <w:t xml:space="preserve">4 .دستور الساعات الزمانية وقياس</w:t>
      </w:r>
    </w:p>
    <w:p>
      <w:pPr>
        <w:pStyle w:val="BookText"/>
      </w:pPr>
      <w:r>
        <w:rPr>
          <w:rFonts w:ascii="Amiri" w:hAnsi="Amiri" w:eastAsia="Amiri" w:cs="Amiri"/>
          <w:lang w:bidi="ar-SA"/>
          <w:color w:val="111111"/>
          <w:sz w:val="28"/>
          <w:szCs w:val="28"/>
          <w:rtl/>
        </w:rPr>
        <w:t xml:space="preserve">العصر بالسيط، ج 7، ص 379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رفع الاشكال بظهور العشر في غالب</w:t>
      </w:r>
    </w:p>
    <w:p>
      <w:pPr>
        <w:pStyle w:val="BookText"/>
      </w:pPr>
      <w:r>
        <w:rPr>
          <w:rFonts w:ascii="Amiri" w:hAnsi="Amiri" w:eastAsia="Amiri" w:cs="Amiri"/>
          <w:lang w:bidi="ar-SA"/>
          <w:color w:val="111111"/>
          <w:sz w:val="28"/>
          <w:szCs w:val="28"/>
          <w:rtl/>
        </w:rPr>
        <w:t xml:space="preserve">الاشكال، ج8، ص337.</w:t>
      </w:r>
    </w:p>
    <w:p>
      <w:pPr>
        <w:pStyle w:val="BookText"/>
      </w:pPr>
      <w:r>
        <w:rPr>
          <w:rFonts w:ascii="Amiri" w:hAnsi="Amiri" w:eastAsia="Amiri" w:cs="Amiri"/>
          <w:lang w:bidi="ar-SA"/>
          <w:color w:val="111111"/>
          <w:sz w:val="28"/>
          <w:szCs w:val="28"/>
          <w:rtl/>
        </w:rPr>
        <w:t xml:space="preserve">6 .شرح عبارة وردت في الدر المختار عن واجبات الصلاة، ج 9، ص 687 .</w:t>
      </w:r>
    </w:p>
    <w:p>
      <w:pPr>
        <w:pStyle w:val="BookText"/>
      </w:pPr>
      <w:r>
        <w:rPr>
          <w:rFonts w:ascii="Amiri" w:hAnsi="Amiri" w:eastAsia="Amiri" w:cs="Amiri"/>
          <w:lang w:bidi="ar-SA"/>
          <w:color w:val="111111"/>
          <w:sz w:val="28"/>
          <w:szCs w:val="28"/>
          <w:rtl/>
        </w:rPr>
        <w:t xml:space="preserve">7 .واجبات الصلاة، ج 16 ، ص 672 .</w:t>
      </w:r>
    </w:p>
    <w:p>
      <w:pPr>
        <w:pStyle w:val="Heading2"/>
      </w:pPr>
      <w:bookmarkStart w:id="3230" w:name="_Toc2332"/>
      <w:r>
        <w:t>جبرتي ، عبدالرحمان بن حسن، 1167 -</w:t>
      </w:r>
      <w:bookmarkEnd w:id="3230"/>
    </w:p>
    <w:p>
      <w:pPr>
        <w:pStyle w:val="BookText"/>
      </w:pPr>
      <w:r>
        <w:rPr>
          <w:rFonts w:ascii="Amiri" w:hAnsi="Amiri" w:eastAsia="Amiri" w:cs="Amiri"/>
          <w:lang w:bidi="ar-SA"/>
          <w:color w:val="111111"/>
          <w:sz w:val="28"/>
          <w:szCs w:val="28"/>
          <w:rtl/>
        </w:rPr>
        <w:t xml:space="preserve">عجائب الآثار في التراجم والأخبار</w:t>
      </w:r>
    </w:p>
    <w:p>
      <w:pPr>
        <w:pStyle w:val="BookText"/>
      </w:pPr>
      <w:r>
        <w:rPr>
          <w:rFonts w:ascii="IRNazanin" w:hAnsi="IRNazanin" w:eastAsia="IRNazanin" w:cs="IRNazanin"/>
          <w:lang w:bidi="fa-IR"/>
          <w:color w:val="111111"/>
          <w:sz w:val="28"/>
          <w:szCs w:val="28"/>
          <w:rtl/>
        </w:rPr>
        <w:t xml:space="preserve">ج 11، ص 29.</w:t>
      </w:r>
    </w:p>
    <w:p>
      <w:pPr>
        <w:pStyle w:val="BookText"/>
      </w:pPr>
      <w:r>
        <w:rPr>
          <w:rFonts w:ascii="Amiri" w:hAnsi="Amiri" w:eastAsia="Amiri" w:cs="Amiri"/>
          <w:lang w:bidi="ar-SA"/>
          <w:color w:val="111111"/>
          <w:sz w:val="28"/>
          <w:szCs w:val="28"/>
          <w:rtl/>
        </w:rPr>
        <w:t xml:space="preserve">جبريل بن حسن كنجاني -كنجاني ، جبريل</w:t>
      </w:r>
    </w:p>
    <w:p>
      <w:pPr>
        <w:pStyle w:val="BookText"/>
      </w:pPr>
      <w:r>
        <w:rPr>
          <w:rFonts w:ascii="IRNazanin" w:hAnsi="IRNazanin" w:eastAsia="IRNazanin" w:cs="IRNazanin"/>
          <w:lang w:bidi="fa-IR"/>
          <w:color w:val="111111"/>
          <w:sz w:val="28"/>
          <w:szCs w:val="28"/>
          <w:rtl/>
        </w:rPr>
        <w:t xml:space="preserve">بن حسن</w:t>
      </w:r>
    </w:p>
    <w:p>
      <w:pPr>
        <w:pStyle w:val="Heading2"/>
      </w:pPr>
      <w:bookmarkStart w:id="3231" w:name="_Toc2333"/>
      <w:r>
        <w:t>جبريني ، طه بن محمّد - 1178 ه-</w:t>
      </w:r>
      <w:bookmarkEnd w:id="3231"/>
    </w:p>
    <w:p>
      <w:pPr>
        <w:pStyle w:val="BookText"/>
      </w:pPr>
      <w:r>
        <w:rPr>
          <w:rFonts w:ascii="Amiri" w:hAnsi="Amiri" w:eastAsia="Amiri" w:cs="Amiri"/>
          <w:lang w:bidi="ar-SA"/>
          <w:color w:val="111111"/>
          <w:sz w:val="28"/>
          <w:szCs w:val="28"/>
          <w:rtl/>
        </w:rPr>
        <w:t xml:space="preserve">1 .شرح مقدمة الآجرومية، ج 10،</w:t>
      </w:r>
    </w:p>
    <w:p>
      <w:pPr>
        <w:pStyle w:val="BookText"/>
      </w:pPr>
      <w:r>
        <w:rPr>
          <w:rFonts w:ascii="IRNazanin" w:hAnsi="IRNazanin" w:eastAsia="IRNazanin" w:cs="IRNazanin"/>
          <w:lang w:bidi="fa-IR"/>
          <w:color w:val="111111"/>
          <w:sz w:val="28"/>
          <w:szCs w:val="28"/>
          <w:rtl/>
        </w:rPr>
        <w:t xml:space="preserve">ص 185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أسماء أهل بدر، ج 10،</w:t>
      </w:r>
    </w:p>
    <w:p>
      <w:pPr>
        <w:pStyle w:val="BookText"/>
      </w:pPr>
      <w:r>
        <w:rPr>
          <w:rFonts w:ascii="IRNazanin" w:hAnsi="IRNazanin" w:eastAsia="IRNazanin" w:cs="IRNazanin"/>
          <w:lang w:bidi="fa-IR"/>
          <w:color w:val="111111"/>
          <w:sz w:val="28"/>
          <w:szCs w:val="28"/>
          <w:rtl/>
        </w:rPr>
        <w:t xml:space="preserve">ص 689</w:t>
      </w:r>
    </w:p>
    <w:p>
      <w:pPr>
        <w:pStyle w:val="BookText"/>
      </w:pPr>
      <w:r>
        <w:rPr>
          <w:rFonts w:ascii="Amiri" w:hAnsi="Amiri" w:eastAsia="Amiri" w:cs="Amiri"/>
          <w:lang w:bidi="ar-SA"/>
          <w:color w:val="111111"/>
          <w:sz w:val="28"/>
          <w:szCs w:val="28"/>
          <w:rtl/>
        </w:rPr>
        <w:t xml:space="preserve">جبريني ، علي بن محمّد -ابن خطيب</w:t>
      </w:r>
    </w:p>
    <w:p>
      <w:pPr>
        <w:pStyle w:val="BookText"/>
      </w:pPr>
      <w:r>
        <w:rPr>
          <w:rFonts w:ascii="Amiri" w:hAnsi="Amiri" w:eastAsia="Amiri" w:cs="Amiri"/>
          <w:lang w:bidi="ar-SA"/>
          <w:color w:val="111111"/>
          <w:sz w:val="28"/>
          <w:szCs w:val="28"/>
          <w:rtl/>
        </w:rPr>
        <w:t xml:space="preserve">الناصريه ، علي بن محمّد</w:t>
      </w:r>
    </w:p>
    <w:p>
      <w:pPr>
        <w:pStyle w:val="BookText"/>
      </w:pPr>
      <w:r>
        <w:rPr>
          <w:rFonts w:ascii="Amiri" w:hAnsi="Amiri" w:eastAsia="Amiri" w:cs="Amiri"/>
          <w:lang w:bidi="ar-SA"/>
          <w:color w:val="111111"/>
          <w:sz w:val="28"/>
          <w:szCs w:val="28"/>
          <w:rtl/>
        </w:rPr>
        <w:t xml:space="preserve">جبعي، علي بن علي- موسوي عاملي ،</w:t>
      </w:r>
    </w:p>
    <w:p>
      <w:pPr>
        <w:pStyle w:val="BookText"/>
      </w:pPr>
      <w:r>
        <w:rPr>
          <w:rFonts w:ascii="Amiri" w:hAnsi="Amiri" w:eastAsia="Amiri" w:cs="Amiri"/>
          <w:lang w:bidi="ar-SA"/>
          <w:color w:val="111111"/>
          <w:sz w:val="28"/>
          <w:szCs w:val="28"/>
          <w:rtl/>
        </w:rPr>
        <w:t xml:space="preserve">علي بن علي</w:t>
      </w:r>
    </w:p>
    <w:p>
      <w:pPr>
        <w:pStyle w:val="BookText"/>
      </w:pPr>
      <w:r>
        <w:rPr>
          <w:rFonts w:ascii="Amiri" w:hAnsi="Amiri" w:eastAsia="Amiri" w:cs="Amiri"/>
          <w:lang w:bidi="ar-SA"/>
          <w:color w:val="111111"/>
          <w:sz w:val="28"/>
          <w:szCs w:val="28"/>
          <w:rtl/>
        </w:rPr>
        <w:t xml:space="preserve">جبل عاملي ، عبدالحسين -شرف الدين ،</w:t>
      </w:r>
    </w:p>
    <w:p>
      <w:pPr>
        <w:pStyle w:val="BookText"/>
      </w:pPr>
      <w:r>
        <w:rPr>
          <w:rFonts w:ascii="Amiri" w:hAnsi="Amiri" w:eastAsia="Amiri" w:cs="Amiri"/>
          <w:lang w:bidi="ar-SA"/>
          <w:color w:val="111111"/>
          <w:sz w:val="28"/>
          <w:szCs w:val="28"/>
          <w:rtl/>
        </w:rPr>
        <w:t xml:space="preserve">عبدالحسين</w:t>
      </w:r>
    </w:p>
    <w:p>
      <w:pPr>
        <w:pStyle w:val="BookText"/>
      </w:pPr>
      <w:r>
        <w:rPr>
          <w:rFonts w:ascii="Amiri" w:hAnsi="Amiri" w:eastAsia="Amiri" w:cs="Amiri"/>
          <w:lang w:bidi="ar-SA"/>
          <w:color w:val="111111"/>
          <w:sz w:val="28"/>
          <w:szCs w:val="28"/>
          <w:rtl/>
        </w:rPr>
        <w:t xml:space="preserve">جبل عاملي ، يوسف بن محمّد- عاملي</w:t>
      </w:r>
    </w:p>
    <w:p>
      <w:pPr>
        <w:pStyle w:val="BookText"/>
      </w:pPr>
      <w:r>
        <w:rPr>
          <w:rFonts w:ascii="Amiri" w:hAnsi="Amiri" w:eastAsia="Amiri" w:cs="Amiri"/>
          <w:lang w:bidi="ar-SA"/>
          <w:color w:val="111111"/>
          <w:sz w:val="28"/>
          <w:szCs w:val="28"/>
          <w:rtl/>
        </w:rPr>
        <w:t xml:space="preserve">يوسف بن محمّد حسين</w:t>
      </w:r>
    </w:p>
    <w:p>
      <w:pPr>
        <w:pStyle w:val="Heading2"/>
      </w:pPr>
      <w:bookmarkStart w:id="3232" w:name="_Toc2334"/>
      <w:r>
        <w:t>جبوري ، سلطان بن ناصر - 1138 ه-</w:t>
      </w:r>
      <w:bookmarkEnd w:id="3232"/>
    </w:p>
    <w:p>
      <w:pPr>
        <w:pStyle w:val="BookText"/>
      </w:pPr>
      <w:r>
        <w:rPr>
          <w:rFonts w:ascii="Amiri" w:hAnsi="Amiri" w:eastAsia="Amiri" w:cs="Amiri"/>
          <w:lang w:bidi="ar-SA"/>
          <w:color w:val="111111"/>
          <w:sz w:val="28"/>
          <w:szCs w:val="28"/>
          <w:rtl/>
        </w:rPr>
        <w:t xml:space="preserve">1 .اجازة للشيخ عبدالغفور بن عبدالله بن احمد الموصلي، ج 1، ص 267.</w:t>
      </w:r>
    </w:p>
    <w:p>
      <w:pPr>
        <w:pStyle w:val="BookText"/>
      </w:pPr>
      <w:r>
        <w:rPr>
          <w:rFonts w:ascii="Amiri" w:hAnsi="Amiri" w:eastAsia="Amiri" w:cs="Amiri"/>
          <w:lang w:bidi="ar-SA"/>
          <w:color w:val="111111"/>
          <w:sz w:val="28"/>
          <w:szCs w:val="28"/>
          <w:rtl/>
        </w:rPr>
        <w:t xml:space="preserve">2 .اجازة لملا جرجيس، ج 1، ص288.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9" w:name="pg7742_70023"/>
    <w:bookmarkEnd w:id="31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تعليق على المنظومة البقرية</w:t>
      </w:r>
    </w:p>
    <w:p>
      <w:pPr>
        <w:pStyle w:val="BookText"/>
      </w:pPr>
      <w:r>
        <w:rPr>
          <w:rFonts w:ascii="Amiri" w:hAnsi="Amiri" w:eastAsia="Amiri" w:cs="Amiri"/>
          <w:lang w:bidi="ar-SA"/>
          <w:color w:val="111111"/>
          <w:sz w:val="28"/>
          <w:szCs w:val="28"/>
          <w:rtl/>
        </w:rPr>
        <w:t xml:space="preserve">(القواعد المحررة)، ج4، ص 552.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التكبير، ج 4، ص 810.</w:t>
      </w:r>
    </w:p>
    <w:p>
      <w:pPr>
        <w:pStyle w:val="BookText"/>
      </w:pPr>
      <w:r>
        <w:rPr>
          <w:rFonts w:ascii="Amiri" w:hAnsi="Amiri" w:eastAsia="Amiri" w:cs="Amiri"/>
          <w:lang w:bidi="ar-SA"/>
          <w:color w:val="111111"/>
          <w:sz w:val="28"/>
          <w:szCs w:val="28"/>
          <w:rtl/>
        </w:rPr>
        <w:t xml:space="preserve">5 .سلم الانتفاع إلى الامتاع بالأربعين</w:t>
      </w:r>
    </w:p>
    <w:p>
      <w:pPr>
        <w:pStyle w:val="BookText"/>
      </w:pPr>
      <w:r>
        <w:rPr>
          <w:rFonts w:ascii="Amiri" w:hAnsi="Amiri" w:eastAsia="Amiri" w:cs="Amiri"/>
          <w:lang w:bidi="ar-SA"/>
          <w:color w:val="111111"/>
          <w:sz w:val="28"/>
          <w:szCs w:val="28"/>
          <w:rtl/>
        </w:rPr>
        <w:t xml:space="preserve">المتباينة بشرط السماع، ج8،</w:t>
      </w:r>
    </w:p>
    <w:p>
      <w:pPr>
        <w:pStyle w:val="BookText"/>
      </w:pPr>
      <w:r>
        <w:rPr>
          <w:rFonts w:ascii="IRNazanin" w:hAnsi="IRNazanin" w:eastAsia="IRNazanin" w:cs="IRNazanin"/>
          <w:lang w:bidi="fa-IR"/>
          <w:color w:val="111111"/>
          <w:sz w:val="28"/>
          <w:szCs w:val="28"/>
          <w:rtl/>
        </w:rPr>
        <w:t xml:space="preserve">ص 811</w:t>
      </w:r>
    </w:p>
    <w:p>
      <w:pPr>
        <w:pStyle w:val="BookText"/>
      </w:pPr>
      <w:r>
        <w:rPr>
          <w:rFonts w:ascii="Amiri" w:hAnsi="Amiri" w:eastAsia="Amiri" w:cs="Amiri"/>
          <w:lang w:bidi="ar-SA"/>
          <w:color w:val="111111"/>
          <w:sz w:val="28"/>
          <w:szCs w:val="28"/>
          <w:rtl/>
        </w:rPr>
        <w:t xml:space="preserve">6 .عقد الجوهرة، ج 11، ص 161.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العقود المجوهرة واللآلي المبتكرة 11ه-</w:t>
      </w:r>
    </w:p>
    <w:p>
      <w:pPr>
        <w:pStyle w:val="BookText"/>
      </w:pPr>
      <w:r>
        <w:rPr>
          <w:rFonts w:ascii="Amiri" w:hAnsi="Amiri" w:eastAsia="Amiri" w:cs="Amiri"/>
          <w:lang w:bidi="ar-SA"/>
          <w:color w:val="111111"/>
          <w:sz w:val="28"/>
          <w:szCs w:val="28"/>
          <w:rtl/>
        </w:rPr>
        <w:t xml:space="preserve">لشرح القواعد المقررة و الفوائد</w:t>
      </w:r>
    </w:p>
    <w:p>
      <w:pPr>
        <w:pStyle w:val="BookText"/>
      </w:pPr>
      <w:r>
        <w:rPr>
          <w:rFonts w:ascii="Amiri" w:hAnsi="Amiri" w:eastAsia="Amiri" w:cs="Amiri"/>
          <w:lang w:bidi="ar-SA"/>
          <w:color w:val="111111"/>
          <w:sz w:val="28"/>
          <w:szCs w:val="28"/>
          <w:rtl/>
        </w:rPr>
        <w:t xml:space="preserve">المحررة، ج 11، ص193.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القول المبين في تكبير سنة المكيين</w:t>
      </w:r>
    </w:p>
    <w:p>
      <w:pPr>
        <w:pStyle w:val="BookText"/>
      </w:pPr>
      <w:r>
        <w:rPr>
          <w:rFonts w:ascii="IRNazanin" w:hAnsi="IRNazanin" w:eastAsia="IRNazanin" w:cs="IRNazanin"/>
          <w:lang w:bidi="fa-IR"/>
          <w:color w:val="111111"/>
          <w:sz w:val="28"/>
          <w:szCs w:val="28"/>
          <w:rtl/>
        </w:rPr>
        <w:t xml:space="preserve">ج 12، ص 855.</w:t>
      </w:r>
    </w:p>
    <w:p>
      <w:pPr>
        <w:pStyle w:val="BookText"/>
      </w:pPr>
      <w:r>
        <w:rPr>
          <w:rFonts w:ascii="Amiri" w:hAnsi="Amiri" w:eastAsia="Amiri" w:cs="Amiri"/>
          <w:lang w:bidi="ar-SA"/>
          <w:color w:val="111111"/>
          <w:sz w:val="28"/>
          <w:szCs w:val="28"/>
          <w:rtl/>
        </w:rPr>
        <w:t xml:space="preserve">9 .مجموعة رسائل، ج 14، ص 33.</w:t>
      </w:r>
    </w:p>
    <w:p>
      <w:pPr>
        <w:pStyle w:val="Heading2"/>
      </w:pPr>
      <w:bookmarkStart w:id="3233" w:name="_Toc2335"/>
      <w:r>
        <w:t>جبوري ، علي، قرن 12 ه-</w:t>
      </w:r>
      <w:bookmarkEnd w:id="3233"/>
    </w:p>
    <w:p>
      <w:pPr>
        <w:pStyle w:val="BookText"/>
      </w:pPr>
      <w:r>
        <w:rPr>
          <w:rFonts w:ascii="Amiri" w:hAnsi="Amiri" w:eastAsia="Amiri" w:cs="Amiri"/>
          <w:lang w:bidi="ar-SA"/>
          <w:color w:val="111111"/>
          <w:sz w:val="28"/>
          <w:szCs w:val="28"/>
          <w:rtl/>
        </w:rPr>
        <w:t xml:space="preserve">كشف حقائق الدقائق، ج13، ص203.</w:t>
      </w:r>
    </w:p>
    <w:p>
      <w:pPr>
        <w:pStyle w:val="Heading2"/>
      </w:pPr>
      <w:bookmarkStart w:id="3234" w:name="_Toc2336"/>
      <w:r>
        <w:t>جبوري، محمّد امین - 1323 ه-</w:t>
      </w:r>
      <w:bookmarkEnd w:id="3234"/>
    </w:p>
    <w:p>
      <w:pPr>
        <w:pStyle w:val="BookText"/>
      </w:pPr>
      <w:r>
        <w:rPr>
          <w:rFonts w:ascii="IRNazanin" w:hAnsi="IRNazanin" w:eastAsia="IRNazanin" w:cs="IRNazanin"/>
          <w:lang w:bidi="fa-IR"/>
          <w:color w:val="111111"/>
          <w:sz w:val="28"/>
          <w:szCs w:val="28"/>
          <w:rtl/>
        </w:rPr>
        <w:t xml:space="preserve">1 .دیوان محمّد أمين الحنش ج7،</w:t>
      </w:r>
    </w:p>
    <w:p>
      <w:pPr>
        <w:pStyle w:val="BookText"/>
      </w:pPr>
      <w:r>
        <w:rPr>
          <w:rFonts w:ascii="IRNazanin" w:hAnsi="IRNazanin" w:eastAsia="IRNazanin" w:cs="IRNazanin"/>
          <w:lang w:bidi="fa-IR"/>
          <w:color w:val="111111"/>
          <w:sz w:val="28"/>
          <w:szCs w:val="28"/>
          <w:rtl/>
        </w:rPr>
        <w:t xml:space="preserve">ص 763 .</w:t>
      </w:r>
    </w:p>
    <w:p>
      <w:pPr>
        <w:pStyle w:val="BookText"/>
      </w:pPr>
      <w:r>
        <w:rPr>
          <w:rFonts w:ascii="IRNazanin" w:hAnsi="IRNazanin" w:eastAsia="IRNazanin" w:cs="IRNazanin"/>
          <w:lang w:bidi="fa-IR"/>
          <w:color w:val="111111"/>
          <w:sz w:val="28"/>
          <w:szCs w:val="28"/>
          <w:rtl/>
        </w:rPr>
        <w:t xml:space="preserve">2 .القصائد المشجرات، ج 12، ص 598.</w:t>
      </w:r>
    </w:p>
    <w:p>
      <w:pPr>
        <w:pStyle w:val="BookText"/>
      </w:pPr>
      <w:r>
        <w:rPr>
          <w:rFonts w:ascii="Amiri" w:hAnsi="Amiri" w:eastAsia="Amiri" w:cs="Amiri"/>
          <w:lang w:bidi="ar-SA"/>
          <w:color w:val="111111"/>
          <w:sz w:val="28"/>
          <w:szCs w:val="28"/>
          <w:rtl/>
        </w:rPr>
        <w:t xml:space="preserve">قيرواني ، محمّد بن سعيد</w:t>
      </w:r>
    </w:p>
    <w:p>
      <w:pPr>
        <w:pStyle w:val="BookText"/>
      </w:pPr>
      <w:r>
        <w:rPr>
          <w:rFonts w:ascii="Amiri" w:hAnsi="Amiri" w:eastAsia="Amiri" w:cs="Amiri"/>
          <w:lang w:bidi="ar-SA"/>
          <w:color w:val="111111"/>
          <w:sz w:val="28"/>
          <w:szCs w:val="28"/>
          <w:rtl/>
        </w:rPr>
        <w:t xml:space="preserve">3 .قصيدة في فضل آل البيت، ج 12،</w:t>
      </w:r>
    </w:p>
    <w:p>
      <w:pPr>
        <w:pStyle w:val="BookText"/>
      </w:pPr>
      <w:r>
        <w:rPr>
          <w:rFonts w:ascii="IRNazanin" w:hAnsi="IRNazanin" w:eastAsia="IRNazanin" w:cs="IRNazanin"/>
          <w:lang w:bidi="fa-IR"/>
          <w:color w:val="111111"/>
          <w:sz w:val="28"/>
          <w:szCs w:val="28"/>
          <w:rtl/>
        </w:rPr>
        <w:t xml:space="preserve">ص 694 .</w:t>
      </w:r>
    </w:p>
    <w:p>
      <w:pPr>
        <w:pStyle w:val="BookText"/>
      </w:pPr>
      <w:r>
        <w:rPr>
          <w:rFonts w:ascii="IRNazanin" w:hAnsi="IRNazanin" w:eastAsia="IRNazanin" w:cs="IRNazanin"/>
          <w:lang w:bidi="fa-IR"/>
          <w:color w:val="111111"/>
          <w:sz w:val="28"/>
          <w:szCs w:val="28"/>
          <w:rtl/>
        </w:rPr>
        <w:t xml:space="preserve">جته جي ، عبدالله بن ابراهیم چته چي ،</w:t>
      </w:r>
    </w:p>
    <w:p>
      <w:pPr>
        <w:pStyle w:val="BookText"/>
      </w:pPr>
      <w:r>
        <w:rPr>
          <w:rFonts w:ascii="Amiri" w:hAnsi="Amiri" w:eastAsia="Amiri" w:cs="Amiri"/>
          <w:lang w:bidi="ar-SA"/>
          <w:color w:val="111111"/>
          <w:sz w:val="28"/>
          <w:szCs w:val="28"/>
          <w:rtl/>
        </w:rPr>
        <w:t xml:space="preserve">عبدالله بن ابراهيم</w:t>
      </w:r>
    </w:p>
    <w:p>
      <w:pPr>
        <w:pStyle w:val="Heading2"/>
      </w:pPr>
      <w:bookmarkStart w:id="3235" w:name="_Toc2337"/>
      <w:r>
        <w:t>ججو ، بطرس</w:t>
      </w:r>
      <w:bookmarkEnd w:id="3235"/>
    </w:p>
    <w:p>
      <w:pPr>
        <w:pStyle w:val="BookText"/>
      </w:pPr>
      <w:r>
        <w:rPr>
          <w:rFonts w:ascii="IRNazanin" w:hAnsi="IRNazanin" w:eastAsia="IRNazanin" w:cs="IRNazanin"/>
          <w:lang w:bidi="fa-IR"/>
          <w:color w:val="111111"/>
          <w:sz w:val="28"/>
          <w:szCs w:val="28"/>
          <w:rtl/>
        </w:rPr>
        <w:t xml:space="preserve">متفرقات، ج13، ص 754 .</w:t>
      </w:r>
    </w:p>
    <w:p>
      <w:pPr>
        <w:pStyle w:val="BookText"/>
      </w:pPr>
      <w:r>
        <w:rPr>
          <w:rFonts w:ascii="Amiri" w:hAnsi="Amiri" w:eastAsia="Amiri" w:cs="Amiri"/>
          <w:lang w:bidi="ar-SA"/>
          <w:color w:val="111111"/>
          <w:sz w:val="28"/>
          <w:szCs w:val="28"/>
          <w:rtl/>
        </w:rPr>
        <w:t xml:space="preserve">جدحفصي ، عبدالرؤف بن حسين -بحراني ،</w:t>
      </w:r>
    </w:p>
    <w:p>
      <w:pPr>
        <w:pStyle w:val="BookText"/>
      </w:pPr>
      <w:r>
        <w:rPr>
          <w:rFonts w:ascii="Amiri" w:hAnsi="Amiri" w:eastAsia="Amiri" w:cs="Amiri"/>
          <w:lang w:bidi="ar-SA"/>
          <w:color w:val="111111"/>
          <w:sz w:val="28"/>
          <w:szCs w:val="28"/>
          <w:rtl/>
        </w:rPr>
        <w:t xml:space="preserve">عبدالرؤف بن حسين</w:t>
      </w:r>
    </w:p>
    <w:p>
      <w:pPr>
        <w:pStyle w:val="Heading2"/>
      </w:pPr>
      <w:bookmarkStart w:id="3236" w:name="_Toc2338"/>
      <w:r>
        <w:t>جدلي ، ملامحمّد علي، قرن 13 ه-</w:t>
      </w:r>
      <w:bookmarkEnd w:id="3236"/>
    </w:p>
    <w:p>
      <w:pPr>
        <w:pStyle w:val="BookText"/>
      </w:pPr>
      <w:r>
        <w:rPr>
          <w:rFonts w:ascii="Amiri" w:hAnsi="Amiri" w:eastAsia="Amiri" w:cs="Amiri"/>
          <w:lang w:bidi="ar-SA"/>
          <w:color w:val="111111"/>
          <w:sz w:val="28"/>
          <w:szCs w:val="28"/>
          <w:rtl/>
        </w:rPr>
        <w:t xml:space="preserve">الفين - الهدايات - الناقور، ج2،</w:t>
      </w:r>
    </w:p>
    <w:p>
      <w:pPr>
        <w:pStyle w:val="BookText"/>
      </w:pPr>
      <w:r>
        <w:rPr>
          <w:rFonts w:ascii="IRNazanin" w:hAnsi="IRNazanin" w:eastAsia="IRNazanin" w:cs="IRNazanin"/>
          <w:lang w:bidi="fa-IR"/>
          <w:color w:val="111111"/>
          <w:sz w:val="28"/>
          <w:szCs w:val="28"/>
          <w:rtl/>
        </w:rPr>
        <w:t xml:space="preserve">ص 691 .</w:t>
      </w:r>
    </w:p>
    <w:p>
      <w:pPr>
        <w:pStyle w:val="Heading2"/>
      </w:pPr>
      <w:bookmarkStart w:id="3237" w:name="_Toc2339"/>
      <w:r>
        <w:t>جديد الاسلام، علي قلي بن محمّد قرن</w:t>
      </w:r>
      <w:bookmarkEnd w:id="3237"/>
    </w:p>
    <w:p>
      <w:pPr>
        <w:pStyle w:val="BookText"/>
      </w:pPr>
      <w:r>
        <w:rPr>
          <w:rFonts w:ascii="Amiri" w:hAnsi="Amiri" w:eastAsia="Amiri" w:cs="Amiri"/>
          <w:lang w:bidi="ar-SA"/>
          <w:color w:val="111111"/>
          <w:sz w:val="28"/>
          <w:szCs w:val="28"/>
          <w:rtl/>
        </w:rPr>
        <w:t xml:space="preserve">زبدة الحكماء، ج 8، ص 572</w:t>
      </w:r>
    </w:p>
    <w:p>
      <w:pPr>
        <w:pStyle w:val="Heading2"/>
      </w:pPr>
      <w:bookmarkStart w:id="3238" w:name="_Toc2340"/>
      <w:r>
        <w:t>جدید بدخشي، يارمحمّد</w:t>
      </w:r>
      <w:bookmarkEnd w:id="3238"/>
    </w:p>
    <w:p>
      <w:pPr>
        <w:pStyle w:val="BookText"/>
      </w:pPr>
      <w:r>
        <w:rPr>
          <w:rFonts w:ascii="Amiri" w:hAnsi="Amiri" w:eastAsia="Amiri" w:cs="Amiri"/>
          <w:lang w:bidi="ar-SA"/>
          <w:color w:val="111111"/>
          <w:sz w:val="28"/>
          <w:szCs w:val="28"/>
          <w:rtl/>
        </w:rPr>
        <w:t xml:space="preserve">مكتوبات احمد فاروقي، ج 15</w:t>
      </w:r>
    </w:p>
    <w:p>
      <w:pPr>
        <w:pStyle w:val="BookText"/>
      </w:pPr>
      <w:r>
        <w:rPr>
          <w:rFonts w:ascii="IRNazanin" w:hAnsi="IRNazanin" w:eastAsia="IRNazanin" w:cs="IRNazanin"/>
          <w:lang w:bidi="fa-IR"/>
          <w:color w:val="111111"/>
          <w:sz w:val="28"/>
          <w:szCs w:val="28"/>
          <w:rtl/>
        </w:rPr>
        <w:t xml:space="preserve">ص 420.</w:t>
      </w:r>
    </w:p>
    <w:p>
      <w:pPr>
        <w:pStyle w:val="BookText"/>
      </w:pPr>
      <w:r>
        <w:rPr>
          <w:rFonts w:ascii="Amiri" w:hAnsi="Amiri" w:eastAsia="Amiri" w:cs="Amiri"/>
          <w:lang w:bidi="ar-SA"/>
          <w:color w:val="111111"/>
          <w:sz w:val="28"/>
          <w:szCs w:val="28"/>
          <w:rtl/>
        </w:rPr>
        <w:t xml:space="preserve">جذامي ، صالح بن عبد القدوس - ازدي</w:t>
      </w:r>
    </w:p>
    <w:p>
      <w:pPr>
        <w:pStyle w:val="BookText"/>
      </w:pPr>
      <w:r>
        <w:rPr>
          <w:rFonts w:ascii="IRNazanin" w:hAnsi="IRNazanin" w:eastAsia="IRNazanin" w:cs="IRNazanin"/>
          <w:lang w:bidi="fa-IR"/>
          <w:color w:val="111111"/>
          <w:sz w:val="28"/>
          <w:szCs w:val="28"/>
          <w:rtl/>
        </w:rPr>
        <w:t xml:space="preserve">صالح بن عبدالقدوس</w:t>
      </w:r>
    </w:p>
    <w:p>
      <w:pPr>
        <w:pStyle w:val="BookText"/>
      </w:pPr>
      <w:r>
        <w:rPr>
          <w:rFonts w:ascii="Amiri" w:hAnsi="Amiri" w:eastAsia="Amiri" w:cs="Amiri"/>
          <w:lang w:bidi="ar-SA"/>
          <w:color w:val="111111"/>
          <w:sz w:val="28"/>
          <w:szCs w:val="28"/>
          <w:rtl/>
        </w:rPr>
        <w:t xml:space="preserve">جذامي ، عبدالله بن نجم- خلال ، عبدالله</w:t>
      </w:r>
    </w:p>
    <w:p>
      <w:pPr>
        <w:pStyle w:val="BookText"/>
      </w:pPr>
      <w:r>
        <w:rPr>
          <w:rFonts w:ascii="IRNazanin" w:hAnsi="IRNazanin" w:eastAsia="IRNazanin" w:cs="IRNazanin"/>
          <w:lang w:bidi="fa-IR"/>
          <w:color w:val="111111"/>
          <w:sz w:val="28"/>
          <w:szCs w:val="28"/>
          <w:rtl/>
        </w:rPr>
        <w:t xml:space="preserve">بن نجم</w:t>
      </w:r>
    </w:p>
    <w:p>
      <w:pPr>
        <w:pStyle w:val="BookText"/>
      </w:pPr>
      <w:r>
        <w:rPr>
          <w:rFonts w:ascii="Amiri" w:hAnsi="Amiri" w:eastAsia="Amiri" w:cs="Amiri"/>
          <w:lang w:bidi="ar-SA"/>
          <w:color w:val="111111"/>
          <w:sz w:val="28"/>
          <w:szCs w:val="28"/>
          <w:rtl/>
        </w:rPr>
        <w:t xml:space="preserve">جذامي ، محمّد بن سعيد -ابن شرف</w:t>
      </w:r>
    </w:p>
    <w:p>
      <w:pPr>
        <w:pStyle w:val="BookText"/>
      </w:pPr>
      <w:r>
        <w:rPr>
          <w:rFonts w:ascii="Amiri" w:hAnsi="Amiri" w:eastAsia="Amiri" w:cs="Amiri"/>
          <w:lang w:bidi="ar-SA"/>
          <w:color w:val="111111"/>
          <w:sz w:val="28"/>
          <w:szCs w:val="28"/>
          <w:rtl/>
        </w:rPr>
        <w:t xml:space="preserve">جذامي اسكندري ، احمد بن محمّد- ابن</w:t>
      </w:r>
    </w:p>
    <w:p>
      <w:pPr>
        <w:pStyle w:val="BookText"/>
      </w:pPr>
      <w:r>
        <w:rPr>
          <w:rFonts w:ascii="Amiri" w:hAnsi="Amiri" w:eastAsia="Amiri" w:cs="Amiri"/>
          <w:lang w:bidi="ar-SA"/>
          <w:color w:val="111111"/>
          <w:sz w:val="28"/>
          <w:szCs w:val="28"/>
          <w:rtl/>
        </w:rPr>
        <w:t xml:space="preserve">عطاء الله اسكندري ، احمد بن محمّد</w:t>
      </w:r>
    </w:p>
    <w:p>
      <w:pPr>
        <w:pStyle w:val="Heading2"/>
      </w:pPr>
      <w:bookmarkStart w:id="3239" w:name="_Toc2341"/>
      <w:r>
        <w:t>جرائدي، يعقوب بن بدران - 688 ه-</w:t>
      </w:r>
      <w:bookmarkEnd w:id="32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الفوائد في الياءات الزوائد، ج 12،</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Amiri" w:hAnsi="Amiri" w:eastAsia="Amiri" w:cs="Amiri"/>
          <w:lang w:bidi="ar-SA"/>
          <w:color w:val="111111"/>
          <w:sz w:val="28"/>
          <w:szCs w:val="28"/>
          <w:rtl/>
        </w:rPr>
        <w:t xml:space="preserve">2 .مقدمة في معرفة الوقف التام و الكافي والقبيح، ج 15 ، ص 369.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0" w:name="pg7742_70025"/>
    <w:bookmarkEnd w:id="320"/>
    <w:p>
      <w:pPr>
        <w:pStyle w:val="BookText"/>
      </w:pPr>
      <w:r>
        <w:rPr>
          <w:rFonts w:ascii="Amiri" w:hAnsi="Amiri" w:eastAsia="Amiri" w:cs="Amiri"/>
          <w:lang w:bidi="ar-SA"/>
          <w:color w:val="111111"/>
          <w:sz w:val="28"/>
          <w:szCs w:val="28"/>
          <w:rtl/>
        </w:rPr>
        <w:t xml:space="preserve">جراحي، اسماعيل بن محمّد- عجلوني ،</w:t>
      </w:r>
    </w:p>
    <w:p>
      <w:pPr>
        <w:pStyle w:val="BookText"/>
      </w:pPr>
      <w:r>
        <w:rPr>
          <w:rFonts w:ascii="Amiri" w:hAnsi="Amiri" w:eastAsia="Amiri" w:cs="Amiri"/>
          <w:lang w:bidi="ar-SA"/>
          <w:color w:val="111111"/>
          <w:sz w:val="28"/>
          <w:szCs w:val="28"/>
          <w:rtl/>
        </w:rPr>
        <w:t xml:space="preserve">اسماعيل بن محمّد</w:t>
      </w:r>
    </w:p>
    <w:p>
      <w:pPr>
        <w:pStyle w:val="Heading2"/>
      </w:pPr>
      <w:bookmarkStart w:id="3240" w:name="_Toc2342"/>
      <w:r>
        <w:t>جراعي ، ابوبكر بن زيد 825 - 883 ه-</w:t>
      </w:r>
      <w:bookmarkEnd w:id="3240"/>
    </w:p>
    <w:p>
      <w:pPr>
        <w:pStyle w:val="BookText"/>
      </w:pPr>
      <w:r>
        <w:rPr>
          <w:rFonts w:ascii="Amiri" w:hAnsi="Amiri" w:eastAsia="Amiri" w:cs="Amiri"/>
          <w:lang w:bidi="ar-SA"/>
          <w:color w:val="111111"/>
          <w:sz w:val="28"/>
          <w:szCs w:val="28"/>
          <w:rtl/>
        </w:rPr>
        <w:t xml:space="preserve">تحفة الراكع و الساجد في احكام</w:t>
      </w:r>
    </w:p>
    <w:p>
      <w:pPr>
        <w:pStyle w:val="BookText"/>
      </w:pPr>
      <w:r>
        <w:rPr>
          <w:rFonts w:ascii="IRNazanin" w:hAnsi="IRNazanin" w:eastAsia="IRNazanin" w:cs="IRNazanin"/>
          <w:lang w:bidi="fa-IR"/>
          <w:color w:val="111111"/>
          <w:sz w:val="28"/>
          <w:szCs w:val="28"/>
          <w:rtl/>
        </w:rPr>
        <w:t xml:space="preserve">المساجد، ج 3، ص830.</w:t>
      </w:r>
    </w:p>
    <w:p>
      <w:pPr>
        <w:pStyle w:val="Heading2"/>
      </w:pPr>
      <w:bookmarkStart w:id="3241" w:name="_Toc2343"/>
      <w:r>
        <w:t>جران العود، عامر بن حارث قرن 1 ه-</w:t>
      </w:r>
      <w:bookmarkEnd w:id="3241"/>
    </w:p>
    <w:p>
      <w:pPr>
        <w:pStyle w:val="BookText"/>
      </w:pPr>
      <w:r>
        <w:rPr>
          <w:rFonts w:ascii="IRNazanin" w:hAnsi="IRNazanin" w:eastAsia="IRNazanin" w:cs="IRNazanin"/>
          <w:lang w:bidi="fa-IR"/>
          <w:color w:val="111111"/>
          <w:sz w:val="28"/>
          <w:szCs w:val="28"/>
          <w:rtl/>
        </w:rPr>
        <w:t xml:space="preserve">دیوان جران العود النميري، ج7،</w:t>
      </w:r>
    </w:p>
    <w:p>
      <w:pPr>
        <w:pStyle w:val="BookText"/>
      </w:pPr>
      <w:r>
        <w:rPr>
          <w:rFonts w:ascii="IRNazanin" w:hAnsi="IRNazanin" w:eastAsia="IRNazanin" w:cs="IRNazanin"/>
          <w:lang w:bidi="fa-IR"/>
          <w:color w:val="111111"/>
          <w:sz w:val="28"/>
          <w:szCs w:val="28"/>
          <w:rtl/>
        </w:rPr>
        <w:t xml:space="preserve">ص 606.</w:t>
      </w:r>
    </w:p>
    <w:p>
      <w:pPr>
        <w:pStyle w:val="Heading2"/>
      </w:pPr>
      <w:bookmarkStart w:id="3242" w:name="_Toc2344"/>
      <w:r>
        <w:t>جربادقاني ، محمّد بن علي</w:t>
      </w:r>
      <w:bookmarkEnd w:id="3242"/>
    </w:p>
    <w:p>
      <w:pPr>
        <w:pStyle w:val="BookText"/>
      </w:pPr>
      <w:r>
        <w:rPr>
          <w:rFonts w:ascii="Amiri" w:hAnsi="Amiri" w:eastAsia="Amiri" w:cs="Amiri"/>
          <w:lang w:bidi="ar-SA"/>
          <w:color w:val="111111"/>
          <w:sz w:val="28"/>
          <w:szCs w:val="28"/>
          <w:rtl/>
        </w:rPr>
        <w:t xml:space="preserve">1 .عدة الداعي، ج 11، ص 48.</w:t>
      </w:r>
    </w:p>
    <w:p>
      <w:pPr>
        <w:pStyle w:val="BookText"/>
      </w:pPr>
      <w:r>
        <w:rPr>
          <w:rFonts w:ascii="IRNazanin" w:hAnsi="IRNazanin" w:eastAsia="IRNazanin" w:cs="IRNazanin"/>
          <w:lang w:bidi="fa-IR"/>
          <w:color w:val="111111"/>
          <w:sz w:val="28"/>
          <w:szCs w:val="28"/>
          <w:rtl/>
        </w:rPr>
        <w:t xml:space="preserve">2 .عروس الاجزاء، ج 11، ص88.</w:t>
      </w:r>
    </w:p>
    <w:p>
      <w:pPr>
        <w:pStyle w:val="Heading2"/>
      </w:pPr>
      <w:bookmarkStart w:id="3243" w:name="_Toc2345"/>
      <w:r>
        <w:t>جربي ، احمد بن عبد الحليم</w:t>
      </w:r>
      <w:bookmarkEnd w:id="3243"/>
    </w:p>
    <w:p>
      <w:pPr>
        <w:pStyle w:val="BookText"/>
      </w:pPr>
      <w:r>
        <w:rPr>
          <w:rFonts w:ascii="Amiri" w:hAnsi="Amiri" w:eastAsia="Amiri" w:cs="Amiri"/>
          <w:lang w:bidi="ar-SA"/>
          <w:color w:val="111111"/>
          <w:sz w:val="28"/>
          <w:szCs w:val="28"/>
          <w:rtl/>
        </w:rPr>
        <w:t xml:space="preserve">المسألة الخلافة في الصلاة، ج 14،</w:t>
      </w:r>
    </w:p>
    <w:p>
      <w:pPr>
        <w:pStyle w:val="BookText"/>
      </w:pPr>
      <w:r>
        <w:rPr>
          <w:rFonts w:ascii="IRNazanin" w:hAnsi="IRNazanin" w:eastAsia="IRNazanin" w:cs="IRNazanin"/>
          <w:lang w:bidi="fa-IR"/>
          <w:color w:val="111111"/>
          <w:sz w:val="28"/>
          <w:szCs w:val="28"/>
          <w:rtl/>
        </w:rPr>
        <w:t xml:space="preserve">ص 539.</w:t>
      </w:r>
    </w:p>
    <w:p>
      <w:pPr>
        <w:pStyle w:val="Heading2"/>
      </w:pPr>
      <w:bookmarkStart w:id="3244" w:name="_Toc2346"/>
      <w:r>
        <w:t>جرجاني، ابوالفتح بن مخدوم - 976 ؟ ه-</w:t>
      </w:r>
      <w:bookmarkEnd w:id="32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تفسير شاهي = آيات الاحكام ج4،</w:t>
      </w:r>
    </w:p>
    <w:p>
      <w:pPr>
        <w:pStyle w:val="BookText"/>
      </w:pPr>
      <w:r>
        <w:rPr>
          <w:rFonts w:ascii="IRNazanin" w:hAnsi="IRNazanin" w:eastAsia="IRNazanin" w:cs="IRNazanin"/>
          <w:lang w:bidi="fa-IR"/>
          <w:color w:val="111111"/>
          <w:sz w:val="28"/>
          <w:szCs w:val="28"/>
          <w:rtl/>
        </w:rPr>
        <w:t xml:space="preserve">ص 646 .</w:t>
      </w:r>
    </w:p>
    <w:p>
      <w:pPr>
        <w:pStyle w:val="BookText"/>
      </w:pPr>
      <w:r>
        <w:rPr>
          <w:rFonts w:ascii="Amiri" w:hAnsi="Amiri" w:eastAsia="Amiri" w:cs="Amiri"/>
          <w:lang w:bidi="ar-SA"/>
          <w:color w:val="111111"/>
          <w:sz w:val="28"/>
          <w:szCs w:val="28"/>
          <w:rtl/>
        </w:rPr>
        <w:t xml:space="preserve">2 .حاشية حاشية الدواني على تهذيب</w:t>
      </w:r>
    </w:p>
    <w:p>
      <w:pPr>
        <w:pStyle w:val="BookText"/>
      </w:pPr>
      <w:r>
        <w:rPr>
          <w:rFonts w:ascii="IRNazanin" w:hAnsi="IRNazanin" w:eastAsia="IRNazanin" w:cs="IRNazanin"/>
          <w:lang w:bidi="fa-IR"/>
          <w:color w:val="111111"/>
          <w:sz w:val="28"/>
          <w:szCs w:val="28"/>
          <w:rtl/>
        </w:rPr>
        <w:t xml:space="preserve">المنطق، ج 5، ص 813.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آداب البحث العضدية</w:t>
      </w:r>
    </w:p>
    <w:p>
      <w:pPr>
        <w:pStyle w:val="BookText"/>
      </w:pPr>
      <w:r>
        <w:rPr>
          <w:rFonts w:ascii="IRNazanin" w:hAnsi="IRNazanin" w:eastAsia="IRNazanin" w:cs="IRNazanin"/>
          <w:lang w:bidi="fa-IR"/>
          <w:color w:val="111111"/>
          <w:sz w:val="28"/>
          <w:szCs w:val="28"/>
          <w:rtl/>
        </w:rPr>
        <w:t xml:space="preserve">ج 6، ص 18.</w:t>
      </w:r>
    </w:p>
    <w:p>
      <w:pPr>
        <w:pStyle w:val="BookText"/>
      </w:pPr>
      <w:r>
        <w:rPr>
          <w:rFonts w:ascii="Amiri" w:hAnsi="Amiri" w:eastAsia="Amiri" w:cs="Amiri"/>
          <w:lang w:bidi="ar-SA"/>
          <w:color w:val="111111"/>
          <w:sz w:val="28"/>
          <w:szCs w:val="28"/>
          <w:rtl/>
        </w:rPr>
        <w:t xml:space="preserve">4 .حاشية شرح رسالة الاستعارة، ج6،</w:t>
      </w:r>
    </w:p>
    <w:p>
      <w:pPr>
        <w:pStyle w:val="BookText"/>
      </w:pPr>
      <w:r>
        <w:rPr>
          <w:rFonts w:ascii="IRNazanin" w:hAnsi="IRNazanin" w:eastAsia="IRNazanin" w:cs="IRNazanin"/>
          <w:lang w:bidi="fa-IR"/>
          <w:color w:val="111111"/>
          <w:sz w:val="28"/>
          <w:szCs w:val="28"/>
          <w:rtl/>
        </w:rPr>
        <w:t xml:space="preserve">ص 94 .</w:t>
      </w:r>
    </w:p>
    <w:p>
      <w:pPr>
        <w:pStyle w:val="BookText"/>
      </w:pPr>
      <w:r>
        <w:rPr>
          <w:rFonts w:ascii="Amiri" w:hAnsi="Amiri" w:eastAsia="Amiri" w:cs="Amiri"/>
          <w:lang w:bidi="ar-SA"/>
          <w:color w:val="111111"/>
          <w:sz w:val="28"/>
          <w:szCs w:val="28"/>
          <w:rtl/>
        </w:rPr>
        <w:t xml:space="preserve">5 .حاشية مير ابو الفتح، ج 6، ص 433</w:t>
      </w:r>
    </w:p>
    <w:p>
      <w:pPr>
        <w:pStyle w:val="BookText"/>
      </w:pPr>
      <w:r>
        <w:rPr>
          <w:rFonts w:ascii="Amiri" w:hAnsi="Amiri" w:eastAsia="Amiri" w:cs="Amiri"/>
          <w:lang w:bidi="ar-SA"/>
          <w:color w:val="111111"/>
          <w:sz w:val="28"/>
          <w:szCs w:val="28"/>
          <w:rtl/>
        </w:rPr>
        <w:t xml:space="preserve">6 .مفتاح الباب الحادي عشر، ج 15</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المقولات العشر = شرح المقولات</w:t>
      </w:r>
    </w:p>
    <w:p>
      <w:pPr>
        <w:pStyle w:val="BookText"/>
      </w:pPr>
      <w:r>
        <w:rPr>
          <w:rFonts w:ascii="IRNazanin" w:hAnsi="IRNazanin" w:eastAsia="IRNazanin" w:cs="IRNazanin"/>
          <w:lang w:bidi="fa-IR"/>
          <w:color w:val="111111"/>
          <w:sz w:val="28"/>
          <w:szCs w:val="28"/>
          <w:rtl/>
        </w:rPr>
        <w:t xml:space="preserve">العشر، ج 15 ، ص 399.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المنطق (رسالة في)، ج 15 ، ص 696.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نهج المسترشدین، ج 16، ص 531.</w:t>
      </w:r>
    </w:p>
    <w:p>
      <w:pPr>
        <w:pStyle w:val="BookText"/>
      </w:pPr>
      <w:r>
        <w:rPr>
          <w:rFonts w:ascii="Amiri" w:hAnsi="Amiri" w:eastAsia="Amiri" w:cs="Amiri"/>
          <w:lang w:bidi="ar-SA"/>
          <w:color w:val="111111"/>
          <w:sz w:val="28"/>
          <w:szCs w:val="28"/>
          <w:rtl/>
        </w:rPr>
        <w:t xml:space="preserve">جرجاني استرآبادي، محمّد بن علي- ركن</w:t>
      </w:r>
    </w:p>
    <w:p>
      <w:pPr>
        <w:pStyle w:val="BookText"/>
      </w:pPr>
      <w:r>
        <w:rPr>
          <w:rFonts w:ascii="Amiri" w:hAnsi="Amiri" w:eastAsia="Amiri" w:cs="Amiri"/>
          <w:lang w:bidi="ar-SA"/>
          <w:color w:val="111111"/>
          <w:sz w:val="28"/>
          <w:szCs w:val="28"/>
          <w:rtl/>
        </w:rPr>
        <w:t xml:space="preserve">الدين جرجاني ، محمّد بن علي</w:t>
      </w:r>
    </w:p>
    <w:p>
      <w:pPr>
        <w:pStyle w:val="Heading2"/>
      </w:pPr>
      <w:bookmarkStart w:id="3245" w:name="_Toc2347"/>
      <w:r>
        <w:t>جرجاني اسماعيل بن حسن، 434-531ه-</w:t>
      </w:r>
      <w:bookmarkEnd w:id="3245"/>
    </w:p>
    <w:p>
      <w:pPr>
        <w:pStyle w:val="BookText"/>
      </w:pPr>
      <w:r>
        <w:rPr>
          <w:rFonts w:ascii="Amiri" w:hAnsi="Amiri" w:eastAsia="Amiri" w:cs="Amiri"/>
          <w:lang w:bidi="ar-SA"/>
          <w:color w:val="111111"/>
          <w:sz w:val="28"/>
          <w:szCs w:val="28"/>
          <w:rtl/>
        </w:rPr>
        <w:t xml:space="preserve">1 .الاغراض الطبية و المباحث العلائية، ج2، ص 584.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تشريح ذخيرة خوارزم شاهي، جع،</w:t>
      </w:r>
    </w:p>
    <w:p>
      <w:pPr>
        <w:pStyle w:val="BookText"/>
      </w:pPr>
      <w:r>
        <w:rPr>
          <w:rFonts w:ascii="IRNazanin" w:hAnsi="IRNazanin" w:eastAsia="IRNazanin" w:cs="IRNazanin"/>
          <w:lang w:bidi="fa-IR"/>
          <w:color w:val="111111"/>
          <w:sz w:val="28"/>
          <w:szCs w:val="28"/>
          <w:rtl/>
        </w:rPr>
        <w:t xml:space="preserve">ص 378.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خفي علائي، ج 7، ص 65.</w:t>
      </w:r>
    </w:p>
    <w:p>
      <w:pPr>
        <w:pStyle w:val="BookText"/>
      </w:pPr>
      <w:r>
        <w:rPr>
          <w:rFonts w:ascii="IRNazanin" w:hAnsi="IRNazanin" w:eastAsia="IRNazanin" w:cs="IRNazanin"/>
          <w:lang w:bidi="fa-IR"/>
          <w:color w:val="111111"/>
          <w:sz w:val="28"/>
          <w:szCs w:val="28"/>
          <w:rtl/>
        </w:rPr>
        <w:t xml:space="preserve">4 .ذخیره خوارزمشاهي، ج7، ص822</w:t>
      </w:r>
    </w:p>
    <w:p>
      <w:pPr>
        <w:pStyle w:val="BookText"/>
      </w:pPr>
      <w:r>
        <w:rPr>
          <w:rFonts w:ascii="Amiri" w:hAnsi="Amiri" w:eastAsia="Amiri" w:cs="Amiri"/>
          <w:lang w:bidi="ar-SA"/>
          <w:color w:val="111111"/>
          <w:sz w:val="28"/>
          <w:szCs w:val="28"/>
          <w:rtl/>
        </w:rPr>
        <w:t xml:space="preserve">5 .الرسالة المنبهة، ج8، ص278.</w:t>
      </w:r>
    </w:p>
    <w:p>
      <w:pPr>
        <w:pStyle w:val="BookText"/>
      </w:pPr>
      <w:r>
        <w:rPr>
          <w:rFonts w:ascii="IRNazanin" w:hAnsi="IRNazanin" w:eastAsia="IRNazanin" w:cs="IRNazanin"/>
          <w:lang w:bidi="fa-IR"/>
          <w:color w:val="111111"/>
          <w:sz w:val="28"/>
          <w:szCs w:val="28"/>
          <w:rtl/>
        </w:rPr>
        <w:t xml:space="preserve">6 .زبدة الطب = شرح قانونچه ج8،</w:t>
      </w:r>
    </w:p>
    <w:p>
      <w:pPr>
        <w:pStyle w:val="BookText"/>
      </w:pPr>
      <w:r>
        <w:rPr>
          <w:rFonts w:ascii="IRNazanin" w:hAnsi="IRNazanin" w:eastAsia="IRNazanin" w:cs="IRNazanin"/>
          <w:lang w:bidi="fa-IR"/>
          <w:color w:val="111111"/>
          <w:sz w:val="28"/>
          <w:szCs w:val="28"/>
          <w:rtl/>
        </w:rPr>
        <w:t xml:space="preserve">ص 578</w:t>
      </w:r>
    </w:p>
    <w:p>
      <w:pPr>
        <w:pStyle w:val="Heading2"/>
      </w:pPr>
      <w:bookmarkStart w:id="3246" w:name="_Toc2348"/>
      <w:r>
        <w:t>جرجاني جلابي، طاهر بن محمّد</w:t>
      </w:r>
      <w:bookmarkEnd w:id="3246"/>
    </w:p>
    <w:p>
      <w:pPr>
        <w:pStyle w:val="BookText"/>
      </w:pPr>
      <w:r>
        <w:rPr>
          <w:rFonts w:ascii="Amiri" w:hAnsi="Amiri" w:eastAsia="Amiri" w:cs="Amiri"/>
          <w:lang w:bidi="ar-SA"/>
          <w:color w:val="111111"/>
          <w:sz w:val="28"/>
          <w:szCs w:val="28"/>
          <w:rtl/>
        </w:rPr>
        <w:t xml:space="preserve">الصلاة و شروطها (رسالة في)، ج 10،</w:t>
      </w:r>
    </w:p>
    <w:p>
      <w:pPr>
        <w:pStyle w:val="BookText"/>
      </w:pPr>
      <w:r>
        <w:rPr>
          <w:rFonts w:ascii="IRNazanin" w:hAnsi="IRNazanin" w:eastAsia="IRNazanin" w:cs="IRNazanin"/>
          <w:lang w:bidi="fa-IR"/>
          <w:color w:val="111111"/>
          <w:sz w:val="28"/>
          <w:szCs w:val="28"/>
          <w:rtl/>
        </w:rPr>
        <w:t xml:space="preserve">ص 618 .</w:t>
      </w:r>
    </w:p>
    <w:p>
      <w:pPr>
        <w:pStyle w:val="BookText"/>
      </w:pPr>
      <w:r>
        <w:rPr>
          <w:rFonts w:ascii="Amiri" w:hAnsi="Amiri" w:eastAsia="Amiri" w:cs="Amiri"/>
          <w:lang w:bidi="ar-SA"/>
          <w:color w:val="111111"/>
          <w:sz w:val="28"/>
          <w:szCs w:val="28"/>
          <w:rtl/>
        </w:rPr>
        <w:t xml:space="preserve">جرجاني ، جمال الدين بن عبدالله- حسيني</w:t>
      </w:r>
    </w:p>
    <w:p>
      <w:pPr>
        <w:pStyle w:val="BookText"/>
      </w:pPr>
      <w:r>
        <w:rPr>
          <w:rFonts w:ascii="IRNazanin" w:hAnsi="IRNazanin" w:eastAsia="IRNazanin" w:cs="IRNazanin"/>
          <w:lang w:bidi="fa-IR"/>
          <w:color w:val="111111"/>
          <w:sz w:val="28"/>
          <w:szCs w:val="28"/>
          <w:rtl/>
        </w:rPr>
        <w:t xml:space="preserve">جرجاني ، جمال الدین بن عبدالله</w:t>
      </w:r>
    </w:p>
    <w:p>
      <w:pPr>
        <w:pStyle w:val="Heading2"/>
      </w:pPr>
      <w:bookmarkStart w:id="3247" w:name="_Toc2349"/>
      <w:r>
        <w:t>جرجاني ، حسين بن حسن قرن 8 ه-</w:t>
      </w:r>
      <w:bookmarkEnd w:id="3247"/>
    </w:p>
    <w:p>
      <w:pPr>
        <w:pStyle w:val="BookText"/>
      </w:pPr>
      <w:r>
        <w:rPr>
          <w:rFonts w:ascii="Amiri" w:hAnsi="Amiri" w:eastAsia="Amiri" w:cs="Amiri"/>
          <w:lang w:bidi="ar-SA"/>
          <w:color w:val="111111"/>
          <w:sz w:val="28"/>
          <w:szCs w:val="28"/>
          <w:rtl/>
        </w:rPr>
        <w:t xml:space="preserve">جلاء الاذهان وجلاء الاحزان - كشف</w:t>
      </w:r>
    </w:p>
    <w:p>
      <w:pPr>
        <w:pStyle w:val="BookText"/>
      </w:pPr>
      <w:r>
        <w:rPr>
          <w:rFonts w:ascii="Amiri" w:hAnsi="Amiri" w:eastAsia="Amiri" w:cs="Amiri"/>
          <w:lang w:bidi="ar-SA"/>
          <w:color w:val="111111"/>
          <w:sz w:val="28"/>
          <w:szCs w:val="28"/>
          <w:rtl/>
        </w:rPr>
        <w:t xml:space="preserve">الاحزان - تفسير كازر، ج 5، ص 403.</w:t>
      </w:r>
    </w:p>
    <w:p>
      <w:pPr>
        <w:pStyle w:val="BookText"/>
      </w:pPr>
      <w:r>
        <w:rPr>
          <w:rFonts w:ascii="Amiri" w:hAnsi="Amiri" w:eastAsia="Amiri" w:cs="Amiri"/>
          <w:lang w:bidi="ar-SA"/>
          <w:color w:val="111111"/>
          <w:sz w:val="28"/>
          <w:szCs w:val="28"/>
          <w:rtl/>
        </w:rPr>
        <w:t xml:space="preserve">جرجاني، حمزه بن يوسف -سهمي</w:t>
      </w:r>
    </w:p>
    <w:p>
      <w:pPr>
        <w:pStyle w:val="BookText"/>
      </w:pPr>
      <w:r>
        <w:rPr>
          <w:rFonts w:ascii="IRNazanin" w:hAnsi="IRNazanin" w:eastAsia="IRNazanin" w:cs="IRNazanin"/>
          <w:lang w:bidi="fa-IR"/>
          <w:color w:val="111111"/>
          <w:sz w:val="28"/>
          <w:szCs w:val="28"/>
          <w:rtl/>
        </w:rPr>
        <w:t xml:space="preserve">حمزه بن یوسف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1" w:name="pg7742_70027"/>
    <w:bookmarkEnd w:id="321"/>
    <w:p>
      <w:pPr>
        <w:pStyle w:val="BookText"/>
      </w:pPr>
      <w:r>
        <w:rPr>
          <w:rFonts w:ascii="Amiri" w:hAnsi="Amiri" w:eastAsia="Amiri" w:cs="Amiri"/>
          <w:lang w:bidi="ar-SA"/>
          <w:color w:val="111111"/>
          <w:sz w:val="28"/>
          <w:szCs w:val="28"/>
          <w:rtl/>
        </w:rPr>
        <w:t xml:space="preserve">جرجاني ، ركن الدين محمّد بن علي- ركن</w:t>
      </w:r>
    </w:p>
    <w:p>
      <w:pPr>
        <w:pStyle w:val="BookText"/>
      </w:pPr>
      <w:r>
        <w:rPr>
          <w:rFonts w:ascii="Amiri" w:hAnsi="Amiri" w:eastAsia="Amiri" w:cs="Amiri"/>
          <w:lang w:bidi="ar-SA"/>
          <w:color w:val="111111"/>
          <w:sz w:val="28"/>
          <w:szCs w:val="28"/>
          <w:rtl/>
        </w:rPr>
        <w:t xml:space="preserve">الدين جرجاني ، محمّد بن علي</w:t>
      </w:r>
    </w:p>
    <w:p>
      <w:pPr>
        <w:pStyle w:val="BookText"/>
      </w:pPr>
      <w:r>
        <w:rPr>
          <w:rFonts w:ascii="Amiri" w:hAnsi="Amiri" w:eastAsia="Amiri" w:cs="Amiri"/>
          <w:lang w:bidi="ar-SA"/>
          <w:color w:val="111111"/>
          <w:sz w:val="28"/>
          <w:szCs w:val="28"/>
          <w:rtl/>
        </w:rPr>
        <w:t xml:space="preserve">جرجاني ، عبد الحي بن عبد الوهاب - اشرفي</w:t>
      </w:r>
    </w:p>
    <w:p>
      <w:pPr>
        <w:pStyle w:val="BookText"/>
      </w:pPr>
      <w:r>
        <w:rPr>
          <w:rFonts w:ascii="Amiri" w:hAnsi="Amiri" w:eastAsia="Amiri" w:cs="Amiri"/>
          <w:lang w:bidi="ar-SA"/>
          <w:color w:val="111111"/>
          <w:sz w:val="28"/>
          <w:szCs w:val="28"/>
          <w:rtl/>
        </w:rPr>
        <w:t xml:space="preserve">جرجاني ، عبدالحي بن عبدالوهاب</w:t>
      </w:r>
    </w:p>
    <w:p>
      <w:pPr>
        <w:pStyle w:val="Heading2"/>
      </w:pPr>
      <w:bookmarkStart w:id="3248" w:name="_Toc2350"/>
      <w:r>
        <w:t>جرجاني ، عبدالرحمن</w:t>
      </w:r>
      <w:bookmarkEnd w:id="3248"/>
    </w:p>
    <w:p>
      <w:pPr>
        <w:pStyle w:val="BookText"/>
      </w:pPr>
      <w:r>
        <w:rPr>
          <w:rFonts w:ascii="Amiri" w:hAnsi="Amiri" w:eastAsia="Amiri" w:cs="Amiri"/>
          <w:lang w:bidi="ar-SA"/>
          <w:color w:val="111111"/>
          <w:sz w:val="28"/>
          <w:szCs w:val="28"/>
          <w:rtl/>
        </w:rPr>
        <w:t xml:space="preserve">الدر و الترياق في علم الاوضاع و</w:t>
      </w:r>
    </w:p>
    <w:p>
      <w:pPr>
        <w:pStyle w:val="BookText"/>
      </w:pPr>
      <w:r>
        <w:rPr>
          <w:rFonts w:ascii="IRNazanin" w:hAnsi="IRNazanin" w:eastAsia="IRNazanin" w:cs="IRNazanin"/>
          <w:lang w:bidi="fa-IR"/>
          <w:color w:val="111111"/>
          <w:sz w:val="28"/>
          <w:szCs w:val="28"/>
          <w:rtl/>
        </w:rPr>
        <w:t xml:space="preserve">الاوفاق، ج 7، ص 367.</w:t>
      </w:r>
    </w:p>
    <w:p>
      <w:pPr>
        <w:pStyle w:val="Heading2"/>
      </w:pPr>
      <w:bookmarkStart w:id="3249" w:name="_Toc2351"/>
      <w:r>
        <w:t>جرجاني ، عبد القاهر بن عبدالرحمن</w:t>
      </w:r>
      <w:bookmarkEnd w:id="3249"/>
    </w:p>
    <w:p>
      <w:pPr>
        <w:pStyle w:val="BookText"/>
      </w:pPr>
      <w:r>
        <w:rPr>
          <w:rFonts w:ascii="IRNazanin" w:hAnsi="IRNazanin" w:eastAsia="IRNazanin" w:cs="IRNazanin"/>
          <w:lang w:bidi="fa-IR"/>
          <w:color w:val="111111"/>
          <w:sz w:val="28"/>
          <w:szCs w:val="28"/>
          <w:rtl/>
        </w:rPr>
        <w:t xml:space="preserve">471؟ ه-</w:t>
      </w:r>
    </w:p>
    <w:p>
      <w:pPr>
        <w:pStyle w:val="BookText"/>
      </w:pPr>
      <w:r>
        <w:rPr>
          <w:rFonts w:ascii="Amiri" w:hAnsi="Amiri" w:eastAsia="Amiri" w:cs="Amiri"/>
          <w:lang w:bidi="ar-SA"/>
          <w:color w:val="111111"/>
          <w:sz w:val="28"/>
          <w:szCs w:val="28"/>
          <w:rtl/>
        </w:rPr>
        <w:t xml:space="preserve">1 .الايجاز في مختصر الايضاح، ج3،</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Amiri" w:hAnsi="Amiri" w:eastAsia="Amiri" w:cs="Amiri"/>
          <w:lang w:bidi="ar-SA"/>
          <w:color w:val="111111"/>
          <w:sz w:val="28"/>
          <w:szCs w:val="28"/>
          <w:rtl/>
        </w:rPr>
        <w:t xml:space="preserve">2 .الجمل في عوامل الاعراب، ج،</w:t>
      </w:r>
    </w:p>
    <w:p>
      <w:pPr>
        <w:pStyle w:val="BookText"/>
      </w:pPr>
      <w:r>
        <w:rPr>
          <w:rFonts w:ascii="IRNazanin" w:hAnsi="IRNazanin" w:eastAsia="IRNazanin" w:cs="IRNazanin"/>
          <w:lang w:bidi="fa-IR"/>
          <w:color w:val="111111"/>
          <w:sz w:val="28"/>
          <w:szCs w:val="28"/>
          <w:rtl/>
        </w:rPr>
        <w:t xml:space="preserve">ص 445.</w:t>
      </w:r>
    </w:p>
    <w:p>
      <w:pPr>
        <w:pStyle w:val="BookText"/>
      </w:pPr>
      <w:r>
        <w:rPr>
          <w:rFonts w:ascii="Amiri" w:hAnsi="Amiri" w:eastAsia="Amiri" w:cs="Amiri"/>
          <w:lang w:bidi="ar-SA"/>
          <w:color w:val="111111"/>
          <w:sz w:val="28"/>
          <w:szCs w:val="28"/>
          <w:rtl/>
        </w:rPr>
        <w:t xml:space="preserve">3 .درج الدرر في تفسير القرآن، ج7،</w:t>
      </w:r>
    </w:p>
    <w:p>
      <w:pPr>
        <w:pStyle w:val="BookText"/>
      </w:pPr>
      <w:r>
        <w:rPr>
          <w:rFonts w:ascii="IRNazanin" w:hAnsi="IRNazanin" w:eastAsia="IRNazanin" w:cs="IRNazanin"/>
          <w:lang w:bidi="fa-IR"/>
          <w:color w:val="111111"/>
          <w:sz w:val="28"/>
          <w:szCs w:val="28"/>
          <w:rtl/>
        </w:rPr>
        <w:t xml:space="preserve">ص278.</w:t>
      </w:r>
    </w:p>
    <w:p>
      <w:pPr>
        <w:pStyle w:val="BookText"/>
      </w:pPr>
      <w:r>
        <w:rPr>
          <w:rFonts w:ascii="IRNazanin" w:hAnsi="IRNazanin" w:eastAsia="IRNazanin" w:cs="IRNazanin"/>
          <w:lang w:bidi="fa-IR"/>
          <w:color w:val="111111"/>
          <w:sz w:val="28"/>
          <w:szCs w:val="28"/>
          <w:rtl/>
        </w:rPr>
        <w:t xml:space="preserve">4 .دلائل الاعجاز، ج 7، ص 446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الجمل، ج9، ص 371</w:t>
      </w:r>
    </w:p>
    <w:p>
      <w:pPr>
        <w:pStyle w:val="BookText"/>
      </w:pPr>
      <w:r>
        <w:rPr>
          <w:rFonts w:ascii="Amiri" w:hAnsi="Amiri" w:eastAsia="Amiri" w:cs="Amiri"/>
          <w:lang w:bidi="ar-SA"/>
          <w:color w:val="111111"/>
          <w:sz w:val="28"/>
          <w:szCs w:val="28"/>
          <w:rtl/>
        </w:rPr>
        <w:t xml:space="preserve">6 .شرح السحاب في الحساب، ج 9،</w:t>
      </w:r>
    </w:p>
    <w:p>
      <w:pPr>
        <w:pStyle w:val="BookText"/>
      </w:pPr>
      <w:r>
        <w:rPr>
          <w:rFonts w:ascii="IRNazanin" w:hAnsi="IRNazanin" w:eastAsia="IRNazanin" w:cs="IRNazanin"/>
          <w:lang w:bidi="fa-IR"/>
          <w:color w:val="111111"/>
          <w:sz w:val="28"/>
          <w:szCs w:val="28"/>
          <w:rtl/>
        </w:rPr>
        <w:t xml:space="preserve">ص 584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العوامل المأة، ج 11، ص 359.</w:t>
      </w:r>
    </w:p>
    <w:p>
      <w:pPr>
        <w:pStyle w:val="BookText"/>
      </w:pPr>
      <w:r>
        <w:rPr>
          <w:rFonts w:ascii="Amiri" w:hAnsi="Amiri" w:eastAsia="Amiri" w:cs="Amiri"/>
          <w:lang w:bidi="ar-SA"/>
          <w:color w:val="111111"/>
          <w:sz w:val="28"/>
          <w:szCs w:val="28"/>
          <w:rtl/>
        </w:rPr>
        <w:t xml:space="preserve">8 .المقتصد في شرح الايضاح، ج 15،</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Amiri" w:hAnsi="Amiri" w:eastAsia="Amiri" w:cs="Amiri"/>
          <w:lang w:bidi="ar-SA"/>
          <w:color w:val="111111"/>
          <w:sz w:val="28"/>
          <w:szCs w:val="28"/>
          <w:rtl/>
        </w:rPr>
        <w:t xml:space="preserve">9 .منظومة العوامل، ج 15 ، ص 725 .</w:t>
      </w:r>
    </w:p>
    <w:p>
      <w:pPr>
        <w:pStyle w:val="BookText"/>
      </w:pPr>
      <w:r>
        <w:rPr>
          <w:rFonts w:ascii="Amiri" w:hAnsi="Amiri" w:eastAsia="Amiri" w:cs="Amiri"/>
          <w:lang w:bidi="ar-SA"/>
          <w:color w:val="111111"/>
          <w:sz w:val="28"/>
          <w:szCs w:val="28"/>
          <w:rtl/>
        </w:rPr>
        <w:t xml:space="preserve">جرجاني ، عبدالله بن عدي -ابن عدي ،</w:t>
      </w:r>
    </w:p>
    <w:p>
      <w:pPr>
        <w:pStyle w:val="BookText"/>
      </w:pPr>
      <w:r>
        <w:rPr>
          <w:rFonts w:ascii="Amiri" w:hAnsi="Amiri" w:eastAsia="Amiri" w:cs="Amiri"/>
          <w:lang w:bidi="ar-SA"/>
          <w:color w:val="111111"/>
          <w:sz w:val="28"/>
          <w:szCs w:val="28"/>
          <w:rtl/>
        </w:rPr>
        <w:t xml:space="preserve">عبدالله بن عدي</w:t>
      </w:r>
    </w:p>
    <w:p>
      <w:pPr>
        <w:pStyle w:val="Heading2"/>
      </w:pPr>
      <w:bookmarkStart w:id="3250" w:name="_Toc2352"/>
      <w:r>
        <w:t>جرجاني ، علي بن عبد العزيز - 366 ؟ ه-</w:t>
      </w:r>
      <w:bookmarkEnd w:id="3250"/>
    </w:p>
    <w:p>
      <w:pPr>
        <w:pStyle w:val="BookText"/>
      </w:pPr>
      <w:r>
        <w:rPr>
          <w:rFonts w:ascii="Amiri" w:hAnsi="Amiri" w:eastAsia="Amiri" w:cs="Amiri"/>
          <w:lang w:bidi="ar-SA"/>
          <w:color w:val="111111"/>
          <w:sz w:val="28"/>
          <w:szCs w:val="28"/>
          <w:rtl/>
        </w:rPr>
        <w:t xml:space="preserve">الوساطة بين المتنبي و خصومه ج16</w:t>
      </w:r>
    </w:p>
    <w:p>
      <w:pPr>
        <w:pStyle w:val="BookText"/>
      </w:pPr>
      <w:r>
        <w:rPr>
          <w:rFonts w:ascii="IRNazanin" w:hAnsi="IRNazanin" w:eastAsia="IRNazanin" w:cs="IRNazanin"/>
          <w:lang w:bidi="fa-IR"/>
          <w:color w:val="111111"/>
          <w:sz w:val="28"/>
          <w:szCs w:val="28"/>
          <w:rtl/>
        </w:rPr>
        <w:t xml:space="preserve">ص 780</w:t>
      </w:r>
    </w:p>
    <w:p>
      <w:pPr>
        <w:pStyle w:val="Heading2"/>
      </w:pPr>
      <w:bookmarkStart w:id="3251" w:name="_Toc2353"/>
      <w:r>
        <w:t>جرجاني ، علي بن محمّد، 740 - 816 ه-</w:t>
      </w:r>
      <w:bookmarkEnd w:id="3251"/>
    </w:p>
    <w:p>
      <w:pPr>
        <w:pStyle w:val="BookText"/>
      </w:pPr>
      <w:r>
        <w:rPr>
          <w:rFonts w:ascii="Amiri" w:hAnsi="Amiri" w:eastAsia="Amiri" w:cs="Amiri"/>
          <w:lang w:bidi="ar-SA"/>
          <w:color w:val="111111"/>
          <w:sz w:val="28"/>
          <w:szCs w:val="28"/>
          <w:rtl/>
        </w:rPr>
        <w:t xml:space="preserve">1 .أثر أفعال ليست معللة بالأغراض (رسالة في)، ج1، ص178.</w:t>
      </w:r>
    </w:p>
    <w:p>
      <w:pPr>
        <w:pStyle w:val="BookText"/>
      </w:pPr>
      <w:r>
        <w:rPr>
          <w:rFonts w:ascii="Amiri" w:hAnsi="Amiri" w:eastAsia="Amiri" w:cs="Amiri"/>
          <w:lang w:bidi="ar-SA"/>
          <w:color w:val="111111"/>
          <w:sz w:val="28"/>
          <w:szCs w:val="28"/>
          <w:rtl/>
        </w:rPr>
        <w:t xml:space="preserve">2 .اسكندريه - جواب سؤالات</w:t>
      </w:r>
    </w:p>
    <w:p>
      <w:pPr>
        <w:pStyle w:val="BookText"/>
      </w:pPr>
      <w:r>
        <w:rPr>
          <w:rFonts w:ascii="IRNazanin" w:hAnsi="IRNazanin" w:eastAsia="IRNazanin" w:cs="IRNazanin"/>
          <w:lang w:bidi="fa-IR"/>
          <w:color w:val="111111"/>
          <w:sz w:val="28"/>
          <w:szCs w:val="28"/>
          <w:rtl/>
        </w:rPr>
        <w:t xml:space="preserve">اسکندر، ج2، ص207.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افعال الله لا تخلوا عن الحكم و</w:t>
      </w:r>
    </w:p>
    <w:p>
      <w:pPr>
        <w:pStyle w:val="BookText"/>
      </w:pPr>
      <w:r>
        <w:rPr>
          <w:rFonts w:ascii="IRNazanin" w:hAnsi="IRNazanin" w:eastAsia="IRNazanin" w:cs="IRNazanin"/>
          <w:lang w:bidi="fa-IR"/>
          <w:color w:val="111111"/>
          <w:sz w:val="28"/>
          <w:szCs w:val="28"/>
          <w:rtl/>
        </w:rPr>
        <w:t xml:space="preserve">المصالح، ج 2، ص 600 .</w:t>
      </w:r>
    </w:p>
    <w:p>
      <w:pPr>
        <w:pStyle w:val="BookText"/>
      </w:pPr>
      <w:r>
        <w:rPr>
          <w:rFonts w:ascii="Amiri" w:hAnsi="Amiri" w:eastAsia="Amiri" w:cs="Amiri"/>
          <w:lang w:bidi="ar-SA"/>
          <w:color w:val="111111"/>
          <w:sz w:val="28"/>
          <w:szCs w:val="28"/>
          <w:rtl/>
        </w:rPr>
        <w:t xml:space="preserve">4 .الالغاز النحوية، ج 2، ص 672.</w:t>
      </w:r>
    </w:p>
    <w:p>
      <w:pPr>
        <w:pStyle w:val="BookText"/>
      </w:pPr>
      <w:r>
        <w:rPr>
          <w:rFonts w:ascii="Amiri" w:hAnsi="Amiri" w:eastAsia="Amiri" w:cs="Amiri"/>
          <w:lang w:bidi="ar-SA"/>
          <w:color w:val="111111"/>
          <w:sz w:val="28"/>
          <w:szCs w:val="28"/>
          <w:rtl/>
        </w:rPr>
        <w:t xml:space="preserve">5 .البلاغة (رسالة في)، ج3، ص383.</w:t>
      </w:r>
    </w:p>
    <w:p>
      <w:pPr>
        <w:pStyle w:val="BookText"/>
      </w:pPr>
      <w:r>
        <w:rPr>
          <w:rFonts w:ascii="Amiri" w:hAnsi="Amiri" w:eastAsia="Amiri" w:cs="Amiri"/>
          <w:lang w:bidi="ar-SA"/>
          <w:color w:val="111111"/>
          <w:sz w:val="28"/>
          <w:szCs w:val="28"/>
          <w:rtl/>
        </w:rPr>
        <w:t xml:space="preserve">6 .تحديدات الاشياء (رسالة في)، ج3،</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تصريف ج4، ص 411.</w:t>
      </w:r>
    </w:p>
    <w:p>
      <w:pPr>
        <w:pStyle w:val="BookText"/>
      </w:pPr>
      <w:r>
        <w:rPr>
          <w:rFonts w:ascii="Amiri" w:hAnsi="Amiri" w:eastAsia="Amiri" w:cs="Amiri"/>
          <w:lang w:bidi="ar-SA"/>
          <w:color w:val="111111"/>
          <w:sz w:val="28"/>
          <w:szCs w:val="28"/>
          <w:rtl/>
        </w:rPr>
        <w:t xml:space="preserve">8.التعريفات، ج 4، ص 467.</w:t>
      </w:r>
    </w:p>
    <w:p>
      <w:pPr>
        <w:pStyle w:val="BookText"/>
      </w:pPr>
      <w:r>
        <w:rPr>
          <w:rFonts w:ascii="IRNazanin" w:hAnsi="IRNazanin" w:eastAsia="IRNazanin" w:cs="IRNazanin"/>
          <w:lang w:bidi="fa-IR"/>
          <w:color w:val="111111"/>
          <w:sz w:val="28"/>
          <w:szCs w:val="28"/>
          <w:rtl/>
        </w:rPr>
        <w:t xml:space="preserve">9 .تعليقة على نصاب الصبیان، ج 4</w:t>
      </w:r>
    </w:p>
    <w:p>
      <w:pPr>
        <w:pStyle w:val="BookText"/>
      </w:pPr>
      <w:r>
        <w:rPr>
          <w:rFonts w:ascii="IRNazanin" w:hAnsi="IRNazanin" w:eastAsia="IRNazanin" w:cs="IRNazanin"/>
          <w:lang w:bidi="fa-IR"/>
          <w:color w:val="111111"/>
          <w:sz w:val="28"/>
          <w:szCs w:val="28"/>
          <w:rtl/>
        </w:rPr>
        <w:t xml:space="preserve">ص 534.</w:t>
      </w:r>
    </w:p>
    <w:p>
      <w:pPr>
        <w:pStyle w:val="BookText"/>
      </w:pPr>
      <w:r>
        <w:rPr>
          <w:rFonts w:ascii="Amiri" w:hAnsi="Amiri" w:eastAsia="Amiri" w:cs="Amiri"/>
          <w:lang w:bidi="ar-SA"/>
          <w:color w:val="111111"/>
          <w:sz w:val="28"/>
          <w:szCs w:val="28"/>
          <w:rtl/>
        </w:rPr>
        <w:t xml:space="preserve">10 .تعليق في علم الكلام، ج4، ص 555.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تقسيم العلم، ج4، ص 787.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تقسيم الفاظ = الرسالة الحرفية،</w:t>
      </w:r>
    </w:p>
    <w:p>
      <w:pPr>
        <w:pStyle w:val="BookText"/>
      </w:pPr>
      <w:r>
        <w:rPr>
          <w:rFonts w:ascii="IRNazanin" w:hAnsi="IRNazanin" w:eastAsia="IRNazanin" w:cs="IRNazanin"/>
          <w:lang w:bidi="fa-IR"/>
          <w:color w:val="111111"/>
          <w:sz w:val="28"/>
          <w:szCs w:val="28"/>
          <w:rtl/>
        </w:rPr>
        <w:t xml:space="preserve">ج 4، ص 785.</w:t>
      </w:r>
    </w:p>
    <w:p>
      <w:pPr>
        <w:pStyle w:val="BookText"/>
      </w:pPr>
      <w:r>
        <w:rPr>
          <w:rFonts w:ascii="Amiri" w:hAnsi="Amiri" w:eastAsia="Amiri" w:cs="Amiri"/>
          <w:lang w:bidi="ar-SA"/>
          <w:color w:val="111111"/>
          <w:sz w:val="28"/>
          <w:szCs w:val="28"/>
          <w:rtl/>
        </w:rPr>
        <w:t xml:space="preserve">13 .التوحيد (رسالة في)، ج 5، ص 151.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توضيح الألغاز، ج 5، ص 170.</w:t>
      </w:r>
    </w:p>
    <w:p>
      <w:pPr>
        <w:pStyle w:val="BookText"/>
      </w:pPr>
      <w:r>
        <w:rPr>
          <w:rFonts w:ascii="Amiri" w:hAnsi="Amiri" w:eastAsia="Amiri" w:cs="Amiri"/>
          <w:lang w:bidi="ar-SA"/>
          <w:color w:val="111111"/>
          <w:sz w:val="28"/>
          <w:szCs w:val="28"/>
          <w:rtl/>
        </w:rPr>
        <w:t xml:space="preserve">15 .حاشية السيد الجرجاني، ج 6، ص 3.</w:t>
      </w:r>
    </w:p>
    <w:p>
      <w:pPr>
        <w:pStyle w:val="BookText"/>
      </w:pPr>
      <w:r>
        <w:rPr>
          <w:rFonts w:ascii="Amiri" w:hAnsi="Amiri" w:eastAsia="Amiri" w:cs="Amiri"/>
          <w:lang w:bidi="ar-SA"/>
          <w:color w:val="111111"/>
          <w:sz w:val="28"/>
          <w:szCs w:val="28"/>
          <w:rtl/>
        </w:rPr>
        <w:t xml:space="preserve">16 .حاشية الكاشف، ج 6، ص 319.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حاشية الكشاف - الكشف على</w:t>
      </w:r>
    </w:p>
    <w:p>
      <w:pPr>
        <w:pStyle w:val="BookText"/>
      </w:pPr>
      <w:r>
        <w:rPr>
          <w:rFonts w:ascii="Amiri" w:hAnsi="Amiri" w:eastAsia="Amiri" w:cs="Amiri"/>
          <w:lang w:bidi="ar-SA"/>
          <w:color w:val="111111"/>
          <w:sz w:val="28"/>
          <w:szCs w:val="28"/>
          <w:rtl/>
        </w:rPr>
        <w:t xml:space="preserve">الكشاف، ج 6، ص 330.</w:t>
      </w:r>
    </w:p>
    <w:p>
      <w:pPr>
        <w:pStyle w:val="BookText"/>
      </w:pPr>
      <w:r>
        <w:rPr>
          <w:rFonts w:ascii="Amiri" w:hAnsi="Amiri" w:eastAsia="Amiri" w:cs="Amiri"/>
          <w:lang w:bidi="ar-SA"/>
          <w:color w:val="111111"/>
          <w:sz w:val="28"/>
          <w:szCs w:val="28"/>
          <w:rtl/>
        </w:rPr>
        <w:t xml:space="preserve">18 .حاشية المطول، ج 6، ص 371</w:t>
      </w:r>
    </w:p>
    <w:p>
      <w:pPr>
        <w:pStyle w:val="BookText"/>
      </w:pPr>
      <w:r>
        <w:rPr>
          <w:rFonts w:ascii="Amiri" w:hAnsi="Amiri" w:eastAsia="Amiri" w:cs="Amiri"/>
          <w:lang w:bidi="ar-SA"/>
          <w:color w:val="111111"/>
          <w:sz w:val="28"/>
          <w:szCs w:val="28"/>
          <w:rtl/>
        </w:rPr>
        <w:t xml:space="preserve">19 .حاشية الموشح في شرح الكافية</w:t>
      </w:r>
    </w:p>
    <w:p>
      <w:pPr>
        <w:pStyle w:val="BookText"/>
      </w:pPr>
      <w:r>
        <w:rPr>
          <w:rFonts w:ascii="IRNazanin" w:hAnsi="IRNazanin" w:eastAsia="IRNazanin" w:cs="IRNazanin"/>
          <w:lang w:bidi="fa-IR"/>
          <w:color w:val="111111"/>
          <w:sz w:val="28"/>
          <w:szCs w:val="28"/>
          <w:rtl/>
        </w:rPr>
        <w:t xml:space="preserve">ج 6، ص 430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حاشية الوافية في شرح الكافية</w:t>
      </w:r>
    </w:p>
    <w:p>
      <w:pPr>
        <w:pStyle w:val="BookText"/>
      </w:pPr>
      <w:r>
        <w:rPr>
          <w:rFonts w:ascii="IRNazanin" w:hAnsi="IRNazanin" w:eastAsia="IRNazanin" w:cs="IRNazanin"/>
          <w:lang w:bidi="fa-IR"/>
          <w:color w:val="111111"/>
          <w:sz w:val="28"/>
          <w:szCs w:val="28"/>
          <w:rtl/>
        </w:rPr>
        <w:t xml:space="preserve">ج 6، ص 450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حاشية تحرير القواعد المنطقية في</w:t>
      </w:r>
    </w:p>
    <w:p>
      <w:pPr>
        <w:pStyle w:val="BookText"/>
      </w:pPr>
      <w:r>
        <w:rPr>
          <w:rFonts w:ascii="IRNazanin" w:hAnsi="IRNazanin" w:eastAsia="IRNazanin" w:cs="IRNazanin"/>
          <w:lang w:bidi="fa-IR"/>
          <w:color w:val="111111"/>
          <w:sz w:val="28"/>
          <w:szCs w:val="28"/>
          <w:rtl/>
        </w:rPr>
        <w:t xml:space="preserve">شرح الشمسية = حاشيه شريفي حاشیه کوچك، ج 5، ص 715.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.حاشية تسديد القواعد في شرح</w:t>
      </w:r>
    </w:p>
    <w:p>
      <w:pPr>
        <w:pStyle w:val="BookText"/>
      </w:pPr>
      <w:r>
        <w:rPr>
          <w:rFonts w:ascii="Amiri" w:hAnsi="Amiri" w:eastAsia="Amiri" w:cs="Amiri"/>
          <w:lang w:bidi="ar-SA"/>
          <w:color w:val="111111"/>
          <w:sz w:val="28"/>
          <w:szCs w:val="28"/>
          <w:rtl/>
        </w:rPr>
        <w:t xml:space="preserve">تجريد العقايد = حاشية شرح</w:t>
      </w:r>
    </w:p>
    <w:p>
      <w:pPr>
        <w:pStyle w:val="BookText"/>
      </w:pPr>
      <w:r>
        <w:rPr>
          <w:rFonts w:ascii="Amiri" w:hAnsi="Amiri" w:eastAsia="Amiri" w:cs="Amiri"/>
          <w:lang w:bidi="ar-SA"/>
          <w:color w:val="111111"/>
          <w:sz w:val="28"/>
          <w:szCs w:val="28"/>
          <w:rtl/>
        </w:rPr>
        <w:t xml:space="preserve">القديم للتجريد، ج 5، ص 735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حاشية شرح الاشارات، ج 6، ص 35.</w:t>
      </w:r>
    </w:p>
    <w:p>
      <w:pPr>
        <w:pStyle w:val="BookText"/>
      </w:pPr>
      <w:r>
        <w:rPr>
          <w:rFonts w:ascii="Amiri" w:hAnsi="Amiri" w:eastAsia="Amiri" w:cs="Amiri"/>
          <w:lang w:bidi="ar-SA"/>
          <w:color w:val="111111"/>
          <w:sz w:val="28"/>
          <w:szCs w:val="28"/>
          <w:rtl/>
        </w:rPr>
        <w:t xml:space="preserve">24 . حاشية شرح الرسالة الوضعية</w:t>
      </w:r>
    </w:p>
    <w:p>
      <w:pPr>
        <w:pStyle w:val="BookText"/>
      </w:pPr>
      <w:r>
        <w:rPr>
          <w:rFonts w:ascii="Amiri" w:hAnsi="Amiri" w:eastAsia="Amiri" w:cs="Amiri"/>
          <w:lang w:bidi="ar-SA"/>
          <w:color w:val="111111"/>
          <w:sz w:val="28"/>
          <w:szCs w:val="28"/>
          <w:rtl/>
        </w:rPr>
        <w:t xml:space="preserve">العضدية، ج 6، ص 115.</w:t>
      </w:r>
    </w:p>
    <w:p>
      <w:pPr>
        <w:pStyle w:val="BookText"/>
      </w:pPr>
      <w:r>
        <w:rPr>
          <w:rFonts w:ascii="Amiri" w:hAnsi="Amiri" w:eastAsia="Amiri" w:cs="Amiri"/>
          <w:lang w:bidi="ar-SA"/>
          <w:color w:val="111111"/>
          <w:sz w:val="28"/>
          <w:szCs w:val="28"/>
          <w:rtl/>
        </w:rPr>
        <w:t xml:space="preserve">25 .حاشية شرح المختصر العضدي</w:t>
      </w:r>
    </w:p>
    <w:p>
      <w:pPr>
        <w:pStyle w:val="BookText"/>
      </w:pPr>
      <w:r>
        <w:rPr>
          <w:rFonts w:ascii="IRNazanin" w:hAnsi="IRNazanin" w:eastAsia="IRNazanin" w:cs="IRNazanin"/>
          <w:lang w:bidi="fa-IR"/>
          <w:color w:val="111111"/>
          <w:sz w:val="28"/>
          <w:szCs w:val="28"/>
          <w:rtl/>
        </w:rPr>
        <w:t xml:space="preserve">ج 6، ص 180.</w:t>
      </w:r>
    </w:p>
    <w:p>
      <w:pPr>
        <w:pStyle w:val="BookText"/>
      </w:pPr>
      <w:r>
        <w:rPr>
          <w:rFonts w:ascii="Amiri" w:hAnsi="Amiri" w:eastAsia="Amiri" w:cs="Amiri"/>
          <w:lang w:bidi="ar-SA"/>
          <w:color w:val="111111"/>
          <w:sz w:val="28"/>
          <w:szCs w:val="28"/>
          <w:rtl/>
        </w:rPr>
        <w:t xml:space="preserve">26 . حاشية شرح حكمة العين ج6،</w:t>
      </w:r>
    </w:p>
    <w:p>
      <w:pPr>
        <w:pStyle w:val="BookText"/>
      </w:pPr>
      <w:r>
        <w:rPr>
          <w:rFonts w:ascii="IRNazanin" w:hAnsi="IRNazanin" w:eastAsia="IRNazanin" w:cs="IRNazanin"/>
          <w:lang w:bidi="fa-IR"/>
          <w:color w:val="111111"/>
          <w:sz w:val="28"/>
          <w:szCs w:val="28"/>
          <w:rtl/>
        </w:rPr>
        <w:t xml:space="preserve">ص 83.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حاشية شرح مختصر الاصول، ج 6،</w:t>
      </w:r>
    </w:p>
    <w:p>
      <w:pPr>
        <w:pStyle w:val="BookText"/>
      </w:pPr>
      <w:r>
        <w:rPr>
          <w:rFonts w:ascii="IRNazanin" w:hAnsi="IRNazanin" w:eastAsia="IRNazanin" w:cs="IRNazanin"/>
          <w:lang w:bidi="fa-IR"/>
          <w:color w:val="111111"/>
          <w:sz w:val="28"/>
          <w:szCs w:val="28"/>
          <w:rtl/>
        </w:rPr>
        <w:t xml:space="preserve">ص 172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حاشية شرح هداية الحكمة، ج 6،</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Amiri" w:hAnsi="Amiri" w:eastAsia="Amiri" w:cs="Amiri"/>
          <w:lang w:bidi="ar-SA"/>
          <w:color w:val="111111"/>
          <w:sz w:val="28"/>
          <w:szCs w:val="28"/>
          <w:rtl/>
        </w:rPr>
        <w:t xml:space="preserve">29 .حاشية لوامع الاسرار في شرح</w:t>
      </w:r>
    </w:p>
    <w:p>
      <w:pPr>
        <w:pStyle w:val="BookText"/>
      </w:pPr>
      <w:r>
        <w:rPr>
          <w:rFonts w:ascii="IRNazanin" w:hAnsi="IRNazanin" w:eastAsia="IRNazanin" w:cs="IRNazanin"/>
          <w:lang w:bidi="fa-IR"/>
          <w:color w:val="111111"/>
          <w:sz w:val="28"/>
          <w:szCs w:val="28"/>
          <w:rtl/>
        </w:rPr>
        <w:t xml:space="preserve">مطالع الانوار، ج 6، ص 341.</w:t>
      </w:r>
    </w:p>
    <w:p>
      <w:pPr>
        <w:pStyle w:val="BookText"/>
      </w:pPr>
      <w:r>
        <w:rPr>
          <w:rFonts w:ascii="Amiri" w:hAnsi="Amiri" w:eastAsia="Amiri" w:cs="Amiri"/>
          <w:lang w:bidi="ar-SA"/>
          <w:color w:val="111111"/>
          <w:sz w:val="28"/>
          <w:szCs w:val="28"/>
          <w:rtl/>
        </w:rPr>
        <w:t xml:space="preserve">30 .حاشية مطالع الانظار في شرح</w:t>
      </w:r>
    </w:p>
    <w:p>
      <w:pPr>
        <w:pStyle w:val="BookText"/>
      </w:pPr>
      <w:r>
        <w:rPr>
          <w:rFonts w:ascii="IRNazanin" w:hAnsi="IRNazanin" w:eastAsia="IRNazanin" w:cs="IRNazanin"/>
          <w:lang w:bidi="fa-IR"/>
          <w:color w:val="111111"/>
          <w:sz w:val="28"/>
          <w:szCs w:val="28"/>
          <w:rtl/>
        </w:rPr>
        <w:t xml:space="preserve">طوالع الانوار، ج 6، ص 369.</w:t>
      </w:r>
    </w:p>
    <w:p>
      <w:pPr>
        <w:pStyle w:val="BookText"/>
      </w:pPr>
      <w:r>
        <w:rPr>
          <w:rFonts w:ascii="Amiri" w:hAnsi="Amiri" w:eastAsia="Amiri" w:cs="Amiri"/>
          <w:lang w:bidi="ar-SA"/>
          <w:color w:val="111111"/>
          <w:sz w:val="28"/>
          <w:szCs w:val="28"/>
          <w:rtl/>
        </w:rPr>
        <w:t xml:space="preserve">31 .حاشية منطقية، ج 6، ص 423.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حرفية = المرآتية، ج 6، ص 615.</w:t>
      </w:r>
    </w:p>
    <w:p>
      <w:pPr>
        <w:pStyle w:val="BookText"/>
      </w:pPr>
      <w:r>
        <w:rPr>
          <w:rFonts w:ascii="Amiri" w:hAnsi="Amiri" w:eastAsia="Amiri" w:cs="Amiri"/>
          <w:lang w:bidi="ar-SA"/>
          <w:color w:val="111111"/>
          <w:sz w:val="28"/>
          <w:szCs w:val="28"/>
          <w:rtl/>
        </w:rPr>
        <w:t xml:space="preserve">33 .حل التناقض = حدوث و قدم القرآن (رسالة في)، ج6 ، ص 777.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الحواشي الاصولية، ج 6، ص 832.</w:t>
      </w:r>
    </w:p>
    <w:p>
      <w:pPr>
        <w:pStyle w:val="BookText"/>
      </w:pPr>
      <w:r>
        <w:rPr>
          <w:rFonts w:ascii="Amiri" w:hAnsi="Amiri" w:eastAsia="Amiri" w:cs="Amiri"/>
          <w:lang w:bidi="ar-SA"/>
          <w:color w:val="111111"/>
          <w:sz w:val="28"/>
          <w:szCs w:val="28"/>
          <w:rtl/>
        </w:rPr>
        <w:t xml:space="preserve">35 .خلاصة الخلاصة = علم الحديث</w:t>
      </w:r>
    </w:p>
    <w:p>
      <w:pPr>
        <w:pStyle w:val="BookText"/>
      </w:pPr>
      <w:r>
        <w:rPr>
          <w:rFonts w:ascii="IRNazanin" w:hAnsi="IRNazanin" w:eastAsia="IRNazanin" w:cs="IRNazanin"/>
          <w:lang w:bidi="fa-IR"/>
          <w:color w:val="111111"/>
          <w:sz w:val="28"/>
          <w:szCs w:val="28"/>
          <w:rtl/>
        </w:rPr>
        <w:t xml:space="preserve">ج 7، ص111.</w:t>
      </w:r>
    </w:p>
    <w:p>
      <w:pPr>
        <w:pStyle w:val="BookText"/>
      </w:pPr>
      <w:r>
        <w:rPr>
          <w:rFonts w:ascii="Amiri" w:hAnsi="Amiri" w:eastAsia="Amiri" w:cs="Amiri"/>
          <w:lang w:bidi="ar-SA"/>
          <w:color w:val="111111"/>
          <w:sz w:val="28"/>
          <w:szCs w:val="28"/>
          <w:rtl/>
        </w:rPr>
        <w:t xml:space="preserve">36 .الرسالة الصغرى، ج8، ص217.</w:t>
      </w:r>
    </w:p>
    <w:p>
      <w:pPr>
        <w:pStyle w:val="BookText"/>
      </w:pPr>
      <w:r>
        <w:rPr>
          <w:rFonts w:ascii="Amiri" w:hAnsi="Amiri" w:eastAsia="Amiri" w:cs="Amiri"/>
          <w:lang w:bidi="ar-SA"/>
          <w:color w:val="111111"/>
          <w:sz w:val="28"/>
          <w:szCs w:val="28"/>
          <w:rtl/>
        </w:rPr>
        <w:t xml:space="preserve">37 .الرسالة المرآتية = العلم بالوجه و العلم بالشي من وجه = رساله</w:t>
      </w:r>
    </w:p>
    <w:p>
      <w:pPr>
        <w:pStyle w:val="BookText"/>
      </w:pPr>
      <w:r>
        <w:rPr>
          <w:rFonts w:ascii="Amiri" w:hAnsi="Amiri" w:eastAsia="Amiri" w:cs="Amiri"/>
          <w:lang w:bidi="ar-SA"/>
          <w:color w:val="111111"/>
          <w:sz w:val="28"/>
          <w:szCs w:val="28"/>
          <w:rtl/>
        </w:rPr>
        <w:t xml:space="preserve">شريفيه، ج8، ص 267.</w:t>
      </w:r>
    </w:p>
    <w:p>
      <w:pPr>
        <w:pStyle w:val="BookText"/>
      </w:pPr>
      <w:r>
        <w:rPr>
          <w:rFonts w:ascii="Amiri" w:hAnsi="Amiri" w:eastAsia="Amiri" w:cs="Amiri"/>
          <w:lang w:bidi="ar-SA"/>
          <w:color w:val="111111"/>
          <w:sz w:val="28"/>
          <w:szCs w:val="28"/>
          <w:rtl/>
        </w:rPr>
        <w:t xml:space="preserve">38 .الرسالة الولدية، ج8، ص 297.</w:t>
      </w:r>
    </w:p>
    <w:p>
      <w:pPr>
        <w:pStyle w:val="BookText"/>
      </w:pPr>
      <w:r>
        <w:rPr>
          <w:rFonts w:ascii="IRNazanin" w:hAnsi="IRNazanin" w:eastAsia="IRNazanin" w:cs="IRNazanin"/>
          <w:lang w:bidi="fa-IR"/>
          <w:color w:val="111111"/>
          <w:sz w:val="28"/>
          <w:szCs w:val="28"/>
          <w:rtl/>
        </w:rPr>
        <w:t xml:space="preserve">39 .سؤالات و جوابات، ج 8، ص 678.</w:t>
      </w:r>
    </w:p>
    <w:p>
      <w:pPr>
        <w:pStyle w:val="BookText"/>
      </w:pPr>
      <w:r>
        <w:rPr>
          <w:rFonts w:ascii="Amiri" w:hAnsi="Amiri" w:eastAsia="Amiri" w:cs="Amiri"/>
          <w:lang w:bidi="ar-SA"/>
          <w:color w:val="111111"/>
          <w:sz w:val="28"/>
          <w:szCs w:val="28"/>
          <w:rtl/>
        </w:rPr>
        <w:t xml:space="preserve">40 .شرح آداب البحث العضدية، ج 9،</w:t>
      </w:r>
    </w:p>
    <w:p>
      <w:pPr>
        <w:pStyle w:val="BookText"/>
      </w:pPr>
      <w:r>
        <w:rPr>
          <w:rFonts w:ascii="IRNazanin" w:hAnsi="IRNazanin" w:eastAsia="IRNazanin" w:cs="IRNazanin"/>
          <w:lang w:bidi="fa-IR"/>
          <w:color w:val="111111"/>
          <w:sz w:val="28"/>
          <w:szCs w:val="28"/>
          <w:rtl/>
        </w:rPr>
        <w:t xml:space="preserve">ص 132.</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شرح الأدوار، ج 9، ص 167.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شرح الايساغوجي، ج9، ص 259.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شرح التذكرة النصيرية، ج 9،</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شرح التصريفات، ج9، ص 337.</w:t>
      </w:r>
    </w:p>
    <w:p>
      <w:pPr>
        <w:pStyle w:val="BookText"/>
      </w:pPr>
      <w:r>
        <w:rPr>
          <w:rFonts w:ascii="IRNazanin" w:hAnsi="IRNazanin" w:eastAsia="IRNazanin" w:cs="IRNazanin"/>
          <w:lang w:bidi="fa-IR"/>
          <w:color w:val="111111"/>
          <w:sz w:val="28"/>
          <w:szCs w:val="28"/>
          <w:rtl/>
        </w:rPr>
        <w:t xml:space="preserve">45 .شرح الجمل، ج9، ص 372.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الرحبية، ج 9، ص 500.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شرح الرسالة الوضعية العضدية</w:t>
      </w:r>
    </w:p>
    <w:p>
      <w:pPr>
        <w:pStyle w:val="BookText"/>
      </w:pPr>
      <w:r>
        <w:rPr>
          <w:rFonts w:ascii="IRNazanin" w:hAnsi="IRNazanin" w:eastAsia="IRNazanin" w:cs="IRNazanin"/>
          <w:lang w:bidi="fa-IR"/>
          <w:color w:val="111111"/>
          <w:sz w:val="28"/>
          <w:szCs w:val="28"/>
          <w:rtl/>
        </w:rPr>
        <w:t xml:space="preserve">ج 9، ص 555.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الفاظ خطبة الوافية في شرح</w:t>
      </w:r>
    </w:p>
    <w:p>
      <w:pPr>
        <w:pStyle w:val="BookText"/>
      </w:pPr>
      <w:r>
        <w:rPr>
          <w:rFonts w:ascii="Amiri" w:hAnsi="Amiri" w:eastAsia="Amiri" w:cs="Amiri"/>
          <w:lang w:bidi="ar-SA"/>
          <w:color w:val="111111"/>
          <w:sz w:val="28"/>
          <w:szCs w:val="28"/>
          <w:rtl/>
        </w:rPr>
        <w:t xml:space="preserve">الكافية، ج 9، ص 214.</w:t>
      </w:r>
    </w:p>
    <w:p>
      <w:pPr>
        <w:pStyle w:val="BookText"/>
      </w:pPr>
      <w:r>
        <w:rPr>
          <w:rFonts w:ascii="Amiri" w:hAnsi="Amiri" w:eastAsia="Amiri" w:cs="Amiri"/>
          <w:lang w:bidi="ar-SA"/>
          <w:color w:val="111111"/>
          <w:sz w:val="28"/>
          <w:szCs w:val="28"/>
          <w:rtl/>
        </w:rPr>
        <w:t xml:space="preserve">49 .شرح الفرائض السراجية، ج9،</w:t>
      </w:r>
    </w:p>
    <w:p>
      <w:pPr>
        <w:pStyle w:val="BookText"/>
      </w:pPr>
      <w:r>
        <w:rPr>
          <w:rFonts w:ascii="IRNazanin" w:hAnsi="IRNazanin" w:eastAsia="IRNazanin" w:cs="IRNazanin"/>
          <w:lang w:bidi="fa-IR"/>
          <w:color w:val="111111"/>
          <w:sz w:val="28"/>
          <w:szCs w:val="28"/>
          <w:rtl/>
        </w:rPr>
        <w:t xml:space="preserve">ص 778</w:t>
      </w:r>
    </w:p>
    <w:p>
      <w:pPr>
        <w:pStyle w:val="BookText"/>
      </w:pPr>
      <w:r>
        <w:rPr>
          <w:rFonts w:ascii="IRNazanin" w:hAnsi="IRNazanin" w:eastAsia="IRNazanin" w:cs="IRNazanin"/>
          <w:lang w:bidi="fa-IR"/>
          <w:color w:val="111111"/>
          <w:sz w:val="28"/>
          <w:szCs w:val="28"/>
          <w:rtl/>
        </w:rPr>
        <w:t xml:space="preserve">50 .شرح الكافية - شرح كيپائي، ج 10،</w:t>
      </w:r>
    </w:p>
    <w:p>
      <w:pPr>
        <w:pStyle w:val="BookText"/>
      </w:pPr>
      <w:r>
        <w:rPr>
          <w:rFonts w:ascii="IRNazanin" w:hAnsi="IRNazanin" w:eastAsia="IRNazanin" w:cs="IRNazanin"/>
          <w:lang w:bidi="fa-IR"/>
          <w:color w:val="111111"/>
          <w:sz w:val="28"/>
          <w:szCs w:val="28"/>
          <w:rtl/>
        </w:rPr>
        <w:t xml:space="preserve">ص 34.</w:t>
      </w:r>
    </w:p>
    <w:p>
      <w:pPr>
        <w:pStyle w:val="BookText"/>
      </w:pPr>
      <w:r>
        <w:rPr>
          <w:rFonts w:ascii="Amiri" w:hAnsi="Amiri" w:eastAsia="Amiri" w:cs="Amiri"/>
          <w:lang w:bidi="ar-SA"/>
          <w:color w:val="111111"/>
          <w:sz w:val="28"/>
          <w:szCs w:val="28"/>
          <w:rtl/>
        </w:rPr>
        <w:t xml:space="preserve">51 .شرح الملخص في الهيئة، ج 10،</w:t>
      </w:r>
    </w:p>
    <w:p>
      <w:pPr>
        <w:pStyle w:val="BookText"/>
      </w:pPr>
      <w:r>
        <w:rPr>
          <w:rFonts w:ascii="IRNazanin" w:hAnsi="IRNazanin" w:eastAsia="IRNazanin" w:cs="IRNazanin"/>
          <w:lang w:bidi="fa-IR"/>
          <w:color w:val="111111"/>
          <w:sz w:val="28"/>
          <w:szCs w:val="28"/>
          <w:rtl/>
        </w:rPr>
        <w:t xml:space="preserve">ص 227 .</w:t>
      </w:r>
    </w:p>
    <w:p>
      <w:pPr>
        <w:pStyle w:val="BookText"/>
      </w:pPr>
      <w:r>
        <w:rPr>
          <w:rFonts w:ascii="Amiri" w:hAnsi="Amiri" w:eastAsia="Amiri" w:cs="Amiri"/>
          <w:lang w:bidi="ar-SA"/>
          <w:color w:val="111111"/>
          <w:sz w:val="28"/>
          <w:szCs w:val="28"/>
          <w:rtl/>
        </w:rPr>
        <w:t xml:space="preserve">52 .شرح المواقف السلطانية، ج 10،</w:t>
      </w:r>
    </w:p>
    <w:p>
      <w:pPr>
        <w:pStyle w:val="BookText"/>
      </w:pPr>
      <w:r>
        <w:rPr>
          <w:rFonts w:ascii="IRNazanin" w:hAnsi="IRNazanin" w:eastAsia="IRNazanin" w:cs="IRNazanin"/>
          <w:lang w:bidi="fa-IR"/>
          <w:color w:val="111111"/>
          <w:sz w:val="28"/>
          <w:szCs w:val="28"/>
          <w:rtl/>
        </w:rPr>
        <w:t xml:space="preserve">ص 269 .</w:t>
      </w:r>
    </w:p>
    <w:p>
      <w:pPr>
        <w:pStyle w:val="BookText"/>
      </w:pPr>
      <w:r>
        <w:rPr>
          <w:rFonts w:ascii="Amiri" w:hAnsi="Amiri" w:eastAsia="Amiri" w:cs="Amiri"/>
          <w:lang w:bidi="ar-SA"/>
          <w:color w:val="111111"/>
          <w:sz w:val="28"/>
          <w:szCs w:val="28"/>
          <w:rtl/>
        </w:rPr>
        <w:t xml:space="preserve">53 .شرح خطبة البيان، ج9، ص 431 .</w:t>
      </w:r>
    </w:p>
    <w:p>
      <w:pPr>
        <w:pStyle w:val="BookText"/>
      </w:pPr>
      <w:r>
        <w:rPr>
          <w:rFonts w:ascii="IRNazanin" w:hAnsi="IRNazanin" w:eastAsia="IRNazanin" w:cs="IRNazanin"/>
          <w:lang w:bidi="fa-IR"/>
          <w:color w:val="111111"/>
          <w:sz w:val="28"/>
          <w:szCs w:val="28"/>
          <w:rtl/>
        </w:rPr>
        <w:t xml:space="preserve">54 .شرح طوالع الانوار، ج 9، ص 683.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شرح كنز الدقائق، ج 10، ص 64.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شرح نصاب الصبيان، ج 10،</w:t>
      </w:r>
    </w:p>
    <w:p>
      <w:pPr>
        <w:pStyle w:val="BookText"/>
      </w:pPr>
      <w:r>
        <w:rPr>
          <w:rFonts w:ascii="IRNazanin" w:hAnsi="IRNazanin" w:eastAsia="IRNazanin" w:cs="IRNazanin"/>
          <w:lang w:bidi="fa-IR"/>
          <w:color w:val="111111"/>
          <w:sz w:val="28"/>
          <w:szCs w:val="28"/>
          <w:rtl/>
        </w:rPr>
        <w:t xml:space="preserve">ص 285 .</w:t>
      </w:r>
    </w:p>
    <w:p>
      <w:pPr>
        <w:pStyle w:val="BookText"/>
      </w:pPr>
      <w:r>
        <w:rPr>
          <w:rFonts w:ascii="Amiri" w:hAnsi="Amiri" w:eastAsia="Amiri" w:cs="Amiri"/>
          <w:lang w:bidi="ar-SA"/>
          <w:color w:val="111111"/>
          <w:sz w:val="28"/>
          <w:szCs w:val="28"/>
          <w:rtl/>
        </w:rPr>
        <w:t xml:space="preserve">57 .شرح وقاية الرواية في مسائل</w:t>
      </w:r>
    </w:p>
    <w:p>
      <w:pPr>
        <w:pStyle w:val="BookText"/>
      </w:pPr>
      <w:r>
        <w:rPr>
          <w:rFonts w:ascii="Amiri" w:hAnsi="Amiri" w:eastAsia="Amiri" w:cs="Amiri"/>
          <w:lang w:bidi="ar-SA"/>
          <w:color w:val="111111"/>
          <w:sz w:val="28"/>
          <w:szCs w:val="28"/>
          <w:rtl/>
        </w:rPr>
        <w:t xml:space="preserve">الهداية، ج 10، ص 340.</w:t>
      </w:r>
    </w:p>
    <w:p>
      <w:pPr>
        <w:pStyle w:val="BookText"/>
      </w:pPr>
      <w:r>
        <w:rPr>
          <w:rFonts w:ascii="Amiri" w:hAnsi="Amiri" w:eastAsia="Amiri" w:cs="Amiri"/>
          <w:lang w:bidi="ar-SA"/>
          <w:color w:val="111111"/>
          <w:sz w:val="28"/>
          <w:szCs w:val="28"/>
          <w:rtl/>
        </w:rPr>
        <w:t xml:space="preserve">58 .صرف مير، ج 10، ص 559 .</w:t>
      </w:r>
    </w:p>
    <w:p>
      <w:pPr>
        <w:pStyle w:val="BookText"/>
      </w:pPr>
      <w:r>
        <w:rPr>
          <w:rFonts w:ascii="IRNazanin" w:hAnsi="IRNazanin" w:eastAsia="IRNazanin" w:cs="IRNazanin"/>
          <w:lang w:bidi="fa-IR"/>
          <w:color w:val="111111"/>
          <w:sz w:val="28"/>
          <w:szCs w:val="28"/>
          <w:rtl/>
        </w:rPr>
        <w:t xml:space="preserve">59 .صغری در منطق، ج 10، ص 560.</w:t>
      </w:r>
    </w:p>
    <w:p>
      <w:pPr>
        <w:pStyle w:val="BookText"/>
      </w:pPr>
      <w:r>
        <w:rPr>
          <w:rFonts w:ascii="Amiri" w:hAnsi="Amiri" w:eastAsia="Amiri" w:cs="Amiri"/>
          <w:lang w:bidi="ar-SA"/>
          <w:color w:val="111111"/>
          <w:sz w:val="28"/>
          <w:szCs w:val="28"/>
          <w:rtl/>
        </w:rPr>
        <w:t xml:space="preserve">60 .العدد في العدد، ج 11، ص 63.</w:t>
      </w:r>
    </w:p>
    <w:p>
      <w:pPr>
        <w:pStyle w:val="BookText"/>
      </w:pPr>
      <w:r>
        <w:rPr>
          <w:rFonts w:ascii="Amiri" w:hAnsi="Amiri" w:eastAsia="Amiri" w:cs="Amiri"/>
          <w:lang w:bidi="ar-SA"/>
          <w:color w:val="111111"/>
          <w:sz w:val="28"/>
          <w:szCs w:val="28"/>
          <w:rtl/>
        </w:rPr>
        <w:t xml:space="preserve">61 . الغرض والغاية والفائدة، ج 11،</w:t>
      </w:r>
    </w:p>
    <w:p>
      <w:pPr>
        <w:pStyle w:val="BookText"/>
      </w:pPr>
      <w:r>
        <w:rPr>
          <w:rFonts w:ascii="IRNazanin" w:hAnsi="IRNazanin" w:eastAsia="IRNazanin" w:cs="IRNazanin"/>
          <w:lang w:bidi="fa-IR"/>
          <w:color w:val="111111"/>
          <w:sz w:val="28"/>
          <w:szCs w:val="28"/>
          <w:rtl/>
        </w:rPr>
        <w:t xml:space="preserve">ص 488.</w:t>
      </w:r>
    </w:p>
    <w:p>
      <w:pPr>
        <w:pStyle w:val="BookText"/>
      </w:pPr>
      <w:r>
        <w:rPr>
          <w:rFonts w:ascii="Amiri" w:hAnsi="Amiri" w:eastAsia="Amiri" w:cs="Amiri"/>
          <w:lang w:bidi="ar-SA"/>
          <w:color w:val="111111"/>
          <w:sz w:val="28"/>
          <w:szCs w:val="28"/>
          <w:rtl/>
        </w:rPr>
        <w:t xml:space="preserve">62 .فائدة فلسفية، ج11، ص 571.</w:t>
      </w:r>
    </w:p>
    <w:p>
      <w:pPr>
        <w:pStyle w:val="BookText"/>
      </w:pPr>
      <w:r>
        <w:rPr>
          <w:rFonts w:ascii="IRNazanin" w:hAnsi="IRNazanin" w:eastAsia="IRNazanin" w:cs="IRNazanin"/>
          <w:lang w:bidi="fa-IR"/>
          <w:color w:val="111111"/>
          <w:sz w:val="28"/>
          <w:szCs w:val="28"/>
          <w:rtl/>
        </w:rPr>
        <w:t xml:space="preserve">63 .القضاء والقدر، ج 12، ص739.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2" w:name="pg7742_70031"/>
    <w:bookmarkEnd w:id="322"/>
    <w:p>
      <w:pPr>
        <w:pStyle w:val="BookText"/>
      </w:pPr>
      <w:r>
        <w:rPr>
          <w:rFonts w:ascii="IRNazanin" w:hAnsi="IRNazanin" w:eastAsia="IRNazanin" w:cs="IRNazanin"/>
          <w:lang w:bidi="fa-IR"/>
          <w:color w:val="111111"/>
          <w:sz w:val="28"/>
          <w:szCs w:val="28"/>
          <w:rtl/>
        </w:rPr>
        <w:t xml:space="preserve">64 .کبری در منطق، ج13، ص79.</w:t>
      </w:r>
    </w:p>
    <w:p>
      <w:pPr>
        <w:pStyle w:val="BookText"/>
      </w:pPr>
      <w:r>
        <w:rPr>
          <w:rFonts w:ascii="Amiri" w:hAnsi="Amiri" w:eastAsia="Amiri" w:cs="Amiri"/>
          <w:lang w:bidi="ar-SA"/>
          <w:color w:val="111111"/>
          <w:sz w:val="28"/>
          <w:szCs w:val="28"/>
          <w:rtl/>
        </w:rPr>
        <w:t xml:space="preserve">65 .مراتب الموجودات = الرسالة الشريفية، ج 14 ، ص 368 .</w:t>
      </w:r>
    </w:p>
    <w:p>
      <w:pPr>
        <w:pStyle w:val="BookText"/>
      </w:pPr>
      <w:r>
        <w:rPr>
          <w:rFonts w:ascii="Amiri" w:hAnsi="Amiri" w:eastAsia="Amiri" w:cs="Amiri"/>
          <w:lang w:bidi="ar-SA"/>
          <w:color w:val="111111"/>
          <w:sz w:val="28"/>
          <w:szCs w:val="28"/>
          <w:rtl/>
        </w:rPr>
        <w:t xml:space="preserve">66 .المصباح في شرح المفتاح، ج 14،</w:t>
      </w:r>
    </w:p>
    <w:p>
      <w:pPr>
        <w:pStyle w:val="BookText"/>
      </w:pPr>
      <w:r>
        <w:rPr>
          <w:rFonts w:ascii="IRNazanin" w:hAnsi="IRNazanin" w:eastAsia="IRNazanin" w:cs="IRNazanin"/>
          <w:lang w:bidi="fa-IR"/>
          <w:color w:val="111111"/>
          <w:sz w:val="28"/>
          <w:szCs w:val="28"/>
          <w:rtl/>
        </w:rPr>
        <w:t xml:space="preserve">ص 724 .</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مقدمة في الصرف، ج 15 ، ص 364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نحو مير ج 16، ص 192.</w:t>
      </w:r>
    </w:p>
    <w:p>
      <w:pPr>
        <w:pStyle w:val="BookText"/>
      </w:pPr>
      <w:r>
        <w:rPr>
          <w:rFonts w:ascii="Amiri" w:hAnsi="Amiri" w:eastAsia="Amiri" w:cs="Amiri"/>
          <w:lang w:bidi="ar-SA"/>
          <w:color w:val="111111"/>
          <w:sz w:val="28"/>
          <w:szCs w:val="28"/>
          <w:rtl/>
        </w:rPr>
        <w:t xml:space="preserve">69 .نزهة الطرف، ج 16، ص 236.</w:t>
      </w:r>
    </w:p>
    <w:p>
      <w:pPr>
        <w:pStyle w:val="BookText"/>
      </w:pPr>
      <w:r>
        <w:rPr>
          <w:rFonts w:ascii="Amiri" w:hAnsi="Amiri" w:eastAsia="Amiri" w:cs="Amiri"/>
          <w:lang w:bidi="ar-SA"/>
          <w:color w:val="111111"/>
          <w:sz w:val="28"/>
          <w:szCs w:val="28"/>
          <w:rtl/>
        </w:rPr>
        <w:t xml:space="preserve">70 .نفس الامر والفرق بينه و بين</w:t>
      </w:r>
    </w:p>
    <w:p>
      <w:pPr>
        <w:pStyle w:val="BookText"/>
      </w:pPr>
      <w:r>
        <w:rPr>
          <w:rFonts w:ascii="IRNazanin" w:hAnsi="IRNazanin" w:eastAsia="IRNazanin" w:cs="IRNazanin"/>
          <w:lang w:bidi="fa-IR"/>
          <w:color w:val="111111"/>
          <w:sz w:val="28"/>
          <w:szCs w:val="28"/>
          <w:rtl/>
        </w:rPr>
        <w:t xml:space="preserve">الخارج، ج 16، ص 399.</w:t>
      </w:r>
    </w:p>
    <w:p>
      <w:pPr>
        <w:pStyle w:val="BookText"/>
      </w:pPr>
      <w:r>
        <w:rPr>
          <w:rFonts w:ascii="IRNazanin" w:hAnsi="IRNazanin" w:eastAsia="IRNazanin" w:cs="IRNazanin"/>
          <w:lang w:bidi="fa-IR"/>
          <w:color w:val="111111"/>
          <w:sz w:val="28"/>
          <w:szCs w:val="28"/>
          <w:rtl/>
        </w:rPr>
        <w:t xml:space="preserve">71 .نوریه، ج 16، ص 572</w:t>
      </w:r>
    </w:p>
    <w:p>
      <w:pPr>
        <w:pStyle w:val="BookText"/>
      </w:pPr>
      <w:r>
        <w:rPr>
          <w:rFonts w:ascii="Amiri" w:hAnsi="Amiri" w:eastAsia="Amiri" w:cs="Amiri"/>
          <w:lang w:bidi="ar-SA"/>
          <w:color w:val="111111"/>
          <w:sz w:val="28"/>
          <w:szCs w:val="28"/>
          <w:rtl/>
        </w:rPr>
        <w:t xml:space="preserve">72 .وجوديه = وحدت وجود، ج 16،</w:t>
      </w:r>
    </w:p>
    <w:p>
      <w:pPr>
        <w:pStyle w:val="BookText"/>
      </w:pPr>
      <w:r>
        <w:rPr>
          <w:rFonts w:ascii="IRNazanin" w:hAnsi="IRNazanin" w:eastAsia="IRNazanin" w:cs="IRNazanin"/>
          <w:lang w:bidi="fa-IR"/>
          <w:color w:val="111111"/>
          <w:sz w:val="28"/>
          <w:szCs w:val="28"/>
          <w:rtl/>
        </w:rPr>
        <w:t xml:space="preserve">ص 734.</w:t>
      </w:r>
    </w:p>
    <w:p>
      <w:pPr>
        <w:pStyle w:val="BookText"/>
      </w:pPr>
      <w:r>
        <w:rPr>
          <w:rFonts w:ascii="Amiri" w:hAnsi="Amiri" w:eastAsia="Amiri" w:cs="Amiri"/>
          <w:lang w:bidi="ar-SA"/>
          <w:color w:val="111111"/>
          <w:sz w:val="28"/>
          <w:szCs w:val="28"/>
          <w:rtl/>
        </w:rPr>
        <w:t xml:space="preserve">جرجاني، عيسى بن يحيى- ابوسهل</w:t>
      </w:r>
    </w:p>
    <w:p>
      <w:pPr>
        <w:pStyle w:val="BookText"/>
      </w:pPr>
      <w:r>
        <w:rPr>
          <w:rFonts w:ascii="Amiri" w:hAnsi="Amiri" w:eastAsia="Amiri" w:cs="Amiri"/>
          <w:lang w:bidi="ar-SA"/>
          <w:color w:val="111111"/>
          <w:sz w:val="28"/>
          <w:szCs w:val="28"/>
          <w:rtl/>
        </w:rPr>
        <w:t xml:space="preserve">جرجاني ، عيسى بن يحيى</w:t>
      </w:r>
    </w:p>
    <w:p>
      <w:pPr>
        <w:pStyle w:val="BookText"/>
      </w:pPr>
      <w:r>
        <w:rPr>
          <w:rFonts w:ascii="Amiri" w:hAnsi="Amiri" w:eastAsia="Amiri" w:cs="Amiri"/>
          <w:lang w:bidi="ar-SA"/>
          <w:color w:val="111111"/>
          <w:sz w:val="28"/>
          <w:szCs w:val="28"/>
          <w:rtl/>
        </w:rPr>
        <w:t xml:space="preserve">جرجاني ، محمّد بن احمد -غطريفي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3252" w:name="_Toc2354"/>
      <w:r>
        <w:t>جرجاني ، محمّد بن احمد -</w:t>
      </w:r>
      <w:bookmarkEnd w:id="3252"/>
    </w:p>
    <w:p>
      <w:pPr>
        <w:pStyle w:val="BookText"/>
      </w:pPr>
      <w:r>
        <w:rPr>
          <w:rFonts w:ascii="Amiri" w:hAnsi="Amiri" w:eastAsia="Amiri" w:cs="Amiri"/>
          <w:lang w:bidi="ar-SA"/>
          <w:color w:val="111111"/>
          <w:sz w:val="28"/>
          <w:szCs w:val="28"/>
          <w:rtl/>
        </w:rPr>
        <w:t xml:space="preserve">جرجاني ، محمّد بن علي</w:t>
      </w:r>
    </w:p>
    <w:p>
      <w:pPr>
        <w:pStyle w:val="BookText"/>
      </w:pPr>
      <w:r>
        <w:rPr>
          <w:rFonts w:ascii="Amiri" w:hAnsi="Amiri" w:eastAsia="Amiri" w:cs="Amiri"/>
          <w:lang w:bidi="ar-SA"/>
          <w:color w:val="111111"/>
          <w:sz w:val="28"/>
          <w:szCs w:val="28"/>
          <w:rtl/>
        </w:rPr>
        <w:t xml:space="preserve">بيان المنازل و المراحل، ج 3، ص 495</w:t>
      </w:r>
    </w:p>
    <w:p>
      <w:pPr>
        <w:pStyle w:val="Heading2"/>
      </w:pPr>
      <w:bookmarkStart w:id="3253" w:name="_Toc2355"/>
      <w:r>
        <w:t>جرجاني ، محمّد بن عبدالله قرن 8 ه-</w:t>
      </w:r>
      <w:bookmarkEnd w:id="3253"/>
    </w:p>
    <w:p>
      <w:pPr>
        <w:pStyle w:val="BookText"/>
      </w:pPr>
      <w:r>
        <w:rPr>
          <w:rFonts w:ascii="Amiri" w:hAnsi="Amiri" w:eastAsia="Amiri" w:cs="Amiri"/>
          <w:lang w:bidi="ar-SA"/>
          <w:color w:val="111111"/>
          <w:sz w:val="28"/>
          <w:szCs w:val="28"/>
          <w:rtl/>
        </w:rPr>
        <w:t xml:space="preserve">شرح تهذيب الأصول، ج 9، ص 349.</w:t>
      </w:r>
    </w:p>
    <w:p>
      <w:pPr>
        <w:pStyle w:val="BookText"/>
      </w:pPr>
      <w:r>
        <w:rPr>
          <w:rFonts w:ascii="Amiri" w:hAnsi="Amiri" w:eastAsia="Amiri" w:cs="Amiri"/>
          <w:lang w:bidi="ar-SA"/>
          <w:color w:val="111111"/>
          <w:sz w:val="28"/>
          <w:szCs w:val="28"/>
          <w:rtl/>
        </w:rPr>
        <w:t xml:space="preserve">جرجاني ، محمّد بن علي- ركن الدين جرجاني ، محمّد بن علي</w:t>
      </w:r>
    </w:p>
    <w:p>
      <w:pPr>
        <w:pStyle w:val="Heading2"/>
      </w:pPr>
      <w:bookmarkStart w:id="3254" w:name="_Toc2356"/>
      <w:r>
        <w:t>جرجاني ، محمّد بن علي - 838 ه-</w:t>
      </w:r>
      <w:bookmarkEnd w:id="3254"/>
    </w:p>
    <w:p>
      <w:pPr>
        <w:pStyle w:val="BookText"/>
      </w:pPr>
      <w:r>
        <w:rPr>
          <w:rFonts w:ascii="IRNazanin" w:hAnsi="IRNazanin" w:eastAsia="IRNazanin" w:cs="IRNazanin"/>
          <w:lang w:bidi="fa-IR"/>
          <w:color w:val="111111"/>
          <w:sz w:val="28"/>
          <w:szCs w:val="28"/>
          <w:rtl/>
        </w:rPr>
        <w:t xml:space="preserve">1 .تجوید، ج 3، ص 697.</w:t>
      </w:r>
    </w:p>
    <w:p>
      <w:pPr>
        <w:pStyle w:val="BookText"/>
      </w:pPr>
      <w:r>
        <w:rPr>
          <w:rFonts w:ascii="Amiri" w:hAnsi="Amiri" w:eastAsia="Amiri" w:cs="Amiri"/>
          <w:lang w:bidi="ar-SA"/>
          <w:color w:val="111111"/>
          <w:sz w:val="28"/>
          <w:szCs w:val="28"/>
          <w:rtl/>
        </w:rPr>
        <w:t xml:space="preserve">2 .الدرة في المنطق = ترجمة كبرى في</w:t>
      </w:r>
    </w:p>
    <w:p>
      <w:pPr>
        <w:pStyle w:val="BookText"/>
      </w:pPr>
      <w:r>
        <w:rPr>
          <w:rFonts w:ascii="IRNazanin" w:hAnsi="IRNazanin" w:eastAsia="IRNazanin" w:cs="IRNazanin"/>
          <w:lang w:bidi="fa-IR"/>
          <w:color w:val="111111"/>
          <w:sz w:val="28"/>
          <w:szCs w:val="28"/>
          <w:rtl/>
        </w:rPr>
        <w:t xml:space="preserve">المنطق، ج 7، ص 253.</w:t>
      </w:r>
    </w:p>
    <w:p>
      <w:pPr>
        <w:pStyle w:val="BookText"/>
      </w:pPr>
      <w:r>
        <w:rPr>
          <w:rFonts w:ascii="Amiri" w:hAnsi="Amiri" w:eastAsia="Amiri" w:cs="Amiri"/>
          <w:lang w:bidi="ar-SA"/>
          <w:color w:val="111111"/>
          <w:sz w:val="28"/>
          <w:szCs w:val="28"/>
          <w:rtl/>
        </w:rPr>
        <w:t xml:space="preserve">3 .الرشاد في شرح الارشاد، ج8،</w:t>
      </w:r>
    </w:p>
    <w:p>
      <w:pPr>
        <w:pStyle w:val="BookText"/>
      </w:pPr>
      <w:r>
        <w:rPr>
          <w:rFonts w:ascii="IRNazanin" w:hAnsi="IRNazanin" w:eastAsia="IRNazanin" w:cs="IRNazanin"/>
          <w:lang w:bidi="fa-IR"/>
          <w:color w:val="111111"/>
          <w:sz w:val="28"/>
          <w:szCs w:val="28"/>
          <w:rtl/>
        </w:rPr>
        <w:t xml:space="preserve">ص 304.</w:t>
      </w:r>
    </w:p>
    <w:p>
      <w:pPr>
        <w:pStyle w:val="BookText"/>
      </w:pPr>
      <w:r>
        <w:rPr>
          <w:rFonts w:ascii="Amiri" w:hAnsi="Amiri" w:eastAsia="Amiri" w:cs="Amiri"/>
          <w:lang w:bidi="ar-SA"/>
          <w:color w:val="111111"/>
          <w:sz w:val="28"/>
          <w:szCs w:val="28"/>
          <w:rtl/>
        </w:rPr>
        <w:t xml:space="preserve">4 .زبدة الاسرار في الحكمة (ملخص)</w:t>
      </w:r>
    </w:p>
    <w:p>
      <w:pPr>
        <w:pStyle w:val="BookText"/>
      </w:pPr>
      <w:r>
        <w:rPr>
          <w:rFonts w:ascii="IRNazanin" w:hAnsi="IRNazanin" w:eastAsia="IRNazanin" w:cs="IRNazanin"/>
          <w:lang w:bidi="fa-IR"/>
          <w:color w:val="111111"/>
          <w:sz w:val="28"/>
          <w:szCs w:val="28"/>
          <w:rtl/>
        </w:rPr>
        <w:t xml:space="preserve">ج 8، ص 551.</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5.شرح هداية الحكمة = حل الهداية</w:t>
      </w:r>
    </w:p>
    <w:p>
      <w:pPr>
        <w:pStyle w:val="BookText"/>
      </w:pPr>
      <w:r>
        <w:rPr>
          <w:rFonts w:ascii="IRNazanin" w:hAnsi="IRNazanin" w:eastAsia="IRNazanin" w:cs="IRNazanin"/>
          <w:lang w:bidi="fa-IR"/>
          <w:color w:val="111111"/>
          <w:sz w:val="28"/>
          <w:szCs w:val="28"/>
          <w:rtl/>
        </w:rPr>
        <w:t xml:space="preserve">ج 10، ص 305.</w:t>
      </w:r>
    </w:p>
    <w:p>
      <w:pPr>
        <w:pStyle w:val="BookText"/>
      </w:pPr>
      <w:r>
        <w:rPr>
          <w:rFonts w:ascii="Amiri" w:hAnsi="Amiri" w:eastAsia="Amiri" w:cs="Amiri"/>
          <w:lang w:bidi="ar-SA"/>
          <w:color w:val="111111"/>
          <w:sz w:val="28"/>
          <w:szCs w:val="28"/>
          <w:rtl/>
        </w:rPr>
        <w:t xml:space="preserve">6 .حاشية المطول، ج 6، ص 217.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عقائد الدينية، ج 11، ص 149.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العوامل، ج 11، ص 353.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الغرة - ترجمة الصغرى = اصول</w:t>
      </w:r>
    </w:p>
    <w:p>
      <w:pPr>
        <w:pStyle w:val="BookText"/>
      </w:pPr>
      <w:r>
        <w:rPr>
          <w:rFonts w:ascii="Amiri" w:hAnsi="Amiri" w:eastAsia="Amiri" w:cs="Amiri"/>
          <w:lang w:bidi="ar-SA"/>
          <w:color w:val="111111"/>
          <w:sz w:val="28"/>
          <w:szCs w:val="28"/>
          <w:rtl/>
        </w:rPr>
        <w:t xml:space="preserve">المنطقية، ج 11، ص 470.</w:t>
      </w:r>
    </w:p>
    <w:p>
      <w:pPr>
        <w:pStyle w:val="BookText"/>
      </w:pPr>
      <w:r>
        <w:rPr>
          <w:rFonts w:ascii="Amiri" w:hAnsi="Amiri" w:eastAsia="Amiri" w:cs="Amiri"/>
          <w:lang w:bidi="ar-SA"/>
          <w:color w:val="111111"/>
          <w:sz w:val="28"/>
          <w:szCs w:val="28"/>
          <w:rtl/>
        </w:rPr>
        <w:t xml:space="preserve">10 .الغرة والدرة، ج 11، ص 474.</w:t>
      </w:r>
    </w:p>
    <w:p>
      <w:pPr>
        <w:pStyle w:val="BookText"/>
      </w:pPr>
      <w:r>
        <w:rPr>
          <w:rFonts w:ascii="Amiri" w:hAnsi="Amiri" w:eastAsia="Amiri" w:cs="Amiri"/>
          <w:lang w:bidi="ar-SA"/>
          <w:color w:val="111111"/>
          <w:sz w:val="28"/>
          <w:szCs w:val="28"/>
          <w:rtl/>
        </w:rPr>
        <w:t xml:space="preserve">جرجاني ، مخدوم بن سيّد شريف -شريفي حسيني، ميرزا مخدوم بن</w:t>
      </w:r>
    </w:p>
    <w:p>
      <w:pPr>
        <w:pStyle w:val="BookText"/>
      </w:pPr>
      <w:r>
        <w:rPr>
          <w:rFonts w:ascii="Amiri" w:hAnsi="Amiri" w:eastAsia="Amiri" w:cs="Amiri"/>
          <w:lang w:bidi="ar-SA"/>
          <w:color w:val="111111"/>
          <w:sz w:val="28"/>
          <w:szCs w:val="28"/>
          <w:rtl/>
        </w:rPr>
        <w:t xml:space="preserve">سيد شريف</w:t>
      </w:r>
    </w:p>
    <w:p>
      <w:pPr>
        <w:pStyle w:val="BookText"/>
      </w:pPr>
      <w:r>
        <w:rPr>
          <w:rFonts w:ascii="Amiri" w:hAnsi="Amiri" w:eastAsia="Amiri" w:cs="Amiri"/>
          <w:lang w:bidi="ar-SA"/>
          <w:color w:val="111111"/>
          <w:sz w:val="28"/>
          <w:szCs w:val="28"/>
          <w:rtl/>
        </w:rPr>
        <w:t xml:space="preserve">جرجاني ، مير سيد شريف - جرجاني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جرجاوي ، خالد بن عبد الله -ازهري ، خالدبن عبدالله</w:t>
      </w:r>
    </w:p>
    <w:p>
      <w:pPr>
        <w:pStyle w:val="BookText"/>
      </w:pPr>
      <w:r>
        <w:rPr>
          <w:rFonts w:ascii="Amiri" w:hAnsi="Amiri" w:eastAsia="Amiri" w:cs="Amiri"/>
          <w:lang w:bidi="ar-SA"/>
          <w:color w:val="111111"/>
          <w:sz w:val="28"/>
          <w:szCs w:val="28"/>
          <w:rtl/>
        </w:rPr>
        <w:t xml:space="preserve">جرجي زيدان -زيدان ، جرجي</w:t>
      </w:r>
    </w:p>
    <w:p>
      <w:pPr>
        <w:pStyle w:val="Heading2"/>
      </w:pPr>
      <w:bookmarkStart w:id="3255" w:name="_Toc2357"/>
      <w:r>
        <w:t>جرجيس افندي</w:t>
      </w:r>
      <w:bookmarkEnd w:id="3255"/>
    </w:p>
    <w:p>
      <w:pPr>
        <w:pStyle w:val="BookText"/>
      </w:pPr>
      <w:r>
        <w:rPr>
          <w:rFonts w:ascii="Amiri" w:hAnsi="Amiri" w:eastAsia="Amiri" w:cs="Amiri"/>
          <w:lang w:bidi="ar-SA"/>
          <w:color w:val="111111"/>
          <w:sz w:val="28"/>
          <w:szCs w:val="28"/>
          <w:rtl/>
        </w:rPr>
        <w:t xml:space="preserve">تقريض على مفتاح الفلاح، ج 4</w:t>
      </w:r>
    </w:p>
    <w:p>
      <w:pPr>
        <w:pStyle w:val="BookText"/>
      </w:pPr>
      <w:r>
        <w:rPr>
          <w:rFonts w:ascii="IRNazanin" w:hAnsi="IRNazanin" w:eastAsia="IRNazanin" w:cs="IRNazanin"/>
          <w:lang w:bidi="fa-IR"/>
          <w:color w:val="111111"/>
          <w:sz w:val="28"/>
          <w:szCs w:val="28"/>
          <w:rtl/>
        </w:rPr>
        <w:t xml:space="preserve">ص 783</w:t>
      </w:r>
    </w:p>
    <w:p>
      <w:pPr>
        <w:pStyle w:val="BookText"/>
      </w:pPr>
      <w:r>
        <w:rPr>
          <w:rFonts w:ascii="Amiri" w:hAnsi="Amiri" w:eastAsia="Amiri" w:cs="Amiri"/>
          <w:lang w:bidi="ar-SA"/>
          <w:color w:val="111111"/>
          <w:sz w:val="28"/>
          <w:szCs w:val="28"/>
          <w:rtl/>
        </w:rPr>
        <w:t xml:space="preserve">جرجيس بن درويش موصلي- موصلي ،</w:t>
      </w:r>
    </w:p>
    <w:p>
      <w:pPr>
        <w:pStyle w:val="BookText"/>
      </w:pPr>
      <w:r>
        <w:rPr>
          <w:rFonts w:ascii="Amiri" w:hAnsi="Amiri" w:eastAsia="Amiri" w:cs="Amiri"/>
          <w:lang w:bidi="ar-SA"/>
          <w:color w:val="111111"/>
          <w:sz w:val="28"/>
          <w:szCs w:val="28"/>
          <w:rtl/>
        </w:rPr>
        <w:t xml:space="preserve">جرجيس بن درويش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3" w:name="pg7742_70033"/>
    <w:bookmarkEnd w:id="323"/>
    <w:p>
      <w:pPr>
        <w:pStyle w:val="Heading2"/>
      </w:pPr>
      <w:bookmarkStart w:id="3256" w:name="_Toc2358"/>
      <w:r>
        <w:t>جرجيس بن مصطفى</w:t>
      </w:r>
      <w:bookmarkEnd w:id="3256"/>
    </w:p>
    <w:p>
      <w:pPr>
        <w:pStyle w:val="BookText"/>
      </w:pPr>
      <w:r>
        <w:rPr>
          <w:rFonts w:ascii="Amiri" w:hAnsi="Amiri" w:eastAsia="Amiri" w:cs="Amiri"/>
          <w:lang w:bidi="ar-SA"/>
          <w:color w:val="111111"/>
          <w:sz w:val="28"/>
          <w:szCs w:val="28"/>
          <w:rtl/>
        </w:rPr>
        <w:t xml:space="preserve">جرجيس ، علي بن عباس- ابن رومي ،</w:t>
      </w:r>
    </w:p>
    <w:p>
      <w:pPr>
        <w:pStyle w:val="BookText"/>
      </w:pPr>
      <w:r>
        <w:rPr>
          <w:rFonts w:ascii="Amiri" w:hAnsi="Amiri" w:eastAsia="Amiri" w:cs="Amiri"/>
          <w:lang w:bidi="ar-SA"/>
          <w:color w:val="111111"/>
          <w:sz w:val="28"/>
          <w:szCs w:val="28"/>
          <w:rtl/>
        </w:rPr>
        <w:t xml:space="preserve">علي بن عباس</w:t>
      </w:r>
    </w:p>
    <w:p>
      <w:pPr>
        <w:pStyle w:val="BookText"/>
      </w:pPr>
      <w:r>
        <w:rPr>
          <w:rFonts w:ascii="IRNazanin" w:hAnsi="IRNazanin" w:eastAsia="IRNazanin" w:cs="IRNazanin"/>
          <w:lang w:bidi="fa-IR"/>
          <w:color w:val="111111"/>
          <w:sz w:val="28"/>
          <w:szCs w:val="28"/>
          <w:rtl/>
        </w:rPr>
        <w:t xml:space="preserve">جر فادقاني ، ابوالفضل -گلپايگاني ،</w:t>
      </w:r>
    </w:p>
    <w:p>
      <w:pPr>
        <w:pStyle w:val="BookText"/>
      </w:pPr>
      <w:r>
        <w:rPr>
          <w:rFonts w:ascii="IRNazanin" w:hAnsi="IRNazanin" w:eastAsia="IRNazanin" w:cs="IRNazanin"/>
          <w:lang w:bidi="fa-IR"/>
          <w:color w:val="111111"/>
          <w:sz w:val="28"/>
          <w:szCs w:val="28"/>
          <w:rtl/>
        </w:rPr>
        <w:t xml:space="preserve">ابوالفضل بن محمّد</w:t>
      </w:r>
    </w:p>
    <w:p>
      <w:pPr>
        <w:pStyle w:val="BookText"/>
      </w:pPr>
      <w:r>
        <w:rPr>
          <w:rFonts w:ascii="Amiri" w:hAnsi="Amiri" w:eastAsia="Amiri" w:cs="Amiri"/>
          <w:lang w:bidi="ar-SA"/>
          <w:color w:val="111111"/>
          <w:sz w:val="28"/>
          <w:szCs w:val="28"/>
          <w:rtl/>
        </w:rPr>
        <w:t xml:space="preserve">جرفاد قاني ، ابوالقاسم بن</w:t>
      </w:r>
    </w:p>
    <w:p>
      <w:pPr>
        <w:pStyle w:val="BookText"/>
      </w:pPr>
      <w:r>
        <w:rPr>
          <w:rFonts w:ascii="IRNazanin" w:hAnsi="IRNazanin" w:eastAsia="IRNazanin" w:cs="IRNazanin"/>
          <w:lang w:bidi="fa-IR"/>
          <w:color w:val="111111"/>
          <w:sz w:val="28"/>
          <w:szCs w:val="28"/>
          <w:rtl/>
        </w:rPr>
        <w:t xml:space="preserve">محمّد- گلپایگاني ، ابوالقاسم بن محمّد</w:t>
      </w:r>
    </w:p>
    <w:p>
      <w:pPr>
        <w:pStyle w:val="BookText"/>
      </w:pPr>
      <w:r>
        <w:rPr>
          <w:rFonts w:ascii="Amiri" w:hAnsi="Amiri" w:eastAsia="Amiri" w:cs="Amiri"/>
          <w:lang w:bidi="ar-SA"/>
          <w:color w:val="111111"/>
          <w:sz w:val="28"/>
          <w:szCs w:val="28"/>
          <w:rtl/>
        </w:rPr>
        <w:t xml:space="preserve">جر فادقاني ، احمد بن علي مختار -مختار</w:t>
      </w:r>
    </w:p>
    <w:p>
      <w:pPr>
        <w:pStyle w:val="BookText"/>
      </w:pPr>
      <w:r>
        <w:rPr>
          <w:rFonts w:ascii="IRNazanin" w:hAnsi="IRNazanin" w:eastAsia="IRNazanin" w:cs="IRNazanin"/>
          <w:lang w:bidi="fa-IR"/>
          <w:color w:val="111111"/>
          <w:sz w:val="28"/>
          <w:szCs w:val="28"/>
          <w:rtl/>
        </w:rPr>
        <w:t xml:space="preserve">گلپايگاني ، احمد بن علي</w:t>
      </w:r>
    </w:p>
    <w:p>
      <w:pPr>
        <w:pStyle w:val="BookText"/>
      </w:pPr>
      <w:r>
        <w:rPr>
          <w:rFonts w:ascii="Amiri" w:hAnsi="Amiri" w:eastAsia="Amiri" w:cs="Amiri"/>
          <w:lang w:bidi="ar-SA"/>
          <w:color w:val="111111"/>
          <w:sz w:val="28"/>
          <w:szCs w:val="28"/>
          <w:rtl/>
        </w:rPr>
        <w:t xml:space="preserve">جرفادقاني ايراني ، محمّد بن محمّد</w:t>
      </w:r>
    </w:p>
    <w:p>
      <w:pPr>
        <w:pStyle w:val="BookText"/>
      </w:pPr>
      <w:r>
        <w:rPr>
          <w:rFonts w:ascii="IRNazanin" w:hAnsi="IRNazanin" w:eastAsia="IRNazanin" w:cs="IRNazanin"/>
          <w:lang w:bidi="fa-IR"/>
          <w:color w:val="111111"/>
          <w:sz w:val="28"/>
          <w:szCs w:val="28"/>
          <w:rtl/>
        </w:rPr>
        <w:t xml:space="preserve">رضا -گلپایگانی، ابوالفضل بن محمّد</w:t>
      </w:r>
    </w:p>
    <w:p>
      <w:pPr>
        <w:pStyle w:val="BookText"/>
      </w:pPr>
      <w:r>
        <w:rPr>
          <w:rFonts w:ascii="Amiri" w:hAnsi="Amiri" w:eastAsia="Amiri" w:cs="Amiri"/>
          <w:lang w:bidi="ar-SA"/>
          <w:color w:val="111111"/>
          <w:sz w:val="28"/>
          <w:szCs w:val="28"/>
          <w:rtl/>
        </w:rPr>
        <w:t xml:space="preserve">جرفادقاني ، محمّد بن علي - جربادقاني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جرفادقاني ، محمّد بن محمّد</w:t>
      </w:r>
    </w:p>
    <w:p>
      <w:pPr>
        <w:pStyle w:val="BookText"/>
      </w:pPr>
      <w:r>
        <w:rPr>
          <w:rFonts w:ascii="IRNazanin" w:hAnsi="IRNazanin" w:eastAsia="IRNazanin" w:cs="IRNazanin"/>
          <w:lang w:bidi="fa-IR"/>
          <w:color w:val="111111"/>
          <w:sz w:val="28"/>
          <w:szCs w:val="28"/>
          <w:rtl/>
        </w:rPr>
        <w:t xml:space="preserve">رضا -گلپایگانی ، ابوالفضل بن محمّد</w:t>
      </w:r>
    </w:p>
    <w:p>
      <w:pPr>
        <w:pStyle w:val="BookText"/>
      </w:pPr>
      <w:r>
        <w:rPr>
          <w:rFonts w:ascii="Amiri" w:hAnsi="Amiri" w:eastAsia="Amiri" w:cs="Amiri"/>
          <w:lang w:bidi="ar-SA"/>
          <w:color w:val="111111"/>
          <w:sz w:val="28"/>
          <w:szCs w:val="28"/>
          <w:rtl/>
        </w:rPr>
        <w:t xml:space="preserve">جركسي ، علي بن سودون -ابن سودون ،</w:t>
      </w:r>
    </w:p>
    <w:p>
      <w:pPr>
        <w:pStyle w:val="BookText"/>
      </w:pPr>
      <w:r>
        <w:rPr>
          <w:rFonts w:ascii="Amiri" w:hAnsi="Amiri" w:eastAsia="Amiri" w:cs="Amiri"/>
          <w:lang w:bidi="ar-SA"/>
          <w:color w:val="111111"/>
          <w:sz w:val="28"/>
          <w:szCs w:val="28"/>
          <w:rtl/>
        </w:rPr>
        <w:t xml:space="preserve">علي بن سودون</w:t>
      </w:r>
    </w:p>
    <w:p>
      <w:pPr>
        <w:pStyle w:val="BookText"/>
      </w:pPr>
      <w:r>
        <w:rPr>
          <w:rFonts w:ascii="IRNazanin" w:hAnsi="IRNazanin" w:eastAsia="IRNazanin" w:cs="IRNazanin"/>
          <w:lang w:bidi="fa-IR"/>
          <w:color w:val="111111"/>
          <w:sz w:val="28"/>
          <w:szCs w:val="28"/>
          <w:rtl/>
        </w:rPr>
        <w:t xml:space="preserve">جرمانوس فرحات- فرحات ، جرمانوس</w:t>
      </w:r>
    </w:p>
    <w:p>
      <w:pPr>
        <w:pStyle w:val="Heading2"/>
      </w:pPr>
      <w:bookmarkStart w:id="3257" w:name="_Toc2359"/>
      <w:r>
        <w:t>جرمبوش ، احمد</w:t>
      </w:r>
      <w:bookmarkEnd w:id="3257"/>
    </w:p>
    <w:p>
      <w:pPr>
        <w:pStyle w:val="BookText"/>
      </w:pPr>
      <w:r>
        <w:rPr>
          <w:rFonts w:ascii="Amiri" w:hAnsi="Amiri" w:eastAsia="Amiri" w:cs="Amiri"/>
          <w:lang w:bidi="ar-SA"/>
          <w:color w:val="111111"/>
          <w:sz w:val="28"/>
          <w:szCs w:val="28"/>
          <w:rtl/>
        </w:rPr>
        <w:t xml:space="preserve">ضياء القلوب، ج 10، ص 722.</w:t>
      </w:r>
    </w:p>
    <w:p>
      <w:pPr>
        <w:pStyle w:val="Heading2"/>
      </w:pPr>
      <w:bookmarkStart w:id="3258" w:name="_Toc2360"/>
      <w:r>
        <w:t>جرمكي، ابوبكر بن طاهر، قرن 12 ه-</w:t>
      </w:r>
      <w:bookmarkEnd w:id="3258"/>
    </w:p>
    <w:p>
      <w:pPr>
        <w:pStyle w:val="BookText"/>
      </w:pPr>
      <w:r>
        <w:rPr>
          <w:rFonts w:ascii="Amiri" w:hAnsi="Amiri" w:eastAsia="Amiri" w:cs="Amiri"/>
          <w:lang w:bidi="ar-SA"/>
          <w:color w:val="111111"/>
          <w:sz w:val="28"/>
          <w:szCs w:val="28"/>
          <w:rtl/>
        </w:rPr>
        <w:t xml:space="preserve">صفوفات المنقولات في شرح شروط</w:t>
      </w:r>
    </w:p>
    <w:p>
      <w:pPr>
        <w:pStyle w:val="BookText"/>
      </w:pPr>
      <w:r>
        <w:rPr>
          <w:rFonts w:ascii="IRNazanin" w:hAnsi="IRNazanin" w:eastAsia="IRNazanin" w:cs="IRNazanin"/>
          <w:lang w:bidi="fa-IR"/>
          <w:color w:val="111111"/>
          <w:sz w:val="28"/>
          <w:szCs w:val="28"/>
          <w:rtl/>
        </w:rPr>
        <w:t xml:space="preserve">الصلوات، ج 10، ص 577 .</w:t>
      </w:r>
    </w:p>
    <w:p>
      <w:pPr>
        <w:pStyle w:val="BookText"/>
      </w:pPr>
      <w:r>
        <w:rPr>
          <w:rFonts w:ascii="IRNazanin" w:hAnsi="IRNazanin" w:eastAsia="IRNazanin" w:cs="IRNazanin"/>
          <w:lang w:bidi="fa-IR"/>
          <w:color w:val="111111"/>
          <w:sz w:val="28"/>
          <w:szCs w:val="28"/>
          <w:rtl/>
        </w:rPr>
        <w:t xml:space="preserve">جرمكي ، عبدالله بن ابراهیم -چته چي</w:t>
      </w:r>
    </w:p>
    <w:p>
      <w:pPr>
        <w:pStyle w:val="BookText"/>
      </w:pPr>
      <w:r>
        <w:rPr>
          <w:rFonts w:ascii="Amiri" w:hAnsi="Amiri" w:eastAsia="Amiri" w:cs="Amiri"/>
          <w:lang w:bidi="ar-SA"/>
          <w:color w:val="111111"/>
          <w:sz w:val="28"/>
          <w:szCs w:val="28"/>
          <w:rtl/>
        </w:rPr>
        <w:t xml:space="preserve">عبدالله بن ابراهيم</w:t>
      </w:r>
    </w:p>
    <w:p>
      <w:pPr>
        <w:pStyle w:val="BookText"/>
      </w:pPr>
      <w:r>
        <w:rPr>
          <w:rFonts w:ascii="Amiri" w:hAnsi="Amiri" w:eastAsia="Amiri" w:cs="Amiri"/>
          <w:lang w:bidi="ar-SA"/>
          <w:color w:val="111111"/>
          <w:sz w:val="28"/>
          <w:szCs w:val="28"/>
          <w:rtl/>
        </w:rPr>
        <w:t xml:space="preserve">نظم الآجرومية، ج 16، ص 329.</w:t>
      </w:r>
    </w:p>
    <w:p>
      <w:pPr>
        <w:pStyle w:val="Heading2"/>
      </w:pPr>
      <w:bookmarkStart w:id="3259" w:name="_Toc2361"/>
      <w:r>
        <w:t>جروة انطاكي ، اغناطيوس</w:t>
      </w:r>
      <w:bookmarkEnd w:id="3259"/>
    </w:p>
    <w:p>
      <w:pPr>
        <w:pStyle w:val="BookText"/>
      </w:pPr>
      <w:r>
        <w:rPr>
          <w:rFonts w:ascii="IRNazanin" w:hAnsi="IRNazanin" w:eastAsia="IRNazanin" w:cs="IRNazanin"/>
          <w:lang w:bidi="fa-IR"/>
          <w:color w:val="111111"/>
          <w:sz w:val="28"/>
          <w:szCs w:val="28"/>
          <w:rtl/>
        </w:rPr>
        <w:t xml:space="preserve">المواعظ، ج 15، ص 864.</w:t>
      </w:r>
    </w:p>
    <w:p>
      <w:pPr>
        <w:pStyle w:val="BookText"/>
      </w:pPr>
      <w:r>
        <w:rPr>
          <w:rFonts w:ascii="Amiri" w:hAnsi="Amiri" w:eastAsia="Amiri" w:cs="Amiri"/>
          <w:lang w:bidi="ar-SA"/>
          <w:color w:val="111111"/>
          <w:sz w:val="28"/>
          <w:szCs w:val="28"/>
          <w:rtl/>
        </w:rPr>
        <w:t xml:space="preserve">جرول بن اوس عبسي- حطيئه ، جرول بن</w:t>
      </w:r>
    </w:p>
    <w:p>
      <w:pPr>
        <w:pStyle w:val="BookText"/>
      </w:pPr>
      <w:r>
        <w:rPr>
          <w:rFonts w:ascii="IRNazanin" w:hAnsi="IRNazanin" w:eastAsia="IRNazanin" w:cs="IRNazanin"/>
          <w:lang w:bidi="fa-IR"/>
          <w:color w:val="111111"/>
          <w:sz w:val="28"/>
          <w:szCs w:val="28"/>
          <w:rtl/>
        </w:rPr>
        <w:t xml:space="preserve">أوس</w:t>
      </w:r>
    </w:p>
    <w:p>
      <w:pPr>
        <w:pStyle w:val="BookText"/>
      </w:pPr>
      <w:r>
        <w:rPr>
          <w:rFonts w:ascii="Amiri" w:hAnsi="Amiri" w:eastAsia="Amiri" w:cs="Amiri"/>
          <w:lang w:bidi="ar-SA"/>
          <w:color w:val="111111"/>
          <w:sz w:val="28"/>
          <w:szCs w:val="28"/>
          <w:rtl/>
        </w:rPr>
        <w:t xml:space="preserve">جروي ، احمد بن محمّد -ابن منير ، احمد بن محمّد</w:t>
      </w:r>
    </w:p>
    <w:p>
      <w:pPr>
        <w:pStyle w:val="Heading2"/>
      </w:pPr>
      <w:bookmarkStart w:id="3260" w:name="_Toc2362"/>
      <w:r>
        <w:t>جريدي ، حسن</w:t>
      </w:r>
      <w:bookmarkEnd w:id="3260"/>
    </w:p>
    <w:p>
      <w:pPr>
        <w:pStyle w:val="BookText"/>
      </w:pPr>
      <w:r>
        <w:rPr>
          <w:rFonts w:ascii="IRNazanin" w:hAnsi="IRNazanin" w:eastAsia="IRNazanin" w:cs="IRNazanin"/>
          <w:lang w:bidi="fa-IR"/>
          <w:color w:val="111111"/>
          <w:sz w:val="28"/>
          <w:szCs w:val="28"/>
          <w:rtl/>
        </w:rPr>
        <w:t xml:space="preserve">افعال العباد، ج 2، ص 601 .</w:t>
      </w:r>
    </w:p>
    <w:p>
      <w:pPr>
        <w:pStyle w:val="BookText"/>
      </w:pPr>
      <w:r>
        <w:rPr>
          <w:rFonts w:ascii="Amiri" w:hAnsi="Amiri" w:eastAsia="Amiri" w:cs="Amiri"/>
          <w:lang w:bidi="ar-SA"/>
          <w:color w:val="111111"/>
          <w:sz w:val="28"/>
          <w:szCs w:val="28"/>
          <w:rtl/>
        </w:rPr>
        <w:t xml:space="preserve">جرير بن عطيه كلبي-كلبي ، جرير بن</w:t>
      </w:r>
    </w:p>
    <w:p>
      <w:pPr>
        <w:pStyle w:val="BookText"/>
      </w:pPr>
      <w:r>
        <w:rPr>
          <w:rFonts w:ascii="Amiri" w:hAnsi="Amiri" w:eastAsia="Amiri" w:cs="Amiri"/>
          <w:lang w:bidi="ar-SA"/>
          <w:color w:val="111111"/>
          <w:sz w:val="28"/>
          <w:szCs w:val="28"/>
          <w:rtl/>
        </w:rPr>
        <w:t xml:space="preserve">عطيه</w:t>
      </w:r>
    </w:p>
    <w:p>
      <w:pPr>
        <w:pStyle w:val="Heading2"/>
      </w:pPr>
      <w:bookmarkStart w:id="3261" w:name="_Toc2363"/>
      <w:r>
        <w:t>جزائري ، احمد</w:t>
      </w:r>
      <w:bookmarkEnd w:id="3261"/>
    </w:p>
    <w:p>
      <w:pPr>
        <w:pStyle w:val="BookText"/>
      </w:pPr>
      <w:r>
        <w:rPr>
          <w:rFonts w:ascii="IRNazanin" w:hAnsi="IRNazanin" w:eastAsia="IRNazanin" w:cs="IRNazanin"/>
          <w:lang w:bidi="fa-IR"/>
          <w:color w:val="111111"/>
          <w:sz w:val="28"/>
          <w:szCs w:val="28"/>
          <w:rtl/>
        </w:rPr>
        <w:t xml:space="preserve">دیوان احمد جزائري، ج7، ص 567.</w:t>
      </w:r>
    </w:p>
    <w:p>
      <w:pPr>
        <w:pStyle w:val="Heading2"/>
      </w:pPr>
      <w:bookmarkStart w:id="3262" w:name="_Toc2364"/>
      <w:r>
        <w:t>جزائري، احمد بن اسماعيل - 1151 ؟ ه-</w:t>
      </w:r>
      <w:bookmarkEnd w:id="3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الشافية في الفقه، ج 9، ص 60.</w:t>
      </w:r>
    </w:p>
    <w:p>
      <w:pPr>
        <w:pStyle w:val="BookText"/>
      </w:pPr>
      <w:r>
        <w:rPr>
          <w:rFonts w:ascii="IRNazanin" w:hAnsi="IRNazanin" w:eastAsia="IRNazanin" w:cs="IRNazanin"/>
          <w:lang w:bidi="fa-IR"/>
          <w:color w:val="111111"/>
          <w:sz w:val="28"/>
          <w:szCs w:val="28"/>
          <w:rtl/>
        </w:rPr>
        <w:t xml:space="preserve">2 .قلائد الدرر، ج 12، ص 757.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معنى الارتداد (رسالة في)، ج 15</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Amiri" w:hAnsi="Amiri" w:eastAsia="Amiri" w:cs="Amiri"/>
          <w:lang w:bidi="ar-SA"/>
          <w:color w:val="111111"/>
          <w:sz w:val="28"/>
          <w:szCs w:val="28"/>
          <w:rtl/>
        </w:rPr>
        <w:t xml:space="preserve">جزائري ، عبد الله بن نعمت الله -موسوي</w:t>
      </w:r>
    </w:p>
    <w:p>
      <w:pPr>
        <w:pStyle w:val="BookText"/>
      </w:pPr>
      <w:r>
        <w:rPr>
          <w:rFonts w:ascii="Amiri" w:hAnsi="Amiri" w:eastAsia="Amiri" w:cs="Amiri"/>
          <w:lang w:bidi="ar-SA"/>
          <w:color w:val="111111"/>
          <w:sz w:val="28"/>
          <w:szCs w:val="28"/>
          <w:rtl/>
        </w:rPr>
        <w:t xml:space="preserve">جزائري، عبدالله بن نعمت الله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4" w:name="pg7742_70036"/>
    <w:bookmarkEnd w:id="324"/>
    <w:p>
      <w:pPr>
        <w:pStyle w:val="BookText"/>
      </w:pPr>
      <w:r>
        <w:rPr>
          <w:rFonts w:ascii="Amiri" w:hAnsi="Amiri" w:eastAsia="Amiri" w:cs="Amiri"/>
          <w:lang w:bidi="ar-SA"/>
          <w:color w:val="111111"/>
          <w:sz w:val="28"/>
          <w:szCs w:val="28"/>
          <w:rtl/>
        </w:rPr>
        <w:t xml:space="preserve">جزائري ، عبدالكريم بن محمّد جواد موسوي جزائري، عبدالكريم بن محمّد جواد</w:t>
      </w:r>
    </w:p>
    <w:p>
      <w:pPr>
        <w:pStyle w:val="BookText"/>
      </w:pPr>
      <w:r>
        <w:rPr>
          <w:rFonts w:ascii="Amiri" w:hAnsi="Amiri" w:eastAsia="Amiri" w:cs="Amiri"/>
          <w:lang w:bidi="ar-SA"/>
          <w:color w:val="111111"/>
          <w:sz w:val="28"/>
          <w:szCs w:val="28"/>
          <w:rtl/>
        </w:rPr>
        <w:t xml:space="preserve">جزائري، عبدالهادي بن نعمت</w:t>
      </w:r>
    </w:p>
    <w:p>
      <w:pPr>
        <w:pStyle w:val="BookText"/>
      </w:pPr>
      <w:r>
        <w:rPr>
          <w:rFonts w:ascii="Amiri" w:hAnsi="Amiri" w:eastAsia="Amiri" w:cs="Amiri"/>
          <w:lang w:bidi="ar-SA"/>
          <w:color w:val="111111"/>
          <w:sz w:val="28"/>
          <w:szCs w:val="28"/>
          <w:rtl/>
        </w:rPr>
        <w:t xml:space="preserve">الله -موسوي جزائري ، عبد الله بن نعمت الله</w:t>
      </w:r>
    </w:p>
    <w:p>
      <w:pPr>
        <w:pStyle w:val="BookText"/>
      </w:pPr>
      <w:r>
        <w:rPr>
          <w:rFonts w:ascii="Amiri" w:hAnsi="Amiri" w:eastAsia="Amiri" w:cs="Amiri"/>
          <w:lang w:bidi="ar-SA"/>
          <w:color w:val="111111"/>
          <w:sz w:val="28"/>
          <w:szCs w:val="28"/>
          <w:rtl/>
        </w:rPr>
        <w:t xml:space="preserve">جزائري، محمّد صادق بن محمّد</w:t>
      </w:r>
    </w:p>
    <w:p>
      <w:pPr>
        <w:pStyle w:val="BookText"/>
      </w:pPr>
      <w:r>
        <w:rPr>
          <w:rFonts w:ascii="Amiri" w:hAnsi="Amiri" w:eastAsia="Amiri" w:cs="Amiri"/>
          <w:lang w:bidi="ar-SA"/>
          <w:color w:val="111111"/>
          <w:sz w:val="28"/>
          <w:szCs w:val="28"/>
          <w:rtl/>
        </w:rPr>
        <w:t xml:space="preserve">جزائري، فرج الله بن محمّد- حويزي ،</w:t>
      </w:r>
    </w:p>
    <w:p>
      <w:pPr>
        <w:pStyle w:val="BookText"/>
      </w:pPr>
      <w:r>
        <w:rPr>
          <w:rFonts w:ascii="IRNazanin" w:hAnsi="IRNazanin" w:eastAsia="IRNazanin" w:cs="IRNazanin"/>
          <w:lang w:bidi="fa-IR"/>
          <w:color w:val="111111"/>
          <w:sz w:val="28"/>
          <w:szCs w:val="28"/>
          <w:rtl/>
        </w:rPr>
        <w:t xml:space="preserve">فرج الله بن محمّد</w:t>
      </w:r>
    </w:p>
    <w:p>
      <w:pPr>
        <w:pStyle w:val="Heading2"/>
      </w:pPr>
      <w:bookmarkStart w:id="3263" w:name="_Toc2365"/>
      <w:r>
        <w:t>جزائري ،ماجدي شبيب راضي، قرن 13ه-</w:t>
      </w:r>
      <w:bookmarkEnd w:id="3263"/>
    </w:p>
    <w:p>
      <w:pPr>
        <w:pStyle w:val="BookText"/>
      </w:pPr>
      <w:r>
        <w:rPr>
          <w:rFonts w:ascii="Amiri" w:hAnsi="Amiri" w:eastAsia="Amiri" w:cs="Amiri"/>
          <w:lang w:bidi="ar-SA"/>
          <w:color w:val="111111"/>
          <w:sz w:val="28"/>
          <w:szCs w:val="28"/>
          <w:rtl/>
        </w:rPr>
        <w:t xml:space="preserve">معرفة الله (رسالة في)، ج 15 ، ص 45.</w:t>
      </w:r>
    </w:p>
    <w:p>
      <w:pPr>
        <w:pStyle w:val="Heading2"/>
      </w:pPr>
      <w:bookmarkStart w:id="3264" w:name="_Toc2366"/>
      <w:r>
        <w:t>جزائري ، محمّد بن احمد</w:t>
      </w:r>
      <w:bookmarkEnd w:id="3264"/>
    </w:p>
    <w:p>
      <w:pPr>
        <w:pStyle w:val="BookText"/>
      </w:pPr>
      <w:r>
        <w:rPr>
          <w:rFonts w:ascii="Amiri" w:hAnsi="Amiri" w:eastAsia="Amiri" w:cs="Amiri"/>
          <w:lang w:bidi="ar-SA"/>
          <w:color w:val="111111"/>
          <w:sz w:val="28"/>
          <w:szCs w:val="28"/>
          <w:rtl/>
        </w:rPr>
        <w:t xml:space="preserve">شرح تبصرة المبتدئين، ج9، ص303</w:t>
      </w:r>
    </w:p>
    <w:p>
      <w:pPr>
        <w:pStyle w:val="BookText"/>
      </w:pPr>
      <w:r>
        <w:rPr>
          <w:rFonts w:ascii="Amiri" w:hAnsi="Amiri" w:eastAsia="Amiri" w:cs="Amiri"/>
          <w:lang w:bidi="ar-SA"/>
          <w:color w:val="111111"/>
          <w:sz w:val="28"/>
          <w:szCs w:val="28"/>
          <w:rtl/>
        </w:rPr>
        <w:t xml:space="preserve">جزائري، محمّد بن حرث- منصوري ،</w:t>
      </w:r>
    </w:p>
    <w:p>
      <w:pPr>
        <w:pStyle w:val="BookText"/>
      </w:pPr>
      <w:r>
        <w:rPr>
          <w:rFonts w:ascii="IRNazanin" w:hAnsi="IRNazanin" w:eastAsia="IRNazanin" w:cs="IRNazanin"/>
          <w:lang w:bidi="fa-IR"/>
          <w:color w:val="111111"/>
          <w:sz w:val="28"/>
          <w:szCs w:val="28"/>
          <w:rtl/>
        </w:rPr>
        <w:t xml:space="preserve">محمد بن حارث</w:t>
      </w:r>
    </w:p>
    <w:p>
      <w:pPr>
        <w:pStyle w:val="Heading2"/>
      </w:pPr>
      <w:bookmarkStart w:id="3265" w:name="_Toc2367"/>
      <w:r>
        <w:t>جزائري ، محمّد بن علي قرن 11 ه-</w:t>
      </w:r>
      <w:bookmarkEnd w:id="3265"/>
    </w:p>
    <w:p>
      <w:pPr>
        <w:pStyle w:val="BookText"/>
      </w:pPr>
      <w:r>
        <w:rPr>
          <w:rFonts w:ascii="Amiri" w:hAnsi="Amiri" w:eastAsia="Amiri" w:cs="Amiri"/>
          <w:lang w:bidi="ar-SA"/>
          <w:color w:val="111111"/>
          <w:sz w:val="28"/>
          <w:szCs w:val="28"/>
          <w:rtl/>
        </w:rPr>
        <w:t xml:space="preserve">جوامع الكلام في دعائم الاسلام، ج ،</w:t>
      </w:r>
    </w:p>
    <w:p>
      <w:pPr>
        <w:pStyle w:val="BookText"/>
      </w:pPr>
      <w:r>
        <w:rPr>
          <w:rFonts w:ascii="IRNazanin" w:hAnsi="IRNazanin" w:eastAsia="IRNazanin" w:cs="IRNazanin"/>
          <w:lang w:bidi="fa-IR"/>
          <w:color w:val="111111"/>
          <w:sz w:val="28"/>
          <w:szCs w:val="28"/>
          <w:rtl/>
        </w:rPr>
        <w:t xml:space="preserve">ص 0531</w:t>
      </w:r>
    </w:p>
    <w:p>
      <w:pPr>
        <w:pStyle w:val="Heading2"/>
      </w:pPr>
      <w:bookmarkStart w:id="3266" w:name="_Toc2368"/>
      <w:r>
        <w:t>جزائري، محمّد بن نصار قرن 11 ه-</w:t>
      </w:r>
      <w:bookmarkEnd w:id="3266"/>
    </w:p>
    <w:p>
      <w:pPr>
        <w:pStyle w:val="BookText"/>
      </w:pPr>
      <w:r>
        <w:rPr>
          <w:rFonts w:ascii="Amiri" w:hAnsi="Amiri" w:eastAsia="Amiri" w:cs="Amiri"/>
          <w:lang w:bidi="ar-SA"/>
          <w:color w:val="111111"/>
          <w:sz w:val="28"/>
          <w:szCs w:val="28"/>
          <w:rtl/>
        </w:rPr>
        <w:t xml:space="preserve">1 .حاشية الألفية، ج 5، ص 669.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الفصول المهمة في اثبات الائمة</w:t>
      </w:r>
    </w:p>
    <w:p>
      <w:pPr>
        <w:pStyle w:val="BookText"/>
      </w:pPr>
      <w:r>
        <w:rPr>
          <w:rFonts w:ascii="IRNazanin" w:hAnsi="IRNazanin" w:eastAsia="IRNazanin" w:cs="IRNazanin"/>
          <w:lang w:bidi="fa-IR"/>
          <w:color w:val="111111"/>
          <w:sz w:val="28"/>
          <w:szCs w:val="28"/>
          <w:rtl/>
        </w:rPr>
        <w:t xml:space="preserve">ج 11، ص 865.</w:t>
      </w:r>
    </w:p>
    <w:p>
      <w:pPr>
        <w:pStyle w:val="Heading2"/>
      </w:pPr>
      <w:bookmarkStart w:id="3267" w:name="_Toc2369"/>
      <w:r>
        <w:t>جزائري، محمّد جواد بن علي، 1298 -</w:t>
      </w:r>
      <w:bookmarkEnd w:id="3267"/>
    </w:p>
    <w:p>
      <w:pPr>
        <w:pStyle w:val="BookText"/>
      </w:pPr>
      <w:r>
        <w:rPr>
          <w:rFonts w:ascii="IRNazanin" w:hAnsi="IRNazanin" w:eastAsia="IRNazanin" w:cs="IRNazanin"/>
          <w:lang w:bidi="fa-IR"/>
          <w:color w:val="111111"/>
          <w:sz w:val="28"/>
          <w:szCs w:val="28"/>
          <w:rtl/>
        </w:rPr>
        <w:t xml:space="preserve">1378 ه-</w:t>
      </w:r>
    </w:p>
    <w:p>
      <w:pPr>
        <w:pStyle w:val="BookText"/>
      </w:pPr>
      <w:r>
        <w:rPr>
          <w:rFonts w:ascii="Amiri" w:hAnsi="Amiri" w:eastAsia="Amiri" w:cs="Amiri"/>
          <w:lang w:bidi="ar-SA"/>
          <w:color w:val="111111"/>
          <w:sz w:val="28"/>
          <w:szCs w:val="28"/>
          <w:rtl/>
        </w:rPr>
        <w:t xml:space="preserve">1 .حل الطلاسم بين مشكك و عالم</w:t>
      </w:r>
    </w:p>
    <w:p>
      <w:pPr>
        <w:pStyle w:val="BookText"/>
      </w:pPr>
      <w:r>
        <w:rPr>
          <w:rFonts w:ascii="IRNazanin" w:hAnsi="IRNazanin" w:eastAsia="IRNazanin" w:cs="IRNazanin"/>
          <w:lang w:bidi="fa-IR"/>
          <w:color w:val="111111"/>
          <w:sz w:val="28"/>
          <w:szCs w:val="28"/>
          <w:rtl/>
        </w:rPr>
        <w:t xml:space="preserve">ج 6 ، ص 783.</w:t>
      </w:r>
    </w:p>
    <w:p>
      <w:pPr>
        <w:pStyle w:val="BookText"/>
      </w:pPr>
      <w:r>
        <w:rPr>
          <w:rFonts w:ascii="IRNazanin" w:hAnsi="IRNazanin" w:eastAsia="IRNazanin" w:cs="IRNazanin"/>
          <w:lang w:bidi="fa-IR"/>
          <w:color w:val="111111"/>
          <w:sz w:val="28"/>
          <w:szCs w:val="28"/>
          <w:rtl/>
        </w:rPr>
        <w:t xml:space="preserve">2.فلسفه الامام الصادق(ع)،ج12،ص 128.</w:t>
      </w:r>
    </w:p>
    <w:p>
      <w:pPr>
        <w:pStyle w:val="BookText"/>
      </w:pPr>
      <w:r>
        <w:rPr>
          <w:rFonts w:ascii="Amiri" w:hAnsi="Amiri" w:eastAsia="Amiri" w:cs="Amiri"/>
          <w:lang w:bidi="ar-SA"/>
          <w:color w:val="111111"/>
          <w:sz w:val="28"/>
          <w:szCs w:val="28"/>
          <w:rtl/>
        </w:rPr>
        <w:t xml:space="preserve">جزائري ، محمّد صادق بن محمّد- اسدي</w:t>
      </w:r>
    </w:p>
    <w:p>
      <w:pPr>
        <w:pStyle w:val="BookText"/>
      </w:pPr>
      <w:r>
        <w:rPr>
          <w:rFonts w:ascii="Amiri" w:hAnsi="Amiri" w:eastAsia="Amiri" w:cs="Amiri"/>
          <w:lang w:bidi="ar-SA"/>
          <w:color w:val="111111"/>
          <w:sz w:val="28"/>
          <w:szCs w:val="28"/>
          <w:rtl/>
        </w:rPr>
        <w:t xml:space="preserve">جزائري، موسى بن عزيز الله- موسوي</w:t>
      </w:r>
    </w:p>
    <w:p>
      <w:pPr>
        <w:pStyle w:val="BookText"/>
      </w:pPr>
      <w:r>
        <w:rPr>
          <w:rFonts w:ascii="Amiri" w:hAnsi="Amiri" w:eastAsia="Amiri" w:cs="Amiri"/>
          <w:lang w:bidi="ar-SA"/>
          <w:color w:val="111111"/>
          <w:sz w:val="28"/>
          <w:szCs w:val="28"/>
          <w:rtl/>
        </w:rPr>
        <w:t xml:space="preserve">جزائري، موسى بن عزيز الله</w:t>
      </w:r>
    </w:p>
    <w:p>
      <w:pPr>
        <w:pStyle w:val="BookText"/>
      </w:pPr>
      <w:r>
        <w:rPr>
          <w:rFonts w:ascii="Amiri" w:hAnsi="Amiri" w:eastAsia="Amiri" w:cs="Amiri"/>
          <w:lang w:bidi="ar-SA"/>
          <w:color w:val="111111"/>
          <w:sz w:val="28"/>
          <w:szCs w:val="28"/>
          <w:rtl/>
        </w:rPr>
        <w:t xml:space="preserve">جزائري، نجم الدين بن محمّد -حسيني</w:t>
      </w:r>
    </w:p>
    <w:p>
      <w:pPr>
        <w:pStyle w:val="BookText"/>
      </w:pPr>
      <w:r>
        <w:rPr>
          <w:rFonts w:ascii="Amiri" w:hAnsi="Amiri" w:eastAsia="Amiri" w:cs="Amiri"/>
          <w:lang w:bidi="ar-SA"/>
          <w:color w:val="111111"/>
          <w:sz w:val="28"/>
          <w:szCs w:val="28"/>
          <w:rtl/>
        </w:rPr>
        <w:t xml:space="preserve">جزائري، نجم الدين بن محمّد</w:t>
      </w:r>
    </w:p>
    <w:p>
      <w:pPr>
        <w:pStyle w:val="Heading2"/>
      </w:pPr>
      <w:bookmarkStart w:id="3268" w:name="_Toc2370"/>
      <w:r>
        <w:t>جزائري ، نعمة الله بن نورالدين</w:t>
      </w:r>
      <w:bookmarkEnd w:id="3268"/>
    </w:p>
    <w:p>
      <w:pPr>
        <w:pStyle w:val="BookText"/>
      </w:pPr>
      <w:r>
        <w:rPr>
          <w:rFonts w:ascii="Amiri" w:hAnsi="Amiri" w:eastAsia="Amiri" w:cs="Amiri"/>
          <w:lang w:bidi="ar-SA"/>
          <w:color w:val="111111"/>
          <w:sz w:val="28"/>
          <w:szCs w:val="28"/>
          <w:rtl/>
        </w:rPr>
        <w:t xml:space="preserve">زيج محمّد شاهي، ج8، ص 658.</w:t>
      </w:r>
    </w:p>
    <w:p>
      <w:pPr>
        <w:pStyle w:val="Heading2"/>
      </w:pPr>
      <w:bookmarkStart w:id="3269" w:name="_Toc2371"/>
      <w:r>
        <w:t>جزائري، نورالدین محمّد بن نعمة الله</w:t>
      </w:r>
      <w:bookmarkEnd w:id="3269"/>
    </w:p>
    <w:p>
      <w:pPr>
        <w:pStyle w:val="BookText"/>
      </w:pPr>
      <w:r>
        <w:rPr>
          <w:rFonts w:ascii="IRNazanin" w:hAnsi="IRNazanin" w:eastAsia="IRNazanin" w:cs="IRNazanin"/>
          <w:lang w:bidi="fa-IR"/>
          <w:color w:val="111111"/>
          <w:sz w:val="28"/>
          <w:szCs w:val="28"/>
          <w:rtl/>
        </w:rPr>
        <w:t xml:space="preserve">1088 - 1158 ه-</w:t>
      </w:r>
    </w:p>
    <w:p>
      <w:pPr>
        <w:pStyle w:val="BookText"/>
      </w:pPr>
      <w:r>
        <w:rPr>
          <w:rFonts w:ascii="Amiri" w:hAnsi="Amiri" w:eastAsia="Amiri" w:cs="Amiri"/>
          <w:lang w:bidi="ar-SA"/>
          <w:color w:val="111111"/>
          <w:sz w:val="28"/>
          <w:szCs w:val="28"/>
          <w:rtl/>
        </w:rPr>
        <w:t xml:space="preserve">1.إجازة للسيّد نصر الله الحائري، ج1،</w:t>
      </w:r>
    </w:p>
    <w:p>
      <w:pPr>
        <w:pStyle w:val="BookText"/>
      </w:pPr>
      <w:r>
        <w:rPr>
          <w:rFonts w:ascii="IRNazanin" w:hAnsi="IRNazanin" w:eastAsia="IRNazanin" w:cs="IRNazanin"/>
          <w:lang w:bidi="fa-IR"/>
          <w:color w:val="111111"/>
          <w:sz w:val="28"/>
          <w:szCs w:val="28"/>
          <w:rtl/>
        </w:rPr>
        <w:t xml:space="preserve">ص 259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اخلاق سلطاني، ج 1، ص 578.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فروق اللغات في التمييز بين مفاد</w:t>
      </w:r>
    </w:p>
    <w:p>
      <w:pPr>
        <w:pStyle w:val="BookText"/>
      </w:pPr>
      <w:r>
        <w:rPr>
          <w:rFonts w:ascii="Amiri" w:hAnsi="Amiri" w:eastAsia="Amiri" w:cs="Amiri"/>
          <w:lang w:bidi="ar-SA"/>
          <w:color w:val="111111"/>
          <w:sz w:val="28"/>
          <w:szCs w:val="28"/>
          <w:rtl/>
        </w:rPr>
        <w:t xml:space="preserve">الكلمات، ج 11، ص 817</w:t>
      </w:r>
    </w:p>
    <w:p>
      <w:pPr>
        <w:pStyle w:val="Heading2"/>
      </w:pPr>
      <w:bookmarkStart w:id="3270" w:name="_Toc2372"/>
      <w:r>
        <w:t>جزائري، هارون بن خمیس قرن 11 ه-</w:t>
      </w:r>
      <w:bookmarkEnd w:id="3270"/>
    </w:p>
    <w:p>
      <w:pPr>
        <w:pStyle w:val="BookText"/>
      </w:pPr>
      <w:r>
        <w:rPr>
          <w:rFonts w:ascii="Amiri" w:hAnsi="Amiri" w:eastAsia="Amiri" w:cs="Amiri"/>
          <w:lang w:bidi="ar-SA"/>
          <w:color w:val="111111"/>
          <w:sz w:val="28"/>
          <w:szCs w:val="28"/>
          <w:rtl/>
        </w:rPr>
        <w:t xml:space="preserve">مسالك الرشاد في شرح الارشاد، ج 14 ،</w:t>
      </w:r>
    </w:p>
    <w:p>
      <w:pPr>
        <w:pStyle w:val="BookText"/>
      </w:pPr>
      <w:r>
        <w:rPr>
          <w:rFonts w:ascii="IRNazanin" w:hAnsi="IRNazanin" w:eastAsia="IRNazanin" w:cs="IRNazanin"/>
          <w:lang w:bidi="fa-IR"/>
          <w:color w:val="111111"/>
          <w:sz w:val="28"/>
          <w:szCs w:val="28"/>
          <w:rtl/>
        </w:rPr>
        <w:t xml:space="preserve">ص 532.</w:t>
      </w:r>
    </w:p>
    <w:p>
      <w:pPr>
        <w:pStyle w:val="BookText"/>
      </w:pPr>
      <w:r>
        <w:rPr>
          <w:rFonts w:ascii="Amiri" w:hAnsi="Amiri" w:eastAsia="Amiri" w:cs="Amiri"/>
          <w:lang w:bidi="ar-SA"/>
          <w:color w:val="111111"/>
          <w:sz w:val="28"/>
          <w:szCs w:val="28"/>
          <w:rtl/>
        </w:rPr>
        <w:t xml:space="preserve">جزار ، احمد بن ابراهيم -ابن جزار ،</w:t>
      </w:r>
    </w:p>
    <w:p>
      <w:pPr>
        <w:pStyle w:val="BookText"/>
      </w:pPr>
      <w:r>
        <w:rPr>
          <w:rFonts w:ascii="Amiri" w:hAnsi="Amiri" w:eastAsia="Amiri" w:cs="Amiri"/>
          <w:lang w:bidi="ar-SA"/>
          <w:color w:val="111111"/>
          <w:sz w:val="28"/>
          <w:szCs w:val="28"/>
          <w:rtl/>
        </w:rPr>
        <w:t xml:space="preserve">احمد بن ابراهيم</w:t>
      </w:r>
    </w:p>
    <w:p>
      <w:pPr>
        <w:pStyle w:val="Heading2"/>
      </w:pPr>
      <w:bookmarkStart w:id="3271" w:name="_Toc2373"/>
      <w:r>
        <w:t>جزار ، يحيى بن عبد العظيم - 679 ه-</w:t>
      </w:r>
      <w:bookmarkEnd w:id="3271"/>
    </w:p>
    <w:p>
      <w:pPr>
        <w:pStyle w:val="BookText"/>
      </w:pPr>
      <w:r>
        <w:rPr>
          <w:rFonts w:ascii="IRNazanin" w:hAnsi="IRNazanin" w:eastAsia="IRNazanin" w:cs="IRNazanin"/>
          <w:lang w:bidi="fa-IR"/>
          <w:color w:val="111111"/>
          <w:sz w:val="28"/>
          <w:szCs w:val="28"/>
          <w:rtl/>
        </w:rPr>
        <w:t xml:space="preserve">دیوان جزار (منتخب)، ج 7، ص 609.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5" w:name="pg7742_70038"/>
    <w:bookmarkEnd w:id="325"/>
    <w:p>
      <w:pPr>
        <w:pStyle w:val="Heading2"/>
      </w:pPr>
      <w:bookmarkStart w:id="3272" w:name="_Toc2374"/>
      <w:r>
        <w:t>جزايري ، احمد بن عبدالله - 899 ه-</w:t>
      </w:r>
      <w:bookmarkEnd w:id="3272"/>
    </w:p>
    <w:p>
      <w:pPr>
        <w:pStyle w:val="BookText"/>
      </w:pPr>
      <w:r>
        <w:rPr>
          <w:rFonts w:ascii="Amiri" w:hAnsi="Amiri" w:eastAsia="Amiri" w:cs="Amiri"/>
          <w:lang w:bidi="ar-SA"/>
          <w:color w:val="111111"/>
          <w:sz w:val="28"/>
          <w:szCs w:val="28"/>
          <w:rtl/>
        </w:rPr>
        <w:t xml:space="preserve">1 .الجزائرية اللامية في علم التوحيد و</w:t>
      </w:r>
    </w:p>
    <w:p>
      <w:pPr>
        <w:pStyle w:val="BookText"/>
      </w:pPr>
      <w:r>
        <w:rPr>
          <w:rFonts w:ascii="Amiri" w:hAnsi="Amiri" w:eastAsia="Amiri" w:cs="Amiri"/>
          <w:lang w:bidi="ar-SA"/>
          <w:color w:val="111111"/>
          <w:sz w:val="28"/>
          <w:szCs w:val="28"/>
          <w:rtl/>
        </w:rPr>
        <w:t xml:space="preserve">علم الكلام، ج5، ص 379.</w:t>
      </w:r>
    </w:p>
    <w:p>
      <w:pPr>
        <w:pStyle w:val="BookText"/>
      </w:pPr>
      <w:r>
        <w:rPr>
          <w:rFonts w:ascii="Amiri" w:hAnsi="Amiri" w:eastAsia="Amiri" w:cs="Amiri"/>
          <w:lang w:bidi="ar-SA"/>
          <w:color w:val="111111"/>
          <w:sz w:val="28"/>
          <w:szCs w:val="28"/>
          <w:rtl/>
        </w:rPr>
        <w:t xml:space="preserve">2 .العقائد (منظومة في)، ج11،</w:t>
      </w:r>
    </w:p>
    <w:p>
      <w:pPr>
        <w:pStyle w:val="BookText"/>
      </w:pPr>
      <w:r>
        <w:rPr>
          <w:rFonts w:ascii="IRNazanin" w:hAnsi="IRNazanin" w:eastAsia="IRNazanin" w:cs="IRNazanin"/>
          <w:lang w:bidi="fa-IR"/>
          <w:color w:val="111111"/>
          <w:sz w:val="28"/>
          <w:szCs w:val="28"/>
          <w:rtl/>
        </w:rPr>
        <w:t xml:space="preserve">ص 132.</w:t>
      </w:r>
    </w:p>
    <w:p>
      <w:pPr>
        <w:pStyle w:val="Heading2"/>
      </w:pPr>
      <w:bookmarkStart w:id="3273" w:name="_Toc2375"/>
      <w:r>
        <w:t>جزايري شيرازي ، محمّد مؤمن بن محمّد</w:t>
      </w:r>
      <w:bookmarkEnd w:id="3273"/>
    </w:p>
    <w:p>
      <w:pPr>
        <w:pStyle w:val="BookText"/>
      </w:pPr>
      <w:r>
        <w:rPr>
          <w:rFonts w:ascii="IRNazanin" w:hAnsi="IRNazanin" w:eastAsia="IRNazanin" w:cs="IRNazanin"/>
          <w:lang w:bidi="fa-IR"/>
          <w:color w:val="111111"/>
          <w:sz w:val="28"/>
          <w:szCs w:val="28"/>
          <w:rtl/>
        </w:rPr>
        <w:t xml:space="preserve">قاسم، 1074 ق12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تحفة الاحباء، ج 3، ص 780.</w:t>
      </w:r>
    </w:p>
    <w:p>
      <w:pPr>
        <w:pStyle w:val="BookText"/>
      </w:pPr>
      <w:r>
        <w:rPr>
          <w:rFonts w:ascii="Amiri" w:hAnsi="Amiri" w:eastAsia="Amiri" w:cs="Amiri"/>
          <w:lang w:bidi="ar-SA"/>
          <w:color w:val="111111"/>
          <w:sz w:val="28"/>
          <w:szCs w:val="28"/>
          <w:rtl/>
        </w:rPr>
        <w:t xml:space="preserve">2 .طيف الخيال في مناظرة العلم و المال = سفينة العلم، ج 10، ص 879.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لطائف الظرائف و طرائف المعارف</w:t>
      </w:r>
    </w:p>
    <w:p>
      <w:pPr>
        <w:pStyle w:val="BookText"/>
      </w:pPr>
      <w:r>
        <w:rPr>
          <w:rFonts w:ascii="IRNazanin" w:hAnsi="IRNazanin" w:eastAsia="IRNazanin" w:cs="IRNazanin"/>
          <w:lang w:bidi="fa-IR"/>
          <w:color w:val="111111"/>
          <w:sz w:val="28"/>
          <w:szCs w:val="28"/>
          <w:rtl/>
        </w:rPr>
        <w:t xml:space="preserve">ج 13، ص 579.</w:t>
      </w:r>
    </w:p>
    <w:p>
      <w:pPr>
        <w:pStyle w:val="BookText"/>
      </w:pPr>
      <w:r>
        <w:rPr>
          <w:rFonts w:ascii="Amiri" w:hAnsi="Amiri" w:eastAsia="Amiri" w:cs="Amiri"/>
          <w:lang w:bidi="ar-SA"/>
          <w:color w:val="111111"/>
          <w:sz w:val="28"/>
          <w:szCs w:val="28"/>
          <w:rtl/>
        </w:rPr>
        <w:t xml:space="preserve">4 .محاسن الأخبار و مجالس الأخيار</w:t>
      </w:r>
    </w:p>
    <w:p>
      <w:pPr>
        <w:pStyle w:val="BookText"/>
      </w:pPr>
      <w:r>
        <w:rPr>
          <w:rFonts w:ascii="IRNazanin" w:hAnsi="IRNazanin" w:eastAsia="IRNazanin" w:cs="IRNazanin"/>
          <w:lang w:bidi="fa-IR"/>
          <w:color w:val="111111"/>
          <w:sz w:val="28"/>
          <w:szCs w:val="28"/>
          <w:rtl/>
        </w:rPr>
        <w:t xml:space="preserve">ج 14، ص 92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مشرق السعدين، ج 14، ص 626 .</w:t>
      </w:r>
    </w:p>
    <w:p>
      <w:pPr>
        <w:pStyle w:val="BookText"/>
      </w:pPr>
      <w:r>
        <w:rPr>
          <w:rFonts w:ascii="Amiri" w:hAnsi="Amiri" w:eastAsia="Amiri" w:cs="Amiri"/>
          <w:lang w:bidi="ar-SA"/>
          <w:color w:val="111111"/>
          <w:sz w:val="28"/>
          <w:szCs w:val="28"/>
          <w:rtl/>
        </w:rPr>
        <w:t xml:space="preserve">6 .منية اللبيب = مناظرة المنجم و</w:t>
      </w:r>
    </w:p>
    <w:p>
      <w:pPr>
        <w:pStyle w:val="BookText"/>
      </w:pPr>
      <w:r>
        <w:rPr>
          <w:rFonts w:ascii="Amiri" w:hAnsi="Amiri" w:eastAsia="Amiri" w:cs="Amiri"/>
          <w:lang w:bidi="ar-SA"/>
          <w:color w:val="111111"/>
          <w:sz w:val="28"/>
          <w:szCs w:val="28"/>
          <w:rtl/>
        </w:rPr>
        <w:t xml:space="preserve">الطبيب، ج 15، ص 823.</w:t>
      </w:r>
    </w:p>
    <w:p>
      <w:pPr>
        <w:pStyle w:val="BookText"/>
      </w:pPr>
      <w:r>
        <w:rPr>
          <w:rFonts w:ascii="Amiri" w:hAnsi="Amiri" w:eastAsia="Amiri" w:cs="Amiri"/>
          <w:lang w:bidi="ar-SA"/>
          <w:color w:val="111111"/>
          <w:sz w:val="28"/>
          <w:szCs w:val="28"/>
          <w:rtl/>
        </w:rPr>
        <w:t xml:space="preserve">جزايري ، عباس بن علي اكبر -موسوي</w:t>
      </w:r>
    </w:p>
    <w:p>
      <w:pPr>
        <w:pStyle w:val="BookText"/>
      </w:pPr>
      <w:r>
        <w:rPr>
          <w:rFonts w:ascii="Amiri" w:hAnsi="Amiri" w:eastAsia="Amiri" w:cs="Amiri"/>
          <w:lang w:bidi="ar-SA"/>
          <w:color w:val="111111"/>
          <w:sz w:val="28"/>
          <w:szCs w:val="28"/>
          <w:rtl/>
        </w:rPr>
        <w:t xml:space="preserve">شوشتري ، محمد عباس بن علي اكبر</w:t>
      </w:r>
    </w:p>
    <w:p>
      <w:pPr>
        <w:pStyle w:val="Heading2"/>
      </w:pPr>
      <w:bookmarkStart w:id="3274" w:name="_Toc2376"/>
      <w:r>
        <w:t>جزايري ، عبدالله بن نورالدین 1112 -</w:t>
      </w:r>
      <w:bookmarkEnd w:id="3274"/>
    </w:p>
    <w:p>
      <w:pPr>
        <w:pStyle w:val="BookText"/>
      </w:pPr>
      <w:r>
        <w:rPr>
          <w:rFonts w:ascii="IRNazanin" w:hAnsi="IRNazanin" w:eastAsia="IRNazanin" w:cs="IRNazanin"/>
          <w:lang w:bidi="fa-IR"/>
          <w:color w:val="111111"/>
          <w:sz w:val="28"/>
          <w:szCs w:val="28"/>
          <w:rtl/>
        </w:rPr>
        <w:t xml:space="preserve">1173 ه-</w:t>
      </w:r>
    </w:p>
    <w:p>
      <w:pPr>
        <w:pStyle w:val="BookText"/>
      </w:pPr>
      <w:r>
        <w:rPr>
          <w:rFonts w:ascii="Amiri" w:hAnsi="Amiri" w:eastAsia="Amiri" w:cs="Amiri"/>
          <w:lang w:bidi="ar-SA"/>
          <w:color w:val="111111"/>
          <w:sz w:val="28"/>
          <w:szCs w:val="28"/>
          <w:rtl/>
        </w:rPr>
        <w:t xml:space="preserve">1 .اجازة الحديث، ج 1، ص218</w:t>
      </w:r>
    </w:p>
    <w:p>
      <w:pPr>
        <w:pStyle w:val="BookText"/>
      </w:pPr>
      <w:r>
        <w:rPr>
          <w:rFonts w:ascii="Amiri" w:hAnsi="Amiri" w:eastAsia="Amiri" w:cs="Amiri"/>
          <w:lang w:bidi="ar-SA"/>
          <w:color w:val="111111"/>
          <w:sz w:val="28"/>
          <w:szCs w:val="28"/>
          <w:rtl/>
        </w:rPr>
        <w:t xml:space="preserve">2 .اجوبة مسائل السيّد عبدالله، ج1،</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Amiri" w:hAnsi="Amiri" w:eastAsia="Amiri" w:cs="Amiri"/>
          <w:lang w:bidi="ar-SA"/>
          <w:color w:val="111111"/>
          <w:sz w:val="28"/>
          <w:szCs w:val="28"/>
          <w:rtl/>
        </w:rPr>
        <w:t xml:space="preserve">3 .الانوار الجلية في اجوبة المسائل</w:t>
      </w:r>
    </w:p>
    <w:p>
      <w:pPr>
        <w:pStyle w:val="BookText"/>
      </w:pPr>
      <w:r>
        <w:rPr>
          <w:rFonts w:ascii="Amiri" w:hAnsi="Amiri" w:eastAsia="Amiri" w:cs="Amiri"/>
          <w:lang w:bidi="ar-SA"/>
          <w:color w:val="111111"/>
          <w:sz w:val="28"/>
          <w:szCs w:val="28"/>
          <w:rtl/>
        </w:rPr>
        <w:t xml:space="preserve">الجبلية، ج 2، ص 880.</w:t>
      </w:r>
    </w:p>
    <w:p>
      <w:pPr>
        <w:pStyle w:val="BookText"/>
      </w:pPr>
      <w:r>
        <w:rPr>
          <w:rFonts w:ascii="Amiri" w:hAnsi="Amiri" w:eastAsia="Amiri" w:cs="Amiri"/>
          <w:lang w:bidi="ar-SA"/>
          <w:color w:val="111111"/>
          <w:sz w:val="28"/>
          <w:szCs w:val="28"/>
          <w:rtl/>
        </w:rPr>
        <w:t xml:space="preserve">4 .التحفة السنية في شرح النخبة المحسنية = شرح نخبه فيض</w:t>
      </w:r>
    </w:p>
    <w:p>
      <w:pPr>
        <w:pStyle w:val="BookText"/>
      </w:pPr>
      <w:r>
        <w:rPr>
          <w:rFonts w:ascii="Amiri" w:hAnsi="Amiri" w:eastAsia="Amiri" w:cs="Amiri"/>
          <w:lang w:bidi="ar-SA"/>
          <w:color w:val="111111"/>
          <w:sz w:val="28"/>
          <w:szCs w:val="28"/>
          <w:rtl/>
        </w:rPr>
        <w:t xml:space="preserve">كاشاني، ج 3، ص 851.</w:t>
      </w:r>
    </w:p>
    <w:p>
      <w:pPr>
        <w:pStyle w:val="BookText"/>
      </w:pPr>
      <w:r>
        <w:rPr>
          <w:rFonts w:ascii="Amiri" w:hAnsi="Amiri" w:eastAsia="Amiri" w:cs="Amiri"/>
          <w:lang w:bidi="ar-SA"/>
          <w:color w:val="111111"/>
          <w:sz w:val="28"/>
          <w:szCs w:val="28"/>
          <w:rtl/>
        </w:rPr>
        <w:t xml:space="preserve">5 .التحفة النورية، ج 4، ص 37.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حاشية الاربعين حديثاً، ج5، ص657.</w:t>
      </w:r>
    </w:p>
    <w:p>
      <w:pPr>
        <w:pStyle w:val="BookText"/>
      </w:pPr>
      <w:r>
        <w:rPr>
          <w:rFonts w:ascii="Amiri" w:hAnsi="Amiri" w:eastAsia="Amiri" w:cs="Amiri"/>
          <w:lang w:bidi="ar-SA"/>
          <w:color w:val="111111"/>
          <w:sz w:val="28"/>
          <w:szCs w:val="28"/>
          <w:rtl/>
        </w:rPr>
        <w:t xml:space="preserve">7 .الذخيرة الابدية في جوابات المسائل</w:t>
      </w:r>
    </w:p>
    <w:p>
      <w:pPr>
        <w:pStyle w:val="BookText"/>
      </w:pPr>
      <w:r>
        <w:rPr>
          <w:rFonts w:ascii="Amiri" w:hAnsi="Amiri" w:eastAsia="Amiri" w:cs="Amiri"/>
          <w:lang w:bidi="ar-SA"/>
          <w:color w:val="111111"/>
          <w:sz w:val="28"/>
          <w:szCs w:val="28"/>
          <w:rtl/>
        </w:rPr>
        <w:t xml:space="preserve">الاحمدية، ج 7، ص 819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الذخيرة الباقية في اجوبة المسائل</w:t>
      </w:r>
    </w:p>
    <w:p>
      <w:pPr>
        <w:pStyle w:val="BookText"/>
      </w:pPr>
      <w:r>
        <w:rPr>
          <w:rFonts w:ascii="Amiri" w:hAnsi="Amiri" w:eastAsia="Amiri" w:cs="Amiri"/>
          <w:lang w:bidi="ar-SA"/>
          <w:color w:val="111111"/>
          <w:sz w:val="28"/>
          <w:szCs w:val="28"/>
          <w:rtl/>
        </w:rPr>
        <w:t xml:space="preserve">الجيلية الثانية، ج7، ص821.</w:t>
      </w:r>
    </w:p>
    <w:p>
      <w:pPr>
        <w:pStyle w:val="BookText"/>
      </w:pPr>
      <w:r>
        <w:rPr>
          <w:rFonts w:ascii="Amiri" w:hAnsi="Amiri" w:eastAsia="Amiri" w:cs="Amiri"/>
          <w:lang w:bidi="ar-SA"/>
          <w:color w:val="111111"/>
          <w:sz w:val="28"/>
          <w:szCs w:val="28"/>
          <w:rtl/>
        </w:rPr>
        <w:t xml:space="preserve">9 .الرسالة، ج 8، ص 156.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الرمحية (الرسالة)، ج 8، ص 355.</w:t>
      </w:r>
    </w:p>
    <w:p>
      <w:pPr>
        <w:pStyle w:val="BookText"/>
      </w:pPr>
      <w:r>
        <w:rPr>
          <w:rFonts w:ascii="Amiri" w:hAnsi="Amiri" w:eastAsia="Amiri" w:cs="Amiri"/>
          <w:lang w:bidi="ar-SA"/>
          <w:color w:val="111111"/>
          <w:sz w:val="28"/>
          <w:szCs w:val="28"/>
          <w:rtl/>
        </w:rPr>
        <w:t xml:space="preserve">11 .طلسم سلطاني، ج 10، ص 851.</w:t>
      </w:r>
    </w:p>
    <w:p>
      <w:pPr>
        <w:pStyle w:val="BookText"/>
      </w:pPr>
      <w:r>
        <w:rPr>
          <w:rFonts w:ascii="Amiri" w:hAnsi="Amiri" w:eastAsia="Amiri" w:cs="Amiri"/>
          <w:lang w:bidi="ar-SA"/>
          <w:color w:val="111111"/>
          <w:sz w:val="28"/>
          <w:szCs w:val="28"/>
          <w:rtl/>
        </w:rPr>
        <w:t xml:space="preserve">12 .القبلة (رسالة في)، ج 12، ص 376.</w:t>
      </w:r>
    </w:p>
    <w:p>
      <w:pPr>
        <w:pStyle w:val="BookText"/>
      </w:pPr>
      <w:r>
        <w:rPr>
          <w:rFonts w:ascii="IRNazanin" w:hAnsi="IRNazanin" w:eastAsia="IRNazanin" w:cs="IRNazanin"/>
          <w:lang w:bidi="fa-IR"/>
          <w:color w:val="111111"/>
          <w:sz w:val="28"/>
          <w:szCs w:val="28"/>
          <w:rtl/>
        </w:rPr>
        <w:t xml:space="preserve">13 .قبله شوشتر، ج12، ص379.</w:t>
      </w:r>
    </w:p>
    <w:p>
      <w:pPr>
        <w:pStyle w:val="BookText"/>
      </w:pPr>
      <w:r>
        <w:rPr>
          <w:rFonts w:ascii="Amiri" w:hAnsi="Amiri" w:eastAsia="Amiri" w:cs="Amiri"/>
          <w:lang w:bidi="ar-SA"/>
          <w:color w:val="111111"/>
          <w:sz w:val="28"/>
          <w:szCs w:val="28"/>
          <w:rtl/>
        </w:rPr>
        <w:t xml:space="preserve">14 .مسائل تتعلق بالتفسير وغير</w:t>
      </w:r>
    </w:p>
    <w:p>
      <w:pPr>
        <w:pStyle w:val="BookText"/>
      </w:pPr>
      <w:r>
        <w:rPr>
          <w:rFonts w:ascii="Amiri" w:hAnsi="Amiri" w:eastAsia="Amiri" w:cs="Amiri"/>
          <w:lang w:bidi="ar-SA"/>
          <w:color w:val="111111"/>
          <w:sz w:val="28"/>
          <w:szCs w:val="28"/>
          <w:rtl/>
        </w:rPr>
        <w:t xml:space="preserve">ذلك، ج 14، ص 440.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المقاصد العلية في جوابات المسائل</w:t>
      </w:r>
    </w:p>
    <w:p>
      <w:pPr>
        <w:pStyle w:val="BookText"/>
      </w:pPr>
      <w:r>
        <w:rPr>
          <w:rFonts w:ascii="Amiri" w:hAnsi="Amiri" w:eastAsia="Amiri" w:cs="Amiri"/>
          <w:lang w:bidi="ar-SA"/>
          <w:color w:val="111111"/>
          <w:sz w:val="28"/>
          <w:szCs w:val="28"/>
          <w:rtl/>
        </w:rPr>
        <w:t xml:space="preserve">العلوية، ج 15، ص 271.</w:t>
      </w:r>
    </w:p>
    <w:p>
      <w:pPr>
        <w:pStyle w:val="BookText"/>
      </w:pPr>
      <w:r>
        <w:rPr>
          <w:rFonts w:ascii="Amiri" w:hAnsi="Amiri" w:eastAsia="Amiri" w:cs="Amiri"/>
          <w:lang w:bidi="ar-SA"/>
          <w:color w:val="111111"/>
          <w:sz w:val="28"/>
          <w:szCs w:val="28"/>
          <w:rtl/>
        </w:rPr>
        <w:t xml:space="preserve">16 .من كتاب الانوار الجلية في اجوبة</w:t>
      </w:r>
    </w:p>
    <w:p>
      <w:pPr>
        <w:pStyle w:val="BookText"/>
      </w:pPr>
      <w:r>
        <w:rPr>
          <w:rFonts w:ascii="Amiri" w:hAnsi="Amiri" w:eastAsia="Amiri" w:cs="Amiri"/>
          <w:lang w:bidi="ar-SA"/>
          <w:color w:val="111111"/>
          <w:sz w:val="28"/>
          <w:szCs w:val="28"/>
          <w:rtl/>
        </w:rPr>
        <w:t xml:space="preserve">المسائل الجبلية وكتاب الذخيرة الباقية، ج 15، ص 741 .</w:t>
      </w:r>
    </w:p>
    <w:p>
      <w:pPr>
        <w:pStyle w:val="Heading2"/>
      </w:pPr>
      <w:bookmarkStart w:id="3275" w:name="_Toc2377"/>
      <w:r>
        <w:t>جزايري، عبدالنبي بن سعد، - 1021 ه-</w:t>
      </w:r>
      <w:bookmarkEnd w:id="3275"/>
    </w:p>
    <w:p>
      <w:pPr>
        <w:pStyle w:val="BookText"/>
      </w:pPr>
      <w:r>
        <w:rPr>
          <w:rFonts w:ascii="Amiri" w:hAnsi="Amiri" w:eastAsia="Amiri" w:cs="Amiri"/>
          <w:lang w:bidi="ar-SA"/>
          <w:color w:val="111111"/>
          <w:sz w:val="28"/>
          <w:szCs w:val="28"/>
          <w:rtl/>
        </w:rPr>
        <w:t xml:space="preserve">1 .اجوبة المسائل، ج 1، ص 334.</w:t>
      </w:r>
    </w:p>
    <w:p>
      <w:pPr>
        <w:pStyle w:val="BookText"/>
      </w:pPr>
      <w:r>
        <w:rPr>
          <w:rFonts w:ascii="Amiri" w:hAnsi="Amiri" w:eastAsia="Amiri" w:cs="Amiri"/>
          <w:lang w:bidi="ar-SA"/>
          <w:color w:val="111111"/>
          <w:sz w:val="28"/>
          <w:szCs w:val="28"/>
          <w:rtl/>
        </w:rPr>
        <w:t xml:space="preserve">2 .الاقتصاد في شرح الارشاد، ج2،</w:t>
      </w:r>
    </w:p>
    <w:p>
      <w:pPr>
        <w:pStyle w:val="BookText"/>
      </w:pPr>
      <w:r>
        <w:rPr>
          <w:rFonts w:ascii="IRNazanin" w:hAnsi="IRNazanin" w:eastAsia="IRNazanin" w:cs="IRNazanin"/>
          <w:lang w:bidi="fa-IR"/>
          <w:color w:val="111111"/>
          <w:sz w:val="28"/>
          <w:szCs w:val="28"/>
          <w:rtl/>
        </w:rPr>
        <w:t xml:space="preserve">ص 614 .</w:t>
      </w:r>
    </w:p>
    <w:p>
      <w:pPr>
        <w:pStyle w:val="BookText"/>
      </w:pPr>
      <w:r>
        <w:rPr>
          <w:rFonts w:ascii="Amiri" w:hAnsi="Amiri" w:eastAsia="Amiri" w:cs="Amiri"/>
          <w:lang w:bidi="ar-SA"/>
          <w:color w:val="111111"/>
          <w:sz w:val="28"/>
          <w:szCs w:val="28"/>
          <w:rtl/>
        </w:rPr>
        <w:t xml:space="preserve">3 .الامامة = المبسوط في الامامة، ج 2،</w:t>
      </w:r>
    </w:p>
    <w:p>
      <w:pPr>
        <w:pStyle w:val="BookText"/>
      </w:pPr>
      <w:r>
        <w:rPr>
          <w:rFonts w:ascii="IRNazanin" w:hAnsi="IRNazanin" w:eastAsia="IRNazanin" w:cs="IRNazanin"/>
          <w:lang w:bidi="fa-IR"/>
          <w:color w:val="111111"/>
          <w:sz w:val="28"/>
          <w:szCs w:val="28"/>
          <w:rtl/>
        </w:rPr>
        <w:t xml:space="preserve">ص 731.</w:t>
      </w:r>
    </w:p>
    <w:p>
      <w:pPr>
        <w:pStyle w:val="BookText"/>
      </w:pPr>
      <w:r>
        <w:rPr>
          <w:rFonts w:ascii="IRNazanin" w:hAnsi="IRNazanin" w:eastAsia="IRNazanin" w:cs="IRNazanin"/>
          <w:lang w:bidi="fa-IR"/>
          <w:color w:val="111111"/>
          <w:sz w:val="28"/>
          <w:szCs w:val="28"/>
          <w:rtl/>
        </w:rPr>
        <w:t xml:space="preserve">4 .جواب مسائل شیخ محمّد بن جابر</w:t>
      </w:r>
    </w:p>
    <w:p>
      <w:pPr>
        <w:pStyle w:val="BookText"/>
      </w:pPr>
      <w:r>
        <w:rPr>
          <w:rFonts w:ascii="IRNazanin" w:hAnsi="IRNazanin" w:eastAsia="IRNazanin" w:cs="IRNazanin"/>
          <w:lang w:bidi="fa-IR"/>
          <w:color w:val="111111"/>
          <w:sz w:val="28"/>
          <w:szCs w:val="28"/>
          <w:rtl/>
        </w:rPr>
        <w:t xml:space="preserve">ج 5، ص 509.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حاوي الاقوال في معرفة الرجال</w:t>
      </w:r>
    </w:p>
    <w:p>
      <w:pPr>
        <w:pStyle w:val="BookText"/>
      </w:pPr>
      <w:r>
        <w:rPr>
          <w:rFonts w:ascii="IRNazanin" w:hAnsi="IRNazanin" w:eastAsia="IRNazanin" w:cs="IRNazanin"/>
          <w:lang w:bidi="fa-IR"/>
          <w:color w:val="111111"/>
          <w:sz w:val="28"/>
          <w:szCs w:val="28"/>
          <w:rtl/>
        </w:rPr>
        <w:t xml:space="preserve">ج 6 ، ص 457 .</w:t>
      </w:r>
    </w:p>
    <w:p>
      <w:pPr>
        <w:pStyle w:val="BookText"/>
      </w:pPr>
      <w:r>
        <w:rPr>
          <w:rFonts w:ascii="Amiri" w:hAnsi="Amiri" w:eastAsia="Amiri" w:cs="Amiri"/>
          <w:lang w:bidi="ar-SA"/>
          <w:color w:val="111111"/>
          <w:sz w:val="28"/>
          <w:szCs w:val="28"/>
          <w:rtl/>
        </w:rPr>
        <w:t xml:space="preserve">6 .نهاية التقريب في شرح التهذيب</w:t>
      </w:r>
    </w:p>
    <w:p>
      <w:pPr>
        <w:pStyle w:val="BookText"/>
      </w:pPr>
      <w:r>
        <w:rPr>
          <w:rFonts w:ascii="IRNazanin" w:hAnsi="IRNazanin" w:eastAsia="IRNazanin" w:cs="IRNazanin"/>
          <w:lang w:bidi="fa-IR"/>
          <w:color w:val="111111"/>
          <w:sz w:val="28"/>
          <w:szCs w:val="28"/>
          <w:rtl/>
        </w:rPr>
        <w:t xml:space="preserve">ج 16، ص 491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6" w:name="pg7742_70040"/>
    <w:bookmarkEnd w:id="326"/>
    <w:p>
      <w:pPr>
        <w:pStyle w:val="BookText"/>
      </w:pPr>
      <w:r>
        <w:rPr>
          <w:rFonts w:ascii="Amiri" w:hAnsi="Amiri" w:eastAsia="Amiri" w:cs="Amiri"/>
          <w:lang w:bidi="ar-SA"/>
          <w:color w:val="111111"/>
          <w:sz w:val="28"/>
          <w:szCs w:val="28"/>
          <w:rtl/>
        </w:rPr>
        <w:t xml:space="preserve">جزايري ، محمّد- موسوي جزائري، محمّد</w:t>
      </w:r>
    </w:p>
    <w:p>
      <w:pPr>
        <w:pStyle w:val="Heading2"/>
      </w:pPr>
      <w:bookmarkStart w:id="3276" w:name="_Toc2378"/>
      <w:r>
        <w:t>جزايري ، محمّد ميرزا</w:t>
      </w:r>
      <w:bookmarkEnd w:id="3276"/>
    </w:p>
    <w:p>
      <w:pPr>
        <w:pStyle w:val="BookText"/>
      </w:pPr>
      <w:r>
        <w:rPr>
          <w:rFonts w:ascii="Amiri" w:hAnsi="Amiri" w:eastAsia="Amiri" w:cs="Amiri"/>
          <w:lang w:bidi="ar-SA"/>
          <w:color w:val="111111"/>
          <w:sz w:val="28"/>
          <w:szCs w:val="28"/>
          <w:rtl/>
        </w:rPr>
        <w:t xml:space="preserve">جوامع الكلام في مواعظ و الحكم</w:t>
      </w:r>
    </w:p>
    <w:p>
      <w:pPr>
        <w:pStyle w:val="BookText"/>
      </w:pPr>
      <w:r>
        <w:rPr>
          <w:rFonts w:ascii="IRNazanin" w:hAnsi="IRNazanin" w:eastAsia="IRNazanin" w:cs="IRNazanin"/>
          <w:lang w:bidi="fa-IR"/>
          <w:color w:val="111111"/>
          <w:sz w:val="28"/>
          <w:szCs w:val="28"/>
          <w:rtl/>
        </w:rPr>
        <w:t xml:space="preserve">ج 5، ص 532.</w:t>
      </w:r>
    </w:p>
    <w:p>
      <w:pPr>
        <w:pStyle w:val="Heading2"/>
      </w:pPr>
      <w:bookmarkStart w:id="3277" w:name="_Toc2379"/>
      <w:r>
        <w:t>جزايري، نعمة الله بن عبدالله 1050 -</w:t>
      </w:r>
      <w:bookmarkEnd w:id="3277"/>
    </w:p>
    <w:p>
      <w:pPr>
        <w:pStyle w:val="BookText"/>
      </w:pPr>
      <w:r>
        <w:rPr>
          <w:rFonts w:ascii="IRNazanin" w:hAnsi="IRNazanin" w:eastAsia="IRNazanin" w:cs="IRNazanin"/>
          <w:lang w:bidi="fa-IR"/>
          <w:color w:val="111111"/>
          <w:sz w:val="28"/>
          <w:szCs w:val="28"/>
          <w:rtl/>
        </w:rPr>
        <w:t xml:space="preserve">1112ه-</w:t>
      </w:r>
    </w:p>
    <w:p>
      <w:pPr>
        <w:pStyle w:val="BookText"/>
      </w:pPr>
      <w:r>
        <w:rPr>
          <w:rFonts w:ascii="Amiri" w:hAnsi="Amiri" w:eastAsia="Amiri" w:cs="Amiri"/>
          <w:lang w:bidi="ar-SA"/>
          <w:color w:val="111111"/>
          <w:sz w:val="28"/>
          <w:szCs w:val="28"/>
          <w:rtl/>
        </w:rPr>
        <w:t xml:space="preserve">1 .إجازة للشيخ بهاء الدين محمّد</w:t>
      </w:r>
    </w:p>
    <w:p>
      <w:pPr>
        <w:pStyle w:val="BookText"/>
      </w:pPr>
      <w:r>
        <w:rPr>
          <w:rFonts w:ascii="Amiri" w:hAnsi="Amiri" w:eastAsia="Amiri" w:cs="Amiri"/>
          <w:lang w:bidi="ar-SA"/>
          <w:color w:val="111111"/>
          <w:sz w:val="28"/>
          <w:szCs w:val="28"/>
          <w:rtl/>
        </w:rPr>
        <w:t xml:space="preserve">الجزائري، ج 1، ص 263 .</w:t>
      </w:r>
    </w:p>
    <w:p>
      <w:pPr>
        <w:pStyle w:val="BookText"/>
      </w:pPr>
      <w:r>
        <w:rPr>
          <w:rFonts w:ascii="Amiri" w:hAnsi="Amiri" w:eastAsia="Amiri" w:cs="Amiri"/>
          <w:lang w:bidi="ar-SA"/>
          <w:color w:val="111111"/>
          <w:sz w:val="28"/>
          <w:szCs w:val="28"/>
          <w:rtl/>
        </w:rPr>
        <w:t xml:space="preserve">2 .إجازة للشيخ حسين بن محيي الدين الجامعي، ج 1 ، ص 265 .</w:t>
      </w:r>
    </w:p>
    <w:p>
      <w:pPr>
        <w:pStyle w:val="BookText"/>
      </w:pPr>
      <w:r>
        <w:rPr>
          <w:rFonts w:ascii="Amiri" w:hAnsi="Amiri" w:eastAsia="Amiri" w:cs="Amiri"/>
          <w:lang w:bidi="ar-SA"/>
          <w:color w:val="111111"/>
          <w:sz w:val="28"/>
          <w:szCs w:val="28"/>
          <w:rtl/>
        </w:rPr>
        <w:t xml:space="preserve">3 .إجازة لمحمّد باقر الشوشتري، ج1،</w:t>
      </w:r>
    </w:p>
    <w:p>
      <w:pPr>
        <w:pStyle w:val="BookText"/>
      </w:pPr>
      <w:r>
        <w:rPr>
          <w:rFonts w:ascii="IRNazanin" w:hAnsi="IRNazanin" w:eastAsia="IRNazanin" w:cs="IRNazanin"/>
          <w:lang w:bidi="fa-IR"/>
          <w:color w:val="111111"/>
          <w:sz w:val="28"/>
          <w:szCs w:val="28"/>
          <w:rtl/>
        </w:rPr>
        <w:t xml:space="preserve">ص 282 .</w:t>
      </w:r>
    </w:p>
    <w:p>
      <w:pPr>
        <w:pStyle w:val="BookText"/>
      </w:pPr>
      <w:r>
        <w:rPr>
          <w:rFonts w:ascii="Amiri" w:hAnsi="Amiri" w:eastAsia="Amiri" w:cs="Amiri"/>
          <w:lang w:bidi="ar-SA"/>
          <w:color w:val="111111"/>
          <w:sz w:val="28"/>
          <w:szCs w:val="28"/>
          <w:rtl/>
        </w:rPr>
        <w:t xml:space="preserve">4 .إجازة لمحمّد باقر بن محمّد حسين</w:t>
      </w:r>
    </w:p>
    <w:p>
      <w:pPr>
        <w:pStyle w:val="BookText"/>
      </w:pPr>
      <w:r>
        <w:rPr>
          <w:rFonts w:ascii="Amiri" w:hAnsi="Amiri" w:eastAsia="Amiri" w:cs="Amiri"/>
          <w:lang w:bidi="ar-SA"/>
          <w:color w:val="111111"/>
          <w:sz w:val="28"/>
          <w:szCs w:val="28"/>
          <w:rtl/>
        </w:rPr>
        <w:t xml:space="preserve">التستري، ج 1، ص282.</w:t>
      </w:r>
    </w:p>
    <w:p>
      <w:pPr>
        <w:pStyle w:val="BookText"/>
      </w:pPr>
      <w:r>
        <w:rPr>
          <w:rFonts w:ascii="Amiri" w:hAnsi="Amiri" w:eastAsia="Amiri" w:cs="Amiri"/>
          <w:lang w:bidi="ar-SA"/>
          <w:color w:val="111111"/>
          <w:sz w:val="28"/>
          <w:szCs w:val="28"/>
          <w:rtl/>
        </w:rPr>
        <w:t xml:space="preserve">5 .الانوار النعمانية في معرفة النشأة</w:t>
      </w:r>
    </w:p>
    <w:p>
      <w:pPr>
        <w:pStyle w:val="BookText"/>
      </w:pPr>
      <w:r>
        <w:rPr>
          <w:rFonts w:ascii="Amiri" w:hAnsi="Amiri" w:eastAsia="Amiri" w:cs="Amiri"/>
          <w:lang w:bidi="ar-SA"/>
          <w:color w:val="111111"/>
          <w:sz w:val="28"/>
          <w:szCs w:val="28"/>
          <w:rtl/>
        </w:rPr>
        <w:t xml:space="preserve">الانسانية، ج3، ص27.</w:t>
      </w:r>
    </w:p>
    <w:p>
      <w:pPr>
        <w:pStyle w:val="BookText"/>
      </w:pPr>
      <w:r>
        <w:rPr>
          <w:rFonts w:ascii="Amiri" w:hAnsi="Amiri" w:eastAsia="Amiri" w:cs="Amiri"/>
          <w:lang w:bidi="ar-SA"/>
          <w:color w:val="111111"/>
          <w:sz w:val="28"/>
          <w:szCs w:val="28"/>
          <w:rtl/>
        </w:rPr>
        <w:t xml:space="preserve">6 .انيس الفريد لشرح التوحيد = نور البراهين في بيان أخبار السادة</w:t>
      </w:r>
    </w:p>
    <w:p>
      <w:pPr>
        <w:pStyle w:val="BookText"/>
      </w:pPr>
      <w:r>
        <w:rPr>
          <w:rFonts w:ascii="Amiri" w:hAnsi="Amiri" w:eastAsia="Amiri" w:cs="Amiri"/>
          <w:lang w:bidi="ar-SA"/>
          <w:color w:val="111111"/>
          <w:sz w:val="28"/>
          <w:szCs w:val="28"/>
          <w:rtl/>
        </w:rPr>
        <w:t xml:space="preserve">الطاهرين، ج 3، ص 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جواهر الغوالي في شرح عوالي اللآلي</w:t>
      </w:r>
    </w:p>
    <w:p>
      <w:pPr>
        <w:pStyle w:val="BookText"/>
      </w:pPr>
      <w:r>
        <w:rPr>
          <w:rFonts w:ascii="Amiri" w:hAnsi="Amiri" w:eastAsia="Amiri" w:cs="Amiri"/>
          <w:lang w:bidi="ar-SA"/>
          <w:color w:val="111111"/>
          <w:sz w:val="28"/>
          <w:szCs w:val="28"/>
          <w:rtl/>
        </w:rPr>
        <w:t xml:space="preserve">= مدينة الحديث، ج 5 ، ص 554.</w:t>
      </w:r>
    </w:p>
    <w:p>
      <w:pPr>
        <w:pStyle w:val="BookText"/>
      </w:pPr>
      <w:r>
        <w:rPr>
          <w:rFonts w:ascii="Amiri" w:hAnsi="Amiri" w:eastAsia="Amiri" w:cs="Amiri"/>
          <w:lang w:bidi="ar-SA"/>
          <w:color w:val="111111"/>
          <w:sz w:val="28"/>
          <w:szCs w:val="28"/>
          <w:rtl/>
        </w:rPr>
        <w:t xml:space="preserve">حاشية شرح الكافية = حاشية الفوائد الضيائية، ج 6 ، ص 159.</w:t>
      </w:r>
    </w:p>
    <w:p>
      <w:pPr>
        <w:pStyle w:val="BookText"/>
      </w:pPr>
      <w:r>
        <w:rPr>
          <w:rFonts w:ascii="Amiri" w:hAnsi="Amiri" w:eastAsia="Amiri" w:cs="Amiri"/>
          <w:lang w:bidi="ar-SA"/>
          <w:color w:val="111111"/>
          <w:sz w:val="28"/>
          <w:szCs w:val="28"/>
          <w:rtl/>
        </w:rPr>
        <w:t xml:space="preserve">9 .حاشية في النحو، ج6، ص 301.</w:t>
      </w:r>
    </w:p>
    <w:p>
      <w:pPr>
        <w:pStyle w:val="BookText"/>
      </w:pPr>
      <w:r>
        <w:rPr>
          <w:rFonts w:ascii="Amiri" w:hAnsi="Amiri" w:eastAsia="Amiri" w:cs="Amiri"/>
          <w:lang w:bidi="ar-SA"/>
          <w:color w:val="111111"/>
          <w:sz w:val="28"/>
          <w:szCs w:val="28"/>
          <w:rtl/>
        </w:rPr>
        <w:t xml:space="preserve">10 .رياض الابرار في مناقب الائمة</w:t>
      </w:r>
    </w:p>
    <w:p>
      <w:pPr>
        <w:pStyle w:val="BookText"/>
      </w:pPr>
      <w:r>
        <w:rPr>
          <w:rFonts w:ascii="IRNazanin" w:hAnsi="IRNazanin" w:eastAsia="IRNazanin" w:cs="IRNazanin"/>
          <w:lang w:bidi="fa-IR"/>
          <w:color w:val="111111"/>
          <w:sz w:val="28"/>
          <w:szCs w:val="28"/>
          <w:rtl/>
        </w:rPr>
        <w:t xml:space="preserve">الاطهار، ج 8، ص 475 .</w:t>
      </w:r>
    </w:p>
    <w:p>
      <w:pPr>
        <w:pStyle w:val="BookText"/>
      </w:pPr>
      <w:r>
        <w:rPr>
          <w:rFonts w:ascii="Amiri" w:hAnsi="Amiri" w:eastAsia="Amiri" w:cs="Amiri"/>
          <w:lang w:bidi="ar-SA"/>
          <w:color w:val="111111"/>
          <w:sz w:val="28"/>
          <w:szCs w:val="28"/>
          <w:rtl/>
        </w:rPr>
        <w:t xml:space="preserve">11 .زهر الربيع في الطرائف و الملح و</w:t>
      </w:r>
    </w:p>
    <w:p>
      <w:pPr>
        <w:pStyle w:val="BookText"/>
      </w:pPr>
      <w:r>
        <w:rPr>
          <w:rFonts w:ascii="Amiri" w:hAnsi="Amiri" w:eastAsia="Amiri" w:cs="Amiri"/>
          <w:lang w:bidi="ar-SA"/>
          <w:color w:val="111111"/>
          <w:sz w:val="28"/>
          <w:szCs w:val="28"/>
          <w:rtl/>
        </w:rPr>
        <w:t xml:space="preserve">المقال البديع، ج8، ص 625.</w:t>
      </w:r>
    </w:p>
    <w:p>
      <w:pPr>
        <w:pStyle w:val="BookText"/>
      </w:pPr>
      <w:r>
        <w:rPr>
          <w:rFonts w:ascii="IRNazanin" w:hAnsi="IRNazanin" w:eastAsia="IRNazanin" w:cs="IRNazanin"/>
          <w:lang w:bidi="fa-IR"/>
          <w:color w:val="111111"/>
          <w:sz w:val="28"/>
          <w:szCs w:val="28"/>
          <w:rtl/>
        </w:rPr>
        <w:t xml:space="preserve">12 .شرح أسماء الله الحسنى، ج9،</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Amiri" w:hAnsi="Amiri" w:eastAsia="Amiri" w:cs="Amiri"/>
          <w:lang w:bidi="ar-SA"/>
          <w:color w:val="111111"/>
          <w:sz w:val="28"/>
          <w:szCs w:val="28"/>
          <w:rtl/>
        </w:rPr>
        <w:t xml:space="preserve">جزايري ، احمد - جزري، ابراهيم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الصحيفة السجادية، ج 9،</w:t>
      </w:r>
    </w:p>
    <w:p>
      <w:pPr>
        <w:pStyle w:val="BookText"/>
      </w:pPr>
      <w:r>
        <w:rPr>
          <w:rFonts w:ascii="IRNazanin" w:hAnsi="IRNazanin" w:eastAsia="IRNazanin" w:cs="IRNazanin"/>
          <w:lang w:bidi="fa-IR"/>
          <w:color w:val="111111"/>
          <w:sz w:val="28"/>
          <w:szCs w:val="28"/>
          <w:rtl/>
        </w:rPr>
        <w:t xml:space="preserve">ص 670 .</w:t>
      </w:r>
    </w:p>
    <w:p>
      <w:pPr>
        <w:pStyle w:val="BookText"/>
      </w:pPr>
      <w:r>
        <w:rPr>
          <w:rFonts w:ascii="Amiri" w:hAnsi="Amiri" w:eastAsia="Amiri" w:cs="Amiri"/>
          <w:lang w:bidi="ar-SA"/>
          <w:color w:val="111111"/>
          <w:sz w:val="28"/>
          <w:szCs w:val="28"/>
          <w:rtl/>
        </w:rPr>
        <w:t xml:space="preserve">14 . شرح الوافية، ج 10، ص 320.</w:t>
      </w:r>
    </w:p>
    <w:p>
      <w:pPr>
        <w:pStyle w:val="BookText"/>
      </w:pPr>
      <w:r>
        <w:rPr>
          <w:rFonts w:ascii="Amiri" w:hAnsi="Amiri" w:eastAsia="Amiri" w:cs="Amiri"/>
          <w:lang w:bidi="ar-SA"/>
          <w:color w:val="111111"/>
          <w:sz w:val="28"/>
          <w:szCs w:val="28"/>
          <w:rtl/>
        </w:rPr>
        <w:t xml:space="preserve">15 .الصلواتية، ج 10، ص 633.</w:t>
      </w:r>
    </w:p>
    <w:p>
      <w:pPr>
        <w:pStyle w:val="BookText"/>
      </w:pPr>
      <w:r>
        <w:rPr>
          <w:rFonts w:ascii="Amiri" w:hAnsi="Amiri" w:eastAsia="Amiri" w:cs="Amiri"/>
          <w:lang w:bidi="ar-SA"/>
          <w:color w:val="111111"/>
          <w:sz w:val="28"/>
          <w:szCs w:val="28"/>
          <w:rtl/>
        </w:rPr>
        <w:t xml:space="preserve">16 . غاية المرام في شرح تهذيب الاحكام، ج 11، ص 453.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غرائب الاخبار و نوادر الاثار</w:t>
      </w:r>
    </w:p>
    <w:p>
      <w:pPr>
        <w:pStyle w:val="BookText"/>
      </w:pPr>
      <w:r>
        <w:rPr>
          <w:rFonts w:ascii="IRNazanin" w:hAnsi="IRNazanin" w:eastAsia="IRNazanin" w:cs="IRNazanin"/>
          <w:lang w:bidi="fa-IR"/>
          <w:color w:val="111111"/>
          <w:sz w:val="28"/>
          <w:szCs w:val="28"/>
          <w:rtl/>
        </w:rPr>
        <w:t xml:space="preserve">ج 11، ص 463 .</w:t>
      </w:r>
    </w:p>
    <w:p>
      <w:pPr>
        <w:pStyle w:val="BookText"/>
      </w:pPr>
      <w:r>
        <w:rPr>
          <w:rFonts w:ascii="Amiri" w:hAnsi="Amiri" w:eastAsia="Amiri" w:cs="Amiri"/>
          <w:lang w:bidi="ar-SA"/>
          <w:color w:val="111111"/>
          <w:sz w:val="28"/>
          <w:szCs w:val="28"/>
          <w:rtl/>
        </w:rPr>
        <w:t xml:space="preserve">18 .قصص الانبياء و المرسلين - النور المبين في قصص الانبياء و المرسلين</w:t>
      </w:r>
    </w:p>
    <w:p>
      <w:pPr>
        <w:pStyle w:val="BookText"/>
      </w:pPr>
      <w:r>
        <w:rPr>
          <w:rFonts w:ascii="IRNazanin" w:hAnsi="IRNazanin" w:eastAsia="IRNazanin" w:cs="IRNazanin"/>
          <w:lang w:bidi="fa-IR"/>
          <w:color w:val="111111"/>
          <w:sz w:val="28"/>
          <w:szCs w:val="28"/>
          <w:rtl/>
        </w:rPr>
        <w:t xml:space="preserve">ج 12، ص 627 .</w:t>
      </w:r>
    </w:p>
    <w:p>
      <w:pPr>
        <w:pStyle w:val="BookText"/>
      </w:pPr>
      <w:r>
        <w:rPr>
          <w:rFonts w:ascii="Amiri" w:hAnsi="Amiri" w:eastAsia="Amiri" w:cs="Amiri"/>
          <w:lang w:bidi="ar-SA"/>
          <w:color w:val="111111"/>
          <w:sz w:val="28"/>
          <w:szCs w:val="28"/>
          <w:rtl/>
        </w:rPr>
        <w:t xml:space="preserve">19 .كشف الاسرار في شرح الاستبصار</w:t>
      </w:r>
    </w:p>
    <w:p>
      <w:pPr>
        <w:pStyle w:val="BookText"/>
      </w:pPr>
      <w:r>
        <w:rPr>
          <w:rFonts w:ascii="IRNazanin" w:hAnsi="IRNazanin" w:eastAsia="IRNazanin" w:cs="IRNazanin"/>
          <w:lang w:bidi="fa-IR"/>
          <w:color w:val="111111"/>
          <w:sz w:val="28"/>
          <w:szCs w:val="28"/>
          <w:rtl/>
        </w:rPr>
        <w:t xml:space="preserve">ج 13، ص 191.</w:t>
      </w:r>
    </w:p>
    <w:p>
      <w:pPr>
        <w:pStyle w:val="BookText"/>
      </w:pPr>
      <w:r>
        <w:rPr>
          <w:rFonts w:ascii="Amiri" w:hAnsi="Amiri" w:eastAsia="Amiri" w:cs="Amiri"/>
          <w:lang w:bidi="ar-SA"/>
          <w:color w:val="111111"/>
          <w:sz w:val="28"/>
          <w:szCs w:val="28"/>
          <w:rtl/>
        </w:rPr>
        <w:t xml:space="preserve">20 .مسكن الشجون في حكم الفرار</w:t>
      </w:r>
    </w:p>
    <w:p>
      <w:pPr>
        <w:pStyle w:val="BookText"/>
      </w:pPr>
      <w:r>
        <w:rPr>
          <w:rFonts w:ascii="IRNazanin" w:hAnsi="IRNazanin" w:eastAsia="IRNazanin" w:cs="IRNazanin"/>
          <w:lang w:bidi="fa-IR"/>
          <w:color w:val="111111"/>
          <w:sz w:val="28"/>
          <w:szCs w:val="28"/>
          <w:rtl/>
        </w:rPr>
        <w:t xml:space="preserve">من الطاعون، ج 14، ص 575.</w:t>
      </w:r>
    </w:p>
    <w:p>
      <w:pPr>
        <w:pStyle w:val="BookText"/>
      </w:pPr>
      <w:r>
        <w:rPr>
          <w:rFonts w:ascii="Amiri" w:hAnsi="Amiri" w:eastAsia="Amiri" w:cs="Amiri"/>
          <w:lang w:bidi="ar-SA"/>
          <w:color w:val="111111"/>
          <w:sz w:val="28"/>
          <w:szCs w:val="28"/>
          <w:rtl/>
        </w:rPr>
        <w:t xml:space="preserve">21 .مقامات النجاة، ج 15، ص 309.</w:t>
      </w:r>
    </w:p>
    <w:p>
      <w:pPr>
        <w:pStyle w:val="BookText"/>
      </w:pPr>
      <w:r>
        <w:rPr>
          <w:rFonts w:ascii="Amiri" w:hAnsi="Amiri" w:eastAsia="Amiri" w:cs="Amiri"/>
          <w:lang w:bidi="ar-SA"/>
          <w:color w:val="111111"/>
          <w:sz w:val="28"/>
          <w:szCs w:val="28"/>
          <w:rtl/>
        </w:rPr>
        <w:t xml:space="preserve">22 .مقصود الانام في شرح تهذيب</w:t>
      </w:r>
    </w:p>
    <w:p>
      <w:pPr>
        <w:pStyle w:val="BookText"/>
      </w:pPr>
      <w:r>
        <w:rPr>
          <w:rFonts w:ascii="Amiri" w:hAnsi="Amiri" w:eastAsia="Amiri" w:cs="Amiri"/>
          <w:lang w:bidi="ar-SA"/>
          <w:color w:val="111111"/>
          <w:sz w:val="28"/>
          <w:szCs w:val="28"/>
          <w:rtl/>
        </w:rPr>
        <w:t xml:space="preserve">الاحكام، ج 15 ، ص 384.</w:t>
      </w:r>
    </w:p>
    <w:p>
      <w:pPr>
        <w:pStyle w:val="BookText"/>
      </w:pPr>
      <w:r>
        <w:rPr>
          <w:rFonts w:ascii="Amiri" w:hAnsi="Amiri" w:eastAsia="Amiri" w:cs="Amiri"/>
          <w:lang w:bidi="ar-SA"/>
          <w:color w:val="111111"/>
          <w:sz w:val="28"/>
          <w:szCs w:val="28"/>
          <w:rtl/>
        </w:rPr>
        <w:t xml:space="preserve">23 .منبع الحياة في حجية قول المجتهدين من الاموات، ج 15</w:t>
      </w:r>
    </w:p>
    <w:p>
      <w:pPr>
        <w:pStyle w:val="BookText"/>
      </w:pPr>
      <w:r>
        <w:rPr>
          <w:rFonts w:ascii="IRNazanin" w:hAnsi="IRNazanin" w:eastAsia="IRNazanin" w:cs="IRNazanin"/>
          <w:lang w:bidi="fa-IR"/>
          <w:color w:val="111111"/>
          <w:sz w:val="28"/>
          <w:szCs w:val="28"/>
          <w:rtl/>
        </w:rPr>
        <w:t xml:space="preserve">ص 587 .</w:t>
      </w:r>
    </w:p>
    <w:p>
      <w:pPr>
        <w:pStyle w:val="BookText"/>
      </w:pPr>
      <w:r>
        <w:rPr>
          <w:rFonts w:ascii="Amiri" w:hAnsi="Amiri" w:eastAsia="Amiri" w:cs="Amiri"/>
          <w:lang w:bidi="ar-SA"/>
          <w:color w:val="111111"/>
          <w:sz w:val="28"/>
          <w:szCs w:val="28"/>
          <w:rtl/>
        </w:rPr>
        <w:t xml:space="preserve">24 .نزهة الإخوان، ج 16 ، ص 215 .</w:t>
      </w:r>
    </w:p>
    <w:p>
      <w:pPr>
        <w:pStyle w:val="BookText"/>
      </w:pPr>
      <w:r>
        <w:rPr>
          <w:rFonts w:ascii="Amiri" w:hAnsi="Amiri" w:eastAsia="Amiri" w:cs="Amiri"/>
          <w:lang w:bidi="ar-SA"/>
          <w:color w:val="111111"/>
          <w:sz w:val="28"/>
          <w:szCs w:val="28"/>
          <w:rtl/>
        </w:rPr>
        <w:t xml:space="preserve">25 .نور الانوار في شرح كلام خير الاخيار الابرار)، ج 16، ص 553.</w:t>
      </w:r>
    </w:p>
    <w:p>
      <w:pPr>
        <w:pStyle w:val="BookText"/>
      </w:pPr>
      <w:r>
        <w:rPr>
          <w:rFonts w:ascii="Amiri" w:hAnsi="Amiri" w:eastAsia="Amiri" w:cs="Amiri"/>
          <w:lang w:bidi="ar-SA"/>
          <w:color w:val="111111"/>
          <w:sz w:val="28"/>
          <w:szCs w:val="28"/>
          <w:rtl/>
        </w:rPr>
        <w:t xml:space="preserve">26 .هدية المؤمنين وتحفة الراغبين</w:t>
      </w:r>
    </w:p>
    <w:p>
      <w:pPr>
        <w:pStyle w:val="BookText"/>
      </w:pPr>
      <w:r>
        <w:rPr>
          <w:rFonts w:ascii="IRNazanin" w:hAnsi="IRNazanin" w:eastAsia="IRNazanin" w:cs="IRNazanin"/>
          <w:lang w:bidi="fa-IR"/>
          <w:color w:val="111111"/>
          <w:sz w:val="28"/>
          <w:szCs w:val="28"/>
          <w:rtl/>
        </w:rPr>
        <w:t xml:space="preserve">ج 16، ص 642 .</w:t>
      </w:r>
    </w:p>
    <w:p>
      <w:pPr>
        <w:pStyle w:val="BookText"/>
      </w:pPr>
      <w:r>
        <w:rPr>
          <w:rFonts w:ascii="Amiri" w:hAnsi="Amiri" w:eastAsia="Amiri" w:cs="Amiri"/>
          <w:lang w:bidi="ar-SA"/>
          <w:color w:val="111111"/>
          <w:sz w:val="28"/>
          <w:szCs w:val="28"/>
          <w:rtl/>
        </w:rPr>
        <w:t xml:space="preserve">27 .الهزل و التفكة، ج 16، ص 647 .</w:t>
      </w:r>
    </w:p>
    <w:p>
      <w:pPr>
        <w:pStyle w:val="Heading2"/>
      </w:pPr>
      <w:bookmarkStart w:id="3278" w:name="_Toc2380"/>
      <w:r>
        <w:t>جزري، ابراهيم بن احمد</w:t>
      </w:r>
      <w:bookmarkEnd w:id="3278"/>
    </w:p>
    <w:p>
      <w:pPr>
        <w:pStyle w:val="BookText"/>
      </w:pPr>
      <w:r>
        <w:rPr>
          <w:rFonts w:ascii="Amiri" w:hAnsi="Amiri" w:eastAsia="Amiri" w:cs="Amiri"/>
          <w:lang w:bidi="ar-SA"/>
          <w:color w:val="111111"/>
          <w:sz w:val="28"/>
          <w:szCs w:val="28"/>
          <w:rtl/>
        </w:rPr>
        <w:t xml:space="preserve">الاعراب في ضبط عوامل الاعراب، ج 2،</w:t>
      </w:r>
    </w:p>
    <w:p>
      <w:pPr>
        <w:pStyle w:val="BookText"/>
      </w:pPr>
      <w:r>
        <w:rPr>
          <w:rFonts w:ascii="IRNazanin" w:hAnsi="IRNazanin" w:eastAsia="IRNazanin" w:cs="IRNazanin"/>
          <w:lang w:bidi="fa-IR"/>
          <w:color w:val="111111"/>
          <w:sz w:val="28"/>
          <w:szCs w:val="28"/>
          <w:rtl/>
        </w:rPr>
        <w:t xml:space="preserve">ص 544.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7" w:name="pg7742_70042"/>
    <w:bookmarkEnd w:id="327"/>
    <w:p>
      <w:pPr>
        <w:pStyle w:val="Heading2"/>
      </w:pPr>
      <w:bookmarkStart w:id="3279" w:name="_Toc2381"/>
      <w:r>
        <w:t>جزري، احمد بن حسين - 444 ه-</w:t>
      </w:r>
      <w:bookmarkEnd w:id="3279"/>
    </w:p>
    <w:p>
      <w:pPr>
        <w:pStyle w:val="BookText"/>
      </w:pPr>
      <w:r>
        <w:rPr>
          <w:rFonts w:ascii="Amiri" w:hAnsi="Amiri" w:eastAsia="Amiri" w:cs="Amiri"/>
          <w:lang w:bidi="ar-SA"/>
          <w:color w:val="111111"/>
          <w:sz w:val="28"/>
          <w:szCs w:val="28"/>
          <w:rtl/>
        </w:rPr>
        <w:t xml:space="preserve">ديوان الجزري، ج 7، ص 609.</w:t>
      </w:r>
    </w:p>
    <w:p>
      <w:pPr>
        <w:pStyle w:val="BookText"/>
      </w:pPr>
      <w:r>
        <w:rPr>
          <w:rFonts w:ascii="Amiri" w:hAnsi="Amiri" w:eastAsia="Amiri" w:cs="Amiri"/>
          <w:lang w:bidi="ar-SA"/>
          <w:color w:val="111111"/>
          <w:sz w:val="28"/>
          <w:szCs w:val="28"/>
          <w:rtl/>
        </w:rPr>
        <w:t xml:space="preserve">جزري، احمد بن محمّد -ابن جزري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جزري، حيدر بن عبد الرحمن- حسيني</w:t>
      </w:r>
    </w:p>
    <w:p>
      <w:pPr>
        <w:pStyle w:val="BookText"/>
      </w:pPr>
      <w:r>
        <w:rPr>
          <w:rFonts w:ascii="Amiri" w:hAnsi="Amiri" w:eastAsia="Amiri" w:cs="Amiri"/>
          <w:lang w:bidi="ar-SA"/>
          <w:color w:val="111111"/>
          <w:sz w:val="28"/>
          <w:szCs w:val="28"/>
          <w:rtl/>
        </w:rPr>
        <w:t xml:space="preserve">جزري، حيدر بن عبدالرحمن</w:t>
      </w:r>
    </w:p>
    <w:p>
      <w:pPr>
        <w:pStyle w:val="Heading2"/>
      </w:pPr>
      <w:bookmarkStart w:id="3280" w:name="_Toc2382"/>
      <w:r>
        <w:t>جزري، رمضان بن ابي هريره - 1092 ه-</w:t>
      </w:r>
      <w:bookmarkEnd w:id="3280"/>
    </w:p>
    <w:p>
      <w:pPr>
        <w:pStyle w:val="BookText"/>
      </w:pPr>
      <w:r>
        <w:rPr>
          <w:rFonts w:ascii="Amiri" w:hAnsi="Amiri" w:eastAsia="Amiri" w:cs="Amiri"/>
          <w:lang w:bidi="ar-SA"/>
          <w:color w:val="111111"/>
          <w:sz w:val="28"/>
          <w:szCs w:val="28"/>
          <w:rtl/>
        </w:rPr>
        <w:t xml:space="preserve">حل الخلاصة لاهل الرياسة = شرح</w:t>
      </w:r>
    </w:p>
    <w:p>
      <w:pPr>
        <w:pStyle w:val="BookText"/>
      </w:pPr>
      <w:r>
        <w:rPr>
          <w:rFonts w:ascii="Amiri" w:hAnsi="Amiri" w:eastAsia="Amiri" w:cs="Amiri"/>
          <w:lang w:bidi="ar-SA"/>
          <w:color w:val="111111"/>
          <w:sz w:val="28"/>
          <w:szCs w:val="28"/>
          <w:rtl/>
        </w:rPr>
        <w:t xml:space="preserve">خلاصة الحساب، ج 6، ص 777.</w:t>
      </w:r>
    </w:p>
    <w:p>
      <w:pPr>
        <w:pStyle w:val="Heading2"/>
      </w:pPr>
      <w:bookmarkStart w:id="3281" w:name="_Toc2383"/>
      <w:r>
        <w:t>جزري، عبدالله بن ابراهيم</w:t>
      </w:r>
      <w:bookmarkEnd w:id="3281"/>
    </w:p>
    <w:p>
      <w:pPr>
        <w:pStyle w:val="BookText"/>
      </w:pPr>
      <w:r>
        <w:rPr>
          <w:rFonts w:ascii="Amiri" w:hAnsi="Amiri" w:eastAsia="Amiri" w:cs="Amiri"/>
          <w:lang w:bidi="ar-SA"/>
          <w:color w:val="111111"/>
          <w:sz w:val="28"/>
          <w:szCs w:val="28"/>
          <w:rtl/>
        </w:rPr>
        <w:t xml:space="preserve">تعليق على الشاطبية، ج4، ص 547.</w:t>
      </w:r>
    </w:p>
    <w:p>
      <w:pPr>
        <w:pStyle w:val="BookText"/>
      </w:pPr>
      <w:r>
        <w:rPr>
          <w:rFonts w:ascii="Amiri" w:hAnsi="Amiri" w:eastAsia="Amiri" w:cs="Amiri"/>
          <w:lang w:bidi="ar-SA"/>
          <w:color w:val="111111"/>
          <w:sz w:val="28"/>
          <w:szCs w:val="28"/>
          <w:rtl/>
        </w:rPr>
        <w:t xml:space="preserve">جزري، علي بن محمّد -ابن اثير،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جزري، عمر بن محمّد- بزري ، عمر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جزري، محمّد بن محمّد- ابن جزري ،</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جزري، محمّد بن يوسف- ابن حشاش ،</w:t>
      </w:r>
    </w:p>
    <w:p>
      <w:pPr>
        <w:pStyle w:val="BookText"/>
      </w:pPr>
      <w:r>
        <w:rPr>
          <w:rFonts w:ascii="Amiri" w:hAnsi="Amiri" w:eastAsia="Amiri" w:cs="Amiri"/>
          <w:lang w:bidi="ar-SA"/>
          <w:color w:val="111111"/>
          <w:sz w:val="28"/>
          <w:szCs w:val="28"/>
          <w:rtl/>
        </w:rPr>
        <w:t xml:space="preserve">محمّد بن يوسف</w:t>
      </w:r>
    </w:p>
    <w:p>
      <w:pPr>
        <w:pStyle w:val="Heading2"/>
      </w:pPr>
      <w:bookmarkStart w:id="3282" w:name="_Toc2384"/>
      <w:r>
        <w:t>جزري ، محمود بن علي</w:t>
      </w:r>
      <w:bookmarkEnd w:id="3282"/>
    </w:p>
    <w:p>
      <w:pPr>
        <w:pStyle w:val="BookText"/>
      </w:pPr>
      <w:r>
        <w:rPr>
          <w:rFonts w:ascii="IRNazanin" w:hAnsi="IRNazanin" w:eastAsia="IRNazanin" w:cs="IRNazanin"/>
          <w:lang w:bidi="fa-IR"/>
          <w:color w:val="111111"/>
          <w:sz w:val="28"/>
          <w:szCs w:val="28"/>
          <w:rtl/>
        </w:rPr>
        <w:t xml:space="preserve">توضیح مشکلات في النحو = شرح</w:t>
      </w:r>
    </w:p>
    <w:p>
      <w:pPr>
        <w:pStyle w:val="BookText"/>
      </w:pPr>
      <w:r>
        <w:rPr>
          <w:rFonts w:ascii="Amiri" w:hAnsi="Amiri" w:eastAsia="Amiri" w:cs="Amiri"/>
          <w:lang w:bidi="ar-SA"/>
          <w:color w:val="111111"/>
          <w:sz w:val="28"/>
          <w:szCs w:val="28"/>
          <w:rtl/>
        </w:rPr>
        <w:t xml:space="preserve">الأبيات المشكل إعرابها، ج 5، ص 182.</w:t>
      </w:r>
    </w:p>
    <w:p>
      <w:pPr>
        <w:pStyle w:val="BookText"/>
      </w:pPr>
      <w:r>
        <w:rPr>
          <w:rFonts w:ascii="Amiri" w:hAnsi="Amiri" w:eastAsia="Amiri" w:cs="Amiri"/>
          <w:lang w:bidi="ar-SA"/>
          <w:color w:val="111111"/>
          <w:sz w:val="28"/>
          <w:szCs w:val="28"/>
          <w:rtl/>
        </w:rPr>
        <w:t xml:space="preserve">جزري، معد بن نصر الله- ابن صيقل</w:t>
      </w:r>
    </w:p>
    <w:p>
      <w:pPr>
        <w:pStyle w:val="BookText"/>
      </w:pPr>
      <w:r>
        <w:rPr>
          <w:rFonts w:ascii="Amiri" w:hAnsi="Amiri" w:eastAsia="Amiri" w:cs="Amiri"/>
          <w:lang w:bidi="ar-SA"/>
          <w:color w:val="111111"/>
          <w:sz w:val="28"/>
          <w:szCs w:val="28"/>
          <w:rtl/>
        </w:rPr>
        <w:t xml:space="preserve">جزري ، معد بن نصر الله</w:t>
      </w:r>
    </w:p>
    <w:p>
      <w:pPr>
        <w:pStyle w:val="BookText"/>
      </w:pPr>
      <w:r>
        <w:rPr>
          <w:rFonts w:ascii="Amiri" w:hAnsi="Amiri" w:eastAsia="Amiri" w:cs="Amiri"/>
          <w:lang w:bidi="ar-SA"/>
          <w:color w:val="111111"/>
          <w:sz w:val="28"/>
          <w:szCs w:val="28"/>
          <w:rtl/>
        </w:rPr>
        <w:t xml:space="preserve">جزري، نصر الله بن محمّد -ابن اثير ،</w:t>
      </w:r>
    </w:p>
    <w:p>
      <w:pPr>
        <w:pStyle w:val="BookText"/>
      </w:pPr>
      <w:r>
        <w:rPr>
          <w:rFonts w:ascii="IRNazanin" w:hAnsi="IRNazanin" w:eastAsia="IRNazanin" w:cs="IRNazanin"/>
          <w:lang w:bidi="fa-IR"/>
          <w:color w:val="111111"/>
          <w:sz w:val="28"/>
          <w:szCs w:val="28"/>
          <w:rtl/>
        </w:rPr>
        <w:t xml:space="preserve">نصر الله بن محمّد</w:t>
      </w:r>
    </w:p>
    <w:p>
      <w:pPr>
        <w:pStyle w:val="BookText"/>
      </w:pPr>
      <w:r>
        <w:rPr>
          <w:rFonts w:ascii="Amiri" w:hAnsi="Amiri" w:eastAsia="Amiri" w:cs="Amiri"/>
          <w:lang w:bidi="ar-SA"/>
          <w:color w:val="111111"/>
          <w:sz w:val="28"/>
          <w:szCs w:val="28"/>
          <w:rtl/>
        </w:rPr>
        <w:t xml:space="preserve">جزولي ، علي بن عبد الله -بهائي ، علي بن</w:t>
      </w:r>
    </w:p>
    <w:p>
      <w:pPr>
        <w:pStyle w:val="BookText"/>
      </w:pPr>
      <w:r>
        <w:rPr>
          <w:rFonts w:ascii="IRNazanin" w:hAnsi="IRNazanin" w:eastAsia="IRNazanin" w:cs="IRNazanin"/>
          <w:lang w:bidi="fa-IR"/>
          <w:color w:val="111111"/>
          <w:sz w:val="28"/>
          <w:szCs w:val="28"/>
          <w:rtl/>
        </w:rPr>
        <w:t xml:space="preserve">عبدالله</w:t>
      </w:r>
    </w:p>
    <w:p>
      <w:pPr>
        <w:pStyle w:val="Heading2"/>
      </w:pPr>
      <w:bookmarkStart w:id="3283" w:name="_Toc2385"/>
      <w:r>
        <w:t>جزولي ، عيسى بن عبدالعزيز - 607 ه-</w:t>
      </w:r>
      <w:bookmarkEnd w:id="3283"/>
    </w:p>
    <w:p>
      <w:pPr>
        <w:pStyle w:val="BookText"/>
      </w:pPr>
      <w:r>
        <w:rPr>
          <w:rFonts w:ascii="Amiri" w:hAnsi="Amiri" w:eastAsia="Amiri" w:cs="Amiri"/>
          <w:lang w:bidi="ar-SA"/>
          <w:color w:val="111111"/>
          <w:sz w:val="28"/>
          <w:szCs w:val="28"/>
          <w:rtl/>
        </w:rPr>
        <w:t xml:space="preserve">القانون = المقدمة الجزولية، ج 12،</w:t>
      </w:r>
    </w:p>
    <w:p>
      <w:pPr>
        <w:pStyle w:val="BookText"/>
      </w:pPr>
      <w:r>
        <w:rPr>
          <w:rFonts w:ascii="IRNazanin" w:hAnsi="IRNazanin" w:eastAsia="IRNazanin" w:cs="IRNazanin"/>
          <w:lang w:bidi="fa-IR"/>
          <w:color w:val="111111"/>
          <w:sz w:val="28"/>
          <w:szCs w:val="28"/>
          <w:rtl/>
        </w:rPr>
        <w:t xml:space="preserve">ص 356 .</w:t>
      </w:r>
    </w:p>
    <w:p>
      <w:pPr>
        <w:pStyle w:val="Heading2"/>
      </w:pPr>
      <w:bookmarkStart w:id="3284" w:name="_Toc2386"/>
      <w:r>
        <w:t>جزولي ، محمّد بن سليمان - 870 ه-</w:t>
      </w:r>
      <w:bookmarkEnd w:id="3284"/>
    </w:p>
    <w:p>
      <w:pPr>
        <w:pStyle w:val="BookText"/>
      </w:pPr>
      <w:r>
        <w:rPr>
          <w:rFonts w:ascii="Amiri" w:hAnsi="Amiri" w:eastAsia="Amiri" w:cs="Amiri"/>
          <w:lang w:bidi="ar-SA"/>
          <w:color w:val="111111"/>
          <w:sz w:val="28"/>
          <w:szCs w:val="28"/>
          <w:rtl/>
        </w:rPr>
        <w:t xml:space="preserve">1 .حزب المسبعات العشر في الادعية</w:t>
      </w:r>
    </w:p>
    <w:p>
      <w:pPr>
        <w:pStyle w:val="BookText"/>
      </w:pPr>
      <w:r>
        <w:rPr>
          <w:rFonts w:ascii="Amiri" w:hAnsi="Amiri" w:eastAsia="Amiri" w:cs="Amiri"/>
          <w:lang w:bidi="ar-SA"/>
          <w:color w:val="111111"/>
          <w:sz w:val="28"/>
          <w:szCs w:val="28"/>
          <w:rtl/>
        </w:rPr>
        <w:t xml:space="preserve">و الاذكار، ج 6، ص 632.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دلائل الخيرات وشوارق الانوار في ذكر الصلاة على النبي المختار، ج7،</w:t>
      </w:r>
    </w:p>
    <w:p>
      <w:pPr>
        <w:pStyle w:val="BookText"/>
      </w:pPr>
      <w:r>
        <w:rPr>
          <w:rFonts w:ascii="IRNazanin" w:hAnsi="IRNazanin" w:eastAsia="IRNazanin" w:cs="IRNazanin"/>
          <w:lang w:bidi="fa-IR"/>
          <w:color w:val="111111"/>
          <w:sz w:val="28"/>
          <w:szCs w:val="28"/>
          <w:rtl/>
        </w:rPr>
        <w:t xml:space="preserve">ص 449 .</w:t>
      </w:r>
    </w:p>
    <w:p>
      <w:pPr>
        <w:pStyle w:val="BookText"/>
      </w:pPr>
      <w:r>
        <w:rPr>
          <w:rFonts w:ascii="Amiri" w:hAnsi="Amiri" w:eastAsia="Amiri" w:cs="Amiri"/>
          <w:lang w:bidi="ar-SA"/>
          <w:color w:val="111111"/>
          <w:sz w:val="28"/>
          <w:szCs w:val="28"/>
          <w:rtl/>
        </w:rPr>
        <w:t xml:space="preserve">جزي ، احمد بن محمّد -ابن جزري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3285" w:name="_Toc2387"/>
      <w:r>
        <w:t>جزيري، ابراهيم</w:t>
      </w:r>
      <w:bookmarkEnd w:id="3285"/>
    </w:p>
    <w:p>
      <w:pPr>
        <w:pStyle w:val="BookText"/>
      </w:pPr>
      <w:r>
        <w:rPr>
          <w:rFonts w:ascii="Amiri" w:hAnsi="Amiri" w:eastAsia="Amiri" w:cs="Amiri"/>
          <w:lang w:bidi="ar-SA"/>
          <w:color w:val="111111"/>
          <w:sz w:val="28"/>
          <w:szCs w:val="28"/>
          <w:rtl/>
        </w:rPr>
        <w:t xml:space="preserve">صورة مكتوب، ج 10، ص 657.</w:t>
      </w:r>
    </w:p>
    <w:p>
      <w:pPr>
        <w:pStyle w:val="Heading2"/>
      </w:pPr>
      <w:bookmarkStart w:id="3286" w:name="_Toc2388"/>
      <w:r>
        <w:t>جزيري ، خضر بن جمعة</w:t>
      </w:r>
      <w:bookmarkEnd w:id="3286"/>
    </w:p>
    <w:p>
      <w:pPr>
        <w:pStyle w:val="BookText"/>
      </w:pPr>
      <w:r>
        <w:rPr>
          <w:rFonts w:ascii="Amiri" w:hAnsi="Amiri" w:eastAsia="Amiri" w:cs="Amiri"/>
          <w:lang w:bidi="ar-SA"/>
          <w:color w:val="111111"/>
          <w:sz w:val="28"/>
          <w:szCs w:val="28"/>
          <w:rtl/>
        </w:rPr>
        <w:t xml:space="preserve">سهولة الحساب، ج8، ص 854.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8" w:name="pg7742_70044"/>
    <w:bookmarkEnd w:id="328"/>
    <w:p>
      <w:pPr>
        <w:pStyle w:val="BookText"/>
      </w:pPr>
      <w:r>
        <w:rPr>
          <w:rFonts w:ascii="IRNazanin" w:hAnsi="IRNazanin" w:eastAsia="IRNazanin" w:cs="IRNazanin"/>
          <w:lang w:bidi="fa-IR"/>
          <w:color w:val="111111"/>
          <w:sz w:val="28"/>
          <w:szCs w:val="28"/>
          <w:rtl/>
        </w:rPr>
        <w:t xml:space="preserve">جزي ، عفيف الدین عبدالله بن محمّد- نجري ، عبدالله بن محمّد</w:t>
      </w:r>
    </w:p>
    <w:p>
      <w:pPr>
        <w:pStyle w:val="Heading2"/>
      </w:pPr>
      <w:bookmarkStart w:id="3287" w:name="_Toc2389"/>
      <w:r>
        <w:t>جسدي ، لويس</w:t>
      </w:r>
      <w:bookmarkEnd w:id="3287"/>
    </w:p>
    <w:p>
      <w:pPr>
        <w:pStyle w:val="BookText"/>
      </w:pPr>
      <w:r>
        <w:rPr>
          <w:rFonts w:ascii="IRNazanin" w:hAnsi="IRNazanin" w:eastAsia="IRNazanin" w:cs="IRNazanin"/>
          <w:lang w:bidi="fa-IR"/>
          <w:color w:val="111111"/>
          <w:sz w:val="28"/>
          <w:szCs w:val="28"/>
          <w:rtl/>
        </w:rPr>
        <w:t xml:space="preserve">تأملات، ج3، ص 619.</w:t>
      </w:r>
    </w:p>
    <w:p>
      <w:pPr>
        <w:pStyle w:val="Heading2"/>
      </w:pPr>
      <w:bookmarkStart w:id="3288" w:name="_Toc2390"/>
      <w:r>
        <w:t>جسوس ، محمّد بن قاسم - 1182 ه-</w:t>
      </w:r>
      <w:bookmarkEnd w:id="3288"/>
    </w:p>
    <w:p>
      <w:pPr>
        <w:pStyle w:val="BookText"/>
      </w:pPr>
      <w:r>
        <w:rPr>
          <w:rFonts w:ascii="Amiri" w:hAnsi="Amiri" w:eastAsia="Amiri" w:cs="Amiri"/>
          <w:lang w:bidi="ar-SA"/>
          <w:color w:val="111111"/>
          <w:sz w:val="28"/>
          <w:szCs w:val="28"/>
          <w:rtl/>
        </w:rPr>
        <w:t xml:space="preserve">الفوائد الجلية البهية في شرح الشمائل النبوية، ج 12، ص190.</w:t>
      </w:r>
    </w:p>
    <w:p>
      <w:pPr>
        <w:pStyle w:val="Heading2"/>
      </w:pPr>
      <w:bookmarkStart w:id="3289" w:name="_Toc2391"/>
      <w:r>
        <w:t>جشعمي ، محمد بن فليح - 1295ه-</w:t>
      </w:r>
      <w:bookmarkEnd w:id="3289"/>
    </w:p>
    <w:p>
      <w:pPr>
        <w:pStyle w:val="BookText"/>
      </w:pPr>
      <w:r>
        <w:rPr>
          <w:rFonts w:ascii="IRNazanin" w:hAnsi="IRNazanin" w:eastAsia="IRNazanin" w:cs="IRNazanin"/>
          <w:lang w:bidi="fa-IR"/>
          <w:color w:val="111111"/>
          <w:sz w:val="28"/>
          <w:szCs w:val="28"/>
          <w:rtl/>
        </w:rPr>
        <w:t xml:space="preserve">دیوان شیخ محمد فليح، ج 7، ص 678.</w:t>
      </w:r>
    </w:p>
    <w:p>
      <w:pPr>
        <w:pStyle w:val="BookText"/>
      </w:pPr>
      <w:r>
        <w:rPr>
          <w:rFonts w:ascii="Amiri" w:hAnsi="Amiri" w:eastAsia="Amiri" w:cs="Amiri"/>
          <w:lang w:bidi="ar-SA"/>
          <w:color w:val="111111"/>
          <w:sz w:val="28"/>
          <w:szCs w:val="28"/>
          <w:rtl/>
        </w:rPr>
        <w:t xml:space="preserve">جشمي ، حسن بن محمّد- ابن كرامه ،</w:t>
      </w:r>
    </w:p>
    <w:p>
      <w:pPr>
        <w:pStyle w:val="BookText"/>
      </w:pPr>
      <w:r>
        <w:rPr>
          <w:rFonts w:ascii="IRNazanin" w:hAnsi="IRNazanin" w:eastAsia="IRNazanin" w:cs="IRNazanin"/>
          <w:lang w:bidi="fa-IR"/>
          <w:color w:val="111111"/>
          <w:sz w:val="28"/>
          <w:szCs w:val="28"/>
          <w:rtl/>
        </w:rPr>
        <w:t xml:space="preserve">محسن بن محمد</w:t>
      </w:r>
    </w:p>
    <w:p>
      <w:pPr>
        <w:pStyle w:val="BookText"/>
      </w:pPr>
      <w:r>
        <w:rPr>
          <w:rFonts w:ascii="Amiri" w:hAnsi="Amiri" w:eastAsia="Amiri" w:cs="Amiri"/>
          <w:lang w:bidi="ar-SA"/>
          <w:color w:val="111111"/>
          <w:sz w:val="28"/>
          <w:szCs w:val="28"/>
          <w:rtl/>
        </w:rPr>
        <w:t xml:space="preserve">جشمي ، سهل بن محمّد -سجستاني ،</w:t>
      </w:r>
    </w:p>
    <w:p>
      <w:pPr>
        <w:pStyle w:val="BookText"/>
      </w:pPr>
      <w:r>
        <w:rPr>
          <w:rFonts w:ascii="Amiri" w:hAnsi="Amiri" w:eastAsia="Amiri" w:cs="Amiri"/>
          <w:lang w:bidi="ar-SA"/>
          <w:color w:val="111111"/>
          <w:sz w:val="28"/>
          <w:szCs w:val="28"/>
          <w:rtl/>
        </w:rPr>
        <w:t xml:space="preserve">سهل بن محمّد</w:t>
      </w:r>
    </w:p>
    <w:p>
      <w:pPr>
        <w:pStyle w:val="BookText"/>
      </w:pPr>
      <w:r>
        <w:rPr>
          <w:rFonts w:ascii="Amiri" w:hAnsi="Amiri" w:eastAsia="Amiri" w:cs="Amiri"/>
          <w:lang w:bidi="ar-SA"/>
          <w:color w:val="111111"/>
          <w:sz w:val="28"/>
          <w:szCs w:val="28"/>
          <w:rtl/>
        </w:rPr>
        <w:t xml:space="preserve">جشمي ، محسن بن محمّد -ابن كرامه ،</w:t>
      </w:r>
    </w:p>
    <w:p>
      <w:pPr>
        <w:pStyle w:val="BookText"/>
      </w:pPr>
      <w:r>
        <w:rPr>
          <w:rFonts w:ascii="IRNazanin" w:hAnsi="IRNazanin" w:eastAsia="IRNazanin" w:cs="IRNazanin"/>
          <w:lang w:bidi="fa-IR"/>
          <w:color w:val="111111"/>
          <w:sz w:val="28"/>
          <w:szCs w:val="28"/>
          <w:rtl/>
        </w:rPr>
        <w:t xml:space="preserve">محسن بن محمّد</w:t>
      </w:r>
    </w:p>
    <w:p>
      <w:pPr>
        <w:pStyle w:val="Heading2"/>
      </w:pPr>
      <w:bookmarkStart w:id="3290" w:name="_Toc2392"/>
      <w:r>
        <w:t>جصاص، احمد بن علي، 305 - 370 ه-</w:t>
      </w:r>
      <w:bookmarkEnd w:id="3290"/>
    </w:p>
    <w:p>
      <w:pPr>
        <w:pStyle w:val="BookText"/>
      </w:pPr>
      <w:r>
        <w:rPr>
          <w:rFonts w:ascii="Amiri" w:hAnsi="Amiri" w:eastAsia="Amiri" w:cs="Amiri"/>
          <w:lang w:bidi="ar-SA"/>
          <w:color w:val="111111"/>
          <w:sz w:val="28"/>
          <w:szCs w:val="28"/>
          <w:rtl/>
        </w:rPr>
        <w:t xml:space="preserve">1 .احكام القرآن، ج 1، ص 479.</w:t>
      </w:r>
    </w:p>
    <w:p>
      <w:pPr>
        <w:pStyle w:val="BookText"/>
      </w:pPr>
      <w:r>
        <w:rPr>
          <w:rFonts w:ascii="Amiri" w:hAnsi="Amiri" w:eastAsia="Amiri" w:cs="Amiri"/>
          <w:lang w:bidi="ar-SA"/>
          <w:color w:val="111111"/>
          <w:sz w:val="28"/>
          <w:szCs w:val="28"/>
          <w:rtl/>
        </w:rPr>
        <w:t xml:space="preserve">2 .شرح ادب القاضي للخصاف، ج9،</w:t>
      </w:r>
    </w:p>
    <w:p>
      <w:pPr>
        <w:pStyle w:val="BookText"/>
      </w:pPr>
      <w:r>
        <w:rPr>
          <w:rFonts w:ascii="IRNazanin" w:hAnsi="IRNazanin" w:eastAsia="IRNazanin" w:cs="IRNazanin"/>
          <w:lang w:bidi="fa-IR"/>
          <w:color w:val="111111"/>
          <w:sz w:val="28"/>
          <w:szCs w:val="28"/>
          <w:rtl/>
        </w:rPr>
        <w:t xml:space="preserve">ص 164 .</w:t>
      </w:r>
    </w:p>
    <w:p>
      <w:pPr>
        <w:pStyle w:val="Heading2"/>
      </w:pPr>
      <w:bookmarkStart w:id="3291" w:name="_Toc2393"/>
      <w:r>
        <w:t>جصاني، عباس بن محمّد حسين -1306ه-</w:t>
      </w:r>
      <w:bookmarkEnd w:id="3291"/>
    </w:p>
    <w:p>
      <w:pPr>
        <w:pStyle w:val="BookText"/>
      </w:pPr>
      <w:r>
        <w:rPr>
          <w:rFonts w:ascii="IRNazanin" w:hAnsi="IRNazanin" w:eastAsia="IRNazanin" w:cs="IRNazanin"/>
          <w:lang w:bidi="fa-IR"/>
          <w:color w:val="111111"/>
          <w:sz w:val="28"/>
          <w:szCs w:val="28"/>
          <w:rtl/>
        </w:rPr>
        <w:t xml:space="preserve">شرح شرایع الاسلام، ج 9، ص 625.</w:t>
      </w:r>
    </w:p>
    <w:p>
      <w:pPr>
        <w:pStyle w:val="Heading2"/>
      </w:pPr>
      <w:bookmarkStart w:id="3292" w:name="_Toc2394"/>
      <w:r>
        <w:t>جعبري، ابراهيم بن عمر، 640 - 732 ه-</w:t>
      </w:r>
      <w:bookmarkEnd w:id="32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احكام الهمزة لهشام و حمزة، ج1،</w:t>
      </w:r>
    </w:p>
    <w:p>
      <w:pPr>
        <w:pStyle w:val="BookText"/>
      </w:pPr>
      <w:r>
        <w:rPr>
          <w:rFonts w:ascii="IRNazanin" w:hAnsi="IRNazanin" w:eastAsia="IRNazanin" w:cs="IRNazanin"/>
          <w:lang w:bidi="fa-IR"/>
          <w:color w:val="111111"/>
          <w:sz w:val="28"/>
          <w:szCs w:val="28"/>
          <w:rtl/>
        </w:rPr>
        <w:t xml:space="preserve">ص 493 .</w:t>
      </w:r>
    </w:p>
    <w:p>
      <w:pPr>
        <w:pStyle w:val="BookText"/>
      </w:pPr>
      <w:r>
        <w:rPr>
          <w:rFonts w:ascii="Amiri" w:hAnsi="Amiri" w:eastAsia="Amiri" w:cs="Amiri"/>
          <w:lang w:bidi="ar-SA"/>
          <w:color w:val="111111"/>
          <w:sz w:val="28"/>
          <w:szCs w:val="28"/>
          <w:rtl/>
        </w:rPr>
        <w:t xml:space="preserve">2 .الارصاد في شرح المرصاد الفارق بين</w:t>
      </w:r>
    </w:p>
    <w:p>
      <w:pPr>
        <w:pStyle w:val="BookText"/>
      </w:pPr>
      <w:r>
        <w:rPr>
          <w:rFonts w:ascii="IRNazanin" w:hAnsi="IRNazanin" w:eastAsia="IRNazanin" w:cs="IRNazanin"/>
          <w:lang w:bidi="fa-IR"/>
          <w:color w:val="111111"/>
          <w:sz w:val="28"/>
          <w:szCs w:val="28"/>
          <w:rtl/>
        </w:rPr>
        <w:t xml:space="preserve">الظاء و الضاد، ج 2، ص 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تحقيق التعليم في الترقيق و</w:t>
      </w:r>
    </w:p>
    <w:p>
      <w:pPr>
        <w:pStyle w:val="BookText"/>
      </w:pPr>
      <w:r>
        <w:rPr>
          <w:rFonts w:ascii="Amiri" w:hAnsi="Amiri" w:eastAsia="Amiri" w:cs="Amiri"/>
          <w:lang w:bidi="ar-SA"/>
          <w:color w:val="111111"/>
          <w:sz w:val="28"/>
          <w:szCs w:val="28"/>
          <w:rtl/>
        </w:rPr>
        <w:t xml:space="preserve">التفخيم، ج4، ص 53.</w:t>
      </w:r>
    </w:p>
    <w:p>
      <w:pPr>
        <w:pStyle w:val="BookText"/>
      </w:pPr>
      <w:r>
        <w:rPr>
          <w:rFonts w:ascii="Amiri" w:hAnsi="Amiri" w:eastAsia="Amiri" w:cs="Amiri"/>
          <w:lang w:bidi="ar-SA"/>
          <w:color w:val="111111"/>
          <w:sz w:val="28"/>
          <w:szCs w:val="28"/>
          <w:rtl/>
        </w:rPr>
        <w:t xml:space="preserve">4 .تقريب المأمول في ترتيب النزول</w:t>
      </w:r>
    </w:p>
    <w:p>
      <w:pPr>
        <w:pStyle w:val="BookText"/>
      </w:pPr>
      <w:r>
        <w:rPr>
          <w:rFonts w:ascii="IRNazanin" w:hAnsi="IRNazanin" w:eastAsia="IRNazanin" w:cs="IRNazanin"/>
          <w:lang w:bidi="fa-IR"/>
          <w:color w:val="111111"/>
          <w:sz w:val="28"/>
          <w:szCs w:val="28"/>
          <w:rtl/>
        </w:rPr>
        <w:t xml:space="preserve">ج 4، ص 728.</w:t>
      </w:r>
    </w:p>
    <w:p>
      <w:pPr>
        <w:pStyle w:val="BookText"/>
      </w:pPr>
      <w:r>
        <w:rPr>
          <w:rFonts w:ascii="Amiri" w:hAnsi="Amiri" w:eastAsia="Amiri" w:cs="Amiri"/>
          <w:lang w:bidi="ar-SA"/>
          <w:color w:val="111111"/>
          <w:sz w:val="28"/>
          <w:szCs w:val="28"/>
          <w:rtl/>
        </w:rPr>
        <w:t xml:space="preserve">5 .جميلة ارباب المراصد في شرح عقيلة اتراب القصائد = شرح القصيدة الرائية، ج 5، ص 454.</w:t>
      </w:r>
    </w:p>
    <w:p>
      <w:pPr>
        <w:pStyle w:val="BookText"/>
      </w:pPr>
      <w:r>
        <w:rPr>
          <w:rFonts w:ascii="Amiri" w:hAnsi="Amiri" w:eastAsia="Amiri" w:cs="Amiri"/>
          <w:lang w:bidi="ar-SA"/>
          <w:color w:val="111111"/>
          <w:sz w:val="28"/>
          <w:szCs w:val="28"/>
          <w:rtl/>
        </w:rPr>
        <w:t xml:space="preserve">6 .ديوان الجعبري، ج 7، ص 609.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المعاني في شرح حرز الاماني -</w:t>
      </w:r>
    </w:p>
    <w:p>
      <w:pPr>
        <w:pStyle w:val="BookText"/>
      </w:pPr>
      <w:r>
        <w:rPr>
          <w:rFonts w:ascii="Amiri" w:hAnsi="Amiri" w:eastAsia="Amiri" w:cs="Amiri"/>
          <w:lang w:bidi="ar-SA"/>
          <w:color w:val="111111"/>
          <w:sz w:val="28"/>
          <w:szCs w:val="28"/>
          <w:rtl/>
        </w:rPr>
        <w:t xml:space="preserve">شرح الشاطبية، ج13، ص 437.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نهج الدماثة في القرآت الثلاثة</w:t>
      </w:r>
    </w:p>
    <w:p>
      <w:pPr>
        <w:pStyle w:val="BookText"/>
      </w:pPr>
      <w:r>
        <w:rPr>
          <w:rFonts w:ascii="IRNazanin" w:hAnsi="IRNazanin" w:eastAsia="IRNazanin" w:cs="IRNazanin"/>
          <w:lang w:bidi="fa-IR"/>
          <w:color w:val="111111"/>
          <w:sz w:val="28"/>
          <w:szCs w:val="28"/>
          <w:rtl/>
        </w:rPr>
        <w:t xml:space="preserve">ج 16، ص 526.</w:t>
      </w:r>
    </w:p>
    <w:p>
      <w:pPr>
        <w:pStyle w:val="BookText"/>
      </w:pPr>
      <w:r>
        <w:rPr>
          <w:rFonts w:ascii="Amiri" w:hAnsi="Amiri" w:eastAsia="Amiri" w:cs="Amiri"/>
          <w:lang w:bidi="ar-SA"/>
          <w:color w:val="111111"/>
          <w:sz w:val="28"/>
          <w:szCs w:val="28"/>
          <w:rtl/>
        </w:rPr>
        <w:t xml:space="preserve">9 .الهبات الهنيات في المصنفات</w:t>
      </w:r>
    </w:p>
    <w:p>
      <w:pPr>
        <w:pStyle w:val="BookText"/>
      </w:pPr>
      <w:r>
        <w:rPr>
          <w:rFonts w:ascii="Amiri" w:hAnsi="Amiri" w:eastAsia="Amiri" w:cs="Amiri"/>
          <w:lang w:bidi="ar-SA"/>
          <w:color w:val="111111"/>
          <w:sz w:val="28"/>
          <w:szCs w:val="28"/>
          <w:rtl/>
        </w:rPr>
        <w:t xml:space="preserve">الجعبريات، ج 16، ص 591 .</w:t>
      </w:r>
    </w:p>
    <w:p>
      <w:pPr>
        <w:pStyle w:val="BookText"/>
      </w:pPr>
      <w:r>
        <w:rPr>
          <w:rFonts w:ascii="Amiri" w:hAnsi="Amiri" w:eastAsia="Amiri" w:cs="Amiri"/>
          <w:lang w:bidi="ar-SA"/>
          <w:color w:val="111111"/>
          <w:sz w:val="28"/>
          <w:szCs w:val="28"/>
          <w:rtl/>
        </w:rPr>
        <w:t xml:space="preserve">جعبري ، ارسلان بن يعقوب -دمشقي ارسلان بن يعقوب</w:t>
      </w:r>
    </w:p>
    <w:p>
      <w:pPr>
        <w:pStyle w:val="Heading2"/>
      </w:pPr>
      <w:bookmarkStart w:id="3293" w:name="_Toc2395"/>
      <w:r>
        <w:t>جعبري، صالح بن ثامر - 706</w:t>
      </w:r>
      <w:bookmarkEnd w:id="3293"/>
    </w:p>
    <w:p>
      <w:pPr>
        <w:pStyle w:val="BookText"/>
      </w:pPr>
      <w:r>
        <w:rPr>
          <w:rFonts w:ascii="Amiri" w:hAnsi="Amiri" w:eastAsia="Amiri" w:cs="Amiri"/>
          <w:lang w:bidi="ar-SA"/>
          <w:color w:val="111111"/>
          <w:sz w:val="28"/>
          <w:szCs w:val="28"/>
          <w:rtl/>
        </w:rPr>
        <w:t xml:space="preserve">الجعبرية، ج 5، ص 385.</w:t>
      </w:r>
    </w:p>
    <w:p>
      <w:pPr>
        <w:pStyle w:val="BookText"/>
      </w:pPr>
      <w:r>
        <w:rPr>
          <w:rFonts w:ascii="Amiri" w:hAnsi="Amiri" w:eastAsia="Amiri" w:cs="Amiri"/>
          <w:lang w:bidi="ar-SA"/>
          <w:color w:val="111111"/>
          <w:sz w:val="28"/>
          <w:szCs w:val="28"/>
          <w:rtl/>
        </w:rPr>
        <w:t xml:space="preserve">جعفر با عبود بن صادق علوي -باعبود علوي ، جعفر بن صادق</w:t>
      </w:r>
    </w:p>
    <w:p>
      <w:pPr>
        <w:pStyle w:val="BookText"/>
      </w:pPr>
      <w:r>
        <w:rPr>
          <w:rFonts w:ascii="Amiri" w:hAnsi="Amiri" w:eastAsia="Amiri" w:cs="Amiri"/>
          <w:lang w:bidi="ar-SA"/>
          <w:color w:val="111111"/>
          <w:sz w:val="28"/>
          <w:szCs w:val="28"/>
          <w:rtl/>
        </w:rPr>
        <w:t xml:space="preserve">جعفر بن ابراهيم مقري -مقري ، جعفر</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جعفر بن ابي اسحاق دارابي كشفي</w:t>
      </w:r>
    </w:p>
    <w:p>
      <w:pPr>
        <w:pStyle w:val="BookText"/>
      </w:pPr>
      <w:r>
        <w:rPr>
          <w:rFonts w:ascii="Amiri" w:hAnsi="Amiri" w:eastAsia="Amiri" w:cs="Amiri"/>
          <w:lang w:bidi="ar-SA"/>
          <w:color w:val="111111"/>
          <w:sz w:val="28"/>
          <w:szCs w:val="28"/>
          <w:rtl/>
        </w:rPr>
        <w:t xml:space="preserve">بروجردي- كشفي ، جعفر بن ابي اسحاق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9" w:name="pg7742_70046"/>
    <w:bookmarkEnd w:id="329"/>
    <w:p>
      <w:pPr>
        <w:pStyle w:val="BookText"/>
      </w:pPr>
      <w:r>
        <w:rPr>
          <w:rFonts w:ascii="Amiri" w:hAnsi="Amiri" w:eastAsia="Amiri" w:cs="Amiri"/>
          <w:lang w:bidi="ar-SA"/>
          <w:color w:val="111111"/>
          <w:sz w:val="28"/>
          <w:szCs w:val="28"/>
          <w:rtl/>
        </w:rPr>
        <w:t xml:space="preserve">جعفر بن احمد البديري - بديري ، جعفر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جعفر بن احمد سراج- ابن سراج ، جعفر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جعفر بن احمد موسوي خراساني -موسوي</w:t>
      </w:r>
    </w:p>
    <w:p>
      <w:pPr>
        <w:pStyle w:val="BookText"/>
      </w:pPr>
      <w:r>
        <w:rPr>
          <w:rFonts w:ascii="Amiri" w:hAnsi="Amiri" w:eastAsia="Amiri" w:cs="Amiri"/>
          <w:lang w:bidi="ar-SA"/>
          <w:color w:val="111111"/>
          <w:sz w:val="28"/>
          <w:szCs w:val="28"/>
          <w:rtl/>
        </w:rPr>
        <w:t xml:space="preserve">خراساني ، جعفر بن احمد</w:t>
      </w:r>
    </w:p>
    <w:p>
      <w:pPr>
        <w:pStyle w:val="BookText"/>
      </w:pPr>
      <w:r>
        <w:rPr>
          <w:rFonts w:ascii="IRNazanin" w:hAnsi="IRNazanin" w:eastAsia="IRNazanin" w:cs="IRNazanin"/>
          <w:lang w:bidi="fa-IR"/>
          <w:color w:val="111111"/>
          <w:sz w:val="28"/>
          <w:szCs w:val="28"/>
          <w:rtl/>
        </w:rPr>
        <w:t xml:space="preserve">جعفر بن باقر محبوبه- ابن جواد محبوبه</w:t>
      </w:r>
    </w:p>
    <w:p>
      <w:pPr>
        <w:pStyle w:val="BookText"/>
      </w:pPr>
      <w:r>
        <w:rPr>
          <w:rFonts w:ascii="IRNazanin" w:hAnsi="IRNazanin" w:eastAsia="IRNazanin" w:cs="IRNazanin"/>
          <w:lang w:bidi="fa-IR"/>
          <w:color w:val="111111"/>
          <w:sz w:val="28"/>
          <w:szCs w:val="28"/>
          <w:rtl/>
        </w:rPr>
        <w:t xml:space="preserve">، جعفر بن باقر</w:t>
      </w:r>
    </w:p>
    <w:p>
      <w:pPr>
        <w:pStyle w:val="BookText"/>
      </w:pPr>
      <w:r>
        <w:rPr>
          <w:rFonts w:ascii="Amiri" w:hAnsi="Amiri" w:eastAsia="Amiri" w:cs="Amiri"/>
          <w:lang w:bidi="ar-SA"/>
          <w:color w:val="111111"/>
          <w:sz w:val="28"/>
          <w:szCs w:val="28"/>
          <w:rtl/>
        </w:rPr>
        <w:t xml:space="preserve">جعفر بن حسن برزنجي - برزنجي ، جعفر</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جعفر بن حسن حلي هذلي -محقق حلي ،</w:t>
      </w:r>
    </w:p>
    <w:p>
      <w:pPr>
        <w:pStyle w:val="BookText"/>
      </w:pPr>
      <w:r>
        <w:rPr>
          <w:rFonts w:ascii="IRNazanin" w:hAnsi="IRNazanin" w:eastAsia="IRNazanin" w:cs="IRNazanin"/>
          <w:lang w:bidi="fa-IR"/>
          <w:color w:val="111111"/>
          <w:sz w:val="28"/>
          <w:szCs w:val="28"/>
          <w:rtl/>
        </w:rPr>
        <w:t xml:space="preserve">جعفر بن حسن</w:t>
      </w:r>
    </w:p>
    <w:p>
      <w:pPr>
        <w:pStyle w:val="BookText"/>
      </w:pPr>
      <w:r>
        <w:rPr>
          <w:rFonts w:ascii="IRNazanin" w:hAnsi="IRNazanin" w:eastAsia="IRNazanin" w:cs="IRNazanin"/>
          <w:lang w:bidi="fa-IR"/>
          <w:color w:val="111111"/>
          <w:sz w:val="28"/>
          <w:szCs w:val="28"/>
          <w:rtl/>
        </w:rPr>
        <w:t xml:space="preserve">جعفر بن حسن هوسمي- هوسمی</w:t>
      </w:r>
    </w:p>
    <w:p>
      <w:pPr>
        <w:pStyle w:val="BookText"/>
      </w:pPr>
      <w:r>
        <w:rPr>
          <w:rFonts w:ascii="IRNazanin" w:hAnsi="IRNazanin" w:eastAsia="IRNazanin" w:cs="IRNazanin"/>
          <w:lang w:bidi="fa-IR"/>
          <w:color w:val="111111"/>
          <w:sz w:val="28"/>
          <w:szCs w:val="28"/>
          <w:rtl/>
        </w:rPr>
        <w:t xml:space="preserve">جعفر بن حسن</w:t>
      </w:r>
    </w:p>
    <w:p>
      <w:pPr>
        <w:pStyle w:val="BookText"/>
      </w:pPr>
      <w:r>
        <w:rPr>
          <w:rFonts w:ascii="Amiri" w:hAnsi="Amiri" w:eastAsia="Amiri" w:cs="Amiri"/>
          <w:lang w:bidi="ar-SA"/>
          <w:color w:val="111111"/>
          <w:sz w:val="28"/>
          <w:szCs w:val="28"/>
          <w:rtl/>
        </w:rPr>
        <w:t xml:space="preserve">جعفر بن حسين شوشتري- شوشتري ،</w:t>
      </w:r>
    </w:p>
    <w:p>
      <w:pPr>
        <w:pStyle w:val="BookText"/>
      </w:pPr>
      <w:r>
        <w:rPr>
          <w:rFonts w:ascii="Amiri" w:hAnsi="Amiri" w:eastAsia="Amiri" w:cs="Amiri"/>
          <w:lang w:bidi="ar-SA"/>
          <w:color w:val="111111"/>
          <w:sz w:val="28"/>
          <w:szCs w:val="28"/>
          <w:rtl/>
        </w:rPr>
        <w:t xml:space="preserve">جعفر بن حسين</w:t>
      </w:r>
    </w:p>
    <w:p>
      <w:pPr>
        <w:pStyle w:val="BookText"/>
      </w:pPr>
      <w:r>
        <w:rPr>
          <w:rFonts w:ascii="Amiri" w:hAnsi="Amiri" w:eastAsia="Amiri" w:cs="Amiri"/>
          <w:lang w:bidi="ar-SA"/>
          <w:color w:val="111111"/>
          <w:sz w:val="28"/>
          <w:szCs w:val="28"/>
          <w:rtl/>
        </w:rPr>
        <w:t xml:space="preserve">جعفر بن حمد آل كمال الدين حلي -آل</w:t>
      </w:r>
    </w:p>
    <w:p>
      <w:pPr>
        <w:pStyle w:val="BookText"/>
      </w:pPr>
      <w:r>
        <w:rPr>
          <w:rFonts w:ascii="Amiri" w:hAnsi="Amiri" w:eastAsia="Amiri" w:cs="Amiri"/>
          <w:lang w:bidi="ar-SA"/>
          <w:color w:val="111111"/>
          <w:sz w:val="28"/>
          <w:szCs w:val="28"/>
          <w:rtl/>
        </w:rPr>
        <w:t xml:space="preserve">كمال الدين حلي ، جعفر بن حمد</w:t>
      </w:r>
    </w:p>
    <w:p>
      <w:pPr>
        <w:pStyle w:val="BookText"/>
      </w:pPr>
      <w:r>
        <w:rPr>
          <w:rFonts w:ascii="Amiri" w:hAnsi="Amiri" w:eastAsia="Amiri" w:cs="Amiri"/>
          <w:lang w:bidi="ar-SA"/>
          <w:color w:val="111111"/>
          <w:sz w:val="28"/>
          <w:szCs w:val="28"/>
          <w:rtl/>
        </w:rPr>
        <w:t xml:space="preserve">جعفر بن خضر كاشف الغطاء -كاشف</w:t>
      </w:r>
    </w:p>
    <w:p>
      <w:pPr>
        <w:pStyle w:val="BookText"/>
      </w:pPr>
      <w:r>
        <w:rPr>
          <w:rFonts w:ascii="IRNazanin" w:hAnsi="IRNazanin" w:eastAsia="IRNazanin" w:cs="IRNazanin"/>
          <w:lang w:bidi="fa-IR"/>
          <w:color w:val="111111"/>
          <w:sz w:val="28"/>
          <w:szCs w:val="28"/>
          <w:rtl/>
        </w:rPr>
        <w:t xml:space="preserve">الغطاء ، جعفر بن خضر</w:t>
      </w:r>
    </w:p>
    <w:p>
      <w:pPr>
        <w:pStyle w:val="BookText"/>
      </w:pPr>
      <w:r>
        <w:rPr>
          <w:rFonts w:ascii="Amiri" w:hAnsi="Amiri" w:eastAsia="Amiri" w:cs="Amiri"/>
          <w:lang w:bidi="ar-SA"/>
          <w:color w:val="111111"/>
          <w:sz w:val="28"/>
          <w:szCs w:val="28"/>
          <w:rtl/>
        </w:rPr>
        <w:t xml:space="preserve">جعفر بن سلمان صفوي علوي - صفوي ،</w:t>
      </w:r>
    </w:p>
    <w:p>
      <w:pPr>
        <w:pStyle w:val="BookText"/>
      </w:pPr>
      <w:r>
        <w:rPr>
          <w:rFonts w:ascii="IRNazanin" w:hAnsi="IRNazanin" w:eastAsia="IRNazanin" w:cs="IRNazanin"/>
          <w:lang w:bidi="fa-IR"/>
          <w:color w:val="111111"/>
          <w:sz w:val="28"/>
          <w:szCs w:val="28"/>
          <w:rtl/>
        </w:rPr>
        <w:t xml:space="preserve">جعفر بن سلمان</w:t>
      </w:r>
    </w:p>
    <w:p>
      <w:pPr>
        <w:pStyle w:val="BookText"/>
      </w:pPr>
      <w:r>
        <w:rPr>
          <w:rFonts w:ascii="Amiri" w:hAnsi="Amiri" w:eastAsia="Amiri" w:cs="Amiri"/>
          <w:lang w:bidi="ar-SA"/>
          <w:color w:val="111111"/>
          <w:sz w:val="28"/>
          <w:szCs w:val="28"/>
          <w:rtl/>
        </w:rPr>
        <w:t xml:space="preserve">جعفر بن سيف الدين</w:t>
      </w:r>
    </w:p>
    <w:p>
      <w:pPr>
        <w:pStyle w:val="BookText"/>
      </w:pPr>
      <w:r>
        <w:rPr>
          <w:rFonts w:ascii="IRNazanin" w:hAnsi="IRNazanin" w:eastAsia="IRNazanin" w:cs="IRNazanin"/>
          <w:lang w:bidi="fa-IR"/>
          <w:color w:val="111111"/>
          <w:sz w:val="28"/>
          <w:szCs w:val="28"/>
          <w:rtl/>
        </w:rPr>
        <w:t xml:space="preserve">جعفر بن محمّد بن عبدالله</w:t>
      </w:r>
    </w:p>
    <w:p>
      <w:pPr>
        <w:pStyle w:val="BookText"/>
      </w:pPr>
      <w:r>
        <w:rPr>
          <w:rFonts w:ascii="Amiri" w:hAnsi="Amiri" w:eastAsia="Amiri" w:cs="Amiri"/>
          <w:lang w:bidi="ar-SA"/>
          <w:color w:val="111111"/>
          <w:sz w:val="28"/>
          <w:szCs w:val="28"/>
          <w:rtl/>
        </w:rPr>
        <w:t xml:space="preserve">استرآبادي -استرآبادي ، محمّد جعفر بن سيف</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جعفر بن شمس الخلافه محمّد</w:t>
      </w:r>
    </w:p>
    <w:p>
      <w:pPr>
        <w:pStyle w:val="BookText"/>
      </w:pPr>
      <w:r>
        <w:rPr>
          <w:rFonts w:ascii="Amiri" w:hAnsi="Amiri" w:eastAsia="Amiri" w:cs="Amiri"/>
          <w:lang w:bidi="ar-SA"/>
          <w:color w:val="111111"/>
          <w:sz w:val="28"/>
          <w:szCs w:val="28"/>
          <w:rtl/>
        </w:rPr>
        <w:t xml:space="preserve">افضلي -افضلي ، جعفر بن محمّد</w:t>
      </w:r>
    </w:p>
    <w:p>
      <w:pPr>
        <w:pStyle w:val="BookText"/>
      </w:pPr>
      <w:r>
        <w:rPr>
          <w:rFonts w:ascii="Amiri" w:hAnsi="Amiri" w:eastAsia="Amiri" w:cs="Amiri"/>
          <w:lang w:bidi="ar-SA"/>
          <w:color w:val="111111"/>
          <w:sz w:val="28"/>
          <w:szCs w:val="28"/>
          <w:rtl/>
        </w:rPr>
        <w:t xml:space="preserve">جعفر بن شمس الدين حسن بن يحيى بن</w:t>
      </w:r>
    </w:p>
    <w:p>
      <w:pPr>
        <w:pStyle w:val="BookText"/>
      </w:pPr>
      <w:r>
        <w:rPr>
          <w:rFonts w:ascii="Amiri" w:hAnsi="Amiri" w:eastAsia="Amiri" w:cs="Amiri"/>
          <w:lang w:bidi="ar-SA"/>
          <w:color w:val="111111"/>
          <w:sz w:val="28"/>
          <w:szCs w:val="28"/>
          <w:rtl/>
        </w:rPr>
        <w:t xml:space="preserve">سعيد- محقق حلي ، جعفر بن حسن</w:t>
      </w:r>
    </w:p>
    <w:p>
      <w:pPr>
        <w:pStyle w:val="BookText"/>
      </w:pPr>
      <w:r>
        <w:rPr>
          <w:rFonts w:ascii="Amiri" w:hAnsi="Amiri" w:eastAsia="Amiri" w:cs="Amiri"/>
          <w:lang w:bidi="ar-SA"/>
          <w:color w:val="111111"/>
          <w:sz w:val="28"/>
          <w:szCs w:val="28"/>
          <w:rtl/>
        </w:rPr>
        <w:t xml:space="preserve">جعفر بن عبدالحسن آل راضي نجفي- آل</w:t>
      </w:r>
    </w:p>
    <w:p>
      <w:pPr>
        <w:pStyle w:val="BookText"/>
      </w:pPr>
      <w:r>
        <w:rPr>
          <w:rFonts w:ascii="Amiri" w:hAnsi="Amiri" w:eastAsia="Amiri" w:cs="Amiri"/>
          <w:lang w:bidi="ar-SA"/>
          <w:color w:val="111111"/>
          <w:sz w:val="28"/>
          <w:szCs w:val="28"/>
          <w:rtl/>
        </w:rPr>
        <w:t xml:space="preserve">راضي نجفي ، جعفر بن عبدالحسن</w:t>
      </w:r>
    </w:p>
    <w:p>
      <w:pPr>
        <w:pStyle w:val="BookText"/>
      </w:pPr>
      <w:r>
        <w:rPr>
          <w:rFonts w:ascii="Amiri" w:hAnsi="Amiri" w:eastAsia="Amiri" w:cs="Amiri"/>
          <w:lang w:bidi="ar-SA"/>
          <w:color w:val="111111"/>
          <w:sz w:val="28"/>
          <w:szCs w:val="28"/>
          <w:rtl/>
        </w:rPr>
        <w:t xml:space="preserve">جعفر بن عبدالله حويزي اصفهاني -حويزي ، جعفر بن عبدالله</w:t>
      </w:r>
    </w:p>
    <w:p>
      <w:pPr>
        <w:pStyle w:val="BookText"/>
      </w:pPr>
      <w:r>
        <w:rPr>
          <w:rFonts w:ascii="Amiri" w:hAnsi="Amiri" w:eastAsia="Amiri" w:cs="Amiri"/>
          <w:lang w:bidi="ar-SA"/>
          <w:color w:val="111111"/>
          <w:sz w:val="28"/>
          <w:szCs w:val="28"/>
          <w:rtl/>
        </w:rPr>
        <w:t xml:space="preserve">جعفر بن كمال الدين بحراني- بحراني ،</w:t>
      </w:r>
    </w:p>
    <w:p>
      <w:pPr>
        <w:pStyle w:val="BookText"/>
      </w:pPr>
      <w:r>
        <w:rPr>
          <w:rFonts w:ascii="Amiri" w:hAnsi="Amiri" w:eastAsia="Amiri" w:cs="Amiri"/>
          <w:lang w:bidi="ar-SA"/>
          <w:color w:val="111111"/>
          <w:sz w:val="28"/>
          <w:szCs w:val="28"/>
          <w:rtl/>
        </w:rPr>
        <w:t xml:space="preserve">جعفر بن كمال الدين</w:t>
      </w:r>
    </w:p>
    <w:p>
      <w:pPr>
        <w:pStyle w:val="Heading2"/>
      </w:pPr>
      <w:bookmarkStart w:id="3294" w:name="_Toc2396"/>
      <w:r>
        <w:t>جعفر بن محمّد</w:t>
      </w:r>
      <w:bookmarkEnd w:id="3294"/>
    </w:p>
    <w:p>
      <w:pPr>
        <w:pStyle w:val="BookText"/>
      </w:pPr>
      <w:r>
        <w:rPr>
          <w:rFonts w:ascii="IRNazanin" w:hAnsi="IRNazanin" w:eastAsia="IRNazanin" w:cs="IRNazanin"/>
          <w:lang w:bidi="fa-IR"/>
          <w:color w:val="111111"/>
          <w:sz w:val="28"/>
          <w:szCs w:val="28"/>
          <w:rtl/>
        </w:rPr>
        <w:t xml:space="preserve">الفوائد، ج 12، ص172</w:t>
      </w:r>
    </w:p>
    <w:p>
      <w:pPr>
        <w:pStyle w:val="BookText"/>
      </w:pPr>
      <w:r>
        <w:rPr>
          <w:rFonts w:ascii="Amiri" w:hAnsi="Amiri" w:eastAsia="Amiri" w:cs="Amiri"/>
          <w:lang w:bidi="ar-SA"/>
          <w:color w:val="111111"/>
          <w:sz w:val="28"/>
          <w:szCs w:val="28"/>
          <w:rtl/>
        </w:rPr>
        <w:t xml:space="preserve">جعفر بن محمّد( ابن قولويه)- ابن</w:t>
      </w:r>
    </w:p>
    <w:p>
      <w:pPr>
        <w:pStyle w:val="BookText"/>
      </w:pPr>
      <w:r>
        <w:rPr>
          <w:rFonts w:ascii="IRNazanin" w:hAnsi="IRNazanin" w:eastAsia="IRNazanin" w:cs="IRNazanin"/>
          <w:lang w:bidi="fa-IR"/>
          <w:color w:val="111111"/>
          <w:sz w:val="28"/>
          <w:szCs w:val="28"/>
          <w:rtl/>
        </w:rPr>
        <w:t xml:space="preserve">قولویه ، جعفر بن محمّد</w:t>
      </w:r>
    </w:p>
    <w:p>
      <w:pPr>
        <w:pStyle w:val="BookText"/>
      </w:pPr>
      <w:r>
        <w:rPr>
          <w:rFonts w:ascii="Amiri" w:hAnsi="Amiri" w:eastAsia="Amiri" w:cs="Amiri"/>
          <w:lang w:bidi="ar-SA"/>
          <w:color w:val="111111"/>
          <w:sz w:val="28"/>
          <w:szCs w:val="28"/>
          <w:rtl/>
        </w:rPr>
        <w:t xml:space="preserve">جعفر بن محمّد ابراهيم كرباسي- كرباسي</w:t>
      </w:r>
    </w:p>
    <w:p>
      <w:pPr>
        <w:pStyle w:val="BookText"/>
      </w:pPr>
      <w:r>
        <w:rPr>
          <w:rFonts w:ascii="Amiri" w:hAnsi="Amiri" w:eastAsia="Amiri" w:cs="Amiri"/>
          <w:lang w:bidi="ar-SA"/>
          <w:color w:val="111111"/>
          <w:sz w:val="28"/>
          <w:szCs w:val="28"/>
          <w:rtl/>
        </w:rPr>
        <w:t xml:space="preserve">جعفر بن محمّد ابراهيم</w:t>
      </w:r>
    </w:p>
    <w:p>
      <w:pPr>
        <w:pStyle w:val="BookText"/>
      </w:pPr>
      <w:r>
        <w:rPr>
          <w:rFonts w:ascii="IRNazanin" w:hAnsi="IRNazanin" w:eastAsia="IRNazanin" w:cs="IRNazanin"/>
          <w:lang w:bidi="fa-IR"/>
          <w:color w:val="111111"/>
          <w:sz w:val="28"/>
          <w:szCs w:val="28"/>
          <w:rtl/>
        </w:rPr>
        <w:t xml:space="preserve">جعفر بن محمّد بن</w:t>
      </w:r>
    </w:p>
    <w:p>
      <w:pPr>
        <w:pStyle w:val="BookText"/>
      </w:pPr>
      <w:r>
        <w:rPr>
          <w:rFonts w:ascii="IRNazanin" w:hAnsi="IRNazanin" w:eastAsia="IRNazanin" w:cs="IRNazanin"/>
          <w:lang w:bidi="fa-IR"/>
          <w:color w:val="111111"/>
          <w:sz w:val="28"/>
          <w:szCs w:val="28"/>
          <w:rtl/>
        </w:rPr>
        <w:t xml:space="preserve">بحر العلوم -بحر العلوم ، جعفر بن محمّد باقر</w:t>
      </w:r>
    </w:p>
    <w:p>
      <w:pPr>
        <w:pStyle w:val="BookText"/>
      </w:pPr>
      <w:r>
        <w:rPr>
          <w:rFonts w:ascii="Amiri" w:hAnsi="Amiri" w:eastAsia="Amiri" w:cs="Amiri"/>
          <w:lang w:bidi="ar-SA"/>
          <w:color w:val="111111"/>
          <w:sz w:val="28"/>
          <w:szCs w:val="28"/>
          <w:rtl/>
        </w:rPr>
        <w:t xml:space="preserve">جعفر بن محمّد بن جعفر بن راضي حسيني اعرجي - حسيني اعرجي ، جعفر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جعفر بن محمّد بن شريح حضري- ابن</w:t>
      </w:r>
    </w:p>
    <w:p>
      <w:pPr>
        <w:pStyle w:val="BookText"/>
      </w:pPr>
      <w:r>
        <w:rPr>
          <w:rFonts w:ascii="IRNazanin" w:hAnsi="IRNazanin" w:eastAsia="IRNazanin" w:cs="IRNazanin"/>
          <w:lang w:bidi="fa-IR"/>
          <w:color w:val="111111"/>
          <w:sz w:val="28"/>
          <w:szCs w:val="28"/>
          <w:rtl/>
        </w:rPr>
        <w:t xml:space="preserve">شریح، جعفر بن محمّد</w:t>
      </w:r>
    </w:p>
    <w:p>
      <w:pPr>
        <w:pStyle w:val="Heading2"/>
      </w:pPr>
      <w:bookmarkStart w:id="3295" w:name="_Toc2397"/>
      <w:r>
        <w:t>جعفر بن محمّد بن عبدالله</w:t>
      </w:r>
      <w:bookmarkEnd w:id="3295"/>
    </w:p>
    <w:p>
      <w:pPr>
        <w:pStyle w:val="BookText"/>
      </w:pPr>
      <w:r>
        <w:rPr>
          <w:rFonts w:ascii="Amiri" w:hAnsi="Amiri" w:eastAsia="Amiri" w:cs="Amiri"/>
          <w:lang w:bidi="ar-SA"/>
          <w:color w:val="111111"/>
          <w:sz w:val="28"/>
          <w:szCs w:val="28"/>
          <w:rtl/>
        </w:rPr>
        <w:t xml:space="preserve">ملتقى البحرين، ج 15، ص 448</w:t>
      </w:r>
    </w:p>
    <w:p>
      <w:pPr>
        <w:pStyle w:val="BookText"/>
      </w:pPr>
      <w:r>
        <w:rPr>
          <w:rFonts w:ascii="Amiri" w:hAnsi="Amiri" w:eastAsia="Amiri" w:cs="Amiri"/>
          <w:lang w:bidi="ar-SA"/>
          <w:color w:val="111111"/>
          <w:sz w:val="28"/>
          <w:szCs w:val="28"/>
          <w:rtl/>
        </w:rPr>
        <w:t xml:space="preserve">جعفر بن محمّد حضرمي- حضرمي</w:t>
      </w:r>
    </w:p>
    <w:p>
      <w:pPr>
        <w:pStyle w:val="BookText"/>
      </w:pPr>
      <w:r>
        <w:rPr>
          <w:rFonts w:ascii="IRNazanin" w:hAnsi="IRNazanin" w:eastAsia="IRNazanin" w:cs="IRNazanin"/>
          <w:lang w:bidi="fa-IR"/>
          <w:color w:val="111111"/>
          <w:sz w:val="28"/>
          <w:szCs w:val="28"/>
          <w:rtl/>
        </w:rPr>
        <w:t xml:space="preserve">جعفر بن محمّد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0" w:name="pg7742_70048"/>
    <w:bookmarkEnd w:id="330"/>
    <w:p>
      <w:pPr>
        <w:pStyle w:val="BookText"/>
      </w:pPr>
      <w:r>
        <w:rPr>
          <w:rFonts w:ascii="Amiri" w:hAnsi="Amiri" w:eastAsia="Amiri" w:cs="Amiri"/>
          <w:lang w:bidi="ar-SA"/>
          <w:color w:val="111111"/>
          <w:sz w:val="28"/>
          <w:szCs w:val="28"/>
          <w:rtl/>
        </w:rPr>
        <w:t xml:space="preserve">جعفر بن محمّد خطي -خطي ، جعفر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جعفر بن محمّد خلدي خواص -خلدي ،</w:t>
      </w:r>
    </w:p>
    <w:p>
      <w:pPr>
        <w:pStyle w:val="BookText"/>
      </w:pPr>
      <w:r>
        <w:rPr>
          <w:rFonts w:ascii="IRNazanin" w:hAnsi="IRNazanin" w:eastAsia="IRNazanin" w:cs="IRNazanin"/>
          <w:lang w:bidi="fa-IR"/>
          <w:color w:val="111111"/>
          <w:sz w:val="28"/>
          <w:szCs w:val="28"/>
          <w:rtl/>
        </w:rPr>
        <w:t xml:space="preserve">جعفر بن محمّد</w:t>
      </w:r>
    </w:p>
    <w:p>
      <w:pPr>
        <w:pStyle w:val="BookText"/>
      </w:pPr>
      <w:r>
        <w:rPr>
          <w:rFonts w:ascii="Amiri" w:hAnsi="Amiri" w:eastAsia="Amiri" w:cs="Amiri"/>
          <w:lang w:bidi="ar-SA"/>
          <w:color w:val="111111"/>
          <w:sz w:val="28"/>
          <w:szCs w:val="28"/>
          <w:rtl/>
        </w:rPr>
        <w:t xml:space="preserve">جعفر بن محمّد رضا كاشف الغطاء- آل</w:t>
      </w:r>
    </w:p>
    <w:p>
      <w:pPr>
        <w:pStyle w:val="BookText"/>
      </w:pPr>
      <w:r>
        <w:rPr>
          <w:rFonts w:ascii="Amiri" w:hAnsi="Amiri" w:eastAsia="Amiri" w:cs="Amiri"/>
          <w:lang w:bidi="ar-SA"/>
          <w:color w:val="111111"/>
          <w:sz w:val="28"/>
          <w:szCs w:val="28"/>
          <w:rtl/>
        </w:rPr>
        <w:t xml:space="preserve">كاشف الغطاء ، جعفر بن محمّد رضا</w:t>
      </w:r>
    </w:p>
    <w:p>
      <w:pPr>
        <w:pStyle w:val="BookText"/>
      </w:pPr>
      <w:r>
        <w:rPr>
          <w:rFonts w:ascii="Amiri" w:hAnsi="Amiri" w:eastAsia="Amiri" w:cs="Amiri"/>
          <w:lang w:bidi="ar-SA"/>
          <w:color w:val="111111"/>
          <w:sz w:val="28"/>
          <w:szCs w:val="28"/>
          <w:rtl/>
        </w:rPr>
        <w:t xml:space="preserve">. جعفر بن محمد طباطبائي - بحر العلوم ،</w:t>
      </w:r>
    </w:p>
    <w:p>
      <w:pPr>
        <w:pStyle w:val="BookText"/>
      </w:pPr>
      <w:r>
        <w:rPr>
          <w:rFonts w:ascii="IRNazanin" w:hAnsi="IRNazanin" w:eastAsia="IRNazanin" w:cs="IRNazanin"/>
          <w:lang w:bidi="fa-IR"/>
          <w:color w:val="111111"/>
          <w:sz w:val="28"/>
          <w:szCs w:val="28"/>
          <w:rtl/>
        </w:rPr>
        <w:t xml:space="preserve">جعفر بن محمّد باقر</w:t>
      </w:r>
    </w:p>
    <w:p>
      <w:pPr>
        <w:pStyle w:val="Heading2"/>
      </w:pPr>
      <w:bookmarkStart w:id="3296" w:name="_Toc2398"/>
      <w:r>
        <w:t>جعفر بن محمّد الصادق (ع) ، 80-148ه-</w:t>
      </w:r>
      <w:bookmarkEnd w:id="3296"/>
    </w:p>
    <w:p>
      <w:pPr>
        <w:pStyle w:val="BookText"/>
      </w:pPr>
      <w:r>
        <w:rPr>
          <w:rFonts w:ascii="IRNazanin" w:hAnsi="IRNazanin" w:eastAsia="IRNazanin" w:cs="IRNazanin"/>
          <w:lang w:bidi="fa-IR"/>
          <w:color w:val="111111"/>
          <w:sz w:val="28"/>
          <w:szCs w:val="28"/>
          <w:rtl/>
        </w:rPr>
        <w:t xml:space="preserve">1 .اختلاجات اعضاء، ج 1، ص 545.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اختيارات الايام، ج 1، ص 557 .</w:t>
      </w:r>
    </w:p>
    <w:p>
      <w:pPr>
        <w:pStyle w:val="BookText"/>
      </w:pPr>
      <w:r>
        <w:rPr>
          <w:rFonts w:ascii="Amiri" w:hAnsi="Amiri" w:eastAsia="Amiri" w:cs="Amiri"/>
          <w:lang w:bidi="ar-SA"/>
          <w:color w:val="111111"/>
          <w:sz w:val="28"/>
          <w:szCs w:val="28"/>
          <w:rtl/>
        </w:rPr>
        <w:t xml:space="preserve">3 .الاهليلجة في التوحيد، ج 3، ص 53</w:t>
      </w:r>
    </w:p>
    <w:p>
      <w:pPr>
        <w:pStyle w:val="BookText"/>
      </w:pPr>
      <w:r>
        <w:rPr>
          <w:rFonts w:ascii="IRNazanin" w:hAnsi="IRNazanin" w:eastAsia="IRNazanin" w:cs="IRNazanin"/>
          <w:lang w:bidi="fa-IR"/>
          <w:color w:val="111111"/>
          <w:sz w:val="28"/>
          <w:szCs w:val="28"/>
          <w:rtl/>
        </w:rPr>
        <w:t xml:space="preserve">4 .بحار العلوم، ج 3، ص 200.</w:t>
      </w:r>
    </w:p>
    <w:p>
      <w:pPr>
        <w:pStyle w:val="BookText"/>
      </w:pPr>
      <w:r>
        <w:rPr>
          <w:rFonts w:ascii="IRNazanin" w:hAnsi="IRNazanin" w:eastAsia="IRNazanin" w:cs="IRNazanin"/>
          <w:lang w:bidi="fa-IR"/>
          <w:color w:val="111111"/>
          <w:sz w:val="28"/>
          <w:szCs w:val="28"/>
          <w:rtl/>
        </w:rPr>
        <w:t xml:space="preserve">5 .التفأل بالقرآن، ج 4، ص 566.</w:t>
      </w:r>
    </w:p>
    <w:p>
      <w:pPr>
        <w:pStyle w:val="BookText"/>
      </w:pPr>
      <w:r>
        <w:rPr>
          <w:rFonts w:ascii="Amiri" w:hAnsi="Amiri" w:eastAsia="Amiri" w:cs="Amiri"/>
          <w:lang w:bidi="ar-SA"/>
          <w:color w:val="111111"/>
          <w:sz w:val="28"/>
          <w:szCs w:val="28"/>
          <w:rtl/>
        </w:rPr>
        <w:t xml:space="preserve">6 .التفاؤل في القرآن، ج 4، ص567.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الجفر، ج 5، ص 392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جفر خافية، ج 5، ص 400 .</w:t>
      </w:r>
    </w:p>
    <w:p>
      <w:pPr>
        <w:pStyle w:val="BookText"/>
      </w:pPr>
      <w:r>
        <w:rPr>
          <w:rFonts w:ascii="Amiri" w:hAnsi="Amiri" w:eastAsia="Amiri" w:cs="Amiri"/>
          <w:lang w:bidi="ar-SA"/>
          <w:color w:val="111111"/>
          <w:sz w:val="28"/>
          <w:szCs w:val="28"/>
          <w:rtl/>
        </w:rPr>
        <w:t xml:space="preserve">9.الجفر (رسالة في)، ج 5، ص 392 .</w:t>
      </w:r>
    </w:p>
    <w:p>
      <w:pPr>
        <w:pStyle w:val="BookText"/>
      </w:pPr>
      <w:r>
        <w:rPr>
          <w:rFonts w:ascii="IRNazanin" w:hAnsi="IRNazanin" w:eastAsia="IRNazanin" w:cs="IRNazanin"/>
          <w:lang w:bidi="fa-IR"/>
          <w:color w:val="111111"/>
          <w:sz w:val="28"/>
          <w:szCs w:val="28"/>
          <w:rtl/>
        </w:rPr>
        <w:t xml:space="preserve">10 .خواص القرآن، ج 7، ص180.</w:t>
      </w:r>
    </w:p>
    <w:p>
      <w:pPr>
        <w:pStyle w:val="BookText"/>
      </w:pPr>
      <w:r>
        <w:rPr>
          <w:rFonts w:ascii="Amiri" w:hAnsi="Amiri" w:eastAsia="Amiri" w:cs="Amiri"/>
          <w:lang w:bidi="ar-SA"/>
          <w:color w:val="111111"/>
          <w:sz w:val="28"/>
          <w:szCs w:val="28"/>
          <w:rtl/>
        </w:rPr>
        <w:t xml:space="preserve">11 .دعاء الندبة، ج 7، ص 411.</w:t>
      </w:r>
    </w:p>
    <w:p>
      <w:pPr>
        <w:pStyle w:val="BookText"/>
      </w:pPr>
      <w:r>
        <w:rPr>
          <w:rFonts w:ascii="Amiri" w:hAnsi="Amiri" w:eastAsia="Amiri" w:cs="Amiri"/>
          <w:lang w:bidi="ar-SA"/>
          <w:color w:val="111111"/>
          <w:sz w:val="28"/>
          <w:szCs w:val="28"/>
          <w:rtl/>
        </w:rPr>
        <w:t xml:space="preserve">12 .ديوان الإمام الصادق، ج 7،</w:t>
      </w:r>
    </w:p>
    <w:p>
      <w:pPr>
        <w:pStyle w:val="BookText"/>
      </w:pPr>
      <w:r>
        <w:rPr>
          <w:rFonts w:ascii="IRNazanin" w:hAnsi="IRNazanin" w:eastAsia="IRNazanin" w:cs="IRNazanin"/>
          <w:lang w:bidi="fa-IR"/>
          <w:color w:val="111111"/>
          <w:sz w:val="28"/>
          <w:szCs w:val="28"/>
          <w:rtl/>
        </w:rPr>
        <w:t xml:space="preserve">ص 576 .</w:t>
      </w:r>
    </w:p>
    <w:p>
      <w:pPr>
        <w:pStyle w:val="BookText"/>
      </w:pPr>
      <w:r>
        <w:rPr>
          <w:rFonts w:ascii="Amiri" w:hAnsi="Amiri" w:eastAsia="Amiri" w:cs="Amiri"/>
          <w:lang w:bidi="ar-SA"/>
          <w:color w:val="111111"/>
          <w:sz w:val="28"/>
          <w:szCs w:val="28"/>
          <w:rtl/>
        </w:rPr>
        <w:t xml:space="preserve">13 .الفائدة في رؤية النبي (ص)، ج11،</w:t>
      </w:r>
    </w:p>
    <w:p>
      <w:pPr>
        <w:pStyle w:val="BookText"/>
      </w:pPr>
      <w:r>
        <w:rPr>
          <w:rFonts w:ascii="IRNazanin" w:hAnsi="IRNazanin" w:eastAsia="IRNazanin" w:cs="IRNazanin"/>
          <w:lang w:bidi="fa-IR"/>
          <w:color w:val="111111"/>
          <w:sz w:val="28"/>
          <w:szCs w:val="28"/>
          <w:rtl/>
        </w:rPr>
        <w:t xml:space="preserve">ص 575</w:t>
      </w:r>
    </w:p>
    <w:p>
      <w:pPr>
        <w:pStyle w:val="BookText"/>
      </w:pPr>
      <w:r>
        <w:rPr>
          <w:rFonts w:ascii="Amiri" w:hAnsi="Amiri" w:eastAsia="Amiri" w:cs="Amiri"/>
          <w:lang w:bidi="ar-SA"/>
          <w:color w:val="111111"/>
          <w:sz w:val="28"/>
          <w:szCs w:val="28"/>
          <w:rtl/>
        </w:rPr>
        <w:t xml:space="preserve">14 .قرعة الامام الصادق، ج 12،</w:t>
      </w:r>
    </w:p>
    <w:p>
      <w:pPr>
        <w:pStyle w:val="BookText"/>
      </w:pPr>
      <w:r>
        <w:rPr>
          <w:rFonts w:ascii="IRNazanin" w:hAnsi="IRNazanin" w:eastAsia="IRNazanin" w:cs="IRNazanin"/>
          <w:lang w:bidi="fa-IR"/>
          <w:color w:val="111111"/>
          <w:sz w:val="28"/>
          <w:szCs w:val="28"/>
          <w:rtl/>
        </w:rPr>
        <w:t xml:space="preserve">ص 580.</w:t>
      </w:r>
    </w:p>
    <w:p>
      <w:pPr>
        <w:pStyle w:val="BookText"/>
      </w:pPr>
      <w:r>
        <w:rPr>
          <w:rFonts w:ascii="Amiri" w:hAnsi="Amiri" w:eastAsia="Amiri" w:cs="Amiri"/>
          <w:lang w:bidi="ar-SA"/>
          <w:color w:val="111111"/>
          <w:sz w:val="28"/>
          <w:szCs w:val="28"/>
          <w:rtl/>
        </w:rPr>
        <w:t xml:space="preserve">15 .الكيمياء - رسالة جعفر الصادق</w:t>
      </w:r>
    </w:p>
    <w:p>
      <w:pPr>
        <w:pStyle w:val="BookText"/>
      </w:pPr>
      <w:r>
        <w:rPr>
          <w:rFonts w:ascii="IRNazanin" w:hAnsi="IRNazanin" w:eastAsia="IRNazanin" w:cs="IRNazanin"/>
          <w:lang w:bidi="fa-IR"/>
          <w:color w:val="111111"/>
          <w:sz w:val="28"/>
          <w:szCs w:val="28"/>
          <w:rtl/>
        </w:rPr>
        <w:t xml:space="preserve">(ع)، ج 13، ص 486 .</w:t>
      </w:r>
    </w:p>
    <w:p>
      <w:pPr>
        <w:pStyle w:val="BookText"/>
      </w:pPr>
      <w:r>
        <w:rPr>
          <w:rFonts w:ascii="IRNazanin" w:hAnsi="IRNazanin" w:eastAsia="IRNazanin" w:cs="IRNazanin"/>
          <w:lang w:bidi="fa-IR"/>
          <w:color w:val="111111"/>
          <w:sz w:val="28"/>
          <w:szCs w:val="28"/>
          <w:rtl/>
        </w:rPr>
        <w:t xml:space="preserve">16 . مجموع الدعوات، ج 14، ص 29.</w:t>
      </w:r>
    </w:p>
    <w:p>
      <w:pPr>
        <w:pStyle w:val="BookText"/>
      </w:pPr>
      <w:r>
        <w:rPr>
          <w:rFonts w:ascii="IRNazanin" w:hAnsi="IRNazanin" w:eastAsia="IRNazanin" w:cs="IRNazanin"/>
          <w:lang w:bidi="fa-IR"/>
          <w:color w:val="111111"/>
          <w:sz w:val="28"/>
          <w:szCs w:val="28"/>
          <w:rtl/>
        </w:rPr>
        <w:t xml:space="preserve">17 .المسائل، ج 14، ص 428.</w:t>
      </w:r>
    </w:p>
    <w:p>
      <w:pPr>
        <w:pStyle w:val="BookText"/>
      </w:pPr>
      <w:r>
        <w:rPr>
          <w:rFonts w:ascii="Amiri" w:hAnsi="Amiri" w:eastAsia="Amiri" w:cs="Amiri"/>
          <w:lang w:bidi="ar-SA"/>
          <w:color w:val="111111"/>
          <w:sz w:val="28"/>
          <w:szCs w:val="28"/>
          <w:rtl/>
        </w:rPr>
        <w:t xml:space="preserve">18 . مصباح الشريعة و مفتاح الحقيقة</w:t>
      </w:r>
    </w:p>
    <w:p>
      <w:pPr>
        <w:pStyle w:val="BookText"/>
      </w:pPr>
      <w:r>
        <w:rPr>
          <w:rFonts w:ascii="IRNazanin" w:hAnsi="IRNazanin" w:eastAsia="IRNazanin" w:cs="IRNazanin"/>
          <w:lang w:bidi="fa-IR"/>
          <w:color w:val="111111"/>
          <w:sz w:val="28"/>
          <w:szCs w:val="28"/>
          <w:rtl/>
        </w:rPr>
        <w:t xml:space="preserve">ج 14، ص 711.</w:t>
      </w:r>
    </w:p>
    <w:p>
      <w:pPr>
        <w:pStyle w:val="BookText"/>
      </w:pPr>
      <w:r>
        <w:rPr>
          <w:rFonts w:ascii="Amiri" w:hAnsi="Amiri" w:eastAsia="Amiri" w:cs="Amiri"/>
          <w:lang w:bidi="ar-SA"/>
          <w:color w:val="111111"/>
          <w:sz w:val="28"/>
          <w:szCs w:val="28"/>
          <w:rtl/>
        </w:rPr>
        <w:t xml:space="preserve">جعفر بن محمّد فريابي- فريابي ، جعفر بن محمّد</w:t>
      </w:r>
    </w:p>
    <w:p>
      <w:pPr>
        <w:pStyle w:val="BookText"/>
      </w:pPr>
      <w:r>
        <w:rPr>
          <w:rFonts w:ascii="Amiri" w:hAnsi="Amiri" w:eastAsia="Amiri" w:cs="Amiri"/>
          <w:lang w:bidi="ar-SA"/>
          <w:color w:val="111111"/>
          <w:sz w:val="28"/>
          <w:szCs w:val="28"/>
          <w:rtl/>
        </w:rPr>
        <w:t xml:space="preserve">جعفر بن محمّد فلكي بلخي خراساني- ابو معشر فلكي ، جعفر بن محمّد</w:t>
      </w:r>
    </w:p>
    <w:p>
      <w:pPr>
        <w:pStyle w:val="BookText"/>
      </w:pPr>
      <w:r>
        <w:rPr>
          <w:rFonts w:ascii="Amiri" w:hAnsi="Amiri" w:eastAsia="Amiri" w:cs="Amiri"/>
          <w:lang w:bidi="ar-SA"/>
          <w:color w:val="111111"/>
          <w:sz w:val="28"/>
          <w:szCs w:val="28"/>
          <w:rtl/>
        </w:rPr>
        <w:t xml:space="preserve">جعفر بن محمّد نقدي -نقدي ، جعفر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جعفر بن معصوم حسيني جيلاني -حسيني جيلاني ، جعفر بن معصوم</w:t>
      </w:r>
    </w:p>
    <w:p>
      <w:pPr>
        <w:pStyle w:val="BookText"/>
      </w:pPr>
      <w:r>
        <w:rPr>
          <w:rFonts w:ascii="IRNazanin" w:hAnsi="IRNazanin" w:eastAsia="IRNazanin" w:cs="IRNazanin"/>
          <w:lang w:bidi="fa-IR"/>
          <w:color w:val="111111"/>
          <w:sz w:val="28"/>
          <w:szCs w:val="28"/>
          <w:rtl/>
        </w:rPr>
        <w:t xml:space="preserve">جعفر بن مكي موصلي- ابوموسی موصلي</w:t>
      </w:r>
    </w:p>
    <w:p>
      <w:pPr>
        <w:pStyle w:val="BookText"/>
      </w:pPr>
      <w:r>
        <w:rPr>
          <w:rFonts w:ascii="Amiri" w:hAnsi="Amiri" w:eastAsia="Amiri" w:cs="Amiri"/>
          <w:lang w:bidi="ar-SA"/>
          <w:color w:val="111111"/>
          <w:sz w:val="28"/>
          <w:szCs w:val="28"/>
          <w:rtl/>
        </w:rPr>
        <w:t xml:space="preserve">، جعفر بن مكي</w:t>
      </w:r>
    </w:p>
    <w:p>
      <w:pPr>
        <w:pStyle w:val="BookText"/>
      </w:pPr>
      <w:r>
        <w:rPr>
          <w:rFonts w:ascii="Amiri" w:hAnsi="Amiri" w:eastAsia="Amiri" w:cs="Amiri"/>
          <w:lang w:bidi="ar-SA"/>
          <w:color w:val="111111"/>
          <w:sz w:val="28"/>
          <w:szCs w:val="28"/>
          <w:rtl/>
        </w:rPr>
        <w:t xml:space="preserve">جعفر بن مهدي قزويني- قزويني ، جعفر</w:t>
      </w:r>
    </w:p>
    <w:p>
      <w:pPr>
        <w:pStyle w:val="BookText"/>
      </w:pPr>
      <w:r>
        <w:rPr>
          <w:rFonts w:ascii="Amiri" w:hAnsi="Amiri" w:eastAsia="Amiri" w:cs="Amiri"/>
          <w:lang w:bidi="ar-SA"/>
          <w:color w:val="111111"/>
          <w:sz w:val="28"/>
          <w:szCs w:val="28"/>
          <w:rtl/>
        </w:rPr>
        <w:t xml:space="preserve">بن مهدي</w:t>
      </w:r>
    </w:p>
    <w:p>
      <w:pPr>
        <w:pStyle w:val="BookText"/>
      </w:pPr>
      <w:r>
        <w:rPr>
          <w:rFonts w:ascii="Amiri" w:hAnsi="Amiri" w:eastAsia="Amiri" w:cs="Amiri"/>
          <w:lang w:bidi="ar-SA"/>
          <w:color w:val="111111"/>
          <w:sz w:val="28"/>
          <w:szCs w:val="28"/>
          <w:rtl/>
        </w:rPr>
        <w:t xml:space="preserve">جعفر دارابي كشفي -كشفي ، جعفر بن</w:t>
      </w:r>
    </w:p>
    <w:p>
      <w:pPr>
        <w:pStyle w:val="BookText"/>
      </w:pPr>
      <w:r>
        <w:rPr>
          <w:rFonts w:ascii="Amiri" w:hAnsi="Amiri" w:eastAsia="Amiri" w:cs="Amiri"/>
          <w:lang w:bidi="ar-SA"/>
          <w:color w:val="111111"/>
          <w:sz w:val="28"/>
          <w:szCs w:val="28"/>
          <w:rtl/>
        </w:rPr>
        <w:t xml:space="preserve">ابي اسحاق جعفر علي سبزواري- سبزواري، جعفر</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جعفر كمال الدين الحلي- حلي ، جعفر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جعفر موسوي -موسوي ، جعفر</w:t>
      </w:r>
    </w:p>
    <w:p>
      <w:pPr>
        <w:pStyle w:val="BookText"/>
      </w:pPr>
      <w:r>
        <w:rPr>
          <w:rFonts w:ascii="Amiri" w:hAnsi="Amiri" w:eastAsia="Amiri" w:cs="Amiri"/>
          <w:lang w:bidi="ar-SA"/>
          <w:color w:val="111111"/>
          <w:sz w:val="28"/>
          <w:szCs w:val="28"/>
          <w:rtl/>
        </w:rPr>
        <w:t xml:space="preserve">جعفري ثعالبي، عيسى بن محمّد- مغربي</w:t>
      </w:r>
    </w:p>
    <w:p>
      <w:pPr>
        <w:pStyle w:val="BookText"/>
      </w:pPr>
      <w:r>
        <w:rPr>
          <w:rFonts w:ascii="IRNazanin" w:hAnsi="IRNazanin" w:eastAsia="IRNazanin" w:cs="IRNazanin"/>
          <w:lang w:bidi="fa-IR"/>
          <w:color w:val="111111"/>
          <w:sz w:val="28"/>
          <w:szCs w:val="28"/>
          <w:rtl/>
        </w:rPr>
        <w:t xml:space="preserve">، عیسی بن محمّد</w:t>
      </w:r>
    </w:p>
    <w:p>
      <w:pPr>
        <w:pStyle w:val="Heading2"/>
      </w:pPr>
      <w:bookmarkStart w:id="3297" w:name="_Toc2399"/>
      <w:r>
        <w:t>جعفري، حسين بن صفي الدين</w:t>
      </w:r>
      <w:bookmarkEnd w:id="3297"/>
    </w:p>
    <w:p>
      <w:pPr>
        <w:pStyle w:val="BookText"/>
      </w:pPr>
      <w:r>
        <w:rPr>
          <w:rFonts w:ascii="Amiri" w:hAnsi="Amiri" w:eastAsia="Amiri" w:cs="Amiri"/>
          <w:lang w:bidi="ar-SA"/>
          <w:color w:val="111111"/>
          <w:sz w:val="28"/>
          <w:szCs w:val="28"/>
          <w:rtl/>
        </w:rPr>
        <w:t xml:space="preserve">الادعية (كتاب في)، ج 1، ص 608.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1" w:name="pg7742_70050"/>
    <w:bookmarkEnd w:id="331"/>
    <w:p>
      <w:pPr>
        <w:pStyle w:val="Heading2"/>
      </w:pPr>
      <w:bookmarkStart w:id="3298" w:name="_Toc2400"/>
      <w:r>
        <w:t>جعفري رومي ، حسين</w:t>
      </w:r>
      <w:bookmarkEnd w:id="3298"/>
    </w:p>
    <w:p>
      <w:pPr>
        <w:pStyle w:val="BookText"/>
      </w:pPr>
      <w:r>
        <w:rPr>
          <w:rFonts w:ascii="Amiri" w:hAnsi="Amiri" w:eastAsia="Amiri" w:cs="Amiri"/>
          <w:lang w:bidi="ar-SA"/>
          <w:color w:val="111111"/>
          <w:sz w:val="28"/>
          <w:szCs w:val="28"/>
          <w:rtl/>
        </w:rPr>
        <w:t xml:space="preserve">جفري ، حسين بن علي -اخلاطي ، حسين بن علي</w:t>
      </w:r>
    </w:p>
    <w:p>
      <w:pPr>
        <w:pStyle w:val="BookText"/>
      </w:pPr>
      <w:r>
        <w:rPr>
          <w:rFonts w:ascii="Amiri" w:hAnsi="Amiri" w:eastAsia="Amiri" w:cs="Amiri"/>
          <w:lang w:bidi="ar-SA"/>
          <w:color w:val="111111"/>
          <w:sz w:val="28"/>
          <w:szCs w:val="28"/>
          <w:rtl/>
        </w:rPr>
        <w:t xml:space="preserve">الجفر و الاسماء الحسنى (رسالة في)</w:t>
      </w:r>
    </w:p>
    <w:p>
      <w:pPr>
        <w:pStyle w:val="BookText"/>
      </w:pPr>
      <w:r>
        <w:rPr>
          <w:rFonts w:ascii="IRNazanin" w:hAnsi="IRNazanin" w:eastAsia="IRNazanin" w:cs="IRNazanin"/>
          <w:lang w:bidi="fa-IR"/>
          <w:color w:val="111111"/>
          <w:sz w:val="28"/>
          <w:szCs w:val="28"/>
          <w:rtl/>
        </w:rPr>
        <w:t xml:space="preserve">ج 5 ، ص 401.</w:t>
      </w:r>
    </w:p>
    <w:p>
      <w:pPr>
        <w:pStyle w:val="Heading2"/>
      </w:pPr>
      <w:bookmarkStart w:id="3299" w:name="_Toc2401"/>
      <w:r>
        <w:t>جعفري ، علي بن مبارك</w:t>
      </w:r>
      <w:bookmarkEnd w:id="3299"/>
    </w:p>
    <w:p>
      <w:pPr>
        <w:pStyle w:val="BookText"/>
      </w:pPr>
      <w:r>
        <w:rPr>
          <w:rFonts w:ascii="Amiri" w:hAnsi="Amiri" w:eastAsia="Amiri" w:cs="Amiri"/>
          <w:lang w:bidi="ar-SA"/>
          <w:color w:val="111111"/>
          <w:sz w:val="28"/>
          <w:szCs w:val="28"/>
          <w:rtl/>
        </w:rPr>
        <w:t xml:space="preserve">1 .حاشية الحقيقة المحمّدية في كمالات مظهر محمّد و اسراره</w:t>
      </w:r>
    </w:p>
    <w:p>
      <w:pPr>
        <w:pStyle w:val="BookText"/>
      </w:pPr>
      <w:r>
        <w:rPr>
          <w:rFonts w:ascii="Amiri" w:hAnsi="Amiri" w:eastAsia="Amiri" w:cs="Amiri"/>
          <w:lang w:bidi="ar-SA"/>
          <w:color w:val="111111"/>
          <w:sz w:val="28"/>
          <w:szCs w:val="28"/>
          <w:rtl/>
        </w:rPr>
        <w:t xml:space="preserve">الآلهية، ج 5، ص 857.</w:t>
      </w:r>
    </w:p>
    <w:p>
      <w:pPr>
        <w:pStyle w:val="BookText"/>
      </w:pPr>
      <w:r>
        <w:rPr>
          <w:rFonts w:ascii="Amiri" w:hAnsi="Amiri" w:eastAsia="Amiri" w:cs="Amiri"/>
          <w:lang w:bidi="ar-SA"/>
          <w:color w:val="111111"/>
          <w:sz w:val="28"/>
          <w:szCs w:val="28"/>
          <w:rtl/>
        </w:rPr>
        <w:t xml:space="preserve">2 .نصائح و حكم، ج 16 ، ص302.</w:t>
      </w:r>
    </w:p>
    <w:p>
      <w:pPr>
        <w:pStyle w:val="BookText"/>
      </w:pPr>
      <w:r>
        <w:rPr>
          <w:rFonts w:ascii="Amiri" w:hAnsi="Amiri" w:eastAsia="Amiri" w:cs="Amiri"/>
          <w:lang w:bidi="ar-SA"/>
          <w:color w:val="111111"/>
          <w:sz w:val="28"/>
          <w:szCs w:val="28"/>
          <w:rtl/>
        </w:rPr>
        <w:t xml:space="preserve">جعفري، عيسى بن محمّد -مغربي ،</w:t>
      </w:r>
    </w:p>
    <w:p>
      <w:pPr>
        <w:pStyle w:val="BookText"/>
      </w:pPr>
      <w:r>
        <w:rPr>
          <w:rFonts w:ascii="IRNazanin" w:hAnsi="IRNazanin" w:eastAsia="IRNazanin" w:cs="IRNazanin"/>
          <w:lang w:bidi="fa-IR"/>
          <w:color w:val="111111"/>
          <w:sz w:val="28"/>
          <w:szCs w:val="28"/>
          <w:rtl/>
        </w:rPr>
        <w:t xml:space="preserve">عیسی بن محمّد</w:t>
      </w:r>
    </w:p>
    <w:p>
      <w:pPr>
        <w:pStyle w:val="BookText"/>
      </w:pPr>
      <w:r>
        <w:rPr>
          <w:rFonts w:ascii="Amiri" w:hAnsi="Amiri" w:eastAsia="Amiri" w:cs="Amiri"/>
          <w:lang w:bidi="ar-SA"/>
          <w:color w:val="111111"/>
          <w:sz w:val="28"/>
          <w:szCs w:val="28"/>
          <w:rtl/>
        </w:rPr>
        <w:t xml:space="preserve">جعفري ، محمّد بن خليل- عجلوني</w:t>
      </w:r>
    </w:p>
    <w:p>
      <w:pPr>
        <w:pStyle w:val="BookText"/>
      </w:pPr>
      <w:r>
        <w:rPr>
          <w:rFonts w:ascii="Amiri" w:hAnsi="Amiri" w:eastAsia="Amiri" w:cs="Amiri"/>
          <w:lang w:bidi="ar-SA"/>
          <w:color w:val="111111"/>
          <w:sz w:val="28"/>
          <w:szCs w:val="28"/>
          <w:rtl/>
        </w:rPr>
        <w:t xml:space="preserve">محمّد بن خليل</w:t>
      </w:r>
    </w:p>
    <w:p>
      <w:pPr>
        <w:pStyle w:val="Heading2"/>
      </w:pPr>
      <w:bookmarkStart w:id="3300" w:name="_Toc2402"/>
      <w:r>
        <w:t>جعفري ، محمّد بن محمّد - 887 ه-</w:t>
      </w:r>
      <w:bookmarkEnd w:id="3300"/>
    </w:p>
    <w:p>
      <w:pPr>
        <w:pStyle w:val="BookText"/>
      </w:pPr>
      <w:r>
        <w:rPr>
          <w:rFonts w:ascii="Amiri" w:hAnsi="Amiri" w:eastAsia="Amiri" w:cs="Amiri"/>
          <w:lang w:bidi="ar-SA"/>
          <w:color w:val="111111"/>
          <w:sz w:val="28"/>
          <w:szCs w:val="28"/>
          <w:rtl/>
        </w:rPr>
        <w:t xml:space="preserve">التحفة الجعفرية في شرح المنظومة</w:t>
      </w:r>
    </w:p>
    <w:p>
      <w:pPr>
        <w:pStyle w:val="BookText"/>
      </w:pPr>
      <w:r>
        <w:rPr>
          <w:rFonts w:ascii="Amiri" w:hAnsi="Amiri" w:eastAsia="Amiri" w:cs="Amiri"/>
          <w:lang w:bidi="ar-SA"/>
          <w:color w:val="111111"/>
          <w:sz w:val="28"/>
          <w:szCs w:val="28"/>
          <w:rtl/>
        </w:rPr>
        <w:t xml:space="preserve">الجمبرية، ج3، ص817.</w:t>
      </w:r>
    </w:p>
    <w:p>
      <w:pPr>
        <w:pStyle w:val="Heading2"/>
      </w:pPr>
      <w:bookmarkStart w:id="3301" w:name="_Toc2403"/>
      <w:r>
        <w:t>جعفري ، نوح بن قاسم - 1300 ه-</w:t>
      </w:r>
      <w:bookmarkEnd w:id="3301"/>
    </w:p>
    <w:p>
      <w:pPr>
        <w:pStyle w:val="BookText"/>
      </w:pPr>
      <w:r>
        <w:rPr>
          <w:rFonts w:ascii="Amiri" w:hAnsi="Amiri" w:eastAsia="Amiri" w:cs="Amiri"/>
          <w:lang w:bidi="ar-SA"/>
          <w:color w:val="111111"/>
          <w:sz w:val="28"/>
          <w:szCs w:val="28"/>
          <w:rtl/>
        </w:rPr>
        <w:t xml:space="preserve">إجازة لسيد أحمد آل نعمة الله</w:t>
      </w:r>
    </w:p>
    <w:p>
      <w:pPr>
        <w:pStyle w:val="BookText"/>
      </w:pPr>
      <w:r>
        <w:rPr>
          <w:rFonts w:ascii="Amiri" w:hAnsi="Amiri" w:eastAsia="Amiri" w:cs="Amiri"/>
          <w:lang w:bidi="ar-SA"/>
          <w:color w:val="111111"/>
          <w:sz w:val="28"/>
          <w:szCs w:val="28"/>
          <w:rtl/>
        </w:rPr>
        <w:t xml:space="preserve">الجزائري، ج 1، ص 245.</w:t>
      </w:r>
    </w:p>
    <w:p>
      <w:pPr>
        <w:pStyle w:val="BookText"/>
      </w:pPr>
      <w:r>
        <w:rPr>
          <w:rFonts w:ascii="Amiri" w:hAnsi="Amiri" w:eastAsia="Amiri" w:cs="Amiri"/>
          <w:lang w:bidi="ar-SA"/>
          <w:color w:val="111111"/>
          <w:sz w:val="28"/>
          <w:szCs w:val="28"/>
          <w:rtl/>
        </w:rPr>
        <w:t xml:space="preserve">جعفي ،بخاري ، ابو عبدالله محمّد بن</w:t>
      </w:r>
    </w:p>
    <w:p>
      <w:pPr>
        <w:pStyle w:val="BookText"/>
      </w:pPr>
      <w:r>
        <w:rPr>
          <w:rFonts w:ascii="Amiri" w:hAnsi="Amiri" w:eastAsia="Amiri" w:cs="Amiri"/>
          <w:lang w:bidi="ar-SA"/>
          <w:color w:val="111111"/>
          <w:sz w:val="28"/>
          <w:szCs w:val="28"/>
          <w:rtl/>
        </w:rPr>
        <w:t xml:space="preserve">اسماعيل- بخاري ، محمّد بن اسماعيل</w:t>
      </w:r>
    </w:p>
    <w:p>
      <w:pPr>
        <w:pStyle w:val="BookText"/>
      </w:pPr>
      <w:r>
        <w:rPr>
          <w:rFonts w:ascii="Amiri" w:hAnsi="Amiri" w:eastAsia="Amiri" w:cs="Amiri"/>
          <w:lang w:bidi="ar-SA"/>
          <w:color w:val="111111"/>
          <w:sz w:val="28"/>
          <w:szCs w:val="28"/>
          <w:rtl/>
        </w:rPr>
        <w:t xml:space="preserve">جعفي ، محمّد بن احمد- صفواني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جعيفر حافي حائري -حافي ، جعيفر</w:t>
      </w:r>
    </w:p>
    <w:p>
      <w:pPr>
        <w:pStyle w:val="Heading2"/>
      </w:pPr>
      <w:bookmarkStart w:id="3302" w:name="_Toc2404"/>
      <w:r>
        <w:t>جفري رومي ، علي قرن 10 ه-</w:t>
      </w:r>
      <w:bookmarkEnd w:id="3302"/>
    </w:p>
    <w:p>
      <w:pPr>
        <w:pStyle w:val="BookText"/>
      </w:pPr>
      <w:r>
        <w:rPr>
          <w:rFonts w:ascii="Amiri" w:hAnsi="Amiri" w:eastAsia="Amiri" w:cs="Amiri"/>
          <w:lang w:bidi="ar-SA"/>
          <w:color w:val="111111"/>
          <w:sz w:val="28"/>
          <w:szCs w:val="28"/>
          <w:rtl/>
        </w:rPr>
        <w:t xml:space="preserve">علم الحروف و الطلاسم (كتاب في)،</w:t>
      </w:r>
    </w:p>
    <w:p>
      <w:pPr>
        <w:pStyle w:val="BookText"/>
      </w:pPr>
      <w:r>
        <w:rPr>
          <w:rFonts w:ascii="IRNazanin" w:hAnsi="IRNazanin" w:eastAsia="IRNazanin" w:cs="IRNazanin"/>
          <w:lang w:bidi="fa-IR"/>
          <w:color w:val="111111"/>
          <w:sz w:val="28"/>
          <w:szCs w:val="28"/>
          <w:rtl/>
        </w:rPr>
        <w:t xml:space="preserve">ج 11، ص 243.</w:t>
      </w:r>
    </w:p>
    <w:p>
      <w:pPr>
        <w:pStyle w:val="Heading2"/>
      </w:pPr>
      <w:bookmarkStart w:id="3303" w:name="_Toc2405"/>
      <w:r>
        <w:t>جفري، شيخ بن محمّد، 1137 - 1222 ه-</w:t>
      </w:r>
      <w:bookmarkEnd w:id="3303"/>
    </w:p>
    <w:p>
      <w:pPr>
        <w:pStyle w:val="BookText"/>
      </w:pPr>
      <w:r>
        <w:rPr>
          <w:rFonts w:ascii="IRNazanin" w:hAnsi="IRNazanin" w:eastAsia="IRNazanin" w:cs="IRNazanin"/>
          <w:lang w:bidi="fa-IR"/>
          <w:color w:val="111111"/>
          <w:sz w:val="28"/>
          <w:szCs w:val="28"/>
          <w:rtl/>
        </w:rPr>
        <w:t xml:space="preserve">مواعظ، ج 15 ، ص 863.</w:t>
      </w:r>
    </w:p>
    <w:p>
      <w:pPr>
        <w:pStyle w:val="Heading2"/>
      </w:pPr>
      <w:bookmarkStart w:id="3304" w:name="_Toc2406"/>
      <w:r>
        <w:t>جفري، محمّد بن حسين، 1149-1186ه-</w:t>
      </w:r>
      <w:bookmarkEnd w:id="3304"/>
    </w:p>
    <w:p>
      <w:pPr>
        <w:pStyle w:val="BookText"/>
      </w:pPr>
      <w:r>
        <w:rPr>
          <w:rFonts w:ascii="Amiri" w:hAnsi="Amiri" w:eastAsia="Amiri" w:cs="Amiri"/>
          <w:lang w:bidi="ar-SA"/>
          <w:color w:val="111111"/>
          <w:sz w:val="28"/>
          <w:szCs w:val="28"/>
          <w:rtl/>
        </w:rPr>
        <w:t xml:space="preserve">1 .الفتح والبشرى في مناقب السيدة</w:t>
      </w:r>
    </w:p>
    <w:p>
      <w:pPr>
        <w:pStyle w:val="BookText"/>
      </w:pPr>
      <w:r>
        <w:rPr>
          <w:rFonts w:ascii="IRNazanin" w:hAnsi="IRNazanin" w:eastAsia="IRNazanin" w:cs="IRNazanin"/>
          <w:lang w:bidi="fa-IR"/>
          <w:color w:val="111111"/>
          <w:sz w:val="28"/>
          <w:szCs w:val="28"/>
          <w:rtl/>
        </w:rPr>
        <w:t xml:space="preserve">الزهراء، ج 11، ص 691 .</w:t>
      </w:r>
    </w:p>
    <w:p>
      <w:pPr>
        <w:pStyle w:val="BookText"/>
      </w:pPr>
      <w:r>
        <w:rPr>
          <w:rFonts w:ascii="Amiri" w:hAnsi="Amiri" w:eastAsia="Amiri" w:cs="Amiri"/>
          <w:lang w:bidi="ar-SA"/>
          <w:color w:val="111111"/>
          <w:sz w:val="28"/>
          <w:szCs w:val="28"/>
          <w:rtl/>
        </w:rPr>
        <w:t xml:space="preserve">2 .قرة كل عين في بعض مناقب سيدنا</w:t>
      </w:r>
    </w:p>
    <w:p>
      <w:pPr>
        <w:pStyle w:val="BookText"/>
      </w:pPr>
      <w:r>
        <w:rPr>
          <w:rFonts w:ascii="Amiri" w:hAnsi="Amiri" w:eastAsia="Amiri" w:cs="Amiri"/>
          <w:lang w:bidi="ar-SA"/>
          <w:color w:val="111111"/>
          <w:sz w:val="28"/>
          <w:szCs w:val="28"/>
          <w:rtl/>
        </w:rPr>
        <w:t xml:space="preserve">الامام الحسين، ج12، ص 577.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المواهب والمنن في بعض مناقب سيّدنا الامام الحسن، ج 15</w:t>
      </w:r>
    </w:p>
    <w:p>
      <w:pPr>
        <w:pStyle w:val="BookText"/>
      </w:pPr>
      <w:r>
        <w:rPr>
          <w:rFonts w:ascii="IRNazanin" w:hAnsi="IRNazanin" w:eastAsia="IRNazanin" w:cs="IRNazanin"/>
          <w:lang w:bidi="fa-IR"/>
          <w:color w:val="111111"/>
          <w:sz w:val="28"/>
          <w:szCs w:val="28"/>
          <w:rtl/>
        </w:rPr>
        <w:t xml:space="preserve">ص 896.</w:t>
      </w:r>
    </w:p>
    <w:p>
      <w:pPr>
        <w:pStyle w:val="BookText"/>
      </w:pPr>
      <w:r>
        <w:rPr>
          <w:rFonts w:ascii="Amiri" w:hAnsi="Amiri" w:eastAsia="Amiri" w:cs="Amiri"/>
          <w:lang w:bidi="ar-SA"/>
          <w:color w:val="111111"/>
          <w:sz w:val="28"/>
          <w:szCs w:val="28"/>
          <w:rtl/>
        </w:rPr>
        <w:t xml:space="preserve">جفعتري ، علي بن عبد الوهاب - وهبي</w:t>
      </w:r>
    </w:p>
    <w:p>
      <w:pPr>
        <w:pStyle w:val="BookText"/>
      </w:pPr>
      <w:r>
        <w:rPr>
          <w:rFonts w:ascii="Amiri" w:hAnsi="Amiri" w:eastAsia="Amiri" w:cs="Amiri"/>
          <w:lang w:bidi="ar-SA"/>
          <w:color w:val="111111"/>
          <w:sz w:val="28"/>
          <w:szCs w:val="28"/>
          <w:rtl/>
        </w:rPr>
        <w:t xml:space="preserve">علي بن عبدالوهاب</w:t>
      </w:r>
    </w:p>
    <w:p>
      <w:pPr>
        <w:pStyle w:val="BookText"/>
      </w:pPr>
      <w:r>
        <w:rPr>
          <w:rFonts w:ascii="Amiri" w:hAnsi="Amiri" w:eastAsia="Amiri" w:cs="Amiri"/>
          <w:lang w:bidi="ar-SA"/>
          <w:color w:val="111111"/>
          <w:sz w:val="28"/>
          <w:szCs w:val="28"/>
          <w:rtl/>
        </w:rPr>
        <w:t xml:space="preserve">جكني، محمّد امين بن احمد - بدماصي ،</w:t>
      </w:r>
    </w:p>
    <w:p>
      <w:pPr>
        <w:pStyle w:val="BookText"/>
      </w:pPr>
      <w:r>
        <w:rPr>
          <w:rFonts w:ascii="IRNazanin" w:hAnsi="IRNazanin" w:eastAsia="IRNazanin" w:cs="IRNazanin"/>
          <w:lang w:bidi="fa-IR"/>
          <w:color w:val="111111"/>
          <w:sz w:val="28"/>
          <w:szCs w:val="28"/>
          <w:rtl/>
        </w:rPr>
        <w:t xml:space="preserve">محمّد امین بن احمد زیدان</w:t>
      </w:r>
    </w:p>
    <w:p>
      <w:pPr>
        <w:pStyle w:val="BookText"/>
      </w:pPr>
      <w:r>
        <w:rPr>
          <w:rFonts w:ascii="Amiri" w:hAnsi="Amiri" w:eastAsia="Amiri" w:cs="Amiri"/>
          <w:lang w:bidi="ar-SA"/>
          <w:color w:val="111111"/>
          <w:sz w:val="28"/>
          <w:szCs w:val="28"/>
          <w:rtl/>
        </w:rPr>
        <w:t xml:space="preserve">جلال الدين اصفهاني ، محمّد- اصفهاني ،</w:t>
      </w:r>
    </w:p>
    <w:p>
      <w:pPr>
        <w:pStyle w:val="BookText"/>
      </w:pPr>
      <w:r>
        <w:rPr>
          <w:rFonts w:ascii="IRNazanin" w:hAnsi="IRNazanin" w:eastAsia="IRNazanin" w:cs="IRNazanin"/>
          <w:lang w:bidi="fa-IR"/>
          <w:color w:val="111111"/>
          <w:sz w:val="28"/>
          <w:szCs w:val="28"/>
          <w:rtl/>
        </w:rPr>
        <w:t xml:space="preserve">جلال الدین محمّد</w:t>
      </w:r>
    </w:p>
    <w:p>
      <w:pPr>
        <w:pStyle w:val="BookText"/>
      </w:pPr>
      <w:r>
        <w:rPr>
          <w:rFonts w:ascii="Amiri" w:hAnsi="Amiri" w:eastAsia="Amiri" w:cs="Amiri"/>
          <w:lang w:bidi="ar-SA"/>
          <w:color w:val="111111"/>
          <w:sz w:val="28"/>
          <w:szCs w:val="28"/>
          <w:rtl/>
        </w:rPr>
        <w:t xml:space="preserve">جلال الدين خجندي، عمر بن</w:t>
      </w:r>
    </w:p>
    <w:p>
      <w:pPr>
        <w:pStyle w:val="BookText"/>
      </w:pPr>
      <w:r>
        <w:rPr>
          <w:rFonts w:ascii="Amiri" w:hAnsi="Amiri" w:eastAsia="Amiri" w:cs="Amiri"/>
          <w:lang w:bidi="ar-SA"/>
          <w:color w:val="111111"/>
          <w:sz w:val="28"/>
          <w:szCs w:val="28"/>
          <w:rtl/>
        </w:rPr>
        <w:t xml:space="preserve">محمّد خبازي، عمر بن محمّد</w:t>
      </w:r>
    </w:p>
    <w:p>
      <w:pPr>
        <w:pStyle w:val="BookText"/>
      </w:pPr>
      <w:r>
        <w:rPr>
          <w:rFonts w:ascii="Amiri" w:hAnsi="Amiri" w:eastAsia="Amiri" w:cs="Amiri"/>
          <w:lang w:bidi="ar-SA"/>
          <w:color w:val="111111"/>
          <w:sz w:val="28"/>
          <w:szCs w:val="28"/>
          <w:rtl/>
        </w:rPr>
        <w:t xml:space="preserve">جلال الدين سمنودي- سمهودي ، جلال</w:t>
      </w:r>
    </w:p>
    <w:p>
      <w:pPr>
        <w:pStyle w:val="BookText"/>
      </w:pPr>
      <w:r>
        <w:rPr>
          <w:rFonts w:ascii="Amiri" w:hAnsi="Amiri" w:eastAsia="Amiri" w:cs="Amiri"/>
          <w:lang w:bidi="ar-SA"/>
          <w:color w:val="111111"/>
          <w:sz w:val="28"/>
          <w:szCs w:val="28"/>
          <w:rtl/>
        </w:rPr>
        <w:t xml:space="preserve">الدين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2" w:name="pg7742_70052"/>
    <w:bookmarkEnd w:id="332"/>
    <w:p>
      <w:pPr>
        <w:pStyle w:val="BookText"/>
      </w:pPr>
      <w:r>
        <w:rPr>
          <w:rFonts w:ascii="Amiri" w:hAnsi="Amiri" w:eastAsia="Amiri" w:cs="Amiri"/>
          <w:lang w:bidi="ar-SA"/>
          <w:color w:val="111111"/>
          <w:sz w:val="28"/>
          <w:szCs w:val="28"/>
          <w:rtl/>
        </w:rPr>
        <w:t xml:space="preserve">جلال الدين سمهودي -سمهودي ، جلال</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جلال الدين سيوطي- سيوطي،</w:t>
      </w:r>
    </w:p>
    <w:p>
      <w:pPr>
        <w:pStyle w:val="BookText"/>
      </w:pPr>
      <w:r>
        <w:rPr>
          <w:rFonts w:ascii="Amiri" w:hAnsi="Amiri" w:eastAsia="Amiri" w:cs="Amiri"/>
          <w:lang w:bidi="ar-SA"/>
          <w:color w:val="111111"/>
          <w:sz w:val="28"/>
          <w:szCs w:val="28"/>
          <w:rtl/>
        </w:rPr>
        <w:t xml:space="preserve">عبد الرحمن بن ابي بكر</w:t>
      </w:r>
    </w:p>
    <w:p>
      <w:pPr>
        <w:pStyle w:val="BookText"/>
      </w:pPr>
      <w:r>
        <w:rPr>
          <w:rFonts w:ascii="Amiri" w:hAnsi="Amiri" w:eastAsia="Amiri" w:cs="Amiri"/>
          <w:lang w:bidi="ar-SA"/>
          <w:color w:val="111111"/>
          <w:sz w:val="28"/>
          <w:szCs w:val="28"/>
          <w:rtl/>
        </w:rPr>
        <w:t xml:space="preserve">جلال الدين فريدي- فريدي ، جلال الدين</w:t>
      </w:r>
    </w:p>
    <w:p>
      <w:pPr>
        <w:pStyle w:val="BookText"/>
      </w:pPr>
      <w:r>
        <w:rPr>
          <w:rFonts w:ascii="Amiri" w:hAnsi="Amiri" w:eastAsia="Amiri" w:cs="Amiri"/>
          <w:lang w:bidi="ar-SA"/>
          <w:color w:val="111111"/>
          <w:sz w:val="28"/>
          <w:szCs w:val="28"/>
          <w:rtl/>
        </w:rPr>
        <w:t xml:space="preserve">جلال الدين مجددي- فريدي ، جلال</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جلال الدین محمّد اصفهاني- اصفهاني</w:t>
      </w:r>
    </w:p>
    <w:p>
      <w:pPr>
        <w:pStyle w:val="BookText"/>
      </w:pPr>
      <w:r>
        <w:rPr>
          <w:rFonts w:ascii="IRNazanin" w:hAnsi="IRNazanin" w:eastAsia="IRNazanin" w:cs="IRNazanin"/>
          <w:lang w:bidi="fa-IR"/>
          <w:color w:val="111111"/>
          <w:sz w:val="28"/>
          <w:szCs w:val="28"/>
          <w:rtl/>
        </w:rPr>
        <w:t xml:space="preserve">جلال الدین محمّد</w:t>
      </w:r>
    </w:p>
    <w:p>
      <w:pPr>
        <w:pStyle w:val="BookText"/>
      </w:pPr>
      <w:r>
        <w:rPr>
          <w:rFonts w:ascii="Amiri" w:hAnsi="Amiri" w:eastAsia="Amiri" w:cs="Amiri"/>
          <w:lang w:bidi="ar-SA"/>
          <w:color w:val="111111"/>
          <w:sz w:val="28"/>
          <w:szCs w:val="28"/>
          <w:rtl/>
        </w:rPr>
        <w:t xml:space="preserve">جلال الدين محمّد بلخي- مولوي ، جلال</w:t>
      </w:r>
    </w:p>
    <w:p>
      <w:pPr>
        <w:pStyle w:val="BookText"/>
      </w:pPr>
      <w:r>
        <w:rPr>
          <w:rFonts w:ascii="Amiri" w:hAnsi="Amiri" w:eastAsia="Amiri" w:cs="Amiri"/>
          <w:lang w:bidi="ar-SA"/>
          <w:color w:val="111111"/>
          <w:sz w:val="28"/>
          <w:szCs w:val="28"/>
          <w:rtl/>
        </w:rPr>
        <w:t xml:space="preserve">الدين محمّد بن محمّد</w:t>
      </w:r>
    </w:p>
    <w:p>
      <w:pPr>
        <w:pStyle w:val="Heading2"/>
      </w:pPr>
      <w:bookmarkStart w:id="3305" w:name="_Toc2407"/>
      <w:r>
        <w:t>جلال الدین میرزا قاجار، 1239-1289 ه-</w:t>
      </w:r>
      <w:bookmarkEnd w:id="3305"/>
    </w:p>
    <w:p>
      <w:pPr>
        <w:pStyle w:val="BookText"/>
      </w:pPr>
      <w:r>
        <w:rPr>
          <w:rFonts w:ascii="IRNazanin" w:hAnsi="IRNazanin" w:eastAsia="IRNazanin" w:cs="IRNazanin"/>
          <w:lang w:bidi="fa-IR"/>
          <w:color w:val="111111"/>
          <w:sz w:val="28"/>
          <w:szCs w:val="28"/>
          <w:rtl/>
        </w:rPr>
        <w:t xml:space="preserve">دیوان جلال، ج 7، ص 609.</w:t>
      </w:r>
    </w:p>
    <w:p>
      <w:pPr>
        <w:pStyle w:val="BookText"/>
      </w:pPr>
      <w:r>
        <w:rPr>
          <w:rFonts w:ascii="Amiri" w:hAnsi="Amiri" w:eastAsia="Amiri" w:cs="Amiri"/>
          <w:lang w:bidi="ar-SA"/>
          <w:color w:val="111111"/>
          <w:sz w:val="28"/>
          <w:szCs w:val="28"/>
          <w:rtl/>
        </w:rPr>
        <w:t xml:space="preserve">جلال رمال يزدي- منجم يزدي ، جلال</w:t>
      </w:r>
    </w:p>
    <w:p>
      <w:pPr>
        <w:pStyle w:val="BookText"/>
      </w:pPr>
      <w:r>
        <w:rPr>
          <w:rFonts w:ascii="Amiri" w:hAnsi="Amiri" w:eastAsia="Amiri" w:cs="Amiri"/>
          <w:lang w:bidi="ar-SA"/>
          <w:color w:val="111111"/>
          <w:sz w:val="28"/>
          <w:szCs w:val="28"/>
          <w:rtl/>
        </w:rPr>
        <w:t xml:space="preserve">الدین محمّد</w:t>
      </w:r>
    </w:p>
    <w:p>
      <w:pPr>
        <w:pStyle w:val="BookText"/>
      </w:pPr>
      <w:r>
        <w:rPr>
          <w:rFonts w:ascii="Amiri" w:hAnsi="Amiri" w:eastAsia="Amiri" w:cs="Amiri"/>
          <w:lang w:bidi="ar-SA"/>
          <w:color w:val="111111"/>
          <w:sz w:val="28"/>
          <w:szCs w:val="28"/>
          <w:rtl/>
        </w:rPr>
        <w:t xml:space="preserve">جلال نقاش ، حسن بن احمد- اصفهاني</w:t>
      </w:r>
    </w:p>
    <w:p>
      <w:pPr>
        <w:pStyle w:val="Heading2"/>
      </w:pPr>
      <w:bookmarkStart w:id="3306" w:name="_Toc2408"/>
      <w:r>
        <w:t>جلالي احمد آبادي</w:t>
      </w:r>
      <w:bookmarkEnd w:id="3306"/>
    </w:p>
    <w:p>
      <w:pPr>
        <w:pStyle w:val="BookText"/>
      </w:pPr>
      <w:r>
        <w:rPr>
          <w:rFonts w:ascii="IRNazanin" w:hAnsi="IRNazanin" w:eastAsia="IRNazanin" w:cs="IRNazanin"/>
          <w:lang w:bidi="fa-IR"/>
          <w:color w:val="111111"/>
          <w:sz w:val="28"/>
          <w:szCs w:val="28"/>
          <w:rtl/>
        </w:rPr>
        <w:t xml:space="preserve">دیوان جلالي، ج7، ص 610.</w:t>
      </w:r>
    </w:p>
    <w:p>
      <w:pPr>
        <w:pStyle w:val="Heading2"/>
      </w:pPr>
      <w:bookmarkStart w:id="3307" w:name="_Toc2409"/>
      <w:r>
        <w:t>جلالي كشميري ، محسن - 1396 ه-</w:t>
      </w:r>
      <w:bookmarkEnd w:id="3307"/>
    </w:p>
    <w:p>
      <w:pPr>
        <w:pStyle w:val="BookText"/>
      </w:pPr>
      <w:r>
        <w:rPr>
          <w:rFonts w:ascii="IRNazanin" w:hAnsi="IRNazanin" w:eastAsia="IRNazanin" w:cs="IRNazanin"/>
          <w:lang w:bidi="fa-IR"/>
          <w:color w:val="111111"/>
          <w:sz w:val="28"/>
          <w:szCs w:val="28"/>
          <w:rtl/>
        </w:rPr>
        <w:t xml:space="preserve">1 .مصباح الهدى، ج 14، ص 743.</w:t>
      </w:r>
    </w:p>
    <w:p>
      <w:pPr>
        <w:pStyle w:val="BookText"/>
      </w:pPr>
      <w:r>
        <w:rPr>
          <w:rFonts w:ascii="Amiri" w:hAnsi="Amiri" w:eastAsia="Amiri" w:cs="Amiri"/>
          <w:lang w:bidi="ar-SA"/>
          <w:color w:val="111111"/>
          <w:sz w:val="28"/>
          <w:szCs w:val="28"/>
          <w:rtl/>
        </w:rPr>
        <w:t xml:space="preserve">2 .المنتخب من الأحاديث و الخطب</w:t>
      </w:r>
    </w:p>
    <w:p>
      <w:pPr>
        <w:pStyle w:val="BookText"/>
      </w:pPr>
      <w:r>
        <w:rPr>
          <w:rFonts w:ascii="IRNazanin" w:hAnsi="IRNazanin" w:eastAsia="IRNazanin" w:cs="IRNazanin"/>
          <w:lang w:bidi="fa-IR"/>
          <w:color w:val="111111"/>
          <w:sz w:val="28"/>
          <w:szCs w:val="28"/>
          <w:rtl/>
        </w:rPr>
        <w:t xml:space="preserve">ج ،15، ص 615.</w:t>
      </w:r>
    </w:p>
    <w:p>
      <w:pPr>
        <w:pStyle w:val="BookText"/>
      </w:pPr>
      <w:r>
        <w:rPr>
          <w:rFonts w:ascii="Amiri" w:hAnsi="Amiri" w:eastAsia="Amiri" w:cs="Amiri"/>
          <w:lang w:bidi="ar-SA"/>
          <w:color w:val="111111"/>
          <w:sz w:val="28"/>
          <w:szCs w:val="28"/>
          <w:rtl/>
        </w:rPr>
        <w:t xml:space="preserve">جلالي ، محمّد تقي بن محسن -حسيني</w:t>
      </w:r>
    </w:p>
    <w:p>
      <w:pPr>
        <w:pStyle w:val="BookText"/>
      </w:pPr>
      <w:r>
        <w:rPr>
          <w:rFonts w:ascii="Amiri" w:hAnsi="Amiri" w:eastAsia="Amiri" w:cs="Amiri"/>
          <w:lang w:bidi="ar-SA"/>
          <w:color w:val="111111"/>
          <w:sz w:val="28"/>
          <w:szCs w:val="28"/>
          <w:rtl/>
        </w:rPr>
        <w:t xml:space="preserve">جلالي ، محمّد تقي بن محسن</w:t>
      </w:r>
    </w:p>
    <w:p>
      <w:pPr>
        <w:pStyle w:val="BookText"/>
      </w:pPr>
      <w:r>
        <w:rPr>
          <w:rFonts w:ascii="Amiri" w:hAnsi="Amiri" w:eastAsia="Amiri" w:cs="Amiri"/>
          <w:lang w:bidi="ar-SA"/>
          <w:color w:val="111111"/>
          <w:sz w:val="28"/>
          <w:szCs w:val="28"/>
          <w:rtl/>
        </w:rPr>
        <w:t xml:space="preserve">جلالي ، محمّد جواد- حسيني جلالي ،</w:t>
      </w:r>
    </w:p>
    <w:p>
      <w:pPr>
        <w:pStyle w:val="BookText"/>
      </w:pPr>
      <w:r>
        <w:rPr>
          <w:rFonts w:ascii="Amiri" w:hAnsi="Amiri" w:eastAsia="Amiri" w:cs="Amiri"/>
          <w:lang w:bidi="ar-SA"/>
          <w:color w:val="111111"/>
          <w:sz w:val="28"/>
          <w:szCs w:val="28"/>
          <w:rtl/>
        </w:rPr>
        <w:t xml:space="preserve">محمّد جواد</w:t>
      </w:r>
    </w:p>
    <w:p>
      <w:pPr>
        <w:pStyle w:val="Heading2"/>
      </w:pPr>
      <w:bookmarkStart w:id="3308" w:name="_Toc2410"/>
      <w:r>
        <w:t>جلالي ، يوسف</w:t>
      </w:r>
      <w:bookmarkEnd w:id="3308"/>
    </w:p>
    <w:p>
      <w:pPr>
        <w:pStyle w:val="BookText"/>
      </w:pPr>
      <w:r>
        <w:rPr>
          <w:rFonts w:ascii="IRNazanin" w:hAnsi="IRNazanin" w:eastAsia="IRNazanin" w:cs="IRNazanin"/>
          <w:lang w:bidi="fa-IR"/>
          <w:color w:val="111111"/>
          <w:sz w:val="28"/>
          <w:szCs w:val="28"/>
          <w:rtl/>
        </w:rPr>
        <w:t xml:space="preserve">شرح طوالع الأنوار، ج 9، ص 684.</w:t>
      </w:r>
    </w:p>
    <w:p>
      <w:pPr>
        <w:pStyle w:val="BookText"/>
      </w:pPr>
      <w:r>
        <w:rPr>
          <w:rFonts w:ascii="Amiri" w:hAnsi="Amiri" w:eastAsia="Amiri" w:cs="Amiri"/>
          <w:lang w:bidi="ar-SA"/>
          <w:color w:val="111111"/>
          <w:sz w:val="28"/>
          <w:szCs w:val="28"/>
          <w:rtl/>
        </w:rPr>
        <w:t xml:space="preserve">جلاوي، محمّد بن محمّد 819 - 883 ه-</w:t>
      </w:r>
    </w:p>
    <w:p>
      <w:pPr>
        <w:pStyle w:val="BookText"/>
      </w:pPr>
      <w:r>
        <w:rPr>
          <w:rFonts w:ascii="Amiri" w:hAnsi="Amiri" w:eastAsia="Amiri" w:cs="Amiri"/>
          <w:lang w:bidi="ar-SA"/>
          <w:color w:val="111111"/>
          <w:sz w:val="28"/>
          <w:szCs w:val="28"/>
          <w:rtl/>
        </w:rPr>
        <w:t xml:space="preserve">شرح الآجرومية، ج 9، ص 116.</w:t>
      </w:r>
    </w:p>
    <w:p>
      <w:pPr>
        <w:pStyle w:val="Heading2"/>
      </w:pPr>
      <w:bookmarkStart w:id="3309" w:name="_Toc2411"/>
      <w:r>
        <w:t>جلب مصلح الدین ، مصطفى بن خير</w:t>
      </w:r>
      <w:bookmarkEnd w:id="3309"/>
    </w:p>
    <w:p>
      <w:pPr>
        <w:pStyle w:val="BookText"/>
      </w:pPr>
      <w:r>
        <w:rPr>
          <w:rFonts w:ascii="Amiri" w:hAnsi="Amiri" w:eastAsia="Amiri" w:cs="Amiri"/>
          <w:lang w:bidi="ar-SA"/>
          <w:color w:val="111111"/>
          <w:sz w:val="28"/>
          <w:szCs w:val="28"/>
          <w:rtl/>
        </w:rPr>
        <w:t xml:space="preserve">الدين قرن 12 ه-</w:t>
      </w:r>
    </w:p>
    <w:p>
      <w:pPr>
        <w:pStyle w:val="BookText"/>
      </w:pPr>
      <w:r>
        <w:rPr>
          <w:rFonts w:ascii="Amiri" w:hAnsi="Amiri" w:eastAsia="Amiri" w:cs="Amiri"/>
          <w:lang w:bidi="ar-SA"/>
          <w:color w:val="111111"/>
          <w:sz w:val="28"/>
          <w:szCs w:val="28"/>
          <w:rtl/>
        </w:rPr>
        <w:t xml:space="preserve">تنوير الاذهان و الضمائر في شرح الاشباه والنظائر، ج 5 ، ص 76 .</w:t>
      </w:r>
    </w:p>
    <w:p>
      <w:pPr>
        <w:pStyle w:val="Heading2"/>
      </w:pPr>
      <w:bookmarkStart w:id="3310" w:name="_Toc2412"/>
      <w:r>
        <w:t>جلبي ، احمد بن محمّد - 1282 ه-</w:t>
      </w:r>
      <w:bookmarkEnd w:id="3310"/>
    </w:p>
    <w:p>
      <w:pPr>
        <w:pStyle w:val="BookText"/>
      </w:pPr>
      <w:r>
        <w:rPr>
          <w:rFonts w:ascii="Amiri" w:hAnsi="Amiri" w:eastAsia="Amiri" w:cs="Amiri"/>
          <w:lang w:bidi="ar-SA"/>
          <w:color w:val="111111"/>
          <w:sz w:val="28"/>
          <w:szCs w:val="28"/>
          <w:rtl/>
        </w:rPr>
        <w:t xml:space="preserve">مجربات طبية، ج13، ص812.</w:t>
      </w:r>
    </w:p>
    <w:p>
      <w:pPr>
        <w:pStyle w:val="Heading2"/>
      </w:pPr>
      <w:bookmarkStart w:id="3311" w:name="_Toc2413"/>
      <w:r>
        <w:t>جلبي ، حمزة، قرن 12 ه-</w:t>
      </w:r>
      <w:bookmarkEnd w:id="3311"/>
    </w:p>
    <w:p>
      <w:pPr>
        <w:pStyle w:val="BookText"/>
      </w:pPr>
      <w:r>
        <w:rPr>
          <w:rFonts w:ascii="Amiri" w:hAnsi="Amiri" w:eastAsia="Amiri" w:cs="Amiri"/>
          <w:lang w:bidi="ar-SA"/>
          <w:color w:val="111111"/>
          <w:sz w:val="28"/>
          <w:szCs w:val="28"/>
          <w:rtl/>
        </w:rPr>
        <w:t xml:space="preserve">حاشية حاشية مير ابي الفتح على الرسالة العضدية في الآداب، ج5، ص 851.</w:t>
      </w:r>
    </w:p>
    <w:p>
      <w:pPr>
        <w:pStyle w:val="BookText"/>
      </w:pPr>
      <w:r>
        <w:rPr>
          <w:rFonts w:ascii="IRNazanin" w:hAnsi="IRNazanin" w:eastAsia="IRNazanin" w:cs="IRNazanin"/>
          <w:lang w:bidi="fa-IR"/>
          <w:color w:val="111111"/>
          <w:sz w:val="28"/>
          <w:szCs w:val="28"/>
          <w:rtl/>
        </w:rPr>
        <w:t xml:space="preserve">حسن بن احمد</w:t>
      </w:r>
    </w:p>
    <w:p>
      <w:pPr>
        <w:pStyle w:val="BookText"/>
      </w:pPr>
      <w:r>
        <w:rPr>
          <w:rFonts w:ascii="IRNazanin" w:hAnsi="IRNazanin" w:eastAsia="IRNazanin" w:cs="IRNazanin"/>
          <w:lang w:bidi="fa-IR"/>
          <w:color w:val="111111"/>
          <w:sz w:val="28"/>
          <w:szCs w:val="28"/>
          <w:rtl/>
        </w:rPr>
        <w:t xml:space="preserve">جلبي ، داود بن محمّد سلیم- چلپي ،</w:t>
      </w:r>
    </w:p>
    <w:p>
      <w:pPr>
        <w:pStyle w:val="BookText"/>
      </w:pPr>
      <w:r>
        <w:rPr>
          <w:rFonts w:ascii="IRNazanin" w:hAnsi="IRNazanin" w:eastAsia="IRNazanin" w:cs="IRNazanin"/>
          <w:lang w:bidi="fa-IR"/>
          <w:color w:val="111111"/>
          <w:sz w:val="28"/>
          <w:szCs w:val="28"/>
          <w:rtl/>
        </w:rPr>
        <w:t xml:space="preserve">داود بن محمّد سلیم</w:t>
      </w:r>
    </w:p>
    <w:p>
      <w:pPr>
        <w:pStyle w:val="Heading2"/>
      </w:pPr>
      <w:bookmarkStart w:id="3312" w:name="_Toc2414"/>
      <w:r>
        <w:t>جلبي ، عبدالله بن احمد</w:t>
      </w:r>
      <w:bookmarkEnd w:id="3312"/>
    </w:p>
    <w:p>
      <w:pPr>
        <w:pStyle w:val="BookText"/>
      </w:pPr>
      <w:r>
        <w:rPr>
          <w:rFonts w:ascii="Amiri" w:hAnsi="Amiri" w:eastAsia="Amiri" w:cs="Amiri"/>
          <w:lang w:bidi="ar-SA"/>
          <w:color w:val="111111"/>
          <w:sz w:val="28"/>
          <w:szCs w:val="28"/>
          <w:rtl/>
        </w:rPr>
        <w:t xml:space="preserve">اسئلة و اجوبة و اقوال و حكم و</w:t>
      </w:r>
    </w:p>
    <w:p>
      <w:pPr>
        <w:pStyle w:val="BookText"/>
      </w:pPr>
      <w:r>
        <w:rPr>
          <w:rFonts w:ascii="IRNazanin" w:hAnsi="IRNazanin" w:eastAsia="IRNazanin" w:cs="IRNazanin"/>
          <w:lang w:bidi="fa-IR"/>
          <w:color w:val="111111"/>
          <w:sz w:val="28"/>
          <w:szCs w:val="28"/>
          <w:rtl/>
        </w:rPr>
        <w:t xml:space="preserve">شواهد و امثال و لطائف و خیال، ج2،</w:t>
      </w:r>
    </w:p>
    <w:p>
      <w:pPr>
        <w:pStyle w:val="BookText"/>
      </w:pPr>
      <w:r>
        <w:rPr>
          <w:rFonts w:ascii="IRNazanin" w:hAnsi="IRNazanin" w:eastAsia="IRNazanin" w:cs="IRNazanin"/>
          <w:lang w:bidi="fa-IR"/>
          <w:color w:val="111111"/>
          <w:sz w:val="28"/>
          <w:szCs w:val="28"/>
          <w:rtl/>
        </w:rPr>
        <w:t xml:space="preserve">ص 96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3" w:name="pg7742_70054"/>
    <w:bookmarkEnd w:id="333"/>
    <w:p>
      <w:pPr>
        <w:pStyle w:val="Heading2"/>
      </w:pPr>
      <w:bookmarkStart w:id="3313" w:name="_Toc2415"/>
      <w:r>
        <w:t>جلبي ، عبدالله بن رضوان - 1049 ه-</w:t>
      </w:r>
      <w:bookmarkEnd w:id="3313"/>
    </w:p>
    <w:p>
      <w:pPr>
        <w:pStyle w:val="BookText"/>
      </w:pPr>
      <w:r>
        <w:rPr>
          <w:rFonts w:ascii="IRNazanin" w:hAnsi="IRNazanin" w:eastAsia="IRNazanin" w:cs="IRNazanin"/>
          <w:lang w:bidi="fa-IR"/>
          <w:color w:val="111111"/>
          <w:sz w:val="28"/>
          <w:szCs w:val="28"/>
          <w:rtl/>
        </w:rPr>
        <w:t xml:space="preserve">تاریخ مصر (ترجمة) - ترجمة تاريخ مشعل الازهار في عجائب الاقطار، ج3، ص 605 .</w:t>
      </w:r>
    </w:p>
    <w:p>
      <w:pPr>
        <w:pStyle w:val="Heading2"/>
      </w:pPr>
      <w:bookmarkStart w:id="3314" w:name="_Toc2416"/>
      <w:r>
        <w:t>جلبي ، محمّد سليم، - 1343 ه-</w:t>
      </w:r>
      <w:bookmarkEnd w:id="3314"/>
    </w:p>
    <w:p>
      <w:pPr>
        <w:pStyle w:val="BookText"/>
      </w:pPr>
      <w:r>
        <w:rPr>
          <w:rFonts w:ascii="Amiri" w:hAnsi="Amiri" w:eastAsia="Amiri" w:cs="Amiri"/>
          <w:lang w:bidi="ar-SA"/>
          <w:color w:val="111111"/>
          <w:sz w:val="28"/>
          <w:szCs w:val="28"/>
          <w:rtl/>
        </w:rPr>
        <w:t xml:space="preserve">مجموعة مشاهدات و نقولات و</w:t>
      </w:r>
    </w:p>
    <w:p>
      <w:pPr>
        <w:pStyle w:val="BookText"/>
      </w:pPr>
      <w:r>
        <w:rPr>
          <w:rFonts w:ascii="Amiri" w:hAnsi="Amiri" w:eastAsia="Amiri" w:cs="Amiri"/>
          <w:lang w:bidi="ar-SA"/>
          <w:color w:val="111111"/>
          <w:sz w:val="28"/>
          <w:szCs w:val="28"/>
          <w:rtl/>
        </w:rPr>
        <w:t xml:space="preserve">وصفات و مجربات طبية، ج 14، ص 58.</w:t>
      </w:r>
    </w:p>
    <w:p>
      <w:pPr>
        <w:pStyle w:val="Heading2"/>
      </w:pPr>
      <w:bookmarkStart w:id="3315" w:name="_Toc2417"/>
      <w:r>
        <w:t>جلدكي ، علي بن ايدمر - 762 ه-</w:t>
      </w:r>
      <w:bookmarkEnd w:id="3315"/>
    </w:p>
    <w:p>
      <w:pPr>
        <w:pStyle w:val="BookText"/>
      </w:pPr>
      <w:r>
        <w:rPr>
          <w:rFonts w:ascii="Amiri" w:hAnsi="Amiri" w:eastAsia="Amiri" w:cs="Amiri"/>
          <w:lang w:bidi="ar-SA"/>
          <w:color w:val="111111"/>
          <w:sz w:val="28"/>
          <w:szCs w:val="28"/>
          <w:rtl/>
        </w:rPr>
        <w:t xml:space="preserve">1 .البرهان في اسرار علم الميزان، ج 3،</w:t>
      </w:r>
    </w:p>
    <w:p>
      <w:pPr>
        <w:pStyle w:val="BookText"/>
      </w:pPr>
      <w:r>
        <w:rPr>
          <w:rFonts w:ascii="IRNazanin" w:hAnsi="IRNazanin" w:eastAsia="IRNazanin" w:cs="IRNazanin"/>
          <w:lang w:bidi="fa-IR"/>
          <w:color w:val="111111"/>
          <w:sz w:val="28"/>
          <w:szCs w:val="28"/>
          <w:rtl/>
        </w:rPr>
        <w:t xml:space="preserve">ص308.</w:t>
      </w:r>
    </w:p>
    <w:p>
      <w:pPr>
        <w:pStyle w:val="BookText"/>
      </w:pPr>
      <w:r>
        <w:rPr>
          <w:rFonts w:ascii="Amiri" w:hAnsi="Amiri" w:eastAsia="Amiri" w:cs="Amiri"/>
          <w:lang w:bidi="ar-SA"/>
          <w:color w:val="111111"/>
          <w:sz w:val="28"/>
          <w:szCs w:val="28"/>
          <w:rtl/>
        </w:rPr>
        <w:t xml:space="preserve">2 .التقريب في اسرار التركيب، ج 4،</w:t>
      </w:r>
    </w:p>
    <w:p>
      <w:pPr>
        <w:pStyle w:val="BookText"/>
      </w:pPr>
      <w:r>
        <w:rPr>
          <w:rFonts w:ascii="IRNazanin" w:hAnsi="IRNazanin" w:eastAsia="IRNazanin" w:cs="IRNazanin"/>
          <w:lang w:bidi="fa-IR"/>
          <w:color w:val="111111"/>
          <w:sz w:val="28"/>
          <w:szCs w:val="28"/>
          <w:rtl/>
        </w:rPr>
        <w:t xml:space="preserve">ص 726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 المنثور في شرح صدر الشذور</w:t>
      </w:r>
    </w:p>
    <w:p>
      <w:pPr>
        <w:pStyle w:val="BookText"/>
      </w:pPr>
      <w:r>
        <w:rPr>
          <w:rFonts w:ascii="IRNazanin" w:hAnsi="IRNazanin" w:eastAsia="IRNazanin" w:cs="IRNazanin"/>
          <w:lang w:bidi="fa-IR"/>
          <w:color w:val="111111"/>
          <w:sz w:val="28"/>
          <w:szCs w:val="28"/>
          <w:rtl/>
        </w:rPr>
        <w:t xml:space="preserve">ج 7، ص 345.</w:t>
      </w:r>
    </w:p>
    <w:p>
      <w:pPr>
        <w:pStyle w:val="BookText"/>
      </w:pPr>
      <w:r>
        <w:rPr>
          <w:rFonts w:ascii="Amiri" w:hAnsi="Amiri" w:eastAsia="Amiri" w:cs="Amiri"/>
          <w:lang w:bidi="ar-SA"/>
          <w:color w:val="111111"/>
          <w:sz w:val="28"/>
          <w:szCs w:val="28"/>
          <w:rtl/>
        </w:rPr>
        <w:t xml:space="preserve">4 .غاية السرور في شرح الشذور، ج11،</w:t>
      </w:r>
    </w:p>
    <w:p>
      <w:pPr>
        <w:pStyle w:val="BookText"/>
      </w:pPr>
      <w:r>
        <w:rPr>
          <w:rFonts w:ascii="IRNazanin" w:hAnsi="IRNazanin" w:eastAsia="IRNazanin" w:cs="IRNazanin"/>
          <w:lang w:bidi="fa-IR"/>
          <w:color w:val="111111"/>
          <w:sz w:val="28"/>
          <w:szCs w:val="28"/>
          <w:rtl/>
        </w:rPr>
        <w:t xml:space="preserve">ص 438 .</w:t>
      </w:r>
    </w:p>
    <w:p>
      <w:pPr>
        <w:pStyle w:val="BookText"/>
      </w:pPr>
      <w:r>
        <w:rPr>
          <w:rFonts w:ascii="Amiri" w:hAnsi="Amiri" w:eastAsia="Amiri" w:cs="Amiri"/>
          <w:lang w:bidi="ar-SA"/>
          <w:color w:val="111111"/>
          <w:sz w:val="28"/>
          <w:szCs w:val="28"/>
          <w:rtl/>
        </w:rPr>
        <w:t xml:space="preserve">5 .لوامع الافكار المضية في شرح مخمس الماء الورقى و الارض</w:t>
      </w:r>
    </w:p>
    <w:p>
      <w:pPr>
        <w:pStyle w:val="BookText"/>
      </w:pPr>
      <w:r>
        <w:rPr>
          <w:rFonts w:ascii="Amiri" w:hAnsi="Amiri" w:eastAsia="Amiri" w:cs="Amiri"/>
          <w:lang w:bidi="ar-SA"/>
          <w:color w:val="111111"/>
          <w:sz w:val="28"/>
          <w:szCs w:val="28"/>
          <w:rtl/>
        </w:rPr>
        <w:t xml:space="preserve">النجمية، ج13، ص 644.</w:t>
      </w:r>
    </w:p>
    <w:p>
      <w:pPr>
        <w:pStyle w:val="BookText"/>
      </w:pPr>
      <w:r>
        <w:rPr>
          <w:rFonts w:ascii="Amiri" w:hAnsi="Amiri" w:eastAsia="Amiri" w:cs="Amiri"/>
          <w:lang w:bidi="ar-SA"/>
          <w:color w:val="111111"/>
          <w:sz w:val="28"/>
          <w:szCs w:val="28"/>
          <w:rtl/>
        </w:rPr>
        <w:t xml:space="preserve">6 .المصباح في اسرار علم المفتاح، ج 14،</w:t>
      </w:r>
    </w:p>
    <w:p>
      <w:pPr>
        <w:pStyle w:val="BookText"/>
      </w:pPr>
      <w:r>
        <w:rPr>
          <w:rFonts w:ascii="IRNazanin" w:hAnsi="IRNazanin" w:eastAsia="IRNazanin" w:cs="IRNazanin"/>
          <w:lang w:bidi="fa-IR"/>
          <w:color w:val="111111"/>
          <w:sz w:val="28"/>
          <w:szCs w:val="28"/>
          <w:rtl/>
        </w:rPr>
        <w:t xml:space="preserve">ص 724 .</w:t>
      </w:r>
    </w:p>
    <w:p>
      <w:pPr>
        <w:pStyle w:val="BookText"/>
      </w:pPr>
      <w:r>
        <w:rPr>
          <w:rFonts w:ascii="Amiri" w:hAnsi="Amiri" w:eastAsia="Amiri" w:cs="Amiri"/>
          <w:lang w:bidi="ar-SA"/>
          <w:color w:val="111111"/>
          <w:sz w:val="28"/>
          <w:szCs w:val="28"/>
          <w:rtl/>
        </w:rPr>
        <w:t xml:space="preserve">7 .مطالع البدور بقلائد النحور في شرح صدر ابيات الشذور، ج 14، ص 775.</w:t>
      </w:r>
    </w:p>
    <w:p>
      <w:pPr>
        <w:pStyle w:val="BookText"/>
      </w:pPr>
      <w:r>
        <w:rPr>
          <w:rFonts w:ascii="Amiri" w:hAnsi="Amiri" w:eastAsia="Amiri" w:cs="Amiri"/>
          <w:lang w:bidi="ar-SA"/>
          <w:color w:val="111111"/>
          <w:sz w:val="28"/>
          <w:szCs w:val="28"/>
          <w:rtl/>
        </w:rPr>
        <w:t xml:space="preserve">8 .نهاية الطلب في شرح المكتسب في</w:t>
      </w:r>
    </w:p>
    <w:p>
      <w:pPr>
        <w:pStyle w:val="BookText"/>
      </w:pPr>
      <w:r>
        <w:rPr>
          <w:rFonts w:ascii="Amiri" w:hAnsi="Amiri" w:eastAsia="Amiri" w:cs="Amiri"/>
          <w:lang w:bidi="ar-SA"/>
          <w:color w:val="111111"/>
          <w:sz w:val="28"/>
          <w:szCs w:val="28"/>
          <w:rtl/>
        </w:rPr>
        <w:t xml:space="preserve">زراعة الذهب، ج 16، ص 494.</w:t>
      </w:r>
    </w:p>
    <w:p>
      <w:pPr>
        <w:pStyle w:val="BookText"/>
      </w:pPr>
      <w:r>
        <w:rPr>
          <w:rFonts w:ascii="IRNazanin" w:hAnsi="IRNazanin" w:eastAsia="IRNazanin" w:cs="IRNazanin"/>
          <w:lang w:bidi="fa-IR"/>
          <w:color w:val="111111"/>
          <w:sz w:val="28"/>
          <w:szCs w:val="28"/>
          <w:rtl/>
        </w:rPr>
        <w:t xml:space="preserve">جلوتي ، درويش احمد- کوسج ، احمد بن</w:t>
      </w:r>
    </w:p>
    <w:p>
      <w:pPr>
        <w:pStyle w:val="BookText"/>
      </w:pPr>
      <w:r>
        <w:rPr>
          <w:rFonts w:ascii="Amiri" w:hAnsi="Amiri" w:eastAsia="Amiri" w:cs="Amiri"/>
          <w:lang w:bidi="ar-SA"/>
          <w:color w:val="111111"/>
          <w:sz w:val="28"/>
          <w:szCs w:val="28"/>
          <w:rtl/>
        </w:rPr>
        <w:t xml:space="preserve">محمّد</w:t>
      </w:r>
    </w:p>
    <w:p>
      <w:pPr>
        <w:pStyle w:val="Heading2"/>
      </w:pPr>
      <w:bookmarkStart w:id="3316" w:name="_Toc2418"/>
      <w:r>
        <w:t>جلياني ، عبدالمنعم بن عمر 531-602 ه-</w:t>
      </w:r>
      <w:bookmarkEnd w:id="3316"/>
    </w:p>
    <w:p>
      <w:pPr>
        <w:pStyle w:val="BookText"/>
      </w:pPr>
      <w:r>
        <w:rPr>
          <w:rFonts w:ascii="Amiri" w:hAnsi="Amiri" w:eastAsia="Amiri" w:cs="Amiri"/>
          <w:lang w:bidi="ar-SA"/>
          <w:color w:val="111111"/>
          <w:sz w:val="28"/>
          <w:szCs w:val="28"/>
          <w:rtl/>
        </w:rPr>
        <w:t xml:space="preserve">ادب السلوك، ج 1، ص 588 .</w:t>
      </w:r>
    </w:p>
    <w:p>
      <w:pPr>
        <w:pStyle w:val="Heading2"/>
      </w:pPr>
      <w:bookmarkStart w:id="3317" w:name="_Toc2419"/>
      <w:r>
        <w:t>جلي زاده ، عبدالله، قرن 14 ه-</w:t>
      </w:r>
      <w:bookmarkEnd w:id="3317"/>
    </w:p>
    <w:p>
      <w:pPr>
        <w:pStyle w:val="BookText"/>
      </w:pPr>
      <w:r>
        <w:rPr>
          <w:rFonts w:ascii="Amiri" w:hAnsi="Amiri" w:eastAsia="Amiri" w:cs="Amiri"/>
          <w:lang w:bidi="ar-SA"/>
          <w:color w:val="111111"/>
          <w:sz w:val="28"/>
          <w:szCs w:val="28"/>
          <w:rtl/>
        </w:rPr>
        <w:t xml:space="preserve">الاجازة العلمية لملا رسول السيدري</w:t>
      </w:r>
    </w:p>
    <w:p>
      <w:pPr>
        <w:pStyle w:val="BookText"/>
      </w:pPr>
      <w:r>
        <w:rPr>
          <w:rFonts w:ascii="IRNazanin" w:hAnsi="IRNazanin" w:eastAsia="IRNazanin" w:cs="IRNazanin"/>
          <w:lang w:bidi="fa-IR"/>
          <w:color w:val="111111"/>
          <w:sz w:val="28"/>
          <w:szCs w:val="28"/>
          <w:rtl/>
        </w:rPr>
        <w:t xml:space="preserve">ج 1، ص 223.</w:t>
      </w:r>
    </w:p>
    <w:p>
      <w:pPr>
        <w:pStyle w:val="Heading2"/>
      </w:pPr>
      <w:bookmarkStart w:id="3318" w:name="_Toc2420"/>
      <w:r>
        <w:t>جلي ، عبدالرحمن بن عبدالله 1217 ه-</w:t>
      </w:r>
      <w:bookmarkEnd w:id="3318"/>
    </w:p>
    <w:p>
      <w:pPr>
        <w:pStyle w:val="BookText"/>
      </w:pPr>
      <w:r>
        <w:rPr>
          <w:rFonts w:ascii="Amiri" w:hAnsi="Amiri" w:eastAsia="Amiri" w:cs="Amiri"/>
          <w:lang w:bidi="ar-SA"/>
          <w:color w:val="111111"/>
          <w:sz w:val="28"/>
          <w:szCs w:val="28"/>
          <w:rtl/>
        </w:rPr>
        <w:t xml:space="preserve">1 .تحفة الطلاب في حل خلاصة</w:t>
      </w:r>
    </w:p>
    <w:p>
      <w:pPr>
        <w:pStyle w:val="BookText"/>
      </w:pPr>
      <w:r>
        <w:rPr>
          <w:rFonts w:ascii="IRNazanin" w:hAnsi="IRNazanin" w:eastAsia="IRNazanin" w:cs="IRNazanin"/>
          <w:lang w:bidi="fa-IR"/>
          <w:color w:val="111111"/>
          <w:sz w:val="28"/>
          <w:szCs w:val="28"/>
          <w:rtl/>
        </w:rPr>
        <w:t xml:space="preserve">الحساب، ج 3، ص 863.</w:t>
      </w:r>
    </w:p>
    <w:p>
      <w:pPr>
        <w:pStyle w:val="BookText"/>
      </w:pPr>
      <w:r>
        <w:rPr>
          <w:rFonts w:ascii="Amiri" w:hAnsi="Amiri" w:eastAsia="Amiri" w:cs="Amiri"/>
          <w:lang w:bidi="ar-SA"/>
          <w:color w:val="111111"/>
          <w:sz w:val="28"/>
          <w:szCs w:val="28"/>
          <w:rtl/>
        </w:rPr>
        <w:t xml:space="preserve">2 .شرح فرائد الفوائد في الاستعارات</w:t>
      </w:r>
    </w:p>
    <w:p>
      <w:pPr>
        <w:pStyle w:val="BookText"/>
      </w:pPr>
      <w:r>
        <w:rPr>
          <w:rFonts w:ascii="IRNazanin" w:hAnsi="IRNazanin" w:eastAsia="IRNazanin" w:cs="IRNazanin"/>
          <w:lang w:bidi="fa-IR"/>
          <w:color w:val="111111"/>
          <w:sz w:val="28"/>
          <w:szCs w:val="28"/>
          <w:rtl/>
        </w:rPr>
        <w:t xml:space="preserve">ج 9، ص 774 .</w:t>
      </w:r>
    </w:p>
    <w:p>
      <w:pPr>
        <w:pStyle w:val="Heading2"/>
      </w:pPr>
      <w:bookmarkStart w:id="3319" w:name="_Toc2421"/>
      <w:r>
        <w:t>جلي ، عبدالله بن عبد الرحمن 1247- ه-</w:t>
      </w:r>
      <w:bookmarkEnd w:id="3319"/>
    </w:p>
    <w:p>
      <w:pPr>
        <w:pStyle w:val="BookText"/>
      </w:pPr>
      <w:r>
        <w:rPr>
          <w:rFonts w:ascii="Amiri" w:hAnsi="Amiri" w:eastAsia="Amiri" w:cs="Amiri"/>
          <w:lang w:bidi="ar-SA"/>
          <w:color w:val="111111"/>
          <w:sz w:val="28"/>
          <w:szCs w:val="28"/>
          <w:rtl/>
        </w:rPr>
        <w:t xml:space="preserve">عقائد الداسنية( رسالة في)، ج11،</w:t>
      </w:r>
    </w:p>
    <w:p>
      <w:pPr>
        <w:pStyle w:val="BookText"/>
      </w:pPr>
      <w:r>
        <w:rPr>
          <w:rFonts w:ascii="IRNazanin" w:hAnsi="IRNazanin" w:eastAsia="IRNazanin" w:cs="IRNazanin"/>
          <w:lang w:bidi="fa-IR"/>
          <w:color w:val="111111"/>
          <w:sz w:val="28"/>
          <w:szCs w:val="28"/>
          <w:rtl/>
        </w:rPr>
        <w:t xml:space="preserve">ص 148 .</w:t>
      </w:r>
    </w:p>
    <w:p>
      <w:pPr>
        <w:pStyle w:val="Heading2"/>
      </w:pPr>
      <w:bookmarkStart w:id="3320" w:name="_Toc2422"/>
      <w:r>
        <w:t>جليلي ، حسن باشا بن حسين باشا</w:t>
      </w:r>
      <w:bookmarkEnd w:id="3320"/>
    </w:p>
    <w:p>
      <w:pPr>
        <w:pStyle w:val="BookText"/>
      </w:pPr>
      <w:r>
        <w:rPr>
          <w:rFonts w:ascii="IRNazanin" w:hAnsi="IRNazanin" w:eastAsia="IRNazanin" w:cs="IRNazanin"/>
          <w:lang w:bidi="fa-IR"/>
          <w:color w:val="111111"/>
          <w:sz w:val="28"/>
          <w:szCs w:val="28"/>
          <w:rtl/>
        </w:rPr>
        <w:t xml:space="preserve">1233ه-</w:t>
      </w:r>
    </w:p>
    <w:p>
      <w:pPr>
        <w:pStyle w:val="BookText"/>
      </w:pPr>
      <w:r>
        <w:rPr>
          <w:rFonts w:ascii="Amiri" w:hAnsi="Amiri" w:eastAsia="Amiri" w:cs="Amiri"/>
          <w:lang w:bidi="ar-SA"/>
          <w:color w:val="111111"/>
          <w:sz w:val="28"/>
          <w:szCs w:val="28"/>
          <w:rtl/>
        </w:rPr>
        <w:t xml:space="preserve">ترتيب حسن، ج 4، ص238.</w:t>
      </w:r>
    </w:p>
    <w:p>
      <w:pPr>
        <w:pStyle w:val="Heading2"/>
      </w:pPr>
      <w:bookmarkStart w:id="3321" w:name="_Toc2423"/>
      <w:r>
        <w:t>جليلي زاده، محمّد ناطق - 1129 ه-</w:t>
      </w:r>
      <w:bookmarkEnd w:id="3321"/>
    </w:p>
    <w:p>
      <w:pPr>
        <w:pStyle w:val="BookText"/>
      </w:pPr>
      <w:r>
        <w:rPr>
          <w:rFonts w:ascii="Amiri" w:hAnsi="Amiri" w:eastAsia="Amiri" w:cs="Amiri"/>
          <w:lang w:bidi="ar-SA"/>
          <w:color w:val="111111"/>
          <w:sz w:val="28"/>
          <w:szCs w:val="28"/>
          <w:rtl/>
        </w:rPr>
        <w:t xml:space="preserve">تحفة الحرمين، ج3، ص820</w:t>
      </w:r>
    </w:p>
    <w:p>
      <w:pPr>
        <w:pStyle w:val="Heading2"/>
      </w:pPr>
      <w:bookmarkStart w:id="3322" w:name="_Toc2424"/>
      <w:r>
        <w:t>جليلي سليمان بك بن مراد بك - 1326ه-</w:t>
      </w:r>
      <w:bookmarkEnd w:id="3322"/>
    </w:p>
    <w:p>
      <w:pPr>
        <w:pStyle w:val="BookText"/>
      </w:pPr>
      <w:r>
        <w:rPr>
          <w:rFonts w:ascii="Amiri" w:hAnsi="Amiri" w:eastAsia="Amiri" w:cs="Amiri"/>
          <w:lang w:bidi="ar-SA"/>
          <w:color w:val="111111"/>
          <w:sz w:val="28"/>
          <w:szCs w:val="28"/>
          <w:rtl/>
        </w:rPr>
        <w:t xml:space="preserve">1 .بديعية في مدح ايوب بك بن امين</w:t>
      </w:r>
    </w:p>
    <w:p>
      <w:pPr>
        <w:pStyle w:val="BookText"/>
      </w:pPr>
      <w:r>
        <w:rPr>
          <w:rFonts w:ascii="IRNazanin" w:hAnsi="IRNazanin" w:eastAsia="IRNazanin" w:cs="IRNazanin"/>
          <w:lang w:bidi="fa-IR"/>
          <w:color w:val="111111"/>
          <w:sz w:val="28"/>
          <w:szCs w:val="28"/>
          <w:rtl/>
        </w:rPr>
        <w:t xml:space="preserve">باشا ،زاده، ج 3، ص291</w:t>
      </w:r>
    </w:p>
    <w:p>
      <w:pPr>
        <w:pStyle w:val="BookText"/>
      </w:pPr>
      <w:r>
        <w:rPr>
          <w:rFonts w:ascii="IRNazanin" w:hAnsi="IRNazanin" w:eastAsia="IRNazanin" w:cs="IRNazanin"/>
          <w:lang w:bidi="fa-IR"/>
          <w:color w:val="111111"/>
          <w:sz w:val="28"/>
          <w:szCs w:val="28"/>
          <w:rtl/>
        </w:rPr>
        <w:t xml:space="preserve">2 .الرد على النصارى، ج 8، ص 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الرد على اهل الزيغ والعناد (رسالة</w:t>
      </w:r>
    </w:p>
    <w:p>
      <w:pPr>
        <w:pStyle w:val="BookText"/>
      </w:pPr>
      <w:r>
        <w:rPr>
          <w:rFonts w:ascii="Amiri" w:hAnsi="Amiri" w:eastAsia="Amiri" w:cs="Amiri"/>
          <w:lang w:bidi="ar-SA"/>
          <w:color w:val="111111"/>
          <w:sz w:val="28"/>
          <w:szCs w:val="28"/>
          <w:rtl/>
        </w:rPr>
        <w:t xml:space="preserve">في)، ج 8، ص 92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4" w:name="pg7742_70056"/>
    <w:bookmarkEnd w:id="334"/>
    <w:p>
      <w:pPr>
        <w:pStyle w:val="BookText"/>
      </w:pPr>
      <w:r>
        <w:rPr>
          <w:rFonts w:ascii="IRNazanin" w:hAnsi="IRNazanin" w:eastAsia="IRNazanin" w:cs="IRNazanin"/>
          <w:lang w:bidi="fa-IR"/>
          <w:color w:val="111111"/>
          <w:sz w:val="28"/>
          <w:szCs w:val="28"/>
          <w:rtl/>
        </w:rPr>
        <w:t xml:space="preserve">4 .قصائد و دو بیت و تخمیس و</w:t>
      </w:r>
    </w:p>
    <w:p>
      <w:pPr>
        <w:pStyle w:val="BookText"/>
      </w:pPr>
      <w:r>
        <w:rPr>
          <w:rFonts w:ascii="Amiri" w:hAnsi="Amiri" w:eastAsia="Amiri" w:cs="Amiri"/>
          <w:lang w:bidi="ar-SA"/>
          <w:color w:val="111111"/>
          <w:sz w:val="28"/>
          <w:szCs w:val="28"/>
          <w:rtl/>
        </w:rPr>
        <w:t xml:space="preserve">تقريض، ج 12، ص 604.</w:t>
      </w:r>
    </w:p>
    <w:p>
      <w:pPr>
        <w:pStyle w:val="BookText"/>
      </w:pPr>
      <w:r>
        <w:rPr>
          <w:rFonts w:ascii="Amiri" w:hAnsi="Amiri" w:eastAsia="Amiri" w:cs="Amiri"/>
          <w:lang w:bidi="ar-SA"/>
          <w:color w:val="111111"/>
          <w:sz w:val="28"/>
          <w:szCs w:val="28"/>
          <w:rtl/>
        </w:rPr>
        <w:t xml:space="preserve">5 .قصيدة، ج 12، ص 639.</w:t>
      </w:r>
    </w:p>
    <w:p>
      <w:pPr>
        <w:pStyle w:val="BookText"/>
      </w:pPr>
      <w:r>
        <w:rPr>
          <w:rFonts w:ascii="Amiri" w:hAnsi="Amiri" w:eastAsia="Amiri" w:cs="Amiri"/>
          <w:lang w:bidi="ar-SA"/>
          <w:color w:val="111111"/>
          <w:sz w:val="28"/>
          <w:szCs w:val="28"/>
          <w:rtl/>
        </w:rPr>
        <w:t xml:space="preserve">جليلي ، عثمان بن سليمان- حيائي ، عثمان</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جليلي ، علي بن يونس - آغاجليلي ، علي</w:t>
      </w:r>
    </w:p>
    <w:p>
      <w:pPr>
        <w:pStyle w:val="BookText"/>
      </w:pPr>
      <w:r>
        <w:rPr>
          <w:rFonts w:ascii="Amiri" w:hAnsi="Amiri" w:eastAsia="Amiri" w:cs="Amiri"/>
          <w:lang w:bidi="ar-SA"/>
          <w:color w:val="111111"/>
          <w:sz w:val="28"/>
          <w:szCs w:val="28"/>
          <w:rtl/>
        </w:rPr>
        <w:t xml:space="preserve">بن يونس</w:t>
      </w:r>
    </w:p>
    <w:p>
      <w:pPr>
        <w:pStyle w:val="BookText"/>
      </w:pPr>
      <w:r>
        <w:rPr>
          <w:rFonts w:ascii="Amiri" w:hAnsi="Amiri" w:eastAsia="Amiri" w:cs="Amiri"/>
          <w:lang w:bidi="ar-SA"/>
          <w:color w:val="111111"/>
          <w:sz w:val="28"/>
          <w:szCs w:val="28"/>
          <w:rtl/>
        </w:rPr>
        <w:t xml:space="preserve">جليلي ، قاسم بن خليل- رونقي ، قاسم</w:t>
      </w:r>
    </w:p>
    <w:p>
      <w:pPr>
        <w:pStyle w:val="BookText"/>
      </w:pPr>
      <w:r>
        <w:rPr>
          <w:rFonts w:ascii="Amiri" w:hAnsi="Amiri" w:eastAsia="Amiri" w:cs="Amiri"/>
          <w:lang w:bidi="ar-SA"/>
          <w:color w:val="111111"/>
          <w:sz w:val="28"/>
          <w:szCs w:val="28"/>
          <w:rtl/>
        </w:rPr>
        <w:t xml:space="preserve">بن خليل</w:t>
      </w:r>
    </w:p>
    <w:p>
      <w:pPr>
        <w:pStyle w:val="Heading2"/>
      </w:pPr>
      <w:bookmarkStart w:id="3323" w:name="_Toc2425"/>
      <w:r>
        <w:t>جليلي ، محمّد امين بن عثمان بك</w:t>
      </w:r>
      <w:bookmarkEnd w:id="3323"/>
    </w:p>
    <w:p>
      <w:pPr>
        <w:pStyle w:val="BookText"/>
      </w:pPr>
      <w:r>
        <w:rPr>
          <w:rFonts w:ascii="IRNazanin" w:hAnsi="IRNazanin" w:eastAsia="IRNazanin" w:cs="IRNazanin"/>
          <w:lang w:bidi="fa-IR"/>
          <w:color w:val="111111"/>
          <w:sz w:val="28"/>
          <w:szCs w:val="28"/>
          <w:rtl/>
        </w:rPr>
        <w:t xml:space="preserve">1263ه-</w:t>
      </w:r>
    </w:p>
    <w:p>
      <w:pPr>
        <w:pStyle w:val="BookText"/>
      </w:pPr>
      <w:r>
        <w:rPr>
          <w:rFonts w:ascii="Amiri" w:hAnsi="Amiri" w:eastAsia="Amiri" w:cs="Amiri"/>
          <w:lang w:bidi="ar-SA"/>
          <w:color w:val="111111"/>
          <w:sz w:val="28"/>
          <w:szCs w:val="28"/>
          <w:rtl/>
        </w:rPr>
        <w:t xml:space="preserve">الكوكب المتلالي لشرح عقيدة الغزالي</w:t>
      </w:r>
    </w:p>
    <w:p>
      <w:pPr>
        <w:pStyle w:val="BookText"/>
      </w:pPr>
      <w:r>
        <w:rPr>
          <w:rFonts w:ascii="IRNazanin" w:hAnsi="IRNazanin" w:eastAsia="IRNazanin" w:cs="IRNazanin"/>
          <w:lang w:bidi="fa-IR"/>
          <w:color w:val="111111"/>
          <w:sz w:val="28"/>
          <w:szCs w:val="28"/>
          <w:rtl/>
        </w:rPr>
        <w:t xml:space="preserve">ج 13، ص 474.</w:t>
      </w:r>
    </w:p>
    <w:p>
      <w:pPr>
        <w:pStyle w:val="Heading2"/>
      </w:pPr>
      <w:bookmarkStart w:id="3324" w:name="_Toc2426"/>
      <w:r>
        <w:t>جليلي ، محمود</w:t>
      </w:r>
      <w:bookmarkEnd w:id="3324"/>
    </w:p>
    <w:p>
      <w:pPr>
        <w:pStyle w:val="BookText"/>
      </w:pPr>
      <w:r>
        <w:rPr>
          <w:rFonts w:ascii="Amiri" w:hAnsi="Amiri" w:eastAsia="Amiri" w:cs="Amiri"/>
          <w:lang w:bidi="ar-SA"/>
          <w:color w:val="111111"/>
          <w:sz w:val="28"/>
          <w:szCs w:val="28"/>
          <w:rtl/>
        </w:rPr>
        <w:t xml:space="preserve">ديوان الجليلي، ج 7، ص 610 .</w:t>
      </w:r>
    </w:p>
    <w:p>
      <w:pPr>
        <w:pStyle w:val="Heading2"/>
      </w:pPr>
      <w:bookmarkStart w:id="3325" w:name="_Toc2427"/>
      <w:r>
        <w:t>جليلي ، يحيى بن احمد</w:t>
      </w:r>
      <w:bookmarkEnd w:id="3325"/>
    </w:p>
    <w:p>
      <w:pPr>
        <w:pStyle w:val="BookText"/>
      </w:pPr>
      <w:r>
        <w:rPr>
          <w:rFonts w:ascii="Amiri" w:hAnsi="Amiri" w:eastAsia="Amiri" w:cs="Amiri"/>
          <w:lang w:bidi="ar-SA"/>
          <w:color w:val="111111"/>
          <w:sz w:val="28"/>
          <w:szCs w:val="28"/>
          <w:rtl/>
        </w:rPr>
        <w:t xml:space="preserve">الدر المكنون في غرائب الفنون (مختصر)، ج 7، ص 336.</w:t>
      </w:r>
    </w:p>
    <w:p>
      <w:pPr>
        <w:pStyle w:val="Heading2"/>
      </w:pPr>
      <w:bookmarkStart w:id="3326" w:name="_Toc2428"/>
      <w:r>
        <w:t>جليلي ، يحيى بن عبدالجليل</w:t>
      </w:r>
      <w:bookmarkEnd w:id="3326"/>
    </w:p>
    <w:p>
      <w:pPr>
        <w:pStyle w:val="BookText"/>
      </w:pPr>
      <w:r>
        <w:rPr>
          <w:rFonts w:ascii="Amiri" w:hAnsi="Amiri" w:eastAsia="Amiri" w:cs="Amiri"/>
          <w:lang w:bidi="ar-SA"/>
          <w:color w:val="111111"/>
          <w:sz w:val="28"/>
          <w:szCs w:val="28"/>
          <w:rtl/>
        </w:rPr>
        <w:t xml:space="preserve">سراج الملوك و منهاج السلوك، ج8،</w:t>
      </w:r>
    </w:p>
    <w:p>
      <w:pPr>
        <w:pStyle w:val="BookText"/>
      </w:pPr>
      <w:r>
        <w:rPr>
          <w:rFonts w:ascii="IRNazanin" w:hAnsi="IRNazanin" w:eastAsia="IRNazanin" w:cs="IRNazanin"/>
          <w:lang w:bidi="fa-IR"/>
          <w:color w:val="111111"/>
          <w:sz w:val="28"/>
          <w:szCs w:val="28"/>
          <w:rtl/>
        </w:rPr>
        <w:t xml:space="preserve">ص 738.</w:t>
      </w:r>
    </w:p>
    <w:p>
      <w:pPr>
        <w:pStyle w:val="BookText"/>
      </w:pPr>
      <w:r>
        <w:rPr>
          <w:rFonts w:ascii="Amiri" w:hAnsi="Amiri" w:eastAsia="Amiri" w:cs="Amiri"/>
          <w:lang w:bidi="ar-SA"/>
          <w:color w:val="111111"/>
          <w:sz w:val="28"/>
          <w:szCs w:val="28"/>
          <w:rtl/>
        </w:rPr>
        <w:t xml:space="preserve">جليلي ، يحيى بن يونس - 1198 ه-</w:t>
      </w:r>
    </w:p>
    <w:p>
      <w:pPr>
        <w:pStyle w:val="BookText"/>
      </w:pPr>
      <w:r>
        <w:rPr>
          <w:rFonts w:ascii="Amiri" w:hAnsi="Amiri" w:eastAsia="Amiri" w:cs="Amiri"/>
          <w:lang w:bidi="ar-SA"/>
          <w:color w:val="111111"/>
          <w:sz w:val="28"/>
          <w:szCs w:val="28"/>
          <w:rtl/>
        </w:rPr>
        <w:t xml:space="preserve">1 .مجموعة يحيى الجليلي، ج 14،</w:t>
      </w:r>
    </w:p>
    <w:p>
      <w:pPr>
        <w:pStyle w:val="BookText"/>
      </w:pPr>
      <w:r>
        <w:rPr>
          <w:rFonts w:ascii="IRNazanin" w:hAnsi="IRNazanin" w:eastAsia="IRNazanin" w:cs="IRNazanin"/>
          <w:lang w:bidi="fa-IR"/>
          <w:color w:val="111111"/>
          <w:sz w:val="28"/>
          <w:szCs w:val="28"/>
          <w:rtl/>
        </w:rPr>
        <w:t xml:space="preserve">ص 63 .</w:t>
      </w:r>
    </w:p>
    <w:p>
      <w:pPr>
        <w:pStyle w:val="BookText"/>
      </w:pPr>
      <w:r>
        <w:rPr>
          <w:rFonts w:ascii="IRNazanin" w:hAnsi="IRNazanin" w:eastAsia="IRNazanin" w:cs="IRNazanin"/>
          <w:lang w:bidi="fa-IR"/>
          <w:color w:val="111111"/>
          <w:sz w:val="28"/>
          <w:szCs w:val="28"/>
          <w:rtl/>
        </w:rPr>
        <w:t xml:space="preserve">مواليات و زهیریات، ج 15 ، ص 882</w:t>
      </w:r>
    </w:p>
    <w:p>
      <w:pPr>
        <w:pStyle w:val="BookText"/>
      </w:pPr>
      <w:r>
        <w:rPr>
          <w:rFonts w:ascii="Amiri" w:hAnsi="Amiri" w:eastAsia="Amiri" w:cs="Amiri"/>
          <w:lang w:bidi="ar-SA"/>
          <w:color w:val="111111"/>
          <w:sz w:val="28"/>
          <w:szCs w:val="28"/>
          <w:rtl/>
        </w:rPr>
        <w:t xml:space="preserve">جمازي، محمّد بن موسى- حسيني</w:t>
      </w:r>
    </w:p>
    <w:p>
      <w:pPr>
        <w:pStyle w:val="BookText"/>
      </w:pPr>
      <w:r>
        <w:rPr>
          <w:rFonts w:ascii="IRNazanin" w:hAnsi="IRNazanin" w:eastAsia="IRNazanin" w:cs="IRNazanin"/>
          <w:lang w:bidi="fa-IR"/>
          <w:color w:val="111111"/>
          <w:sz w:val="28"/>
          <w:szCs w:val="28"/>
          <w:rtl/>
        </w:rPr>
        <w:t xml:space="preserve">محمّد بن موسى</w:t>
      </w:r>
    </w:p>
    <w:p>
      <w:pPr>
        <w:pStyle w:val="Heading2"/>
      </w:pPr>
      <w:bookmarkStart w:id="3327" w:name="_Toc2429"/>
      <w:r>
        <w:t>جماعيلي ، عبدالغني بن عبد الواحد 541 - 600 ه-</w:t>
      </w:r>
      <w:bookmarkEnd w:id="3327"/>
    </w:p>
    <w:p>
      <w:pPr>
        <w:pStyle w:val="BookText"/>
      </w:pPr>
      <w:r>
        <w:rPr>
          <w:rFonts w:ascii="Amiri" w:hAnsi="Amiri" w:eastAsia="Amiri" w:cs="Amiri"/>
          <w:lang w:bidi="ar-SA"/>
          <w:color w:val="111111"/>
          <w:sz w:val="28"/>
          <w:szCs w:val="28"/>
          <w:rtl/>
        </w:rPr>
        <w:t xml:space="preserve">1 .احاديث الشعر، ج 1، ص 408.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الحديث، ج 6 ، ص 558.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زواج ابي العاص بن الربيع بزينب بنت رسول الله (ص)، ج8، ص 633.</w:t>
      </w:r>
    </w:p>
    <w:p>
      <w:pPr>
        <w:pStyle w:val="BookText"/>
      </w:pPr>
      <w:r>
        <w:rPr>
          <w:rFonts w:ascii="Amiri" w:hAnsi="Amiri" w:eastAsia="Amiri" w:cs="Amiri"/>
          <w:lang w:bidi="ar-SA"/>
          <w:color w:val="111111"/>
          <w:sz w:val="28"/>
          <w:szCs w:val="28"/>
          <w:rtl/>
        </w:rPr>
        <w:t xml:space="preserve">4 .الصفات (رسالة في)، ج 10، ص 561.</w:t>
      </w:r>
    </w:p>
    <w:p>
      <w:pPr>
        <w:pStyle w:val="BookText"/>
      </w:pPr>
      <w:r>
        <w:rPr>
          <w:rFonts w:ascii="Amiri" w:hAnsi="Amiri" w:eastAsia="Amiri" w:cs="Amiri"/>
          <w:lang w:bidi="ar-SA"/>
          <w:color w:val="111111"/>
          <w:sz w:val="28"/>
          <w:szCs w:val="28"/>
          <w:rtl/>
        </w:rPr>
        <w:t xml:space="preserve">5 .عمدة الاحكام عن سيّد الانام، ج11،</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الكمال في معرفة الرجال، ج13،</w:t>
      </w:r>
    </w:p>
    <w:p>
      <w:pPr>
        <w:pStyle w:val="BookText"/>
      </w:pPr>
      <w:r>
        <w:rPr>
          <w:rFonts w:ascii="IRNazanin" w:hAnsi="IRNazanin" w:eastAsia="IRNazanin" w:cs="IRNazanin"/>
          <w:lang w:bidi="fa-IR"/>
          <w:color w:val="111111"/>
          <w:sz w:val="28"/>
          <w:szCs w:val="28"/>
          <w:rtl/>
        </w:rPr>
        <w:t xml:space="preserve">ص392.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اتفق عليه الشيخان، ج13،</w:t>
      </w:r>
    </w:p>
    <w:p>
      <w:pPr>
        <w:pStyle w:val="BookText"/>
      </w:pPr>
      <w:r>
        <w:rPr>
          <w:rFonts w:ascii="IRNazanin" w:hAnsi="IRNazanin" w:eastAsia="IRNazanin" w:cs="IRNazanin"/>
          <w:lang w:bidi="fa-IR"/>
          <w:color w:val="111111"/>
          <w:sz w:val="28"/>
          <w:szCs w:val="28"/>
          <w:rtl/>
        </w:rPr>
        <w:t xml:space="preserve">ص 673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المصباح في الاحاديث الصحاح</w:t>
      </w:r>
    </w:p>
    <w:p>
      <w:pPr>
        <w:pStyle w:val="BookText"/>
      </w:pPr>
      <w:r>
        <w:rPr>
          <w:rFonts w:ascii="IRNazanin" w:hAnsi="IRNazanin" w:eastAsia="IRNazanin" w:cs="IRNazanin"/>
          <w:lang w:bidi="fa-IR"/>
          <w:color w:val="111111"/>
          <w:sz w:val="28"/>
          <w:szCs w:val="28"/>
          <w:rtl/>
        </w:rPr>
        <w:t xml:space="preserve">ج 14، ص 723.</w:t>
      </w:r>
    </w:p>
    <w:p>
      <w:pPr>
        <w:pStyle w:val="BookText"/>
      </w:pPr>
      <w:r>
        <w:rPr>
          <w:rFonts w:ascii="Amiri" w:hAnsi="Amiri" w:eastAsia="Amiri" w:cs="Amiri"/>
          <w:lang w:bidi="ar-SA"/>
          <w:color w:val="111111"/>
          <w:sz w:val="28"/>
          <w:szCs w:val="28"/>
          <w:rtl/>
        </w:rPr>
        <w:t xml:space="preserve">9 .مناقب الصحابيات، ج 15 ، ص 549.</w:t>
      </w:r>
    </w:p>
    <w:p>
      <w:pPr>
        <w:pStyle w:val="Heading2"/>
      </w:pPr>
      <w:bookmarkStart w:id="3328" w:name="_Toc2430"/>
      <w:r>
        <w:t>جمال الدین اسدآبادي، 1254 - 1314 ه-</w:t>
      </w:r>
      <w:bookmarkEnd w:id="3328"/>
    </w:p>
    <w:p>
      <w:pPr>
        <w:pStyle w:val="BookText"/>
      </w:pPr>
      <w:r>
        <w:rPr>
          <w:rFonts w:ascii="Amiri" w:hAnsi="Amiri" w:eastAsia="Amiri" w:cs="Amiri"/>
          <w:lang w:bidi="ar-SA"/>
          <w:color w:val="111111"/>
          <w:sz w:val="28"/>
          <w:szCs w:val="28"/>
          <w:rtl/>
        </w:rPr>
        <w:t xml:space="preserve">ترجمة رسالة أبطال الدهريين، جع،</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Amiri" w:hAnsi="Amiri" w:eastAsia="Amiri" w:cs="Amiri"/>
          <w:lang w:bidi="ar-SA"/>
          <w:color w:val="111111"/>
          <w:sz w:val="28"/>
          <w:szCs w:val="28"/>
          <w:rtl/>
        </w:rPr>
        <w:t xml:space="preserve">جمال الدين افغاني - جمال الدين</w:t>
      </w:r>
    </w:p>
    <w:p>
      <w:pPr>
        <w:pStyle w:val="BookText"/>
      </w:pPr>
      <w:r>
        <w:rPr>
          <w:rFonts w:ascii="Amiri" w:hAnsi="Amiri" w:eastAsia="Amiri" w:cs="Amiri"/>
          <w:lang w:bidi="ar-SA"/>
          <w:color w:val="111111"/>
          <w:sz w:val="28"/>
          <w:szCs w:val="28"/>
          <w:rtl/>
        </w:rPr>
        <w:t xml:space="preserve">اسد آبادي</w:t>
      </w:r>
    </w:p>
    <w:p>
      <w:pPr>
        <w:pStyle w:val="Heading2"/>
      </w:pPr>
      <w:bookmarkStart w:id="3329" w:name="_Toc2431"/>
      <w:r>
        <w:t>جمال الدین انجو ، حسین بن حسن 1035 ه-</w:t>
      </w:r>
      <w:bookmarkEnd w:id="3329"/>
    </w:p>
    <w:p>
      <w:pPr>
        <w:pStyle w:val="BookText"/>
      </w:pPr>
      <w:r>
        <w:rPr>
          <w:rFonts w:ascii="IRNazanin" w:hAnsi="IRNazanin" w:eastAsia="IRNazanin" w:cs="IRNazanin"/>
          <w:lang w:bidi="fa-IR"/>
          <w:color w:val="111111"/>
          <w:sz w:val="28"/>
          <w:szCs w:val="28"/>
          <w:rtl/>
        </w:rPr>
        <w:t xml:space="preserve">فرهنگ جهانگيري، ج 11، ص808.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5" w:name="pg7742_70058"/>
    <w:bookmarkEnd w:id="335"/>
    <w:p>
      <w:pPr>
        <w:pStyle w:val="Heading2"/>
      </w:pPr>
      <w:bookmarkStart w:id="3330" w:name="_Toc2432"/>
      <w:r>
        <w:t>جمال الدين بغدادي ، محمود بن محمّد</w:t>
      </w:r>
      <w:bookmarkEnd w:id="33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1245 ه-</w:t>
      </w:r>
    </w:p>
    <w:p>
      <w:pPr>
        <w:pStyle w:val="BookText"/>
      </w:pPr>
      <w:r>
        <w:rPr>
          <w:rFonts w:ascii="Amiri" w:hAnsi="Amiri" w:eastAsia="Amiri" w:cs="Amiri"/>
          <w:lang w:bidi="ar-SA"/>
          <w:color w:val="111111"/>
          <w:sz w:val="28"/>
          <w:szCs w:val="28"/>
          <w:rtl/>
        </w:rPr>
        <w:t xml:space="preserve">1 .تقريب التهذيب إلى ذهن الاريب</w:t>
      </w:r>
    </w:p>
    <w:p>
      <w:pPr>
        <w:pStyle w:val="BookText"/>
      </w:pPr>
      <w:r>
        <w:rPr>
          <w:rFonts w:ascii="IRNazanin" w:hAnsi="IRNazanin" w:eastAsia="IRNazanin" w:cs="IRNazanin"/>
          <w:lang w:bidi="fa-IR"/>
          <w:color w:val="111111"/>
          <w:sz w:val="28"/>
          <w:szCs w:val="28"/>
          <w:rtl/>
        </w:rPr>
        <w:t xml:space="preserve">ج 4، ص 724 .</w:t>
      </w:r>
    </w:p>
    <w:p>
      <w:pPr>
        <w:pStyle w:val="BookText"/>
      </w:pPr>
      <w:r>
        <w:rPr>
          <w:rFonts w:ascii="Amiri" w:hAnsi="Amiri" w:eastAsia="Amiri" w:cs="Amiri"/>
          <w:lang w:bidi="ar-SA"/>
          <w:color w:val="111111"/>
          <w:sz w:val="28"/>
          <w:szCs w:val="28"/>
          <w:rtl/>
        </w:rPr>
        <w:t xml:space="preserve">2 .الكافية في شرح النقاية، ج13،</w:t>
      </w:r>
    </w:p>
    <w:p>
      <w:pPr>
        <w:pStyle w:val="BookText"/>
      </w:pPr>
      <w:r>
        <w:rPr>
          <w:rFonts w:ascii="IRNazanin" w:hAnsi="IRNazanin" w:eastAsia="IRNazanin" w:cs="IRNazanin"/>
          <w:lang w:bidi="fa-IR"/>
          <w:color w:val="111111"/>
          <w:sz w:val="28"/>
          <w:szCs w:val="28"/>
          <w:rtl/>
        </w:rPr>
        <w:t xml:space="preserve">ص 59.</w:t>
      </w:r>
    </w:p>
    <w:p>
      <w:pPr>
        <w:pStyle w:val="BookText"/>
      </w:pPr>
      <w:r>
        <w:rPr>
          <w:rFonts w:ascii="Amiri" w:hAnsi="Amiri" w:eastAsia="Amiri" w:cs="Amiri"/>
          <w:lang w:bidi="ar-SA"/>
          <w:color w:val="111111"/>
          <w:sz w:val="28"/>
          <w:szCs w:val="28"/>
          <w:rtl/>
        </w:rPr>
        <w:t xml:space="preserve">جمال الدين بن ثباته- ابن ثباته ، جمال</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جمال الدین بن حسن خزرجي- خزرجي ،</w:t>
      </w:r>
    </w:p>
    <w:p>
      <w:pPr>
        <w:pStyle w:val="BookText"/>
      </w:pPr>
      <w:r>
        <w:rPr>
          <w:rFonts w:ascii="Amiri" w:hAnsi="Amiri" w:eastAsia="Amiri" w:cs="Amiri"/>
          <w:lang w:bidi="ar-SA"/>
          <w:color w:val="111111"/>
          <w:sz w:val="28"/>
          <w:szCs w:val="28"/>
          <w:rtl/>
        </w:rPr>
        <w:t xml:space="preserve">جمال الدين بن حسن</w:t>
      </w:r>
    </w:p>
    <w:p>
      <w:pPr>
        <w:pStyle w:val="BookText"/>
      </w:pPr>
      <w:r>
        <w:rPr>
          <w:rFonts w:ascii="Amiri" w:hAnsi="Amiri" w:eastAsia="Amiri" w:cs="Amiri"/>
          <w:lang w:bidi="ar-SA"/>
          <w:color w:val="111111"/>
          <w:sz w:val="28"/>
          <w:szCs w:val="28"/>
          <w:rtl/>
        </w:rPr>
        <w:t xml:space="preserve">جمال الدين بن حسنليه حلبي اندلسي عبد البسطامي - عبد البسطامي ، جمال الدين ابوالمحاسن بن حسنليه</w:t>
      </w:r>
    </w:p>
    <w:p>
      <w:pPr>
        <w:pStyle w:val="BookText"/>
      </w:pPr>
      <w:r>
        <w:rPr>
          <w:rFonts w:ascii="Amiri" w:hAnsi="Amiri" w:eastAsia="Amiri" w:cs="Amiri"/>
          <w:lang w:bidi="ar-SA"/>
          <w:color w:val="111111"/>
          <w:sz w:val="28"/>
          <w:szCs w:val="28"/>
          <w:rtl/>
        </w:rPr>
        <w:t xml:space="preserve">جمال الدين بن عبدالله حسيني</w:t>
      </w:r>
    </w:p>
    <w:p>
      <w:pPr>
        <w:pStyle w:val="BookText"/>
      </w:pPr>
      <w:r>
        <w:rPr>
          <w:rFonts w:ascii="Amiri" w:hAnsi="Amiri" w:eastAsia="Amiri" w:cs="Amiri"/>
          <w:lang w:bidi="ar-SA"/>
          <w:color w:val="111111"/>
          <w:sz w:val="28"/>
          <w:szCs w:val="28"/>
          <w:rtl/>
        </w:rPr>
        <w:t xml:space="preserve">جرجاني - حسيني جرجاني ، جمال الدين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جمال الدين بن فتح الله شيرازي - شيرازي ،</w:t>
      </w:r>
    </w:p>
    <w:p>
      <w:pPr>
        <w:pStyle w:val="BookText"/>
      </w:pPr>
      <w:r>
        <w:rPr>
          <w:rFonts w:ascii="Amiri" w:hAnsi="Amiri" w:eastAsia="Amiri" w:cs="Amiri"/>
          <w:lang w:bidi="ar-SA"/>
          <w:color w:val="111111"/>
          <w:sz w:val="28"/>
          <w:szCs w:val="28"/>
          <w:rtl/>
        </w:rPr>
        <w:t xml:space="preserve">جمال الدين بن فتح الله</w:t>
      </w:r>
    </w:p>
    <w:p>
      <w:pPr>
        <w:pStyle w:val="BookText"/>
      </w:pPr>
      <w:r>
        <w:rPr>
          <w:rFonts w:ascii="Amiri" w:hAnsi="Amiri" w:eastAsia="Amiri" w:cs="Amiri"/>
          <w:lang w:bidi="ar-SA"/>
          <w:color w:val="111111"/>
          <w:sz w:val="28"/>
          <w:szCs w:val="28"/>
          <w:rtl/>
        </w:rPr>
        <w:t xml:space="preserve">جمال الدين بن قاسم بن محفوظ -جمال</w:t>
      </w:r>
    </w:p>
    <w:p>
      <w:pPr>
        <w:pStyle w:val="BookText"/>
      </w:pPr>
      <w:r>
        <w:rPr>
          <w:rFonts w:ascii="Amiri" w:hAnsi="Amiri" w:eastAsia="Amiri" w:cs="Amiri"/>
          <w:lang w:bidi="ar-SA"/>
          <w:color w:val="111111"/>
          <w:sz w:val="28"/>
          <w:szCs w:val="28"/>
          <w:rtl/>
        </w:rPr>
        <w:t xml:space="preserve">الدين بن محفوظ</w:t>
      </w:r>
    </w:p>
    <w:p>
      <w:pPr>
        <w:pStyle w:val="Heading2"/>
      </w:pPr>
      <w:bookmarkStart w:id="3331" w:name="_Toc2433"/>
      <w:r>
        <w:t>جمال الدين بن محفوظ</w:t>
      </w:r>
      <w:bookmarkEnd w:id="3331"/>
    </w:p>
    <w:p>
      <w:pPr>
        <w:pStyle w:val="BookText"/>
      </w:pPr>
      <w:r>
        <w:rPr>
          <w:rFonts w:ascii="IRNazanin" w:hAnsi="IRNazanin" w:eastAsia="IRNazanin" w:cs="IRNazanin"/>
          <w:lang w:bidi="fa-IR"/>
          <w:color w:val="111111"/>
          <w:sz w:val="28"/>
          <w:szCs w:val="28"/>
          <w:rtl/>
        </w:rPr>
        <w:t xml:space="preserve">الاسطرلاب، ج 2، ص190.</w:t>
      </w:r>
    </w:p>
    <w:p>
      <w:pPr>
        <w:pStyle w:val="BookText"/>
      </w:pPr>
      <w:r>
        <w:rPr>
          <w:rFonts w:ascii="Amiri" w:hAnsi="Amiri" w:eastAsia="Amiri" w:cs="Amiri"/>
          <w:lang w:bidi="ar-SA"/>
          <w:color w:val="111111"/>
          <w:sz w:val="28"/>
          <w:szCs w:val="28"/>
          <w:rtl/>
        </w:rPr>
        <w:t xml:space="preserve">جمال الدين بن محمّد لاهيجاني- اخجالي</w:t>
      </w:r>
    </w:p>
    <w:p>
      <w:pPr>
        <w:pStyle w:val="BookText"/>
      </w:pPr>
      <w:r>
        <w:rPr>
          <w:rFonts w:ascii="Amiri" w:hAnsi="Amiri" w:eastAsia="Amiri" w:cs="Amiri"/>
          <w:lang w:bidi="ar-SA"/>
          <w:color w:val="111111"/>
          <w:sz w:val="28"/>
          <w:szCs w:val="28"/>
          <w:rtl/>
        </w:rPr>
        <w:t xml:space="preserve">لاهيجي ، احمد بن محمّد</w:t>
      </w:r>
    </w:p>
    <w:p>
      <w:pPr>
        <w:pStyle w:val="Heading2"/>
      </w:pPr>
      <w:bookmarkStart w:id="3332" w:name="_Toc2434"/>
      <w:r>
        <w:t>جمال الدين شافعي ، محمّد بن محمّد بن جمال</w:t>
      </w:r>
      <w:bookmarkEnd w:id="3332"/>
    </w:p>
    <w:p>
      <w:pPr>
        <w:pStyle w:val="BookText"/>
      </w:pPr>
      <w:r>
        <w:rPr>
          <w:rFonts w:ascii="Amiri" w:hAnsi="Amiri" w:eastAsia="Amiri" w:cs="Amiri"/>
          <w:lang w:bidi="ar-SA"/>
          <w:color w:val="111111"/>
          <w:sz w:val="28"/>
          <w:szCs w:val="28"/>
          <w:rtl/>
        </w:rPr>
        <w:t xml:space="preserve">ابي بكر، قرن 9 ه-</w:t>
      </w:r>
    </w:p>
    <w:p>
      <w:pPr>
        <w:pStyle w:val="BookText"/>
      </w:pPr>
      <w:r>
        <w:rPr>
          <w:rFonts w:ascii="IRNazanin" w:hAnsi="IRNazanin" w:eastAsia="IRNazanin" w:cs="IRNazanin"/>
          <w:lang w:bidi="fa-IR"/>
          <w:color w:val="111111"/>
          <w:sz w:val="28"/>
          <w:szCs w:val="28"/>
          <w:rtl/>
        </w:rPr>
        <w:t xml:space="preserve">اصول الفقه كتاب في = علم الاصول (کتاب في)، ج 2، ص 432 .</w:t>
      </w:r>
    </w:p>
    <w:p>
      <w:pPr>
        <w:pStyle w:val="BookText"/>
      </w:pPr>
      <w:r>
        <w:rPr>
          <w:rFonts w:ascii="Amiri" w:hAnsi="Amiri" w:eastAsia="Amiri" w:cs="Amiri"/>
          <w:lang w:bidi="ar-SA"/>
          <w:color w:val="111111"/>
          <w:sz w:val="28"/>
          <w:szCs w:val="28"/>
          <w:rtl/>
        </w:rPr>
        <w:t xml:space="preserve">جمال الدين قرماني- قرماني ، جمال الدين</w:t>
      </w:r>
    </w:p>
    <w:p>
      <w:pPr>
        <w:pStyle w:val="BookText"/>
      </w:pPr>
      <w:r>
        <w:rPr>
          <w:rFonts w:ascii="IRNazanin" w:hAnsi="IRNazanin" w:eastAsia="IRNazanin" w:cs="IRNazanin"/>
          <w:lang w:bidi="fa-IR"/>
          <w:color w:val="111111"/>
          <w:sz w:val="28"/>
          <w:szCs w:val="28"/>
          <w:rtl/>
        </w:rPr>
        <w:t xml:space="preserve">اسحاق</w:t>
      </w:r>
    </w:p>
    <w:p>
      <w:pPr>
        <w:pStyle w:val="Heading2"/>
      </w:pPr>
      <w:bookmarkStart w:id="3333" w:name="_Toc2435"/>
      <w:r>
        <w:t>جمال الدين ، ميرمحمود - 1073</w:t>
      </w:r>
      <w:bookmarkEnd w:id="3333"/>
    </w:p>
    <w:p>
      <w:pPr>
        <w:pStyle w:val="BookText"/>
      </w:pPr>
      <w:r>
        <w:rPr>
          <w:rFonts w:ascii="Amiri" w:hAnsi="Amiri" w:eastAsia="Amiri" w:cs="Amiri"/>
          <w:lang w:bidi="ar-SA"/>
          <w:color w:val="111111"/>
          <w:sz w:val="28"/>
          <w:szCs w:val="28"/>
          <w:rtl/>
        </w:rPr>
        <w:t xml:space="preserve">تحقيق النوع الاول الاضافي (رسالة في)</w:t>
      </w:r>
    </w:p>
    <w:p>
      <w:pPr>
        <w:pStyle w:val="BookText"/>
      </w:pPr>
      <w:r>
        <w:rPr>
          <w:rFonts w:ascii="IRNazanin" w:hAnsi="IRNazanin" w:eastAsia="IRNazanin" w:cs="IRNazanin"/>
          <w:lang w:bidi="fa-IR"/>
          <w:color w:val="111111"/>
          <w:sz w:val="28"/>
          <w:szCs w:val="28"/>
          <w:rtl/>
        </w:rPr>
        <w:t xml:space="preserve">ج 4، ص 82.</w:t>
      </w:r>
    </w:p>
    <w:p>
      <w:pPr>
        <w:pStyle w:val="Heading2"/>
      </w:pPr>
      <w:bookmarkStart w:id="3334" w:name="_Toc2436"/>
      <w:r>
        <w:t>جمال القرشي ، محمّد بن عمر - 681 ه-</w:t>
      </w:r>
      <w:bookmarkEnd w:id="3334"/>
    </w:p>
    <w:p>
      <w:pPr>
        <w:pStyle w:val="BookText"/>
      </w:pPr>
      <w:r>
        <w:rPr>
          <w:rFonts w:ascii="Amiri" w:hAnsi="Amiri" w:eastAsia="Amiri" w:cs="Amiri"/>
          <w:lang w:bidi="ar-SA"/>
          <w:color w:val="111111"/>
          <w:sz w:val="28"/>
          <w:szCs w:val="28"/>
          <w:rtl/>
        </w:rPr>
        <w:t xml:space="preserve">1 .اسماء الشياطين في سورة الفاتحة</w:t>
      </w:r>
    </w:p>
    <w:p>
      <w:pPr>
        <w:pStyle w:val="BookText"/>
      </w:pPr>
      <w:r>
        <w:rPr>
          <w:rFonts w:ascii="IRNazanin" w:hAnsi="IRNazanin" w:eastAsia="IRNazanin" w:cs="IRNazanin"/>
          <w:lang w:bidi="fa-IR"/>
          <w:color w:val="111111"/>
          <w:sz w:val="28"/>
          <w:szCs w:val="28"/>
          <w:rtl/>
        </w:rPr>
        <w:t xml:space="preserve">ج 2، ص 229.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صراح اللغة، ج 10، ص 540.</w:t>
      </w:r>
    </w:p>
    <w:p>
      <w:pPr>
        <w:pStyle w:val="Heading2"/>
      </w:pPr>
      <w:bookmarkStart w:id="3335" w:name="_Toc2437"/>
      <w:r>
        <w:t>جمال حسيني ، عطاء الله بن فضل الله -</w:t>
      </w:r>
      <w:bookmarkEnd w:id="3335"/>
    </w:p>
    <w:p>
      <w:pPr>
        <w:pStyle w:val="BookText"/>
      </w:pPr>
      <w:r>
        <w:rPr>
          <w:rFonts w:ascii="IRNazanin" w:hAnsi="IRNazanin" w:eastAsia="IRNazanin" w:cs="IRNazanin"/>
          <w:lang w:bidi="fa-IR"/>
          <w:color w:val="111111"/>
          <w:sz w:val="28"/>
          <w:szCs w:val="28"/>
          <w:rtl/>
        </w:rPr>
        <w:t xml:space="preserve">930ه؟-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إجازة لجلال الدین حسین ابن الخواجه شرف الدين عبد الحق الاردبيلي المعروف بالالهي، ج 1،</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Amiri" w:hAnsi="Amiri" w:eastAsia="Amiri" w:cs="Amiri"/>
          <w:lang w:bidi="ar-SA"/>
          <w:color w:val="111111"/>
          <w:sz w:val="28"/>
          <w:szCs w:val="28"/>
          <w:rtl/>
        </w:rPr>
        <w:t xml:space="preserve">2.الاربعون حديثاً في فضائل علي (ع)،</w:t>
      </w:r>
    </w:p>
    <w:p>
      <w:pPr>
        <w:pStyle w:val="BookText"/>
      </w:pPr>
      <w:r>
        <w:rPr>
          <w:rFonts w:ascii="IRNazanin" w:hAnsi="IRNazanin" w:eastAsia="IRNazanin" w:cs="IRNazanin"/>
          <w:lang w:bidi="fa-IR"/>
          <w:color w:val="111111"/>
          <w:sz w:val="28"/>
          <w:szCs w:val="28"/>
          <w:rtl/>
        </w:rPr>
        <w:t xml:space="preserve">ج 1، ص 727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روضة الاحباب في سيرة النبي و الآل</w:t>
      </w:r>
    </w:p>
    <w:p>
      <w:pPr>
        <w:pStyle w:val="BookText"/>
      </w:pPr>
      <w:r>
        <w:rPr>
          <w:rFonts w:ascii="IRNazanin" w:hAnsi="IRNazanin" w:eastAsia="IRNazanin" w:cs="IRNazanin"/>
          <w:lang w:bidi="fa-IR"/>
          <w:color w:val="111111"/>
          <w:sz w:val="28"/>
          <w:szCs w:val="28"/>
          <w:rtl/>
        </w:rPr>
        <w:t xml:space="preserve">و الاصحاب، ج8، ص 400 .</w:t>
      </w:r>
    </w:p>
    <w:p>
      <w:pPr>
        <w:pStyle w:val="Heading2"/>
      </w:pPr>
      <w:bookmarkStart w:id="3336" w:name="_Toc2438"/>
      <w:r>
        <w:t>جمال علي قرن 13 ه-</w:t>
      </w:r>
      <w:bookmarkEnd w:id="3336"/>
    </w:p>
    <w:p>
      <w:pPr>
        <w:pStyle w:val="BookText"/>
      </w:pPr>
      <w:r>
        <w:rPr>
          <w:rFonts w:ascii="Amiri" w:hAnsi="Amiri" w:eastAsia="Amiri" w:cs="Amiri"/>
          <w:lang w:bidi="ar-SA"/>
          <w:color w:val="111111"/>
          <w:sz w:val="28"/>
          <w:szCs w:val="28"/>
          <w:rtl/>
        </w:rPr>
        <w:t xml:space="preserve">منتخب الادوية، ج 15، ص 599.</w:t>
      </w:r>
    </w:p>
    <w:p>
      <w:pPr>
        <w:pStyle w:val="BookText"/>
      </w:pPr>
      <w:r>
        <w:rPr>
          <w:rFonts w:ascii="Amiri" w:hAnsi="Amiri" w:eastAsia="Amiri" w:cs="Amiri"/>
          <w:lang w:bidi="ar-SA"/>
          <w:color w:val="111111"/>
          <w:sz w:val="28"/>
          <w:szCs w:val="28"/>
          <w:rtl/>
        </w:rPr>
        <w:t xml:space="preserve">جمال هاشمي محمّد- هاشمي ، محمّد</w:t>
      </w:r>
    </w:p>
    <w:p>
      <w:pPr>
        <w:pStyle w:val="BookText"/>
      </w:pPr>
      <w:r>
        <w:rPr>
          <w:rFonts w:ascii="IRNazanin" w:hAnsi="IRNazanin" w:eastAsia="IRNazanin" w:cs="IRNazanin"/>
          <w:lang w:bidi="fa-IR"/>
          <w:color w:val="111111"/>
          <w:sz w:val="28"/>
          <w:szCs w:val="28"/>
          <w:rtl/>
        </w:rPr>
        <w:t xml:space="preserve">جمال</w:t>
      </w:r>
    </w:p>
    <w:p>
      <w:pPr>
        <w:pStyle w:val="BookText"/>
      </w:pPr>
      <w:r>
        <w:rPr>
          <w:rFonts w:ascii="Amiri" w:hAnsi="Amiri" w:eastAsia="Amiri" w:cs="Amiri"/>
          <w:lang w:bidi="ar-SA"/>
          <w:color w:val="111111"/>
          <w:sz w:val="28"/>
          <w:szCs w:val="28"/>
          <w:rtl/>
        </w:rPr>
        <w:t xml:space="preserve">جمالي آقسرايي ، محمّد بن</w:t>
      </w:r>
    </w:p>
    <w:p>
      <w:pPr>
        <w:pStyle w:val="BookText"/>
      </w:pPr>
      <w:r>
        <w:rPr>
          <w:rFonts w:ascii="Amiri" w:hAnsi="Amiri" w:eastAsia="Amiri" w:cs="Amiri"/>
          <w:lang w:bidi="ar-SA"/>
          <w:color w:val="111111"/>
          <w:sz w:val="28"/>
          <w:szCs w:val="28"/>
          <w:rtl/>
        </w:rPr>
        <w:t xml:space="preserve">محمّد -آقسرائي ، محمّد بن محمّد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6" w:name="pg7742_70060"/>
    <w:bookmarkEnd w:id="336"/>
    <w:p>
      <w:pPr>
        <w:pStyle w:val="Heading2"/>
      </w:pPr>
      <w:bookmarkStart w:id="3337" w:name="_Toc2439"/>
      <w:r>
        <w:t>جمالي ، احمد</w:t>
      </w:r>
      <w:bookmarkEnd w:id="3337"/>
    </w:p>
    <w:p>
      <w:pPr>
        <w:pStyle w:val="BookText"/>
      </w:pPr>
      <w:r>
        <w:rPr>
          <w:rFonts w:ascii="Amiri" w:hAnsi="Amiri" w:eastAsia="Amiri" w:cs="Amiri"/>
          <w:lang w:bidi="ar-SA"/>
          <w:color w:val="111111"/>
          <w:sz w:val="28"/>
          <w:szCs w:val="28"/>
          <w:rtl/>
        </w:rPr>
        <w:t xml:space="preserve">مختصر السر الصغي في مناقب القطب الوفي، ج 14، ص 194.</w:t>
      </w:r>
    </w:p>
    <w:p>
      <w:pPr>
        <w:pStyle w:val="Heading2"/>
      </w:pPr>
      <w:bookmarkStart w:id="3338" w:name="_Toc2440"/>
      <w:r>
        <w:t>جمالي تبريزي ، محمّد قرن 9 ه-</w:t>
      </w:r>
      <w:bookmarkEnd w:id="3338"/>
    </w:p>
    <w:p>
      <w:pPr>
        <w:pStyle w:val="BookText"/>
      </w:pPr>
      <w:r>
        <w:rPr>
          <w:rFonts w:ascii="Amiri" w:hAnsi="Amiri" w:eastAsia="Amiri" w:cs="Amiri"/>
          <w:lang w:bidi="ar-SA"/>
          <w:color w:val="111111"/>
          <w:sz w:val="28"/>
          <w:szCs w:val="28"/>
          <w:rtl/>
        </w:rPr>
        <w:t xml:space="preserve">ديوان جمالي تبريزي، ج 7، ص 611.</w:t>
      </w:r>
    </w:p>
    <w:p>
      <w:pPr>
        <w:pStyle w:val="Heading2"/>
      </w:pPr>
      <w:bookmarkStart w:id="3339" w:name="_Toc2441"/>
      <w:r>
        <w:t>جمالي تونسي احمد بن محمّد، قرن 11ه-</w:t>
      </w:r>
      <w:bookmarkEnd w:id="3339"/>
    </w:p>
    <w:p>
      <w:pPr>
        <w:pStyle w:val="BookText"/>
      </w:pPr>
      <w:r>
        <w:rPr>
          <w:rFonts w:ascii="Amiri" w:hAnsi="Amiri" w:eastAsia="Amiri" w:cs="Amiri"/>
          <w:lang w:bidi="ar-SA"/>
          <w:color w:val="111111"/>
          <w:sz w:val="28"/>
          <w:szCs w:val="28"/>
          <w:rtl/>
        </w:rPr>
        <w:t xml:space="preserve">تحفة الاخوان و امتحان الزمان في شيء يسير من العلم و دقائق القرآن ج 3، ص791 .</w:t>
      </w:r>
    </w:p>
    <w:p>
      <w:pPr>
        <w:pStyle w:val="Heading2"/>
      </w:pPr>
      <w:bookmarkStart w:id="3340" w:name="_Toc2442"/>
      <w:r>
        <w:t>جمالي زنبيلي ، علي بن احمد - 932 ه-</w:t>
      </w:r>
      <w:bookmarkEnd w:id="3340"/>
    </w:p>
    <w:p>
      <w:pPr>
        <w:pStyle w:val="BookText"/>
      </w:pPr>
      <w:r>
        <w:rPr>
          <w:rFonts w:ascii="Amiri" w:hAnsi="Amiri" w:eastAsia="Amiri" w:cs="Amiri"/>
          <w:lang w:bidi="ar-SA"/>
          <w:color w:val="111111"/>
          <w:sz w:val="28"/>
          <w:szCs w:val="28"/>
          <w:rtl/>
        </w:rPr>
        <w:t xml:space="preserve">1 .ادب الاوصياء، ج 1، ص 585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دوران الصوفية = الرسالة الجمالية</w:t>
      </w:r>
    </w:p>
    <w:p>
      <w:pPr>
        <w:pStyle w:val="BookText"/>
      </w:pPr>
      <w:r>
        <w:rPr>
          <w:rFonts w:ascii="IRNazanin" w:hAnsi="IRNazanin" w:eastAsia="IRNazanin" w:cs="IRNazanin"/>
          <w:lang w:bidi="fa-IR"/>
          <w:color w:val="111111"/>
          <w:sz w:val="28"/>
          <w:szCs w:val="28"/>
          <w:rtl/>
        </w:rPr>
        <w:t xml:space="preserve">ج 7، ص 492.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الفتاوى، ج 11، ص 597.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مختارات الهداية، ج 14، ص 148 .</w:t>
      </w:r>
    </w:p>
    <w:p>
      <w:pPr>
        <w:pStyle w:val="Heading2"/>
      </w:pPr>
      <w:bookmarkStart w:id="3341" w:name="_Toc2443"/>
      <w:r>
        <w:t>جمالي ، فضيل بن علي 920 - 991 ه-</w:t>
      </w:r>
      <w:bookmarkEnd w:id="3341"/>
    </w:p>
    <w:p>
      <w:pPr>
        <w:pStyle w:val="BookText"/>
      </w:pPr>
      <w:r>
        <w:rPr>
          <w:rFonts w:ascii="Amiri" w:hAnsi="Amiri" w:eastAsia="Amiri" w:cs="Amiri"/>
          <w:lang w:bidi="ar-SA"/>
          <w:color w:val="111111"/>
          <w:sz w:val="28"/>
          <w:szCs w:val="28"/>
          <w:rtl/>
        </w:rPr>
        <w:t xml:space="preserve">صون الفارض في الوصول إلى مدارك</w:t>
      </w:r>
    </w:p>
    <w:p>
      <w:pPr>
        <w:pStyle w:val="BookText"/>
      </w:pPr>
      <w:r>
        <w:rPr>
          <w:rFonts w:ascii="IRNazanin" w:hAnsi="IRNazanin" w:eastAsia="IRNazanin" w:cs="IRNazanin"/>
          <w:lang w:bidi="fa-IR"/>
          <w:color w:val="111111"/>
          <w:sz w:val="28"/>
          <w:szCs w:val="28"/>
          <w:rtl/>
        </w:rPr>
        <w:t xml:space="preserve">عون الرائض، ج 10، ص 670.</w:t>
      </w:r>
    </w:p>
    <w:p>
      <w:pPr>
        <w:pStyle w:val="Heading2"/>
      </w:pPr>
      <w:bookmarkStart w:id="3342" w:name="_Toc2444"/>
      <w:r>
        <w:t>جمالي ، قاسم</w:t>
      </w:r>
      <w:bookmarkEnd w:id="3342"/>
    </w:p>
    <w:p>
      <w:pPr>
        <w:pStyle w:val="BookText"/>
      </w:pPr>
      <w:r>
        <w:rPr>
          <w:rFonts w:ascii="Amiri" w:hAnsi="Amiri" w:eastAsia="Amiri" w:cs="Amiri"/>
          <w:lang w:bidi="ar-SA"/>
          <w:color w:val="111111"/>
          <w:sz w:val="28"/>
          <w:szCs w:val="28"/>
          <w:rtl/>
        </w:rPr>
        <w:t xml:space="preserve">ديوان جمالي قاسم، ج 7، ص 611 .</w:t>
      </w:r>
    </w:p>
    <w:p>
      <w:pPr>
        <w:pStyle w:val="Heading2"/>
      </w:pPr>
      <w:bookmarkStart w:id="3343" w:name="_Toc2445"/>
      <w:r>
        <w:t>جمالي يزدي، مطهر بن محمّد قرن 6 ه-</w:t>
      </w:r>
      <w:bookmarkEnd w:id="3343"/>
    </w:p>
    <w:p>
      <w:pPr>
        <w:pStyle w:val="BookText"/>
      </w:pPr>
      <w:r>
        <w:rPr>
          <w:rFonts w:ascii="Amiri" w:hAnsi="Amiri" w:eastAsia="Amiri" w:cs="Amiri"/>
          <w:lang w:bidi="ar-SA"/>
          <w:color w:val="111111"/>
          <w:sz w:val="28"/>
          <w:szCs w:val="28"/>
          <w:rtl/>
        </w:rPr>
        <w:t xml:space="preserve">فرخ نامه جمالي = فرح نامه، ج11،</w:t>
      </w:r>
    </w:p>
    <w:p>
      <w:pPr>
        <w:pStyle w:val="BookText"/>
      </w:pPr>
      <w:r>
        <w:rPr>
          <w:rFonts w:ascii="IRNazanin" w:hAnsi="IRNazanin" w:eastAsia="IRNazanin" w:cs="IRNazanin"/>
          <w:lang w:bidi="fa-IR"/>
          <w:color w:val="111111"/>
          <w:sz w:val="28"/>
          <w:szCs w:val="28"/>
          <w:rtl/>
        </w:rPr>
        <w:t xml:space="preserve">ص 778</w:t>
      </w:r>
    </w:p>
    <w:p>
      <w:pPr>
        <w:pStyle w:val="Heading2"/>
      </w:pPr>
      <w:bookmarkStart w:id="3344" w:name="_Toc2446"/>
      <w:r>
        <w:t>جمحي ، محمّد بن سلام، 2154-224 ه-</w:t>
      </w:r>
      <w:bookmarkEnd w:id="3344"/>
    </w:p>
    <w:p>
      <w:pPr>
        <w:pStyle w:val="BookText"/>
      </w:pPr>
      <w:r>
        <w:rPr>
          <w:rFonts w:ascii="Amiri" w:hAnsi="Amiri" w:eastAsia="Amiri" w:cs="Amiri"/>
          <w:lang w:bidi="ar-SA"/>
          <w:color w:val="111111"/>
          <w:sz w:val="28"/>
          <w:szCs w:val="28"/>
          <w:rtl/>
        </w:rPr>
        <w:t xml:space="preserve">طبقات الشعراء الاسلاميين، ج10،</w:t>
      </w:r>
    </w:p>
    <w:p>
      <w:pPr>
        <w:pStyle w:val="BookText"/>
      </w:pPr>
      <w:r>
        <w:rPr>
          <w:rFonts w:ascii="IRNazanin" w:hAnsi="IRNazanin" w:eastAsia="IRNazanin" w:cs="IRNazanin"/>
          <w:lang w:bidi="fa-IR"/>
          <w:color w:val="111111"/>
          <w:sz w:val="28"/>
          <w:szCs w:val="28"/>
          <w:rtl/>
        </w:rPr>
        <w:t xml:space="preserve">ص 780</w:t>
      </w:r>
    </w:p>
    <w:p>
      <w:pPr>
        <w:pStyle w:val="Heading2"/>
      </w:pPr>
      <w:bookmarkStart w:id="3345" w:name="_Toc2447"/>
      <w:r>
        <w:t>جمزوري، سليمان بن محمّد قرن 12 ه-</w:t>
      </w:r>
      <w:bookmarkEnd w:id="3345"/>
    </w:p>
    <w:p>
      <w:pPr>
        <w:pStyle w:val="BookText"/>
      </w:pPr>
      <w:r>
        <w:rPr>
          <w:rFonts w:ascii="Amiri" w:hAnsi="Amiri" w:eastAsia="Amiri" w:cs="Amiri"/>
          <w:lang w:bidi="ar-SA"/>
          <w:color w:val="111111"/>
          <w:sz w:val="28"/>
          <w:szCs w:val="28"/>
          <w:rtl/>
        </w:rPr>
        <w:t xml:space="preserve">1 .تحفة الاطفال، ج 3، ص 804.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المعاني في تحرير حرز الاماني</w:t>
      </w:r>
    </w:p>
    <w:p>
      <w:pPr>
        <w:pStyle w:val="BookText"/>
      </w:pPr>
      <w:r>
        <w:rPr>
          <w:rFonts w:ascii="IRNazanin" w:hAnsi="IRNazanin" w:eastAsia="IRNazanin" w:cs="IRNazanin"/>
          <w:lang w:bidi="fa-IR"/>
          <w:color w:val="111111"/>
          <w:sz w:val="28"/>
          <w:szCs w:val="28"/>
          <w:rtl/>
        </w:rPr>
        <w:t xml:space="preserve">ج 13، ص 436 .</w:t>
      </w:r>
    </w:p>
    <w:p>
      <w:pPr>
        <w:pStyle w:val="BookText"/>
      </w:pPr>
      <w:r>
        <w:rPr>
          <w:rFonts w:ascii="IRNazanin" w:hAnsi="IRNazanin" w:eastAsia="IRNazanin" w:cs="IRNazanin"/>
          <w:lang w:bidi="fa-IR"/>
          <w:color w:val="111111"/>
          <w:sz w:val="28"/>
          <w:szCs w:val="28"/>
          <w:rtl/>
        </w:rPr>
        <w:t xml:space="preserve">جمشید بن مسعود كاشاني- كاشي</w:t>
      </w:r>
    </w:p>
    <w:p>
      <w:pPr>
        <w:pStyle w:val="BookText"/>
      </w:pPr>
      <w:r>
        <w:rPr>
          <w:rFonts w:ascii="IRNazanin" w:hAnsi="IRNazanin" w:eastAsia="IRNazanin" w:cs="IRNazanin"/>
          <w:lang w:bidi="fa-IR"/>
          <w:color w:val="111111"/>
          <w:sz w:val="28"/>
          <w:szCs w:val="28"/>
          <w:rtl/>
        </w:rPr>
        <w:t xml:space="preserve">جمشید بن مسعود</w:t>
      </w:r>
    </w:p>
    <w:p>
      <w:pPr>
        <w:pStyle w:val="Heading2"/>
      </w:pPr>
      <w:bookmarkStart w:id="3346" w:name="_Toc2448"/>
      <w:r>
        <w:t>جميل ، انطون، 1887 - 1948 م</w:t>
      </w:r>
      <w:bookmarkEnd w:id="3346"/>
    </w:p>
    <w:p>
      <w:pPr>
        <w:pStyle w:val="BookText"/>
      </w:pPr>
      <w:r>
        <w:rPr>
          <w:rFonts w:ascii="Amiri" w:hAnsi="Amiri" w:eastAsia="Amiri" w:cs="Amiri"/>
          <w:lang w:bidi="ar-SA"/>
          <w:color w:val="111111"/>
          <w:sz w:val="28"/>
          <w:szCs w:val="28"/>
          <w:rtl/>
        </w:rPr>
        <w:t xml:space="preserve">أمثال العوام في الشهور و فصول العام</w:t>
      </w:r>
    </w:p>
    <w:p>
      <w:pPr>
        <w:pStyle w:val="BookText"/>
      </w:pPr>
      <w:r>
        <w:rPr>
          <w:rFonts w:ascii="IRNazanin" w:hAnsi="IRNazanin" w:eastAsia="IRNazanin" w:cs="IRNazanin"/>
          <w:lang w:bidi="fa-IR"/>
          <w:color w:val="111111"/>
          <w:sz w:val="28"/>
          <w:szCs w:val="28"/>
          <w:rtl/>
        </w:rPr>
        <w:t xml:space="preserve">ج 2، ص 747.</w:t>
      </w:r>
    </w:p>
    <w:p>
      <w:pPr>
        <w:pStyle w:val="BookText"/>
      </w:pPr>
      <w:r>
        <w:rPr>
          <w:rFonts w:ascii="Amiri" w:hAnsi="Amiri" w:eastAsia="Amiri" w:cs="Amiri"/>
          <w:lang w:bidi="ar-SA"/>
          <w:color w:val="111111"/>
          <w:sz w:val="28"/>
          <w:szCs w:val="28"/>
          <w:rtl/>
        </w:rPr>
        <w:t xml:space="preserve">جميل بن مصطفى عظم- عظم ، جميل</w:t>
      </w:r>
    </w:p>
    <w:p>
      <w:pPr>
        <w:pStyle w:val="BookText"/>
      </w:pPr>
      <w:r>
        <w:rPr>
          <w:rFonts w:ascii="IRNazanin" w:hAnsi="IRNazanin" w:eastAsia="IRNazanin" w:cs="IRNazanin"/>
          <w:lang w:bidi="fa-IR"/>
          <w:color w:val="111111"/>
          <w:sz w:val="28"/>
          <w:szCs w:val="28"/>
          <w:rtl/>
        </w:rPr>
        <w:t xml:space="preserve">بن مصطفى</w:t>
      </w:r>
    </w:p>
    <w:p>
      <w:pPr>
        <w:pStyle w:val="Heading2"/>
      </w:pPr>
      <w:bookmarkStart w:id="3347" w:name="_Toc2449"/>
      <w:r>
        <w:t>جميل زاده ، عبدالغني</w:t>
      </w:r>
      <w:bookmarkEnd w:id="3347"/>
    </w:p>
    <w:p>
      <w:pPr>
        <w:pStyle w:val="BookText"/>
      </w:pPr>
      <w:r>
        <w:rPr>
          <w:rFonts w:ascii="IRNazanin" w:hAnsi="IRNazanin" w:eastAsia="IRNazanin" w:cs="IRNazanin"/>
          <w:lang w:bidi="fa-IR"/>
          <w:color w:val="111111"/>
          <w:sz w:val="28"/>
          <w:szCs w:val="28"/>
          <w:rtl/>
        </w:rPr>
        <w:t xml:space="preserve">1 .تخميس على ابیات ابن حماد، ج 4</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Amiri" w:hAnsi="Amiri" w:eastAsia="Amiri" w:cs="Amiri"/>
          <w:lang w:bidi="ar-SA"/>
          <w:color w:val="111111"/>
          <w:sz w:val="28"/>
          <w:szCs w:val="28"/>
          <w:rtl/>
        </w:rPr>
        <w:t xml:space="preserve">2 .تقريض على التخميس ج4</w:t>
      </w:r>
    </w:p>
    <w:p>
      <w:pPr>
        <w:pStyle w:val="BookText"/>
      </w:pPr>
      <w:r>
        <w:rPr>
          <w:rFonts w:ascii="IRNazanin" w:hAnsi="IRNazanin" w:eastAsia="IRNazanin" w:cs="IRNazanin"/>
          <w:lang w:bidi="fa-IR"/>
          <w:color w:val="111111"/>
          <w:sz w:val="28"/>
          <w:szCs w:val="28"/>
          <w:rtl/>
        </w:rPr>
        <w:t xml:space="preserve">ص 782.</w:t>
      </w:r>
    </w:p>
    <w:p>
      <w:pPr>
        <w:pStyle w:val="BookText"/>
      </w:pPr>
      <w:r>
        <w:rPr>
          <w:rFonts w:ascii="Amiri" w:hAnsi="Amiri" w:eastAsia="Amiri" w:cs="Amiri"/>
          <w:lang w:bidi="ar-SA"/>
          <w:color w:val="111111"/>
          <w:sz w:val="28"/>
          <w:szCs w:val="28"/>
          <w:rtl/>
        </w:rPr>
        <w:t xml:space="preserve">جميل صدقي الزهاوي- زهاوي ، جميل بن محمّد</w:t>
      </w:r>
    </w:p>
    <w:p>
      <w:pPr>
        <w:pStyle w:val="Heading2"/>
      </w:pPr>
      <w:bookmarkStart w:id="3348" w:name="_Toc2450"/>
      <w:r>
        <w:t>جنائي، حسين بن محمّد بن ابراهیم قرن 5ه-</w:t>
      </w:r>
      <w:bookmarkEnd w:id="3348"/>
    </w:p>
    <w:p>
      <w:pPr>
        <w:pStyle w:val="BookText"/>
      </w:pPr>
      <w:r>
        <w:rPr>
          <w:rFonts w:ascii="Amiri" w:hAnsi="Amiri" w:eastAsia="Amiri" w:cs="Amiri"/>
          <w:lang w:bidi="ar-SA"/>
          <w:color w:val="111111"/>
          <w:sz w:val="28"/>
          <w:szCs w:val="28"/>
          <w:rtl/>
        </w:rPr>
        <w:t xml:space="preserve">الفوائد الصحاح و الغرائب المخرجة</w:t>
      </w:r>
    </w:p>
    <w:p>
      <w:pPr>
        <w:pStyle w:val="BookText"/>
      </w:pPr>
      <w:r>
        <w:rPr>
          <w:rFonts w:ascii="IRNazanin" w:hAnsi="IRNazanin" w:eastAsia="IRNazanin" w:cs="IRNazanin"/>
          <w:lang w:bidi="fa-IR"/>
          <w:color w:val="111111"/>
          <w:sz w:val="28"/>
          <w:szCs w:val="28"/>
          <w:rtl/>
        </w:rPr>
        <w:t xml:space="preserve">ج 12، ص 217.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7" w:name="pg7742_70062"/>
    <w:bookmarkEnd w:id="337"/>
    <w:p>
      <w:pPr>
        <w:pStyle w:val="BookText"/>
      </w:pPr>
      <w:r>
        <w:rPr>
          <w:rFonts w:ascii="IRNazanin" w:hAnsi="IRNazanin" w:eastAsia="IRNazanin" w:cs="IRNazanin"/>
          <w:lang w:bidi="fa-IR"/>
          <w:color w:val="111111"/>
          <w:sz w:val="28"/>
          <w:szCs w:val="28"/>
          <w:rtl/>
        </w:rPr>
        <w:t xml:space="preserve">جناب تفريشي ، محمّد حسین بن محمّد اسماعيل -تفرشي ، محمّد حسین بن محمّد</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جنابدي طبيب ، سلطانعلي- طبيب</w:t>
      </w:r>
    </w:p>
    <w:p>
      <w:pPr>
        <w:pStyle w:val="BookText"/>
      </w:pPr>
      <w:r>
        <w:rPr>
          <w:rFonts w:ascii="IRNazanin" w:hAnsi="IRNazanin" w:eastAsia="IRNazanin" w:cs="IRNazanin"/>
          <w:lang w:bidi="fa-IR"/>
          <w:color w:val="111111"/>
          <w:sz w:val="28"/>
          <w:szCs w:val="28"/>
          <w:rtl/>
        </w:rPr>
        <w:t xml:space="preserve">گنابادي ، سلطان علي</w:t>
      </w:r>
    </w:p>
    <w:p>
      <w:pPr>
        <w:pStyle w:val="BookText"/>
      </w:pPr>
      <w:r>
        <w:rPr>
          <w:rFonts w:ascii="IRNazanin" w:hAnsi="IRNazanin" w:eastAsia="IRNazanin" w:cs="IRNazanin"/>
          <w:lang w:bidi="fa-IR"/>
          <w:color w:val="111111"/>
          <w:sz w:val="28"/>
          <w:szCs w:val="28"/>
          <w:rtl/>
        </w:rPr>
        <w:t xml:space="preserve">جنابذي ، مظفر بن محمّد قاسم- گنابادي</w:t>
      </w:r>
    </w:p>
    <w:p>
      <w:pPr>
        <w:pStyle w:val="BookText"/>
      </w:pPr>
      <w:r>
        <w:rPr>
          <w:rFonts w:ascii="IRNazanin" w:hAnsi="IRNazanin" w:eastAsia="IRNazanin" w:cs="IRNazanin"/>
          <w:lang w:bidi="fa-IR"/>
          <w:color w:val="111111"/>
          <w:sz w:val="28"/>
          <w:szCs w:val="28"/>
          <w:rtl/>
        </w:rPr>
        <w:t xml:space="preserve">، مظفر بن محمّد قاسم</w:t>
      </w:r>
    </w:p>
    <w:p>
      <w:pPr>
        <w:pStyle w:val="BookText"/>
      </w:pPr>
      <w:r>
        <w:rPr>
          <w:rFonts w:ascii="Amiri" w:hAnsi="Amiri" w:eastAsia="Amiri" w:cs="Amiri"/>
          <w:lang w:bidi="ar-SA"/>
          <w:color w:val="111111"/>
          <w:sz w:val="28"/>
          <w:szCs w:val="28"/>
          <w:rtl/>
        </w:rPr>
        <w:t xml:space="preserve">جنابذي ، يوسف بن محمّد- حسيني</w:t>
      </w:r>
    </w:p>
    <w:p>
      <w:pPr>
        <w:pStyle w:val="BookText"/>
      </w:pPr>
      <w:r>
        <w:rPr>
          <w:rFonts w:ascii="Amiri" w:hAnsi="Amiri" w:eastAsia="Amiri" w:cs="Amiri"/>
          <w:lang w:bidi="ar-SA"/>
          <w:color w:val="111111"/>
          <w:sz w:val="28"/>
          <w:szCs w:val="28"/>
          <w:rtl/>
        </w:rPr>
        <w:t xml:space="preserve">خراساني ، يوسف بن محمّد</w:t>
      </w:r>
    </w:p>
    <w:p>
      <w:pPr>
        <w:pStyle w:val="BookText"/>
      </w:pPr>
      <w:r>
        <w:rPr>
          <w:rFonts w:ascii="IRNazanin" w:hAnsi="IRNazanin" w:eastAsia="IRNazanin" w:cs="IRNazanin"/>
          <w:lang w:bidi="fa-IR"/>
          <w:color w:val="111111"/>
          <w:sz w:val="28"/>
          <w:szCs w:val="28"/>
          <w:rtl/>
        </w:rPr>
        <w:t xml:space="preserve">جناحي نجفي ، جعفر بن خضر- کاشف</w:t>
      </w:r>
    </w:p>
    <w:p>
      <w:pPr>
        <w:pStyle w:val="BookText"/>
      </w:pPr>
      <w:r>
        <w:rPr>
          <w:rFonts w:ascii="IRNazanin" w:hAnsi="IRNazanin" w:eastAsia="IRNazanin" w:cs="IRNazanin"/>
          <w:lang w:bidi="fa-IR"/>
          <w:color w:val="111111"/>
          <w:sz w:val="28"/>
          <w:szCs w:val="28"/>
          <w:rtl/>
        </w:rPr>
        <w:t xml:space="preserve">الغطاء ، جعفر بن خضر</w:t>
      </w:r>
    </w:p>
    <w:p>
      <w:pPr>
        <w:pStyle w:val="BookText"/>
      </w:pPr>
      <w:r>
        <w:rPr>
          <w:rFonts w:ascii="IRNazanin" w:hAnsi="IRNazanin" w:eastAsia="IRNazanin" w:cs="IRNazanin"/>
          <w:lang w:bidi="fa-IR"/>
          <w:color w:val="111111"/>
          <w:sz w:val="28"/>
          <w:szCs w:val="28"/>
          <w:rtl/>
        </w:rPr>
        <w:t xml:space="preserve">جناحي نجفي ، موسی بن جعفر- کاشف</w:t>
      </w:r>
    </w:p>
    <w:p>
      <w:pPr>
        <w:pStyle w:val="BookText"/>
      </w:pPr>
      <w:r>
        <w:rPr>
          <w:rFonts w:ascii="IRNazanin" w:hAnsi="IRNazanin" w:eastAsia="IRNazanin" w:cs="IRNazanin"/>
          <w:lang w:bidi="fa-IR"/>
          <w:color w:val="111111"/>
          <w:sz w:val="28"/>
          <w:szCs w:val="28"/>
          <w:rtl/>
        </w:rPr>
        <w:t xml:space="preserve">الغطاء ، موسى بن جعفر</w:t>
      </w:r>
    </w:p>
    <w:p>
      <w:pPr>
        <w:pStyle w:val="BookText"/>
      </w:pPr>
      <w:r>
        <w:rPr>
          <w:rFonts w:ascii="Amiri" w:hAnsi="Amiri" w:eastAsia="Amiri" w:cs="Amiri"/>
          <w:lang w:bidi="ar-SA"/>
          <w:color w:val="111111"/>
          <w:sz w:val="28"/>
          <w:szCs w:val="28"/>
          <w:rtl/>
        </w:rPr>
        <w:t xml:space="preserve">جناري، اسماعيل بن مصطفى- خليفه</w:t>
      </w:r>
    </w:p>
    <w:p>
      <w:pPr>
        <w:pStyle w:val="BookText"/>
      </w:pPr>
      <w:r>
        <w:rPr>
          <w:rFonts w:ascii="Amiri" w:hAnsi="Amiri" w:eastAsia="Amiri" w:cs="Amiri"/>
          <w:lang w:bidi="ar-SA"/>
          <w:color w:val="111111"/>
          <w:sz w:val="28"/>
          <w:szCs w:val="28"/>
          <w:rtl/>
        </w:rPr>
        <w:t xml:space="preserve">زاده ، اسماعيل بن مصطفى</w:t>
      </w:r>
    </w:p>
    <w:p>
      <w:pPr>
        <w:pStyle w:val="BookText"/>
      </w:pPr>
      <w:r>
        <w:rPr>
          <w:rFonts w:ascii="Amiri" w:hAnsi="Amiri" w:eastAsia="Amiri" w:cs="Amiri"/>
          <w:lang w:bidi="ar-SA"/>
          <w:color w:val="111111"/>
          <w:sz w:val="28"/>
          <w:szCs w:val="28"/>
          <w:rtl/>
        </w:rPr>
        <w:t xml:space="preserve">جنبلائي ، حسين بن حمدان - خصيبي ،</w:t>
      </w:r>
    </w:p>
    <w:p>
      <w:pPr>
        <w:pStyle w:val="BookText"/>
      </w:pPr>
      <w:r>
        <w:rPr>
          <w:rFonts w:ascii="Amiri" w:hAnsi="Amiri" w:eastAsia="Amiri" w:cs="Amiri"/>
          <w:lang w:bidi="ar-SA"/>
          <w:color w:val="111111"/>
          <w:sz w:val="28"/>
          <w:szCs w:val="28"/>
          <w:rtl/>
        </w:rPr>
        <w:t xml:space="preserve">حسين بن حمدان</w:t>
      </w:r>
    </w:p>
    <w:p>
      <w:pPr>
        <w:pStyle w:val="BookText"/>
      </w:pPr>
      <w:r>
        <w:rPr>
          <w:rFonts w:ascii="Amiri" w:hAnsi="Amiri" w:eastAsia="Amiri" w:cs="Amiri"/>
          <w:lang w:bidi="ar-SA"/>
          <w:color w:val="111111"/>
          <w:sz w:val="28"/>
          <w:szCs w:val="28"/>
          <w:rtl/>
        </w:rPr>
        <w:t xml:space="preserve">جندقي ، ابوالحسن بن ابراهيم قلي- يغما</w:t>
      </w:r>
    </w:p>
    <w:p>
      <w:pPr>
        <w:pStyle w:val="BookText"/>
      </w:pPr>
      <w:r>
        <w:rPr>
          <w:rFonts w:ascii="Amiri" w:hAnsi="Amiri" w:eastAsia="Amiri" w:cs="Amiri"/>
          <w:lang w:bidi="ar-SA"/>
          <w:color w:val="111111"/>
          <w:sz w:val="28"/>
          <w:szCs w:val="28"/>
          <w:rtl/>
        </w:rPr>
        <w:t xml:space="preserve">جندقي ، ابوالحسن بن ابراهيم قلي</w:t>
      </w:r>
    </w:p>
    <w:p>
      <w:pPr>
        <w:pStyle w:val="Heading2"/>
      </w:pPr>
      <w:bookmarkStart w:id="3349" w:name="_Toc2451"/>
      <w:r>
        <w:t>جندقي ، ابو محمّد</w:t>
      </w:r>
      <w:bookmarkEnd w:id="3349"/>
    </w:p>
    <w:p>
      <w:pPr>
        <w:pStyle w:val="BookText"/>
      </w:pPr>
      <w:r>
        <w:rPr>
          <w:rFonts w:ascii="Amiri" w:hAnsi="Amiri" w:eastAsia="Amiri" w:cs="Amiri"/>
          <w:lang w:bidi="ar-SA"/>
          <w:color w:val="111111"/>
          <w:sz w:val="28"/>
          <w:szCs w:val="28"/>
          <w:rtl/>
        </w:rPr>
        <w:t xml:space="preserve">بصائر الهدى في الانساب، ج3،</w:t>
      </w:r>
    </w:p>
    <w:p>
      <w:pPr>
        <w:pStyle w:val="BookText"/>
      </w:pPr>
      <w:r>
        <w:rPr>
          <w:rFonts w:ascii="IRNazanin" w:hAnsi="IRNazanin" w:eastAsia="IRNazanin" w:cs="IRNazanin"/>
          <w:lang w:bidi="fa-IR"/>
          <w:color w:val="111111"/>
          <w:sz w:val="28"/>
          <w:szCs w:val="28"/>
          <w:rtl/>
        </w:rPr>
        <w:t xml:space="preserve">ص 346 .</w:t>
      </w:r>
    </w:p>
    <w:p>
      <w:pPr>
        <w:pStyle w:val="BookText"/>
      </w:pPr>
      <w:r>
        <w:rPr>
          <w:rFonts w:ascii="Amiri" w:hAnsi="Amiri" w:eastAsia="Amiri" w:cs="Amiri"/>
          <w:lang w:bidi="ar-SA"/>
          <w:color w:val="111111"/>
          <w:sz w:val="28"/>
          <w:szCs w:val="28"/>
          <w:rtl/>
        </w:rPr>
        <w:t xml:space="preserve">جندقي ، محمّد ، محمّد حسين- اعلمي ، محمّد</w:t>
      </w:r>
    </w:p>
    <w:p>
      <w:pPr>
        <w:pStyle w:val="BookText"/>
      </w:pPr>
      <w:r>
        <w:rPr>
          <w:rFonts w:ascii="Amiri" w:hAnsi="Amiri" w:eastAsia="Amiri" w:cs="Amiri"/>
          <w:lang w:bidi="ar-SA"/>
          <w:color w:val="111111"/>
          <w:sz w:val="28"/>
          <w:szCs w:val="28"/>
          <w:rtl/>
        </w:rPr>
        <w:t xml:space="preserve">حسين</w:t>
      </w:r>
    </w:p>
    <w:p>
      <w:pPr>
        <w:pStyle w:val="Heading2"/>
      </w:pPr>
      <w:bookmarkStart w:id="3350" w:name="_Toc2452"/>
      <w:r>
        <w:t>جندي ، احمد، قرن 10 ه-</w:t>
      </w:r>
      <w:bookmarkEnd w:id="3350"/>
    </w:p>
    <w:p>
      <w:pPr>
        <w:pStyle w:val="BookText"/>
      </w:pPr>
      <w:r>
        <w:rPr>
          <w:rFonts w:ascii="Amiri" w:hAnsi="Amiri" w:eastAsia="Amiri" w:cs="Amiri"/>
          <w:lang w:bidi="ar-SA"/>
          <w:color w:val="111111"/>
          <w:sz w:val="28"/>
          <w:szCs w:val="28"/>
          <w:rtl/>
        </w:rPr>
        <w:t xml:space="preserve">وحدة الوجود (رسالة في)، ج 16،</w:t>
      </w:r>
    </w:p>
    <w:p>
      <w:pPr>
        <w:pStyle w:val="BookText"/>
      </w:pPr>
      <w:r>
        <w:rPr>
          <w:rFonts w:ascii="IRNazanin" w:hAnsi="IRNazanin" w:eastAsia="IRNazanin" w:cs="IRNazanin"/>
          <w:lang w:bidi="fa-IR"/>
          <w:color w:val="111111"/>
          <w:sz w:val="28"/>
          <w:szCs w:val="28"/>
          <w:rtl/>
        </w:rPr>
        <w:t xml:space="preserve">ص 756 .</w:t>
      </w:r>
    </w:p>
    <w:p>
      <w:pPr>
        <w:pStyle w:val="Heading2"/>
      </w:pPr>
      <w:bookmarkStart w:id="3351" w:name="_Toc2453"/>
      <w:r>
        <w:t>جندي ، احمد بن عمر ، قرن 7 ه-</w:t>
      </w:r>
      <w:bookmarkEnd w:id="3351"/>
    </w:p>
    <w:p>
      <w:pPr>
        <w:pStyle w:val="BookText"/>
      </w:pPr>
      <w:r>
        <w:rPr>
          <w:rFonts w:ascii="Amiri" w:hAnsi="Amiri" w:eastAsia="Amiri" w:cs="Amiri"/>
          <w:lang w:bidi="ar-SA"/>
          <w:color w:val="111111"/>
          <w:sz w:val="28"/>
          <w:szCs w:val="28"/>
          <w:rtl/>
        </w:rPr>
        <w:t xml:space="preserve">شرح النجديات، ج 10، ص281</w:t>
      </w:r>
    </w:p>
    <w:p>
      <w:pPr>
        <w:pStyle w:val="BookText"/>
      </w:pPr>
      <w:r>
        <w:rPr>
          <w:rFonts w:ascii="Amiri" w:hAnsi="Amiri" w:eastAsia="Amiri" w:cs="Amiri"/>
          <w:lang w:bidi="ar-SA"/>
          <w:color w:val="111111"/>
          <w:sz w:val="28"/>
          <w:szCs w:val="28"/>
          <w:rtl/>
        </w:rPr>
        <w:t xml:space="preserve">جندي ، احمد بن محمود -خجندي</w:t>
      </w:r>
    </w:p>
    <w:p>
      <w:pPr>
        <w:pStyle w:val="BookText"/>
      </w:pPr>
      <w:r>
        <w:rPr>
          <w:rFonts w:ascii="IRNazanin" w:hAnsi="IRNazanin" w:eastAsia="IRNazanin" w:cs="IRNazanin"/>
          <w:lang w:bidi="fa-IR"/>
          <w:color w:val="111111"/>
          <w:sz w:val="28"/>
          <w:szCs w:val="28"/>
          <w:rtl/>
        </w:rPr>
        <w:t xml:space="preserve">احمد بن محمود</w:t>
      </w:r>
    </w:p>
    <w:p>
      <w:pPr>
        <w:pStyle w:val="Heading2"/>
      </w:pPr>
      <w:bookmarkStart w:id="3352" w:name="_Toc2454"/>
      <w:r>
        <w:t>جندي ، امير احمد علي</w:t>
      </w:r>
      <w:bookmarkEnd w:id="3352"/>
    </w:p>
    <w:p>
      <w:pPr>
        <w:pStyle w:val="BookText"/>
      </w:pPr>
      <w:r>
        <w:rPr>
          <w:rFonts w:ascii="Amiri" w:hAnsi="Amiri" w:eastAsia="Amiri" w:cs="Amiri"/>
          <w:lang w:bidi="ar-SA"/>
          <w:color w:val="111111"/>
          <w:sz w:val="28"/>
          <w:szCs w:val="28"/>
          <w:rtl/>
        </w:rPr>
        <w:t xml:space="preserve">الاسماعيلية وعقائدهم، ج2، ص239</w:t>
      </w:r>
    </w:p>
    <w:p>
      <w:pPr>
        <w:pStyle w:val="Heading2"/>
      </w:pPr>
      <w:bookmarkStart w:id="3353" w:name="_Toc2455"/>
      <w:r>
        <w:t>جندي، خليل بن اسحاق - 776 ه-</w:t>
      </w:r>
      <w:bookmarkEnd w:id="3353"/>
    </w:p>
    <w:p>
      <w:pPr>
        <w:pStyle w:val="BookText"/>
      </w:pPr>
      <w:r>
        <w:rPr>
          <w:rFonts w:ascii="Amiri" w:hAnsi="Amiri" w:eastAsia="Amiri" w:cs="Amiri"/>
          <w:lang w:bidi="ar-SA"/>
          <w:color w:val="111111"/>
          <w:sz w:val="28"/>
          <w:szCs w:val="28"/>
          <w:rtl/>
        </w:rPr>
        <w:t xml:space="preserve">1 .التوضيح في شرح مختصر ابن الحاجب في الفروع المالكية، جه،</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Amiri" w:hAnsi="Amiri" w:eastAsia="Amiri" w:cs="Amiri"/>
          <w:lang w:bidi="ar-SA"/>
          <w:color w:val="111111"/>
          <w:sz w:val="28"/>
          <w:szCs w:val="28"/>
          <w:rtl/>
        </w:rPr>
        <w:t xml:space="preserve">2 .المختصر في الفروع المالكية، ج 14،</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IRNazanin" w:hAnsi="IRNazanin" w:eastAsia="IRNazanin" w:cs="IRNazanin"/>
          <w:lang w:bidi="fa-IR"/>
          <w:color w:val="111111"/>
          <w:sz w:val="28"/>
          <w:szCs w:val="28"/>
          <w:rtl/>
        </w:rPr>
        <w:t xml:space="preserve">جندی شاپوري ، جبرائیل بن</w:t>
      </w:r>
    </w:p>
    <w:p>
      <w:pPr>
        <w:pStyle w:val="BookText"/>
      </w:pPr>
      <w:r>
        <w:rPr>
          <w:rFonts w:ascii="IRNazanin" w:hAnsi="IRNazanin" w:eastAsia="IRNazanin" w:cs="IRNazanin"/>
          <w:lang w:bidi="fa-IR"/>
          <w:color w:val="111111"/>
          <w:sz w:val="28"/>
          <w:szCs w:val="28"/>
          <w:rtl/>
        </w:rPr>
        <w:t xml:space="preserve">بختیشوع -جبرائيل بن بختیشوع</w:t>
      </w:r>
    </w:p>
    <w:p>
      <w:pPr>
        <w:pStyle w:val="BookText"/>
      </w:pPr>
      <w:r>
        <w:rPr>
          <w:rFonts w:ascii="Amiri" w:hAnsi="Amiri" w:eastAsia="Amiri" w:cs="Amiri"/>
          <w:lang w:bidi="ar-SA"/>
          <w:color w:val="111111"/>
          <w:sz w:val="28"/>
          <w:szCs w:val="28"/>
          <w:rtl/>
        </w:rPr>
        <w:t xml:space="preserve">جندي ، محمّد بن ابي بكر -اصبحي</w:t>
      </w:r>
    </w:p>
    <w:p>
      <w:pPr>
        <w:pStyle w:val="BookText"/>
      </w:pPr>
      <w:r>
        <w:rPr>
          <w:rFonts w:ascii="Amiri" w:hAnsi="Amiri" w:eastAsia="Amiri" w:cs="Amiri"/>
          <w:lang w:bidi="ar-SA"/>
          <w:color w:val="111111"/>
          <w:sz w:val="28"/>
          <w:szCs w:val="28"/>
          <w:rtl/>
        </w:rPr>
        <w:t xml:space="preserve">محمّد بن ابي بكر</w:t>
      </w:r>
    </w:p>
    <w:p>
      <w:pPr>
        <w:pStyle w:val="Heading2"/>
      </w:pPr>
      <w:bookmarkStart w:id="3354" w:name="_Toc2456"/>
      <w:r>
        <w:t>جندي ، محمّد بن يوسف - 732 ؟ ه-</w:t>
      </w:r>
      <w:bookmarkEnd w:id="3354"/>
    </w:p>
    <w:p>
      <w:pPr>
        <w:pStyle w:val="BookText"/>
      </w:pPr>
      <w:r>
        <w:rPr>
          <w:rFonts w:ascii="Amiri" w:hAnsi="Amiri" w:eastAsia="Amiri" w:cs="Amiri"/>
          <w:lang w:bidi="ar-SA"/>
          <w:color w:val="111111"/>
          <w:sz w:val="28"/>
          <w:szCs w:val="28"/>
          <w:rtl/>
        </w:rPr>
        <w:t xml:space="preserve">السلوك في طبقات العلماء والملوك</w:t>
      </w:r>
    </w:p>
    <w:p>
      <w:pPr>
        <w:pStyle w:val="BookText"/>
      </w:pPr>
      <w:r>
        <w:rPr>
          <w:rFonts w:ascii="IRNazanin" w:hAnsi="IRNazanin" w:eastAsia="IRNazanin" w:cs="IRNazanin"/>
          <w:lang w:bidi="fa-IR"/>
          <w:color w:val="111111"/>
          <w:sz w:val="28"/>
          <w:szCs w:val="28"/>
          <w:rtl/>
        </w:rPr>
        <w:t xml:space="preserve">ج 8، ص 826.</w:t>
      </w:r>
    </w:p>
    <w:p>
      <w:pPr>
        <w:pStyle w:val="Heading2"/>
      </w:pPr>
      <w:bookmarkStart w:id="3355" w:name="_Toc2457"/>
      <w:r>
        <w:t>جندي، ملا احمد بن محمّد قرن 9 ه-</w:t>
      </w:r>
      <w:bookmarkEnd w:id="3355"/>
    </w:p>
    <w:p>
      <w:pPr>
        <w:pStyle w:val="BookText"/>
      </w:pPr>
      <w:r>
        <w:rPr>
          <w:rFonts w:ascii="Amiri" w:hAnsi="Amiri" w:eastAsia="Amiri" w:cs="Amiri"/>
          <w:lang w:bidi="ar-SA"/>
          <w:color w:val="111111"/>
          <w:sz w:val="28"/>
          <w:szCs w:val="28"/>
          <w:rtl/>
        </w:rPr>
        <w:t xml:space="preserve">1 .حاشية شرح العقائد النسفية، ج 6،</w:t>
      </w:r>
    </w:p>
    <w:p>
      <w:pPr>
        <w:pStyle w:val="BookText"/>
      </w:pPr>
      <w:r>
        <w:rPr>
          <w:rFonts w:ascii="IRNazanin" w:hAnsi="IRNazanin" w:eastAsia="IRNazanin" w:cs="IRNazanin"/>
          <w:lang w:bidi="fa-IR"/>
          <w:color w:val="111111"/>
          <w:sz w:val="28"/>
          <w:szCs w:val="28"/>
          <w:rtl/>
        </w:rPr>
        <w:t xml:space="preserve">ص 149 .</w:t>
      </w:r>
    </w:p>
    <w:p>
      <w:pPr>
        <w:pStyle w:val="BookText"/>
      </w:pPr>
      <w:r>
        <w:rPr>
          <w:rFonts w:ascii="Amiri" w:hAnsi="Amiri" w:eastAsia="Amiri" w:cs="Amiri"/>
          <w:lang w:bidi="ar-SA"/>
          <w:color w:val="111111"/>
          <w:sz w:val="28"/>
          <w:szCs w:val="28"/>
          <w:rtl/>
        </w:rPr>
        <w:t xml:space="preserve">2 .شرح آداب المناظرة، ج 9، ص 140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8" w:name="pg7742_70064"/>
    <w:bookmarkEnd w:id="338"/>
    <w:p>
      <w:pPr>
        <w:pStyle w:val="Heading2"/>
      </w:pPr>
      <w:bookmarkStart w:id="3356" w:name="_Toc2458"/>
      <w:r>
        <w:t>جنگي دوست گيلاني ، موسى بن عبدالله</w:t>
      </w:r>
      <w:bookmarkEnd w:id="3356"/>
    </w:p>
    <w:p>
      <w:pPr>
        <w:pStyle w:val="BookText"/>
      </w:pPr>
      <w:r>
        <w:rPr>
          <w:rFonts w:ascii="IRNazanin" w:hAnsi="IRNazanin" w:eastAsia="IRNazanin" w:cs="IRNazanin"/>
          <w:lang w:bidi="fa-IR"/>
          <w:color w:val="111111"/>
          <w:sz w:val="28"/>
          <w:szCs w:val="28"/>
          <w:rtl/>
        </w:rPr>
        <w:t xml:space="preserve">قرن 6 ه-</w:t>
      </w:r>
    </w:p>
    <w:p>
      <w:pPr>
        <w:pStyle w:val="BookText"/>
      </w:pPr>
      <w:r>
        <w:rPr>
          <w:rFonts w:ascii="Amiri" w:hAnsi="Amiri" w:eastAsia="Amiri" w:cs="Amiri"/>
          <w:lang w:bidi="ar-SA"/>
          <w:color w:val="111111"/>
          <w:sz w:val="28"/>
          <w:szCs w:val="28"/>
          <w:rtl/>
        </w:rPr>
        <w:t xml:space="preserve">الورد القادري، ج 16، ص 761.</w:t>
      </w:r>
    </w:p>
    <w:p>
      <w:pPr>
        <w:pStyle w:val="Heading2"/>
      </w:pPr>
      <w:bookmarkStart w:id="3357" w:name="_Toc2459"/>
      <w:r>
        <w:t>جنید بغدادي - 297؟ ه-</w:t>
      </w:r>
      <w:bookmarkEnd w:id="3357"/>
    </w:p>
    <w:p>
      <w:pPr>
        <w:pStyle w:val="BookText"/>
      </w:pPr>
      <w:r>
        <w:rPr>
          <w:rFonts w:ascii="IRNazanin" w:hAnsi="IRNazanin" w:eastAsia="IRNazanin" w:cs="IRNazanin"/>
          <w:lang w:bidi="fa-IR"/>
          <w:color w:val="111111"/>
          <w:sz w:val="28"/>
          <w:szCs w:val="28"/>
          <w:rtl/>
        </w:rPr>
        <w:t xml:space="preserve">1 .الدعاء، ج 7، ص387.</w:t>
      </w:r>
    </w:p>
    <w:p>
      <w:pPr>
        <w:pStyle w:val="BookText"/>
      </w:pPr>
      <w:r>
        <w:rPr>
          <w:rFonts w:ascii="Amiri" w:hAnsi="Amiri" w:eastAsia="Amiri" w:cs="Amiri"/>
          <w:lang w:bidi="ar-SA"/>
          <w:color w:val="111111"/>
          <w:sz w:val="28"/>
          <w:szCs w:val="28"/>
          <w:rtl/>
        </w:rPr>
        <w:t xml:space="preserve">2 .معالي الهمة = معاني الحمم، ج 14،</w:t>
      </w:r>
    </w:p>
    <w:p>
      <w:pPr>
        <w:pStyle w:val="BookText"/>
      </w:pPr>
      <w:r>
        <w:rPr>
          <w:rFonts w:ascii="IRNazanin" w:hAnsi="IRNazanin" w:eastAsia="IRNazanin" w:cs="IRNazanin"/>
          <w:lang w:bidi="fa-IR"/>
          <w:color w:val="111111"/>
          <w:sz w:val="28"/>
          <w:szCs w:val="28"/>
          <w:rtl/>
        </w:rPr>
        <w:t xml:space="preserve">ص 881</w:t>
      </w:r>
    </w:p>
    <w:p>
      <w:pPr>
        <w:pStyle w:val="BookText"/>
      </w:pPr>
      <w:r>
        <w:rPr>
          <w:rFonts w:ascii="IRNazanin" w:hAnsi="IRNazanin" w:eastAsia="IRNazanin" w:cs="IRNazanin"/>
          <w:lang w:bidi="fa-IR"/>
          <w:color w:val="111111"/>
          <w:sz w:val="28"/>
          <w:szCs w:val="28"/>
          <w:rtl/>
        </w:rPr>
        <w:t xml:space="preserve">جنيد بغدادي ، جنيد بن محمود- جنید</w:t>
      </w:r>
    </w:p>
    <w:p>
      <w:pPr>
        <w:pStyle w:val="BookText"/>
      </w:pPr>
      <w:r>
        <w:rPr>
          <w:rFonts w:ascii="Amiri" w:hAnsi="Amiri" w:eastAsia="Amiri" w:cs="Amiri"/>
          <w:lang w:bidi="ar-SA"/>
          <w:color w:val="111111"/>
          <w:sz w:val="28"/>
          <w:szCs w:val="28"/>
          <w:rtl/>
        </w:rPr>
        <w:t xml:space="preserve">شيرازي ، جنيد بن محمود</w:t>
      </w:r>
    </w:p>
    <w:p>
      <w:pPr>
        <w:pStyle w:val="BookText"/>
      </w:pPr>
      <w:r>
        <w:rPr>
          <w:rFonts w:ascii="IRNazanin" w:hAnsi="IRNazanin" w:eastAsia="IRNazanin" w:cs="IRNazanin"/>
          <w:lang w:bidi="fa-IR"/>
          <w:color w:val="111111"/>
          <w:sz w:val="28"/>
          <w:szCs w:val="28"/>
          <w:rtl/>
        </w:rPr>
        <w:t xml:space="preserve">جنید بن محمّد- جنيد بغدادي</w:t>
      </w:r>
    </w:p>
    <w:p>
      <w:pPr>
        <w:pStyle w:val="Heading2"/>
      </w:pPr>
      <w:bookmarkStart w:id="3358" w:name="_Toc2460"/>
      <w:r>
        <w:t>جنيد شيرازي ،جنيد بن محمود قرن 8 ه-</w:t>
      </w:r>
      <w:bookmarkEnd w:id="3358"/>
    </w:p>
    <w:p>
      <w:pPr>
        <w:pStyle w:val="BookText"/>
      </w:pPr>
      <w:r>
        <w:rPr>
          <w:rFonts w:ascii="Amiri" w:hAnsi="Amiri" w:eastAsia="Amiri" w:cs="Amiri"/>
          <w:lang w:bidi="ar-SA"/>
          <w:color w:val="111111"/>
          <w:sz w:val="28"/>
          <w:szCs w:val="28"/>
          <w:rtl/>
        </w:rPr>
        <w:t xml:space="preserve">شد الإزار في حط الأوزار عن زوار</w:t>
      </w:r>
    </w:p>
    <w:p>
      <w:pPr>
        <w:pStyle w:val="BookText"/>
      </w:pPr>
      <w:r>
        <w:rPr>
          <w:rFonts w:ascii="IRNazanin" w:hAnsi="IRNazanin" w:eastAsia="IRNazanin" w:cs="IRNazanin"/>
          <w:lang w:bidi="fa-IR"/>
          <w:color w:val="111111"/>
          <w:sz w:val="28"/>
          <w:szCs w:val="28"/>
          <w:rtl/>
        </w:rPr>
        <w:t xml:space="preserve">المزار = المزارات، ج 9، ص87.</w:t>
      </w:r>
    </w:p>
    <w:p>
      <w:pPr>
        <w:pStyle w:val="BookText"/>
      </w:pPr>
      <w:r>
        <w:rPr>
          <w:rFonts w:ascii="Amiri" w:hAnsi="Amiri" w:eastAsia="Amiri" w:cs="Amiri"/>
          <w:lang w:bidi="ar-SA"/>
          <w:color w:val="111111"/>
          <w:sz w:val="28"/>
          <w:szCs w:val="28"/>
          <w:rtl/>
        </w:rPr>
        <w:t xml:space="preserve">جهرمي، محمّد اسماعيل بن علي، قرن 14ه-</w:t>
      </w:r>
    </w:p>
    <w:p>
      <w:pPr>
        <w:pStyle w:val="BookText"/>
      </w:pPr>
      <w:r>
        <w:rPr>
          <w:rFonts w:ascii="Amiri" w:hAnsi="Amiri" w:eastAsia="Amiri" w:cs="Amiri"/>
          <w:lang w:bidi="ar-SA"/>
          <w:color w:val="111111"/>
          <w:sz w:val="28"/>
          <w:szCs w:val="28"/>
          <w:rtl/>
        </w:rPr>
        <w:t xml:space="preserve">جوامع الكلم في الرد على الاجتهاد</w:t>
      </w:r>
    </w:p>
    <w:p>
      <w:pPr>
        <w:pStyle w:val="BookText"/>
      </w:pPr>
      <w:r>
        <w:rPr>
          <w:rFonts w:ascii="IRNazanin" w:hAnsi="IRNazanin" w:eastAsia="IRNazanin" w:cs="IRNazanin"/>
          <w:lang w:bidi="fa-IR"/>
          <w:color w:val="111111"/>
          <w:sz w:val="28"/>
          <w:szCs w:val="28"/>
          <w:rtl/>
        </w:rPr>
        <w:t xml:space="preserve">ج 5، ص 532.</w:t>
      </w:r>
    </w:p>
    <w:p>
      <w:pPr>
        <w:pStyle w:val="Heading2"/>
      </w:pPr>
      <w:bookmarkStart w:id="3359" w:name="_Toc2461"/>
      <w:r>
        <w:t>جنيدي ، ابواسحاق</w:t>
      </w:r>
      <w:bookmarkEnd w:id="3359"/>
    </w:p>
    <w:p>
      <w:pPr>
        <w:pStyle w:val="BookText"/>
      </w:pPr>
      <w:r>
        <w:rPr>
          <w:rFonts w:ascii="Amiri" w:hAnsi="Amiri" w:eastAsia="Amiri" w:cs="Amiri"/>
          <w:lang w:bidi="ar-SA"/>
          <w:color w:val="111111"/>
          <w:sz w:val="28"/>
          <w:szCs w:val="28"/>
          <w:rtl/>
        </w:rPr>
        <w:t xml:space="preserve">معرفة الايمان و الاسلام و الاحسان</w:t>
      </w:r>
    </w:p>
    <w:p>
      <w:pPr>
        <w:pStyle w:val="BookText"/>
      </w:pPr>
      <w:r>
        <w:rPr>
          <w:rFonts w:ascii="IRNazanin" w:hAnsi="IRNazanin" w:eastAsia="IRNazanin" w:cs="IRNazanin"/>
          <w:lang w:bidi="fa-IR"/>
          <w:color w:val="111111"/>
          <w:sz w:val="28"/>
          <w:szCs w:val="28"/>
          <w:rtl/>
        </w:rPr>
        <w:t xml:space="preserve">ج 15، ص 49.</w:t>
      </w:r>
    </w:p>
    <w:p>
      <w:pPr>
        <w:pStyle w:val="BookText"/>
      </w:pPr>
      <w:r>
        <w:rPr>
          <w:rFonts w:ascii="Amiri" w:hAnsi="Amiri" w:eastAsia="Amiri" w:cs="Amiri"/>
          <w:lang w:bidi="ar-SA"/>
          <w:color w:val="111111"/>
          <w:sz w:val="28"/>
          <w:szCs w:val="28"/>
          <w:rtl/>
        </w:rPr>
        <w:t xml:space="preserve">جنيدي ، ابوالبقاء بن خواجه بهاء الدين- كاساني ، ابوالبقاء بن بهاء الدين</w:t>
      </w:r>
    </w:p>
    <w:p>
      <w:pPr>
        <w:pStyle w:val="Heading2"/>
      </w:pPr>
      <w:bookmarkStart w:id="3360" w:name="_Toc2462"/>
      <w:r>
        <w:t>جنيدي ، عبدالحق، قرن 11 ه-</w:t>
      </w:r>
      <w:bookmarkEnd w:id="3360"/>
    </w:p>
    <w:p>
      <w:pPr>
        <w:pStyle w:val="BookText"/>
      </w:pPr>
      <w:r>
        <w:rPr>
          <w:rFonts w:ascii="Amiri" w:hAnsi="Amiri" w:eastAsia="Amiri" w:cs="Amiri"/>
          <w:lang w:bidi="ar-SA"/>
          <w:color w:val="111111"/>
          <w:sz w:val="28"/>
          <w:szCs w:val="28"/>
          <w:rtl/>
        </w:rPr>
        <w:t xml:space="preserve">تجويد = ذخيره، ج 3، ص 699.</w:t>
      </w:r>
    </w:p>
    <w:p>
      <w:pPr>
        <w:pStyle w:val="BookText"/>
      </w:pPr>
      <w:r>
        <w:rPr>
          <w:rFonts w:ascii="IRNazanin" w:hAnsi="IRNazanin" w:eastAsia="IRNazanin" w:cs="IRNazanin"/>
          <w:lang w:bidi="fa-IR"/>
          <w:color w:val="111111"/>
          <w:sz w:val="28"/>
          <w:szCs w:val="28"/>
          <w:rtl/>
        </w:rPr>
        <w:t xml:space="preserve">جهانگیر بن مجيد آهي -آهي ، جهانگیر</w:t>
      </w:r>
    </w:p>
    <w:p>
      <w:pPr>
        <w:pStyle w:val="BookText"/>
      </w:pPr>
      <w:r>
        <w:rPr>
          <w:rFonts w:ascii="IRNazanin" w:hAnsi="IRNazanin" w:eastAsia="IRNazanin" w:cs="IRNazanin"/>
          <w:lang w:bidi="fa-IR"/>
          <w:color w:val="111111"/>
          <w:sz w:val="28"/>
          <w:szCs w:val="28"/>
          <w:rtl/>
        </w:rPr>
        <w:t xml:space="preserve">بن مجید -</w:t>
      </w:r>
    </w:p>
    <w:p>
      <w:pPr>
        <w:pStyle w:val="Heading2"/>
      </w:pPr>
      <w:bookmarkStart w:id="3361" w:name="_Toc2463"/>
      <w:r>
        <w:t>جهانگیر میرزا بن عباس ميرزا 1222 -</w:t>
      </w:r>
      <w:bookmarkEnd w:id="3361"/>
    </w:p>
    <w:p>
      <w:pPr>
        <w:pStyle w:val="BookText"/>
      </w:pPr>
      <w:r>
        <w:rPr>
          <w:rFonts w:ascii="IRNazanin" w:hAnsi="IRNazanin" w:eastAsia="IRNazanin" w:cs="IRNazanin"/>
          <w:lang w:bidi="fa-IR"/>
          <w:color w:val="111111"/>
          <w:sz w:val="28"/>
          <w:szCs w:val="28"/>
          <w:rtl/>
        </w:rPr>
        <w:t xml:space="preserve">1269ه-</w:t>
      </w:r>
    </w:p>
    <w:p>
      <w:pPr>
        <w:pStyle w:val="BookText"/>
      </w:pPr>
      <w:r>
        <w:rPr>
          <w:rFonts w:ascii="IRNazanin" w:hAnsi="IRNazanin" w:eastAsia="IRNazanin" w:cs="IRNazanin"/>
          <w:lang w:bidi="fa-IR"/>
          <w:color w:val="111111"/>
          <w:sz w:val="28"/>
          <w:szCs w:val="28"/>
          <w:rtl/>
        </w:rPr>
        <w:t xml:space="preserve">عروض و قافیه، ج 11، ص103</w:t>
      </w:r>
    </w:p>
    <w:p>
      <w:pPr>
        <w:pStyle w:val="Heading2"/>
      </w:pPr>
      <w:bookmarkStart w:id="3362" w:name="_Toc2464"/>
      <w:r>
        <w:t>جهانگیری، محمّد صادق بن عبیدالله 1227ه-</w:t>
      </w:r>
      <w:bookmarkEnd w:id="3362"/>
    </w:p>
    <w:p>
      <w:pPr>
        <w:pStyle w:val="BookText"/>
      </w:pPr>
      <w:r>
        <w:rPr>
          <w:rFonts w:ascii="Amiri" w:hAnsi="Amiri" w:eastAsia="Amiri" w:cs="Amiri"/>
          <w:lang w:bidi="ar-SA"/>
          <w:color w:val="111111"/>
          <w:sz w:val="28"/>
          <w:szCs w:val="28"/>
          <w:rtl/>
        </w:rPr>
        <w:t xml:space="preserve">اختلاف ما بين الافق الحقيقي و المرئي ج 1، ص 552.</w:t>
      </w:r>
    </w:p>
    <w:p>
      <w:pPr>
        <w:pStyle w:val="BookText"/>
      </w:pPr>
      <w:r>
        <w:rPr>
          <w:rFonts w:ascii="Amiri" w:hAnsi="Amiri" w:eastAsia="Amiri" w:cs="Amiri"/>
          <w:lang w:bidi="ar-SA"/>
          <w:color w:val="111111"/>
          <w:sz w:val="28"/>
          <w:szCs w:val="28"/>
          <w:rtl/>
        </w:rPr>
        <w:t xml:space="preserve">جهة الله بن سلامه مقري- بغدادي ، هبة</w:t>
      </w:r>
    </w:p>
    <w:p>
      <w:pPr>
        <w:pStyle w:val="BookText"/>
      </w:pPr>
      <w:r>
        <w:rPr>
          <w:rFonts w:ascii="IRNazanin" w:hAnsi="IRNazanin" w:eastAsia="IRNazanin" w:cs="IRNazanin"/>
          <w:lang w:bidi="fa-IR"/>
          <w:color w:val="111111"/>
          <w:sz w:val="28"/>
          <w:szCs w:val="28"/>
          <w:rtl/>
        </w:rPr>
        <w:t xml:space="preserve">الله بن سلامه</w:t>
      </w:r>
    </w:p>
    <w:p>
      <w:pPr>
        <w:pStyle w:val="BookText"/>
      </w:pPr>
      <w:r>
        <w:rPr>
          <w:rFonts w:ascii="Amiri" w:hAnsi="Amiri" w:eastAsia="Amiri" w:cs="Amiri"/>
          <w:lang w:bidi="ar-SA"/>
          <w:color w:val="111111"/>
          <w:sz w:val="28"/>
          <w:szCs w:val="28"/>
          <w:rtl/>
        </w:rPr>
        <w:t xml:space="preserve">جهرمي ، ابوالقاسم -شيرازي جهرمي</w:t>
      </w:r>
    </w:p>
    <w:p>
      <w:pPr>
        <w:pStyle w:val="BookText"/>
      </w:pPr>
      <w:r>
        <w:rPr>
          <w:rFonts w:ascii="IRNazanin" w:hAnsi="IRNazanin" w:eastAsia="IRNazanin" w:cs="IRNazanin"/>
          <w:lang w:bidi="fa-IR"/>
          <w:color w:val="111111"/>
          <w:sz w:val="28"/>
          <w:szCs w:val="28"/>
          <w:rtl/>
        </w:rPr>
        <w:t xml:space="preserve">ابوالقاسم</w:t>
      </w:r>
    </w:p>
    <w:p>
      <w:pPr>
        <w:pStyle w:val="BookText"/>
      </w:pPr>
      <w:r>
        <w:rPr>
          <w:rFonts w:ascii="IRNazanin" w:hAnsi="IRNazanin" w:eastAsia="IRNazanin" w:cs="IRNazanin"/>
          <w:lang w:bidi="fa-IR"/>
          <w:color w:val="111111"/>
          <w:sz w:val="28"/>
          <w:szCs w:val="28"/>
          <w:rtl/>
        </w:rPr>
        <w:t xml:space="preserve">جهرمي ، عبدالله بن محمّد- قطب الدین</w:t>
      </w:r>
    </w:p>
    <w:p>
      <w:pPr>
        <w:pStyle w:val="BookText"/>
      </w:pPr>
      <w:r>
        <w:rPr>
          <w:rFonts w:ascii="Amiri" w:hAnsi="Amiri" w:eastAsia="Amiri" w:cs="Amiri"/>
          <w:lang w:bidi="ar-SA"/>
          <w:color w:val="111111"/>
          <w:sz w:val="28"/>
          <w:szCs w:val="28"/>
          <w:rtl/>
        </w:rPr>
        <w:t xml:space="preserve">شيرازي ، عبدالله بن محيي الدين محمّد</w:t>
      </w:r>
    </w:p>
    <w:p>
      <w:pPr>
        <w:pStyle w:val="BookText"/>
      </w:pPr>
      <w:r>
        <w:rPr>
          <w:rFonts w:ascii="Amiri" w:hAnsi="Amiri" w:eastAsia="Amiri" w:cs="Amiri"/>
          <w:lang w:bidi="ar-SA"/>
          <w:color w:val="111111"/>
          <w:sz w:val="28"/>
          <w:szCs w:val="28"/>
          <w:rtl/>
        </w:rPr>
        <w:t xml:space="preserve">جهضي ، اسماعيل بن اسحاق- ازدي ،</w:t>
      </w:r>
    </w:p>
    <w:p>
      <w:pPr>
        <w:pStyle w:val="BookText"/>
      </w:pPr>
      <w:r>
        <w:rPr>
          <w:rFonts w:ascii="Amiri" w:hAnsi="Amiri" w:eastAsia="Amiri" w:cs="Amiri"/>
          <w:lang w:bidi="ar-SA"/>
          <w:color w:val="111111"/>
          <w:sz w:val="28"/>
          <w:szCs w:val="28"/>
          <w:rtl/>
        </w:rPr>
        <w:t xml:space="preserve">اسماعيل بن اسحاق</w:t>
      </w:r>
    </w:p>
    <w:p>
      <w:pPr>
        <w:pStyle w:val="Heading2"/>
      </w:pPr>
      <w:bookmarkStart w:id="3363" w:name="_Toc2465"/>
      <w:r>
        <w:t>جهضمي، اسماعيل بن اسحاق 199 -</w:t>
      </w:r>
      <w:bookmarkEnd w:id="3363"/>
    </w:p>
    <w:p>
      <w:pPr>
        <w:pStyle w:val="BookText"/>
      </w:pPr>
      <w:r>
        <w:rPr>
          <w:rFonts w:ascii="IRNazanin" w:hAnsi="IRNazanin" w:eastAsia="IRNazanin" w:cs="IRNazanin"/>
          <w:lang w:bidi="fa-IR"/>
          <w:color w:val="111111"/>
          <w:sz w:val="28"/>
          <w:szCs w:val="28"/>
          <w:rtl/>
        </w:rPr>
        <w:t xml:space="preserve">282 ه-</w:t>
      </w:r>
    </w:p>
    <w:p>
      <w:pPr>
        <w:pStyle w:val="BookText"/>
      </w:pPr>
      <w:r>
        <w:rPr>
          <w:rFonts w:ascii="Amiri" w:hAnsi="Amiri" w:eastAsia="Amiri" w:cs="Amiri"/>
          <w:lang w:bidi="ar-SA"/>
          <w:color w:val="111111"/>
          <w:sz w:val="28"/>
          <w:szCs w:val="28"/>
          <w:rtl/>
        </w:rPr>
        <w:t xml:space="preserve">فضل الصلاة على النبي، ج 12، ص 26.</w:t>
      </w:r>
    </w:p>
    <w:p>
      <w:pPr>
        <w:pStyle w:val="Heading2"/>
      </w:pPr>
      <w:bookmarkStart w:id="3364" w:name="_Toc2466"/>
      <w:r>
        <w:t>جهضمي ، نصر بن علي - 250 ه-</w:t>
      </w:r>
      <w:bookmarkEnd w:id="3364"/>
    </w:p>
    <w:p>
      <w:pPr>
        <w:pStyle w:val="BookText"/>
      </w:pPr>
      <w:r>
        <w:rPr>
          <w:rFonts w:ascii="Amiri" w:hAnsi="Amiri" w:eastAsia="Amiri" w:cs="Amiri"/>
          <w:lang w:bidi="ar-SA"/>
          <w:color w:val="111111"/>
          <w:sz w:val="28"/>
          <w:szCs w:val="28"/>
          <w:rtl/>
        </w:rPr>
        <w:t xml:space="preserve">تاريخ أهل بيت عليهم السلام، ج3،</w:t>
      </w:r>
    </w:p>
    <w:p>
      <w:pPr>
        <w:pStyle w:val="BookText"/>
      </w:pPr>
      <w:r>
        <w:rPr>
          <w:rFonts w:ascii="IRNazanin" w:hAnsi="IRNazanin" w:eastAsia="IRNazanin" w:cs="IRNazanin"/>
          <w:lang w:bidi="fa-IR"/>
          <w:color w:val="111111"/>
          <w:sz w:val="28"/>
          <w:szCs w:val="28"/>
          <w:rtl/>
        </w:rPr>
        <w:t xml:space="preserve">ص 559.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9" w:name="pg7742_70066"/>
    <w:bookmarkEnd w:id="339"/>
    <w:p>
      <w:pPr>
        <w:pStyle w:val="BookText"/>
      </w:pPr>
      <w:r>
        <w:rPr>
          <w:rFonts w:ascii="Amiri" w:hAnsi="Amiri" w:eastAsia="Amiri" w:cs="Amiri"/>
          <w:lang w:bidi="ar-SA"/>
          <w:color w:val="111111"/>
          <w:sz w:val="28"/>
          <w:szCs w:val="28"/>
          <w:rtl/>
        </w:rPr>
        <w:t xml:space="preserve">جهني ، حسين بن نصر -ابن خميس حسين بن نصر</w:t>
      </w:r>
    </w:p>
    <w:p>
      <w:pPr>
        <w:pStyle w:val="BookText"/>
      </w:pPr>
      <w:r>
        <w:rPr>
          <w:rFonts w:ascii="Amiri" w:hAnsi="Amiri" w:eastAsia="Amiri" w:cs="Amiri"/>
          <w:lang w:bidi="ar-SA"/>
          <w:color w:val="111111"/>
          <w:sz w:val="28"/>
          <w:szCs w:val="28"/>
          <w:rtl/>
        </w:rPr>
        <w:t xml:space="preserve">جهني حموي ، هبة الله بن عبد</w:t>
      </w:r>
    </w:p>
    <w:p>
      <w:pPr>
        <w:pStyle w:val="BookText"/>
      </w:pPr>
      <w:r>
        <w:rPr>
          <w:rFonts w:ascii="Amiri" w:hAnsi="Amiri" w:eastAsia="Amiri" w:cs="Amiri"/>
          <w:lang w:bidi="ar-SA"/>
          <w:color w:val="111111"/>
          <w:sz w:val="28"/>
          <w:szCs w:val="28"/>
          <w:rtl/>
        </w:rPr>
        <w:t xml:space="preserve">الرحيم- ابن بارزي ، هبة الله بن عبدالرحيم</w:t>
      </w:r>
    </w:p>
    <w:p>
      <w:pPr>
        <w:pStyle w:val="BookText"/>
      </w:pPr>
      <w:r>
        <w:rPr>
          <w:rFonts w:ascii="Amiri" w:hAnsi="Amiri" w:eastAsia="Amiri" w:cs="Amiri"/>
          <w:lang w:bidi="ar-SA"/>
          <w:color w:val="111111"/>
          <w:sz w:val="28"/>
          <w:szCs w:val="28"/>
          <w:rtl/>
        </w:rPr>
        <w:t xml:space="preserve">جواد بن ابراهيم ساباط حسني قادري -</w:t>
      </w:r>
    </w:p>
    <w:p>
      <w:pPr>
        <w:pStyle w:val="BookText"/>
      </w:pPr>
      <w:r>
        <w:rPr>
          <w:rFonts w:ascii="Amiri" w:hAnsi="Amiri" w:eastAsia="Amiri" w:cs="Amiri"/>
          <w:lang w:bidi="ar-SA"/>
          <w:color w:val="111111"/>
          <w:sz w:val="28"/>
          <w:szCs w:val="28"/>
          <w:rtl/>
        </w:rPr>
        <w:t xml:space="preserve">حسني قادري ، جواد بن ابراهيم</w:t>
      </w:r>
    </w:p>
    <w:p>
      <w:pPr>
        <w:pStyle w:val="BookText"/>
      </w:pPr>
      <w:r>
        <w:rPr>
          <w:rFonts w:ascii="Amiri" w:hAnsi="Amiri" w:eastAsia="Amiri" w:cs="Amiri"/>
          <w:lang w:bidi="ar-SA"/>
          <w:color w:val="111111"/>
          <w:sz w:val="28"/>
          <w:szCs w:val="28"/>
          <w:rtl/>
        </w:rPr>
        <w:t xml:space="preserve">جواد بن جلال الدين عراقي -عراقي ،</w:t>
      </w:r>
    </w:p>
    <w:p>
      <w:pPr>
        <w:pStyle w:val="BookText"/>
      </w:pPr>
      <w:r>
        <w:rPr>
          <w:rFonts w:ascii="Amiri" w:hAnsi="Amiri" w:eastAsia="Amiri" w:cs="Amiri"/>
          <w:lang w:bidi="ar-SA"/>
          <w:color w:val="111111"/>
          <w:sz w:val="28"/>
          <w:szCs w:val="28"/>
          <w:rtl/>
        </w:rPr>
        <w:t xml:space="preserve">جواد بن جلال الدين</w:t>
      </w:r>
    </w:p>
    <w:p>
      <w:pPr>
        <w:pStyle w:val="Heading2"/>
      </w:pPr>
      <w:bookmarkStart w:id="3365" w:name="_Toc2467"/>
      <w:r>
        <w:t>جواد بن حسين نجف</w:t>
      </w:r>
      <w:bookmarkEnd w:id="3365"/>
    </w:p>
    <w:p>
      <w:pPr>
        <w:pStyle w:val="BookText"/>
      </w:pPr>
      <w:r>
        <w:rPr>
          <w:rFonts w:ascii="Amiri" w:hAnsi="Amiri" w:eastAsia="Amiri" w:cs="Amiri"/>
          <w:lang w:bidi="ar-SA"/>
          <w:color w:val="111111"/>
          <w:sz w:val="28"/>
          <w:szCs w:val="28"/>
          <w:rtl/>
        </w:rPr>
        <w:t xml:space="preserve">إجازة لأحمد التبريزي، ج 1، ص231.</w:t>
      </w:r>
    </w:p>
    <w:p>
      <w:pPr>
        <w:pStyle w:val="BookText"/>
      </w:pPr>
      <w:r>
        <w:rPr>
          <w:rFonts w:ascii="Amiri" w:hAnsi="Amiri" w:eastAsia="Amiri" w:cs="Amiri"/>
          <w:lang w:bidi="ar-SA"/>
          <w:color w:val="111111"/>
          <w:sz w:val="28"/>
          <w:szCs w:val="28"/>
          <w:rtl/>
        </w:rPr>
        <w:t xml:space="preserve">جواد بن سعيد فاضل جواد - جواد بن</w:t>
      </w:r>
    </w:p>
    <w:p>
      <w:pPr>
        <w:pStyle w:val="BookText"/>
      </w:pPr>
      <w:r>
        <w:rPr>
          <w:rFonts w:ascii="Amiri" w:hAnsi="Amiri" w:eastAsia="Amiri" w:cs="Amiri"/>
          <w:lang w:bidi="ar-SA"/>
          <w:color w:val="111111"/>
          <w:sz w:val="28"/>
          <w:szCs w:val="28"/>
          <w:rtl/>
        </w:rPr>
        <w:t xml:space="preserve">سعيد</w:t>
      </w:r>
    </w:p>
    <w:p>
      <w:pPr>
        <w:pStyle w:val="BookText"/>
      </w:pPr>
      <w:r>
        <w:rPr>
          <w:rFonts w:ascii="Amiri" w:hAnsi="Amiri" w:eastAsia="Amiri" w:cs="Amiri"/>
          <w:lang w:bidi="ar-SA"/>
          <w:color w:val="111111"/>
          <w:sz w:val="28"/>
          <w:szCs w:val="28"/>
          <w:rtl/>
        </w:rPr>
        <w:t xml:space="preserve">جواد بن شفيع ملكي تبريزي -ملكي تبريزي</w:t>
      </w:r>
    </w:p>
    <w:p>
      <w:pPr>
        <w:pStyle w:val="BookText"/>
      </w:pPr>
      <w:r>
        <w:rPr>
          <w:rFonts w:ascii="IRNazanin" w:hAnsi="IRNazanin" w:eastAsia="IRNazanin" w:cs="IRNazanin"/>
          <w:lang w:bidi="fa-IR"/>
          <w:color w:val="111111"/>
          <w:sz w:val="28"/>
          <w:szCs w:val="28"/>
          <w:rtl/>
        </w:rPr>
        <w:t xml:space="preserve">، جواد بن شفیع</w:t>
      </w:r>
    </w:p>
    <w:p>
      <w:pPr>
        <w:pStyle w:val="BookText"/>
      </w:pPr>
      <w:r>
        <w:rPr>
          <w:rFonts w:ascii="Amiri" w:hAnsi="Amiri" w:eastAsia="Amiri" w:cs="Amiri"/>
          <w:lang w:bidi="ar-SA"/>
          <w:color w:val="111111"/>
          <w:sz w:val="28"/>
          <w:szCs w:val="28"/>
          <w:rtl/>
        </w:rPr>
        <w:t xml:space="preserve">جواد بن عبد الرضا البغدادي- بغدادي</w:t>
      </w:r>
    </w:p>
    <w:p>
      <w:pPr>
        <w:pStyle w:val="BookText"/>
      </w:pPr>
      <w:r>
        <w:rPr>
          <w:rFonts w:ascii="IRNazanin" w:hAnsi="IRNazanin" w:eastAsia="IRNazanin" w:cs="IRNazanin"/>
          <w:lang w:bidi="fa-IR"/>
          <w:color w:val="111111"/>
          <w:sz w:val="28"/>
          <w:szCs w:val="28"/>
          <w:rtl/>
        </w:rPr>
        <w:t xml:space="preserve">جواد بن عبدالرضا</w:t>
      </w:r>
    </w:p>
    <w:p>
      <w:pPr>
        <w:pStyle w:val="BookText"/>
      </w:pPr>
      <w:r>
        <w:rPr>
          <w:rFonts w:ascii="Amiri" w:hAnsi="Amiri" w:eastAsia="Amiri" w:cs="Amiri"/>
          <w:lang w:bidi="ar-SA"/>
          <w:color w:val="111111"/>
          <w:sz w:val="28"/>
          <w:szCs w:val="28"/>
          <w:rtl/>
        </w:rPr>
        <w:t xml:space="preserve">جواد بن علي آل ابي جامع عاملي- آل ابي</w:t>
      </w:r>
    </w:p>
    <w:p>
      <w:pPr>
        <w:pStyle w:val="BookText"/>
      </w:pPr>
      <w:r>
        <w:rPr>
          <w:rFonts w:ascii="Amiri" w:hAnsi="Amiri" w:eastAsia="Amiri" w:cs="Amiri"/>
          <w:lang w:bidi="ar-SA"/>
          <w:color w:val="111111"/>
          <w:sz w:val="28"/>
          <w:szCs w:val="28"/>
          <w:rtl/>
        </w:rPr>
        <w:t xml:space="preserve">جامع ، جواد بن علي</w:t>
      </w:r>
    </w:p>
    <w:p>
      <w:pPr>
        <w:pStyle w:val="BookText"/>
      </w:pPr>
      <w:r>
        <w:rPr>
          <w:rFonts w:ascii="Amiri" w:hAnsi="Amiri" w:eastAsia="Amiri" w:cs="Amiri"/>
          <w:lang w:bidi="ar-SA"/>
          <w:color w:val="111111"/>
          <w:sz w:val="28"/>
          <w:szCs w:val="28"/>
          <w:rtl/>
        </w:rPr>
        <w:t xml:space="preserve">جواد بن علي كركي- كركي ، جواد بن علي</w:t>
      </w:r>
    </w:p>
    <w:p>
      <w:pPr>
        <w:pStyle w:val="BookText"/>
      </w:pPr>
      <w:r>
        <w:rPr>
          <w:rFonts w:ascii="IRNazanin" w:hAnsi="IRNazanin" w:eastAsia="IRNazanin" w:cs="IRNazanin"/>
          <w:lang w:bidi="fa-IR"/>
          <w:color w:val="111111"/>
          <w:sz w:val="28"/>
          <w:szCs w:val="28"/>
          <w:rtl/>
        </w:rPr>
        <w:t xml:space="preserve">جواد بن مجتبی روضه خوان -حسيني ، جواد بن مجتبی</w:t>
      </w:r>
    </w:p>
    <w:p>
      <w:pPr>
        <w:pStyle w:val="BookText"/>
      </w:pPr>
      <w:r>
        <w:rPr>
          <w:rFonts w:ascii="Amiri" w:hAnsi="Amiri" w:eastAsia="Amiri" w:cs="Amiri"/>
          <w:lang w:bidi="ar-SA"/>
          <w:color w:val="111111"/>
          <w:sz w:val="28"/>
          <w:szCs w:val="28"/>
          <w:rtl/>
        </w:rPr>
        <w:t xml:space="preserve">جواد بن محرم علي طارمي</w:t>
      </w:r>
    </w:p>
    <w:p>
      <w:pPr>
        <w:pStyle w:val="BookText"/>
      </w:pPr>
      <w:r>
        <w:rPr>
          <w:rFonts w:ascii="Amiri" w:hAnsi="Amiri" w:eastAsia="Amiri" w:cs="Amiri"/>
          <w:lang w:bidi="ar-SA"/>
          <w:color w:val="111111"/>
          <w:sz w:val="28"/>
          <w:szCs w:val="28"/>
          <w:rtl/>
        </w:rPr>
        <w:t xml:space="preserve">زنجاني- طارمي ، جواد بن محرم علي</w:t>
      </w:r>
    </w:p>
    <w:p>
      <w:pPr>
        <w:pStyle w:val="BookText"/>
      </w:pPr>
      <w:r>
        <w:rPr>
          <w:rFonts w:ascii="Amiri" w:hAnsi="Amiri" w:eastAsia="Amiri" w:cs="Amiri"/>
          <w:lang w:bidi="ar-SA"/>
          <w:color w:val="111111"/>
          <w:sz w:val="28"/>
          <w:szCs w:val="28"/>
          <w:rtl/>
        </w:rPr>
        <w:t xml:space="preserve">جواد بن محمّد حسني شقرائي- عاملي</w:t>
      </w:r>
    </w:p>
    <w:p>
      <w:pPr>
        <w:pStyle w:val="BookText"/>
      </w:pPr>
      <w:r>
        <w:rPr>
          <w:rFonts w:ascii="Amiri" w:hAnsi="Amiri" w:eastAsia="Amiri" w:cs="Amiri"/>
          <w:lang w:bidi="ar-SA"/>
          <w:color w:val="111111"/>
          <w:sz w:val="28"/>
          <w:szCs w:val="28"/>
          <w:rtl/>
        </w:rPr>
        <w:t xml:space="preserve">جواد بن محمّد حسين اسدي -اسدي ، جواد بن محمّد حسين</w:t>
      </w:r>
    </w:p>
    <w:p>
      <w:pPr>
        <w:pStyle w:val="BookText"/>
      </w:pPr>
      <w:r>
        <w:rPr>
          <w:rFonts w:ascii="IRNazanin" w:hAnsi="IRNazanin" w:eastAsia="IRNazanin" w:cs="IRNazanin"/>
          <w:lang w:bidi="fa-IR"/>
          <w:color w:val="111111"/>
          <w:sz w:val="28"/>
          <w:szCs w:val="28"/>
          <w:rtl/>
        </w:rPr>
        <w:t xml:space="preserve">جواد بن محمّد سیاهپوش- سیاهپوش جواد بن محمّد</w:t>
      </w:r>
    </w:p>
    <w:p>
      <w:pPr>
        <w:pStyle w:val="BookText"/>
      </w:pPr>
      <w:r>
        <w:rPr>
          <w:rFonts w:ascii="Amiri" w:hAnsi="Amiri" w:eastAsia="Amiri" w:cs="Amiri"/>
          <w:lang w:bidi="ar-SA"/>
          <w:color w:val="111111"/>
          <w:sz w:val="28"/>
          <w:szCs w:val="28"/>
          <w:rtl/>
        </w:rPr>
        <w:t xml:space="preserve">جواد بن محمّد شبيبي- شبيبي ، جواد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جواد بن محمّد علي حسيني- حسيني</w:t>
      </w:r>
    </w:p>
    <w:p>
      <w:pPr>
        <w:pStyle w:val="BookText"/>
      </w:pPr>
      <w:r>
        <w:rPr>
          <w:rFonts w:ascii="Amiri" w:hAnsi="Amiri" w:eastAsia="Amiri" w:cs="Amiri"/>
          <w:lang w:bidi="ar-SA"/>
          <w:color w:val="111111"/>
          <w:sz w:val="28"/>
          <w:szCs w:val="28"/>
          <w:rtl/>
        </w:rPr>
        <w:t xml:space="preserve">جواد بن محمّد علي</w:t>
      </w:r>
    </w:p>
    <w:p>
      <w:pPr>
        <w:pStyle w:val="BookText"/>
      </w:pPr>
      <w:r>
        <w:rPr>
          <w:rFonts w:ascii="Amiri" w:hAnsi="Amiri" w:eastAsia="Amiri" w:cs="Amiri"/>
          <w:lang w:bidi="ar-SA"/>
          <w:color w:val="111111"/>
          <w:sz w:val="28"/>
          <w:szCs w:val="28"/>
          <w:rtl/>
        </w:rPr>
        <w:t xml:space="preserve">جواد هاشم بيضاوي -بيضاوي ، جواد بن</w:t>
      </w:r>
    </w:p>
    <w:p>
      <w:pPr>
        <w:pStyle w:val="BookText"/>
      </w:pPr>
      <w:r>
        <w:rPr>
          <w:rFonts w:ascii="IRNazanin" w:hAnsi="IRNazanin" w:eastAsia="IRNazanin" w:cs="IRNazanin"/>
          <w:lang w:bidi="fa-IR"/>
          <w:color w:val="111111"/>
          <w:sz w:val="28"/>
          <w:szCs w:val="28"/>
          <w:rtl/>
        </w:rPr>
        <w:t xml:space="preserve">هاشم</w:t>
      </w:r>
    </w:p>
    <w:p>
      <w:pPr>
        <w:pStyle w:val="BookText"/>
      </w:pPr>
      <w:r>
        <w:rPr>
          <w:rFonts w:ascii="Amiri" w:hAnsi="Amiri" w:eastAsia="Amiri" w:cs="Amiri"/>
          <w:lang w:bidi="ar-SA"/>
          <w:color w:val="111111"/>
          <w:sz w:val="28"/>
          <w:szCs w:val="28"/>
          <w:rtl/>
        </w:rPr>
        <w:t xml:space="preserve">جواد زيني -زيني ، جواد</w:t>
      </w:r>
    </w:p>
    <w:p>
      <w:pPr>
        <w:pStyle w:val="BookText"/>
      </w:pPr>
      <w:r>
        <w:rPr>
          <w:rFonts w:ascii="Amiri" w:hAnsi="Amiri" w:eastAsia="Amiri" w:cs="Amiri"/>
          <w:lang w:bidi="ar-SA"/>
          <w:color w:val="111111"/>
          <w:sz w:val="28"/>
          <w:szCs w:val="28"/>
          <w:rtl/>
        </w:rPr>
        <w:t xml:space="preserve">جواد محي الدين- محي الدين ، جواد</w:t>
      </w:r>
    </w:p>
    <w:p>
      <w:pPr>
        <w:pStyle w:val="BookText"/>
      </w:pPr>
      <w:r>
        <w:rPr>
          <w:rFonts w:ascii="Amiri" w:hAnsi="Amiri" w:eastAsia="Amiri" w:cs="Amiri"/>
          <w:lang w:bidi="ar-SA"/>
          <w:color w:val="111111"/>
          <w:sz w:val="28"/>
          <w:szCs w:val="28"/>
          <w:rtl/>
        </w:rPr>
        <w:t xml:space="preserve">جواد محيي الدين- آل ابي جامع ، جواد بن علي</w:t>
      </w:r>
    </w:p>
    <w:p>
      <w:pPr>
        <w:pStyle w:val="Heading2"/>
      </w:pPr>
      <w:bookmarkStart w:id="3366" w:name="_Toc2468"/>
      <w:r>
        <w:t>جواد ، مصطفى</w:t>
      </w:r>
      <w:bookmarkEnd w:id="3366"/>
    </w:p>
    <w:p>
      <w:pPr>
        <w:pStyle w:val="BookText"/>
      </w:pPr>
      <w:r>
        <w:rPr>
          <w:rFonts w:ascii="Amiri" w:hAnsi="Amiri" w:eastAsia="Amiri" w:cs="Amiri"/>
          <w:lang w:bidi="ar-SA"/>
          <w:color w:val="111111"/>
          <w:sz w:val="28"/>
          <w:szCs w:val="28"/>
          <w:rtl/>
        </w:rPr>
        <w:t xml:space="preserve">نظرات في تاريخ العراق بين احتلالين</w:t>
      </w:r>
    </w:p>
    <w:p>
      <w:pPr>
        <w:pStyle w:val="BookText"/>
      </w:pPr>
      <w:r>
        <w:rPr>
          <w:rFonts w:ascii="IRNazanin" w:hAnsi="IRNazanin" w:eastAsia="IRNazanin" w:cs="IRNazanin"/>
          <w:lang w:bidi="fa-IR"/>
          <w:color w:val="111111"/>
          <w:sz w:val="28"/>
          <w:szCs w:val="28"/>
          <w:rtl/>
        </w:rPr>
        <w:t xml:space="preserve">ج 16، ص 324.</w:t>
      </w:r>
    </w:p>
    <w:p>
      <w:pPr>
        <w:pStyle w:val="BookText"/>
      </w:pPr>
      <w:r>
        <w:rPr>
          <w:rFonts w:ascii="IRNazanin" w:hAnsi="IRNazanin" w:eastAsia="IRNazanin" w:cs="IRNazanin"/>
          <w:lang w:bidi="fa-IR"/>
          <w:color w:val="111111"/>
          <w:sz w:val="28"/>
          <w:szCs w:val="28"/>
          <w:rtl/>
        </w:rPr>
        <w:t xml:space="preserve">جواد ملا کتاب - ملا کتاب ، محمّد جواد بن تقي</w:t>
      </w:r>
    </w:p>
    <w:p>
      <w:pPr>
        <w:pStyle w:val="BookText"/>
      </w:pPr>
      <w:r>
        <w:rPr>
          <w:rFonts w:ascii="Amiri" w:hAnsi="Amiri" w:eastAsia="Amiri" w:cs="Amiri"/>
          <w:lang w:bidi="ar-SA"/>
          <w:color w:val="111111"/>
          <w:sz w:val="28"/>
          <w:szCs w:val="28"/>
          <w:rtl/>
        </w:rPr>
        <w:t xml:space="preserve">جواد بن هاشم بيضاوي -بيضاوي ، جواد</w:t>
      </w:r>
    </w:p>
    <w:p>
      <w:pPr>
        <w:pStyle w:val="BookText"/>
      </w:pPr>
      <w:r>
        <w:rPr>
          <w:rFonts w:ascii="IRNazanin" w:hAnsi="IRNazanin" w:eastAsia="IRNazanin" w:cs="IRNazanin"/>
          <w:lang w:bidi="fa-IR"/>
          <w:color w:val="111111"/>
          <w:sz w:val="28"/>
          <w:szCs w:val="28"/>
          <w:rtl/>
        </w:rPr>
        <w:t xml:space="preserve">بن هاشم</w:t>
      </w:r>
    </w:p>
    <w:p>
      <w:pPr>
        <w:pStyle w:val="Heading2"/>
      </w:pPr>
      <w:bookmarkStart w:id="3367" w:name="_Toc2469"/>
      <w:r>
        <w:t>جوادي موصلي ، محمّد سعيد بن</w:t>
      </w:r>
      <w:bookmarkEnd w:id="3367"/>
    </w:p>
    <w:p>
      <w:pPr>
        <w:pStyle w:val="BookText"/>
      </w:pPr>
      <w:r>
        <w:rPr>
          <w:rFonts w:ascii="Amiri" w:hAnsi="Amiri" w:eastAsia="Amiri" w:cs="Amiri"/>
          <w:lang w:bidi="ar-SA"/>
          <w:color w:val="111111"/>
          <w:sz w:val="28"/>
          <w:szCs w:val="28"/>
          <w:rtl/>
        </w:rPr>
        <w:t xml:space="preserve">جرجيس - 1243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تخامیس، ج4، ص87</w:t>
      </w:r>
    </w:p>
    <w:p>
      <w:pPr>
        <w:pStyle w:val="BookText"/>
      </w:pPr>
      <w:r>
        <w:rPr>
          <w:rFonts w:ascii="Amiri" w:hAnsi="Amiri" w:eastAsia="Amiri" w:cs="Amiri"/>
          <w:lang w:bidi="ar-SA"/>
          <w:color w:val="111111"/>
          <w:sz w:val="28"/>
          <w:szCs w:val="28"/>
          <w:rtl/>
        </w:rPr>
        <w:t xml:space="preserve">غروي ، جواد بن محمّد</w:t>
      </w:r>
    </w:p>
    <w:p>
      <w:pPr>
        <w:pStyle w:val="BookText"/>
      </w:pPr>
      <w:r>
        <w:rPr>
          <w:rFonts w:ascii="Amiri" w:hAnsi="Amiri" w:eastAsia="Amiri" w:cs="Amiri"/>
          <w:lang w:bidi="ar-SA"/>
          <w:color w:val="111111"/>
          <w:sz w:val="28"/>
          <w:szCs w:val="28"/>
          <w:rtl/>
        </w:rPr>
        <w:t xml:space="preserve">2 .خطب منبرية، ج 7، ص 59.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0" w:name="pg7742_70068"/>
    <w:bookmarkEnd w:id="34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رسالة إلى موسى بن اللشي، ج8،</w:t>
      </w:r>
    </w:p>
    <w:p>
      <w:pPr>
        <w:pStyle w:val="BookText"/>
      </w:pPr>
      <w:r>
        <w:rPr>
          <w:rFonts w:ascii="IRNazanin" w:hAnsi="IRNazanin" w:eastAsia="IRNazanin" w:cs="IRNazanin"/>
          <w:lang w:bidi="fa-IR"/>
          <w:color w:val="111111"/>
          <w:sz w:val="28"/>
          <w:szCs w:val="28"/>
          <w:rtl/>
        </w:rPr>
        <w:t xml:space="preserve">ص 170 .</w:t>
      </w:r>
    </w:p>
    <w:p>
      <w:pPr>
        <w:pStyle w:val="BookText"/>
      </w:pPr>
      <w:r>
        <w:rPr>
          <w:rFonts w:ascii="Amiri" w:hAnsi="Amiri" w:eastAsia="Amiri" w:cs="Amiri"/>
          <w:lang w:bidi="ar-SA"/>
          <w:color w:val="111111"/>
          <w:sz w:val="28"/>
          <w:szCs w:val="28"/>
          <w:rtl/>
        </w:rPr>
        <w:t xml:space="preserve">4 .الفريدة الوردية في تخميس</w:t>
      </w:r>
    </w:p>
    <w:p>
      <w:pPr>
        <w:pStyle w:val="BookText"/>
      </w:pPr>
      <w:r>
        <w:rPr>
          <w:rFonts w:ascii="Amiri" w:hAnsi="Amiri" w:eastAsia="Amiri" w:cs="Amiri"/>
          <w:lang w:bidi="ar-SA"/>
          <w:color w:val="111111"/>
          <w:sz w:val="28"/>
          <w:szCs w:val="28"/>
          <w:rtl/>
        </w:rPr>
        <w:t xml:space="preserve">الدريدية، ج 11، ص823.</w:t>
      </w:r>
    </w:p>
    <w:p>
      <w:pPr>
        <w:pStyle w:val="BookText"/>
      </w:pPr>
      <w:r>
        <w:rPr>
          <w:rFonts w:ascii="Amiri" w:hAnsi="Amiri" w:eastAsia="Amiri" w:cs="Amiri"/>
          <w:lang w:bidi="ar-SA"/>
          <w:color w:val="111111"/>
          <w:sz w:val="28"/>
          <w:szCs w:val="28"/>
          <w:rtl/>
        </w:rPr>
        <w:t xml:space="preserve">5 .مختصر الاوليات و الآخريات = الاوائل والاواخر، ج 14، ص 176.</w:t>
      </w:r>
    </w:p>
    <w:p>
      <w:pPr>
        <w:pStyle w:val="Heading2"/>
      </w:pPr>
      <w:bookmarkStart w:id="3368" w:name="_Toc2470"/>
      <w:r>
        <w:t>جواليقي</w:t>
      </w:r>
      <w:bookmarkEnd w:id="3368"/>
    </w:p>
    <w:p>
      <w:pPr>
        <w:pStyle w:val="BookText"/>
      </w:pPr>
      <w:r>
        <w:rPr>
          <w:rFonts w:ascii="Amiri" w:hAnsi="Amiri" w:eastAsia="Amiri" w:cs="Amiri"/>
          <w:lang w:bidi="ar-SA"/>
          <w:color w:val="111111"/>
          <w:sz w:val="28"/>
          <w:szCs w:val="28"/>
          <w:rtl/>
        </w:rPr>
        <w:t xml:space="preserve">كتاب الجوهري، ج13، ص 97.</w:t>
      </w:r>
    </w:p>
    <w:p>
      <w:pPr>
        <w:pStyle w:val="Heading2"/>
      </w:pPr>
      <w:bookmarkStart w:id="3369" w:name="_Toc2471"/>
      <w:r>
        <w:t>جواليقي، موهوب بن احمد، 466-540ه-</w:t>
      </w:r>
      <w:bookmarkEnd w:id="33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التكملة فيما تلحن فيه العامة</w:t>
      </w:r>
    </w:p>
    <w:p>
      <w:pPr>
        <w:pStyle w:val="BookText"/>
      </w:pPr>
      <w:r>
        <w:rPr>
          <w:rFonts w:ascii="IRNazanin" w:hAnsi="IRNazanin" w:eastAsia="IRNazanin" w:cs="IRNazanin"/>
          <w:lang w:bidi="fa-IR"/>
          <w:color w:val="111111"/>
          <w:sz w:val="28"/>
          <w:szCs w:val="28"/>
          <w:rtl/>
        </w:rPr>
        <w:t xml:space="preserve">ج 4، ص 822.</w:t>
      </w:r>
    </w:p>
    <w:p>
      <w:pPr>
        <w:pStyle w:val="BookText"/>
      </w:pPr>
      <w:r>
        <w:rPr>
          <w:rFonts w:ascii="IRNazanin" w:hAnsi="IRNazanin" w:eastAsia="IRNazanin" w:cs="IRNazanin"/>
          <w:lang w:bidi="fa-IR"/>
          <w:color w:val="111111"/>
          <w:sz w:val="28"/>
          <w:szCs w:val="28"/>
          <w:rtl/>
        </w:rPr>
        <w:t xml:space="preserve">2 .شرح القصائد المعلقات السبع، ج9،</w:t>
      </w:r>
    </w:p>
    <w:p>
      <w:pPr>
        <w:pStyle w:val="BookText"/>
      </w:pPr>
      <w:r>
        <w:rPr>
          <w:rFonts w:ascii="IRNazanin" w:hAnsi="IRNazanin" w:eastAsia="IRNazanin" w:cs="IRNazanin"/>
          <w:lang w:bidi="fa-IR"/>
          <w:color w:val="111111"/>
          <w:sz w:val="28"/>
          <w:szCs w:val="28"/>
          <w:rtl/>
        </w:rPr>
        <w:t xml:space="preserve">ص 829.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المختصر، ج 14، ص 167.</w:t>
      </w:r>
    </w:p>
    <w:p>
      <w:pPr>
        <w:pStyle w:val="BookText"/>
      </w:pPr>
      <w:r>
        <w:rPr>
          <w:rFonts w:ascii="Amiri" w:hAnsi="Amiri" w:eastAsia="Amiri" w:cs="Amiri"/>
          <w:lang w:bidi="ar-SA"/>
          <w:color w:val="111111"/>
          <w:sz w:val="28"/>
          <w:szCs w:val="28"/>
          <w:rtl/>
        </w:rPr>
        <w:t xml:space="preserve">4 .مختصر شرح امثلة، ج 14 ، ص198.</w:t>
      </w:r>
    </w:p>
    <w:p>
      <w:pPr>
        <w:pStyle w:val="BookText"/>
      </w:pPr>
      <w:r>
        <w:rPr>
          <w:rFonts w:ascii="Amiri" w:hAnsi="Amiri" w:eastAsia="Amiri" w:cs="Amiri"/>
          <w:lang w:bidi="ar-SA"/>
          <w:color w:val="111111"/>
          <w:sz w:val="28"/>
          <w:szCs w:val="28"/>
          <w:rtl/>
        </w:rPr>
        <w:t xml:space="preserve">5 .المعرب من الاعجمي، ج 15، ص39.</w:t>
      </w:r>
    </w:p>
    <w:p>
      <w:pPr>
        <w:pStyle w:val="Heading2"/>
      </w:pPr>
      <w:bookmarkStart w:id="3370" w:name="_Toc2472"/>
      <w:r>
        <w:t>جوانرودي ، محمّد قرن 11 ه-</w:t>
      </w:r>
      <w:bookmarkEnd w:id="3370"/>
    </w:p>
    <w:p>
      <w:pPr>
        <w:pStyle w:val="BookText"/>
      </w:pPr>
      <w:r>
        <w:rPr>
          <w:rFonts w:ascii="Amiri" w:hAnsi="Amiri" w:eastAsia="Amiri" w:cs="Amiri"/>
          <w:lang w:bidi="ar-SA"/>
          <w:color w:val="111111"/>
          <w:sz w:val="28"/>
          <w:szCs w:val="28"/>
          <w:rtl/>
        </w:rPr>
        <w:t xml:space="preserve">زواهر اللغة، ج 8، ص 641 .</w:t>
      </w:r>
    </w:p>
    <w:p>
      <w:pPr>
        <w:pStyle w:val="Heading2"/>
      </w:pPr>
      <w:bookmarkStart w:id="3371" w:name="_Toc2473"/>
      <w:r>
        <w:t>جواني ، محمّد بن اسعد، 525 - 588 ه-</w:t>
      </w:r>
      <w:bookmarkEnd w:id="3371"/>
    </w:p>
    <w:p>
      <w:pPr>
        <w:pStyle w:val="BookText"/>
      </w:pPr>
      <w:r>
        <w:rPr>
          <w:rFonts w:ascii="Amiri" w:hAnsi="Amiri" w:eastAsia="Amiri" w:cs="Amiri"/>
          <w:lang w:bidi="ar-SA"/>
          <w:color w:val="111111"/>
          <w:sz w:val="28"/>
          <w:szCs w:val="28"/>
          <w:rtl/>
        </w:rPr>
        <w:t xml:space="preserve">الانساب (رسالة في)، ج2، ص 797.</w:t>
      </w:r>
    </w:p>
    <w:p>
      <w:pPr>
        <w:pStyle w:val="Heading2"/>
      </w:pPr>
      <w:bookmarkStart w:id="3372" w:name="_Toc2474"/>
      <w:r>
        <w:t>جواهرية ، محمّد - 1335 ه-</w:t>
      </w:r>
      <w:bookmarkEnd w:id="3372"/>
    </w:p>
    <w:p>
      <w:pPr>
        <w:pStyle w:val="BookText"/>
      </w:pPr>
      <w:r>
        <w:rPr>
          <w:rFonts w:ascii="Amiri" w:hAnsi="Amiri" w:eastAsia="Amiri" w:cs="Amiri"/>
          <w:lang w:bidi="ar-SA"/>
          <w:color w:val="111111"/>
          <w:sz w:val="28"/>
          <w:szCs w:val="28"/>
          <w:rtl/>
        </w:rPr>
        <w:t xml:space="preserve">شرح متن الجزائرية، ج 10، ص 96.</w:t>
      </w:r>
    </w:p>
    <w:p>
      <w:pPr>
        <w:pStyle w:val="Heading2"/>
      </w:pPr>
      <w:bookmarkStart w:id="3373" w:name="_Toc2475"/>
      <w:r>
        <w:t>جواهري، عبد الامير بن هادي</w:t>
      </w:r>
      <w:bookmarkEnd w:id="3373"/>
    </w:p>
    <w:p>
      <w:pPr>
        <w:pStyle w:val="BookText"/>
      </w:pPr>
      <w:r>
        <w:rPr>
          <w:rFonts w:ascii="Amiri" w:hAnsi="Amiri" w:eastAsia="Amiri" w:cs="Amiri"/>
          <w:lang w:bidi="ar-SA"/>
          <w:color w:val="111111"/>
          <w:sz w:val="28"/>
          <w:szCs w:val="28"/>
          <w:rtl/>
        </w:rPr>
        <w:t xml:space="preserve">دليل الأديب، ج 7، ص 465.</w:t>
      </w:r>
    </w:p>
    <w:p>
      <w:pPr>
        <w:pStyle w:val="Heading2"/>
      </w:pPr>
      <w:bookmarkStart w:id="3374" w:name="_Toc2476"/>
      <w:r>
        <w:t>جواهري عبد الحسين بن عباس، قرن 15ه-</w:t>
      </w:r>
      <w:bookmarkEnd w:id="3374"/>
    </w:p>
    <w:p>
      <w:pPr>
        <w:pStyle w:val="BookText"/>
      </w:pPr>
      <w:r>
        <w:rPr>
          <w:rFonts w:ascii="Amiri" w:hAnsi="Amiri" w:eastAsia="Amiri" w:cs="Amiri"/>
          <w:lang w:bidi="ar-SA"/>
          <w:color w:val="111111"/>
          <w:sz w:val="28"/>
          <w:szCs w:val="28"/>
          <w:rtl/>
        </w:rPr>
        <w:t xml:space="preserve">ديوان علي بن محمّد تقي الجواهري</w:t>
      </w:r>
    </w:p>
    <w:p>
      <w:pPr>
        <w:pStyle w:val="BookText"/>
      </w:pPr>
      <w:r>
        <w:rPr>
          <w:rFonts w:ascii="IRNazanin" w:hAnsi="IRNazanin" w:eastAsia="IRNazanin" w:cs="IRNazanin"/>
          <w:lang w:bidi="fa-IR"/>
          <w:color w:val="111111"/>
          <w:sz w:val="28"/>
          <w:szCs w:val="28"/>
          <w:rtl/>
        </w:rPr>
        <w:t xml:space="preserve">ج 7، ص 724 .</w:t>
      </w:r>
    </w:p>
    <w:p>
      <w:pPr>
        <w:pStyle w:val="Heading2"/>
      </w:pPr>
      <w:bookmarkStart w:id="3375" w:name="_Toc2477"/>
      <w:r>
        <w:t>جواهري ، عبدالرسول</w:t>
      </w:r>
      <w:bookmarkEnd w:id="3375"/>
    </w:p>
    <w:p>
      <w:pPr>
        <w:pStyle w:val="BookText"/>
      </w:pPr>
      <w:r>
        <w:rPr>
          <w:rFonts w:ascii="Amiri" w:hAnsi="Amiri" w:eastAsia="Amiri" w:cs="Amiri"/>
          <w:lang w:bidi="ar-SA"/>
          <w:color w:val="111111"/>
          <w:sz w:val="28"/>
          <w:szCs w:val="28"/>
          <w:rtl/>
        </w:rPr>
        <w:t xml:space="preserve">انيس الموحدين (ترجمة)، ج 3، ص 46.</w:t>
      </w:r>
    </w:p>
    <w:p>
      <w:pPr>
        <w:pStyle w:val="BookText"/>
      </w:pPr>
      <w:r>
        <w:rPr>
          <w:rFonts w:ascii="Amiri" w:hAnsi="Amiri" w:eastAsia="Amiri" w:cs="Amiri"/>
          <w:lang w:bidi="ar-SA"/>
          <w:color w:val="111111"/>
          <w:sz w:val="28"/>
          <w:szCs w:val="28"/>
          <w:rtl/>
        </w:rPr>
        <w:t xml:space="preserve">جواهري ، عبد الصاحب بن حسن -</w:t>
      </w:r>
    </w:p>
    <w:p>
      <w:pPr>
        <w:pStyle w:val="BookText"/>
      </w:pPr>
      <w:r>
        <w:rPr>
          <w:rFonts w:ascii="IRNazanin" w:hAnsi="IRNazanin" w:eastAsia="IRNazanin" w:cs="IRNazanin"/>
          <w:lang w:bidi="fa-IR"/>
          <w:color w:val="111111"/>
          <w:sz w:val="28"/>
          <w:szCs w:val="28"/>
          <w:rtl/>
        </w:rPr>
        <w:t xml:space="preserve">1352ه-</w:t>
      </w:r>
    </w:p>
    <w:p>
      <w:pPr>
        <w:pStyle w:val="BookText"/>
      </w:pPr>
      <w:r>
        <w:rPr>
          <w:rFonts w:ascii="Amiri" w:hAnsi="Amiri" w:eastAsia="Amiri" w:cs="Amiri"/>
          <w:lang w:bidi="ar-SA"/>
          <w:color w:val="111111"/>
          <w:sz w:val="28"/>
          <w:szCs w:val="28"/>
          <w:rtl/>
        </w:rPr>
        <w:t xml:space="preserve">انوار الهداية في شرح الكفاية، ج3،</w:t>
      </w:r>
    </w:p>
    <w:p>
      <w:pPr>
        <w:pStyle w:val="BookText"/>
      </w:pPr>
      <w:r>
        <w:rPr>
          <w:rFonts w:ascii="IRNazanin" w:hAnsi="IRNazanin" w:eastAsia="IRNazanin" w:cs="IRNazanin"/>
          <w:lang w:bidi="fa-IR"/>
          <w:color w:val="111111"/>
          <w:sz w:val="28"/>
          <w:szCs w:val="28"/>
          <w:rtl/>
        </w:rPr>
        <w:t xml:space="preserve">ص 29.</w:t>
      </w:r>
    </w:p>
    <w:p>
      <w:pPr>
        <w:pStyle w:val="Heading2"/>
      </w:pPr>
      <w:bookmarkStart w:id="3376" w:name="_Toc2478"/>
      <w:r>
        <w:t>جوبري، عبدالرحمن بن عمر ، قرن 7 ه-</w:t>
      </w:r>
      <w:bookmarkEnd w:id="33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كشف أسرار المحتالين و نوامیس</w:t>
      </w:r>
    </w:p>
    <w:p>
      <w:pPr>
        <w:pStyle w:val="BookText"/>
      </w:pPr>
      <w:r>
        <w:rPr>
          <w:rFonts w:ascii="Amiri" w:hAnsi="Amiri" w:eastAsia="Amiri" w:cs="Amiri"/>
          <w:lang w:bidi="ar-SA"/>
          <w:color w:val="111111"/>
          <w:sz w:val="28"/>
          <w:szCs w:val="28"/>
          <w:rtl/>
        </w:rPr>
        <w:t xml:space="preserve">الحيالين، ج13، ص193.</w:t>
      </w:r>
    </w:p>
    <w:p>
      <w:pPr>
        <w:pStyle w:val="BookText"/>
      </w:pPr>
      <w:r>
        <w:rPr>
          <w:rFonts w:ascii="Amiri" w:hAnsi="Amiri" w:eastAsia="Amiri" w:cs="Amiri"/>
          <w:lang w:bidi="ar-SA"/>
          <w:color w:val="111111"/>
          <w:sz w:val="28"/>
          <w:szCs w:val="28"/>
          <w:rtl/>
        </w:rPr>
        <w:t xml:space="preserve">2 .المختار في كشف الأسرار و هتك</w:t>
      </w:r>
    </w:p>
    <w:p>
      <w:pPr>
        <w:pStyle w:val="BookText"/>
      </w:pPr>
      <w:r>
        <w:rPr>
          <w:rFonts w:ascii="IRNazanin" w:hAnsi="IRNazanin" w:eastAsia="IRNazanin" w:cs="IRNazanin"/>
          <w:lang w:bidi="fa-IR"/>
          <w:color w:val="111111"/>
          <w:sz w:val="28"/>
          <w:szCs w:val="28"/>
          <w:rtl/>
        </w:rPr>
        <w:t xml:space="preserve">الأستار، ج 14، ص 157 .</w:t>
      </w:r>
    </w:p>
    <w:p>
      <w:pPr>
        <w:pStyle w:val="Heading2"/>
      </w:pPr>
      <w:bookmarkStart w:id="3377" w:name="_Toc2479"/>
      <w:r>
        <w:t>جوجري ، محمّد بن عبد المنعم 821 -</w:t>
      </w:r>
      <w:bookmarkEnd w:id="3377"/>
    </w:p>
    <w:p>
      <w:pPr>
        <w:pStyle w:val="BookText"/>
      </w:pPr>
      <w:r>
        <w:rPr>
          <w:rFonts w:ascii="IRNazanin" w:hAnsi="IRNazanin" w:eastAsia="IRNazanin" w:cs="IRNazanin"/>
          <w:lang w:bidi="fa-IR"/>
          <w:color w:val="111111"/>
          <w:sz w:val="28"/>
          <w:szCs w:val="28"/>
          <w:rtl/>
        </w:rPr>
        <w:t xml:space="preserve">889 ه-</w:t>
      </w:r>
    </w:p>
    <w:p>
      <w:pPr>
        <w:pStyle w:val="BookText"/>
      </w:pPr>
      <w:r>
        <w:rPr>
          <w:rFonts w:ascii="Amiri" w:hAnsi="Amiri" w:eastAsia="Amiri" w:cs="Amiri"/>
          <w:lang w:bidi="ar-SA"/>
          <w:color w:val="111111"/>
          <w:sz w:val="28"/>
          <w:szCs w:val="28"/>
          <w:rtl/>
        </w:rPr>
        <w:t xml:space="preserve">1 .تسهيل المسالك في شرح عمدة</w:t>
      </w:r>
    </w:p>
    <w:p>
      <w:pPr>
        <w:pStyle w:val="BookText"/>
      </w:pPr>
      <w:r>
        <w:rPr>
          <w:rFonts w:ascii="Amiri" w:hAnsi="Amiri" w:eastAsia="Amiri" w:cs="Amiri"/>
          <w:lang w:bidi="ar-SA"/>
          <w:color w:val="111111"/>
          <w:sz w:val="28"/>
          <w:szCs w:val="28"/>
          <w:rtl/>
        </w:rPr>
        <w:t xml:space="preserve">السالك وعدة الناسك، ج 4،</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Amiri" w:hAnsi="Amiri" w:eastAsia="Amiri" w:cs="Amiri"/>
          <w:lang w:bidi="ar-SA"/>
          <w:color w:val="111111"/>
          <w:sz w:val="28"/>
          <w:szCs w:val="28"/>
          <w:rtl/>
        </w:rPr>
        <w:t xml:space="preserve">2 .خير القرى في شرح ام القرى = شرح</w:t>
      </w:r>
    </w:p>
    <w:p>
      <w:pPr>
        <w:pStyle w:val="BookText"/>
      </w:pPr>
      <w:r>
        <w:rPr>
          <w:rFonts w:ascii="Amiri" w:hAnsi="Amiri" w:eastAsia="Amiri" w:cs="Amiri"/>
          <w:lang w:bidi="ar-SA"/>
          <w:color w:val="111111"/>
          <w:sz w:val="28"/>
          <w:szCs w:val="28"/>
          <w:rtl/>
        </w:rPr>
        <w:t xml:space="preserve">الهمزية، ج 7،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قصيدة البردة، ج 9، ص 849.</w:t>
      </w:r>
    </w:p>
    <w:p>
      <w:pPr>
        <w:pStyle w:val="Heading2"/>
      </w:pPr>
      <w:bookmarkStart w:id="3378" w:name="_Toc2480"/>
      <w:r>
        <w:t>جودت باشا ، احمد بن اسماعیل 1239 -</w:t>
      </w:r>
      <w:bookmarkEnd w:id="3378"/>
    </w:p>
    <w:p>
      <w:pPr>
        <w:pStyle w:val="BookText"/>
      </w:pPr>
      <w:r>
        <w:rPr>
          <w:rFonts w:ascii="IRNazanin" w:hAnsi="IRNazanin" w:eastAsia="IRNazanin" w:cs="IRNazanin"/>
          <w:lang w:bidi="fa-IR"/>
          <w:color w:val="111111"/>
          <w:sz w:val="28"/>
          <w:szCs w:val="28"/>
          <w:rtl/>
        </w:rPr>
        <w:t xml:space="preserve">1313 ه-</w:t>
      </w:r>
    </w:p>
    <w:p>
      <w:pPr>
        <w:pStyle w:val="BookText"/>
      </w:pPr>
      <w:r>
        <w:rPr>
          <w:rFonts w:ascii="IRNazanin" w:hAnsi="IRNazanin" w:eastAsia="IRNazanin" w:cs="IRNazanin"/>
          <w:lang w:bidi="fa-IR"/>
          <w:color w:val="111111"/>
          <w:sz w:val="28"/>
          <w:szCs w:val="28"/>
          <w:rtl/>
        </w:rPr>
        <w:t xml:space="preserve">1 .تاریخ، ج 3، ص 538 .</w:t>
      </w:r>
    </w:p>
    <w:p>
      <w:pPr>
        <w:pStyle w:val="BookText"/>
      </w:pPr>
      <w:r>
        <w:rPr>
          <w:rFonts w:ascii="IRNazanin" w:hAnsi="IRNazanin" w:eastAsia="IRNazanin" w:cs="IRNazanin"/>
          <w:lang w:bidi="fa-IR"/>
          <w:color w:val="111111"/>
          <w:sz w:val="28"/>
          <w:szCs w:val="28"/>
          <w:rtl/>
        </w:rPr>
        <w:t xml:space="preserve">2 .فضیلت تاریخ - علم ،تاریخ، ج 12،</w:t>
      </w:r>
    </w:p>
    <w:p>
      <w:pPr>
        <w:pStyle w:val="BookText"/>
      </w:pPr>
      <w:r>
        <w:rPr>
          <w:rFonts w:ascii="IRNazanin" w:hAnsi="IRNazanin" w:eastAsia="IRNazanin" w:cs="IRNazanin"/>
          <w:lang w:bidi="fa-IR"/>
          <w:color w:val="111111"/>
          <w:sz w:val="28"/>
          <w:szCs w:val="28"/>
          <w:rtl/>
        </w:rPr>
        <w:t xml:space="preserve">ص 30.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1" w:name="pg7742_70070"/>
    <w:bookmarkEnd w:id="341"/>
    <w:p>
      <w:pPr>
        <w:pStyle w:val="Heading2"/>
      </w:pPr>
      <w:bookmarkStart w:id="3379" w:name="_Toc2481"/>
      <w:r>
        <w:t>جوذري عزيزي ، منصور - 390؟ ه-</w:t>
      </w:r>
      <w:bookmarkEnd w:id="3379"/>
    </w:p>
    <w:p>
      <w:pPr>
        <w:pStyle w:val="BookText"/>
      </w:pPr>
      <w:r>
        <w:rPr>
          <w:rFonts w:ascii="Amiri" w:hAnsi="Amiri" w:eastAsia="Amiri" w:cs="Amiri"/>
          <w:lang w:bidi="ar-SA"/>
          <w:color w:val="111111"/>
          <w:sz w:val="28"/>
          <w:szCs w:val="28"/>
          <w:rtl/>
        </w:rPr>
        <w:t xml:space="preserve">تخميس لقصيدة للامام علي (رض)</w:t>
      </w:r>
    </w:p>
    <w:p>
      <w:pPr>
        <w:pStyle w:val="BookText"/>
      </w:pPr>
      <w:r>
        <w:rPr>
          <w:rFonts w:ascii="IRNazanin" w:hAnsi="IRNazanin" w:eastAsia="IRNazanin" w:cs="IRNazanin"/>
          <w:lang w:bidi="fa-IR"/>
          <w:color w:val="111111"/>
          <w:sz w:val="28"/>
          <w:szCs w:val="28"/>
          <w:rtl/>
        </w:rPr>
        <w:t xml:space="preserve">ج 4، ص 158.</w:t>
      </w:r>
    </w:p>
    <w:p>
      <w:pPr>
        <w:pStyle w:val="Heading2"/>
      </w:pPr>
      <w:bookmarkStart w:id="3380" w:name="_Toc2482"/>
      <w:r>
        <w:t>جوري، ابراهيم بن عبدالله - 1065 ه-</w:t>
      </w:r>
      <w:bookmarkEnd w:id="3380"/>
    </w:p>
    <w:p>
      <w:pPr>
        <w:pStyle w:val="BookText"/>
      </w:pPr>
      <w:r>
        <w:rPr>
          <w:rFonts w:ascii="IRNazanin" w:hAnsi="IRNazanin" w:eastAsia="IRNazanin" w:cs="IRNazanin"/>
          <w:lang w:bidi="fa-IR"/>
          <w:color w:val="111111"/>
          <w:sz w:val="28"/>
          <w:szCs w:val="28"/>
          <w:rtl/>
        </w:rPr>
        <w:t xml:space="preserve">احکام حكماء، ج 1، ص 465.</w:t>
      </w:r>
    </w:p>
    <w:p>
      <w:pPr>
        <w:pStyle w:val="Heading2"/>
      </w:pPr>
      <w:bookmarkStart w:id="3381" w:name="_Toc2483"/>
      <w:r>
        <w:t>جوري، حسن بن عبد القادر 1255 -</w:t>
      </w:r>
      <w:bookmarkEnd w:id="3381"/>
    </w:p>
    <w:p>
      <w:pPr>
        <w:pStyle w:val="BookText"/>
      </w:pPr>
      <w:r>
        <w:rPr>
          <w:rFonts w:ascii="IRNazanin" w:hAnsi="IRNazanin" w:eastAsia="IRNazanin" w:cs="IRNazanin"/>
          <w:lang w:bidi="fa-IR"/>
          <w:color w:val="111111"/>
          <w:sz w:val="28"/>
          <w:szCs w:val="28"/>
          <w:rtl/>
        </w:rPr>
        <w:t xml:space="preserve">1322 ه-</w:t>
      </w:r>
    </w:p>
    <w:p>
      <w:pPr>
        <w:pStyle w:val="BookText"/>
      </w:pPr>
      <w:r>
        <w:rPr>
          <w:rFonts w:ascii="Amiri" w:hAnsi="Amiri" w:eastAsia="Amiri" w:cs="Amiri"/>
          <w:lang w:bidi="ar-SA"/>
          <w:color w:val="111111"/>
          <w:sz w:val="28"/>
          <w:szCs w:val="28"/>
          <w:rtl/>
        </w:rPr>
        <w:t xml:space="preserve">1 .حاشية شرح المغني في النحو = جامي الجوري، ج 5، ص 354 .</w:t>
      </w:r>
    </w:p>
    <w:p>
      <w:pPr>
        <w:pStyle w:val="BookText"/>
      </w:pPr>
      <w:r>
        <w:rPr>
          <w:rFonts w:ascii="Amiri" w:hAnsi="Amiri" w:eastAsia="Amiri" w:cs="Amiri"/>
          <w:lang w:bidi="ar-SA"/>
          <w:color w:val="111111"/>
          <w:sz w:val="28"/>
          <w:szCs w:val="28"/>
          <w:rtl/>
        </w:rPr>
        <w:t xml:space="preserve">2 .الرسالة الموضوعية، ج8، ص 285.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ظرف الجوري، ج 10، ص 885.</w:t>
      </w:r>
    </w:p>
    <w:p>
      <w:pPr>
        <w:pStyle w:val="BookText"/>
      </w:pPr>
      <w:r>
        <w:rPr>
          <w:rFonts w:ascii="Amiri" w:hAnsi="Amiri" w:eastAsia="Amiri" w:cs="Amiri"/>
          <w:lang w:bidi="ar-SA"/>
          <w:color w:val="111111"/>
          <w:sz w:val="28"/>
          <w:szCs w:val="28"/>
          <w:rtl/>
        </w:rPr>
        <w:t xml:space="preserve">4 .مقدمة الجوري، ج 15 ، ص 356.</w:t>
      </w:r>
    </w:p>
    <w:p>
      <w:pPr>
        <w:pStyle w:val="Heading2"/>
      </w:pPr>
      <w:bookmarkStart w:id="3382" w:name="_Toc2484"/>
      <w:r>
        <w:t>جوزجاني ، عبدالواحد بن محمّد -438ه-</w:t>
      </w:r>
      <w:bookmarkEnd w:id="3382"/>
    </w:p>
    <w:p>
      <w:pPr>
        <w:pStyle w:val="BookText"/>
      </w:pPr>
      <w:r>
        <w:rPr>
          <w:rFonts w:ascii="Amiri" w:hAnsi="Amiri" w:eastAsia="Amiri" w:cs="Amiri"/>
          <w:lang w:bidi="ar-SA"/>
          <w:color w:val="111111"/>
          <w:sz w:val="28"/>
          <w:szCs w:val="28"/>
          <w:rtl/>
        </w:rPr>
        <w:t xml:space="preserve">1 .تتمة كتاب النجاة من الرياضيات</w:t>
      </w:r>
    </w:p>
    <w:p>
      <w:pPr>
        <w:pStyle w:val="BookText"/>
      </w:pPr>
      <w:r>
        <w:rPr>
          <w:rFonts w:ascii="IRNazanin" w:hAnsi="IRNazanin" w:eastAsia="IRNazanin" w:cs="IRNazanin"/>
          <w:lang w:bidi="fa-IR"/>
          <w:color w:val="111111"/>
          <w:sz w:val="28"/>
          <w:szCs w:val="28"/>
          <w:rtl/>
        </w:rPr>
        <w:t xml:space="preserve">ج 3، ص 674 .</w:t>
      </w:r>
    </w:p>
    <w:p>
      <w:pPr>
        <w:pStyle w:val="BookText"/>
      </w:pPr>
      <w:r>
        <w:rPr>
          <w:rFonts w:ascii="Amiri" w:hAnsi="Amiri" w:eastAsia="Amiri" w:cs="Amiri"/>
          <w:lang w:bidi="ar-SA"/>
          <w:color w:val="111111"/>
          <w:sz w:val="28"/>
          <w:szCs w:val="28"/>
          <w:rtl/>
        </w:rPr>
        <w:t xml:space="preserve">2 .السيرة = سيرة ابن سينا، ج9، ص 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كتاب المنطق من الشفاء</w:t>
      </w:r>
    </w:p>
    <w:p>
      <w:pPr>
        <w:pStyle w:val="BookText"/>
      </w:pPr>
      <w:r>
        <w:rPr>
          <w:rFonts w:ascii="IRNazanin" w:hAnsi="IRNazanin" w:eastAsia="IRNazanin" w:cs="IRNazanin"/>
          <w:lang w:bidi="fa-IR"/>
          <w:color w:val="111111"/>
          <w:sz w:val="28"/>
          <w:szCs w:val="28"/>
          <w:rtl/>
        </w:rPr>
        <w:t xml:space="preserve">ج 10، ص 53 .</w:t>
      </w:r>
    </w:p>
    <w:p>
      <w:pPr>
        <w:pStyle w:val="BookText"/>
      </w:pPr>
      <w:r>
        <w:rPr>
          <w:rFonts w:ascii="IRNazanin" w:hAnsi="IRNazanin" w:eastAsia="IRNazanin" w:cs="IRNazanin"/>
          <w:lang w:bidi="fa-IR"/>
          <w:color w:val="111111"/>
          <w:sz w:val="28"/>
          <w:szCs w:val="28"/>
          <w:rtl/>
        </w:rPr>
        <w:t xml:space="preserve">جوسقي ، محمّد بن حسام الدین- ابن</w:t>
      </w:r>
    </w:p>
    <w:p>
      <w:pPr>
        <w:pStyle w:val="BookText"/>
      </w:pPr>
      <w:r>
        <w:rPr>
          <w:rFonts w:ascii="IRNazanin" w:hAnsi="IRNazanin" w:eastAsia="IRNazanin" w:cs="IRNazanin"/>
          <w:lang w:bidi="fa-IR"/>
          <w:color w:val="111111"/>
          <w:sz w:val="28"/>
          <w:szCs w:val="28"/>
          <w:rtl/>
        </w:rPr>
        <w:t xml:space="preserve">حسام ، محمّد بن حسام الدین</w:t>
      </w:r>
    </w:p>
    <w:p>
      <w:pPr>
        <w:pStyle w:val="BookText"/>
      </w:pPr>
      <w:r>
        <w:rPr>
          <w:rFonts w:ascii="Amiri" w:hAnsi="Amiri" w:eastAsia="Amiri" w:cs="Amiri"/>
          <w:lang w:bidi="ar-SA"/>
          <w:color w:val="111111"/>
          <w:sz w:val="28"/>
          <w:szCs w:val="28"/>
          <w:rtl/>
        </w:rPr>
        <w:t xml:space="preserve">جوغي ، محمّد بن ابي بكر -امام زاده</w:t>
      </w:r>
    </w:p>
    <w:p>
      <w:pPr>
        <w:pStyle w:val="BookText"/>
      </w:pPr>
      <w:r>
        <w:rPr>
          <w:rFonts w:ascii="Amiri" w:hAnsi="Amiri" w:eastAsia="Amiri" w:cs="Amiri"/>
          <w:lang w:bidi="ar-SA"/>
          <w:color w:val="111111"/>
          <w:sz w:val="28"/>
          <w:szCs w:val="28"/>
          <w:rtl/>
        </w:rPr>
        <w:t xml:space="preserve">محمّد بن ابي بكر</w:t>
      </w:r>
    </w:p>
    <w:p>
      <w:pPr>
        <w:pStyle w:val="Heading2"/>
      </w:pPr>
      <w:bookmarkStart w:id="3383" w:name="_Toc2485"/>
      <w:r>
        <w:t>جومرد ، عبد الفتاح بن محمّد شيث</w:t>
      </w:r>
      <w:bookmarkEnd w:id="3383"/>
    </w:p>
    <w:p>
      <w:pPr>
        <w:pStyle w:val="BookText"/>
      </w:pPr>
      <w:r>
        <w:rPr>
          <w:rFonts w:ascii="IRNazanin" w:hAnsi="IRNazanin" w:eastAsia="IRNazanin" w:cs="IRNazanin"/>
          <w:lang w:bidi="fa-IR"/>
          <w:color w:val="111111"/>
          <w:sz w:val="28"/>
          <w:szCs w:val="28"/>
          <w:rtl/>
        </w:rPr>
        <w:t xml:space="preserve">1322ه-</w:t>
      </w:r>
    </w:p>
    <w:p>
      <w:pPr>
        <w:pStyle w:val="BookText"/>
      </w:pPr>
      <w:r>
        <w:rPr>
          <w:rFonts w:ascii="Amiri" w:hAnsi="Amiri" w:eastAsia="Amiri" w:cs="Amiri"/>
          <w:lang w:bidi="ar-SA"/>
          <w:color w:val="111111"/>
          <w:sz w:val="28"/>
          <w:szCs w:val="28"/>
          <w:rtl/>
        </w:rPr>
        <w:t xml:space="preserve">اجازة للشيخ قاسم بن سليمان آل الجلبي، ج 1، ص 269.</w:t>
      </w:r>
    </w:p>
    <w:p>
      <w:pPr>
        <w:pStyle w:val="Heading2"/>
      </w:pPr>
      <w:bookmarkStart w:id="3384" w:name="_Toc2486"/>
      <w:r>
        <w:t>جومرد موصلي ، محمّد شيث بن عبدالله</w:t>
      </w:r>
      <w:bookmarkEnd w:id="3384"/>
    </w:p>
    <w:p>
      <w:pPr>
        <w:pStyle w:val="BookText"/>
      </w:pPr>
      <w:r>
        <w:rPr>
          <w:rFonts w:ascii="Amiri" w:hAnsi="Amiri" w:eastAsia="Amiri" w:cs="Amiri"/>
          <w:lang w:bidi="ar-SA"/>
          <w:color w:val="111111"/>
          <w:sz w:val="28"/>
          <w:szCs w:val="28"/>
          <w:rtl/>
        </w:rPr>
        <w:t xml:space="preserve">اجازة في القراءات، ج 1، ص 225.</w:t>
      </w:r>
    </w:p>
    <w:p>
      <w:pPr>
        <w:pStyle w:val="Heading2"/>
      </w:pPr>
      <w:bookmarkStart w:id="3385" w:name="_Toc2487"/>
      <w:r>
        <w:t>جونپوری ،انصاري روشن علي، قرن 11 ه-</w:t>
      </w:r>
      <w:bookmarkEnd w:id="3385"/>
    </w:p>
    <w:p>
      <w:pPr>
        <w:pStyle w:val="BookText"/>
      </w:pPr>
      <w:r>
        <w:rPr>
          <w:rFonts w:ascii="IRNazanin" w:hAnsi="IRNazanin" w:eastAsia="IRNazanin" w:cs="IRNazanin"/>
          <w:lang w:bidi="fa-IR"/>
          <w:color w:val="111111"/>
          <w:sz w:val="28"/>
          <w:szCs w:val="28"/>
          <w:rtl/>
        </w:rPr>
        <w:t xml:space="preserve">زبده روشن، ج8، ص 596</w:t>
      </w:r>
    </w:p>
    <w:p>
      <w:pPr>
        <w:pStyle w:val="BookText"/>
      </w:pPr>
      <w:r>
        <w:rPr>
          <w:rFonts w:ascii="IRNazanin" w:hAnsi="IRNazanin" w:eastAsia="IRNazanin" w:cs="IRNazanin"/>
          <w:lang w:bidi="fa-IR"/>
          <w:color w:val="111111"/>
          <w:sz w:val="28"/>
          <w:szCs w:val="28"/>
          <w:rtl/>
        </w:rPr>
        <w:t xml:space="preserve">جونپوري انصاري ، روشنعلي بن ندر علي</w:t>
      </w:r>
    </w:p>
    <w:p>
      <w:pPr>
        <w:pStyle w:val="BookText"/>
      </w:pPr>
      <w:r>
        <w:rPr>
          <w:rFonts w:ascii="Amiri" w:hAnsi="Amiri" w:eastAsia="Amiri" w:cs="Amiri"/>
          <w:lang w:bidi="ar-SA"/>
          <w:color w:val="111111"/>
          <w:sz w:val="28"/>
          <w:szCs w:val="28"/>
          <w:rtl/>
        </w:rPr>
        <w:t xml:space="preserve">بن عبدالرسول- فيض آبادي ، روشنعلي بن</w:t>
      </w:r>
    </w:p>
    <w:p>
      <w:pPr>
        <w:pStyle w:val="BookText"/>
      </w:pPr>
      <w:r>
        <w:rPr>
          <w:rFonts w:ascii="IRNazanin" w:hAnsi="IRNazanin" w:eastAsia="IRNazanin" w:cs="IRNazanin"/>
          <w:lang w:bidi="fa-IR"/>
          <w:color w:val="111111"/>
          <w:sz w:val="28"/>
          <w:szCs w:val="28"/>
          <w:rtl/>
        </w:rPr>
        <w:t xml:space="preserve">عبدالرسول</w:t>
      </w:r>
    </w:p>
    <w:p>
      <w:pPr>
        <w:pStyle w:val="BookText"/>
      </w:pPr>
      <w:r>
        <w:rPr>
          <w:rFonts w:ascii="IRNazanin" w:hAnsi="IRNazanin" w:eastAsia="IRNazanin" w:cs="IRNazanin"/>
          <w:lang w:bidi="fa-IR"/>
          <w:color w:val="111111"/>
          <w:sz w:val="28"/>
          <w:szCs w:val="28"/>
          <w:rtl/>
        </w:rPr>
        <w:t xml:space="preserve">جونپوری ، روشنعلي بن ندر علي بن عبد الرسول- فيض آبادي ، روشنعلي بن</w:t>
      </w:r>
    </w:p>
    <w:p>
      <w:pPr>
        <w:pStyle w:val="BookText"/>
      </w:pPr>
      <w:r>
        <w:rPr>
          <w:rFonts w:ascii="IRNazanin" w:hAnsi="IRNazanin" w:eastAsia="IRNazanin" w:cs="IRNazanin"/>
          <w:lang w:bidi="fa-IR"/>
          <w:color w:val="111111"/>
          <w:sz w:val="28"/>
          <w:szCs w:val="28"/>
          <w:rtl/>
        </w:rPr>
        <w:t xml:space="preserve">عبد الرسول</w:t>
      </w:r>
    </w:p>
    <w:p>
      <w:pPr>
        <w:pStyle w:val="BookText"/>
      </w:pPr>
      <w:r>
        <w:rPr>
          <w:rFonts w:ascii="IRNazanin" w:hAnsi="IRNazanin" w:eastAsia="IRNazanin" w:cs="IRNazanin"/>
          <w:lang w:bidi="fa-IR"/>
          <w:color w:val="111111"/>
          <w:sz w:val="28"/>
          <w:szCs w:val="28"/>
          <w:rtl/>
        </w:rPr>
        <w:t xml:space="preserve">جونپوری ، عبد الرشيد بن</w:t>
      </w:r>
    </w:p>
    <w:p>
      <w:pPr>
        <w:pStyle w:val="BookText"/>
      </w:pPr>
      <w:r>
        <w:rPr>
          <w:rFonts w:ascii="Amiri" w:hAnsi="Amiri" w:eastAsia="Amiri" w:cs="Amiri"/>
          <w:lang w:bidi="ar-SA"/>
          <w:color w:val="111111"/>
          <w:sz w:val="28"/>
          <w:szCs w:val="28"/>
          <w:rtl/>
        </w:rPr>
        <w:t xml:space="preserve">مصطفى - جونفوري ، عبد الرشيد بن مصطفى</w:t>
      </w:r>
    </w:p>
    <w:p>
      <w:pPr>
        <w:pStyle w:val="Heading2"/>
      </w:pPr>
      <w:bookmarkStart w:id="3386" w:name="_Toc2488"/>
      <w:r>
        <w:t>جونفوري، عبدالرشيد بن مصطفى</w:t>
      </w:r>
      <w:bookmarkEnd w:id="3386"/>
    </w:p>
    <w:p>
      <w:pPr>
        <w:pStyle w:val="BookText"/>
      </w:pPr>
      <w:r>
        <w:rPr>
          <w:rFonts w:ascii="IRNazanin" w:hAnsi="IRNazanin" w:eastAsia="IRNazanin" w:cs="IRNazanin"/>
          <w:lang w:bidi="fa-IR"/>
          <w:color w:val="111111"/>
          <w:sz w:val="28"/>
          <w:szCs w:val="28"/>
          <w:rtl/>
        </w:rPr>
        <w:t xml:space="preserve">1083ه-</w:t>
      </w:r>
    </w:p>
    <w:p>
      <w:pPr>
        <w:pStyle w:val="BookText"/>
      </w:pPr>
      <w:r>
        <w:rPr>
          <w:rFonts w:ascii="Amiri" w:hAnsi="Amiri" w:eastAsia="Amiri" w:cs="Amiri"/>
          <w:lang w:bidi="ar-SA"/>
          <w:color w:val="111111"/>
          <w:sz w:val="28"/>
          <w:szCs w:val="28"/>
          <w:rtl/>
        </w:rPr>
        <w:t xml:space="preserve">شرح آداب البحث = شرح الرشيدية</w:t>
      </w:r>
    </w:p>
    <w:p>
      <w:pPr>
        <w:pStyle w:val="BookText"/>
      </w:pPr>
      <w:r>
        <w:rPr>
          <w:rFonts w:ascii="IRNazanin" w:hAnsi="IRNazanin" w:eastAsia="IRNazanin" w:cs="IRNazanin"/>
          <w:lang w:bidi="fa-IR"/>
          <w:color w:val="111111"/>
          <w:sz w:val="28"/>
          <w:szCs w:val="28"/>
          <w:rtl/>
        </w:rPr>
        <w:t xml:space="preserve">ج 9، ص129.</w:t>
      </w:r>
    </w:p>
    <w:p>
      <w:pPr>
        <w:pStyle w:val="Heading2"/>
      </w:pPr>
      <w:bookmarkStart w:id="3387" w:name="_Toc2489"/>
      <w:r>
        <w:t>جونفوري ، غلامحسين</w:t>
      </w:r>
      <w:bookmarkEnd w:id="3387"/>
    </w:p>
    <w:p>
      <w:pPr>
        <w:pStyle w:val="BookText"/>
      </w:pPr>
      <w:r>
        <w:rPr>
          <w:rFonts w:ascii="Amiri" w:hAnsi="Amiri" w:eastAsia="Amiri" w:cs="Amiri"/>
          <w:lang w:bidi="ar-SA"/>
          <w:color w:val="111111"/>
          <w:sz w:val="28"/>
          <w:szCs w:val="28"/>
          <w:rtl/>
        </w:rPr>
        <w:t xml:space="preserve">منظار الرصيد، ج 15 ، ص 712.</w:t>
      </w:r>
    </w:p>
    <w:p>
      <w:pPr>
        <w:pStyle w:val="Heading2"/>
      </w:pPr>
      <w:bookmarkStart w:id="3388" w:name="_Toc2490"/>
      <w:r>
        <w:t>جوني ، شمس الدين</w:t>
      </w:r>
      <w:bookmarkEnd w:id="3388"/>
    </w:p>
    <w:p>
      <w:pPr>
        <w:pStyle w:val="BookText"/>
      </w:pPr>
      <w:r>
        <w:rPr>
          <w:rFonts w:ascii="Amiri" w:hAnsi="Amiri" w:eastAsia="Amiri" w:cs="Amiri"/>
          <w:lang w:bidi="ar-SA"/>
          <w:color w:val="111111"/>
          <w:sz w:val="28"/>
          <w:szCs w:val="28"/>
          <w:rtl/>
        </w:rPr>
        <w:t xml:space="preserve">تفسير الفاتحة، ج4، ص 651.</w:t>
      </w:r>
    </w:p>
    <w:p>
      <w:pPr>
        <w:pStyle w:val="Heading2"/>
      </w:pPr>
      <w:bookmarkStart w:id="3389" w:name="_Toc2491"/>
      <w:r>
        <w:t>جوهرزاده بنجويني ، محمّد بن</w:t>
      </w:r>
      <w:bookmarkEnd w:id="3389"/>
    </w:p>
    <w:p>
      <w:pPr>
        <w:pStyle w:val="BookText"/>
      </w:pPr>
      <w:r>
        <w:rPr>
          <w:rFonts w:ascii="Amiri" w:hAnsi="Amiri" w:eastAsia="Amiri" w:cs="Amiri"/>
          <w:lang w:bidi="ar-SA"/>
          <w:color w:val="111111"/>
          <w:sz w:val="28"/>
          <w:szCs w:val="28"/>
          <w:rtl/>
        </w:rPr>
        <w:t xml:space="preserve">عبدالكريم - 1358 ه-</w:t>
      </w:r>
    </w:p>
    <w:p>
      <w:pPr>
        <w:pStyle w:val="BookText"/>
      </w:pPr>
      <w:r>
        <w:rPr>
          <w:rFonts w:ascii="Amiri" w:hAnsi="Amiri" w:eastAsia="Amiri" w:cs="Amiri"/>
          <w:lang w:bidi="ar-SA"/>
          <w:color w:val="111111"/>
          <w:sz w:val="28"/>
          <w:szCs w:val="28"/>
          <w:rtl/>
        </w:rPr>
        <w:t xml:space="preserve">تذكار الايمان للاكراد، ج 4، ص 172.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2" w:name="pg7742_70072"/>
    <w:bookmarkEnd w:id="342"/>
    <w:p>
      <w:pPr>
        <w:pStyle w:val="Heading2"/>
      </w:pPr>
      <w:bookmarkStart w:id="3390" w:name="_Toc2492"/>
      <w:r>
        <w:t>جوهري، احمد بن حسن، 1099-1181ه-</w:t>
      </w:r>
      <w:bookmarkEnd w:id="3390"/>
    </w:p>
    <w:p>
      <w:pPr>
        <w:pStyle w:val="BookText"/>
      </w:pPr>
      <w:r>
        <w:rPr>
          <w:rFonts w:ascii="Amiri" w:hAnsi="Amiri" w:eastAsia="Amiri" w:cs="Amiri"/>
          <w:lang w:bidi="ar-SA"/>
          <w:color w:val="111111"/>
          <w:sz w:val="28"/>
          <w:szCs w:val="28"/>
          <w:rtl/>
        </w:rPr>
        <w:t xml:space="preserve">1 .التوحيد = منقذة العبيد من</w:t>
      </w:r>
    </w:p>
    <w:p>
      <w:pPr>
        <w:pStyle w:val="BookText"/>
      </w:pPr>
      <w:r>
        <w:rPr>
          <w:rFonts w:ascii="Amiri" w:hAnsi="Amiri" w:eastAsia="Amiri" w:cs="Amiri"/>
          <w:lang w:bidi="ar-SA"/>
          <w:color w:val="111111"/>
          <w:sz w:val="28"/>
          <w:szCs w:val="28"/>
          <w:rtl/>
        </w:rPr>
        <w:t xml:space="preserve">الخوف في يوم الوعيد، ج5،</w:t>
      </w:r>
    </w:p>
    <w:p>
      <w:pPr>
        <w:pStyle w:val="BookText"/>
      </w:pPr>
      <w:r>
        <w:rPr>
          <w:rFonts w:ascii="IRNazanin" w:hAnsi="IRNazanin" w:eastAsia="IRNazanin" w:cs="IRNazanin"/>
          <w:lang w:bidi="fa-IR"/>
          <w:color w:val="111111"/>
          <w:sz w:val="28"/>
          <w:szCs w:val="28"/>
          <w:rtl/>
        </w:rPr>
        <w:t xml:space="preserve">ص 153 .</w:t>
      </w:r>
    </w:p>
    <w:p>
      <w:pPr>
        <w:pStyle w:val="BookText"/>
      </w:pPr>
      <w:r>
        <w:rPr>
          <w:rFonts w:ascii="Amiri" w:hAnsi="Amiri" w:eastAsia="Amiri" w:cs="Amiri"/>
          <w:lang w:bidi="ar-SA"/>
          <w:color w:val="111111"/>
          <w:sz w:val="28"/>
          <w:szCs w:val="28"/>
          <w:rtl/>
        </w:rPr>
        <w:t xml:space="preserve">2.خالص النفع في تحقيق مطالب</w:t>
      </w:r>
    </w:p>
    <w:p>
      <w:pPr>
        <w:pStyle w:val="BookText"/>
      </w:pPr>
      <w:r>
        <w:rPr>
          <w:rFonts w:ascii="IRNazanin" w:hAnsi="IRNazanin" w:eastAsia="IRNazanin" w:cs="IRNazanin"/>
          <w:lang w:bidi="fa-IR"/>
          <w:color w:val="111111"/>
          <w:sz w:val="28"/>
          <w:szCs w:val="28"/>
          <w:rtl/>
        </w:rPr>
        <w:t xml:space="preserve">السبع، ج 6 ، ص 879.</w:t>
      </w:r>
    </w:p>
    <w:p>
      <w:pPr>
        <w:pStyle w:val="BookText"/>
      </w:pPr>
      <w:r>
        <w:rPr>
          <w:rFonts w:ascii="Amiri" w:hAnsi="Amiri" w:eastAsia="Amiri" w:cs="Amiri"/>
          <w:lang w:bidi="ar-SA"/>
          <w:color w:val="111111"/>
          <w:sz w:val="28"/>
          <w:szCs w:val="28"/>
          <w:rtl/>
        </w:rPr>
        <w:t xml:space="preserve">3 .منوّرة قلوب أهل العرفان في إثبات ان كمالات الله غير منحصرة، ج 15</w:t>
      </w:r>
    </w:p>
    <w:p>
      <w:pPr>
        <w:pStyle w:val="BookText"/>
      </w:pPr>
      <w:r>
        <w:rPr>
          <w:rFonts w:ascii="IRNazanin" w:hAnsi="IRNazanin" w:eastAsia="IRNazanin" w:cs="IRNazanin"/>
          <w:lang w:bidi="fa-IR"/>
          <w:color w:val="111111"/>
          <w:sz w:val="28"/>
          <w:szCs w:val="28"/>
          <w:rtl/>
        </w:rPr>
        <w:t xml:space="preserve">ص 818</w:t>
      </w:r>
    </w:p>
    <w:p>
      <w:pPr>
        <w:pStyle w:val="Heading2"/>
      </w:pPr>
      <w:bookmarkStart w:id="3391" w:name="_Toc2493"/>
      <w:r>
        <w:t>جوهري ، احمد بن محمّد - 401 ه-</w:t>
      </w:r>
      <w:bookmarkEnd w:id="3391"/>
    </w:p>
    <w:p>
      <w:pPr>
        <w:pStyle w:val="BookText"/>
      </w:pPr>
      <w:r>
        <w:rPr>
          <w:rFonts w:ascii="Amiri" w:hAnsi="Amiri" w:eastAsia="Amiri" w:cs="Amiri"/>
          <w:lang w:bidi="ar-SA"/>
          <w:color w:val="111111"/>
          <w:sz w:val="28"/>
          <w:szCs w:val="28"/>
          <w:rtl/>
        </w:rPr>
        <w:t xml:space="preserve">مقتضب الأثر في النص على عدد الائمة حامد بن محمّد</w:t>
      </w:r>
    </w:p>
    <w:p>
      <w:pPr>
        <w:pStyle w:val="BookText"/>
      </w:pPr>
      <w:r>
        <w:rPr>
          <w:rFonts w:ascii="IRNazanin" w:hAnsi="IRNazanin" w:eastAsia="IRNazanin" w:cs="IRNazanin"/>
          <w:lang w:bidi="fa-IR"/>
          <w:color w:val="111111"/>
          <w:sz w:val="28"/>
          <w:szCs w:val="28"/>
          <w:rtl/>
        </w:rPr>
        <w:t xml:space="preserve">الاثنى عشر، ج 15، ص330.</w:t>
      </w:r>
    </w:p>
    <w:p>
      <w:pPr>
        <w:pStyle w:val="Heading2"/>
      </w:pPr>
      <w:bookmarkStart w:id="3392" w:name="_Toc2494"/>
      <w:r>
        <w:t>جوهري، اسماعيل بن حماد - 393 ه-</w:t>
      </w:r>
      <w:bookmarkEnd w:id="3392"/>
    </w:p>
    <w:p>
      <w:pPr>
        <w:pStyle w:val="BookText"/>
      </w:pPr>
      <w:r>
        <w:rPr>
          <w:rFonts w:ascii="Amiri" w:hAnsi="Amiri" w:eastAsia="Amiri" w:cs="Amiri"/>
          <w:lang w:bidi="ar-SA"/>
          <w:color w:val="111111"/>
          <w:sz w:val="28"/>
          <w:szCs w:val="28"/>
          <w:rtl/>
        </w:rPr>
        <w:t xml:space="preserve">صحاح اللغة = تاج اللغة وصحاح</w:t>
      </w:r>
    </w:p>
    <w:p>
      <w:pPr>
        <w:pStyle w:val="BookText"/>
      </w:pPr>
      <w:r>
        <w:rPr>
          <w:rFonts w:ascii="Amiri" w:hAnsi="Amiri" w:eastAsia="Amiri" w:cs="Amiri"/>
          <w:lang w:bidi="ar-SA"/>
          <w:color w:val="111111"/>
          <w:sz w:val="28"/>
          <w:szCs w:val="28"/>
          <w:rtl/>
        </w:rPr>
        <w:t xml:space="preserve">العربية، ج 10، ص 487 .</w:t>
      </w:r>
    </w:p>
    <w:p>
      <w:pPr>
        <w:pStyle w:val="Heading2"/>
      </w:pPr>
      <w:bookmarkStart w:id="3393" w:name="_Toc2495"/>
      <w:r>
        <w:t>جوهري، اسماعيل بن غنيم قرن 12 ه-</w:t>
      </w:r>
      <w:bookmarkEnd w:id="3393"/>
    </w:p>
    <w:p>
      <w:pPr>
        <w:pStyle w:val="BookText"/>
      </w:pPr>
      <w:r>
        <w:rPr>
          <w:rFonts w:ascii="Amiri" w:hAnsi="Amiri" w:eastAsia="Amiri" w:cs="Amiri"/>
          <w:lang w:bidi="ar-SA"/>
          <w:color w:val="111111"/>
          <w:sz w:val="28"/>
          <w:szCs w:val="28"/>
          <w:rtl/>
        </w:rPr>
        <w:t xml:space="preserve">1 .فتح الابواب المقفلة عن مباحث</w:t>
      </w:r>
    </w:p>
    <w:p>
      <w:pPr>
        <w:pStyle w:val="BookText"/>
      </w:pPr>
      <w:r>
        <w:rPr>
          <w:rFonts w:ascii="Amiri" w:hAnsi="Amiri" w:eastAsia="Amiri" w:cs="Amiri"/>
          <w:lang w:bidi="ar-SA"/>
          <w:color w:val="111111"/>
          <w:sz w:val="28"/>
          <w:szCs w:val="28"/>
          <w:rtl/>
        </w:rPr>
        <w:t xml:space="preserve">البسملة، ج 11، ص 633.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اله الا الله (رسالة في)، ج13،</w:t>
      </w:r>
    </w:p>
    <w:p>
      <w:pPr>
        <w:pStyle w:val="BookText"/>
      </w:pPr>
      <w:r>
        <w:rPr>
          <w:rFonts w:ascii="IRNazanin" w:hAnsi="IRNazanin" w:eastAsia="IRNazanin" w:cs="IRNazanin"/>
          <w:lang w:bidi="fa-IR"/>
          <w:color w:val="111111"/>
          <w:sz w:val="28"/>
          <w:szCs w:val="28"/>
          <w:rtl/>
        </w:rPr>
        <w:t xml:space="preserve">ص 523.</w:t>
      </w:r>
    </w:p>
    <w:p>
      <w:pPr>
        <w:pStyle w:val="Heading2"/>
      </w:pPr>
      <w:bookmarkStart w:id="3394" w:name="_Toc2496"/>
      <w:r>
        <w:t>جوهري صغير، محمّد بن احمد 1151 -</w:t>
      </w:r>
      <w:bookmarkEnd w:id="3394"/>
    </w:p>
    <w:p>
      <w:pPr>
        <w:pStyle w:val="BookText"/>
      </w:pPr>
      <w:r>
        <w:rPr>
          <w:rFonts w:ascii="IRNazanin" w:hAnsi="IRNazanin" w:eastAsia="IRNazanin" w:cs="IRNazanin"/>
          <w:lang w:bidi="fa-IR"/>
          <w:color w:val="111111"/>
          <w:sz w:val="28"/>
          <w:szCs w:val="28"/>
          <w:rtl/>
        </w:rPr>
        <w:t xml:space="preserve">1215ه-</w:t>
      </w:r>
    </w:p>
    <w:p>
      <w:pPr>
        <w:pStyle w:val="BookText"/>
      </w:pPr>
      <w:r>
        <w:rPr>
          <w:rFonts w:ascii="Amiri" w:hAnsi="Amiri" w:eastAsia="Amiri" w:cs="Amiri"/>
          <w:lang w:bidi="ar-SA"/>
          <w:color w:val="111111"/>
          <w:sz w:val="28"/>
          <w:szCs w:val="28"/>
          <w:rtl/>
        </w:rPr>
        <w:t xml:space="preserve">لطائف التوحيد في شرح منقذة العبيد</w:t>
      </w:r>
    </w:p>
    <w:p>
      <w:pPr>
        <w:pStyle w:val="BookText"/>
      </w:pPr>
      <w:r>
        <w:rPr>
          <w:rFonts w:ascii="Amiri" w:hAnsi="Amiri" w:eastAsia="Amiri" w:cs="Amiri"/>
          <w:lang w:bidi="ar-SA"/>
          <w:color w:val="111111"/>
          <w:sz w:val="28"/>
          <w:szCs w:val="28"/>
          <w:rtl/>
        </w:rPr>
        <w:t xml:space="preserve">لوالده احمد الجوهري، ج13، ص 577.</w:t>
      </w:r>
    </w:p>
    <w:p>
      <w:pPr>
        <w:pStyle w:val="BookText"/>
      </w:pPr>
      <w:r>
        <w:rPr>
          <w:rFonts w:ascii="Amiri" w:hAnsi="Amiri" w:eastAsia="Amiri" w:cs="Amiri"/>
          <w:lang w:bidi="ar-SA"/>
          <w:color w:val="111111"/>
          <w:sz w:val="28"/>
          <w:szCs w:val="28"/>
          <w:rtl/>
        </w:rPr>
        <w:t xml:space="preserve">جوهري ، طاهر بن احمد -ابن بابشاذ</w:t>
      </w:r>
    </w:p>
    <w:p>
      <w:pPr>
        <w:pStyle w:val="BookText"/>
      </w:pPr>
      <w:r>
        <w:rPr>
          <w:rFonts w:ascii="IRNazanin" w:hAnsi="IRNazanin" w:eastAsia="IRNazanin" w:cs="IRNazanin"/>
          <w:lang w:bidi="fa-IR"/>
          <w:color w:val="111111"/>
          <w:sz w:val="28"/>
          <w:szCs w:val="28"/>
          <w:rtl/>
        </w:rPr>
        <w:t xml:space="preserve">طاهر بن احمد</w:t>
      </w:r>
    </w:p>
    <w:p>
      <w:pPr>
        <w:pStyle w:val="BookText"/>
      </w:pPr>
      <w:r>
        <w:rPr>
          <w:rFonts w:ascii="Amiri" w:hAnsi="Amiri" w:eastAsia="Amiri" w:cs="Amiri"/>
          <w:lang w:bidi="ar-SA"/>
          <w:color w:val="111111"/>
          <w:sz w:val="28"/>
          <w:szCs w:val="28"/>
          <w:rtl/>
        </w:rPr>
        <w:t xml:space="preserve">جوهري ، مار ايليا -ابن حديثي ، ابوحليم</w:t>
      </w:r>
    </w:p>
    <w:p>
      <w:pPr>
        <w:pStyle w:val="BookText"/>
      </w:pPr>
      <w:r>
        <w:rPr>
          <w:rFonts w:ascii="Amiri" w:hAnsi="Amiri" w:eastAsia="Amiri" w:cs="Amiri"/>
          <w:lang w:bidi="ar-SA"/>
          <w:color w:val="111111"/>
          <w:sz w:val="28"/>
          <w:szCs w:val="28"/>
          <w:rtl/>
        </w:rPr>
        <w:t xml:space="preserve">بن حديثي</w:t>
      </w:r>
    </w:p>
    <w:p>
      <w:pPr>
        <w:pStyle w:val="Heading2"/>
      </w:pPr>
      <w:bookmarkStart w:id="3395" w:name="_Toc2497"/>
      <w:r>
        <w:t>جوهري، محمّد ابراهيم بن محمّد باقر</w:t>
      </w:r>
      <w:bookmarkEnd w:id="339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1253 ه-</w:t>
      </w:r>
    </w:p>
    <w:p>
      <w:pPr>
        <w:pStyle w:val="BookText"/>
      </w:pPr>
      <w:r>
        <w:rPr>
          <w:rFonts w:ascii="Amiri" w:hAnsi="Amiri" w:eastAsia="Amiri" w:cs="Amiri"/>
          <w:lang w:bidi="ar-SA"/>
          <w:color w:val="111111"/>
          <w:sz w:val="28"/>
          <w:szCs w:val="28"/>
          <w:rtl/>
        </w:rPr>
        <w:t xml:space="preserve">طوفان البكاء في مقاتل الشهداء، ج 10،</w:t>
      </w:r>
    </w:p>
    <w:p>
      <w:pPr>
        <w:pStyle w:val="BookText"/>
      </w:pPr>
      <w:r>
        <w:rPr>
          <w:rFonts w:ascii="IRNazanin" w:hAnsi="IRNazanin" w:eastAsia="IRNazanin" w:cs="IRNazanin"/>
          <w:lang w:bidi="fa-IR"/>
          <w:color w:val="111111"/>
          <w:sz w:val="28"/>
          <w:szCs w:val="28"/>
          <w:rtl/>
        </w:rPr>
        <w:t xml:space="preserve">ص 871</w:t>
      </w:r>
    </w:p>
    <w:p>
      <w:pPr>
        <w:pStyle w:val="BookText"/>
      </w:pPr>
      <w:r>
        <w:rPr>
          <w:rFonts w:ascii="Amiri" w:hAnsi="Amiri" w:eastAsia="Amiri" w:cs="Amiri"/>
          <w:lang w:bidi="ar-SA"/>
          <w:color w:val="111111"/>
          <w:sz w:val="28"/>
          <w:szCs w:val="28"/>
          <w:rtl/>
        </w:rPr>
        <w:t xml:space="preserve">جوهري ، محمّد بن احمد-جرجاني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جوي زاده، حامد بن محمّد -قونوي ،</w:t>
      </w:r>
    </w:p>
    <w:p>
      <w:pPr>
        <w:pStyle w:val="Heading2"/>
      </w:pPr>
      <w:bookmarkStart w:id="3396" w:name="_Toc2498"/>
      <w:r>
        <w:t>جوي زاده، محمّد بن محمّد - 995 ه-</w:t>
      </w:r>
      <w:bookmarkEnd w:id="3396"/>
    </w:p>
    <w:p>
      <w:pPr>
        <w:pStyle w:val="BookText"/>
      </w:pPr>
      <w:r>
        <w:rPr>
          <w:rFonts w:ascii="Amiri" w:hAnsi="Amiri" w:eastAsia="Amiri" w:cs="Amiri"/>
          <w:lang w:bidi="ar-SA"/>
          <w:color w:val="111111"/>
          <w:sz w:val="28"/>
          <w:szCs w:val="28"/>
          <w:rtl/>
        </w:rPr>
        <w:t xml:space="preserve">1 .الحد و التعزير، ج 6، ص 543.</w:t>
      </w:r>
    </w:p>
    <w:p>
      <w:pPr>
        <w:pStyle w:val="BookText"/>
      </w:pPr>
      <w:r>
        <w:rPr>
          <w:rFonts w:ascii="IRNazanin" w:hAnsi="IRNazanin" w:eastAsia="IRNazanin" w:cs="IRNazanin"/>
          <w:lang w:bidi="fa-IR"/>
          <w:color w:val="111111"/>
          <w:sz w:val="28"/>
          <w:szCs w:val="28"/>
          <w:rtl/>
        </w:rPr>
        <w:t xml:space="preserve">2 .الفتاوى، ج 11، ص 599.</w:t>
      </w:r>
    </w:p>
    <w:p>
      <w:pPr>
        <w:pStyle w:val="BookText"/>
      </w:pPr>
      <w:r>
        <w:rPr>
          <w:rFonts w:ascii="Amiri" w:hAnsi="Amiri" w:eastAsia="Amiri" w:cs="Amiri"/>
          <w:lang w:bidi="ar-SA"/>
          <w:color w:val="111111"/>
          <w:sz w:val="28"/>
          <w:szCs w:val="28"/>
          <w:rtl/>
        </w:rPr>
        <w:t xml:space="preserve">جويني ، ابراهيم بن محمّد -حموي ،</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جويني ، عبد الملك بن عبدالله -امام</w:t>
      </w:r>
    </w:p>
    <w:p>
      <w:pPr>
        <w:pStyle w:val="BookText"/>
      </w:pPr>
      <w:r>
        <w:rPr>
          <w:rFonts w:ascii="Amiri" w:hAnsi="Amiri" w:eastAsia="Amiri" w:cs="Amiri"/>
          <w:lang w:bidi="ar-SA"/>
          <w:color w:val="111111"/>
          <w:sz w:val="28"/>
          <w:szCs w:val="28"/>
          <w:rtl/>
        </w:rPr>
        <w:t xml:space="preserve">الحرمين ، عبدالملك بن عبدالله</w:t>
      </w:r>
    </w:p>
    <w:p>
      <w:pPr>
        <w:pStyle w:val="BookText"/>
      </w:pPr>
      <w:r>
        <w:rPr>
          <w:rFonts w:ascii="Amiri" w:hAnsi="Amiri" w:eastAsia="Amiri" w:cs="Amiri"/>
          <w:lang w:bidi="ar-SA"/>
          <w:color w:val="111111"/>
          <w:sz w:val="28"/>
          <w:szCs w:val="28"/>
          <w:rtl/>
        </w:rPr>
        <w:t xml:space="preserve">جويني حموي، ابراهيم بن محمّد -حموي، ابراهيم بن محمّد</w:t>
      </w:r>
    </w:p>
    <w:p>
      <w:pPr>
        <w:pStyle w:val="Heading2"/>
      </w:pPr>
      <w:bookmarkStart w:id="3397" w:name="_Toc2499"/>
      <w:r>
        <w:t>جويني ، عبدالقادر</w:t>
      </w:r>
      <w:bookmarkEnd w:id="3397"/>
    </w:p>
    <w:p>
      <w:pPr>
        <w:pStyle w:val="BookText"/>
      </w:pPr>
      <w:r>
        <w:rPr>
          <w:rFonts w:ascii="Amiri" w:hAnsi="Amiri" w:eastAsia="Amiri" w:cs="Amiri"/>
          <w:lang w:bidi="ar-SA"/>
          <w:color w:val="111111"/>
          <w:sz w:val="28"/>
          <w:szCs w:val="28"/>
          <w:rtl/>
        </w:rPr>
        <w:t xml:space="preserve">حاشية الامير على شرح الصغير، ج 5،</w:t>
      </w:r>
    </w:p>
    <w:p>
      <w:pPr>
        <w:pStyle w:val="BookText"/>
      </w:pPr>
      <w:r>
        <w:rPr>
          <w:rFonts w:ascii="IRNazanin" w:hAnsi="IRNazanin" w:eastAsia="IRNazanin" w:cs="IRNazanin"/>
          <w:lang w:bidi="fa-IR"/>
          <w:color w:val="111111"/>
          <w:sz w:val="28"/>
          <w:szCs w:val="28"/>
          <w:rtl/>
        </w:rPr>
        <w:t xml:space="preserve">ص 672 .</w:t>
      </w:r>
    </w:p>
    <w:p>
      <w:pPr>
        <w:pStyle w:val="Heading2"/>
      </w:pPr>
      <w:bookmarkStart w:id="3398" w:name="_Toc2500"/>
      <w:r>
        <w:t>جويني ، عبدالله بن يوسف - 438 ه-</w:t>
      </w:r>
      <w:bookmarkEnd w:id="3398"/>
    </w:p>
    <w:p>
      <w:pPr>
        <w:pStyle w:val="BookText"/>
      </w:pPr>
      <w:r>
        <w:rPr>
          <w:rFonts w:ascii="Amiri" w:hAnsi="Amiri" w:eastAsia="Amiri" w:cs="Amiri"/>
          <w:lang w:bidi="ar-SA"/>
          <w:color w:val="111111"/>
          <w:sz w:val="28"/>
          <w:szCs w:val="28"/>
          <w:rtl/>
        </w:rPr>
        <w:t xml:space="preserve">اثبات الاستواء و الفوقية و تنزيه</w:t>
      </w:r>
    </w:p>
    <w:p>
      <w:pPr>
        <w:pStyle w:val="BookText"/>
      </w:pPr>
      <w:r>
        <w:rPr>
          <w:rFonts w:ascii="Amiri" w:hAnsi="Amiri" w:eastAsia="Amiri" w:cs="Amiri"/>
          <w:lang w:bidi="ar-SA"/>
          <w:color w:val="111111"/>
          <w:sz w:val="28"/>
          <w:szCs w:val="28"/>
          <w:rtl/>
        </w:rPr>
        <w:t xml:space="preserve">الباري جل و علا عن الحصر و التمثيل و الكيفية و التشبيه، ج 1، ص 146.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3" w:name="pg7742_70074"/>
    <w:bookmarkEnd w:id="343"/>
    <w:p>
      <w:pPr>
        <w:pStyle w:val="Heading2"/>
      </w:pPr>
      <w:bookmarkStart w:id="3399" w:name="_Toc2501"/>
      <w:r>
        <w:t>جويني محمّد بن حمويه ، 449-530 ه-</w:t>
      </w:r>
      <w:bookmarkEnd w:id="3399"/>
    </w:p>
    <w:p>
      <w:pPr>
        <w:pStyle w:val="BookText"/>
      </w:pPr>
      <w:r>
        <w:rPr>
          <w:rFonts w:ascii="Amiri" w:hAnsi="Amiri" w:eastAsia="Amiri" w:cs="Amiri"/>
          <w:lang w:bidi="ar-SA"/>
          <w:color w:val="111111"/>
          <w:sz w:val="28"/>
          <w:szCs w:val="28"/>
          <w:rtl/>
        </w:rPr>
        <w:t xml:space="preserve">مقامات الصوفية، ج 15 ، ص 305.</w:t>
      </w:r>
    </w:p>
    <w:p>
      <w:pPr>
        <w:pStyle w:val="Heading2"/>
      </w:pPr>
      <w:bookmarkStart w:id="3400" w:name="_Toc2502"/>
      <w:r>
        <w:t>جويني، يوسف بن محمّد 582-647 ه-</w:t>
      </w:r>
      <w:bookmarkEnd w:id="3400"/>
    </w:p>
    <w:p>
      <w:pPr>
        <w:pStyle w:val="BookText"/>
      </w:pPr>
      <w:r>
        <w:rPr>
          <w:rFonts w:ascii="Amiri" w:hAnsi="Amiri" w:eastAsia="Amiri" w:cs="Amiri"/>
          <w:lang w:bidi="ar-SA"/>
          <w:color w:val="111111"/>
          <w:sz w:val="28"/>
          <w:szCs w:val="28"/>
          <w:rtl/>
        </w:rPr>
        <w:t xml:space="preserve">1 .تقديم النديم و عقبى النعيم</w:t>
      </w:r>
    </w:p>
    <w:p>
      <w:pPr>
        <w:pStyle w:val="BookText"/>
      </w:pPr>
      <w:r>
        <w:rPr>
          <w:rFonts w:ascii="Amiri" w:hAnsi="Amiri" w:eastAsia="Amiri" w:cs="Amiri"/>
          <w:lang w:bidi="ar-SA"/>
          <w:color w:val="111111"/>
          <w:sz w:val="28"/>
          <w:szCs w:val="28"/>
          <w:rtl/>
        </w:rPr>
        <w:t xml:space="preserve">المقيم، ج4، ص 721.</w:t>
      </w:r>
    </w:p>
    <w:p>
      <w:pPr>
        <w:pStyle w:val="BookText"/>
      </w:pPr>
      <w:r>
        <w:rPr>
          <w:rFonts w:ascii="Amiri" w:hAnsi="Amiri" w:eastAsia="Amiri" w:cs="Amiri"/>
          <w:lang w:bidi="ar-SA"/>
          <w:color w:val="111111"/>
          <w:sz w:val="28"/>
          <w:szCs w:val="28"/>
          <w:rtl/>
        </w:rPr>
        <w:t xml:space="preserve">2 .مقامات ابن حموية، ج 15 ، ص 293.</w:t>
      </w:r>
    </w:p>
    <w:p>
      <w:pPr>
        <w:pStyle w:val="BookText"/>
      </w:pPr>
      <w:r>
        <w:rPr>
          <w:rFonts w:ascii="Amiri" w:hAnsi="Amiri" w:eastAsia="Amiri" w:cs="Amiri"/>
          <w:lang w:bidi="ar-SA"/>
          <w:color w:val="111111"/>
          <w:sz w:val="28"/>
          <w:szCs w:val="28"/>
          <w:rtl/>
        </w:rPr>
        <w:t xml:space="preserve">جياني ، احمد بن ابراهيم- ابن زبير ،</w:t>
      </w:r>
    </w:p>
    <w:p>
      <w:pPr>
        <w:pStyle w:val="BookText"/>
      </w:pPr>
      <w:r>
        <w:rPr>
          <w:rFonts w:ascii="Amiri" w:hAnsi="Amiri" w:eastAsia="Amiri" w:cs="Amiri"/>
          <w:lang w:bidi="ar-SA"/>
          <w:color w:val="111111"/>
          <w:sz w:val="28"/>
          <w:szCs w:val="28"/>
          <w:rtl/>
        </w:rPr>
        <w:t xml:space="preserve">احمد بن ابراهيم</w:t>
      </w:r>
    </w:p>
    <w:p>
      <w:pPr>
        <w:pStyle w:val="Heading2"/>
      </w:pPr>
      <w:bookmarkStart w:id="3401" w:name="_Toc2503"/>
      <w:r>
        <w:t>جياني ، حسين بن محمّد 427 - 498 ه-</w:t>
      </w:r>
      <w:bookmarkEnd w:id="3401"/>
    </w:p>
    <w:p>
      <w:pPr>
        <w:pStyle w:val="BookText"/>
      </w:pPr>
      <w:r>
        <w:rPr>
          <w:rFonts w:ascii="Amiri" w:hAnsi="Amiri" w:eastAsia="Amiri" w:cs="Amiri"/>
          <w:lang w:bidi="ar-SA"/>
          <w:color w:val="111111"/>
          <w:sz w:val="28"/>
          <w:szCs w:val="28"/>
          <w:rtl/>
        </w:rPr>
        <w:t xml:space="preserve">تقييد المهمل و تمييز المشكل من رواة</w:t>
      </w:r>
    </w:p>
    <w:p>
      <w:pPr>
        <w:pStyle w:val="BookText"/>
      </w:pPr>
      <w:r>
        <w:rPr>
          <w:rFonts w:ascii="IRNazanin" w:hAnsi="IRNazanin" w:eastAsia="IRNazanin" w:cs="IRNazanin"/>
          <w:lang w:bidi="fa-IR"/>
          <w:color w:val="111111"/>
          <w:sz w:val="28"/>
          <w:szCs w:val="28"/>
          <w:rtl/>
        </w:rPr>
        <w:t xml:space="preserve">البخاري ومسلم و مروییاتهم ج4،</w:t>
      </w:r>
    </w:p>
    <w:p>
      <w:pPr>
        <w:pStyle w:val="BookText"/>
      </w:pPr>
      <w:r>
        <w:rPr>
          <w:rFonts w:ascii="IRNazanin" w:hAnsi="IRNazanin" w:eastAsia="IRNazanin" w:cs="IRNazanin"/>
          <w:lang w:bidi="fa-IR"/>
          <w:color w:val="111111"/>
          <w:sz w:val="28"/>
          <w:szCs w:val="28"/>
          <w:rtl/>
        </w:rPr>
        <w:t xml:space="preserve">ص 808</w:t>
      </w:r>
    </w:p>
    <w:p>
      <w:pPr>
        <w:pStyle w:val="BookText"/>
      </w:pPr>
      <w:r>
        <w:rPr>
          <w:rFonts w:ascii="Amiri" w:hAnsi="Amiri" w:eastAsia="Amiri" w:cs="Amiri"/>
          <w:lang w:bidi="ar-SA"/>
          <w:color w:val="111111"/>
          <w:sz w:val="28"/>
          <w:szCs w:val="28"/>
          <w:rtl/>
        </w:rPr>
        <w:t xml:space="preserve">جياني ، علي بن موسى -انصاري مغربي ،</w:t>
      </w:r>
    </w:p>
    <w:p>
      <w:pPr>
        <w:pStyle w:val="BookText"/>
      </w:pPr>
      <w:r>
        <w:rPr>
          <w:rFonts w:ascii="Amiri" w:hAnsi="Amiri" w:eastAsia="Amiri" w:cs="Amiri"/>
          <w:lang w:bidi="ar-SA"/>
          <w:color w:val="111111"/>
          <w:sz w:val="28"/>
          <w:szCs w:val="28"/>
          <w:rtl/>
        </w:rPr>
        <w:t xml:space="preserve">علي بن موسى</w:t>
      </w:r>
    </w:p>
    <w:p>
      <w:pPr>
        <w:pStyle w:val="BookText"/>
      </w:pPr>
      <w:r>
        <w:rPr>
          <w:rFonts w:ascii="Amiri" w:hAnsi="Amiri" w:eastAsia="Amiri" w:cs="Amiri"/>
          <w:lang w:bidi="ar-SA"/>
          <w:color w:val="111111"/>
          <w:sz w:val="28"/>
          <w:szCs w:val="28"/>
          <w:rtl/>
        </w:rPr>
        <w:t xml:space="preserve">جيزي ، محمّد بن ابراهيم- ابن زريق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جيلاني ، ابوالقاسم بن حسن- ميرزاي قمي</w:t>
      </w:r>
    </w:p>
    <w:p>
      <w:pPr>
        <w:pStyle w:val="BookText"/>
      </w:pPr>
      <w:r>
        <w:rPr>
          <w:rFonts w:ascii="IRNazanin" w:hAnsi="IRNazanin" w:eastAsia="IRNazanin" w:cs="IRNazanin"/>
          <w:lang w:bidi="fa-IR"/>
          <w:color w:val="111111"/>
          <w:sz w:val="28"/>
          <w:szCs w:val="28"/>
          <w:rtl/>
        </w:rPr>
        <w:t xml:space="preserve">، ابوالقاسم بن محمّد حسن</w:t>
      </w:r>
    </w:p>
    <w:p>
      <w:pPr>
        <w:pStyle w:val="BookText"/>
      </w:pPr>
      <w:r>
        <w:rPr>
          <w:rFonts w:ascii="IRNazanin" w:hAnsi="IRNazanin" w:eastAsia="IRNazanin" w:cs="IRNazanin"/>
          <w:lang w:bidi="fa-IR"/>
          <w:color w:val="111111"/>
          <w:sz w:val="28"/>
          <w:szCs w:val="28"/>
          <w:rtl/>
        </w:rPr>
        <w:t xml:space="preserve">جيلاني ، حمزه- گیلاني ، حمزه</w:t>
      </w:r>
    </w:p>
    <w:p>
      <w:pPr>
        <w:pStyle w:val="Heading2"/>
      </w:pPr>
      <w:bookmarkStart w:id="3402" w:name="_Toc2504"/>
      <w:r>
        <w:t>جيلاني ،رشتي باقر بن ،شعبان قرن 14 ه-</w:t>
      </w:r>
      <w:bookmarkEnd w:id="3402"/>
    </w:p>
    <w:p>
      <w:pPr>
        <w:pStyle w:val="BookText"/>
      </w:pPr>
      <w:r>
        <w:rPr>
          <w:rFonts w:ascii="Amiri" w:hAnsi="Amiri" w:eastAsia="Amiri" w:cs="Amiri"/>
          <w:lang w:bidi="ar-SA"/>
          <w:color w:val="111111"/>
          <w:sz w:val="28"/>
          <w:szCs w:val="28"/>
          <w:rtl/>
        </w:rPr>
        <w:t xml:space="preserve">1 .اصول الدين، ج 2، ص 419.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قواعد التجويد (رسالة في)، ج12،</w:t>
      </w:r>
    </w:p>
    <w:p>
      <w:pPr>
        <w:pStyle w:val="BookText"/>
      </w:pPr>
      <w:r>
        <w:rPr>
          <w:rFonts w:ascii="IRNazanin" w:hAnsi="IRNazanin" w:eastAsia="IRNazanin" w:cs="IRNazanin"/>
          <w:lang w:bidi="fa-IR"/>
          <w:color w:val="111111"/>
          <w:sz w:val="28"/>
          <w:szCs w:val="28"/>
          <w:rtl/>
        </w:rPr>
        <w:t xml:space="preserve">ص 790.</w:t>
      </w:r>
    </w:p>
    <w:p>
      <w:pPr>
        <w:pStyle w:val="BookText"/>
      </w:pPr>
      <w:r>
        <w:rPr>
          <w:rFonts w:ascii="Amiri" w:hAnsi="Amiri" w:eastAsia="Amiri" w:cs="Amiri"/>
          <w:lang w:bidi="ar-SA"/>
          <w:color w:val="111111"/>
          <w:sz w:val="28"/>
          <w:szCs w:val="28"/>
          <w:rtl/>
        </w:rPr>
        <w:t xml:space="preserve">جيلاني ، شمس الدين محمّد- ملا شمسا ،</w:t>
      </w:r>
    </w:p>
    <w:p>
      <w:pPr>
        <w:pStyle w:val="BookText"/>
      </w:pPr>
      <w:r>
        <w:rPr>
          <w:rFonts w:ascii="IRNazanin" w:hAnsi="IRNazanin" w:eastAsia="IRNazanin" w:cs="IRNazanin"/>
          <w:lang w:bidi="fa-IR"/>
          <w:color w:val="111111"/>
          <w:sz w:val="28"/>
          <w:szCs w:val="28"/>
          <w:rtl/>
        </w:rPr>
        <w:t xml:space="preserve">شمس الدین محمّد</w:t>
      </w:r>
    </w:p>
    <w:p>
      <w:pPr>
        <w:pStyle w:val="BookText"/>
      </w:pPr>
      <w:r>
        <w:rPr>
          <w:rFonts w:ascii="Amiri" w:hAnsi="Amiri" w:eastAsia="Amiri" w:cs="Amiri"/>
          <w:lang w:bidi="ar-SA"/>
          <w:color w:val="111111"/>
          <w:sz w:val="28"/>
          <w:szCs w:val="28"/>
          <w:rtl/>
        </w:rPr>
        <w:t xml:space="preserve">جيلاني ، عبد القادر عبد القادر- جيلاني</w:t>
      </w:r>
    </w:p>
    <w:p>
      <w:pPr>
        <w:pStyle w:val="BookText"/>
      </w:pPr>
      <w:r>
        <w:rPr>
          <w:rFonts w:ascii="IRNazanin" w:hAnsi="IRNazanin" w:eastAsia="IRNazanin" w:cs="IRNazanin"/>
          <w:lang w:bidi="fa-IR"/>
          <w:color w:val="111111"/>
          <w:sz w:val="28"/>
          <w:szCs w:val="28"/>
          <w:rtl/>
        </w:rPr>
        <w:t xml:space="preserve">عبد القادر بن موسى</w:t>
      </w:r>
    </w:p>
    <w:p>
      <w:pPr>
        <w:pStyle w:val="Heading2"/>
      </w:pPr>
      <w:bookmarkStart w:id="3403" w:name="_Toc2505"/>
      <w:r>
        <w:t>جيلاني ، عبدالكريم بن ابراهيم 767 -</w:t>
      </w:r>
      <w:bookmarkEnd w:id="3403"/>
    </w:p>
    <w:p>
      <w:pPr>
        <w:pStyle w:val="BookText"/>
      </w:pPr>
      <w:r>
        <w:rPr>
          <w:rFonts w:ascii="IRNazanin" w:hAnsi="IRNazanin" w:eastAsia="IRNazanin" w:cs="IRNazanin"/>
          <w:lang w:bidi="fa-IR"/>
          <w:color w:val="111111"/>
          <w:sz w:val="28"/>
          <w:szCs w:val="28"/>
          <w:rtl/>
        </w:rPr>
        <w:t xml:space="preserve">832 ه-</w:t>
      </w:r>
    </w:p>
    <w:p>
      <w:pPr>
        <w:pStyle w:val="BookText"/>
      </w:pPr>
      <w:r>
        <w:rPr>
          <w:rFonts w:ascii="Amiri" w:hAnsi="Amiri" w:eastAsia="Amiri" w:cs="Amiri"/>
          <w:lang w:bidi="ar-SA"/>
          <w:color w:val="111111"/>
          <w:sz w:val="28"/>
          <w:szCs w:val="28"/>
          <w:rtl/>
        </w:rPr>
        <w:t xml:space="preserve">1 .الاربعون مرتبة، ج1، ص737.</w:t>
      </w:r>
    </w:p>
    <w:p>
      <w:pPr>
        <w:pStyle w:val="BookText"/>
      </w:pPr>
      <w:r>
        <w:rPr>
          <w:rFonts w:ascii="Amiri" w:hAnsi="Amiri" w:eastAsia="Amiri" w:cs="Amiri"/>
          <w:lang w:bidi="ar-SA"/>
          <w:color w:val="111111"/>
          <w:sz w:val="28"/>
          <w:szCs w:val="28"/>
          <w:rtl/>
        </w:rPr>
        <w:t xml:space="preserve">2 .الانسان الكامل في معرفة الاوائل و</w:t>
      </w:r>
    </w:p>
    <w:p>
      <w:pPr>
        <w:pStyle w:val="BookText"/>
      </w:pPr>
      <w:r>
        <w:rPr>
          <w:rFonts w:ascii="IRNazanin" w:hAnsi="IRNazanin" w:eastAsia="IRNazanin" w:cs="IRNazanin"/>
          <w:lang w:bidi="fa-IR"/>
          <w:color w:val="111111"/>
          <w:sz w:val="28"/>
          <w:szCs w:val="28"/>
          <w:rtl/>
        </w:rPr>
        <w:t xml:space="preserve">الاواخر، ج 2، ص 805.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اول مراتب الوجود، ج3، ص88.</w:t>
      </w:r>
    </w:p>
    <w:p>
      <w:pPr>
        <w:pStyle w:val="BookText"/>
      </w:pPr>
      <w:r>
        <w:rPr>
          <w:rFonts w:ascii="Amiri" w:hAnsi="Amiri" w:eastAsia="Amiri" w:cs="Amiri"/>
          <w:lang w:bidi="ar-SA"/>
          <w:color w:val="111111"/>
          <w:sz w:val="28"/>
          <w:szCs w:val="28"/>
          <w:rtl/>
        </w:rPr>
        <w:t xml:space="preserve">4 .حقيقة اليقين و زلفة التمكين و عمارة الدين، ج 6، ص 717.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ديوان الجيلاني، ج 7، ص 611.</w:t>
      </w:r>
    </w:p>
    <w:p>
      <w:pPr>
        <w:pStyle w:val="BookText"/>
      </w:pPr>
      <w:r>
        <w:rPr>
          <w:rFonts w:ascii="Amiri" w:hAnsi="Amiri" w:eastAsia="Amiri" w:cs="Amiri"/>
          <w:lang w:bidi="ar-SA"/>
          <w:color w:val="111111"/>
          <w:sz w:val="28"/>
          <w:szCs w:val="28"/>
          <w:rtl/>
        </w:rPr>
        <w:t xml:space="preserve">6 .سبب الاسباب و الكنز لمن ايقن و</w:t>
      </w:r>
    </w:p>
    <w:p>
      <w:pPr>
        <w:pStyle w:val="BookText"/>
      </w:pPr>
      <w:r>
        <w:rPr>
          <w:rFonts w:ascii="IRNazanin" w:hAnsi="IRNazanin" w:eastAsia="IRNazanin" w:cs="IRNazanin"/>
          <w:lang w:bidi="fa-IR"/>
          <w:color w:val="111111"/>
          <w:sz w:val="28"/>
          <w:szCs w:val="28"/>
          <w:rtl/>
        </w:rPr>
        <w:t xml:space="preserve">استجاب، ج8، ص 693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قصيدة في التصوف، ج 9،</w:t>
      </w:r>
    </w:p>
    <w:p>
      <w:pPr>
        <w:pStyle w:val="BookText"/>
      </w:pPr>
      <w:r>
        <w:rPr>
          <w:rFonts w:ascii="IRNazanin" w:hAnsi="IRNazanin" w:eastAsia="IRNazanin" w:cs="IRNazanin"/>
          <w:lang w:bidi="fa-IR"/>
          <w:color w:val="111111"/>
          <w:sz w:val="28"/>
          <w:szCs w:val="28"/>
          <w:rtl/>
        </w:rPr>
        <w:t xml:space="preserve">ص 884.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مشکلات الفتوحات المكية</w:t>
      </w:r>
    </w:p>
    <w:p>
      <w:pPr>
        <w:pStyle w:val="BookText"/>
      </w:pPr>
      <w:r>
        <w:rPr>
          <w:rFonts w:ascii="IRNazanin" w:hAnsi="IRNazanin" w:eastAsia="IRNazanin" w:cs="IRNazanin"/>
          <w:lang w:bidi="fa-IR"/>
          <w:color w:val="111111"/>
          <w:sz w:val="28"/>
          <w:szCs w:val="28"/>
          <w:rtl/>
        </w:rPr>
        <w:t xml:space="preserve">ج 10، ص 141.</w:t>
      </w:r>
    </w:p>
    <w:p>
      <w:pPr>
        <w:pStyle w:val="BookText"/>
      </w:pPr>
      <w:r>
        <w:rPr>
          <w:rFonts w:ascii="IRNazanin" w:hAnsi="IRNazanin" w:eastAsia="IRNazanin" w:cs="IRNazanin"/>
          <w:lang w:bidi="fa-IR"/>
          <w:color w:val="111111"/>
          <w:sz w:val="28"/>
          <w:szCs w:val="28"/>
          <w:rtl/>
        </w:rPr>
        <w:t xml:space="preserve">9 .مراتب الوجود، ج 14 ، ص 369.</w:t>
      </w:r>
    </w:p>
    <w:p>
      <w:pPr>
        <w:pStyle w:val="BookText"/>
      </w:pPr>
      <w:r>
        <w:rPr>
          <w:rFonts w:ascii="Amiri" w:hAnsi="Amiri" w:eastAsia="Amiri" w:cs="Amiri"/>
          <w:lang w:bidi="ar-SA"/>
          <w:color w:val="111111"/>
          <w:sz w:val="28"/>
          <w:szCs w:val="28"/>
          <w:rtl/>
        </w:rPr>
        <w:t xml:space="preserve">10 .نقولات شتى في التصوف، ج 16،</w:t>
      </w:r>
    </w:p>
    <w:p>
      <w:pPr>
        <w:pStyle w:val="BookText"/>
      </w:pPr>
      <w:r>
        <w:rPr>
          <w:rFonts w:ascii="IRNazanin" w:hAnsi="IRNazanin" w:eastAsia="IRNazanin" w:cs="IRNazanin"/>
          <w:lang w:bidi="fa-IR"/>
          <w:color w:val="111111"/>
          <w:sz w:val="28"/>
          <w:szCs w:val="28"/>
          <w:rtl/>
        </w:rPr>
        <w:t xml:space="preserve">ص 436 .</w:t>
      </w:r>
    </w:p>
    <w:p>
      <w:pPr>
        <w:pStyle w:val="BookText"/>
      </w:pPr>
      <w:r>
        <w:rPr>
          <w:rFonts w:ascii="Amiri" w:hAnsi="Amiri" w:eastAsia="Amiri" w:cs="Amiri"/>
          <w:lang w:bidi="ar-SA"/>
          <w:color w:val="111111"/>
          <w:sz w:val="28"/>
          <w:szCs w:val="28"/>
          <w:rtl/>
        </w:rPr>
        <w:t xml:space="preserve">11 .النوادر العينية في البوادر الغيبية = القصيدة العينية، ج 16، ص 542.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ومض البرق الموهن = لوامع البرق</w:t>
      </w:r>
    </w:p>
    <w:p>
      <w:pPr>
        <w:pStyle w:val="BookText"/>
      </w:pPr>
      <w:r>
        <w:rPr>
          <w:rFonts w:ascii="IRNazanin" w:hAnsi="IRNazanin" w:eastAsia="IRNazanin" w:cs="IRNazanin"/>
          <w:lang w:bidi="fa-IR"/>
          <w:color w:val="111111"/>
          <w:sz w:val="28"/>
          <w:szCs w:val="28"/>
          <w:rtl/>
        </w:rPr>
        <w:t xml:space="preserve">ج 16، ص 884.</w:t>
      </w:r>
    </w:p>
    <w:p>
      <w:pPr>
        <w:pStyle w:val="BookText"/>
      </w:pPr>
      <w:r>
        <w:rPr>
          <w:rFonts w:ascii="Amiri" w:hAnsi="Amiri" w:eastAsia="Amiri" w:cs="Amiri"/>
          <w:lang w:bidi="ar-SA"/>
          <w:color w:val="111111"/>
          <w:sz w:val="28"/>
          <w:szCs w:val="28"/>
          <w:rtl/>
        </w:rPr>
        <w:t xml:space="preserve">جيلاني ، علي بن فضل الله -كيلاني ، علي بن ابي طالب</w:t>
      </w:r>
    </w:p>
    <w:p>
      <w:pPr>
        <w:pStyle w:val="BookText"/>
      </w:pPr>
      <w:r>
        <w:rPr>
          <w:rFonts w:ascii="Amiri" w:hAnsi="Amiri" w:eastAsia="Amiri" w:cs="Amiri"/>
          <w:lang w:bidi="ar-SA"/>
          <w:color w:val="111111"/>
          <w:sz w:val="28"/>
          <w:szCs w:val="28"/>
          <w:rtl/>
        </w:rPr>
        <w:t xml:space="preserve">جيلاني ، علي بن ابي طالب- كيلاني ، علي</w:t>
      </w:r>
    </w:p>
    <w:p>
      <w:pPr>
        <w:pStyle w:val="BookText"/>
      </w:pPr>
      <w:r>
        <w:rPr>
          <w:rFonts w:ascii="IRNazanin" w:hAnsi="IRNazanin" w:eastAsia="IRNazanin" w:cs="IRNazanin"/>
          <w:lang w:bidi="fa-IR"/>
          <w:color w:val="111111"/>
          <w:sz w:val="28"/>
          <w:szCs w:val="28"/>
          <w:rtl/>
        </w:rPr>
        <w:t xml:space="preserve">بن فضل الله</w:t>
      </w:r>
    </w:p>
    <w:p>
      <w:pPr>
        <w:pStyle w:val="BookText"/>
      </w:pPr>
      <w:r>
        <w:rPr>
          <w:rFonts w:ascii="Amiri" w:hAnsi="Amiri" w:eastAsia="Amiri" w:cs="Amiri"/>
          <w:lang w:bidi="ar-SA"/>
          <w:color w:val="111111"/>
          <w:sz w:val="28"/>
          <w:szCs w:val="28"/>
          <w:rtl/>
        </w:rPr>
        <w:t xml:space="preserve">جيلاني ، علي بن محمّد -رشتي ، علي بن</w:t>
      </w:r>
    </w:p>
    <w:p>
      <w:pPr>
        <w:pStyle w:val="BookText"/>
      </w:pPr>
      <w:r>
        <w:rPr>
          <w:rFonts w:ascii="Amiri" w:hAnsi="Amiri" w:eastAsia="Amiri" w:cs="Amiri"/>
          <w:lang w:bidi="ar-SA"/>
          <w:color w:val="111111"/>
          <w:sz w:val="28"/>
          <w:szCs w:val="28"/>
          <w:rtl/>
        </w:rPr>
        <w:t xml:space="preserve">محمّد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4" w:name="pg7742_70076"/>
    <w:bookmarkEnd w:id="344"/>
    <w:p>
      <w:pPr>
        <w:pStyle w:val="Heading2"/>
      </w:pPr>
      <w:bookmarkStart w:id="3404" w:name="_Toc2506"/>
      <w:r>
        <w:t>جيلاني علي محمّد بن غلامعلي قرن 13ه-</w:t>
      </w:r>
      <w:bookmarkEnd w:id="3404"/>
    </w:p>
    <w:p>
      <w:pPr>
        <w:pStyle w:val="BookText"/>
      </w:pPr>
      <w:r>
        <w:rPr>
          <w:rFonts w:ascii="Amiri" w:hAnsi="Amiri" w:eastAsia="Amiri" w:cs="Amiri"/>
          <w:lang w:bidi="ar-SA"/>
          <w:color w:val="111111"/>
          <w:sz w:val="28"/>
          <w:szCs w:val="28"/>
          <w:rtl/>
        </w:rPr>
        <w:t xml:space="preserve">مصابيح الأصول، ج 14 ، ص 664.</w:t>
      </w:r>
    </w:p>
    <w:p>
      <w:pPr>
        <w:pStyle w:val="BookText"/>
      </w:pPr>
      <w:r>
        <w:rPr>
          <w:rFonts w:ascii="IRNazanin" w:hAnsi="IRNazanin" w:eastAsia="IRNazanin" w:cs="IRNazanin"/>
          <w:lang w:bidi="fa-IR"/>
          <w:color w:val="111111"/>
          <w:sz w:val="28"/>
          <w:szCs w:val="28"/>
          <w:rtl/>
        </w:rPr>
        <w:t xml:space="preserve">جيلاني علي نور الدين -گيلاني ، علي بن</w:t>
      </w:r>
    </w:p>
    <w:p>
      <w:pPr>
        <w:pStyle w:val="BookText"/>
      </w:pPr>
      <w:r>
        <w:rPr>
          <w:rFonts w:ascii="Amiri" w:hAnsi="Amiri" w:eastAsia="Amiri" w:cs="Amiri"/>
          <w:lang w:bidi="ar-SA"/>
          <w:color w:val="111111"/>
          <w:sz w:val="28"/>
          <w:szCs w:val="28"/>
          <w:rtl/>
        </w:rPr>
        <w:t xml:space="preserve">شهاب الدين</w:t>
      </w:r>
    </w:p>
    <w:p>
      <w:pPr>
        <w:pStyle w:val="BookText"/>
      </w:pPr>
      <w:r>
        <w:rPr>
          <w:rFonts w:ascii="Amiri" w:hAnsi="Amiri" w:eastAsia="Amiri" w:cs="Amiri"/>
          <w:lang w:bidi="ar-SA"/>
          <w:color w:val="111111"/>
          <w:sz w:val="28"/>
          <w:szCs w:val="28"/>
          <w:rtl/>
        </w:rPr>
        <w:t xml:space="preserve">جيلاني فومني ، مهدي بن اسد الله- كيلاني</w:t>
      </w:r>
    </w:p>
    <w:p>
      <w:pPr>
        <w:pStyle w:val="BookText"/>
      </w:pPr>
      <w:r>
        <w:rPr>
          <w:rFonts w:ascii="Amiri" w:hAnsi="Amiri" w:eastAsia="Amiri" w:cs="Amiri"/>
          <w:lang w:bidi="ar-SA"/>
          <w:color w:val="111111"/>
          <w:sz w:val="28"/>
          <w:szCs w:val="28"/>
          <w:rtl/>
        </w:rPr>
        <w:t xml:space="preserve">محمّد مهدي بن اسدالله</w:t>
      </w:r>
    </w:p>
    <w:p>
      <w:pPr>
        <w:pStyle w:val="BookText"/>
      </w:pPr>
      <w:r>
        <w:rPr>
          <w:rFonts w:ascii="IRNazanin" w:hAnsi="IRNazanin" w:eastAsia="IRNazanin" w:cs="IRNazanin"/>
          <w:lang w:bidi="fa-IR"/>
          <w:color w:val="111111"/>
          <w:sz w:val="28"/>
          <w:szCs w:val="28"/>
          <w:rtl/>
        </w:rPr>
        <w:t xml:space="preserve">جيلاني مازندراني ، عبدالله- گيلاني ، عبدالله بن محمّد نصیر</w:t>
      </w:r>
    </w:p>
    <w:p>
      <w:pPr>
        <w:pStyle w:val="Heading2"/>
      </w:pPr>
      <w:bookmarkStart w:id="3405" w:name="_Toc2507"/>
      <w:r>
        <w:t>جيلاني ، محمّد باقر بن حسين</w:t>
      </w:r>
      <w:bookmarkEnd w:id="3405"/>
    </w:p>
    <w:p>
      <w:pPr>
        <w:pStyle w:val="BookText"/>
      </w:pPr>
      <w:r>
        <w:rPr>
          <w:rFonts w:ascii="Amiri" w:hAnsi="Amiri" w:eastAsia="Amiri" w:cs="Amiri"/>
          <w:lang w:bidi="ar-SA"/>
          <w:color w:val="111111"/>
          <w:sz w:val="28"/>
          <w:szCs w:val="28"/>
          <w:rtl/>
        </w:rPr>
        <w:t xml:space="preserve">مجموعة رسائل الرشتي، ج 14، ص 35.</w:t>
      </w:r>
    </w:p>
    <w:p>
      <w:pPr>
        <w:pStyle w:val="BookText"/>
      </w:pPr>
      <w:r>
        <w:rPr>
          <w:rFonts w:ascii="Amiri" w:hAnsi="Amiri" w:eastAsia="Amiri" w:cs="Amiri"/>
          <w:lang w:bidi="ar-SA"/>
          <w:color w:val="111111"/>
          <w:sz w:val="28"/>
          <w:szCs w:val="28"/>
          <w:rtl/>
        </w:rPr>
        <w:t xml:space="preserve">جيلاني ، محمّد بن يحيى - لاهيجي</w:t>
      </w:r>
    </w:p>
    <w:p>
      <w:pPr>
        <w:pStyle w:val="BookText"/>
      </w:pPr>
      <w:r>
        <w:rPr>
          <w:rFonts w:ascii="Amiri" w:hAnsi="Amiri" w:eastAsia="Amiri" w:cs="Amiri"/>
          <w:lang w:bidi="ar-SA"/>
          <w:color w:val="111111"/>
          <w:sz w:val="28"/>
          <w:szCs w:val="28"/>
          <w:rtl/>
        </w:rPr>
        <w:t xml:space="preserve">محمّد بن يحيى</w:t>
      </w:r>
    </w:p>
    <w:p>
      <w:pPr>
        <w:pStyle w:val="Heading2"/>
      </w:pPr>
      <w:bookmarkStart w:id="3406" w:name="_Toc2508"/>
      <w:r>
        <w:t>جيلاني ، محمّد رفيع بن رفيع - 91245ه-</w:t>
      </w:r>
      <w:bookmarkEnd w:id="3406"/>
    </w:p>
    <w:p>
      <w:pPr>
        <w:pStyle w:val="BookText"/>
      </w:pPr>
      <w:r>
        <w:rPr>
          <w:rFonts w:ascii="Amiri" w:hAnsi="Amiri" w:eastAsia="Amiri" w:cs="Amiri"/>
          <w:lang w:bidi="ar-SA"/>
          <w:color w:val="111111"/>
          <w:sz w:val="28"/>
          <w:szCs w:val="28"/>
          <w:rtl/>
        </w:rPr>
        <w:t xml:space="preserve">1 .حاشية البهجة المرضية في شرح</w:t>
      </w:r>
    </w:p>
    <w:p>
      <w:pPr>
        <w:pStyle w:val="BookText"/>
      </w:pPr>
      <w:r>
        <w:rPr>
          <w:rFonts w:ascii="Amiri" w:hAnsi="Amiri" w:eastAsia="Amiri" w:cs="Amiri"/>
          <w:lang w:bidi="ar-SA"/>
          <w:color w:val="111111"/>
          <w:sz w:val="28"/>
          <w:szCs w:val="28"/>
          <w:rtl/>
        </w:rPr>
        <w:t xml:space="preserve">الالفية، ج 5، ص 711.</w:t>
      </w:r>
    </w:p>
    <w:p>
      <w:pPr>
        <w:pStyle w:val="BookText"/>
      </w:pPr>
      <w:r>
        <w:rPr>
          <w:rFonts w:ascii="Amiri" w:hAnsi="Amiri" w:eastAsia="Amiri" w:cs="Amiri"/>
          <w:lang w:bidi="ar-SA"/>
          <w:color w:val="111111"/>
          <w:sz w:val="28"/>
          <w:szCs w:val="28"/>
          <w:rtl/>
        </w:rPr>
        <w:t xml:space="preserve">2 .حاشية معالم الاصول، ج 6 ، ص 410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صلاة الجمعة (مسئلة في)، ج10،</w:t>
      </w:r>
    </w:p>
    <w:p>
      <w:pPr>
        <w:pStyle w:val="BookText"/>
      </w:pPr>
      <w:r>
        <w:rPr>
          <w:rFonts w:ascii="IRNazanin" w:hAnsi="IRNazanin" w:eastAsia="IRNazanin" w:cs="IRNazanin"/>
          <w:lang w:bidi="fa-IR"/>
          <w:color w:val="111111"/>
          <w:sz w:val="28"/>
          <w:szCs w:val="28"/>
          <w:rtl/>
        </w:rPr>
        <w:t xml:space="preserve">ص 604.</w:t>
      </w:r>
    </w:p>
    <w:p>
      <w:pPr>
        <w:pStyle w:val="Heading2"/>
      </w:pPr>
      <w:bookmarkStart w:id="3407" w:name="_Toc2509"/>
      <w:r>
        <w:t>جيلاني، محمّد رفيع بن فرج - 1160 ؟ ه-</w:t>
      </w:r>
      <w:bookmarkEnd w:id="3407"/>
    </w:p>
    <w:p>
      <w:pPr>
        <w:pStyle w:val="BookText"/>
      </w:pPr>
      <w:r>
        <w:rPr>
          <w:rFonts w:ascii="Amiri" w:hAnsi="Amiri" w:eastAsia="Amiri" w:cs="Amiri"/>
          <w:lang w:bidi="ar-SA"/>
          <w:color w:val="111111"/>
          <w:sz w:val="28"/>
          <w:szCs w:val="28"/>
          <w:rtl/>
        </w:rPr>
        <w:t xml:space="preserve">1 .حاشية البهجة المرضية في شرح</w:t>
      </w:r>
    </w:p>
    <w:p>
      <w:pPr>
        <w:pStyle w:val="BookText"/>
      </w:pPr>
      <w:r>
        <w:rPr>
          <w:rFonts w:ascii="Amiri" w:hAnsi="Amiri" w:eastAsia="Amiri" w:cs="Amiri"/>
          <w:lang w:bidi="ar-SA"/>
          <w:color w:val="111111"/>
          <w:sz w:val="28"/>
          <w:szCs w:val="28"/>
          <w:rtl/>
        </w:rPr>
        <w:t xml:space="preserve">الالفية، ج 5، ص 710.</w:t>
      </w:r>
    </w:p>
    <w:p>
      <w:pPr>
        <w:pStyle w:val="BookText"/>
      </w:pPr>
      <w:r>
        <w:rPr>
          <w:rFonts w:ascii="Amiri" w:hAnsi="Amiri" w:eastAsia="Amiri" w:cs="Amiri"/>
          <w:lang w:bidi="ar-SA"/>
          <w:color w:val="111111"/>
          <w:sz w:val="28"/>
          <w:szCs w:val="28"/>
          <w:rtl/>
        </w:rPr>
        <w:t xml:space="preserve">2 .حاشية الروضة البهية في شرح اللمعة الدمشقية، ج 5، ص 883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صلاة الجمعة (1) = التحير في حكم 1313 ه-</w:t>
      </w:r>
    </w:p>
    <w:p>
      <w:pPr>
        <w:pStyle w:val="BookText"/>
      </w:pPr>
      <w:r>
        <w:rPr>
          <w:rFonts w:ascii="Amiri" w:hAnsi="Amiri" w:eastAsia="Amiri" w:cs="Amiri"/>
          <w:lang w:bidi="ar-SA"/>
          <w:color w:val="111111"/>
          <w:sz w:val="28"/>
          <w:szCs w:val="28"/>
          <w:rtl/>
        </w:rPr>
        <w:t xml:space="preserve">صلاة الجمعة، ج 10، ص 603.</w:t>
      </w:r>
    </w:p>
    <w:p>
      <w:pPr>
        <w:pStyle w:val="BookText"/>
      </w:pPr>
      <w:r>
        <w:rPr>
          <w:rFonts w:ascii="Amiri" w:hAnsi="Amiri" w:eastAsia="Amiri" w:cs="Amiri"/>
          <w:lang w:bidi="ar-SA"/>
          <w:color w:val="111111"/>
          <w:sz w:val="28"/>
          <w:szCs w:val="28"/>
          <w:rtl/>
        </w:rPr>
        <w:t xml:space="preserve">جيلاني ، محمّد شريف بن احمد -شعيبي</w:t>
      </w:r>
    </w:p>
    <w:p>
      <w:pPr>
        <w:pStyle w:val="BookText"/>
      </w:pPr>
      <w:r>
        <w:rPr>
          <w:rFonts w:ascii="IRNazanin" w:hAnsi="IRNazanin" w:eastAsia="IRNazanin" w:cs="IRNazanin"/>
          <w:lang w:bidi="fa-IR"/>
          <w:color w:val="111111"/>
          <w:sz w:val="28"/>
          <w:szCs w:val="28"/>
          <w:rtl/>
        </w:rPr>
        <w:t xml:space="preserve">گيلاني ، محمّد شریف بن احمد</w:t>
      </w:r>
    </w:p>
    <w:p>
      <w:pPr>
        <w:pStyle w:val="BookText"/>
      </w:pPr>
      <w:r>
        <w:rPr>
          <w:rFonts w:ascii="Amiri" w:hAnsi="Amiri" w:eastAsia="Amiri" w:cs="Amiri"/>
          <w:lang w:bidi="ar-SA"/>
          <w:color w:val="111111"/>
          <w:sz w:val="28"/>
          <w:szCs w:val="28"/>
          <w:rtl/>
        </w:rPr>
        <w:t xml:space="preserve">جيلاني ، محمّد علي بن ابوطالب- حزين ،</w:t>
      </w:r>
    </w:p>
    <w:p>
      <w:pPr>
        <w:pStyle w:val="BookText"/>
      </w:pPr>
      <w:r>
        <w:rPr>
          <w:rFonts w:ascii="Amiri" w:hAnsi="Amiri" w:eastAsia="Amiri" w:cs="Amiri"/>
          <w:lang w:bidi="ar-SA"/>
          <w:color w:val="111111"/>
          <w:sz w:val="28"/>
          <w:szCs w:val="28"/>
          <w:rtl/>
        </w:rPr>
        <w:t xml:space="preserve">محمّد علي بن ابي طالب</w:t>
      </w:r>
    </w:p>
    <w:p>
      <w:pPr>
        <w:pStyle w:val="BookText"/>
      </w:pPr>
      <w:r>
        <w:rPr>
          <w:rFonts w:ascii="IRNazanin" w:hAnsi="IRNazanin" w:eastAsia="IRNazanin" w:cs="IRNazanin"/>
          <w:lang w:bidi="fa-IR"/>
          <w:color w:val="111111"/>
          <w:sz w:val="28"/>
          <w:szCs w:val="28"/>
          <w:rtl/>
        </w:rPr>
        <w:t xml:space="preserve">جيلاني ، موسى بن عبدالله- جنگي دوست گيلاني ، موسى بن عبدالله</w:t>
      </w:r>
    </w:p>
    <w:p>
      <w:pPr>
        <w:pStyle w:val="Heading2"/>
      </w:pPr>
      <w:bookmarkStart w:id="3408" w:name="_Toc2510"/>
      <w:r>
        <w:t>جيلي ، احمد بن محمود قرن 8 ه-</w:t>
      </w:r>
      <w:bookmarkEnd w:id="3408"/>
    </w:p>
    <w:p>
      <w:pPr>
        <w:pStyle w:val="BookText"/>
      </w:pPr>
      <w:r>
        <w:rPr>
          <w:rFonts w:ascii="Amiri" w:hAnsi="Amiri" w:eastAsia="Amiri" w:cs="Amiri"/>
          <w:lang w:bidi="ar-SA"/>
          <w:color w:val="111111"/>
          <w:sz w:val="28"/>
          <w:szCs w:val="28"/>
          <w:rtl/>
        </w:rPr>
        <w:t xml:space="preserve">شرح العزي في التصريف = شرح</w:t>
      </w:r>
    </w:p>
    <w:p>
      <w:pPr>
        <w:pStyle w:val="BookText"/>
      </w:pPr>
      <w:r>
        <w:rPr>
          <w:rFonts w:ascii="Amiri" w:hAnsi="Amiri" w:eastAsia="Amiri" w:cs="Amiri"/>
          <w:lang w:bidi="ar-SA"/>
          <w:color w:val="111111"/>
          <w:sz w:val="28"/>
          <w:szCs w:val="28"/>
          <w:rtl/>
        </w:rPr>
        <w:t xml:space="preserve">التصريف العزي، ج 9، ص 705.</w:t>
      </w:r>
    </w:p>
    <w:p>
      <w:pPr>
        <w:pStyle w:val="Heading2"/>
      </w:pPr>
      <w:bookmarkStart w:id="3409" w:name="_Toc2511"/>
      <w:r>
        <w:t>جيلي طالسي ، احمد</w:t>
      </w:r>
      <w:bookmarkEnd w:id="3409"/>
    </w:p>
    <w:p>
      <w:pPr>
        <w:pStyle w:val="BookText"/>
      </w:pPr>
      <w:r>
        <w:rPr>
          <w:rFonts w:ascii="Amiri" w:hAnsi="Amiri" w:eastAsia="Amiri" w:cs="Amiri"/>
          <w:lang w:bidi="ar-SA"/>
          <w:color w:val="111111"/>
          <w:sz w:val="28"/>
          <w:szCs w:val="28"/>
          <w:rtl/>
        </w:rPr>
        <w:t xml:space="preserve">الكلام ( رسالة في)، ج13، ص 349.</w:t>
      </w:r>
    </w:p>
    <w:p>
      <w:pPr>
        <w:pStyle w:val="BookText"/>
      </w:pPr>
      <w:r>
        <w:rPr>
          <w:rFonts w:ascii="Amiri" w:hAnsi="Amiri" w:eastAsia="Amiri" w:cs="Amiri"/>
          <w:lang w:bidi="ar-SA"/>
          <w:color w:val="111111"/>
          <w:sz w:val="28"/>
          <w:szCs w:val="28"/>
          <w:rtl/>
        </w:rPr>
        <w:t xml:space="preserve">جيلي ، عبد القادر -عبد القادر جيلاني ،</w:t>
      </w:r>
    </w:p>
    <w:p>
      <w:pPr>
        <w:pStyle w:val="BookText"/>
      </w:pPr>
      <w:r>
        <w:rPr>
          <w:rFonts w:ascii="IRNazanin" w:hAnsi="IRNazanin" w:eastAsia="IRNazanin" w:cs="IRNazanin"/>
          <w:lang w:bidi="fa-IR"/>
          <w:color w:val="111111"/>
          <w:sz w:val="28"/>
          <w:szCs w:val="28"/>
          <w:rtl/>
        </w:rPr>
        <w:t xml:space="preserve">عبدالقادر بن موسى</w:t>
      </w:r>
    </w:p>
    <w:p>
      <w:pPr>
        <w:pStyle w:val="BookText"/>
      </w:pPr>
      <w:r>
        <w:rPr>
          <w:rFonts w:ascii="Amiri" w:hAnsi="Amiri" w:eastAsia="Amiri" w:cs="Amiri"/>
          <w:lang w:bidi="ar-SA"/>
          <w:color w:val="111111"/>
          <w:sz w:val="28"/>
          <w:szCs w:val="28"/>
          <w:rtl/>
        </w:rPr>
        <w:t xml:space="preserve">جيلي ، عبد الكريم بن ابراهيم - جيلاني ،</w:t>
      </w:r>
    </w:p>
    <w:p>
      <w:pPr>
        <w:pStyle w:val="BookText"/>
      </w:pPr>
      <w:r>
        <w:rPr>
          <w:rFonts w:ascii="Amiri" w:hAnsi="Amiri" w:eastAsia="Amiri" w:cs="Amiri"/>
          <w:lang w:bidi="ar-SA"/>
          <w:color w:val="111111"/>
          <w:sz w:val="28"/>
          <w:szCs w:val="28"/>
          <w:rtl/>
        </w:rPr>
        <w:t xml:space="preserve">عبدالكريم بن ابراهيم</w:t>
      </w:r>
    </w:p>
    <w:p>
      <w:pPr>
        <w:pStyle w:val="BookText"/>
      </w:pPr>
      <w:r>
        <w:rPr>
          <w:rFonts w:ascii="Amiri" w:hAnsi="Amiri" w:eastAsia="Amiri" w:cs="Amiri"/>
          <w:lang w:bidi="ar-SA"/>
          <w:color w:val="111111"/>
          <w:sz w:val="28"/>
          <w:szCs w:val="28"/>
          <w:rtl/>
        </w:rPr>
        <w:t xml:space="preserve">جيلي ، عبد المنعم بن عمر- جلياني</w:t>
      </w:r>
    </w:p>
    <w:p>
      <w:pPr>
        <w:pStyle w:val="BookText"/>
      </w:pPr>
      <w:r>
        <w:rPr>
          <w:rFonts w:ascii="IRNazanin" w:hAnsi="IRNazanin" w:eastAsia="IRNazanin" w:cs="IRNazanin"/>
          <w:lang w:bidi="fa-IR"/>
          <w:color w:val="111111"/>
          <w:sz w:val="28"/>
          <w:szCs w:val="28"/>
          <w:rtl/>
        </w:rPr>
        <w:t xml:space="preserve">عبدالمنعم بن عمر</w:t>
      </w:r>
    </w:p>
    <w:p>
      <w:pPr>
        <w:pStyle w:val="BookText"/>
      </w:pPr>
      <w:r>
        <w:rPr>
          <w:rFonts w:ascii="Amiri" w:hAnsi="Amiri" w:eastAsia="Amiri" w:cs="Amiri"/>
          <w:lang w:bidi="ar-SA"/>
          <w:color w:val="111111"/>
          <w:sz w:val="28"/>
          <w:szCs w:val="28"/>
          <w:rtl/>
        </w:rPr>
        <w:t xml:space="preserve">جيلي ، كوشيار بن لبان- كوشيار بن لبان</w:t>
      </w:r>
    </w:p>
    <w:p>
      <w:pPr>
        <w:pStyle w:val="BookText"/>
      </w:pPr>
      <w:r>
        <w:rPr>
          <w:rFonts w:ascii="IRNazanin" w:hAnsi="IRNazanin" w:eastAsia="IRNazanin" w:cs="IRNazanin"/>
          <w:lang w:bidi="fa-IR"/>
          <w:color w:val="111111"/>
          <w:sz w:val="28"/>
          <w:szCs w:val="28"/>
          <w:rtl/>
        </w:rPr>
        <w:t xml:space="preserve">جيوان لكنوي ، احمد -شیخ جیون ، احمد بن ابي سعيد</w:t>
      </w:r>
    </w:p>
    <w:p>
      <w:pPr>
        <w:pStyle w:val="BookText"/>
      </w:pPr>
      <w:r>
        <w:rPr>
          <w:rFonts w:ascii="Amiri" w:hAnsi="Amiri" w:eastAsia="Amiri" w:cs="Amiri"/>
          <w:lang w:bidi="ar-SA"/>
          <w:color w:val="111111"/>
          <w:sz w:val="28"/>
          <w:szCs w:val="28"/>
          <w:rtl/>
        </w:rPr>
        <w:t xml:space="preserve">جيون هندي ، احمد بن ابي سعيد -شيخ1313ه-</w:t>
      </w:r>
    </w:p>
    <w:p>
      <w:pPr>
        <w:pStyle w:val="BookText"/>
      </w:pPr>
      <w:r>
        <w:rPr>
          <w:rFonts w:ascii="Amiri" w:hAnsi="Amiri" w:eastAsia="Amiri" w:cs="Amiri"/>
          <w:lang w:bidi="ar-SA"/>
          <w:color w:val="111111"/>
          <w:sz w:val="28"/>
          <w:szCs w:val="28"/>
          <w:rtl/>
        </w:rPr>
        <w:t xml:space="preserve">جيون ، احمد بن ابي سعيد</w:t>
      </w:r>
    </w:p>
    <w:p>
      <w:pPr>
        <w:pStyle w:val="Heading2"/>
      </w:pPr>
      <w:bookmarkStart w:id="3410" w:name="_Toc2512"/>
      <w:r>
        <w:t>چاپلقي ، علي اصغر بن محمّد شفيع .</w:t>
      </w:r>
      <w:bookmarkEnd w:id="3410"/>
    </w:p>
    <w:p>
      <w:pPr>
        <w:pStyle w:val="BookText"/>
      </w:pPr>
      <w:r>
        <w:rPr>
          <w:rFonts w:ascii="IRNazanin" w:hAnsi="IRNazanin" w:eastAsia="IRNazanin" w:cs="IRNazanin"/>
          <w:lang w:bidi="fa-IR"/>
          <w:color w:val="111111"/>
          <w:sz w:val="28"/>
          <w:szCs w:val="28"/>
          <w:rtl/>
        </w:rPr>
        <w:t xml:space="preserve">الحج، ج 6، ص 477.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5" w:name="pg7742_70078"/>
    <w:bookmarkEnd w:id="345"/>
    <w:p>
      <w:pPr>
        <w:pStyle w:val="BookText"/>
      </w:pPr>
      <w:r>
        <w:rPr>
          <w:rFonts w:ascii="IRNazanin" w:hAnsi="IRNazanin" w:eastAsia="IRNazanin" w:cs="IRNazanin"/>
          <w:lang w:bidi="fa-IR"/>
          <w:color w:val="111111"/>
          <w:sz w:val="28"/>
          <w:szCs w:val="28"/>
          <w:rtl/>
        </w:rPr>
        <w:t xml:space="preserve">چتالجه وي ، علي بن محمّد -علي افندي ، علي بن محمّد</w:t>
      </w:r>
    </w:p>
    <w:p>
      <w:pPr>
        <w:pStyle w:val="BookText"/>
      </w:pPr>
      <w:r>
        <w:rPr>
          <w:rFonts w:ascii="Times New Roman" w:hAnsi="Times New Roman" w:eastAsia="Times New Roman" w:cs="Times New Roman"/>
          <w:lang w:val="en-US" w:bidi="en-US"/>
          <w:color w:val="111111"/>
          <w:sz w:val="28"/>
          <w:szCs w:val="28"/>
          <w:rtl/>
        </w:rPr>
        <w:t xml:space="preserve">3</w:t>
      </w:r>
    </w:p>
    <w:p>
      <w:pPr>
        <w:pStyle w:val="Heading2"/>
      </w:pPr>
      <w:bookmarkStart w:id="3411" w:name="_Toc2513"/>
      <w:r>
        <w:t>چته چي ، عبدالله بن ابراهيم 1115 -</w:t>
      </w:r>
      <w:bookmarkEnd w:id="34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انهار الجنان من منابع آيات</w:t>
      </w:r>
    </w:p>
    <w:p>
      <w:pPr>
        <w:pStyle w:val="BookText"/>
      </w:pPr>
      <w:r>
        <w:rPr>
          <w:rFonts w:ascii="IRNazanin" w:hAnsi="IRNazanin" w:eastAsia="IRNazanin" w:cs="IRNazanin"/>
          <w:lang w:bidi="fa-IR"/>
          <w:color w:val="111111"/>
          <w:sz w:val="28"/>
          <w:szCs w:val="28"/>
          <w:rtl/>
        </w:rPr>
        <w:t xml:space="preserve">القرآن، ج 2، ص 836.</w:t>
      </w:r>
    </w:p>
    <w:p>
      <w:pPr>
        <w:pStyle w:val="BookText"/>
      </w:pPr>
      <w:r>
        <w:rPr>
          <w:rFonts w:ascii="Amiri" w:hAnsi="Amiri" w:eastAsia="Amiri" w:cs="Amiri"/>
          <w:lang w:bidi="ar-SA"/>
          <w:color w:val="111111"/>
          <w:sz w:val="28"/>
          <w:szCs w:val="28"/>
          <w:rtl/>
        </w:rPr>
        <w:t xml:space="preserve">2 .ترتيب زيبا ، ج 4 ، ص 243 .</w:t>
      </w:r>
    </w:p>
    <w:p>
      <w:pPr>
        <w:pStyle w:val="Heading2"/>
      </w:pPr>
      <w:bookmarkStart w:id="3412" w:name="_Toc2514"/>
      <w:r>
        <w:t>چرخي ، يعقوب بن عثمان 762 - 851 ه-؟</w:t>
      </w:r>
      <w:bookmarkEnd w:id="3412"/>
    </w:p>
    <w:p>
      <w:pPr>
        <w:pStyle w:val="BookText"/>
      </w:pPr>
      <w:r>
        <w:rPr>
          <w:rFonts w:ascii="IRNazanin" w:hAnsi="IRNazanin" w:eastAsia="IRNazanin" w:cs="IRNazanin"/>
          <w:lang w:bidi="fa-IR"/>
          <w:color w:val="111111"/>
          <w:sz w:val="28"/>
          <w:szCs w:val="28"/>
          <w:rtl/>
        </w:rPr>
        <w:t xml:space="preserve">تفسیر چرخي ج4، ص 618.</w:t>
      </w:r>
    </w:p>
    <w:p>
      <w:pPr>
        <w:pStyle w:val="BookText"/>
      </w:pPr>
      <w:r>
        <w:rPr>
          <w:rFonts w:ascii="IRNazanin" w:hAnsi="IRNazanin" w:eastAsia="IRNazanin" w:cs="IRNazanin"/>
          <w:lang w:bidi="fa-IR"/>
          <w:color w:val="111111"/>
          <w:sz w:val="28"/>
          <w:szCs w:val="28"/>
          <w:rtl/>
        </w:rPr>
        <w:t xml:space="preserve">چر مپوش، احمد موسی -جرمبوش ، احمد</w:t>
      </w:r>
    </w:p>
    <w:p>
      <w:pPr>
        <w:pStyle w:val="Heading2"/>
      </w:pPr>
      <w:bookmarkStart w:id="3413" w:name="_Toc2515"/>
      <w:r>
        <w:t>چشتي قادري، كمال الدين بن جمال</w:t>
      </w:r>
      <w:bookmarkEnd w:id="3413"/>
    </w:p>
    <w:p>
      <w:pPr>
        <w:pStyle w:val="BookText"/>
      </w:pPr>
      <w:r>
        <w:rPr>
          <w:rFonts w:ascii="Amiri" w:hAnsi="Amiri" w:eastAsia="Amiri" w:cs="Amiri"/>
          <w:lang w:bidi="ar-SA"/>
          <w:color w:val="111111"/>
          <w:sz w:val="28"/>
          <w:szCs w:val="28"/>
          <w:rtl/>
        </w:rPr>
        <w:t xml:space="preserve">الدين - 1187 ه-</w:t>
      </w:r>
    </w:p>
    <w:p>
      <w:pPr>
        <w:pStyle w:val="BookText"/>
      </w:pPr>
      <w:r>
        <w:rPr>
          <w:rFonts w:ascii="IRNazanin" w:hAnsi="IRNazanin" w:eastAsia="IRNazanin" w:cs="IRNazanin"/>
          <w:lang w:bidi="fa-IR"/>
          <w:color w:val="111111"/>
          <w:sz w:val="28"/>
          <w:szCs w:val="28"/>
          <w:rtl/>
        </w:rPr>
        <w:t xml:space="preserve">دیوان قادري، ج 7، ص 736.</w:t>
      </w:r>
    </w:p>
    <w:p>
      <w:pPr>
        <w:pStyle w:val="Heading2"/>
      </w:pPr>
      <w:bookmarkStart w:id="3414" w:name="_Toc2516"/>
      <w:r>
        <w:t>چشتي ، محمّد اعظم خان قرن 13 ه-</w:t>
      </w:r>
      <w:bookmarkEnd w:id="3414"/>
    </w:p>
    <w:p>
      <w:pPr>
        <w:pStyle w:val="BookText"/>
      </w:pPr>
      <w:r>
        <w:rPr>
          <w:rFonts w:ascii="IRNazanin" w:hAnsi="IRNazanin" w:eastAsia="IRNazanin" w:cs="IRNazanin"/>
          <w:lang w:bidi="fa-IR"/>
          <w:color w:val="111111"/>
          <w:sz w:val="28"/>
          <w:szCs w:val="28"/>
          <w:rtl/>
        </w:rPr>
        <w:t xml:space="preserve">قرابادین اعظم و اکمل، ج 12</w:t>
      </w:r>
    </w:p>
    <w:p>
      <w:pPr>
        <w:pStyle w:val="BookText"/>
      </w:pPr>
      <w:r>
        <w:rPr>
          <w:rFonts w:ascii="IRNazanin" w:hAnsi="IRNazanin" w:eastAsia="IRNazanin" w:cs="IRNazanin"/>
          <w:lang w:bidi="fa-IR"/>
          <w:color w:val="111111"/>
          <w:sz w:val="28"/>
          <w:szCs w:val="28"/>
          <w:rtl/>
        </w:rPr>
        <w:t xml:space="preserve">ص 555 .</w:t>
      </w:r>
    </w:p>
    <w:p>
      <w:pPr>
        <w:pStyle w:val="Heading2"/>
      </w:pPr>
      <w:bookmarkStart w:id="3415" w:name="_Toc2517"/>
      <w:r>
        <w:t>چغمینی ، محمود بن محمّد - 745 ؟ ه-</w:t>
      </w:r>
      <w:bookmarkEnd w:id="3415"/>
    </w:p>
    <w:p>
      <w:pPr>
        <w:pStyle w:val="BookText"/>
      </w:pPr>
      <w:r>
        <w:rPr>
          <w:rFonts w:ascii="IRNazanin" w:hAnsi="IRNazanin" w:eastAsia="IRNazanin" w:cs="IRNazanin"/>
          <w:lang w:bidi="fa-IR"/>
          <w:color w:val="111111"/>
          <w:sz w:val="28"/>
          <w:szCs w:val="28"/>
          <w:rtl/>
        </w:rPr>
        <w:t xml:space="preserve">1 .شرح مفتاح العلوم، ج 10، ص 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القانونچه = المختصر في صناعة</w:t>
      </w:r>
    </w:p>
    <w:p>
      <w:pPr>
        <w:pStyle w:val="BookText"/>
      </w:pPr>
      <w:r>
        <w:rPr>
          <w:rFonts w:ascii="IRNazanin" w:hAnsi="IRNazanin" w:eastAsia="IRNazanin" w:cs="IRNazanin"/>
          <w:lang w:bidi="fa-IR"/>
          <w:color w:val="111111"/>
          <w:sz w:val="28"/>
          <w:szCs w:val="28"/>
          <w:rtl/>
        </w:rPr>
        <w:t xml:space="preserve">الطب، ج 12، ص 358.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الملخص في الهيئة = شرح چغميني</w:t>
      </w:r>
    </w:p>
    <w:p>
      <w:pPr>
        <w:pStyle w:val="BookText"/>
      </w:pPr>
      <w:r>
        <w:rPr>
          <w:rFonts w:ascii="IRNazanin" w:hAnsi="IRNazanin" w:eastAsia="IRNazanin" w:cs="IRNazanin"/>
          <w:lang w:bidi="fa-IR"/>
          <w:color w:val="111111"/>
          <w:sz w:val="28"/>
          <w:szCs w:val="28"/>
          <w:rtl/>
        </w:rPr>
        <w:t xml:space="preserve">ج 15 ، ص 460 .</w:t>
      </w:r>
    </w:p>
    <w:p>
      <w:pPr>
        <w:pStyle w:val="BookText"/>
      </w:pPr>
      <w:r>
        <w:rPr>
          <w:rFonts w:ascii="IRNazanin" w:hAnsi="IRNazanin" w:eastAsia="IRNazanin" w:cs="IRNazanin"/>
          <w:lang w:bidi="fa-IR"/>
          <w:color w:val="111111"/>
          <w:sz w:val="28"/>
          <w:szCs w:val="28"/>
          <w:rtl/>
        </w:rPr>
        <w:t xml:space="preserve">چکن بن احمد هندي هندي ، چکن بن احمد</w:t>
      </w:r>
    </w:p>
    <w:p>
      <w:pPr>
        <w:pStyle w:val="Heading2"/>
      </w:pPr>
      <w:bookmarkStart w:id="3416" w:name="_Toc2518"/>
      <w:r>
        <w:t>چلبي بغدادي ، عثمان بن عبدالله</w:t>
      </w:r>
      <w:bookmarkEnd w:id="3416"/>
    </w:p>
    <w:p>
      <w:pPr>
        <w:pStyle w:val="BookText"/>
      </w:pPr>
      <w:r>
        <w:rPr>
          <w:rFonts w:ascii="IRNazanin" w:hAnsi="IRNazanin" w:eastAsia="IRNazanin" w:cs="IRNazanin"/>
          <w:lang w:bidi="fa-IR"/>
          <w:color w:val="111111"/>
          <w:sz w:val="28"/>
          <w:szCs w:val="28"/>
          <w:rtl/>
        </w:rPr>
        <w:t xml:space="preserve">دیوان چلبي بغدادي، ج7، ص 610.</w:t>
      </w:r>
    </w:p>
    <w:p>
      <w:pPr>
        <w:pStyle w:val="BookText"/>
      </w:pPr>
      <w:r>
        <w:rPr>
          <w:rFonts w:ascii="IRNazanin" w:hAnsi="IRNazanin" w:eastAsia="IRNazanin" w:cs="IRNazanin"/>
          <w:lang w:bidi="fa-IR"/>
          <w:color w:val="111111"/>
          <w:sz w:val="28"/>
          <w:szCs w:val="28"/>
          <w:rtl/>
        </w:rPr>
        <w:t xml:space="preserve">1174ه-</w:t>
      </w:r>
    </w:p>
    <w:p>
      <w:pPr>
        <w:pStyle w:val="Heading2"/>
      </w:pPr>
      <w:bookmarkStart w:id="3417" w:name="_Toc2519"/>
      <w:r>
        <w:t>چلبي ، حسام</w:t>
      </w:r>
      <w:bookmarkEnd w:id="3417"/>
    </w:p>
    <w:p>
      <w:pPr>
        <w:pStyle w:val="BookText"/>
      </w:pPr>
      <w:r>
        <w:rPr>
          <w:rFonts w:ascii="Amiri" w:hAnsi="Amiri" w:eastAsia="Amiri" w:cs="Amiri"/>
          <w:lang w:bidi="ar-SA"/>
          <w:color w:val="111111"/>
          <w:sz w:val="28"/>
          <w:szCs w:val="28"/>
          <w:rtl/>
        </w:rPr>
        <w:t xml:space="preserve">حاشية حسام جلبي على العلة</w:t>
      </w:r>
    </w:p>
    <w:p>
      <w:pPr>
        <w:pStyle w:val="BookText"/>
      </w:pPr>
      <w:r>
        <w:rPr>
          <w:rFonts w:ascii="IRNazanin" w:hAnsi="IRNazanin" w:eastAsia="IRNazanin" w:cs="IRNazanin"/>
          <w:lang w:bidi="fa-IR"/>
          <w:color w:val="111111"/>
          <w:sz w:val="28"/>
          <w:szCs w:val="28"/>
          <w:rtl/>
        </w:rPr>
        <w:t xml:space="preserve">المعلول، ج 5، ص 857.</w:t>
      </w:r>
    </w:p>
    <w:p>
      <w:pPr>
        <w:pStyle w:val="Heading2"/>
      </w:pPr>
      <w:bookmarkStart w:id="3418" w:name="_Toc2520"/>
      <w:r>
        <w:t>چلبي كبير ، ابراهيم</w:t>
      </w:r>
      <w:bookmarkEnd w:id="3418"/>
    </w:p>
    <w:p>
      <w:pPr>
        <w:pStyle w:val="BookText"/>
      </w:pPr>
      <w:r>
        <w:rPr>
          <w:rFonts w:ascii="Amiri" w:hAnsi="Amiri" w:eastAsia="Amiri" w:cs="Amiri"/>
          <w:lang w:bidi="ar-SA"/>
          <w:color w:val="111111"/>
          <w:sz w:val="28"/>
          <w:szCs w:val="28"/>
          <w:rtl/>
        </w:rPr>
        <w:t xml:space="preserve">اعراب لا اله الا الله» (رسالة في)، ج2،</w:t>
      </w:r>
    </w:p>
    <w:p>
      <w:pPr>
        <w:pStyle w:val="BookText"/>
      </w:pPr>
      <w:r>
        <w:rPr>
          <w:rFonts w:ascii="IRNazanin" w:hAnsi="IRNazanin" w:eastAsia="IRNazanin" w:cs="IRNazanin"/>
          <w:lang w:bidi="fa-IR"/>
          <w:color w:val="111111"/>
          <w:sz w:val="28"/>
          <w:szCs w:val="28"/>
          <w:rtl/>
        </w:rPr>
        <w:t xml:space="preserve">ص 548 .</w:t>
      </w:r>
    </w:p>
    <w:p>
      <w:pPr>
        <w:pStyle w:val="Heading2"/>
      </w:pPr>
      <w:bookmarkStart w:id="3419" w:name="_Toc2521"/>
      <w:r>
        <w:t>چلبي ، محمّد، قرن 13 ه-</w:t>
      </w:r>
      <w:bookmarkEnd w:id="3419"/>
    </w:p>
    <w:p>
      <w:pPr>
        <w:pStyle w:val="BookText"/>
      </w:pPr>
      <w:r>
        <w:rPr>
          <w:rFonts w:ascii="Amiri" w:hAnsi="Amiri" w:eastAsia="Amiri" w:cs="Amiri"/>
          <w:lang w:bidi="ar-SA"/>
          <w:color w:val="111111"/>
          <w:sz w:val="28"/>
          <w:szCs w:val="28"/>
          <w:rtl/>
        </w:rPr>
        <w:t xml:space="preserve">شرح الارجوزة في الطب، ج9، ص182.</w:t>
      </w:r>
    </w:p>
    <w:p>
      <w:pPr>
        <w:pStyle w:val="BookText"/>
      </w:pPr>
      <w:r>
        <w:rPr>
          <w:rFonts w:ascii="IRNazanin" w:hAnsi="IRNazanin" w:eastAsia="IRNazanin" w:cs="IRNazanin"/>
          <w:lang w:bidi="fa-IR"/>
          <w:color w:val="111111"/>
          <w:sz w:val="28"/>
          <w:szCs w:val="28"/>
          <w:rtl/>
        </w:rPr>
        <w:t xml:space="preserve">چلبي ، محمّد (حكيم) -حكيم چلبي ،</w:t>
      </w:r>
    </w:p>
    <w:p>
      <w:pPr>
        <w:pStyle w:val="BookText"/>
      </w:pPr>
      <w:r>
        <w:rPr>
          <w:rFonts w:ascii="IRNazanin" w:hAnsi="IRNazanin" w:eastAsia="IRNazanin" w:cs="IRNazanin"/>
          <w:lang w:bidi="fa-IR"/>
          <w:color w:val="111111"/>
          <w:sz w:val="28"/>
          <w:szCs w:val="28"/>
          <w:rtl/>
        </w:rPr>
        <w:t xml:space="preserve">محمد</w:t>
      </w:r>
    </w:p>
    <w:p>
      <w:pPr>
        <w:pStyle w:val="Heading2"/>
      </w:pPr>
      <w:bookmarkStart w:id="3420" w:name="_Toc2522"/>
      <w:r>
        <w:t>چلپي ، داود بن محمّد سلیم 1297 -</w:t>
      </w:r>
      <w:bookmarkEnd w:id="3420"/>
    </w:p>
    <w:p>
      <w:pPr>
        <w:pStyle w:val="BookText"/>
      </w:pPr>
      <w:r>
        <w:rPr>
          <w:rFonts w:ascii="IRNazanin" w:hAnsi="IRNazanin" w:eastAsia="IRNazanin" w:cs="IRNazanin"/>
          <w:lang w:bidi="fa-IR"/>
          <w:color w:val="111111"/>
          <w:sz w:val="28"/>
          <w:szCs w:val="28"/>
          <w:rtl/>
        </w:rPr>
        <w:t xml:space="preserve">1379 ه-</w:t>
      </w:r>
    </w:p>
    <w:p>
      <w:pPr>
        <w:pStyle w:val="BookText"/>
      </w:pPr>
      <w:r>
        <w:rPr>
          <w:rFonts w:ascii="IRNazanin" w:hAnsi="IRNazanin" w:eastAsia="IRNazanin" w:cs="IRNazanin"/>
          <w:lang w:bidi="fa-IR"/>
          <w:color w:val="111111"/>
          <w:sz w:val="28"/>
          <w:szCs w:val="28"/>
          <w:rtl/>
        </w:rPr>
        <w:t xml:space="preserve">1 .واسماء النباتات، ج 2، ص 235.</w:t>
      </w:r>
    </w:p>
    <w:p>
      <w:pPr>
        <w:pStyle w:val="BookText"/>
      </w:pPr>
      <w:r>
        <w:rPr>
          <w:rFonts w:ascii="Amiri" w:hAnsi="Amiri" w:eastAsia="Amiri" w:cs="Amiri"/>
          <w:lang w:bidi="ar-SA"/>
          <w:color w:val="111111"/>
          <w:sz w:val="28"/>
          <w:szCs w:val="28"/>
          <w:rtl/>
        </w:rPr>
        <w:t xml:space="preserve">2 .وتاريخ الموصل، ج 3، ص 611.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رحلة اوليفيه، ج8، ص 67 .</w:t>
      </w:r>
    </w:p>
    <w:p>
      <w:pPr>
        <w:pStyle w:val="BookText"/>
      </w:pPr>
      <w:r>
        <w:rPr>
          <w:rFonts w:ascii="Amiri" w:hAnsi="Amiri" w:eastAsia="Amiri" w:cs="Amiri"/>
          <w:lang w:bidi="ar-SA"/>
          <w:color w:val="111111"/>
          <w:sz w:val="28"/>
          <w:szCs w:val="28"/>
          <w:rtl/>
        </w:rPr>
        <w:t xml:space="preserve">4 .زبدة الاثار الجلية في الحوادث</w:t>
      </w:r>
    </w:p>
    <w:p>
      <w:pPr>
        <w:pStyle w:val="BookText"/>
      </w:pPr>
      <w:r>
        <w:rPr>
          <w:rFonts w:ascii="Amiri" w:hAnsi="Amiri" w:eastAsia="Amiri" w:cs="Amiri"/>
          <w:lang w:bidi="ar-SA"/>
          <w:color w:val="111111"/>
          <w:sz w:val="28"/>
          <w:szCs w:val="28"/>
          <w:rtl/>
        </w:rPr>
        <w:t xml:space="preserve">الارضية، ج8، ص 548.</w:t>
      </w:r>
    </w:p>
    <w:p>
      <w:pPr>
        <w:pStyle w:val="BookText"/>
      </w:pPr>
      <w:r>
        <w:rPr>
          <w:rFonts w:ascii="Amiri" w:hAnsi="Amiri" w:eastAsia="Amiri" w:cs="Amiri"/>
          <w:lang w:bidi="ar-SA"/>
          <w:color w:val="111111"/>
          <w:sz w:val="28"/>
          <w:szCs w:val="28"/>
          <w:rtl/>
        </w:rPr>
        <w:t xml:space="preserve">5 .كلمات العاميه، ج13، ص 367.</w:t>
      </w:r>
    </w:p>
    <w:p>
      <w:pPr>
        <w:pStyle w:val="BookText"/>
      </w:pPr>
      <w:r>
        <w:rPr>
          <w:rFonts w:ascii="Amiri" w:hAnsi="Amiri" w:eastAsia="Amiri" w:cs="Amiri"/>
          <w:lang w:bidi="ar-SA"/>
          <w:color w:val="111111"/>
          <w:sz w:val="28"/>
          <w:szCs w:val="28"/>
          <w:rtl/>
        </w:rPr>
        <w:t xml:space="preserve">6 .مجموع كلمات مختارة، ج 14</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IRNazanin" w:hAnsi="IRNazanin" w:eastAsia="IRNazanin" w:cs="IRNazanin"/>
          <w:lang w:bidi="fa-IR"/>
          <w:color w:val="111111"/>
          <w:sz w:val="28"/>
          <w:szCs w:val="28"/>
          <w:rtl/>
        </w:rPr>
        <w:t xml:space="preserve">7 .مصطلحات امراض، ج 14، ص 745.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مصطلحات طبية وعقاقيرية، ج 14،</w:t>
      </w:r>
    </w:p>
    <w:p>
      <w:pPr>
        <w:pStyle w:val="BookText"/>
      </w:pPr>
      <w:r>
        <w:rPr>
          <w:rFonts w:ascii="IRNazanin" w:hAnsi="IRNazanin" w:eastAsia="IRNazanin" w:cs="IRNazanin"/>
          <w:lang w:bidi="fa-IR"/>
          <w:color w:val="111111"/>
          <w:sz w:val="28"/>
          <w:szCs w:val="28"/>
          <w:rtl/>
        </w:rPr>
        <w:t xml:space="preserve">ص 747 .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6" w:name="pg7742_70080"/>
    <w:bookmarkEnd w:id="346"/>
    <w:p>
      <w:pPr>
        <w:pStyle w:val="BookText"/>
      </w:pPr>
      <w:r>
        <w:rPr>
          <w:rFonts w:ascii="IRNazanin" w:hAnsi="IRNazanin" w:eastAsia="IRNazanin" w:cs="IRNazanin"/>
          <w:lang w:bidi="fa-IR"/>
          <w:color w:val="111111"/>
          <w:sz w:val="28"/>
          <w:szCs w:val="28"/>
          <w:rtl/>
        </w:rPr>
        <w:t xml:space="preserve">9.معجم مصطلحات ،امراض ج 15 ،</w:t>
      </w:r>
    </w:p>
    <w:p>
      <w:pPr>
        <w:pStyle w:val="BookText"/>
      </w:pPr>
      <w:r>
        <w:rPr>
          <w:rFonts w:ascii="IRNazanin" w:hAnsi="IRNazanin" w:eastAsia="IRNazanin" w:cs="IRNazanin"/>
          <w:lang w:bidi="fa-IR"/>
          <w:color w:val="111111"/>
          <w:sz w:val="28"/>
          <w:szCs w:val="28"/>
          <w:rtl/>
        </w:rPr>
        <w:t xml:space="preserve">ص 22.</w:t>
      </w:r>
    </w:p>
    <w:p>
      <w:pPr>
        <w:pStyle w:val="BookText"/>
      </w:pPr>
      <w:r>
        <w:rPr>
          <w:rFonts w:ascii="IRNazanin" w:hAnsi="IRNazanin" w:eastAsia="IRNazanin" w:cs="IRNazanin"/>
          <w:lang w:bidi="fa-IR"/>
          <w:color w:val="111111"/>
          <w:sz w:val="28"/>
          <w:szCs w:val="28"/>
          <w:rtl/>
        </w:rPr>
        <w:t xml:space="preserve">10 .وصف لحصار نادر شاه للموصل</w:t>
      </w:r>
    </w:p>
    <w:p>
      <w:pPr>
        <w:pStyle w:val="BookText"/>
      </w:pPr>
      <w:r>
        <w:rPr>
          <w:rFonts w:ascii="IRNazanin" w:hAnsi="IRNazanin" w:eastAsia="IRNazanin" w:cs="IRNazanin"/>
          <w:lang w:bidi="fa-IR"/>
          <w:color w:val="111111"/>
          <w:sz w:val="28"/>
          <w:szCs w:val="28"/>
          <w:rtl/>
        </w:rPr>
        <w:t xml:space="preserve">ج 16، ص 805.</w:t>
      </w:r>
    </w:p>
    <w:p>
      <w:pPr>
        <w:pStyle w:val="BookText"/>
      </w:pPr>
      <w:r>
        <w:rPr>
          <w:rFonts w:ascii="IRNazanin" w:hAnsi="IRNazanin" w:eastAsia="IRNazanin" w:cs="IRNazanin"/>
          <w:lang w:bidi="fa-IR"/>
          <w:color w:val="111111"/>
          <w:sz w:val="28"/>
          <w:szCs w:val="28"/>
          <w:rtl/>
        </w:rPr>
        <w:t xml:space="preserve">چهاردهي ، محمّد علي بن محمّد نصیر -مدرس چهاردهي ، محمّد علي بن</w:t>
      </w:r>
    </w:p>
    <w:p>
      <w:pPr>
        <w:pStyle w:val="BookText"/>
      </w:pPr>
      <w:r>
        <w:rPr>
          <w:rFonts w:ascii="Amiri" w:hAnsi="Amiri" w:eastAsia="Amiri" w:cs="Amiri"/>
          <w:lang w:bidi="ar-SA"/>
          <w:color w:val="111111"/>
          <w:sz w:val="28"/>
          <w:szCs w:val="28"/>
          <w:rtl/>
        </w:rPr>
        <w:t xml:space="preserve">محمّد نصیر</w:t>
      </w:r>
    </w:p>
    <w:p>
      <w:pPr>
        <w:pStyle w:val="BookText"/>
      </w:pPr>
      <w:r>
        <w:rPr>
          <w:rFonts w:ascii="Amiri" w:hAnsi="Amiri" w:eastAsia="Amiri" w:cs="Amiri"/>
          <w:lang w:bidi="ar-SA"/>
          <w:color w:val="111111"/>
          <w:sz w:val="28"/>
          <w:szCs w:val="28"/>
          <w:rtl/>
        </w:rPr>
        <w:t xml:space="preserve">حائري، ابراهيم بن علي- قزويني حائري ،</w:t>
      </w:r>
    </w:p>
    <w:p>
      <w:pPr>
        <w:pStyle w:val="BookText"/>
      </w:pPr>
      <w:r>
        <w:rPr>
          <w:rFonts w:ascii="Amiri" w:hAnsi="Amiri" w:eastAsia="Amiri" w:cs="Amiri"/>
          <w:lang w:bidi="ar-SA"/>
          <w:color w:val="111111"/>
          <w:sz w:val="28"/>
          <w:szCs w:val="28"/>
          <w:rtl/>
        </w:rPr>
        <w:t xml:space="preserve">محمّد ابراهيم بن علي</w:t>
      </w:r>
    </w:p>
    <w:p>
      <w:pPr>
        <w:pStyle w:val="BookText"/>
      </w:pPr>
      <w:r>
        <w:rPr>
          <w:rFonts w:ascii="Amiri" w:hAnsi="Amiri" w:eastAsia="Amiri" w:cs="Amiri"/>
          <w:lang w:bidi="ar-SA"/>
          <w:color w:val="111111"/>
          <w:sz w:val="28"/>
          <w:szCs w:val="28"/>
          <w:rtl/>
        </w:rPr>
        <w:t xml:space="preserve">حائري، ابراهيم بن محمّد باقر- قزويني</w:t>
      </w:r>
    </w:p>
    <w:p>
      <w:pPr>
        <w:pStyle w:val="BookText"/>
      </w:pPr>
      <w:r>
        <w:rPr>
          <w:rFonts w:ascii="IRNazanin" w:hAnsi="IRNazanin" w:eastAsia="IRNazanin" w:cs="IRNazanin"/>
          <w:lang w:bidi="fa-IR"/>
          <w:color w:val="111111"/>
          <w:sz w:val="28"/>
          <w:szCs w:val="28"/>
          <w:rtl/>
        </w:rPr>
        <w:t xml:space="preserve">، ابراهیم بن محمّد باقر</w:t>
      </w:r>
    </w:p>
    <w:p>
      <w:pPr>
        <w:pStyle w:val="BookText"/>
      </w:pPr>
      <w:r>
        <w:rPr>
          <w:rFonts w:ascii="Amiri" w:hAnsi="Amiri" w:eastAsia="Amiri" w:cs="Amiri"/>
          <w:lang w:bidi="ar-SA"/>
          <w:color w:val="111111"/>
          <w:sz w:val="28"/>
          <w:szCs w:val="28"/>
          <w:rtl/>
        </w:rPr>
        <w:t xml:space="preserve">حائري ، ابوعلي محمّد بن اسماعيل -مازندراني حائري ، محمّد بن اسماعيل</w:t>
      </w:r>
    </w:p>
    <w:p>
      <w:pPr>
        <w:pStyle w:val="BookText"/>
      </w:pPr>
      <w:r>
        <w:rPr>
          <w:rFonts w:ascii="Amiri" w:hAnsi="Amiri" w:eastAsia="Amiri" w:cs="Amiri"/>
          <w:lang w:bidi="ar-SA"/>
          <w:color w:val="111111"/>
          <w:sz w:val="28"/>
          <w:szCs w:val="28"/>
          <w:rtl/>
        </w:rPr>
        <w:t xml:space="preserve">حائري ، احمد بن درويش علي- بغدادي</w:t>
      </w:r>
    </w:p>
    <w:p>
      <w:pPr>
        <w:pStyle w:val="BookText"/>
      </w:pPr>
      <w:r>
        <w:rPr>
          <w:rFonts w:ascii="Amiri" w:hAnsi="Amiri" w:eastAsia="Amiri" w:cs="Amiri"/>
          <w:lang w:bidi="ar-SA"/>
          <w:color w:val="111111"/>
          <w:sz w:val="28"/>
          <w:szCs w:val="28"/>
          <w:rtl/>
        </w:rPr>
        <w:t xml:space="preserve">احمد بن درويش علي</w:t>
      </w:r>
    </w:p>
    <w:p>
      <w:pPr>
        <w:pStyle w:val="BookText"/>
      </w:pPr>
      <w:r>
        <w:rPr>
          <w:rFonts w:ascii="Amiri" w:hAnsi="Amiri" w:eastAsia="Amiri" w:cs="Amiri"/>
          <w:lang w:bidi="ar-SA"/>
          <w:color w:val="111111"/>
          <w:sz w:val="28"/>
          <w:szCs w:val="28"/>
          <w:rtl/>
        </w:rPr>
        <w:t xml:space="preserve">حائري ، احمد بن كاظم -حسيني رشتي ،</w:t>
      </w:r>
    </w:p>
    <w:p>
      <w:pPr>
        <w:pStyle w:val="BookText"/>
      </w:pPr>
      <w:r>
        <w:rPr>
          <w:rFonts w:ascii="Amiri" w:hAnsi="Amiri" w:eastAsia="Amiri" w:cs="Amiri"/>
          <w:lang w:bidi="ar-SA"/>
          <w:color w:val="111111"/>
          <w:sz w:val="28"/>
          <w:szCs w:val="28"/>
          <w:rtl/>
        </w:rPr>
        <w:t xml:space="preserve">احمد بن كاظم</w:t>
      </w:r>
    </w:p>
    <w:p>
      <w:pPr>
        <w:pStyle w:val="Heading2"/>
      </w:pPr>
      <w:bookmarkStart w:id="3421" w:name="_Toc2523"/>
      <w:r>
        <w:t>حائري استرآبادي، محمّدحسن، قرن 14 ه-</w:t>
      </w:r>
      <w:bookmarkEnd w:id="3421"/>
    </w:p>
    <w:p>
      <w:pPr>
        <w:pStyle w:val="BookText"/>
      </w:pPr>
      <w:r>
        <w:rPr>
          <w:rFonts w:ascii="IRNazanin" w:hAnsi="IRNazanin" w:eastAsia="IRNazanin" w:cs="IRNazanin"/>
          <w:lang w:bidi="fa-IR"/>
          <w:color w:val="111111"/>
          <w:sz w:val="28"/>
          <w:szCs w:val="28"/>
          <w:rtl/>
        </w:rPr>
        <w:t xml:space="preserve">دیوان حائري، ج 7، ص 612.</w:t>
      </w:r>
    </w:p>
    <w:p>
      <w:pPr>
        <w:pStyle w:val="BookText"/>
      </w:pPr>
      <w:r>
        <w:rPr>
          <w:rFonts w:ascii="Amiri" w:hAnsi="Amiri" w:eastAsia="Amiri" w:cs="Amiri"/>
          <w:lang w:bidi="ar-SA"/>
          <w:color w:val="111111"/>
          <w:sz w:val="28"/>
          <w:szCs w:val="28"/>
          <w:rtl/>
        </w:rPr>
        <w:t xml:space="preserve">حائري استرآبادي ، محمّد</w:t>
      </w:r>
    </w:p>
    <w:p>
      <w:pPr>
        <w:pStyle w:val="BookText"/>
      </w:pPr>
      <w:r>
        <w:rPr>
          <w:rFonts w:ascii="Amiri" w:hAnsi="Amiri" w:eastAsia="Amiri" w:cs="Amiri"/>
          <w:lang w:bidi="ar-SA"/>
          <w:color w:val="111111"/>
          <w:sz w:val="28"/>
          <w:szCs w:val="28"/>
          <w:rtl/>
        </w:rPr>
        <w:t xml:space="preserve">يوسف- استرآبادي ، محمّد يوسف</w:t>
      </w:r>
    </w:p>
    <w:p>
      <w:pPr>
        <w:pStyle w:val="Heading2"/>
      </w:pPr>
      <w:bookmarkStart w:id="3422" w:name="_Toc2524"/>
      <w:r>
        <w:t>حائري اسكوني ، موسی بن محمّد باقر</w:t>
      </w:r>
      <w:bookmarkEnd w:id="3422"/>
    </w:p>
    <w:p>
      <w:pPr>
        <w:pStyle w:val="BookText"/>
      </w:pPr>
      <w:r>
        <w:rPr>
          <w:rFonts w:ascii="IRNazanin" w:hAnsi="IRNazanin" w:eastAsia="IRNazanin" w:cs="IRNazanin"/>
          <w:lang w:bidi="fa-IR"/>
          <w:color w:val="111111"/>
          <w:sz w:val="28"/>
          <w:szCs w:val="28"/>
          <w:rtl/>
        </w:rPr>
        <w:t xml:space="preserve">1279 - 1364ه-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الرد على الرسالة الشهرستانية، ج8،</w:t>
      </w:r>
    </w:p>
    <w:p>
      <w:pPr>
        <w:pStyle w:val="BookText"/>
      </w:pPr>
      <w:r>
        <w:rPr>
          <w:rFonts w:ascii="IRNazanin" w:hAnsi="IRNazanin" w:eastAsia="IRNazanin" w:cs="IRNazanin"/>
          <w:lang w:bidi="fa-IR"/>
          <w:color w:val="111111"/>
          <w:sz w:val="28"/>
          <w:szCs w:val="28"/>
          <w:rtl/>
        </w:rPr>
        <w:t xml:space="preserve">ص 94 .</w:t>
      </w:r>
    </w:p>
    <w:p>
      <w:pPr>
        <w:pStyle w:val="BookText"/>
      </w:pPr>
      <w:r>
        <w:rPr>
          <w:rFonts w:ascii="Amiri" w:hAnsi="Amiri" w:eastAsia="Amiri" w:cs="Amiri"/>
          <w:lang w:bidi="ar-SA"/>
          <w:color w:val="111111"/>
          <w:sz w:val="28"/>
          <w:szCs w:val="28"/>
          <w:rtl/>
        </w:rPr>
        <w:t xml:space="preserve">2 كتاب العناوين مع اجوبة مسائل في الحكمة و الفقه متعددة، ج13،</w:t>
      </w:r>
    </w:p>
    <w:p>
      <w:pPr>
        <w:pStyle w:val="BookText"/>
      </w:pPr>
      <w:r>
        <w:rPr>
          <w:rFonts w:ascii="IRNazanin" w:hAnsi="IRNazanin" w:eastAsia="IRNazanin" w:cs="IRNazanin"/>
          <w:lang w:bidi="fa-IR"/>
          <w:color w:val="111111"/>
          <w:sz w:val="28"/>
          <w:szCs w:val="28"/>
          <w:rtl/>
        </w:rPr>
        <w:t xml:space="preserve">ص 111.</w:t>
      </w:r>
    </w:p>
    <w:p>
      <w:pPr>
        <w:pStyle w:val="Heading2"/>
      </w:pPr>
      <w:bookmarkStart w:id="3423" w:name="_Toc2525"/>
      <w:r>
        <w:t>حائري اصفهاني، محّمد حسين بن عبد</w:t>
      </w:r>
      <w:bookmarkEnd w:id="3423"/>
    </w:p>
    <w:p>
      <w:pPr>
        <w:pStyle w:val="BookText"/>
      </w:pPr>
      <w:r>
        <w:rPr>
          <w:rFonts w:ascii="Amiri" w:hAnsi="Amiri" w:eastAsia="Amiri" w:cs="Amiri"/>
          <w:lang w:bidi="ar-SA"/>
          <w:color w:val="111111"/>
          <w:sz w:val="28"/>
          <w:szCs w:val="28"/>
          <w:rtl/>
        </w:rPr>
        <w:t xml:space="preserve">الرحيم، - 1254 ه-</w:t>
      </w:r>
    </w:p>
    <w:p>
      <w:pPr>
        <w:pStyle w:val="BookText"/>
      </w:pPr>
      <w:r>
        <w:rPr>
          <w:rFonts w:ascii="Amiri" w:hAnsi="Amiri" w:eastAsia="Amiri" w:cs="Amiri"/>
          <w:lang w:bidi="ar-SA"/>
          <w:color w:val="111111"/>
          <w:sz w:val="28"/>
          <w:szCs w:val="28"/>
          <w:rtl/>
        </w:rPr>
        <w:t xml:space="preserve">1 .رساله عمليه، ج8، ص227</w:t>
      </w:r>
    </w:p>
    <w:p>
      <w:pPr>
        <w:pStyle w:val="BookText"/>
      </w:pPr>
      <w:r>
        <w:rPr>
          <w:rFonts w:ascii="Amiri" w:hAnsi="Amiri" w:eastAsia="Amiri" w:cs="Amiri"/>
          <w:lang w:bidi="ar-SA"/>
          <w:color w:val="111111"/>
          <w:sz w:val="28"/>
          <w:szCs w:val="28"/>
          <w:rtl/>
        </w:rPr>
        <w:t xml:space="preserve">2 .الفصول الغروية في الاصول الفقهية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الفصول، ج 11، ص 851.</w:t>
      </w:r>
    </w:p>
    <w:p>
      <w:pPr>
        <w:pStyle w:val="BookText"/>
      </w:pPr>
      <w:r>
        <w:rPr>
          <w:rFonts w:ascii="Amiri" w:hAnsi="Amiri" w:eastAsia="Amiri" w:cs="Amiri"/>
          <w:lang w:bidi="ar-SA"/>
          <w:color w:val="111111"/>
          <w:sz w:val="28"/>
          <w:szCs w:val="28"/>
          <w:rtl/>
        </w:rPr>
        <w:t xml:space="preserve">حائري بهبهاني ، احمد بن محمّد علي- بهبهاني ، احمد بن محمّد علي</w:t>
      </w:r>
    </w:p>
    <w:p>
      <w:pPr>
        <w:pStyle w:val="Heading2"/>
      </w:pPr>
      <w:bookmarkStart w:id="3424" w:name="_Toc2526"/>
      <w:r>
        <w:t>حائري ، جابر بن عبد النبي</w:t>
      </w:r>
      <w:bookmarkEnd w:id="3424"/>
    </w:p>
    <w:p>
      <w:pPr>
        <w:pStyle w:val="BookText"/>
      </w:pPr>
      <w:r>
        <w:rPr>
          <w:rFonts w:ascii="Amiri" w:hAnsi="Amiri" w:eastAsia="Amiri" w:cs="Amiri"/>
          <w:lang w:bidi="ar-SA"/>
          <w:color w:val="111111"/>
          <w:sz w:val="28"/>
          <w:szCs w:val="28"/>
          <w:rtl/>
        </w:rPr>
        <w:t xml:space="preserve">جواب مسألة، ج 5، ص 510</w:t>
      </w:r>
    </w:p>
    <w:p>
      <w:pPr>
        <w:pStyle w:val="BookText"/>
      </w:pPr>
      <w:r>
        <w:rPr>
          <w:rFonts w:ascii="Amiri" w:hAnsi="Amiri" w:eastAsia="Amiri" w:cs="Amiri"/>
          <w:lang w:bidi="ar-SA"/>
          <w:color w:val="111111"/>
          <w:sz w:val="28"/>
          <w:szCs w:val="28"/>
          <w:rtl/>
        </w:rPr>
        <w:t xml:space="preserve">حائري، جعيفر -حافي ، جعيفر</w:t>
      </w:r>
    </w:p>
    <w:p>
      <w:pPr>
        <w:pStyle w:val="Heading2"/>
      </w:pPr>
      <w:bookmarkStart w:id="3425" w:name="_Toc2527"/>
      <w:r>
        <w:t>حائري، حسن بن علي</w:t>
      </w:r>
      <w:bookmarkEnd w:id="3425"/>
    </w:p>
    <w:p>
      <w:pPr>
        <w:pStyle w:val="BookText"/>
      </w:pPr>
      <w:r>
        <w:rPr>
          <w:rFonts w:ascii="Amiri" w:hAnsi="Amiri" w:eastAsia="Amiri" w:cs="Amiri"/>
          <w:lang w:bidi="ar-SA"/>
          <w:color w:val="111111"/>
          <w:sz w:val="28"/>
          <w:szCs w:val="28"/>
          <w:rtl/>
        </w:rPr>
        <w:t xml:space="preserve">لمعات انوار الهداية و الرشاد، ج 13،</w:t>
      </w:r>
    </w:p>
    <w:p>
      <w:pPr>
        <w:pStyle w:val="BookText"/>
      </w:pPr>
      <w:r>
        <w:rPr>
          <w:rFonts w:ascii="IRNazanin" w:hAnsi="IRNazanin" w:eastAsia="IRNazanin" w:cs="IRNazanin"/>
          <w:lang w:bidi="fa-IR"/>
          <w:color w:val="111111"/>
          <w:sz w:val="28"/>
          <w:szCs w:val="28"/>
          <w:rtl/>
        </w:rPr>
        <w:t xml:space="preserve">ص 614.</w:t>
      </w:r>
    </w:p>
    <w:p>
      <w:pPr>
        <w:pStyle w:val="BookText"/>
      </w:pPr>
      <w:r>
        <w:rPr>
          <w:rFonts w:ascii="Amiri" w:hAnsi="Amiri" w:eastAsia="Amiri" w:cs="Amiri"/>
          <w:lang w:bidi="ar-SA"/>
          <w:color w:val="111111"/>
          <w:sz w:val="28"/>
          <w:szCs w:val="28"/>
          <w:rtl/>
        </w:rPr>
        <w:t xml:space="preserve">حائري، حسن بن محمّد علي -يزدي ،</w:t>
      </w:r>
    </w:p>
    <w:p>
      <w:pPr>
        <w:pStyle w:val="BookText"/>
      </w:pPr>
      <w:r>
        <w:rPr>
          <w:rFonts w:ascii="Amiri" w:hAnsi="Amiri" w:eastAsia="Amiri" w:cs="Amiri"/>
          <w:lang w:bidi="ar-SA"/>
          <w:color w:val="111111"/>
          <w:sz w:val="28"/>
          <w:szCs w:val="28"/>
          <w:rtl/>
        </w:rPr>
        <w:t xml:space="preserve">حسن بن محمّد علي</w:t>
      </w:r>
    </w:p>
    <w:p>
      <w:pPr>
        <w:pStyle w:val="BookText"/>
      </w:pPr>
      <w:r>
        <w:rPr>
          <w:rFonts w:ascii="Amiri" w:hAnsi="Amiri" w:eastAsia="Amiri" w:cs="Amiri"/>
          <w:lang w:bidi="ar-SA"/>
          <w:color w:val="111111"/>
          <w:sz w:val="28"/>
          <w:szCs w:val="28"/>
          <w:rtl/>
        </w:rPr>
        <w:t xml:space="preserve">حائري ، حسين بن مير رشيد -رضوي نجفي</w:t>
      </w:r>
    </w:p>
    <w:p>
      <w:pPr>
        <w:pStyle w:val="BookText"/>
      </w:pPr>
      <w:r>
        <w:rPr>
          <w:rFonts w:ascii="IRNazanin" w:hAnsi="IRNazanin" w:eastAsia="IRNazanin" w:cs="IRNazanin"/>
          <w:lang w:bidi="fa-IR"/>
          <w:color w:val="111111"/>
          <w:sz w:val="28"/>
          <w:szCs w:val="28"/>
          <w:rtl/>
        </w:rPr>
        <w:t xml:space="preserve">، حسین بن میررشید</w:t>
      </w:r>
    </w:p>
    <w:p>
      <w:pPr>
        <w:pStyle w:val="BookText"/>
      </w:pPr>
      <w:r>
        <w:rPr>
          <w:rFonts w:ascii="Amiri" w:hAnsi="Amiri" w:eastAsia="Amiri" w:cs="Amiri"/>
          <w:lang w:bidi="ar-SA"/>
          <w:color w:val="111111"/>
          <w:sz w:val="28"/>
          <w:szCs w:val="28"/>
          <w:rtl/>
        </w:rPr>
        <w:t xml:space="preserve">حائري حسيني ، محمّد بن ابي طالب -حسيني موسوي ، محمّد بن ابي طالب</w:t>
      </w:r>
    </w:p>
    <w:p>
      <w:pPr>
        <w:pStyle w:val="BookText"/>
      </w:pPr>
      <w:r>
        <w:rPr>
          <w:rFonts w:ascii="Amiri" w:hAnsi="Amiri" w:eastAsia="Amiri" w:cs="Amiri"/>
          <w:lang w:bidi="ar-SA"/>
          <w:color w:val="111111"/>
          <w:sz w:val="28"/>
          <w:szCs w:val="28"/>
          <w:rtl/>
        </w:rPr>
        <w:t xml:space="preserve">حائري خوئيني، ابراهيم بن محمّد- قزويني ، ابراهيم بن محمّد باقر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7" w:name="pg7742_70082"/>
    <w:bookmarkEnd w:id="347"/>
    <w:p>
      <w:pPr>
        <w:pStyle w:val="BookText"/>
      </w:pPr>
      <w:r>
        <w:rPr>
          <w:rFonts w:ascii="Amiri" w:hAnsi="Amiri" w:eastAsia="Amiri" w:cs="Amiri"/>
          <w:lang w:bidi="ar-SA"/>
          <w:color w:val="111111"/>
          <w:sz w:val="28"/>
          <w:szCs w:val="28"/>
          <w:rtl/>
        </w:rPr>
        <w:t xml:space="preserve">حائري خوئيني قزويني، ابراهيم بن محمّد -قزويني ، ابراهيم بن محمّد باقر</w:t>
      </w:r>
    </w:p>
    <w:p>
      <w:pPr>
        <w:pStyle w:val="BookText"/>
      </w:pPr>
      <w:r>
        <w:rPr>
          <w:rFonts w:ascii="Amiri" w:hAnsi="Amiri" w:eastAsia="Amiri" w:cs="Amiri"/>
          <w:lang w:bidi="ar-SA"/>
          <w:color w:val="111111"/>
          <w:sz w:val="28"/>
          <w:szCs w:val="28"/>
          <w:rtl/>
        </w:rPr>
        <w:t xml:space="preserve">حائري ، درويش علي بن حسين- بغدادي</w:t>
      </w:r>
    </w:p>
    <w:p>
      <w:pPr>
        <w:pStyle w:val="BookText"/>
      </w:pPr>
      <w:r>
        <w:rPr>
          <w:rFonts w:ascii="Amiri" w:hAnsi="Amiri" w:eastAsia="Amiri" w:cs="Amiri"/>
          <w:lang w:bidi="ar-SA"/>
          <w:color w:val="111111"/>
          <w:sz w:val="28"/>
          <w:szCs w:val="28"/>
          <w:rtl/>
        </w:rPr>
        <w:t xml:space="preserve">درويش علي بن حسين</w:t>
      </w:r>
    </w:p>
    <w:p>
      <w:pPr>
        <w:pStyle w:val="BookText"/>
      </w:pPr>
      <w:r>
        <w:rPr>
          <w:rFonts w:ascii="Amiri" w:hAnsi="Amiri" w:eastAsia="Amiri" w:cs="Amiri"/>
          <w:lang w:bidi="ar-SA"/>
          <w:color w:val="111111"/>
          <w:sz w:val="28"/>
          <w:szCs w:val="28"/>
          <w:rtl/>
        </w:rPr>
        <w:t xml:space="preserve">حائري، زين العابدين بن مسلم -حائري</w:t>
      </w:r>
    </w:p>
    <w:p>
      <w:pPr>
        <w:pStyle w:val="BookText"/>
      </w:pPr>
      <w:r>
        <w:rPr>
          <w:rFonts w:ascii="Amiri" w:hAnsi="Amiri" w:eastAsia="Amiri" w:cs="Amiri"/>
          <w:lang w:bidi="ar-SA"/>
          <w:color w:val="111111"/>
          <w:sz w:val="28"/>
          <w:szCs w:val="28"/>
          <w:rtl/>
        </w:rPr>
        <w:t xml:space="preserve">مازندراني، زين العابدين بن مسلم</w:t>
      </w:r>
    </w:p>
    <w:p>
      <w:pPr>
        <w:pStyle w:val="Heading2"/>
      </w:pPr>
      <w:bookmarkStart w:id="3426" w:name="_Toc2528"/>
      <w:r>
        <w:t>حائري سنقري، محمّد علي بن حسن</w:t>
      </w:r>
      <w:bookmarkEnd w:id="3426"/>
    </w:p>
    <w:p>
      <w:pPr>
        <w:pStyle w:val="BookText"/>
      </w:pPr>
      <w:r>
        <w:rPr>
          <w:rFonts w:ascii="Amiri" w:hAnsi="Amiri" w:eastAsia="Amiri" w:cs="Amiri"/>
          <w:lang w:bidi="ar-SA"/>
          <w:color w:val="111111"/>
          <w:sz w:val="28"/>
          <w:szCs w:val="28"/>
          <w:rtl/>
        </w:rPr>
        <w:t xml:space="preserve">علي، - 1378</w:t>
      </w:r>
    </w:p>
    <w:p>
      <w:pPr>
        <w:pStyle w:val="BookText"/>
      </w:pPr>
      <w:r>
        <w:rPr>
          <w:rFonts w:ascii="Amiri" w:hAnsi="Amiri" w:eastAsia="Amiri" w:cs="Amiri"/>
          <w:lang w:bidi="ar-SA"/>
          <w:color w:val="111111"/>
          <w:sz w:val="28"/>
          <w:szCs w:val="28"/>
          <w:rtl/>
        </w:rPr>
        <w:t xml:space="preserve">1 .اخبار غيبة الامام الثاني عشر، ج1،</w:t>
      </w:r>
    </w:p>
    <w:p>
      <w:pPr>
        <w:pStyle w:val="BookText"/>
      </w:pPr>
      <w:r>
        <w:rPr>
          <w:rFonts w:ascii="IRNazanin" w:hAnsi="IRNazanin" w:eastAsia="IRNazanin" w:cs="IRNazanin"/>
          <w:lang w:bidi="fa-IR"/>
          <w:color w:val="111111"/>
          <w:sz w:val="28"/>
          <w:szCs w:val="28"/>
          <w:rtl/>
        </w:rPr>
        <w:t xml:space="preserve">ص 532.</w:t>
      </w:r>
    </w:p>
    <w:p>
      <w:pPr>
        <w:pStyle w:val="BookText"/>
      </w:pPr>
      <w:r>
        <w:rPr>
          <w:rFonts w:ascii="Amiri" w:hAnsi="Amiri" w:eastAsia="Amiri" w:cs="Amiri"/>
          <w:lang w:bidi="ar-SA"/>
          <w:color w:val="111111"/>
          <w:sz w:val="28"/>
          <w:szCs w:val="28"/>
          <w:rtl/>
        </w:rPr>
        <w:t xml:space="preserve">2 .كشف الحجة في احوالات الحجة</w:t>
      </w:r>
    </w:p>
    <w:p>
      <w:pPr>
        <w:pStyle w:val="BookText"/>
      </w:pPr>
      <w:r>
        <w:rPr>
          <w:rFonts w:ascii="IRNazanin" w:hAnsi="IRNazanin" w:eastAsia="IRNazanin" w:cs="IRNazanin"/>
          <w:lang w:bidi="fa-IR"/>
          <w:color w:val="111111"/>
          <w:sz w:val="28"/>
          <w:szCs w:val="28"/>
          <w:rtl/>
        </w:rPr>
        <w:t xml:space="preserve">ج 13، ص 202.</w:t>
      </w:r>
    </w:p>
    <w:p>
      <w:pPr>
        <w:pStyle w:val="BookText"/>
      </w:pPr>
      <w:r>
        <w:rPr>
          <w:rFonts w:ascii="IRNazanin" w:hAnsi="IRNazanin" w:eastAsia="IRNazanin" w:cs="IRNazanin"/>
          <w:lang w:bidi="fa-IR"/>
          <w:color w:val="111111"/>
          <w:sz w:val="28"/>
          <w:szCs w:val="28"/>
          <w:rtl/>
        </w:rPr>
        <w:t xml:space="preserve">حائري ، سيّد ولي بن سیّد نعمت الله -حسيني رضوي ، ولي الله بن نعمت الله</w:t>
      </w:r>
    </w:p>
    <w:p>
      <w:pPr>
        <w:pStyle w:val="BookText"/>
      </w:pPr>
      <w:r>
        <w:rPr>
          <w:rFonts w:ascii="Amiri" w:hAnsi="Amiri" w:eastAsia="Amiri" w:cs="Amiri"/>
          <w:lang w:bidi="ar-SA"/>
          <w:color w:val="111111"/>
          <w:sz w:val="28"/>
          <w:szCs w:val="28"/>
          <w:rtl/>
        </w:rPr>
        <w:t xml:space="preserve">حائري ، سيف الدين علي- شريفي</w:t>
      </w:r>
    </w:p>
    <w:p>
      <w:pPr>
        <w:pStyle w:val="BookText"/>
      </w:pPr>
      <w:r>
        <w:rPr>
          <w:rFonts w:ascii="Amiri" w:hAnsi="Amiri" w:eastAsia="Amiri" w:cs="Amiri"/>
          <w:lang w:bidi="ar-SA"/>
          <w:color w:val="111111"/>
          <w:sz w:val="28"/>
          <w:szCs w:val="28"/>
          <w:rtl/>
        </w:rPr>
        <w:t xml:space="preserve">حائري ، علي</w:t>
      </w:r>
    </w:p>
    <w:p>
      <w:pPr>
        <w:pStyle w:val="BookText"/>
      </w:pPr>
      <w:r>
        <w:rPr>
          <w:rFonts w:ascii="Amiri" w:hAnsi="Amiri" w:eastAsia="Amiri" w:cs="Amiri"/>
          <w:lang w:bidi="ar-SA"/>
          <w:color w:val="111111"/>
          <w:sz w:val="28"/>
          <w:szCs w:val="28"/>
          <w:rtl/>
        </w:rPr>
        <w:t xml:space="preserve">حائري شهرستاني ، محمّد علي- شهرستاني ،</w:t>
      </w:r>
    </w:p>
    <w:p>
      <w:pPr>
        <w:pStyle w:val="BookText"/>
      </w:pPr>
      <w:r>
        <w:rPr>
          <w:rFonts w:ascii="Amiri" w:hAnsi="Amiri" w:eastAsia="Amiri" w:cs="Amiri"/>
          <w:lang w:bidi="ar-SA"/>
          <w:color w:val="111111"/>
          <w:sz w:val="28"/>
          <w:szCs w:val="28"/>
          <w:rtl/>
        </w:rPr>
        <w:t xml:space="preserve">هبة الدين</w:t>
      </w:r>
    </w:p>
    <w:p>
      <w:pPr>
        <w:pStyle w:val="BookText"/>
      </w:pPr>
      <w:r>
        <w:rPr>
          <w:rFonts w:ascii="Amiri" w:hAnsi="Amiri" w:eastAsia="Amiri" w:cs="Amiri"/>
          <w:lang w:bidi="ar-SA"/>
          <w:color w:val="111111"/>
          <w:sz w:val="28"/>
          <w:szCs w:val="28"/>
          <w:rtl/>
        </w:rPr>
        <w:t xml:space="preserve">حائري طالقاني ، محمّد حسين بن عباس -قزويني حائري ، محمّد حسين بن عباسعلي</w:t>
      </w:r>
    </w:p>
    <w:p>
      <w:pPr>
        <w:pStyle w:val="Heading2"/>
      </w:pPr>
      <w:bookmarkStart w:id="3427" w:name="_Toc2529"/>
      <w:r>
        <w:t>حائري طهراني ، علي 1270 - 1352 ه-</w:t>
      </w:r>
      <w:bookmarkEnd w:id="3427"/>
    </w:p>
    <w:p>
      <w:pPr>
        <w:pStyle w:val="BookText"/>
      </w:pPr>
      <w:r>
        <w:rPr>
          <w:rFonts w:ascii="Amiri" w:hAnsi="Amiri" w:eastAsia="Amiri" w:cs="Amiri"/>
          <w:lang w:bidi="ar-SA"/>
          <w:color w:val="111111"/>
          <w:sz w:val="28"/>
          <w:szCs w:val="28"/>
          <w:rtl/>
        </w:rPr>
        <w:t xml:space="preserve">مقتنيات الدرر، ج 15 ، ص 343.</w:t>
      </w:r>
    </w:p>
    <w:p>
      <w:pPr>
        <w:pStyle w:val="BookText"/>
      </w:pPr>
      <w:r>
        <w:rPr>
          <w:rFonts w:ascii="Amiri" w:hAnsi="Amiri" w:eastAsia="Amiri" w:cs="Amiri"/>
          <w:lang w:bidi="ar-SA"/>
          <w:color w:val="111111"/>
          <w:sz w:val="28"/>
          <w:szCs w:val="28"/>
          <w:rtl/>
        </w:rPr>
        <w:t xml:space="preserve">حائري طهراني ، محمّد- مدرس حائري ،</w:t>
      </w:r>
    </w:p>
    <w:p>
      <w:pPr>
        <w:pStyle w:val="BookText"/>
      </w:pPr>
      <w:r>
        <w:rPr>
          <w:rFonts w:ascii="Amiri" w:hAnsi="Amiri" w:eastAsia="Amiri" w:cs="Amiri"/>
          <w:lang w:bidi="ar-SA"/>
          <w:color w:val="111111"/>
          <w:sz w:val="28"/>
          <w:szCs w:val="28"/>
          <w:rtl/>
        </w:rPr>
        <w:t xml:space="preserve">محمّد</w:t>
      </w:r>
    </w:p>
    <w:p>
      <w:pPr>
        <w:pStyle w:val="Heading2"/>
      </w:pPr>
      <w:bookmarkStart w:id="3428" w:name="_Toc2530"/>
      <w:r>
        <w:t>حائري، عبد الرحيم بن عبد الحسين -</w:t>
      </w:r>
      <w:bookmarkEnd w:id="3428"/>
    </w:p>
    <w:p>
      <w:pPr>
        <w:pStyle w:val="BookText"/>
      </w:pPr>
      <w:r>
        <w:rPr>
          <w:rFonts w:ascii="IRNazanin" w:hAnsi="IRNazanin" w:eastAsia="IRNazanin" w:cs="IRNazanin"/>
          <w:lang w:bidi="fa-IR"/>
          <w:color w:val="111111"/>
          <w:sz w:val="28"/>
          <w:szCs w:val="28"/>
          <w:rtl/>
        </w:rPr>
        <w:t xml:space="preserve">1343ه-</w:t>
      </w:r>
    </w:p>
    <w:p>
      <w:pPr>
        <w:pStyle w:val="BookText"/>
      </w:pPr>
      <w:r>
        <w:rPr>
          <w:rFonts w:ascii="IRNazanin" w:hAnsi="IRNazanin" w:eastAsia="IRNazanin" w:cs="IRNazanin"/>
          <w:lang w:bidi="fa-IR"/>
          <w:color w:val="111111"/>
          <w:sz w:val="28"/>
          <w:szCs w:val="28"/>
          <w:rtl/>
        </w:rPr>
        <w:t xml:space="preserve">موجز المقال، ج 16، ص 10.</w:t>
      </w:r>
    </w:p>
    <w:p>
      <w:pPr>
        <w:pStyle w:val="Heading2"/>
      </w:pPr>
      <w:bookmarkStart w:id="3429" w:name="_Toc2531"/>
      <w:r>
        <w:t>حائري ، عبدالسميع</w:t>
      </w:r>
      <w:bookmarkEnd w:id="3429"/>
    </w:p>
    <w:p>
      <w:pPr>
        <w:pStyle w:val="BookText"/>
      </w:pPr>
      <w:r>
        <w:rPr>
          <w:rFonts w:ascii="Amiri" w:hAnsi="Amiri" w:eastAsia="Amiri" w:cs="Amiri"/>
          <w:lang w:bidi="ar-SA"/>
          <w:color w:val="111111"/>
          <w:sz w:val="28"/>
          <w:szCs w:val="28"/>
          <w:rtl/>
        </w:rPr>
        <w:t xml:space="preserve">النحو (منظومة في)، ج 16 ، ص 174 .</w:t>
      </w:r>
    </w:p>
    <w:p>
      <w:pPr>
        <w:pStyle w:val="Heading2"/>
      </w:pPr>
      <w:bookmarkStart w:id="3430" w:name="_Toc2532"/>
      <w:r>
        <w:t>حائري، علي بن محمّد، 1352 - 1420 ه-</w:t>
      </w:r>
      <w:bookmarkEnd w:id="3430"/>
    </w:p>
    <w:p>
      <w:pPr>
        <w:pStyle w:val="BookText"/>
      </w:pPr>
      <w:r>
        <w:rPr>
          <w:rFonts w:ascii="Amiri" w:hAnsi="Amiri" w:eastAsia="Amiri" w:cs="Amiri"/>
          <w:lang w:bidi="ar-SA"/>
          <w:color w:val="111111"/>
          <w:sz w:val="28"/>
          <w:szCs w:val="28"/>
          <w:rtl/>
        </w:rPr>
        <w:t xml:space="preserve">الركب الضائع، ج8، ص 353.</w:t>
      </w:r>
    </w:p>
    <w:p>
      <w:pPr>
        <w:pStyle w:val="Heading2"/>
      </w:pPr>
      <w:bookmarkStart w:id="3431" w:name="_Toc2533"/>
      <w:r>
        <w:t>حائري، علي بن محمّد بن اسماعیل قرن</w:t>
      </w:r>
      <w:bookmarkEnd w:id="3431"/>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مفتاح النجاح في تلخيص الاصلاح</w:t>
      </w:r>
    </w:p>
    <w:p>
      <w:pPr>
        <w:pStyle w:val="BookText"/>
      </w:pPr>
      <w:r>
        <w:rPr>
          <w:rFonts w:ascii="IRNazanin" w:hAnsi="IRNazanin" w:eastAsia="IRNazanin" w:cs="IRNazanin"/>
          <w:lang w:bidi="fa-IR"/>
          <w:color w:val="111111"/>
          <w:sz w:val="28"/>
          <w:szCs w:val="28"/>
          <w:rtl/>
        </w:rPr>
        <w:t xml:space="preserve">ج 15، ص 233.</w:t>
      </w:r>
    </w:p>
    <w:p>
      <w:pPr>
        <w:pStyle w:val="BookText"/>
      </w:pPr>
      <w:r>
        <w:rPr>
          <w:rFonts w:ascii="Amiri" w:hAnsi="Amiri" w:eastAsia="Amiri" w:cs="Amiri"/>
          <w:lang w:bidi="ar-SA"/>
          <w:color w:val="111111"/>
          <w:sz w:val="28"/>
          <w:szCs w:val="28"/>
          <w:rtl/>
        </w:rPr>
        <w:t xml:space="preserve">حائري ، علي بن محمّد علي- طباطبائي</w:t>
      </w:r>
    </w:p>
    <w:p>
      <w:pPr>
        <w:pStyle w:val="BookText"/>
      </w:pPr>
      <w:r>
        <w:rPr>
          <w:rFonts w:ascii="Amiri" w:hAnsi="Amiri" w:eastAsia="Amiri" w:cs="Amiri"/>
          <w:lang w:bidi="ar-SA"/>
          <w:color w:val="111111"/>
          <w:sz w:val="28"/>
          <w:szCs w:val="28"/>
          <w:rtl/>
        </w:rPr>
        <w:t xml:space="preserve">كربلائي ، علي بن محمّد</w:t>
      </w:r>
    </w:p>
    <w:p>
      <w:pPr>
        <w:pStyle w:val="BookText"/>
      </w:pPr>
      <w:r>
        <w:rPr>
          <w:rFonts w:ascii="Amiri" w:hAnsi="Amiri" w:eastAsia="Amiri" w:cs="Amiri"/>
          <w:lang w:bidi="ar-SA"/>
          <w:color w:val="111111"/>
          <w:sz w:val="28"/>
          <w:szCs w:val="28"/>
          <w:rtl/>
        </w:rPr>
        <w:t xml:space="preserve">علي</w:t>
      </w:r>
    </w:p>
    <w:p>
      <w:pPr>
        <w:pStyle w:val="Heading2"/>
      </w:pPr>
      <w:bookmarkStart w:id="3432" w:name="_Toc2534"/>
      <w:r>
        <w:t>حائري، علي نقي بن حسن - 1289 ه-</w:t>
      </w:r>
      <w:bookmarkEnd w:id="34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الدرة الحائرية، ج 7، ص 235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رسائل، ج8، ص 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رسائل فقهية، ج8، ص 146.</w:t>
      </w:r>
    </w:p>
    <w:p>
      <w:pPr>
        <w:pStyle w:val="BookText"/>
      </w:pPr>
      <w:r>
        <w:rPr>
          <w:rFonts w:ascii="Amiri" w:hAnsi="Amiri" w:eastAsia="Amiri" w:cs="Amiri"/>
          <w:lang w:bidi="ar-SA"/>
          <w:color w:val="111111"/>
          <w:sz w:val="28"/>
          <w:szCs w:val="28"/>
          <w:rtl/>
        </w:rPr>
        <w:t xml:space="preserve">4 .رسالة عملية، ج8، ص229.</w:t>
      </w:r>
    </w:p>
    <w:p>
      <w:pPr>
        <w:pStyle w:val="BookText"/>
      </w:pPr>
      <w:r>
        <w:rPr>
          <w:rFonts w:ascii="Amiri" w:hAnsi="Amiri" w:eastAsia="Amiri" w:cs="Amiri"/>
          <w:lang w:bidi="ar-SA"/>
          <w:color w:val="111111"/>
          <w:sz w:val="28"/>
          <w:szCs w:val="28"/>
          <w:rtl/>
        </w:rPr>
        <w:t xml:space="preserve">5 .مزيح الاحتياج في منسك الحجاج</w:t>
      </w:r>
    </w:p>
    <w:p>
      <w:pPr>
        <w:pStyle w:val="BookText"/>
      </w:pPr>
      <w:r>
        <w:rPr>
          <w:rFonts w:ascii="IRNazanin" w:hAnsi="IRNazanin" w:eastAsia="IRNazanin" w:cs="IRNazanin"/>
          <w:lang w:bidi="fa-IR"/>
          <w:color w:val="111111"/>
          <w:sz w:val="28"/>
          <w:szCs w:val="28"/>
          <w:rtl/>
        </w:rPr>
        <w:t xml:space="preserve">ج 14، ص 426.</w:t>
      </w:r>
    </w:p>
    <w:p>
      <w:pPr>
        <w:pStyle w:val="BookText"/>
      </w:pPr>
      <w:r>
        <w:rPr>
          <w:rFonts w:ascii="Amiri" w:hAnsi="Amiri" w:eastAsia="Amiri" w:cs="Amiri"/>
          <w:lang w:bidi="ar-SA"/>
          <w:color w:val="111111"/>
          <w:sz w:val="28"/>
          <w:szCs w:val="28"/>
          <w:rtl/>
        </w:rPr>
        <w:t xml:space="preserve">6 .مسائل دينية( رسالة في)، ج 14،</w:t>
      </w:r>
    </w:p>
    <w:p>
      <w:pPr>
        <w:pStyle w:val="BookText"/>
      </w:pPr>
      <w:r>
        <w:rPr>
          <w:rFonts w:ascii="IRNazanin" w:hAnsi="IRNazanin" w:eastAsia="IRNazanin" w:cs="IRNazanin"/>
          <w:lang w:bidi="fa-IR"/>
          <w:color w:val="111111"/>
          <w:sz w:val="28"/>
          <w:szCs w:val="28"/>
          <w:rtl/>
        </w:rPr>
        <w:t xml:space="preserve">ص 451.</w:t>
      </w:r>
    </w:p>
    <w:p>
      <w:pPr>
        <w:pStyle w:val="BookText"/>
      </w:pPr>
      <w:r>
        <w:rPr>
          <w:rFonts w:ascii="IRNazanin" w:hAnsi="IRNazanin" w:eastAsia="IRNazanin" w:cs="IRNazanin"/>
          <w:lang w:bidi="fa-IR"/>
          <w:color w:val="111111"/>
          <w:sz w:val="28"/>
          <w:szCs w:val="28"/>
          <w:rtl/>
        </w:rPr>
        <w:t xml:space="preserve">حائري قزويني، ابراهيم بن محمّد باقر- قزويني ، ابراهیم بن محمّد باقر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8" w:name="pg7742_70084"/>
    <w:bookmarkEnd w:id="348"/>
    <w:p>
      <w:pPr>
        <w:pStyle w:val="BookText"/>
      </w:pPr>
      <w:r>
        <w:rPr>
          <w:rFonts w:ascii="Amiri" w:hAnsi="Amiri" w:eastAsia="Amiri" w:cs="Amiri"/>
          <w:lang w:bidi="ar-SA"/>
          <w:color w:val="111111"/>
          <w:sz w:val="28"/>
          <w:szCs w:val="28"/>
          <w:rtl/>
        </w:rPr>
        <w:t xml:space="preserve">حائري قزويني شيرازي ، محمّد</w:t>
      </w:r>
    </w:p>
    <w:p>
      <w:pPr>
        <w:pStyle w:val="BookText"/>
      </w:pPr>
      <w:r>
        <w:rPr>
          <w:rFonts w:ascii="Amiri" w:hAnsi="Amiri" w:eastAsia="Amiri" w:cs="Amiri"/>
          <w:lang w:bidi="ar-SA"/>
          <w:color w:val="111111"/>
          <w:sz w:val="28"/>
          <w:szCs w:val="28"/>
          <w:rtl/>
        </w:rPr>
        <w:t xml:space="preserve">حسن- قزويني ، محمّد حسن بن محمّد</w:t>
      </w:r>
    </w:p>
    <w:p>
      <w:pPr>
        <w:pStyle w:val="BookText"/>
      </w:pPr>
      <w:r>
        <w:rPr>
          <w:rFonts w:ascii="IRNazanin" w:hAnsi="IRNazanin" w:eastAsia="IRNazanin" w:cs="IRNazanin"/>
          <w:lang w:bidi="fa-IR"/>
          <w:color w:val="111111"/>
          <w:sz w:val="28"/>
          <w:szCs w:val="28"/>
          <w:rtl/>
        </w:rPr>
        <w:t xml:space="preserve">معصوم</w:t>
      </w:r>
    </w:p>
    <w:p>
      <w:pPr>
        <w:pStyle w:val="BookText"/>
      </w:pPr>
      <w:r>
        <w:rPr>
          <w:rFonts w:ascii="Amiri" w:hAnsi="Amiri" w:eastAsia="Amiri" w:cs="Amiri"/>
          <w:lang w:bidi="ar-SA"/>
          <w:color w:val="111111"/>
          <w:sz w:val="28"/>
          <w:szCs w:val="28"/>
          <w:rtl/>
        </w:rPr>
        <w:t xml:space="preserve">حائري قزويني ، محمّد ابراهيم بن علي -قزويني حائري ، محمّد ابراهيم بن علي</w:t>
      </w:r>
    </w:p>
    <w:p>
      <w:pPr>
        <w:pStyle w:val="Heading2"/>
      </w:pPr>
      <w:bookmarkStart w:id="3433" w:name="_Toc2535"/>
      <w:r>
        <w:t>حائري، كاظم بن صادق - 1333 ه-</w:t>
      </w:r>
      <w:bookmarkEnd w:id="3433"/>
    </w:p>
    <w:p>
      <w:pPr>
        <w:pStyle w:val="BookText"/>
      </w:pPr>
      <w:r>
        <w:rPr>
          <w:rFonts w:ascii="Amiri" w:hAnsi="Amiri" w:eastAsia="Amiri" w:cs="Amiri"/>
          <w:lang w:bidi="ar-SA"/>
          <w:color w:val="111111"/>
          <w:sz w:val="28"/>
          <w:szCs w:val="28"/>
          <w:rtl/>
        </w:rPr>
        <w:t xml:space="preserve">ديوان الشيخ كاظم الهر، ج 7، ص 677.</w:t>
      </w:r>
    </w:p>
    <w:p>
      <w:pPr>
        <w:pStyle w:val="Heading2"/>
      </w:pPr>
      <w:bookmarkStart w:id="3434" w:name="_Toc2536"/>
      <w:r>
        <w:t>حائري مازندراني ، زين العابدين بن</w:t>
      </w:r>
      <w:bookmarkEnd w:id="3434"/>
    </w:p>
    <w:p>
      <w:pPr>
        <w:pStyle w:val="BookText"/>
      </w:pPr>
      <w:r>
        <w:rPr>
          <w:rFonts w:ascii="IRNazanin" w:hAnsi="IRNazanin" w:eastAsia="IRNazanin" w:cs="IRNazanin"/>
          <w:lang w:bidi="fa-IR"/>
          <w:color w:val="111111"/>
          <w:sz w:val="28"/>
          <w:szCs w:val="28"/>
          <w:rtl/>
        </w:rPr>
        <w:t xml:space="preserve">،مسلم، 1227 - 1309 ه-</w:t>
      </w:r>
    </w:p>
    <w:p>
      <w:pPr>
        <w:pStyle w:val="BookText"/>
      </w:pPr>
      <w:r>
        <w:rPr>
          <w:rFonts w:ascii="Amiri" w:hAnsi="Amiri" w:eastAsia="Amiri" w:cs="Amiri"/>
          <w:lang w:bidi="ar-SA"/>
          <w:color w:val="111111"/>
          <w:sz w:val="28"/>
          <w:szCs w:val="28"/>
          <w:rtl/>
        </w:rPr>
        <w:t xml:space="preserve">1 .تقريرات الاصول، ج 4، ص 741 .</w:t>
      </w:r>
    </w:p>
    <w:p>
      <w:pPr>
        <w:pStyle w:val="BookText"/>
      </w:pPr>
      <w:r>
        <w:rPr>
          <w:rFonts w:ascii="Amiri" w:hAnsi="Amiri" w:eastAsia="Amiri" w:cs="Amiri"/>
          <w:lang w:bidi="ar-SA"/>
          <w:color w:val="111111"/>
          <w:sz w:val="28"/>
          <w:szCs w:val="28"/>
          <w:rtl/>
        </w:rPr>
        <w:t xml:space="preserve">2.تقريرات الفقه، ج 4، ص 763 .</w:t>
      </w:r>
    </w:p>
    <w:p>
      <w:pPr>
        <w:pStyle w:val="BookText"/>
      </w:pPr>
      <w:r>
        <w:rPr>
          <w:rFonts w:ascii="Amiri" w:hAnsi="Amiri" w:eastAsia="Amiri" w:cs="Amiri"/>
          <w:lang w:bidi="ar-SA"/>
          <w:color w:val="111111"/>
          <w:sz w:val="28"/>
          <w:szCs w:val="28"/>
          <w:rtl/>
        </w:rPr>
        <w:t xml:space="preserve">3 .زينة العباد، ج8، ص 662.</w:t>
      </w:r>
    </w:p>
    <w:p>
      <w:pPr>
        <w:pStyle w:val="BookText"/>
      </w:pPr>
      <w:r>
        <w:rPr>
          <w:rFonts w:ascii="Amiri" w:hAnsi="Amiri" w:eastAsia="Amiri" w:cs="Amiri"/>
          <w:lang w:bidi="ar-SA"/>
          <w:color w:val="111111"/>
          <w:sz w:val="28"/>
          <w:szCs w:val="28"/>
          <w:rtl/>
        </w:rPr>
        <w:t xml:space="preserve">4 .الوجيزة في أحكام الصلاة، ج 16،</w:t>
      </w:r>
    </w:p>
    <w:p>
      <w:pPr>
        <w:pStyle w:val="BookText"/>
      </w:pPr>
      <w:r>
        <w:rPr>
          <w:rFonts w:ascii="IRNazanin" w:hAnsi="IRNazanin" w:eastAsia="IRNazanin" w:cs="IRNazanin"/>
          <w:lang w:bidi="fa-IR"/>
          <w:color w:val="111111"/>
          <w:sz w:val="28"/>
          <w:szCs w:val="28"/>
          <w:rtl/>
        </w:rPr>
        <w:t xml:space="preserve">ص 741 .</w:t>
      </w:r>
    </w:p>
    <w:p>
      <w:pPr>
        <w:pStyle w:val="Heading2"/>
      </w:pPr>
      <w:bookmarkStart w:id="3435" w:name="_Toc2537"/>
      <w:r>
        <w:t>حائري مازندراني ، عبدالله قرن 13 ه-</w:t>
      </w:r>
      <w:bookmarkEnd w:id="3435"/>
    </w:p>
    <w:p>
      <w:pPr>
        <w:pStyle w:val="BookText"/>
      </w:pPr>
      <w:r>
        <w:rPr>
          <w:rFonts w:ascii="Amiri" w:hAnsi="Amiri" w:eastAsia="Amiri" w:cs="Amiri"/>
          <w:lang w:bidi="ar-SA"/>
          <w:color w:val="111111"/>
          <w:sz w:val="28"/>
          <w:szCs w:val="28"/>
          <w:rtl/>
        </w:rPr>
        <w:t xml:space="preserve">قاصم الكفار في عقائد الاخيار، ج 12،</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Amiri" w:hAnsi="Amiri" w:eastAsia="Amiri" w:cs="Amiri"/>
          <w:lang w:bidi="ar-SA"/>
          <w:color w:val="111111"/>
          <w:sz w:val="28"/>
          <w:szCs w:val="28"/>
          <w:rtl/>
        </w:rPr>
        <w:t xml:space="preserve">حائري مازندراني ، محمّد تقي بن محمّد</w:t>
      </w:r>
    </w:p>
    <w:p>
      <w:pPr>
        <w:pStyle w:val="BookText"/>
      </w:pPr>
      <w:r>
        <w:rPr>
          <w:rFonts w:ascii="Amiri" w:hAnsi="Amiri" w:eastAsia="Amiri" w:cs="Amiri"/>
          <w:lang w:bidi="ar-SA"/>
          <w:color w:val="111111"/>
          <w:sz w:val="28"/>
          <w:szCs w:val="28"/>
          <w:rtl/>
        </w:rPr>
        <w:t xml:space="preserve">حسن- مازندراني ، محمّد تقي بن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حائري، محمّد ابراهيم بن عبد الله - شيرازي ، محمّد ابراهيم بن عبدالله</w:t>
      </w:r>
    </w:p>
    <w:p>
      <w:pPr>
        <w:pStyle w:val="BookText"/>
      </w:pPr>
      <w:r>
        <w:rPr>
          <w:rFonts w:ascii="Amiri" w:hAnsi="Amiri" w:eastAsia="Amiri" w:cs="Amiri"/>
          <w:lang w:bidi="ar-SA"/>
          <w:color w:val="111111"/>
          <w:sz w:val="28"/>
          <w:szCs w:val="28"/>
          <w:rtl/>
        </w:rPr>
        <w:t xml:space="preserve">حائري ، محمّد ابراهيم بن علي- قزويني</w:t>
      </w:r>
    </w:p>
    <w:p>
      <w:pPr>
        <w:pStyle w:val="BookText"/>
      </w:pPr>
      <w:r>
        <w:rPr>
          <w:rFonts w:ascii="Amiri" w:hAnsi="Amiri" w:eastAsia="Amiri" w:cs="Amiri"/>
          <w:lang w:bidi="ar-SA"/>
          <w:color w:val="111111"/>
          <w:sz w:val="28"/>
          <w:szCs w:val="28"/>
          <w:rtl/>
        </w:rPr>
        <w:t xml:space="preserve">حائري ، محمّد ابراهيم بن علي</w:t>
      </w:r>
    </w:p>
    <w:p>
      <w:pPr>
        <w:pStyle w:val="BookText"/>
      </w:pPr>
      <w:r>
        <w:rPr>
          <w:rFonts w:ascii="Amiri" w:hAnsi="Amiri" w:eastAsia="Amiri" w:cs="Amiri"/>
          <w:lang w:bidi="ar-SA"/>
          <w:color w:val="111111"/>
          <w:sz w:val="28"/>
          <w:szCs w:val="28"/>
          <w:rtl/>
        </w:rPr>
        <w:t xml:space="preserve">حائري ، محمّد باقر -يزدي حائري ، محمّد باقر</w:t>
      </w:r>
    </w:p>
    <w:p>
      <w:pPr>
        <w:pStyle w:val="BookText"/>
      </w:pPr>
      <w:r>
        <w:rPr>
          <w:rFonts w:ascii="Amiri" w:hAnsi="Amiri" w:eastAsia="Amiri" w:cs="Amiri"/>
          <w:lang w:bidi="ar-SA"/>
          <w:color w:val="111111"/>
          <w:sz w:val="28"/>
          <w:szCs w:val="28"/>
          <w:rtl/>
        </w:rPr>
        <w:t xml:space="preserve">حائري ، محمّد باقر بن مرتضى- يزدي</w:t>
      </w:r>
    </w:p>
    <w:p>
      <w:pPr>
        <w:pStyle w:val="BookText"/>
      </w:pPr>
      <w:r>
        <w:rPr>
          <w:rFonts w:ascii="Amiri" w:hAnsi="Amiri" w:eastAsia="Amiri" w:cs="Amiri"/>
          <w:lang w:bidi="ar-SA"/>
          <w:color w:val="111111"/>
          <w:sz w:val="28"/>
          <w:szCs w:val="28"/>
          <w:rtl/>
        </w:rPr>
        <w:t xml:space="preserve">حائري ، محمّد باقر بن مرتضى</w:t>
      </w:r>
    </w:p>
    <w:p>
      <w:pPr>
        <w:pStyle w:val="BookText"/>
      </w:pPr>
      <w:r>
        <w:rPr>
          <w:rFonts w:ascii="Amiri" w:hAnsi="Amiri" w:eastAsia="Amiri" w:cs="Amiri"/>
          <w:lang w:bidi="ar-SA"/>
          <w:color w:val="111111"/>
          <w:sz w:val="28"/>
          <w:szCs w:val="28"/>
          <w:rtl/>
        </w:rPr>
        <w:t xml:space="preserve">حائري ، محمّد بن ابي طالب- مجدي</w:t>
      </w:r>
    </w:p>
    <w:p>
      <w:pPr>
        <w:pStyle w:val="BookText"/>
      </w:pPr>
      <w:r>
        <w:rPr>
          <w:rFonts w:ascii="Amiri" w:hAnsi="Amiri" w:eastAsia="Amiri" w:cs="Amiri"/>
          <w:lang w:bidi="ar-SA"/>
          <w:color w:val="111111"/>
          <w:sz w:val="28"/>
          <w:szCs w:val="28"/>
          <w:rtl/>
        </w:rPr>
        <w:t xml:space="preserve">محمّد بن ابي طالب</w:t>
      </w:r>
    </w:p>
    <w:p>
      <w:pPr>
        <w:pStyle w:val="BookText"/>
      </w:pPr>
      <w:r>
        <w:rPr>
          <w:rFonts w:ascii="Amiri" w:hAnsi="Amiri" w:eastAsia="Amiri" w:cs="Amiri"/>
          <w:lang w:bidi="ar-SA"/>
          <w:color w:val="111111"/>
          <w:sz w:val="28"/>
          <w:szCs w:val="28"/>
          <w:rtl/>
        </w:rPr>
        <w:t xml:space="preserve">حائري ، محمّد بن اسماعيل- مازندراني</w:t>
      </w:r>
    </w:p>
    <w:p>
      <w:pPr>
        <w:pStyle w:val="BookText"/>
      </w:pPr>
      <w:r>
        <w:rPr>
          <w:rFonts w:ascii="Amiri" w:hAnsi="Amiri" w:eastAsia="Amiri" w:cs="Amiri"/>
          <w:lang w:bidi="ar-SA"/>
          <w:color w:val="111111"/>
          <w:sz w:val="28"/>
          <w:szCs w:val="28"/>
          <w:rtl/>
        </w:rPr>
        <w:t xml:space="preserve">حائري ، محمّد بن اسماعيل</w:t>
      </w:r>
    </w:p>
    <w:p>
      <w:pPr>
        <w:pStyle w:val="BookText"/>
      </w:pPr>
      <w:r>
        <w:rPr>
          <w:rFonts w:ascii="Amiri" w:hAnsi="Amiri" w:eastAsia="Amiri" w:cs="Amiri"/>
          <w:lang w:bidi="ar-SA"/>
          <w:color w:val="111111"/>
          <w:sz w:val="28"/>
          <w:szCs w:val="28"/>
          <w:rtl/>
        </w:rPr>
        <w:t xml:space="preserve">حائري ، محمّد بن جعفر -ابن مشهدي ،</w:t>
      </w:r>
    </w:p>
    <w:p>
      <w:pPr>
        <w:pStyle w:val="BookText"/>
      </w:pPr>
      <w:r>
        <w:rPr>
          <w:rFonts w:ascii="IRNazanin" w:hAnsi="IRNazanin" w:eastAsia="IRNazanin" w:cs="IRNazanin"/>
          <w:lang w:bidi="fa-IR"/>
          <w:color w:val="111111"/>
          <w:sz w:val="28"/>
          <w:szCs w:val="28"/>
          <w:rtl/>
        </w:rPr>
        <w:t xml:space="preserve">محمّد بن جعفر</w:t>
      </w:r>
    </w:p>
    <w:p>
      <w:pPr>
        <w:pStyle w:val="BookText"/>
      </w:pPr>
      <w:r>
        <w:rPr>
          <w:rFonts w:ascii="Amiri" w:hAnsi="Amiri" w:eastAsia="Amiri" w:cs="Amiri"/>
          <w:lang w:bidi="ar-SA"/>
          <w:color w:val="111111"/>
          <w:sz w:val="28"/>
          <w:szCs w:val="28"/>
          <w:rtl/>
        </w:rPr>
        <w:t xml:space="preserve">حائري، محمّد تقي بن حسين- هروي</w:t>
      </w:r>
    </w:p>
    <w:p>
      <w:pPr>
        <w:pStyle w:val="BookText"/>
      </w:pPr>
      <w:r>
        <w:rPr>
          <w:rFonts w:ascii="Amiri" w:hAnsi="Amiri" w:eastAsia="Amiri" w:cs="Amiri"/>
          <w:lang w:bidi="ar-SA"/>
          <w:color w:val="111111"/>
          <w:sz w:val="28"/>
          <w:szCs w:val="28"/>
          <w:rtl/>
        </w:rPr>
        <w:t xml:space="preserve">محمّد تقي بن حسينعلي</w:t>
      </w:r>
    </w:p>
    <w:p>
      <w:pPr>
        <w:pStyle w:val="BookText"/>
      </w:pPr>
      <w:r>
        <w:rPr>
          <w:rFonts w:ascii="Amiri" w:hAnsi="Amiri" w:eastAsia="Amiri" w:cs="Amiri"/>
          <w:lang w:bidi="ar-SA"/>
          <w:color w:val="111111"/>
          <w:sz w:val="28"/>
          <w:szCs w:val="28"/>
          <w:rtl/>
        </w:rPr>
        <w:t xml:space="preserve">حائري ، محمّد تقي بن محبعلي- شيرازي</w:t>
      </w:r>
    </w:p>
    <w:p>
      <w:pPr>
        <w:pStyle w:val="BookText"/>
      </w:pPr>
      <w:r>
        <w:rPr>
          <w:rFonts w:ascii="Amiri" w:hAnsi="Amiri" w:eastAsia="Amiri" w:cs="Amiri"/>
          <w:lang w:bidi="ar-SA"/>
          <w:color w:val="111111"/>
          <w:sz w:val="28"/>
          <w:szCs w:val="28"/>
          <w:rtl/>
        </w:rPr>
        <w:t xml:space="preserve">، محمّد تقي بن محبعلي</w:t>
      </w:r>
    </w:p>
    <w:p>
      <w:pPr>
        <w:pStyle w:val="BookText"/>
      </w:pPr>
      <w:r>
        <w:rPr>
          <w:rFonts w:ascii="Amiri" w:hAnsi="Amiri" w:eastAsia="Amiri" w:cs="Amiri"/>
          <w:lang w:bidi="ar-SA"/>
          <w:color w:val="111111"/>
          <w:sz w:val="28"/>
          <w:szCs w:val="28"/>
          <w:rtl/>
        </w:rPr>
        <w:t xml:space="preserve">حائري، محمّد جعفر بن محمّد</w:t>
      </w:r>
    </w:p>
    <w:p>
      <w:pPr>
        <w:pStyle w:val="BookText"/>
      </w:pPr>
      <w:r>
        <w:rPr>
          <w:rFonts w:ascii="Amiri" w:hAnsi="Amiri" w:eastAsia="Amiri" w:cs="Amiri"/>
          <w:lang w:bidi="ar-SA"/>
          <w:color w:val="111111"/>
          <w:sz w:val="28"/>
          <w:szCs w:val="28"/>
          <w:rtl/>
        </w:rPr>
        <w:t xml:space="preserve">باقر -بهبهاني حائري ، محمّد جعفر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حائري ، محمّد حسن بن محمّد شفيع- قزويني حائري ، محمّد حسن بن</w:t>
      </w:r>
    </w:p>
    <w:p>
      <w:pPr>
        <w:pStyle w:val="BookText"/>
      </w:pPr>
      <w:r>
        <w:rPr>
          <w:rFonts w:ascii="Amiri" w:hAnsi="Amiri" w:eastAsia="Amiri" w:cs="Amiri"/>
          <w:lang w:bidi="ar-SA"/>
          <w:color w:val="111111"/>
          <w:sz w:val="28"/>
          <w:szCs w:val="28"/>
          <w:rtl/>
        </w:rPr>
        <w:t xml:space="preserve">محمّد شفیع</w:t>
      </w:r>
    </w:p>
    <w:p>
      <w:pPr>
        <w:pStyle w:val="BookText"/>
      </w:pPr>
      <w:r>
        <w:rPr>
          <w:rFonts w:ascii="Amiri" w:hAnsi="Amiri" w:eastAsia="Amiri" w:cs="Amiri"/>
          <w:lang w:bidi="ar-SA"/>
          <w:color w:val="111111"/>
          <w:sz w:val="28"/>
          <w:szCs w:val="28"/>
          <w:rtl/>
        </w:rPr>
        <w:t xml:space="preserve">حائري ، محمّد حسن بن محمّد</w:t>
      </w:r>
    </w:p>
    <w:p>
      <w:pPr>
        <w:pStyle w:val="BookText"/>
      </w:pPr>
      <w:r>
        <w:rPr>
          <w:rFonts w:ascii="Amiri" w:hAnsi="Amiri" w:eastAsia="Amiri" w:cs="Amiri"/>
          <w:lang w:bidi="ar-SA"/>
          <w:color w:val="111111"/>
          <w:sz w:val="28"/>
          <w:szCs w:val="28"/>
          <w:rtl/>
        </w:rPr>
        <w:t xml:space="preserve">معصوم- قزويني ، محمّد حسن بن محمّد</w:t>
      </w:r>
    </w:p>
    <w:p>
      <w:pPr>
        <w:pStyle w:val="BookText"/>
      </w:pPr>
      <w:r>
        <w:rPr>
          <w:rFonts w:ascii="IRNazanin" w:hAnsi="IRNazanin" w:eastAsia="IRNazanin" w:cs="IRNazanin"/>
          <w:lang w:bidi="fa-IR"/>
          <w:color w:val="111111"/>
          <w:sz w:val="28"/>
          <w:szCs w:val="28"/>
          <w:rtl/>
        </w:rPr>
        <w:t xml:space="preserve">معصوم</w:t>
      </w:r>
    </w:p>
    <w:p>
      <w:pPr>
        <w:pStyle w:val="BookText"/>
      </w:pPr>
      <w:r>
        <w:rPr>
          <w:rFonts w:ascii="IRNazanin" w:hAnsi="IRNazanin" w:eastAsia="IRNazanin" w:cs="IRNazanin"/>
          <w:lang w:bidi="fa-IR"/>
          <w:color w:val="111111"/>
          <w:sz w:val="28"/>
          <w:szCs w:val="28"/>
          <w:rtl/>
        </w:rPr>
        <w:t xml:space="preserve">حائري ، محمّد حسین- شهرستاني ، محمّد</w:t>
      </w:r>
    </w:p>
    <w:p>
      <w:pPr>
        <w:pStyle w:val="BookText"/>
      </w:pPr>
      <w:r>
        <w:rPr>
          <w:rFonts w:ascii="Amiri" w:hAnsi="Amiri" w:eastAsia="Amiri" w:cs="Amiri"/>
          <w:lang w:bidi="ar-SA"/>
          <w:color w:val="111111"/>
          <w:sz w:val="28"/>
          <w:szCs w:val="28"/>
          <w:rtl/>
        </w:rPr>
        <w:t xml:space="preserve">حسين بن محمّد علي</w:t>
      </w:r>
    </w:p>
    <w:p>
      <w:pPr>
        <w:pStyle w:val="BookText"/>
      </w:pPr>
      <w:r>
        <w:rPr>
          <w:rFonts w:ascii="Amiri" w:hAnsi="Amiri" w:eastAsia="Amiri" w:cs="Amiri"/>
          <w:lang w:bidi="ar-SA"/>
          <w:color w:val="111111"/>
          <w:sz w:val="28"/>
          <w:szCs w:val="28"/>
          <w:rtl/>
        </w:rPr>
        <w:t xml:space="preserve">حائري ، محمّد علي- اردبيلي ، محمّد بن علي</w:t>
      </w:r>
    </w:p>
    <w:p>
      <w:pPr>
        <w:pStyle w:val="BookText"/>
      </w:pPr>
      <w:r>
        <w:rPr>
          <w:rFonts w:ascii="Amiri" w:hAnsi="Amiri" w:eastAsia="Amiri" w:cs="Amiri"/>
          <w:lang w:bidi="ar-SA"/>
          <w:color w:val="111111"/>
          <w:sz w:val="28"/>
          <w:szCs w:val="28"/>
          <w:rtl/>
        </w:rPr>
        <w:t xml:space="preserve">حائري ، محمّد- علي طبسي خراساني ، محمّد علي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9" w:name="pg7742_70086"/>
    <w:bookmarkEnd w:id="349"/>
    <w:p>
      <w:pPr>
        <w:pStyle w:val="BookText"/>
      </w:pPr>
      <w:r>
        <w:rPr>
          <w:rFonts w:ascii="Amiri" w:hAnsi="Amiri" w:eastAsia="Amiri" w:cs="Amiri"/>
          <w:lang w:bidi="ar-SA"/>
          <w:color w:val="111111"/>
          <w:sz w:val="28"/>
          <w:szCs w:val="28"/>
          <w:rtl/>
        </w:rPr>
        <w:t xml:space="preserve">حائري ، محمّد كاظم بن علي اكبر -رشتي حائري- حائري</w:t>
      </w:r>
    </w:p>
    <w:p>
      <w:pPr>
        <w:pStyle w:val="BookText"/>
      </w:pPr>
      <w:r>
        <w:rPr>
          <w:rFonts w:ascii="Amiri" w:hAnsi="Amiri" w:eastAsia="Amiri" w:cs="Amiri"/>
          <w:lang w:bidi="ar-SA"/>
          <w:color w:val="111111"/>
          <w:sz w:val="28"/>
          <w:szCs w:val="28"/>
          <w:rtl/>
        </w:rPr>
        <w:t xml:space="preserve">، محمّد كاظم بن علي اكبر</w:t>
      </w:r>
    </w:p>
    <w:p>
      <w:pPr>
        <w:pStyle w:val="BookText"/>
      </w:pPr>
      <w:r>
        <w:rPr>
          <w:rFonts w:ascii="Amiri" w:hAnsi="Amiri" w:eastAsia="Amiri" w:cs="Amiri"/>
          <w:lang w:bidi="ar-SA"/>
          <w:color w:val="111111"/>
          <w:sz w:val="28"/>
          <w:szCs w:val="28"/>
          <w:rtl/>
        </w:rPr>
        <w:t xml:space="preserve">حائري، محمّد مهدي بن ابو القاسم - شهرستاني ، محمّد مهدي بن ابو القاسم</w:t>
      </w:r>
    </w:p>
    <w:p>
      <w:pPr>
        <w:pStyle w:val="Heading2"/>
      </w:pPr>
      <w:bookmarkStart w:id="3436" w:name="_Toc2538"/>
      <w:r>
        <w:t>حائري، موسى بن محمّد باقر، قرن 14 ه-</w:t>
      </w:r>
      <w:bookmarkEnd w:id="3436"/>
    </w:p>
    <w:p>
      <w:pPr>
        <w:pStyle w:val="BookText"/>
      </w:pPr>
      <w:r>
        <w:rPr>
          <w:rFonts w:ascii="IRNazanin" w:hAnsi="IRNazanin" w:eastAsia="IRNazanin" w:cs="IRNazanin"/>
          <w:lang w:bidi="fa-IR"/>
          <w:color w:val="111111"/>
          <w:sz w:val="28"/>
          <w:szCs w:val="28"/>
          <w:rtl/>
        </w:rPr>
        <w:t xml:space="preserve">لطائف الدرر، ج13، ص 577.</w:t>
      </w:r>
    </w:p>
    <w:p>
      <w:pPr>
        <w:pStyle w:val="Heading2"/>
      </w:pPr>
      <w:bookmarkStart w:id="3437" w:name="_Toc2539"/>
      <w:r>
        <w:t>حائري ، ميرزا احمد قرن 12 ه-</w:t>
      </w:r>
      <w:bookmarkEnd w:id="3437"/>
    </w:p>
    <w:p>
      <w:pPr>
        <w:pStyle w:val="BookText"/>
      </w:pPr>
      <w:r>
        <w:rPr>
          <w:rFonts w:ascii="Amiri" w:hAnsi="Amiri" w:eastAsia="Amiri" w:cs="Amiri"/>
          <w:lang w:bidi="ar-SA"/>
          <w:color w:val="111111"/>
          <w:sz w:val="28"/>
          <w:szCs w:val="28"/>
          <w:rtl/>
        </w:rPr>
        <w:t xml:space="preserve">الأدعية، ج 1، ص 604.</w:t>
      </w:r>
    </w:p>
    <w:p>
      <w:pPr>
        <w:pStyle w:val="Heading2"/>
      </w:pPr>
      <w:bookmarkStart w:id="3438" w:name="_Toc2540"/>
      <w:r>
        <w:t>حائري، ميرزا موسى - 1386 ه-</w:t>
      </w:r>
      <w:bookmarkEnd w:id="3438"/>
    </w:p>
    <w:p>
      <w:pPr>
        <w:pStyle w:val="BookText"/>
      </w:pPr>
      <w:r>
        <w:rPr>
          <w:rFonts w:ascii="Amiri" w:hAnsi="Amiri" w:eastAsia="Amiri" w:cs="Amiri"/>
          <w:lang w:bidi="ar-SA"/>
          <w:color w:val="111111"/>
          <w:sz w:val="28"/>
          <w:szCs w:val="28"/>
          <w:rtl/>
        </w:rPr>
        <w:t xml:space="preserve">اجازة لولده الحاج ميرزا علي الحائري</w:t>
      </w:r>
    </w:p>
    <w:p>
      <w:pPr>
        <w:pStyle w:val="BookText"/>
      </w:pPr>
      <w:r>
        <w:rPr>
          <w:rFonts w:ascii="IRNazanin" w:hAnsi="IRNazanin" w:eastAsia="IRNazanin" w:cs="IRNazanin"/>
          <w:lang w:bidi="fa-IR"/>
          <w:color w:val="111111"/>
          <w:sz w:val="28"/>
          <w:szCs w:val="28"/>
          <w:rtl/>
        </w:rPr>
        <w:t xml:space="preserve">ج 1، ص292.</w:t>
      </w:r>
    </w:p>
    <w:p>
      <w:pPr>
        <w:pStyle w:val="BookText"/>
      </w:pPr>
      <w:r>
        <w:rPr>
          <w:rFonts w:ascii="Amiri" w:hAnsi="Amiri" w:eastAsia="Amiri" w:cs="Amiri"/>
          <w:lang w:bidi="ar-SA"/>
          <w:color w:val="111111"/>
          <w:sz w:val="28"/>
          <w:szCs w:val="28"/>
          <w:rtl/>
        </w:rPr>
        <w:t xml:space="preserve">حاتم طائي - 46 قبل الهجرة</w:t>
      </w:r>
    </w:p>
    <w:p>
      <w:pPr>
        <w:pStyle w:val="BookText"/>
      </w:pPr>
      <w:r>
        <w:rPr>
          <w:rFonts w:ascii="Amiri" w:hAnsi="Amiri" w:eastAsia="Amiri" w:cs="Amiri"/>
          <w:lang w:bidi="ar-SA"/>
          <w:color w:val="111111"/>
          <w:sz w:val="28"/>
          <w:szCs w:val="28"/>
          <w:rtl/>
        </w:rPr>
        <w:t xml:space="preserve">حائري نجفي ، حسن مامقاني ، محمّد</w:t>
      </w:r>
    </w:p>
    <w:p>
      <w:pPr>
        <w:pStyle w:val="BookText"/>
      </w:pPr>
      <w:r>
        <w:rPr>
          <w:rFonts w:ascii="IRNazanin" w:hAnsi="IRNazanin" w:eastAsia="IRNazanin" w:cs="IRNazanin"/>
          <w:lang w:bidi="fa-IR"/>
          <w:color w:val="111111"/>
          <w:sz w:val="28"/>
          <w:szCs w:val="28"/>
          <w:rtl/>
        </w:rPr>
        <w:t xml:space="preserve">دیوان حاتم طائي، ج 7، ص 612.</w:t>
      </w:r>
    </w:p>
    <w:p>
      <w:pPr>
        <w:pStyle w:val="BookText"/>
      </w:pPr>
      <w:r>
        <w:rPr>
          <w:rFonts w:ascii="IRNazanin" w:hAnsi="IRNazanin" w:eastAsia="IRNazanin" w:cs="IRNazanin"/>
          <w:lang w:bidi="fa-IR"/>
          <w:color w:val="111111"/>
          <w:sz w:val="28"/>
          <w:szCs w:val="28"/>
          <w:rtl/>
        </w:rPr>
        <w:t xml:space="preserve">حسن بن عبدالله</w:t>
      </w:r>
    </w:p>
    <w:p>
      <w:pPr>
        <w:pStyle w:val="Heading2"/>
      </w:pPr>
      <w:bookmarkStart w:id="3439" w:name="_Toc2541"/>
      <w:r>
        <w:t>حائري ، نصر الله</w:t>
      </w:r>
      <w:bookmarkEnd w:id="3439"/>
    </w:p>
    <w:p>
      <w:pPr>
        <w:pStyle w:val="BookText"/>
      </w:pPr>
      <w:r>
        <w:rPr>
          <w:rFonts w:ascii="IRNazanin" w:hAnsi="IRNazanin" w:eastAsia="IRNazanin" w:cs="IRNazanin"/>
          <w:lang w:bidi="fa-IR"/>
          <w:color w:val="111111"/>
          <w:sz w:val="28"/>
          <w:szCs w:val="28"/>
          <w:rtl/>
        </w:rPr>
        <w:t xml:space="preserve">دیوان نصر الله حائري، ج 7، ص788.</w:t>
      </w:r>
    </w:p>
    <w:p>
      <w:pPr>
        <w:pStyle w:val="BookText"/>
      </w:pPr>
      <w:r>
        <w:rPr>
          <w:rFonts w:ascii="Amiri" w:hAnsi="Amiri" w:eastAsia="Amiri" w:cs="Amiri"/>
          <w:lang w:bidi="ar-SA"/>
          <w:color w:val="111111"/>
          <w:sz w:val="28"/>
          <w:szCs w:val="28"/>
          <w:rtl/>
        </w:rPr>
        <w:t xml:space="preserve">حائري همداني ، عبد الرزاق بن عليرضا- اصفهاني حائري همداني ، عبدالرزاق</w:t>
      </w:r>
    </w:p>
    <w:p>
      <w:pPr>
        <w:pStyle w:val="BookText"/>
      </w:pPr>
      <w:r>
        <w:rPr>
          <w:rFonts w:ascii="Amiri" w:hAnsi="Amiri" w:eastAsia="Amiri" w:cs="Amiri"/>
          <w:lang w:bidi="ar-SA"/>
          <w:color w:val="111111"/>
          <w:sz w:val="28"/>
          <w:szCs w:val="28"/>
          <w:rtl/>
        </w:rPr>
        <w:t xml:space="preserve">بن عليرضا</w:t>
      </w:r>
    </w:p>
    <w:p>
      <w:pPr>
        <w:pStyle w:val="BookText"/>
      </w:pPr>
      <w:r>
        <w:rPr>
          <w:rFonts w:ascii="Amiri" w:hAnsi="Amiri" w:eastAsia="Amiri" w:cs="Amiri"/>
          <w:lang w:bidi="ar-SA"/>
          <w:color w:val="111111"/>
          <w:sz w:val="28"/>
          <w:szCs w:val="28"/>
          <w:rtl/>
        </w:rPr>
        <w:t xml:space="preserve">حائري ، ولي بن نعمت الله- حسيني</w:t>
      </w:r>
    </w:p>
    <w:p>
      <w:pPr>
        <w:pStyle w:val="BookText"/>
      </w:pPr>
      <w:r>
        <w:rPr>
          <w:rFonts w:ascii="Amiri" w:hAnsi="Amiri" w:eastAsia="Amiri" w:cs="Amiri"/>
          <w:lang w:bidi="ar-SA"/>
          <w:color w:val="111111"/>
          <w:sz w:val="28"/>
          <w:szCs w:val="28"/>
          <w:rtl/>
        </w:rPr>
        <w:t xml:space="preserve">رضوي ، ولي الله بن نعمت الله</w:t>
      </w:r>
    </w:p>
    <w:p>
      <w:pPr>
        <w:pStyle w:val="Heading2"/>
      </w:pPr>
      <w:bookmarkStart w:id="3440" w:name="_Toc2542"/>
      <w:r>
        <w:t>حائري يزدي، عبد الكريم بن محمّد</w:t>
      </w:r>
      <w:bookmarkEnd w:id="3440"/>
    </w:p>
    <w:p>
      <w:pPr>
        <w:pStyle w:val="BookText"/>
      </w:pPr>
      <w:r>
        <w:rPr>
          <w:rFonts w:ascii="IRNazanin" w:hAnsi="IRNazanin" w:eastAsia="IRNazanin" w:cs="IRNazanin"/>
          <w:lang w:bidi="fa-IR"/>
          <w:color w:val="111111"/>
          <w:sz w:val="28"/>
          <w:szCs w:val="28"/>
          <w:rtl/>
        </w:rPr>
        <w:t xml:space="preserve">،جعفر 1272؟ - 1355 ه-</w:t>
      </w:r>
    </w:p>
    <w:p>
      <w:pPr>
        <w:pStyle w:val="BookText"/>
      </w:pPr>
      <w:r>
        <w:rPr>
          <w:rFonts w:ascii="IRNazanin" w:hAnsi="IRNazanin" w:eastAsia="IRNazanin" w:cs="IRNazanin"/>
          <w:lang w:bidi="fa-IR"/>
          <w:color w:val="111111"/>
          <w:sz w:val="28"/>
          <w:szCs w:val="28"/>
          <w:rtl/>
        </w:rPr>
        <w:t xml:space="preserve">1 .درر الفوائد، ج 7، ص 306.</w:t>
      </w:r>
    </w:p>
    <w:p>
      <w:pPr>
        <w:pStyle w:val="BookText"/>
      </w:pPr>
      <w:r>
        <w:rPr>
          <w:rFonts w:ascii="Amiri" w:hAnsi="Amiri" w:eastAsia="Amiri" w:cs="Amiri"/>
          <w:lang w:bidi="ar-SA"/>
          <w:color w:val="111111"/>
          <w:sz w:val="28"/>
          <w:szCs w:val="28"/>
          <w:rtl/>
        </w:rPr>
        <w:t xml:space="preserve">2 .الشك من البراءة، ج 10، ص 403 .</w:t>
      </w:r>
    </w:p>
    <w:p>
      <w:pPr>
        <w:pStyle w:val="BookText"/>
      </w:pPr>
      <w:r>
        <w:rPr>
          <w:rFonts w:ascii="Amiri" w:hAnsi="Amiri" w:eastAsia="Amiri" w:cs="Amiri"/>
          <w:lang w:bidi="ar-SA"/>
          <w:color w:val="111111"/>
          <w:sz w:val="28"/>
          <w:szCs w:val="28"/>
          <w:rtl/>
        </w:rPr>
        <w:t xml:space="preserve">3.الصلاة، ج 10، ص 589.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منتخب الرسائل، ج 15 ، ص 6</w:t>
      </w:r>
    </w:p>
    <w:p>
      <w:pPr>
        <w:pStyle w:val="BookText"/>
      </w:pPr>
      <w:r>
        <w:rPr>
          <w:rFonts w:ascii="Amiri" w:hAnsi="Amiri" w:eastAsia="Amiri" w:cs="Amiri"/>
          <w:lang w:bidi="ar-SA"/>
          <w:color w:val="111111"/>
          <w:sz w:val="28"/>
          <w:szCs w:val="28"/>
          <w:rtl/>
        </w:rPr>
        <w:t xml:space="preserve">حائري يزدي ، محمّد باقر بن مرتضى -يزدي حائري ، محمّد باقر بن</w:t>
      </w:r>
    </w:p>
    <w:p>
      <w:pPr>
        <w:pStyle w:val="BookText"/>
      </w:pPr>
      <w:r>
        <w:rPr>
          <w:rFonts w:ascii="IRNazanin" w:hAnsi="IRNazanin" w:eastAsia="IRNazanin" w:cs="IRNazanin"/>
          <w:lang w:bidi="fa-IR"/>
          <w:color w:val="111111"/>
          <w:sz w:val="28"/>
          <w:szCs w:val="28"/>
          <w:rtl/>
        </w:rPr>
        <w:t xml:space="preserve">مرتضى</w:t>
      </w:r>
    </w:p>
    <w:p>
      <w:pPr>
        <w:pStyle w:val="Heading2"/>
      </w:pPr>
      <w:bookmarkStart w:id="3441" w:name="_Toc2543"/>
      <w:r>
        <w:t>حائري يزدي ، مهدي، قرن 13 ه-</w:t>
      </w:r>
      <w:bookmarkEnd w:id="3441"/>
    </w:p>
    <w:p>
      <w:pPr>
        <w:pStyle w:val="BookText"/>
      </w:pPr>
      <w:r>
        <w:rPr>
          <w:rFonts w:ascii="Amiri" w:hAnsi="Amiri" w:eastAsia="Amiri" w:cs="Amiri"/>
          <w:lang w:bidi="ar-SA"/>
          <w:color w:val="111111"/>
          <w:sz w:val="28"/>
          <w:szCs w:val="28"/>
          <w:rtl/>
        </w:rPr>
        <w:t xml:space="preserve">الزيارات المخصوصة، ج8، ص 649.</w:t>
      </w:r>
    </w:p>
    <w:p>
      <w:pPr>
        <w:pStyle w:val="BookText"/>
      </w:pPr>
      <w:r>
        <w:rPr>
          <w:rFonts w:ascii="Amiri" w:hAnsi="Amiri" w:eastAsia="Amiri" w:cs="Amiri"/>
          <w:lang w:bidi="ar-SA"/>
          <w:color w:val="111111"/>
          <w:sz w:val="28"/>
          <w:szCs w:val="28"/>
          <w:rtl/>
        </w:rPr>
        <w:t xml:space="preserve">حاتم بن احمد الاهدل الحسيني- اهدل ، حاتم بن احمد</w:t>
      </w:r>
    </w:p>
    <w:p>
      <w:pPr>
        <w:pStyle w:val="Heading2"/>
      </w:pPr>
      <w:bookmarkStart w:id="3442" w:name="_Toc2544"/>
      <w:r>
        <w:t>حاتمي طائي ، ابوالمعالي، - 938 ه-</w:t>
      </w:r>
      <w:bookmarkEnd w:id="3442"/>
    </w:p>
    <w:p>
      <w:pPr>
        <w:pStyle w:val="BookText"/>
      </w:pPr>
      <w:r>
        <w:rPr>
          <w:rFonts w:ascii="Amiri" w:hAnsi="Amiri" w:eastAsia="Amiri" w:cs="Amiri"/>
          <w:lang w:bidi="ar-SA"/>
          <w:color w:val="111111"/>
          <w:sz w:val="28"/>
          <w:szCs w:val="28"/>
          <w:rtl/>
        </w:rPr>
        <w:t xml:space="preserve">قصة رمزية دينية اخلاقية، ج 12،</w:t>
      </w:r>
    </w:p>
    <w:p>
      <w:pPr>
        <w:pStyle w:val="BookText"/>
      </w:pPr>
      <w:r>
        <w:rPr>
          <w:rFonts w:ascii="IRNazanin" w:hAnsi="IRNazanin" w:eastAsia="IRNazanin" w:cs="IRNazanin"/>
          <w:lang w:bidi="fa-IR"/>
          <w:color w:val="111111"/>
          <w:sz w:val="28"/>
          <w:szCs w:val="28"/>
          <w:rtl/>
        </w:rPr>
        <w:t xml:space="preserve">ص 611 .</w:t>
      </w:r>
    </w:p>
    <w:p>
      <w:pPr>
        <w:pStyle w:val="Heading2"/>
      </w:pPr>
      <w:bookmarkStart w:id="3443" w:name="_Toc2545"/>
      <w:r>
        <w:t>حاتمي، محمّد بن حسن - 388 ه-</w:t>
      </w:r>
      <w:bookmarkEnd w:id="3443"/>
    </w:p>
    <w:p>
      <w:pPr>
        <w:pStyle w:val="BookText"/>
      </w:pPr>
      <w:r>
        <w:rPr>
          <w:rFonts w:ascii="IRNazanin" w:hAnsi="IRNazanin" w:eastAsia="IRNazanin" w:cs="IRNazanin"/>
          <w:lang w:bidi="fa-IR"/>
          <w:color w:val="111111"/>
          <w:sz w:val="28"/>
          <w:szCs w:val="28"/>
          <w:rtl/>
        </w:rPr>
        <w:t xml:space="preserve">1 .الرسالة الحاتمية في ما وافق المتنبي في شعره كلام ارسطو في الحكمة مضاهات الحكيم ارسطاطالیس و</w:t>
      </w:r>
    </w:p>
    <w:p>
      <w:pPr>
        <w:pStyle w:val="BookText"/>
      </w:pPr>
      <w:r>
        <w:rPr>
          <w:rFonts w:ascii="Amiri" w:hAnsi="Amiri" w:eastAsia="Amiri" w:cs="Amiri"/>
          <w:lang w:bidi="ar-SA"/>
          <w:color w:val="111111"/>
          <w:sz w:val="28"/>
          <w:szCs w:val="28"/>
          <w:rtl/>
        </w:rPr>
        <w:t xml:space="preserve">المتنبي، ج8، ص187</w:t>
      </w:r>
    </w:p>
    <w:p>
      <w:pPr>
        <w:pStyle w:val="BookText"/>
      </w:pPr>
      <w:r>
        <w:rPr>
          <w:rFonts w:ascii="Amiri" w:hAnsi="Amiri" w:eastAsia="Amiri" w:cs="Amiri"/>
          <w:lang w:bidi="ar-SA"/>
          <w:color w:val="111111"/>
          <w:sz w:val="28"/>
          <w:szCs w:val="28"/>
          <w:rtl/>
        </w:rPr>
        <w:t xml:space="preserve">2 .مختصر الرسالة الموضحة في ذكر سرقات إلى الطيب المتنبي، ج 14،</w:t>
      </w:r>
    </w:p>
    <w:p>
      <w:pPr>
        <w:pStyle w:val="BookText"/>
      </w:pPr>
      <w:r>
        <w:rPr>
          <w:rFonts w:ascii="IRNazanin" w:hAnsi="IRNazanin" w:eastAsia="IRNazanin" w:cs="IRNazanin"/>
          <w:lang w:bidi="fa-IR"/>
          <w:color w:val="111111"/>
          <w:sz w:val="28"/>
          <w:szCs w:val="28"/>
          <w:rtl/>
        </w:rPr>
        <w:t xml:space="preserve">ص192.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0" w:name="pg7742_70088"/>
    <w:bookmarkEnd w:id="350"/>
    <w:p>
      <w:pPr>
        <w:pStyle w:val="Heading2"/>
      </w:pPr>
      <w:bookmarkStart w:id="3444" w:name="_Toc2546"/>
      <w:r>
        <w:t>حاج آخوند قمي ، غلامرضا بن رجبعلي</w:t>
      </w:r>
      <w:bookmarkEnd w:id="3444"/>
    </w:p>
    <w:p>
      <w:pPr>
        <w:pStyle w:val="BookText"/>
      </w:pPr>
      <w:r>
        <w:rPr>
          <w:rFonts w:ascii="IRNazanin" w:hAnsi="IRNazanin" w:eastAsia="IRNazanin" w:cs="IRNazanin"/>
          <w:lang w:bidi="fa-IR"/>
          <w:color w:val="111111"/>
          <w:sz w:val="28"/>
          <w:szCs w:val="28"/>
          <w:rtl/>
        </w:rPr>
        <w:t xml:space="preserve">1332 ه-</w:t>
      </w:r>
    </w:p>
    <w:p>
      <w:pPr>
        <w:pStyle w:val="BookText"/>
      </w:pPr>
      <w:r>
        <w:rPr>
          <w:rFonts w:ascii="Amiri" w:hAnsi="Amiri" w:eastAsia="Amiri" w:cs="Amiri"/>
          <w:lang w:bidi="ar-SA"/>
          <w:color w:val="111111"/>
          <w:sz w:val="28"/>
          <w:szCs w:val="28"/>
          <w:rtl/>
        </w:rPr>
        <w:t xml:space="preserve">قلائد العقيان على نحور الخرد الحسان = قلائد الفرائد = حاشية</w:t>
      </w:r>
    </w:p>
    <w:p>
      <w:pPr>
        <w:pStyle w:val="BookText"/>
      </w:pPr>
      <w:r>
        <w:rPr>
          <w:rFonts w:ascii="IRNazanin" w:hAnsi="IRNazanin" w:eastAsia="IRNazanin" w:cs="IRNazanin"/>
          <w:lang w:bidi="fa-IR"/>
          <w:color w:val="111111"/>
          <w:sz w:val="28"/>
          <w:szCs w:val="28"/>
          <w:rtl/>
        </w:rPr>
        <w:t xml:space="preserve">فرائد الاصول، ج 12، ص 760.</w:t>
      </w:r>
    </w:p>
    <w:p>
      <w:pPr>
        <w:pStyle w:val="Heading2"/>
      </w:pPr>
      <w:bookmarkStart w:id="3445" w:name="_Toc2547"/>
      <w:r>
        <w:t>حاج باباني ، محمّد اسماعيل</w:t>
      </w:r>
      <w:bookmarkEnd w:id="3445"/>
    </w:p>
    <w:p>
      <w:pPr>
        <w:pStyle w:val="BookText"/>
      </w:pPr>
      <w:r>
        <w:rPr>
          <w:rFonts w:ascii="IRNazanin" w:hAnsi="IRNazanin" w:eastAsia="IRNazanin" w:cs="IRNazanin"/>
          <w:lang w:bidi="fa-IR"/>
          <w:color w:val="111111"/>
          <w:sz w:val="28"/>
          <w:szCs w:val="28"/>
          <w:rtl/>
        </w:rPr>
        <w:t xml:space="preserve">ص: 382</w:t>
      </w:r>
    </w:p>
    <w:p>
      <w:pPr>
        <w:pStyle w:val="BookText"/>
      </w:pPr>
      <w:r>
        <w:rPr>
          <w:rFonts w:ascii="Amiri" w:hAnsi="Amiri" w:eastAsia="Amiri" w:cs="Amiri"/>
          <w:lang w:bidi="ar-SA"/>
          <w:color w:val="111111"/>
          <w:sz w:val="28"/>
          <w:szCs w:val="28"/>
          <w:rtl/>
        </w:rPr>
        <w:t xml:space="preserve">رد على اليهود و النصارى (كتاب في)</w:t>
      </w:r>
    </w:p>
    <w:p>
      <w:pPr>
        <w:pStyle w:val="BookText"/>
      </w:pPr>
      <w:r>
        <w:rPr>
          <w:rFonts w:ascii="IRNazanin" w:hAnsi="IRNazanin" w:eastAsia="IRNazanin" w:cs="IRNazanin"/>
          <w:lang w:bidi="fa-IR"/>
          <w:color w:val="111111"/>
          <w:sz w:val="28"/>
          <w:szCs w:val="28"/>
          <w:rtl/>
        </w:rPr>
        <w:t xml:space="preserve">ج 8، ص108.</w:t>
      </w:r>
    </w:p>
    <w:p>
      <w:pPr>
        <w:pStyle w:val="Heading2"/>
      </w:pPr>
      <w:bookmarkStart w:id="3446" w:name="_Toc2548"/>
      <w:r>
        <w:t>حاجب زاده، محمّد بن مصطفى</w:t>
      </w:r>
      <w:bookmarkEnd w:id="3446"/>
    </w:p>
    <w:p>
      <w:pPr>
        <w:pStyle w:val="BookText"/>
      </w:pPr>
      <w:r>
        <w:rPr>
          <w:rFonts w:ascii="IRNazanin" w:hAnsi="IRNazanin" w:eastAsia="IRNazanin" w:cs="IRNazanin"/>
          <w:lang w:bidi="fa-IR"/>
          <w:color w:val="111111"/>
          <w:sz w:val="28"/>
          <w:szCs w:val="28"/>
          <w:rtl/>
        </w:rPr>
        <w:t xml:space="preserve">1100 ه-</w:t>
      </w:r>
    </w:p>
    <w:p>
      <w:pPr>
        <w:pStyle w:val="BookText"/>
      </w:pPr>
      <w:r>
        <w:rPr>
          <w:rFonts w:ascii="Amiri" w:hAnsi="Amiri" w:eastAsia="Amiri" w:cs="Amiri"/>
          <w:lang w:bidi="ar-SA"/>
          <w:color w:val="111111"/>
          <w:sz w:val="28"/>
          <w:szCs w:val="28"/>
          <w:rtl/>
        </w:rPr>
        <w:t xml:space="preserve">1 .بضاعة الحكام في إحكام الأحكام</w:t>
      </w:r>
    </w:p>
    <w:p>
      <w:pPr>
        <w:pStyle w:val="BookText"/>
      </w:pPr>
      <w:r>
        <w:rPr>
          <w:rFonts w:ascii="IRNazanin" w:hAnsi="IRNazanin" w:eastAsia="IRNazanin" w:cs="IRNazanin"/>
          <w:lang w:bidi="fa-IR"/>
          <w:color w:val="111111"/>
          <w:sz w:val="28"/>
          <w:szCs w:val="28"/>
          <w:rtl/>
        </w:rPr>
        <w:t xml:space="preserve">ج 3، ص 351.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الفرائض الوافية في ترجمة السراجية، ج 11، ص770.</w:t>
      </w:r>
    </w:p>
    <w:p>
      <w:pPr>
        <w:pStyle w:val="BookText"/>
      </w:pPr>
      <w:r>
        <w:rPr>
          <w:rFonts w:ascii="Amiri" w:hAnsi="Amiri" w:eastAsia="Amiri" w:cs="Amiri"/>
          <w:lang w:bidi="ar-SA"/>
          <w:color w:val="111111"/>
          <w:sz w:val="28"/>
          <w:szCs w:val="28"/>
          <w:rtl/>
        </w:rPr>
        <w:t xml:space="preserve">3 .القضاء( رسالة في)، ج12، ص731.</w:t>
      </w:r>
    </w:p>
    <w:p>
      <w:pPr>
        <w:pStyle w:val="BookText"/>
      </w:pPr>
      <w:r>
        <w:rPr>
          <w:rFonts w:ascii="Amiri" w:hAnsi="Amiri" w:eastAsia="Amiri" w:cs="Amiri"/>
          <w:lang w:bidi="ar-SA"/>
          <w:color w:val="111111"/>
          <w:sz w:val="28"/>
          <w:szCs w:val="28"/>
          <w:rtl/>
        </w:rPr>
        <w:t xml:space="preserve">حاجبي كيواني ، هندوشاه بن</w:t>
      </w:r>
    </w:p>
    <w:p>
      <w:pPr>
        <w:pStyle w:val="BookText"/>
      </w:pPr>
      <w:r>
        <w:rPr>
          <w:rFonts w:ascii="IRNazanin" w:hAnsi="IRNazanin" w:eastAsia="IRNazanin" w:cs="IRNazanin"/>
          <w:lang w:bidi="fa-IR"/>
          <w:color w:val="111111"/>
          <w:sz w:val="28"/>
          <w:szCs w:val="28"/>
          <w:rtl/>
        </w:rPr>
        <w:t xml:space="preserve">سنجر -هندو شاه بن سنجر</w:t>
      </w:r>
    </w:p>
    <w:p>
      <w:pPr>
        <w:pStyle w:val="BookText"/>
      </w:pPr>
      <w:r>
        <w:rPr>
          <w:rFonts w:ascii="IRNazanin" w:hAnsi="IRNazanin" w:eastAsia="IRNazanin" w:cs="IRNazanin"/>
          <w:lang w:bidi="fa-IR"/>
          <w:color w:val="111111"/>
          <w:sz w:val="28"/>
          <w:szCs w:val="28"/>
          <w:rtl/>
        </w:rPr>
        <w:t xml:space="preserve">حاج حسيني ، محمّد بن امیر -ابن امیر</w:t>
      </w:r>
    </w:p>
    <w:p>
      <w:pPr>
        <w:pStyle w:val="BookText"/>
      </w:pPr>
      <w:r>
        <w:rPr>
          <w:rFonts w:ascii="Amiri" w:hAnsi="Amiri" w:eastAsia="Amiri" w:cs="Amiri"/>
          <w:lang w:bidi="ar-SA"/>
          <w:color w:val="111111"/>
          <w:sz w:val="28"/>
          <w:szCs w:val="28"/>
          <w:rtl/>
        </w:rPr>
        <w:t xml:space="preserve">الحاج حسيني ، محمّد بن حسين</w:t>
      </w:r>
    </w:p>
    <w:p>
      <w:pPr>
        <w:pStyle w:val="Heading2"/>
      </w:pPr>
      <w:bookmarkStart w:id="3447" w:name="_Toc2549"/>
      <w:r>
        <w:t>حاج حسيني محمّد بن امير - 1174 ه-</w:t>
      </w:r>
      <w:bookmarkEnd w:id="3447"/>
    </w:p>
    <w:p>
      <w:pPr>
        <w:pStyle w:val="BookText"/>
      </w:pPr>
      <w:r>
        <w:rPr>
          <w:rFonts w:ascii="IRNazanin" w:hAnsi="IRNazanin" w:eastAsia="IRNazanin" w:cs="IRNazanin"/>
          <w:lang w:bidi="fa-IR"/>
          <w:color w:val="111111"/>
          <w:sz w:val="28"/>
          <w:szCs w:val="28"/>
          <w:rtl/>
        </w:rPr>
        <w:t xml:space="preserve">1 .ديوان السيد محمّد بن امیر الحاج</w:t>
      </w:r>
    </w:p>
    <w:p>
      <w:pPr>
        <w:pStyle w:val="BookText"/>
      </w:pPr>
      <w:r>
        <w:rPr>
          <w:rFonts w:ascii="IRNazanin" w:hAnsi="IRNazanin" w:eastAsia="IRNazanin" w:cs="IRNazanin"/>
          <w:lang w:bidi="fa-IR"/>
          <w:color w:val="111111"/>
          <w:sz w:val="28"/>
          <w:szCs w:val="28"/>
          <w:rtl/>
        </w:rPr>
        <w:t xml:space="preserve">ج 7 ، ص 662 .</w:t>
      </w:r>
    </w:p>
    <w:p>
      <w:pPr>
        <w:pStyle w:val="BookText"/>
      </w:pPr>
      <w:r>
        <w:rPr>
          <w:rFonts w:ascii="Amiri" w:hAnsi="Amiri" w:eastAsia="Amiri" w:cs="Amiri"/>
          <w:lang w:bidi="ar-SA"/>
          <w:color w:val="111111"/>
          <w:sz w:val="28"/>
          <w:szCs w:val="28"/>
          <w:rtl/>
        </w:rPr>
        <w:t xml:space="preserve">2 .شرح شافية أبي فراس في مناقب آل الرسول و مثالب بني العباس، ج9،</w:t>
      </w:r>
    </w:p>
    <w:p>
      <w:pPr>
        <w:pStyle w:val="BookText"/>
      </w:pPr>
      <w:r>
        <w:rPr>
          <w:rFonts w:ascii="IRNazanin" w:hAnsi="IRNazanin" w:eastAsia="IRNazanin" w:cs="IRNazanin"/>
          <w:lang w:bidi="fa-IR"/>
          <w:color w:val="111111"/>
          <w:sz w:val="28"/>
          <w:szCs w:val="28"/>
          <w:rtl/>
        </w:rPr>
        <w:t xml:space="preserve">ص 612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نفثات المصدور، ج 16، ص 378.</w:t>
      </w:r>
    </w:p>
    <w:p>
      <w:pPr>
        <w:pStyle w:val="Heading2"/>
      </w:pPr>
      <w:bookmarkStart w:id="3448" w:name="_Toc2550"/>
      <w:r>
        <w:t>حاج درویش</w:t>
      </w:r>
      <w:bookmarkEnd w:id="3448"/>
    </w:p>
    <w:p>
      <w:pPr>
        <w:pStyle w:val="BookText"/>
      </w:pPr>
      <w:r>
        <w:rPr>
          <w:rFonts w:ascii="Amiri" w:hAnsi="Amiri" w:eastAsia="Amiri" w:cs="Amiri"/>
          <w:lang w:bidi="ar-SA"/>
          <w:color w:val="111111"/>
          <w:sz w:val="28"/>
          <w:szCs w:val="28"/>
          <w:rtl/>
        </w:rPr>
        <w:t xml:space="preserve">مدح الشيخ عبد القادر الكيلاني</w:t>
      </w:r>
    </w:p>
    <w:p>
      <w:pPr>
        <w:pStyle w:val="BookText"/>
      </w:pPr>
      <w:r>
        <w:rPr>
          <w:rFonts w:ascii="Amiri" w:hAnsi="Amiri" w:eastAsia="Amiri" w:cs="Amiri"/>
          <w:lang w:bidi="ar-SA"/>
          <w:color w:val="111111"/>
          <w:sz w:val="28"/>
          <w:szCs w:val="28"/>
          <w:rtl/>
        </w:rPr>
        <w:t xml:space="preserve">(قصيدة في)، ج 14 ، ص322.</w:t>
      </w:r>
    </w:p>
    <w:p>
      <w:pPr>
        <w:pStyle w:val="BookText"/>
      </w:pPr>
      <w:r>
        <w:rPr>
          <w:rFonts w:ascii="Amiri" w:hAnsi="Amiri" w:eastAsia="Amiri" w:cs="Amiri"/>
          <w:lang w:bidi="ar-SA"/>
          <w:color w:val="111111"/>
          <w:sz w:val="28"/>
          <w:szCs w:val="28"/>
          <w:rtl/>
        </w:rPr>
        <w:t xml:space="preserve">حاجري ، عيسى بن سنجر- حسام اربلي ،</w:t>
      </w:r>
    </w:p>
    <w:p>
      <w:pPr>
        <w:pStyle w:val="BookText"/>
      </w:pPr>
      <w:r>
        <w:rPr>
          <w:rFonts w:ascii="Amiri" w:hAnsi="Amiri" w:eastAsia="Amiri" w:cs="Amiri"/>
          <w:lang w:bidi="ar-SA"/>
          <w:color w:val="111111"/>
          <w:sz w:val="28"/>
          <w:szCs w:val="28"/>
          <w:rtl/>
        </w:rPr>
        <w:t xml:space="preserve">عيسى بن سنجر</w:t>
      </w:r>
    </w:p>
    <w:p>
      <w:pPr>
        <w:pStyle w:val="Heading2"/>
      </w:pPr>
      <w:bookmarkStart w:id="3449" w:name="_Toc2551"/>
      <w:r>
        <w:t>حاج محمّد حسن قرن 14 ه-</w:t>
      </w:r>
      <w:bookmarkEnd w:id="3449"/>
    </w:p>
    <w:p>
      <w:pPr>
        <w:pStyle w:val="BookText"/>
      </w:pPr>
      <w:r>
        <w:rPr>
          <w:rFonts w:ascii="Amiri" w:hAnsi="Amiri" w:eastAsia="Amiri" w:cs="Amiri"/>
          <w:lang w:bidi="ar-SA"/>
          <w:color w:val="111111"/>
          <w:sz w:val="28"/>
          <w:szCs w:val="28"/>
          <w:rtl/>
        </w:rPr>
        <w:t xml:space="preserve">1 .تحقيق في المنطوق و المعنى، جع،</w:t>
      </w:r>
    </w:p>
    <w:p>
      <w:pPr>
        <w:pStyle w:val="BookText"/>
      </w:pPr>
      <w:r>
        <w:rPr>
          <w:rFonts w:ascii="IRNazanin" w:hAnsi="IRNazanin" w:eastAsia="IRNazanin" w:cs="IRNazanin"/>
          <w:lang w:bidi="fa-IR"/>
          <w:color w:val="111111"/>
          <w:sz w:val="28"/>
          <w:szCs w:val="28"/>
          <w:rtl/>
        </w:rPr>
        <w:t xml:space="preserve">ص 68 .</w:t>
      </w:r>
    </w:p>
    <w:p>
      <w:pPr>
        <w:pStyle w:val="BookText"/>
      </w:pPr>
      <w:r>
        <w:rPr>
          <w:rFonts w:ascii="Amiri" w:hAnsi="Amiri" w:eastAsia="Amiri" w:cs="Amiri"/>
          <w:lang w:bidi="ar-SA"/>
          <w:color w:val="111111"/>
          <w:sz w:val="28"/>
          <w:szCs w:val="28"/>
          <w:rtl/>
        </w:rPr>
        <w:t xml:space="preserve">2 .المطلق والمقيد( رسالة في)، ج 14،</w:t>
      </w:r>
    </w:p>
    <w:p>
      <w:pPr>
        <w:pStyle w:val="BookText"/>
      </w:pPr>
      <w:r>
        <w:rPr>
          <w:rFonts w:ascii="IRNazanin" w:hAnsi="IRNazanin" w:eastAsia="IRNazanin" w:cs="IRNazanin"/>
          <w:lang w:bidi="fa-IR"/>
          <w:color w:val="111111"/>
          <w:sz w:val="28"/>
          <w:szCs w:val="28"/>
          <w:rtl/>
        </w:rPr>
        <w:t xml:space="preserve">ص 801</w:t>
      </w:r>
    </w:p>
    <w:p>
      <w:pPr>
        <w:pStyle w:val="BookText"/>
      </w:pPr>
      <w:r>
        <w:rPr>
          <w:rFonts w:ascii="Amiri" w:hAnsi="Amiri" w:eastAsia="Amiri" w:cs="Amiri"/>
          <w:lang w:bidi="ar-SA"/>
          <w:color w:val="111111"/>
          <w:sz w:val="28"/>
          <w:szCs w:val="28"/>
          <w:rtl/>
        </w:rPr>
        <w:t xml:space="preserve">حاج ملا باباي قزويني- قزويني ، حاج</w:t>
      </w:r>
    </w:p>
    <w:p>
      <w:pPr>
        <w:pStyle w:val="BookText"/>
      </w:pPr>
      <w:r>
        <w:rPr>
          <w:rFonts w:ascii="Amiri" w:hAnsi="Amiri" w:eastAsia="Amiri" w:cs="Amiri"/>
          <w:lang w:bidi="ar-SA"/>
          <w:color w:val="111111"/>
          <w:sz w:val="28"/>
          <w:szCs w:val="28"/>
          <w:rtl/>
        </w:rPr>
        <w:t xml:space="preserve">بابا بن محمّد اسماعيل</w:t>
      </w:r>
    </w:p>
    <w:p>
      <w:pPr>
        <w:pStyle w:val="Heading2"/>
      </w:pPr>
      <w:bookmarkStart w:id="3450" w:name="_Toc2552"/>
      <w:r>
        <w:t>الحاج وادي العطية، 1310 - 1404 ه-</w:t>
      </w:r>
      <w:bookmarkEnd w:id="3450"/>
    </w:p>
    <w:p>
      <w:pPr>
        <w:pStyle w:val="BookText"/>
      </w:pPr>
      <w:r>
        <w:rPr>
          <w:rFonts w:ascii="Amiri" w:hAnsi="Amiri" w:eastAsia="Amiri" w:cs="Amiri"/>
          <w:lang w:bidi="ar-SA"/>
          <w:color w:val="111111"/>
          <w:sz w:val="28"/>
          <w:szCs w:val="28"/>
          <w:rtl/>
        </w:rPr>
        <w:t xml:space="preserve">1 .الأسر والبيوتات في الديوانية، ج 2،</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Amiri" w:hAnsi="Amiri" w:eastAsia="Amiri" w:cs="Amiri"/>
          <w:lang w:bidi="ar-SA"/>
          <w:color w:val="111111"/>
          <w:sz w:val="28"/>
          <w:szCs w:val="28"/>
          <w:rtl/>
        </w:rPr>
        <w:t xml:space="preserve">2 .تاريخ المدن العراقية، ج 3، ص 603.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انساب القبائل الفراتية، ج3،</w:t>
      </w:r>
    </w:p>
    <w:p>
      <w:pPr>
        <w:pStyle w:val="BookText"/>
      </w:pPr>
      <w:r>
        <w:rPr>
          <w:rFonts w:ascii="IRNazanin" w:hAnsi="IRNazanin" w:eastAsia="IRNazanin" w:cs="IRNazanin"/>
          <w:lang w:bidi="fa-IR"/>
          <w:color w:val="111111"/>
          <w:sz w:val="28"/>
          <w:szCs w:val="28"/>
          <w:rtl/>
        </w:rPr>
        <w:t xml:space="preserve">ص 559.</w:t>
      </w:r>
    </w:p>
    <w:p>
      <w:pPr>
        <w:pStyle w:val="BookText"/>
      </w:pPr>
      <w:r>
        <w:rPr>
          <w:rFonts w:ascii="Amiri" w:hAnsi="Amiri" w:eastAsia="Amiri" w:cs="Amiri"/>
          <w:lang w:bidi="ar-SA"/>
          <w:color w:val="111111"/>
          <w:sz w:val="28"/>
          <w:szCs w:val="28"/>
          <w:rtl/>
        </w:rPr>
        <w:t xml:space="preserve">4 .تعليقات على مؤلفات جع،</w:t>
      </w:r>
    </w:p>
    <w:p>
      <w:pPr>
        <w:pStyle w:val="BookText"/>
      </w:pPr>
      <w:r>
        <w:rPr>
          <w:rFonts w:ascii="IRNazanin" w:hAnsi="IRNazanin" w:eastAsia="IRNazanin" w:cs="IRNazanin"/>
          <w:lang w:bidi="fa-IR"/>
          <w:color w:val="111111"/>
          <w:sz w:val="28"/>
          <w:szCs w:val="28"/>
          <w:rtl/>
        </w:rPr>
        <w:t xml:space="preserve">ص 505.</w:t>
      </w:r>
    </w:p>
    <w:p>
      <w:pPr>
        <w:pStyle w:val="BookText"/>
      </w:pPr>
      <w:r>
        <w:rPr>
          <w:rFonts w:ascii="Amiri" w:hAnsi="Amiri" w:eastAsia="Amiri" w:cs="Amiri"/>
          <w:lang w:bidi="ar-SA"/>
          <w:color w:val="111111"/>
          <w:sz w:val="28"/>
          <w:szCs w:val="28"/>
          <w:rtl/>
        </w:rPr>
        <w:t xml:space="preserve">5 .الحوادث المهمة في الفرات، ج 6،</w:t>
      </w:r>
    </w:p>
    <w:p>
      <w:pPr>
        <w:pStyle w:val="BookText"/>
      </w:pPr>
      <w:r>
        <w:rPr>
          <w:rFonts w:ascii="IRNazanin" w:hAnsi="IRNazanin" w:eastAsia="IRNazanin" w:cs="IRNazanin"/>
          <w:lang w:bidi="fa-IR"/>
          <w:color w:val="111111"/>
          <w:sz w:val="28"/>
          <w:szCs w:val="28"/>
          <w:rtl/>
        </w:rPr>
        <w:t xml:space="preserve">ص 829.</w:t>
      </w:r>
    </w:p>
    <w:p>
      <w:pPr>
        <w:pStyle w:val="BookText"/>
      </w:pPr>
      <w:r>
        <w:rPr>
          <w:rFonts w:ascii="Amiri" w:hAnsi="Amiri" w:eastAsia="Amiri" w:cs="Amiri"/>
          <w:lang w:bidi="ar-SA"/>
          <w:color w:val="111111"/>
          <w:sz w:val="28"/>
          <w:szCs w:val="28"/>
          <w:rtl/>
        </w:rPr>
        <w:t xml:space="preserve">6 .مشجرات العلويين ورؤساء العشائر</w:t>
      </w:r>
    </w:p>
    <w:p>
      <w:pPr>
        <w:pStyle w:val="BookText"/>
      </w:pPr>
      <w:r>
        <w:rPr>
          <w:rFonts w:ascii="Amiri" w:hAnsi="Amiri" w:eastAsia="Amiri" w:cs="Amiri"/>
          <w:lang w:bidi="ar-SA"/>
          <w:color w:val="111111"/>
          <w:sz w:val="28"/>
          <w:szCs w:val="28"/>
          <w:rtl/>
        </w:rPr>
        <w:t xml:space="preserve">في الفرات (10) اجزاء، ج 14،</w:t>
      </w:r>
    </w:p>
    <w:p>
      <w:pPr>
        <w:pStyle w:val="BookText"/>
      </w:pPr>
      <w:r>
        <w:rPr>
          <w:rFonts w:ascii="IRNazanin" w:hAnsi="IRNazanin" w:eastAsia="IRNazanin" w:cs="IRNazanin"/>
          <w:lang w:bidi="fa-IR"/>
          <w:color w:val="111111"/>
          <w:sz w:val="28"/>
          <w:szCs w:val="28"/>
          <w:rtl/>
        </w:rPr>
        <w:t xml:space="preserve">ص 623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وفيات العلماء و الرؤساء و الزعماء</w:t>
      </w:r>
    </w:p>
    <w:p>
      <w:pPr>
        <w:pStyle w:val="BookText"/>
      </w:pPr>
      <w:r>
        <w:rPr>
          <w:rFonts w:ascii="IRNazanin" w:hAnsi="IRNazanin" w:eastAsia="IRNazanin" w:cs="IRNazanin"/>
          <w:lang w:bidi="fa-IR"/>
          <w:color w:val="111111"/>
          <w:sz w:val="28"/>
          <w:szCs w:val="28"/>
          <w:rtl/>
        </w:rPr>
        <w:t xml:space="preserve">والادباء، ج 16، ص 858.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1" w:name="pg7742_70090"/>
    <w:bookmarkEnd w:id="351"/>
    <w:p>
      <w:pPr>
        <w:pStyle w:val="BookText"/>
      </w:pPr>
      <w:r>
        <w:rPr>
          <w:rFonts w:ascii="Amiri" w:hAnsi="Amiri" w:eastAsia="Amiri" w:cs="Amiri"/>
          <w:lang w:bidi="ar-SA"/>
          <w:color w:val="111111"/>
          <w:sz w:val="28"/>
          <w:szCs w:val="28"/>
          <w:rtl/>
        </w:rPr>
        <w:t xml:space="preserve">حاجي آتمجه -محمّد بن حاجي آتمجه</w:t>
      </w:r>
    </w:p>
    <w:p>
      <w:pPr>
        <w:pStyle w:val="BookText"/>
      </w:pPr>
      <w:r>
        <w:rPr>
          <w:rFonts w:ascii="Amiri" w:hAnsi="Amiri" w:eastAsia="Amiri" w:cs="Amiri"/>
          <w:lang w:bidi="ar-SA"/>
          <w:color w:val="111111"/>
          <w:sz w:val="28"/>
          <w:szCs w:val="28"/>
          <w:rtl/>
        </w:rPr>
        <w:t xml:space="preserve">حاجي آقا بابا- ملك الاطباء ، محمّد تقي</w:t>
      </w:r>
    </w:p>
    <w:p>
      <w:pPr>
        <w:pStyle w:val="BookText"/>
      </w:pPr>
      <w:r>
        <w:rPr>
          <w:rFonts w:ascii="IRNazanin" w:hAnsi="IRNazanin" w:eastAsia="IRNazanin" w:cs="IRNazanin"/>
          <w:lang w:bidi="fa-IR"/>
          <w:color w:val="111111"/>
          <w:sz w:val="28"/>
          <w:szCs w:val="28"/>
          <w:rtl/>
        </w:rPr>
        <w:t xml:space="preserve">حاجي بابا قزويني- قزويني ، حاج بابا بن محمّد اسماعیل</w:t>
      </w:r>
    </w:p>
    <w:p>
      <w:pPr>
        <w:pStyle w:val="BookText"/>
      </w:pPr>
      <w:r>
        <w:rPr>
          <w:rFonts w:ascii="Amiri" w:hAnsi="Amiri" w:eastAsia="Amiri" w:cs="Amiri"/>
          <w:lang w:bidi="ar-SA"/>
          <w:color w:val="111111"/>
          <w:sz w:val="28"/>
          <w:szCs w:val="28"/>
          <w:rtl/>
        </w:rPr>
        <w:t xml:space="preserve">حارث بن سعيد حمداني تغلبي</w:t>
      </w:r>
    </w:p>
    <w:p>
      <w:pPr>
        <w:pStyle w:val="Heading2"/>
      </w:pPr>
      <w:bookmarkStart w:id="3451" w:name="_Toc2553"/>
      <w:r>
        <w:t>حاجي بكتاش ولي، - 669 ه-</w:t>
      </w:r>
      <w:bookmarkEnd w:id="3451"/>
    </w:p>
    <w:p>
      <w:pPr>
        <w:pStyle w:val="BookText"/>
      </w:pPr>
      <w:r>
        <w:rPr>
          <w:rFonts w:ascii="Amiri" w:hAnsi="Amiri" w:eastAsia="Amiri" w:cs="Amiri"/>
          <w:lang w:bidi="ar-SA"/>
          <w:color w:val="111111"/>
          <w:sz w:val="28"/>
          <w:szCs w:val="28"/>
          <w:rtl/>
        </w:rPr>
        <w:t xml:space="preserve">1 .ديوان حاجي بكتاش (ترجمه)</w:t>
      </w:r>
    </w:p>
    <w:p>
      <w:pPr>
        <w:pStyle w:val="BookText"/>
      </w:pPr>
      <w:r>
        <w:rPr>
          <w:rFonts w:ascii="IRNazanin" w:hAnsi="IRNazanin" w:eastAsia="IRNazanin" w:cs="IRNazanin"/>
          <w:lang w:bidi="fa-IR"/>
          <w:color w:val="111111"/>
          <w:sz w:val="28"/>
          <w:szCs w:val="28"/>
          <w:rtl/>
        </w:rPr>
        <w:t xml:space="preserve">ج 7، ص 614.</w:t>
      </w:r>
    </w:p>
    <w:p>
      <w:pPr>
        <w:pStyle w:val="BookText"/>
      </w:pPr>
      <w:r>
        <w:rPr>
          <w:rFonts w:ascii="IRNazanin" w:hAnsi="IRNazanin" w:eastAsia="IRNazanin" w:cs="IRNazanin"/>
          <w:lang w:bidi="fa-IR"/>
          <w:color w:val="111111"/>
          <w:sz w:val="28"/>
          <w:szCs w:val="28"/>
          <w:rtl/>
        </w:rPr>
        <w:t xml:space="preserve">2 مقالات، ج 15، ص279</w:t>
      </w:r>
    </w:p>
    <w:p>
      <w:pPr>
        <w:pStyle w:val="Heading2"/>
      </w:pPr>
      <w:bookmarkStart w:id="3452" w:name="_Toc2554"/>
      <w:r>
        <w:t>حاجي خليفه ، مصطفى بن عبدالله</w:t>
      </w:r>
      <w:bookmarkEnd w:id="3452"/>
    </w:p>
    <w:p>
      <w:pPr>
        <w:pStyle w:val="BookText"/>
      </w:pPr>
      <w:r>
        <w:rPr>
          <w:rFonts w:ascii="IRNazanin" w:hAnsi="IRNazanin" w:eastAsia="IRNazanin" w:cs="IRNazanin"/>
          <w:lang w:bidi="fa-IR"/>
          <w:color w:val="111111"/>
          <w:sz w:val="28"/>
          <w:szCs w:val="28"/>
          <w:rtl/>
        </w:rPr>
        <w:t xml:space="preserve">100 - 107 ه-</w:t>
      </w:r>
    </w:p>
    <w:p>
      <w:pPr>
        <w:pStyle w:val="BookText"/>
      </w:pPr>
      <w:r>
        <w:rPr>
          <w:rFonts w:ascii="Amiri" w:hAnsi="Amiri" w:eastAsia="Amiri" w:cs="Amiri"/>
          <w:lang w:bidi="ar-SA"/>
          <w:color w:val="111111"/>
          <w:sz w:val="28"/>
          <w:szCs w:val="28"/>
          <w:rtl/>
        </w:rPr>
        <w:t xml:space="preserve">1 .كشف الظنون عن اسامي الكتب و</w:t>
      </w:r>
    </w:p>
    <w:p>
      <w:pPr>
        <w:pStyle w:val="BookText"/>
      </w:pPr>
      <w:r>
        <w:rPr>
          <w:rFonts w:ascii="IRNazanin" w:hAnsi="IRNazanin" w:eastAsia="IRNazanin" w:cs="IRNazanin"/>
          <w:lang w:bidi="fa-IR"/>
          <w:color w:val="111111"/>
          <w:sz w:val="28"/>
          <w:szCs w:val="28"/>
          <w:rtl/>
        </w:rPr>
        <w:t xml:space="preserve">الفنون، ج13، ص 226.</w:t>
      </w:r>
    </w:p>
    <w:p>
      <w:pPr>
        <w:pStyle w:val="BookText"/>
      </w:pPr>
      <w:r>
        <w:rPr>
          <w:rFonts w:ascii="Amiri" w:hAnsi="Amiri" w:eastAsia="Amiri" w:cs="Amiri"/>
          <w:lang w:bidi="ar-SA"/>
          <w:color w:val="111111"/>
          <w:sz w:val="28"/>
          <w:szCs w:val="28"/>
          <w:rtl/>
        </w:rPr>
        <w:t xml:space="preserve">2 .ميزان الحق في اختيار الحق، ج 16،</w:t>
      </w:r>
    </w:p>
    <w:p>
      <w:pPr>
        <w:pStyle w:val="BookText"/>
      </w:pPr>
      <w:r>
        <w:rPr>
          <w:rFonts w:ascii="IRNazanin" w:hAnsi="IRNazanin" w:eastAsia="IRNazanin" w:cs="IRNazanin"/>
          <w:lang w:bidi="fa-IR"/>
          <w:color w:val="111111"/>
          <w:sz w:val="28"/>
          <w:szCs w:val="28"/>
          <w:rtl/>
        </w:rPr>
        <w:t xml:space="preserve">ص 67 .</w:t>
      </w:r>
    </w:p>
    <w:p>
      <w:pPr>
        <w:pStyle w:val="Heading2"/>
      </w:pPr>
      <w:bookmarkStart w:id="3453" w:name="_Toc2555"/>
      <w:r>
        <w:t>حاجي درويش، قرن 13 ه-</w:t>
      </w:r>
      <w:bookmarkEnd w:id="3453"/>
    </w:p>
    <w:p>
      <w:pPr>
        <w:pStyle w:val="BookText"/>
      </w:pPr>
      <w:r>
        <w:rPr>
          <w:rFonts w:ascii="Amiri" w:hAnsi="Amiri" w:eastAsia="Amiri" w:cs="Amiri"/>
          <w:lang w:bidi="ar-SA"/>
          <w:color w:val="111111"/>
          <w:sz w:val="28"/>
          <w:szCs w:val="28"/>
          <w:rtl/>
        </w:rPr>
        <w:t xml:space="preserve">الالفية في الصلاة على اشرف البرية</w:t>
      </w:r>
    </w:p>
    <w:p>
      <w:pPr>
        <w:pStyle w:val="BookText"/>
      </w:pPr>
      <w:r>
        <w:rPr>
          <w:rFonts w:ascii="IRNazanin" w:hAnsi="IRNazanin" w:eastAsia="IRNazanin" w:cs="IRNazanin"/>
          <w:lang w:bidi="fa-IR"/>
          <w:color w:val="111111"/>
          <w:sz w:val="28"/>
          <w:szCs w:val="28"/>
          <w:rtl/>
        </w:rPr>
        <w:t xml:space="preserve">ج 2، ص 687 .</w:t>
      </w:r>
    </w:p>
    <w:p>
      <w:pPr>
        <w:pStyle w:val="Heading2"/>
      </w:pPr>
      <w:bookmarkStart w:id="3454" w:name="_Toc2556"/>
      <w:r>
        <w:t>حادره ، قطبة بن اوس قرن 1 ه-</w:t>
      </w:r>
      <w:bookmarkEnd w:id="3454"/>
    </w:p>
    <w:p>
      <w:pPr>
        <w:pStyle w:val="BookText"/>
      </w:pPr>
      <w:r>
        <w:rPr>
          <w:rFonts w:ascii="Amiri" w:hAnsi="Amiri" w:eastAsia="Amiri" w:cs="Amiri"/>
          <w:lang w:bidi="ar-SA"/>
          <w:color w:val="111111"/>
          <w:sz w:val="28"/>
          <w:szCs w:val="28"/>
          <w:rtl/>
        </w:rPr>
        <w:t xml:space="preserve">ديوان الحادرة، ج 7، ص 614 .</w:t>
      </w:r>
    </w:p>
    <w:p>
      <w:pPr>
        <w:pStyle w:val="Heading2"/>
      </w:pPr>
      <w:bookmarkStart w:id="3455" w:name="_Toc2557"/>
      <w:r>
        <w:t>حاذق ،رضوي ميرمحمّد صادق قرن 12ه-</w:t>
      </w:r>
      <w:bookmarkEnd w:id="3455"/>
    </w:p>
    <w:p>
      <w:pPr>
        <w:pStyle w:val="BookText"/>
      </w:pPr>
      <w:r>
        <w:rPr>
          <w:rFonts w:ascii="Amiri" w:hAnsi="Amiri" w:eastAsia="Amiri" w:cs="Amiri"/>
          <w:lang w:bidi="ar-SA"/>
          <w:color w:val="111111"/>
          <w:sz w:val="28"/>
          <w:szCs w:val="28"/>
          <w:rtl/>
        </w:rPr>
        <w:t xml:space="preserve">اطريفل اعجاز، ج 2، ص 481</w:t>
      </w:r>
    </w:p>
    <w:p>
      <w:pPr>
        <w:pStyle w:val="BookText"/>
      </w:pPr>
      <w:r>
        <w:rPr>
          <w:rFonts w:ascii="Amiri" w:hAnsi="Amiri" w:eastAsia="Amiri" w:cs="Amiri"/>
          <w:lang w:bidi="ar-SA"/>
          <w:color w:val="111111"/>
          <w:sz w:val="28"/>
          <w:szCs w:val="28"/>
          <w:rtl/>
        </w:rPr>
        <w:t xml:space="preserve">حارث بن ابي العلاء سعيد حمداني تغلبي</w:t>
      </w:r>
    </w:p>
    <w:p>
      <w:pPr>
        <w:pStyle w:val="BookText"/>
      </w:pPr>
      <w:r>
        <w:rPr>
          <w:rFonts w:ascii="Amiri" w:hAnsi="Amiri" w:eastAsia="Amiri" w:cs="Amiri"/>
          <w:lang w:bidi="ar-SA"/>
          <w:color w:val="111111"/>
          <w:sz w:val="28"/>
          <w:szCs w:val="28"/>
          <w:rtl/>
        </w:rPr>
        <w:t xml:space="preserve">(ابوفراس) -ابو فراس حمداني ، حارث بن سعيد</w:t>
      </w:r>
    </w:p>
    <w:p>
      <w:pPr>
        <w:pStyle w:val="BookText"/>
      </w:pPr>
      <w:r>
        <w:rPr>
          <w:rFonts w:ascii="Amiri" w:hAnsi="Amiri" w:eastAsia="Amiri" w:cs="Amiri"/>
          <w:lang w:bidi="ar-SA"/>
          <w:color w:val="111111"/>
          <w:sz w:val="28"/>
          <w:szCs w:val="28"/>
          <w:rtl/>
        </w:rPr>
        <w:t xml:space="preserve">حارث بن الامام الكاظم -ابن الكاظم ، حارث بن كاظم</w:t>
      </w:r>
    </w:p>
    <w:p>
      <w:pPr>
        <w:pStyle w:val="BookText"/>
      </w:pPr>
      <w:r>
        <w:rPr>
          <w:rFonts w:ascii="Amiri" w:hAnsi="Amiri" w:eastAsia="Amiri" w:cs="Amiri"/>
          <w:lang w:bidi="ar-SA"/>
          <w:color w:val="111111"/>
          <w:sz w:val="28"/>
          <w:szCs w:val="28"/>
          <w:rtl/>
        </w:rPr>
        <w:t xml:space="preserve">ابوفراس- ابوفراس حمداني ، حارث بن</w:t>
      </w:r>
    </w:p>
    <w:p>
      <w:pPr>
        <w:pStyle w:val="BookText"/>
      </w:pPr>
      <w:r>
        <w:rPr>
          <w:rFonts w:ascii="Amiri" w:hAnsi="Amiri" w:eastAsia="Amiri" w:cs="Amiri"/>
          <w:lang w:bidi="ar-SA"/>
          <w:color w:val="111111"/>
          <w:sz w:val="28"/>
          <w:szCs w:val="28"/>
          <w:rtl/>
        </w:rPr>
        <w:t xml:space="preserve">سعيد</w:t>
      </w:r>
    </w:p>
    <w:p>
      <w:pPr>
        <w:pStyle w:val="Heading2"/>
      </w:pPr>
      <w:bookmarkStart w:id="3456" w:name="_Toc2558"/>
      <w:r>
        <w:t>حارث محاسبي ، حارث بن اسد، 165 - 243 ه-</w:t>
      </w:r>
      <w:bookmarkEnd w:id="3456"/>
    </w:p>
    <w:p>
      <w:pPr>
        <w:pStyle w:val="BookText"/>
      </w:pPr>
      <w:r>
        <w:rPr>
          <w:rFonts w:ascii="Amiri" w:hAnsi="Amiri" w:eastAsia="Amiri" w:cs="Amiri"/>
          <w:lang w:bidi="ar-SA"/>
          <w:color w:val="111111"/>
          <w:sz w:val="28"/>
          <w:szCs w:val="28"/>
          <w:rtl/>
        </w:rPr>
        <w:t xml:space="preserve">الرعاية لحقوق الله عز و جل، ج8،</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Amiri" w:hAnsi="Amiri" w:eastAsia="Amiri" w:cs="Amiri"/>
          <w:lang w:bidi="ar-SA"/>
          <w:color w:val="111111"/>
          <w:sz w:val="28"/>
          <w:szCs w:val="28"/>
          <w:rtl/>
        </w:rPr>
        <w:t xml:space="preserve">حارثي ، حسين بن عبد الصمد- عاملي</w:t>
      </w:r>
    </w:p>
    <w:p>
      <w:pPr>
        <w:pStyle w:val="BookText"/>
      </w:pPr>
      <w:r>
        <w:rPr>
          <w:rFonts w:ascii="Amiri" w:hAnsi="Amiri" w:eastAsia="Amiri" w:cs="Amiri"/>
          <w:lang w:bidi="ar-SA"/>
          <w:color w:val="111111"/>
          <w:sz w:val="28"/>
          <w:szCs w:val="28"/>
          <w:rtl/>
        </w:rPr>
        <w:t xml:space="preserve">حسين بن عبدالصمد</w:t>
      </w:r>
    </w:p>
    <w:p>
      <w:pPr>
        <w:pStyle w:val="BookText"/>
      </w:pPr>
      <w:r>
        <w:rPr>
          <w:rFonts w:ascii="Amiri" w:hAnsi="Amiri" w:eastAsia="Amiri" w:cs="Amiri"/>
          <w:lang w:bidi="ar-SA"/>
          <w:color w:val="111111"/>
          <w:sz w:val="28"/>
          <w:szCs w:val="28"/>
          <w:rtl/>
        </w:rPr>
        <w:t xml:space="preserve">حارثي ، حسين بن محمد -بارع بغدادي ،</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حارثي عاملي ، حسين بن</w:t>
      </w:r>
    </w:p>
    <w:p>
      <w:pPr>
        <w:pStyle w:val="BookText"/>
      </w:pPr>
      <w:r>
        <w:rPr>
          <w:rFonts w:ascii="Amiri" w:hAnsi="Amiri" w:eastAsia="Amiri" w:cs="Amiri"/>
          <w:lang w:bidi="ar-SA"/>
          <w:color w:val="111111"/>
          <w:sz w:val="28"/>
          <w:szCs w:val="28"/>
          <w:rtl/>
        </w:rPr>
        <w:t xml:space="preserve">عبد الصمد- عاملي ، حسين بن عبدالصمد</w:t>
      </w:r>
    </w:p>
    <w:p>
      <w:pPr>
        <w:pStyle w:val="BookText"/>
      </w:pPr>
      <w:r>
        <w:rPr>
          <w:rFonts w:ascii="Amiri" w:hAnsi="Amiri" w:eastAsia="Amiri" w:cs="Amiri"/>
          <w:lang w:bidi="ar-SA"/>
          <w:color w:val="111111"/>
          <w:sz w:val="28"/>
          <w:szCs w:val="28"/>
          <w:rtl/>
        </w:rPr>
        <w:t xml:space="preserve">حارثي ، عبد اللطيف بن علي- عاملي</w:t>
      </w:r>
    </w:p>
    <w:p>
      <w:pPr>
        <w:pStyle w:val="BookText"/>
      </w:pPr>
      <w:r>
        <w:rPr>
          <w:rFonts w:ascii="Amiri" w:hAnsi="Amiri" w:eastAsia="Amiri" w:cs="Amiri"/>
          <w:lang w:bidi="ar-SA"/>
          <w:color w:val="111111"/>
          <w:sz w:val="28"/>
          <w:szCs w:val="28"/>
          <w:rtl/>
        </w:rPr>
        <w:t xml:space="preserve">عبداللطيف بن علي</w:t>
      </w:r>
    </w:p>
    <w:p>
      <w:pPr>
        <w:pStyle w:val="BookText"/>
      </w:pPr>
      <w:r>
        <w:rPr>
          <w:rFonts w:ascii="Amiri" w:hAnsi="Amiri" w:eastAsia="Amiri" w:cs="Amiri"/>
          <w:lang w:bidi="ar-SA"/>
          <w:color w:val="111111"/>
          <w:sz w:val="28"/>
          <w:szCs w:val="28"/>
          <w:rtl/>
        </w:rPr>
        <w:t xml:space="preserve">حارثي عاملي ، علي بن حسين -عاملي ،</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حارثي ، عمرو بن عثمان -سيبويه ، عمرو</w:t>
      </w:r>
    </w:p>
    <w:p>
      <w:pPr>
        <w:pStyle w:val="BookText"/>
      </w:pPr>
      <w:r>
        <w:rPr>
          <w:rFonts w:ascii="Amiri" w:hAnsi="Amiri" w:eastAsia="Amiri" w:cs="Amiri"/>
          <w:lang w:bidi="ar-SA"/>
          <w:color w:val="111111"/>
          <w:sz w:val="28"/>
          <w:szCs w:val="28"/>
          <w:rtl/>
        </w:rPr>
        <w:t xml:space="preserve">بن عثمان حارثي ، محمّد بن علي- ابوطالب مكي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حارثي ، محمّد بن علي- جباعي حارثي ،</w:t>
      </w:r>
    </w:p>
    <w:p>
      <w:pPr>
        <w:pStyle w:val="BookText"/>
      </w:pPr>
      <w:r>
        <w:rPr>
          <w:rFonts w:ascii="Amiri" w:hAnsi="Amiri" w:eastAsia="Amiri" w:cs="Amiri"/>
          <w:lang w:bidi="ar-SA"/>
          <w:color w:val="111111"/>
          <w:sz w:val="28"/>
          <w:szCs w:val="28"/>
          <w:rtl/>
        </w:rPr>
        <w:t xml:space="preserve">محمّد بن علي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2" w:name="pg7742_70092"/>
    <w:bookmarkEnd w:id="352"/>
    <w:p>
      <w:pPr>
        <w:pStyle w:val="Heading2"/>
      </w:pPr>
      <w:bookmarkStart w:id="3457" w:name="_Toc2559"/>
      <w:r>
        <w:t>حارثي ، مسعود بن احمد - 711 ه-</w:t>
      </w:r>
      <w:bookmarkEnd w:id="3457"/>
    </w:p>
    <w:p>
      <w:pPr>
        <w:pStyle w:val="BookText"/>
      </w:pPr>
      <w:r>
        <w:rPr>
          <w:rFonts w:ascii="Amiri" w:hAnsi="Amiri" w:eastAsia="Amiri" w:cs="Amiri"/>
          <w:lang w:bidi="ar-SA"/>
          <w:color w:val="111111"/>
          <w:sz w:val="28"/>
          <w:szCs w:val="28"/>
          <w:rtl/>
        </w:rPr>
        <w:t xml:space="preserve">مشيخة المراغي الحنبلي، ج 14،</w:t>
      </w:r>
    </w:p>
    <w:p>
      <w:pPr>
        <w:pStyle w:val="BookText"/>
      </w:pPr>
      <w:r>
        <w:rPr>
          <w:rFonts w:ascii="IRNazanin" w:hAnsi="IRNazanin" w:eastAsia="IRNazanin" w:cs="IRNazanin"/>
          <w:lang w:bidi="fa-IR"/>
          <w:color w:val="111111"/>
          <w:sz w:val="28"/>
          <w:szCs w:val="28"/>
          <w:rtl/>
        </w:rPr>
        <w:t xml:space="preserve">ص 655 .</w:t>
      </w:r>
    </w:p>
    <w:p>
      <w:pPr>
        <w:pStyle w:val="BookText"/>
      </w:pPr>
      <w:r>
        <w:rPr>
          <w:rFonts w:ascii="Amiri" w:hAnsi="Amiri" w:eastAsia="Amiri" w:cs="Amiri"/>
          <w:lang w:bidi="ar-SA"/>
          <w:color w:val="111111"/>
          <w:sz w:val="28"/>
          <w:szCs w:val="28"/>
          <w:rtl/>
        </w:rPr>
        <w:t xml:space="preserve">حارثي همداني عاملي ، حسين بن عبد الصمد -عاملي ، حسين بن عبدالصمد</w:t>
      </w:r>
    </w:p>
    <w:p>
      <w:pPr>
        <w:pStyle w:val="Heading2"/>
      </w:pPr>
      <w:bookmarkStart w:id="3458" w:name="_Toc2560"/>
      <w:r>
        <w:t>حارثي همداني قاسم بن محمّد - 1237ه-</w:t>
      </w:r>
      <w:bookmarkEnd w:id="3458"/>
    </w:p>
    <w:p>
      <w:pPr>
        <w:pStyle w:val="BookText"/>
      </w:pPr>
      <w:r>
        <w:rPr>
          <w:rFonts w:ascii="Amiri" w:hAnsi="Amiri" w:eastAsia="Amiri" w:cs="Amiri"/>
          <w:lang w:bidi="ar-SA"/>
          <w:color w:val="111111"/>
          <w:sz w:val="28"/>
          <w:szCs w:val="28"/>
          <w:rtl/>
        </w:rPr>
        <w:t xml:space="preserve">نهج الانام إلى مدارك الاحكام، ج 16</w:t>
      </w:r>
    </w:p>
    <w:p>
      <w:pPr>
        <w:pStyle w:val="BookText"/>
      </w:pPr>
      <w:r>
        <w:rPr>
          <w:rFonts w:ascii="IRNazanin" w:hAnsi="IRNazanin" w:eastAsia="IRNazanin" w:cs="IRNazanin"/>
          <w:lang w:bidi="fa-IR"/>
          <w:color w:val="111111"/>
          <w:sz w:val="28"/>
          <w:szCs w:val="28"/>
          <w:rtl/>
        </w:rPr>
        <w:t xml:space="preserve">ص 514.</w:t>
      </w:r>
    </w:p>
    <w:p>
      <w:pPr>
        <w:pStyle w:val="BookText"/>
      </w:pPr>
      <w:r>
        <w:rPr>
          <w:rFonts w:ascii="Amiri" w:hAnsi="Amiri" w:eastAsia="Amiri" w:cs="Amiri"/>
          <w:lang w:bidi="ar-SA"/>
          <w:color w:val="111111"/>
          <w:sz w:val="28"/>
          <w:szCs w:val="28"/>
          <w:rtl/>
        </w:rPr>
        <w:t xml:space="preserve">حازم بن فؤاد بن محمّد نجيب الحسيني</w:t>
      </w:r>
    </w:p>
    <w:p>
      <w:pPr>
        <w:pStyle w:val="BookText"/>
      </w:pPr>
      <w:r>
        <w:rPr>
          <w:rFonts w:ascii="Amiri" w:hAnsi="Amiri" w:eastAsia="Amiri" w:cs="Amiri"/>
          <w:lang w:bidi="ar-SA"/>
          <w:color w:val="111111"/>
          <w:sz w:val="28"/>
          <w:szCs w:val="28"/>
          <w:rtl/>
        </w:rPr>
        <w:t xml:space="preserve">الاعرجي- اعرجي ، حازم بن فؤاد</w:t>
      </w:r>
    </w:p>
    <w:p>
      <w:pPr>
        <w:pStyle w:val="BookText"/>
      </w:pPr>
      <w:r>
        <w:rPr>
          <w:rFonts w:ascii="Amiri" w:hAnsi="Amiri" w:eastAsia="Amiri" w:cs="Amiri"/>
          <w:lang w:bidi="ar-SA"/>
          <w:color w:val="111111"/>
          <w:sz w:val="28"/>
          <w:szCs w:val="28"/>
          <w:rtl/>
        </w:rPr>
        <w:t xml:space="preserve">حازم مفتي- مفتي ، حازم</w:t>
      </w:r>
    </w:p>
    <w:p>
      <w:pPr>
        <w:pStyle w:val="Heading2"/>
      </w:pPr>
      <w:bookmarkStart w:id="3459" w:name="_Toc2561"/>
      <w:r>
        <w:t>حازمي ، محمّد بن موسى، 549 - 584 ه-</w:t>
      </w:r>
      <w:bookmarkEnd w:id="3459"/>
    </w:p>
    <w:p>
      <w:pPr>
        <w:pStyle w:val="BookText"/>
      </w:pPr>
      <w:r>
        <w:rPr>
          <w:rFonts w:ascii="Amiri" w:hAnsi="Amiri" w:eastAsia="Amiri" w:cs="Amiri"/>
          <w:lang w:bidi="ar-SA"/>
          <w:color w:val="111111"/>
          <w:sz w:val="28"/>
          <w:szCs w:val="28"/>
          <w:rtl/>
        </w:rPr>
        <w:t xml:space="preserve">شروط الائمة الخمسة، ج 10، ص 358.</w:t>
      </w:r>
    </w:p>
    <w:p>
      <w:pPr>
        <w:pStyle w:val="BookText"/>
      </w:pPr>
      <w:r>
        <w:rPr>
          <w:rFonts w:ascii="Amiri" w:hAnsi="Amiri" w:eastAsia="Amiri" w:cs="Amiri"/>
          <w:lang w:bidi="ar-SA"/>
          <w:color w:val="111111"/>
          <w:sz w:val="28"/>
          <w:szCs w:val="28"/>
          <w:rtl/>
        </w:rPr>
        <w:t xml:space="preserve">حاسب طبري - طبري ، محمّد بن ايوب</w:t>
      </w:r>
    </w:p>
    <w:p>
      <w:pPr>
        <w:pStyle w:val="BookText"/>
      </w:pPr>
      <w:r>
        <w:rPr>
          <w:rFonts w:ascii="Amiri" w:hAnsi="Amiri" w:eastAsia="Amiri" w:cs="Amiri"/>
          <w:lang w:bidi="ar-SA"/>
          <w:color w:val="111111"/>
          <w:sz w:val="28"/>
          <w:szCs w:val="28"/>
          <w:rtl/>
        </w:rPr>
        <w:t xml:space="preserve">حاسب ، عبدالله بن محمّد- حربوي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حاسب ، عطارد بن محمّد -بابلي ، عطارد بن محمّد</w:t>
      </w:r>
    </w:p>
    <w:p>
      <w:pPr>
        <w:pStyle w:val="BookText"/>
      </w:pPr>
      <w:r>
        <w:rPr>
          <w:rFonts w:ascii="Amiri" w:hAnsi="Amiri" w:eastAsia="Amiri" w:cs="Amiri"/>
          <w:lang w:bidi="ar-SA"/>
          <w:color w:val="111111"/>
          <w:sz w:val="28"/>
          <w:szCs w:val="28"/>
          <w:rtl/>
        </w:rPr>
        <w:t xml:space="preserve">حاسب كرخي ، ابوبكر محمّد -كرخي</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حاسب ، محمّد بن محمّد- ابوالوفاي</w:t>
      </w:r>
    </w:p>
    <w:p>
      <w:pPr>
        <w:pStyle w:val="BookText"/>
      </w:pPr>
      <w:r>
        <w:rPr>
          <w:rFonts w:ascii="Amiri" w:hAnsi="Amiri" w:eastAsia="Amiri" w:cs="Amiri"/>
          <w:lang w:bidi="ar-SA"/>
          <w:color w:val="111111"/>
          <w:sz w:val="28"/>
          <w:szCs w:val="28"/>
          <w:rtl/>
        </w:rPr>
        <w:t xml:space="preserve">بوزجاني ، محمّد بن محمّد</w:t>
      </w:r>
    </w:p>
    <w:p>
      <w:pPr>
        <w:pStyle w:val="Heading2"/>
      </w:pPr>
      <w:bookmarkStart w:id="3460" w:name="_Toc2562"/>
      <w:r>
        <w:t>حاسفطي ، يوسف بن احمد</w:t>
      </w:r>
      <w:bookmarkEnd w:id="3460"/>
    </w:p>
    <w:p>
      <w:pPr>
        <w:pStyle w:val="BookText"/>
      </w:pPr>
      <w:r>
        <w:rPr>
          <w:rFonts w:ascii="Amiri" w:hAnsi="Amiri" w:eastAsia="Amiri" w:cs="Amiri"/>
          <w:lang w:bidi="ar-SA"/>
          <w:color w:val="111111"/>
          <w:sz w:val="28"/>
          <w:szCs w:val="28"/>
          <w:rtl/>
        </w:rPr>
        <w:t xml:space="preserve">اسماء شيوخ الفقه (رسالة في)، ج2،</w:t>
      </w:r>
    </w:p>
    <w:p>
      <w:pPr>
        <w:pStyle w:val="BookText"/>
      </w:pPr>
      <w:r>
        <w:rPr>
          <w:rFonts w:ascii="IRNazanin" w:hAnsi="IRNazanin" w:eastAsia="IRNazanin" w:cs="IRNazanin"/>
          <w:lang w:bidi="fa-IR"/>
          <w:color w:val="111111"/>
          <w:sz w:val="28"/>
          <w:szCs w:val="28"/>
          <w:rtl/>
        </w:rPr>
        <w:t xml:space="preserve">ص228.</w:t>
      </w:r>
    </w:p>
    <w:p>
      <w:pPr>
        <w:pStyle w:val="BookText"/>
      </w:pPr>
      <w:r>
        <w:rPr>
          <w:rFonts w:ascii="IRNazanin" w:hAnsi="IRNazanin" w:eastAsia="IRNazanin" w:cs="IRNazanin"/>
          <w:lang w:bidi="fa-IR"/>
          <w:color w:val="111111"/>
          <w:sz w:val="28"/>
          <w:szCs w:val="28"/>
          <w:rtl/>
        </w:rPr>
        <w:t xml:space="preserve">حاسم ، اسعد پاشا -كوبريلي زاده ، اسعد باشا</w:t>
      </w:r>
    </w:p>
    <w:p>
      <w:pPr>
        <w:pStyle w:val="BookText"/>
      </w:pPr>
      <w:r>
        <w:rPr>
          <w:rFonts w:ascii="IRNazanin" w:hAnsi="IRNazanin" w:eastAsia="IRNazanin" w:cs="IRNazanin"/>
          <w:lang w:bidi="fa-IR"/>
          <w:color w:val="111111"/>
          <w:sz w:val="28"/>
          <w:szCs w:val="28"/>
          <w:rtl/>
        </w:rPr>
        <w:t xml:space="preserve">حاصبكي ، مسعود بن احمد -سعدالدین</w:t>
      </w:r>
    </w:p>
    <w:p>
      <w:pPr>
        <w:pStyle w:val="BookText"/>
      </w:pPr>
      <w:r>
        <w:rPr>
          <w:rFonts w:ascii="Amiri" w:hAnsi="Amiri" w:eastAsia="Amiri" w:cs="Amiri"/>
          <w:lang w:bidi="ar-SA"/>
          <w:color w:val="111111"/>
          <w:sz w:val="28"/>
          <w:szCs w:val="28"/>
          <w:rtl/>
        </w:rPr>
        <w:t xml:space="preserve">مسعود بن احمد حاصي، موفق بن مجد خاصي ، موفق</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حافظ اصفهاني ، احمد بن موسی- ابن</w:t>
      </w:r>
    </w:p>
    <w:p>
      <w:pPr>
        <w:pStyle w:val="BookText"/>
      </w:pPr>
      <w:r>
        <w:rPr>
          <w:rFonts w:ascii="Amiri" w:hAnsi="Amiri" w:eastAsia="Amiri" w:cs="Amiri"/>
          <w:lang w:bidi="ar-SA"/>
          <w:color w:val="111111"/>
          <w:sz w:val="28"/>
          <w:szCs w:val="28"/>
          <w:rtl/>
        </w:rPr>
        <w:t xml:space="preserve">مردويه ، احمد بن موسى</w:t>
      </w:r>
    </w:p>
    <w:p>
      <w:pPr>
        <w:pStyle w:val="Heading2"/>
      </w:pPr>
      <w:bookmarkStart w:id="3461" w:name="_Toc2563"/>
      <w:r>
        <w:t>حافظ اصفهاني ، محمّد طاهر بن عرب</w:t>
      </w:r>
      <w:bookmarkEnd w:id="3461"/>
    </w:p>
    <w:p>
      <w:pPr>
        <w:pStyle w:val="BookText"/>
      </w:pPr>
      <w:r>
        <w:rPr>
          <w:rFonts w:ascii="IRNazanin" w:hAnsi="IRNazanin" w:eastAsia="IRNazanin" w:cs="IRNazanin"/>
          <w:lang w:bidi="fa-IR"/>
          <w:color w:val="111111"/>
          <w:sz w:val="28"/>
          <w:szCs w:val="28"/>
          <w:rtl/>
        </w:rPr>
        <w:t xml:space="preserve">186 - 875 ه-</w:t>
      </w:r>
    </w:p>
    <w:p>
      <w:pPr>
        <w:pStyle w:val="BookText"/>
      </w:pPr>
      <w:r>
        <w:rPr>
          <w:rFonts w:ascii="Amiri" w:hAnsi="Amiri" w:eastAsia="Amiri" w:cs="Amiri"/>
          <w:lang w:bidi="ar-SA"/>
          <w:color w:val="111111"/>
          <w:sz w:val="28"/>
          <w:szCs w:val="28"/>
          <w:rtl/>
        </w:rPr>
        <w:t xml:space="preserve">1 .الطاهرة في القراءات العشر</w:t>
      </w:r>
    </w:p>
    <w:p>
      <w:pPr>
        <w:pStyle w:val="BookText"/>
      </w:pPr>
      <w:r>
        <w:rPr>
          <w:rFonts w:ascii="Amiri" w:hAnsi="Amiri" w:eastAsia="Amiri" w:cs="Amiri"/>
          <w:lang w:bidi="ar-SA"/>
          <w:color w:val="111111"/>
          <w:sz w:val="28"/>
          <w:szCs w:val="28"/>
          <w:rtl/>
        </w:rPr>
        <w:t xml:space="preserve">الباهرة، ج 10، ص 734.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منهل العطشان في رسم احرف</w:t>
      </w:r>
    </w:p>
    <w:p>
      <w:pPr>
        <w:pStyle w:val="BookText"/>
      </w:pPr>
      <w:r>
        <w:rPr>
          <w:rFonts w:ascii="IRNazanin" w:hAnsi="IRNazanin" w:eastAsia="IRNazanin" w:cs="IRNazanin"/>
          <w:lang w:bidi="fa-IR"/>
          <w:color w:val="111111"/>
          <w:sz w:val="28"/>
          <w:szCs w:val="28"/>
          <w:rtl/>
        </w:rPr>
        <w:t xml:space="preserve">القرآن، ج 15، ص 816.</w:t>
      </w:r>
    </w:p>
    <w:p>
      <w:pPr>
        <w:pStyle w:val="Heading2"/>
      </w:pPr>
      <w:bookmarkStart w:id="3462" w:name="_Toc2564"/>
      <w:r>
        <w:t>حافظ امان الله</w:t>
      </w:r>
      <w:bookmarkEnd w:id="3462"/>
    </w:p>
    <w:p>
      <w:pPr>
        <w:pStyle w:val="BookText"/>
      </w:pPr>
      <w:r>
        <w:rPr>
          <w:rFonts w:ascii="Amiri" w:hAnsi="Amiri" w:eastAsia="Amiri" w:cs="Amiri"/>
          <w:lang w:bidi="ar-SA"/>
          <w:color w:val="111111"/>
          <w:sz w:val="28"/>
          <w:szCs w:val="28"/>
          <w:rtl/>
        </w:rPr>
        <w:t xml:space="preserve">تحقيق وجود الكلي الطبيعي في</w:t>
      </w:r>
    </w:p>
    <w:p>
      <w:pPr>
        <w:pStyle w:val="BookText"/>
      </w:pPr>
      <w:r>
        <w:rPr>
          <w:rFonts w:ascii="IRNazanin" w:hAnsi="IRNazanin" w:eastAsia="IRNazanin" w:cs="IRNazanin"/>
          <w:lang w:bidi="fa-IR"/>
          <w:color w:val="111111"/>
          <w:sz w:val="28"/>
          <w:szCs w:val="28"/>
          <w:rtl/>
        </w:rPr>
        <w:t xml:space="preserve">الخارج، ج4، ص83.</w:t>
      </w:r>
    </w:p>
    <w:p>
      <w:pPr>
        <w:pStyle w:val="BookText"/>
      </w:pPr>
      <w:r>
        <w:rPr>
          <w:rFonts w:ascii="Amiri" w:hAnsi="Amiri" w:eastAsia="Amiri" w:cs="Amiri"/>
          <w:lang w:bidi="ar-SA"/>
          <w:color w:val="111111"/>
          <w:sz w:val="28"/>
          <w:szCs w:val="28"/>
          <w:rtl/>
        </w:rPr>
        <w:t xml:space="preserve">حافظ بادكوبي بادكوبي ، حافظ</w:t>
      </w:r>
    </w:p>
    <w:p>
      <w:pPr>
        <w:pStyle w:val="Heading2"/>
      </w:pPr>
      <w:bookmarkStart w:id="3463" w:name="_Toc2565"/>
      <w:r>
        <w:t>حافظ برسي ، رجب بن محمّد قرن 9 ه-</w:t>
      </w:r>
      <w:bookmarkEnd w:id="3463"/>
    </w:p>
    <w:p>
      <w:pPr>
        <w:pStyle w:val="BookText"/>
      </w:pPr>
      <w:r>
        <w:rPr>
          <w:rFonts w:ascii="Amiri" w:hAnsi="Amiri" w:eastAsia="Amiri" w:cs="Amiri"/>
          <w:lang w:bidi="ar-SA"/>
          <w:color w:val="111111"/>
          <w:sz w:val="28"/>
          <w:szCs w:val="28"/>
          <w:rtl/>
        </w:rPr>
        <w:t xml:space="preserve">1 .اسرار الائمة، ج 2، ص 162.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الاشارات، ج 2، ص 247.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الالفين في وصف صفات سادة</w:t>
      </w:r>
    </w:p>
    <w:p>
      <w:pPr>
        <w:pStyle w:val="BookText"/>
      </w:pPr>
      <w:r>
        <w:rPr>
          <w:rFonts w:ascii="Amiri" w:hAnsi="Amiri" w:eastAsia="Amiri" w:cs="Amiri"/>
          <w:lang w:bidi="ar-SA"/>
          <w:color w:val="111111"/>
          <w:sz w:val="28"/>
          <w:szCs w:val="28"/>
          <w:rtl/>
        </w:rPr>
        <w:t xml:space="preserve">الكونين، ج2، ص 693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3" w:name="pg7742_70094"/>
    <w:bookmarkEnd w:id="35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خواص اسماء الحسنى، ج7،</w:t>
      </w:r>
    </w:p>
    <w:p>
      <w:pPr>
        <w:pStyle w:val="BookText"/>
      </w:pPr>
      <w:r>
        <w:rPr>
          <w:rFonts w:ascii="IRNazanin" w:hAnsi="IRNazanin" w:eastAsia="IRNazanin" w:cs="IRNazanin"/>
          <w:lang w:bidi="fa-IR"/>
          <w:color w:val="111111"/>
          <w:sz w:val="28"/>
          <w:szCs w:val="28"/>
          <w:rtl/>
        </w:rPr>
        <w:t xml:space="preserve">ص 171 .</w:t>
      </w:r>
    </w:p>
    <w:p>
      <w:pPr>
        <w:pStyle w:val="BookText"/>
      </w:pPr>
      <w:r>
        <w:rPr>
          <w:rFonts w:ascii="Amiri" w:hAnsi="Amiri" w:eastAsia="Amiri" w:cs="Amiri"/>
          <w:lang w:bidi="ar-SA"/>
          <w:color w:val="111111"/>
          <w:sz w:val="28"/>
          <w:szCs w:val="28"/>
          <w:rtl/>
        </w:rPr>
        <w:t xml:space="preserve">5 .يوان حافظ برسي، ج7، ص 615.</w:t>
      </w:r>
    </w:p>
    <w:p>
      <w:pPr>
        <w:pStyle w:val="BookText"/>
      </w:pPr>
      <w:r>
        <w:rPr>
          <w:rFonts w:ascii="Amiri" w:hAnsi="Amiri" w:eastAsia="Amiri" w:cs="Amiri"/>
          <w:lang w:bidi="ar-SA"/>
          <w:color w:val="111111"/>
          <w:sz w:val="28"/>
          <w:szCs w:val="28"/>
          <w:rtl/>
        </w:rPr>
        <w:t xml:space="preserve">6 .لوامع انوار التمجيد و جوامع اسراره في التوحيد، ج 13، ص 646 .</w:t>
      </w:r>
    </w:p>
    <w:p>
      <w:pPr>
        <w:pStyle w:val="BookText"/>
      </w:pPr>
      <w:r>
        <w:rPr>
          <w:rFonts w:ascii="Amiri" w:hAnsi="Amiri" w:eastAsia="Amiri" w:cs="Amiri"/>
          <w:lang w:bidi="ar-SA"/>
          <w:color w:val="111111"/>
          <w:sz w:val="28"/>
          <w:szCs w:val="28"/>
          <w:rtl/>
        </w:rPr>
        <w:t xml:space="preserve">7 .مشارق انوار اليقين في حقايق اسرار</w:t>
      </w:r>
    </w:p>
    <w:p>
      <w:pPr>
        <w:pStyle w:val="BookText"/>
      </w:pPr>
      <w:r>
        <w:rPr>
          <w:rFonts w:ascii="Amiri" w:hAnsi="Amiri" w:eastAsia="Amiri" w:cs="Amiri"/>
          <w:lang w:bidi="ar-SA"/>
          <w:color w:val="111111"/>
          <w:sz w:val="28"/>
          <w:szCs w:val="28"/>
          <w:rtl/>
        </w:rPr>
        <w:t xml:space="preserve">اميرالمؤمنين، ج 14 ، ص 612.</w:t>
      </w:r>
    </w:p>
    <w:p>
      <w:pPr>
        <w:pStyle w:val="Heading2"/>
      </w:pPr>
      <w:bookmarkStart w:id="3464" w:name="_Toc2566"/>
      <w:r>
        <w:t>حافظ توني، حسين بن شجاع - 879؟ ه-</w:t>
      </w:r>
      <w:bookmarkEnd w:id="3464"/>
    </w:p>
    <w:p>
      <w:pPr>
        <w:pStyle w:val="BookText"/>
      </w:pPr>
      <w:r>
        <w:rPr>
          <w:rFonts w:ascii="Amiri" w:hAnsi="Amiri" w:eastAsia="Amiri" w:cs="Amiri"/>
          <w:lang w:bidi="ar-SA"/>
          <w:color w:val="111111"/>
          <w:sz w:val="28"/>
          <w:szCs w:val="28"/>
          <w:rtl/>
        </w:rPr>
        <w:t xml:space="preserve">1 .التبيان في بيان القرآن، ج3،</w:t>
      </w:r>
    </w:p>
    <w:p>
      <w:pPr>
        <w:pStyle w:val="BookText"/>
      </w:pPr>
      <w:r>
        <w:rPr>
          <w:rFonts w:ascii="IRNazanin" w:hAnsi="IRNazanin" w:eastAsia="IRNazanin" w:cs="IRNazanin"/>
          <w:lang w:bidi="fa-IR"/>
          <w:color w:val="111111"/>
          <w:sz w:val="28"/>
          <w:szCs w:val="28"/>
          <w:rtl/>
        </w:rPr>
        <w:t xml:space="preserve">ص 654 .</w:t>
      </w:r>
    </w:p>
    <w:p>
      <w:pPr>
        <w:pStyle w:val="BookText"/>
      </w:pPr>
      <w:r>
        <w:rPr>
          <w:rFonts w:ascii="Amiri" w:hAnsi="Amiri" w:eastAsia="Amiri" w:cs="Amiri"/>
          <w:lang w:bidi="ar-SA"/>
          <w:color w:val="111111"/>
          <w:sz w:val="28"/>
          <w:szCs w:val="28"/>
          <w:rtl/>
        </w:rPr>
        <w:t xml:space="preserve">2 .المفيد في علم التجويد، ج 15</w:t>
      </w:r>
    </w:p>
    <w:p>
      <w:pPr>
        <w:pStyle w:val="BookText"/>
      </w:pPr>
      <w:r>
        <w:rPr>
          <w:rFonts w:ascii="IRNazanin" w:hAnsi="IRNazanin" w:eastAsia="IRNazanin" w:cs="IRNazanin"/>
          <w:lang w:bidi="fa-IR"/>
          <w:color w:val="111111"/>
          <w:sz w:val="28"/>
          <w:szCs w:val="28"/>
          <w:rtl/>
        </w:rPr>
        <w:t xml:space="preserve">ص 261.</w:t>
      </w:r>
    </w:p>
    <w:p>
      <w:pPr>
        <w:pStyle w:val="BookText"/>
      </w:pPr>
      <w:r>
        <w:rPr>
          <w:rFonts w:ascii="Amiri" w:hAnsi="Amiri" w:eastAsia="Amiri" w:cs="Amiri"/>
          <w:lang w:bidi="ar-SA"/>
          <w:color w:val="111111"/>
          <w:sz w:val="28"/>
          <w:szCs w:val="28"/>
          <w:rtl/>
        </w:rPr>
        <w:t xml:space="preserve">حافظ حسن بن شجاع توني- حافظ توني ،</w:t>
      </w:r>
    </w:p>
    <w:p>
      <w:pPr>
        <w:pStyle w:val="BookText"/>
      </w:pPr>
      <w:r>
        <w:rPr>
          <w:rFonts w:ascii="Amiri" w:hAnsi="Amiri" w:eastAsia="Amiri" w:cs="Amiri"/>
          <w:lang w:bidi="ar-SA"/>
          <w:color w:val="111111"/>
          <w:sz w:val="28"/>
          <w:szCs w:val="28"/>
          <w:rtl/>
        </w:rPr>
        <w:t xml:space="preserve">حسين بن شجاع</w:t>
      </w:r>
    </w:p>
    <w:p>
      <w:pPr>
        <w:pStyle w:val="BookText"/>
      </w:pPr>
      <w:r>
        <w:rPr>
          <w:rFonts w:ascii="Amiri" w:hAnsi="Amiri" w:eastAsia="Amiri" w:cs="Amiri"/>
          <w:lang w:bidi="ar-SA"/>
          <w:color w:val="111111"/>
          <w:sz w:val="28"/>
          <w:szCs w:val="28"/>
          <w:rtl/>
        </w:rPr>
        <w:t xml:space="preserve">حافظ حسيني ، محمّد بن</w:t>
      </w:r>
    </w:p>
    <w:p>
      <w:pPr>
        <w:pStyle w:val="BookText"/>
      </w:pPr>
      <w:r>
        <w:rPr>
          <w:rFonts w:ascii="Amiri" w:hAnsi="Amiri" w:eastAsia="Amiri" w:cs="Amiri"/>
          <w:lang w:bidi="ar-SA"/>
          <w:color w:val="111111"/>
          <w:sz w:val="28"/>
          <w:szCs w:val="28"/>
          <w:rtl/>
        </w:rPr>
        <w:t xml:space="preserve">مهدي -حسيني تبريزي ، محمّد بن مهدي</w:t>
      </w:r>
    </w:p>
    <w:p>
      <w:pPr>
        <w:pStyle w:val="Heading2"/>
      </w:pPr>
      <w:bookmarkStart w:id="3465" w:name="_Toc2567"/>
      <w:r>
        <w:t>حافظ دقيقي ، محمّد</w:t>
      </w:r>
      <w:bookmarkEnd w:id="3465"/>
    </w:p>
    <w:p>
      <w:pPr>
        <w:pStyle w:val="BookText"/>
      </w:pPr>
      <w:r>
        <w:rPr>
          <w:rFonts w:ascii="Amiri" w:hAnsi="Amiri" w:eastAsia="Amiri" w:cs="Amiri"/>
          <w:lang w:bidi="ar-SA"/>
          <w:color w:val="111111"/>
          <w:sz w:val="28"/>
          <w:szCs w:val="28"/>
          <w:rtl/>
        </w:rPr>
        <w:t xml:space="preserve">تجويد، ج 3، ص 699.</w:t>
      </w:r>
    </w:p>
    <w:p>
      <w:pPr>
        <w:pStyle w:val="BookText"/>
      </w:pPr>
      <w:r>
        <w:rPr>
          <w:rFonts w:ascii="Amiri" w:hAnsi="Amiri" w:eastAsia="Amiri" w:cs="Amiri"/>
          <w:lang w:bidi="ar-SA"/>
          <w:color w:val="111111"/>
          <w:sz w:val="28"/>
          <w:szCs w:val="28"/>
          <w:rtl/>
        </w:rPr>
        <w:t xml:space="preserve">حافظ شيباني ، احمد بن عمر- ابن ابي</w:t>
      </w:r>
    </w:p>
    <w:p>
      <w:pPr>
        <w:pStyle w:val="BookText"/>
      </w:pPr>
      <w:r>
        <w:rPr>
          <w:rFonts w:ascii="IRNazanin" w:hAnsi="IRNazanin" w:eastAsia="IRNazanin" w:cs="IRNazanin"/>
          <w:lang w:bidi="fa-IR"/>
          <w:color w:val="111111"/>
          <w:sz w:val="28"/>
          <w:szCs w:val="28"/>
          <w:rtl/>
        </w:rPr>
        <w:t xml:space="preserve">عاصم ، احمد بن عمرو</w:t>
      </w:r>
    </w:p>
    <w:p>
      <w:pPr>
        <w:pStyle w:val="Heading2"/>
      </w:pPr>
      <w:bookmarkStart w:id="3466" w:name="_Toc2568"/>
      <w:r>
        <w:t>حافظ شيرازي ، شمس الدين محمّد</w:t>
      </w:r>
      <w:bookmarkEnd w:id="3466"/>
    </w:p>
    <w:p>
      <w:pPr>
        <w:pStyle w:val="BookText"/>
      </w:pPr>
      <w:r>
        <w:rPr>
          <w:rFonts w:ascii="IRNazanin" w:hAnsi="IRNazanin" w:eastAsia="IRNazanin" w:cs="IRNazanin"/>
          <w:lang w:bidi="fa-IR"/>
          <w:color w:val="111111"/>
          <w:sz w:val="28"/>
          <w:szCs w:val="28"/>
          <w:rtl/>
        </w:rPr>
        <w:t xml:space="preserve">792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ديوان حافظ شيرازي، ج 7، ص 615.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ساقي نامه، ج8، ص 671 .</w:t>
      </w:r>
    </w:p>
    <w:p>
      <w:pPr>
        <w:pStyle w:val="Heading2"/>
      </w:pPr>
      <w:bookmarkStart w:id="3467" w:name="_Toc2569"/>
      <w:r>
        <w:t>حافظ شيرواني، عبدالغني، قرن 12 ه-</w:t>
      </w:r>
      <w:bookmarkEnd w:id="3467"/>
    </w:p>
    <w:p>
      <w:pPr>
        <w:pStyle w:val="BookText"/>
      </w:pPr>
      <w:r>
        <w:rPr>
          <w:rFonts w:ascii="IRNazanin" w:hAnsi="IRNazanin" w:eastAsia="IRNazanin" w:cs="IRNazanin"/>
          <w:lang w:bidi="fa-IR"/>
          <w:color w:val="111111"/>
          <w:sz w:val="28"/>
          <w:szCs w:val="28"/>
          <w:rtl/>
        </w:rPr>
        <w:t xml:space="preserve">1 .انوار الرمل، ج 2، ص 884.</w:t>
      </w:r>
    </w:p>
    <w:p>
      <w:pPr>
        <w:pStyle w:val="BookText"/>
      </w:pPr>
      <w:r>
        <w:rPr>
          <w:rFonts w:ascii="IRNazanin" w:hAnsi="IRNazanin" w:eastAsia="IRNazanin" w:cs="IRNazanin"/>
          <w:lang w:bidi="fa-IR"/>
          <w:color w:val="111111"/>
          <w:sz w:val="28"/>
          <w:szCs w:val="28"/>
          <w:rtl/>
        </w:rPr>
        <w:t xml:space="preserve">2 .انوار الرمل (منتخب)، ج 2، ص 885</w:t>
      </w:r>
    </w:p>
    <w:p>
      <w:pPr>
        <w:pStyle w:val="BookText"/>
      </w:pPr>
      <w:r>
        <w:rPr>
          <w:rFonts w:ascii="Amiri" w:hAnsi="Amiri" w:eastAsia="Amiri" w:cs="Amiri"/>
          <w:lang w:bidi="ar-SA"/>
          <w:color w:val="111111"/>
          <w:sz w:val="28"/>
          <w:szCs w:val="28"/>
          <w:rtl/>
        </w:rPr>
        <w:t xml:space="preserve">حافظ عراقي ، عبدالرحيم بن حسين -عراقي ، عبد الرحيم بن حسين</w:t>
      </w:r>
    </w:p>
    <w:p>
      <w:pPr>
        <w:pStyle w:val="BookText"/>
      </w:pPr>
      <w:r>
        <w:rPr>
          <w:rFonts w:ascii="Amiri" w:hAnsi="Amiri" w:eastAsia="Amiri" w:cs="Amiri"/>
          <w:lang w:bidi="ar-SA"/>
          <w:color w:val="111111"/>
          <w:sz w:val="28"/>
          <w:szCs w:val="28"/>
          <w:rtl/>
        </w:rPr>
        <w:t xml:space="preserve">حافظ عسقلاني- ابن حجر عسقلاني ، احمد بن علي</w:t>
      </w:r>
    </w:p>
    <w:p>
      <w:pPr>
        <w:pStyle w:val="BookText"/>
      </w:pPr>
      <w:r>
        <w:rPr>
          <w:rFonts w:ascii="Amiri" w:hAnsi="Amiri" w:eastAsia="Amiri" w:cs="Amiri"/>
          <w:lang w:bidi="ar-SA"/>
          <w:color w:val="111111"/>
          <w:sz w:val="28"/>
          <w:szCs w:val="28"/>
          <w:rtl/>
        </w:rPr>
        <w:t xml:space="preserve">حافظ قاري ، محمّد بن مهدي- حسيني</w:t>
      </w:r>
    </w:p>
    <w:p>
      <w:pPr>
        <w:pStyle w:val="BookText"/>
      </w:pPr>
      <w:r>
        <w:rPr>
          <w:rFonts w:ascii="Amiri" w:hAnsi="Amiri" w:eastAsia="Amiri" w:cs="Amiri"/>
          <w:lang w:bidi="ar-SA"/>
          <w:color w:val="111111"/>
          <w:sz w:val="28"/>
          <w:szCs w:val="28"/>
          <w:rtl/>
        </w:rPr>
        <w:t xml:space="preserve">تبريزي ، محمّد بن مهدي</w:t>
      </w:r>
    </w:p>
    <w:p>
      <w:pPr>
        <w:pStyle w:val="BookText"/>
      </w:pPr>
      <w:r>
        <w:rPr>
          <w:rFonts w:ascii="Amiri" w:hAnsi="Amiri" w:eastAsia="Amiri" w:cs="Amiri"/>
          <w:lang w:bidi="ar-SA"/>
          <w:color w:val="111111"/>
          <w:sz w:val="28"/>
          <w:szCs w:val="28"/>
          <w:rtl/>
        </w:rPr>
        <w:t xml:space="preserve">حافظ قاري استرآبادي -شريف استرآبادي ،</w:t>
      </w:r>
    </w:p>
    <w:p>
      <w:pPr>
        <w:pStyle w:val="BookText"/>
      </w:pPr>
      <w:r>
        <w:rPr>
          <w:rFonts w:ascii="Amiri" w:hAnsi="Amiri" w:eastAsia="Amiri" w:cs="Amiri"/>
          <w:lang w:bidi="ar-SA"/>
          <w:color w:val="111111"/>
          <w:sz w:val="28"/>
          <w:szCs w:val="28"/>
          <w:rtl/>
        </w:rPr>
        <w:t xml:space="preserve">علي بن علي</w:t>
      </w:r>
    </w:p>
    <w:p>
      <w:pPr>
        <w:pStyle w:val="BookText"/>
      </w:pPr>
      <w:r>
        <w:rPr>
          <w:rFonts w:ascii="IRNazanin" w:hAnsi="IRNazanin" w:eastAsia="IRNazanin" w:cs="IRNazanin"/>
          <w:lang w:bidi="fa-IR"/>
          <w:color w:val="111111"/>
          <w:sz w:val="28"/>
          <w:szCs w:val="28"/>
          <w:rtl/>
        </w:rPr>
        <w:t xml:space="preserve">حافظ کلان بن بدر الدين قاري بخاري - قاري بخاري ، حافظ كلان بن</w:t>
      </w:r>
    </w:p>
    <w:p>
      <w:pPr>
        <w:pStyle w:val="BookText"/>
      </w:pPr>
      <w:r>
        <w:rPr>
          <w:rFonts w:ascii="IRNazanin" w:hAnsi="IRNazanin" w:eastAsia="IRNazanin" w:cs="IRNazanin"/>
          <w:lang w:bidi="fa-IR"/>
          <w:color w:val="111111"/>
          <w:sz w:val="28"/>
          <w:szCs w:val="28"/>
          <w:rtl/>
        </w:rPr>
        <w:t xml:space="preserve">بدرالدین</w:t>
      </w:r>
    </w:p>
    <w:p>
      <w:pPr>
        <w:pStyle w:val="Heading2"/>
      </w:pPr>
      <w:bookmarkStart w:id="3468" w:name="_Toc2570"/>
      <w:r>
        <w:t>حافظ ، محمّد بن احمد</w:t>
      </w:r>
      <w:bookmarkEnd w:id="3468"/>
    </w:p>
    <w:p>
      <w:pPr>
        <w:pStyle w:val="BookText"/>
      </w:pPr>
      <w:r>
        <w:rPr>
          <w:rFonts w:ascii="Amiri" w:hAnsi="Amiri" w:eastAsia="Amiri" w:cs="Amiri"/>
          <w:lang w:bidi="ar-SA"/>
          <w:color w:val="111111"/>
          <w:sz w:val="28"/>
          <w:szCs w:val="28"/>
          <w:rtl/>
        </w:rPr>
        <w:t xml:space="preserve">1 .فوائد الحكم، ج 12، ص 202.</w:t>
      </w:r>
    </w:p>
    <w:p>
      <w:pPr>
        <w:pStyle w:val="BookText"/>
      </w:pPr>
      <w:r>
        <w:rPr>
          <w:rFonts w:ascii="Amiri" w:hAnsi="Amiri" w:eastAsia="Amiri" w:cs="Amiri"/>
          <w:lang w:bidi="ar-SA"/>
          <w:color w:val="111111"/>
          <w:sz w:val="28"/>
          <w:szCs w:val="28"/>
          <w:rtl/>
        </w:rPr>
        <w:t xml:space="preserve">2 .مرثية سيّد الشهداء الحسين، ج 14،</w:t>
      </w:r>
    </w:p>
    <w:p>
      <w:pPr>
        <w:pStyle w:val="BookText"/>
      </w:pPr>
      <w:r>
        <w:rPr>
          <w:rFonts w:ascii="IRNazanin" w:hAnsi="IRNazanin" w:eastAsia="IRNazanin" w:cs="IRNazanin"/>
          <w:lang w:bidi="fa-IR"/>
          <w:color w:val="111111"/>
          <w:sz w:val="28"/>
          <w:szCs w:val="28"/>
          <w:rtl/>
        </w:rPr>
        <w:t xml:space="preserve">ص392.</w:t>
      </w:r>
    </w:p>
    <w:p>
      <w:pPr>
        <w:pStyle w:val="Heading2"/>
      </w:pPr>
      <w:bookmarkStart w:id="3469" w:name="_Toc2571"/>
      <w:r>
        <w:t>حافظ ، محمّد بن ملا احمد</w:t>
      </w:r>
      <w:bookmarkEnd w:id="3469"/>
    </w:p>
    <w:p>
      <w:pPr>
        <w:pStyle w:val="BookText"/>
      </w:pPr>
      <w:r>
        <w:rPr>
          <w:rFonts w:ascii="Amiri" w:hAnsi="Amiri" w:eastAsia="Amiri" w:cs="Amiri"/>
          <w:lang w:bidi="ar-SA"/>
          <w:color w:val="111111"/>
          <w:sz w:val="28"/>
          <w:szCs w:val="28"/>
          <w:rtl/>
        </w:rPr>
        <w:t xml:space="preserve">تخميس القصيدة الهمزية، ج 4،</w:t>
      </w:r>
    </w:p>
    <w:p>
      <w:pPr>
        <w:pStyle w:val="BookText"/>
      </w:pPr>
      <w:r>
        <w:rPr>
          <w:rFonts w:ascii="IRNazanin" w:hAnsi="IRNazanin" w:eastAsia="IRNazanin" w:cs="IRNazanin"/>
          <w:lang w:bidi="fa-IR"/>
          <w:color w:val="111111"/>
          <w:sz w:val="28"/>
          <w:szCs w:val="28"/>
          <w:rtl/>
        </w:rPr>
        <w:t xml:space="preserve">ص 149 .</w:t>
      </w:r>
    </w:p>
    <w:p>
      <w:pPr>
        <w:pStyle w:val="Heading2"/>
      </w:pPr>
      <w:bookmarkStart w:id="3470" w:name="_Toc2572"/>
      <w:r>
        <w:t>حافظ ، محمّد مهدي</w:t>
      </w:r>
      <w:bookmarkEnd w:id="3470"/>
    </w:p>
    <w:p>
      <w:pPr>
        <w:pStyle w:val="BookText"/>
      </w:pPr>
      <w:r>
        <w:rPr>
          <w:rFonts w:ascii="Amiri" w:hAnsi="Amiri" w:eastAsia="Amiri" w:cs="Amiri"/>
          <w:lang w:bidi="ar-SA"/>
          <w:color w:val="111111"/>
          <w:sz w:val="28"/>
          <w:szCs w:val="28"/>
          <w:rtl/>
        </w:rPr>
        <w:t xml:space="preserve">التجويد (رسالة في)، ج 3، ص708.</w:t>
      </w:r>
    </w:p>
    <w:p>
      <w:pPr>
        <w:pStyle w:val="Heading2"/>
      </w:pPr>
      <w:bookmarkStart w:id="3471" w:name="_Toc2573"/>
      <w:r>
        <w:t>حافظ مزي ، يوسف بن عبدالرحمن 654</w:t>
      </w:r>
      <w:bookmarkEnd w:id="34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742 ه-</w:t>
      </w:r>
    </w:p>
    <w:p>
      <w:pPr>
        <w:pStyle w:val="BookText"/>
      </w:pPr>
      <w:r>
        <w:rPr>
          <w:rFonts w:ascii="Amiri" w:hAnsi="Amiri" w:eastAsia="Amiri" w:cs="Amiri"/>
          <w:lang w:bidi="ar-SA"/>
          <w:color w:val="111111"/>
          <w:sz w:val="28"/>
          <w:szCs w:val="28"/>
          <w:rtl/>
        </w:rPr>
        <w:t xml:space="preserve">1 .تحفة الاشراف في معرفة الاطراف</w:t>
      </w:r>
    </w:p>
    <w:p>
      <w:pPr>
        <w:pStyle w:val="BookText"/>
      </w:pPr>
      <w:r>
        <w:rPr>
          <w:rFonts w:ascii="IRNazanin" w:hAnsi="IRNazanin" w:eastAsia="IRNazanin" w:cs="IRNazanin"/>
          <w:lang w:bidi="fa-IR"/>
          <w:color w:val="111111"/>
          <w:sz w:val="28"/>
          <w:szCs w:val="28"/>
          <w:rtl/>
        </w:rPr>
        <w:t xml:space="preserve">ج 3، ص 799.</w:t>
      </w:r>
    </w:p>
    <w:p>
      <w:pPr>
        <w:pStyle w:val="BookText"/>
      </w:pPr>
      <w:r>
        <w:rPr>
          <w:rFonts w:ascii="Amiri" w:hAnsi="Amiri" w:eastAsia="Amiri" w:cs="Amiri"/>
          <w:lang w:bidi="ar-SA"/>
          <w:color w:val="111111"/>
          <w:sz w:val="28"/>
          <w:szCs w:val="28"/>
          <w:rtl/>
        </w:rPr>
        <w:t xml:space="preserve">2 .تهذيب الكمال في اسماء الرجال</w:t>
      </w:r>
    </w:p>
    <w:p>
      <w:pPr>
        <w:pStyle w:val="BookText"/>
      </w:pPr>
      <w:r>
        <w:rPr>
          <w:rFonts w:ascii="IRNazanin" w:hAnsi="IRNazanin" w:eastAsia="IRNazanin" w:cs="IRNazanin"/>
          <w:lang w:bidi="fa-IR"/>
          <w:color w:val="111111"/>
          <w:sz w:val="28"/>
          <w:szCs w:val="28"/>
          <w:rtl/>
        </w:rPr>
        <w:t xml:space="preserve">ج 5، ص 116.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4" w:name="pg7742_70096"/>
    <w:bookmarkEnd w:id="354"/>
    <w:p>
      <w:pPr>
        <w:pStyle w:val="BookText"/>
      </w:pPr>
      <w:r>
        <w:rPr>
          <w:rFonts w:ascii="IRNazanin" w:hAnsi="IRNazanin" w:eastAsia="IRNazanin" w:cs="IRNazanin"/>
          <w:lang w:bidi="fa-IR"/>
          <w:color w:val="111111"/>
          <w:sz w:val="28"/>
          <w:szCs w:val="28"/>
          <w:rtl/>
        </w:rPr>
        <w:t xml:space="preserve">حافظي بخاري ، محمّد بن محمّد- پارسا ،</w:t>
      </w:r>
    </w:p>
    <w:p>
      <w:pPr>
        <w:pStyle w:val="BookText"/>
      </w:pPr>
      <w:r>
        <w:rPr>
          <w:rFonts w:ascii="IRNazanin" w:hAnsi="IRNazanin" w:eastAsia="IRNazanin" w:cs="IRNazanin"/>
          <w:lang w:bidi="fa-IR"/>
          <w:color w:val="111111"/>
          <w:sz w:val="28"/>
          <w:szCs w:val="28"/>
          <w:rtl/>
        </w:rPr>
        <w:t xml:space="preserve">محمد بن محمّد</w:t>
      </w:r>
    </w:p>
    <w:p>
      <w:pPr>
        <w:pStyle w:val="Heading2"/>
      </w:pPr>
      <w:bookmarkStart w:id="3472" w:name="_Toc2574"/>
      <w:r>
        <w:t>حافظي كاشاني ، عبد الصمد بن كمال</w:t>
      </w:r>
      <w:bookmarkEnd w:id="3472"/>
    </w:p>
    <w:p>
      <w:pPr>
        <w:pStyle w:val="BookText"/>
      </w:pPr>
      <w:r>
        <w:rPr>
          <w:rFonts w:ascii="Amiri" w:hAnsi="Amiri" w:eastAsia="Amiri" w:cs="Amiri"/>
          <w:lang w:bidi="ar-SA"/>
          <w:color w:val="111111"/>
          <w:sz w:val="28"/>
          <w:szCs w:val="28"/>
          <w:rtl/>
        </w:rPr>
        <w:t xml:space="preserve">تجويد، ج 3، ص708.</w:t>
      </w:r>
    </w:p>
    <w:p>
      <w:pPr>
        <w:pStyle w:val="Heading2"/>
      </w:pPr>
      <w:bookmarkStart w:id="3473" w:name="_Toc2575"/>
      <w:r>
        <w:t>حافظي، محمّد حسين بن غلام حيدر</w:t>
      </w:r>
      <w:bookmarkEnd w:id="3473"/>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1 .تقريرات السيد حسن المرتضوي في</w:t>
      </w:r>
    </w:p>
    <w:p>
      <w:pPr>
        <w:pStyle w:val="BookText"/>
      </w:pPr>
      <w:r>
        <w:rPr>
          <w:rFonts w:ascii="Amiri" w:hAnsi="Amiri" w:eastAsia="Amiri" w:cs="Amiri"/>
          <w:lang w:bidi="ar-SA"/>
          <w:color w:val="111111"/>
          <w:sz w:val="28"/>
          <w:szCs w:val="28"/>
          <w:rtl/>
        </w:rPr>
        <w:t xml:space="preserve">الكفاية، ج 4، ص 755.</w:t>
      </w:r>
    </w:p>
    <w:p>
      <w:pPr>
        <w:pStyle w:val="BookText"/>
      </w:pPr>
      <w:r>
        <w:rPr>
          <w:rFonts w:ascii="Amiri" w:hAnsi="Amiri" w:eastAsia="Amiri" w:cs="Amiri"/>
          <w:lang w:bidi="ar-SA"/>
          <w:color w:val="111111"/>
          <w:sz w:val="28"/>
          <w:szCs w:val="28"/>
          <w:rtl/>
        </w:rPr>
        <w:t xml:space="preserve">2 .تقريرات الشيخ علي الغروي، جع،</w:t>
      </w:r>
    </w:p>
    <w:p>
      <w:pPr>
        <w:pStyle w:val="BookText"/>
      </w:pPr>
      <w:r>
        <w:rPr>
          <w:rFonts w:ascii="IRNazanin" w:hAnsi="IRNazanin" w:eastAsia="IRNazanin" w:cs="IRNazanin"/>
          <w:lang w:bidi="fa-IR"/>
          <w:color w:val="111111"/>
          <w:sz w:val="28"/>
          <w:szCs w:val="28"/>
          <w:rtl/>
        </w:rPr>
        <w:t xml:space="preserve">ص 760 .</w:t>
      </w:r>
    </w:p>
    <w:p>
      <w:pPr>
        <w:pStyle w:val="BookText"/>
      </w:pPr>
      <w:r>
        <w:rPr>
          <w:rFonts w:ascii="Amiri" w:hAnsi="Amiri" w:eastAsia="Amiri" w:cs="Amiri"/>
          <w:lang w:bidi="ar-SA"/>
          <w:color w:val="111111"/>
          <w:sz w:val="28"/>
          <w:szCs w:val="28"/>
          <w:rtl/>
        </w:rPr>
        <w:t xml:space="preserve">3 .تقريرات درس الاسفار، ج 4، ص 750.</w:t>
      </w:r>
    </w:p>
    <w:p>
      <w:pPr>
        <w:pStyle w:val="Heading2"/>
      </w:pPr>
      <w:bookmarkStart w:id="3474" w:name="_Toc2576"/>
      <w:r>
        <w:t>حافي ، جعيفر</w:t>
      </w:r>
      <w:bookmarkEnd w:id="3474"/>
    </w:p>
    <w:p>
      <w:pPr>
        <w:pStyle w:val="BookText"/>
      </w:pPr>
      <w:r>
        <w:rPr>
          <w:rFonts w:ascii="Amiri" w:hAnsi="Amiri" w:eastAsia="Amiri" w:cs="Amiri"/>
          <w:lang w:bidi="ar-SA"/>
          <w:color w:val="111111"/>
          <w:sz w:val="28"/>
          <w:szCs w:val="28"/>
          <w:rtl/>
        </w:rPr>
        <w:t xml:space="preserve">اللمعات الحسينيه، ج13، ص 615.</w:t>
      </w:r>
    </w:p>
    <w:p>
      <w:pPr>
        <w:pStyle w:val="Heading2"/>
      </w:pPr>
      <w:bookmarkStart w:id="3475" w:name="_Toc2577"/>
      <w:r>
        <w:t>حافي ، عبد الحليم بن احمد - 1362 ه-</w:t>
      </w:r>
      <w:bookmarkEnd w:id="3475"/>
    </w:p>
    <w:p>
      <w:pPr>
        <w:pStyle w:val="BookText"/>
      </w:pPr>
      <w:r>
        <w:rPr>
          <w:rFonts w:ascii="Amiri" w:hAnsi="Amiri" w:eastAsia="Amiri" w:cs="Amiri"/>
          <w:lang w:bidi="ar-SA"/>
          <w:color w:val="111111"/>
          <w:sz w:val="28"/>
          <w:szCs w:val="28"/>
          <w:rtl/>
        </w:rPr>
        <w:t xml:space="preserve">تذكرة اولي الالباب في شرح تبصرة الطلاب، ج 4، ص 182.</w:t>
      </w:r>
    </w:p>
    <w:p>
      <w:pPr>
        <w:pStyle w:val="Heading2"/>
      </w:pPr>
      <w:bookmarkStart w:id="3476" w:name="_Toc2578"/>
      <w:r>
        <w:t>الحاكم بامر الله ، منصور بن عزيز، 386 -</w:t>
      </w:r>
      <w:bookmarkEnd w:id="3476"/>
    </w:p>
    <w:p>
      <w:pPr>
        <w:pStyle w:val="BookText"/>
      </w:pPr>
      <w:r>
        <w:rPr>
          <w:rFonts w:ascii="IRNazanin" w:hAnsi="IRNazanin" w:eastAsia="IRNazanin" w:cs="IRNazanin"/>
          <w:lang w:bidi="fa-IR"/>
          <w:color w:val="111111"/>
          <w:sz w:val="28"/>
          <w:szCs w:val="28"/>
          <w:rtl/>
        </w:rPr>
        <w:t xml:space="preserve">411 ه-</w:t>
      </w:r>
    </w:p>
    <w:p>
      <w:pPr>
        <w:pStyle w:val="BookText"/>
      </w:pPr>
      <w:r>
        <w:rPr>
          <w:rFonts w:ascii="Amiri" w:hAnsi="Amiri" w:eastAsia="Amiri" w:cs="Amiri"/>
          <w:lang w:bidi="ar-SA"/>
          <w:color w:val="111111"/>
          <w:sz w:val="28"/>
          <w:szCs w:val="28"/>
          <w:rtl/>
        </w:rPr>
        <w:t xml:space="preserve">ما كتبه القرمطي إلى الحاكم وجوابه</w:t>
      </w:r>
    </w:p>
    <w:p>
      <w:pPr>
        <w:pStyle w:val="BookText"/>
      </w:pPr>
      <w:r>
        <w:rPr>
          <w:rFonts w:ascii="IRNazanin" w:hAnsi="IRNazanin" w:eastAsia="IRNazanin" w:cs="IRNazanin"/>
          <w:lang w:bidi="fa-IR"/>
          <w:color w:val="111111"/>
          <w:sz w:val="28"/>
          <w:szCs w:val="28"/>
          <w:rtl/>
        </w:rPr>
        <w:t xml:space="preserve">ج 13، ص 683.</w:t>
      </w:r>
    </w:p>
    <w:p>
      <w:pPr>
        <w:pStyle w:val="BookText"/>
      </w:pPr>
      <w:r>
        <w:rPr>
          <w:rFonts w:ascii="Amiri" w:hAnsi="Amiri" w:eastAsia="Amiri" w:cs="Amiri"/>
          <w:lang w:bidi="ar-SA"/>
          <w:color w:val="111111"/>
          <w:sz w:val="28"/>
          <w:szCs w:val="28"/>
          <w:rtl/>
        </w:rPr>
        <w:t xml:space="preserve">حاكم جشمي ، محسن بن محمّد- ابن</w:t>
      </w:r>
    </w:p>
    <w:p>
      <w:pPr>
        <w:pStyle w:val="BookText"/>
      </w:pPr>
      <w:r>
        <w:rPr>
          <w:rFonts w:ascii="IRNazanin" w:hAnsi="IRNazanin" w:eastAsia="IRNazanin" w:cs="IRNazanin"/>
          <w:lang w:bidi="fa-IR"/>
          <w:color w:val="111111"/>
          <w:sz w:val="28"/>
          <w:szCs w:val="28"/>
          <w:rtl/>
        </w:rPr>
        <w:t xml:space="preserve">کرامه ، محسن بن محمّد</w:t>
      </w:r>
    </w:p>
    <w:p>
      <w:pPr>
        <w:pStyle w:val="Heading2"/>
      </w:pPr>
      <w:bookmarkStart w:id="3477" w:name="_Toc2579"/>
      <w:r>
        <w:t>حاكم نيشابوري ، محمّد بن عبدالله، 321</w:t>
      </w:r>
      <w:bookmarkEnd w:id="34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405 ه-</w:t>
      </w:r>
    </w:p>
    <w:p>
      <w:pPr>
        <w:pStyle w:val="BookText"/>
      </w:pPr>
      <w:r>
        <w:rPr>
          <w:rFonts w:ascii="Amiri" w:hAnsi="Amiri" w:eastAsia="Amiri" w:cs="Amiri"/>
          <w:lang w:bidi="ar-SA"/>
          <w:color w:val="111111"/>
          <w:sz w:val="28"/>
          <w:szCs w:val="28"/>
          <w:rtl/>
        </w:rPr>
        <w:t xml:space="preserve">1 .سؤالات مسعود السجزي مع أسئلة البغداديين عن أحوال الرواة، ج8،</w:t>
      </w:r>
    </w:p>
    <w:p>
      <w:pPr>
        <w:pStyle w:val="BookText"/>
      </w:pPr>
      <w:r>
        <w:rPr>
          <w:rFonts w:ascii="IRNazanin" w:hAnsi="IRNazanin" w:eastAsia="IRNazanin" w:cs="IRNazanin"/>
          <w:lang w:bidi="fa-IR"/>
          <w:color w:val="111111"/>
          <w:sz w:val="28"/>
          <w:szCs w:val="28"/>
          <w:rtl/>
        </w:rPr>
        <w:t xml:space="preserve">ص 676 .</w:t>
      </w:r>
    </w:p>
    <w:p>
      <w:pPr>
        <w:pStyle w:val="BookText"/>
      </w:pPr>
      <w:r>
        <w:rPr>
          <w:rFonts w:ascii="Amiri" w:hAnsi="Amiri" w:eastAsia="Amiri" w:cs="Amiri"/>
          <w:lang w:bidi="ar-SA"/>
          <w:color w:val="111111"/>
          <w:sz w:val="28"/>
          <w:szCs w:val="28"/>
          <w:rtl/>
        </w:rPr>
        <w:t xml:space="preserve">2 .المدخل إلى معرفة كتاب الاكليل</w:t>
      </w:r>
    </w:p>
    <w:p>
      <w:pPr>
        <w:pStyle w:val="BookText"/>
      </w:pPr>
      <w:r>
        <w:rPr>
          <w:rFonts w:ascii="IRNazanin" w:hAnsi="IRNazanin" w:eastAsia="IRNazanin" w:cs="IRNazanin"/>
          <w:lang w:bidi="fa-IR"/>
          <w:color w:val="111111"/>
          <w:sz w:val="28"/>
          <w:szCs w:val="28"/>
          <w:rtl/>
        </w:rPr>
        <w:t xml:space="preserve">ج 14، ص 328.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المستدرك على الصحيحين، ج 14،</w:t>
      </w:r>
    </w:p>
    <w:p>
      <w:pPr>
        <w:pStyle w:val="BookText"/>
      </w:pPr>
      <w:r>
        <w:rPr>
          <w:rFonts w:ascii="IRNazanin" w:hAnsi="IRNazanin" w:eastAsia="IRNazanin" w:cs="IRNazanin"/>
          <w:lang w:bidi="fa-IR"/>
          <w:color w:val="111111"/>
          <w:sz w:val="28"/>
          <w:szCs w:val="28"/>
          <w:rtl/>
        </w:rPr>
        <w:t xml:space="preserve">ص 552 .</w:t>
      </w:r>
    </w:p>
    <w:p>
      <w:pPr>
        <w:pStyle w:val="BookText"/>
      </w:pPr>
      <w:r>
        <w:rPr>
          <w:rFonts w:ascii="Amiri" w:hAnsi="Amiri" w:eastAsia="Amiri" w:cs="Amiri"/>
          <w:lang w:bidi="ar-SA"/>
          <w:color w:val="111111"/>
          <w:sz w:val="28"/>
          <w:szCs w:val="28"/>
          <w:rtl/>
        </w:rPr>
        <w:t xml:space="preserve">4 .المستدرك (منتخب)، ج 14، ص 553.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معرفة علوم الحديث = اصول علم</w:t>
      </w:r>
    </w:p>
    <w:p>
      <w:pPr>
        <w:pStyle w:val="BookText"/>
      </w:pPr>
      <w:r>
        <w:rPr>
          <w:rFonts w:ascii="Amiri" w:hAnsi="Amiri" w:eastAsia="Amiri" w:cs="Amiri"/>
          <w:lang w:bidi="ar-SA"/>
          <w:color w:val="111111"/>
          <w:sz w:val="28"/>
          <w:szCs w:val="28"/>
          <w:rtl/>
        </w:rPr>
        <w:t xml:space="preserve">الحديث، ج 15 ، ص 62 .</w:t>
      </w:r>
    </w:p>
    <w:p>
      <w:pPr>
        <w:pStyle w:val="Heading2"/>
      </w:pPr>
      <w:bookmarkStart w:id="3478" w:name="_Toc2580"/>
      <w:r>
        <w:t>حاكم نيشابوري ، محمّد بن محمّد، 285 -</w:t>
      </w:r>
      <w:bookmarkEnd w:id="3478"/>
    </w:p>
    <w:p>
      <w:pPr>
        <w:pStyle w:val="BookText"/>
      </w:pPr>
      <w:r>
        <w:rPr>
          <w:rFonts w:ascii="IRNazanin" w:hAnsi="IRNazanin" w:eastAsia="IRNazanin" w:cs="IRNazanin"/>
          <w:lang w:bidi="fa-IR"/>
          <w:color w:val="111111"/>
          <w:sz w:val="28"/>
          <w:szCs w:val="28"/>
          <w:rtl/>
        </w:rPr>
        <w:t xml:space="preserve">378ه-</w:t>
      </w:r>
    </w:p>
    <w:p>
      <w:pPr>
        <w:pStyle w:val="BookText"/>
      </w:pPr>
      <w:r>
        <w:rPr>
          <w:rFonts w:ascii="Amiri" w:hAnsi="Amiri" w:eastAsia="Amiri" w:cs="Amiri"/>
          <w:lang w:bidi="ar-SA"/>
          <w:color w:val="111111"/>
          <w:sz w:val="28"/>
          <w:szCs w:val="28"/>
          <w:rtl/>
        </w:rPr>
        <w:t xml:space="preserve">الاسامي و الكني، ج 2، ص81</w:t>
      </w:r>
    </w:p>
    <w:p>
      <w:pPr>
        <w:pStyle w:val="BookText"/>
      </w:pPr>
      <w:r>
        <w:rPr>
          <w:rFonts w:ascii="Amiri" w:hAnsi="Amiri" w:eastAsia="Amiri" w:cs="Amiri"/>
          <w:lang w:bidi="ar-SA"/>
          <w:color w:val="111111"/>
          <w:sz w:val="28"/>
          <w:szCs w:val="28"/>
          <w:rtl/>
        </w:rPr>
        <w:t xml:space="preserve">حاكمي ، حمزة بن علي- هادي</w:t>
      </w:r>
    </w:p>
    <w:p>
      <w:pPr>
        <w:pStyle w:val="BookText"/>
      </w:pPr>
      <w:r>
        <w:rPr>
          <w:rFonts w:ascii="Amiri" w:hAnsi="Amiri" w:eastAsia="Amiri" w:cs="Amiri"/>
          <w:lang w:bidi="ar-SA"/>
          <w:color w:val="111111"/>
          <w:sz w:val="28"/>
          <w:szCs w:val="28"/>
          <w:rtl/>
        </w:rPr>
        <w:t xml:space="preserve">المستجيبين ، حمزة بن علي</w:t>
      </w:r>
    </w:p>
    <w:p>
      <w:pPr>
        <w:pStyle w:val="BookText"/>
      </w:pPr>
      <w:r>
        <w:rPr>
          <w:rFonts w:ascii="Amiri" w:hAnsi="Amiri" w:eastAsia="Amiri" w:cs="Amiri"/>
          <w:lang w:bidi="ar-SA"/>
          <w:color w:val="111111"/>
          <w:sz w:val="28"/>
          <w:szCs w:val="28"/>
          <w:rtl/>
        </w:rPr>
        <w:t xml:space="preserve">حاكمي ، علي بن عبدالله -بصير حاكمي ،</w:t>
      </w:r>
    </w:p>
    <w:p>
      <w:pPr>
        <w:pStyle w:val="BookText"/>
      </w:pPr>
      <w:r>
        <w:rPr>
          <w:rFonts w:ascii="Amiri" w:hAnsi="Amiri" w:eastAsia="Amiri" w:cs="Amiri"/>
          <w:lang w:bidi="ar-SA"/>
          <w:color w:val="111111"/>
          <w:sz w:val="28"/>
          <w:szCs w:val="28"/>
          <w:rtl/>
        </w:rPr>
        <w:t xml:space="preserve">علي بن عبدالله</w:t>
      </w:r>
    </w:p>
    <w:p>
      <w:pPr>
        <w:pStyle w:val="BookText"/>
      </w:pPr>
      <w:r>
        <w:rPr>
          <w:rFonts w:ascii="Amiri" w:hAnsi="Amiri" w:eastAsia="Amiri" w:cs="Amiri"/>
          <w:lang w:bidi="ar-SA"/>
          <w:color w:val="111111"/>
          <w:sz w:val="28"/>
          <w:szCs w:val="28"/>
          <w:rtl/>
        </w:rPr>
        <w:t xml:space="preserve">حالتي ، مصطفى بن محمّد -عزمي زاده ،</w:t>
      </w:r>
    </w:p>
    <w:p>
      <w:pPr>
        <w:pStyle w:val="BookText"/>
      </w:pPr>
      <w:r>
        <w:rPr>
          <w:rFonts w:ascii="IRNazanin" w:hAnsi="IRNazanin" w:eastAsia="IRNazanin" w:cs="IRNazanin"/>
          <w:lang w:bidi="fa-IR"/>
          <w:color w:val="111111"/>
          <w:sz w:val="28"/>
          <w:szCs w:val="28"/>
          <w:rtl/>
        </w:rPr>
        <w:t xml:space="preserve">مصطفى بن محمّد</w:t>
      </w:r>
    </w:p>
    <w:p>
      <w:pPr>
        <w:pStyle w:val="BookText"/>
      </w:pPr>
      <w:r>
        <w:rPr>
          <w:rFonts w:ascii="Amiri" w:hAnsi="Amiri" w:eastAsia="Amiri" w:cs="Amiri"/>
          <w:lang w:bidi="ar-SA"/>
          <w:color w:val="111111"/>
          <w:sz w:val="28"/>
          <w:szCs w:val="28"/>
          <w:rtl/>
        </w:rPr>
        <w:t xml:space="preserve">حامد افندي عمادي -عمادي ، حامد</w:t>
      </w:r>
    </w:p>
    <w:p>
      <w:pPr>
        <w:pStyle w:val="BookText"/>
      </w:pPr>
      <w:r>
        <w:rPr>
          <w:rFonts w:ascii="Amiri" w:hAnsi="Amiri" w:eastAsia="Amiri" w:cs="Amiri"/>
          <w:lang w:bidi="ar-SA"/>
          <w:color w:val="111111"/>
          <w:sz w:val="28"/>
          <w:szCs w:val="28"/>
          <w:rtl/>
        </w:rPr>
        <w:t xml:space="preserve">افندي</w:t>
      </w:r>
    </w:p>
    <w:p>
      <w:pPr>
        <w:pStyle w:val="BookText"/>
      </w:pPr>
      <w:r>
        <w:rPr>
          <w:rFonts w:ascii="Amiri" w:hAnsi="Amiri" w:eastAsia="Amiri" w:cs="Amiri"/>
          <w:lang w:bidi="ar-SA"/>
          <w:color w:val="111111"/>
          <w:sz w:val="28"/>
          <w:szCs w:val="28"/>
          <w:rtl/>
        </w:rPr>
        <w:t xml:space="preserve">حامد بن برهان بن ابي ذر -غفاري، حامد</w:t>
      </w:r>
    </w:p>
    <w:p>
      <w:pPr>
        <w:pStyle w:val="BookText"/>
      </w:pPr>
      <w:r>
        <w:rPr>
          <w:rFonts w:ascii="IRNazanin" w:hAnsi="IRNazanin" w:eastAsia="IRNazanin" w:cs="IRNazanin"/>
          <w:lang w:bidi="fa-IR"/>
          <w:color w:val="111111"/>
          <w:sz w:val="28"/>
          <w:szCs w:val="28"/>
          <w:rtl/>
        </w:rPr>
        <w:t xml:space="preserve">بن برهان</w:t>
      </w:r>
    </w:p>
    <w:p>
      <w:pPr>
        <w:pStyle w:val="BookText"/>
      </w:pPr>
      <w:r>
        <w:rPr>
          <w:rFonts w:ascii="Amiri" w:hAnsi="Amiri" w:eastAsia="Amiri" w:cs="Amiri"/>
          <w:lang w:bidi="ar-SA"/>
          <w:color w:val="111111"/>
          <w:sz w:val="28"/>
          <w:szCs w:val="28"/>
          <w:rtl/>
        </w:rPr>
        <w:t xml:space="preserve">حامد بن خضر ابن خجندي- ابن</w:t>
      </w:r>
    </w:p>
    <w:p>
      <w:pPr>
        <w:pStyle w:val="BookText"/>
      </w:pPr>
      <w:r>
        <w:rPr>
          <w:rFonts w:ascii="Amiri" w:hAnsi="Amiri" w:eastAsia="Amiri" w:cs="Amiri"/>
          <w:lang w:bidi="ar-SA"/>
          <w:color w:val="111111"/>
          <w:sz w:val="28"/>
          <w:szCs w:val="28"/>
          <w:rtl/>
        </w:rPr>
        <w:t xml:space="preserve">خجندي، حامد بن خضر</w:t>
      </w:r>
    </w:p>
    <w:p>
      <w:pPr>
        <w:pStyle w:val="BookText"/>
      </w:pPr>
      <w:r>
        <w:rPr>
          <w:rFonts w:ascii="IRNazanin" w:hAnsi="IRNazanin" w:eastAsia="IRNazanin" w:cs="IRNazanin"/>
          <w:lang w:bidi="fa-IR"/>
          <w:color w:val="111111"/>
          <w:sz w:val="28"/>
          <w:szCs w:val="28"/>
          <w:rtl/>
        </w:rPr>
        <w:t xml:space="preserve">حامد بن عبد الفتاح پالوي- پالوي ، حامد</w:t>
      </w:r>
    </w:p>
    <w:p>
      <w:pPr>
        <w:pStyle w:val="BookText"/>
      </w:pPr>
      <w:r>
        <w:rPr>
          <w:rFonts w:ascii="IRNazanin" w:hAnsi="IRNazanin" w:eastAsia="IRNazanin" w:cs="IRNazanin"/>
          <w:lang w:bidi="fa-IR"/>
          <w:color w:val="111111"/>
          <w:sz w:val="28"/>
          <w:szCs w:val="28"/>
          <w:rtl/>
        </w:rPr>
        <w:t xml:space="preserve">بن عبدالفتاح</w:t>
      </w:r>
    </w:p>
    <w:p>
      <w:pPr>
        <w:pStyle w:val="BookText"/>
      </w:pPr>
      <w:r>
        <w:rPr>
          <w:rFonts w:ascii="Amiri" w:hAnsi="Amiri" w:eastAsia="Amiri" w:cs="Amiri"/>
          <w:lang w:bidi="ar-SA"/>
          <w:color w:val="111111"/>
          <w:sz w:val="28"/>
          <w:szCs w:val="28"/>
          <w:rtl/>
        </w:rPr>
        <w:t xml:space="preserve">حامد بن علي عمادي دمشقي- عمادي</w:t>
      </w:r>
    </w:p>
    <w:p>
      <w:pPr>
        <w:pStyle w:val="BookText"/>
      </w:pPr>
      <w:r>
        <w:rPr>
          <w:rFonts w:ascii="Amiri" w:hAnsi="Amiri" w:eastAsia="Amiri" w:cs="Amiri"/>
          <w:lang w:bidi="ar-SA"/>
          <w:color w:val="111111"/>
          <w:sz w:val="28"/>
          <w:szCs w:val="28"/>
          <w:rtl/>
        </w:rPr>
        <w:t xml:space="preserve">حامد بن علي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5" w:name="pg7742_70098"/>
    <w:bookmarkEnd w:id="355"/>
    <w:p>
      <w:pPr>
        <w:pStyle w:val="Heading2"/>
      </w:pPr>
      <w:bookmarkStart w:id="3479" w:name="_Toc2581"/>
      <w:r>
        <w:t>حامد بن عمر</w:t>
      </w:r>
      <w:bookmarkEnd w:id="3479"/>
    </w:p>
    <w:p>
      <w:pPr>
        <w:pStyle w:val="BookText"/>
      </w:pPr>
      <w:r>
        <w:rPr>
          <w:rFonts w:ascii="Amiri" w:hAnsi="Amiri" w:eastAsia="Amiri" w:cs="Amiri"/>
          <w:lang w:bidi="ar-SA"/>
          <w:color w:val="111111"/>
          <w:sz w:val="28"/>
          <w:szCs w:val="28"/>
          <w:rtl/>
        </w:rPr>
        <w:t xml:space="preserve">1 .حاشية شرح البردعي للعوامل المائة عبدالله بن محمّد</w:t>
      </w:r>
    </w:p>
    <w:p>
      <w:pPr>
        <w:pStyle w:val="BookText"/>
      </w:pPr>
      <w:r>
        <w:rPr>
          <w:rFonts w:ascii="Amiri" w:hAnsi="Amiri" w:eastAsia="Amiri" w:cs="Amiri"/>
          <w:lang w:bidi="ar-SA"/>
          <w:color w:val="111111"/>
          <w:sz w:val="28"/>
          <w:szCs w:val="28"/>
          <w:rtl/>
        </w:rPr>
        <w:t xml:space="preserve">حاشية شرح سعد الله الصغرى</w:t>
      </w:r>
    </w:p>
    <w:p>
      <w:pPr>
        <w:pStyle w:val="BookText"/>
      </w:pPr>
      <w:r>
        <w:rPr>
          <w:rFonts w:ascii="IRNazanin" w:hAnsi="IRNazanin" w:eastAsia="IRNazanin" w:cs="IRNazanin"/>
          <w:lang w:bidi="fa-IR"/>
          <w:color w:val="111111"/>
          <w:sz w:val="28"/>
          <w:szCs w:val="28"/>
          <w:rtl/>
        </w:rPr>
        <w:t xml:space="preserve">ج 6 ، ص 53.</w:t>
      </w:r>
    </w:p>
    <w:p>
      <w:pPr>
        <w:pStyle w:val="BookText"/>
      </w:pPr>
      <w:r>
        <w:rPr>
          <w:rFonts w:ascii="Amiri" w:hAnsi="Amiri" w:eastAsia="Amiri" w:cs="Amiri"/>
          <w:lang w:bidi="ar-SA"/>
          <w:color w:val="111111"/>
          <w:sz w:val="28"/>
          <w:szCs w:val="28"/>
          <w:rtl/>
        </w:rPr>
        <w:t xml:space="preserve">2 .حاشية شرح التلخيص المختصر، ج6،</w:t>
      </w:r>
    </w:p>
    <w:p>
      <w:pPr>
        <w:pStyle w:val="BookText"/>
      </w:pPr>
      <w:r>
        <w:rPr>
          <w:rFonts w:ascii="IRNazanin" w:hAnsi="IRNazanin" w:eastAsia="IRNazanin" w:cs="IRNazanin"/>
          <w:lang w:bidi="fa-IR"/>
          <w:color w:val="111111"/>
          <w:sz w:val="28"/>
          <w:szCs w:val="28"/>
          <w:rtl/>
        </w:rPr>
        <w:t xml:space="preserve">ص 75</w:t>
      </w:r>
    </w:p>
    <w:p>
      <w:pPr>
        <w:pStyle w:val="BookText"/>
      </w:pPr>
      <w:r>
        <w:rPr>
          <w:rFonts w:ascii="Amiri" w:hAnsi="Amiri" w:eastAsia="Amiri" w:cs="Amiri"/>
          <w:lang w:bidi="ar-SA"/>
          <w:color w:val="111111"/>
          <w:sz w:val="28"/>
          <w:szCs w:val="28"/>
          <w:rtl/>
        </w:rPr>
        <w:t xml:space="preserve">حامد بن محمّد جوزي زاده -قونوي ،</w:t>
      </w:r>
    </w:p>
    <w:p>
      <w:pPr>
        <w:pStyle w:val="BookText"/>
      </w:pPr>
      <w:r>
        <w:rPr>
          <w:rFonts w:ascii="IRNazanin" w:hAnsi="IRNazanin" w:eastAsia="IRNazanin" w:cs="IRNazanin"/>
          <w:lang w:bidi="fa-IR"/>
          <w:color w:val="111111"/>
          <w:sz w:val="28"/>
          <w:szCs w:val="28"/>
          <w:rtl/>
        </w:rPr>
        <w:t xml:space="preserve">حامد بن محمّد</w:t>
      </w:r>
    </w:p>
    <w:p>
      <w:pPr>
        <w:pStyle w:val="BookText"/>
      </w:pPr>
      <w:r>
        <w:rPr>
          <w:rFonts w:ascii="Amiri" w:hAnsi="Amiri" w:eastAsia="Amiri" w:cs="Amiri"/>
          <w:lang w:bidi="ar-SA"/>
          <w:color w:val="111111"/>
          <w:sz w:val="28"/>
          <w:szCs w:val="28"/>
          <w:rtl/>
        </w:rPr>
        <w:t xml:space="preserve">حامد بن محمّد كردي -كردي علاني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3480" w:name="_Toc2582"/>
      <w:r>
        <w:t>حامدي، اسماعيل بن موسى - 1316 ه-</w:t>
      </w:r>
      <w:bookmarkEnd w:id="3480"/>
    </w:p>
    <w:p>
      <w:pPr>
        <w:pStyle w:val="BookText"/>
      </w:pPr>
      <w:r>
        <w:rPr>
          <w:rFonts w:ascii="Amiri" w:hAnsi="Amiri" w:eastAsia="Amiri" w:cs="Amiri"/>
          <w:lang w:bidi="ar-SA"/>
          <w:color w:val="111111"/>
          <w:sz w:val="28"/>
          <w:szCs w:val="28"/>
          <w:rtl/>
        </w:rPr>
        <w:t xml:space="preserve">حاشية شرح الآجرومية، ج6، ص 10.</w:t>
      </w:r>
    </w:p>
    <w:p>
      <w:pPr>
        <w:pStyle w:val="BookText"/>
      </w:pPr>
      <w:r>
        <w:rPr>
          <w:rFonts w:ascii="IRNazanin" w:hAnsi="IRNazanin" w:eastAsia="IRNazanin" w:cs="IRNazanin"/>
          <w:lang w:bidi="fa-IR"/>
          <w:color w:val="111111"/>
          <w:sz w:val="28"/>
          <w:szCs w:val="28"/>
          <w:rtl/>
        </w:rPr>
        <w:t xml:space="preserve">حامدي ، محمّد مقیم بن درویش محمّد -خزاعي اصفهاني ، محمّد مقيم بن درویش محمّد</w:t>
      </w:r>
    </w:p>
    <w:p>
      <w:pPr>
        <w:pStyle w:val="Heading2"/>
      </w:pPr>
      <w:bookmarkStart w:id="3481" w:name="_Toc2583"/>
      <w:r>
        <w:t>حامض ، سليمان بن محمّد - 305 ه-</w:t>
      </w:r>
      <w:bookmarkEnd w:id="3481"/>
    </w:p>
    <w:p>
      <w:pPr>
        <w:pStyle w:val="BookText"/>
      </w:pPr>
      <w:r>
        <w:rPr>
          <w:rFonts w:ascii="Amiri" w:hAnsi="Amiri" w:eastAsia="Amiri" w:cs="Amiri"/>
          <w:lang w:bidi="ar-SA"/>
          <w:color w:val="111111"/>
          <w:sz w:val="28"/>
          <w:szCs w:val="28"/>
          <w:rtl/>
        </w:rPr>
        <w:t xml:space="preserve">ما يذكر ويؤنث من الانسان و</w:t>
      </w:r>
    </w:p>
    <w:p>
      <w:pPr>
        <w:pStyle w:val="BookText"/>
      </w:pPr>
      <w:r>
        <w:rPr>
          <w:rFonts w:ascii="IRNazanin" w:hAnsi="IRNazanin" w:eastAsia="IRNazanin" w:cs="IRNazanin"/>
          <w:lang w:bidi="fa-IR"/>
          <w:color w:val="111111"/>
          <w:sz w:val="28"/>
          <w:szCs w:val="28"/>
          <w:rtl/>
        </w:rPr>
        <w:t xml:space="preserve">اللباس، ج13، ص 693.</w:t>
      </w:r>
    </w:p>
    <w:p>
      <w:pPr>
        <w:pStyle w:val="BookText"/>
      </w:pPr>
      <w:r>
        <w:rPr>
          <w:rFonts w:ascii="Amiri" w:hAnsi="Amiri" w:eastAsia="Amiri" w:cs="Amiri"/>
          <w:lang w:bidi="ar-SA"/>
          <w:color w:val="111111"/>
          <w:sz w:val="28"/>
          <w:szCs w:val="28"/>
          <w:rtl/>
        </w:rPr>
        <w:t xml:space="preserve">حانيني ، حسن بن علي -عاملي حانيني ، عبد الرحمان بن حسن</w:t>
      </w:r>
    </w:p>
    <w:p>
      <w:pPr>
        <w:pStyle w:val="BookText"/>
      </w:pPr>
      <w:r>
        <w:rPr>
          <w:rFonts w:ascii="Amiri" w:hAnsi="Amiri" w:eastAsia="Amiri" w:cs="Amiri"/>
          <w:lang w:bidi="ar-SA"/>
          <w:color w:val="111111"/>
          <w:sz w:val="28"/>
          <w:szCs w:val="28"/>
          <w:rtl/>
        </w:rPr>
        <w:t xml:space="preserve">حسن بن علي</w:t>
      </w:r>
    </w:p>
    <w:p>
      <w:pPr>
        <w:pStyle w:val="Heading2"/>
      </w:pPr>
      <w:bookmarkStart w:id="3482" w:name="_Toc2584"/>
      <w:r>
        <w:t>حاوي ، رسول - 1242 ه-</w:t>
      </w:r>
      <w:bookmarkEnd w:id="3482"/>
    </w:p>
    <w:p>
      <w:pPr>
        <w:pStyle w:val="BookText"/>
      </w:pPr>
      <w:r>
        <w:rPr>
          <w:rFonts w:ascii="Amiri" w:hAnsi="Amiri" w:eastAsia="Amiri" w:cs="Amiri"/>
          <w:lang w:bidi="ar-SA"/>
          <w:color w:val="111111"/>
          <w:sz w:val="28"/>
          <w:szCs w:val="28"/>
          <w:rtl/>
        </w:rPr>
        <w:t xml:space="preserve">دوحة الوزراء، ج 7، ص 489.</w:t>
      </w:r>
    </w:p>
    <w:p>
      <w:pPr>
        <w:pStyle w:val="BookText"/>
      </w:pPr>
      <w:r>
        <w:rPr>
          <w:rFonts w:ascii="Amiri" w:hAnsi="Amiri" w:eastAsia="Amiri" w:cs="Amiri"/>
          <w:lang w:bidi="ar-SA"/>
          <w:color w:val="111111"/>
          <w:sz w:val="28"/>
          <w:szCs w:val="28"/>
          <w:rtl/>
        </w:rPr>
        <w:t xml:space="preserve">حبار موصلي ، حسن- دركزلي ، حسن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حباني ، عبدالله بن محمّد- ابوالشيخ عبدالله بن محمّد</w:t>
      </w:r>
    </w:p>
    <w:p>
      <w:pPr>
        <w:pStyle w:val="BookText"/>
      </w:pPr>
      <w:r>
        <w:rPr>
          <w:rFonts w:ascii="Amiri" w:hAnsi="Amiri" w:eastAsia="Amiri" w:cs="Amiri"/>
          <w:lang w:bidi="ar-SA"/>
          <w:color w:val="111111"/>
          <w:sz w:val="28"/>
          <w:szCs w:val="28"/>
          <w:rtl/>
        </w:rPr>
        <w:t xml:space="preserve">حبر الامه- ابن عباس ، عبدالله بن عباس حبري ، علي بن مصطفى بلبل زاده ، علي</w:t>
      </w:r>
    </w:p>
    <w:p>
      <w:pPr>
        <w:pStyle w:val="BookText"/>
      </w:pPr>
      <w:r>
        <w:rPr>
          <w:rFonts w:ascii="IRNazanin" w:hAnsi="IRNazanin" w:eastAsia="IRNazanin" w:cs="IRNazanin"/>
          <w:lang w:bidi="fa-IR"/>
          <w:color w:val="111111"/>
          <w:sz w:val="28"/>
          <w:szCs w:val="28"/>
          <w:rtl/>
        </w:rPr>
        <w:t xml:space="preserve">بن مصطفى</w:t>
      </w:r>
    </w:p>
    <w:p>
      <w:pPr>
        <w:pStyle w:val="Heading2"/>
      </w:pPr>
      <w:bookmarkStart w:id="3483" w:name="_Toc2585"/>
      <w:r>
        <w:t>حبري كوفي ، حسين بن حكم - 286 ه-</w:t>
      </w:r>
      <w:bookmarkEnd w:id="3483"/>
    </w:p>
    <w:p>
      <w:pPr>
        <w:pStyle w:val="BookText"/>
      </w:pPr>
      <w:r>
        <w:rPr>
          <w:rFonts w:ascii="Amiri" w:hAnsi="Amiri" w:eastAsia="Amiri" w:cs="Amiri"/>
          <w:lang w:bidi="ar-SA"/>
          <w:color w:val="111111"/>
          <w:sz w:val="28"/>
          <w:szCs w:val="28"/>
          <w:rtl/>
        </w:rPr>
        <w:t xml:space="preserve">ما نزل من القرآن في اميرالمؤمنين علي</w:t>
      </w:r>
    </w:p>
    <w:p>
      <w:pPr>
        <w:pStyle w:val="BookText"/>
      </w:pPr>
      <w:r>
        <w:rPr>
          <w:rFonts w:ascii="Amiri" w:hAnsi="Amiri" w:eastAsia="Amiri" w:cs="Amiri"/>
          <w:lang w:bidi="ar-SA"/>
          <w:color w:val="111111"/>
          <w:sz w:val="28"/>
          <w:szCs w:val="28"/>
          <w:rtl/>
        </w:rPr>
        <w:t xml:space="preserve">بن ابي طالب (ع) = تفسير الحبري ج 13، ص 687.</w:t>
      </w:r>
    </w:p>
    <w:p>
      <w:pPr>
        <w:pStyle w:val="BookText"/>
      </w:pPr>
      <w:r>
        <w:rPr>
          <w:rFonts w:ascii="Amiri" w:hAnsi="Amiri" w:eastAsia="Amiri" w:cs="Amiri"/>
          <w:lang w:bidi="ar-SA"/>
          <w:color w:val="111111"/>
          <w:sz w:val="28"/>
          <w:szCs w:val="28"/>
          <w:rtl/>
        </w:rPr>
        <w:t xml:space="preserve">حبش بن عبدالله مروزي بغدادي- مروزي</w:t>
      </w:r>
    </w:p>
    <w:p>
      <w:pPr>
        <w:pStyle w:val="BookText"/>
      </w:pPr>
      <w:r>
        <w:rPr>
          <w:rFonts w:ascii="IRNazanin" w:hAnsi="IRNazanin" w:eastAsia="IRNazanin" w:cs="IRNazanin"/>
          <w:lang w:bidi="fa-IR"/>
          <w:color w:val="111111"/>
          <w:sz w:val="28"/>
          <w:szCs w:val="28"/>
          <w:rtl/>
        </w:rPr>
        <w:t xml:space="preserve">، حبش بن عبدالله</w:t>
      </w:r>
    </w:p>
    <w:p>
      <w:pPr>
        <w:pStyle w:val="BookText"/>
      </w:pPr>
      <w:r>
        <w:rPr>
          <w:rFonts w:ascii="Amiri" w:hAnsi="Amiri" w:eastAsia="Amiri" w:cs="Amiri"/>
          <w:lang w:bidi="ar-SA"/>
          <w:color w:val="111111"/>
          <w:sz w:val="28"/>
          <w:szCs w:val="28"/>
          <w:rtl/>
        </w:rPr>
        <w:t xml:space="preserve">حبش حاسب ، احمد بن عبدالله -مروزي ،</w:t>
      </w:r>
    </w:p>
    <w:p>
      <w:pPr>
        <w:pStyle w:val="BookText"/>
      </w:pPr>
      <w:r>
        <w:rPr>
          <w:rFonts w:ascii="IRNazanin" w:hAnsi="IRNazanin" w:eastAsia="IRNazanin" w:cs="IRNazanin"/>
          <w:lang w:bidi="fa-IR"/>
          <w:color w:val="111111"/>
          <w:sz w:val="28"/>
          <w:szCs w:val="28"/>
          <w:rtl/>
        </w:rPr>
        <w:t xml:space="preserve">حبش بن عبدالله</w:t>
      </w:r>
    </w:p>
    <w:p>
      <w:pPr>
        <w:pStyle w:val="BookText"/>
      </w:pPr>
      <w:r>
        <w:rPr>
          <w:rFonts w:ascii="Amiri" w:hAnsi="Amiri" w:eastAsia="Amiri" w:cs="Amiri"/>
          <w:lang w:bidi="ar-SA"/>
          <w:color w:val="111111"/>
          <w:sz w:val="28"/>
          <w:szCs w:val="28"/>
          <w:rtl/>
        </w:rPr>
        <w:t xml:space="preserve">حبشي ، احمد بن عبدالرحمن- حسيني</w:t>
      </w:r>
    </w:p>
    <w:p>
      <w:pPr>
        <w:pStyle w:val="BookText"/>
      </w:pPr>
      <w:r>
        <w:rPr>
          <w:rFonts w:ascii="Amiri" w:hAnsi="Amiri" w:eastAsia="Amiri" w:cs="Amiri"/>
          <w:lang w:bidi="ar-SA"/>
          <w:color w:val="111111"/>
          <w:sz w:val="28"/>
          <w:szCs w:val="28"/>
          <w:rtl/>
        </w:rPr>
        <w:t xml:space="preserve">يمني ، احمد بن عبدالرحمن</w:t>
      </w:r>
    </w:p>
    <w:p>
      <w:pPr>
        <w:pStyle w:val="Heading2"/>
      </w:pPr>
      <w:bookmarkStart w:id="3484" w:name="_Toc2586"/>
      <w:r>
        <w:t>حبشي، زين بن علوي - 1275ه-</w:t>
      </w:r>
      <w:bookmarkEnd w:id="3484"/>
    </w:p>
    <w:p>
      <w:pPr>
        <w:pStyle w:val="BookText"/>
      </w:pPr>
      <w:r>
        <w:rPr>
          <w:rFonts w:ascii="Amiri" w:hAnsi="Amiri" w:eastAsia="Amiri" w:cs="Amiri"/>
          <w:lang w:bidi="ar-SA"/>
          <w:color w:val="111111"/>
          <w:sz w:val="28"/>
          <w:szCs w:val="28"/>
          <w:rtl/>
        </w:rPr>
        <w:t xml:space="preserve">نظم مولد البرزنجي، ج16، ص 365.</w:t>
      </w:r>
    </w:p>
    <w:p>
      <w:pPr>
        <w:pStyle w:val="BookText"/>
      </w:pPr>
      <w:r>
        <w:rPr>
          <w:rFonts w:ascii="Amiri" w:hAnsi="Amiri" w:eastAsia="Amiri" w:cs="Amiri"/>
          <w:lang w:bidi="ar-SA"/>
          <w:color w:val="111111"/>
          <w:sz w:val="28"/>
          <w:szCs w:val="28"/>
          <w:rtl/>
        </w:rPr>
        <w:t xml:space="preserve">حبشي ، عبدالرحمان بن حسن- جبرتي ،</w:t>
      </w:r>
    </w:p>
    <w:p>
      <w:pPr>
        <w:pStyle w:val="BookText"/>
      </w:pPr>
      <w:r>
        <w:rPr>
          <w:rFonts w:ascii="IRNazanin" w:hAnsi="IRNazanin" w:eastAsia="IRNazanin" w:cs="IRNazanin"/>
          <w:lang w:bidi="fa-IR"/>
          <w:color w:val="111111"/>
          <w:sz w:val="28"/>
          <w:szCs w:val="28"/>
          <w:rtl/>
        </w:rPr>
        <w:t xml:space="preserve">عبدالرحمان بن حسن</w:t>
      </w:r>
    </w:p>
    <w:p>
      <w:pPr>
        <w:pStyle w:val="BookText"/>
      </w:pPr>
      <w:r>
        <w:rPr>
          <w:rFonts w:ascii="Amiri" w:hAnsi="Amiri" w:eastAsia="Amiri" w:cs="Amiri"/>
          <w:lang w:bidi="ar-SA"/>
          <w:color w:val="111111"/>
          <w:sz w:val="28"/>
          <w:szCs w:val="28"/>
          <w:rtl/>
        </w:rPr>
        <w:t xml:space="preserve">حبشي ، محمّد بن عبدالرحمن -وصابي</w:t>
      </w:r>
    </w:p>
    <w:p>
      <w:pPr>
        <w:pStyle w:val="BookText"/>
      </w:pPr>
      <w:r>
        <w:rPr>
          <w:rFonts w:ascii="Amiri" w:hAnsi="Amiri" w:eastAsia="Amiri" w:cs="Amiri"/>
          <w:lang w:bidi="ar-SA"/>
          <w:color w:val="111111"/>
          <w:sz w:val="28"/>
          <w:szCs w:val="28"/>
          <w:rtl/>
        </w:rPr>
        <w:t xml:space="preserve">حبيشي ، محمّد بن عبدالرحمن</w:t>
      </w:r>
    </w:p>
    <w:p>
      <w:pPr>
        <w:pStyle w:val="BookText"/>
      </w:pPr>
      <w:r>
        <w:rPr>
          <w:rFonts w:ascii="Amiri" w:hAnsi="Amiri" w:eastAsia="Amiri" w:cs="Amiri"/>
          <w:lang w:bidi="ar-SA"/>
          <w:color w:val="111111"/>
          <w:sz w:val="28"/>
          <w:szCs w:val="28"/>
          <w:rtl/>
        </w:rPr>
        <w:t xml:space="preserve">حبل رودي ، محمّد علي- هبله رودي ،</w:t>
      </w:r>
    </w:p>
    <w:p>
      <w:pPr>
        <w:pStyle w:val="BookText"/>
      </w:pPr>
      <w:r>
        <w:rPr>
          <w:rFonts w:ascii="Amiri" w:hAnsi="Amiri" w:eastAsia="Amiri" w:cs="Amiri"/>
          <w:lang w:bidi="ar-SA"/>
          <w:color w:val="111111"/>
          <w:sz w:val="28"/>
          <w:szCs w:val="28"/>
          <w:rtl/>
        </w:rPr>
        <w:t xml:space="preserve">محمّد علي</w:t>
      </w:r>
    </w:p>
    <w:p>
      <w:pPr>
        <w:pStyle w:val="BookText"/>
      </w:pPr>
      <w:r>
        <w:rPr>
          <w:rFonts w:ascii="Amiri" w:hAnsi="Amiri" w:eastAsia="Amiri" w:cs="Amiri"/>
          <w:lang w:bidi="ar-SA"/>
          <w:color w:val="111111"/>
          <w:sz w:val="28"/>
          <w:szCs w:val="28"/>
          <w:rtl/>
        </w:rPr>
        <w:t xml:space="preserve">حبله رودي ، خضر بن محمّد- رازي</w:t>
      </w:r>
    </w:p>
    <w:p>
      <w:pPr>
        <w:pStyle w:val="BookText"/>
      </w:pPr>
      <w:r>
        <w:rPr>
          <w:rFonts w:ascii="Amiri" w:hAnsi="Amiri" w:eastAsia="Amiri" w:cs="Amiri"/>
          <w:lang w:bidi="ar-SA"/>
          <w:color w:val="111111"/>
          <w:sz w:val="28"/>
          <w:szCs w:val="28"/>
          <w:rtl/>
        </w:rPr>
        <w:t xml:space="preserve">خضر بن محمّد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6" w:name="pg7742_70100"/>
    <w:bookmarkEnd w:id="356"/>
    <w:p>
      <w:pPr>
        <w:pStyle w:val="Heading2"/>
      </w:pPr>
      <w:bookmarkStart w:id="3485" w:name="_Toc2587"/>
      <w:r>
        <w:t>حبوبي ، محمود بن حسين - 1389 ه-</w:t>
      </w:r>
      <w:bookmarkEnd w:id="3485"/>
    </w:p>
    <w:p>
      <w:pPr>
        <w:pStyle w:val="BookText"/>
      </w:pPr>
      <w:r>
        <w:rPr>
          <w:rFonts w:ascii="Amiri" w:hAnsi="Amiri" w:eastAsia="Amiri" w:cs="Amiri"/>
          <w:lang w:bidi="ar-SA"/>
          <w:color w:val="111111"/>
          <w:sz w:val="28"/>
          <w:szCs w:val="28"/>
          <w:rtl/>
        </w:rPr>
        <w:t xml:space="preserve">ديوان الحبوبي، ج 7، ص 618.</w:t>
      </w:r>
    </w:p>
    <w:p>
      <w:pPr>
        <w:pStyle w:val="BookText"/>
      </w:pPr>
      <w:r>
        <w:rPr>
          <w:rFonts w:ascii="IRNazanin" w:hAnsi="IRNazanin" w:eastAsia="IRNazanin" w:cs="IRNazanin"/>
          <w:lang w:bidi="fa-IR"/>
          <w:color w:val="111111"/>
          <w:sz w:val="28"/>
          <w:szCs w:val="28"/>
          <w:rtl/>
        </w:rPr>
        <w:t xml:space="preserve">حبیب اصفهاني ، محمّد بن</w:t>
      </w:r>
    </w:p>
    <w:p>
      <w:pPr>
        <w:pStyle w:val="BookText"/>
      </w:pPr>
      <w:r>
        <w:rPr>
          <w:rFonts w:ascii="Amiri" w:hAnsi="Amiri" w:eastAsia="Amiri" w:cs="Amiri"/>
          <w:lang w:bidi="ar-SA"/>
          <w:color w:val="111111"/>
          <w:sz w:val="28"/>
          <w:szCs w:val="28"/>
          <w:rtl/>
        </w:rPr>
        <w:t xml:space="preserve">عبد القاسم -واعظ اصفهاني ، محمّد بن ابي</w:t>
      </w:r>
    </w:p>
    <w:p>
      <w:pPr>
        <w:pStyle w:val="BookText"/>
      </w:pPr>
      <w:r>
        <w:rPr>
          <w:rFonts w:ascii="IRNazanin" w:hAnsi="IRNazanin" w:eastAsia="IRNazanin" w:cs="IRNazanin"/>
          <w:lang w:bidi="fa-IR"/>
          <w:color w:val="111111"/>
          <w:sz w:val="28"/>
          <w:szCs w:val="28"/>
          <w:rtl/>
        </w:rPr>
        <w:t xml:space="preserve">القاسم</w:t>
      </w:r>
    </w:p>
    <w:p>
      <w:pPr>
        <w:pStyle w:val="BookText"/>
      </w:pPr>
      <w:r>
        <w:rPr>
          <w:rFonts w:ascii="Amiri" w:hAnsi="Amiri" w:eastAsia="Amiri" w:cs="Amiri"/>
          <w:lang w:bidi="ar-SA"/>
          <w:color w:val="111111"/>
          <w:sz w:val="28"/>
          <w:szCs w:val="28"/>
          <w:rtl/>
        </w:rPr>
        <w:t xml:space="preserve">حبيب الله بن عبدالله باغنوي- ميرزا جان</w:t>
      </w:r>
    </w:p>
    <w:p>
      <w:pPr>
        <w:pStyle w:val="BookText"/>
      </w:pPr>
      <w:r>
        <w:rPr>
          <w:rFonts w:ascii="Amiri" w:hAnsi="Amiri" w:eastAsia="Amiri" w:cs="Amiri"/>
          <w:lang w:bidi="ar-SA"/>
          <w:color w:val="111111"/>
          <w:sz w:val="28"/>
          <w:szCs w:val="28"/>
          <w:rtl/>
        </w:rPr>
        <w:t xml:space="preserve">باغنوي ، حبيب الله بن عبدالله</w:t>
      </w:r>
    </w:p>
    <w:p>
      <w:pPr>
        <w:pStyle w:val="BookText"/>
      </w:pPr>
      <w:r>
        <w:rPr>
          <w:rFonts w:ascii="Amiri" w:hAnsi="Amiri" w:eastAsia="Amiri" w:cs="Amiri"/>
          <w:lang w:bidi="ar-SA"/>
          <w:color w:val="111111"/>
          <w:sz w:val="28"/>
          <w:szCs w:val="28"/>
          <w:rtl/>
        </w:rPr>
        <w:t xml:space="preserve">حبيب الله بن علي مدد بن علي مدد ساوجي كاشاني -كاشاني، حبيب الله بن علي مدد</w:t>
      </w:r>
    </w:p>
    <w:p>
      <w:pPr>
        <w:pStyle w:val="BookText"/>
      </w:pPr>
      <w:r>
        <w:rPr>
          <w:rFonts w:ascii="Amiri" w:hAnsi="Amiri" w:eastAsia="Amiri" w:cs="Amiri"/>
          <w:lang w:bidi="ar-SA"/>
          <w:color w:val="111111"/>
          <w:sz w:val="28"/>
          <w:szCs w:val="28"/>
          <w:rtl/>
        </w:rPr>
        <w:t xml:space="preserve">حبيب الله بن محمّد طبيب- طبيب</w:t>
      </w:r>
    </w:p>
    <w:p>
      <w:pPr>
        <w:pStyle w:val="BookText"/>
      </w:pPr>
      <w:r>
        <w:rPr>
          <w:rFonts w:ascii="Amiri" w:hAnsi="Amiri" w:eastAsia="Amiri" w:cs="Amiri"/>
          <w:lang w:bidi="ar-SA"/>
          <w:color w:val="111111"/>
          <w:sz w:val="28"/>
          <w:szCs w:val="28"/>
          <w:rtl/>
        </w:rPr>
        <w:t xml:space="preserve">حبيب الله بن محمّد</w:t>
      </w:r>
    </w:p>
    <w:p>
      <w:pPr>
        <w:pStyle w:val="BookText"/>
      </w:pPr>
      <w:r>
        <w:rPr>
          <w:rFonts w:ascii="Amiri" w:hAnsi="Amiri" w:eastAsia="Amiri" w:cs="Amiri"/>
          <w:lang w:bidi="ar-SA"/>
          <w:color w:val="111111"/>
          <w:sz w:val="28"/>
          <w:szCs w:val="28"/>
          <w:rtl/>
        </w:rPr>
        <w:t xml:space="preserve">حبيب الله بن محمّد علي قاآني- قاآني</w:t>
      </w:r>
    </w:p>
    <w:p>
      <w:pPr>
        <w:pStyle w:val="BookText"/>
      </w:pPr>
      <w:r>
        <w:rPr>
          <w:rFonts w:ascii="Amiri" w:hAnsi="Amiri" w:eastAsia="Amiri" w:cs="Amiri"/>
          <w:lang w:bidi="ar-SA"/>
          <w:color w:val="111111"/>
          <w:sz w:val="28"/>
          <w:szCs w:val="28"/>
          <w:rtl/>
        </w:rPr>
        <w:t xml:space="preserve">حبيب الله بن محمّد علي</w:t>
      </w:r>
    </w:p>
    <w:p>
      <w:pPr>
        <w:pStyle w:val="BookText"/>
      </w:pPr>
      <w:r>
        <w:rPr>
          <w:rFonts w:ascii="IRNazanin" w:hAnsi="IRNazanin" w:eastAsia="IRNazanin" w:cs="IRNazanin"/>
          <w:lang w:bidi="fa-IR"/>
          <w:color w:val="111111"/>
          <w:sz w:val="28"/>
          <w:szCs w:val="28"/>
          <w:rtl/>
        </w:rPr>
        <w:t xml:space="preserve">حبيب الله بن محمّد علیخان</w:t>
      </w:r>
    </w:p>
    <w:p>
      <w:pPr>
        <w:pStyle w:val="BookText"/>
      </w:pPr>
      <w:r>
        <w:rPr>
          <w:rFonts w:ascii="Amiri" w:hAnsi="Amiri" w:eastAsia="Amiri" w:cs="Amiri"/>
          <w:lang w:bidi="ar-SA"/>
          <w:color w:val="111111"/>
          <w:sz w:val="28"/>
          <w:szCs w:val="28"/>
          <w:rtl/>
        </w:rPr>
        <w:t xml:space="preserve">رشتي -رشتي ، حبيب الله بن محمّد علي</w:t>
      </w:r>
    </w:p>
    <w:p>
      <w:pPr>
        <w:pStyle w:val="BookText"/>
      </w:pPr>
      <w:r>
        <w:rPr>
          <w:rFonts w:ascii="Amiri" w:hAnsi="Amiri" w:eastAsia="Amiri" w:cs="Amiri"/>
          <w:lang w:bidi="ar-SA"/>
          <w:color w:val="111111"/>
          <w:sz w:val="28"/>
          <w:szCs w:val="28"/>
          <w:rtl/>
        </w:rPr>
        <w:t xml:space="preserve">الله حبيب بن محمّد هاشم خويي- خوني</w:t>
      </w:r>
    </w:p>
    <w:p>
      <w:pPr>
        <w:pStyle w:val="BookText"/>
      </w:pPr>
      <w:r>
        <w:rPr>
          <w:rFonts w:ascii="Amiri" w:hAnsi="Amiri" w:eastAsia="Amiri" w:cs="Amiri"/>
          <w:lang w:bidi="ar-SA"/>
          <w:color w:val="111111"/>
          <w:sz w:val="28"/>
          <w:szCs w:val="28"/>
          <w:rtl/>
        </w:rPr>
        <w:t xml:space="preserve">حبيب بن محمّد هاشم</w:t>
      </w:r>
    </w:p>
    <w:p>
      <w:pPr>
        <w:pStyle w:val="BookText"/>
      </w:pPr>
      <w:r>
        <w:rPr>
          <w:rFonts w:ascii="Amiri" w:hAnsi="Amiri" w:eastAsia="Amiri" w:cs="Amiri"/>
          <w:lang w:bidi="ar-SA"/>
          <w:color w:val="111111"/>
          <w:sz w:val="28"/>
          <w:szCs w:val="28"/>
          <w:rtl/>
        </w:rPr>
        <w:t xml:space="preserve">حبيب الله بن نورالدين طبسي- طبسي</w:t>
      </w:r>
    </w:p>
    <w:p>
      <w:pPr>
        <w:pStyle w:val="BookText"/>
      </w:pPr>
      <w:r>
        <w:rPr>
          <w:rFonts w:ascii="IRNazanin" w:hAnsi="IRNazanin" w:eastAsia="IRNazanin" w:cs="IRNazanin"/>
          <w:lang w:bidi="fa-IR"/>
          <w:color w:val="111111"/>
          <w:sz w:val="28"/>
          <w:szCs w:val="28"/>
          <w:rtl/>
        </w:rPr>
        <w:t xml:space="preserve">توني، حبيب الله بن نور الدین محمّد</w:t>
      </w:r>
    </w:p>
    <w:p>
      <w:pPr>
        <w:pStyle w:val="BookText"/>
      </w:pPr>
      <w:r>
        <w:rPr>
          <w:rFonts w:ascii="Amiri" w:hAnsi="Amiri" w:eastAsia="Amiri" w:cs="Amiri"/>
          <w:lang w:bidi="ar-SA"/>
          <w:color w:val="111111"/>
          <w:sz w:val="28"/>
          <w:szCs w:val="28"/>
          <w:rtl/>
        </w:rPr>
        <w:t xml:space="preserve">حبيب الواعظ ، محمّد بن</w:t>
      </w:r>
    </w:p>
    <w:p>
      <w:pPr>
        <w:pStyle w:val="BookText"/>
      </w:pPr>
      <w:r>
        <w:rPr>
          <w:rFonts w:ascii="Amiri" w:hAnsi="Amiri" w:eastAsia="Amiri" w:cs="Amiri"/>
          <w:lang w:bidi="ar-SA"/>
          <w:color w:val="111111"/>
          <w:sz w:val="28"/>
          <w:szCs w:val="28"/>
          <w:rtl/>
        </w:rPr>
        <w:t xml:space="preserve">عبد القاسم- واعظ اصفهاني ، محمّد بن ابي</w:t>
      </w:r>
    </w:p>
    <w:p>
      <w:pPr>
        <w:pStyle w:val="BookText"/>
      </w:pPr>
      <w:r>
        <w:rPr>
          <w:rFonts w:ascii="IRNazanin" w:hAnsi="IRNazanin" w:eastAsia="IRNazanin" w:cs="IRNazanin"/>
          <w:lang w:bidi="fa-IR"/>
          <w:color w:val="111111"/>
          <w:sz w:val="28"/>
          <w:szCs w:val="28"/>
          <w:rtl/>
        </w:rPr>
        <w:t xml:space="preserve">القاسم</w:t>
      </w:r>
    </w:p>
    <w:p>
      <w:pPr>
        <w:pStyle w:val="BookText"/>
      </w:pPr>
      <w:r>
        <w:rPr>
          <w:rFonts w:ascii="Amiri" w:hAnsi="Amiri" w:eastAsia="Amiri" w:cs="Amiri"/>
          <w:lang w:bidi="ar-SA"/>
          <w:color w:val="111111"/>
          <w:sz w:val="28"/>
          <w:szCs w:val="28"/>
          <w:rtl/>
        </w:rPr>
        <w:t xml:space="preserve">حبيب بن اوس طائي -ابوتمام ، حبيب بن اوس</w:t>
      </w:r>
    </w:p>
    <w:p>
      <w:pPr>
        <w:pStyle w:val="Heading2"/>
      </w:pPr>
      <w:bookmarkStart w:id="3486" w:name="_Toc2588"/>
      <w:r>
        <w:t>حبيب بن عبد الرزاق، قرن 13 ه-</w:t>
      </w:r>
      <w:bookmarkEnd w:id="3486"/>
    </w:p>
    <w:p>
      <w:pPr>
        <w:pStyle w:val="BookText"/>
      </w:pPr>
      <w:r>
        <w:rPr>
          <w:rFonts w:ascii="IRNazanin" w:hAnsi="IRNazanin" w:eastAsia="IRNazanin" w:cs="IRNazanin"/>
          <w:lang w:bidi="fa-IR"/>
          <w:color w:val="111111"/>
          <w:sz w:val="28"/>
          <w:szCs w:val="28"/>
          <w:rtl/>
        </w:rPr>
        <w:t xml:space="preserve">الفتاوى، ج 11، ص 600</w:t>
      </w:r>
    </w:p>
    <w:p>
      <w:pPr>
        <w:pStyle w:val="BookText"/>
      </w:pPr>
      <w:r>
        <w:rPr>
          <w:rFonts w:ascii="Amiri" w:hAnsi="Amiri" w:eastAsia="Amiri" w:cs="Amiri"/>
          <w:lang w:bidi="ar-SA"/>
          <w:color w:val="111111"/>
          <w:sz w:val="28"/>
          <w:szCs w:val="28"/>
          <w:rtl/>
        </w:rPr>
        <w:t xml:space="preserve">حبيب بن قاسم آغا كردي بغدادي -أغا</w:t>
      </w:r>
    </w:p>
    <w:p>
      <w:pPr>
        <w:pStyle w:val="BookText"/>
      </w:pPr>
      <w:r>
        <w:rPr>
          <w:rFonts w:ascii="Amiri" w:hAnsi="Amiri" w:eastAsia="Amiri" w:cs="Amiri"/>
          <w:lang w:bidi="ar-SA"/>
          <w:color w:val="111111"/>
          <w:sz w:val="28"/>
          <w:szCs w:val="28"/>
          <w:rtl/>
        </w:rPr>
        <w:t xml:space="preserve">كردي ، حبيب بن قاسم</w:t>
      </w:r>
    </w:p>
    <w:p>
      <w:pPr>
        <w:pStyle w:val="BookText"/>
      </w:pPr>
      <w:r>
        <w:rPr>
          <w:rFonts w:ascii="Amiri" w:hAnsi="Amiri" w:eastAsia="Amiri" w:cs="Amiri"/>
          <w:lang w:bidi="ar-SA"/>
          <w:color w:val="111111"/>
          <w:sz w:val="28"/>
          <w:szCs w:val="28"/>
          <w:rtl/>
        </w:rPr>
        <w:t xml:space="preserve">حبيب قادري، محمّد بن عبدالعزيز- ابن</w:t>
      </w:r>
    </w:p>
    <w:p>
      <w:pPr>
        <w:pStyle w:val="BookText"/>
      </w:pPr>
      <w:r>
        <w:rPr>
          <w:rFonts w:ascii="IRNazanin" w:hAnsi="IRNazanin" w:eastAsia="IRNazanin" w:cs="IRNazanin"/>
          <w:lang w:bidi="fa-IR"/>
          <w:color w:val="111111"/>
          <w:sz w:val="28"/>
          <w:szCs w:val="28"/>
          <w:rtl/>
        </w:rPr>
        <w:t xml:space="preserve">معید ، محمّد بن عبدالعزيز</w:t>
      </w:r>
    </w:p>
    <w:p>
      <w:pPr>
        <w:pStyle w:val="BookText"/>
      </w:pPr>
      <w:r>
        <w:rPr>
          <w:rFonts w:ascii="Amiri" w:hAnsi="Amiri" w:eastAsia="Amiri" w:cs="Amiri"/>
          <w:lang w:bidi="ar-SA"/>
          <w:color w:val="111111"/>
          <w:sz w:val="28"/>
          <w:szCs w:val="28"/>
          <w:rtl/>
        </w:rPr>
        <w:t xml:space="preserve">حبيب كاشاني -كاشاني ، حبيب الله بن علي</w:t>
      </w:r>
    </w:p>
    <w:p>
      <w:pPr>
        <w:pStyle w:val="BookText"/>
      </w:pPr>
      <w:r>
        <w:rPr>
          <w:rFonts w:ascii="IRNazanin" w:hAnsi="IRNazanin" w:eastAsia="IRNazanin" w:cs="IRNazanin"/>
          <w:lang w:bidi="fa-IR"/>
          <w:color w:val="111111"/>
          <w:sz w:val="28"/>
          <w:szCs w:val="28"/>
          <w:rtl/>
        </w:rPr>
        <w:t xml:space="preserve">مدد</w:t>
      </w:r>
    </w:p>
    <w:p>
      <w:pPr>
        <w:pStyle w:val="BookText"/>
      </w:pPr>
      <w:r>
        <w:rPr>
          <w:rFonts w:ascii="Amiri" w:hAnsi="Amiri" w:eastAsia="Amiri" w:cs="Amiri"/>
          <w:lang w:bidi="ar-SA"/>
          <w:color w:val="111111"/>
          <w:sz w:val="28"/>
          <w:szCs w:val="28"/>
          <w:rtl/>
        </w:rPr>
        <w:t xml:space="preserve">حبيش بن ابراهيم تفليسي- تفليسي</w:t>
      </w:r>
    </w:p>
    <w:p>
      <w:pPr>
        <w:pStyle w:val="BookText"/>
      </w:pPr>
      <w:r>
        <w:rPr>
          <w:rFonts w:ascii="Amiri" w:hAnsi="Amiri" w:eastAsia="Amiri" w:cs="Amiri"/>
          <w:lang w:bidi="ar-SA"/>
          <w:color w:val="111111"/>
          <w:sz w:val="28"/>
          <w:szCs w:val="28"/>
          <w:rtl/>
        </w:rPr>
        <w:t xml:space="preserve">حبيش بن ابراهيم</w:t>
      </w:r>
    </w:p>
    <w:p>
      <w:pPr>
        <w:pStyle w:val="BookText"/>
      </w:pPr>
      <w:r>
        <w:rPr>
          <w:rFonts w:ascii="Amiri" w:hAnsi="Amiri" w:eastAsia="Amiri" w:cs="Amiri"/>
          <w:lang w:bidi="ar-SA"/>
          <w:color w:val="111111"/>
          <w:sz w:val="28"/>
          <w:szCs w:val="28"/>
          <w:rtl/>
        </w:rPr>
        <w:t xml:space="preserve">حبيشي ، احمد بن عبد الرحمن- حسيني</w:t>
      </w:r>
    </w:p>
    <w:p>
      <w:pPr>
        <w:pStyle w:val="BookText"/>
      </w:pPr>
      <w:r>
        <w:rPr>
          <w:rFonts w:ascii="Amiri" w:hAnsi="Amiri" w:eastAsia="Amiri" w:cs="Amiri"/>
          <w:lang w:bidi="ar-SA"/>
          <w:color w:val="111111"/>
          <w:sz w:val="28"/>
          <w:szCs w:val="28"/>
          <w:rtl/>
        </w:rPr>
        <w:t xml:space="preserve">يمني ، احمد بن عبدالرحمن</w:t>
      </w:r>
    </w:p>
    <w:p>
      <w:pPr>
        <w:pStyle w:val="Heading2"/>
      </w:pPr>
      <w:bookmarkStart w:id="3487" w:name="_Toc2589"/>
      <w:r>
        <w:t>حجار نجفي ، مهدي بن داود قرن 14 ه-</w:t>
      </w:r>
      <w:bookmarkEnd w:id="3487"/>
    </w:p>
    <w:p>
      <w:pPr>
        <w:pStyle w:val="BookText"/>
      </w:pPr>
      <w:r>
        <w:rPr>
          <w:rFonts w:ascii="Amiri" w:hAnsi="Amiri" w:eastAsia="Amiri" w:cs="Amiri"/>
          <w:lang w:bidi="ar-SA"/>
          <w:color w:val="111111"/>
          <w:sz w:val="28"/>
          <w:szCs w:val="28"/>
          <w:rtl/>
        </w:rPr>
        <w:t xml:space="preserve">نقض الوشيعة = شيعة الهدى، ج 16،</w:t>
      </w:r>
    </w:p>
    <w:p>
      <w:pPr>
        <w:pStyle w:val="BookText"/>
      </w:pPr>
      <w:r>
        <w:rPr>
          <w:rFonts w:ascii="IRNazanin" w:hAnsi="IRNazanin" w:eastAsia="IRNazanin" w:cs="IRNazanin"/>
          <w:lang w:bidi="fa-IR"/>
          <w:color w:val="111111"/>
          <w:sz w:val="28"/>
          <w:szCs w:val="28"/>
          <w:rtl/>
        </w:rPr>
        <w:t xml:space="preserve">ص 424 .</w:t>
      </w:r>
    </w:p>
    <w:p>
      <w:pPr>
        <w:pStyle w:val="BookText"/>
      </w:pPr>
      <w:r>
        <w:rPr>
          <w:rFonts w:ascii="Amiri" w:hAnsi="Amiri" w:eastAsia="Amiri" w:cs="Amiri"/>
          <w:lang w:bidi="ar-SA"/>
          <w:color w:val="111111"/>
          <w:sz w:val="28"/>
          <w:szCs w:val="28"/>
          <w:rtl/>
        </w:rPr>
        <w:t xml:space="preserve">حجازي ، احمد -فشني ، احمد بن</w:t>
      </w:r>
    </w:p>
    <w:p>
      <w:pPr>
        <w:pStyle w:val="BookText"/>
      </w:pPr>
      <w:r>
        <w:rPr>
          <w:rFonts w:ascii="Amiri" w:hAnsi="Amiri" w:eastAsia="Amiri" w:cs="Amiri"/>
          <w:lang w:bidi="ar-SA"/>
          <w:color w:val="111111"/>
          <w:sz w:val="28"/>
          <w:szCs w:val="28"/>
          <w:rtl/>
        </w:rPr>
        <w:t xml:space="preserve">حجازي</w:t>
      </w:r>
    </w:p>
    <w:p>
      <w:pPr>
        <w:pStyle w:val="Heading2"/>
      </w:pPr>
      <w:bookmarkStart w:id="3488" w:name="_Toc2590"/>
      <w:r>
        <w:t>حجازي ، احمد بن محمّد 790 - 875 ه-</w:t>
      </w:r>
      <w:bookmarkEnd w:id="3488"/>
    </w:p>
    <w:p>
      <w:pPr>
        <w:pStyle w:val="BookText"/>
      </w:pPr>
      <w:r>
        <w:rPr>
          <w:rFonts w:ascii="Amiri" w:hAnsi="Amiri" w:eastAsia="Amiri" w:cs="Amiri"/>
          <w:lang w:bidi="ar-SA"/>
          <w:color w:val="111111"/>
          <w:sz w:val="28"/>
          <w:szCs w:val="28"/>
          <w:rtl/>
        </w:rPr>
        <w:t xml:space="preserve">1 .الباب الرابع في النثريات، ج3،</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IRNazanin" w:hAnsi="IRNazanin" w:eastAsia="IRNazanin" w:cs="IRNazanin"/>
          <w:lang w:bidi="fa-IR"/>
          <w:color w:val="111111"/>
          <w:sz w:val="28"/>
          <w:szCs w:val="28"/>
          <w:rtl/>
        </w:rPr>
        <w:t xml:space="preserve">2 .دیوان احمد حجازي، ج 7، ص 568.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روض الادب، ج 8، ص 396.</w:t>
      </w:r>
    </w:p>
    <w:p>
      <w:pPr>
        <w:pStyle w:val="BookText"/>
      </w:pPr>
      <w:r>
        <w:rPr>
          <w:rFonts w:ascii="IRNazanin" w:hAnsi="IRNazanin" w:eastAsia="IRNazanin" w:cs="IRNazanin"/>
          <w:lang w:bidi="fa-IR"/>
          <w:color w:val="111111"/>
          <w:sz w:val="28"/>
          <w:szCs w:val="28"/>
          <w:rtl/>
        </w:rPr>
        <w:t xml:space="preserve">4 .قلائد النحور من جواهر البحور</w:t>
      </w:r>
    </w:p>
    <w:p>
      <w:pPr>
        <w:pStyle w:val="BookText"/>
      </w:pPr>
      <w:r>
        <w:rPr>
          <w:rFonts w:ascii="IRNazanin" w:hAnsi="IRNazanin" w:eastAsia="IRNazanin" w:cs="IRNazanin"/>
          <w:lang w:bidi="fa-IR"/>
          <w:color w:val="111111"/>
          <w:sz w:val="28"/>
          <w:szCs w:val="28"/>
          <w:rtl/>
        </w:rPr>
        <w:t xml:space="preserve">ج 12، ص 765 .</w:t>
      </w:r>
    </w:p>
    <w:p>
      <w:pPr>
        <w:pStyle w:val="BookText"/>
      </w:pPr>
      <w:r>
        <w:rPr>
          <w:rFonts w:ascii="Amiri" w:hAnsi="Amiri" w:eastAsia="Amiri" w:cs="Amiri"/>
          <w:lang w:bidi="ar-SA"/>
          <w:color w:val="111111"/>
          <w:sz w:val="28"/>
          <w:szCs w:val="28"/>
          <w:rtl/>
        </w:rPr>
        <w:t xml:space="preserve">حجازي ، حسن بن علي -بدري ، حسن</w:t>
      </w:r>
    </w:p>
    <w:p>
      <w:pPr>
        <w:pStyle w:val="BookText"/>
      </w:pPr>
      <w:r>
        <w:rPr>
          <w:rFonts w:ascii="Amiri" w:hAnsi="Amiri" w:eastAsia="Amiri" w:cs="Amiri"/>
          <w:lang w:bidi="ar-SA"/>
          <w:color w:val="111111"/>
          <w:sz w:val="28"/>
          <w:szCs w:val="28"/>
          <w:rtl/>
        </w:rPr>
        <w:t xml:space="preserve">بن علي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7" w:name="pg7742_70103"/>
    <w:bookmarkEnd w:id="357"/>
    <w:p>
      <w:pPr>
        <w:pStyle w:val="Heading2"/>
      </w:pPr>
      <w:bookmarkStart w:id="3489" w:name="_Toc2591"/>
      <w:r>
        <w:t>حجازي ، عبدالله بن حسن</w:t>
      </w:r>
      <w:bookmarkEnd w:id="3489"/>
    </w:p>
    <w:p>
      <w:pPr>
        <w:pStyle w:val="BookText"/>
      </w:pPr>
      <w:r>
        <w:rPr>
          <w:rFonts w:ascii="Amiri" w:hAnsi="Amiri" w:eastAsia="Amiri" w:cs="Amiri"/>
          <w:lang w:bidi="ar-SA"/>
          <w:color w:val="111111"/>
          <w:sz w:val="28"/>
          <w:szCs w:val="28"/>
          <w:rtl/>
        </w:rPr>
        <w:t xml:space="preserve">بغية الاخوان في تحريم الدخان، ج3،</w:t>
      </w:r>
    </w:p>
    <w:p>
      <w:pPr>
        <w:pStyle w:val="BookText"/>
      </w:pPr>
      <w:r>
        <w:rPr>
          <w:rFonts w:ascii="IRNazanin" w:hAnsi="IRNazanin" w:eastAsia="IRNazanin" w:cs="IRNazanin"/>
          <w:lang w:bidi="fa-IR"/>
          <w:color w:val="111111"/>
          <w:sz w:val="28"/>
          <w:szCs w:val="28"/>
          <w:rtl/>
        </w:rPr>
        <w:t xml:space="preserve">ص 361 .</w:t>
      </w:r>
    </w:p>
    <w:p>
      <w:pPr>
        <w:pStyle w:val="BookText"/>
      </w:pPr>
      <w:r>
        <w:rPr>
          <w:rFonts w:ascii="Amiri" w:hAnsi="Amiri" w:eastAsia="Amiri" w:cs="Amiri"/>
          <w:lang w:bidi="ar-SA"/>
          <w:color w:val="111111"/>
          <w:sz w:val="28"/>
          <w:szCs w:val="28"/>
          <w:rtl/>
        </w:rPr>
        <w:t xml:space="preserve">حجازي ، عبدالله بن محمّد -ابن قضيب</w:t>
      </w:r>
    </w:p>
    <w:p>
      <w:pPr>
        <w:pStyle w:val="BookText"/>
      </w:pPr>
      <w:r>
        <w:rPr>
          <w:rFonts w:ascii="IRNazanin" w:hAnsi="IRNazanin" w:eastAsia="IRNazanin" w:cs="IRNazanin"/>
          <w:lang w:bidi="fa-IR"/>
          <w:color w:val="111111"/>
          <w:sz w:val="28"/>
          <w:szCs w:val="28"/>
          <w:rtl/>
        </w:rPr>
        <w:t xml:space="preserve">البان ، عبدالله بن محمّد</w:t>
      </w:r>
    </w:p>
    <w:p>
      <w:pPr>
        <w:pStyle w:val="BookText"/>
      </w:pPr>
      <w:r>
        <w:rPr>
          <w:rFonts w:ascii="Amiri" w:hAnsi="Amiri" w:eastAsia="Amiri" w:cs="Amiri"/>
          <w:lang w:bidi="ar-SA"/>
          <w:color w:val="111111"/>
          <w:sz w:val="28"/>
          <w:szCs w:val="28"/>
          <w:rtl/>
        </w:rPr>
        <w:t xml:space="preserve">حجازي ، علي بن محمّد -ابن عراق ، علي</w:t>
      </w:r>
    </w:p>
    <w:p>
      <w:pPr>
        <w:pStyle w:val="BookText"/>
      </w:pPr>
      <w:r>
        <w:rPr>
          <w:rFonts w:ascii="Amiri" w:hAnsi="Amiri" w:eastAsia="Amiri" w:cs="Amiri"/>
          <w:lang w:bidi="ar-SA"/>
          <w:color w:val="111111"/>
          <w:sz w:val="28"/>
          <w:szCs w:val="28"/>
          <w:rtl/>
        </w:rPr>
        <w:t xml:space="preserve">بن محمّد</w:t>
      </w:r>
    </w:p>
    <w:p>
      <w:pPr>
        <w:pStyle w:val="Heading2"/>
      </w:pPr>
      <w:bookmarkStart w:id="3490" w:name="_Toc2592"/>
      <w:r>
        <w:t>حجازي، عبدالهادي، قرن 8 ه-</w:t>
      </w:r>
      <w:bookmarkEnd w:id="3490"/>
    </w:p>
    <w:p>
      <w:pPr>
        <w:pStyle w:val="BookText"/>
      </w:pPr>
      <w:r>
        <w:rPr>
          <w:rFonts w:ascii="Amiri" w:hAnsi="Amiri" w:eastAsia="Amiri" w:cs="Amiri"/>
          <w:lang w:bidi="ar-SA"/>
          <w:color w:val="111111"/>
          <w:sz w:val="28"/>
          <w:szCs w:val="28"/>
          <w:rtl/>
        </w:rPr>
        <w:t xml:space="preserve">البيان الفاصل بين الحق و الباطل = الرد على رسالة عمر العطار الدمشقي في حق محي الدين ابن عربي، ج3، ص 477 .</w:t>
      </w:r>
    </w:p>
    <w:p>
      <w:pPr>
        <w:pStyle w:val="BookText"/>
      </w:pPr>
      <w:r>
        <w:rPr>
          <w:rFonts w:ascii="Amiri" w:hAnsi="Amiri" w:eastAsia="Amiri" w:cs="Amiri"/>
          <w:lang w:bidi="ar-SA"/>
          <w:color w:val="111111"/>
          <w:sz w:val="28"/>
          <w:szCs w:val="28"/>
          <w:rtl/>
        </w:rPr>
        <w:t xml:space="preserve">حجازي ، محمّد بن محمّد -قليوبي</w:t>
      </w:r>
    </w:p>
    <w:p>
      <w:pPr>
        <w:pStyle w:val="BookText"/>
      </w:pPr>
      <w:r>
        <w:rPr>
          <w:rFonts w:ascii="Amiri" w:hAnsi="Amiri" w:eastAsia="Amiri" w:cs="Amiri"/>
          <w:lang w:bidi="ar-SA"/>
          <w:color w:val="111111"/>
          <w:sz w:val="28"/>
          <w:szCs w:val="28"/>
          <w:rtl/>
        </w:rPr>
        <w:t xml:space="preserve">محمّد بن محمّد</w:t>
      </w:r>
    </w:p>
    <w:p>
      <w:pPr>
        <w:pStyle w:val="Heading2"/>
      </w:pPr>
      <w:bookmarkStart w:id="3491" w:name="_Toc2593"/>
      <w:r>
        <w:t>حجازي مصري ، محمّد بن اسماعيل</w:t>
      </w:r>
      <w:bookmarkEnd w:id="3491"/>
    </w:p>
    <w:p>
      <w:pPr>
        <w:pStyle w:val="BookText"/>
      </w:pPr>
      <w:r>
        <w:rPr>
          <w:rFonts w:ascii="IRNazanin" w:hAnsi="IRNazanin" w:eastAsia="IRNazanin" w:cs="IRNazanin"/>
          <w:lang w:bidi="fa-IR"/>
          <w:color w:val="111111"/>
          <w:sz w:val="28"/>
          <w:szCs w:val="28"/>
          <w:rtl/>
        </w:rPr>
        <w:t xml:space="preserve">1210 - 1274ه-</w:t>
      </w:r>
    </w:p>
    <w:p>
      <w:pPr>
        <w:pStyle w:val="BookText"/>
      </w:pPr>
      <w:r>
        <w:rPr>
          <w:rFonts w:ascii="Amiri" w:hAnsi="Amiri" w:eastAsia="Amiri" w:cs="Amiri"/>
          <w:lang w:bidi="ar-SA"/>
          <w:color w:val="111111"/>
          <w:sz w:val="28"/>
          <w:szCs w:val="28"/>
          <w:rtl/>
        </w:rPr>
        <w:t xml:space="preserve">سفينة الملك و نفيسة الفلك، ج8،</w:t>
      </w:r>
    </w:p>
    <w:p>
      <w:pPr>
        <w:pStyle w:val="BookText"/>
      </w:pPr>
      <w:r>
        <w:rPr>
          <w:rFonts w:ascii="IRNazanin" w:hAnsi="IRNazanin" w:eastAsia="IRNazanin" w:cs="IRNazanin"/>
          <w:lang w:bidi="fa-IR"/>
          <w:color w:val="111111"/>
          <w:sz w:val="28"/>
          <w:szCs w:val="28"/>
          <w:rtl/>
        </w:rPr>
        <w:t xml:space="preserve">ص 783.</w:t>
      </w:r>
    </w:p>
    <w:p>
      <w:pPr>
        <w:pStyle w:val="BookText"/>
      </w:pPr>
      <w:r>
        <w:rPr>
          <w:rFonts w:ascii="Amiri" w:hAnsi="Amiri" w:eastAsia="Amiri" w:cs="Amiri"/>
          <w:lang w:bidi="ar-SA"/>
          <w:color w:val="111111"/>
          <w:sz w:val="28"/>
          <w:szCs w:val="28"/>
          <w:rtl/>
        </w:rPr>
        <w:t xml:space="preserve">حجازي، مصطفى بن محمّد -حسيني ،</w:t>
      </w:r>
    </w:p>
    <w:p>
      <w:pPr>
        <w:pStyle w:val="BookText"/>
      </w:pPr>
      <w:r>
        <w:rPr>
          <w:rFonts w:ascii="IRNazanin" w:hAnsi="IRNazanin" w:eastAsia="IRNazanin" w:cs="IRNazanin"/>
          <w:lang w:bidi="fa-IR"/>
          <w:color w:val="111111"/>
          <w:sz w:val="28"/>
          <w:szCs w:val="28"/>
          <w:rtl/>
        </w:rPr>
        <w:t xml:space="preserve">مصطفى بن محمّد</w:t>
      </w:r>
    </w:p>
    <w:p>
      <w:pPr>
        <w:pStyle w:val="Heading2"/>
      </w:pPr>
      <w:bookmarkStart w:id="3492" w:name="_Toc2594"/>
      <w:r>
        <w:t>حجاوي، عبدالوهاب بن عبدالفتاح قرن</w:t>
      </w:r>
      <w:bookmarkEnd w:id="3492"/>
    </w:p>
    <w:p>
      <w:pPr>
        <w:pStyle w:val="BookText"/>
      </w:pPr>
      <w:r>
        <w:rPr>
          <w:rFonts w:ascii="IRNazanin" w:hAnsi="IRNazanin" w:eastAsia="IRNazanin" w:cs="IRNazanin"/>
          <w:lang w:bidi="fa-IR"/>
          <w:color w:val="111111"/>
          <w:sz w:val="28"/>
          <w:szCs w:val="28"/>
          <w:rtl/>
        </w:rPr>
        <w:t xml:space="preserve">12ه-</w:t>
      </w:r>
    </w:p>
    <w:p>
      <w:pPr>
        <w:pStyle w:val="BookText"/>
      </w:pPr>
      <w:r>
        <w:rPr>
          <w:rFonts w:ascii="Amiri" w:hAnsi="Amiri" w:eastAsia="Amiri" w:cs="Amiri"/>
          <w:lang w:bidi="ar-SA"/>
          <w:color w:val="111111"/>
          <w:sz w:val="28"/>
          <w:szCs w:val="28"/>
          <w:rtl/>
        </w:rPr>
        <w:t xml:space="preserve">ترجيح البينات في سماع الاموات عند</w:t>
      </w:r>
    </w:p>
    <w:p>
      <w:pPr>
        <w:pStyle w:val="BookText"/>
      </w:pPr>
      <w:r>
        <w:rPr>
          <w:rFonts w:ascii="Amiri" w:hAnsi="Amiri" w:eastAsia="Amiri" w:cs="Amiri"/>
          <w:lang w:bidi="ar-SA"/>
          <w:color w:val="111111"/>
          <w:sz w:val="28"/>
          <w:szCs w:val="28"/>
          <w:rtl/>
        </w:rPr>
        <w:t xml:space="preserve">كافة الائمة و السادات، ج 4، ص 303.</w:t>
      </w:r>
    </w:p>
    <w:p>
      <w:pPr>
        <w:pStyle w:val="Heading2"/>
      </w:pPr>
      <w:bookmarkStart w:id="3493" w:name="_Toc2595"/>
      <w:r>
        <w:t>حجت طباطبائي ، محمّد باقر بن</w:t>
      </w:r>
      <w:bookmarkEnd w:id="3493"/>
    </w:p>
    <w:p>
      <w:pPr>
        <w:pStyle w:val="BookText"/>
      </w:pPr>
      <w:r>
        <w:rPr>
          <w:rFonts w:ascii="IRNazanin" w:hAnsi="IRNazanin" w:eastAsia="IRNazanin" w:cs="IRNazanin"/>
          <w:lang w:bidi="fa-IR"/>
          <w:color w:val="111111"/>
          <w:sz w:val="28"/>
          <w:szCs w:val="28"/>
          <w:rtl/>
        </w:rPr>
        <w:t xml:space="preserve">ابوالقاسم، 1273 - 1331 ه-</w:t>
      </w:r>
    </w:p>
    <w:p>
      <w:pPr>
        <w:pStyle w:val="BookText"/>
      </w:pPr>
      <w:r>
        <w:rPr>
          <w:rFonts w:ascii="Amiri" w:hAnsi="Amiri" w:eastAsia="Amiri" w:cs="Amiri"/>
          <w:lang w:bidi="ar-SA"/>
          <w:color w:val="111111"/>
          <w:sz w:val="28"/>
          <w:szCs w:val="28"/>
          <w:rtl/>
        </w:rPr>
        <w:t xml:space="preserve">1 .اصول الفقه (كتاب في)، ج2،</w:t>
      </w:r>
    </w:p>
    <w:p>
      <w:pPr>
        <w:pStyle w:val="BookText"/>
      </w:pPr>
      <w:r>
        <w:rPr>
          <w:rFonts w:ascii="IRNazanin" w:hAnsi="IRNazanin" w:eastAsia="IRNazanin" w:cs="IRNazanin"/>
          <w:lang w:bidi="fa-IR"/>
          <w:color w:val="111111"/>
          <w:sz w:val="28"/>
          <w:szCs w:val="28"/>
          <w:rtl/>
        </w:rPr>
        <w:t xml:space="preserve">ص 439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التجارة، ج 3، ص 681.</w:t>
      </w:r>
    </w:p>
    <w:p>
      <w:pPr>
        <w:pStyle w:val="BookText"/>
      </w:pPr>
      <w:r>
        <w:rPr>
          <w:rFonts w:ascii="Amiri" w:hAnsi="Amiri" w:eastAsia="Amiri" w:cs="Amiri"/>
          <w:lang w:bidi="ar-SA"/>
          <w:color w:val="111111"/>
          <w:sz w:val="28"/>
          <w:szCs w:val="28"/>
          <w:rtl/>
        </w:rPr>
        <w:t xml:space="preserve">3 .تنجيس المتنجس (رسالة في)، جه،</w:t>
      </w:r>
    </w:p>
    <w:p>
      <w:pPr>
        <w:pStyle w:val="BookText"/>
      </w:pPr>
      <w:r>
        <w:rPr>
          <w:rFonts w:ascii="IRNazanin" w:hAnsi="IRNazanin" w:eastAsia="IRNazanin" w:cs="IRNazanin"/>
          <w:lang w:bidi="fa-IR"/>
          <w:color w:val="111111"/>
          <w:sz w:val="28"/>
          <w:szCs w:val="28"/>
          <w:rtl/>
        </w:rPr>
        <w:t xml:space="preserve">ص 45 .</w:t>
      </w:r>
    </w:p>
    <w:p>
      <w:pPr>
        <w:pStyle w:val="BookText"/>
      </w:pPr>
      <w:r>
        <w:rPr>
          <w:rFonts w:ascii="Amiri" w:hAnsi="Amiri" w:eastAsia="Amiri" w:cs="Amiri"/>
          <w:lang w:bidi="ar-SA"/>
          <w:color w:val="111111"/>
          <w:sz w:val="28"/>
          <w:szCs w:val="28"/>
          <w:rtl/>
        </w:rPr>
        <w:t xml:space="preserve">4 .الخلل في الصلاة، ج 7، ص 156 .</w:t>
      </w:r>
    </w:p>
    <w:p>
      <w:pPr>
        <w:pStyle w:val="BookText"/>
      </w:pPr>
      <w:r>
        <w:rPr>
          <w:rFonts w:ascii="Amiri" w:hAnsi="Amiri" w:eastAsia="Amiri" w:cs="Amiri"/>
          <w:lang w:bidi="ar-SA"/>
          <w:color w:val="111111"/>
          <w:sz w:val="28"/>
          <w:szCs w:val="28"/>
          <w:rtl/>
        </w:rPr>
        <w:t xml:space="preserve">5 .شرح كفاية الاصول، ج 10، ص 57.</w:t>
      </w:r>
    </w:p>
    <w:p>
      <w:pPr>
        <w:pStyle w:val="BookText"/>
      </w:pPr>
      <w:r>
        <w:rPr>
          <w:rFonts w:ascii="Amiri" w:hAnsi="Amiri" w:eastAsia="Amiri" w:cs="Amiri"/>
          <w:lang w:bidi="ar-SA"/>
          <w:color w:val="111111"/>
          <w:sz w:val="28"/>
          <w:szCs w:val="28"/>
          <w:rtl/>
        </w:rPr>
        <w:t xml:space="preserve">6 .الشهاب الثاقب في الرد على ما</w:t>
      </w:r>
    </w:p>
    <w:p>
      <w:pPr>
        <w:pStyle w:val="BookText"/>
      </w:pPr>
      <w:r>
        <w:rPr>
          <w:rFonts w:ascii="IRNazanin" w:hAnsi="IRNazanin" w:eastAsia="IRNazanin" w:cs="IRNazanin"/>
          <w:lang w:bidi="fa-IR"/>
          <w:color w:val="111111"/>
          <w:sz w:val="28"/>
          <w:szCs w:val="28"/>
          <w:rtl/>
        </w:rPr>
        <w:t xml:space="preserve">لفقه العاقب، ج 10، ص 428.</w:t>
      </w:r>
    </w:p>
    <w:p>
      <w:pPr>
        <w:pStyle w:val="BookText"/>
      </w:pPr>
      <w:r>
        <w:rPr>
          <w:rFonts w:ascii="Amiri" w:hAnsi="Amiri" w:eastAsia="Amiri" w:cs="Amiri"/>
          <w:lang w:bidi="ar-SA"/>
          <w:color w:val="111111"/>
          <w:sz w:val="28"/>
          <w:szCs w:val="28"/>
          <w:rtl/>
        </w:rPr>
        <w:t xml:space="preserve">7 .قاعدة نفي الضرر، ج 12، ص338.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مصباح الظلام في علم الكلام =</w:t>
      </w:r>
    </w:p>
    <w:p>
      <w:pPr>
        <w:pStyle w:val="BookText"/>
      </w:pPr>
      <w:r>
        <w:rPr>
          <w:rFonts w:ascii="Amiri" w:hAnsi="Amiri" w:eastAsia="Amiri" w:cs="Amiri"/>
          <w:lang w:bidi="ar-SA"/>
          <w:color w:val="111111"/>
          <w:sz w:val="28"/>
          <w:szCs w:val="28"/>
          <w:rtl/>
        </w:rPr>
        <w:t xml:space="preserve">منظومة أصول الدين، ج 14،</w:t>
      </w:r>
    </w:p>
    <w:p>
      <w:pPr>
        <w:pStyle w:val="BookText"/>
      </w:pPr>
      <w:r>
        <w:rPr>
          <w:rFonts w:ascii="IRNazanin" w:hAnsi="IRNazanin" w:eastAsia="IRNazanin" w:cs="IRNazanin"/>
          <w:lang w:bidi="fa-IR"/>
          <w:color w:val="111111"/>
          <w:sz w:val="28"/>
          <w:szCs w:val="28"/>
          <w:rtl/>
        </w:rPr>
        <w:t xml:space="preserve">ص 715.</w:t>
      </w:r>
    </w:p>
    <w:p>
      <w:pPr>
        <w:pStyle w:val="BookText"/>
      </w:pPr>
      <w:r>
        <w:rPr>
          <w:rFonts w:ascii="Amiri" w:hAnsi="Amiri" w:eastAsia="Amiri" w:cs="Amiri"/>
          <w:lang w:bidi="ar-SA"/>
          <w:color w:val="111111"/>
          <w:sz w:val="28"/>
          <w:szCs w:val="28"/>
          <w:rtl/>
        </w:rPr>
        <w:t xml:space="preserve">9 .منظومة الحجة، ج 15، ص 719.</w:t>
      </w:r>
    </w:p>
    <w:p>
      <w:pPr>
        <w:pStyle w:val="BookText"/>
      </w:pPr>
      <w:r>
        <w:rPr>
          <w:rFonts w:ascii="Amiri" w:hAnsi="Amiri" w:eastAsia="Amiri" w:cs="Amiri"/>
          <w:lang w:bidi="ar-SA"/>
          <w:color w:val="111111"/>
          <w:sz w:val="28"/>
          <w:szCs w:val="28"/>
          <w:rtl/>
        </w:rPr>
        <w:t xml:space="preserve">10 . النكاح (ارجوزة في)، ج 16، ص 457.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النوافل (رسالة في)، ج 16، ص 546.</w:t>
      </w:r>
    </w:p>
    <w:p>
      <w:pPr>
        <w:pStyle w:val="Heading2"/>
      </w:pPr>
      <w:bookmarkStart w:id="3494" w:name="_Toc2596"/>
      <w:r>
        <w:t>حجت طباطبائي ، محمّد باقر بن محمّد</w:t>
      </w:r>
      <w:bookmarkEnd w:id="3494"/>
    </w:p>
    <w:p>
      <w:pPr>
        <w:pStyle w:val="BookText"/>
      </w:pPr>
      <w:r>
        <w:rPr>
          <w:rFonts w:ascii="IRNazanin" w:hAnsi="IRNazanin" w:eastAsia="IRNazanin" w:cs="IRNazanin"/>
          <w:lang w:bidi="fa-IR"/>
          <w:color w:val="111111"/>
          <w:sz w:val="28"/>
          <w:szCs w:val="28"/>
          <w:rtl/>
        </w:rPr>
        <w:t xml:space="preserve">صادق، 1334 ه-</w:t>
      </w:r>
    </w:p>
    <w:p>
      <w:pPr>
        <w:pStyle w:val="BookText"/>
      </w:pPr>
      <w:r>
        <w:rPr>
          <w:rFonts w:ascii="Amiri" w:hAnsi="Amiri" w:eastAsia="Amiri" w:cs="Amiri"/>
          <w:lang w:bidi="ar-SA"/>
          <w:color w:val="111111"/>
          <w:sz w:val="28"/>
          <w:szCs w:val="28"/>
          <w:rtl/>
        </w:rPr>
        <w:t xml:space="preserve">أنيس الشعراء، ج 3، ص 36.</w:t>
      </w:r>
    </w:p>
    <w:p>
      <w:pPr>
        <w:pStyle w:val="Heading2"/>
      </w:pPr>
      <w:bookmarkStart w:id="3495" w:name="_Toc2597"/>
      <w:r>
        <w:t>حجت طباطبائي ، محمّد صادق بن محمّد</w:t>
      </w:r>
      <w:bookmarkEnd w:id="3495"/>
    </w:p>
    <w:p>
      <w:pPr>
        <w:pStyle w:val="BookText"/>
      </w:pPr>
      <w:r>
        <w:rPr>
          <w:rFonts w:ascii="IRNazanin" w:hAnsi="IRNazanin" w:eastAsia="IRNazanin" w:cs="IRNazanin"/>
          <w:lang w:bidi="fa-IR"/>
          <w:color w:val="111111"/>
          <w:sz w:val="28"/>
          <w:szCs w:val="28"/>
          <w:rtl/>
        </w:rPr>
        <w:t xml:space="preserve">باقر، - 1337 ه-</w:t>
      </w:r>
    </w:p>
    <w:p>
      <w:pPr>
        <w:pStyle w:val="BookText"/>
      </w:pPr>
      <w:r>
        <w:rPr>
          <w:rFonts w:ascii="Amiri" w:hAnsi="Amiri" w:eastAsia="Amiri" w:cs="Amiri"/>
          <w:lang w:bidi="ar-SA"/>
          <w:color w:val="111111"/>
          <w:sz w:val="28"/>
          <w:szCs w:val="28"/>
          <w:rtl/>
        </w:rPr>
        <w:t xml:space="preserve">1 .تقريرات الاصول، ج4، ص 742.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الصوم (ارجوزة في) = أرجوزة في</w:t>
      </w:r>
    </w:p>
    <w:p>
      <w:pPr>
        <w:pStyle w:val="BookText"/>
      </w:pPr>
      <w:r>
        <w:rPr>
          <w:rFonts w:ascii="IRNazanin" w:hAnsi="IRNazanin" w:eastAsia="IRNazanin" w:cs="IRNazanin"/>
          <w:lang w:bidi="fa-IR"/>
          <w:color w:val="111111"/>
          <w:sz w:val="28"/>
          <w:szCs w:val="28"/>
          <w:rtl/>
        </w:rPr>
        <w:t xml:space="preserve">الصوم، ج 10، ص 666.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منظومات فقهية، ج 15 ، ص 712.</w:t>
      </w:r>
    </w:p>
    <w:p>
      <w:pPr>
        <w:pStyle w:val="Heading2"/>
      </w:pPr>
      <w:bookmarkStart w:id="3496" w:name="_Toc2598"/>
      <w:r>
        <w:t>حجري ، احمد بن محمّد قرن 8 ه-</w:t>
      </w:r>
      <w:bookmarkEnd w:id="3496"/>
    </w:p>
    <w:p>
      <w:pPr>
        <w:pStyle w:val="BookText"/>
      </w:pPr>
      <w:r>
        <w:rPr>
          <w:rFonts w:ascii="Amiri" w:hAnsi="Amiri" w:eastAsia="Amiri" w:cs="Amiri"/>
          <w:lang w:bidi="ar-SA"/>
          <w:color w:val="111111"/>
          <w:sz w:val="28"/>
          <w:szCs w:val="28"/>
          <w:rtl/>
        </w:rPr>
        <w:t xml:space="preserve">المنبهات على الاستعداد ليوم المعاد المنبهات، ج 15 ، ص 589.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8" w:name="pg7742_70105"/>
    <w:bookmarkEnd w:id="358"/>
    <w:p>
      <w:pPr>
        <w:pStyle w:val="BookText"/>
      </w:pPr>
      <w:r>
        <w:rPr>
          <w:rFonts w:ascii="Amiri" w:hAnsi="Amiri" w:eastAsia="Amiri" w:cs="Amiri"/>
          <w:lang w:bidi="ar-SA"/>
          <w:color w:val="111111"/>
          <w:sz w:val="28"/>
          <w:szCs w:val="28"/>
          <w:rtl/>
        </w:rPr>
        <w:t xml:space="preserve">حجري طحاوي ، احمد بن محمّد -طحاوي ، احمد بن محمّد</w:t>
      </w:r>
    </w:p>
    <w:p>
      <w:pPr>
        <w:pStyle w:val="BookText"/>
      </w:pPr>
      <w:r>
        <w:rPr>
          <w:rFonts w:ascii="Amiri" w:hAnsi="Amiri" w:eastAsia="Amiri" w:cs="Amiri"/>
          <w:lang w:bidi="ar-SA"/>
          <w:color w:val="111111"/>
          <w:sz w:val="28"/>
          <w:szCs w:val="28"/>
          <w:rtl/>
        </w:rPr>
        <w:t xml:space="preserve">حجة الاسلام غزالي- غزالي ، محمّد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حجي ، احمد بن محمّد- حجري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حجيج قاسم وحيدي وحيد طبيب ،</w:t>
      </w:r>
    </w:p>
    <w:p>
      <w:pPr>
        <w:pStyle w:val="BookText"/>
      </w:pPr>
      <w:r>
        <w:rPr>
          <w:rFonts w:ascii="Amiri" w:hAnsi="Amiri" w:eastAsia="Amiri" w:cs="Amiri"/>
          <w:lang w:bidi="ar-SA"/>
          <w:color w:val="111111"/>
          <w:sz w:val="28"/>
          <w:szCs w:val="28"/>
          <w:rtl/>
        </w:rPr>
        <w:t xml:space="preserve">حجيج بن قاسم</w:t>
      </w:r>
    </w:p>
    <w:p>
      <w:pPr>
        <w:pStyle w:val="Heading2"/>
      </w:pPr>
      <w:bookmarkStart w:id="3497" w:name="_Toc2599"/>
      <w:r>
        <w:t>حجي ، عبدالسلام بن محمّد قرن 6 ه-</w:t>
      </w:r>
      <w:bookmarkEnd w:id="3497"/>
    </w:p>
    <w:p>
      <w:pPr>
        <w:pStyle w:val="BookText"/>
      </w:pPr>
      <w:r>
        <w:rPr>
          <w:rFonts w:ascii="Amiri" w:hAnsi="Amiri" w:eastAsia="Amiri" w:cs="Amiri"/>
          <w:lang w:bidi="ar-SA"/>
          <w:color w:val="111111"/>
          <w:sz w:val="28"/>
          <w:szCs w:val="28"/>
          <w:rtl/>
        </w:rPr>
        <w:t xml:space="preserve">الجامع البهي لدعوات النبي، جه ،</w:t>
      </w:r>
    </w:p>
    <w:p>
      <w:pPr>
        <w:pStyle w:val="BookText"/>
      </w:pPr>
      <w:r>
        <w:rPr>
          <w:rFonts w:ascii="IRNazanin" w:hAnsi="IRNazanin" w:eastAsia="IRNazanin" w:cs="IRNazanin"/>
          <w:lang w:bidi="fa-IR"/>
          <w:color w:val="111111"/>
          <w:sz w:val="28"/>
          <w:szCs w:val="28"/>
          <w:rtl/>
        </w:rPr>
        <w:t xml:space="preserve">ص 255 .</w:t>
      </w:r>
    </w:p>
    <w:p>
      <w:pPr>
        <w:pStyle w:val="Heading2"/>
      </w:pPr>
      <w:bookmarkStart w:id="3498" w:name="_Toc2600"/>
      <w:r>
        <w:t>حداد حلي ، ابوالمعالي</w:t>
      </w:r>
      <w:bookmarkEnd w:id="3498"/>
    </w:p>
    <w:p>
      <w:pPr>
        <w:pStyle w:val="BookText"/>
      </w:pPr>
      <w:r>
        <w:rPr>
          <w:rFonts w:ascii="Amiri" w:hAnsi="Amiri" w:eastAsia="Amiri" w:cs="Amiri"/>
          <w:lang w:bidi="ar-SA"/>
          <w:color w:val="111111"/>
          <w:sz w:val="28"/>
          <w:szCs w:val="28"/>
          <w:rtl/>
        </w:rPr>
        <w:t xml:space="preserve">الرسالة الجهادية، ج8، ص 186 .</w:t>
      </w:r>
    </w:p>
    <w:p>
      <w:pPr>
        <w:pStyle w:val="Heading2"/>
      </w:pPr>
      <w:bookmarkStart w:id="3499" w:name="_Toc2601"/>
      <w:r>
        <w:t>حداد ، ظافر بن قاسم - 529 ه-</w:t>
      </w:r>
      <w:bookmarkEnd w:id="3499"/>
    </w:p>
    <w:p>
      <w:pPr>
        <w:pStyle w:val="BookText"/>
      </w:pPr>
      <w:r>
        <w:rPr>
          <w:rFonts w:ascii="Amiri" w:hAnsi="Amiri" w:eastAsia="Amiri" w:cs="Amiri"/>
          <w:lang w:bidi="ar-SA"/>
          <w:color w:val="111111"/>
          <w:sz w:val="28"/>
          <w:szCs w:val="28"/>
          <w:rtl/>
        </w:rPr>
        <w:t xml:space="preserve">ديوان ظافر الحداد، ج 7، ص701.</w:t>
      </w:r>
    </w:p>
    <w:p>
      <w:pPr>
        <w:pStyle w:val="Heading2"/>
      </w:pPr>
      <w:bookmarkStart w:id="3500" w:name="_Toc2602"/>
      <w:r>
        <w:t>حداد ، علي بن محمّد قرن 11 ه-</w:t>
      </w:r>
      <w:bookmarkEnd w:id="3500"/>
    </w:p>
    <w:p>
      <w:pPr>
        <w:pStyle w:val="BookText"/>
      </w:pPr>
      <w:r>
        <w:rPr>
          <w:rFonts w:ascii="Amiri" w:hAnsi="Amiri" w:eastAsia="Amiri" w:cs="Amiri"/>
          <w:lang w:bidi="ar-SA"/>
          <w:color w:val="111111"/>
          <w:sz w:val="28"/>
          <w:szCs w:val="28"/>
          <w:rtl/>
        </w:rPr>
        <w:t xml:space="preserve">سراج الظلام و بدر التمام = شرح در المهتدي و ذخر المقتدي لسراج الدين الهاملي، ج8، ص729.</w:t>
      </w:r>
    </w:p>
    <w:p>
      <w:pPr>
        <w:pStyle w:val="Heading2"/>
      </w:pPr>
      <w:bookmarkStart w:id="3501" w:name="_Toc2603"/>
      <w:r>
        <w:t>حدادي عبادي ، ابوبكر بن علي - 800ه-</w:t>
      </w:r>
      <w:bookmarkEnd w:id="3501"/>
    </w:p>
    <w:p>
      <w:pPr>
        <w:pStyle w:val="BookText"/>
      </w:pPr>
      <w:r>
        <w:rPr>
          <w:rFonts w:ascii="Amiri" w:hAnsi="Amiri" w:eastAsia="Amiri" w:cs="Amiri"/>
          <w:lang w:bidi="ar-SA"/>
          <w:color w:val="111111"/>
          <w:sz w:val="28"/>
          <w:szCs w:val="28"/>
          <w:rtl/>
        </w:rPr>
        <w:t xml:space="preserve">1 .الجوهرة المنيرة في شرح مختصر</w:t>
      </w:r>
    </w:p>
    <w:p>
      <w:pPr>
        <w:pStyle w:val="BookText"/>
      </w:pPr>
      <w:r>
        <w:rPr>
          <w:rFonts w:ascii="Amiri" w:hAnsi="Amiri" w:eastAsia="Amiri" w:cs="Amiri"/>
          <w:lang w:bidi="ar-SA"/>
          <w:color w:val="111111"/>
          <w:sz w:val="28"/>
          <w:szCs w:val="28"/>
          <w:rtl/>
        </w:rPr>
        <w:t xml:space="preserve">القدوري، ج 5، ص 616.</w:t>
      </w:r>
    </w:p>
    <w:p>
      <w:pPr>
        <w:pStyle w:val="BookText"/>
      </w:pPr>
      <w:r>
        <w:rPr>
          <w:rFonts w:ascii="Amiri" w:hAnsi="Amiri" w:eastAsia="Amiri" w:cs="Amiri"/>
          <w:lang w:bidi="ar-SA"/>
          <w:color w:val="111111"/>
          <w:sz w:val="28"/>
          <w:szCs w:val="28"/>
          <w:rtl/>
        </w:rPr>
        <w:t xml:space="preserve">2 .سراج الظلام و بدر التمام في شرح</w:t>
      </w:r>
    </w:p>
    <w:p>
      <w:pPr>
        <w:pStyle w:val="BookText"/>
      </w:pPr>
      <w:r>
        <w:rPr>
          <w:rFonts w:ascii="Amiri" w:hAnsi="Amiri" w:eastAsia="Amiri" w:cs="Amiri"/>
          <w:lang w:bidi="ar-SA"/>
          <w:color w:val="111111"/>
          <w:sz w:val="28"/>
          <w:szCs w:val="28"/>
          <w:rtl/>
        </w:rPr>
        <w:t xml:space="preserve">منظومة الهاملية = شرح در المهتدي و ذخر المقتدي، ج8،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السراج الوهاج - الموضح لكل طالب محتاج = شرح مختصر</w:t>
      </w:r>
    </w:p>
    <w:p>
      <w:pPr>
        <w:pStyle w:val="BookText"/>
      </w:pPr>
      <w:r>
        <w:rPr>
          <w:rFonts w:ascii="Amiri" w:hAnsi="Amiri" w:eastAsia="Amiri" w:cs="Amiri"/>
          <w:lang w:bidi="ar-SA"/>
          <w:color w:val="111111"/>
          <w:sz w:val="28"/>
          <w:szCs w:val="28"/>
          <w:rtl/>
        </w:rPr>
        <w:t xml:space="preserve">القدوري، ج8، ص 741</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4 .كشف التنزيل في تحقيق المباحث و</w:t>
      </w:r>
    </w:p>
    <w:p>
      <w:pPr>
        <w:pStyle w:val="BookText"/>
      </w:pPr>
      <w:r>
        <w:rPr>
          <w:rFonts w:ascii="Amiri" w:hAnsi="Amiri" w:eastAsia="Amiri" w:cs="Amiri"/>
          <w:lang w:bidi="ar-SA"/>
          <w:color w:val="111111"/>
          <w:sz w:val="28"/>
          <w:szCs w:val="28"/>
          <w:rtl/>
        </w:rPr>
        <w:t xml:space="preserve">التأويل – تفسير الحداد، ج13،</w:t>
      </w:r>
    </w:p>
    <w:p>
      <w:pPr>
        <w:pStyle w:val="BookText"/>
      </w:pPr>
      <w:r>
        <w:rPr>
          <w:rFonts w:ascii="IRNazanin" w:hAnsi="IRNazanin" w:eastAsia="IRNazanin" w:cs="IRNazanin"/>
          <w:lang w:bidi="fa-IR"/>
          <w:color w:val="111111"/>
          <w:sz w:val="28"/>
          <w:szCs w:val="28"/>
          <w:rtl/>
        </w:rPr>
        <w:t xml:space="preserve">ص 199.</w:t>
      </w:r>
    </w:p>
    <w:p>
      <w:pPr>
        <w:pStyle w:val="Heading2"/>
      </w:pPr>
      <w:bookmarkStart w:id="3502" w:name="_Toc2604"/>
      <w:r>
        <w:t>حدادي، عبدالله بن علوي، 1044-1132ه-</w:t>
      </w:r>
      <w:bookmarkEnd w:id="3502"/>
    </w:p>
    <w:p>
      <w:pPr>
        <w:pStyle w:val="BookText"/>
      </w:pPr>
      <w:r>
        <w:rPr>
          <w:rFonts w:ascii="Amiri" w:hAnsi="Amiri" w:eastAsia="Amiri" w:cs="Amiri"/>
          <w:lang w:bidi="ar-SA"/>
          <w:color w:val="111111"/>
          <w:sz w:val="28"/>
          <w:szCs w:val="28"/>
          <w:rtl/>
        </w:rPr>
        <w:t xml:space="preserve">1.الحكم الفائقة ذات الأنوار الشارقة، ج 6 ، ص 761 . .</w:t>
      </w:r>
    </w:p>
    <w:p>
      <w:pPr>
        <w:pStyle w:val="BookText"/>
      </w:pPr>
      <w:r>
        <w:rPr>
          <w:rFonts w:ascii="Amiri" w:hAnsi="Amiri" w:eastAsia="Amiri" w:cs="Amiri"/>
          <w:lang w:bidi="ar-SA"/>
          <w:color w:val="111111"/>
          <w:sz w:val="28"/>
          <w:szCs w:val="28"/>
          <w:rtl/>
        </w:rPr>
        <w:t xml:space="preserve">2.ديوان الحدادي = الدر المنظوم</w:t>
      </w:r>
    </w:p>
    <w:p>
      <w:pPr>
        <w:pStyle w:val="BookText"/>
      </w:pPr>
      <w:r>
        <w:rPr>
          <w:rFonts w:ascii="Amiri" w:hAnsi="Amiri" w:eastAsia="Amiri" w:cs="Amiri"/>
          <w:lang w:bidi="ar-SA"/>
          <w:color w:val="111111"/>
          <w:sz w:val="28"/>
          <w:szCs w:val="28"/>
          <w:rtl/>
        </w:rPr>
        <w:t xml:space="preserve">لذوي العقول و الفهوم، ج7،</w:t>
      </w:r>
    </w:p>
    <w:p>
      <w:pPr>
        <w:pStyle w:val="BookText"/>
      </w:pPr>
      <w:r>
        <w:rPr>
          <w:rFonts w:ascii="IRNazanin" w:hAnsi="IRNazanin" w:eastAsia="IRNazanin" w:cs="IRNazanin"/>
          <w:lang w:bidi="fa-IR"/>
          <w:color w:val="111111"/>
          <w:sz w:val="28"/>
          <w:szCs w:val="28"/>
          <w:rtl/>
        </w:rPr>
        <w:t xml:space="preserve">ص 618.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رسالة المريد، ج8، ص 269.</w:t>
      </w:r>
    </w:p>
    <w:p>
      <w:pPr>
        <w:pStyle w:val="BookText"/>
      </w:pPr>
      <w:r>
        <w:rPr>
          <w:rFonts w:ascii="Amiri" w:hAnsi="Amiri" w:eastAsia="Amiri" w:cs="Amiri"/>
          <w:lang w:bidi="ar-SA"/>
          <w:color w:val="111111"/>
          <w:sz w:val="28"/>
          <w:szCs w:val="28"/>
          <w:rtl/>
        </w:rPr>
        <w:t xml:space="preserve">4 .سبيل الأذكار والاعتبار بما يمر</w:t>
      </w:r>
    </w:p>
    <w:p>
      <w:pPr>
        <w:pStyle w:val="BookText"/>
      </w:pPr>
      <w:r>
        <w:rPr>
          <w:rFonts w:ascii="IRNazanin" w:hAnsi="IRNazanin" w:eastAsia="IRNazanin" w:cs="IRNazanin"/>
          <w:lang w:bidi="fa-IR"/>
          <w:color w:val="111111"/>
          <w:sz w:val="28"/>
          <w:szCs w:val="28"/>
          <w:rtl/>
        </w:rPr>
        <w:t xml:space="preserve">بالإنسان من الأعمار، ج8، ص707.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النصايح الدينية والوصايا الايمانية</w:t>
      </w:r>
    </w:p>
    <w:p>
      <w:pPr>
        <w:pStyle w:val="BookText"/>
      </w:pPr>
      <w:r>
        <w:rPr>
          <w:rFonts w:ascii="IRNazanin" w:hAnsi="IRNazanin" w:eastAsia="IRNazanin" w:cs="IRNazanin"/>
          <w:lang w:bidi="fa-IR"/>
          <w:color w:val="111111"/>
          <w:sz w:val="28"/>
          <w:szCs w:val="28"/>
          <w:rtl/>
        </w:rPr>
        <w:t xml:space="preserve">ج 16، ص 298.</w:t>
      </w:r>
    </w:p>
    <w:p>
      <w:pPr>
        <w:pStyle w:val="BookText"/>
      </w:pPr>
      <w:r>
        <w:rPr>
          <w:rFonts w:ascii="Amiri" w:hAnsi="Amiri" w:eastAsia="Amiri" w:cs="Amiri"/>
          <w:lang w:bidi="ar-SA"/>
          <w:color w:val="111111"/>
          <w:sz w:val="28"/>
          <w:szCs w:val="28"/>
          <w:rtl/>
        </w:rPr>
        <w:t xml:space="preserve">6 .ورد السيد عبدالله الحداد، ج16،</w:t>
      </w:r>
    </w:p>
    <w:p>
      <w:pPr>
        <w:pStyle w:val="BookText"/>
      </w:pPr>
      <w:r>
        <w:rPr>
          <w:rFonts w:ascii="IRNazanin" w:hAnsi="IRNazanin" w:eastAsia="IRNazanin" w:cs="IRNazanin"/>
          <w:lang w:bidi="fa-IR"/>
          <w:color w:val="111111"/>
          <w:sz w:val="28"/>
          <w:szCs w:val="28"/>
          <w:rtl/>
        </w:rPr>
        <w:t xml:space="preserve">ص 761 .</w:t>
      </w:r>
    </w:p>
    <w:p>
      <w:pPr>
        <w:pStyle w:val="BookText"/>
      </w:pPr>
      <w:r>
        <w:rPr>
          <w:rFonts w:ascii="Amiri" w:hAnsi="Amiri" w:eastAsia="Amiri" w:cs="Amiri"/>
          <w:lang w:bidi="ar-SA"/>
          <w:color w:val="111111"/>
          <w:sz w:val="28"/>
          <w:szCs w:val="28"/>
          <w:rtl/>
        </w:rPr>
        <w:t xml:space="preserve">حدادي ، محمّد بن علي -مناوي ، محمّد</w:t>
      </w:r>
    </w:p>
    <w:p>
      <w:pPr>
        <w:pStyle w:val="BookText"/>
      </w:pPr>
      <w:r>
        <w:rPr>
          <w:rFonts w:ascii="Amiri" w:hAnsi="Amiri" w:eastAsia="Amiri" w:cs="Amiri"/>
          <w:lang w:bidi="ar-SA"/>
          <w:color w:val="111111"/>
          <w:sz w:val="28"/>
          <w:szCs w:val="28"/>
          <w:rtl/>
        </w:rPr>
        <w:t xml:space="preserve">عبدالرؤف بن علي</w:t>
      </w:r>
    </w:p>
    <w:p>
      <w:pPr>
        <w:pStyle w:val="BookText"/>
      </w:pPr>
      <w:r>
        <w:rPr>
          <w:rFonts w:ascii="IRNazanin" w:hAnsi="IRNazanin" w:eastAsia="IRNazanin" w:cs="IRNazanin"/>
          <w:lang w:bidi="fa-IR"/>
          <w:color w:val="111111"/>
          <w:sz w:val="28"/>
          <w:szCs w:val="28"/>
          <w:rtl/>
        </w:rPr>
        <w:t xml:space="preserve">حدادي ، موسی -موصلي حدادي ، موسى</w:t>
      </w:r>
    </w:p>
    <w:p>
      <w:pPr>
        <w:pStyle w:val="Heading2"/>
      </w:pPr>
      <w:bookmarkStart w:id="3503" w:name="_Toc2605"/>
      <w:r>
        <w:t>حديايي ، ايشوعياب</w:t>
      </w:r>
      <w:bookmarkEnd w:id="3503"/>
    </w:p>
    <w:p>
      <w:pPr>
        <w:pStyle w:val="BookText"/>
      </w:pPr>
      <w:r>
        <w:rPr>
          <w:rFonts w:ascii="Amiri" w:hAnsi="Amiri" w:eastAsia="Amiri" w:cs="Amiri"/>
          <w:lang w:bidi="ar-SA"/>
          <w:color w:val="111111"/>
          <w:sz w:val="28"/>
          <w:szCs w:val="28"/>
          <w:rtl/>
        </w:rPr>
        <w:t xml:space="preserve">رتبة تقديس المذبح، ج8، ص39.</w:t>
      </w:r>
    </w:p>
    <w:p>
      <w:pPr>
        <w:pStyle w:val="BookText"/>
      </w:pPr>
      <w:r>
        <w:rPr>
          <w:rFonts w:ascii="IRNazanin" w:hAnsi="IRNazanin" w:eastAsia="IRNazanin" w:cs="IRNazanin"/>
          <w:lang w:bidi="fa-IR"/>
          <w:color w:val="111111"/>
          <w:sz w:val="28"/>
          <w:szCs w:val="28"/>
          <w:rtl/>
        </w:rPr>
        <w:t xml:space="preserve">ص 730.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9" w:name="pg7742_70107"/>
    <w:bookmarkEnd w:id="359"/>
    <w:p>
      <w:pPr>
        <w:pStyle w:val="Heading2"/>
      </w:pPr>
      <w:bookmarkStart w:id="3504" w:name="_Toc2606"/>
      <w:r>
        <w:t>حديثي ، عبدالحميد بن احمد</w:t>
      </w:r>
      <w:bookmarkEnd w:id="3504"/>
    </w:p>
    <w:p>
      <w:pPr>
        <w:pStyle w:val="BookText"/>
      </w:pPr>
      <w:r>
        <w:rPr>
          <w:rFonts w:ascii="Amiri" w:hAnsi="Amiri" w:eastAsia="Amiri" w:cs="Amiri"/>
          <w:lang w:bidi="ar-SA"/>
          <w:color w:val="111111"/>
          <w:sz w:val="28"/>
          <w:szCs w:val="28"/>
          <w:rtl/>
        </w:rPr>
        <w:t xml:space="preserve">سبعة ابواب في علم التجويد، ج8، ص 698 .</w:t>
      </w:r>
    </w:p>
    <w:p>
      <w:pPr>
        <w:pStyle w:val="Heading2"/>
      </w:pPr>
      <w:bookmarkStart w:id="3505" w:name="_Toc2607"/>
      <w:r>
        <w:t>حديدي ، عبدالدائم بن علي - 870 ه-</w:t>
      </w:r>
      <w:bookmarkEnd w:id="35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المقدمة الجزرية = الدرة المنتظمة في شرح المقدمة الجزرية ج 10، ص 191.</w:t>
      </w:r>
    </w:p>
    <w:p>
      <w:pPr>
        <w:pStyle w:val="BookText"/>
      </w:pPr>
      <w:r>
        <w:rPr>
          <w:rFonts w:ascii="Amiri" w:hAnsi="Amiri" w:eastAsia="Amiri" w:cs="Amiri"/>
          <w:lang w:bidi="ar-SA"/>
          <w:color w:val="111111"/>
          <w:sz w:val="28"/>
          <w:szCs w:val="28"/>
          <w:rtl/>
        </w:rPr>
        <w:t xml:space="preserve">2 .الطرازات المعلمة في شرح المقدمة</w:t>
      </w:r>
    </w:p>
    <w:p>
      <w:pPr>
        <w:pStyle w:val="BookText"/>
      </w:pPr>
      <w:r>
        <w:rPr>
          <w:rFonts w:ascii="IRNazanin" w:hAnsi="IRNazanin" w:eastAsia="IRNazanin" w:cs="IRNazanin"/>
          <w:lang w:bidi="fa-IR"/>
          <w:color w:val="111111"/>
          <w:sz w:val="28"/>
          <w:szCs w:val="28"/>
          <w:rtl/>
        </w:rPr>
        <w:t xml:space="preserve">ج 10، ص 803.</w:t>
      </w:r>
    </w:p>
    <w:p>
      <w:pPr>
        <w:pStyle w:val="Heading2"/>
      </w:pPr>
      <w:bookmarkStart w:id="3506" w:name="_Toc2608"/>
      <w:r>
        <w:t>حذاء ، علي بن جعفر قرن 5 ه-</w:t>
      </w:r>
      <w:bookmarkEnd w:id="3506"/>
    </w:p>
    <w:p>
      <w:pPr>
        <w:pStyle w:val="BookText"/>
      </w:pPr>
      <w:r>
        <w:rPr>
          <w:rFonts w:ascii="IRNazanin" w:hAnsi="IRNazanin" w:eastAsia="IRNazanin" w:cs="IRNazanin"/>
          <w:lang w:bidi="fa-IR"/>
          <w:color w:val="111111"/>
          <w:sz w:val="28"/>
          <w:szCs w:val="28"/>
          <w:rtl/>
        </w:rPr>
        <w:t xml:space="preserve">1 .اختلاف القراء، ج 1، ص 551.</w:t>
      </w:r>
    </w:p>
    <w:p>
      <w:pPr>
        <w:pStyle w:val="BookText"/>
      </w:pPr>
      <w:r>
        <w:rPr>
          <w:rFonts w:ascii="Amiri" w:hAnsi="Amiri" w:eastAsia="Amiri" w:cs="Amiri"/>
          <w:lang w:bidi="ar-SA"/>
          <w:color w:val="111111"/>
          <w:sz w:val="28"/>
          <w:szCs w:val="28"/>
          <w:rtl/>
        </w:rPr>
        <w:t xml:space="preserve">2 .التنبيه على اللحن الخفي جه،</w:t>
      </w:r>
    </w:p>
    <w:p>
      <w:pPr>
        <w:pStyle w:val="BookText"/>
      </w:pPr>
      <w:r>
        <w:rPr>
          <w:rFonts w:ascii="IRNazanin" w:hAnsi="IRNazanin" w:eastAsia="IRNazanin" w:cs="IRNazanin"/>
          <w:lang w:bidi="fa-IR"/>
          <w:color w:val="111111"/>
          <w:sz w:val="28"/>
          <w:szCs w:val="28"/>
          <w:rtl/>
        </w:rPr>
        <w:t xml:space="preserve">ص 29.</w:t>
      </w:r>
    </w:p>
    <w:p>
      <w:pPr>
        <w:pStyle w:val="BookText"/>
      </w:pPr>
      <w:r>
        <w:rPr>
          <w:rFonts w:ascii="Amiri" w:hAnsi="Amiri" w:eastAsia="Amiri" w:cs="Amiri"/>
          <w:lang w:bidi="ar-SA"/>
          <w:color w:val="111111"/>
          <w:sz w:val="28"/>
          <w:szCs w:val="28"/>
          <w:rtl/>
        </w:rPr>
        <w:t xml:space="preserve">حراني ، ابراهيم بن هلال -صابي ، ابراهيم</w:t>
      </w:r>
    </w:p>
    <w:p>
      <w:pPr>
        <w:pStyle w:val="BookText"/>
      </w:pPr>
      <w:r>
        <w:rPr>
          <w:rFonts w:ascii="IRNazanin" w:hAnsi="IRNazanin" w:eastAsia="IRNazanin" w:cs="IRNazanin"/>
          <w:lang w:bidi="fa-IR"/>
          <w:color w:val="111111"/>
          <w:sz w:val="28"/>
          <w:szCs w:val="28"/>
          <w:rtl/>
        </w:rPr>
        <w:t xml:space="preserve">بن هلال</w:t>
      </w:r>
    </w:p>
    <w:p>
      <w:pPr>
        <w:pStyle w:val="BookText"/>
      </w:pPr>
      <w:r>
        <w:rPr>
          <w:rFonts w:ascii="Amiri" w:hAnsi="Amiri" w:eastAsia="Amiri" w:cs="Amiri"/>
          <w:lang w:bidi="ar-SA"/>
          <w:color w:val="111111"/>
          <w:sz w:val="28"/>
          <w:szCs w:val="28"/>
          <w:rtl/>
        </w:rPr>
        <w:t xml:space="preserve">حراني ، ابراهيم بن يحيى -نميري ، ابراهيم</w:t>
      </w:r>
    </w:p>
    <w:p>
      <w:pPr>
        <w:pStyle w:val="BookText"/>
      </w:pPr>
      <w:r>
        <w:rPr>
          <w:rFonts w:ascii="Amiri" w:hAnsi="Amiri" w:eastAsia="Amiri" w:cs="Amiri"/>
          <w:lang w:bidi="ar-SA"/>
          <w:color w:val="111111"/>
          <w:sz w:val="28"/>
          <w:szCs w:val="28"/>
          <w:rtl/>
        </w:rPr>
        <w:t xml:space="preserve">بن يحيى</w:t>
      </w:r>
    </w:p>
    <w:p>
      <w:pPr>
        <w:pStyle w:val="Heading2"/>
      </w:pPr>
      <w:bookmarkStart w:id="3507" w:name="_Toc2609"/>
      <w:r>
        <w:t>حراني ، احمد بن حمدان، 631؟ - 695 ه-</w:t>
      </w:r>
      <w:bookmarkEnd w:id="3507"/>
    </w:p>
    <w:p>
      <w:pPr>
        <w:pStyle w:val="BookText"/>
      </w:pPr>
      <w:r>
        <w:rPr>
          <w:rFonts w:ascii="Amiri" w:hAnsi="Amiri" w:eastAsia="Amiri" w:cs="Amiri"/>
          <w:lang w:bidi="ar-SA"/>
          <w:color w:val="111111"/>
          <w:sz w:val="28"/>
          <w:szCs w:val="28"/>
          <w:rtl/>
        </w:rPr>
        <w:t xml:space="preserve">1 .جامع الفنون و سلوة المجنون جه،</w:t>
      </w:r>
    </w:p>
    <w:p>
      <w:pPr>
        <w:pStyle w:val="BookText"/>
      </w:pPr>
      <w:r>
        <w:rPr>
          <w:rFonts w:ascii="IRNazanin" w:hAnsi="IRNazanin" w:eastAsia="IRNazanin" w:cs="IRNazanin"/>
          <w:lang w:bidi="fa-IR"/>
          <w:color w:val="111111"/>
          <w:sz w:val="28"/>
          <w:szCs w:val="28"/>
          <w:rtl/>
        </w:rPr>
        <w:t xml:space="preserve">ص 311.</w:t>
      </w:r>
    </w:p>
    <w:p>
      <w:pPr>
        <w:pStyle w:val="BookText"/>
      </w:pPr>
      <w:r>
        <w:rPr>
          <w:rFonts w:ascii="Amiri" w:hAnsi="Amiri" w:eastAsia="Amiri" w:cs="Amiri"/>
          <w:lang w:bidi="ar-SA"/>
          <w:color w:val="111111"/>
          <w:sz w:val="28"/>
          <w:szCs w:val="28"/>
          <w:rtl/>
        </w:rPr>
        <w:t xml:space="preserve">2 .الغاية القصوي في الرعاية الكبرى</w:t>
      </w:r>
    </w:p>
    <w:p>
      <w:pPr>
        <w:pStyle w:val="BookText"/>
      </w:pPr>
      <w:r>
        <w:rPr>
          <w:rFonts w:ascii="IRNazanin" w:hAnsi="IRNazanin" w:eastAsia="IRNazanin" w:cs="IRNazanin"/>
          <w:lang w:bidi="fa-IR"/>
          <w:color w:val="111111"/>
          <w:sz w:val="28"/>
          <w:szCs w:val="28"/>
          <w:rtl/>
        </w:rPr>
        <w:t xml:space="preserve">ج 11، ص 441 .</w:t>
      </w:r>
    </w:p>
    <w:p>
      <w:pPr>
        <w:pStyle w:val="BookText"/>
      </w:pPr>
      <w:r>
        <w:rPr>
          <w:rFonts w:ascii="IRNazanin" w:hAnsi="IRNazanin" w:eastAsia="IRNazanin" w:cs="IRNazanin"/>
          <w:lang w:bidi="fa-IR"/>
          <w:color w:val="111111"/>
          <w:sz w:val="28"/>
          <w:szCs w:val="28"/>
          <w:rtl/>
        </w:rPr>
        <w:t xml:space="preserve">حراني ، احمد بن عبد الحليم- ابن تیمیه ،</w:t>
      </w:r>
    </w:p>
    <w:p>
      <w:pPr>
        <w:pStyle w:val="BookText"/>
      </w:pPr>
      <w:r>
        <w:rPr>
          <w:rFonts w:ascii="IRNazanin" w:hAnsi="IRNazanin" w:eastAsia="IRNazanin" w:cs="IRNazanin"/>
          <w:lang w:bidi="fa-IR"/>
          <w:color w:val="111111"/>
          <w:sz w:val="28"/>
          <w:szCs w:val="28"/>
          <w:rtl/>
        </w:rPr>
        <w:t xml:space="preserve">احمد بن عبدالحلیم</w:t>
      </w:r>
    </w:p>
    <w:p>
      <w:pPr>
        <w:pStyle w:val="BookText"/>
      </w:pPr>
      <w:r>
        <w:rPr>
          <w:rFonts w:ascii="Amiri" w:hAnsi="Amiri" w:eastAsia="Amiri" w:cs="Amiri"/>
          <w:lang w:bidi="ar-SA"/>
          <w:color w:val="111111"/>
          <w:sz w:val="28"/>
          <w:szCs w:val="28"/>
          <w:rtl/>
        </w:rPr>
        <w:t xml:space="preserve">حراني ، ثابت بن قره- ثابت بن قره</w:t>
      </w:r>
    </w:p>
    <w:p>
      <w:pPr>
        <w:pStyle w:val="BookText"/>
      </w:pPr>
      <w:r>
        <w:rPr>
          <w:rFonts w:ascii="Amiri" w:hAnsi="Amiri" w:eastAsia="Amiri" w:cs="Amiri"/>
          <w:lang w:bidi="ar-SA"/>
          <w:color w:val="111111"/>
          <w:sz w:val="28"/>
          <w:szCs w:val="28"/>
          <w:rtl/>
        </w:rPr>
        <w:t xml:space="preserve">حراني ، حسن بن علي- ابن شعبه ، حسن</w:t>
      </w:r>
    </w:p>
    <w:p>
      <w:pPr>
        <w:pStyle w:val="BookText"/>
      </w:pPr>
      <w:r>
        <w:rPr>
          <w:rFonts w:ascii="Amiri" w:hAnsi="Amiri" w:eastAsia="Amiri" w:cs="Amiri"/>
          <w:lang w:bidi="ar-SA"/>
          <w:color w:val="111111"/>
          <w:sz w:val="28"/>
          <w:szCs w:val="28"/>
          <w:rtl/>
        </w:rPr>
        <w:t xml:space="preserve">بن علي</w:t>
      </w:r>
    </w:p>
    <w:p>
      <w:pPr>
        <w:pStyle w:val="BookText"/>
      </w:pPr>
      <w:r>
        <w:rPr>
          <w:rFonts w:ascii="IRNazanin" w:hAnsi="IRNazanin" w:eastAsia="IRNazanin" w:cs="IRNazanin"/>
          <w:lang w:bidi="fa-IR"/>
          <w:color w:val="111111"/>
          <w:sz w:val="28"/>
          <w:szCs w:val="28"/>
          <w:rtl/>
        </w:rPr>
        <w:t xml:space="preserve">حراني ، عبدالسلام بن عبدالله- ابن تیمیه ،</w:t>
      </w:r>
    </w:p>
    <w:p>
      <w:pPr>
        <w:pStyle w:val="BookText"/>
      </w:pPr>
      <w:r>
        <w:rPr>
          <w:rFonts w:ascii="IRNazanin" w:hAnsi="IRNazanin" w:eastAsia="IRNazanin" w:cs="IRNazanin"/>
          <w:lang w:bidi="fa-IR"/>
          <w:color w:val="111111"/>
          <w:sz w:val="28"/>
          <w:szCs w:val="28"/>
          <w:rtl/>
        </w:rPr>
        <w:t xml:space="preserve">عبد السلام بن عبدالله</w:t>
      </w:r>
    </w:p>
    <w:p>
      <w:pPr>
        <w:pStyle w:val="BookText"/>
      </w:pPr>
      <w:r>
        <w:rPr>
          <w:rFonts w:ascii="Amiri" w:hAnsi="Amiri" w:eastAsia="Amiri" w:cs="Amiri"/>
          <w:lang w:bidi="ar-SA"/>
          <w:color w:val="111111"/>
          <w:sz w:val="28"/>
          <w:szCs w:val="28"/>
          <w:rtl/>
        </w:rPr>
        <w:t xml:space="preserve">حراني ، عبد القادر بن عبدالله - رهاوي ،</w:t>
      </w:r>
    </w:p>
    <w:p>
      <w:pPr>
        <w:pStyle w:val="BookText"/>
      </w:pPr>
      <w:r>
        <w:rPr>
          <w:rFonts w:ascii="IRNazanin" w:hAnsi="IRNazanin" w:eastAsia="IRNazanin" w:cs="IRNazanin"/>
          <w:lang w:bidi="fa-IR"/>
          <w:color w:val="111111"/>
          <w:sz w:val="28"/>
          <w:szCs w:val="28"/>
          <w:rtl/>
        </w:rPr>
        <w:t xml:space="preserve">عبد القادر بن عبدالله</w:t>
      </w:r>
    </w:p>
    <w:p>
      <w:pPr>
        <w:pStyle w:val="Heading2"/>
      </w:pPr>
      <w:bookmarkStart w:id="3508" w:name="_Toc2610"/>
      <w:r>
        <w:t>حراني عبد المنعم بن عبدالوهاب -596ه-</w:t>
      </w:r>
      <w:bookmarkEnd w:id="3508"/>
    </w:p>
    <w:p>
      <w:pPr>
        <w:pStyle w:val="BookText"/>
      </w:pPr>
      <w:r>
        <w:rPr>
          <w:rFonts w:ascii="Amiri" w:hAnsi="Amiri" w:eastAsia="Amiri" w:cs="Amiri"/>
          <w:lang w:bidi="ar-SA"/>
          <w:color w:val="111111"/>
          <w:sz w:val="28"/>
          <w:szCs w:val="28"/>
          <w:rtl/>
        </w:rPr>
        <w:t xml:space="preserve">الاحاديث النبوية، ج 1، ص 424 .</w:t>
      </w:r>
    </w:p>
    <w:p>
      <w:pPr>
        <w:pStyle w:val="Heading2"/>
      </w:pPr>
      <w:bookmarkStart w:id="3509" w:name="_Toc2611"/>
      <w:r>
        <w:t>حراني ، علي بن عيسى</w:t>
      </w:r>
      <w:bookmarkEnd w:id="3509"/>
    </w:p>
    <w:p>
      <w:pPr>
        <w:pStyle w:val="BookText"/>
      </w:pPr>
      <w:r>
        <w:rPr>
          <w:rFonts w:ascii="IRNazanin" w:hAnsi="IRNazanin" w:eastAsia="IRNazanin" w:cs="IRNazanin"/>
          <w:lang w:bidi="fa-IR"/>
          <w:color w:val="111111"/>
          <w:sz w:val="28"/>
          <w:szCs w:val="28"/>
          <w:rtl/>
        </w:rPr>
        <w:t xml:space="preserve">1 .الاسطرلاب، ج 2، ص190.</w:t>
      </w:r>
    </w:p>
    <w:p>
      <w:pPr>
        <w:pStyle w:val="BookText"/>
      </w:pPr>
      <w:r>
        <w:rPr>
          <w:rFonts w:ascii="IRNazanin" w:hAnsi="IRNazanin" w:eastAsia="IRNazanin" w:cs="IRNazanin"/>
          <w:lang w:bidi="fa-IR"/>
          <w:color w:val="111111"/>
          <w:sz w:val="28"/>
          <w:szCs w:val="28"/>
          <w:rtl/>
        </w:rPr>
        <w:t xml:space="preserve">2 .عمل بالاسطرلاب، ج 11، ص311.</w:t>
      </w:r>
    </w:p>
    <w:p>
      <w:pPr>
        <w:pStyle w:val="BookText"/>
      </w:pPr>
      <w:r>
        <w:rPr>
          <w:rFonts w:ascii="Amiri" w:hAnsi="Amiri" w:eastAsia="Amiri" w:cs="Amiri"/>
          <w:lang w:bidi="ar-SA"/>
          <w:color w:val="111111"/>
          <w:sz w:val="28"/>
          <w:szCs w:val="28"/>
          <w:rtl/>
        </w:rPr>
        <w:t xml:space="preserve">حراني ، كمال الدين ابراهيم بن محمّد -ابن حمزه حسيني، ابراهيم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حراني ، محمّد بن سعيد- قشيري ، محمّد بن سعيد</w:t>
      </w:r>
    </w:p>
    <w:p>
      <w:pPr>
        <w:pStyle w:val="Heading2"/>
      </w:pPr>
      <w:bookmarkStart w:id="3510" w:name="_Toc2612"/>
      <w:r>
        <w:t>حراني ، محمّد بن عبدالمنعم - 671 ه-</w:t>
      </w:r>
      <w:bookmarkEnd w:id="3510"/>
    </w:p>
    <w:p>
      <w:pPr>
        <w:pStyle w:val="BookText"/>
      </w:pPr>
      <w:r>
        <w:rPr>
          <w:rFonts w:ascii="IRNazanin" w:hAnsi="IRNazanin" w:eastAsia="IRNazanin" w:cs="IRNazanin"/>
          <w:lang w:bidi="fa-IR"/>
          <w:color w:val="111111"/>
          <w:sz w:val="28"/>
          <w:szCs w:val="28"/>
          <w:rtl/>
        </w:rPr>
        <w:t xml:space="preserve">احادیث عوال، ج 1، ص 410.</w:t>
      </w:r>
    </w:p>
    <w:p>
      <w:pPr>
        <w:pStyle w:val="Heading2"/>
      </w:pPr>
      <w:bookmarkStart w:id="3511" w:name="_Toc2613"/>
      <w:r>
        <w:t>حربوي ، عبدالله بن محمّد، 643-724 ه-</w:t>
      </w:r>
      <w:bookmarkEnd w:id="3511"/>
    </w:p>
    <w:p>
      <w:pPr>
        <w:pStyle w:val="BookText"/>
      </w:pPr>
      <w:r>
        <w:rPr>
          <w:rFonts w:ascii="Amiri" w:hAnsi="Amiri" w:eastAsia="Amiri" w:cs="Amiri"/>
          <w:lang w:bidi="ar-SA"/>
          <w:color w:val="111111"/>
          <w:sz w:val="28"/>
          <w:szCs w:val="28"/>
          <w:rtl/>
        </w:rPr>
        <w:t xml:space="preserve">1 .التذكرة السعدية في القوانين</w:t>
      </w:r>
    </w:p>
    <w:p>
      <w:pPr>
        <w:pStyle w:val="BookText"/>
      </w:pPr>
      <w:r>
        <w:rPr>
          <w:rFonts w:ascii="Amiri" w:hAnsi="Amiri" w:eastAsia="Amiri" w:cs="Amiri"/>
          <w:lang w:bidi="ar-SA"/>
          <w:color w:val="111111"/>
          <w:sz w:val="28"/>
          <w:szCs w:val="28"/>
          <w:rtl/>
        </w:rPr>
        <w:t xml:space="preserve">الطبية، ج 4، ص 190.</w:t>
      </w:r>
    </w:p>
    <w:p>
      <w:pPr>
        <w:pStyle w:val="BookText"/>
      </w:pPr>
      <w:r>
        <w:rPr>
          <w:rFonts w:ascii="Amiri" w:hAnsi="Amiri" w:eastAsia="Amiri" w:cs="Amiri"/>
          <w:lang w:bidi="ar-SA"/>
          <w:color w:val="111111"/>
          <w:sz w:val="28"/>
          <w:szCs w:val="28"/>
          <w:rtl/>
        </w:rPr>
        <w:t xml:space="preserve">2 .الفوائد البهائية في القواعد الحسابية، ج 12، ص187.</w:t>
      </w:r>
    </w:p>
    <w:p>
      <w:pPr>
        <w:pStyle w:val="BookText"/>
      </w:pPr>
      <w:r>
        <w:rPr>
          <w:rFonts w:ascii="Amiri" w:hAnsi="Amiri" w:eastAsia="Amiri" w:cs="Amiri"/>
          <w:lang w:bidi="ar-SA"/>
          <w:color w:val="111111"/>
          <w:sz w:val="28"/>
          <w:szCs w:val="28"/>
          <w:rtl/>
        </w:rPr>
        <w:t xml:space="preserve">حربي ، علي بن عمر -ابن قزويني ، علي</w:t>
      </w:r>
    </w:p>
    <w:p>
      <w:pPr>
        <w:pStyle w:val="BookText"/>
      </w:pPr>
      <w:r>
        <w:rPr>
          <w:rFonts w:ascii="IRNazanin" w:hAnsi="IRNazanin" w:eastAsia="IRNazanin" w:cs="IRNazanin"/>
          <w:lang w:bidi="fa-IR"/>
          <w:color w:val="111111"/>
          <w:sz w:val="28"/>
          <w:szCs w:val="28"/>
          <w:rtl/>
        </w:rPr>
        <w:t xml:space="preserve">بن عمر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0" w:name="pg7742_70108"/>
    <w:bookmarkEnd w:id="360"/>
    <w:p>
      <w:pPr>
        <w:pStyle w:val="Heading2"/>
      </w:pPr>
      <w:bookmarkStart w:id="3512" w:name="_Toc2614"/>
      <w:r>
        <w:t>حرزالدین ، محمّد، 1856 - 1945 م</w:t>
      </w:r>
      <w:bookmarkEnd w:id="3512"/>
    </w:p>
    <w:p>
      <w:pPr>
        <w:pStyle w:val="BookText"/>
      </w:pPr>
      <w:r>
        <w:rPr>
          <w:rFonts w:ascii="Amiri" w:hAnsi="Amiri" w:eastAsia="Amiri" w:cs="Amiri"/>
          <w:lang w:bidi="ar-SA"/>
          <w:color w:val="111111"/>
          <w:sz w:val="28"/>
          <w:szCs w:val="28"/>
          <w:rtl/>
        </w:rPr>
        <w:t xml:space="preserve">1 .ايضاح التحرير، ج 3، ص 114.</w:t>
      </w:r>
    </w:p>
    <w:p>
      <w:pPr>
        <w:pStyle w:val="BookText"/>
      </w:pPr>
      <w:r>
        <w:rPr>
          <w:rFonts w:ascii="Amiri" w:hAnsi="Amiri" w:eastAsia="Amiri" w:cs="Amiri"/>
          <w:lang w:bidi="ar-SA"/>
          <w:color w:val="111111"/>
          <w:sz w:val="28"/>
          <w:szCs w:val="28"/>
          <w:rtl/>
        </w:rPr>
        <w:t xml:space="preserve">2 .المقادير و الاوزان (رسالة في)، ج 15 ،</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Amiri" w:hAnsi="Amiri" w:eastAsia="Amiri" w:cs="Amiri"/>
          <w:lang w:bidi="ar-SA"/>
          <w:color w:val="111111"/>
          <w:sz w:val="28"/>
          <w:szCs w:val="28"/>
          <w:rtl/>
        </w:rPr>
        <w:t xml:space="preserve">حرز بن علي عسكري اوالي- عسكري</w:t>
      </w:r>
    </w:p>
    <w:p>
      <w:pPr>
        <w:pStyle w:val="BookText"/>
      </w:pPr>
      <w:r>
        <w:rPr>
          <w:rFonts w:ascii="Amiri" w:hAnsi="Amiri" w:eastAsia="Amiri" w:cs="Amiri"/>
          <w:lang w:bidi="ar-SA"/>
          <w:color w:val="111111"/>
          <w:sz w:val="28"/>
          <w:szCs w:val="28"/>
          <w:rtl/>
        </w:rPr>
        <w:t xml:space="preserve">حرز بن علي</w:t>
      </w:r>
    </w:p>
    <w:p>
      <w:pPr>
        <w:pStyle w:val="BookText"/>
      </w:pPr>
      <w:r>
        <w:rPr>
          <w:rFonts w:ascii="Amiri" w:hAnsi="Amiri" w:eastAsia="Amiri" w:cs="Amiri"/>
          <w:lang w:bidi="ar-SA"/>
          <w:color w:val="111111"/>
          <w:sz w:val="28"/>
          <w:szCs w:val="28"/>
          <w:rtl/>
        </w:rPr>
        <w:t xml:space="preserve">حرضي يماني ، يحيى بن ابي- بكر عامري ،</w:t>
      </w:r>
    </w:p>
    <w:p>
      <w:pPr>
        <w:pStyle w:val="BookText"/>
      </w:pPr>
      <w:r>
        <w:rPr>
          <w:rFonts w:ascii="Amiri" w:hAnsi="Amiri" w:eastAsia="Amiri" w:cs="Amiri"/>
          <w:lang w:bidi="ar-SA"/>
          <w:color w:val="111111"/>
          <w:sz w:val="28"/>
          <w:szCs w:val="28"/>
          <w:rtl/>
        </w:rPr>
        <w:t xml:space="preserve">يحيى بن ابي بكر</w:t>
      </w:r>
    </w:p>
    <w:p>
      <w:pPr>
        <w:pStyle w:val="Heading2"/>
      </w:pPr>
      <w:bookmarkStart w:id="3513" w:name="_Toc2615"/>
      <w:r>
        <w:t>حر عاملي ، احمد بن حسن 1033 قرن</w:t>
      </w:r>
      <w:bookmarkEnd w:id="3513"/>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1 .الدر المسلوك في احوال الانبياء و الاوصياء و الخلفاء و الملوك، ج 7،</w:t>
      </w:r>
    </w:p>
    <w:p>
      <w:pPr>
        <w:pStyle w:val="BookText"/>
      </w:pPr>
      <w:r>
        <w:rPr>
          <w:rFonts w:ascii="IRNazanin" w:hAnsi="IRNazanin" w:eastAsia="IRNazanin" w:cs="IRNazanin"/>
          <w:lang w:bidi="fa-IR"/>
          <w:color w:val="111111"/>
          <w:sz w:val="28"/>
          <w:szCs w:val="28"/>
          <w:rtl/>
        </w:rPr>
        <w:t xml:space="preserve">ص 331.</w:t>
      </w:r>
    </w:p>
    <w:p>
      <w:pPr>
        <w:pStyle w:val="BookText"/>
      </w:pPr>
      <w:r>
        <w:rPr>
          <w:rFonts w:ascii="Amiri" w:hAnsi="Amiri" w:eastAsia="Amiri" w:cs="Amiri"/>
          <w:lang w:bidi="ar-SA"/>
          <w:color w:val="111111"/>
          <w:sz w:val="28"/>
          <w:szCs w:val="28"/>
          <w:rtl/>
        </w:rPr>
        <w:t xml:space="preserve">2 .الروضة في مدح اميرالمؤمنين (ع)</w:t>
      </w:r>
    </w:p>
    <w:p>
      <w:pPr>
        <w:pStyle w:val="BookText"/>
      </w:pPr>
      <w:r>
        <w:rPr>
          <w:rFonts w:ascii="IRNazanin" w:hAnsi="IRNazanin" w:eastAsia="IRNazanin" w:cs="IRNazanin"/>
          <w:lang w:bidi="fa-IR"/>
          <w:color w:val="111111"/>
          <w:sz w:val="28"/>
          <w:szCs w:val="28"/>
          <w:rtl/>
        </w:rPr>
        <w:t xml:space="preserve">ج 8، ص 449.</w:t>
      </w:r>
    </w:p>
    <w:p>
      <w:pPr>
        <w:pStyle w:val="Heading2"/>
      </w:pPr>
      <w:bookmarkStart w:id="3514" w:name="_Toc2616"/>
      <w:r>
        <w:t>حر عاملي ، عبدالغني - 1358 ه-</w:t>
      </w:r>
      <w:bookmarkEnd w:id="3514"/>
    </w:p>
    <w:p>
      <w:pPr>
        <w:pStyle w:val="BookText"/>
      </w:pPr>
      <w:r>
        <w:rPr>
          <w:rFonts w:ascii="Amiri" w:hAnsi="Amiri" w:eastAsia="Amiri" w:cs="Amiri"/>
          <w:lang w:bidi="ar-SA"/>
          <w:color w:val="111111"/>
          <w:sz w:val="28"/>
          <w:szCs w:val="28"/>
          <w:rtl/>
        </w:rPr>
        <w:t xml:space="preserve">حياة الروح في مدح خير ممدوح، ج 6،</w:t>
      </w:r>
    </w:p>
    <w:p>
      <w:pPr>
        <w:pStyle w:val="BookText"/>
      </w:pPr>
      <w:r>
        <w:rPr>
          <w:rFonts w:ascii="IRNazanin" w:hAnsi="IRNazanin" w:eastAsia="IRNazanin" w:cs="IRNazanin"/>
          <w:lang w:bidi="fa-IR"/>
          <w:color w:val="111111"/>
          <w:sz w:val="28"/>
          <w:szCs w:val="28"/>
          <w:rtl/>
        </w:rPr>
        <w:t xml:space="preserve">ص 858</w:t>
      </w:r>
    </w:p>
    <w:p>
      <w:pPr>
        <w:pStyle w:val="Heading2"/>
      </w:pPr>
      <w:bookmarkStart w:id="3515" w:name="_Toc2617"/>
      <w:r>
        <w:t>حر عاملي ، محمّد بن حسن، 1033 -</w:t>
      </w:r>
      <w:bookmarkEnd w:id="3515"/>
    </w:p>
    <w:p>
      <w:pPr>
        <w:pStyle w:val="BookText"/>
      </w:pPr>
      <w:r>
        <w:rPr>
          <w:rFonts w:ascii="IRNazanin" w:hAnsi="IRNazanin" w:eastAsia="IRNazanin" w:cs="IRNazanin"/>
          <w:lang w:bidi="fa-IR"/>
          <w:color w:val="111111"/>
          <w:sz w:val="28"/>
          <w:szCs w:val="28"/>
          <w:rtl/>
        </w:rPr>
        <w:t xml:space="preserve">1104ه-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اثبات الرجعة، ج 1، ص 152.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اثبات الهداة بالنصوص و المعجزات</w:t>
      </w:r>
    </w:p>
    <w:p>
      <w:pPr>
        <w:pStyle w:val="BookText"/>
      </w:pPr>
      <w:r>
        <w:rPr>
          <w:rFonts w:ascii="IRNazanin" w:hAnsi="IRNazanin" w:eastAsia="IRNazanin" w:cs="IRNazanin"/>
          <w:lang w:bidi="fa-IR"/>
          <w:color w:val="111111"/>
          <w:sz w:val="28"/>
          <w:szCs w:val="28"/>
          <w:rtl/>
        </w:rPr>
        <w:t xml:space="preserve">ج 1، ص 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الاثنى عشرية، ج 1، ص182.</w:t>
      </w:r>
    </w:p>
    <w:p>
      <w:pPr>
        <w:pStyle w:val="BookText"/>
      </w:pPr>
      <w:r>
        <w:rPr>
          <w:rFonts w:ascii="Amiri" w:hAnsi="Amiri" w:eastAsia="Amiri" w:cs="Amiri"/>
          <w:lang w:bidi="ar-SA"/>
          <w:color w:val="111111"/>
          <w:sz w:val="28"/>
          <w:szCs w:val="28"/>
          <w:rtl/>
        </w:rPr>
        <w:t xml:space="preserve">4 .الاثنى عشرية في رد الصوفية، ج 1،</w:t>
      </w:r>
    </w:p>
    <w:p>
      <w:pPr>
        <w:pStyle w:val="BookText"/>
      </w:pPr>
      <w:r>
        <w:rPr>
          <w:rFonts w:ascii="IRNazanin" w:hAnsi="IRNazanin" w:eastAsia="IRNazanin" w:cs="IRNazanin"/>
          <w:lang w:bidi="fa-IR"/>
          <w:color w:val="111111"/>
          <w:sz w:val="28"/>
          <w:szCs w:val="28"/>
          <w:rtl/>
        </w:rPr>
        <w:t xml:space="preserve">ص 194.</w:t>
      </w:r>
    </w:p>
    <w:p>
      <w:pPr>
        <w:pStyle w:val="BookText"/>
      </w:pPr>
      <w:r>
        <w:rPr>
          <w:rFonts w:ascii="Amiri" w:hAnsi="Amiri" w:eastAsia="Amiri" w:cs="Amiri"/>
          <w:lang w:bidi="ar-SA"/>
          <w:color w:val="111111"/>
          <w:sz w:val="28"/>
          <w:szCs w:val="28"/>
          <w:rtl/>
        </w:rPr>
        <w:t xml:space="preserve">5 .إجازة للشيخ إبراهيم بن جعفر</w:t>
      </w:r>
    </w:p>
    <w:p>
      <w:pPr>
        <w:pStyle w:val="BookText"/>
      </w:pPr>
      <w:r>
        <w:rPr>
          <w:rFonts w:ascii="Amiri" w:hAnsi="Amiri" w:eastAsia="Amiri" w:cs="Amiri"/>
          <w:lang w:bidi="ar-SA"/>
          <w:color w:val="111111"/>
          <w:sz w:val="28"/>
          <w:szCs w:val="28"/>
          <w:rtl/>
        </w:rPr>
        <w:t xml:space="preserve">حديثي - حرعاملي ، محمد</w:t>
      </w:r>
    </w:p>
    <w:p>
      <w:pPr>
        <w:pStyle w:val="BookText"/>
      </w:pPr>
      <w:r>
        <w:rPr>
          <w:rFonts w:ascii="Amiri" w:hAnsi="Amiri" w:eastAsia="Amiri" w:cs="Amiri"/>
          <w:lang w:bidi="ar-SA"/>
          <w:color w:val="111111"/>
          <w:sz w:val="28"/>
          <w:szCs w:val="28"/>
          <w:rtl/>
        </w:rPr>
        <w:t xml:space="preserve">العاملي، ج 1 ، ص 263 .</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Amiri" w:hAnsi="Amiri" w:eastAsia="Amiri" w:cs="Amiri"/>
          <w:lang w:bidi="ar-SA"/>
          <w:color w:val="111111"/>
          <w:sz w:val="28"/>
          <w:szCs w:val="28"/>
          <w:rtl/>
        </w:rPr>
        <w:t xml:space="preserve">6 .الاحاديث (رسالة في)، ج1، ص391.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اراجيز فقهية، ج 1، ص 675.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أراجيز في الأئمة الاثنى عشر، ج1،</w:t>
      </w:r>
    </w:p>
    <w:p>
      <w:pPr>
        <w:pStyle w:val="BookText"/>
      </w:pPr>
      <w:r>
        <w:rPr>
          <w:rFonts w:ascii="IRNazanin" w:hAnsi="IRNazanin" w:eastAsia="IRNazanin" w:cs="IRNazanin"/>
          <w:lang w:bidi="fa-IR"/>
          <w:color w:val="111111"/>
          <w:sz w:val="28"/>
          <w:szCs w:val="28"/>
          <w:rtl/>
        </w:rPr>
        <w:t xml:space="preserve">ص 675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الأربعون حديثاً، ج 1، ص707.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ارجوزة في الارث و الأخرى في</w:t>
      </w:r>
    </w:p>
    <w:p>
      <w:pPr>
        <w:pStyle w:val="BookText"/>
      </w:pPr>
      <w:r>
        <w:rPr>
          <w:rFonts w:ascii="Amiri" w:hAnsi="Amiri" w:eastAsia="Amiri" w:cs="Amiri"/>
          <w:lang w:bidi="ar-SA"/>
          <w:color w:val="111111"/>
          <w:sz w:val="28"/>
          <w:szCs w:val="28"/>
          <w:rtl/>
        </w:rPr>
        <w:t xml:space="preserve">الزكاة، ج 1، ص 768.</w:t>
      </w:r>
    </w:p>
    <w:p>
      <w:pPr>
        <w:pStyle w:val="BookText"/>
      </w:pPr>
      <w:r>
        <w:rPr>
          <w:rFonts w:ascii="Amiri" w:hAnsi="Amiri" w:eastAsia="Amiri" w:cs="Amiri"/>
          <w:lang w:bidi="ar-SA"/>
          <w:color w:val="111111"/>
          <w:sz w:val="28"/>
          <w:szCs w:val="28"/>
          <w:rtl/>
        </w:rPr>
        <w:t xml:space="preserve">11 .امل الآمل في (تراجم علماء جبل</w:t>
      </w:r>
    </w:p>
    <w:p>
      <w:pPr>
        <w:pStyle w:val="BookText"/>
      </w:pPr>
      <w:r>
        <w:rPr>
          <w:rFonts w:ascii="IRNazanin" w:hAnsi="IRNazanin" w:eastAsia="IRNazanin" w:cs="IRNazanin"/>
          <w:lang w:bidi="fa-IR"/>
          <w:color w:val="111111"/>
          <w:sz w:val="28"/>
          <w:szCs w:val="28"/>
          <w:rtl/>
        </w:rPr>
        <w:t xml:space="preserve">عامل، ج 2، ص 767.</w:t>
      </w:r>
    </w:p>
    <w:p>
      <w:pPr>
        <w:pStyle w:val="BookText"/>
      </w:pPr>
      <w:r>
        <w:rPr>
          <w:rFonts w:ascii="Amiri" w:hAnsi="Amiri" w:eastAsia="Amiri" w:cs="Amiri"/>
          <w:lang w:bidi="ar-SA"/>
          <w:color w:val="111111"/>
          <w:sz w:val="28"/>
          <w:szCs w:val="28"/>
          <w:rtl/>
        </w:rPr>
        <w:t xml:space="preserve">12 .الايقاظ من الهجعة بالبرهان على</w:t>
      </w:r>
    </w:p>
    <w:p>
      <w:pPr>
        <w:pStyle w:val="BookText"/>
      </w:pPr>
      <w:r>
        <w:rPr>
          <w:rFonts w:ascii="Amiri" w:hAnsi="Amiri" w:eastAsia="Amiri" w:cs="Amiri"/>
          <w:lang w:bidi="ar-SA"/>
          <w:color w:val="111111"/>
          <w:sz w:val="28"/>
          <w:szCs w:val="28"/>
          <w:rtl/>
        </w:rPr>
        <w:t xml:space="preserve">الرجعة، ج 3، ص 147.</w:t>
      </w:r>
    </w:p>
    <w:p>
      <w:pPr>
        <w:pStyle w:val="BookText"/>
      </w:pPr>
      <w:r>
        <w:rPr>
          <w:rFonts w:ascii="Amiri" w:hAnsi="Amiri" w:eastAsia="Amiri" w:cs="Amiri"/>
          <w:lang w:bidi="ar-SA"/>
          <w:color w:val="111111"/>
          <w:sz w:val="28"/>
          <w:szCs w:val="28"/>
          <w:rtl/>
        </w:rPr>
        <w:t xml:space="preserve">13 .بداية الهداية، ج 3، ص 249.</w:t>
      </w:r>
    </w:p>
    <w:p>
      <w:pPr>
        <w:pStyle w:val="BookText"/>
      </w:pPr>
      <w:r>
        <w:rPr>
          <w:rFonts w:ascii="Amiri" w:hAnsi="Amiri" w:eastAsia="Amiri" w:cs="Amiri"/>
          <w:lang w:bidi="ar-SA"/>
          <w:color w:val="111111"/>
          <w:sz w:val="28"/>
          <w:szCs w:val="28"/>
          <w:rtl/>
        </w:rPr>
        <w:t xml:space="preserve">14 . تاريخ المعصومين = ارجوزة في مواليد الائمة ووفياتهم و مناقبهم</w:t>
      </w:r>
    </w:p>
    <w:p>
      <w:pPr>
        <w:pStyle w:val="BookText"/>
      </w:pPr>
      <w:r>
        <w:rPr>
          <w:rFonts w:ascii="IRNazanin" w:hAnsi="IRNazanin" w:eastAsia="IRNazanin" w:cs="IRNazanin"/>
          <w:lang w:bidi="fa-IR"/>
          <w:color w:val="111111"/>
          <w:sz w:val="28"/>
          <w:szCs w:val="28"/>
          <w:rtl/>
        </w:rPr>
        <w:t xml:space="preserve">ج 3، ص 606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تفصيل وسائل الشيعة إلى تحصيل</w:t>
      </w:r>
    </w:p>
    <w:p>
      <w:pPr>
        <w:pStyle w:val="BookText"/>
      </w:pPr>
      <w:r>
        <w:rPr>
          <w:rFonts w:ascii="Amiri" w:hAnsi="Amiri" w:eastAsia="Amiri" w:cs="Amiri"/>
          <w:lang w:bidi="ar-SA"/>
          <w:color w:val="111111"/>
          <w:sz w:val="28"/>
          <w:szCs w:val="28"/>
          <w:rtl/>
        </w:rPr>
        <w:t xml:space="preserve">مسائل الشريعة = وسائل الشيعة</w:t>
      </w:r>
    </w:p>
    <w:p>
      <w:pPr>
        <w:pStyle w:val="BookText"/>
      </w:pPr>
      <w:r>
        <w:rPr>
          <w:rFonts w:ascii="IRNazanin" w:hAnsi="IRNazanin" w:eastAsia="IRNazanin" w:cs="IRNazanin"/>
          <w:lang w:bidi="fa-IR"/>
          <w:color w:val="111111"/>
          <w:sz w:val="28"/>
          <w:szCs w:val="28"/>
          <w:rtl/>
        </w:rPr>
        <w:t xml:space="preserve">ج 4، ص 703.</w:t>
      </w:r>
    </w:p>
    <w:p>
      <w:pPr>
        <w:pStyle w:val="BookText"/>
      </w:pPr>
      <w:r>
        <w:rPr>
          <w:rFonts w:ascii="Amiri" w:hAnsi="Amiri" w:eastAsia="Amiri" w:cs="Amiri"/>
          <w:lang w:bidi="ar-SA"/>
          <w:color w:val="111111"/>
          <w:sz w:val="28"/>
          <w:szCs w:val="28"/>
          <w:rtl/>
        </w:rPr>
        <w:t xml:space="preserve">16 .جواب حر العاملي عن سؤال، جه،</w:t>
      </w:r>
    </w:p>
    <w:p>
      <w:pPr>
        <w:pStyle w:val="BookText"/>
      </w:pPr>
      <w:r>
        <w:rPr>
          <w:rFonts w:ascii="IRNazanin" w:hAnsi="IRNazanin" w:eastAsia="IRNazanin" w:cs="IRNazanin"/>
          <w:lang w:bidi="fa-IR"/>
          <w:color w:val="111111"/>
          <w:sz w:val="28"/>
          <w:szCs w:val="28"/>
          <w:rtl/>
        </w:rPr>
        <w:t xml:space="preserve">ص 497 .</w:t>
      </w:r>
    </w:p>
    <w:p>
      <w:pPr>
        <w:pStyle w:val="BookText"/>
      </w:pPr>
      <w:r>
        <w:rPr>
          <w:rFonts w:ascii="Amiri" w:hAnsi="Amiri" w:eastAsia="Amiri" w:cs="Amiri"/>
          <w:lang w:bidi="ar-SA"/>
          <w:color w:val="111111"/>
          <w:sz w:val="28"/>
          <w:szCs w:val="28"/>
          <w:rtl/>
        </w:rPr>
        <w:t xml:space="preserve">17 .الجواهر السنية في الاحاديث</w:t>
      </w:r>
    </w:p>
    <w:p>
      <w:pPr>
        <w:pStyle w:val="BookText"/>
      </w:pPr>
      <w:r>
        <w:rPr>
          <w:rFonts w:ascii="Amiri" w:hAnsi="Amiri" w:eastAsia="Amiri" w:cs="Amiri"/>
          <w:lang w:bidi="ar-SA"/>
          <w:color w:val="111111"/>
          <w:sz w:val="28"/>
          <w:szCs w:val="28"/>
          <w:rtl/>
        </w:rPr>
        <w:t xml:space="preserve">القدسية، ج 5، ص 548.</w:t>
      </w:r>
    </w:p>
    <w:p>
      <w:pPr>
        <w:pStyle w:val="BookText"/>
      </w:pPr>
      <w:r>
        <w:rPr>
          <w:rFonts w:ascii="Amiri" w:hAnsi="Amiri" w:eastAsia="Amiri" w:cs="Amiri"/>
          <w:lang w:bidi="ar-SA"/>
          <w:color w:val="111111"/>
          <w:sz w:val="28"/>
          <w:szCs w:val="28"/>
          <w:rtl/>
        </w:rPr>
        <w:t xml:space="preserve">18 .خلاصة الابحاث في مسائل الميراث</w:t>
      </w:r>
    </w:p>
    <w:p>
      <w:pPr>
        <w:pStyle w:val="BookText"/>
      </w:pPr>
      <w:r>
        <w:rPr>
          <w:rFonts w:ascii="Amiri" w:hAnsi="Amiri" w:eastAsia="Amiri" w:cs="Amiri"/>
          <w:lang w:bidi="ar-SA"/>
          <w:color w:val="111111"/>
          <w:sz w:val="28"/>
          <w:szCs w:val="28"/>
          <w:rtl/>
        </w:rPr>
        <w:t xml:space="preserve">ارجوزة في الميراث، ج 7، ص 66.</w:t>
      </w:r>
    </w:p>
    <w:p>
      <w:pPr>
        <w:pStyle w:val="BookText"/>
      </w:pPr>
      <w:r>
        <w:rPr>
          <w:rFonts w:ascii="Amiri" w:hAnsi="Amiri" w:eastAsia="Amiri" w:cs="Amiri"/>
          <w:lang w:bidi="ar-SA"/>
          <w:color w:val="111111"/>
          <w:sz w:val="28"/>
          <w:szCs w:val="28"/>
          <w:rtl/>
        </w:rPr>
        <w:t xml:space="preserve">19 .خلق الكافر و الغرض منه، ج7،</w:t>
      </w:r>
    </w:p>
    <w:p>
      <w:pPr>
        <w:pStyle w:val="BookText"/>
      </w:pPr>
      <w:r>
        <w:rPr>
          <w:rFonts w:ascii="IRNazanin" w:hAnsi="IRNazanin" w:eastAsia="IRNazanin" w:cs="IRNazanin"/>
          <w:lang w:bidi="fa-IR"/>
          <w:color w:val="111111"/>
          <w:sz w:val="28"/>
          <w:szCs w:val="28"/>
          <w:rtl/>
        </w:rPr>
        <w:t xml:space="preserve">ص 154 .</w:t>
      </w:r>
    </w:p>
    <w:p>
      <w:pPr>
        <w:pStyle w:val="BookText"/>
      </w:pPr>
      <w:r>
        <w:rPr>
          <w:rFonts w:ascii="IRNazanin" w:hAnsi="IRNazanin" w:eastAsia="IRNazanin" w:cs="IRNazanin"/>
          <w:lang w:bidi="fa-IR"/>
          <w:color w:val="111111"/>
          <w:sz w:val="28"/>
          <w:szCs w:val="28"/>
          <w:rtl/>
        </w:rPr>
        <w:t xml:space="preserve">20 .دیوان حر عاملي، ج 7، ص 618.</w:t>
      </w:r>
    </w:p>
    <w:p>
      <w:pPr>
        <w:pStyle w:val="BookText"/>
      </w:pPr>
      <w:r>
        <w:rPr>
          <w:rFonts w:ascii="Amiri" w:hAnsi="Amiri" w:eastAsia="Amiri" w:cs="Amiri"/>
          <w:lang w:bidi="ar-SA"/>
          <w:color w:val="111111"/>
          <w:sz w:val="28"/>
          <w:szCs w:val="28"/>
          <w:rtl/>
        </w:rPr>
        <w:t xml:space="preserve">21 .الرجال - نبذة الرجال، ج8،</w:t>
      </w:r>
    </w:p>
    <w:p>
      <w:pPr>
        <w:pStyle w:val="BookText"/>
      </w:pPr>
      <w:r>
        <w:rPr>
          <w:rFonts w:ascii="IRNazanin" w:hAnsi="IRNazanin" w:eastAsia="IRNazanin" w:cs="IRNazanin"/>
          <w:lang w:bidi="fa-IR"/>
          <w:color w:val="111111"/>
          <w:sz w:val="28"/>
          <w:szCs w:val="28"/>
          <w:rtl/>
        </w:rPr>
        <w:t xml:space="preserve">ص 47.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رسائل، ج8، ص122</w:t>
      </w:r>
    </w:p>
    <w:p>
      <w:pPr>
        <w:pStyle w:val="BookText"/>
      </w:pPr>
      <w:r>
        <w:rPr>
          <w:rFonts w:ascii="Amiri" w:hAnsi="Amiri" w:eastAsia="Amiri" w:cs="Amiri"/>
          <w:lang w:bidi="ar-SA"/>
          <w:color w:val="111111"/>
          <w:sz w:val="28"/>
          <w:szCs w:val="28"/>
          <w:rtl/>
        </w:rPr>
        <w:t xml:space="preserve">23 .الزكاة (ارجوزة في)، ج8، ص 602.</w:t>
      </w:r>
    </w:p>
    <w:p>
      <w:pPr>
        <w:pStyle w:val="BookText"/>
      </w:pPr>
      <w:r>
        <w:rPr>
          <w:rFonts w:ascii="Amiri" w:hAnsi="Amiri" w:eastAsia="Amiri" w:cs="Amiri"/>
          <w:lang w:bidi="ar-SA"/>
          <w:color w:val="111111"/>
          <w:sz w:val="28"/>
          <w:szCs w:val="28"/>
          <w:rtl/>
        </w:rPr>
        <w:t xml:space="preserve">24 .صيغ عقد المتعة و الطلاق، ج 10،</w:t>
      </w:r>
    </w:p>
    <w:p>
      <w:pPr>
        <w:pStyle w:val="BookText"/>
      </w:pPr>
      <w:r>
        <w:rPr>
          <w:rFonts w:ascii="IRNazanin" w:hAnsi="IRNazanin" w:eastAsia="IRNazanin" w:cs="IRNazanin"/>
          <w:lang w:bidi="fa-IR"/>
          <w:color w:val="111111"/>
          <w:sz w:val="28"/>
          <w:szCs w:val="28"/>
          <w:rtl/>
        </w:rPr>
        <w:t xml:space="preserve">ص 676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1" w:name="pg7742_70110"/>
    <w:bookmarkEnd w:id="361"/>
    <w:p>
      <w:pPr>
        <w:pStyle w:val="BookText"/>
      </w:pPr>
      <w:r>
        <w:rPr>
          <w:rFonts w:ascii="Amiri" w:hAnsi="Amiri" w:eastAsia="Amiri" w:cs="Amiri"/>
          <w:lang w:bidi="ar-SA"/>
          <w:color w:val="111111"/>
          <w:sz w:val="28"/>
          <w:szCs w:val="28"/>
          <w:rtl/>
        </w:rPr>
        <w:t xml:space="preserve">25 .طب الأئمة، ج 10، ص 760.</w:t>
      </w:r>
    </w:p>
    <w:p>
      <w:pPr>
        <w:pStyle w:val="BookText"/>
      </w:pPr>
      <w:r>
        <w:rPr>
          <w:rFonts w:ascii="Amiri" w:hAnsi="Amiri" w:eastAsia="Amiri" w:cs="Amiri"/>
          <w:lang w:bidi="ar-SA"/>
          <w:color w:val="111111"/>
          <w:sz w:val="28"/>
          <w:szCs w:val="28"/>
          <w:rtl/>
        </w:rPr>
        <w:t xml:space="preserve">26 .عدم حجية البرائة الاصلية، ج11،</w:t>
      </w:r>
    </w:p>
    <w:p>
      <w:pPr>
        <w:pStyle w:val="BookText"/>
      </w:pPr>
      <w:r>
        <w:rPr>
          <w:rFonts w:ascii="IRNazanin" w:hAnsi="IRNazanin" w:eastAsia="IRNazanin" w:cs="IRNazanin"/>
          <w:lang w:bidi="fa-IR"/>
          <w:color w:val="111111"/>
          <w:sz w:val="28"/>
          <w:szCs w:val="28"/>
          <w:rtl/>
        </w:rPr>
        <w:t xml:space="preserve">ص 68 .</w:t>
      </w:r>
    </w:p>
    <w:p>
      <w:pPr>
        <w:pStyle w:val="BookText"/>
      </w:pPr>
      <w:r>
        <w:rPr>
          <w:rFonts w:ascii="Amiri" w:hAnsi="Amiri" w:eastAsia="Amiri" w:cs="Amiri"/>
          <w:lang w:bidi="ar-SA"/>
          <w:color w:val="111111"/>
          <w:sz w:val="28"/>
          <w:szCs w:val="28"/>
          <w:rtl/>
        </w:rPr>
        <w:t xml:space="preserve">27 .الغناء - شرح حديث الترجيع</w:t>
      </w:r>
    </w:p>
    <w:p>
      <w:pPr>
        <w:pStyle w:val="BookText"/>
      </w:pPr>
      <w:r>
        <w:rPr>
          <w:rFonts w:ascii="IRNazanin" w:hAnsi="IRNazanin" w:eastAsia="IRNazanin" w:cs="IRNazanin"/>
          <w:lang w:bidi="fa-IR"/>
          <w:color w:val="111111"/>
          <w:sz w:val="28"/>
          <w:szCs w:val="28"/>
          <w:rtl/>
        </w:rPr>
        <w:t xml:space="preserve">ج 11، ص 510.</w:t>
      </w:r>
    </w:p>
    <w:p>
      <w:pPr>
        <w:pStyle w:val="BookText"/>
      </w:pPr>
      <w:r>
        <w:rPr>
          <w:rFonts w:ascii="Amiri" w:hAnsi="Amiri" w:eastAsia="Amiri" w:cs="Amiri"/>
          <w:lang w:bidi="ar-SA"/>
          <w:color w:val="111111"/>
          <w:sz w:val="28"/>
          <w:szCs w:val="28"/>
          <w:rtl/>
        </w:rPr>
        <w:t xml:space="preserve">28 .الفصول المهمة في اصول الائمة</w:t>
      </w:r>
    </w:p>
    <w:p>
      <w:pPr>
        <w:pStyle w:val="BookText"/>
      </w:pPr>
      <w:r>
        <w:rPr>
          <w:rFonts w:ascii="IRNazanin" w:hAnsi="IRNazanin" w:eastAsia="IRNazanin" w:cs="IRNazanin"/>
          <w:lang w:bidi="fa-IR"/>
          <w:color w:val="111111"/>
          <w:sz w:val="28"/>
          <w:szCs w:val="28"/>
          <w:rtl/>
        </w:rPr>
        <w:t xml:space="preserve">ج 11، ص 865.</w:t>
      </w:r>
    </w:p>
    <w:p>
      <w:pPr>
        <w:pStyle w:val="BookText"/>
      </w:pPr>
      <w:r>
        <w:rPr>
          <w:rFonts w:ascii="Amiri" w:hAnsi="Amiri" w:eastAsia="Amiri" w:cs="Amiri"/>
          <w:lang w:bidi="ar-SA"/>
          <w:color w:val="111111"/>
          <w:sz w:val="28"/>
          <w:szCs w:val="28"/>
          <w:rtl/>
        </w:rPr>
        <w:t xml:space="preserve">29 .الفوائد الطوسية، ج 12، ص 242.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فوائد في بعض الاحاديث المشكلة</w:t>
      </w:r>
    </w:p>
    <w:p>
      <w:pPr>
        <w:pStyle w:val="BookText"/>
      </w:pPr>
      <w:r>
        <w:rPr>
          <w:rFonts w:ascii="IRNazanin" w:hAnsi="IRNazanin" w:eastAsia="IRNazanin" w:cs="IRNazanin"/>
          <w:lang w:bidi="fa-IR"/>
          <w:color w:val="111111"/>
          <w:sz w:val="28"/>
          <w:szCs w:val="28"/>
          <w:rtl/>
        </w:rPr>
        <w:t xml:space="preserve">ج 12، ص 256 .</w:t>
      </w:r>
    </w:p>
    <w:p>
      <w:pPr>
        <w:pStyle w:val="BookText"/>
      </w:pPr>
      <w:r>
        <w:rPr>
          <w:rFonts w:ascii="Amiri" w:hAnsi="Amiri" w:eastAsia="Amiri" w:cs="Amiri"/>
          <w:lang w:bidi="ar-SA"/>
          <w:color w:val="111111"/>
          <w:sz w:val="28"/>
          <w:szCs w:val="28"/>
          <w:rtl/>
        </w:rPr>
        <w:t xml:space="preserve">31 .قاعدة اليد ( رسالة في)، ج 12،</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قصيدة محبوكة الاطراف، ج 12،</w:t>
      </w:r>
    </w:p>
    <w:p>
      <w:pPr>
        <w:pStyle w:val="BookText"/>
      </w:pPr>
      <w:r>
        <w:rPr>
          <w:rFonts w:ascii="IRNazanin" w:hAnsi="IRNazanin" w:eastAsia="IRNazanin" w:cs="IRNazanin"/>
          <w:lang w:bidi="fa-IR"/>
          <w:color w:val="111111"/>
          <w:sz w:val="28"/>
          <w:szCs w:val="28"/>
          <w:rtl/>
        </w:rPr>
        <w:t xml:space="preserve">ص 709.</w:t>
      </w:r>
    </w:p>
    <w:p>
      <w:pPr>
        <w:pStyle w:val="BookText"/>
      </w:pPr>
      <w:r>
        <w:rPr>
          <w:rFonts w:ascii="Amiri" w:hAnsi="Amiri" w:eastAsia="Amiri" w:cs="Amiri"/>
          <w:lang w:bidi="ar-SA"/>
          <w:color w:val="111111"/>
          <w:sz w:val="28"/>
          <w:szCs w:val="28"/>
          <w:rtl/>
        </w:rPr>
        <w:t xml:space="preserve">33 .مختصر الأحكام، ج 14، ص 169.</w:t>
      </w:r>
    </w:p>
    <w:p>
      <w:pPr>
        <w:pStyle w:val="BookText"/>
      </w:pPr>
      <w:r>
        <w:rPr>
          <w:rFonts w:ascii="Amiri" w:hAnsi="Amiri" w:eastAsia="Amiri" w:cs="Amiri"/>
          <w:lang w:bidi="ar-SA"/>
          <w:color w:val="111111"/>
          <w:sz w:val="28"/>
          <w:szCs w:val="28"/>
          <w:rtl/>
        </w:rPr>
        <w:t xml:space="preserve">34 .منزوحات البئر (ارجوزة)، ج 15</w:t>
      </w:r>
    </w:p>
    <w:p>
      <w:pPr>
        <w:pStyle w:val="BookText"/>
      </w:pPr>
      <w:r>
        <w:rPr>
          <w:rFonts w:ascii="IRNazanin" w:hAnsi="IRNazanin" w:eastAsia="IRNazanin" w:cs="IRNazanin"/>
          <w:lang w:bidi="fa-IR"/>
          <w:color w:val="111111"/>
          <w:sz w:val="28"/>
          <w:szCs w:val="28"/>
          <w:rtl/>
        </w:rPr>
        <w:t xml:space="preserve">ص 685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من لا يحضره الامام = فهرست وسائل الشيعة، ج 15 ، ص 742.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نظام الامة في تواريخ النبي و</w:t>
      </w:r>
    </w:p>
    <w:p>
      <w:pPr>
        <w:pStyle w:val="BookText"/>
      </w:pPr>
      <w:r>
        <w:rPr>
          <w:rFonts w:ascii="Amiri" w:hAnsi="Amiri" w:eastAsia="Amiri" w:cs="Amiri"/>
          <w:lang w:bidi="ar-SA"/>
          <w:color w:val="111111"/>
          <w:sz w:val="28"/>
          <w:szCs w:val="28"/>
          <w:rtl/>
        </w:rPr>
        <w:t xml:space="preserve">الامة، ج 16، ص321.</w:t>
      </w:r>
    </w:p>
    <w:p>
      <w:pPr>
        <w:pStyle w:val="BookText"/>
      </w:pPr>
      <w:r>
        <w:rPr>
          <w:rFonts w:ascii="IRNazanin" w:hAnsi="IRNazanin" w:eastAsia="IRNazanin" w:cs="IRNazanin"/>
          <w:lang w:bidi="fa-IR"/>
          <w:color w:val="111111"/>
          <w:sz w:val="28"/>
          <w:szCs w:val="28"/>
          <w:rtl/>
        </w:rPr>
        <w:t xml:space="preserve">37 .نوادر الاخبار، ج 16، ص 540.</w:t>
      </w:r>
    </w:p>
    <w:p>
      <w:pPr>
        <w:pStyle w:val="BookText"/>
      </w:pPr>
      <w:r>
        <w:rPr>
          <w:rFonts w:ascii="Amiri" w:hAnsi="Amiri" w:eastAsia="Amiri" w:cs="Amiri"/>
          <w:lang w:bidi="ar-SA"/>
          <w:color w:val="111111"/>
          <w:sz w:val="28"/>
          <w:szCs w:val="28"/>
          <w:rtl/>
        </w:rPr>
        <w:t xml:space="preserve">38 .هداية الامة إلى احكام الائمة = اثنا عشريات، ج 16، ص 599.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الهمزية في مدح ذي المزية، ج 16،</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Amiri" w:hAnsi="Amiri" w:eastAsia="Amiri" w:cs="Amiri"/>
          <w:lang w:bidi="ar-SA"/>
          <w:color w:val="111111"/>
          <w:sz w:val="28"/>
          <w:szCs w:val="28"/>
          <w:rtl/>
        </w:rPr>
        <w:t xml:space="preserve">40 .الوجيز في خلاصة علم الدراية</w:t>
      </w:r>
    </w:p>
    <w:p>
      <w:pPr>
        <w:pStyle w:val="BookText"/>
      </w:pPr>
      <w:r>
        <w:rPr>
          <w:rFonts w:ascii="IRNazanin" w:hAnsi="IRNazanin" w:eastAsia="IRNazanin" w:cs="IRNazanin"/>
          <w:lang w:bidi="fa-IR"/>
          <w:color w:val="111111"/>
          <w:sz w:val="28"/>
          <w:szCs w:val="28"/>
          <w:rtl/>
        </w:rPr>
        <w:t xml:space="preserve">ج 16، ص 754.</w:t>
      </w:r>
    </w:p>
    <w:p>
      <w:pPr>
        <w:pStyle w:val="BookText"/>
      </w:pPr>
      <w:r>
        <w:rPr>
          <w:rFonts w:ascii="Amiri" w:hAnsi="Amiri" w:eastAsia="Amiri" w:cs="Amiri"/>
          <w:lang w:bidi="ar-SA"/>
          <w:color w:val="111111"/>
          <w:sz w:val="28"/>
          <w:szCs w:val="28"/>
          <w:rtl/>
        </w:rPr>
        <w:t xml:space="preserve">حرفوش ، عبدالله بن سعد- حريفيش ،</w:t>
      </w:r>
    </w:p>
    <w:p>
      <w:pPr>
        <w:pStyle w:val="BookText"/>
      </w:pPr>
      <w:r>
        <w:rPr>
          <w:rFonts w:ascii="Amiri" w:hAnsi="Amiri" w:eastAsia="Amiri" w:cs="Amiri"/>
          <w:lang w:bidi="ar-SA"/>
          <w:color w:val="111111"/>
          <w:sz w:val="28"/>
          <w:szCs w:val="28"/>
          <w:rtl/>
        </w:rPr>
        <w:t xml:space="preserve">شعيب بن سعد</w:t>
      </w:r>
    </w:p>
    <w:p>
      <w:pPr>
        <w:pStyle w:val="Heading2"/>
      </w:pPr>
      <w:bookmarkStart w:id="3516" w:name="_Toc2618"/>
      <w:r>
        <w:t>حرفوشي ، محمّد بن بركات</w:t>
      </w:r>
      <w:bookmarkEnd w:id="3516"/>
    </w:p>
    <w:p>
      <w:pPr>
        <w:pStyle w:val="BookText"/>
      </w:pPr>
      <w:r>
        <w:rPr>
          <w:rFonts w:ascii="Amiri" w:hAnsi="Amiri" w:eastAsia="Amiri" w:cs="Amiri"/>
          <w:lang w:bidi="ar-SA"/>
          <w:color w:val="111111"/>
          <w:sz w:val="28"/>
          <w:szCs w:val="28"/>
          <w:rtl/>
        </w:rPr>
        <w:t xml:space="preserve">تنبيه الغافلين (مختصر)، ج5، ص37.</w:t>
      </w:r>
    </w:p>
    <w:p>
      <w:pPr>
        <w:pStyle w:val="Heading2"/>
      </w:pPr>
      <w:bookmarkStart w:id="3517" w:name="_Toc2619"/>
      <w:r>
        <w:t>حرفوشي ، محمّد بن علي - 1059 ه-</w:t>
      </w:r>
      <w:bookmarkEnd w:id="3517"/>
    </w:p>
    <w:p>
      <w:pPr>
        <w:pStyle w:val="BookText"/>
      </w:pPr>
      <w:r>
        <w:rPr>
          <w:rFonts w:ascii="Amiri" w:hAnsi="Amiri" w:eastAsia="Amiri" w:cs="Amiri"/>
          <w:lang w:bidi="ar-SA"/>
          <w:color w:val="111111"/>
          <w:sz w:val="28"/>
          <w:szCs w:val="28"/>
          <w:rtl/>
        </w:rPr>
        <w:t xml:space="preserve">1 .حاشية قطر الندى وبل الصدى</w:t>
      </w:r>
    </w:p>
    <w:p>
      <w:pPr>
        <w:pStyle w:val="BookText"/>
      </w:pPr>
      <w:r>
        <w:rPr>
          <w:rFonts w:ascii="IRNazanin" w:hAnsi="IRNazanin" w:eastAsia="IRNazanin" w:cs="IRNazanin"/>
          <w:lang w:bidi="fa-IR"/>
          <w:color w:val="111111"/>
          <w:sz w:val="28"/>
          <w:szCs w:val="28"/>
          <w:rtl/>
        </w:rPr>
        <w:t xml:space="preserve">ج 6، ص 309.</w:t>
      </w:r>
    </w:p>
    <w:p>
      <w:pPr>
        <w:pStyle w:val="BookText"/>
      </w:pPr>
      <w:r>
        <w:rPr>
          <w:rFonts w:ascii="Amiri" w:hAnsi="Amiri" w:eastAsia="Amiri" w:cs="Amiri"/>
          <w:lang w:bidi="ar-SA"/>
          <w:color w:val="111111"/>
          <w:sz w:val="28"/>
          <w:szCs w:val="28"/>
          <w:rtl/>
        </w:rPr>
        <w:t xml:space="preserve">2 .دليل الهدى في شرح مجيب الندا = شرح قطر الندى وبل الصدى، ج 7،</w:t>
      </w:r>
    </w:p>
    <w:p>
      <w:pPr>
        <w:pStyle w:val="BookText"/>
      </w:pPr>
      <w:r>
        <w:rPr>
          <w:rFonts w:ascii="IRNazanin" w:hAnsi="IRNazanin" w:eastAsia="IRNazanin" w:cs="IRNazanin"/>
          <w:lang w:bidi="fa-IR"/>
          <w:color w:val="111111"/>
          <w:sz w:val="28"/>
          <w:szCs w:val="28"/>
          <w:rtl/>
        </w:rPr>
        <w:t xml:space="preserve">ص 472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القلائد السنية على القواعد الشهيدية - شرح قواعد الاحكام</w:t>
      </w:r>
    </w:p>
    <w:p>
      <w:pPr>
        <w:pStyle w:val="BookText"/>
      </w:pPr>
      <w:r>
        <w:rPr>
          <w:rFonts w:ascii="IRNazanin" w:hAnsi="IRNazanin" w:eastAsia="IRNazanin" w:cs="IRNazanin"/>
          <w:lang w:bidi="fa-IR"/>
          <w:color w:val="111111"/>
          <w:sz w:val="28"/>
          <w:szCs w:val="28"/>
          <w:rtl/>
        </w:rPr>
        <w:t xml:space="preserve">ج 12 ، ص 758 .</w:t>
      </w:r>
    </w:p>
    <w:p>
      <w:pPr>
        <w:pStyle w:val="BookText"/>
      </w:pPr>
      <w:r>
        <w:rPr>
          <w:rFonts w:ascii="Amiri" w:hAnsi="Amiri" w:eastAsia="Amiri" w:cs="Amiri"/>
          <w:lang w:bidi="ar-SA"/>
          <w:color w:val="111111"/>
          <w:sz w:val="28"/>
          <w:szCs w:val="28"/>
          <w:rtl/>
        </w:rPr>
        <w:t xml:space="preserve">4 .اللآلي السنية في شرح الآجرومية</w:t>
      </w:r>
    </w:p>
    <w:p>
      <w:pPr>
        <w:pStyle w:val="BookText"/>
      </w:pPr>
      <w:r>
        <w:rPr>
          <w:rFonts w:ascii="IRNazanin" w:hAnsi="IRNazanin" w:eastAsia="IRNazanin" w:cs="IRNazanin"/>
          <w:lang w:bidi="fa-IR"/>
          <w:color w:val="111111"/>
          <w:sz w:val="28"/>
          <w:szCs w:val="28"/>
          <w:rtl/>
        </w:rPr>
        <w:t xml:space="preserve">ج 13، ص 518.</w:t>
      </w:r>
    </w:p>
    <w:p>
      <w:pPr>
        <w:pStyle w:val="Heading2"/>
      </w:pPr>
      <w:bookmarkStart w:id="3518" w:name="_Toc2620"/>
      <w:r>
        <w:t>حرفي، عبدالرحمن بن عبيدالله -423 ه-</w:t>
      </w:r>
      <w:bookmarkEnd w:id="3518"/>
    </w:p>
    <w:p>
      <w:pPr>
        <w:pStyle w:val="BookText"/>
      </w:pPr>
      <w:r>
        <w:rPr>
          <w:rFonts w:ascii="IRNazanin" w:hAnsi="IRNazanin" w:eastAsia="IRNazanin" w:cs="IRNazanin"/>
          <w:lang w:bidi="fa-IR"/>
          <w:color w:val="111111"/>
          <w:sz w:val="28"/>
          <w:szCs w:val="28"/>
          <w:rtl/>
        </w:rPr>
        <w:t xml:space="preserve">فوائد، ج 12، ص 169.</w:t>
      </w:r>
    </w:p>
    <w:p>
      <w:pPr>
        <w:pStyle w:val="BookText"/>
      </w:pPr>
      <w:r>
        <w:rPr>
          <w:rFonts w:ascii="Amiri" w:hAnsi="Amiri" w:eastAsia="Amiri" w:cs="Amiri"/>
          <w:lang w:bidi="ar-SA"/>
          <w:color w:val="111111"/>
          <w:sz w:val="28"/>
          <w:szCs w:val="28"/>
          <w:rtl/>
        </w:rPr>
        <w:t xml:space="preserve">حرواني ، احمد بن محمّد- سلفي حرواني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حروي ، محمّد صالح بن محمّد رضا- هروي، محمّد صالح بن محمّد رضا</w:t>
      </w:r>
    </w:p>
    <w:p>
      <w:pPr>
        <w:pStyle w:val="BookText"/>
      </w:pPr>
      <w:r>
        <w:rPr>
          <w:rFonts w:ascii="Amiri" w:hAnsi="Amiri" w:eastAsia="Amiri" w:cs="Amiri"/>
          <w:lang w:bidi="ar-SA"/>
          <w:color w:val="111111"/>
          <w:sz w:val="28"/>
          <w:szCs w:val="28"/>
          <w:rtl/>
        </w:rPr>
        <w:t xml:space="preserve">حريري ، حسين بن علي -طائفي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حريري ، حيدر بن احمد- كردي حسين</w:t>
      </w:r>
    </w:p>
    <w:p>
      <w:pPr>
        <w:pStyle w:val="BookText"/>
      </w:pPr>
      <w:r>
        <w:rPr>
          <w:rFonts w:ascii="Amiri" w:hAnsi="Amiri" w:eastAsia="Amiri" w:cs="Amiri"/>
          <w:lang w:bidi="ar-SA"/>
          <w:color w:val="111111"/>
          <w:sz w:val="28"/>
          <w:szCs w:val="28"/>
          <w:rtl/>
        </w:rPr>
        <w:t xml:space="preserve">آبادي ، حيدر بن احمد</w:t>
      </w:r>
    </w:p>
    <w:p>
      <w:pPr>
        <w:pStyle w:val="Heading2"/>
      </w:pPr>
      <w:bookmarkStart w:id="3519" w:name="_Toc2621"/>
      <w:r>
        <w:t>حريري ، عبدالله بن قاسم، 590 - 646 ه-</w:t>
      </w:r>
      <w:bookmarkEnd w:id="3519"/>
    </w:p>
    <w:p>
      <w:pPr>
        <w:pStyle w:val="BookText"/>
      </w:pPr>
      <w:r>
        <w:rPr>
          <w:rFonts w:ascii="Amiri" w:hAnsi="Amiri" w:eastAsia="Amiri" w:cs="Amiri"/>
          <w:lang w:bidi="ar-SA"/>
          <w:color w:val="111111"/>
          <w:sz w:val="28"/>
          <w:szCs w:val="28"/>
          <w:rtl/>
        </w:rPr>
        <w:t xml:space="preserve">نهاية الافكار و نزهة الابصار، ج 16،</w:t>
      </w:r>
    </w:p>
    <w:p>
      <w:pPr>
        <w:pStyle w:val="BookText"/>
      </w:pPr>
      <w:r>
        <w:rPr>
          <w:rFonts w:ascii="IRNazanin" w:hAnsi="IRNazanin" w:eastAsia="IRNazanin" w:cs="IRNazanin"/>
          <w:lang w:bidi="fa-IR"/>
          <w:color w:val="111111"/>
          <w:sz w:val="28"/>
          <w:szCs w:val="28"/>
          <w:rtl/>
        </w:rPr>
        <w:t xml:space="preserve">ص 486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2" w:name="pg7742_70112"/>
    <w:bookmarkEnd w:id="362"/>
    <w:p>
      <w:pPr>
        <w:pStyle w:val="Heading2"/>
      </w:pPr>
      <w:bookmarkStart w:id="3520" w:name="_Toc2622"/>
      <w:r>
        <w:t>حريري ، علي بن علي</w:t>
      </w:r>
      <w:bookmarkEnd w:id="3520"/>
    </w:p>
    <w:p>
      <w:pPr>
        <w:pStyle w:val="BookText"/>
      </w:pPr>
      <w:r>
        <w:rPr>
          <w:rFonts w:ascii="Amiri" w:hAnsi="Amiri" w:eastAsia="Amiri" w:cs="Amiri"/>
          <w:lang w:bidi="ar-SA"/>
          <w:color w:val="111111"/>
          <w:sz w:val="28"/>
          <w:szCs w:val="28"/>
          <w:rtl/>
        </w:rPr>
        <w:t xml:space="preserve">شرح الكلمات المأثورة لعلي بن أبي</w:t>
      </w:r>
    </w:p>
    <w:p>
      <w:pPr>
        <w:pStyle w:val="BookText"/>
      </w:pPr>
      <w:r>
        <w:rPr>
          <w:rFonts w:ascii="IRNazanin" w:hAnsi="IRNazanin" w:eastAsia="IRNazanin" w:cs="IRNazanin"/>
          <w:lang w:bidi="fa-IR"/>
          <w:color w:val="111111"/>
          <w:sz w:val="28"/>
          <w:szCs w:val="28"/>
          <w:rtl/>
        </w:rPr>
        <w:t xml:space="preserve">طالب، ج 10، ص 60.</w:t>
      </w:r>
    </w:p>
    <w:p>
      <w:pPr>
        <w:pStyle w:val="Heading2"/>
      </w:pPr>
      <w:bookmarkStart w:id="3521" w:name="_Toc2623"/>
      <w:r>
        <w:t>حريري ، قاسم بن علي، 446 - 516 ه-</w:t>
      </w:r>
      <w:bookmarkEnd w:id="3521"/>
    </w:p>
    <w:p>
      <w:pPr>
        <w:pStyle w:val="BookText"/>
      </w:pPr>
      <w:r>
        <w:rPr>
          <w:rFonts w:ascii="Amiri" w:hAnsi="Amiri" w:eastAsia="Amiri" w:cs="Amiri"/>
          <w:lang w:bidi="ar-SA"/>
          <w:color w:val="111111"/>
          <w:sz w:val="28"/>
          <w:szCs w:val="28"/>
          <w:rtl/>
        </w:rPr>
        <w:t xml:space="preserve">1 .خمسين مقامة، ج 7، ص 165.</w:t>
      </w:r>
    </w:p>
    <w:p>
      <w:pPr>
        <w:pStyle w:val="BookText"/>
      </w:pPr>
      <w:r>
        <w:rPr>
          <w:rFonts w:ascii="Amiri" w:hAnsi="Amiri" w:eastAsia="Amiri" w:cs="Amiri"/>
          <w:lang w:bidi="ar-SA"/>
          <w:color w:val="111111"/>
          <w:sz w:val="28"/>
          <w:szCs w:val="28"/>
          <w:rtl/>
        </w:rPr>
        <w:t xml:space="preserve">2 .درة الغواص في اوهام الخواص، ج 7،</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Amiri" w:hAnsi="Amiri" w:eastAsia="Amiri" w:cs="Amiri"/>
          <w:lang w:bidi="ar-SA"/>
          <w:color w:val="111111"/>
          <w:sz w:val="28"/>
          <w:szCs w:val="28"/>
          <w:rtl/>
        </w:rPr>
        <w:t xml:space="preserve">3 .السينية والشينية، ج 9، ص 47.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لب الالباب في شرح ملحة الاعراب</w:t>
      </w:r>
    </w:p>
    <w:p>
      <w:pPr>
        <w:pStyle w:val="BookText"/>
      </w:pPr>
      <w:r>
        <w:rPr>
          <w:rFonts w:ascii="IRNazanin" w:hAnsi="IRNazanin" w:eastAsia="IRNazanin" w:cs="IRNazanin"/>
          <w:lang w:bidi="fa-IR"/>
          <w:color w:val="111111"/>
          <w:sz w:val="28"/>
          <w:szCs w:val="28"/>
          <w:rtl/>
        </w:rPr>
        <w:t xml:space="preserve">ج 13، ص 556.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مقامات حريري، ج 15، ص 295.</w:t>
      </w:r>
    </w:p>
    <w:p>
      <w:pPr>
        <w:pStyle w:val="BookText"/>
      </w:pPr>
      <w:r>
        <w:rPr>
          <w:rFonts w:ascii="Amiri" w:hAnsi="Amiri" w:eastAsia="Amiri" w:cs="Amiri"/>
          <w:lang w:bidi="ar-SA"/>
          <w:color w:val="111111"/>
          <w:sz w:val="28"/>
          <w:szCs w:val="28"/>
          <w:rtl/>
        </w:rPr>
        <w:t xml:space="preserve">6 .ملحة الإعراب و مودعة بدايع</w:t>
      </w:r>
    </w:p>
    <w:p>
      <w:pPr>
        <w:pStyle w:val="BookText"/>
      </w:pPr>
      <w:r>
        <w:rPr>
          <w:rFonts w:ascii="IRNazanin" w:hAnsi="IRNazanin" w:eastAsia="IRNazanin" w:cs="IRNazanin"/>
          <w:lang w:bidi="fa-IR"/>
          <w:color w:val="111111"/>
          <w:sz w:val="28"/>
          <w:szCs w:val="28"/>
          <w:rtl/>
        </w:rPr>
        <w:t xml:space="preserve">الآداب، ج 15 ، ص 452 .</w:t>
      </w:r>
    </w:p>
    <w:p>
      <w:pPr>
        <w:pStyle w:val="BookText"/>
      </w:pPr>
      <w:r>
        <w:rPr>
          <w:rFonts w:ascii="Amiri" w:hAnsi="Amiri" w:eastAsia="Amiri" w:cs="Amiri"/>
          <w:lang w:bidi="ar-SA"/>
          <w:color w:val="111111"/>
          <w:sz w:val="28"/>
          <w:szCs w:val="28"/>
          <w:rtl/>
        </w:rPr>
        <w:t xml:space="preserve">حريري، محمّد بن ابراهيم- ابن زريق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حريري ، محمّد بن علي -حرفوشي ، محمّد</w:t>
      </w:r>
    </w:p>
    <w:p>
      <w:pPr>
        <w:pStyle w:val="BookText"/>
      </w:pPr>
      <w:r>
        <w:rPr>
          <w:rFonts w:ascii="Amiri" w:hAnsi="Amiri" w:eastAsia="Amiri" w:cs="Amiri"/>
          <w:lang w:bidi="ar-SA"/>
          <w:color w:val="111111"/>
          <w:sz w:val="28"/>
          <w:szCs w:val="28"/>
          <w:rtl/>
        </w:rPr>
        <w:t xml:space="preserve">بن علي</w:t>
      </w:r>
    </w:p>
    <w:p>
      <w:pPr>
        <w:pStyle w:val="Heading2"/>
      </w:pPr>
      <w:bookmarkStart w:id="3522" w:name="_Toc2624"/>
      <w:r>
        <w:t>حريفيش ، شعيب بن سعد، - 801 ه-</w:t>
      </w:r>
      <w:bookmarkEnd w:id="3522"/>
    </w:p>
    <w:p>
      <w:pPr>
        <w:pStyle w:val="BookText"/>
      </w:pPr>
      <w:r>
        <w:rPr>
          <w:rFonts w:ascii="Amiri" w:hAnsi="Amiri" w:eastAsia="Amiri" w:cs="Amiri"/>
          <w:lang w:bidi="ar-SA"/>
          <w:color w:val="111111"/>
          <w:sz w:val="28"/>
          <w:szCs w:val="28"/>
          <w:rtl/>
        </w:rPr>
        <w:t xml:space="preserve">1 .الروض الفائق في المواعظ و</w:t>
      </w:r>
    </w:p>
    <w:p>
      <w:pPr>
        <w:pStyle w:val="BookText"/>
      </w:pPr>
      <w:r>
        <w:rPr>
          <w:rFonts w:ascii="IRNazanin" w:hAnsi="IRNazanin" w:eastAsia="IRNazanin" w:cs="IRNazanin"/>
          <w:lang w:bidi="fa-IR"/>
          <w:color w:val="111111"/>
          <w:sz w:val="28"/>
          <w:szCs w:val="28"/>
          <w:rtl/>
        </w:rPr>
        <w:t xml:space="preserve">الرقائق، ج8، ص 466.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قصيدة «من ذاق طعم شراب</w:t>
      </w:r>
    </w:p>
    <w:p>
      <w:pPr>
        <w:pStyle w:val="BookText"/>
      </w:pPr>
      <w:r>
        <w:rPr>
          <w:rFonts w:ascii="Amiri" w:hAnsi="Amiri" w:eastAsia="Amiri" w:cs="Amiri"/>
          <w:lang w:bidi="ar-SA"/>
          <w:color w:val="111111"/>
          <w:sz w:val="28"/>
          <w:szCs w:val="28"/>
          <w:rtl/>
        </w:rPr>
        <w:t xml:space="preserve">القوم يدريه»، ج 9، ص 895</w:t>
      </w:r>
    </w:p>
    <w:p>
      <w:pPr>
        <w:pStyle w:val="BookText"/>
      </w:pPr>
      <w:r>
        <w:rPr>
          <w:rFonts w:ascii="Amiri" w:hAnsi="Amiri" w:eastAsia="Amiri" w:cs="Amiri"/>
          <w:lang w:bidi="ar-SA"/>
          <w:color w:val="111111"/>
          <w:sz w:val="28"/>
          <w:szCs w:val="28"/>
          <w:rtl/>
        </w:rPr>
        <w:t xml:space="preserve">3.شرح قصيدة من ذاق طعم شراب</w:t>
      </w:r>
    </w:p>
    <w:p>
      <w:pPr>
        <w:pStyle w:val="BookText"/>
      </w:pPr>
      <w:r>
        <w:rPr>
          <w:rFonts w:ascii="Amiri" w:hAnsi="Amiri" w:eastAsia="Amiri" w:cs="Amiri"/>
          <w:lang w:bidi="ar-SA"/>
          <w:color w:val="111111"/>
          <w:sz w:val="28"/>
          <w:szCs w:val="28"/>
          <w:rtl/>
        </w:rPr>
        <w:t xml:space="preserve">القوم يدريه، ج 9، ص 896</w:t>
      </w:r>
    </w:p>
    <w:p>
      <w:pPr>
        <w:pStyle w:val="BookText"/>
      </w:pPr>
      <w:r>
        <w:rPr>
          <w:rFonts w:ascii="Amiri" w:hAnsi="Amiri" w:eastAsia="Amiri" w:cs="Amiri"/>
          <w:lang w:bidi="ar-SA"/>
          <w:color w:val="111111"/>
          <w:sz w:val="28"/>
          <w:szCs w:val="28"/>
          <w:rtl/>
        </w:rPr>
        <w:t xml:space="preserve">4 .مناقب الصالحين، ج 15 ، ص 548.</w:t>
      </w:r>
    </w:p>
    <w:p>
      <w:pPr>
        <w:pStyle w:val="BookText"/>
      </w:pPr>
      <w:r>
        <w:rPr>
          <w:rFonts w:ascii="Amiri" w:hAnsi="Amiri" w:eastAsia="Amiri" w:cs="Amiri"/>
          <w:lang w:bidi="ar-SA"/>
          <w:color w:val="111111"/>
          <w:sz w:val="28"/>
          <w:szCs w:val="28"/>
          <w:rtl/>
        </w:rPr>
        <w:t xml:space="preserve">حريفيش ، محمّد بن بركات - حرفوشي ،</w:t>
      </w:r>
    </w:p>
    <w:p>
      <w:pPr>
        <w:pStyle w:val="BookText"/>
      </w:pPr>
      <w:r>
        <w:rPr>
          <w:rFonts w:ascii="Amiri" w:hAnsi="Amiri" w:eastAsia="Amiri" w:cs="Amiri"/>
          <w:lang w:bidi="ar-SA"/>
          <w:color w:val="111111"/>
          <w:sz w:val="28"/>
          <w:szCs w:val="28"/>
          <w:rtl/>
        </w:rPr>
        <w:t xml:space="preserve">محمّد بن بركات</w:t>
      </w:r>
    </w:p>
    <w:p>
      <w:pPr>
        <w:pStyle w:val="BookText"/>
      </w:pPr>
      <w:r>
        <w:rPr>
          <w:rFonts w:ascii="Amiri" w:hAnsi="Amiri" w:eastAsia="Amiri" w:cs="Amiri"/>
          <w:lang w:bidi="ar-SA"/>
          <w:color w:val="111111"/>
          <w:sz w:val="28"/>
          <w:szCs w:val="28"/>
          <w:rtl/>
        </w:rPr>
        <w:t xml:space="preserve">حزي ، ابراهيم بن يوسف- ابن قرقول ابراهيم بن يوسف</w:t>
      </w:r>
    </w:p>
    <w:p>
      <w:pPr>
        <w:pStyle w:val="Heading2"/>
      </w:pPr>
      <w:bookmarkStart w:id="3523" w:name="_Toc2625"/>
      <w:r>
        <w:t>حزين ، محمّد علي بن ابي طالب 1103 -</w:t>
      </w:r>
      <w:bookmarkEnd w:id="3523"/>
    </w:p>
    <w:p>
      <w:pPr>
        <w:pStyle w:val="BookText"/>
      </w:pPr>
      <w:r>
        <w:rPr>
          <w:rFonts w:ascii="IRNazanin" w:hAnsi="IRNazanin" w:eastAsia="IRNazanin" w:cs="IRNazanin"/>
          <w:lang w:bidi="fa-IR"/>
          <w:color w:val="111111"/>
          <w:sz w:val="28"/>
          <w:szCs w:val="28"/>
          <w:rtl/>
        </w:rPr>
        <w:t xml:space="preserve">1180ه-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الاجتهاد (رسالة في)، ج1، ص299.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أجوبة المسائل، ج1، ص334.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 الواحد لايصدر منه الا الواحد</w:t>
      </w:r>
    </w:p>
    <w:p>
      <w:pPr>
        <w:pStyle w:val="BookText"/>
      </w:pPr>
      <w:r>
        <w:rPr>
          <w:rFonts w:ascii="Amiri" w:hAnsi="Amiri" w:eastAsia="Amiri" w:cs="Amiri"/>
          <w:lang w:bidi="ar-SA"/>
          <w:color w:val="111111"/>
          <w:sz w:val="28"/>
          <w:szCs w:val="28"/>
          <w:rtl/>
        </w:rPr>
        <w:t xml:space="preserve">(رسالة في)، ج 2، ص838.</w:t>
      </w:r>
    </w:p>
    <w:p>
      <w:pPr>
        <w:pStyle w:val="BookText"/>
      </w:pPr>
      <w:r>
        <w:rPr>
          <w:rFonts w:ascii="Amiri" w:hAnsi="Amiri" w:eastAsia="Amiri" w:cs="Amiri"/>
          <w:lang w:bidi="ar-SA"/>
          <w:color w:val="111111"/>
          <w:sz w:val="28"/>
          <w:szCs w:val="28"/>
          <w:rtl/>
        </w:rPr>
        <w:t xml:space="preserve">4 .بيان الاسانيد و الكتب، ج 3، ص 457.</w:t>
      </w:r>
    </w:p>
    <w:p>
      <w:pPr>
        <w:pStyle w:val="BookText"/>
      </w:pPr>
      <w:r>
        <w:rPr>
          <w:rFonts w:ascii="Amiri" w:hAnsi="Amiri" w:eastAsia="Amiri" w:cs="Amiri"/>
          <w:lang w:bidi="ar-SA"/>
          <w:color w:val="111111"/>
          <w:sz w:val="28"/>
          <w:szCs w:val="28"/>
          <w:rtl/>
        </w:rPr>
        <w:t xml:space="preserve">5 .الجواب عن شرب التنباكو، ج5،</w:t>
      </w:r>
    </w:p>
    <w:p>
      <w:pPr>
        <w:pStyle w:val="BookText"/>
      </w:pPr>
      <w:r>
        <w:rPr>
          <w:rFonts w:ascii="IRNazanin" w:hAnsi="IRNazanin" w:eastAsia="IRNazanin" w:cs="IRNazanin"/>
          <w:lang w:bidi="fa-IR"/>
          <w:color w:val="111111"/>
          <w:sz w:val="28"/>
          <w:szCs w:val="28"/>
          <w:rtl/>
        </w:rPr>
        <w:t xml:space="preserve">ص 504.</w:t>
      </w:r>
    </w:p>
    <w:p>
      <w:pPr>
        <w:pStyle w:val="BookText"/>
      </w:pPr>
      <w:r>
        <w:rPr>
          <w:rFonts w:ascii="IRNazanin" w:hAnsi="IRNazanin" w:eastAsia="IRNazanin" w:cs="IRNazanin"/>
          <w:lang w:bidi="fa-IR"/>
          <w:color w:val="111111"/>
          <w:sz w:val="28"/>
          <w:szCs w:val="28"/>
          <w:rtl/>
        </w:rPr>
        <w:t xml:space="preserve">6 .خواص الحيوان = رساله صیدیه</w:t>
      </w:r>
    </w:p>
    <w:p>
      <w:pPr>
        <w:pStyle w:val="BookText"/>
      </w:pPr>
      <w:r>
        <w:rPr>
          <w:rFonts w:ascii="IRNazanin" w:hAnsi="IRNazanin" w:eastAsia="IRNazanin" w:cs="IRNazanin"/>
          <w:lang w:bidi="fa-IR"/>
          <w:color w:val="111111"/>
          <w:sz w:val="28"/>
          <w:szCs w:val="28"/>
          <w:rtl/>
        </w:rPr>
        <w:t xml:space="preserve">ج 7، ص177</w:t>
      </w:r>
    </w:p>
    <w:p>
      <w:pPr>
        <w:pStyle w:val="BookText"/>
      </w:pPr>
      <w:r>
        <w:rPr>
          <w:rFonts w:ascii="IRNazanin" w:hAnsi="IRNazanin" w:eastAsia="IRNazanin" w:cs="IRNazanin"/>
          <w:lang w:bidi="fa-IR"/>
          <w:color w:val="111111"/>
          <w:sz w:val="28"/>
          <w:szCs w:val="28"/>
          <w:rtl/>
        </w:rPr>
        <w:t xml:space="preserve">7.دستور العقلاء (رساله)، ج 7، ص381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دعوات الصالحات و اسماء الله</w:t>
      </w:r>
    </w:p>
    <w:p>
      <w:pPr>
        <w:pStyle w:val="BookText"/>
      </w:pPr>
      <w:r>
        <w:rPr>
          <w:rFonts w:ascii="IRNazanin" w:hAnsi="IRNazanin" w:eastAsia="IRNazanin" w:cs="IRNazanin"/>
          <w:lang w:bidi="fa-IR"/>
          <w:color w:val="111111"/>
          <w:sz w:val="28"/>
          <w:szCs w:val="28"/>
          <w:rtl/>
        </w:rPr>
        <w:t xml:space="preserve">الحسنى، ج 7، ص 416.</w:t>
      </w:r>
    </w:p>
    <w:p>
      <w:pPr>
        <w:pStyle w:val="BookText"/>
      </w:pPr>
      <w:r>
        <w:rPr>
          <w:rFonts w:ascii="Amiri" w:hAnsi="Amiri" w:eastAsia="Amiri" w:cs="Amiri"/>
          <w:lang w:bidi="ar-SA"/>
          <w:color w:val="111111"/>
          <w:sz w:val="28"/>
          <w:szCs w:val="28"/>
          <w:rtl/>
        </w:rPr>
        <w:t xml:space="preserve">9 .شجرة الطور في شرح آية النور، ج9،</w:t>
      </w:r>
    </w:p>
    <w:p>
      <w:pPr>
        <w:pStyle w:val="BookText"/>
      </w:pPr>
      <w:r>
        <w:rPr>
          <w:rFonts w:ascii="IRNazanin" w:hAnsi="IRNazanin" w:eastAsia="IRNazanin" w:cs="IRNazanin"/>
          <w:lang w:bidi="fa-IR"/>
          <w:color w:val="111111"/>
          <w:sz w:val="28"/>
          <w:szCs w:val="28"/>
          <w:rtl/>
        </w:rPr>
        <w:t xml:space="preserve">ص79.</w:t>
      </w:r>
    </w:p>
    <w:p>
      <w:pPr>
        <w:pStyle w:val="BookText"/>
      </w:pPr>
      <w:r>
        <w:rPr>
          <w:rFonts w:ascii="IRNazanin" w:hAnsi="IRNazanin" w:eastAsia="IRNazanin" w:cs="IRNazanin"/>
          <w:lang w:bidi="fa-IR"/>
          <w:color w:val="111111"/>
          <w:sz w:val="28"/>
          <w:szCs w:val="28"/>
          <w:rtl/>
        </w:rPr>
        <w:t xml:space="preserve">10 .شرح آیه وضو « فاغسلوا</w:t>
      </w:r>
    </w:p>
    <w:p>
      <w:pPr>
        <w:pStyle w:val="BookText"/>
      </w:pPr>
      <w:r>
        <w:rPr>
          <w:rFonts w:ascii="Amiri" w:hAnsi="Amiri" w:eastAsia="Amiri" w:cs="Amiri"/>
          <w:lang w:bidi="ar-SA"/>
          <w:color w:val="111111"/>
          <w:sz w:val="28"/>
          <w:szCs w:val="28"/>
          <w:rtl/>
        </w:rPr>
        <w:t xml:space="preserve">وجوهكم »، ج 9، ص 142.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فائدة فلسفية، ج 11، ص 571.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القياس (رسالة في)، ج 12، ص 871.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منتخب من جامع التمثيل، ج 15</w:t>
      </w:r>
    </w:p>
    <w:p>
      <w:pPr>
        <w:pStyle w:val="BookText"/>
      </w:pPr>
      <w:r>
        <w:rPr>
          <w:rFonts w:ascii="IRNazanin" w:hAnsi="IRNazanin" w:eastAsia="IRNazanin" w:cs="IRNazanin"/>
          <w:lang w:bidi="fa-IR"/>
          <w:color w:val="111111"/>
          <w:sz w:val="28"/>
          <w:szCs w:val="28"/>
          <w:rtl/>
        </w:rPr>
        <w:t xml:space="preserve">ص 616 .</w:t>
      </w:r>
    </w:p>
    <w:p>
      <w:pPr>
        <w:pStyle w:val="Heading2"/>
      </w:pPr>
      <w:bookmarkStart w:id="3524" w:name="_Toc2626"/>
      <w:r>
        <w:t>حسام اربلي، عيسى بن سنجر 582 -</w:t>
      </w:r>
      <w:bookmarkEnd w:id="3524"/>
    </w:p>
    <w:p>
      <w:pPr>
        <w:pStyle w:val="BookText"/>
      </w:pPr>
      <w:r>
        <w:rPr>
          <w:rFonts w:ascii="IRNazanin" w:hAnsi="IRNazanin" w:eastAsia="IRNazanin" w:cs="IRNazanin"/>
          <w:lang w:bidi="fa-IR"/>
          <w:color w:val="111111"/>
          <w:sz w:val="28"/>
          <w:szCs w:val="28"/>
          <w:rtl/>
        </w:rPr>
        <w:t xml:space="preserve">632 ه-</w:t>
      </w:r>
    </w:p>
    <w:p>
      <w:pPr>
        <w:pStyle w:val="BookText"/>
      </w:pPr>
      <w:r>
        <w:rPr>
          <w:rFonts w:ascii="IRNazanin" w:hAnsi="IRNazanin" w:eastAsia="IRNazanin" w:cs="IRNazanin"/>
          <w:lang w:bidi="fa-IR"/>
          <w:color w:val="111111"/>
          <w:sz w:val="28"/>
          <w:szCs w:val="28"/>
          <w:rtl/>
        </w:rPr>
        <w:t xml:space="preserve">1 .تخمیس، ج4، ص99</w:t>
      </w:r>
    </w:p>
    <w:p>
      <w:pPr>
        <w:pStyle w:val="BookText"/>
      </w:pPr>
      <w:r>
        <w:rPr>
          <w:rFonts w:ascii="Amiri" w:hAnsi="Amiri" w:eastAsia="Amiri" w:cs="Amiri"/>
          <w:lang w:bidi="ar-SA"/>
          <w:color w:val="111111"/>
          <w:sz w:val="28"/>
          <w:szCs w:val="28"/>
          <w:rtl/>
        </w:rPr>
        <w:t xml:space="preserve">2 .ديوان حاجري - ديوان حسام اربلي</w:t>
      </w:r>
    </w:p>
    <w:p>
      <w:pPr>
        <w:pStyle w:val="BookText"/>
      </w:pPr>
      <w:r>
        <w:rPr>
          <w:rFonts w:ascii="Amiri" w:hAnsi="Amiri" w:eastAsia="Amiri" w:cs="Amiri"/>
          <w:lang w:bidi="ar-SA"/>
          <w:color w:val="111111"/>
          <w:sz w:val="28"/>
          <w:szCs w:val="28"/>
          <w:rtl/>
        </w:rPr>
        <w:t xml:space="preserve">3.بلبل الغرام الكاشف عن لسان</w:t>
      </w:r>
    </w:p>
    <w:p>
      <w:pPr>
        <w:pStyle w:val="BookText"/>
      </w:pPr>
      <w:r>
        <w:rPr>
          <w:rFonts w:ascii="IRNazanin" w:hAnsi="IRNazanin" w:eastAsia="IRNazanin" w:cs="IRNazanin"/>
          <w:lang w:bidi="fa-IR"/>
          <w:color w:val="111111"/>
          <w:sz w:val="28"/>
          <w:szCs w:val="28"/>
          <w:rtl/>
        </w:rPr>
        <w:t xml:space="preserve">الانسجام، ج7، ص 613.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3" w:name="pg7742_70114"/>
    <w:bookmarkEnd w:id="36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قصيدة، ج 12، ص 635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موشحات الحاجري (منظوم)، ج 16،</w:t>
      </w:r>
    </w:p>
    <w:p>
      <w:pPr>
        <w:pStyle w:val="BookText"/>
      </w:pPr>
      <w:r>
        <w:rPr>
          <w:rFonts w:ascii="IRNazanin" w:hAnsi="IRNazanin" w:eastAsia="IRNazanin" w:cs="IRNazanin"/>
          <w:lang w:bidi="fa-IR"/>
          <w:color w:val="111111"/>
          <w:sz w:val="28"/>
          <w:szCs w:val="28"/>
          <w:rtl/>
        </w:rPr>
        <w:t xml:space="preserve">ص 20.</w:t>
      </w:r>
    </w:p>
    <w:p>
      <w:pPr>
        <w:pStyle w:val="Heading2"/>
      </w:pPr>
      <w:bookmarkStart w:id="3525" w:name="_Toc2627"/>
      <w:r>
        <w:t>حسام الزيادي</w:t>
      </w:r>
      <w:bookmarkEnd w:id="3525"/>
    </w:p>
    <w:p>
      <w:pPr>
        <w:pStyle w:val="BookText"/>
      </w:pPr>
      <w:r>
        <w:rPr>
          <w:rFonts w:ascii="Amiri" w:hAnsi="Amiri" w:eastAsia="Amiri" w:cs="Amiri"/>
          <w:lang w:bidi="ar-SA"/>
          <w:color w:val="111111"/>
          <w:sz w:val="28"/>
          <w:szCs w:val="28"/>
          <w:rtl/>
        </w:rPr>
        <w:t xml:space="preserve">القرآن معجزة و مصدرا، ج 12،</w:t>
      </w:r>
    </w:p>
    <w:p>
      <w:pPr>
        <w:pStyle w:val="BookText"/>
      </w:pPr>
      <w:r>
        <w:rPr>
          <w:rFonts w:ascii="IRNazanin" w:hAnsi="IRNazanin" w:eastAsia="IRNazanin" w:cs="IRNazanin"/>
          <w:lang w:bidi="fa-IR"/>
          <w:color w:val="111111"/>
          <w:sz w:val="28"/>
          <w:szCs w:val="28"/>
          <w:rtl/>
        </w:rPr>
        <w:t xml:space="preserve">ص 540</w:t>
      </w:r>
    </w:p>
    <w:p>
      <w:pPr>
        <w:pStyle w:val="BookText"/>
      </w:pPr>
      <w:r>
        <w:rPr>
          <w:rFonts w:ascii="IRNazanin" w:hAnsi="IRNazanin" w:eastAsia="IRNazanin" w:cs="IRNazanin"/>
          <w:lang w:bidi="fa-IR"/>
          <w:color w:val="111111"/>
          <w:sz w:val="28"/>
          <w:szCs w:val="28"/>
          <w:rtl/>
        </w:rPr>
        <w:t xml:space="preserve">حسام الدین بن جمال الدين طريحي نجفي -طريحي نجفي ، حسام الدين بن</w:t>
      </w:r>
    </w:p>
    <w:p>
      <w:pPr>
        <w:pStyle w:val="BookText"/>
      </w:pPr>
      <w:r>
        <w:rPr>
          <w:rFonts w:ascii="IRNazanin" w:hAnsi="IRNazanin" w:eastAsia="IRNazanin" w:cs="IRNazanin"/>
          <w:lang w:bidi="fa-IR"/>
          <w:color w:val="111111"/>
          <w:sz w:val="28"/>
          <w:szCs w:val="28"/>
          <w:rtl/>
        </w:rPr>
        <w:t xml:space="preserve">جمال الدین</w:t>
      </w:r>
    </w:p>
    <w:p>
      <w:pPr>
        <w:pStyle w:val="BookText"/>
      </w:pPr>
      <w:r>
        <w:rPr>
          <w:rFonts w:ascii="Amiri" w:hAnsi="Amiri" w:eastAsia="Amiri" w:cs="Amiri"/>
          <w:lang w:bidi="ar-SA"/>
          <w:color w:val="111111"/>
          <w:sz w:val="28"/>
          <w:szCs w:val="28"/>
          <w:rtl/>
        </w:rPr>
        <w:t xml:space="preserve">حسام الدين بن علي صغناقي- صغناقي</w:t>
      </w:r>
    </w:p>
    <w:p>
      <w:pPr>
        <w:pStyle w:val="BookText"/>
      </w:pPr>
      <w:r>
        <w:rPr>
          <w:rFonts w:ascii="Amiri" w:hAnsi="Amiri" w:eastAsia="Amiri" w:cs="Amiri"/>
          <w:lang w:bidi="ar-SA"/>
          <w:color w:val="111111"/>
          <w:sz w:val="28"/>
          <w:szCs w:val="28"/>
          <w:rtl/>
        </w:rPr>
        <w:t xml:space="preserve">حسين بن علي</w:t>
      </w:r>
    </w:p>
    <w:p>
      <w:pPr>
        <w:pStyle w:val="BookText"/>
      </w:pPr>
      <w:r>
        <w:rPr>
          <w:rFonts w:ascii="Amiri" w:hAnsi="Amiri" w:eastAsia="Amiri" w:cs="Amiri"/>
          <w:lang w:bidi="ar-SA"/>
          <w:color w:val="111111"/>
          <w:sz w:val="28"/>
          <w:szCs w:val="28"/>
          <w:rtl/>
        </w:rPr>
        <w:t xml:space="preserve">حسام الدين بن يحيى لاهيجي- لاهيجي</w:t>
      </w:r>
    </w:p>
    <w:p>
      <w:pPr>
        <w:pStyle w:val="BookText"/>
      </w:pPr>
      <w:r>
        <w:rPr>
          <w:rFonts w:ascii="Amiri" w:hAnsi="Amiri" w:eastAsia="Amiri" w:cs="Amiri"/>
          <w:lang w:bidi="ar-SA"/>
          <w:color w:val="111111"/>
          <w:sz w:val="28"/>
          <w:szCs w:val="28"/>
          <w:rtl/>
        </w:rPr>
        <w:t xml:space="preserve">حسام الدين بن يحيى</w:t>
      </w:r>
    </w:p>
    <w:p>
      <w:pPr>
        <w:pStyle w:val="BookText"/>
      </w:pPr>
      <w:r>
        <w:rPr>
          <w:rFonts w:ascii="Amiri" w:hAnsi="Amiri" w:eastAsia="Amiri" w:cs="Amiri"/>
          <w:lang w:bidi="ar-SA"/>
          <w:color w:val="111111"/>
          <w:sz w:val="28"/>
          <w:szCs w:val="28"/>
          <w:rtl/>
        </w:rPr>
        <w:t xml:space="preserve">حسام الدين تالشي ، حسن بن</w:t>
      </w:r>
    </w:p>
    <w:p>
      <w:pPr>
        <w:pStyle w:val="BookText"/>
      </w:pPr>
      <w:r>
        <w:rPr>
          <w:rFonts w:ascii="Amiri" w:hAnsi="Amiri" w:eastAsia="Amiri" w:cs="Amiri"/>
          <w:lang w:bidi="ar-SA"/>
          <w:color w:val="111111"/>
          <w:sz w:val="28"/>
          <w:szCs w:val="28"/>
          <w:rtl/>
        </w:rPr>
        <w:t xml:space="preserve">حسين - تالشي ، حسن بن حسين</w:t>
      </w:r>
    </w:p>
    <w:p>
      <w:pPr>
        <w:pStyle w:val="BookText"/>
      </w:pPr>
      <w:r>
        <w:rPr>
          <w:rFonts w:ascii="Amiri" w:hAnsi="Amiri" w:eastAsia="Amiri" w:cs="Amiri"/>
          <w:lang w:bidi="ar-SA"/>
          <w:color w:val="111111"/>
          <w:sz w:val="28"/>
          <w:szCs w:val="28"/>
          <w:rtl/>
        </w:rPr>
        <w:t xml:space="preserve">حسام الدين كاتي- كاتي ، حسام الدين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حسام بن حسن قونوي قونوی ، حسام</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IRNazanin" w:hAnsi="IRNazanin" w:eastAsia="IRNazanin" w:cs="IRNazanin"/>
          <w:lang w:bidi="fa-IR"/>
          <w:color w:val="111111"/>
          <w:sz w:val="28"/>
          <w:szCs w:val="28"/>
          <w:rtl/>
        </w:rPr>
        <w:t xml:space="preserve">حسام چلبي -چلبي ، حسام</w:t>
      </w:r>
    </w:p>
    <w:p>
      <w:pPr>
        <w:pStyle w:val="Heading2"/>
      </w:pPr>
      <w:bookmarkStart w:id="3526" w:name="_Toc2628"/>
      <w:r>
        <w:t>حسام زاده مصطفی بن حسام قرن 9 ه-</w:t>
      </w:r>
      <w:bookmarkEnd w:id="3526"/>
    </w:p>
    <w:p>
      <w:pPr>
        <w:pStyle w:val="BookText"/>
      </w:pPr>
      <w:r>
        <w:rPr>
          <w:rFonts w:ascii="Amiri" w:hAnsi="Amiri" w:eastAsia="Amiri" w:cs="Amiri"/>
          <w:lang w:bidi="ar-SA"/>
          <w:color w:val="111111"/>
          <w:sz w:val="28"/>
          <w:szCs w:val="28"/>
          <w:rtl/>
        </w:rPr>
        <w:t xml:space="preserve">حاشية شرح المقاصد، ج 6 ، ص 185 .</w:t>
      </w:r>
    </w:p>
    <w:p>
      <w:pPr>
        <w:pStyle w:val="Heading2"/>
      </w:pPr>
      <w:bookmarkStart w:id="3527" w:name="_Toc2629"/>
      <w:r>
        <w:t>حسامي ، احمد بن ايبك 700 - 749 ه-</w:t>
      </w:r>
      <w:bookmarkEnd w:id="3527"/>
    </w:p>
    <w:p>
      <w:pPr>
        <w:pStyle w:val="BookText"/>
      </w:pPr>
      <w:r>
        <w:rPr>
          <w:rFonts w:ascii="IRNazanin" w:hAnsi="IRNazanin" w:eastAsia="IRNazanin" w:cs="IRNazanin"/>
          <w:lang w:bidi="fa-IR"/>
          <w:color w:val="111111"/>
          <w:sz w:val="28"/>
          <w:szCs w:val="28"/>
          <w:rtl/>
        </w:rPr>
        <w:t xml:space="preserve">المستفاد من ذيل تاریخ بغداد ج 14 ص 562.</w:t>
      </w:r>
    </w:p>
    <w:p>
      <w:pPr>
        <w:pStyle w:val="Heading2"/>
      </w:pPr>
      <w:bookmarkStart w:id="3528" w:name="_Toc2630"/>
      <w:r>
        <w:t>حسامي ، علي بن ياسر</w:t>
      </w:r>
      <w:bookmarkEnd w:id="3528"/>
    </w:p>
    <w:p>
      <w:pPr>
        <w:pStyle w:val="BookText"/>
      </w:pPr>
      <w:r>
        <w:rPr>
          <w:rFonts w:ascii="IRNazanin" w:hAnsi="IRNazanin" w:eastAsia="IRNazanin" w:cs="IRNazanin"/>
          <w:lang w:bidi="fa-IR"/>
          <w:color w:val="111111"/>
          <w:sz w:val="28"/>
          <w:szCs w:val="28"/>
          <w:rtl/>
        </w:rPr>
        <w:t xml:space="preserve">دیوان حسامي، ج 7، ص 619.</w:t>
      </w:r>
    </w:p>
    <w:p>
      <w:pPr>
        <w:pStyle w:val="Heading2"/>
      </w:pPr>
      <w:bookmarkStart w:id="3529" w:name="_Toc2631"/>
      <w:r>
        <w:t>حسان بن ثابت - 54 ه-</w:t>
      </w:r>
      <w:bookmarkEnd w:id="3529"/>
    </w:p>
    <w:p>
      <w:pPr>
        <w:pStyle w:val="BookText"/>
      </w:pPr>
      <w:r>
        <w:rPr>
          <w:rFonts w:ascii="IRNazanin" w:hAnsi="IRNazanin" w:eastAsia="IRNazanin" w:cs="IRNazanin"/>
          <w:lang w:bidi="fa-IR"/>
          <w:color w:val="111111"/>
          <w:sz w:val="28"/>
          <w:szCs w:val="28"/>
          <w:rtl/>
        </w:rPr>
        <w:t xml:space="preserve">دیوان حسان بن ثابت، ج 7، ص 619.</w:t>
      </w:r>
    </w:p>
    <w:p>
      <w:pPr>
        <w:pStyle w:val="Heading2"/>
      </w:pPr>
      <w:bookmarkStart w:id="3530" w:name="_Toc2632"/>
      <w:r>
        <w:t>حسان، عبدالواحد، قرن 14 ه-</w:t>
      </w:r>
      <w:bookmarkEnd w:id="3530"/>
    </w:p>
    <w:p>
      <w:pPr>
        <w:pStyle w:val="BookText"/>
      </w:pPr>
      <w:r>
        <w:rPr>
          <w:rFonts w:ascii="Amiri" w:hAnsi="Amiri" w:eastAsia="Amiri" w:cs="Amiri"/>
          <w:lang w:bidi="ar-SA"/>
          <w:color w:val="111111"/>
          <w:sz w:val="28"/>
          <w:szCs w:val="28"/>
          <w:rtl/>
        </w:rPr>
        <w:t xml:space="preserve">1 .العجائب الكونية في الايات القرآنية، ج 11، ص 34.</w:t>
      </w:r>
    </w:p>
    <w:p>
      <w:pPr>
        <w:pStyle w:val="BookText"/>
      </w:pPr>
      <w:r>
        <w:rPr>
          <w:rFonts w:ascii="Amiri" w:hAnsi="Amiri" w:eastAsia="Amiri" w:cs="Amiri"/>
          <w:lang w:bidi="ar-SA"/>
          <w:color w:val="111111"/>
          <w:sz w:val="28"/>
          <w:szCs w:val="28"/>
          <w:rtl/>
        </w:rPr>
        <w:t xml:space="preserve">2 .الكشكول في المنقول و العقول</w:t>
      </w:r>
    </w:p>
    <w:p>
      <w:pPr>
        <w:pStyle w:val="BookText"/>
      </w:pPr>
      <w:r>
        <w:rPr>
          <w:rFonts w:ascii="IRNazanin" w:hAnsi="IRNazanin" w:eastAsia="IRNazanin" w:cs="IRNazanin"/>
          <w:lang w:bidi="fa-IR"/>
          <w:color w:val="111111"/>
          <w:sz w:val="28"/>
          <w:szCs w:val="28"/>
          <w:rtl/>
        </w:rPr>
        <w:t xml:space="preserve">ج 13، ص 300.</w:t>
      </w:r>
    </w:p>
    <w:p>
      <w:pPr>
        <w:pStyle w:val="BookText"/>
      </w:pPr>
      <w:r>
        <w:rPr>
          <w:rFonts w:ascii="Amiri" w:hAnsi="Amiri" w:eastAsia="Amiri" w:cs="Amiri"/>
          <w:lang w:bidi="ar-SA"/>
          <w:color w:val="111111"/>
          <w:sz w:val="28"/>
          <w:szCs w:val="28"/>
          <w:rtl/>
        </w:rPr>
        <w:t xml:space="preserve">3 .الميزان في المواريث و الاحكام على</w:t>
      </w:r>
    </w:p>
    <w:p>
      <w:pPr>
        <w:pStyle w:val="BookText"/>
      </w:pPr>
      <w:r>
        <w:rPr>
          <w:rFonts w:ascii="Amiri" w:hAnsi="Amiri" w:eastAsia="Amiri" w:cs="Amiri"/>
          <w:lang w:bidi="ar-SA"/>
          <w:color w:val="111111"/>
          <w:sz w:val="28"/>
          <w:szCs w:val="28"/>
          <w:rtl/>
        </w:rPr>
        <w:t xml:space="preserve">مذهب الامام الاعظم أبي حنيفة النعمان ج16، ص 71</w:t>
      </w:r>
    </w:p>
    <w:p>
      <w:pPr>
        <w:pStyle w:val="BookText"/>
      </w:pPr>
      <w:r>
        <w:rPr>
          <w:rFonts w:ascii="Amiri" w:hAnsi="Amiri" w:eastAsia="Amiri" w:cs="Amiri"/>
          <w:lang w:bidi="ar-SA"/>
          <w:color w:val="111111"/>
          <w:sz w:val="28"/>
          <w:szCs w:val="28"/>
          <w:rtl/>
        </w:rPr>
        <w:t xml:space="preserve">حسانين ، خليل -خليل حسانين</w:t>
      </w:r>
    </w:p>
    <w:p>
      <w:pPr>
        <w:pStyle w:val="BookText"/>
      </w:pPr>
      <w:r>
        <w:rPr>
          <w:rFonts w:ascii="Amiri" w:hAnsi="Amiri" w:eastAsia="Amiri" w:cs="Amiri"/>
          <w:lang w:bidi="ar-SA"/>
          <w:color w:val="111111"/>
          <w:sz w:val="28"/>
          <w:szCs w:val="28"/>
          <w:rtl/>
        </w:rPr>
        <w:t xml:space="preserve">حسكا رازي ، علي بن عبيد الله -منتجب</w:t>
      </w:r>
    </w:p>
    <w:p>
      <w:pPr>
        <w:pStyle w:val="BookText"/>
      </w:pPr>
      <w:r>
        <w:rPr>
          <w:rFonts w:ascii="Amiri" w:hAnsi="Amiri" w:eastAsia="Amiri" w:cs="Amiri"/>
          <w:lang w:bidi="ar-SA"/>
          <w:color w:val="111111"/>
          <w:sz w:val="28"/>
          <w:szCs w:val="28"/>
          <w:rtl/>
        </w:rPr>
        <w:t xml:space="preserve">الدين رازي ، علي بن عبيد الله</w:t>
      </w:r>
    </w:p>
    <w:p>
      <w:pPr>
        <w:pStyle w:val="Heading2"/>
      </w:pPr>
      <w:bookmarkStart w:id="3531" w:name="_Toc2633"/>
      <w:r>
        <w:t>حسكاني ، عبيد الله بن عبد الله قرن 5 ه-</w:t>
      </w:r>
      <w:bookmarkEnd w:id="3531"/>
    </w:p>
    <w:p>
      <w:pPr>
        <w:pStyle w:val="BookText"/>
      </w:pPr>
      <w:r>
        <w:rPr>
          <w:rFonts w:ascii="Amiri" w:hAnsi="Amiri" w:eastAsia="Amiri" w:cs="Amiri"/>
          <w:lang w:bidi="ar-SA"/>
          <w:color w:val="111111"/>
          <w:sz w:val="28"/>
          <w:szCs w:val="28"/>
          <w:rtl/>
        </w:rPr>
        <w:t xml:space="preserve">شواهد التنزيل لقواعد التفضيل</w:t>
      </w:r>
    </w:p>
    <w:p>
      <w:pPr>
        <w:pStyle w:val="BookText"/>
      </w:pPr>
      <w:r>
        <w:rPr>
          <w:rFonts w:ascii="IRNazanin" w:hAnsi="IRNazanin" w:eastAsia="IRNazanin" w:cs="IRNazanin"/>
          <w:lang w:bidi="fa-IR"/>
          <w:color w:val="111111"/>
          <w:sz w:val="28"/>
          <w:szCs w:val="28"/>
          <w:rtl/>
        </w:rPr>
        <w:t xml:space="preserve">ج 10، ص 448.</w:t>
      </w:r>
    </w:p>
    <w:p>
      <w:pPr>
        <w:pStyle w:val="BookText"/>
      </w:pPr>
      <w:r>
        <w:rPr>
          <w:rFonts w:ascii="Amiri" w:hAnsi="Amiri" w:eastAsia="Amiri" w:cs="Amiri"/>
          <w:lang w:bidi="ar-SA"/>
          <w:color w:val="111111"/>
          <w:sz w:val="28"/>
          <w:szCs w:val="28"/>
          <w:rtl/>
        </w:rPr>
        <w:t xml:space="preserve">حسن افندي جبار- در كزلي ، حسن بن</w:t>
      </w:r>
    </w:p>
    <w:p>
      <w:pPr>
        <w:pStyle w:val="BookText"/>
      </w:pPr>
      <w:r>
        <w:rPr>
          <w:rFonts w:ascii="IRNazanin" w:hAnsi="IRNazanin" w:eastAsia="IRNazanin" w:cs="IRNazanin"/>
          <w:lang w:bidi="fa-IR"/>
          <w:color w:val="111111"/>
          <w:sz w:val="28"/>
          <w:szCs w:val="28"/>
          <w:rtl/>
        </w:rPr>
        <w:t xml:space="preserve">اسماعیل</w:t>
      </w:r>
    </w:p>
    <w:p>
      <w:pPr>
        <w:pStyle w:val="BookText"/>
      </w:pPr>
      <w:r>
        <w:rPr>
          <w:rFonts w:ascii="Amiri" w:hAnsi="Amiri" w:eastAsia="Amiri" w:cs="Amiri"/>
          <w:lang w:bidi="ar-SA"/>
          <w:color w:val="111111"/>
          <w:sz w:val="28"/>
          <w:szCs w:val="28"/>
          <w:rtl/>
        </w:rPr>
        <w:t xml:space="preserve">حسن المنصور بالله -علوي ، حسن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حسن باشا بن حسين باشا جليلي</w:t>
      </w:r>
    </w:p>
    <w:p>
      <w:pPr>
        <w:pStyle w:val="BookText"/>
      </w:pPr>
      <w:r>
        <w:rPr>
          <w:rFonts w:ascii="IRNazanin" w:hAnsi="IRNazanin" w:eastAsia="IRNazanin" w:cs="IRNazanin"/>
          <w:lang w:bidi="fa-IR"/>
          <w:color w:val="111111"/>
          <w:sz w:val="28"/>
          <w:szCs w:val="28"/>
          <w:rtl/>
        </w:rPr>
        <w:t xml:space="preserve">الموصلي - جليلي ، حسن باشا بن حسین باشا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4" w:name="pg7742_70116"/>
    <w:bookmarkEnd w:id="364"/>
    <w:p>
      <w:pPr>
        <w:pStyle w:val="Heading2"/>
      </w:pPr>
      <w:bookmarkStart w:id="3532" w:name="_Toc2634"/>
      <w:r>
        <w:t>حسن بصري، 21 - 110 ه-</w:t>
      </w:r>
      <w:bookmarkEnd w:id="3532"/>
    </w:p>
    <w:p>
      <w:pPr>
        <w:pStyle w:val="BookText"/>
      </w:pPr>
      <w:r>
        <w:rPr>
          <w:rFonts w:ascii="IRNazanin" w:hAnsi="IRNazanin" w:eastAsia="IRNazanin" w:cs="IRNazanin"/>
          <w:lang w:bidi="fa-IR"/>
          <w:color w:val="111111"/>
          <w:sz w:val="28"/>
          <w:szCs w:val="28"/>
          <w:rtl/>
        </w:rPr>
        <w:t xml:space="preserve">1 .الدعاء، ج 7، ص 386.</w:t>
      </w:r>
    </w:p>
    <w:p>
      <w:pPr>
        <w:pStyle w:val="BookText"/>
      </w:pPr>
      <w:r>
        <w:rPr>
          <w:rFonts w:ascii="Amiri" w:hAnsi="Amiri" w:eastAsia="Amiri" w:cs="Amiri"/>
          <w:lang w:bidi="ar-SA"/>
          <w:color w:val="111111"/>
          <w:sz w:val="28"/>
          <w:szCs w:val="28"/>
          <w:rtl/>
        </w:rPr>
        <w:t xml:space="preserve">2 .الفرائض = اربعة و خمسون</w:t>
      </w:r>
    </w:p>
    <w:p>
      <w:pPr>
        <w:pStyle w:val="BookText"/>
      </w:pPr>
      <w:r>
        <w:rPr>
          <w:rFonts w:ascii="Amiri" w:hAnsi="Amiri" w:eastAsia="Amiri" w:cs="Amiri"/>
          <w:lang w:bidi="ar-SA"/>
          <w:color w:val="111111"/>
          <w:sz w:val="28"/>
          <w:szCs w:val="28"/>
          <w:rtl/>
        </w:rPr>
        <w:t xml:space="preserve">فريضة، ج 11 ، ص 749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مكة - رسالة إلى ابن</w:t>
      </w:r>
    </w:p>
    <w:p>
      <w:pPr>
        <w:pStyle w:val="BookText"/>
      </w:pPr>
      <w:r>
        <w:rPr>
          <w:rFonts w:ascii="Amiri" w:hAnsi="Amiri" w:eastAsia="Amiri" w:cs="Amiri"/>
          <w:lang w:bidi="ar-SA"/>
          <w:color w:val="111111"/>
          <w:sz w:val="28"/>
          <w:szCs w:val="28"/>
          <w:rtl/>
        </w:rPr>
        <w:t xml:space="preserve">يونس، ج 12، ص20.</w:t>
      </w:r>
    </w:p>
    <w:p>
      <w:pPr>
        <w:pStyle w:val="BookText"/>
      </w:pPr>
      <w:r>
        <w:rPr>
          <w:rFonts w:ascii="Amiri" w:hAnsi="Amiri" w:eastAsia="Amiri" w:cs="Amiri"/>
          <w:lang w:bidi="ar-SA"/>
          <w:color w:val="111111"/>
          <w:sz w:val="28"/>
          <w:szCs w:val="28"/>
          <w:rtl/>
        </w:rPr>
        <w:t xml:space="preserve">حسن بن ابراهيم آل بحرالعلوم -آل</w:t>
      </w:r>
    </w:p>
    <w:p>
      <w:pPr>
        <w:pStyle w:val="BookText"/>
      </w:pPr>
      <w:r>
        <w:rPr>
          <w:rFonts w:ascii="Amiri" w:hAnsi="Amiri" w:eastAsia="Amiri" w:cs="Amiri"/>
          <w:lang w:bidi="ar-SA"/>
          <w:color w:val="111111"/>
          <w:sz w:val="28"/>
          <w:szCs w:val="28"/>
          <w:rtl/>
        </w:rPr>
        <w:t xml:space="preserve">بحر العلوم ، حسن بن ابراهيم</w:t>
      </w:r>
    </w:p>
    <w:p>
      <w:pPr>
        <w:pStyle w:val="BookText"/>
      </w:pPr>
      <w:r>
        <w:rPr>
          <w:rFonts w:ascii="Amiri" w:hAnsi="Amiri" w:eastAsia="Amiri" w:cs="Amiri"/>
          <w:lang w:bidi="ar-SA"/>
          <w:color w:val="111111"/>
          <w:sz w:val="28"/>
          <w:szCs w:val="28"/>
          <w:rtl/>
        </w:rPr>
        <w:t xml:space="preserve">حسن بن ابراهيم بن زولاق -ابن زولاق</w:t>
      </w:r>
    </w:p>
    <w:p>
      <w:pPr>
        <w:pStyle w:val="BookText"/>
      </w:pPr>
      <w:r>
        <w:rPr>
          <w:rFonts w:ascii="Amiri" w:hAnsi="Amiri" w:eastAsia="Amiri" w:cs="Amiri"/>
          <w:lang w:bidi="ar-SA"/>
          <w:color w:val="111111"/>
          <w:sz w:val="28"/>
          <w:szCs w:val="28"/>
          <w:rtl/>
        </w:rPr>
        <w:t xml:space="preserve">حسن بن ابراهيم</w:t>
      </w:r>
    </w:p>
    <w:p>
      <w:pPr>
        <w:pStyle w:val="BookText"/>
      </w:pPr>
      <w:r>
        <w:rPr>
          <w:rFonts w:ascii="Amiri" w:hAnsi="Amiri" w:eastAsia="Amiri" w:cs="Amiri"/>
          <w:lang w:bidi="ar-SA"/>
          <w:color w:val="111111"/>
          <w:sz w:val="28"/>
          <w:szCs w:val="28"/>
          <w:rtl/>
        </w:rPr>
        <w:t xml:space="preserve">حسن بن ابراهيم بيطار ب-يطار ، حسن</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حسن بن ابراهيم جبرتي- جبرتي ، حسن</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حسن بن ابراهيم ليثي- ابن زولاق ،</w:t>
      </w:r>
    </w:p>
    <w:p>
      <w:pPr>
        <w:pStyle w:val="BookText"/>
      </w:pPr>
      <w:r>
        <w:rPr>
          <w:rFonts w:ascii="Amiri" w:hAnsi="Amiri" w:eastAsia="Amiri" w:cs="Amiri"/>
          <w:lang w:bidi="ar-SA"/>
          <w:color w:val="111111"/>
          <w:sz w:val="28"/>
          <w:szCs w:val="28"/>
          <w:rtl/>
        </w:rPr>
        <w:t xml:space="preserve">حسن بن ابراهيم</w:t>
      </w:r>
    </w:p>
    <w:p>
      <w:pPr>
        <w:pStyle w:val="BookText"/>
      </w:pPr>
      <w:r>
        <w:rPr>
          <w:rFonts w:ascii="Amiri" w:hAnsi="Amiri" w:eastAsia="Amiri" w:cs="Amiri"/>
          <w:lang w:bidi="ar-SA"/>
          <w:color w:val="111111"/>
          <w:sz w:val="28"/>
          <w:szCs w:val="28"/>
          <w:rtl/>
        </w:rPr>
        <w:t xml:space="preserve">حسن بن ابراهيم نجم آبادي ساوجبلاغي</w:t>
      </w:r>
    </w:p>
    <w:p>
      <w:pPr>
        <w:pStyle w:val="BookText"/>
      </w:pPr>
      <w:r>
        <w:rPr>
          <w:rFonts w:ascii="Amiri" w:hAnsi="Amiri" w:eastAsia="Amiri" w:cs="Amiri"/>
          <w:lang w:bidi="ar-SA"/>
          <w:color w:val="111111"/>
          <w:sz w:val="28"/>
          <w:szCs w:val="28"/>
          <w:rtl/>
        </w:rPr>
        <w:t xml:space="preserve">تهراني - نجم آبادي ، حسن بن ابراهيم</w:t>
      </w:r>
    </w:p>
    <w:p>
      <w:pPr>
        <w:pStyle w:val="BookText"/>
      </w:pPr>
      <w:r>
        <w:rPr>
          <w:rFonts w:ascii="Amiri" w:hAnsi="Amiri" w:eastAsia="Amiri" w:cs="Amiri"/>
          <w:lang w:bidi="ar-SA"/>
          <w:color w:val="111111"/>
          <w:sz w:val="28"/>
          <w:szCs w:val="28"/>
          <w:rtl/>
        </w:rPr>
        <w:t xml:space="preserve">حسن بن ابي الحسن تنكابن-ي تنكابني</w:t>
      </w:r>
    </w:p>
    <w:p>
      <w:pPr>
        <w:pStyle w:val="BookText"/>
      </w:pPr>
      <w:r>
        <w:rPr>
          <w:rFonts w:ascii="Amiri" w:hAnsi="Amiri" w:eastAsia="Amiri" w:cs="Amiri"/>
          <w:lang w:bidi="ar-SA"/>
          <w:color w:val="111111"/>
          <w:sz w:val="28"/>
          <w:szCs w:val="28"/>
          <w:rtl/>
        </w:rPr>
        <w:t xml:space="preserve">حسن بن ابي الحسن</w:t>
      </w:r>
    </w:p>
    <w:p>
      <w:pPr>
        <w:pStyle w:val="BookText"/>
      </w:pPr>
      <w:r>
        <w:rPr>
          <w:rFonts w:ascii="Amiri" w:hAnsi="Amiri" w:eastAsia="Amiri" w:cs="Amiri"/>
          <w:lang w:bidi="ar-SA"/>
          <w:color w:val="111111"/>
          <w:sz w:val="28"/>
          <w:szCs w:val="28"/>
          <w:rtl/>
        </w:rPr>
        <w:t xml:space="preserve">حسن بن ابي الكرم شوشتري تستري- شوشتري ، حسن بن ابي الكرم</w:t>
      </w:r>
    </w:p>
    <w:p>
      <w:pPr>
        <w:pStyle w:val="BookText"/>
      </w:pPr>
      <w:r>
        <w:rPr>
          <w:rFonts w:ascii="Amiri" w:hAnsi="Amiri" w:eastAsia="Amiri" w:cs="Amiri"/>
          <w:lang w:bidi="ar-SA"/>
          <w:color w:val="111111"/>
          <w:sz w:val="28"/>
          <w:szCs w:val="28"/>
          <w:rtl/>
        </w:rPr>
        <w:t xml:space="preserve">حسن بن ابي بكر قدسي- قدسي ، حسن</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حسن بن ابي طالب آبي -آبي ، حسن بن</w:t>
      </w:r>
    </w:p>
    <w:p>
      <w:pPr>
        <w:pStyle w:val="BookText"/>
      </w:pPr>
      <w:r>
        <w:rPr>
          <w:rFonts w:ascii="Amiri" w:hAnsi="Amiri" w:eastAsia="Amiri" w:cs="Amiri"/>
          <w:lang w:bidi="ar-SA"/>
          <w:color w:val="111111"/>
          <w:sz w:val="28"/>
          <w:szCs w:val="28"/>
          <w:rtl/>
        </w:rPr>
        <w:t xml:space="preserve">ابي طالب</w:t>
      </w:r>
    </w:p>
    <w:p>
      <w:pPr>
        <w:pStyle w:val="BookText"/>
      </w:pPr>
      <w:r>
        <w:rPr>
          <w:rFonts w:ascii="Amiri" w:hAnsi="Amiri" w:eastAsia="Amiri" w:cs="Amiri"/>
          <w:lang w:bidi="ar-SA"/>
          <w:color w:val="111111"/>
          <w:sz w:val="28"/>
          <w:szCs w:val="28"/>
          <w:rtl/>
        </w:rPr>
        <w:t xml:space="preserve">حسن بن ابي طالب طباطبائي - طباطبائي</w:t>
      </w:r>
    </w:p>
    <w:p>
      <w:pPr>
        <w:pStyle w:val="BookText"/>
      </w:pPr>
      <w:r>
        <w:rPr>
          <w:rFonts w:ascii="Amiri" w:hAnsi="Amiri" w:eastAsia="Amiri" w:cs="Amiri"/>
          <w:lang w:bidi="ar-SA"/>
          <w:color w:val="111111"/>
          <w:sz w:val="28"/>
          <w:szCs w:val="28"/>
          <w:rtl/>
        </w:rPr>
        <w:t xml:space="preserve">حسن بن ابي طالب</w:t>
      </w:r>
    </w:p>
    <w:p>
      <w:pPr>
        <w:pStyle w:val="BookText"/>
      </w:pPr>
      <w:r>
        <w:rPr>
          <w:rFonts w:ascii="Amiri" w:hAnsi="Amiri" w:eastAsia="Amiri" w:cs="Amiri"/>
          <w:lang w:bidi="ar-SA"/>
          <w:color w:val="111111"/>
          <w:sz w:val="28"/>
          <w:szCs w:val="28"/>
          <w:rtl/>
        </w:rPr>
        <w:t xml:space="preserve">حسن بن احمد اصفهاني بغدادي- اصفهاني ، حسن بن احمد</w:t>
      </w:r>
    </w:p>
    <w:p>
      <w:pPr>
        <w:pStyle w:val="BookText"/>
      </w:pPr>
      <w:r>
        <w:rPr>
          <w:rFonts w:ascii="Amiri" w:hAnsi="Amiri" w:eastAsia="Amiri" w:cs="Amiri"/>
          <w:lang w:bidi="ar-SA"/>
          <w:color w:val="111111"/>
          <w:sz w:val="28"/>
          <w:szCs w:val="28"/>
          <w:rtl/>
        </w:rPr>
        <w:t xml:space="preserve">حسن بن احمد اعرابي الغندجاني- اسود</w:t>
      </w:r>
    </w:p>
    <w:p>
      <w:pPr>
        <w:pStyle w:val="BookText"/>
      </w:pPr>
      <w:r>
        <w:rPr>
          <w:rFonts w:ascii="Amiri" w:hAnsi="Amiri" w:eastAsia="Amiri" w:cs="Amiri"/>
          <w:lang w:bidi="ar-SA"/>
          <w:color w:val="111111"/>
          <w:sz w:val="28"/>
          <w:szCs w:val="28"/>
          <w:rtl/>
        </w:rPr>
        <w:t xml:space="preserve">غندجاني ، حسن بن احمد</w:t>
      </w:r>
    </w:p>
    <w:p>
      <w:pPr>
        <w:pStyle w:val="BookText"/>
      </w:pPr>
      <w:r>
        <w:rPr>
          <w:rFonts w:ascii="Amiri" w:hAnsi="Amiri" w:eastAsia="Amiri" w:cs="Amiri"/>
          <w:lang w:bidi="ar-SA"/>
          <w:color w:val="111111"/>
          <w:sz w:val="28"/>
          <w:szCs w:val="28"/>
          <w:rtl/>
        </w:rPr>
        <w:t xml:space="preserve">حسن بن احمد المخلدي- مخلدي ، حسن</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حسن بن احمد بن ابراهيم بن شاذان -ابن شاذان ، حسن بن احمد</w:t>
      </w:r>
    </w:p>
    <w:p>
      <w:pPr>
        <w:pStyle w:val="BookText"/>
      </w:pPr>
      <w:r>
        <w:rPr>
          <w:rFonts w:ascii="Amiri" w:hAnsi="Amiri" w:eastAsia="Amiri" w:cs="Amiri"/>
          <w:lang w:bidi="ar-SA"/>
          <w:color w:val="111111"/>
          <w:sz w:val="28"/>
          <w:szCs w:val="28"/>
          <w:rtl/>
        </w:rPr>
        <w:t xml:space="preserve">حسن بن احمد عطار -عطار همداني ،</w:t>
      </w:r>
    </w:p>
    <w:p>
      <w:pPr>
        <w:pStyle w:val="BookText"/>
      </w:pPr>
      <w:r>
        <w:rPr>
          <w:rFonts w:ascii="IRNazanin" w:hAnsi="IRNazanin" w:eastAsia="IRNazanin" w:cs="IRNazanin"/>
          <w:lang w:bidi="fa-IR"/>
          <w:color w:val="111111"/>
          <w:sz w:val="28"/>
          <w:szCs w:val="28"/>
          <w:rtl/>
        </w:rPr>
        <w:t xml:space="preserve">حسن بن احمد</w:t>
      </w:r>
    </w:p>
    <w:p>
      <w:pPr>
        <w:pStyle w:val="BookText"/>
      </w:pPr>
      <w:r>
        <w:rPr>
          <w:rFonts w:ascii="Amiri" w:hAnsi="Amiri" w:eastAsia="Amiri" w:cs="Amiri"/>
          <w:lang w:bidi="ar-SA"/>
          <w:color w:val="111111"/>
          <w:sz w:val="28"/>
          <w:szCs w:val="28"/>
          <w:rtl/>
        </w:rPr>
        <w:t xml:space="preserve">حسن بن احمد فارسي- فارسي ، حسن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حسن بن احمد واعظ ازدي نيشابوري - سمرقندي ، حسن بن احمد</w:t>
      </w:r>
    </w:p>
    <w:p>
      <w:pPr>
        <w:pStyle w:val="BookText"/>
      </w:pPr>
      <w:r>
        <w:rPr>
          <w:rFonts w:ascii="Amiri" w:hAnsi="Amiri" w:eastAsia="Amiri" w:cs="Amiri"/>
          <w:lang w:bidi="ar-SA"/>
          <w:color w:val="111111"/>
          <w:sz w:val="28"/>
          <w:szCs w:val="28"/>
          <w:rtl/>
        </w:rPr>
        <w:t xml:space="preserve">حسن بن احمد همداني ابن حائك - ابن</w:t>
      </w:r>
    </w:p>
    <w:p>
      <w:pPr>
        <w:pStyle w:val="BookText"/>
      </w:pPr>
      <w:r>
        <w:rPr>
          <w:rFonts w:ascii="Amiri" w:hAnsi="Amiri" w:eastAsia="Amiri" w:cs="Amiri"/>
          <w:lang w:bidi="ar-SA"/>
          <w:color w:val="111111"/>
          <w:sz w:val="28"/>
          <w:szCs w:val="28"/>
          <w:rtl/>
        </w:rPr>
        <w:t xml:space="preserve">حائك ، حسن بن احمد</w:t>
      </w:r>
    </w:p>
    <w:p>
      <w:pPr>
        <w:pStyle w:val="BookText"/>
      </w:pPr>
      <w:r>
        <w:rPr>
          <w:rFonts w:ascii="Amiri" w:hAnsi="Amiri" w:eastAsia="Amiri" w:cs="Amiri"/>
          <w:lang w:bidi="ar-SA"/>
          <w:color w:val="111111"/>
          <w:sz w:val="28"/>
          <w:szCs w:val="28"/>
          <w:rtl/>
        </w:rPr>
        <w:t xml:space="preserve">حسن بن اسد فارقي- فارقي ، حسن بن</w:t>
      </w:r>
    </w:p>
    <w:p>
      <w:pPr>
        <w:pStyle w:val="BookText"/>
      </w:pPr>
      <w:r>
        <w:rPr>
          <w:rFonts w:ascii="IRNazanin" w:hAnsi="IRNazanin" w:eastAsia="IRNazanin" w:cs="IRNazanin"/>
          <w:lang w:bidi="fa-IR"/>
          <w:color w:val="111111"/>
          <w:sz w:val="28"/>
          <w:szCs w:val="28"/>
          <w:rtl/>
        </w:rPr>
        <w:t xml:space="preserve">اسد</w:t>
      </w:r>
    </w:p>
    <w:p>
      <w:pPr>
        <w:pStyle w:val="BookText"/>
      </w:pPr>
      <w:r>
        <w:rPr>
          <w:rFonts w:ascii="Amiri" w:hAnsi="Amiri" w:eastAsia="Amiri" w:cs="Amiri"/>
          <w:lang w:bidi="ar-SA"/>
          <w:color w:val="111111"/>
          <w:sz w:val="28"/>
          <w:szCs w:val="28"/>
          <w:rtl/>
        </w:rPr>
        <w:t xml:space="preserve">حسن بن اسدالله- انصاري ، حسن بن</w:t>
      </w:r>
    </w:p>
    <w:p>
      <w:pPr>
        <w:pStyle w:val="BookText"/>
      </w:pPr>
      <w:r>
        <w:rPr>
          <w:rFonts w:ascii="IRNazanin" w:hAnsi="IRNazanin" w:eastAsia="IRNazanin" w:cs="IRNazanin"/>
          <w:lang w:bidi="fa-IR"/>
          <w:color w:val="111111"/>
          <w:sz w:val="28"/>
          <w:szCs w:val="28"/>
          <w:rtl/>
        </w:rPr>
        <w:t xml:space="preserve">اسد الله</w:t>
      </w:r>
    </w:p>
    <w:p>
      <w:pPr>
        <w:pStyle w:val="BookText"/>
      </w:pPr>
      <w:r>
        <w:rPr>
          <w:rFonts w:ascii="Amiri" w:hAnsi="Amiri" w:eastAsia="Amiri" w:cs="Amiri"/>
          <w:lang w:bidi="ar-SA"/>
          <w:color w:val="111111"/>
          <w:sz w:val="28"/>
          <w:szCs w:val="28"/>
          <w:rtl/>
        </w:rPr>
        <w:t xml:space="preserve">حسن بن اسماعيل الضراب - ضراب ،</w:t>
      </w:r>
    </w:p>
    <w:p>
      <w:pPr>
        <w:pStyle w:val="BookText"/>
      </w:pPr>
      <w:r>
        <w:rPr>
          <w:rFonts w:ascii="Amiri" w:hAnsi="Amiri" w:eastAsia="Amiri" w:cs="Amiri"/>
          <w:lang w:bidi="ar-SA"/>
          <w:color w:val="111111"/>
          <w:sz w:val="28"/>
          <w:szCs w:val="28"/>
          <w:rtl/>
        </w:rPr>
        <w:t xml:space="preserve">حسن بن اسماعيل</w:t>
      </w:r>
    </w:p>
    <w:p>
      <w:pPr>
        <w:pStyle w:val="BookText"/>
      </w:pPr>
      <w:r>
        <w:rPr>
          <w:rFonts w:ascii="Amiri" w:hAnsi="Amiri" w:eastAsia="Amiri" w:cs="Amiri"/>
          <w:lang w:bidi="ar-SA"/>
          <w:color w:val="111111"/>
          <w:sz w:val="28"/>
          <w:szCs w:val="28"/>
          <w:rtl/>
        </w:rPr>
        <w:t xml:space="preserve">حسن بن اسماعيل حسيني قمي حائري -حسيني قمي ، حسن بن اسماعيل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5" w:name="pg7742_70118"/>
    <w:bookmarkEnd w:id="365"/>
    <w:p>
      <w:pPr>
        <w:pStyle w:val="BookText"/>
      </w:pPr>
      <w:r>
        <w:rPr>
          <w:rFonts w:ascii="Amiri" w:hAnsi="Amiri" w:eastAsia="Amiri" w:cs="Amiri"/>
          <w:lang w:bidi="ar-SA"/>
          <w:color w:val="111111"/>
          <w:sz w:val="28"/>
          <w:szCs w:val="28"/>
          <w:rtl/>
        </w:rPr>
        <w:t xml:space="preserve">حسن بن اسماعيل در كزلي -در كزلي</w:t>
      </w:r>
    </w:p>
    <w:p>
      <w:pPr>
        <w:pStyle w:val="BookText"/>
      </w:pPr>
      <w:r>
        <w:rPr>
          <w:rFonts w:ascii="IRNazanin" w:hAnsi="IRNazanin" w:eastAsia="IRNazanin" w:cs="IRNazanin"/>
          <w:lang w:bidi="fa-IR"/>
          <w:color w:val="111111"/>
          <w:sz w:val="28"/>
          <w:szCs w:val="28"/>
          <w:rtl/>
        </w:rPr>
        <w:t xml:space="preserve">حسن بن اسماعیل</w:t>
      </w:r>
    </w:p>
    <w:p>
      <w:pPr>
        <w:pStyle w:val="BookText"/>
      </w:pPr>
      <w:r>
        <w:rPr>
          <w:rFonts w:ascii="Amiri" w:hAnsi="Amiri" w:eastAsia="Amiri" w:cs="Amiri"/>
          <w:lang w:bidi="ar-SA"/>
          <w:color w:val="111111"/>
          <w:sz w:val="28"/>
          <w:szCs w:val="28"/>
          <w:rtl/>
        </w:rPr>
        <w:t xml:space="preserve">حسن بن اسماعيل دلكزنلي- دلكزنلي</w:t>
      </w:r>
    </w:p>
    <w:p>
      <w:pPr>
        <w:pStyle w:val="BookText"/>
      </w:pPr>
      <w:r>
        <w:rPr>
          <w:rFonts w:ascii="IRNazanin" w:hAnsi="IRNazanin" w:eastAsia="IRNazanin" w:cs="IRNazanin"/>
          <w:lang w:bidi="fa-IR"/>
          <w:color w:val="111111"/>
          <w:sz w:val="28"/>
          <w:szCs w:val="28"/>
          <w:rtl/>
        </w:rPr>
        <w:t xml:space="preserve">حسن بن اسماعیل</w:t>
      </w:r>
    </w:p>
    <w:p>
      <w:pPr>
        <w:pStyle w:val="BookText"/>
      </w:pPr>
      <w:r>
        <w:rPr>
          <w:rFonts w:ascii="Amiri" w:hAnsi="Amiri" w:eastAsia="Amiri" w:cs="Amiri"/>
          <w:lang w:bidi="ar-SA"/>
          <w:color w:val="111111"/>
          <w:sz w:val="28"/>
          <w:szCs w:val="28"/>
          <w:rtl/>
        </w:rPr>
        <w:t xml:space="preserve">حسن بن المرحوم ملاحيدر- حسن بن</w:t>
      </w:r>
    </w:p>
    <w:p>
      <w:pPr>
        <w:pStyle w:val="BookText"/>
      </w:pPr>
      <w:r>
        <w:rPr>
          <w:rFonts w:ascii="Amiri" w:hAnsi="Amiri" w:eastAsia="Amiri" w:cs="Amiri"/>
          <w:lang w:bidi="ar-SA"/>
          <w:color w:val="111111"/>
          <w:sz w:val="28"/>
          <w:szCs w:val="28"/>
          <w:rtl/>
        </w:rPr>
        <w:t xml:space="preserve">ملا حيدر</w:t>
      </w:r>
    </w:p>
    <w:p>
      <w:pPr>
        <w:pStyle w:val="BookText"/>
      </w:pPr>
      <w:r>
        <w:rPr>
          <w:rFonts w:ascii="Amiri" w:hAnsi="Amiri" w:eastAsia="Amiri" w:cs="Amiri"/>
          <w:lang w:bidi="ar-SA"/>
          <w:color w:val="111111"/>
          <w:sz w:val="28"/>
          <w:szCs w:val="28"/>
          <w:rtl/>
        </w:rPr>
        <w:t xml:space="preserve">حسن بن امان الله دهلوي عظيم آبادي- دهلوي ، حسن بن امان الله</w:t>
      </w:r>
    </w:p>
    <w:p>
      <w:pPr>
        <w:pStyle w:val="BookText"/>
      </w:pPr>
      <w:r>
        <w:rPr>
          <w:rFonts w:ascii="Amiri" w:hAnsi="Amiri" w:eastAsia="Amiri" w:cs="Amiri"/>
          <w:lang w:bidi="ar-SA"/>
          <w:color w:val="111111"/>
          <w:sz w:val="28"/>
          <w:szCs w:val="28"/>
          <w:rtl/>
        </w:rPr>
        <w:t xml:space="preserve">حسن بن توبي- ابن توبي ، حسن بن توبي</w:t>
      </w:r>
    </w:p>
    <w:p>
      <w:pPr>
        <w:pStyle w:val="BookText"/>
      </w:pPr>
      <w:r>
        <w:rPr>
          <w:rFonts w:ascii="IRNazanin" w:hAnsi="IRNazanin" w:eastAsia="IRNazanin" w:cs="IRNazanin"/>
          <w:lang w:bidi="fa-IR"/>
          <w:color w:val="111111"/>
          <w:sz w:val="28"/>
          <w:szCs w:val="28"/>
          <w:rtl/>
        </w:rPr>
        <w:t xml:space="preserve">حسن بن جابر هبل -هبل ، حسن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حسن بن جرجيس موصلي شافعي قادري -شريف موصلي ، حسن بن جرجيس</w:t>
      </w:r>
    </w:p>
    <w:p>
      <w:pPr>
        <w:pStyle w:val="BookText"/>
      </w:pPr>
      <w:r>
        <w:rPr>
          <w:rFonts w:ascii="IRNazanin" w:hAnsi="IRNazanin" w:eastAsia="IRNazanin" w:cs="IRNazanin"/>
          <w:lang w:bidi="fa-IR"/>
          <w:color w:val="111111"/>
          <w:sz w:val="28"/>
          <w:szCs w:val="28"/>
          <w:rtl/>
        </w:rPr>
        <w:t xml:space="preserve">حسن بن جعفر الواعظ- وزان ، حسن بن</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حسن بن جعفر كاشف الغطاء- آل</w:t>
      </w:r>
    </w:p>
    <w:p>
      <w:pPr>
        <w:pStyle w:val="BookText"/>
      </w:pPr>
      <w:r>
        <w:rPr>
          <w:rFonts w:ascii="Amiri" w:hAnsi="Amiri" w:eastAsia="Amiri" w:cs="Amiri"/>
          <w:lang w:bidi="ar-SA"/>
          <w:color w:val="111111"/>
          <w:sz w:val="28"/>
          <w:szCs w:val="28"/>
          <w:rtl/>
        </w:rPr>
        <w:t xml:space="preserve">كاشف الغطاء ، حسن بن جعفر</w:t>
      </w:r>
    </w:p>
    <w:p>
      <w:pPr>
        <w:pStyle w:val="BookText"/>
      </w:pPr>
      <w:r>
        <w:rPr>
          <w:rFonts w:ascii="Amiri" w:hAnsi="Amiri" w:eastAsia="Amiri" w:cs="Amiri"/>
          <w:lang w:bidi="ar-SA"/>
          <w:color w:val="111111"/>
          <w:sz w:val="28"/>
          <w:szCs w:val="28"/>
          <w:rtl/>
        </w:rPr>
        <w:t xml:space="preserve">حسن بن جعفر كركي- كركي ، حسن بن جعفر</w:t>
      </w:r>
    </w:p>
    <w:p>
      <w:pPr>
        <w:pStyle w:val="BookText"/>
      </w:pPr>
      <w:r>
        <w:rPr>
          <w:rFonts w:ascii="Amiri" w:hAnsi="Amiri" w:eastAsia="Amiri" w:cs="Amiri"/>
          <w:lang w:bidi="ar-SA"/>
          <w:color w:val="111111"/>
          <w:sz w:val="28"/>
          <w:szCs w:val="28"/>
          <w:rtl/>
        </w:rPr>
        <w:t xml:space="preserve">حسن بن حسين البزاز -بزاز ، حسن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حسن بن حسين بن احمد ابن الطولوني- ابن طولوني ، حسن بن حسين</w:t>
      </w:r>
    </w:p>
    <w:p>
      <w:pPr>
        <w:pStyle w:val="BookText"/>
      </w:pPr>
      <w:r>
        <w:rPr>
          <w:rFonts w:ascii="Amiri" w:hAnsi="Amiri" w:eastAsia="Amiri" w:cs="Amiri"/>
          <w:lang w:bidi="ar-SA"/>
          <w:color w:val="111111"/>
          <w:sz w:val="28"/>
          <w:szCs w:val="28"/>
          <w:rtl/>
        </w:rPr>
        <w:t xml:space="preserve">حسن بن حسين التالشي -تالشي ، حسن</w:t>
      </w:r>
    </w:p>
    <w:p>
      <w:pPr>
        <w:pStyle w:val="BookText"/>
      </w:pPr>
      <w:r>
        <w:rPr>
          <w:rFonts w:ascii="Amiri" w:hAnsi="Amiri" w:eastAsia="Amiri" w:cs="Amiri"/>
          <w:lang w:bidi="ar-SA"/>
          <w:color w:val="111111"/>
          <w:sz w:val="28"/>
          <w:szCs w:val="28"/>
          <w:rtl/>
        </w:rPr>
        <w:t xml:space="preserve">بن حسين</w:t>
      </w:r>
    </w:p>
    <w:p>
      <w:pPr>
        <w:pStyle w:val="Heading2"/>
      </w:pPr>
      <w:bookmarkStart w:id="3533" w:name="_Toc2635"/>
      <w:r>
        <w:t>حسن بن حسين بن محمّد قرن 10 ه-</w:t>
      </w:r>
      <w:bookmarkEnd w:id="3533"/>
    </w:p>
    <w:p>
      <w:pPr>
        <w:pStyle w:val="BookText"/>
      </w:pPr>
      <w:r>
        <w:rPr>
          <w:rFonts w:ascii="Amiri" w:hAnsi="Amiri" w:eastAsia="Amiri" w:cs="Amiri"/>
          <w:lang w:bidi="ar-SA"/>
          <w:color w:val="111111"/>
          <w:sz w:val="28"/>
          <w:szCs w:val="28"/>
          <w:rtl/>
        </w:rPr>
        <w:t xml:space="preserve">حاشية حاشية الخيالي على شرح</w:t>
      </w:r>
    </w:p>
    <w:p>
      <w:pPr>
        <w:pStyle w:val="BookText"/>
      </w:pPr>
      <w:r>
        <w:rPr>
          <w:rFonts w:ascii="Amiri" w:hAnsi="Amiri" w:eastAsia="Amiri" w:cs="Amiri"/>
          <w:lang w:bidi="ar-SA"/>
          <w:color w:val="111111"/>
          <w:sz w:val="28"/>
          <w:szCs w:val="28"/>
          <w:rtl/>
        </w:rPr>
        <w:t xml:space="preserve">العقائد النسفية، ج 5، ص 808.</w:t>
      </w:r>
    </w:p>
    <w:p>
      <w:pPr>
        <w:pStyle w:val="BookText"/>
      </w:pPr>
      <w:r>
        <w:rPr>
          <w:rFonts w:ascii="Amiri" w:hAnsi="Amiri" w:eastAsia="Amiri" w:cs="Amiri"/>
          <w:lang w:bidi="ar-SA"/>
          <w:color w:val="111111"/>
          <w:sz w:val="28"/>
          <w:szCs w:val="28"/>
          <w:rtl/>
        </w:rPr>
        <w:t xml:space="preserve">حسن بن حسين شيعي سبزواري- شيعي</w:t>
      </w:r>
    </w:p>
    <w:p>
      <w:pPr>
        <w:pStyle w:val="BookText"/>
      </w:pPr>
      <w:r>
        <w:rPr>
          <w:rFonts w:ascii="Amiri" w:hAnsi="Amiri" w:eastAsia="Amiri" w:cs="Amiri"/>
          <w:lang w:bidi="ar-SA"/>
          <w:color w:val="111111"/>
          <w:sz w:val="28"/>
          <w:szCs w:val="28"/>
          <w:rtl/>
        </w:rPr>
        <w:t xml:space="preserve">سبزواري ، حسن بن حسين</w:t>
      </w:r>
    </w:p>
    <w:p>
      <w:pPr>
        <w:pStyle w:val="BookText"/>
      </w:pPr>
      <w:r>
        <w:rPr>
          <w:rFonts w:ascii="Amiri" w:hAnsi="Amiri" w:eastAsia="Amiri" w:cs="Amiri"/>
          <w:lang w:bidi="ar-SA"/>
          <w:color w:val="111111"/>
          <w:sz w:val="28"/>
          <w:szCs w:val="28"/>
          <w:rtl/>
        </w:rPr>
        <w:t xml:space="preserve">حسن بن حسين نازلي- نازلي ، حسن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حسن بن حمزه بلاسي شيرازي- بلاسي</w:t>
      </w:r>
    </w:p>
    <w:p>
      <w:pPr>
        <w:pStyle w:val="BookText"/>
      </w:pPr>
      <w:r>
        <w:rPr>
          <w:rFonts w:ascii="Amiri" w:hAnsi="Amiri" w:eastAsia="Amiri" w:cs="Amiri"/>
          <w:lang w:bidi="ar-SA"/>
          <w:color w:val="111111"/>
          <w:sz w:val="28"/>
          <w:szCs w:val="28"/>
          <w:rtl/>
        </w:rPr>
        <w:t xml:space="preserve">شيرازي ، حسن بن حمزه</w:t>
      </w:r>
    </w:p>
    <w:p>
      <w:pPr>
        <w:pStyle w:val="BookText"/>
      </w:pPr>
      <w:r>
        <w:rPr>
          <w:rFonts w:ascii="Amiri" w:hAnsi="Amiri" w:eastAsia="Amiri" w:cs="Amiri"/>
          <w:lang w:bidi="ar-SA"/>
          <w:color w:val="111111"/>
          <w:sz w:val="28"/>
          <w:szCs w:val="28"/>
          <w:rtl/>
        </w:rPr>
        <w:t xml:space="preserve">حسن بن خليل كراديسي - كراديسي ،</w:t>
      </w:r>
    </w:p>
    <w:p>
      <w:pPr>
        <w:pStyle w:val="BookText"/>
      </w:pPr>
      <w:r>
        <w:rPr>
          <w:rFonts w:ascii="Amiri" w:hAnsi="Amiri" w:eastAsia="Amiri" w:cs="Amiri"/>
          <w:lang w:bidi="ar-SA"/>
          <w:color w:val="111111"/>
          <w:sz w:val="28"/>
          <w:szCs w:val="28"/>
          <w:rtl/>
        </w:rPr>
        <w:t xml:space="preserve">حسن بن خليل</w:t>
      </w:r>
    </w:p>
    <w:p>
      <w:pPr>
        <w:pStyle w:val="BookText"/>
      </w:pPr>
      <w:r>
        <w:rPr>
          <w:rFonts w:ascii="Amiri" w:hAnsi="Amiri" w:eastAsia="Amiri" w:cs="Amiri"/>
          <w:lang w:bidi="ar-SA"/>
          <w:color w:val="111111"/>
          <w:sz w:val="28"/>
          <w:szCs w:val="28"/>
          <w:rtl/>
        </w:rPr>
        <w:t xml:space="preserve">حسن بن دلدار علي نقوي نصيرآبادي -نقوي ، حسن بن دلدار علي</w:t>
      </w:r>
    </w:p>
    <w:p>
      <w:pPr>
        <w:pStyle w:val="BookText"/>
      </w:pPr>
      <w:r>
        <w:rPr>
          <w:rFonts w:ascii="Amiri" w:hAnsi="Amiri" w:eastAsia="Amiri" w:cs="Amiri"/>
          <w:lang w:bidi="ar-SA"/>
          <w:color w:val="111111"/>
          <w:sz w:val="28"/>
          <w:szCs w:val="28"/>
          <w:rtl/>
        </w:rPr>
        <w:t xml:space="preserve">حسن بن راشد حلي -تاج الدين حلي ،</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حسن بن راشد حلي ابن راشد -تاج الدين</w:t>
      </w:r>
    </w:p>
    <w:p>
      <w:pPr>
        <w:pStyle w:val="BookText"/>
      </w:pPr>
      <w:r>
        <w:rPr>
          <w:rFonts w:ascii="Amiri" w:hAnsi="Amiri" w:eastAsia="Amiri" w:cs="Amiri"/>
          <w:lang w:bidi="ar-SA"/>
          <w:color w:val="111111"/>
          <w:sz w:val="28"/>
          <w:szCs w:val="28"/>
          <w:rtl/>
        </w:rPr>
        <w:t xml:space="preserve">حلي ، حسن بن محمد</w:t>
      </w:r>
    </w:p>
    <w:p>
      <w:pPr>
        <w:pStyle w:val="BookText"/>
      </w:pPr>
      <w:r>
        <w:rPr>
          <w:rFonts w:ascii="Amiri" w:hAnsi="Amiri" w:eastAsia="Amiri" w:cs="Amiri"/>
          <w:lang w:bidi="ar-SA"/>
          <w:color w:val="111111"/>
          <w:sz w:val="28"/>
          <w:szCs w:val="28"/>
          <w:rtl/>
        </w:rPr>
        <w:t xml:space="preserve">حسن بن رشيق قيرواني- قيرواني ، حسن</w:t>
      </w:r>
    </w:p>
    <w:p>
      <w:pPr>
        <w:pStyle w:val="BookText"/>
      </w:pPr>
      <w:r>
        <w:rPr>
          <w:rFonts w:ascii="Amiri" w:hAnsi="Amiri" w:eastAsia="Amiri" w:cs="Amiri"/>
          <w:lang w:bidi="ar-SA"/>
          <w:color w:val="111111"/>
          <w:sz w:val="28"/>
          <w:szCs w:val="28"/>
          <w:rtl/>
        </w:rPr>
        <w:t xml:space="preserve">بن رشيق</w:t>
      </w:r>
    </w:p>
    <w:p>
      <w:pPr>
        <w:pStyle w:val="BookText"/>
      </w:pPr>
      <w:r>
        <w:rPr>
          <w:rFonts w:ascii="Amiri" w:hAnsi="Amiri" w:eastAsia="Amiri" w:cs="Amiri"/>
          <w:lang w:bidi="ar-SA"/>
          <w:color w:val="111111"/>
          <w:sz w:val="28"/>
          <w:szCs w:val="28"/>
          <w:rtl/>
        </w:rPr>
        <w:t xml:space="preserve">حسن بن رضا شيرواني - شيرواني ، حسن</w:t>
      </w:r>
    </w:p>
    <w:p>
      <w:pPr>
        <w:pStyle w:val="BookText"/>
      </w:pPr>
      <w:r>
        <w:rPr>
          <w:rFonts w:ascii="IRNazanin" w:hAnsi="IRNazanin" w:eastAsia="IRNazanin" w:cs="IRNazanin"/>
          <w:lang w:bidi="fa-IR"/>
          <w:color w:val="111111"/>
          <w:sz w:val="28"/>
          <w:szCs w:val="28"/>
          <w:rtl/>
        </w:rPr>
        <w:t xml:space="preserve">بن رضا حسن بن زکردان فارسي- فارسي ، حسن</w:t>
      </w:r>
    </w:p>
    <w:p>
      <w:pPr>
        <w:pStyle w:val="BookText"/>
      </w:pPr>
      <w:r>
        <w:rPr>
          <w:rFonts w:ascii="IRNazanin" w:hAnsi="IRNazanin" w:eastAsia="IRNazanin" w:cs="IRNazanin"/>
          <w:lang w:bidi="fa-IR"/>
          <w:color w:val="111111"/>
          <w:sz w:val="28"/>
          <w:szCs w:val="28"/>
          <w:rtl/>
        </w:rPr>
        <w:t xml:space="preserve">بن زکردان</w:t>
      </w:r>
    </w:p>
    <w:p>
      <w:pPr>
        <w:pStyle w:val="BookText"/>
      </w:pPr>
      <w:r>
        <w:rPr>
          <w:rFonts w:ascii="Amiri" w:hAnsi="Amiri" w:eastAsia="Amiri" w:cs="Amiri"/>
          <w:lang w:bidi="ar-SA"/>
          <w:color w:val="111111"/>
          <w:sz w:val="28"/>
          <w:szCs w:val="28"/>
          <w:rtl/>
        </w:rPr>
        <w:t xml:space="preserve">حسن بن زين الدين بن علي شامي ، حسن بن زين الدين</w:t>
      </w:r>
    </w:p>
    <w:p>
      <w:pPr>
        <w:pStyle w:val="BookText"/>
      </w:pPr>
      <w:r>
        <w:rPr>
          <w:rFonts w:ascii="Amiri" w:hAnsi="Amiri" w:eastAsia="Amiri" w:cs="Amiri"/>
          <w:lang w:bidi="ar-SA"/>
          <w:color w:val="111111"/>
          <w:sz w:val="28"/>
          <w:szCs w:val="28"/>
          <w:rtl/>
        </w:rPr>
        <w:t xml:space="preserve">عاملي -عاملي</w:t>
      </w:r>
    </w:p>
    <w:p>
      <w:pPr>
        <w:pStyle w:val="Heading2"/>
      </w:pPr>
      <w:bookmarkStart w:id="3534" w:name="_Toc2636"/>
      <w:r>
        <w:t>حسن بن سعود</w:t>
      </w:r>
      <w:bookmarkEnd w:id="3534"/>
    </w:p>
    <w:p>
      <w:pPr>
        <w:pStyle w:val="BookText"/>
      </w:pPr>
      <w:r>
        <w:rPr>
          <w:rFonts w:ascii="Amiri" w:hAnsi="Amiri" w:eastAsia="Amiri" w:cs="Amiri"/>
          <w:lang w:bidi="ar-SA"/>
          <w:color w:val="111111"/>
          <w:sz w:val="28"/>
          <w:szCs w:val="28"/>
          <w:rtl/>
        </w:rPr>
        <w:t xml:space="preserve">اجازة للسيّد عبد القادر بن محمّد المدرس( في المدرسة السليمانية)، ج1،</w:t>
      </w:r>
    </w:p>
    <w:p>
      <w:pPr>
        <w:pStyle w:val="BookText"/>
      </w:pPr>
      <w:r>
        <w:rPr>
          <w:rFonts w:ascii="IRNazanin" w:hAnsi="IRNazanin" w:eastAsia="IRNazanin" w:cs="IRNazanin"/>
          <w:lang w:bidi="fa-IR"/>
          <w:color w:val="111111"/>
          <w:sz w:val="28"/>
          <w:szCs w:val="28"/>
          <w:rtl/>
        </w:rPr>
        <w:t xml:space="preserve">ص 252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سليمان بحراني حلي -بحراني ،</w:t>
      </w:r>
    </w:p>
    <w:p>
      <w:pPr>
        <w:pStyle w:val="BookText"/>
      </w:pPr>
      <w:r>
        <w:rPr>
          <w:rFonts w:ascii="Amiri" w:hAnsi="Amiri" w:eastAsia="Amiri" w:cs="Amiri"/>
          <w:lang w:bidi="ar-SA"/>
          <w:color w:val="111111"/>
          <w:sz w:val="28"/>
          <w:szCs w:val="28"/>
          <w:rtl/>
        </w:rPr>
        <w:t xml:space="preserve">حسن بن سليمان</w:t>
      </w:r>
    </w:p>
    <w:p>
      <w:pPr>
        <w:pStyle w:val="BookText"/>
      </w:pPr>
      <w:r>
        <w:rPr>
          <w:rFonts w:ascii="Amiri" w:hAnsi="Amiri" w:eastAsia="Amiri" w:cs="Amiri"/>
          <w:lang w:bidi="ar-SA"/>
          <w:color w:val="111111"/>
          <w:sz w:val="28"/>
          <w:szCs w:val="28"/>
          <w:rtl/>
        </w:rPr>
        <w:t xml:space="preserve">حسن بن سليمان بن خالد حلي -حلي ،</w:t>
      </w:r>
    </w:p>
    <w:p>
      <w:pPr>
        <w:pStyle w:val="BookText"/>
      </w:pPr>
      <w:r>
        <w:rPr>
          <w:rFonts w:ascii="Amiri" w:hAnsi="Amiri" w:eastAsia="Amiri" w:cs="Amiri"/>
          <w:lang w:bidi="ar-SA"/>
          <w:color w:val="111111"/>
          <w:sz w:val="28"/>
          <w:szCs w:val="28"/>
          <w:rtl/>
        </w:rPr>
        <w:t xml:space="preserve">حسن بن سليمان</w:t>
      </w:r>
    </w:p>
    <w:p>
      <w:pPr>
        <w:pStyle w:val="BookText"/>
      </w:pPr>
      <w:r>
        <w:rPr>
          <w:rFonts w:ascii="Amiri" w:hAnsi="Amiri" w:eastAsia="Amiri" w:cs="Amiri"/>
          <w:lang w:bidi="ar-SA"/>
          <w:color w:val="111111"/>
          <w:sz w:val="28"/>
          <w:szCs w:val="28"/>
          <w:rtl/>
        </w:rPr>
        <w:t xml:space="preserve">حسن بن سليمان عاملي- عاملي ، حسن</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حسن بن شاه قاسم نوربخشي- نوربخش</w:t>
      </w:r>
    </w:p>
    <w:p>
      <w:pPr>
        <w:pStyle w:val="BookText"/>
      </w:pPr>
      <w:r>
        <w:rPr>
          <w:rFonts w:ascii="IRNazanin" w:hAnsi="IRNazanin" w:eastAsia="IRNazanin" w:cs="IRNazanin"/>
          <w:lang w:bidi="fa-IR"/>
          <w:color w:val="111111"/>
          <w:sz w:val="28"/>
          <w:szCs w:val="28"/>
          <w:rtl/>
        </w:rPr>
        <w:t xml:space="preserve">حسن بن قاسم</w:t>
      </w:r>
    </w:p>
    <w:p>
      <w:pPr>
        <w:pStyle w:val="BookText"/>
      </w:pPr>
      <w:r>
        <w:rPr>
          <w:rFonts w:ascii="Amiri" w:hAnsi="Amiri" w:eastAsia="Amiri" w:cs="Amiri"/>
          <w:lang w:bidi="ar-SA"/>
          <w:color w:val="111111"/>
          <w:sz w:val="28"/>
          <w:szCs w:val="28"/>
          <w:rtl/>
        </w:rPr>
        <w:t xml:space="preserve">حسن بن شجاع توني- حافظ توني ، حسين</w:t>
      </w:r>
    </w:p>
    <w:p>
      <w:pPr>
        <w:pStyle w:val="BookText"/>
      </w:pPr>
      <w:r>
        <w:rPr>
          <w:rFonts w:ascii="IRNazanin" w:hAnsi="IRNazanin" w:eastAsia="IRNazanin" w:cs="IRNazanin"/>
          <w:lang w:bidi="fa-IR"/>
          <w:color w:val="111111"/>
          <w:sz w:val="28"/>
          <w:szCs w:val="28"/>
          <w:rtl/>
        </w:rPr>
        <w:t xml:space="preserve">بن شجاع</w:t>
      </w:r>
    </w:p>
    <w:p>
      <w:pPr>
        <w:pStyle w:val="BookText"/>
      </w:pPr>
      <w:r>
        <w:rPr>
          <w:rFonts w:ascii="Amiri" w:hAnsi="Amiri" w:eastAsia="Amiri" w:cs="Amiri"/>
          <w:lang w:bidi="ar-SA"/>
          <w:color w:val="111111"/>
          <w:sz w:val="28"/>
          <w:szCs w:val="28"/>
          <w:rtl/>
        </w:rPr>
        <w:t xml:space="preserve">حسن بن شرف تبريزي -تبريزي ، حسن</w:t>
      </w:r>
    </w:p>
    <w:p>
      <w:pPr>
        <w:pStyle w:val="BookText"/>
      </w:pPr>
      <w:r>
        <w:rPr>
          <w:rFonts w:ascii="IRNazanin" w:hAnsi="IRNazanin" w:eastAsia="IRNazanin" w:cs="IRNazanin"/>
          <w:lang w:bidi="fa-IR"/>
          <w:color w:val="111111"/>
          <w:sz w:val="28"/>
          <w:szCs w:val="28"/>
          <w:rtl/>
        </w:rPr>
        <w:t xml:space="preserve">بن شرف</w:t>
      </w:r>
    </w:p>
    <w:p>
      <w:pPr>
        <w:pStyle w:val="BookText"/>
      </w:pPr>
      <w:r>
        <w:rPr>
          <w:rFonts w:ascii="Amiri" w:hAnsi="Amiri" w:eastAsia="Amiri" w:cs="Amiri"/>
          <w:lang w:bidi="ar-SA"/>
          <w:color w:val="111111"/>
          <w:sz w:val="28"/>
          <w:szCs w:val="28"/>
          <w:rtl/>
        </w:rPr>
        <w:t xml:space="preserve">حسن بن طرخان كافي آق حصاري- كافي</w:t>
      </w:r>
    </w:p>
    <w:p>
      <w:pPr>
        <w:pStyle w:val="BookText"/>
      </w:pPr>
      <w:r>
        <w:rPr>
          <w:rFonts w:ascii="Amiri" w:hAnsi="Amiri" w:eastAsia="Amiri" w:cs="Amiri"/>
          <w:lang w:bidi="ar-SA"/>
          <w:color w:val="111111"/>
          <w:sz w:val="28"/>
          <w:szCs w:val="28"/>
          <w:rtl/>
        </w:rPr>
        <w:t xml:space="preserve">آق حصاري ، حسن بن طرخان</w:t>
      </w:r>
    </w:p>
    <w:p>
      <w:pPr>
        <w:pStyle w:val="BookText"/>
      </w:pPr>
      <w:r>
        <w:rPr>
          <w:rFonts w:ascii="Amiri" w:hAnsi="Amiri" w:eastAsia="Amiri" w:cs="Amiri"/>
          <w:lang w:bidi="ar-SA"/>
          <w:color w:val="111111"/>
          <w:sz w:val="28"/>
          <w:szCs w:val="28"/>
          <w:rtl/>
        </w:rPr>
        <w:t xml:space="preserve">حسن بن عبد الباقي الموصلي- عمري ،</w:t>
      </w:r>
    </w:p>
    <w:p>
      <w:pPr>
        <w:pStyle w:val="BookText"/>
      </w:pPr>
      <w:r>
        <w:rPr>
          <w:rFonts w:ascii="Amiri" w:hAnsi="Amiri" w:eastAsia="Amiri" w:cs="Amiri"/>
          <w:lang w:bidi="ar-SA"/>
          <w:color w:val="111111"/>
          <w:sz w:val="28"/>
          <w:szCs w:val="28"/>
          <w:rtl/>
        </w:rPr>
        <w:t xml:space="preserve">حسن بن عبد الباقي</w:t>
      </w:r>
    </w:p>
    <w:p>
      <w:pPr>
        <w:pStyle w:val="BookText"/>
      </w:pPr>
      <w:r>
        <w:rPr>
          <w:rFonts w:ascii="Amiri" w:hAnsi="Amiri" w:eastAsia="Amiri" w:cs="Amiri"/>
          <w:lang w:bidi="ar-SA"/>
          <w:color w:val="111111"/>
          <w:sz w:val="28"/>
          <w:szCs w:val="28"/>
          <w:rtl/>
        </w:rPr>
        <w:t xml:space="preserve">حسن بن عبد الرزاق لاهيجي قمي- لاهيجي ، حسن بن عبدالرزاق</w:t>
      </w:r>
    </w:p>
    <w:p>
      <w:pPr>
        <w:pStyle w:val="BookText"/>
      </w:pPr>
      <w:r>
        <w:rPr>
          <w:rFonts w:ascii="Amiri" w:hAnsi="Amiri" w:eastAsia="Amiri" w:cs="Amiri"/>
          <w:lang w:bidi="ar-SA"/>
          <w:color w:val="111111"/>
          <w:sz w:val="28"/>
          <w:szCs w:val="28"/>
          <w:rtl/>
        </w:rPr>
        <w:t xml:space="preserve">حسن بن عبدالرسول زنوزي خوئي- زنوزي</w:t>
      </w:r>
    </w:p>
    <w:p>
      <w:pPr>
        <w:pStyle w:val="BookText"/>
      </w:pPr>
      <w:r>
        <w:rPr>
          <w:rFonts w:ascii="IRNazanin" w:hAnsi="IRNazanin" w:eastAsia="IRNazanin" w:cs="IRNazanin"/>
          <w:lang w:bidi="fa-IR"/>
          <w:color w:val="111111"/>
          <w:sz w:val="28"/>
          <w:szCs w:val="28"/>
          <w:rtl/>
        </w:rPr>
        <w:t xml:space="preserve">، محمد حسن بن عبدالرسول</w:t>
      </w:r>
    </w:p>
    <w:p>
      <w:pPr>
        <w:pStyle w:val="BookText"/>
      </w:pPr>
      <w:r>
        <w:rPr>
          <w:rFonts w:ascii="Amiri" w:hAnsi="Amiri" w:eastAsia="Amiri" w:cs="Amiri"/>
          <w:lang w:bidi="ar-SA"/>
          <w:color w:val="111111"/>
          <w:sz w:val="28"/>
          <w:szCs w:val="28"/>
          <w:rtl/>
        </w:rPr>
        <w:t xml:space="preserve">حسن بن عبدالصمد سامسوني -سامسوني</w:t>
      </w:r>
    </w:p>
    <w:p>
      <w:pPr>
        <w:pStyle w:val="BookText"/>
      </w:pPr>
      <w:r>
        <w:rPr>
          <w:rFonts w:ascii="IRNazanin" w:hAnsi="IRNazanin" w:eastAsia="IRNazanin" w:cs="IRNazanin"/>
          <w:lang w:bidi="fa-IR"/>
          <w:color w:val="111111"/>
          <w:sz w:val="28"/>
          <w:szCs w:val="28"/>
          <w:rtl/>
        </w:rPr>
        <w:t xml:space="preserve">، حسن بن عبدالصمد</w:t>
      </w:r>
    </w:p>
    <w:p>
      <w:pPr>
        <w:pStyle w:val="BookText"/>
      </w:pPr>
      <w:r>
        <w:rPr>
          <w:rFonts w:ascii="Amiri" w:hAnsi="Amiri" w:eastAsia="Amiri" w:cs="Amiri"/>
          <w:lang w:bidi="ar-SA"/>
          <w:color w:val="111111"/>
          <w:sz w:val="28"/>
          <w:szCs w:val="28"/>
          <w:rtl/>
        </w:rPr>
        <w:t xml:space="preserve">حسن بن عبد القادر جوري- جوري ،</w:t>
      </w:r>
    </w:p>
    <w:p>
      <w:pPr>
        <w:pStyle w:val="BookText"/>
      </w:pPr>
      <w:r>
        <w:rPr>
          <w:rFonts w:ascii="IRNazanin" w:hAnsi="IRNazanin" w:eastAsia="IRNazanin" w:cs="IRNazanin"/>
          <w:lang w:bidi="fa-IR"/>
          <w:color w:val="111111"/>
          <w:sz w:val="28"/>
          <w:szCs w:val="28"/>
          <w:rtl/>
        </w:rPr>
        <w:t xml:space="preserve">حسن بن عبد القادر</w:t>
      </w:r>
    </w:p>
    <w:p>
      <w:pPr>
        <w:pStyle w:val="BookText"/>
      </w:pPr>
      <w:r>
        <w:rPr>
          <w:rFonts w:ascii="Amiri" w:hAnsi="Amiri" w:eastAsia="Amiri" w:cs="Amiri"/>
          <w:lang w:bidi="ar-SA"/>
          <w:color w:val="111111"/>
          <w:sz w:val="28"/>
          <w:szCs w:val="28"/>
          <w:rtl/>
        </w:rPr>
        <w:t xml:space="preserve">حسن بن عبدالله السلمي المعري- ابن ابي</w:t>
      </w:r>
    </w:p>
    <w:p>
      <w:pPr>
        <w:pStyle w:val="BookText"/>
      </w:pPr>
      <w:r>
        <w:rPr>
          <w:rFonts w:ascii="Amiri" w:hAnsi="Amiri" w:eastAsia="Amiri" w:cs="Amiri"/>
          <w:lang w:bidi="ar-SA"/>
          <w:color w:val="111111"/>
          <w:sz w:val="28"/>
          <w:szCs w:val="28"/>
          <w:rtl/>
        </w:rPr>
        <w:t xml:space="preserve">حصينه ، حسن بن عبدالله</w:t>
      </w:r>
    </w:p>
    <w:p>
      <w:pPr>
        <w:pStyle w:val="BookText"/>
      </w:pPr>
      <w:r>
        <w:rPr>
          <w:rFonts w:ascii="Amiri" w:hAnsi="Amiri" w:eastAsia="Amiri" w:cs="Amiri"/>
          <w:lang w:bidi="ar-SA"/>
          <w:color w:val="111111"/>
          <w:sz w:val="28"/>
          <w:szCs w:val="28"/>
          <w:rtl/>
        </w:rPr>
        <w:t xml:space="preserve">حسن بن عبدالله بخشي- بخشي ، حسن</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حسن بن عبدالله بن سعيد عسكري -عسكري ، حسن بن عبدالله</w:t>
      </w:r>
    </w:p>
    <w:p>
      <w:pPr>
        <w:pStyle w:val="BookText"/>
      </w:pPr>
      <w:r>
        <w:rPr>
          <w:rFonts w:ascii="Amiri" w:hAnsi="Amiri" w:eastAsia="Amiri" w:cs="Amiri"/>
          <w:lang w:bidi="ar-SA"/>
          <w:color w:val="111111"/>
          <w:sz w:val="28"/>
          <w:szCs w:val="28"/>
          <w:rtl/>
        </w:rPr>
        <w:t xml:space="preserve">حسن بن عبدالله بن سهل عسكري -ابوهلال عسكري ، حسن بن عبدالله</w:t>
      </w:r>
    </w:p>
    <w:p>
      <w:pPr>
        <w:pStyle w:val="BookText"/>
      </w:pPr>
      <w:r>
        <w:rPr>
          <w:rFonts w:ascii="Amiri" w:hAnsi="Amiri" w:eastAsia="Amiri" w:cs="Amiri"/>
          <w:lang w:bidi="ar-SA"/>
          <w:color w:val="111111"/>
          <w:sz w:val="28"/>
          <w:szCs w:val="28"/>
          <w:rtl/>
        </w:rPr>
        <w:t xml:space="preserve">حسن بن عبدالله صفدي عباسي - عباسي،</w:t>
      </w:r>
    </w:p>
    <w:p>
      <w:pPr>
        <w:pStyle w:val="BookText"/>
      </w:pPr>
      <w:r>
        <w:rPr>
          <w:rFonts w:ascii="IRNazanin" w:hAnsi="IRNazanin" w:eastAsia="IRNazanin" w:cs="IRNazanin"/>
          <w:lang w:bidi="fa-IR"/>
          <w:color w:val="111111"/>
          <w:sz w:val="28"/>
          <w:szCs w:val="28"/>
          <w:rtl/>
        </w:rPr>
        <w:t xml:space="preserve">حسن بن عبدالله</w:t>
      </w:r>
    </w:p>
    <w:p>
      <w:pPr>
        <w:pStyle w:val="BookText"/>
      </w:pPr>
      <w:r>
        <w:rPr>
          <w:rFonts w:ascii="Amiri" w:hAnsi="Amiri" w:eastAsia="Amiri" w:cs="Amiri"/>
          <w:lang w:bidi="ar-SA"/>
          <w:color w:val="111111"/>
          <w:sz w:val="28"/>
          <w:szCs w:val="28"/>
          <w:rtl/>
        </w:rPr>
        <w:t xml:space="preserve">حسن بن عبد الله كافي آق حصاري -كافي</w:t>
      </w:r>
    </w:p>
    <w:p>
      <w:pPr>
        <w:pStyle w:val="BookText"/>
      </w:pPr>
      <w:r>
        <w:rPr>
          <w:rFonts w:ascii="Amiri" w:hAnsi="Amiri" w:eastAsia="Amiri" w:cs="Amiri"/>
          <w:lang w:bidi="ar-SA"/>
          <w:color w:val="111111"/>
          <w:sz w:val="28"/>
          <w:szCs w:val="28"/>
          <w:rtl/>
        </w:rPr>
        <w:t xml:space="preserve">آق حصاري ، حسن بن طرخان</w:t>
      </w:r>
    </w:p>
    <w:p>
      <w:pPr>
        <w:pStyle w:val="BookText"/>
      </w:pPr>
      <w:r>
        <w:rPr>
          <w:rFonts w:ascii="Amiri" w:hAnsi="Amiri" w:eastAsia="Amiri" w:cs="Amiri"/>
          <w:lang w:bidi="ar-SA"/>
          <w:color w:val="111111"/>
          <w:sz w:val="28"/>
          <w:szCs w:val="28"/>
          <w:rtl/>
        </w:rPr>
        <w:t xml:space="preserve">حسن بن عبد الله لغذه اصفهاني -لغده</w:t>
      </w:r>
    </w:p>
    <w:p>
      <w:pPr>
        <w:pStyle w:val="BookText"/>
      </w:pPr>
      <w:r>
        <w:rPr>
          <w:rFonts w:ascii="Amiri" w:hAnsi="Amiri" w:eastAsia="Amiri" w:cs="Amiri"/>
          <w:lang w:bidi="ar-SA"/>
          <w:color w:val="111111"/>
          <w:sz w:val="28"/>
          <w:szCs w:val="28"/>
          <w:rtl/>
        </w:rPr>
        <w:t xml:space="preserve">اصفهاني ، حسن بن عبدالله</w:t>
      </w:r>
    </w:p>
    <w:p>
      <w:pPr>
        <w:pStyle w:val="BookText"/>
      </w:pPr>
      <w:r>
        <w:rPr>
          <w:rFonts w:ascii="Amiri" w:hAnsi="Amiri" w:eastAsia="Amiri" w:cs="Amiri"/>
          <w:lang w:bidi="ar-SA"/>
          <w:color w:val="111111"/>
          <w:sz w:val="28"/>
          <w:szCs w:val="28"/>
          <w:rtl/>
        </w:rPr>
        <w:t xml:space="preserve">حسن بن عبد المطلب اصفهاني- اصفهاني</w:t>
      </w:r>
    </w:p>
    <w:p>
      <w:pPr>
        <w:pStyle w:val="BookText"/>
      </w:pPr>
      <w:r>
        <w:rPr>
          <w:rFonts w:ascii="IRNazanin" w:hAnsi="IRNazanin" w:eastAsia="IRNazanin" w:cs="IRNazanin"/>
          <w:lang w:bidi="fa-IR"/>
          <w:color w:val="111111"/>
          <w:sz w:val="28"/>
          <w:szCs w:val="28"/>
          <w:rtl/>
        </w:rPr>
        <w:t xml:space="preserve">حسن بن عبد المطلب</w:t>
      </w:r>
    </w:p>
    <w:p>
      <w:pPr>
        <w:pStyle w:val="BookText"/>
      </w:pPr>
      <w:r>
        <w:rPr>
          <w:rFonts w:ascii="Amiri" w:hAnsi="Amiri" w:eastAsia="Amiri" w:cs="Amiri"/>
          <w:lang w:bidi="ar-SA"/>
          <w:color w:val="111111"/>
          <w:sz w:val="28"/>
          <w:szCs w:val="28"/>
          <w:rtl/>
        </w:rPr>
        <w:t xml:space="preserve">حسن بن عرفه عبدي بغدادي</w:t>
      </w:r>
    </w:p>
    <w:p>
      <w:pPr>
        <w:pStyle w:val="BookText"/>
      </w:pPr>
      <w:r>
        <w:rPr>
          <w:rFonts w:ascii="Amiri" w:hAnsi="Amiri" w:eastAsia="Amiri" w:cs="Amiri"/>
          <w:lang w:bidi="ar-SA"/>
          <w:color w:val="111111"/>
          <w:sz w:val="28"/>
          <w:szCs w:val="28"/>
          <w:rtl/>
        </w:rPr>
        <w:t xml:space="preserve">مؤدب- عبدي ، حسن بن عرفه</w:t>
      </w:r>
    </w:p>
    <w:p>
      <w:pPr>
        <w:pStyle w:val="BookText"/>
      </w:pPr>
      <w:r>
        <w:rPr>
          <w:rFonts w:ascii="Amiri" w:hAnsi="Amiri" w:eastAsia="Amiri" w:cs="Amiri"/>
          <w:lang w:bidi="ar-SA"/>
          <w:color w:val="111111"/>
          <w:sz w:val="28"/>
          <w:szCs w:val="28"/>
          <w:rtl/>
        </w:rPr>
        <w:t xml:space="preserve">حسن بن علاء الدين- اسود ، حسن بن</w:t>
      </w:r>
    </w:p>
    <w:p>
      <w:pPr>
        <w:pStyle w:val="BookText"/>
      </w:pPr>
      <w:r>
        <w:rPr>
          <w:rFonts w:ascii="Amiri" w:hAnsi="Amiri" w:eastAsia="Amiri" w:cs="Amiri"/>
          <w:lang w:bidi="ar-SA"/>
          <w:color w:val="111111"/>
          <w:sz w:val="28"/>
          <w:szCs w:val="28"/>
          <w:rtl/>
        </w:rPr>
        <w:t xml:space="preserve">علاء الدين</w:t>
      </w:r>
    </w:p>
    <w:p>
      <w:pPr>
        <w:pStyle w:val="BookText"/>
      </w:pPr>
      <w:r>
        <w:rPr>
          <w:rFonts w:ascii="Amiri" w:hAnsi="Amiri" w:eastAsia="Amiri" w:cs="Amiri"/>
          <w:lang w:bidi="ar-SA"/>
          <w:color w:val="111111"/>
          <w:sz w:val="28"/>
          <w:szCs w:val="28"/>
          <w:rtl/>
        </w:rPr>
        <w:t xml:space="preserve">حسن بن علي ابارودي -اباوردي ، حسن</w:t>
      </w:r>
    </w:p>
    <w:p>
      <w:pPr>
        <w:pStyle w:val="BookText"/>
      </w:pPr>
      <w:r>
        <w:rPr>
          <w:rFonts w:ascii="Amiri" w:hAnsi="Amiri" w:eastAsia="Amiri" w:cs="Amiri"/>
          <w:lang w:bidi="ar-SA"/>
          <w:color w:val="111111"/>
          <w:sz w:val="28"/>
          <w:szCs w:val="28"/>
          <w:rtl/>
        </w:rPr>
        <w:t xml:space="preserve">بن علي حسن بن علي ابيوردي- ابيوردي ، حسن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حسن بن علي استرآبادي حسيني حائري -حسيني حائري ، حسن بن علي</w:t>
      </w:r>
    </w:p>
    <w:p>
      <w:pPr>
        <w:pStyle w:val="BookText"/>
      </w:pPr>
      <w:r>
        <w:rPr>
          <w:rFonts w:ascii="Amiri" w:hAnsi="Amiri" w:eastAsia="Amiri" w:cs="Amiri"/>
          <w:lang w:bidi="ar-SA"/>
          <w:color w:val="111111"/>
          <w:sz w:val="28"/>
          <w:szCs w:val="28"/>
          <w:rtl/>
        </w:rPr>
        <w:t xml:space="preserve">حسن بن علي اسود- اسود ، حسن بن</w:t>
      </w:r>
    </w:p>
    <w:p>
      <w:pPr>
        <w:pStyle w:val="BookText"/>
      </w:pPr>
      <w:r>
        <w:rPr>
          <w:rFonts w:ascii="Amiri" w:hAnsi="Amiri" w:eastAsia="Amiri" w:cs="Amiri"/>
          <w:lang w:bidi="ar-SA"/>
          <w:color w:val="111111"/>
          <w:sz w:val="28"/>
          <w:szCs w:val="28"/>
          <w:rtl/>
        </w:rPr>
        <w:t xml:space="preserve">علاء الدين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6" w:name="pg7742_70122"/>
    <w:bookmarkEnd w:id="366"/>
    <w:p>
      <w:pPr>
        <w:pStyle w:val="BookText"/>
      </w:pPr>
      <w:r>
        <w:rPr>
          <w:rFonts w:ascii="Amiri" w:hAnsi="Amiri" w:eastAsia="Amiri" w:cs="Amiri"/>
          <w:lang w:bidi="ar-SA"/>
          <w:color w:val="111111"/>
          <w:sz w:val="28"/>
          <w:szCs w:val="28"/>
          <w:rtl/>
        </w:rPr>
        <w:t xml:space="preserve">حسن بن علي الكفراوي - كفراوي ، حسن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حسن بن علي اهوازي -اهوازي ، حسن بن علي</w:t>
      </w:r>
    </w:p>
    <w:p>
      <w:pPr>
        <w:pStyle w:val="BookText"/>
      </w:pPr>
      <w:r>
        <w:rPr>
          <w:rFonts w:ascii="Amiri" w:hAnsi="Amiri" w:eastAsia="Amiri" w:cs="Amiri"/>
          <w:lang w:bidi="ar-SA"/>
          <w:color w:val="111111"/>
          <w:sz w:val="28"/>
          <w:szCs w:val="28"/>
          <w:rtl/>
        </w:rPr>
        <w:t xml:space="preserve">حسن بن علي بدري- بدري ، حسن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حسن بن علي بن جابر يمني زيدي- هبل</w:t>
      </w:r>
    </w:p>
    <w:p>
      <w:pPr>
        <w:pStyle w:val="BookText"/>
      </w:pPr>
      <w:r>
        <w:rPr>
          <w:rFonts w:ascii="Amiri" w:hAnsi="Amiri" w:eastAsia="Amiri" w:cs="Amiri"/>
          <w:lang w:bidi="ar-SA"/>
          <w:color w:val="111111"/>
          <w:sz w:val="28"/>
          <w:szCs w:val="28"/>
          <w:rtl/>
        </w:rPr>
        <w:t xml:space="preserve">، حسن بن علي</w:t>
      </w:r>
    </w:p>
    <w:p>
      <w:pPr>
        <w:pStyle w:val="BookText"/>
      </w:pPr>
      <w:r>
        <w:rPr>
          <w:rFonts w:ascii="Amiri" w:hAnsi="Amiri" w:eastAsia="Amiri" w:cs="Amiri"/>
          <w:lang w:bidi="ar-SA"/>
          <w:color w:val="111111"/>
          <w:sz w:val="28"/>
          <w:szCs w:val="28"/>
          <w:rtl/>
        </w:rPr>
        <w:t xml:space="preserve">حسن بن علي بن داود حلي- ابن داود</w:t>
      </w:r>
    </w:p>
    <w:p>
      <w:pPr>
        <w:pStyle w:val="BookText"/>
      </w:pPr>
      <w:r>
        <w:rPr>
          <w:rFonts w:ascii="Amiri" w:hAnsi="Amiri" w:eastAsia="Amiri" w:cs="Amiri"/>
          <w:lang w:bidi="ar-SA"/>
          <w:color w:val="111111"/>
          <w:sz w:val="28"/>
          <w:szCs w:val="28"/>
          <w:rtl/>
        </w:rPr>
        <w:t xml:space="preserve">حلي ، حسن بن علي</w:t>
      </w:r>
    </w:p>
    <w:p>
      <w:pPr>
        <w:pStyle w:val="BookText"/>
      </w:pPr>
      <w:r>
        <w:rPr>
          <w:rFonts w:ascii="Amiri" w:hAnsi="Amiri" w:eastAsia="Amiri" w:cs="Amiri"/>
          <w:lang w:bidi="ar-SA"/>
          <w:color w:val="111111"/>
          <w:sz w:val="28"/>
          <w:szCs w:val="28"/>
          <w:rtl/>
        </w:rPr>
        <w:t xml:space="preserve">حسن بن علي بن رسول عبدلاني- عبدلاني</w:t>
      </w:r>
    </w:p>
    <w:p>
      <w:pPr>
        <w:pStyle w:val="BookText"/>
      </w:pPr>
      <w:r>
        <w:rPr>
          <w:rFonts w:ascii="IRNazanin" w:hAnsi="IRNazanin" w:eastAsia="IRNazanin" w:cs="IRNazanin"/>
          <w:lang w:bidi="fa-IR"/>
          <w:color w:val="111111"/>
          <w:sz w:val="28"/>
          <w:szCs w:val="28"/>
          <w:rtl/>
        </w:rPr>
        <w:t xml:space="preserve">، حسن بن رسول</w:t>
      </w:r>
    </w:p>
    <w:p>
      <w:pPr>
        <w:pStyle w:val="BookText"/>
      </w:pPr>
      <w:r>
        <w:rPr>
          <w:rFonts w:ascii="Amiri" w:hAnsi="Amiri" w:eastAsia="Amiri" w:cs="Amiri"/>
          <w:lang w:bidi="ar-SA"/>
          <w:color w:val="111111"/>
          <w:sz w:val="28"/>
          <w:szCs w:val="28"/>
          <w:rtl/>
        </w:rPr>
        <w:t xml:space="preserve">حسن بن علي بن عبد العالي كركي- كركي ،</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حسن بن علي تنيسي- ابن وكيع تنيسي ،</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حسن بن علي حانيني -عاملي حانيني ،</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حسن بن علي حراني( ابن شعبه)- ابن</w:t>
      </w:r>
    </w:p>
    <w:p>
      <w:pPr>
        <w:pStyle w:val="BookText"/>
      </w:pPr>
      <w:r>
        <w:rPr>
          <w:rFonts w:ascii="Amiri" w:hAnsi="Amiri" w:eastAsia="Amiri" w:cs="Amiri"/>
          <w:lang w:bidi="ar-SA"/>
          <w:color w:val="111111"/>
          <w:sz w:val="28"/>
          <w:szCs w:val="28"/>
          <w:rtl/>
        </w:rPr>
        <w:t xml:space="preserve">شعبه ، حسن بن علي</w:t>
      </w:r>
    </w:p>
    <w:p>
      <w:pPr>
        <w:pStyle w:val="BookText"/>
      </w:pPr>
      <w:r>
        <w:rPr>
          <w:rFonts w:ascii="Amiri" w:hAnsi="Amiri" w:eastAsia="Amiri" w:cs="Amiri"/>
          <w:lang w:bidi="ar-SA"/>
          <w:color w:val="111111"/>
          <w:sz w:val="28"/>
          <w:szCs w:val="28"/>
          <w:rtl/>
        </w:rPr>
        <w:t xml:space="preserve">حسن بن علي حسيني توبلي بحراني - حسيني بحراني ، حسن بن علي</w:t>
      </w:r>
    </w:p>
    <w:p>
      <w:pPr>
        <w:pStyle w:val="BookText"/>
      </w:pPr>
      <w:r>
        <w:rPr>
          <w:rFonts w:ascii="Amiri" w:hAnsi="Amiri" w:eastAsia="Amiri" w:cs="Amiri"/>
          <w:lang w:bidi="ar-SA"/>
          <w:color w:val="111111"/>
          <w:sz w:val="28"/>
          <w:szCs w:val="28"/>
          <w:rtl/>
        </w:rPr>
        <w:t xml:space="preserve">حسن بن علي حسيني مدرس- حسيني</w:t>
      </w:r>
    </w:p>
    <w:p>
      <w:pPr>
        <w:pStyle w:val="BookText"/>
      </w:pPr>
      <w:r>
        <w:rPr>
          <w:rFonts w:ascii="Amiri" w:hAnsi="Amiri" w:eastAsia="Amiri" w:cs="Amiri"/>
          <w:lang w:bidi="ar-SA"/>
          <w:color w:val="111111"/>
          <w:sz w:val="28"/>
          <w:szCs w:val="28"/>
          <w:rtl/>
        </w:rPr>
        <w:t xml:space="preserve">مدرس ، حسن بن علي</w:t>
      </w:r>
    </w:p>
    <w:p>
      <w:pPr>
        <w:pStyle w:val="BookText"/>
      </w:pPr>
      <w:r>
        <w:rPr>
          <w:rFonts w:ascii="Amiri" w:hAnsi="Amiri" w:eastAsia="Amiri" w:cs="Amiri"/>
          <w:lang w:bidi="ar-SA"/>
          <w:color w:val="111111"/>
          <w:sz w:val="28"/>
          <w:szCs w:val="28"/>
          <w:rtl/>
        </w:rPr>
        <w:t xml:space="preserve">حسن بن علي حسيني مدني( ابن شدقم)- ابن شدقم ، حسن بن علي</w:t>
      </w:r>
    </w:p>
    <w:p>
      <w:pPr>
        <w:pStyle w:val="BookText"/>
      </w:pPr>
      <w:r>
        <w:rPr>
          <w:rFonts w:ascii="Amiri" w:hAnsi="Amiri" w:eastAsia="Amiri" w:cs="Amiri"/>
          <w:lang w:bidi="ar-SA"/>
          <w:color w:val="111111"/>
          <w:sz w:val="28"/>
          <w:szCs w:val="28"/>
          <w:rtl/>
        </w:rPr>
        <w:t xml:space="preserve">حسن بن علي حلي نجفي- حلي نجفي</w:t>
      </w:r>
    </w:p>
    <w:p>
      <w:pPr>
        <w:pStyle w:val="BookText"/>
      </w:pPr>
      <w:r>
        <w:rPr>
          <w:rFonts w:ascii="Amiri" w:hAnsi="Amiri" w:eastAsia="Amiri" w:cs="Amiri"/>
          <w:lang w:bidi="ar-SA"/>
          <w:color w:val="111111"/>
          <w:sz w:val="28"/>
          <w:szCs w:val="28"/>
          <w:rtl/>
        </w:rPr>
        <w:t xml:space="preserve">حسين بن علي</w:t>
      </w:r>
    </w:p>
    <w:p>
      <w:pPr>
        <w:pStyle w:val="BookText"/>
      </w:pPr>
      <w:r>
        <w:rPr>
          <w:rFonts w:ascii="Amiri" w:hAnsi="Amiri" w:eastAsia="Amiri" w:cs="Amiri"/>
          <w:lang w:bidi="ar-SA"/>
          <w:color w:val="111111"/>
          <w:sz w:val="28"/>
          <w:szCs w:val="28"/>
          <w:rtl/>
        </w:rPr>
        <w:t xml:space="preserve">حسن بن علي خاقاني -نجفي خاقاني ،</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حسن بن علي حسن بن علي طبري مازندراني طبري</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حسن بن علي طوسي (نظام الملك) -نظام</w:t>
      </w:r>
    </w:p>
    <w:p>
      <w:pPr>
        <w:pStyle w:val="BookText"/>
      </w:pPr>
      <w:r>
        <w:rPr>
          <w:rFonts w:ascii="Amiri" w:hAnsi="Amiri" w:eastAsia="Amiri" w:cs="Amiri"/>
          <w:lang w:bidi="ar-SA"/>
          <w:color w:val="111111"/>
          <w:sz w:val="28"/>
          <w:szCs w:val="28"/>
          <w:rtl/>
        </w:rPr>
        <w:t xml:space="preserve">الملك ، حسن بن علي</w:t>
      </w:r>
    </w:p>
    <w:p>
      <w:pPr>
        <w:pStyle w:val="BookText"/>
      </w:pPr>
      <w:r>
        <w:rPr>
          <w:rFonts w:ascii="Amiri" w:hAnsi="Amiri" w:eastAsia="Amiri" w:cs="Amiri"/>
          <w:lang w:bidi="ar-SA"/>
          <w:color w:val="111111"/>
          <w:sz w:val="28"/>
          <w:szCs w:val="28"/>
          <w:rtl/>
        </w:rPr>
        <w:t xml:space="preserve">حسن بن علي عبدي- واسطي ، حسن بن</w:t>
      </w:r>
    </w:p>
    <w:p>
      <w:pPr>
        <w:pStyle w:val="BookText"/>
      </w:pPr>
      <w:r>
        <w:rPr>
          <w:rFonts w:ascii="Amiri" w:hAnsi="Amiri" w:eastAsia="Amiri" w:cs="Amiri"/>
          <w:lang w:bidi="ar-SA"/>
          <w:color w:val="111111"/>
          <w:sz w:val="28"/>
          <w:szCs w:val="28"/>
          <w:rtl/>
        </w:rPr>
        <w:t xml:space="preserve">علي حسن بن علي عجيمي يمني -عجيمي ،</w:t>
      </w:r>
    </w:p>
    <w:p>
      <w:pPr>
        <w:pStyle w:val="BookText"/>
      </w:pPr>
      <w:r>
        <w:rPr>
          <w:rFonts w:ascii="Amiri" w:hAnsi="Amiri" w:eastAsia="Amiri" w:cs="Amiri"/>
          <w:lang w:bidi="ar-SA"/>
          <w:color w:val="111111"/>
          <w:sz w:val="28"/>
          <w:szCs w:val="28"/>
          <w:rtl/>
        </w:rPr>
        <w:t xml:space="preserve">حسن بن علي</w:t>
      </w:r>
    </w:p>
    <w:p>
      <w:pPr>
        <w:pStyle w:val="Heading2"/>
      </w:pPr>
      <w:bookmarkStart w:id="3535" w:name="_Toc2637"/>
      <w:r>
        <w:t>حسن بن علي العسكري (ع)، 232 - 260ه-</w:t>
      </w:r>
      <w:bookmarkEnd w:id="3535"/>
    </w:p>
    <w:p>
      <w:pPr>
        <w:pStyle w:val="BookText"/>
      </w:pPr>
      <w:r>
        <w:rPr>
          <w:rFonts w:ascii="Amiri" w:hAnsi="Amiri" w:eastAsia="Amiri" w:cs="Amiri"/>
          <w:lang w:bidi="ar-SA"/>
          <w:color w:val="111111"/>
          <w:sz w:val="28"/>
          <w:szCs w:val="28"/>
          <w:rtl/>
        </w:rPr>
        <w:t xml:space="preserve">1 .تفسير الامام العسكري = تفسير امام حسن عسكري = كشف الحجب، ج 4، ص 600.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توقيع العسكري - رسالة العسكري إلى علي بن بابويه القمي، ج5،</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Amiri" w:hAnsi="Amiri" w:eastAsia="Amiri" w:cs="Amiri"/>
          <w:lang w:bidi="ar-SA"/>
          <w:color w:val="111111"/>
          <w:sz w:val="28"/>
          <w:szCs w:val="28"/>
          <w:rtl/>
        </w:rPr>
        <w:t xml:space="preserve">3.حديث، ج 6 ، ص 556 .</w:t>
      </w:r>
    </w:p>
    <w:p>
      <w:pPr>
        <w:pStyle w:val="BookText"/>
      </w:pPr>
      <w:r>
        <w:rPr>
          <w:rFonts w:ascii="Amiri" w:hAnsi="Amiri" w:eastAsia="Amiri" w:cs="Amiri"/>
          <w:lang w:bidi="ar-SA"/>
          <w:color w:val="111111"/>
          <w:sz w:val="28"/>
          <w:szCs w:val="28"/>
          <w:rtl/>
        </w:rPr>
        <w:t xml:space="preserve">حسن بن علي قفطامي -قفطامي ، حسن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حسن بن علي كركي- كركي ، حسن بن</w:t>
      </w:r>
    </w:p>
    <w:p>
      <w:pPr>
        <w:pStyle w:val="BookText"/>
      </w:pPr>
      <w:r>
        <w:rPr>
          <w:rFonts w:ascii="Amiri" w:hAnsi="Amiri" w:eastAsia="Amiri" w:cs="Amiri"/>
          <w:lang w:bidi="ar-SA"/>
          <w:color w:val="111111"/>
          <w:sz w:val="28"/>
          <w:szCs w:val="28"/>
          <w:rtl/>
        </w:rPr>
        <w:t xml:space="preserve">علي</w:t>
      </w:r>
    </w:p>
    <w:p>
      <w:pPr>
        <w:pStyle w:val="BookText"/>
      </w:pPr>
      <w:r>
        <w:rPr>
          <w:rFonts w:ascii="IRNazanin" w:hAnsi="IRNazanin" w:eastAsia="IRNazanin" w:cs="IRNazanin"/>
          <w:lang w:bidi="fa-IR"/>
          <w:color w:val="111111"/>
          <w:sz w:val="28"/>
          <w:szCs w:val="28"/>
          <w:rtl/>
        </w:rPr>
        <w:t xml:space="preserve">حسن بن علي گوهر قراجه داغي- گوهر</w:t>
      </w:r>
    </w:p>
    <w:p>
      <w:pPr>
        <w:pStyle w:val="BookText"/>
      </w:pPr>
      <w:r>
        <w:rPr>
          <w:rFonts w:ascii="Amiri" w:hAnsi="Amiri" w:eastAsia="Amiri" w:cs="Amiri"/>
          <w:lang w:bidi="ar-SA"/>
          <w:color w:val="111111"/>
          <w:sz w:val="28"/>
          <w:szCs w:val="28"/>
          <w:rtl/>
        </w:rPr>
        <w:t xml:space="preserve">قراجه داغي ، حسن بن علي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7" w:name="pg7742_70124"/>
    <w:bookmarkEnd w:id="367"/>
    <w:p>
      <w:pPr>
        <w:pStyle w:val="BookText"/>
      </w:pPr>
      <w:r>
        <w:rPr>
          <w:rFonts w:ascii="Amiri" w:hAnsi="Amiri" w:eastAsia="Amiri" w:cs="Amiri"/>
          <w:lang w:bidi="ar-SA"/>
          <w:color w:val="111111"/>
          <w:sz w:val="28"/>
          <w:szCs w:val="28"/>
          <w:rtl/>
        </w:rPr>
        <w:t xml:space="preserve">حسن بن علي مدرس - حسيني مدرس ، حسن بن علي</w:t>
      </w:r>
    </w:p>
    <w:p>
      <w:pPr>
        <w:pStyle w:val="BookText"/>
      </w:pPr>
      <w:r>
        <w:rPr>
          <w:rFonts w:ascii="Amiri" w:hAnsi="Amiri" w:eastAsia="Amiri" w:cs="Amiri"/>
          <w:lang w:bidi="ar-SA"/>
          <w:color w:val="111111"/>
          <w:sz w:val="28"/>
          <w:szCs w:val="28"/>
          <w:rtl/>
        </w:rPr>
        <w:t xml:space="preserve">حسن بن علي منطاوي ازهري مد ابغي- مدابغي ، حسن بن علي</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حسن بن عمار شرنبلالي- شرنبلالي ، حسن</w:t>
      </w:r>
    </w:p>
    <w:p>
      <w:pPr>
        <w:pStyle w:val="BookText"/>
      </w:pPr>
      <w:r>
        <w:rPr>
          <w:rFonts w:ascii="IRNazanin" w:hAnsi="IRNazanin" w:eastAsia="IRNazanin" w:cs="IRNazanin"/>
          <w:lang w:bidi="fa-IR"/>
          <w:color w:val="111111"/>
          <w:sz w:val="28"/>
          <w:szCs w:val="28"/>
          <w:rtl/>
        </w:rPr>
        <w:t xml:space="preserve">بن عمار</w:t>
      </w:r>
    </w:p>
    <w:p>
      <w:pPr>
        <w:pStyle w:val="BookText"/>
      </w:pPr>
      <w:r>
        <w:rPr>
          <w:rFonts w:ascii="Amiri" w:hAnsi="Amiri" w:eastAsia="Amiri" w:cs="Amiri"/>
          <w:lang w:bidi="ar-SA"/>
          <w:color w:val="111111"/>
          <w:sz w:val="28"/>
          <w:szCs w:val="28"/>
          <w:rtl/>
        </w:rPr>
        <w:t xml:space="preserve">حسن بن عمر الشطي- شطي ، حسن بن عمر</w:t>
      </w:r>
    </w:p>
    <w:p>
      <w:pPr>
        <w:pStyle w:val="BookText"/>
      </w:pPr>
      <w:r>
        <w:rPr>
          <w:rFonts w:ascii="Amiri" w:hAnsi="Amiri" w:eastAsia="Amiri" w:cs="Amiri"/>
          <w:lang w:bidi="ar-SA"/>
          <w:color w:val="111111"/>
          <w:sz w:val="28"/>
          <w:szCs w:val="28"/>
          <w:rtl/>
        </w:rPr>
        <w:t xml:space="preserve">حسن بن عمر بدرالدين بن حبيب- ابن</w:t>
      </w:r>
    </w:p>
    <w:p>
      <w:pPr>
        <w:pStyle w:val="BookText"/>
      </w:pPr>
      <w:r>
        <w:rPr>
          <w:rFonts w:ascii="Amiri" w:hAnsi="Amiri" w:eastAsia="Amiri" w:cs="Amiri"/>
          <w:lang w:bidi="ar-SA"/>
          <w:color w:val="111111"/>
          <w:sz w:val="28"/>
          <w:szCs w:val="28"/>
          <w:rtl/>
        </w:rPr>
        <w:t xml:space="preserve">حبيب ، حسن بن عمر</w:t>
      </w:r>
    </w:p>
    <w:p>
      <w:pPr>
        <w:pStyle w:val="BookText"/>
      </w:pPr>
      <w:r>
        <w:rPr>
          <w:rFonts w:ascii="Amiri" w:hAnsi="Amiri" w:eastAsia="Amiri" w:cs="Amiri"/>
          <w:lang w:bidi="ar-SA"/>
          <w:color w:val="111111"/>
          <w:sz w:val="28"/>
          <w:szCs w:val="28"/>
          <w:rtl/>
        </w:rPr>
        <w:t xml:space="preserve">حسن بن عمر بن حسين بن حبيب</w:t>
      </w:r>
    </w:p>
    <w:p>
      <w:pPr>
        <w:pStyle w:val="BookText"/>
      </w:pPr>
      <w:r>
        <w:rPr>
          <w:rFonts w:ascii="Amiri" w:hAnsi="Amiri" w:eastAsia="Amiri" w:cs="Amiri"/>
          <w:lang w:bidi="ar-SA"/>
          <w:color w:val="111111"/>
          <w:sz w:val="28"/>
          <w:szCs w:val="28"/>
          <w:rtl/>
        </w:rPr>
        <w:t xml:space="preserve">حلبي- ابن حبيب ، حسن بن عمر</w:t>
      </w:r>
    </w:p>
    <w:p>
      <w:pPr>
        <w:pStyle w:val="BookText"/>
      </w:pPr>
      <w:r>
        <w:rPr>
          <w:rFonts w:ascii="Amiri" w:hAnsi="Amiri" w:eastAsia="Amiri" w:cs="Amiri"/>
          <w:lang w:bidi="ar-SA"/>
          <w:color w:val="111111"/>
          <w:sz w:val="28"/>
          <w:szCs w:val="28"/>
          <w:rtl/>
        </w:rPr>
        <w:t xml:space="preserve">حسن بن عمر حلبي- ابن حبيب ، حسن</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حسن بن عمر شيفتكي -شيفتكي ، حسن</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IRNazanin" w:hAnsi="IRNazanin" w:eastAsia="IRNazanin" w:cs="IRNazanin"/>
          <w:lang w:bidi="fa-IR"/>
          <w:color w:val="111111"/>
          <w:sz w:val="28"/>
          <w:szCs w:val="28"/>
          <w:rtl/>
        </w:rPr>
        <w:t xml:space="preserve">فضل</w:t>
      </w:r>
    </w:p>
    <w:p>
      <w:pPr>
        <w:pStyle w:val="BookText"/>
      </w:pPr>
      <w:r>
        <w:rPr>
          <w:rFonts w:ascii="Amiri" w:hAnsi="Amiri" w:eastAsia="Amiri" w:cs="Amiri"/>
          <w:lang w:bidi="ar-SA"/>
          <w:color w:val="111111"/>
          <w:sz w:val="28"/>
          <w:szCs w:val="28"/>
          <w:rtl/>
        </w:rPr>
        <w:t xml:space="preserve">حسن بن فضل طبرسي- طبرسي ، حسن بن</w:t>
      </w:r>
    </w:p>
    <w:p>
      <w:pPr>
        <w:pStyle w:val="BookText"/>
      </w:pPr>
      <w:r>
        <w:rPr>
          <w:rFonts w:ascii="Amiri" w:hAnsi="Amiri" w:eastAsia="Amiri" w:cs="Amiri"/>
          <w:lang w:bidi="ar-SA"/>
          <w:color w:val="111111"/>
          <w:sz w:val="28"/>
          <w:szCs w:val="28"/>
          <w:rtl/>
        </w:rPr>
        <w:t xml:space="preserve">حسن بن قاسم بدر الدين - شيخ</w:t>
      </w:r>
    </w:p>
    <w:p>
      <w:pPr>
        <w:pStyle w:val="BookText"/>
      </w:pPr>
      <w:r>
        <w:rPr>
          <w:rFonts w:ascii="IRNazanin" w:hAnsi="IRNazanin" w:eastAsia="IRNazanin" w:cs="IRNazanin"/>
          <w:lang w:bidi="fa-IR"/>
          <w:color w:val="111111"/>
          <w:sz w:val="28"/>
          <w:szCs w:val="28"/>
          <w:rtl/>
        </w:rPr>
        <w:t xml:space="preserve">بدرالدین حسن بن قاسم</w:t>
      </w:r>
    </w:p>
    <w:p>
      <w:pPr>
        <w:pStyle w:val="BookText"/>
      </w:pPr>
      <w:r>
        <w:rPr>
          <w:rFonts w:ascii="Amiri" w:hAnsi="Amiri" w:eastAsia="Amiri" w:cs="Amiri"/>
          <w:lang w:bidi="ar-SA"/>
          <w:color w:val="111111"/>
          <w:sz w:val="28"/>
          <w:szCs w:val="28"/>
          <w:rtl/>
        </w:rPr>
        <w:t xml:space="preserve">حسن بن قاسم مرادي- ابن ام قاسم ،</w:t>
      </w:r>
    </w:p>
    <w:p>
      <w:pPr>
        <w:pStyle w:val="BookText"/>
      </w:pPr>
      <w:r>
        <w:rPr>
          <w:rFonts w:ascii="IRNazanin" w:hAnsi="IRNazanin" w:eastAsia="IRNazanin" w:cs="IRNazanin"/>
          <w:lang w:bidi="fa-IR"/>
          <w:color w:val="111111"/>
          <w:sz w:val="28"/>
          <w:szCs w:val="28"/>
          <w:rtl/>
        </w:rPr>
        <w:t xml:space="preserve">حسن بن قاسم</w:t>
      </w:r>
    </w:p>
    <w:p>
      <w:pPr>
        <w:pStyle w:val="BookText"/>
      </w:pPr>
      <w:r>
        <w:rPr>
          <w:rFonts w:ascii="IRNazanin" w:hAnsi="IRNazanin" w:eastAsia="IRNazanin" w:cs="IRNazanin"/>
          <w:lang w:bidi="fa-IR"/>
          <w:color w:val="111111"/>
          <w:sz w:val="28"/>
          <w:szCs w:val="28"/>
          <w:rtl/>
        </w:rPr>
        <w:t xml:space="preserve">حسن بن قاسم نوربخش -نوربخش</w:t>
      </w:r>
    </w:p>
    <w:p>
      <w:pPr>
        <w:pStyle w:val="BookText"/>
      </w:pPr>
      <w:r>
        <w:rPr>
          <w:rFonts w:ascii="IRNazanin" w:hAnsi="IRNazanin" w:eastAsia="IRNazanin" w:cs="IRNazanin"/>
          <w:lang w:bidi="fa-IR"/>
          <w:color w:val="111111"/>
          <w:sz w:val="28"/>
          <w:szCs w:val="28"/>
          <w:rtl/>
        </w:rPr>
        <w:t xml:space="preserve">حسن بن قاسم</w:t>
      </w:r>
    </w:p>
    <w:p>
      <w:pPr>
        <w:pStyle w:val="BookText"/>
      </w:pPr>
      <w:r>
        <w:rPr>
          <w:rFonts w:ascii="Amiri" w:hAnsi="Amiri" w:eastAsia="Amiri" w:cs="Amiri"/>
          <w:lang w:bidi="ar-SA"/>
          <w:color w:val="111111"/>
          <w:sz w:val="28"/>
          <w:szCs w:val="28"/>
          <w:rtl/>
        </w:rPr>
        <w:t xml:space="preserve">حسن بن كاظم سبتي نجفي- سبتي</w:t>
      </w:r>
    </w:p>
    <w:p>
      <w:pPr>
        <w:pStyle w:val="BookText"/>
      </w:pPr>
      <w:r>
        <w:rPr>
          <w:rFonts w:ascii="Amiri" w:hAnsi="Amiri" w:eastAsia="Amiri" w:cs="Amiri"/>
          <w:lang w:bidi="ar-SA"/>
          <w:color w:val="111111"/>
          <w:sz w:val="28"/>
          <w:szCs w:val="28"/>
          <w:rtl/>
        </w:rPr>
        <w:t xml:space="preserve">نجفي ، حسن بن كاظم</w:t>
      </w:r>
    </w:p>
    <w:p>
      <w:pPr>
        <w:pStyle w:val="BookText"/>
      </w:pPr>
      <w:r>
        <w:rPr>
          <w:rFonts w:ascii="Amiri" w:hAnsi="Amiri" w:eastAsia="Amiri" w:cs="Amiri"/>
          <w:lang w:bidi="ar-SA"/>
          <w:color w:val="111111"/>
          <w:sz w:val="28"/>
          <w:szCs w:val="28"/>
          <w:rtl/>
        </w:rPr>
        <w:t xml:space="preserve">حسن بن علي مراكشي- مراكشي ، حسن بن علي</w:t>
      </w:r>
    </w:p>
    <w:p>
      <w:pPr>
        <w:pStyle w:val="BookText"/>
      </w:pPr>
      <w:r>
        <w:rPr>
          <w:rFonts w:ascii="Amiri" w:hAnsi="Amiri" w:eastAsia="Amiri" w:cs="Amiri"/>
          <w:lang w:bidi="ar-SA"/>
          <w:color w:val="111111"/>
          <w:sz w:val="28"/>
          <w:szCs w:val="28"/>
          <w:rtl/>
        </w:rPr>
        <w:t xml:space="preserve">حسن بن محسن اعرجي كاظمي- كاظمي</w:t>
      </w:r>
    </w:p>
    <w:p>
      <w:pPr>
        <w:pStyle w:val="BookText"/>
      </w:pPr>
      <w:r>
        <w:rPr>
          <w:rFonts w:ascii="Amiri" w:hAnsi="Amiri" w:eastAsia="Amiri" w:cs="Amiri"/>
          <w:lang w:bidi="ar-SA"/>
          <w:color w:val="111111"/>
          <w:sz w:val="28"/>
          <w:szCs w:val="28"/>
          <w:rtl/>
        </w:rPr>
        <w:t xml:space="preserve">اعرجي ، حسن بن محسن</w:t>
      </w:r>
    </w:p>
    <w:p>
      <w:pPr>
        <w:pStyle w:val="Heading2"/>
      </w:pPr>
      <w:bookmarkStart w:id="3536" w:name="_Toc2638"/>
      <w:r>
        <w:t>حسن بن محمّد</w:t>
      </w:r>
      <w:bookmarkEnd w:id="3536"/>
    </w:p>
    <w:p>
      <w:pPr>
        <w:pStyle w:val="BookText"/>
      </w:pPr>
      <w:r>
        <w:rPr>
          <w:rFonts w:ascii="Amiri" w:hAnsi="Amiri" w:eastAsia="Amiri" w:cs="Amiri"/>
          <w:lang w:bidi="ar-SA"/>
          <w:color w:val="111111"/>
          <w:sz w:val="28"/>
          <w:szCs w:val="28"/>
          <w:rtl/>
        </w:rPr>
        <w:t xml:space="preserve">حاشية الحاشية المنطقية على شرح العقائد النسفية، ج 5، ص 850.</w:t>
      </w:r>
    </w:p>
    <w:p>
      <w:pPr>
        <w:pStyle w:val="BookText"/>
      </w:pPr>
      <w:r>
        <w:rPr>
          <w:rFonts w:ascii="Amiri" w:hAnsi="Amiri" w:eastAsia="Amiri" w:cs="Amiri"/>
          <w:lang w:bidi="ar-SA"/>
          <w:color w:val="111111"/>
          <w:sz w:val="28"/>
          <w:szCs w:val="28"/>
          <w:rtl/>
        </w:rPr>
        <w:t xml:space="preserve">حسن بن محمّد استرآبادي- استرآبادي حسن بن محمّد</w:t>
      </w:r>
    </w:p>
    <w:p>
      <w:pPr>
        <w:pStyle w:val="BookText"/>
      </w:pPr>
      <w:r>
        <w:rPr>
          <w:rFonts w:ascii="Amiri" w:hAnsi="Amiri" w:eastAsia="Amiri" w:cs="Amiri"/>
          <w:lang w:bidi="ar-SA"/>
          <w:color w:val="111111"/>
          <w:sz w:val="28"/>
          <w:szCs w:val="28"/>
          <w:rtl/>
        </w:rPr>
        <w:t xml:space="preserve">حسن بن محمّد اسدي- اسدي ، حسن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حسن بن محمّد اصفهاني- اصفهاني</w:t>
      </w:r>
    </w:p>
    <w:p>
      <w:pPr>
        <w:pStyle w:val="BookText"/>
      </w:pPr>
      <w:r>
        <w:rPr>
          <w:rFonts w:ascii="IRNazanin" w:hAnsi="IRNazanin" w:eastAsia="IRNazanin" w:cs="IRNazanin"/>
          <w:lang w:bidi="fa-IR"/>
          <w:color w:val="111111"/>
          <w:sz w:val="28"/>
          <w:szCs w:val="28"/>
          <w:rtl/>
        </w:rPr>
        <w:t xml:space="preserve">عبد المطلب بن حسن</w:t>
      </w:r>
    </w:p>
    <w:p>
      <w:pPr>
        <w:pStyle w:val="BookText"/>
      </w:pPr>
      <w:r>
        <w:rPr>
          <w:rFonts w:ascii="Amiri" w:hAnsi="Amiri" w:eastAsia="Amiri" w:cs="Amiri"/>
          <w:lang w:bidi="ar-SA"/>
          <w:color w:val="111111"/>
          <w:sz w:val="28"/>
          <w:szCs w:val="28"/>
          <w:rtl/>
        </w:rPr>
        <w:t xml:space="preserve">حسن بن محمّد باقر بشروي</w:t>
      </w:r>
    </w:p>
    <w:p>
      <w:pPr>
        <w:pStyle w:val="BookText"/>
      </w:pPr>
      <w:r>
        <w:rPr>
          <w:rFonts w:ascii="Amiri" w:hAnsi="Amiri" w:eastAsia="Amiri" w:cs="Amiri"/>
          <w:lang w:bidi="ar-SA"/>
          <w:color w:val="111111"/>
          <w:sz w:val="28"/>
          <w:szCs w:val="28"/>
          <w:rtl/>
        </w:rPr>
        <w:t xml:space="preserve">خراساني -بشروي خراساني ، حسن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حسن بن محمّد باقر حسيني -حسيني ،</w:t>
      </w:r>
    </w:p>
    <w:p>
      <w:pPr>
        <w:pStyle w:val="BookText"/>
      </w:pPr>
      <w:r>
        <w:rPr>
          <w:rFonts w:ascii="IRNazanin" w:hAnsi="IRNazanin" w:eastAsia="IRNazanin" w:cs="IRNazanin"/>
          <w:lang w:bidi="fa-IR"/>
          <w:color w:val="111111"/>
          <w:sz w:val="28"/>
          <w:szCs w:val="28"/>
          <w:rtl/>
        </w:rPr>
        <w:t xml:space="preserve">حسن بن محمّد باقر</w:t>
      </w:r>
    </w:p>
    <w:p>
      <w:pPr>
        <w:pStyle w:val="BookText"/>
      </w:pPr>
      <w:r>
        <w:rPr>
          <w:rFonts w:ascii="Amiri" w:hAnsi="Amiri" w:eastAsia="Amiri" w:cs="Amiri"/>
          <w:lang w:bidi="ar-SA"/>
          <w:color w:val="111111"/>
          <w:sz w:val="28"/>
          <w:szCs w:val="28"/>
          <w:rtl/>
        </w:rPr>
        <w:t xml:space="preserve">حسن بن محمّد بن حبيب- ابن حبيب ،</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حسن بن محمّد بن راشد حلي- تاج الدين</w:t>
      </w:r>
    </w:p>
    <w:p>
      <w:pPr>
        <w:pStyle w:val="BookText"/>
      </w:pPr>
      <w:r>
        <w:rPr>
          <w:rFonts w:ascii="Amiri" w:hAnsi="Amiri" w:eastAsia="Amiri" w:cs="Amiri"/>
          <w:lang w:bidi="ar-SA"/>
          <w:color w:val="111111"/>
          <w:sz w:val="28"/>
          <w:szCs w:val="28"/>
          <w:rtl/>
        </w:rPr>
        <w:t xml:space="preserve">حلي ، حسن بن محمّد</w:t>
      </w:r>
    </w:p>
    <w:p>
      <w:pPr>
        <w:pStyle w:val="BookText"/>
      </w:pPr>
      <w:r>
        <w:rPr>
          <w:rFonts w:ascii="Amiri" w:hAnsi="Amiri" w:eastAsia="Amiri" w:cs="Amiri"/>
          <w:lang w:bidi="ar-SA"/>
          <w:color w:val="111111"/>
          <w:sz w:val="28"/>
          <w:szCs w:val="28"/>
          <w:rtl/>
        </w:rPr>
        <w:t xml:space="preserve">حسن بن محمّد بن رجب موصلي -ابن</w:t>
      </w:r>
    </w:p>
    <w:p>
      <w:pPr>
        <w:pStyle w:val="BookText"/>
      </w:pPr>
      <w:r>
        <w:rPr>
          <w:rFonts w:ascii="Amiri" w:hAnsi="Amiri" w:eastAsia="Amiri" w:cs="Amiri"/>
          <w:lang w:bidi="ar-SA"/>
          <w:color w:val="111111"/>
          <w:sz w:val="28"/>
          <w:szCs w:val="28"/>
          <w:rtl/>
        </w:rPr>
        <w:t xml:space="preserve">رجب موصلي ، حسن بن محمّد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8" w:name="pg7742_70126"/>
    <w:bookmarkEnd w:id="368"/>
    <w:p>
      <w:pPr>
        <w:pStyle w:val="BookText"/>
      </w:pPr>
      <w:r>
        <w:rPr>
          <w:rFonts w:ascii="Amiri" w:hAnsi="Amiri" w:eastAsia="Amiri" w:cs="Amiri"/>
          <w:lang w:bidi="ar-SA"/>
          <w:color w:val="111111"/>
          <w:sz w:val="28"/>
          <w:szCs w:val="28"/>
          <w:rtl/>
        </w:rPr>
        <w:t xml:space="preserve">حسن بن محمّد بن علي حسيني برزنجي</w:t>
      </w:r>
    </w:p>
    <w:p>
      <w:pPr>
        <w:pStyle w:val="BookText"/>
      </w:pPr>
      <w:r>
        <w:rPr>
          <w:rFonts w:ascii="Amiri" w:hAnsi="Amiri" w:eastAsia="Amiri" w:cs="Amiri"/>
          <w:lang w:bidi="ar-SA"/>
          <w:color w:val="111111"/>
          <w:sz w:val="28"/>
          <w:szCs w:val="28"/>
          <w:rtl/>
        </w:rPr>
        <w:t xml:space="preserve">سعداني سليماني- حسيني برزنجي ، حسن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حسن بن محمّد تقي اصفهاني- اصفهاني ،</w:t>
      </w:r>
    </w:p>
    <w:p>
      <w:pPr>
        <w:pStyle w:val="BookText"/>
      </w:pPr>
      <w:r>
        <w:rPr>
          <w:rFonts w:ascii="Amiri" w:hAnsi="Amiri" w:eastAsia="Amiri" w:cs="Amiri"/>
          <w:lang w:bidi="ar-SA"/>
          <w:color w:val="111111"/>
          <w:sz w:val="28"/>
          <w:szCs w:val="28"/>
          <w:rtl/>
        </w:rPr>
        <w:t xml:space="preserve">حسن بن محمّد تقي</w:t>
      </w:r>
    </w:p>
    <w:p>
      <w:pPr>
        <w:pStyle w:val="BookText"/>
      </w:pPr>
      <w:r>
        <w:rPr>
          <w:rFonts w:ascii="Amiri" w:hAnsi="Amiri" w:eastAsia="Amiri" w:cs="Amiri"/>
          <w:lang w:bidi="ar-SA"/>
          <w:color w:val="111111"/>
          <w:sz w:val="28"/>
          <w:szCs w:val="28"/>
          <w:rtl/>
        </w:rPr>
        <w:t xml:space="preserve">حسن بن محمّد تقي بحر العلوم -</w:t>
      </w:r>
    </w:p>
    <w:p>
      <w:pPr>
        <w:pStyle w:val="BookText"/>
      </w:pPr>
      <w:r>
        <w:rPr>
          <w:rFonts w:ascii="Amiri" w:hAnsi="Amiri" w:eastAsia="Amiri" w:cs="Amiri"/>
          <w:lang w:bidi="ar-SA"/>
          <w:color w:val="111111"/>
          <w:sz w:val="28"/>
          <w:szCs w:val="28"/>
          <w:rtl/>
        </w:rPr>
        <w:t xml:space="preserve">بحر العلوم ، حسن بن محمّد تقي</w:t>
      </w:r>
    </w:p>
    <w:p>
      <w:pPr>
        <w:pStyle w:val="BookText"/>
      </w:pPr>
      <w:r>
        <w:rPr>
          <w:rFonts w:ascii="IRNazanin" w:hAnsi="IRNazanin" w:eastAsia="IRNazanin" w:cs="IRNazanin"/>
          <w:lang w:bidi="fa-IR"/>
          <w:color w:val="111111"/>
          <w:sz w:val="28"/>
          <w:szCs w:val="28"/>
          <w:rtl/>
        </w:rPr>
        <w:t xml:space="preserve">حسن بن محمّد چلبي فناري- ابن فناري</w:t>
      </w:r>
    </w:p>
    <w:p>
      <w:pPr>
        <w:pStyle w:val="BookText"/>
      </w:pPr>
      <w:r>
        <w:rPr>
          <w:rFonts w:ascii="IRNazanin" w:hAnsi="IRNazanin" w:eastAsia="IRNazanin" w:cs="IRNazanin"/>
          <w:lang w:bidi="fa-IR"/>
          <w:color w:val="111111"/>
          <w:sz w:val="28"/>
          <w:szCs w:val="28"/>
          <w:rtl/>
        </w:rPr>
        <w:t xml:space="preserve">حسن بن محمّد شاه</w:t>
      </w:r>
    </w:p>
    <w:p>
      <w:pPr>
        <w:pStyle w:val="BookText"/>
      </w:pPr>
      <w:r>
        <w:rPr>
          <w:rFonts w:ascii="Amiri" w:hAnsi="Amiri" w:eastAsia="Amiri" w:cs="Amiri"/>
          <w:lang w:bidi="ar-SA"/>
          <w:color w:val="111111"/>
          <w:sz w:val="28"/>
          <w:szCs w:val="28"/>
          <w:rtl/>
        </w:rPr>
        <w:t xml:space="preserve">حسن بن محمّد حسني- علوي ، حسن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حسن بن محمّد حسين شفايي -شفايي</w:t>
      </w:r>
    </w:p>
    <w:p>
      <w:pPr>
        <w:pStyle w:val="BookText"/>
      </w:pPr>
      <w:r>
        <w:rPr>
          <w:rFonts w:ascii="Amiri" w:hAnsi="Amiri" w:eastAsia="Amiri" w:cs="Amiri"/>
          <w:lang w:bidi="ar-SA"/>
          <w:color w:val="111111"/>
          <w:sz w:val="28"/>
          <w:szCs w:val="28"/>
          <w:rtl/>
        </w:rPr>
        <w:t xml:space="preserve">اصفهاني ، حسن بن محمّد حسين</w:t>
      </w:r>
    </w:p>
    <w:p>
      <w:pPr>
        <w:pStyle w:val="BookText"/>
      </w:pPr>
      <w:r>
        <w:rPr>
          <w:rFonts w:ascii="Amiri" w:hAnsi="Amiri" w:eastAsia="Amiri" w:cs="Amiri"/>
          <w:lang w:bidi="ar-SA"/>
          <w:color w:val="111111"/>
          <w:sz w:val="28"/>
          <w:szCs w:val="28"/>
          <w:rtl/>
        </w:rPr>
        <w:t xml:space="preserve">حسن بن محمّد حسيني برزنجي سعداني</w:t>
      </w:r>
    </w:p>
    <w:p>
      <w:pPr>
        <w:pStyle w:val="BookText"/>
      </w:pPr>
      <w:r>
        <w:rPr>
          <w:rFonts w:ascii="Amiri" w:hAnsi="Amiri" w:eastAsia="Amiri" w:cs="Amiri"/>
          <w:lang w:bidi="ar-SA"/>
          <w:color w:val="111111"/>
          <w:sz w:val="28"/>
          <w:szCs w:val="28"/>
          <w:rtl/>
        </w:rPr>
        <w:t xml:space="preserve">سليماني - حسيني برزنجي ، حسن بن محمّد</w:t>
      </w:r>
    </w:p>
    <w:p>
      <w:pPr>
        <w:pStyle w:val="BookText"/>
      </w:pPr>
      <w:r>
        <w:rPr>
          <w:rFonts w:ascii="Amiri" w:hAnsi="Amiri" w:eastAsia="Amiri" w:cs="Amiri"/>
          <w:lang w:bidi="ar-SA"/>
          <w:color w:val="111111"/>
          <w:sz w:val="28"/>
          <w:szCs w:val="28"/>
          <w:rtl/>
        </w:rPr>
        <w:t xml:space="preserve">حسن بن محمّد حسيني شريف نسابه -</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حسن بن محمّد دمستاني بحراني -</w:t>
      </w:r>
    </w:p>
    <w:p>
      <w:pPr>
        <w:pStyle w:val="BookText"/>
      </w:pPr>
      <w:r>
        <w:rPr>
          <w:rFonts w:ascii="Amiri" w:hAnsi="Amiri" w:eastAsia="Amiri" w:cs="Amiri"/>
          <w:lang w:bidi="ar-SA"/>
          <w:color w:val="111111"/>
          <w:sz w:val="28"/>
          <w:szCs w:val="28"/>
          <w:rtl/>
        </w:rPr>
        <w:t xml:space="preserve">دمستاني ، حسن بن محمّد</w:t>
      </w:r>
    </w:p>
    <w:p>
      <w:pPr>
        <w:pStyle w:val="BookText"/>
      </w:pPr>
      <w:r>
        <w:rPr>
          <w:rFonts w:ascii="Amiri" w:hAnsi="Amiri" w:eastAsia="Amiri" w:cs="Amiri"/>
          <w:lang w:bidi="ar-SA"/>
          <w:color w:val="111111"/>
          <w:sz w:val="28"/>
          <w:szCs w:val="28"/>
          <w:rtl/>
        </w:rPr>
        <w:t xml:space="preserve">حسن بن محمّد ديلمي -ديلمي ، حسن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حسن بن محمّد رامي تبريزي- رامي</w:t>
      </w:r>
    </w:p>
    <w:p>
      <w:pPr>
        <w:pStyle w:val="BookText"/>
      </w:pPr>
      <w:r>
        <w:rPr>
          <w:rFonts w:ascii="Amiri" w:hAnsi="Amiri" w:eastAsia="Amiri" w:cs="Amiri"/>
          <w:lang w:bidi="ar-SA"/>
          <w:color w:val="111111"/>
          <w:sz w:val="28"/>
          <w:szCs w:val="28"/>
          <w:rtl/>
        </w:rPr>
        <w:t xml:space="preserve">حسن بن محمّد</w:t>
      </w:r>
    </w:p>
    <w:p>
      <w:pPr>
        <w:pStyle w:val="BookText"/>
      </w:pPr>
      <w:r>
        <w:rPr>
          <w:rFonts w:ascii="IRNazanin" w:hAnsi="IRNazanin" w:eastAsia="IRNazanin" w:cs="IRNazanin"/>
          <w:lang w:bidi="fa-IR"/>
          <w:color w:val="111111"/>
          <w:sz w:val="28"/>
          <w:szCs w:val="28"/>
          <w:rtl/>
        </w:rPr>
        <w:t xml:space="preserve">حسن بن محمّد- حسن بن محمّد شریف</w:t>
      </w:r>
    </w:p>
    <w:p>
      <w:pPr>
        <w:pStyle w:val="BookText"/>
      </w:pPr>
      <w:r>
        <w:rPr>
          <w:rFonts w:ascii="Amiri" w:hAnsi="Amiri" w:eastAsia="Amiri" w:cs="Amiri"/>
          <w:lang w:bidi="ar-SA"/>
          <w:color w:val="111111"/>
          <w:sz w:val="28"/>
          <w:szCs w:val="28"/>
          <w:rtl/>
        </w:rPr>
        <w:t xml:space="preserve">حسن بن محمّد زيباري- زيباري ، حسن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حسن بن محمّد شاه فناري- ابن فناري ، حسن بن محمّد شاه</w:t>
      </w:r>
    </w:p>
    <w:p>
      <w:pPr>
        <w:pStyle w:val="Heading2"/>
      </w:pPr>
      <w:bookmarkStart w:id="3537" w:name="_Toc2639"/>
      <w:r>
        <w:t>حسن بن محمّد شريف، قرن 13 ه-</w:t>
      </w:r>
      <w:bookmarkEnd w:id="3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اصول الدین و فروعه، ج2،</w:t>
      </w:r>
    </w:p>
    <w:p>
      <w:pPr>
        <w:pStyle w:val="BookText"/>
      </w:pPr>
      <w:r>
        <w:rPr>
          <w:rFonts w:ascii="IRNazanin" w:hAnsi="IRNazanin" w:eastAsia="IRNazanin" w:cs="IRNazanin"/>
          <w:lang w:bidi="fa-IR"/>
          <w:color w:val="111111"/>
          <w:sz w:val="28"/>
          <w:szCs w:val="28"/>
          <w:rtl/>
        </w:rPr>
        <w:t xml:space="preserve">ص 422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انوار البصائر، ج2، ص 843.</w:t>
      </w:r>
    </w:p>
    <w:p>
      <w:pPr>
        <w:pStyle w:val="BookText"/>
      </w:pPr>
      <w:r>
        <w:rPr>
          <w:rFonts w:ascii="Amiri" w:hAnsi="Amiri" w:eastAsia="Amiri" w:cs="Amiri"/>
          <w:lang w:bidi="ar-SA"/>
          <w:color w:val="111111"/>
          <w:sz w:val="28"/>
          <w:szCs w:val="28"/>
          <w:rtl/>
        </w:rPr>
        <w:t xml:space="preserve">3.حاشية معالم الاصول = حاشية</w:t>
      </w:r>
    </w:p>
    <w:p>
      <w:pPr>
        <w:pStyle w:val="BookText"/>
      </w:pPr>
      <w:r>
        <w:rPr>
          <w:rFonts w:ascii="IRNazanin" w:hAnsi="IRNazanin" w:eastAsia="IRNazanin" w:cs="IRNazanin"/>
          <w:lang w:bidi="fa-IR"/>
          <w:color w:val="111111"/>
          <w:sz w:val="28"/>
          <w:szCs w:val="28"/>
          <w:rtl/>
        </w:rPr>
        <w:t xml:space="preserve">المعالم، ج6، ص 411.</w:t>
      </w:r>
    </w:p>
    <w:p>
      <w:pPr>
        <w:pStyle w:val="BookText"/>
      </w:pPr>
      <w:r>
        <w:rPr>
          <w:rFonts w:ascii="IRNazanin" w:hAnsi="IRNazanin" w:eastAsia="IRNazanin" w:cs="IRNazanin"/>
          <w:lang w:bidi="fa-IR"/>
          <w:color w:val="111111"/>
          <w:sz w:val="28"/>
          <w:szCs w:val="28"/>
          <w:rtl/>
        </w:rPr>
        <w:t xml:space="preserve">4 .الرضاع، ج8، ص320.</w:t>
      </w:r>
    </w:p>
    <w:p>
      <w:pPr>
        <w:pStyle w:val="BookText"/>
      </w:pPr>
      <w:r>
        <w:rPr>
          <w:rFonts w:ascii="Amiri" w:hAnsi="Amiri" w:eastAsia="Amiri" w:cs="Amiri"/>
          <w:lang w:bidi="ar-SA"/>
          <w:color w:val="111111"/>
          <w:sz w:val="28"/>
          <w:szCs w:val="28"/>
          <w:rtl/>
        </w:rPr>
        <w:t xml:space="preserve">5 .زبدة الرجال، ج8، ص 576.</w:t>
      </w:r>
    </w:p>
    <w:p>
      <w:pPr>
        <w:pStyle w:val="BookText"/>
      </w:pPr>
      <w:r>
        <w:rPr>
          <w:rFonts w:ascii="Amiri" w:hAnsi="Amiri" w:eastAsia="Amiri" w:cs="Amiri"/>
          <w:lang w:bidi="ar-SA"/>
          <w:color w:val="111111"/>
          <w:sz w:val="28"/>
          <w:szCs w:val="28"/>
          <w:rtl/>
        </w:rPr>
        <w:t xml:space="preserve">6 .المعادية، ج 14، ص 833.</w:t>
      </w:r>
    </w:p>
    <w:p>
      <w:pPr>
        <w:pStyle w:val="BookText"/>
      </w:pPr>
      <w:r>
        <w:rPr>
          <w:rFonts w:ascii="IRNazanin" w:hAnsi="IRNazanin" w:eastAsia="IRNazanin" w:cs="IRNazanin"/>
          <w:lang w:bidi="fa-IR"/>
          <w:color w:val="111111"/>
          <w:sz w:val="28"/>
          <w:szCs w:val="28"/>
          <w:rtl/>
        </w:rPr>
        <w:t xml:space="preserve">حسن بن محمّد شریف نسابه -شریف</w:t>
      </w:r>
    </w:p>
    <w:p>
      <w:pPr>
        <w:pStyle w:val="BookText"/>
      </w:pPr>
      <w:r>
        <w:rPr>
          <w:rFonts w:ascii="IRNazanin" w:hAnsi="IRNazanin" w:eastAsia="IRNazanin" w:cs="IRNazanin"/>
          <w:lang w:bidi="fa-IR"/>
          <w:color w:val="111111"/>
          <w:sz w:val="28"/>
          <w:szCs w:val="28"/>
          <w:rtl/>
        </w:rPr>
        <w:t xml:space="preserve">نسابه ، حسن بن محمّد</w:t>
      </w:r>
    </w:p>
    <w:p>
      <w:pPr>
        <w:pStyle w:val="BookText"/>
      </w:pPr>
      <w:r>
        <w:rPr>
          <w:rFonts w:ascii="IRNazanin" w:hAnsi="IRNazanin" w:eastAsia="IRNazanin" w:cs="IRNazanin"/>
          <w:lang w:bidi="fa-IR"/>
          <w:color w:val="111111"/>
          <w:sz w:val="28"/>
          <w:szCs w:val="28"/>
          <w:rtl/>
        </w:rPr>
        <w:t xml:space="preserve">حسن بن محمّد صدرالدین تبريزي - صدر الدين تبريزي ، حسن بن محمّد</w:t>
      </w:r>
    </w:p>
    <w:p>
      <w:pPr>
        <w:pStyle w:val="BookText"/>
      </w:pPr>
      <w:r>
        <w:rPr>
          <w:rFonts w:ascii="Amiri" w:hAnsi="Amiri" w:eastAsia="Amiri" w:cs="Amiri"/>
          <w:lang w:bidi="ar-SA"/>
          <w:color w:val="111111"/>
          <w:sz w:val="28"/>
          <w:szCs w:val="28"/>
          <w:rtl/>
        </w:rPr>
        <w:t xml:space="preserve">حسن بن محمّد صفواني- صفواني ، حسن</w:t>
      </w:r>
    </w:p>
    <w:p>
      <w:pPr>
        <w:pStyle w:val="BookText"/>
      </w:pPr>
      <w:r>
        <w:rPr>
          <w:rFonts w:ascii="Amiri" w:hAnsi="Amiri" w:eastAsia="Amiri" w:cs="Amiri"/>
          <w:lang w:bidi="ar-SA"/>
          <w:color w:val="111111"/>
          <w:sz w:val="28"/>
          <w:szCs w:val="28"/>
          <w:rtl/>
        </w:rPr>
        <w:t xml:space="preserve">حسن بن محمّد صنعاني- صاغاني ، حسن</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حسن بن محمّد عطار -عطار ، حسن بن</w:t>
      </w:r>
    </w:p>
    <w:p>
      <w:pPr>
        <w:pStyle w:val="BookText"/>
      </w:pPr>
      <w:r>
        <w:rPr>
          <w:rFonts w:ascii="Amiri" w:hAnsi="Amiri" w:eastAsia="Amiri" w:cs="Amiri"/>
          <w:lang w:bidi="ar-SA"/>
          <w:color w:val="111111"/>
          <w:sz w:val="28"/>
          <w:szCs w:val="28"/>
          <w:rtl/>
        </w:rPr>
        <w:t xml:space="preserve">محمّد</w:t>
      </w:r>
    </w:p>
    <w:p>
      <w:pPr>
        <w:pStyle w:val="Heading2"/>
      </w:pPr>
      <w:bookmarkStart w:id="3538" w:name="_Toc2640"/>
      <w:r>
        <w:t>حسن بن محمّد علي قرن 13 ه-</w:t>
      </w:r>
      <w:bookmarkEnd w:id="3538"/>
    </w:p>
    <w:p>
      <w:pPr>
        <w:pStyle w:val="BookText"/>
      </w:pPr>
      <w:r>
        <w:rPr>
          <w:rFonts w:ascii="Amiri" w:hAnsi="Amiri" w:eastAsia="Amiri" w:cs="Amiri"/>
          <w:lang w:bidi="ar-SA"/>
          <w:color w:val="111111"/>
          <w:sz w:val="28"/>
          <w:szCs w:val="28"/>
          <w:rtl/>
        </w:rPr>
        <w:t xml:space="preserve">1 .تحقيق بعض مسائل النكاح، ج 4،</w:t>
      </w:r>
    </w:p>
    <w:p>
      <w:pPr>
        <w:pStyle w:val="BookText"/>
      </w:pPr>
      <w:r>
        <w:rPr>
          <w:rFonts w:ascii="IRNazanin" w:hAnsi="IRNazanin" w:eastAsia="IRNazanin" w:cs="IRNazanin"/>
          <w:lang w:bidi="fa-IR"/>
          <w:color w:val="111111"/>
          <w:sz w:val="28"/>
          <w:szCs w:val="28"/>
          <w:rtl/>
        </w:rPr>
        <w:t xml:space="preserve">ص 52 .</w:t>
      </w:r>
    </w:p>
    <w:p>
      <w:pPr>
        <w:pStyle w:val="BookText"/>
      </w:pPr>
      <w:r>
        <w:rPr>
          <w:rFonts w:ascii="Amiri" w:hAnsi="Amiri" w:eastAsia="Amiri" w:cs="Amiri"/>
          <w:lang w:bidi="ar-SA"/>
          <w:color w:val="111111"/>
          <w:sz w:val="28"/>
          <w:szCs w:val="28"/>
          <w:rtl/>
        </w:rPr>
        <w:t xml:space="preserve">2 .حجية الاستصحاب، ج 6، ص 494.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اوصي لواحد، ج 13، ص 660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9" w:name="pg7742_70128"/>
    <w:bookmarkEnd w:id="369"/>
    <w:p>
      <w:pPr>
        <w:pStyle w:val="BookText"/>
      </w:pPr>
      <w:r>
        <w:rPr>
          <w:rFonts w:ascii="Amiri" w:hAnsi="Amiri" w:eastAsia="Amiri" w:cs="Amiri"/>
          <w:lang w:bidi="ar-SA"/>
          <w:color w:val="111111"/>
          <w:sz w:val="28"/>
          <w:szCs w:val="28"/>
          <w:rtl/>
        </w:rPr>
        <w:t xml:space="preserve">حسن بن محمّد علي يزدي- يزدي ، حسن</w:t>
      </w:r>
    </w:p>
    <w:p>
      <w:pPr>
        <w:pStyle w:val="BookText"/>
      </w:pPr>
      <w:r>
        <w:rPr>
          <w:rFonts w:ascii="Amiri" w:hAnsi="Amiri" w:eastAsia="Amiri" w:cs="Amiri"/>
          <w:lang w:bidi="ar-SA"/>
          <w:color w:val="111111"/>
          <w:sz w:val="28"/>
          <w:szCs w:val="28"/>
          <w:rtl/>
        </w:rPr>
        <w:t xml:space="preserve">بن محمّد علي</w:t>
      </w:r>
    </w:p>
    <w:p>
      <w:pPr>
        <w:pStyle w:val="BookText"/>
      </w:pPr>
      <w:r>
        <w:rPr>
          <w:rFonts w:ascii="Amiri" w:hAnsi="Amiri" w:eastAsia="Amiri" w:cs="Amiri"/>
          <w:lang w:bidi="ar-SA"/>
          <w:color w:val="111111"/>
          <w:sz w:val="28"/>
          <w:szCs w:val="28"/>
          <w:rtl/>
        </w:rPr>
        <w:t xml:space="preserve">حسن بن محمّد قيم- قيم ، حسن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حسن بن محمّد کرميني- كرميني ، حسن</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حسن بن محمّد موسوي طباطبائي ساوري</w:t>
      </w:r>
    </w:p>
    <w:p>
      <w:pPr>
        <w:pStyle w:val="BookText"/>
      </w:pPr>
      <w:r>
        <w:rPr>
          <w:rFonts w:ascii="Amiri" w:hAnsi="Amiri" w:eastAsia="Amiri" w:cs="Amiri"/>
          <w:lang w:bidi="ar-SA"/>
          <w:color w:val="111111"/>
          <w:sz w:val="28"/>
          <w:szCs w:val="28"/>
          <w:rtl/>
        </w:rPr>
        <w:t xml:space="preserve">مازندراني- موسوي طباطبائي ، حسن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حسن بن محمّد نجفي -نجفي ، حسن بن محمّد</w:t>
      </w:r>
    </w:p>
    <w:p>
      <w:pPr>
        <w:pStyle w:val="BookText"/>
      </w:pPr>
      <w:r>
        <w:rPr>
          <w:rFonts w:ascii="IRNazanin" w:hAnsi="IRNazanin" w:eastAsia="IRNazanin" w:cs="IRNazanin"/>
          <w:lang w:bidi="fa-IR"/>
          <w:color w:val="111111"/>
          <w:sz w:val="28"/>
          <w:szCs w:val="28"/>
          <w:rtl/>
        </w:rPr>
        <w:t xml:space="preserve">حسن بن محمّد نظام اعرج -نظام الاعرج حسن بن مصطفى</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حسن بن محمّد محمّد نظامي</w:t>
      </w:r>
    </w:p>
    <w:p>
      <w:pPr>
        <w:pStyle w:val="BookText"/>
      </w:pPr>
      <w:r>
        <w:rPr>
          <w:rFonts w:ascii="Amiri" w:hAnsi="Amiri" w:eastAsia="Amiri" w:cs="Amiri"/>
          <w:lang w:bidi="ar-SA"/>
          <w:color w:val="111111"/>
          <w:sz w:val="28"/>
          <w:szCs w:val="28"/>
          <w:rtl/>
        </w:rPr>
        <w:t xml:space="preserve">نيشابوري- نظامي نيشابوري ، حسن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حسن بن محمّد نياز طباطبائي- نياز</w:t>
      </w:r>
    </w:p>
    <w:p>
      <w:pPr>
        <w:pStyle w:val="BookText"/>
      </w:pPr>
      <w:r>
        <w:rPr>
          <w:rFonts w:ascii="Amiri" w:hAnsi="Amiri" w:eastAsia="Amiri" w:cs="Amiri"/>
          <w:lang w:bidi="ar-SA"/>
          <w:color w:val="111111"/>
          <w:sz w:val="28"/>
          <w:szCs w:val="28"/>
          <w:rtl/>
        </w:rPr>
        <w:t xml:space="preserve">طباطبائي ، حسن بن محمّد</w:t>
      </w:r>
    </w:p>
    <w:p>
      <w:pPr>
        <w:pStyle w:val="BookText"/>
      </w:pPr>
      <w:r>
        <w:rPr>
          <w:rFonts w:ascii="Amiri" w:hAnsi="Amiri" w:eastAsia="Amiri" w:cs="Amiri"/>
          <w:lang w:bidi="ar-SA"/>
          <w:color w:val="111111"/>
          <w:sz w:val="28"/>
          <w:szCs w:val="28"/>
          <w:rtl/>
        </w:rPr>
        <w:t xml:space="preserve">حسن بن محمّد نيشابوري - نيشابوري ،</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حسن بن محمّد نيشابوري- واعظ</w:t>
      </w:r>
    </w:p>
    <w:p>
      <w:pPr>
        <w:pStyle w:val="BookText"/>
      </w:pPr>
      <w:r>
        <w:rPr>
          <w:rFonts w:ascii="Amiri" w:hAnsi="Amiri" w:eastAsia="Amiri" w:cs="Amiri"/>
          <w:lang w:bidi="ar-SA"/>
          <w:color w:val="111111"/>
          <w:sz w:val="28"/>
          <w:szCs w:val="28"/>
          <w:rtl/>
        </w:rPr>
        <w:t xml:space="preserve">نيشابوري ، حسن بن محمّد</w:t>
      </w:r>
    </w:p>
    <w:p>
      <w:pPr>
        <w:pStyle w:val="BookText"/>
      </w:pPr>
      <w:r>
        <w:rPr>
          <w:rFonts w:ascii="IRNazanin" w:hAnsi="IRNazanin" w:eastAsia="IRNazanin" w:cs="IRNazanin"/>
          <w:lang w:bidi="fa-IR"/>
          <w:color w:val="111111"/>
          <w:sz w:val="28"/>
          <w:szCs w:val="28"/>
          <w:rtl/>
        </w:rPr>
        <w:t xml:space="preserve">حسن بن محمّد واعظ -حسن بن محمّد</w:t>
      </w:r>
    </w:p>
    <w:p>
      <w:pPr>
        <w:pStyle w:val="BookText"/>
      </w:pPr>
      <w:r>
        <w:rPr>
          <w:rFonts w:ascii="Amiri" w:hAnsi="Amiri" w:eastAsia="Amiri" w:cs="Amiri"/>
          <w:lang w:bidi="ar-SA"/>
          <w:color w:val="111111"/>
          <w:sz w:val="28"/>
          <w:szCs w:val="28"/>
          <w:rtl/>
        </w:rPr>
        <w:t xml:space="preserve">شريف</w:t>
      </w:r>
    </w:p>
    <w:p>
      <w:pPr>
        <w:pStyle w:val="BookText"/>
      </w:pPr>
      <w:r>
        <w:rPr>
          <w:rFonts w:ascii="IRNazanin" w:hAnsi="IRNazanin" w:eastAsia="IRNazanin" w:cs="IRNazanin"/>
          <w:lang w:bidi="fa-IR"/>
          <w:color w:val="111111"/>
          <w:sz w:val="28"/>
          <w:szCs w:val="28"/>
          <w:rtl/>
        </w:rPr>
        <w:t xml:space="preserve">حسن بن محمّد ولي ارومچي- ارومي ،</w:t>
      </w:r>
    </w:p>
    <w:p>
      <w:pPr>
        <w:pStyle w:val="BookText"/>
      </w:pPr>
      <w:r>
        <w:rPr>
          <w:rFonts w:ascii="Amiri" w:hAnsi="Amiri" w:eastAsia="Amiri" w:cs="Amiri"/>
          <w:lang w:bidi="ar-SA"/>
          <w:color w:val="111111"/>
          <w:sz w:val="28"/>
          <w:szCs w:val="28"/>
          <w:rtl/>
        </w:rPr>
        <w:t xml:space="preserve">حسن بن محمّد ولي -</w:t>
      </w:r>
    </w:p>
    <w:p>
      <w:pPr>
        <w:pStyle w:val="BookText"/>
      </w:pPr>
      <w:r>
        <w:rPr>
          <w:rFonts w:ascii="Amiri" w:hAnsi="Amiri" w:eastAsia="Amiri" w:cs="Amiri"/>
          <w:lang w:bidi="ar-SA"/>
          <w:color w:val="111111"/>
          <w:sz w:val="28"/>
          <w:szCs w:val="28"/>
          <w:rtl/>
        </w:rPr>
        <w:t xml:space="preserve">حسن بن محمّد يزدي -يزدي ، حسن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حسن بن محمود البستي- بستي ، حسن</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حسن بن محمود كاشي- كاشي ، حسن 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Amiri" w:hAnsi="Amiri" w:eastAsia="Amiri" w:cs="Amiri"/>
          <w:lang w:bidi="ar-SA"/>
          <w:color w:val="111111"/>
          <w:sz w:val="28"/>
          <w:szCs w:val="28"/>
          <w:rtl/>
        </w:rPr>
        <w:t xml:space="preserve">حسن بن مرتضى طباطبائي (منيب) -طباطبائي ، حسن بن مرتضى</w:t>
      </w:r>
    </w:p>
    <w:p>
      <w:pPr>
        <w:pStyle w:val="BookText"/>
      </w:pPr>
      <w:r>
        <w:rPr>
          <w:rFonts w:ascii="Amiri" w:hAnsi="Amiri" w:eastAsia="Amiri" w:cs="Amiri"/>
          <w:lang w:bidi="ar-SA"/>
          <w:color w:val="111111"/>
          <w:sz w:val="28"/>
          <w:szCs w:val="28"/>
          <w:rtl/>
        </w:rPr>
        <w:t xml:space="preserve">حسن بن مسعود يوسي- يوسي ، حسن بن مسعود</w:t>
      </w:r>
    </w:p>
    <w:p>
      <w:pPr>
        <w:pStyle w:val="BookText"/>
      </w:pPr>
      <w:r>
        <w:rPr>
          <w:rFonts w:ascii="Amiri" w:hAnsi="Amiri" w:eastAsia="Amiri" w:cs="Amiri"/>
          <w:lang w:bidi="ar-SA"/>
          <w:color w:val="111111"/>
          <w:sz w:val="28"/>
          <w:szCs w:val="28"/>
          <w:rtl/>
        </w:rPr>
        <w:t xml:space="preserve">حسن بن مصطفى بوسنوي بوسنوي ،</w:t>
      </w:r>
    </w:p>
    <w:p>
      <w:pPr>
        <w:pStyle w:val="BookText"/>
      </w:pPr>
      <w:r>
        <w:rPr>
          <w:rFonts w:ascii="Amiri" w:hAnsi="Amiri" w:eastAsia="Amiri" w:cs="Amiri"/>
          <w:lang w:bidi="ar-SA"/>
          <w:color w:val="111111"/>
          <w:sz w:val="28"/>
          <w:szCs w:val="28"/>
          <w:rtl/>
        </w:rPr>
        <w:t xml:space="preserve">حسن بن مقدس حسين بحراني- بحراني ،</w:t>
      </w:r>
    </w:p>
    <w:p>
      <w:pPr>
        <w:pStyle w:val="BookText"/>
      </w:pPr>
      <w:r>
        <w:rPr>
          <w:rFonts w:ascii="Amiri" w:hAnsi="Amiri" w:eastAsia="Amiri" w:cs="Amiri"/>
          <w:lang w:bidi="ar-SA"/>
          <w:color w:val="111111"/>
          <w:sz w:val="28"/>
          <w:szCs w:val="28"/>
          <w:rtl/>
        </w:rPr>
        <w:t xml:space="preserve">حسن بن حسين</w:t>
      </w:r>
    </w:p>
    <w:p>
      <w:pPr>
        <w:pStyle w:val="Heading2"/>
      </w:pPr>
      <w:bookmarkStart w:id="3539" w:name="_Toc2641"/>
      <w:r>
        <w:t>حسن بن ملاحیدر قرن 13 ه-</w:t>
      </w:r>
      <w:bookmarkEnd w:id="3539"/>
    </w:p>
    <w:p>
      <w:pPr>
        <w:pStyle w:val="BookText"/>
      </w:pPr>
      <w:r>
        <w:rPr>
          <w:rFonts w:ascii="Amiri" w:hAnsi="Amiri" w:eastAsia="Amiri" w:cs="Amiri"/>
          <w:lang w:bidi="ar-SA"/>
          <w:color w:val="111111"/>
          <w:sz w:val="28"/>
          <w:szCs w:val="28"/>
          <w:rtl/>
        </w:rPr>
        <w:t xml:space="preserve">حاشية الهبات، ج 6، ص 444.</w:t>
      </w:r>
    </w:p>
    <w:p>
      <w:pPr>
        <w:pStyle w:val="BookText"/>
      </w:pPr>
      <w:r>
        <w:rPr>
          <w:rFonts w:ascii="Amiri" w:hAnsi="Amiri" w:eastAsia="Amiri" w:cs="Amiri"/>
          <w:lang w:bidi="ar-SA"/>
          <w:color w:val="111111"/>
          <w:sz w:val="28"/>
          <w:szCs w:val="28"/>
          <w:rtl/>
        </w:rPr>
        <w:t xml:space="preserve">حسن بن منصور اوزجندي فرغاني - قاضيخان ، حسن بن منصور</w:t>
      </w:r>
    </w:p>
    <w:p>
      <w:pPr>
        <w:pStyle w:val="BookText"/>
      </w:pPr>
      <w:r>
        <w:rPr>
          <w:rFonts w:ascii="Amiri" w:hAnsi="Amiri" w:eastAsia="Amiri" w:cs="Amiri"/>
          <w:lang w:bidi="ar-SA"/>
          <w:color w:val="111111"/>
          <w:sz w:val="28"/>
          <w:szCs w:val="28"/>
          <w:rtl/>
        </w:rPr>
        <w:t xml:space="preserve">حسن بن موسى بغدادي الاشيب - اشيب ،قاسم بن موسى</w:t>
      </w:r>
    </w:p>
    <w:p>
      <w:pPr>
        <w:pStyle w:val="BookText"/>
      </w:pPr>
      <w:r>
        <w:rPr>
          <w:rFonts w:ascii="IRNazanin" w:hAnsi="IRNazanin" w:eastAsia="IRNazanin" w:cs="IRNazanin"/>
          <w:lang w:bidi="fa-IR"/>
          <w:color w:val="111111"/>
          <w:sz w:val="28"/>
          <w:szCs w:val="28"/>
          <w:rtl/>
        </w:rPr>
        <w:t xml:space="preserve">حسن بن موسی كردي باني -كردي باني</w:t>
      </w:r>
    </w:p>
    <w:p>
      <w:pPr>
        <w:pStyle w:val="BookText"/>
      </w:pPr>
      <w:r>
        <w:rPr>
          <w:rFonts w:ascii="IRNazanin" w:hAnsi="IRNazanin" w:eastAsia="IRNazanin" w:cs="IRNazanin"/>
          <w:lang w:bidi="fa-IR"/>
          <w:color w:val="111111"/>
          <w:sz w:val="28"/>
          <w:szCs w:val="28"/>
          <w:rtl/>
        </w:rPr>
        <w:t xml:space="preserve">حسن بن موسى</w:t>
      </w:r>
    </w:p>
    <w:p>
      <w:pPr>
        <w:pStyle w:val="BookText"/>
      </w:pPr>
      <w:r>
        <w:rPr>
          <w:rFonts w:ascii="IRNazanin" w:hAnsi="IRNazanin" w:eastAsia="IRNazanin" w:cs="IRNazanin"/>
          <w:lang w:bidi="fa-IR"/>
          <w:color w:val="111111"/>
          <w:sz w:val="28"/>
          <w:szCs w:val="28"/>
          <w:rtl/>
        </w:rPr>
        <w:t xml:space="preserve">حسن بن موسی نوبختي -نوبختي</w:t>
      </w:r>
    </w:p>
    <w:p>
      <w:pPr>
        <w:pStyle w:val="BookText"/>
      </w:pPr>
      <w:r>
        <w:rPr>
          <w:rFonts w:ascii="IRNazanin" w:hAnsi="IRNazanin" w:eastAsia="IRNazanin" w:cs="IRNazanin"/>
          <w:lang w:bidi="fa-IR"/>
          <w:color w:val="111111"/>
          <w:sz w:val="28"/>
          <w:szCs w:val="28"/>
          <w:rtl/>
        </w:rPr>
        <w:t xml:space="preserve">حسن بن موسى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0" w:name="pg7742_70130"/>
    <w:bookmarkEnd w:id="370"/>
    <w:p>
      <w:pPr>
        <w:pStyle w:val="BookText"/>
      </w:pPr>
      <w:r>
        <w:rPr>
          <w:rFonts w:ascii="IRNazanin" w:hAnsi="IRNazanin" w:eastAsia="IRNazanin" w:cs="IRNazanin"/>
          <w:lang w:bidi="fa-IR"/>
          <w:color w:val="111111"/>
          <w:sz w:val="28"/>
          <w:szCs w:val="28"/>
          <w:rtl/>
        </w:rPr>
        <w:t xml:space="preserve">حسن بن ميرزا هدایت الله حسيني</w:t>
      </w:r>
    </w:p>
    <w:p>
      <w:pPr>
        <w:pStyle w:val="BookText"/>
      </w:pPr>
      <w:r>
        <w:rPr>
          <w:rFonts w:ascii="Amiri" w:hAnsi="Amiri" w:eastAsia="Amiri" w:cs="Amiri"/>
          <w:lang w:bidi="ar-SA"/>
          <w:color w:val="111111"/>
          <w:sz w:val="28"/>
          <w:szCs w:val="28"/>
          <w:rtl/>
        </w:rPr>
        <w:t xml:space="preserve">عسكري -عسكري ، محمّد حسن بن هدايت</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حسن بن نصر بن خميس -ابن خميس ،</w:t>
      </w:r>
    </w:p>
    <w:p>
      <w:pPr>
        <w:pStyle w:val="BookText"/>
      </w:pPr>
      <w:r>
        <w:rPr>
          <w:rFonts w:ascii="Amiri" w:hAnsi="Amiri" w:eastAsia="Amiri" w:cs="Amiri"/>
          <w:lang w:bidi="ar-SA"/>
          <w:color w:val="111111"/>
          <w:sz w:val="28"/>
          <w:szCs w:val="28"/>
          <w:rtl/>
        </w:rPr>
        <w:t xml:space="preserve">حسين بن نصر</w:t>
      </w:r>
    </w:p>
    <w:p>
      <w:pPr>
        <w:pStyle w:val="BookText"/>
      </w:pPr>
      <w:r>
        <w:rPr>
          <w:rFonts w:ascii="Amiri" w:hAnsi="Amiri" w:eastAsia="Amiri" w:cs="Amiri"/>
          <w:lang w:bidi="ar-SA"/>
          <w:color w:val="111111"/>
          <w:sz w:val="28"/>
          <w:szCs w:val="28"/>
          <w:rtl/>
        </w:rPr>
        <w:t xml:space="preserve">حسن بن نوح قمري -ابومنصور قمري ،</w:t>
      </w:r>
    </w:p>
    <w:p>
      <w:pPr>
        <w:pStyle w:val="BookText"/>
      </w:pPr>
      <w:r>
        <w:rPr>
          <w:rFonts w:ascii="IRNazanin" w:hAnsi="IRNazanin" w:eastAsia="IRNazanin" w:cs="IRNazanin"/>
          <w:lang w:bidi="fa-IR"/>
          <w:color w:val="111111"/>
          <w:sz w:val="28"/>
          <w:szCs w:val="28"/>
          <w:rtl/>
        </w:rPr>
        <w:t xml:space="preserve">حسن بن نوح</w:t>
      </w:r>
    </w:p>
    <w:p>
      <w:pPr>
        <w:pStyle w:val="Heading2"/>
      </w:pPr>
      <w:bookmarkStart w:id="3540" w:name="_Toc2642"/>
      <w:r>
        <w:t>حسن بن نوري</w:t>
      </w:r>
      <w:bookmarkEnd w:id="3540"/>
    </w:p>
    <w:p>
      <w:pPr>
        <w:pStyle w:val="BookText"/>
      </w:pPr>
      <w:r>
        <w:rPr>
          <w:rFonts w:ascii="IRNazanin" w:hAnsi="IRNazanin" w:eastAsia="IRNazanin" w:cs="IRNazanin"/>
          <w:lang w:bidi="fa-IR"/>
          <w:color w:val="111111"/>
          <w:sz w:val="28"/>
          <w:szCs w:val="28"/>
          <w:rtl/>
        </w:rPr>
        <w:t xml:space="preserve">شرح ابیات سعدي، ج 9، ص 146.</w:t>
      </w:r>
    </w:p>
    <w:p>
      <w:pPr>
        <w:pStyle w:val="BookText"/>
      </w:pPr>
      <w:r>
        <w:rPr>
          <w:rFonts w:ascii="Amiri" w:hAnsi="Amiri" w:eastAsia="Amiri" w:cs="Amiri"/>
          <w:lang w:bidi="ar-SA"/>
          <w:color w:val="111111"/>
          <w:sz w:val="28"/>
          <w:szCs w:val="28"/>
          <w:rtl/>
        </w:rPr>
        <w:t xml:space="preserve">حسن بن هادي صدر عاملي- صدر</w:t>
      </w:r>
    </w:p>
    <w:p>
      <w:pPr>
        <w:pStyle w:val="BookText"/>
      </w:pPr>
      <w:r>
        <w:rPr>
          <w:rFonts w:ascii="Amiri" w:hAnsi="Amiri" w:eastAsia="Amiri" w:cs="Amiri"/>
          <w:lang w:bidi="ar-SA"/>
          <w:color w:val="111111"/>
          <w:sz w:val="28"/>
          <w:szCs w:val="28"/>
          <w:rtl/>
        </w:rPr>
        <w:t xml:space="preserve">حسن بن هادي</w:t>
      </w:r>
    </w:p>
    <w:p>
      <w:pPr>
        <w:pStyle w:val="BookText"/>
      </w:pPr>
      <w:r>
        <w:rPr>
          <w:rFonts w:ascii="Amiri" w:hAnsi="Amiri" w:eastAsia="Amiri" w:cs="Amiri"/>
          <w:lang w:bidi="ar-SA"/>
          <w:color w:val="111111"/>
          <w:sz w:val="28"/>
          <w:szCs w:val="28"/>
          <w:rtl/>
        </w:rPr>
        <w:t xml:space="preserve">حسن بن هاشم عيدروسي - عيدروسي ،</w:t>
      </w:r>
    </w:p>
    <w:p>
      <w:pPr>
        <w:pStyle w:val="BookText"/>
      </w:pPr>
      <w:r>
        <w:rPr>
          <w:rFonts w:ascii="IRNazanin" w:hAnsi="IRNazanin" w:eastAsia="IRNazanin" w:cs="IRNazanin"/>
          <w:lang w:bidi="fa-IR"/>
          <w:color w:val="111111"/>
          <w:sz w:val="28"/>
          <w:szCs w:val="28"/>
          <w:rtl/>
        </w:rPr>
        <w:t xml:space="preserve">حسن بن هاشم</w:t>
      </w:r>
    </w:p>
    <w:p>
      <w:pPr>
        <w:pStyle w:val="BookText"/>
      </w:pPr>
      <w:r>
        <w:rPr>
          <w:rFonts w:ascii="Amiri" w:hAnsi="Amiri" w:eastAsia="Amiri" w:cs="Amiri"/>
          <w:lang w:bidi="ar-SA"/>
          <w:color w:val="111111"/>
          <w:sz w:val="28"/>
          <w:szCs w:val="28"/>
          <w:rtl/>
        </w:rPr>
        <w:t xml:space="preserve">حسن بن هاني ابونواس- ابونواس</w:t>
      </w:r>
    </w:p>
    <w:p>
      <w:pPr>
        <w:pStyle w:val="BookText"/>
      </w:pPr>
      <w:r>
        <w:rPr>
          <w:rFonts w:ascii="Amiri" w:hAnsi="Amiri" w:eastAsia="Amiri" w:cs="Amiri"/>
          <w:lang w:bidi="ar-SA"/>
          <w:color w:val="111111"/>
          <w:sz w:val="28"/>
          <w:szCs w:val="28"/>
          <w:rtl/>
        </w:rPr>
        <w:t xml:space="preserve">حسن بن هاني</w:t>
      </w:r>
    </w:p>
    <w:p>
      <w:pPr>
        <w:pStyle w:val="BookText"/>
      </w:pPr>
      <w:r>
        <w:rPr>
          <w:rFonts w:ascii="Amiri" w:hAnsi="Amiri" w:eastAsia="Amiri" w:cs="Amiri"/>
          <w:lang w:bidi="ar-SA"/>
          <w:color w:val="111111"/>
          <w:sz w:val="28"/>
          <w:szCs w:val="28"/>
          <w:rtl/>
        </w:rPr>
        <w:t xml:space="preserve">حسن بن هبة الله طبيب بغدادي - ابن</w:t>
      </w:r>
    </w:p>
    <w:p>
      <w:pPr>
        <w:pStyle w:val="BookText"/>
      </w:pPr>
      <w:r>
        <w:rPr>
          <w:rFonts w:ascii="Amiri" w:hAnsi="Amiri" w:eastAsia="Amiri" w:cs="Amiri"/>
          <w:lang w:bidi="ar-SA"/>
          <w:color w:val="111111"/>
          <w:sz w:val="28"/>
          <w:szCs w:val="28"/>
          <w:rtl/>
        </w:rPr>
        <w:t xml:space="preserve">هبة الله ، سعيد بن هبة الله</w:t>
      </w:r>
    </w:p>
    <w:p>
      <w:pPr>
        <w:pStyle w:val="BookText"/>
      </w:pPr>
      <w:r>
        <w:rPr>
          <w:rFonts w:ascii="Amiri" w:hAnsi="Amiri" w:eastAsia="Amiri" w:cs="Amiri"/>
          <w:lang w:bidi="ar-SA"/>
          <w:color w:val="111111"/>
          <w:sz w:val="28"/>
          <w:szCs w:val="28"/>
          <w:rtl/>
        </w:rPr>
        <w:t xml:space="preserve">حسن بن يسار البصري- حسن بصري</w:t>
      </w:r>
    </w:p>
    <w:p>
      <w:pPr>
        <w:pStyle w:val="BookText"/>
      </w:pPr>
      <w:r>
        <w:rPr>
          <w:rFonts w:ascii="Amiri" w:hAnsi="Amiri" w:eastAsia="Amiri" w:cs="Amiri"/>
          <w:lang w:bidi="ar-SA"/>
          <w:color w:val="111111"/>
          <w:sz w:val="28"/>
          <w:szCs w:val="28"/>
          <w:rtl/>
        </w:rPr>
        <w:t xml:space="preserve">حسن بن يوسف حلي- علامه حلي ،</w:t>
      </w:r>
    </w:p>
    <w:p>
      <w:pPr>
        <w:pStyle w:val="BookText"/>
      </w:pPr>
      <w:r>
        <w:rPr>
          <w:rFonts w:ascii="Amiri" w:hAnsi="Amiri" w:eastAsia="Amiri" w:cs="Amiri"/>
          <w:lang w:bidi="ar-SA"/>
          <w:color w:val="111111"/>
          <w:sz w:val="28"/>
          <w:szCs w:val="28"/>
          <w:rtl/>
        </w:rPr>
        <w:t xml:space="preserve">حسن بن يوسف</w:t>
      </w:r>
    </w:p>
    <w:p>
      <w:pPr>
        <w:pStyle w:val="BookText"/>
      </w:pPr>
      <w:r>
        <w:rPr>
          <w:rFonts w:ascii="IRNazanin" w:hAnsi="IRNazanin" w:eastAsia="IRNazanin" w:cs="IRNazanin"/>
          <w:lang w:bidi="fa-IR"/>
          <w:color w:val="111111"/>
          <w:sz w:val="28"/>
          <w:szCs w:val="28"/>
          <w:rtl/>
        </w:rPr>
        <w:t xml:space="preserve">حسن پاشا بن اسود- اسود ، حسن بن</w:t>
      </w:r>
    </w:p>
    <w:p>
      <w:pPr>
        <w:pStyle w:val="BookText"/>
      </w:pPr>
      <w:r>
        <w:rPr>
          <w:rFonts w:ascii="Amiri" w:hAnsi="Amiri" w:eastAsia="Amiri" w:cs="Amiri"/>
          <w:lang w:bidi="ar-SA"/>
          <w:color w:val="111111"/>
          <w:sz w:val="28"/>
          <w:szCs w:val="28"/>
          <w:rtl/>
        </w:rPr>
        <w:t xml:space="preserve">علاء الدين</w:t>
      </w:r>
    </w:p>
    <w:p>
      <w:pPr>
        <w:pStyle w:val="Heading2"/>
      </w:pPr>
      <w:bookmarkStart w:id="3541" w:name="_Toc2643"/>
      <w:r>
        <w:t>حسن پاشازاده، محمّد سعید بن حسن</w:t>
      </w:r>
      <w:bookmarkEnd w:id="35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1196ه-</w:t>
      </w:r>
    </w:p>
    <w:p>
      <w:pPr>
        <w:pStyle w:val="BookText"/>
      </w:pPr>
      <w:r>
        <w:rPr>
          <w:rFonts w:ascii="Amiri" w:hAnsi="Amiri" w:eastAsia="Amiri" w:cs="Amiri"/>
          <w:lang w:bidi="ar-SA"/>
          <w:color w:val="111111"/>
          <w:sz w:val="28"/>
          <w:szCs w:val="28"/>
          <w:rtl/>
        </w:rPr>
        <w:t xml:space="preserve">فتح الوهاب في شرح رسالة الآداب</w:t>
      </w:r>
    </w:p>
    <w:p>
      <w:pPr>
        <w:pStyle w:val="BookText"/>
      </w:pPr>
      <w:r>
        <w:rPr>
          <w:rFonts w:ascii="IRNazanin" w:hAnsi="IRNazanin" w:eastAsia="IRNazanin" w:cs="IRNazanin"/>
          <w:lang w:bidi="fa-IR"/>
          <w:color w:val="111111"/>
          <w:sz w:val="28"/>
          <w:szCs w:val="28"/>
          <w:rtl/>
        </w:rPr>
        <w:t xml:space="preserve">ج 11 ، ص 696 .</w:t>
      </w:r>
    </w:p>
    <w:p>
      <w:pPr>
        <w:pStyle w:val="BookText"/>
      </w:pPr>
      <w:r>
        <w:rPr>
          <w:rFonts w:ascii="Amiri" w:hAnsi="Amiri" w:eastAsia="Amiri" w:cs="Amiri"/>
          <w:lang w:bidi="ar-SA"/>
          <w:color w:val="111111"/>
          <w:sz w:val="28"/>
          <w:szCs w:val="28"/>
          <w:rtl/>
        </w:rPr>
        <w:t xml:space="preserve">حسن ترك- ترك ، حسن</w:t>
      </w:r>
    </w:p>
    <w:p>
      <w:pPr>
        <w:pStyle w:val="BookText"/>
      </w:pPr>
      <w:r>
        <w:rPr>
          <w:rFonts w:ascii="Amiri" w:hAnsi="Amiri" w:eastAsia="Amiri" w:cs="Amiri"/>
          <w:lang w:bidi="ar-SA"/>
          <w:color w:val="111111"/>
          <w:sz w:val="28"/>
          <w:szCs w:val="28"/>
          <w:rtl/>
        </w:rPr>
        <w:t xml:space="preserve">حسن جريدي - جريدي ، حسن</w:t>
      </w:r>
    </w:p>
    <w:p>
      <w:pPr>
        <w:pStyle w:val="Heading2"/>
      </w:pPr>
      <w:bookmarkStart w:id="3542" w:name="_Toc2644"/>
      <w:r>
        <w:t>حسن جلال الدين بن علي حسن قرن 10ه-</w:t>
      </w:r>
      <w:bookmarkEnd w:id="3542"/>
    </w:p>
    <w:p>
      <w:pPr>
        <w:pStyle w:val="BookText"/>
      </w:pPr>
      <w:r>
        <w:rPr>
          <w:rFonts w:ascii="Amiri" w:hAnsi="Amiri" w:eastAsia="Amiri" w:cs="Amiri"/>
          <w:lang w:bidi="ar-SA"/>
          <w:color w:val="111111"/>
          <w:sz w:val="28"/>
          <w:szCs w:val="28"/>
          <w:rtl/>
        </w:rPr>
        <w:t xml:space="preserve">نسب الطالبية، ج 16، ص 268.</w:t>
      </w:r>
    </w:p>
    <w:p>
      <w:pPr>
        <w:pStyle w:val="BookText"/>
      </w:pPr>
      <w:r>
        <w:rPr>
          <w:rFonts w:ascii="Amiri" w:hAnsi="Amiri" w:eastAsia="Amiri" w:cs="Amiri"/>
          <w:lang w:bidi="ar-SA"/>
          <w:color w:val="111111"/>
          <w:sz w:val="28"/>
          <w:szCs w:val="28"/>
          <w:rtl/>
        </w:rPr>
        <w:t xml:space="preserve">حسن حبار موصلي- دركزلي ، حسن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حسن حسني باشا بن حسين عارف- طويراني ، حسن بن حسين عارف</w:t>
      </w:r>
    </w:p>
    <w:p>
      <w:pPr>
        <w:pStyle w:val="BookText"/>
      </w:pPr>
      <w:r>
        <w:rPr>
          <w:rFonts w:ascii="Amiri" w:hAnsi="Amiri" w:eastAsia="Amiri" w:cs="Amiri"/>
          <w:lang w:bidi="ar-SA"/>
          <w:color w:val="111111"/>
          <w:sz w:val="28"/>
          <w:szCs w:val="28"/>
          <w:rtl/>
        </w:rPr>
        <w:t xml:space="preserve">حسن حسيني برزنجي - حسيني برزنجي حسن</w:t>
      </w:r>
    </w:p>
    <w:p>
      <w:pPr>
        <w:pStyle w:val="BookText"/>
      </w:pPr>
      <w:r>
        <w:rPr>
          <w:rFonts w:ascii="IRNazanin" w:hAnsi="IRNazanin" w:eastAsia="IRNazanin" w:cs="IRNazanin"/>
          <w:lang w:bidi="fa-IR"/>
          <w:color w:val="111111"/>
          <w:sz w:val="28"/>
          <w:szCs w:val="28"/>
          <w:rtl/>
        </w:rPr>
        <w:t xml:space="preserve">حسن رجب</w:t>
      </w:r>
    </w:p>
    <w:p>
      <w:pPr>
        <w:pStyle w:val="BookText"/>
      </w:pPr>
      <w:r>
        <w:rPr>
          <w:rFonts w:ascii="IRNazanin" w:hAnsi="IRNazanin" w:eastAsia="IRNazanin" w:cs="IRNazanin"/>
          <w:lang w:bidi="fa-IR"/>
          <w:color w:val="111111"/>
          <w:sz w:val="28"/>
          <w:szCs w:val="28"/>
          <w:rtl/>
        </w:rPr>
        <w:t xml:space="preserve">1 .احادیث و مواعظ، ج 1، ص 432</w:t>
      </w:r>
    </w:p>
    <w:p>
      <w:pPr>
        <w:pStyle w:val="BookText"/>
      </w:pPr>
      <w:r>
        <w:rPr>
          <w:rFonts w:ascii="Amiri" w:hAnsi="Amiri" w:eastAsia="Amiri" w:cs="Amiri"/>
          <w:lang w:bidi="ar-SA"/>
          <w:color w:val="111111"/>
          <w:sz w:val="28"/>
          <w:szCs w:val="28"/>
          <w:rtl/>
        </w:rPr>
        <w:t xml:space="preserve">2 .جملة نكت و قصائد، ج 5، ص 443.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فضائل شهر رجب و شعبان و رمضان وليلة القدر و ليلة الفطر</w:t>
      </w:r>
    </w:p>
    <w:p>
      <w:pPr>
        <w:pStyle w:val="BookText"/>
      </w:pPr>
      <w:r>
        <w:rPr>
          <w:rFonts w:ascii="IRNazanin" w:hAnsi="IRNazanin" w:eastAsia="IRNazanin" w:cs="IRNazanin"/>
          <w:lang w:bidi="fa-IR"/>
          <w:color w:val="111111"/>
          <w:sz w:val="28"/>
          <w:szCs w:val="28"/>
          <w:rtl/>
        </w:rPr>
        <w:t xml:space="preserve">و فضائل الصوم، ج 12، ص 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قصص الانبياء، ج 12، ص 625.</w:t>
      </w:r>
    </w:p>
    <w:p>
      <w:pPr>
        <w:pStyle w:val="BookText"/>
      </w:pPr>
      <w:r>
        <w:rPr>
          <w:rFonts w:ascii="IRNazanin" w:hAnsi="IRNazanin" w:eastAsia="IRNazanin" w:cs="IRNazanin"/>
          <w:lang w:bidi="fa-IR"/>
          <w:color w:val="111111"/>
          <w:sz w:val="28"/>
          <w:szCs w:val="28"/>
          <w:rtl/>
        </w:rPr>
        <w:t xml:space="preserve">حسن شاه بن شرف الدين بقالي عجمي -بقال ، شرف الدین حسن شاه</w:t>
      </w:r>
    </w:p>
    <w:p>
      <w:pPr>
        <w:pStyle w:val="BookText"/>
      </w:pPr>
      <w:r>
        <w:rPr>
          <w:rFonts w:ascii="Amiri" w:hAnsi="Amiri" w:eastAsia="Amiri" w:cs="Amiri"/>
          <w:lang w:bidi="ar-SA"/>
          <w:color w:val="111111"/>
          <w:sz w:val="28"/>
          <w:szCs w:val="28"/>
          <w:rtl/>
        </w:rPr>
        <w:t xml:space="preserve">حسن شريف بن جرجيس موصلي شافعي قادري- شريف موصلي ، حسن بن جرجيس</w:t>
      </w:r>
    </w:p>
    <w:p>
      <w:pPr>
        <w:pStyle w:val="BookText"/>
      </w:pPr>
      <w:r>
        <w:rPr>
          <w:rFonts w:ascii="Amiri" w:hAnsi="Amiri" w:eastAsia="Amiri" w:cs="Amiri"/>
          <w:lang w:bidi="ar-SA"/>
          <w:color w:val="111111"/>
          <w:sz w:val="28"/>
          <w:szCs w:val="28"/>
          <w:rtl/>
        </w:rPr>
        <w:t xml:space="preserve">حسن طولوني -طولوني ، حسن بن احمد</w:t>
      </w:r>
    </w:p>
    <w:p>
      <w:pPr>
        <w:pStyle w:val="Heading2"/>
      </w:pPr>
      <w:bookmarkStart w:id="3543" w:name="_Toc2645"/>
      <w:r>
        <w:t>حسن ، عبدالله</w:t>
      </w:r>
      <w:bookmarkEnd w:id="3543"/>
    </w:p>
    <w:p>
      <w:pPr>
        <w:pStyle w:val="BookText"/>
      </w:pPr>
      <w:r>
        <w:rPr>
          <w:rFonts w:ascii="Amiri" w:hAnsi="Amiri" w:eastAsia="Amiri" w:cs="Amiri"/>
          <w:lang w:bidi="ar-SA"/>
          <w:color w:val="111111"/>
          <w:sz w:val="28"/>
          <w:szCs w:val="28"/>
          <w:rtl/>
        </w:rPr>
        <w:t xml:space="preserve">المعتصم بولاية اهل البيت ج 15</w:t>
      </w:r>
    </w:p>
    <w:p>
      <w:pPr>
        <w:pStyle w:val="BookText"/>
      </w:pPr>
      <w:r>
        <w:rPr>
          <w:rFonts w:ascii="IRNazanin" w:hAnsi="IRNazanin" w:eastAsia="IRNazanin" w:cs="IRNazanin"/>
          <w:lang w:bidi="fa-IR"/>
          <w:color w:val="111111"/>
          <w:sz w:val="28"/>
          <w:szCs w:val="28"/>
          <w:rtl/>
        </w:rPr>
        <w:t xml:space="preserve">ص 5.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1" w:name="pg7742_70132"/>
    <w:bookmarkEnd w:id="371"/>
    <w:p>
      <w:pPr>
        <w:pStyle w:val="BookText"/>
      </w:pPr>
      <w:r>
        <w:rPr>
          <w:rFonts w:ascii="Amiri" w:hAnsi="Amiri" w:eastAsia="Amiri" w:cs="Amiri"/>
          <w:lang w:bidi="ar-SA"/>
          <w:color w:val="111111"/>
          <w:sz w:val="28"/>
          <w:szCs w:val="28"/>
          <w:rtl/>
        </w:rPr>
        <w:t xml:space="preserve">حسن عدوي -عدوي ، حسن</w:t>
      </w:r>
    </w:p>
    <w:p>
      <w:pPr>
        <w:pStyle w:val="BookText"/>
      </w:pPr>
      <w:r>
        <w:rPr>
          <w:rFonts w:ascii="Amiri" w:hAnsi="Amiri" w:eastAsia="Amiri" w:cs="Amiri"/>
          <w:lang w:bidi="ar-SA"/>
          <w:color w:val="111111"/>
          <w:sz w:val="28"/>
          <w:szCs w:val="28"/>
          <w:rtl/>
        </w:rPr>
        <w:t xml:space="preserve">حسنعلي بن عبدالله تستري- تستري ،</w:t>
      </w:r>
    </w:p>
    <w:p>
      <w:pPr>
        <w:pStyle w:val="BookText"/>
      </w:pPr>
      <w:r>
        <w:rPr>
          <w:rFonts w:ascii="Amiri" w:hAnsi="Amiri" w:eastAsia="Amiri" w:cs="Amiri"/>
          <w:lang w:bidi="ar-SA"/>
          <w:color w:val="111111"/>
          <w:sz w:val="28"/>
          <w:szCs w:val="28"/>
          <w:rtl/>
        </w:rPr>
        <w:t xml:space="preserve">حسنعلي بن عبدالله</w:t>
      </w:r>
    </w:p>
    <w:p>
      <w:pPr>
        <w:pStyle w:val="BookText"/>
      </w:pPr>
      <w:r>
        <w:rPr>
          <w:rFonts w:ascii="Amiri" w:hAnsi="Amiri" w:eastAsia="Amiri" w:cs="Amiri"/>
          <w:lang w:bidi="ar-SA"/>
          <w:color w:val="111111"/>
          <w:sz w:val="28"/>
          <w:szCs w:val="28"/>
          <w:rtl/>
        </w:rPr>
        <w:t xml:space="preserve">حسن فسائي -فسائي ، حسن بن حسن</w:t>
      </w:r>
    </w:p>
    <w:p>
      <w:pPr>
        <w:pStyle w:val="BookText"/>
      </w:pPr>
      <w:r>
        <w:rPr>
          <w:rFonts w:ascii="IRNazanin" w:hAnsi="IRNazanin" w:eastAsia="IRNazanin" w:cs="IRNazanin"/>
          <w:lang w:bidi="fa-IR"/>
          <w:color w:val="111111"/>
          <w:sz w:val="28"/>
          <w:szCs w:val="28"/>
          <w:rtl/>
        </w:rPr>
        <w:t xml:space="preserve">حسن قاضي خان- قاضیخان ، حسن بن</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IRNazanin" w:hAnsi="IRNazanin" w:eastAsia="IRNazanin" w:cs="IRNazanin"/>
          <w:lang w:bidi="fa-IR"/>
          <w:color w:val="111111"/>
          <w:sz w:val="28"/>
          <w:szCs w:val="28"/>
          <w:rtl/>
        </w:rPr>
        <w:t xml:space="preserve">حسن قاضی زاده- قاضي زاده ، حسن</w:t>
      </w:r>
    </w:p>
    <w:p>
      <w:pPr>
        <w:pStyle w:val="BookText"/>
      </w:pPr>
      <w:r>
        <w:rPr>
          <w:rFonts w:ascii="Amiri" w:hAnsi="Amiri" w:eastAsia="Amiri" w:cs="Amiri"/>
          <w:lang w:bidi="ar-SA"/>
          <w:color w:val="111111"/>
          <w:sz w:val="28"/>
          <w:szCs w:val="28"/>
          <w:rtl/>
        </w:rPr>
        <w:t xml:space="preserve">حسنكا رازي ، علي بن عبيد الله -منتجب</w:t>
      </w:r>
    </w:p>
    <w:p>
      <w:pPr>
        <w:pStyle w:val="BookText"/>
      </w:pPr>
      <w:r>
        <w:rPr>
          <w:rFonts w:ascii="IRNazanin" w:hAnsi="IRNazanin" w:eastAsia="IRNazanin" w:cs="IRNazanin"/>
          <w:lang w:bidi="fa-IR"/>
          <w:color w:val="111111"/>
          <w:sz w:val="28"/>
          <w:szCs w:val="28"/>
          <w:rtl/>
        </w:rPr>
        <w:t xml:space="preserve">الدین رازي ، علي بن عبيد الله</w:t>
      </w:r>
    </w:p>
    <w:p>
      <w:pPr>
        <w:pStyle w:val="BookText"/>
      </w:pPr>
      <w:r>
        <w:rPr>
          <w:rFonts w:ascii="Amiri" w:hAnsi="Amiri" w:eastAsia="Amiri" w:cs="Amiri"/>
          <w:lang w:bidi="ar-SA"/>
          <w:color w:val="111111"/>
          <w:sz w:val="28"/>
          <w:szCs w:val="28"/>
          <w:rtl/>
        </w:rPr>
        <w:t xml:space="preserve">حسن كافي آق حصاري -كافي آق حصاري ،</w:t>
      </w:r>
    </w:p>
    <w:p>
      <w:pPr>
        <w:pStyle w:val="BookText"/>
      </w:pPr>
      <w:r>
        <w:rPr>
          <w:rFonts w:ascii="IRNazanin" w:hAnsi="IRNazanin" w:eastAsia="IRNazanin" w:cs="IRNazanin"/>
          <w:lang w:bidi="fa-IR"/>
          <w:color w:val="111111"/>
          <w:sz w:val="28"/>
          <w:szCs w:val="28"/>
          <w:rtl/>
        </w:rPr>
        <w:t xml:space="preserve">حسن بن طرخان</w:t>
      </w:r>
    </w:p>
    <w:p>
      <w:pPr>
        <w:pStyle w:val="BookText"/>
      </w:pPr>
      <w:r>
        <w:rPr>
          <w:rFonts w:ascii="Amiri" w:hAnsi="Amiri" w:eastAsia="Amiri" w:cs="Amiri"/>
          <w:lang w:bidi="ar-SA"/>
          <w:color w:val="111111"/>
          <w:sz w:val="28"/>
          <w:szCs w:val="28"/>
          <w:rtl/>
        </w:rPr>
        <w:t xml:space="preserve">حسن كمخيلي مدني- كمخيلي مدني ،</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حسن نجل الشيخ -نجل الشيخ ، حسن</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حسن نظامي- نظام الاعرج ، حسن بن محمّد</w:t>
      </w:r>
    </w:p>
    <w:p>
      <w:pPr>
        <w:pStyle w:val="BookText"/>
      </w:pPr>
      <w:r>
        <w:rPr>
          <w:rFonts w:ascii="Amiri" w:hAnsi="Amiri" w:eastAsia="Amiri" w:cs="Amiri"/>
          <w:lang w:bidi="ar-SA"/>
          <w:color w:val="111111"/>
          <w:sz w:val="28"/>
          <w:szCs w:val="28"/>
          <w:rtl/>
        </w:rPr>
        <w:t xml:space="preserve">حسن نظامي ، حسن بن محمّد- نظامي</w:t>
      </w:r>
    </w:p>
    <w:p>
      <w:pPr>
        <w:pStyle w:val="BookText"/>
      </w:pPr>
      <w:r>
        <w:rPr>
          <w:rFonts w:ascii="Amiri" w:hAnsi="Amiri" w:eastAsia="Amiri" w:cs="Amiri"/>
          <w:lang w:bidi="ar-SA"/>
          <w:color w:val="111111"/>
          <w:sz w:val="28"/>
          <w:szCs w:val="28"/>
          <w:rtl/>
        </w:rPr>
        <w:t xml:space="preserve">نيشابوري ، حسن بن محمّد</w:t>
      </w:r>
    </w:p>
    <w:p>
      <w:pPr>
        <w:pStyle w:val="BookText"/>
      </w:pPr>
      <w:r>
        <w:rPr>
          <w:rFonts w:ascii="IRNazanin" w:hAnsi="IRNazanin" w:eastAsia="IRNazanin" w:cs="IRNazanin"/>
          <w:lang w:bidi="fa-IR"/>
          <w:color w:val="111111"/>
          <w:sz w:val="28"/>
          <w:szCs w:val="28"/>
          <w:rtl/>
        </w:rPr>
        <w:t xml:space="preserve">حسن نیاز بن محمّد طباطبائي- نياز</w:t>
      </w:r>
    </w:p>
    <w:p>
      <w:pPr>
        <w:pStyle w:val="BookText"/>
      </w:pPr>
      <w:r>
        <w:rPr>
          <w:rFonts w:ascii="Amiri" w:hAnsi="Amiri" w:eastAsia="Amiri" w:cs="Amiri"/>
          <w:lang w:bidi="ar-SA"/>
          <w:color w:val="111111"/>
          <w:sz w:val="28"/>
          <w:szCs w:val="28"/>
          <w:rtl/>
        </w:rPr>
        <w:t xml:space="preserve">طباطبائي ، حسن بن محمّد</w:t>
      </w:r>
    </w:p>
    <w:p>
      <w:pPr>
        <w:pStyle w:val="BookText"/>
      </w:pPr>
      <w:r>
        <w:rPr>
          <w:rFonts w:ascii="Amiri" w:hAnsi="Amiri" w:eastAsia="Amiri" w:cs="Amiri"/>
          <w:lang w:bidi="ar-SA"/>
          <w:color w:val="111111"/>
          <w:sz w:val="28"/>
          <w:szCs w:val="28"/>
          <w:rtl/>
        </w:rPr>
        <w:t xml:space="preserve">حسني ، ابراهيم -حسيني ، محمّد</w:t>
      </w:r>
    </w:p>
    <w:p>
      <w:pPr>
        <w:pStyle w:val="BookText"/>
      </w:pPr>
      <w:r>
        <w:rPr>
          <w:rFonts w:ascii="Amiri" w:hAnsi="Amiri" w:eastAsia="Amiri" w:cs="Amiri"/>
          <w:lang w:bidi="ar-SA"/>
          <w:color w:val="111111"/>
          <w:sz w:val="28"/>
          <w:szCs w:val="28"/>
          <w:rtl/>
        </w:rPr>
        <w:t xml:space="preserve">ابراهيم</w:t>
      </w:r>
    </w:p>
    <w:p>
      <w:pPr>
        <w:pStyle w:val="Heading2"/>
      </w:pPr>
      <w:bookmarkStart w:id="3544" w:name="_Toc2646"/>
      <w:r>
        <w:t>حسني ، ابن مطاعن</w:t>
      </w:r>
      <w:bookmarkEnd w:id="3544"/>
    </w:p>
    <w:p>
      <w:pPr>
        <w:pStyle w:val="BookText"/>
      </w:pPr>
      <w:r>
        <w:rPr>
          <w:rFonts w:ascii="Amiri" w:hAnsi="Amiri" w:eastAsia="Amiri" w:cs="Amiri"/>
          <w:lang w:bidi="ar-SA"/>
          <w:color w:val="111111"/>
          <w:sz w:val="28"/>
          <w:szCs w:val="28"/>
          <w:rtl/>
        </w:rPr>
        <w:t xml:space="preserve">الادعية والزيارات، ج 1، ص 647.</w:t>
      </w:r>
    </w:p>
    <w:p>
      <w:pPr>
        <w:pStyle w:val="Heading2"/>
      </w:pPr>
      <w:bookmarkStart w:id="3545" w:name="_Toc2647"/>
      <w:r>
        <w:t>حسني ، ابو محمّد</w:t>
      </w:r>
      <w:bookmarkEnd w:id="3545"/>
    </w:p>
    <w:p>
      <w:pPr>
        <w:pStyle w:val="BookText"/>
      </w:pPr>
      <w:r>
        <w:rPr>
          <w:rFonts w:ascii="Amiri" w:hAnsi="Amiri" w:eastAsia="Amiri" w:cs="Amiri"/>
          <w:lang w:bidi="ar-SA"/>
          <w:color w:val="111111"/>
          <w:sz w:val="28"/>
          <w:szCs w:val="28"/>
          <w:rtl/>
        </w:rPr>
        <w:t xml:space="preserve">تفسير القرآن الكريم، ج 4، ص 664.</w:t>
      </w:r>
    </w:p>
    <w:p>
      <w:pPr>
        <w:pStyle w:val="Heading2"/>
      </w:pPr>
      <w:bookmarkStart w:id="3546" w:name="_Toc2648"/>
      <w:r>
        <w:t>حسني ، احمد</w:t>
      </w:r>
      <w:bookmarkEnd w:id="3546"/>
    </w:p>
    <w:p>
      <w:pPr>
        <w:pStyle w:val="BookText"/>
      </w:pPr>
      <w:r>
        <w:rPr>
          <w:rFonts w:ascii="Amiri" w:hAnsi="Amiri" w:eastAsia="Amiri" w:cs="Amiri"/>
          <w:lang w:bidi="ar-SA"/>
          <w:color w:val="111111"/>
          <w:sz w:val="28"/>
          <w:szCs w:val="28"/>
          <w:rtl/>
        </w:rPr>
        <w:t xml:space="preserve">منار الاشراف إلى مودة الاشراف</w:t>
      </w:r>
    </w:p>
    <w:p>
      <w:pPr>
        <w:pStyle w:val="BookText"/>
      </w:pPr>
      <w:r>
        <w:rPr>
          <w:rFonts w:ascii="IRNazanin" w:hAnsi="IRNazanin" w:eastAsia="IRNazanin" w:cs="IRNazanin"/>
          <w:lang w:bidi="fa-IR"/>
          <w:color w:val="111111"/>
          <w:sz w:val="28"/>
          <w:szCs w:val="28"/>
          <w:rtl/>
        </w:rPr>
        <w:t xml:space="preserve">ج 15، ص 484.</w:t>
      </w:r>
    </w:p>
    <w:p>
      <w:pPr>
        <w:pStyle w:val="Heading2"/>
      </w:pPr>
      <w:bookmarkStart w:id="3547" w:name="_Toc2649"/>
      <w:r>
        <w:t>حسني، اسماعيل بن قاسم - 1087 ه-</w:t>
      </w:r>
      <w:bookmarkEnd w:id="3547"/>
    </w:p>
    <w:p>
      <w:pPr>
        <w:pStyle w:val="BookText"/>
      </w:pPr>
      <w:r>
        <w:rPr>
          <w:rFonts w:ascii="Amiri" w:hAnsi="Amiri" w:eastAsia="Amiri" w:cs="Amiri"/>
          <w:lang w:bidi="ar-SA"/>
          <w:color w:val="111111"/>
          <w:sz w:val="28"/>
          <w:szCs w:val="28"/>
          <w:rtl/>
        </w:rPr>
        <w:t xml:space="preserve">1 .البرهان الساطع لنور الفائدة في رد التطليقات الثلاث إلى واحدة، ج3</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Amiri" w:hAnsi="Amiri" w:eastAsia="Amiri" w:cs="Amiri"/>
          <w:lang w:bidi="ar-SA"/>
          <w:color w:val="111111"/>
          <w:sz w:val="28"/>
          <w:szCs w:val="28"/>
          <w:rtl/>
        </w:rPr>
        <w:t xml:space="preserve">2 .البيان الصريح و البرهان الصحيح</w:t>
      </w:r>
    </w:p>
    <w:p>
      <w:pPr>
        <w:pStyle w:val="BookText"/>
      </w:pPr>
      <w:r>
        <w:rPr>
          <w:rFonts w:ascii="Amiri" w:hAnsi="Amiri" w:eastAsia="Amiri" w:cs="Amiri"/>
          <w:lang w:bidi="ar-SA"/>
          <w:color w:val="111111"/>
          <w:sz w:val="28"/>
          <w:szCs w:val="28"/>
          <w:rtl/>
        </w:rPr>
        <w:t xml:space="preserve">في مسألة التحسين و التقبيح، ج 3،</w:t>
      </w:r>
    </w:p>
    <w:p>
      <w:pPr>
        <w:pStyle w:val="BookText"/>
      </w:pPr>
      <w:r>
        <w:rPr>
          <w:rFonts w:ascii="IRNazanin" w:hAnsi="IRNazanin" w:eastAsia="IRNazanin" w:cs="IRNazanin"/>
          <w:lang w:bidi="fa-IR"/>
          <w:color w:val="111111"/>
          <w:sz w:val="28"/>
          <w:szCs w:val="28"/>
          <w:rtl/>
        </w:rPr>
        <w:t xml:space="preserve">ص 474 .</w:t>
      </w:r>
    </w:p>
    <w:p>
      <w:pPr>
        <w:pStyle w:val="Heading2"/>
      </w:pPr>
      <w:bookmarkStart w:id="3548" w:name="_Toc2650"/>
      <w:r>
        <w:t>حسني ، بهاء الدين بن عبدالحميد</w:t>
      </w:r>
      <w:bookmarkEnd w:id="3548"/>
    </w:p>
    <w:p>
      <w:pPr>
        <w:pStyle w:val="BookText"/>
      </w:pPr>
      <w:r>
        <w:rPr>
          <w:rFonts w:ascii="Amiri" w:hAnsi="Amiri" w:eastAsia="Amiri" w:cs="Amiri"/>
          <w:lang w:bidi="ar-SA"/>
          <w:color w:val="111111"/>
          <w:sz w:val="28"/>
          <w:szCs w:val="28"/>
          <w:rtl/>
        </w:rPr>
        <w:t xml:space="preserve">مصطلحات الحديث (فائدة في)، ج 14،</w:t>
      </w:r>
    </w:p>
    <w:p>
      <w:pPr>
        <w:pStyle w:val="BookText"/>
      </w:pPr>
      <w:r>
        <w:rPr>
          <w:rFonts w:ascii="IRNazanin" w:hAnsi="IRNazanin" w:eastAsia="IRNazanin" w:cs="IRNazanin"/>
          <w:lang w:bidi="fa-IR"/>
          <w:color w:val="111111"/>
          <w:sz w:val="28"/>
          <w:szCs w:val="28"/>
          <w:rtl/>
        </w:rPr>
        <w:t xml:space="preserve">ص 746 .</w:t>
      </w:r>
    </w:p>
    <w:p>
      <w:pPr>
        <w:pStyle w:val="BookText"/>
      </w:pPr>
      <w:r>
        <w:rPr>
          <w:rFonts w:ascii="IRNazanin" w:hAnsi="IRNazanin" w:eastAsia="IRNazanin" w:cs="IRNazanin"/>
          <w:lang w:bidi="fa-IR"/>
          <w:color w:val="111111"/>
          <w:sz w:val="28"/>
          <w:szCs w:val="28"/>
          <w:rtl/>
        </w:rPr>
        <w:t xml:space="preserve">حسني پاشا ، حسن بن حسين عارف- طويراني ، حسن بن حسین عارف</w:t>
      </w:r>
    </w:p>
    <w:p>
      <w:pPr>
        <w:pStyle w:val="Heading2"/>
      </w:pPr>
      <w:bookmarkStart w:id="3549" w:name="_Toc2651"/>
      <w:r>
        <w:t>حسني ، جمال الدين عبد الله قرن 10 ه-</w:t>
      </w:r>
      <w:bookmarkEnd w:id="3549"/>
    </w:p>
    <w:p>
      <w:pPr>
        <w:pStyle w:val="BookText"/>
      </w:pPr>
      <w:r>
        <w:rPr>
          <w:rFonts w:ascii="Amiri" w:hAnsi="Amiri" w:eastAsia="Amiri" w:cs="Amiri"/>
          <w:lang w:bidi="ar-SA"/>
          <w:color w:val="111111"/>
          <w:sz w:val="28"/>
          <w:szCs w:val="28"/>
          <w:rtl/>
        </w:rPr>
        <w:t xml:space="preserve">الحصن الحصين من كلام سيّد المرسلين</w:t>
      </w:r>
    </w:p>
    <w:p>
      <w:pPr>
        <w:pStyle w:val="BookText"/>
      </w:pPr>
      <w:r>
        <w:rPr>
          <w:rFonts w:ascii="IRNazanin" w:hAnsi="IRNazanin" w:eastAsia="IRNazanin" w:cs="IRNazanin"/>
          <w:lang w:bidi="fa-IR"/>
          <w:color w:val="111111"/>
          <w:sz w:val="28"/>
          <w:szCs w:val="28"/>
          <w:rtl/>
        </w:rPr>
        <w:t xml:space="preserve">(ترجمه)، ج 6، ص 668.</w:t>
      </w:r>
    </w:p>
    <w:p>
      <w:pPr>
        <w:pStyle w:val="Heading2"/>
      </w:pPr>
      <w:bookmarkStart w:id="3550" w:name="_Toc2652"/>
      <w:r>
        <w:t>حسني ، حسن بن اسماعيل قرن 14 ه-</w:t>
      </w:r>
      <w:bookmarkEnd w:id="3550"/>
    </w:p>
    <w:p>
      <w:pPr>
        <w:pStyle w:val="BookText"/>
      </w:pPr>
      <w:r>
        <w:rPr>
          <w:rFonts w:ascii="Amiri" w:hAnsi="Amiri" w:eastAsia="Amiri" w:cs="Amiri"/>
          <w:lang w:bidi="ar-SA"/>
          <w:color w:val="111111"/>
          <w:sz w:val="28"/>
          <w:szCs w:val="28"/>
          <w:rtl/>
        </w:rPr>
        <w:t xml:space="preserve">1 .احكام الموت (رسالة في)، ج1،</w:t>
      </w:r>
    </w:p>
    <w:p>
      <w:pPr>
        <w:pStyle w:val="BookText"/>
      </w:pPr>
      <w:r>
        <w:rPr>
          <w:rFonts w:ascii="IRNazanin" w:hAnsi="IRNazanin" w:eastAsia="IRNazanin" w:cs="IRNazanin"/>
          <w:lang w:bidi="fa-IR"/>
          <w:color w:val="111111"/>
          <w:sz w:val="28"/>
          <w:szCs w:val="28"/>
          <w:rtl/>
        </w:rPr>
        <w:t xml:space="preserve">ص 486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احوال الميرزا الشيخ حسين الخليلي</w:t>
      </w:r>
    </w:p>
    <w:p>
      <w:pPr>
        <w:pStyle w:val="BookText"/>
      </w:pPr>
      <w:r>
        <w:rPr>
          <w:rFonts w:ascii="Amiri" w:hAnsi="Amiri" w:eastAsia="Amiri" w:cs="Amiri"/>
          <w:lang w:bidi="ar-SA"/>
          <w:color w:val="111111"/>
          <w:sz w:val="28"/>
          <w:szCs w:val="28"/>
          <w:rtl/>
        </w:rPr>
        <w:t xml:space="preserve">(رسالة في)، ج 1، ص 506.</w:t>
      </w:r>
    </w:p>
    <w:p>
      <w:pPr>
        <w:pStyle w:val="BookText"/>
      </w:pPr>
      <w:r>
        <w:rPr>
          <w:rFonts w:ascii="Amiri" w:hAnsi="Amiri" w:eastAsia="Amiri" w:cs="Amiri"/>
          <w:lang w:bidi="ar-SA"/>
          <w:color w:val="111111"/>
          <w:sz w:val="28"/>
          <w:szCs w:val="28"/>
          <w:rtl/>
        </w:rPr>
        <w:t xml:space="preserve">3 .ادعية شهر رمضان، ج1، ص633.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ارشاد الامة في جوازات نقل الجنائز</w:t>
      </w:r>
    </w:p>
    <w:p>
      <w:pPr>
        <w:pStyle w:val="BookText"/>
      </w:pPr>
      <w:r>
        <w:rPr>
          <w:rFonts w:ascii="IRNazanin" w:hAnsi="IRNazanin" w:eastAsia="IRNazanin" w:cs="IRNazanin"/>
          <w:lang w:bidi="fa-IR"/>
          <w:color w:val="111111"/>
          <w:sz w:val="28"/>
          <w:szCs w:val="28"/>
          <w:rtl/>
        </w:rPr>
        <w:t xml:space="preserve">ج 2، ص 16.</w:t>
      </w:r>
    </w:p>
    <w:p>
      <w:pPr>
        <w:pStyle w:val="BookText"/>
      </w:pPr>
      <w:r>
        <w:rPr>
          <w:rFonts w:ascii="Amiri" w:hAnsi="Amiri" w:eastAsia="Amiri" w:cs="Amiri"/>
          <w:lang w:bidi="ar-SA"/>
          <w:color w:val="111111"/>
          <w:sz w:val="28"/>
          <w:szCs w:val="28"/>
          <w:rtl/>
        </w:rPr>
        <w:t xml:space="preserve">5 .اسامي البلدان، ج 2، ص79.</w:t>
      </w:r>
    </w:p>
    <w:p>
      <w:pPr>
        <w:pStyle w:val="BookText"/>
      </w:pPr>
      <w:r>
        <w:rPr>
          <w:rFonts w:ascii="Amiri" w:hAnsi="Amiri" w:eastAsia="Amiri" w:cs="Amiri"/>
          <w:lang w:bidi="ar-SA"/>
          <w:color w:val="111111"/>
          <w:sz w:val="28"/>
          <w:szCs w:val="28"/>
          <w:rtl/>
        </w:rPr>
        <w:t xml:space="preserve">6 .استحباب زيارة قبور الانبياء و ابناء الائمة و العلماء وتعيين جملة من قبورهم (رسالة في)، ج 2، ص118.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اصحاب امير المؤمنين (ع)، ج2،</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Amiri" w:hAnsi="Amiri" w:eastAsia="Amiri" w:cs="Amiri"/>
          <w:lang w:bidi="ar-SA"/>
          <w:color w:val="111111"/>
          <w:sz w:val="28"/>
          <w:szCs w:val="28"/>
          <w:rtl/>
        </w:rPr>
        <w:t xml:space="preserve">8 .الانبياء و اولادهم و زوجاتهم</w:t>
      </w:r>
    </w:p>
    <w:p>
      <w:pPr>
        <w:pStyle w:val="BookText"/>
      </w:pPr>
      <w:r>
        <w:rPr>
          <w:rFonts w:ascii="Amiri" w:hAnsi="Amiri" w:eastAsia="Amiri" w:cs="Amiri"/>
          <w:lang w:bidi="ar-SA"/>
          <w:color w:val="111111"/>
          <w:sz w:val="28"/>
          <w:szCs w:val="28"/>
          <w:rtl/>
        </w:rPr>
        <w:t xml:space="preserve">(كتاب في)، ج 2، ص780.</w:t>
      </w:r>
    </w:p>
    <w:p>
      <w:pPr>
        <w:pStyle w:val="BookText"/>
      </w:pPr>
      <w:r>
        <w:rPr>
          <w:rFonts w:ascii="Amiri" w:hAnsi="Amiri" w:eastAsia="Amiri" w:cs="Amiri"/>
          <w:lang w:bidi="ar-SA"/>
          <w:color w:val="111111"/>
          <w:sz w:val="28"/>
          <w:szCs w:val="28"/>
          <w:rtl/>
        </w:rPr>
        <w:t xml:space="preserve">9 .اوائل الكتابة والخط عند الاقوام و</w:t>
      </w:r>
    </w:p>
    <w:p>
      <w:pPr>
        <w:pStyle w:val="BookText"/>
      </w:pPr>
      <w:r>
        <w:rPr>
          <w:rFonts w:ascii="Amiri" w:hAnsi="Amiri" w:eastAsia="Amiri" w:cs="Amiri"/>
          <w:lang w:bidi="ar-SA"/>
          <w:color w:val="111111"/>
          <w:sz w:val="28"/>
          <w:szCs w:val="28"/>
          <w:rtl/>
        </w:rPr>
        <w:t xml:space="preserve">انواعه و اشكاله (رسالة في)، ج3،</w:t>
      </w:r>
    </w:p>
    <w:p>
      <w:pPr>
        <w:pStyle w:val="BookText"/>
      </w:pPr>
      <w:r>
        <w:rPr>
          <w:rFonts w:ascii="IRNazanin" w:hAnsi="IRNazanin" w:eastAsia="IRNazanin" w:cs="IRNazanin"/>
          <w:lang w:bidi="fa-IR"/>
          <w:color w:val="111111"/>
          <w:sz w:val="28"/>
          <w:szCs w:val="28"/>
          <w:rtl/>
        </w:rPr>
        <w:t xml:space="preserve">ص 58 .</w:t>
      </w:r>
    </w:p>
    <w:p>
      <w:pPr>
        <w:pStyle w:val="BookText"/>
      </w:pPr>
      <w:r>
        <w:rPr>
          <w:rFonts w:ascii="Amiri" w:hAnsi="Amiri" w:eastAsia="Amiri" w:cs="Amiri"/>
          <w:lang w:bidi="ar-SA"/>
          <w:color w:val="111111"/>
          <w:sz w:val="28"/>
          <w:szCs w:val="28"/>
          <w:rtl/>
        </w:rPr>
        <w:t xml:space="preserve">10 .ايضاح الدلائل في معنى الشعوب والعمائر والقبائل، ج 3، ص118.</w:t>
      </w:r>
    </w:p>
    <w:p>
      <w:pPr>
        <w:pStyle w:val="BookText"/>
      </w:pPr>
      <w:r>
        <w:rPr>
          <w:rFonts w:ascii="IRNazanin" w:hAnsi="IRNazanin" w:eastAsia="IRNazanin" w:cs="IRNazanin"/>
          <w:lang w:bidi="fa-IR"/>
          <w:color w:val="111111"/>
          <w:sz w:val="28"/>
          <w:szCs w:val="28"/>
          <w:rtl/>
        </w:rPr>
        <w:t xml:space="preserve">11 .بحر الانساب، ج 3، ص 206.</w:t>
      </w:r>
    </w:p>
    <w:p>
      <w:pPr>
        <w:pStyle w:val="BookText"/>
      </w:pPr>
      <w:r>
        <w:rPr>
          <w:rFonts w:ascii="Amiri" w:hAnsi="Amiri" w:eastAsia="Amiri" w:cs="Amiri"/>
          <w:lang w:bidi="ar-SA"/>
          <w:color w:val="111111"/>
          <w:sz w:val="28"/>
          <w:szCs w:val="28"/>
          <w:rtl/>
        </w:rPr>
        <w:t xml:space="preserve">12 .تاريخ المعصومين، ج 3، ص 606.</w:t>
      </w:r>
    </w:p>
    <w:p>
      <w:pPr>
        <w:pStyle w:val="BookText"/>
      </w:pPr>
      <w:r>
        <w:rPr>
          <w:rFonts w:ascii="IRNazanin" w:hAnsi="IRNazanin" w:eastAsia="IRNazanin" w:cs="IRNazanin"/>
          <w:lang w:bidi="fa-IR"/>
          <w:color w:val="111111"/>
          <w:sz w:val="28"/>
          <w:szCs w:val="28"/>
          <w:rtl/>
        </w:rPr>
        <w:t xml:space="preserve">13 .تاریخ قم، ج 3، ص 587.</w:t>
      </w:r>
    </w:p>
    <w:p>
      <w:pPr>
        <w:pStyle w:val="BookText"/>
      </w:pPr>
      <w:r>
        <w:rPr>
          <w:rFonts w:ascii="IRNazanin" w:hAnsi="IRNazanin" w:eastAsia="IRNazanin" w:cs="IRNazanin"/>
          <w:lang w:bidi="fa-IR"/>
          <w:color w:val="111111"/>
          <w:sz w:val="28"/>
          <w:szCs w:val="28"/>
          <w:rtl/>
        </w:rPr>
        <w:t xml:space="preserve">14 .تاریخ کربلا، ج 3، ص 588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ترجمة القاضي التستري و بعض العلماء (رسالة في)، ج4، ص 291.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ترجمة حسون البراقي جع،</w:t>
      </w:r>
    </w:p>
    <w:p>
      <w:pPr>
        <w:pStyle w:val="BookText"/>
      </w:pPr>
      <w:r>
        <w:rPr>
          <w:rFonts w:ascii="IRNazanin" w:hAnsi="IRNazanin" w:eastAsia="IRNazanin" w:cs="IRNazanin"/>
          <w:lang w:bidi="fa-IR"/>
          <w:color w:val="111111"/>
          <w:sz w:val="28"/>
          <w:szCs w:val="28"/>
          <w:rtl/>
        </w:rPr>
        <w:t xml:space="preserve">ص 366 .</w:t>
      </w:r>
    </w:p>
    <w:p>
      <w:pPr>
        <w:pStyle w:val="BookText"/>
      </w:pPr>
      <w:r>
        <w:rPr>
          <w:rFonts w:ascii="Amiri" w:hAnsi="Amiri" w:eastAsia="Amiri" w:cs="Amiri"/>
          <w:lang w:bidi="ar-SA"/>
          <w:color w:val="111111"/>
          <w:sz w:val="28"/>
          <w:szCs w:val="28"/>
          <w:rtl/>
        </w:rPr>
        <w:t xml:space="preserve">17 .ترجمة زينب الكبرى، ج 4، ص 272.</w:t>
      </w:r>
    </w:p>
    <w:p>
      <w:pPr>
        <w:pStyle w:val="BookText"/>
      </w:pPr>
      <w:r>
        <w:rPr>
          <w:rFonts w:ascii="Amiri" w:hAnsi="Amiri" w:eastAsia="Amiri" w:cs="Amiri"/>
          <w:lang w:bidi="ar-SA"/>
          <w:color w:val="111111"/>
          <w:sz w:val="28"/>
          <w:szCs w:val="28"/>
          <w:rtl/>
        </w:rPr>
        <w:t xml:space="preserve">18 .جلاء القلب و قرة العين في الاوقات المخصوصة بزيارة الحسين (ع)، ج 5، ص 412.</w:t>
      </w:r>
    </w:p>
    <w:p>
      <w:pPr>
        <w:pStyle w:val="BookText"/>
      </w:pPr>
      <w:r>
        <w:rPr>
          <w:rFonts w:ascii="Amiri" w:hAnsi="Amiri" w:eastAsia="Amiri" w:cs="Amiri"/>
          <w:lang w:bidi="ar-SA"/>
          <w:color w:val="111111"/>
          <w:sz w:val="28"/>
          <w:szCs w:val="28"/>
          <w:rtl/>
        </w:rPr>
        <w:t xml:space="preserve">19 .الجواهر الزاهرة والفواكه المثمرة</w:t>
      </w:r>
    </w:p>
    <w:p>
      <w:pPr>
        <w:pStyle w:val="BookText"/>
      </w:pPr>
      <w:r>
        <w:rPr>
          <w:rFonts w:ascii="IRNazanin" w:hAnsi="IRNazanin" w:eastAsia="IRNazanin" w:cs="IRNazanin"/>
          <w:lang w:bidi="fa-IR"/>
          <w:color w:val="111111"/>
          <w:sz w:val="28"/>
          <w:szCs w:val="28"/>
          <w:rtl/>
        </w:rPr>
        <w:t xml:space="preserve">ج 5، ص 546.</w:t>
      </w:r>
    </w:p>
    <w:p>
      <w:pPr>
        <w:pStyle w:val="BookText"/>
      </w:pPr>
      <w:r>
        <w:rPr>
          <w:rFonts w:ascii="Amiri" w:hAnsi="Amiri" w:eastAsia="Amiri" w:cs="Amiri"/>
          <w:lang w:bidi="ar-SA"/>
          <w:color w:val="111111"/>
          <w:sz w:val="28"/>
          <w:szCs w:val="28"/>
          <w:rtl/>
        </w:rPr>
        <w:t xml:space="preserve">20 .الحدائق الوردية في ائمة الزيدية</w:t>
      </w:r>
    </w:p>
    <w:p>
      <w:pPr>
        <w:pStyle w:val="BookText"/>
      </w:pPr>
      <w:r>
        <w:rPr>
          <w:rFonts w:ascii="IRNazanin" w:hAnsi="IRNazanin" w:eastAsia="IRNazanin" w:cs="IRNazanin"/>
          <w:lang w:bidi="fa-IR"/>
          <w:color w:val="111111"/>
          <w:sz w:val="28"/>
          <w:szCs w:val="28"/>
          <w:rtl/>
        </w:rPr>
        <w:t xml:space="preserve">(مختصر)، ج 6، ص 539.</w:t>
      </w:r>
    </w:p>
    <w:p>
      <w:pPr>
        <w:pStyle w:val="BookText"/>
      </w:pPr>
      <w:r>
        <w:rPr>
          <w:rFonts w:ascii="Amiri" w:hAnsi="Amiri" w:eastAsia="Amiri" w:cs="Amiri"/>
          <w:lang w:bidi="ar-SA"/>
          <w:color w:val="111111"/>
          <w:sz w:val="28"/>
          <w:szCs w:val="28"/>
          <w:rtl/>
        </w:rPr>
        <w:t xml:space="preserve">21 .حديث قدسي، ج 6 ، ص 574.</w:t>
      </w:r>
    </w:p>
    <w:p>
      <w:pPr>
        <w:pStyle w:val="BookText"/>
      </w:pPr>
      <w:r>
        <w:rPr>
          <w:rFonts w:ascii="Amiri" w:hAnsi="Amiri" w:eastAsia="Amiri" w:cs="Amiri"/>
          <w:lang w:bidi="ar-SA"/>
          <w:color w:val="111111"/>
          <w:sz w:val="28"/>
          <w:szCs w:val="28"/>
          <w:rtl/>
        </w:rPr>
        <w:t xml:space="preserve">22 .الحسرة الدائمة للزفرات عدد</w:t>
      </w:r>
    </w:p>
    <w:p>
      <w:pPr>
        <w:pStyle w:val="BookText"/>
      </w:pPr>
      <w:r>
        <w:rPr>
          <w:rFonts w:ascii="Amiri" w:hAnsi="Amiri" w:eastAsia="Amiri" w:cs="Amiri"/>
          <w:lang w:bidi="ar-SA"/>
          <w:color w:val="111111"/>
          <w:sz w:val="28"/>
          <w:szCs w:val="28"/>
          <w:rtl/>
        </w:rPr>
        <w:t xml:space="preserve">الهواشم الذين اصيبوا في</w:t>
      </w:r>
    </w:p>
    <w:p>
      <w:pPr>
        <w:pStyle w:val="BookText"/>
      </w:pPr>
      <w:r>
        <w:rPr>
          <w:rFonts w:ascii="Amiri" w:hAnsi="Amiri" w:eastAsia="Amiri" w:cs="Amiri"/>
          <w:lang w:bidi="ar-SA"/>
          <w:color w:val="111111"/>
          <w:sz w:val="28"/>
          <w:szCs w:val="28"/>
          <w:rtl/>
        </w:rPr>
        <w:t xml:space="preserve">الغاضريات، ج 6، ص 649.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الحق المبين في الفرق بين الشيعة و</w:t>
      </w:r>
    </w:p>
    <w:p>
      <w:pPr>
        <w:pStyle w:val="BookText"/>
      </w:pPr>
      <w:r>
        <w:rPr>
          <w:rFonts w:ascii="Amiri" w:hAnsi="Amiri" w:eastAsia="Amiri" w:cs="Amiri"/>
          <w:lang w:bidi="ar-SA"/>
          <w:color w:val="111111"/>
          <w:sz w:val="28"/>
          <w:szCs w:val="28"/>
          <w:rtl/>
        </w:rPr>
        <w:t xml:space="preserve">الموالين، ج 6، ص 695.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الحواشي على المجدي، ج 6،</w:t>
      </w:r>
    </w:p>
    <w:p>
      <w:pPr>
        <w:pStyle w:val="BookText"/>
      </w:pPr>
      <w:r>
        <w:rPr>
          <w:rFonts w:ascii="IRNazanin" w:hAnsi="IRNazanin" w:eastAsia="IRNazanin" w:cs="IRNazanin"/>
          <w:lang w:bidi="fa-IR"/>
          <w:color w:val="111111"/>
          <w:sz w:val="28"/>
          <w:szCs w:val="28"/>
          <w:rtl/>
        </w:rPr>
        <w:t xml:space="preserve">ص 840.</w:t>
      </w:r>
    </w:p>
    <w:p>
      <w:pPr>
        <w:pStyle w:val="BookText"/>
      </w:pPr>
      <w:r>
        <w:rPr>
          <w:rFonts w:ascii="Amiri" w:hAnsi="Amiri" w:eastAsia="Amiri" w:cs="Amiri"/>
          <w:lang w:bidi="ar-SA"/>
          <w:color w:val="111111"/>
          <w:sz w:val="28"/>
          <w:szCs w:val="28"/>
          <w:rtl/>
        </w:rPr>
        <w:t xml:space="preserve">25 .حياة الائمة، ج 6، ص 849.</w:t>
      </w:r>
    </w:p>
    <w:p>
      <w:pPr>
        <w:pStyle w:val="BookText"/>
      </w:pPr>
      <w:r>
        <w:rPr>
          <w:rFonts w:ascii="Amiri" w:hAnsi="Amiri" w:eastAsia="Amiri" w:cs="Amiri"/>
          <w:lang w:bidi="ar-SA"/>
          <w:color w:val="111111"/>
          <w:sz w:val="28"/>
          <w:szCs w:val="28"/>
          <w:rtl/>
        </w:rPr>
        <w:t xml:space="preserve">26 .ذرية الائمة، ج 7، ص 844.</w:t>
      </w:r>
    </w:p>
    <w:p>
      <w:pPr>
        <w:pStyle w:val="BookText"/>
      </w:pPr>
      <w:r>
        <w:rPr>
          <w:rFonts w:ascii="Amiri" w:hAnsi="Amiri" w:eastAsia="Amiri" w:cs="Amiri"/>
          <w:lang w:bidi="ar-SA"/>
          <w:color w:val="111111"/>
          <w:sz w:val="28"/>
          <w:szCs w:val="28"/>
          <w:rtl/>
        </w:rPr>
        <w:t xml:space="preserve">27 .ذكر الحنانة، ج 7، ص 852.</w:t>
      </w:r>
    </w:p>
    <w:p>
      <w:pPr>
        <w:pStyle w:val="BookText"/>
      </w:pPr>
      <w:r>
        <w:rPr>
          <w:rFonts w:ascii="Amiri" w:hAnsi="Amiri" w:eastAsia="Amiri" w:cs="Amiri"/>
          <w:lang w:bidi="ar-SA"/>
          <w:color w:val="111111"/>
          <w:sz w:val="28"/>
          <w:szCs w:val="28"/>
          <w:rtl/>
        </w:rPr>
        <w:t xml:space="preserve">28 .رسالة مختصرة في القبائل و</w:t>
      </w:r>
    </w:p>
    <w:p>
      <w:pPr>
        <w:pStyle w:val="BookText"/>
      </w:pPr>
      <w:r>
        <w:rPr>
          <w:rFonts w:ascii="IRNazanin" w:hAnsi="IRNazanin" w:eastAsia="IRNazanin" w:cs="IRNazanin"/>
          <w:lang w:bidi="fa-IR"/>
          <w:color w:val="111111"/>
          <w:sz w:val="28"/>
          <w:szCs w:val="28"/>
          <w:rtl/>
        </w:rPr>
        <w:t xml:space="preserve">تفرقهم، ج 8، ص 266 .</w:t>
      </w:r>
    </w:p>
    <w:p>
      <w:pPr>
        <w:pStyle w:val="BookText"/>
      </w:pPr>
      <w:r>
        <w:rPr>
          <w:rFonts w:ascii="Amiri" w:hAnsi="Amiri" w:eastAsia="Amiri" w:cs="Amiri"/>
          <w:lang w:bidi="ar-SA"/>
          <w:color w:val="111111"/>
          <w:sz w:val="28"/>
          <w:szCs w:val="28"/>
          <w:rtl/>
        </w:rPr>
        <w:t xml:space="preserve">29 .الرمي الصائب في كبد الثالب لابي</w:t>
      </w:r>
    </w:p>
    <w:p>
      <w:pPr>
        <w:pStyle w:val="BookText"/>
      </w:pPr>
      <w:r>
        <w:rPr>
          <w:rFonts w:ascii="IRNazanin" w:hAnsi="IRNazanin" w:eastAsia="IRNazanin" w:cs="IRNazanin"/>
          <w:lang w:bidi="fa-IR"/>
          <w:color w:val="111111"/>
          <w:sz w:val="28"/>
          <w:szCs w:val="28"/>
          <w:rtl/>
        </w:rPr>
        <w:t xml:space="preserve">طالب (ع)، ج 8، ص 368 .</w:t>
      </w:r>
    </w:p>
    <w:p>
      <w:pPr>
        <w:pStyle w:val="BookText"/>
      </w:pPr>
      <w:r>
        <w:rPr>
          <w:rFonts w:ascii="Amiri" w:hAnsi="Amiri" w:eastAsia="Amiri" w:cs="Amiri"/>
          <w:lang w:bidi="ar-SA"/>
          <w:color w:val="111111"/>
          <w:sz w:val="28"/>
          <w:szCs w:val="28"/>
          <w:rtl/>
        </w:rPr>
        <w:t xml:space="preserve">30 .السر المكنون، ج8، ص 765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السيرة البراقية ردا على النفحة</w:t>
      </w:r>
    </w:p>
    <w:p>
      <w:pPr>
        <w:pStyle w:val="BookText"/>
      </w:pPr>
      <w:r>
        <w:rPr>
          <w:rFonts w:ascii="Amiri" w:hAnsi="Amiri" w:eastAsia="Amiri" w:cs="Amiri"/>
          <w:lang w:bidi="ar-SA"/>
          <w:color w:val="111111"/>
          <w:sz w:val="28"/>
          <w:szCs w:val="28"/>
          <w:rtl/>
        </w:rPr>
        <w:t xml:space="preserve">العنبرية، ج 9، ص10.</w:t>
      </w:r>
    </w:p>
    <w:p>
      <w:pPr>
        <w:pStyle w:val="BookText"/>
      </w:pPr>
      <w:r>
        <w:rPr>
          <w:rFonts w:ascii="Amiri" w:hAnsi="Amiri" w:eastAsia="Amiri" w:cs="Amiri"/>
          <w:lang w:bidi="ar-SA"/>
          <w:color w:val="111111"/>
          <w:sz w:val="28"/>
          <w:szCs w:val="28"/>
          <w:rtl/>
        </w:rPr>
        <w:t xml:space="preserve">32.الشجرة في الانساب، ج 9، ص79.</w:t>
      </w:r>
    </w:p>
    <w:p>
      <w:pPr>
        <w:pStyle w:val="BookText"/>
      </w:pPr>
      <w:r>
        <w:rPr>
          <w:rFonts w:ascii="Amiri" w:hAnsi="Amiri" w:eastAsia="Amiri" w:cs="Amiri"/>
          <w:lang w:bidi="ar-SA"/>
          <w:color w:val="111111"/>
          <w:sz w:val="28"/>
          <w:szCs w:val="28"/>
          <w:rtl/>
        </w:rPr>
        <w:t xml:space="preserve">33 .طبقات الانبياء والرسل و الأئمة و</w:t>
      </w:r>
    </w:p>
    <w:p>
      <w:pPr>
        <w:pStyle w:val="BookText"/>
      </w:pPr>
      <w:r>
        <w:rPr>
          <w:rFonts w:ascii="Amiri" w:hAnsi="Amiri" w:eastAsia="Amiri" w:cs="Amiri"/>
          <w:lang w:bidi="ar-SA"/>
          <w:color w:val="111111"/>
          <w:sz w:val="28"/>
          <w:szCs w:val="28"/>
          <w:rtl/>
        </w:rPr>
        <w:t xml:space="preserve">تواريخهم، ج 10، ص772</w:t>
      </w:r>
    </w:p>
    <w:p>
      <w:pPr>
        <w:pStyle w:val="BookText"/>
      </w:pPr>
      <w:r>
        <w:rPr>
          <w:rFonts w:ascii="Amiri" w:hAnsi="Amiri" w:eastAsia="Amiri" w:cs="Amiri"/>
          <w:lang w:bidi="ar-SA"/>
          <w:color w:val="111111"/>
          <w:sz w:val="28"/>
          <w:szCs w:val="28"/>
          <w:rtl/>
        </w:rPr>
        <w:t xml:space="preserve">34 .عقد اللؤلؤ والعقيان في تحديد</w:t>
      </w:r>
    </w:p>
    <w:p>
      <w:pPr>
        <w:pStyle w:val="BookText"/>
      </w:pPr>
      <w:r>
        <w:rPr>
          <w:rFonts w:ascii="Amiri" w:hAnsi="Amiri" w:eastAsia="Amiri" w:cs="Amiri"/>
          <w:lang w:bidi="ar-SA"/>
          <w:color w:val="111111"/>
          <w:sz w:val="28"/>
          <w:szCs w:val="28"/>
          <w:rtl/>
        </w:rPr>
        <w:t xml:space="preserve">ارض كوفان، ج11، ص 174.</w:t>
      </w:r>
    </w:p>
    <w:p>
      <w:pPr>
        <w:pStyle w:val="BookText"/>
      </w:pPr>
      <w:r>
        <w:rPr>
          <w:rFonts w:ascii="Amiri" w:hAnsi="Amiri" w:eastAsia="Amiri" w:cs="Amiri"/>
          <w:lang w:bidi="ar-SA"/>
          <w:color w:val="111111"/>
          <w:sz w:val="28"/>
          <w:szCs w:val="28"/>
          <w:rtl/>
        </w:rPr>
        <w:t xml:space="preserve">35 .فضل الائمة الاطهار (ع) من طرق اعلام اهل السنة و الجماعة، ج 12، ص 21.</w:t>
      </w:r>
    </w:p>
    <w:p>
      <w:pPr>
        <w:pStyle w:val="BookText"/>
      </w:pPr>
      <w:r>
        <w:rPr>
          <w:rFonts w:ascii="Amiri" w:hAnsi="Amiri" w:eastAsia="Amiri" w:cs="Amiri"/>
          <w:lang w:bidi="ar-SA"/>
          <w:color w:val="111111"/>
          <w:sz w:val="28"/>
          <w:szCs w:val="28"/>
          <w:rtl/>
        </w:rPr>
        <w:t xml:space="preserve">36 .فهرست كتب حسون البراقي</w:t>
      </w:r>
    </w:p>
    <w:p>
      <w:pPr>
        <w:pStyle w:val="BookText"/>
      </w:pPr>
      <w:r>
        <w:rPr>
          <w:rFonts w:ascii="IRNazanin" w:hAnsi="IRNazanin" w:eastAsia="IRNazanin" w:cs="IRNazanin"/>
          <w:lang w:bidi="fa-IR"/>
          <w:color w:val="111111"/>
          <w:sz w:val="28"/>
          <w:szCs w:val="28"/>
          <w:rtl/>
        </w:rPr>
        <w:t xml:space="preserve">ج 13 ، ص 153.</w:t>
      </w:r>
    </w:p>
    <w:p>
      <w:pPr>
        <w:pStyle w:val="BookText"/>
      </w:pPr>
      <w:r>
        <w:rPr>
          <w:rFonts w:ascii="IRNazanin" w:hAnsi="IRNazanin" w:eastAsia="IRNazanin" w:cs="IRNazanin"/>
          <w:lang w:bidi="fa-IR"/>
          <w:color w:val="111111"/>
          <w:sz w:val="28"/>
          <w:szCs w:val="28"/>
          <w:rtl/>
        </w:rPr>
        <w:t xml:space="preserve">37 .فوائد الانساب، ج 12، ص 183.</w:t>
      </w:r>
    </w:p>
    <w:p>
      <w:pPr>
        <w:pStyle w:val="BookText"/>
      </w:pPr>
      <w:r>
        <w:rPr>
          <w:rFonts w:ascii="Amiri" w:hAnsi="Amiri" w:eastAsia="Amiri" w:cs="Amiri"/>
          <w:lang w:bidi="ar-SA"/>
          <w:color w:val="111111"/>
          <w:sz w:val="28"/>
          <w:szCs w:val="28"/>
          <w:rtl/>
        </w:rPr>
        <w:t xml:space="preserve">38 .قبور اولاد الائمة (ع) في مصر</w:t>
      </w:r>
    </w:p>
    <w:p>
      <w:pPr>
        <w:pStyle w:val="BookText"/>
      </w:pPr>
      <w:r>
        <w:rPr>
          <w:rFonts w:ascii="Amiri" w:hAnsi="Amiri" w:eastAsia="Amiri" w:cs="Amiri"/>
          <w:lang w:bidi="ar-SA"/>
          <w:color w:val="111111"/>
          <w:sz w:val="28"/>
          <w:szCs w:val="28"/>
          <w:rtl/>
        </w:rPr>
        <w:t xml:space="preserve">(رسالة في)، ج 12، ص380.</w:t>
      </w:r>
    </w:p>
    <w:p>
      <w:pPr>
        <w:pStyle w:val="BookText"/>
      </w:pPr>
      <w:r>
        <w:rPr>
          <w:rFonts w:ascii="Amiri" w:hAnsi="Amiri" w:eastAsia="Amiri" w:cs="Amiri"/>
          <w:lang w:bidi="ar-SA"/>
          <w:color w:val="111111"/>
          <w:sz w:val="28"/>
          <w:szCs w:val="28"/>
          <w:rtl/>
        </w:rPr>
        <w:t xml:space="preserve">39 .قراء التعازي (رسالة في)، ج12،</w:t>
      </w:r>
    </w:p>
    <w:p>
      <w:pPr>
        <w:pStyle w:val="BookText"/>
      </w:pPr>
      <w:r>
        <w:rPr>
          <w:rFonts w:ascii="IRNazanin" w:hAnsi="IRNazanin" w:eastAsia="IRNazanin" w:cs="IRNazanin"/>
          <w:lang w:bidi="fa-IR"/>
          <w:color w:val="111111"/>
          <w:sz w:val="28"/>
          <w:szCs w:val="28"/>
          <w:rtl/>
        </w:rPr>
        <w:t xml:space="preserve">ص 550 .</w:t>
      </w:r>
    </w:p>
    <w:p>
      <w:pPr>
        <w:pStyle w:val="BookText"/>
      </w:pPr>
      <w:r>
        <w:rPr>
          <w:rFonts w:ascii="Amiri" w:hAnsi="Amiri" w:eastAsia="Amiri" w:cs="Amiri"/>
          <w:lang w:bidi="ar-SA"/>
          <w:color w:val="111111"/>
          <w:sz w:val="28"/>
          <w:szCs w:val="28"/>
          <w:rtl/>
        </w:rPr>
        <w:t xml:space="preserve">40 .كشف الاسرار في اولاد خديجة من</w:t>
      </w:r>
    </w:p>
    <w:p>
      <w:pPr>
        <w:pStyle w:val="BookText"/>
      </w:pPr>
      <w:r>
        <w:rPr>
          <w:rFonts w:ascii="Amiri" w:hAnsi="Amiri" w:eastAsia="Amiri" w:cs="Amiri"/>
          <w:lang w:bidi="ar-SA"/>
          <w:color w:val="111111"/>
          <w:sz w:val="28"/>
          <w:szCs w:val="28"/>
          <w:rtl/>
        </w:rPr>
        <w:t xml:space="preserve">النبي المختار، ج13، ص189.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2" w:name="pg7742_70136"/>
    <w:bookmarkEnd w:id="372"/>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كشف النقاب في فضل السادات الانجاب من ذرية الائمة الاطياب ج 13، ص 272</w:t>
      </w:r>
    </w:p>
    <w:p>
      <w:pPr>
        <w:pStyle w:val="BookText"/>
      </w:pPr>
      <w:r>
        <w:rPr>
          <w:rFonts w:ascii="IRNazanin" w:hAnsi="IRNazanin" w:eastAsia="IRNazanin" w:cs="IRNazanin"/>
          <w:lang w:bidi="fa-IR"/>
          <w:color w:val="111111"/>
          <w:sz w:val="28"/>
          <w:szCs w:val="28"/>
          <w:rtl/>
        </w:rPr>
        <w:t xml:space="preserve">42 .کشکول، ج13، ص291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لهب النيران في احوال آل ابي</w:t>
      </w:r>
    </w:p>
    <w:p>
      <w:pPr>
        <w:pStyle w:val="BookText"/>
      </w:pPr>
      <w:r>
        <w:rPr>
          <w:rFonts w:ascii="Amiri" w:hAnsi="Amiri" w:eastAsia="Amiri" w:cs="Amiri"/>
          <w:lang w:bidi="ar-SA"/>
          <w:color w:val="111111"/>
          <w:sz w:val="28"/>
          <w:szCs w:val="28"/>
          <w:rtl/>
        </w:rPr>
        <w:t xml:space="preserve">سفيان، ج13، ص 630.</w:t>
      </w:r>
    </w:p>
    <w:p>
      <w:pPr>
        <w:pStyle w:val="BookText"/>
      </w:pPr>
      <w:r>
        <w:rPr>
          <w:rFonts w:ascii="Amiri" w:hAnsi="Amiri" w:eastAsia="Amiri" w:cs="Amiri"/>
          <w:lang w:bidi="ar-SA"/>
          <w:color w:val="111111"/>
          <w:sz w:val="28"/>
          <w:szCs w:val="28"/>
          <w:rtl/>
        </w:rPr>
        <w:t xml:space="preserve">44 .مختصر في احوال فاطمة و ما</w:t>
      </w:r>
    </w:p>
    <w:p>
      <w:pPr>
        <w:pStyle w:val="BookText"/>
      </w:pPr>
      <w:r>
        <w:rPr>
          <w:rFonts w:ascii="Amiri" w:hAnsi="Amiri" w:eastAsia="Amiri" w:cs="Amiri"/>
          <w:lang w:bidi="ar-SA"/>
          <w:color w:val="111111"/>
          <w:sz w:val="28"/>
          <w:szCs w:val="28"/>
          <w:rtl/>
        </w:rPr>
        <w:t xml:space="preserve">جرى عليها، ج 14، ص 209.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معدن الأنوار في نسب النبي وآله</w:t>
      </w:r>
    </w:p>
    <w:p>
      <w:pPr>
        <w:pStyle w:val="BookText"/>
      </w:pPr>
      <w:r>
        <w:rPr>
          <w:rFonts w:ascii="IRNazanin" w:hAnsi="IRNazanin" w:eastAsia="IRNazanin" w:cs="IRNazanin"/>
          <w:lang w:bidi="fa-IR"/>
          <w:color w:val="111111"/>
          <w:sz w:val="28"/>
          <w:szCs w:val="28"/>
          <w:rtl/>
        </w:rPr>
        <w:t xml:space="preserve">الاطهار، ج 15 ، ص 24 .</w:t>
      </w:r>
    </w:p>
    <w:p>
      <w:pPr>
        <w:pStyle w:val="BookText"/>
      </w:pPr>
      <w:r>
        <w:rPr>
          <w:rFonts w:ascii="Amiri" w:hAnsi="Amiri" w:eastAsia="Amiri" w:cs="Amiri"/>
          <w:lang w:bidi="ar-SA"/>
          <w:color w:val="111111"/>
          <w:sz w:val="28"/>
          <w:szCs w:val="28"/>
          <w:rtl/>
        </w:rPr>
        <w:t xml:space="preserve">46 مقاتل الطالبين (مختصر)، ج 15</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IRNazanin" w:hAnsi="IRNazanin" w:eastAsia="IRNazanin" w:cs="IRNazanin"/>
          <w:lang w:bidi="fa-IR"/>
          <w:color w:val="111111"/>
          <w:sz w:val="28"/>
          <w:szCs w:val="28"/>
          <w:rtl/>
        </w:rPr>
        <w:t xml:space="preserve">47 .منتخب، ج 15 ، ص 591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النخبة الجلية في احوال الوهابية</w:t>
      </w:r>
    </w:p>
    <w:p>
      <w:pPr>
        <w:pStyle w:val="BookText"/>
      </w:pPr>
      <w:r>
        <w:rPr>
          <w:rFonts w:ascii="IRNazanin" w:hAnsi="IRNazanin" w:eastAsia="IRNazanin" w:cs="IRNazanin"/>
          <w:lang w:bidi="fa-IR"/>
          <w:color w:val="111111"/>
          <w:sz w:val="28"/>
          <w:szCs w:val="28"/>
          <w:rtl/>
        </w:rPr>
        <w:t xml:space="preserve">ج 16، ص 198.</w:t>
      </w:r>
    </w:p>
    <w:p>
      <w:pPr>
        <w:pStyle w:val="BookText"/>
      </w:pPr>
      <w:r>
        <w:rPr>
          <w:rFonts w:ascii="Amiri" w:hAnsi="Amiri" w:eastAsia="Amiri" w:cs="Amiri"/>
          <w:lang w:bidi="ar-SA"/>
          <w:color w:val="111111"/>
          <w:sz w:val="28"/>
          <w:szCs w:val="28"/>
          <w:rtl/>
        </w:rPr>
        <w:t xml:space="preserve">49 .هتك الحجاب في زواج ام كلثوم من عمر بن الخطاب، ج 16 ص 591.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وفاة الامام علي (ع)، ج 16،</w:t>
      </w:r>
    </w:p>
    <w:p>
      <w:pPr>
        <w:pStyle w:val="BookText"/>
      </w:pPr>
      <w:r>
        <w:rPr>
          <w:rFonts w:ascii="IRNazanin" w:hAnsi="IRNazanin" w:eastAsia="IRNazanin" w:cs="IRNazanin"/>
          <w:lang w:bidi="fa-IR"/>
          <w:color w:val="111111"/>
          <w:sz w:val="28"/>
          <w:szCs w:val="28"/>
          <w:rtl/>
        </w:rPr>
        <w:t xml:space="preserve">ص 845</w:t>
      </w:r>
    </w:p>
    <w:p>
      <w:pPr>
        <w:pStyle w:val="BookText"/>
      </w:pPr>
      <w:r>
        <w:rPr>
          <w:rFonts w:ascii="Amiri" w:hAnsi="Amiri" w:eastAsia="Amiri" w:cs="Amiri"/>
          <w:lang w:bidi="ar-SA"/>
          <w:color w:val="111111"/>
          <w:sz w:val="28"/>
          <w:szCs w:val="28"/>
          <w:rtl/>
        </w:rPr>
        <w:t xml:space="preserve">51 .اليتيمة الغروية و التحفة النجفية</w:t>
      </w:r>
    </w:p>
    <w:p>
      <w:pPr>
        <w:pStyle w:val="BookText"/>
      </w:pPr>
      <w:r>
        <w:rPr>
          <w:rFonts w:ascii="IRNazanin" w:hAnsi="IRNazanin" w:eastAsia="IRNazanin" w:cs="IRNazanin"/>
          <w:lang w:bidi="fa-IR"/>
          <w:color w:val="111111"/>
          <w:sz w:val="28"/>
          <w:szCs w:val="28"/>
          <w:rtl/>
        </w:rPr>
        <w:t xml:space="preserve">ج 16، ص 896.</w:t>
      </w:r>
    </w:p>
    <w:p>
      <w:pPr>
        <w:pStyle w:val="Heading2"/>
      </w:pPr>
      <w:bookmarkStart w:id="3551" w:name="_Toc2653"/>
      <w:r>
        <w:t>حسني حسيني ، محمّد بن حبيب</w:t>
      </w:r>
      <w:bookmarkEnd w:id="3551"/>
    </w:p>
    <w:p>
      <w:pPr>
        <w:pStyle w:val="BookText"/>
      </w:pPr>
      <w:r>
        <w:rPr>
          <w:rFonts w:ascii="IRNazanin" w:hAnsi="IRNazanin" w:eastAsia="IRNazanin" w:cs="IRNazanin"/>
          <w:lang w:bidi="fa-IR"/>
          <w:color w:val="111111"/>
          <w:sz w:val="28"/>
          <w:szCs w:val="28"/>
          <w:rtl/>
        </w:rPr>
        <w:t xml:space="preserve">قرن 9 ه-</w:t>
      </w:r>
    </w:p>
    <w:p>
      <w:pPr>
        <w:pStyle w:val="BookText"/>
      </w:pPr>
      <w:r>
        <w:rPr>
          <w:rFonts w:ascii="Amiri" w:hAnsi="Amiri" w:eastAsia="Amiri" w:cs="Amiri"/>
          <w:lang w:bidi="ar-SA"/>
          <w:color w:val="111111"/>
          <w:sz w:val="28"/>
          <w:szCs w:val="28"/>
          <w:rtl/>
        </w:rPr>
        <w:t xml:space="preserve">التحفة العلية في شرح نهج البلاغة الحيدرية، ج 3، ص 870.</w:t>
      </w:r>
    </w:p>
    <w:p>
      <w:pPr>
        <w:pStyle w:val="Heading2"/>
      </w:pPr>
      <w:bookmarkStart w:id="3552" w:name="_Toc2654"/>
      <w:r>
        <w:t>حسني حسيني، ناصر بن حسين -1118ه-</w:t>
      </w:r>
      <w:bookmarkEnd w:id="3552"/>
    </w:p>
    <w:p>
      <w:pPr>
        <w:pStyle w:val="BookText"/>
      </w:pPr>
      <w:r>
        <w:rPr>
          <w:rFonts w:ascii="Amiri" w:hAnsi="Amiri" w:eastAsia="Amiri" w:cs="Amiri"/>
          <w:lang w:bidi="ar-SA"/>
          <w:color w:val="111111"/>
          <w:sz w:val="28"/>
          <w:szCs w:val="28"/>
          <w:rtl/>
        </w:rPr>
        <w:t xml:space="preserve">الجداول النورانية في استخراج الآيات</w:t>
      </w:r>
    </w:p>
    <w:p>
      <w:pPr>
        <w:pStyle w:val="BookText"/>
      </w:pPr>
      <w:r>
        <w:rPr>
          <w:rFonts w:ascii="Amiri" w:hAnsi="Amiri" w:eastAsia="Amiri" w:cs="Amiri"/>
          <w:lang w:bidi="ar-SA"/>
          <w:color w:val="111111"/>
          <w:sz w:val="28"/>
          <w:szCs w:val="28"/>
          <w:rtl/>
        </w:rPr>
        <w:t xml:space="preserve">القرآنية، ج 5، ص 371.</w:t>
      </w:r>
    </w:p>
    <w:p>
      <w:pPr>
        <w:pStyle w:val="Heading2"/>
      </w:pPr>
      <w:bookmarkStart w:id="3553" w:name="_Toc2655"/>
      <w:r>
        <w:t>حسني حمامي، محمّد عبدالحسین قرن</w:t>
      </w:r>
      <w:bookmarkEnd w:id="3553"/>
    </w:p>
    <w:p>
      <w:pPr>
        <w:pStyle w:val="BookText"/>
      </w:pPr>
      <w:r>
        <w:rPr>
          <w:rFonts w:ascii="IRNazanin" w:hAnsi="IRNazanin" w:eastAsia="IRNazanin" w:cs="IRNazanin"/>
          <w:lang w:bidi="fa-IR"/>
          <w:color w:val="111111"/>
          <w:sz w:val="28"/>
          <w:szCs w:val="28"/>
          <w:rtl/>
        </w:rPr>
        <w:t xml:space="preserve">14 ه-</w:t>
      </w:r>
    </w:p>
    <w:p>
      <w:pPr>
        <w:pStyle w:val="BookText"/>
      </w:pPr>
      <w:r>
        <w:rPr>
          <w:rFonts w:ascii="IRNazanin" w:hAnsi="IRNazanin" w:eastAsia="IRNazanin" w:cs="IRNazanin"/>
          <w:lang w:bidi="fa-IR"/>
          <w:color w:val="111111"/>
          <w:sz w:val="28"/>
          <w:szCs w:val="28"/>
          <w:rtl/>
        </w:rPr>
        <w:t xml:space="preserve">رحلة السيّد محمّد عبد الحسين الحسني الحمامي من الكاظمية إلى ایران 51333، ج 8، ص 69 .</w:t>
      </w:r>
    </w:p>
    <w:p>
      <w:pPr>
        <w:pStyle w:val="Heading2"/>
      </w:pPr>
      <w:bookmarkStart w:id="3554" w:name="_Toc2656"/>
      <w:r>
        <w:t>حسني ، عبدالحي، 1869 - 1923 م</w:t>
      </w:r>
      <w:bookmarkEnd w:id="3554"/>
    </w:p>
    <w:p>
      <w:pPr>
        <w:pStyle w:val="BookText"/>
      </w:pPr>
      <w:r>
        <w:rPr>
          <w:rFonts w:ascii="Amiri" w:hAnsi="Amiri" w:eastAsia="Amiri" w:cs="Amiri"/>
          <w:lang w:bidi="ar-SA"/>
          <w:color w:val="111111"/>
          <w:sz w:val="28"/>
          <w:szCs w:val="28"/>
          <w:rtl/>
        </w:rPr>
        <w:t xml:space="preserve">شرح منطق التهذيب، ج 10، ص239</w:t>
      </w:r>
    </w:p>
    <w:p>
      <w:pPr>
        <w:pStyle w:val="Heading2"/>
      </w:pPr>
      <w:bookmarkStart w:id="3555" w:name="_Toc2657"/>
      <w:r>
        <w:t>حسني ، عبدالرزاق</w:t>
      </w:r>
      <w:bookmarkEnd w:id="3555"/>
    </w:p>
    <w:p>
      <w:pPr>
        <w:pStyle w:val="BookText"/>
      </w:pPr>
      <w:r>
        <w:rPr>
          <w:rFonts w:ascii="Amiri" w:hAnsi="Amiri" w:eastAsia="Amiri" w:cs="Amiri"/>
          <w:lang w:bidi="ar-SA"/>
          <w:color w:val="111111"/>
          <w:sz w:val="28"/>
          <w:szCs w:val="28"/>
          <w:rtl/>
        </w:rPr>
        <w:t xml:space="preserve">الصابئة، ج 10، ص 463.</w:t>
      </w:r>
    </w:p>
    <w:p>
      <w:pPr>
        <w:pStyle w:val="Heading2"/>
      </w:pPr>
      <w:bookmarkStart w:id="3556" w:name="_Toc2658"/>
      <w:r>
        <w:t>حسني ، عبد بن محمّد رضا</w:t>
      </w:r>
      <w:bookmarkEnd w:id="3556"/>
    </w:p>
    <w:p>
      <w:pPr>
        <w:pStyle w:val="BookText"/>
      </w:pPr>
      <w:r>
        <w:rPr>
          <w:rFonts w:ascii="Amiri" w:hAnsi="Amiri" w:eastAsia="Amiri" w:cs="Amiri"/>
          <w:lang w:bidi="ar-SA"/>
          <w:color w:val="111111"/>
          <w:sz w:val="28"/>
          <w:szCs w:val="28"/>
          <w:rtl/>
        </w:rPr>
        <w:t xml:space="preserve">اصول الدين (رسالة في)، ج 2، ص 419 .</w:t>
      </w:r>
    </w:p>
    <w:p>
      <w:pPr>
        <w:pStyle w:val="Heading2"/>
      </w:pPr>
      <w:bookmarkStart w:id="3557" w:name="_Toc2659"/>
      <w:r>
        <w:t>حسني ،عيسى بن لطف الله - 1048 ه-</w:t>
      </w:r>
      <w:bookmarkEnd w:id="3557"/>
    </w:p>
    <w:p>
      <w:pPr>
        <w:pStyle w:val="BookText"/>
      </w:pPr>
      <w:r>
        <w:rPr>
          <w:rFonts w:ascii="Amiri" w:hAnsi="Amiri" w:eastAsia="Amiri" w:cs="Amiri"/>
          <w:lang w:bidi="ar-SA"/>
          <w:color w:val="111111"/>
          <w:sz w:val="28"/>
          <w:szCs w:val="28"/>
          <w:rtl/>
        </w:rPr>
        <w:t xml:space="preserve">روح الروح فيما حدث بعد المائة</w:t>
      </w:r>
    </w:p>
    <w:p>
      <w:pPr>
        <w:pStyle w:val="BookText"/>
      </w:pPr>
      <w:r>
        <w:rPr>
          <w:rFonts w:ascii="Amiri" w:hAnsi="Amiri" w:eastAsia="Amiri" w:cs="Amiri"/>
          <w:lang w:bidi="ar-SA"/>
          <w:color w:val="111111"/>
          <w:sz w:val="28"/>
          <w:szCs w:val="28"/>
          <w:rtl/>
        </w:rPr>
        <w:t xml:space="preserve">التاسعة من الفتن و الفتوح، ج8،</w:t>
      </w:r>
    </w:p>
    <w:p>
      <w:pPr>
        <w:pStyle w:val="BookText"/>
      </w:pPr>
      <w:r>
        <w:rPr>
          <w:rFonts w:ascii="IRNazanin" w:hAnsi="IRNazanin" w:eastAsia="IRNazanin" w:cs="IRNazanin"/>
          <w:lang w:bidi="fa-IR"/>
          <w:color w:val="111111"/>
          <w:sz w:val="28"/>
          <w:szCs w:val="28"/>
          <w:rtl/>
        </w:rPr>
        <w:t xml:space="preserve">ص 378.</w:t>
      </w:r>
    </w:p>
    <w:p>
      <w:pPr>
        <w:pStyle w:val="Heading2"/>
      </w:pPr>
      <w:bookmarkStart w:id="3558" w:name="_Toc2660"/>
      <w:r>
        <w:t>حسني قادري ، جواد بن ابراهيم</w:t>
      </w:r>
      <w:bookmarkEnd w:id="3558"/>
    </w:p>
    <w:p>
      <w:pPr>
        <w:pStyle w:val="BookText"/>
      </w:pPr>
      <w:r>
        <w:rPr>
          <w:rFonts w:ascii="IRNazanin" w:hAnsi="IRNazanin" w:eastAsia="IRNazanin" w:cs="IRNazanin"/>
          <w:lang w:bidi="fa-IR"/>
          <w:color w:val="111111"/>
          <w:sz w:val="28"/>
          <w:szCs w:val="28"/>
          <w:rtl/>
        </w:rPr>
        <w:t xml:space="preserve">1250 ؟ ه-</w:t>
      </w:r>
    </w:p>
    <w:p>
      <w:pPr>
        <w:pStyle w:val="BookText"/>
      </w:pPr>
      <w:r>
        <w:rPr>
          <w:rFonts w:ascii="Amiri" w:hAnsi="Amiri" w:eastAsia="Amiri" w:cs="Amiri"/>
          <w:lang w:bidi="ar-SA"/>
          <w:color w:val="111111"/>
          <w:sz w:val="28"/>
          <w:szCs w:val="28"/>
          <w:rtl/>
        </w:rPr>
        <w:t xml:space="preserve">البراهين الساباطية، ج 3، ص 296.</w:t>
      </w:r>
    </w:p>
    <w:p>
      <w:pPr>
        <w:pStyle w:val="BookText"/>
      </w:pPr>
      <w:r>
        <w:rPr>
          <w:rFonts w:ascii="IRNazanin" w:hAnsi="IRNazanin" w:eastAsia="IRNazanin" w:cs="IRNazanin"/>
          <w:lang w:bidi="fa-IR"/>
          <w:color w:val="111111"/>
          <w:sz w:val="28"/>
          <w:szCs w:val="28"/>
          <w:rtl/>
        </w:rPr>
        <w:t xml:space="preserve">حسني قزويني ، ميرعماد -میرعماد</w:t>
      </w:r>
    </w:p>
    <w:p>
      <w:pPr>
        <w:pStyle w:val="Heading2"/>
      </w:pPr>
      <w:bookmarkStart w:id="3559" w:name="_Toc2661"/>
      <w:r>
        <w:t>حسني ، قطب الدين بن عبدالحي</w:t>
      </w:r>
      <w:bookmarkEnd w:id="3559"/>
    </w:p>
    <w:p>
      <w:pPr>
        <w:pStyle w:val="BookText"/>
      </w:pPr>
      <w:r>
        <w:rPr>
          <w:rFonts w:ascii="IRNazanin" w:hAnsi="IRNazanin" w:eastAsia="IRNazanin" w:cs="IRNazanin"/>
          <w:lang w:bidi="fa-IR"/>
          <w:color w:val="111111"/>
          <w:sz w:val="28"/>
          <w:szCs w:val="28"/>
          <w:rtl/>
        </w:rPr>
        <w:t xml:space="preserve">حل المسائل، ج 6، ص793.</w:t>
      </w:r>
    </w:p>
    <w:p>
      <w:pPr>
        <w:pStyle w:val="Heading2"/>
      </w:pPr>
      <w:bookmarkStart w:id="3560" w:name="_Toc2662"/>
      <w:r>
        <w:t>حسني كاظمي، حيدر بن ابراهيم 1205</w:t>
      </w:r>
      <w:bookmarkEnd w:id="356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1265 ه-</w:t>
      </w:r>
    </w:p>
    <w:p>
      <w:pPr>
        <w:pStyle w:val="BookText"/>
      </w:pPr>
      <w:r>
        <w:rPr>
          <w:rFonts w:ascii="Amiri" w:hAnsi="Amiri" w:eastAsia="Amiri" w:cs="Amiri"/>
          <w:lang w:bidi="ar-SA"/>
          <w:color w:val="111111"/>
          <w:sz w:val="28"/>
          <w:szCs w:val="28"/>
          <w:rtl/>
        </w:rPr>
        <w:t xml:space="preserve">1 .البارقة الحيدرية في نقض ما ابرمته</w:t>
      </w:r>
    </w:p>
    <w:p>
      <w:pPr>
        <w:pStyle w:val="BookText"/>
      </w:pPr>
      <w:r>
        <w:rPr>
          <w:rFonts w:ascii="Amiri" w:hAnsi="Amiri" w:eastAsia="Amiri" w:cs="Amiri"/>
          <w:lang w:bidi="ar-SA"/>
          <w:color w:val="111111"/>
          <w:sz w:val="28"/>
          <w:szCs w:val="28"/>
          <w:rtl/>
        </w:rPr>
        <w:t xml:space="preserve">الكشفية و الرد على طريقة</w:t>
      </w:r>
    </w:p>
    <w:p>
      <w:pPr>
        <w:pStyle w:val="BookText"/>
      </w:pPr>
      <w:r>
        <w:rPr>
          <w:rFonts w:ascii="Amiri" w:hAnsi="Amiri" w:eastAsia="Amiri" w:cs="Amiri"/>
          <w:lang w:bidi="ar-SA"/>
          <w:color w:val="111111"/>
          <w:sz w:val="28"/>
          <w:szCs w:val="28"/>
          <w:rtl/>
        </w:rPr>
        <w:t xml:space="preserve">الشيخية، ج3، ص177.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3" w:name="pg7742_70138"/>
    <w:bookmarkEnd w:id="37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المجالس الحيدرية في التعزية</w:t>
      </w:r>
    </w:p>
    <w:p>
      <w:pPr>
        <w:pStyle w:val="BookText"/>
      </w:pPr>
      <w:r>
        <w:rPr>
          <w:rFonts w:ascii="Amiri" w:hAnsi="Amiri" w:eastAsia="Amiri" w:cs="Amiri"/>
          <w:lang w:bidi="ar-SA"/>
          <w:color w:val="111111"/>
          <w:sz w:val="28"/>
          <w:szCs w:val="28"/>
          <w:rtl/>
        </w:rPr>
        <w:t xml:space="preserve">الحسينية، ج13، ص793.</w:t>
      </w:r>
    </w:p>
    <w:p>
      <w:pPr>
        <w:pStyle w:val="Heading2"/>
      </w:pPr>
      <w:bookmarkStart w:id="3561" w:name="_Toc2663"/>
      <w:r>
        <w:t>حسني كردي، محمّد باقي</w:t>
      </w:r>
      <w:bookmarkEnd w:id="3561"/>
    </w:p>
    <w:p>
      <w:pPr>
        <w:pStyle w:val="BookText"/>
      </w:pPr>
      <w:r>
        <w:rPr>
          <w:rFonts w:ascii="Amiri" w:hAnsi="Amiri" w:eastAsia="Amiri" w:cs="Amiri"/>
          <w:lang w:bidi="ar-SA"/>
          <w:color w:val="111111"/>
          <w:sz w:val="28"/>
          <w:szCs w:val="28"/>
          <w:rtl/>
        </w:rPr>
        <w:t xml:space="preserve">قصيدة ميمية، ج 12، ص 719.</w:t>
      </w:r>
    </w:p>
    <w:p>
      <w:pPr>
        <w:pStyle w:val="Heading2"/>
      </w:pPr>
      <w:bookmarkStart w:id="3562" w:name="_Toc2664"/>
      <w:r>
        <w:t>حسني ، محمّد بن عبدالله - 986 ه-</w:t>
      </w:r>
      <w:bookmarkEnd w:id="3562"/>
    </w:p>
    <w:p>
      <w:pPr>
        <w:pStyle w:val="BookText"/>
      </w:pPr>
      <w:r>
        <w:rPr>
          <w:rFonts w:ascii="Amiri" w:hAnsi="Amiri" w:eastAsia="Amiri" w:cs="Amiri"/>
          <w:lang w:bidi="ar-SA"/>
          <w:color w:val="111111"/>
          <w:sz w:val="28"/>
          <w:szCs w:val="28"/>
          <w:rtl/>
        </w:rPr>
        <w:t xml:space="preserve">الفتوحات الالهية في أحاديث خير</w:t>
      </w:r>
    </w:p>
    <w:p>
      <w:pPr>
        <w:pStyle w:val="BookText"/>
      </w:pPr>
      <w:r>
        <w:rPr>
          <w:rFonts w:ascii="Amiri" w:hAnsi="Amiri" w:eastAsia="Amiri" w:cs="Amiri"/>
          <w:lang w:bidi="ar-SA"/>
          <w:color w:val="111111"/>
          <w:sz w:val="28"/>
          <w:szCs w:val="28"/>
          <w:rtl/>
        </w:rPr>
        <w:t xml:space="preserve">البرية، ج 11، ص 705.</w:t>
      </w:r>
    </w:p>
    <w:p>
      <w:pPr>
        <w:pStyle w:val="Heading2"/>
      </w:pPr>
      <w:bookmarkStart w:id="3563" w:name="_Toc2665"/>
      <w:r>
        <w:t>حسني ، محمّد بن مطرف قرن 8 ه-</w:t>
      </w:r>
      <w:bookmarkEnd w:id="3563"/>
    </w:p>
    <w:p>
      <w:pPr>
        <w:pStyle w:val="BookText"/>
      </w:pPr>
      <w:r>
        <w:rPr>
          <w:rFonts w:ascii="Amiri" w:hAnsi="Amiri" w:eastAsia="Amiri" w:cs="Amiri"/>
          <w:lang w:bidi="ar-SA"/>
          <w:color w:val="111111"/>
          <w:sz w:val="28"/>
          <w:szCs w:val="28"/>
          <w:rtl/>
        </w:rPr>
        <w:t xml:space="preserve">1 .إجازة لتلميذه السيّد رضي الدين</w:t>
      </w:r>
    </w:p>
    <w:p>
      <w:pPr>
        <w:pStyle w:val="BookText"/>
      </w:pPr>
      <w:r>
        <w:rPr>
          <w:rFonts w:ascii="Amiri" w:hAnsi="Amiri" w:eastAsia="Amiri" w:cs="Amiri"/>
          <w:lang w:bidi="ar-SA"/>
          <w:color w:val="111111"/>
          <w:sz w:val="28"/>
          <w:szCs w:val="28"/>
          <w:rtl/>
        </w:rPr>
        <w:t xml:space="preserve">أبي عبدالله محمّد بن حسن بن علي بن محمّد الرزقني الداودي</w:t>
      </w:r>
    </w:p>
    <w:p>
      <w:pPr>
        <w:pStyle w:val="BookText"/>
      </w:pPr>
      <w:r>
        <w:rPr>
          <w:rFonts w:ascii="Amiri" w:hAnsi="Amiri" w:eastAsia="Amiri" w:cs="Amiri"/>
          <w:lang w:bidi="ar-SA"/>
          <w:color w:val="111111"/>
          <w:sz w:val="28"/>
          <w:szCs w:val="28"/>
          <w:rtl/>
        </w:rPr>
        <w:t xml:space="preserve">العلوي الحسني، ج 1، ص 234.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إجازة لرضي الدين أبي عبدالله محمّد</w:t>
      </w:r>
    </w:p>
    <w:p>
      <w:pPr>
        <w:pStyle w:val="BookText"/>
      </w:pPr>
      <w:r>
        <w:rPr>
          <w:rFonts w:ascii="Amiri" w:hAnsi="Amiri" w:eastAsia="Amiri" w:cs="Amiri"/>
          <w:lang w:bidi="ar-SA"/>
          <w:color w:val="111111"/>
          <w:sz w:val="28"/>
          <w:szCs w:val="28"/>
          <w:rtl/>
        </w:rPr>
        <w:t xml:space="preserve">بن حسن الزرقي الداودي العلوي الحسني، ج1، ص 243.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مختصر المراسم، ج 14، ص 241</w:t>
      </w:r>
    </w:p>
    <w:p>
      <w:pPr>
        <w:pStyle w:val="Heading2"/>
      </w:pPr>
      <w:bookmarkStart w:id="3564" w:name="_Toc2666"/>
      <w:r>
        <w:t>حسني ، محمّد تقي</w:t>
      </w:r>
      <w:bookmarkEnd w:id="3564"/>
    </w:p>
    <w:p>
      <w:pPr>
        <w:pStyle w:val="BookText"/>
      </w:pPr>
      <w:r>
        <w:rPr>
          <w:rFonts w:ascii="Amiri" w:hAnsi="Amiri" w:eastAsia="Amiri" w:cs="Amiri"/>
          <w:lang w:bidi="ar-SA"/>
          <w:color w:val="111111"/>
          <w:sz w:val="28"/>
          <w:szCs w:val="28"/>
          <w:rtl/>
        </w:rPr>
        <w:t xml:space="preserve">1 .تعليقة على المكاسب، ج 4،</w:t>
      </w:r>
    </w:p>
    <w:p>
      <w:pPr>
        <w:pStyle w:val="BookText"/>
      </w:pPr>
      <w:r>
        <w:rPr>
          <w:rFonts w:ascii="IRNazanin" w:hAnsi="IRNazanin" w:eastAsia="IRNazanin" w:cs="IRNazanin"/>
          <w:lang w:bidi="fa-IR"/>
          <w:color w:val="111111"/>
          <w:sz w:val="28"/>
          <w:szCs w:val="28"/>
          <w:rtl/>
        </w:rPr>
        <w:t xml:space="preserve">ص 533.</w:t>
      </w:r>
    </w:p>
    <w:p>
      <w:pPr>
        <w:pStyle w:val="BookText"/>
      </w:pPr>
      <w:r>
        <w:rPr>
          <w:rFonts w:ascii="Amiri" w:hAnsi="Amiri" w:eastAsia="Amiri" w:cs="Amiri"/>
          <w:lang w:bidi="ar-SA"/>
          <w:color w:val="111111"/>
          <w:sz w:val="28"/>
          <w:szCs w:val="28"/>
          <w:rtl/>
        </w:rPr>
        <w:t xml:space="preserve">2 .خاتمة في خلل الصلاة، ج 6، ص 876.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الطهارة، ج 10، ص 860.</w:t>
      </w:r>
    </w:p>
    <w:p>
      <w:pPr>
        <w:pStyle w:val="BookText"/>
      </w:pPr>
      <w:r>
        <w:rPr>
          <w:rFonts w:ascii="Amiri" w:hAnsi="Amiri" w:eastAsia="Amiri" w:cs="Amiri"/>
          <w:lang w:bidi="ar-SA"/>
          <w:color w:val="111111"/>
          <w:sz w:val="28"/>
          <w:szCs w:val="28"/>
          <w:rtl/>
        </w:rPr>
        <w:t xml:space="preserve">حسني مصري ، علي بن جابر- وفائي ، علي</w:t>
      </w:r>
    </w:p>
    <w:p>
      <w:pPr>
        <w:pStyle w:val="BookText"/>
      </w:pPr>
      <w:r>
        <w:rPr>
          <w:rFonts w:ascii="IRNazanin" w:hAnsi="IRNazanin" w:eastAsia="IRNazanin" w:cs="IRNazanin"/>
          <w:lang w:bidi="fa-IR"/>
          <w:color w:val="111111"/>
          <w:sz w:val="28"/>
          <w:szCs w:val="28"/>
          <w:rtl/>
        </w:rPr>
        <w:t xml:space="preserve">بن جابر</w:t>
      </w:r>
    </w:p>
    <w:p>
      <w:pPr>
        <w:pStyle w:val="Heading2"/>
      </w:pPr>
      <w:bookmarkStart w:id="3565" w:name="_Toc2667"/>
      <w:r>
        <w:t>حسني مكي ، محمّد بن علي قرن 13 ه-</w:t>
      </w:r>
      <w:bookmarkEnd w:id="3565"/>
    </w:p>
    <w:p>
      <w:pPr>
        <w:pStyle w:val="BookText"/>
      </w:pPr>
      <w:r>
        <w:rPr>
          <w:rFonts w:ascii="Amiri" w:hAnsi="Amiri" w:eastAsia="Amiri" w:cs="Amiri"/>
          <w:lang w:bidi="ar-SA"/>
          <w:color w:val="111111"/>
          <w:sz w:val="28"/>
          <w:szCs w:val="28"/>
          <w:rtl/>
        </w:rPr>
        <w:t xml:space="preserve">المفاخرة بين الغني والفقير ج 15</w:t>
      </w:r>
    </w:p>
    <w:p>
      <w:pPr>
        <w:pStyle w:val="BookText"/>
      </w:pPr>
      <w:r>
        <w:rPr>
          <w:rFonts w:ascii="IRNazanin" w:hAnsi="IRNazanin" w:eastAsia="IRNazanin" w:cs="IRNazanin"/>
          <w:lang w:bidi="fa-IR"/>
          <w:color w:val="111111"/>
          <w:sz w:val="28"/>
          <w:szCs w:val="28"/>
          <w:rtl/>
        </w:rPr>
        <w:t xml:space="preserve">ص 180 .</w:t>
      </w:r>
    </w:p>
    <w:p>
      <w:pPr>
        <w:pStyle w:val="Heading2"/>
      </w:pPr>
      <w:bookmarkStart w:id="3566" w:name="_Toc2668"/>
      <w:r>
        <w:t>حسني ، مهدي بن احمد - 1336 ه-</w:t>
      </w:r>
      <w:bookmarkEnd w:id="3566"/>
    </w:p>
    <w:p>
      <w:pPr>
        <w:pStyle w:val="BookText"/>
      </w:pPr>
      <w:r>
        <w:rPr>
          <w:rFonts w:ascii="Amiri" w:hAnsi="Amiri" w:eastAsia="Amiri" w:cs="Amiri"/>
          <w:lang w:bidi="ar-SA"/>
          <w:color w:val="111111"/>
          <w:sz w:val="28"/>
          <w:szCs w:val="28"/>
          <w:rtl/>
        </w:rPr>
        <w:t xml:space="preserve">1 .احكام الحلال والحرام، ج1،</w:t>
      </w:r>
    </w:p>
    <w:p>
      <w:pPr>
        <w:pStyle w:val="BookText"/>
      </w:pPr>
      <w:r>
        <w:rPr>
          <w:rFonts w:ascii="IRNazanin" w:hAnsi="IRNazanin" w:eastAsia="IRNazanin" w:cs="IRNazanin"/>
          <w:lang w:bidi="fa-IR"/>
          <w:color w:val="111111"/>
          <w:sz w:val="28"/>
          <w:szCs w:val="28"/>
          <w:rtl/>
        </w:rPr>
        <w:t xml:space="preserve">ص 465 .</w:t>
      </w:r>
    </w:p>
    <w:p>
      <w:pPr>
        <w:pStyle w:val="BookText"/>
      </w:pPr>
      <w:r>
        <w:rPr>
          <w:rFonts w:ascii="Amiri" w:hAnsi="Amiri" w:eastAsia="Amiri" w:cs="Amiri"/>
          <w:lang w:bidi="ar-SA"/>
          <w:color w:val="111111"/>
          <w:sz w:val="28"/>
          <w:szCs w:val="28"/>
          <w:rtl/>
        </w:rPr>
        <w:t xml:space="preserve">2 .حاشية فرائد الاصول، ج 6، ص 265.</w:t>
      </w:r>
    </w:p>
    <w:p>
      <w:pPr>
        <w:pStyle w:val="BookText"/>
      </w:pPr>
      <w:r>
        <w:rPr>
          <w:rFonts w:ascii="Amiri" w:hAnsi="Amiri" w:eastAsia="Amiri" w:cs="Amiri"/>
          <w:lang w:bidi="ar-SA"/>
          <w:color w:val="111111"/>
          <w:sz w:val="28"/>
          <w:szCs w:val="28"/>
          <w:rtl/>
        </w:rPr>
        <w:t xml:space="preserve">3 .معرفة الحلال والحرام، ج 15 ، ص 55</w:t>
      </w:r>
    </w:p>
    <w:p>
      <w:pPr>
        <w:pStyle w:val="BookText"/>
      </w:pPr>
      <w:r>
        <w:rPr>
          <w:rFonts w:ascii="Amiri" w:hAnsi="Amiri" w:eastAsia="Amiri" w:cs="Amiri"/>
          <w:lang w:bidi="ar-SA"/>
          <w:color w:val="111111"/>
          <w:sz w:val="28"/>
          <w:szCs w:val="28"/>
          <w:rtl/>
        </w:rPr>
        <w:t xml:space="preserve">4 .منهاج الاحكام في شرح شرائع</w:t>
      </w:r>
    </w:p>
    <w:p>
      <w:pPr>
        <w:pStyle w:val="BookText"/>
      </w:pPr>
      <w:r>
        <w:rPr>
          <w:rFonts w:ascii="IRNazanin" w:hAnsi="IRNazanin" w:eastAsia="IRNazanin" w:cs="IRNazanin"/>
          <w:lang w:bidi="fa-IR"/>
          <w:color w:val="111111"/>
          <w:sz w:val="28"/>
          <w:szCs w:val="28"/>
          <w:rtl/>
        </w:rPr>
        <w:t xml:space="preserve">الاسلام، ج 15 ، ص 746.</w:t>
      </w:r>
    </w:p>
    <w:p>
      <w:pPr>
        <w:pStyle w:val="Heading2"/>
      </w:pPr>
      <w:bookmarkStart w:id="3567" w:name="_Toc2669"/>
      <w:r>
        <w:t>حسني يزدي ، علي اكبر بن محمّد جعفر</w:t>
      </w:r>
      <w:bookmarkEnd w:id="3567"/>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نخبة الميزان ج 16، ص208.</w:t>
      </w:r>
    </w:p>
    <w:p>
      <w:pPr>
        <w:pStyle w:val="BookText"/>
      </w:pPr>
      <w:r>
        <w:rPr>
          <w:rFonts w:ascii="Amiri" w:hAnsi="Amiri" w:eastAsia="Amiri" w:cs="Amiri"/>
          <w:lang w:bidi="ar-SA"/>
          <w:color w:val="111111"/>
          <w:sz w:val="28"/>
          <w:szCs w:val="28"/>
          <w:rtl/>
        </w:rPr>
        <w:t xml:space="preserve">حسون براقي -براقي ، حسين بن احمد</w:t>
      </w:r>
    </w:p>
    <w:p>
      <w:pPr>
        <w:pStyle w:val="Heading2"/>
      </w:pPr>
      <w:bookmarkStart w:id="3568" w:name="_Toc2670"/>
      <w:r>
        <w:t>حسون حلی</w:t>
      </w:r>
      <w:bookmarkEnd w:id="3568"/>
    </w:p>
    <w:p>
      <w:pPr>
        <w:pStyle w:val="BookText"/>
      </w:pPr>
      <w:r>
        <w:rPr>
          <w:rFonts w:ascii="Amiri" w:hAnsi="Amiri" w:eastAsia="Amiri" w:cs="Amiri"/>
          <w:lang w:bidi="ar-SA"/>
          <w:color w:val="111111"/>
          <w:sz w:val="28"/>
          <w:szCs w:val="28"/>
          <w:rtl/>
        </w:rPr>
        <w:t xml:space="preserve">قصائد في حب اهل البيت (ع)، ج12،</w:t>
      </w:r>
    </w:p>
    <w:p>
      <w:pPr>
        <w:pStyle w:val="BookText"/>
      </w:pPr>
      <w:r>
        <w:rPr>
          <w:rFonts w:ascii="IRNazanin" w:hAnsi="IRNazanin" w:eastAsia="IRNazanin" w:cs="IRNazanin"/>
          <w:lang w:bidi="fa-IR"/>
          <w:color w:val="111111"/>
          <w:sz w:val="28"/>
          <w:szCs w:val="28"/>
          <w:rtl/>
        </w:rPr>
        <w:t xml:space="preserve">ص 593.</w:t>
      </w:r>
    </w:p>
    <w:p>
      <w:pPr>
        <w:pStyle w:val="BookText"/>
      </w:pPr>
      <w:r>
        <w:rPr>
          <w:rFonts w:ascii="Amiri" w:hAnsi="Amiri" w:eastAsia="Amiri" w:cs="Amiri"/>
          <w:lang w:bidi="ar-SA"/>
          <w:color w:val="111111"/>
          <w:sz w:val="28"/>
          <w:szCs w:val="28"/>
          <w:rtl/>
        </w:rPr>
        <w:t xml:space="preserve">حسين آبادي ، ابراهيم بن حيدر- كردي</w:t>
      </w:r>
    </w:p>
    <w:p>
      <w:pPr>
        <w:pStyle w:val="BookText"/>
      </w:pPr>
      <w:r>
        <w:rPr>
          <w:rFonts w:ascii="Amiri" w:hAnsi="Amiri" w:eastAsia="Amiri" w:cs="Amiri"/>
          <w:lang w:bidi="ar-SA"/>
          <w:color w:val="111111"/>
          <w:sz w:val="28"/>
          <w:szCs w:val="28"/>
          <w:rtl/>
        </w:rPr>
        <w:t xml:space="preserve">حسين آبادي ، ابراهيم بن حيدر</w:t>
      </w:r>
    </w:p>
    <w:p>
      <w:pPr>
        <w:pStyle w:val="BookText"/>
      </w:pPr>
      <w:r>
        <w:rPr>
          <w:rFonts w:ascii="Amiri" w:hAnsi="Amiri" w:eastAsia="Amiri" w:cs="Amiri"/>
          <w:lang w:bidi="ar-SA"/>
          <w:color w:val="111111"/>
          <w:sz w:val="28"/>
          <w:szCs w:val="28"/>
          <w:rtl/>
        </w:rPr>
        <w:t xml:space="preserve">حسين آبادي ، ابراهيم بن صبغة</w:t>
      </w:r>
    </w:p>
    <w:p>
      <w:pPr>
        <w:pStyle w:val="BookText"/>
      </w:pPr>
      <w:r>
        <w:rPr>
          <w:rFonts w:ascii="Amiri" w:hAnsi="Amiri" w:eastAsia="Amiri" w:cs="Amiri"/>
          <w:lang w:bidi="ar-SA"/>
          <w:color w:val="111111"/>
          <w:sz w:val="28"/>
          <w:szCs w:val="28"/>
          <w:rtl/>
        </w:rPr>
        <w:t xml:space="preserve">الله -حيدري ، ابراهيم بن صبغة الله</w:t>
      </w:r>
    </w:p>
    <w:p>
      <w:pPr>
        <w:pStyle w:val="BookText"/>
      </w:pPr>
      <w:r>
        <w:rPr>
          <w:rFonts w:ascii="Amiri" w:hAnsi="Amiri" w:eastAsia="Amiri" w:cs="Amiri"/>
          <w:lang w:bidi="ar-SA"/>
          <w:color w:val="111111"/>
          <w:sz w:val="28"/>
          <w:szCs w:val="28"/>
          <w:rtl/>
        </w:rPr>
        <w:t xml:space="preserve">حسين آبادي ، ابراهيم بن عاصم- حيدري</w:t>
      </w:r>
    </w:p>
    <w:p>
      <w:pPr>
        <w:pStyle w:val="BookText"/>
      </w:pPr>
      <w:r>
        <w:rPr>
          <w:rFonts w:ascii="Amiri" w:hAnsi="Amiri" w:eastAsia="Amiri" w:cs="Amiri"/>
          <w:lang w:bidi="ar-SA"/>
          <w:color w:val="111111"/>
          <w:sz w:val="28"/>
          <w:szCs w:val="28"/>
          <w:rtl/>
        </w:rPr>
        <w:t xml:space="preserve">، ابراهيم بن عاصم</w:t>
      </w:r>
    </w:p>
    <w:p>
      <w:pPr>
        <w:pStyle w:val="BookText"/>
      </w:pPr>
      <w:r>
        <w:rPr>
          <w:rFonts w:ascii="IRNazanin" w:hAnsi="IRNazanin" w:eastAsia="IRNazanin" w:cs="IRNazanin"/>
          <w:lang w:bidi="fa-IR"/>
          <w:color w:val="111111"/>
          <w:sz w:val="28"/>
          <w:szCs w:val="28"/>
          <w:rtl/>
        </w:rPr>
        <w:t xml:space="preserve">حسین آبادي ، احمد بن حيدر -</w:t>
      </w:r>
    </w:p>
    <w:p>
      <w:pPr>
        <w:pStyle w:val="BookText"/>
      </w:pPr>
      <w:r>
        <w:rPr>
          <w:rFonts w:ascii="Amiri" w:hAnsi="Amiri" w:eastAsia="Amiri" w:cs="Amiri"/>
          <w:lang w:bidi="ar-SA"/>
          <w:color w:val="111111"/>
          <w:sz w:val="28"/>
          <w:szCs w:val="28"/>
          <w:rtl/>
        </w:rPr>
        <w:t xml:space="preserve">حسين آبادي ، احمد بن حيدر كردي</w:t>
      </w:r>
    </w:p>
    <w:p>
      <w:pPr>
        <w:pStyle w:val="BookText"/>
      </w:pPr>
      <w:r>
        <w:rPr>
          <w:rFonts w:ascii="Amiri" w:hAnsi="Amiri" w:eastAsia="Amiri" w:cs="Amiri"/>
          <w:lang w:bidi="ar-SA"/>
          <w:color w:val="111111"/>
          <w:sz w:val="28"/>
          <w:szCs w:val="28"/>
          <w:rtl/>
        </w:rPr>
        <w:t xml:space="preserve">حسين آبادي ، اسماعيل- حيدري ،</w:t>
      </w:r>
    </w:p>
    <w:p>
      <w:pPr>
        <w:pStyle w:val="BookText"/>
      </w:pPr>
      <w:r>
        <w:rPr>
          <w:rFonts w:ascii="Amiri" w:hAnsi="Amiri" w:eastAsia="Amiri" w:cs="Amiri"/>
          <w:lang w:bidi="ar-SA"/>
          <w:color w:val="111111"/>
          <w:sz w:val="28"/>
          <w:szCs w:val="28"/>
          <w:rtl/>
        </w:rPr>
        <w:t xml:space="preserve">اسماعيل بن ابراهيم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4" w:name="pg7742_70140"/>
    <w:bookmarkEnd w:id="374"/>
    <w:p>
      <w:pPr>
        <w:pStyle w:val="Heading2"/>
      </w:pPr>
      <w:bookmarkStart w:id="3569" w:name="_Toc2671"/>
      <w:r>
        <w:t>حسين آبادي ، اسماعيل بن ابراهيم</w:t>
      </w:r>
      <w:bookmarkEnd w:id="3569"/>
    </w:p>
    <w:p>
      <w:pPr>
        <w:pStyle w:val="BookText"/>
      </w:pPr>
      <w:r>
        <w:rPr>
          <w:rFonts w:ascii="Amiri" w:hAnsi="Amiri" w:eastAsia="Amiri" w:cs="Amiri"/>
          <w:lang w:bidi="ar-SA"/>
          <w:color w:val="111111"/>
          <w:sz w:val="28"/>
          <w:szCs w:val="28"/>
          <w:rtl/>
        </w:rPr>
        <w:t xml:space="preserve">نقش الصفيحة، ج 16 ، ص 420.</w:t>
      </w:r>
    </w:p>
    <w:p>
      <w:pPr>
        <w:pStyle w:val="BookText"/>
      </w:pPr>
      <w:r>
        <w:rPr>
          <w:rFonts w:ascii="Amiri" w:hAnsi="Amiri" w:eastAsia="Amiri" w:cs="Amiri"/>
          <w:lang w:bidi="ar-SA"/>
          <w:color w:val="111111"/>
          <w:sz w:val="28"/>
          <w:szCs w:val="28"/>
          <w:rtl/>
        </w:rPr>
        <w:t xml:space="preserve">حسين آبادي ، حيدر بن احمد -كردي</w:t>
      </w:r>
    </w:p>
    <w:p>
      <w:pPr>
        <w:pStyle w:val="BookText"/>
      </w:pPr>
      <w:r>
        <w:rPr>
          <w:rFonts w:ascii="IRNazanin" w:hAnsi="IRNazanin" w:eastAsia="IRNazanin" w:cs="IRNazanin"/>
          <w:lang w:bidi="fa-IR"/>
          <w:color w:val="111111"/>
          <w:sz w:val="28"/>
          <w:szCs w:val="28"/>
          <w:rtl/>
        </w:rPr>
        <w:t xml:space="preserve">حسین آبادي ، حيدر بن احمد</w:t>
      </w:r>
    </w:p>
    <w:p>
      <w:pPr>
        <w:pStyle w:val="BookText"/>
      </w:pPr>
      <w:r>
        <w:rPr>
          <w:rFonts w:ascii="Amiri" w:hAnsi="Amiri" w:eastAsia="Amiri" w:cs="Amiri"/>
          <w:lang w:bidi="ar-SA"/>
          <w:color w:val="111111"/>
          <w:sz w:val="28"/>
          <w:szCs w:val="28"/>
          <w:rtl/>
        </w:rPr>
        <w:t xml:space="preserve">حسين آبادي ، محمّد بن حسين- كردي</w:t>
      </w:r>
    </w:p>
    <w:p>
      <w:pPr>
        <w:pStyle w:val="BookText"/>
      </w:pPr>
      <w:r>
        <w:rPr>
          <w:rFonts w:ascii="Amiri" w:hAnsi="Amiri" w:eastAsia="Amiri" w:cs="Amiri"/>
          <w:lang w:bidi="ar-SA"/>
          <w:color w:val="111111"/>
          <w:sz w:val="28"/>
          <w:szCs w:val="28"/>
          <w:rtl/>
        </w:rPr>
        <w:t xml:space="preserve">حسين آبادي ، محمّد بن حسين</w:t>
      </w:r>
    </w:p>
    <w:p>
      <w:pPr>
        <w:pStyle w:val="BookText"/>
      </w:pPr>
      <w:r>
        <w:rPr>
          <w:rFonts w:ascii="Amiri" w:hAnsi="Amiri" w:eastAsia="Amiri" w:cs="Amiri"/>
          <w:lang w:bidi="ar-SA"/>
          <w:color w:val="111111"/>
          <w:sz w:val="28"/>
          <w:szCs w:val="28"/>
          <w:rtl/>
        </w:rPr>
        <w:t xml:space="preserve">حسين اردبيلي استرآبادي- اردبيلي ، حسين</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حسين افندي انطاكي- انطاكي ، حسين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حسين افندي -افندي ، حسين</w:t>
      </w:r>
    </w:p>
    <w:p>
      <w:pPr>
        <w:pStyle w:val="BookText"/>
      </w:pPr>
      <w:r>
        <w:rPr>
          <w:rFonts w:ascii="Amiri" w:hAnsi="Amiri" w:eastAsia="Amiri" w:cs="Amiri"/>
          <w:lang w:bidi="ar-SA"/>
          <w:color w:val="111111"/>
          <w:sz w:val="28"/>
          <w:szCs w:val="28"/>
          <w:rtl/>
        </w:rPr>
        <w:t xml:space="preserve">حسين الفارس - حسين الملي</w:t>
      </w:r>
    </w:p>
    <w:p>
      <w:pPr>
        <w:pStyle w:val="Heading2"/>
      </w:pPr>
      <w:bookmarkStart w:id="3570" w:name="_Toc2672"/>
      <w:r>
        <w:t>حسين الملي، - 1143 ه-</w:t>
      </w:r>
      <w:bookmarkEnd w:id="3570"/>
    </w:p>
    <w:p>
      <w:pPr>
        <w:pStyle w:val="BookText"/>
      </w:pPr>
      <w:r>
        <w:rPr>
          <w:rFonts w:ascii="IRNazanin" w:hAnsi="IRNazanin" w:eastAsia="IRNazanin" w:cs="IRNazanin"/>
          <w:lang w:bidi="fa-IR"/>
          <w:color w:val="111111"/>
          <w:sz w:val="28"/>
          <w:szCs w:val="28"/>
          <w:rtl/>
        </w:rPr>
        <w:t xml:space="preserve">دیوان حسين الملي، ج 7، ص 620.</w:t>
      </w:r>
    </w:p>
    <w:p>
      <w:pPr>
        <w:pStyle w:val="BookText"/>
      </w:pPr>
      <w:r>
        <w:rPr>
          <w:rFonts w:ascii="Amiri" w:hAnsi="Amiri" w:eastAsia="Amiri" w:cs="Amiri"/>
          <w:lang w:bidi="ar-SA"/>
          <w:color w:val="111111"/>
          <w:sz w:val="28"/>
          <w:szCs w:val="28"/>
          <w:rtl/>
        </w:rPr>
        <w:t xml:space="preserve">حسيناوي ، محمّد جعفر بن مصطفى -موسوي ، محمّد جعفر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حسين بغدادي- بغدادي ، حسين</w:t>
      </w:r>
    </w:p>
    <w:p>
      <w:pPr>
        <w:pStyle w:val="BookText"/>
      </w:pPr>
      <w:r>
        <w:rPr>
          <w:rFonts w:ascii="Amiri" w:hAnsi="Amiri" w:eastAsia="Amiri" w:cs="Amiri"/>
          <w:lang w:bidi="ar-SA"/>
          <w:color w:val="111111"/>
          <w:sz w:val="28"/>
          <w:szCs w:val="28"/>
          <w:rtl/>
        </w:rPr>
        <w:t xml:space="preserve">حسين بن ابراهيم بديع الزمان</w:t>
      </w:r>
    </w:p>
    <w:p>
      <w:pPr>
        <w:pStyle w:val="BookText"/>
      </w:pPr>
      <w:r>
        <w:rPr>
          <w:rFonts w:ascii="Amiri" w:hAnsi="Amiri" w:eastAsia="Amiri" w:cs="Amiri"/>
          <w:lang w:bidi="ar-SA"/>
          <w:color w:val="111111"/>
          <w:sz w:val="28"/>
          <w:szCs w:val="28"/>
          <w:rtl/>
        </w:rPr>
        <w:t xml:space="preserve">نطنزي- اديب نطنزي ، حسين بن ابراهيم</w:t>
      </w:r>
    </w:p>
    <w:p>
      <w:pPr>
        <w:pStyle w:val="BookText"/>
      </w:pPr>
      <w:r>
        <w:rPr>
          <w:rFonts w:ascii="Amiri" w:hAnsi="Amiri" w:eastAsia="Amiri" w:cs="Amiri"/>
          <w:lang w:bidi="ar-SA"/>
          <w:color w:val="111111"/>
          <w:sz w:val="28"/>
          <w:szCs w:val="28"/>
          <w:rtl/>
        </w:rPr>
        <w:t xml:space="preserve">حسين بن ابراهيم بن قائد -ابن قائد ،</w:t>
      </w:r>
    </w:p>
    <w:p>
      <w:pPr>
        <w:pStyle w:val="BookText"/>
      </w:pPr>
      <w:r>
        <w:rPr>
          <w:rFonts w:ascii="Amiri" w:hAnsi="Amiri" w:eastAsia="Amiri" w:cs="Amiri"/>
          <w:lang w:bidi="ar-SA"/>
          <w:color w:val="111111"/>
          <w:sz w:val="28"/>
          <w:szCs w:val="28"/>
          <w:rtl/>
        </w:rPr>
        <w:t xml:space="preserve">حسين بن ابراهيم</w:t>
      </w:r>
    </w:p>
    <w:p>
      <w:pPr>
        <w:pStyle w:val="BookText"/>
      </w:pPr>
      <w:r>
        <w:rPr>
          <w:rFonts w:ascii="Amiri" w:hAnsi="Amiri" w:eastAsia="Amiri" w:cs="Amiri"/>
          <w:lang w:bidi="ar-SA"/>
          <w:color w:val="111111"/>
          <w:sz w:val="28"/>
          <w:szCs w:val="28"/>
          <w:rtl/>
        </w:rPr>
        <w:t xml:space="preserve">حسين بن ابراهيم تنكابني- تنكابني</w:t>
      </w:r>
    </w:p>
    <w:p>
      <w:pPr>
        <w:pStyle w:val="BookText"/>
      </w:pPr>
      <w:r>
        <w:rPr>
          <w:rFonts w:ascii="Amiri" w:hAnsi="Amiri" w:eastAsia="Amiri" w:cs="Amiri"/>
          <w:lang w:bidi="ar-SA"/>
          <w:color w:val="111111"/>
          <w:sz w:val="28"/>
          <w:szCs w:val="28"/>
          <w:rtl/>
        </w:rPr>
        <w:t xml:space="preserve">حسين بن ابراهيم</w:t>
      </w:r>
    </w:p>
    <w:p>
      <w:pPr>
        <w:pStyle w:val="BookText"/>
      </w:pPr>
      <w:r>
        <w:rPr>
          <w:rFonts w:ascii="Amiri" w:hAnsi="Amiri" w:eastAsia="Amiri" w:cs="Amiri"/>
          <w:lang w:bidi="ar-SA"/>
          <w:color w:val="111111"/>
          <w:sz w:val="28"/>
          <w:szCs w:val="28"/>
          <w:rtl/>
        </w:rPr>
        <w:t xml:space="preserve">حسين بن ابراهيم حسيني قزويني تبريزي - قزويني ، حسين بن محمّد ابراهيم</w:t>
      </w:r>
    </w:p>
    <w:p>
      <w:pPr>
        <w:pStyle w:val="BookText"/>
      </w:pPr>
      <w:r>
        <w:rPr>
          <w:rFonts w:ascii="Amiri" w:hAnsi="Amiri" w:eastAsia="Amiri" w:cs="Amiri"/>
          <w:lang w:bidi="ar-SA"/>
          <w:color w:val="111111"/>
          <w:sz w:val="28"/>
          <w:szCs w:val="28"/>
          <w:rtl/>
        </w:rPr>
        <w:t xml:space="preserve">حسين بن ابراهيم شريفي شاهرودي -شاهرودي ، حسين بن ابراهيم</w:t>
      </w:r>
    </w:p>
    <w:p>
      <w:pPr>
        <w:pStyle w:val="BookText"/>
      </w:pPr>
      <w:r>
        <w:rPr>
          <w:rFonts w:ascii="Amiri" w:hAnsi="Amiri" w:eastAsia="Amiri" w:cs="Amiri"/>
          <w:lang w:bidi="ar-SA"/>
          <w:color w:val="111111"/>
          <w:sz w:val="28"/>
          <w:szCs w:val="28"/>
          <w:rtl/>
        </w:rPr>
        <w:t xml:space="preserve">حسين بن ابراهيم قرشي- قرشي ، حسين</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حسين بن ابي العز بن رشيد همداني -همداني ، حسين بن ابي العز</w:t>
      </w:r>
    </w:p>
    <w:p>
      <w:pPr>
        <w:pStyle w:val="BookText"/>
      </w:pPr>
      <w:r>
        <w:rPr>
          <w:rFonts w:ascii="Amiri" w:hAnsi="Amiri" w:eastAsia="Amiri" w:cs="Amiri"/>
          <w:lang w:bidi="ar-SA"/>
          <w:color w:val="111111"/>
          <w:sz w:val="28"/>
          <w:szCs w:val="28"/>
          <w:rtl/>
        </w:rPr>
        <w:t xml:space="preserve">حسين بن ابي القاسم بن ابي بكر</w:t>
      </w:r>
    </w:p>
    <w:p>
      <w:pPr>
        <w:pStyle w:val="BookText"/>
      </w:pPr>
      <w:r>
        <w:rPr>
          <w:rFonts w:ascii="Amiri" w:hAnsi="Amiri" w:eastAsia="Amiri" w:cs="Amiri"/>
          <w:lang w:bidi="ar-SA"/>
          <w:color w:val="111111"/>
          <w:sz w:val="28"/>
          <w:szCs w:val="28"/>
          <w:rtl/>
        </w:rPr>
        <w:t xml:space="preserve">الأهدل- اهدل ، حسين بن ابي القاسم</w:t>
      </w:r>
    </w:p>
    <w:p>
      <w:pPr>
        <w:pStyle w:val="BookText"/>
      </w:pPr>
      <w:r>
        <w:rPr>
          <w:rFonts w:ascii="Amiri" w:hAnsi="Amiri" w:eastAsia="Amiri" w:cs="Amiri"/>
          <w:lang w:bidi="ar-SA"/>
          <w:color w:val="111111"/>
          <w:sz w:val="28"/>
          <w:szCs w:val="28"/>
          <w:rtl/>
        </w:rPr>
        <w:t xml:space="preserve">حسين بن احمد ابن خالويه- ابن</w:t>
      </w:r>
    </w:p>
    <w:p>
      <w:pPr>
        <w:pStyle w:val="BookText"/>
      </w:pPr>
      <w:r>
        <w:rPr>
          <w:rFonts w:ascii="IRNazanin" w:hAnsi="IRNazanin" w:eastAsia="IRNazanin" w:cs="IRNazanin"/>
          <w:lang w:bidi="fa-IR"/>
          <w:color w:val="111111"/>
          <w:sz w:val="28"/>
          <w:szCs w:val="28"/>
          <w:rtl/>
        </w:rPr>
        <w:t xml:space="preserve">خالویه ، حسين بن احمد</w:t>
      </w:r>
    </w:p>
    <w:p>
      <w:pPr>
        <w:pStyle w:val="BookText"/>
      </w:pPr>
      <w:r>
        <w:rPr>
          <w:rFonts w:ascii="Amiri" w:hAnsi="Amiri" w:eastAsia="Amiri" w:cs="Amiri"/>
          <w:lang w:bidi="ar-SA"/>
          <w:color w:val="111111"/>
          <w:sz w:val="28"/>
          <w:szCs w:val="28"/>
          <w:rtl/>
        </w:rPr>
        <w:t xml:space="preserve">حسين بن احمد استرآبادي- استرآبادي ،</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Amiri" w:hAnsi="Amiri" w:eastAsia="Amiri" w:cs="Amiri"/>
          <w:lang w:bidi="ar-SA"/>
          <w:color w:val="111111"/>
          <w:sz w:val="28"/>
          <w:szCs w:val="28"/>
          <w:rtl/>
        </w:rPr>
        <w:t xml:space="preserve">حسين بن احمد افندي- سراج ، حسين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3571" w:name="_Toc2673"/>
      <w:r>
        <w:t>حسين بن احمد بن محمّد</w:t>
      </w:r>
      <w:bookmarkEnd w:id="3571"/>
    </w:p>
    <w:p>
      <w:pPr>
        <w:pStyle w:val="BookText"/>
      </w:pPr>
      <w:r>
        <w:rPr>
          <w:rFonts w:ascii="Amiri" w:hAnsi="Amiri" w:eastAsia="Amiri" w:cs="Amiri"/>
          <w:lang w:bidi="ar-SA"/>
          <w:color w:val="111111"/>
          <w:sz w:val="28"/>
          <w:szCs w:val="28"/>
          <w:rtl/>
        </w:rPr>
        <w:t xml:space="preserve">الصلاة (رسالة في)، ج 10، ص 587.</w:t>
      </w:r>
    </w:p>
    <w:p>
      <w:pPr>
        <w:pStyle w:val="BookText"/>
      </w:pPr>
      <w:r>
        <w:rPr>
          <w:rFonts w:ascii="Amiri" w:hAnsi="Amiri" w:eastAsia="Amiri" w:cs="Amiri"/>
          <w:lang w:bidi="ar-SA"/>
          <w:color w:val="111111"/>
          <w:sz w:val="28"/>
          <w:szCs w:val="28"/>
          <w:rtl/>
        </w:rPr>
        <w:t xml:space="preserve">حسين بن احمد حسيني</w:t>
      </w:r>
    </w:p>
    <w:p>
      <w:pPr>
        <w:pStyle w:val="BookText"/>
      </w:pPr>
      <w:r>
        <w:rPr>
          <w:rFonts w:ascii="Amiri" w:hAnsi="Amiri" w:eastAsia="Amiri" w:cs="Amiri"/>
          <w:lang w:bidi="ar-SA"/>
          <w:color w:val="111111"/>
          <w:sz w:val="28"/>
          <w:szCs w:val="28"/>
          <w:rtl/>
        </w:rPr>
        <w:t xml:space="preserve">عبد العظيمي - عبد العظيمي ، حسين بن احمد</w:t>
      </w:r>
    </w:p>
    <w:p>
      <w:pPr>
        <w:pStyle w:val="BookText"/>
      </w:pPr>
      <w:r>
        <w:rPr>
          <w:rFonts w:ascii="Amiri" w:hAnsi="Amiri" w:eastAsia="Amiri" w:cs="Amiri"/>
          <w:lang w:bidi="ar-SA"/>
          <w:color w:val="111111"/>
          <w:sz w:val="28"/>
          <w:szCs w:val="28"/>
          <w:rtl/>
        </w:rPr>
        <w:t xml:space="preserve">حسين بن احمد زوزني- زوزني ، حسين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حسين بن احمد زيني زاده -زيني زاده</w:t>
      </w:r>
    </w:p>
    <w:p>
      <w:pPr>
        <w:pStyle w:val="BookText"/>
      </w:pPr>
      <w:r>
        <w:rPr>
          <w:rFonts w:ascii="Amiri" w:hAnsi="Amiri" w:eastAsia="Amiri" w:cs="Amiri"/>
          <w:lang w:bidi="ar-SA"/>
          <w:color w:val="111111"/>
          <w:sz w:val="28"/>
          <w:szCs w:val="28"/>
          <w:rtl/>
        </w:rPr>
        <w:t xml:space="preserve">حسين بن احمد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5" w:name="pg7742_70141"/>
    <w:bookmarkEnd w:id="375"/>
    <w:p>
      <w:pPr>
        <w:pStyle w:val="BookText"/>
      </w:pPr>
      <w:r>
        <w:rPr>
          <w:rFonts w:ascii="Amiri" w:hAnsi="Amiri" w:eastAsia="Amiri" w:cs="Amiri"/>
          <w:lang w:bidi="ar-SA"/>
          <w:color w:val="111111"/>
          <w:sz w:val="28"/>
          <w:szCs w:val="28"/>
          <w:rtl/>
        </w:rPr>
        <w:t xml:space="preserve">حسين بن احمد شقاق - شقاق ، حسين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حسين بن احمد عرشي -عرشي ، حسين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حسين بن احمد كاتب نيلي- كاتب نيلي</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IRNazanin" w:hAnsi="IRNazanin" w:eastAsia="IRNazanin" w:cs="IRNazanin"/>
          <w:lang w:bidi="fa-IR"/>
          <w:color w:val="111111"/>
          <w:sz w:val="28"/>
          <w:szCs w:val="28"/>
          <w:rtl/>
        </w:rPr>
        <w:t xml:space="preserve">حسين بن اسكندر- ابن اسکندر ، حسین</w:t>
      </w:r>
    </w:p>
    <w:p>
      <w:pPr>
        <w:pStyle w:val="BookText"/>
      </w:pPr>
      <w:r>
        <w:rPr>
          <w:rFonts w:ascii="Amiri" w:hAnsi="Amiri" w:eastAsia="Amiri" w:cs="Amiri"/>
          <w:lang w:bidi="ar-SA"/>
          <w:color w:val="111111"/>
          <w:sz w:val="28"/>
          <w:szCs w:val="28"/>
          <w:rtl/>
        </w:rPr>
        <w:t xml:space="preserve">بن اسكندر</w:t>
      </w:r>
    </w:p>
    <w:p>
      <w:pPr>
        <w:pStyle w:val="BookText"/>
      </w:pPr>
      <w:r>
        <w:rPr>
          <w:rFonts w:ascii="Amiri" w:hAnsi="Amiri" w:eastAsia="Amiri" w:cs="Amiri"/>
          <w:lang w:bidi="ar-SA"/>
          <w:color w:val="111111"/>
          <w:sz w:val="28"/>
          <w:szCs w:val="28"/>
          <w:rtl/>
        </w:rPr>
        <w:t xml:space="preserve">حسين بن اسماعيل زيني- زيني ، حسين بن حسن</w:t>
      </w:r>
    </w:p>
    <w:p>
      <w:pPr>
        <w:pStyle w:val="BookText"/>
      </w:pPr>
      <w:r>
        <w:rPr>
          <w:rFonts w:ascii="Amiri" w:hAnsi="Amiri" w:eastAsia="Amiri" w:cs="Amiri"/>
          <w:lang w:bidi="ar-SA"/>
          <w:color w:val="111111"/>
          <w:sz w:val="28"/>
          <w:szCs w:val="28"/>
          <w:rtl/>
        </w:rPr>
        <w:t xml:space="preserve">بن اسماعيل حسين بن اسماعيل محاملي - محاملي :</w:t>
      </w:r>
    </w:p>
    <w:p>
      <w:pPr>
        <w:pStyle w:val="BookText"/>
      </w:pPr>
      <w:r>
        <w:rPr>
          <w:rFonts w:ascii="Amiri" w:hAnsi="Amiri" w:eastAsia="Amiri" w:cs="Amiri"/>
          <w:lang w:bidi="ar-SA"/>
          <w:color w:val="111111"/>
          <w:sz w:val="28"/>
          <w:szCs w:val="28"/>
          <w:rtl/>
        </w:rPr>
        <w:t xml:space="preserve">حسين بن اسماعيل</w:t>
      </w:r>
    </w:p>
    <w:p>
      <w:pPr>
        <w:pStyle w:val="BookText"/>
      </w:pPr>
      <w:r>
        <w:rPr>
          <w:rFonts w:ascii="Amiri" w:hAnsi="Amiri" w:eastAsia="Amiri" w:cs="Amiri"/>
          <w:lang w:bidi="ar-SA"/>
          <w:color w:val="111111"/>
          <w:sz w:val="28"/>
          <w:szCs w:val="28"/>
          <w:rtl/>
        </w:rPr>
        <w:t xml:space="preserve">حسين بن الحكم حبري كوفي -حبري كوفي</w:t>
      </w:r>
    </w:p>
    <w:p>
      <w:pPr>
        <w:pStyle w:val="BookText"/>
      </w:pPr>
      <w:r>
        <w:rPr>
          <w:rFonts w:ascii="Amiri" w:hAnsi="Amiri" w:eastAsia="Amiri" w:cs="Amiri"/>
          <w:lang w:bidi="ar-SA"/>
          <w:color w:val="111111"/>
          <w:sz w:val="28"/>
          <w:szCs w:val="28"/>
          <w:rtl/>
        </w:rPr>
        <w:t xml:space="preserve">، حسين بن حكم</w:t>
      </w:r>
    </w:p>
    <w:p>
      <w:pPr>
        <w:pStyle w:val="BookText"/>
      </w:pPr>
      <w:r>
        <w:rPr>
          <w:rFonts w:ascii="Amiri" w:hAnsi="Amiri" w:eastAsia="Amiri" w:cs="Amiri"/>
          <w:lang w:bidi="ar-SA"/>
          <w:color w:val="111111"/>
          <w:sz w:val="28"/>
          <w:szCs w:val="28"/>
          <w:rtl/>
        </w:rPr>
        <w:t xml:space="preserve">حسين بن الرضا بروجردي- بروجردي ،</w:t>
      </w:r>
    </w:p>
    <w:p>
      <w:pPr>
        <w:pStyle w:val="BookText"/>
      </w:pPr>
      <w:r>
        <w:rPr>
          <w:rFonts w:ascii="Amiri" w:hAnsi="Amiri" w:eastAsia="Amiri" w:cs="Amiri"/>
          <w:lang w:bidi="ar-SA"/>
          <w:color w:val="111111"/>
          <w:sz w:val="28"/>
          <w:szCs w:val="28"/>
          <w:rtl/>
        </w:rPr>
        <w:t xml:space="preserve">حسين بن محمد رضا</w:t>
      </w:r>
    </w:p>
    <w:p>
      <w:pPr>
        <w:pStyle w:val="BookText"/>
      </w:pPr>
      <w:r>
        <w:rPr>
          <w:rFonts w:ascii="Amiri" w:hAnsi="Amiri" w:eastAsia="Amiri" w:cs="Amiri"/>
          <w:lang w:bidi="ar-SA"/>
          <w:color w:val="111111"/>
          <w:sz w:val="28"/>
          <w:szCs w:val="28"/>
          <w:rtl/>
        </w:rPr>
        <w:t xml:space="preserve">حسين بن المبارك -زبيدي ، احمد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حسين بن بايزيد برزنجي - برزنجي ،</w:t>
      </w:r>
    </w:p>
    <w:p>
      <w:pPr>
        <w:pStyle w:val="BookText"/>
      </w:pPr>
      <w:r>
        <w:rPr>
          <w:rFonts w:ascii="IRNazanin" w:hAnsi="IRNazanin" w:eastAsia="IRNazanin" w:cs="IRNazanin"/>
          <w:lang w:bidi="fa-IR"/>
          <w:color w:val="111111"/>
          <w:sz w:val="28"/>
          <w:szCs w:val="28"/>
          <w:rtl/>
        </w:rPr>
        <w:t xml:space="preserve">حسین بن بایزید</w:t>
      </w:r>
    </w:p>
    <w:p>
      <w:pPr>
        <w:pStyle w:val="BookText"/>
      </w:pPr>
      <w:r>
        <w:rPr>
          <w:rFonts w:ascii="Amiri" w:hAnsi="Amiri" w:eastAsia="Amiri" w:cs="Amiri"/>
          <w:lang w:bidi="ar-SA"/>
          <w:color w:val="111111"/>
          <w:sz w:val="28"/>
          <w:szCs w:val="28"/>
          <w:rtl/>
        </w:rPr>
        <w:t xml:space="preserve">حسين بن بسطام- ابن بسطام ، حسين بن</w:t>
      </w:r>
    </w:p>
    <w:p>
      <w:pPr>
        <w:pStyle w:val="BookText"/>
      </w:pPr>
      <w:r>
        <w:rPr>
          <w:rFonts w:ascii="IRNazanin" w:hAnsi="IRNazanin" w:eastAsia="IRNazanin" w:cs="IRNazanin"/>
          <w:lang w:bidi="fa-IR"/>
          <w:color w:val="111111"/>
          <w:sz w:val="28"/>
          <w:szCs w:val="28"/>
          <w:rtl/>
        </w:rPr>
        <w:t xml:space="preserve">بسطام</w:t>
      </w:r>
    </w:p>
    <w:p>
      <w:pPr>
        <w:pStyle w:val="BookText"/>
      </w:pPr>
      <w:r>
        <w:rPr>
          <w:rFonts w:ascii="Amiri" w:hAnsi="Amiri" w:eastAsia="Amiri" w:cs="Amiri"/>
          <w:lang w:bidi="ar-SA"/>
          <w:color w:val="111111"/>
          <w:sz w:val="28"/>
          <w:szCs w:val="28"/>
          <w:rtl/>
        </w:rPr>
        <w:t xml:space="preserve">حسين بن جعفر ادريسي- ادريسي ، حسين</w:t>
      </w:r>
    </w:p>
    <w:p>
      <w:pPr>
        <w:pStyle w:val="BookText"/>
      </w:pPr>
      <w:r>
        <w:rPr>
          <w:rFonts w:ascii="IRNazanin" w:hAnsi="IRNazanin" w:eastAsia="IRNazanin" w:cs="IRNazanin"/>
          <w:lang w:bidi="fa-IR"/>
          <w:color w:val="111111"/>
          <w:sz w:val="28"/>
          <w:szCs w:val="28"/>
          <w:rtl/>
        </w:rPr>
        <w:t xml:space="preserve">بن جعفر</w:t>
      </w:r>
    </w:p>
    <w:p>
      <w:pPr>
        <w:pStyle w:val="BookText"/>
      </w:pPr>
      <w:r>
        <w:rPr>
          <w:rFonts w:ascii="Amiri" w:hAnsi="Amiri" w:eastAsia="Amiri" w:cs="Amiri"/>
          <w:lang w:bidi="ar-SA"/>
          <w:color w:val="111111"/>
          <w:sz w:val="28"/>
          <w:szCs w:val="28"/>
          <w:rtl/>
        </w:rPr>
        <w:t xml:space="preserve">حسين بن جعفر موسوي- موسوي ،</w:t>
      </w:r>
    </w:p>
    <w:p>
      <w:pPr>
        <w:pStyle w:val="BookText"/>
      </w:pPr>
      <w:r>
        <w:rPr>
          <w:rFonts w:ascii="Amiri" w:hAnsi="Amiri" w:eastAsia="Amiri" w:cs="Amiri"/>
          <w:lang w:bidi="ar-SA"/>
          <w:color w:val="111111"/>
          <w:sz w:val="28"/>
          <w:szCs w:val="28"/>
          <w:rtl/>
        </w:rPr>
        <w:t xml:space="preserve">حسين بن ابي القاسم</w:t>
      </w:r>
    </w:p>
    <w:p>
      <w:pPr>
        <w:pStyle w:val="BookText"/>
      </w:pPr>
      <w:r>
        <w:rPr>
          <w:rFonts w:ascii="Amiri" w:hAnsi="Amiri" w:eastAsia="Amiri" w:cs="Amiri"/>
          <w:lang w:bidi="ar-SA"/>
          <w:color w:val="111111"/>
          <w:sz w:val="28"/>
          <w:szCs w:val="28"/>
          <w:rtl/>
        </w:rPr>
        <w:t xml:space="preserve">حسين بن جعفر موسوي منجم بغدادي -منجم بغدادي ، حسين بن جعفر</w:t>
      </w:r>
    </w:p>
    <w:p>
      <w:pPr>
        <w:pStyle w:val="BookText"/>
      </w:pPr>
      <w:r>
        <w:rPr>
          <w:rFonts w:ascii="Amiri" w:hAnsi="Amiri" w:eastAsia="Amiri" w:cs="Amiri"/>
          <w:lang w:bidi="ar-SA"/>
          <w:color w:val="111111"/>
          <w:sz w:val="28"/>
          <w:szCs w:val="28"/>
          <w:rtl/>
        </w:rPr>
        <w:t xml:space="preserve">حسين بن جعفر هزار فن -هزار فن ، حسين بن جعفر</w:t>
      </w:r>
    </w:p>
    <w:p>
      <w:pPr>
        <w:pStyle w:val="Heading2"/>
      </w:pPr>
      <w:bookmarkStart w:id="3572" w:name="_Toc2674"/>
      <w:r>
        <w:t>حسين بن جمال قرن 11 ه-</w:t>
      </w:r>
      <w:bookmarkEnd w:id="3572"/>
    </w:p>
    <w:p>
      <w:pPr>
        <w:pStyle w:val="BookText"/>
      </w:pPr>
      <w:r>
        <w:rPr>
          <w:rFonts w:ascii="Amiri" w:hAnsi="Amiri" w:eastAsia="Amiri" w:cs="Amiri"/>
          <w:lang w:bidi="ar-SA"/>
          <w:color w:val="111111"/>
          <w:sz w:val="28"/>
          <w:szCs w:val="28"/>
          <w:rtl/>
        </w:rPr>
        <w:t xml:space="preserve">الدر المصان فيما يحدث في ايام دولة</w:t>
      </w:r>
    </w:p>
    <w:p>
      <w:pPr>
        <w:pStyle w:val="BookText"/>
      </w:pPr>
      <w:r>
        <w:rPr>
          <w:rFonts w:ascii="IRNazanin" w:hAnsi="IRNazanin" w:eastAsia="IRNazanin" w:cs="IRNazanin"/>
          <w:lang w:bidi="fa-IR"/>
          <w:color w:val="111111"/>
          <w:sz w:val="28"/>
          <w:szCs w:val="28"/>
          <w:rtl/>
        </w:rPr>
        <w:t xml:space="preserve">آل عثمان، ج7، ص333</w:t>
      </w:r>
    </w:p>
    <w:p>
      <w:pPr>
        <w:pStyle w:val="BookText"/>
      </w:pPr>
      <w:r>
        <w:rPr>
          <w:rFonts w:ascii="Amiri" w:hAnsi="Amiri" w:eastAsia="Amiri" w:cs="Amiri"/>
          <w:lang w:bidi="ar-SA"/>
          <w:color w:val="111111"/>
          <w:sz w:val="28"/>
          <w:szCs w:val="28"/>
          <w:rtl/>
        </w:rPr>
        <w:t xml:space="preserve">حسين بن جمال الدين خوانساري- محقق</w:t>
      </w:r>
    </w:p>
    <w:p>
      <w:pPr>
        <w:pStyle w:val="BookText"/>
      </w:pPr>
      <w:r>
        <w:rPr>
          <w:rFonts w:ascii="Amiri" w:hAnsi="Amiri" w:eastAsia="Amiri" w:cs="Amiri"/>
          <w:lang w:bidi="ar-SA"/>
          <w:color w:val="111111"/>
          <w:sz w:val="28"/>
          <w:szCs w:val="28"/>
          <w:rtl/>
        </w:rPr>
        <w:t xml:space="preserve">خوانساري ، حسين بن محمّد</w:t>
      </w:r>
    </w:p>
    <w:p>
      <w:pPr>
        <w:pStyle w:val="BookText"/>
      </w:pPr>
      <w:r>
        <w:rPr>
          <w:rFonts w:ascii="Amiri" w:hAnsi="Amiri" w:eastAsia="Amiri" w:cs="Amiri"/>
          <w:lang w:bidi="ar-SA"/>
          <w:color w:val="111111"/>
          <w:sz w:val="28"/>
          <w:szCs w:val="28"/>
          <w:rtl/>
        </w:rPr>
        <w:t xml:space="preserve">حسين بن حسن تستري -شوشتري ، حسين</w:t>
      </w:r>
    </w:p>
    <w:p>
      <w:pPr>
        <w:pStyle w:val="BookText"/>
      </w:pPr>
      <w:r>
        <w:rPr>
          <w:rFonts w:ascii="Amiri" w:hAnsi="Amiri" w:eastAsia="Amiri" w:cs="Amiri"/>
          <w:lang w:bidi="ar-SA"/>
          <w:color w:val="111111"/>
          <w:sz w:val="28"/>
          <w:szCs w:val="28"/>
          <w:rtl/>
        </w:rPr>
        <w:t xml:space="preserve">حسين بن حسن حسيني جعفري- حسيني جعفري ، حسين بن حسن</w:t>
      </w:r>
    </w:p>
    <w:p>
      <w:pPr>
        <w:pStyle w:val="BookText"/>
      </w:pPr>
      <w:r>
        <w:rPr>
          <w:rFonts w:ascii="IRNazanin" w:hAnsi="IRNazanin" w:eastAsia="IRNazanin" w:cs="IRNazanin"/>
          <w:lang w:bidi="fa-IR"/>
          <w:color w:val="111111"/>
          <w:sz w:val="28"/>
          <w:szCs w:val="28"/>
          <w:rtl/>
        </w:rPr>
        <w:t xml:space="preserve">حسین بن حسن گيلاني اصفهاني -گيلاني</w:t>
      </w:r>
    </w:p>
    <w:p>
      <w:pPr>
        <w:pStyle w:val="BookText"/>
      </w:pPr>
      <w:r>
        <w:rPr>
          <w:rFonts w:ascii="Amiri" w:hAnsi="Amiri" w:eastAsia="Amiri" w:cs="Amiri"/>
          <w:lang w:bidi="ar-SA"/>
          <w:color w:val="111111"/>
          <w:sz w:val="28"/>
          <w:szCs w:val="28"/>
          <w:rtl/>
        </w:rPr>
        <w:t xml:space="preserve">اصفهاني ، حسين بن حسن</w:t>
      </w:r>
    </w:p>
    <w:p>
      <w:pPr>
        <w:pStyle w:val="BookText"/>
      </w:pPr>
      <w:r>
        <w:rPr>
          <w:rFonts w:ascii="Amiri" w:hAnsi="Amiri" w:eastAsia="Amiri" w:cs="Amiri"/>
          <w:lang w:bidi="ar-SA"/>
          <w:color w:val="111111"/>
          <w:sz w:val="28"/>
          <w:szCs w:val="28"/>
          <w:rtl/>
        </w:rPr>
        <w:t xml:space="preserve">حسين بن حسن مجتهد كركي -كركي عاملي</w:t>
      </w:r>
    </w:p>
    <w:p>
      <w:pPr>
        <w:pStyle w:val="BookText"/>
      </w:pPr>
      <w:r>
        <w:rPr>
          <w:rFonts w:ascii="Amiri" w:hAnsi="Amiri" w:eastAsia="Amiri" w:cs="Amiri"/>
          <w:lang w:bidi="ar-SA"/>
          <w:color w:val="111111"/>
          <w:sz w:val="28"/>
          <w:szCs w:val="28"/>
          <w:rtl/>
        </w:rPr>
        <w:t xml:space="preserve">، حسين بن حسن</w:t>
      </w:r>
    </w:p>
    <w:p>
      <w:pPr>
        <w:pStyle w:val="BookText"/>
      </w:pPr>
      <w:r>
        <w:rPr>
          <w:rFonts w:ascii="Amiri" w:hAnsi="Amiri" w:eastAsia="Amiri" w:cs="Amiri"/>
          <w:lang w:bidi="ar-SA"/>
          <w:color w:val="111111"/>
          <w:sz w:val="28"/>
          <w:szCs w:val="28"/>
          <w:rtl/>
        </w:rPr>
        <w:t xml:space="preserve">حسين بن حمدان حضيني جنبلائي- خصيبي ، حسين بن حمدان</w:t>
      </w:r>
    </w:p>
    <w:p>
      <w:pPr>
        <w:pStyle w:val="BookText"/>
      </w:pPr>
      <w:r>
        <w:rPr>
          <w:rFonts w:ascii="Amiri" w:hAnsi="Amiri" w:eastAsia="Amiri" w:cs="Amiri"/>
          <w:lang w:bidi="ar-SA"/>
          <w:color w:val="111111"/>
          <w:sz w:val="28"/>
          <w:szCs w:val="28"/>
          <w:rtl/>
        </w:rPr>
        <w:t xml:space="preserve">حسين بن خليل خليلي- خليلي ، حسين</w:t>
      </w:r>
    </w:p>
    <w:p>
      <w:pPr>
        <w:pStyle w:val="BookText"/>
      </w:pPr>
      <w:r>
        <w:rPr>
          <w:rFonts w:ascii="Amiri" w:hAnsi="Amiri" w:eastAsia="Amiri" w:cs="Amiri"/>
          <w:lang w:bidi="ar-SA"/>
          <w:color w:val="111111"/>
          <w:sz w:val="28"/>
          <w:szCs w:val="28"/>
          <w:rtl/>
        </w:rPr>
        <w:t xml:space="preserve">بن خليل</w:t>
      </w:r>
    </w:p>
    <w:p>
      <w:pPr>
        <w:pStyle w:val="BookText"/>
      </w:pPr>
      <w:r>
        <w:rPr>
          <w:rFonts w:ascii="Amiri" w:hAnsi="Amiri" w:eastAsia="Amiri" w:cs="Amiri"/>
          <w:lang w:bidi="ar-SA"/>
          <w:color w:val="111111"/>
          <w:sz w:val="28"/>
          <w:szCs w:val="28"/>
          <w:rtl/>
        </w:rPr>
        <w:t xml:space="preserve">حسين بن دلدار علي نقوي لكهنوي- نقوي</w:t>
      </w:r>
    </w:p>
    <w:p>
      <w:pPr>
        <w:pStyle w:val="BookText"/>
      </w:pPr>
      <w:r>
        <w:rPr>
          <w:rFonts w:ascii="Amiri" w:hAnsi="Amiri" w:eastAsia="Amiri" w:cs="Amiri"/>
          <w:lang w:bidi="ar-SA"/>
          <w:color w:val="111111"/>
          <w:sz w:val="28"/>
          <w:szCs w:val="28"/>
          <w:rtl/>
        </w:rPr>
        <w:t xml:space="preserve">لكهنوي ، حسين بن دلدار علي</w:t>
      </w:r>
    </w:p>
    <w:p>
      <w:pPr>
        <w:pStyle w:val="BookText"/>
      </w:pPr>
      <w:r>
        <w:rPr>
          <w:rFonts w:ascii="Amiri" w:hAnsi="Amiri" w:eastAsia="Amiri" w:cs="Amiri"/>
          <w:lang w:bidi="ar-SA"/>
          <w:color w:val="111111"/>
          <w:sz w:val="28"/>
          <w:szCs w:val="28"/>
          <w:rtl/>
        </w:rPr>
        <w:t xml:space="preserve">حسين بن رستم كفوي -كفوي ، حسين بن رستم</w:t>
      </w:r>
    </w:p>
    <w:p>
      <w:pPr>
        <w:pStyle w:val="BookText"/>
      </w:pPr>
      <w:r>
        <w:rPr>
          <w:rFonts w:ascii="Amiri" w:hAnsi="Amiri" w:eastAsia="Amiri" w:cs="Amiri"/>
          <w:lang w:bidi="ar-SA"/>
          <w:color w:val="111111"/>
          <w:sz w:val="28"/>
          <w:szCs w:val="28"/>
          <w:rtl/>
        </w:rPr>
        <w:t xml:space="preserve">حسين بن رشيد -سيد حسين بن رشيد</w:t>
      </w:r>
    </w:p>
    <w:p>
      <w:pPr>
        <w:pStyle w:val="BookText"/>
      </w:pPr>
      <w:r>
        <w:rPr>
          <w:rFonts w:ascii="Amiri" w:hAnsi="Amiri" w:eastAsia="Amiri" w:cs="Amiri"/>
          <w:lang w:bidi="ar-SA"/>
          <w:color w:val="111111"/>
          <w:sz w:val="28"/>
          <w:szCs w:val="28"/>
          <w:rtl/>
        </w:rPr>
        <w:t xml:space="preserve">حسين بن رضا بروجردي- بروجردي</w:t>
      </w:r>
    </w:p>
    <w:p>
      <w:pPr>
        <w:pStyle w:val="BookText"/>
      </w:pPr>
      <w:r>
        <w:rPr>
          <w:rFonts w:ascii="Amiri" w:hAnsi="Amiri" w:eastAsia="Amiri" w:cs="Amiri"/>
          <w:lang w:bidi="ar-SA"/>
          <w:color w:val="111111"/>
          <w:sz w:val="28"/>
          <w:szCs w:val="28"/>
          <w:rtl/>
        </w:rPr>
        <w:t xml:space="preserve">حسين بن محمّد رضا</w:t>
      </w:r>
    </w:p>
    <w:p>
      <w:pPr>
        <w:pStyle w:val="BookText"/>
      </w:pPr>
      <w:r>
        <w:rPr>
          <w:rFonts w:ascii="Amiri" w:hAnsi="Amiri" w:eastAsia="Amiri" w:cs="Amiri"/>
          <w:lang w:bidi="ar-SA"/>
          <w:color w:val="111111"/>
          <w:sz w:val="28"/>
          <w:szCs w:val="28"/>
          <w:rtl/>
        </w:rPr>
        <w:t xml:space="preserve">حسين بن رضي الدين حسيني -حسيني</w:t>
      </w:r>
    </w:p>
    <w:p>
      <w:pPr>
        <w:pStyle w:val="BookText"/>
      </w:pPr>
      <w:r>
        <w:rPr>
          <w:rFonts w:ascii="Amiri" w:hAnsi="Amiri" w:eastAsia="Amiri" w:cs="Amiri"/>
          <w:lang w:bidi="ar-SA"/>
          <w:color w:val="111111"/>
          <w:sz w:val="28"/>
          <w:szCs w:val="28"/>
          <w:rtl/>
        </w:rPr>
        <w:t xml:space="preserve">حسين بن رضي الدين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6" w:name="pg7742_70144"/>
    <w:bookmarkEnd w:id="376"/>
    <w:p>
      <w:pPr>
        <w:pStyle w:val="BookText"/>
      </w:pPr>
      <w:r>
        <w:rPr>
          <w:rFonts w:ascii="Amiri" w:hAnsi="Amiri" w:eastAsia="Amiri" w:cs="Amiri"/>
          <w:lang w:bidi="ar-SA"/>
          <w:color w:val="111111"/>
          <w:sz w:val="28"/>
          <w:szCs w:val="28"/>
          <w:rtl/>
        </w:rPr>
        <w:t xml:space="preserve">حسين بن رفيع الدين محمّد سلطان العلماء -سلطان العلماء ، حسين بن محمّد</w:t>
      </w:r>
    </w:p>
    <w:p>
      <w:pPr>
        <w:pStyle w:val="BookText"/>
      </w:pPr>
      <w:r>
        <w:rPr>
          <w:rFonts w:ascii="Amiri" w:hAnsi="Amiri" w:eastAsia="Amiri" w:cs="Amiri"/>
          <w:lang w:bidi="ar-SA"/>
          <w:color w:val="111111"/>
          <w:sz w:val="28"/>
          <w:szCs w:val="28"/>
          <w:rtl/>
        </w:rPr>
        <w:t xml:space="preserve">حسين بن سعيد اهوازي- اهوازي ، حسين</w:t>
      </w:r>
    </w:p>
    <w:p>
      <w:pPr>
        <w:pStyle w:val="BookText"/>
      </w:pPr>
      <w:r>
        <w:rPr>
          <w:rFonts w:ascii="Amiri" w:hAnsi="Amiri" w:eastAsia="Amiri" w:cs="Amiri"/>
          <w:lang w:bidi="ar-SA"/>
          <w:color w:val="111111"/>
          <w:sz w:val="28"/>
          <w:szCs w:val="28"/>
          <w:rtl/>
        </w:rPr>
        <w:t xml:space="preserve">بن سعيد</w:t>
      </w:r>
    </w:p>
    <w:p>
      <w:pPr>
        <w:pStyle w:val="BookText"/>
      </w:pPr>
      <w:r>
        <w:rPr>
          <w:rFonts w:ascii="Amiri" w:hAnsi="Amiri" w:eastAsia="Amiri" w:cs="Amiri"/>
          <w:lang w:bidi="ar-SA"/>
          <w:color w:val="111111"/>
          <w:sz w:val="28"/>
          <w:szCs w:val="28"/>
          <w:rtl/>
        </w:rPr>
        <w:t xml:space="preserve">حسين بن سعيد -اهوازي ، حسين بن</w:t>
      </w:r>
    </w:p>
    <w:p>
      <w:pPr>
        <w:pStyle w:val="BookText"/>
      </w:pPr>
      <w:r>
        <w:rPr>
          <w:rFonts w:ascii="Amiri" w:hAnsi="Amiri" w:eastAsia="Amiri" w:cs="Amiri"/>
          <w:lang w:bidi="ar-SA"/>
          <w:color w:val="111111"/>
          <w:sz w:val="28"/>
          <w:szCs w:val="28"/>
          <w:rtl/>
        </w:rPr>
        <w:t xml:space="preserve">سعيد</w:t>
      </w:r>
    </w:p>
    <w:p>
      <w:pPr>
        <w:pStyle w:val="BookText"/>
      </w:pPr>
      <w:r>
        <w:rPr>
          <w:rFonts w:ascii="Amiri" w:hAnsi="Amiri" w:eastAsia="Amiri" w:cs="Amiri"/>
          <w:lang w:bidi="ar-SA"/>
          <w:color w:val="111111"/>
          <w:sz w:val="28"/>
          <w:szCs w:val="28"/>
          <w:rtl/>
        </w:rPr>
        <w:t xml:space="preserve">حسين بن سليم الدجاني -دجاني ، حسين</w:t>
      </w:r>
    </w:p>
    <w:p>
      <w:pPr>
        <w:pStyle w:val="BookText"/>
      </w:pPr>
      <w:r>
        <w:rPr>
          <w:rFonts w:ascii="Amiri" w:hAnsi="Amiri" w:eastAsia="Amiri" w:cs="Amiri"/>
          <w:lang w:bidi="ar-SA"/>
          <w:color w:val="111111"/>
          <w:sz w:val="28"/>
          <w:szCs w:val="28"/>
          <w:rtl/>
        </w:rPr>
        <w:t xml:space="preserve">بن سليم حسين بن شامي نهاري -ابن شامي ،</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حسين بن شهاب الدین طبسي- گازرگاهي</w:t>
      </w:r>
    </w:p>
    <w:p>
      <w:pPr>
        <w:pStyle w:val="BookText"/>
      </w:pPr>
      <w:r>
        <w:rPr>
          <w:rFonts w:ascii="Amiri" w:hAnsi="Amiri" w:eastAsia="Amiri" w:cs="Amiri"/>
          <w:lang w:bidi="ar-SA"/>
          <w:color w:val="111111"/>
          <w:sz w:val="28"/>
          <w:szCs w:val="28"/>
          <w:rtl/>
        </w:rPr>
        <w:t xml:space="preserve">كمال الدين حسين</w:t>
      </w:r>
    </w:p>
    <w:p>
      <w:pPr>
        <w:pStyle w:val="BookText"/>
      </w:pPr>
      <w:r>
        <w:rPr>
          <w:rFonts w:ascii="Amiri" w:hAnsi="Amiri" w:eastAsia="Amiri" w:cs="Amiri"/>
          <w:lang w:bidi="ar-SA"/>
          <w:color w:val="111111"/>
          <w:sz w:val="28"/>
          <w:szCs w:val="28"/>
          <w:rtl/>
        </w:rPr>
        <w:t xml:space="preserve">حسين بن شهاب الدين عاملي كركي -كركي</w:t>
      </w:r>
    </w:p>
    <w:p>
      <w:pPr>
        <w:pStyle w:val="BookText"/>
      </w:pPr>
      <w:r>
        <w:rPr>
          <w:rFonts w:ascii="Amiri" w:hAnsi="Amiri" w:eastAsia="Amiri" w:cs="Amiri"/>
          <w:lang w:bidi="ar-SA"/>
          <w:color w:val="111111"/>
          <w:sz w:val="28"/>
          <w:szCs w:val="28"/>
          <w:rtl/>
        </w:rPr>
        <w:t xml:space="preserve">حسين بن شهاب الدين</w:t>
      </w:r>
    </w:p>
    <w:p>
      <w:pPr>
        <w:pStyle w:val="Heading2"/>
      </w:pPr>
      <w:bookmarkStart w:id="3573" w:name="_Toc2675"/>
      <w:r>
        <w:t>حسين بن صفي قرن 12 ه-</w:t>
      </w:r>
      <w:bookmarkEnd w:id="3573"/>
    </w:p>
    <w:p>
      <w:pPr>
        <w:pStyle w:val="BookText"/>
      </w:pPr>
      <w:r>
        <w:rPr>
          <w:rFonts w:ascii="Amiri" w:hAnsi="Amiri" w:eastAsia="Amiri" w:cs="Amiri"/>
          <w:lang w:bidi="ar-SA"/>
          <w:color w:val="111111"/>
          <w:sz w:val="28"/>
          <w:szCs w:val="28"/>
          <w:rtl/>
        </w:rPr>
        <w:t xml:space="preserve">الأدعية والأحراز، ج 1، ص 638.</w:t>
      </w:r>
    </w:p>
    <w:p>
      <w:pPr>
        <w:pStyle w:val="BookText"/>
      </w:pPr>
      <w:r>
        <w:rPr>
          <w:rFonts w:ascii="Amiri" w:hAnsi="Amiri" w:eastAsia="Amiri" w:cs="Amiri"/>
          <w:lang w:bidi="ar-SA"/>
          <w:color w:val="111111"/>
          <w:sz w:val="28"/>
          <w:szCs w:val="28"/>
          <w:rtl/>
        </w:rPr>
        <w:t xml:space="preserve">حسين بن طاهر بن زيله- ابن زيله ،</w:t>
      </w:r>
    </w:p>
    <w:p>
      <w:pPr>
        <w:pStyle w:val="BookText"/>
      </w:pPr>
      <w:r>
        <w:rPr>
          <w:rFonts w:ascii="Amiri" w:hAnsi="Amiri" w:eastAsia="Amiri" w:cs="Amiri"/>
          <w:lang w:bidi="ar-SA"/>
          <w:color w:val="111111"/>
          <w:sz w:val="28"/>
          <w:szCs w:val="28"/>
          <w:rtl/>
        </w:rPr>
        <w:t xml:space="preserve">حسين بن محمّد حسين بن طعمة البيتماني- بيتماني ، حسين بن طعمه</w:t>
      </w:r>
    </w:p>
    <w:p>
      <w:pPr>
        <w:pStyle w:val="BookText"/>
      </w:pPr>
      <w:r>
        <w:rPr>
          <w:rFonts w:ascii="Amiri" w:hAnsi="Amiri" w:eastAsia="Amiri" w:cs="Amiri"/>
          <w:lang w:bidi="ar-SA"/>
          <w:color w:val="111111"/>
          <w:sz w:val="28"/>
          <w:szCs w:val="28"/>
          <w:rtl/>
        </w:rPr>
        <w:t xml:space="preserve">حسين بن طعمه بيتماني ميداني قادري</w:t>
      </w:r>
    </w:p>
    <w:p>
      <w:pPr>
        <w:pStyle w:val="BookText"/>
      </w:pPr>
      <w:r>
        <w:rPr>
          <w:rFonts w:ascii="Amiri" w:hAnsi="Amiri" w:eastAsia="Amiri" w:cs="Amiri"/>
          <w:lang w:bidi="ar-SA"/>
          <w:color w:val="111111"/>
          <w:sz w:val="28"/>
          <w:szCs w:val="28"/>
          <w:rtl/>
        </w:rPr>
        <w:t xml:space="preserve">رفاعي -بيتماني ، حسين بن طعمه</w:t>
      </w:r>
    </w:p>
    <w:p>
      <w:pPr>
        <w:pStyle w:val="BookText"/>
      </w:pPr>
      <w:r>
        <w:rPr>
          <w:rFonts w:ascii="Amiri" w:hAnsi="Amiri" w:eastAsia="Amiri" w:cs="Amiri"/>
          <w:lang w:bidi="ar-SA"/>
          <w:color w:val="111111"/>
          <w:sz w:val="28"/>
          <w:szCs w:val="28"/>
          <w:rtl/>
        </w:rPr>
        <w:t xml:space="preserve">حسين بن عالم حسيني هروي- حسيني</w:t>
      </w:r>
    </w:p>
    <w:p>
      <w:pPr>
        <w:pStyle w:val="BookText"/>
      </w:pPr>
      <w:r>
        <w:rPr>
          <w:rFonts w:ascii="IRNazanin" w:hAnsi="IRNazanin" w:eastAsia="IRNazanin" w:cs="IRNazanin"/>
          <w:lang w:bidi="fa-IR"/>
          <w:color w:val="111111"/>
          <w:sz w:val="28"/>
          <w:szCs w:val="28"/>
          <w:rtl/>
        </w:rPr>
        <w:t xml:space="preserve">هروي، امیر حسین بن امیر عالم</w:t>
      </w:r>
    </w:p>
    <w:p>
      <w:pPr>
        <w:pStyle w:val="BookText"/>
      </w:pPr>
      <w:r>
        <w:rPr>
          <w:rFonts w:ascii="Amiri" w:hAnsi="Amiri" w:eastAsia="Amiri" w:cs="Amiri"/>
          <w:lang w:bidi="ar-SA"/>
          <w:color w:val="111111"/>
          <w:sz w:val="28"/>
          <w:szCs w:val="28"/>
          <w:rtl/>
        </w:rPr>
        <w:t xml:space="preserve">حسين بن عباس بحراني- بحراني ، حسين</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Amiri" w:hAnsi="Amiri" w:eastAsia="Amiri" w:cs="Amiri"/>
          <w:lang w:bidi="ar-SA"/>
          <w:color w:val="111111"/>
          <w:sz w:val="28"/>
          <w:szCs w:val="28"/>
          <w:rtl/>
        </w:rPr>
        <w:t xml:space="preserve">حسين بن عبد الرحيم اصفهاني</w:t>
      </w:r>
    </w:p>
    <w:p>
      <w:pPr>
        <w:pStyle w:val="BookText"/>
      </w:pPr>
      <w:r>
        <w:rPr>
          <w:rFonts w:ascii="Amiri" w:hAnsi="Amiri" w:eastAsia="Amiri" w:cs="Amiri"/>
          <w:lang w:bidi="ar-SA"/>
          <w:color w:val="111111"/>
          <w:sz w:val="28"/>
          <w:szCs w:val="28"/>
          <w:rtl/>
        </w:rPr>
        <w:t xml:space="preserve">رازي -حائري اصفهاني ، محمّد حسين بن عبد</w:t>
      </w:r>
    </w:p>
    <w:p>
      <w:pPr>
        <w:pStyle w:val="BookText"/>
      </w:pPr>
      <w:r>
        <w:rPr>
          <w:rFonts w:ascii="Amiri" w:hAnsi="Amiri" w:eastAsia="Amiri" w:cs="Amiri"/>
          <w:lang w:bidi="ar-SA"/>
          <w:color w:val="111111"/>
          <w:sz w:val="28"/>
          <w:szCs w:val="28"/>
          <w:rtl/>
        </w:rPr>
        <w:t xml:space="preserve">الرحيم</w:t>
      </w:r>
    </w:p>
    <w:p>
      <w:pPr>
        <w:pStyle w:val="BookText"/>
      </w:pPr>
      <w:r>
        <w:rPr>
          <w:rFonts w:ascii="Amiri" w:hAnsi="Amiri" w:eastAsia="Amiri" w:cs="Amiri"/>
          <w:lang w:bidi="ar-SA"/>
          <w:color w:val="111111"/>
          <w:sz w:val="28"/>
          <w:szCs w:val="28"/>
          <w:rtl/>
        </w:rPr>
        <w:t xml:space="preserve">حسين بن عبد الجليل بن عبد السلام</w:t>
      </w:r>
    </w:p>
    <w:p>
      <w:pPr>
        <w:pStyle w:val="BookText"/>
      </w:pPr>
      <w:r>
        <w:rPr>
          <w:rFonts w:ascii="Amiri" w:hAnsi="Amiri" w:eastAsia="Amiri" w:cs="Amiri"/>
          <w:lang w:bidi="ar-SA"/>
          <w:color w:val="111111"/>
          <w:sz w:val="28"/>
          <w:szCs w:val="28"/>
          <w:rtl/>
        </w:rPr>
        <w:t xml:space="preserve">برادة - برادة ، حسين بن عبدالجليل</w:t>
      </w:r>
    </w:p>
    <w:p>
      <w:pPr>
        <w:pStyle w:val="BookText"/>
      </w:pPr>
      <w:r>
        <w:rPr>
          <w:rFonts w:ascii="Amiri" w:hAnsi="Amiri" w:eastAsia="Amiri" w:cs="Amiri"/>
          <w:lang w:bidi="ar-SA"/>
          <w:color w:val="111111"/>
          <w:sz w:val="28"/>
          <w:szCs w:val="28"/>
          <w:rtl/>
        </w:rPr>
        <w:t xml:space="preserve">حسين بن عبد الحق الهي اردبيلي- الهي</w:t>
      </w:r>
    </w:p>
    <w:p>
      <w:pPr>
        <w:pStyle w:val="BookText"/>
      </w:pPr>
      <w:r>
        <w:rPr>
          <w:rFonts w:ascii="Amiri" w:hAnsi="Amiri" w:eastAsia="Amiri" w:cs="Amiri"/>
          <w:lang w:bidi="ar-SA"/>
          <w:color w:val="111111"/>
          <w:sz w:val="28"/>
          <w:szCs w:val="28"/>
          <w:rtl/>
        </w:rPr>
        <w:t xml:space="preserve">اردبيلي ، حسين بن عبد الحق</w:t>
      </w:r>
    </w:p>
    <w:p>
      <w:pPr>
        <w:pStyle w:val="BookText"/>
      </w:pPr>
      <w:r>
        <w:rPr>
          <w:rFonts w:ascii="Amiri" w:hAnsi="Amiri" w:eastAsia="Amiri" w:cs="Amiri"/>
          <w:lang w:bidi="ar-SA"/>
          <w:color w:val="111111"/>
          <w:sz w:val="28"/>
          <w:szCs w:val="28"/>
          <w:rtl/>
        </w:rPr>
        <w:t xml:space="preserve">حسين بن عبدالرحمن حسيني علوي- ابن</w:t>
      </w:r>
    </w:p>
    <w:p>
      <w:pPr>
        <w:pStyle w:val="BookText"/>
      </w:pPr>
      <w:r>
        <w:rPr>
          <w:rFonts w:ascii="Amiri" w:hAnsi="Amiri" w:eastAsia="Amiri" w:cs="Amiri"/>
          <w:lang w:bidi="ar-SA"/>
          <w:color w:val="111111"/>
          <w:sz w:val="28"/>
          <w:szCs w:val="28"/>
          <w:rtl/>
        </w:rPr>
        <w:t xml:space="preserve">اهدل ، حسين بن عبدالرحمن</w:t>
      </w:r>
    </w:p>
    <w:p>
      <w:pPr>
        <w:pStyle w:val="BookText"/>
      </w:pPr>
      <w:r>
        <w:rPr>
          <w:rFonts w:ascii="Amiri" w:hAnsi="Amiri" w:eastAsia="Amiri" w:cs="Amiri"/>
          <w:lang w:bidi="ar-SA"/>
          <w:color w:val="111111"/>
          <w:sz w:val="28"/>
          <w:szCs w:val="28"/>
          <w:rtl/>
        </w:rPr>
        <w:t xml:space="preserve">حسين بن عبدالصمد حارثي جبعي عاملي -عاملي ، حسين بن عبدالصمد</w:t>
      </w:r>
    </w:p>
    <w:p>
      <w:pPr>
        <w:pStyle w:val="BookText"/>
      </w:pPr>
      <w:r>
        <w:rPr>
          <w:rFonts w:ascii="Amiri" w:hAnsi="Amiri" w:eastAsia="Amiri" w:cs="Amiri"/>
          <w:lang w:bidi="ar-SA"/>
          <w:color w:val="111111"/>
          <w:sz w:val="28"/>
          <w:szCs w:val="28"/>
          <w:rtl/>
        </w:rPr>
        <w:t xml:space="preserve">حسين بن عبد العلي كرماني يزدي ، حسين بن علي حسين</w:t>
      </w:r>
    </w:p>
    <w:p>
      <w:pPr>
        <w:pStyle w:val="Heading2"/>
      </w:pPr>
      <w:bookmarkStart w:id="3574" w:name="_Toc2676"/>
      <w:r>
        <w:t>حسين بن عبدالقاهر</w:t>
      </w:r>
      <w:bookmarkEnd w:id="3574"/>
    </w:p>
    <w:p>
      <w:pPr>
        <w:pStyle w:val="BookText"/>
      </w:pPr>
      <w:r>
        <w:rPr>
          <w:rFonts w:ascii="Amiri" w:hAnsi="Amiri" w:eastAsia="Amiri" w:cs="Amiri"/>
          <w:lang w:bidi="ar-SA"/>
          <w:color w:val="111111"/>
          <w:sz w:val="28"/>
          <w:szCs w:val="28"/>
          <w:rtl/>
        </w:rPr>
        <w:t xml:space="preserve">مسألتان في التفسير، ج 14، ص 537.</w:t>
      </w:r>
    </w:p>
    <w:p>
      <w:pPr>
        <w:pStyle w:val="BookText"/>
      </w:pPr>
      <w:r>
        <w:rPr>
          <w:rFonts w:ascii="Amiri" w:hAnsi="Amiri" w:eastAsia="Amiri" w:cs="Amiri"/>
          <w:lang w:bidi="ar-SA"/>
          <w:color w:val="111111"/>
          <w:sz w:val="28"/>
          <w:szCs w:val="28"/>
          <w:rtl/>
        </w:rPr>
        <w:t xml:space="preserve">حسين بن عبد الله انطاكي -انطاكي ، حسين</w:t>
      </w:r>
    </w:p>
    <w:p>
      <w:pPr>
        <w:pStyle w:val="BookText"/>
      </w:pPr>
      <w:r>
        <w:rPr>
          <w:rFonts w:ascii="Amiri" w:hAnsi="Amiri" w:eastAsia="Amiri" w:cs="Amiri"/>
          <w:lang w:bidi="ar-SA"/>
          <w:color w:val="111111"/>
          <w:sz w:val="28"/>
          <w:szCs w:val="28"/>
          <w:rtl/>
        </w:rPr>
        <w:t xml:space="preserve">بن عبدالله حسين بن عبد الله بغدادي- بغدادي ،</w:t>
      </w:r>
    </w:p>
    <w:p>
      <w:pPr>
        <w:pStyle w:val="BookText"/>
      </w:pPr>
      <w:r>
        <w:rPr>
          <w:rFonts w:ascii="Amiri" w:hAnsi="Amiri" w:eastAsia="Amiri" w:cs="Amiri"/>
          <w:lang w:bidi="ar-SA"/>
          <w:color w:val="111111"/>
          <w:sz w:val="28"/>
          <w:szCs w:val="28"/>
          <w:rtl/>
        </w:rPr>
        <w:t xml:space="preserve">حسين بن عبدالله</w:t>
      </w:r>
    </w:p>
    <w:p>
      <w:pPr>
        <w:pStyle w:val="BookText"/>
      </w:pPr>
      <w:r>
        <w:rPr>
          <w:rFonts w:ascii="Amiri" w:hAnsi="Amiri" w:eastAsia="Amiri" w:cs="Amiri"/>
          <w:lang w:bidi="ar-SA"/>
          <w:color w:val="111111"/>
          <w:sz w:val="28"/>
          <w:szCs w:val="28"/>
          <w:rtl/>
        </w:rPr>
        <w:t xml:space="preserve">حسين بن عبد الله بن سينا -ابن سينا ،</w:t>
      </w:r>
    </w:p>
    <w:p>
      <w:pPr>
        <w:pStyle w:val="BookText"/>
      </w:pPr>
      <w:r>
        <w:rPr>
          <w:rFonts w:ascii="Amiri" w:hAnsi="Amiri" w:eastAsia="Amiri" w:cs="Amiri"/>
          <w:lang w:bidi="ar-SA"/>
          <w:color w:val="111111"/>
          <w:sz w:val="28"/>
          <w:szCs w:val="28"/>
          <w:rtl/>
        </w:rPr>
        <w:t xml:space="preserve">حسين بن عبدالله</w:t>
      </w:r>
    </w:p>
    <w:p>
      <w:pPr>
        <w:pStyle w:val="BookText"/>
      </w:pPr>
      <w:r>
        <w:rPr>
          <w:rFonts w:ascii="Amiri" w:hAnsi="Amiri" w:eastAsia="Amiri" w:cs="Amiri"/>
          <w:lang w:bidi="ar-SA"/>
          <w:color w:val="111111"/>
          <w:sz w:val="28"/>
          <w:szCs w:val="28"/>
          <w:rtl/>
        </w:rPr>
        <w:t xml:space="preserve">حسين بن عبدالله حسيني اصفهاني - حسيني اصفهاني ، حسين بن عبدالله</w:t>
      </w:r>
    </w:p>
    <w:p>
      <w:pPr>
        <w:pStyle w:val="BookText"/>
      </w:pPr>
      <w:r>
        <w:rPr>
          <w:rFonts w:ascii="Amiri" w:hAnsi="Amiri" w:eastAsia="Amiri" w:cs="Amiri"/>
          <w:lang w:bidi="ar-SA"/>
          <w:color w:val="111111"/>
          <w:sz w:val="28"/>
          <w:szCs w:val="28"/>
          <w:rtl/>
        </w:rPr>
        <w:t xml:space="preserve">حسين بن عبدالله حلبي- حلبي ، حسين</w:t>
      </w:r>
    </w:p>
    <w:p>
      <w:pPr>
        <w:pStyle w:val="BookText"/>
      </w:pPr>
      <w:r>
        <w:rPr>
          <w:rFonts w:ascii="IRNazanin" w:hAnsi="IRNazanin" w:eastAsia="IRNazanin" w:cs="IRNazanin"/>
          <w:lang w:bidi="fa-IR"/>
          <w:color w:val="111111"/>
          <w:sz w:val="28"/>
          <w:szCs w:val="28"/>
          <w:rtl/>
        </w:rPr>
        <w:t xml:space="preserve">بن عبدالله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7" w:name="pg7742_70146"/>
    <w:bookmarkEnd w:id="377"/>
    <w:p>
      <w:pPr>
        <w:pStyle w:val="BookText"/>
      </w:pPr>
      <w:r>
        <w:rPr>
          <w:rFonts w:ascii="Amiri" w:hAnsi="Amiri" w:eastAsia="Amiri" w:cs="Amiri"/>
          <w:lang w:bidi="ar-SA"/>
          <w:color w:val="111111"/>
          <w:sz w:val="28"/>
          <w:szCs w:val="28"/>
          <w:rtl/>
        </w:rPr>
        <w:t xml:space="preserve">حسين بن عبدالله خفري بيشدري - بشدري ، حسين بن عبدالله</w:t>
      </w:r>
    </w:p>
    <w:p>
      <w:pPr>
        <w:pStyle w:val="BookText"/>
      </w:pPr>
      <w:r>
        <w:rPr>
          <w:rFonts w:ascii="Amiri" w:hAnsi="Amiri" w:eastAsia="Amiri" w:cs="Amiri"/>
          <w:lang w:bidi="ar-SA"/>
          <w:color w:val="111111"/>
          <w:sz w:val="28"/>
          <w:szCs w:val="28"/>
          <w:rtl/>
        </w:rPr>
        <w:t xml:space="preserve">حسين بن عبدالله زجاج انباري- زجاج</w:t>
      </w:r>
    </w:p>
    <w:p>
      <w:pPr>
        <w:pStyle w:val="BookText"/>
      </w:pPr>
      <w:r>
        <w:rPr>
          <w:rFonts w:ascii="Amiri" w:hAnsi="Amiri" w:eastAsia="Amiri" w:cs="Amiri"/>
          <w:lang w:bidi="ar-SA"/>
          <w:color w:val="111111"/>
          <w:sz w:val="28"/>
          <w:szCs w:val="28"/>
          <w:rtl/>
        </w:rPr>
        <w:t xml:space="preserve">انباري ، حسين بن عبدالله</w:t>
      </w:r>
    </w:p>
    <w:p>
      <w:pPr>
        <w:pStyle w:val="BookText"/>
      </w:pPr>
      <w:r>
        <w:rPr>
          <w:rFonts w:ascii="Amiri" w:hAnsi="Amiri" w:eastAsia="Amiri" w:cs="Amiri"/>
          <w:lang w:bidi="ar-SA"/>
          <w:color w:val="111111"/>
          <w:sz w:val="28"/>
          <w:szCs w:val="28"/>
          <w:rtl/>
        </w:rPr>
        <w:t xml:space="preserve">حسين بن عبدالله شرواني -شرواني ، حسين</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3575" w:name="_Toc2677"/>
      <w:r>
        <w:t>حسين بن عبد الوهاب قرن 5 ه-</w:t>
      </w:r>
      <w:bookmarkEnd w:id="3575"/>
    </w:p>
    <w:p>
      <w:pPr>
        <w:pStyle w:val="BookText"/>
      </w:pPr>
      <w:r>
        <w:rPr>
          <w:rFonts w:ascii="Amiri" w:hAnsi="Amiri" w:eastAsia="Amiri" w:cs="Amiri"/>
          <w:lang w:bidi="ar-SA"/>
          <w:color w:val="111111"/>
          <w:sz w:val="28"/>
          <w:szCs w:val="28"/>
          <w:rtl/>
        </w:rPr>
        <w:t xml:space="preserve">عيون المعجزات، ج 11، ص 412.</w:t>
      </w:r>
    </w:p>
    <w:p>
      <w:pPr>
        <w:pStyle w:val="BookText"/>
      </w:pPr>
      <w:r>
        <w:rPr>
          <w:rFonts w:ascii="Amiri" w:hAnsi="Amiri" w:eastAsia="Amiri" w:cs="Amiri"/>
          <w:lang w:bidi="ar-SA"/>
          <w:color w:val="111111"/>
          <w:sz w:val="28"/>
          <w:szCs w:val="28"/>
          <w:rtl/>
        </w:rPr>
        <w:t xml:space="preserve">حسين بن عبيد الله غضائري -غضائري</w:t>
      </w:r>
    </w:p>
    <w:p>
      <w:pPr>
        <w:pStyle w:val="BookText"/>
      </w:pPr>
      <w:r>
        <w:rPr>
          <w:rFonts w:ascii="IRNazanin" w:hAnsi="IRNazanin" w:eastAsia="IRNazanin" w:cs="IRNazanin"/>
          <w:lang w:bidi="fa-IR"/>
          <w:color w:val="111111"/>
          <w:sz w:val="28"/>
          <w:szCs w:val="28"/>
          <w:rtl/>
        </w:rPr>
        <w:t xml:space="preserve">حسين بن عبیدالله</w:t>
      </w:r>
    </w:p>
    <w:p>
      <w:pPr>
        <w:pStyle w:val="BookText"/>
      </w:pPr>
      <w:r>
        <w:rPr>
          <w:rFonts w:ascii="Amiri" w:hAnsi="Amiri" w:eastAsia="Amiri" w:cs="Amiri"/>
          <w:lang w:bidi="ar-SA"/>
          <w:color w:val="111111"/>
          <w:sz w:val="28"/>
          <w:szCs w:val="28"/>
          <w:rtl/>
        </w:rPr>
        <w:t xml:space="preserve">حسين بن عثمان -مقري ، حسين بن</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Amiri" w:hAnsi="Amiri" w:eastAsia="Amiri" w:cs="Amiri"/>
          <w:lang w:bidi="ar-SA"/>
          <w:color w:val="111111"/>
          <w:sz w:val="28"/>
          <w:szCs w:val="28"/>
          <w:rtl/>
        </w:rPr>
        <w:t xml:space="preserve">حسين بن عثمان بن شريك العامري الكوفي- عامري كوفي ، حسين بن عثمان</w:t>
      </w:r>
    </w:p>
    <w:p>
      <w:pPr>
        <w:pStyle w:val="Heading2"/>
      </w:pPr>
      <w:bookmarkStart w:id="3576" w:name="_Toc2678"/>
      <w:r>
        <w:t>حسين بن علي (ع) ، 4 - 61 ه-</w:t>
      </w:r>
      <w:bookmarkEnd w:id="3576"/>
    </w:p>
    <w:p>
      <w:pPr>
        <w:pStyle w:val="BookText"/>
      </w:pPr>
      <w:r>
        <w:rPr>
          <w:rFonts w:ascii="IRNazanin" w:hAnsi="IRNazanin" w:eastAsia="IRNazanin" w:cs="IRNazanin"/>
          <w:lang w:bidi="fa-IR"/>
          <w:color w:val="111111"/>
          <w:sz w:val="28"/>
          <w:szCs w:val="28"/>
          <w:rtl/>
        </w:rPr>
        <w:t xml:space="preserve">دعاء عرفه، ج 7، ص 403.</w:t>
      </w:r>
    </w:p>
    <w:p>
      <w:pPr>
        <w:pStyle w:val="BookText"/>
      </w:pPr>
      <w:r>
        <w:rPr>
          <w:rFonts w:ascii="Amiri" w:hAnsi="Amiri" w:eastAsia="Amiri" w:cs="Amiri"/>
          <w:lang w:bidi="ar-SA"/>
          <w:color w:val="111111"/>
          <w:sz w:val="28"/>
          <w:szCs w:val="28"/>
          <w:rtl/>
        </w:rPr>
        <w:t xml:space="preserve">حسين بن علي آل لطف الله-آل لطف الله</w:t>
      </w:r>
    </w:p>
    <w:p>
      <w:pPr>
        <w:pStyle w:val="BookText"/>
      </w:pPr>
      <w:r>
        <w:rPr>
          <w:rFonts w:ascii="Amiri" w:hAnsi="Amiri" w:eastAsia="Amiri" w:cs="Amiri"/>
          <w:lang w:bidi="ar-SA"/>
          <w:color w:val="111111"/>
          <w:sz w:val="28"/>
          <w:szCs w:val="28"/>
          <w:rtl/>
        </w:rPr>
        <w:t xml:space="preserve">، حسين بن علي حسين بن علي آماسي -آماسي ، حسين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حسين بن علي اخلاطي- اخلاطي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حسين بن علي بحراني- بحراني ، حسين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حسين بن علي بن حسام الدين - عينائي .</w:t>
      </w:r>
    </w:p>
    <w:p>
      <w:pPr>
        <w:pStyle w:val="BookText"/>
      </w:pPr>
      <w:r>
        <w:rPr>
          <w:rFonts w:ascii="Amiri" w:hAnsi="Amiri" w:eastAsia="Amiri" w:cs="Amiri"/>
          <w:lang w:bidi="ar-SA"/>
          <w:color w:val="111111"/>
          <w:sz w:val="28"/>
          <w:szCs w:val="28"/>
          <w:rtl/>
        </w:rPr>
        <w:t xml:space="preserve">حسين بن علي</w:t>
      </w:r>
    </w:p>
    <w:p>
      <w:pPr>
        <w:pStyle w:val="BookText"/>
      </w:pPr>
      <w:r>
        <w:rPr>
          <w:rFonts w:ascii="Amiri" w:hAnsi="Amiri" w:eastAsia="Amiri" w:cs="Amiri"/>
          <w:lang w:bidi="ar-SA"/>
          <w:color w:val="111111"/>
          <w:sz w:val="28"/>
          <w:szCs w:val="28"/>
          <w:rtl/>
        </w:rPr>
        <w:t xml:space="preserve">حسين بن علي بن حسين محمّد بن ابي سروال اوالي هجري -ابن ابي سروال ، حسين بن علي</w:t>
      </w:r>
    </w:p>
    <w:p>
      <w:pPr>
        <w:pStyle w:val="BookText"/>
      </w:pPr>
      <w:r>
        <w:rPr>
          <w:rFonts w:ascii="Amiri" w:hAnsi="Amiri" w:eastAsia="Amiri" w:cs="Amiri"/>
          <w:lang w:bidi="ar-SA"/>
          <w:color w:val="111111"/>
          <w:sz w:val="28"/>
          <w:szCs w:val="28"/>
          <w:rtl/>
        </w:rPr>
        <w:t xml:space="preserve">حسين بن علي بن حمدان حضيني جنبلائي- خصيبي ، حسين بن حمدان</w:t>
      </w:r>
    </w:p>
    <w:p>
      <w:pPr>
        <w:pStyle w:val="BookText"/>
      </w:pPr>
      <w:r>
        <w:rPr>
          <w:rFonts w:ascii="Amiri" w:hAnsi="Amiri" w:eastAsia="Amiri" w:cs="Amiri"/>
          <w:lang w:bidi="ar-SA"/>
          <w:color w:val="111111"/>
          <w:sz w:val="28"/>
          <w:szCs w:val="28"/>
          <w:rtl/>
        </w:rPr>
        <w:t xml:space="preserve">حسين بن علي بن عبدالشكور الطائفي - طائفي ، حسين بن علي</w:t>
      </w:r>
    </w:p>
    <w:p>
      <w:pPr>
        <w:pStyle w:val="Heading2"/>
      </w:pPr>
      <w:bookmarkStart w:id="3577" w:name="_Toc2679"/>
      <w:r>
        <w:t>حسين بن علي بن عبدالله</w:t>
      </w:r>
      <w:bookmarkEnd w:id="3577"/>
    </w:p>
    <w:p>
      <w:pPr>
        <w:pStyle w:val="BookText"/>
      </w:pPr>
      <w:r>
        <w:rPr>
          <w:rFonts w:ascii="Amiri" w:hAnsi="Amiri" w:eastAsia="Amiri" w:cs="Amiri"/>
          <w:lang w:bidi="ar-SA"/>
          <w:color w:val="111111"/>
          <w:sz w:val="28"/>
          <w:szCs w:val="28"/>
          <w:rtl/>
        </w:rPr>
        <w:t xml:space="preserve">اثبات المبدا الاول (رسالة في)، ج1،</w:t>
      </w:r>
    </w:p>
    <w:p>
      <w:pPr>
        <w:pStyle w:val="BookText"/>
      </w:pPr>
      <w:r>
        <w:rPr>
          <w:rFonts w:ascii="IRNazanin" w:hAnsi="IRNazanin" w:eastAsia="IRNazanin" w:cs="IRNazanin"/>
          <w:lang w:bidi="fa-IR"/>
          <w:color w:val="111111"/>
          <w:sz w:val="28"/>
          <w:szCs w:val="28"/>
          <w:rtl/>
        </w:rPr>
        <w:t xml:space="preserve">ص 158 .</w:t>
      </w:r>
    </w:p>
    <w:p>
      <w:pPr>
        <w:pStyle w:val="BookText"/>
      </w:pPr>
      <w:r>
        <w:rPr>
          <w:rFonts w:ascii="IRNazanin" w:hAnsi="IRNazanin" w:eastAsia="IRNazanin" w:cs="IRNazanin"/>
          <w:lang w:bidi="fa-IR"/>
          <w:color w:val="111111"/>
          <w:sz w:val="28"/>
          <w:szCs w:val="28"/>
          <w:rtl/>
        </w:rPr>
        <w:t xml:space="preserve">حسين بن علي پاشا بن افراسیاب- ابن</w:t>
      </w:r>
    </w:p>
    <w:p>
      <w:pPr>
        <w:pStyle w:val="BookText"/>
      </w:pPr>
      <w:r>
        <w:rPr>
          <w:rFonts w:ascii="Amiri" w:hAnsi="Amiri" w:eastAsia="Amiri" w:cs="Amiri"/>
          <w:lang w:bidi="ar-SA"/>
          <w:color w:val="111111"/>
          <w:sz w:val="28"/>
          <w:szCs w:val="28"/>
          <w:rtl/>
        </w:rPr>
        <w:t xml:space="preserve">افراسياب ، حسين بن علي</w:t>
      </w:r>
    </w:p>
    <w:p>
      <w:pPr>
        <w:pStyle w:val="BookText"/>
      </w:pPr>
      <w:r>
        <w:rPr>
          <w:rFonts w:ascii="Amiri" w:hAnsi="Amiri" w:eastAsia="Amiri" w:cs="Amiri"/>
          <w:lang w:bidi="ar-SA"/>
          <w:color w:val="111111"/>
          <w:sz w:val="28"/>
          <w:szCs w:val="28"/>
          <w:rtl/>
        </w:rPr>
        <w:t xml:space="preserve">حسين بن علي حسين بن عبد العلي -يزدي ، حسين بن علي حسين</w:t>
      </w:r>
    </w:p>
    <w:p>
      <w:pPr>
        <w:pStyle w:val="BookText"/>
      </w:pPr>
      <w:r>
        <w:rPr>
          <w:rFonts w:ascii="Amiri" w:hAnsi="Amiri" w:eastAsia="Amiri" w:cs="Amiri"/>
          <w:lang w:bidi="ar-SA"/>
          <w:color w:val="111111"/>
          <w:sz w:val="28"/>
          <w:szCs w:val="28"/>
          <w:rtl/>
        </w:rPr>
        <w:t xml:space="preserve">حسين بن علي حسين يزدي- يزدي ،</w:t>
      </w:r>
    </w:p>
    <w:p>
      <w:pPr>
        <w:pStyle w:val="BookText"/>
      </w:pPr>
      <w:r>
        <w:rPr>
          <w:rFonts w:ascii="Amiri" w:hAnsi="Amiri" w:eastAsia="Amiri" w:cs="Amiri"/>
          <w:lang w:bidi="ar-SA"/>
          <w:color w:val="111111"/>
          <w:sz w:val="28"/>
          <w:szCs w:val="28"/>
          <w:rtl/>
        </w:rPr>
        <w:t xml:space="preserve">حسين بن علي حسين</w:t>
      </w:r>
    </w:p>
    <w:p>
      <w:pPr>
        <w:pStyle w:val="BookText"/>
      </w:pPr>
      <w:r>
        <w:rPr>
          <w:rFonts w:ascii="Amiri" w:hAnsi="Amiri" w:eastAsia="Amiri" w:cs="Amiri"/>
          <w:lang w:bidi="ar-SA"/>
          <w:color w:val="111111"/>
          <w:sz w:val="28"/>
          <w:szCs w:val="28"/>
          <w:rtl/>
        </w:rPr>
        <w:t xml:space="preserve">حسين بن علي حسيني استرآبادي حائري- حسيني استرآبادي ، حسين بن علي</w:t>
      </w:r>
    </w:p>
    <w:p>
      <w:pPr>
        <w:pStyle w:val="BookText"/>
      </w:pPr>
      <w:r>
        <w:rPr>
          <w:rFonts w:ascii="Amiri" w:hAnsi="Amiri" w:eastAsia="Amiri" w:cs="Amiri"/>
          <w:lang w:bidi="ar-SA"/>
          <w:color w:val="111111"/>
          <w:sz w:val="28"/>
          <w:szCs w:val="28"/>
          <w:rtl/>
        </w:rPr>
        <w:t xml:space="preserve">حسين بن علي حصني -حصني ، حسين</w:t>
      </w:r>
    </w:p>
    <w:p>
      <w:pPr>
        <w:pStyle w:val="BookText"/>
      </w:pPr>
      <w:r>
        <w:rPr>
          <w:rFonts w:ascii="Amiri" w:hAnsi="Amiri" w:eastAsia="Amiri" w:cs="Amiri"/>
          <w:lang w:bidi="ar-SA"/>
          <w:color w:val="111111"/>
          <w:sz w:val="28"/>
          <w:szCs w:val="28"/>
          <w:rtl/>
        </w:rPr>
        <w:t xml:space="preserve">بن علي حسين بن علي حلبي وفائي- وفائي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حسين بن علي حلي نجفي -حلي نجفي</w:t>
      </w:r>
    </w:p>
    <w:p>
      <w:pPr>
        <w:pStyle w:val="BookText"/>
      </w:pPr>
      <w:r>
        <w:rPr>
          <w:rFonts w:ascii="Amiri" w:hAnsi="Amiri" w:eastAsia="Amiri" w:cs="Amiri"/>
          <w:lang w:bidi="ar-SA"/>
          <w:color w:val="111111"/>
          <w:sz w:val="28"/>
          <w:szCs w:val="28"/>
          <w:rtl/>
        </w:rPr>
        <w:t xml:space="preserve">حسين بن علي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علي خزاعي رازي- ابو الفتوح</w:t>
      </w:r>
    </w:p>
    <w:p>
      <w:pPr>
        <w:pStyle w:val="BookText"/>
      </w:pPr>
      <w:r>
        <w:rPr>
          <w:rFonts w:ascii="Amiri" w:hAnsi="Amiri" w:eastAsia="Amiri" w:cs="Amiri"/>
          <w:lang w:bidi="ar-SA"/>
          <w:color w:val="111111"/>
          <w:sz w:val="28"/>
          <w:szCs w:val="28"/>
          <w:rtl/>
        </w:rPr>
        <w:t xml:space="preserve">رازي ، حسين بن علي</w:t>
      </w:r>
    </w:p>
    <w:p>
      <w:pPr>
        <w:pStyle w:val="BookText"/>
      </w:pPr>
      <w:r>
        <w:rPr>
          <w:rFonts w:ascii="Amiri" w:hAnsi="Amiri" w:eastAsia="Amiri" w:cs="Amiri"/>
          <w:lang w:bidi="ar-SA"/>
          <w:color w:val="111111"/>
          <w:sz w:val="28"/>
          <w:szCs w:val="28"/>
          <w:rtl/>
        </w:rPr>
        <w:t xml:space="preserve">حسين بن علي طغرائي -طغرائي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حسين بن علي طيب حسيني همداني غروي- حسيني همداني ، حسين بن علي</w:t>
      </w:r>
    </w:p>
    <w:p>
      <w:pPr>
        <w:pStyle w:val="BookText"/>
      </w:pPr>
      <w:r>
        <w:rPr>
          <w:rFonts w:ascii="Amiri" w:hAnsi="Amiri" w:eastAsia="Amiri" w:cs="Amiri"/>
          <w:lang w:bidi="ar-SA"/>
          <w:color w:val="111111"/>
          <w:sz w:val="28"/>
          <w:szCs w:val="28"/>
          <w:rtl/>
        </w:rPr>
        <w:t xml:space="preserve">حسين بن علي عشاري بغدادي - عشاري</w:t>
      </w:r>
    </w:p>
    <w:p>
      <w:pPr>
        <w:pStyle w:val="BookText"/>
      </w:pPr>
      <w:r>
        <w:rPr>
          <w:rFonts w:ascii="Amiri" w:hAnsi="Amiri" w:eastAsia="Amiri" w:cs="Amiri"/>
          <w:lang w:bidi="ar-SA"/>
          <w:color w:val="111111"/>
          <w:sz w:val="28"/>
          <w:szCs w:val="28"/>
          <w:rtl/>
        </w:rPr>
        <w:t xml:space="preserve">حسين بن علي</w:t>
      </w:r>
    </w:p>
    <w:p>
      <w:pPr>
        <w:pStyle w:val="BookText"/>
      </w:pPr>
      <w:r>
        <w:rPr>
          <w:rFonts w:ascii="Amiri" w:hAnsi="Amiri" w:eastAsia="Amiri" w:cs="Amiri"/>
          <w:lang w:bidi="ar-SA"/>
          <w:color w:val="111111"/>
          <w:sz w:val="28"/>
          <w:szCs w:val="28"/>
          <w:rtl/>
        </w:rPr>
        <w:t xml:space="preserve">حسين بن علي عينائي- عينائي ، حسين بن علي</w:t>
      </w:r>
    </w:p>
    <w:p>
      <w:pPr>
        <w:pStyle w:val="BookText"/>
      </w:pPr>
      <w:r>
        <w:rPr>
          <w:rFonts w:ascii="Amiri" w:hAnsi="Amiri" w:eastAsia="Amiri" w:cs="Amiri"/>
          <w:lang w:bidi="ar-SA"/>
          <w:color w:val="111111"/>
          <w:sz w:val="28"/>
          <w:szCs w:val="28"/>
          <w:rtl/>
        </w:rPr>
        <w:t xml:space="preserve">علي حسين بن علي قديحي بحراني-بلادي</w:t>
      </w:r>
    </w:p>
    <w:p>
      <w:pPr>
        <w:pStyle w:val="BookText"/>
      </w:pPr>
      <w:r>
        <w:rPr>
          <w:rFonts w:ascii="Amiri" w:hAnsi="Amiri" w:eastAsia="Amiri" w:cs="Amiri"/>
          <w:lang w:bidi="ar-SA"/>
          <w:color w:val="111111"/>
          <w:sz w:val="28"/>
          <w:szCs w:val="28"/>
          <w:rtl/>
        </w:rPr>
        <w:t xml:space="preserve">بحراني ، حسين بن علي</w:t>
      </w:r>
    </w:p>
    <w:p>
      <w:pPr>
        <w:pStyle w:val="BookText"/>
      </w:pPr>
      <w:r>
        <w:rPr>
          <w:rFonts w:ascii="Amiri" w:hAnsi="Amiri" w:eastAsia="Amiri" w:cs="Amiri"/>
          <w:lang w:bidi="ar-SA"/>
          <w:color w:val="111111"/>
          <w:sz w:val="28"/>
          <w:szCs w:val="28"/>
          <w:rtl/>
        </w:rPr>
        <w:t xml:space="preserve">حسين بن علي قومناتي توقادي سيسواسي- قومناتي ، حسين بن علي</w:t>
      </w:r>
    </w:p>
    <w:p>
      <w:pPr>
        <w:pStyle w:val="BookText"/>
      </w:pPr>
      <w:r>
        <w:rPr>
          <w:rFonts w:ascii="Amiri" w:hAnsi="Amiri" w:eastAsia="Amiri" w:cs="Amiri"/>
          <w:lang w:bidi="ar-SA"/>
          <w:color w:val="111111"/>
          <w:sz w:val="28"/>
          <w:szCs w:val="28"/>
          <w:rtl/>
        </w:rPr>
        <w:t xml:space="preserve">حسين بن علي كاشفي- كاشفي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IRNazanin" w:hAnsi="IRNazanin" w:eastAsia="IRNazanin" w:cs="IRNazanin"/>
          <w:lang w:bidi="fa-IR"/>
          <w:color w:val="111111"/>
          <w:sz w:val="28"/>
          <w:szCs w:val="28"/>
          <w:rtl/>
        </w:rPr>
        <w:t xml:space="preserve">حسين بن علي مجمر- مجمر ، حسین بن علي</w:t>
      </w:r>
    </w:p>
    <w:p>
      <w:pPr>
        <w:pStyle w:val="BookText"/>
      </w:pPr>
      <w:r>
        <w:rPr>
          <w:rFonts w:ascii="Amiri" w:hAnsi="Amiri" w:eastAsia="Amiri" w:cs="Amiri"/>
          <w:lang w:bidi="ar-SA"/>
          <w:color w:val="111111"/>
          <w:sz w:val="28"/>
          <w:szCs w:val="28"/>
          <w:rtl/>
        </w:rPr>
        <w:t xml:space="preserve">علي حسين بن علي نيسابوري - نيسابوري</w:t>
      </w:r>
    </w:p>
    <w:p>
      <w:pPr>
        <w:pStyle w:val="BookText"/>
      </w:pPr>
      <w:r>
        <w:rPr>
          <w:rFonts w:ascii="Amiri" w:hAnsi="Amiri" w:eastAsia="Amiri" w:cs="Amiri"/>
          <w:lang w:bidi="ar-SA"/>
          <w:color w:val="111111"/>
          <w:sz w:val="28"/>
          <w:szCs w:val="28"/>
          <w:rtl/>
        </w:rPr>
        <w:t xml:space="preserve">ميرزا حسين</w:t>
      </w:r>
    </w:p>
    <w:p>
      <w:pPr>
        <w:pStyle w:val="BookText"/>
      </w:pPr>
      <w:r>
        <w:rPr>
          <w:rFonts w:ascii="IRNazanin" w:hAnsi="IRNazanin" w:eastAsia="IRNazanin" w:cs="IRNazanin"/>
          <w:lang w:bidi="fa-IR"/>
          <w:color w:val="111111"/>
          <w:sz w:val="28"/>
          <w:szCs w:val="28"/>
          <w:rtl/>
        </w:rPr>
        <w:t xml:space="preserve">حسين بن علي وزير مغربي- وزير مغربي ، حسين بن علی</w:t>
      </w:r>
    </w:p>
    <w:p>
      <w:pPr>
        <w:pStyle w:val="BookText"/>
      </w:pPr>
      <w:r>
        <w:rPr>
          <w:rFonts w:ascii="Amiri" w:hAnsi="Amiri" w:eastAsia="Amiri" w:cs="Amiri"/>
          <w:lang w:bidi="ar-SA"/>
          <w:color w:val="111111"/>
          <w:sz w:val="28"/>
          <w:szCs w:val="28"/>
          <w:rtl/>
        </w:rPr>
        <w:t xml:space="preserve">حسين بن غنام نجدي حنبلي- نجدي ،</w:t>
      </w:r>
    </w:p>
    <w:p>
      <w:pPr>
        <w:pStyle w:val="BookText"/>
      </w:pPr>
      <w:r>
        <w:rPr>
          <w:rFonts w:ascii="Amiri" w:hAnsi="Amiri" w:eastAsia="Amiri" w:cs="Amiri"/>
          <w:lang w:bidi="ar-SA"/>
          <w:color w:val="111111"/>
          <w:sz w:val="28"/>
          <w:szCs w:val="28"/>
          <w:rtl/>
        </w:rPr>
        <w:t xml:space="preserve">حسين بن غنام</w:t>
      </w:r>
    </w:p>
    <w:p>
      <w:pPr>
        <w:pStyle w:val="BookText"/>
      </w:pPr>
      <w:r>
        <w:rPr>
          <w:rFonts w:ascii="Amiri" w:hAnsi="Amiri" w:eastAsia="Amiri" w:cs="Amiri"/>
          <w:lang w:bidi="ar-SA"/>
          <w:color w:val="111111"/>
          <w:sz w:val="28"/>
          <w:szCs w:val="28"/>
          <w:rtl/>
        </w:rPr>
        <w:t xml:space="preserve">حسين بن غواص سجزي -سجزي ، حسين</w:t>
      </w:r>
    </w:p>
    <w:p>
      <w:pPr>
        <w:pStyle w:val="BookText"/>
      </w:pPr>
      <w:r>
        <w:rPr>
          <w:rFonts w:ascii="IRNazanin" w:hAnsi="IRNazanin" w:eastAsia="IRNazanin" w:cs="IRNazanin"/>
          <w:lang w:bidi="fa-IR"/>
          <w:color w:val="111111"/>
          <w:sz w:val="28"/>
          <w:szCs w:val="28"/>
          <w:rtl/>
        </w:rPr>
        <w:t xml:space="preserve">بن غواص</w:t>
      </w:r>
    </w:p>
    <w:p>
      <w:pPr>
        <w:pStyle w:val="BookText"/>
      </w:pPr>
      <w:r>
        <w:rPr>
          <w:rFonts w:ascii="Amiri" w:hAnsi="Amiri" w:eastAsia="Amiri" w:cs="Amiri"/>
          <w:lang w:bidi="ar-SA"/>
          <w:color w:val="111111"/>
          <w:sz w:val="28"/>
          <w:szCs w:val="28"/>
          <w:rtl/>
        </w:rPr>
        <w:t xml:space="preserve">حسين بن غياث الدين تربتي هروي -حسيني هروي ، حسين بن غياث الدين</w:t>
      </w:r>
    </w:p>
    <w:p>
      <w:pPr>
        <w:pStyle w:val="BookText"/>
      </w:pPr>
      <w:r>
        <w:rPr>
          <w:rFonts w:ascii="Amiri" w:hAnsi="Amiri" w:eastAsia="Amiri" w:cs="Amiri"/>
          <w:lang w:bidi="ar-SA"/>
          <w:color w:val="111111"/>
          <w:sz w:val="28"/>
          <w:szCs w:val="28"/>
          <w:rtl/>
        </w:rPr>
        <w:t xml:space="preserve">حسين بن فارس محاسب - محاسري،</w:t>
      </w:r>
    </w:p>
    <w:p>
      <w:pPr>
        <w:pStyle w:val="BookText"/>
      </w:pPr>
      <w:r>
        <w:rPr>
          <w:rFonts w:ascii="Amiri" w:hAnsi="Amiri" w:eastAsia="Amiri" w:cs="Amiri"/>
          <w:lang w:bidi="ar-SA"/>
          <w:color w:val="111111"/>
          <w:sz w:val="28"/>
          <w:szCs w:val="28"/>
          <w:rtl/>
        </w:rPr>
        <w:t xml:space="preserve">حسين بن فارس</w:t>
      </w:r>
    </w:p>
    <w:p>
      <w:pPr>
        <w:pStyle w:val="BookText"/>
      </w:pPr>
      <w:r>
        <w:rPr>
          <w:rFonts w:ascii="IRNazanin" w:hAnsi="IRNazanin" w:eastAsia="IRNazanin" w:cs="IRNazanin"/>
          <w:lang w:bidi="fa-IR"/>
          <w:color w:val="111111"/>
          <w:sz w:val="28"/>
          <w:szCs w:val="28"/>
          <w:rtl/>
        </w:rPr>
        <w:t xml:space="preserve">حسين بن فرهاد اسكوبي پرزريني</w:t>
      </w:r>
    </w:p>
    <w:p>
      <w:pPr>
        <w:pStyle w:val="BookText"/>
      </w:pPr>
      <w:r>
        <w:rPr>
          <w:rFonts w:ascii="Amiri" w:hAnsi="Amiri" w:eastAsia="Amiri" w:cs="Amiri"/>
          <w:lang w:bidi="ar-SA"/>
          <w:color w:val="111111"/>
          <w:sz w:val="28"/>
          <w:szCs w:val="28"/>
          <w:rtl/>
        </w:rPr>
        <w:t xml:space="preserve">رومي- اسكوبي ، حسين بن فرهاد</w:t>
      </w:r>
    </w:p>
    <w:p>
      <w:pPr>
        <w:pStyle w:val="BookText"/>
      </w:pPr>
      <w:r>
        <w:rPr>
          <w:rFonts w:ascii="Amiri" w:hAnsi="Amiri" w:eastAsia="Amiri" w:cs="Amiri"/>
          <w:lang w:bidi="ar-SA"/>
          <w:color w:val="111111"/>
          <w:sz w:val="28"/>
          <w:szCs w:val="28"/>
          <w:rtl/>
        </w:rPr>
        <w:t xml:space="preserve">حسين بن قاسم بن محمّد -يمني ، حسين</w:t>
      </w:r>
    </w:p>
    <w:p>
      <w:pPr>
        <w:pStyle w:val="BookText"/>
      </w:pPr>
      <w:r>
        <w:rPr>
          <w:rFonts w:ascii="IRNazanin" w:hAnsi="IRNazanin" w:eastAsia="IRNazanin" w:cs="IRNazanin"/>
          <w:lang w:bidi="fa-IR"/>
          <w:color w:val="111111"/>
          <w:sz w:val="28"/>
          <w:szCs w:val="28"/>
          <w:rtl/>
        </w:rPr>
        <w:t xml:space="preserve">بن قاسم</w:t>
      </w:r>
    </w:p>
    <w:p>
      <w:pPr>
        <w:pStyle w:val="BookText"/>
      </w:pPr>
      <w:r>
        <w:rPr>
          <w:rFonts w:ascii="Amiri" w:hAnsi="Amiri" w:eastAsia="Amiri" w:cs="Amiri"/>
          <w:lang w:bidi="ar-SA"/>
          <w:color w:val="111111"/>
          <w:sz w:val="28"/>
          <w:szCs w:val="28"/>
          <w:rtl/>
        </w:rPr>
        <w:t xml:space="preserve">حسين بن كرمعلي اصفهاني -اصفهاني</w:t>
      </w:r>
    </w:p>
    <w:p>
      <w:pPr>
        <w:pStyle w:val="BookText"/>
      </w:pPr>
      <w:r>
        <w:rPr>
          <w:rFonts w:ascii="Amiri" w:hAnsi="Amiri" w:eastAsia="Amiri" w:cs="Amiri"/>
          <w:lang w:bidi="ar-SA"/>
          <w:color w:val="111111"/>
          <w:sz w:val="28"/>
          <w:szCs w:val="28"/>
          <w:rtl/>
        </w:rPr>
        <w:t xml:space="preserve">محمّد حسن بن كرمعلي</w:t>
      </w:r>
    </w:p>
    <w:p>
      <w:pPr>
        <w:pStyle w:val="BookText"/>
      </w:pPr>
      <w:r>
        <w:rPr>
          <w:rFonts w:ascii="Amiri" w:hAnsi="Amiri" w:eastAsia="Amiri" w:cs="Amiri"/>
          <w:lang w:bidi="ar-SA"/>
          <w:color w:val="111111"/>
          <w:sz w:val="28"/>
          <w:szCs w:val="28"/>
          <w:rtl/>
        </w:rPr>
        <w:t xml:space="preserve">حسين بن محسن يماني انصاري- يماني ،</w:t>
      </w:r>
    </w:p>
    <w:p>
      <w:pPr>
        <w:pStyle w:val="BookText"/>
      </w:pPr>
      <w:r>
        <w:rPr>
          <w:rFonts w:ascii="Amiri" w:hAnsi="Amiri" w:eastAsia="Amiri" w:cs="Amiri"/>
          <w:lang w:bidi="ar-SA"/>
          <w:color w:val="111111"/>
          <w:sz w:val="28"/>
          <w:szCs w:val="28"/>
          <w:rtl/>
        </w:rPr>
        <w:t xml:space="preserve">حسين بن محسن</w:t>
      </w:r>
    </w:p>
    <w:p>
      <w:pPr>
        <w:pStyle w:val="BookText"/>
      </w:pPr>
      <w:r>
        <w:rPr>
          <w:rFonts w:ascii="Amiri" w:hAnsi="Amiri" w:eastAsia="Amiri" w:cs="Amiri"/>
          <w:lang w:bidi="ar-SA"/>
          <w:color w:val="111111"/>
          <w:sz w:val="28"/>
          <w:szCs w:val="28"/>
          <w:rtl/>
        </w:rPr>
        <w:t xml:space="preserve">حسين بن محمّد سيواسي ، حسين بن محمّد</w:t>
      </w:r>
    </w:p>
    <w:p>
      <w:pPr>
        <w:pStyle w:val="BookText"/>
      </w:pPr>
      <w:r>
        <w:rPr>
          <w:rFonts w:ascii="Amiri" w:hAnsi="Amiri" w:eastAsia="Amiri" w:cs="Amiri"/>
          <w:lang w:bidi="ar-SA"/>
          <w:color w:val="111111"/>
          <w:sz w:val="28"/>
          <w:szCs w:val="28"/>
          <w:rtl/>
        </w:rPr>
        <w:t xml:space="preserve">حسين بن محمّد احسائي بحراني- احسائي ،</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IRNazanin" w:hAnsi="IRNazanin" w:eastAsia="IRNazanin" w:cs="IRNazanin"/>
          <w:lang w:bidi="fa-IR"/>
          <w:color w:val="111111"/>
          <w:sz w:val="28"/>
          <w:szCs w:val="28"/>
          <w:rtl/>
        </w:rPr>
        <w:t xml:space="preserve">حسین بن محمّد استرآبادي- استرآبادي ، حسين بن محمّد</w:t>
      </w:r>
    </w:p>
    <w:p>
      <w:pPr>
        <w:pStyle w:val="BookText"/>
      </w:pPr>
      <w:r>
        <w:rPr>
          <w:rFonts w:ascii="Amiri" w:hAnsi="Amiri" w:eastAsia="Amiri" w:cs="Amiri"/>
          <w:lang w:bidi="ar-SA"/>
          <w:color w:val="111111"/>
          <w:sz w:val="28"/>
          <w:szCs w:val="28"/>
          <w:rtl/>
        </w:rPr>
        <w:t xml:space="preserve">حسين بن محمّد الغلامي -غلامي ، حسين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حسين بن محمّد بارع بغدادي -بارع بغدادي، حسين بن محمّد</w:t>
      </w:r>
    </w:p>
    <w:p>
      <w:pPr>
        <w:pStyle w:val="BookText"/>
      </w:pPr>
      <w:r>
        <w:rPr>
          <w:rFonts w:ascii="Amiri" w:hAnsi="Amiri" w:eastAsia="Amiri" w:cs="Amiri"/>
          <w:lang w:bidi="ar-SA"/>
          <w:color w:val="111111"/>
          <w:sz w:val="28"/>
          <w:szCs w:val="28"/>
          <w:rtl/>
        </w:rPr>
        <w:t xml:space="preserve">حسين بن علي</w:t>
      </w:r>
    </w:p>
    <w:p>
      <w:pPr>
        <w:pStyle w:val="BookText"/>
      </w:pPr>
      <w:r>
        <w:rPr>
          <w:rFonts w:ascii="Amiri" w:hAnsi="Amiri" w:eastAsia="Amiri" w:cs="Amiri"/>
          <w:lang w:bidi="ar-SA"/>
          <w:color w:val="111111"/>
          <w:sz w:val="28"/>
          <w:szCs w:val="28"/>
          <w:rtl/>
        </w:rPr>
        <w:t xml:space="preserve">حسين بن محمّد باقر قزيني</w:t>
      </w:r>
    </w:p>
    <w:p>
      <w:pPr>
        <w:pStyle w:val="BookText"/>
      </w:pPr>
      <w:r>
        <w:rPr>
          <w:rFonts w:ascii="Amiri" w:hAnsi="Amiri" w:eastAsia="Amiri" w:cs="Amiri"/>
          <w:lang w:bidi="ar-SA"/>
          <w:color w:val="111111"/>
          <w:sz w:val="28"/>
          <w:szCs w:val="28"/>
          <w:rtl/>
        </w:rPr>
        <w:t xml:space="preserve">حائري- قزويني حائري ، حسين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حسين بن محمّد بلادي بحراني -بحراني</w:t>
      </w:r>
    </w:p>
    <w:p>
      <w:pPr>
        <w:pStyle w:val="BookText"/>
      </w:pPr>
      <w:r>
        <w:rPr>
          <w:rFonts w:ascii="Amiri" w:hAnsi="Amiri" w:eastAsia="Amiri" w:cs="Amiri"/>
          <w:lang w:bidi="ar-SA"/>
          <w:color w:val="111111"/>
          <w:sz w:val="28"/>
          <w:szCs w:val="28"/>
          <w:rtl/>
        </w:rPr>
        <w:t xml:space="preserve">بلادي ، حسين بن محمّد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7742_70149"/>
    <w:bookmarkEnd w:id="378"/>
    <w:p>
      <w:pPr>
        <w:pStyle w:val="Heading2"/>
      </w:pPr>
      <w:bookmarkStart w:id="3578" w:name="_Toc2680"/>
      <w:r>
        <w:t>حسين بن محمّد بن ابراهيم</w:t>
      </w:r>
      <w:bookmarkEnd w:id="3578"/>
    </w:p>
    <w:p>
      <w:pPr>
        <w:pStyle w:val="BookText"/>
      </w:pPr>
      <w:r>
        <w:rPr>
          <w:rFonts w:ascii="Amiri" w:hAnsi="Amiri" w:eastAsia="Amiri" w:cs="Amiri"/>
          <w:lang w:bidi="ar-SA"/>
          <w:color w:val="111111"/>
          <w:sz w:val="28"/>
          <w:szCs w:val="28"/>
          <w:rtl/>
        </w:rPr>
        <w:t xml:space="preserve">البداية = كتاب البداية، ج 3، ص 241.</w:t>
      </w:r>
    </w:p>
    <w:p>
      <w:pPr>
        <w:pStyle w:val="BookText"/>
      </w:pPr>
      <w:r>
        <w:rPr>
          <w:rFonts w:ascii="Amiri" w:hAnsi="Amiri" w:eastAsia="Amiri" w:cs="Amiri"/>
          <w:lang w:bidi="ar-SA"/>
          <w:color w:val="111111"/>
          <w:sz w:val="28"/>
          <w:szCs w:val="28"/>
          <w:rtl/>
        </w:rPr>
        <w:t xml:space="preserve">حسين بن محمّد بن ابراهيم جنائي- جنائي</w:t>
      </w:r>
    </w:p>
    <w:p>
      <w:pPr>
        <w:pStyle w:val="BookText"/>
      </w:pPr>
      <w:r>
        <w:rPr>
          <w:rFonts w:ascii="Amiri" w:hAnsi="Amiri" w:eastAsia="Amiri" w:cs="Amiri"/>
          <w:lang w:bidi="ar-SA"/>
          <w:color w:val="111111"/>
          <w:sz w:val="28"/>
          <w:szCs w:val="28"/>
          <w:rtl/>
        </w:rPr>
        <w:t xml:space="preserve">، حسين بن محمّد بن ابراهيم</w:t>
      </w:r>
    </w:p>
    <w:p>
      <w:pPr>
        <w:pStyle w:val="BookText"/>
      </w:pPr>
      <w:r>
        <w:rPr>
          <w:rFonts w:ascii="Amiri" w:hAnsi="Amiri" w:eastAsia="Amiri" w:cs="Amiri"/>
          <w:lang w:bidi="ar-SA"/>
          <w:color w:val="111111"/>
          <w:sz w:val="28"/>
          <w:szCs w:val="28"/>
          <w:rtl/>
        </w:rPr>
        <w:t xml:space="preserve">حسين بن محمّد بن ابراهيم حنائي- حنائي</w:t>
      </w:r>
    </w:p>
    <w:p>
      <w:pPr>
        <w:pStyle w:val="BookText"/>
      </w:pPr>
      <w:r>
        <w:rPr>
          <w:rFonts w:ascii="Amiri" w:hAnsi="Amiri" w:eastAsia="Amiri" w:cs="Amiri"/>
          <w:lang w:bidi="ar-SA"/>
          <w:color w:val="111111"/>
          <w:sz w:val="28"/>
          <w:szCs w:val="28"/>
          <w:rtl/>
        </w:rPr>
        <w:t xml:space="preserve">، حسين بن محمّد</w:t>
      </w:r>
    </w:p>
    <w:p>
      <w:pPr>
        <w:pStyle w:val="BookText"/>
      </w:pPr>
      <w:r>
        <w:rPr>
          <w:rFonts w:ascii="Amiri" w:hAnsi="Amiri" w:eastAsia="Amiri" w:cs="Amiri"/>
          <w:lang w:bidi="ar-SA"/>
          <w:color w:val="111111"/>
          <w:sz w:val="28"/>
          <w:szCs w:val="28"/>
          <w:rtl/>
        </w:rPr>
        <w:t xml:space="preserve">حسين بن محمّد بن ابراهيم دامغاني- دامغاني ، حسين بن محمّد</w:t>
      </w:r>
    </w:p>
    <w:p>
      <w:pPr>
        <w:pStyle w:val="BookText"/>
      </w:pPr>
      <w:r>
        <w:rPr>
          <w:rFonts w:ascii="Amiri" w:hAnsi="Amiri" w:eastAsia="Amiri" w:cs="Amiri"/>
          <w:lang w:bidi="ar-SA"/>
          <w:color w:val="111111"/>
          <w:sz w:val="28"/>
          <w:szCs w:val="28"/>
          <w:rtl/>
        </w:rPr>
        <w:t xml:space="preserve">حسين بن محمّد بن احمد بحراني ،</w:t>
      </w:r>
    </w:p>
    <w:p>
      <w:pPr>
        <w:pStyle w:val="BookText"/>
      </w:pPr>
      <w:r>
        <w:rPr>
          <w:rFonts w:ascii="Amiri" w:hAnsi="Amiri" w:eastAsia="Amiri" w:cs="Amiri"/>
          <w:lang w:bidi="ar-SA"/>
          <w:color w:val="111111"/>
          <w:sz w:val="28"/>
          <w:szCs w:val="28"/>
          <w:rtl/>
        </w:rPr>
        <w:t xml:space="preserve">حسين بن محمّد بن احمد</w:t>
      </w:r>
    </w:p>
    <w:p>
      <w:pPr>
        <w:pStyle w:val="BookText"/>
      </w:pPr>
      <w:r>
        <w:rPr>
          <w:rFonts w:ascii="Amiri" w:hAnsi="Amiri" w:eastAsia="Amiri" w:cs="Amiri"/>
          <w:lang w:bidi="ar-SA"/>
          <w:color w:val="111111"/>
          <w:sz w:val="28"/>
          <w:szCs w:val="28"/>
          <w:rtl/>
        </w:rPr>
        <w:t xml:space="preserve">حسين بن محمّد بن حسن ديار بكري</w:t>
      </w:r>
    </w:p>
    <w:p>
      <w:pPr>
        <w:pStyle w:val="BookText"/>
      </w:pPr>
      <w:r>
        <w:rPr>
          <w:rFonts w:ascii="Amiri" w:hAnsi="Amiri" w:eastAsia="Amiri" w:cs="Amiri"/>
          <w:lang w:bidi="ar-SA"/>
          <w:color w:val="111111"/>
          <w:sz w:val="28"/>
          <w:szCs w:val="28"/>
          <w:rtl/>
        </w:rPr>
        <w:t xml:space="preserve">مالكي- ديار بكري ، حسين بن محمّد</w:t>
      </w:r>
    </w:p>
    <w:p>
      <w:pPr>
        <w:pStyle w:val="BookText"/>
      </w:pPr>
      <w:r>
        <w:rPr>
          <w:rFonts w:ascii="Amiri" w:hAnsi="Amiri" w:eastAsia="Amiri" w:cs="Amiri"/>
          <w:lang w:bidi="ar-SA"/>
          <w:color w:val="111111"/>
          <w:sz w:val="28"/>
          <w:szCs w:val="28"/>
          <w:rtl/>
        </w:rPr>
        <w:t xml:space="preserve">حسين بن محمّد بن زيله- ابن زيله ، حسين بن محمّد</w:t>
      </w:r>
    </w:p>
    <w:p>
      <w:pPr>
        <w:pStyle w:val="BookText"/>
      </w:pPr>
      <w:r>
        <w:rPr>
          <w:rFonts w:ascii="Amiri" w:hAnsi="Amiri" w:eastAsia="Amiri" w:cs="Amiri"/>
          <w:lang w:bidi="ar-SA"/>
          <w:color w:val="111111"/>
          <w:sz w:val="28"/>
          <w:szCs w:val="28"/>
          <w:rtl/>
        </w:rPr>
        <w:t xml:space="preserve">حسين بن محمّد بن نصر حلوائي -حلواني ، حسين بن محمّد</w:t>
      </w:r>
    </w:p>
    <w:p>
      <w:pPr>
        <w:pStyle w:val="BookText"/>
      </w:pPr>
      <w:r>
        <w:rPr>
          <w:rFonts w:ascii="Amiri" w:hAnsi="Amiri" w:eastAsia="Amiri" w:cs="Amiri"/>
          <w:lang w:bidi="ar-SA"/>
          <w:color w:val="111111"/>
          <w:sz w:val="28"/>
          <w:szCs w:val="28"/>
          <w:rtl/>
        </w:rPr>
        <w:t xml:space="preserve">حسين بن محمّد بن نصر حلواني -حلواني</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حسين بن محمّد تقي طبرسي- طبرسي ،</w:t>
      </w:r>
    </w:p>
    <w:p>
      <w:pPr>
        <w:pStyle w:val="BookText"/>
      </w:pPr>
      <w:r>
        <w:rPr>
          <w:rFonts w:ascii="Amiri" w:hAnsi="Amiri" w:eastAsia="Amiri" w:cs="Amiri"/>
          <w:lang w:bidi="ar-SA"/>
          <w:color w:val="111111"/>
          <w:sz w:val="28"/>
          <w:szCs w:val="28"/>
          <w:rtl/>
        </w:rPr>
        <w:t xml:space="preserve">حسين بن محمّد تقي</w:t>
      </w:r>
    </w:p>
    <w:p>
      <w:pPr>
        <w:pStyle w:val="BookText"/>
      </w:pPr>
      <w:r>
        <w:rPr>
          <w:rFonts w:ascii="Amiri" w:hAnsi="Amiri" w:eastAsia="Amiri" w:cs="Amiri"/>
          <w:lang w:bidi="ar-SA"/>
          <w:color w:val="111111"/>
          <w:sz w:val="28"/>
          <w:szCs w:val="28"/>
          <w:rtl/>
        </w:rPr>
        <w:t xml:space="preserve">حسين بن محمّد جياني - جياني ، حسين بن حسين بن محمّد علي</w:t>
      </w:r>
    </w:p>
    <w:p>
      <w:pPr>
        <w:pStyle w:val="BookText"/>
      </w:pPr>
      <w:r>
        <w:rPr>
          <w:rFonts w:ascii="Amiri" w:hAnsi="Amiri" w:eastAsia="Amiri" w:cs="Amiri"/>
          <w:lang w:bidi="ar-SA"/>
          <w:color w:val="111111"/>
          <w:sz w:val="28"/>
          <w:szCs w:val="28"/>
          <w:rtl/>
        </w:rPr>
        <w:t xml:space="preserve">حسين بن محمّد حسيني- حسيني ،</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حسين بن محمّد حسيني معمائي -حسيني</w:t>
      </w:r>
    </w:p>
    <w:p>
      <w:pPr>
        <w:pStyle w:val="BookText"/>
      </w:pPr>
      <w:r>
        <w:rPr>
          <w:rFonts w:ascii="Amiri" w:hAnsi="Amiri" w:eastAsia="Amiri" w:cs="Amiri"/>
          <w:lang w:bidi="ar-SA"/>
          <w:color w:val="111111"/>
          <w:sz w:val="28"/>
          <w:szCs w:val="28"/>
          <w:rtl/>
        </w:rPr>
        <w:t xml:space="preserve">نيشابوري ، حسين بن محمّد</w:t>
      </w:r>
    </w:p>
    <w:p>
      <w:pPr>
        <w:pStyle w:val="BookText"/>
      </w:pPr>
      <w:r>
        <w:rPr>
          <w:rFonts w:ascii="Amiri" w:hAnsi="Amiri" w:eastAsia="Amiri" w:cs="Amiri"/>
          <w:lang w:bidi="ar-SA"/>
          <w:color w:val="111111"/>
          <w:sz w:val="28"/>
          <w:szCs w:val="28"/>
          <w:rtl/>
        </w:rPr>
        <w:t xml:space="preserve">حسين بن محمّد خوانساري- محقق خوانساري ، حسين بن محمّد</w:t>
      </w:r>
    </w:p>
    <w:p>
      <w:pPr>
        <w:pStyle w:val="BookText"/>
      </w:pPr>
      <w:r>
        <w:rPr>
          <w:rFonts w:ascii="IRNazanin" w:hAnsi="IRNazanin" w:eastAsia="IRNazanin" w:cs="IRNazanin"/>
          <w:lang w:bidi="fa-IR"/>
          <w:color w:val="111111"/>
          <w:sz w:val="28"/>
          <w:szCs w:val="28"/>
          <w:rtl/>
        </w:rPr>
        <w:t xml:space="preserve">حسین بن محمّد درازي عصفوري- آل</w:t>
      </w:r>
    </w:p>
    <w:p>
      <w:pPr>
        <w:pStyle w:val="BookText"/>
      </w:pPr>
      <w:r>
        <w:rPr>
          <w:rFonts w:ascii="Amiri" w:hAnsi="Amiri" w:eastAsia="Amiri" w:cs="Amiri"/>
          <w:lang w:bidi="ar-SA"/>
          <w:color w:val="111111"/>
          <w:sz w:val="28"/>
          <w:szCs w:val="28"/>
          <w:rtl/>
        </w:rPr>
        <w:t xml:space="preserve">عصفور ، حسين بن محمّد</w:t>
      </w:r>
    </w:p>
    <w:p>
      <w:pPr>
        <w:pStyle w:val="BookText"/>
      </w:pPr>
      <w:r>
        <w:rPr>
          <w:rFonts w:ascii="Amiri" w:hAnsi="Amiri" w:eastAsia="Amiri" w:cs="Amiri"/>
          <w:lang w:bidi="ar-SA"/>
          <w:color w:val="111111"/>
          <w:sz w:val="28"/>
          <w:szCs w:val="28"/>
          <w:rtl/>
        </w:rPr>
        <w:t xml:space="preserve">حسين بن محمّد ديار بكري- ديار بكري ،</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حسين بن محمّد راغب اصفهاني- راغب</w:t>
      </w:r>
    </w:p>
    <w:p>
      <w:pPr>
        <w:pStyle w:val="BookText"/>
      </w:pPr>
      <w:r>
        <w:rPr>
          <w:rFonts w:ascii="Amiri" w:hAnsi="Amiri" w:eastAsia="Amiri" w:cs="Amiri"/>
          <w:lang w:bidi="ar-SA"/>
          <w:color w:val="111111"/>
          <w:sz w:val="28"/>
          <w:szCs w:val="28"/>
          <w:rtl/>
        </w:rPr>
        <w:t xml:space="preserve">اصفهاني ، حسين بن محمّد</w:t>
      </w:r>
    </w:p>
    <w:p>
      <w:pPr>
        <w:pStyle w:val="BookText"/>
      </w:pPr>
      <w:r>
        <w:rPr>
          <w:rFonts w:ascii="IRNazanin" w:hAnsi="IRNazanin" w:eastAsia="IRNazanin" w:cs="IRNazanin"/>
          <w:lang w:bidi="fa-IR"/>
          <w:color w:val="111111"/>
          <w:sz w:val="28"/>
          <w:szCs w:val="28"/>
          <w:rtl/>
        </w:rPr>
        <w:t xml:space="preserve">حسین بن محمّد رضا</w:t>
      </w:r>
    </w:p>
    <w:p>
      <w:pPr>
        <w:pStyle w:val="BookText"/>
      </w:pPr>
      <w:r>
        <w:rPr>
          <w:rFonts w:ascii="Amiri" w:hAnsi="Amiri" w:eastAsia="Amiri" w:cs="Amiri"/>
          <w:lang w:bidi="ar-SA"/>
          <w:color w:val="111111"/>
          <w:sz w:val="28"/>
          <w:szCs w:val="28"/>
          <w:rtl/>
        </w:rPr>
        <w:t xml:space="preserve">بحر العلوم -بحر العلوم بروجردي ، حسين بن محمّد رضا</w:t>
      </w:r>
    </w:p>
    <w:p>
      <w:pPr>
        <w:pStyle w:val="BookText"/>
      </w:pPr>
      <w:r>
        <w:rPr>
          <w:rFonts w:ascii="Amiri" w:hAnsi="Amiri" w:eastAsia="Amiri" w:cs="Amiri"/>
          <w:lang w:bidi="ar-SA"/>
          <w:color w:val="111111"/>
          <w:sz w:val="28"/>
          <w:szCs w:val="28"/>
          <w:rtl/>
        </w:rPr>
        <w:t xml:space="preserve">حسين بن محمّد رضا موسوي دزفولي- موسوي دزفولي ، حسين بن محمّد</w:t>
      </w:r>
    </w:p>
    <w:p>
      <w:pPr>
        <w:pStyle w:val="BookText"/>
      </w:pPr>
      <w:r>
        <w:rPr>
          <w:rFonts w:ascii="IRNazanin" w:hAnsi="IRNazanin" w:eastAsia="IRNazanin" w:cs="IRNazanin"/>
          <w:lang w:bidi="fa-IR"/>
          <w:color w:val="111111"/>
          <w:sz w:val="28"/>
          <w:szCs w:val="28"/>
          <w:rtl/>
        </w:rPr>
        <w:t xml:space="preserve">رضا</w:t>
      </w:r>
    </w:p>
    <w:p>
      <w:pPr>
        <w:pStyle w:val="BookText"/>
      </w:pPr>
      <w:r>
        <w:rPr>
          <w:rFonts w:ascii="Amiri" w:hAnsi="Amiri" w:eastAsia="Amiri" w:cs="Amiri"/>
          <w:lang w:bidi="ar-SA"/>
          <w:color w:val="111111"/>
          <w:sz w:val="28"/>
          <w:szCs w:val="28"/>
          <w:rtl/>
        </w:rPr>
        <w:t xml:space="preserve">حسين بن محمّد سمنقاني -سمنقاني ، حسين بن محمّد</w:t>
      </w:r>
    </w:p>
    <w:p>
      <w:pPr>
        <w:pStyle w:val="BookText"/>
      </w:pPr>
      <w:r>
        <w:rPr>
          <w:rFonts w:ascii="Amiri" w:hAnsi="Amiri" w:eastAsia="Amiri" w:cs="Amiri"/>
          <w:lang w:bidi="ar-SA"/>
          <w:color w:val="111111"/>
          <w:sz w:val="28"/>
          <w:szCs w:val="28"/>
          <w:rtl/>
        </w:rPr>
        <w:t xml:space="preserve">حسين بن محمّد صادق اصفهاني نجفي- اصفهاني نجفي ، حسين بن محمّد</w:t>
      </w:r>
    </w:p>
    <w:p>
      <w:pPr>
        <w:pStyle w:val="BookText"/>
      </w:pPr>
      <w:r>
        <w:rPr>
          <w:rFonts w:ascii="IRNazanin" w:hAnsi="IRNazanin" w:eastAsia="IRNazanin" w:cs="IRNazanin"/>
          <w:lang w:bidi="fa-IR"/>
          <w:color w:val="111111"/>
          <w:sz w:val="28"/>
          <w:szCs w:val="28"/>
          <w:rtl/>
        </w:rPr>
        <w:t xml:space="preserve">صادق</w:t>
      </w:r>
    </w:p>
    <w:p>
      <w:pPr>
        <w:pStyle w:val="BookText"/>
      </w:pPr>
      <w:r>
        <w:rPr>
          <w:rFonts w:ascii="Amiri" w:hAnsi="Amiri" w:eastAsia="Amiri" w:cs="Amiri"/>
          <w:lang w:bidi="ar-SA"/>
          <w:color w:val="111111"/>
          <w:sz w:val="28"/>
          <w:szCs w:val="28"/>
          <w:rtl/>
        </w:rPr>
        <w:t xml:space="preserve">حسين بن محمّد طيبي - طيبي ، حسين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حسين بن محمّد علي كاشاني -كاشاني</w:t>
      </w:r>
    </w:p>
    <w:p>
      <w:pPr>
        <w:pStyle w:val="BookText"/>
      </w:pPr>
      <w:r>
        <w:rPr>
          <w:rFonts w:ascii="Amiri" w:hAnsi="Amiri" w:eastAsia="Amiri" w:cs="Amiri"/>
          <w:lang w:bidi="ar-SA"/>
          <w:color w:val="111111"/>
          <w:sz w:val="28"/>
          <w:szCs w:val="28"/>
          <w:rtl/>
        </w:rPr>
        <w:t xml:space="preserve">حسين بن محمّد علي موسوي- موسوي</w:t>
      </w:r>
    </w:p>
    <w:p>
      <w:pPr>
        <w:pStyle w:val="BookText"/>
      </w:pPr>
      <w:r>
        <w:rPr>
          <w:rFonts w:ascii="Amiri" w:hAnsi="Amiri" w:eastAsia="Amiri" w:cs="Amiri"/>
          <w:lang w:bidi="ar-SA"/>
          <w:color w:val="111111"/>
          <w:sz w:val="28"/>
          <w:szCs w:val="28"/>
          <w:rtl/>
        </w:rPr>
        <w:t xml:space="preserve">حسين بن محمّد علي</w:t>
      </w:r>
    </w:p>
    <w:p>
      <w:pPr>
        <w:pStyle w:val="BookText"/>
      </w:pPr>
      <w:r>
        <w:rPr>
          <w:rFonts w:ascii="Amiri" w:hAnsi="Amiri" w:eastAsia="Amiri" w:cs="Amiri"/>
          <w:lang w:bidi="ar-SA"/>
          <w:color w:val="111111"/>
          <w:sz w:val="28"/>
          <w:szCs w:val="28"/>
          <w:rtl/>
        </w:rPr>
        <w:t xml:space="preserve">حسين بن محمّد قاسم حسيني</w:t>
      </w:r>
    </w:p>
    <w:p>
      <w:pPr>
        <w:pStyle w:val="BookText"/>
      </w:pPr>
      <w:r>
        <w:rPr>
          <w:rFonts w:ascii="Amiri" w:hAnsi="Amiri" w:eastAsia="Amiri" w:cs="Amiri"/>
          <w:lang w:bidi="ar-SA"/>
          <w:color w:val="111111"/>
          <w:sz w:val="28"/>
          <w:szCs w:val="28"/>
          <w:rtl/>
        </w:rPr>
        <w:t xml:space="preserve">اشكوري - حسيني اشكوري ، حسين بن محمّد</w:t>
      </w:r>
    </w:p>
    <w:p>
      <w:pPr>
        <w:pStyle w:val="BookText"/>
      </w:pPr>
      <w:r>
        <w:rPr>
          <w:rFonts w:ascii="IRNazanin" w:hAnsi="IRNazanin" w:eastAsia="IRNazanin" w:cs="IRNazanin"/>
          <w:lang w:bidi="fa-IR"/>
          <w:color w:val="111111"/>
          <w:sz w:val="28"/>
          <w:szCs w:val="28"/>
          <w:rtl/>
        </w:rPr>
        <w:t xml:space="preserve">قاسم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7742_70151"/>
    <w:bookmarkEnd w:id="379"/>
    <w:p>
      <w:pPr>
        <w:pStyle w:val="BookText"/>
      </w:pPr>
      <w:r>
        <w:rPr>
          <w:rFonts w:ascii="Amiri" w:hAnsi="Amiri" w:eastAsia="Amiri" w:cs="Amiri"/>
          <w:lang w:bidi="ar-SA"/>
          <w:color w:val="111111"/>
          <w:sz w:val="28"/>
          <w:szCs w:val="28"/>
          <w:rtl/>
        </w:rPr>
        <w:t xml:space="preserve">حسين بن محمّد كوه كمري - حسيني</w:t>
      </w:r>
    </w:p>
    <w:p>
      <w:pPr>
        <w:pStyle w:val="BookText"/>
      </w:pPr>
      <w:r>
        <w:rPr>
          <w:rFonts w:ascii="Amiri" w:hAnsi="Amiri" w:eastAsia="Amiri" w:cs="Amiri"/>
          <w:lang w:bidi="ar-SA"/>
          <w:color w:val="111111"/>
          <w:sz w:val="28"/>
          <w:szCs w:val="28"/>
          <w:rtl/>
        </w:rPr>
        <w:t xml:space="preserve">تبريزي ، حسين بن محمّد</w:t>
      </w:r>
    </w:p>
    <w:p>
      <w:pPr>
        <w:pStyle w:val="BookText"/>
      </w:pPr>
      <w:r>
        <w:rPr>
          <w:rFonts w:ascii="Amiri" w:hAnsi="Amiri" w:eastAsia="Amiri" w:cs="Amiri"/>
          <w:lang w:bidi="ar-SA"/>
          <w:color w:val="111111"/>
          <w:sz w:val="28"/>
          <w:szCs w:val="28"/>
          <w:rtl/>
        </w:rPr>
        <w:t xml:space="preserve">حسين بن محمّد لاري -لاري ، كمال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حسين بن محمّد محلي شافعي- محلي</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حسين بن محمّد مرعشي -ثعالبي مرغني</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حسين بن محمود زيداني -زيداني ، حسين</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حسين بن محمود نقيب-قاضي ، حسين بن محمود</w:t>
      </w:r>
    </w:p>
    <w:p>
      <w:pPr>
        <w:pStyle w:val="BookText"/>
      </w:pPr>
      <w:r>
        <w:rPr>
          <w:rFonts w:ascii="Amiri" w:hAnsi="Amiri" w:eastAsia="Amiri" w:cs="Amiri"/>
          <w:lang w:bidi="ar-SA"/>
          <w:color w:val="111111"/>
          <w:sz w:val="28"/>
          <w:szCs w:val="28"/>
          <w:rtl/>
        </w:rPr>
        <w:t xml:space="preserve">حسين بن مسعود بغوي- بغوي ، حسين</w:t>
      </w:r>
    </w:p>
    <w:p>
      <w:pPr>
        <w:pStyle w:val="BookText"/>
      </w:pPr>
      <w:r>
        <w:rPr>
          <w:rFonts w:ascii="IRNazanin" w:hAnsi="IRNazanin" w:eastAsia="IRNazanin" w:cs="IRNazanin"/>
          <w:lang w:bidi="fa-IR"/>
          <w:color w:val="111111"/>
          <w:sz w:val="28"/>
          <w:szCs w:val="28"/>
          <w:rtl/>
        </w:rPr>
        <w:t xml:space="preserve">بن مسعود</w:t>
      </w:r>
    </w:p>
    <w:p>
      <w:pPr>
        <w:pStyle w:val="BookText"/>
      </w:pPr>
      <w:r>
        <w:rPr>
          <w:rFonts w:ascii="Amiri" w:hAnsi="Amiri" w:eastAsia="Amiri" w:cs="Amiri"/>
          <w:lang w:bidi="ar-SA"/>
          <w:color w:val="111111"/>
          <w:sz w:val="28"/>
          <w:szCs w:val="28"/>
          <w:rtl/>
        </w:rPr>
        <w:t xml:space="preserve">حسين بن معين الدين ميبدي -ميبدي</w:t>
      </w:r>
    </w:p>
    <w:p>
      <w:pPr>
        <w:pStyle w:val="BookText"/>
      </w:pPr>
      <w:r>
        <w:rPr>
          <w:rFonts w:ascii="Amiri" w:hAnsi="Amiri" w:eastAsia="Amiri" w:cs="Amiri"/>
          <w:lang w:bidi="ar-SA"/>
          <w:color w:val="111111"/>
          <w:sz w:val="28"/>
          <w:szCs w:val="28"/>
          <w:rtl/>
        </w:rPr>
        <w:t xml:space="preserve">حسين بن معين الدين</w:t>
      </w:r>
    </w:p>
    <w:p>
      <w:pPr>
        <w:pStyle w:val="BookText"/>
      </w:pPr>
      <w:r>
        <w:rPr>
          <w:rFonts w:ascii="Amiri" w:hAnsi="Amiri" w:eastAsia="Amiri" w:cs="Amiri"/>
          <w:lang w:bidi="ar-SA"/>
          <w:color w:val="111111"/>
          <w:sz w:val="28"/>
          <w:szCs w:val="28"/>
          <w:rtl/>
        </w:rPr>
        <w:t xml:space="preserve">حسين بن منصور حلاج -حلاج ، حسين بن</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Amiri" w:hAnsi="Amiri" w:eastAsia="Amiri" w:cs="Amiri"/>
          <w:lang w:bidi="ar-SA"/>
          <w:color w:val="111111"/>
          <w:sz w:val="28"/>
          <w:szCs w:val="28"/>
          <w:rtl/>
        </w:rPr>
        <w:t xml:space="preserve">حسين بن موسى اردبيلي- اردبيلي ، حسين</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IRNazanin" w:hAnsi="IRNazanin" w:eastAsia="IRNazanin" w:cs="IRNazanin"/>
          <w:lang w:bidi="fa-IR"/>
          <w:color w:val="111111"/>
          <w:sz w:val="28"/>
          <w:szCs w:val="28"/>
          <w:rtl/>
        </w:rPr>
        <w:t xml:space="preserve">حسين بن ميررشید رضوي نجفي حائري -رضوي نجفي ، حسين بن ميررشید</w:t>
      </w:r>
    </w:p>
    <w:p>
      <w:pPr>
        <w:pStyle w:val="BookText"/>
      </w:pPr>
      <w:r>
        <w:rPr>
          <w:rFonts w:ascii="Amiri" w:hAnsi="Amiri" w:eastAsia="Amiri" w:cs="Amiri"/>
          <w:lang w:bidi="ar-SA"/>
          <w:color w:val="111111"/>
          <w:sz w:val="28"/>
          <w:szCs w:val="28"/>
          <w:rtl/>
        </w:rPr>
        <w:t xml:space="preserve">حسين بن نصر جهني كعبي ابن خميس- ابن خميس، حسين بن نصر</w:t>
      </w:r>
    </w:p>
    <w:p>
      <w:pPr>
        <w:pStyle w:val="BookText"/>
      </w:pPr>
      <w:r>
        <w:rPr>
          <w:rFonts w:ascii="Amiri" w:hAnsi="Amiri" w:eastAsia="Amiri" w:cs="Amiri"/>
          <w:lang w:bidi="ar-SA"/>
          <w:color w:val="111111"/>
          <w:sz w:val="28"/>
          <w:szCs w:val="28"/>
          <w:rtl/>
        </w:rPr>
        <w:t xml:space="preserve">حسين بن نصوح بوسنوي- بوسنوي ، حسين بن نصوح</w:t>
      </w:r>
    </w:p>
    <w:p>
      <w:pPr>
        <w:pStyle w:val="Heading2"/>
      </w:pPr>
      <w:bookmarkStart w:id="3579" w:name="_Toc2681"/>
      <w:r>
        <w:t>حسين بن نوح</w:t>
      </w:r>
      <w:bookmarkEnd w:id="3579"/>
    </w:p>
    <w:p>
      <w:pPr>
        <w:pStyle w:val="BookText"/>
      </w:pPr>
      <w:r>
        <w:rPr>
          <w:rFonts w:ascii="Amiri" w:hAnsi="Amiri" w:eastAsia="Amiri" w:cs="Amiri"/>
          <w:lang w:bidi="ar-SA"/>
          <w:color w:val="111111"/>
          <w:sz w:val="28"/>
          <w:szCs w:val="28"/>
          <w:rtl/>
        </w:rPr>
        <w:t xml:space="preserve">الطب (كتاب في)، ج 10، ص 744 .</w:t>
      </w:r>
    </w:p>
    <w:p>
      <w:pPr>
        <w:pStyle w:val="BookText"/>
      </w:pPr>
      <w:r>
        <w:rPr>
          <w:rFonts w:ascii="Amiri" w:hAnsi="Amiri" w:eastAsia="Amiri" w:cs="Amiri"/>
          <w:lang w:bidi="ar-SA"/>
          <w:color w:val="111111"/>
          <w:sz w:val="28"/>
          <w:szCs w:val="28"/>
          <w:rtl/>
        </w:rPr>
        <w:t xml:space="preserve">حسين بن هارون بغدادي -ابن هارون ،</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حسين بن يحيى زندويستي بخاري- زندوستي ، علي بن حسين</w:t>
      </w:r>
    </w:p>
    <w:p>
      <w:pPr>
        <w:pStyle w:val="BookText"/>
      </w:pPr>
      <w:r>
        <w:rPr>
          <w:rFonts w:ascii="Amiri" w:hAnsi="Amiri" w:eastAsia="Amiri" w:cs="Amiri"/>
          <w:lang w:bidi="ar-SA"/>
          <w:color w:val="111111"/>
          <w:sz w:val="28"/>
          <w:szCs w:val="28"/>
          <w:rtl/>
        </w:rPr>
        <w:t xml:space="preserve">حسين بن يوسف اصفهاني- اصفهاني ، حسين بن يوسف</w:t>
      </w:r>
    </w:p>
    <w:p>
      <w:pPr>
        <w:pStyle w:val="BookText"/>
      </w:pPr>
      <w:r>
        <w:rPr>
          <w:rFonts w:ascii="Amiri" w:hAnsi="Amiri" w:eastAsia="Amiri" w:cs="Amiri"/>
          <w:lang w:bidi="ar-SA"/>
          <w:color w:val="111111"/>
          <w:sz w:val="28"/>
          <w:szCs w:val="28"/>
          <w:rtl/>
        </w:rPr>
        <w:t xml:space="preserve">حسين بوسنوي -بوسنوي ، حسين بن</w:t>
      </w:r>
    </w:p>
    <w:p>
      <w:pPr>
        <w:pStyle w:val="BookText"/>
      </w:pPr>
      <w:r>
        <w:rPr>
          <w:rFonts w:ascii="IRNazanin" w:hAnsi="IRNazanin" w:eastAsia="IRNazanin" w:cs="IRNazanin"/>
          <w:lang w:bidi="fa-IR"/>
          <w:color w:val="111111"/>
          <w:sz w:val="28"/>
          <w:szCs w:val="28"/>
          <w:rtl/>
        </w:rPr>
        <w:t xml:space="preserve">نصوح</w:t>
      </w:r>
    </w:p>
    <w:p>
      <w:pPr>
        <w:pStyle w:val="BookText"/>
      </w:pPr>
      <w:r>
        <w:rPr>
          <w:rFonts w:ascii="Amiri" w:hAnsi="Amiri" w:eastAsia="Amiri" w:cs="Amiri"/>
          <w:lang w:bidi="ar-SA"/>
          <w:color w:val="111111"/>
          <w:sz w:val="28"/>
          <w:szCs w:val="28"/>
          <w:rtl/>
        </w:rPr>
        <w:t xml:space="preserve">حسين جعفري رومي -جعفري رومي ،</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محمّد حسين</w:t>
      </w:r>
    </w:p>
    <w:p>
      <w:pPr>
        <w:pStyle w:val="BookText"/>
      </w:pPr>
      <w:r>
        <w:rPr>
          <w:rFonts w:ascii="Amiri" w:hAnsi="Amiri" w:eastAsia="Amiri" w:cs="Amiri"/>
          <w:lang w:bidi="ar-SA"/>
          <w:color w:val="111111"/>
          <w:sz w:val="28"/>
          <w:szCs w:val="28"/>
          <w:rtl/>
        </w:rPr>
        <w:t xml:space="preserve">حسين حسيني- حسيني ، حسين</w:t>
      </w:r>
    </w:p>
    <w:p>
      <w:pPr>
        <w:pStyle w:val="BookText"/>
      </w:pPr>
      <w:r>
        <w:rPr>
          <w:rFonts w:ascii="Amiri" w:hAnsi="Amiri" w:eastAsia="Amiri" w:cs="Amiri"/>
          <w:lang w:bidi="ar-SA"/>
          <w:color w:val="111111"/>
          <w:sz w:val="28"/>
          <w:szCs w:val="28"/>
          <w:rtl/>
        </w:rPr>
        <w:t xml:space="preserve">حسين حسيني قاضي برزنجي- حسيني</w:t>
      </w:r>
    </w:p>
    <w:p>
      <w:pPr>
        <w:pStyle w:val="BookText"/>
      </w:pPr>
      <w:r>
        <w:rPr>
          <w:rFonts w:ascii="Amiri" w:hAnsi="Amiri" w:eastAsia="Amiri" w:cs="Amiri"/>
          <w:lang w:bidi="ar-SA"/>
          <w:color w:val="111111"/>
          <w:sz w:val="28"/>
          <w:szCs w:val="28"/>
          <w:rtl/>
        </w:rPr>
        <w:t xml:space="preserve">برزنجي ، حسين</w:t>
      </w:r>
    </w:p>
    <w:p>
      <w:pPr>
        <w:pStyle w:val="BookText"/>
      </w:pPr>
      <w:r>
        <w:rPr>
          <w:rFonts w:ascii="IRNazanin" w:hAnsi="IRNazanin" w:eastAsia="IRNazanin" w:cs="IRNazanin"/>
          <w:lang w:bidi="fa-IR"/>
          <w:color w:val="111111"/>
          <w:sz w:val="28"/>
          <w:szCs w:val="28"/>
          <w:rtl/>
        </w:rPr>
        <w:t xml:space="preserve">حسین خواجه هزارفن- هزار فن</w:t>
      </w:r>
    </w:p>
    <w:p>
      <w:pPr>
        <w:pStyle w:val="BookText"/>
      </w:pPr>
      <w:r>
        <w:rPr>
          <w:rFonts w:ascii="Amiri" w:hAnsi="Amiri" w:eastAsia="Amiri" w:cs="Amiri"/>
          <w:lang w:bidi="ar-SA"/>
          <w:color w:val="111111"/>
          <w:sz w:val="28"/>
          <w:szCs w:val="28"/>
          <w:rtl/>
        </w:rPr>
        <w:t xml:space="preserve">حسين بن جعفر</w:t>
      </w:r>
    </w:p>
    <w:p>
      <w:pPr>
        <w:pStyle w:val="BookText"/>
      </w:pPr>
      <w:r>
        <w:rPr>
          <w:rFonts w:ascii="IRNazanin" w:hAnsi="IRNazanin" w:eastAsia="IRNazanin" w:cs="IRNazanin"/>
          <w:lang w:bidi="fa-IR"/>
          <w:color w:val="111111"/>
          <w:sz w:val="28"/>
          <w:szCs w:val="28"/>
          <w:rtl/>
        </w:rPr>
        <w:t xml:space="preserve">حسین خوانساري- محقق خوانساري ، محمّد حسين</w:t>
      </w:r>
    </w:p>
    <w:p>
      <w:pPr>
        <w:pStyle w:val="BookText"/>
      </w:pPr>
      <w:r>
        <w:rPr>
          <w:rFonts w:ascii="Amiri" w:hAnsi="Amiri" w:eastAsia="Amiri" w:cs="Amiri"/>
          <w:lang w:bidi="ar-SA"/>
          <w:color w:val="111111"/>
          <w:sz w:val="28"/>
          <w:szCs w:val="28"/>
          <w:rtl/>
        </w:rPr>
        <w:t xml:space="preserve">حسين بن محمّد حسين دل آهيا رومي- دل آهيا، حسين</w:t>
      </w:r>
    </w:p>
    <w:p>
      <w:pPr>
        <w:pStyle w:val="BookText"/>
      </w:pPr>
      <w:r>
        <w:rPr>
          <w:rFonts w:ascii="Amiri" w:hAnsi="Amiri" w:eastAsia="Amiri" w:cs="Amiri"/>
          <w:lang w:bidi="ar-SA"/>
          <w:color w:val="111111"/>
          <w:sz w:val="28"/>
          <w:szCs w:val="28"/>
          <w:rtl/>
        </w:rPr>
        <w:t xml:space="preserve">حسين رفيق اصفهاني -رفيق اصفهاني ، محمّد حسين</w:t>
      </w:r>
    </w:p>
    <w:p>
      <w:pPr>
        <w:pStyle w:val="BookText"/>
      </w:pPr>
      <w:r>
        <w:rPr>
          <w:rFonts w:ascii="IRNazanin" w:hAnsi="IRNazanin" w:eastAsia="IRNazanin" w:cs="IRNazanin"/>
          <w:lang w:bidi="fa-IR"/>
          <w:color w:val="111111"/>
          <w:sz w:val="28"/>
          <w:szCs w:val="28"/>
          <w:rtl/>
        </w:rPr>
        <w:t xml:space="preserve">حسین سعادت -سعادت ، حسین</w:t>
      </w:r>
    </w:p>
    <w:p>
      <w:pPr>
        <w:pStyle w:val="BookText"/>
      </w:pPr>
      <w:r>
        <w:rPr>
          <w:rFonts w:ascii="Amiri" w:hAnsi="Amiri" w:eastAsia="Amiri" w:cs="Amiri"/>
          <w:lang w:bidi="ar-SA"/>
          <w:color w:val="111111"/>
          <w:sz w:val="28"/>
          <w:szCs w:val="28"/>
          <w:rtl/>
        </w:rPr>
        <w:t xml:space="preserve">حسين سميعي -سميعي ، حسين</w:t>
      </w:r>
    </w:p>
    <w:p>
      <w:pPr>
        <w:pStyle w:val="BookText"/>
      </w:pPr>
      <w:r>
        <w:rPr>
          <w:rFonts w:ascii="Amiri" w:hAnsi="Amiri" w:eastAsia="Amiri" w:cs="Amiri"/>
          <w:lang w:bidi="ar-SA"/>
          <w:color w:val="111111"/>
          <w:sz w:val="28"/>
          <w:szCs w:val="28"/>
          <w:rtl/>
        </w:rPr>
        <w:t xml:space="preserve">حسين شاه بقال -بقال ، شرف الدين</w:t>
      </w:r>
    </w:p>
    <w:p>
      <w:pPr>
        <w:pStyle w:val="BookText"/>
      </w:pPr>
      <w:r>
        <w:rPr>
          <w:rFonts w:ascii="Amiri" w:hAnsi="Amiri" w:eastAsia="Amiri" w:cs="Amiri"/>
          <w:lang w:bidi="ar-SA"/>
          <w:color w:val="111111"/>
          <w:sz w:val="28"/>
          <w:szCs w:val="28"/>
          <w:rtl/>
        </w:rPr>
        <w:t xml:space="preserve">حسين بن نصوح</w:t>
      </w:r>
    </w:p>
    <w:p>
      <w:pPr>
        <w:pStyle w:val="BookText"/>
      </w:pPr>
      <w:r>
        <w:rPr>
          <w:rFonts w:ascii="IRNazanin" w:hAnsi="IRNazanin" w:eastAsia="IRNazanin" w:cs="IRNazanin"/>
          <w:lang w:bidi="fa-IR"/>
          <w:color w:val="111111"/>
          <w:sz w:val="28"/>
          <w:szCs w:val="28"/>
          <w:rtl/>
        </w:rPr>
        <w:t xml:space="preserve">حسن شاه</w:t>
      </w:r>
    </w:p>
    <w:p>
      <w:pPr>
        <w:pStyle w:val="BookText"/>
      </w:pPr>
      <w:r>
        <w:rPr>
          <w:rFonts w:ascii="IRNazanin" w:hAnsi="IRNazanin" w:eastAsia="IRNazanin" w:cs="IRNazanin"/>
          <w:lang w:bidi="fa-IR"/>
          <w:color w:val="111111"/>
          <w:sz w:val="28"/>
          <w:szCs w:val="28"/>
          <w:rtl/>
        </w:rPr>
        <w:t xml:space="preserve">حسین شاه چلبي -انطاكي ، حسين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حسين شيفكي -شيفكي ، حسين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7742_70153"/>
    <w:bookmarkEnd w:id="380"/>
    <w:p>
      <w:pPr>
        <w:pStyle w:val="BookText"/>
      </w:pPr>
      <w:r>
        <w:rPr>
          <w:rFonts w:ascii="Amiri" w:hAnsi="Amiri" w:eastAsia="Amiri" w:cs="Amiri"/>
          <w:lang w:bidi="ar-SA"/>
          <w:color w:val="111111"/>
          <w:sz w:val="28"/>
          <w:szCs w:val="28"/>
          <w:rtl/>
        </w:rPr>
        <w:t xml:space="preserve">حسين صالح البيضاني -بيضاني ، حسين بن صالح</w:t>
      </w:r>
    </w:p>
    <w:p>
      <w:pPr>
        <w:pStyle w:val="BookText"/>
      </w:pPr>
      <w:r>
        <w:rPr>
          <w:rFonts w:ascii="Amiri" w:hAnsi="Amiri" w:eastAsia="Amiri" w:cs="Amiri"/>
          <w:lang w:bidi="ar-SA"/>
          <w:color w:val="111111"/>
          <w:sz w:val="28"/>
          <w:szCs w:val="28"/>
          <w:rtl/>
        </w:rPr>
        <w:t xml:space="preserve">حسين صبري -صبري ، حسين</w:t>
      </w:r>
    </w:p>
    <w:p>
      <w:pPr>
        <w:pStyle w:val="BookText"/>
      </w:pPr>
      <w:r>
        <w:rPr>
          <w:rFonts w:ascii="Amiri" w:hAnsi="Amiri" w:eastAsia="Amiri" w:cs="Amiri"/>
          <w:lang w:bidi="ar-SA"/>
          <w:color w:val="111111"/>
          <w:sz w:val="28"/>
          <w:szCs w:val="28"/>
          <w:rtl/>
        </w:rPr>
        <w:t xml:space="preserve">حسين ظريف اعظمي -ظريف اعظمي</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حسين علي بن علي زنگنه -زنگنه ، حسین</w:t>
      </w:r>
    </w:p>
    <w:p>
      <w:pPr>
        <w:pStyle w:val="BookText"/>
      </w:pPr>
      <w:r>
        <w:rPr>
          <w:rFonts w:ascii="Amiri" w:hAnsi="Amiri" w:eastAsia="Amiri" w:cs="Amiri"/>
          <w:lang w:bidi="ar-SA"/>
          <w:color w:val="111111"/>
          <w:sz w:val="28"/>
          <w:szCs w:val="28"/>
          <w:rtl/>
        </w:rPr>
        <w:t xml:space="preserve">علي بن علي</w:t>
      </w:r>
    </w:p>
    <w:p>
      <w:pPr>
        <w:pStyle w:val="BookText"/>
      </w:pPr>
      <w:r>
        <w:rPr>
          <w:rFonts w:ascii="IRNazanin" w:hAnsi="IRNazanin" w:eastAsia="IRNazanin" w:cs="IRNazanin"/>
          <w:lang w:bidi="fa-IR"/>
          <w:color w:val="111111"/>
          <w:sz w:val="28"/>
          <w:szCs w:val="28"/>
          <w:rtl/>
        </w:rPr>
        <w:t xml:space="preserve">حسينعلي بن ميرزا بزرگ بهاء الله -بهاء</w:t>
      </w:r>
    </w:p>
    <w:p>
      <w:pPr>
        <w:pStyle w:val="BookText"/>
      </w:pPr>
      <w:r>
        <w:rPr>
          <w:rFonts w:ascii="IRNazanin" w:hAnsi="IRNazanin" w:eastAsia="IRNazanin" w:cs="IRNazanin"/>
          <w:lang w:bidi="fa-IR"/>
          <w:color w:val="111111"/>
          <w:sz w:val="28"/>
          <w:szCs w:val="28"/>
          <w:rtl/>
        </w:rPr>
        <w:t xml:space="preserve">الله ، حسينعلي بن ميرزا بزرگ</w:t>
      </w:r>
    </w:p>
    <w:p>
      <w:pPr>
        <w:pStyle w:val="BookText"/>
      </w:pPr>
      <w:r>
        <w:rPr>
          <w:rFonts w:ascii="Amiri" w:hAnsi="Amiri" w:eastAsia="Amiri" w:cs="Amiri"/>
          <w:lang w:bidi="ar-SA"/>
          <w:color w:val="111111"/>
          <w:sz w:val="28"/>
          <w:szCs w:val="28"/>
          <w:rtl/>
        </w:rPr>
        <w:t xml:space="preserve">حسينعلي بن نوروز علي تويسركاني -</w:t>
      </w:r>
    </w:p>
    <w:p>
      <w:pPr>
        <w:pStyle w:val="BookText"/>
      </w:pPr>
      <w:r>
        <w:rPr>
          <w:rFonts w:ascii="Amiri" w:hAnsi="Amiri" w:eastAsia="Amiri" w:cs="Amiri"/>
          <w:lang w:bidi="ar-SA"/>
          <w:color w:val="111111"/>
          <w:sz w:val="28"/>
          <w:szCs w:val="28"/>
          <w:rtl/>
        </w:rPr>
        <w:t xml:space="preserve">تويسركاني ، حسينعلي بن نوروز علي</w:t>
      </w:r>
    </w:p>
    <w:p>
      <w:pPr>
        <w:pStyle w:val="BookText"/>
      </w:pPr>
      <w:r>
        <w:rPr>
          <w:rFonts w:ascii="Amiri" w:hAnsi="Amiri" w:eastAsia="Amiri" w:cs="Amiri"/>
          <w:lang w:bidi="ar-SA"/>
          <w:color w:val="111111"/>
          <w:sz w:val="28"/>
          <w:szCs w:val="28"/>
          <w:rtl/>
        </w:rPr>
        <w:t xml:space="preserve">حسينعلي راضي الشقاق- راضي شقاق ، حسينعلي</w:t>
      </w:r>
    </w:p>
    <w:p>
      <w:pPr>
        <w:pStyle w:val="BookText"/>
      </w:pPr>
      <w:r>
        <w:rPr>
          <w:rFonts w:ascii="Amiri" w:hAnsi="Amiri" w:eastAsia="Amiri" w:cs="Amiri"/>
          <w:lang w:bidi="ar-SA"/>
          <w:color w:val="111111"/>
          <w:sz w:val="28"/>
          <w:szCs w:val="28"/>
          <w:rtl/>
        </w:rPr>
        <w:t xml:space="preserve">حسين عميدي حسيني نجفي- عميدي</w:t>
      </w:r>
    </w:p>
    <w:p>
      <w:pPr>
        <w:pStyle w:val="BookText"/>
      </w:pPr>
      <w:r>
        <w:rPr>
          <w:rFonts w:ascii="Amiri" w:hAnsi="Amiri" w:eastAsia="Amiri" w:cs="Amiri"/>
          <w:lang w:bidi="ar-SA"/>
          <w:color w:val="111111"/>
          <w:sz w:val="28"/>
          <w:szCs w:val="28"/>
          <w:rtl/>
        </w:rPr>
        <w:t xml:space="preserve">حسيني ، حسين</w:t>
      </w:r>
    </w:p>
    <w:p>
      <w:pPr>
        <w:pStyle w:val="BookText"/>
      </w:pPr>
      <w:r>
        <w:rPr>
          <w:rFonts w:ascii="Amiri" w:hAnsi="Amiri" w:eastAsia="Amiri" w:cs="Amiri"/>
          <w:lang w:bidi="ar-SA"/>
          <w:color w:val="111111"/>
          <w:sz w:val="28"/>
          <w:szCs w:val="28"/>
          <w:rtl/>
        </w:rPr>
        <w:t xml:space="preserve">حسينقلي بن آقا خان نوري- وفا</w:t>
      </w:r>
    </w:p>
    <w:p>
      <w:pPr>
        <w:pStyle w:val="BookText"/>
      </w:pPr>
      <w:r>
        <w:rPr>
          <w:rFonts w:ascii="Amiri" w:hAnsi="Amiri" w:eastAsia="Amiri" w:cs="Amiri"/>
          <w:lang w:bidi="ar-SA"/>
          <w:color w:val="111111"/>
          <w:sz w:val="28"/>
          <w:szCs w:val="28"/>
          <w:rtl/>
        </w:rPr>
        <w:t xml:space="preserve">حسينقلي بن علي اصغر</w:t>
      </w:r>
    </w:p>
    <w:p>
      <w:pPr>
        <w:pStyle w:val="BookText"/>
      </w:pPr>
      <w:r>
        <w:rPr>
          <w:rFonts w:ascii="Amiri" w:hAnsi="Amiri" w:eastAsia="Amiri" w:cs="Amiri"/>
          <w:lang w:bidi="ar-SA"/>
          <w:color w:val="111111"/>
          <w:sz w:val="28"/>
          <w:szCs w:val="28"/>
          <w:rtl/>
        </w:rPr>
        <w:t xml:space="preserve">حسينقلي بن رمضان همداني - همداني ،</w:t>
      </w:r>
    </w:p>
    <w:p>
      <w:pPr>
        <w:pStyle w:val="BookText"/>
      </w:pPr>
      <w:r>
        <w:rPr>
          <w:rFonts w:ascii="Amiri" w:hAnsi="Amiri" w:eastAsia="Amiri" w:cs="Amiri"/>
          <w:lang w:bidi="ar-SA"/>
          <w:color w:val="111111"/>
          <w:sz w:val="28"/>
          <w:szCs w:val="28"/>
          <w:rtl/>
        </w:rPr>
        <w:t xml:space="preserve">حسينقلي بن رمضان</w:t>
      </w:r>
    </w:p>
    <w:p>
      <w:pPr>
        <w:pStyle w:val="BookText"/>
      </w:pPr>
      <w:r>
        <w:rPr>
          <w:rFonts w:ascii="Amiri" w:hAnsi="Amiri" w:eastAsia="Amiri" w:cs="Amiri"/>
          <w:lang w:bidi="ar-SA"/>
          <w:color w:val="111111"/>
          <w:sz w:val="28"/>
          <w:szCs w:val="28"/>
          <w:rtl/>
        </w:rPr>
        <w:t xml:space="preserve">حسينقلي بن علي اصغر وفاي نوري- وفا ،</w:t>
      </w:r>
    </w:p>
    <w:p>
      <w:pPr>
        <w:pStyle w:val="BookText"/>
      </w:pPr>
      <w:r>
        <w:rPr>
          <w:rFonts w:ascii="Amiri" w:hAnsi="Amiri" w:eastAsia="Amiri" w:cs="Amiri"/>
          <w:lang w:bidi="ar-SA"/>
          <w:color w:val="111111"/>
          <w:sz w:val="28"/>
          <w:szCs w:val="28"/>
          <w:rtl/>
        </w:rPr>
        <w:t xml:space="preserve">حسينقلي بن علي اصغر</w:t>
      </w:r>
    </w:p>
    <w:p>
      <w:pPr>
        <w:pStyle w:val="BookText"/>
      </w:pPr>
      <w:r>
        <w:rPr>
          <w:rFonts w:ascii="Amiri" w:hAnsi="Amiri" w:eastAsia="Amiri" w:cs="Amiri"/>
          <w:lang w:bidi="ar-SA"/>
          <w:color w:val="111111"/>
          <w:sz w:val="28"/>
          <w:szCs w:val="28"/>
          <w:rtl/>
        </w:rPr>
        <w:t xml:space="preserve">حسينقلي همداني- همداني ، حسينقلي بن</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Amiri" w:hAnsi="Amiri" w:eastAsia="Amiri" w:cs="Amiri"/>
          <w:lang w:bidi="ar-SA"/>
          <w:color w:val="111111"/>
          <w:sz w:val="28"/>
          <w:szCs w:val="28"/>
          <w:rtl/>
        </w:rPr>
        <w:t xml:space="preserve">حسين كرماني-كرماني ، حسين</w:t>
      </w:r>
    </w:p>
    <w:p>
      <w:pPr>
        <w:pStyle w:val="BookText"/>
      </w:pPr>
      <w:r>
        <w:rPr>
          <w:rFonts w:ascii="Amiri" w:hAnsi="Amiri" w:eastAsia="Amiri" w:cs="Amiri"/>
          <w:lang w:bidi="ar-SA"/>
          <w:color w:val="111111"/>
          <w:sz w:val="28"/>
          <w:szCs w:val="28"/>
          <w:rtl/>
        </w:rPr>
        <w:t xml:space="preserve">. ابراهيم</w:t>
      </w:r>
    </w:p>
    <w:p>
      <w:pPr>
        <w:pStyle w:val="BookText"/>
      </w:pPr>
      <w:r>
        <w:rPr>
          <w:rFonts w:ascii="Amiri" w:hAnsi="Amiri" w:eastAsia="Amiri" w:cs="Amiri"/>
          <w:lang w:bidi="ar-SA"/>
          <w:color w:val="111111"/>
          <w:sz w:val="28"/>
          <w:szCs w:val="28"/>
          <w:rtl/>
        </w:rPr>
        <w:t xml:space="preserve">حسين كشفي قره حصاري -شرقي</w:t>
      </w:r>
    </w:p>
    <w:p>
      <w:pPr>
        <w:pStyle w:val="BookText"/>
      </w:pPr>
      <w:r>
        <w:rPr>
          <w:rFonts w:ascii="Amiri" w:hAnsi="Amiri" w:eastAsia="Amiri" w:cs="Amiri"/>
          <w:lang w:bidi="ar-SA"/>
          <w:color w:val="111111"/>
          <w:sz w:val="28"/>
          <w:szCs w:val="28"/>
          <w:rtl/>
        </w:rPr>
        <w:t xml:space="preserve">قسطنطنيه اي كشفي ، حسين</w:t>
      </w:r>
    </w:p>
    <w:p>
      <w:pPr>
        <w:pStyle w:val="BookText"/>
      </w:pPr>
      <w:r>
        <w:rPr>
          <w:rFonts w:ascii="Amiri" w:hAnsi="Amiri" w:eastAsia="Amiri" w:cs="Amiri"/>
          <w:lang w:bidi="ar-SA"/>
          <w:color w:val="111111"/>
          <w:sz w:val="28"/>
          <w:szCs w:val="28"/>
          <w:rtl/>
        </w:rPr>
        <w:t xml:space="preserve">حسين كفوي - كفوي ، حسين بن رستم</w:t>
      </w:r>
    </w:p>
    <w:p>
      <w:pPr>
        <w:pStyle w:val="BookText"/>
      </w:pPr>
      <w:r>
        <w:rPr>
          <w:rFonts w:ascii="Amiri" w:hAnsi="Amiri" w:eastAsia="Amiri" w:cs="Amiri"/>
          <w:lang w:bidi="ar-SA"/>
          <w:color w:val="111111"/>
          <w:sz w:val="28"/>
          <w:szCs w:val="28"/>
          <w:rtl/>
        </w:rPr>
        <w:t xml:space="preserve">حسين كوفي- كوفي ، حسين</w:t>
      </w:r>
    </w:p>
    <w:p>
      <w:pPr>
        <w:pStyle w:val="BookText"/>
      </w:pPr>
      <w:r>
        <w:rPr>
          <w:rFonts w:ascii="Amiri" w:hAnsi="Amiri" w:eastAsia="Amiri" w:cs="Amiri"/>
          <w:lang w:bidi="ar-SA"/>
          <w:color w:val="111111"/>
          <w:sz w:val="28"/>
          <w:szCs w:val="28"/>
          <w:rtl/>
        </w:rPr>
        <w:t xml:space="preserve">حسين مؤمن بن علي حسين بن عبد العلي</w:t>
      </w:r>
    </w:p>
    <w:p>
      <w:pPr>
        <w:pStyle w:val="BookText"/>
      </w:pPr>
      <w:r>
        <w:rPr>
          <w:rFonts w:ascii="Amiri" w:hAnsi="Amiri" w:eastAsia="Amiri" w:cs="Amiri"/>
          <w:lang w:bidi="ar-SA"/>
          <w:color w:val="111111"/>
          <w:sz w:val="28"/>
          <w:szCs w:val="28"/>
          <w:rtl/>
        </w:rPr>
        <w:t xml:space="preserve">يزدي- يزدي ، حسين بن علي حسين</w:t>
      </w:r>
    </w:p>
    <w:p>
      <w:pPr>
        <w:pStyle w:val="BookText"/>
      </w:pPr>
      <w:r>
        <w:rPr>
          <w:rFonts w:ascii="Amiri" w:hAnsi="Amiri" w:eastAsia="Amiri" w:cs="Amiri"/>
          <w:lang w:bidi="ar-SA"/>
          <w:color w:val="111111"/>
          <w:sz w:val="28"/>
          <w:szCs w:val="28"/>
          <w:rtl/>
        </w:rPr>
        <w:t xml:space="preserve">حسين محتسب- محتسب ، حسين</w:t>
      </w:r>
    </w:p>
    <w:p>
      <w:pPr>
        <w:pStyle w:val="BookText"/>
      </w:pPr>
      <w:r>
        <w:rPr>
          <w:rFonts w:ascii="Amiri" w:hAnsi="Amiri" w:eastAsia="Amiri" w:cs="Amiri"/>
          <w:lang w:bidi="ar-SA"/>
          <w:color w:val="111111"/>
          <w:sz w:val="28"/>
          <w:szCs w:val="28"/>
          <w:rtl/>
        </w:rPr>
        <w:t xml:space="preserve">حسين مرتضى بن علي بغدادي- نظمي</w:t>
      </w:r>
    </w:p>
    <w:p>
      <w:pPr>
        <w:pStyle w:val="BookText"/>
      </w:pPr>
      <w:r>
        <w:rPr>
          <w:rFonts w:ascii="Amiri" w:hAnsi="Amiri" w:eastAsia="Amiri" w:cs="Amiri"/>
          <w:lang w:bidi="ar-SA"/>
          <w:color w:val="111111"/>
          <w:sz w:val="28"/>
          <w:szCs w:val="28"/>
          <w:rtl/>
        </w:rPr>
        <w:t xml:space="preserve">زاده ، مرتضى بن علي</w:t>
      </w:r>
    </w:p>
    <w:p>
      <w:pPr>
        <w:pStyle w:val="BookText"/>
      </w:pPr>
      <w:r>
        <w:rPr>
          <w:rFonts w:ascii="Amiri" w:hAnsi="Amiri" w:eastAsia="Amiri" w:cs="Amiri"/>
          <w:lang w:bidi="ar-SA"/>
          <w:color w:val="111111"/>
          <w:sz w:val="28"/>
          <w:szCs w:val="28"/>
          <w:rtl/>
        </w:rPr>
        <w:t xml:space="preserve">حسين مرعشي نجفي ، محمّد حسين -مرعشي نجفي ، شهاب الدين</w:t>
      </w:r>
    </w:p>
    <w:p>
      <w:pPr>
        <w:pStyle w:val="BookText"/>
      </w:pPr>
      <w:r>
        <w:rPr>
          <w:rFonts w:ascii="Amiri" w:hAnsi="Amiri" w:eastAsia="Amiri" w:cs="Amiri"/>
          <w:lang w:bidi="ar-SA"/>
          <w:color w:val="111111"/>
          <w:sz w:val="28"/>
          <w:szCs w:val="28"/>
          <w:rtl/>
        </w:rPr>
        <w:t xml:space="preserve">حسين نجفي -نجفي ، حسين</w:t>
      </w:r>
    </w:p>
    <w:p>
      <w:pPr>
        <w:pStyle w:val="BookText"/>
      </w:pPr>
      <w:r>
        <w:rPr>
          <w:rFonts w:ascii="Amiri" w:hAnsi="Amiri" w:eastAsia="Amiri" w:cs="Amiri"/>
          <w:lang w:bidi="ar-SA"/>
          <w:color w:val="111111"/>
          <w:sz w:val="28"/>
          <w:szCs w:val="28"/>
          <w:rtl/>
        </w:rPr>
        <w:t xml:space="preserve">حسيني -شكري ، عبدالله بن عبدالكريم</w:t>
      </w:r>
    </w:p>
    <w:p>
      <w:pPr>
        <w:pStyle w:val="Heading2"/>
      </w:pPr>
      <w:bookmarkStart w:id="3580" w:name="_Toc2682"/>
      <w:r>
        <w:t>حسيني آل كمونه ، عبدالحسين بن علي</w:t>
      </w:r>
      <w:bookmarkEnd w:id="3580"/>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IRNazanin" w:hAnsi="IRNazanin" w:eastAsia="IRNazanin" w:cs="IRNazanin"/>
          <w:lang w:bidi="fa-IR"/>
          <w:color w:val="111111"/>
          <w:sz w:val="28"/>
          <w:szCs w:val="28"/>
          <w:rtl/>
        </w:rPr>
        <w:t xml:space="preserve">1 .اصول الفقه، ج 2، ص 440.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تقريرات ج4، ص 735 .</w:t>
      </w:r>
    </w:p>
    <w:p>
      <w:pPr>
        <w:pStyle w:val="BookText"/>
      </w:pPr>
      <w:r>
        <w:rPr>
          <w:rFonts w:ascii="Amiri" w:hAnsi="Amiri" w:eastAsia="Amiri" w:cs="Amiri"/>
          <w:lang w:bidi="ar-SA"/>
          <w:color w:val="111111"/>
          <w:sz w:val="28"/>
          <w:szCs w:val="28"/>
          <w:rtl/>
        </w:rPr>
        <w:t xml:space="preserve">3 .نسب ال كمونة، ج 16، ص 262.</w:t>
      </w:r>
    </w:p>
    <w:p>
      <w:pPr>
        <w:pStyle w:val="BookText"/>
      </w:pPr>
      <w:r>
        <w:rPr>
          <w:rFonts w:ascii="Amiri" w:hAnsi="Amiri" w:eastAsia="Amiri" w:cs="Amiri"/>
          <w:lang w:bidi="ar-SA"/>
          <w:color w:val="111111"/>
          <w:sz w:val="28"/>
          <w:szCs w:val="28"/>
          <w:rtl/>
        </w:rPr>
        <w:t xml:space="preserve">حسيني آملي ، حسين بن رفيع الدين</w:t>
      </w:r>
    </w:p>
    <w:p>
      <w:pPr>
        <w:pStyle w:val="BookText"/>
      </w:pPr>
      <w:r>
        <w:rPr>
          <w:rFonts w:ascii="Amiri" w:hAnsi="Amiri" w:eastAsia="Amiri" w:cs="Amiri"/>
          <w:lang w:bidi="ar-SA"/>
          <w:color w:val="111111"/>
          <w:sz w:val="28"/>
          <w:szCs w:val="28"/>
          <w:rtl/>
        </w:rPr>
        <w:t xml:space="preserve">محمّد -سلطان العلماء ، حسين بن محمّد</w:t>
      </w:r>
    </w:p>
    <w:p>
      <w:pPr>
        <w:pStyle w:val="BookText"/>
      </w:pPr>
      <w:r>
        <w:rPr>
          <w:rFonts w:ascii="Amiri" w:hAnsi="Amiri" w:eastAsia="Amiri" w:cs="Amiri"/>
          <w:lang w:bidi="ar-SA"/>
          <w:color w:val="111111"/>
          <w:sz w:val="28"/>
          <w:szCs w:val="28"/>
          <w:rtl/>
        </w:rPr>
        <w:t xml:space="preserve">حسيني آملي ، حيدر بن علي- آملي</w:t>
      </w:r>
    </w:p>
    <w:p>
      <w:pPr>
        <w:pStyle w:val="BookText"/>
      </w:pPr>
      <w:r>
        <w:rPr>
          <w:rFonts w:ascii="Amiri" w:hAnsi="Amiri" w:eastAsia="Amiri" w:cs="Amiri"/>
          <w:lang w:bidi="ar-SA"/>
          <w:color w:val="111111"/>
          <w:sz w:val="28"/>
          <w:szCs w:val="28"/>
          <w:rtl/>
        </w:rPr>
        <w:t xml:space="preserve">حيدر بن علي حسيني ، ابراهيم جامع حسيني ،</w:t>
      </w:r>
    </w:p>
    <w:p>
      <w:pPr>
        <w:pStyle w:val="BookText"/>
      </w:pPr>
      <w:r>
        <w:rPr>
          <w:rFonts w:ascii="Amiri" w:hAnsi="Amiri" w:eastAsia="Amiri" w:cs="Amiri"/>
          <w:lang w:bidi="ar-SA"/>
          <w:color w:val="111111"/>
          <w:sz w:val="28"/>
          <w:szCs w:val="28"/>
          <w:rtl/>
        </w:rPr>
        <w:t xml:space="preserve">ابراهيم .</w:t>
      </w:r>
    </w:p>
    <w:p>
      <w:pPr>
        <w:pStyle w:val="BookText"/>
      </w:pPr>
      <w:r>
        <w:rPr>
          <w:rFonts w:ascii="Amiri" w:hAnsi="Amiri" w:eastAsia="Amiri" w:cs="Amiri"/>
          <w:lang w:bidi="ar-SA"/>
          <w:color w:val="111111"/>
          <w:sz w:val="28"/>
          <w:szCs w:val="28"/>
          <w:rtl/>
        </w:rPr>
        <w:t xml:space="preserve">حسيني ، ابراهيم -حسيني ، محمّد</w:t>
      </w:r>
    </w:p>
    <w:p>
      <w:pPr>
        <w:pStyle w:val="BookText"/>
      </w:pPr>
      <w:r>
        <w:rPr>
          <w:rFonts w:ascii="Amiri" w:hAnsi="Amiri" w:eastAsia="Amiri" w:cs="Amiri"/>
          <w:lang w:bidi="ar-SA"/>
          <w:color w:val="111111"/>
          <w:sz w:val="28"/>
          <w:szCs w:val="28"/>
          <w:rtl/>
        </w:rPr>
        <w:t xml:space="preserve">حسيني ، ابراهيم -حسيني لوذعي ،</w:t>
      </w:r>
    </w:p>
    <w:p>
      <w:pPr>
        <w:pStyle w:val="BookText"/>
      </w:pPr>
      <w:r>
        <w:rPr>
          <w:rFonts w:ascii="Amiri" w:hAnsi="Amiri" w:eastAsia="Amiri" w:cs="Amiri"/>
          <w:lang w:bidi="ar-SA"/>
          <w:color w:val="111111"/>
          <w:sz w:val="28"/>
          <w:szCs w:val="28"/>
          <w:rtl/>
        </w:rPr>
        <w:t xml:space="preserve">ابراهيم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7742_70155"/>
    <w:bookmarkEnd w:id="381"/>
    <w:p>
      <w:pPr>
        <w:pStyle w:val="Heading2"/>
      </w:pPr>
      <w:bookmarkStart w:id="3581" w:name="_Toc2683"/>
      <w:r>
        <w:t>حسيني، ابراهيم، قرن 14 ه-</w:t>
      </w:r>
      <w:bookmarkEnd w:id="3581"/>
    </w:p>
    <w:p>
      <w:pPr>
        <w:pStyle w:val="BookText"/>
      </w:pPr>
      <w:r>
        <w:rPr>
          <w:rFonts w:ascii="Amiri" w:hAnsi="Amiri" w:eastAsia="Amiri" w:cs="Amiri"/>
          <w:lang w:bidi="ar-SA"/>
          <w:color w:val="111111"/>
          <w:sz w:val="28"/>
          <w:szCs w:val="28"/>
          <w:rtl/>
        </w:rPr>
        <w:t xml:space="preserve">شرح رسالة القياس لموسى التوقاني</w:t>
      </w:r>
    </w:p>
    <w:p>
      <w:pPr>
        <w:pStyle w:val="BookText"/>
      </w:pPr>
      <w:r>
        <w:rPr>
          <w:rFonts w:ascii="IRNazanin" w:hAnsi="IRNazanin" w:eastAsia="IRNazanin" w:cs="IRNazanin"/>
          <w:lang w:bidi="fa-IR"/>
          <w:color w:val="111111"/>
          <w:sz w:val="28"/>
          <w:szCs w:val="28"/>
          <w:rtl/>
        </w:rPr>
        <w:t xml:space="preserve">ج 9، ص 549.</w:t>
      </w:r>
    </w:p>
    <w:p>
      <w:pPr>
        <w:pStyle w:val="BookText"/>
      </w:pPr>
      <w:r>
        <w:rPr>
          <w:rFonts w:ascii="IRNazanin" w:hAnsi="IRNazanin" w:eastAsia="IRNazanin" w:cs="IRNazanin"/>
          <w:lang w:bidi="fa-IR"/>
          <w:color w:val="111111"/>
          <w:sz w:val="28"/>
          <w:szCs w:val="28"/>
          <w:rtl/>
        </w:rPr>
        <w:t xml:space="preserve">حسيني، ابراهيم بن امیر محمّد- نسابه</w:t>
      </w:r>
    </w:p>
    <w:p>
      <w:pPr>
        <w:pStyle w:val="BookText"/>
      </w:pPr>
      <w:r>
        <w:rPr>
          <w:rFonts w:ascii="IRNazanin" w:hAnsi="IRNazanin" w:eastAsia="IRNazanin" w:cs="IRNazanin"/>
          <w:lang w:bidi="fa-IR"/>
          <w:color w:val="111111"/>
          <w:sz w:val="28"/>
          <w:szCs w:val="28"/>
          <w:rtl/>
        </w:rPr>
        <w:t xml:space="preserve">حسيني ، ابراهيم بن امیر محمّد</w:t>
      </w:r>
    </w:p>
    <w:p>
      <w:pPr>
        <w:pStyle w:val="Heading2"/>
      </w:pPr>
      <w:bookmarkStart w:id="3582" w:name="_Toc2684"/>
      <w:r>
        <w:t>حسيني ، ابن هداية</w:t>
      </w:r>
      <w:bookmarkEnd w:id="3582"/>
    </w:p>
    <w:p>
      <w:pPr>
        <w:pStyle w:val="BookText"/>
      </w:pPr>
      <w:r>
        <w:rPr>
          <w:rFonts w:ascii="IRNazanin" w:hAnsi="IRNazanin" w:eastAsia="IRNazanin" w:cs="IRNazanin"/>
          <w:lang w:bidi="fa-IR"/>
          <w:color w:val="111111"/>
          <w:sz w:val="28"/>
          <w:szCs w:val="28"/>
          <w:rtl/>
        </w:rPr>
        <w:t xml:space="preserve">شرح الفرائض، ج 9، ص774.</w:t>
      </w:r>
    </w:p>
    <w:p>
      <w:pPr>
        <w:pStyle w:val="Heading2"/>
      </w:pPr>
      <w:bookmarkStart w:id="3583" w:name="_Toc2685"/>
      <w:r>
        <w:t>حسيني ابوالبقاء بن عبد الباقي، قرن 11ه-</w:t>
      </w:r>
      <w:bookmarkEnd w:id="3583"/>
    </w:p>
    <w:p>
      <w:pPr>
        <w:pStyle w:val="BookText"/>
      </w:pPr>
      <w:r>
        <w:rPr>
          <w:rFonts w:ascii="Amiri" w:hAnsi="Amiri" w:eastAsia="Amiri" w:cs="Amiri"/>
          <w:lang w:bidi="ar-SA"/>
          <w:color w:val="111111"/>
          <w:sz w:val="28"/>
          <w:szCs w:val="28"/>
          <w:rtl/>
        </w:rPr>
        <w:t xml:space="preserve">شرح كبرى في المنطق، ج10، ص 41.</w:t>
      </w:r>
    </w:p>
    <w:p>
      <w:pPr>
        <w:pStyle w:val="BookText"/>
      </w:pPr>
      <w:r>
        <w:rPr>
          <w:rFonts w:ascii="Amiri" w:hAnsi="Amiri" w:eastAsia="Amiri" w:cs="Amiri"/>
          <w:lang w:bidi="ar-SA"/>
          <w:color w:val="111111"/>
          <w:sz w:val="28"/>
          <w:szCs w:val="28"/>
          <w:rtl/>
        </w:rPr>
        <w:t xml:space="preserve">حسيني ، ابوالحسن بن محمّد</w:t>
      </w:r>
    </w:p>
    <w:p>
      <w:pPr>
        <w:pStyle w:val="BookText"/>
      </w:pPr>
      <w:r>
        <w:rPr>
          <w:rFonts w:ascii="Amiri" w:hAnsi="Amiri" w:eastAsia="Amiri" w:cs="Amiri"/>
          <w:lang w:bidi="ar-SA"/>
          <w:color w:val="111111"/>
          <w:sz w:val="28"/>
          <w:szCs w:val="28"/>
          <w:rtl/>
        </w:rPr>
        <w:t xml:space="preserve">هادي- تنكابني ، ابوالحسن بن محمّد هادي</w:t>
      </w:r>
    </w:p>
    <w:p>
      <w:pPr>
        <w:pStyle w:val="Heading2"/>
      </w:pPr>
      <w:bookmarkStart w:id="3584" w:name="_Toc2686"/>
      <w:r>
        <w:t>حسيني ، ابوالفتح، قرن 10 ه-</w:t>
      </w:r>
      <w:bookmarkEnd w:id="3584"/>
    </w:p>
    <w:p>
      <w:pPr>
        <w:pStyle w:val="BookText"/>
      </w:pPr>
      <w:r>
        <w:rPr>
          <w:rFonts w:ascii="IRNazanin" w:hAnsi="IRNazanin" w:eastAsia="IRNazanin" w:cs="IRNazanin"/>
          <w:lang w:bidi="fa-IR"/>
          <w:color w:val="111111"/>
          <w:sz w:val="28"/>
          <w:szCs w:val="28"/>
          <w:rtl/>
        </w:rPr>
        <w:t xml:space="preserve">اعتقادات صدوق (ترجمه) = شرح</w:t>
      </w:r>
    </w:p>
    <w:p>
      <w:pPr>
        <w:pStyle w:val="BookText"/>
      </w:pPr>
      <w:r>
        <w:rPr>
          <w:rFonts w:ascii="IRNazanin" w:hAnsi="IRNazanin" w:eastAsia="IRNazanin" w:cs="IRNazanin"/>
          <w:lang w:bidi="fa-IR"/>
          <w:color w:val="111111"/>
          <w:sz w:val="28"/>
          <w:szCs w:val="28"/>
          <w:rtl/>
        </w:rPr>
        <w:t xml:space="preserve">اعتقادات صدوق، ج 2، ص512.</w:t>
      </w:r>
    </w:p>
    <w:p>
      <w:pPr>
        <w:pStyle w:val="Heading2"/>
      </w:pPr>
      <w:bookmarkStart w:id="3585" w:name="_Toc2687"/>
      <w:r>
        <w:t>حسيني ، ابوالفتح بن فتح الله</w:t>
      </w:r>
      <w:bookmarkEnd w:id="3585"/>
    </w:p>
    <w:p>
      <w:pPr>
        <w:pStyle w:val="BookText"/>
      </w:pPr>
      <w:r>
        <w:rPr>
          <w:rFonts w:ascii="Amiri" w:hAnsi="Amiri" w:eastAsia="Amiri" w:cs="Amiri"/>
          <w:lang w:bidi="ar-SA"/>
          <w:color w:val="111111"/>
          <w:sz w:val="28"/>
          <w:szCs w:val="28"/>
          <w:rtl/>
        </w:rPr>
        <w:t xml:space="preserve">خلاصة المقولات العشر، ج7، ص137.</w:t>
      </w:r>
    </w:p>
    <w:p>
      <w:pPr>
        <w:pStyle w:val="BookText"/>
      </w:pPr>
      <w:r>
        <w:rPr>
          <w:rFonts w:ascii="Amiri" w:hAnsi="Amiri" w:eastAsia="Amiri" w:cs="Amiri"/>
          <w:lang w:bidi="ar-SA"/>
          <w:color w:val="111111"/>
          <w:sz w:val="28"/>
          <w:szCs w:val="28"/>
          <w:rtl/>
        </w:rPr>
        <w:t xml:space="preserve">حسيني ، ابوالفتح بن مخدوم -جرجاني ،</w:t>
      </w:r>
    </w:p>
    <w:p>
      <w:pPr>
        <w:pStyle w:val="BookText"/>
      </w:pPr>
      <w:r>
        <w:rPr>
          <w:rFonts w:ascii="IRNazanin" w:hAnsi="IRNazanin" w:eastAsia="IRNazanin" w:cs="IRNazanin"/>
          <w:lang w:bidi="fa-IR"/>
          <w:color w:val="111111"/>
          <w:sz w:val="28"/>
          <w:szCs w:val="28"/>
          <w:rtl/>
        </w:rPr>
        <w:t xml:space="preserve">ابوالفتح بن مخدوم</w:t>
      </w:r>
    </w:p>
    <w:p>
      <w:pPr>
        <w:pStyle w:val="Heading2"/>
      </w:pPr>
      <w:bookmarkStart w:id="3586" w:name="_Toc2688"/>
      <w:r>
        <w:t>حسيني ، ابوالفتح نصر الله</w:t>
      </w:r>
      <w:bookmarkEnd w:id="3586"/>
    </w:p>
    <w:p>
      <w:pPr>
        <w:pStyle w:val="BookText"/>
      </w:pPr>
      <w:r>
        <w:rPr>
          <w:rFonts w:ascii="Amiri" w:hAnsi="Amiri" w:eastAsia="Amiri" w:cs="Amiri"/>
          <w:lang w:bidi="ar-SA"/>
          <w:color w:val="111111"/>
          <w:sz w:val="28"/>
          <w:szCs w:val="28"/>
          <w:rtl/>
        </w:rPr>
        <w:t xml:space="preserve">المقامة الزرعية، ج 15، ص 317</w:t>
      </w:r>
    </w:p>
    <w:p>
      <w:pPr>
        <w:pStyle w:val="BookText"/>
      </w:pPr>
      <w:r>
        <w:rPr>
          <w:rFonts w:ascii="Amiri" w:hAnsi="Amiri" w:eastAsia="Amiri" w:cs="Amiri"/>
          <w:lang w:bidi="ar-SA"/>
          <w:color w:val="111111"/>
          <w:sz w:val="28"/>
          <w:szCs w:val="28"/>
          <w:rtl/>
        </w:rPr>
        <w:t xml:space="preserve">حسيني ، ابوالقاسم بن احمد -كاشاني ، ابوالقاسم بن احمد</w:t>
      </w:r>
    </w:p>
    <w:p>
      <w:pPr>
        <w:pStyle w:val="BookText"/>
      </w:pPr>
      <w:r>
        <w:rPr>
          <w:rFonts w:ascii="Amiri" w:hAnsi="Amiri" w:eastAsia="Amiri" w:cs="Amiri"/>
          <w:lang w:bidi="ar-SA"/>
          <w:color w:val="111111"/>
          <w:sz w:val="28"/>
          <w:szCs w:val="28"/>
          <w:rtl/>
        </w:rPr>
        <w:t xml:space="preserve">حسيني ، ابوالقاسم بن عبد النبي - ميرزا</w:t>
      </w:r>
    </w:p>
    <w:p>
      <w:pPr>
        <w:pStyle w:val="BookText"/>
      </w:pPr>
      <w:r>
        <w:rPr>
          <w:rFonts w:ascii="Amiri" w:hAnsi="Amiri" w:eastAsia="Amiri" w:cs="Amiri"/>
          <w:lang w:bidi="ar-SA"/>
          <w:color w:val="111111"/>
          <w:sz w:val="28"/>
          <w:szCs w:val="28"/>
          <w:rtl/>
        </w:rPr>
        <w:t xml:space="preserve">بابا شيرازي ، ابوالقاسم بن عبد النبي</w:t>
      </w:r>
    </w:p>
    <w:p>
      <w:pPr>
        <w:pStyle w:val="Heading2"/>
      </w:pPr>
      <w:bookmarkStart w:id="3587" w:name="_Toc2689"/>
      <w:r>
        <w:t>حسيني ، ابوالقاسم بن محمّد رضا قرن 14 ه-</w:t>
      </w:r>
      <w:bookmarkEnd w:id="3587"/>
    </w:p>
    <w:p>
      <w:pPr>
        <w:pStyle w:val="BookText"/>
      </w:pPr>
      <w:r>
        <w:rPr>
          <w:rFonts w:ascii="Amiri" w:hAnsi="Amiri" w:eastAsia="Amiri" w:cs="Amiri"/>
          <w:lang w:bidi="ar-SA"/>
          <w:color w:val="111111"/>
          <w:sz w:val="28"/>
          <w:szCs w:val="28"/>
          <w:rtl/>
        </w:rPr>
        <w:t xml:space="preserve">1 .حجية الظن، ج 6 ، ص 502.</w:t>
      </w:r>
    </w:p>
    <w:p>
      <w:pPr>
        <w:pStyle w:val="BookText"/>
      </w:pPr>
      <w:r>
        <w:rPr>
          <w:rFonts w:ascii="Amiri" w:hAnsi="Amiri" w:eastAsia="Amiri" w:cs="Amiri"/>
          <w:lang w:bidi="ar-SA"/>
          <w:color w:val="111111"/>
          <w:sz w:val="28"/>
          <w:szCs w:val="28"/>
          <w:rtl/>
        </w:rPr>
        <w:t xml:space="preserve">2 .منهج الرشاد في شرح نجاة العباد</w:t>
      </w:r>
    </w:p>
    <w:p>
      <w:pPr>
        <w:pStyle w:val="BookText"/>
      </w:pPr>
      <w:r>
        <w:rPr>
          <w:rFonts w:ascii="IRNazanin" w:hAnsi="IRNazanin" w:eastAsia="IRNazanin" w:cs="IRNazanin"/>
          <w:lang w:bidi="fa-IR"/>
          <w:color w:val="111111"/>
          <w:sz w:val="28"/>
          <w:szCs w:val="28"/>
          <w:rtl/>
        </w:rPr>
        <w:t xml:space="preserve">ج 15، ص 794.</w:t>
      </w:r>
    </w:p>
    <w:p>
      <w:pPr>
        <w:pStyle w:val="BookText"/>
      </w:pPr>
      <w:r>
        <w:rPr>
          <w:rFonts w:ascii="Amiri" w:hAnsi="Amiri" w:eastAsia="Amiri" w:cs="Amiri"/>
          <w:lang w:bidi="ar-SA"/>
          <w:color w:val="111111"/>
          <w:sz w:val="28"/>
          <w:szCs w:val="28"/>
          <w:rtl/>
        </w:rPr>
        <w:t xml:space="preserve">حسيني ، ابوالقاسم بن معصوم- اشكوري</w:t>
      </w:r>
    </w:p>
    <w:p>
      <w:pPr>
        <w:pStyle w:val="BookText"/>
      </w:pPr>
      <w:r>
        <w:rPr>
          <w:rFonts w:ascii="IRNazanin" w:hAnsi="IRNazanin" w:eastAsia="IRNazanin" w:cs="IRNazanin"/>
          <w:lang w:bidi="fa-IR"/>
          <w:color w:val="111111"/>
          <w:sz w:val="28"/>
          <w:szCs w:val="28"/>
          <w:rtl/>
        </w:rPr>
        <w:t xml:space="preserve">، ابوالقاسم بن معصوم</w:t>
      </w:r>
    </w:p>
    <w:p>
      <w:pPr>
        <w:pStyle w:val="BookText"/>
      </w:pPr>
      <w:r>
        <w:rPr>
          <w:rFonts w:ascii="Amiri" w:hAnsi="Amiri" w:eastAsia="Amiri" w:cs="Amiri"/>
          <w:lang w:bidi="ar-SA"/>
          <w:color w:val="111111"/>
          <w:sz w:val="28"/>
          <w:szCs w:val="28"/>
          <w:rtl/>
        </w:rPr>
        <w:t xml:space="preserve">حسيني ، ابوبكر بن ابي القاسم- اهدل ،</w:t>
      </w:r>
    </w:p>
    <w:p>
      <w:pPr>
        <w:pStyle w:val="BookText"/>
      </w:pPr>
      <w:r>
        <w:rPr>
          <w:rFonts w:ascii="Amiri" w:hAnsi="Amiri" w:eastAsia="Amiri" w:cs="Amiri"/>
          <w:lang w:bidi="ar-SA"/>
          <w:color w:val="111111"/>
          <w:sz w:val="28"/>
          <w:szCs w:val="28"/>
          <w:rtl/>
        </w:rPr>
        <w:t xml:space="preserve">ابوبكر بن أبي القاسم</w:t>
      </w:r>
    </w:p>
    <w:p>
      <w:pPr>
        <w:pStyle w:val="BookText"/>
      </w:pPr>
      <w:r>
        <w:rPr>
          <w:rFonts w:ascii="Amiri" w:hAnsi="Amiri" w:eastAsia="Amiri" w:cs="Amiri"/>
          <w:lang w:bidi="ar-SA"/>
          <w:color w:val="111111"/>
          <w:sz w:val="28"/>
          <w:szCs w:val="28"/>
          <w:rtl/>
        </w:rPr>
        <w:t xml:space="preserve">حسيني ، ابوبكر بن هدايت</w:t>
      </w:r>
    </w:p>
    <w:p>
      <w:pPr>
        <w:pStyle w:val="BookText"/>
      </w:pPr>
      <w:r>
        <w:rPr>
          <w:rFonts w:ascii="Amiri" w:hAnsi="Amiri" w:eastAsia="Amiri" w:cs="Amiri"/>
          <w:lang w:bidi="ar-SA"/>
          <w:color w:val="111111"/>
          <w:sz w:val="28"/>
          <w:szCs w:val="28"/>
          <w:rtl/>
        </w:rPr>
        <w:t xml:space="preserve">الله - شهرزوري ، حسن بن هداية الله</w:t>
      </w:r>
    </w:p>
    <w:p>
      <w:pPr>
        <w:pStyle w:val="Heading2"/>
      </w:pPr>
      <w:bookmarkStart w:id="3588" w:name="_Toc2690"/>
      <w:r>
        <w:t>حسيني ابوعلي بن محمّد باقر، قرن 12ه-</w:t>
      </w:r>
      <w:bookmarkEnd w:id="3588"/>
    </w:p>
    <w:p>
      <w:pPr>
        <w:pStyle w:val="BookText"/>
      </w:pPr>
      <w:r>
        <w:rPr>
          <w:rFonts w:ascii="IRNazanin" w:hAnsi="IRNazanin" w:eastAsia="IRNazanin" w:cs="IRNazanin"/>
          <w:lang w:bidi="fa-IR"/>
          <w:color w:val="111111"/>
          <w:sz w:val="28"/>
          <w:szCs w:val="28"/>
          <w:rtl/>
        </w:rPr>
        <w:t xml:space="preserve">شرح دوازده امام، ج9، ص 471</w:t>
      </w:r>
    </w:p>
    <w:p>
      <w:pPr>
        <w:pStyle w:val="BookText"/>
      </w:pPr>
      <w:r>
        <w:rPr>
          <w:rFonts w:ascii="IRNazanin" w:hAnsi="IRNazanin" w:eastAsia="IRNazanin" w:cs="IRNazanin"/>
          <w:lang w:bidi="fa-IR"/>
          <w:color w:val="111111"/>
          <w:sz w:val="28"/>
          <w:szCs w:val="28"/>
          <w:rtl/>
        </w:rPr>
        <w:t xml:space="preserve">حسيني ، احمد بن محمّد اردكاني ، احمد بن محمّد ابراهیم</w:t>
      </w:r>
    </w:p>
    <w:p>
      <w:pPr>
        <w:pStyle w:val="Heading2"/>
      </w:pPr>
      <w:bookmarkStart w:id="3589" w:name="_Toc2691"/>
      <w:r>
        <w:t>حسيني ، احمد بن محمّد</w:t>
      </w:r>
      <w:bookmarkEnd w:id="3589"/>
    </w:p>
    <w:p>
      <w:pPr>
        <w:pStyle w:val="BookText"/>
      </w:pPr>
      <w:r>
        <w:rPr>
          <w:rFonts w:ascii="Amiri" w:hAnsi="Amiri" w:eastAsia="Amiri" w:cs="Amiri"/>
          <w:lang w:bidi="ar-SA"/>
          <w:color w:val="111111"/>
          <w:sz w:val="28"/>
          <w:szCs w:val="28"/>
          <w:rtl/>
        </w:rPr>
        <w:t xml:space="preserve">علم الباري بذاته و بمخلوقاته، ج11،</w:t>
      </w:r>
    </w:p>
    <w:p>
      <w:pPr>
        <w:pStyle w:val="BookText"/>
      </w:pPr>
      <w:r>
        <w:rPr>
          <w:rFonts w:ascii="IRNazanin" w:hAnsi="IRNazanin" w:eastAsia="IRNazanin" w:cs="IRNazanin"/>
          <w:lang w:bidi="fa-IR"/>
          <w:color w:val="111111"/>
          <w:sz w:val="28"/>
          <w:szCs w:val="28"/>
          <w:rtl/>
        </w:rPr>
        <w:t xml:space="preserve">ص 232.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7742_70156"/>
    <w:bookmarkEnd w:id="382"/>
    <w:p>
      <w:pPr>
        <w:pStyle w:val="Heading2"/>
      </w:pPr>
      <w:bookmarkStart w:id="3590" w:name="_Toc2692"/>
      <w:r>
        <w:t>حسيني ، احمد بن محمّد قرن 13 ه-</w:t>
      </w:r>
      <w:bookmarkEnd w:id="3590"/>
    </w:p>
    <w:p>
      <w:pPr>
        <w:pStyle w:val="BookText"/>
      </w:pPr>
      <w:r>
        <w:rPr>
          <w:rFonts w:ascii="IRNazanin" w:hAnsi="IRNazanin" w:eastAsia="IRNazanin" w:cs="IRNazanin"/>
          <w:lang w:bidi="fa-IR"/>
          <w:color w:val="111111"/>
          <w:sz w:val="28"/>
          <w:szCs w:val="28"/>
          <w:rtl/>
        </w:rPr>
        <w:t xml:space="preserve">مجموع، ج 14، ص 1.</w:t>
      </w:r>
    </w:p>
    <w:p>
      <w:pPr>
        <w:pStyle w:val="Heading2"/>
      </w:pPr>
      <w:bookmarkStart w:id="3591" w:name="_Toc2693"/>
      <w:r>
        <w:t>حسيني، احمد بن محمّد هادي قرن 12 ه-</w:t>
      </w:r>
      <w:bookmarkEnd w:id="3591"/>
    </w:p>
    <w:p>
      <w:pPr>
        <w:pStyle w:val="BookText"/>
      </w:pPr>
      <w:r>
        <w:rPr>
          <w:rFonts w:ascii="IRNazanin" w:hAnsi="IRNazanin" w:eastAsia="IRNazanin" w:cs="IRNazanin"/>
          <w:lang w:bidi="fa-IR"/>
          <w:color w:val="111111"/>
          <w:sz w:val="28"/>
          <w:szCs w:val="28"/>
          <w:rtl/>
        </w:rPr>
        <w:t xml:space="preserve">ایضاح و مواعظ، ج 3، ص 142.</w:t>
      </w:r>
    </w:p>
    <w:p>
      <w:pPr>
        <w:pStyle w:val="BookText"/>
      </w:pPr>
      <w:r>
        <w:rPr>
          <w:rFonts w:ascii="Amiri" w:hAnsi="Amiri" w:eastAsia="Amiri" w:cs="Amiri"/>
          <w:lang w:bidi="ar-SA"/>
          <w:color w:val="111111"/>
          <w:sz w:val="28"/>
          <w:szCs w:val="28"/>
          <w:rtl/>
        </w:rPr>
        <w:t xml:space="preserve">حسيني احمدي- احمدي ، يوسف بن</w:t>
      </w:r>
    </w:p>
    <w:p>
      <w:pPr>
        <w:pStyle w:val="BookText"/>
      </w:pPr>
      <w:r>
        <w:rPr>
          <w:rFonts w:ascii="Amiri" w:hAnsi="Amiri" w:eastAsia="Amiri" w:cs="Amiri"/>
          <w:lang w:bidi="ar-SA"/>
          <w:color w:val="111111"/>
          <w:sz w:val="28"/>
          <w:szCs w:val="28"/>
          <w:rtl/>
        </w:rPr>
        <w:t xml:space="preserve">عبد الرحيم</w:t>
      </w:r>
    </w:p>
    <w:p>
      <w:pPr>
        <w:pStyle w:val="Heading2"/>
      </w:pPr>
      <w:bookmarkStart w:id="3592" w:name="_Toc2694"/>
      <w:r>
        <w:t>حسيني ادهمي ، محمّد امین بن محمّد</w:t>
      </w:r>
      <w:bookmarkEnd w:id="35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1213ه-</w:t>
      </w:r>
    </w:p>
    <w:p>
      <w:pPr>
        <w:pStyle w:val="BookText"/>
      </w:pPr>
      <w:r>
        <w:rPr>
          <w:rFonts w:ascii="Amiri" w:hAnsi="Amiri" w:eastAsia="Amiri" w:cs="Amiri"/>
          <w:lang w:bidi="ar-SA"/>
          <w:color w:val="111111"/>
          <w:sz w:val="28"/>
          <w:szCs w:val="28"/>
          <w:rtl/>
        </w:rPr>
        <w:t xml:space="preserve">الجوهر الثمين في شرح ام البراهين</w:t>
      </w:r>
    </w:p>
    <w:p>
      <w:pPr>
        <w:pStyle w:val="BookText"/>
      </w:pPr>
      <w:r>
        <w:rPr>
          <w:rFonts w:ascii="IRNazanin" w:hAnsi="IRNazanin" w:eastAsia="IRNazanin" w:cs="IRNazanin"/>
          <w:lang w:bidi="fa-IR"/>
          <w:color w:val="111111"/>
          <w:sz w:val="28"/>
          <w:szCs w:val="28"/>
          <w:rtl/>
        </w:rPr>
        <w:t xml:space="preserve">(مختصر)، ج 5، ص 620 .</w:t>
      </w:r>
    </w:p>
    <w:p>
      <w:pPr>
        <w:pStyle w:val="Heading2"/>
      </w:pPr>
      <w:bookmarkStart w:id="3593" w:name="_Toc2695"/>
      <w:r>
        <w:t>حسيني اردستاني ، معزالدین بن</w:t>
      </w:r>
      <w:bookmarkEnd w:id="3593"/>
    </w:p>
    <w:p>
      <w:pPr>
        <w:pStyle w:val="BookText"/>
      </w:pPr>
      <w:r>
        <w:rPr>
          <w:rFonts w:ascii="Amiri" w:hAnsi="Amiri" w:eastAsia="Amiri" w:cs="Amiri"/>
          <w:lang w:bidi="ar-SA"/>
          <w:color w:val="111111"/>
          <w:sz w:val="28"/>
          <w:szCs w:val="28"/>
          <w:rtl/>
        </w:rPr>
        <w:t xml:space="preserve">ظهير الدين - 1058 ه-</w:t>
      </w:r>
    </w:p>
    <w:p>
      <w:pPr>
        <w:pStyle w:val="BookText"/>
      </w:pPr>
      <w:r>
        <w:rPr>
          <w:rFonts w:ascii="Amiri" w:hAnsi="Amiri" w:eastAsia="Amiri" w:cs="Amiri"/>
          <w:lang w:bidi="ar-SA"/>
          <w:color w:val="111111"/>
          <w:sz w:val="28"/>
          <w:szCs w:val="28"/>
          <w:rtl/>
        </w:rPr>
        <w:t xml:space="preserve">كاشف الحق = كاشف الاسرار =</w:t>
      </w:r>
    </w:p>
    <w:p>
      <w:pPr>
        <w:pStyle w:val="BookText"/>
      </w:pPr>
      <w:r>
        <w:rPr>
          <w:rFonts w:ascii="Amiri" w:hAnsi="Amiri" w:eastAsia="Amiri" w:cs="Amiri"/>
          <w:lang w:bidi="ar-SA"/>
          <w:color w:val="111111"/>
          <w:sz w:val="28"/>
          <w:szCs w:val="28"/>
          <w:rtl/>
        </w:rPr>
        <w:t xml:space="preserve">هدايت العالمين = فوز النجاة، ج13،</w:t>
      </w:r>
    </w:p>
    <w:p>
      <w:pPr>
        <w:pStyle w:val="BookText"/>
      </w:pPr>
      <w:r>
        <w:rPr>
          <w:rFonts w:ascii="IRNazanin" w:hAnsi="IRNazanin" w:eastAsia="IRNazanin" w:cs="IRNazanin"/>
          <w:lang w:bidi="fa-IR"/>
          <w:color w:val="111111"/>
          <w:sz w:val="28"/>
          <w:szCs w:val="28"/>
          <w:rtl/>
        </w:rPr>
        <w:t xml:space="preserve">ص 7 .</w:t>
      </w:r>
    </w:p>
    <w:p>
      <w:pPr>
        <w:pStyle w:val="BookText"/>
      </w:pPr>
      <w:r>
        <w:rPr>
          <w:rFonts w:ascii="IRNazanin" w:hAnsi="IRNazanin" w:eastAsia="IRNazanin" w:cs="IRNazanin"/>
          <w:lang w:bidi="fa-IR"/>
          <w:color w:val="111111"/>
          <w:sz w:val="28"/>
          <w:szCs w:val="28"/>
          <w:rtl/>
        </w:rPr>
        <w:t xml:space="preserve">حسيني اردكاني يزدي ، احمد بن محمّد- اردكاني ، احمد بن محمّد ابراهیم</w:t>
      </w:r>
    </w:p>
    <w:p>
      <w:pPr>
        <w:pStyle w:val="Heading2"/>
      </w:pPr>
      <w:bookmarkStart w:id="3594" w:name="_Toc2696"/>
      <w:r>
        <w:t>حسيني ارميوني ، يوسف بن عبدالله</w:t>
      </w:r>
      <w:bookmarkEnd w:id="3594"/>
    </w:p>
    <w:p>
      <w:pPr>
        <w:pStyle w:val="BookText"/>
      </w:pPr>
      <w:r>
        <w:rPr>
          <w:rFonts w:ascii="IRNazanin" w:hAnsi="IRNazanin" w:eastAsia="IRNazanin" w:cs="IRNazanin"/>
          <w:lang w:bidi="fa-IR"/>
          <w:color w:val="111111"/>
          <w:sz w:val="28"/>
          <w:szCs w:val="28"/>
          <w:rtl/>
        </w:rPr>
        <w:t xml:space="preserve">958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الاتحاف بتمييز ما تبع فيه البيضاوي صاحب الكشاف، ج1،</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Amiri" w:hAnsi="Amiri" w:eastAsia="Amiri" w:cs="Amiri"/>
          <w:lang w:bidi="ar-SA"/>
          <w:color w:val="111111"/>
          <w:sz w:val="28"/>
          <w:szCs w:val="28"/>
          <w:rtl/>
        </w:rPr>
        <w:t xml:space="preserve">2.الاربعون حديثاً، ج 1 ، ص 696.</w:t>
      </w:r>
    </w:p>
    <w:p>
      <w:pPr>
        <w:pStyle w:val="BookText"/>
      </w:pPr>
      <w:r>
        <w:rPr>
          <w:rFonts w:ascii="Amiri" w:hAnsi="Amiri" w:eastAsia="Amiri" w:cs="Amiri"/>
          <w:lang w:bidi="ar-SA"/>
          <w:color w:val="111111"/>
          <w:sz w:val="28"/>
          <w:szCs w:val="28"/>
          <w:rtl/>
        </w:rPr>
        <w:t xml:space="preserve">3.اربعون حديثا في فضل سورة</w:t>
      </w:r>
    </w:p>
    <w:p>
      <w:pPr>
        <w:pStyle w:val="BookText"/>
      </w:pPr>
      <w:r>
        <w:rPr>
          <w:rFonts w:ascii="Amiri" w:hAnsi="Amiri" w:eastAsia="Amiri" w:cs="Amiri"/>
          <w:lang w:bidi="ar-SA"/>
          <w:color w:val="111111"/>
          <w:sz w:val="28"/>
          <w:szCs w:val="28"/>
          <w:rtl/>
        </w:rPr>
        <w:t xml:space="preserve">شرف الدين علي</w:t>
      </w:r>
    </w:p>
    <w:p>
      <w:pPr>
        <w:pStyle w:val="BookText"/>
      </w:pPr>
      <w:r>
        <w:rPr>
          <w:rFonts w:ascii="IRNazanin" w:hAnsi="IRNazanin" w:eastAsia="IRNazanin" w:cs="IRNazanin"/>
          <w:lang w:bidi="fa-IR"/>
          <w:color w:val="111111"/>
          <w:sz w:val="28"/>
          <w:szCs w:val="28"/>
          <w:rtl/>
        </w:rPr>
        <w:t xml:space="preserve">الاخلاص، ج 1، ص730.</w:t>
      </w:r>
    </w:p>
    <w:p>
      <w:pPr>
        <w:pStyle w:val="BookText"/>
      </w:pPr>
      <w:r>
        <w:rPr>
          <w:rFonts w:ascii="Amiri" w:hAnsi="Amiri" w:eastAsia="Amiri" w:cs="Amiri"/>
          <w:lang w:bidi="ar-SA"/>
          <w:color w:val="111111"/>
          <w:sz w:val="28"/>
          <w:szCs w:val="28"/>
          <w:rtl/>
        </w:rPr>
        <w:t xml:space="preserve">حسيني ازبكي ، محمّد مراد بن</w:t>
      </w:r>
    </w:p>
    <w:p>
      <w:pPr>
        <w:pStyle w:val="BookText"/>
      </w:pPr>
      <w:r>
        <w:rPr>
          <w:rFonts w:ascii="Amiri" w:hAnsi="Amiri" w:eastAsia="Amiri" w:cs="Amiri"/>
          <w:lang w:bidi="ar-SA"/>
          <w:color w:val="111111"/>
          <w:sz w:val="28"/>
          <w:szCs w:val="28"/>
          <w:rtl/>
        </w:rPr>
        <w:t xml:space="preserve">علي -مرادي، محمّد مراد بن علي</w:t>
      </w:r>
    </w:p>
    <w:p>
      <w:pPr>
        <w:pStyle w:val="Heading2"/>
      </w:pPr>
      <w:bookmarkStart w:id="3595" w:name="_Toc2697"/>
      <w:r>
        <w:t>حسيني ازغدي ، ابوتراب بن ابوالحسن</w:t>
      </w:r>
      <w:bookmarkEnd w:id="3595"/>
    </w:p>
    <w:p>
      <w:pPr>
        <w:pStyle w:val="BookText"/>
      </w:pPr>
      <w:r>
        <w:rPr>
          <w:rFonts w:ascii="IRNazanin" w:hAnsi="IRNazanin" w:eastAsia="IRNazanin" w:cs="IRNazanin"/>
          <w:lang w:bidi="fa-IR"/>
          <w:color w:val="111111"/>
          <w:sz w:val="28"/>
          <w:szCs w:val="28"/>
          <w:rtl/>
        </w:rPr>
        <w:t xml:space="preserve">قرن 10 ه-</w:t>
      </w:r>
    </w:p>
    <w:p>
      <w:pPr>
        <w:pStyle w:val="BookText"/>
      </w:pPr>
      <w:r>
        <w:rPr>
          <w:rFonts w:ascii="Amiri" w:hAnsi="Amiri" w:eastAsia="Amiri" w:cs="Amiri"/>
          <w:lang w:bidi="ar-SA"/>
          <w:color w:val="111111"/>
          <w:sz w:val="28"/>
          <w:szCs w:val="28"/>
          <w:rtl/>
        </w:rPr>
        <w:t xml:space="preserve">اصول الدين، ج2، ص 412.</w:t>
      </w:r>
    </w:p>
    <w:p>
      <w:pPr>
        <w:pStyle w:val="BookText"/>
      </w:pPr>
      <w:r>
        <w:rPr>
          <w:rFonts w:ascii="Amiri" w:hAnsi="Amiri" w:eastAsia="Amiri" w:cs="Amiri"/>
          <w:lang w:bidi="ar-SA"/>
          <w:color w:val="111111"/>
          <w:sz w:val="28"/>
          <w:szCs w:val="28"/>
          <w:rtl/>
        </w:rPr>
        <w:t xml:space="preserve">حسيني استرآبادي ، حسن بن محمّد- استرآبادي ، حسن بن محمّد</w:t>
      </w:r>
    </w:p>
    <w:p>
      <w:pPr>
        <w:pStyle w:val="Heading2"/>
      </w:pPr>
      <w:bookmarkStart w:id="3596" w:name="_Toc2698"/>
      <w:r>
        <w:t>حسيني استرآبادي ، حسين بن علي، قرن</w:t>
      </w:r>
      <w:bookmarkEnd w:id="3596"/>
    </w:p>
    <w:p>
      <w:pPr>
        <w:pStyle w:val="BookText"/>
      </w:pPr>
      <w:r>
        <w:rPr>
          <w:rFonts w:ascii="IRNazanin" w:hAnsi="IRNazanin" w:eastAsia="IRNazanin" w:cs="IRNazanin"/>
          <w:lang w:bidi="fa-IR"/>
          <w:color w:val="111111"/>
          <w:sz w:val="28"/>
          <w:szCs w:val="28"/>
          <w:rtl/>
        </w:rPr>
        <w:t xml:space="preserve">14ه-</w:t>
      </w:r>
    </w:p>
    <w:p>
      <w:pPr>
        <w:pStyle w:val="BookText"/>
      </w:pPr>
      <w:r>
        <w:rPr>
          <w:rFonts w:ascii="Amiri" w:hAnsi="Amiri" w:eastAsia="Amiri" w:cs="Amiri"/>
          <w:lang w:bidi="ar-SA"/>
          <w:color w:val="111111"/>
          <w:sz w:val="28"/>
          <w:szCs w:val="28"/>
          <w:rtl/>
        </w:rPr>
        <w:t xml:space="preserve">هدية الزائر، ج 16، ص 640 .</w:t>
      </w:r>
    </w:p>
    <w:p>
      <w:pPr>
        <w:pStyle w:val="BookText"/>
      </w:pPr>
      <w:r>
        <w:rPr>
          <w:rFonts w:ascii="Amiri" w:hAnsi="Amiri" w:eastAsia="Amiri" w:cs="Amiri"/>
          <w:lang w:bidi="ar-SA"/>
          <w:color w:val="111111"/>
          <w:sz w:val="28"/>
          <w:szCs w:val="28"/>
          <w:rtl/>
        </w:rPr>
        <w:t xml:space="preserve">حسيني استرآبادي، عبدالحي بن</w:t>
      </w:r>
    </w:p>
    <w:p>
      <w:pPr>
        <w:pStyle w:val="BookText"/>
      </w:pPr>
      <w:r>
        <w:rPr>
          <w:rFonts w:ascii="Amiri" w:hAnsi="Amiri" w:eastAsia="Amiri" w:cs="Amiri"/>
          <w:lang w:bidi="ar-SA"/>
          <w:color w:val="111111"/>
          <w:sz w:val="28"/>
          <w:szCs w:val="28"/>
          <w:rtl/>
        </w:rPr>
        <w:t xml:space="preserve">عبد الوهاب- اشرفي جرجاني ، عبدالحي بن</w:t>
      </w:r>
    </w:p>
    <w:p>
      <w:pPr>
        <w:pStyle w:val="BookText"/>
      </w:pPr>
      <w:r>
        <w:rPr>
          <w:rFonts w:ascii="IRNazanin" w:hAnsi="IRNazanin" w:eastAsia="IRNazanin" w:cs="IRNazanin"/>
          <w:lang w:bidi="fa-IR"/>
          <w:color w:val="111111"/>
          <w:sz w:val="28"/>
          <w:szCs w:val="28"/>
          <w:rtl/>
        </w:rPr>
        <w:t xml:space="preserve">عبد الوهاب</w:t>
      </w:r>
    </w:p>
    <w:p>
      <w:pPr>
        <w:pStyle w:val="Heading2"/>
      </w:pPr>
      <w:bookmarkStart w:id="3597" w:name="_Toc2699"/>
      <w:r>
        <w:t>حسيني استرآبادي ، عبدالوهاب بن علي</w:t>
      </w:r>
      <w:bookmarkEnd w:id="3597"/>
    </w:p>
    <w:p>
      <w:pPr>
        <w:pStyle w:val="BookText"/>
      </w:pPr>
      <w:r>
        <w:rPr>
          <w:rFonts w:ascii="IRNazanin" w:hAnsi="IRNazanin" w:eastAsia="IRNazanin" w:cs="IRNazanin"/>
          <w:lang w:bidi="fa-IR"/>
          <w:color w:val="111111"/>
          <w:sz w:val="28"/>
          <w:szCs w:val="28"/>
          <w:rtl/>
        </w:rPr>
        <w:t xml:space="preserve">قرن 9 ه-</w:t>
      </w:r>
    </w:p>
    <w:p>
      <w:pPr>
        <w:pStyle w:val="BookText"/>
      </w:pPr>
      <w:r>
        <w:rPr>
          <w:rFonts w:ascii="IRNazanin" w:hAnsi="IRNazanin" w:eastAsia="IRNazanin" w:cs="IRNazanin"/>
          <w:lang w:bidi="fa-IR"/>
          <w:color w:val="111111"/>
          <w:sz w:val="28"/>
          <w:szCs w:val="28"/>
          <w:rtl/>
        </w:rPr>
        <w:t xml:space="preserve">1 .إثبات الصانع، ج 1، ص 154.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الانموذج، ج 2، ص828.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تنزيه الانبياء، ج 5، ص 52.</w:t>
      </w:r>
    </w:p>
    <w:p>
      <w:pPr>
        <w:pStyle w:val="BookText"/>
      </w:pPr>
      <w:r>
        <w:rPr>
          <w:rFonts w:ascii="Amiri" w:hAnsi="Amiri" w:eastAsia="Amiri" w:cs="Amiri"/>
          <w:lang w:bidi="ar-SA"/>
          <w:color w:val="111111"/>
          <w:sz w:val="28"/>
          <w:szCs w:val="28"/>
          <w:rtl/>
        </w:rPr>
        <w:t xml:space="preserve">4 .شرح الفصول النصيرية، ج 9،</w:t>
      </w:r>
    </w:p>
    <w:p>
      <w:pPr>
        <w:pStyle w:val="BookText"/>
      </w:pPr>
      <w:r>
        <w:rPr>
          <w:rFonts w:ascii="IRNazanin" w:hAnsi="IRNazanin" w:eastAsia="IRNazanin" w:cs="IRNazanin"/>
          <w:lang w:bidi="fa-IR"/>
          <w:color w:val="111111"/>
          <w:sz w:val="28"/>
          <w:szCs w:val="28"/>
          <w:rtl/>
        </w:rPr>
        <w:t xml:space="preserve">ص 796 .</w:t>
      </w:r>
    </w:p>
    <w:p>
      <w:pPr>
        <w:pStyle w:val="BookText"/>
      </w:pPr>
      <w:r>
        <w:rPr>
          <w:rFonts w:ascii="Amiri" w:hAnsi="Amiri" w:eastAsia="Amiri" w:cs="Amiri"/>
          <w:lang w:bidi="ar-SA"/>
          <w:color w:val="111111"/>
          <w:sz w:val="28"/>
          <w:szCs w:val="28"/>
          <w:rtl/>
        </w:rPr>
        <w:t xml:space="preserve">حسيني استرآبادي ، علي -استرآبادي</w:t>
      </w:r>
    </w:p>
    <w:p>
      <w:pPr>
        <w:pStyle w:val="BookText"/>
      </w:pPr>
      <w:r>
        <w:rPr>
          <w:rFonts w:ascii="Amiri" w:hAnsi="Amiri" w:eastAsia="Amiri" w:cs="Amiri"/>
          <w:lang w:bidi="ar-SA"/>
          <w:color w:val="111111"/>
          <w:sz w:val="28"/>
          <w:szCs w:val="28"/>
          <w:rtl/>
        </w:rPr>
        <w:t xml:space="preserve">حسيني استرآبادي ، محمّد باقر- ميرداماد</w:t>
      </w:r>
    </w:p>
    <w:p>
      <w:pPr>
        <w:pStyle w:val="BookText"/>
      </w:pPr>
      <w:r>
        <w:rPr>
          <w:rFonts w:ascii="Amiri" w:hAnsi="Amiri" w:eastAsia="Amiri" w:cs="Amiri"/>
          <w:lang w:bidi="ar-SA"/>
          <w:color w:val="111111"/>
          <w:sz w:val="28"/>
          <w:szCs w:val="28"/>
          <w:rtl/>
        </w:rPr>
        <w:t xml:space="preserve">محمّد باقر بن محمّد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7742_70158"/>
    <w:bookmarkEnd w:id="383"/>
    <w:p>
      <w:pPr>
        <w:pStyle w:val="BookText"/>
      </w:pPr>
      <w:r>
        <w:rPr>
          <w:rFonts w:ascii="Amiri" w:hAnsi="Amiri" w:eastAsia="Amiri" w:cs="Amiri"/>
          <w:lang w:bidi="ar-SA"/>
          <w:color w:val="111111"/>
          <w:sz w:val="28"/>
          <w:szCs w:val="28"/>
          <w:rtl/>
        </w:rPr>
        <w:t xml:space="preserve">حسيني استرآبادي، محمّد بن</w:t>
      </w:r>
    </w:p>
    <w:p>
      <w:pPr>
        <w:pStyle w:val="BookText"/>
      </w:pPr>
      <w:r>
        <w:rPr>
          <w:rFonts w:ascii="Amiri" w:hAnsi="Amiri" w:eastAsia="Amiri" w:cs="Amiri"/>
          <w:lang w:bidi="ar-SA"/>
          <w:color w:val="111111"/>
          <w:sz w:val="28"/>
          <w:szCs w:val="28"/>
          <w:rtl/>
        </w:rPr>
        <w:t xml:space="preserve">حسين - فخرالدين حسيني ، محمّد بن حسين</w:t>
      </w:r>
    </w:p>
    <w:p>
      <w:pPr>
        <w:pStyle w:val="BookText"/>
      </w:pPr>
      <w:r>
        <w:rPr>
          <w:rFonts w:ascii="Amiri" w:hAnsi="Amiri" w:eastAsia="Amiri" w:cs="Amiri"/>
          <w:lang w:bidi="ar-SA"/>
          <w:color w:val="111111"/>
          <w:sz w:val="28"/>
          <w:szCs w:val="28"/>
          <w:rtl/>
        </w:rPr>
        <w:t xml:space="preserve">حسيني استرآبادي، محمّد بن</w:t>
      </w:r>
    </w:p>
    <w:p>
      <w:pPr>
        <w:pStyle w:val="BookText"/>
      </w:pPr>
      <w:r>
        <w:rPr>
          <w:rFonts w:ascii="Amiri" w:hAnsi="Amiri" w:eastAsia="Amiri" w:cs="Amiri"/>
          <w:lang w:bidi="ar-SA"/>
          <w:color w:val="111111"/>
          <w:sz w:val="28"/>
          <w:szCs w:val="28"/>
          <w:rtl/>
        </w:rPr>
        <w:t xml:space="preserve">علي- استرآبادي، محمّد بن علي</w:t>
      </w:r>
    </w:p>
    <w:p>
      <w:pPr>
        <w:pStyle w:val="Heading2"/>
      </w:pPr>
      <w:bookmarkStart w:id="3598" w:name="_Toc2700"/>
      <w:r>
        <w:t>حسيني استرآبادي ، محمّد تقي بن حسن</w:t>
      </w:r>
      <w:bookmarkEnd w:id="3598"/>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1 .ايقاظ النائمين، ج 3، ص 149 .</w:t>
      </w:r>
    </w:p>
    <w:p>
      <w:pPr>
        <w:pStyle w:val="BookText"/>
      </w:pPr>
      <w:r>
        <w:rPr>
          <w:rFonts w:ascii="Amiri" w:hAnsi="Amiri" w:eastAsia="Amiri" w:cs="Amiri"/>
          <w:lang w:bidi="ar-SA"/>
          <w:color w:val="111111"/>
          <w:sz w:val="28"/>
          <w:szCs w:val="28"/>
          <w:rtl/>
        </w:rPr>
        <w:t xml:space="preserve">2 .حاشية تلخيص المفتاح، جه</w:t>
      </w:r>
    </w:p>
    <w:p>
      <w:pPr>
        <w:pStyle w:val="BookText"/>
      </w:pPr>
      <w:r>
        <w:rPr>
          <w:rFonts w:ascii="IRNazanin" w:hAnsi="IRNazanin" w:eastAsia="IRNazanin" w:cs="IRNazanin"/>
          <w:lang w:bidi="fa-IR"/>
          <w:color w:val="111111"/>
          <w:sz w:val="28"/>
          <w:szCs w:val="28"/>
          <w:rtl/>
        </w:rPr>
        <w:t xml:space="preserve">ص 740.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الحكم (رسالة في)، ج 6 ، ص 732.</w:t>
      </w:r>
    </w:p>
    <w:p>
      <w:pPr>
        <w:pStyle w:val="BookText"/>
      </w:pPr>
      <w:r>
        <w:rPr>
          <w:rFonts w:ascii="Amiri" w:hAnsi="Amiri" w:eastAsia="Amiri" w:cs="Amiri"/>
          <w:lang w:bidi="ar-SA"/>
          <w:color w:val="111111"/>
          <w:sz w:val="28"/>
          <w:szCs w:val="28"/>
          <w:rtl/>
        </w:rPr>
        <w:t xml:space="preserve">4.مناسك الحج، ج 15 ، ص 500.</w:t>
      </w:r>
    </w:p>
    <w:p>
      <w:pPr>
        <w:pStyle w:val="Heading2"/>
      </w:pPr>
      <w:bookmarkStart w:id="3599" w:name="_Toc2701"/>
      <w:r>
        <w:t>حسيني استرآبادي، محمّد مؤمن بن</w:t>
      </w:r>
      <w:bookmarkEnd w:id="3599"/>
    </w:p>
    <w:p>
      <w:pPr>
        <w:pStyle w:val="BookText"/>
      </w:pPr>
      <w:r>
        <w:rPr>
          <w:rFonts w:ascii="IRNazanin" w:hAnsi="IRNazanin" w:eastAsia="IRNazanin" w:cs="IRNazanin"/>
          <w:lang w:bidi="fa-IR"/>
          <w:color w:val="111111"/>
          <w:sz w:val="28"/>
          <w:szCs w:val="28"/>
          <w:rtl/>
        </w:rPr>
        <w:t xml:space="preserve">دوست ،محمّد - 1088 ه-</w:t>
      </w:r>
    </w:p>
    <w:p>
      <w:pPr>
        <w:pStyle w:val="BookText"/>
      </w:pPr>
      <w:r>
        <w:rPr>
          <w:rFonts w:ascii="Amiri" w:hAnsi="Amiri" w:eastAsia="Amiri" w:cs="Amiri"/>
          <w:lang w:bidi="ar-SA"/>
          <w:color w:val="111111"/>
          <w:sz w:val="28"/>
          <w:szCs w:val="28"/>
          <w:rtl/>
        </w:rPr>
        <w:t xml:space="preserve">الرجعة وظهور الحجة و الاخبار المأثورة فيها عن آل العصمة = اثبات</w:t>
      </w:r>
    </w:p>
    <w:p>
      <w:pPr>
        <w:pStyle w:val="BookText"/>
      </w:pPr>
      <w:r>
        <w:rPr>
          <w:rFonts w:ascii="Amiri" w:hAnsi="Amiri" w:eastAsia="Amiri" w:cs="Amiri"/>
          <w:lang w:bidi="ar-SA"/>
          <w:color w:val="111111"/>
          <w:sz w:val="28"/>
          <w:szCs w:val="28"/>
          <w:rtl/>
        </w:rPr>
        <w:t xml:space="preserve">الرجعة، ج8، ص 61.</w:t>
      </w:r>
    </w:p>
    <w:p>
      <w:pPr>
        <w:pStyle w:val="BookText"/>
      </w:pPr>
      <w:r>
        <w:rPr>
          <w:rFonts w:ascii="IRNazanin" w:hAnsi="IRNazanin" w:eastAsia="IRNazanin" w:cs="IRNazanin"/>
          <w:lang w:bidi="fa-IR"/>
          <w:color w:val="111111"/>
          <w:sz w:val="28"/>
          <w:szCs w:val="28"/>
          <w:rtl/>
        </w:rPr>
        <w:t xml:space="preserve">حسيني استرآبادي ، محمّد معصوم بن محمّد امين- استرآبادي، محمّد معصوم بن محمّد امین</w:t>
      </w:r>
    </w:p>
    <w:p>
      <w:pPr>
        <w:pStyle w:val="Heading2"/>
      </w:pPr>
      <w:bookmarkStart w:id="3600" w:name="_Toc2702"/>
      <w:r>
        <w:t>حسيني استرآبادي ، نصر الله بن حسن</w:t>
      </w:r>
      <w:bookmarkEnd w:id="3600"/>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خطبة شريفة، ج 7، ص 51.</w:t>
      </w:r>
    </w:p>
    <w:p>
      <w:pPr>
        <w:pStyle w:val="BookText"/>
      </w:pPr>
      <w:r>
        <w:rPr>
          <w:rFonts w:ascii="IRNazanin" w:hAnsi="IRNazanin" w:eastAsia="IRNazanin" w:cs="IRNazanin"/>
          <w:lang w:bidi="fa-IR"/>
          <w:color w:val="111111"/>
          <w:sz w:val="28"/>
          <w:szCs w:val="28"/>
          <w:rtl/>
        </w:rPr>
        <w:t xml:space="preserve">حسيني ، اسدالله شاه میر - شاهمیر ،</w:t>
      </w:r>
    </w:p>
    <w:p>
      <w:pPr>
        <w:pStyle w:val="BookText"/>
      </w:pPr>
      <w:r>
        <w:rPr>
          <w:rFonts w:ascii="Amiri" w:hAnsi="Amiri" w:eastAsia="Amiri" w:cs="Amiri"/>
          <w:lang w:bidi="ar-SA"/>
          <w:color w:val="111111"/>
          <w:sz w:val="28"/>
          <w:szCs w:val="28"/>
          <w:rtl/>
        </w:rPr>
        <w:t xml:space="preserve">اسدالله بن علي</w:t>
      </w:r>
    </w:p>
    <w:p>
      <w:pPr>
        <w:pStyle w:val="BookText"/>
      </w:pPr>
      <w:r>
        <w:rPr>
          <w:rFonts w:ascii="Amiri" w:hAnsi="Amiri" w:eastAsia="Amiri" w:cs="Amiri"/>
          <w:lang w:bidi="ar-SA"/>
          <w:color w:val="111111"/>
          <w:sz w:val="28"/>
          <w:szCs w:val="28"/>
          <w:rtl/>
        </w:rPr>
        <w:t xml:space="preserve">حسيني اشرفي جرجاني ، عبد الحي بن عبد الوهاب- اشرفي جرجاني ، عبد الحي بن عبد الوهاب</w:t>
      </w:r>
    </w:p>
    <w:p>
      <w:pPr>
        <w:pStyle w:val="Heading2"/>
      </w:pPr>
      <w:bookmarkStart w:id="3601" w:name="_Toc2703"/>
      <w:r>
        <w:t>حسيني اشكوري ، حسين بن محمّد قاسم</w:t>
      </w:r>
      <w:bookmarkEnd w:id="3601"/>
    </w:p>
    <w:p>
      <w:pPr>
        <w:pStyle w:val="BookText"/>
      </w:pPr>
      <w:r>
        <w:rPr>
          <w:rFonts w:ascii="Amiri" w:hAnsi="Amiri" w:eastAsia="Amiri" w:cs="Amiri"/>
          <w:lang w:bidi="ar-SA"/>
          <w:color w:val="111111"/>
          <w:sz w:val="28"/>
          <w:szCs w:val="28"/>
          <w:rtl/>
        </w:rPr>
        <w:t xml:space="preserve">شرح الزيارة الجامعة، ج 9، ص 579.</w:t>
      </w:r>
    </w:p>
    <w:p>
      <w:pPr>
        <w:pStyle w:val="Heading2"/>
      </w:pPr>
      <w:bookmarkStart w:id="3602" w:name="_Toc2704"/>
      <w:r>
        <w:t>حسيني اصبهاني ، محمّد حسین بن محمّد</w:t>
      </w:r>
      <w:bookmarkEnd w:id="3602"/>
    </w:p>
    <w:p>
      <w:pPr>
        <w:pStyle w:val="BookText"/>
      </w:pPr>
      <w:r>
        <w:rPr>
          <w:rFonts w:ascii="Amiri" w:hAnsi="Amiri" w:eastAsia="Amiri" w:cs="Amiri"/>
          <w:lang w:bidi="ar-SA"/>
          <w:color w:val="111111"/>
          <w:sz w:val="28"/>
          <w:szCs w:val="28"/>
          <w:rtl/>
        </w:rPr>
        <w:t xml:space="preserve">شمس الدين</w:t>
      </w:r>
    </w:p>
    <w:p>
      <w:pPr>
        <w:pStyle w:val="BookText"/>
      </w:pPr>
      <w:r>
        <w:rPr>
          <w:rFonts w:ascii="IRNazanin" w:hAnsi="IRNazanin" w:eastAsia="IRNazanin" w:cs="IRNazanin"/>
          <w:lang w:bidi="fa-IR"/>
          <w:color w:val="111111"/>
          <w:sz w:val="28"/>
          <w:szCs w:val="28"/>
          <w:rtl/>
        </w:rPr>
        <w:t xml:space="preserve">دستور انشاء، ج 7، ص378.</w:t>
      </w:r>
    </w:p>
    <w:p>
      <w:pPr>
        <w:pStyle w:val="Heading2"/>
      </w:pPr>
      <w:bookmarkStart w:id="3603" w:name="_Toc2705"/>
      <w:r>
        <w:t>حسيني اصفهاني ، حسين بن عبدالله</w:t>
      </w:r>
      <w:bookmarkEnd w:id="3603"/>
    </w:p>
    <w:p>
      <w:pPr>
        <w:pStyle w:val="BookText"/>
      </w:pPr>
      <w:r>
        <w:rPr>
          <w:rFonts w:ascii="Amiri" w:hAnsi="Amiri" w:eastAsia="Amiri" w:cs="Amiri"/>
          <w:lang w:bidi="ar-SA"/>
          <w:color w:val="111111"/>
          <w:sz w:val="28"/>
          <w:szCs w:val="28"/>
          <w:rtl/>
        </w:rPr>
        <w:t xml:space="preserve">المذاهب الجديدة في هيئة العلماء</w:t>
      </w:r>
    </w:p>
    <w:p>
      <w:pPr>
        <w:pStyle w:val="BookText"/>
      </w:pPr>
      <w:r>
        <w:rPr>
          <w:rFonts w:ascii="Amiri" w:hAnsi="Amiri" w:eastAsia="Amiri" w:cs="Amiri"/>
          <w:lang w:bidi="ar-SA"/>
          <w:color w:val="111111"/>
          <w:sz w:val="28"/>
          <w:szCs w:val="28"/>
          <w:rtl/>
        </w:rPr>
        <w:t xml:space="preserve">الفلاسفة الافرنجة، ج 14، ص 338.</w:t>
      </w:r>
    </w:p>
    <w:p>
      <w:pPr>
        <w:pStyle w:val="BookText"/>
      </w:pPr>
      <w:r>
        <w:rPr>
          <w:rFonts w:ascii="Amiri" w:hAnsi="Amiri" w:eastAsia="Amiri" w:cs="Amiri"/>
          <w:lang w:bidi="ar-SA"/>
          <w:color w:val="111111"/>
          <w:sz w:val="28"/>
          <w:szCs w:val="28"/>
          <w:rtl/>
        </w:rPr>
        <w:t xml:space="preserve">حسيني اصفهاني ، عبد الباقي بن محمّد حسين - خاتون آبادي ، عبد الباقي بن محمّد</w:t>
      </w:r>
    </w:p>
    <w:p>
      <w:pPr>
        <w:pStyle w:val="BookText"/>
      </w:pPr>
      <w:r>
        <w:rPr>
          <w:rFonts w:ascii="Amiri" w:hAnsi="Amiri" w:eastAsia="Amiri" w:cs="Amiri"/>
          <w:lang w:bidi="ar-SA"/>
          <w:color w:val="111111"/>
          <w:sz w:val="28"/>
          <w:szCs w:val="28"/>
          <w:rtl/>
        </w:rPr>
        <w:t xml:space="preserve">حسين</w:t>
      </w:r>
    </w:p>
    <w:p>
      <w:pPr>
        <w:pStyle w:val="Heading2"/>
      </w:pPr>
      <w:bookmarkStart w:id="3604" w:name="_Toc2706"/>
      <w:r>
        <w:t>حسيني اصفهاني ، عبد العظيم بن عليرضا</w:t>
      </w:r>
      <w:bookmarkEnd w:id="3604"/>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IRNazanin" w:hAnsi="IRNazanin" w:eastAsia="IRNazanin" w:cs="IRNazanin"/>
          <w:lang w:bidi="fa-IR"/>
          <w:color w:val="111111"/>
          <w:sz w:val="28"/>
          <w:szCs w:val="28"/>
          <w:rtl/>
        </w:rPr>
        <w:t xml:space="preserve">المعاني والبیان، ج 14، ص892.</w:t>
      </w:r>
    </w:p>
    <w:p>
      <w:pPr>
        <w:pStyle w:val="BookText"/>
      </w:pPr>
      <w:r>
        <w:rPr>
          <w:rFonts w:ascii="IRNazanin" w:hAnsi="IRNazanin" w:eastAsia="IRNazanin" w:cs="IRNazanin"/>
          <w:lang w:bidi="fa-IR"/>
          <w:color w:val="111111"/>
          <w:sz w:val="28"/>
          <w:szCs w:val="28"/>
          <w:rtl/>
        </w:rPr>
        <w:t xml:space="preserve">حسيني اصفهاني ، علي بن علي امیران- امیران حسيني ، علي بن علي</w:t>
      </w:r>
    </w:p>
    <w:p>
      <w:pPr>
        <w:pStyle w:val="Heading2"/>
      </w:pPr>
      <w:bookmarkStart w:id="3605" w:name="_Toc2707"/>
      <w:r>
        <w:t>حسيني اصفهاني ، محمّد جعفر بن محمّد</w:t>
      </w:r>
      <w:bookmarkEnd w:id="3605"/>
    </w:p>
    <w:p>
      <w:pPr>
        <w:pStyle w:val="BookText"/>
      </w:pPr>
      <w:r>
        <w:rPr>
          <w:rFonts w:ascii="Amiri" w:hAnsi="Amiri" w:eastAsia="Amiri" w:cs="Amiri"/>
          <w:lang w:bidi="ar-SA"/>
          <w:color w:val="111111"/>
          <w:sz w:val="28"/>
          <w:szCs w:val="28"/>
          <w:rtl/>
        </w:rPr>
        <w:t xml:space="preserve">علي قرن 14 ه-</w:t>
      </w:r>
    </w:p>
    <w:p>
      <w:pPr>
        <w:pStyle w:val="BookText"/>
      </w:pPr>
      <w:r>
        <w:rPr>
          <w:rFonts w:ascii="Amiri" w:hAnsi="Amiri" w:eastAsia="Amiri" w:cs="Amiri"/>
          <w:lang w:bidi="ar-SA"/>
          <w:color w:val="111111"/>
          <w:sz w:val="28"/>
          <w:szCs w:val="28"/>
          <w:rtl/>
        </w:rPr>
        <w:t xml:space="preserve">1 .اصالة البرائة و التعادل و التراجح</w:t>
      </w:r>
    </w:p>
    <w:p>
      <w:pPr>
        <w:pStyle w:val="BookText"/>
      </w:pPr>
      <w:r>
        <w:rPr>
          <w:rFonts w:ascii="IRNazanin" w:hAnsi="IRNazanin" w:eastAsia="IRNazanin" w:cs="IRNazanin"/>
          <w:lang w:bidi="fa-IR"/>
          <w:color w:val="111111"/>
          <w:sz w:val="28"/>
          <w:szCs w:val="28"/>
          <w:rtl/>
        </w:rPr>
        <w:t xml:space="preserve">ج 2، ص 354 .</w:t>
      </w:r>
    </w:p>
    <w:p>
      <w:pPr>
        <w:pStyle w:val="BookText"/>
      </w:pPr>
      <w:r>
        <w:rPr>
          <w:rFonts w:ascii="Amiri" w:hAnsi="Amiri" w:eastAsia="Amiri" w:cs="Amiri"/>
          <w:lang w:bidi="ar-SA"/>
          <w:color w:val="111111"/>
          <w:sz w:val="28"/>
          <w:szCs w:val="28"/>
          <w:rtl/>
        </w:rPr>
        <w:t xml:space="preserve">2 .تقريرات الاصول، ج 4، ص 743 .</w:t>
      </w:r>
    </w:p>
    <w:p>
      <w:pPr>
        <w:pStyle w:val="BookText"/>
      </w:pPr>
      <w:r>
        <w:rPr>
          <w:rFonts w:ascii="Amiri" w:hAnsi="Amiri" w:eastAsia="Amiri" w:cs="Amiri"/>
          <w:lang w:bidi="ar-SA"/>
          <w:color w:val="111111"/>
          <w:sz w:val="28"/>
          <w:szCs w:val="28"/>
          <w:rtl/>
        </w:rPr>
        <w:t xml:space="preserve">3 .حجية الاستصحاب، ج 6، ص 494.</w:t>
      </w:r>
    </w:p>
    <w:p>
      <w:pPr>
        <w:pStyle w:val="BookText"/>
      </w:pPr>
      <w:r>
        <w:rPr>
          <w:rFonts w:ascii="Amiri" w:hAnsi="Amiri" w:eastAsia="Amiri" w:cs="Amiri"/>
          <w:lang w:bidi="ar-SA"/>
          <w:color w:val="111111"/>
          <w:sz w:val="28"/>
          <w:szCs w:val="28"/>
          <w:rtl/>
        </w:rPr>
        <w:t xml:space="preserve">4 .حجية القطع و الظن، ج 6، ص 505.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7742_70160"/>
    <w:bookmarkEnd w:id="384"/>
    <w:p>
      <w:pPr>
        <w:pStyle w:val="Heading2"/>
      </w:pPr>
      <w:bookmarkStart w:id="3606" w:name="_Toc2708"/>
      <w:r>
        <w:t>حسيني اصفهاني محمّد شفیع قرن 11 ه-</w:t>
      </w:r>
      <w:bookmarkEnd w:id="3606"/>
    </w:p>
    <w:p>
      <w:pPr>
        <w:pStyle w:val="BookText"/>
      </w:pPr>
      <w:r>
        <w:rPr>
          <w:rFonts w:ascii="Amiri" w:hAnsi="Amiri" w:eastAsia="Amiri" w:cs="Amiri"/>
          <w:lang w:bidi="ar-SA"/>
          <w:color w:val="111111"/>
          <w:sz w:val="28"/>
          <w:szCs w:val="28"/>
          <w:rtl/>
        </w:rPr>
        <w:t xml:space="preserve">بحر الفوائد و عقد الفرايد، ج3</w:t>
      </w:r>
    </w:p>
    <w:p>
      <w:pPr>
        <w:pStyle w:val="BookText"/>
      </w:pPr>
      <w:r>
        <w:rPr>
          <w:rFonts w:ascii="IRNazanin" w:hAnsi="IRNazanin" w:eastAsia="IRNazanin" w:cs="IRNazanin"/>
          <w:lang w:bidi="fa-IR"/>
          <w:color w:val="111111"/>
          <w:sz w:val="28"/>
          <w:szCs w:val="28"/>
          <w:rtl/>
        </w:rPr>
        <w:t xml:space="preserve">ص 224.</w:t>
      </w:r>
    </w:p>
    <w:p>
      <w:pPr>
        <w:pStyle w:val="Heading2"/>
      </w:pPr>
      <w:bookmarkStart w:id="3607" w:name="_Toc2709"/>
      <w:r>
        <w:t>حسيني اصفهاني ، محمّد مهدي بن</w:t>
      </w:r>
      <w:bookmarkEnd w:id="3607"/>
    </w:p>
    <w:p>
      <w:pPr>
        <w:pStyle w:val="BookText"/>
      </w:pPr>
      <w:r>
        <w:rPr>
          <w:rFonts w:ascii="IRNazanin" w:hAnsi="IRNazanin" w:eastAsia="IRNazanin" w:cs="IRNazanin"/>
          <w:lang w:bidi="fa-IR"/>
          <w:color w:val="111111"/>
          <w:sz w:val="28"/>
          <w:szCs w:val="28"/>
          <w:rtl/>
        </w:rPr>
        <w:t xml:space="preserve">هدایت الله، 1152 - 1218 ه-</w:t>
      </w:r>
    </w:p>
    <w:p>
      <w:pPr>
        <w:pStyle w:val="BookText"/>
      </w:pPr>
      <w:r>
        <w:rPr>
          <w:rFonts w:ascii="Amiri" w:hAnsi="Amiri" w:eastAsia="Amiri" w:cs="Amiri"/>
          <w:lang w:bidi="ar-SA"/>
          <w:color w:val="111111"/>
          <w:sz w:val="28"/>
          <w:szCs w:val="28"/>
          <w:rtl/>
        </w:rPr>
        <w:t xml:space="preserve">نبراس الهداية في شرح الكفاية = شرح</w:t>
      </w:r>
    </w:p>
    <w:p>
      <w:pPr>
        <w:pStyle w:val="BookText"/>
      </w:pPr>
      <w:r>
        <w:rPr>
          <w:rFonts w:ascii="Amiri" w:hAnsi="Amiri" w:eastAsia="Amiri" w:cs="Amiri"/>
          <w:lang w:bidi="ar-SA"/>
          <w:color w:val="111111"/>
          <w:sz w:val="28"/>
          <w:szCs w:val="28"/>
          <w:rtl/>
        </w:rPr>
        <w:t xml:space="preserve">كفاية الاحكام، ج 16، ص 122.</w:t>
      </w:r>
    </w:p>
    <w:p>
      <w:pPr>
        <w:pStyle w:val="BookText"/>
      </w:pPr>
      <w:r>
        <w:rPr>
          <w:rFonts w:ascii="Amiri" w:hAnsi="Amiri" w:eastAsia="Amiri" w:cs="Amiri"/>
          <w:lang w:bidi="ar-SA"/>
          <w:color w:val="111111"/>
          <w:sz w:val="28"/>
          <w:szCs w:val="28"/>
          <w:rtl/>
        </w:rPr>
        <w:t xml:space="preserve">حسيني اصفهاني ميرزا علي اكبر بن ميرزا مهدي- موسوي حسيني ، علي اكبر بن مهدي</w:t>
      </w:r>
    </w:p>
    <w:p>
      <w:pPr>
        <w:pStyle w:val="Heading2"/>
      </w:pPr>
      <w:bookmarkStart w:id="3608" w:name="_Toc2710"/>
      <w:r>
        <w:t>حسيني اعرجي ، جعفر بن محمّد</w:t>
      </w:r>
      <w:bookmarkEnd w:id="3608"/>
    </w:p>
    <w:p>
      <w:pPr>
        <w:pStyle w:val="BookText"/>
      </w:pPr>
      <w:r>
        <w:rPr>
          <w:rFonts w:ascii="IRNazanin" w:hAnsi="IRNazanin" w:eastAsia="IRNazanin" w:cs="IRNazanin"/>
          <w:lang w:bidi="fa-IR"/>
          <w:color w:val="111111"/>
          <w:sz w:val="28"/>
          <w:szCs w:val="28"/>
          <w:rtl/>
        </w:rPr>
        <w:t xml:space="preserve">1332ه-</w:t>
      </w:r>
    </w:p>
    <w:p>
      <w:pPr>
        <w:pStyle w:val="BookText"/>
      </w:pPr>
      <w:r>
        <w:rPr>
          <w:rFonts w:ascii="Amiri" w:hAnsi="Amiri" w:eastAsia="Amiri" w:cs="Amiri"/>
          <w:lang w:bidi="ar-SA"/>
          <w:color w:val="111111"/>
          <w:sz w:val="28"/>
          <w:szCs w:val="28"/>
          <w:rtl/>
        </w:rPr>
        <w:t xml:space="preserve">1 .الدر المنثور في انساب المعارف و</w:t>
      </w:r>
    </w:p>
    <w:p>
      <w:pPr>
        <w:pStyle w:val="BookText"/>
      </w:pPr>
      <w:r>
        <w:rPr>
          <w:rFonts w:ascii="IRNazanin" w:hAnsi="IRNazanin" w:eastAsia="IRNazanin" w:cs="IRNazanin"/>
          <w:lang w:bidi="fa-IR"/>
          <w:color w:val="111111"/>
          <w:sz w:val="28"/>
          <w:szCs w:val="28"/>
          <w:rtl/>
        </w:rPr>
        <w:t xml:space="preserve">الصدور، ج 7، ص 341.</w:t>
      </w:r>
    </w:p>
    <w:p>
      <w:pPr>
        <w:pStyle w:val="BookText"/>
      </w:pPr>
      <w:r>
        <w:rPr>
          <w:rFonts w:ascii="Amiri" w:hAnsi="Amiri" w:eastAsia="Amiri" w:cs="Amiri"/>
          <w:lang w:bidi="ar-SA"/>
          <w:color w:val="111111"/>
          <w:sz w:val="28"/>
          <w:szCs w:val="28"/>
          <w:rtl/>
        </w:rPr>
        <w:t xml:space="preserve">2 .الفلك السائر في انساب القبائل و</w:t>
      </w:r>
    </w:p>
    <w:p>
      <w:pPr>
        <w:pStyle w:val="BookText"/>
      </w:pPr>
      <w:r>
        <w:rPr>
          <w:rFonts w:ascii="IRNazanin" w:hAnsi="IRNazanin" w:eastAsia="IRNazanin" w:cs="IRNazanin"/>
          <w:lang w:bidi="fa-IR"/>
          <w:color w:val="111111"/>
          <w:sz w:val="28"/>
          <w:szCs w:val="28"/>
          <w:rtl/>
        </w:rPr>
        <w:t xml:space="preserve">العشائر، ج 12، ص133.</w:t>
      </w:r>
    </w:p>
    <w:p>
      <w:pPr>
        <w:pStyle w:val="BookText"/>
      </w:pPr>
      <w:r>
        <w:rPr>
          <w:rFonts w:ascii="Amiri" w:hAnsi="Amiri" w:eastAsia="Amiri" w:cs="Amiri"/>
          <w:lang w:bidi="ar-SA"/>
          <w:color w:val="111111"/>
          <w:sz w:val="28"/>
          <w:szCs w:val="28"/>
          <w:rtl/>
        </w:rPr>
        <w:t xml:space="preserve">3 .مناهل الضرب في انساب العرب</w:t>
      </w:r>
    </w:p>
    <w:p>
      <w:pPr>
        <w:pStyle w:val="BookText"/>
      </w:pPr>
      <w:r>
        <w:rPr>
          <w:rFonts w:ascii="IRNazanin" w:hAnsi="IRNazanin" w:eastAsia="IRNazanin" w:cs="IRNazanin"/>
          <w:lang w:bidi="fa-IR"/>
          <w:color w:val="111111"/>
          <w:sz w:val="28"/>
          <w:szCs w:val="28"/>
          <w:rtl/>
        </w:rPr>
        <w:t xml:space="preserve">ج 15، ص 578.</w:t>
      </w:r>
    </w:p>
    <w:p>
      <w:pPr>
        <w:pStyle w:val="BookText"/>
      </w:pPr>
      <w:r>
        <w:rPr>
          <w:rFonts w:ascii="Amiri" w:hAnsi="Amiri" w:eastAsia="Amiri" w:cs="Amiri"/>
          <w:lang w:bidi="ar-SA"/>
          <w:color w:val="111111"/>
          <w:sz w:val="28"/>
          <w:szCs w:val="28"/>
          <w:rtl/>
        </w:rPr>
        <w:t xml:space="preserve">حسيني اعرجي، حازم بن فؤاد -اعرجي ،</w:t>
      </w:r>
    </w:p>
    <w:p>
      <w:pPr>
        <w:pStyle w:val="BookText"/>
      </w:pPr>
      <w:r>
        <w:rPr>
          <w:rFonts w:ascii="IRNazanin" w:hAnsi="IRNazanin" w:eastAsia="IRNazanin" w:cs="IRNazanin"/>
          <w:lang w:bidi="fa-IR"/>
          <w:color w:val="111111"/>
          <w:sz w:val="28"/>
          <w:szCs w:val="28"/>
          <w:rtl/>
        </w:rPr>
        <w:t xml:space="preserve">حازم بن فؤاد</w:t>
      </w:r>
    </w:p>
    <w:p>
      <w:pPr>
        <w:pStyle w:val="BookText"/>
      </w:pPr>
      <w:r>
        <w:rPr>
          <w:rFonts w:ascii="Amiri" w:hAnsi="Amiri" w:eastAsia="Amiri" w:cs="Amiri"/>
          <w:lang w:bidi="ar-SA"/>
          <w:color w:val="111111"/>
          <w:sz w:val="28"/>
          <w:szCs w:val="28"/>
          <w:rtl/>
        </w:rPr>
        <w:t xml:space="preserve">حسيني اعرجي ، صادق بن علي- فحام</w:t>
      </w:r>
    </w:p>
    <w:p>
      <w:pPr>
        <w:pStyle w:val="BookText"/>
      </w:pPr>
      <w:r>
        <w:rPr>
          <w:rFonts w:ascii="Amiri" w:hAnsi="Amiri" w:eastAsia="Amiri" w:cs="Amiri"/>
          <w:lang w:bidi="ar-SA"/>
          <w:color w:val="111111"/>
          <w:sz w:val="28"/>
          <w:szCs w:val="28"/>
          <w:rtl/>
        </w:rPr>
        <w:t xml:space="preserve">اعرجي ، صادق بن علي</w:t>
      </w:r>
    </w:p>
    <w:p>
      <w:pPr>
        <w:pStyle w:val="BookText"/>
      </w:pPr>
      <w:r>
        <w:rPr>
          <w:rFonts w:ascii="Amiri" w:hAnsi="Amiri" w:eastAsia="Amiri" w:cs="Amiri"/>
          <w:lang w:bidi="ar-SA"/>
          <w:color w:val="111111"/>
          <w:sz w:val="28"/>
          <w:szCs w:val="28"/>
          <w:rtl/>
        </w:rPr>
        <w:t xml:space="preserve">حسيني اعرجي ، عبدالكريم بن حسن- اعرجي ، عبدالكريم بن حسن</w:t>
      </w:r>
    </w:p>
    <w:p>
      <w:pPr>
        <w:pStyle w:val="BookText"/>
      </w:pPr>
      <w:r>
        <w:rPr>
          <w:rFonts w:ascii="Amiri" w:hAnsi="Amiri" w:eastAsia="Amiri" w:cs="Amiri"/>
          <w:lang w:bidi="ar-SA"/>
          <w:color w:val="111111"/>
          <w:sz w:val="28"/>
          <w:szCs w:val="28"/>
          <w:rtl/>
        </w:rPr>
        <w:t xml:space="preserve">حسيني اعرجي ، عبد المطلب بن مجد الدين -اعرجي حلي ، عبد المطلب بن محمّد</w:t>
      </w:r>
    </w:p>
    <w:p>
      <w:pPr>
        <w:pStyle w:val="Heading2"/>
      </w:pPr>
      <w:bookmarkStart w:id="3609" w:name="_Toc2711"/>
      <w:r>
        <w:t>حسيني اعرجي، علي بن محمّد بن حسن</w:t>
      </w:r>
      <w:bookmarkEnd w:id="3609"/>
    </w:p>
    <w:p>
      <w:pPr>
        <w:pStyle w:val="BookText"/>
      </w:pPr>
      <w:r>
        <w:rPr>
          <w:rFonts w:ascii="Amiri" w:hAnsi="Amiri" w:eastAsia="Amiri" w:cs="Amiri"/>
          <w:lang w:bidi="ar-SA"/>
          <w:color w:val="111111"/>
          <w:sz w:val="28"/>
          <w:szCs w:val="28"/>
          <w:rtl/>
        </w:rPr>
        <w:t xml:space="preserve">المقاصد العلية في شرح الروضة البهية</w:t>
      </w:r>
    </w:p>
    <w:p>
      <w:pPr>
        <w:pStyle w:val="BookText"/>
      </w:pPr>
      <w:r>
        <w:rPr>
          <w:rFonts w:ascii="IRNazanin" w:hAnsi="IRNazanin" w:eastAsia="IRNazanin" w:cs="IRNazanin"/>
          <w:lang w:bidi="fa-IR"/>
          <w:color w:val="111111"/>
          <w:sz w:val="28"/>
          <w:szCs w:val="28"/>
          <w:rtl/>
        </w:rPr>
        <w:t xml:space="preserve">ج 15 ، ص 274.</w:t>
      </w:r>
    </w:p>
    <w:p>
      <w:pPr>
        <w:pStyle w:val="BookText"/>
      </w:pPr>
      <w:r>
        <w:rPr>
          <w:rFonts w:ascii="Amiri" w:hAnsi="Amiri" w:eastAsia="Amiri" w:cs="Amiri"/>
          <w:lang w:bidi="ar-SA"/>
          <w:color w:val="111111"/>
          <w:sz w:val="28"/>
          <w:szCs w:val="28"/>
          <w:rtl/>
        </w:rPr>
        <w:t xml:space="preserve">حسيني اعرجي ، محسن بن</w:t>
      </w:r>
    </w:p>
    <w:p>
      <w:pPr>
        <w:pStyle w:val="BookText"/>
      </w:pPr>
      <w:r>
        <w:rPr>
          <w:rFonts w:ascii="Amiri" w:hAnsi="Amiri" w:eastAsia="Amiri" w:cs="Amiri"/>
          <w:lang w:bidi="ar-SA"/>
          <w:color w:val="111111"/>
          <w:sz w:val="28"/>
          <w:szCs w:val="28"/>
          <w:rtl/>
        </w:rPr>
        <w:t xml:space="preserve">حسن- اعرجي ، محسن بن حسن</w:t>
      </w:r>
    </w:p>
    <w:p>
      <w:pPr>
        <w:pStyle w:val="BookText"/>
      </w:pPr>
      <w:r>
        <w:rPr>
          <w:rFonts w:ascii="Amiri" w:hAnsi="Amiri" w:eastAsia="Amiri" w:cs="Amiri"/>
          <w:lang w:bidi="ar-SA"/>
          <w:color w:val="111111"/>
          <w:sz w:val="28"/>
          <w:szCs w:val="28"/>
          <w:rtl/>
        </w:rPr>
        <w:t xml:space="preserve">حسيني اعرجي ، محمّد جواد بن محمّد -عاملي غروي ، جواد بن محمّد</w:t>
      </w:r>
    </w:p>
    <w:p>
      <w:pPr>
        <w:pStyle w:val="Heading2"/>
      </w:pPr>
      <w:bookmarkStart w:id="3610" w:name="_Toc2712"/>
      <w:r>
        <w:t>حسيني اعرجي ، محمّد رضا بن جعفر</w:t>
      </w:r>
      <w:bookmarkEnd w:id="3610"/>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حدائق الشريعة في تراجم علماء الشيعة = بقايا الاطياب في تتمة الكني و الالقاب، ج 6، ص 522.</w:t>
      </w:r>
    </w:p>
    <w:p>
      <w:pPr>
        <w:pStyle w:val="Heading2"/>
      </w:pPr>
      <w:bookmarkStart w:id="3611" w:name="_Toc2713"/>
      <w:r>
        <w:t>حسيني اعرجي ، محمّد علي</w:t>
      </w:r>
      <w:bookmarkEnd w:id="3611"/>
    </w:p>
    <w:p>
      <w:pPr>
        <w:pStyle w:val="BookText"/>
      </w:pPr>
      <w:r>
        <w:rPr>
          <w:rFonts w:ascii="Amiri" w:hAnsi="Amiri" w:eastAsia="Amiri" w:cs="Amiri"/>
          <w:lang w:bidi="ar-SA"/>
          <w:color w:val="111111"/>
          <w:sz w:val="28"/>
          <w:szCs w:val="28"/>
          <w:rtl/>
        </w:rPr>
        <w:t xml:space="preserve">فهرست تهذيب الاحكام، ج12،</w:t>
      </w:r>
    </w:p>
    <w:p>
      <w:pPr>
        <w:pStyle w:val="BookText"/>
      </w:pPr>
      <w:r>
        <w:rPr>
          <w:rFonts w:ascii="IRNazanin" w:hAnsi="IRNazanin" w:eastAsia="IRNazanin" w:cs="IRNazanin"/>
          <w:lang w:bidi="fa-IR"/>
          <w:color w:val="111111"/>
          <w:sz w:val="28"/>
          <w:szCs w:val="28"/>
          <w:rtl/>
        </w:rPr>
        <w:t xml:space="preserve">ص150</w:t>
      </w:r>
    </w:p>
    <w:p>
      <w:pPr>
        <w:pStyle w:val="Heading2"/>
      </w:pPr>
      <w:bookmarkStart w:id="3612" w:name="_Toc2714"/>
      <w:r>
        <w:t>حسيني ، امان الله خان بن مهابت خان</w:t>
      </w:r>
      <w:bookmarkEnd w:id="361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1046ه-</w:t>
      </w:r>
    </w:p>
    <w:p>
      <w:pPr>
        <w:pStyle w:val="BookText"/>
      </w:pPr>
      <w:r>
        <w:rPr>
          <w:rFonts w:ascii="IRNazanin" w:hAnsi="IRNazanin" w:eastAsia="IRNazanin" w:cs="IRNazanin"/>
          <w:lang w:bidi="fa-IR"/>
          <w:color w:val="111111"/>
          <w:sz w:val="28"/>
          <w:szCs w:val="28"/>
          <w:rtl/>
        </w:rPr>
        <w:t xml:space="preserve">گنج بادآورد صاحبقراني، ج 13</w:t>
      </w:r>
    </w:p>
    <w:p>
      <w:pPr>
        <w:pStyle w:val="BookText"/>
      </w:pPr>
      <w:r>
        <w:rPr>
          <w:rFonts w:ascii="IRNazanin" w:hAnsi="IRNazanin" w:eastAsia="IRNazanin" w:cs="IRNazanin"/>
          <w:lang w:bidi="fa-IR"/>
          <w:color w:val="111111"/>
          <w:sz w:val="28"/>
          <w:szCs w:val="28"/>
          <w:rtl/>
        </w:rPr>
        <w:t xml:space="preserve">ص 506.</w:t>
      </w:r>
    </w:p>
    <w:p>
      <w:pPr>
        <w:pStyle w:val="BookText"/>
      </w:pPr>
      <w:r>
        <w:rPr>
          <w:rFonts w:ascii="Amiri" w:hAnsi="Amiri" w:eastAsia="Amiri" w:cs="Amiri"/>
          <w:lang w:bidi="ar-SA"/>
          <w:color w:val="111111"/>
          <w:sz w:val="28"/>
          <w:szCs w:val="28"/>
          <w:rtl/>
        </w:rPr>
        <w:t xml:space="preserve">حسيني اهدل ، حاتم بن احمد -اهدل ،</w:t>
      </w:r>
    </w:p>
    <w:p>
      <w:pPr>
        <w:pStyle w:val="BookText"/>
      </w:pPr>
      <w:r>
        <w:rPr>
          <w:rFonts w:ascii="IRNazanin" w:hAnsi="IRNazanin" w:eastAsia="IRNazanin" w:cs="IRNazanin"/>
          <w:lang w:bidi="fa-IR"/>
          <w:color w:val="111111"/>
          <w:sz w:val="28"/>
          <w:szCs w:val="28"/>
          <w:rtl/>
        </w:rPr>
        <w:t xml:space="preserve">حاتم بن احمد</w:t>
      </w:r>
    </w:p>
    <w:p>
      <w:pPr>
        <w:pStyle w:val="BookText"/>
      </w:pPr>
      <w:r>
        <w:rPr>
          <w:rFonts w:ascii="Amiri" w:hAnsi="Amiri" w:eastAsia="Amiri" w:cs="Amiri"/>
          <w:lang w:bidi="ar-SA"/>
          <w:color w:val="111111"/>
          <w:sz w:val="28"/>
          <w:szCs w:val="28"/>
          <w:rtl/>
        </w:rPr>
        <w:t xml:space="preserve">حسيني ، ايوب بن موسى- كفوي ، ايوب بن موسى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7742_70162"/>
    <w:bookmarkEnd w:id="385"/>
    <w:p>
      <w:pPr>
        <w:pStyle w:val="Heading2"/>
      </w:pPr>
      <w:bookmarkStart w:id="3613" w:name="_Toc2715"/>
      <w:r>
        <w:t>حسيني بحراني حسن بن علي قرن 10 ه-</w:t>
      </w:r>
      <w:bookmarkEnd w:id="3613"/>
    </w:p>
    <w:p>
      <w:pPr>
        <w:pStyle w:val="BookText"/>
      </w:pPr>
      <w:r>
        <w:rPr>
          <w:rFonts w:ascii="Amiri" w:hAnsi="Amiri" w:eastAsia="Amiri" w:cs="Amiri"/>
          <w:lang w:bidi="ar-SA"/>
          <w:color w:val="111111"/>
          <w:sz w:val="28"/>
          <w:szCs w:val="28"/>
          <w:rtl/>
        </w:rPr>
        <w:t xml:space="preserve">تحرير القواعد المنطقية في شرح</w:t>
      </w:r>
    </w:p>
    <w:p>
      <w:pPr>
        <w:pStyle w:val="BookText"/>
      </w:pPr>
      <w:r>
        <w:rPr>
          <w:rFonts w:ascii="Amiri" w:hAnsi="Amiri" w:eastAsia="Amiri" w:cs="Amiri"/>
          <w:lang w:bidi="ar-SA"/>
          <w:color w:val="111111"/>
          <w:sz w:val="28"/>
          <w:szCs w:val="28"/>
          <w:rtl/>
        </w:rPr>
        <w:t xml:space="preserve">الرسالة الشمسية، ج 3، ص 753.</w:t>
      </w:r>
    </w:p>
    <w:p>
      <w:pPr>
        <w:pStyle w:val="Heading2"/>
      </w:pPr>
      <w:bookmarkStart w:id="3614" w:name="_Toc2716"/>
      <w:r>
        <w:t>حسيني بحراني ، ماجد بن محمّد</w:t>
      </w:r>
      <w:bookmarkEnd w:id="3614"/>
    </w:p>
    <w:p>
      <w:pPr>
        <w:pStyle w:val="BookText"/>
      </w:pPr>
      <w:r>
        <w:rPr>
          <w:rFonts w:ascii="IRNazanin" w:hAnsi="IRNazanin" w:eastAsia="IRNazanin" w:cs="IRNazanin"/>
          <w:lang w:bidi="fa-IR"/>
          <w:color w:val="111111"/>
          <w:sz w:val="28"/>
          <w:szCs w:val="28"/>
          <w:rtl/>
        </w:rPr>
        <w:t xml:space="preserve">1083ه-</w:t>
      </w:r>
    </w:p>
    <w:p>
      <w:pPr>
        <w:pStyle w:val="BookText"/>
      </w:pPr>
      <w:r>
        <w:rPr>
          <w:rFonts w:ascii="Amiri" w:hAnsi="Amiri" w:eastAsia="Amiri" w:cs="Amiri"/>
          <w:lang w:bidi="ar-SA"/>
          <w:color w:val="111111"/>
          <w:sz w:val="28"/>
          <w:szCs w:val="28"/>
          <w:rtl/>
        </w:rPr>
        <w:t xml:space="preserve">اخلاق طهماسبي، ج 1، ص 578.</w:t>
      </w:r>
    </w:p>
    <w:p>
      <w:pPr>
        <w:pStyle w:val="Heading2"/>
      </w:pPr>
      <w:bookmarkStart w:id="3615" w:name="_Toc2717"/>
      <w:r>
        <w:t>حسيني بحراني ، محمّد بن ابراهیم قرن 11 ه-</w:t>
      </w:r>
      <w:bookmarkEnd w:id="3615"/>
    </w:p>
    <w:p>
      <w:pPr>
        <w:pStyle w:val="BookText"/>
      </w:pPr>
      <w:r>
        <w:rPr>
          <w:rFonts w:ascii="Amiri" w:hAnsi="Amiri" w:eastAsia="Amiri" w:cs="Amiri"/>
          <w:lang w:bidi="ar-SA"/>
          <w:color w:val="111111"/>
          <w:sz w:val="28"/>
          <w:szCs w:val="28"/>
          <w:rtl/>
        </w:rPr>
        <w:t xml:space="preserve">1 .ايقاظ النائمين و ايعاظ الجاهلين</w:t>
      </w:r>
    </w:p>
    <w:p>
      <w:pPr>
        <w:pStyle w:val="BookText"/>
      </w:pPr>
      <w:r>
        <w:rPr>
          <w:rFonts w:ascii="IRNazanin" w:hAnsi="IRNazanin" w:eastAsia="IRNazanin" w:cs="IRNazanin"/>
          <w:lang w:bidi="fa-IR"/>
          <w:color w:val="111111"/>
          <w:sz w:val="28"/>
          <w:szCs w:val="28"/>
          <w:rtl/>
        </w:rPr>
        <w:t xml:space="preserve">ج 3، ص 151.</w:t>
      </w:r>
    </w:p>
    <w:p>
      <w:pPr>
        <w:pStyle w:val="BookText"/>
      </w:pPr>
      <w:r>
        <w:rPr>
          <w:rFonts w:ascii="Amiri" w:hAnsi="Amiri" w:eastAsia="Amiri" w:cs="Amiri"/>
          <w:lang w:bidi="ar-SA"/>
          <w:color w:val="111111"/>
          <w:sz w:val="28"/>
          <w:szCs w:val="28"/>
          <w:rtl/>
        </w:rPr>
        <w:t xml:space="preserve">2 .تحقيق حال الفناء (رسالة في)، ج 4، صالح قزويني ، راضي بن صالح</w:t>
      </w:r>
    </w:p>
    <w:p>
      <w:pPr>
        <w:pStyle w:val="BookText"/>
      </w:pPr>
      <w:r>
        <w:rPr>
          <w:rFonts w:ascii="IRNazanin" w:hAnsi="IRNazanin" w:eastAsia="IRNazanin" w:cs="IRNazanin"/>
          <w:lang w:bidi="fa-IR"/>
          <w:color w:val="111111"/>
          <w:sz w:val="28"/>
          <w:szCs w:val="28"/>
          <w:rtl/>
        </w:rPr>
        <w:t xml:space="preserve">ص 56 .</w:t>
      </w:r>
    </w:p>
    <w:p>
      <w:pPr>
        <w:pStyle w:val="BookText"/>
      </w:pPr>
      <w:r>
        <w:rPr>
          <w:rFonts w:ascii="Amiri" w:hAnsi="Amiri" w:eastAsia="Amiri" w:cs="Amiri"/>
          <w:lang w:bidi="ar-SA"/>
          <w:color w:val="111111"/>
          <w:sz w:val="28"/>
          <w:szCs w:val="28"/>
          <w:rtl/>
        </w:rPr>
        <w:t xml:space="preserve">حسيني بحراني، هاشم -بحراني ، هاشم</w:t>
      </w:r>
    </w:p>
    <w:p>
      <w:pPr>
        <w:pStyle w:val="Heading2"/>
      </w:pPr>
      <w:bookmarkStart w:id="3616" w:name="_Toc2718"/>
      <w:r>
        <w:t>حسيني بغدادي ، عبدالوهاب بن</w:t>
      </w:r>
      <w:bookmarkEnd w:id="3616"/>
    </w:p>
    <w:p>
      <w:pPr>
        <w:pStyle w:val="BookText"/>
      </w:pPr>
      <w:r>
        <w:rPr>
          <w:rFonts w:ascii="IRNazanin" w:hAnsi="IRNazanin" w:eastAsia="IRNazanin" w:cs="IRNazanin"/>
          <w:lang w:bidi="fa-IR"/>
          <w:color w:val="111111"/>
          <w:sz w:val="28"/>
          <w:szCs w:val="28"/>
          <w:rtl/>
        </w:rPr>
        <w:t xml:space="preserve">عبدالرزاق، قرن 13 ه-</w:t>
      </w:r>
    </w:p>
    <w:p>
      <w:pPr>
        <w:pStyle w:val="BookText"/>
      </w:pPr>
      <w:r>
        <w:rPr>
          <w:rFonts w:ascii="Amiri" w:hAnsi="Amiri" w:eastAsia="Amiri" w:cs="Amiri"/>
          <w:lang w:bidi="ar-SA"/>
          <w:color w:val="111111"/>
          <w:sz w:val="28"/>
          <w:szCs w:val="28"/>
          <w:rtl/>
        </w:rPr>
        <w:t xml:space="preserve">مجموعة عبد الوهاب البغدادي، ج 14،</w:t>
      </w:r>
    </w:p>
    <w:p>
      <w:pPr>
        <w:pStyle w:val="BookText"/>
      </w:pPr>
      <w:r>
        <w:rPr>
          <w:rFonts w:ascii="IRNazanin" w:hAnsi="IRNazanin" w:eastAsia="IRNazanin" w:cs="IRNazanin"/>
          <w:lang w:bidi="fa-IR"/>
          <w:color w:val="111111"/>
          <w:sz w:val="28"/>
          <w:szCs w:val="28"/>
          <w:rtl/>
        </w:rPr>
        <w:t xml:space="preserve">بن سلیمان</w:t>
      </w:r>
    </w:p>
    <w:p>
      <w:pPr>
        <w:pStyle w:val="BookText"/>
      </w:pPr>
      <w:r>
        <w:rPr>
          <w:rFonts w:ascii="Amiri" w:hAnsi="Amiri" w:eastAsia="Amiri" w:cs="Amiri"/>
          <w:lang w:bidi="ar-SA"/>
          <w:color w:val="111111"/>
          <w:sz w:val="28"/>
          <w:szCs w:val="28"/>
          <w:rtl/>
        </w:rPr>
        <w:t xml:space="preserve">حسيني بخاري ، محمّد مراد بن</w:t>
      </w:r>
    </w:p>
    <w:p>
      <w:pPr>
        <w:pStyle w:val="BookText"/>
      </w:pPr>
      <w:r>
        <w:rPr>
          <w:rFonts w:ascii="Amiri" w:hAnsi="Amiri" w:eastAsia="Amiri" w:cs="Amiri"/>
          <w:lang w:bidi="ar-SA"/>
          <w:color w:val="111111"/>
          <w:sz w:val="28"/>
          <w:szCs w:val="28"/>
          <w:rtl/>
        </w:rPr>
        <w:t xml:space="preserve">علي -مرادي ، محمّد مراد بن علي</w:t>
      </w:r>
    </w:p>
    <w:p>
      <w:pPr>
        <w:pStyle w:val="BookText"/>
      </w:pPr>
      <w:r>
        <w:rPr>
          <w:rFonts w:ascii="Amiri" w:hAnsi="Amiri" w:eastAsia="Amiri" w:cs="Amiri"/>
          <w:lang w:bidi="ar-SA"/>
          <w:color w:val="111111"/>
          <w:sz w:val="28"/>
          <w:szCs w:val="28"/>
          <w:rtl/>
        </w:rPr>
        <w:t xml:space="preserve">حسيني بدوي ، احمد بن علي- بدوي ،</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حسيني برزنجي، جعفر بن حسن- برزنجي ، جعفر بن حسن</w:t>
      </w:r>
    </w:p>
    <w:p>
      <w:pPr>
        <w:pStyle w:val="Heading2"/>
      </w:pPr>
      <w:bookmarkStart w:id="3617" w:name="_Toc2719"/>
      <w:r>
        <w:t>حسيني برزنجي ، حسن بن محمّد -</w:t>
      </w:r>
      <w:bookmarkEnd w:id="3617"/>
    </w:p>
    <w:p>
      <w:pPr>
        <w:pStyle w:val="BookText"/>
      </w:pPr>
      <w:r>
        <w:rPr>
          <w:rFonts w:ascii="IRNazanin" w:hAnsi="IRNazanin" w:eastAsia="IRNazanin" w:cs="IRNazanin"/>
          <w:lang w:bidi="fa-IR"/>
          <w:color w:val="111111"/>
          <w:sz w:val="28"/>
          <w:szCs w:val="28"/>
          <w:rtl/>
        </w:rPr>
        <w:t xml:space="preserve">1172ه-</w:t>
      </w:r>
    </w:p>
    <w:p>
      <w:pPr>
        <w:pStyle w:val="BookText"/>
      </w:pPr>
      <w:r>
        <w:rPr>
          <w:rFonts w:ascii="Amiri" w:hAnsi="Amiri" w:eastAsia="Amiri" w:cs="Amiri"/>
          <w:lang w:bidi="ar-SA"/>
          <w:color w:val="111111"/>
          <w:sz w:val="28"/>
          <w:szCs w:val="28"/>
          <w:rtl/>
        </w:rPr>
        <w:t xml:space="preserve">حاشية شرح رسالة الاستعارة، ج6، ص 107.</w:t>
      </w:r>
    </w:p>
    <w:p>
      <w:pPr>
        <w:pStyle w:val="Heading2"/>
      </w:pPr>
      <w:bookmarkStart w:id="3618" w:name="_Toc2720"/>
      <w:r>
        <w:t>حسيني برزنجي، حسن، قرن 14 ه-</w:t>
      </w:r>
      <w:bookmarkEnd w:id="3618"/>
    </w:p>
    <w:p>
      <w:pPr>
        <w:pStyle w:val="BookText"/>
      </w:pPr>
      <w:r>
        <w:rPr>
          <w:rFonts w:ascii="IRNazanin" w:hAnsi="IRNazanin" w:eastAsia="IRNazanin" w:cs="IRNazanin"/>
          <w:lang w:bidi="fa-IR"/>
          <w:color w:val="111111"/>
          <w:sz w:val="28"/>
          <w:szCs w:val="28"/>
          <w:rtl/>
        </w:rPr>
        <w:t xml:space="preserve">المغالطات و اجوبتها ، ج 15، ص 113.</w:t>
      </w:r>
    </w:p>
    <w:p>
      <w:pPr>
        <w:pStyle w:val="Heading2"/>
      </w:pPr>
      <w:bookmarkStart w:id="3619" w:name="_Toc2721"/>
      <w:r>
        <w:t>حسيني برزنجي ، حسين، 1225-1292ه-</w:t>
      </w:r>
      <w:bookmarkEnd w:id="3619"/>
    </w:p>
    <w:p>
      <w:pPr>
        <w:pStyle w:val="BookText"/>
      </w:pPr>
      <w:r>
        <w:rPr>
          <w:rFonts w:ascii="Amiri" w:hAnsi="Amiri" w:eastAsia="Amiri" w:cs="Amiri"/>
          <w:lang w:bidi="ar-SA"/>
          <w:color w:val="111111"/>
          <w:sz w:val="28"/>
          <w:szCs w:val="28"/>
          <w:rtl/>
        </w:rPr>
        <w:t xml:space="preserve">ديوان حسيني برزنجي، ج 7، ص 624.</w:t>
      </w:r>
    </w:p>
    <w:p>
      <w:pPr>
        <w:pStyle w:val="Heading2"/>
      </w:pPr>
      <w:bookmarkStart w:id="3620" w:name="_Toc2722"/>
      <w:r>
        <w:t>حسيني برغاني ، عباس بن جبرئيل، قرن 13 ه-</w:t>
      </w:r>
      <w:bookmarkEnd w:id="3620"/>
    </w:p>
    <w:p>
      <w:pPr>
        <w:pStyle w:val="BookText"/>
      </w:pPr>
      <w:r>
        <w:rPr>
          <w:rFonts w:ascii="IRNazanin" w:hAnsi="IRNazanin" w:eastAsia="IRNazanin" w:cs="IRNazanin"/>
          <w:lang w:bidi="fa-IR"/>
          <w:color w:val="111111"/>
          <w:sz w:val="28"/>
          <w:szCs w:val="28"/>
          <w:rtl/>
        </w:rPr>
        <w:t xml:space="preserve">دفاتر العموم، ج 7، ص 418.</w:t>
      </w:r>
    </w:p>
    <w:p>
      <w:pPr>
        <w:pStyle w:val="BookText"/>
      </w:pPr>
      <w:r>
        <w:rPr>
          <w:rFonts w:ascii="Amiri" w:hAnsi="Amiri" w:eastAsia="Amiri" w:cs="Amiri"/>
          <w:lang w:bidi="ar-SA"/>
          <w:color w:val="111111"/>
          <w:sz w:val="28"/>
          <w:szCs w:val="28"/>
          <w:rtl/>
        </w:rPr>
        <w:t xml:space="preserve">حسيني بروجردي ، حسين بن رضا - بروجردي ، حسين بن محمّد رضا</w:t>
      </w:r>
    </w:p>
    <w:p>
      <w:pPr>
        <w:pStyle w:val="BookText"/>
      </w:pPr>
      <w:r>
        <w:rPr>
          <w:rFonts w:ascii="Amiri" w:hAnsi="Amiri" w:eastAsia="Amiri" w:cs="Amiri"/>
          <w:lang w:bidi="ar-SA"/>
          <w:color w:val="111111"/>
          <w:sz w:val="28"/>
          <w:szCs w:val="28"/>
          <w:rtl/>
        </w:rPr>
        <w:t xml:space="preserve">حسيني بشروي، حسن بن محمّد باقر بشروي خراساني ، حسن بن محمّد باقر</w:t>
      </w:r>
    </w:p>
    <w:p>
      <w:pPr>
        <w:pStyle w:val="BookText"/>
      </w:pPr>
      <w:r>
        <w:rPr>
          <w:rFonts w:ascii="Amiri" w:hAnsi="Amiri" w:eastAsia="Amiri" w:cs="Amiri"/>
          <w:lang w:bidi="ar-SA"/>
          <w:color w:val="111111"/>
          <w:sz w:val="28"/>
          <w:szCs w:val="28"/>
          <w:rtl/>
        </w:rPr>
        <w:t xml:space="preserve">حسيني بغدادي ، راضي بن</w:t>
      </w:r>
    </w:p>
    <w:p>
      <w:pPr>
        <w:pStyle w:val="BookText"/>
      </w:pPr>
      <w:r>
        <w:rPr>
          <w:rFonts w:ascii="IRNazanin" w:hAnsi="IRNazanin" w:eastAsia="IRNazanin" w:cs="IRNazanin"/>
          <w:lang w:bidi="fa-IR"/>
          <w:color w:val="111111"/>
          <w:sz w:val="28"/>
          <w:szCs w:val="28"/>
          <w:rtl/>
        </w:rPr>
        <w:t xml:space="preserve">ص 44 .</w:t>
      </w:r>
    </w:p>
    <w:p>
      <w:pPr>
        <w:pStyle w:val="BookText"/>
      </w:pPr>
      <w:r>
        <w:rPr>
          <w:rFonts w:ascii="Amiri" w:hAnsi="Amiri" w:eastAsia="Amiri" w:cs="Amiri"/>
          <w:lang w:bidi="ar-SA"/>
          <w:color w:val="111111"/>
          <w:sz w:val="28"/>
          <w:szCs w:val="28"/>
          <w:rtl/>
        </w:rPr>
        <w:t xml:space="preserve">حسيني بفروئي اردكاني يزدي ، سيد ابوالحسن احمد بن محمّد اردكاني ، احمد</w:t>
      </w:r>
    </w:p>
    <w:p>
      <w:pPr>
        <w:pStyle w:val="BookText"/>
      </w:pPr>
      <w:r>
        <w:rPr>
          <w:rFonts w:ascii="IRNazanin" w:hAnsi="IRNazanin" w:eastAsia="IRNazanin" w:cs="IRNazanin"/>
          <w:lang w:bidi="fa-IR"/>
          <w:color w:val="111111"/>
          <w:sz w:val="28"/>
          <w:szCs w:val="28"/>
          <w:rtl/>
        </w:rPr>
        <w:t xml:space="preserve">بن محمّد ابراهیم</w:t>
      </w:r>
    </w:p>
    <w:p>
      <w:pPr>
        <w:pStyle w:val="BookText"/>
      </w:pPr>
      <w:r>
        <w:rPr>
          <w:rFonts w:ascii="Amiri" w:hAnsi="Amiri" w:eastAsia="Amiri" w:cs="Amiri"/>
          <w:lang w:bidi="ar-SA"/>
          <w:color w:val="111111"/>
          <w:sz w:val="28"/>
          <w:szCs w:val="28"/>
          <w:rtl/>
        </w:rPr>
        <w:t xml:space="preserve">حسيني بلخي قندوزي ، سليمان قندوزي ، سليمان بن ابراهيم</w:t>
      </w:r>
    </w:p>
    <w:p>
      <w:pPr>
        <w:pStyle w:val="BookText"/>
      </w:pPr>
      <w:r>
        <w:rPr>
          <w:rFonts w:ascii="IRNazanin" w:hAnsi="IRNazanin" w:eastAsia="IRNazanin" w:cs="IRNazanin"/>
          <w:lang w:bidi="fa-IR"/>
          <w:color w:val="111111"/>
          <w:sz w:val="28"/>
          <w:szCs w:val="28"/>
          <w:rtl/>
        </w:rPr>
        <w:t xml:space="preserve">حسيني بلگرامي ، امير حيدر بن</w:t>
      </w:r>
    </w:p>
    <w:p>
      <w:pPr>
        <w:pStyle w:val="BookText"/>
      </w:pPr>
      <w:r>
        <w:rPr>
          <w:rFonts w:ascii="IRNazanin" w:hAnsi="IRNazanin" w:eastAsia="IRNazanin" w:cs="IRNazanin"/>
          <w:lang w:bidi="fa-IR"/>
          <w:color w:val="111111"/>
          <w:sz w:val="28"/>
          <w:szCs w:val="28"/>
          <w:rtl/>
        </w:rPr>
        <w:t xml:space="preserve">نورحسین بلگرامي ، امير حيدر بن نورحسين</w:t>
      </w:r>
    </w:p>
    <w:p>
      <w:pPr>
        <w:pStyle w:val="Heading2"/>
      </w:pPr>
      <w:bookmarkStart w:id="3621" w:name="_Toc2723"/>
      <w:r>
        <w:t>حسيني بنائي، اسماعيل بن نجف قرن</w:t>
      </w:r>
      <w:bookmarkEnd w:id="3621"/>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شرح ديوان علي عليه السلام، ج9،</w:t>
      </w:r>
    </w:p>
    <w:p>
      <w:pPr>
        <w:pStyle w:val="BookText"/>
      </w:pPr>
      <w:r>
        <w:rPr>
          <w:rFonts w:ascii="IRNazanin" w:hAnsi="IRNazanin" w:eastAsia="IRNazanin" w:cs="IRNazanin"/>
          <w:lang w:bidi="fa-IR"/>
          <w:color w:val="111111"/>
          <w:sz w:val="28"/>
          <w:szCs w:val="28"/>
          <w:rtl/>
        </w:rPr>
        <w:t xml:space="preserve">ص 490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7742_70164"/>
    <w:bookmarkEnd w:id="386"/>
    <w:p>
      <w:pPr>
        <w:pStyle w:val="Heading2"/>
      </w:pPr>
      <w:bookmarkStart w:id="3622" w:name="_Toc2724"/>
      <w:r>
        <w:t>حسيني بيروي، حيدر بن علاء الدین قرن</w:t>
      </w:r>
      <w:bookmarkEnd w:id="3622"/>
    </w:p>
    <w:p>
      <w:pPr>
        <w:pStyle w:val="BookText"/>
      </w:pPr>
      <w:r>
        <w:rPr>
          <w:rFonts w:ascii="IRNazanin" w:hAnsi="IRNazanin" w:eastAsia="IRNazanin" w:cs="IRNazanin"/>
          <w:lang w:bidi="fa-IR"/>
          <w:color w:val="111111"/>
          <w:sz w:val="28"/>
          <w:szCs w:val="28"/>
          <w:rtl/>
        </w:rPr>
        <w:t xml:space="preserve">11ه-</w:t>
      </w:r>
    </w:p>
    <w:p>
      <w:pPr>
        <w:pStyle w:val="BookText"/>
      </w:pPr>
      <w:r>
        <w:rPr>
          <w:rFonts w:ascii="Amiri" w:hAnsi="Amiri" w:eastAsia="Amiri" w:cs="Amiri"/>
          <w:lang w:bidi="ar-SA"/>
          <w:color w:val="111111"/>
          <w:sz w:val="28"/>
          <w:szCs w:val="28"/>
          <w:rtl/>
        </w:rPr>
        <w:t xml:space="preserve">اجازة للسيّد حسين بن حيدر كركي</w:t>
      </w:r>
    </w:p>
    <w:p>
      <w:pPr>
        <w:pStyle w:val="BookText"/>
      </w:pPr>
      <w:r>
        <w:rPr>
          <w:rFonts w:ascii="IRNazanin" w:hAnsi="IRNazanin" w:eastAsia="IRNazanin" w:cs="IRNazanin"/>
          <w:lang w:bidi="fa-IR"/>
          <w:color w:val="111111"/>
          <w:sz w:val="28"/>
          <w:szCs w:val="28"/>
          <w:rtl/>
        </w:rPr>
        <w:t xml:space="preserve">ج 1، ص 249.</w:t>
      </w:r>
    </w:p>
    <w:p>
      <w:pPr>
        <w:pStyle w:val="BookText"/>
      </w:pPr>
      <w:r>
        <w:rPr>
          <w:rFonts w:ascii="Amiri" w:hAnsi="Amiri" w:eastAsia="Amiri" w:cs="Amiri"/>
          <w:lang w:bidi="ar-SA"/>
          <w:color w:val="111111"/>
          <w:sz w:val="28"/>
          <w:szCs w:val="28"/>
          <w:rtl/>
        </w:rPr>
        <w:t xml:space="preserve">حسيني ، تاج الدين بن محمّد-ابن زهرة</w:t>
      </w:r>
    </w:p>
    <w:p>
      <w:pPr>
        <w:pStyle w:val="BookText"/>
      </w:pPr>
      <w:r>
        <w:rPr>
          <w:rFonts w:ascii="IRNazanin" w:hAnsi="IRNazanin" w:eastAsia="IRNazanin" w:cs="IRNazanin"/>
          <w:lang w:bidi="fa-IR"/>
          <w:color w:val="111111"/>
          <w:sz w:val="28"/>
          <w:szCs w:val="28"/>
          <w:rtl/>
        </w:rPr>
        <w:t xml:space="preserve">، تاج الدین بن محمّد</w:t>
      </w:r>
    </w:p>
    <w:p>
      <w:pPr>
        <w:pStyle w:val="BookText"/>
      </w:pPr>
      <w:r>
        <w:rPr>
          <w:rFonts w:ascii="Amiri" w:hAnsi="Amiri" w:eastAsia="Amiri" w:cs="Amiri"/>
          <w:lang w:bidi="ar-SA"/>
          <w:color w:val="111111"/>
          <w:sz w:val="28"/>
          <w:szCs w:val="28"/>
          <w:rtl/>
        </w:rPr>
        <w:t xml:space="preserve">حسيني تبريزي، امير اسماعيل- فارابي</w:t>
      </w:r>
    </w:p>
    <w:p>
      <w:pPr>
        <w:pStyle w:val="BookText"/>
      </w:pPr>
      <w:r>
        <w:rPr>
          <w:rFonts w:ascii="IRNazanin" w:hAnsi="IRNazanin" w:eastAsia="IRNazanin" w:cs="IRNazanin"/>
          <w:lang w:bidi="fa-IR"/>
          <w:color w:val="111111"/>
          <w:sz w:val="28"/>
          <w:szCs w:val="28"/>
          <w:rtl/>
        </w:rPr>
        <w:t xml:space="preserve">تبريزي، امیر اسماعيل بن حسين</w:t>
      </w:r>
    </w:p>
    <w:p>
      <w:pPr>
        <w:pStyle w:val="Heading2"/>
      </w:pPr>
      <w:bookmarkStart w:id="3623" w:name="_Toc2725"/>
      <w:r>
        <w:t>حسيني تبريزي ، حسين بن محمّد</w:t>
      </w:r>
      <w:bookmarkEnd w:id="3623"/>
    </w:p>
    <w:p>
      <w:pPr>
        <w:pStyle w:val="BookText"/>
      </w:pPr>
      <w:r>
        <w:rPr>
          <w:rFonts w:ascii="IRNazanin" w:hAnsi="IRNazanin" w:eastAsia="IRNazanin" w:cs="IRNazanin"/>
          <w:lang w:bidi="fa-IR"/>
          <w:color w:val="111111"/>
          <w:sz w:val="28"/>
          <w:szCs w:val="28"/>
          <w:rtl/>
        </w:rPr>
        <w:t xml:space="preserve">1299 ه-</w:t>
      </w:r>
    </w:p>
    <w:p>
      <w:pPr>
        <w:pStyle w:val="BookText"/>
      </w:pPr>
      <w:r>
        <w:rPr>
          <w:rFonts w:ascii="Amiri" w:hAnsi="Amiri" w:eastAsia="Amiri" w:cs="Amiri"/>
          <w:lang w:bidi="ar-SA"/>
          <w:color w:val="111111"/>
          <w:sz w:val="28"/>
          <w:szCs w:val="28"/>
          <w:rtl/>
        </w:rPr>
        <w:t xml:space="preserve">مناسك الحج، ج 15، ص 504.</w:t>
      </w:r>
    </w:p>
    <w:p>
      <w:pPr>
        <w:pStyle w:val="BookText"/>
      </w:pPr>
      <w:r>
        <w:rPr>
          <w:rFonts w:ascii="IRNazanin" w:hAnsi="IRNazanin" w:eastAsia="IRNazanin" w:cs="IRNazanin"/>
          <w:lang w:bidi="fa-IR"/>
          <w:color w:val="111111"/>
          <w:sz w:val="28"/>
          <w:szCs w:val="28"/>
          <w:rtl/>
        </w:rPr>
        <w:t xml:space="preserve">حسيني تبريزي ، قطب الدين محمّد -نيريزي ، قطب الدین محمّد</w:t>
      </w:r>
    </w:p>
    <w:p>
      <w:pPr>
        <w:pStyle w:val="Heading2"/>
      </w:pPr>
      <w:bookmarkStart w:id="3624" w:name="_Toc2726"/>
      <w:r>
        <w:t>حسيني تبريزي، محمّد باقر بن ابي</w:t>
      </w:r>
      <w:bookmarkEnd w:id="3624"/>
    </w:p>
    <w:p>
      <w:pPr>
        <w:pStyle w:val="BookText"/>
      </w:pPr>
      <w:r>
        <w:rPr>
          <w:rFonts w:ascii="IRNazanin" w:hAnsi="IRNazanin" w:eastAsia="IRNazanin" w:cs="IRNazanin"/>
          <w:lang w:bidi="fa-IR"/>
          <w:color w:val="111111"/>
          <w:sz w:val="28"/>
          <w:szCs w:val="28"/>
          <w:rtl/>
        </w:rPr>
        <w:t xml:space="preserve">القاسم، قرن 11 ه-</w:t>
      </w:r>
    </w:p>
    <w:p>
      <w:pPr>
        <w:pStyle w:val="BookText"/>
      </w:pPr>
      <w:r>
        <w:rPr>
          <w:rFonts w:ascii="Amiri" w:hAnsi="Amiri" w:eastAsia="Amiri" w:cs="Amiri"/>
          <w:lang w:bidi="ar-SA"/>
          <w:color w:val="111111"/>
          <w:sz w:val="28"/>
          <w:szCs w:val="28"/>
          <w:rtl/>
        </w:rPr>
        <w:t xml:space="preserve">شرح خلاصة الحساب، ج 9، ص 440.</w:t>
      </w:r>
    </w:p>
    <w:p>
      <w:pPr>
        <w:pStyle w:val="Heading2"/>
      </w:pPr>
      <w:bookmarkStart w:id="3625" w:name="_Toc2727"/>
      <w:r>
        <w:t>حسيني تبريزي ، محمّد بن مهدي</w:t>
      </w:r>
      <w:bookmarkEnd w:id="3625"/>
    </w:p>
    <w:p>
      <w:pPr>
        <w:pStyle w:val="BookText"/>
      </w:pPr>
      <w:r>
        <w:rPr>
          <w:rFonts w:ascii="IRNazanin" w:hAnsi="IRNazanin" w:eastAsia="IRNazanin" w:cs="IRNazanin"/>
          <w:lang w:bidi="fa-IR"/>
          <w:color w:val="111111"/>
          <w:sz w:val="28"/>
          <w:szCs w:val="28"/>
          <w:rtl/>
        </w:rPr>
        <w:t xml:space="preserve">1264ه-</w:t>
      </w:r>
    </w:p>
    <w:p>
      <w:pPr>
        <w:pStyle w:val="BookText"/>
      </w:pPr>
      <w:r>
        <w:rPr>
          <w:rFonts w:ascii="Amiri" w:hAnsi="Amiri" w:eastAsia="Amiri" w:cs="Amiri"/>
          <w:lang w:bidi="ar-SA"/>
          <w:color w:val="111111"/>
          <w:sz w:val="28"/>
          <w:szCs w:val="28"/>
          <w:rtl/>
        </w:rPr>
        <w:t xml:space="preserve">1 .تحفة الامير في آداب التلاوة، ج3، 11ه-</w:t>
      </w:r>
    </w:p>
    <w:p>
      <w:pPr>
        <w:pStyle w:val="BookText"/>
      </w:pPr>
      <w:r>
        <w:rPr>
          <w:rFonts w:ascii="IRNazanin" w:hAnsi="IRNazanin" w:eastAsia="IRNazanin" w:cs="IRNazanin"/>
          <w:lang w:bidi="fa-IR"/>
          <w:color w:val="111111"/>
          <w:sz w:val="28"/>
          <w:szCs w:val="28"/>
          <w:rtl/>
        </w:rPr>
        <w:t xml:space="preserve">ص 808.</w:t>
      </w:r>
    </w:p>
    <w:p>
      <w:pPr>
        <w:pStyle w:val="BookText"/>
      </w:pPr>
      <w:r>
        <w:rPr>
          <w:rFonts w:ascii="Amiri" w:hAnsi="Amiri" w:eastAsia="Amiri" w:cs="Amiri"/>
          <w:lang w:bidi="ar-SA"/>
          <w:color w:val="111111"/>
          <w:sz w:val="28"/>
          <w:szCs w:val="28"/>
          <w:rtl/>
        </w:rPr>
        <w:t xml:space="preserve">2 .كشف الآيات، ج13، ص177.</w:t>
      </w:r>
    </w:p>
    <w:p>
      <w:pPr>
        <w:pStyle w:val="BookText"/>
      </w:pPr>
      <w:r>
        <w:rPr>
          <w:rFonts w:ascii="Amiri" w:hAnsi="Amiri" w:eastAsia="Amiri" w:cs="Amiri"/>
          <w:lang w:bidi="ar-SA"/>
          <w:color w:val="111111"/>
          <w:sz w:val="28"/>
          <w:szCs w:val="28"/>
          <w:rtl/>
        </w:rPr>
        <w:t xml:space="preserve">3 .مظهر الكلمات، ج 14، ص 826.</w:t>
      </w:r>
    </w:p>
    <w:p>
      <w:pPr>
        <w:pStyle w:val="BookText"/>
      </w:pPr>
      <w:r>
        <w:rPr>
          <w:rFonts w:ascii="Amiri" w:hAnsi="Amiri" w:eastAsia="Amiri" w:cs="Amiri"/>
          <w:lang w:bidi="ar-SA"/>
          <w:color w:val="111111"/>
          <w:sz w:val="28"/>
          <w:szCs w:val="28"/>
          <w:rtl/>
        </w:rPr>
        <w:t xml:space="preserve">حسيني ترمذي ، محمّد صالح بن عبد الله- كشفي ترمذي ، محمّد صالح بن عبدالله</w:t>
      </w:r>
    </w:p>
    <w:p>
      <w:pPr>
        <w:pStyle w:val="BookText"/>
      </w:pPr>
      <w:r>
        <w:rPr>
          <w:rFonts w:ascii="Amiri" w:hAnsi="Amiri" w:eastAsia="Amiri" w:cs="Amiri"/>
          <w:lang w:bidi="ar-SA"/>
          <w:color w:val="111111"/>
          <w:sz w:val="28"/>
          <w:szCs w:val="28"/>
          <w:rtl/>
        </w:rPr>
        <w:t xml:space="preserve">حسيني ترمزي بكري ، محمّد معصوم -ترمذي سمرقندي ، محمّد معصوم</w:t>
      </w:r>
    </w:p>
    <w:p>
      <w:pPr>
        <w:pStyle w:val="Heading2"/>
      </w:pPr>
      <w:bookmarkStart w:id="3626" w:name="_Toc2728"/>
      <w:r>
        <w:t>حسيني تفرشي ، رضي الدين محمّد</w:t>
      </w:r>
      <w:bookmarkEnd w:id="3626"/>
    </w:p>
    <w:p>
      <w:pPr>
        <w:pStyle w:val="BookText"/>
      </w:pPr>
      <w:r>
        <w:rPr>
          <w:rFonts w:ascii="Amiri" w:hAnsi="Amiri" w:eastAsia="Amiri" w:cs="Amiri"/>
          <w:lang w:bidi="ar-SA"/>
          <w:color w:val="111111"/>
          <w:sz w:val="28"/>
          <w:szCs w:val="28"/>
          <w:rtl/>
        </w:rPr>
        <w:t xml:space="preserve">العافية في شرح الشافية، ج 11، ص 4.</w:t>
      </w:r>
    </w:p>
    <w:p>
      <w:pPr>
        <w:pStyle w:val="BookText"/>
      </w:pPr>
      <w:r>
        <w:rPr>
          <w:rFonts w:ascii="Amiri" w:hAnsi="Amiri" w:eastAsia="Amiri" w:cs="Amiri"/>
          <w:lang w:bidi="ar-SA"/>
          <w:color w:val="111111"/>
          <w:sz w:val="28"/>
          <w:szCs w:val="28"/>
          <w:rtl/>
        </w:rPr>
        <w:t xml:space="preserve">حسيني تفرشي ، مصطفى بن حسين- تفرشي ، مصطفى بن حسين</w:t>
      </w:r>
    </w:p>
    <w:p>
      <w:pPr>
        <w:pStyle w:val="BookText"/>
      </w:pPr>
      <w:r>
        <w:rPr>
          <w:rFonts w:ascii="Amiri" w:hAnsi="Amiri" w:eastAsia="Amiri" w:cs="Amiri"/>
          <w:lang w:bidi="ar-SA"/>
          <w:color w:val="111111"/>
          <w:sz w:val="28"/>
          <w:szCs w:val="28"/>
          <w:rtl/>
        </w:rPr>
        <w:t xml:space="preserve">حسيني تميمي ، محمّد بن عبد الله -ادريسي ، محمّد بن محمّد</w:t>
      </w:r>
    </w:p>
    <w:p>
      <w:pPr>
        <w:pStyle w:val="BookText"/>
      </w:pPr>
      <w:r>
        <w:rPr>
          <w:rFonts w:ascii="Amiri" w:hAnsi="Amiri" w:eastAsia="Amiri" w:cs="Amiri"/>
          <w:lang w:bidi="ar-SA"/>
          <w:color w:val="111111"/>
          <w:sz w:val="28"/>
          <w:szCs w:val="28"/>
          <w:rtl/>
        </w:rPr>
        <w:t xml:space="preserve">حسيني تنكابني ، احمد بن محمّد حسين- تنكابني ، احمد بن محمّد حسين</w:t>
      </w:r>
    </w:p>
    <w:p>
      <w:pPr>
        <w:pStyle w:val="BookText"/>
      </w:pPr>
      <w:r>
        <w:rPr>
          <w:rFonts w:ascii="Amiri" w:hAnsi="Amiri" w:eastAsia="Amiri" w:cs="Amiri"/>
          <w:lang w:bidi="ar-SA"/>
          <w:color w:val="111111"/>
          <w:sz w:val="28"/>
          <w:szCs w:val="28"/>
          <w:rtl/>
        </w:rPr>
        <w:t xml:space="preserve">حسيني تنكابني ، محمّد مؤمن- حكيم</w:t>
      </w:r>
    </w:p>
    <w:p>
      <w:pPr>
        <w:pStyle w:val="BookText"/>
      </w:pPr>
      <w:r>
        <w:rPr>
          <w:rFonts w:ascii="IRNazanin" w:hAnsi="IRNazanin" w:eastAsia="IRNazanin" w:cs="IRNazanin"/>
          <w:lang w:bidi="fa-IR"/>
          <w:color w:val="111111"/>
          <w:sz w:val="28"/>
          <w:szCs w:val="28"/>
          <w:rtl/>
        </w:rPr>
        <w:t xml:space="preserve">مؤمن ، محمّد مؤمن بن محمّد زمان</w:t>
      </w:r>
    </w:p>
    <w:p>
      <w:pPr>
        <w:pStyle w:val="Heading2"/>
      </w:pPr>
      <w:bookmarkStart w:id="3627" w:name="_Toc2729"/>
      <w:r>
        <w:t>حسيني تنكابني، محمّد یوسف، قرن 12 ه-</w:t>
      </w:r>
      <w:bookmarkEnd w:id="3627"/>
    </w:p>
    <w:p>
      <w:pPr>
        <w:pStyle w:val="BookText"/>
      </w:pPr>
      <w:r>
        <w:rPr>
          <w:rFonts w:ascii="Amiri" w:hAnsi="Amiri" w:eastAsia="Amiri" w:cs="Amiri"/>
          <w:lang w:bidi="ar-SA"/>
          <w:color w:val="111111"/>
          <w:sz w:val="28"/>
          <w:szCs w:val="28"/>
          <w:rtl/>
        </w:rPr>
        <w:t xml:space="preserve">مقباس العرفان و مفتاح التبيان</w:t>
      </w:r>
    </w:p>
    <w:p>
      <w:pPr>
        <w:pStyle w:val="BookText"/>
      </w:pPr>
      <w:r>
        <w:rPr>
          <w:rFonts w:ascii="Amiri" w:hAnsi="Amiri" w:eastAsia="Amiri" w:cs="Amiri"/>
          <w:lang w:bidi="ar-SA"/>
          <w:color w:val="111111"/>
          <w:sz w:val="28"/>
          <w:szCs w:val="28"/>
          <w:rtl/>
        </w:rPr>
        <w:t xml:space="preserve">لمدارك القرآن، ج 15، ص 324.</w:t>
      </w:r>
    </w:p>
    <w:p>
      <w:pPr>
        <w:pStyle w:val="BookText"/>
      </w:pPr>
      <w:r>
        <w:rPr>
          <w:rFonts w:ascii="Amiri" w:hAnsi="Amiri" w:eastAsia="Amiri" w:cs="Amiri"/>
          <w:lang w:bidi="ar-SA"/>
          <w:color w:val="111111"/>
          <w:sz w:val="28"/>
          <w:szCs w:val="28"/>
          <w:rtl/>
        </w:rPr>
        <w:t xml:space="preserve">حسيني تودهي ، محمّد معروف بن مصطفى- نودهي ، محمّد معروف بن</w:t>
      </w:r>
    </w:p>
    <w:p>
      <w:pPr>
        <w:pStyle w:val="BookText"/>
      </w:pPr>
      <w:r>
        <w:rPr>
          <w:rFonts w:ascii="IRNazanin" w:hAnsi="IRNazanin" w:eastAsia="IRNazanin" w:cs="IRNazanin"/>
          <w:lang w:bidi="fa-IR"/>
          <w:color w:val="111111"/>
          <w:sz w:val="28"/>
          <w:szCs w:val="28"/>
          <w:rtl/>
        </w:rPr>
        <w:t xml:space="preserve">مصطفى</w:t>
      </w:r>
    </w:p>
    <w:p>
      <w:pPr>
        <w:pStyle w:val="Heading2"/>
      </w:pPr>
      <w:bookmarkStart w:id="3628" w:name="_Toc2730"/>
      <w:r>
        <w:t>حسيني ، توكل بيك بن تولك بيك قرن</w:t>
      </w:r>
      <w:bookmarkEnd w:id="3628"/>
    </w:p>
    <w:p>
      <w:pPr>
        <w:pStyle w:val="BookText"/>
      </w:pPr>
      <w:r>
        <w:rPr>
          <w:rFonts w:ascii="IRNazanin" w:hAnsi="IRNazanin" w:eastAsia="IRNazanin" w:cs="IRNazanin"/>
          <w:lang w:bidi="fa-IR"/>
          <w:color w:val="111111"/>
          <w:sz w:val="28"/>
          <w:szCs w:val="28"/>
          <w:rtl/>
        </w:rPr>
        <w:t xml:space="preserve">9ه-</w:t>
      </w:r>
    </w:p>
    <w:p>
      <w:pPr>
        <w:pStyle w:val="BookText"/>
      </w:pPr>
      <w:r>
        <w:rPr>
          <w:rFonts w:ascii="IRNazanin" w:hAnsi="IRNazanin" w:eastAsia="IRNazanin" w:cs="IRNazanin"/>
          <w:lang w:bidi="fa-IR"/>
          <w:color w:val="111111"/>
          <w:sz w:val="28"/>
          <w:szCs w:val="28"/>
          <w:rtl/>
        </w:rPr>
        <w:t xml:space="preserve">تاریخ شمشير خاني = دلگشاي شمشير خاني = شاهنامه منثور، ج3،</w:t>
      </w:r>
    </w:p>
    <w:p>
      <w:pPr>
        <w:pStyle w:val="BookText"/>
      </w:pPr>
      <w:r>
        <w:rPr>
          <w:rFonts w:ascii="IRNazanin" w:hAnsi="IRNazanin" w:eastAsia="IRNazanin" w:cs="IRNazanin"/>
          <w:lang w:bidi="fa-IR"/>
          <w:color w:val="111111"/>
          <w:sz w:val="28"/>
          <w:szCs w:val="28"/>
          <w:rtl/>
        </w:rPr>
        <w:t xml:space="preserve">ص 578.</w:t>
      </w:r>
    </w:p>
    <w:p>
      <w:pPr>
        <w:pStyle w:val="Heading2"/>
      </w:pPr>
      <w:bookmarkStart w:id="3629" w:name="_Toc2731"/>
      <w:r>
        <w:t>حسيني تونسي ، احمد بن عبدالسلام قرن</w:t>
      </w:r>
      <w:bookmarkEnd w:id="3629"/>
    </w:p>
    <w:p>
      <w:pPr>
        <w:pStyle w:val="BookText"/>
      </w:pPr>
      <w:r>
        <w:rPr>
          <w:rFonts w:ascii="Amiri" w:hAnsi="Amiri" w:eastAsia="Amiri" w:cs="Amiri"/>
          <w:lang w:bidi="ar-SA"/>
          <w:color w:val="111111"/>
          <w:sz w:val="28"/>
          <w:szCs w:val="28"/>
          <w:rtl/>
        </w:rPr>
        <w:t xml:space="preserve">مداواة الامراض، ج 14 ، ص319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7" w:name="pg7742_70166"/>
    <w:bookmarkEnd w:id="387"/>
    <w:p>
      <w:pPr>
        <w:pStyle w:val="Heading2"/>
      </w:pPr>
      <w:bookmarkStart w:id="3630" w:name="_Toc2732"/>
      <w:r>
        <w:t>حسيني توني ، سيد شريف</w:t>
      </w:r>
      <w:bookmarkEnd w:id="3630"/>
    </w:p>
    <w:p>
      <w:pPr>
        <w:pStyle w:val="BookText"/>
      </w:pPr>
      <w:r>
        <w:rPr>
          <w:rFonts w:ascii="Amiri" w:hAnsi="Amiri" w:eastAsia="Amiri" w:cs="Amiri"/>
          <w:lang w:bidi="ar-SA"/>
          <w:color w:val="111111"/>
          <w:sz w:val="28"/>
          <w:szCs w:val="28"/>
          <w:rtl/>
        </w:rPr>
        <w:t xml:space="preserve">حل المشكلات، ج 6 ، ص 794.</w:t>
      </w:r>
    </w:p>
    <w:p>
      <w:pPr>
        <w:pStyle w:val="Heading2"/>
      </w:pPr>
      <w:bookmarkStart w:id="3631" w:name="_Toc2733"/>
      <w:r>
        <w:t>حسيني تويسركاني ، بديع، قرن 11 ه-</w:t>
      </w:r>
      <w:bookmarkEnd w:id="3631"/>
    </w:p>
    <w:p>
      <w:pPr>
        <w:pStyle w:val="BookText"/>
      </w:pPr>
      <w:r>
        <w:rPr>
          <w:rFonts w:ascii="IRNazanin" w:hAnsi="IRNazanin" w:eastAsia="IRNazanin" w:cs="IRNazanin"/>
          <w:lang w:bidi="fa-IR"/>
          <w:color w:val="111111"/>
          <w:sz w:val="28"/>
          <w:szCs w:val="28"/>
          <w:rtl/>
        </w:rPr>
        <w:t xml:space="preserve">الدعاء، ج 7، ص388.</w:t>
      </w:r>
    </w:p>
    <w:p>
      <w:pPr>
        <w:pStyle w:val="Heading2"/>
      </w:pPr>
      <w:bookmarkStart w:id="3632" w:name="_Toc2734"/>
      <w:r>
        <w:t>حسيني تويسركاني ، محمّد شريف بن</w:t>
      </w:r>
      <w:bookmarkEnd w:id="3632"/>
    </w:p>
    <w:p>
      <w:pPr>
        <w:pStyle w:val="BookText"/>
      </w:pPr>
      <w:r>
        <w:rPr>
          <w:rFonts w:ascii="Amiri" w:hAnsi="Amiri" w:eastAsia="Amiri" w:cs="Amiri"/>
          <w:lang w:bidi="ar-SA"/>
          <w:color w:val="111111"/>
          <w:sz w:val="28"/>
          <w:szCs w:val="28"/>
          <w:rtl/>
        </w:rPr>
        <w:t xml:space="preserve">محمّد طاهر - 1322 ه-</w:t>
      </w:r>
    </w:p>
    <w:p>
      <w:pPr>
        <w:pStyle w:val="BookText"/>
      </w:pPr>
      <w:r>
        <w:rPr>
          <w:rFonts w:ascii="Amiri" w:hAnsi="Amiri" w:eastAsia="Amiri" w:cs="Amiri"/>
          <w:lang w:bidi="ar-SA"/>
          <w:color w:val="111111"/>
          <w:sz w:val="28"/>
          <w:szCs w:val="28"/>
          <w:rtl/>
        </w:rPr>
        <w:t xml:space="preserve">الطهارة، ج 10، ص 858.</w:t>
      </w:r>
    </w:p>
    <w:p>
      <w:pPr>
        <w:pStyle w:val="BookText"/>
      </w:pPr>
      <w:r>
        <w:rPr>
          <w:rFonts w:ascii="Amiri" w:hAnsi="Amiri" w:eastAsia="Amiri" w:cs="Amiri"/>
          <w:lang w:bidi="ar-SA"/>
          <w:color w:val="111111"/>
          <w:sz w:val="28"/>
          <w:szCs w:val="28"/>
          <w:rtl/>
        </w:rPr>
        <w:t xml:space="preserve">حسيني جرجاني، اسماعيل بن</w:t>
      </w:r>
    </w:p>
    <w:p>
      <w:pPr>
        <w:pStyle w:val="BookText"/>
      </w:pPr>
      <w:r>
        <w:rPr>
          <w:rFonts w:ascii="Amiri" w:hAnsi="Amiri" w:eastAsia="Amiri" w:cs="Amiri"/>
          <w:lang w:bidi="ar-SA"/>
          <w:color w:val="111111"/>
          <w:sz w:val="28"/>
          <w:szCs w:val="28"/>
          <w:rtl/>
        </w:rPr>
        <w:t xml:space="preserve">حسن -جرجاني، اسماعيل بن حسن</w:t>
      </w:r>
    </w:p>
    <w:p>
      <w:pPr>
        <w:pStyle w:val="Heading2"/>
      </w:pPr>
      <w:bookmarkStart w:id="3633" w:name="_Toc2735"/>
      <w:r>
        <w:t>حسيني جرجاني ، جمال الدین بن عبدالله</w:t>
      </w:r>
      <w:bookmarkEnd w:id="3633"/>
    </w:p>
    <w:p>
      <w:pPr>
        <w:pStyle w:val="BookText"/>
      </w:pPr>
      <w:r>
        <w:rPr>
          <w:rFonts w:ascii="IRNazanin" w:hAnsi="IRNazanin" w:eastAsia="IRNazanin" w:cs="IRNazanin"/>
          <w:lang w:bidi="fa-IR"/>
          <w:color w:val="111111"/>
          <w:sz w:val="28"/>
          <w:szCs w:val="28"/>
          <w:rtl/>
        </w:rPr>
        <w:t xml:space="preserve">قرن 10</w:t>
      </w:r>
    </w:p>
    <w:p>
      <w:pPr>
        <w:pStyle w:val="BookText"/>
      </w:pPr>
      <w:r>
        <w:rPr>
          <w:rFonts w:ascii="Amiri" w:hAnsi="Amiri" w:eastAsia="Amiri" w:cs="Amiri"/>
          <w:lang w:bidi="ar-SA"/>
          <w:color w:val="111111"/>
          <w:sz w:val="28"/>
          <w:szCs w:val="28"/>
          <w:rtl/>
        </w:rPr>
        <w:t xml:space="preserve">شرح تهذيب الوصول إلى علم الاصول، ج 9، ص 354.</w:t>
      </w:r>
    </w:p>
    <w:p>
      <w:pPr>
        <w:pStyle w:val="BookText"/>
      </w:pPr>
      <w:r>
        <w:rPr>
          <w:rFonts w:ascii="Amiri" w:hAnsi="Amiri" w:eastAsia="Amiri" w:cs="Amiri"/>
          <w:lang w:bidi="ar-SA"/>
          <w:color w:val="111111"/>
          <w:sz w:val="28"/>
          <w:szCs w:val="28"/>
          <w:rtl/>
        </w:rPr>
        <w:t xml:space="preserve">حسيني جرجاني ، محمّد بن</w:t>
      </w:r>
    </w:p>
    <w:p>
      <w:pPr>
        <w:pStyle w:val="BookText"/>
      </w:pPr>
      <w:r>
        <w:rPr>
          <w:rFonts w:ascii="Amiri" w:hAnsi="Amiri" w:eastAsia="Amiri" w:cs="Amiri"/>
          <w:lang w:bidi="ar-SA"/>
          <w:color w:val="111111"/>
          <w:sz w:val="28"/>
          <w:szCs w:val="28"/>
          <w:rtl/>
        </w:rPr>
        <w:t xml:space="preserve">حسين- فخرالدين حسيني ، محمّد بن حسين</w:t>
      </w:r>
    </w:p>
    <w:p>
      <w:pPr>
        <w:pStyle w:val="BookText"/>
      </w:pPr>
      <w:r>
        <w:rPr>
          <w:rFonts w:ascii="Amiri" w:hAnsi="Amiri" w:eastAsia="Amiri" w:cs="Amiri"/>
          <w:lang w:bidi="ar-SA"/>
          <w:color w:val="111111"/>
          <w:sz w:val="28"/>
          <w:szCs w:val="28"/>
          <w:rtl/>
        </w:rPr>
        <w:t xml:space="preserve">حسيني جرجاني ، محمّد بن علي- جرجاني محمّد بن علي</w:t>
      </w:r>
    </w:p>
    <w:p>
      <w:pPr>
        <w:pStyle w:val="Heading2"/>
      </w:pPr>
      <w:bookmarkStart w:id="3634" w:name="_Toc2736"/>
      <w:r>
        <w:t>حسيني جزائري، نجم الدین بن محمّد قرن 11 ه-</w:t>
      </w:r>
      <w:bookmarkEnd w:id="3634"/>
    </w:p>
    <w:p>
      <w:pPr>
        <w:pStyle w:val="BookText"/>
      </w:pPr>
      <w:r>
        <w:rPr>
          <w:rFonts w:ascii="IRNazanin" w:hAnsi="IRNazanin" w:eastAsia="IRNazanin" w:cs="IRNazanin"/>
          <w:lang w:bidi="fa-IR"/>
          <w:color w:val="111111"/>
          <w:sz w:val="28"/>
          <w:szCs w:val="28"/>
          <w:rtl/>
        </w:rPr>
        <w:t xml:space="preserve">ص 754 .</w:t>
      </w:r>
    </w:p>
    <w:p>
      <w:pPr>
        <w:pStyle w:val="BookText"/>
      </w:pPr>
      <w:r>
        <w:rPr>
          <w:rFonts w:ascii="Amiri" w:hAnsi="Amiri" w:eastAsia="Amiri" w:cs="Amiri"/>
          <w:lang w:bidi="ar-SA"/>
          <w:color w:val="111111"/>
          <w:sz w:val="28"/>
          <w:szCs w:val="28"/>
          <w:rtl/>
        </w:rPr>
        <w:t xml:space="preserve">تحفة الملوك في احكام الشكوك، ج4،</w:t>
      </w:r>
    </w:p>
    <w:p>
      <w:pPr>
        <w:pStyle w:val="BookText"/>
      </w:pPr>
      <w:r>
        <w:rPr>
          <w:rFonts w:ascii="IRNazanin" w:hAnsi="IRNazanin" w:eastAsia="IRNazanin" w:cs="IRNazanin"/>
          <w:lang w:bidi="fa-IR"/>
          <w:color w:val="111111"/>
          <w:sz w:val="28"/>
          <w:szCs w:val="28"/>
          <w:rtl/>
        </w:rPr>
        <w:t xml:space="preserve">ص 31.</w:t>
      </w:r>
    </w:p>
    <w:p>
      <w:pPr>
        <w:pStyle w:val="BookText"/>
      </w:pPr>
      <w:r>
        <w:rPr>
          <w:rFonts w:ascii="Amiri" w:hAnsi="Amiri" w:eastAsia="Amiri" w:cs="Amiri"/>
          <w:lang w:bidi="ar-SA"/>
          <w:color w:val="111111"/>
          <w:sz w:val="28"/>
          <w:szCs w:val="28"/>
          <w:rtl/>
        </w:rPr>
        <w:t xml:space="preserve">حسيني جزري، احمد بن حسين جزري ،</w:t>
      </w:r>
    </w:p>
    <w:p>
      <w:pPr>
        <w:pStyle w:val="BookText"/>
      </w:pPr>
      <w:r>
        <w:rPr>
          <w:rFonts w:ascii="Amiri" w:hAnsi="Amiri" w:eastAsia="Amiri" w:cs="Amiri"/>
          <w:lang w:bidi="ar-SA"/>
          <w:color w:val="111111"/>
          <w:sz w:val="28"/>
          <w:szCs w:val="28"/>
          <w:rtl/>
        </w:rPr>
        <w:t xml:space="preserve">احمد بن حسين</w:t>
      </w:r>
    </w:p>
    <w:p>
      <w:pPr>
        <w:pStyle w:val="Heading2"/>
      </w:pPr>
      <w:bookmarkStart w:id="3635" w:name="_Toc2737"/>
      <w:r>
        <w:t>حسيني جزري، حيدر بن عبدالرحمن</w:t>
      </w:r>
      <w:bookmarkEnd w:id="3635"/>
    </w:p>
    <w:p>
      <w:pPr>
        <w:pStyle w:val="BookText"/>
      </w:pPr>
      <w:r>
        <w:rPr>
          <w:rFonts w:ascii="IRNazanin" w:hAnsi="IRNazanin" w:eastAsia="IRNazanin" w:cs="IRNazanin"/>
          <w:lang w:bidi="fa-IR"/>
          <w:color w:val="111111"/>
          <w:sz w:val="28"/>
          <w:szCs w:val="28"/>
          <w:rtl/>
        </w:rPr>
        <w:t xml:space="preserve">1 .الاسطرلاب، ج 2، ص189.</w:t>
      </w:r>
    </w:p>
    <w:p>
      <w:pPr>
        <w:pStyle w:val="BookText"/>
      </w:pPr>
      <w:r>
        <w:rPr>
          <w:rFonts w:ascii="IRNazanin" w:hAnsi="IRNazanin" w:eastAsia="IRNazanin" w:cs="IRNazanin"/>
          <w:lang w:bidi="fa-IR"/>
          <w:color w:val="111111"/>
          <w:sz w:val="28"/>
          <w:szCs w:val="28"/>
          <w:rtl/>
        </w:rPr>
        <w:t xml:space="preserve">2 .قواعد الاسطرلاب، ج 12، ص788.</w:t>
      </w:r>
    </w:p>
    <w:p>
      <w:pPr>
        <w:pStyle w:val="BookText"/>
      </w:pPr>
      <w:r>
        <w:rPr>
          <w:rFonts w:ascii="Amiri" w:hAnsi="Amiri" w:eastAsia="Amiri" w:cs="Amiri"/>
          <w:lang w:bidi="ar-SA"/>
          <w:color w:val="111111"/>
          <w:sz w:val="28"/>
          <w:szCs w:val="28"/>
          <w:rtl/>
        </w:rPr>
        <w:t xml:space="preserve">3 .المسطح في علم الاسطرلاب، ج 14</w:t>
      </w:r>
    </w:p>
    <w:p>
      <w:pPr>
        <w:pStyle w:val="BookText"/>
      </w:pPr>
      <w:r>
        <w:rPr>
          <w:rFonts w:ascii="IRNazanin" w:hAnsi="IRNazanin" w:eastAsia="IRNazanin" w:cs="IRNazanin"/>
          <w:lang w:bidi="fa-IR"/>
          <w:color w:val="111111"/>
          <w:sz w:val="28"/>
          <w:szCs w:val="28"/>
          <w:rtl/>
        </w:rPr>
        <w:t xml:space="preserve">ص 573 .</w:t>
      </w:r>
    </w:p>
    <w:p>
      <w:pPr>
        <w:pStyle w:val="BookText"/>
      </w:pPr>
      <w:r>
        <w:rPr>
          <w:rFonts w:ascii="Amiri" w:hAnsi="Amiri" w:eastAsia="Amiri" w:cs="Amiri"/>
          <w:lang w:bidi="ar-SA"/>
          <w:color w:val="111111"/>
          <w:sz w:val="28"/>
          <w:szCs w:val="28"/>
          <w:rtl/>
        </w:rPr>
        <w:t xml:space="preserve">4 .معرفة اوقات الصلاة (رسالة في)</w:t>
      </w:r>
    </w:p>
    <w:p>
      <w:pPr>
        <w:pStyle w:val="BookText"/>
      </w:pPr>
      <w:r>
        <w:rPr>
          <w:rFonts w:ascii="IRNazanin" w:hAnsi="IRNazanin" w:eastAsia="IRNazanin" w:cs="IRNazanin"/>
          <w:lang w:bidi="fa-IR"/>
          <w:color w:val="111111"/>
          <w:sz w:val="28"/>
          <w:szCs w:val="28"/>
          <w:rtl/>
        </w:rPr>
        <w:t xml:space="preserve">ج 15، ص 48.</w:t>
      </w:r>
    </w:p>
    <w:p>
      <w:pPr>
        <w:pStyle w:val="Heading2"/>
      </w:pPr>
      <w:bookmarkStart w:id="3636" w:name="_Toc2738"/>
      <w:r>
        <w:t>حسيني جزري، عبد المطلب بن مرتضى</w:t>
      </w:r>
      <w:bookmarkEnd w:id="3636"/>
    </w:p>
    <w:p>
      <w:pPr>
        <w:pStyle w:val="BookText"/>
      </w:pPr>
      <w:r>
        <w:rPr>
          <w:rFonts w:ascii="IRNazanin" w:hAnsi="IRNazanin" w:eastAsia="IRNazanin" w:cs="IRNazanin"/>
          <w:lang w:bidi="fa-IR"/>
          <w:color w:val="111111"/>
          <w:sz w:val="28"/>
          <w:szCs w:val="28"/>
          <w:rtl/>
        </w:rPr>
        <w:t xml:space="preserve">ضوء الدرر، ج 10، ص 697.</w:t>
      </w:r>
    </w:p>
    <w:p>
      <w:pPr>
        <w:pStyle w:val="Heading2"/>
      </w:pPr>
      <w:bookmarkStart w:id="3637" w:name="_Toc2739"/>
      <w:r>
        <w:t>حسيني جعفري، حسين بن حسن قرن 10ه-</w:t>
      </w:r>
      <w:bookmarkEnd w:id="3637"/>
    </w:p>
    <w:p>
      <w:pPr>
        <w:pStyle w:val="BookText"/>
      </w:pPr>
      <w:r>
        <w:rPr>
          <w:rFonts w:ascii="Amiri" w:hAnsi="Amiri" w:eastAsia="Amiri" w:cs="Amiri"/>
          <w:lang w:bidi="ar-SA"/>
          <w:color w:val="111111"/>
          <w:sz w:val="28"/>
          <w:szCs w:val="28"/>
          <w:rtl/>
        </w:rPr>
        <w:t xml:space="preserve">1 .صلاة الجمعة، ج 10، ص 599.</w:t>
      </w:r>
    </w:p>
    <w:p>
      <w:pPr>
        <w:pStyle w:val="BookText"/>
      </w:pPr>
      <w:r>
        <w:rPr>
          <w:rFonts w:ascii="Amiri" w:hAnsi="Amiri" w:eastAsia="Amiri" w:cs="Amiri"/>
          <w:lang w:bidi="ar-SA"/>
          <w:color w:val="111111"/>
          <w:sz w:val="28"/>
          <w:szCs w:val="28"/>
          <w:rtl/>
        </w:rPr>
        <w:t xml:space="preserve">2 .الفوائد الاناء( رسالة في)، ج12،</w:t>
      </w:r>
    </w:p>
    <w:p>
      <w:pPr>
        <w:pStyle w:val="BookText"/>
      </w:pPr>
      <w:r>
        <w:rPr>
          <w:rFonts w:ascii="IRNazanin" w:hAnsi="IRNazanin" w:eastAsia="IRNazanin" w:cs="IRNazanin"/>
          <w:lang w:bidi="fa-IR"/>
          <w:color w:val="111111"/>
          <w:sz w:val="28"/>
          <w:szCs w:val="28"/>
          <w:rtl/>
        </w:rPr>
        <w:t xml:space="preserve">ص 171</w:t>
      </w:r>
    </w:p>
    <w:p>
      <w:pPr>
        <w:pStyle w:val="Heading2"/>
      </w:pPr>
      <w:bookmarkStart w:id="3638" w:name="_Toc2740"/>
      <w:r>
        <w:t>حسيني جلالي ، محمّد تقي بن محسن -</w:t>
      </w:r>
      <w:bookmarkEnd w:id="3638"/>
    </w:p>
    <w:p>
      <w:pPr>
        <w:pStyle w:val="BookText"/>
      </w:pPr>
      <w:r>
        <w:rPr>
          <w:rFonts w:ascii="IRNazanin" w:hAnsi="IRNazanin" w:eastAsia="IRNazanin" w:cs="IRNazanin"/>
          <w:lang w:bidi="fa-IR"/>
          <w:color w:val="111111"/>
          <w:sz w:val="28"/>
          <w:szCs w:val="28"/>
          <w:rtl/>
        </w:rPr>
        <w:t xml:space="preserve">1402 ه-</w:t>
      </w:r>
    </w:p>
    <w:p>
      <w:pPr>
        <w:pStyle w:val="BookText"/>
      </w:pPr>
      <w:r>
        <w:rPr>
          <w:rFonts w:ascii="Amiri" w:hAnsi="Amiri" w:eastAsia="Amiri" w:cs="Amiri"/>
          <w:lang w:bidi="ar-SA"/>
          <w:color w:val="111111"/>
          <w:sz w:val="28"/>
          <w:szCs w:val="28"/>
          <w:rtl/>
        </w:rPr>
        <w:t xml:space="preserve">فقه العترة في شرح العروة، ج 12،</w:t>
      </w:r>
    </w:p>
    <w:p>
      <w:pPr>
        <w:pStyle w:val="BookText"/>
      </w:pPr>
      <w:r>
        <w:rPr>
          <w:rFonts w:ascii="IRNazanin" w:hAnsi="IRNazanin" w:eastAsia="IRNazanin" w:cs="IRNazanin"/>
          <w:lang w:bidi="fa-IR"/>
          <w:color w:val="111111"/>
          <w:sz w:val="28"/>
          <w:szCs w:val="28"/>
          <w:rtl/>
        </w:rPr>
        <w:t xml:space="preserve">ص 109.</w:t>
      </w:r>
    </w:p>
    <w:p>
      <w:pPr>
        <w:pStyle w:val="Heading2"/>
      </w:pPr>
      <w:bookmarkStart w:id="3639" w:name="_Toc2741"/>
      <w:r>
        <w:t>حسيني جلالي ، محمّد جواد</w:t>
      </w:r>
      <w:bookmarkEnd w:id="3639"/>
    </w:p>
    <w:p>
      <w:pPr>
        <w:pStyle w:val="BookText"/>
      </w:pPr>
      <w:r>
        <w:rPr>
          <w:rFonts w:ascii="Amiri" w:hAnsi="Amiri" w:eastAsia="Amiri" w:cs="Amiri"/>
          <w:lang w:bidi="ar-SA"/>
          <w:color w:val="111111"/>
          <w:sz w:val="28"/>
          <w:szCs w:val="28"/>
          <w:rtl/>
        </w:rPr>
        <w:t xml:space="preserve">تقريرات السيد الخوئي في الزكاة، ج 4،</w:t>
      </w:r>
    </w:p>
    <w:p>
      <w:pPr>
        <w:pStyle w:val="Heading2"/>
      </w:pPr>
      <w:bookmarkStart w:id="3640" w:name="_Toc2742"/>
      <w:r>
        <w:t>حسيني ، جواد بن مجتبى</w:t>
      </w:r>
      <w:bookmarkEnd w:id="3640"/>
    </w:p>
    <w:p>
      <w:pPr>
        <w:pStyle w:val="BookText"/>
      </w:pPr>
      <w:r>
        <w:rPr>
          <w:rFonts w:ascii="Amiri" w:hAnsi="Amiri" w:eastAsia="Amiri" w:cs="Amiri"/>
          <w:lang w:bidi="ar-SA"/>
          <w:color w:val="111111"/>
          <w:sz w:val="28"/>
          <w:szCs w:val="28"/>
          <w:rtl/>
        </w:rPr>
        <w:t xml:space="preserve">مطلوب الزائرين، ج 14، ص 802.</w:t>
      </w:r>
    </w:p>
    <w:p>
      <w:pPr>
        <w:pStyle w:val="BookText"/>
      </w:pPr>
      <w:r>
        <w:rPr>
          <w:rFonts w:ascii="IRNazanin" w:hAnsi="IRNazanin" w:eastAsia="IRNazanin" w:cs="IRNazanin"/>
          <w:lang w:bidi="fa-IR"/>
          <w:color w:val="111111"/>
          <w:sz w:val="28"/>
          <w:szCs w:val="28"/>
          <w:rtl/>
        </w:rPr>
        <w:t xml:space="preserve">حسيني ، جواد بن محمّد سیاهپوش ،</w:t>
      </w:r>
    </w:p>
    <w:p>
      <w:pPr>
        <w:pStyle w:val="BookText"/>
      </w:pPr>
      <w:r>
        <w:rPr>
          <w:rFonts w:ascii="IRNazanin" w:hAnsi="IRNazanin" w:eastAsia="IRNazanin" w:cs="IRNazanin"/>
          <w:lang w:bidi="fa-IR"/>
          <w:color w:val="111111"/>
          <w:sz w:val="28"/>
          <w:szCs w:val="28"/>
          <w:rtl/>
        </w:rPr>
        <w:t xml:space="preserve">جواد بن محمّد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8" w:name="pg7742_70168"/>
    <w:bookmarkEnd w:id="388"/>
    <w:p>
      <w:pPr>
        <w:pStyle w:val="Heading2"/>
      </w:pPr>
      <w:bookmarkStart w:id="3641" w:name="_Toc2743"/>
      <w:r>
        <w:t>حسيني ، جواد بن محمّد علي، - 1333 ه-</w:t>
      </w:r>
      <w:bookmarkEnd w:id="3641"/>
    </w:p>
    <w:p>
      <w:pPr>
        <w:pStyle w:val="BookText"/>
      </w:pPr>
      <w:r>
        <w:rPr>
          <w:rFonts w:ascii="Amiri" w:hAnsi="Amiri" w:eastAsia="Amiri" w:cs="Amiri"/>
          <w:lang w:bidi="ar-SA"/>
          <w:color w:val="111111"/>
          <w:sz w:val="28"/>
          <w:szCs w:val="28"/>
          <w:rtl/>
        </w:rPr>
        <w:t xml:space="preserve">ديوان السيد جواد الهندي، ج7،</w:t>
      </w:r>
    </w:p>
    <w:p>
      <w:pPr>
        <w:pStyle w:val="BookText"/>
      </w:pPr>
      <w:r>
        <w:rPr>
          <w:rFonts w:ascii="IRNazanin" w:hAnsi="IRNazanin" w:eastAsia="IRNazanin" w:cs="IRNazanin"/>
          <w:lang w:bidi="fa-IR"/>
          <w:color w:val="111111"/>
          <w:sz w:val="28"/>
          <w:szCs w:val="28"/>
          <w:rtl/>
        </w:rPr>
        <w:t xml:space="preserve">ص 657 .</w:t>
      </w:r>
    </w:p>
    <w:p>
      <w:pPr>
        <w:pStyle w:val="Heading2"/>
      </w:pPr>
      <w:bookmarkStart w:id="3642" w:name="_Toc2744"/>
      <w:r>
        <w:t>حسيني جيلاني ، جعفر بن معصوم قرن</w:t>
      </w:r>
      <w:bookmarkEnd w:id="3642"/>
    </w:p>
    <w:p>
      <w:pPr>
        <w:pStyle w:val="BookText"/>
      </w:pPr>
      <w:r>
        <w:rPr>
          <w:rFonts w:ascii="IRNazanin" w:hAnsi="IRNazanin" w:eastAsia="IRNazanin" w:cs="IRNazanin"/>
          <w:lang w:bidi="fa-IR"/>
          <w:color w:val="111111"/>
          <w:sz w:val="28"/>
          <w:szCs w:val="28"/>
          <w:rtl/>
        </w:rPr>
        <w:t xml:space="preserve">13 ه-</w:t>
      </w:r>
    </w:p>
    <w:p>
      <w:pPr>
        <w:pStyle w:val="BookText"/>
      </w:pPr>
      <w:r>
        <w:rPr>
          <w:rFonts w:ascii="IRNazanin" w:hAnsi="IRNazanin" w:eastAsia="IRNazanin" w:cs="IRNazanin"/>
          <w:lang w:bidi="fa-IR"/>
          <w:color w:val="111111"/>
          <w:sz w:val="28"/>
          <w:szCs w:val="28"/>
          <w:rtl/>
        </w:rPr>
        <w:t xml:space="preserve">1 .اصول الفقه، ج2، ص 435 .</w:t>
      </w:r>
    </w:p>
    <w:p>
      <w:pPr>
        <w:pStyle w:val="BookText"/>
      </w:pPr>
      <w:r>
        <w:rPr>
          <w:rFonts w:ascii="Amiri" w:hAnsi="Amiri" w:eastAsia="Amiri" w:cs="Amiri"/>
          <w:lang w:bidi="ar-SA"/>
          <w:color w:val="111111"/>
          <w:sz w:val="28"/>
          <w:szCs w:val="28"/>
          <w:rtl/>
        </w:rPr>
        <w:t xml:space="preserve">2 .تقريرات في الاصول العملية، جع،</w:t>
      </w:r>
    </w:p>
    <w:p>
      <w:pPr>
        <w:pStyle w:val="BookText"/>
      </w:pPr>
      <w:r>
        <w:rPr>
          <w:rFonts w:ascii="IRNazanin" w:hAnsi="IRNazanin" w:eastAsia="IRNazanin" w:cs="IRNazanin"/>
          <w:lang w:bidi="fa-IR"/>
          <w:color w:val="111111"/>
          <w:sz w:val="28"/>
          <w:szCs w:val="28"/>
          <w:rtl/>
        </w:rPr>
        <w:t xml:space="preserve">ص 770.</w:t>
      </w:r>
    </w:p>
    <w:p>
      <w:pPr>
        <w:pStyle w:val="Heading2"/>
      </w:pPr>
      <w:bookmarkStart w:id="3643" w:name="_Toc2745"/>
      <w:r>
        <w:t>حسيني حائري ، حسن بن علي، 1283 -</w:t>
      </w:r>
      <w:bookmarkEnd w:id="3643"/>
    </w:p>
    <w:p>
      <w:pPr>
        <w:pStyle w:val="BookText"/>
      </w:pPr>
      <w:r>
        <w:rPr>
          <w:rFonts w:ascii="IRNazanin" w:hAnsi="IRNazanin" w:eastAsia="IRNazanin" w:cs="IRNazanin"/>
          <w:lang w:bidi="fa-IR"/>
          <w:color w:val="111111"/>
          <w:sz w:val="28"/>
          <w:szCs w:val="28"/>
          <w:rtl/>
        </w:rPr>
        <w:t xml:space="preserve">1366ه-</w:t>
      </w:r>
    </w:p>
    <w:p>
      <w:pPr>
        <w:pStyle w:val="BookText"/>
      </w:pPr>
      <w:r>
        <w:rPr>
          <w:rFonts w:ascii="IRNazanin" w:hAnsi="IRNazanin" w:eastAsia="IRNazanin" w:cs="IRNazanin"/>
          <w:lang w:bidi="fa-IR"/>
          <w:color w:val="111111"/>
          <w:sz w:val="28"/>
          <w:szCs w:val="28"/>
          <w:rtl/>
        </w:rPr>
        <w:t xml:space="preserve">تزويج بي بي الشيخ عگروگ، ج 4، ص322</w:t>
      </w:r>
    </w:p>
    <w:p>
      <w:pPr>
        <w:pStyle w:val="BookText"/>
      </w:pPr>
      <w:r>
        <w:rPr>
          <w:rFonts w:ascii="IRNazanin" w:hAnsi="IRNazanin" w:eastAsia="IRNazanin" w:cs="IRNazanin"/>
          <w:lang w:bidi="fa-IR"/>
          <w:color w:val="111111"/>
          <w:sz w:val="28"/>
          <w:szCs w:val="28"/>
          <w:rtl/>
        </w:rPr>
        <w:t xml:space="preserve">ج 16، ص 131 .</w:t>
      </w:r>
    </w:p>
    <w:p>
      <w:pPr>
        <w:pStyle w:val="BookText"/>
      </w:pPr>
      <w:r>
        <w:rPr>
          <w:rFonts w:ascii="Amiri" w:hAnsi="Amiri" w:eastAsia="Amiri" w:cs="Amiri"/>
          <w:lang w:bidi="ar-SA"/>
          <w:color w:val="111111"/>
          <w:sz w:val="28"/>
          <w:szCs w:val="28"/>
          <w:rtl/>
        </w:rPr>
        <w:t xml:space="preserve">حسيني حائري ، محمّد بن</w:t>
      </w:r>
    </w:p>
    <w:p>
      <w:pPr>
        <w:pStyle w:val="BookText"/>
      </w:pPr>
      <w:r>
        <w:rPr>
          <w:rFonts w:ascii="Amiri" w:hAnsi="Amiri" w:eastAsia="Amiri" w:cs="Amiri"/>
          <w:lang w:bidi="ar-SA"/>
          <w:color w:val="111111"/>
          <w:sz w:val="28"/>
          <w:szCs w:val="28"/>
          <w:rtl/>
        </w:rPr>
        <w:t xml:space="preserve">ابيطالب -مجدي ، محمّد بن ابي طالب</w:t>
      </w:r>
    </w:p>
    <w:p>
      <w:pPr>
        <w:pStyle w:val="BookText"/>
      </w:pPr>
      <w:r>
        <w:rPr>
          <w:rFonts w:ascii="IRNazanin" w:hAnsi="IRNazanin" w:eastAsia="IRNazanin" w:cs="IRNazanin"/>
          <w:lang w:bidi="fa-IR"/>
          <w:color w:val="111111"/>
          <w:sz w:val="28"/>
          <w:szCs w:val="28"/>
          <w:rtl/>
        </w:rPr>
        <w:t xml:space="preserve">حسيني حائري ، محمّد حسین بن محمّد</w:t>
      </w:r>
    </w:p>
    <w:p>
      <w:pPr>
        <w:pStyle w:val="BookText"/>
      </w:pPr>
      <w:r>
        <w:rPr>
          <w:rFonts w:ascii="Amiri" w:hAnsi="Amiri" w:eastAsia="Amiri" w:cs="Amiri"/>
          <w:lang w:bidi="ar-SA"/>
          <w:color w:val="111111"/>
          <w:sz w:val="28"/>
          <w:szCs w:val="28"/>
          <w:rtl/>
        </w:rPr>
        <w:t xml:space="preserve">علي- شهرستاني ، محمّد حسين بن محمّد</w:t>
      </w:r>
    </w:p>
    <w:p>
      <w:pPr>
        <w:pStyle w:val="BookText"/>
      </w:pPr>
      <w:r>
        <w:rPr>
          <w:rFonts w:ascii="Amiri" w:hAnsi="Amiri" w:eastAsia="Amiri" w:cs="Amiri"/>
          <w:lang w:bidi="ar-SA"/>
          <w:color w:val="111111"/>
          <w:sz w:val="28"/>
          <w:szCs w:val="28"/>
          <w:rtl/>
        </w:rPr>
        <w:t xml:space="preserve">علي</w:t>
      </w:r>
    </w:p>
    <w:p>
      <w:pPr>
        <w:pStyle w:val="Heading2"/>
      </w:pPr>
      <w:bookmarkStart w:id="3644" w:name="_Toc2746"/>
      <w:r>
        <w:t>حسيني حائري، مهدي بن خليل، قرن 14ه-</w:t>
      </w:r>
      <w:bookmarkEnd w:id="3644"/>
    </w:p>
    <w:p>
      <w:pPr>
        <w:pStyle w:val="BookText"/>
      </w:pPr>
      <w:r>
        <w:rPr>
          <w:rFonts w:ascii="Amiri" w:hAnsi="Amiri" w:eastAsia="Amiri" w:cs="Amiri"/>
          <w:lang w:bidi="ar-SA"/>
          <w:color w:val="111111"/>
          <w:sz w:val="28"/>
          <w:szCs w:val="28"/>
          <w:rtl/>
        </w:rPr>
        <w:t xml:space="preserve">1 .ارشاد الأذهان في علم البيان، ج2،</w:t>
      </w:r>
    </w:p>
    <w:p>
      <w:pPr>
        <w:pStyle w:val="BookText"/>
      </w:pPr>
      <w:r>
        <w:rPr>
          <w:rFonts w:ascii="IRNazanin" w:hAnsi="IRNazanin" w:eastAsia="IRNazanin" w:cs="IRNazanin"/>
          <w:lang w:bidi="fa-IR"/>
          <w:color w:val="111111"/>
          <w:sz w:val="28"/>
          <w:szCs w:val="28"/>
          <w:rtl/>
        </w:rPr>
        <w:t xml:space="preserve">ص 15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تحف السلف و معارج الشرف، ج 4،</w:t>
      </w:r>
    </w:p>
    <w:p>
      <w:pPr>
        <w:pStyle w:val="BookText"/>
      </w:pPr>
      <w:r>
        <w:rPr>
          <w:rFonts w:ascii="IRNazanin" w:hAnsi="IRNazanin" w:eastAsia="IRNazanin" w:cs="IRNazanin"/>
          <w:lang w:bidi="fa-IR"/>
          <w:color w:val="111111"/>
          <w:sz w:val="28"/>
          <w:szCs w:val="28"/>
          <w:rtl/>
        </w:rPr>
        <w:t xml:space="preserve">ص 41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جواهر الطب في ما جرب، ج 5،</w:t>
      </w:r>
    </w:p>
    <w:p>
      <w:pPr>
        <w:pStyle w:val="BookText"/>
      </w:pPr>
      <w:r>
        <w:rPr>
          <w:rFonts w:ascii="IRNazanin" w:hAnsi="IRNazanin" w:eastAsia="IRNazanin" w:cs="IRNazanin"/>
          <w:lang w:bidi="fa-IR"/>
          <w:color w:val="111111"/>
          <w:sz w:val="28"/>
          <w:szCs w:val="28"/>
          <w:rtl/>
        </w:rPr>
        <w:t xml:space="preserve">ص 549.</w:t>
      </w:r>
    </w:p>
    <w:p>
      <w:pPr>
        <w:pStyle w:val="BookText"/>
      </w:pPr>
      <w:r>
        <w:rPr>
          <w:rFonts w:ascii="IRNazanin" w:hAnsi="IRNazanin" w:eastAsia="IRNazanin" w:cs="IRNazanin"/>
          <w:lang w:bidi="fa-IR"/>
          <w:color w:val="111111"/>
          <w:sz w:val="28"/>
          <w:szCs w:val="28"/>
          <w:rtl/>
        </w:rPr>
        <w:t xml:space="preserve">4 .الطب المجدول، ج 10، ص792.</w:t>
      </w:r>
    </w:p>
    <w:p>
      <w:pPr>
        <w:pStyle w:val="BookText"/>
      </w:pPr>
      <w:r>
        <w:rPr>
          <w:rFonts w:ascii="IRNazanin" w:hAnsi="IRNazanin" w:eastAsia="IRNazanin" w:cs="IRNazanin"/>
          <w:lang w:bidi="fa-IR"/>
          <w:color w:val="111111"/>
          <w:sz w:val="28"/>
          <w:szCs w:val="28"/>
          <w:rtl/>
        </w:rPr>
        <w:t xml:space="preserve">5 .فقه الأطباء، ج 12، ص91.</w:t>
      </w:r>
    </w:p>
    <w:p>
      <w:pPr>
        <w:pStyle w:val="BookText"/>
      </w:pPr>
      <w:r>
        <w:rPr>
          <w:rFonts w:ascii="Amiri" w:hAnsi="Amiri" w:eastAsia="Amiri" w:cs="Amiri"/>
          <w:lang w:bidi="ar-SA"/>
          <w:color w:val="111111"/>
          <w:sz w:val="28"/>
          <w:szCs w:val="28"/>
          <w:rtl/>
        </w:rPr>
        <w:t xml:space="preserve">6 .مجموعة شعرية، ج 14، ص 40.</w:t>
      </w:r>
    </w:p>
    <w:p>
      <w:pPr>
        <w:pStyle w:val="BookText"/>
      </w:pPr>
      <w:r>
        <w:rPr>
          <w:rFonts w:ascii="Amiri" w:hAnsi="Amiri" w:eastAsia="Amiri" w:cs="Amiri"/>
          <w:lang w:bidi="ar-SA"/>
          <w:color w:val="111111"/>
          <w:sz w:val="28"/>
          <w:szCs w:val="28"/>
          <w:rtl/>
        </w:rPr>
        <w:t xml:space="preserve">7 .المسطور في شرح الرق المنشور</w:t>
      </w:r>
    </w:p>
    <w:p>
      <w:pPr>
        <w:pStyle w:val="BookText"/>
      </w:pPr>
      <w:r>
        <w:rPr>
          <w:rFonts w:ascii="IRNazanin" w:hAnsi="IRNazanin" w:eastAsia="IRNazanin" w:cs="IRNazanin"/>
          <w:lang w:bidi="fa-IR"/>
          <w:color w:val="111111"/>
          <w:sz w:val="28"/>
          <w:szCs w:val="28"/>
          <w:rtl/>
        </w:rPr>
        <w:t xml:space="preserve">ج 14، ص 573.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نتائج الحكمة في كشف الغمة،</w:t>
      </w:r>
    </w:p>
    <w:p>
      <w:pPr>
        <w:pStyle w:val="BookText"/>
      </w:pPr>
      <w:r>
        <w:rPr>
          <w:rFonts w:ascii="IRNazanin" w:hAnsi="IRNazanin" w:eastAsia="IRNazanin" w:cs="IRNazanin"/>
          <w:lang w:bidi="fa-IR"/>
          <w:color w:val="111111"/>
          <w:sz w:val="28"/>
          <w:szCs w:val="28"/>
          <w:rtl/>
        </w:rPr>
        <w:t xml:space="preserve">ج 16، ص 131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هياكل الحكمة و صور النعمة</w:t>
      </w:r>
    </w:p>
    <w:p>
      <w:pPr>
        <w:pStyle w:val="BookText"/>
      </w:pPr>
      <w:r>
        <w:rPr>
          <w:rFonts w:ascii="IRNazanin" w:hAnsi="IRNazanin" w:eastAsia="IRNazanin" w:cs="IRNazanin"/>
          <w:lang w:bidi="fa-IR"/>
          <w:color w:val="111111"/>
          <w:sz w:val="28"/>
          <w:szCs w:val="28"/>
          <w:rtl/>
        </w:rPr>
        <w:t xml:space="preserve">ج 16، ص 658.</w:t>
      </w:r>
    </w:p>
    <w:p>
      <w:pPr>
        <w:pStyle w:val="Heading2"/>
      </w:pPr>
      <w:bookmarkStart w:id="3645" w:name="_Toc2747"/>
      <w:r>
        <w:t>حسيني ، حبيب الله بن مير فاضل</w:t>
      </w:r>
      <w:bookmarkEnd w:id="3645"/>
    </w:p>
    <w:p>
      <w:pPr>
        <w:pStyle w:val="BookText"/>
      </w:pPr>
      <w:r>
        <w:rPr>
          <w:rFonts w:ascii="Amiri" w:hAnsi="Amiri" w:eastAsia="Amiri" w:cs="Amiri"/>
          <w:lang w:bidi="ar-SA"/>
          <w:color w:val="111111"/>
          <w:sz w:val="28"/>
          <w:szCs w:val="28"/>
          <w:rtl/>
        </w:rPr>
        <w:t xml:space="preserve">الصافي في شرح أصول الكافي، ج 10،</w:t>
      </w:r>
    </w:p>
    <w:p>
      <w:pPr>
        <w:pStyle w:val="BookText"/>
      </w:pPr>
      <w:r>
        <w:rPr>
          <w:rFonts w:ascii="IRNazanin" w:hAnsi="IRNazanin" w:eastAsia="IRNazanin" w:cs="IRNazanin"/>
          <w:lang w:bidi="fa-IR"/>
          <w:color w:val="111111"/>
          <w:sz w:val="28"/>
          <w:szCs w:val="28"/>
          <w:rtl/>
        </w:rPr>
        <w:t xml:space="preserve">ص 478 .</w:t>
      </w:r>
    </w:p>
    <w:p>
      <w:pPr>
        <w:pStyle w:val="BookText"/>
      </w:pPr>
      <w:r>
        <w:rPr>
          <w:rFonts w:ascii="IRNazanin" w:hAnsi="IRNazanin" w:eastAsia="IRNazanin" w:cs="IRNazanin"/>
          <w:lang w:bidi="fa-IR"/>
          <w:color w:val="111111"/>
          <w:sz w:val="28"/>
          <w:szCs w:val="28"/>
          <w:rtl/>
        </w:rPr>
        <w:t xml:space="preserve">حسيني ، حسن بن محمّد -رکن الدین حسيني ، حسن</w:t>
      </w:r>
    </w:p>
    <w:p>
      <w:pPr>
        <w:pStyle w:val="BookText"/>
      </w:pPr>
      <w:r>
        <w:rPr>
          <w:rFonts w:ascii="IRNazanin" w:hAnsi="IRNazanin" w:eastAsia="IRNazanin" w:cs="IRNazanin"/>
          <w:lang w:bidi="fa-IR"/>
          <w:color w:val="111111"/>
          <w:sz w:val="28"/>
          <w:szCs w:val="28"/>
          <w:rtl/>
        </w:rPr>
        <w:t xml:space="preserve">حسيني ، حسن بن محمّد شریف- نسابه</w:t>
      </w:r>
    </w:p>
    <w:p>
      <w:pPr>
        <w:pStyle w:val="BookText"/>
      </w:pPr>
      <w:r>
        <w:rPr>
          <w:rFonts w:ascii="IRNazanin" w:hAnsi="IRNazanin" w:eastAsia="IRNazanin" w:cs="IRNazanin"/>
          <w:lang w:bidi="fa-IR"/>
          <w:color w:val="111111"/>
          <w:sz w:val="28"/>
          <w:szCs w:val="28"/>
          <w:rtl/>
        </w:rPr>
        <w:t xml:space="preserve">، حسن بن محمّد</w:t>
      </w:r>
    </w:p>
    <w:p>
      <w:pPr>
        <w:pStyle w:val="Heading2"/>
      </w:pPr>
      <w:bookmarkStart w:id="3646" w:name="_Toc2748"/>
      <w:r>
        <w:t>حسيني ، حسن بن محمّد باقر</w:t>
      </w:r>
      <w:bookmarkEnd w:id="3646"/>
    </w:p>
    <w:p>
      <w:pPr>
        <w:pStyle w:val="BookText"/>
      </w:pPr>
      <w:r>
        <w:rPr>
          <w:rFonts w:ascii="IRNazanin" w:hAnsi="IRNazanin" w:eastAsia="IRNazanin" w:cs="IRNazanin"/>
          <w:lang w:bidi="fa-IR"/>
          <w:color w:val="111111"/>
          <w:sz w:val="28"/>
          <w:szCs w:val="28"/>
          <w:rtl/>
        </w:rPr>
        <w:t xml:space="preserve">رد التصوف، ج8، ص84.</w:t>
      </w:r>
    </w:p>
    <w:p>
      <w:pPr>
        <w:pStyle w:val="BookText"/>
      </w:pPr>
      <w:r>
        <w:rPr>
          <w:rFonts w:ascii="IRNazanin" w:hAnsi="IRNazanin" w:eastAsia="IRNazanin" w:cs="IRNazanin"/>
          <w:lang w:bidi="fa-IR"/>
          <w:color w:val="111111"/>
          <w:sz w:val="28"/>
          <w:szCs w:val="28"/>
          <w:rtl/>
        </w:rPr>
        <w:t xml:space="preserve">حسيني حسني، ابراهيم- جامع حسيني ابراهیم</w:t>
      </w:r>
    </w:p>
    <w:p>
      <w:pPr>
        <w:pStyle w:val="BookText"/>
      </w:pPr>
      <w:r>
        <w:rPr>
          <w:rFonts w:ascii="Amiri" w:hAnsi="Amiri" w:eastAsia="Amiri" w:cs="Amiri"/>
          <w:lang w:bidi="ar-SA"/>
          <w:color w:val="111111"/>
          <w:sz w:val="28"/>
          <w:szCs w:val="28"/>
          <w:rtl/>
        </w:rPr>
        <w:t xml:space="preserve">حسيني حسني موسوي ، جواد محمّد -عاملي غروي ، جواد بن محمّد</w:t>
      </w:r>
    </w:p>
    <w:p>
      <w:pPr>
        <w:pStyle w:val="Heading2"/>
      </w:pPr>
      <w:bookmarkStart w:id="3647" w:name="_Toc2749"/>
      <w:r>
        <w:t>حسيني ، حسين قرن 13 ه-</w:t>
      </w:r>
      <w:bookmarkEnd w:id="3647"/>
    </w:p>
    <w:p>
      <w:pPr>
        <w:pStyle w:val="BookText"/>
      </w:pPr>
      <w:r>
        <w:rPr>
          <w:rFonts w:ascii="Amiri" w:hAnsi="Amiri" w:eastAsia="Amiri" w:cs="Amiri"/>
          <w:lang w:bidi="ar-SA"/>
          <w:color w:val="111111"/>
          <w:sz w:val="28"/>
          <w:szCs w:val="28"/>
          <w:rtl/>
        </w:rPr>
        <w:t xml:space="preserve">1 .ستاره شناسي (رساله در)، ج8،</w:t>
      </w:r>
    </w:p>
    <w:p>
      <w:pPr>
        <w:pStyle w:val="BookText"/>
      </w:pPr>
      <w:r>
        <w:rPr>
          <w:rFonts w:ascii="IRNazanin" w:hAnsi="IRNazanin" w:eastAsia="IRNazanin" w:cs="IRNazanin"/>
          <w:lang w:bidi="fa-IR"/>
          <w:color w:val="111111"/>
          <w:sz w:val="28"/>
          <w:szCs w:val="28"/>
          <w:rtl/>
        </w:rPr>
        <w:t xml:space="preserve">ص 709.</w:t>
      </w:r>
    </w:p>
    <w:p>
      <w:pPr>
        <w:pStyle w:val="BookText"/>
      </w:pPr>
      <w:r>
        <w:rPr>
          <w:rFonts w:ascii="IRNazanin" w:hAnsi="IRNazanin" w:eastAsia="IRNazanin" w:cs="IRNazanin"/>
          <w:lang w:bidi="fa-IR"/>
          <w:color w:val="111111"/>
          <w:sz w:val="28"/>
          <w:szCs w:val="28"/>
          <w:rtl/>
        </w:rPr>
        <w:t xml:space="preserve">2 .المطالع، ج 14، ص 767 .</w:t>
      </w:r>
    </w:p>
    <w:p>
      <w:pPr>
        <w:pStyle w:val="BookText"/>
      </w:pPr>
      <w:r>
        <w:rPr>
          <w:rFonts w:ascii="Amiri" w:hAnsi="Amiri" w:eastAsia="Amiri" w:cs="Amiri"/>
          <w:lang w:bidi="ar-SA"/>
          <w:color w:val="111111"/>
          <w:sz w:val="28"/>
          <w:szCs w:val="28"/>
          <w:rtl/>
        </w:rPr>
        <w:t xml:space="preserve">حسيني ، حسين بن احمد- عبد العظيمي</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Amiri" w:hAnsi="Amiri" w:eastAsia="Amiri" w:cs="Amiri"/>
          <w:lang w:bidi="ar-SA"/>
          <w:color w:val="111111"/>
          <w:sz w:val="28"/>
          <w:szCs w:val="28"/>
          <w:rtl/>
        </w:rPr>
        <w:t xml:space="preserve">حسيني ، حسين بن رضا -بروجردي ،</w:t>
      </w:r>
    </w:p>
    <w:p>
      <w:pPr>
        <w:pStyle w:val="BookText"/>
      </w:pPr>
      <w:r>
        <w:rPr>
          <w:rFonts w:ascii="Amiri" w:hAnsi="Amiri" w:eastAsia="Amiri" w:cs="Amiri"/>
          <w:lang w:bidi="ar-SA"/>
          <w:color w:val="111111"/>
          <w:sz w:val="28"/>
          <w:szCs w:val="28"/>
          <w:rtl/>
        </w:rPr>
        <w:t xml:space="preserve">حسين بن محمّد رضا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7742_70170"/>
    <w:bookmarkEnd w:id="389"/>
    <w:p>
      <w:pPr>
        <w:pStyle w:val="Heading2"/>
      </w:pPr>
      <w:bookmarkStart w:id="3648" w:name="_Toc2750"/>
      <w:r>
        <w:t>حسيني حسين بن رضي الدين - 1285 ه-</w:t>
      </w:r>
      <w:bookmarkEnd w:id="36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الطهارة، ج 10، ص 857.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الفقه الاصيل، ج 12، ص90.</w:t>
      </w:r>
    </w:p>
    <w:p>
      <w:pPr>
        <w:pStyle w:val="BookText"/>
      </w:pPr>
      <w:r>
        <w:rPr>
          <w:rFonts w:ascii="Amiri" w:hAnsi="Amiri" w:eastAsia="Amiri" w:cs="Amiri"/>
          <w:lang w:bidi="ar-SA"/>
          <w:color w:val="111111"/>
          <w:sz w:val="28"/>
          <w:szCs w:val="28"/>
          <w:rtl/>
        </w:rPr>
        <w:t xml:space="preserve">حسيني ، حسين بن علي- اخلاطي ، حسين</w:t>
      </w:r>
    </w:p>
    <w:p>
      <w:pPr>
        <w:pStyle w:val="BookText"/>
      </w:pPr>
      <w:r>
        <w:rPr>
          <w:rFonts w:ascii="Amiri" w:hAnsi="Amiri" w:eastAsia="Amiri" w:cs="Amiri"/>
          <w:lang w:bidi="ar-SA"/>
          <w:color w:val="111111"/>
          <w:sz w:val="28"/>
          <w:szCs w:val="28"/>
          <w:rtl/>
        </w:rPr>
        <w:t xml:space="preserve">بن علي</w:t>
      </w:r>
    </w:p>
    <w:p>
      <w:pPr>
        <w:pStyle w:val="Heading2"/>
      </w:pPr>
      <w:bookmarkStart w:id="3649" w:name="_Toc2751"/>
      <w:r>
        <w:t>حسيني ، حسين بن علي بن محمّد</w:t>
      </w:r>
      <w:bookmarkEnd w:id="3649"/>
    </w:p>
    <w:p>
      <w:pPr>
        <w:pStyle w:val="BookText"/>
      </w:pPr>
      <w:r>
        <w:rPr>
          <w:rFonts w:ascii="Amiri" w:hAnsi="Amiri" w:eastAsia="Amiri" w:cs="Amiri"/>
          <w:lang w:bidi="ar-SA"/>
          <w:color w:val="111111"/>
          <w:sz w:val="28"/>
          <w:szCs w:val="28"/>
          <w:rtl/>
        </w:rPr>
        <w:t xml:space="preserve">الاربعين في الحديث، ج 1، ص 743.</w:t>
      </w:r>
    </w:p>
    <w:p>
      <w:pPr>
        <w:pStyle w:val="Heading2"/>
      </w:pPr>
      <w:bookmarkStart w:id="3650" w:name="_Toc2752"/>
      <w:r>
        <w:t>حسيني ، حسين بن ،محمّد قرن 14ه-</w:t>
      </w:r>
      <w:bookmarkEnd w:id="3650"/>
    </w:p>
    <w:p>
      <w:pPr>
        <w:pStyle w:val="BookText"/>
      </w:pPr>
      <w:r>
        <w:rPr>
          <w:rFonts w:ascii="Amiri" w:hAnsi="Amiri" w:eastAsia="Amiri" w:cs="Amiri"/>
          <w:lang w:bidi="ar-SA"/>
          <w:color w:val="111111"/>
          <w:sz w:val="28"/>
          <w:szCs w:val="28"/>
          <w:rtl/>
        </w:rPr>
        <w:t xml:space="preserve">علم الرجال - دراية الحديث، ج 11،</w:t>
      </w:r>
    </w:p>
    <w:p>
      <w:pPr>
        <w:pStyle w:val="BookText"/>
      </w:pPr>
      <w:r>
        <w:rPr>
          <w:rFonts w:ascii="IRNazanin" w:hAnsi="IRNazanin" w:eastAsia="IRNazanin" w:cs="IRNazanin"/>
          <w:lang w:bidi="fa-IR"/>
          <w:color w:val="111111"/>
          <w:sz w:val="28"/>
          <w:szCs w:val="28"/>
          <w:rtl/>
        </w:rPr>
        <w:t xml:space="preserve">ص 246 .</w:t>
      </w:r>
    </w:p>
    <w:p>
      <w:pPr>
        <w:pStyle w:val="BookText"/>
      </w:pPr>
      <w:r>
        <w:rPr>
          <w:rFonts w:ascii="IRNazanin" w:hAnsi="IRNazanin" w:eastAsia="IRNazanin" w:cs="IRNazanin"/>
          <w:lang w:bidi="fa-IR"/>
          <w:color w:val="111111"/>
          <w:sz w:val="28"/>
          <w:szCs w:val="28"/>
          <w:rtl/>
        </w:rPr>
        <w:t xml:space="preserve">حسيني ، حسين بن محمّد ابراهيم - قزويني ، حسین بن محمّد ابراهيم</w:t>
      </w:r>
    </w:p>
    <w:p>
      <w:pPr>
        <w:pStyle w:val="BookText"/>
      </w:pPr>
      <w:r>
        <w:rPr>
          <w:rFonts w:ascii="Amiri" w:hAnsi="Amiri" w:eastAsia="Amiri" w:cs="Amiri"/>
          <w:lang w:bidi="ar-SA"/>
          <w:color w:val="111111"/>
          <w:sz w:val="28"/>
          <w:szCs w:val="28"/>
          <w:rtl/>
        </w:rPr>
        <w:t xml:space="preserve">حسيني حصني ، ابوبكر بن محمّد- حصني ، ابوبكر بن محمّد</w:t>
      </w:r>
    </w:p>
    <w:p>
      <w:pPr>
        <w:pStyle w:val="BookText"/>
      </w:pPr>
      <w:r>
        <w:rPr>
          <w:rFonts w:ascii="Amiri" w:hAnsi="Amiri" w:eastAsia="Amiri" w:cs="Amiri"/>
          <w:lang w:bidi="ar-SA"/>
          <w:color w:val="111111"/>
          <w:sz w:val="28"/>
          <w:szCs w:val="28"/>
          <w:rtl/>
        </w:rPr>
        <w:t xml:space="preserve">حسيني حكيم ، شمس الدين محمّد سمرقندي- سمرقندي ، محمّد بن اشرف</w:t>
      </w:r>
    </w:p>
    <w:p>
      <w:pPr>
        <w:pStyle w:val="Heading2"/>
      </w:pPr>
      <w:bookmarkStart w:id="3651" w:name="_Toc2753"/>
      <w:r>
        <w:t>حسيني حلبي، احمد بن محمّد - 695 ه-</w:t>
      </w:r>
      <w:bookmarkEnd w:id="3651"/>
    </w:p>
    <w:p>
      <w:pPr>
        <w:pStyle w:val="BookText"/>
      </w:pPr>
      <w:r>
        <w:rPr>
          <w:rFonts w:ascii="Amiri" w:hAnsi="Amiri" w:eastAsia="Amiri" w:cs="Amiri"/>
          <w:lang w:bidi="ar-SA"/>
          <w:color w:val="111111"/>
          <w:sz w:val="28"/>
          <w:szCs w:val="28"/>
          <w:rtl/>
        </w:rPr>
        <w:t xml:space="preserve">صلة التكملة لوفيات النقلة للمنذري</w:t>
      </w:r>
    </w:p>
    <w:p>
      <w:pPr>
        <w:pStyle w:val="BookText"/>
      </w:pPr>
      <w:r>
        <w:rPr>
          <w:rFonts w:ascii="IRNazanin" w:hAnsi="IRNazanin" w:eastAsia="IRNazanin" w:cs="IRNazanin"/>
          <w:lang w:bidi="fa-IR"/>
          <w:color w:val="111111"/>
          <w:sz w:val="28"/>
          <w:szCs w:val="28"/>
          <w:rtl/>
        </w:rPr>
        <w:t xml:space="preserve">ج 10، ص 620 .</w:t>
      </w:r>
    </w:p>
    <w:p>
      <w:pPr>
        <w:pStyle w:val="BookText"/>
      </w:pPr>
      <w:r>
        <w:rPr>
          <w:rFonts w:ascii="Amiri" w:hAnsi="Amiri" w:eastAsia="Amiri" w:cs="Amiri"/>
          <w:lang w:bidi="ar-SA"/>
          <w:color w:val="111111"/>
          <w:sz w:val="28"/>
          <w:szCs w:val="28"/>
          <w:rtl/>
        </w:rPr>
        <w:t xml:space="preserve">حسيني حلمي ، اسعد بن ابي بكر -اسكداري ، اسعد بن ابي بكر</w:t>
      </w:r>
    </w:p>
    <w:p>
      <w:pPr>
        <w:pStyle w:val="BookText"/>
      </w:pPr>
      <w:r>
        <w:rPr>
          <w:rFonts w:ascii="Amiri" w:hAnsi="Amiri" w:eastAsia="Amiri" w:cs="Amiri"/>
          <w:lang w:bidi="ar-SA"/>
          <w:color w:val="111111"/>
          <w:sz w:val="28"/>
          <w:szCs w:val="28"/>
          <w:rtl/>
        </w:rPr>
        <w:t xml:space="preserve">حسيني حلي ، عبد المطلب بن</w:t>
      </w:r>
    </w:p>
    <w:p>
      <w:pPr>
        <w:pStyle w:val="BookText"/>
      </w:pPr>
      <w:r>
        <w:rPr>
          <w:rFonts w:ascii="Amiri" w:hAnsi="Amiri" w:eastAsia="Amiri" w:cs="Amiri"/>
          <w:lang w:bidi="ar-SA"/>
          <w:color w:val="111111"/>
          <w:sz w:val="28"/>
          <w:szCs w:val="28"/>
          <w:rtl/>
        </w:rPr>
        <w:t xml:space="preserve">محمّد- اعرجي حلي ، عبد المطلب بن محمّد</w:t>
      </w:r>
    </w:p>
    <w:p>
      <w:pPr>
        <w:pStyle w:val="BookText"/>
      </w:pPr>
      <w:r>
        <w:rPr>
          <w:rFonts w:ascii="Amiri" w:hAnsi="Amiri" w:eastAsia="Amiri" w:cs="Amiri"/>
          <w:lang w:bidi="ar-SA"/>
          <w:color w:val="111111"/>
          <w:sz w:val="28"/>
          <w:szCs w:val="28"/>
          <w:rtl/>
        </w:rPr>
        <w:t xml:space="preserve">حسيني حلي ، علي بن حمد قرن 14 ه-</w:t>
      </w:r>
    </w:p>
    <w:p>
      <w:pPr>
        <w:pStyle w:val="BookText"/>
      </w:pPr>
      <w:r>
        <w:rPr>
          <w:rFonts w:ascii="Amiri" w:hAnsi="Amiri" w:eastAsia="Amiri" w:cs="Amiri"/>
          <w:lang w:bidi="ar-SA"/>
          <w:color w:val="111111"/>
          <w:sz w:val="28"/>
          <w:szCs w:val="28"/>
          <w:rtl/>
        </w:rPr>
        <w:t xml:space="preserve">1 .بغية الامل في شرح تنبيهات براءة</w:t>
      </w:r>
    </w:p>
    <w:p>
      <w:pPr>
        <w:pStyle w:val="BookText"/>
      </w:pPr>
      <w:r>
        <w:rPr>
          <w:rFonts w:ascii="IRNazanin" w:hAnsi="IRNazanin" w:eastAsia="IRNazanin" w:cs="IRNazanin"/>
          <w:lang w:bidi="fa-IR"/>
          <w:color w:val="111111"/>
          <w:sz w:val="28"/>
          <w:szCs w:val="28"/>
          <w:rtl/>
        </w:rPr>
        <w:t xml:space="preserve">الرسائل، ج 3، ص 361 .</w:t>
      </w:r>
    </w:p>
    <w:p>
      <w:pPr>
        <w:pStyle w:val="BookText"/>
      </w:pPr>
      <w:r>
        <w:rPr>
          <w:rFonts w:ascii="Amiri" w:hAnsi="Amiri" w:eastAsia="Amiri" w:cs="Amiri"/>
          <w:lang w:bidi="ar-SA"/>
          <w:color w:val="111111"/>
          <w:sz w:val="28"/>
          <w:szCs w:val="28"/>
          <w:rtl/>
        </w:rPr>
        <w:t xml:space="preserve">2 .بهجة العقول في علم الاصول، ج3،</w:t>
      </w:r>
    </w:p>
    <w:p>
      <w:pPr>
        <w:pStyle w:val="BookText"/>
      </w:pPr>
      <w:r>
        <w:rPr>
          <w:rFonts w:ascii="IRNazanin" w:hAnsi="IRNazanin" w:eastAsia="IRNazanin" w:cs="IRNazanin"/>
          <w:lang w:bidi="fa-IR"/>
          <w:color w:val="111111"/>
          <w:sz w:val="28"/>
          <w:szCs w:val="28"/>
          <w:rtl/>
        </w:rPr>
        <w:t xml:space="preserve">ص 421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تقريرات الشيخ هادي جع،</w:t>
      </w:r>
    </w:p>
    <w:p>
      <w:pPr>
        <w:pStyle w:val="BookText"/>
      </w:pPr>
      <w:r>
        <w:rPr>
          <w:rFonts w:ascii="IRNazanin" w:hAnsi="IRNazanin" w:eastAsia="IRNazanin" w:cs="IRNazanin"/>
          <w:lang w:bidi="fa-IR"/>
          <w:color w:val="111111"/>
          <w:sz w:val="28"/>
          <w:szCs w:val="28"/>
          <w:rtl/>
        </w:rPr>
        <w:t xml:space="preserve">ص 762.</w:t>
      </w:r>
    </w:p>
    <w:p>
      <w:pPr>
        <w:pStyle w:val="BookText"/>
      </w:pPr>
      <w:r>
        <w:rPr>
          <w:rFonts w:ascii="Amiri" w:hAnsi="Amiri" w:eastAsia="Amiri" w:cs="Amiri"/>
          <w:lang w:bidi="ar-SA"/>
          <w:color w:val="111111"/>
          <w:sz w:val="28"/>
          <w:szCs w:val="28"/>
          <w:rtl/>
        </w:rPr>
        <w:t xml:space="preserve">4 .الضياء اللامع في شرح الشرائع،</w:t>
      </w:r>
    </w:p>
    <w:p>
      <w:pPr>
        <w:pStyle w:val="BookText"/>
      </w:pPr>
      <w:r>
        <w:rPr>
          <w:rFonts w:ascii="IRNazanin" w:hAnsi="IRNazanin" w:eastAsia="IRNazanin" w:cs="IRNazanin"/>
          <w:lang w:bidi="fa-IR"/>
          <w:color w:val="111111"/>
          <w:sz w:val="28"/>
          <w:szCs w:val="28"/>
          <w:rtl/>
        </w:rPr>
        <w:t xml:space="preserve">ج 10، ص 723.</w:t>
      </w:r>
    </w:p>
    <w:p>
      <w:pPr>
        <w:pStyle w:val="BookText"/>
      </w:pPr>
      <w:r>
        <w:rPr>
          <w:rFonts w:ascii="Amiri" w:hAnsi="Amiri" w:eastAsia="Amiri" w:cs="Amiri"/>
          <w:lang w:bidi="ar-SA"/>
          <w:color w:val="111111"/>
          <w:sz w:val="28"/>
          <w:szCs w:val="28"/>
          <w:rtl/>
        </w:rPr>
        <w:t xml:space="preserve">5 .مجموعة المسائل، ج 14، ص 57.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المعاطاة (رسالة في)، ج 14، ص 851.</w:t>
      </w:r>
    </w:p>
    <w:p>
      <w:pPr>
        <w:pStyle w:val="BookText"/>
      </w:pPr>
      <w:r>
        <w:rPr>
          <w:rFonts w:ascii="Amiri" w:hAnsi="Amiri" w:eastAsia="Amiri" w:cs="Amiri"/>
          <w:lang w:bidi="ar-SA"/>
          <w:color w:val="111111"/>
          <w:sz w:val="28"/>
          <w:szCs w:val="28"/>
          <w:rtl/>
        </w:rPr>
        <w:t xml:space="preserve">7 .نفحة الجنان في الشك في الصحة حال تعدي الاتيان، ج 16 ، ص389.</w:t>
      </w:r>
    </w:p>
    <w:p>
      <w:pPr>
        <w:pStyle w:val="Heading2"/>
      </w:pPr>
      <w:bookmarkStart w:id="3652" w:name="_Toc2754"/>
      <w:r>
        <w:t>حسيني حلي ، مسلم بن حمود</w:t>
      </w:r>
      <w:bookmarkEnd w:id="3652"/>
    </w:p>
    <w:p>
      <w:pPr>
        <w:pStyle w:val="BookText"/>
      </w:pPr>
      <w:r>
        <w:rPr>
          <w:rFonts w:ascii="Amiri" w:hAnsi="Amiri" w:eastAsia="Amiri" w:cs="Amiri"/>
          <w:lang w:bidi="ar-SA"/>
          <w:color w:val="111111"/>
          <w:sz w:val="28"/>
          <w:szCs w:val="28"/>
          <w:rtl/>
        </w:rPr>
        <w:t xml:space="preserve">1 .بلوغ الغاية في شرح الكفاية، ج3،</w:t>
      </w:r>
    </w:p>
    <w:p>
      <w:pPr>
        <w:pStyle w:val="BookText"/>
      </w:pPr>
      <w:r>
        <w:rPr>
          <w:rFonts w:ascii="IRNazanin" w:hAnsi="IRNazanin" w:eastAsia="IRNazanin" w:cs="IRNazanin"/>
          <w:lang w:bidi="fa-IR"/>
          <w:color w:val="111111"/>
          <w:sz w:val="28"/>
          <w:szCs w:val="28"/>
          <w:rtl/>
        </w:rPr>
        <w:t xml:space="preserve">ص399.</w:t>
      </w:r>
    </w:p>
    <w:p>
      <w:pPr>
        <w:pStyle w:val="BookText"/>
      </w:pPr>
      <w:r>
        <w:rPr>
          <w:rFonts w:ascii="IRNazanin" w:hAnsi="IRNazanin" w:eastAsia="IRNazanin" w:cs="IRNazanin"/>
          <w:lang w:bidi="fa-IR"/>
          <w:color w:val="111111"/>
          <w:sz w:val="28"/>
          <w:szCs w:val="28"/>
          <w:rtl/>
        </w:rPr>
        <w:t xml:space="preserve">2 .النظرات او المناظرات، ج 16،</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Amiri" w:hAnsi="Amiri" w:eastAsia="Amiri" w:cs="Amiri"/>
          <w:lang w:bidi="ar-SA"/>
          <w:color w:val="111111"/>
          <w:sz w:val="28"/>
          <w:szCs w:val="28"/>
          <w:rtl/>
        </w:rPr>
        <w:t xml:space="preserve">حسيني حمزاوي ، محمود بن محمّد -حمزاوي ، محمود بن محمّد</w:t>
      </w:r>
    </w:p>
    <w:p>
      <w:pPr>
        <w:pStyle w:val="BookText"/>
      </w:pPr>
      <w:r>
        <w:rPr>
          <w:rFonts w:ascii="IRNazanin" w:hAnsi="IRNazanin" w:eastAsia="IRNazanin" w:cs="IRNazanin"/>
          <w:lang w:bidi="fa-IR"/>
          <w:color w:val="111111"/>
          <w:sz w:val="28"/>
          <w:szCs w:val="28"/>
          <w:rtl/>
        </w:rPr>
        <w:t xml:space="preserve">حسيني حموي ، شهاب الدین احمد بن</w:t>
      </w:r>
    </w:p>
    <w:p>
      <w:pPr>
        <w:pStyle w:val="BookText"/>
      </w:pPr>
      <w:r>
        <w:rPr>
          <w:rFonts w:ascii="Amiri" w:hAnsi="Amiri" w:eastAsia="Amiri" w:cs="Amiri"/>
          <w:lang w:bidi="ar-SA"/>
          <w:color w:val="111111"/>
          <w:sz w:val="28"/>
          <w:szCs w:val="28"/>
          <w:rtl/>
        </w:rPr>
        <w:t xml:space="preserve">محمّد -حموي، احمد بن محمّد</w:t>
      </w:r>
    </w:p>
    <w:p>
      <w:pPr>
        <w:pStyle w:val="Heading2"/>
      </w:pPr>
      <w:bookmarkStart w:id="3653" w:name="_Toc2755"/>
      <w:r>
        <w:t>حسيني ، حميدالدين بن افضل الدين - 908ه-</w:t>
      </w:r>
      <w:bookmarkEnd w:id="3653"/>
    </w:p>
    <w:p>
      <w:pPr>
        <w:pStyle w:val="BookText"/>
      </w:pPr>
      <w:r>
        <w:rPr>
          <w:rFonts w:ascii="Amiri" w:hAnsi="Amiri" w:eastAsia="Amiri" w:cs="Amiri"/>
          <w:lang w:bidi="ar-SA"/>
          <w:color w:val="111111"/>
          <w:sz w:val="28"/>
          <w:szCs w:val="28"/>
          <w:rtl/>
        </w:rPr>
        <w:t xml:space="preserve">حاشية مطالع الانظار في شرح طوالع</w:t>
      </w:r>
    </w:p>
    <w:p>
      <w:pPr>
        <w:pStyle w:val="BookText"/>
      </w:pPr>
      <w:r>
        <w:rPr>
          <w:rFonts w:ascii="IRNazanin" w:hAnsi="IRNazanin" w:eastAsia="IRNazanin" w:cs="IRNazanin"/>
          <w:lang w:bidi="fa-IR"/>
          <w:color w:val="111111"/>
          <w:sz w:val="28"/>
          <w:szCs w:val="28"/>
          <w:rtl/>
        </w:rPr>
        <w:t xml:space="preserve">الانوار، ج6، ص 371</w:t>
      </w:r>
    </w:p>
    <w:p>
      <w:pPr>
        <w:pStyle w:val="BookText"/>
      </w:pPr>
      <w:r>
        <w:rPr>
          <w:rFonts w:ascii="Amiri" w:hAnsi="Amiri" w:eastAsia="Amiri" w:cs="Amiri"/>
          <w:lang w:bidi="ar-SA"/>
          <w:color w:val="111111"/>
          <w:sz w:val="28"/>
          <w:szCs w:val="28"/>
          <w:rtl/>
        </w:rPr>
        <w:t xml:space="preserve">حسيني حنفي ، محمّد امين بن</w:t>
      </w:r>
    </w:p>
    <w:p>
      <w:pPr>
        <w:pStyle w:val="BookText"/>
      </w:pPr>
      <w:r>
        <w:rPr>
          <w:rFonts w:ascii="IRNazanin" w:hAnsi="IRNazanin" w:eastAsia="IRNazanin" w:cs="IRNazanin"/>
          <w:lang w:bidi="fa-IR"/>
          <w:color w:val="111111"/>
          <w:sz w:val="28"/>
          <w:szCs w:val="28"/>
          <w:rtl/>
        </w:rPr>
        <w:t xml:space="preserve">محمود -بخاري ، محمّد امین بن محمود</w:t>
      </w:r>
    </w:p>
    <w:p>
      <w:pPr>
        <w:pStyle w:val="BookText"/>
      </w:pPr>
      <w:r>
        <w:rPr>
          <w:rFonts w:ascii="Amiri" w:hAnsi="Amiri" w:eastAsia="Amiri" w:cs="Amiri"/>
          <w:lang w:bidi="ar-SA"/>
          <w:color w:val="111111"/>
          <w:sz w:val="28"/>
          <w:szCs w:val="28"/>
          <w:rtl/>
        </w:rPr>
        <w:t xml:space="preserve">حسيني حويزي ، علي بن خلف- حويزي ، علي بن خلف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7742_70172"/>
    <w:bookmarkEnd w:id="390"/>
    <w:p>
      <w:pPr>
        <w:pStyle w:val="Heading2"/>
      </w:pPr>
      <w:bookmarkStart w:id="3654" w:name="_Toc2756"/>
      <w:r>
        <w:t>حسيني ، حيدر بن علي</w:t>
      </w:r>
      <w:bookmarkEnd w:id="3654"/>
    </w:p>
    <w:p>
      <w:pPr>
        <w:pStyle w:val="BookText"/>
      </w:pPr>
      <w:r>
        <w:rPr>
          <w:rFonts w:ascii="IRNazanin" w:hAnsi="IRNazanin" w:eastAsia="IRNazanin" w:cs="IRNazanin"/>
          <w:lang w:bidi="fa-IR"/>
          <w:color w:val="111111"/>
          <w:sz w:val="28"/>
          <w:szCs w:val="28"/>
          <w:rtl/>
        </w:rPr>
        <w:t xml:space="preserve">شرح روض الزهر، ج9، ص 572.</w:t>
      </w:r>
    </w:p>
    <w:p>
      <w:pPr>
        <w:pStyle w:val="BookText"/>
      </w:pPr>
      <w:r>
        <w:rPr>
          <w:rFonts w:ascii="IRNazanin" w:hAnsi="IRNazanin" w:eastAsia="IRNazanin" w:cs="IRNazanin"/>
          <w:lang w:bidi="fa-IR"/>
          <w:color w:val="111111"/>
          <w:sz w:val="28"/>
          <w:szCs w:val="28"/>
          <w:rtl/>
        </w:rPr>
        <w:t xml:space="preserve">حسيني خاتون آبادي ، اسماعيل بن محمّد باقر -خاتون آبادي ، اسماعیل بن محمّد باقر</w:t>
      </w:r>
    </w:p>
    <w:p>
      <w:pPr>
        <w:pStyle w:val="Heading2"/>
      </w:pPr>
      <w:bookmarkStart w:id="3655" w:name="_Toc2757"/>
      <w:r>
        <w:t>حسيني خاتون آبادي ، محمّد باقر بن</w:t>
      </w:r>
      <w:bookmarkEnd w:id="3655"/>
    </w:p>
    <w:p>
      <w:pPr>
        <w:pStyle w:val="BookText"/>
      </w:pPr>
      <w:r>
        <w:rPr>
          <w:rFonts w:ascii="IRNazanin" w:hAnsi="IRNazanin" w:eastAsia="IRNazanin" w:cs="IRNazanin"/>
          <w:lang w:bidi="fa-IR"/>
          <w:color w:val="111111"/>
          <w:sz w:val="28"/>
          <w:szCs w:val="28"/>
          <w:rtl/>
        </w:rPr>
        <w:t xml:space="preserve">،اسماعیل 1070 - 1127 ه-</w:t>
      </w:r>
    </w:p>
    <w:p>
      <w:pPr>
        <w:pStyle w:val="BookText"/>
      </w:pPr>
      <w:r>
        <w:rPr>
          <w:rFonts w:ascii="IRNazanin" w:hAnsi="IRNazanin" w:eastAsia="IRNazanin" w:cs="IRNazanin"/>
          <w:lang w:bidi="fa-IR"/>
          <w:color w:val="111111"/>
          <w:sz w:val="28"/>
          <w:szCs w:val="28"/>
          <w:rtl/>
        </w:rPr>
        <w:t xml:space="preserve">1 .آب نیسان و قمر در عقرب، ج1،</w:t>
      </w:r>
    </w:p>
    <w:p>
      <w:pPr>
        <w:pStyle w:val="BookText"/>
      </w:pPr>
      <w:r>
        <w:rPr>
          <w:rFonts w:ascii="IRNazanin" w:hAnsi="IRNazanin" w:eastAsia="IRNazanin" w:cs="IRNazanin"/>
          <w:lang w:bidi="fa-IR"/>
          <w:color w:val="111111"/>
          <w:sz w:val="28"/>
          <w:szCs w:val="28"/>
          <w:rtl/>
        </w:rPr>
        <w:t xml:space="preserve">ص 3.</w:t>
      </w:r>
    </w:p>
    <w:p>
      <w:pPr>
        <w:pStyle w:val="BookText"/>
      </w:pPr>
      <w:r>
        <w:rPr>
          <w:rFonts w:ascii="Amiri" w:hAnsi="Amiri" w:eastAsia="Amiri" w:cs="Amiri"/>
          <w:lang w:bidi="ar-SA"/>
          <w:color w:val="111111"/>
          <w:sz w:val="28"/>
          <w:szCs w:val="28"/>
          <w:rtl/>
        </w:rPr>
        <w:t xml:space="preserve">2 .آثار علوي، ج 1، ص10.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اسرار الحج (ترجمه)، ج2، ص 166.</w:t>
      </w:r>
    </w:p>
    <w:p>
      <w:pPr>
        <w:pStyle w:val="BookText"/>
      </w:pPr>
      <w:r>
        <w:rPr>
          <w:rFonts w:ascii="Amiri" w:hAnsi="Amiri" w:eastAsia="Amiri" w:cs="Amiri"/>
          <w:lang w:bidi="ar-SA"/>
          <w:color w:val="111111"/>
          <w:sz w:val="28"/>
          <w:szCs w:val="28"/>
          <w:rtl/>
        </w:rPr>
        <w:t xml:space="preserve">4 .سرار الصلاة (ترجمه)، ج 2، ص 174 .</w:t>
      </w:r>
    </w:p>
    <w:p>
      <w:pPr>
        <w:pStyle w:val="BookText"/>
      </w:pPr>
      <w:r>
        <w:rPr>
          <w:rFonts w:ascii="IRNazanin" w:hAnsi="IRNazanin" w:eastAsia="IRNazanin" w:cs="IRNazanin"/>
          <w:lang w:bidi="fa-IR"/>
          <w:color w:val="111111"/>
          <w:sz w:val="28"/>
          <w:szCs w:val="28"/>
          <w:rtl/>
        </w:rPr>
        <w:t xml:space="preserve">5 .رساله حقوق (ترجمه)، ج8،</w:t>
      </w:r>
    </w:p>
    <w:p>
      <w:pPr>
        <w:pStyle w:val="BookText"/>
      </w:pPr>
      <w:r>
        <w:rPr>
          <w:rFonts w:ascii="IRNazanin" w:hAnsi="IRNazanin" w:eastAsia="IRNazanin" w:cs="IRNazanin"/>
          <w:lang w:bidi="fa-IR"/>
          <w:color w:val="111111"/>
          <w:sz w:val="28"/>
          <w:szCs w:val="28"/>
          <w:rtl/>
        </w:rPr>
        <w:t xml:space="preserve">ص .191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متعه، ج13، ص 753.</w:t>
      </w:r>
    </w:p>
    <w:p>
      <w:pPr>
        <w:pStyle w:val="BookText"/>
      </w:pPr>
      <w:r>
        <w:rPr>
          <w:rFonts w:ascii="Amiri" w:hAnsi="Amiri" w:eastAsia="Amiri" w:cs="Amiri"/>
          <w:lang w:bidi="ar-SA"/>
          <w:color w:val="111111"/>
          <w:sz w:val="28"/>
          <w:szCs w:val="28"/>
          <w:rtl/>
        </w:rPr>
        <w:t xml:space="preserve">حسيني خاتون آبادي ، محمّد حسين بن محمّد صالح - خاتون آبادي ، محمّد حسين بن</w:t>
      </w:r>
    </w:p>
    <w:p>
      <w:pPr>
        <w:pStyle w:val="BookText"/>
      </w:pPr>
      <w:r>
        <w:rPr>
          <w:rFonts w:ascii="IRNazanin" w:hAnsi="IRNazanin" w:eastAsia="IRNazanin" w:cs="IRNazanin"/>
          <w:lang w:bidi="fa-IR"/>
          <w:color w:val="111111"/>
          <w:sz w:val="28"/>
          <w:szCs w:val="28"/>
          <w:rtl/>
        </w:rPr>
        <w:t xml:space="preserve">صالح</w:t>
      </w:r>
    </w:p>
    <w:p>
      <w:pPr>
        <w:pStyle w:val="Heading2"/>
      </w:pPr>
      <w:bookmarkStart w:id="3656" w:name="_Toc2758"/>
      <w:r>
        <w:t>حسيني خاتون آبادي ، محمّد صالح بن</w:t>
      </w:r>
      <w:bookmarkEnd w:id="3656"/>
    </w:p>
    <w:p>
      <w:pPr>
        <w:pStyle w:val="BookText"/>
      </w:pPr>
      <w:r>
        <w:rPr>
          <w:rFonts w:ascii="IRNazanin" w:hAnsi="IRNazanin" w:eastAsia="IRNazanin" w:cs="IRNazanin"/>
          <w:lang w:bidi="fa-IR"/>
          <w:color w:val="111111"/>
          <w:sz w:val="28"/>
          <w:szCs w:val="28"/>
          <w:rtl/>
        </w:rPr>
        <w:t xml:space="preserve">عبد الواسع، 1058 - 1126 ؟ ه-</w:t>
      </w:r>
    </w:p>
    <w:p>
      <w:pPr>
        <w:pStyle w:val="BookText"/>
      </w:pPr>
      <w:r>
        <w:rPr>
          <w:rFonts w:ascii="Amiri" w:hAnsi="Amiri" w:eastAsia="Amiri" w:cs="Amiri"/>
          <w:lang w:bidi="ar-SA"/>
          <w:color w:val="111111"/>
          <w:sz w:val="28"/>
          <w:szCs w:val="28"/>
          <w:rtl/>
        </w:rPr>
        <w:t xml:space="preserve">1 .تقويم شرعي، ج4، ص 802.</w:t>
      </w:r>
    </w:p>
    <w:p>
      <w:pPr>
        <w:pStyle w:val="BookText"/>
      </w:pPr>
      <w:r>
        <w:rPr>
          <w:rFonts w:ascii="Amiri" w:hAnsi="Amiri" w:eastAsia="Amiri" w:cs="Amiri"/>
          <w:lang w:bidi="ar-SA"/>
          <w:color w:val="111111"/>
          <w:sz w:val="28"/>
          <w:szCs w:val="28"/>
          <w:rtl/>
        </w:rPr>
        <w:t xml:space="preserve">2 التهليلية، ج 5، ص 137.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حدائق الجنان، ج 6، ص 513.</w:t>
      </w:r>
    </w:p>
    <w:p>
      <w:pPr>
        <w:pStyle w:val="BookText"/>
      </w:pPr>
      <w:r>
        <w:rPr>
          <w:rFonts w:ascii="Amiri" w:hAnsi="Amiri" w:eastAsia="Amiri" w:cs="Amiri"/>
          <w:lang w:bidi="ar-SA"/>
          <w:color w:val="111111"/>
          <w:sz w:val="28"/>
          <w:szCs w:val="28"/>
          <w:rtl/>
        </w:rPr>
        <w:t xml:space="preserve">4 .الهلالية = حكم الحاكم بثبوت</w:t>
      </w:r>
    </w:p>
    <w:p>
      <w:pPr>
        <w:pStyle w:val="BookText"/>
      </w:pPr>
      <w:r>
        <w:rPr>
          <w:rFonts w:ascii="IRNazanin" w:hAnsi="IRNazanin" w:eastAsia="IRNazanin" w:cs="IRNazanin"/>
          <w:lang w:bidi="fa-IR"/>
          <w:color w:val="111111"/>
          <w:sz w:val="28"/>
          <w:szCs w:val="28"/>
          <w:rtl/>
        </w:rPr>
        <w:t xml:space="preserve">الهلال، ج 16، ص 649.</w:t>
      </w:r>
    </w:p>
    <w:p>
      <w:pPr>
        <w:pStyle w:val="Heading2"/>
      </w:pPr>
      <w:bookmarkStart w:id="3657" w:name="_Toc2759"/>
      <w:r>
        <w:t>حسيني خادم ، معين الدين اشرف بن</w:t>
      </w:r>
      <w:bookmarkEnd w:id="3657"/>
    </w:p>
    <w:p>
      <w:pPr>
        <w:pStyle w:val="BookText"/>
      </w:pPr>
      <w:r>
        <w:rPr>
          <w:rFonts w:ascii="IRNazanin" w:hAnsi="IRNazanin" w:eastAsia="IRNazanin" w:cs="IRNazanin"/>
          <w:lang w:bidi="fa-IR"/>
          <w:color w:val="111111"/>
          <w:sz w:val="28"/>
          <w:szCs w:val="28"/>
          <w:rtl/>
        </w:rPr>
        <w:t xml:space="preserve">محمّد صادق قرن 11 ه-</w:t>
      </w:r>
    </w:p>
    <w:p>
      <w:pPr>
        <w:pStyle w:val="BookText"/>
      </w:pPr>
      <w:r>
        <w:rPr>
          <w:rFonts w:ascii="Amiri" w:hAnsi="Amiri" w:eastAsia="Amiri" w:cs="Amiri"/>
          <w:lang w:bidi="ar-SA"/>
          <w:color w:val="111111"/>
          <w:sz w:val="28"/>
          <w:szCs w:val="28"/>
          <w:rtl/>
        </w:rPr>
        <w:t xml:space="preserve">شرح الزيارة الجامعة، ج 9، ص 578.</w:t>
      </w:r>
    </w:p>
    <w:p>
      <w:pPr>
        <w:pStyle w:val="Heading2"/>
      </w:pPr>
      <w:bookmarkStart w:id="3658" w:name="_Toc2760"/>
      <w:r>
        <w:t>حسيني خراساني ، محمّد بن حسن 1322 ه-</w:t>
      </w:r>
      <w:bookmarkEnd w:id="3658"/>
    </w:p>
    <w:p>
      <w:pPr>
        <w:pStyle w:val="BookText"/>
      </w:pPr>
      <w:r>
        <w:rPr>
          <w:rFonts w:ascii="Amiri" w:hAnsi="Amiri" w:eastAsia="Amiri" w:cs="Amiri"/>
          <w:lang w:bidi="ar-SA"/>
          <w:color w:val="111111"/>
          <w:sz w:val="28"/>
          <w:szCs w:val="28"/>
          <w:rtl/>
        </w:rPr>
        <w:t xml:space="preserve">زبدة المقاتل، ج8، ص 591</w:t>
      </w:r>
    </w:p>
    <w:p>
      <w:pPr>
        <w:pStyle w:val="Heading2"/>
      </w:pPr>
      <w:bookmarkStart w:id="3659" w:name="_Toc2761"/>
      <w:r>
        <w:t>حسيني خراساني ، يوسف بن محمّد قرن</w:t>
      </w:r>
      <w:bookmarkEnd w:id="3659"/>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الكواكب الضيائية في شرح الزبدة</w:t>
      </w:r>
    </w:p>
    <w:p>
      <w:pPr>
        <w:pStyle w:val="BookText"/>
      </w:pPr>
      <w:r>
        <w:rPr>
          <w:rFonts w:ascii="Amiri" w:hAnsi="Amiri" w:eastAsia="Amiri" w:cs="Amiri"/>
          <w:lang w:bidi="ar-SA"/>
          <w:color w:val="111111"/>
          <w:sz w:val="28"/>
          <w:szCs w:val="28"/>
          <w:rtl/>
        </w:rPr>
        <w:t xml:space="preserve">البهائية، ج 13 ، ص 467.</w:t>
      </w:r>
    </w:p>
    <w:p>
      <w:pPr>
        <w:pStyle w:val="BookText"/>
      </w:pPr>
      <w:r>
        <w:rPr>
          <w:rFonts w:ascii="Amiri" w:hAnsi="Amiri" w:eastAsia="Amiri" w:cs="Amiri"/>
          <w:lang w:bidi="ar-SA"/>
          <w:color w:val="111111"/>
          <w:sz w:val="28"/>
          <w:szCs w:val="28"/>
          <w:rtl/>
        </w:rPr>
        <w:t xml:space="preserve">حسيني خطيب- خطيب ، صالح بن عباس</w:t>
      </w:r>
    </w:p>
    <w:p>
      <w:pPr>
        <w:pStyle w:val="Heading2"/>
      </w:pPr>
      <w:bookmarkStart w:id="3660" w:name="_Toc2762"/>
      <w:r>
        <w:t>حسيني خفري ، محمود قرن 13 ه-</w:t>
      </w:r>
      <w:bookmarkEnd w:id="3660"/>
    </w:p>
    <w:p>
      <w:pPr>
        <w:pStyle w:val="BookText"/>
      </w:pPr>
      <w:r>
        <w:rPr>
          <w:rFonts w:ascii="Amiri" w:hAnsi="Amiri" w:eastAsia="Amiri" w:cs="Amiri"/>
          <w:lang w:bidi="ar-SA"/>
          <w:color w:val="111111"/>
          <w:sz w:val="28"/>
          <w:szCs w:val="28"/>
          <w:rtl/>
        </w:rPr>
        <w:t xml:space="preserve">مهذب في علم الأدب، ج 15، ص 847.</w:t>
      </w:r>
    </w:p>
    <w:p>
      <w:pPr>
        <w:pStyle w:val="BookText"/>
      </w:pPr>
      <w:r>
        <w:rPr>
          <w:rFonts w:ascii="Amiri" w:hAnsi="Amiri" w:eastAsia="Amiri" w:cs="Amiri"/>
          <w:lang w:bidi="ar-SA"/>
          <w:color w:val="111111"/>
          <w:sz w:val="28"/>
          <w:szCs w:val="28"/>
          <w:rtl/>
        </w:rPr>
        <w:t xml:space="preserve">حسيني خلخالي ، حسين بن حسن- خلخالي ، حسين بن حسن</w:t>
      </w:r>
    </w:p>
    <w:p>
      <w:pPr>
        <w:pStyle w:val="Heading2"/>
      </w:pPr>
      <w:bookmarkStart w:id="3661" w:name="_Toc2763"/>
      <w:r>
        <w:t>حسيني خلخالي علي بن محمّد قرن 11ه-</w:t>
      </w:r>
      <w:bookmarkEnd w:id="3661"/>
    </w:p>
    <w:p>
      <w:pPr>
        <w:pStyle w:val="BookText"/>
      </w:pPr>
      <w:r>
        <w:rPr>
          <w:rFonts w:ascii="Amiri" w:hAnsi="Amiri" w:eastAsia="Amiri" w:cs="Amiri"/>
          <w:lang w:bidi="ar-SA"/>
          <w:color w:val="111111"/>
          <w:sz w:val="28"/>
          <w:szCs w:val="28"/>
          <w:rtl/>
        </w:rPr>
        <w:t xml:space="preserve">شرح خلاصة الحساب، ج 9، ص 441 .</w:t>
      </w:r>
    </w:p>
    <w:p>
      <w:pPr>
        <w:pStyle w:val="Heading2"/>
      </w:pPr>
      <w:bookmarkStart w:id="3662" w:name="_Toc2764"/>
      <w:r>
        <w:t>حسيني ، داود بن سليمان</w:t>
      </w:r>
      <w:bookmarkEnd w:id="3662"/>
    </w:p>
    <w:p>
      <w:pPr>
        <w:pStyle w:val="BookText"/>
      </w:pPr>
      <w:r>
        <w:rPr>
          <w:rFonts w:ascii="Amiri" w:hAnsi="Amiri" w:eastAsia="Amiri" w:cs="Amiri"/>
          <w:lang w:bidi="ar-SA"/>
          <w:color w:val="111111"/>
          <w:sz w:val="28"/>
          <w:szCs w:val="28"/>
          <w:rtl/>
        </w:rPr>
        <w:t xml:space="preserve">النحو (رسالة في)، ج 16 ، ص 174.</w:t>
      </w:r>
    </w:p>
    <w:p>
      <w:pPr>
        <w:pStyle w:val="Heading2"/>
      </w:pPr>
      <w:bookmarkStart w:id="3663" w:name="_Toc2765"/>
      <w:r>
        <w:t>حسيني دشتكي ، احمد بن ابراهيم</w:t>
      </w:r>
      <w:bookmarkEnd w:id="3663"/>
    </w:p>
    <w:p>
      <w:pPr>
        <w:pStyle w:val="BookText"/>
      </w:pPr>
      <w:r>
        <w:rPr>
          <w:rFonts w:ascii="IRNazanin" w:hAnsi="IRNazanin" w:eastAsia="IRNazanin" w:cs="IRNazanin"/>
          <w:lang w:bidi="fa-IR"/>
          <w:color w:val="111111"/>
          <w:sz w:val="28"/>
          <w:szCs w:val="28"/>
          <w:rtl/>
        </w:rPr>
        <w:t xml:space="preserve">101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الواجب، ج 1، ص 165.</w:t>
      </w:r>
    </w:p>
    <w:p>
      <w:pPr>
        <w:pStyle w:val="BookText"/>
      </w:pPr>
      <w:r>
        <w:rPr>
          <w:rFonts w:ascii="Amiri" w:hAnsi="Amiri" w:eastAsia="Amiri" w:cs="Amiri"/>
          <w:lang w:bidi="ar-SA"/>
          <w:color w:val="111111"/>
          <w:sz w:val="28"/>
          <w:szCs w:val="28"/>
          <w:rtl/>
        </w:rPr>
        <w:t xml:space="preserve">2 .اثبات الواجب الكبير، ج 1، ص 173.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التوحيد، ج 5، ص 152.</w:t>
      </w:r>
    </w:p>
    <w:p>
      <w:pPr>
        <w:pStyle w:val="BookText"/>
      </w:pPr>
      <w:r>
        <w:rPr>
          <w:rFonts w:ascii="Amiri" w:hAnsi="Amiri" w:eastAsia="Amiri" w:cs="Amiri"/>
          <w:lang w:bidi="ar-SA"/>
          <w:color w:val="111111"/>
          <w:sz w:val="28"/>
          <w:szCs w:val="28"/>
          <w:rtl/>
        </w:rPr>
        <w:t xml:space="preserve">4 .معية الواجب الحق بالموجودات =</w:t>
      </w:r>
    </w:p>
    <w:p>
      <w:pPr>
        <w:pStyle w:val="BookText"/>
      </w:pPr>
      <w:r>
        <w:rPr>
          <w:rFonts w:ascii="Amiri" w:hAnsi="Amiri" w:eastAsia="Amiri" w:cs="Amiri"/>
          <w:lang w:bidi="ar-SA"/>
          <w:color w:val="111111"/>
          <w:sz w:val="28"/>
          <w:szCs w:val="28"/>
          <w:rtl/>
        </w:rPr>
        <w:t xml:space="preserve">سريان الوجود، ج 15، ص 101.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1" w:name="pg7742_70174"/>
    <w:bookmarkEnd w:id="391"/>
    <w:p>
      <w:pPr>
        <w:pStyle w:val="BookText"/>
      </w:pPr>
      <w:r>
        <w:rPr>
          <w:rFonts w:ascii="Amiri" w:hAnsi="Amiri" w:eastAsia="Amiri" w:cs="Amiri"/>
          <w:lang w:bidi="ar-SA"/>
          <w:color w:val="111111"/>
          <w:sz w:val="28"/>
          <w:szCs w:val="28"/>
          <w:rtl/>
        </w:rPr>
        <w:t xml:space="preserve">حسيني دشتكي ، جمال الدين عطاء الله فضل الله- جمال حسيني ، عطاء الله بن فضل</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حسيني دشتكي ، مير غياث الدين</w:t>
      </w:r>
    </w:p>
    <w:p>
      <w:pPr>
        <w:pStyle w:val="BookText"/>
      </w:pPr>
      <w:r>
        <w:rPr>
          <w:rFonts w:ascii="Amiri" w:hAnsi="Amiri" w:eastAsia="Amiri" w:cs="Amiri"/>
          <w:lang w:bidi="ar-SA"/>
          <w:color w:val="111111"/>
          <w:sz w:val="28"/>
          <w:szCs w:val="28"/>
          <w:rtl/>
        </w:rPr>
        <w:t xml:space="preserve">منصور- دشتكي شيرازي ، منصور بن</w:t>
      </w:r>
    </w:p>
    <w:p>
      <w:pPr>
        <w:pStyle w:val="BookText"/>
      </w:pPr>
      <w:r>
        <w:rPr>
          <w:rFonts w:ascii="IRNazanin" w:hAnsi="IRNazanin" w:eastAsia="IRNazanin" w:cs="IRNazanin"/>
          <w:lang w:bidi="fa-IR"/>
          <w:color w:val="111111"/>
          <w:sz w:val="28"/>
          <w:szCs w:val="28"/>
          <w:rtl/>
        </w:rPr>
        <w:t xml:space="preserve">صدرالدین محمّد</w:t>
      </w:r>
    </w:p>
    <w:p>
      <w:pPr>
        <w:pStyle w:val="BookText"/>
      </w:pPr>
      <w:r>
        <w:rPr>
          <w:rFonts w:ascii="Amiri" w:hAnsi="Amiri" w:eastAsia="Amiri" w:cs="Amiri"/>
          <w:lang w:bidi="ar-SA"/>
          <w:color w:val="111111"/>
          <w:sz w:val="28"/>
          <w:szCs w:val="28"/>
          <w:rtl/>
        </w:rPr>
        <w:t xml:space="preserve">حسيني دكني ، طاهر بن رضي</w:t>
      </w:r>
    </w:p>
    <w:p>
      <w:pPr>
        <w:pStyle w:val="BookText"/>
      </w:pPr>
      <w:r>
        <w:rPr>
          <w:rFonts w:ascii="Amiri" w:hAnsi="Amiri" w:eastAsia="Amiri" w:cs="Amiri"/>
          <w:lang w:bidi="ar-SA"/>
          <w:color w:val="111111"/>
          <w:sz w:val="28"/>
          <w:szCs w:val="28"/>
          <w:rtl/>
        </w:rPr>
        <w:t xml:space="preserve">الدين -حسيني كاشاني ، طاهر بن رضي الدين</w:t>
      </w:r>
    </w:p>
    <w:p>
      <w:pPr>
        <w:pStyle w:val="BookText"/>
      </w:pPr>
      <w:r>
        <w:rPr>
          <w:rFonts w:ascii="Amiri" w:hAnsi="Amiri" w:eastAsia="Amiri" w:cs="Amiri"/>
          <w:lang w:bidi="ar-SA"/>
          <w:color w:val="111111"/>
          <w:sz w:val="28"/>
          <w:szCs w:val="28"/>
          <w:rtl/>
        </w:rPr>
        <w:t xml:space="preserve">حسيني دمشقي ، ابوبكر بن محمّد- حصني ، ابوبكر بن محمّد</w:t>
      </w:r>
    </w:p>
    <w:p>
      <w:pPr>
        <w:pStyle w:val="Heading2"/>
      </w:pPr>
      <w:bookmarkStart w:id="3664" w:name="_Toc2766"/>
      <w:r>
        <w:t>حسيني ، ذبيح الله بن تقي</w:t>
      </w:r>
      <w:bookmarkEnd w:id="3664"/>
    </w:p>
    <w:p>
      <w:pPr>
        <w:pStyle w:val="BookText"/>
      </w:pPr>
      <w:r>
        <w:rPr>
          <w:rFonts w:ascii="Amiri" w:hAnsi="Amiri" w:eastAsia="Amiri" w:cs="Amiri"/>
          <w:lang w:bidi="ar-SA"/>
          <w:color w:val="111111"/>
          <w:sz w:val="28"/>
          <w:szCs w:val="28"/>
          <w:rtl/>
        </w:rPr>
        <w:t xml:space="preserve">أدعية، ج 1، ص 607.</w:t>
      </w:r>
    </w:p>
    <w:p>
      <w:pPr>
        <w:pStyle w:val="Heading2"/>
      </w:pPr>
      <w:bookmarkStart w:id="3665" w:name="_Toc2767"/>
      <w:r>
        <w:t>حسيني رازي ، محمّد</w:t>
      </w:r>
      <w:bookmarkEnd w:id="3665"/>
    </w:p>
    <w:p>
      <w:pPr>
        <w:pStyle w:val="BookText"/>
      </w:pPr>
      <w:r>
        <w:rPr>
          <w:rFonts w:ascii="Amiri" w:hAnsi="Amiri" w:eastAsia="Amiri" w:cs="Amiri"/>
          <w:lang w:bidi="ar-SA"/>
          <w:color w:val="111111"/>
          <w:sz w:val="28"/>
          <w:szCs w:val="28"/>
          <w:rtl/>
        </w:rPr>
        <w:t xml:space="preserve">تعليقة على المكاسب، ج 4، ص 533.</w:t>
      </w:r>
    </w:p>
    <w:p>
      <w:pPr>
        <w:pStyle w:val="BookText"/>
      </w:pPr>
      <w:r>
        <w:rPr>
          <w:rFonts w:ascii="Amiri" w:hAnsi="Amiri" w:eastAsia="Amiri" w:cs="Amiri"/>
          <w:lang w:bidi="ar-SA"/>
          <w:color w:val="111111"/>
          <w:sz w:val="28"/>
          <w:szCs w:val="28"/>
          <w:rtl/>
        </w:rPr>
        <w:t xml:space="preserve">حسيني رازي، مرتضى بن داعي- علم</w:t>
      </w:r>
    </w:p>
    <w:p>
      <w:pPr>
        <w:pStyle w:val="BookText"/>
      </w:pPr>
      <w:r>
        <w:rPr>
          <w:rFonts w:ascii="Amiri" w:hAnsi="Amiri" w:eastAsia="Amiri" w:cs="Amiri"/>
          <w:lang w:bidi="ar-SA"/>
          <w:color w:val="111111"/>
          <w:sz w:val="28"/>
          <w:szCs w:val="28"/>
          <w:rtl/>
        </w:rPr>
        <w:t xml:space="preserve">الهدى ، مرتضى بن داعي</w:t>
      </w:r>
    </w:p>
    <w:p>
      <w:pPr>
        <w:pStyle w:val="Heading2"/>
      </w:pPr>
      <w:bookmarkStart w:id="3666" w:name="_Toc2768"/>
      <w:r>
        <w:t>حسيني رشتي، احمد بن كاظم - 1295ه-</w:t>
      </w:r>
      <w:bookmarkEnd w:id="3666"/>
    </w:p>
    <w:p>
      <w:pPr>
        <w:pStyle w:val="BookText"/>
      </w:pPr>
      <w:r>
        <w:rPr>
          <w:rFonts w:ascii="IRNazanin" w:hAnsi="IRNazanin" w:eastAsia="IRNazanin" w:cs="IRNazanin"/>
          <w:lang w:bidi="fa-IR"/>
          <w:color w:val="111111"/>
          <w:sz w:val="28"/>
          <w:szCs w:val="28"/>
          <w:rtl/>
        </w:rPr>
        <w:t xml:space="preserve">1 .اشعار، ج2، ص 287.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سيد احمد الرشتي، ج7،</w:t>
      </w:r>
    </w:p>
    <w:p>
      <w:pPr>
        <w:pStyle w:val="BookText"/>
      </w:pPr>
      <w:r>
        <w:rPr>
          <w:rFonts w:ascii="IRNazanin" w:hAnsi="IRNazanin" w:eastAsia="IRNazanin" w:cs="IRNazanin"/>
          <w:lang w:bidi="fa-IR"/>
          <w:color w:val="111111"/>
          <w:sz w:val="28"/>
          <w:szCs w:val="28"/>
          <w:rtl/>
        </w:rPr>
        <w:t xml:space="preserve">ص 656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رحلة السيد احمد الرشتي إلى</w:t>
      </w:r>
    </w:p>
    <w:p>
      <w:pPr>
        <w:pStyle w:val="BookText"/>
      </w:pPr>
      <w:r>
        <w:rPr>
          <w:rFonts w:ascii="IRNazanin" w:hAnsi="IRNazanin" w:eastAsia="IRNazanin" w:cs="IRNazanin"/>
          <w:lang w:bidi="fa-IR"/>
          <w:color w:val="111111"/>
          <w:sz w:val="28"/>
          <w:szCs w:val="28"/>
          <w:rtl/>
        </w:rPr>
        <w:t xml:space="preserve">،ایران، ج8، ص68.</w:t>
      </w:r>
    </w:p>
    <w:p>
      <w:pPr>
        <w:pStyle w:val="BookText"/>
      </w:pPr>
      <w:r>
        <w:rPr>
          <w:rFonts w:ascii="Amiri" w:hAnsi="Amiri" w:eastAsia="Amiri" w:cs="Amiri"/>
          <w:lang w:bidi="ar-SA"/>
          <w:color w:val="111111"/>
          <w:sz w:val="28"/>
          <w:szCs w:val="28"/>
          <w:rtl/>
        </w:rPr>
        <w:t xml:space="preserve">4 .شواهد الغيب، ج 10، ص 452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المقاصد الرضية من شرح شواهد</w:t>
      </w:r>
    </w:p>
    <w:p>
      <w:pPr>
        <w:pStyle w:val="BookText"/>
      </w:pPr>
      <w:r>
        <w:rPr>
          <w:rFonts w:ascii="Amiri" w:hAnsi="Amiri" w:eastAsia="Amiri" w:cs="Amiri"/>
          <w:lang w:bidi="ar-SA"/>
          <w:color w:val="111111"/>
          <w:sz w:val="28"/>
          <w:szCs w:val="28"/>
          <w:rtl/>
        </w:rPr>
        <w:t xml:space="preserve">البهجة المرضية، ج 15، ص270.</w:t>
      </w:r>
    </w:p>
    <w:p>
      <w:pPr>
        <w:pStyle w:val="BookText"/>
      </w:pPr>
      <w:r>
        <w:rPr>
          <w:rFonts w:ascii="IRNazanin" w:hAnsi="IRNazanin" w:eastAsia="IRNazanin" w:cs="IRNazanin"/>
          <w:lang w:bidi="fa-IR"/>
          <w:color w:val="111111"/>
          <w:sz w:val="28"/>
          <w:szCs w:val="28"/>
          <w:rtl/>
        </w:rPr>
        <w:t xml:space="preserve">6 .وصف العلماء، ج 16، ص 805</w:t>
      </w:r>
    </w:p>
    <w:p>
      <w:pPr>
        <w:pStyle w:val="BookText"/>
      </w:pPr>
      <w:r>
        <w:rPr>
          <w:rFonts w:ascii="Amiri" w:hAnsi="Amiri" w:eastAsia="Amiri" w:cs="Amiri"/>
          <w:lang w:bidi="ar-SA"/>
          <w:color w:val="111111"/>
          <w:sz w:val="28"/>
          <w:szCs w:val="28"/>
          <w:rtl/>
        </w:rPr>
        <w:t xml:space="preserve">حسيني رشتي ، كاظم بن قاسم -رشتي ،</w:t>
      </w:r>
    </w:p>
    <w:p>
      <w:pPr>
        <w:pStyle w:val="BookText"/>
      </w:pPr>
      <w:r>
        <w:rPr>
          <w:rFonts w:ascii="IRNazanin" w:hAnsi="IRNazanin" w:eastAsia="IRNazanin" w:cs="IRNazanin"/>
          <w:lang w:bidi="fa-IR"/>
          <w:color w:val="111111"/>
          <w:sz w:val="28"/>
          <w:szCs w:val="28"/>
          <w:rtl/>
        </w:rPr>
        <w:t xml:space="preserve">کاظم بن قاسم</w:t>
      </w:r>
    </w:p>
    <w:p>
      <w:pPr>
        <w:pStyle w:val="BookText"/>
      </w:pPr>
      <w:r>
        <w:rPr>
          <w:rFonts w:ascii="Amiri" w:hAnsi="Amiri" w:eastAsia="Amiri" w:cs="Amiri"/>
          <w:lang w:bidi="ar-SA"/>
          <w:color w:val="111111"/>
          <w:sz w:val="28"/>
          <w:szCs w:val="28"/>
          <w:rtl/>
        </w:rPr>
        <w:t xml:space="preserve">حسيني ، رضي الدين بن محمّد- موسوي</w:t>
      </w:r>
    </w:p>
    <w:p>
      <w:pPr>
        <w:pStyle w:val="BookText"/>
      </w:pPr>
      <w:r>
        <w:rPr>
          <w:rFonts w:ascii="Amiri" w:hAnsi="Amiri" w:eastAsia="Amiri" w:cs="Amiri"/>
          <w:lang w:bidi="ar-SA"/>
          <w:color w:val="111111"/>
          <w:sz w:val="28"/>
          <w:szCs w:val="28"/>
          <w:rtl/>
        </w:rPr>
        <w:t xml:space="preserve">عاملي، رضي الدين بن محمّد علي</w:t>
      </w:r>
    </w:p>
    <w:p>
      <w:pPr>
        <w:pStyle w:val="Heading2"/>
      </w:pPr>
      <w:bookmarkStart w:id="3667" w:name="_Toc2769"/>
      <w:r>
        <w:t>حسيني رضوي، محمّد حسين بن علي</w:t>
      </w:r>
      <w:bookmarkEnd w:id="3667"/>
    </w:p>
    <w:p>
      <w:pPr>
        <w:pStyle w:val="BookText"/>
      </w:pPr>
      <w:r>
        <w:rPr>
          <w:rFonts w:ascii="IRNazanin" w:hAnsi="IRNazanin" w:eastAsia="IRNazanin" w:cs="IRNazanin"/>
          <w:lang w:bidi="fa-IR"/>
          <w:color w:val="111111"/>
          <w:sz w:val="28"/>
          <w:szCs w:val="28"/>
          <w:rtl/>
        </w:rPr>
        <w:t xml:space="preserve">اصغر</w:t>
      </w:r>
    </w:p>
    <w:p>
      <w:pPr>
        <w:pStyle w:val="BookText"/>
      </w:pPr>
      <w:r>
        <w:rPr>
          <w:rFonts w:ascii="Amiri" w:hAnsi="Amiri" w:eastAsia="Amiri" w:cs="Amiri"/>
          <w:lang w:bidi="ar-SA"/>
          <w:color w:val="111111"/>
          <w:sz w:val="28"/>
          <w:szCs w:val="28"/>
          <w:rtl/>
        </w:rPr>
        <w:t xml:space="preserve">كفاية المومنين، ج13، ص 334.</w:t>
      </w:r>
    </w:p>
    <w:p>
      <w:pPr>
        <w:pStyle w:val="Heading2"/>
      </w:pPr>
      <w:bookmarkStart w:id="3668" w:name="_Toc2770"/>
      <w:r>
        <w:t>حسيني رضوي ، ولي الله بن نعمت الله</w:t>
      </w:r>
      <w:bookmarkEnd w:id="3668"/>
    </w:p>
    <w:p>
      <w:pPr>
        <w:pStyle w:val="BookText"/>
      </w:pPr>
      <w:r>
        <w:rPr>
          <w:rFonts w:ascii="IRNazanin" w:hAnsi="IRNazanin" w:eastAsia="IRNazanin" w:cs="IRNazanin"/>
          <w:lang w:bidi="fa-IR"/>
          <w:color w:val="111111"/>
          <w:sz w:val="28"/>
          <w:szCs w:val="28"/>
          <w:rtl/>
        </w:rPr>
        <w:t xml:space="preserve">قرن 10 ه-</w:t>
      </w:r>
    </w:p>
    <w:p>
      <w:pPr>
        <w:pStyle w:val="BookText"/>
      </w:pPr>
      <w:r>
        <w:rPr>
          <w:rFonts w:ascii="Amiri" w:hAnsi="Amiri" w:eastAsia="Amiri" w:cs="Amiri"/>
          <w:lang w:bidi="ar-SA"/>
          <w:color w:val="111111"/>
          <w:sz w:val="28"/>
          <w:szCs w:val="28"/>
          <w:rtl/>
        </w:rPr>
        <w:t xml:space="preserve">1 .كنز المطالب وبحر المناقب = فخر المناقب في فضائل علي بن ابيطالب</w:t>
      </w:r>
    </w:p>
    <w:p>
      <w:pPr>
        <w:pStyle w:val="BookText"/>
      </w:pPr>
      <w:r>
        <w:rPr>
          <w:rFonts w:ascii="IRNazanin" w:hAnsi="IRNazanin" w:eastAsia="IRNazanin" w:cs="IRNazanin"/>
          <w:lang w:bidi="fa-IR"/>
          <w:color w:val="111111"/>
          <w:sz w:val="28"/>
          <w:szCs w:val="28"/>
          <w:rtl/>
        </w:rPr>
        <w:t xml:space="preserve">(ع)، ج 13، ص 436 .</w:t>
      </w:r>
    </w:p>
    <w:p>
      <w:pPr>
        <w:pStyle w:val="BookText"/>
      </w:pPr>
      <w:r>
        <w:rPr>
          <w:rFonts w:ascii="Amiri" w:hAnsi="Amiri" w:eastAsia="Amiri" w:cs="Amiri"/>
          <w:lang w:bidi="ar-SA"/>
          <w:color w:val="111111"/>
          <w:sz w:val="28"/>
          <w:szCs w:val="28"/>
          <w:rtl/>
        </w:rPr>
        <w:t xml:space="preserve">2 .منهاج الحق واليقين في تفضيل علي امير المؤمنين على سائر الانبياء و المرسلين، ج 15 ، ص 754.</w:t>
      </w:r>
    </w:p>
    <w:p>
      <w:pPr>
        <w:pStyle w:val="BookText"/>
      </w:pPr>
      <w:r>
        <w:rPr>
          <w:rFonts w:ascii="Amiri" w:hAnsi="Amiri" w:eastAsia="Amiri" w:cs="Amiri"/>
          <w:lang w:bidi="ar-SA"/>
          <w:color w:val="111111"/>
          <w:sz w:val="28"/>
          <w:szCs w:val="28"/>
          <w:rtl/>
        </w:rPr>
        <w:t xml:space="preserve">حسيني رفاعي ، احمد بن علي -رفاعي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حسيني رومي ، علي- جفري رومي ، علي</w:t>
      </w:r>
    </w:p>
    <w:p>
      <w:pPr>
        <w:pStyle w:val="BookText"/>
      </w:pPr>
      <w:r>
        <w:rPr>
          <w:rFonts w:ascii="Amiri" w:hAnsi="Amiri" w:eastAsia="Amiri" w:cs="Amiri"/>
          <w:lang w:bidi="ar-SA"/>
          <w:color w:val="111111"/>
          <w:sz w:val="28"/>
          <w:szCs w:val="28"/>
          <w:rtl/>
        </w:rPr>
        <w:t xml:space="preserve">حسيني زاهدي ، عبد الحي -زاهدي لاري ،</w:t>
      </w:r>
    </w:p>
    <w:p>
      <w:pPr>
        <w:pStyle w:val="BookText"/>
      </w:pPr>
      <w:r>
        <w:rPr>
          <w:rFonts w:ascii="Amiri" w:hAnsi="Amiri" w:eastAsia="Amiri" w:cs="Amiri"/>
          <w:lang w:bidi="ar-SA"/>
          <w:color w:val="111111"/>
          <w:sz w:val="28"/>
          <w:szCs w:val="28"/>
          <w:rtl/>
        </w:rPr>
        <w:t xml:space="preserve">عبد الحي بن عزالدين</w:t>
      </w:r>
    </w:p>
    <w:p>
      <w:pPr>
        <w:pStyle w:val="BookText"/>
      </w:pPr>
      <w:r>
        <w:rPr>
          <w:rFonts w:ascii="Amiri" w:hAnsi="Amiri" w:eastAsia="Amiri" w:cs="Amiri"/>
          <w:lang w:bidi="ar-SA"/>
          <w:color w:val="111111"/>
          <w:sz w:val="28"/>
          <w:szCs w:val="28"/>
          <w:rtl/>
        </w:rPr>
        <w:t xml:space="preserve">حسيني زبيدي ، محمّد بن</w:t>
      </w:r>
    </w:p>
    <w:p>
      <w:pPr>
        <w:pStyle w:val="BookText"/>
      </w:pPr>
      <w:r>
        <w:rPr>
          <w:rFonts w:ascii="Amiri" w:hAnsi="Amiri" w:eastAsia="Amiri" w:cs="Amiri"/>
          <w:lang w:bidi="ar-SA"/>
          <w:color w:val="111111"/>
          <w:sz w:val="28"/>
          <w:szCs w:val="28"/>
          <w:rtl/>
        </w:rPr>
        <w:t xml:space="preserve">محمّد -مرتضى زبيدي ، محمّد بن محمّد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2" w:name="pg7742_70176"/>
    <w:bookmarkEnd w:id="392"/>
    <w:p>
      <w:pPr>
        <w:pStyle w:val="Heading2"/>
      </w:pPr>
      <w:bookmarkStart w:id="3669" w:name="_Toc2771"/>
      <w:r>
        <w:t>حسيني زنجاني ، مرتضی بن یحیی قرن</w:t>
      </w:r>
      <w:bookmarkEnd w:id="3669"/>
    </w:p>
    <w:p>
      <w:pPr>
        <w:pStyle w:val="BookText"/>
      </w:pPr>
      <w:r>
        <w:rPr>
          <w:rFonts w:ascii="IRNazanin" w:hAnsi="IRNazanin" w:eastAsia="IRNazanin" w:cs="IRNazanin"/>
          <w:lang w:bidi="fa-IR"/>
          <w:color w:val="111111"/>
          <w:sz w:val="28"/>
          <w:szCs w:val="28"/>
          <w:rtl/>
        </w:rPr>
        <w:t xml:space="preserve">13 ه-</w:t>
      </w:r>
    </w:p>
    <w:p>
      <w:pPr>
        <w:pStyle w:val="BookText"/>
      </w:pPr>
      <w:r>
        <w:rPr>
          <w:rFonts w:ascii="IRNazanin" w:hAnsi="IRNazanin" w:eastAsia="IRNazanin" w:cs="IRNazanin"/>
          <w:lang w:bidi="fa-IR"/>
          <w:color w:val="111111"/>
          <w:sz w:val="28"/>
          <w:szCs w:val="28"/>
          <w:rtl/>
        </w:rPr>
        <w:t xml:space="preserve">جامع المناقب، ج 5، ص 347.</w:t>
      </w:r>
    </w:p>
    <w:p>
      <w:pPr>
        <w:pStyle w:val="BookText"/>
      </w:pPr>
      <w:r>
        <w:rPr>
          <w:rFonts w:ascii="Amiri" w:hAnsi="Amiri" w:eastAsia="Amiri" w:cs="Amiri"/>
          <w:lang w:bidi="ar-SA"/>
          <w:color w:val="111111"/>
          <w:sz w:val="28"/>
          <w:szCs w:val="28"/>
          <w:rtl/>
        </w:rPr>
        <w:t xml:space="preserve">حسيني زنوزي ، حسن بن</w:t>
      </w:r>
    </w:p>
    <w:p>
      <w:pPr>
        <w:pStyle w:val="BookText"/>
      </w:pPr>
      <w:r>
        <w:rPr>
          <w:rFonts w:ascii="Amiri" w:hAnsi="Amiri" w:eastAsia="Amiri" w:cs="Amiri"/>
          <w:lang w:bidi="ar-SA"/>
          <w:color w:val="111111"/>
          <w:sz w:val="28"/>
          <w:szCs w:val="28"/>
          <w:rtl/>
        </w:rPr>
        <w:t xml:space="preserve">عبد الرسول - زنوزي ، محمّد حسن بن</w:t>
      </w:r>
    </w:p>
    <w:p>
      <w:pPr>
        <w:pStyle w:val="BookText"/>
      </w:pPr>
      <w:r>
        <w:rPr>
          <w:rFonts w:ascii="IRNazanin" w:hAnsi="IRNazanin" w:eastAsia="IRNazanin" w:cs="IRNazanin"/>
          <w:lang w:bidi="fa-IR"/>
          <w:color w:val="111111"/>
          <w:sz w:val="28"/>
          <w:szCs w:val="28"/>
          <w:rtl/>
        </w:rPr>
        <w:t xml:space="preserve">عبد الرسول</w:t>
      </w:r>
    </w:p>
    <w:p>
      <w:pPr>
        <w:pStyle w:val="BookText"/>
      </w:pPr>
      <w:r>
        <w:rPr>
          <w:rFonts w:ascii="Amiri" w:hAnsi="Amiri" w:eastAsia="Amiri" w:cs="Amiri"/>
          <w:lang w:bidi="ar-SA"/>
          <w:color w:val="111111"/>
          <w:sz w:val="28"/>
          <w:szCs w:val="28"/>
          <w:rtl/>
        </w:rPr>
        <w:t xml:space="preserve">حسيني، زين العابدين- خادم حسيني ،</w:t>
      </w:r>
    </w:p>
    <w:p>
      <w:pPr>
        <w:pStyle w:val="BookText"/>
      </w:pPr>
      <w:r>
        <w:rPr>
          <w:rFonts w:ascii="Amiri" w:hAnsi="Amiri" w:eastAsia="Amiri" w:cs="Amiri"/>
          <w:lang w:bidi="ar-SA"/>
          <w:color w:val="111111"/>
          <w:sz w:val="28"/>
          <w:szCs w:val="28"/>
          <w:rtl/>
        </w:rPr>
        <w:t xml:space="preserve">زين العابدين</w:t>
      </w:r>
    </w:p>
    <w:p>
      <w:pPr>
        <w:pStyle w:val="Heading2"/>
      </w:pPr>
      <w:bookmarkStart w:id="3670" w:name="_Toc2772"/>
      <w:r>
        <w:t>حسيني ساوجي ، علي بن ابراهيم قرن</w:t>
      </w:r>
      <w:bookmarkEnd w:id="3670"/>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نجات العباد (منتخب) = الفقه = ترجمه نجاة العباد، ج 16، ص 150 .</w:t>
      </w:r>
    </w:p>
    <w:p>
      <w:pPr>
        <w:pStyle w:val="BookText"/>
      </w:pPr>
      <w:r>
        <w:rPr>
          <w:rFonts w:ascii="Amiri" w:hAnsi="Amiri" w:eastAsia="Amiri" w:cs="Amiri"/>
          <w:lang w:bidi="ar-SA"/>
          <w:color w:val="111111"/>
          <w:sz w:val="28"/>
          <w:szCs w:val="28"/>
          <w:rtl/>
        </w:rPr>
        <w:t xml:space="preserve">حسيني سمرقندي، محمّد بن اشرف -سمرقندي ، محمّد بن اشرف</w:t>
      </w:r>
    </w:p>
    <w:p>
      <w:pPr>
        <w:pStyle w:val="BookText"/>
      </w:pPr>
      <w:r>
        <w:rPr>
          <w:rFonts w:ascii="Amiri" w:hAnsi="Amiri" w:eastAsia="Amiri" w:cs="Amiri"/>
          <w:lang w:bidi="ar-SA"/>
          <w:color w:val="111111"/>
          <w:sz w:val="28"/>
          <w:szCs w:val="28"/>
          <w:rtl/>
        </w:rPr>
        <w:t xml:space="preserve">حسيني سمهودي ، علي بن عبد الله -سمهودي ، علي بن عبدالله</w:t>
      </w:r>
    </w:p>
    <w:p>
      <w:pPr>
        <w:pStyle w:val="Heading2"/>
      </w:pPr>
      <w:bookmarkStart w:id="3671" w:name="_Toc2773"/>
      <w:r>
        <w:t>حسيني سيفي ، محمّد بن محمّد مهدي</w:t>
      </w:r>
      <w:bookmarkEnd w:id="36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1150 ؟ 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1 .تحفة الخلان لاشحاذ الاذهان، ج3،</w:t>
      </w:r>
    </w:p>
    <w:p>
      <w:pPr>
        <w:pStyle w:val="BookText"/>
      </w:pPr>
      <w:r>
        <w:rPr>
          <w:rFonts w:ascii="IRNazanin" w:hAnsi="IRNazanin" w:eastAsia="IRNazanin" w:cs="IRNazanin"/>
          <w:lang w:bidi="fa-IR"/>
          <w:color w:val="111111"/>
          <w:sz w:val="28"/>
          <w:szCs w:val="28"/>
          <w:rtl/>
        </w:rPr>
        <w:t xml:space="preserve">ص 827</w:t>
      </w:r>
    </w:p>
    <w:p>
      <w:pPr>
        <w:pStyle w:val="BookText"/>
      </w:pPr>
      <w:r>
        <w:rPr>
          <w:rFonts w:ascii="Amiri" w:hAnsi="Amiri" w:eastAsia="Amiri" w:cs="Amiri"/>
          <w:lang w:bidi="ar-SA"/>
          <w:color w:val="111111"/>
          <w:sz w:val="28"/>
          <w:szCs w:val="28"/>
          <w:rtl/>
        </w:rPr>
        <w:t xml:space="preserve">2 .التحفة القوامية في فقه الامامية</w:t>
      </w:r>
    </w:p>
    <w:p>
      <w:pPr>
        <w:pStyle w:val="BookText"/>
      </w:pPr>
      <w:r>
        <w:rPr>
          <w:rFonts w:ascii="IRNazanin" w:hAnsi="IRNazanin" w:eastAsia="IRNazanin" w:cs="IRNazanin"/>
          <w:lang w:bidi="fa-IR"/>
          <w:color w:val="111111"/>
          <w:sz w:val="28"/>
          <w:szCs w:val="28"/>
          <w:rtl/>
        </w:rPr>
        <w:t xml:space="preserve">ج 3، ص 879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حبوة الفرائض، ج 6 ، ص 472 .</w:t>
      </w:r>
    </w:p>
    <w:p>
      <w:pPr>
        <w:pStyle w:val="BookText"/>
      </w:pPr>
      <w:r>
        <w:rPr>
          <w:rFonts w:ascii="Amiri" w:hAnsi="Amiri" w:eastAsia="Amiri" w:cs="Amiri"/>
          <w:lang w:bidi="ar-SA"/>
          <w:color w:val="111111"/>
          <w:sz w:val="28"/>
          <w:szCs w:val="28"/>
          <w:rtl/>
        </w:rPr>
        <w:t xml:space="preserve">الخط في نظم رسم الخط =</w:t>
      </w:r>
    </w:p>
    <w:p>
      <w:pPr>
        <w:pStyle w:val="BookText"/>
      </w:pPr>
      <w:r>
        <w:rPr>
          <w:rFonts w:ascii="Amiri" w:hAnsi="Amiri" w:eastAsia="Amiri" w:cs="Amiri"/>
          <w:lang w:bidi="ar-SA"/>
          <w:color w:val="111111"/>
          <w:sz w:val="28"/>
          <w:szCs w:val="28"/>
          <w:rtl/>
        </w:rPr>
        <w:t xml:space="preserve">4 .رمح قواعد الكتاب، ج 8، ص 354.</w:t>
      </w:r>
    </w:p>
    <w:p>
      <w:pPr>
        <w:pStyle w:val="BookText"/>
      </w:pPr>
      <w:r>
        <w:rPr>
          <w:rFonts w:ascii="Amiri" w:hAnsi="Amiri" w:eastAsia="Amiri" w:cs="Amiri"/>
          <w:lang w:bidi="ar-SA"/>
          <w:color w:val="111111"/>
          <w:sz w:val="28"/>
          <w:szCs w:val="28"/>
          <w:rtl/>
        </w:rPr>
        <w:t xml:space="preserve">5 .عروة الاسطرلاب = نظم الصفيحة =</w:t>
      </w:r>
    </w:p>
    <w:p>
      <w:pPr>
        <w:pStyle w:val="BookText"/>
      </w:pPr>
      <w:r>
        <w:rPr>
          <w:rFonts w:ascii="Amiri" w:hAnsi="Amiri" w:eastAsia="Amiri" w:cs="Amiri"/>
          <w:lang w:bidi="ar-SA"/>
          <w:color w:val="111111"/>
          <w:sz w:val="28"/>
          <w:szCs w:val="28"/>
          <w:rtl/>
        </w:rPr>
        <w:t xml:space="preserve">ارجوزة في الاسطرلاب، ج 11، ص83.</w:t>
      </w:r>
    </w:p>
    <w:p>
      <w:pPr>
        <w:pStyle w:val="BookText"/>
      </w:pPr>
      <w:r>
        <w:rPr>
          <w:rFonts w:ascii="Amiri" w:hAnsi="Amiri" w:eastAsia="Amiri" w:cs="Amiri"/>
          <w:lang w:bidi="ar-SA"/>
          <w:color w:val="111111"/>
          <w:sz w:val="28"/>
          <w:szCs w:val="28"/>
          <w:rtl/>
        </w:rPr>
        <w:t xml:space="preserve">6 .كروة الاسطرلاب، ج 13، ص 156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المفرح . القوامي، ج 15 ص 241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نظم الاصول، ج 16 ، ص330.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نظم الحساب، ج 16، ص 336.</w:t>
      </w:r>
    </w:p>
    <w:p>
      <w:pPr>
        <w:pStyle w:val="BookText"/>
      </w:pPr>
      <w:r>
        <w:rPr>
          <w:rFonts w:ascii="Amiri" w:hAnsi="Amiri" w:eastAsia="Amiri" w:cs="Amiri"/>
          <w:lang w:bidi="ar-SA"/>
          <w:color w:val="111111"/>
          <w:sz w:val="28"/>
          <w:szCs w:val="28"/>
          <w:rtl/>
        </w:rPr>
        <w:t xml:space="preserve">10.الوافية في نظم الشافية، ج 16،</w:t>
      </w:r>
    </w:p>
    <w:p>
      <w:pPr>
        <w:pStyle w:val="BookText"/>
      </w:pPr>
      <w:r>
        <w:rPr>
          <w:rFonts w:ascii="IRNazanin" w:hAnsi="IRNazanin" w:eastAsia="IRNazanin" w:cs="IRNazanin"/>
          <w:lang w:bidi="fa-IR"/>
          <w:color w:val="111111"/>
          <w:sz w:val="28"/>
          <w:szCs w:val="28"/>
          <w:rtl/>
        </w:rPr>
        <w:t xml:space="preserve">ص 714.</w:t>
      </w:r>
    </w:p>
    <w:p>
      <w:pPr>
        <w:pStyle w:val="BookText"/>
      </w:pPr>
      <w:r>
        <w:rPr>
          <w:rFonts w:ascii="Amiri" w:hAnsi="Amiri" w:eastAsia="Amiri" w:cs="Amiri"/>
          <w:lang w:bidi="ar-SA"/>
          <w:color w:val="111111"/>
          <w:sz w:val="28"/>
          <w:szCs w:val="28"/>
          <w:rtl/>
        </w:rPr>
        <w:t xml:space="preserve">حسيني شامي عاملي ، يوسف بن محمّد -عاملي ، يوسف بن محمّد حسين</w:t>
      </w:r>
    </w:p>
    <w:p>
      <w:pPr>
        <w:pStyle w:val="BookText"/>
      </w:pPr>
      <w:r>
        <w:rPr>
          <w:rFonts w:ascii="Amiri" w:hAnsi="Amiri" w:eastAsia="Amiri" w:cs="Amiri"/>
          <w:lang w:bidi="ar-SA"/>
          <w:color w:val="111111"/>
          <w:sz w:val="28"/>
          <w:szCs w:val="28"/>
          <w:rtl/>
        </w:rPr>
        <w:t xml:space="preserve">حسيني</w:t>
      </w:r>
    </w:p>
    <w:p>
      <w:pPr>
        <w:pStyle w:val="BookText"/>
      </w:pPr>
      <w:r>
        <w:rPr>
          <w:rFonts w:ascii="Amiri" w:hAnsi="Amiri" w:eastAsia="Amiri" w:cs="Amiri"/>
          <w:lang w:bidi="ar-SA"/>
          <w:color w:val="111111"/>
          <w:sz w:val="28"/>
          <w:szCs w:val="28"/>
          <w:rtl/>
        </w:rPr>
        <w:t xml:space="preserve">شاه عبدالعظيمي ، محمّد علي بن محمد شاه عبدالعظيمي ، محمّد علي بن</w:t>
      </w:r>
    </w:p>
    <w:p>
      <w:pPr>
        <w:pStyle w:val="BookText"/>
      </w:pPr>
      <w:r>
        <w:rPr>
          <w:rFonts w:ascii="Amiri" w:hAnsi="Amiri" w:eastAsia="Amiri" w:cs="Amiri"/>
          <w:lang w:bidi="ar-SA"/>
          <w:color w:val="111111"/>
          <w:sz w:val="28"/>
          <w:szCs w:val="28"/>
          <w:rtl/>
        </w:rPr>
        <w:t xml:space="preserve">محمّد</w:t>
      </w:r>
    </w:p>
    <w:p>
      <w:pPr>
        <w:pStyle w:val="Heading2"/>
      </w:pPr>
      <w:bookmarkStart w:id="3672" w:name="_Toc2774"/>
      <w:r>
        <w:t>حسيني ، شجاع بن علي قرن 10 ه-</w:t>
      </w:r>
      <w:bookmarkEnd w:id="3672"/>
    </w:p>
    <w:p>
      <w:pPr>
        <w:pStyle w:val="BookText"/>
      </w:pPr>
      <w:r>
        <w:rPr>
          <w:rFonts w:ascii="Amiri" w:hAnsi="Amiri" w:eastAsia="Amiri" w:cs="Amiri"/>
          <w:lang w:bidi="ar-SA"/>
          <w:color w:val="111111"/>
          <w:sz w:val="28"/>
          <w:szCs w:val="28"/>
          <w:rtl/>
        </w:rPr>
        <w:t xml:space="preserve">البشرى في شرح الهدى، ج 3، ص 338.</w:t>
      </w:r>
    </w:p>
    <w:p>
      <w:pPr>
        <w:pStyle w:val="BookText"/>
      </w:pPr>
      <w:r>
        <w:rPr>
          <w:rFonts w:ascii="Amiri" w:hAnsi="Amiri" w:eastAsia="Amiri" w:cs="Amiri"/>
          <w:lang w:bidi="ar-SA"/>
          <w:color w:val="111111"/>
          <w:sz w:val="28"/>
          <w:szCs w:val="28"/>
          <w:rtl/>
        </w:rPr>
        <w:t xml:space="preserve">حسيني ، شرف الدين علي- استرآبادي ،</w:t>
      </w:r>
    </w:p>
    <w:p>
      <w:pPr>
        <w:pStyle w:val="BookText"/>
      </w:pPr>
      <w:r>
        <w:rPr>
          <w:rFonts w:ascii="Amiri" w:hAnsi="Amiri" w:eastAsia="Amiri" w:cs="Amiri"/>
          <w:lang w:bidi="ar-SA"/>
          <w:color w:val="111111"/>
          <w:sz w:val="28"/>
          <w:szCs w:val="28"/>
          <w:rtl/>
        </w:rPr>
        <w:t xml:space="preserve">شرف الدين علي</w:t>
      </w:r>
    </w:p>
    <w:p>
      <w:pPr>
        <w:pStyle w:val="BookText"/>
      </w:pPr>
      <w:r>
        <w:rPr>
          <w:rFonts w:ascii="Amiri" w:hAnsi="Amiri" w:eastAsia="Amiri" w:cs="Amiri"/>
          <w:lang w:bidi="ar-SA"/>
          <w:color w:val="111111"/>
          <w:sz w:val="28"/>
          <w:szCs w:val="28"/>
          <w:rtl/>
        </w:rPr>
        <w:t xml:space="preserve">حسيني شفائي ، مظفر بن محمّد -شفائي ،</w:t>
      </w:r>
    </w:p>
    <w:p>
      <w:pPr>
        <w:pStyle w:val="BookText"/>
      </w:pPr>
      <w:r>
        <w:rPr>
          <w:rFonts w:ascii="IRNazanin" w:hAnsi="IRNazanin" w:eastAsia="IRNazanin" w:cs="IRNazanin"/>
          <w:lang w:bidi="fa-IR"/>
          <w:color w:val="111111"/>
          <w:sz w:val="28"/>
          <w:szCs w:val="28"/>
          <w:rtl/>
        </w:rPr>
        <w:t xml:space="preserve">مظفر بن محمّد</w:t>
      </w:r>
    </w:p>
    <w:p>
      <w:pPr>
        <w:pStyle w:val="BookText"/>
      </w:pPr>
      <w:r>
        <w:rPr>
          <w:rFonts w:ascii="Amiri" w:hAnsi="Amiri" w:eastAsia="Amiri" w:cs="Amiri"/>
          <w:lang w:bidi="ar-SA"/>
          <w:color w:val="111111"/>
          <w:sz w:val="28"/>
          <w:szCs w:val="28"/>
          <w:rtl/>
        </w:rPr>
        <w:t xml:space="preserve">حسيني ، شمس الدين محمّد- احسائي</w:t>
      </w:r>
    </w:p>
    <w:p>
      <w:pPr>
        <w:pStyle w:val="BookText"/>
      </w:pPr>
      <w:r>
        <w:rPr>
          <w:rFonts w:ascii="Amiri" w:hAnsi="Amiri" w:eastAsia="Amiri" w:cs="Amiri"/>
          <w:lang w:bidi="ar-SA"/>
          <w:color w:val="111111"/>
          <w:sz w:val="28"/>
          <w:szCs w:val="28"/>
          <w:rtl/>
        </w:rPr>
        <w:t xml:space="preserve">حسيني ، شمس الدين محمّد</w:t>
      </w:r>
    </w:p>
    <w:p>
      <w:pPr>
        <w:pStyle w:val="BookText"/>
      </w:pPr>
      <w:r>
        <w:rPr>
          <w:rFonts w:ascii="Amiri" w:hAnsi="Amiri" w:eastAsia="Amiri" w:cs="Amiri"/>
          <w:lang w:bidi="ar-SA"/>
          <w:color w:val="111111"/>
          <w:sz w:val="28"/>
          <w:szCs w:val="28"/>
          <w:rtl/>
        </w:rPr>
        <w:t xml:space="preserve">حسيني شهرستاني ، زين</w:t>
      </w:r>
    </w:p>
    <w:p>
      <w:pPr>
        <w:pStyle w:val="BookText"/>
      </w:pPr>
      <w:r>
        <w:rPr>
          <w:rFonts w:ascii="Amiri" w:hAnsi="Amiri" w:eastAsia="Amiri" w:cs="Amiri"/>
          <w:lang w:bidi="ar-SA"/>
          <w:color w:val="111111"/>
          <w:sz w:val="28"/>
          <w:szCs w:val="28"/>
          <w:rtl/>
        </w:rPr>
        <w:t xml:space="preserve">العابدين - مرعشي شهرستاني، زين العابدين</w:t>
      </w:r>
    </w:p>
    <w:p>
      <w:pPr>
        <w:pStyle w:val="Heading2"/>
      </w:pPr>
      <w:bookmarkStart w:id="3673" w:name="_Toc2775"/>
      <w:r>
        <w:t>حسيني شهرستاني ، محمد بن محمود</w:t>
      </w:r>
      <w:bookmarkEnd w:id="3673"/>
    </w:p>
    <w:p>
      <w:pPr>
        <w:pStyle w:val="BookText"/>
      </w:pPr>
      <w:r>
        <w:rPr>
          <w:rFonts w:ascii="IRNazanin" w:hAnsi="IRNazanin" w:eastAsia="IRNazanin" w:cs="IRNazanin"/>
          <w:lang w:bidi="fa-IR"/>
          <w:color w:val="111111"/>
          <w:sz w:val="28"/>
          <w:szCs w:val="28"/>
          <w:rtl/>
        </w:rPr>
        <w:t xml:space="preserve">قرن 10 ه-</w:t>
      </w:r>
    </w:p>
    <w:p>
      <w:pPr>
        <w:pStyle w:val="BookText"/>
      </w:pPr>
      <w:r>
        <w:rPr>
          <w:rFonts w:ascii="Amiri" w:hAnsi="Amiri" w:eastAsia="Amiri" w:cs="Amiri"/>
          <w:lang w:bidi="ar-SA"/>
          <w:color w:val="111111"/>
          <w:sz w:val="28"/>
          <w:szCs w:val="28"/>
          <w:rtl/>
        </w:rPr>
        <w:t xml:space="preserve">حاشية تهذيب المنطق (ترجمه) -</w:t>
      </w:r>
    </w:p>
    <w:p>
      <w:pPr>
        <w:pStyle w:val="BookText"/>
      </w:pPr>
      <w:r>
        <w:rPr>
          <w:rFonts w:ascii="Amiri" w:hAnsi="Amiri" w:eastAsia="Amiri" w:cs="Amiri"/>
          <w:lang w:bidi="ar-SA"/>
          <w:color w:val="111111"/>
          <w:sz w:val="28"/>
          <w:szCs w:val="28"/>
          <w:rtl/>
        </w:rPr>
        <w:t xml:space="preserve">شرح تهذيب المنطق، ج 5، ص 760.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3" w:name="pg7742_70178"/>
    <w:bookmarkEnd w:id="393"/>
    <w:p>
      <w:pPr>
        <w:pStyle w:val="Heading2"/>
      </w:pPr>
      <w:bookmarkStart w:id="3674" w:name="_Toc2776"/>
      <w:r>
        <w:t>حسيني شهرستاني ، محمّد علي بن محمّد</w:t>
      </w:r>
      <w:bookmarkEnd w:id="3674"/>
    </w:p>
    <w:p>
      <w:pPr>
        <w:pStyle w:val="BookText"/>
      </w:pPr>
      <w:r>
        <w:rPr>
          <w:rFonts w:ascii="Amiri" w:hAnsi="Amiri" w:eastAsia="Amiri" w:cs="Amiri"/>
          <w:lang w:bidi="ar-SA"/>
          <w:color w:val="111111"/>
          <w:sz w:val="28"/>
          <w:szCs w:val="28"/>
          <w:rtl/>
        </w:rPr>
        <w:t xml:space="preserve">حسين 1280 - 1344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أنيس المصلين، ج 3، ص 45 .</w:t>
      </w:r>
    </w:p>
    <w:p>
      <w:pPr>
        <w:pStyle w:val="BookText"/>
      </w:pPr>
      <w:r>
        <w:rPr>
          <w:rFonts w:ascii="Amiri" w:hAnsi="Amiri" w:eastAsia="Amiri" w:cs="Amiri"/>
          <w:lang w:bidi="ar-SA"/>
          <w:color w:val="111111"/>
          <w:sz w:val="28"/>
          <w:szCs w:val="28"/>
          <w:rtl/>
        </w:rPr>
        <w:t xml:space="preserve">2 .التبيان في تفسير غريب القرآن، ج3،</w:t>
      </w:r>
    </w:p>
    <w:p>
      <w:pPr>
        <w:pStyle w:val="BookText"/>
      </w:pPr>
      <w:r>
        <w:rPr>
          <w:rFonts w:ascii="IRNazanin" w:hAnsi="IRNazanin" w:eastAsia="IRNazanin" w:cs="IRNazanin"/>
          <w:lang w:bidi="fa-IR"/>
          <w:color w:val="111111"/>
          <w:sz w:val="28"/>
          <w:szCs w:val="28"/>
          <w:rtl/>
        </w:rPr>
        <w:t xml:space="preserve">ص 656 .</w:t>
      </w:r>
    </w:p>
    <w:p>
      <w:pPr>
        <w:pStyle w:val="BookText"/>
      </w:pPr>
      <w:r>
        <w:rPr>
          <w:rFonts w:ascii="IRNazanin" w:hAnsi="IRNazanin" w:eastAsia="IRNazanin" w:cs="IRNazanin"/>
          <w:lang w:bidi="fa-IR"/>
          <w:color w:val="111111"/>
          <w:sz w:val="28"/>
          <w:szCs w:val="28"/>
          <w:rtl/>
        </w:rPr>
        <w:t xml:space="preserve">3 .جامع در ترجمه نافع، ج 5، ص 264 .</w:t>
      </w:r>
    </w:p>
    <w:p>
      <w:pPr>
        <w:pStyle w:val="BookText"/>
      </w:pPr>
      <w:r>
        <w:rPr>
          <w:rFonts w:ascii="Amiri" w:hAnsi="Amiri" w:eastAsia="Amiri" w:cs="Amiri"/>
          <w:lang w:bidi="ar-SA"/>
          <w:color w:val="111111"/>
          <w:sz w:val="28"/>
          <w:szCs w:val="28"/>
          <w:rtl/>
        </w:rPr>
        <w:t xml:space="preserve">4 .حفظ الكتاب الشريف عن شبهة القول والتحريف، ج 6 ، ص 679.</w:t>
      </w:r>
    </w:p>
    <w:p>
      <w:pPr>
        <w:pStyle w:val="BookText"/>
      </w:pPr>
      <w:r>
        <w:rPr>
          <w:rFonts w:ascii="Amiri" w:hAnsi="Amiri" w:eastAsia="Amiri" w:cs="Amiri"/>
          <w:lang w:bidi="ar-SA"/>
          <w:color w:val="111111"/>
          <w:sz w:val="28"/>
          <w:szCs w:val="28"/>
          <w:rtl/>
        </w:rPr>
        <w:t xml:space="preserve">5 .خيرة الطيور، ج 7، ص193.</w:t>
      </w:r>
    </w:p>
    <w:p>
      <w:pPr>
        <w:pStyle w:val="BookText"/>
      </w:pPr>
      <w:r>
        <w:rPr>
          <w:rFonts w:ascii="Amiri" w:hAnsi="Amiri" w:eastAsia="Amiri" w:cs="Amiri"/>
          <w:lang w:bidi="ar-SA"/>
          <w:color w:val="111111"/>
          <w:sz w:val="28"/>
          <w:szCs w:val="28"/>
          <w:rtl/>
        </w:rPr>
        <w:t xml:space="preserve">6 .ذخائر الأحكام، ج7، ص812.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رجم الشياطين، ج8، ص 62.</w:t>
      </w:r>
    </w:p>
    <w:p>
      <w:pPr>
        <w:pStyle w:val="BookText"/>
      </w:pPr>
      <w:r>
        <w:rPr>
          <w:rFonts w:ascii="Amiri" w:hAnsi="Amiri" w:eastAsia="Amiri" w:cs="Amiri"/>
          <w:lang w:bidi="ar-SA"/>
          <w:color w:val="111111"/>
          <w:sz w:val="28"/>
          <w:szCs w:val="28"/>
          <w:rtl/>
        </w:rPr>
        <w:t xml:space="preserve">8.سند الادعية النبوية، ج8، ص 840.</w:t>
      </w:r>
    </w:p>
    <w:p>
      <w:pPr>
        <w:pStyle w:val="BookText"/>
      </w:pPr>
      <w:r>
        <w:rPr>
          <w:rFonts w:ascii="Amiri" w:hAnsi="Amiri" w:eastAsia="Amiri" w:cs="Amiri"/>
          <w:lang w:bidi="ar-SA"/>
          <w:color w:val="111111"/>
          <w:sz w:val="28"/>
          <w:szCs w:val="28"/>
          <w:rtl/>
        </w:rPr>
        <w:t xml:space="preserve">9 .شكوك الصلوة، ج 10، ص 405.</w:t>
      </w:r>
    </w:p>
    <w:p>
      <w:pPr>
        <w:pStyle w:val="BookText"/>
      </w:pPr>
      <w:r>
        <w:rPr>
          <w:rFonts w:ascii="Amiri" w:hAnsi="Amiri" w:eastAsia="Amiri" w:cs="Amiri"/>
          <w:lang w:bidi="ar-SA"/>
          <w:color w:val="111111"/>
          <w:sz w:val="28"/>
          <w:szCs w:val="28"/>
          <w:rtl/>
        </w:rPr>
        <w:t xml:space="preserve">10 .الصحيفة النبوية، ج 10، ص 535.</w:t>
      </w:r>
    </w:p>
    <w:p>
      <w:pPr>
        <w:pStyle w:val="BookText"/>
      </w:pPr>
      <w:r>
        <w:rPr>
          <w:rFonts w:ascii="Amiri" w:hAnsi="Amiri" w:eastAsia="Amiri" w:cs="Amiri"/>
          <w:lang w:bidi="ar-SA"/>
          <w:color w:val="111111"/>
          <w:sz w:val="28"/>
          <w:szCs w:val="28"/>
          <w:rtl/>
        </w:rPr>
        <w:t xml:space="preserve">11 .الطهارة، ج 10، ص 859.</w:t>
      </w:r>
    </w:p>
    <w:p>
      <w:pPr>
        <w:pStyle w:val="Heading2"/>
      </w:pPr>
      <w:bookmarkStart w:id="3675" w:name="_Toc2777"/>
      <w:r>
        <w:t>حسيني شهشهاني ، محمّد بن عبدالصمد</w:t>
      </w:r>
      <w:bookmarkEnd w:id="3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1287 ه-</w:t>
      </w:r>
    </w:p>
    <w:p>
      <w:pPr>
        <w:pStyle w:val="BookText"/>
      </w:pPr>
      <w:r>
        <w:rPr>
          <w:rFonts w:ascii="Amiri" w:hAnsi="Amiri" w:eastAsia="Amiri" w:cs="Amiri"/>
          <w:lang w:bidi="ar-SA"/>
          <w:color w:val="111111"/>
          <w:sz w:val="28"/>
          <w:szCs w:val="28"/>
          <w:rtl/>
        </w:rPr>
        <w:t xml:space="preserve">1 .انوار الرياض في شرح الرياض ، ج 2،</w:t>
      </w:r>
    </w:p>
    <w:p>
      <w:pPr>
        <w:pStyle w:val="BookText"/>
      </w:pPr>
      <w:r>
        <w:rPr>
          <w:rFonts w:ascii="IRNazanin" w:hAnsi="IRNazanin" w:eastAsia="IRNazanin" w:cs="IRNazanin"/>
          <w:lang w:bidi="fa-IR"/>
          <w:color w:val="111111"/>
          <w:sz w:val="28"/>
          <w:szCs w:val="28"/>
          <w:rtl/>
        </w:rPr>
        <w:t xml:space="preserve">ص 885</w:t>
      </w:r>
    </w:p>
    <w:p>
      <w:pPr>
        <w:pStyle w:val="BookText"/>
      </w:pPr>
      <w:r>
        <w:rPr>
          <w:rFonts w:ascii="Amiri" w:hAnsi="Amiri" w:eastAsia="Amiri" w:cs="Amiri"/>
          <w:lang w:bidi="ar-SA"/>
          <w:color w:val="111111"/>
          <w:sz w:val="28"/>
          <w:szCs w:val="28"/>
          <w:rtl/>
        </w:rPr>
        <w:t xml:space="preserve">2 .رضوان الآملين في حاشية القوانين</w:t>
      </w:r>
    </w:p>
    <w:p>
      <w:pPr>
        <w:pStyle w:val="BookText"/>
      </w:pPr>
      <w:r>
        <w:rPr>
          <w:rFonts w:ascii="Amiri" w:hAnsi="Amiri" w:eastAsia="Amiri" w:cs="Amiri"/>
          <w:lang w:bidi="ar-SA"/>
          <w:color w:val="111111"/>
          <w:sz w:val="28"/>
          <w:szCs w:val="28"/>
          <w:rtl/>
        </w:rPr>
        <w:t xml:space="preserve">حاشية القوانين، ج8، ص329.</w:t>
      </w:r>
    </w:p>
    <w:p>
      <w:pPr>
        <w:pStyle w:val="BookText"/>
      </w:pPr>
      <w:r>
        <w:rPr>
          <w:rFonts w:ascii="Amiri" w:hAnsi="Amiri" w:eastAsia="Amiri" w:cs="Amiri"/>
          <w:lang w:bidi="ar-SA"/>
          <w:color w:val="111111"/>
          <w:sz w:val="28"/>
          <w:szCs w:val="28"/>
          <w:rtl/>
        </w:rPr>
        <w:t xml:space="preserve">3 .الغاية القصوي، ج 11، ص 440.</w:t>
      </w:r>
    </w:p>
    <w:p>
      <w:pPr>
        <w:pStyle w:val="BookText"/>
      </w:pPr>
      <w:r>
        <w:rPr>
          <w:rFonts w:ascii="Amiri" w:hAnsi="Amiri" w:eastAsia="Amiri" w:cs="Amiri"/>
          <w:lang w:bidi="ar-SA"/>
          <w:color w:val="111111"/>
          <w:sz w:val="28"/>
          <w:szCs w:val="28"/>
          <w:rtl/>
        </w:rPr>
        <w:t xml:space="preserve">حسيني شوشتري ، نورالله بن محمّد شاه - شوشتري ، نور الله بن محمّد شاه</w:t>
      </w:r>
    </w:p>
    <w:p>
      <w:pPr>
        <w:pStyle w:val="BookText"/>
      </w:pPr>
      <w:r>
        <w:rPr>
          <w:rFonts w:ascii="Amiri" w:hAnsi="Amiri" w:eastAsia="Amiri" w:cs="Amiri"/>
          <w:lang w:bidi="ar-SA"/>
          <w:color w:val="111111"/>
          <w:sz w:val="28"/>
          <w:szCs w:val="28"/>
          <w:rtl/>
        </w:rPr>
        <w:t xml:space="preserve">حسيني شيرازي ، ابوالقاسم بن محمّد</w:t>
      </w:r>
    </w:p>
    <w:p>
      <w:pPr>
        <w:pStyle w:val="BookText"/>
      </w:pPr>
      <w:r>
        <w:rPr>
          <w:rFonts w:ascii="Amiri" w:hAnsi="Amiri" w:eastAsia="Amiri" w:cs="Amiri"/>
          <w:lang w:bidi="ar-SA"/>
          <w:color w:val="111111"/>
          <w:sz w:val="28"/>
          <w:szCs w:val="28"/>
          <w:rtl/>
        </w:rPr>
        <w:t xml:space="preserve">نبي - ميرزا بابا شيرازي، ابوالقاسم بن</w:t>
      </w:r>
    </w:p>
    <w:p>
      <w:pPr>
        <w:pStyle w:val="BookText"/>
      </w:pPr>
      <w:r>
        <w:rPr>
          <w:rFonts w:ascii="Amiri" w:hAnsi="Amiri" w:eastAsia="Amiri" w:cs="Amiri"/>
          <w:lang w:bidi="ar-SA"/>
          <w:color w:val="111111"/>
          <w:sz w:val="28"/>
          <w:szCs w:val="28"/>
          <w:rtl/>
        </w:rPr>
        <w:t xml:space="preserve">عبد النبي</w:t>
      </w:r>
    </w:p>
    <w:p>
      <w:pPr>
        <w:pStyle w:val="BookText"/>
      </w:pPr>
      <w:r>
        <w:rPr>
          <w:rFonts w:ascii="Amiri" w:hAnsi="Amiri" w:eastAsia="Amiri" w:cs="Amiri"/>
          <w:lang w:bidi="ar-SA"/>
          <w:color w:val="111111"/>
          <w:sz w:val="28"/>
          <w:szCs w:val="28"/>
          <w:rtl/>
        </w:rPr>
        <w:t xml:space="preserve">حسيني شيرازي ، صدرالدين- دشتكي</w:t>
      </w:r>
    </w:p>
    <w:p>
      <w:pPr>
        <w:pStyle w:val="BookText"/>
      </w:pPr>
      <w:r>
        <w:rPr>
          <w:rFonts w:ascii="Amiri" w:hAnsi="Amiri" w:eastAsia="Amiri" w:cs="Amiri"/>
          <w:lang w:bidi="ar-SA"/>
          <w:color w:val="111111"/>
          <w:sz w:val="28"/>
          <w:szCs w:val="28"/>
          <w:rtl/>
        </w:rPr>
        <w:t xml:space="preserve">شيرازي، مير صدرالدين محمّد</w:t>
      </w:r>
    </w:p>
    <w:p>
      <w:pPr>
        <w:pStyle w:val="BookText"/>
      </w:pPr>
      <w:r>
        <w:rPr>
          <w:rFonts w:ascii="Amiri" w:hAnsi="Amiri" w:eastAsia="Amiri" w:cs="Amiri"/>
          <w:lang w:bidi="ar-SA"/>
          <w:color w:val="111111"/>
          <w:sz w:val="28"/>
          <w:szCs w:val="28"/>
          <w:rtl/>
        </w:rPr>
        <w:t xml:space="preserve">12 .عرس حضرة القاسم، ج 11، ص 76 .</w:t>
      </w:r>
    </w:p>
    <w:p>
      <w:pPr>
        <w:pStyle w:val="BookText"/>
      </w:pPr>
      <w:r>
        <w:rPr>
          <w:rFonts w:ascii="IRNazanin" w:hAnsi="IRNazanin" w:eastAsia="IRNazanin" w:cs="IRNazanin"/>
          <w:lang w:bidi="fa-IR"/>
          <w:color w:val="111111"/>
          <w:sz w:val="28"/>
          <w:szCs w:val="28"/>
          <w:rtl/>
        </w:rPr>
        <w:t xml:space="preserve">13 .الفقه، ج 12، ص 51.</w:t>
      </w:r>
    </w:p>
    <w:p>
      <w:pPr>
        <w:pStyle w:val="BookText"/>
      </w:pPr>
      <w:r>
        <w:rPr>
          <w:rFonts w:ascii="IRNazanin" w:hAnsi="IRNazanin" w:eastAsia="IRNazanin" w:cs="IRNazanin"/>
          <w:lang w:bidi="fa-IR"/>
          <w:color w:val="111111"/>
          <w:sz w:val="28"/>
          <w:szCs w:val="28"/>
          <w:rtl/>
        </w:rPr>
        <w:t xml:space="preserve">14 .فقه الاطباء، ج 12، ص 91.</w:t>
      </w:r>
    </w:p>
    <w:p>
      <w:pPr>
        <w:pStyle w:val="BookText"/>
      </w:pPr>
      <w:r>
        <w:rPr>
          <w:rFonts w:ascii="Amiri" w:hAnsi="Amiri" w:eastAsia="Amiri" w:cs="Amiri"/>
          <w:lang w:bidi="ar-SA"/>
          <w:color w:val="111111"/>
          <w:sz w:val="28"/>
          <w:szCs w:val="28"/>
          <w:rtl/>
        </w:rPr>
        <w:t xml:space="preserve">15 .كتاب الحج من منتخب المسائل</w:t>
      </w:r>
    </w:p>
    <w:p>
      <w:pPr>
        <w:pStyle w:val="BookText"/>
      </w:pPr>
      <w:r>
        <w:rPr>
          <w:rFonts w:ascii="IRNazanin" w:hAnsi="IRNazanin" w:eastAsia="IRNazanin" w:cs="IRNazanin"/>
          <w:lang w:bidi="fa-IR"/>
          <w:color w:val="111111"/>
          <w:sz w:val="28"/>
          <w:szCs w:val="28"/>
          <w:rtl/>
        </w:rPr>
        <w:t xml:space="preserve">ج 13، ص 98.</w:t>
      </w:r>
    </w:p>
    <w:p>
      <w:pPr>
        <w:pStyle w:val="BookText"/>
      </w:pPr>
      <w:r>
        <w:rPr>
          <w:rFonts w:ascii="Amiri" w:hAnsi="Amiri" w:eastAsia="Amiri" w:cs="Amiri"/>
          <w:lang w:bidi="ar-SA"/>
          <w:color w:val="111111"/>
          <w:sz w:val="28"/>
          <w:szCs w:val="28"/>
          <w:rtl/>
        </w:rPr>
        <w:t xml:space="preserve">16 . كشف الحجاب في ترجمة خلاصة معصوم</w:t>
      </w:r>
    </w:p>
    <w:p>
      <w:pPr>
        <w:pStyle w:val="BookText"/>
      </w:pPr>
      <w:r>
        <w:rPr>
          <w:rFonts w:ascii="IRNazanin" w:hAnsi="IRNazanin" w:eastAsia="IRNazanin" w:cs="IRNazanin"/>
          <w:lang w:bidi="fa-IR"/>
          <w:color w:val="111111"/>
          <w:sz w:val="28"/>
          <w:szCs w:val="28"/>
          <w:rtl/>
        </w:rPr>
        <w:t xml:space="preserve">الحساب، ج13، ص201.</w:t>
      </w:r>
    </w:p>
    <w:p>
      <w:pPr>
        <w:pStyle w:val="BookText"/>
      </w:pPr>
      <w:r>
        <w:rPr>
          <w:rFonts w:ascii="Amiri" w:hAnsi="Amiri" w:eastAsia="Amiri" w:cs="Amiri"/>
          <w:lang w:bidi="ar-SA"/>
          <w:color w:val="111111"/>
          <w:sz w:val="28"/>
          <w:szCs w:val="28"/>
          <w:rtl/>
        </w:rPr>
        <w:t xml:space="preserve">17 .كشف الريبة، ج13، ص 214.</w:t>
      </w:r>
    </w:p>
    <w:p>
      <w:pPr>
        <w:pStyle w:val="BookText"/>
      </w:pPr>
      <w:r>
        <w:rPr>
          <w:rFonts w:ascii="IRNazanin" w:hAnsi="IRNazanin" w:eastAsia="IRNazanin" w:cs="IRNazanin"/>
          <w:lang w:bidi="fa-IR"/>
          <w:color w:val="111111"/>
          <w:sz w:val="28"/>
          <w:szCs w:val="28"/>
          <w:rtl/>
        </w:rPr>
        <w:t xml:space="preserve">18 .المتاجر من منتخب المسائل، ج 13،</w:t>
      </w:r>
    </w:p>
    <w:p>
      <w:pPr>
        <w:pStyle w:val="BookText"/>
      </w:pPr>
      <w:r>
        <w:rPr>
          <w:rFonts w:ascii="IRNazanin" w:hAnsi="IRNazanin" w:eastAsia="IRNazanin" w:cs="IRNazanin"/>
          <w:lang w:bidi="fa-IR"/>
          <w:color w:val="111111"/>
          <w:sz w:val="28"/>
          <w:szCs w:val="28"/>
          <w:rtl/>
        </w:rPr>
        <w:t xml:space="preserve">ص 746 .</w:t>
      </w:r>
    </w:p>
    <w:p>
      <w:pPr>
        <w:pStyle w:val="BookText"/>
      </w:pPr>
      <w:r>
        <w:rPr>
          <w:rFonts w:ascii="Amiri" w:hAnsi="Amiri" w:eastAsia="Amiri" w:cs="Amiri"/>
          <w:lang w:bidi="ar-SA"/>
          <w:color w:val="111111"/>
          <w:sz w:val="28"/>
          <w:szCs w:val="28"/>
          <w:rtl/>
        </w:rPr>
        <w:t xml:space="preserve">19 .محاسبة النفس في اصلاح عمل اليوم و الاعتذار من الأمس ج 14</w:t>
      </w:r>
    </w:p>
    <w:p>
      <w:pPr>
        <w:pStyle w:val="BookText"/>
      </w:pPr>
      <w:r>
        <w:rPr>
          <w:rFonts w:ascii="IRNazanin" w:hAnsi="IRNazanin" w:eastAsia="IRNazanin" w:cs="IRNazanin"/>
          <w:lang w:bidi="fa-IR"/>
          <w:color w:val="111111"/>
          <w:sz w:val="28"/>
          <w:szCs w:val="28"/>
          <w:rtl/>
        </w:rPr>
        <w:t xml:space="preserve">ص 89.</w:t>
      </w:r>
    </w:p>
    <w:p>
      <w:pPr>
        <w:pStyle w:val="BookText"/>
      </w:pPr>
      <w:r>
        <w:rPr>
          <w:rFonts w:ascii="IRNazanin" w:hAnsi="IRNazanin" w:eastAsia="IRNazanin" w:cs="IRNazanin"/>
          <w:lang w:bidi="fa-IR"/>
          <w:color w:val="111111"/>
          <w:sz w:val="28"/>
          <w:szCs w:val="28"/>
          <w:rtl/>
        </w:rPr>
        <w:t xml:space="preserve">20 .منتخب المسائل، ج 15 ، ص 614.</w:t>
      </w:r>
    </w:p>
    <w:p>
      <w:pPr>
        <w:pStyle w:val="BookText"/>
      </w:pPr>
      <w:r>
        <w:rPr>
          <w:rFonts w:ascii="Amiri" w:hAnsi="Amiri" w:eastAsia="Amiri" w:cs="Amiri"/>
          <w:lang w:bidi="ar-SA"/>
          <w:color w:val="111111"/>
          <w:sz w:val="28"/>
          <w:szCs w:val="28"/>
          <w:rtl/>
        </w:rPr>
        <w:t xml:space="preserve">21 .نخبة الأزهرية، ج 16، ص 195.</w:t>
      </w:r>
    </w:p>
    <w:p>
      <w:pPr>
        <w:pStyle w:val="BookText"/>
      </w:pPr>
      <w:r>
        <w:rPr>
          <w:rFonts w:ascii="Amiri" w:hAnsi="Amiri" w:eastAsia="Amiri" w:cs="Amiri"/>
          <w:lang w:bidi="ar-SA"/>
          <w:color w:val="111111"/>
          <w:sz w:val="28"/>
          <w:szCs w:val="28"/>
          <w:rtl/>
        </w:rPr>
        <w:t xml:space="preserve">22 .نصرة الشيعة في استفسار مذهب</w:t>
      </w:r>
    </w:p>
    <w:p>
      <w:pPr>
        <w:pStyle w:val="BookText"/>
      </w:pPr>
      <w:r>
        <w:rPr>
          <w:rFonts w:ascii="Amiri" w:hAnsi="Amiri" w:eastAsia="Amiri" w:cs="Amiri"/>
          <w:lang w:bidi="ar-SA"/>
          <w:color w:val="111111"/>
          <w:sz w:val="28"/>
          <w:szCs w:val="28"/>
          <w:rtl/>
        </w:rPr>
        <w:t xml:space="preserve">الشيعة، ج 16، ص 305.</w:t>
      </w:r>
    </w:p>
    <w:p>
      <w:pPr>
        <w:pStyle w:val="BookText"/>
      </w:pPr>
      <w:r>
        <w:rPr>
          <w:rFonts w:ascii="Amiri" w:hAnsi="Amiri" w:eastAsia="Amiri" w:cs="Amiri"/>
          <w:lang w:bidi="ar-SA"/>
          <w:color w:val="111111"/>
          <w:sz w:val="28"/>
          <w:szCs w:val="28"/>
          <w:rtl/>
        </w:rPr>
        <w:t xml:space="preserve">23 .هداية الزائر، ج 16، ص 610.</w:t>
      </w:r>
    </w:p>
    <w:p>
      <w:pPr>
        <w:pStyle w:val="BookText"/>
      </w:pPr>
      <w:r>
        <w:rPr>
          <w:rFonts w:ascii="Amiri" w:hAnsi="Amiri" w:eastAsia="Amiri" w:cs="Amiri"/>
          <w:lang w:bidi="ar-SA"/>
          <w:color w:val="111111"/>
          <w:sz w:val="28"/>
          <w:szCs w:val="28"/>
          <w:rtl/>
        </w:rPr>
        <w:t xml:space="preserve">حسيني شيرازي ، محمّد نيريزي ، قطب</w:t>
      </w:r>
    </w:p>
    <w:p>
      <w:pPr>
        <w:pStyle w:val="BookText"/>
      </w:pPr>
      <w:r>
        <w:rPr>
          <w:rFonts w:ascii="Amiri" w:hAnsi="Amiri" w:eastAsia="Amiri" w:cs="Amiri"/>
          <w:lang w:bidi="ar-SA"/>
          <w:color w:val="111111"/>
          <w:sz w:val="28"/>
          <w:szCs w:val="28"/>
          <w:rtl/>
        </w:rPr>
        <w:t xml:space="preserve">الدین محمّد</w:t>
      </w:r>
    </w:p>
    <w:p>
      <w:pPr>
        <w:pStyle w:val="BookText"/>
      </w:pPr>
      <w:r>
        <w:rPr>
          <w:rFonts w:ascii="Amiri" w:hAnsi="Amiri" w:eastAsia="Amiri" w:cs="Amiri"/>
          <w:lang w:bidi="ar-SA"/>
          <w:color w:val="111111"/>
          <w:sz w:val="28"/>
          <w:szCs w:val="28"/>
          <w:rtl/>
        </w:rPr>
        <w:t xml:space="preserve">حسيني شيرازي ، محمّد حسن بن محمّد قزويني ، محمّد حسن بن محمّد</w:t>
      </w:r>
    </w:p>
    <w:p>
      <w:pPr>
        <w:pStyle w:val="BookText"/>
      </w:pPr>
      <w:r>
        <w:rPr>
          <w:rFonts w:ascii="IRNazanin" w:hAnsi="IRNazanin" w:eastAsia="IRNazanin" w:cs="IRNazanin"/>
          <w:lang w:bidi="fa-IR"/>
          <w:color w:val="111111"/>
          <w:sz w:val="28"/>
          <w:szCs w:val="28"/>
          <w:rtl/>
        </w:rPr>
        <w:t xml:space="preserve">حسيني شيرازي ، محمّد صالح دستغیب</w:t>
      </w:r>
    </w:p>
    <w:p>
      <w:pPr>
        <w:pStyle w:val="BookText"/>
      </w:pPr>
      <w:r>
        <w:rPr>
          <w:rFonts w:ascii="IRNazanin" w:hAnsi="IRNazanin" w:eastAsia="IRNazanin" w:cs="IRNazanin"/>
          <w:lang w:bidi="fa-IR"/>
          <w:color w:val="111111"/>
          <w:sz w:val="28"/>
          <w:szCs w:val="28"/>
          <w:rtl/>
        </w:rPr>
        <w:t xml:space="preserve">محمّد صالح بن مسعود</w:t>
      </w:r>
    </w:p>
    <w:p>
      <w:pPr>
        <w:pStyle w:val="Heading2"/>
      </w:pPr>
      <w:bookmarkStart w:id="3676" w:name="_Toc2778"/>
      <w:r>
        <w:t>حسيني شيرازي ، محمود بن محمّد</w:t>
      </w:r>
      <w:bookmarkEnd w:id="3676"/>
    </w:p>
    <w:p>
      <w:pPr>
        <w:pStyle w:val="BookText"/>
      </w:pPr>
      <w:r>
        <w:rPr>
          <w:rFonts w:ascii="IRNazanin" w:hAnsi="IRNazanin" w:eastAsia="IRNazanin" w:cs="IRNazanin"/>
          <w:lang w:bidi="fa-IR"/>
          <w:color w:val="111111"/>
          <w:sz w:val="28"/>
          <w:szCs w:val="28"/>
          <w:rtl/>
        </w:rPr>
        <w:t xml:space="preserve">932 ه-</w:t>
      </w:r>
    </w:p>
    <w:p>
      <w:pPr>
        <w:pStyle w:val="BookText"/>
      </w:pPr>
      <w:r>
        <w:rPr>
          <w:rFonts w:ascii="Amiri" w:hAnsi="Amiri" w:eastAsia="Amiri" w:cs="Amiri"/>
          <w:lang w:bidi="ar-SA"/>
          <w:color w:val="111111"/>
          <w:sz w:val="28"/>
          <w:szCs w:val="28"/>
          <w:rtl/>
        </w:rPr>
        <w:t xml:space="preserve">حاشية حاشية الدواني على تهذيب المنطق، ج 5، ص 810</w:t>
      </w:r>
    </w:p>
    <w:p>
      <w:pPr>
        <w:pStyle w:val="BookText"/>
      </w:pPr>
      <w:r>
        <w:rPr>
          <w:rFonts w:ascii="Amiri" w:hAnsi="Amiri" w:eastAsia="Amiri" w:cs="Amiri"/>
          <w:lang w:bidi="ar-SA"/>
          <w:color w:val="111111"/>
          <w:sz w:val="28"/>
          <w:szCs w:val="28"/>
          <w:rtl/>
        </w:rPr>
        <w:t xml:space="preserve">حسيني شيرازي ، منصور بن محمّد-</w:t>
      </w:r>
    </w:p>
    <w:p>
      <w:pPr>
        <w:pStyle w:val="BookText"/>
      </w:pPr>
      <w:r>
        <w:rPr>
          <w:rFonts w:ascii="Amiri" w:hAnsi="Amiri" w:eastAsia="Amiri" w:cs="Amiri"/>
          <w:lang w:bidi="ar-SA"/>
          <w:color w:val="111111"/>
          <w:sz w:val="28"/>
          <w:szCs w:val="28"/>
          <w:rtl/>
        </w:rPr>
        <w:t xml:space="preserve">دشتكي شيرازي ، منصور بن</w:t>
      </w:r>
    </w:p>
    <w:p>
      <w:pPr>
        <w:pStyle w:val="BookText"/>
      </w:pPr>
      <w:r>
        <w:rPr>
          <w:rFonts w:ascii="IRNazanin" w:hAnsi="IRNazanin" w:eastAsia="IRNazanin" w:cs="IRNazanin"/>
          <w:lang w:bidi="fa-IR"/>
          <w:color w:val="111111"/>
          <w:sz w:val="28"/>
          <w:szCs w:val="28"/>
          <w:rtl/>
        </w:rPr>
        <w:t xml:space="preserve">صدرالدین محمّد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4" w:name="pg7742_70180"/>
    <w:bookmarkEnd w:id="394"/>
    <w:p>
      <w:pPr>
        <w:pStyle w:val="BookText"/>
      </w:pPr>
      <w:r>
        <w:rPr>
          <w:rFonts w:ascii="Amiri" w:hAnsi="Amiri" w:eastAsia="Amiri" w:cs="Amiri"/>
          <w:lang w:bidi="ar-SA"/>
          <w:color w:val="111111"/>
          <w:sz w:val="28"/>
          <w:szCs w:val="28"/>
          <w:rtl/>
        </w:rPr>
        <w:t xml:space="preserve">حسيني صادقي، ماجد بن هاشم -بحراني</w:t>
      </w:r>
    </w:p>
    <w:p>
      <w:pPr>
        <w:pStyle w:val="BookText"/>
      </w:pPr>
      <w:r>
        <w:rPr>
          <w:rFonts w:ascii="IRNazanin" w:hAnsi="IRNazanin" w:eastAsia="IRNazanin" w:cs="IRNazanin"/>
          <w:lang w:bidi="fa-IR"/>
          <w:color w:val="111111"/>
          <w:sz w:val="28"/>
          <w:szCs w:val="28"/>
          <w:rtl/>
        </w:rPr>
        <w:t xml:space="preserve">، ماجد بن هاشم</w:t>
      </w:r>
    </w:p>
    <w:p>
      <w:pPr>
        <w:pStyle w:val="Heading2"/>
      </w:pPr>
      <w:bookmarkStart w:id="3677" w:name="_Toc2779"/>
      <w:r>
        <w:t>حسيني ، صالح بن حسين</w:t>
      </w:r>
      <w:bookmarkEnd w:id="3677"/>
    </w:p>
    <w:p>
      <w:pPr>
        <w:pStyle w:val="BookText"/>
      </w:pPr>
      <w:r>
        <w:rPr>
          <w:rFonts w:ascii="IRNazanin" w:hAnsi="IRNazanin" w:eastAsia="IRNazanin" w:cs="IRNazanin"/>
          <w:lang w:bidi="fa-IR"/>
          <w:color w:val="111111"/>
          <w:sz w:val="28"/>
          <w:szCs w:val="28"/>
          <w:rtl/>
        </w:rPr>
        <w:t xml:space="preserve">ص 48 .</w:t>
      </w:r>
    </w:p>
    <w:p>
      <w:pPr>
        <w:pStyle w:val="BookText"/>
      </w:pPr>
      <w:r>
        <w:rPr>
          <w:rFonts w:ascii="Amiri" w:hAnsi="Amiri" w:eastAsia="Amiri" w:cs="Amiri"/>
          <w:lang w:bidi="ar-SA"/>
          <w:color w:val="111111"/>
          <w:sz w:val="28"/>
          <w:szCs w:val="28"/>
          <w:rtl/>
        </w:rPr>
        <w:t xml:space="preserve">مجموعة في الاذكار والادعية، ج 14،</w:t>
      </w:r>
    </w:p>
    <w:p>
      <w:pPr>
        <w:pStyle w:val="BookText"/>
      </w:pPr>
      <w:r>
        <w:rPr>
          <w:rFonts w:ascii="Amiri" w:hAnsi="Amiri" w:eastAsia="Amiri" w:cs="Amiri"/>
          <w:lang w:bidi="ar-SA"/>
          <w:color w:val="111111"/>
          <w:sz w:val="28"/>
          <w:szCs w:val="28"/>
          <w:rtl/>
        </w:rPr>
        <w:t xml:space="preserve">حسيني ، صالح بن عباس- خطيب ، صالح</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IRNazanin" w:hAnsi="IRNazanin" w:eastAsia="IRNazanin" w:cs="IRNazanin"/>
          <w:lang w:bidi="fa-IR"/>
          <w:color w:val="111111"/>
          <w:sz w:val="28"/>
          <w:szCs w:val="28"/>
          <w:rtl/>
        </w:rPr>
        <w:t xml:space="preserve">حسيني ، صدرالدین احمد نظام</w:t>
      </w:r>
    </w:p>
    <w:p>
      <w:pPr>
        <w:pStyle w:val="BookText"/>
      </w:pPr>
      <w:r>
        <w:rPr>
          <w:rFonts w:ascii="Amiri" w:hAnsi="Amiri" w:eastAsia="Amiri" w:cs="Amiri"/>
          <w:lang w:bidi="ar-SA"/>
          <w:color w:val="111111"/>
          <w:sz w:val="28"/>
          <w:szCs w:val="28"/>
          <w:rtl/>
        </w:rPr>
        <w:t xml:space="preserve">الدين -مدني ، علي خان بن احمد</w:t>
      </w:r>
    </w:p>
    <w:p>
      <w:pPr>
        <w:pStyle w:val="Heading2"/>
      </w:pPr>
      <w:bookmarkStart w:id="3678" w:name="_Toc2780"/>
      <w:r>
        <w:t>حسيني صنعاني ، محمّد بن اسماعیل قرن</w:t>
      </w:r>
      <w:bookmarkEnd w:id="3678"/>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الرد على الوهابيين، ج8، ص107</w:t>
      </w:r>
    </w:p>
    <w:p>
      <w:pPr>
        <w:pStyle w:val="BookText"/>
      </w:pPr>
      <w:r>
        <w:rPr>
          <w:rFonts w:ascii="Amiri" w:hAnsi="Amiri" w:eastAsia="Amiri" w:cs="Amiri"/>
          <w:lang w:bidi="ar-SA"/>
          <w:color w:val="111111"/>
          <w:sz w:val="28"/>
          <w:szCs w:val="28"/>
          <w:rtl/>
        </w:rPr>
        <w:t xml:space="preserve">حسيني صفوي ، قطب الدين محمّد بن ابي</w:t>
      </w:r>
    </w:p>
    <w:p>
      <w:pPr>
        <w:pStyle w:val="BookText"/>
      </w:pPr>
      <w:r>
        <w:rPr>
          <w:rFonts w:ascii="Amiri" w:hAnsi="Amiri" w:eastAsia="Amiri" w:cs="Amiri"/>
          <w:lang w:bidi="ar-SA"/>
          <w:color w:val="111111"/>
          <w:sz w:val="28"/>
          <w:szCs w:val="28"/>
          <w:rtl/>
        </w:rPr>
        <w:t xml:space="preserve">طالب- نيريزي ، قطب الدين محمّد</w:t>
      </w:r>
    </w:p>
    <w:p>
      <w:pPr>
        <w:pStyle w:val="BookText"/>
      </w:pPr>
      <w:r>
        <w:rPr>
          <w:rFonts w:ascii="Amiri" w:hAnsi="Amiri" w:eastAsia="Amiri" w:cs="Amiri"/>
          <w:lang w:bidi="ar-SA"/>
          <w:color w:val="111111"/>
          <w:sz w:val="28"/>
          <w:szCs w:val="28"/>
          <w:rtl/>
        </w:rPr>
        <w:t xml:space="preserve">حسيني صفوي ، محمّد بن</w:t>
      </w:r>
    </w:p>
    <w:p>
      <w:pPr>
        <w:pStyle w:val="BookText"/>
      </w:pPr>
      <w:r>
        <w:rPr>
          <w:rFonts w:ascii="Amiri" w:hAnsi="Amiri" w:eastAsia="Amiri" w:cs="Amiri"/>
          <w:lang w:bidi="ar-SA"/>
          <w:color w:val="111111"/>
          <w:sz w:val="28"/>
          <w:szCs w:val="28"/>
          <w:rtl/>
        </w:rPr>
        <w:t xml:space="preserve">عبد الرحمن- ايجي ، محمّد بن عبدالرحمن</w:t>
      </w:r>
    </w:p>
    <w:p>
      <w:pPr>
        <w:pStyle w:val="Heading2"/>
      </w:pPr>
      <w:bookmarkStart w:id="3679" w:name="_Toc2781"/>
      <w:r>
        <w:t>حسيني ، ضاحي بن هادي - 1333 ه-</w:t>
      </w:r>
      <w:bookmarkEnd w:id="3679"/>
    </w:p>
    <w:p>
      <w:pPr>
        <w:pStyle w:val="BookText"/>
      </w:pPr>
      <w:r>
        <w:rPr>
          <w:rFonts w:ascii="Amiri" w:hAnsi="Amiri" w:eastAsia="Amiri" w:cs="Amiri"/>
          <w:lang w:bidi="ar-SA"/>
          <w:color w:val="111111"/>
          <w:sz w:val="28"/>
          <w:szCs w:val="28"/>
          <w:rtl/>
        </w:rPr>
        <w:t xml:space="preserve">تاريخ الشنافية، ج3، ص578.</w:t>
      </w:r>
    </w:p>
    <w:p>
      <w:pPr>
        <w:pStyle w:val="BookText"/>
      </w:pPr>
      <w:r>
        <w:rPr>
          <w:rFonts w:ascii="Amiri" w:hAnsi="Amiri" w:eastAsia="Amiri" w:cs="Amiri"/>
          <w:lang w:bidi="ar-SA"/>
          <w:color w:val="111111"/>
          <w:sz w:val="28"/>
          <w:szCs w:val="28"/>
          <w:rtl/>
        </w:rPr>
        <w:t xml:space="preserve">حسيني ، ضياء الدين- شوشتري ، نور الله</w:t>
      </w:r>
    </w:p>
    <w:p>
      <w:pPr>
        <w:pStyle w:val="BookText"/>
      </w:pPr>
      <w:r>
        <w:rPr>
          <w:rFonts w:ascii="Amiri" w:hAnsi="Amiri" w:eastAsia="Amiri" w:cs="Amiri"/>
          <w:lang w:bidi="ar-SA"/>
          <w:color w:val="111111"/>
          <w:sz w:val="28"/>
          <w:szCs w:val="28"/>
          <w:rtl/>
        </w:rPr>
        <w:t xml:space="preserve">بن محمّد شاه</w:t>
      </w:r>
    </w:p>
    <w:p>
      <w:pPr>
        <w:pStyle w:val="Heading2"/>
      </w:pPr>
      <w:bookmarkStart w:id="3680" w:name="_Toc2782"/>
      <w:r>
        <w:t>حسيني طالقاني ، موسى بن جعفر</w:t>
      </w:r>
      <w:bookmarkEnd w:id="3680"/>
    </w:p>
    <w:p>
      <w:pPr>
        <w:pStyle w:val="BookText"/>
      </w:pPr>
      <w:r>
        <w:rPr>
          <w:rFonts w:ascii="IRNazanin" w:hAnsi="IRNazanin" w:eastAsia="IRNazanin" w:cs="IRNazanin"/>
          <w:lang w:bidi="fa-IR"/>
          <w:color w:val="111111"/>
          <w:sz w:val="28"/>
          <w:szCs w:val="28"/>
          <w:rtl/>
        </w:rPr>
        <w:t xml:space="preserve">1298 ه-</w:t>
      </w:r>
    </w:p>
    <w:p>
      <w:pPr>
        <w:pStyle w:val="BookText"/>
      </w:pPr>
      <w:r>
        <w:rPr>
          <w:rFonts w:ascii="IRNazanin" w:hAnsi="IRNazanin" w:eastAsia="IRNazanin" w:cs="IRNazanin"/>
          <w:lang w:bidi="fa-IR"/>
          <w:color w:val="111111"/>
          <w:sz w:val="28"/>
          <w:szCs w:val="28"/>
          <w:rtl/>
        </w:rPr>
        <w:t xml:space="preserve">دیوان طالقاني، ج7، ص 696.</w:t>
      </w:r>
    </w:p>
    <w:p>
      <w:pPr>
        <w:pStyle w:val="BookText"/>
      </w:pPr>
      <w:r>
        <w:rPr>
          <w:rFonts w:ascii="Amiri" w:hAnsi="Amiri" w:eastAsia="Amiri" w:cs="Amiri"/>
          <w:lang w:bidi="ar-SA"/>
          <w:color w:val="111111"/>
          <w:sz w:val="28"/>
          <w:szCs w:val="28"/>
          <w:rtl/>
        </w:rPr>
        <w:t xml:space="preserve">حسيني صفوي ، عيسى بن محمّد -صفوي، عيسى بن محمّد</w:t>
      </w:r>
    </w:p>
    <w:p>
      <w:pPr>
        <w:pStyle w:val="Heading2"/>
      </w:pPr>
      <w:bookmarkStart w:id="3681" w:name="_Toc2783"/>
      <w:r>
        <w:t>حسيني ، طاهر</w:t>
      </w:r>
      <w:bookmarkEnd w:id="3681"/>
    </w:p>
    <w:p>
      <w:pPr>
        <w:pStyle w:val="BookText"/>
      </w:pPr>
      <w:r>
        <w:rPr>
          <w:rFonts w:ascii="Amiri" w:hAnsi="Amiri" w:eastAsia="Amiri" w:cs="Amiri"/>
          <w:lang w:bidi="ar-SA"/>
          <w:color w:val="111111"/>
          <w:sz w:val="28"/>
          <w:szCs w:val="28"/>
          <w:rtl/>
        </w:rPr>
        <w:t xml:space="preserve">التشريح في علم التسطيح، ج 4،</w:t>
      </w:r>
    </w:p>
    <w:p>
      <w:pPr>
        <w:pStyle w:val="BookText"/>
      </w:pPr>
      <w:r>
        <w:rPr>
          <w:rFonts w:ascii="IRNazanin" w:hAnsi="IRNazanin" w:eastAsia="IRNazanin" w:cs="IRNazanin"/>
          <w:lang w:bidi="fa-IR"/>
          <w:color w:val="111111"/>
          <w:sz w:val="28"/>
          <w:szCs w:val="28"/>
          <w:rtl/>
        </w:rPr>
        <w:t xml:space="preserve">ص 379.</w:t>
      </w:r>
    </w:p>
    <w:p>
      <w:pPr>
        <w:pStyle w:val="Heading2"/>
      </w:pPr>
      <w:bookmarkStart w:id="3682" w:name="_Toc2784"/>
      <w:r>
        <w:t>حسيني طباطبائي ، ابراهيم بن احمد</w:t>
      </w:r>
      <w:bookmarkEnd w:id="3682"/>
    </w:p>
    <w:p>
      <w:pPr>
        <w:pStyle w:val="BookText"/>
      </w:pPr>
      <w:r>
        <w:rPr>
          <w:rFonts w:ascii="IRNazanin" w:hAnsi="IRNazanin" w:eastAsia="IRNazanin" w:cs="IRNazanin"/>
          <w:lang w:bidi="fa-IR"/>
          <w:color w:val="111111"/>
          <w:sz w:val="28"/>
          <w:szCs w:val="28"/>
          <w:rtl/>
        </w:rPr>
        <w:t xml:space="preserve">863 ه-</w:t>
      </w:r>
    </w:p>
    <w:p>
      <w:pPr>
        <w:pStyle w:val="BookText"/>
      </w:pPr>
      <w:r>
        <w:rPr>
          <w:rFonts w:ascii="Amiri" w:hAnsi="Amiri" w:eastAsia="Amiri" w:cs="Amiri"/>
          <w:lang w:bidi="ar-SA"/>
          <w:color w:val="111111"/>
          <w:sz w:val="28"/>
          <w:szCs w:val="28"/>
          <w:rtl/>
        </w:rPr>
        <w:t xml:space="preserve">تفسير القرآن الكريم، ج 4، ص 664 .</w:t>
      </w:r>
    </w:p>
    <w:p>
      <w:pPr>
        <w:pStyle w:val="Heading2"/>
      </w:pPr>
      <w:bookmarkStart w:id="3683" w:name="_Toc2785"/>
      <w:r>
        <w:t>حسيني طباطبائي ، محمّد اشرف بن</w:t>
      </w:r>
      <w:bookmarkEnd w:id="3683"/>
    </w:p>
    <w:p>
      <w:pPr>
        <w:pStyle w:val="BookText"/>
      </w:pPr>
      <w:r>
        <w:rPr>
          <w:rFonts w:ascii="Amiri" w:hAnsi="Amiri" w:eastAsia="Amiri" w:cs="Amiri"/>
          <w:lang w:bidi="ar-SA"/>
          <w:color w:val="111111"/>
          <w:sz w:val="28"/>
          <w:szCs w:val="28"/>
          <w:rtl/>
        </w:rPr>
        <w:t xml:space="preserve">حبيب الله قرن 11 ه-</w:t>
      </w:r>
    </w:p>
    <w:p>
      <w:pPr>
        <w:pStyle w:val="BookText"/>
      </w:pPr>
      <w:r>
        <w:rPr>
          <w:rFonts w:ascii="Amiri" w:hAnsi="Amiri" w:eastAsia="Amiri" w:cs="Amiri"/>
          <w:lang w:bidi="ar-SA"/>
          <w:color w:val="111111"/>
          <w:sz w:val="28"/>
          <w:szCs w:val="28"/>
          <w:rtl/>
        </w:rPr>
        <w:t xml:space="preserve">1 .شرح تشريح الافلاك، ج9، ص330.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خلاصة الحساب، ج 9، ص 441 .</w:t>
      </w:r>
    </w:p>
    <w:p>
      <w:pPr>
        <w:pStyle w:val="BookText"/>
      </w:pPr>
      <w:r>
        <w:rPr>
          <w:rFonts w:ascii="Amiri" w:hAnsi="Amiri" w:eastAsia="Amiri" w:cs="Amiri"/>
          <w:lang w:bidi="ar-SA"/>
          <w:color w:val="111111"/>
          <w:sz w:val="28"/>
          <w:szCs w:val="28"/>
          <w:rtl/>
        </w:rPr>
        <w:t xml:space="preserve">حسيني طباطبائي ، محمّد بن حيدر -رفيعا ، محمّد بن حيدر</w:t>
      </w:r>
    </w:p>
    <w:p>
      <w:pPr>
        <w:pStyle w:val="Heading2"/>
      </w:pPr>
      <w:bookmarkStart w:id="3684" w:name="_Toc2786"/>
      <w:r>
        <w:t>حسيني طباطبائي ، محمّد حسن بن مرتضى</w:t>
      </w:r>
      <w:bookmarkEnd w:id="3684"/>
    </w:p>
    <w:p>
      <w:pPr>
        <w:pStyle w:val="BookText"/>
      </w:pPr>
      <w:r>
        <w:rPr>
          <w:rFonts w:ascii="Amiri" w:hAnsi="Amiri" w:eastAsia="Amiri" w:cs="Amiri"/>
          <w:lang w:bidi="ar-SA"/>
          <w:color w:val="111111"/>
          <w:sz w:val="28"/>
          <w:szCs w:val="28"/>
          <w:rtl/>
        </w:rPr>
        <w:t xml:space="preserve">مجموعة الطباطبائي، ج 14، ص 43.</w:t>
      </w:r>
    </w:p>
    <w:p>
      <w:pPr>
        <w:pStyle w:val="BookText"/>
      </w:pPr>
      <w:r>
        <w:rPr>
          <w:rFonts w:ascii="Amiri" w:hAnsi="Amiri" w:eastAsia="Amiri" w:cs="Amiri"/>
          <w:lang w:bidi="ar-SA"/>
          <w:color w:val="111111"/>
          <w:sz w:val="28"/>
          <w:szCs w:val="28"/>
          <w:rtl/>
        </w:rPr>
        <w:t xml:space="preserve">حسيني طباطبائي ، محمّد رفيع بن علي</w:t>
      </w:r>
    </w:p>
    <w:p>
      <w:pPr>
        <w:pStyle w:val="BookText"/>
      </w:pPr>
      <w:r>
        <w:rPr>
          <w:rFonts w:ascii="Amiri" w:hAnsi="Amiri" w:eastAsia="Amiri" w:cs="Amiri"/>
          <w:lang w:bidi="ar-SA"/>
          <w:color w:val="111111"/>
          <w:sz w:val="28"/>
          <w:szCs w:val="28"/>
          <w:rtl/>
        </w:rPr>
        <w:t xml:space="preserve">اصغر -نظام العلماء ، محمّد رفيع بن علي</w:t>
      </w:r>
    </w:p>
    <w:p>
      <w:pPr>
        <w:pStyle w:val="BookText"/>
      </w:pPr>
      <w:r>
        <w:rPr>
          <w:rFonts w:ascii="IRNazanin" w:hAnsi="IRNazanin" w:eastAsia="IRNazanin" w:cs="IRNazanin"/>
          <w:lang w:bidi="fa-IR"/>
          <w:color w:val="111111"/>
          <w:sz w:val="28"/>
          <w:szCs w:val="28"/>
          <w:rtl/>
        </w:rPr>
        <w:t xml:space="preserve">اصغر</w:t>
      </w:r>
    </w:p>
    <w:p>
      <w:pPr>
        <w:pStyle w:val="Heading2"/>
      </w:pPr>
      <w:bookmarkStart w:id="3685" w:name="_Toc2787"/>
      <w:r>
        <w:t>حسيني طباطبائي ، محمّد صادق بن</w:t>
      </w:r>
      <w:bookmarkEnd w:id="3685"/>
    </w:p>
    <w:p>
      <w:pPr>
        <w:pStyle w:val="BookText"/>
      </w:pPr>
      <w:r>
        <w:rPr>
          <w:rFonts w:ascii="Amiri" w:hAnsi="Amiri" w:eastAsia="Amiri" w:cs="Amiri"/>
          <w:lang w:bidi="ar-SA"/>
          <w:color w:val="111111"/>
          <w:sz w:val="28"/>
          <w:szCs w:val="28"/>
          <w:rtl/>
        </w:rPr>
        <w:t xml:space="preserve">محمّد مهدي</w:t>
      </w:r>
    </w:p>
    <w:p>
      <w:pPr>
        <w:pStyle w:val="BookText"/>
      </w:pPr>
      <w:r>
        <w:rPr>
          <w:rFonts w:ascii="IRNazanin" w:hAnsi="IRNazanin" w:eastAsia="IRNazanin" w:cs="IRNazanin"/>
          <w:lang w:bidi="fa-IR"/>
          <w:color w:val="111111"/>
          <w:sz w:val="28"/>
          <w:szCs w:val="28"/>
          <w:rtl/>
        </w:rPr>
        <w:t xml:space="preserve">إجازة للشيخ محمّد بهاء الدین صدر</w:t>
      </w:r>
    </w:p>
    <w:p>
      <w:pPr>
        <w:pStyle w:val="BookText"/>
      </w:pPr>
      <w:r>
        <w:rPr>
          <w:rFonts w:ascii="Amiri" w:hAnsi="Amiri" w:eastAsia="Amiri" w:cs="Amiri"/>
          <w:lang w:bidi="ar-SA"/>
          <w:color w:val="111111"/>
          <w:sz w:val="28"/>
          <w:szCs w:val="28"/>
          <w:rtl/>
        </w:rPr>
        <w:t xml:space="preserve">الشريعة بن نظام الدوله، ج1، ص272.</w:t>
      </w:r>
    </w:p>
    <w:p>
      <w:pPr>
        <w:pStyle w:val="BookText"/>
      </w:pPr>
      <w:r>
        <w:rPr>
          <w:rFonts w:ascii="Amiri" w:hAnsi="Amiri" w:eastAsia="Amiri" w:cs="Amiri"/>
          <w:lang w:bidi="ar-SA"/>
          <w:color w:val="111111"/>
          <w:sz w:val="28"/>
          <w:szCs w:val="28"/>
          <w:rtl/>
        </w:rPr>
        <w:t xml:space="preserve">حسيني طبري، عبد القادر بن</w:t>
      </w:r>
    </w:p>
    <w:p>
      <w:pPr>
        <w:pStyle w:val="BookText"/>
      </w:pPr>
      <w:r>
        <w:rPr>
          <w:rFonts w:ascii="Amiri" w:hAnsi="Amiri" w:eastAsia="Amiri" w:cs="Amiri"/>
          <w:lang w:bidi="ar-SA"/>
          <w:color w:val="111111"/>
          <w:sz w:val="28"/>
          <w:szCs w:val="28"/>
          <w:rtl/>
        </w:rPr>
        <w:t xml:space="preserve">محمّد -طبري ، عبد القادر بن محمّد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5" w:name="pg7742_70182"/>
    <w:bookmarkEnd w:id="395"/>
    <w:p>
      <w:pPr>
        <w:pStyle w:val="BookText"/>
      </w:pPr>
      <w:r>
        <w:rPr>
          <w:rFonts w:ascii="Amiri" w:hAnsi="Amiri" w:eastAsia="Amiri" w:cs="Amiri"/>
          <w:lang w:bidi="ar-SA"/>
          <w:color w:val="111111"/>
          <w:sz w:val="28"/>
          <w:szCs w:val="28"/>
          <w:rtl/>
        </w:rPr>
        <w:t xml:space="preserve">حسيني طبيب - طبيب، محمّد حسين بن</w:t>
      </w:r>
    </w:p>
    <w:p>
      <w:pPr>
        <w:pStyle w:val="BookText"/>
      </w:pPr>
      <w:r>
        <w:rPr>
          <w:rFonts w:ascii="Amiri" w:hAnsi="Amiri" w:eastAsia="Amiri" w:cs="Amiri"/>
          <w:lang w:bidi="ar-SA"/>
          <w:color w:val="111111"/>
          <w:sz w:val="28"/>
          <w:szCs w:val="28"/>
          <w:rtl/>
        </w:rPr>
        <w:t xml:space="preserve">محمّد رضا</w:t>
      </w:r>
    </w:p>
    <w:p>
      <w:pPr>
        <w:pStyle w:val="BookText"/>
      </w:pPr>
      <w:r>
        <w:rPr>
          <w:rFonts w:ascii="Amiri" w:hAnsi="Amiri" w:eastAsia="Amiri" w:cs="Amiri"/>
          <w:lang w:bidi="ar-SA"/>
          <w:color w:val="111111"/>
          <w:sz w:val="28"/>
          <w:szCs w:val="28"/>
          <w:rtl/>
        </w:rPr>
        <w:t xml:space="preserve">حسيني طبيب، محمّد مؤمن- حكيم</w:t>
      </w:r>
    </w:p>
    <w:p>
      <w:pPr>
        <w:pStyle w:val="BookText"/>
      </w:pPr>
      <w:r>
        <w:rPr>
          <w:rFonts w:ascii="IRNazanin" w:hAnsi="IRNazanin" w:eastAsia="IRNazanin" w:cs="IRNazanin"/>
          <w:lang w:bidi="fa-IR"/>
          <w:color w:val="111111"/>
          <w:sz w:val="28"/>
          <w:szCs w:val="28"/>
          <w:rtl/>
        </w:rPr>
        <w:t xml:space="preserve">مؤمن، محمّد مؤمن بن محمّد زمان</w:t>
      </w:r>
    </w:p>
    <w:p>
      <w:pPr>
        <w:pStyle w:val="Heading2"/>
      </w:pPr>
      <w:bookmarkStart w:id="3686" w:name="_Toc2788"/>
      <w:r>
        <w:t>حسيني طهراني ، محمّد - 1317 ه-</w:t>
      </w:r>
      <w:bookmarkEnd w:id="3686"/>
    </w:p>
    <w:p>
      <w:pPr>
        <w:pStyle w:val="BookText"/>
      </w:pPr>
      <w:r>
        <w:rPr>
          <w:rFonts w:ascii="Amiri" w:hAnsi="Amiri" w:eastAsia="Amiri" w:cs="Amiri"/>
          <w:lang w:bidi="ar-SA"/>
          <w:color w:val="111111"/>
          <w:sz w:val="28"/>
          <w:szCs w:val="28"/>
          <w:rtl/>
        </w:rPr>
        <w:t xml:space="preserve">حاشية المكاسب، ج 6، ص 417.</w:t>
      </w:r>
    </w:p>
    <w:p>
      <w:pPr>
        <w:pStyle w:val="BookText"/>
      </w:pPr>
      <w:r>
        <w:rPr>
          <w:rFonts w:ascii="Amiri" w:hAnsi="Amiri" w:eastAsia="Amiri" w:cs="Amiri"/>
          <w:lang w:bidi="ar-SA"/>
          <w:color w:val="111111"/>
          <w:sz w:val="28"/>
          <w:szCs w:val="28"/>
          <w:rtl/>
        </w:rPr>
        <w:t xml:space="preserve">حسيني طهراني ، محمّد بن ابي طالب- مجدي ، محمّد بن ابي طالب</w:t>
      </w:r>
    </w:p>
    <w:p>
      <w:pPr>
        <w:pStyle w:val="BookText"/>
      </w:pPr>
      <w:r>
        <w:rPr>
          <w:rFonts w:ascii="Amiri" w:hAnsi="Amiri" w:eastAsia="Amiri" w:cs="Amiri"/>
          <w:lang w:bidi="ar-SA"/>
          <w:color w:val="111111"/>
          <w:sz w:val="28"/>
          <w:szCs w:val="28"/>
          <w:rtl/>
        </w:rPr>
        <w:t xml:space="preserve">حسيني عاملي ، احمد بن زين العابدين- علوي عاملي، احمد بن زين</w:t>
      </w:r>
    </w:p>
    <w:p>
      <w:pPr>
        <w:pStyle w:val="BookText"/>
      </w:pPr>
      <w:r>
        <w:rPr>
          <w:rFonts w:ascii="Amiri" w:hAnsi="Amiri" w:eastAsia="Amiri" w:cs="Amiri"/>
          <w:lang w:bidi="ar-SA"/>
          <w:color w:val="111111"/>
          <w:sz w:val="28"/>
          <w:szCs w:val="28"/>
          <w:rtl/>
        </w:rPr>
        <w:t xml:space="preserve">العابدين</w:t>
      </w:r>
    </w:p>
    <w:p>
      <w:pPr>
        <w:pStyle w:val="BookText"/>
      </w:pPr>
      <w:r>
        <w:rPr>
          <w:rFonts w:ascii="Amiri" w:hAnsi="Amiri" w:eastAsia="Amiri" w:cs="Amiri"/>
          <w:lang w:bidi="ar-SA"/>
          <w:color w:val="111111"/>
          <w:sz w:val="28"/>
          <w:szCs w:val="28"/>
          <w:rtl/>
        </w:rPr>
        <w:t xml:space="preserve">حسيني عاملي انصاري ، بدر الدين بن</w:t>
      </w:r>
    </w:p>
    <w:p>
      <w:pPr>
        <w:pStyle w:val="BookText"/>
      </w:pPr>
      <w:r>
        <w:rPr>
          <w:rFonts w:ascii="Amiri" w:hAnsi="Amiri" w:eastAsia="Amiri" w:cs="Amiri"/>
          <w:lang w:bidi="ar-SA"/>
          <w:color w:val="111111"/>
          <w:sz w:val="28"/>
          <w:szCs w:val="28"/>
          <w:rtl/>
        </w:rPr>
        <w:t xml:space="preserve">احمد -انصاري ، بدرالدين بن احمد</w:t>
      </w:r>
    </w:p>
    <w:p>
      <w:pPr>
        <w:pStyle w:val="BookText"/>
      </w:pPr>
      <w:r>
        <w:rPr>
          <w:rFonts w:ascii="Amiri" w:hAnsi="Amiri" w:eastAsia="Amiri" w:cs="Amiri"/>
          <w:lang w:bidi="ar-SA"/>
          <w:color w:val="111111"/>
          <w:sz w:val="28"/>
          <w:szCs w:val="28"/>
          <w:rtl/>
        </w:rPr>
        <w:t xml:space="preserve">حسيني عاملي ، جواد بن محمّد -عاملي</w:t>
      </w:r>
    </w:p>
    <w:p>
      <w:pPr>
        <w:pStyle w:val="BookText"/>
      </w:pPr>
      <w:r>
        <w:rPr>
          <w:rFonts w:ascii="Amiri" w:hAnsi="Amiri" w:eastAsia="Amiri" w:cs="Amiri"/>
          <w:lang w:bidi="ar-SA"/>
          <w:color w:val="111111"/>
          <w:sz w:val="28"/>
          <w:szCs w:val="28"/>
          <w:rtl/>
        </w:rPr>
        <w:t xml:space="preserve">غروي ، جواد بن محمّد</w:t>
      </w:r>
    </w:p>
    <w:p>
      <w:pPr>
        <w:pStyle w:val="BookText"/>
      </w:pPr>
      <w:r>
        <w:rPr>
          <w:rFonts w:ascii="Amiri" w:hAnsi="Amiri" w:eastAsia="Amiri" w:cs="Amiri"/>
          <w:lang w:bidi="ar-SA"/>
          <w:color w:val="111111"/>
          <w:sz w:val="28"/>
          <w:szCs w:val="28"/>
          <w:rtl/>
        </w:rPr>
        <w:t xml:space="preserve">حسيني عاملي ، حسن بن جعفر -كركي</w:t>
      </w:r>
    </w:p>
    <w:p>
      <w:pPr>
        <w:pStyle w:val="BookText"/>
      </w:pPr>
      <w:r>
        <w:rPr>
          <w:rFonts w:ascii="IRNazanin" w:hAnsi="IRNazanin" w:eastAsia="IRNazanin" w:cs="IRNazanin"/>
          <w:lang w:bidi="fa-IR"/>
          <w:color w:val="111111"/>
          <w:sz w:val="28"/>
          <w:szCs w:val="28"/>
          <w:rtl/>
        </w:rPr>
        <w:t xml:space="preserve">حسن بن جعفر</w:t>
      </w:r>
    </w:p>
    <w:p>
      <w:pPr>
        <w:pStyle w:val="Heading2"/>
      </w:pPr>
      <w:bookmarkStart w:id="3687" w:name="_Toc2789"/>
      <w:r>
        <w:t>حسيني عاملي ، حسين بن محمّد</w:t>
      </w:r>
      <w:bookmarkEnd w:id="3687"/>
    </w:p>
    <w:p>
      <w:pPr>
        <w:pStyle w:val="BookText"/>
      </w:pPr>
      <w:r>
        <w:rPr>
          <w:rFonts w:ascii="Amiri" w:hAnsi="Amiri" w:eastAsia="Amiri" w:cs="Amiri"/>
          <w:lang w:bidi="ar-SA"/>
          <w:color w:val="111111"/>
          <w:sz w:val="28"/>
          <w:szCs w:val="28"/>
          <w:rtl/>
        </w:rPr>
        <w:t xml:space="preserve">رفع البدعة في حل المتعة، ج8،</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Amiri" w:hAnsi="Amiri" w:eastAsia="Amiri" w:cs="Amiri"/>
          <w:lang w:bidi="ar-SA"/>
          <w:color w:val="111111"/>
          <w:sz w:val="28"/>
          <w:szCs w:val="28"/>
          <w:rtl/>
        </w:rPr>
        <w:t xml:space="preserve">حسيني عاملي ، محمّد بن محمّد -عينائي محمّد بن محمّد</w:t>
      </w:r>
    </w:p>
    <w:p>
      <w:pPr>
        <w:pStyle w:val="Heading2"/>
      </w:pPr>
      <w:bookmarkStart w:id="3688" w:name="_Toc2790"/>
      <w:r>
        <w:t>حسيني عاملي ، محمّد شفیع بن محمّد</w:t>
      </w:r>
      <w:bookmarkEnd w:id="36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1187ه-</w:t>
      </w:r>
    </w:p>
    <w:p>
      <w:pPr>
        <w:pStyle w:val="BookText"/>
      </w:pPr>
      <w:r>
        <w:rPr>
          <w:rFonts w:ascii="IRNazanin" w:hAnsi="IRNazanin" w:eastAsia="IRNazanin" w:cs="IRNazanin"/>
          <w:lang w:bidi="fa-IR"/>
          <w:color w:val="111111"/>
          <w:sz w:val="28"/>
          <w:szCs w:val="28"/>
          <w:rtl/>
        </w:rPr>
        <w:t xml:space="preserve">1 .شعشعه ذوالفقار در غزوات حیدر حسيني ، عبدالله بن ابراهیم چته چي ،</w:t>
      </w:r>
    </w:p>
    <w:p>
      <w:pPr>
        <w:pStyle w:val="BookText"/>
      </w:pPr>
      <w:r>
        <w:rPr>
          <w:rFonts w:ascii="IRNazanin" w:hAnsi="IRNazanin" w:eastAsia="IRNazanin" w:cs="IRNazanin"/>
          <w:lang w:bidi="fa-IR"/>
          <w:color w:val="111111"/>
          <w:sz w:val="28"/>
          <w:szCs w:val="28"/>
          <w:rtl/>
        </w:rPr>
        <w:t xml:space="preserve">کرار، ج 10، ص370.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مراثي، ج 14 ، ص 370 .</w:t>
      </w:r>
    </w:p>
    <w:p>
      <w:pPr>
        <w:pStyle w:val="BookText"/>
      </w:pPr>
      <w:r>
        <w:rPr>
          <w:rFonts w:ascii="Amiri" w:hAnsi="Amiri" w:eastAsia="Amiri" w:cs="Amiri"/>
          <w:lang w:bidi="ar-SA"/>
          <w:color w:val="111111"/>
          <w:sz w:val="28"/>
          <w:szCs w:val="28"/>
          <w:rtl/>
        </w:rPr>
        <w:t xml:space="preserve">حسيني عاملي ، يوسف بن محمّد- عاملي</w:t>
      </w:r>
    </w:p>
    <w:p>
      <w:pPr>
        <w:pStyle w:val="BookText"/>
      </w:pPr>
      <w:r>
        <w:rPr>
          <w:rFonts w:ascii="Amiri" w:hAnsi="Amiri" w:eastAsia="Amiri" w:cs="Amiri"/>
          <w:lang w:bidi="ar-SA"/>
          <w:color w:val="111111"/>
          <w:sz w:val="28"/>
          <w:szCs w:val="28"/>
          <w:rtl/>
        </w:rPr>
        <w:t xml:space="preserve">، يوسف بن محمّد حسين</w:t>
      </w:r>
    </w:p>
    <w:p>
      <w:pPr>
        <w:pStyle w:val="BookText"/>
      </w:pPr>
      <w:r>
        <w:rPr>
          <w:rFonts w:ascii="Amiri" w:hAnsi="Amiri" w:eastAsia="Amiri" w:cs="Amiri"/>
          <w:lang w:bidi="ar-SA"/>
          <w:color w:val="111111"/>
          <w:sz w:val="28"/>
          <w:szCs w:val="28"/>
          <w:rtl/>
        </w:rPr>
        <w:t xml:space="preserve">حسيني عباسي ، محمّد باقر بن شرف الدين- لاهوري، محمّد باقر بن شرف الدين</w:t>
      </w:r>
    </w:p>
    <w:p>
      <w:pPr>
        <w:pStyle w:val="BookText"/>
      </w:pPr>
      <w:r>
        <w:rPr>
          <w:rFonts w:ascii="Amiri" w:hAnsi="Amiri" w:eastAsia="Amiri" w:cs="Amiri"/>
          <w:lang w:bidi="ar-SA"/>
          <w:color w:val="111111"/>
          <w:sz w:val="28"/>
          <w:szCs w:val="28"/>
          <w:rtl/>
        </w:rPr>
        <w:t xml:space="preserve">حسيني ، عبدالباقي بن محمّد حسين- خاتون آبادي ، عبدالباقي بن محمّد</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حسيني ، عبد الحي بن عبد الوهاب -اشرفي</w:t>
      </w:r>
    </w:p>
    <w:p>
      <w:pPr>
        <w:pStyle w:val="BookText"/>
      </w:pPr>
      <w:r>
        <w:rPr>
          <w:rFonts w:ascii="Amiri" w:hAnsi="Amiri" w:eastAsia="Amiri" w:cs="Amiri"/>
          <w:lang w:bidi="ar-SA"/>
          <w:color w:val="111111"/>
          <w:sz w:val="28"/>
          <w:szCs w:val="28"/>
          <w:rtl/>
        </w:rPr>
        <w:t xml:space="preserve">جرجاني ، عبد الحي بن عبدالوهاب</w:t>
      </w:r>
    </w:p>
    <w:p>
      <w:pPr>
        <w:pStyle w:val="BookText"/>
      </w:pPr>
      <w:r>
        <w:rPr>
          <w:rFonts w:ascii="Amiri" w:hAnsi="Amiri" w:eastAsia="Amiri" w:cs="Amiri"/>
          <w:lang w:bidi="ar-SA"/>
          <w:color w:val="111111"/>
          <w:sz w:val="28"/>
          <w:szCs w:val="28"/>
          <w:rtl/>
        </w:rPr>
        <w:t xml:space="preserve">حسيني ، عبد الرحمن بن محمّد -ابن</w:t>
      </w:r>
    </w:p>
    <w:p>
      <w:pPr>
        <w:pStyle w:val="BookText"/>
      </w:pPr>
      <w:r>
        <w:rPr>
          <w:rFonts w:ascii="Amiri" w:hAnsi="Amiri" w:eastAsia="Amiri" w:cs="Amiri"/>
          <w:lang w:bidi="ar-SA"/>
          <w:color w:val="111111"/>
          <w:sz w:val="28"/>
          <w:szCs w:val="28"/>
          <w:rtl/>
        </w:rPr>
        <w:t xml:space="preserve">داود ، عبدالرحمن بن ابي بكر</w:t>
      </w:r>
    </w:p>
    <w:p>
      <w:pPr>
        <w:pStyle w:val="BookText"/>
      </w:pPr>
      <w:r>
        <w:rPr>
          <w:rFonts w:ascii="Amiri" w:hAnsi="Amiri" w:eastAsia="Amiri" w:cs="Amiri"/>
          <w:lang w:bidi="ar-SA"/>
          <w:color w:val="111111"/>
          <w:sz w:val="28"/>
          <w:szCs w:val="28"/>
          <w:rtl/>
        </w:rPr>
        <w:t xml:space="preserve">حسيني ، عبدالرحيم بن حسن- رضوي</w:t>
      </w:r>
    </w:p>
    <w:p>
      <w:pPr>
        <w:pStyle w:val="BookText"/>
      </w:pPr>
      <w:r>
        <w:rPr>
          <w:rFonts w:ascii="Amiri" w:hAnsi="Amiri" w:eastAsia="Amiri" w:cs="Amiri"/>
          <w:lang w:bidi="ar-SA"/>
          <w:color w:val="111111"/>
          <w:sz w:val="28"/>
          <w:szCs w:val="28"/>
          <w:rtl/>
        </w:rPr>
        <w:t xml:space="preserve">حسيني ، عبدالرحيم بن حسن</w:t>
      </w:r>
    </w:p>
    <w:p>
      <w:pPr>
        <w:pStyle w:val="Heading2"/>
      </w:pPr>
      <w:bookmarkStart w:id="3689" w:name="_Toc2791"/>
      <w:r>
        <w:t>حسيني ، عبد الرحيم بن عبدالله</w:t>
      </w:r>
      <w:bookmarkEnd w:id="3689"/>
    </w:p>
    <w:p>
      <w:pPr>
        <w:pStyle w:val="BookText"/>
      </w:pPr>
      <w:r>
        <w:rPr>
          <w:rFonts w:ascii="Amiri" w:hAnsi="Amiri" w:eastAsia="Amiri" w:cs="Amiri"/>
          <w:lang w:bidi="ar-SA"/>
          <w:color w:val="111111"/>
          <w:sz w:val="28"/>
          <w:szCs w:val="28"/>
          <w:rtl/>
        </w:rPr>
        <w:t xml:space="preserve">تحفة النجباء في مناقب آل (اهل)</w:t>
      </w:r>
    </w:p>
    <w:p>
      <w:pPr>
        <w:pStyle w:val="BookText"/>
      </w:pPr>
      <w:r>
        <w:rPr>
          <w:rFonts w:ascii="IRNazanin" w:hAnsi="IRNazanin" w:eastAsia="IRNazanin" w:cs="IRNazanin"/>
          <w:lang w:bidi="fa-IR"/>
          <w:color w:val="111111"/>
          <w:sz w:val="28"/>
          <w:szCs w:val="28"/>
          <w:rtl/>
        </w:rPr>
        <w:t xml:space="preserve">العباء، ج 4، ص 35 .</w:t>
      </w:r>
    </w:p>
    <w:p>
      <w:pPr>
        <w:pStyle w:val="BookText"/>
      </w:pPr>
      <w:r>
        <w:rPr>
          <w:rFonts w:ascii="Amiri" w:hAnsi="Amiri" w:eastAsia="Amiri" w:cs="Amiri"/>
          <w:lang w:bidi="ar-SA"/>
          <w:color w:val="111111"/>
          <w:sz w:val="28"/>
          <w:szCs w:val="28"/>
          <w:rtl/>
        </w:rPr>
        <w:t xml:space="preserve">حسيني ، عبدالرشيد بن</w:t>
      </w:r>
    </w:p>
    <w:p>
      <w:pPr>
        <w:pStyle w:val="BookText"/>
      </w:pPr>
      <w:r>
        <w:rPr>
          <w:rFonts w:ascii="Amiri" w:hAnsi="Amiri" w:eastAsia="Amiri" w:cs="Amiri"/>
          <w:lang w:bidi="ar-SA"/>
          <w:color w:val="111111"/>
          <w:sz w:val="28"/>
          <w:szCs w:val="28"/>
          <w:rtl/>
        </w:rPr>
        <w:t xml:space="preserve">عبد الغفور - رشيدي ، عبدالرشيد بن</w:t>
      </w:r>
    </w:p>
    <w:p>
      <w:pPr>
        <w:pStyle w:val="BookText"/>
      </w:pPr>
      <w:r>
        <w:rPr>
          <w:rFonts w:ascii="IRNazanin" w:hAnsi="IRNazanin" w:eastAsia="IRNazanin" w:cs="IRNazanin"/>
          <w:lang w:bidi="fa-IR"/>
          <w:color w:val="111111"/>
          <w:sz w:val="28"/>
          <w:szCs w:val="28"/>
          <w:rtl/>
        </w:rPr>
        <w:t xml:space="preserve">عبد الغفور</w:t>
      </w:r>
    </w:p>
    <w:p>
      <w:pPr>
        <w:pStyle w:val="Heading2"/>
      </w:pPr>
      <w:bookmarkStart w:id="3690" w:name="_Toc2792"/>
      <w:r>
        <w:t>حسيني ، عبد العظيم بن عبد الغني قرن</w:t>
      </w:r>
      <w:bookmarkEnd w:id="3690"/>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شرح الفوائد الصمدية، ج 9، ص808.</w:t>
      </w:r>
    </w:p>
    <w:p>
      <w:pPr>
        <w:pStyle w:val="BookText"/>
      </w:pPr>
      <w:r>
        <w:rPr>
          <w:rFonts w:ascii="Amiri" w:hAnsi="Amiri" w:eastAsia="Amiri" w:cs="Amiri"/>
          <w:lang w:bidi="ar-SA"/>
          <w:color w:val="111111"/>
          <w:sz w:val="28"/>
          <w:szCs w:val="28"/>
          <w:rtl/>
        </w:rPr>
        <w:t xml:space="preserve">عبدالله بن ابراهيم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6" w:name="pg7742_70183"/>
    <w:bookmarkEnd w:id="396"/>
    <w:p>
      <w:pPr>
        <w:pStyle w:val="Heading2"/>
      </w:pPr>
      <w:bookmarkStart w:id="3691" w:name="_Toc2793"/>
      <w:r>
        <w:t>حسيني عبدالله بن ابي تراب قرن 13 ه-</w:t>
      </w:r>
      <w:bookmarkEnd w:id="36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البشر في بشرى النر، ج 3، ص 336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عبیدالله بن خليل . تجريد البلاغة، ج 3، ص 688 .</w:t>
      </w:r>
    </w:p>
    <w:p>
      <w:pPr>
        <w:pStyle w:val="BookText"/>
      </w:pPr>
      <w:r>
        <w:rPr>
          <w:rFonts w:ascii="Amiri" w:hAnsi="Amiri" w:eastAsia="Amiri" w:cs="Amiri"/>
          <w:lang w:bidi="ar-SA"/>
          <w:color w:val="111111"/>
          <w:sz w:val="28"/>
          <w:szCs w:val="28"/>
          <w:rtl/>
        </w:rPr>
        <w:t xml:space="preserve">3 .تحقيق المباحث البيانية (رسالة في)،</w:t>
      </w:r>
    </w:p>
    <w:p>
      <w:pPr>
        <w:pStyle w:val="BookText"/>
      </w:pPr>
      <w:r>
        <w:rPr>
          <w:rFonts w:ascii="IRNazanin" w:hAnsi="IRNazanin" w:eastAsia="IRNazanin" w:cs="IRNazanin"/>
          <w:lang w:bidi="fa-IR"/>
          <w:color w:val="111111"/>
          <w:sz w:val="28"/>
          <w:szCs w:val="28"/>
          <w:rtl/>
        </w:rPr>
        <w:t xml:space="preserve">ج 4، ص 73.</w:t>
      </w:r>
    </w:p>
    <w:p>
      <w:pPr>
        <w:pStyle w:val="BookText"/>
      </w:pPr>
      <w:r>
        <w:rPr>
          <w:rFonts w:ascii="Amiri" w:hAnsi="Amiri" w:eastAsia="Amiri" w:cs="Amiri"/>
          <w:lang w:bidi="ar-SA"/>
          <w:color w:val="111111"/>
          <w:sz w:val="28"/>
          <w:szCs w:val="28"/>
          <w:rtl/>
        </w:rPr>
        <w:t xml:space="preserve">4 .حاشية تهذيب الاصول، ج5،</w:t>
      </w:r>
    </w:p>
    <w:p>
      <w:pPr>
        <w:pStyle w:val="BookText"/>
      </w:pPr>
      <w:r>
        <w:rPr>
          <w:rFonts w:ascii="IRNazanin" w:hAnsi="IRNazanin" w:eastAsia="IRNazanin" w:cs="IRNazanin"/>
          <w:lang w:bidi="fa-IR"/>
          <w:color w:val="111111"/>
          <w:sz w:val="28"/>
          <w:szCs w:val="28"/>
          <w:rtl/>
        </w:rPr>
        <w:t xml:space="preserve">ص 743.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حل الاحجية، ج6، ص 771.</w:t>
      </w:r>
    </w:p>
    <w:p>
      <w:pPr>
        <w:pStyle w:val="BookText"/>
      </w:pPr>
      <w:r>
        <w:rPr>
          <w:rFonts w:ascii="Amiri" w:hAnsi="Amiri" w:eastAsia="Amiri" w:cs="Amiri"/>
          <w:lang w:bidi="ar-SA"/>
          <w:color w:val="111111"/>
          <w:sz w:val="28"/>
          <w:szCs w:val="28"/>
          <w:rtl/>
        </w:rPr>
        <w:t xml:space="preserve">6 .ديوان الضيائي، ج 7، ص 695.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فصول اصول العام في علم الكلام</w:t>
      </w:r>
    </w:p>
    <w:p>
      <w:pPr>
        <w:pStyle w:val="BookText"/>
      </w:pPr>
      <w:r>
        <w:rPr>
          <w:rFonts w:ascii="IRNazanin" w:hAnsi="IRNazanin" w:eastAsia="IRNazanin" w:cs="IRNazanin"/>
          <w:lang w:bidi="fa-IR"/>
          <w:color w:val="111111"/>
          <w:sz w:val="28"/>
          <w:szCs w:val="28"/>
          <w:rtl/>
        </w:rPr>
        <w:t xml:space="preserve">ج 11، ص 844.</w:t>
      </w:r>
    </w:p>
    <w:p>
      <w:pPr>
        <w:pStyle w:val="BookText"/>
      </w:pPr>
      <w:r>
        <w:rPr>
          <w:rFonts w:ascii="Amiri" w:hAnsi="Amiri" w:eastAsia="Amiri" w:cs="Amiri"/>
          <w:lang w:bidi="ar-SA"/>
          <w:color w:val="111111"/>
          <w:sz w:val="28"/>
          <w:szCs w:val="28"/>
          <w:rtl/>
        </w:rPr>
        <w:t xml:space="preserve">8 .القصيدة الرمانيه، ج 12، ص 677.</w:t>
      </w:r>
    </w:p>
    <w:p>
      <w:pPr>
        <w:pStyle w:val="Heading2"/>
      </w:pPr>
      <w:bookmarkStart w:id="3692" w:name="_Toc2794"/>
      <w:r>
        <w:t>حسيني ، عبدالله بن احمد</w:t>
      </w:r>
      <w:bookmarkEnd w:id="3692"/>
    </w:p>
    <w:p>
      <w:pPr>
        <w:pStyle w:val="BookText"/>
      </w:pPr>
      <w:r>
        <w:rPr>
          <w:rFonts w:ascii="Amiri" w:hAnsi="Amiri" w:eastAsia="Amiri" w:cs="Amiri"/>
          <w:lang w:bidi="ar-SA"/>
          <w:color w:val="111111"/>
          <w:sz w:val="28"/>
          <w:szCs w:val="28"/>
          <w:rtl/>
        </w:rPr>
        <w:t xml:space="preserve">مشكاة الانوار و خزانة الاسرار، ج 14،</w:t>
      </w:r>
    </w:p>
    <w:p>
      <w:pPr>
        <w:pStyle w:val="BookText"/>
      </w:pPr>
      <w:r>
        <w:rPr>
          <w:rFonts w:ascii="IRNazanin" w:hAnsi="IRNazanin" w:eastAsia="IRNazanin" w:cs="IRNazanin"/>
          <w:lang w:bidi="fa-IR"/>
          <w:color w:val="111111"/>
          <w:sz w:val="28"/>
          <w:szCs w:val="28"/>
          <w:rtl/>
        </w:rPr>
        <w:t xml:space="preserve">ص 634.</w:t>
      </w:r>
    </w:p>
    <w:p>
      <w:pPr>
        <w:pStyle w:val="BookText"/>
      </w:pPr>
      <w:r>
        <w:rPr>
          <w:rFonts w:ascii="Amiri" w:hAnsi="Amiri" w:eastAsia="Amiri" w:cs="Amiri"/>
          <w:lang w:bidi="ar-SA"/>
          <w:color w:val="111111"/>
          <w:sz w:val="28"/>
          <w:szCs w:val="28"/>
          <w:rtl/>
        </w:rPr>
        <w:t xml:space="preserve">حسيني ، عبدالله بن جعفر -باعلوي</w:t>
      </w:r>
    </w:p>
    <w:p>
      <w:pPr>
        <w:pStyle w:val="BookText"/>
      </w:pPr>
      <w:r>
        <w:rPr>
          <w:rFonts w:ascii="IRNazanin" w:hAnsi="IRNazanin" w:eastAsia="IRNazanin" w:cs="IRNazanin"/>
          <w:lang w:bidi="fa-IR"/>
          <w:color w:val="111111"/>
          <w:sz w:val="28"/>
          <w:szCs w:val="28"/>
          <w:rtl/>
        </w:rPr>
        <w:t xml:space="preserve">عبدالله بن جعفر</w:t>
      </w:r>
    </w:p>
    <w:p>
      <w:pPr>
        <w:pStyle w:val="BookText"/>
      </w:pPr>
      <w:r>
        <w:rPr>
          <w:rFonts w:ascii="Amiri" w:hAnsi="Amiri" w:eastAsia="Amiri" w:cs="Amiri"/>
          <w:lang w:bidi="ar-SA"/>
          <w:color w:val="111111"/>
          <w:sz w:val="28"/>
          <w:szCs w:val="28"/>
          <w:rtl/>
        </w:rPr>
        <w:t xml:space="preserve">حسيني ، عبد الله بن علوي-حدادي</w:t>
      </w:r>
    </w:p>
    <w:p>
      <w:pPr>
        <w:pStyle w:val="BookText"/>
      </w:pPr>
      <w:r>
        <w:rPr>
          <w:rFonts w:ascii="Amiri" w:hAnsi="Amiri" w:eastAsia="Amiri" w:cs="Amiri"/>
          <w:lang w:bidi="ar-SA"/>
          <w:color w:val="111111"/>
          <w:sz w:val="28"/>
          <w:szCs w:val="28"/>
          <w:rtl/>
        </w:rPr>
        <w:t xml:space="preserve">عبدالله بن علوي</w:t>
      </w:r>
    </w:p>
    <w:p>
      <w:pPr>
        <w:pStyle w:val="BookText"/>
      </w:pPr>
      <w:r>
        <w:rPr>
          <w:rFonts w:ascii="IRNazanin" w:hAnsi="IRNazanin" w:eastAsia="IRNazanin" w:cs="IRNazanin"/>
          <w:lang w:bidi="fa-IR"/>
          <w:color w:val="111111"/>
          <w:sz w:val="28"/>
          <w:szCs w:val="28"/>
          <w:rtl/>
        </w:rPr>
        <w:t xml:space="preserve">حسيني ، عبدالله بن محمّد- نقره کار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حسيني ، عبدالله بن محمّد رضا- شبر ،</w:t>
      </w:r>
    </w:p>
    <w:p>
      <w:pPr>
        <w:pStyle w:val="BookText"/>
      </w:pPr>
      <w:r>
        <w:rPr>
          <w:rFonts w:ascii="IRNazanin" w:hAnsi="IRNazanin" w:eastAsia="IRNazanin" w:cs="IRNazanin"/>
          <w:lang w:bidi="fa-IR"/>
          <w:color w:val="111111"/>
          <w:sz w:val="28"/>
          <w:szCs w:val="28"/>
          <w:rtl/>
        </w:rPr>
        <w:t xml:space="preserve">عبدالله بن محمّد رضا</w:t>
      </w:r>
    </w:p>
    <w:p>
      <w:pPr>
        <w:pStyle w:val="Heading2"/>
      </w:pPr>
      <w:bookmarkStart w:id="3693" w:name="_Toc2795"/>
      <w:r>
        <w:t>حسيني ، عبدالله شريف - 760 ؟ ه-</w:t>
      </w:r>
      <w:bookmarkEnd w:id="3693"/>
    </w:p>
    <w:p>
      <w:pPr>
        <w:pStyle w:val="BookText"/>
      </w:pPr>
      <w:r>
        <w:rPr>
          <w:rFonts w:ascii="Amiri" w:hAnsi="Amiri" w:eastAsia="Amiri" w:cs="Amiri"/>
          <w:lang w:bidi="ar-SA"/>
          <w:color w:val="111111"/>
          <w:sz w:val="28"/>
          <w:szCs w:val="28"/>
          <w:rtl/>
        </w:rPr>
        <w:t xml:space="preserve">شرح لباب اللباب في علم الاعراب</w:t>
      </w:r>
    </w:p>
    <w:p>
      <w:pPr>
        <w:pStyle w:val="BookText"/>
      </w:pPr>
      <w:r>
        <w:rPr>
          <w:rFonts w:ascii="IRNazanin" w:hAnsi="IRNazanin" w:eastAsia="IRNazanin" w:cs="IRNazanin"/>
          <w:lang w:bidi="fa-IR"/>
          <w:color w:val="111111"/>
          <w:sz w:val="28"/>
          <w:szCs w:val="28"/>
          <w:rtl/>
        </w:rPr>
        <w:t xml:space="preserve">ج 10، ص79.</w:t>
      </w:r>
    </w:p>
    <w:p>
      <w:pPr>
        <w:pStyle w:val="BookText"/>
      </w:pPr>
      <w:r>
        <w:rPr>
          <w:rFonts w:ascii="Amiri" w:hAnsi="Amiri" w:eastAsia="Amiri" w:cs="Amiri"/>
          <w:lang w:bidi="ar-SA"/>
          <w:color w:val="111111"/>
          <w:sz w:val="28"/>
          <w:szCs w:val="28"/>
          <w:rtl/>
        </w:rPr>
        <w:t xml:space="preserve">حسيني ، عبيد الله بن خليل- بصيري</w:t>
      </w:r>
    </w:p>
    <w:p>
      <w:pPr>
        <w:pStyle w:val="BookText"/>
      </w:pPr>
      <w:r>
        <w:rPr>
          <w:rFonts w:ascii="Amiri" w:hAnsi="Amiri" w:eastAsia="Amiri" w:cs="Amiri"/>
          <w:lang w:bidi="ar-SA"/>
          <w:color w:val="111111"/>
          <w:sz w:val="28"/>
          <w:szCs w:val="28"/>
          <w:rtl/>
        </w:rPr>
        <w:t xml:space="preserve">حسيني عربشاهي ، ابوالفتح بن مخدوم -جرجاني ، ابوالفتح بن مخدوم</w:t>
      </w:r>
    </w:p>
    <w:p>
      <w:pPr>
        <w:pStyle w:val="BookText"/>
      </w:pPr>
      <w:r>
        <w:rPr>
          <w:rFonts w:ascii="Amiri" w:hAnsi="Amiri" w:eastAsia="Amiri" w:cs="Amiri"/>
          <w:lang w:bidi="ar-SA"/>
          <w:color w:val="111111"/>
          <w:sz w:val="28"/>
          <w:szCs w:val="28"/>
          <w:rtl/>
        </w:rPr>
        <w:t xml:space="preserve">حسيني عريضي ، حسن بن محمّد باقر -بشروي خراساني ، حسن بن محمّد باقر</w:t>
      </w:r>
    </w:p>
    <w:p>
      <w:pPr>
        <w:pStyle w:val="BookText"/>
      </w:pPr>
      <w:r>
        <w:rPr>
          <w:rFonts w:ascii="IRNazanin" w:hAnsi="IRNazanin" w:eastAsia="IRNazanin" w:cs="IRNazanin"/>
          <w:lang w:bidi="fa-IR"/>
          <w:color w:val="111111"/>
          <w:sz w:val="28"/>
          <w:szCs w:val="28"/>
          <w:rtl/>
        </w:rPr>
        <w:t xml:space="preserve">حسيني عسكري ، حسن بن هدايت الله -عسكري ، محمّد حسن بن هدایت الله</w:t>
      </w:r>
    </w:p>
    <w:p>
      <w:pPr>
        <w:pStyle w:val="Heading2"/>
      </w:pPr>
      <w:bookmarkStart w:id="3694" w:name="_Toc2796"/>
      <w:r>
        <w:t>حسيني ، عطاء الله بن محمود - ه-919</w:t>
      </w:r>
      <w:bookmarkEnd w:id="3694"/>
    </w:p>
    <w:p>
      <w:pPr>
        <w:pStyle w:val="BookText"/>
      </w:pPr>
      <w:r>
        <w:rPr>
          <w:rFonts w:ascii="Amiri" w:hAnsi="Amiri" w:eastAsia="Amiri" w:cs="Amiri"/>
          <w:lang w:bidi="ar-SA"/>
          <w:color w:val="111111"/>
          <w:sz w:val="28"/>
          <w:szCs w:val="28"/>
          <w:rtl/>
        </w:rPr>
        <w:t xml:space="preserve">1 .بدائع الصنايع = العروض و</w:t>
      </w:r>
    </w:p>
    <w:p>
      <w:pPr>
        <w:pStyle w:val="BookText"/>
      </w:pPr>
      <w:r>
        <w:rPr>
          <w:rFonts w:ascii="Amiri" w:hAnsi="Amiri" w:eastAsia="Amiri" w:cs="Amiri"/>
          <w:lang w:bidi="ar-SA"/>
          <w:color w:val="111111"/>
          <w:sz w:val="28"/>
          <w:szCs w:val="28"/>
          <w:rtl/>
        </w:rPr>
        <w:t xml:space="preserve">القوافي، ج 3، ص 259.</w:t>
      </w:r>
    </w:p>
    <w:p>
      <w:pPr>
        <w:pStyle w:val="BookText"/>
      </w:pPr>
      <w:r>
        <w:rPr>
          <w:rFonts w:ascii="Amiri" w:hAnsi="Amiri" w:eastAsia="Amiri" w:cs="Amiri"/>
          <w:lang w:bidi="ar-SA"/>
          <w:color w:val="111111"/>
          <w:sz w:val="28"/>
          <w:szCs w:val="28"/>
          <w:rtl/>
        </w:rPr>
        <w:t xml:space="preserve">2 .تفسير آية الكرسي، ج4، ص 582.</w:t>
      </w:r>
    </w:p>
    <w:p>
      <w:pPr>
        <w:pStyle w:val="BookText"/>
      </w:pPr>
      <w:r>
        <w:rPr>
          <w:rFonts w:ascii="Amiri" w:hAnsi="Amiri" w:eastAsia="Amiri" w:cs="Amiri"/>
          <w:lang w:bidi="ar-SA"/>
          <w:color w:val="111111"/>
          <w:sz w:val="28"/>
          <w:szCs w:val="28"/>
          <w:rtl/>
        </w:rPr>
        <w:t xml:space="preserve">3 .تكميل الصناعة (منتخب) = قافيه منتخب مقطع تكميل الصناعة</w:t>
      </w:r>
    </w:p>
    <w:p>
      <w:pPr>
        <w:pStyle w:val="BookText"/>
      </w:pPr>
      <w:r>
        <w:rPr>
          <w:rFonts w:ascii="IRNazanin" w:hAnsi="IRNazanin" w:eastAsia="IRNazanin" w:cs="IRNazanin"/>
          <w:lang w:bidi="fa-IR"/>
          <w:color w:val="111111"/>
          <w:sz w:val="28"/>
          <w:szCs w:val="28"/>
          <w:rtl/>
        </w:rPr>
        <w:t xml:space="preserve">ج 4، ص 829</w:t>
      </w:r>
    </w:p>
    <w:p>
      <w:pPr>
        <w:pStyle w:val="BookText"/>
      </w:pPr>
      <w:r>
        <w:rPr>
          <w:rFonts w:ascii="IRNazanin" w:hAnsi="IRNazanin" w:eastAsia="IRNazanin" w:cs="IRNazanin"/>
          <w:lang w:bidi="fa-IR"/>
          <w:color w:val="111111"/>
          <w:sz w:val="28"/>
          <w:szCs w:val="28"/>
          <w:rtl/>
        </w:rPr>
        <w:t xml:space="preserve">حسيني علوي ، ابوبكر بن عبدالله -عيدروس ، ابوبکر بن عبدالله</w:t>
      </w:r>
    </w:p>
    <w:p>
      <w:pPr>
        <w:pStyle w:val="BookText"/>
      </w:pPr>
      <w:r>
        <w:rPr>
          <w:rFonts w:ascii="Amiri" w:hAnsi="Amiri" w:eastAsia="Amiri" w:cs="Amiri"/>
          <w:lang w:bidi="ar-SA"/>
          <w:color w:val="111111"/>
          <w:sz w:val="28"/>
          <w:szCs w:val="28"/>
          <w:rtl/>
        </w:rPr>
        <w:t xml:space="preserve">حسيني علوي ، احمد بن زين</w:t>
      </w:r>
    </w:p>
    <w:p>
      <w:pPr>
        <w:pStyle w:val="BookText"/>
      </w:pPr>
      <w:r>
        <w:rPr>
          <w:rFonts w:ascii="Amiri" w:hAnsi="Amiri" w:eastAsia="Amiri" w:cs="Amiri"/>
          <w:lang w:bidi="ar-SA"/>
          <w:color w:val="111111"/>
          <w:sz w:val="28"/>
          <w:szCs w:val="28"/>
          <w:rtl/>
        </w:rPr>
        <w:t xml:space="preserve">العابدين - علوي عاملي ، احمد بن زين العابدين</w:t>
      </w:r>
    </w:p>
    <w:p>
      <w:pPr>
        <w:pStyle w:val="BookText"/>
      </w:pPr>
      <w:r>
        <w:rPr>
          <w:rFonts w:ascii="Amiri" w:hAnsi="Amiri" w:eastAsia="Amiri" w:cs="Amiri"/>
          <w:lang w:bidi="ar-SA"/>
          <w:color w:val="111111"/>
          <w:sz w:val="28"/>
          <w:szCs w:val="28"/>
          <w:rtl/>
        </w:rPr>
        <w:t xml:space="preserve">حسيني علوي ، حسن بن محمّد- استرآبادي ، حسن بن محمّد</w:t>
      </w:r>
    </w:p>
    <w:p>
      <w:pPr>
        <w:pStyle w:val="BookText"/>
      </w:pPr>
      <w:r>
        <w:rPr>
          <w:rFonts w:ascii="Amiri" w:hAnsi="Amiri" w:eastAsia="Amiri" w:cs="Amiri"/>
          <w:lang w:bidi="ar-SA"/>
          <w:color w:val="111111"/>
          <w:sz w:val="28"/>
          <w:szCs w:val="28"/>
          <w:rtl/>
        </w:rPr>
        <w:t xml:space="preserve">حسيني علوي ، حسين بن عبد الرحمن -ابن اهدل ، حسين بن عبد الرحمن</w:t>
      </w:r>
    </w:p>
    <w:p>
      <w:pPr>
        <w:pStyle w:val="BookText"/>
      </w:pPr>
      <w:r>
        <w:rPr>
          <w:rFonts w:ascii="Amiri" w:hAnsi="Amiri" w:eastAsia="Amiri" w:cs="Amiri"/>
          <w:lang w:bidi="ar-SA"/>
          <w:color w:val="111111"/>
          <w:sz w:val="28"/>
          <w:szCs w:val="28"/>
          <w:rtl/>
        </w:rPr>
        <w:t xml:space="preserve">حسيني علوي ، حيدر بن علي- آملي ، حيدر بن علي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7" w:name="pg7742_70185"/>
    <w:bookmarkEnd w:id="397"/>
    <w:p>
      <w:pPr>
        <w:pStyle w:val="Heading2"/>
      </w:pPr>
      <w:bookmarkStart w:id="3695" w:name="_Toc2797"/>
      <w:r>
        <w:t>حسيني علوي ، عبدالله بن حسن</w:t>
      </w:r>
      <w:bookmarkEnd w:id="3695"/>
    </w:p>
    <w:p>
      <w:pPr>
        <w:pStyle w:val="BookText"/>
      </w:pPr>
      <w:r>
        <w:rPr>
          <w:rFonts w:ascii="Amiri" w:hAnsi="Amiri" w:eastAsia="Amiri" w:cs="Amiri"/>
          <w:lang w:bidi="ar-SA"/>
          <w:color w:val="111111"/>
          <w:sz w:val="28"/>
          <w:szCs w:val="28"/>
          <w:rtl/>
        </w:rPr>
        <w:t xml:space="preserve">دعاء العلوي المصري، ج 7، ص 404.</w:t>
      </w:r>
    </w:p>
    <w:p>
      <w:pPr>
        <w:pStyle w:val="BookText"/>
      </w:pPr>
      <w:r>
        <w:rPr>
          <w:rFonts w:ascii="Amiri" w:hAnsi="Amiri" w:eastAsia="Amiri" w:cs="Amiri"/>
          <w:lang w:bidi="ar-SA"/>
          <w:color w:val="111111"/>
          <w:sz w:val="28"/>
          <w:szCs w:val="28"/>
          <w:rtl/>
        </w:rPr>
        <w:t xml:space="preserve">حسيني علوي ، عمر بن ابراهيم- كوفي ،</w:t>
      </w:r>
    </w:p>
    <w:p>
      <w:pPr>
        <w:pStyle w:val="BookText"/>
      </w:pPr>
      <w:r>
        <w:rPr>
          <w:rFonts w:ascii="Amiri" w:hAnsi="Amiri" w:eastAsia="Amiri" w:cs="Amiri"/>
          <w:lang w:bidi="ar-SA"/>
          <w:color w:val="111111"/>
          <w:sz w:val="28"/>
          <w:szCs w:val="28"/>
          <w:rtl/>
        </w:rPr>
        <w:t xml:space="preserve">عمر بن ابراهيم</w:t>
      </w:r>
    </w:p>
    <w:p>
      <w:pPr>
        <w:pStyle w:val="Heading2"/>
      </w:pPr>
      <w:bookmarkStart w:id="3696" w:name="_Toc2798"/>
      <w:r>
        <w:t>حسيني علوي محمّد بن احمد قرن 11ه-</w:t>
      </w:r>
      <w:bookmarkEnd w:id="3696"/>
    </w:p>
    <w:p>
      <w:pPr>
        <w:pStyle w:val="BookText"/>
      </w:pPr>
      <w:r>
        <w:rPr>
          <w:rFonts w:ascii="Amiri" w:hAnsi="Amiri" w:eastAsia="Amiri" w:cs="Amiri"/>
          <w:lang w:bidi="ar-SA"/>
          <w:color w:val="111111"/>
          <w:sz w:val="28"/>
          <w:szCs w:val="28"/>
          <w:rtl/>
        </w:rPr>
        <w:t xml:space="preserve">1 .تبصرة المجتهدين في استظهار استار</w:t>
      </w:r>
    </w:p>
    <w:p>
      <w:pPr>
        <w:pStyle w:val="BookText"/>
      </w:pPr>
      <w:r>
        <w:rPr>
          <w:rFonts w:ascii="Amiri" w:hAnsi="Amiri" w:eastAsia="Amiri" w:cs="Amiri"/>
          <w:lang w:bidi="ar-SA"/>
          <w:color w:val="111111"/>
          <w:sz w:val="28"/>
          <w:szCs w:val="28"/>
          <w:rtl/>
        </w:rPr>
        <w:t xml:space="preserve">حجب اليقين، ج 3، ص 646 .</w:t>
      </w:r>
    </w:p>
    <w:p>
      <w:pPr>
        <w:pStyle w:val="BookText"/>
      </w:pPr>
      <w:r>
        <w:rPr>
          <w:rFonts w:ascii="Amiri" w:hAnsi="Amiri" w:eastAsia="Amiri" w:cs="Amiri"/>
          <w:lang w:bidi="ar-SA"/>
          <w:color w:val="111111"/>
          <w:sz w:val="28"/>
          <w:szCs w:val="28"/>
          <w:rtl/>
        </w:rPr>
        <w:t xml:space="preserve">2 .الجواهر المنثورة في الادعية المأثورة</w:t>
      </w:r>
    </w:p>
    <w:p>
      <w:pPr>
        <w:pStyle w:val="BookText"/>
      </w:pPr>
      <w:r>
        <w:rPr>
          <w:rFonts w:ascii="IRNazanin" w:hAnsi="IRNazanin" w:eastAsia="IRNazanin" w:cs="IRNazanin"/>
          <w:lang w:bidi="fa-IR"/>
          <w:color w:val="111111"/>
          <w:sz w:val="28"/>
          <w:szCs w:val="28"/>
          <w:rtl/>
        </w:rPr>
        <w:t xml:space="preserve">ج 5، ص 602.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سدرة المنتهى و العطية العظمى</w:t>
      </w:r>
    </w:p>
    <w:p>
      <w:pPr>
        <w:pStyle w:val="BookText"/>
      </w:pPr>
      <w:r>
        <w:rPr>
          <w:rFonts w:ascii="IRNazanin" w:hAnsi="IRNazanin" w:eastAsia="IRNazanin" w:cs="IRNazanin"/>
          <w:lang w:bidi="fa-IR"/>
          <w:color w:val="111111"/>
          <w:sz w:val="28"/>
          <w:szCs w:val="28"/>
          <w:rtl/>
        </w:rPr>
        <w:t xml:space="preserve">ج8، ص 723.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دعاء السيفي، ج 9، ص 463.</w:t>
      </w:r>
    </w:p>
    <w:p>
      <w:pPr>
        <w:pStyle w:val="BookText"/>
      </w:pPr>
      <w:r>
        <w:rPr>
          <w:rFonts w:ascii="Amiri" w:hAnsi="Amiri" w:eastAsia="Amiri" w:cs="Amiri"/>
          <w:lang w:bidi="ar-SA"/>
          <w:color w:val="111111"/>
          <w:sz w:val="28"/>
          <w:szCs w:val="28"/>
          <w:rtl/>
        </w:rPr>
        <w:t xml:space="preserve">5 .صراط الزاهدين، ج 10 ، ص 542.</w:t>
      </w:r>
    </w:p>
    <w:p>
      <w:pPr>
        <w:pStyle w:val="Heading2"/>
      </w:pPr>
      <w:bookmarkStart w:id="3697" w:name="_Toc2799"/>
      <w:r>
        <w:t>حسيني علوي محمّد بن محمّد -437؟ه-</w:t>
      </w:r>
      <w:bookmarkEnd w:id="3697"/>
    </w:p>
    <w:p>
      <w:pPr>
        <w:pStyle w:val="BookText"/>
      </w:pPr>
      <w:r>
        <w:rPr>
          <w:rFonts w:ascii="Amiri" w:hAnsi="Amiri" w:eastAsia="Amiri" w:cs="Amiri"/>
          <w:lang w:bidi="ar-SA"/>
          <w:color w:val="111111"/>
          <w:sz w:val="28"/>
          <w:szCs w:val="28"/>
          <w:rtl/>
        </w:rPr>
        <w:t xml:space="preserve">1 .تهذيب الأنساب و نهاية الأعقاب</w:t>
      </w:r>
    </w:p>
    <w:p>
      <w:pPr>
        <w:pStyle w:val="BookText"/>
      </w:pPr>
      <w:r>
        <w:rPr>
          <w:rFonts w:ascii="IRNazanin" w:hAnsi="IRNazanin" w:eastAsia="IRNazanin" w:cs="IRNazanin"/>
          <w:lang w:bidi="fa-IR"/>
          <w:color w:val="111111"/>
          <w:sz w:val="28"/>
          <w:szCs w:val="28"/>
          <w:rtl/>
        </w:rPr>
        <w:t xml:space="preserve">ج 5، ص 110.</w:t>
      </w:r>
    </w:p>
    <w:p>
      <w:pPr>
        <w:pStyle w:val="BookText"/>
      </w:pPr>
      <w:r>
        <w:rPr>
          <w:rFonts w:ascii="Amiri" w:hAnsi="Amiri" w:eastAsia="Amiri" w:cs="Amiri"/>
          <w:lang w:bidi="ar-SA"/>
          <w:color w:val="111111"/>
          <w:sz w:val="28"/>
          <w:szCs w:val="28"/>
          <w:rtl/>
        </w:rPr>
        <w:t xml:space="preserve">2 .نهاية الاختصار، ج 16، ص 481.</w:t>
      </w:r>
    </w:p>
    <w:p>
      <w:pPr>
        <w:pStyle w:val="Heading2"/>
      </w:pPr>
      <w:bookmarkStart w:id="3698" w:name="_Toc2800"/>
      <w:r>
        <w:t>حسيني علوي ، محمّد شریف بن محمّد</w:t>
      </w:r>
      <w:bookmarkEnd w:id="36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1109ه-</w:t>
      </w:r>
    </w:p>
    <w:p>
      <w:pPr>
        <w:pStyle w:val="BookText"/>
      </w:pPr>
      <w:r>
        <w:rPr>
          <w:rFonts w:ascii="Amiri" w:hAnsi="Amiri" w:eastAsia="Amiri" w:cs="Amiri"/>
          <w:lang w:bidi="ar-SA"/>
          <w:color w:val="111111"/>
          <w:sz w:val="28"/>
          <w:szCs w:val="28"/>
          <w:rtl/>
        </w:rPr>
        <w:t xml:space="preserve">حاشية شرح العقائد العضدية = شرح</w:t>
      </w:r>
    </w:p>
    <w:p>
      <w:pPr>
        <w:pStyle w:val="BookText"/>
      </w:pPr>
      <w:r>
        <w:rPr>
          <w:rFonts w:ascii="IRNazanin" w:hAnsi="IRNazanin" w:eastAsia="IRNazanin" w:cs="IRNazanin"/>
          <w:lang w:bidi="fa-IR"/>
          <w:color w:val="111111"/>
          <w:sz w:val="28"/>
          <w:szCs w:val="28"/>
          <w:rtl/>
        </w:rPr>
        <w:t xml:space="preserve">الشرح، ج 6، ص 140 .</w:t>
      </w:r>
    </w:p>
    <w:p>
      <w:pPr>
        <w:pStyle w:val="Heading2"/>
      </w:pPr>
      <w:bookmarkStart w:id="3699" w:name="_Toc2801"/>
      <w:r>
        <w:t>حسيني علوي ، نظام الدین، قرن 13 ه-</w:t>
      </w:r>
      <w:bookmarkEnd w:id="3699"/>
    </w:p>
    <w:p>
      <w:pPr>
        <w:pStyle w:val="BookText"/>
      </w:pPr>
      <w:r>
        <w:rPr>
          <w:rFonts w:ascii="Amiri" w:hAnsi="Amiri" w:eastAsia="Amiri" w:cs="Amiri"/>
          <w:lang w:bidi="ar-SA"/>
          <w:color w:val="111111"/>
          <w:sz w:val="28"/>
          <w:szCs w:val="28"/>
          <w:rtl/>
        </w:rPr>
        <w:t xml:space="preserve">تبيان الاصول، ج 3، ص 649 .</w:t>
      </w:r>
    </w:p>
    <w:p>
      <w:pPr>
        <w:pStyle w:val="Heading2"/>
      </w:pPr>
      <w:bookmarkStart w:id="3700" w:name="_Toc2802"/>
      <w:r>
        <w:t>حسيني ، علي اكبر بن محمّد باقر</w:t>
      </w:r>
      <w:bookmarkEnd w:id="3700"/>
    </w:p>
    <w:p>
      <w:pPr>
        <w:pStyle w:val="BookText"/>
      </w:pPr>
      <w:r>
        <w:rPr>
          <w:rFonts w:ascii="Amiri" w:hAnsi="Amiri" w:eastAsia="Amiri" w:cs="Amiri"/>
          <w:lang w:bidi="ar-SA"/>
          <w:color w:val="111111"/>
          <w:sz w:val="28"/>
          <w:szCs w:val="28"/>
          <w:rtl/>
        </w:rPr>
        <w:t xml:space="preserve">حجية الخبر الواحد (رسالة في)، ج 6،</w:t>
      </w:r>
    </w:p>
    <w:p>
      <w:pPr>
        <w:pStyle w:val="BookText"/>
      </w:pPr>
      <w:r>
        <w:rPr>
          <w:rFonts w:ascii="IRNazanin" w:hAnsi="IRNazanin" w:eastAsia="IRNazanin" w:cs="IRNazanin"/>
          <w:lang w:bidi="fa-IR"/>
          <w:color w:val="111111"/>
          <w:sz w:val="28"/>
          <w:szCs w:val="28"/>
          <w:rtl/>
        </w:rPr>
        <w:t xml:space="preserve">ص 495.</w:t>
      </w:r>
    </w:p>
    <w:p>
      <w:pPr>
        <w:pStyle w:val="Heading2"/>
      </w:pPr>
      <w:bookmarkStart w:id="3701" w:name="_Toc2803"/>
      <w:r>
        <w:t>حسيني ، علي بن حسين قرن 9 ه-</w:t>
      </w:r>
      <w:bookmarkEnd w:id="3701"/>
    </w:p>
    <w:p>
      <w:pPr>
        <w:pStyle w:val="BookText"/>
      </w:pPr>
      <w:r>
        <w:rPr>
          <w:rFonts w:ascii="Amiri" w:hAnsi="Amiri" w:eastAsia="Amiri" w:cs="Amiri"/>
          <w:lang w:bidi="ar-SA"/>
          <w:color w:val="111111"/>
          <w:sz w:val="28"/>
          <w:szCs w:val="28"/>
          <w:rtl/>
        </w:rPr>
        <w:t xml:space="preserve">حاشية لوامع الاسرار في شرح مطالع الانوار = الرسالة الجلالية، ج 6 ، ص 344.</w:t>
      </w:r>
    </w:p>
    <w:p>
      <w:pPr>
        <w:pStyle w:val="Heading2"/>
      </w:pPr>
      <w:bookmarkStart w:id="3702" w:name="_Toc2804"/>
      <w:r>
        <w:t>حسيني ، علي بن دهان</w:t>
      </w:r>
      <w:bookmarkEnd w:id="3702"/>
    </w:p>
    <w:p>
      <w:pPr>
        <w:pStyle w:val="BookText"/>
      </w:pPr>
      <w:r>
        <w:rPr>
          <w:rFonts w:ascii="Amiri" w:hAnsi="Amiri" w:eastAsia="Amiri" w:cs="Amiri"/>
          <w:lang w:bidi="ar-SA"/>
          <w:color w:val="111111"/>
          <w:sz w:val="28"/>
          <w:szCs w:val="28"/>
          <w:rtl/>
        </w:rPr>
        <w:t xml:space="preserve">الدر المنظوم في علم الافلاك و النجوم</w:t>
      </w:r>
    </w:p>
    <w:p>
      <w:pPr>
        <w:pStyle w:val="BookText"/>
      </w:pPr>
      <w:r>
        <w:rPr>
          <w:rFonts w:ascii="IRNazanin" w:hAnsi="IRNazanin" w:eastAsia="IRNazanin" w:cs="IRNazanin"/>
          <w:lang w:bidi="fa-IR"/>
          <w:color w:val="111111"/>
          <w:sz w:val="28"/>
          <w:szCs w:val="28"/>
          <w:rtl/>
        </w:rPr>
        <w:t xml:space="preserve">ج 7، ص 353.</w:t>
      </w:r>
    </w:p>
    <w:p>
      <w:pPr>
        <w:pStyle w:val="BookText"/>
      </w:pPr>
      <w:r>
        <w:rPr>
          <w:rFonts w:ascii="Amiri" w:hAnsi="Amiri" w:eastAsia="Amiri" w:cs="Amiri"/>
          <w:lang w:bidi="ar-SA"/>
          <w:color w:val="111111"/>
          <w:sz w:val="28"/>
          <w:szCs w:val="28"/>
          <w:rtl/>
        </w:rPr>
        <w:t xml:space="preserve">حسيني ، علي بن عبدالبر -ابن عبدالبر ،</w:t>
      </w:r>
    </w:p>
    <w:p>
      <w:pPr>
        <w:pStyle w:val="BookText"/>
      </w:pPr>
      <w:r>
        <w:rPr>
          <w:rFonts w:ascii="Amiri" w:hAnsi="Amiri" w:eastAsia="Amiri" w:cs="Amiri"/>
          <w:lang w:bidi="ar-SA"/>
          <w:color w:val="111111"/>
          <w:sz w:val="28"/>
          <w:szCs w:val="28"/>
          <w:rtl/>
        </w:rPr>
        <w:t xml:space="preserve">علي بن عبدالبر</w:t>
      </w:r>
    </w:p>
    <w:p>
      <w:pPr>
        <w:pStyle w:val="BookText"/>
      </w:pPr>
      <w:r>
        <w:rPr>
          <w:rFonts w:ascii="Amiri" w:hAnsi="Amiri" w:eastAsia="Amiri" w:cs="Amiri"/>
          <w:lang w:bidi="ar-SA"/>
          <w:color w:val="111111"/>
          <w:sz w:val="28"/>
          <w:szCs w:val="28"/>
          <w:rtl/>
        </w:rPr>
        <w:t xml:space="preserve">حسيني ، علي بن عبد القادر- طبري ، علي</w:t>
      </w:r>
    </w:p>
    <w:p>
      <w:pPr>
        <w:pStyle w:val="BookText"/>
      </w:pPr>
      <w:r>
        <w:rPr>
          <w:rFonts w:ascii="IRNazanin" w:hAnsi="IRNazanin" w:eastAsia="IRNazanin" w:cs="IRNazanin"/>
          <w:lang w:bidi="fa-IR"/>
          <w:color w:val="111111"/>
          <w:sz w:val="28"/>
          <w:szCs w:val="28"/>
          <w:rtl/>
        </w:rPr>
        <w:t xml:space="preserve">بن عبد القادر</w:t>
      </w:r>
    </w:p>
    <w:p>
      <w:pPr>
        <w:pStyle w:val="Heading2"/>
      </w:pPr>
      <w:bookmarkStart w:id="3703" w:name="_Toc2805"/>
      <w:r>
        <w:t>حسيني ، علي بن محمّد</w:t>
      </w:r>
      <w:bookmarkEnd w:id="3703"/>
    </w:p>
    <w:p>
      <w:pPr>
        <w:pStyle w:val="BookText"/>
      </w:pPr>
      <w:r>
        <w:rPr>
          <w:rFonts w:ascii="Amiri" w:hAnsi="Amiri" w:eastAsia="Amiri" w:cs="Amiri"/>
          <w:lang w:bidi="ar-SA"/>
          <w:color w:val="111111"/>
          <w:sz w:val="28"/>
          <w:szCs w:val="28"/>
          <w:rtl/>
        </w:rPr>
        <w:t xml:space="preserve">درة الدرر في مدح سيّد البشر، ج7،</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Amiri" w:hAnsi="Amiri" w:eastAsia="Amiri" w:cs="Amiri"/>
          <w:lang w:bidi="ar-SA"/>
          <w:color w:val="111111"/>
          <w:sz w:val="28"/>
          <w:szCs w:val="28"/>
          <w:rtl/>
        </w:rPr>
        <w:t xml:space="preserve">حسيني ، علي بن نعمان- آلوسي ، علي بن</w:t>
      </w:r>
    </w:p>
    <w:p>
      <w:pPr>
        <w:pStyle w:val="BookText"/>
      </w:pPr>
      <w:r>
        <w:rPr>
          <w:rFonts w:ascii="IRNazanin" w:hAnsi="IRNazanin" w:eastAsia="IRNazanin" w:cs="IRNazanin"/>
          <w:lang w:bidi="fa-IR"/>
          <w:color w:val="111111"/>
          <w:sz w:val="28"/>
          <w:szCs w:val="28"/>
          <w:rtl/>
        </w:rPr>
        <w:t xml:space="preserve">نعمان</w:t>
      </w:r>
    </w:p>
    <w:p>
      <w:pPr>
        <w:pStyle w:val="BookText"/>
      </w:pPr>
      <w:r>
        <w:rPr>
          <w:rFonts w:ascii="Amiri" w:hAnsi="Amiri" w:eastAsia="Amiri" w:cs="Amiri"/>
          <w:lang w:bidi="ar-SA"/>
          <w:color w:val="111111"/>
          <w:sz w:val="28"/>
          <w:szCs w:val="28"/>
          <w:rtl/>
        </w:rPr>
        <w:t xml:space="preserve">حسيني ، علي نقي بن جواد- طباطبائي ،</w:t>
      </w:r>
    </w:p>
    <w:p>
      <w:pPr>
        <w:pStyle w:val="BookText"/>
      </w:pPr>
      <w:r>
        <w:rPr>
          <w:rFonts w:ascii="Amiri" w:hAnsi="Amiri" w:eastAsia="Amiri" w:cs="Amiri"/>
          <w:lang w:bidi="ar-SA"/>
          <w:color w:val="111111"/>
          <w:sz w:val="28"/>
          <w:szCs w:val="28"/>
          <w:rtl/>
        </w:rPr>
        <w:t xml:space="preserve">علي نقي بن جواد</w:t>
      </w:r>
    </w:p>
    <w:p>
      <w:pPr>
        <w:pStyle w:val="Heading2"/>
      </w:pPr>
      <w:bookmarkStart w:id="3704" w:name="_Toc2806"/>
      <w:r>
        <w:t>حسيني ، عمر بن عبد الرحيم</w:t>
      </w:r>
      <w:bookmarkEnd w:id="3704"/>
    </w:p>
    <w:p>
      <w:pPr>
        <w:pStyle w:val="BookText"/>
      </w:pPr>
      <w:r>
        <w:rPr>
          <w:rFonts w:ascii="IRNazanin" w:hAnsi="IRNazanin" w:eastAsia="IRNazanin" w:cs="IRNazanin"/>
          <w:lang w:bidi="fa-IR"/>
          <w:color w:val="111111"/>
          <w:sz w:val="28"/>
          <w:szCs w:val="28"/>
          <w:rtl/>
        </w:rPr>
        <w:t xml:space="preserve">الفتاوى، ج 11، ص 601.</w:t>
      </w:r>
    </w:p>
    <w:p>
      <w:pPr>
        <w:pStyle w:val="BookText"/>
      </w:pPr>
      <w:r>
        <w:rPr>
          <w:rFonts w:ascii="Amiri" w:hAnsi="Amiri" w:eastAsia="Amiri" w:cs="Amiri"/>
          <w:lang w:bidi="ar-SA"/>
          <w:color w:val="111111"/>
          <w:sz w:val="28"/>
          <w:szCs w:val="28"/>
          <w:rtl/>
        </w:rPr>
        <w:t xml:space="preserve">حسيني عيدروس ، عبدالرحمن بن</w:t>
      </w:r>
    </w:p>
    <w:p>
      <w:pPr>
        <w:pStyle w:val="BookText"/>
      </w:pPr>
      <w:r>
        <w:rPr>
          <w:rFonts w:ascii="Amiri" w:hAnsi="Amiri" w:eastAsia="Amiri" w:cs="Amiri"/>
          <w:lang w:bidi="ar-SA"/>
          <w:color w:val="111111"/>
          <w:sz w:val="28"/>
          <w:szCs w:val="28"/>
          <w:rtl/>
        </w:rPr>
        <w:t xml:space="preserve">مصطفى - عيدروس ، عبد الرحمن بن مصطفى</w:t>
      </w:r>
    </w:p>
    <w:p>
      <w:pPr>
        <w:pStyle w:val="BookText"/>
      </w:pPr>
      <w:r>
        <w:rPr>
          <w:rFonts w:ascii="IRNazanin" w:hAnsi="IRNazanin" w:eastAsia="IRNazanin" w:cs="IRNazanin"/>
          <w:lang w:bidi="fa-IR"/>
          <w:color w:val="111111"/>
          <w:sz w:val="28"/>
          <w:szCs w:val="28"/>
          <w:rtl/>
        </w:rPr>
        <w:t xml:space="preserve">حسيني ، عيسى بن حسن -میرزا بزرگ</w:t>
      </w:r>
    </w:p>
    <w:p>
      <w:pPr>
        <w:pStyle w:val="BookText"/>
      </w:pPr>
      <w:r>
        <w:rPr>
          <w:rFonts w:ascii="Amiri" w:hAnsi="Amiri" w:eastAsia="Amiri" w:cs="Amiri"/>
          <w:lang w:bidi="ar-SA"/>
          <w:color w:val="111111"/>
          <w:sz w:val="28"/>
          <w:szCs w:val="28"/>
          <w:rtl/>
        </w:rPr>
        <w:t xml:space="preserve">قائم مقام ، عيسى بن حسن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8" w:name="pg7742_70187"/>
    <w:bookmarkEnd w:id="398"/>
    <w:p>
      <w:pPr>
        <w:pStyle w:val="Heading2"/>
      </w:pPr>
      <w:bookmarkStart w:id="3705" w:name="_Toc2807"/>
      <w:r>
        <w:t>حسيني غروي ، محمّد علي</w:t>
      </w:r>
      <w:bookmarkEnd w:id="3705"/>
    </w:p>
    <w:p>
      <w:pPr>
        <w:pStyle w:val="BookText"/>
      </w:pPr>
      <w:r>
        <w:rPr>
          <w:rFonts w:ascii="Amiri" w:hAnsi="Amiri" w:eastAsia="Amiri" w:cs="Amiri"/>
          <w:lang w:bidi="ar-SA"/>
          <w:color w:val="111111"/>
          <w:sz w:val="28"/>
          <w:szCs w:val="28"/>
          <w:rtl/>
        </w:rPr>
        <w:t xml:space="preserve">صحيح البخاري (منتخب)، ج10،</w:t>
      </w:r>
    </w:p>
    <w:p>
      <w:pPr>
        <w:pStyle w:val="BookText"/>
      </w:pPr>
      <w:r>
        <w:rPr>
          <w:rFonts w:ascii="IRNazanin" w:hAnsi="IRNazanin" w:eastAsia="IRNazanin" w:cs="IRNazanin"/>
          <w:lang w:bidi="fa-IR"/>
          <w:color w:val="111111"/>
          <w:sz w:val="28"/>
          <w:szCs w:val="28"/>
          <w:rtl/>
        </w:rPr>
        <w:t xml:space="preserve">ص 501 .</w:t>
      </w:r>
    </w:p>
    <w:p>
      <w:pPr>
        <w:pStyle w:val="BookText"/>
      </w:pPr>
      <w:r>
        <w:rPr>
          <w:rFonts w:ascii="Amiri" w:hAnsi="Amiri" w:eastAsia="Amiri" w:cs="Amiri"/>
          <w:lang w:bidi="ar-SA"/>
          <w:color w:val="111111"/>
          <w:sz w:val="28"/>
          <w:szCs w:val="28"/>
          <w:rtl/>
        </w:rPr>
        <w:t xml:space="preserve">حسيني فارابي ، امير اسماعيل- فارابي</w:t>
      </w:r>
    </w:p>
    <w:p>
      <w:pPr>
        <w:pStyle w:val="BookText"/>
      </w:pPr>
      <w:r>
        <w:rPr>
          <w:rFonts w:ascii="IRNazanin" w:hAnsi="IRNazanin" w:eastAsia="IRNazanin" w:cs="IRNazanin"/>
          <w:lang w:bidi="fa-IR"/>
          <w:color w:val="111111"/>
          <w:sz w:val="28"/>
          <w:szCs w:val="28"/>
          <w:rtl/>
        </w:rPr>
        <w:t xml:space="preserve">تبريزي، امیر اسماعیل بن حسين</w:t>
      </w:r>
    </w:p>
    <w:p>
      <w:pPr>
        <w:pStyle w:val="BookText"/>
      </w:pPr>
      <w:r>
        <w:rPr>
          <w:rFonts w:ascii="Amiri" w:hAnsi="Amiri" w:eastAsia="Amiri" w:cs="Amiri"/>
          <w:lang w:bidi="ar-SA"/>
          <w:color w:val="111111"/>
          <w:sz w:val="28"/>
          <w:szCs w:val="28"/>
          <w:rtl/>
        </w:rPr>
        <w:t xml:space="preserve">حسيني فاطمي ، ابوبكر بن عبدالله -عيدروس ، ابوبكر بن عبدالله</w:t>
      </w:r>
    </w:p>
    <w:p>
      <w:pPr>
        <w:pStyle w:val="BookText"/>
      </w:pPr>
      <w:r>
        <w:rPr>
          <w:rFonts w:ascii="Amiri" w:hAnsi="Amiri" w:eastAsia="Amiri" w:cs="Amiri"/>
          <w:lang w:bidi="ar-SA"/>
          <w:color w:val="111111"/>
          <w:sz w:val="28"/>
          <w:szCs w:val="28"/>
          <w:rtl/>
        </w:rPr>
        <w:t xml:space="preserve">حسيني فاطمي ، حسين بن</w:t>
      </w:r>
    </w:p>
    <w:p>
      <w:pPr>
        <w:pStyle w:val="BookText"/>
      </w:pPr>
      <w:r>
        <w:rPr>
          <w:rFonts w:ascii="Amiri" w:hAnsi="Amiri" w:eastAsia="Amiri" w:cs="Amiri"/>
          <w:lang w:bidi="ar-SA"/>
          <w:color w:val="111111"/>
          <w:sz w:val="28"/>
          <w:szCs w:val="28"/>
          <w:rtl/>
        </w:rPr>
        <w:t xml:space="preserve">رضا -بروجردي ، حسين بن محمّد رضا</w:t>
      </w:r>
    </w:p>
    <w:p>
      <w:pPr>
        <w:pStyle w:val="Heading2"/>
      </w:pPr>
      <w:bookmarkStart w:id="3706" w:name="_Toc2808"/>
      <w:r>
        <w:t>حسيني ، فتح الله بن حبيب الله، قرن 10ه-</w:t>
      </w:r>
      <w:bookmarkEnd w:id="3706"/>
    </w:p>
    <w:p>
      <w:pPr>
        <w:pStyle w:val="BookText"/>
      </w:pPr>
      <w:r>
        <w:rPr>
          <w:rFonts w:ascii="Amiri" w:hAnsi="Amiri" w:eastAsia="Amiri" w:cs="Amiri"/>
          <w:lang w:bidi="ar-SA"/>
          <w:color w:val="111111"/>
          <w:sz w:val="28"/>
          <w:szCs w:val="28"/>
          <w:rtl/>
        </w:rPr>
        <w:t xml:space="preserve">1 .أجوبة مسائل نظام شاه دكني</w:t>
      </w:r>
    </w:p>
    <w:p>
      <w:pPr>
        <w:pStyle w:val="BookText"/>
      </w:pPr>
      <w:r>
        <w:rPr>
          <w:rFonts w:ascii="IRNazanin" w:hAnsi="IRNazanin" w:eastAsia="IRNazanin" w:cs="IRNazanin"/>
          <w:lang w:bidi="fa-IR"/>
          <w:color w:val="111111"/>
          <w:sz w:val="28"/>
          <w:szCs w:val="28"/>
          <w:rtl/>
        </w:rPr>
        <w:t xml:space="preserve">ج 1، ص 380.</w:t>
      </w:r>
    </w:p>
    <w:p>
      <w:pPr>
        <w:pStyle w:val="BookText"/>
      </w:pPr>
      <w:r>
        <w:rPr>
          <w:rFonts w:ascii="Amiri" w:hAnsi="Amiri" w:eastAsia="Amiri" w:cs="Amiri"/>
          <w:lang w:bidi="ar-SA"/>
          <w:color w:val="111111"/>
          <w:sz w:val="28"/>
          <w:szCs w:val="28"/>
          <w:rtl/>
        </w:rPr>
        <w:t xml:space="preserve">2 .بيان ما وضع له اسم الجنس، ج3،</w:t>
      </w:r>
    </w:p>
    <w:p>
      <w:pPr>
        <w:pStyle w:val="BookText"/>
      </w:pPr>
      <w:r>
        <w:rPr>
          <w:rFonts w:ascii="IRNazanin" w:hAnsi="IRNazanin" w:eastAsia="IRNazanin" w:cs="IRNazanin"/>
          <w:lang w:bidi="fa-IR"/>
          <w:color w:val="111111"/>
          <w:sz w:val="28"/>
          <w:szCs w:val="28"/>
          <w:rtl/>
        </w:rPr>
        <w:t xml:space="preserve">ص 486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بيان موضوع العلم، ج 3، ص 496.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الدرة الفاخرة، ج 5، ص 865.</w:t>
      </w:r>
    </w:p>
    <w:p>
      <w:pPr>
        <w:pStyle w:val="BookText"/>
      </w:pPr>
      <w:r>
        <w:rPr>
          <w:rFonts w:ascii="Amiri" w:hAnsi="Amiri" w:eastAsia="Amiri" w:cs="Amiri"/>
          <w:lang w:bidi="ar-SA"/>
          <w:color w:val="111111"/>
          <w:sz w:val="28"/>
          <w:szCs w:val="28"/>
          <w:rtl/>
        </w:rPr>
        <w:t xml:space="preserve">حسيني ، فتح الله بن قطب الدين- ديباجي ، فتح الله بن محمّد</w:t>
      </w:r>
    </w:p>
    <w:p>
      <w:pPr>
        <w:pStyle w:val="BookText"/>
      </w:pPr>
      <w:r>
        <w:rPr>
          <w:rFonts w:ascii="Amiri" w:hAnsi="Amiri" w:eastAsia="Amiri" w:cs="Amiri"/>
          <w:lang w:bidi="ar-SA"/>
          <w:color w:val="111111"/>
          <w:sz w:val="28"/>
          <w:szCs w:val="28"/>
          <w:rtl/>
        </w:rPr>
        <w:t xml:space="preserve">حسيني فسائي ، حسن -فسائي ، حسن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حسيني فيروزآبادي -فيروز آبادي ، محمّد</w:t>
      </w:r>
    </w:p>
    <w:p>
      <w:pPr>
        <w:pStyle w:val="Heading2"/>
      </w:pPr>
      <w:bookmarkStart w:id="3707" w:name="_Toc2809"/>
      <w:r>
        <w:t>حسيني قائني ، ابو طالب بن ابي تراب</w:t>
      </w:r>
      <w:bookmarkEnd w:id="3707"/>
    </w:p>
    <w:p>
      <w:pPr>
        <w:pStyle w:val="BookText"/>
      </w:pPr>
      <w:r>
        <w:rPr>
          <w:rFonts w:ascii="IRNazanin" w:hAnsi="IRNazanin" w:eastAsia="IRNazanin" w:cs="IRNazanin"/>
          <w:lang w:bidi="fa-IR"/>
          <w:color w:val="111111"/>
          <w:sz w:val="28"/>
          <w:szCs w:val="28"/>
          <w:rtl/>
        </w:rPr>
        <w:t xml:space="preserve">91230 - 1293 ه-</w:t>
      </w:r>
    </w:p>
    <w:p>
      <w:pPr>
        <w:pStyle w:val="BookText"/>
      </w:pPr>
      <w:r>
        <w:rPr>
          <w:rFonts w:ascii="Amiri" w:hAnsi="Amiri" w:eastAsia="Amiri" w:cs="Amiri"/>
          <w:lang w:bidi="ar-SA"/>
          <w:color w:val="111111"/>
          <w:sz w:val="28"/>
          <w:szCs w:val="28"/>
          <w:rtl/>
        </w:rPr>
        <w:t xml:space="preserve">الفوائد الغروية = عمدة المقال في علمي الدراية والرجال، ج 12، ص 251.</w:t>
      </w:r>
    </w:p>
    <w:p>
      <w:pPr>
        <w:pStyle w:val="Heading2"/>
      </w:pPr>
      <w:bookmarkStart w:id="3708" w:name="_Toc2810"/>
      <w:r>
        <w:t>حسيني قائيني ، اسدالله</w:t>
      </w:r>
      <w:bookmarkEnd w:id="3708"/>
    </w:p>
    <w:p>
      <w:pPr>
        <w:pStyle w:val="BookText"/>
      </w:pPr>
      <w:r>
        <w:rPr>
          <w:rFonts w:ascii="Amiri" w:hAnsi="Amiri" w:eastAsia="Amiri" w:cs="Amiri"/>
          <w:lang w:bidi="ar-SA"/>
          <w:color w:val="111111"/>
          <w:sz w:val="28"/>
          <w:szCs w:val="28"/>
          <w:rtl/>
        </w:rPr>
        <w:t xml:space="preserve">التجويد، ج 3، ص709.</w:t>
      </w:r>
    </w:p>
    <w:p>
      <w:pPr>
        <w:pStyle w:val="Heading2"/>
      </w:pPr>
      <w:bookmarkStart w:id="3709" w:name="_Toc2811"/>
      <w:r>
        <w:t>حسيني قاري ، عبد الجليل بن احمد</w:t>
      </w:r>
      <w:bookmarkEnd w:id="3709"/>
    </w:p>
    <w:p>
      <w:pPr>
        <w:pStyle w:val="BookText"/>
      </w:pPr>
      <w:r>
        <w:rPr>
          <w:rFonts w:ascii="IRNazanin" w:hAnsi="IRNazanin" w:eastAsia="IRNazanin" w:cs="IRNazanin"/>
          <w:lang w:bidi="fa-IR"/>
          <w:color w:val="111111"/>
          <w:sz w:val="28"/>
          <w:szCs w:val="28"/>
          <w:rtl/>
        </w:rPr>
        <w:t xml:space="preserve">976؟ ه-</w:t>
      </w:r>
    </w:p>
    <w:p>
      <w:pPr>
        <w:pStyle w:val="BookText"/>
      </w:pPr>
      <w:r>
        <w:rPr>
          <w:rFonts w:ascii="Amiri" w:hAnsi="Amiri" w:eastAsia="Amiri" w:cs="Amiri"/>
          <w:lang w:bidi="ar-SA"/>
          <w:color w:val="111111"/>
          <w:sz w:val="28"/>
          <w:szCs w:val="28"/>
          <w:rtl/>
        </w:rPr>
        <w:t xml:space="preserve">الفوائد في شرح القصيدة الجزرية =</w:t>
      </w:r>
    </w:p>
    <w:p>
      <w:pPr>
        <w:pStyle w:val="BookText"/>
      </w:pPr>
      <w:r>
        <w:rPr>
          <w:rFonts w:ascii="Amiri" w:hAnsi="Amiri" w:eastAsia="Amiri" w:cs="Amiri"/>
          <w:lang w:bidi="ar-SA"/>
          <w:color w:val="111111"/>
          <w:sz w:val="28"/>
          <w:szCs w:val="28"/>
          <w:rtl/>
        </w:rPr>
        <w:t xml:space="preserve">شرح المقدمة الجزرية، ج 12، ص 258.</w:t>
      </w:r>
    </w:p>
    <w:p>
      <w:pPr>
        <w:pStyle w:val="Heading2"/>
      </w:pPr>
      <w:bookmarkStart w:id="3710" w:name="_Toc2812"/>
      <w:r>
        <w:t>حسيني ، قاسم بن محمّد قرن 11 ه-</w:t>
      </w:r>
      <w:bookmarkEnd w:id="3710"/>
    </w:p>
    <w:p>
      <w:pPr>
        <w:pStyle w:val="BookText"/>
      </w:pPr>
      <w:r>
        <w:rPr>
          <w:rFonts w:ascii="Amiri" w:hAnsi="Amiri" w:eastAsia="Amiri" w:cs="Amiri"/>
          <w:lang w:bidi="ar-SA"/>
          <w:color w:val="111111"/>
          <w:sz w:val="28"/>
          <w:szCs w:val="28"/>
          <w:rtl/>
        </w:rPr>
        <w:t xml:space="preserve">قوت و ضعف كواكب، ج 12، ص833.</w:t>
      </w:r>
    </w:p>
    <w:p>
      <w:pPr>
        <w:pStyle w:val="BookText"/>
      </w:pPr>
      <w:r>
        <w:rPr>
          <w:rFonts w:ascii="Amiri" w:hAnsi="Amiri" w:eastAsia="Amiri" w:cs="Amiri"/>
          <w:lang w:bidi="ar-SA"/>
          <w:color w:val="111111"/>
          <w:sz w:val="28"/>
          <w:szCs w:val="28"/>
          <w:rtl/>
        </w:rPr>
        <w:t xml:space="preserve">حسيني قدسي ، محمّد بن</w:t>
      </w:r>
    </w:p>
    <w:p>
      <w:pPr>
        <w:pStyle w:val="BookText"/>
      </w:pPr>
      <w:r>
        <w:rPr>
          <w:rFonts w:ascii="Amiri" w:hAnsi="Amiri" w:eastAsia="Amiri" w:cs="Amiri"/>
          <w:lang w:bidi="ar-SA"/>
          <w:color w:val="111111"/>
          <w:sz w:val="28"/>
          <w:szCs w:val="28"/>
          <w:rtl/>
        </w:rPr>
        <w:t xml:space="preserve">عبد الرحيم- لطفي ، محمّد بن عبدالرحيم</w:t>
      </w:r>
    </w:p>
    <w:p>
      <w:pPr>
        <w:pStyle w:val="BookText"/>
      </w:pPr>
      <w:r>
        <w:rPr>
          <w:rFonts w:ascii="Amiri" w:hAnsi="Amiri" w:eastAsia="Amiri" w:cs="Amiri"/>
          <w:lang w:bidi="ar-SA"/>
          <w:color w:val="111111"/>
          <w:sz w:val="28"/>
          <w:szCs w:val="28"/>
          <w:rtl/>
        </w:rPr>
        <w:t xml:space="preserve">حسيني قزويني ، حسين بن محمّد ابراهيم- قزويني ، حسين بن محمّد ابراهيم</w:t>
      </w:r>
    </w:p>
    <w:p>
      <w:pPr>
        <w:pStyle w:val="BookText"/>
      </w:pPr>
      <w:r>
        <w:rPr>
          <w:rFonts w:ascii="Amiri" w:hAnsi="Amiri" w:eastAsia="Amiri" w:cs="Amiri"/>
          <w:lang w:bidi="ar-SA"/>
          <w:color w:val="111111"/>
          <w:sz w:val="28"/>
          <w:szCs w:val="28"/>
          <w:rtl/>
        </w:rPr>
        <w:t xml:space="preserve">حسيني قزويني، راضي بن صالح - قزويني</w:t>
      </w:r>
    </w:p>
    <w:p>
      <w:pPr>
        <w:pStyle w:val="BookText"/>
      </w:pPr>
      <w:r>
        <w:rPr>
          <w:rFonts w:ascii="Amiri" w:hAnsi="Amiri" w:eastAsia="Amiri" w:cs="Amiri"/>
          <w:lang w:bidi="ar-SA"/>
          <w:color w:val="111111"/>
          <w:sz w:val="28"/>
          <w:szCs w:val="28"/>
          <w:rtl/>
        </w:rPr>
        <w:t xml:space="preserve">، راضي بن صالح</w:t>
      </w:r>
    </w:p>
    <w:p>
      <w:pPr>
        <w:pStyle w:val="BookText"/>
      </w:pPr>
      <w:r>
        <w:rPr>
          <w:rFonts w:ascii="Amiri" w:hAnsi="Amiri" w:eastAsia="Amiri" w:cs="Amiri"/>
          <w:lang w:bidi="ar-SA"/>
          <w:color w:val="111111"/>
          <w:sz w:val="28"/>
          <w:szCs w:val="28"/>
          <w:rtl/>
        </w:rPr>
        <w:t xml:space="preserve">حسيني قزويني ، صالح بن</w:t>
      </w:r>
    </w:p>
    <w:p>
      <w:pPr>
        <w:pStyle w:val="BookText"/>
      </w:pPr>
      <w:r>
        <w:rPr>
          <w:rFonts w:ascii="Amiri" w:hAnsi="Amiri" w:eastAsia="Amiri" w:cs="Amiri"/>
          <w:lang w:bidi="ar-SA"/>
          <w:color w:val="111111"/>
          <w:sz w:val="28"/>
          <w:szCs w:val="28"/>
          <w:rtl/>
        </w:rPr>
        <w:t xml:space="preserve">مهدي -قزويني نجفي ، صالح بن محمّد</w:t>
      </w:r>
    </w:p>
    <w:p>
      <w:pPr>
        <w:pStyle w:val="BookText"/>
      </w:pPr>
      <w:r>
        <w:rPr>
          <w:rFonts w:ascii="Amiri" w:hAnsi="Amiri" w:eastAsia="Amiri" w:cs="Amiri"/>
          <w:lang w:bidi="ar-SA"/>
          <w:color w:val="111111"/>
          <w:sz w:val="28"/>
          <w:szCs w:val="28"/>
          <w:rtl/>
        </w:rPr>
        <w:t xml:space="preserve">مهدي</w:t>
      </w:r>
    </w:p>
    <w:p>
      <w:pPr>
        <w:pStyle w:val="BookText"/>
      </w:pPr>
      <w:r>
        <w:rPr>
          <w:rFonts w:ascii="Amiri" w:hAnsi="Amiri" w:eastAsia="Amiri" w:cs="Amiri"/>
          <w:lang w:bidi="ar-SA"/>
          <w:color w:val="111111"/>
          <w:sz w:val="28"/>
          <w:szCs w:val="28"/>
          <w:rtl/>
        </w:rPr>
        <w:t xml:space="preserve">حسيني قزويني ، فضل الله بن عبد الله- شرف الدين قزويني ، فضل الله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1279 ه-</w:t>
      </w:r>
    </w:p>
    <w:p>
      <w:pPr>
        <w:pStyle w:val="Heading2"/>
      </w:pPr>
      <w:bookmarkStart w:id="3711" w:name="_Toc2813"/>
      <w:r>
        <w:t>حسيني قزويني ، قريش بن محمّد .</w:t>
      </w:r>
      <w:bookmarkEnd w:id="3711"/>
    </w:p>
    <w:p>
      <w:pPr>
        <w:pStyle w:val="BookText"/>
      </w:pPr>
      <w:r>
        <w:rPr>
          <w:rFonts w:ascii="Amiri" w:hAnsi="Amiri" w:eastAsia="Amiri" w:cs="Amiri"/>
          <w:lang w:bidi="ar-SA"/>
          <w:color w:val="111111"/>
          <w:sz w:val="28"/>
          <w:szCs w:val="28"/>
          <w:rtl/>
        </w:rPr>
        <w:t xml:space="preserve">مجمع المصائب في نوائب الاطائب</w:t>
      </w:r>
    </w:p>
    <w:p>
      <w:pPr>
        <w:pStyle w:val="BookText"/>
      </w:pPr>
      <w:r>
        <w:rPr>
          <w:rFonts w:ascii="IRNazanin" w:hAnsi="IRNazanin" w:eastAsia="IRNazanin" w:cs="IRNazanin"/>
          <w:lang w:bidi="fa-IR"/>
          <w:color w:val="111111"/>
          <w:sz w:val="28"/>
          <w:szCs w:val="28"/>
          <w:rtl/>
        </w:rPr>
        <w:t xml:space="preserve">ج 13 ، ص 863.</w:t>
      </w:r>
    </w:p>
    <w:p>
      <w:pPr>
        <w:pStyle w:val="BookText"/>
      </w:pPr>
      <w:r>
        <w:rPr>
          <w:rFonts w:ascii="Amiri" w:hAnsi="Amiri" w:eastAsia="Amiri" w:cs="Amiri"/>
          <w:lang w:bidi="ar-SA"/>
          <w:color w:val="111111"/>
          <w:sz w:val="28"/>
          <w:szCs w:val="28"/>
          <w:rtl/>
        </w:rPr>
        <w:t xml:space="preserve">قزويني ، حسين بن محمّد ابراهيم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9" w:name="pg7742_70189"/>
    <w:bookmarkEnd w:id="399"/>
    <w:p>
      <w:pPr>
        <w:pStyle w:val="Heading2"/>
      </w:pPr>
      <w:bookmarkStart w:id="3712" w:name="_Toc2814"/>
      <w:r>
        <w:t>حسيني قزويني ، محمّد بن جعفر، قرن</w:t>
      </w:r>
      <w:bookmarkEnd w:id="3712"/>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الحصن الحصين في الفرار من الوباء و الطواعين، ج 6 ، ص 662 .</w:t>
      </w:r>
    </w:p>
    <w:p>
      <w:pPr>
        <w:pStyle w:val="Heading2"/>
      </w:pPr>
      <w:bookmarkStart w:id="3713" w:name="_Toc2815"/>
      <w:r>
        <w:t>حسيني قزويني ، محمّد بن محمّد صادق</w:t>
      </w:r>
      <w:bookmarkEnd w:id="3713"/>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1 .الارث (رسالة في)، ج 1، ص 751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 على الصافي في شرح الكافي</w:t>
      </w:r>
    </w:p>
    <w:p>
      <w:pPr>
        <w:pStyle w:val="BookText"/>
      </w:pPr>
      <w:r>
        <w:rPr>
          <w:rFonts w:ascii="IRNazanin" w:hAnsi="IRNazanin" w:eastAsia="IRNazanin" w:cs="IRNazanin"/>
          <w:lang w:bidi="fa-IR"/>
          <w:color w:val="111111"/>
          <w:sz w:val="28"/>
          <w:szCs w:val="28"/>
          <w:rtl/>
        </w:rPr>
        <w:t xml:space="preserve">ج 4، ص 549.</w:t>
      </w:r>
    </w:p>
    <w:p>
      <w:pPr>
        <w:pStyle w:val="BookText"/>
      </w:pPr>
      <w:r>
        <w:rPr>
          <w:rFonts w:ascii="Amiri" w:hAnsi="Amiri" w:eastAsia="Amiri" w:cs="Amiri"/>
          <w:lang w:bidi="ar-SA"/>
          <w:color w:val="111111"/>
          <w:sz w:val="28"/>
          <w:szCs w:val="28"/>
          <w:rtl/>
        </w:rPr>
        <w:t xml:space="preserve">3 .تفريح الادراك في توضيح تشريح</w:t>
      </w:r>
    </w:p>
    <w:p>
      <w:pPr>
        <w:pStyle w:val="BookText"/>
      </w:pPr>
      <w:r>
        <w:rPr>
          <w:rFonts w:ascii="Amiri" w:hAnsi="Amiri" w:eastAsia="Amiri" w:cs="Amiri"/>
          <w:lang w:bidi="ar-SA"/>
          <w:color w:val="111111"/>
          <w:sz w:val="28"/>
          <w:szCs w:val="28"/>
          <w:rtl/>
        </w:rPr>
        <w:t xml:space="preserve">الافلاك، ج 4، ص 570.</w:t>
      </w:r>
    </w:p>
    <w:p>
      <w:pPr>
        <w:pStyle w:val="BookText"/>
      </w:pPr>
      <w:r>
        <w:rPr>
          <w:rFonts w:ascii="Amiri" w:hAnsi="Amiri" w:eastAsia="Amiri" w:cs="Amiri"/>
          <w:lang w:bidi="ar-SA"/>
          <w:color w:val="111111"/>
          <w:sz w:val="28"/>
          <w:szCs w:val="28"/>
          <w:rtl/>
        </w:rPr>
        <w:t xml:space="preserve">4 .دفع اشكال ركينة السجدة، ج 7،</w:t>
      </w:r>
    </w:p>
    <w:p>
      <w:pPr>
        <w:pStyle w:val="BookText"/>
      </w:pPr>
      <w:r>
        <w:rPr>
          <w:rFonts w:ascii="IRNazanin" w:hAnsi="IRNazanin" w:eastAsia="IRNazanin" w:cs="IRNazanin"/>
          <w:lang w:bidi="fa-IR"/>
          <w:color w:val="111111"/>
          <w:sz w:val="28"/>
          <w:szCs w:val="28"/>
          <w:rtl/>
        </w:rPr>
        <w:t xml:space="preserve">ص 421 .</w:t>
      </w:r>
    </w:p>
    <w:p>
      <w:pPr>
        <w:pStyle w:val="BookText"/>
      </w:pPr>
      <w:r>
        <w:rPr>
          <w:rFonts w:ascii="Amiri" w:hAnsi="Amiri" w:eastAsia="Amiri" w:cs="Amiri"/>
          <w:lang w:bidi="ar-SA"/>
          <w:color w:val="111111"/>
          <w:sz w:val="28"/>
          <w:szCs w:val="28"/>
          <w:rtl/>
        </w:rPr>
        <w:t xml:space="preserve">5 .الرسالة الصدرية في وجوب صلاة</w:t>
      </w:r>
    </w:p>
    <w:p>
      <w:pPr>
        <w:pStyle w:val="BookText"/>
      </w:pPr>
      <w:r>
        <w:rPr>
          <w:rFonts w:ascii="Amiri" w:hAnsi="Amiri" w:eastAsia="Amiri" w:cs="Amiri"/>
          <w:lang w:bidi="ar-SA"/>
          <w:color w:val="111111"/>
          <w:sz w:val="28"/>
          <w:szCs w:val="28"/>
          <w:rtl/>
        </w:rPr>
        <w:t xml:space="preserve">الجمعة، ج 8، ص217.</w:t>
      </w:r>
    </w:p>
    <w:p>
      <w:pPr>
        <w:pStyle w:val="BookText"/>
      </w:pPr>
      <w:r>
        <w:rPr>
          <w:rFonts w:ascii="IRNazanin" w:hAnsi="IRNazanin" w:eastAsia="IRNazanin" w:cs="IRNazanin"/>
          <w:lang w:bidi="fa-IR"/>
          <w:color w:val="111111"/>
          <w:sz w:val="28"/>
          <w:szCs w:val="28"/>
          <w:rtl/>
        </w:rPr>
        <w:t xml:space="preserve">6 .صرف الصرف و لب اللباب، ج 10،</w:t>
      </w:r>
    </w:p>
    <w:p>
      <w:pPr>
        <w:pStyle w:val="BookText"/>
      </w:pPr>
      <w:r>
        <w:rPr>
          <w:rFonts w:ascii="IRNazanin" w:hAnsi="IRNazanin" w:eastAsia="IRNazanin" w:cs="IRNazanin"/>
          <w:lang w:bidi="fa-IR"/>
          <w:color w:val="111111"/>
          <w:sz w:val="28"/>
          <w:szCs w:val="28"/>
          <w:rtl/>
        </w:rPr>
        <w:t xml:space="preserve">ص 558</w:t>
      </w:r>
    </w:p>
    <w:p>
      <w:pPr>
        <w:pStyle w:val="Heading2"/>
      </w:pPr>
      <w:bookmarkStart w:id="3714" w:name="_Toc2816"/>
      <w:r>
        <w:t>حسيني قزويني ، محمّد تقي بن امير</w:t>
      </w:r>
      <w:bookmarkEnd w:id="3714"/>
    </w:p>
    <w:p>
      <w:pPr>
        <w:pStyle w:val="BookText"/>
      </w:pPr>
      <w:r>
        <w:rPr>
          <w:rFonts w:ascii="IRNazanin" w:hAnsi="IRNazanin" w:eastAsia="IRNazanin" w:cs="IRNazanin"/>
          <w:lang w:bidi="fa-IR"/>
          <w:color w:val="111111"/>
          <w:sz w:val="28"/>
          <w:szCs w:val="28"/>
          <w:rtl/>
        </w:rPr>
        <w:t xml:space="preserve">مؤمن - 1270 ه-</w:t>
      </w:r>
    </w:p>
    <w:p>
      <w:pPr>
        <w:pStyle w:val="BookText"/>
      </w:pPr>
      <w:r>
        <w:rPr>
          <w:rFonts w:ascii="IRNazanin" w:hAnsi="IRNazanin" w:eastAsia="IRNazanin" w:cs="IRNazanin"/>
          <w:lang w:bidi="fa-IR"/>
          <w:color w:val="111111"/>
          <w:sz w:val="28"/>
          <w:szCs w:val="28"/>
          <w:rtl/>
        </w:rPr>
        <w:t xml:space="preserve">1 .جامع المقاصد، ج5، ص332.</w:t>
      </w:r>
    </w:p>
    <w:p>
      <w:pPr>
        <w:pStyle w:val="BookText"/>
      </w:pPr>
      <w:r>
        <w:rPr>
          <w:rFonts w:ascii="IRNazanin" w:hAnsi="IRNazanin" w:eastAsia="IRNazanin" w:cs="IRNazanin"/>
          <w:lang w:bidi="fa-IR"/>
          <w:color w:val="111111"/>
          <w:sz w:val="28"/>
          <w:szCs w:val="28"/>
          <w:rtl/>
        </w:rPr>
        <w:t xml:space="preserve">2 .خطبه شقشقیه (ترجمه)، ج7،</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Amiri" w:hAnsi="Amiri" w:eastAsia="Amiri" w:cs="Amiri"/>
          <w:lang w:bidi="ar-SA"/>
          <w:color w:val="111111"/>
          <w:sz w:val="28"/>
          <w:szCs w:val="28"/>
          <w:rtl/>
        </w:rPr>
        <w:t xml:space="preserve">3 .طرائف الحكمة و بدائع المعرفة = خلاصة نهج البلاغة، ج 10، ص 800.</w:t>
      </w:r>
    </w:p>
    <w:p>
      <w:pPr>
        <w:pStyle w:val="BookText"/>
      </w:pPr>
      <w:r>
        <w:rPr>
          <w:rFonts w:ascii="Amiri" w:hAnsi="Amiri" w:eastAsia="Amiri" w:cs="Amiri"/>
          <w:lang w:bidi="ar-SA"/>
          <w:color w:val="111111"/>
          <w:sz w:val="28"/>
          <w:szCs w:val="28"/>
          <w:rtl/>
        </w:rPr>
        <w:t xml:space="preserve">4 .مخير الأخيار = المنظومة المخيرية في</w:t>
      </w:r>
    </w:p>
    <w:p>
      <w:pPr>
        <w:pStyle w:val="BookText"/>
      </w:pPr>
      <w:r>
        <w:rPr>
          <w:rFonts w:ascii="Amiri" w:hAnsi="Amiri" w:eastAsia="Amiri" w:cs="Amiri"/>
          <w:lang w:bidi="ar-SA"/>
          <w:color w:val="111111"/>
          <w:sz w:val="28"/>
          <w:szCs w:val="28"/>
          <w:rtl/>
        </w:rPr>
        <w:t xml:space="preserve">إثبات العقائد الحقة الاثنى</w:t>
      </w:r>
    </w:p>
    <w:p>
      <w:pPr>
        <w:pStyle w:val="BookText"/>
      </w:pPr>
      <w:r>
        <w:rPr>
          <w:rFonts w:ascii="Amiri" w:hAnsi="Amiri" w:eastAsia="Amiri" w:cs="Amiri"/>
          <w:lang w:bidi="ar-SA"/>
          <w:color w:val="111111"/>
          <w:sz w:val="28"/>
          <w:szCs w:val="28"/>
          <w:rtl/>
        </w:rPr>
        <w:t xml:space="preserve">عشرية، ج 14، ص 298.</w:t>
      </w:r>
    </w:p>
    <w:p>
      <w:pPr>
        <w:pStyle w:val="BookText"/>
      </w:pPr>
      <w:r>
        <w:rPr>
          <w:rFonts w:ascii="Amiri" w:hAnsi="Amiri" w:eastAsia="Amiri" w:cs="Amiri"/>
          <w:lang w:bidi="ar-SA"/>
          <w:color w:val="111111"/>
          <w:sz w:val="28"/>
          <w:szCs w:val="28"/>
          <w:rtl/>
        </w:rPr>
        <w:t xml:space="preserve">5 .نهاية التحرير في شرح التجريد</w:t>
      </w:r>
    </w:p>
    <w:p>
      <w:pPr>
        <w:pStyle w:val="BookText"/>
      </w:pPr>
      <w:r>
        <w:rPr>
          <w:rFonts w:ascii="IRNazanin" w:hAnsi="IRNazanin" w:eastAsia="IRNazanin" w:cs="IRNazanin"/>
          <w:lang w:bidi="fa-IR"/>
          <w:color w:val="111111"/>
          <w:sz w:val="28"/>
          <w:szCs w:val="28"/>
          <w:rtl/>
        </w:rPr>
        <w:t xml:space="preserve">ج 16، ص 488.</w:t>
      </w:r>
    </w:p>
    <w:p>
      <w:pPr>
        <w:pStyle w:val="Heading2"/>
      </w:pPr>
      <w:bookmarkStart w:id="3715" w:name="_Toc2817"/>
      <w:r>
        <w:t>حسيني قزويني ، محمّد رضا بن محمّد</w:t>
      </w:r>
      <w:bookmarkEnd w:id="3715"/>
    </w:p>
    <w:p>
      <w:pPr>
        <w:pStyle w:val="BookText"/>
      </w:pPr>
      <w:r>
        <w:rPr>
          <w:rFonts w:ascii="IRNazanin" w:hAnsi="IRNazanin" w:eastAsia="IRNazanin" w:cs="IRNazanin"/>
          <w:lang w:bidi="fa-IR"/>
          <w:color w:val="111111"/>
          <w:sz w:val="28"/>
          <w:szCs w:val="28"/>
          <w:rtl/>
        </w:rPr>
        <w:t xml:space="preserve">قاسم، - 1147 ه-</w:t>
      </w:r>
    </w:p>
    <w:p>
      <w:pPr>
        <w:pStyle w:val="BookText"/>
      </w:pPr>
      <w:r>
        <w:rPr>
          <w:rFonts w:ascii="Amiri" w:hAnsi="Amiri" w:eastAsia="Amiri" w:cs="Amiri"/>
          <w:lang w:bidi="ar-SA"/>
          <w:color w:val="111111"/>
          <w:sz w:val="28"/>
          <w:szCs w:val="28"/>
          <w:rtl/>
        </w:rPr>
        <w:t xml:space="preserve">1 .الجنة الباقية و الجنة الواقية</w:t>
      </w:r>
    </w:p>
    <w:p>
      <w:pPr>
        <w:pStyle w:val="BookText"/>
      </w:pPr>
      <w:r>
        <w:rPr>
          <w:rFonts w:ascii="IRNazanin" w:hAnsi="IRNazanin" w:eastAsia="IRNazanin" w:cs="IRNazanin"/>
          <w:lang w:bidi="fa-IR"/>
          <w:color w:val="111111"/>
          <w:sz w:val="28"/>
          <w:szCs w:val="28"/>
          <w:rtl/>
        </w:rPr>
        <w:t xml:space="preserve">(ترجمه)، ج5، ص 463.</w:t>
      </w:r>
    </w:p>
    <w:p>
      <w:pPr>
        <w:pStyle w:val="BookText"/>
      </w:pPr>
      <w:r>
        <w:rPr>
          <w:rFonts w:ascii="Amiri" w:hAnsi="Amiri" w:eastAsia="Amiri" w:cs="Amiri"/>
          <w:lang w:bidi="ar-SA"/>
          <w:color w:val="111111"/>
          <w:sz w:val="28"/>
          <w:szCs w:val="28"/>
          <w:rtl/>
        </w:rPr>
        <w:t xml:space="preserve">2 .نفايس الاخبار، ج 16، ص 374.</w:t>
      </w:r>
    </w:p>
    <w:p>
      <w:pPr>
        <w:pStyle w:val="Heading2"/>
      </w:pPr>
      <w:bookmarkStart w:id="3716" w:name="_Toc2818"/>
      <w:r>
        <w:t>حسيني قزويني محمّد مؤمن، قرن 12 ه-</w:t>
      </w:r>
      <w:bookmarkEnd w:id="3716"/>
    </w:p>
    <w:p>
      <w:pPr>
        <w:pStyle w:val="BookText"/>
      </w:pPr>
      <w:r>
        <w:rPr>
          <w:rFonts w:ascii="Amiri" w:hAnsi="Amiri" w:eastAsia="Amiri" w:cs="Amiri"/>
          <w:lang w:bidi="ar-SA"/>
          <w:color w:val="111111"/>
          <w:sz w:val="28"/>
          <w:szCs w:val="28"/>
          <w:rtl/>
        </w:rPr>
        <w:t xml:space="preserve">حرز سليماني = شرح دعاي جوشن</w:t>
      </w:r>
    </w:p>
    <w:p>
      <w:pPr>
        <w:pStyle w:val="BookText"/>
      </w:pPr>
      <w:r>
        <w:rPr>
          <w:rFonts w:ascii="Amiri" w:hAnsi="Amiri" w:eastAsia="Amiri" w:cs="Amiri"/>
          <w:lang w:bidi="ar-SA"/>
          <w:color w:val="111111"/>
          <w:sz w:val="28"/>
          <w:szCs w:val="28"/>
          <w:rtl/>
        </w:rPr>
        <w:t xml:space="preserve">صغير، ج 6، ص 612.</w:t>
      </w:r>
    </w:p>
    <w:p>
      <w:pPr>
        <w:pStyle w:val="Heading2"/>
      </w:pPr>
      <w:bookmarkStart w:id="3717" w:name="_Toc2819"/>
      <w:r>
        <w:t>حسيني قزويني ، مهدي، 1807 - 1883</w:t>
      </w:r>
      <w:bookmarkEnd w:id="3717"/>
    </w:p>
    <w:p>
      <w:pPr>
        <w:pStyle w:val="BookText"/>
      </w:pPr>
      <w:r>
        <w:rPr>
          <w:rFonts w:ascii="Amiri" w:hAnsi="Amiri" w:eastAsia="Amiri" w:cs="Amiri"/>
          <w:lang w:bidi="ar-SA"/>
          <w:color w:val="111111"/>
          <w:sz w:val="28"/>
          <w:szCs w:val="28"/>
          <w:rtl/>
        </w:rPr>
        <w:t xml:space="preserve">1 .أرجوزة، ج 1، ص 762.</w:t>
      </w:r>
    </w:p>
    <w:p>
      <w:pPr>
        <w:pStyle w:val="BookText"/>
      </w:pPr>
      <w:r>
        <w:rPr>
          <w:rFonts w:ascii="IRNazanin" w:hAnsi="IRNazanin" w:eastAsia="IRNazanin" w:cs="IRNazanin"/>
          <w:lang w:bidi="fa-IR"/>
          <w:color w:val="111111"/>
          <w:sz w:val="28"/>
          <w:szCs w:val="28"/>
          <w:rtl/>
        </w:rPr>
        <w:t xml:space="preserve">2 .واجبات القراء، ج 16، ص 675.</w:t>
      </w:r>
    </w:p>
    <w:p>
      <w:pPr>
        <w:pStyle w:val="BookText"/>
      </w:pPr>
      <w:r>
        <w:rPr>
          <w:rFonts w:ascii="Amiri" w:hAnsi="Amiri" w:eastAsia="Amiri" w:cs="Amiri"/>
          <w:lang w:bidi="ar-SA"/>
          <w:color w:val="111111"/>
          <w:sz w:val="28"/>
          <w:szCs w:val="28"/>
          <w:rtl/>
        </w:rPr>
        <w:t xml:space="preserve">حسيني قزويني ، محمّد مهدي بن حسن- قزويني ، محمّد مهدي بن حسن</w:t>
      </w:r>
    </w:p>
    <w:p>
      <w:pPr>
        <w:pStyle w:val="BookText"/>
      </w:pPr>
      <w:r>
        <w:rPr>
          <w:rFonts w:ascii="Amiri" w:hAnsi="Amiri" w:eastAsia="Amiri" w:cs="Amiri"/>
          <w:lang w:bidi="ar-SA"/>
          <w:color w:val="111111"/>
          <w:sz w:val="28"/>
          <w:szCs w:val="28"/>
          <w:rtl/>
        </w:rPr>
        <w:t xml:space="preserve">حسيني ، قطب الدين محمّد -نيريزي ،</w:t>
      </w:r>
    </w:p>
    <w:p>
      <w:pPr>
        <w:pStyle w:val="BookText"/>
      </w:pPr>
      <w:r>
        <w:rPr>
          <w:rFonts w:ascii="IRNazanin" w:hAnsi="IRNazanin" w:eastAsia="IRNazanin" w:cs="IRNazanin"/>
          <w:lang w:bidi="fa-IR"/>
          <w:color w:val="111111"/>
          <w:sz w:val="28"/>
          <w:szCs w:val="28"/>
          <w:rtl/>
        </w:rPr>
        <w:t xml:space="preserve">قطب الدین محمّد</w:t>
      </w:r>
    </w:p>
    <w:p>
      <w:pPr>
        <w:pStyle w:val="BookText"/>
      </w:pPr>
      <w:r>
        <w:rPr>
          <w:rFonts w:ascii="IRNazanin" w:hAnsi="IRNazanin" w:eastAsia="IRNazanin" w:cs="IRNazanin"/>
          <w:lang w:bidi="fa-IR"/>
          <w:color w:val="111111"/>
          <w:sz w:val="28"/>
          <w:szCs w:val="28"/>
          <w:rtl/>
        </w:rPr>
        <w:t xml:space="preserve">حسيني قزويني ، ميرعماد- میرعماد</w:t>
      </w:r>
    </w:p>
    <w:p>
      <w:pPr>
        <w:pStyle w:val="BookText"/>
      </w:pPr>
      <w:r>
        <w:rPr>
          <w:rFonts w:ascii="Amiri" w:hAnsi="Amiri" w:eastAsia="Amiri" w:cs="Amiri"/>
          <w:lang w:bidi="ar-SA"/>
          <w:color w:val="111111"/>
          <w:sz w:val="28"/>
          <w:szCs w:val="28"/>
          <w:rtl/>
        </w:rPr>
        <w:t xml:space="preserve">حسيني قزويني ، يحيى بن</w:t>
      </w:r>
    </w:p>
    <w:p>
      <w:pPr>
        <w:pStyle w:val="BookText"/>
      </w:pPr>
      <w:r>
        <w:rPr>
          <w:rFonts w:ascii="Amiri" w:hAnsi="Amiri" w:eastAsia="Amiri" w:cs="Amiri"/>
          <w:lang w:bidi="ar-SA"/>
          <w:color w:val="111111"/>
          <w:sz w:val="28"/>
          <w:szCs w:val="28"/>
          <w:rtl/>
        </w:rPr>
        <w:t xml:space="preserve">عبد اللطيف -قزويني ، يحيى بن عبداللطيف</w:t>
      </w:r>
    </w:p>
    <w:p>
      <w:pPr>
        <w:pStyle w:val="Heading2"/>
      </w:pPr>
      <w:bookmarkStart w:id="3718" w:name="_Toc2820"/>
      <w:r>
        <w:t>حسيني قمشهي ، محمّد حسن بن ابي</w:t>
      </w:r>
      <w:bookmarkEnd w:id="3718"/>
    </w:p>
    <w:p>
      <w:pPr>
        <w:pStyle w:val="BookText"/>
      </w:pPr>
      <w:r>
        <w:rPr>
          <w:rFonts w:ascii="IRNazanin" w:hAnsi="IRNazanin" w:eastAsia="IRNazanin" w:cs="IRNazanin"/>
          <w:lang w:bidi="fa-IR"/>
          <w:color w:val="111111"/>
          <w:sz w:val="28"/>
          <w:szCs w:val="28"/>
          <w:rtl/>
        </w:rPr>
        <w:t xml:space="preserve">طالب</w:t>
      </w:r>
    </w:p>
    <w:p>
      <w:pPr>
        <w:pStyle w:val="BookText"/>
      </w:pPr>
      <w:r>
        <w:rPr>
          <w:rFonts w:ascii="Amiri" w:hAnsi="Amiri" w:eastAsia="Amiri" w:cs="Amiri"/>
          <w:lang w:bidi="ar-SA"/>
          <w:color w:val="111111"/>
          <w:sz w:val="28"/>
          <w:szCs w:val="28"/>
          <w:rtl/>
        </w:rPr>
        <w:t xml:space="preserve">حاشية المكاسب، ج 6، ص 420 .</w:t>
      </w:r>
    </w:p>
    <w:p>
      <w:pPr>
        <w:pStyle w:val="Heading2"/>
      </w:pPr>
      <w:bookmarkStart w:id="3719" w:name="_Toc2821"/>
      <w:r>
        <w:t>حسيني قمي ، حسن بن اسماعیل قرن</w:t>
      </w:r>
      <w:bookmarkEnd w:id="3719"/>
    </w:p>
    <w:p>
      <w:pPr>
        <w:pStyle w:val="BookText"/>
      </w:pPr>
      <w:r>
        <w:rPr>
          <w:rFonts w:ascii="IRNazanin" w:hAnsi="IRNazanin" w:eastAsia="IRNazanin" w:cs="IRNazanin"/>
          <w:lang w:bidi="fa-IR"/>
          <w:color w:val="111111"/>
          <w:sz w:val="28"/>
          <w:szCs w:val="28"/>
          <w:rtl/>
        </w:rPr>
        <w:t xml:space="preserve">14 ه-</w:t>
      </w:r>
    </w:p>
    <w:p>
      <w:pPr>
        <w:pStyle w:val="BookText"/>
      </w:pPr>
      <w:r>
        <w:rPr>
          <w:rFonts w:ascii="Amiri" w:hAnsi="Amiri" w:eastAsia="Amiri" w:cs="Amiri"/>
          <w:lang w:bidi="ar-SA"/>
          <w:color w:val="111111"/>
          <w:sz w:val="28"/>
          <w:szCs w:val="28"/>
          <w:rtl/>
        </w:rPr>
        <w:t xml:space="preserve">1 .اصول الفقه (رسالة في)، ج2،</w:t>
      </w:r>
    </w:p>
    <w:p>
      <w:pPr>
        <w:pStyle w:val="BookText"/>
      </w:pPr>
      <w:r>
        <w:rPr>
          <w:rFonts w:ascii="IRNazanin" w:hAnsi="IRNazanin" w:eastAsia="IRNazanin" w:cs="IRNazanin"/>
          <w:lang w:bidi="fa-IR"/>
          <w:color w:val="111111"/>
          <w:sz w:val="28"/>
          <w:szCs w:val="28"/>
          <w:rtl/>
        </w:rPr>
        <w:t xml:space="preserve">ص 440.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0" w:name="pg7742_70191"/>
    <w:bookmarkEnd w:id="400"/>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التحفة الحسينية في احكام مسألة</w:t>
      </w:r>
    </w:p>
    <w:p>
      <w:pPr>
        <w:pStyle w:val="BookText"/>
      </w:pPr>
      <w:r>
        <w:rPr>
          <w:rFonts w:ascii="Amiri" w:hAnsi="Amiri" w:eastAsia="Amiri" w:cs="Amiri"/>
          <w:lang w:bidi="ar-SA"/>
          <w:color w:val="111111"/>
          <w:sz w:val="28"/>
          <w:szCs w:val="28"/>
          <w:rtl/>
        </w:rPr>
        <w:t xml:space="preserve">الغيبة، ج3، ص822.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التبصرة، ج 9، ص302.</w:t>
      </w:r>
    </w:p>
    <w:p>
      <w:pPr>
        <w:pStyle w:val="Heading2"/>
      </w:pPr>
      <w:bookmarkStart w:id="3720" w:name="_Toc2822"/>
      <w:r>
        <w:t>حسيني كازروني ، اشرف</w:t>
      </w:r>
      <w:bookmarkEnd w:id="3720"/>
    </w:p>
    <w:p>
      <w:pPr>
        <w:pStyle w:val="BookText"/>
      </w:pPr>
      <w:r>
        <w:rPr>
          <w:rFonts w:ascii="IRNazanin" w:hAnsi="IRNazanin" w:eastAsia="IRNazanin" w:cs="IRNazanin"/>
          <w:lang w:bidi="fa-IR"/>
          <w:color w:val="111111"/>
          <w:sz w:val="28"/>
          <w:szCs w:val="28"/>
          <w:rtl/>
        </w:rPr>
        <w:t xml:space="preserve">4.دعوة الاذكار = اذکار، ج7، ص 417.</w:t>
      </w:r>
    </w:p>
    <w:p>
      <w:pPr>
        <w:pStyle w:val="BookText"/>
      </w:pPr>
      <w:r>
        <w:rPr>
          <w:rFonts w:ascii="Amiri" w:hAnsi="Amiri" w:eastAsia="Amiri" w:cs="Amiri"/>
          <w:lang w:bidi="ar-SA"/>
          <w:color w:val="111111"/>
          <w:sz w:val="28"/>
          <w:szCs w:val="28"/>
          <w:rtl/>
        </w:rPr>
        <w:t xml:space="preserve">حسيني كاشاني، زين العابدين بن نور الدين -كاشاني، زين العابدين بن نور الدين</w:t>
      </w:r>
    </w:p>
    <w:p>
      <w:pPr>
        <w:pStyle w:val="Heading2"/>
      </w:pPr>
      <w:bookmarkStart w:id="3721" w:name="_Toc2823"/>
      <w:r>
        <w:t>حسيني كاشاني ، طاهر بن رضي الدين -</w:t>
      </w:r>
      <w:bookmarkEnd w:id="3721"/>
    </w:p>
    <w:p>
      <w:pPr>
        <w:pStyle w:val="BookText"/>
      </w:pPr>
      <w:r>
        <w:rPr>
          <w:rFonts w:ascii="IRNazanin" w:hAnsi="IRNazanin" w:eastAsia="IRNazanin" w:cs="IRNazanin"/>
          <w:lang w:bidi="fa-IR"/>
          <w:color w:val="111111"/>
          <w:sz w:val="28"/>
          <w:szCs w:val="28"/>
          <w:rtl/>
        </w:rPr>
        <w:t xml:space="preserve">952 ه-</w:t>
      </w:r>
    </w:p>
    <w:p>
      <w:pPr>
        <w:pStyle w:val="BookText"/>
      </w:pPr>
      <w:r>
        <w:rPr>
          <w:rFonts w:ascii="Amiri" w:hAnsi="Amiri" w:eastAsia="Amiri" w:cs="Amiri"/>
          <w:lang w:bidi="ar-SA"/>
          <w:color w:val="111111"/>
          <w:sz w:val="28"/>
          <w:szCs w:val="28"/>
          <w:rtl/>
        </w:rPr>
        <w:t xml:space="preserve">الحيدرية في شرح الجعفرية، ج6،</w:t>
      </w:r>
    </w:p>
    <w:p>
      <w:pPr>
        <w:pStyle w:val="BookText"/>
      </w:pPr>
      <w:r>
        <w:rPr>
          <w:rFonts w:ascii="IRNazanin" w:hAnsi="IRNazanin" w:eastAsia="IRNazanin" w:cs="IRNazanin"/>
          <w:lang w:bidi="fa-IR"/>
          <w:color w:val="111111"/>
          <w:sz w:val="28"/>
          <w:szCs w:val="28"/>
          <w:rtl/>
        </w:rPr>
        <w:t xml:space="preserve">ص 867.</w:t>
      </w:r>
    </w:p>
    <w:p>
      <w:pPr>
        <w:pStyle w:val="Heading2"/>
      </w:pPr>
      <w:bookmarkStart w:id="3722" w:name="_Toc2824"/>
      <w:r>
        <w:t>حسيني كاشاني ، محمّد بن علي، 946</w:t>
      </w:r>
      <w:bookmarkEnd w:id="3722"/>
    </w:p>
    <w:p>
      <w:pPr>
        <w:pStyle w:val="BookText"/>
      </w:pPr>
      <w:r>
        <w:rPr>
          <w:rFonts w:ascii="IRNazanin" w:hAnsi="IRNazanin" w:eastAsia="IRNazanin" w:cs="IRNazanin"/>
          <w:lang w:bidi="fa-IR"/>
          <w:color w:val="111111"/>
          <w:sz w:val="28"/>
          <w:szCs w:val="28"/>
          <w:rtl/>
        </w:rPr>
        <w:t xml:space="preserve">1016ه-</w:t>
      </w:r>
    </w:p>
    <w:p>
      <w:pPr>
        <w:pStyle w:val="BookText"/>
      </w:pPr>
      <w:r>
        <w:rPr>
          <w:rFonts w:ascii="IRNazanin" w:hAnsi="IRNazanin" w:eastAsia="IRNazanin" w:cs="IRNazanin"/>
          <w:lang w:bidi="fa-IR"/>
          <w:color w:val="111111"/>
          <w:sz w:val="28"/>
          <w:szCs w:val="28"/>
          <w:rtl/>
        </w:rPr>
        <w:t xml:space="preserve">خلاصة الاشعار و زبدة الافكار = تذکره میر محمّد تقي كاشي، ج7،</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Amiri" w:hAnsi="Amiri" w:eastAsia="Amiri" w:cs="Amiri"/>
          <w:lang w:bidi="ar-SA"/>
          <w:color w:val="111111"/>
          <w:sz w:val="28"/>
          <w:szCs w:val="28"/>
          <w:rtl/>
        </w:rPr>
        <w:t xml:space="preserve">حجية المظنة، ج 6 ، ص 506.</w:t>
      </w:r>
    </w:p>
    <w:p>
      <w:pPr>
        <w:pStyle w:val="Heading2"/>
      </w:pPr>
      <w:bookmarkStart w:id="3723" w:name="_Toc2825"/>
      <w:r>
        <w:t>حسيني كاشاني، مصطفى بن حسين</w:t>
      </w:r>
      <w:bookmarkEnd w:id="3723"/>
    </w:p>
    <w:p>
      <w:pPr>
        <w:pStyle w:val="BookText"/>
      </w:pPr>
      <w:r>
        <w:rPr>
          <w:rFonts w:ascii="Amiri" w:hAnsi="Amiri" w:eastAsia="Amiri" w:cs="Amiri"/>
          <w:lang w:bidi="ar-SA"/>
          <w:color w:val="111111"/>
          <w:sz w:val="28"/>
          <w:szCs w:val="28"/>
          <w:rtl/>
        </w:rPr>
        <w:t xml:space="preserve">حسيني كاشاني ، محمّد تقي بن عبدالحي</w:t>
      </w:r>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IRNazanin" w:hAnsi="IRNazanin" w:eastAsia="IRNazanin" w:cs="IRNazanin"/>
          <w:lang w:bidi="fa-IR"/>
          <w:color w:val="111111"/>
          <w:sz w:val="28"/>
          <w:szCs w:val="28"/>
          <w:rtl/>
        </w:rPr>
        <w:t xml:space="preserve">1337 ه-</w:t>
      </w:r>
    </w:p>
    <w:p>
      <w:pPr>
        <w:pStyle w:val="BookText"/>
      </w:pPr>
      <w:r>
        <w:rPr>
          <w:rFonts w:ascii="Amiri" w:hAnsi="Amiri" w:eastAsia="Amiri" w:cs="Amiri"/>
          <w:lang w:bidi="ar-SA"/>
          <w:color w:val="111111"/>
          <w:sz w:val="28"/>
          <w:szCs w:val="28"/>
          <w:rtl/>
        </w:rPr>
        <w:t xml:space="preserve">اجازة لثقة الاسلام الساروي، ج 1،</w:t>
      </w:r>
    </w:p>
    <w:p>
      <w:pPr>
        <w:pStyle w:val="BookText"/>
      </w:pPr>
      <w:r>
        <w:rPr>
          <w:rFonts w:ascii="IRNazanin" w:hAnsi="IRNazanin" w:eastAsia="IRNazanin" w:cs="IRNazanin"/>
          <w:lang w:bidi="fa-IR"/>
          <w:color w:val="111111"/>
          <w:sz w:val="28"/>
          <w:szCs w:val="28"/>
          <w:rtl/>
        </w:rPr>
        <w:t xml:space="preserve">ص 237</w:t>
      </w:r>
    </w:p>
    <w:p>
      <w:pPr>
        <w:pStyle w:val="Heading2"/>
      </w:pPr>
      <w:bookmarkStart w:id="3724" w:name="_Toc2826"/>
      <w:r>
        <w:t>حسيني كاظمي ، محمود بن فتح الله</w:t>
      </w:r>
      <w:bookmarkEnd w:id="3724"/>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1 .اثبات وجود الانبياء و الاوصياء في</w:t>
      </w:r>
    </w:p>
    <w:p>
      <w:pPr>
        <w:pStyle w:val="BookText"/>
      </w:pPr>
      <w:r>
        <w:rPr>
          <w:rFonts w:ascii="IRNazanin" w:hAnsi="IRNazanin" w:eastAsia="IRNazanin" w:cs="IRNazanin"/>
          <w:lang w:bidi="fa-IR"/>
          <w:color w:val="111111"/>
          <w:sz w:val="28"/>
          <w:szCs w:val="28"/>
          <w:rtl/>
        </w:rPr>
        <w:t xml:space="preserve">قبورهم، ج1، ص176.</w:t>
      </w:r>
    </w:p>
    <w:p>
      <w:pPr>
        <w:pStyle w:val="BookText"/>
      </w:pPr>
      <w:r>
        <w:rPr>
          <w:rFonts w:ascii="Amiri" w:hAnsi="Amiri" w:eastAsia="Amiri" w:cs="Amiri"/>
          <w:lang w:bidi="ar-SA"/>
          <w:color w:val="111111"/>
          <w:sz w:val="28"/>
          <w:szCs w:val="28"/>
          <w:rtl/>
        </w:rPr>
        <w:t xml:space="preserve">2 .تفريج الكربة عن المنتقم لهم في</w:t>
      </w:r>
    </w:p>
    <w:p>
      <w:pPr>
        <w:pStyle w:val="BookText"/>
      </w:pPr>
      <w:r>
        <w:rPr>
          <w:rFonts w:ascii="Amiri" w:hAnsi="Amiri" w:eastAsia="Amiri" w:cs="Amiri"/>
          <w:lang w:bidi="ar-SA"/>
          <w:color w:val="111111"/>
          <w:sz w:val="28"/>
          <w:szCs w:val="28"/>
          <w:rtl/>
        </w:rPr>
        <w:t xml:space="preserve">الرجعة، ج 4، ص 569.</w:t>
      </w:r>
    </w:p>
    <w:p>
      <w:pPr>
        <w:pStyle w:val="Heading2"/>
      </w:pPr>
      <w:bookmarkStart w:id="3725" w:name="_Toc2827"/>
      <w:r>
        <w:t>حسيني كربلائي ، نعمة الله بن روح الله</w:t>
      </w:r>
      <w:bookmarkEnd w:id="3725"/>
    </w:p>
    <w:p>
      <w:pPr>
        <w:pStyle w:val="BookText"/>
      </w:pPr>
      <w:r>
        <w:rPr>
          <w:rFonts w:ascii="Amiri" w:hAnsi="Amiri" w:eastAsia="Amiri" w:cs="Amiri"/>
          <w:lang w:bidi="ar-SA"/>
          <w:color w:val="111111"/>
          <w:sz w:val="28"/>
          <w:szCs w:val="28"/>
          <w:rtl/>
        </w:rPr>
        <w:t xml:space="preserve">شرح القصيدة الطنطرانية، ج9،</w:t>
      </w:r>
    </w:p>
    <w:p>
      <w:pPr>
        <w:pStyle w:val="BookText"/>
      </w:pPr>
      <w:r>
        <w:rPr>
          <w:rFonts w:ascii="IRNazanin" w:hAnsi="IRNazanin" w:eastAsia="IRNazanin" w:cs="IRNazanin"/>
          <w:lang w:bidi="fa-IR"/>
          <w:color w:val="111111"/>
          <w:sz w:val="28"/>
          <w:szCs w:val="28"/>
          <w:rtl/>
        </w:rPr>
        <w:t xml:space="preserve">ص 874.</w:t>
      </w:r>
    </w:p>
    <w:p>
      <w:pPr>
        <w:pStyle w:val="BookText"/>
      </w:pPr>
      <w:r>
        <w:rPr>
          <w:rFonts w:ascii="Amiri" w:hAnsi="Amiri" w:eastAsia="Amiri" w:cs="Amiri"/>
          <w:lang w:bidi="ar-SA"/>
          <w:color w:val="111111"/>
          <w:sz w:val="28"/>
          <w:szCs w:val="28"/>
          <w:rtl/>
        </w:rPr>
        <w:t xml:space="preserve">حسيني كركي كركي- عاملي ، حسين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3726" w:name="_Toc2828"/>
      <w:r>
        <w:t>حسيني كركي، كمال الدين</w:t>
      </w:r>
      <w:bookmarkEnd w:id="3726"/>
    </w:p>
    <w:p>
      <w:pPr>
        <w:pStyle w:val="BookText"/>
      </w:pPr>
      <w:r>
        <w:rPr>
          <w:rFonts w:ascii="IRNazanin" w:hAnsi="IRNazanin" w:eastAsia="IRNazanin" w:cs="IRNazanin"/>
          <w:lang w:bidi="fa-IR"/>
          <w:color w:val="111111"/>
          <w:sz w:val="28"/>
          <w:szCs w:val="28"/>
          <w:rtl/>
        </w:rPr>
        <w:t xml:space="preserve">لب اللباب، ج13، ص 562.</w:t>
      </w:r>
    </w:p>
    <w:p>
      <w:pPr>
        <w:pStyle w:val="BookText"/>
      </w:pPr>
      <w:r>
        <w:rPr>
          <w:rFonts w:ascii="Amiri" w:hAnsi="Amiri" w:eastAsia="Amiri" w:cs="Amiri"/>
          <w:lang w:bidi="ar-SA"/>
          <w:color w:val="111111"/>
          <w:sz w:val="28"/>
          <w:szCs w:val="28"/>
          <w:rtl/>
        </w:rPr>
        <w:t xml:space="preserve">حسيني كله زردي ، محيي الدين بن احمد -سعداني ، محيي الدين بن احمد</w:t>
      </w:r>
    </w:p>
    <w:p>
      <w:pPr>
        <w:pStyle w:val="BookText"/>
      </w:pPr>
      <w:r>
        <w:rPr>
          <w:rFonts w:ascii="IRNazanin" w:hAnsi="IRNazanin" w:eastAsia="IRNazanin" w:cs="IRNazanin"/>
          <w:lang w:bidi="fa-IR"/>
          <w:color w:val="111111"/>
          <w:sz w:val="28"/>
          <w:szCs w:val="28"/>
          <w:rtl/>
        </w:rPr>
        <w:t xml:space="preserve">حسيني گرگاني ، ابوالفتح بن مخدوم- جرجاني ،ابوالفتح بن مخدوم</w:t>
      </w:r>
    </w:p>
    <w:p>
      <w:pPr>
        <w:pStyle w:val="BookText"/>
      </w:pPr>
      <w:r>
        <w:rPr>
          <w:rFonts w:ascii="IRNazanin" w:hAnsi="IRNazanin" w:eastAsia="IRNazanin" w:cs="IRNazanin"/>
          <w:lang w:bidi="fa-IR"/>
          <w:color w:val="111111"/>
          <w:sz w:val="28"/>
          <w:szCs w:val="28"/>
          <w:rtl/>
        </w:rPr>
        <w:t xml:space="preserve">حسيني گرگاني ، علي بن محمّد -استرآبادي شرف الدين علي</w:t>
      </w:r>
    </w:p>
    <w:p>
      <w:pPr>
        <w:pStyle w:val="BookText"/>
      </w:pPr>
      <w:r>
        <w:rPr>
          <w:rFonts w:ascii="IRNazanin" w:hAnsi="IRNazanin" w:eastAsia="IRNazanin" w:cs="IRNazanin"/>
          <w:lang w:bidi="fa-IR"/>
          <w:color w:val="111111"/>
          <w:sz w:val="28"/>
          <w:szCs w:val="28"/>
          <w:rtl/>
        </w:rPr>
        <w:t xml:space="preserve">حسيني گرگاني ، محمّد بن علي -جرجاني ، محمّد بن علي</w:t>
      </w:r>
    </w:p>
    <w:p>
      <w:pPr>
        <w:pStyle w:val="BookText"/>
      </w:pPr>
      <w:r>
        <w:rPr>
          <w:rFonts w:ascii="IRNazanin" w:hAnsi="IRNazanin" w:eastAsia="IRNazanin" w:cs="IRNazanin"/>
          <w:lang w:bidi="fa-IR"/>
          <w:color w:val="111111"/>
          <w:sz w:val="28"/>
          <w:szCs w:val="28"/>
          <w:rtl/>
        </w:rPr>
        <w:t xml:space="preserve">حسيني گرگاني، ميرزا مخدوم بن سيد</w:t>
      </w:r>
    </w:p>
    <w:p>
      <w:pPr>
        <w:pStyle w:val="BookText"/>
      </w:pPr>
      <w:r>
        <w:rPr>
          <w:rFonts w:ascii="Amiri" w:hAnsi="Amiri" w:eastAsia="Amiri" w:cs="Amiri"/>
          <w:lang w:bidi="ar-SA"/>
          <w:color w:val="111111"/>
          <w:sz w:val="28"/>
          <w:szCs w:val="28"/>
          <w:rtl/>
        </w:rPr>
        <w:t xml:space="preserve">شريف- شريفي حسيني، ميرزا مخدوم بن سيد شريف</w:t>
      </w:r>
    </w:p>
    <w:p>
      <w:pPr>
        <w:pStyle w:val="Heading2"/>
      </w:pPr>
      <w:bookmarkStart w:id="3727" w:name="_Toc2829"/>
      <w:r>
        <w:t>حسيني ،گلستانه عباد بن احمد قرن 8ه-</w:t>
      </w:r>
      <w:bookmarkEnd w:id="3727"/>
    </w:p>
    <w:p>
      <w:pPr>
        <w:pStyle w:val="BookText"/>
      </w:pPr>
      <w:r>
        <w:rPr>
          <w:rFonts w:ascii="Amiri" w:hAnsi="Amiri" w:eastAsia="Amiri" w:cs="Amiri"/>
          <w:lang w:bidi="ar-SA"/>
          <w:color w:val="111111"/>
          <w:sz w:val="28"/>
          <w:szCs w:val="28"/>
          <w:rtl/>
        </w:rPr>
        <w:t xml:space="preserve">كاشف المعاني في شرح حرز الاماني</w:t>
      </w:r>
    </w:p>
    <w:p>
      <w:pPr>
        <w:pStyle w:val="BookText"/>
      </w:pPr>
      <w:r>
        <w:rPr>
          <w:rFonts w:ascii="IRNazanin" w:hAnsi="IRNazanin" w:eastAsia="IRNazanin" w:cs="IRNazanin"/>
          <w:lang w:bidi="fa-IR"/>
          <w:color w:val="111111"/>
          <w:sz w:val="28"/>
          <w:szCs w:val="28"/>
          <w:rtl/>
        </w:rPr>
        <w:t xml:space="preserve">ج 13، ص 15.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1" w:name="pg7742_70193"/>
    <w:bookmarkEnd w:id="401"/>
    <w:p>
      <w:pPr>
        <w:pStyle w:val="BookText"/>
      </w:pPr>
      <w:r>
        <w:rPr>
          <w:rFonts w:ascii="IRNazanin" w:hAnsi="IRNazanin" w:eastAsia="IRNazanin" w:cs="IRNazanin"/>
          <w:lang w:bidi="fa-IR"/>
          <w:color w:val="111111"/>
          <w:sz w:val="28"/>
          <w:szCs w:val="28"/>
          <w:rtl/>
        </w:rPr>
        <w:t xml:space="preserve">حسيني گلستانه ، محمّد بن شاه</w:t>
      </w:r>
    </w:p>
    <w:p>
      <w:pPr>
        <w:pStyle w:val="BookText"/>
      </w:pPr>
      <w:r>
        <w:rPr>
          <w:rFonts w:ascii="IRNazanin" w:hAnsi="IRNazanin" w:eastAsia="IRNazanin" w:cs="IRNazanin"/>
          <w:lang w:bidi="fa-IR"/>
          <w:color w:val="111111"/>
          <w:sz w:val="28"/>
          <w:szCs w:val="28"/>
          <w:rtl/>
        </w:rPr>
        <w:t xml:space="preserve">ابوتراب- گلستانه اصفهاني ، محمّد بن ابي</w:t>
      </w:r>
    </w:p>
    <w:p>
      <w:pPr>
        <w:pStyle w:val="BookText"/>
      </w:pPr>
      <w:r>
        <w:rPr>
          <w:rFonts w:ascii="IRNazanin" w:hAnsi="IRNazanin" w:eastAsia="IRNazanin" w:cs="IRNazanin"/>
          <w:lang w:bidi="fa-IR"/>
          <w:color w:val="111111"/>
          <w:sz w:val="28"/>
          <w:szCs w:val="28"/>
          <w:rtl/>
        </w:rPr>
        <w:t xml:space="preserve">تراب</w:t>
      </w:r>
    </w:p>
    <w:p>
      <w:pPr>
        <w:pStyle w:val="BookText"/>
      </w:pPr>
      <w:r>
        <w:rPr>
          <w:rFonts w:ascii="IRNazanin" w:hAnsi="IRNazanin" w:eastAsia="IRNazanin" w:cs="IRNazanin"/>
          <w:lang w:bidi="fa-IR"/>
          <w:color w:val="111111"/>
          <w:sz w:val="28"/>
          <w:szCs w:val="28"/>
          <w:rtl/>
        </w:rPr>
        <w:t xml:space="preserve">حسيني گلستانه ، محمود بن محمود- گلستانه ، محمود بن محمود</w:t>
      </w:r>
    </w:p>
    <w:p>
      <w:pPr>
        <w:pStyle w:val="BookText"/>
      </w:pPr>
      <w:r>
        <w:rPr>
          <w:rFonts w:ascii="IRNazanin" w:hAnsi="IRNazanin" w:eastAsia="IRNazanin" w:cs="IRNazanin"/>
          <w:lang w:bidi="fa-IR"/>
          <w:color w:val="111111"/>
          <w:sz w:val="28"/>
          <w:szCs w:val="28"/>
          <w:rtl/>
        </w:rPr>
        <w:t xml:space="preserve">حسيني گيسودراز ، ابوالفتح</w:t>
      </w:r>
    </w:p>
    <w:p>
      <w:pPr>
        <w:pStyle w:val="BookText"/>
      </w:pPr>
      <w:r>
        <w:rPr>
          <w:rFonts w:ascii="IRNazanin" w:hAnsi="IRNazanin" w:eastAsia="IRNazanin" w:cs="IRNazanin"/>
          <w:lang w:bidi="fa-IR"/>
          <w:color w:val="111111"/>
          <w:sz w:val="28"/>
          <w:szCs w:val="28"/>
          <w:rtl/>
        </w:rPr>
        <w:t xml:space="preserve">محمّد -گیسو دراز ، محمّد بن یوسف</w:t>
      </w:r>
    </w:p>
    <w:p>
      <w:pPr>
        <w:pStyle w:val="BookText"/>
      </w:pPr>
      <w:r>
        <w:rPr>
          <w:rFonts w:ascii="IRNazanin" w:hAnsi="IRNazanin" w:eastAsia="IRNazanin" w:cs="IRNazanin"/>
          <w:lang w:bidi="fa-IR"/>
          <w:color w:val="111111"/>
          <w:sz w:val="28"/>
          <w:szCs w:val="28"/>
          <w:rtl/>
        </w:rPr>
        <w:t xml:space="preserve">حسيني گيلاني ، عبد القادر بن ابي صالح -عبد القادر جيلاني ، عبد القادر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حسيني لاري ، قطب الدين عبد الحي بن</w:t>
      </w:r>
    </w:p>
    <w:p>
      <w:pPr>
        <w:pStyle w:val="BookText"/>
      </w:pPr>
      <w:r>
        <w:rPr>
          <w:rFonts w:ascii="Amiri" w:hAnsi="Amiri" w:eastAsia="Amiri" w:cs="Amiri"/>
          <w:lang w:bidi="ar-SA"/>
          <w:color w:val="111111"/>
          <w:sz w:val="28"/>
          <w:szCs w:val="28"/>
          <w:rtl/>
        </w:rPr>
        <w:t xml:space="preserve">عبد الحسين - زاهدي لاري ، عبد الحي بن</w:t>
      </w:r>
    </w:p>
    <w:p>
      <w:pPr>
        <w:pStyle w:val="BookText"/>
      </w:pPr>
      <w:r>
        <w:rPr>
          <w:rFonts w:ascii="IRNazanin" w:hAnsi="IRNazanin" w:eastAsia="IRNazanin" w:cs="IRNazanin"/>
          <w:lang w:bidi="fa-IR"/>
          <w:color w:val="111111"/>
          <w:sz w:val="28"/>
          <w:szCs w:val="28"/>
          <w:rtl/>
        </w:rPr>
        <w:t xml:space="preserve">عزالدین</w:t>
      </w:r>
    </w:p>
    <w:p>
      <w:pPr>
        <w:pStyle w:val="BookText"/>
      </w:pPr>
      <w:r>
        <w:rPr>
          <w:rFonts w:ascii="Amiri" w:hAnsi="Amiri" w:eastAsia="Amiri" w:cs="Amiri"/>
          <w:lang w:bidi="ar-SA"/>
          <w:color w:val="111111"/>
          <w:sz w:val="28"/>
          <w:szCs w:val="28"/>
          <w:rtl/>
        </w:rPr>
        <w:t xml:space="preserve">حسيني لاهوري ، محمّد باقر بن شرف الدين- لاهوري ، محمّد باقر بن شرف الدين</w:t>
      </w:r>
    </w:p>
    <w:p>
      <w:pPr>
        <w:pStyle w:val="Heading2"/>
      </w:pPr>
      <w:bookmarkStart w:id="3728" w:name="_Toc2830"/>
      <w:r>
        <w:t>حسيني لاهيجاني ، محمّد بن احمد قرن</w:t>
      </w:r>
      <w:bookmarkEnd w:id="3728"/>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تحفة المصلين، ج4، ص 26.</w:t>
      </w:r>
    </w:p>
    <w:p>
      <w:pPr>
        <w:pStyle w:val="BookText"/>
      </w:pPr>
      <w:r>
        <w:rPr>
          <w:rFonts w:ascii="Amiri" w:hAnsi="Amiri" w:eastAsia="Amiri" w:cs="Amiri"/>
          <w:lang w:bidi="ar-SA"/>
          <w:color w:val="111111"/>
          <w:sz w:val="28"/>
          <w:szCs w:val="28"/>
          <w:rtl/>
        </w:rPr>
        <w:t xml:space="preserve">حسيني لاهيجاني ، محمّد بن محمّد -</w:t>
      </w:r>
    </w:p>
    <w:p>
      <w:pPr>
        <w:pStyle w:val="BookText"/>
      </w:pPr>
      <w:r>
        <w:rPr>
          <w:rFonts w:ascii="IRNazanin" w:hAnsi="IRNazanin" w:eastAsia="IRNazanin" w:cs="IRNazanin"/>
          <w:lang w:bidi="fa-IR"/>
          <w:color w:val="111111"/>
          <w:sz w:val="28"/>
          <w:szCs w:val="28"/>
          <w:rtl/>
        </w:rPr>
        <w:t xml:space="preserve">سید منجم ، محمّد حسین بن محمّد</w:t>
      </w:r>
    </w:p>
    <w:p>
      <w:pPr>
        <w:pStyle w:val="Heading2"/>
      </w:pPr>
      <w:bookmarkStart w:id="3729" w:name="_Toc2831"/>
      <w:r>
        <w:t>حسيني لاهيجاني ، مرتضى بن</w:t>
      </w:r>
      <w:bookmarkEnd w:id="3729"/>
    </w:p>
    <w:p>
      <w:pPr>
        <w:pStyle w:val="BookText"/>
      </w:pPr>
      <w:r>
        <w:rPr>
          <w:rFonts w:ascii="IRNazanin" w:hAnsi="IRNazanin" w:eastAsia="IRNazanin" w:cs="IRNazanin"/>
          <w:lang w:bidi="fa-IR"/>
          <w:color w:val="111111"/>
          <w:sz w:val="28"/>
          <w:szCs w:val="28"/>
          <w:rtl/>
        </w:rPr>
        <w:t xml:space="preserve">عبد الوهاب، قرن 13 ه-</w:t>
      </w:r>
    </w:p>
    <w:p>
      <w:pPr>
        <w:pStyle w:val="BookText"/>
      </w:pPr>
      <w:r>
        <w:rPr>
          <w:rFonts w:ascii="Amiri" w:hAnsi="Amiri" w:eastAsia="Amiri" w:cs="Amiri"/>
          <w:lang w:bidi="ar-SA"/>
          <w:color w:val="111111"/>
          <w:sz w:val="28"/>
          <w:szCs w:val="28"/>
          <w:rtl/>
        </w:rPr>
        <w:t xml:space="preserve">هداية المؤمنين إلى الحق المبين في معرفة اصول الدين، ج 16، ص 635.</w:t>
      </w:r>
    </w:p>
    <w:p>
      <w:pPr>
        <w:pStyle w:val="Heading2"/>
      </w:pPr>
      <w:bookmarkStart w:id="3730" w:name="_Toc2832"/>
      <w:r>
        <w:t>حسيني، لطف الله بن محمّد، قرن 11 ه-</w:t>
      </w:r>
      <w:bookmarkEnd w:id="3730"/>
    </w:p>
    <w:p>
      <w:pPr>
        <w:pStyle w:val="BookText"/>
      </w:pPr>
      <w:r>
        <w:rPr>
          <w:rFonts w:ascii="Amiri" w:hAnsi="Amiri" w:eastAsia="Amiri" w:cs="Amiri"/>
          <w:lang w:bidi="ar-SA"/>
          <w:color w:val="111111"/>
          <w:sz w:val="28"/>
          <w:szCs w:val="28"/>
          <w:rtl/>
        </w:rPr>
        <w:t xml:space="preserve">1 .اصول الدين، ج2، ص 413.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السراج المنير، ج 8، ص739.</w:t>
      </w:r>
    </w:p>
    <w:p>
      <w:pPr>
        <w:pStyle w:val="BookText"/>
      </w:pPr>
      <w:r>
        <w:rPr>
          <w:rFonts w:ascii="Amiri" w:hAnsi="Amiri" w:eastAsia="Amiri" w:cs="Amiri"/>
          <w:lang w:bidi="ar-SA"/>
          <w:color w:val="111111"/>
          <w:sz w:val="28"/>
          <w:szCs w:val="28"/>
          <w:rtl/>
        </w:rPr>
        <w:t xml:space="preserve">حسيني ، ماجد بن هاشم -بحراني ، ماجد</w:t>
      </w:r>
    </w:p>
    <w:p>
      <w:pPr>
        <w:pStyle w:val="BookText"/>
      </w:pPr>
      <w:r>
        <w:rPr>
          <w:rFonts w:ascii="IRNazanin" w:hAnsi="IRNazanin" w:eastAsia="IRNazanin" w:cs="IRNazanin"/>
          <w:lang w:bidi="fa-IR"/>
          <w:color w:val="111111"/>
          <w:sz w:val="28"/>
          <w:szCs w:val="28"/>
          <w:rtl/>
        </w:rPr>
        <w:t xml:space="preserve">بن هاشم</w:t>
      </w:r>
    </w:p>
    <w:p>
      <w:pPr>
        <w:pStyle w:val="Heading2"/>
      </w:pPr>
      <w:bookmarkStart w:id="3731" w:name="_Toc2833"/>
      <w:r>
        <w:t>حسيني، محسن بن محمّدتقي -1332ه-</w:t>
      </w:r>
      <w:bookmarkEnd w:id="3731"/>
    </w:p>
    <w:p>
      <w:pPr>
        <w:pStyle w:val="BookText"/>
      </w:pPr>
      <w:r>
        <w:rPr>
          <w:rFonts w:ascii="Amiri" w:hAnsi="Amiri" w:eastAsia="Amiri" w:cs="Amiri"/>
          <w:lang w:bidi="ar-SA"/>
          <w:color w:val="111111"/>
          <w:sz w:val="28"/>
          <w:szCs w:val="28"/>
          <w:rtl/>
        </w:rPr>
        <w:t xml:space="preserve">الخمس (رسالة في)، ج 7، ص 160.</w:t>
      </w:r>
    </w:p>
    <w:p>
      <w:pPr>
        <w:pStyle w:val="Heading2"/>
      </w:pPr>
      <w:bookmarkStart w:id="3732" w:name="_Toc2834"/>
      <w:r>
        <w:t>حسيني ، محمّد، قرن 14</w:t>
      </w:r>
      <w:bookmarkEnd w:id="3732"/>
    </w:p>
    <w:p>
      <w:pPr>
        <w:pStyle w:val="BookText"/>
      </w:pPr>
      <w:r>
        <w:rPr>
          <w:rFonts w:ascii="IRNazanin" w:hAnsi="IRNazanin" w:eastAsia="IRNazanin" w:cs="IRNazanin"/>
          <w:lang w:bidi="fa-IR"/>
          <w:color w:val="111111"/>
          <w:sz w:val="28"/>
          <w:szCs w:val="28"/>
          <w:rtl/>
        </w:rPr>
        <w:t xml:space="preserve">تاریخ کرمان (مختصر)، ج 3، ص 589.</w:t>
      </w:r>
    </w:p>
    <w:p>
      <w:pPr>
        <w:pStyle w:val="Heading2"/>
      </w:pPr>
      <w:bookmarkStart w:id="3733" w:name="_Toc2835"/>
      <w:r>
        <w:t>حسيني ، محمّد</w:t>
      </w:r>
      <w:bookmarkEnd w:id="3733"/>
    </w:p>
    <w:p>
      <w:pPr>
        <w:pStyle w:val="BookText"/>
      </w:pPr>
      <w:r>
        <w:rPr>
          <w:rFonts w:ascii="Amiri" w:hAnsi="Amiri" w:eastAsia="Amiri" w:cs="Amiri"/>
          <w:lang w:bidi="ar-SA"/>
          <w:color w:val="111111"/>
          <w:sz w:val="28"/>
          <w:szCs w:val="28"/>
          <w:rtl/>
        </w:rPr>
        <w:t xml:space="preserve">تشريح مقدمات التوضيج ج4،</w:t>
      </w:r>
    </w:p>
    <w:p>
      <w:pPr>
        <w:pStyle w:val="BookText"/>
      </w:pPr>
      <w:r>
        <w:rPr>
          <w:rFonts w:ascii="IRNazanin" w:hAnsi="IRNazanin" w:eastAsia="IRNazanin" w:cs="IRNazanin"/>
          <w:lang w:bidi="fa-IR"/>
          <w:color w:val="111111"/>
          <w:sz w:val="28"/>
          <w:szCs w:val="28"/>
          <w:rtl/>
        </w:rPr>
        <w:t xml:space="preserve">ص 379.</w:t>
      </w:r>
    </w:p>
    <w:p>
      <w:pPr>
        <w:pStyle w:val="Heading2"/>
      </w:pPr>
      <w:bookmarkStart w:id="3734" w:name="_Toc2836"/>
      <w:r>
        <w:t>حسيني ، محمّد ابراهیم قرن 11 ه-</w:t>
      </w:r>
      <w:bookmarkEnd w:id="3734"/>
    </w:p>
    <w:p>
      <w:pPr>
        <w:pStyle w:val="BookText"/>
      </w:pPr>
      <w:r>
        <w:rPr>
          <w:rFonts w:ascii="Amiri" w:hAnsi="Amiri" w:eastAsia="Amiri" w:cs="Amiri"/>
          <w:lang w:bidi="ar-SA"/>
          <w:color w:val="111111"/>
          <w:sz w:val="28"/>
          <w:szCs w:val="28"/>
          <w:rtl/>
        </w:rPr>
        <w:t xml:space="preserve">منهاج المبتدئين، ج 15، ص 776.</w:t>
      </w:r>
    </w:p>
    <w:p>
      <w:pPr>
        <w:pStyle w:val="Heading2"/>
      </w:pPr>
      <w:bookmarkStart w:id="3735" w:name="_Toc2837"/>
      <w:r>
        <w:t>حسيني ، محمّد الدين</w:t>
      </w:r>
      <w:bookmarkEnd w:id="3735"/>
    </w:p>
    <w:p>
      <w:pPr>
        <w:pStyle w:val="BookText"/>
      </w:pPr>
      <w:r>
        <w:rPr>
          <w:rFonts w:ascii="Amiri" w:hAnsi="Amiri" w:eastAsia="Amiri" w:cs="Amiri"/>
          <w:lang w:bidi="ar-SA"/>
          <w:color w:val="111111"/>
          <w:sz w:val="28"/>
          <w:szCs w:val="28"/>
          <w:rtl/>
        </w:rPr>
        <w:t xml:space="preserve">زينة المجالس، ج8، ص 664.</w:t>
      </w:r>
    </w:p>
    <w:p>
      <w:pPr>
        <w:pStyle w:val="BookText"/>
      </w:pPr>
      <w:r>
        <w:rPr>
          <w:rFonts w:ascii="Amiri" w:hAnsi="Amiri" w:eastAsia="Amiri" w:cs="Amiri"/>
          <w:lang w:bidi="ar-SA"/>
          <w:color w:val="111111"/>
          <w:sz w:val="28"/>
          <w:szCs w:val="28"/>
          <w:rtl/>
        </w:rPr>
        <w:t xml:space="preserve">حسيني ، محمّد امين -بغدادي ، محمّد</w:t>
      </w:r>
    </w:p>
    <w:p>
      <w:pPr>
        <w:pStyle w:val="BookText"/>
      </w:pPr>
      <w:r>
        <w:rPr>
          <w:rFonts w:ascii="IRNazanin" w:hAnsi="IRNazanin" w:eastAsia="IRNazanin" w:cs="IRNazanin"/>
          <w:lang w:bidi="fa-IR"/>
          <w:color w:val="111111"/>
          <w:sz w:val="28"/>
          <w:szCs w:val="28"/>
          <w:rtl/>
        </w:rPr>
        <w:t xml:space="preserve">امین</w:t>
      </w:r>
    </w:p>
    <w:p>
      <w:pPr>
        <w:pStyle w:val="BookText"/>
      </w:pPr>
      <w:r>
        <w:rPr>
          <w:rFonts w:ascii="IRNazanin" w:hAnsi="IRNazanin" w:eastAsia="IRNazanin" w:cs="IRNazanin"/>
          <w:lang w:bidi="fa-IR"/>
          <w:color w:val="111111"/>
          <w:sz w:val="28"/>
          <w:szCs w:val="28"/>
          <w:rtl/>
        </w:rPr>
        <w:t xml:space="preserve">حسيني ، محمّد باقر -میرداماد ، محمّد</w:t>
      </w:r>
    </w:p>
    <w:p>
      <w:pPr>
        <w:pStyle w:val="BookText"/>
      </w:pPr>
      <w:r>
        <w:rPr>
          <w:rFonts w:ascii="IRNazanin" w:hAnsi="IRNazanin" w:eastAsia="IRNazanin" w:cs="IRNazanin"/>
          <w:lang w:bidi="fa-IR"/>
          <w:color w:val="111111"/>
          <w:sz w:val="28"/>
          <w:szCs w:val="28"/>
          <w:rtl/>
        </w:rPr>
        <w:t xml:space="preserve">باقر بن محمّد</w:t>
      </w:r>
    </w:p>
    <w:p>
      <w:pPr>
        <w:pStyle w:val="Heading2"/>
      </w:pPr>
      <w:bookmarkStart w:id="3736" w:name="_Toc2838"/>
      <w:r>
        <w:t>حسيني ، محمّد باقر بن حيدر -1290ه-</w:t>
      </w:r>
      <w:bookmarkEnd w:id="37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اعانة المبتدئين، ج 2، ص 494.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ألغاز علم النحو، ج2، ص 672.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حدود الفاكهة، ج 6، ص 550.</w:t>
      </w:r>
    </w:p>
    <w:p>
      <w:pPr>
        <w:pStyle w:val="BookText"/>
      </w:pPr>
      <w:r>
        <w:rPr>
          <w:rFonts w:ascii="Amiri" w:hAnsi="Amiri" w:eastAsia="Amiri" w:cs="Amiri"/>
          <w:lang w:bidi="ar-SA"/>
          <w:color w:val="111111"/>
          <w:sz w:val="28"/>
          <w:szCs w:val="28"/>
          <w:rtl/>
        </w:rPr>
        <w:t xml:space="preserve">4 .الدرة البهية في الاصول، ج7،</w:t>
      </w:r>
    </w:p>
    <w:p>
      <w:pPr>
        <w:pStyle w:val="BookText"/>
      </w:pPr>
      <w:r>
        <w:rPr>
          <w:rFonts w:ascii="IRNazanin" w:hAnsi="IRNazanin" w:eastAsia="IRNazanin" w:cs="IRNazanin"/>
          <w:lang w:bidi="fa-IR"/>
          <w:color w:val="111111"/>
          <w:sz w:val="28"/>
          <w:szCs w:val="28"/>
          <w:rtl/>
        </w:rPr>
        <w:t xml:space="preserve">ص 227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2" w:name="pg7742_70195"/>
    <w:bookmarkEnd w:id="402"/>
    <w:p>
      <w:pPr>
        <w:pStyle w:val="BookText"/>
      </w:pPr>
      <w:r>
        <w:rPr>
          <w:rFonts w:ascii="Amiri" w:hAnsi="Amiri" w:eastAsia="Amiri" w:cs="Amiri"/>
          <w:lang w:bidi="ar-SA"/>
          <w:color w:val="111111"/>
          <w:sz w:val="28"/>
          <w:szCs w:val="28"/>
          <w:rtl/>
        </w:rPr>
        <w:t xml:space="preserve">5 .علم النحو (منظومة في)، ج11،</w:t>
      </w:r>
    </w:p>
    <w:p>
      <w:pPr>
        <w:pStyle w:val="BookText"/>
      </w:pPr>
      <w:r>
        <w:rPr>
          <w:rFonts w:ascii="IRNazanin" w:hAnsi="IRNazanin" w:eastAsia="IRNazanin" w:cs="IRNazanin"/>
          <w:lang w:bidi="fa-IR"/>
          <w:color w:val="111111"/>
          <w:sz w:val="28"/>
          <w:szCs w:val="28"/>
          <w:rtl/>
        </w:rPr>
        <w:t xml:space="preserve">ص 264 .</w:t>
      </w:r>
    </w:p>
    <w:p>
      <w:pPr>
        <w:pStyle w:val="BookText"/>
      </w:pPr>
      <w:r>
        <w:rPr>
          <w:rFonts w:ascii="Amiri" w:hAnsi="Amiri" w:eastAsia="Amiri" w:cs="Amiri"/>
          <w:lang w:bidi="ar-SA"/>
          <w:color w:val="111111"/>
          <w:sz w:val="28"/>
          <w:szCs w:val="28"/>
          <w:rtl/>
        </w:rPr>
        <w:t xml:space="preserve">6 .منظومة مئية، ج 15 ، ص 729 .</w:t>
      </w:r>
    </w:p>
    <w:p>
      <w:pPr>
        <w:pStyle w:val="BookText"/>
      </w:pPr>
      <w:r>
        <w:rPr>
          <w:rFonts w:ascii="Amiri" w:hAnsi="Amiri" w:eastAsia="Amiri" w:cs="Amiri"/>
          <w:lang w:bidi="ar-SA"/>
          <w:color w:val="111111"/>
          <w:sz w:val="28"/>
          <w:szCs w:val="28"/>
          <w:rtl/>
        </w:rPr>
        <w:t xml:space="preserve">7 .هداية الطلاب لمعرفة علم الاعراب</w:t>
      </w:r>
    </w:p>
    <w:p>
      <w:pPr>
        <w:pStyle w:val="BookText"/>
      </w:pPr>
      <w:r>
        <w:rPr>
          <w:rFonts w:ascii="IRNazanin" w:hAnsi="IRNazanin" w:eastAsia="IRNazanin" w:cs="IRNazanin"/>
          <w:lang w:bidi="fa-IR"/>
          <w:color w:val="111111"/>
          <w:sz w:val="28"/>
          <w:szCs w:val="28"/>
          <w:rtl/>
        </w:rPr>
        <w:t xml:space="preserve">ج 16، ص 614.</w:t>
      </w:r>
    </w:p>
    <w:p>
      <w:pPr>
        <w:pStyle w:val="BookText"/>
      </w:pPr>
      <w:r>
        <w:rPr>
          <w:rFonts w:ascii="IRNazanin" w:hAnsi="IRNazanin" w:eastAsia="IRNazanin" w:cs="IRNazanin"/>
          <w:lang w:bidi="fa-IR"/>
          <w:color w:val="111111"/>
          <w:sz w:val="28"/>
          <w:szCs w:val="28"/>
          <w:rtl/>
        </w:rPr>
        <w:t xml:space="preserve">حسيني ، محمّد بن ابي تراب- گلستانه</w:t>
      </w:r>
    </w:p>
    <w:p>
      <w:pPr>
        <w:pStyle w:val="BookText"/>
      </w:pPr>
      <w:r>
        <w:rPr>
          <w:rFonts w:ascii="Amiri" w:hAnsi="Amiri" w:eastAsia="Amiri" w:cs="Amiri"/>
          <w:lang w:bidi="ar-SA"/>
          <w:color w:val="111111"/>
          <w:sz w:val="28"/>
          <w:szCs w:val="28"/>
          <w:rtl/>
        </w:rPr>
        <w:t xml:space="preserve">اصفهاني ، محمّد بن ابي تراب</w:t>
      </w:r>
    </w:p>
    <w:p>
      <w:pPr>
        <w:pStyle w:val="BookText"/>
      </w:pPr>
      <w:r>
        <w:rPr>
          <w:rFonts w:ascii="Amiri" w:hAnsi="Amiri" w:eastAsia="Amiri" w:cs="Amiri"/>
          <w:lang w:bidi="ar-SA"/>
          <w:color w:val="111111"/>
          <w:sz w:val="28"/>
          <w:szCs w:val="28"/>
          <w:rtl/>
        </w:rPr>
        <w:t xml:space="preserve">حسيني محمّد بن ابي طالب</w:t>
      </w:r>
    </w:p>
    <w:p>
      <w:pPr>
        <w:pStyle w:val="BookText"/>
      </w:pPr>
      <w:r>
        <w:rPr>
          <w:rFonts w:ascii="Amiri" w:hAnsi="Amiri" w:eastAsia="Amiri" w:cs="Amiri"/>
          <w:lang w:bidi="ar-SA"/>
          <w:color w:val="111111"/>
          <w:sz w:val="28"/>
          <w:szCs w:val="28"/>
          <w:rtl/>
        </w:rPr>
        <w:t xml:space="preserve">، محمّد بن ابي طالب -مجدي ،</w:t>
      </w:r>
    </w:p>
    <w:p>
      <w:pPr>
        <w:pStyle w:val="Heading2"/>
      </w:pPr>
      <w:bookmarkStart w:id="3737" w:name="_Toc2839"/>
      <w:r>
        <w:t>حسيني ، محمّد بن ابي الوفاء قرن 11 ه-</w:t>
      </w:r>
      <w:bookmarkEnd w:id="3737"/>
    </w:p>
    <w:p>
      <w:pPr>
        <w:pStyle w:val="BookText"/>
      </w:pPr>
      <w:r>
        <w:rPr>
          <w:rFonts w:ascii="IRNazanin" w:hAnsi="IRNazanin" w:eastAsia="IRNazanin" w:cs="IRNazanin"/>
          <w:lang w:bidi="fa-IR"/>
          <w:color w:val="111111"/>
          <w:sz w:val="28"/>
          <w:szCs w:val="28"/>
          <w:rtl/>
        </w:rPr>
        <w:t xml:space="preserve">اجازة للشيخ شمس الدین محمّد بن</w:t>
      </w:r>
    </w:p>
    <w:p>
      <w:pPr>
        <w:pStyle w:val="BookText"/>
      </w:pPr>
      <w:r>
        <w:rPr>
          <w:rFonts w:ascii="Amiri" w:hAnsi="Amiri" w:eastAsia="Amiri" w:cs="Amiri"/>
          <w:lang w:bidi="ar-SA"/>
          <w:color w:val="111111"/>
          <w:sz w:val="28"/>
          <w:szCs w:val="28"/>
          <w:rtl/>
        </w:rPr>
        <w:t xml:space="preserve">ابي البركات الشيخ حسين العدوي، ج 1،</w:t>
      </w:r>
    </w:p>
    <w:p>
      <w:pPr>
        <w:pStyle w:val="BookText"/>
      </w:pPr>
      <w:r>
        <w:rPr>
          <w:rFonts w:ascii="IRNazanin" w:hAnsi="IRNazanin" w:eastAsia="IRNazanin" w:cs="IRNazanin"/>
          <w:lang w:bidi="fa-IR"/>
          <w:color w:val="111111"/>
          <w:sz w:val="28"/>
          <w:szCs w:val="28"/>
          <w:rtl/>
        </w:rPr>
        <w:t xml:space="preserve">ص 267.</w:t>
      </w:r>
    </w:p>
    <w:p>
      <w:pPr>
        <w:pStyle w:val="BookText"/>
      </w:pPr>
      <w:r>
        <w:rPr>
          <w:rFonts w:ascii="Amiri" w:hAnsi="Amiri" w:eastAsia="Amiri" w:cs="Amiri"/>
          <w:lang w:bidi="ar-SA"/>
          <w:color w:val="111111"/>
          <w:sz w:val="28"/>
          <w:szCs w:val="28"/>
          <w:rtl/>
        </w:rPr>
        <w:t xml:space="preserve">حسيني ، محمّد بن احمد- ابوالبركات</w:t>
      </w:r>
    </w:p>
    <w:p>
      <w:pPr>
        <w:pStyle w:val="BookText"/>
      </w:pPr>
      <w:r>
        <w:rPr>
          <w:rFonts w:ascii="Amiri" w:hAnsi="Amiri" w:eastAsia="Amiri" w:cs="Amiri"/>
          <w:lang w:bidi="ar-SA"/>
          <w:color w:val="111111"/>
          <w:sz w:val="28"/>
          <w:szCs w:val="28"/>
          <w:rtl/>
        </w:rPr>
        <w:t xml:space="preserve">حسيني ، محمّد بن احمد</w:t>
      </w:r>
    </w:p>
    <w:p>
      <w:pPr>
        <w:pStyle w:val="BookText"/>
      </w:pPr>
      <w:r>
        <w:rPr>
          <w:rFonts w:ascii="Amiri" w:hAnsi="Amiri" w:eastAsia="Amiri" w:cs="Amiri"/>
          <w:lang w:bidi="ar-SA"/>
          <w:color w:val="111111"/>
          <w:sz w:val="28"/>
          <w:szCs w:val="28"/>
          <w:rtl/>
        </w:rPr>
        <w:t xml:space="preserve">حسيني ، محمّد بن احمد-اثري حسيني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حسيني ، محمّد بن امير الحاج-ابن امير</w:t>
      </w:r>
    </w:p>
    <w:p>
      <w:pPr>
        <w:pStyle w:val="BookText"/>
      </w:pPr>
      <w:r>
        <w:rPr>
          <w:rFonts w:ascii="Amiri" w:hAnsi="Amiri" w:eastAsia="Amiri" w:cs="Amiri"/>
          <w:lang w:bidi="ar-SA"/>
          <w:color w:val="111111"/>
          <w:sz w:val="28"/>
          <w:szCs w:val="28"/>
          <w:rtl/>
        </w:rPr>
        <w:t xml:space="preserve">الحاج حسيني ، محمّد بن حسين</w:t>
      </w:r>
    </w:p>
    <w:p>
      <w:pPr>
        <w:pStyle w:val="Heading2"/>
      </w:pPr>
      <w:bookmarkStart w:id="3738" w:name="_Toc2840"/>
      <w:r>
        <w:t>حسيني ، محمّد بن اويس</w:t>
      </w:r>
      <w:bookmarkEnd w:id="3738"/>
    </w:p>
    <w:p>
      <w:pPr>
        <w:pStyle w:val="BookText"/>
      </w:pPr>
      <w:r>
        <w:rPr>
          <w:rFonts w:ascii="IRNazanin" w:hAnsi="IRNazanin" w:eastAsia="IRNazanin" w:cs="IRNazanin"/>
          <w:lang w:bidi="fa-IR"/>
          <w:color w:val="111111"/>
          <w:sz w:val="28"/>
          <w:szCs w:val="28"/>
          <w:rtl/>
        </w:rPr>
        <w:t xml:space="preserve">شرح السلم المرونق، ج9، ص588</w:t>
      </w:r>
    </w:p>
    <w:p>
      <w:pPr>
        <w:pStyle w:val="BookText"/>
      </w:pPr>
      <w:r>
        <w:rPr>
          <w:rFonts w:ascii="Amiri" w:hAnsi="Amiri" w:eastAsia="Amiri" w:cs="Amiri"/>
          <w:lang w:bidi="ar-SA"/>
          <w:color w:val="111111"/>
          <w:sz w:val="28"/>
          <w:szCs w:val="28"/>
          <w:rtl/>
        </w:rPr>
        <w:t xml:space="preserve">حسيني ، محمّد بن حسن- واسطي ،</w:t>
      </w:r>
    </w:p>
    <w:p>
      <w:pPr>
        <w:pStyle w:val="BookText"/>
      </w:pPr>
      <w:r>
        <w:rPr>
          <w:rFonts w:ascii="Amiri" w:hAnsi="Amiri" w:eastAsia="Amiri" w:cs="Amiri"/>
          <w:lang w:bidi="ar-SA"/>
          <w:color w:val="111111"/>
          <w:sz w:val="28"/>
          <w:szCs w:val="28"/>
          <w:rtl/>
        </w:rPr>
        <w:t xml:space="preserve">محمّد بن حسن</w:t>
      </w:r>
    </w:p>
    <w:p>
      <w:pPr>
        <w:pStyle w:val="BookText"/>
      </w:pPr>
      <w:r>
        <w:rPr>
          <w:rFonts w:ascii="IRNazanin" w:hAnsi="IRNazanin" w:eastAsia="IRNazanin" w:cs="IRNazanin"/>
          <w:lang w:bidi="fa-IR"/>
          <w:color w:val="111111"/>
          <w:sz w:val="28"/>
          <w:szCs w:val="28"/>
          <w:rtl/>
        </w:rPr>
        <w:t xml:space="preserve">حسيني ، محمّد بن حسين- فخرالدین</w:t>
      </w:r>
    </w:p>
    <w:p>
      <w:pPr>
        <w:pStyle w:val="BookText"/>
      </w:pPr>
      <w:r>
        <w:rPr>
          <w:rFonts w:ascii="Amiri" w:hAnsi="Amiri" w:eastAsia="Amiri" w:cs="Amiri"/>
          <w:lang w:bidi="ar-SA"/>
          <w:color w:val="111111"/>
          <w:sz w:val="28"/>
          <w:szCs w:val="28"/>
          <w:rtl/>
        </w:rPr>
        <w:t xml:space="preserve">حسيني ، محمّد بن حسين</w:t>
      </w:r>
    </w:p>
    <w:p>
      <w:pPr>
        <w:pStyle w:val="BookText"/>
      </w:pPr>
      <w:r>
        <w:rPr>
          <w:rFonts w:ascii="Amiri" w:hAnsi="Amiri" w:eastAsia="Amiri" w:cs="Amiri"/>
          <w:lang w:bidi="ar-SA"/>
          <w:color w:val="111111"/>
          <w:sz w:val="28"/>
          <w:szCs w:val="28"/>
          <w:rtl/>
        </w:rPr>
        <w:t xml:space="preserve">حسيني ، محمّد بن حمزه- ابن زهرة ،</w:t>
      </w:r>
    </w:p>
    <w:p>
      <w:pPr>
        <w:pStyle w:val="BookText"/>
      </w:pPr>
      <w:r>
        <w:rPr>
          <w:rFonts w:ascii="Amiri" w:hAnsi="Amiri" w:eastAsia="Amiri" w:cs="Amiri"/>
          <w:lang w:bidi="ar-SA"/>
          <w:color w:val="111111"/>
          <w:sz w:val="28"/>
          <w:szCs w:val="28"/>
          <w:rtl/>
        </w:rPr>
        <w:t xml:space="preserve">تاج الدين بن محمّد</w:t>
      </w:r>
    </w:p>
    <w:p>
      <w:pPr>
        <w:pStyle w:val="BookText"/>
      </w:pPr>
      <w:r>
        <w:rPr>
          <w:rFonts w:ascii="Amiri" w:hAnsi="Amiri" w:eastAsia="Amiri" w:cs="Amiri"/>
          <w:lang w:bidi="ar-SA"/>
          <w:color w:val="111111"/>
          <w:sz w:val="28"/>
          <w:szCs w:val="28"/>
          <w:rtl/>
        </w:rPr>
        <w:t xml:space="preserve">حسيني ، محمّد بن شرف الدين- جزائري محمّد بن علي</w:t>
      </w:r>
    </w:p>
    <w:p>
      <w:pPr>
        <w:pStyle w:val="BookText"/>
      </w:pPr>
      <w:r>
        <w:rPr>
          <w:rFonts w:ascii="Amiri" w:hAnsi="Amiri" w:eastAsia="Amiri" w:cs="Amiri"/>
          <w:lang w:bidi="ar-SA"/>
          <w:color w:val="111111"/>
          <w:sz w:val="28"/>
          <w:szCs w:val="28"/>
          <w:rtl/>
        </w:rPr>
        <w:t xml:space="preserve">حسيني ، محمّد بن شريف - جرجاني</w:t>
      </w:r>
    </w:p>
    <w:p>
      <w:pPr>
        <w:pStyle w:val="BookText"/>
      </w:pPr>
      <w:r>
        <w:rPr>
          <w:rFonts w:ascii="Amiri" w:hAnsi="Amiri" w:eastAsia="Amiri" w:cs="Amiri"/>
          <w:lang w:bidi="ar-SA"/>
          <w:color w:val="111111"/>
          <w:sz w:val="28"/>
          <w:szCs w:val="28"/>
          <w:rtl/>
        </w:rPr>
        <w:t xml:space="preserve">محمّد بن علي</w:t>
      </w:r>
    </w:p>
    <w:p>
      <w:pPr>
        <w:pStyle w:val="Heading2"/>
      </w:pPr>
      <w:bookmarkStart w:id="3739" w:name="_Toc2841"/>
      <w:r>
        <w:t>حسيني، محمّد بن عبد الرحيم قرن 11 ه-</w:t>
      </w:r>
      <w:bookmarkEnd w:id="3739"/>
    </w:p>
    <w:p>
      <w:pPr>
        <w:pStyle w:val="BookText"/>
      </w:pPr>
      <w:r>
        <w:rPr>
          <w:rFonts w:ascii="Amiri" w:hAnsi="Amiri" w:eastAsia="Amiri" w:cs="Amiri"/>
          <w:lang w:bidi="ar-SA"/>
          <w:color w:val="111111"/>
          <w:sz w:val="28"/>
          <w:szCs w:val="28"/>
          <w:rtl/>
        </w:rPr>
        <w:t xml:space="preserve">اعمال شهور ثلاثة، ج 2، ص 572.</w:t>
      </w:r>
    </w:p>
    <w:p>
      <w:pPr>
        <w:pStyle w:val="BookText"/>
      </w:pPr>
      <w:r>
        <w:rPr>
          <w:rFonts w:ascii="Amiri" w:hAnsi="Amiri" w:eastAsia="Amiri" w:cs="Amiri"/>
          <w:lang w:bidi="ar-SA"/>
          <w:color w:val="111111"/>
          <w:sz w:val="28"/>
          <w:szCs w:val="28"/>
          <w:rtl/>
        </w:rPr>
        <w:t xml:space="preserve">حسيني ، محمّد بن عبدالله- ابن زهره حلبي ، محمّد بن عبدالله</w:t>
      </w:r>
    </w:p>
    <w:p>
      <w:pPr>
        <w:pStyle w:val="BookText"/>
      </w:pPr>
      <w:r>
        <w:rPr>
          <w:rFonts w:ascii="Amiri" w:hAnsi="Amiri" w:eastAsia="Amiri" w:cs="Amiri"/>
          <w:lang w:bidi="ar-SA"/>
          <w:color w:val="111111"/>
          <w:sz w:val="28"/>
          <w:szCs w:val="28"/>
          <w:rtl/>
        </w:rPr>
        <w:t xml:space="preserve">حسيني ، محمّد بن علي- ابن حمزه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حسيني ، محمّد بن علي- جرجاني ، محمّد</w:t>
      </w:r>
    </w:p>
    <w:p>
      <w:pPr>
        <w:pStyle w:val="BookText"/>
      </w:pPr>
      <w:r>
        <w:rPr>
          <w:rFonts w:ascii="Amiri" w:hAnsi="Amiri" w:eastAsia="Amiri" w:cs="Amiri"/>
          <w:lang w:bidi="ar-SA"/>
          <w:color w:val="111111"/>
          <w:sz w:val="28"/>
          <w:szCs w:val="28"/>
          <w:rtl/>
        </w:rPr>
        <w:t xml:space="preserve">بن علي</w:t>
      </w:r>
    </w:p>
    <w:p>
      <w:pPr>
        <w:pStyle w:val="Heading2"/>
      </w:pPr>
      <w:bookmarkStart w:id="3740" w:name="_Toc2842"/>
      <w:r>
        <w:t>حسيني ، محمّد بن علي بن فضل</w:t>
      </w:r>
      <w:bookmarkEnd w:id="3740"/>
    </w:p>
    <w:p>
      <w:pPr>
        <w:pStyle w:val="BookText"/>
      </w:pPr>
      <w:r>
        <w:rPr>
          <w:rFonts w:ascii="Amiri" w:hAnsi="Amiri" w:eastAsia="Amiri" w:cs="Amiri"/>
          <w:lang w:bidi="ar-SA"/>
          <w:color w:val="111111"/>
          <w:sz w:val="28"/>
          <w:szCs w:val="28"/>
          <w:rtl/>
        </w:rPr>
        <w:t xml:space="preserve">الورود الزهية في مدح خير البرية</w:t>
      </w:r>
    </w:p>
    <w:p>
      <w:pPr>
        <w:pStyle w:val="BookText"/>
      </w:pPr>
      <w:r>
        <w:rPr>
          <w:rFonts w:ascii="IRNazanin" w:hAnsi="IRNazanin" w:eastAsia="IRNazanin" w:cs="IRNazanin"/>
          <w:lang w:bidi="fa-IR"/>
          <w:color w:val="111111"/>
          <w:sz w:val="28"/>
          <w:szCs w:val="28"/>
          <w:rtl/>
        </w:rPr>
        <w:t xml:space="preserve">ج 16، ص 768.</w:t>
      </w:r>
    </w:p>
    <w:p>
      <w:pPr>
        <w:pStyle w:val="Heading2"/>
      </w:pPr>
      <w:bookmarkStart w:id="3741" w:name="_Toc2843"/>
      <w:r>
        <w:t>حسيني ، محمّد بن علي بن محمّد</w:t>
      </w:r>
      <w:bookmarkEnd w:id="3741"/>
    </w:p>
    <w:p>
      <w:pPr>
        <w:pStyle w:val="BookText"/>
      </w:pPr>
      <w:r>
        <w:rPr>
          <w:rFonts w:ascii="Amiri" w:hAnsi="Amiri" w:eastAsia="Amiri" w:cs="Amiri"/>
          <w:lang w:bidi="ar-SA"/>
          <w:color w:val="111111"/>
          <w:sz w:val="28"/>
          <w:szCs w:val="28"/>
          <w:rtl/>
        </w:rPr>
        <w:t xml:space="preserve">علم تفسير ألفاظ القرآن (رسالة في)،</w:t>
      </w:r>
    </w:p>
    <w:p>
      <w:pPr>
        <w:pStyle w:val="BookText"/>
      </w:pPr>
      <w:r>
        <w:rPr>
          <w:rFonts w:ascii="IRNazanin" w:hAnsi="IRNazanin" w:eastAsia="IRNazanin" w:cs="IRNazanin"/>
          <w:lang w:bidi="fa-IR"/>
          <w:color w:val="111111"/>
          <w:sz w:val="28"/>
          <w:szCs w:val="28"/>
          <w:rtl/>
        </w:rPr>
        <w:t xml:space="preserve">ج 11، ص 237.</w:t>
      </w:r>
    </w:p>
    <w:p>
      <w:pPr>
        <w:pStyle w:val="Heading2"/>
      </w:pPr>
      <w:bookmarkStart w:id="3742" w:name="_Toc2844"/>
      <w:r>
        <w:t>حسيني ، محمّد بن قاسم قرن 10 ه-</w:t>
      </w:r>
      <w:bookmarkEnd w:id="3742"/>
    </w:p>
    <w:p>
      <w:pPr>
        <w:pStyle w:val="BookText"/>
      </w:pPr>
      <w:r>
        <w:rPr>
          <w:rFonts w:ascii="Amiri" w:hAnsi="Amiri" w:eastAsia="Amiri" w:cs="Amiri"/>
          <w:lang w:bidi="ar-SA"/>
          <w:color w:val="111111"/>
          <w:sz w:val="28"/>
          <w:szCs w:val="28"/>
          <w:rtl/>
        </w:rPr>
        <w:t xml:space="preserve">شرح العزي في التصريف، ج 9، ص 706.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3" w:name="pg7742_70197"/>
    <w:bookmarkEnd w:id="403"/>
    <w:p>
      <w:pPr>
        <w:pStyle w:val="Heading2"/>
      </w:pPr>
      <w:bookmarkStart w:id="3743" w:name="_Toc2845"/>
      <w:r>
        <w:t>حسيني، محمّد بن محمّد باقر، قرن 12 ه-</w:t>
      </w:r>
      <w:bookmarkEnd w:id="3743"/>
    </w:p>
    <w:p>
      <w:pPr>
        <w:pStyle w:val="BookText"/>
      </w:pPr>
      <w:r>
        <w:rPr>
          <w:rFonts w:ascii="Amiri" w:hAnsi="Amiri" w:eastAsia="Amiri" w:cs="Amiri"/>
          <w:lang w:bidi="ar-SA"/>
          <w:color w:val="111111"/>
          <w:sz w:val="28"/>
          <w:szCs w:val="28"/>
          <w:rtl/>
        </w:rPr>
        <w:t xml:space="preserve">1 .تاريخ الائمة، ج 3، ص 541</w:t>
      </w:r>
    </w:p>
    <w:p>
      <w:pPr>
        <w:pStyle w:val="BookText"/>
      </w:pPr>
      <w:r>
        <w:rPr>
          <w:rFonts w:ascii="Amiri" w:hAnsi="Amiri" w:eastAsia="Amiri" w:cs="Amiri"/>
          <w:lang w:bidi="ar-SA"/>
          <w:color w:val="111111"/>
          <w:sz w:val="28"/>
          <w:szCs w:val="28"/>
          <w:rtl/>
        </w:rPr>
        <w:t xml:space="preserve">2 .تحفة العروض فى لطف العروض</w:t>
      </w:r>
    </w:p>
    <w:p>
      <w:pPr>
        <w:pStyle w:val="BookText"/>
      </w:pPr>
      <w:r>
        <w:rPr>
          <w:rFonts w:ascii="IRNazanin" w:hAnsi="IRNazanin" w:eastAsia="IRNazanin" w:cs="IRNazanin"/>
          <w:lang w:bidi="fa-IR"/>
          <w:color w:val="111111"/>
          <w:sz w:val="28"/>
          <w:szCs w:val="28"/>
          <w:rtl/>
        </w:rPr>
        <w:t xml:space="preserve">ج 3، ص 869.</w:t>
      </w:r>
    </w:p>
    <w:p>
      <w:pPr>
        <w:pStyle w:val="BookText"/>
      </w:pPr>
      <w:r>
        <w:rPr>
          <w:rFonts w:ascii="Amiri" w:hAnsi="Amiri" w:eastAsia="Amiri" w:cs="Amiri"/>
          <w:lang w:bidi="ar-SA"/>
          <w:color w:val="111111"/>
          <w:sz w:val="28"/>
          <w:szCs w:val="28"/>
          <w:rtl/>
        </w:rPr>
        <w:t xml:space="preserve">حسيني ، محمّد بن مصطفى- علوي</w:t>
      </w:r>
    </w:p>
    <w:p>
      <w:pPr>
        <w:pStyle w:val="BookText"/>
      </w:pPr>
      <w:r>
        <w:rPr>
          <w:rFonts w:ascii="IRNazanin" w:hAnsi="IRNazanin" w:eastAsia="IRNazanin" w:cs="IRNazanin"/>
          <w:lang w:bidi="fa-IR"/>
          <w:color w:val="111111"/>
          <w:sz w:val="28"/>
          <w:szCs w:val="28"/>
          <w:rtl/>
        </w:rPr>
        <w:t xml:space="preserve">محمّد بن مصطفى</w:t>
      </w:r>
    </w:p>
    <w:p>
      <w:pPr>
        <w:pStyle w:val="Heading2"/>
      </w:pPr>
      <w:bookmarkStart w:id="3744" w:name="_Toc2846"/>
      <w:r>
        <w:t>حسيني ، محمّد بن مصطفى قرن 13 ه-</w:t>
      </w:r>
      <w:bookmarkEnd w:id="3744"/>
    </w:p>
    <w:p>
      <w:pPr>
        <w:pStyle w:val="BookText"/>
      </w:pPr>
      <w:r>
        <w:rPr>
          <w:rFonts w:ascii="Amiri" w:hAnsi="Amiri" w:eastAsia="Amiri" w:cs="Amiri"/>
          <w:lang w:bidi="ar-SA"/>
          <w:color w:val="111111"/>
          <w:sz w:val="28"/>
          <w:szCs w:val="28"/>
          <w:rtl/>
        </w:rPr>
        <w:t xml:space="preserve">التصريف (منظومة في)، ج4، ص 412.</w:t>
      </w:r>
    </w:p>
    <w:p>
      <w:pPr>
        <w:pStyle w:val="BookText"/>
      </w:pPr>
      <w:r>
        <w:rPr>
          <w:rFonts w:ascii="Amiri" w:hAnsi="Amiri" w:eastAsia="Amiri" w:cs="Amiri"/>
          <w:lang w:bidi="ar-SA"/>
          <w:color w:val="111111"/>
          <w:sz w:val="28"/>
          <w:szCs w:val="28"/>
          <w:rtl/>
        </w:rPr>
        <w:t xml:space="preserve">حسيني ، محمّد بن منصور -دشتكي شيرازي ، صدر الدين ثاني محمّد بن منصور</w:t>
      </w:r>
    </w:p>
    <w:p>
      <w:pPr>
        <w:pStyle w:val="Heading2"/>
      </w:pPr>
      <w:bookmarkStart w:id="3745" w:name="_Toc2847"/>
      <w:r>
        <w:t>حسيني، محمّد بن موسى - 1065 ه-</w:t>
      </w:r>
      <w:bookmarkEnd w:id="3745"/>
    </w:p>
    <w:p>
      <w:pPr>
        <w:pStyle w:val="BookText"/>
      </w:pPr>
      <w:r>
        <w:rPr>
          <w:rFonts w:ascii="Amiri" w:hAnsi="Amiri" w:eastAsia="Amiri" w:cs="Amiri"/>
          <w:lang w:bidi="ar-SA"/>
          <w:color w:val="111111"/>
          <w:sz w:val="28"/>
          <w:szCs w:val="28"/>
          <w:rtl/>
        </w:rPr>
        <w:t xml:space="preserve">نبذة في علم القيافة، ج 16، ص 111.</w:t>
      </w:r>
    </w:p>
    <w:p>
      <w:pPr>
        <w:pStyle w:val="BookText"/>
      </w:pPr>
      <w:r>
        <w:rPr>
          <w:rFonts w:ascii="Amiri" w:hAnsi="Amiri" w:eastAsia="Amiri" w:cs="Amiri"/>
          <w:lang w:bidi="ar-SA"/>
          <w:color w:val="111111"/>
          <w:sz w:val="28"/>
          <w:szCs w:val="28"/>
          <w:rtl/>
        </w:rPr>
        <w:t xml:space="preserve">حسيني ، محمّد بن نصيرالدين جعفر -مكي حسيني ، محمّد بن نصيرالدين</w:t>
      </w:r>
    </w:p>
    <w:p>
      <w:pPr>
        <w:pStyle w:val="BookText"/>
      </w:pPr>
      <w:r>
        <w:rPr>
          <w:rFonts w:ascii="IRNazanin" w:hAnsi="IRNazanin" w:eastAsia="IRNazanin" w:cs="IRNazanin"/>
          <w:lang w:bidi="fa-IR"/>
          <w:color w:val="111111"/>
          <w:sz w:val="28"/>
          <w:szCs w:val="28"/>
          <w:rtl/>
        </w:rPr>
        <w:t xml:space="preserve">جعفر</w:t>
      </w:r>
    </w:p>
    <w:p>
      <w:pPr>
        <w:pStyle w:val="Heading2"/>
      </w:pPr>
      <w:bookmarkStart w:id="3746" w:name="_Toc2848"/>
      <w:r>
        <w:t>حسيني ، محمّد بن هادي</w:t>
      </w:r>
      <w:bookmarkEnd w:id="3746"/>
    </w:p>
    <w:p>
      <w:pPr>
        <w:pStyle w:val="BookText"/>
      </w:pPr>
      <w:r>
        <w:rPr>
          <w:rFonts w:ascii="IRNazanin" w:hAnsi="IRNazanin" w:eastAsia="IRNazanin" w:cs="IRNazanin"/>
          <w:lang w:bidi="fa-IR"/>
          <w:color w:val="111111"/>
          <w:sz w:val="28"/>
          <w:szCs w:val="28"/>
          <w:rtl/>
        </w:rPr>
        <w:t xml:space="preserve">الحساب، ج 6، ص 638.</w:t>
      </w:r>
    </w:p>
    <w:p>
      <w:pPr>
        <w:pStyle w:val="BookText"/>
      </w:pPr>
      <w:r>
        <w:rPr>
          <w:rFonts w:ascii="Amiri" w:hAnsi="Amiri" w:eastAsia="Amiri" w:cs="Amiri"/>
          <w:lang w:bidi="ar-SA"/>
          <w:color w:val="111111"/>
          <w:sz w:val="28"/>
          <w:szCs w:val="28"/>
          <w:rtl/>
        </w:rPr>
        <w:t xml:space="preserve">حسيني ، محمّد بن يوسف -غمام همداني</w:t>
      </w:r>
    </w:p>
    <w:p>
      <w:pPr>
        <w:pStyle w:val="BookText"/>
      </w:pPr>
      <w:r>
        <w:rPr>
          <w:rFonts w:ascii="Amiri" w:hAnsi="Amiri" w:eastAsia="Amiri" w:cs="Amiri"/>
          <w:lang w:bidi="ar-SA"/>
          <w:color w:val="111111"/>
          <w:sz w:val="28"/>
          <w:szCs w:val="28"/>
          <w:rtl/>
        </w:rPr>
        <w:t xml:space="preserve">، محمّد بن يوسف</w:t>
      </w:r>
    </w:p>
    <w:p>
      <w:pPr>
        <w:pStyle w:val="BookText"/>
      </w:pPr>
      <w:r>
        <w:rPr>
          <w:rFonts w:ascii="IRNazanin" w:hAnsi="IRNazanin" w:eastAsia="IRNazanin" w:cs="IRNazanin"/>
          <w:lang w:bidi="fa-IR"/>
          <w:color w:val="111111"/>
          <w:sz w:val="28"/>
          <w:szCs w:val="28"/>
          <w:rtl/>
        </w:rPr>
        <w:t xml:space="preserve">حسيني ، محمّد بن یوسف- گیسو دراز ،</w:t>
      </w:r>
    </w:p>
    <w:p>
      <w:pPr>
        <w:pStyle w:val="BookText"/>
      </w:pPr>
      <w:r>
        <w:rPr>
          <w:rFonts w:ascii="Amiri" w:hAnsi="Amiri" w:eastAsia="Amiri" w:cs="Amiri"/>
          <w:lang w:bidi="ar-SA"/>
          <w:color w:val="111111"/>
          <w:sz w:val="28"/>
          <w:szCs w:val="28"/>
          <w:rtl/>
        </w:rPr>
        <w:t xml:space="preserve">محمّد بن يوسف</w:t>
      </w:r>
    </w:p>
    <w:p>
      <w:pPr>
        <w:pStyle w:val="Heading2"/>
      </w:pPr>
      <w:bookmarkStart w:id="3747" w:name="_Toc2849"/>
      <w:r>
        <w:t>حسيني ، محمّد بن يوسف</w:t>
      </w:r>
      <w:bookmarkEnd w:id="3747"/>
    </w:p>
    <w:p>
      <w:pPr>
        <w:pStyle w:val="BookText"/>
      </w:pPr>
      <w:r>
        <w:rPr>
          <w:rFonts w:ascii="IRNazanin" w:hAnsi="IRNazanin" w:eastAsia="IRNazanin" w:cs="IRNazanin"/>
          <w:lang w:bidi="fa-IR"/>
          <w:color w:val="111111"/>
          <w:sz w:val="28"/>
          <w:szCs w:val="28"/>
          <w:rtl/>
        </w:rPr>
        <w:t xml:space="preserve">شرح مختصر المنطق، ج 10، ص 125.</w:t>
      </w:r>
    </w:p>
    <w:p>
      <w:pPr>
        <w:pStyle w:val="BookText"/>
      </w:pPr>
      <w:r>
        <w:rPr>
          <w:rFonts w:ascii="Amiri" w:hAnsi="Amiri" w:eastAsia="Amiri" w:cs="Amiri"/>
          <w:lang w:bidi="ar-SA"/>
          <w:color w:val="111111"/>
          <w:sz w:val="28"/>
          <w:szCs w:val="28"/>
          <w:rtl/>
        </w:rPr>
        <w:t xml:space="preserve">حسيني ، محمّد تقي بن احمد -طالقاني</w:t>
      </w:r>
    </w:p>
    <w:p>
      <w:pPr>
        <w:pStyle w:val="BookText"/>
      </w:pPr>
      <w:r>
        <w:rPr>
          <w:rFonts w:ascii="Amiri" w:hAnsi="Amiri" w:eastAsia="Amiri" w:cs="Amiri"/>
          <w:lang w:bidi="ar-SA"/>
          <w:color w:val="111111"/>
          <w:sz w:val="28"/>
          <w:szCs w:val="28"/>
          <w:rtl/>
        </w:rPr>
        <w:t xml:space="preserve">محمّد تقي بن احمد</w:t>
      </w:r>
    </w:p>
    <w:p>
      <w:pPr>
        <w:pStyle w:val="Heading2"/>
      </w:pPr>
      <w:bookmarkStart w:id="3748" w:name="_Toc2850"/>
      <w:r>
        <w:t>حسيني ، محمّد جعفر بن احمد 1301 -</w:t>
      </w:r>
      <w:bookmarkEnd w:id="3748"/>
    </w:p>
    <w:p>
      <w:pPr>
        <w:pStyle w:val="BookText"/>
      </w:pPr>
      <w:r>
        <w:rPr>
          <w:rFonts w:ascii="IRNazanin" w:hAnsi="IRNazanin" w:eastAsia="IRNazanin" w:cs="IRNazanin"/>
          <w:lang w:bidi="fa-IR"/>
          <w:color w:val="111111"/>
          <w:sz w:val="28"/>
          <w:szCs w:val="28"/>
          <w:rtl/>
        </w:rPr>
        <w:t xml:space="preserve">1477 ه-</w:t>
      </w:r>
    </w:p>
    <w:p>
      <w:pPr>
        <w:pStyle w:val="BookText"/>
      </w:pPr>
      <w:r>
        <w:rPr>
          <w:rFonts w:ascii="Amiri" w:hAnsi="Amiri" w:eastAsia="Amiri" w:cs="Amiri"/>
          <w:lang w:bidi="ar-SA"/>
          <w:color w:val="111111"/>
          <w:sz w:val="28"/>
          <w:szCs w:val="28"/>
          <w:rtl/>
        </w:rPr>
        <w:t xml:space="preserve">قلائد اللآلي، ج 12، ص 763.</w:t>
      </w:r>
    </w:p>
    <w:p>
      <w:pPr>
        <w:pStyle w:val="Heading2"/>
      </w:pPr>
      <w:bookmarkStart w:id="3749" w:name="_Toc2851"/>
      <w:r>
        <w:t>حسيني، محمّد جعفر بن علي، قرن 12 ه-</w:t>
      </w:r>
      <w:bookmarkEnd w:id="3749"/>
    </w:p>
    <w:p>
      <w:pPr>
        <w:pStyle w:val="BookText"/>
      </w:pPr>
      <w:r>
        <w:rPr>
          <w:rFonts w:ascii="IRNazanin" w:hAnsi="IRNazanin" w:eastAsia="IRNazanin" w:cs="IRNazanin"/>
          <w:lang w:bidi="fa-IR"/>
          <w:color w:val="111111"/>
          <w:sz w:val="28"/>
          <w:szCs w:val="28"/>
          <w:rtl/>
        </w:rPr>
        <w:t xml:space="preserve">احادیث، ج1، ص391.</w:t>
      </w:r>
    </w:p>
    <w:p>
      <w:pPr>
        <w:pStyle w:val="Heading2"/>
      </w:pPr>
      <w:bookmarkStart w:id="3750" w:name="_Toc2852"/>
      <w:r>
        <w:t>حسيني محمّد جواد بن حسين قرن 13ه-</w:t>
      </w:r>
      <w:bookmarkEnd w:id="3750"/>
    </w:p>
    <w:p>
      <w:pPr>
        <w:pStyle w:val="BookText"/>
      </w:pPr>
      <w:r>
        <w:rPr>
          <w:rFonts w:ascii="Amiri" w:hAnsi="Amiri" w:eastAsia="Amiri" w:cs="Amiri"/>
          <w:lang w:bidi="ar-SA"/>
          <w:color w:val="111111"/>
          <w:sz w:val="28"/>
          <w:szCs w:val="28"/>
          <w:rtl/>
        </w:rPr>
        <w:t xml:space="preserve">كنز الكلام في شرح شرائع الاسلام ج 13، ص 432 .</w:t>
      </w:r>
    </w:p>
    <w:p>
      <w:pPr>
        <w:pStyle w:val="Heading2"/>
      </w:pPr>
      <w:bookmarkStart w:id="3751" w:name="_Toc2853"/>
      <w:r>
        <w:t>حسيني، محمّدجواد بن محمّد -1247ه-</w:t>
      </w:r>
      <w:bookmarkEnd w:id="3751"/>
    </w:p>
    <w:p>
      <w:pPr>
        <w:pStyle w:val="BookText"/>
      </w:pPr>
      <w:r>
        <w:rPr>
          <w:rFonts w:ascii="Amiri" w:hAnsi="Amiri" w:eastAsia="Amiri" w:cs="Amiri"/>
          <w:lang w:bidi="ar-SA"/>
          <w:color w:val="111111"/>
          <w:sz w:val="28"/>
          <w:szCs w:val="28"/>
          <w:rtl/>
        </w:rPr>
        <w:t xml:space="preserve">الرسالة الطاعونية، ج8، ص219.</w:t>
      </w:r>
    </w:p>
    <w:p>
      <w:pPr>
        <w:pStyle w:val="Heading2"/>
      </w:pPr>
      <w:bookmarkStart w:id="3752" w:name="_Toc2854"/>
      <w:r>
        <w:t>حسيني ، محمّد حسن</w:t>
      </w:r>
      <w:bookmarkEnd w:id="3752"/>
    </w:p>
    <w:p>
      <w:pPr>
        <w:pStyle w:val="BookText"/>
      </w:pPr>
      <w:r>
        <w:rPr>
          <w:rFonts w:ascii="Amiri" w:hAnsi="Amiri" w:eastAsia="Amiri" w:cs="Amiri"/>
          <w:lang w:bidi="ar-SA"/>
          <w:color w:val="111111"/>
          <w:sz w:val="28"/>
          <w:szCs w:val="28"/>
          <w:rtl/>
        </w:rPr>
        <w:t xml:space="preserve">فتاوى المطابقة، ج 11، ص 626.</w:t>
      </w:r>
    </w:p>
    <w:p>
      <w:pPr>
        <w:pStyle w:val="Heading2"/>
      </w:pPr>
      <w:bookmarkStart w:id="3753" w:name="_Toc2855"/>
      <w:r>
        <w:t>حسيني محمّد حسن بن سمان قرن 14ه-</w:t>
      </w:r>
      <w:bookmarkEnd w:id="3753"/>
    </w:p>
    <w:p>
      <w:pPr>
        <w:pStyle w:val="BookText"/>
      </w:pPr>
      <w:r>
        <w:rPr>
          <w:rFonts w:ascii="Amiri" w:hAnsi="Amiri" w:eastAsia="Amiri" w:cs="Amiri"/>
          <w:lang w:bidi="ar-SA"/>
          <w:color w:val="111111"/>
          <w:sz w:val="28"/>
          <w:szCs w:val="28"/>
          <w:rtl/>
        </w:rPr>
        <w:t xml:space="preserve">1 .تخميس بائية سيدي الشيخ</w:t>
      </w:r>
    </w:p>
    <w:p>
      <w:pPr>
        <w:pStyle w:val="BookText"/>
      </w:pPr>
      <w:r>
        <w:rPr>
          <w:rFonts w:ascii="Amiri" w:hAnsi="Amiri" w:eastAsia="Amiri" w:cs="Amiri"/>
          <w:lang w:bidi="ar-SA"/>
          <w:color w:val="111111"/>
          <w:sz w:val="28"/>
          <w:szCs w:val="28"/>
          <w:rtl/>
        </w:rPr>
        <w:t xml:space="preserve">عبد القادر الكيلاني، ج4، ص 107.</w:t>
      </w:r>
    </w:p>
    <w:p>
      <w:pPr>
        <w:pStyle w:val="BookText"/>
      </w:pPr>
      <w:r>
        <w:rPr>
          <w:rFonts w:ascii="Amiri" w:hAnsi="Amiri" w:eastAsia="Amiri" w:cs="Amiri"/>
          <w:lang w:bidi="ar-SA"/>
          <w:color w:val="111111"/>
          <w:sz w:val="28"/>
          <w:szCs w:val="28"/>
          <w:rtl/>
        </w:rPr>
        <w:t xml:space="preserve">2 .تخميس دعاء سورة يس عليه</w:t>
      </w:r>
    </w:p>
    <w:p>
      <w:pPr>
        <w:pStyle w:val="BookText"/>
      </w:pPr>
      <w:r>
        <w:rPr>
          <w:rFonts w:ascii="IRNazanin" w:hAnsi="IRNazanin" w:eastAsia="IRNazanin" w:cs="IRNazanin"/>
          <w:lang w:bidi="fa-IR"/>
          <w:color w:val="111111"/>
          <w:sz w:val="28"/>
          <w:szCs w:val="28"/>
          <w:rtl/>
        </w:rPr>
        <w:t xml:space="preserve">السلام، ج4، ص108.</w:t>
      </w:r>
    </w:p>
    <w:p>
      <w:pPr>
        <w:pStyle w:val="BookText"/>
      </w:pPr>
      <w:r>
        <w:rPr>
          <w:rFonts w:ascii="Amiri" w:hAnsi="Amiri" w:eastAsia="Amiri" w:cs="Amiri"/>
          <w:lang w:bidi="ar-SA"/>
          <w:color w:val="111111"/>
          <w:sz w:val="28"/>
          <w:szCs w:val="28"/>
          <w:rtl/>
        </w:rPr>
        <w:t xml:space="preserve">3 .الفيض الروحاني في تخميس لامية</w:t>
      </w:r>
    </w:p>
    <w:p>
      <w:pPr>
        <w:pStyle w:val="BookText"/>
      </w:pPr>
      <w:r>
        <w:rPr>
          <w:rFonts w:ascii="Amiri" w:hAnsi="Amiri" w:eastAsia="Amiri" w:cs="Amiri"/>
          <w:lang w:bidi="ar-SA"/>
          <w:color w:val="111111"/>
          <w:sz w:val="28"/>
          <w:szCs w:val="28"/>
          <w:rtl/>
        </w:rPr>
        <w:t xml:space="preserve">الكيلاني، ج 12، ص309.</w:t>
      </w:r>
    </w:p>
    <w:p>
      <w:pPr>
        <w:pStyle w:val="BookText"/>
      </w:pPr>
      <w:r>
        <w:rPr>
          <w:rFonts w:ascii="Amiri" w:hAnsi="Amiri" w:eastAsia="Amiri" w:cs="Amiri"/>
          <w:lang w:bidi="ar-SA"/>
          <w:color w:val="111111"/>
          <w:sz w:val="28"/>
          <w:szCs w:val="28"/>
          <w:rtl/>
        </w:rPr>
        <w:t xml:space="preserve">4 .نفيسة التخميس في حضرة</w:t>
      </w:r>
    </w:p>
    <w:p>
      <w:pPr>
        <w:pStyle w:val="BookText"/>
      </w:pPr>
      <w:r>
        <w:rPr>
          <w:rFonts w:ascii="Amiri" w:hAnsi="Amiri" w:eastAsia="Amiri" w:cs="Amiri"/>
          <w:lang w:bidi="ar-SA"/>
          <w:color w:val="111111"/>
          <w:sz w:val="28"/>
          <w:szCs w:val="28"/>
          <w:rtl/>
        </w:rPr>
        <w:t xml:space="preserve">التقديس، ج 16، ص 408.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4" w:name="pg7742_70199"/>
    <w:bookmarkEnd w:id="404"/>
    <w:p>
      <w:pPr>
        <w:pStyle w:val="BookText"/>
      </w:pPr>
      <w:r>
        <w:rPr>
          <w:rFonts w:ascii="IRNazanin" w:hAnsi="IRNazanin" w:eastAsia="IRNazanin" w:cs="IRNazanin"/>
          <w:lang w:bidi="fa-IR"/>
          <w:color w:val="111111"/>
          <w:sz w:val="28"/>
          <w:szCs w:val="28"/>
          <w:rtl/>
        </w:rPr>
        <w:t xml:space="preserve">حسيني ، محمّد حسین بن محمّد صالح -خاتون آبادي ، محمّد حسين بن صالح</w:t>
      </w:r>
    </w:p>
    <w:p>
      <w:pPr>
        <w:pStyle w:val="Heading2"/>
      </w:pPr>
      <w:bookmarkStart w:id="3754" w:name="_Toc2856"/>
      <w:r>
        <w:t>حسيني ، محمّد حكيم بن علاء الدوله</w:t>
      </w:r>
      <w:bookmarkEnd w:id="3754"/>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شرح خلاصة الحساب، ج 9، ص 440.</w:t>
      </w:r>
    </w:p>
    <w:p>
      <w:pPr>
        <w:pStyle w:val="BookText"/>
      </w:pPr>
      <w:r>
        <w:rPr>
          <w:rFonts w:ascii="IRNazanin" w:hAnsi="IRNazanin" w:eastAsia="IRNazanin" w:cs="IRNazanin"/>
          <w:lang w:bidi="fa-IR"/>
          <w:color w:val="111111"/>
          <w:sz w:val="28"/>
          <w:szCs w:val="28"/>
          <w:rtl/>
        </w:rPr>
        <w:t xml:space="preserve">حسيني ، ّمحمّد شریف بن ابراهيم - سكوتي زاده ، محمّد شريف بن</w:t>
      </w:r>
    </w:p>
    <w:p>
      <w:pPr>
        <w:pStyle w:val="BookText"/>
      </w:pPr>
      <w:r>
        <w:rPr>
          <w:rFonts w:ascii="Amiri" w:hAnsi="Amiri" w:eastAsia="Amiri" w:cs="Amiri"/>
          <w:lang w:bidi="ar-SA"/>
          <w:color w:val="111111"/>
          <w:sz w:val="28"/>
          <w:szCs w:val="28"/>
          <w:rtl/>
        </w:rPr>
        <w:t xml:space="preserve">ابراهيم</w:t>
      </w:r>
    </w:p>
    <w:p>
      <w:pPr>
        <w:pStyle w:val="BookText"/>
      </w:pPr>
      <w:r>
        <w:rPr>
          <w:rFonts w:ascii="Amiri" w:hAnsi="Amiri" w:eastAsia="Amiri" w:cs="Amiri"/>
          <w:lang w:bidi="ar-SA"/>
          <w:color w:val="111111"/>
          <w:sz w:val="28"/>
          <w:szCs w:val="28"/>
          <w:rtl/>
        </w:rPr>
        <w:t xml:space="preserve">حسيني ، محمّد صالح بن عبدالله -كشفي</w:t>
      </w:r>
    </w:p>
    <w:p>
      <w:pPr>
        <w:pStyle w:val="BookText"/>
      </w:pPr>
      <w:r>
        <w:rPr>
          <w:rFonts w:ascii="Amiri" w:hAnsi="Amiri" w:eastAsia="Amiri" w:cs="Amiri"/>
          <w:lang w:bidi="ar-SA"/>
          <w:color w:val="111111"/>
          <w:sz w:val="28"/>
          <w:szCs w:val="28"/>
          <w:rtl/>
        </w:rPr>
        <w:t xml:space="preserve">ترمذي ، محمّد صالح بن عبدالله</w:t>
      </w:r>
    </w:p>
    <w:p>
      <w:pPr>
        <w:pStyle w:val="BookText"/>
      </w:pPr>
      <w:r>
        <w:rPr>
          <w:rFonts w:ascii="Amiri" w:hAnsi="Amiri" w:eastAsia="Amiri" w:cs="Amiri"/>
          <w:lang w:bidi="ar-SA"/>
          <w:color w:val="111111"/>
          <w:sz w:val="28"/>
          <w:szCs w:val="28"/>
          <w:rtl/>
        </w:rPr>
        <w:t xml:space="preserve">حسيني ، محمّد طاهر بن</w:t>
      </w:r>
    </w:p>
    <w:p>
      <w:pPr>
        <w:pStyle w:val="BookText"/>
      </w:pPr>
      <w:r>
        <w:rPr>
          <w:rFonts w:ascii="Amiri" w:hAnsi="Amiri" w:eastAsia="Amiri" w:cs="Amiri"/>
          <w:lang w:bidi="ar-SA"/>
          <w:color w:val="111111"/>
          <w:sz w:val="28"/>
          <w:szCs w:val="28"/>
          <w:rtl/>
        </w:rPr>
        <w:t xml:space="preserve">معروف برزنجي حسيني ، محمّد طاهر بن معروف</w:t>
      </w:r>
    </w:p>
    <w:p>
      <w:pPr>
        <w:pStyle w:val="BookText"/>
      </w:pPr>
      <w:r>
        <w:rPr>
          <w:rFonts w:ascii="IRNazanin" w:hAnsi="IRNazanin" w:eastAsia="IRNazanin" w:cs="IRNazanin"/>
          <w:lang w:bidi="fa-IR"/>
          <w:color w:val="111111"/>
          <w:sz w:val="28"/>
          <w:szCs w:val="28"/>
          <w:rtl/>
        </w:rPr>
        <w:t xml:space="preserve">ج 13، ص 730.</w:t>
      </w:r>
    </w:p>
    <w:p>
      <w:pPr>
        <w:pStyle w:val="Heading2"/>
      </w:pPr>
      <w:bookmarkStart w:id="3755" w:name="_Toc2857"/>
      <w:r>
        <w:t>حسيني ، محمّد علي بن محمّد جعفر قرن</w:t>
      </w:r>
      <w:bookmarkEnd w:id="3755"/>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أنيس العباد في المبدأ و المعاد، ج 3،</w:t>
      </w:r>
    </w:p>
    <w:p>
      <w:pPr>
        <w:pStyle w:val="BookText"/>
      </w:pPr>
      <w:r>
        <w:rPr>
          <w:rFonts w:ascii="Amiri" w:hAnsi="Amiri" w:eastAsia="Amiri" w:cs="Amiri"/>
          <w:lang w:bidi="ar-SA"/>
          <w:color w:val="111111"/>
          <w:sz w:val="28"/>
          <w:szCs w:val="28"/>
          <w:rtl/>
        </w:rPr>
        <w:t xml:space="preserve">حسيني ، محمّد مؤمن- حكيم مؤمن ،</w:t>
      </w:r>
    </w:p>
    <w:p>
      <w:pPr>
        <w:pStyle w:val="BookText"/>
      </w:pPr>
      <w:r>
        <w:rPr>
          <w:rFonts w:ascii="Amiri" w:hAnsi="Amiri" w:eastAsia="Amiri" w:cs="Amiri"/>
          <w:lang w:bidi="ar-SA"/>
          <w:color w:val="111111"/>
          <w:sz w:val="28"/>
          <w:szCs w:val="28"/>
          <w:rtl/>
        </w:rPr>
        <w:t xml:space="preserve">محمّد مؤمن بن محمّد زمان</w:t>
      </w:r>
    </w:p>
    <w:p>
      <w:pPr>
        <w:pStyle w:val="Heading2"/>
      </w:pPr>
      <w:bookmarkStart w:id="3756" w:name="_Toc2858"/>
      <w:r>
        <w:t>حسيني ، محمّد معروف بن عبدالفتاح</w:t>
      </w:r>
      <w:bookmarkEnd w:id="3756"/>
    </w:p>
    <w:p>
      <w:pPr>
        <w:pStyle w:val="BookText"/>
      </w:pPr>
      <w:r>
        <w:rPr>
          <w:rFonts w:ascii="IRNazanin" w:hAnsi="IRNazanin" w:eastAsia="IRNazanin" w:cs="IRNazanin"/>
          <w:lang w:bidi="fa-IR"/>
          <w:color w:val="111111"/>
          <w:sz w:val="28"/>
          <w:szCs w:val="28"/>
          <w:rtl/>
        </w:rPr>
        <w:t xml:space="preserve">قرن 14</w:t>
      </w:r>
    </w:p>
    <w:p>
      <w:pPr>
        <w:pStyle w:val="BookText"/>
      </w:pPr>
      <w:r>
        <w:rPr>
          <w:rFonts w:ascii="Amiri" w:hAnsi="Amiri" w:eastAsia="Amiri" w:cs="Amiri"/>
          <w:lang w:bidi="ar-SA"/>
          <w:color w:val="111111"/>
          <w:sz w:val="28"/>
          <w:szCs w:val="28"/>
          <w:rtl/>
        </w:rPr>
        <w:t xml:space="preserve">البرهان في شرح العنوان، ج3، ص311.</w:t>
      </w:r>
    </w:p>
    <w:p>
      <w:pPr>
        <w:pStyle w:val="BookText"/>
      </w:pPr>
      <w:r>
        <w:rPr>
          <w:rFonts w:ascii="Amiri" w:hAnsi="Amiri" w:eastAsia="Amiri" w:cs="Amiri"/>
          <w:lang w:bidi="ar-SA"/>
          <w:color w:val="111111"/>
          <w:sz w:val="28"/>
          <w:szCs w:val="28"/>
          <w:rtl/>
        </w:rPr>
        <w:t xml:space="preserve">حسيني ، محمّد مهدي بن علي- رواس</w:t>
      </w:r>
    </w:p>
    <w:p>
      <w:pPr>
        <w:pStyle w:val="BookText"/>
      </w:pPr>
      <w:r>
        <w:rPr>
          <w:rFonts w:ascii="Amiri" w:hAnsi="Amiri" w:eastAsia="Amiri" w:cs="Amiri"/>
          <w:lang w:bidi="ar-SA"/>
          <w:color w:val="111111"/>
          <w:sz w:val="28"/>
          <w:szCs w:val="28"/>
          <w:rtl/>
        </w:rPr>
        <w:t xml:space="preserve">محمّد مهدي بن علي</w:t>
      </w:r>
    </w:p>
    <w:p>
      <w:pPr>
        <w:pStyle w:val="Heading2"/>
      </w:pPr>
      <w:bookmarkStart w:id="3757" w:name="_Toc2859"/>
      <w:r>
        <w:t>حسيني ، محمّد مهدي بن محمّد هاشم</w:t>
      </w:r>
      <w:bookmarkEnd w:id="3757"/>
    </w:p>
    <w:p>
      <w:pPr>
        <w:pStyle w:val="BookText"/>
      </w:pPr>
      <w:r>
        <w:rPr>
          <w:rFonts w:ascii="Amiri" w:hAnsi="Amiri" w:eastAsia="Amiri" w:cs="Amiri"/>
          <w:lang w:bidi="ar-SA"/>
          <w:color w:val="111111"/>
          <w:sz w:val="28"/>
          <w:szCs w:val="28"/>
          <w:rtl/>
        </w:rPr>
        <w:t xml:space="preserve">الدرة الحسينية، ج 7، ص 236.</w:t>
      </w:r>
    </w:p>
    <w:p>
      <w:pPr>
        <w:pStyle w:val="BookText"/>
      </w:pPr>
      <w:r>
        <w:rPr>
          <w:rFonts w:ascii="Amiri" w:hAnsi="Amiri" w:eastAsia="Amiri" w:cs="Amiri"/>
          <w:lang w:bidi="ar-SA"/>
          <w:color w:val="111111"/>
          <w:sz w:val="28"/>
          <w:szCs w:val="28"/>
          <w:rtl/>
        </w:rPr>
        <w:t xml:space="preserve">حسيني ، محّمد مهدي بن</w:t>
      </w:r>
    </w:p>
    <w:p>
      <w:pPr>
        <w:pStyle w:val="BookText"/>
      </w:pPr>
      <w:r>
        <w:rPr>
          <w:rFonts w:ascii="Amiri" w:hAnsi="Amiri" w:eastAsia="Amiri" w:cs="Amiri"/>
          <w:lang w:bidi="ar-SA"/>
          <w:color w:val="111111"/>
          <w:sz w:val="28"/>
          <w:szCs w:val="28"/>
          <w:rtl/>
        </w:rPr>
        <w:t xml:space="preserve">مرتضى -بحر العلوم ، محمّد مهدي بن مرتضى</w:t>
      </w:r>
    </w:p>
    <w:p>
      <w:pPr>
        <w:pStyle w:val="Heading2"/>
      </w:pPr>
      <w:bookmarkStart w:id="3758" w:name="_Toc2860"/>
      <w:r>
        <w:t>حسيني ، محمّد نصير بن رضي الدين قرن</w:t>
      </w:r>
      <w:bookmarkEnd w:id="3758"/>
    </w:p>
    <w:p>
      <w:pPr>
        <w:pStyle w:val="BookText"/>
      </w:pPr>
      <w:r>
        <w:rPr>
          <w:rFonts w:ascii="IRNazanin" w:hAnsi="IRNazanin" w:eastAsia="IRNazanin" w:cs="IRNazanin"/>
          <w:lang w:bidi="fa-IR"/>
          <w:color w:val="111111"/>
          <w:sz w:val="28"/>
          <w:szCs w:val="28"/>
          <w:rtl/>
        </w:rPr>
        <w:t xml:space="preserve">12ه-</w:t>
      </w:r>
    </w:p>
    <w:p>
      <w:pPr>
        <w:pStyle w:val="BookText"/>
      </w:pPr>
      <w:r>
        <w:rPr>
          <w:rFonts w:ascii="IRNazanin" w:hAnsi="IRNazanin" w:eastAsia="IRNazanin" w:cs="IRNazanin"/>
          <w:lang w:bidi="fa-IR"/>
          <w:color w:val="111111"/>
          <w:sz w:val="28"/>
          <w:szCs w:val="28"/>
          <w:rtl/>
        </w:rPr>
        <w:t xml:space="preserve">شیراز نامه، ج 10، ص 457.</w:t>
      </w:r>
    </w:p>
    <w:p>
      <w:pPr>
        <w:pStyle w:val="Heading2"/>
      </w:pPr>
      <w:bookmarkStart w:id="3759" w:name="_Toc2861"/>
      <w:r>
        <w:t>حسيني ، محمّد هاشم قرن 13 ه-</w:t>
      </w:r>
      <w:bookmarkEnd w:id="3759"/>
    </w:p>
    <w:p>
      <w:pPr>
        <w:pStyle w:val="BookText"/>
      </w:pPr>
      <w:r>
        <w:rPr>
          <w:rFonts w:ascii="Amiri" w:hAnsi="Amiri" w:eastAsia="Amiri" w:cs="Amiri"/>
          <w:lang w:bidi="ar-SA"/>
          <w:color w:val="111111"/>
          <w:sz w:val="28"/>
          <w:szCs w:val="28"/>
          <w:rtl/>
        </w:rPr>
        <w:t xml:space="preserve">مبحث «ما أنا قلت الرسالة الانسزكية (رسالة في) = المحاكمة</w:t>
      </w:r>
    </w:p>
    <w:p>
      <w:pPr>
        <w:pStyle w:val="Heading2"/>
      </w:pPr>
      <w:bookmarkStart w:id="3760" w:name="_Toc2862"/>
      <w:r>
        <w:t>حسيني ، محمود بن فياض قرن 11 ه-</w:t>
      </w:r>
      <w:bookmarkEnd w:id="3760"/>
    </w:p>
    <w:p>
      <w:pPr>
        <w:pStyle w:val="BookText"/>
      </w:pPr>
      <w:r>
        <w:rPr>
          <w:rFonts w:ascii="Amiri" w:hAnsi="Amiri" w:eastAsia="Amiri" w:cs="Amiri"/>
          <w:lang w:bidi="ar-SA"/>
          <w:color w:val="111111"/>
          <w:sz w:val="28"/>
          <w:szCs w:val="28"/>
          <w:rtl/>
        </w:rPr>
        <w:t xml:space="preserve">حل عبارة من قواعد الحكم، ج6،</w:t>
      </w:r>
    </w:p>
    <w:p>
      <w:pPr>
        <w:pStyle w:val="BookText"/>
      </w:pPr>
      <w:r>
        <w:rPr>
          <w:rFonts w:ascii="IRNazanin" w:hAnsi="IRNazanin" w:eastAsia="IRNazanin" w:cs="IRNazanin"/>
          <w:lang w:bidi="fa-IR"/>
          <w:color w:val="111111"/>
          <w:sz w:val="28"/>
          <w:szCs w:val="28"/>
          <w:rtl/>
        </w:rPr>
        <w:t xml:space="preserve">ص 785.</w:t>
      </w:r>
    </w:p>
    <w:p>
      <w:pPr>
        <w:pStyle w:val="BookText"/>
      </w:pPr>
      <w:r>
        <w:rPr>
          <w:rFonts w:ascii="IRNazanin" w:hAnsi="IRNazanin" w:eastAsia="IRNazanin" w:cs="IRNazanin"/>
          <w:lang w:bidi="fa-IR"/>
          <w:color w:val="111111"/>
          <w:sz w:val="28"/>
          <w:szCs w:val="28"/>
          <w:rtl/>
        </w:rPr>
        <w:t xml:space="preserve">ص 39.</w:t>
      </w:r>
    </w:p>
    <w:p>
      <w:pPr>
        <w:pStyle w:val="BookText"/>
      </w:pPr>
      <w:r>
        <w:rPr>
          <w:rFonts w:ascii="Amiri" w:hAnsi="Amiri" w:eastAsia="Amiri" w:cs="Amiri"/>
          <w:lang w:bidi="ar-SA"/>
          <w:color w:val="111111"/>
          <w:sz w:val="28"/>
          <w:szCs w:val="28"/>
          <w:rtl/>
        </w:rPr>
        <w:t xml:space="preserve">حسيني ، محمود بن محمّد -حمزاوي ،</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Amiri" w:hAnsi="Amiri" w:eastAsia="Amiri" w:cs="Amiri"/>
          <w:lang w:bidi="ar-SA"/>
          <w:color w:val="111111"/>
          <w:sz w:val="28"/>
          <w:szCs w:val="28"/>
          <w:rtl/>
        </w:rPr>
        <w:t xml:space="preserve">حسيني (مداح) -مداح حسيني</w:t>
      </w:r>
    </w:p>
    <w:p>
      <w:pPr>
        <w:pStyle w:val="Heading2"/>
      </w:pPr>
      <w:bookmarkStart w:id="3761" w:name="_Toc2863"/>
      <w:r>
        <w:t>حسيني مدرس ، حسن بن علي 1210 - 1273 ه-</w:t>
      </w:r>
      <w:bookmarkEnd w:id="3761"/>
    </w:p>
    <w:p>
      <w:pPr>
        <w:pStyle w:val="BookText"/>
      </w:pPr>
      <w:r>
        <w:rPr>
          <w:rFonts w:ascii="IRNazanin" w:hAnsi="IRNazanin" w:eastAsia="IRNazanin" w:cs="IRNazanin"/>
          <w:lang w:bidi="fa-IR"/>
          <w:color w:val="111111"/>
          <w:sz w:val="28"/>
          <w:szCs w:val="28"/>
          <w:rtl/>
        </w:rPr>
        <w:t xml:space="preserve">1 .جوامع الاصول، ج 5 ، ص 520.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مناسك الحج، ج 15 ، ص 503.</w:t>
      </w:r>
    </w:p>
    <w:p>
      <w:pPr>
        <w:pStyle w:val="BookText"/>
      </w:pPr>
      <w:r>
        <w:rPr>
          <w:rFonts w:ascii="Amiri" w:hAnsi="Amiri" w:eastAsia="Amiri" w:cs="Amiri"/>
          <w:lang w:bidi="ar-SA"/>
          <w:color w:val="111111"/>
          <w:sz w:val="28"/>
          <w:szCs w:val="28"/>
          <w:rtl/>
        </w:rPr>
        <w:t xml:space="preserve">3 .نجاة العباد في يوم المعاد (ترجمه)</w:t>
      </w:r>
    </w:p>
    <w:p>
      <w:pPr>
        <w:pStyle w:val="BookText"/>
      </w:pPr>
      <w:r>
        <w:rPr>
          <w:rFonts w:ascii="IRNazanin" w:hAnsi="IRNazanin" w:eastAsia="IRNazanin" w:cs="IRNazanin"/>
          <w:lang w:bidi="fa-IR"/>
          <w:color w:val="111111"/>
          <w:sz w:val="28"/>
          <w:szCs w:val="28"/>
          <w:rtl/>
        </w:rPr>
        <w:t xml:space="preserve">ج 16، ص 150.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5" w:name="pg7742_70201"/>
    <w:bookmarkEnd w:id="405"/>
    <w:p>
      <w:pPr>
        <w:pStyle w:val="BookText"/>
      </w:pPr>
      <w:r>
        <w:rPr>
          <w:rFonts w:ascii="Amiri" w:hAnsi="Amiri" w:eastAsia="Amiri" w:cs="Amiri"/>
          <w:lang w:bidi="ar-SA"/>
          <w:color w:val="111111"/>
          <w:sz w:val="28"/>
          <w:szCs w:val="28"/>
          <w:rtl/>
        </w:rPr>
        <w:t xml:space="preserve">حسيني مدني ، حسن بن علي- ابن ، حسن بن علي</w:t>
      </w:r>
    </w:p>
    <w:p>
      <w:pPr>
        <w:pStyle w:val="Heading2"/>
      </w:pPr>
      <w:bookmarkStart w:id="3762" w:name="_Toc2864"/>
      <w:r>
        <w:t>حسيني مدني ضامن بن شدقم قرن 11ه-</w:t>
      </w:r>
      <w:bookmarkEnd w:id="3762"/>
    </w:p>
    <w:p>
      <w:pPr>
        <w:pStyle w:val="BookText"/>
      </w:pPr>
      <w:r>
        <w:rPr>
          <w:rFonts w:ascii="Amiri" w:hAnsi="Amiri" w:eastAsia="Amiri" w:cs="Amiri"/>
          <w:lang w:bidi="ar-SA"/>
          <w:color w:val="111111"/>
          <w:sz w:val="28"/>
          <w:szCs w:val="28"/>
          <w:rtl/>
        </w:rPr>
        <w:t xml:space="preserve">1 .تحفة الازهار و زلال النهار في نسب ابناء الائمة الاطهار، ج3،</w:t>
      </w:r>
    </w:p>
    <w:p>
      <w:pPr>
        <w:pStyle w:val="BookText"/>
      </w:pPr>
      <w:r>
        <w:rPr>
          <w:rFonts w:ascii="IRNazanin" w:hAnsi="IRNazanin" w:eastAsia="IRNazanin" w:cs="IRNazanin"/>
          <w:lang w:bidi="fa-IR"/>
          <w:color w:val="111111"/>
          <w:sz w:val="28"/>
          <w:szCs w:val="28"/>
          <w:rtl/>
        </w:rPr>
        <w:t xml:space="preserve">ص 796 .</w:t>
      </w:r>
    </w:p>
    <w:p>
      <w:pPr>
        <w:pStyle w:val="BookText"/>
      </w:pPr>
      <w:r>
        <w:rPr>
          <w:rFonts w:ascii="Amiri" w:hAnsi="Amiri" w:eastAsia="Amiri" w:cs="Amiri"/>
          <w:lang w:bidi="ar-SA"/>
          <w:color w:val="111111"/>
          <w:sz w:val="28"/>
          <w:szCs w:val="28"/>
          <w:rtl/>
        </w:rPr>
        <w:t xml:space="preserve">2 .تحفة لب اللباب في ذكر نسب السادة و الانجاب، ج4، ص3.</w:t>
      </w:r>
    </w:p>
    <w:p>
      <w:pPr>
        <w:pStyle w:val="BookText"/>
      </w:pPr>
      <w:r>
        <w:rPr>
          <w:rFonts w:ascii="Amiri" w:hAnsi="Amiri" w:eastAsia="Amiri" w:cs="Amiri"/>
          <w:lang w:bidi="ar-SA"/>
          <w:color w:val="111111"/>
          <w:sz w:val="28"/>
          <w:szCs w:val="28"/>
          <w:rtl/>
        </w:rPr>
        <w:t xml:space="preserve">حسيني مدني ، عبدالرشيد بن عبد الغفور - رشيدي ، عبدالرشيد بن</w:t>
      </w:r>
    </w:p>
    <w:p>
      <w:pPr>
        <w:pStyle w:val="BookText"/>
      </w:pPr>
      <w:r>
        <w:rPr>
          <w:rFonts w:ascii="IRNazanin" w:hAnsi="IRNazanin" w:eastAsia="IRNazanin" w:cs="IRNazanin"/>
          <w:lang w:bidi="fa-IR"/>
          <w:color w:val="111111"/>
          <w:sz w:val="28"/>
          <w:szCs w:val="28"/>
          <w:rtl/>
        </w:rPr>
        <w:t xml:space="preserve">عبد الغفور</w:t>
      </w:r>
    </w:p>
    <w:p>
      <w:pPr>
        <w:pStyle w:val="BookText"/>
      </w:pPr>
      <w:r>
        <w:rPr>
          <w:rFonts w:ascii="Amiri" w:hAnsi="Amiri" w:eastAsia="Amiri" w:cs="Amiri"/>
          <w:lang w:bidi="ar-SA"/>
          <w:color w:val="111111"/>
          <w:sz w:val="28"/>
          <w:szCs w:val="28"/>
          <w:rtl/>
        </w:rPr>
        <w:t xml:space="preserve">حسيني مدني ، محمّد بن يوسف -سمرقندي، محمّد بن يوسف</w:t>
      </w:r>
    </w:p>
    <w:p>
      <w:pPr>
        <w:pStyle w:val="Heading2"/>
      </w:pPr>
      <w:bookmarkStart w:id="3763" w:name="_Toc2865"/>
      <w:r>
        <w:t>حسيني مدني ، مهنا بن سنان - 754 ه-</w:t>
      </w:r>
      <w:bookmarkEnd w:id="3763"/>
    </w:p>
    <w:p>
      <w:pPr>
        <w:pStyle w:val="BookText"/>
      </w:pPr>
      <w:r>
        <w:rPr>
          <w:rFonts w:ascii="IRNazanin" w:hAnsi="IRNazanin" w:eastAsia="IRNazanin" w:cs="IRNazanin"/>
          <w:lang w:bidi="fa-IR"/>
          <w:color w:val="111111"/>
          <w:sz w:val="28"/>
          <w:szCs w:val="28"/>
          <w:rtl/>
        </w:rPr>
        <w:t xml:space="preserve">مسائل استفتاها مهنا بن سنان بن</w:t>
      </w:r>
    </w:p>
    <w:p>
      <w:pPr>
        <w:pStyle w:val="BookText"/>
      </w:pPr>
      <w:r>
        <w:rPr>
          <w:rFonts w:ascii="IRNazanin" w:hAnsi="IRNazanin" w:eastAsia="IRNazanin" w:cs="IRNazanin"/>
          <w:lang w:bidi="fa-IR"/>
          <w:color w:val="111111"/>
          <w:sz w:val="28"/>
          <w:szCs w:val="28"/>
          <w:rtl/>
        </w:rPr>
        <w:t xml:space="preserve">عبدالوهاب، ج 14، ص 435 .</w:t>
      </w:r>
    </w:p>
    <w:p>
      <w:pPr>
        <w:pStyle w:val="Heading2"/>
      </w:pPr>
      <w:bookmarkStart w:id="3764" w:name="_Toc2866"/>
      <w:r>
        <w:t>حسيني مراغي ، عبد الفتاح بن علي</w:t>
      </w:r>
      <w:bookmarkEnd w:id="3764"/>
    </w:p>
    <w:p>
      <w:pPr>
        <w:pStyle w:val="BookText"/>
      </w:pPr>
      <w:r>
        <w:rPr>
          <w:rFonts w:ascii="IRNazanin" w:hAnsi="IRNazanin" w:eastAsia="IRNazanin" w:cs="IRNazanin"/>
          <w:lang w:bidi="fa-IR"/>
          <w:color w:val="111111"/>
          <w:sz w:val="28"/>
          <w:szCs w:val="28"/>
          <w:rtl/>
        </w:rPr>
        <w:t xml:space="preserve">1250ه-</w:t>
      </w:r>
    </w:p>
    <w:p>
      <w:pPr>
        <w:pStyle w:val="BookText"/>
      </w:pPr>
      <w:r>
        <w:rPr>
          <w:rFonts w:ascii="Amiri" w:hAnsi="Amiri" w:eastAsia="Amiri" w:cs="Amiri"/>
          <w:lang w:bidi="ar-SA"/>
          <w:color w:val="111111"/>
          <w:sz w:val="28"/>
          <w:szCs w:val="28"/>
          <w:rtl/>
        </w:rPr>
        <w:t xml:space="preserve">1 .عناوين الاصول، ج11، ص328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الغصب، ج 11، ص 505.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اللقطة، ج13، ص 604.</w:t>
      </w:r>
    </w:p>
    <w:p>
      <w:pPr>
        <w:pStyle w:val="BookText"/>
      </w:pPr>
      <w:r>
        <w:rPr>
          <w:rFonts w:ascii="Amiri" w:hAnsi="Amiri" w:eastAsia="Amiri" w:cs="Amiri"/>
          <w:lang w:bidi="ar-SA"/>
          <w:color w:val="111111"/>
          <w:sz w:val="28"/>
          <w:szCs w:val="28"/>
          <w:rtl/>
        </w:rPr>
        <w:t xml:space="preserve">4 .مناهج = تقريرات الاصول، ج 15 ، - 1248ه-</w:t>
      </w:r>
    </w:p>
    <w:p>
      <w:pPr>
        <w:pStyle w:val="BookText"/>
      </w:pPr>
      <w:r>
        <w:rPr>
          <w:rFonts w:ascii="IRNazanin" w:hAnsi="IRNazanin" w:eastAsia="IRNazanin" w:cs="IRNazanin"/>
          <w:lang w:bidi="fa-IR"/>
          <w:color w:val="111111"/>
          <w:sz w:val="28"/>
          <w:szCs w:val="28"/>
          <w:rtl/>
        </w:rPr>
        <w:t xml:space="preserve">ص 560.</w:t>
      </w:r>
    </w:p>
    <w:p>
      <w:pPr>
        <w:pStyle w:val="BookText"/>
      </w:pPr>
      <w:r>
        <w:rPr>
          <w:rFonts w:ascii="Amiri" w:hAnsi="Amiri" w:eastAsia="Amiri" w:cs="Amiri"/>
          <w:lang w:bidi="ar-SA"/>
          <w:color w:val="111111"/>
          <w:sz w:val="28"/>
          <w:szCs w:val="28"/>
          <w:rtl/>
        </w:rPr>
        <w:t xml:space="preserve">هداية العوام، ج 16، ص 616.</w:t>
      </w:r>
    </w:p>
    <w:p>
      <w:pPr>
        <w:pStyle w:val="Heading2"/>
      </w:pPr>
      <w:bookmarkStart w:id="3765" w:name="_Toc2867"/>
      <w:r>
        <w:t>حسيني ، مرتضى</w:t>
      </w:r>
      <w:bookmarkEnd w:id="3765"/>
    </w:p>
    <w:p>
      <w:pPr>
        <w:pStyle w:val="BookText"/>
      </w:pPr>
      <w:r>
        <w:rPr>
          <w:rFonts w:ascii="Amiri" w:hAnsi="Amiri" w:eastAsia="Amiri" w:cs="Amiri"/>
          <w:lang w:bidi="ar-SA"/>
          <w:color w:val="111111"/>
          <w:sz w:val="28"/>
          <w:szCs w:val="28"/>
          <w:rtl/>
        </w:rPr>
        <w:t xml:space="preserve">أصول الفقه (بحث في)، ج2، ص436 .</w:t>
      </w:r>
    </w:p>
    <w:p>
      <w:pPr>
        <w:pStyle w:val="Heading2"/>
      </w:pPr>
      <w:bookmarkStart w:id="3766" w:name="_Toc2868"/>
      <w:r>
        <w:t>حسيني ، مرتضی قرن 14 ه-</w:t>
      </w:r>
      <w:bookmarkEnd w:id="3766"/>
    </w:p>
    <w:p>
      <w:pPr>
        <w:pStyle w:val="BookText"/>
      </w:pPr>
      <w:r>
        <w:rPr>
          <w:rFonts w:ascii="Amiri" w:hAnsi="Amiri" w:eastAsia="Amiri" w:cs="Amiri"/>
          <w:lang w:bidi="ar-SA"/>
          <w:color w:val="111111"/>
          <w:sz w:val="28"/>
          <w:szCs w:val="28"/>
          <w:rtl/>
        </w:rPr>
        <w:t xml:space="preserve">تبصرة الداعي، ج 3، ص 637.</w:t>
      </w:r>
    </w:p>
    <w:p>
      <w:pPr>
        <w:pStyle w:val="BookText"/>
      </w:pPr>
      <w:r>
        <w:rPr>
          <w:rFonts w:ascii="Amiri" w:hAnsi="Amiri" w:eastAsia="Amiri" w:cs="Amiri"/>
          <w:lang w:bidi="ar-SA"/>
          <w:color w:val="111111"/>
          <w:sz w:val="28"/>
          <w:szCs w:val="28"/>
          <w:rtl/>
        </w:rPr>
        <w:t xml:space="preserve">حسيني مرعشي ، سيّد زين</w:t>
      </w:r>
    </w:p>
    <w:p>
      <w:pPr>
        <w:pStyle w:val="BookText"/>
      </w:pPr>
      <w:r>
        <w:rPr>
          <w:rFonts w:ascii="Amiri" w:hAnsi="Amiri" w:eastAsia="Amiri" w:cs="Amiri"/>
          <w:lang w:bidi="ar-SA"/>
          <w:color w:val="111111"/>
          <w:sz w:val="28"/>
          <w:szCs w:val="28"/>
          <w:rtl/>
        </w:rPr>
        <w:t xml:space="preserve">العابدين- مرعشي شهرستاني، زين العابدين</w:t>
      </w:r>
    </w:p>
    <w:p>
      <w:pPr>
        <w:pStyle w:val="Heading2"/>
      </w:pPr>
      <w:bookmarkStart w:id="3767" w:name="_Toc2869"/>
      <w:r>
        <w:t>حسيني مرعشي ، عبدالرضا بن زين</w:t>
      </w:r>
      <w:bookmarkEnd w:id="3767"/>
    </w:p>
    <w:p>
      <w:pPr>
        <w:pStyle w:val="BookText"/>
      </w:pPr>
      <w:r>
        <w:rPr>
          <w:rFonts w:ascii="Amiri" w:hAnsi="Amiri" w:eastAsia="Amiri" w:cs="Amiri"/>
          <w:lang w:bidi="ar-SA"/>
          <w:color w:val="111111"/>
          <w:sz w:val="28"/>
          <w:szCs w:val="28"/>
          <w:rtl/>
        </w:rPr>
        <w:t xml:space="preserve">العابدين - 1419ه-</w:t>
      </w:r>
    </w:p>
    <w:p>
      <w:pPr>
        <w:pStyle w:val="BookText"/>
      </w:pPr>
      <w:r>
        <w:rPr>
          <w:rFonts w:ascii="Amiri" w:hAnsi="Amiri" w:eastAsia="Amiri" w:cs="Amiri"/>
          <w:lang w:bidi="ar-SA"/>
          <w:color w:val="111111"/>
          <w:sz w:val="28"/>
          <w:szCs w:val="28"/>
          <w:rtl/>
        </w:rPr>
        <w:t xml:space="preserve">الطريق القويم إلى جنة النعيم، ج 10،</w:t>
      </w:r>
    </w:p>
    <w:p>
      <w:pPr>
        <w:pStyle w:val="BookText"/>
      </w:pPr>
      <w:r>
        <w:rPr>
          <w:rFonts w:ascii="IRNazanin" w:hAnsi="IRNazanin" w:eastAsia="IRNazanin" w:cs="IRNazanin"/>
          <w:lang w:bidi="fa-IR"/>
          <w:color w:val="111111"/>
          <w:sz w:val="28"/>
          <w:szCs w:val="28"/>
          <w:rtl/>
        </w:rPr>
        <w:t xml:space="preserve">ص 831.</w:t>
      </w:r>
    </w:p>
    <w:p>
      <w:pPr>
        <w:pStyle w:val="BookText"/>
      </w:pPr>
      <w:r>
        <w:rPr>
          <w:rFonts w:ascii="IRNazanin" w:hAnsi="IRNazanin" w:eastAsia="IRNazanin" w:cs="IRNazanin"/>
          <w:lang w:bidi="fa-IR"/>
          <w:color w:val="111111"/>
          <w:sz w:val="28"/>
          <w:szCs w:val="28"/>
          <w:rtl/>
        </w:rPr>
        <w:t xml:space="preserve">حسيني مرعشي ، محمّد باقر بن محمّد- میرداماد ، محمّد باقر بن محمّد</w:t>
      </w:r>
    </w:p>
    <w:p>
      <w:pPr>
        <w:pStyle w:val="BookText"/>
      </w:pPr>
      <w:r>
        <w:rPr>
          <w:rFonts w:ascii="IRNazanin" w:hAnsi="IRNazanin" w:eastAsia="IRNazanin" w:cs="IRNazanin"/>
          <w:lang w:bidi="fa-IR"/>
          <w:color w:val="111111"/>
          <w:sz w:val="28"/>
          <w:szCs w:val="28"/>
          <w:rtl/>
        </w:rPr>
        <w:t xml:space="preserve">حسيني مرعشي ، محمّد حسین بن محمّد علي- شهرستاني ، محمّد حسين بن محمّد علي</w:t>
      </w:r>
    </w:p>
    <w:p>
      <w:pPr>
        <w:pStyle w:val="Heading2"/>
      </w:pPr>
      <w:bookmarkStart w:id="3768" w:name="_Toc2870"/>
      <w:r>
        <w:t>حسيني مرعشي ، محمّد علي بن محمّد</w:t>
      </w:r>
      <w:bookmarkEnd w:id="3768"/>
    </w:p>
    <w:p>
      <w:pPr>
        <w:pStyle w:val="BookText"/>
      </w:pPr>
      <w:r>
        <w:rPr>
          <w:rFonts w:ascii="IRNazanin" w:hAnsi="IRNazanin" w:eastAsia="IRNazanin" w:cs="IRNazanin"/>
          <w:lang w:bidi="fa-IR"/>
          <w:color w:val="111111"/>
          <w:sz w:val="28"/>
          <w:szCs w:val="28"/>
          <w:rtl/>
        </w:rPr>
        <w:t xml:space="preserve">،خلیل، 1155 ق 12 ه-</w:t>
      </w:r>
    </w:p>
    <w:p>
      <w:pPr>
        <w:pStyle w:val="BookText"/>
      </w:pPr>
      <w:r>
        <w:rPr>
          <w:rFonts w:ascii="Amiri" w:hAnsi="Amiri" w:eastAsia="Amiri" w:cs="Amiri"/>
          <w:lang w:bidi="ar-SA"/>
          <w:color w:val="111111"/>
          <w:sz w:val="28"/>
          <w:szCs w:val="28"/>
          <w:rtl/>
        </w:rPr>
        <w:t xml:space="preserve">كنز الحساب، ج13، ص 406.</w:t>
      </w:r>
    </w:p>
    <w:p>
      <w:pPr>
        <w:pStyle w:val="BookText"/>
      </w:pPr>
      <w:r>
        <w:rPr>
          <w:rFonts w:ascii="IRNazanin" w:hAnsi="IRNazanin" w:eastAsia="IRNazanin" w:cs="IRNazanin"/>
          <w:lang w:bidi="fa-IR"/>
          <w:color w:val="111111"/>
          <w:sz w:val="28"/>
          <w:szCs w:val="28"/>
          <w:rtl/>
        </w:rPr>
        <w:t xml:space="preserve">حسيني مرعشي ، محمود بن سلطان علیخان -معلم ، محمود بن سلطان علیخان</w:t>
      </w:r>
    </w:p>
    <w:p>
      <w:pPr>
        <w:pStyle w:val="BookText"/>
      </w:pPr>
      <w:r>
        <w:rPr>
          <w:rFonts w:ascii="IRNazanin" w:hAnsi="IRNazanin" w:eastAsia="IRNazanin" w:cs="IRNazanin"/>
          <w:lang w:bidi="fa-IR"/>
          <w:color w:val="111111"/>
          <w:sz w:val="28"/>
          <w:szCs w:val="28"/>
          <w:rtl/>
        </w:rPr>
        <w:t xml:space="preserve">حسيني مشهدي ، محمّد حسن بن هدایت</w:t>
      </w:r>
    </w:p>
    <w:p>
      <w:pPr>
        <w:pStyle w:val="BookText"/>
      </w:pPr>
      <w:r>
        <w:rPr>
          <w:rFonts w:ascii="IRNazanin" w:hAnsi="IRNazanin" w:eastAsia="IRNazanin" w:cs="IRNazanin"/>
          <w:lang w:bidi="fa-IR"/>
          <w:color w:val="111111"/>
          <w:sz w:val="28"/>
          <w:szCs w:val="28"/>
          <w:rtl/>
        </w:rPr>
        <w:t xml:space="preserve">الله -عسكري ، محمّد حسن بن هدایت الله</w:t>
      </w:r>
    </w:p>
    <w:p>
      <w:pPr>
        <w:pStyle w:val="Heading2"/>
      </w:pPr>
      <w:bookmarkStart w:id="3769" w:name="_Toc2871"/>
      <w:r>
        <w:t>حسيني مشهدي ، هدايت الله بن مهدي</w:t>
      </w:r>
      <w:bookmarkEnd w:id="3769"/>
    </w:p>
    <w:p>
      <w:pPr>
        <w:pStyle w:val="BookText"/>
      </w:pPr>
      <w:r>
        <w:rPr>
          <w:rFonts w:ascii="Amiri" w:hAnsi="Amiri" w:eastAsia="Amiri" w:cs="Amiri"/>
          <w:lang w:bidi="ar-SA"/>
          <w:color w:val="111111"/>
          <w:sz w:val="28"/>
          <w:szCs w:val="28"/>
          <w:rtl/>
        </w:rPr>
        <w:t xml:space="preserve">حسيني ، مصطفى- نوري حسيني ، مصطفى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6" w:name="pg7742_70204"/>
    <w:bookmarkEnd w:id="406"/>
    <w:p>
      <w:pPr>
        <w:pStyle w:val="Heading2"/>
      </w:pPr>
      <w:bookmarkStart w:id="3770" w:name="_Toc2872"/>
      <w:r>
        <w:t>حسيني ، مصطفى بن محمّد - 1331 ه-</w:t>
      </w:r>
      <w:bookmarkEnd w:id="3770"/>
    </w:p>
    <w:p>
      <w:pPr>
        <w:pStyle w:val="BookText"/>
      </w:pPr>
      <w:r>
        <w:rPr>
          <w:rFonts w:ascii="Amiri" w:hAnsi="Amiri" w:eastAsia="Amiri" w:cs="Amiri"/>
          <w:lang w:bidi="ar-SA"/>
          <w:color w:val="111111"/>
          <w:sz w:val="28"/>
          <w:szCs w:val="28"/>
          <w:rtl/>
        </w:rPr>
        <w:t xml:space="preserve">1 .بلوغ النيل في تفسير آية وأتموا الصيام إلى الليل، ج3، ص 403.</w:t>
      </w:r>
    </w:p>
    <w:p>
      <w:pPr>
        <w:pStyle w:val="BookText"/>
      </w:pPr>
      <w:r>
        <w:rPr>
          <w:rFonts w:ascii="Amiri" w:hAnsi="Amiri" w:eastAsia="Amiri" w:cs="Amiri"/>
          <w:lang w:bidi="ar-SA"/>
          <w:color w:val="111111"/>
          <w:sz w:val="28"/>
          <w:szCs w:val="28"/>
          <w:rtl/>
        </w:rPr>
        <w:t xml:space="preserve">2 .الروض الازهر والمسك الاذفر في تراجم السيّد جعفر، ج8، ص 396.</w:t>
      </w:r>
    </w:p>
    <w:p>
      <w:pPr>
        <w:pStyle w:val="Heading2"/>
      </w:pPr>
      <w:bookmarkStart w:id="3771" w:name="_Toc2873"/>
      <w:r>
        <w:t>حسيني ، مظفر بن جعفر ، قرن 7 ه-</w:t>
      </w:r>
      <w:bookmarkEnd w:id="3771"/>
    </w:p>
    <w:p>
      <w:pPr>
        <w:pStyle w:val="BookText"/>
      </w:pPr>
      <w:r>
        <w:rPr>
          <w:rFonts w:ascii="Amiri" w:hAnsi="Amiri" w:eastAsia="Amiri" w:cs="Amiri"/>
          <w:lang w:bidi="ar-SA"/>
          <w:color w:val="111111"/>
          <w:sz w:val="28"/>
          <w:szCs w:val="28"/>
          <w:rtl/>
        </w:rPr>
        <w:t xml:space="preserve">الرسالة الموضحة، ج8، ص 285.</w:t>
      </w:r>
    </w:p>
    <w:p>
      <w:pPr>
        <w:pStyle w:val="BookText"/>
      </w:pPr>
      <w:r>
        <w:rPr>
          <w:rFonts w:ascii="Amiri" w:hAnsi="Amiri" w:eastAsia="Amiri" w:cs="Amiri"/>
          <w:lang w:bidi="ar-SA"/>
          <w:color w:val="111111"/>
          <w:sz w:val="28"/>
          <w:szCs w:val="28"/>
          <w:rtl/>
        </w:rPr>
        <w:t xml:space="preserve">حسيني ، مظفر بن فضل- علوي حسيني ،</w:t>
      </w:r>
    </w:p>
    <w:p>
      <w:pPr>
        <w:pStyle w:val="BookText"/>
      </w:pPr>
      <w:r>
        <w:rPr>
          <w:rFonts w:ascii="IRNazanin" w:hAnsi="IRNazanin" w:eastAsia="IRNazanin" w:cs="IRNazanin"/>
          <w:lang w:bidi="fa-IR"/>
          <w:color w:val="111111"/>
          <w:sz w:val="28"/>
          <w:szCs w:val="28"/>
          <w:rtl/>
        </w:rPr>
        <w:t xml:space="preserve">مظفر بن فضل</w:t>
      </w:r>
    </w:p>
    <w:p>
      <w:pPr>
        <w:pStyle w:val="BookText"/>
      </w:pPr>
      <w:r>
        <w:rPr>
          <w:rFonts w:ascii="Amiri" w:hAnsi="Amiri" w:eastAsia="Amiri" w:cs="Amiri"/>
          <w:lang w:bidi="ar-SA"/>
          <w:color w:val="111111"/>
          <w:sz w:val="28"/>
          <w:szCs w:val="28"/>
          <w:rtl/>
        </w:rPr>
        <w:t xml:space="preserve">حسيني ، مظفر بن محمّد -شفائي ، مظفر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حسيني مغربي ، احمد بن ادريس- ابن</w:t>
      </w:r>
    </w:p>
    <w:p>
      <w:pPr>
        <w:pStyle w:val="BookText"/>
      </w:pPr>
      <w:r>
        <w:rPr>
          <w:rFonts w:ascii="IRNazanin" w:hAnsi="IRNazanin" w:eastAsia="IRNazanin" w:cs="IRNazanin"/>
          <w:lang w:bidi="fa-IR"/>
          <w:color w:val="111111"/>
          <w:sz w:val="28"/>
          <w:szCs w:val="28"/>
          <w:rtl/>
        </w:rPr>
        <w:t xml:space="preserve">ادريس ، احمد بن ادریس</w:t>
      </w:r>
    </w:p>
    <w:p>
      <w:pPr>
        <w:pStyle w:val="BookText"/>
      </w:pPr>
      <w:r>
        <w:rPr>
          <w:rFonts w:ascii="Amiri" w:hAnsi="Amiri" w:eastAsia="Amiri" w:cs="Amiri"/>
          <w:lang w:bidi="ar-SA"/>
          <w:color w:val="111111"/>
          <w:sz w:val="28"/>
          <w:szCs w:val="28"/>
          <w:rtl/>
        </w:rPr>
        <w:t xml:space="preserve">حسيني مقدسي - ابوالوفاء عراقي ،</w:t>
      </w:r>
    </w:p>
    <w:p>
      <w:pPr>
        <w:pStyle w:val="BookText"/>
      </w:pPr>
      <w:r>
        <w:rPr>
          <w:rFonts w:ascii="Amiri" w:hAnsi="Amiri" w:eastAsia="Amiri" w:cs="Amiri"/>
          <w:lang w:bidi="ar-SA"/>
          <w:color w:val="111111"/>
          <w:sz w:val="28"/>
          <w:szCs w:val="28"/>
          <w:rtl/>
        </w:rPr>
        <w:t xml:space="preserve">ابراهيم بن علي</w:t>
      </w:r>
    </w:p>
    <w:p>
      <w:pPr>
        <w:pStyle w:val="BookText"/>
      </w:pPr>
      <w:r>
        <w:rPr>
          <w:rFonts w:ascii="Amiri" w:hAnsi="Amiri" w:eastAsia="Amiri" w:cs="Amiri"/>
          <w:lang w:bidi="ar-SA"/>
          <w:color w:val="111111"/>
          <w:sz w:val="28"/>
          <w:szCs w:val="28"/>
          <w:rtl/>
        </w:rPr>
        <w:t xml:space="preserve">حسيني مقدسي ، محمّد بن وفاء -ابن</w:t>
      </w:r>
    </w:p>
    <w:p>
      <w:pPr>
        <w:pStyle w:val="BookText"/>
      </w:pPr>
      <w:r>
        <w:rPr>
          <w:rFonts w:ascii="Amiri" w:hAnsi="Amiri" w:eastAsia="Amiri" w:cs="Amiri"/>
          <w:lang w:bidi="ar-SA"/>
          <w:color w:val="111111"/>
          <w:sz w:val="28"/>
          <w:szCs w:val="28"/>
          <w:rtl/>
        </w:rPr>
        <w:t xml:space="preserve">وفائي ، محمّد بن وفاء</w:t>
      </w:r>
    </w:p>
    <w:p>
      <w:pPr>
        <w:pStyle w:val="BookText"/>
      </w:pPr>
      <w:r>
        <w:rPr>
          <w:rFonts w:ascii="Amiri" w:hAnsi="Amiri" w:eastAsia="Amiri" w:cs="Amiri"/>
          <w:lang w:bidi="ar-SA"/>
          <w:color w:val="111111"/>
          <w:sz w:val="28"/>
          <w:szCs w:val="28"/>
          <w:rtl/>
        </w:rPr>
        <w:t xml:space="preserve">حسيني مقريزي ، احمد بن علي- مقريزي الدين علي</w:t>
      </w:r>
    </w:p>
    <w:p>
      <w:pPr>
        <w:pStyle w:val="BookText"/>
      </w:pPr>
      <w:r>
        <w:rPr>
          <w:rFonts w:ascii="Amiri" w:hAnsi="Amiri" w:eastAsia="Amiri" w:cs="Amiri"/>
          <w:lang w:bidi="ar-SA"/>
          <w:color w:val="111111"/>
          <w:sz w:val="28"/>
          <w:szCs w:val="28"/>
          <w:rtl/>
        </w:rPr>
        <w:t xml:space="preserve">، احمد بن علي</w:t>
      </w:r>
    </w:p>
    <w:p>
      <w:pPr>
        <w:pStyle w:val="BookText"/>
      </w:pPr>
      <w:r>
        <w:rPr>
          <w:rFonts w:ascii="IRNazanin" w:hAnsi="IRNazanin" w:eastAsia="IRNazanin" w:cs="IRNazanin"/>
          <w:lang w:bidi="fa-IR"/>
          <w:color w:val="111111"/>
          <w:sz w:val="28"/>
          <w:szCs w:val="28"/>
          <w:rtl/>
        </w:rPr>
        <w:t xml:space="preserve">حسيني مكي ، محمّد بن نصيرالدين جعفر -مكي حسيني ، محمّد بن نصیرالدین جعفر</w:t>
      </w:r>
    </w:p>
    <w:p>
      <w:pPr>
        <w:pStyle w:val="Heading2"/>
      </w:pPr>
      <w:bookmarkStart w:id="3772" w:name="_Toc2874"/>
      <w:r>
        <w:t>حسيني ، ملافيض</w:t>
      </w:r>
      <w:bookmarkEnd w:id="3772"/>
    </w:p>
    <w:p>
      <w:pPr>
        <w:pStyle w:val="BookText"/>
      </w:pPr>
      <w:r>
        <w:rPr>
          <w:rFonts w:ascii="Amiri" w:hAnsi="Amiri" w:eastAsia="Amiri" w:cs="Amiri"/>
          <w:lang w:bidi="ar-SA"/>
          <w:color w:val="111111"/>
          <w:sz w:val="28"/>
          <w:szCs w:val="28"/>
          <w:rtl/>
        </w:rPr>
        <w:t xml:space="preserve">مفاتيح ملا فيض الحسيني، ج15،</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IRNazanin" w:hAnsi="IRNazanin" w:eastAsia="IRNazanin" w:cs="IRNazanin"/>
          <w:lang w:bidi="fa-IR"/>
          <w:color w:val="111111"/>
          <w:sz w:val="28"/>
          <w:szCs w:val="28"/>
          <w:rtl/>
        </w:rPr>
        <w:t xml:space="preserve">حسيني منجم ، محمّد بن محمّد- سید</w:t>
      </w:r>
    </w:p>
    <w:p>
      <w:pPr>
        <w:pStyle w:val="BookText"/>
      </w:pPr>
      <w:r>
        <w:rPr>
          <w:rFonts w:ascii="Amiri" w:hAnsi="Amiri" w:eastAsia="Amiri" w:cs="Amiri"/>
          <w:lang w:bidi="ar-SA"/>
          <w:color w:val="111111"/>
          <w:sz w:val="28"/>
          <w:szCs w:val="28"/>
          <w:rtl/>
        </w:rPr>
        <w:t xml:space="preserve">منجم ، محمّد حسين بن محمّد</w:t>
      </w:r>
    </w:p>
    <w:p>
      <w:pPr>
        <w:pStyle w:val="Heading2"/>
      </w:pPr>
      <w:bookmarkStart w:id="3773" w:name="_Toc2875"/>
      <w:r>
        <w:t>حسيني ، منصور بن محمّد</w:t>
      </w:r>
      <w:bookmarkEnd w:id="3773"/>
    </w:p>
    <w:p>
      <w:pPr>
        <w:pStyle w:val="BookText"/>
      </w:pPr>
      <w:r>
        <w:rPr>
          <w:rFonts w:ascii="Amiri" w:hAnsi="Amiri" w:eastAsia="Amiri" w:cs="Amiri"/>
          <w:lang w:bidi="ar-SA"/>
          <w:color w:val="111111"/>
          <w:sz w:val="28"/>
          <w:szCs w:val="28"/>
          <w:rtl/>
        </w:rPr>
        <w:t xml:space="preserve">1 .مسائل في الحكمة عن البرهان</w:t>
      </w:r>
    </w:p>
    <w:p>
      <w:pPr>
        <w:pStyle w:val="BookText"/>
      </w:pPr>
      <w:r>
        <w:rPr>
          <w:rFonts w:ascii="IRNazanin" w:hAnsi="IRNazanin" w:eastAsia="IRNazanin" w:cs="IRNazanin"/>
          <w:lang w:bidi="fa-IR"/>
          <w:color w:val="111111"/>
          <w:sz w:val="28"/>
          <w:szCs w:val="28"/>
          <w:rtl/>
        </w:rPr>
        <w:t xml:space="preserve">ج 14، ص 471.</w:t>
      </w:r>
    </w:p>
    <w:p>
      <w:pPr>
        <w:pStyle w:val="BookText"/>
      </w:pPr>
      <w:r>
        <w:rPr>
          <w:rFonts w:ascii="Amiri" w:hAnsi="Amiri" w:eastAsia="Amiri" w:cs="Amiri"/>
          <w:lang w:bidi="ar-SA"/>
          <w:color w:val="111111"/>
          <w:sz w:val="28"/>
          <w:szCs w:val="28"/>
          <w:rtl/>
        </w:rPr>
        <w:t xml:space="preserve">2 .المطالب الكشفية، ج 14، ص 763 .</w:t>
      </w:r>
    </w:p>
    <w:p>
      <w:pPr>
        <w:pStyle w:val="BookText"/>
      </w:pPr>
      <w:r>
        <w:rPr>
          <w:rFonts w:ascii="Amiri" w:hAnsi="Amiri" w:eastAsia="Amiri" w:cs="Amiri"/>
          <w:lang w:bidi="ar-SA"/>
          <w:color w:val="111111"/>
          <w:sz w:val="28"/>
          <w:szCs w:val="28"/>
          <w:rtl/>
        </w:rPr>
        <w:t xml:space="preserve">حسيني موسوي ، جعفر بن حسين- موسوي اصفهاني ، جعفر بن حسين</w:t>
      </w:r>
    </w:p>
    <w:p>
      <w:pPr>
        <w:pStyle w:val="Heading2"/>
      </w:pPr>
      <w:bookmarkStart w:id="3774" w:name="_Toc2876"/>
      <w:r>
        <w:t>حسيني موسوي ، محمّد بن ابي طالب قرن 10 ه-</w:t>
      </w:r>
      <w:bookmarkEnd w:id="3774"/>
    </w:p>
    <w:p>
      <w:pPr>
        <w:pStyle w:val="BookText"/>
      </w:pPr>
      <w:r>
        <w:rPr>
          <w:rFonts w:ascii="Amiri" w:hAnsi="Amiri" w:eastAsia="Amiri" w:cs="Amiri"/>
          <w:lang w:bidi="ar-SA"/>
          <w:color w:val="111111"/>
          <w:sz w:val="28"/>
          <w:szCs w:val="28"/>
          <w:rtl/>
        </w:rPr>
        <w:t xml:space="preserve">تسلية المجالس و زينة المجالس ج4،</w:t>
      </w:r>
    </w:p>
    <w:p>
      <w:pPr>
        <w:pStyle w:val="BookText"/>
      </w:pPr>
      <w:r>
        <w:rPr>
          <w:rFonts w:ascii="IRNazanin" w:hAnsi="IRNazanin" w:eastAsia="IRNazanin" w:cs="IRNazanin"/>
          <w:lang w:bidi="fa-IR"/>
          <w:color w:val="111111"/>
          <w:sz w:val="28"/>
          <w:szCs w:val="28"/>
          <w:rtl/>
        </w:rPr>
        <w:t xml:space="preserve">ص 344 .</w:t>
      </w:r>
    </w:p>
    <w:p>
      <w:pPr>
        <w:pStyle w:val="BookText"/>
      </w:pPr>
      <w:r>
        <w:rPr>
          <w:rFonts w:ascii="Amiri" w:hAnsi="Amiri" w:eastAsia="Amiri" w:cs="Amiri"/>
          <w:lang w:bidi="ar-SA"/>
          <w:color w:val="111111"/>
          <w:sz w:val="28"/>
          <w:szCs w:val="28"/>
          <w:rtl/>
        </w:rPr>
        <w:t xml:space="preserve">حسيني ، موسى بن حسين -معدل</w:t>
      </w:r>
    </w:p>
    <w:p>
      <w:pPr>
        <w:pStyle w:val="BookText"/>
      </w:pPr>
      <w:r>
        <w:rPr>
          <w:rFonts w:ascii="Amiri" w:hAnsi="Amiri" w:eastAsia="Amiri" w:cs="Amiri"/>
          <w:lang w:bidi="ar-SA"/>
          <w:color w:val="111111"/>
          <w:sz w:val="28"/>
          <w:szCs w:val="28"/>
          <w:rtl/>
        </w:rPr>
        <w:t xml:space="preserve">موسى بن حسين</w:t>
      </w:r>
    </w:p>
    <w:p>
      <w:pPr>
        <w:pStyle w:val="BookText"/>
      </w:pPr>
      <w:r>
        <w:rPr>
          <w:rFonts w:ascii="IRNazanin" w:hAnsi="IRNazanin" w:eastAsia="IRNazanin" w:cs="IRNazanin"/>
          <w:lang w:bidi="fa-IR"/>
          <w:color w:val="111111"/>
          <w:sz w:val="28"/>
          <w:szCs w:val="28"/>
          <w:rtl/>
        </w:rPr>
        <w:t xml:space="preserve">حسيني موسوي ، محمّد بن عبدالله- کبریت ، محمّد بن عبدالله</w:t>
      </w:r>
    </w:p>
    <w:p>
      <w:pPr>
        <w:pStyle w:val="BookText"/>
      </w:pPr>
      <w:r>
        <w:rPr>
          <w:rFonts w:ascii="Amiri" w:hAnsi="Amiri" w:eastAsia="Amiri" w:cs="Amiri"/>
          <w:lang w:bidi="ar-SA"/>
          <w:color w:val="111111"/>
          <w:sz w:val="28"/>
          <w:szCs w:val="28"/>
          <w:rtl/>
        </w:rPr>
        <w:t xml:space="preserve">حسيني موسوي، محمّد تقي بن زين الدين علي- ميرزا بابا ، محمّد تقي بن زين</w:t>
      </w:r>
    </w:p>
    <w:p>
      <w:pPr>
        <w:pStyle w:val="BookText"/>
      </w:pPr>
      <w:r>
        <w:rPr>
          <w:rFonts w:ascii="Amiri" w:hAnsi="Amiri" w:eastAsia="Amiri" w:cs="Amiri"/>
          <w:lang w:bidi="ar-SA"/>
          <w:color w:val="111111"/>
          <w:sz w:val="28"/>
          <w:szCs w:val="28"/>
          <w:rtl/>
        </w:rPr>
        <w:t xml:space="preserve">الدين علي</w:t>
      </w:r>
    </w:p>
    <w:p>
      <w:pPr>
        <w:pStyle w:val="Heading2"/>
      </w:pPr>
      <w:bookmarkStart w:id="3775" w:name="_Toc2877"/>
      <w:r>
        <w:t>حسيني موسى بن فضل الله قرن 13 ه-</w:t>
      </w:r>
      <w:bookmarkEnd w:id="3775"/>
    </w:p>
    <w:p>
      <w:pPr>
        <w:pStyle w:val="BookText"/>
      </w:pPr>
      <w:r>
        <w:rPr>
          <w:rFonts w:ascii="IRNazanin" w:hAnsi="IRNazanin" w:eastAsia="IRNazanin" w:cs="IRNazanin"/>
          <w:lang w:bidi="fa-IR"/>
          <w:color w:val="111111"/>
          <w:sz w:val="28"/>
          <w:szCs w:val="28"/>
          <w:rtl/>
        </w:rPr>
        <w:t xml:space="preserve">1 .شرح القانون، ج 9، ص 816.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مجموعه ج 14، ص 5.</w:t>
      </w:r>
    </w:p>
    <w:p>
      <w:pPr>
        <w:pStyle w:val="Heading2"/>
      </w:pPr>
      <w:bookmarkStart w:id="3776" w:name="_Toc2878"/>
      <w:r>
        <w:t>حسيني ،موصلي، اسماعيل بن محمّد قرن 13ه-</w:t>
      </w:r>
      <w:bookmarkEnd w:id="3776"/>
    </w:p>
    <w:p>
      <w:pPr>
        <w:pStyle w:val="BookText"/>
      </w:pPr>
      <w:r>
        <w:rPr>
          <w:rFonts w:ascii="Amiri" w:hAnsi="Amiri" w:eastAsia="Amiri" w:cs="Amiri"/>
          <w:lang w:bidi="ar-SA"/>
          <w:color w:val="111111"/>
          <w:sz w:val="28"/>
          <w:szCs w:val="28"/>
          <w:rtl/>
        </w:rPr>
        <w:t xml:space="preserve">مختصر الترغيب والترهيب، ج 14،</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Amiri" w:hAnsi="Amiri" w:eastAsia="Amiri" w:cs="Amiri"/>
          <w:lang w:bidi="ar-SA"/>
          <w:color w:val="111111"/>
          <w:sz w:val="28"/>
          <w:szCs w:val="28"/>
          <w:rtl/>
        </w:rPr>
        <w:t xml:space="preserve">حسيني ،موصلي ، حسن- ركن الدين</w:t>
      </w:r>
    </w:p>
    <w:p>
      <w:pPr>
        <w:pStyle w:val="BookText"/>
      </w:pPr>
      <w:r>
        <w:rPr>
          <w:rFonts w:ascii="Amiri" w:hAnsi="Amiri" w:eastAsia="Amiri" w:cs="Amiri"/>
          <w:lang w:bidi="ar-SA"/>
          <w:color w:val="111111"/>
          <w:sz w:val="28"/>
          <w:szCs w:val="28"/>
          <w:rtl/>
        </w:rPr>
        <w:t xml:space="preserve">حسيني ، حسن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7" w:name="pg7742_70206"/>
    <w:bookmarkEnd w:id="407"/>
    <w:p>
      <w:pPr>
        <w:pStyle w:val="Heading2"/>
      </w:pPr>
      <w:bookmarkStart w:id="3777" w:name="_Toc2879"/>
      <w:r>
        <w:t>حسيني ،موصلي ، عبدالله بن فخرالدين</w:t>
      </w:r>
      <w:bookmarkEnd w:id="3777"/>
    </w:p>
    <w:p>
      <w:pPr>
        <w:pStyle w:val="BookText"/>
      </w:pPr>
      <w:r>
        <w:rPr>
          <w:rFonts w:ascii="IRNazanin" w:hAnsi="IRNazanin" w:eastAsia="IRNazanin" w:cs="IRNazanin"/>
          <w:lang w:bidi="fa-IR"/>
          <w:color w:val="111111"/>
          <w:sz w:val="28"/>
          <w:szCs w:val="28"/>
          <w:rtl/>
        </w:rPr>
        <w:t xml:space="preserve">1188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تخميس القصيدة الهمزية، ج 4،</w:t>
      </w:r>
    </w:p>
    <w:p>
      <w:pPr>
        <w:pStyle w:val="BookText"/>
      </w:pPr>
      <w:r>
        <w:rPr>
          <w:rFonts w:ascii="IRNazanin" w:hAnsi="IRNazanin" w:eastAsia="IRNazanin" w:cs="IRNazanin"/>
          <w:lang w:bidi="fa-IR"/>
          <w:color w:val="111111"/>
          <w:sz w:val="28"/>
          <w:szCs w:val="28"/>
          <w:rtl/>
        </w:rPr>
        <w:t xml:space="preserve">ص 143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تسريح الادراك في شرح تشريح</w:t>
      </w:r>
    </w:p>
    <w:p>
      <w:pPr>
        <w:pStyle w:val="BookText"/>
      </w:pPr>
      <w:r>
        <w:rPr>
          <w:rFonts w:ascii="Amiri" w:hAnsi="Amiri" w:eastAsia="Amiri" w:cs="Amiri"/>
          <w:lang w:bidi="ar-SA"/>
          <w:color w:val="111111"/>
          <w:sz w:val="28"/>
          <w:szCs w:val="28"/>
          <w:rtl/>
        </w:rPr>
        <w:t xml:space="preserve">الافلاك، ج 4، ص 337.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ثبت عبدالله فخري الدين زاده</w:t>
      </w:r>
    </w:p>
    <w:p>
      <w:pPr>
        <w:pStyle w:val="BookText"/>
      </w:pPr>
      <w:r>
        <w:rPr>
          <w:rFonts w:ascii="Amiri" w:hAnsi="Amiri" w:eastAsia="Amiri" w:cs="Amiri"/>
          <w:lang w:bidi="ar-SA"/>
          <w:color w:val="111111"/>
          <w:sz w:val="28"/>
          <w:szCs w:val="28"/>
          <w:rtl/>
        </w:rPr>
        <w:t xml:space="preserve">الموصلي، ج 5، ص 214.</w:t>
      </w:r>
    </w:p>
    <w:p>
      <w:pPr>
        <w:pStyle w:val="BookText"/>
      </w:pPr>
      <w:r>
        <w:rPr>
          <w:rFonts w:ascii="Amiri" w:hAnsi="Amiri" w:eastAsia="Amiri" w:cs="Amiri"/>
          <w:lang w:bidi="ar-SA"/>
          <w:color w:val="111111"/>
          <w:sz w:val="28"/>
          <w:szCs w:val="28"/>
          <w:rtl/>
        </w:rPr>
        <w:t xml:space="preserve">4 .ديوان الفخري، ج 7، ص732.</w:t>
      </w:r>
    </w:p>
    <w:p>
      <w:pPr>
        <w:pStyle w:val="BookText"/>
      </w:pPr>
      <w:r>
        <w:rPr>
          <w:rFonts w:ascii="Amiri" w:hAnsi="Amiri" w:eastAsia="Amiri" w:cs="Amiri"/>
          <w:lang w:bidi="ar-SA"/>
          <w:color w:val="111111"/>
          <w:sz w:val="28"/>
          <w:szCs w:val="28"/>
          <w:rtl/>
        </w:rPr>
        <w:t xml:space="preserve">5 .سوانح القريحة في شرح الصفيحة</w:t>
      </w:r>
    </w:p>
    <w:p>
      <w:pPr>
        <w:pStyle w:val="BookText"/>
      </w:pPr>
      <w:r>
        <w:rPr>
          <w:rFonts w:ascii="IRNazanin" w:hAnsi="IRNazanin" w:eastAsia="IRNazanin" w:cs="IRNazanin"/>
          <w:lang w:bidi="fa-IR"/>
          <w:color w:val="111111"/>
          <w:sz w:val="28"/>
          <w:szCs w:val="28"/>
          <w:rtl/>
        </w:rPr>
        <w:t xml:space="preserve">ج 8، ص 860.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قصيدة البردة، ج 9، ص 852.</w:t>
      </w:r>
    </w:p>
    <w:p>
      <w:pPr>
        <w:pStyle w:val="Heading2"/>
      </w:pPr>
      <w:bookmarkStart w:id="3778" w:name="_Toc2880"/>
      <w:r>
        <w:t>حسيني موصلي، فخر الدين بن يحيى</w:t>
      </w:r>
      <w:bookmarkEnd w:id="3778"/>
    </w:p>
    <w:p>
      <w:pPr>
        <w:pStyle w:val="BookText"/>
      </w:pPr>
      <w:r>
        <w:rPr>
          <w:rFonts w:ascii="Amiri" w:hAnsi="Amiri" w:eastAsia="Amiri" w:cs="Amiri"/>
          <w:lang w:bidi="ar-SA"/>
          <w:color w:val="111111"/>
          <w:sz w:val="28"/>
          <w:szCs w:val="28"/>
          <w:rtl/>
        </w:rPr>
        <w:t xml:space="preserve">1 .شرح رسالة جهة الوحدة، ج 9،</w:t>
      </w:r>
    </w:p>
    <w:p>
      <w:pPr>
        <w:pStyle w:val="BookText"/>
      </w:pPr>
      <w:r>
        <w:rPr>
          <w:rFonts w:ascii="IRNazanin" w:hAnsi="IRNazanin" w:eastAsia="IRNazanin" w:cs="IRNazanin"/>
          <w:lang w:bidi="fa-IR"/>
          <w:color w:val="111111"/>
          <w:sz w:val="28"/>
          <w:szCs w:val="28"/>
          <w:rtl/>
        </w:rPr>
        <w:t xml:space="preserve">ص 529.</w:t>
      </w:r>
    </w:p>
    <w:p>
      <w:pPr>
        <w:pStyle w:val="BookText"/>
      </w:pPr>
      <w:r>
        <w:rPr>
          <w:rFonts w:ascii="Amiri" w:hAnsi="Amiri" w:eastAsia="Amiri" w:cs="Amiri"/>
          <w:lang w:bidi="ar-SA"/>
          <w:color w:val="111111"/>
          <w:sz w:val="28"/>
          <w:szCs w:val="28"/>
          <w:rtl/>
        </w:rPr>
        <w:t xml:space="preserve">2 .مختصر كتاب نعمة الله، ج 14،</w:t>
      </w:r>
    </w:p>
    <w:p>
      <w:pPr>
        <w:pStyle w:val="BookText"/>
      </w:pPr>
      <w:r>
        <w:rPr>
          <w:rFonts w:ascii="IRNazanin" w:hAnsi="IRNazanin" w:eastAsia="IRNazanin" w:cs="IRNazanin"/>
          <w:lang w:bidi="fa-IR"/>
          <w:color w:val="111111"/>
          <w:sz w:val="28"/>
          <w:szCs w:val="28"/>
          <w:rtl/>
        </w:rPr>
        <w:t xml:space="preserve">ص 237 .</w:t>
      </w:r>
    </w:p>
    <w:p>
      <w:pPr>
        <w:pStyle w:val="Heading2"/>
      </w:pPr>
      <w:bookmarkStart w:id="3779" w:name="_Toc2881"/>
      <w:r>
        <w:t>حسيني موصلي ، محمّد امین بن ابراهیم</w:t>
      </w:r>
      <w:bookmarkEnd w:id="3779"/>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IRNazanin" w:hAnsi="IRNazanin" w:eastAsia="IRNazanin" w:cs="IRNazanin"/>
          <w:lang w:bidi="fa-IR"/>
          <w:color w:val="111111"/>
          <w:sz w:val="28"/>
          <w:szCs w:val="28"/>
          <w:rtl/>
        </w:rPr>
        <w:t xml:space="preserve">اخلاق الذهب، ج1، ص 577.</w:t>
      </w:r>
    </w:p>
    <w:p>
      <w:pPr>
        <w:pStyle w:val="BookText"/>
      </w:pPr>
      <w:r>
        <w:rPr>
          <w:rFonts w:ascii="Amiri" w:hAnsi="Amiri" w:eastAsia="Amiri" w:cs="Amiri"/>
          <w:lang w:bidi="ar-SA"/>
          <w:color w:val="111111"/>
          <w:sz w:val="28"/>
          <w:szCs w:val="28"/>
          <w:rtl/>
        </w:rPr>
        <w:t xml:space="preserve">حسيني ميبدي ، حسين- ميبدي ، حسين</w:t>
      </w:r>
    </w:p>
    <w:p>
      <w:pPr>
        <w:pStyle w:val="BookText"/>
      </w:pPr>
      <w:r>
        <w:rPr>
          <w:rFonts w:ascii="Amiri" w:hAnsi="Amiri" w:eastAsia="Amiri" w:cs="Amiri"/>
          <w:lang w:bidi="ar-SA"/>
          <w:color w:val="111111"/>
          <w:sz w:val="28"/>
          <w:szCs w:val="28"/>
          <w:rtl/>
        </w:rPr>
        <w:t xml:space="preserve">بن معين الدين</w:t>
      </w:r>
    </w:p>
    <w:p>
      <w:pPr>
        <w:pStyle w:val="BookText"/>
      </w:pPr>
      <w:r>
        <w:rPr>
          <w:rFonts w:ascii="Amiri" w:hAnsi="Amiri" w:eastAsia="Amiri" w:cs="Amiri"/>
          <w:lang w:bidi="ar-SA"/>
          <w:color w:val="111111"/>
          <w:sz w:val="28"/>
          <w:szCs w:val="28"/>
          <w:rtl/>
        </w:rPr>
        <w:t xml:space="preserve">حسيني ، ميرابوالفتح بن مخدوم -جرجاني حسين</w:t>
      </w:r>
    </w:p>
    <w:p>
      <w:pPr>
        <w:pStyle w:val="BookText"/>
      </w:pPr>
      <w:r>
        <w:rPr>
          <w:rFonts w:ascii="IRNazanin" w:hAnsi="IRNazanin" w:eastAsia="IRNazanin" w:cs="IRNazanin"/>
          <w:lang w:bidi="fa-IR"/>
          <w:color w:val="111111"/>
          <w:sz w:val="28"/>
          <w:szCs w:val="28"/>
          <w:rtl/>
        </w:rPr>
        <w:t xml:space="preserve">، ابوالفتح بن مخدوم</w:t>
      </w:r>
    </w:p>
    <w:p>
      <w:pPr>
        <w:pStyle w:val="BookText"/>
      </w:pPr>
      <w:r>
        <w:rPr>
          <w:rFonts w:ascii="Amiri" w:hAnsi="Amiri" w:eastAsia="Amiri" w:cs="Amiri"/>
          <w:lang w:bidi="ar-SA"/>
          <w:color w:val="111111"/>
          <w:sz w:val="28"/>
          <w:szCs w:val="28"/>
          <w:rtl/>
        </w:rPr>
        <w:t xml:space="preserve">حسيني ، مير ابوالفتح محمّد- تاج</w:t>
      </w:r>
    </w:p>
    <w:p>
      <w:pPr>
        <w:pStyle w:val="BookText"/>
      </w:pPr>
      <w:r>
        <w:rPr>
          <w:rFonts w:ascii="Amiri" w:hAnsi="Amiri" w:eastAsia="Amiri" w:cs="Amiri"/>
          <w:lang w:bidi="ar-SA"/>
          <w:color w:val="111111"/>
          <w:sz w:val="28"/>
          <w:szCs w:val="28"/>
          <w:rtl/>
        </w:rPr>
        <w:t xml:space="preserve">السعيدي ، محمّد بن ابي سعيد</w:t>
      </w:r>
    </w:p>
    <w:p>
      <w:pPr>
        <w:pStyle w:val="BookText"/>
      </w:pPr>
      <w:r>
        <w:rPr>
          <w:rFonts w:ascii="Amiri" w:hAnsi="Amiri" w:eastAsia="Amiri" w:cs="Amiri"/>
          <w:lang w:bidi="ar-SA"/>
          <w:color w:val="111111"/>
          <w:sz w:val="28"/>
          <w:szCs w:val="28"/>
          <w:rtl/>
        </w:rPr>
        <w:t xml:space="preserve">حسيني ، ميرذوالفقار علي- فاني كشميري محسن بن حسن</w:t>
      </w:r>
    </w:p>
    <w:p>
      <w:pPr>
        <w:pStyle w:val="BookText"/>
      </w:pPr>
      <w:r>
        <w:rPr>
          <w:rFonts w:ascii="Amiri" w:hAnsi="Amiri" w:eastAsia="Amiri" w:cs="Amiri"/>
          <w:lang w:bidi="ar-SA"/>
          <w:color w:val="111111"/>
          <w:sz w:val="28"/>
          <w:szCs w:val="28"/>
          <w:rtl/>
        </w:rPr>
        <w:t xml:space="preserve">حسيني نائيني ، محمّد بن حيدر- رفيعا ، محمّد بن حيدر</w:t>
      </w:r>
    </w:p>
    <w:p>
      <w:pPr>
        <w:pStyle w:val="Heading2"/>
      </w:pPr>
      <w:bookmarkStart w:id="3780" w:name="_Toc2882"/>
      <w:r>
        <w:t>؟ حسيني نائيني ، محمّد بن محمّد باقر</w:t>
      </w:r>
      <w:bookmarkEnd w:id="3780"/>
    </w:p>
    <w:p>
      <w:pPr>
        <w:pStyle w:val="BookText"/>
      </w:pPr>
      <w:r>
        <w:rPr>
          <w:rFonts w:ascii="IRNazanin" w:hAnsi="IRNazanin" w:eastAsia="IRNazanin" w:cs="IRNazanin"/>
          <w:lang w:bidi="fa-IR"/>
          <w:color w:val="111111"/>
          <w:sz w:val="28"/>
          <w:szCs w:val="28"/>
          <w:rtl/>
        </w:rPr>
        <w:t xml:space="preserve">1080 - 1140 ؟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احكام اليد = باسط الايدي بالبينات في تساقط الايدي و</w:t>
      </w:r>
    </w:p>
    <w:p>
      <w:pPr>
        <w:pStyle w:val="BookText"/>
      </w:pPr>
      <w:r>
        <w:rPr>
          <w:rFonts w:ascii="Amiri" w:hAnsi="Amiri" w:eastAsia="Amiri" w:cs="Amiri"/>
          <w:lang w:bidi="ar-SA"/>
          <w:color w:val="111111"/>
          <w:sz w:val="28"/>
          <w:szCs w:val="28"/>
          <w:rtl/>
        </w:rPr>
        <w:t xml:space="preserve">البينات = حجية اليد = تشاح اليد السابقة مع اليد اللاحقة، ج1، ص 495.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تقويم الميراث في تقسيم الميراث</w:t>
      </w:r>
    </w:p>
    <w:p>
      <w:pPr>
        <w:pStyle w:val="BookText"/>
      </w:pPr>
      <w:r>
        <w:rPr>
          <w:rFonts w:ascii="IRNazanin" w:hAnsi="IRNazanin" w:eastAsia="IRNazanin" w:cs="IRNazanin"/>
          <w:lang w:bidi="fa-IR"/>
          <w:color w:val="111111"/>
          <w:sz w:val="28"/>
          <w:szCs w:val="28"/>
          <w:rtl/>
        </w:rPr>
        <w:t xml:space="preserve">ج 4، ص 805.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زواهر الجواهر في نوادر الزواجر</w:t>
      </w:r>
    </w:p>
    <w:p>
      <w:pPr>
        <w:pStyle w:val="BookText"/>
      </w:pPr>
      <w:r>
        <w:rPr>
          <w:rFonts w:ascii="IRNazanin" w:hAnsi="IRNazanin" w:eastAsia="IRNazanin" w:cs="IRNazanin"/>
          <w:lang w:bidi="fa-IR"/>
          <w:color w:val="111111"/>
          <w:sz w:val="28"/>
          <w:szCs w:val="28"/>
          <w:rtl/>
        </w:rPr>
        <w:t xml:space="preserve">ج8، ص 639.</w:t>
      </w:r>
    </w:p>
    <w:p>
      <w:pPr>
        <w:pStyle w:val="BookText"/>
      </w:pPr>
      <w:r>
        <w:rPr>
          <w:rFonts w:ascii="Amiri" w:hAnsi="Amiri" w:eastAsia="Amiri" w:cs="Amiri"/>
          <w:lang w:bidi="ar-SA"/>
          <w:color w:val="111111"/>
          <w:sz w:val="28"/>
          <w:szCs w:val="28"/>
          <w:rtl/>
        </w:rPr>
        <w:t xml:space="preserve">4 .شرح الاشعار اللغزية (رسالة في)</w:t>
      </w:r>
    </w:p>
    <w:p>
      <w:pPr>
        <w:pStyle w:val="BookText"/>
      </w:pPr>
      <w:r>
        <w:rPr>
          <w:rFonts w:ascii="IRNazanin" w:hAnsi="IRNazanin" w:eastAsia="IRNazanin" w:cs="IRNazanin"/>
          <w:lang w:bidi="fa-IR"/>
          <w:color w:val="111111"/>
          <w:sz w:val="28"/>
          <w:szCs w:val="28"/>
          <w:rtl/>
        </w:rPr>
        <w:t xml:space="preserve">ج 9، ص 204.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شرح شرایع الاسلام، ج9، ص 623.</w:t>
      </w:r>
    </w:p>
    <w:p>
      <w:pPr>
        <w:pStyle w:val="BookText"/>
      </w:pPr>
      <w:r>
        <w:rPr>
          <w:rFonts w:ascii="Amiri" w:hAnsi="Amiri" w:eastAsia="Amiri" w:cs="Amiri"/>
          <w:lang w:bidi="ar-SA"/>
          <w:color w:val="111111"/>
          <w:sz w:val="28"/>
          <w:szCs w:val="28"/>
          <w:rtl/>
        </w:rPr>
        <w:t xml:space="preserve">6 .الفرائد البهية في شرح الفوائد الصمدية، ج 11، ص729.</w:t>
      </w:r>
    </w:p>
    <w:p>
      <w:pPr>
        <w:pStyle w:val="BookText"/>
      </w:pPr>
      <w:r>
        <w:rPr>
          <w:rFonts w:ascii="Amiri" w:hAnsi="Amiri" w:eastAsia="Amiri" w:cs="Amiri"/>
          <w:lang w:bidi="ar-SA"/>
          <w:color w:val="111111"/>
          <w:sz w:val="28"/>
          <w:szCs w:val="28"/>
          <w:rtl/>
        </w:rPr>
        <w:t xml:space="preserve">7 .المطرز في اللغز، ج 14، ص 786.</w:t>
      </w:r>
    </w:p>
    <w:p>
      <w:pPr>
        <w:pStyle w:val="Heading2"/>
      </w:pPr>
      <w:bookmarkStart w:id="3781" w:name="_Toc2883"/>
      <w:r>
        <w:t>حسيني ، ناصر بن عباس قرن 10 ه-</w:t>
      </w:r>
      <w:bookmarkEnd w:id="3781"/>
    </w:p>
    <w:p>
      <w:pPr>
        <w:pStyle w:val="BookText"/>
      </w:pPr>
      <w:r>
        <w:rPr>
          <w:rFonts w:ascii="IRNazanin" w:hAnsi="IRNazanin" w:eastAsia="IRNazanin" w:cs="IRNazanin"/>
          <w:lang w:bidi="fa-IR"/>
          <w:color w:val="111111"/>
          <w:sz w:val="28"/>
          <w:szCs w:val="28"/>
          <w:rtl/>
        </w:rPr>
        <w:t xml:space="preserve">حافظ الصحاح، ج 6، ص 455.</w:t>
      </w:r>
    </w:p>
    <w:p>
      <w:pPr>
        <w:pStyle w:val="BookText"/>
      </w:pPr>
      <w:r>
        <w:rPr>
          <w:rFonts w:ascii="Amiri" w:hAnsi="Amiri" w:eastAsia="Amiri" w:cs="Amiri"/>
          <w:lang w:bidi="ar-SA"/>
          <w:color w:val="111111"/>
          <w:sz w:val="28"/>
          <w:szCs w:val="28"/>
          <w:rtl/>
        </w:rPr>
        <w:t xml:space="preserve">حسيني نجفي ، حسين عميدي حسيني ،</w:t>
      </w:r>
    </w:p>
    <w:p>
      <w:pPr>
        <w:pStyle w:val="Heading2"/>
      </w:pPr>
      <w:bookmarkStart w:id="3782" w:name="_Toc2884"/>
      <w:r>
        <w:t>حسيني نجفي ، علي بن عبد الحميد قرن 8</w:t>
      </w:r>
      <w:bookmarkEnd w:id="3782"/>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الدراية (رسالة في)، ج 7، ص217.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8" w:name="pg7742_70209"/>
    <w:bookmarkEnd w:id="408"/>
    <w:p>
      <w:pPr>
        <w:pStyle w:val="Heading2"/>
      </w:pPr>
      <w:bookmarkStart w:id="3783" w:name="_Toc2885"/>
      <w:r>
        <w:t>حسيني نجفي ، منصور بن ،کمونه قرن</w:t>
      </w:r>
      <w:bookmarkEnd w:id="3783"/>
    </w:p>
    <w:p>
      <w:pPr>
        <w:pStyle w:val="BookText"/>
      </w:pPr>
      <w:r>
        <w:rPr>
          <w:rFonts w:ascii="IRNazanin" w:hAnsi="IRNazanin" w:eastAsia="IRNazanin" w:cs="IRNazanin"/>
          <w:lang w:bidi="fa-IR"/>
          <w:color w:val="111111"/>
          <w:sz w:val="28"/>
          <w:szCs w:val="28"/>
          <w:rtl/>
        </w:rPr>
        <w:t xml:space="preserve">11 ه-</w:t>
      </w:r>
    </w:p>
    <w:p>
      <w:pPr>
        <w:pStyle w:val="BookText"/>
      </w:pPr>
      <w:r>
        <w:rPr>
          <w:rFonts w:ascii="Amiri" w:hAnsi="Amiri" w:eastAsia="Amiri" w:cs="Amiri"/>
          <w:lang w:bidi="ar-SA"/>
          <w:color w:val="111111"/>
          <w:sz w:val="28"/>
          <w:szCs w:val="28"/>
          <w:rtl/>
        </w:rPr>
        <w:t xml:space="preserve">1 .أبكار الأفكار وأنوار الأنوار - المقامات الحسينية، ج 1، ص 107.</w:t>
      </w:r>
    </w:p>
    <w:p>
      <w:pPr>
        <w:pStyle w:val="BookText"/>
      </w:pPr>
      <w:r>
        <w:rPr>
          <w:rFonts w:ascii="IRNazanin" w:hAnsi="IRNazanin" w:eastAsia="IRNazanin" w:cs="IRNazanin"/>
          <w:lang w:bidi="fa-IR"/>
          <w:color w:val="111111"/>
          <w:sz w:val="28"/>
          <w:szCs w:val="28"/>
          <w:rtl/>
        </w:rPr>
        <w:t xml:space="preserve">2 .دیوان ابن كمونة، ج 7، ص 537.</w:t>
      </w:r>
    </w:p>
    <w:p>
      <w:pPr>
        <w:pStyle w:val="BookText"/>
      </w:pPr>
      <w:r>
        <w:rPr>
          <w:rFonts w:ascii="Amiri" w:hAnsi="Amiri" w:eastAsia="Amiri" w:cs="Amiri"/>
          <w:lang w:bidi="ar-SA"/>
          <w:color w:val="111111"/>
          <w:sz w:val="28"/>
          <w:szCs w:val="28"/>
          <w:rtl/>
        </w:rPr>
        <w:t xml:space="preserve">حسيني نجفي ، ناصر بن حسين- حسني</w:t>
      </w:r>
    </w:p>
    <w:p>
      <w:pPr>
        <w:pStyle w:val="BookText"/>
      </w:pPr>
      <w:r>
        <w:rPr>
          <w:rFonts w:ascii="Amiri" w:hAnsi="Amiri" w:eastAsia="Amiri" w:cs="Amiri"/>
          <w:lang w:bidi="ar-SA"/>
          <w:color w:val="111111"/>
          <w:sz w:val="28"/>
          <w:szCs w:val="28"/>
          <w:rtl/>
        </w:rPr>
        <w:t xml:space="preserve">حسيني ، ناصر بن حسين</w:t>
      </w:r>
    </w:p>
    <w:p>
      <w:pPr>
        <w:pStyle w:val="BookText"/>
      </w:pPr>
      <w:r>
        <w:rPr>
          <w:rFonts w:ascii="Amiri" w:hAnsi="Amiri" w:eastAsia="Amiri" w:cs="Amiri"/>
          <w:lang w:bidi="ar-SA"/>
          <w:color w:val="111111"/>
          <w:sz w:val="28"/>
          <w:szCs w:val="28"/>
          <w:rtl/>
        </w:rPr>
        <w:t xml:space="preserve">حسيني نحوي ، محمّد بن احمد- غرناطي</w:t>
      </w:r>
    </w:p>
    <w:p>
      <w:pPr>
        <w:pStyle w:val="BookText"/>
      </w:pPr>
      <w:r>
        <w:rPr>
          <w:rFonts w:ascii="IRNazanin" w:hAnsi="IRNazanin" w:eastAsia="IRNazanin" w:cs="IRNazanin"/>
          <w:lang w:bidi="fa-IR"/>
          <w:color w:val="111111"/>
          <w:sz w:val="28"/>
          <w:szCs w:val="28"/>
          <w:rtl/>
        </w:rPr>
        <w:t xml:space="preserve">، محمّد بن احمد</w:t>
      </w:r>
    </w:p>
    <w:p>
      <w:pPr>
        <w:pStyle w:val="BookText"/>
      </w:pPr>
      <w:r>
        <w:rPr>
          <w:rFonts w:ascii="IRNazanin" w:hAnsi="IRNazanin" w:eastAsia="IRNazanin" w:cs="IRNazanin"/>
          <w:lang w:bidi="fa-IR"/>
          <w:color w:val="111111"/>
          <w:sz w:val="28"/>
          <w:szCs w:val="28"/>
          <w:rtl/>
        </w:rPr>
        <w:t xml:space="preserve">حسيني نسابه ، ابراهیم بن امیر محمّد- نسابه</w:t>
      </w:r>
    </w:p>
    <w:p>
      <w:pPr>
        <w:pStyle w:val="BookText"/>
      </w:pPr>
      <w:r>
        <w:rPr>
          <w:rFonts w:ascii="Amiri" w:hAnsi="Amiri" w:eastAsia="Amiri" w:cs="Amiri"/>
          <w:lang w:bidi="ar-SA"/>
          <w:color w:val="111111"/>
          <w:sz w:val="28"/>
          <w:szCs w:val="28"/>
          <w:rtl/>
        </w:rPr>
        <w:t xml:space="preserve">حسيني ، ابراهيم بن امير محمّد</w:t>
      </w:r>
    </w:p>
    <w:p>
      <w:pPr>
        <w:pStyle w:val="BookText"/>
      </w:pPr>
      <w:r>
        <w:rPr>
          <w:rFonts w:ascii="Amiri" w:hAnsi="Amiri" w:eastAsia="Amiri" w:cs="Amiri"/>
          <w:lang w:bidi="ar-SA"/>
          <w:color w:val="111111"/>
          <w:sz w:val="28"/>
          <w:szCs w:val="28"/>
          <w:rtl/>
        </w:rPr>
        <w:t xml:space="preserve">حسيني نسابه ، محمّد بن امير الحاج- ابن امير الحاج حسيني ، محمّد بن</w:t>
      </w:r>
    </w:p>
    <w:p>
      <w:pPr>
        <w:pStyle w:val="BookText"/>
      </w:pPr>
      <w:r>
        <w:rPr>
          <w:rFonts w:ascii="Amiri" w:hAnsi="Amiri" w:eastAsia="Amiri" w:cs="Amiri"/>
          <w:lang w:bidi="ar-SA"/>
          <w:color w:val="111111"/>
          <w:sz w:val="28"/>
          <w:szCs w:val="28"/>
          <w:rtl/>
        </w:rPr>
        <w:t xml:space="preserve">حسين</w:t>
      </w:r>
    </w:p>
    <w:p>
      <w:pPr>
        <w:pStyle w:val="Heading2"/>
      </w:pPr>
      <w:bookmarkStart w:id="3784" w:name="_Toc2886"/>
      <w:r>
        <w:t>حسيني ، نعمان</w:t>
      </w:r>
      <w:bookmarkEnd w:id="3784"/>
    </w:p>
    <w:p>
      <w:pPr>
        <w:pStyle w:val="BookText"/>
      </w:pPr>
      <w:r>
        <w:rPr>
          <w:rFonts w:ascii="Amiri" w:hAnsi="Amiri" w:eastAsia="Amiri" w:cs="Amiri"/>
          <w:lang w:bidi="ar-SA"/>
          <w:color w:val="111111"/>
          <w:sz w:val="28"/>
          <w:szCs w:val="28"/>
          <w:rtl/>
        </w:rPr>
        <w:t xml:space="preserve">علويات الأعرجي، ج 11، ص280.</w:t>
      </w:r>
    </w:p>
    <w:p>
      <w:pPr>
        <w:pStyle w:val="BookText"/>
      </w:pPr>
      <w:r>
        <w:rPr>
          <w:rFonts w:ascii="IRNazanin" w:hAnsi="IRNazanin" w:eastAsia="IRNazanin" w:cs="IRNazanin"/>
          <w:lang w:bidi="fa-IR"/>
          <w:color w:val="111111"/>
          <w:sz w:val="28"/>
          <w:szCs w:val="28"/>
          <w:rtl/>
        </w:rPr>
        <w:t xml:space="preserve">حسيني نقره کار ، عبد الله بن محمّد- نقره کار ، عبدالله بن محمّد</w:t>
      </w:r>
    </w:p>
    <w:p>
      <w:pPr>
        <w:pStyle w:val="Heading2"/>
      </w:pPr>
      <w:bookmarkStart w:id="3785" w:name="_Toc2887"/>
      <w:r>
        <w:t>حسيني نورالدين بن ابي طالب، قرن 14ه-</w:t>
      </w:r>
      <w:bookmarkEnd w:id="3785"/>
    </w:p>
    <w:p>
      <w:pPr>
        <w:pStyle w:val="BookText"/>
      </w:pPr>
      <w:r>
        <w:rPr>
          <w:rFonts w:ascii="Amiri" w:hAnsi="Amiri" w:eastAsia="Amiri" w:cs="Amiri"/>
          <w:lang w:bidi="ar-SA"/>
          <w:color w:val="111111"/>
          <w:sz w:val="28"/>
          <w:szCs w:val="28"/>
          <w:rtl/>
        </w:rPr>
        <w:t xml:space="preserve">الفوائد المدنية، ج 12، ص270.</w:t>
      </w:r>
    </w:p>
    <w:p>
      <w:pPr>
        <w:pStyle w:val="BookText"/>
      </w:pPr>
      <w:r>
        <w:rPr>
          <w:rFonts w:ascii="Amiri" w:hAnsi="Amiri" w:eastAsia="Amiri" w:cs="Amiri"/>
          <w:lang w:bidi="ar-SA"/>
          <w:color w:val="111111"/>
          <w:sz w:val="28"/>
          <w:szCs w:val="28"/>
          <w:rtl/>
        </w:rPr>
        <w:t xml:space="preserve">حسيني ، نورالله بن محمّد شاه شوشتري</w:t>
      </w:r>
    </w:p>
    <w:p>
      <w:pPr>
        <w:pStyle w:val="BookText"/>
      </w:pPr>
      <w:r>
        <w:rPr>
          <w:rFonts w:ascii="IRNazanin" w:hAnsi="IRNazanin" w:eastAsia="IRNazanin" w:cs="IRNazanin"/>
          <w:lang w:bidi="fa-IR"/>
          <w:color w:val="111111"/>
          <w:sz w:val="28"/>
          <w:szCs w:val="28"/>
          <w:rtl/>
        </w:rPr>
        <w:t xml:space="preserve">، نور الله بن محمّد شاه</w:t>
      </w:r>
    </w:p>
    <w:p>
      <w:pPr>
        <w:pStyle w:val="BookText"/>
      </w:pPr>
      <w:r>
        <w:rPr>
          <w:rFonts w:ascii="Amiri" w:hAnsi="Amiri" w:eastAsia="Amiri" w:cs="Amiri"/>
          <w:lang w:bidi="ar-SA"/>
          <w:color w:val="111111"/>
          <w:sz w:val="28"/>
          <w:szCs w:val="28"/>
          <w:rtl/>
        </w:rPr>
        <w:t xml:space="preserve">حسيني نوربخشي ، محمّد بن</w:t>
      </w:r>
    </w:p>
    <w:p>
      <w:pPr>
        <w:pStyle w:val="BookText"/>
      </w:pPr>
      <w:r>
        <w:rPr>
          <w:rFonts w:ascii="Amiri" w:hAnsi="Amiri" w:eastAsia="Amiri" w:cs="Amiri"/>
          <w:lang w:bidi="ar-SA"/>
          <w:color w:val="111111"/>
          <w:sz w:val="28"/>
          <w:szCs w:val="28"/>
          <w:rtl/>
        </w:rPr>
        <w:t xml:space="preserve">ناصر الحق - نوربخشي ، محمّد بن ناصر الحق</w:t>
      </w:r>
    </w:p>
    <w:p>
      <w:pPr>
        <w:pStyle w:val="BookText"/>
      </w:pPr>
      <w:r>
        <w:rPr>
          <w:rFonts w:ascii="Amiri" w:hAnsi="Amiri" w:eastAsia="Amiri" w:cs="Amiri"/>
          <w:lang w:bidi="ar-SA"/>
          <w:color w:val="111111"/>
          <w:sz w:val="28"/>
          <w:szCs w:val="28"/>
          <w:rtl/>
        </w:rPr>
        <w:t xml:space="preserve">حسيني نيريزي ، قطب الدين</w:t>
      </w:r>
    </w:p>
    <w:p>
      <w:pPr>
        <w:pStyle w:val="BookText"/>
      </w:pPr>
      <w:r>
        <w:rPr>
          <w:rFonts w:ascii="Amiri" w:hAnsi="Amiri" w:eastAsia="Amiri" w:cs="Amiri"/>
          <w:lang w:bidi="ar-SA"/>
          <w:color w:val="111111"/>
          <w:sz w:val="28"/>
          <w:szCs w:val="28"/>
          <w:rtl/>
        </w:rPr>
        <w:t xml:space="preserve">محمّد -نيريزي ، قطب الدين محمّد</w:t>
      </w:r>
    </w:p>
    <w:p>
      <w:pPr>
        <w:pStyle w:val="Heading2"/>
      </w:pPr>
      <w:bookmarkStart w:id="3786" w:name="_Toc2888"/>
      <w:r>
        <w:t>حسيني نيشابوري ، حسين بن محمّد</w:t>
      </w:r>
      <w:bookmarkEnd w:id="3786"/>
    </w:p>
    <w:p>
      <w:pPr>
        <w:pStyle w:val="BookText"/>
      </w:pPr>
      <w:r>
        <w:rPr>
          <w:rFonts w:ascii="IRNazanin" w:hAnsi="IRNazanin" w:eastAsia="IRNazanin" w:cs="IRNazanin"/>
          <w:lang w:bidi="fa-IR"/>
          <w:color w:val="111111"/>
          <w:sz w:val="28"/>
          <w:szCs w:val="28"/>
          <w:rtl/>
        </w:rPr>
        <w:t xml:space="preserve">904 ه-</w:t>
      </w:r>
    </w:p>
    <w:p>
      <w:pPr>
        <w:pStyle w:val="BookText"/>
      </w:pPr>
      <w:r>
        <w:rPr>
          <w:rFonts w:ascii="Amiri" w:hAnsi="Amiri" w:eastAsia="Amiri" w:cs="Amiri"/>
          <w:lang w:bidi="ar-SA"/>
          <w:color w:val="111111"/>
          <w:sz w:val="28"/>
          <w:szCs w:val="28"/>
          <w:rtl/>
        </w:rPr>
        <w:t xml:space="preserve">1 .سنن النبي (ص)، ج8، ص 847.</w:t>
      </w:r>
    </w:p>
    <w:p>
      <w:pPr>
        <w:pStyle w:val="BookText"/>
      </w:pPr>
      <w:r>
        <w:rPr>
          <w:rFonts w:ascii="Amiri" w:hAnsi="Amiri" w:eastAsia="Amiri" w:cs="Amiri"/>
          <w:lang w:bidi="ar-SA"/>
          <w:color w:val="111111"/>
          <w:sz w:val="28"/>
          <w:szCs w:val="28"/>
          <w:rtl/>
        </w:rPr>
        <w:t xml:space="preserve">2 .مخزن الجواهر في المعميات ج 14</w:t>
      </w:r>
    </w:p>
    <w:p>
      <w:pPr>
        <w:pStyle w:val="BookText"/>
      </w:pPr>
      <w:r>
        <w:rPr>
          <w:rFonts w:ascii="IRNazanin" w:hAnsi="IRNazanin" w:eastAsia="IRNazanin" w:cs="IRNazanin"/>
          <w:lang w:bidi="fa-IR"/>
          <w:color w:val="111111"/>
          <w:sz w:val="28"/>
          <w:szCs w:val="28"/>
          <w:rtl/>
        </w:rPr>
        <w:t xml:space="preserve">ص290.</w:t>
      </w:r>
    </w:p>
    <w:p>
      <w:pPr>
        <w:pStyle w:val="BookText"/>
      </w:pPr>
      <w:r>
        <w:rPr>
          <w:rFonts w:ascii="IRNazanin" w:hAnsi="IRNazanin" w:eastAsia="IRNazanin" w:cs="IRNazanin"/>
          <w:lang w:bidi="fa-IR"/>
          <w:color w:val="111111"/>
          <w:sz w:val="28"/>
          <w:szCs w:val="28"/>
          <w:rtl/>
        </w:rPr>
        <w:t xml:space="preserve">3.معما = دستور معما ج 15، ص 85</w:t>
      </w:r>
    </w:p>
    <w:p>
      <w:pPr>
        <w:pStyle w:val="BookText"/>
      </w:pPr>
      <w:r>
        <w:rPr>
          <w:rFonts w:ascii="Amiri" w:hAnsi="Amiri" w:eastAsia="Amiri" w:cs="Amiri"/>
          <w:lang w:bidi="ar-SA"/>
          <w:color w:val="111111"/>
          <w:sz w:val="28"/>
          <w:szCs w:val="28"/>
          <w:rtl/>
        </w:rPr>
        <w:t xml:space="preserve">4 .نود و نه نام خداي = معماي اسماء</w:t>
      </w:r>
    </w:p>
    <w:p>
      <w:pPr>
        <w:pStyle w:val="BookText"/>
      </w:pPr>
      <w:r>
        <w:rPr>
          <w:rFonts w:ascii="IRNazanin" w:hAnsi="IRNazanin" w:eastAsia="IRNazanin" w:cs="IRNazanin"/>
          <w:lang w:bidi="fa-IR"/>
          <w:color w:val="111111"/>
          <w:sz w:val="28"/>
          <w:szCs w:val="28"/>
          <w:rtl/>
        </w:rPr>
        <w:t xml:space="preserve">الحسنى، ج 16، ص 551.</w:t>
      </w:r>
    </w:p>
    <w:p>
      <w:pPr>
        <w:pStyle w:val="BookText"/>
      </w:pPr>
      <w:r>
        <w:rPr>
          <w:rFonts w:ascii="IRNazanin" w:hAnsi="IRNazanin" w:eastAsia="IRNazanin" w:cs="IRNazanin"/>
          <w:lang w:bidi="fa-IR"/>
          <w:color w:val="111111"/>
          <w:sz w:val="28"/>
          <w:szCs w:val="28"/>
          <w:rtl/>
        </w:rPr>
        <w:t xml:space="preserve">حسيني نيشابوري ، عبدالله بن محمّد- نقره کار ، عبدالله بن محمّد</w:t>
      </w:r>
    </w:p>
    <w:p>
      <w:pPr>
        <w:pStyle w:val="BookText"/>
      </w:pPr>
      <w:r>
        <w:rPr>
          <w:rFonts w:ascii="Amiri" w:hAnsi="Amiri" w:eastAsia="Amiri" w:cs="Amiri"/>
          <w:lang w:bidi="ar-SA"/>
          <w:color w:val="111111"/>
          <w:sz w:val="28"/>
          <w:szCs w:val="28"/>
          <w:rtl/>
        </w:rPr>
        <w:t xml:space="preserve">حسيني نيشابوري ، محمّد علي بن محمّد</w:t>
      </w:r>
    </w:p>
    <w:p>
      <w:pPr>
        <w:pStyle w:val="BookText"/>
      </w:pPr>
      <w:r>
        <w:rPr>
          <w:rFonts w:ascii="Amiri" w:hAnsi="Amiri" w:eastAsia="Amiri" w:cs="Amiri"/>
          <w:lang w:bidi="ar-SA"/>
          <w:color w:val="111111"/>
          <w:sz w:val="28"/>
          <w:szCs w:val="28"/>
          <w:rtl/>
        </w:rPr>
        <w:t xml:space="preserve">صادق -آل كمون حسيني ، محمّد علي بن</w:t>
      </w:r>
    </w:p>
    <w:p>
      <w:pPr>
        <w:pStyle w:val="BookText"/>
      </w:pPr>
      <w:r>
        <w:rPr>
          <w:rFonts w:ascii="Amiri" w:hAnsi="Amiri" w:eastAsia="Amiri" w:cs="Amiri"/>
          <w:lang w:bidi="ar-SA"/>
          <w:color w:val="111111"/>
          <w:sz w:val="28"/>
          <w:szCs w:val="28"/>
          <w:rtl/>
        </w:rPr>
        <w:t xml:space="preserve">محمّد صادق</w:t>
      </w:r>
    </w:p>
    <w:p>
      <w:pPr>
        <w:pStyle w:val="BookText"/>
      </w:pPr>
      <w:r>
        <w:rPr>
          <w:rFonts w:ascii="Amiri" w:hAnsi="Amiri" w:eastAsia="Amiri" w:cs="Amiri"/>
          <w:lang w:bidi="ar-SA"/>
          <w:color w:val="111111"/>
          <w:sz w:val="28"/>
          <w:szCs w:val="28"/>
          <w:rtl/>
        </w:rPr>
        <w:t xml:space="preserve">حسيني نيلي ، علي بن عبدالكريم- نسابه</w:t>
      </w:r>
    </w:p>
    <w:p>
      <w:pPr>
        <w:pStyle w:val="BookText"/>
      </w:pPr>
      <w:r>
        <w:rPr>
          <w:rFonts w:ascii="Amiri" w:hAnsi="Amiri" w:eastAsia="Amiri" w:cs="Amiri"/>
          <w:lang w:bidi="ar-SA"/>
          <w:color w:val="111111"/>
          <w:sz w:val="28"/>
          <w:szCs w:val="28"/>
          <w:rtl/>
        </w:rPr>
        <w:t xml:space="preserve">، علي بن عبدالكريم</w:t>
      </w:r>
    </w:p>
    <w:p>
      <w:pPr>
        <w:pStyle w:val="Heading2"/>
      </w:pPr>
      <w:bookmarkStart w:id="3787" w:name="_Toc2889"/>
      <w:r>
        <w:t>حسيني ، هادي بن حسين</w:t>
      </w:r>
      <w:bookmarkEnd w:id="3787"/>
    </w:p>
    <w:p>
      <w:pPr>
        <w:pStyle w:val="BookText"/>
      </w:pPr>
      <w:r>
        <w:rPr>
          <w:rFonts w:ascii="Amiri" w:hAnsi="Amiri" w:eastAsia="Amiri" w:cs="Amiri"/>
          <w:lang w:bidi="ar-SA"/>
          <w:color w:val="111111"/>
          <w:sz w:val="28"/>
          <w:szCs w:val="28"/>
          <w:rtl/>
        </w:rPr>
        <w:t xml:space="preserve">1 .تقريرات السيد كاظم اليزدي، جع،</w:t>
      </w:r>
    </w:p>
    <w:p>
      <w:pPr>
        <w:pStyle w:val="BookText"/>
      </w:pPr>
      <w:r>
        <w:rPr>
          <w:rFonts w:ascii="IRNazanin" w:hAnsi="IRNazanin" w:eastAsia="IRNazanin" w:cs="IRNazanin"/>
          <w:lang w:bidi="fa-IR"/>
          <w:color w:val="111111"/>
          <w:sz w:val="28"/>
          <w:szCs w:val="28"/>
          <w:rtl/>
        </w:rPr>
        <w:t xml:space="preserve">ص 755 .</w:t>
      </w:r>
    </w:p>
    <w:p>
      <w:pPr>
        <w:pStyle w:val="BookText"/>
      </w:pPr>
      <w:r>
        <w:rPr>
          <w:rFonts w:ascii="Amiri" w:hAnsi="Amiri" w:eastAsia="Amiri" w:cs="Amiri"/>
          <w:lang w:bidi="ar-SA"/>
          <w:color w:val="111111"/>
          <w:sz w:val="28"/>
          <w:szCs w:val="28"/>
          <w:rtl/>
        </w:rPr>
        <w:t xml:space="preserve">2 .الدرة البيضاء في شرح خطبة</w:t>
      </w:r>
    </w:p>
    <w:p>
      <w:pPr>
        <w:pStyle w:val="BookText"/>
      </w:pPr>
      <w:r>
        <w:rPr>
          <w:rFonts w:ascii="IRNazanin" w:hAnsi="IRNazanin" w:eastAsia="IRNazanin" w:cs="IRNazanin"/>
          <w:lang w:bidi="fa-IR"/>
          <w:color w:val="111111"/>
          <w:sz w:val="28"/>
          <w:szCs w:val="28"/>
          <w:rtl/>
        </w:rPr>
        <w:t xml:space="preserve">الزهراء، ج 7، ص 229 .</w:t>
      </w:r>
    </w:p>
    <w:p>
      <w:pPr>
        <w:pStyle w:val="BookText"/>
      </w:pPr>
      <w:r>
        <w:rPr>
          <w:rFonts w:ascii="Amiri" w:hAnsi="Amiri" w:eastAsia="Amiri" w:cs="Amiri"/>
          <w:lang w:bidi="ar-SA"/>
          <w:color w:val="111111"/>
          <w:sz w:val="28"/>
          <w:szCs w:val="28"/>
          <w:rtl/>
        </w:rPr>
        <w:t xml:space="preserve">3.شرح الأرجوزة الأعسمية، ج9،</w:t>
      </w:r>
    </w:p>
    <w:p>
      <w:pPr>
        <w:pStyle w:val="BookText"/>
      </w:pPr>
      <w:r>
        <w:rPr>
          <w:rFonts w:ascii="IRNazanin" w:hAnsi="IRNazanin" w:eastAsia="IRNazanin" w:cs="IRNazanin"/>
          <w:lang w:bidi="fa-IR"/>
          <w:color w:val="111111"/>
          <w:sz w:val="28"/>
          <w:szCs w:val="28"/>
          <w:rtl/>
        </w:rPr>
        <w:t xml:space="preserve">ص178</w:t>
      </w:r>
    </w:p>
    <w:p>
      <w:pPr>
        <w:pStyle w:val="BookText"/>
      </w:pPr>
      <w:r>
        <w:rPr>
          <w:rFonts w:ascii="Amiri" w:hAnsi="Amiri" w:eastAsia="Amiri" w:cs="Amiri"/>
          <w:lang w:bidi="ar-SA"/>
          <w:color w:val="111111"/>
          <w:sz w:val="28"/>
          <w:szCs w:val="28"/>
          <w:rtl/>
        </w:rPr>
        <w:t xml:space="preserve">4 .غاية الاحكام، ج 11، ص 426.</w:t>
      </w:r>
    </w:p>
    <w:p>
      <w:pPr>
        <w:pStyle w:val="BookText"/>
      </w:pPr>
      <w:r>
        <w:rPr>
          <w:rFonts w:ascii="Amiri" w:hAnsi="Amiri" w:eastAsia="Amiri" w:cs="Amiri"/>
          <w:lang w:bidi="ar-SA"/>
          <w:color w:val="111111"/>
          <w:sz w:val="28"/>
          <w:szCs w:val="28"/>
          <w:rtl/>
        </w:rPr>
        <w:t xml:space="preserve">5 .مجموعة مجالس، ج 14، ص 55.</w:t>
      </w:r>
    </w:p>
    <w:p>
      <w:pPr>
        <w:pStyle w:val="BookText"/>
      </w:pPr>
      <w:r>
        <w:rPr>
          <w:rFonts w:ascii="Amiri" w:hAnsi="Amiri" w:eastAsia="Amiri" w:cs="Amiri"/>
          <w:lang w:bidi="ar-SA"/>
          <w:color w:val="111111"/>
          <w:sz w:val="28"/>
          <w:szCs w:val="28"/>
          <w:rtl/>
        </w:rPr>
        <w:t xml:space="preserve">حسيني ، هبة الله -شاه ميري شيرازي ،</w:t>
      </w:r>
    </w:p>
    <w:p>
      <w:pPr>
        <w:pStyle w:val="BookText"/>
      </w:pPr>
      <w:r>
        <w:rPr>
          <w:rFonts w:ascii="Amiri" w:hAnsi="Amiri" w:eastAsia="Amiri" w:cs="Amiri"/>
          <w:lang w:bidi="ar-SA"/>
          <w:color w:val="111111"/>
          <w:sz w:val="28"/>
          <w:szCs w:val="28"/>
          <w:rtl/>
        </w:rPr>
        <w:t xml:space="preserve">هبة الله بن عطاء الله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9" w:name="pg7742_70211"/>
    <w:bookmarkEnd w:id="409"/>
    <w:p>
      <w:pPr>
        <w:pStyle w:val="Heading2"/>
      </w:pPr>
      <w:bookmarkStart w:id="3788" w:name="_Toc2890"/>
      <w:r>
        <w:t>حسيني هراتي، علي بن عبدالله، 1280 -</w:t>
      </w:r>
      <w:bookmarkEnd w:id="3788"/>
    </w:p>
    <w:p>
      <w:pPr>
        <w:pStyle w:val="BookText"/>
      </w:pPr>
      <w:r>
        <w:rPr>
          <w:rFonts w:ascii="IRNazanin" w:hAnsi="IRNazanin" w:eastAsia="IRNazanin" w:cs="IRNazanin"/>
          <w:lang w:bidi="fa-IR"/>
          <w:color w:val="111111"/>
          <w:sz w:val="28"/>
          <w:szCs w:val="28"/>
          <w:rtl/>
        </w:rPr>
        <w:t xml:space="preserve">1309ه-</w:t>
      </w:r>
    </w:p>
    <w:p>
      <w:pPr>
        <w:pStyle w:val="BookText"/>
      </w:pPr>
      <w:r>
        <w:rPr>
          <w:rFonts w:ascii="IRNazanin" w:hAnsi="IRNazanin" w:eastAsia="IRNazanin" w:cs="IRNazanin"/>
          <w:lang w:bidi="fa-IR"/>
          <w:color w:val="111111"/>
          <w:sz w:val="28"/>
          <w:szCs w:val="28"/>
          <w:rtl/>
        </w:rPr>
        <w:t xml:space="preserve">دیوان آشفته، ج 7، ص508</w:t>
      </w:r>
    </w:p>
    <w:p>
      <w:pPr>
        <w:pStyle w:val="Heading2"/>
      </w:pPr>
      <w:bookmarkStart w:id="3789" w:name="_Toc2891"/>
      <w:r>
        <w:t>حسيني هروي، امیر حسین بن امیر عالم</w:t>
      </w:r>
      <w:bookmarkEnd w:id="3789"/>
    </w:p>
    <w:p>
      <w:pPr>
        <w:pStyle w:val="BookText"/>
      </w:pPr>
      <w:r>
        <w:rPr>
          <w:rFonts w:ascii="IRNazanin" w:hAnsi="IRNazanin" w:eastAsia="IRNazanin" w:cs="IRNazanin"/>
          <w:lang w:bidi="fa-IR"/>
          <w:color w:val="111111"/>
          <w:sz w:val="28"/>
          <w:szCs w:val="28"/>
          <w:rtl/>
        </w:rPr>
        <w:t xml:space="preserve">671 - 723 ه-</w:t>
      </w:r>
    </w:p>
    <w:p>
      <w:pPr>
        <w:pStyle w:val="BookText"/>
      </w:pPr>
      <w:r>
        <w:rPr>
          <w:rFonts w:ascii="Amiri" w:hAnsi="Amiri" w:eastAsia="Amiri" w:cs="Amiri"/>
          <w:lang w:bidi="ar-SA"/>
          <w:color w:val="111111"/>
          <w:sz w:val="28"/>
          <w:szCs w:val="28"/>
          <w:rtl/>
        </w:rPr>
        <w:t xml:space="preserve">1 .كنز الرموز ، ج 13، ص 421.</w:t>
      </w:r>
    </w:p>
    <w:p>
      <w:pPr>
        <w:pStyle w:val="BookText"/>
      </w:pPr>
      <w:r>
        <w:rPr>
          <w:rFonts w:ascii="Amiri" w:hAnsi="Amiri" w:eastAsia="Amiri" w:cs="Amiri"/>
          <w:lang w:bidi="ar-SA"/>
          <w:color w:val="111111"/>
          <w:sz w:val="28"/>
          <w:szCs w:val="28"/>
          <w:rtl/>
        </w:rPr>
        <w:t xml:space="preserve">2 .مثنوي، ج13، ص774.</w:t>
      </w:r>
    </w:p>
    <w:p>
      <w:pPr>
        <w:pStyle w:val="BookText"/>
      </w:pPr>
      <w:r>
        <w:rPr>
          <w:rFonts w:ascii="Amiri" w:hAnsi="Amiri" w:eastAsia="Amiri" w:cs="Amiri"/>
          <w:lang w:bidi="ar-SA"/>
          <w:color w:val="111111"/>
          <w:sz w:val="28"/>
          <w:szCs w:val="28"/>
          <w:rtl/>
        </w:rPr>
        <w:t xml:space="preserve">3 .نزهة الارواح، ج 16 ، ص 217.</w:t>
      </w:r>
    </w:p>
    <w:p>
      <w:pPr>
        <w:pStyle w:val="Heading2"/>
      </w:pPr>
      <w:bookmarkStart w:id="3790" w:name="_Toc2892"/>
      <w:r>
        <w:t>حسيني هروي، حسين بن غياث الدين</w:t>
      </w:r>
      <w:bookmarkEnd w:id="37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928 ه-</w:t>
      </w:r>
    </w:p>
    <w:p>
      <w:pPr>
        <w:pStyle w:val="BookText"/>
      </w:pPr>
      <w:r>
        <w:rPr>
          <w:rFonts w:ascii="Amiri" w:hAnsi="Amiri" w:eastAsia="Amiri" w:cs="Amiri"/>
          <w:lang w:bidi="ar-SA"/>
          <w:color w:val="111111"/>
          <w:sz w:val="28"/>
          <w:szCs w:val="28"/>
          <w:rtl/>
        </w:rPr>
        <w:t xml:space="preserve">1 .اساس الاقتباس = اوائل التحرير - البيان و الانشاء، ج 2، ص 74.</w:t>
      </w:r>
    </w:p>
    <w:p>
      <w:pPr>
        <w:pStyle w:val="BookText"/>
      </w:pPr>
      <w:r>
        <w:rPr>
          <w:rFonts w:ascii="Amiri" w:hAnsi="Amiri" w:eastAsia="Amiri" w:cs="Amiri"/>
          <w:lang w:bidi="ar-SA"/>
          <w:color w:val="111111"/>
          <w:sz w:val="28"/>
          <w:szCs w:val="28"/>
          <w:rtl/>
        </w:rPr>
        <w:t xml:space="preserve">2 .مختار الاختيار على مذهب المختار</w:t>
      </w:r>
    </w:p>
    <w:p>
      <w:pPr>
        <w:pStyle w:val="BookText"/>
      </w:pPr>
      <w:r>
        <w:rPr>
          <w:rFonts w:ascii="IRNazanin" w:hAnsi="IRNazanin" w:eastAsia="IRNazanin" w:cs="IRNazanin"/>
          <w:lang w:bidi="fa-IR"/>
          <w:color w:val="111111"/>
          <w:sz w:val="28"/>
          <w:szCs w:val="28"/>
          <w:rtl/>
        </w:rPr>
        <w:t xml:space="preserve">ج 14، ص 149 .</w:t>
      </w:r>
    </w:p>
    <w:p>
      <w:pPr>
        <w:pStyle w:val="Heading2"/>
      </w:pPr>
      <w:bookmarkStart w:id="3791" w:name="_Toc2893"/>
      <w:r>
        <w:t>حسيني همداني ، ابوطالب بن</w:t>
      </w:r>
      <w:bookmarkEnd w:id="3791"/>
    </w:p>
    <w:p>
      <w:pPr>
        <w:pStyle w:val="BookText"/>
      </w:pPr>
      <w:r>
        <w:rPr>
          <w:rFonts w:ascii="IRNazanin" w:hAnsi="IRNazanin" w:eastAsia="IRNazanin" w:cs="IRNazanin"/>
          <w:lang w:bidi="fa-IR"/>
          <w:color w:val="111111"/>
          <w:sz w:val="28"/>
          <w:szCs w:val="28"/>
          <w:rtl/>
        </w:rPr>
        <w:t xml:space="preserve">عبد المطلب - 1266 ه-</w:t>
      </w:r>
    </w:p>
    <w:p>
      <w:pPr>
        <w:pStyle w:val="BookText"/>
      </w:pPr>
      <w:r>
        <w:rPr>
          <w:rFonts w:ascii="Amiri" w:hAnsi="Amiri" w:eastAsia="Amiri" w:cs="Amiri"/>
          <w:lang w:bidi="ar-SA"/>
          <w:color w:val="111111"/>
          <w:sz w:val="28"/>
          <w:szCs w:val="28"/>
          <w:rtl/>
        </w:rPr>
        <w:t xml:space="preserve">1 .تقريرات في الاصول، ج 4، ص 768 .</w:t>
      </w:r>
    </w:p>
    <w:p>
      <w:pPr>
        <w:pStyle w:val="BookText"/>
      </w:pPr>
      <w:r>
        <w:rPr>
          <w:rFonts w:ascii="IRNazanin" w:hAnsi="IRNazanin" w:eastAsia="IRNazanin" w:cs="IRNazanin"/>
          <w:lang w:bidi="fa-IR"/>
          <w:color w:val="111111"/>
          <w:sz w:val="28"/>
          <w:szCs w:val="28"/>
          <w:rtl/>
        </w:rPr>
        <w:t xml:space="preserve">2 .نجاة العباد (ترجمه و تلخیص) =</w:t>
      </w:r>
    </w:p>
    <w:p>
      <w:pPr>
        <w:pStyle w:val="BookText"/>
      </w:pPr>
      <w:r>
        <w:rPr>
          <w:rFonts w:ascii="Amiri" w:hAnsi="Amiri" w:eastAsia="Amiri" w:cs="Amiri"/>
          <w:lang w:bidi="ar-SA"/>
          <w:color w:val="111111"/>
          <w:sz w:val="28"/>
          <w:szCs w:val="28"/>
          <w:rtl/>
        </w:rPr>
        <w:t xml:space="preserve">رساله عمليه، ج 16، ص 146.</w:t>
      </w:r>
    </w:p>
    <w:p>
      <w:pPr>
        <w:pStyle w:val="Heading2"/>
      </w:pPr>
      <w:bookmarkStart w:id="3792" w:name="_Toc2894"/>
      <w:r>
        <w:t>حسيني همداني، حسين بن علي قرن 14ه-</w:t>
      </w:r>
      <w:bookmarkEnd w:id="3792"/>
    </w:p>
    <w:p>
      <w:pPr>
        <w:pStyle w:val="BookText"/>
      </w:pPr>
      <w:r>
        <w:rPr>
          <w:rFonts w:ascii="Amiri" w:hAnsi="Amiri" w:eastAsia="Amiri" w:cs="Amiri"/>
          <w:lang w:bidi="ar-SA"/>
          <w:color w:val="111111"/>
          <w:sz w:val="28"/>
          <w:szCs w:val="28"/>
          <w:rtl/>
        </w:rPr>
        <w:t xml:space="preserve">1 .جنات الخلود المعمور في جداول</w:t>
      </w:r>
    </w:p>
    <w:p>
      <w:pPr>
        <w:pStyle w:val="BookText"/>
      </w:pPr>
      <w:r>
        <w:rPr>
          <w:rFonts w:ascii="IRNazanin" w:hAnsi="IRNazanin" w:eastAsia="IRNazanin" w:cs="IRNazanin"/>
          <w:lang w:bidi="fa-IR"/>
          <w:color w:val="111111"/>
          <w:sz w:val="28"/>
          <w:szCs w:val="28"/>
          <w:rtl/>
        </w:rPr>
        <w:t xml:space="preserve">النور (ترجمه)، ج 5 ص 456.</w:t>
      </w:r>
    </w:p>
    <w:p>
      <w:pPr>
        <w:pStyle w:val="BookText"/>
      </w:pPr>
      <w:r>
        <w:rPr>
          <w:rFonts w:ascii="Amiri" w:hAnsi="Amiri" w:eastAsia="Amiri" w:cs="Amiri"/>
          <w:lang w:bidi="ar-SA"/>
          <w:color w:val="111111"/>
          <w:sz w:val="28"/>
          <w:szCs w:val="28"/>
          <w:rtl/>
        </w:rPr>
        <w:t xml:space="preserve">2 .الشعائر الحسينية، ج 10، ص 365.</w:t>
      </w:r>
    </w:p>
    <w:p>
      <w:pPr>
        <w:pStyle w:val="BookText"/>
      </w:pPr>
      <w:r>
        <w:rPr>
          <w:rFonts w:ascii="IRNazanin" w:hAnsi="IRNazanin" w:eastAsia="IRNazanin" w:cs="IRNazanin"/>
          <w:lang w:bidi="fa-IR"/>
          <w:color w:val="111111"/>
          <w:sz w:val="28"/>
          <w:szCs w:val="28"/>
          <w:rtl/>
        </w:rPr>
        <w:t xml:space="preserve">3 .مصباح الجمان لمفتاح الجنان، ج 14،</w:t>
      </w:r>
    </w:p>
    <w:p>
      <w:pPr>
        <w:pStyle w:val="BookText"/>
      </w:pPr>
      <w:r>
        <w:rPr>
          <w:rFonts w:ascii="IRNazanin" w:hAnsi="IRNazanin" w:eastAsia="IRNazanin" w:cs="IRNazanin"/>
          <w:lang w:bidi="fa-IR"/>
          <w:color w:val="111111"/>
          <w:sz w:val="28"/>
          <w:szCs w:val="28"/>
          <w:rtl/>
        </w:rPr>
        <w:t xml:space="preserve">ص 704.</w:t>
      </w:r>
    </w:p>
    <w:p>
      <w:pPr>
        <w:pStyle w:val="BookText"/>
      </w:pPr>
      <w:r>
        <w:rPr>
          <w:rFonts w:ascii="Amiri" w:hAnsi="Amiri" w:eastAsia="Amiri" w:cs="Amiri"/>
          <w:lang w:bidi="ar-SA"/>
          <w:color w:val="111111"/>
          <w:sz w:val="28"/>
          <w:szCs w:val="28"/>
          <w:rtl/>
        </w:rPr>
        <w:t xml:space="preserve">حسيني همداني ، علي بن محمّد- كمالي</w:t>
      </w:r>
    </w:p>
    <w:p>
      <w:pPr>
        <w:pStyle w:val="BookText"/>
      </w:pPr>
      <w:r>
        <w:rPr>
          <w:rFonts w:ascii="Amiri" w:hAnsi="Amiri" w:eastAsia="Amiri" w:cs="Amiri"/>
          <w:lang w:bidi="ar-SA"/>
          <w:color w:val="111111"/>
          <w:sz w:val="28"/>
          <w:szCs w:val="28"/>
          <w:rtl/>
        </w:rPr>
        <w:t xml:space="preserve">همداني ، علي بن محمّد</w:t>
      </w:r>
    </w:p>
    <w:p>
      <w:pPr>
        <w:pStyle w:val="Heading2"/>
      </w:pPr>
      <w:bookmarkStart w:id="3793" w:name="_Toc2895"/>
      <w:r>
        <w:t>حسيني همداني ، محمّد بن موسى -</w:t>
      </w:r>
      <w:bookmarkEnd w:id="3793"/>
    </w:p>
    <w:p>
      <w:pPr>
        <w:pStyle w:val="BookText"/>
      </w:pPr>
      <w:r>
        <w:rPr>
          <w:rFonts w:ascii="IRNazanin" w:hAnsi="IRNazanin" w:eastAsia="IRNazanin" w:cs="IRNazanin"/>
          <w:lang w:bidi="fa-IR"/>
          <w:color w:val="111111"/>
          <w:sz w:val="28"/>
          <w:szCs w:val="28"/>
          <w:rtl/>
        </w:rPr>
        <w:t xml:space="preserve">1349ه-</w:t>
      </w:r>
    </w:p>
    <w:p>
      <w:pPr>
        <w:pStyle w:val="BookText"/>
      </w:pPr>
      <w:r>
        <w:rPr>
          <w:rFonts w:ascii="IRNazanin" w:hAnsi="IRNazanin" w:eastAsia="IRNazanin" w:cs="IRNazanin"/>
          <w:lang w:bidi="fa-IR"/>
          <w:color w:val="111111"/>
          <w:sz w:val="28"/>
          <w:szCs w:val="28"/>
          <w:rtl/>
        </w:rPr>
        <w:t xml:space="preserve">1 .اصول الفقه، ج 2، ص 438</w:t>
      </w:r>
    </w:p>
    <w:p>
      <w:pPr>
        <w:pStyle w:val="BookText"/>
      </w:pPr>
      <w:r>
        <w:rPr>
          <w:rFonts w:ascii="Amiri" w:hAnsi="Amiri" w:eastAsia="Amiri" w:cs="Amiri"/>
          <w:lang w:bidi="ar-SA"/>
          <w:color w:val="111111"/>
          <w:sz w:val="28"/>
          <w:szCs w:val="28"/>
          <w:rtl/>
        </w:rPr>
        <w:t xml:space="preserve">2 .الحج (رسالة في)، ج 6، ص 477.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العصير العنبي و الزبيبي و التمري</w:t>
      </w:r>
    </w:p>
    <w:p>
      <w:pPr>
        <w:pStyle w:val="BookText"/>
      </w:pPr>
      <w:r>
        <w:rPr>
          <w:rFonts w:ascii="IRNazanin" w:hAnsi="IRNazanin" w:eastAsia="IRNazanin" w:cs="IRNazanin"/>
          <w:lang w:bidi="fa-IR"/>
          <w:color w:val="111111"/>
          <w:sz w:val="28"/>
          <w:szCs w:val="28"/>
          <w:rtl/>
        </w:rPr>
        <w:t xml:space="preserve">ج 11، ص 127.</w:t>
      </w:r>
    </w:p>
    <w:p>
      <w:pPr>
        <w:pStyle w:val="BookText"/>
      </w:pPr>
      <w:r>
        <w:rPr>
          <w:rFonts w:ascii="IRNazanin" w:hAnsi="IRNazanin" w:eastAsia="IRNazanin" w:cs="IRNazanin"/>
          <w:lang w:bidi="fa-IR"/>
          <w:color w:val="111111"/>
          <w:sz w:val="28"/>
          <w:szCs w:val="28"/>
          <w:rtl/>
        </w:rPr>
        <w:t xml:space="preserve">حسيني واسطي ، امير حيدر بن نورحسین- بلگرامي ، امير حيدر بن نورحسين</w:t>
      </w:r>
    </w:p>
    <w:p>
      <w:pPr>
        <w:pStyle w:val="BookText"/>
      </w:pPr>
      <w:r>
        <w:rPr>
          <w:rFonts w:ascii="IRNazanin" w:hAnsi="IRNazanin" w:eastAsia="IRNazanin" w:cs="IRNazanin"/>
          <w:lang w:bidi="fa-IR"/>
          <w:color w:val="111111"/>
          <w:sz w:val="28"/>
          <w:szCs w:val="28"/>
          <w:rtl/>
        </w:rPr>
        <w:t xml:space="preserve">حسيني واسطي ، غلامعلي بن محمّد نوح -آزاد بلگرامي ، مير غلامعلي بن نوح</w:t>
      </w:r>
    </w:p>
    <w:p>
      <w:pPr>
        <w:pStyle w:val="BookText"/>
      </w:pPr>
      <w:r>
        <w:rPr>
          <w:rFonts w:ascii="Amiri" w:hAnsi="Amiri" w:eastAsia="Amiri" w:cs="Amiri"/>
          <w:lang w:bidi="ar-SA"/>
          <w:color w:val="111111"/>
          <w:sz w:val="28"/>
          <w:szCs w:val="28"/>
          <w:rtl/>
        </w:rPr>
        <w:t xml:space="preserve">حسيني واسطي ، محمّد بن</w:t>
      </w:r>
    </w:p>
    <w:p>
      <w:pPr>
        <w:pStyle w:val="BookText"/>
      </w:pPr>
      <w:r>
        <w:rPr>
          <w:rFonts w:ascii="Amiri" w:hAnsi="Amiri" w:eastAsia="Amiri" w:cs="Amiri"/>
          <w:lang w:bidi="ar-SA"/>
          <w:color w:val="111111"/>
          <w:sz w:val="28"/>
          <w:szCs w:val="28"/>
          <w:rtl/>
        </w:rPr>
        <w:t xml:space="preserve">حسن- واسطي ، محمّد بن حسن</w:t>
      </w:r>
    </w:p>
    <w:p>
      <w:pPr>
        <w:pStyle w:val="Heading2"/>
      </w:pPr>
      <w:bookmarkStart w:id="3794" w:name="_Toc2896"/>
      <w:r>
        <w:t>حسيني واسطي، وزير علي بن امير علي</w:t>
      </w:r>
      <w:bookmarkEnd w:id="3794"/>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سراج الشريعة، ج8، ص728.</w:t>
      </w:r>
    </w:p>
    <w:p>
      <w:pPr>
        <w:pStyle w:val="BookText"/>
      </w:pPr>
      <w:r>
        <w:rPr>
          <w:rFonts w:ascii="Amiri" w:hAnsi="Amiri" w:eastAsia="Amiri" w:cs="Amiri"/>
          <w:lang w:bidi="ar-SA"/>
          <w:color w:val="111111"/>
          <w:sz w:val="28"/>
          <w:szCs w:val="28"/>
          <w:rtl/>
        </w:rPr>
        <w:t xml:space="preserve">حسيني واعظ ، عبد الفتاح بن محمّد -واعظ ، عبد الفتاح بن محمّد</w:t>
      </w:r>
    </w:p>
    <w:p>
      <w:pPr>
        <w:pStyle w:val="Heading2"/>
      </w:pPr>
      <w:bookmarkStart w:id="3795" w:name="_Toc2897"/>
      <w:r>
        <w:t>حسيني واعظ ، محمّد صادق بن محمّد</w:t>
      </w:r>
      <w:bookmarkEnd w:id="3795"/>
    </w:p>
    <w:p>
      <w:pPr>
        <w:pStyle w:val="BookText"/>
      </w:pPr>
      <w:r>
        <w:rPr>
          <w:rFonts w:ascii="IRNazanin" w:hAnsi="IRNazanin" w:eastAsia="IRNazanin" w:cs="IRNazanin"/>
          <w:lang w:bidi="fa-IR"/>
          <w:color w:val="111111"/>
          <w:sz w:val="28"/>
          <w:szCs w:val="28"/>
          <w:rtl/>
        </w:rPr>
        <w:t xml:space="preserve">باقر، قرن 13 ه-</w:t>
      </w:r>
    </w:p>
    <w:p>
      <w:pPr>
        <w:pStyle w:val="BookText"/>
      </w:pPr>
      <w:r>
        <w:rPr>
          <w:rFonts w:ascii="Amiri" w:hAnsi="Amiri" w:eastAsia="Amiri" w:cs="Amiri"/>
          <w:lang w:bidi="ar-SA"/>
          <w:color w:val="111111"/>
          <w:sz w:val="28"/>
          <w:szCs w:val="28"/>
          <w:rtl/>
        </w:rPr>
        <w:t xml:space="preserve">جارح العينين في مصيبة مولانا الحسين، ج 5، ص 237 .</w:t>
      </w:r>
    </w:p>
    <w:p>
      <w:pPr>
        <w:pStyle w:val="Heading2"/>
      </w:pPr>
      <w:bookmarkStart w:id="3796" w:name="_Toc2898"/>
      <w:r>
        <w:t>حسيني ، يحيى بن محمّد</w:t>
      </w:r>
      <w:bookmarkEnd w:id="3796"/>
    </w:p>
    <w:p>
      <w:pPr>
        <w:pStyle w:val="BookText"/>
      </w:pPr>
      <w:r>
        <w:rPr>
          <w:rFonts w:ascii="Amiri" w:hAnsi="Amiri" w:eastAsia="Amiri" w:cs="Amiri"/>
          <w:lang w:bidi="ar-SA"/>
          <w:color w:val="111111"/>
          <w:sz w:val="28"/>
          <w:szCs w:val="28"/>
          <w:rtl/>
        </w:rPr>
        <w:t xml:space="preserve">نجاة العباد في يوم الميعاد، ج 16،</w:t>
      </w:r>
    </w:p>
    <w:p>
      <w:pPr>
        <w:pStyle w:val="BookText"/>
      </w:pPr>
      <w:r>
        <w:rPr>
          <w:rFonts w:ascii="IRNazanin" w:hAnsi="IRNazanin" w:eastAsia="IRNazanin" w:cs="IRNazanin"/>
          <w:lang w:bidi="fa-IR"/>
          <w:color w:val="111111"/>
          <w:sz w:val="28"/>
          <w:szCs w:val="28"/>
          <w:rtl/>
        </w:rPr>
        <w:t xml:space="preserve">ص 151.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0" w:name="pg7742_70212"/>
    <w:bookmarkEnd w:id="410"/>
    <w:p>
      <w:pPr>
        <w:pStyle w:val="Heading2"/>
      </w:pPr>
      <w:bookmarkStart w:id="3797" w:name="_Toc2899"/>
      <w:r>
        <w:t>حسيني يزدي ، عبدالغفور بن محمّد</w:t>
      </w:r>
      <w:bookmarkEnd w:id="3797"/>
    </w:p>
    <w:p>
      <w:pPr>
        <w:pStyle w:val="BookText"/>
      </w:pPr>
      <w:r>
        <w:rPr>
          <w:rFonts w:ascii="Amiri" w:hAnsi="Amiri" w:eastAsia="Amiri" w:cs="Amiri"/>
          <w:lang w:bidi="ar-SA"/>
          <w:color w:val="111111"/>
          <w:sz w:val="28"/>
          <w:szCs w:val="28"/>
          <w:rtl/>
        </w:rPr>
        <w:t xml:space="preserve">اسماعيل - 1346 ه-</w:t>
      </w:r>
    </w:p>
    <w:p>
      <w:pPr>
        <w:pStyle w:val="BookText"/>
      </w:pPr>
      <w:r>
        <w:rPr>
          <w:rFonts w:ascii="Amiri" w:hAnsi="Amiri" w:eastAsia="Amiri" w:cs="Amiri"/>
          <w:lang w:bidi="ar-SA"/>
          <w:color w:val="111111"/>
          <w:sz w:val="28"/>
          <w:szCs w:val="28"/>
          <w:rtl/>
        </w:rPr>
        <w:t xml:space="preserve">التحفة الغروية = حاشيه قوانين، ج3،</w:t>
      </w:r>
    </w:p>
    <w:p>
      <w:pPr>
        <w:pStyle w:val="BookText"/>
      </w:pPr>
      <w:r>
        <w:rPr>
          <w:rFonts w:ascii="IRNazanin" w:hAnsi="IRNazanin" w:eastAsia="IRNazanin" w:cs="IRNazanin"/>
          <w:lang w:bidi="fa-IR"/>
          <w:color w:val="111111"/>
          <w:sz w:val="28"/>
          <w:szCs w:val="28"/>
          <w:rtl/>
        </w:rPr>
        <w:t xml:space="preserve">ص 872.</w:t>
      </w:r>
    </w:p>
    <w:p>
      <w:pPr>
        <w:pStyle w:val="BookText"/>
      </w:pPr>
      <w:r>
        <w:rPr>
          <w:rFonts w:ascii="Amiri" w:hAnsi="Amiri" w:eastAsia="Amiri" w:cs="Amiri"/>
          <w:lang w:bidi="ar-SA"/>
          <w:color w:val="111111"/>
          <w:sz w:val="28"/>
          <w:szCs w:val="28"/>
          <w:rtl/>
        </w:rPr>
        <w:t xml:space="preserve">حسيني يزدي ، علي اكبر- حسني يزدي ،</w:t>
      </w:r>
    </w:p>
    <w:p>
      <w:pPr>
        <w:pStyle w:val="BookText"/>
      </w:pPr>
      <w:r>
        <w:rPr>
          <w:rFonts w:ascii="Amiri" w:hAnsi="Amiri" w:eastAsia="Amiri" w:cs="Amiri"/>
          <w:lang w:bidi="ar-SA"/>
          <w:color w:val="111111"/>
          <w:sz w:val="28"/>
          <w:szCs w:val="28"/>
          <w:rtl/>
        </w:rPr>
        <w:t xml:space="preserve">علي اكبر بن محمّد جعفر</w:t>
      </w:r>
    </w:p>
    <w:p>
      <w:pPr>
        <w:pStyle w:val="Heading2"/>
      </w:pPr>
      <w:bookmarkStart w:id="3798" w:name="_Toc2900"/>
      <w:r>
        <w:t>حسيني يزدي، محمّد بن محمود قرن 13ه-</w:t>
      </w:r>
      <w:bookmarkEnd w:id="3798"/>
    </w:p>
    <w:p>
      <w:pPr>
        <w:pStyle w:val="BookText"/>
      </w:pPr>
      <w:r>
        <w:rPr>
          <w:rFonts w:ascii="Amiri" w:hAnsi="Amiri" w:eastAsia="Amiri" w:cs="Amiri"/>
          <w:lang w:bidi="ar-SA"/>
          <w:color w:val="111111"/>
          <w:sz w:val="28"/>
          <w:szCs w:val="28"/>
          <w:rtl/>
        </w:rPr>
        <w:t xml:space="preserve">بهجة الطالبين = شرح الكبرى في المنطق، ج 3، ص 420.</w:t>
      </w:r>
    </w:p>
    <w:p>
      <w:pPr>
        <w:pStyle w:val="BookText"/>
      </w:pPr>
      <w:r>
        <w:rPr>
          <w:rFonts w:ascii="IRNazanin" w:hAnsi="IRNazanin" w:eastAsia="IRNazanin" w:cs="IRNazanin"/>
          <w:lang w:bidi="fa-IR"/>
          <w:color w:val="111111"/>
          <w:sz w:val="28"/>
          <w:szCs w:val="28"/>
          <w:rtl/>
        </w:rPr>
        <w:t xml:space="preserve">حسيني يزدي، محمّد علي- يزدي ، محمّد علی</w:t>
      </w:r>
    </w:p>
    <w:p>
      <w:pPr>
        <w:pStyle w:val="Heading2"/>
      </w:pPr>
      <w:bookmarkStart w:id="3799" w:name="_Toc2901"/>
      <w:r>
        <w:t>حسيني يمني ، احمد بن عبدالرحمن</w:t>
      </w:r>
      <w:bookmarkEnd w:id="3799"/>
    </w:p>
    <w:p>
      <w:pPr>
        <w:pStyle w:val="BookText"/>
      </w:pPr>
      <w:r>
        <w:rPr>
          <w:rFonts w:ascii="IRNazanin" w:hAnsi="IRNazanin" w:eastAsia="IRNazanin" w:cs="IRNazanin"/>
          <w:lang w:bidi="fa-IR"/>
          <w:color w:val="111111"/>
          <w:sz w:val="28"/>
          <w:szCs w:val="28"/>
          <w:rtl/>
        </w:rPr>
        <w:t xml:space="preserve">769 ه-</w:t>
      </w:r>
    </w:p>
    <w:p>
      <w:pPr>
        <w:pStyle w:val="BookText"/>
      </w:pPr>
      <w:r>
        <w:rPr>
          <w:rFonts w:ascii="IRNazanin" w:hAnsi="IRNazanin" w:eastAsia="IRNazanin" w:cs="IRNazanin"/>
          <w:lang w:bidi="fa-IR"/>
          <w:color w:val="111111"/>
          <w:sz w:val="28"/>
          <w:szCs w:val="28"/>
          <w:rtl/>
        </w:rPr>
        <w:t xml:space="preserve">بالله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الإرشاد في معرفة سباعيات الأعداد</w:t>
      </w:r>
    </w:p>
    <w:p>
      <w:pPr>
        <w:pStyle w:val="BookText"/>
      </w:pPr>
      <w:r>
        <w:rPr>
          <w:rFonts w:ascii="IRNazanin" w:hAnsi="IRNazanin" w:eastAsia="IRNazanin" w:cs="IRNazanin"/>
          <w:lang w:bidi="fa-IR"/>
          <w:color w:val="111111"/>
          <w:sz w:val="28"/>
          <w:szCs w:val="28"/>
          <w:rtl/>
        </w:rPr>
        <w:t xml:space="preserve">ج 2، ص 43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عقود الاعداد = عقد الانامل</w:t>
      </w:r>
    </w:p>
    <w:p>
      <w:pPr>
        <w:pStyle w:val="BookText"/>
      </w:pPr>
      <w:r>
        <w:rPr>
          <w:rFonts w:ascii="IRNazanin" w:hAnsi="IRNazanin" w:eastAsia="IRNazanin" w:cs="IRNazanin"/>
          <w:lang w:bidi="fa-IR"/>
          <w:color w:val="111111"/>
          <w:sz w:val="28"/>
          <w:szCs w:val="28"/>
          <w:rtl/>
        </w:rPr>
        <w:t xml:space="preserve">= حساب العقود، ج 10، ص 689.</w:t>
      </w:r>
    </w:p>
    <w:p>
      <w:pPr>
        <w:pStyle w:val="BookText"/>
      </w:pPr>
      <w:r>
        <w:rPr>
          <w:rFonts w:ascii="Amiri" w:hAnsi="Amiri" w:eastAsia="Amiri" w:cs="Amiri"/>
          <w:lang w:bidi="ar-SA"/>
          <w:color w:val="111111"/>
          <w:sz w:val="28"/>
          <w:szCs w:val="28"/>
          <w:rtl/>
        </w:rPr>
        <w:t xml:space="preserve">حسيني يمني ، يحيى بن حمزه- مؤيد</w:t>
      </w:r>
    </w:p>
    <w:p>
      <w:pPr>
        <w:pStyle w:val="BookText"/>
      </w:pPr>
      <w:r>
        <w:rPr>
          <w:rFonts w:ascii="Amiri" w:hAnsi="Amiri" w:eastAsia="Amiri" w:cs="Amiri"/>
          <w:lang w:bidi="ar-SA"/>
          <w:color w:val="111111"/>
          <w:sz w:val="28"/>
          <w:szCs w:val="28"/>
          <w:rtl/>
        </w:rPr>
        <w:t xml:space="preserve">، يحيى بن حمزه</w:t>
      </w:r>
    </w:p>
    <w:p>
      <w:pPr>
        <w:pStyle w:val="BookText"/>
      </w:pPr>
      <w:r>
        <w:rPr>
          <w:rFonts w:ascii="Amiri" w:hAnsi="Amiri" w:eastAsia="Amiri" w:cs="Amiri"/>
          <w:lang w:bidi="ar-SA"/>
          <w:color w:val="111111"/>
          <w:sz w:val="28"/>
          <w:szCs w:val="28"/>
          <w:rtl/>
        </w:rPr>
        <w:t xml:space="preserve">حشكاني ، عبيد الله بن عبدالله -حسكاني</w:t>
      </w:r>
    </w:p>
    <w:p>
      <w:pPr>
        <w:pStyle w:val="BookText"/>
      </w:pPr>
      <w:r>
        <w:rPr>
          <w:rFonts w:ascii="IRNazanin" w:hAnsi="IRNazanin" w:eastAsia="IRNazanin" w:cs="IRNazanin"/>
          <w:lang w:bidi="fa-IR"/>
          <w:color w:val="111111"/>
          <w:sz w:val="28"/>
          <w:szCs w:val="28"/>
          <w:rtl/>
        </w:rPr>
        <w:t xml:space="preserve">عبیدالله بن عبدالله</w:t>
      </w:r>
    </w:p>
    <w:p>
      <w:pPr>
        <w:pStyle w:val="Heading2"/>
      </w:pPr>
      <w:bookmarkStart w:id="3800" w:name="_Toc2902"/>
      <w:r>
        <w:t>حشمت ، محمّد سعيد بن عباس .</w:t>
      </w:r>
      <w:bookmarkEnd w:id="3800"/>
    </w:p>
    <w:p>
      <w:pPr>
        <w:pStyle w:val="BookText"/>
      </w:pPr>
      <w:r>
        <w:rPr>
          <w:rFonts w:ascii="IRNazanin" w:hAnsi="IRNazanin" w:eastAsia="IRNazanin" w:cs="IRNazanin"/>
          <w:lang w:bidi="fa-IR"/>
          <w:color w:val="111111"/>
          <w:sz w:val="28"/>
          <w:szCs w:val="28"/>
          <w:rtl/>
        </w:rPr>
        <w:t xml:space="preserve">1182 ه-</w:t>
      </w:r>
    </w:p>
    <w:p>
      <w:pPr>
        <w:pStyle w:val="BookText"/>
      </w:pPr>
      <w:r>
        <w:rPr>
          <w:rFonts w:ascii="IRNazanin" w:hAnsi="IRNazanin" w:eastAsia="IRNazanin" w:cs="IRNazanin"/>
          <w:lang w:bidi="fa-IR"/>
          <w:color w:val="111111"/>
          <w:sz w:val="28"/>
          <w:szCs w:val="28"/>
          <w:rtl/>
        </w:rPr>
        <w:t xml:space="preserve">دیوان حشمت، ج 7، ص 624.</w:t>
      </w:r>
    </w:p>
    <w:p>
      <w:pPr>
        <w:pStyle w:val="Heading2"/>
      </w:pPr>
      <w:bookmarkStart w:id="3801" w:name="_Toc2903"/>
      <w:r>
        <w:t>حصري، ابراهيم بن علي - 413 ؟ ه-</w:t>
      </w:r>
      <w:bookmarkEnd w:id="3801"/>
    </w:p>
    <w:p>
      <w:pPr>
        <w:pStyle w:val="BookText"/>
      </w:pPr>
      <w:r>
        <w:rPr>
          <w:rFonts w:ascii="Amiri" w:hAnsi="Amiri" w:eastAsia="Amiri" w:cs="Amiri"/>
          <w:lang w:bidi="ar-SA"/>
          <w:color w:val="111111"/>
          <w:sz w:val="28"/>
          <w:szCs w:val="28"/>
          <w:rtl/>
        </w:rPr>
        <w:t xml:space="preserve">زهر الآداب و ثمرة الالباب، ج 8،</w:t>
      </w:r>
    </w:p>
    <w:p>
      <w:pPr>
        <w:pStyle w:val="BookText"/>
      </w:pPr>
      <w:r>
        <w:rPr>
          <w:rFonts w:ascii="IRNazanin" w:hAnsi="IRNazanin" w:eastAsia="IRNazanin" w:cs="IRNazanin"/>
          <w:lang w:bidi="fa-IR"/>
          <w:color w:val="111111"/>
          <w:sz w:val="28"/>
          <w:szCs w:val="28"/>
          <w:rtl/>
        </w:rPr>
        <w:t xml:space="preserve">ص 615 .</w:t>
      </w:r>
    </w:p>
    <w:p>
      <w:pPr>
        <w:pStyle w:val="BookText"/>
      </w:pPr>
      <w:r>
        <w:rPr>
          <w:rFonts w:ascii="Amiri" w:hAnsi="Amiri" w:eastAsia="Amiri" w:cs="Amiri"/>
          <w:lang w:bidi="ar-SA"/>
          <w:color w:val="111111"/>
          <w:sz w:val="28"/>
          <w:szCs w:val="28"/>
          <w:rtl/>
        </w:rPr>
        <w:t xml:space="preserve">حصكفي ، احمد بن محمّد- ابن ملا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حصكفي ، حسين بن علي- حصني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IRNazanin" w:hAnsi="IRNazanin" w:eastAsia="IRNazanin" w:cs="IRNazanin"/>
          <w:lang w:bidi="fa-IR"/>
          <w:color w:val="111111"/>
          <w:sz w:val="28"/>
          <w:szCs w:val="28"/>
          <w:rtl/>
        </w:rPr>
        <w:t xml:space="preserve">حصكفي ، داود بن ناصر الدين- موصلي داود بن ناصرالدین</w:t>
      </w:r>
    </w:p>
    <w:p>
      <w:pPr>
        <w:pStyle w:val="Heading2"/>
      </w:pPr>
      <w:bookmarkStart w:id="3802" w:name="_Toc2904"/>
      <w:r>
        <w:t>حصكفي ، علي بن مشرف</w:t>
      </w:r>
      <w:bookmarkEnd w:id="3802"/>
    </w:p>
    <w:p>
      <w:pPr>
        <w:pStyle w:val="BookText"/>
      </w:pPr>
      <w:r>
        <w:rPr>
          <w:rFonts w:ascii="Amiri" w:hAnsi="Amiri" w:eastAsia="Amiri" w:cs="Amiri"/>
          <w:lang w:bidi="ar-SA"/>
          <w:color w:val="111111"/>
          <w:sz w:val="28"/>
          <w:szCs w:val="28"/>
          <w:rtl/>
        </w:rPr>
        <w:t xml:space="preserve">مناظرة الورد مع النرجس، ج 15</w:t>
      </w:r>
    </w:p>
    <w:p>
      <w:pPr>
        <w:pStyle w:val="BookText"/>
      </w:pPr>
      <w:r>
        <w:rPr>
          <w:rFonts w:ascii="IRNazanin" w:hAnsi="IRNazanin" w:eastAsia="IRNazanin" w:cs="IRNazanin"/>
          <w:lang w:bidi="fa-IR"/>
          <w:color w:val="111111"/>
          <w:sz w:val="28"/>
          <w:szCs w:val="28"/>
          <w:rtl/>
        </w:rPr>
        <w:t xml:space="preserve">ص 528.</w:t>
      </w:r>
    </w:p>
    <w:p>
      <w:pPr>
        <w:pStyle w:val="Heading2"/>
      </w:pPr>
      <w:bookmarkStart w:id="3803" w:name="_Toc2905"/>
      <w:r>
        <w:t>حصكفي، محمّد بن علي، 1025-1088ه-</w:t>
      </w:r>
      <w:bookmarkEnd w:id="3803"/>
    </w:p>
    <w:p>
      <w:pPr>
        <w:pStyle w:val="BookText"/>
      </w:pPr>
      <w:r>
        <w:rPr>
          <w:rFonts w:ascii="Amiri" w:hAnsi="Amiri" w:eastAsia="Amiri" w:cs="Amiri"/>
          <w:lang w:bidi="ar-SA"/>
          <w:color w:val="111111"/>
          <w:sz w:val="28"/>
          <w:szCs w:val="28"/>
          <w:rtl/>
        </w:rPr>
        <w:t xml:space="preserve">1 .افاضة الانوار على اصول المنار</w:t>
      </w:r>
    </w:p>
    <w:p>
      <w:pPr>
        <w:pStyle w:val="BookText"/>
      </w:pPr>
      <w:r>
        <w:rPr>
          <w:rFonts w:ascii="IRNazanin" w:hAnsi="IRNazanin" w:eastAsia="IRNazanin" w:cs="IRNazanin"/>
          <w:lang w:bidi="fa-IR"/>
          <w:color w:val="111111"/>
          <w:sz w:val="28"/>
          <w:szCs w:val="28"/>
          <w:rtl/>
        </w:rPr>
        <w:t xml:space="preserve">ج 2، ص 590.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ترجمة الامام الاعظم (رسالة في)</w:t>
      </w:r>
    </w:p>
    <w:p>
      <w:pPr>
        <w:pStyle w:val="BookText"/>
      </w:pPr>
      <w:r>
        <w:rPr>
          <w:rFonts w:ascii="IRNazanin" w:hAnsi="IRNazanin" w:eastAsia="IRNazanin" w:cs="IRNazanin"/>
          <w:lang w:bidi="fa-IR"/>
          <w:color w:val="111111"/>
          <w:sz w:val="28"/>
          <w:szCs w:val="28"/>
          <w:rtl/>
        </w:rPr>
        <w:t xml:space="preserve">ج 4، ص 260.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 المختار في شرح تنوير الأبصار</w:t>
      </w:r>
    </w:p>
    <w:p>
      <w:pPr>
        <w:pStyle w:val="BookText"/>
      </w:pPr>
      <w:r>
        <w:rPr>
          <w:rFonts w:ascii="IRNazanin" w:hAnsi="IRNazanin" w:eastAsia="IRNazanin" w:cs="IRNazanin"/>
          <w:lang w:bidi="fa-IR"/>
          <w:color w:val="111111"/>
          <w:sz w:val="28"/>
          <w:szCs w:val="28"/>
          <w:rtl/>
        </w:rPr>
        <w:t xml:space="preserve">ج 7، ص323.</w:t>
      </w:r>
    </w:p>
    <w:p>
      <w:pPr>
        <w:pStyle w:val="BookText"/>
      </w:pPr>
      <w:r>
        <w:rPr>
          <w:rFonts w:ascii="Amiri" w:hAnsi="Amiri" w:eastAsia="Amiri" w:cs="Amiri"/>
          <w:lang w:bidi="ar-SA"/>
          <w:color w:val="111111"/>
          <w:sz w:val="28"/>
          <w:szCs w:val="28"/>
          <w:rtl/>
        </w:rPr>
        <w:t xml:space="preserve">4 .الدر المنتقي في شرح الملتقى، ج 7،</w:t>
      </w:r>
    </w:p>
    <w:p>
      <w:pPr>
        <w:pStyle w:val="BookText"/>
      </w:pPr>
      <w:r>
        <w:rPr>
          <w:rFonts w:ascii="IRNazanin" w:hAnsi="IRNazanin" w:eastAsia="IRNazanin" w:cs="IRNazanin"/>
          <w:lang w:bidi="fa-IR"/>
          <w:color w:val="111111"/>
          <w:sz w:val="28"/>
          <w:szCs w:val="28"/>
          <w:rtl/>
        </w:rPr>
        <w:t xml:space="preserve">ص 339</w:t>
      </w:r>
    </w:p>
    <w:p>
      <w:pPr>
        <w:pStyle w:val="Heading2"/>
      </w:pPr>
      <w:bookmarkStart w:id="3804" w:name="_Toc2906"/>
      <w:r>
        <w:t>حصكفي ، مظفر بن حسين</w:t>
      </w:r>
      <w:bookmarkEnd w:id="3804"/>
    </w:p>
    <w:p>
      <w:pPr>
        <w:pStyle w:val="BookText"/>
      </w:pPr>
      <w:r>
        <w:rPr>
          <w:rFonts w:ascii="Amiri" w:hAnsi="Amiri" w:eastAsia="Amiri" w:cs="Amiri"/>
          <w:lang w:bidi="ar-SA"/>
          <w:color w:val="111111"/>
          <w:sz w:val="28"/>
          <w:szCs w:val="28"/>
          <w:rtl/>
        </w:rPr>
        <w:t xml:space="preserve">الكشاف في علم الانغام = الكاشف في</w:t>
      </w:r>
    </w:p>
    <w:p>
      <w:pPr>
        <w:pStyle w:val="BookText"/>
      </w:pPr>
      <w:r>
        <w:rPr>
          <w:rFonts w:ascii="IRNazanin" w:hAnsi="IRNazanin" w:eastAsia="IRNazanin" w:cs="IRNazanin"/>
          <w:lang w:bidi="fa-IR"/>
          <w:color w:val="111111"/>
          <w:sz w:val="28"/>
          <w:szCs w:val="28"/>
          <w:rtl/>
        </w:rPr>
        <w:t xml:space="preserve">الغناء، ج 13، ص 171.</w:t>
      </w:r>
    </w:p>
    <w:p>
      <w:pPr>
        <w:pStyle w:val="Heading2"/>
      </w:pPr>
      <w:bookmarkStart w:id="3805" w:name="_Toc2907"/>
      <w:r>
        <w:t>حصني ، ابوبكر بن محمّد، 752 - 829 ه-</w:t>
      </w:r>
      <w:bookmarkEnd w:id="3805"/>
    </w:p>
    <w:p>
      <w:pPr>
        <w:pStyle w:val="BookText"/>
      </w:pPr>
      <w:r>
        <w:rPr>
          <w:rFonts w:ascii="Amiri" w:hAnsi="Amiri" w:eastAsia="Amiri" w:cs="Amiri"/>
          <w:lang w:bidi="ar-SA"/>
          <w:color w:val="111111"/>
          <w:sz w:val="28"/>
          <w:szCs w:val="28"/>
          <w:rtl/>
        </w:rPr>
        <w:t xml:space="preserve">1 .شرح التحرير للأنصاري، ج 9،</w:t>
      </w:r>
    </w:p>
    <w:p>
      <w:pPr>
        <w:pStyle w:val="BookText"/>
      </w:pPr>
      <w:r>
        <w:rPr>
          <w:rFonts w:ascii="IRNazanin" w:hAnsi="IRNazanin" w:eastAsia="IRNazanin" w:cs="IRNazanin"/>
          <w:lang w:bidi="fa-IR"/>
          <w:color w:val="111111"/>
          <w:sz w:val="28"/>
          <w:szCs w:val="28"/>
          <w:rtl/>
        </w:rPr>
        <w:t xml:space="preserve">ص 317.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1" w:name="pg7742_70214"/>
    <w:bookmarkEnd w:id="41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التنبيه، ج 9، ص 346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قمع النفوس و رقية المأيوس، ج 12،</w:t>
      </w:r>
    </w:p>
    <w:p>
      <w:pPr>
        <w:pStyle w:val="BookText"/>
      </w:pPr>
      <w:r>
        <w:rPr>
          <w:rFonts w:ascii="IRNazanin" w:hAnsi="IRNazanin" w:eastAsia="IRNazanin" w:cs="IRNazanin"/>
          <w:lang w:bidi="fa-IR"/>
          <w:color w:val="111111"/>
          <w:sz w:val="28"/>
          <w:szCs w:val="28"/>
          <w:rtl/>
        </w:rPr>
        <w:t xml:space="preserve">ص 769.</w:t>
      </w:r>
    </w:p>
    <w:p>
      <w:pPr>
        <w:pStyle w:val="BookText"/>
      </w:pPr>
      <w:r>
        <w:rPr>
          <w:rFonts w:ascii="Amiri" w:hAnsi="Amiri" w:eastAsia="Amiri" w:cs="Amiri"/>
          <w:lang w:bidi="ar-SA"/>
          <w:color w:val="111111"/>
          <w:sz w:val="28"/>
          <w:szCs w:val="28"/>
          <w:rtl/>
        </w:rPr>
        <w:t xml:space="preserve">4 .كفاية الاخيار في حل غاية الاختصار</w:t>
      </w:r>
    </w:p>
    <w:p>
      <w:pPr>
        <w:pStyle w:val="BookText"/>
      </w:pPr>
      <w:r>
        <w:rPr>
          <w:rFonts w:ascii="IRNazanin" w:hAnsi="IRNazanin" w:eastAsia="IRNazanin" w:cs="IRNazanin"/>
          <w:lang w:bidi="fa-IR"/>
          <w:color w:val="111111"/>
          <w:sz w:val="28"/>
          <w:szCs w:val="28"/>
          <w:rtl/>
        </w:rPr>
        <w:t xml:space="preserve">ج 13، ص308.</w:t>
      </w:r>
    </w:p>
    <w:p>
      <w:pPr>
        <w:pStyle w:val="Heading2"/>
      </w:pPr>
      <w:bookmarkStart w:id="3806" w:name="_Toc2908"/>
      <w:r>
        <w:t>حصني ، حسين بن علي، 932 - 971 ه-</w:t>
      </w:r>
      <w:bookmarkEnd w:id="3806"/>
    </w:p>
    <w:p>
      <w:pPr>
        <w:pStyle w:val="BookText"/>
      </w:pPr>
      <w:r>
        <w:rPr>
          <w:rFonts w:ascii="Amiri" w:hAnsi="Amiri" w:eastAsia="Amiri" w:cs="Amiri"/>
          <w:lang w:bidi="ar-SA"/>
          <w:color w:val="111111"/>
          <w:sz w:val="28"/>
          <w:szCs w:val="28"/>
          <w:rtl/>
        </w:rPr>
        <w:t xml:space="preserve">العناية في شرح الهداية، ج11، ص 334.</w:t>
      </w:r>
    </w:p>
    <w:p>
      <w:pPr>
        <w:pStyle w:val="Heading2"/>
      </w:pPr>
      <w:bookmarkStart w:id="3807" w:name="_Toc2909"/>
      <w:r>
        <w:t>حصني ، عبد القادر بن ذالنون</w:t>
      </w:r>
      <w:bookmarkEnd w:id="3807"/>
    </w:p>
    <w:p>
      <w:pPr>
        <w:pStyle w:val="BookText"/>
      </w:pPr>
      <w:r>
        <w:rPr>
          <w:rFonts w:ascii="Amiri" w:hAnsi="Amiri" w:eastAsia="Amiri" w:cs="Amiri"/>
          <w:lang w:bidi="ar-SA"/>
          <w:color w:val="111111"/>
          <w:sz w:val="28"/>
          <w:szCs w:val="28"/>
          <w:rtl/>
        </w:rPr>
        <w:t xml:space="preserve">معارف المبتدئين في عقائد المسلمين</w:t>
      </w:r>
    </w:p>
    <w:p>
      <w:pPr>
        <w:pStyle w:val="BookText"/>
      </w:pPr>
      <w:r>
        <w:rPr>
          <w:rFonts w:ascii="IRNazanin" w:hAnsi="IRNazanin" w:eastAsia="IRNazanin" w:cs="IRNazanin"/>
          <w:lang w:bidi="fa-IR"/>
          <w:color w:val="111111"/>
          <w:sz w:val="28"/>
          <w:szCs w:val="28"/>
          <w:rtl/>
        </w:rPr>
        <w:t xml:space="preserve">ج 14، ص 848.</w:t>
      </w:r>
    </w:p>
    <w:p>
      <w:pPr>
        <w:pStyle w:val="BookText"/>
      </w:pPr>
      <w:r>
        <w:rPr>
          <w:rFonts w:ascii="Amiri" w:hAnsi="Amiri" w:eastAsia="Amiri" w:cs="Amiri"/>
          <w:lang w:bidi="ar-SA"/>
          <w:color w:val="111111"/>
          <w:sz w:val="28"/>
          <w:szCs w:val="28"/>
          <w:rtl/>
        </w:rPr>
        <w:t xml:space="preserve">حصني ، محمّد بن علي- حصكفي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حصني ، مظفر بن حسين -حصكفي</w:t>
      </w:r>
    </w:p>
    <w:p>
      <w:pPr>
        <w:pStyle w:val="BookText"/>
      </w:pPr>
      <w:r>
        <w:rPr>
          <w:rFonts w:ascii="Amiri" w:hAnsi="Amiri" w:eastAsia="Amiri" w:cs="Amiri"/>
          <w:lang w:bidi="ar-SA"/>
          <w:color w:val="111111"/>
          <w:sz w:val="28"/>
          <w:szCs w:val="28"/>
          <w:rtl/>
        </w:rPr>
        <w:t xml:space="preserve">مظفر بن حسين</w:t>
      </w:r>
    </w:p>
    <w:p>
      <w:pPr>
        <w:pStyle w:val="Heading2"/>
      </w:pPr>
      <w:bookmarkStart w:id="3808" w:name="_Toc2910"/>
      <w:r>
        <w:t>حصوني ناصحي ، احمد، - 1099 ه-</w:t>
      </w:r>
      <w:bookmarkEnd w:id="3808"/>
    </w:p>
    <w:p>
      <w:pPr>
        <w:pStyle w:val="BookText"/>
      </w:pPr>
      <w:r>
        <w:rPr>
          <w:rFonts w:ascii="IRNazanin" w:hAnsi="IRNazanin" w:eastAsia="IRNazanin" w:cs="IRNazanin"/>
          <w:lang w:bidi="fa-IR"/>
          <w:color w:val="111111"/>
          <w:sz w:val="28"/>
          <w:szCs w:val="28"/>
          <w:rtl/>
        </w:rPr>
        <w:t xml:space="preserve">ذخائر العباد و غنائم البلاد، ج7،</w:t>
      </w:r>
    </w:p>
    <w:p>
      <w:pPr>
        <w:pStyle w:val="BookText"/>
      </w:pPr>
      <w:r>
        <w:rPr>
          <w:rFonts w:ascii="IRNazanin" w:hAnsi="IRNazanin" w:eastAsia="IRNazanin" w:cs="IRNazanin"/>
          <w:lang w:bidi="fa-IR"/>
          <w:color w:val="111111"/>
          <w:sz w:val="28"/>
          <w:szCs w:val="28"/>
          <w:rtl/>
        </w:rPr>
        <w:t xml:space="preserve">ص 814.</w:t>
      </w:r>
    </w:p>
    <w:p>
      <w:pPr>
        <w:pStyle w:val="BookText"/>
      </w:pPr>
      <w:r>
        <w:rPr>
          <w:rFonts w:ascii="Amiri" w:hAnsi="Amiri" w:eastAsia="Amiri" w:cs="Amiri"/>
          <w:lang w:bidi="ar-SA"/>
          <w:color w:val="111111"/>
          <w:sz w:val="28"/>
          <w:szCs w:val="28"/>
          <w:rtl/>
        </w:rPr>
        <w:t xml:space="preserve">حضرمي ، احمد بن عبدالله -بافضل</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حضرمي، اسماعيل بن محمّد- عاملي</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حضرمي اشبيلي ، علي بن موسى- ابن</w:t>
      </w:r>
    </w:p>
    <w:p>
      <w:pPr>
        <w:pStyle w:val="BookText"/>
      </w:pPr>
      <w:r>
        <w:rPr>
          <w:rFonts w:ascii="Amiri" w:hAnsi="Amiri" w:eastAsia="Amiri" w:cs="Amiri"/>
          <w:lang w:bidi="ar-SA"/>
          <w:color w:val="111111"/>
          <w:sz w:val="28"/>
          <w:szCs w:val="28"/>
          <w:rtl/>
        </w:rPr>
        <w:t xml:space="preserve">عصفور ، علي بن مؤمن</w:t>
      </w:r>
    </w:p>
    <w:p>
      <w:pPr>
        <w:pStyle w:val="Heading2"/>
      </w:pPr>
      <w:bookmarkStart w:id="3809" w:name="_Toc2911"/>
      <w:r>
        <w:t>حضرمي ، جعفر بن محمّد قرن 4 ه-</w:t>
      </w:r>
      <w:bookmarkEnd w:id="3809"/>
    </w:p>
    <w:p>
      <w:pPr>
        <w:pStyle w:val="BookText"/>
      </w:pPr>
      <w:r>
        <w:rPr>
          <w:rFonts w:ascii="IRNazanin" w:hAnsi="IRNazanin" w:eastAsia="IRNazanin" w:cs="IRNazanin"/>
          <w:lang w:bidi="fa-IR"/>
          <w:color w:val="111111"/>
          <w:sz w:val="28"/>
          <w:szCs w:val="28"/>
          <w:rtl/>
        </w:rPr>
        <w:t xml:space="preserve">اصل جعفر بن محمّد</w:t>
      </w:r>
    </w:p>
    <w:p>
      <w:pPr>
        <w:pStyle w:val="BookText"/>
      </w:pPr>
      <w:r>
        <w:rPr>
          <w:rFonts w:ascii="IRNazanin" w:hAnsi="IRNazanin" w:eastAsia="IRNazanin" w:cs="IRNazanin"/>
          <w:lang w:bidi="fa-IR"/>
          <w:color w:val="111111"/>
          <w:sz w:val="28"/>
          <w:szCs w:val="28"/>
          <w:rtl/>
        </w:rPr>
        <w:t xml:space="preserve">الحضرمي = کتاب جعفر حضرمي، ج 2، ص381</w:t>
      </w:r>
    </w:p>
    <w:p>
      <w:pPr>
        <w:pStyle w:val="Heading2"/>
      </w:pPr>
      <w:bookmarkStart w:id="3810" w:name="_Toc2912"/>
      <w:r>
        <w:t>حضيري ، سعيد بن علي</w:t>
      </w:r>
      <w:bookmarkEnd w:id="3810"/>
    </w:p>
    <w:p>
      <w:pPr>
        <w:pStyle w:val="BookText"/>
      </w:pPr>
      <w:r>
        <w:rPr>
          <w:rFonts w:ascii="Amiri" w:hAnsi="Amiri" w:eastAsia="Amiri" w:cs="Amiri"/>
          <w:lang w:bidi="ar-SA"/>
          <w:color w:val="111111"/>
          <w:sz w:val="28"/>
          <w:szCs w:val="28"/>
          <w:rtl/>
        </w:rPr>
        <w:t xml:space="preserve">حضرمي ، شيخ بن محمّد -جفري ، شيخ</w:t>
      </w:r>
    </w:p>
    <w:p>
      <w:pPr>
        <w:pStyle w:val="BookText"/>
      </w:pPr>
      <w:r>
        <w:rPr>
          <w:rFonts w:ascii="Amiri" w:hAnsi="Amiri" w:eastAsia="Amiri" w:cs="Amiri"/>
          <w:lang w:bidi="ar-SA"/>
          <w:color w:val="111111"/>
          <w:sz w:val="28"/>
          <w:szCs w:val="28"/>
          <w:rtl/>
        </w:rPr>
        <w:t xml:space="preserve">بن محمّد</w:t>
      </w:r>
    </w:p>
    <w:p>
      <w:pPr>
        <w:pStyle w:val="Heading2"/>
      </w:pPr>
      <w:bookmarkStart w:id="3811" w:name="_Toc2913"/>
      <w:r>
        <w:t>حضرمي ، طيب بن ابي بكر، قرن 12 ه-</w:t>
      </w:r>
      <w:bookmarkEnd w:id="3811"/>
    </w:p>
    <w:p>
      <w:pPr>
        <w:pStyle w:val="BookText"/>
      </w:pPr>
      <w:r>
        <w:rPr>
          <w:rFonts w:ascii="Amiri" w:hAnsi="Amiri" w:eastAsia="Amiri" w:cs="Amiri"/>
          <w:lang w:bidi="ar-SA"/>
          <w:color w:val="111111"/>
          <w:sz w:val="28"/>
          <w:szCs w:val="28"/>
          <w:rtl/>
        </w:rPr>
        <w:t xml:space="preserve">كشف العيان بالدليل والبرهان، ج13</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Amiri" w:hAnsi="Amiri" w:eastAsia="Amiri" w:cs="Amiri"/>
          <w:lang w:bidi="ar-SA"/>
          <w:color w:val="111111"/>
          <w:sz w:val="28"/>
          <w:szCs w:val="28"/>
          <w:rtl/>
        </w:rPr>
        <w:t xml:space="preserve">حضرمي ، عبد القادر بن عبدالله- عيدروسي</w:t>
      </w:r>
    </w:p>
    <w:p>
      <w:pPr>
        <w:pStyle w:val="BookText"/>
      </w:pPr>
      <w:r>
        <w:rPr>
          <w:rFonts w:ascii="IRNazanin" w:hAnsi="IRNazanin" w:eastAsia="IRNazanin" w:cs="IRNazanin"/>
          <w:lang w:bidi="fa-IR"/>
          <w:color w:val="111111"/>
          <w:sz w:val="28"/>
          <w:szCs w:val="28"/>
          <w:rtl/>
        </w:rPr>
        <w:t xml:space="preserve">، عبدالقادر بن عبدالله</w:t>
      </w:r>
    </w:p>
    <w:p>
      <w:pPr>
        <w:pStyle w:val="BookText"/>
      </w:pPr>
      <w:r>
        <w:rPr>
          <w:rFonts w:ascii="Amiri" w:hAnsi="Amiri" w:eastAsia="Amiri" w:cs="Amiri"/>
          <w:lang w:bidi="ar-SA"/>
          <w:color w:val="111111"/>
          <w:sz w:val="28"/>
          <w:szCs w:val="28"/>
          <w:rtl/>
        </w:rPr>
        <w:t xml:space="preserve">حضرمي ، عبد الله بن عبدالرحمن- بافضل</w:t>
      </w:r>
    </w:p>
    <w:p>
      <w:pPr>
        <w:pStyle w:val="BookText"/>
      </w:pPr>
      <w:r>
        <w:rPr>
          <w:rFonts w:ascii="IRNazanin" w:hAnsi="IRNazanin" w:eastAsia="IRNazanin" w:cs="IRNazanin"/>
          <w:lang w:bidi="fa-IR"/>
          <w:color w:val="111111"/>
          <w:sz w:val="28"/>
          <w:szCs w:val="28"/>
          <w:rtl/>
        </w:rPr>
        <w:t xml:space="preserve">، عبدالله بن عبدالرحمن</w:t>
      </w:r>
    </w:p>
    <w:p>
      <w:pPr>
        <w:pStyle w:val="BookText"/>
      </w:pPr>
      <w:r>
        <w:rPr>
          <w:rFonts w:ascii="Amiri" w:hAnsi="Amiri" w:eastAsia="Amiri" w:cs="Amiri"/>
          <w:lang w:bidi="ar-SA"/>
          <w:color w:val="111111"/>
          <w:sz w:val="28"/>
          <w:szCs w:val="28"/>
          <w:rtl/>
        </w:rPr>
        <w:t xml:space="preserve">حضرمي ، عبد الله بن علوي -حدادي</w:t>
      </w:r>
    </w:p>
    <w:p>
      <w:pPr>
        <w:pStyle w:val="BookText"/>
      </w:pPr>
      <w:r>
        <w:rPr>
          <w:rFonts w:ascii="Amiri" w:hAnsi="Amiri" w:eastAsia="Amiri" w:cs="Amiri"/>
          <w:lang w:bidi="ar-SA"/>
          <w:color w:val="111111"/>
          <w:sz w:val="28"/>
          <w:szCs w:val="28"/>
          <w:rtl/>
        </w:rPr>
        <w:t xml:space="preserve">عبدالله بن علوي</w:t>
      </w:r>
    </w:p>
    <w:p>
      <w:pPr>
        <w:pStyle w:val="BookText"/>
      </w:pPr>
      <w:r>
        <w:rPr>
          <w:rFonts w:ascii="Amiri" w:hAnsi="Amiri" w:eastAsia="Amiri" w:cs="Amiri"/>
          <w:lang w:bidi="ar-SA"/>
          <w:color w:val="111111"/>
          <w:sz w:val="28"/>
          <w:szCs w:val="28"/>
          <w:rtl/>
        </w:rPr>
        <w:t xml:space="preserve">حضرمي ، عبدالملك بن عبدالله -ابن</w:t>
      </w:r>
    </w:p>
    <w:p>
      <w:pPr>
        <w:pStyle w:val="BookText"/>
      </w:pPr>
      <w:r>
        <w:rPr>
          <w:rFonts w:ascii="Amiri" w:hAnsi="Amiri" w:eastAsia="Amiri" w:cs="Amiri"/>
          <w:lang w:bidi="ar-SA"/>
          <w:color w:val="111111"/>
          <w:sz w:val="28"/>
          <w:szCs w:val="28"/>
          <w:rtl/>
        </w:rPr>
        <w:t xml:space="preserve">بدرون ، عبدالملك بن عبدالله</w:t>
      </w:r>
    </w:p>
    <w:p>
      <w:pPr>
        <w:pStyle w:val="Heading2"/>
      </w:pPr>
      <w:bookmarkStart w:id="3812" w:name="_Toc2914"/>
      <w:r>
        <w:t>حضرمي ، محمّد بن المثنى، قرن 3 ه-</w:t>
      </w:r>
      <w:bookmarkEnd w:id="3812"/>
    </w:p>
    <w:p>
      <w:pPr>
        <w:pStyle w:val="BookText"/>
      </w:pPr>
      <w:r>
        <w:rPr>
          <w:rFonts w:ascii="Amiri" w:hAnsi="Amiri" w:eastAsia="Amiri" w:cs="Amiri"/>
          <w:lang w:bidi="ar-SA"/>
          <w:color w:val="111111"/>
          <w:sz w:val="28"/>
          <w:szCs w:val="28"/>
          <w:rtl/>
        </w:rPr>
        <w:t xml:space="preserve">اصل محمّد بن المثنى = كتاب محمّد</w:t>
      </w:r>
    </w:p>
    <w:p>
      <w:pPr>
        <w:pStyle w:val="BookText"/>
      </w:pPr>
      <w:r>
        <w:rPr>
          <w:rFonts w:ascii="Amiri" w:hAnsi="Amiri" w:eastAsia="Amiri" w:cs="Amiri"/>
          <w:lang w:bidi="ar-SA"/>
          <w:color w:val="111111"/>
          <w:sz w:val="28"/>
          <w:szCs w:val="28"/>
          <w:rtl/>
        </w:rPr>
        <w:t xml:space="preserve">بن المثني الحضرمي، ج 2، ص 400</w:t>
      </w:r>
    </w:p>
    <w:p>
      <w:pPr>
        <w:pStyle w:val="BookText"/>
      </w:pPr>
      <w:r>
        <w:rPr>
          <w:rFonts w:ascii="Amiri" w:hAnsi="Amiri" w:eastAsia="Amiri" w:cs="Amiri"/>
          <w:lang w:bidi="ar-SA"/>
          <w:color w:val="111111"/>
          <w:sz w:val="28"/>
          <w:szCs w:val="28"/>
          <w:rtl/>
        </w:rPr>
        <w:t xml:space="preserve">حضرمي ، محمّد بن عبدالرحمن- باجمال</w:t>
      </w:r>
    </w:p>
    <w:p>
      <w:pPr>
        <w:pStyle w:val="BookText"/>
      </w:pPr>
      <w:r>
        <w:rPr>
          <w:rFonts w:ascii="IRNazanin" w:hAnsi="IRNazanin" w:eastAsia="IRNazanin" w:cs="IRNazanin"/>
          <w:lang w:bidi="fa-IR"/>
          <w:color w:val="111111"/>
          <w:sz w:val="28"/>
          <w:szCs w:val="28"/>
          <w:rtl/>
        </w:rPr>
        <w:t xml:space="preserve">، محمّد بن عبدالرحمن</w:t>
      </w:r>
    </w:p>
    <w:p>
      <w:pPr>
        <w:pStyle w:val="BookText"/>
      </w:pPr>
      <w:r>
        <w:rPr>
          <w:rFonts w:ascii="Amiri" w:hAnsi="Amiri" w:eastAsia="Amiri" w:cs="Amiri"/>
          <w:lang w:bidi="ar-SA"/>
          <w:color w:val="111111"/>
          <w:sz w:val="28"/>
          <w:szCs w:val="28"/>
          <w:rtl/>
        </w:rPr>
        <w:t xml:space="preserve">حضرمي ، محمّد بن عمر -بحرق ، محمّد بن عمر</w:t>
      </w:r>
    </w:p>
    <w:p>
      <w:pPr>
        <w:pStyle w:val="BookText"/>
      </w:pPr>
      <w:r>
        <w:rPr>
          <w:rFonts w:ascii="Amiri" w:hAnsi="Amiri" w:eastAsia="Amiri" w:cs="Amiri"/>
          <w:lang w:bidi="ar-SA"/>
          <w:color w:val="111111"/>
          <w:sz w:val="28"/>
          <w:szCs w:val="28"/>
          <w:rtl/>
        </w:rPr>
        <w:t xml:space="preserve">حضري -ابن شريح ، جعفر بن محمّد</w:t>
      </w:r>
    </w:p>
    <w:p>
      <w:pPr>
        <w:pStyle w:val="BookText"/>
      </w:pPr>
      <w:r>
        <w:rPr>
          <w:rFonts w:ascii="Amiri" w:hAnsi="Amiri" w:eastAsia="Amiri" w:cs="Amiri"/>
          <w:lang w:bidi="ar-SA"/>
          <w:color w:val="111111"/>
          <w:sz w:val="28"/>
          <w:szCs w:val="28"/>
          <w:rtl/>
        </w:rPr>
        <w:t xml:space="preserve">الكلم الفارقية في الحكم الحقيقية</w:t>
      </w:r>
    </w:p>
    <w:p>
      <w:pPr>
        <w:pStyle w:val="BookText"/>
      </w:pPr>
      <w:r>
        <w:rPr>
          <w:rFonts w:ascii="IRNazanin" w:hAnsi="IRNazanin" w:eastAsia="IRNazanin" w:cs="IRNazanin"/>
          <w:lang w:bidi="fa-IR"/>
          <w:color w:val="111111"/>
          <w:sz w:val="28"/>
          <w:szCs w:val="28"/>
          <w:rtl/>
        </w:rPr>
        <w:t xml:space="preserve">ج 13، ص 381.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2" w:name="pg7742_70216"/>
    <w:bookmarkEnd w:id="412"/>
    <w:p>
      <w:pPr>
        <w:pStyle w:val="BookText"/>
      </w:pPr>
      <w:r>
        <w:rPr>
          <w:rFonts w:ascii="Amiri" w:hAnsi="Amiri" w:eastAsia="Amiri" w:cs="Amiri"/>
          <w:lang w:bidi="ar-SA"/>
          <w:color w:val="111111"/>
          <w:sz w:val="28"/>
          <w:szCs w:val="28"/>
          <w:rtl/>
        </w:rPr>
        <w:t xml:space="preserve">حضيني ، حسين بن حمدان -خصيبي ،</w:t>
      </w:r>
    </w:p>
    <w:p>
      <w:pPr>
        <w:pStyle w:val="BookText"/>
      </w:pPr>
      <w:r>
        <w:rPr>
          <w:rFonts w:ascii="Amiri" w:hAnsi="Amiri" w:eastAsia="Amiri" w:cs="Amiri"/>
          <w:lang w:bidi="ar-SA"/>
          <w:color w:val="111111"/>
          <w:sz w:val="28"/>
          <w:szCs w:val="28"/>
          <w:rtl/>
        </w:rPr>
        <w:t xml:space="preserve">حسين بن حمدان</w:t>
      </w:r>
    </w:p>
    <w:p>
      <w:pPr>
        <w:pStyle w:val="Heading2"/>
      </w:pPr>
      <w:bookmarkStart w:id="3813" w:name="_Toc2915"/>
      <w:r>
        <w:t>حطاب ، محمّد بن محمّد، 902 - 954 ه-</w:t>
      </w:r>
      <w:bookmarkEnd w:id="3813"/>
    </w:p>
    <w:p>
      <w:pPr>
        <w:pStyle w:val="BookText"/>
      </w:pPr>
      <w:r>
        <w:rPr>
          <w:rFonts w:ascii="Amiri" w:hAnsi="Amiri" w:eastAsia="Amiri" w:cs="Amiri"/>
          <w:lang w:bidi="ar-SA"/>
          <w:color w:val="111111"/>
          <w:sz w:val="28"/>
          <w:szCs w:val="28"/>
          <w:rtl/>
        </w:rPr>
        <w:t xml:space="preserve">1 .تحرير الكلام في مسائل الالتزام</w:t>
      </w:r>
    </w:p>
    <w:p>
      <w:pPr>
        <w:pStyle w:val="BookText"/>
      </w:pPr>
      <w:r>
        <w:rPr>
          <w:rFonts w:ascii="IRNazanin" w:hAnsi="IRNazanin" w:eastAsia="IRNazanin" w:cs="IRNazanin"/>
          <w:lang w:bidi="fa-IR"/>
          <w:color w:val="111111"/>
          <w:sz w:val="28"/>
          <w:szCs w:val="28"/>
          <w:rtl/>
        </w:rPr>
        <w:t xml:space="preserve">ج 3، ص 754 .</w:t>
      </w:r>
    </w:p>
    <w:p>
      <w:pPr>
        <w:pStyle w:val="BookText"/>
      </w:pPr>
      <w:r>
        <w:rPr>
          <w:rFonts w:ascii="Amiri" w:hAnsi="Amiri" w:eastAsia="Amiri" w:cs="Amiri"/>
          <w:lang w:bidi="ar-SA"/>
          <w:color w:val="111111"/>
          <w:sz w:val="28"/>
          <w:szCs w:val="28"/>
          <w:rtl/>
        </w:rPr>
        <w:t xml:space="preserve">2 .تفريح القلوب بالخصال المكفرة لما تقدم و ما تاخر من الذنوب ج4،</w:t>
      </w:r>
    </w:p>
    <w:p>
      <w:pPr>
        <w:pStyle w:val="BookText"/>
      </w:pPr>
      <w:r>
        <w:rPr>
          <w:rFonts w:ascii="IRNazanin" w:hAnsi="IRNazanin" w:eastAsia="IRNazanin" w:cs="IRNazanin"/>
          <w:lang w:bidi="fa-IR"/>
          <w:color w:val="111111"/>
          <w:sz w:val="28"/>
          <w:szCs w:val="28"/>
          <w:rtl/>
        </w:rPr>
        <w:t xml:space="preserve">ص 571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قرة العين لشرح ورقات امام الحرمين، ج 12، ص 569.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القواعد والضوابط للاعمال الفلكية</w:t>
      </w:r>
    </w:p>
    <w:p>
      <w:pPr>
        <w:pStyle w:val="BookText"/>
      </w:pPr>
      <w:r>
        <w:rPr>
          <w:rFonts w:ascii="IRNazanin" w:hAnsi="IRNazanin" w:eastAsia="IRNazanin" w:cs="IRNazanin"/>
          <w:lang w:bidi="fa-IR"/>
          <w:color w:val="111111"/>
          <w:sz w:val="28"/>
          <w:szCs w:val="28"/>
          <w:rtl/>
        </w:rPr>
        <w:t xml:space="preserve">ج 12، ص 812.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متممة الآجرومية، ج13، ص 761 .</w:t>
      </w:r>
    </w:p>
    <w:p>
      <w:pPr>
        <w:pStyle w:val="Heading2"/>
      </w:pPr>
      <w:bookmarkStart w:id="3814" w:name="_Toc2916"/>
      <w:r>
        <w:t>حطيئه ، جرول بن أوس - 45؟ ه-</w:t>
      </w:r>
      <w:bookmarkEnd w:id="3814"/>
    </w:p>
    <w:p>
      <w:pPr>
        <w:pStyle w:val="BookText"/>
      </w:pPr>
      <w:r>
        <w:rPr>
          <w:rFonts w:ascii="Amiri" w:hAnsi="Amiri" w:eastAsia="Amiri" w:cs="Amiri"/>
          <w:lang w:bidi="ar-SA"/>
          <w:color w:val="111111"/>
          <w:sz w:val="28"/>
          <w:szCs w:val="28"/>
          <w:rtl/>
        </w:rPr>
        <w:t xml:space="preserve">ديوان الحطيئة، ج 7، ص 625.</w:t>
      </w:r>
    </w:p>
    <w:p>
      <w:pPr>
        <w:pStyle w:val="BookText"/>
      </w:pPr>
      <w:r>
        <w:rPr>
          <w:rFonts w:ascii="Amiri" w:hAnsi="Amiri" w:eastAsia="Amiri" w:cs="Amiri"/>
          <w:lang w:bidi="ar-SA"/>
          <w:color w:val="111111"/>
          <w:sz w:val="28"/>
          <w:szCs w:val="28"/>
          <w:rtl/>
        </w:rPr>
        <w:t xml:space="preserve">حظيري ، سعد بن علي -حضيري ، سعيد</w:t>
      </w:r>
    </w:p>
    <w:p>
      <w:pPr>
        <w:pStyle w:val="BookText"/>
      </w:pPr>
      <w:r>
        <w:rPr>
          <w:rFonts w:ascii="Amiri" w:hAnsi="Amiri" w:eastAsia="Amiri" w:cs="Amiri"/>
          <w:lang w:bidi="ar-SA"/>
          <w:color w:val="111111"/>
          <w:sz w:val="28"/>
          <w:szCs w:val="28"/>
          <w:rtl/>
        </w:rPr>
        <w:t xml:space="preserve">بن علي</w:t>
      </w:r>
    </w:p>
    <w:p>
      <w:pPr>
        <w:pStyle w:val="Heading2"/>
      </w:pPr>
      <w:bookmarkStart w:id="3815" w:name="_Toc2917"/>
      <w:r>
        <w:t>حظيري، صاعد بن هبة الله - 591 ه-</w:t>
      </w:r>
      <w:bookmarkEnd w:id="3815"/>
    </w:p>
    <w:p>
      <w:pPr>
        <w:pStyle w:val="BookText"/>
      </w:pPr>
      <w:r>
        <w:rPr>
          <w:rFonts w:ascii="IRNazanin" w:hAnsi="IRNazanin" w:eastAsia="IRNazanin" w:cs="IRNazanin"/>
          <w:lang w:bidi="fa-IR"/>
          <w:color w:val="111111"/>
          <w:sz w:val="28"/>
          <w:szCs w:val="28"/>
          <w:rtl/>
        </w:rPr>
        <w:t xml:space="preserve">الفصد، ج 11، ص828</w:t>
      </w:r>
    </w:p>
    <w:p>
      <w:pPr>
        <w:pStyle w:val="BookText"/>
      </w:pPr>
      <w:r>
        <w:rPr>
          <w:rFonts w:ascii="Amiri" w:hAnsi="Amiri" w:eastAsia="Amiri" w:cs="Amiri"/>
          <w:lang w:bidi="ar-SA"/>
          <w:color w:val="111111"/>
          <w:sz w:val="28"/>
          <w:szCs w:val="28"/>
          <w:rtl/>
        </w:rPr>
        <w:t xml:space="preserve">حفصي ، محمّد بن يوسف- اطفيش</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Amiri" w:hAnsi="Amiri" w:eastAsia="Amiri" w:cs="Amiri"/>
          <w:lang w:bidi="ar-SA"/>
          <w:color w:val="111111"/>
          <w:sz w:val="28"/>
          <w:szCs w:val="28"/>
          <w:rtl/>
        </w:rPr>
        <w:t xml:space="preserve">حفظي ، احمد بن عبدالقادر- عجيلي</w:t>
      </w:r>
    </w:p>
    <w:p>
      <w:pPr>
        <w:pStyle w:val="BookText"/>
      </w:pPr>
      <w:r>
        <w:rPr>
          <w:rFonts w:ascii="IRNazanin" w:hAnsi="IRNazanin" w:eastAsia="IRNazanin" w:cs="IRNazanin"/>
          <w:lang w:bidi="fa-IR"/>
          <w:color w:val="111111"/>
          <w:sz w:val="28"/>
          <w:szCs w:val="28"/>
          <w:rtl/>
        </w:rPr>
        <w:t xml:space="preserve">احمد بن عبدالقادر</w:t>
      </w:r>
    </w:p>
    <w:p>
      <w:pPr>
        <w:pStyle w:val="Heading2"/>
      </w:pPr>
      <w:bookmarkStart w:id="3816" w:name="_Toc2918"/>
      <w:r>
        <w:t>حفظي ، محمّد عارف بن ابراهيم</w:t>
      </w:r>
      <w:bookmarkEnd w:id="3816"/>
    </w:p>
    <w:p>
      <w:pPr>
        <w:pStyle w:val="BookText"/>
      </w:pPr>
      <w:r>
        <w:rPr>
          <w:rFonts w:ascii="IRNazanin" w:hAnsi="IRNazanin" w:eastAsia="IRNazanin" w:cs="IRNazanin"/>
          <w:lang w:bidi="fa-IR"/>
          <w:color w:val="111111"/>
          <w:sz w:val="28"/>
          <w:szCs w:val="28"/>
          <w:rtl/>
        </w:rPr>
        <w:t xml:space="preserve">1238 ه-</w:t>
      </w:r>
    </w:p>
    <w:p>
      <w:pPr>
        <w:pStyle w:val="BookText"/>
      </w:pPr>
      <w:r>
        <w:rPr>
          <w:rFonts w:ascii="Amiri" w:hAnsi="Amiri" w:eastAsia="Amiri" w:cs="Amiri"/>
          <w:lang w:bidi="ar-SA"/>
          <w:color w:val="111111"/>
          <w:sz w:val="28"/>
          <w:szCs w:val="28"/>
          <w:rtl/>
        </w:rPr>
        <w:t xml:space="preserve">الشجرة البديعة البهية في بيان المسالك الاربعة السنية، ج 9، ص 76.</w:t>
      </w:r>
    </w:p>
    <w:p>
      <w:pPr>
        <w:pStyle w:val="Heading2"/>
      </w:pPr>
      <w:bookmarkStart w:id="3817" w:name="_Toc2919"/>
      <w:r>
        <w:t>حفناوي ، شهاب الدین احمد قرن 12 ه-</w:t>
      </w:r>
      <w:bookmarkEnd w:id="3817"/>
    </w:p>
    <w:p>
      <w:pPr>
        <w:pStyle w:val="BookText"/>
      </w:pPr>
      <w:r>
        <w:rPr>
          <w:rFonts w:ascii="Amiri" w:hAnsi="Amiri" w:eastAsia="Amiri" w:cs="Amiri"/>
          <w:lang w:bidi="ar-SA"/>
          <w:color w:val="111111"/>
          <w:sz w:val="28"/>
          <w:szCs w:val="28"/>
          <w:rtl/>
        </w:rPr>
        <w:t xml:space="preserve">1 .بغية الجليس و المسامر و نزهة الارواح و الخواطر في الاشعار و</w:t>
      </w:r>
    </w:p>
    <w:p>
      <w:pPr>
        <w:pStyle w:val="BookText"/>
      </w:pPr>
      <w:r>
        <w:rPr>
          <w:rFonts w:ascii="IRNazanin" w:hAnsi="IRNazanin" w:eastAsia="IRNazanin" w:cs="IRNazanin"/>
          <w:lang w:bidi="fa-IR"/>
          <w:color w:val="111111"/>
          <w:sz w:val="28"/>
          <w:szCs w:val="28"/>
          <w:rtl/>
        </w:rPr>
        <w:t xml:space="preserve">النوادر، ج 3، ص 363.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قطب السرور في الانبذة و الخمور</w:t>
      </w:r>
    </w:p>
    <w:p>
      <w:pPr>
        <w:pStyle w:val="BookText"/>
      </w:pPr>
      <w:r>
        <w:rPr>
          <w:rFonts w:ascii="IRNazanin" w:hAnsi="IRNazanin" w:eastAsia="IRNazanin" w:cs="IRNazanin"/>
          <w:lang w:bidi="fa-IR"/>
          <w:color w:val="111111"/>
          <w:sz w:val="28"/>
          <w:szCs w:val="28"/>
          <w:rtl/>
        </w:rPr>
        <w:t xml:space="preserve">ج 12، ص 742.</w:t>
      </w:r>
    </w:p>
    <w:p>
      <w:pPr>
        <w:pStyle w:val="Heading2"/>
      </w:pPr>
      <w:bookmarkStart w:id="3818" w:name="_Toc2920"/>
      <w:r>
        <w:t>حفناوي، يوسف بن سالم - 1178 ه-</w:t>
      </w:r>
      <w:bookmarkEnd w:id="38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ارجوزة نظم السمرقندية، ج 1،</w:t>
      </w:r>
    </w:p>
    <w:p>
      <w:pPr>
        <w:pStyle w:val="BookText"/>
      </w:pPr>
      <w:r>
        <w:rPr>
          <w:rFonts w:ascii="IRNazanin" w:hAnsi="IRNazanin" w:eastAsia="IRNazanin" w:cs="IRNazanin"/>
          <w:lang w:bidi="fa-IR"/>
          <w:color w:val="111111"/>
          <w:sz w:val="28"/>
          <w:szCs w:val="28"/>
          <w:rtl/>
        </w:rPr>
        <w:t xml:space="preserve">ص 775</w:t>
      </w:r>
    </w:p>
    <w:p>
      <w:pPr>
        <w:pStyle w:val="BookText"/>
      </w:pPr>
      <w:r>
        <w:rPr>
          <w:rFonts w:ascii="Amiri" w:hAnsi="Amiri" w:eastAsia="Amiri" w:cs="Amiri"/>
          <w:lang w:bidi="ar-SA"/>
          <w:color w:val="111111"/>
          <w:sz w:val="28"/>
          <w:szCs w:val="28"/>
          <w:rtl/>
        </w:rPr>
        <w:t xml:space="preserve">2 .حواشي الحفناوي على شرح الرامزة</w:t>
      </w:r>
    </w:p>
    <w:p>
      <w:pPr>
        <w:pStyle w:val="BookText"/>
      </w:pPr>
      <w:r>
        <w:rPr>
          <w:rFonts w:ascii="IRNazanin" w:hAnsi="IRNazanin" w:eastAsia="IRNazanin" w:cs="IRNazanin"/>
          <w:lang w:bidi="fa-IR"/>
          <w:color w:val="111111"/>
          <w:sz w:val="28"/>
          <w:szCs w:val="28"/>
          <w:rtl/>
        </w:rPr>
        <w:t xml:space="preserve">ج 6، ص 832.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التحرير في الفقه، ج 9،</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Amiri" w:hAnsi="Amiri" w:eastAsia="Amiri" w:cs="Amiri"/>
          <w:lang w:bidi="ar-SA"/>
          <w:color w:val="111111"/>
          <w:sz w:val="28"/>
          <w:szCs w:val="28"/>
          <w:rtl/>
        </w:rPr>
        <w:t xml:space="preserve">حفناوي ، محمّد بن صالح- ابن ابي سعود</w:t>
      </w:r>
    </w:p>
    <w:p>
      <w:pPr>
        <w:pStyle w:val="BookText"/>
      </w:pPr>
      <w:r>
        <w:rPr>
          <w:rFonts w:ascii="Amiri" w:hAnsi="Amiri" w:eastAsia="Amiri" w:cs="Amiri"/>
          <w:lang w:bidi="ar-SA"/>
          <w:color w:val="111111"/>
          <w:sz w:val="28"/>
          <w:szCs w:val="28"/>
          <w:rtl/>
        </w:rPr>
        <w:t xml:space="preserve">، محمّد بن صالح حفناوي</w:t>
      </w:r>
    </w:p>
    <w:p>
      <w:pPr>
        <w:pStyle w:val="Heading2"/>
      </w:pPr>
      <w:bookmarkStart w:id="3819" w:name="_Toc2921"/>
      <w:r>
        <w:t>حفني ، محمّد بن سالم، 1101 - 1181 ه-</w:t>
      </w:r>
      <w:bookmarkEnd w:id="3819"/>
    </w:p>
    <w:p>
      <w:pPr>
        <w:pStyle w:val="BookText"/>
      </w:pPr>
      <w:r>
        <w:rPr>
          <w:rFonts w:ascii="IRNazanin" w:hAnsi="IRNazanin" w:eastAsia="IRNazanin" w:cs="IRNazanin"/>
          <w:lang w:bidi="fa-IR"/>
          <w:color w:val="111111"/>
          <w:sz w:val="28"/>
          <w:szCs w:val="28"/>
          <w:rtl/>
        </w:rPr>
        <w:t xml:space="preserve">1 .أنفس نفائس الدرر، ج2، ص821.</w:t>
      </w:r>
    </w:p>
    <w:p>
      <w:pPr>
        <w:pStyle w:val="BookText"/>
      </w:pPr>
      <w:r>
        <w:rPr>
          <w:rFonts w:ascii="Amiri" w:hAnsi="Amiri" w:eastAsia="Amiri" w:cs="Amiri"/>
          <w:lang w:bidi="ar-SA"/>
          <w:color w:val="111111"/>
          <w:sz w:val="28"/>
          <w:szCs w:val="28"/>
          <w:rtl/>
        </w:rPr>
        <w:t xml:space="preserve">2 .حاشية شرح الرسالة الوضعية العضدية، ج 6 ، ص 120.</w:t>
      </w:r>
    </w:p>
    <w:p>
      <w:pPr>
        <w:pStyle w:val="BookText"/>
      </w:pPr>
      <w:r>
        <w:rPr>
          <w:rFonts w:ascii="Amiri" w:hAnsi="Amiri" w:eastAsia="Amiri" w:cs="Amiri"/>
          <w:lang w:bidi="ar-SA"/>
          <w:color w:val="111111"/>
          <w:sz w:val="28"/>
          <w:szCs w:val="28"/>
          <w:rtl/>
        </w:rPr>
        <w:t xml:space="preserve">3 .حاشية شرح العضدية، ج1، ص133.</w:t>
      </w:r>
    </w:p>
    <w:p>
      <w:pPr>
        <w:pStyle w:val="BookText"/>
      </w:pPr>
      <w:r>
        <w:rPr>
          <w:rFonts w:ascii="Amiri" w:hAnsi="Amiri" w:eastAsia="Amiri" w:cs="Amiri"/>
          <w:lang w:bidi="ar-SA"/>
          <w:color w:val="111111"/>
          <w:sz w:val="28"/>
          <w:szCs w:val="28"/>
          <w:rtl/>
        </w:rPr>
        <w:t xml:space="preserve">4 .فرائد عوائد جبرية على شرح السبط للياسمينية، ج11، ص736.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القرائة خارج اوقات الصلاة (رسالة</w:t>
      </w:r>
    </w:p>
    <w:p>
      <w:pPr>
        <w:pStyle w:val="BookText"/>
      </w:pPr>
      <w:r>
        <w:rPr>
          <w:rFonts w:ascii="Amiri" w:hAnsi="Amiri" w:eastAsia="Amiri" w:cs="Amiri"/>
          <w:lang w:bidi="ar-SA"/>
          <w:color w:val="111111"/>
          <w:sz w:val="28"/>
          <w:szCs w:val="28"/>
          <w:rtl/>
        </w:rPr>
        <w:t xml:space="preserve">في)، ج 12، ص 549.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3" w:name="pg7742_70218"/>
    <w:bookmarkEnd w:id="413"/>
    <w:p>
      <w:pPr>
        <w:pStyle w:val="BookText"/>
      </w:pPr>
      <w:r>
        <w:rPr>
          <w:rFonts w:ascii="Amiri" w:hAnsi="Amiri" w:eastAsia="Amiri" w:cs="Amiri"/>
          <w:lang w:bidi="ar-SA"/>
          <w:color w:val="111111"/>
          <w:sz w:val="28"/>
          <w:szCs w:val="28"/>
          <w:rtl/>
        </w:rPr>
        <w:t xml:space="preserve">حفيد ابن مرزوق ، محمّد بن احمد- ابن</w:t>
      </w:r>
    </w:p>
    <w:p>
      <w:pPr>
        <w:pStyle w:val="BookText"/>
      </w:pPr>
      <w:r>
        <w:rPr>
          <w:rFonts w:ascii="IRNazanin" w:hAnsi="IRNazanin" w:eastAsia="IRNazanin" w:cs="IRNazanin"/>
          <w:lang w:bidi="fa-IR"/>
          <w:color w:val="111111"/>
          <w:sz w:val="28"/>
          <w:szCs w:val="28"/>
          <w:rtl/>
        </w:rPr>
        <w:t xml:space="preserve">مرزوق ، محمّد بن احمد</w:t>
      </w:r>
    </w:p>
    <w:p>
      <w:pPr>
        <w:pStyle w:val="BookText"/>
      </w:pPr>
      <w:r>
        <w:rPr>
          <w:rFonts w:ascii="Amiri" w:hAnsi="Amiri" w:eastAsia="Amiri" w:cs="Amiri"/>
          <w:lang w:bidi="ar-SA"/>
          <w:color w:val="111111"/>
          <w:sz w:val="28"/>
          <w:szCs w:val="28"/>
          <w:rtl/>
        </w:rPr>
        <w:t xml:space="preserve">حفيد ، اسماعيل بن عبدالغني- ابن</w:t>
      </w:r>
    </w:p>
    <w:p>
      <w:pPr>
        <w:pStyle w:val="BookText"/>
      </w:pPr>
      <w:r>
        <w:rPr>
          <w:rFonts w:ascii="Amiri" w:hAnsi="Amiri" w:eastAsia="Amiri" w:cs="Amiri"/>
          <w:lang w:bidi="ar-SA"/>
          <w:color w:val="111111"/>
          <w:sz w:val="28"/>
          <w:szCs w:val="28"/>
          <w:rtl/>
        </w:rPr>
        <w:t xml:space="preserve">نابلسي، اسماعيل بن عبدالغني</w:t>
      </w:r>
    </w:p>
    <w:p>
      <w:pPr>
        <w:pStyle w:val="Heading2"/>
      </w:pPr>
      <w:bookmarkStart w:id="3820" w:name="_Toc2922"/>
      <w:r>
        <w:t>حفيد تفتازاني احمد بن يحيى -916؟ه-</w:t>
      </w:r>
      <w:bookmarkEnd w:id="3820"/>
    </w:p>
    <w:p>
      <w:pPr>
        <w:pStyle w:val="BookText"/>
      </w:pPr>
      <w:r>
        <w:rPr>
          <w:rFonts w:ascii="Amiri" w:hAnsi="Amiri" w:eastAsia="Amiri" w:cs="Amiri"/>
          <w:lang w:bidi="ar-SA"/>
          <w:color w:val="111111"/>
          <w:sz w:val="28"/>
          <w:szCs w:val="28"/>
          <w:rtl/>
        </w:rPr>
        <w:t xml:space="preserve">1 .حاشية المطول، ج 6، ص 386.</w:t>
      </w:r>
    </w:p>
    <w:p>
      <w:pPr>
        <w:pStyle w:val="BookText"/>
      </w:pPr>
      <w:r>
        <w:rPr>
          <w:rFonts w:ascii="Amiri" w:hAnsi="Amiri" w:eastAsia="Amiri" w:cs="Amiri"/>
          <w:lang w:bidi="ar-SA"/>
          <w:color w:val="111111"/>
          <w:sz w:val="28"/>
          <w:szCs w:val="28"/>
          <w:rtl/>
        </w:rPr>
        <w:t xml:space="preserve">2 .حاشية شرح الاربعين حديثاً، ج6،</w:t>
      </w:r>
    </w:p>
    <w:p>
      <w:pPr>
        <w:pStyle w:val="BookText"/>
      </w:pPr>
      <w:r>
        <w:rPr>
          <w:rFonts w:ascii="IRNazanin" w:hAnsi="IRNazanin" w:eastAsia="IRNazanin" w:cs="IRNazanin"/>
          <w:lang w:bidi="fa-IR"/>
          <w:color w:val="111111"/>
          <w:sz w:val="28"/>
          <w:szCs w:val="28"/>
          <w:rtl/>
        </w:rPr>
        <w:t xml:space="preserve">ص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وقاية الرواية في مسائل</w:t>
      </w:r>
    </w:p>
    <w:p>
      <w:pPr>
        <w:pStyle w:val="BookText"/>
      </w:pPr>
      <w:r>
        <w:rPr>
          <w:rFonts w:ascii="Amiri" w:hAnsi="Amiri" w:eastAsia="Amiri" w:cs="Amiri"/>
          <w:lang w:bidi="ar-SA"/>
          <w:color w:val="111111"/>
          <w:sz w:val="28"/>
          <w:szCs w:val="28"/>
          <w:rtl/>
        </w:rPr>
        <w:t xml:space="preserve">الهداية، ج 6، ص 216.</w:t>
      </w:r>
    </w:p>
    <w:p>
      <w:pPr>
        <w:pStyle w:val="BookText"/>
      </w:pPr>
      <w:r>
        <w:rPr>
          <w:rFonts w:ascii="Amiri" w:hAnsi="Amiri" w:eastAsia="Amiri" w:cs="Amiri"/>
          <w:lang w:bidi="ar-SA"/>
          <w:color w:val="111111"/>
          <w:sz w:val="28"/>
          <w:szCs w:val="28"/>
          <w:rtl/>
        </w:rPr>
        <w:t xml:space="preserve">4 .حاشية مختصر المعاني = حاشية</w:t>
      </w:r>
    </w:p>
    <w:p>
      <w:pPr>
        <w:pStyle w:val="BookText"/>
      </w:pPr>
      <w:r>
        <w:rPr>
          <w:rFonts w:ascii="Amiri" w:hAnsi="Amiri" w:eastAsia="Amiri" w:cs="Amiri"/>
          <w:lang w:bidi="ar-SA"/>
          <w:color w:val="111111"/>
          <w:sz w:val="28"/>
          <w:szCs w:val="28"/>
          <w:rtl/>
        </w:rPr>
        <w:t xml:space="preserve">الحفيد، ج 6 ، ص 360 .</w:t>
      </w:r>
    </w:p>
    <w:p>
      <w:pPr>
        <w:pStyle w:val="BookText"/>
      </w:pPr>
      <w:r>
        <w:rPr>
          <w:rFonts w:ascii="Amiri" w:hAnsi="Amiri" w:eastAsia="Amiri" w:cs="Amiri"/>
          <w:lang w:bidi="ar-SA"/>
          <w:color w:val="111111"/>
          <w:sz w:val="28"/>
          <w:szCs w:val="28"/>
          <w:rtl/>
        </w:rPr>
        <w:t xml:space="preserve">5 .شرح تهذيب المنطق، ج9، ص 350.</w:t>
      </w:r>
    </w:p>
    <w:p>
      <w:pPr>
        <w:pStyle w:val="BookText"/>
      </w:pPr>
      <w:r>
        <w:rPr>
          <w:rFonts w:ascii="Amiri" w:hAnsi="Amiri" w:eastAsia="Amiri" w:cs="Amiri"/>
          <w:lang w:bidi="ar-SA"/>
          <w:color w:val="111111"/>
          <w:sz w:val="28"/>
          <w:szCs w:val="28"/>
          <w:rtl/>
        </w:rPr>
        <w:t xml:space="preserve">6 .شرح فرائض السجاوندي - جواهر الفوائد المستخرجة من الرسالة السراجية، ج9، ص 776.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المجموعة النفيسة في العلوم المتشرعة و علوم الفلاسفة، ج 14،</w:t>
      </w:r>
    </w:p>
    <w:p>
      <w:pPr>
        <w:pStyle w:val="BookText"/>
      </w:pPr>
      <w:r>
        <w:rPr>
          <w:rFonts w:ascii="IRNazanin" w:hAnsi="IRNazanin" w:eastAsia="IRNazanin" w:cs="IRNazanin"/>
          <w:lang w:bidi="fa-IR"/>
          <w:color w:val="111111"/>
          <w:sz w:val="28"/>
          <w:szCs w:val="28"/>
          <w:rtl/>
        </w:rPr>
        <w:t xml:space="preserve">ص 61 .</w:t>
      </w:r>
    </w:p>
    <w:p>
      <w:pPr>
        <w:pStyle w:val="BookText"/>
      </w:pPr>
      <w:r>
        <w:rPr>
          <w:rFonts w:ascii="Amiri" w:hAnsi="Amiri" w:eastAsia="Amiri" w:cs="Amiri"/>
          <w:lang w:bidi="ar-SA"/>
          <w:color w:val="111111"/>
          <w:sz w:val="28"/>
          <w:szCs w:val="28"/>
          <w:rtl/>
        </w:rPr>
        <w:t xml:space="preserve">8 .المقاصد النافعة و الفوائد الجامعة</w:t>
      </w:r>
    </w:p>
    <w:p>
      <w:pPr>
        <w:pStyle w:val="BookText"/>
      </w:pPr>
      <w:r>
        <w:rPr>
          <w:rFonts w:ascii="IRNazanin" w:hAnsi="IRNazanin" w:eastAsia="IRNazanin" w:cs="IRNazanin"/>
          <w:lang w:bidi="fa-IR"/>
          <w:color w:val="111111"/>
          <w:sz w:val="28"/>
          <w:szCs w:val="28"/>
          <w:rtl/>
        </w:rPr>
        <w:t xml:space="preserve">ج 15 ، ص 277.</w:t>
      </w:r>
    </w:p>
    <w:p>
      <w:pPr>
        <w:pStyle w:val="BookText"/>
      </w:pPr>
      <w:r>
        <w:rPr>
          <w:rFonts w:ascii="Amiri" w:hAnsi="Amiri" w:eastAsia="Amiri" w:cs="Amiri"/>
          <w:lang w:bidi="ar-SA"/>
          <w:color w:val="111111"/>
          <w:sz w:val="28"/>
          <w:szCs w:val="28"/>
          <w:rtl/>
        </w:rPr>
        <w:t xml:space="preserve">حفيد داود نقشبندي ، محمّد رشيد بن</w:t>
      </w:r>
    </w:p>
    <w:p>
      <w:pPr>
        <w:pStyle w:val="BookText"/>
      </w:pPr>
      <w:r>
        <w:rPr>
          <w:rFonts w:ascii="Amiri" w:hAnsi="Amiri" w:eastAsia="Amiri" w:cs="Amiri"/>
          <w:lang w:bidi="ar-SA"/>
          <w:color w:val="111111"/>
          <w:sz w:val="28"/>
          <w:szCs w:val="28"/>
          <w:rtl/>
        </w:rPr>
        <w:t xml:space="preserve">اسماعيل- نقشبندي ، محمّد رشيد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حفيد شهيد ثاني- عاملي ، علي بن محمّد</w:t>
      </w:r>
    </w:p>
    <w:p>
      <w:pPr>
        <w:pStyle w:val="BookText"/>
      </w:pPr>
      <w:r>
        <w:rPr>
          <w:rFonts w:ascii="Amiri" w:hAnsi="Amiri" w:eastAsia="Amiri" w:cs="Amiri"/>
          <w:lang w:bidi="ar-SA"/>
          <w:color w:val="111111"/>
          <w:sz w:val="28"/>
          <w:szCs w:val="28"/>
          <w:rtl/>
        </w:rPr>
        <w:t xml:space="preserve">حفيد عصام، علي بن اسماعيل -عصامي</w:t>
      </w:r>
    </w:p>
    <w:p>
      <w:pPr>
        <w:pStyle w:val="BookText"/>
      </w:pPr>
      <w:r>
        <w:rPr>
          <w:rFonts w:ascii="Amiri" w:hAnsi="Amiri" w:eastAsia="Amiri" w:cs="Amiri"/>
          <w:lang w:bidi="ar-SA"/>
          <w:color w:val="111111"/>
          <w:sz w:val="28"/>
          <w:szCs w:val="28"/>
          <w:rtl/>
        </w:rPr>
        <w:t xml:space="preserve">علي بن اسماعيل</w:t>
      </w:r>
    </w:p>
    <w:p>
      <w:pPr>
        <w:pStyle w:val="Heading2"/>
      </w:pPr>
      <w:bookmarkStart w:id="3821" w:name="_Toc2923"/>
      <w:r>
        <w:t>حفيد كوچك احمد زاده ، محمّد مسعود</w:t>
      </w:r>
      <w:bookmarkEnd w:id="3821"/>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مسائل و جوابها في الفلسفه، ج 14،</w:t>
      </w:r>
    </w:p>
    <w:p>
      <w:pPr>
        <w:pStyle w:val="BookText"/>
      </w:pPr>
      <w:r>
        <w:rPr>
          <w:rFonts w:ascii="IRNazanin" w:hAnsi="IRNazanin" w:eastAsia="IRNazanin" w:cs="IRNazanin"/>
          <w:lang w:bidi="fa-IR"/>
          <w:color w:val="111111"/>
          <w:sz w:val="28"/>
          <w:szCs w:val="28"/>
          <w:rtl/>
        </w:rPr>
        <w:t xml:space="preserve">ص 497 .</w:t>
      </w:r>
    </w:p>
    <w:p>
      <w:pPr>
        <w:pStyle w:val="BookText"/>
      </w:pPr>
      <w:r>
        <w:rPr>
          <w:rFonts w:ascii="Amiri" w:hAnsi="Amiri" w:eastAsia="Amiri" w:cs="Amiri"/>
          <w:lang w:bidi="ar-SA"/>
          <w:color w:val="111111"/>
          <w:sz w:val="28"/>
          <w:szCs w:val="28"/>
          <w:rtl/>
        </w:rPr>
        <w:t xml:space="preserve">حفيد ، محمّد بن احمد -ابن مرزوق</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حفيد محمّد تقي مجلسي- استرآبادي ، محمّد شفيع بن محمّد علي</w:t>
      </w:r>
    </w:p>
    <w:p>
      <w:pPr>
        <w:pStyle w:val="Heading2"/>
      </w:pPr>
      <w:bookmarkStart w:id="3822" w:name="_Toc2924"/>
      <w:r>
        <w:t>حق الدين ، احمد بن صالح</w:t>
      </w:r>
      <w:bookmarkEnd w:id="3822"/>
    </w:p>
    <w:p>
      <w:pPr>
        <w:pStyle w:val="BookText"/>
      </w:pPr>
      <w:r>
        <w:rPr>
          <w:rFonts w:ascii="Amiri" w:hAnsi="Amiri" w:eastAsia="Amiri" w:cs="Amiri"/>
          <w:lang w:bidi="ar-SA"/>
          <w:color w:val="111111"/>
          <w:sz w:val="28"/>
          <w:szCs w:val="28"/>
          <w:rtl/>
        </w:rPr>
        <w:t xml:space="preserve">مطلع السيد محمّد، ج14، ص798</w:t>
      </w:r>
    </w:p>
    <w:p>
      <w:pPr>
        <w:pStyle w:val="BookText"/>
      </w:pPr>
      <w:r>
        <w:rPr>
          <w:rFonts w:ascii="Amiri" w:hAnsi="Amiri" w:eastAsia="Amiri" w:cs="Amiri"/>
          <w:lang w:bidi="ar-SA"/>
          <w:color w:val="111111"/>
          <w:sz w:val="28"/>
          <w:szCs w:val="28"/>
          <w:rtl/>
        </w:rPr>
        <w:t xml:space="preserve">حقايقي شرواني -خاقاني ، بديل بن علي</w:t>
      </w:r>
    </w:p>
    <w:p>
      <w:pPr>
        <w:pStyle w:val="Heading2"/>
      </w:pPr>
      <w:bookmarkStart w:id="3823" w:name="_Toc2925"/>
      <w:r>
        <w:t>حقي، ابراهيم بن عثمان - 1195 ه-</w:t>
      </w:r>
      <w:bookmarkEnd w:id="3823"/>
    </w:p>
    <w:p>
      <w:pPr>
        <w:pStyle w:val="BookText"/>
      </w:pPr>
      <w:r>
        <w:rPr>
          <w:rFonts w:ascii="Amiri" w:hAnsi="Amiri" w:eastAsia="Amiri" w:cs="Amiri"/>
          <w:lang w:bidi="ar-SA"/>
          <w:color w:val="111111"/>
          <w:sz w:val="28"/>
          <w:szCs w:val="28"/>
          <w:rtl/>
        </w:rPr>
        <w:t xml:space="preserve">1 .ابعاد اثنى عشر سيارة (منظومة</w:t>
      </w:r>
    </w:p>
    <w:p>
      <w:pPr>
        <w:pStyle w:val="BookText"/>
      </w:pPr>
      <w:r>
        <w:rPr>
          <w:rFonts w:ascii="Amiri" w:hAnsi="Amiri" w:eastAsia="Amiri" w:cs="Amiri"/>
          <w:lang w:bidi="ar-SA"/>
          <w:color w:val="111111"/>
          <w:sz w:val="28"/>
          <w:szCs w:val="28"/>
          <w:rtl/>
        </w:rPr>
        <w:t xml:space="preserve">في)، ج 1، ص 105.</w:t>
      </w:r>
    </w:p>
    <w:p>
      <w:pPr>
        <w:pStyle w:val="BookText"/>
      </w:pPr>
      <w:r>
        <w:rPr>
          <w:rFonts w:ascii="Amiri" w:hAnsi="Amiri" w:eastAsia="Amiri" w:cs="Amiri"/>
          <w:lang w:bidi="ar-SA"/>
          <w:color w:val="111111"/>
          <w:sz w:val="28"/>
          <w:szCs w:val="28"/>
          <w:rtl/>
        </w:rPr>
        <w:t xml:space="preserve">2 .الانسان الكامل، ج 2، ص 805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تجويد القرآن، ج 3، ص 716.</w:t>
      </w:r>
    </w:p>
    <w:p>
      <w:pPr>
        <w:pStyle w:val="BookText"/>
      </w:pPr>
      <w:r>
        <w:rPr>
          <w:rFonts w:ascii="Amiri" w:hAnsi="Amiri" w:eastAsia="Amiri" w:cs="Amiri"/>
          <w:lang w:bidi="ar-SA"/>
          <w:color w:val="111111"/>
          <w:sz w:val="28"/>
          <w:szCs w:val="28"/>
          <w:rtl/>
        </w:rPr>
        <w:t xml:space="preserve">4 .تذكرة الاحباب في مناقب قطب</w:t>
      </w:r>
    </w:p>
    <w:p>
      <w:pPr>
        <w:pStyle w:val="BookText"/>
      </w:pPr>
      <w:r>
        <w:rPr>
          <w:rFonts w:ascii="IRNazanin" w:hAnsi="IRNazanin" w:eastAsia="IRNazanin" w:cs="IRNazanin"/>
          <w:lang w:bidi="fa-IR"/>
          <w:color w:val="111111"/>
          <w:sz w:val="28"/>
          <w:szCs w:val="28"/>
          <w:rtl/>
        </w:rPr>
        <w:t xml:space="preserve">الاقطاب، ج4، ص 176.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جداول استخراج الاعمال الفلكية</w:t>
      </w:r>
    </w:p>
    <w:p>
      <w:pPr>
        <w:pStyle w:val="BookText"/>
      </w:pPr>
      <w:r>
        <w:rPr>
          <w:rFonts w:ascii="Amiri" w:hAnsi="Amiri" w:eastAsia="Amiri" w:cs="Amiri"/>
          <w:lang w:bidi="ar-SA"/>
          <w:color w:val="111111"/>
          <w:sz w:val="28"/>
          <w:szCs w:val="28"/>
          <w:rtl/>
        </w:rPr>
        <w:t xml:space="preserve">بالربع المجيب، ج 5، ص 365.</w:t>
      </w:r>
    </w:p>
    <w:p>
      <w:pPr>
        <w:pStyle w:val="BookText"/>
      </w:pPr>
      <w:r>
        <w:rPr>
          <w:rFonts w:ascii="Amiri" w:hAnsi="Amiri" w:eastAsia="Amiri" w:cs="Amiri"/>
          <w:lang w:bidi="ar-SA"/>
          <w:color w:val="111111"/>
          <w:sz w:val="28"/>
          <w:szCs w:val="28"/>
          <w:rtl/>
        </w:rPr>
        <w:t xml:space="preserve">6 .حصن العارفين من فتن الزمان في</w:t>
      </w:r>
    </w:p>
    <w:p>
      <w:pPr>
        <w:pStyle w:val="BookText"/>
      </w:pPr>
      <w:r>
        <w:rPr>
          <w:rFonts w:ascii="IRNazanin" w:hAnsi="IRNazanin" w:eastAsia="IRNazanin" w:cs="IRNazanin"/>
          <w:lang w:bidi="fa-IR"/>
          <w:color w:val="111111"/>
          <w:sz w:val="28"/>
          <w:szCs w:val="28"/>
          <w:rtl/>
        </w:rPr>
        <w:t xml:space="preserve">کل آن، ج 6، ص 668 .</w:t>
      </w:r>
    </w:p>
    <w:p>
      <w:pPr>
        <w:pStyle w:val="BookText"/>
      </w:pPr>
      <w:r>
        <w:rPr>
          <w:rFonts w:ascii="IRNazanin" w:hAnsi="IRNazanin" w:eastAsia="IRNazanin" w:cs="IRNazanin"/>
          <w:lang w:bidi="fa-IR"/>
          <w:color w:val="111111"/>
          <w:sz w:val="28"/>
          <w:szCs w:val="28"/>
          <w:rtl/>
        </w:rPr>
        <w:t xml:space="preserve">7 .دیوان ابراهیم حقي، ج7، ص 511</w:t>
      </w:r>
    </w:p>
    <w:p>
      <w:pPr>
        <w:pStyle w:val="BookText"/>
      </w:pPr>
      <w:r>
        <w:rPr>
          <w:rFonts w:ascii="Amiri" w:hAnsi="Amiri" w:eastAsia="Amiri" w:cs="Amiri"/>
          <w:lang w:bidi="ar-SA"/>
          <w:color w:val="111111"/>
          <w:sz w:val="28"/>
          <w:szCs w:val="28"/>
          <w:rtl/>
        </w:rPr>
        <w:t xml:space="preserve">8 .الربع المجيب (رسالة في) - الرسالة التركية في الاعمال الفلكية، ج8،</w:t>
      </w:r>
    </w:p>
    <w:p>
      <w:pPr>
        <w:pStyle w:val="BookText"/>
      </w:pPr>
      <w:r>
        <w:rPr>
          <w:rFonts w:ascii="IRNazanin" w:hAnsi="IRNazanin" w:eastAsia="IRNazanin" w:cs="IRNazanin"/>
          <w:lang w:bidi="fa-IR"/>
          <w:color w:val="111111"/>
          <w:sz w:val="28"/>
          <w:szCs w:val="28"/>
          <w:rtl/>
        </w:rPr>
        <w:t xml:space="preserve">ص 25 .</w:t>
      </w:r>
    </w:p>
    <w:p>
      <w:pPr>
        <w:pStyle w:val="BookText"/>
      </w:pPr>
      <w:r>
        <w:rPr>
          <w:rFonts w:ascii="Amiri" w:hAnsi="Amiri" w:eastAsia="Amiri" w:cs="Amiri"/>
          <w:lang w:bidi="ar-SA"/>
          <w:color w:val="111111"/>
          <w:sz w:val="28"/>
          <w:szCs w:val="28"/>
          <w:rtl/>
        </w:rPr>
        <w:t xml:space="preserve">9 .قواعد اللغة الفارسية، ج 12،</w:t>
      </w:r>
    </w:p>
    <w:p>
      <w:pPr>
        <w:pStyle w:val="BookText"/>
      </w:pPr>
      <w:r>
        <w:rPr>
          <w:rFonts w:ascii="IRNazanin" w:hAnsi="IRNazanin" w:eastAsia="IRNazanin" w:cs="IRNazanin"/>
          <w:lang w:bidi="fa-IR"/>
          <w:color w:val="111111"/>
          <w:sz w:val="28"/>
          <w:szCs w:val="28"/>
          <w:rtl/>
        </w:rPr>
        <w:t xml:space="preserve">ص 804</w:t>
      </w:r>
    </w:p>
    <w:p>
      <w:pPr>
        <w:pStyle w:val="BookText"/>
      </w:pPr>
      <w:r>
        <w:rPr>
          <w:rFonts w:ascii="Amiri" w:hAnsi="Amiri" w:eastAsia="Amiri" w:cs="Amiri"/>
          <w:lang w:bidi="ar-SA"/>
          <w:color w:val="111111"/>
          <w:sz w:val="28"/>
          <w:szCs w:val="28"/>
          <w:rtl/>
        </w:rPr>
        <w:t xml:space="preserve">10 .لغات الالسنة الثلاثة (رسالة في)،</w:t>
      </w:r>
    </w:p>
    <w:p>
      <w:pPr>
        <w:pStyle w:val="BookText"/>
      </w:pPr>
      <w:r>
        <w:rPr>
          <w:rFonts w:ascii="IRNazanin" w:hAnsi="IRNazanin" w:eastAsia="IRNazanin" w:cs="IRNazanin"/>
          <w:lang w:bidi="fa-IR"/>
          <w:color w:val="111111"/>
          <w:sz w:val="28"/>
          <w:szCs w:val="28"/>
          <w:rtl/>
        </w:rPr>
        <w:t xml:space="preserve">ج 13، ص 587 .</w:t>
      </w:r>
    </w:p>
    <w:p>
      <w:pPr>
        <w:pStyle w:val="BookText"/>
      </w:pPr>
      <w:r>
        <w:rPr>
          <w:rFonts w:ascii="Amiri" w:hAnsi="Amiri" w:eastAsia="Amiri" w:cs="Amiri"/>
          <w:lang w:bidi="ar-SA"/>
          <w:color w:val="111111"/>
          <w:sz w:val="28"/>
          <w:szCs w:val="28"/>
          <w:rtl/>
        </w:rPr>
        <w:t xml:space="preserve">11 .مجموعة المعاني، ج 14 ، ص 58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4" w:name="pg7742_70220"/>
    <w:bookmarkEnd w:id="414"/>
    <w:p>
      <w:pPr>
        <w:pStyle w:val="Heading2"/>
      </w:pPr>
      <w:bookmarkStart w:id="3824" w:name="_Toc2926"/>
      <w:r>
        <w:t>حقي ، اسماعيل</w:t>
      </w:r>
      <w:bookmarkEnd w:id="3824"/>
    </w:p>
    <w:p>
      <w:pPr>
        <w:pStyle w:val="BookText"/>
      </w:pPr>
      <w:r>
        <w:rPr>
          <w:rFonts w:ascii="Amiri" w:hAnsi="Amiri" w:eastAsia="Amiri" w:cs="Amiri"/>
          <w:lang w:bidi="ar-SA"/>
          <w:color w:val="111111"/>
          <w:sz w:val="28"/>
          <w:szCs w:val="28"/>
          <w:rtl/>
        </w:rPr>
        <w:t xml:space="preserve">شجرة اليقين، ج 9، ص 84.</w:t>
      </w:r>
    </w:p>
    <w:p>
      <w:pPr>
        <w:pStyle w:val="Heading2"/>
      </w:pPr>
      <w:bookmarkStart w:id="3825" w:name="_Toc2927"/>
      <w:r>
        <w:t>حقي برسوي، اسماعيل بن مصطفى</w:t>
      </w:r>
      <w:bookmarkEnd w:id="3825"/>
    </w:p>
    <w:p>
      <w:pPr>
        <w:pStyle w:val="BookText"/>
      </w:pPr>
      <w:r>
        <w:rPr>
          <w:rFonts w:ascii="IRNazanin" w:hAnsi="IRNazanin" w:eastAsia="IRNazanin" w:cs="IRNazanin"/>
          <w:lang w:bidi="fa-IR"/>
          <w:color w:val="111111"/>
          <w:sz w:val="28"/>
          <w:szCs w:val="28"/>
          <w:rtl/>
        </w:rPr>
        <w:t xml:space="preserve">1063 - 1127 ه-</w:t>
      </w:r>
    </w:p>
    <w:p>
      <w:pPr>
        <w:pStyle w:val="BookText"/>
      </w:pPr>
      <w:r>
        <w:rPr>
          <w:rFonts w:ascii="Amiri" w:hAnsi="Amiri" w:eastAsia="Amiri" w:cs="Amiri"/>
          <w:lang w:bidi="ar-SA"/>
          <w:color w:val="111111"/>
          <w:sz w:val="28"/>
          <w:szCs w:val="28"/>
          <w:rtl/>
        </w:rPr>
        <w:t xml:space="preserve">روح البيان في تفسير القرآن، ج8،</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Amiri" w:hAnsi="Amiri" w:eastAsia="Amiri" w:cs="Amiri"/>
          <w:lang w:bidi="ar-SA"/>
          <w:color w:val="111111"/>
          <w:sz w:val="28"/>
          <w:szCs w:val="28"/>
          <w:rtl/>
        </w:rPr>
        <w:t xml:space="preserve">حقي دهلوي ، عبد الحق بن سيف</w:t>
      </w:r>
    </w:p>
    <w:p>
      <w:pPr>
        <w:pStyle w:val="BookText"/>
      </w:pPr>
      <w:r>
        <w:rPr>
          <w:rFonts w:ascii="Amiri" w:hAnsi="Amiri" w:eastAsia="Amiri" w:cs="Amiri"/>
          <w:lang w:bidi="ar-SA"/>
          <w:color w:val="111111"/>
          <w:sz w:val="28"/>
          <w:szCs w:val="28"/>
          <w:rtl/>
        </w:rPr>
        <w:t xml:space="preserve">الدين -دهلوي ، عبدالحق بن سيف الدين</w:t>
      </w:r>
    </w:p>
    <w:p>
      <w:pPr>
        <w:pStyle w:val="Heading2"/>
      </w:pPr>
      <w:bookmarkStart w:id="3826" w:name="_Toc2928"/>
      <w:r>
        <w:t>حقيري هروي، احمد بن نظام الدین</w:t>
      </w:r>
      <w:bookmarkEnd w:id="3826"/>
    </w:p>
    <w:p>
      <w:pPr>
        <w:pStyle w:val="BookText"/>
      </w:pPr>
      <w:r>
        <w:rPr>
          <w:rFonts w:ascii="IRNazanin" w:hAnsi="IRNazanin" w:eastAsia="IRNazanin" w:cs="IRNazanin"/>
          <w:lang w:bidi="fa-IR"/>
          <w:color w:val="111111"/>
          <w:sz w:val="28"/>
          <w:szCs w:val="28"/>
          <w:rtl/>
        </w:rPr>
        <w:t xml:space="preserve">942ه-</w:t>
      </w:r>
    </w:p>
    <w:p>
      <w:pPr>
        <w:pStyle w:val="BookText"/>
      </w:pPr>
      <w:r>
        <w:rPr>
          <w:rFonts w:ascii="IRNazanin" w:hAnsi="IRNazanin" w:eastAsia="IRNazanin" w:cs="IRNazanin"/>
          <w:lang w:bidi="fa-IR"/>
          <w:color w:val="111111"/>
          <w:sz w:val="28"/>
          <w:szCs w:val="28"/>
          <w:rtl/>
        </w:rPr>
        <w:t xml:space="preserve">مفردات = دستور معما ج 15</w:t>
      </w:r>
    </w:p>
    <w:p>
      <w:pPr>
        <w:pStyle w:val="BookText"/>
      </w:pPr>
      <w:r>
        <w:rPr>
          <w:rFonts w:ascii="IRNazanin" w:hAnsi="IRNazanin" w:eastAsia="IRNazanin" w:cs="IRNazanin"/>
          <w:lang w:bidi="fa-IR"/>
          <w:color w:val="111111"/>
          <w:sz w:val="28"/>
          <w:szCs w:val="28"/>
          <w:rtl/>
        </w:rPr>
        <w:t xml:space="preserve">ص 243.</w:t>
      </w:r>
    </w:p>
    <w:p>
      <w:pPr>
        <w:pStyle w:val="BookText"/>
      </w:pPr>
      <w:r>
        <w:rPr>
          <w:rFonts w:ascii="Amiri" w:hAnsi="Amiri" w:eastAsia="Amiri" w:cs="Amiri"/>
          <w:lang w:bidi="ar-SA"/>
          <w:color w:val="111111"/>
          <w:sz w:val="28"/>
          <w:szCs w:val="28"/>
          <w:rtl/>
        </w:rPr>
        <w:t xml:space="preserve">حقيقي افندي-بسنوي ، عبدالله بن محمّد</w:t>
      </w:r>
    </w:p>
    <w:p>
      <w:pPr>
        <w:pStyle w:val="BookText"/>
      </w:pPr>
      <w:r>
        <w:rPr>
          <w:rFonts w:ascii="Amiri" w:hAnsi="Amiri" w:eastAsia="Amiri" w:cs="Amiri"/>
          <w:lang w:bidi="ar-SA"/>
          <w:color w:val="111111"/>
          <w:sz w:val="28"/>
          <w:szCs w:val="28"/>
          <w:rtl/>
        </w:rPr>
        <w:t xml:space="preserve">حقيقي ، يوسف بن احمد -تبريزي ،</w:t>
      </w:r>
    </w:p>
    <w:p>
      <w:pPr>
        <w:pStyle w:val="BookText"/>
      </w:pPr>
      <w:r>
        <w:rPr>
          <w:rFonts w:ascii="Amiri" w:hAnsi="Amiri" w:eastAsia="Amiri" w:cs="Amiri"/>
          <w:lang w:bidi="ar-SA"/>
          <w:color w:val="111111"/>
          <w:sz w:val="28"/>
          <w:szCs w:val="28"/>
          <w:rtl/>
        </w:rPr>
        <w:t xml:space="preserve">يوسف بن احمد</w:t>
      </w:r>
    </w:p>
    <w:p>
      <w:pPr>
        <w:pStyle w:val="Heading2"/>
      </w:pPr>
      <w:bookmarkStart w:id="3827" w:name="_Toc2929"/>
      <w:r>
        <w:t>حكري ، محمّد بن سليمان - 781 ه-</w:t>
      </w:r>
      <w:bookmarkEnd w:id="3827"/>
    </w:p>
    <w:p>
      <w:pPr>
        <w:pStyle w:val="BookText"/>
      </w:pPr>
      <w:r>
        <w:rPr>
          <w:rFonts w:ascii="Amiri" w:hAnsi="Amiri" w:eastAsia="Amiri" w:cs="Amiri"/>
          <w:lang w:bidi="ar-SA"/>
          <w:color w:val="111111"/>
          <w:sz w:val="28"/>
          <w:szCs w:val="28"/>
          <w:rtl/>
        </w:rPr>
        <w:t xml:space="preserve">النجوم الزاهرة في السبعة المتواترة</w:t>
      </w:r>
    </w:p>
    <w:p>
      <w:pPr>
        <w:pStyle w:val="BookText"/>
      </w:pPr>
      <w:r>
        <w:rPr>
          <w:rFonts w:ascii="IRNazanin" w:hAnsi="IRNazanin" w:eastAsia="IRNazanin" w:cs="IRNazanin"/>
          <w:lang w:bidi="fa-IR"/>
          <w:color w:val="111111"/>
          <w:sz w:val="28"/>
          <w:szCs w:val="28"/>
          <w:rtl/>
        </w:rPr>
        <w:t xml:space="preserve">ج 16، ص 165.</w:t>
      </w:r>
    </w:p>
    <w:p>
      <w:pPr>
        <w:pStyle w:val="BookText"/>
      </w:pPr>
      <w:r>
        <w:rPr>
          <w:rFonts w:ascii="Amiri" w:hAnsi="Amiri" w:eastAsia="Amiri" w:cs="Amiri"/>
          <w:lang w:bidi="ar-SA"/>
          <w:color w:val="111111"/>
          <w:sz w:val="28"/>
          <w:szCs w:val="28"/>
          <w:rtl/>
        </w:rPr>
        <w:t xml:space="preserve">حكري ، مغلطاي بن قليج- بكجري ،</w:t>
      </w:r>
    </w:p>
    <w:p>
      <w:pPr>
        <w:pStyle w:val="BookText"/>
      </w:pPr>
      <w:r>
        <w:rPr>
          <w:rFonts w:ascii="Amiri" w:hAnsi="Amiri" w:eastAsia="Amiri" w:cs="Amiri"/>
          <w:lang w:bidi="ar-SA"/>
          <w:color w:val="111111"/>
          <w:sz w:val="28"/>
          <w:szCs w:val="28"/>
          <w:rtl/>
        </w:rPr>
        <w:t xml:space="preserve">مغلطاي بن قليج</w:t>
      </w:r>
    </w:p>
    <w:p>
      <w:pPr>
        <w:pStyle w:val="BookText"/>
      </w:pPr>
      <w:r>
        <w:rPr>
          <w:rFonts w:ascii="IRNazanin" w:hAnsi="IRNazanin" w:eastAsia="IRNazanin" w:cs="IRNazanin"/>
          <w:lang w:bidi="fa-IR"/>
          <w:color w:val="111111"/>
          <w:sz w:val="28"/>
          <w:szCs w:val="28"/>
          <w:rtl/>
        </w:rPr>
        <w:t xml:space="preserve">حکم آبادي ، محمّد طه بن</w:t>
      </w:r>
    </w:p>
    <w:p>
      <w:pPr>
        <w:pStyle w:val="BookText"/>
      </w:pPr>
      <w:r>
        <w:rPr>
          <w:rFonts w:ascii="Amiri" w:hAnsi="Amiri" w:eastAsia="Amiri" w:cs="Amiri"/>
          <w:lang w:bidi="ar-SA"/>
          <w:color w:val="111111"/>
          <w:sz w:val="28"/>
          <w:szCs w:val="28"/>
          <w:rtl/>
        </w:rPr>
        <w:t xml:space="preserve">مهدي- تبريزي ، محمّد طه بن مهدي</w:t>
      </w:r>
    </w:p>
    <w:p>
      <w:pPr>
        <w:pStyle w:val="Heading2"/>
      </w:pPr>
      <w:bookmarkStart w:id="3828" w:name="_Toc2930"/>
      <w:r>
        <w:t>حكمي ، احمد بن ابي الفتح، قرن 11 ه-</w:t>
      </w:r>
      <w:bookmarkEnd w:id="3828"/>
    </w:p>
    <w:p>
      <w:pPr>
        <w:pStyle w:val="BookText"/>
      </w:pPr>
      <w:r>
        <w:rPr>
          <w:rFonts w:ascii="Amiri" w:hAnsi="Amiri" w:eastAsia="Amiri" w:cs="Amiri"/>
          <w:lang w:bidi="ar-SA"/>
          <w:color w:val="111111"/>
          <w:sz w:val="28"/>
          <w:szCs w:val="28"/>
          <w:rtl/>
        </w:rPr>
        <w:t xml:space="preserve">القراءات (منظومة في)، ج 12، ص 541.</w:t>
      </w:r>
    </w:p>
    <w:p>
      <w:pPr>
        <w:pStyle w:val="Heading2"/>
      </w:pPr>
      <w:bookmarkStart w:id="3829" w:name="_Toc2931"/>
      <w:r>
        <w:t>حكيم ، ابوالقاسم</w:t>
      </w:r>
      <w:bookmarkEnd w:id="3829"/>
    </w:p>
    <w:p>
      <w:pPr>
        <w:pStyle w:val="BookText"/>
      </w:pPr>
      <w:r>
        <w:rPr>
          <w:rFonts w:ascii="Amiri" w:hAnsi="Amiri" w:eastAsia="Amiri" w:cs="Amiri"/>
          <w:lang w:bidi="ar-SA"/>
          <w:color w:val="111111"/>
          <w:sz w:val="28"/>
          <w:szCs w:val="28"/>
          <w:rtl/>
        </w:rPr>
        <w:t xml:space="preserve">وصية ابوالقاسم الحكيم في جهاد</w:t>
      </w:r>
    </w:p>
    <w:p>
      <w:pPr>
        <w:pStyle w:val="BookText"/>
      </w:pPr>
      <w:r>
        <w:rPr>
          <w:rFonts w:ascii="IRNazanin" w:hAnsi="IRNazanin" w:eastAsia="IRNazanin" w:cs="IRNazanin"/>
          <w:lang w:bidi="fa-IR"/>
          <w:color w:val="111111"/>
          <w:sz w:val="28"/>
          <w:szCs w:val="28"/>
          <w:rtl/>
        </w:rPr>
        <w:t xml:space="preserve">النفس، ج 16، ص 811.</w:t>
      </w:r>
    </w:p>
    <w:p>
      <w:pPr>
        <w:pStyle w:val="Heading2"/>
      </w:pPr>
      <w:bookmarkStart w:id="3830" w:name="_Toc2932"/>
      <w:r>
        <w:t>حکیم اسحاق</w:t>
      </w:r>
      <w:bookmarkEnd w:id="3830"/>
    </w:p>
    <w:p>
      <w:pPr>
        <w:pStyle w:val="BookText"/>
      </w:pPr>
      <w:r>
        <w:rPr>
          <w:rFonts w:ascii="Amiri" w:hAnsi="Amiri" w:eastAsia="Amiri" w:cs="Amiri"/>
          <w:lang w:bidi="ar-SA"/>
          <w:color w:val="111111"/>
          <w:sz w:val="28"/>
          <w:szCs w:val="28"/>
          <w:rtl/>
        </w:rPr>
        <w:t xml:space="preserve">مختصر الحكمة النبوية = شرح الفقه</w:t>
      </w:r>
    </w:p>
    <w:p>
      <w:pPr>
        <w:pStyle w:val="BookText"/>
      </w:pPr>
      <w:r>
        <w:rPr>
          <w:rFonts w:ascii="Amiri" w:hAnsi="Amiri" w:eastAsia="Amiri" w:cs="Amiri"/>
          <w:lang w:bidi="ar-SA"/>
          <w:color w:val="111111"/>
          <w:sz w:val="28"/>
          <w:szCs w:val="28"/>
          <w:rtl/>
        </w:rPr>
        <w:t xml:space="preserve">الاكبر، ج 14، ص 188.</w:t>
      </w:r>
    </w:p>
    <w:p>
      <w:pPr>
        <w:pStyle w:val="Heading2"/>
      </w:pPr>
      <w:bookmarkStart w:id="3831" w:name="_Toc2933"/>
      <w:r>
        <w:t>حكيم افندي ، محمّد، قرن 13 ه-</w:t>
      </w:r>
      <w:bookmarkEnd w:id="3831"/>
    </w:p>
    <w:p>
      <w:pPr>
        <w:pStyle w:val="BookText"/>
      </w:pPr>
      <w:r>
        <w:rPr>
          <w:rFonts w:ascii="Amiri" w:hAnsi="Amiri" w:eastAsia="Amiri" w:cs="Amiri"/>
          <w:lang w:bidi="ar-SA"/>
          <w:color w:val="111111"/>
          <w:sz w:val="28"/>
          <w:szCs w:val="28"/>
          <w:rtl/>
        </w:rPr>
        <w:t xml:space="preserve">كنوز الصحة و يواقيت المنحة، ج 13،</w:t>
      </w:r>
    </w:p>
    <w:p>
      <w:pPr>
        <w:pStyle w:val="BookText"/>
      </w:pPr>
      <w:r>
        <w:rPr>
          <w:rFonts w:ascii="IRNazanin" w:hAnsi="IRNazanin" w:eastAsia="IRNazanin" w:cs="IRNazanin"/>
          <w:lang w:bidi="fa-IR"/>
          <w:color w:val="111111"/>
          <w:sz w:val="28"/>
          <w:szCs w:val="28"/>
          <w:rtl/>
        </w:rPr>
        <w:t xml:space="preserve">ص 443 .</w:t>
      </w:r>
    </w:p>
    <w:p>
      <w:pPr>
        <w:pStyle w:val="Heading2"/>
      </w:pPr>
      <w:bookmarkStart w:id="3832" w:name="_Toc2934"/>
      <w:r>
        <w:t>حكيم الدين تبريزي ، محمود بن سعد</w:t>
      </w:r>
      <w:bookmarkEnd w:id="3832"/>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ترويح الارواح من علل الاشباح، ج 4،</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Amiri" w:hAnsi="Amiri" w:eastAsia="Amiri" w:cs="Amiri"/>
          <w:lang w:bidi="ar-SA"/>
          <w:color w:val="111111"/>
          <w:sz w:val="28"/>
          <w:szCs w:val="28"/>
          <w:rtl/>
        </w:rPr>
        <w:t xml:space="preserve">حكيم الزمان ، عبد المنعم بن عم-ر جلياني</w:t>
      </w:r>
    </w:p>
    <w:p>
      <w:pPr>
        <w:pStyle w:val="BookText"/>
      </w:pPr>
      <w:r>
        <w:rPr>
          <w:rFonts w:ascii="IRNazanin" w:hAnsi="IRNazanin" w:eastAsia="IRNazanin" w:cs="IRNazanin"/>
          <w:lang w:bidi="fa-IR"/>
          <w:color w:val="111111"/>
          <w:sz w:val="28"/>
          <w:szCs w:val="28"/>
          <w:rtl/>
        </w:rPr>
        <w:t xml:space="preserve">، عبد المنعم بن عمر</w:t>
      </w:r>
    </w:p>
    <w:p>
      <w:pPr>
        <w:pStyle w:val="BookText"/>
      </w:pPr>
      <w:r>
        <w:rPr>
          <w:rFonts w:ascii="Amiri" w:hAnsi="Amiri" w:eastAsia="Amiri" w:cs="Amiri"/>
          <w:lang w:bidi="ar-SA"/>
          <w:color w:val="111111"/>
          <w:sz w:val="28"/>
          <w:szCs w:val="28"/>
          <w:rtl/>
        </w:rPr>
        <w:t xml:space="preserve">حكيم الملك كيلاني - نظام الدين كيلاني ،</w:t>
      </w:r>
    </w:p>
    <w:p>
      <w:pPr>
        <w:pStyle w:val="BookText"/>
      </w:pPr>
      <w:r>
        <w:rPr>
          <w:rFonts w:ascii="Amiri" w:hAnsi="Amiri" w:eastAsia="Amiri" w:cs="Amiri"/>
          <w:lang w:bidi="ar-SA"/>
          <w:color w:val="111111"/>
          <w:sz w:val="28"/>
          <w:szCs w:val="28"/>
          <w:rtl/>
        </w:rPr>
        <w:t xml:space="preserve">احمد بن علي</w:t>
      </w:r>
    </w:p>
    <w:p>
      <w:pPr>
        <w:pStyle w:val="BookText"/>
      </w:pPr>
      <w:r>
        <w:rPr>
          <w:rFonts w:ascii="Amiri" w:hAnsi="Amiri" w:eastAsia="Amiri" w:cs="Amiri"/>
          <w:lang w:bidi="ar-SA"/>
          <w:color w:val="111111"/>
          <w:sz w:val="28"/>
          <w:szCs w:val="28"/>
          <w:rtl/>
        </w:rPr>
        <w:t xml:space="preserve">حكيم اندلسي ، علي بن موسى- انصاري</w:t>
      </w:r>
    </w:p>
    <w:p>
      <w:pPr>
        <w:pStyle w:val="BookText"/>
      </w:pPr>
      <w:r>
        <w:rPr>
          <w:rFonts w:ascii="Amiri" w:hAnsi="Amiri" w:eastAsia="Amiri" w:cs="Amiri"/>
          <w:lang w:bidi="ar-SA"/>
          <w:color w:val="111111"/>
          <w:sz w:val="28"/>
          <w:szCs w:val="28"/>
          <w:rtl/>
        </w:rPr>
        <w:t xml:space="preserve">مغربي ، علي بن موسى</w:t>
      </w:r>
    </w:p>
    <w:p>
      <w:pPr>
        <w:pStyle w:val="Heading2"/>
      </w:pPr>
      <w:bookmarkStart w:id="3833" w:name="_Toc2935"/>
      <w:r>
        <w:t>حکیم اوغلي علي پاشا بن نوح -1070ه-</w:t>
      </w:r>
      <w:bookmarkEnd w:id="3833"/>
    </w:p>
    <w:p>
      <w:pPr>
        <w:pStyle w:val="BookText"/>
      </w:pPr>
      <w:r>
        <w:rPr>
          <w:rFonts w:ascii="Amiri" w:hAnsi="Amiri" w:eastAsia="Amiri" w:cs="Amiri"/>
          <w:lang w:bidi="ar-SA"/>
          <w:color w:val="111111"/>
          <w:sz w:val="28"/>
          <w:szCs w:val="28"/>
          <w:rtl/>
        </w:rPr>
        <w:t xml:space="preserve">حق الشجرة النعمانية في اخبار</w:t>
      </w:r>
    </w:p>
    <w:p>
      <w:pPr>
        <w:pStyle w:val="BookText"/>
      </w:pPr>
      <w:r>
        <w:rPr>
          <w:rFonts w:ascii="Amiri" w:hAnsi="Amiri" w:eastAsia="Amiri" w:cs="Amiri"/>
          <w:lang w:bidi="ar-SA"/>
          <w:color w:val="111111"/>
          <w:sz w:val="28"/>
          <w:szCs w:val="28"/>
          <w:rtl/>
        </w:rPr>
        <w:t xml:space="preserve">الدولة العثمانية» (رسالة في)، ج 6،</w:t>
      </w:r>
    </w:p>
    <w:p>
      <w:pPr>
        <w:pStyle w:val="BookText"/>
      </w:pPr>
      <w:r>
        <w:rPr>
          <w:rFonts w:ascii="IRNazanin" w:hAnsi="IRNazanin" w:eastAsia="IRNazanin" w:cs="IRNazanin"/>
          <w:lang w:bidi="fa-IR"/>
          <w:color w:val="111111"/>
          <w:sz w:val="28"/>
          <w:szCs w:val="28"/>
          <w:rtl/>
        </w:rPr>
        <w:t xml:space="preserve">ص 693 .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5" w:name="pg7742_70222"/>
    <w:bookmarkEnd w:id="415"/>
    <w:p>
      <w:pPr>
        <w:pStyle w:val="BookText"/>
      </w:pPr>
      <w:r>
        <w:rPr>
          <w:rFonts w:ascii="Amiri" w:hAnsi="Amiri" w:eastAsia="Amiri" w:cs="Amiri"/>
          <w:lang w:bidi="ar-SA"/>
          <w:color w:val="111111"/>
          <w:sz w:val="28"/>
          <w:szCs w:val="28"/>
          <w:rtl/>
        </w:rPr>
        <w:t xml:space="preserve">حكيم باشي ، صالح بن نصر الله -ابن سلوم</w:t>
      </w:r>
    </w:p>
    <w:p>
      <w:pPr>
        <w:pStyle w:val="BookText"/>
      </w:pPr>
      <w:r>
        <w:rPr>
          <w:rFonts w:ascii="IRNazanin" w:hAnsi="IRNazanin" w:eastAsia="IRNazanin" w:cs="IRNazanin"/>
          <w:lang w:bidi="fa-IR"/>
          <w:color w:val="111111"/>
          <w:sz w:val="28"/>
          <w:szCs w:val="28"/>
          <w:rtl/>
        </w:rPr>
        <w:t xml:space="preserve">، صالح بن نصر الله</w:t>
      </w:r>
    </w:p>
    <w:p>
      <w:pPr>
        <w:pStyle w:val="BookText"/>
      </w:pPr>
      <w:r>
        <w:rPr>
          <w:rFonts w:ascii="Amiri" w:hAnsi="Amiri" w:eastAsia="Amiri" w:cs="Amiri"/>
          <w:lang w:bidi="ar-SA"/>
          <w:color w:val="111111"/>
          <w:sz w:val="28"/>
          <w:szCs w:val="28"/>
          <w:rtl/>
        </w:rPr>
        <w:t xml:space="preserve">حكيم باشي طهراني ، خليل بن عبد الباقي- ثقفي ، خليل بن عبدالباقي</w:t>
      </w:r>
    </w:p>
    <w:p>
      <w:pPr>
        <w:pStyle w:val="BookText"/>
      </w:pPr>
      <w:r>
        <w:rPr>
          <w:rFonts w:ascii="Amiri" w:hAnsi="Amiri" w:eastAsia="Amiri" w:cs="Amiri"/>
          <w:lang w:bidi="ar-SA"/>
          <w:color w:val="111111"/>
          <w:sz w:val="28"/>
          <w:szCs w:val="28"/>
          <w:rtl/>
        </w:rPr>
        <w:t xml:space="preserve">حكيم باشي ، مصطفى -حياتي زاده</w:t>
      </w:r>
    </w:p>
    <w:p>
      <w:pPr>
        <w:pStyle w:val="BookText"/>
      </w:pPr>
      <w:r>
        <w:rPr>
          <w:rFonts w:ascii="IRNazanin" w:hAnsi="IRNazanin" w:eastAsia="IRNazanin" w:cs="IRNazanin"/>
          <w:lang w:bidi="fa-IR"/>
          <w:color w:val="111111"/>
          <w:sz w:val="28"/>
          <w:szCs w:val="28"/>
          <w:rtl/>
        </w:rPr>
        <w:t xml:space="preserve">مصطفى بن محمّد</w:t>
      </w:r>
    </w:p>
    <w:p>
      <w:pPr>
        <w:pStyle w:val="BookText"/>
      </w:pPr>
      <w:r>
        <w:rPr>
          <w:rFonts w:ascii="Amiri" w:hAnsi="Amiri" w:eastAsia="Amiri" w:cs="Amiri"/>
          <w:lang w:bidi="ar-SA"/>
          <w:color w:val="111111"/>
          <w:sz w:val="28"/>
          <w:szCs w:val="28"/>
          <w:rtl/>
        </w:rPr>
        <w:t xml:space="preserve">حكيم بديعي تبريزي- بديعي تبريزي</w:t>
      </w:r>
    </w:p>
    <w:p>
      <w:pPr>
        <w:pStyle w:val="BookText"/>
      </w:pPr>
      <w:r>
        <w:rPr>
          <w:rFonts w:ascii="Amiri" w:hAnsi="Amiri" w:eastAsia="Amiri" w:cs="Amiri"/>
          <w:lang w:bidi="ar-SA"/>
          <w:color w:val="111111"/>
          <w:sz w:val="28"/>
          <w:szCs w:val="28"/>
          <w:rtl/>
        </w:rPr>
        <w:t xml:space="preserve">حكيم بن علاء الدوله حسيني- حسيني ،</w:t>
      </w:r>
    </w:p>
    <w:p>
      <w:pPr>
        <w:pStyle w:val="BookText"/>
      </w:pPr>
      <w:r>
        <w:rPr>
          <w:rFonts w:ascii="Amiri" w:hAnsi="Amiri" w:eastAsia="Amiri" w:cs="Amiri"/>
          <w:lang w:bidi="ar-SA"/>
          <w:color w:val="111111"/>
          <w:sz w:val="28"/>
          <w:szCs w:val="28"/>
          <w:rtl/>
        </w:rPr>
        <w:t xml:space="preserve">محمّد حكيم بن علاء الدوله</w:t>
      </w:r>
    </w:p>
    <w:p>
      <w:pPr>
        <w:pStyle w:val="Heading2"/>
      </w:pPr>
      <w:bookmarkStart w:id="3834" w:name="_Toc2936"/>
      <w:r>
        <w:t>حكيم ،ترمذي، محمّد بن علي - 320؟ ه-</w:t>
      </w:r>
      <w:bookmarkEnd w:id="38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الامثال من الكتاب والسنة، ج 2،</w:t>
      </w:r>
    </w:p>
    <w:p>
      <w:pPr>
        <w:pStyle w:val="BookText"/>
      </w:pPr>
      <w:r>
        <w:rPr>
          <w:rFonts w:ascii="IRNazanin" w:hAnsi="IRNazanin" w:eastAsia="IRNazanin" w:cs="IRNazanin"/>
          <w:lang w:bidi="fa-IR"/>
          <w:color w:val="111111"/>
          <w:sz w:val="28"/>
          <w:szCs w:val="28"/>
          <w:rtl/>
        </w:rPr>
        <w:t xml:space="preserve">ص 750.</w:t>
      </w:r>
    </w:p>
    <w:p>
      <w:pPr>
        <w:pStyle w:val="BookText"/>
      </w:pPr>
      <w:r>
        <w:rPr>
          <w:rFonts w:ascii="Amiri" w:hAnsi="Amiri" w:eastAsia="Amiri" w:cs="Amiri"/>
          <w:lang w:bidi="ar-SA"/>
          <w:color w:val="111111"/>
          <w:sz w:val="28"/>
          <w:szCs w:val="28"/>
          <w:rtl/>
        </w:rPr>
        <w:t xml:space="preserve">2 .نوادر الاصول في معرفة اخبار</w:t>
      </w:r>
    </w:p>
    <w:p>
      <w:pPr>
        <w:pStyle w:val="BookText"/>
      </w:pPr>
      <w:r>
        <w:rPr>
          <w:rFonts w:ascii="IRNazanin" w:hAnsi="IRNazanin" w:eastAsia="IRNazanin" w:cs="IRNazanin"/>
          <w:lang w:bidi="fa-IR"/>
          <w:color w:val="111111"/>
          <w:sz w:val="28"/>
          <w:szCs w:val="28"/>
          <w:rtl/>
        </w:rPr>
        <w:t xml:space="preserve">الرسول، ج 16، ص 541.</w:t>
      </w:r>
    </w:p>
    <w:p>
      <w:pPr>
        <w:pStyle w:val="Heading2"/>
      </w:pPr>
      <w:bookmarkStart w:id="3835" w:name="_Toc2937"/>
      <w:r>
        <w:t>حکیم چلبي ، محمّد</w:t>
      </w:r>
      <w:bookmarkEnd w:id="3835"/>
    </w:p>
    <w:p>
      <w:pPr>
        <w:pStyle w:val="BookText"/>
      </w:pPr>
      <w:r>
        <w:rPr>
          <w:rFonts w:ascii="Amiri" w:hAnsi="Amiri" w:eastAsia="Amiri" w:cs="Amiri"/>
          <w:lang w:bidi="ar-SA"/>
          <w:color w:val="111111"/>
          <w:sz w:val="28"/>
          <w:szCs w:val="28"/>
          <w:rtl/>
        </w:rPr>
        <w:t xml:space="preserve">تجويد القرآن (رسالة في)، ج3،</w:t>
      </w:r>
    </w:p>
    <w:p>
      <w:pPr>
        <w:pStyle w:val="BookText"/>
      </w:pPr>
      <w:r>
        <w:rPr>
          <w:rFonts w:ascii="IRNazanin" w:hAnsi="IRNazanin" w:eastAsia="IRNazanin" w:cs="IRNazanin"/>
          <w:lang w:bidi="fa-IR"/>
          <w:color w:val="111111"/>
          <w:sz w:val="28"/>
          <w:szCs w:val="28"/>
          <w:rtl/>
        </w:rPr>
        <w:t xml:space="preserve">ص 716 .</w:t>
      </w:r>
    </w:p>
    <w:p>
      <w:pPr>
        <w:pStyle w:val="BookText"/>
      </w:pPr>
      <w:r>
        <w:rPr>
          <w:rFonts w:ascii="Amiri" w:hAnsi="Amiri" w:eastAsia="Amiri" w:cs="Amiri"/>
          <w:lang w:bidi="ar-SA"/>
          <w:color w:val="111111"/>
          <w:sz w:val="28"/>
          <w:szCs w:val="28"/>
          <w:rtl/>
        </w:rPr>
        <w:t xml:space="preserve">حكيم خاقاني ، ابراهيم بن علي- خاقاني</w:t>
      </w:r>
    </w:p>
    <w:p>
      <w:pPr>
        <w:pStyle w:val="BookText"/>
      </w:pPr>
      <w:r>
        <w:rPr>
          <w:rFonts w:ascii="Amiri" w:hAnsi="Amiri" w:eastAsia="Amiri" w:cs="Amiri"/>
          <w:lang w:bidi="ar-SA"/>
          <w:color w:val="111111"/>
          <w:sz w:val="28"/>
          <w:szCs w:val="28"/>
          <w:rtl/>
        </w:rPr>
        <w:t xml:space="preserve">بديل بن علي</w:t>
      </w:r>
    </w:p>
    <w:p>
      <w:pPr>
        <w:pStyle w:val="BookText"/>
      </w:pPr>
      <w:r>
        <w:rPr>
          <w:rFonts w:ascii="Amiri" w:hAnsi="Amiri" w:eastAsia="Amiri" w:cs="Amiri"/>
          <w:lang w:bidi="ar-SA"/>
          <w:color w:val="111111"/>
          <w:sz w:val="28"/>
          <w:szCs w:val="28"/>
          <w:rtl/>
        </w:rPr>
        <w:t xml:space="preserve">علي</w:t>
      </w:r>
    </w:p>
    <w:p>
      <w:pPr>
        <w:pStyle w:val="BookText"/>
      </w:pPr>
      <w:r>
        <w:rPr>
          <w:rFonts w:ascii="IRNazanin" w:hAnsi="IRNazanin" w:eastAsia="IRNazanin" w:cs="IRNazanin"/>
          <w:lang w:bidi="fa-IR"/>
          <w:color w:val="111111"/>
          <w:sz w:val="28"/>
          <w:szCs w:val="28"/>
          <w:rtl/>
        </w:rPr>
        <w:t xml:space="preserve">حکیم رومي ، سيد علي -جفري رومي ،</w:t>
      </w:r>
    </w:p>
    <w:p>
      <w:pPr>
        <w:pStyle w:val="Heading2"/>
      </w:pPr>
      <w:bookmarkStart w:id="3836" w:name="_Toc2938"/>
      <w:r>
        <w:t>حکیم زاده، محمّد بن عبدالحمید قرن</w:t>
      </w:r>
      <w:bookmarkEnd w:id="3836"/>
    </w:p>
    <w:p>
      <w:pPr>
        <w:pStyle w:val="BookText"/>
      </w:pPr>
      <w:r>
        <w:rPr>
          <w:rFonts w:ascii="IRNazanin" w:hAnsi="IRNazanin" w:eastAsia="IRNazanin" w:cs="IRNazanin"/>
          <w:lang w:bidi="fa-IR"/>
          <w:color w:val="111111"/>
          <w:sz w:val="28"/>
          <w:szCs w:val="28"/>
          <w:rtl/>
        </w:rPr>
        <w:t xml:space="preserve">11 ه-</w:t>
      </w:r>
    </w:p>
    <w:p>
      <w:pPr>
        <w:pStyle w:val="BookText"/>
      </w:pPr>
      <w:r>
        <w:rPr>
          <w:rFonts w:ascii="IRNazanin" w:hAnsi="IRNazanin" w:eastAsia="IRNazanin" w:cs="IRNazanin"/>
          <w:lang w:bidi="fa-IR"/>
          <w:color w:val="111111"/>
          <w:sz w:val="28"/>
          <w:szCs w:val="28"/>
          <w:rtl/>
        </w:rPr>
        <w:t xml:space="preserve">1 .أوقاف الغفران، ج 3، ص 85.</w:t>
      </w:r>
    </w:p>
    <w:p>
      <w:pPr>
        <w:pStyle w:val="BookText"/>
      </w:pPr>
      <w:r>
        <w:rPr>
          <w:rFonts w:ascii="Amiri" w:hAnsi="Amiri" w:eastAsia="Amiri" w:cs="Amiri"/>
          <w:lang w:bidi="ar-SA"/>
          <w:color w:val="111111"/>
          <w:sz w:val="28"/>
          <w:szCs w:val="28"/>
          <w:rtl/>
        </w:rPr>
        <w:t xml:space="preserve">2 .أوقاف القرآن الكريم (رسالة في)</w:t>
      </w:r>
    </w:p>
    <w:p>
      <w:pPr>
        <w:pStyle w:val="BookText"/>
      </w:pPr>
      <w:r>
        <w:rPr>
          <w:rFonts w:ascii="IRNazanin" w:hAnsi="IRNazanin" w:eastAsia="IRNazanin" w:cs="IRNazanin"/>
          <w:lang w:bidi="fa-IR"/>
          <w:color w:val="111111"/>
          <w:sz w:val="28"/>
          <w:szCs w:val="28"/>
          <w:rtl/>
        </w:rPr>
        <w:t xml:space="preserve">ج 3، ص 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التجويد = التجويد في ذكر القرآن</w:t>
      </w:r>
    </w:p>
    <w:p>
      <w:pPr>
        <w:pStyle w:val="BookText"/>
      </w:pPr>
      <w:r>
        <w:rPr>
          <w:rFonts w:ascii="Amiri" w:hAnsi="Amiri" w:eastAsia="Amiri" w:cs="Amiri"/>
          <w:lang w:bidi="ar-SA"/>
          <w:color w:val="111111"/>
          <w:sz w:val="28"/>
          <w:szCs w:val="28"/>
          <w:rtl/>
        </w:rPr>
        <w:t xml:space="preserve">المجيد، ج 3، ص 700.</w:t>
      </w:r>
    </w:p>
    <w:p>
      <w:pPr>
        <w:pStyle w:val="BookText"/>
      </w:pPr>
      <w:r>
        <w:rPr>
          <w:rFonts w:ascii="Amiri" w:hAnsi="Amiri" w:eastAsia="Amiri" w:cs="Amiri"/>
          <w:lang w:bidi="ar-SA"/>
          <w:color w:val="111111"/>
          <w:sz w:val="28"/>
          <w:szCs w:val="28"/>
          <w:rtl/>
        </w:rPr>
        <w:t xml:space="preserve">4 .اللمعة المحمّدية في مدح خير</w:t>
      </w:r>
    </w:p>
    <w:p>
      <w:pPr>
        <w:pStyle w:val="BookText"/>
      </w:pPr>
      <w:r>
        <w:rPr>
          <w:rFonts w:ascii="Amiri" w:hAnsi="Amiri" w:eastAsia="Amiri" w:cs="Amiri"/>
          <w:lang w:bidi="ar-SA"/>
          <w:color w:val="111111"/>
          <w:sz w:val="28"/>
          <w:szCs w:val="28"/>
          <w:rtl/>
        </w:rPr>
        <w:t xml:space="preserve">البرية، ج 13، ص 625.</w:t>
      </w:r>
    </w:p>
    <w:p>
      <w:pPr>
        <w:pStyle w:val="BookText"/>
      </w:pPr>
      <w:r>
        <w:rPr>
          <w:rFonts w:ascii="Amiri" w:hAnsi="Amiri" w:eastAsia="Amiri" w:cs="Amiri"/>
          <w:lang w:bidi="ar-SA"/>
          <w:color w:val="111111"/>
          <w:sz w:val="28"/>
          <w:szCs w:val="28"/>
          <w:rtl/>
        </w:rPr>
        <w:t xml:space="preserve">5 .معرفة الوقوف (ارجوزة في) - نظم الوقف في القرآن الكريم، ج 15، ص 077</w:t>
      </w:r>
    </w:p>
    <w:p>
      <w:pPr>
        <w:pStyle w:val="BookText"/>
      </w:pPr>
      <w:r>
        <w:rPr>
          <w:rFonts w:ascii="Amiri" w:hAnsi="Amiri" w:eastAsia="Amiri" w:cs="Amiri"/>
          <w:lang w:bidi="ar-SA"/>
          <w:color w:val="111111"/>
          <w:sz w:val="28"/>
          <w:szCs w:val="28"/>
          <w:rtl/>
        </w:rPr>
        <w:t xml:space="preserve">6 .وقف النبي (ص)، ج 16، ص 871.</w:t>
      </w:r>
    </w:p>
    <w:p>
      <w:pPr>
        <w:pStyle w:val="Heading2"/>
      </w:pPr>
      <w:bookmarkStart w:id="3837" w:name="_Toc2939"/>
      <w:r>
        <w:t>حکیم سنان یوسف بن محمّد - 826 ه-</w:t>
      </w:r>
      <w:bookmarkEnd w:id="3837"/>
    </w:p>
    <w:p>
      <w:pPr>
        <w:pStyle w:val="BookText"/>
      </w:pPr>
      <w:r>
        <w:rPr>
          <w:rFonts w:ascii="IRNazanin" w:hAnsi="IRNazanin" w:eastAsia="IRNazanin" w:cs="IRNazanin"/>
          <w:lang w:bidi="fa-IR"/>
          <w:color w:val="111111"/>
          <w:sz w:val="28"/>
          <w:szCs w:val="28"/>
          <w:rtl/>
        </w:rPr>
        <w:t xml:space="preserve">خسرو و شیرین (ترجمه)، ج7، ص27</w:t>
      </w:r>
    </w:p>
    <w:p>
      <w:pPr>
        <w:pStyle w:val="Heading2"/>
      </w:pPr>
      <w:bookmarkStart w:id="3838" w:name="_Toc2940"/>
      <w:r>
        <w:t>حكيم قادري ، بدر الدين بن امير</w:t>
      </w:r>
      <w:bookmarkEnd w:id="3838"/>
    </w:p>
    <w:p>
      <w:pPr>
        <w:pStyle w:val="BookText"/>
      </w:pPr>
      <w:r>
        <w:rPr>
          <w:rFonts w:ascii="Amiri" w:hAnsi="Amiri" w:eastAsia="Amiri" w:cs="Amiri"/>
          <w:lang w:bidi="ar-SA"/>
          <w:color w:val="111111"/>
          <w:sz w:val="28"/>
          <w:szCs w:val="28"/>
          <w:rtl/>
        </w:rPr>
        <w:t xml:space="preserve">اسئلة و اجوبة، ج 2، ص93.</w:t>
      </w:r>
    </w:p>
    <w:p>
      <w:pPr>
        <w:pStyle w:val="BookText"/>
      </w:pPr>
      <w:r>
        <w:rPr>
          <w:rFonts w:ascii="IRNazanin" w:hAnsi="IRNazanin" w:eastAsia="IRNazanin" w:cs="IRNazanin"/>
          <w:lang w:bidi="fa-IR"/>
          <w:color w:val="111111"/>
          <w:sz w:val="28"/>
          <w:szCs w:val="28"/>
          <w:rtl/>
        </w:rPr>
        <w:t xml:space="preserve">حکیم ، محسن بن مهدي- طباطبائي</w:t>
      </w:r>
    </w:p>
    <w:p>
      <w:pPr>
        <w:pStyle w:val="BookText"/>
      </w:pPr>
      <w:r>
        <w:rPr>
          <w:rFonts w:ascii="IRNazanin" w:hAnsi="IRNazanin" w:eastAsia="IRNazanin" w:cs="IRNazanin"/>
          <w:lang w:bidi="fa-IR"/>
          <w:color w:val="111111"/>
          <w:sz w:val="28"/>
          <w:szCs w:val="28"/>
          <w:rtl/>
        </w:rPr>
        <w:t xml:space="preserve">حکیم ، محسن بن مهدي</w:t>
      </w:r>
    </w:p>
    <w:p>
      <w:pPr>
        <w:pStyle w:val="BookText"/>
      </w:pPr>
      <w:r>
        <w:rPr>
          <w:rFonts w:ascii="Amiri" w:hAnsi="Amiri" w:eastAsia="Amiri" w:cs="Amiri"/>
          <w:lang w:bidi="ar-SA"/>
          <w:color w:val="111111"/>
          <w:sz w:val="28"/>
          <w:szCs w:val="28"/>
          <w:rtl/>
        </w:rPr>
        <w:t xml:space="preserve">حكيم ، محمّد بن عبدالله- بافقي ، محمّد</w:t>
      </w:r>
    </w:p>
    <w:p>
      <w:pPr>
        <w:pStyle w:val="BookText"/>
      </w:pPr>
      <w:r>
        <w:rPr>
          <w:rFonts w:ascii="IRNazanin" w:hAnsi="IRNazanin" w:eastAsia="IRNazanin" w:cs="IRNazanin"/>
          <w:lang w:bidi="fa-IR"/>
          <w:color w:val="111111"/>
          <w:sz w:val="28"/>
          <w:szCs w:val="28"/>
          <w:rtl/>
        </w:rPr>
        <w:t xml:space="preserve">حکیم بن عبدالله</w:t>
      </w:r>
    </w:p>
    <w:p>
      <w:pPr>
        <w:pStyle w:val="Heading2"/>
      </w:pPr>
      <w:bookmarkStart w:id="3839" w:name="_Toc2941"/>
      <w:r>
        <w:t>حکیم ، محمّد بن محمّد علي قرن 14 ه-</w:t>
      </w:r>
      <w:bookmarkEnd w:id="3839"/>
    </w:p>
    <w:p>
      <w:pPr>
        <w:pStyle w:val="BookText"/>
      </w:pPr>
      <w:r>
        <w:rPr>
          <w:rFonts w:ascii="Amiri" w:hAnsi="Amiri" w:eastAsia="Amiri" w:cs="Amiri"/>
          <w:lang w:bidi="ar-SA"/>
          <w:color w:val="111111"/>
          <w:sz w:val="28"/>
          <w:szCs w:val="28"/>
          <w:rtl/>
        </w:rPr>
        <w:t xml:space="preserve">مقامة الحكيم، ج 15، ص 316.</w:t>
      </w:r>
    </w:p>
    <w:p>
      <w:pPr>
        <w:pStyle w:val="Heading2"/>
      </w:pPr>
      <w:bookmarkStart w:id="3840" w:name="_Toc2942"/>
      <w:r>
        <w:t>حکیم ، محمّد مهدي، 1935 - 1988</w:t>
      </w:r>
      <w:bookmarkEnd w:id="3840"/>
    </w:p>
    <w:p>
      <w:pPr>
        <w:pStyle w:val="BookText"/>
      </w:pPr>
      <w:r>
        <w:rPr>
          <w:rFonts w:ascii="Amiri" w:hAnsi="Amiri" w:eastAsia="Amiri" w:cs="Amiri"/>
          <w:lang w:bidi="ar-SA"/>
          <w:color w:val="111111"/>
          <w:sz w:val="28"/>
          <w:szCs w:val="28"/>
          <w:rtl/>
        </w:rPr>
        <w:t xml:space="preserve">القطع (رسالة في)، ج 12 ، ص 750.</w:t>
      </w:r>
    </w:p>
    <w:p>
      <w:pPr>
        <w:pStyle w:val="Heading2"/>
      </w:pPr>
      <w:bookmarkStart w:id="3841" w:name="_Toc2943"/>
      <w:r>
        <w:t>حكيم ، مصطفى بن احمد</w:t>
      </w:r>
      <w:bookmarkEnd w:id="3841"/>
    </w:p>
    <w:p>
      <w:pPr>
        <w:pStyle w:val="BookText"/>
      </w:pPr>
      <w:r>
        <w:rPr>
          <w:rFonts w:ascii="Amiri" w:hAnsi="Amiri" w:eastAsia="Amiri" w:cs="Amiri"/>
          <w:lang w:bidi="ar-SA"/>
          <w:color w:val="111111"/>
          <w:sz w:val="28"/>
          <w:szCs w:val="28"/>
          <w:rtl/>
        </w:rPr>
        <w:t xml:space="preserve">شرح العلامة الأمير على رسالة الصبان</w:t>
      </w:r>
    </w:p>
    <w:p>
      <w:pPr>
        <w:pStyle w:val="BookText"/>
      </w:pPr>
      <w:r>
        <w:rPr>
          <w:rFonts w:ascii="IRNazanin" w:hAnsi="IRNazanin" w:eastAsia="IRNazanin" w:cs="IRNazanin"/>
          <w:lang w:bidi="fa-IR"/>
          <w:color w:val="111111"/>
          <w:sz w:val="28"/>
          <w:szCs w:val="28"/>
          <w:rtl/>
        </w:rPr>
        <w:t xml:space="preserve">ج 9، ص 746 .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6" w:name="pg7742_70224"/>
    <w:bookmarkEnd w:id="416"/>
    <w:p>
      <w:pPr>
        <w:pStyle w:val="BookText"/>
      </w:pPr>
      <w:r>
        <w:rPr>
          <w:rFonts w:ascii="Amiri" w:hAnsi="Amiri" w:eastAsia="Amiri" w:cs="Amiri"/>
          <w:lang w:bidi="ar-SA"/>
          <w:color w:val="111111"/>
          <w:sz w:val="28"/>
          <w:szCs w:val="28"/>
          <w:rtl/>
        </w:rPr>
        <w:t xml:space="preserve">حكيم ، مهدي- طباطبائي حكيم ، مهدي</w:t>
      </w:r>
    </w:p>
    <w:p>
      <w:pPr>
        <w:pStyle w:val="Heading2"/>
      </w:pPr>
      <w:bookmarkStart w:id="3842" w:name="_Toc2944"/>
      <w:r>
        <w:t>حكيم ، مهدي</w:t>
      </w:r>
      <w:bookmarkEnd w:id="3842"/>
    </w:p>
    <w:p>
      <w:pPr>
        <w:pStyle w:val="BookText"/>
      </w:pPr>
      <w:r>
        <w:rPr>
          <w:rFonts w:ascii="Amiri" w:hAnsi="Amiri" w:eastAsia="Amiri" w:cs="Amiri"/>
          <w:lang w:bidi="ar-SA"/>
          <w:color w:val="111111"/>
          <w:sz w:val="28"/>
          <w:szCs w:val="28"/>
          <w:rtl/>
        </w:rPr>
        <w:t xml:space="preserve">البراءة من تقرير الشيخ موسى رسالة</w:t>
      </w:r>
    </w:p>
    <w:p>
      <w:pPr>
        <w:pStyle w:val="BookText"/>
      </w:pPr>
      <w:r>
        <w:rPr>
          <w:rFonts w:ascii="Amiri" w:hAnsi="Amiri" w:eastAsia="Amiri" w:cs="Amiri"/>
          <w:lang w:bidi="ar-SA"/>
          <w:color w:val="111111"/>
          <w:sz w:val="28"/>
          <w:szCs w:val="28"/>
          <w:rtl/>
        </w:rPr>
        <w:t xml:space="preserve">في)، ج 3، ص 293.</w:t>
      </w:r>
    </w:p>
    <w:p>
      <w:pPr>
        <w:pStyle w:val="Heading2"/>
      </w:pPr>
      <w:bookmarkStart w:id="3843" w:name="_Toc2945"/>
      <w:r>
        <w:t>حكيم مؤمن ، محمّد مؤمن بن محمّد</w:t>
      </w:r>
      <w:bookmarkEnd w:id="3843"/>
    </w:p>
    <w:p>
      <w:pPr>
        <w:pStyle w:val="BookText"/>
      </w:pPr>
      <w:r>
        <w:rPr>
          <w:rFonts w:ascii="IRNazanin" w:hAnsi="IRNazanin" w:eastAsia="IRNazanin" w:cs="IRNazanin"/>
          <w:lang w:bidi="fa-IR"/>
          <w:color w:val="111111"/>
          <w:sz w:val="28"/>
          <w:szCs w:val="28"/>
          <w:rtl/>
        </w:rPr>
        <w:t xml:space="preserve">،زمان قرن 11 ه-</w:t>
      </w:r>
    </w:p>
    <w:p>
      <w:pPr>
        <w:pStyle w:val="BookText"/>
      </w:pPr>
      <w:r>
        <w:rPr>
          <w:rFonts w:ascii="Amiri" w:hAnsi="Amiri" w:eastAsia="Amiri" w:cs="Amiri"/>
          <w:lang w:bidi="ar-SA"/>
          <w:color w:val="111111"/>
          <w:sz w:val="28"/>
          <w:szCs w:val="28"/>
          <w:rtl/>
        </w:rPr>
        <w:t xml:space="preserve">تحفه حكيم مؤمن = تحفة المؤمنين =</w:t>
      </w:r>
    </w:p>
    <w:p>
      <w:pPr>
        <w:pStyle w:val="BookText"/>
      </w:pPr>
      <w:r>
        <w:rPr>
          <w:rFonts w:ascii="Amiri" w:hAnsi="Amiri" w:eastAsia="Amiri" w:cs="Amiri"/>
          <w:lang w:bidi="ar-SA"/>
          <w:color w:val="111111"/>
          <w:sz w:val="28"/>
          <w:szCs w:val="28"/>
          <w:rtl/>
        </w:rPr>
        <w:t xml:space="preserve">تحفه سليماني، ج3، ص823.</w:t>
      </w:r>
    </w:p>
    <w:p>
      <w:pPr>
        <w:pStyle w:val="Heading2"/>
      </w:pPr>
      <w:bookmarkStart w:id="3844" w:name="_Toc2946"/>
      <w:r>
        <w:t>حکیم ، نور الدین علاء</w:t>
      </w:r>
      <w:bookmarkEnd w:id="3844"/>
    </w:p>
    <w:p>
      <w:pPr>
        <w:pStyle w:val="BookText"/>
      </w:pPr>
      <w:r>
        <w:rPr>
          <w:rFonts w:ascii="Amiri" w:hAnsi="Amiri" w:eastAsia="Amiri" w:cs="Amiri"/>
          <w:lang w:bidi="ar-SA"/>
          <w:color w:val="111111"/>
          <w:sz w:val="28"/>
          <w:szCs w:val="28"/>
          <w:rtl/>
        </w:rPr>
        <w:t xml:space="preserve">دواء حبوب جيني، ج 7، ص 481.</w:t>
      </w:r>
    </w:p>
    <w:p>
      <w:pPr>
        <w:pStyle w:val="Heading2"/>
      </w:pPr>
      <w:bookmarkStart w:id="3845" w:name="_Toc2947"/>
      <w:r>
        <w:t>حكيمي، ابراهيم بن ابي القاسم قرن 12 ه-</w:t>
      </w:r>
      <w:bookmarkEnd w:id="3845"/>
    </w:p>
    <w:p>
      <w:pPr>
        <w:pStyle w:val="BookText"/>
      </w:pPr>
      <w:r>
        <w:rPr>
          <w:rFonts w:ascii="Amiri" w:hAnsi="Amiri" w:eastAsia="Amiri" w:cs="Amiri"/>
          <w:lang w:bidi="ar-SA"/>
          <w:color w:val="111111"/>
          <w:sz w:val="28"/>
          <w:szCs w:val="28"/>
          <w:rtl/>
        </w:rPr>
        <w:t xml:space="preserve">الإرشاد إلى الاعتقاد = شرح ارجوزة</w:t>
      </w:r>
    </w:p>
    <w:p>
      <w:pPr>
        <w:pStyle w:val="BookText"/>
      </w:pPr>
      <w:r>
        <w:rPr>
          <w:rFonts w:ascii="Amiri" w:hAnsi="Amiri" w:eastAsia="Amiri" w:cs="Amiri"/>
          <w:lang w:bidi="ar-SA"/>
          <w:color w:val="111111"/>
          <w:sz w:val="28"/>
          <w:szCs w:val="28"/>
          <w:rtl/>
        </w:rPr>
        <w:t xml:space="preserve">في اصول الدين، ج 2، ص 16 .</w:t>
      </w:r>
    </w:p>
    <w:p>
      <w:pPr>
        <w:pStyle w:val="Heading2"/>
      </w:pPr>
      <w:bookmarkStart w:id="3846" w:name="_Toc2948"/>
      <w:r>
        <w:t>حكيمي، محمّد بن ،اسعد، 484 - 567 ه-</w:t>
      </w:r>
      <w:bookmarkEnd w:id="3846"/>
    </w:p>
    <w:p>
      <w:pPr>
        <w:pStyle w:val="BookText"/>
      </w:pPr>
      <w:r>
        <w:rPr>
          <w:rFonts w:ascii="Amiri" w:hAnsi="Amiri" w:eastAsia="Amiri" w:cs="Amiri"/>
          <w:lang w:bidi="ar-SA"/>
          <w:color w:val="111111"/>
          <w:sz w:val="28"/>
          <w:szCs w:val="28"/>
          <w:rtl/>
        </w:rPr>
        <w:t xml:space="preserve">التحرير في التفسير، ج 3، ص 741 .</w:t>
      </w:r>
    </w:p>
    <w:p>
      <w:pPr>
        <w:pStyle w:val="BookText"/>
      </w:pPr>
      <w:r>
        <w:rPr>
          <w:rFonts w:ascii="Amiri" w:hAnsi="Amiri" w:eastAsia="Amiri" w:cs="Amiri"/>
          <w:lang w:bidi="ar-SA"/>
          <w:color w:val="111111"/>
          <w:sz w:val="28"/>
          <w:szCs w:val="28"/>
          <w:rtl/>
        </w:rPr>
        <w:t xml:space="preserve">حلاج ، حسين بن منصور، 234 - 309 ه-</w:t>
      </w:r>
    </w:p>
    <w:p>
      <w:pPr>
        <w:pStyle w:val="BookText"/>
      </w:pPr>
      <w:r>
        <w:rPr>
          <w:rFonts w:ascii="Amiri" w:hAnsi="Amiri" w:eastAsia="Amiri" w:cs="Amiri"/>
          <w:lang w:bidi="ar-SA"/>
          <w:color w:val="111111"/>
          <w:sz w:val="28"/>
          <w:szCs w:val="28"/>
          <w:rtl/>
        </w:rPr>
        <w:t xml:space="preserve">1 .ابيات للحلاج في التصوف، ج 1،</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البهجة، ج 3، ص 411.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حلاج، ج 7، ص 626 .</w:t>
      </w:r>
    </w:p>
    <w:p>
      <w:pPr>
        <w:pStyle w:val="Heading2"/>
      </w:pPr>
      <w:bookmarkStart w:id="3847" w:name="_Toc2949"/>
      <w:r>
        <w:t>حلاني ، محمّد باقر</w:t>
      </w:r>
      <w:bookmarkEnd w:id="3847"/>
    </w:p>
    <w:p>
      <w:pPr>
        <w:pStyle w:val="BookText"/>
      </w:pPr>
      <w:r>
        <w:rPr>
          <w:rFonts w:ascii="Amiri" w:hAnsi="Amiri" w:eastAsia="Amiri" w:cs="Amiri"/>
          <w:lang w:bidi="ar-SA"/>
          <w:color w:val="111111"/>
          <w:sz w:val="28"/>
          <w:szCs w:val="28"/>
          <w:rtl/>
        </w:rPr>
        <w:t xml:space="preserve">اصول المحاسبة و التجارة (كتاب في)</w:t>
      </w:r>
    </w:p>
    <w:p>
      <w:pPr>
        <w:pStyle w:val="BookText"/>
      </w:pPr>
      <w:r>
        <w:rPr>
          <w:rFonts w:ascii="IRNazanin" w:hAnsi="IRNazanin" w:eastAsia="IRNazanin" w:cs="IRNazanin"/>
          <w:lang w:bidi="fa-IR"/>
          <w:color w:val="111111"/>
          <w:sz w:val="28"/>
          <w:szCs w:val="28"/>
          <w:rtl/>
        </w:rPr>
        <w:t xml:space="preserve">ج 2 ص 465.</w:t>
      </w:r>
    </w:p>
    <w:p>
      <w:pPr>
        <w:pStyle w:val="BookText"/>
      </w:pPr>
      <w:r>
        <w:rPr>
          <w:rFonts w:ascii="Amiri" w:hAnsi="Amiri" w:eastAsia="Amiri" w:cs="Amiri"/>
          <w:lang w:bidi="ar-SA"/>
          <w:color w:val="111111"/>
          <w:sz w:val="28"/>
          <w:szCs w:val="28"/>
          <w:rtl/>
        </w:rPr>
        <w:t xml:space="preserve">حلاوي ، حيدر بن سليمان- حلي ، حيدر</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حلاوي ، محمّد بن محمّد -جلاوي</w:t>
      </w:r>
    </w:p>
    <w:p>
      <w:pPr>
        <w:pStyle w:val="BookText"/>
      </w:pPr>
      <w:r>
        <w:rPr>
          <w:rFonts w:ascii="Amiri" w:hAnsi="Amiri" w:eastAsia="Amiri" w:cs="Amiri"/>
          <w:lang w:bidi="ar-SA"/>
          <w:color w:val="111111"/>
          <w:sz w:val="28"/>
          <w:szCs w:val="28"/>
          <w:rtl/>
        </w:rPr>
        <w:t xml:space="preserve">محمّد بن محمّد</w:t>
      </w:r>
    </w:p>
    <w:p>
      <w:pPr>
        <w:pStyle w:val="Heading2"/>
      </w:pPr>
      <w:bookmarkStart w:id="3848" w:name="_Toc2950"/>
      <w:r>
        <w:t>حلبي</w:t>
      </w:r>
      <w:bookmarkEnd w:id="3848"/>
    </w:p>
    <w:p>
      <w:pPr>
        <w:pStyle w:val="BookText"/>
      </w:pPr>
      <w:r>
        <w:rPr>
          <w:rFonts w:ascii="Amiri" w:hAnsi="Amiri" w:eastAsia="Amiri" w:cs="Amiri"/>
          <w:lang w:bidi="ar-SA"/>
          <w:color w:val="111111"/>
          <w:sz w:val="28"/>
          <w:szCs w:val="28"/>
          <w:rtl/>
        </w:rPr>
        <w:t xml:space="preserve">فتح الكريم الغفار بشرح غاية</w:t>
      </w:r>
    </w:p>
    <w:p>
      <w:pPr>
        <w:pStyle w:val="BookText"/>
      </w:pPr>
      <w:r>
        <w:rPr>
          <w:rFonts w:ascii="IRNazanin" w:hAnsi="IRNazanin" w:eastAsia="IRNazanin" w:cs="IRNazanin"/>
          <w:lang w:bidi="fa-IR"/>
          <w:color w:val="111111"/>
          <w:sz w:val="28"/>
          <w:szCs w:val="28"/>
          <w:rtl/>
        </w:rPr>
        <w:t xml:space="preserve">الأختصار، ج 11، ص 669.</w:t>
      </w:r>
    </w:p>
    <w:p>
      <w:pPr>
        <w:pStyle w:val="Heading2"/>
      </w:pPr>
      <w:bookmarkStart w:id="3849" w:name="_Toc2951"/>
      <w:r>
        <w:t>حلبي، ابراهيم بن احمد - 1030 ه-</w:t>
      </w:r>
      <w:bookmarkEnd w:id="3849"/>
    </w:p>
    <w:p>
      <w:pPr>
        <w:pStyle w:val="BookText"/>
      </w:pPr>
      <w:r>
        <w:rPr>
          <w:rFonts w:ascii="IRNazanin" w:hAnsi="IRNazanin" w:eastAsia="IRNazanin" w:cs="IRNazanin"/>
          <w:lang w:bidi="fa-IR"/>
          <w:color w:val="111111"/>
          <w:sz w:val="28"/>
          <w:szCs w:val="28"/>
          <w:rtl/>
        </w:rPr>
        <w:t xml:space="preserve">جامع المتفرقات من فوائد الورقات</w:t>
      </w:r>
    </w:p>
    <w:p>
      <w:pPr>
        <w:pStyle w:val="BookText"/>
      </w:pPr>
      <w:r>
        <w:rPr>
          <w:rFonts w:ascii="IRNazanin" w:hAnsi="IRNazanin" w:eastAsia="IRNazanin" w:cs="IRNazanin"/>
          <w:lang w:bidi="fa-IR"/>
          <w:color w:val="111111"/>
          <w:sz w:val="28"/>
          <w:szCs w:val="28"/>
          <w:rtl/>
        </w:rPr>
        <w:t xml:space="preserve">ج 5، ص 326.</w:t>
      </w:r>
    </w:p>
    <w:p>
      <w:pPr>
        <w:pStyle w:val="Heading2"/>
      </w:pPr>
      <w:bookmarkStart w:id="3850" w:name="_Toc2952"/>
      <w:r>
        <w:t>حلبي، ابراهيم بن سلیمان قرن 11 ه-</w:t>
      </w:r>
      <w:bookmarkEnd w:id="3850"/>
    </w:p>
    <w:p>
      <w:pPr>
        <w:pStyle w:val="BookText"/>
      </w:pPr>
      <w:r>
        <w:rPr>
          <w:rFonts w:ascii="Amiri" w:hAnsi="Amiri" w:eastAsia="Amiri" w:cs="Amiri"/>
          <w:lang w:bidi="ar-SA"/>
          <w:color w:val="111111"/>
          <w:sz w:val="28"/>
          <w:szCs w:val="28"/>
          <w:rtl/>
        </w:rPr>
        <w:t xml:space="preserve">حاشية شرح الدماميني على المغني</w:t>
      </w:r>
    </w:p>
    <w:p>
      <w:pPr>
        <w:pStyle w:val="BookText"/>
      </w:pPr>
      <w:r>
        <w:rPr>
          <w:rFonts w:ascii="IRNazanin" w:hAnsi="IRNazanin" w:eastAsia="IRNazanin" w:cs="IRNazanin"/>
          <w:lang w:bidi="fa-IR"/>
          <w:color w:val="111111"/>
          <w:sz w:val="28"/>
          <w:szCs w:val="28"/>
          <w:rtl/>
        </w:rPr>
        <w:t xml:space="preserve">ج 6، ص92.</w:t>
      </w:r>
    </w:p>
    <w:p>
      <w:pPr>
        <w:pStyle w:val="BookText"/>
      </w:pPr>
      <w:r>
        <w:rPr>
          <w:rFonts w:ascii="Amiri" w:hAnsi="Amiri" w:eastAsia="Amiri" w:cs="Amiri"/>
          <w:lang w:bidi="ar-SA"/>
          <w:color w:val="111111"/>
          <w:sz w:val="28"/>
          <w:szCs w:val="28"/>
          <w:rtl/>
        </w:rPr>
        <w:t xml:space="preserve">حلبي، ابراهيم بن محمّد- سبط ابن</w:t>
      </w:r>
    </w:p>
    <w:p>
      <w:pPr>
        <w:pStyle w:val="BookText"/>
      </w:pPr>
      <w:r>
        <w:rPr>
          <w:rFonts w:ascii="Amiri" w:hAnsi="Amiri" w:eastAsia="Amiri" w:cs="Amiri"/>
          <w:lang w:bidi="ar-SA"/>
          <w:color w:val="111111"/>
          <w:sz w:val="28"/>
          <w:szCs w:val="28"/>
          <w:rtl/>
        </w:rPr>
        <w:t xml:space="preserve">عجمي ، ابراهيم بن محمّد</w:t>
      </w:r>
    </w:p>
    <w:p>
      <w:pPr>
        <w:pStyle w:val="BookText"/>
      </w:pPr>
      <w:r>
        <w:rPr>
          <w:rFonts w:ascii="Amiri" w:hAnsi="Amiri" w:eastAsia="Amiri" w:cs="Amiri"/>
          <w:lang w:bidi="ar-SA"/>
          <w:color w:val="111111"/>
          <w:sz w:val="28"/>
          <w:szCs w:val="28"/>
          <w:rtl/>
        </w:rPr>
        <w:t xml:space="preserve">حلبي، ابراهيم بن محمّد قباقبي ، ابراهيم بن محمّد</w:t>
      </w:r>
    </w:p>
    <w:p>
      <w:pPr>
        <w:pStyle w:val="Heading2"/>
      </w:pPr>
      <w:bookmarkStart w:id="3851" w:name="_Toc2953"/>
      <w:r>
        <w:t>حلبي، ابراهيم بن محمّد - 956 ه-</w:t>
      </w:r>
      <w:bookmarkEnd w:id="3851"/>
    </w:p>
    <w:p>
      <w:pPr>
        <w:pStyle w:val="BookText"/>
      </w:pPr>
      <w:r>
        <w:rPr>
          <w:rFonts w:ascii="IRNazanin" w:hAnsi="IRNazanin" w:eastAsia="IRNazanin" w:cs="IRNazanin"/>
          <w:lang w:bidi="fa-IR"/>
          <w:color w:val="111111"/>
          <w:sz w:val="28"/>
          <w:szCs w:val="28"/>
          <w:rtl/>
        </w:rPr>
        <w:t xml:space="preserve">1 .اهم الأمور، ج 3، ص 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تسفيه الغبي في تنزيه ابن عربي</w:t>
      </w:r>
    </w:p>
    <w:p>
      <w:pPr>
        <w:pStyle w:val="BookText"/>
      </w:pPr>
      <w:r>
        <w:rPr>
          <w:rFonts w:ascii="IRNazanin" w:hAnsi="IRNazanin" w:eastAsia="IRNazanin" w:cs="IRNazanin"/>
          <w:lang w:bidi="fa-IR"/>
          <w:color w:val="111111"/>
          <w:sz w:val="28"/>
          <w:szCs w:val="28"/>
          <w:rtl/>
        </w:rPr>
        <w:t xml:space="preserve">ج 4 ، ص 339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نخبة الفكر في مصطلح</w:t>
      </w:r>
    </w:p>
    <w:p>
      <w:pPr>
        <w:pStyle w:val="BookText"/>
      </w:pPr>
      <w:r>
        <w:rPr>
          <w:rFonts w:ascii="IRNazanin" w:hAnsi="IRNazanin" w:eastAsia="IRNazanin" w:cs="IRNazanin"/>
          <w:lang w:bidi="fa-IR"/>
          <w:color w:val="111111"/>
          <w:sz w:val="28"/>
          <w:szCs w:val="28"/>
          <w:rtl/>
        </w:rPr>
        <w:t xml:space="preserve">اهل الاثر، ج 6، ص210.</w:t>
      </w:r>
    </w:p>
    <w:p>
      <w:pPr>
        <w:pStyle w:val="BookText"/>
      </w:pPr>
      <w:r>
        <w:rPr>
          <w:rFonts w:ascii="Amiri" w:hAnsi="Amiri" w:eastAsia="Amiri" w:cs="Amiri"/>
          <w:lang w:bidi="ar-SA"/>
          <w:color w:val="111111"/>
          <w:sz w:val="28"/>
          <w:szCs w:val="28"/>
          <w:rtl/>
        </w:rPr>
        <w:t xml:space="preserve">4 .شرح مختصر القدوري، ج 10،</w:t>
      </w:r>
    </w:p>
    <w:p>
      <w:pPr>
        <w:pStyle w:val="BookText"/>
      </w:pPr>
      <w:r>
        <w:rPr>
          <w:rFonts w:ascii="IRNazanin" w:hAnsi="IRNazanin" w:eastAsia="IRNazanin" w:cs="IRNazanin"/>
          <w:lang w:bidi="fa-IR"/>
          <w:color w:val="111111"/>
          <w:sz w:val="28"/>
          <w:szCs w:val="28"/>
          <w:rtl/>
        </w:rPr>
        <w:t xml:space="preserve">ص 121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7" w:name="pg7742_70226"/>
    <w:bookmarkEnd w:id="417"/>
    <w:p>
      <w:pPr>
        <w:pStyle w:val="BookText"/>
      </w:pPr>
      <w:r>
        <w:rPr>
          <w:rFonts w:ascii="Amiri" w:hAnsi="Amiri" w:eastAsia="Amiri" w:cs="Amiri"/>
          <w:lang w:bidi="ar-SA"/>
          <w:color w:val="111111"/>
          <w:sz w:val="28"/>
          <w:szCs w:val="28"/>
          <w:rtl/>
        </w:rPr>
        <w:t xml:space="preserve">5 .الصلاة، ج 10، ص 584.</w:t>
      </w:r>
    </w:p>
    <w:p>
      <w:pPr>
        <w:pStyle w:val="BookText"/>
      </w:pPr>
      <w:r>
        <w:rPr>
          <w:rFonts w:ascii="Amiri" w:hAnsi="Amiri" w:eastAsia="Amiri" w:cs="Amiri"/>
          <w:lang w:bidi="ar-SA"/>
          <w:color w:val="111111"/>
          <w:sz w:val="28"/>
          <w:szCs w:val="28"/>
          <w:rtl/>
        </w:rPr>
        <w:t xml:space="preserve">6 .غنية المتملي (المستملي) في شرح منية المصلي = الحلبي الكبير ج 11، ص 519.</w:t>
      </w:r>
    </w:p>
    <w:p>
      <w:pPr>
        <w:pStyle w:val="BookText"/>
      </w:pPr>
      <w:r>
        <w:rPr>
          <w:rFonts w:ascii="Amiri" w:hAnsi="Amiri" w:eastAsia="Amiri" w:cs="Amiri"/>
          <w:lang w:bidi="ar-SA"/>
          <w:color w:val="111111"/>
          <w:sz w:val="28"/>
          <w:szCs w:val="28"/>
          <w:rtl/>
        </w:rPr>
        <w:t xml:space="preserve">7 .غنية المتملي (المستملي) في شرح منية المصلي (مختصر) = الحلبي الصغير، ج 11، ص 528 .</w:t>
      </w:r>
    </w:p>
    <w:p>
      <w:pPr>
        <w:pStyle w:val="BookText"/>
      </w:pPr>
      <w:r>
        <w:rPr>
          <w:rFonts w:ascii="Amiri" w:hAnsi="Amiri" w:eastAsia="Amiri" w:cs="Amiri"/>
          <w:lang w:bidi="ar-SA"/>
          <w:color w:val="111111"/>
          <w:sz w:val="28"/>
          <w:szCs w:val="28"/>
          <w:rtl/>
        </w:rPr>
        <w:t xml:space="preserve">8 .ملتقى الابحر في الفروع الحنفية</w:t>
      </w:r>
    </w:p>
    <w:p>
      <w:pPr>
        <w:pStyle w:val="BookText"/>
      </w:pPr>
      <w:r>
        <w:rPr>
          <w:rFonts w:ascii="IRNazanin" w:hAnsi="IRNazanin" w:eastAsia="IRNazanin" w:cs="IRNazanin"/>
          <w:lang w:bidi="fa-IR"/>
          <w:color w:val="111111"/>
          <w:sz w:val="28"/>
          <w:szCs w:val="28"/>
          <w:rtl/>
        </w:rPr>
        <w:t xml:space="preserve">ج 15 ، ص 440 .</w:t>
      </w:r>
    </w:p>
    <w:p>
      <w:pPr>
        <w:pStyle w:val="BookText"/>
      </w:pPr>
      <w:r>
        <w:rPr>
          <w:rFonts w:ascii="Amiri" w:hAnsi="Amiri" w:eastAsia="Amiri" w:cs="Amiri"/>
          <w:lang w:bidi="ar-SA"/>
          <w:color w:val="111111"/>
          <w:sz w:val="28"/>
          <w:szCs w:val="28"/>
          <w:rtl/>
        </w:rPr>
        <w:t xml:space="preserve">9 .منتخب الفتاوى التاتارخانية =</w:t>
      </w:r>
    </w:p>
    <w:p>
      <w:pPr>
        <w:pStyle w:val="BookText"/>
      </w:pPr>
      <w:r>
        <w:rPr>
          <w:rFonts w:ascii="Amiri" w:hAnsi="Amiri" w:eastAsia="Amiri" w:cs="Amiri"/>
          <w:lang w:bidi="ar-SA"/>
          <w:color w:val="111111"/>
          <w:sz w:val="28"/>
          <w:szCs w:val="28"/>
          <w:rtl/>
        </w:rPr>
        <w:t xml:space="preserve">الفوائد المنتخبة من الفتاوى التاتارخانية، ج 15 ، ص 607.</w:t>
      </w:r>
    </w:p>
    <w:p>
      <w:pPr>
        <w:pStyle w:val="BookText"/>
      </w:pPr>
      <w:r>
        <w:rPr>
          <w:rFonts w:ascii="Amiri" w:hAnsi="Amiri" w:eastAsia="Amiri" w:cs="Amiri"/>
          <w:lang w:bidi="ar-SA"/>
          <w:color w:val="111111"/>
          <w:sz w:val="28"/>
          <w:szCs w:val="28"/>
          <w:rtl/>
        </w:rPr>
        <w:t xml:space="preserve">10 .نعمة الذريعة في نصرة الشريعة في رد الفصوص لإبن عربي، ج 16،</w:t>
      </w:r>
    </w:p>
    <w:p>
      <w:pPr>
        <w:pStyle w:val="BookText"/>
      </w:pPr>
      <w:r>
        <w:rPr>
          <w:rFonts w:ascii="IRNazanin" w:hAnsi="IRNazanin" w:eastAsia="IRNazanin" w:cs="IRNazanin"/>
          <w:lang w:bidi="fa-IR"/>
          <w:color w:val="111111"/>
          <w:sz w:val="28"/>
          <w:szCs w:val="28"/>
          <w:rtl/>
        </w:rPr>
        <w:t xml:space="preserve">ص 367.</w:t>
      </w:r>
    </w:p>
    <w:p>
      <w:pPr>
        <w:pStyle w:val="Heading2"/>
      </w:pPr>
      <w:bookmarkStart w:id="3852" w:name="_Toc2954"/>
      <w:r>
        <w:t>حلبي، ابراهيم بن مصطفى - 1190 ه-</w:t>
      </w:r>
      <w:bookmarkEnd w:id="3852"/>
    </w:p>
    <w:p>
      <w:pPr>
        <w:pStyle w:val="BookText"/>
      </w:pPr>
      <w:r>
        <w:rPr>
          <w:rFonts w:ascii="IRNazanin" w:hAnsi="IRNazanin" w:eastAsia="IRNazanin" w:cs="IRNazanin"/>
          <w:lang w:bidi="fa-IR"/>
          <w:color w:val="111111"/>
          <w:sz w:val="28"/>
          <w:szCs w:val="28"/>
          <w:rtl/>
        </w:rPr>
        <w:t xml:space="preserve">1 .تحفة الاخيار على الدر المختار في شرح تنویر الابصار، ج3، ص793.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الحاوي في الحساب، ج9،</w:t>
      </w:r>
    </w:p>
    <w:p>
      <w:pPr>
        <w:pStyle w:val="BookText"/>
      </w:pPr>
      <w:r>
        <w:rPr>
          <w:rFonts w:ascii="IRNazanin" w:hAnsi="IRNazanin" w:eastAsia="IRNazanin" w:cs="IRNazanin"/>
          <w:lang w:bidi="fa-IR"/>
          <w:color w:val="111111"/>
          <w:sz w:val="28"/>
          <w:szCs w:val="28"/>
          <w:rtl/>
        </w:rPr>
        <w:t xml:space="preserve">ص 378.</w:t>
      </w:r>
    </w:p>
    <w:p>
      <w:pPr>
        <w:pStyle w:val="BookText"/>
      </w:pPr>
      <w:r>
        <w:rPr>
          <w:rFonts w:ascii="Amiri" w:hAnsi="Amiri" w:eastAsia="Amiri" w:cs="Amiri"/>
          <w:lang w:bidi="ar-SA"/>
          <w:color w:val="111111"/>
          <w:sz w:val="28"/>
          <w:szCs w:val="28"/>
          <w:rtl/>
        </w:rPr>
        <w:t xml:space="preserve">حلبي ، ابن حبيب -ابن حبيب ، حسن بن بن يوسف</w:t>
      </w:r>
    </w:p>
    <w:p>
      <w:pPr>
        <w:pStyle w:val="BookText"/>
      </w:pPr>
      <w:r>
        <w:rPr>
          <w:rFonts w:ascii="Amiri" w:hAnsi="Amiri" w:eastAsia="Amiri" w:cs="Amiri"/>
          <w:lang w:bidi="ar-SA"/>
          <w:color w:val="111111"/>
          <w:sz w:val="28"/>
          <w:szCs w:val="28"/>
          <w:rtl/>
        </w:rPr>
        <w:t xml:space="preserve">حلبي ، ابوالوفاء محمّد بن عمر -ابوالوفاء</w:t>
      </w:r>
    </w:p>
    <w:p>
      <w:pPr>
        <w:pStyle w:val="BookText"/>
      </w:pPr>
      <w:r>
        <w:rPr>
          <w:rFonts w:ascii="Amiri" w:hAnsi="Amiri" w:eastAsia="Amiri" w:cs="Amiri"/>
          <w:lang w:bidi="ar-SA"/>
          <w:color w:val="111111"/>
          <w:sz w:val="28"/>
          <w:szCs w:val="28"/>
          <w:rtl/>
        </w:rPr>
        <w:t xml:space="preserve">حلبي، محمّد بن عمر</w:t>
      </w:r>
    </w:p>
    <w:p>
      <w:pPr>
        <w:pStyle w:val="BookText"/>
      </w:pPr>
      <w:r>
        <w:rPr>
          <w:rFonts w:ascii="Amiri" w:hAnsi="Amiri" w:eastAsia="Amiri" w:cs="Amiri"/>
          <w:lang w:bidi="ar-SA"/>
          <w:color w:val="111111"/>
          <w:sz w:val="28"/>
          <w:szCs w:val="28"/>
          <w:rtl/>
        </w:rPr>
        <w:t xml:space="preserve">حلبي، ابو حفص عمر بن عبد العزيز- ابن</w:t>
      </w:r>
    </w:p>
    <w:p>
      <w:pPr>
        <w:pStyle w:val="BookText"/>
      </w:pPr>
      <w:r>
        <w:rPr>
          <w:rFonts w:ascii="IRNazanin" w:hAnsi="IRNazanin" w:eastAsia="IRNazanin" w:cs="IRNazanin"/>
          <w:lang w:bidi="fa-IR"/>
          <w:color w:val="111111"/>
          <w:sz w:val="28"/>
          <w:szCs w:val="28"/>
          <w:rtl/>
        </w:rPr>
        <w:t xml:space="preserve">عدیم ، عمر بن احمد</w:t>
      </w:r>
    </w:p>
    <w:p>
      <w:pPr>
        <w:pStyle w:val="BookText"/>
      </w:pPr>
      <w:r>
        <w:rPr>
          <w:rFonts w:ascii="Amiri" w:hAnsi="Amiri" w:eastAsia="Amiri" w:cs="Amiri"/>
          <w:lang w:bidi="ar-SA"/>
          <w:color w:val="111111"/>
          <w:sz w:val="28"/>
          <w:szCs w:val="28"/>
          <w:rtl/>
        </w:rPr>
        <w:t xml:space="preserve">حلبي، ابومحمّد حسن- ابن حبيب ، حسن بن عمر</w:t>
      </w:r>
    </w:p>
    <w:p>
      <w:pPr>
        <w:pStyle w:val="Heading2"/>
      </w:pPr>
      <w:bookmarkStart w:id="3853" w:name="_Toc2955"/>
      <w:r>
        <w:t>حلبي ، احمد بن ابراهيم</w:t>
      </w:r>
      <w:bookmarkEnd w:id="3853"/>
    </w:p>
    <w:p>
      <w:pPr>
        <w:pStyle w:val="BookText"/>
      </w:pPr>
      <w:r>
        <w:rPr>
          <w:rFonts w:ascii="IRNazanin" w:hAnsi="IRNazanin" w:eastAsia="IRNazanin" w:cs="IRNazanin"/>
          <w:lang w:bidi="fa-IR"/>
          <w:color w:val="111111"/>
          <w:sz w:val="28"/>
          <w:szCs w:val="28"/>
          <w:rtl/>
        </w:rPr>
        <w:t xml:space="preserve">ص390.</w:t>
      </w:r>
    </w:p>
    <w:p>
      <w:pPr>
        <w:pStyle w:val="BookText"/>
      </w:pPr>
      <w:r>
        <w:rPr>
          <w:rFonts w:ascii="IRNazanin" w:hAnsi="IRNazanin" w:eastAsia="IRNazanin" w:cs="IRNazanin"/>
          <w:lang w:bidi="fa-IR"/>
          <w:color w:val="111111"/>
          <w:sz w:val="28"/>
          <w:szCs w:val="28"/>
          <w:rtl/>
        </w:rPr>
        <w:t xml:space="preserve">حساب السمت، ج 6 ، ص 644.</w:t>
      </w:r>
    </w:p>
    <w:p>
      <w:pPr>
        <w:pStyle w:val="Heading2"/>
      </w:pPr>
      <w:bookmarkStart w:id="3854" w:name="_Toc2956"/>
      <w:r>
        <w:t>حلبي، احمد بن ابراهيم - 884 ه-</w:t>
      </w:r>
      <w:bookmarkEnd w:id="3854"/>
    </w:p>
    <w:p>
      <w:pPr>
        <w:pStyle w:val="BookText"/>
      </w:pPr>
      <w:r>
        <w:rPr>
          <w:rFonts w:ascii="Amiri" w:hAnsi="Amiri" w:eastAsia="Amiri" w:cs="Amiri"/>
          <w:lang w:bidi="ar-SA"/>
          <w:color w:val="111111"/>
          <w:sz w:val="28"/>
          <w:szCs w:val="28"/>
          <w:rtl/>
        </w:rPr>
        <w:t xml:space="preserve">قرة العين في خصايص الشيخين و الصهرين والسبطين و فاطمة رضي الله عنهم اجمعين، ج 12، ص 568.</w:t>
      </w:r>
    </w:p>
    <w:p>
      <w:pPr>
        <w:pStyle w:val="BookText"/>
      </w:pPr>
      <w:r>
        <w:rPr>
          <w:rFonts w:ascii="Amiri" w:hAnsi="Amiri" w:eastAsia="Amiri" w:cs="Amiri"/>
          <w:lang w:bidi="ar-SA"/>
          <w:color w:val="111111"/>
          <w:sz w:val="28"/>
          <w:szCs w:val="28"/>
          <w:rtl/>
        </w:rPr>
        <w:t xml:space="preserve">حلبي ، احمد بن حمدان- اذرعي ، احمد</w:t>
      </w:r>
    </w:p>
    <w:p>
      <w:pPr>
        <w:pStyle w:val="BookText"/>
      </w:pPr>
      <w:r>
        <w:rPr>
          <w:rFonts w:ascii="IRNazanin" w:hAnsi="IRNazanin" w:eastAsia="IRNazanin" w:cs="IRNazanin"/>
          <w:lang w:bidi="fa-IR"/>
          <w:color w:val="111111"/>
          <w:sz w:val="28"/>
          <w:szCs w:val="28"/>
          <w:rtl/>
        </w:rPr>
        <w:t xml:space="preserve">بن حمدان</w:t>
      </w:r>
    </w:p>
    <w:p>
      <w:pPr>
        <w:pStyle w:val="Heading2"/>
      </w:pPr>
      <w:bookmarkStart w:id="3855" w:name="_Toc2957"/>
      <w:r>
        <w:t>حلبي، احمد بن عبد الحي - 1120 ه-</w:t>
      </w:r>
      <w:bookmarkEnd w:id="3855"/>
    </w:p>
    <w:p>
      <w:pPr>
        <w:pStyle w:val="BookText"/>
      </w:pPr>
      <w:r>
        <w:rPr>
          <w:rFonts w:ascii="Amiri" w:hAnsi="Amiri" w:eastAsia="Amiri" w:cs="Amiri"/>
          <w:lang w:bidi="ar-SA"/>
          <w:color w:val="111111"/>
          <w:sz w:val="28"/>
          <w:szCs w:val="28"/>
          <w:rtl/>
        </w:rPr>
        <w:t xml:space="preserve">مناهل الصفا في جمال ذات المصطفى</w:t>
      </w:r>
    </w:p>
    <w:p>
      <w:pPr>
        <w:pStyle w:val="BookText"/>
      </w:pPr>
      <w:r>
        <w:rPr>
          <w:rFonts w:ascii="IRNazanin" w:hAnsi="IRNazanin" w:eastAsia="IRNazanin" w:cs="IRNazanin"/>
          <w:lang w:bidi="fa-IR"/>
          <w:color w:val="111111"/>
          <w:sz w:val="28"/>
          <w:szCs w:val="28"/>
          <w:rtl/>
        </w:rPr>
        <w:t xml:space="preserve">ج 15، ص 578.</w:t>
      </w:r>
    </w:p>
    <w:p>
      <w:pPr>
        <w:pStyle w:val="Heading2"/>
      </w:pPr>
      <w:bookmarkStart w:id="3856" w:name="_Toc2958"/>
      <w:r>
        <w:t>حلبي ، احمد بن عزالدين</w:t>
      </w:r>
      <w:bookmarkEnd w:id="3856"/>
    </w:p>
    <w:p>
      <w:pPr>
        <w:pStyle w:val="BookText"/>
      </w:pPr>
      <w:r>
        <w:rPr>
          <w:rFonts w:ascii="Amiri" w:hAnsi="Amiri" w:eastAsia="Amiri" w:cs="Amiri"/>
          <w:lang w:bidi="ar-SA"/>
          <w:color w:val="111111"/>
          <w:sz w:val="28"/>
          <w:szCs w:val="28"/>
          <w:rtl/>
        </w:rPr>
        <w:t xml:space="preserve">المكعب (رسالة في)، ج 15 ، ص 428 .</w:t>
      </w:r>
    </w:p>
    <w:p>
      <w:pPr>
        <w:pStyle w:val="BookText"/>
      </w:pPr>
      <w:r>
        <w:rPr>
          <w:rFonts w:ascii="Amiri" w:hAnsi="Amiri" w:eastAsia="Amiri" w:cs="Amiri"/>
          <w:lang w:bidi="ar-SA"/>
          <w:color w:val="111111"/>
          <w:sz w:val="28"/>
          <w:szCs w:val="28"/>
          <w:rtl/>
        </w:rPr>
        <w:t xml:space="preserve">حلبي ، احمد بن محمّد -حسيني حلبي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حلبي ، احمد بن يوسف -سمين ، احمد بن يوسف</w:t>
      </w:r>
    </w:p>
    <w:p>
      <w:pPr>
        <w:pStyle w:val="BookText"/>
      </w:pPr>
      <w:r>
        <w:rPr>
          <w:rFonts w:ascii="Amiri" w:hAnsi="Amiri" w:eastAsia="Amiri" w:cs="Amiri"/>
          <w:lang w:bidi="ar-SA"/>
          <w:color w:val="111111"/>
          <w:sz w:val="28"/>
          <w:szCs w:val="28"/>
          <w:rtl/>
        </w:rPr>
        <w:t xml:space="preserve">حلبي، اسماعيل بن احمد- ابن اثير ،</w:t>
      </w:r>
    </w:p>
    <w:p>
      <w:pPr>
        <w:pStyle w:val="BookText"/>
      </w:pPr>
      <w:r>
        <w:rPr>
          <w:rFonts w:ascii="Amiri" w:hAnsi="Amiri" w:eastAsia="Amiri" w:cs="Amiri"/>
          <w:lang w:bidi="ar-SA"/>
          <w:color w:val="111111"/>
          <w:sz w:val="28"/>
          <w:szCs w:val="28"/>
          <w:rtl/>
        </w:rPr>
        <w:t xml:space="preserve">اسماعيل بن احمد</w:t>
      </w:r>
    </w:p>
    <w:p>
      <w:pPr>
        <w:pStyle w:val="BookText"/>
      </w:pPr>
      <w:r>
        <w:rPr>
          <w:rFonts w:ascii="Amiri" w:hAnsi="Amiri" w:eastAsia="Amiri" w:cs="Amiri"/>
          <w:lang w:bidi="ar-SA"/>
          <w:color w:val="111111"/>
          <w:sz w:val="28"/>
          <w:szCs w:val="28"/>
          <w:rtl/>
        </w:rPr>
        <w:t xml:space="preserve">حلبي انطاكي ، احمد بن محمّد- صنوبري</w:t>
      </w:r>
    </w:p>
    <w:p>
      <w:pPr>
        <w:pStyle w:val="BookText"/>
      </w:pPr>
      <w:r>
        <w:rPr>
          <w:rFonts w:ascii="IRNazanin" w:hAnsi="IRNazanin" w:eastAsia="IRNazanin" w:cs="IRNazanin"/>
          <w:lang w:bidi="fa-IR"/>
          <w:color w:val="111111"/>
          <w:sz w:val="28"/>
          <w:szCs w:val="28"/>
          <w:rtl/>
        </w:rPr>
        <w:t xml:space="preserve">، احمد بن محمّد</w:t>
      </w:r>
    </w:p>
    <w:p>
      <w:pPr>
        <w:pStyle w:val="Heading2"/>
      </w:pPr>
      <w:bookmarkStart w:id="3857" w:name="_Toc2959"/>
      <w:r>
        <w:t>حلبي باني ، يوسف بن جرجيس - 1806 م</w:t>
      </w:r>
      <w:bookmarkEnd w:id="3857"/>
    </w:p>
    <w:p>
      <w:pPr>
        <w:pStyle w:val="BookText"/>
      </w:pPr>
      <w:r>
        <w:rPr>
          <w:rFonts w:ascii="Amiri" w:hAnsi="Amiri" w:eastAsia="Amiri" w:cs="Amiri"/>
          <w:lang w:bidi="ar-SA"/>
          <w:color w:val="111111"/>
          <w:sz w:val="28"/>
          <w:szCs w:val="28"/>
          <w:rtl/>
        </w:rPr>
        <w:t xml:space="preserve">المرتاد في تاريخ حلب و بغداد ج 14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8" w:name="pg7742_70228"/>
    <w:bookmarkEnd w:id="418"/>
    <w:p>
      <w:pPr>
        <w:pStyle w:val="BookText"/>
      </w:pPr>
      <w:r>
        <w:rPr>
          <w:rFonts w:ascii="Amiri" w:hAnsi="Amiri" w:eastAsia="Amiri" w:cs="Amiri"/>
          <w:lang w:bidi="ar-SA"/>
          <w:color w:val="111111"/>
          <w:sz w:val="28"/>
          <w:szCs w:val="28"/>
          <w:rtl/>
        </w:rPr>
        <w:t xml:space="preserve">حلبي ، بدر الدين - ابن حبيب ، حسن بن عمر</w:t>
      </w:r>
    </w:p>
    <w:p>
      <w:pPr>
        <w:pStyle w:val="BookText"/>
      </w:pPr>
      <w:r>
        <w:rPr>
          <w:rFonts w:ascii="Amiri" w:hAnsi="Amiri" w:eastAsia="Amiri" w:cs="Amiri"/>
          <w:lang w:bidi="ar-SA"/>
          <w:color w:val="111111"/>
          <w:sz w:val="28"/>
          <w:szCs w:val="28"/>
          <w:rtl/>
        </w:rPr>
        <w:t xml:space="preserve">حلبي، تقي الدين عبدالملك بن أبي المني- بابي حلبي، عبد الملك بن ابي المني</w:t>
      </w:r>
    </w:p>
    <w:p>
      <w:pPr>
        <w:pStyle w:val="BookText"/>
      </w:pPr>
      <w:r>
        <w:rPr>
          <w:rFonts w:ascii="Amiri" w:hAnsi="Amiri" w:eastAsia="Amiri" w:cs="Amiri"/>
          <w:lang w:bidi="ar-SA"/>
          <w:color w:val="111111"/>
          <w:sz w:val="28"/>
          <w:szCs w:val="28"/>
          <w:rtl/>
        </w:rPr>
        <w:t xml:space="preserve">حلبي ، تقي بن نجم- ابوالصلاح حلبي</w:t>
      </w:r>
    </w:p>
    <w:p>
      <w:pPr>
        <w:pStyle w:val="BookText"/>
      </w:pPr>
      <w:r>
        <w:rPr>
          <w:rFonts w:ascii="Amiri" w:hAnsi="Amiri" w:eastAsia="Amiri" w:cs="Amiri"/>
          <w:lang w:bidi="ar-SA"/>
          <w:color w:val="111111"/>
          <w:sz w:val="28"/>
          <w:szCs w:val="28"/>
          <w:rtl/>
        </w:rPr>
        <w:t xml:space="preserve">تقي بن نجم</w:t>
      </w:r>
    </w:p>
    <w:p>
      <w:pPr>
        <w:pStyle w:val="BookText"/>
      </w:pPr>
      <w:r>
        <w:rPr>
          <w:rFonts w:ascii="Amiri" w:hAnsi="Amiri" w:eastAsia="Amiri" w:cs="Amiri"/>
          <w:lang w:bidi="ar-SA"/>
          <w:color w:val="111111"/>
          <w:sz w:val="28"/>
          <w:szCs w:val="28"/>
          <w:rtl/>
        </w:rPr>
        <w:t xml:space="preserve">حلبي ، جبرئيل بن فرحات - فرحات جرمانوس</w:t>
      </w:r>
    </w:p>
    <w:p>
      <w:pPr>
        <w:pStyle w:val="Heading2"/>
      </w:pPr>
      <w:bookmarkStart w:id="3858" w:name="_Toc2960"/>
      <w:r>
        <w:t>حلبي حائري قرن 9 ه-</w:t>
      </w:r>
      <w:bookmarkEnd w:id="3858"/>
    </w:p>
    <w:p>
      <w:pPr>
        <w:pStyle w:val="BookText"/>
      </w:pPr>
      <w:r>
        <w:rPr>
          <w:rFonts w:ascii="Amiri" w:hAnsi="Amiri" w:eastAsia="Amiri" w:cs="Amiri"/>
          <w:lang w:bidi="ar-SA"/>
          <w:color w:val="111111"/>
          <w:sz w:val="28"/>
          <w:szCs w:val="28"/>
          <w:rtl/>
        </w:rPr>
        <w:t xml:space="preserve">1.قصيدة الحلبي الحائري، ج 12،</w:t>
      </w:r>
    </w:p>
    <w:p>
      <w:pPr>
        <w:pStyle w:val="BookText"/>
      </w:pPr>
      <w:r>
        <w:rPr>
          <w:rFonts w:ascii="IRNazanin" w:hAnsi="IRNazanin" w:eastAsia="IRNazanin" w:cs="IRNazanin"/>
          <w:lang w:bidi="fa-IR"/>
          <w:color w:val="111111"/>
          <w:sz w:val="28"/>
          <w:szCs w:val="28"/>
          <w:rtl/>
        </w:rPr>
        <w:t xml:space="preserve">ص 666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المراثي الحلية، ج 14 ، ص 372.</w:t>
      </w:r>
    </w:p>
    <w:p>
      <w:pPr>
        <w:pStyle w:val="BookText"/>
      </w:pPr>
      <w:r>
        <w:rPr>
          <w:rFonts w:ascii="Amiri" w:hAnsi="Amiri" w:eastAsia="Amiri" w:cs="Amiri"/>
          <w:lang w:bidi="ar-SA"/>
          <w:color w:val="111111"/>
          <w:sz w:val="28"/>
          <w:szCs w:val="28"/>
          <w:rtl/>
        </w:rPr>
        <w:t xml:space="preserve">حلبي ، حسن بن عبد الله- بخشي ، حسن</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حلبي ، حسن بن علي- ابن شعبه ، حسن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حلبي ، حسن بن عمر- ابن حبيب ،</w:t>
      </w:r>
    </w:p>
    <w:p>
      <w:pPr>
        <w:pStyle w:val="BookText"/>
      </w:pPr>
      <w:r>
        <w:rPr>
          <w:rFonts w:ascii="IRNazanin" w:hAnsi="IRNazanin" w:eastAsia="IRNazanin" w:cs="IRNazanin"/>
          <w:lang w:bidi="fa-IR"/>
          <w:color w:val="111111"/>
          <w:sz w:val="28"/>
          <w:szCs w:val="28"/>
          <w:rtl/>
        </w:rPr>
        <w:t xml:space="preserve">حسن بن عمر</w:t>
      </w:r>
    </w:p>
    <w:p>
      <w:pPr>
        <w:pStyle w:val="Heading2"/>
      </w:pPr>
      <w:bookmarkStart w:id="3859" w:name="_Toc2961"/>
      <w:r>
        <w:t>حلبي ، حسين بن عبدالله - 1034 ه-</w:t>
      </w:r>
      <w:bookmarkEnd w:id="3859"/>
    </w:p>
    <w:p>
      <w:pPr>
        <w:pStyle w:val="BookText"/>
      </w:pPr>
      <w:r>
        <w:rPr>
          <w:rFonts w:ascii="Amiri" w:hAnsi="Amiri" w:eastAsia="Amiri" w:cs="Amiri"/>
          <w:lang w:bidi="ar-SA"/>
          <w:color w:val="111111"/>
          <w:sz w:val="28"/>
          <w:szCs w:val="28"/>
          <w:rtl/>
        </w:rPr>
        <w:t xml:space="preserve">المنحة العارضية على الغاز الفارضية -</w:t>
      </w:r>
    </w:p>
    <w:p>
      <w:pPr>
        <w:pStyle w:val="BookText"/>
      </w:pPr>
      <w:r>
        <w:rPr>
          <w:rFonts w:ascii="IRNazanin" w:hAnsi="IRNazanin" w:eastAsia="IRNazanin" w:cs="IRNazanin"/>
          <w:lang w:bidi="fa-IR"/>
          <w:color w:val="111111"/>
          <w:sz w:val="28"/>
          <w:szCs w:val="28"/>
          <w:rtl/>
        </w:rPr>
        <w:t xml:space="preserve">شرح الغاز ابن الفارض، ج 15 ، ص 663 .</w:t>
      </w:r>
    </w:p>
    <w:p>
      <w:pPr>
        <w:pStyle w:val="BookText"/>
      </w:pPr>
      <w:r>
        <w:rPr>
          <w:rFonts w:ascii="Amiri" w:hAnsi="Amiri" w:eastAsia="Amiri" w:cs="Amiri"/>
          <w:lang w:bidi="ar-SA"/>
          <w:color w:val="111111"/>
          <w:sz w:val="28"/>
          <w:szCs w:val="28"/>
          <w:rtl/>
        </w:rPr>
        <w:t xml:space="preserve">حلبي ، حسين بن علي- وفائي ، حسين بن علي</w:t>
      </w:r>
    </w:p>
    <w:p>
      <w:pPr>
        <w:pStyle w:val="Heading2"/>
      </w:pPr>
      <w:bookmarkStart w:id="3860" w:name="_Toc2962"/>
      <w:r>
        <w:t>حلبي، زين بن علي</w:t>
      </w:r>
      <w:bookmarkEnd w:id="3860"/>
    </w:p>
    <w:p>
      <w:pPr>
        <w:pStyle w:val="BookText"/>
      </w:pPr>
      <w:r>
        <w:rPr>
          <w:rFonts w:ascii="Amiri" w:hAnsi="Amiri" w:eastAsia="Amiri" w:cs="Amiri"/>
          <w:lang w:bidi="ar-SA"/>
          <w:color w:val="111111"/>
          <w:sz w:val="28"/>
          <w:szCs w:val="28"/>
          <w:rtl/>
        </w:rPr>
        <w:t xml:space="preserve">حاشية الخلاصة، ج 5، ص 863.</w:t>
      </w:r>
    </w:p>
    <w:p>
      <w:pPr>
        <w:pStyle w:val="Heading2"/>
      </w:pPr>
      <w:bookmarkStart w:id="3861" w:name="_Toc2963"/>
      <w:r>
        <w:t>حلبي ، سعيد بن موسى</w:t>
      </w:r>
      <w:bookmarkEnd w:id="3861"/>
    </w:p>
    <w:p>
      <w:pPr>
        <w:pStyle w:val="BookText"/>
      </w:pPr>
      <w:r>
        <w:rPr>
          <w:rFonts w:ascii="IRNazanin" w:hAnsi="IRNazanin" w:eastAsia="IRNazanin" w:cs="IRNazanin"/>
          <w:lang w:bidi="fa-IR"/>
          <w:color w:val="111111"/>
          <w:sz w:val="28"/>
          <w:szCs w:val="28"/>
          <w:rtl/>
        </w:rPr>
        <w:t xml:space="preserve">علم الهدى، ج 11، ص 267 .</w:t>
      </w:r>
    </w:p>
    <w:p>
      <w:pPr>
        <w:pStyle w:val="BookText"/>
      </w:pPr>
      <w:r>
        <w:rPr>
          <w:rFonts w:ascii="Amiri" w:hAnsi="Amiri" w:eastAsia="Amiri" w:cs="Amiri"/>
          <w:lang w:bidi="ar-SA"/>
          <w:color w:val="111111"/>
          <w:sz w:val="28"/>
          <w:szCs w:val="28"/>
          <w:rtl/>
        </w:rPr>
        <w:t xml:space="preserve">حلبي ، سليمان بن احمد -كليسي</w:t>
      </w:r>
    </w:p>
    <w:p>
      <w:pPr>
        <w:pStyle w:val="BookText"/>
      </w:pPr>
      <w:r>
        <w:rPr>
          <w:rFonts w:ascii="IRNazanin" w:hAnsi="IRNazanin" w:eastAsia="IRNazanin" w:cs="IRNazanin"/>
          <w:lang w:bidi="fa-IR"/>
          <w:color w:val="111111"/>
          <w:sz w:val="28"/>
          <w:szCs w:val="28"/>
          <w:rtl/>
        </w:rPr>
        <w:t xml:space="preserve">سلیمان بن احمد</w:t>
      </w:r>
    </w:p>
    <w:p>
      <w:pPr>
        <w:pStyle w:val="Heading2"/>
      </w:pPr>
      <w:bookmarkStart w:id="3862" w:name="_Toc2964"/>
      <w:r>
        <w:t>حلبي شافعي، زين الدين بن احمد قرن</w:t>
      </w:r>
      <w:bookmarkEnd w:id="3862"/>
    </w:p>
    <w:p>
      <w:pPr>
        <w:pStyle w:val="BookText"/>
      </w:pPr>
      <w:r>
        <w:rPr>
          <w:rFonts w:ascii="IRNazanin" w:hAnsi="IRNazanin" w:eastAsia="IRNazanin" w:cs="IRNazanin"/>
          <w:lang w:bidi="fa-IR"/>
          <w:color w:val="111111"/>
          <w:sz w:val="28"/>
          <w:szCs w:val="28"/>
          <w:rtl/>
        </w:rPr>
        <w:t xml:space="preserve">11ه-</w:t>
      </w:r>
    </w:p>
    <w:p>
      <w:pPr>
        <w:pStyle w:val="BookText"/>
      </w:pPr>
      <w:r>
        <w:rPr>
          <w:rFonts w:ascii="Amiri" w:hAnsi="Amiri" w:eastAsia="Amiri" w:cs="Amiri"/>
          <w:lang w:bidi="ar-SA"/>
          <w:color w:val="111111"/>
          <w:sz w:val="28"/>
          <w:szCs w:val="28"/>
          <w:rtl/>
        </w:rPr>
        <w:t xml:space="preserve">الصبر على فراق الاحبة في الموت( كتاب في)، ج 10، ص 481.</w:t>
      </w:r>
    </w:p>
    <w:p>
      <w:pPr>
        <w:pStyle w:val="BookText"/>
      </w:pPr>
      <w:r>
        <w:rPr>
          <w:rFonts w:ascii="Amiri" w:hAnsi="Amiri" w:eastAsia="Amiri" w:cs="Amiri"/>
          <w:lang w:bidi="ar-SA"/>
          <w:color w:val="111111"/>
          <w:sz w:val="28"/>
          <w:szCs w:val="28"/>
          <w:rtl/>
        </w:rPr>
        <w:t xml:space="preserve">حلبي ، شمس الدين محمّد بن علي- ابن</w:t>
      </w:r>
    </w:p>
    <w:p>
      <w:pPr>
        <w:pStyle w:val="BookText"/>
      </w:pPr>
      <w:r>
        <w:rPr>
          <w:rFonts w:ascii="Amiri" w:hAnsi="Amiri" w:eastAsia="Amiri" w:cs="Amiri"/>
          <w:lang w:bidi="ar-SA"/>
          <w:color w:val="111111"/>
          <w:sz w:val="28"/>
          <w:szCs w:val="28"/>
          <w:rtl/>
        </w:rPr>
        <w:t xml:space="preserve">هلال ، محمّد بن علي</w:t>
      </w:r>
    </w:p>
    <w:p>
      <w:pPr>
        <w:pStyle w:val="Heading2"/>
      </w:pPr>
      <w:bookmarkStart w:id="3863" w:name="_Toc2965"/>
      <w:r>
        <w:t>حلبي، صالح بن حسين - 1177 ه-</w:t>
      </w:r>
      <w:bookmarkEnd w:id="3863"/>
    </w:p>
    <w:p>
      <w:pPr>
        <w:pStyle w:val="BookText"/>
      </w:pPr>
      <w:r>
        <w:rPr>
          <w:rFonts w:ascii="Amiri" w:hAnsi="Amiri" w:eastAsia="Amiri" w:cs="Amiri"/>
          <w:lang w:bidi="ar-SA"/>
          <w:color w:val="111111"/>
          <w:sz w:val="28"/>
          <w:szCs w:val="28"/>
          <w:rtl/>
        </w:rPr>
        <w:t xml:space="preserve">اوضح الدلالات شرح ادل الخيرات</w:t>
      </w:r>
    </w:p>
    <w:p>
      <w:pPr>
        <w:pStyle w:val="BookText"/>
      </w:pPr>
      <w:r>
        <w:rPr>
          <w:rFonts w:ascii="IRNazanin" w:hAnsi="IRNazanin" w:eastAsia="IRNazanin" w:cs="IRNazanin"/>
          <w:lang w:bidi="fa-IR"/>
          <w:color w:val="111111"/>
          <w:sz w:val="28"/>
          <w:szCs w:val="28"/>
          <w:rtl/>
        </w:rPr>
        <w:t xml:space="preserve">ج 3، ص 78 .</w:t>
      </w:r>
    </w:p>
    <w:p>
      <w:pPr>
        <w:pStyle w:val="BookText"/>
      </w:pPr>
      <w:r>
        <w:rPr>
          <w:rFonts w:ascii="Amiri" w:hAnsi="Amiri" w:eastAsia="Amiri" w:cs="Amiri"/>
          <w:lang w:bidi="ar-SA"/>
          <w:color w:val="111111"/>
          <w:sz w:val="28"/>
          <w:szCs w:val="28"/>
          <w:rtl/>
        </w:rPr>
        <w:t xml:space="preserve">حلبي، صالح بن نصر الله -ابن سلوم ،</w:t>
      </w:r>
    </w:p>
    <w:p>
      <w:pPr>
        <w:pStyle w:val="BookText"/>
      </w:pPr>
      <w:r>
        <w:rPr>
          <w:rFonts w:ascii="IRNazanin" w:hAnsi="IRNazanin" w:eastAsia="IRNazanin" w:cs="IRNazanin"/>
          <w:lang w:bidi="fa-IR"/>
          <w:color w:val="111111"/>
          <w:sz w:val="28"/>
          <w:szCs w:val="28"/>
          <w:rtl/>
        </w:rPr>
        <w:t xml:space="preserve">صالح بن نصر الله</w:t>
      </w:r>
    </w:p>
    <w:p>
      <w:pPr>
        <w:pStyle w:val="BookText"/>
      </w:pPr>
      <w:r>
        <w:rPr>
          <w:rFonts w:ascii="Amiri" w:hAnsi="Amiri" w:eastAsia="Amiri" w:cs="Amiri"/>
          <w:lang w:bidi="ar-SA"/>
          <w:color w:val="111111"/>
          <w:sz w:val="28"/>
          <w:szCs w:val="28"/>
          <w:rtl/>
        </w:rPr>
        <w:t xml:space="preserve">حلبي صوفي ، قاسم بن صلاح الدين- خاني</w:t>
      </w:r>
    </w:p>
    <w:p>
      <w:pPr>
        <w:pStyle w:val="BookText"/>
      </w:pPr>
      <w:r>
        <w:rPr>
          <w:rFonts w:ascii="Amiri" w:hAnsi="Amiri" w:eastAsia="Amiri" w:cs="Amiri"/>
          <w:lang w:bidi="ar-SA"/>
          <w:color w:val="111111"/>
          <w:sz w:val="28"/>
          <w:szCs w:val="28"/>
          <w:rtl/>
        </w:rPr>
        <w:t xml:space="preserve">قاسم بن صلاح الدين</w:t>
      </w:r>
    </w:p>
    <w:p>
      <w:pPr>
        <w:pStyle w:val="BookText"/>
      </w:pPr>
      <w:r>
        <w:rPr>
          <w:rFonts w:ascii="Amiri" w:hAnsi="Amiri" w:eastAsia="Amiri" w:cs="Amiri"/>
          <w:lang w:bidi="ar-SA"/>
          <w:color w:val="111111"/>
          <w:sz w:val="28"/>
          <w:szCs w:val="28"/>
          <w:rtl/>
        </w:rPr>
        <w:t xml:space="preserve">حلبي، طاهر بن حسن- ابن حبيب ، طاهر بن حسن</w:t>
      </w:r>
    </w:p>
    <w:p>
      <w:pPr>
        <w:pStyle w:val="Heading2"/>
      </w:pPr>
      <w:bookmarkStart w:id="3864" w:name="_Toc2966"/>
      <w:r>
        <w:t>حلبي ، عبدالرحمن بن عبدالله</w:t>
      </w:r>
      <w:bookmarkEnd w:id="3864"/>
    </w:p>
    <w:p>
      <w:pPr>
        <w:pStyle w:val="BookText"/>
      </w:pPr>
      <w:r>
        <w:rPr>
          <w:rFonts w:ascii="Amiri" w:hAnsi="Amiri" w:eastAsia="Amiri" w:cs="Amiri"/>
          <w:lang w:bidi="ar-SA"/>
          <w:color w:val="111111"/>
          <w:sz w:val="28"/>
          <w:szCs w:val="28"/>
          <w:rtl/>
        </w:rPr>
        <w:t xml:space="preserve">الخادم في حل الفاظ ابي القاسم، ج6،</w:t>
      </w:r>
    </w:p>
    <w:p>
      <w:pPr>
        <w:pStyle w:val="BookText"/>
      </w:pPr>
      <w:r>
        <w:rPr>
          <w:rFonts w:ascii="IRNazanin" w:hAnsi="IRNazanin" w:eastAsia="IRNazanin" w:cs="IRNazanin"/>
          <w:lang w:bidi="fa-IR"/>
          <w:color w:val="111111"/>
          <w:sz w:val="28"/>
          <w:szCs w:val="28"/>
          <w:rtl/>
        </w:rPr>
        <w:t xml:space="preserve">ص 877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9" w:name="pg7742_70230"/>
    <w:bookmarkEnd w:id="419"/>
    <w:p>
      <w:pPr>
        <w:pStyle w:val="BookText"/>
      </w:pPr>
      <w:r>
        <w:rPr>
          <w:rFonts w:ascii="Amiri" w:hAnsi="Amiri" w:eastAsia="Amiri" w:cs="Amiri"/>
          <w:lang w:bidi="ar-SA"/>
          <w:color w:val="111111"/>
          <w:sz w:val="28"/>
          <w:szCs w:val="28"/>
          <w:rtl/>
        </w:rPr>
        <w:t xml:space="preserve">حلبي ، عبدالرحمن بن محمّد-بتروني ،</w:t>
      </w:r>
    </w:p>
    <w:p>
      <w:pPr>
        <w:pStyle w:val="BookText"/>
      </w:pPr>
      <w:r>
        <w:rPr>
          <w:rFonts w:ascii="IRNazanin" w:hAnsi="IRNazanin" w:eastAsia="IRNazanin" w:cs="IRNazanin"/>
          <w:lang w:bidi="fa-IR"/>
          <w:color w:val="111111"/>
          <w:sz w:val="28"/>
          <w:szCs w:val="28"/>
          <w:rtl/>
        </w:rPr>
        <w:t xml:space="preserve">عبدالرحمن بن محمّد</w:t>
      </w:r>
    </w:p>
    <w:p>
      <w:pPr>
        <w:pStyle w:val="Heading2"/>
      </w:pPr>
      <w:bookmarkStart w:id="3865" w:name="_Toc2967"/>
      <w:r>
        <w:t>حلبي ، عبد الرحمن وراق</w:t>
      </w:r>
      <w:bookmarkEnd w:id="3865"/>
    </w:p>
    <w:p>
      <w:pPr>
        <w:pStyle w:val="BookText"/>
      </w:pPr>
      <w:r>
        <w:rPr>
          <w:rFonts w:ascii="Amiri" w:hAnsi="Amiri" w:eastAsia="Amiri" w:cs="Amiri"/>
          <w:lang w:bidi="ar-SA"/>
          <w:color w:val="111111"/>
          <w:sz w:val="28"/>
          <w:szCs w:val="28"/>
          <w:rtl/>
        </w:rPr>
        <w:t xml:space="preserve">نظم الوتريات في مدح صاحب الايات</w:t>
      </w:r>
    </w:p>
    <w:p>
      <w:pPr>
        <w:pStyle w:val="BookText"/>
      </w:pPr>
      <w:r>
        <w:rPr>
          <w:rFonts w:ascii="IRNazanin" w:hAnsi="IRNazanin" w:eastAsia="IRNazanin" w:cs="IRNazanin"/>
          <w:lang w:bidi="fa-IR"/>
          <w:color w:val="111111"/>
          <w:sz w:val="28"/>
          <w:szCs w:val="28"/>
          <w:rtl/>
        </w:rPr>
        <w:t xml:space="preserve">و المعجزات، ج 16، ص 366.</w:t>
      </w:r>
    </w:p>
    <w:p>
      <w:pPr>
        <w:pStyle w:val="BookText"/>
      </w:pPr>
      <w:r>
        <w:rPr>
          <w:rFonts w:ascii="Amiri" w:hAnsi="Amiri" w:eastAsia="Amiri" w:cs="Amiri"/>
          <w:lang w:bidi="ar-SA"/>
          <w:color w:val="111111"/>
          <w:sz w:val="28"/>
          <w:szCs w:val="28"/>
          <w:rtl/>
        </w:rPr>
        <w:t xml:space="preserve">حلبي ، عبد القادر بن يوسف- ابن نقيب ،</w:t>
      </w:r>
    </w:p>
    <w:p>
      <w:pPr>
        <w:pStyle w:val="BookText"/>
      </w:pPr>
      <w:r>
        <w:rPr>
          <w:rFonts w:ascii="Amiri" w:hAnsi="Amiri" w:eastAsia="Amiri" w:cs="Amiri"/>
          <w:lang w:bidi="ar-SA"/>
          <w:color w:val="111111"/>
          <w:sz w:val="28"/>
          <w:szCs w:val="28"/>
          <w:rtl/>
        </w:rPr>
        <w:t xml:space="preserve">عبد القادر بن يوسف</w:t>
      </w:r>
    </w:p>
    <w:p>
      <w:pPr>
        <w:pStyle w:val="Heading2"/>
      </w:pPr>
      <w:bookmarkStart w:id="3866" w:name="_Toc2968"/>
      <w:r>
        <w:t>حلبي ، عبدالكريم بن عبدالنور، 664 -</w:t>
      </w:r>
      <w:bookmarkEnd w:id="3866"/>
    </w:p>
    <w:p>
      <w:pPr>
        <w:pStyle w:val="BookText"/>
      </w:pPr>
      <w:r>
        <w:rPr>
          <w:rFonts w:ascii="IRNazanin" w:hAnsi="IRNazanin" w:eastAsia="IRNazanin" w:cs="IRNazanin"/>
          <w:lang w:bidi="fa-IR"/>
          <w:color w:val="111111"/>
          <w:sz w:val="28"/>
          <w:szCs w:val="28"/>
          <w:rtl/>
        </w:rPr>
        <w:t xml:space="preserve">735 ه-</w:t>
      </w:r>
    </w:p>
    <w:p>
      <w:pPr>
        <w:pStyle w:val="BookText"/>
      </w:pPr>
      <w:r>
        <w:rPr>
          <w:rFonts w:ascii="Amiri" w:hAnsi="Amiri" w:eastAsia="Amiri" w:cs="Amiri"/>
          <w:lang w:bidi="ar-SA"/>
          <w:color w:val="111111"/>
          <w:sz w:val="28"/>
          <w:szCs w:val="28"/>
          <w:rtl/>
        </w:rPr>
        <w:t xml:space="preserve">شرح هداية الحكمة، ج 10، ص302.</w:t>
      </w:r>
    </w:p>
    <w:p>
      <w:pPr>
        <w:pStyle w:val="Heading2"/>
      </w:pPr>
      <w:bookmarkStart w:id="3867" w:name="_Toc2969"/>
      <w:r>
        <w:t>حلبي ، عبدالله بن حسين</w:t>
      </w:r>
      <w:bookmarkEnd w:id="3867"/>
    </w:p>
    <w:p>
      <w:pPr>
        <w:pStyle w:val="BookText"/>
      </w:pPr>
      <w:r>
        <w:rPr>
          <w:rFonts w:ascii="Amiri" w:hAnsi="Amiri" w:eastAsia="Amiri" w:cs="Amiri"/>
          <w:lang w:bidi="ar-SA"/>
          <w:color w:val="111111"/>
          <w:sz w:val="28"/>
          <w:szCs w:val="28"/>
          <w:rtl/>
        </w:rPr>
        <w:t xml:space="preserve">ثبت الحلبي، ج 5، ص211</w:t>
      </w:r>
    </w:p>
    <w:p>
      <w:pPr>
        <w:pStyle w:val="BookText"/>
      </w:pPr>
      <w:r>
        <w:rPr>
          <w:rFonts w:ascii="Amiri" w:hAnsi="Amiri" w:eastAsia="Amiri" w:cs="Amiri"/>
          <w:lang w:bidi="ar-SA"/>
          <w:color w:val="111111"/>
          <w:sz w:val="28"/>
          <w:szCs w:val="28"/>
          <w:rtl/>
        </w:rPr>
        <w:t xml:space="preserve">حلبي ، عبدالله بن عبدالرحمن- ميقاتي ،</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حلبي ، عبدالله بن يوسف- يوسفي</w:t>
      </w:r>
    </w:p>
    <w:p>
      <w:pPr>
        <w:pStyle w:val="BookText"/>
      </w:pPr>
      <w:r>
        <w:rPr>
          <w:rFonts w:ascii="Amiri" w:hAnsi="Amiri" w:eastAsia="Amiri" w:cs="Amiri"/>
          <w:lang w:bidi="ar-SA"/>
          <w:color w:val="111111"/>
          <w:sz w:val="28"/>
          <w:szCs w:val="28"/>
          <w:rtl/>
        </w:rPr>
        <w:t xml:space="preserve">عبدالله بن يوسف</w:t>
      </w:r>
    </w:p>
    <w:p>
      <w:pPr>
        <w:pStyle w:val="BookText"/>
      </w:pPr>
      <w:r>
        <w:rPr>
          <w:rFonts w:ascii="Amiri" w:hAnsi="Amiri" w:eastAsia="Amiri" w:cs="Amiri"/>
          <w:lang w:bidi="ar-SA"/>
          <w:color w:val="111111"/>
          <w:sz w:val="28"/>
          <w:szCs w:val="28"/>
          <w:rtl/>
        </w:rPr>
        <w:t xml:space="preserve">حلبي ، عبد الوهاب بن ابراهيم - عرضي ،</w:t>
      </w:r>
    </w:p>
    <w:p>
      <w:pPr>
        <w:pStyle w:val="BookText"/>
      </w:pPr>
      <w:r>
        <w:rPr>
          <w:rFonts w:ascii="Amiri" w:hAnsi="Amiri" w:eastAsia="Amiri" w:cs="Amiri"/>
          <w:lang w:bidi="ar-SA"/>
          <w:color w:val="111111"/>
          <w:sz w:val="28"/>
          <w:szCs w:val="28"/>
          <w:rtl/>
        </w:rPr>
        <w:t xml:space="preserve">عبد الوهاب بن ابراهيم</w:t>
      </w:r>
    </w:p>
    <w:p>
      <w:pPr>
        <w:pStyle w:val="BookText"/>
      </w:pPr>
      <w:r>
        <w:rPr>
          <w:rFonts w:ascii="Amiri" w:hAnsi="Amiri" w:eastAsia="Amiri" w:cs="Amiri"/>
          <w:lang w:bidi="ar-SA"/>
          <w:color w:val="111111"/>
          <w:sz w:val="28"/>
          <w:szCs w:val="28"/>
          <w:rtl/>
        </w:rPr>
        <w:t xml:space="preserve">حلبي ، عثمان بن عبدالله -عرياني ، عثمان بن عبدالله</w:t>
      </w:r>
    </w:p>
    <w:p>
      <w:pPr>
        <w:pStyle w:val="BookText"/>
      </w:pPr>
      <w:r>
        <w:rPr>
          <w:rFonts w:ascii="Amiri" w:hAnsi="Amiri" w:eastAsia="Amiri" w:cs="Amiri"/>
          <w:lang w:bidi="ar-SA"/>
          <w:color w:val="111111"/>
          <w:sz w:val="28"/>
          <w:szCs w:val="28"/>
          <w:rtl/>
        </w:rPr>
        <w:t xml:space="preserve">حلبي ، عز الدين بن محمّد كمال</w:t>
      </w:r>
    </w:p>
    <w:p>
      <w:pPr>
        <w:pStyle w:val="BookText"/>
      </w:pPr>
      <w:r>
        <w:rPr>
          <w:rFonts w:ascii="IRNazanin" w:hAnsi="IRNazanin" w:eastAsia="IRNazanin" w:cs="IRNazanin"/>
          <w:lang w:bidi="fa-IR"/>
          <w:color w:val="111111"/>
          <w:sz w:val="28"/>
          <w:szCs w:val="28"/>
          <w:rtl/>
        </w:rPr>
        <w:t xml:space="preserve">الدین- ابن مغربل ، عزالدين بن كمال الدين</w:t>
      </w:r>
    </w:p>
    <w:p>
      <w:pPr>
        <w:pStyle w:val="BookText"/>
      </w:pPr>
      <w:r>
        <w:rPr>
          <w:rFonts w:ascii="Amiri" w:hAnsi="Amiri" w:eastAsia="Amiri" w:cs="Amiri"/>
          <w:lang w:bidi="ar-SA"/>
          <w:color w:val="111111"/>
          <w:sz w:val="28"/>
          <w:szCs w:val="28"/>
          <w:rtl/>
        </w:rPr>
        <w:t xml:space="preserve">حلبي ، عزالدين حسن بن محمّد -مهلبي</w:t>
      </w:r>
    </w:p>
    <w:p>
      <w:pPr>
        <w:pStyle w:val="BookText"/>
      </w:pPr>
      <w:r>
        <w:rPr>
          <w:rFonts w:ascii="Amiri" w:hAnsi="Amiri" w:eastAsia="Amiri" w:cs="Amiri"/>
          <w:lang w:bidi="ar-SA"/>
          <w:color w:val="111111"/>
          <w:sz w:val="28"/>
          <w:szCs w:val="28"/>
          <w:rtl/>
        </w:rPr>
        <w:t xml:space="preserve">حلبي ، حسن بن محمّد</w:t>
      </w:r>
    </w:p>
    <w:p>
      <w:pPr>
        <w:pStyle w:val="Heading2"/>
      </w:pPr>
      <w:bookmarkStart w:id="3868" w:name="_Toc2970"/>
      <w:r>
        <w:t>حلبي، علي بن ابراهيم، 975 - 1044 ه-</w:t>
      </w:r>
      <w:bookmarkEnd w:id="3868"/>
    </w:p>
    <w:p>
      <w:pPr>
        <w:pStyle w:val="BookText"/>
      </w:pPr>
      <w:r>
        <w:rPr>
          <w:rFonts w:ascii="Amiri" w:hAnsi="Amiri" w:eastAsia="Amiri" w:cs="Amiri"/>
          <w:lang w:bidi="ar-SA"/>
          <w:color w:val="111111"/>
          <w:sz w:val="28"/>
          <w:szCs w:val="28"/>
          <w:rtl/>
        </w:rPr>
        <w:t xml:space="preserve">1 .اعلام الطراز المنقوش في اوصاف</w:t>
      </w:r>
    </w:p>
    <w:p>
      <w:pPr>
        <w:pStyle w:val="BookText"/>
      </w:pPr>
      <w:r>
        <w:rPr>
          <w:rFonts w:ascii="IRNazanin" w:hAnsi="IRNazanin" w:eastAsia="IRNazanin" w:cs="IRNazanin"/>
          <w:lang w:bidi="fa-IR"/>
          <w:color w:val="111111"/>
          <w:sz w:val="28"/>
          <w:szCs w:val="28"/>
          <w:rtl/>
        </w:rPr>
        <w:t xml:space="preserve">الحبوش، ج 2، ص 560.</w:t>
      </w:r>
    </w:p>
    <w:p>
      <w:pPr>
        <w:pStyle w:val="BookText"/>
      </w:pPr>
      <w:r>
        <w:rPr>
          <w:rFonts w:ascii="Amiri" w:hAnsi="Amiri" w:eastAsia="Amiri" w:cs="Amiri"/>
          <w:lang w:bidi="ar-SA"/>
          <w:color w:val="111111"/>
          <w:sz w:val="28"/>
          <w:szCs w:val="28"/>
          <w:rtl/>
        </w:rPr>
        <w:t xml:space="preserve">2 .حاشية شرح المنهج، ج 1، ص197.</w:t>
      </w:r>
    </w:p>
    <w:p>
      <w:pPr>
        <w:pStyle w:val="BookText"/>
      </w:pPr>
      <w:r>
        <w:rPr>
          <w:rFonts w:ascii="Amiri" w:hAnsi="Amiri" w:eastAsia="Amiri" w:cs="Amiri"/>
          <w:lang w:bidi="ar-SA"/>
          <w:color w:val="111111"/>
          <w:sz w:val="28"/>
          <w:szCs w:val="28"/>
          <w:rtl/>
        </w:rPr>
        <w:t xml:space="preserve">3.السيرة الحلبية = انسان العيون سيرة الأمين المأمون، ج9، ص11.</w:t>
      </w:r>
    </w:p>
    <w:p>
      <w:pPr>
        <w:pStyle w:val="BookText"/>
      </w:pPr>
      <w:r>
        <w:rPr>
          <w:rFonts w:ascii="Amiri" w:hAnsi="Amiri" w:eastAsia="Amiri" w:cs="Amiri"/>
          <w:lang w:bidi="ar-SA"/>
          <w:color w:val="111111"/>
          <w:sz w:val="28"/>
          <w:szCs w:val="28"/>
          <w:rtl/>
        </w:rPr>
        <w:t xml:space="preserve">4 .شرح مقدمة الازهرية، ج 10،</w:t>
      </w:r>
    </w:p>
    <w:p>
      <w:pPr>
        <w:pStyle w:val="BookText"/>
      </w:pPr>
      <w:r>
        <w:rPr>
          <w:rFonts w:ascii="IRNazanin" w:hAnsi="IRNazanin" w:eastAsia="IRNazanin" w:cs="IRNazanin"/>
          <w:lang w:bidi="fa-IR"/>
          <w:color w:val="111111"/>
          <w:sz w:val="28"/>
          <w:szCs w:val="28"/>
          <w:rtl/>
        </w:rPr>
        <w:t xml:space="preserve">ص190.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فرائد العقود العلوية لحل الفاظ</w:t>
      </w:r>
    </w:p>
    <w:p>
      <w:pPr>
        <w:pStyle w:val="BookText"/>
      </w:pPr>
      <w:r>
        <w:rPr>
          <w:rFonts w:ascii="Amiri" w:hAnsi="Amiri" w:eastAsia="Amiri" w:cs="Amiri"/>
          <w:lang w:bidi="ar-SA"/>
          <w:color w:val="111111"/>
          <w:sz w:val="28"/>
          <w:szCs w:val="28"/>
          <w:rtl/>
        </w:rPr>
        <w:t xml:space="preserve">شرح الازهرية، ج 11، ص 735.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اللطائف الممتزجة ببيان الفاظ</w:t>
      </w:r>
    </w:p>
    <w:p>
      <w:pPr>
        <w:pStyle w:val="BookText"/>
      </w:pPr>
      <w:r>
        <w:rPr>
          <w:rFonts w:ascii="Amiri" w:hAnsi="Amiri" w:eastAsia="Amiri" w:cs="Amiri"/>
          <w:lang w:bidi="ar-SA"/>
          <w:color w:val="111111"/>
          <w:sz w:val="28"/>
          <w:szCs w:val="28"/>
          <w:rtl/>
        </w:rPr>
        <w:t xml:space="preserve">المنفرجة، ج13، ص 582.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محاسن الاحسان ببيان احكام</w:t>
      </w:r>
    </w:p>
    <w:p>
      <w:pPr>
        <w:pStyle w:val="BookText"/>
      </w:pPr>
      <w:r>
        <w:rPr>
          <w:rFonts w:ascii="IRNazanin" w:hAnsi="IRNazanin" w:eastAsia="IRNazanin" w:cs="IRNazanin"/>
          <w:lang w:bidi="fa-IR"/>
          <w:color w:val="111111"/>
          <w:sz w:val="28"/>
          <w:szCs w:val="28"/>
          <w:rtl/>
        </w:rPr>
        <w:t xml:space="preserve">الجان، ج 14، ص 91.</w:t>
      </w:r>
    </w:p>
    <w:p>
      <w:pPr>
        <w:pStyle w:val="Heading2"/>
      </w:pPr>
      <w:bookmarkStart w:id="3869" w:name="_Toc2971"/>
      <w:r>
        <w:t>حلبي ، علي بن حسن قرن 5 ه-</w:t>
      </w:r>
      <w:bookmarkEnd w:id="3869"/>
    </w:p>
    <w:p>
      <w:pPr>
        <w:pStyle w:val="BookText"/>
      </w:pPr>
      <w:r>
        <w:rPr>
          <w:rFonts w:ascii="IRNazanin" w:hAnsi="IRNazanin" w:eastAsia="IRNazanin" w:cs="IRNazanin"/>
          <w:lang w:bidi="fa-IR"/>
          <w:color w:val="111111"/>
          <w:sz w:val="28"/>
          <w:szCs w:val="28"/>
          <w:rtl/>
        </w:rPr>
        <w:t xml:space="preserve">اشارة السبق إلى معرفة الحق في اصول الدین و فروعه العبادية، ج 2،</w:t>
      </w:r>
    </w:p>
    <w:p>
      <w:pPr>
        <w:pStyle w:val="BookText"/>
      </w:pPr>
      <w:r>
        <w:rPr>
          <w:rFonts w:ascii="IRNazanin" w:hAnsi="IRNazanin" w:eastAsia="IRNazanin" w:cs="IRNazanin"/>
          <w:lang w:bidi="fa-IR"/>
          <w:color w:val="111111"/>
          <w:sz w:val="28"/>
          <w:szCs w:val="28"/>
          <w:rtl/>
        </w:rPr>
        <w:t xml:space="preserve">ص 258 .</w:t>
      </w:r>
    </w:p>
    <w:p>
      <w:pPr>
        <w:pStyle w:val="BookText"/>
      </w:pPr>
      <w:r>
        <w:rPr>
          <w:rFonts w:ascii="Amiri" w:hAnsi="Amiri" w:eastAsia="Amiri" w:cs="Amiri"/>
          <w:lang w:bidi="ar-SA"/>
          <w:color w:val="111111"/>
          <w:sz w:val="28"/>
          <w:szCs w:val="28"/>
          <w:rtl/>
        </w:rPr>
        <w:t xml:space="preserve">حلبي ، علي بن محمد -سمناني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حلبي ، عمر بن احمد- ابن شماع ، عمر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حلبي ، عمر بن احمد -مائي چلبي ، عمر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حلبي ، عمر بن عبدالعزيز -ابن عديم ،</w:t>
      </w:r>
    </w:p>
    <w:p>
      <w:pPr>
        <w:pStyle w:val="BookText"/>
      </w:pPr>
      <w:r>
        <w:rPr>
          <w:rFonts w:ascii="IRNazanin" w:hAnsi="IRNazanin" w:eastAsia="IRNazanin" w:cs="IRNazanin"/>
          <w:lang w:bidi="fa-IR"/>
          <w:color w:val="111111"/>
          <w:sz w:val="28"/>
          <w:szCs w:val="28"/>
          <w:rtl/>
        </w:rPr>
        <w:t xml:space="preserve">عمر بن احمد</w:t>
      </w:r>
    </w:p>
    <w:p>
      <w:pPr>
        <w:pStyle w:val="BookText"/>
      </w:pPr>
      <w:r>
        <w:rPr>
          <w:rFonts w:ascii="Amiri" w:hAnsi="Amiri" w:eastAsia="Amiri" w:cs="Amiri"/>
          <w:lang w:bidi="ar-SA"/>
          <w:color w:val="111111"/>
          <w:sz w:val="28"/>
          <w:szCs w:val="28"/>
          <w:rtl/>
        </w:rPr>
        <w:t xml:space="preserve">حلبي ، عمر بن عبد القادر- ارمنازي ، عمر</w:t>
      </w:r>
    </w:p>
    <w:p>
      <w:pPr>
        <w:pStyle w:val="BookText"/>
      </w:pPr>
      <w:r>
        <w:rPr>
          <w:rFonts w:ascii="IRNazanin" w:hAnsi="IRNazanin" w:eastAsia="IRNazanin" w:cs="IRNazanin"/>
          <w:lang w:bidi="fa-IR"/>
          <w:color w:val="111111"/>
          <w:sz w:val="28"/>
          <w:szCs w:val="28"/>
          <w:rtl/>
        </w:rPr>
        <w:t xml:space="preserve">بن عبدالقادر</w:t>
      </w:r>
    </w:p>
    <w:p>
      <w:pPr>
        <w:pStyle w:val="BookText"/>
      </w:pPr>
      <w:r>
        <w:rPr>
          <w:rFonts w:ascii="Amiri" w:hAnsi="Amiri" w:eastAsia="Amiri" w:cs="Amiri"/>
          <w:lang w:bidi="ar-SA"/>
          <w:color w:val="111111"/>
          <w:sz w:val="28"/>
          <w:szCs w:val="28"/>
          <w:rtl/>
        </w:rPr>
        <w:t xml:space="preserve">حلبي ، عمر بن عبدالوهاب - عرضي ، عمر</w:t>
      </w:r>
    </w:p>
    <w:p>
      <w:pPr>
        <w:pStyle w:val="BookText"/>
      </w:pPr>
      <w:r>
        <w:rPr>
          <w:rFonts w:ascii="IRNazanin" w:hAnsi="IRNazanin" w:eastAsia="IRNazanin" w:cs="IRNazanin"/>
          <w:lang w:bidi="fa-IR"/>
          <w:color w:val="111111"/>
          <w:sz w:val="28"/>
          <w:szCs w:val="28"/>
          <w:rtl/>
        </w:rPr>
        <w:t xml:space="preserve">بن عبدالوهاب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0" w:name="pg7742_70232"/>
    <w:bookmarkEnd w:id="420"/>
    <w:p>
      <w:pPr>
        <w:pStyle w:val="Heading2"/>
      </w:pPr>
      <w:bookmarkStart w:id="3870" w:name="_Toc2972"/>
      <w:r>
        <w:t>حلبي ، غرس الدين بن ابراهيم - 971 ه-</w:t>
      </w:r>
      <w:bookmarkEnd w:id="3870"/>
    </w:p>
    <w:p>
      <w:pPr>
        <w:pStyle w:val="BookText"/>
      </w:pPr>
      <w:r>
        <w:rPr>
          <w:rFonts w:ascii="Amiri" w:hAnsi="Amiri" w:eastAsia="Amiri" w:cs="Amiri"/>
          <w:lang w:bidi="ar-SA"/>
          <w:color w:val="111111"/>
          <w:sz w:val="28"/>
          <w:szCs w:val="28"/>
          <w:rtl/>
        </w:rPr>
        <w:t xml:space="preserve">1 .تذكرة الكتاب في علم الحساب</w:t>
      </w:r>
    </w:p>
    <w:p>
      <w:pPr>
        <w:pStyle w:val="BookText"/>
      </w:pPr>
      <w:r>
        <w:rPr>
          <w:rFonts w:ascii="IRNazanin" w:hAnsi="IRNazanin" w:eastAsia="IRNazanin" w:cs="IRNazanin"/>
          <w:lang w:bidi="fa-IR"/>
          <w:color w:val="111111"/>
          <w:sz w:val="28"/>
          <w:szCs w:val="28"/>
          <w:rtl/>
        </w:rPr>
        <w:t xml:space="preserve">ج 4، ص 209.</w:t>
      </w:r>
    </w:p>
    <w:p>
      <w:pPr>
        <w:pStyle w:val="BookText"/>
      </w:pPr>
      <w:r>
        <w:rPr>
          <w:rFonts w:ascii="Amiri" w:hAnsi="Amiri" w:eastAsia="Amiri" w:cs="Amiri"/>
          <w:lang w:bidi="ar-SA"/>
          <w:color w:val="111111"/>
          <w:sz w:val="28"/>
          <w:szCs w:val="28"/>
          <w:rtl/>
        </w:rPr>
        <w:t xml:space="preserve">2 .الكعب (رسالة في)، ج13، ص302.</w:t>
      </w:r>
    </w:p>
    <w:p>
      <w:pPr>
        <w:pStyle w:val="BookText"/>
      </w:pPr>
      <w:r>
        <w:rPr>
          <w:rFonts w:ascii="Amiri" w:hAnsi="Amiri" w:eastAsia="Amiri" w:cs="Amiri"/>
          <w:lang w:bidi="ar-SA"/>
          <w:color w:val="111111"/>
          <w:sz w:val="28"/>
          <w:szCs w:val="28"/>
          <w:rtl/>
        </w:rPr>
        <w:t xml:space="preserve">حلبي ، فتح الله بن عبدالله- ابن نحاس</w:t>
      </w:r>
    </w:p>
    <w:p>
      <w:pPr>
        <w:pStyle w:val="BookText"/>
      </w:pPr>
      <w:r>
        <w:rPr>
          <w:rFonts w:ascii="IRNazanin" w:hAnsi="IRNazanin" w:eastAsia="IRNazanin" w:cs="IRNazanin"/>
          <w:lang w:bidi="fa-IR"/>
          <w:color w:val="111111"/>
          <w:sz w:val="28"/>
          <w:szCs w:val="28"/>
          <w:rtl/>
        </w:rPr>
        <w:t xml:space="preserve">فتح الله بن عبدالله</w:t>
      </w:r>
    </w:p>
    <w:p>
      <w:pPr>
        <w:pStyle w:val="BookText"/>
      </w:pPr>
      <w:r>
        <w:rPr>
          <w:rFonts w:ascii="Amiri" w:hAnsi="Amiri" w:eastAsia="Amiri" w:cs="Amiri"/>
          <w:lang w:bidi="ar-SA"/>
          <w:color w:val="111111"/>
          <w:sz w:val="28"/>
          <w:szCs w:val="28"/>
          <w:rtl/>
        </w:rPr>
        <w:t xml:space="preserve">حلبي كواكبي ، احمد بن محمّد- كواكبي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حلبي مرعشي ، احمد بن محمّد- مرعشي ،</w:t>
      </w:r>
    </w:p>
    <w:p>
      <w:pPr>
        <w:pStyle w:val="BookText"/>
      </w:pPr>
      <w:r>
        <w:rPr>
          <w:rFonts w:ascii="Amiri" w:hAnsi="Amiri" w:eastAsia="Amiri" w:cs="Amiri"/>
          <w:lang w:bidi="ar-SA"/>
          <w:color w:val="111111"/>
          <w:sz w:val="28"/>
          <w:szCs w:val="28"/>
          <w:rtl/>
        </w:rPr>
        <w:t xml:space="preserve">احمد بن ابي بكر</w:t>
      </w:r>
    </w:p>
    <w:p>
      <w:pPr>
        <w:pStyle w:val="BookText"/>
      </w:pPr>
      <w:r>
        <w:rPr>
          <w:rFonts w:ascii="Amiri" w:hAnsi="Amiri" w:eastAsia="Amiri" w:cs="Amiri"/>
          <w:lang w:bidi="ar-SA"/>
          <w:color w:val="111111"/>
          <w:sz w:val="28"/>
          <w:szCs w:val="28"/>
          <w:rtl/>
        </w:rPr>
        <w:t xml:space="preserve">حلبي ، محمّد بن ابراهيم - سلامي ،</w:t>
      </w:r>
    </w:p>
    <w:p>
      <w:pPr>
        <w:pStyle w:val="BookText"/>
      </w:pPr>
      <w:r>
        <w:rPr>
          <w:rFonts w:ascii="Amiri" w:hAnsi="Amiri" w:eastAsia="Amiri" w:cs="Amiri"/>
          <w:lang w:bidi="ar-SA"/>
          <w:color w:val="111111"/>
          <w:sz w:val="28"/>
          <w:szCs w:val="28"/>
          <w:rtl/>
        </w:rPr>
        <w:t xml:space="preserve">محمّد بن ابراهيم</w:t>
      </w:r>
    </w:p>
    <w:p>
      <w:pPr>
        <w:pStyle w:val="BookText"/>
      </w:pPr>
      <w:r>
        <w:rPr>
          <w:rFonts w:ascii="Amiri" w:hAnsi="Amiri" w:eastAsia="Amiri" w:cs="Amiri"/>
          <w:lang w:bidi="ar-SA"/>
          <w:color w:val="111111"/>
          <w:sz w:val="28"/>
          <w:szCs w:val="28"/>
          <w:rtl/>
        </w:rPr>
        <w:t xml:space="preserve">حلبي ، محمّد بن احمد -سرميني ، محمّد بن احمّد</w:t>
      </w:r>
    </w:p>
    <w:p>
      <w:pPr>
        <w:pStyle w:val="BookText"/>
      </w:pPr>
      <w:r>
        <w:rPr>
          <w:rFonts w:ascii="Amiri" w:hAnsi="Amiri" w:eastAsia="Amiri" w:cs="Amiri"/>
          <w:lang w:bidi="ar-SA"/>
          <w:color w:val="111111"/>
          <w:sz w:val="28"/>
          <w:szCs w:val="28"/>
          <w:rtl/>
        </w:rPr>
        <w:t xml:space="preserve">حلبي ، محمّد بن خليل- قباقبي ، محمّد</w:t>
      </w:r>
    </w:p>
    <w:p>
      <w:pPr>
        <w:pStyle w:val="BookText"/>
      </w:pPr>
      <w:r>
        <w:rPr>
          <w:rFonts w:ascii="Amiri" w:hAnsi="Amiri" w:eastAsia="Amiri" w:cs="Amiri"/>
          <w:lang w:bidi="ar-SA"/>
          <w:color w:val="111111"/>
          <w:sz w:val="28"/>
          <w:szCs w:val="28"/>
          <w:rtl/>
        </w:rPr>
        <w:t xml:space="preserve">بن خليل</w:t>
      </w:r>
    </w:p>
    <w:p>
      <w:pPr>
        <w:pStyle w:val="Heading2"/>
      </w:pPr>
      <w:bookmarkStart w:id="3871" w:name="_Toc2973"/>
      <w:r>
        <w:t>حلبي ، محمّد بن خليل قرن 12 ه-</w:t>
      </w:r>
      <w:bookmarkEnd w:id="3871"/>
    </w:p>
    <w:p>
      <w:pPr>
        <w:pStyle w:val="BookText"/>
      </w:pPr>
      <w:r>
        <w:rPr>
          <w:rFonts w:ascii="Amiri" w:hAnsi="Amiri" w:eastAsia="Amiri" w:cs="Amiri"/>
          <w:lang w:bidi="ar-SA"/>
          <w:color w:val="111111"/>
          <w:sz w:val="28"/>
          <w:szCs w:val="28"/>
          <w:rtl/>
        </w:rPr>
        <w:t xml:space="preserve">الروضة و المقياس في ضروب الاقتباس</w:t>
      </w:r>
    </w:p>
    <w:p>
      <w:pPr>
        <w:pStyle w:val="BookText"/>
      </w:pPr>
      <w:r>
        <w:rPr>
          <w:rFonts w:ascii="IRNazanin" w:hAnsi="IRNazanin" w:eastAsia="IRNazanin" w:cs="IRNazanin"/>
          <w:lang w:bidi="fa-IR"/>
          <w:color w:val="111111"/>
          <w:sz w:val="28"/>
          <w:szCs w:val="28"/>
          <w:rtl/>
        </w:rPr>
        <w:t xml:space="preserve">ج8، ص 458.</w:t>
      </w:r>
    </w:p>
    <w:p>
      <w:pPr>
        <w:pStyle w:val="BookText"/>
      </w:pPr>
      <w:r>
        <w:rPr>
          <w:rFonts w:ascii="Amiri" w:hAnsi="Amiri" w:eastAsia="Amiri" w:cs="Amiri"/>
          <w:lang w:bidi="ar-SA"/>
          <w:color w:val="111111"/>
          <w:sz w:val="28"/>
          <w:szCs w:val="28"/>
          <w:rtl/>
        </w:rPr>
        <w:t xml:space="preserve">حلبي، محمّد بن سليمان- رهاوي</w:t>
      </w:r>
    </w:p>
    <w:p>
      <w:pPr>
        <w:pStyle w:val="BookText"/>
      </w:pPr>
      <w:r>
        <w:rPr>
          <w:rFonts w:ascii="IRNazanin" w:hAnsi="IRNazanin" w:eastAsia="IRNazanin" w:cs="IRNazanin"/>
          <w:lang w:bidi="fa-IR"/>
          <w:color w:val="111111"/>
          <w:sz w:val="28"/>
          <w:szCs w:val="28"/>
          <w:rtl/>
        </w:rPr>
        <w:t xml:space="preserve">محمد بن سلیمان</w:t>
      </w:r>
    </w:p>
    <w:p>
      <w:pPr>
        <w:pStyle w:val="Heading2"/>
      </w:pPr>
      <w:bookmarkStart w:id="3872" w:name="_Toc2974"/>
      <w:r>
        <w:t>حلبي ، محمّد بن عبد القادر قرن 12 ه-</w:t>
      </w:r>
      <w:bookmarkEnd w:id="3872"/>
    </w:p>
    <w:p>
      <w:pPr>
        <w:pStyle w:val="BookText"/>
      </w:pPr>
      <w:r>
        <w:rPr>
          <w:rFonts w:ascii="Amiri" w:hAnsi="Amiri" w:eastAsia="Amiri" w:cs="Amiri"/>
          <w:lang w:bidi="ar-SA"/>
          <w:color w:val="111111"/>
          <w:sz w:val="28"/>
          <w:szCs w:val="28"/>
          <w:rtl/>
        </w:rPr>
        <w:t xml:space="preserve">سلسلة الأنوار و زين الأخبار في الصلاة</w:t>
      </w:r>
    </w:p>
    <w:p>
      <w:pPr>
        <w:pStyle w:val="BookText"/>
      </w:pPr>
      <w:r>
        <w:rPr>
          <w:rFonts w:ascii="Amiri" w:hAnsi="Amiri" w:eastAsia="Amiri" w:cs="Amiri"/>
          <w:lang w:bidi="ar-SA"/>
          <w:color w:val="111111"/>
          <w:sz w:val="28"/>
          <w:szCs w:val="28"/>
          <w:rtl/>
        </w:rPr>
        <w:t xml:space="preserve">و التسليم على النبي المختار، ج8،</w:t>
      </w:r>
    </w:p>
    <w:p>
      <w:pPr>
        <w:pStyle w:val="BookText"/>
      </w:pPr>
      <w:r>
        <w:rPr>
          <w:rFonts w:ascii="IRNazanin" w:hAnsi="IRNazanin" w:eastAsia="IRNazanin" w:cs="IRNazanin"/>
          <w:lang w:bidi="fa-IR"/>
          <w:color w:val="111111"/>
          <w:sz w:val="28"/>
          <w:szCs w:val="28"/>
          <w:rtl/>
        </w:rPr>
        <w:t xml:space="preserve">ص 802.</w:t>
      </w:r>
    </w:p>
    <w:p>
      <w:pPr>
        <w:pStyle w:val="BookText"/>
      </w:pPr>
      <w:r>
        <w:rPr>
          <w:rFonts w:ascii="Amiri" w:hAnsi="Amiri" w:eastAsia="Amiri" w:cs="Amiri"/>
          <w:lang w:bidi="ar-SA"/>
          <w:color w:val="111111"/>
          <w:sz w:val="28"/>
          <w:szCs w:val="28"/>
          <w:rtl/>
        </w:rPr>
        <w:t xml:space="preserve">حلبي ، محمّد بن عبدالله- ابن زهره ، محمّد بن عبدالله</w:t>
      </w:r>
    </w:p>
    <w:p>
      <w:pPr>
        <w:pStyle w:val="BookText"/>
      </w:pPr>
      <w:r>
        <w:rPr>
          <w:rFonts w:ascii="Amiri" w:hAnsi="Amiri" w:eastAsia="Amiri" w:cs="Amiri"/>
          <w:lang w:bidi="ar-SA"/>
          <w:color w:val="111111"/>
          <w:sz w:val="28"/>
          <w:szCs w:val="28"/>
          <w:rtl/>
        </w:rPr>
        <w:t xml:space="preserve">حلبي ، محمّد بن علي -انطاكي ، محمّد بن علي</w:t>
      </w:r>
    </w:p>
    <w:p>
      <w:pPr>
        <w:pStyle w:val="Heading2"/>
      </w:pPr>
      <w:bookmarkStart w:id="3873" w:name="_Toc2975"/>
      <w:r>
        <w:t>حلبي ، محمّد بن عمر - 850 ه-</w:t>
      </w:r>
      <w:bookmarkEnd w:id="3873"/>
    </w:p>
    <w:p>
      <w:pPr>
        <w:pStyle w:val="BookText"/>
      </w:pPr>
      <w:r>
        <w:rPr>
          <w:rFonts w:ascii="Amiri" w:hAnsi="Amiri" w:eastAsia="Amiri" w:cs="Amiri"/>
          <w:lang w:bidi="ar-SA"/>
          <w:color w:val="111111"/>
          <w:sz w:val="28"/>
          <w:szCs w:val="28"/>
          <w:rtl/>
        </w:rPr>
        <w:t xml:space="preserve">1 .حاشية المطول، ج 6، ص 376.</w:t>
      </w:r>
    </w:p>
    <w:p>
      <w:pPr>
        <w:pStyle w:val="BookText"/>
      </w:pPr>
      <w:r>
        <w:rPr>
          <w:rFonts w:ascii="Amiri" w:hAnsi="Amiri" w:eastAsia="Amiri" w:cs="Amiri"/>
          <w:lang w:bidi="ar-SA"/>
          <w:color w:val="111111"/>
          <w:sz w:val="28"/>
          <w:szCs w:val="28"/>
          <w:rtl/>
        </w:rPr>
        <w:t xml:space="preserve">2 .حاشية شرح التصريف العزي، ج 6،</w:t>
      </w:r>
    </w:p>
    <w:p>
      <w:pPr>
        <w:pStyle w:val="BookText"/>
      </w:pPr>
      <w:r>
        <w:rPr>
          <w:rFonts w:ascii="IRNazanin" w:hAnsi="IRNazanin" w:eastAsia="IRNazanin" w:cs="IRNazanin"/>
          <w:lang w:bidi="fa-IR"/>
          <w:color w:val="111111"/>
          <w:sz w:val="28"/>
          <w:szCs w:val="28"/>
          <w:rtl/>
        </w:rPr>
        <w:t xml:space="preserve">ص 67 .</w:t>
      </w:r>
    </w:p>
    <w:p>
      <w:pPr>
        <w:pStyle w:val="BookText"/>
      </w:pPr>
      <w:r>
        <w:rPr>
          <w:rFonts w:ascii="Amiri" w:hAnsi="Amiri" w:eastAsia="Amiri" w:cs="Amiri"/>
          <w:lang w:bidi="ar-SA"/>
          <w:color w:val="111111"/>
          <w:sz w:val="28"/>
          <w:szCs w:val="28"/>
          <w:rtl/>
        </w:rPr>
        <w:t xml:space="preserve">3 .شرح كنز الدقائق، ج 10، ص 65.</w:t>
      </w:r>
    </w:p>
    <w:p>
      <w:pPr>
        <w:pStyle w:val="BookText"/>
      </w:pPr>
      <w:r>
        <w:rPr>
          <w:rFonts w:ascii="Amiri" w:hAnsi="Amiri" w:eastAsia="Amiri" w:cs="Amiri"/>
          <w:lang w:bidi="ar-SA"/>
          <w:color w:val="111111"/>
          <w:sz w:val="28"/>
          <w:szCs w:val="28"/>
          <w:rtl/>
        </w:rPr>
        <w:t xml:space="preserve">4 .كشف الوافية في شرح الكافية</w:t>
      </w:r>
    </w:p>
    <w:p>
      <w:pPr>
        <w:pStyle w:val="BookText"/>
      </w:pPr>
      <w:r>
        <w:rPr>
          <w:rFonts w:ascii="IRNazanin" w:hAnsi="IRNazanin" w:eastAsia="IRNazanin" w:cs="IRNazanin"/>
          <w:lang w:bidi="fa-IR"/>
          <w:color w:val="111111"/>
          <w:sz w:val="28"/>
          <w:szCs w:val="28"/>
          <w:rtl/>
        </w:rPr>
        <w:t xml:space="preserve">ج 13، ص 275.</w:t>
      </w:r>
    </w:p>
    <w:p>
      <w:pPr>
        <w:pStyle w:val="BookText"/>
      </w:pPr>
      <w:r>
        <w:rPr>
          <w:rFonts w:ascii="Amiri" w:hAnsi="Amiri" w:eastAsia="Amiri" w:cs="Amiri"/>
          <w:lang w:bidi="ar-SA"/>
          <w:color w:val="111111"/>
          <w:sz w:val="28"/>
          <w:szCs w:val="28"/>
          <w:rtl/>
        </w:rPr>
        <w:t xml:space="preserve">حلبي ، محمّد بن محمّد- بخشي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حلبي ، محمّد بن يحيى -ابن عباده محمّد بن يحيى</w:t>
      </w:r>
    </w:p>
    <w:p>
      <w:pPr>
        <w:pStyle w:val="BookText"/>
      </w:pPr>
      <w:r>
        <w:rPr>
          <w:rFonts w:ascii="Amiri" w:hAnsi="Amiri" w:eastAsia="Amiri" w:cs="Amiri"/>
          <w:lang w:bidi="ar-SA"/>
          <w:color w:val="111111"/>
          <w:sz w:val="28"/>
          <w:szCs w:val="28"/>
          <w:rtl/>
        </w:rPr>
        <w:t xml:space="preserve">حلبي، محمّد رضي بن ابراهيم- ابن حنبلي، محمّد بن ابراهيم</w:t>
      </w:r>
    </w:p>
    <w:p>
      <w:pPr>
        <w:pStyle w:val="Heading2"/>
      </w:pPr>
      <w:bookmarkStart w:id="3874" w:name="_Toc2976"/>
      <w:r>
        <w:t>حلبي مدرس ، قاسم</w:t>
      </w:r>
      <w:bookmarkEnd w:id="3874"/>
    </w:p>
    <w:p>
      <w:pPr>
        <w:pStyle w:val="BookText"/>
      </w:pPr>
      <w:r>
        <w:rPr>
          <w:rFonts w:ascii="IRNazanin" w:hAnsi="IRNazanin" w:eastAsia="IRNazanin" w:cs="IRNazanin"/>
          <w:lang w:bidi="fa-IR"/>
          <w:color w:val="111111"/>
          <w:sz w:val="28"/>
          <w:szCs w:val="28"/>
          <w:rtl/>
        </w:rPr>
        <w:t xml:space="preserve">الآداب و الاخلاق، ج 1، ص 63.</w:t>
      </w:r>
    </w:p>
    <w:p>
      <w:pPr>
        <w:pStyle w:val="BookText"/>
      </w:pPr>
      <w:r>
        <w:rPr>
          <w:rFonts w:ascii="Amiri" w:hAnsi="Amiri" w:eastAsia="Amiri" w:cs="Amiri"/>
          <w:lang w:bidi="ar-SA"/>
          <w:color w:val="111111"/>
          <w:sz w:val="28"/>
          <w:szCs w:val="28"/>
          <w:rtl/>
        </w:rPr>
        <w:t xml:space="preserve">حلبي مصري ، عبدالغني -مصري حلبي</w:t>
      </w:r>
    </w:p>
    <w:p>
      <w:pPr>
        <w:pStyle w:val="BookText"/>
      </w:pPr>
      <w:r>
        <w:rPr>
          <w:rFonts w:ascii="Amiri" w:hAnsi="Amiri" w:eastAsia="Amiri" w:cs="Amiri"/>
          <w:lang w:bidi="ar-SA"/>
          <w:color w:val="111111"/>
          <w:sz w:val="28"/>
          <w:szCs w:val="28"/>
          <w:rtl/>
        </w:rPr>
        <w:t xml:space="preserve">عبد الغني</w:t>
      </w:r>
    </w:p>
    <w:p>
      <w:pPr>
        <w:pStyle w:val="BookText"/>
      </w:pPr>
      <w:r>
        <w:rPr>
          <w:rFonts w:ascii="Amiri" w:hAnsi="Amiri" w:eastAsia="Amiri" w:cs="Amiri"/>
          <w:lang w:bidi="ar-SA"/>
          <w:color w:val="111111"/>
          <w:sz w:val="28"/>
          <w:szCs w:val="28"/>
          <w:rtl/>
        </w:rPr>
        <w:t xml:space="preserve">حلبي، مصطفى- باني حلبي ، مصطفى</w:t>
      </w:r>
    </w:p>
    <w:p>
      <w:pPr>
        <w:pStyle w:val="BookText"/>
      </w:pPr>
      <w:r>
        <w:rPr>
          <w:rFonts w:ascii="Amiri" w:hAnsi="Amiri" w:eastAsia="Amiri" w:cs="Amiri"/>
          <w:lang w:bidi="ar-SA"/>
          <w:color w:val="111111"/>
          <w:sz w:val="28"/>
          <w:szCs w:val="28"/>
          <w:rtl/>
        </w:rPr>
        <w:t xml:space="preserve">حلبي، مطران بن فرحات- فرحات ،</w:t>
      </w:r>
    </w:p>
    <w:p>
      <w:pPr>
        <w:pStyle w:val="BookText"/>
      </w:pPr>
      <w:r>
        <w:rPr>
          <w:rFonts w:ascii="IRNazanin" w:hAnsi="IRNazanin" w:eastAsia="IRNazanin" w:cs="IRNazanin"/>
          <w:lang w:bidi="fa-IR"/>
          <w:color w:val="111111"/>
          <w:sz w:val="28"/>
          <w:szCs w:val="28"/>
          <w:rtl/>
        </w:rPr>
        <w:t xml:space="preserve">جرمانوس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1" w:name="pg7742_70234"/>
    <w:bookmarkEnd w:id="421"/>
    <w:p>
      <w:pPr>
        <w:pStyle w:val="Heading2"/>
      </w:pPr>
      <w:bookmarkStart w:id="3875" w:name="_Toc2977"/>
      <w:r>
        <w:t>حلبي ، مكاريوس بن زعيم - 1672 م</w:t>
      </w:r>
      <w:bookmarkEnd w:id="3875"/>
    </w:p>
    <w:p>
      <w:pPr>
        <w:pStyle w:val="BookText"/>
      </w:pPr>
      <w:r>
        <w:rPr>
          <w:rFonts w:ascii="Amiri" w:hAnsi="Amiri" w:eastAsia="Amiri" w:cs="Amiri"/>
          <w:lang w:bidi="ar-SA"/>
          <w:color w:val="111111"/>
          <w:sz w:val="28"/>
          <w:szCs w:val="28"/>
          <w:rtl/>
        </w:rPr>
        <w:t xml:space="preserve">الدر المنظوم في اخبار ملوك الروم</w:t>
      </w:r>
    </w:p>
    <w:p>
      <w:pPr>
        <w:pStyle w:val="BookText"/>
      </w:pPr>
      <w:r>
        <w:rPr>
          <w:rFonts w:ascii="IRNazanin" w:hAnsi="IRNazanin" w:eastAsia="IRNazanin" w:cs="IRNazanin"/>
          <w:lang w:bidi="fa-IR"/>
          <w:color w:val="111111"/>
          <w:sz w:val="28"/>
          <w:szCs w:val="28"/>
          <w:rtl/>
        </w:rPr>
        <w:t xml:space="preserve">ج 7، ص 352.</w:t>
      </w:r>
    </w:p>
    <w:p>
      <w:pPr>
        <w:pStyle w:val="BookText"/>
      </w:pPr>
      <w:r>
        <w:rPr>
          <w:rFonts w:ascii="Amiri" w:hAnsi="Amiri" w:eastAsia="Amiri" w:cs="Amiri"/>
          <w:lang w:bidi="ar-SA"/>
          <w:color w:val="111111"/>
          <w:sz w:val="28"/>
          <w:szCs w:val="28"/>
          <w:rtl/>
        </w:rPr>
        <w:t xml:space="preserve">حلبي ، ملا ابراهيم -كردي ، ملا ابراهيم</w:t>
      </w:r>
    </w:p>
    <w:p>
      <w:pPr>
        <w:pStyle w:val="BookText"/>
      </w:pPr>
      <w:r>
        <w:rPr>
          <w:rFonts w:ascii="Amiri" w:hAnsi="Amiri" w:eastAsia="Amiri" w:cs="Amiri"/>
          <w:lang w:bidi="ar-SA"/>
          <w:color w:val="111111"/>
          <w:sz w:val="28"/>
          <w:szCs w:val="28"/>
          <w:rtl/>
        </w:rPr>
        <w:t xml:space="preserve">حلبي ، نقولاوس- ابن صائغ ، نقولا</w:t>
      </w:r>
    </w:p>
    <w:p>
      <w:pPr>
        <w:pStyle w:val="BookText"/>
      </w:pPr>
      <w:r>
        <w:rPr>
          <w:rFonts w:ascii="Amiri" w:hAnsi="Amiri" w:eastAsia="Amiri" w:cs="Amiri"/>
          <w:lang w:bidi="ar-SA"/>
          <w:color w:val="111111"/>
          <w:sz w:val="28"/>
          <w:szCs w:val="28"/>
          <w:rtl/>
        </w:rPr>
        <w:t xml:space="preserve">حلبي ، يحيى بن تقي الدين -فرضي</w:t>
      </w:r>
    </w:p>
    <w:p>
      <w:pPr>
        <w:pStyle w:val="BookText"/>
      </w:pPr>
      <w:r>
        <w:rPr>
          <w:rFonts w:ascii="Amiri" w:hAnsi="Amiri" w:eastAsia="Amiri" w:cs="Amiri"/>
          <w:lang w:bidi="ar-SA"/>
          <w:color w:val="111111"/>
          <w:sz w:val="28"/>
          <w:szCs w:val="28"/>
          <w:rtl/>
        </w:rPr>
        <w:t xml:space="preserve">يحيى بن تقي الدين</w:t>
      </w:r>
    </w:p>
    <w:p>
      <w:pPr>
        <w:pStyle w:val="BookText"/>
      </w:pPr>
      <w:r>
        <w:rPr>
          <w:rFonts w:ascii="Amiri" w:hAnsi="Amiri" w:eastAsia="Amiri" w:cs="Amiri"/>
          <w:lang w:bidi="ar-SA"/>
          <w:color w:val="111111"/>
          <w:sz w:val="28"/>
          <w:szCs w:val="28"/>
          <w:rtl/>
        </w:rPr>
        <w:t xml:space="preserve">حلبي ، يحيى بن حميده- ابن ابي طي ،</w:t>
      </w:r>
    </w:p>
    <w:p>
      <w:pPr>
        <w:pStyle w:val="BookText"/>
      </w:pPr>
      <w:r>
        <w:rPr>
          <w:rFonts w:ascii="IRNazanin" w:hAnsi="IRNazanin" w:eastAsia="IRNazanin" w:cs="IRNazanin"/>
          <w:lang w:bidi="fa-IR"/>
          <w:color w:val="111111"/>
          <w:sz w:val="28"/>
          <w:szCs w:val="28"/>
          <w:rtl/>
        </w:rPr>
        <w:t xml:space="preserve">يحيى بن حمیده</w:t>
      </w:r>
    </w:p>
    <w:p>
      <w:pPr>
        <w:pStyle w:val="BookText"/>
      </w:pPr>
      <w:r>
        <w:rPr>
          <w:rFonts w:ascii="Amiri" w:hAnsi="Amiri" w:eastAsia="Amiri" w:cs="Amiri"/>
          <w:lang w:bidi="ar-SA"/>
          <w:color w:val="111111"/>
          <w:sz w:val="28"/>
          <w:szCs w:val="28"/>
          <w:rtl/>
        </w:rPr>
        <w:t xml:space="preserve">حلبي ، يوسف بن حسن- انطاكي ، يوسف</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حلبي ، يوسف بن عمر- ليا حلبي،</w:t>
      </w:r>
    </w:p>
    <w:p>
      <w:pPr>
        <w:pStyle w:val="BookText"/>
      </w:pPr>
      <w:r>
        <w:rPr>
          <w:rFonts w:ascii="Amiri" w:hAnsi="Amiri" w:eastAsia="Amiri" w:cs="Amiri"/>
          <w:lang w:bidi="ar-SA"/>
          <w:color w:val="111111"/>
          <w:sz w:val="28"/>
          <w:szCs w:val="28"/>
          <w:rtl/>
        </w:rPr>
        <w:t xml:space="preserve">يوسف بن عمر</w:t>
      </w:r>
    </w:p>
    <w:p>
      <w:pPr>
        <w:pStyle w:val="BookText"/>
      </w:pPr>
      <w:r>
        <w:rPr>
          <w:rFonts w:ascii="Amiri" w:hAnsi="Amiri" w:eastAsia="Amiri" w:cs="Amiri"/>
          <w:lang w:bidi="ar-SA"/>
          <w:color w:val="111111"/>
          <w:sz w:val="28"/>
          <w:szCs w:val="28"/>
          <w:rtl/>
        </w:rPr>
        <w:t xml:space="preserve">حلمي اسكداري ، اسعد بن ابي</w:t>
      </w:r>
    </w:p>
    <w:p>
      <w:pPr>
        <w:pStyle w:val="BookText"/>
      </w:pPr>
      <w:r>
        <w:rPr>
          <w:rFonts w:ascii="Amiri" w:hAnsi="Amiri" w:eastAsia="Amiri" w:cs="Amiri"/>
          <w:lang w:bidi="ar-SA"/>
          <w:color w:val="111111"/>
          <w:sz w:val="28"/>
          <w:szCs w:val="28"/>
          <w:rtl/>
        </w:rPr>
        <w:t xml:space="preserve">بكر -اسكداري ، اسعد بن ابي بكر</w:t>
      </w:r>
    </w:p>
    <w:p>
      <w:pPr>
        <w:pStyle w:val="BookText"/>
      </w:pPr>
      <w:r>
        <w:rPr>
          <w:rFonts w:ascii="Amiri" w:hAnsi="Amiri" w:eastAsia="Amiri" w:cs="Amiri"/>
          <w:lang w:bidi="ar-SA"/>
          <w:color w:val="111111"/>
          <w:sz w:val="28"/>
          <w:szCs w:val="28"/>
          <w:rtl/>
        </w:rPr>
        <w:t xml:space="preserve">حلمي ، عبد الرحمن بن محمّد- سهروردي</w:t>
      </w:r>
    </w:p>
    <w:p>
      <w:pPr>
        <w:pStyle w:val="BookText"/>
      </w:pPr>
      <w:r>
        <w:rPr>
          <w:rFonts w:ascii="IRNazanin" w:hAnsi="IRNazanin" w:eastAsia="IRNazanin" w:cs="IRNazanin"/>
          <w:lang w:bidi="fa-IR"/>
          <w:color w:val="111111"/>
          <w:sz w:val="28"/>
          <w:szCs w:val="28"/>
          <w:rtl/>
        </w:rPr>
        <w:t xml:space="preserve">، عبدالرحمن بن محمّد</w:t>
      </w:r>
    </w:p>
    <w:p>
      <w:pPr>
        <w:pStyle w:val="BookText"/>
      </w:pPr>
      <w:r>
        <w:rPr>
          <w:rFonts w:ascii="Amiri" w:hAnsi="Amiri" w:eastAsia="Amiri" w:cs="Amiri"/>
          <w:lang w:bidi="ar-SA"/>
          <w:color w:val="111111"/>
          <w:sz w:val="28"/>
          <w:szCs w:val="28"/>
          <w:rtl/>
        </w:rPr>
        <w:t xml:space="preserve">حلواني ، حسين بن محمّد- حلواني ، حسين ،</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حلوائي ، علي بن منصور -حلواني ، محمود</w:t>
      </w:r>
    </w:p>
    <w:p>
      <w:pPr>
        <w:pStyle w:val="BookText"/>
      </w:pPr>
      <w:r>
        <w:rPr>
          <w:rFonts w:ascii="Amiri" w:hAnsi="Amiri" w:eastAsia="Amiri" w:cs="Amiri"/>
          <w:lang w:bidi="ar-SA"/>
          <w:color w:val="111111"/>
          <w:sz w:val="28"/>
          <w:szCs w:val="28"/>
          <w:rtl/>
        </w:rPr>
        <w:t xml:space="preserve">علي بن منصور</w:t>
      </w:r>
    </w:p>
    <w:p>
      <w:pPr>
        <w:pStyle w:val="BookText"/>
      </w:pPr>
      <w:r>
        <w:rPr>
          <w:rFonts w:ascii="Amiri" w:hAnsi="Amiri" w:eastAsia="Amiri" w:cs="Amiri"/>
          <w:lang w:bidi="ar-SA"/>
          <w:color w:val="111111"/>
          <w:sz w:val="28"/>
          <w:szCs w:val="28"/>
          <w:rtl/>
        </w:rPr>
        <w:t xml:space="preserve">حلوائي ، محمّد بن يوسف -تبريزي حلوائي</w:t>
      </w:r>
    </w:p>
    <w:p>
      <w:pPr>
        <w:pStyle w:val="BookText"/>
      </w:pPr>
      <w:r>
        <w:rPr>
          <w:rFonts w:ascii="Amiri" w:hAnsi="Amiri" w:eastAsia="Amiri" w:cs="Amiri"/>
          <w:lang w:bidi="ar-SA"/>
          <w:color w:val="111111"/>
          <w:sz w:val="28"/>
          <w:szCs w:val="28"/>
          <w:rtl/>
        </w:rPr>
        <w:t xml:space="preserve">، محمّد بن يوسف</w:t>
      </w:r>
    </w:p>
    <w:p>
      <w:pPr>
        <w:pStyle w:val="BookText"/>
      </w:pPr>
      <w:r>
        <w:rPr>
          <w:rFonts w:ascii="Amiri" w:hAnsi="Amiri" w:eastAsia="Amiri" w:cs="Amiri"/>
          <w:lang w:bidi="ar-SA"/>
          <w:color w:val="111111"/>
          <w:sz w:val="28"/>
          <w:szCs w:val="28"/>
          <w:rtl/>
        </w:rPr>
        <w:t xml:space="preserve">حلوائي ، محمود علي بن منصور -حلواني</w:t>
      </w:r>
    </w:p>
    <w:p>
      <w:pPr>
        <w:pStyle w:val="BookText"/>
      </w:pPr>
      <w:r>
        <w:rPr>
          <w:rFonts w:ascii="Amiri" w:hAnsi="Amiri" w:eastAsia="Amiri" w:cs="Amiri"/>
          <w:lang w:bidi="ar-SA"/>
          <w:color w:val="111111"/>
          <w:sz w:val="28"/>
          <w:szCs w:val="28"/>
          <w:rtl/>
        </w:rPr>
        <w:t xml:space="preserve">محمود علي بن منصور</w:t>
      </w:r>
    </w:p>
    <w:p>
      <w:pPr>
        <w:pStyle w:val="Heading2"/>
      </w:pPr>
      <w:bookmarkStart w:id="3876" w:name="_Toc2978"/>
      <w:r>
        <w:t>حلواني ، امين بن حسن - 1316 ه-</w:t>
      </w:r>
      <w:bookmarkEnd w:id="3876"/>
    </w:p>
    <w:p>
      <w:pPr>
        <w:pStyle w:val="BookText"/>
      </w:pPr>
      <w:r>
        <w:rPr>
          <w:rFonts w:ascii="Amiri" w:hAnsi="Amiri" w:eastAsia="Amiri" w:cs="Amiri"/>
          <w:lang w:bidi="ar-SA"/>
          <w:color w:val="111111"/>
          <w:sz w:val="28"/>
          <w:szCs w:val="28"/>
          <w:rtl/>
        </w:rPr>
        <w:t xml:space="preserve">1 .جني النحلة في كيفية غرس النخلة</w:t>
      </w:r>
    </w:p>
    <w:p>
      <w:pPr>
        <w:pStyle w:val="BookText"/>
      </w:pPr>
      <w:r>
        <w:rPr>
          <w:rFonts w:ascii="IRNazanin" w:hAnsi="IRNazanin" w:eastAsia="IRNazanin" w:cs="IRNazanin"/>
          <w:lang w:bidi="fa-IR"/>
          <w:color w:val="111111"/>
          <w:sz w:val="28"/>
          <w:szCs w:val="28"/>
          <w:rtl/>
        </w:rPr>
        <w:t xml:space="preserve">ج 5، ص 475.</w:t>
      </w:r>
    </w:p>
    <w:p>
      <w:pPr>
        <w:pStyle w:val="BookText"/>
      </w:pPr>
      <w:r>
        <w:rPr>
          <w:rFonts w:ascii="Amiri" w:hAnsi="Amiri" w:eastAsia="Amiri" w:cs="Amiri"/>
          <w:lang w:bidi="ar-SA"/>
          <w:color w:val="111111"/>
          <w:sz w:val="28"/>
          <w:szCs w:val="28"/>
          <w:rtl/>
        </w:rPr>
        <w:t xml:space="preserve">2 .مطالع السعود في اخبار الوزير داود</w:t>
      </w:r>
    </w:p>
    <w:p>
      <w:pPr>
        <w:pStyle w:val="BookText"/>
      </w:pPr>
      <w:r>
        <w:rPr>
          <w:rFonts w:ascii="IRNazanin" w:hAnsi="IRNazanin" w:eastAsia="IRNazanin" w:cs="IRNazanin"/>
          <w:lang w:bidi="fa-IR"/>
          <w:color w:val="111111"/>
          <w:sz w:val="28"/>
          <w:szCs w:val="28"/>
          <w:rtl/>
        </w:rPr>
        <w:t xml:space="preserve">(مختصر)، ج 14 ، ص778.</w:t>
      </w:r>
    </w:p>
    <w:p>
      <w:pPr>
        <w:pStyle w:val="Heading2"/>
      </w:pPr>
      <w:bookmarkStart w:id="3877" w:name="_Toc2979"/>
      <w:r>
        <w:t>حلواني ، حسين بن محمّد قرن 5 ه-</w:t>
      </w:r>
      <w:bookmarkEnd w:id="3877"/>
    </w:p>
    <w:p>
      <w:pPr>
        <w:pStyle w:val="BookText"/>
      </w:pPr>
      <w:r>
        <w:rPr>
          <w:rFonts w:ascii="IRNazanin" w:hAnsi="IRNazanin" w:eastAsia="IRNazanin" w:cs="IRNazanin"/>
          <w:lang w:bidi="fa-IR"/>
          <w:color w:val="111111"/>
          <w:sz w:val="28"/>
          <w:szCs w:val="28"/>
          <w:rtl/>
        </w:rPr>
        <w:t xml:space="preserve">نزهة الناظر و تنبیه الخاطر، ج 16،</w:t>
      </w:r>
    </w:p>
    <w:p>
      <w:pPr>
        <w:pStyle w:val="BookText"/>
      </w:pPr>
      <w:r>
        <w:rPr>
          <w:rFonts w:ascii="IRNazanin" w:hAnsi="IRNazanin" w:eastAsia="IRNazanin" w:cs="IRNazanin"/>
          <w:lang w:bidi="fa-IR"/>
          <w:color w:val="111111"/>
          <w:sz w:val="28"/>
          <w:szCs w:val="28"/>
          <w:rtl/>
        </w:rPr>
        <w:t xml:space="preserve">ص 249.</w:t>
      </w:r>
    </w:p>
    <w:p>
      <w:pPr>
        <w:pStyle w:val="Heading2"/>
      </w:pPr>
      <w:bookmarkStart w:id="3878" w:name="_Toc2980"/>
      <w:r>
        <w:t>حلواني، شمس الدين بن عزالدين</w:t>
      </w:r>
      <w:bookmarkEnd w:id="3878"/>
    </w:p>
    <w:p>
      <w:pPr>
        <w:pStyle w:val="BookText"/>
      </w:pPr>
      <w:r>
        <w:rPr>
          <w:rFonts w:ascii="Amiri" w:hAnsi="Amiri" w:eastAsia="Amiri" w:cs="Amiri"/>
          <w:lang w:bidi="ar-SA"/>
          <w:color w:val="111111"/>
          <w:sz w:val="28"/>
          <w:szCs w:val="28"/>
          <w:rtl/>
        </w:rPr>
        <w:t xml:space="preserve">مرآة العارفين، ج 14، ص 355.</w:t>
      </w:r>
    </w:p>
    <w:p>
      <w:pPr>
        <w:pStyle w:val="Heading2"/>
      </w:pPr>
      <w:bookmarkStart w:id="3879" w:name="_Toc2981"/>
      <w:r>
        <w:t>حلواني ، علي بن محمّد - 493 ه-</w:t>
      </w:r>
      <w:bookmarkEnd w:id="3879"/>
    </w:p>
    <w:p>
      <w:pPr>
        <w:pStyle w:val="BookText"/>
      </w:pPr>
      <w:r>
        <w:rPr>
          <w:rFonts w:ascii="Amiri" w:hAnsi="Amiri" w:eastAsia="Amiri" w:cs="Amiri"/>
          <w:lang w:bidi="ar-SA"/>
          <w:color w:val="111111"/>
          <w:sz w:val="28"/>
          <w:szCs w:val="28"/>
          <w:rtl/>
        </w:rPr>
        <w:t xml:space="preserve">ما يكتب في المصاحف، ج13، ص 695.</w:t>
      </w:r>
    </w:p>
    <w:p>
      <w:pPr>
        <w:pStyle w:val="Heading2"/>
      </w:pPr>
      <w:bookmarkStart w:id="3880" w:name="_Toc2982"/>
      <w:r>
        <w:t>حلواني ، علي بن منصور قرن 8 ه-</w:t>
      </w:r>
      <w:bookmarkEnd w:id="3880"/>
    </w:p>
    <w:p>
      <w:pPr>
        <w:pStyle w:val="BookText"/>
      </w:pPr>
      <w:r>
        <w:rPr>
          <w:rFonts w:ascii="IRNazanin" w:hAnsi="IRNazanin" w:eastAsia="IRNazanin" w:cs="IRNazanin"/>
          <w:lang w:bidi="fa-IR"/>
          <w:color w:val="111111"/>
          <w:sz w:val="28"/>
          <w:szCs w:val="28"/>
          <w:rtl/>
        </w:rPr>
        <w:t xml:space="preserve">شکارنامه ايلخاني، ج10، ص399.</w:t>
      </w:r>
    </w:p>
    <w:p>
      <w:pPr>
        <w:pStyle w:val="BookText"/>
      </w:pPr>
      <w:r>
        <w:rPr>
          <w:rFonts w:ascii="Amiri" w:hAnsi="Amiri" w:eastAsia="Amiri" w:cs="Amiri"/>
          <w:lang w:bidi="ar-SA"/>
          <w:color w:val="111111"/>
          <w:sz w:val="28"/>
          <w:szCs w:val="28"/>
          <w:rtl/>
        </w:rPr>
        <w:t xml:space="preserve">حلوي ، محمّد بن علي- ابن حمدان</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حلي ، ابراهيم بن سليمان- قطيفي بحراني ابراهيم بن سليمان</w:t>
      </w:r>
    </w:p>
    <w:p>
      <w:pPr>
        <w:pStyle w:val="BookText"/>
      </w:pPr>
      <w:r>
        <w:rPr>
          <w:rFonts w:ascii="Amiri" w:hAnsi="Amiri" w:eastAsia="Amiri" w:cs="Amiri"/>
          <w:lang w:bidi="ar-SA"/>
          <w:color w:val="111111"/>
          <w:sz w:val="28"/>
          <w:szCs w:val="28"/>
          <w:rtl/>
        </w:rPr>
        <w:t xml:space="preserve">حلي، احمد بن حسن -نحوي ، احمد بن حسن</w:t>
      </w:r>
    </w:p>
    <w:p>
      <w:pPr>
        <w:pStyle w:val="BookText"/>
      </w:pPr>
      <w:r>
        <w:rPr>
          <w:rFonts w:ascii="Amiri" w:hAnsi="Amiri" w:eastAsia="Amiri" w:cs="Amiri"/>
          <w:lang w:bidi="ar-SA"/>
          <w:color w:val="111111"/>
          <w:sz w:val="28"/>
          <w:szCs w:val="28"/>
          <w:rtl/>
        </w:rPr>
        <w:t xml:space="preserve">حلي ، احمد بن محمّد- ابن فهد حلي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IRNazanin" w:hAnsi="IRNazanin" w:eastAsia="IRNazanin" w:cs="IRNazanin"/>
          <w:lang w:bidi="fa-IR"/>
          <w:color w:val="111111"/>
          <w:sz w:val="28"/>
          <w:szCs w:val="28"/>
          <w:rtl/>
        </w:rPr>
        <w:t xml:space="preserve">حلي ، احمد بن موسی -ابن طاوس ،</w:t>
      </w:r>
    </w:p>
    <w:p>
      <w:pPr>
        <w:pStyle w:val="BookText"/>
      </w:pPr>
      <w:r>
        <w:rPr>
          <w:rFonts w:ascii="IRNazanin" w:hAnsi="IRNazanin" w:eastAsia="IRNazanin" w:cs="IRNazanin"/>
          <w:lang w:bidi="fa-IR"/>
          <w:color w:val="111111"/>
          <w:sz w:val="28"/>
          <w:szCs w:val="28"/>
          <w:rtl/>
        </w:rPr>
        <w:t xml:space="preserve">احمد بن موسى</w:t>
      </w:r>
    </w:p>
    <w:p>
      <w:pPr>
        <w:pStyle w:val="BookText"/>
      </w:pPr>
      <w:r>
        <w:rPr>
          <w:rFonts w:ascii="Amiri" w:hAnsi="Amiri" w:eastAsia="Amiri" w:cs="Amiri"/>
          <w:lang w:bidi="ar-SA"/>
          <w:color w:val="111111"/>
          <w:sz w:val="28"/>
          <w:szCs w:val="28"/>
          <w:rtl/>
        </w:rPr>
        <w:t xml:space="preserve">حلي ، اسعد بن ابراهيم -اربلي ، اسعد بن</w:t>
      </w:r>
    </w:p>
    <w:p>
      <w:pPr>
        <w:pStyle w:val="BookText"/>
      </w:pPr>
      <w:r>
        <w:rPr>
          <w:rFonts w:ascii="IRNazanin" w:hAnsi="IRNazanin" w:eastAsia="IRNazanin" w:cs="IRNazanin"/>
          <w:lang w:bidi="fa-IR"/>
          <w:color w:val="111111"/>
          <w:sz w:val="28"/>
          <w:szCs w:val="28"/>
          <w:rtl/>
        </w:rPr>
        <w:t xml:space="preserve">ابراهیم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2" w:name="pg7742_70236"/>
    <w:bookmarkEnd w:id="422"/>
    <w:p>
      <w:pPr>
        <w:pStyle w:val="BookText"/>
      </w:pPr>
      <w:r>
        <w:rPr>
          <w:rFonts w:ascii="Amiri" w:hAnsi="Amiri" w:eastAsia="Amiri" w:cs="Amiri"/>
          <w:lang w:bidi="ar-SA"/>
          <w:color w:val="111111"/>
          <w:sz w:val="28"/>
          <w:szCs w:val="28"/>
          <w:rtl/>
        </w:rPr>
        <w:t xml:space="preserve">حلي ، امام حبيب -ابن حبيب ، حسن بن عمر</w:t>
      </w:r>
    </w:p>
    <w:p>
      <w:pPr>
        <w:pStyle w:val="BookText"/>
      </w:pPr>
      <w:r>
        <w:rPr>
          <w:rFonts w:ascii="Amiri" w:hAnsi="Amiri" w:eastAsia="Amiri" w:cs="Amiri"/>
          <w:lang w:bidi="ar-SA"/>
          <w:color w:val="111111"/>
          <w:sz w:val="28"/>
          <w:szCs w:val="28"/>
          <w:rtl/>
        </w:rPr>
        <w:t xml:space="preserve">حلي ، تقي الدين حسن بن علي- ابن</w:t>
      </w:r>
    </w:p>
    <w:p>
      <w:pPr>
        <w:pStyle w:val="BookText"/>
      </w:pPr>
      <w:r>
        <w:rPr>
          <w:rFonts w:ascii="Amiri" w:hAnsi="Amiri" w:eastAsia="Amiri" w:cs="Amiri"/>
          <w:lang w:bidi="ar-SA"/>
          <w:color w:val="111111"/>
          <w:sz w:val="28"/>
          <w:szCs w:val="28"/>
          <w:rtl/>
        </w:rPr>
        <w:t xml:space="preserve">داود حلي ، حسن بن علي</w:t>
      </w:r>
    </w:p>
    <w:p>
      <w:pPr>
        <w:pStyle w:val="Heading2"/>
      </w:pPr>
      <w:bookmarkStart w:id="3881" w:name="_Toc2983"/>
      <w:r>
        <w:t>حلي، جعفر بن احمد، 1277 - 1315 ه-</w:t>
      </w:r>
      <w:bookmarkEnd w:id="3881"/>
    </w:p>
    <w:p>
      <w:pPr>
        <w:pStyle w:val="BookText"/>
      </w:pPr>
      <w:r>
        <w:rPr>
          <w:rFonts w:ascii="Amiri" w:hAnsi="Amiri" w:eastAsia="Amiri" w:cs="Amiri"/>
          <w:lang w:bidi="ar-SA"/>
          <w:color w:val="111111"/>
          <w:sz w:val="28"/>
          <w:szCs w:val="28"/>
          <w:rtl/>
        </w:rPr>
        <w:t xml:space="preserve">1 .ديوان الحلي، ج 7، ص 628.</w:t>
      </w:r>
    </w:p>
    <w:p>
      <w:pPr>
        <w:pStyle w:val="BookText"/>
      </w:pPr>
      <w:r>
        <w:rPr>
          <w:rFonts w:ascii="IRNazanin" w:hAnsi="IRNazanin" w:eastAsia="IRNazanin" w:cs="IRNazanin"/>
          <w:lang w:bidi="fa-IR"/>
          <w:color w:val="111111"/>
          <w:sz w:val="28"/>
          <w:szCs w:val="28"/>
          <w:rtl/>
        </w:rPr>
        <w:t xml:space="preserve">2 .دیوان سحر بابل و سجع البلابل</w:t>
      </w:r>
    </w:p>
    <w:p>
      <w:pPr>
        <w:pStyle w:val="BookText"/>
      </w:pPr>
      <w:r>
        <w:rPr>
          <w:rFonts w:ascii="IRNazanin" w:hAnsi="IRNazanin" w:eastAsia="IRNazanin" w:cs="IRNazanin"/>
          <w:lang w:bidi="fa-IR"/>
          <w:color w:val="111111"/>
          <w:sz w:val="28"/>
          <w:szCs w:val="28"/>
          <w:rtl/>
        </w:rPr>
        <w:t xml:space="preserve">ج 7، ص 650 .</w:t>
      </w:r>
    </w:p>
    <w:p>
      <w:pPr>
        <w:pStyle w:val="BookText"/>
      </w:pPr>
      <w:r>
        <w:rPr>
          <w:rFonts w:ascii="Amiri" w:hAnsi="Amiri" w:eastAsia="Amiri" w:cs="Amiri"/>
          <w:lang w:bidi="ar-SA"/>
          <w:color w:val="111111"/>
          <w:sz w:val="28"/>
          <w:szCs w:val="28"/>
          <w:rtl/>
        </w:rPr>
        <w:t xml:space="preserve">حلي، جعفر بن حسن -محقق حلي ،</w:t>
      </w:r>
    </w:p>
    <w:p>
      <w:pPr>
        <w:pStyle w:val="BookText"/>
      </w:pPr>
      <w:r>
        <w:rPr>
          <w:rFonts w:ascii="IRNazanin" w:hAnsi="IRNazanin" w:eastAsia="IRNazanin" w:cs="IRNazanin"/>
          <w:lang w:bidi="fa-IR"/>
          <w:color w:val="111111"/>
          <w:sz w:val="28"/>
          <w:szCs w:val="28"/>
          <w:rtl/>
        </w:rPr>
        <w:t xml:space="preserve">جعفر بن حسن</w:t>
      </w:r>
    </w:p>
    <w:p>
      <w:pPr>
        <w:pStyle w:val="BookText"/>
      </w:pPr>
      <w:r>
        <w:rPr>
          <w:rFonts w:ascii="Amiri" w:hAnsi="Amiri" w:eastAsia="Amiri" w:cs="Amiri"/>
          <w:lang w:bidi="ar-SA"/>
          <w:color w:val="111111"/>
          <w:sz w:val="28"/>
          <w:szCs w:val="28"/>
          <w:rtl/>
        </w:rPr>
        <w:t xml:space="preserve">حلي ، جعفر بن خضر -كاشف الغطاء</w:t>
      </w:r>
    </w:p>
    <w:p>
      <w:pPr>
        <w:pStyle w:val="BookText"/>
      </w:pPr>
      <w:r>
        <w:rPr>
          <w:rFonts w:ascii="IRNazanin" w:hAnsi="IRNazanin" w:eastAsia="IRNazanin" w:cs="IRNazanin"/>
          <w:lang w:bidi="fa-IR"/>
          <w:color w:val="111111"/>
          <w:sz w:val="28"/>
          <w:szCs w:val="28"/>
          <w:rtl/>
        </w:rPr>
        <w:t xml:space="preserve">جعفر بن خضر</w:t>
      </w:r>
    </w:p>
    <w:p>
      <w:pPr>
        <w:pStyle w:val="BookText"/>
      </w:pPr>
      <w:r>
        <w:rPr>
          <w:rFonts w:ascii="Amiri" w:hAnsi="Amiri" w:eastAsia="Amiri" w:cs="Amiri"/>
          <w:lang w:bidi="ar-SA"/>
          <w:color w:val="111111"/>
          <w:sz w:val="28"/>
          <w:szCs w:val="28"/>
          <w:rtl/>
        </w:rPr>
        <w:t xml:space="preserve">حلي ، حسن بن راشد - تاج الدين حلي ،</w:t>
      </w:r>
    </w:p>
    <w:p>
      <w:pPr>
        <w:pStyle w:val="BookText"/>
      </w:pPr>
      <w:r>
        <w:rPr>
          <w:rFonts w:ascii="IRNazanin" w:hAnsi="IRNazanin" w:eastAsia="IRNazanin" w:cs="IRNazanin"/>
          <w:lang w:bidi="fa-IR"/>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حلي ، حسن بن سليمان -بحراني ، حسن</w:t>
      </w:r>
    </w:p>
    <w:p>
      <w:pPr>
        <w:pStyle w:val="BookText"/>
      </w:pPr>
      <w:r>
        <w:rPr>
          <w:rFonts w:ascii="Amiri" w:hAnsi="Amiri" w:eastAsia="Amiri" w:cs="Amiri"/>
          <w:lang w:bidi="ar-SA"/>
          <w:color w:val="111111"/>
          <w:sz w:val="28"/>
          <w:szCs w:val="28"/>
          <w:rtl/>
        </w:rPr>
        <w:t xml:space="preserve">بن سليمان</w:t>
      </w:r>
    </w:p>
    <w:p>
      <w:pPr>
        <w:pStyle w:val="Heading2"/>
      </w:pPr>
      <w:bookmarkStart w:id="3882" w:name="_Toc2984"/>
      <w:r>
        <w:t>حلي ، حسن بن سليمان قرن 8 ه-</w:t>
      </w:r>
      <w:bookmarkEnd w:id="3882"/>
    </w:p>
    <w:p>
      <w:pPr>
        <w:pStyle w:val="BookText"/>
      </w:pPr>
      <w:r>
        <w:rPr>
          <w:rFonts w:ascii="IRNazanin" w:hAnsi="IRNazanin" w:eastAsia="IRNazanin" w:cs="IRNazanin"/>
          <w:lang w:bidi="fa-IR"/>
          <w:color w:val="111111"/>
          <w:sz w:val="28"/>
          <w:szCs w:val="28"/>
          <w:rtl/>
        </w:rPr>
        <w:t xml:space="preserve">1 .بصائر الدرجات (مختصر) = منتخب بصائر الدرجات، ج3، ص 345.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المحتضر، ج 14، ص 110.</w:t>
      </w:r>
    </w:p>
    <w:p>
      <w:pPr>
        <w:pStyle w:val="BookText"/>
      </w:pPr>
      <w:r>
        <w:rPr>
          <w:rFonts w:ascii="Amiri" w:hAnsi="Amiri" w:eastAsia="Amiri" w:cs="Amiri"/>
          <w:lang w:bidi="ar-SA"/>
          <w:color w:val="111111"/>
          <w:sz w:val="28"/>
          <w:szCs w:val="28"/>
          <w:rtl/>
        </w:rPr>
        <w:t xml:space="preserve">حلي ، حسن بن علي- ابن داود حلي ،</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حلي ، حسن بن يوسف - علامه حلي ،</w:t>
      </w:r>
    </w:p>
    <w:p>
      <w:pPr>
        <w:pStyle w:val="BookText"/>
      </w:pPr>
      <w:r>
        <w:rPr>
          <w:rFonts w:ascii="Amiri" w:hAnsi="Amiri" w:eastAsia="Amiri" w:cs="Amiri"/>
          <w:lang w:bidi="ar-SA"/>
          <w:color w:val="111111"/>
          <w:sz w:val="28"/>
          <w:szCs w:val="28"/>
          <w:rtl/>
        </w:rPr>
        <w:t xml:space="preserve">حسن بن يوسف</w:t>
      </w:r>
    </w:p>
    <w:p>
      <w:pPr>
        <w:pStyle w:val="Heading2"/>
      </w:pPr>
      <w:bookmarkStart w:id="3883" w:name="_Toc2985"/>
      <w:r>
        <w:t>حلي ، حيدر بن سليمان، 1246-1304 ه-</w:t>
      </w:r>
      <w:bookmarkEnd w:id="3883"/>
    </w:p>
    <w:p>
      <w:pPr>
        <w:pStyle w:val="BookText"/>
      </w:pPr>
      <w:r>
        <w:rPr>
          <w:rFonts w:ascii="Amiri" w:hAnsi="Amiri" w:eastAsia="Amiri" w:cs="Amiri"/>
          <w:lang w:bidi="ar-SA"/>
          <w:color w:val="111111"/>
          <w:sz w:val="28"/>
          <w:szCs w:val="28"/>
          <w:rtl/>
        </w:rPr>
        <w:t xml:space="preserve">1 .ديوان الحلي، ج7، ص 627 .</w:t>
      </w:r>
    </w:p>
    <w:p>
      <w:pPr>
        <w:pStyle w:val="BookText"/>
      </w:pPr>
      <w:r>
        <w:rPr>
          <w:rFonts w:ascii="Amiri" w:hAnsi="Amiri" w:eastAsia="Amiri" w:cs="Amiri"/>
          <w:lang w:bidi="ar-SA"/>
          <w:color w:val="111111"/>
          <w:sz w:val="28"/>
          <w:szCs w:val="28"/>
          <w:rtl/>
        </w:rPr>
        <w:t xml:space="preserve">2 .العقد المفصل في قبيلة المجد الموثل</w:t>
      </w:r>
    </w:p>
    <w:p>
      <w:pPr>
        <w:pStyle w:val="BookText"/>
      </w:pPr>
      <w:r>
        <w:rPr>
          <w:rFonts w:ascii="IRNazanin" w:hAnsi="IRNazanin" w:eastAsia="IRNazanin" w:cs="IRNazanin"/>
          <w:lang w:bidi="fa-IR"/>
          <w:color w:val="111111"/>
          <w:sz w:val="28"/>
          <w:szCs w:val="28"/>
          <w:rtl/>
        </w:rPr>
        <w:t xml:space="preserve">ج 11، ص 175.</w:t>
      </w:r>
    </w:p>
    <w:p>
      <w:pPr>
        <w:pStyle w:val="Heading2"/>
      </w:pPr>
      <w:bookmarkStart w:id="3884" w:name="_Toc2986"/>
      <w:r>
        <w:t>حلي ، درويش بن محمّد</w:t>
      </w:r>
      <w:bookmarkEnd w:id="3884"/>
    </w:p>
    <w:p>
      <w:pPr>
        <w:pStyle w:val="BookText"/>
      </w:pPr>
      <w:r>
        <w:rPr>
          <w:rFonts w:ascii="IRNazanin" w:hAnsi="IRNazanin" w:eastAsia="IRNazanin" w:cs="IRNazanin"/>
          <w:lang w:bidi="fa-IR"/>
          <w:color w:val="111111"/>
          <w:sz w:val="28"/>
          <w:szCs w:val="28"/>
          <w:rtl/>
        </w:rPr>
        <w:t xml:space="preserve">1 .دیوان درویش حلي، ج 7، ص 640.</w:t>
      </w:r>
    </w:p>
    <w:p>
      <w:pPr>
        <w:pStyle w:val="BookText"/>
      </w:pPr>
      <w:r>
        <w:rPr>
          <w:rFonts w:ascii="Amiri" w:hAnsi="Amiri" w:eastAsia="Amiri" w:cs="Amiri"/>
          <w:lang w:bidi="ar-SA"/>
          <w:color w:val="111111"/>
          <w:sz w:val="28"/>
          <w:szCs w:val="28"/>
          <w:rtl/>
        </w:rPr>
        <w:t xml:space="preserve">2 .ربيع الابرار في المزار و الاعمال، ج8،</w:t>
      </w:r>
    </w:p>
    <w:p>
      <w:pPr>
        <w:pStyle w:val="BookText"/>
      </w:pPr>
      <w:r>
        <w:rPr>
          <w:rFonts w:ascii="IRNazanin" w:hAnsi="IRNazanin" w:eastAsia="IRNazanin" w:cs="IRNazanin"/>
          <w:lang w:bidi="fa-IR"/>
          <w:color w:val="111111"/>
          <w:sz w:val="28"/>
          <w:szCs w:val="28"/>
          <w:rtl/>
        </w:rPr>
        <w:t xml:space="preserve">ص 32.</w:t>
      </w:r>
    </w:p>
    <w:p>
      <w:pPr>
        <w:pStyle w:val="Heading2"/>
      </w:pPr>
      <w:bookmarkStart w:id="3885" w:name="_Toc2987"/>
      <w:r>
        <w:t>حلي ، سليمان بن داود</w:t>
      </w:r>
      <w:bookmarkEnd w:id="3885"/>
    </w:p>
    <w:p>
      <w:pPr>
        <w:pStyle w:val="BookText"/>
      </w:pPr>
      <w:r>
        <w:rPr>
          <w:rFonts w:ascii="Amiri" w:hAnsi="Amiri" w:eastAsia="Amiri" w:cs="Amiri"/>
          <w:lang w:bidi="ar-SA"/>
          <w:color w:val="111111"/>
          <w:sz w:val="28"/>
          <w:szCs w:val="28"/>
          <w:rtl/>
        </w:rPr>
        <w:t xml:space="preserve">1 .ديوان سليمان النجفي، ج 7،</w:t>
      </w:r>
    </w:p>
    <w:p>
      <w:pPr>
        <w:pStyle w:val="BookText"/>
      </w:pPr>
      <w:r>
        <w:rPr>
          <w:rFonts w:ascii="IRNazanin" w:hAnsi="IRNazanin" w:eastAsia="IRNazanin" w:cs="IRNazanin"/>
          <w:lang w:bidi="fa-IR"/>
          <w:color w:val="111111"/>
          <w:sz w:val="28"/>
          <w:szCs w:val="28"/>
          <w:rtl/>
        </w:rPr>
        <w:t xml:space="preserve">ص 653.</w:t>
      </w:r>
    </w:p>
    <w:p>
      <w:pPr>
        <w:pStyle w:val="BookText"/>
      </w:pPr>
      <w:r>
        <w:rPr>
          <w:rFonts w:ascii="Amiri" w:hAnsi="Amiri" w:eastAsia="Amiri" w:cs="Amiri"/>
          <w:lang w:bidi="ar-SA"/>
          <w:color w:val="111111"/>
          <w:sz w:val="28"/>
          <w:szCs w:val="28"/>
          <w:rtl/>
        </w:rPr>
        <w:t xml:space="preserve">2 .قصيدة في مدح الامام علي كرم الله</w:t>
      </w:r>
    </w:p>
    <w:p>
      <w:pPr>
        <w:pStyle w:val="BookText"/>
      </w:pPr>
      <w:r>
        <w:rPr>
          <w:rFonts w:ascii="IRNazanin" w:hAnsi="IRNazanin" w:eastAsia="IRNazanin" w:cs="IRNazanin"/>
          <w:lang w:bidi="fa-IR"/>
          <w:color w:val="111111"/>
          <w:sz w:val="28"/>
          <w:szCs w:val="28"/>
          <w:rtl/>
        </w:rPr>
        <w:t xml:space="preserve">وجهه، ج 12، ص 695.</w:t>
      </w:r>
    </w:p>
    <w:p>
      <w:pPr>
        <w:pStyle w:val="Heading2"/>
      </w:pPr>
      <w:bookmarkStart w:id="3886" w:name="_Toc2988"/>
      <w:r>
        <w:t>حلي شافعي ، حسن</w:t>
      </w:r>
      <w:bookmarkEnd w:id="3886"/>
    </w:p>
    <w:p>
      <w:pPr>
        <w:pStyle w:val="BookText"/>
      </w:pPr>
      <w:r>
        <w:rPr>
          <w:rFonts w:ascii="Amiri" w:hAnsi="Amiri" w:eastAsia="Amiri" w:cs="Amiri"/>
          <w:lang w:bidi="ar-SA"/>
          <w:color w:val="111111"/>
          <w:sz w:val="28"/>
          <w:szCs w:val="28"/>
          <w:rtl/>
        </w:rPr>
        <w:t xml:space="preserve">ديوان الحسن الحلي، ج 7، ص 620.</w:t>
      </w:r>
    </w:p>
    <w:p>
      <w:pPr>
        <w:pStyle w:val="BookText"/>
      </w:pPr>
      <w:r>
        <w:rPr>
          <w:rFonts w:ascii="IRNazanin" w:hAnsi="IRNazanin" w:eastAsia="IRNazanin" w:cs="IRNazanin"/>
          <w:lang w:bidi="fa-IR"/>
          <w:color w:val="111111"/>
          <w:sz w:val="28"/>
          <w:szCs w:val="28"/>
          <w:rtl/>
        </w:rPr>
        <w:t xml:space="preserve">حلي ، شمس الدین محمّد بن</w:t>
      </w:r>
    </w:p>
    <w:p>
      <w:pPr>
        <w:pStyle w:val="BookText"/>
      </w:pPr>
      <w:r>
        <w:rPr>
          <w:rFonts w:ascii="Amiri" w:hAnsi="Amiri" w:eastAsia="Amiri" w:cs="Amiri"/>
          <w:lang w:bidi="ar-SA"/>
          <w:color w:val="111111"/>
          <w:sz w:val="28"/>
          <w:szCs w:val="28"/>
          <w:rtl/>
        </w:rPr>
        <w:t xml:space="preserve">شجاع -قطانحلي ، محمّد بن شجاع</w:t>
      </w:r>
    </w:p>
    <w:p>
      <w:pPr>
        <w:pStyle w:val="Heading2"/>
      </w:pPr>
      <w:bookmarkStart w:id="3887" w:name="_Toc2989"/>
      <w:r>
        <w:t>حلي ، صالح بن حسين، 1290 - 1359 ه-</w:t>
      </w:r>
      <w:bookmarkEnd w:id="3887"/>
    </w:p>
    <w:p>
      <w:pPr>
        <w:pStyle w:val="BookText"/>
      </w:pPr>
      <w:r>
        <w:rPr>
          <w:rFonts w:ascii="Amiri" w:hAnsi="Amiri" w:eastAsia="Amiri" w:cs="Amiri"/>
          <w:lang w:bidi="ar-SA"/>
          <w:color w:val="111111"/>
          <w:sz w:val="28"/>
          <w:szCs w:val="28"/>
          <w:rtl/>
        </w:rPr>
        <w:t xml:space="preserve">طبقات الشيعة( رسالة في)، ج 10،</w:t>
      </w:r>
    </w:p>
    <w:p>
      <w:pPr>
        <w:pStyle w:val="BookText"/>
      </w:pPr>
      <w:r>
        <w:rPr>
          <w:rFonts w:ascii="IRNazanin" w:hAnsi="IRNazanin" w:eastAsia="IRNazanin" w:cs="IRNazanin"/>
          <w:lang w:bidi="fa-IR"/>
          <w:color w:val="111111"/>
          <w:sz w:val="28"/>
          <w:szCs w:val="28"/>
          <w:rtl/>
        </w:rPr>
        <w:t xml:space="preserve">ص 780.</w:t>
      </w:r>
    </w:p>
    <w:p>
      <w:pPr>
        <w:pStyle w:val="BookText"/>
      </w:pPr>
      <w:r>
        <w:rPr>
          <w:rFonts w:ascii="Amiri" w:hAnsi="Amiri" w:eastAsia="Amiri" w:cs="Amiri"/>
          <w:lang w:bidi="ar-SA"/>
          <w:color w:val="111111"/>
          <w:sz w:val="28"/>
          <w:szCs w:val="28"/>
          <w:rtl/>
        </w:rPr>
        <w:t xml:space="preserve">حلي، عباس بن علي- عذاري ، عباس بن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3" w:name="pg7742_70238"/>
    <w:bookmarkEnd w:id="423"/>
    <w:p>
      <w:pPr>
        <w:pStyle w:val="Heading2"/>
      </w:pPr>
      <w:bookmarkStart w:id="3888" w:name="_Toc2990"/>
      <w:r>
        <w:t>حلي، عباس بن محمّد جواد قرن 14 ه-</w:t>
      </w:r>
      <w:bookmarkEnd w:id="3888"/>
    </w:p>
    <w:p>
      <w:pPr>
        <w:pStyle w:val="BookText"/>
      </w:pPr>
      <w:r>
        <w:rPr>
          <w:rFonts w:ascii="Amiri" w:hAnsi="Amiri" w:eastAsia="Amiri" w:cs="Amiri"/>
          <w:lang w:bidi="ar-SA"/>
          <w:color w:val="111111"/>
          <w:sz w:val="28"/>
          <w:szCs w:val="28"/>
          <w:rtl/>
        </w:rPr>
        <w:t xml:space="preserve">تذكرة الغافلين، ج4، ص198.</w:t>
      </w:r>
    </w:p>
    <w:p>
      <w:pPr>
        <w:pStyle w:val="BookText"/>
      </w:pPr>
      <w:r>
        <w:rPr>
          <w:rFonts w:ascii="Amiri" w:hAnsi="Amiri" w:eastAsia="Amiri" w:cs="Amiri"/>
          <w:lang w:bidi="ar-SA"/>
          <w:color w:val="111111"/>
          <w:sz w:val="28"/>
          <w:szCs w:val="28"/>
          <w:rtl/>
        </w:rPr>
        <w:t xml:space="preserve">حلي ، عبد العزيز بن سرايا- صفي الدين</w:t>
      </w:r>
    </w:p>
    <w:p>
      <w:pPr>
        <w:pStyle w:val="BookText"/>
      </w:pPr>
      <w:r>
        <w:rPr>
          <w:rFonts w:ascii="Amiri" w:hAnsi="Amiri" w:eastAsia="Amiri" w:cs="Amiri"/>
          <w:lang w:bidi="ar-SA"/>
          <w:color w:val="111111"/>
          <w:sz w:val="28"/>
          <w:szCs w:val="28"/>
          <w:rtl/>
        </w:rPr>
        <w:t xml:space="preserve">حلي ، عبد العزيز بن سرايا</w:t>
      </w:r>
    </w:p>
    <w:p>
      <w:pPr>
        <w:pStyle w:val="BookText"/>
      </w:pPr>
      <w:r>
        <w:rPr>
          <w:rFonts w:ascii="Amiri" w:hAnsi="Amiri" w:eastAsia="Amiri" w:cs="Amiri"/>
          <w:lang w:bidi="ar-SA"/>
          <w:color w:val="111111"/>
          <w:sz w:val="28"/>
          <w:szCs w:val="28"/>
          <w:rtl/>
        </w:rPr>
        <w:t xml:space="preserve">حلي ، عبد الكريم بن احمد- ابن طاوس</w:t>
      </w:r>
    </w:p>
    <w:p>
      <w:pPr>
        <w:pStyle w:val="BookText"/>
      </w:pPr>
      <w:r>
        <w:rPr>
          <w:rFonts w:ascii="Amiri" w:hAnsi="Amiri" w:eastAsia="Amiri" w:cs="Amiri"/>
          <w:lang w:bidi="ar-SA"/>
          <w:color w:val="111111"/>
          <w:sz w:val="28"/>
          <w:szCs w:val="28"/>
          <w:rtl/>
        </w:rPr>
        <w:t xml:space="preserve">عبدالكريم بن احمد</w:t>
      </w:r>
    </w:p>
    <w:p>
      <w:pPr>
        <w:pStyle w:val="Heading2"/>
      </w:pPr>
      <w:bookmarkStart w:id="3889" w:name="_Toc2991"/>
      <w:r>
        <w:t>حلي، عبدالله بن سعيد، قرن 14 ه-</w:t>
      </w:r>
      <w:bookmarkEnd w:id="3889"/>
    </w:p>
    <w:p>
      <w:pPr>
        <w:pStyle w:val="BookText"/>
      </w:pPr>
      <w:r>
        <w:rPr>
          <w:rFonts w:ascii="Amiri" w:hAnsi="Amiri" w:eastAsia="Amiri" w:cs="Amiri"/>
          <w:lang w:bidi="ar-SA"/>
          <w:color w:val="111111"/>
          <w:sz w:val="28"/>
          <w:szCs w:val="28"/>
          <w:rtl/>
        </w:rPr>
        <w:t xml:space="preserve">رسائل اصولية، ج8، ص 136.</w:t>
      </w:r>
    </w:p>
    <w:p>
      <w:pPr>
        <w:pStyle w:val="Heading2"/>
      </w:pPr>
      <w:bookmarkStart w:id="3890" w:name="_Toc2992"/>
      <w:r>
        <w:t>حلي ، علي بن ابراهيم</w:t>
      </w:r>
      <w:bookmarkEnd w:id="3890"/>
    </w:p>
    <w:p>
      <w:pPr>
        <w:pStyle w:val="BookText"/>
      </w:pPr>
      <w:r>
        <w:rPr>
          <w:rFonts w:ascii="Amiri" w:hAnsi="Amiri" w:eastAsia="Amiri" w:cs="Amiri"/>
          <w:lang w:bidi="ar-SA"/>
          <w:color w:val="111111"/>
          <w:sz w:val="28"/>
          <w:szCs w:val="28"/>
          <w:rtl/>
        </w:rPr>
        <w:t xml:space="preserve">فوائد في شرح ترددات المختصر النافع</w:t>
      </w:r>
    </w:p>
    <w:p>
      <w:pPr>
        <w:pStyle w:val="BookText"/>
      </w:pPr>
      <w:r>
        <w:rPr>
          <w:rFonts w:ascii="IRNazanin" w:hAnsi="IRNazanin" w:eastAsia="IRNazanin" w:cs="IRNazanin"/>
          <w:lang w:bidi="fa-IR"/>
          <w:color w:val="111111"/>
          <w:sz w:val="28"/>
          <w:szCs w:val="28"/>
          <w:rtl/>
        </w:rPr>
        <w:t xml:space="preserve">ج 12، ص 258.</w:t>
      </w:r>
    </w:p>
    <w:p>
      <w:pPr>
        <w:pStyle w:val="Heading2"/>
      </w:pPr>
      <w:bookmarkStart w:id="3891" w:name="_Toc2993"/>
      <w:r>
        <w:t>حلي ، علي بن حسن قرن 8 ه-</w:t>
      </w:r>
      <w:bookmarkEnd w:id="3891"/>
    </w:p>
    <w:p>
      <w:pPr>
        <w:pStyle w:val="BookText"/>
      </w:pPr>
      <w:r>
        <w:rPr>
          <w:rFonts w:ascii="Amiri" w:hAnsi="Amiri" w:eastAsia="Amiri" w:cs="Amiri"/>
          <w:lang w:bidi="ar-SA"/>
          <w:color w:val="111111"/>
          <w:sz w:val="28"/>
          <w:szCs w:val="28"/>
          <w:rtl/>
        </w:rPr>
        <w:t xml:space="preserve">المسائل الظاهرية، ج 14، ص 458.</w:t>
      </w:r>
    </w:p>
    <w:p>
      <w:pPr>
        <w:pStyle w:val="BookText"/>
      </w:pPr>
      <w:r>
        <w:rPr>
          <w:rFonts w:ascii="Amiri" w:hAnsi="Amiri" w:eastAsia="Amiri" w:cs="Amiri"/>
          <w:lang w:bidi="ar-SA"/>
          <w:color w:val="111111"/>
          <w:sz w:val="28"/>
          <w:szCs w:val="28"/>
          <w:rtl/>
        </w:rPr>
        <w:t xml:space="preserve">حلي ، علي بن حمد- حسيني حلي ، علي</w:t>
      </w:r>
    </w:p>
    <w:p>
      <w:pPr>
        <w:pStyle w:val="BookText"/>
      </w:pPr>
      <w:r>
        <w:rPr>
          <w:rFonts w:ascii="IRNazanin" w:hAnsi="IRNazanin" w:eastAsia="IRNazanin" w:cs="IRNazanin"/>
          <w:lang w:bidi="fa-IR"/>
          <w:color w:val="111111"/>
          <w:sz w:val="28"/>
          <w:szCs w:val="28"/>
          <w:rtl/>
        </w:rPr>
        <w:t xml:space="preserve">بن حمد</w:t>
      </w:r>
    </w:p>
    <w:p>
      <w:pPr>
        <w:pStyle w:val="BookText"/>
      </w:pPr>
      <w:r>
        <w:rPr>
          <w:rFonts w:ascii="Amiri" w:hAnsi="Amiri" w:eastAsia="Amiri" w:cs="Amiri"/>
          <w:lang w:bidi="ar-SA"/>
          <w:color w:val="111111"/>
          <w:sz w:val="28"/>
          <w:szCs w:val="28"/>
          <w:rtl/>
        </w:rPr>
        <w:t xml:space="preserve">حلي ، علي بن ظاهر- مطيري ، علي بن</w:t>
      </w:r>
    </w:p>
    <w:p>
      <w:pPr>
        <w:pStyle w:val="BookText"/>
      </w:pPr>
      <w:r>
        <w:rPr>
          <w:rFonts w:ascii="IRNazanin" w:hAnsi="IRNazanin" w:eastAsia="IRNazanin" w:cs="IRNazanin"/>
          <w:lang w:bidi="fa-IR"/>
          <w:color w:val="111111"/>
          <w:sz w:val="28"/>
          <w:szCs w:val="28"/>
          <w:rtl/>
        </w:rPr>
        <w:t xml:space="preserve">ظاهر</w:t>
      </w:r>
    </w:p>
    <w:p>
      <w:pPr>
        <w:pStyle w:val="BookText"/>
      </w:pPr>
      <w:r>
        <w:rPr>
          <w:rFonts w:ascii="Amiri" w:hAnsi="Amiri" w:eastAsia="Amiri" w:cs="Amiri"/>
          <w:lang w:bidi="ar-SA"/>
          <w:color w:val="111111"/>
          <w:sz w:val="28"/>
          <w:szCs w:val="28"/>
          <w:rtl/>
        </w:rPr>
        <w:t xml:space="preserve">حلي ، علي بن موسى- ابن طاوس ، علي</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حلي، عميد الدين- اعرجي حلي ،</w:t>
      </w:r>
    </w:p>
    <w:p>
      <w:pPr>
        <w:pStyle w:val="BookText"/>
      </w:pPr>
      <w:r>
        <w:rPr>
          <w:rFonts w:ascii="IRNazanin" w:hAnsi="IRNazanin" w:eastAsia="IRNazanin" w:cs="IRNazanin"/>
          <w:lang w:bidi="fa-IR"/>
          <w:color w:val="111111"/>
          <w:sz w:val="28"/>
          <w:szCs w:val="28"/>
          <w:rtl/>
        </w:rPr>
        <w:t xml:space="preserve">عبد المطلب بن محمّد</w:t>
      </w:r>
    </w:p>
    <w:p>
      <w:pPr>
        <w:pStyle w:val="BookText"/>
      </w:pPr>
      <w:r>
        <w:rPr>
          <w:rFonts w:ascii="Amiri" w:hAnsi="Amiri" w:eastAsia="Amiri" w:cs="Amiri"/>
          <w:lang w:bidi="ar-SA"/>
          <w:color w:val="111111"/>
          <w:sz w:val="28"/>
          <w:szCs w:val="28"/>
          <w:rtl/>
        </w:rPr>
        <w:t xml:space="preserve">حلي غريبي ، محمّد بن سلمان - حمادي</w:t>
      </w:r>
    </w:p>
    <w:p>
      <w:pPr>
        <w:pStyle w:val="BookText"/>
      </w:pPr>
      <w:r>
        <w:rPr>
          <w:rFonts w:ascii="Amiri" w:hAnsi="Amiri" w:eastAsia="Amiri" w:cs="Amiri"/>
          <w:lang w:bidi="ar-SA"/>
          <w:color w:val="111111"/>
          <w:sz w:val="28"/>
          <w:szCs w:val="28"/>
          <w:rtl/>
        </w:rPr>
        <w:t xml:space="preserve">كعبي ، محمّد بن سلمان</w:t>
      </w:r>
    </w:p>
    <w:p>
      <w:pPr>
        <w:pStyle w:val="BookText"/>
      </w:pPr>
      <w:r>
        <w:rPr>
          <w:rFonts w:ascii="Amiri" w:hAnsi="Amiri" w:eastAsia="Amiri" w:cs="Amiri"/>
          <w:lang w:bidi="ar-SA"/>
          <w:color w:val="111111"/>
          <w:sz w:val="28"/>
          <w:szCs w:val="28"/>
          <w:rtl/>
        </w:rPr>
        <w:t xml:space="preserve">حلي كاشاني ، علي بن محمّد -نصيرالدين</w:t>
      </w:r>
    </w:p>
    <w:p>
      <w:pPr>
        <w:pStyle w:val="BookText"/>
      </w:pPr>
      <w:r>
        <w:rPr>
          <w:rFonts w:ascii="Amiri" w:hAnsi="Amiri" w:eastAsia="Amiri" w:cs="Amiri"/>
          <w:lang w:bidi="ar-SA"/>
          <w:color w:val="111111"/>
          <w:sz w:val="28"/>
          <w:szCs w:val="28"/>
          <w:rtl/>
        </w:rPr>
        <w:t xml:space="preserve">كاشي ، علي بن محمّد</w:t>
      </w:r>
    </w:p>
    <w:p>
      <w:pPr>
        <w:pStyle w:val="Heading2"/>
      </w:pPr>
      <w:bookmarkStart w:id="3892" w:name="_Toc2994"/>
      <w:r>
        <w:t>حلي ، محمّد</w:t>
      </w:r>
      <w:bookmarkEnd w:id="3892"/>
    </w:p>
    <w:p>
      <w:pPr>
        <w:pStyle w:val="BookText"/>
      </w:pPr>
      <w:r>
        <w:rPr>
          <w:rFonts w:ascii="Amiri" w:hAnsi="Amiri" w:eastAsia="Amiri" w:cs="Amiri"/>
          <w:lang w:bidi="ar-SA"/>
          <w:color w:val="111111"/>
          <w:sz w:val="28"/>
          <w:szCs w:val="28"/>
          <w:rtl/>
        </w:rPr>
        <w:t xml:space="preserve">الجنة الواقية، ج 5، ص 467.</w:t>
      </w:r>
    </w:p>
    <w:p>
      <w:pPr>
        <w:pStyle w:val="BookText"/>
      </w:pPr>
      <w:r>
        <w:rPr>
          <w:rFonts w:ascii="Amiri" w:hAnsi="Amiri" w:eastAsia="Amiri" w:cs="Amiri"/>
          <w:lang w:bidi="ar-SA"/>
          <w:color w:val="111111"/>
          <w:sz w:val="28"/>
          <w:szCs w:val="28"/>
          <w:rtl/>
        </w:rPr>
        <w:t xml:space="preserve">حلي ، محمّد بن احمد -ابن ادريس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3893" w:name="_Toc2995"/>
      <w:r>
        <w:t>حلي ، محمّد بن اسماعيل - 1247 ه-</w:t>
      </w:r>
      <w:bookmarkEnd w:id="3893"/>
    </w:p>
    <w:p>
      <w:pPr>
        <w:pStyle w:val="BookText"/>
      </w:pPr>
      <w:r>
        <w:rPr>
          <w:rFonts w:ascii="Amiri" w:hAnsi="Amiri" w:eastAsia="Amiri" w:cs="Amiri"/>
          <w:lang w:bidi="ar-SA"/>
          <w:color w:val="111111"/>
          <w:sz w:val="28"/>
          <w:szCs w:val="28"/>
          <w:rtl/>
        </w:rPr>
        <w:t xml:space="preserve">1 .تخميس قصيدة الفرزدق، ج 4</w:t>
      </w:r>
    </w:p>
    <w:p>
      <w:pPr>
        <w:pStyle w:val="BookText"/>
      </w:pPr>
      <w:r>
        <w:rPr>
          <w:rFonts w:ascii="IRNazanin" w:hAnsi="IRNazanin" w:eastAsia="IRNazanin" w:cs="IRNazanin"/>
          <w:lang w:bidi="fa-IR"/>
          <w:color w:val="111111"/>
          <w:sz w:val="28"/>
          <w:szCs w:val="28"/>
          <w:rtl/>
        </w:rPr>
        <w:t xml:space="preserve">ص 136 .</w:t>
      </w:r>
    </w:p>
    <w:p>
      <w:pPr>
        <w:pStyle w:val="BookText"/>
      </w:pPr>
      <w:r>
        <w:rPr>
          <w:rFonts w:ascii="Amiri" w:hAnsi="Amiri" w:eastAsia="Amiri" w:cs="Amiri"/>
          <w:lang w:bidi="ar-SA"/>
          <w:color w:val="111111"/>
          <w:sz w:val="28"/>
          <w:szCs w:val="28"/>
          <w:rtl/>
        </w:rPr>
        <w:t xml:space="preserve">2 .كتاب البند = بنود ابن الخلقة</w:t>
      </w:r>
    </w:p>
    <w:p>
      <w:pPr>
        <w:pStyle w:val="BookText"/>
      </w:pPr>
      <w:r>
        <w:rPr>
          <w:rFonts w:ascii="IRNazanin" w:hAnsi="IRNazanin" w:eastAsia="IRNazanin" w:cs="IRNazanin"/>
          <w:lang w:bidi="fa-IR"/>
          <w:color w:val="111111"/>
          <w:sz w:val="28"/>
          <w:szCs w:val="28"/>
          <w:rtl/>
        </w:rPr>
        <w:t xml:space="preserve">ج13، ص92.</w:t>
      </w:r>
    </w:p>
    <w:p>
      <w:pPr>
        <w:pStyle w:val="BookText"/>
      </w:pPr>
      <w:r>
        <w:rPr>
          <w:rFonts w:ascii="Amiri" w:hAnsi="Amiri" w:eastAsia="Amiri" w:cs="Amiri"/>
          <w:lang w:bidi="ar-SA"/>
          <w:color w:val="111111"/>
          <w:sz w:val="28"/>
          <w:szCs w:val="28"/>
          <w:rtl/>
        </w:rPr>
        <w:t xml:space="preserve">حلي ، محمّد بن حسن -فخر المحققين</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حلي ، محمّد بن محمّد مهدي- حسيني</w:t>
      </w:r>
    </w:p>
    <w:p>
      <w:pPr>
        <w:pStyle w:val="BookText"/>
      </w:pPr>
      <w:r>
        <w:rPr>
          <w:rFonts w:ascii="Amiri" w:hAnsi="Amiri" w:eastAsia="Amiri" w:cs="Amiri"/>
          <w:lang w:bidi="ar-SA"/>
          <w:color w:val="111111"/>
          <w:sz w:val="28"/>
          <w:szCs w:val="28"/>
          <w:rtl/>
        </w:rPr>
        <w:t xml:space="preserve">سيفي ، محمّد بن محمّد مهدي</w:t>
      </w:r>
    </w:p>
    <w:p>
      <w:pPr>
        <w:pStyle w:val="Heading2"/>
      </w:pPr>
      <w:bookmarkStart w:id="3894" w:name="_Toc2996"/>
      <w:r>
        <w:t>حلي ، محمّد رضا</w:t>
      </w:r>
      <w:bookmarkEnd w:id="389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تسميط أبيات ابن الخياط</w:t>
      </w:r>
    </w:p>
    <w:p>
      <w:pPr>
        <w:pStyle w:val="BookText"/>
      </w:pPr>
      <w:r>
        <w:rPr>
          <w:rFonts w:ascii="Amiri" w:hAnsi="Amiri" w:eastAsia="Amiri" w:cs="Amiri"/>
          <w:lang w:bidi="ar-SA"/>
          <w:color w:val="111111"/>
          <w:sz w:val="28"/>
          <w:szCs w:val="28"/>
          <w:rtl/>
        </w:rPr>
        <w:t xml:space="preserve">الدمشقي، ج4، ص348.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جمان الابحر، ج 5، ص 423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العقد الفريد في معرفة القرائة و</w:t>
      </w:r>
    </w:p>
    <w:p>
      <w:pPr>
        <w:pStyle w:val="BookText"/>
      </w:pPr>
      <w:r>
        <w:rPr>
          <w:rFonts w:ascii="Amiri" w:hAnsi="Amiri" w:eastAsia="Amiri" w:cs="Amiri"/>
          <w:lang w:bidi="ar-SA"/>
          <w:color w:val="111111"/>
          <w:sz w:val="28"/>
          <w:szCs w:val="28"/>
          <w:rtl/>
        </w:rPr>
        <w:t xml:space="preserve">التجويد، ج 11، ص170.</w:t>
      </w:r>
    </w:p>
    <w:p>
      <w:pPr>
        <w:pStyle w:val="BookText"/>
      </w:pPr>
      <w:r>
        <w:rPr>
          <w:rFonts w:ascii="Amiri" w:hAnsi="Amiri" w:eastAsia="Amiri" w:cs="Amiri"/>
          <w:lang w:bidi="ar-SA"/>
          <w:color w:val="111111"/>
          <w:sz w:val="28"/>
          <w:szCs w:val="28"/>
          <w:rtl/>
        </w:rPr>
        <w:t xml:space="preserve">4 .لوامع الدرر في منهج الحق و</w:t>
      </w:r>
    </w:p>
    <w:p>
      <w:pPr>
        <w:pStyle w:val="BookText"/>
      </w:pPr>
      <w:r>
        <w:rPr>
          <w:rFonts w:ascii="IRNazanin" w:hAnsi="IRNazanin" w:eastAsia="IRNazanin" w:cs="IRNazanin"/>
          <w:lang w:bidi="fa-IR"/>
          <w:color w:val="111111"/>
          <w:sz w:val="28"/>
          <w:szCs w:val="28"/>
          <w:rtl/>
        </w:rPr>
        <w:t xml:space="preserve">الظفر، ج 13، ص 652.</w:t>
      </w:r>
    </w:p>
    <w:p>
      <w:pPr>
        <w:pStyle w:val="Heading2"/>
      </w:pPr>
      <w:bookmarkStart w:id="3895" w:name="_Toc2997"/>
      <w:r>
        <w:t>حلي ، محمّدصالح</w:t>
      </w:r>
      <w:bookmarkEnd w:id="3895"/>
    </w:p>
    <w:p>
      <w:pPr>
        <w:pStyle w:val="BookText"/>
      </w:pPr>
      <w:r>
        <w:rPr>
          <w:rFonts w:ascii="Amiri" w:hAnsi="Amiri" w:eastAsia="Amiri" w:cs="Amiri"/>
          <w:lang w:bidi="ar-SA"/>
          <w:color w:val="111111"/>
          <w:sz w:val="28"/>
          <w:szCs w:val="28"/>
          <w:rtl/>
        </w:rPr>
        <w:t xml:space="preserve">الفوائد العلية في علم العربية، ج 12،</w:t>
      </w:r>
    </w:p>
    <w:p>
      <w:pPr>
        <w:pStyle w:val="BookText"/>
      </w:pPr>
      <w:r>
        <w:rPr>
          <w:rFonts w:ascii="IRNazanin" w:hAnsi="IRNazanin" w:eastAsia="IRNazanin" w:cs="IRNazanin"/>
          <w:lang w:bidi="fa-IR"/>
          <w:color w:val="111111"/>
          <w:sz w:val="28"/>
          <w:szCs w:val="28"/>
          <w:rtl/>
        </w:rPr>
        <w:t xml:space="preserve">ص 247 .</w:t>
      </w:r>
    </w:p>
    <w:p>
      <w:pPr>
        <w:pStyle w:val="Heading2"/>
      </w:pPr>
      <w:bookmarkStart w:id="3896" w:name="_Toc2998"/>
      <w:r>
        <w:t>حلي ، مهدي</w:t>
      </w:r>
      <w:bookmarkEnd w:id="3896"/>
    </w:p>
    <w:p>
      <w:pPr>
        <w:pStyle w:val="BookText"/>
      </w:pPr>
      <w:r>
        <w:rPr>
          <w:rFonts w:ascii="Amiri" w:hAnsi="Amiri" w:eastAsia="Amiri" w:cs="Amiri"/>
          <w:lang w:bidi="ar-SA"/>
          <w:color w:val="111111"/>
          <w:sz w:val="28"/>
          <w:szCs w:val="28"/>
          <w:rtl/>
        </w:rPr>
        <w:t xml:space="preserve">ديوان سيّد مهدي الحلي، ج 7، ص 664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4" w:name="pg7742_70240"/>
    <w:bookmarkEnd w:id="424"/>
    <w:p>
      <w:pPr>
        <w:pStyle w:val="BookText"/>
      </w:pPr>
      <w:r>
        <w:rPr>
          <w:rFonts w:ascii="Amiri" w:hAnsi="Amiri" w:eastAsia="Amiri" w:cs="Amiri"/>
          <w:lang w:bidi="ar-SA"/>
          <w:color w:val="111111"/>
          <w:sz w:val="28"/>
          <w:szCs w:val="28"/>
          <w:rtl/>
        </w:rPr>
        <w:t xml:space="preserve">حلي موصلي ، علي بن عبد العزيز -خلعي</w:t>
      </w:r>
    </w:p>
    <w:p>
      <w:pPr>
        <w:pStyle w:val="BookText"/>
      </w:pPr>
      <w:r>
        <w:rPr>
          <w:rFonts w:ascii="Amiri" w:hAnsi="Amiri" w:eastAsia="Amiri" w:cs="Amiri"/>
          <w:lang w:bidi="ar-SA"/>
          <w:color w:val="111111"/>
          <w:sz w:val="28"/>
          <w:szCs w:val="28"/>
          <w:rtl/>
        </w:rPr>
        <w:t xml:space="preserve">حلي ،موصلي ، علي بن عبدالعزيز</w:t>
      </w:r>
    </w:p>
    <w:p>
      <w:pPr>
        <w:pStyle w:val="Heading2"/>
      </w:pPr>
      <w:bookmarkStart w:id="3897" w:name="_Toc2999"/>
      <w:r>
        <w:t>حليمي، لطف الله بن يوسف - 922؟ ه-</w:t>
      </w:r>
      <w:bookmarkEnd w:id="3897"/>
    </w:p>
    <w:p>
      <w:pPr>
        <w:pStyle w:val="BookText"/>
      </w:pPr>
      <w:r>
        <w:rPr>
          <w:rFonts w:ascii="Amiri" w:hAnsi="Amiri" w:eastAsia="Amiri" w:cs="Amiri"/>
          <w:lang w:bidi="ar-SA"/>
          <w:color w:val="111111"/>
          <w:sz w:val="28"/>
          <w:szCs w:val="28"/>
          <w:rtl/>
        </w:rPr>
        <w:t xml:space="preserve">شرح بحر الغرايب = قائمه = لغت</w:t>
      </w:r>
    </w:p>
    <w:p>
      <w:pPr>
        <w:pStyle w:val="BookText"/>
      </w:pPr>
      <w:r>
        <w:rPr>
          <w:rFonts w:ascii="Amiri" w:hAnsi="Amiri" w:eastAsia="Amiri" w:cs="Amiri"/>
          <w:lang w:bidi="ar-SA"/>
          <w:color w:val="111111"/>
          <w:sz w:val="28"/>
          <w:szCs w:val="28"/>
          <w:rtl/>
        </w:rPr>
        <w:t xml:space="preserve">حليمي = القاسميه، ج9، ص277</w:t>
      </w:r>
    </w:p>
    <w:p>
      <w:pPr>
        <w:pStyle w:val="BookText"/>
      </w:pPr>
      <w:r>
        <w:rPr>
          <w:rFonts w:ascii="Amiri" w:hAnsi="Amiri" w:eastAsia="Amiri" w:cs="Amiri"/>
          <w:lang w:bidi="ar-SA"/>
          <w:color w:val="111111"/>
          <w:sz w:val="28"/>
          <w:szCs w:val="28"/>
          <w:rtl/>
        </w:rPr>
        <w:t xml:space="preserve">حليمي ، محمّد بن اسعد- حكيمي محمّد بن اسعد</w:t>
      </w:r>
    </w:p>
    <w:p>
      <w:pPr>
        <w:pStyle w:val="Heading2"/>
      </w:pPr>
      <w:bookmarkStart w:id="3898" w:name="_Toc3000"/>
      <w:r>
        <w:t>حلي نجفي محمود بن درویش قرن 11 ه-</w:t>
      </w:r>
      <w:bookmarkEnd w:id="3898"/>
    </w:p>
    <w:p>
      <w:pPr>
        <w:pStyle w:val="BookText"/>
      </w:pPr>
      <w:r>
        <w:rPr>
          <w:rFonts w:ascii="Amiri" w:hAnsi="Amiri" w:eastAsia="Amiri" w:cs="Amiri"/>
          <w:lang w:bidi="ar-SA"/>
          <w:color w:val="111111"/>
          <w:sz w:val="28"/>
          <w:szCs w:val="28"/>
          <w:rtl/>
        </w:rPr>
        <w:t xml:space="preserve">ميزان المقادير، ج 16، ص 75.</w:t>
      </w:r>
    </w:p>
    <w:p>
      <w:pPr>
        <w:pStyle w:val="BookText"/>
      </w:pPr>
      <w:r>
        <w:rPr>
          <w:rFonts w:ascii="Amiri" w:hAnsi="Amiri" w:eastAsia="Amiri" w:cs="Amiri"/>
          <w:lang w:bidi="ar-SA"/>
          <w:color w:val="111111"/>
          <w:sz w:val="28"/>
          <w:szCs w:val="28"/>
          <w:rtl/>
        </w:rPr>
        <w:t xml:space="preserve">حلي هذلي، ابوزكريا يحيى بن احمد- ابن</w:t>
      </w:r>
    </w:p>
    <w:p>
      <w:pPr>
        <w:pStyle w:val="BookText"/>
      </w:pPr>
      <w:r>
        <w:rPr>
          <w:rFonts w:ascii="Amiri" w:hAnsi="Amiri" w:eastAsia="Amiri" w:cs="Amiri"/>
          <w:lang w:bidi="ar-SA"/>
          <w:color w:val="111111"/>
          <w:sz w:val="28"/>
          <w:szCs w:val="28"/>
          <w:rtl/>
        </w:rPr>
        <w:t xml:space="preserve">سعيد ، يحيى بن احمد</w:t>
      </w:r>
    </w:p>
    <w:p>
      <w:pPr>
        <w:pStyle w:val="BookText"/>
      </w:pPr>
      <w:r>
        <w:rPr>
          <w:rFonts w:ascii="Amiri" w:hAnsi="Amiri" w:eastAsia="Amiri" w:cs="Amiri"/>
          <w:lang w:bidi="ar-SA"/>
          <w:color w:val="111111"/>
          <w:sz w:val="28"/>
          <w:szCs w:val="28"/>
          <w:rtl/>
        </w:rPr>
        <w:t xml:space="preserve">حلي ، يحيى بن احمد- ابن سعيد ، يحيى</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حلي ، يحيى بن حسن -ابن بطريق يحيى بن حسن</w:t>
      </w:r>
    </w:p>
    <w:p>
      <w:pPr>
        <w:pStyle w:val="Heading2"/>
      </w:pPr>
      <w:bookmarkStart w:id="3899" w:name="_Toc3001"/>
      <w:r>
        <w:t>حلي نجفي ، حسين بن علي، قرن 14 ه-</w:t>
      </w:r>
      <w:bookmarkEnd w:id="3899"/>
    </w:p>
    <w:p>
      <w:pPr>
        <w:pStyle w:val="BookText"/>
      </w:pPr>
      <w:r>
        <w:rPr>
          <w:rFonts w:ascii="Amiri" w:hAnsi="Amiri" w:eastAsia="Amiri" w:cs="Amiri"/>
          <w:lang w:bidi="ar-SA"/>
          <w:color w:val="111111"/>
          <w:sz w:val="28"/>
          <w:szCs w:val="28"/>
          <w:rtl/>
        </w:rPr>
        <w:t xml:space="preserve">1 .تعليقات الحلي على العروة</w:t>
      </w:r>
    </w:p>
    <w:p>
      <w:pPr>
        <w:pStyle w:val="BookText"/>
      </w:pPr>
      <w:r>
        <w:rPr>
          <w:rFonts w:ascii="IRNazanin" w:hAnsi="IRNazanin" w:eastAsia="IRNazanin" w:cs="IRNazanin"/>
          <w:lang w:bidi="fa-IR"/>
          <w:color w:val="111111"/>
          <w:sz w:val="28"/>
          <w:szCs w:val="28"/>
          <w:rtl/>
        </w:rPr>
        <w:t xml:space="preserve">الوثقى، ج 4، ص 490.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تعليقة الحلي على ابحاث النائيني</w:t>
      </w:r>
    </w:p>
    <w:p>
      <w:pPr>
        <w:pStyle w:val="BookText"/>
      </w:pPr>
      <w:r>
        <w:rPr>
          <w:rFonts w:ascii="IRNazanin" w:hAnsi="IRNazanin" w:eastAsia="IRNazanin" w:cs="IRNazanin"/>
          <w:lang w:bidi="fa-IR"/>
          <w:color w:val="111111"/>
          <w:sz w:val="28"/>
          <w:szCs w:val="28"/>
          <w:rtl/>
        </w:rPr>
        <w:t xml:space="preserve">ج 4، ص 510.</w:t>
      </w:r>
    </w:p>
    <w:p>
      <w:pPr>
        <w:pStyle w:val="BookText"/>
      </w:pPr>
      <w:r>
        <w:rPr>
          <w:rFonts w:ascii="Amiri" w:hAnsi="Amiri" w:eastAsia="Amiri" w:cs="Amiri"/>
          <w:lang w:bidi="ar-SA"/>
          <w:color w:val="111111"/>
          <w:sz w:val="28"/>
          <w:szCs w:val="28"/>
          <w:rtl/>
        </w:rPr>
        <w:t xml:space="preserve">3 .تعليقة على رسالة قاعدة لاضرر للشيخ موسى ج4، ص518</w:t>
      </w:r>
    </w:p>
    <w:p>
      <w:pPr>
        <w:pStyle w:val="BookText"/>
      </w:pPr>
      <w:r>
        <w:rPr>
          <w:rFonts w:ascii="Amiri" w:hAnsi="Amiri" w:eastAsia="Amiri" w:cs="Amiri"/>
          <w:lang w:bidi="ar-SA"/>
          <w:color w:val="111111"/>
          <w:sz w:val="28"/>
          <w:szCs w:val="28"/>
          <w:rtl/>
        </w:rPr>
        <w:t xml:space="preserve">4 .تعليقة على رسالة قاعدة لاضرر</w:t>
      </w:r>
    </w:p>
    <w:p>
      <w:pPr>
        <w:pStyle w:val="BookText"/>
      </w:pPr>
      <w:r>
        <w:rPr>
          <w:rFonts w:ascii="Amiri" w:hAnsi="Amiri" w:eastAsia="Amiri" w:cs="Amiri"/>
          <w:lang w:bidi="ar-SA"/>
          <w:color w:val="111111"/>
          <w:sz w:val="28"/>
          <w:szCs w:val="28"/>
          <w:rtl/>
        </w:rPr>
        <w:t xml:space="preserve">للنائيني، ج4، ص518.</w:t>
      </w:r>
    </w:p>
    <w:p>
      <w:pPr>
        <w:pStyle w:val="BookText"/>
      </w:pPr>
      <w:r>
        <w:rPr>
          <w:rFonts w:ascii="Amiri" w:hAnsi="Amiri" w:eastAsia="Amiri" w:cs="Amiri"/>
          <w:lang w:bidi="ar-SA"/>
          <w:color w:val="111111"/>
          <w:sz w:val="28"/>
          <w:szCs w:val="28"/>
          <w:rtl/>
        </w:rPr>
        <w:t xml:space="preserve">5 .تقريرات ابحاث النائيني جع،</w:t>
      </w:r>
    </w:p>
    <w:p>
      <w:pPr>
        <w:pStyle w:val="BookText"/>
      </w:pPr>
      <w:r>
        <w:rPr>
          <w:rFonts w:ascii="IRNazanin" w:hAnsi="IRNazanin" w:eastAsia="IRNazanin" w:cs="IRNazanin"/>
          <w:lang w:bidi="fa-IR"/>
          <w:color w:val="111111"/>
          <w:sz w:val="28"/>
          <w:szCs w:val="28"/>
          <w:rtl/>
        </w:rPr>
        <w:t xml:space="preserve">ص 738.</w:t>
      </w:r>
    </w:p>
    <w:p>
      <w:pPr>
        <w:pStyle w:val="Heading2"/>
      </w:pPr>
      <w:bookmarkStart w:id="3900" w:name="_Toc3002"/>
      <w:r>
        <w:t>حلي نجفي ، عبد الحسين بن قاسم قرن</w:t>
      </w:r>
      <w:bookmarkEnd w:id="3900"/>
    </w:p>
    <w:p>
      <w:pPr>
        <w:pStyle w:val="BookText"/>
      </w:pPr>
      <w:r>
        <w:rPr>
          <w:rFonts w:ascii="IRNazanin" w:hAnsi="IRNazanin" w:eastAsia="IRNazanin" w:cs="IRNazanin"/>
          <w:lang w:bidi="fa-IR"/>
          <w:color w:val="111111"/>
          <w:sz w:val="28"/>
          <w:szCs w:val="28"/>
          <w:rtl/>
        </w:rPr>
        <w:t xml:space="preserve">14ه-</w:t>
      </w:r>
    </w:p>
    <w:p>
      <w:pPr>
        <w:pStyle w:val="BookText"/>
      </w:pPr>
      <w:r>
        <w:rPr>
          <w:rFonts w:ascii="Amiri" w:hAnsi="Amiri" w:eastAsia="Amiri" w:cs="Amiri"/>
          <w:lang w:bidi="ar-SA"/>
          <w:color w:val="111111"/>
          <w:sz w:val="28"/>
          <w:szCs w:val="28"/>
          <w:rtl/>
        </w:rPr>
        <w:t xml:space="preserve">1 .تمليك المال و شرط عدم الحج، جع،</w:t>
      </w:r>
    </w:p>
    <w:p>
      <w:pPr>
        <w:pStyle w:val="BookText"/>
      </w:pPr>
      <w:r>
        <w:rPr>
          <w:rFonts w:ascii="IRNazanin" w:hAnsi="IRNazanin" w:eastAsia="IRNazanin" w:cs="IRNazanin"/>
          <w:lang w:bidi="fa-IR"/>
          <w:color w:val="111111"/>
          <w:sz w:val="28"/>
          <w:szCs w:val="28"/>
          <w:rtl/>
        </w:rPr>
        <w:t xml:space="preserve">ص 885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سيرة شيخ الشريعة و آثاره، ج 9،</w:t>
      </w:r>
    </w:p>
    <w:p>
      <w:pPr>
        <w:pStyle w:val="BookText"/>
      </w:pPr>
      <w:r>
        <w:rPr>
          <w:rFonts w:ascii="IRNazanin" w:hAnsi="IRNazanin" w:eastAsia="IRNazanin" w:cs="IRNazanin"/>
          <w:lang w:bidi="fa-IR"/>
          <w:color w:val="111111"/>
          <w:sz w:val="28"/>
          <w:szCs w:val="28"/>
          <w:rtl/>
        </w:rPr>
        <w:t xml:space="preserve">ص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الاثنى عشرية الصلاتية، ج9،</w:t>
      </w:r>
    </w:p>
    <w:p>
      <w:pPr>
        <w:pStyle w:val="BookText"/>
      </w:pPr>
      <w:r>
        <w:rPr>
          <w:rFonts w:ascii="IRNazanin" w:hAnsi="IRNazanin" w:eastAsia="IRNazanin" w:cs="IRNazanin"/>
          <w:lang w:bidi="fa-IR"/>
          <w:color w:val="111111"/>
          <w:sz w:val="28"/>
          <w:szCs w:val="28"/>
          <w:rtl/>
        </w:rPr>
        <w:t xml:space="preserve">ص 158.</w:t>
      </w:r>
    </w:p>
    <w:p>
      <w:pPr>
        <w:pStyle w:val="BookText"/>
      </w:pPr>
      <w:r>
        <w:rPr>
          <w:rFonts w:ascii="Amiri" w:hAnsi="Amiri" w:eastAsia="Amiri" w:cs="Amiri"/>
          <w:lang w:bidi="ar-SA"/>
          <w:color w:val="111111"/>
          <w:sz w:val="28"/>
          <w:szCs w:val="28"/>
          <w:rtl/>
        </w:rPr>
        <w:t xml:space="preserve">4 .نذر الزوجة صوم يوم معين في كل</w:t>
      </w:r>
    </w:p>
    <w:p>
      <w:pPr>
        <w:pStyle w:val="BookText"/>
      </w:pPr>
      <w:r>
        <w:rPr>
          <w:rFonts w:ascii="IRNazanin" w:hAnsi="IRNazanin" w:eastAsia="IRNazanin" w:cs="IRNazanin"/>
          <w:lang w:bidi="fa-IR"/>
          <w:color w:val="111111"/>
          <w:sz w:val="28"/>
          <w:szCs w:val="28"/>
          <w:rtl/>
        </w:rPr>
        <w:t xml:space="preserve">شهر، ج 16، ص 213.</w:t>
      </w:r>
    </w:p>
    <w:p>
      <w:pPr>
        <w:pStyle w:val="Heading2"/>
      </w:pPr>
      <w:bookmarkStart w:id="3901" w:name="_Toc3003"/>
      <w:r>
        <w:t>حلي ، يحيى بن محسن</w:t>
      </w:r>
      <w:bookmarkEnd w:id="3901"/>
    </w:p>
    <w:p>
      <w:pPr>
        <w:pStyle w:val="BookText"/>
      </w:pPr>
      <w:r>
        <w:rPr>
          <w:rFonts w:ascii="Amiri" w:hAnsi="Amiri" w:eastAsia="Amiri" w:cs="Amiri"/>
          <w:lang w:bidi="ar-SA"/>
          <w:color w:val="111111"/>
          <w:sz w:val="28"/>
          <w:szCs w:val="28"/>
          <w:rtl/>
        </w:rPr>
        <w:t xml:space="preserve">عمرة صالح الاخبار، ج 11، ص310.</w:t>
      </w:r>
    </w:p>
    <w:p>
      <w:pPr>
        <w:pStyle w:val="BookText"/>
      </w:pPr>
      <w:r>
        <w:rPr>
          <w:rFonts w:ascii="Amiri" w:hAnsi="Amiri" w:eastAsia="Amiri" w:cs="Amiri"/>
          <w:lang w:bidi="ar-SA"/>
          <w:color w:val="111111"/>
          <w:sz w:val="28"/>
          <w:szCs w:val="28"/>
          <w:rtl/>
        </w:rPr>
        <w:t xml:space="preserve">حماد بن اسحاق ازدي -ازدي ، حماد بن</w:t>
      </w:r>
    </w:p>
    <w:p>
      <w:pPr>
        <w:pStyle w:val="BookText"/>
      </w:pPr>
      <w:r>
        <w:rPr>
          <w:rFonts w:ascii="IRNazanin" w:hAnsi="IRNazanin" w:eastAsia="IRNazanin" w:cs="IRNazanin"/>
          <w:lang w:bidi="fa-IR"/>
          <w:color w:val="111111"/>
          <w:sz w:val="28"/>
          <w:szCs w:val="28"/>
          <w:rtl/>
        </w:rPr>
        <w:t xml:space="preserve">اسحاق</w:t>
      </w:r>
    </w:p>
    <w:p>
      <w:pPr>
        <w:pStyle w:val="Heading2"/>
      </w:pPr>
      <w:bookmarkStart w:id="3902" w:name="_Toc3004"/>
      <w:r>
        <w:t>حماد ، نصر الله بن محمّد، قرن 13 ه-</w:t>
      </w:r>
      <w:bookmarkEnd w:id="3902"/>
    </w:p>
    <w:p>
      <w:pPr>
        <w:pStyle w:val="BookText"/>
      </w:pPr>
      <w:r>
        <w:rPr>
          <w:rFonts w:ascii="Amiri" w:hAnsi="Amiri" w:eastAsia="Amiri" w:cs="Amiri"/>
          <w:lang w:bidi="ar-SA"/>
          <w:color w:val="111111"/>
          <w:sz w:val="28"/>
          <w:szCs w:val="28"/>
          <w:rtl/>
        </w:rPr>
        <w:t xml:space="preserve">كنز الدقائق (ترجمه)، ج13، ص 415.</w:t>
      </w:r>
    </w:p>
    <w:p>
      <w:pPr>
        <w:pStyle w:val="Heading2"/>
      </w:pPr>
      <w:bookmarkStart w:id="3903" w:name="_Toc3005"/>
      <w:r>
        <w:t>حمادي الحلي</w:t>
      </w:r>
      <w:bookmarkEnd w:id="3903"/>
    </w:p>
    <w:p>
      <w:pPr>
        <w:pStyle w:val="BookText"/>
      </w:pPr>
      <w:r>
        <w:rPr>
          <w:rFonts w:ascii="Amiri" w:hAnsi="Amiri" w:eastAsia="Amiri" w:cs="Amiri"/>
          <w:lang w:bidi="ar-SA"/>
          <w:color w:val="111111"/>
          <w:sz w:val="28"/>
          <w:szCs w:val="28"/>
          <w:rtl/>
        </w:rPr>
        <w:t xml:space="preserve">قصيدة، ج 12، ص 640.</w:t>
      </w:r>
    </w:p>
    <w:p>
      <w:pPr>
        <w:pStyle w:val="Heading2"/>
      </w:pPr>
      <w:bookmarkStart w:id="3904" w:name="_Toc3006"/>
      <w:r>
        <w:t>حمادي كعبي ، محمّد بن سلمان</w:t>
      </w:r>
      <w:bookmarkEnd w:id="3904"/>
    </w:p>
    <w:p>
      <w:pPr>
        <w:pStyle w:val="BookText"/>
      </w:pPr>
      <w:r>
        <w:rPr>
          <w:rFonts w:ascii="IRNazanin" w:hAnsi="IRNazanin" w:eastAsia="IRNazanin" w:cs="IRNazanin"/>
          <w:lang w:bidi="fa-IR"/>
          <w:color w:val="111111"/>
          <w:sz w:val="28"/>
          <w:szCs w:val="28"/>
          <w:rtl/>
        </w:rPr>
        <w:t xml:space="preserve">1325 ه-</w:t>
      </w:r>
    </w:p>
    <w:p>
      <w:pPr>
        <w:pStyle w:val="BookText"/>
      </w:pPr>
      <w:r>
        <w:rPr>
          <w:rFonts w:ascii="IRNazanin" w:hAnsi="IRNazanin" w:eastAsia="IRNazanin" w:cs="IRNazanin"/>
          <w:lang w:bidi="fa-IR"/>
          <w:color w:val="111111"/>
          <w:sz w:val="28"/>
          <w:szCs w:val="28"/>
          <w:rtl/>
        </w:rPr>
        <w:t xml:space="preserve">اختبار العارف و نهل الغارف، ج 1،</w:t>
      </w:r>
    </w:p>
    <w:p>
      <w:pPr>
        <w:pStyle w:val="BookText"/>
      </w:pPr>
      <w:r>
        <w:rPr>
          <w:rFonts w:ascii="IRNazanin" w:hAnsi="IRNazanin" w:eastAsia="IRNazanin" w:cs="IRNazanin"/>
          <w:lang w:bidi="fa-IR"/>
          <w:color w:val="111111"/>
          <w:sz w:val="28"/>
          <w:szCs w:val="28"/>
          <w:rtl/>
        </w:rPr>
        <w:t xml:space="preserve">ص 539</w:t>
      </w:r>
    </w:p>
    <w:p>
      <w:pPr>
        <w:pStyle w:val="Heading2"/>
      </w:pPr>
      <w:bookmarkStart w:id="3905" w:name="_Toc3007"/>
      <w:r>
        <w:t>حمامي ، احمد بن عمر - 1017 ه-</w:t>
      </w:r>
      <w:bookmarkEnd w:id="3905"/>
    </w:p>
    <w:p>
      <w:pPr>
        <w:pStyle w:val="BookText"/>
      </w:pPr>
      <w:r>
        <w:rPr>
          <w:rFonts w:ascii="Amiri" w:hAnsi="Amiri" w:eastAsia="Amiri" w:cs="Amiri"/>
          <w:lang w:bidi="ar-SA"/>
          <w:color w:val="111111"/>
          <w:sz w:val="28"/>
          <w:szCs w:val="28"/>
          <w:rtl/>
        </w:rPr>
        <w:t xml:space="preserve">1 .اعذب المشارب في السلوك و المناقب = شرح التائية، ج 2، ص 527.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5" w:name="pg7742_70242"/>
    <w:bookmarkEnd w:id="425"/>
    <w:p>
      <w:pPr>
        <w:pStyle w:val="BookText"/>
      </w:pPr>
      <w:r>
        <w:rPr>
          <w:rFonts w:ascii="Amiri" w:hAnsi="Amiri" w:eastAsia="Amiri" w:cs="Amiri"/>
          <w:lang w:bidi="ar-SA"/>
          <w:color w:val="111111"/>
          <w:sz w:val="28"/>
          <w:szCs w:val="28"/>
          <w:rtl/>
        </w:rPr>
        <w:t xml:space="preserve">2 .الاوراد العلوانية، ج 3، ص 65.</w:t>
      </w:r>
    </w:p>
    <w:p>
      <w:pPr>
        <w:pStyle w:val="BookText"/>
      </w:pPr>
      <w:r>
        <w:rPr>
          <w:rFonts w:ascii="Amiri" w:hAnsi="Amiri" w:eastAsia="Amiri" w:cs="Amiri"/>
          <w:lang w:bidi="ar-SA"/>
          <w:color w:val="111111"/>
          <w:sz w:val="28"/>
          <w:szCs w:val="28"/>
          <w:rtl/>
        </w:rPr>
        <w:t xml:space="preserve">3.بهجة الناهض إلى علم الفرائض مع</w:t>
      </w:r>
    </w:p>
    <w:p>
      <w:pPr>
        <w:pStyle w:val="BookText"/>
      </w:pPr>
      <w:r>
        <w:rPr>
          <w:rFonts w:ascii="Amiri" w:hAnsi="Amiri" w:eastAsia="Amiri" w:cs="Amiri"/>
          <w:lang w:bidi="ar-SA"/>
          <w:color w:val="111111"/>
          <w:sz w:val="28"/>
          <w:szCs w:val="28"/>
          <w:rtl/>
        </w:rPr>
        <w:t xml:space="preserve">شرحها كشف العوارض، ج 3،</w:t>
      </w:r>
    </w:p>
    <w:p>
      <w:pPr>
        <w:pStyle w:val="BookText"/>
      </w:pPr>
      <w:r>
        <w:rPr>
          <w:rFonts w:ascii="IRNazanin" w:hAnsi="IRNazanin" w:eastAsia="IRNazanin" w:cs="IRNazanin"/>
          <w:lang w:bidi="fa-IR"/>
          <w:color w:val="111111"/>
          <w:sz w:val="28"/>
          <w:szCs w:val="28"/>
          <w:rtl/>
        </w:rPr>
        <w:t xml:space="preserve">ص 440.</w:t>
      </w:r>
    </w:p>
    <w:p>
      <w:pPr>
        <w:pStyle w:val="BookText"/>
      </w:pPr>
      <w:r>
        <w:rPr>
          <w:rFonts w:ascii="Amiri" w:hAnsi="Amiri" w:eastAsia="Amiri" w:cs="Amiri"/>
          <w:lang w:bidi="ar-SA"/>
          <w:color w:val="111111"/>
          <w:sz w:val="28"/>
          <w:szCs w:val="28"/>
          <w:rtl/>
        </w:rPr>
        <w:t xml:space="preserve">حمامي زاده -نهروالي ، محمّد بن احمد</w:t>
      </w:r>
    </w:p>
    <w:p>
      <w:pPr>
        <w:pStyle w:val="BookText"/>
      </w:pPr>
      <w:r>
        <w:rPr>
          <w:rFonts w:ascii="Amiri" w:hAnsi="Amiri" w:eastAsia="Amiri" w:cs="Amiri"/>
          <w:lang w:bidi="ar-SA"/>
          <w:color w:val="111111"/>
          <w:sz w:val="28"/>
          <w:szCs w:val="28"/>
          <w:rtl/>
        </w:rPr>
        <w:t xml:space="preserve">حمد الله بن آق شمس الدين محمّد- ابن،</w:t>
      </w:r>
    </w:p>
    <w:p>
      <w:pPr>
        <w:pStyle w:val="BookText"/>
      </w:pPr>
      <w:r>
        <w:rPr>
          <w:rFonts w:ascii="IRNazanin" w:hAnsi="IRNazanin" w:eastAsia="IRNazanin" w:cs="IRNazanin"/>
          <w:lang w:bidi="fa-IR"/>
          <w:color w:val="111111"/>
          <w:sz w:val="28"/>
          <w:szCs w:val="28"/>
          <w:rtl/>
        </w:rPr>
        <w:t xml:space="preserve">آق شمس الدین ، حمد الله بن محمّد</w:t>
      </w:r>
    </w:p>
    <w:p>
      <w:pPr>
        <w:pStyle w:val="Heading2"/>
      </w:pPr>
      <w:bookmarkStart w:id="3906" w:name="_Toc3008"/>
      <w:r>
        <w:t>حمد الله بن خيرالدين قرن 10 ه-</w:t>
      </w:r>
      <w:bookmarkEnd w:id="3906"/>
    </w:p>
    <w:p>
      <w:pPr>
        <w:pStyle w:val="BookText"/>
      </w:pPr>
      <w:r>
        <w:rPr>
          <w:rFonts w:ascii="Amiri" w:hAnsi="Amiri" w:eastAsia="Amiri" w:cs="Amiri"/>
          <w:lang w:bidi="ar-SA"/>
          <w:color w:val="111111"/>
          <w:sz w:val="28"/>
          <w:szCs w:val="28"/>
          <w:rtl/>
        </w:rPr>
        <w:t xml:space="preserve">عمدة العرفان في وصف حروف</w:t>
      </w:r>
    </w:p>
    <w:p>
      <w:pPr>
        <w:pStyle w:val="BookText"/>
      </w:pPr>
      <w:r>
        <w:rPr>
          <w:rFonts w:ascii="IRNazanin" w:hAnsi="IRNazanin" w:eastAsia="IRNazanin" w:cs="IRNazanin"/>
          <w:lang w:bidi="fa-IR"/>
          <w:color w:val="111111"/>
          <w:sz w:val="28"/>
          <w:szCs w:val="28"/>
          <w:rtl/>
        </w:rPr>
        <w:t xml:space="preserve">القرآن، ج 11، ص 300.</w:t>
      </w:r>
    </w:p>
    <w:p>
      <w:pPr>
        <w:pStyle w:val="BookText"/>
      </w:pPr>
      <w:r>
        <w:rPr>
          <w:rFonts w:ascii="Amiri" w:hAnsi="Amiri" w:eastAsia="Amiri" w:cs="Amiri"/>
          <w:lang w:bidi="ar-SA"/>
          <w:color w:val="111111"/>
          <w:sz w:val="28"/>
          <w:szCs w:val="28"/>
          <w:rtl/>
        </w:rPr>
        <w:t xml:space="preserve">حمد الله بن فضل الله سنديلوي- سنديلوي الدين ابن</w:t>
      </w:r>
    </w:p>
    <w:p>
      <w:pPr>
        <w:pStyle w:val="BookText"/>
      </w:pPr>
      <w:r>
        <w:rPr>
          <w:rFonts w:ascii="IRNazanin" w:hAnsi="IRNazanin" w:eastAsia="IRNazanin" w:cs="IRNazanin"/>
          <w:lang w:bidi="fa-IR"/>
          <w:color w:val="111111"/>
          <w:sz w:val="28"/>
          <w:szCs w:val="28"/>
          <w:rtl/>
        </w:rPr>
        <w:t xml:space="preserve">، حمد الله بن فضل الله</w:t>
      </w:r>
    </w:p>
    <w:p>
      <w:pPr>
        <w:pStyle w:val="BookText"/>
      </w:pPr>
      <w:r>
        <w:rPr>
          <w:rFonts w:ascii="IRNazanin" w:hAnsi="IRNazanin" w:eastAsia="IRNazanin" w:cs="IRNazanin"/>
          <w:lang w:bidi="fa-IR"/>
          <w:color w:val="111111"/>
          <w:sz w:val="28"/>
          <w:szCs w:val="28"/>
          <w:rtl/>
        </w:rPr>
        <w:t xml:space="preserve">حمد الله بن محمّد ابن آق شمس الدين -ابن آق شمس الدین ، حمد الله</w:t>
      </w:r>
    </w:p>
    <w:p>
      <w:pPr>
        <w:pStyle w:val="BookText"/>
      </w:pPr>
      <w:r>
        <w:rPr>
          <w:rFonts w:ascii="Amiri" w:hAnsi="Amiri" w:eastAsia="Amiri" w:cs="Amiri"/>
          <w:lang w:bidi="ar-SA"/>
          <w:color w:val="111111"/>
          <w:sz w:val="28"/>
          <w:szCs w:val="28"/>
          <w:rtl/>
        </w:rPr>
        <w:t xml:space="preserve">محمّد</w:t>
      </w:r>
    </w:p>
    <w:p>
      <w:pPr>
        <w:pStyle w:val="Heading2"/>
      </w:pPr>
      <w:bookmarkStart w:id="3907" w:name="_Toc3009"/>
      <w:r>
        <w:t>حمد الله مستوفي ، حمد الله بن ابي بكر</w:t>
      </w:r>
      <w:bookmarkEnd w:id="3907"/>
    </w:p>
    <w:p>
      <w:pPr>
        <w:pStyle w:val="BookText"/>
      </w:pPr>
      <w:r>
        <w:rPr>
          <w:rFonts w:ascii="IRNazanin" w:hAnsi="IRNazanin" w:eastAsia="IRNazanin" w:cs="IRNazanin"/>
          <w:lang w:bidi="fa-IR"/>
          <w:color w:val="111111"/>
          <w:sz w:val="28"/>
          <w:szCs w:val="28"/>
          <w:rtl/>
        </w:rPr>
        <w:t xml:space="preserve">680 - 750 ه-</w:t>
      </w:r>
    </w:p>
    <w:p>
      <w:pPr>
        <w:pStyle w:val="BookText"/>
      </w:pPr>
      <w:r>
        <w:rPr>
          <w:rFonts w:ascii="Amiri" w:hAnsi="Amiri" w:eastAsia="Amiri" w:cs="Amiri"/>
          <w:lang w:bidi="ar-SA"/>
          <w:color w:val="111111"/>
          <w:sz w:val="28"/>
          <w:szCs w:val="28"/>
          <w:rtl/>
        </w:rPr>
        <w:t xml:space="preserve">نزهة القلوب، ج 16 ، ص 239.</w:t>
      </w:r>
    </w:p>
    <w:p>
      <w:pPr>
        <w:pStyle w:val="Heading2"/>
      </w:pPr>
      <w:bookmarkStart w:id="3908" w:name="_Toc3010"/>
      <w:r>
        <w:t>حمداني، امير وجيه الدوله - 428 ه-</w:t>
      </w:r>
      <w:bookmarkEnd w:id="3908"/>
    </w:p>
    <w:p>
      <w:pPr>
        <w:pStyle w:val="BookText"/>
      </w:pPr>
      <w:r>
        <w:rPr>
          <w:rFonts w:ascii="Amiri" w:hAnsi="Amiri" w:eastAsia="Amiri" w:cs="Amiri"/>
          <w:lang w:bidi="ar-SA"/>
          <w:color w:val="111111"/>
          <w:sz w:val="28"/>
          <w:szCs w:val="28"/>
          <w:rtl/>
        </w:rPr>
        <w:t xml:space="preserve">ديوان الامير وجيه الدولة الحمداني</w:t>
      </w:r>
    </w:p>
    <w:p>
      <w:pPr>
        <w:pStyle w:val="BookText"/>
      </w:pPr>
      <w:r>
        <w:rPr>
          <w:rFonts w:ascii="IRNazanin" w:hAnsi="IRNazanin" w:eastAsia="IRNazanin" w:cs="IRNazanin"/>
          <w:lang w:bidi="fa-IR"/>
          <w:color w:val="111111"/>
          <w:sz w:val="28"/>
          <w:szCs w:val="28"/>
          <w:rtl/>
        </w:rPr>
        <w:t xml:space="preserve">ج 7، ص 581</w:t>
      </w:r>
    </w:p>
    <w:p>
      <w:pPr>
        <w:pStyle w:val="BookText"/>
      </w:pPr>
      <w:r>
        <w:rPr>
          <w:rFonts w:ascii="Amiri" w:hAnsi="Amiri" w:eastAsia="Amiri" w:cs="Amiri"/>
          <w:lang w:bidi="ar-SA"/>
          <w:color w:val="111111"/>
          <w:sz w:val="28"/>
          <w:szCs w:val="28"/>
          <w:rtl/>
        </w:rPr>
        <w:t xml:space="preserve">حمد بن محمّد الخطابي- خطابي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حمدون بن حمزة -حنفي ابوالطيب</w:t>
      </w:r>
    </w:p>
    <w:p>
      <w:pPr>
        <w:pStyle w:val="BookText"/>
      </w:pPr>
      <w:r>
        <w:rPr>
          <w:rFonts w:ascii="Amiri" w:hAnsi="Amiri" w:eastAsia="Amiri" w:cs="Amiri"/>
          <w:lang w:bidi="ar-SA"/>
          <w:color w:val="111111"/>
          <w:sz w:val="28"/>
          <w:szCs w:val="28"/>
          <w:rtl/>
        </w:rPr>
        <w:t xml:space="preserve">حمدون بن حمزة</w:t>
      </w:r>
    </w:p>
    <w:p>
      <w:pPr>
        <w:pStyle w:val="Heading2"/>
      </w:pPr>
      <w:bookmarkStart w:id="3909" w:name="_Toc3011"/>
      <w:r>
        <w:t>حمدي ، احمد بن عبدالله قرن</w:t>
      </w:r>
      <w:bookmarkEnd w:id="3909"/>
    </w:p>
    <w:p>
      <w:pPr>
        <w:pStyle w:val="BookText"/>
      </w:pPr>
      <w:r>
        <w:rPr>
          <w:rFonts w:ascii="Amiri" w:hAnsi="Amiri" w:eastAsia="Amiri" w:cs="Amiri"/>
          <w:lang w:bidi="ar-SA"/>
          <w:color w:val="111111"/>
          <w:sz w:val="28"/>
          <w:szCs w:val="28"/>
          <w:rtl/>
        </w:rPr>
        <w:t xml:space="preserve">مشتهي الفحول ، ج 14 ، ص 622 .</w:t>
      </w:r>
    </w:p>
    <w:p>
      <w:pPr>
        <w:pStyle w:val="BookText"/>
      </w:pPr>
      <w:r>
        <w:rPr>
          <w:rFonts w:ascii="Amiri" w:hAnsi="Amiri" w:eastAsia="Amiri" w:cs="Amiri"/>
          <w:lang w:bidi="ar-SA"/>
          <w:color w:val="111111"/>
          <w:sz w:val="28"/>
          <w:szCs w:val="28"/>
          <w:rtl/>
        </w:rPr>
        <w:t xml:space="preserve">حمدي ، احمد بن محمّد- ابن آق شمس</w:t>
      </w:r>
    </w:p>
    <w:p>
      <w:pPr>
        <w:pStyle w:val="BookText"/>
      </w:pPr>
      <w:r>
        <w:rPr>
          <w:rFonts w:ascii="IRNazanin" w:hAnsi="IRNazanin" w:eastAsia="IRNazanin" w:cs="IRNazanin"/>
          <w:lang w:bidi="fa-IR"/>
          <w:color w:val="111111"/>
          <w:sz w:val="28"/>
          <w:szCs w:val="28"/>
          <w:rtl/>
        </w:rPr>
        <w:t xml:space="preserve">الدین ، حمد الله بن محمّد</w:t>
      </w:r>
    </w:p>
    <w:p>
      <w:pPr>
        <w:pStyle w:val="BookText"/>
      </w:pPr>
      <w:r>
        <w:rPr>
          <w:rFonts w:ascii="Amiri" w:hAnsi="Amiri" w:eastAsia="Amiri" w:cs="Amiri"/>
          <w:lang w:bidi="ar-SA"/>
          <w:color w:val="111111"/>
          <w:sz w:val="28"/>
          <w:szCs w:val="28"/>
          <w:rtl/>
        </w:rPr>
        <w:t xml:space="preserve">حمدي ، احمد تائب بن عثمان- عثمان زاده احمد تائب بن عثمان</w:t>
      </w:r>
    </w:p>
    <w:p>
      <w:pPr>
        <w:pStyle w:val="Heading2"/>
      </w:pPr>
      <w:bookmarkStart w:id="3910" w:name="_Toc3012"/>
      <w:r>
        <w:t>حمدي اعظمي - 1971 م</w:t>
      </w:r>
      <w:bookmarkEnd w:id="3910"/>
    </w:p>
    <w:p>
      <w:pPr>
        <w:pStyle w:val="BookText"/>
      </w:pPr>
      <w:r>
        <w:rPr>
          <w:rFonts w:ascii="Amiri" w:hAnsi="Amiri" w:eastAsia="Amiri" w:cs="Amiri"/>
          <w:lang w:bidi="ar-SA"/>
          <w:color w:val="111111"/>
          <w:sz w:val="28"/>
          <w:szCs w:val="28"/>
          <w:rtl/>
        </w:rPr>
        <w:t xml:space="preserve">مختصر الشخصية المحمدية، ج 14،</w:t>
      </w:r>
    </w:p>
    <w:p>
      <w:pPr>
        <w:pStyle w:val="BookText"/>
      </w:pPr>
      <w:r>
        <w:rPr>
          <w:rFonts w:ascii="IRNazanin" w:hAnsi="IRNazanin" w:eastAsia="IRNazanin" w:cs="IRNazanin"/>
          <w:lang w:bidi="fa-IR"/>
          <w:color w:val="111111"/>
          <w:sz w:val="28"/>
          <w:szCs w:val="28"/>
          <w:rtl/>
        </w:rPr>
        <w:t xml:space="preserve">ص198.</w:t>
      </w:r>
    </w:p>
    <w:p>
      <w:pPr>
        <w:pStyle w:val="BookText"/>
      </w:pPr>
      <w:r>
        <w:rPr>
          <w:rFonts w:ascii="IRNazanin" w:hAnsi="IRNazanin" w:eastAsia="IRNazanin" w:cs="IRNazanin"/>
          <w:lang w:bidi="fa-IR"/>
          <w:color w:val="111111"/>
          <w:sz w:val="28"/>
          <w:szCs w:val="28"/>
          <w:rtl/>
        </w:rPr>
        <w:t xml:space="preserve">حمدي ، حمد الله بن آق شمس الدين- آق شمس الدین ، حمد الله بن محمّد</w:t>
      </w:r>
    </w:p>
    <w:p>
      <w:pPr>
        <w:pStyle w:val="BookText"/>
      </w:pPr>
      <w:r>
        <w:rPr>
          <w:rFonts w:ascii="IRNazanin" w:hAnsi="IRNazanin" w:eastAsia="IRNazanin" w:cs="IRNazanin"/>
          <w:lang w:bidi="fa-IR"/>
          <w:color w:val="111111"/>
          <w:sz w:val="28"/>
          <w:szCs w:val="28"/>
          <w:rtl/>
        </w:rPr>
        <w:t xml:space="preserve">حمدي ، عبدالحميد بن عمر -خرپوتي ،</w:t>
      </w:r>
    </w:p>
    <w:p>
      <w:pPr>
        <w:pStyle w:val="BookText"/>
      </w:pPr>
      <w:r>
        <w:rPr>
          <w:rFonts w:ascii="Amiri" w:hAnsi="Amiri" w:eastAsia="Amiri" w:cs="Amiri"/>
          <w:lang w:bidi="ar-SA"/>
          <w:color w:val="111111"/>
          <w:sz w:val="28"/>
          <w:szCs w:val="28"/>
          <w:rtl/>
        </w:rPr>
        <w:t xml:space="preserve">عبد الحميد بن عمر</w:t>
      </w:r>
    </w:p>
    <w:p>
      <w:pPr>
        <w:pStyle w:val="Heading2"/>
      </w:pPr>
      <w:bookmarkStart w:id="3911" w:name="_Toc3013"/>
      <w:r>
        <w:t>حمدي، مصطفى بن احمد - 1357 ه-</w:t>
      </w:r>
      <w:bookmarkEnd w:id="3911"/>
    </w:p>
    <w:p>
      <w:pPr>
        <w:pStyle w:val="BookText"/>
      </w:pPr>
      <w:r>
        <w:rPr>
          <w:rFonts w:ascii="Amiri" w:hAnsi="Amiri" w:eastAsia="Amiri" w:cs="Amiri"/>
          <w:lang w:bidi="ar-SA"/>
          <w:color w:val="111111"/>
          <w:sz w:val="28"/>
          <w:szCs w:val="28"/>
          <w:rtl/>
        </w:rPr>
        <w:t xml:space="preserve">مروج قلائد الذهب في معرفة انساب</w:t>
      </w:r>
    </w:p>
    <w:p>
      <w:pPr>
        <w:pStyle w:val="BookText"/>
      </w:pPr>
      <w:r>
        <w:rPr>
          <w:rFonts w:ascii="IRNazanin" w:hAnsi="IRNazanin" w:eastAsia="IRNazanin" w:cs="IRNazanin"/>
          <w:lang w:bidi="fa-IR"/>
          <w:color w:val="111111"/>
          <w:sz w:val="28"/>
          <w:szCs w:val="28"/>
          <w:rtl/>
        </w:rPr>
        <w:t xml:space="preserve">قبائل العرب، ج 14، ص 413.</w:t>
      </w:r>
    </w:p>
    <w:p>
      <w:pPr>
        <w:pStyle w:val="BookText"/>
      </w:pPr>
      <w:r>
        <w:rPr>
          <w:rFonts w:ascii="Amiri" w:hAnsi="Amiri" w:eastAsia="Amiri" w:cs="Amiri"/>
          <w:lang w:bidi="ar-SA"/>
          <w:color w:val="111111"/>
          <w:sz w:val="28"/>
          <w:szCs w:val="28"/>
          <w:rtl/>
        </w:rPr>
        <w:t xml:space="preserve">حمدي ، يحيى بن احمد- ابن مظفر</w:t>
      </w:r>
    </w:p>
    <w:p>
      <w:pPr>
        <w:pStyle w:val="BookText"/>
      </w:pPr>
      <w:r>
        <w:rPr>
          <w:rFonts w:ascii="Amiri" w:hAnsi="Amiri" w:eastAsia="Amiri" w:cs="Amiri"/>
          <w:lang w:bidi="ar-SA"/>
          <w:color w:val="111111"/>
          <w:sz w:val="28"/>
          <w:szCs w:val="28"/>
          <w:rtl/>
        </w:rPr>
        <w:t xml:space="preserve">يحيى بن احمد</w:t>
      </w:r>
    </w:p>
    <w:p>
      <w:pPr>
        <w:pStyle w:val="BookText"/>
      </w:pPr>
      <w:r>
        <w:rPr>
          <w:rFonts w:ascii="Amiri" w:hAnsi="Amiri" w:eastAsia="Amiri" w:cs="Amiri"/>
          <w:lang w:bidi="ar-SA"/>
          <w:color w:val="111111"/>
          <w:sz w:val="28"/>
          <w:szCs w:val="28"/>
          <w:rtl/>
        </w:rPr>
        <w:t xml:space="preserve">حمزاوي ، حسن- عدوي ، حسن</w:t>
      </w:r>
    </w:p>
    <w:p>
      <w:pPr>
        <w:pStyle w:val="BookText"/>
      </w:pPr>
      <w:r>
        <w:rPr>
          <w:rFonts w:ascii="IRNazanin" w:hAnsi="IRNazanin" w:eastAsia="IRNazanin" w:cs="IRNazanin"/>
          <w:lang w:bidi="fa-IR"/>
          <w:color w:val="111111"/>
          <w:sz w:val="28"/>
          <w:szCs w:val="28"/>
          <w:rtl/>
        </w:rPr>
        <w:t xml:space="preserve">1305ه-</w:t>
      </w:r>
    </w:p>
    <w:p>
      <w:pPr>
        <w:pStyle w:val="Heading2"/>
      </w:pPr>
      <w:bookmarkStart w:id="3912" w:name="_Toc3014"/>
      <w:r>
        <w:t>حمزاوي ، محمود بن محمّد 1234 -</w:t>
      </w:r>
      <w:bookmarkEnd w:id="3912"/>
    </w:p>
    <w:p>
      <w:pPr>
        <w:pStyle w:val="BookText"/>
      </w:pPr>
      <w:r>
        <w:rPr>
          <w:rFonts w:ascii="Amiri" w:hAnsi="Amiri" w:eastAsia="Amiri" w:cs="Amiri"/>
          <w:lang w:bidi="ar-SA"/>
          <w:color w:val="111111"/>
          <w:sz w:val="28"/>
          <w:szCs w:val="28"/>
          <w:rtl/>
        </w:rPr>
        <w:t xml:space="preserve">1 .اجازة للسيّد نعمان الآلوسي جا</w:t>
      </w:r>
    </w:p>
    <w:p>
      <w:pPr>
        <w:pStyle w:val="BookText"/>
      </w:pPr>
      <w:r>
        <w:rPr>
          <w:rFonts w:ascii="IRNazanin" w:hAnsi="IRNazanin" w:eastAsia="IRNazanin" w:cs="IRNazanin"/>
          <w:lang w:bidi="fa-IR"/>
          <w:color w:val="111111"/>
          <w:sz w:val="28"/>
          <w:szCs w:val="28"/>
          <w:rtl/>
        </w:rPr>
        <w:t xml:space="preserve">ص 260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6" w:name="pg7742_70244"/>
    <w:bookmarkEnd w:id="42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ترجيح البينات، ج 4، ص 301.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تنبيه الخواص على ان الامضاء من</w:t>
      </w:r>
    </w:p>
    <w:p>
      <w:pPr>
        <w:pStyle w:val="BookText"/>
      </w:pPr>
      <w:r>
        <w:rPr>
          <w:rFonts w:ascii="Amiri" w:hAnsi="Amiri" w:eastAsia="Amiri" w:cs="Amiri"/>
          <w:lang w:bidi="ar-SA"/>
          <w:color w:val="111111"/>
          <w:sz w:val="28"/>
          <w:szCs w:val="28"/>
          <w:rtl/>
        </w:rPr>
        <w:t xml:space="preserve">القضاء في الحدود لافي القصاص ج 5، ص 27.</w:t>
      </w:r>
    </w:p>
    <w:p>
      <w:pPr>
        <w:pStyle w:val="BookText"/>
      </w:pPr>
      <w:r>
        <w:rPr>
          <w:rFonts w:ascii="Amiri" w:hAnsi="Amiri" w:eastAsia="Amiri" w:cs="Amiri"/>
          <w:lang w:bidi="ar-SA"/>
          <w:color w:val="111111"/>
          <w:sz w:val="28"/>
          <w:szCs w:val="28"/>
          <w:rtl/>
        </w:rPr>
        <w:t xml:space="preserve">حمزاوي ، يوسف بن قرقماس- تدرومي ،</w:t>
      </w:r>
    </w:p>
    <w:p>
      <w:pPr>
        <w:pStyle w:val="BookText"/>
      </w:pPr>
      <w:r>
        <w:rPr>
          <w:rFonts w:ascii="Amiri" w:hAnsi="Amiri" w:eastAsia="Amiri" w:cs="Amiri"/>
          <w:lang w:bidi="ar-SA"/>
          <w:color w:val="111111"/>
          <w:sz w:val="28"/>
          <w:szCs w:val="28"/>
          <w:rtl/>
        </w:rPr>
        <w:t xml:space="preserve">يوسف بن قورقماز</w:t>
      </w:r>
    </w:p>
    <w:p>
      <w:pPr>
        <w:pStyle w:val="BookText"/>
      </w:pPr>
      <w:r>
        <w:rPr>
          <w:rFonts w:ascii="Amiri" w:hAnsi="Amiri" w:eastAsia="Amiri" w:cs="Amiri"/>
          <w:lang w:bidi="ar-SA"/>
          <w:color w:val="111111"/>
          <w:sz w:val="28"/>
          <w:szCs w:val="28"/>
          <w:rtl/>
        </w:rPr>
        <w:t xml:space="preserve">حمزة بن حسن اصفهاني - حمزه اصفهاني ،</w:t>
      </w:r>
    </w:p>
    <w:p>
      <w:pPr>
        <w:pStyle w:val="BookText"/>
      </w:pPr>
      <w:r>
        <w:rPr>
          <w:rFonts w:ascii="IRNazanin" w:hAnsi="IRNazanin" w:eastAsia="IRNazanin" w:cs="IRNazanin"/>
          <w:lang w:bidi="fa-IR"/>
          <w:color w:val="111111"/>
          <w:sz w:val="28"/>
          <w:szCs w:val="28"/>
          <w:rtl/>
        </w:rPr>
        <w:t xml:space="preserve">حمزه بن حسن</w:t>
      </w:r>
    </w:p>
    <w:p>
      <w:pPr>
        <w:pStyle w:val="Heading2"/>
      </w:pPr>
      <w:bookmarkStart w:id="3913" w:name="_Toc3015"/>
      <w:r>
        <w:t>حمزة بن سليمان قرن 9 ه-</w:t>
      </w:r>
      <w:bookmarkEnd w:id="3913"/>
    </w:p>
    <w:p>
      <w:pPr>
        <w:pStyle w:val="BookText"/>
      </w:pPr>
      <w:r>
        <w:rPr>
          <w:rFonts w:ascii="Amiri" w:hAnsi="Amiri" w:eastAsia="Amiri" w:cs="Amiri"/>
          <w:lang w:bidi="ar-SA"/>
          <w:color w:val="111111"/>
          <w:sz w:val="28"/>
          <w:szCs w:val="28"/>
          <w:rtl/>
        </w:rPr>
        <w:t xml:space="preserve">شرح الفرائض السراجية = شرح السراجية في الفرائض، ج 9، ص 784.</w:t>
      </w:r>
    </w:p>
    <w:p>
      <w:pPr>
        <w:pStyle w:val="Heading2"/>
      </w:pPr>
      <w:bookmarkStart w:id="3914" w:name="_Toc3016"/>
      <w:r>
        <w:t>حمزة بن شمشاد</w:t>
      </w:r>
      <w:bookmarkEnd w:id="3914"/>
    </w:p>
    <w:p>
      <w:pPr>
        <w:pStyle w:val="BookText"/>
      </w:pPr>
      <w:r>
        <w:rPr>
          <w:rFonts w:ascii="IRNazanin" w:hAnsi="IRNazanin" w:eastAsia="IRNazanin" w:cs="IRNazanin"/>
          <w:lang w:bidi="fa-IR"/>
          <w:color w:val="111111"/>
          <w:sz w:val="28"/>
          <w:szCs w:val="28"/>
          <w:rtl/>
        </w:rPr>
        <w:t xml:space="preserve">منبع الاسرار، ج 15، ص 585.</w:t>
      </w:r>
    </w:p>
    <w:p>
      <w:pPr>
        <w:pStyle w:val="BookText"/>
      </w:pPr>
      <w:r>
        <w:rPr>
          <w:rFonts w:ascii="Amiri" w:hAnsi="Amiri" w:eastAsia="Amiri" w:cs="Amiri"/>
          <w:lang w:bidi="ar-SA"/>
          <w:color w:val="111111"/>
          <w:sz w:val="28"/>
          <w:szCs w:val="28"/>
          <w:rtl/>
        </w:rPr>
        <w:t xml:space="preserve">حمزة بن طور غود -ابن طورغود ، حمزة</w:t>
      </w:r>
    </w:p>
    <w:p>
      <w:pPr>
        <w:pStyle w:val="BookText"/>
      </w:pPr>
      <w:r>
        <w:rPr>
          <w:rFonts w:ascii="IRNazanin" w:hAnsi="IRNazanin" w:eastAsia="IRNazanin" w:cs="IRNazanin"/>
          <w:lang w:bidi="fa-IR"/>
          <w:color w:val="111111"/>
          <w:sz w:val="28"/>
          <w:szCs w:val="28"/>
          <w:rtl/>
        </w:rPr>
        <w:t xml:space="preserve">بن طورغود</w:t>
      </w:r>
    </w:p>
    <w:p>
      <w:pPr>
        <w:pStyle w:val="BookText"/>
      </w:pPr>
      <w:r>
        <w:rPr>
          <w:rFonts w:ascii="Amiri" w:hAnsi="Amiri" w:eastAsia="Amiri" w:cs="Amiri"/>
          <w:lang w:bidi="ar-SA"/>
          <w:color w:val="111111"/>
          <w:sz w:val="28"/>
          <w:szCs w:val="28"/>
          <w:rtl/>
        </w:rPr>
        <w:t xml:space="preserve">حمزة بن عبد الله قره حصاري - قره</w:t>
      </w:r>
    </w:p>
    <w:p>
      <w:pPr>
        <w:pStyle w:val="BookText"/>
      </w:pPr>
      <w:r>
        <w:rPr>
          <w:rFonts w:ascii="Amiri" w:hAnsi="Amiri" w:eastAsia="Amiri" w:cs="Amiri"/>
          <w:lang w:bidi="ar-SA"/>
          <w:color w:val="111111"/>
          <w:sz w:val="28"/>
          <w:szCs w:val="28"/>
          <w:rtl/>
        </w:rPr>
        <w:t xml:space="preserve">حصاري ، حمزة بن عبدالله</w:t>
      </w:r>
    </w:p>
    <w:p>
      <w:pPr>
        <w:pStyle w:val="BookText"/>
      </w:pPr>
      <w:r>
        <w:rPr>
          <w:rFonts w:ascii="Amiri" w:hAnsi="Amiri" w:eastAsia="Amiri" w:cs="Amiri"/>
          <w:lang w:bidi="ar-SA"/>
          <w:color w:val="111111"/>
          <w:sz w:val="28"/>
          <w:szCs w:val="28"/>
          <w:rtl/>
        </w:rPr>
        <w:t xml:space="preserve">حمزة بن عبدالله ناشري زبيدي -ناشري ،</w:t>
      </w:r>
    </w:p>
    <w:p>
      <w:pPr>
        <w:pStyle w:val="BookText"/>
      </w:pPr>
      <w:r>
        <w:rPr>
          <w:rFonts w:ascii="Amiri" w:hAnsi="Amiri" w:eastAsia="Amiri" w:cs="Amiri"/>
          <w:lang w:bidi="ar-SA"/>
          <w:color w:val="111111"/>
          <w:sz w:val="28"/>
          <w:szCs w:val="28"/>
          <w:rtl/>
        </w:rPr>
        <w:t xml:space="preserve">حمزة بن عبدالله</w:t>
      </w:r>
    </w:p>
    <w:p>
      <w:pPr>
        <w:pStyle w:val="BookText"/>
      </w:pPr>
      <w:r>
        <w:rPr>
          <w:rFonts w:ascii="Amiri" w:hAnsi="Amiri" w:eastAsia="Amiri" w:cs="Amiri"/>
          <w:lang w:bidi="ar-SA"/>
          <w:color w:val="111111"/>
          <w:sz w:val="28"/>
          <w:szCs w:val="28"/>
          <w:rtl/>
        </w:rPr>
        <w:t xml:space="preserve">حمزة بن علي بن احمد هادي</w:t>
      </w:r>
    </w:p>
    <w:p>
      <w:pPr>
        <w:pStyle w:val="BookText"/>
      </w:pPr>
      <w:r>
        <w:rPr>
          <w:rFonts w:ascii="Amiri" w:hAnsi="Amiri" w:eastAsia="Amiri" w:cs="Amiri"/>
          <w:lang w:bidi="ar-SA"/>
          <w:color w:val="111111"/>
          <w:sz w:val="28"/>
          <w:szCs w:val="28"/>
          <w:rtl/>
        </w:rPr>
        <w:t xml:space="preserve">المستجيبين- هادي المستجيبين ، حمزة بن علي</w:t>
      </w:r>
    </w:p>
    <w:p>
      <w:pPr>
        <w:pStyle w:val="BookText"/>
      </w:pPr>
      <w:r>
        <w:rPr>
          <w:rFonts w:ascii="Amiri" w:hAnsi="Amiri" w:eastAsia="Amiri" w:cs="Amiri"/>
          <w:lang w:bidi="ar-SA"/>
          <w:color w:val="111111"/>
          <w:sz w:val="28"/>
          <w:szCs w:val="28"/>
          <w:rtl/>
        </w:rPr>
        <w:t xml:space="preserve">حمزة بن علي قزويني خراساني- آذري</w:t>
      </w:r>
    </w:p>
    <w:p>
      <w:pPr>
        <w:pStyle w:val="BookText"/>
      </w:pPr>
      <w:r>
        <w:rPr>
          <w:rFonts w:ascii="Amiri" w:hAnsi="Amiri" w:eastAsia="Amiri" w:cs="Amiri"/>
          <w:lang w:bidi="ar-SA"/>
          <w:color w:val="111111"/>
          <w:sz w:val="28"/>
          <w:szCs w:val="28"/>
          <w:rtl/>
        </w:rPr>
        <w:t xml:space="preserve">طوسي ، حمزة بن علي</w:t>
      </w:r>
    </w:p>
    <w:p>
      <w:pPr>
        <w:pStyle w:val="BookText"/>
      </w:pPr>
      <w:r>
        <w:rPr>
          <w:rFonts w:ascii="Amiri" w:hAnsi="Amiri" w:eastAsia="Amiri" w:cs="Amiri"/>
          <w:lang w:bidi="ar-SA"/>
          <w:color w:val="111111"/>
          <w:sz w:val="28"/>
          <w:szCs w:val="28"/>
          <w:rtl/>
        </w:rPr>
        <w:t xml:space="preserve">حمزة بن محمود قرماني- قرماني ، حمزة</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حمزة جلبي -جلبي ، حمزة</w:t>
      </w:r>
    </w:p>
    <w:p>
      <w:pPr>
        <w:pStyle w:val="BookText"/>
      </w:pPr>
      <w:r>
        <w:rPr>
          <w:rFonts w:ascii="IRNazanin" w:hAnsi="IRNazanin" w:eastAsia="IRNazanin" w:cs="IRNazanin"/>
          <w:lang w:bidi="fa-IR"/>
          <w:color w:val="111111"/>
          <w:sz w:val="28"/>
          <w:szCs w:val="28"/>
          <w:rtl/>
        </w:rPr>
        <w:t xml:space="preserve">حمزه ارجستاني گيلاني اصفهاني- گيلاني</w:t>
      </w:r>
    </w:p>
    <w:p>
      <w:pPr>
        <w:pStyle w:val="BookText"/>
      </w:pPr>
      <w:r>
        <w:rPr>
          <w:rFonts w:ascii="IRNazanin" w:hAnsi="IRNazanin" w:eastAsia="IRNazanin" w:cs="IRNazanin"/>
          <w:lang w:bidi="fa-IR"/>
          <w:color w:val="111111"/>
          <w:sz w:val="28"/>
          <w:szCs w:val="28"/>
          <w:rtl/>
        </w:rPr>
        <w:t xml:space="preserve">حمزه</w:t>
      </w:r>
    </w:p>
    <w:p>
      <w:pPr>
        <w:pStyle w:val="Heading2"/>
      </w:pPr>
      <w:bookmarkStart w:id="3915" w:name="_Toc3017"/>
      <w:r>
        <w:t>حمزه اصفهاني، حمزه بن حسن 280 -</w:t>
      </w:r>
      <w:bookmarkEnd w:id="3915"/>
    </w:p>
    <w:p>
      <w:pPr>
        <w:pStyle w:val="BookText"/>
      </w:pPr>
      <w:r>
        <w:rPr>
          <w:rFonts w:ascii="IRNazanin" w:hAnsi="IRNazanin" w:eastAsia="IRNazanin" w:cs="IRNazanin"/>
          <w:lang w:bidi="fa-IR"/>
          <w:color w:val="111111"/>
          <w:sz w:val="28"/>
          <w:szCs w:val="28"/>
          <w:rtl/>
        </w:rPr>
        <w:t xml:space="preserve">360 ؟ ه-</w:t>
      </w:r>
    </w:p>
    <w:p>
      <w:pPr>
        <w:pStyle w:val="BookText"/>
      </w:pPr>
      <w:r>
        <w:rPr>
          <w:rFonts w:ascii="Amiri" w:hAnsi="Amiri" w:eastAsia="Amiri" w:cs="Amiri"/>
          <w:lang w:bidi="ar-SA"/>
          <w:color w:val="111111"/>
          <w:sz w:val="28"/>
          <w:szCs w:val="28"/>
          <w:rtl/>
        </w:rPr>
        <w:t xml:space="preserve">1 .الامثال الصادرة عن بيوت الشعر = المنتخب من كتاب الامثال، ج2،</w:t>
      </w:r>
    </w:p>
    <w:p>
      <w:pPr>
        <w:pStyle w:val="BookText"/>
      </w:pPr>
      <w:r>
        <w:rPr>
          <w:rFonts w:ascii="IRNazanin" w:hAnsi="IRNazanin" w:eastAsia="IRNazanin" w:cs="IRNazanin"/>
          <w:lang w:bidi="fa-IR"/>
          <w:color w:val="111111"/>
          <w:sz w:val="28"/>
          <w:szCs w:val="28"/>
          <w:rtl/>
        </w:rPr>
        <w:t xml:space="preserve">ص 746.</w:t>
      </w:r>
    </w:p>
    <w:p>
      <w:pPr>
        <w:pStyle w:val="BookText"/>
      </w:pPr>
      <w:r>
        <w:rPr>
          <w:rFonts w:ascii="Amiri" w:hAnsi="Amiri" w:eastAsia="Amiri" w:cs="Amiri"/>
          <w:lang w:bidi="ar-SA"/>
          <w:color w:val="111111"/>
          <w:sz w:val="28"/>
          <w:szCs w:val="28"/>
          <w:rtl/>
        </w:rPr>
        <w:t xml:space="preserve">2 .الخصائص والموازنة بين العربية و</w:t>
      </w:r>
    </w:p>
    <w:p>
      <w:pPr>
        <w:pStyle w:val="BookText"/>
      </w:pPr>
      <w:r>
        <w:rPr>
          <w:rFonts w:ascii="Amiri" w:hAnsi="Amiri" w:eastAsia="Amiri" w:cs="Amiri"/>
          <w:lang w:bidi="ar-SA"/>
          <w:color w:val="111111"/>
          <w:sz w:val="28"/>
          <w:szCs w:val="28"/>
          <w:rtl/>
        </w:rPr>
        <w:t xml:space="preserve">الفارسية، ج 7، ص 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الفاخرة والامثال السائرة الجارية على السنة الفصحاء، ج7،</w:t>
      </w:r>
    </w:p>
    <w:p>
      <w:pPr>
        <w:pStyle w:val="BookText"/>
      </w:pPr>
      <w:r>
        <w:rPr>
          <w:rFonts w:ascii="IRNazanin" w:hAnsi="IRNazanin" w:eastAsia="IRNazanin" w:cs="IRNazanin"/>
          <w:lang w:bidi="fa-IR"/>
          <w:color w:val="111111"/>
          <w:sz w:val="28"/>
          <w:szCs w:val="28"/>
          <w:rtl/>
        </w:rPr>
        <w:t xml:space="preserve">ص 251 .</w:t>
      </w:r>
    </w:p>
    <w:p>
      <w:pPr>
        <w:pStyle w:val="BookText"/>
      </w:pPr>
      <w:r>
        <w:rPr>
          <w:rFonts w:ascii="Amiri" w:hAnsi="Amiri" w:eastAsia="Amiri" w:cs="Amiri"/>
          <w:lang w:bidi="ar-SA"/>
          <w:color w:val="111111"/>
          <w:sz w:val="28"/>
          <w:szCs w:val="28"/>
          <w:rtl/>
        </w:rPr>
        <w:t xml:space="preserve">حمزه افندي دارنده وي -دارنده وي ،</w:t>
      </w:r>
    </w:p>
    <w:p>
      <w:pPr>
        <w:pStyle w:val="BookText"/>
      </w:pPr>
      <w:r>
        <w:rPr>
          <w:rFonts w:ascii="Amiri" w:hAnsi="Amiri" w:eastAsia="Amiri" w:cs="Amiri"/>
          <w:lang w:bidi="ar-SA"/>
          <w:color w:val="111111"/>
          <w:sz w:val="28"/>
          <w:szCs w:val="28"/>
          <w:rtl/>
        </w:rPr>
        <w:t xml:space="preserve">حمزه افندي</w:t>
      </w:r>
    </w:p>
    <w:p>
      <w:pPr>
        <w:pStyle w:val="BookText"/>
      </w:pPr>
      <w:r>
        <w:rPr>
          <w:rFonts w:ascii="Amiri" w:hAnsi="Amiri" w:eastAsia="Amiri" w:cs="Amiri"/>
          <w:lang w:bidi="ar-SA"/>
          <w:color w:val="111111"/>
          <w:sz w:val="28"/>
          <w:szCs w:val="28"/>
          <w:rtl/>
        </w:rPr>
        <w:t xml:space="preserve">حمزه بارفروشي مازندراني- بارفروشي</w:t>
      </w:r>
    </w:p>
    <w:p>
      <w:pPr>
        <w:pStyle w:val="BookText"/>
      </w:pPr>
      <w:r>
        <w:rPr>
          <w:rFonts w:ascii="Amiri" w:hAnsi="Amiri" w:eastAsia="Amiri" w:cs="Amiri"/>
          <w:lang w:bidi="ar-SA"/>
          <w:color w:val="111111"/>
          <w:sz w:val="28"/>
          <w:szCs w:val="28"/>
          <w:rtl/>
        </w:rPr>
        <w:t xml:space="preserve">مازندراني ، حمزه</w:t>
      </w:r>
    </w:p>
    <w:p>
      <w:pPr>
        <w:pStyle w:val="BookText"/>
      </w:pPr>
      <w:r>
        <w:rPr>
          <w:rFonts w:ascii="Amiri" w:hAnsi="Amiri" w:eastAsia="Amiri" w:cs="Amiri"/>
          <w:lang w:bidi="ar-SA"/>
          <w:color w:val="111111"/>
          <w:sz w:val="28"/>
          <w:szCs w:val="28"/>
          <w:rtl/>
        </w:rPr>
        <w:t xml:space="preserve">حمزه بغدادي- بغدادي ، حمزه</w:t>
      </w:r>
    </w:p>
    <w:p>
      <w:pPr>
        <w:pStyle w:val="BookText"/>
      </w:pPr>
      <w:r>
        <w:rPr>
          <w:rFonts w:ascii="Amiri" w:hAnsi="Amiri" w:eastAsia="Amiri" w:cs="Amiri"/>
          <w:lang w:bidi="ar-SA"/>
          <w:color w:val="111111"/>
          <w:sz w:val="28"/>
          <w:szCs w:val="28"/>
          <w:rtl/>
        </w:rPr>
        <w:t xml:space="preserve">حمزه بن حبيب زيات- زيات ، حمزه بن</w:t>
      </w:r>
    </w:p>
    <w:p>
      <w:pPr>
        <w:pStyle w:val="BookText"/>
      </w:pPr>
      <w:r>
        <w:rPr>
          <w:rFonts w:ascii="Amiri" w:hAnsi="Amiri" w:eastAsia="Amiri" w:cs="Amiri"/>
          <w:lang w:bidi="ar-SA"/>
          <w:color w:val="111111"/>
          <w:sz w:val="28"/>
          <w:szCs w:val="28"/>
          <w:rtl/>
        </w:rPr>
        <w:t xml:space="preserve">حبيب</w:t>
      </w:r>
    </w:p>
    <w:p>
      <w:pPr>
        <w:pStyle w:val="BookText"/>
      </w:pPr>
      <w:r>
        <w:rPr>
          <w:rFonts w:ascii="Amiri" w:hAnsi="Amiri" w:eastAsia="Amiri" w:cs="Amiri"/>
          <w:lang w:bidi="ar-SA"/>
          <w:color w:val="111111"/>
          <w:sz w:val="28"/>
          <w:szCs w:val="28"/>
          <w:rtl/>
        </w:rPr>
        <w:t xml:space="preserve">حمزه بن حسن اصفهاني - حمزه اصفهاني ، حمزه بن حسن</w:t>
      </w:r>
    </w:p>
    <w:p>
      <w:pPr>
        <w:pStyle w:val="Heading2"/>
      </w:pPr>
      <w:bookmarkStart w:id="3916" w:name="_Toc3018"/>
      <w:r>
        <w:t>حمزه بن عطاء الله</w:t>
      </w:r>
      <w:bookmarkEnd w:id="3916"/>
    </w:p>
    <w:p>
      <w:pPr>
        <w:pStyle w:val="BookText"/>
      </w:pPr>
      <w:r>
        <w:rPr>
          <w:rFonts w:ascii="Amiri" w:hAnsi="Amiri" w:eastAsia="Amiri" w:cs="Amiri"/>
          <w:lang w:bidi="ar-SA"/>
          <w:color w:val="111111"/>
          <w:sz w:val="28"/>
          <w:szCs w:val="28"/>
          <w:rtl/>
        </w:rPr>
        <w:t xml:space="preserve">الجهاد و سننه (رسالة في)، جه،</w:t>
      </w:r>
    </w:p>
    <w:p>
      <w:pPr>
        <w:pStyle w:val="BookText"/>
      </w:pPr>
      <w:r>
        <w:rPr>
          <w:rFonts w:ascii="IRNazanin" w:hAnsi="IRNazanin" w:eastAsia="IRNazanin" w:cs="IRNazanin"/>
          <w:lang w:bidi="fa-IR"/>
          <w:color w:val="111111"/>
          <w:sz w:val="28"/>
          <w:szCs w:val="28"/>
          <w:rtl/>
        </w:rPr>
        <w:t xml:space="preserve">ص 478 .</w:t>
      </w:r>
    </w:p>
    <w:p>
      <w:pPr>
        <w:pStyle w:val="BookText"/>
      </w:pPr>
      <w:r>
        <w:rPr>
          <w:rFonts w:ascii="Amiri" w:hAnsi="Amiri" w:eastAsia="Amiri" w:cs="Amiri"/>
          <w:lang w:bidi="ar-SA"/>
          <w:color w:val="111111"/>
          <w:sz w:val="28"/>
          <w:szCs w:val="28"/>
          <w:rtl/>
        </w:rPr>
        <w:t xml:space="preserve">حمزه بن علي حسيني (ابن زهره) -ابن</w:t>
      </w:r>
    </w:p>
    <w:p>
      <w:pPr>
        <w:pStyle w:val="BookText"/>
      </w:pPr>
      <w:r>
        <w:rPr>
          <w:rFonts w:ascii="Amiri" w:hAnsi="Amiri" w:eastAsia="Amiri" w:cs="Amiri"/>
          <w:lang w:bidi="ar-SA"/>
          <w:color w:val="111111"/>
          <w:sz w:val="28"/>
          <w:szCs w:val="28"/>
          <w:rtl/>
        </w:rPr>
        <w:t xml:space="preserve">زهره ، حمزة بن علي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7" w:name="pg7742_70246"/>
    <w:bookmarkEnd w:id="427"/>
    <w:p>
      <w:pPr>
        <w:pStyle w:val="BookText"/>
      </w:pPr>
      <w:r>
        <w:rPr>
          <w:rFonts w:ascii="Amiri" w:hAnsi="Amiri" w:eastAsia="Amiri" w:cs="Amiri"/>
          <w:lang w:bidi="ar-SA"/>
          <w:color w:val="111111"/>
          <w:sz w:val="28"/>
          <w:szCs w:val="28"/>
          <w:rtl/>
        </w:rPr>
        <w:t xml:space="preserve">حمزه بن يوسف جرجاني - سهمي ، حمزه</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حمزه دارنده وي -دارنده وي ، حمزه افندي</w:t>
      </w:r>
    </w:p>
    <w:p>
      <w:pPr>
        <w:pStyle w:val="BookText"/>
      </w:pPr>
      <w:r>
        <w:rPr>
          <w:rFonts w:ascii="IRNazanin" w:hAnsi="IRNazanin" w:eastAsia="IRNazanin" w:cs="IRNazanin"/>
          <w:lang w:bidi="fa-IR"/>
          <w:color w:val="111111"/>
          <w:sz w:val="28"/>
          <w:szCs w:val="28"/>
          <w:rtl/>
        </w:rPr>
        <w:t xml:space="preserve">حمزه طوسي ، عمادالدین محمّد بن</w:t>
      </w:r>
    </w:p>
    <w:p>
      <w:pPr>
        <w:pStyle w:val="BookText"/>
      </w:pPr>
      <w:r>
        <w:rPr>
          <w:rFonts w:ascii="Amiri" w:hAnsi="Amiri" w:eastAsia="Amiri" w:cs="Amiri"/>
          <w:lang w:bidi="ar-SA"/>
          <w:color w:val="111111"/>
          <w:sz w:val="28"/>
          <w:szCs w:val="28"/>
          <w:rtl/>
        </w:rPr>
        <w:t xml:space="preserve">علي -ابن حمزه ، محمّد بن علي</w:t>
      </w:r>
    </w:p>
    <w:p>
      <w:pPr>
        <w:pStyle w:val="BookText"/>
      </w:pPr>
      <w:r>
        <w:rPr>
          <w:rFonts w:ascii="Amiri" w:hAnsi="Amiri" w:eastAsia="Amiri" w:cs="Amiri"/>
          <w:lang w:bidi="ar-SA"/>
          <w:color w:val="111111"/>
          <w:sz w:val="28"/>
          <w:szCs w:val="28"/>
          <w:rtl/>
        </w:rPr>
        <w:t xml:space="preserve">حمزه عماني ، علي بن احمد -عماني ، علي بن احمد</w:t>
      </w:r>
    </w:p>
    <w:p>
      <w:pPr>
        <w:pStyle w:val="BookText"/>
      </w:pPr>
      <w:r>
        <w:rPr>
          <w:rFonts w:ascii="IRNazanin" w:hAnsi="IRNazanin" w:eastAsia="IRNazanin" w:cs="IRNazanin"/>
          <w:lang w:bidi="fa-IR"/>
          <w:color w:val="111111"/>
          <w:sz w:val="28"/>
          <w:szCs w:val="28"/>
          <w:rtl/>
        </w:rPr>
        <w:t xml:space="preserve">حمزه گيلاني- گيلاني ، حمزه</w:t>
      </w:r>
    </w:p>
    <w:p>
      <w:pPr>
        <w:pStyle w:val="BookText"/>
      </w:pPr>
      <w:r>
        <w:rPr>
          <w:rFonts w:ascii="Amiri" w:hAnsi="Amiri" w:eastAsia="Amiri" w:cs="Amiri"/>
          <w:lang w:bidi="ar-SA"/>
          <w:color w:val="111111"/>
          <w:sz w:val="28"/>
          <w:szCs w:val="28"/>
          <w:rtl/>
        </w:rPr>
        <w:t xml:space="preserve">حمزه ، محمود بن محمّد -حمزاوي</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Amiri" w:hAnsi="Amiri" w:eastAsia="Amiri" w:cs="Amiri"/>
          <w:lang w:bidi="ar-SA"/>
          <w:color w:val="111111"/>
          <w:sz w:val="28"/>
          <w:szCs w:val="28"/>
          <w:rtl/>
        </w:rPr>
        <w:t xml:space="preserve">حمصي ، احمد بن عبيد- عطار ، احمد</w:t>
      </w:r>
    </w:p>
    <w:p>
      <w:pPr>
        <w:pStyle w:val="BookText"/>
      </w:pPr>
      <w:r>
        <w:rPr>
          <w:rFonts w:ascii="IRNazanin" w:hAnsi="IRNazanin" w:eastAsia="IRNazanin" w:cs="IRNazanin"/>
          <w:lang w:bidi="fa-IR"/>
          <w:color w:val="111111"/>
          <w:sz w:val="28"/>
          <w:szCs w:val="28"/>
          <w:rtl/>
        </w:rPr>
        <w:t xml:space="preserve">بن عبیدالله</w:t>
      </w:r>
    </w:p>
    <w:p>
      <w:pPr>
        <w:pStyle w:val="BookText"/>
      </w:pPr>
      <w:r>
        <w:rPr>
          <w:rFonts w:ascii="Amiri" w:hAnsi="Amiri" w:eastAsia="Amiri" w:cs="Amiri"/>
          <w:lang w:bidi="ar-SA"/>
          <w:color w:val="111111"/>
          <w:sz w:val="28"/>
          <w:szCs w:val="28"/>
          <w:rtl/>
        </w:rPr>
        <w:t xml:space="preserve">حمصي ، بطرس بن ابراهيم - كرامة</w:t>
      </w:r>
    </w:p>
    <w:p>
      <w:pPr>
        <w:pStyle w:val="BookText"/>
      </w:pPr>
      <w:r>
        <w:rPr>
          <w:rFonts w:ascii="Amiri" w:hAnsi="Amiri" w:eastAsia="Amiri" w:cs="Amiri"/>
          <w:lang w:bidi="ar-SA"/>
          <w:color w:val="111111"/>
          <w:sz w:val="28"/>
          <w:szCs w:val="28"/>
          <w:rtl/>
        </w:rPr>
        <w:t xml:space="preserve">بطرس بن ابراهيم</w:t>
      </w:r>
    </w:p>
    <w:p>
      <w:pPr>
        <w:pStyle w:val="Heading2"/>
      </w:pPr>
      <w:bookmarkStart w:id="3917" w:name="_Toc3019"/>
      <w:r>
        <w:t>حمصي رازي ، محمود بن علي قرن 6 ه-</w:t>
      </w:r>
      <w:bookmarkEnd w:id="3917"/>
    </w:p>
    <w:p>
      <w:pPr>
        <w:pStyle w:val="BookText"/>
      </w:pPr>
      <w:r>
        <w:rPr>
          <w:rFonts w:ascii="Amiri" w:hAnsi="Amiri" w:eastAsia="Amiri" w:cs="Amiri"/>
          <w:lang w:bidi="ar-SA"/>
          <w:color w:val="111111"/>
          <w:sz w:val="28"/>
          <w:szCs w:val="28"/>
          <w:rtl/>
        </w:rPr>
        <w:t xml:space="preserve">المنقذ من التقليد و المرشد إلى التوحيد</w:t>
      </w:r>
    </w:p>
    <w:p>
      <w:pPr>
        <w:pStyle w:val="BookText"/>
      </w:pPr>
      <w:r>
        <w:rPr>
          <w:rFonts w:ascii="Amiri" w:hAnsi="Amiri" w:eastAsia="Amiri" w:cs="Amiri"/>
          <w:lang w:bidi="ar-SA"/>
          <w:color w:val="111111"/>
          <w:sz w:val="28"/>
          <w:szCs w:val="28"/>
          <w:rtl/>
        </w:rPr>
        <w:t xml:space="preserve">التعليق العراقي، ج 15، ص733.</w:t>
      </w:r>
    </w:p>
    <w:p>
      <w:pPr>
        <w:pStyle w:val="Heading2"/>
      </w:pPr>
      <w:bookmarkStart w:id="3918" w:name="_Toc3020"/>
      <w:r>
        <w:t>حمصي ، محمّد بن ياسين</w:t>
      </w:r>
      <w:bookmarkEnd w:id="3918"/>
    </w:p>
    <w:p>
      <w:pPr>
        <w:pStyle w:val="BookText"/>
      </w:pPr>
      <w:r>
        <w:rPr>
          <w:rFonts w:ascii="Amiri" w:hAnsi="Amiri" w:eastAsia="Amiri" w:cs="Amiri"/>
          <w:lang w:bidi="ar-SA"/>
          <w:color w:val="111111"/>
          <w:sz w:val="28"/>
          <w:szCs w:val="28"/>
          <w:rtl/>
        </w:rPr>
        <w:t xml:space="preserve">بستان الناظرين و سمير المطالعين</w:t>
      </w:r>
    </w:p>
    <w:p>
      <w:pPr>
        <w:pStyle w:val="BookText"/>
      </w:pPr>
      <w:r>
        <w:rPr>
          <w:rFonts w:ascii="IRNazanin" w:hAnsi="IRNazanin" w:eastAsia="IRNazanin" w:cs="IRNazanin"/>
          <w:lang w:bidi="fa-IR"/>
          <w:color w:val="111111"/>
          <w:sz w:val="28"/>
          <w:szCs w:val="28"/>
          <w:rtl/>
        </w:rPr>
        <w:t xml:space="preserve">ج 3، ص 328.</w:t>
      </w:r>
    </w:p>
    <w:p>
      <w:pPr>
        <w:pStyle w:val="BookText"/>
      </w:pPr>
      <w:r>
        <w:rPr>
          <w:rFonts w:ascii="Amiri" w:hAnsi="Amiri" w:eastAsia="Amiri" w:cs="Amiri"/>
          <w:lang w:bidi="ar-SA"/>
          <w:color w:val="111111"/>
          <w:sz w:val="28"/>
          <w:szCs w:val="28"/>
          <w:rtl/>
        </w:rPr>
        <w:t xml:space="preserve">الدين بن علي</w:t>
      </w:r>
    </w:p>
    <w:p>
      <w:pPr>
        <w:pStyle w:val="BookText"/>
      </w:pPr>
      <w:r>
        <w:rPr>
          <w:rFonts w:ascii="Amiri" w:hAnsi="Amiri" w:eastAsia="Amiri" w:cs="Amiri"/>
          <w:lang w:bidi="ar-SA"/>
          <w:color w:val="111111"/>
          <w:sz w:val="28"/>
          <w:szCs w:val="28"/>
          <w:rtl/>
        </w:rPr>
        <w:t xml:space="preserve">حمصي ، نحوري اغنطيوي- نحوري</w:t>
      </w:r>
    </w:p>
    <w:p>
      <w:pPr>
        <w:pStyle w:val="BookText"/>
      </w:pPr>
      <w:r>
        <w:rPr>
          <w:rFonts w:ascii="Amiri" w:hAnsi="Amiri" w:eastAsia="Amiri" w:cs="Amiri"/>
          <w:lang w:bidi="ar-SA"/>
          <w:color w:val="111111"/>
          <w:sz w:val="28"/>
          <w:szCs w:val="28"/>
          <w:rtl/>
        </w:rPr>
        <w:t xml:space="preserve">اغنطيوي حمصي</w:t>
      </w:r>
    </w:p>
    <w:p>
      <w:pPr>
        <w:pStyle w:val="BookText"/>
      </w:pPr>
      <w:r>
        <w:rPr>
          <w:rFonts w:ascii="Amiri" w:hAnsi="Amiri" w:eastAsia="Amiri" w:cs="Amiri"/>
          <w:lang w:bidi="ar-SA"/>
          <w:color w:val="111111"/>
          <w:sz w:val="28"/>
          <w:szCs w:val="28"/>
          <w:rtl/>
        </w:rPr>
        <w:t xml:space="preserve">حمصي ، ياسين بن زين الدين- عليمي ،</w:t>
      </w:r>
    </w:p>
    <w:p>
      <w:pPr>
        <w:pStyle w:val="BookText"/>
      </w:pPr>
      <w:r>
        <w:rPr>
          <w:rFonts w:ascii="Amiri" w:hAnsi="Amiri" w:eastAsia="Amiri" w:cs="Amiri"/>
          <w:lang w:bidi="ar-SA"/>
          <w:color w:val="111111"/>
          <w:sz w:val="28"/>
          <w:szCs w:val="28"/>
          <w:rtl/>
        </w:rPr>
        <w:t xml:space="preserve">ياسين بن زين الدين</w:t>
      </w:r>
    </w:p>
    <w:p>
      <w:pPr>
        <w:pStyle w:val="Heading2"/>
      </w:pPr>
      <w:bookmarkStart w:id="3919" w:name="_Toc3021"/>
      <w:r>
        <w:t>حمودي ، عبدالله، قرن 13 ه-</w:t>
      </w:r>
      <w:bookmarkEnd w:id="3919"/>
    </w:p>
    <w:p>
      <w:pPr>
        <w:pStyle w:val="BookText"/>
      </w:pPr>
      <w:r>
        <w:rPr>
          <w:rFonts w:ascii="Amiri" w:hAnsi="Amiri" w:eastAsia="Amiri" w:cs="Amiri"/>
          <w:lang w:bidi="ar-SA"/>
          <w:color w:val="111111"/>
          <w:sz w:val="28"/>
          <w:szCs w:val="28"/>
          <w:rtl/>
        </w:rPr>
        <w:t xml:space="preserve">1 .شرح بيان البيان = شرح الاستعارة</w:t>
      </w:r>
    </w:p>
    <w:p>
      <w:pPr>
        <w:pStyle w:val="BookText"/>
      </w:pPr>
      <w:r>
        <w:rPr>
          <w:rFonts w:ascii="Amiri" w:hAnsi="Amiri" w:eastAsia="Amiri" w:cs="Amiri"/>
          <w:lang w:bidi="ar-SA"/>
          <w:color w:val="111111"/>
          <w:sz w:val="28"/>
          <w:szCs w:val="28"/>
          <w:rtl/>
        </w:rPr>
        <w:t xml:space="preserve">تحفة للطالبين وروضة</w:t>
      </w:r>
    </w:p>
    <w:p>
      <w:pPr>
        <w:pStyle w:val="BookText"/>
      </w:pPr>
      <w:r>
        <w:rPr>
          <w:rFonts w:ascii="Amiri" w:hAnsi="Amiri" w:eastAsia="Amiri" w:cs="Amiri"/>
          <w:lang w:bidi="ar-SA"/>
          <w:color w:val="111111"/>
          <w:sz w:val="28"/>
          <w:szCs w:val="28"/>
          <w:rtl/>
        </w:rPr>
        <w:t xml:space="preserve">1.للناظرين، ج9، ص291</w:t>
      </w:r>
    </w:p>
    <w:p>
      <w:pPr>
        <w:pStyle w:val="BookText"/>
      </w:pPr>
      <w:r>
        <w:rPr>
          <w:rFonts w:ascii="Amiri" w:hAnsi="Amiri" w:eastAsia="Amiri" w:cs="Amiri"/>
          <w:lang w:bidi="ar-SA"/>
          <w:color w:val="111111"/>
          <w:sz w:val="28"/>
          <w:szCs w:val="28"/>
          <w:rtl/>
        </w:rPr>
        <w:t xml:space="preserve">2 .شرح رسالة الوضع = تحفة الطالبين، ج 9، ص 553.</w:t>
      </w:r>
    </w:p>
    <w:p>
      <w:pPr>
        <w:pStyle w:val="BookText"/>
      </w:pPr>
      <w:r>
        <w:rPr>
          <w:rFonts w:ascii="Amiri" w:hAnsi="Amiri" w:eastAsia="Amiri" w:cs="Amiri"/>
          <w:lang w:bidi="ar-SA"/>
          <w:color w:val="111111"/>
          <w:sz w:val="28"/>
          <w:szCs w:val="28"/>
          <w:rtl/>
        </w:rPr>
        <w:t xml:space="preserve">حموش ، مكي بن ابي طالب- مكي بن حموش</w:t>
      </w:r>
    </w:p>
    <w:p>
      <w:pPr>
        <w:pStyle w:val="Heading2"/>
      </w:pPr>
      <w:bookmarkStart w:id="3920" w:name="_Toc3022"/>
      <w:r>
        <w:t>حموي، ابراهيم بن سليمان، 2652-732ه-</w:t>
      </w:r>
      <w:bookmarkEnd w:id="3920"/>
    </w:p>
    <w:p>
      <w:pPr>
        <w:pStyle w:val="BookText"/>
      </w:pPr>
      <w:r>
        <w:rPr>
          <w:rFonts w:ascii="Amiri" w:hAnsi="Amiri" w:eastAsia="Amiri" w:cs="Amiri"/>
          <w:lang w:bidi="ar-SA"/>
          <w:color w:val="111111"/>
          <w:sz w:val="28"/>
          <w:szCs w:val="28"/>
          <w:rtl/>
        </w:rPr>
        <w:t xml:space="preserve">شرح الجامع الكبير في الفروع، ج 9،</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Amiri" w:hAnsi="Amiri" w:eastAsia="Amiri" w:cs="Amiri"/>
          <w:lang w:bidi="ar-SA"/>
          <w:color w:val="111111"/>
          <w:sz w:val="28"/>
          <w:szCs w:val="28"/>
          <w:rtl/>
        </w:rPr>
        <w:t xml:space="preserve">حموي، ابراهيم بن عمر -سوبيني</w:t>
      </w:r>
    </w:p>
    <w:p>
      <w:pPr>
        <w:pStyle w:val="BookText"/>
      </w:pPr>
      <w:r>
        <w:rPr>
          <w:rFonts w:ascii="Amiri" w:hAnsi="Amiri" w:eastAsia="Amiri" w:cs="Amiri"/>
          <w:lang w:bidi="ar-SA"/>
          <w:color w:val="111111"/>
          <w:sz w:val="28"/>
          <w:szCs w:val="28"/>
          <w:rtl/>
        </w:rPr>
        <w:t xml:space="preserve">ابراهيم بن عمر</w:t>
      </w:r>
    </w:p>
    <w:p>
      <w:pPr>
        <w:pStyle w:val="Heading2"/>
      </w:pPr>
      <w:bookmarkStart w:id="3921" w:name="_Toc3023"/>
      <w:r>
        <w:t>حموي، ابراهيم بن محمّد، 644-722؟ه-</w:t>
      </w:r>
      <w:bookmarkEnd w:id="3921"/>
    </w:p>
    <w:p>
      <w:pPr>
        <w:pStyle w:val="BookText"/>
      </w:pPr>
      <w:r>
        <w:rPr>
          <w:rFonts w:ascii="Amiri" w:hAnsi="Amiri" w:eastAsia="Amiri" w:cs="Amiri"/>
          <w:lang w:bidi="ar-SA"/>
          <w:color w:val="111111"/>
          <w:sz w:val="28"/>
          <w:szCs w:val="28"/>
          <w:rtl/>
        </w:rPr>
        <w:t xml:space="preserve">1 .الاربعون التساعيات = التساعيات</w:t>
      </w:r>
    </w:p>
    <w:p>
      <w:pPr>
        <w:pStyle w:val="BookText"/>
      </w:pPr>
      <w:r>
        <w:rPr>
          <w:rFonts w:ascii="IRNazanin" w:hAnsi="IRNazanin" w:eastAsia="IRNazanin" w:cs="IRNazanin"/>
          <w:lang w:bidi="fa-IR"/>
          <w:color w:val="111111"/>
          <w:sz w:val="28"/>
          <w:szCs w:val="28"/>
          <w:rtl/>
        </w:rPr>
        <w:t xml:space="preserve">ج 1، ص 680 .</w:t>
      </w:r>
    </w:p>
    <w:p>
      <w:pPr>
        <w:pStyle w:val="BookText"/>
      </w:pPr>
      <w:r>
        <w:rPr>
          <w:rFonts w:ascii="Amiri" w:hAnsi="Amiri" w:eastAsia="Amiri" w:cs="Amiri"/>
          <w:lang w:bidi="ar-SA"/>
          <w:color w:val="111111"/>
          <w:sz w:val="28"/>
          <w:szCs w:val="28"/>
          <w:rtl/>
        </w:rPr>
        <w:t xml:space="preserve">2 .فرائد السمطين في فضائل المرتضى و</w:t>
      </w:r>
    </w:p>
    <w:p>
      <w:pPr>
        <w:pStyle w:val="BookText"/>
      </w:pPr>
      <w:r>
        <w:rPr>
          <w:rFonts w:ascii="Amiri" w:hAnsi="Amiri" w:eastAsia="Amiri" w:cs="Amiri"/>
          <w:lang w:bidi="ar-SA"/>
          <w:color w:val="111111"/>
          <w:sz w:val="28"/>
          <w:szCs w:val="28"/>
          <w:rtl/>
        </w:rPr>
        <w:t xml:space="preserve">البتول والسبطين، ج 11، ص732.</w:t>
      </w:r>
    </w:p>
    <w:p>
      <w:pPr>
        <w:pStyle w:val="BookText"/>
      </w:pPr>
      <w:r>
        <w:rPr>
          <w:rFonts w:ascii="Amiri" w:hAnsi="Amiri" w:eastAsia="Amiri" w:cs="Amiri"/>
          <w:lang w:bidi="ar-SA"/>
          <w:color w:val="111111"/>
          <w:sz w:val="28"/>
          <w:szCs w:val="28"/>
          <w:rtl/>
        </w:rPr>
        <w:t xml:space="preserve">حموي ، ابوبكر بن علي -ابن حجة ، تقي</w:t>
      </w:r>
    </w:p>
    <w:p>
      <w:pPr>
        <w:pStyle w:val="Heading2"/>
      </w:pPr>
      <w:bookmarkStart w:id="3922" w:name="_Toc3024"/>
      <w:r>
        <w:t>حموي، احمد بن محمّد - 1098 ؟ ه-</w:t>
      </w:r>
      <w:bookmarkEnd w:id="3922"/>
    </w:p>
    <w:p>
      <w:pPr>
        <w:pStyle w:val="BookText"/>
      </w:pPr>
      <w:r>
        <w:rPr>
          <w:rFonts w:ascii="Amiri" w:hAnsi="Amiri" w:eastAsia="Amiri" w:cs="Amiri"/>
          <w:lang w:bidi="ar-SA"/>
          <w:color w:val="111111"/>
          <w:sz w:val="28"/>
          <w:szCs w:val="28"/>
          <w:rtl/>
        </w:rPr>
        <w:t xml:space="preserve">1 .الابتهاج برؤية النبي ربه بعين بصره ليلة المعراج، ج 1، ص92.</w:t>
      </w:r>
    </w:p>
    <w:p>
      <w:pPr>
        <w:pStyle w:val="BookText"/>
      </w:pPr>
      <w:r>
        <w:rPr>
          <w:rFonts w:ascii="Amiri" w:hAnsi="Amiri" w:eastAsia="Amiri" w:cs="Amiri"/>
          <w:lang w:bidi="ar-SA"/>
          <w:color w:val="111111"/>
          <w:sz w:val="28"/>
          <w:szCs w:val="28"/>
          <w:rtl/>
        </w:rPr>
        <w:t xml:space="preserve">2 .اتحاف أرباب الدراية بفتح الهداية</w:t>
      </w:r>
    </w:p>
    <w:p>
      <w:pPr>
        <w:pStyle w:val="BookText"/>
      </w:pPr>
      <w:r>
        <w:rPr>
          <w:rFonts w:ascii="IRNazanin" w:hAnsi="IRNazanin" w:eastAsia="IRNazanin" w:cs="IRNazanin"/>
          <w:lang w:bidi="fa-IR"/>
          <w:color w:val="111111"/>
          <w:sz w:val="28"/>
          <w:szCs w:val="28"/>
          <w:rtl/>
        </w:rPr>
        <w:t xml:space="preserve">ج 1، ص 124.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اتحاف الاذكياء بتحقيق عصمة</w:t>
      </w:r>
    </w:p>
    <w:p>
      <w:pPr>
        <w:pStyle w:val="BookText"/>
      </w:pPr>
      <w:r>
        <w:rPr>
          <w:rFonts w:ascii="Amiri" w:hAnsi="Amiri" w:eastAsia="Amiri" w:cs="Amiri"/>
          <w:lang w:bidi="ar-SA"/>
          <w:color w:val="111111"/>
          <w:sz w:val="28"/>
          <w:szCs w:val="28"/>
          <w:rtl/>
        </w:rPr>
        <w:t xml:space="preserve">الانبياء، ج 1، ص 124.</w:t>
      </w:r>
    </w:p>
    <w:p>
      <w:pPr>
        <w:pStyle w:val="BookText"/>
      </w:pPr>
      <w:r>
        <w:rPr>
          <w:rFonts w:ascii="Amiri" w:hAnsi="Amiri" w:eastAsia="Amiri" w:cs="Amiri"/>
          <w:lang w:bidi="ar-SA"/>
          <w:color w:val="111111"/>
          <w:sz w:val="28"/>
          <w:szCs w:val="28"/>
          <w:rtl/>
        </w:rPr>
        <w:t xml:space="preserve">4 .احكام العشر والخراج (رسالة في)</w:t>
      </w:r>
    </w:p>
    <w:p>
      <w:pPr>
        <w:pStyle w:val="BookText"/>
      </w:pPr>
      <w:r>
        <w:rPr>
          <w:rFonts w:ascii="IRNazanin" w:hAnsi="IRNazanin" w:eastAsia="IRNazanin" w:cs="IRNazanin"/>
          <w:lang w:bidi="fa-IR"/>
          <w:color w:val="111111"/>
          <w:sz w:val="28"/>
          <w:szCs w:val="28"/>
          <w:rtl/>
        </w:rPr>
        <w:t xml:space="preserve">ج 1، ص 478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اختلاف المتداعيين في الذهاب إلى أحد القاضيين، ج 1، ص 552.</w:t>
      </w:r>
    </w:p>
    <w:p>
      <w:pPr>
        <w:pStyle w:val="BookText"/>
      </w:pPr>
      <w:r>
        <w:rPr>
          <w:rFonts w:ascii="Amiri" w:hAnsi="Amiri" w:eastAsia="Amiri" w:cs="Amiri"/>
          <w:lang w:bidi="ar-SA"/>
          <w:color w:val="111111"/>
          <w:sz w:val="28"/>
          <w:szCs w:val="28"/>
          <w:rtl/>
        </w:rPr>
        <w:t xml:space="preserve">6 .الأسئلة الستة و أجوبتها، ج2،</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Amiri" w:hAnsi="Amiri" w:eastAsia="Amiri" w:cs="Amiri"/>
          <w:lang w:bidi="ar-SA"/>
          <w:color w:val="111111"/>
          <w:sz w:val="28"/>
          <w:szCs w:val="28"/>
          <w:rtl/>
        </w:rPr>
        <w:t xml:space="preserve">7 .بغية الآمال في بيان حكم مارتب و أرصد من بيت المال، ج3، ص 360.</w:t>
      </w:r>
    </w:p>
    <w:p>
      <w:pPr>
        <w:pStyle w:val="BookText"/>
      </w:pPr>
      <w:r>
        <w:rPr>
          <w:rFonts w:ascii="Amiri" w:hAnsi="Amiri" w:eastAsia="Amiri" w:cs="Amiri"/>
          <w:lang w:bidi="ar-SA"/>
          <w:color w:val="111111"/>
          <w:sz w:val="28"/>
          <w:szCs w:val="28"/>
          <w:rtl/>
        </w:rPr>
        <w:t xml:space="preserve">8 .تحفة الاكياس في تفسير آية «ان اول</w:t>
      </w:r>
    </w:p>
    <w:p>
      <w:pPr>
        <w:pStyle w:val="BookText"/>
      </w:pPr>
      <w:r>
        <w:rPr>
          <w:rFonts w:ascii="Amiri" w:hAnsi="Amiri" w:eastAsia="Amiri" w:cs="Amiri"/>
          <w:lang w:bidi="ar-SA"/>
          <w:color w:val="111111"/>
          <w:sz w:val="28"/>
          <w:szCs w:val="28"/>
          <w:rtl/>
        </w:rPr>
        <w:t xml:space="preserve">بيت وضع للناس»، ج 3، ص 806.</w:t>
      </w:r>
    </w:p>
    <w:p>
      <w:pPr>
        <w:pStyle w:val="BookText"/>
      </w:pPr>
      <w:r>
        <w:rPr>
          <w:rFonts w:ascii="Amiri" w:hAnsi="Amiri" w:eastAsia="Amiri" w:cs="Amiri"/>
          <w:lang w:bidi="ar-SA"/>
          <w:color w:val="111111"/>
          <w:sz w:val="28"/>
          <w:szCs w:val="28"/>
          <w:rtl/>
        </w:rPr>
        <w:t xml:space="preserve">9 .تذهيب الصحيفة بنصرة الامام أبي</w:t>
      </w:r>
    </w:p>
    <w:p>
      <w:pPr>
        <w:pStyle w:val="BookText"/>
      </w:pPr>
      <w:r>
        <w:rPr>
          <w:rFonts w:ascii="Amiri" w:hAnsi="Amiri" w:eastAsia="Amiri" w:cs="Amiri"/>
          <w:lang w:bidi="ar-SA"/>
          <w:color w:val="111111"/>
          <w:sz w:val="28"/>
          <w:szCs w:val="28"/>
          <w:rtl/>
        </w:rPr>
        <w:t xml:space="preserve">حنيفة، ج4، ص220.</w:t>
      </w:r>
    </w:p>
    <w:p>
      <w:pPr>
        <w:pStyle w:val="BookText"/>
      </w:pPr>
      <w:r>
        <w:rPr>
          <w:rFonts w:ascii="Amiri" w:hAnsi="Amiri" w:eastAsia="Amiri" w:cs="Amiri"/>
          <w:lang w:bidi="ar-SA"/>
          <w:color w:val="111111"/>
          <w:sz w:val="28"/>
          <w:szCs w:val="28"/>
          <w:rtl/>
        </w:rPr>
        <w:t xml:space="preserve">10 .تفسير آية كأس» كان مزاجها</w:t>
      </w:r>
    </w:p>
    <w:p>
      <w:pPr>
        <w:pStyle w:val="BookText"/>
      </w:pPr>
      <w:r>
        <w:rPr>
          <w:rFonts w:ascii="Amiri" w:hAnsi="Amiri" w:eastAsia="Amiri" w:cs="Amiri"/>
          <w:lang w:bidi="ar-SA"/>
          <w:color w:val="111111"/>
          <w:sz w:val="28"/>
          <w:szCs w:val="28"/>
          <w:rtl/>
        </w:rPr>
        <w:t xml:space="preserve">كافورا»، ج4، ص 581.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تلقيح الفكر بشرح منظومة الاثر</w:t>
      </w:r>
    </w:p>
    <w:p>
      <w:pPr>
        <w:pStyle w:val="BookText"/>
      </w:pPr>
      <w:r>
        <w:rPr>
          <w:rFonts w:ascii="IRNazanin" w:hAnsi="IRNazanin" w:eastAsia="IRNazanin" w:cs="IRNazanin"/>
          <w:lang w:bidi="fa-IR"/>
          <w:color w:val="111111"/>
          <w:sz w:val="28"/>
          <w:szCs w:val="28"/>
          <w:rtl/>
        </w:rPr>
        <w:t xml:space="preserve">ج 4، ص 866.</w:t>
      </w:r>
    </w:p>
    <w:p>
      <w:pPr>
        <w:pStyle w:val="BookText"/>
      </w:pPr>
      <w:r>
        <w:rPr>
          <w:rFonts w:ascii="Amiri" w:hAnsi="Amiri" w:eastAsia="Amiri" w:cs="Amiri"/>
          <w:lang w:bidi="ar-SA"/>
          <w:color w:val="111111"/>
          <w:sz w:val="28"/>
          <w:szCs w:val="28"/>
          <w:rtl/>
        </w:rPr>
        <w:t xml:space="preserve">12 .تنبيه الغبي على حكم كفالة</w:t>
      </w:r>
    </w:p>
    <w:p>
      <w:pPr>
        <w:pStyle w:val="BookText"/>
      </w:pPr>
      <w:r>
        <w:rPr>
          <w:rFonts w:ascii="Amiri" w:hAnsi="Amiri" w:eastAsia="Amiri" w:cs="Amiri"/>
          <w:lang w:bidi="ar-SA"/>
          <w:color w:val="111111"/>
          <w:sz w:val="28"/>
          <w:szCs w:val="28"/>
          <w:rtl/>
        </w:rPr>
        <w:t xml:space="preserve">الصبي، ج 5، ص 40.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جلاء الاذهان بتحقيق مسألة( ليس لمكي تمتع الا قرآن )جه،</w:t>
      </w:r>
    </w:p>
    <w:p>
      <w:pPr>
        <w:pStyle w:val="BookText"/>
      </w:pPr>
      <w:r>
        <w:rPr>
          <w:rFonts w:ascii="IRNazanin" w:hAnsi="IRNazanin" w:eastAsia="IRNazanin" w:cs="IRNazanin"/>
          <w:lang w:bidi="fa-IR"/>
          <w:color w:val="111111"/>
          <w:sz w:val="28"/>
          <w:szCs w:val="28"/>
          <w:rtl/>
        </w:rPr>
        <w:t xml:space="preserve">ص 403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حاشية الاشباه والنظائر، جه،</w:t>
      </w:r>
    </w:p>
    <w:p>
      <w:pPr>
        <w:pStyle w:val="BookText"/>
      </w:pPr>
      <w:r>
        <w:rPr>
          <w:rFonts w:ascii="IRNazanin" w:hAnsi="IRNazanin" w:eastAsia="IRNazanin" w:cs="IRNazanin"/>
          <w:lang w:bidi="fa-IR"/>
          <w:color w:val="111111"/>
          <w:sz w:val="28"/>
          <w:szCs w:val="28"/>
          <w:rtl/>
        </w:rPr>
        <w:t xml:space="preserve">ص 664 .</w:t>
      </w:r>
    </w:p>
    <w:p>
      <w:pPr>
        <w:pStyle w:val="BookText"/>
      </w:pPr>
      <w:r>
        <w:rPr>
          <w:rFonts w:ascii="Amiri" w:hAnsi="Amiri" w:eastAsia="Amiri" w:cs="Amiri"/>
          <w:lang w:bidi="ar-SA"/>
          <w:color w:val="111111"/>
          <w:sz w:val="28"/>
          <w:szCs w:val="28"/>
          <w:rtl/>
        </w:rPr>
        <w:t xml:space="preserve">15 .الدر الفريد في بيان حكم التقليد</w:t>
      </w:r>
    </w:p>
    <w:p>
      <w:pPr>
        <w:pStyle w:val="BookText"/>
      </w:pPr>
      <w:r>
        <w:rPr>
          <w:rFonts w:ascii="IRNazanin" w:hAnsi="IRNazanin" w:eastAsia="IRNazanin" w:cs="IRNazanin"/>
          <w:lang w:bidi="fa-IR"/>
          <w:color w:val="111111"/>
          <w:sz w:val="28"/>
          <w:szCs w:val="28"/>
          <w:rtl/>
        </w:rPr>
        <w:t xml:space="preserve">ج 7، ص323.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الدر المكنون في الكلام على الطاعون، ج 7، ص 336.</w:t>
      </w:r>
    </w:p>
    <w:p>
      <w:pPr>
        <w:pStyle w:val="BookText"/>
      </w:pPr>
      <w:r>
        <w:rPr>
          <w:rFonts w:ascii="Amiri" w:hAnsi="Amiri" w:eastAsia="Amiri" w:cs="Amiri"/>
          <w:lang w:bidi="ar-SA"/>
          <w:color w:val="111111"/>
          <w:sz w:val="28"/>
          <w:szCs w:val="28"/>
          <w:rtl/>
        </w:rPr>
        <w:t xml:space="preserve">17 .الدر المنظوم في فضل الروم، ج7،</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Amiri" w:hAnsi="Amiri" w:eastAsia="Amiri" w:cs="Amiri"/>
          <w:lang w:bidi="ar-SA"/>
          <w:color w:val="111111"/>
          <w:sz w:val="28"/>
          <w:szCs w:val="28"/>
          <w:rtl/>
        </w:rPr>
        <w:t xml:space="preserve">18 .الدر النفيس في بيان نسب الامام</w:t>
      </w:r>
    </w:p>
    <w:p>
      <w:pPr>
        <w:pStyle w:val="BookText"/>
      </w:pPr>
      <w:r>
        <w:rPr>
          <w:rFonts w:ascii="Amiri" w:hAnsi="Amiri" w:eastAsia="Amiri" w:cs="Amiri"/>
          <w:lang w:bidi="ar-SA"/>
          <w:color w:val="111111"/>
          <w:sz w:val="28"/>
          <w:szCs w:val="28"/>
          <w:rtl/>
        </w:rPr>
        <w:t xml:space="preserve">محمّد بن ادريس (الامام</w:t>
      </w:r>
    </w:p>
    <w:p>
      <w:pPr>
        <w:pStyle w:val="BookText"/>
      </w:pPr>
      <w:r>
        <w:rPr>
          <w:rFonts w:ascii="Amiri" w:hAnsi="Amiri" w:eastAsia="Amiri" w:cs="Amiri"/>
          <w:lang w:bidi="ar-SA"/>
          <w:color w:val="111111"/>
          <w:sz w:val="28"/>
          <w:szCs w:val="28"/>
          <w:rtl/>
        </w:rPr>
        <w:t xml:space="preserve">السافعي)، ج 7، ص 365.</w:t>
      </w:r>
    </w:p>
    <w:p>
      <w:pPr>
        <w:pStyle w:val="BookText"/>
      </w:pPr>
      <w:r>
        <w:rPr>
          <w:rFonts w:ascii="Amiri" w:hAnsi="Amiri" w:eastAsia="Amiri" w:cs="Amiri"/>
          <w:lang w:bidi="ar-SA"/>
          <w:color w:val="111111"/>
          <w:sz w:val="28"/>
          <w:szCs w:val="28"/>
          <w:rtl/>
        </w:rPr>
        <w:t xml:space="preserve">19 الدرر الثمينة في حكم الصلاة في</w:t>
      </w:r>
    </w:p>
    <w:p>
      <w:pPr>
        <w:pStyle w:val="BookText"/>
      </w:pPr>
      <w:r>
        <w:rPr>
          <w:rFonts w:ascii="Amiri" w:hAnsi="Amiri" w:eastAsia="Amiri" w:cs="Amiri"/>
          <w:lang w:bidi="ar-SA"/>
          <w:color w:val="111111"/>
          <w:sz w:val="28"/>
          <w:szCs w:val="28"/>
          <w:rtl/>
        </w:rPr>
        <w:t xml:space="preserve">السفينة، ج 7، ص287.</w:t>
      </w:r>
    </w:p>
    <w:p>
      <w:pPr>
        <w:pStyle w:val="BookText"/>
      </w:pPr>
      <w:r>
        <w:rPr>
          <w:rFonts w:ascii="Amiri" w:hAnsi="Amiri" w:eastAsia="Amiri" w:cs="Amiri"/>
          <w:lang w:bidi="ar-SA"/>
          <w:color w:val="111111"/>
          <w:sz w:val="28"/>
          <w:szCs w:val="28"/>
          <w:rtl/>
        </w:rPr>
        <w:t xml:space="preserve">20 .الدرر المنتظمة في تحقيق مسألة</w:t>
      </w:r>
    </w:p>
    <w:p>
      <w:pPr>
        <w:pStyle w:val="BookText"/>
      </w:pPr>
      <w:r>
        <w:rPr>
          <w:rFonts w:ascii="Amiri" w:hAnsi="Amiri" w:eastAsia="Amiri" w:cs="Amiri"/>
          <w:lang w:bidi="ar-SA"/>
          <w:color w:val="111111"/>
          <w:sz w:val="28"/>
          <w:szCs w:val="28"/>
          <w:rtl/>
        </w:rPr>
        <w:t xml:space="preserve">القمقمة، ج 7، ص 316.</w:t>
      </w:r>
    </w:p>
    <w:p>
      <w:pPr>
        <w:pStyle w:val="BookText"/>
      </w:pPr>
      <w:r>
        <w:rPr>
          <w:rFonts w:ascii="Amiri" w:hAnsi="Amiri" w:eastAsia="Amiri" w:cs="Amiri"/>
          <w:lang w:bidi="ar-SA"/>
          <w:color w:val="111111"/>
          <w:sz w:val="28"/>
          <w:szCs w:val="28"/>
          <w:rtl/>
        </w:rPr>
        <w:t xml:space="preserve">21 .ذيل درر العبارات و غرر الاشارات</w:t>
      </w:r>
    </w:p>
    <w:p>
      <w:pPr>
        <w:pStyle w:val="BookText"/>
      </w:pPr>
      <w:r>
        <w:rPr>
          <w:rFonts w:ascii="Amiri" w:hAnsi="Amiri" w:eastAsia="Amiri" w:cs="Amiri"/>
          <w:lang w:bidi="ar-SA"/>
          <w:color w:val="111111"/>
          <w:sz w:val="28"/>
          <w:szCs w:val="28"/>
          <w:rtl/>
        </w:rPr>
        <w:t xml:space="preserve">في تحقيق معاني الاستعارات، ج 7، ص 874.</w:t>
      </w:r>
    </w:p>
    <w:p>
      <w:pPr>
        <w:pStyle w:val="BookText"/>
      </w:pPr>
      <w:r>
        <w:rPr>
          <w:rFonts w:ascii="Amiri" w:hAnsi="Amiri" w:eastAsia="Amiri" w:cs="Amiri"/>
          <w:lang w:bidi="ar-SA"/>
          <w:color w:val="111111"/>
          <w:sz w:val="28"/>
          <w:szCs w:val="28"/>
          <w:rtl/>
        </w:rPr>
        <w:t xml:space="preserve">22 .رسالة مرتبات المرصدة من بيت</w:t>
      </w:r>
    </w:p>
    <w:p>
      <w:pPr>
        <w:pStyle w:val="BookText"/>
      </w:pPr>
      <w:r>
        <w:rPr>
          <w:rFonts w:ascii="IRNazanin" w:hAnsi="IRNazanin" w:eastAsia="IRNazanin" w:cs="IRNazanin"/>
          <w:lang w:bidi="fa-IR"/>
          <w:color w:val="111111"/>
          <w:sz w:val="28"/>
          <w:szCs w:val="28"/>
          <w:rtl/>
        </w:rPr>
        <w:t xml:space="preserve">المال، ج8، ص 268.</w:t>
      </w:r>
    </w:p>
    <w:p>
      <w:pPr>
        <w:pStyle w:val="BookText"/>
      </w:pPr>
      <w:r>
        <w:rPr>
          <w:rFonts w:ascii="Amiri" w:hAnsi="Amiri" w:eastAsia="Amiri" w:cs="Amiri"/>
          <w:lang w:bidi="ar-SA"/>
          <w:color w:val="111111"/>
          <w:sz w:val="28"/>
          <w:szCs w:val="28"/>
          <w:rtl/>
        </w:rPr>
        <w:t xml:space="preserve">23 .الروض الزاهر فيما يحتاج اليه</w:t>
      </w:r>
    </w:p>
    <w:p>
      <w:pPr>
        <w:pStyle w:val="BookText"/>
      </w:pPr>
      <w:r>
        <w:rPr>
          <w:rFonts w:ascii="IRNazanin" w:hAnsi="IRNazanin" w:eastAsia="IRNazanin" w:cs="IRNazanin"/>
          <w:lang w:bidi="fa-IR"/>
          <w:color w:val="111111"/>
          <w:sz w:val="28"/>
          <w:szCs w:val="28"/>
          <w:rtl/>
        </w:rPr>
        <w:t xml:space="preserve">المسافر، ج8، ص 464.</w:t>
      </w:r>
    </w:p>
    <w:p>
      <w:pPr>
        <w:pStyle w:val="BookText"/>
      </w:pPr>
      <w:r>
        <w:rPr>
          <w:rFonts w:ascii="Amiri" w:hAnsi="Amiri" w:eastAsia="Amiri" w:cs="Amiri"/>
          <w:lang w:bidi="ar-SA"/>
          <w:color w:val="111111"/>
          <w:sz w:val="28"/>
          <w:szCs w:val="28"/>
          <w:rtl/>
        </w:rPr>
        <w:t xml:space="preserve">24 .السر المكنون في الكلام على</w:t>
      </w:r>
    </w:p>
    <w:p>
      <w:pPr>
        <w:pStyle w:val="BookText"/>
      </w:pPr>
      <w:r>
        <w:rPr>
          <w:rFonts w:ascii="IRNazanin" w:hAnsi="IRNazanin" w:eastAsia="IRNazanin" w:cs="IRNazanin"/>
          <w:lang w:bidi="fa-IR"/>
          <w:color w:val="111111"/>
          <w:sz w:val="28"/>
          <w:szCs w:val="28"/>
          <w:rtl/>
        </w:rPr>
        <w:t xml:space="preserve">الطاعون، ج8، ص 766 .</w:t>
      </w:r>
    </w:p>
    <w:p>
      <w:pPr>
        <w:pStyle w:val="BookText"/>
      </w:pPr>
      <w:r>
        <w:rPr>
          <w:rFonts w:ascii="Amiri" w:hAnsi="Amiri" w:eastAsia="Amiri" w:cs="Amiri"/>
          <w:lang w:bidi="ar-SA"/>
          <w:color w:val="111111"/>
          <w:sz w:val="28"/>
          <w:szCs w:val="28"/>
          <w:rtl/>
        </w:rPr>
        <w:t xml:space="preserve">25 .شفاء الغلة في تحقيق مسألة (أي)</w:t>
      </w:r>
    </w:p>
    <w:p>
      <w:pPr>
        <w:pStyle w:val="BookText"/>
      </w:pPr>
      <w:r>
        <w:rPr>
          <w:rFonts w:ascii="Amiri" w:hAnsi="Amiri" w:eastAsia="Amiri" w:cs="Amiri"/>
          <w:lang w:bidi="ar-SA"/>
          <w:color w:val="111111"/>
          <w:sz w:val="28"/>
          <w:szCs w:val="28"/>
          <w:rtl/>
        </w:rPr>
        <w:t xml:space="preserve">المجعولة وصلته، ج 10، ص388</w:t>
      </w:r>
    </w:p>
    <w:p>
      <w:pPr>
        <w:pStyle w:val="BookText"/>
      </w:pPr>
      <w:r>
        <w:rPr>
          <w:rFonts w:ascii="IRNazanin" w:hAnsi="IRNazanin" w:eastAsia="IRNazanin" w:cs="IRNazanin"/>
          <w:lang w:bidi="fa-IR"/>
          <w:color w:val="111111"/>
          <w:sz w:val="28"/>
          <w:szCs w:val="28"/>
          <w:rtl/>
        </w:rPr>
        <w:t xml:space="preserve">26 .الضمان اذا أتلف العبد بالضرب</w:t>
      </w:r>
    </w:p>
    <w:p>
      <w:pPr>
        <w:pStyle w:val="BookText"/>
      </w:pPr>
      <w:r>
        <w:rPr>
          <w:rFonts w:ascii="Amiri" w:hAnsi="Amiri" w:eastAsia="Amiri" w:cs="Amiri"/>
          <w:lang w:bidi="ar-SA"/>
          <w:color w:val="111111"/>
          <w:sz w:val="28"/>
          <w:szCs w:val="28"/>
          <w:rtl/>
        </w:rPr>
        <w:t xml:space="preserve">(رسالة في)، ج 10، ص 696.</w:t>
      </w:r>
    </w:p>
    <w:p>
      <w:pPr>
        <w:pStyle w:val="BookText"/>
      </w:pPr>
      <w:r>
        <w:rPr>
          <w:rFonts w:ascii="IRNazanin" w:hAnsi="IRNazanin" w:eastAsia="IRNazanin" w:cs="IRNazanin"/>
          <w:lang w:bidi="fa-IR"/>
          <w:color w:val="111111"/>
          <w:sz w:val="28"/>
          <w:szCs w:val="28"/>
          <w:rtl/>
        </w:rPr>
        <w:t xml:space="preserve">27 .ضمان القرض اذا ضاع، ج 10،</w:t>
      </w:r>
    </w:p>
    <w:p>
      <w:pPr>
        <w:pStyle w:val="BookText"/>
      </w:pPr>
      <w:r>
        <w:rPr>
          <w:rFonts w:ascii="IRNazanin" w:hAnsi="IRNazanin" w:eastAsia="IRNazanin" w:cs="IRNazanin"/>
          <w:lang w:bidi="fa-IR"/>
          <w:color w:val="111111"/>
          <w:sz w:val="28"/>
          <w:szCs w:val="28"/>
          <w:rtl/>
        </w:rPr>
        <w:t xml:space="preserve">ص 696 .</w:t>
      </w:r>
    </w:p>
    <w:p>
      <w:pPr>
        <w:pStyle w:val="BookText"/>
      </w:pPr>
      <w:r>
        <w:rPr>
          <w:rFonts w:ascii="Amiri" w:hAnsi="Amiri" w:eastAsia="Amiri" w:cs="Amiri"/>
          <w:lang w:bidi="ar-SA"/>
          <w:color w:val="111111"/>
          <w:sz w:val="28"/>
          <w:szCs w:val="28"/>
          <w:rtl/>
        </w:rPr>
        <w:t xml:space="preserve">28 .غمز عيون البصائر على محاسن الأشباه والنظائر، ج11، ص508.</w:t>
      </w:r>
    </w:p>
    <w:p>
      <w:pPr>
        <w:pStyle w:val="BookText"/>
      </w:pPr>
      <w:r>
        <w:rPr>
          <w:rFonts w:ascii="IRNazanin" w:hAnsi="IRNazanin" w:eastAsia="IRNazanin" w:cs="IRNazanin"/>
          <w:lang w:bidi="fa-IR"/>
          <w:color w:val="111111"/>
          <w:sz w:val="28"/>
          <w:szCs w:val="28"/>
          <w:rtl/>
        </w:rPr>
        <w:t xml:space="preserve">29 .فوائد اللؤلؤ والمرجان بشرح العقود الحسان، ج 12، ص 264.</w:t>
      </w:r>
    </w:p>
    <w:p>
      <w:pPr>
        <w:pStyle w:val="BookText"/>
      </w:pPr>
      <w:r>
        <w:rPr>
          <w:rFonts w:ascii="Amiri" w:hAnsi="Amiri" w:eastAsia="Amiri" w:cs="Amiri"/>
          <w:lang w:bidi="ar-SA"/>
          <w:color w:val="111111"/>
          <w:sz w:val="28"/>
          <w:szCs w:val="28"/>
          <w:rtl/>
        </w:rPr>
        <w:t xml:space="preserve">30 .القرب و الاتصال باثبات التصرف لاولياء الله و الابدال، ج12، ص 565.</w:t>
      </w:r>
    </w:p>
    <w:p>
      <w:pPr>
        <w:pStyle w:val="BookText"/>
      </w:pPr>
      <w:r>
        <w:rPr>
          <w:rFonts w:ascii="Amiri" w:hAnsi="Amiri" w:eastAsia="Amiri" w:cs="Amiri"/>
          <w:lang w:bidi="ar-SA"/>
          <w:color w:val="111111"/>
          <w:sz w:val="28"/>
          <w:szCs w:val="28"/>
          <w:rtl/>
        </w:rPr>
        <w:t xml:space="preserve">31 .قرة العيون بنموذج الفنون، ج 12،</w:t>
      </w:r>
    </w:p>
    <w:p>
      <w:pPr>
        <w:pStyle w:val="BookText"/>
      </w:pPr>
      <w:r>
        <w:rPr>
          <w:rFonts w:ascii="IRNazanin" w:hAnsi="IRNazanin" w:eastAsia="IRNazanin" w:cs="IRNazanin"/>
          <w:lang w:bidi="fa-IR"/>
          <w:color w:val="111111"/>
          <w:sz w:val="28"/>
          <w:szCs w:val="28"/>
          <w:rtl/>
        </w:rPr>
        <w:t xml:space="preserve">ص 574.</w:t>
      </w:r>
    </w:p>
    <w:p>
      <w:pPr>
        <w:pStyle w:val="BookText"/>
      </w:pPr>
      <w:r>
        <w:rPr>
          <w:rFonts w:ascii="Amiri" w:hAnsi="Amiri" w:eastAsia="Amiri" w:cs="Amiri"/>
          <w:lang w:bidi="ar-SA"/>
          <w:color w:val="111111"/>
          <w:sz w:val="28"/>
          <w:szCs w:val="28"/>
          <w:rtl/>
        </w:rPr>
        <w:t xml:space="preserve">32.القول البليغ في حكم التبليغ</w:t>
      </w:r>
    </w:p>
    <w:p>
      <w:pPr>
        <w:pStyle w:val="BookText"/>
      </w:pPr>
      <w:r>
        <w:rPr>
          <w:rFonts w:ascii="IRNazanin" w:hAnsi="IRNazanin" w:eastAsia="IRNazanin" w:cs="IRNazanin"/>
          <w:lang w:bidi="fa-IR"/>
          <w:color w:val="111111"/>
          <w:sz w:val="28"/>
          <w:szCs w:val="28"/>
          <w:rtl/>
        </w:rPr>
        <w:t xml:space="preserve">ج 12، ص 840.</w:t>
      </w:r>
    </w:p>
    <w:p>
      <w:pPr>
        <w:pStyle w:val="BookText"/>
      </w:pPr>
      <w:r>
        <w:rPr>
          <w:rFonts w:ascii="Amiri" w:hAnsi="Amiri" w:eastAsia="Amiri" w:cs="Amiri"/>
          <w:lang w:bidi="ar-SA"/>
          <w:color w:val="111111"/>
          <w:sz w:val="28"/>
          <w:szCs w:val="28"/>
          <w:rtl/>
        </w:rPr>
        <w:t xml:space="preserve">33 .كشف الرمز عن خبايا الكنز = شرح كنز الدقائق، ج13، ص212.</w:t>
      </w:r>
    </w:p>
    <w:p>
      <w:pPr>
        <w:pStyle w:val="BookText"/>
      </w:pPr>
      <w:r>
        <w:rPr>
          <w:rFonts w:ascii="Amiri" w:hAnsi="Amiri" w:eastAsia="Amiri" w:cs="Amiri"/>
          <w:lang w:bidi="ar-SA"/>
          <w:color w:val="111111"/>
          <w:sz w:val="28"/>
          <w:szCs w:val="28"/>
          <w:rtl/>
        </w:rPr>
        <w:t xml:space="preserve">34 .مختصر السراجية، ج 14، ص 194.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8" w:name="pg7742_70251"/>
    <w:bookmarkEnd w:id="428"/>
    <w:p>
      <w:pPr>
        <w:pStyle w:val="BookText"/>
      </w:pPr>
      <w:r>
        <w:rPr>
          <w:rFonts w:ascii="IRNazanin" w:hAnsi="IRNazanin" w:eastAsia="IRNazanin" w:cs="IRNazanin"/>
          <w:lang w:bidi="fa-IR"/>
          <w:color w:val="111111"/>
          <w:sz w:val="28"/>
          <w:szCs w:val="28"/>
          <w:rtl/>
        </w:rPr>
        <w:t xml:space="preserve">35 .نفحات القرب و الإتصال باثبات</w:t>
      </w:r>
    </w:p>
    <w:p>
      <w:pPr>
        <w:pStyle w:val="BookText"/>
      </w:pPr>
      <w:r>
        <w:rPr>
          <w:rFonts w:ascii="Amiri" w:hAnsi="Amiri" w:eastAsia="Amiri" w:cs="Amiri"/>
          <w:lang w:bidi="ar-SA"/>
          <w:color w:val="111111"/>
          <w:sz w:val="28"/>
          <w:szCs w:val="28"/>
          <w:rtl/>
        </w:rPr>
        <w:t xml:space="preserve">التصرف لأولياء الله بعد الإنتقال</w:t>
      </w:r>
    </w:p>
    <w:p>
      <w:pPr>
        <w:pStyle w:val="BookText"/>
      </w:pPr>
      <w:r>
        <w:rPr>
          <w:rFonts w:ascii="IRNazanin" w:hAnsi="IRNazanin" w:eastAsia="IRNazanin" w:cs="IRNazanin"/>
          <w:lang w:bidi="fa-IR"/>
          <w:color w:val="111111"/>
          <w:sz w:val="28"/>
          <w:szCs w:val="28"/>
          <w:rtl/>
        </w:rPr>
        <w:t xml:space="preserve">ج 16، ص 383.</w:t>
      </w:r>
    </w:p>
    <w:p>
      <w:pPr>
        <w:pStyle w:val="BookText"/>
      </w:pPr>
      <w:r>
        <w:rPr>
          <w:rFonts w:ascii="Amiri" w:hAnsi="Amiri" w:eastAsia="Amiri" w:cs="Amiri"/>
          <w:lang w:bidi="ar-SA"/>
          <w:color w:val="111111"/>
          <w:sz w:val="28"/>
          <w:szCs w:val="28"/>
          <w:rtl/>
        </w:rPr>
        <w:t xml:space="preserve">36 .النفحات المسكية في صناعة</w:t>
      </w:r>
    </w:p>
    <w:p>
      <w:pPr>
        <w:pStyle w:val="BookText"/>
      </w:pPr>
      <w:r>
        <w:rPr>
          <w:rFonts w:ascii="Amiri" w:hAnsi="Amiri" w:eastAsia="Amiri" w:cs="Amiri"/>
          <w:lang w:bidi="ar-SA"/>
          <w:color w:val="111111"/>
          <w:sz w:val="28"/>
          <w:szCs w:val="28"/>
          <w:rtl/>
        </w:rPr>
        <w:t xml:space="preserve">الفروسية، ج 16، ص 387.</w:t>
      </w:r>
    </w:p>
    <w:p>
      <w:pPr>
        <w:pStyle w:val="Heading2"/>
      </w:pPr>
      <w:bookmarkStart w:id="3923" w:name="_Toc3025"/>
      <w:r>
        <w:t>حموي ، احمد بن وهبان - 585 ه-</w:t>
      </w:r>
      <w:bookmarkEnd w:id="3923"/>
    </w:p>
    <w:p>
      <w:pPr>
        <w:pStyle w:val="BookText"/>
      </w:pPr>
      <w:r>
        <w:rPr>
          <w:rFonts w:ascii="Amiri" w:hAnsi="Amiri" w:eastAsia="Amiri" w:cs="Amiri"/>
          <w:lang w:bidi="ar-SA"/>
          <w:color w:val="111111"/>
          <w:sz w:val="28"/>
          <w:szCs w:val="28"/>
          <w:rtl/>
        </w:rPr>
        <w:t xml:space="preserve">قرائة ابن وهبان الدمشقي، ج 12،</w:t>
      </w:r>
    </w:p>
    <w:p>
      <w:pPr>
        <w:pStyle w:val="BookText"/>
      </w:pPr>
      <w:r>
        <w:rPr>
          <w:rFonts w:ascii="IRNazanin" w:hAnsi="IRNazanin" w:eastAsia="IRNazanin" w:cs="IRNazanin"/>
          <w:lang w:bidi="fa-IR"/>
          <w:color w:val="111111"/>
          <w:sz w:val="28"/>
          <w:szCs w:val="28"/>
          <w:rtl/>
        </w:rPr>
        <w:t xml:space="preserve">ص 548 .</w:t>
      </w:r>
    </w:p>
    <w:p>
      <w:pPr>
        <w:pStyle w:val="Heading2"/>
      </w:pPr>
      <w:bookmarkStart w:id="3924" w:name="_Toc3026"/>
      <w:r>
        <w:t>حموي حنفي، علي بن عثمان قرن 11 ه-</w:t>
      </w:r>
      <w:bookmarkEnd w:id="3924"/>
    </w:p>
    <w:p>
      <w:pPr>
        <w:pStyle w:val="BookText"/>
      </w:pPr>
      <w:r>
        <w:rPr>
          <w:rFonts w:ascii="IRNazanin" w:hAnsi="IRNazanin" w:eastAsia="IRNazanin" w:cs="IRNazanin"/>
          <w:lang w:bidi="fa-IR"/>
          <w:color w:val="111111"/>
          <w:sz w:val="28"/>
          <w:szCs w:val="28"/>
          <w:rtl/>
        </w:rPr>
        <w:t xml:space="preserve">الحل المختصر، ج6، ص 792.</w:t>
      </w:r>
    </w:p>
    <w:p>
      <w:pPr>
        <w:pStyle w:val="BookText"/>
      </w:pPr>
      <w:r>
        <w:rPr>
          <w:rFonts w:ascii="Amiri" w:hAnsi="Amiri" w:eastAsia="Amiri" w:cs="Amiri"/>
          <w:lang w:bidi="ar-SA"/>
          <w:color w:val="111111"/>
          <w:sz w:val="28"/>
          <w:szCs w:val="28"/>
          <w:rtl/>
        </w:rPr>
        <w:t xml:space="preserve">حموي ، عبد الرحمن بن ابراهيم- ابن</w:t>
      </w:r>
    </w:p>
    <w:p>
      <w:pPr>
        <w:pStyle w:val="BookText"/>
      </w:pPr>
      <w:r>
        <w:rPr>
          <w:rFonts w:ascii="Amiri" w:hAnsi="Amiri" w:eastAsia="Amiri" w:cs="Amiri"/>
          <w:lang w:bidi="ar-SA"/>
          <w:color w:val="111111"/>
          <w:sz w:val="28"/>
          <w:szCs w:val="28"/>
          <w:rtl/>
        </w:rPr>
        <w:t xml:space="preserve">بارزي ، عبد الرحيم بن ابراهيم</w:t>
      </w:r>
    </w:p>
    <w:p>
      <w:pPr>
        <w:pStyle w:val="BookText"/>
      </w:pPr>
      <w:r>
        <w:rPr>
          <w:rFonts w:ascii="Amiri" w:hAnsi="Amiri" w:eastAsia="Amiri" w:cs="Amiri"/>
          <w:lang w:bidi="ar-SA"/>
          <w:color w:val="111111"/>
          <w:sz w:val="28"/>
          <w:szCs w:val="28"/>
          <w:rtl/>
        </w:rPr>
        <w:t xml:space="preserve">حموي ، عبدالرحيم بن عبد الرحمن - عباسي ، عبدالرحيم بن عبد الرحمن</w:t>
      </w:r>
    </w:p>
    <w:p>
      <w:pPr>
        <w:pStyle w:val="Heading2"/>
      </w:pPr>
      <w:bookmarkStart w:id="3925" w:name="_Toc3027"/>
      <w:r>
        <w:t>حموي، عثمان بن يوسف - 868 ه-</w:t>
      </w:r>
      <w:bookmarkEnd w:id="3925"/>
    </w:p>
    <w:p>
      <w:pPr>
        <w:pStyle w:val="BookText"/>
      </w:pPr>
      <w:r>
        <w:rPr>
          <w:rFonts w:ascii="Amiri" w:hAnsi="Amiri" w:eastAsia="Amiri" w:cs="Amiri"/>
          <w:lang w:bidi="ar-SA"/>
          <w:color w:val="111111"/>
          <w:sz w:val="28"/>
          <w:szCs w:val="28"/>
          <w:rtl/>
        </w:rPr>
        <w:t xml:space="preserve">حاشية الورقات، ج 6، ص 451.</w:t>
      </w:r>
    </w:p>
    <w:p>
      <w:pPr>
        <w:pStyle w:val="Heading2"/>
      </w:pPr>
      <w:bookmarkStart w:id="3926" w:name="_Toc3028"/>
      <w:r>
        <w:t>حموي ، علوان بن علي - 936 ه-</w:t>
      </w:r>
      <w:bookmarkEnd w:id="3926"/>
    </w:p>
    <w:p>
      <w:pPr>
        <w:pStyle w:val="BookText"/>
      </w:pPr>
      <w:r>
        <w:rPr>
          <w:rFonts w:ascii="Amiri" w:hAnsi="Amiri" w:eastAsia="Amiri" w:cs="Amiri"/>
          <w:lang w:bidi="ar-SA"/>
          <w:color w:val="111111"/>
          <w:sz w:val="28"/>
          <w:szCs w:val="28"/>
          <w:rtl/>
        </w:rPr>
        <w:t xml:space="preserve">القصيدة الميمة، ج 12، ص718.</w:t>
      </w:r>
    </w:p>
    <w:p>
      <w:pPr>
        <w:pStyle w:val="Heading2"/>
      </w:pPr>
      <w:bookmarkStart w:id="3927" w:name="_Toc3029"/>
      <w:r>
        <w:t>حموي، علي بن احمد، 888 - 955 ه-</w:t>
      </w:r>
      <w:bookmarkEnd w:id="3927"/>
    </w:p>
    <w:p>
      <w:pPr>
        <w:pStyle w:val="BookText"/>
      </w:pPr>
      <w:r>
        <w:rPr>
          <w:rFonts w:ascii="Amiri" w:hAnsi="Amiri" w:eastAsia="Amiri" w:cs="Amiri"/>
          <w:lang w:bidi="ar-SA"/>
          <w:color w:val="111111"/>
          <w:sz w:val="28"/>
          <w:szCs w:val="28"/>
          <w:rtl/>
        </w:rPr>
        <w:t xml:space="preserve">1.تنبيه الطالبين على مقاصد العارفين، ج 5، ص 28.</w:t>
      </w:r>
    </w:p>
    <w:p>
      <w:pPr>
        <w:pStyle w:val="BookText"/>
      </w:pPr>
      <w:r>
        <w:rPr>
          <w:rFonts w:ascii="Amiri" w:hAnsi="Amiri" w:eastAsia="Amiri" w:cs="Amiri"/>
          <w:lang w:bidi="ar-SA"/>
          <w:color w:val="111111"/>
          <w:sz w:val="28"/>
          <w:szCs w:val="28"/>
          <w:rtl/>
        </w:rPr>
        <w:t xml:space="preserve">2 .ديوان الكيزواني، ج 7، ص 746.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زاد المساكين إلى منازل السائرين</w:t>
      </w:r>
    </w:p>
    <w:p>
      <w:pPr>
        <w:pStyle w:val="BookText"/>
      </w:pPr>
      <w:r>
        <w:rPr>
          <w:rFonts w:ascii="IRNazanin" w:hAnsi="IRNazanin" w:eastAsia="IRNazanin" w:cs="IRNazanin"/>
          <w:lang w:bidi="fa-IR"/>
          <w:color w:val="111111"/>
          <w:sz w:val="28"/>
          <w:szCs w:val="28"/>
          <w:rtl/>
        </w:rPr>
        <w:t xml:space="preserve">ج 8، ص 533.</w:t>
      </w:r>
    </w:p>
    <w:p>
      <w:pPr>
        <w:pStyle w:val="BookText"/>
      </w:pPr>
      <w:r>
        <w:rPr>
          <w:rFonts w:ascii="Amiri" w:hAnsi="Amiri" w:eastAsia="Amiri" w:cs="Amiri"/>
          <w:lang w:bidi="ar-SA"/>
          <w:color w:val="111111"/>
          <w:sz w:val="28"/>
          <w:szCs w:val="28"/>
          <w:rtl/>
        </w:rPr>
        <w:t xml:space="preserve">حموي ، علي بن عبدالله- بصير حاكمي</w:t>
      </w:r>
    </w:p>
    <w:p>
      <w:pPr>
        <w:pStyle w:val="BookText"/>
      </w:pPr>
      <w:r>
        <w:rPr>
          <w:rFonts w:ascii="Amiri" w:hAnsi="Amiri" w:eastAsia="Amiri" w:cs="Amiri"/>
          <w:lang w:bidi="ar-SA"/>
          <w:color w:val="111111"/>
          <w:sz w:val="28"/>
          <w:szCs w:val="28"/>
          <w:rtl/>
        </w:rPr>
        <w:t xml:space="preserve">علي بن عبدالله</w:t>
      </w:r>
    </w:p>
    <w:p>
      <w:pPr>
        <w:pStyle w:val="BookText"/>
      </w:pPr>
      <w:r>
        <w:rPr>
          <w:rFonts w:ascii="Amiri" w:hAnsi="Amiri" w:eastAsia="Amiri" w:cs="Amiri"/>
          <w:lang w:bidi="ar-SA"/>
          <w:color w:val="111111"/>
          <w:sz w:val="28"/>
          <w:szCs w:val="28"/>
          <w:rtl/>
        </w:rPr>
        <w:t xml:space="preserve">حموي ، علي بن عطيه -علوان ، علي بن</w:t>
      </w:r>
    </w:p>
    <w:p>
      <w:pPr>
        <w:pStyle w:val="BookText"/>
      </w:pPr>
      <w:r>
        <w:rPr>
          <w:rFonts w:ascii="Amiri" w:hAnsi="Amiri" w:eastAsia="Amiri" w:cs="Amiri"/>
          <w:lang w:bidi="ar-SA"/>
          <w:color w:val="111111"/>
          <w:sz w:val="28"/>
          <w:szCs w:val="28"/>
          <w:rtl/>
        </w:rPr>
        <w:t xml:space="preserve">عطيه</w:t>
      </w:r>
    </w:p>
    <w:p>
      <w:pPr>
        <w:pStyle w:val="BookText"/>
      </w:pPr>
      <w:r>
        <w:rPr>
          <w:rFonts w:ascii="Amiri" w:hAnsi="Amiri" w:eastAsia="Amiri" w:cs="Amiri"/>
          <w:lang w:bidi="ar-SA"/>
          <w:color w:val="111111"/>
          <w:sz w:val="28"/>
          <w:szCs w:val="28"/>
          <w:rtl/>
        </w:rPr>
        <w:t xml:space="preserve">حموي ، علي بن محمّد -ابن مليك ، علي</w:t>
      </w:r>
    </w:p>
    <w:p>
      <w:pPr>
        <w:pStyle w:val="BookText"/>
      </w:pPr>
      <w:r>
        <w:rPr>
          <w:rFonts w:ascii="Amiri" w:hAnsi="Amiri" w:eastAsia="Amiri" w:cs="Amiri"/>
          <w:lang w:bidi="ar-SA"/>
          <w:color w:val="111111"/>
          <w:sz w:val="28"/>
          <w:szCs w:val="28"/>
          <w:rtl/>
        </w:rPr>
        <w:t xml:space="preserve">بن محمّد</w:t>
      </w:r>
    </w:p>
    <w:p>
      <w:pPr>
        <w:pStyle w:val="Heading2"/>
      </w:pPr>
      <w:bookmarkStart w:id="3928" w:name="_Toc3030"/>
      <w:r>
        <w:t>حموي، عمر بن ابي احمد</w:t>
      </w:r>
      <w:bookmarkEnd w:id="3928"/>
    </w:p>
    <w:p>
      <w:pPr>
        <w:pStyle w:val="BookText"/>
      </w:pPr>
      <w:r>
        <w:rPr>
          <w:rFonts w:ascii="Amiri" w:hAnsi="Amiri" w:eastAsia="Amiri" w:cs="Amiri"/>
          <w:lang w:bidi="ar-SA"/>
          <w:color w:val="111111"/>
          <w:sz w:val="28"/>
          <w:szCs w:val="28"/>
          <w:rtl/>
        </w:rPr>
        <w:t xml:space="preserve">اليواقيت في علم المواقيت ج 16،</w:t>
      </w:r>
    </w:p>
    <w:p>
      <w:pPr>
        <w:pStyle w:val="BookText"/>
      </w:pPr>
      <w:r>
        <w:rPr>
          <w:rFonts w:ascii="IRNazanin" w:hAnsi="IRNazanin" w:eastAsia="IRNazanin" w:cs="IRNazanin"/>
          <w:lang w:bidi="fa-IR"/>
          <w:color w:val="111111"/>
          <w:sz w:val="28"/>
          <w:szCs w:val="28"/>
          <w:rtl/>
        </w:rPr>
        <w:t xml:space="preserve">ص 904.</w:t>
      </w:r>
    </w:p>
    <w:p>
      <w:pPr>
        <w:pStyle w:val="BookText"/>
      </w:pPr>
      <w:r>
        <w:rPr>
          <w:rFonts w:ascii="Amiri" w:hAnsi="Amiri" w:eastAsia="Amiri" w:cs="Amiri"/>
          <w:lang w:bidi="ar-SA"/>
          <w:color w:val="111111"/>
          <w:sz w:val="28"/>
          <w:szCs w:val="28"/>
          <w:rtl/>
        </w:rPr>
        <w:t xml:space="preserve">حموي فيومي ، احمد بن محمّد- فيومي</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3929" w:name="_Toc3031"/>
      <w:r>
        <w:t>حموي، كامل بن اسحاق قرن 10 ه-</w:t>
      </w:r>
      <w:bookmarkEnd w:id="3929"/>
    </w:p>
    <w:p>
      <w:pPr>
        <w:pStyle w:val="BookText"/>
      </w:pPr>
      <w:r>
        <w:rPr>
          <w:rFonts w:ascii="Amiri" w:hAnsi="Amiri" w:eastAsia="Amiri" w:cs="Amiri"/>
          <w:lang w:bidi="ar-SA"/>
          <w:color w:val="111111"/>
          <w:sz w:val="28"/>
          <w:szCs w:val="28"/>
          <w:rtl/>
        </w:rPr>
        <w:t xml:space="preserve">1 .الخلاصة في النحو، ج7، ص133.</w:t>
      </w:r>
    </w:p>
    <w:p>
      <w:pPr>
        <w:pStyle w:val="BookText"/>
      </w:pPr>
      <w:r>
        <w:rPr>
          <w:rFonts w:ascii="Amiri" w:hAnsi="Amiri" w:eastAsia="Amiri" w:cs="Amiri"/>
          <w:lang w:bidi="ar-SA"/>
          <w:color w:val="111111"/>
          <w:sz w:val="28"/>
          <w:szCs w:val="28"/>
          <w:rtl/>
        </w:rPr>
        <w:t xml:space="preserve">2 .كلمات عربية مترجمة إلى الفارسية</w:t>
      </w:r>
    </w:p>
    <w:p>
      <w:pPr>
        <w:pStyle w:val="BookText"/>
      </w:pPr>
      <w:r>
        <w:rPr>
          <w:rFonts w:ascii="IRNazanin" w:hAnsi="IRNazanin" w:eastAsia="IRNazanin" w:cs="IRNazanin"/>
          <w:lang w:bidi="fa-IR"/>
          <w:color w:val="111111"/>
          <w:sz w:val="28"/>
          <w:szCs w:val="28"/>
          <w:rtl/>
        </w:rPr>
        <w:t xml:space="preserve">ج 13، ص 368.</w:t>
      </w:r>
    </w:p>
    <w:p>
      <w:pPr>
        <w:pStyle w:val="BookText"/>
      </w:pPr>
      <w:r>
        <w:rPr>
          <w:rFonts w:ascii="Amiri" w:hAnsi="Amiri" w:eastAsia="Amiri" w:cs="Amiri"/>
          <w:lang w:bidi="ar-SA"/>
          <w:color w:val="111111"/>
          <w:sz w:val="28"/>
          <w:szCs w:val="28"/>
          <w:rtl/>
        </w:rPr>
        <w:t xml:space="preserve">حموي كناني، اسماعيل بن ابراهيم- ابن</w:t>
      </w:r>
    </w:p>
    <w:p>
      <w:pPr>
        <w:pStyle w:val="BookText"/>
      </w:pPr>
      <w:r>
        <w:rPr>
          <w:rFonts w:ascii="Amiri" w:hAnsi="Amiri" w:eastAsia="Amiri" w:cs="Amiri"/>
          <w:lang w:bidi="ar-SA"/>
          <w:color w:val="111111"/>
          <w:sz w:val="28"/>
          <w:szCs w:val="28"/>
          <w:rtl/>
        </w:rPr>
        <w:t xml:space="preserve">جماعه ، اسماعيل بن ابراهيم</w:t>
      </w:r>
    </w:p>
    <w:p>
      <w:pPr>
        <w:pStyle w:val="BookText"/>
      </w:pPr>
      <w:r>
        <w:rPr>
          <w:rFonts w:ascii="Amiri" w:hAnsi="Amiri" w:eastAsia="Amiri" w:cs="Amiri"/>
          <w:lang w:bidi="ar-SA"/>
          <w:color w:val="111111"/>
          <w:sz w:val="28"/>
          <w:szCs w:val="28"/>
          <w:rtl/>
        </w:rPr>
        <w:t xml:space="preserve">حموي، محب الدين بن ابي بكر- محب</w:t>
      </w:r>
    </w:p>
    <w:p>
      <w:pPr>
        <w:pStyle w:val="BookText"/>
      </w:pPr>
      <w:r>
        <w:rPr>
          <w:rFonts w:ascii="Amiri" w:hAnsi="Amiri" w:eastAsia="Amiri" w:cs="Amiri"/>
          <w:lang w:bidi="ar-SA"/>
          <w:color w:val="111111"/>
          <w:sz w:val="28"/>
          <w:szCs w:val="28"/>
          <w:rtl/>
        </w:rPr>
        <w:t xml:space="preserve">الدين حموي ، محمّد بن ابي بكر</w:t>
      </w:r>
    </w:p>
    <w:p>
      <w:pPr>
        <w:pStyle w:val="BookText"/>
      </w:pPr>
      <w:r>
        <w:rPr>
          <w:rFonts w:ascii="Amiri" w:hAnsi="Amiri" w:eastAsia="Amiri" w:cs="Amiri"/>
          <w:lang w:bidi="ar-SA"/>
          <w:color w:val="111111"/>
          <w:sz w:val="28"/>
          <w:szCs w:val="28"/>
          <w:rtl/>
        </w:rPr>
        <w:t xml:space="preserve">حموي ، محمّد امين بن فضل الله- محبي ،</w:t>
      </w:r>
    </w:p>
    <w:p>
      <w:pPr>
        <w:pStyle w:val="BookText"/>
      </w:pPr>
      <w:r>
        <w:rPr>
          <w:rFonts w:ascii="IRNazanin" w:hAnsi="IRNazanin" w:eastAsia="IRNazanin" w:cs="IRNazanin"/>
          <w:lang w:bidi="fa-IR"/>
          <w:color w:val="111111"/>
          <w:sz w:val="28"/>
          <w:szCs w:val="28"/>
          <w:rtl/>
        </w:rPr>
        <w:t xml:space="preserve">محمّد امین بن فضل الله</w:t>
      </w:r>
    </w:p>
    <w:p>
      <w:pPr>
        <w:pStyle w:val="BookText"/>
      </w:pPr>
      <w:r>
        <w:rPr>
          <w:rFonts w:ascii="Amiri" w:hAnsi="Amiri" w:eastAsia="Amiri" w:cs="Amiri"/>
          <w:lang w:bidi="ar-SA"/>
          <w:color w:val="111111"/>
          <w:sz w:val="28"/>
          <w:szCs w:val="28"/>
          <w:rtl/>
        </w:rPr>
        <w:t xml:space="preserve">حموي، محمّد بن ابي بكر -ابن جماعه ،</w:t>
      </w:r>
    </w:p>
    <w:p>
      <w:pPr>
        <w:pStyle w:val="BookText"/>
      </w:pPr>
      <w:r>
        <w:rPr>
          <w:rFonts w:ascii="Amiri" w:hAnsi="Amiri" w:eastAsia="Amiri" w:cs="Amiri"/>
          <w:lang w:bidi="ar-SA"/>
          <w:color w:val="111111"/>
          <w:sz w:val="28"/>
          <w:szCs w:val="28"/>
          <w:rtl/>
        </w:rPr>
        <w:t xml:space="preserve">محمّد بن ابي بكر</w:t>
      </w:r>
    </w:p>
    <w:p>
      <w:pPr>
        <w:pStyle w:val="Heading2"/>
      </w:pPr>
      <w:bookmarkStart w:id="3930" w:name="_Toc3032"/>
      <w:r>
        <w:t>حموي، محمّد بن اسحاق قرن 10 ه-</w:t>
      </w:r>
      <w:bookmarkEnd w:id="3930"/>
    </w:p>
    <w:p>
      <w:pPr>
        <w:pStyle w:val="BookText"/>
      </w:pPr>
      <w:r>
        <w:rPr>
          <w:rFonts w:ascii="Amiri" w:hAnsi="Amiri" w:eastAsia="Amiri" w:cs="Amiri"/>
          <w:lang w:bidi="ar-SA"/>
          <w:color w:val="111111"/>
          <w:sz w:val="28"/>
          <w:szCs w:val="28"/>
          <w:rtl/>
        </w:rPr>
        <w:t xml:space="preserve">انيس المؤمنين في احوال النبي و الائمة</w:t>
      </w:r>
    </w:p>
    <w:p>
      <w:pPr>
        <w:pStyle w:val="BookText"/>
      </w:pPr>
      <w:r>
        <w:rPr>
          <w:rFonts w:ascii="Amiri" w:hAnsi="Amiri" w:eastAsia="Amiri" w:cs="Amiri"/>
          <w:lang w:bidi="ar-SA"/>
          <w:color w:val="111111"/>
          <w:sz w:val="28"/>
          <w:szCs w:val="28"/>
          <w:rtl/>
        </w:rPr>
        <w:t xml:space="preserve">المعصومين، ج3، ص 42.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9" w:name="pg7742_70253"/>
    <w:bookmarkEnd w:id="429"/>
    <w:p>
      <w:pPr>
        <w:pStyle w:val="BookText"/>
      </w:pPr>
      <w:r>
        <w:rPr>
          <w:rFonts w:ascii="Amiri" w:hAnsi="Amiri" w:eastAsia="Amiri" w:cs="Amiri"/>
          <w:lang w:bidi="ar-SA"/>
          <w:color w:val="111111"/>
          <w:sz w:val="28"/>
          <w:szCs w:val="28"/>
          <w:rtl/>
        </w:rPr>
        <w:t xml:space="preserve">حموي، محمّد بن الياس- ابن النحوية ،</w:t>
      </w:r>
    </w:p>
    <w:p>
      <w:pPr>
        <w:pStyle w:val="BookText"/>
      </w:pPr>
      <w:r>
        <w:rPr>
          <w:rFonts w:ascii="Amiri" w:hAnsi="Amiri" w:eastAsia="Amiri" w:cs="Amiri"/>
          <w:lang w:bidi="ar-SA"/>
          <w:color w:val="111111"/>
          <w:sz w:val="28"/>
          <w:szCs w:val="28"/>
          <w:rtl/>
        </w:rPr>
        <w:t xml:space="preserve">محمّد بن يعقوب بن الياس</w:t>
      </w:r>
    </w:p>
    <w:p>
      <w:pPr>
        <w:pStyle w:val="BookText"/>
      </w:pPr>
      <w:r>
        <w:rPr>
          <w:rFonts w:ascii="Amiri" w:hAnsi="Amiri" w:eastAsia="Amiri" w:cs="Amiri"/>
          <w:lang w:bidi="ar-SA"/>
          <w:color w:val="111111"/>
          <w:sz w:val="28"/>
          <w:szCs w:val="28"/>
          <w:rtl/>
        </w:rPr>
        <w:t xml:space="preserve">حموي، محمّد بن حمويه جويني ،</w:t>
      </w:r>
    </w:p>
    <w:p>
      <w:pPr>
        <w:pStyle w:val="BookText"/>
      </w:pPr>
      <w:r>
        <w:rPr>
          <w:rFonts w:ascii="Amiri" w:hAnsi="Amiri" w:eastAsia="Amiri" w:cs="Amiri"/>
          <w:lang w:bidi="ar-SA"/>
          <w:color w:val="111111"/>
          <w:sz w:val="28"/>
          <w:szCs w:val="28"/>
          <w:rtl/>
        </w:rPr>
        <w:t xml:space="preserve">محمّد بن حمويه</w:t>
      </w:r>
    </w:p>
    <w:p>
      <w:pPr>
        <w:pStyle w:val="BookText"/>
      </w:pPr>
      <w:r>
        <w:rPr>
          <w:rFonts w:ascii="Amiri" w:hAnsi="Amiri" w:eastAsia="Amiri" w:cs="Amiri"/>
          <w:lang w:bidi="ar-SA"/>
          <w:color w:val="111111"/>
          <w:sz w:val="28"/>
          <w:szCs w:val="28"/>
          <w:rtl/>
        </w:rPr>
        <w:t xml:space="preserve">حموي، محمّد بن داود -بازلي ، محمّد</w:t>
      </w:r>
    </w:p>
    <w:p>
      <w:pPr>
        <w:pStyle w:val="BookText"/>
      </w:pPr>
      <w:r>
        <w:rPr>
          <w:rFonts w:ascii="IRNazanin" w:hAnsi="IRNazanin" w:eastAsia="IRNazanin" w:cs="IRNazanin"/>
          <w:lang w:bidi="fa-IR"/>
          <w:color w:val="111111"/>
          <w:sz w:val="28"/>
          <w:szCs w:val="28"/>
          <w:rtl/>
        </w:rPr>
        <w:t xml:space="preserve">بن داود</w:t>
      </w:r>
    </w:p>
    <w:p>
      <w:pPr>
        <w:pStyle w:val="Heading2"/>
      </w:pPr>
      <w:bookmarkStart w:id="3931" w:name="_Toc3033"/>
      <w:r>
        <w:t>حموي ، محمّد بن سالم - 697 ه-</w:t>
      </w:r>
      <w:bookmarkEnd w:id="3931"/>
    </w:p>
    <w:p>
      <w:pPr>
        <w:pStyle w:val="BookText"/>
      </w:pPr>
      <w:r>
        <w:rPr>
          <w:rFonts w:ascii="Amiri" w:hAnsi="Amiri" w:eastAsia="Amiri" w:cs="Amiri"/>
          <w:lang w:bidi="ar-SA"/>
          <w:color w:val="111111"/>
          <w:sz w:val="28"/>
          <w:szCs w:val="28"/>
          <w:rtl/>
        </w:rPr>
        <w:t xml:space="preserve">هداية الالباب، ج 16، ص 597.</w:t>
      </w:r>
    </w:p>
    <w:p>
      <w:pPr>
        <w:pStyle w:val="Heading2"/>
      </w:pPr>
      <w:bookmarkStart w:id="3932" w:name="_Toc3034"/>
      <w:r>
        <w:t>حموي، محمّد بن عبد الرحمن -1017 ه-</w:t>
      </w:r>
      <w:bookmarkEnd w:id="3932"/>
    </w:p>
    <w:p>
      <w:pPr>
        <w:pStyle w:val="BookText"/>
      </w:pPr>
      <w:r>
        <w:rPr>
          <w:rFonts w:ascii="Amiri" w:hAnsi="Amiri" w:eastAsia="Amiri" w:cs="Amiri"/>
          <w:lang w:bidi="ar-SA"/>
          <w:color w:val="111111"/>
          <w:sz w:val="28"/>
          <w:szCs w:val="28"/>
          <w:rtl/>
        </w:rPr>
        <w:t xml:space="preserve">مختصر حاشية شرح القواعد، ج 14 ،</w:t>
      </w:r>
    </w:p>
    <w:p>
      <w:pPr>
        <w:pStyle w:val="BookText"/>
      </w:pPr>
      <w:r>
        <w:rPr>
          <w:rFonts w:ascii="IRNazanin" w:hAnsi="IRNazanin" w:eastAsia="IRNazanin" w:cs="IRNazanin"/>
          <w:lang w:bidi="fa-IR"/>
          <w:color w:val="111111"/>
          <w:sz w:val="28"/>
          <w:szCs w:val="28"/>
          <w:rtl/>
        </w:rPr>
        <w:t xml:space="preserve">ص 186.</w:t>
      </w:r>
    </w:p>
    <w:p>
      <w:pPr>
        <w:pStyle w:val="BookText"/>
      </w:pPr>
      <w:r>
        <w:rPr>
          <w:rFonts w:ascii="Amiri" w:hAnsi="Amiri" w:eastAsia="Amiri" w:cs="Amiri"/>
          <w:lang w:bidi="ar-SA"/>
          <w:color w:val="111111"/>
          <w:sz w:val="28"/>
          <w:szCs w:val="28"/>
          <w:rtl/>
        </w:rPr>
        <w:t xml:space="preserve">حموي ، محمّد بن عبد علي- بكري حموي</w:t>
      </w:r>
    </w:p>
    <w:p>
      <w:pPr>
        <w:pStyle w:val="BookText"/>
      </w:pPr>
      <w:r>
        <w:rPr>
          <w:rFonts w:ascii="Amiri" w:hAnsi="Amiri" w:eastAsia="Amiri" w:cs="Amiri"/>
          <w:lang w:bidi="ar-SA"/>
          <w:color w:val="111111"/>
          <w:sz w:val="28"/>
          <w:szCs w:val="28"/>
          <w:rtl/>
        </w:rPr>
        <w:t xml:space="preserve">، محمّد بن عبد علي</w:t>
      </w:r>
    </w:p>
    <w:p>
      <w:pPr>
        <w:pStyle w:val="BookText"/>
      </w:pPr>
      <w:r>
        <w:rPr>
          <w:rFonts w:ascii="Amiri" w:hAnsi="Amiri" w:eastAsia="Amiri" w:cs="Amiri"/>
          <w:lang w:bidi="ar-SA"/>
          <w:color w:val="111111"/>
          <w:sz w:val="28"/>
          <w:szCs w:val="28"/>
          <w:rtl/>
        </w:rPr>
        <w:t xml:space="preserve">حموي، محمّد بن محمّد -ابن شماع ،</w:t>
      </w:r>
    </w:p>
    <w:p>
      <w:pPr>
        <w:pStyle w:val="BookText"/>
      </w:pPr>
      <w:r>
        <w:rPr>
          <w:rFonts w:ascii="Amiri" w:hAnsi="Amiri" w:eastAsia="Amiri" w:cs="Amiri"/>
          <w:lang w:bidi="ar-SA"/>
          <w:color w:val="111111"/>
          <w:sz w:val="28"/>
          <w:szCs w:val="28"/>
          <w:rtl/>
        </w:rPr>
        <w:t xml:space="preserve">محمّد بن محمّد ايوبي</w:t>
      </w:r>
    </w:p>
    <w:p>
      <w:pPr>
        <w:pStyle w:val="BookText"/>
      </w:pPr>
      <w:r>
        <w:rPr>
          <w:rFonts w:ascii="Amiri" w:hAnsi="Amiri" w:eastAsia="Amiri" w:cs="Amiri"/>
          <w:lang w:bidi="ar-SA"/>
          <w:color w:val="111111"/>
          <w:sz w:val="28"/>
          <w:szCs w:val="28"/>
          <w:rtl/>
        </w:rPr>
        <w:t xml:space="preserve">حموي ، محمّد بن محمّد ميداني ، محمّد ،بن محمّد</w:t>
      </w:r>
    </w:p>
    <w:p>
      <w:pPr>
        <w:pStyle w:val="BookText"/>
      </w:pPr>
      <w:r>
        <w:rPr>
          <w:rFonts w:ascii="Amiri" w:hAnsi="Amiri" w:eastAsia="Amiri" w:cs="Amiri"/>
          <w:lang w:bidi="ar-SA"/>
          <w:color w:val="111111"/>
          <w:sz w:val="28"/>
          <w:szCs w:val="28"/>
          <w:rtl/>
        </w:rPr>
        <w:t xml:space="preserve">حموي، محمود بن احمد- ابن خطيب</w:t>
      </w:r>
    </w:p>
    <w:p>
      <w:pPr>
        <w:pStyle w:val="BookText"/>
      </w:pPr>
      <w:r>
        <w:rPr>
          <w:rFonts w:ascii="Amiri" w:hAnsi="Amiri" w:eastAsia="Amiri" w:cs="Amiri"/>
          <w:lang w:bidi="ar-SA"/>
          <w:color w:val="111111"/>
          <w:sz w:val="28"/>
          <w:szCs w:val="28"/>
          <w:rtl/>
        </w:rPr>
        <w:t xml:space="preserve">الدهشة ، محمود بن احمد</w:t>
      </w:r>
    </w:p>
    <w:p>
      <w:pPr>
        <w:pStyle w:val="Heading2"/>
      </w:pPr>
      <w:bookmarkStart w:id="3933" w:name="_Toc3035"/>
      <w:r>
        <w:t>حموي، مطهر بن اسحاق</w:t>
      </w:r>
      <w:bookmarkEnd w:id="3933"/>
    </w:p>
    <w:p>
      <w:pPr>
        <w:pStyle w:val="BookText"/>
      </w:pPr>
      <w:r>
        <w:rPr>
          <w:rFonts w:ascii="Amiri" w:hAnsi="Amiri" w:eastAsia="Amiri" w:cs="Amiri"/>
          <w:lang w:bidi="ar-SA"/>
          <w:color w:val="111111"/>
          <w:sz w:val="28"/>
          <w:szCs w:val="28"/>
          <w:rtl/>
        </w:rPr>
        <w:t xml:space="preserve">الاربعون حديثاً، ج1، ص712.</w:t>
      </w:r>
    </w:p>
    <w:p>
      <w:pPr>
        <w:pStyle w:val="BookText"/>
      </w:pPr>
      <w:r>
        <w:rPr>
          <w:rFonts w:ascii="Amiri" w:hAnsi="Amiri" w:eastAsia="Amiri" w:cs="Amiri"/>
          <w:lang w:bidi="ar-SA"/>
          <w:color w:val="111111"/>
          <w:sz w:val="28"/>
          <w:szCs w:val="28"/>
          <w:rtl/>
        </w:rPr>
        <w:t xml:space="preserve">حموي ، مكي بن ابي طالب- مكي بن</w:t>
      </w:r>
    </w:p>
    <w:p>
      <w:pPr>
        <w:pStyle w:val="BookText"/>
      </w:pPr>
      <w:r>
        <w:rPr>
          <w:rFonts w:ascii="IRNazanin" w:hAnsi="IRNazanin" w:eastAsia="IRNazanin" w:cs="IRNazanin"/>
          <w:lang w:bidi="fa-IR"/>
          <w:color w:val="111111"/>
          <w:sz w:val="28"/>
          <w:szCs w:val="28"/>
          <w:rtl/>
        </w:rPr>
        <w:t xml:space="preserve">حموش</w:t>
      </w:r>
    </w:p>
    <w:p>
      <w:pPr>
        <w:pStyle w:val="BookText"/>
      </w:pPr>
      <w:r>
        <w:rPr>
          <w:rFonts w:ascii="Amiri" w:hAnsi="Amiri" w:eastAsia="Amiri" w:cs="Amiri"/>
          <w:lang w:bidi="ar-SA"/>
          <w:color w:val="111111"/>
          <w:sz w:val="28"/>
          <w:szCs w:val="28"/>
          <w:rtl/>
        </w:rPr>
        <w:t xml:space="preserve">حموي ، مهذب الدين بن ابي بكر -محب</w:t>
      </w:r>
    </w:p>
    <w:p>
      <w:pPr>
        <w:pStyle w:val="BookText"/>
      </w:pPr>
      <w:r>
        <w:rPr>
          <w:rFonts w:ascii="Amiri" w:hAnsi="Amiri" w:eastAsia="Amiri" w:cs="Amiri"/>
          <w:lang w:bidi="ar-SA"/>
          <w:color w:val="111111"/>
          <w:sz w:val="28"/>
          <w:szCs w:val="28"/>
          <w:rtl/>
        </w:rPr>
        <w:t xml:space="preserve">الدين حموي، محمّد بن ابي بكر</w:t>
      </w:r>
    </w:p>
    <w:p>
      <w:pPr>
        <w:pStyle w:val="BookText"/>
      </w:pPr>
      <w:r>
        <w:rPr>
          <w:rFonts w:ascii="Amiri" w:hAnsi="Amiri" w:eastAsia="Amiri" w:cs="Amiri"/>
          <w:lang w:bidi="ar-SA"/>
          <w:color w:val="111111"/>
          <w:sz w:val="28"/>
          <w:szCs w:val="28"/>
          <w:rtl/>
        </w:rPr>
        <w:t xml:space="preserve">حموي ، هبة هبة الله بن عبد الرحيم- ابن</w:t>
      </w:r>
    </w:p>
    <w:p>
      <w:pPr>
        <w:pStyle w:val="BookText"/>
      </w:pPr>
      <w:r>
        <w:rPr>
          <w:rFonts w:ascii="Amiri" w:hAnsi="Amiri" w:eastAsia="Amiri" w:cs="Amiri"/>
          <w:lang w:bidi="ar-SA"/>
          <w:color w:val="111111"/>
          <w:sz w:val="28"/>
          <w:szCs w:val="28"/>
          <w:rtl/>
        </w:rPr>
        <w:t xml:space="preserve">بارزي، هبة الله بن عبدالرحيم</w:t>
      </w:r>
    </w:p>
    <w:p>
      <w:pPr>
        <w:pStyle w:val="BookText"/>
      </w:pPr>
      <w:r>
        <w:rPr>
          <w:rFonts w:ascii="Amiri" w:hAnsi="Amiri" w:eastAsia="Amiri" w:cs="Amiri"/>
          <w:lang w:bidi="ar-SA"/>
          <w:color w:val="111111"/>
          <w:sz w:val="28"/>
          <w:szCs w:val="28"/>
          <w:rtl/>
        </w:rPr>
        <w:t xml:space="preserve">حموي همداني- خطيب الدهشة ، محمود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3934" w:name="_Toc3036"/>
      <w:r>
        <w:t>حموي ، وفاء بن معروف</w:t>
      </w:r>
      <w:bookmarkEnd w:id="3934"/>
    </w:p>
    <w:p>
      <w:pPr>
        <w:pStyle w:val="BookText"/>
      </w:pPr>
      <w:r>
        <w:rPr>
          <w:rFonts w:ascii="Amiri" w:hAnsi="Amiri" w:eastAsia="Amiri" w:cs="Amiri"/>
          <w:lang w:bidi="ar-SA"/>
          <w:color w:val="111111"/>
          <w:sz w:val="28"/>
          <w:szCs w:val="28"/>
          <w:rtl/>
        </w:rPr>
        <w:t xml:space="preserve">تخميس القصيدة العينية، ج 4،</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Amiri" w:hAnsi="Amiri" w:eastAsia="Amiri" w:cs="Amiri"/>
          <w:lang w:bidi="ar-SA"/>
          <w:color w:val="111111"/>
          <w:sz w:val="28"/>
          <w:szCs w:val="28"/>
          <w:rtl/>
        </w:rPr>
        <w:t xml:space="preserve">حموي ، ياقوت -ياقوت حموي ، ياقوت</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3935" w:name="_Toc3037"/>
      <w:r>
        <w:t>حموي، يوسف بن عبد اللطيف -719 ه-</w:t>
      </w:r>
      <w:bookmarkEnd w:id="3935"/>
    </w:p>
    <w:p>
      <w:pPr>
        <w:pStyle w:val="BookText"/>
      </w:pPr>
      <w:r>
        <w:rPr>
          <w:rFonts w:ascii="Amiri" w:hAnsi="Amiri" w:eastAsia="Amiri" w:cs="Amiri"/>
          <w:lang w:bidi="ar-SA"/>
          <w:color w:val="111111"/>
          <w:sz w:val="28"/>
          <w:szCs w:val="28"/>
          <w:rtl/>
        </w:rPr>
        <w:t xml:space="preserve">غنية الباحث = الفرائض الرحبية</w:t>
      </w:r>
    </w:p>
    <w:p>
      <w:pPr>
        <w:pStyle w:val="BookText"/>
      </w:pPr>
      <w:r>
        <w:rPr>
          <w:rFonts w:ascii="IRNazanin" w:hAnsi="IRNazanin" w:eastAsia="IRNazanin" w:cs="IRNazanin"/>
          <w:lang w:bidi="fa-IR"/>
          <w:color w:val="111111"/>
          <w:sz w:val="28"/>
          <w:szCs w:val="28"/>
          <w:rtl/>
        </w:rPr>
        <w:t xml:space="preserve">ج 11، ص 514.</w:t>
      </w:r>
    </w:p>
    <w:p>
      <w:pPr>
        <w:pStyle w:val="BookText"/>
      </w:pPr>
      <w:r>
        <w:rPr>
          <w:rFonts w:ascii="IRNazanin" w:hAnsi="IRNazanin" w:eastAsia="IRNazanin" w:cs="IRNazanin"/>
          <w:lang w:bidi="fa-IR"/>
          <w:color w:val="111111"/>
          <w:sz w:val="28"/>
          <w:szCs w:val="28"/>
          <w:rtl/>
        </w:rPr>
        <w:t xml:space="preserve">حمید ازدي ، محمّد بن ابي نصر -حميدي محمّد بن فتوح</w:t>
      </w:r>
    </w:p>
    <w:p>
      <w:pPr>
        <w:pStyle w:val="Heading2"/>
      </w:pPr>
      <w:bookmarkStart w:id="3936" w:name="_Toc3038"/>
      <w:r>
        <w:t>حميدالدين بلخي ، عمر بن محمود -</w:t>
      </w:r>
      <w:bookmarkEnd w:id="3936"/>
    </w:p>
    <w:p>
      <w:pPr>
        <w:pStyle w:val="BookText"/>
      </w:pPr>
      <w:r>
        <w:rPr>
          <w:rFonts w:ascii="IRNazanin" w:hAnsi="IRNazanin" w:eastAsia="IRNazanin" w:cs="IRNazanin"/>
          <w:lang w:bidi="fa-IR"/>
          <w:color w:val="111111"/>
          <w:sz w:val="28"/>
          <w:szCs w:val="28"/>
          <w:rtl/>
        </w:rPr>
        <w:t xml:space="preserve">559 ه-</w:t>
      </w:r>
    </w:p>
    <w:p>
      <w:pPr>
        <w:pStyle w:val="BookText"/>
      </w:pPr>
      <w:r>
        <w:rPr>
          <w:rFonts w:ascii="Amiri" w:hAnsi="Amiri" w:eastAsia="Amiri" w:cs="Amiri"/>
          <w:lang w:bidi="ar-SA"/>
          <w:color w:val="111111"/>
          <w:sz w:val="28"/>
          <w:szCs w:val="28"/>
          <w:rtl/>
        </w:rPr>
        <w:t xml:space="preserve">مقامات حميدي، ج 15، ص 303.</w:t>
      </w:r>
    </w:p>
    <w:p>
      <w:pPr>
        <w:pStyle w:val="BookText"/>
      </w:pPr>
      <w:r>
        <w:rPr>
          <w:rFonts w:ascii="Amiri" w:hAnsi="Amiri" w:eastAsia="Amiri" w:cs="Amiri"/>
          <w:lang w:bidi="ar-SA"/>
          <w:color w:val="111111"/>
          <w:sz w:val="28"/>
          <w:szCs w:val="28"/>
          <w:rtl/>
        </w:rPr>
        <w:t xml:space="preserve">حميد الدين بن افضل الدين</w:t>
      </w:r>
    </w:p>
    <w:p>
      <w:pPr>
        <w:pStyle w:val="BookText"/>
      </w:pPr>
      <w:r>
        <w:rPr>
          <w:rFonts w:ascii="Amiri" w:hAnsi="Amiri" w:eastAsia="Amiri" w:cs="Amiri"/>
          <w:lang w:bidi="ar-SA"/>
          <w:color w:val="111111"/>
          <w:sz w:val="28"/>
          <w:szCs w:val="28"/>
          <w:rtl/>
        </w:rPr>
        <w:t xml:space="preserve">الحسيني- حسيني ، حميدالدين بن افضل</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حميدالدين شاشي- شاشي ، حميدالدين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0" w:name="pg7742_70255"/>
    <w:bookmarkEnd w:id="430"/>
    <w:p>
      <w:pPr>
        <w:pStyle w:val="BookText"/>
      </w:pPr>
      <w:r>
        <w:rPr>
          <w:rFonts w:ascii="Amiri" w:hAnsi="Amiri" w:eastAsia="Amiri" w:cs="Amiri"/>
          <w:lang w:bidi="ar-SA"/>
          <w:color w:val="111111"/>
          <w:sz w:val="28"/>
          <w:szCs w:val="28"/>
          <w:rtl/>
        </w:rPr>
        <w:t xml:space="preserve">حميدان بن احمد- فقيه يماني ، حميد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حميد بن احمد فقيه يماني- فقيه يماني ،</w:t>
      </w:r>
    </w:p>
    <w:p>
      <w:pPr>
        <w:pStyle w:val="BookText"/>
      </w:pPr>
      <w:r>
        <w:rPr>
          <w:rFonts w:ascii="Amiri" w:hAnsi="Amiri" w:eastAsia="Amiri" w:cs="Amiri"/>
          <w:lang w:bidi="ar-SA"/>
          <w:color w:val="111111"/>
          <w:sz w:val="28"/>
          <w:szCs w:val="28"/>
          <w:rtl/>
        </w:rPr>
        <w:t xml:space="preserve">حميد بن احمد</w:t>
      </w:r>
    </w:p>
    <w:p>
      <w:pPr>
        <w:pStyle w:val="BookText"/>
      </w:pPr>
      <w:r>
        <w:rPr>
          <w:rFonts w:ascii="Amiri" w:hAnsi="Amiri" w:eastAsia="Amiri" w:cs="Amiri"/>
          <w:lang w:bidi="ar-SA"/>
          <w:color w:val="111111"/>
          <w:sz w:val="28"/>
          <w:szCs w:val="28"/>
          <w:rtl/>
        </w:rPr>
        <w:t xml:space="preserve">حميد بن عبد القدوس- ابن عبد القدوس،</w:t>
      </w:r>
    </w:p>
    <w:p>
      <w:pPr>
        <w:pStyle w:val="BookText"/>
      </w:pPr>
      <w:r>
        <w:rPr>
          <w:rFonts w:ascii="IRNazanin" w:hAnsi="IRNazanin" w:eastAsia="IRNazanin" w:cs="IRNazanin"/>
          <w:lang w:bidi="fa-IR"/>
          <w:color w:val="111111"/>
          <w:sz w:val="28"/>
          <w:szCs w:val="28"/>
          <w:rtl/>
        </w:rPr>
        <w:t xml:space="preserve">حمید</w:t>
      </w:r>
    </w:p>
    <w:p>
      <w:pPr>
        <w:pStyle w:val="BookText"/>
      </w:pPr>
      <w:r>
        <w:rPr>
          <w:rFonts w:ascii="IRNazanin" w:hAnsi="IRNazanin" w:eastAsia="IRNazanin" w:cs="IRNazanin"/>
          <w:lang w:bidi="fa-IR"/>
          <w:color w:val="111111"/>
          <w:sz w:val="28"/>
          <w:szCs w:val="28"/>
          <w:rtl/>
        </w:rPr>
        <w:t xml:space="preserve">حمید بن محمّد جواد خطیب خفاجي- خطيب خفاجي ، حميد بن محمّد</w:t>
      </w:r>
    </w:p>
    <w:p>
      <w:pPr>
        <w:pStyle w:val="BookText"/>
      </w:pPr>
      <w:r>
        <w:rPr>
          <w:rFonts w:ascii="IRNazanin" w:hAnsi="IRNazanin" w:eastAsia="IRNazanin" w:cs="IRNazanin"/>
          <w:lang w:bidi="fa-IR"/>
          <w:color w:val="111111"/>
          <w:sz w:val="28"/>
          <w:szCs w:val="28"/>
          <w:rtl/>
        </w:rPr>
        <w:t xml:space="preserve">جواد</w:t>
      </w:r>
    </w:p>
    <w:p>
      <w:pPr>
        <w:pStyle w:val="BookText"/>
      </w:pPr>
      <w:r>
        <w:rPr>
          <w:rFonts w:ascii="Amiri" w:hAnsi="Amiri" w:eastAsia="Amiri" w:cs="Amiri"/>
          <w:lang w:bidi="ar-SA"/>
          <w:color w:val="111111"/>
          <w:sz w:val="28"/>
          <w:szCs w:val="28"/>
          <w:rtl/>
        </w:rPr>
        <w:t xml:space="preserve">حميد بن محمّد خفاجي- خطيب خفاجي</w:t>
      </w:r>
    </w:p>
    <w:p>
      <w:pPr>
        <w:pStyle w:val="BookText"/>
      </w:pPr>
      <w:r>
        <w:rPr>
          <w:rFonts w:ascii="IRNazanin" w:hAnsi="IRNazanin" w:eastAsia="IRNazanin" w:cs="IRNazanin"/>
          <w:lang w:bidi="fa-IR"/>
          <w:color w:val="111111"/>
          <w:sz w:val="28"/>
          <w:szCs w:val="28"/>
          <w:rtl/>
        </w:rPr>
        <w:t xml:space="preserve">، حمید بن محمّد جواد</w:t>
      </w:r>
    </w:p>
    <w:p>
      <w:pPr>
        <w:pStyle w:val="Heading2"/>
      </w:pPr>
      <w:bookmarkStart w:id="3937" w:name="_Toc3039"/>
      <w:r>
        <w:t>حميدي ، احمد</w:t>
      </w:r>
      <w:bookmarkEnd w:id="3937"/>
    </w:p>
    <w:p>
      <w:pPr>
        <w:pStyle w:val="BookText"/>
      </w:pPr>
      <w:r>
        <w:rPr>
          <w:rFonts w:ascii="IRNazanin" w:hAnsi="IRNazanin" w:eastAsia="IRNazanin" w:cs="IRNazanin"/>
          <w:lang w:bidi="fa-IR"/>
          <w:color w:val="111111"/>
          <w:sz w:val="28"/>
          <w:szCs w:val="28"/>
          <w:rtl/>
        </w:rPr>
        <w:t xml:space="preserve">المفرحات، ج 1، ص238.</w:t>
      </w:r>
    </w:p>
    <w:p>
      <w:pPr>
        <w:pStyle w:val="BookText"/>
      </w:pPr>
      <w:r>
        <w:rPr>
          <w:rFonts w:ascii="IRNazanin" w:hAnsi="IRNazanin" w:eastAsia="IRNazanin" w:cs="IRNazanin"/>
          <w:lang w:bidi="fa-IR"/>
          <w:color w:val="111111"/>
          <w:sz w:val="28"/>
          <w:szCs w:val="28"/>
          <w:rtl/>
        </w:rPr>
        <w:t xml:space="preserve">حميدي ، احمد بن بایزید- قرچه احمد</w:t>
      </w:r>
    </w:p>
    <w:p>
      <w:pPr>
        <w:pStyle w:val="BookText"/>
      </w:pPr>
      <w:r>
        <w:rPr>
          <w:rFonts w:ascii="IRNazanin" w:hAnsi="IRNazanin" w:eastAsia="IRNazanin" w:cs="IRNazanin"/>
          <w:lang w:bidi="fa-IR"/>
          <w:color w:val="111111"/>
          <w:sz w:val="28"/>
          <w:szCs w:val="28"/>
          <w:rtl/>
        </w:rPr>
        <w:t xml:space="preserve">احمد بن بایزید</w:t>
      </w:r>
    </w:p>
    <w:p>
      <w:pPr>
        <w:pStyle w:val="BookText"/>
      </w:pPr>
      <w:r>
        <w:rPr>
          <w:rFonts w:ascii="Amiri" w:hAnsi="Amiri" w:eastAsia="Amiri" w:cs="Amiri"/>
          <w:lang w:bidi="ar-SA"/>
          <w:color w:val="111111"/>
          <w:sz w:val="28"/>
          <w:szCs w:val="28"/>
          <w:rtl/>
        </w:rPr>
        <w:t xml:space="preserve">حميدي ، احمد بن علي -شهاب الدين</w:t>
      </w:r>
    </w:p>
    <w:p>
      <w:pPr>
        <w:pStyle w:val="BookText"/>
      </w:pPr>
      <w:r>
        <w:rPr>
          <w:rFonts w:ascii="Amiri" w:hAnsi="Amiri" w:eastAsia="Amiri" w:cs="Amiri"/>
          <w:lang w:bidi="ar-SA"/>
          <w:color w:val="111111"/>
          <w:sz w:val="28"/>
          <w:szCs w:val="28"/>
          <w:rtl/>
        </w:rPr>
        <w:t xml:space="preserve">بجائي ، احمد بن علي</w:t>
      </w:r>
    </w:p>
    <w:p>
      <w:pPr>
        <w:pStyle w:val="BookText"/>
      </w:pPr>
      <w:r>
        <w:rPr>
          <w:rFonts w:ascii="Amiri" w:hAnsi="Amiri" w:eastAsia="Amiri" w:cs="Amiri"/>
          <w:lang w:bidi="ar-SA"/>
          <w:color w:val="111111"/>
          <w:sz w:val="28"/>
          <w:szCs w:val="28"/>
          <w:rtl/>
        </w:rPr>
        <w:t xml:space="preserve">حميدي ، حمد الله بن محمّد -ابن آق</w:t>
      </w:r>
    </w:p>
    <w:p>
      <w:pPr>
        <w:pStyle w:val="BookText"/>
      </w:pPr>
      <w:r>
        <w:rPr>
          <w:rFonts w:ascii="Amiri" w:hAnsi="Amiri" w:eastAsia="Amiri" w:cs="Amiri"/>
          <w:lang w:bidi="ar-SA"/>
          <w:color w:val="111111"/>
          <w:sz w:val="28"/>
          <w:szCs w:val="28"/>
          <w:rtl/>
        </w:rPr>
        <w:t xml:space="preserve">شمس الدين ، حمد الله بن محمّد</w:t>
      </w:r>
    </w:p>
    <w:p>
      <w:pPr>
        <w:pStyle w:val="Heading2"/>
      </w:pPr>
      <w:bookmarkStart w:id="3938" w:name="_Toc3040"/>
      <w:r>
        <w:t>حميدي زولي عبدالله بن محمّد قرن 8 ه-</w:t>
      </w:r>
      <w:bookmarkEnd w:id="3938"/>
    </w:p>
    <w:p>
      <w:pPr>
        <w:pStyle w:val="BookText"/>
      </w:pPr>
      <w:r>
        <w:rPr>
          <w:rFonts w:ascii="Amiri" w:hAnsi="Amiri" w:eastAsia="Amiri" w:cs="Amiri"/>
          <w:lang w:bidi="ar-SA"/>
          <w:color w:val="111111"/>
          <w:sz w:val="28"/>
          <w:szCs w:val="28"/>
          <w:rtl/>
        </w:rPr>
        <w:t xml:space="preserve">الزبدة في الكلام على العمدة في الكني</w:t>
      </w:r>
    </w:p>
    <w:p>
      <w:pPr>
        <w:pStyle w:val="BookText"/>
      </w:pPr>
      <w:r>
        <w:rPr>
          <w:rFonts w:ascii="Amiri" w:hAnsi="Amiri" w:eastAsia="Amiri" w:cs="Amiri"/>
          <w:lang w:bidi="ar-SA"/>
          <w:color w:val="111111"/>
          <w:sz w:val="28"/>
          <w:szCs w:val="28"/>
          <w:rtl/>
        </w:rPr>
        <w:t xml:space="preserve">و الاسماء والوفيات، ج8، ص 588.</w:t>
      </w:r>
    </w:p>
    <w:p>
      <w:pPr>
        <w:pStyle w:val="BookText"/>
      </w:pPr>
      <w:r>
        <w:rPr>
          <w:rFonts w:ascii="IRNazanin" w:hAnsi="IRNazanin" w:eastAsia="IRNazanin" w:cs="IRNazanin"/>
          <w:lang w:bidi="fa-IR"/>
          <w:color w:val="111111"/>
          <w:sz w:val="28"/>
          <w:szCs w:val="28"/>
          <w:rtl/>
        </w:rPr>
        <w:t xml:space="preserve">حميدي ، شهاب الدین احمد بن علي- شهاب الدين بجائي ، احمد بن علي</w:t>
      </w:r>
    </w:p>
    <w:p>
      <w:pPr>
        <w:pStyle w:val="Heading2"/>
      </w:pPr>
      <w:bookmarkStart w:id="3939" w:name="_Toc3041"/>
      <w:r>
        <w:t>حميدي عبد الرحمن بن احمد - 1005ه-</w:t>
      </w:r>
      <w:bookmarkEnd w:id="3939"/>
    </w:p>
    <w:p>
      <w:pPr>
        <w:pStyle w:val="BookText"/>
      </w:pPr>
      <w:r>
        <w:rPr>
          <w:rFonts w:ascii="Amiri" w:hAnsi="Amiri" w:eastAsia="Amiri" w:cs="Amiri"/>
          <w:lang w:bidi="ar-SA"/>
          <w:color w:val="111111"/>
          <w:sz w:val="28"/>
          <w:szCs w:val="28"/>
          <w:rtl/>
        </w:rPr>
        <w:t xml:space="preserve">1 .ديوان الحميدي، ج 7، ص 628.</w:t>
      </w:r>
    </w:p>
    <w:p>
      <w:pPr>
        <w:pStyle w:val="BookText"/>
      </w:pPr>
      <w:r>
        <w:rPr>
          <w:rFonts w:ascii="Amiri" w:hAnsi="Amiri" w:eastAsia="Amiri" w:cs="Amiri"/>
          <w:lang w:bidi="ar-SA"/>
          <w:color w:val="111111"/>
          <w:sz w:val="28"/>
          <w:szCs w:val="28"/>
          <w:rtl/>
        </w:rPr>
        <w:t xml:space="preserve">2 .منح السميع بشرح تمليح البديع</w:t>
      </w:r>
    </w:p>
    <w:p>
      <w:pPr>
        <w:pStyle w:val="BookText"/>
      </w:pPr>
      <w:r>
        <w:rPr>
          <w:rFonts w:ascii="Amiri" w:hAnsi="Amiri" w:eastAsia="Amiri" w:cs="Amiri"/>
          <w:lang w:bidi="ar-SA"/>
          <w:color w:val="111111"/>
          <w:sz w:val="28"/>
          <w:szCs w:val="28"/>
          <w:rtl/>
        </w:rPr>
        <w:t xml:space="preserve">بمدح الشفيع، ج 15 ، ص 670.</w:t>
      </w:r>
    </w:p>
    <w:p>
      <w:pPr>
        <w:pStyle w:val="BookText"/>
      </w:pPr>
      <w:r>
        <w:rPr>
          <w:rFonts w:ascii="IRNazanin" w:hAnsi="IRNazanin" w:eastAsia="IRNazanin" w:cs="IRNazanin"/>
          <w:lang w:bidi="fa-IR"/>
          <w:color w:val="111111"/>
          <w:sz w:val="28"/>
          <w:szCs w:val="28"/>
          <w:rtl/>
        </w:rPr>
        <w:t xml:space="preserve">حميدي ، عمر بن محمود- حمید الدین</w:t>
      </w:r>
    </w:p>
    <w:p>
      <w:pPr>
        <w:pStyle w:val="BookText"/>
      </w:pPr>
      <w:r>
        <w:rPr>
          <w:rFonts w:ascii="Amiri" w:hAnsi="Amiri" w:eastAsia="Amiri" w:cs="Amiri"/>
          <w:lang w:bidi="ar-SA"/>
          <w:color w:val="111111"/>
          <w:sz w:val="28"/>
          <w:szCs w:val="28"/>
          <w:rtl/>
        </w:rPr>
        <w:t xml:space="preserve">بلخي ، عمر بن محمود</w:t>
      </w:r>
    </w:p>
    <w:p>
      <w:pPr>
        <w:pStyle w:val="Heading2"/>
      </w:pPr>
      <w:bookmarkStart w:id="3940" w:name="_Toc3042"/>
      <w:r>
        <w:t>حميدي ، قرق امير - 860؟ ه-</w:t>
      </w:r>
      <w:bookmarkEnd w:id="3940"/>
    </w:p>
    <w:p>
      <w:pPr>
        <w:pStyle w:val="BookText"/>
      </w:pPr>
      <w:r>
        <w:rPr>
          <w:rFonts w:ascii="IRNazanin" w:hAnsi="IRNazanin" w:eastAsia="IRNazanin" w:cs="IRNazanin"/>
          <w:lang w:bidi="fa-IR"/>
          <w:color w:val="111111"/>
          <w:sz w:val="28"/>
          <w:szCs w:val="28"/>
          <w:rtl/>
        </w:rPr>
        <w:t xml:space="preserve">جامع الفتاوى، ج 5، ص 307.</w:t>
      </w:r>
    </w:p>
    <w:p>
      <w:pPr>
        <w:pStyle w:val="Heading2"/>
      </w:pPr>
      <w:bookmarkStart w:id="3941" w:name="_Toc3043"/>
      <w:r>
        <w:t>حميدي ، قره حسن</w:t>
      </w:r>
      <w:bookmarkEnd w:id="3941"/>
    </w:p>
    <w:p>
      <w:pPr>
        <w:pStyle w:val="BookText"/>
      </w:pPr>
      <w:r>
        <w:rPr>
          <w:rFonts w:ascii="Amiri" w:hAnsi="Amiri" w:eastAsia="Amiri" w:cs="Amiri"/>
          <w:lang w:bidi="ar-SA"/>
          <w:color w:val="111111"/>
          <w:sz w:val="28"/>
          <w:szCs w:val="28"/>
          <w:rtl/>
        </w:rPr>
        <w:t xml:space="preserve">حاشية شرح الرسالة الفتحية، ج 6،</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Amiri" w:hAnsi="Amiri" w:eastAsia="Amiri" w:cs="Amiri"/>
          <w:lang w:bidi="ar-SA"/>
          <w:color w:val="111111"/>
          <w:sz w:val="28"/>
          <w:szCs w:val="28"/>
          <w:rtl/>
        </w:rPr>
        <w:t xml:space="preserve">حميدي، محمّد بن ابي القاسم -حميري</w:t>
      </w:r>
    </w:p>
    <w:p>
      <w:pPr>
        <w:pStyle w:val="BookText"/>
      </w:pPr>
      <w:r>
        <w:rPr>
          <w:rFonts w:ascii="Amiri" w:hAnsi="Amiri" w:eastAsia="Amiri" w:cs="Amiri"/>
          <w:lang w:bidi="ar-SA"/>
          <w:color w:val="111111"/>
          <w:sz w:val="28"/>
          <w:szCs w:val="28"/>
          <w:rtl/>
        </w:rPr>
        <w:t xml:space="preserve">محمّد بن ابي القاسم</w:t>
      </w:r>
    </w:p>
    <w:p>
      <w:pPr>
        <w:pStyle w:val="Heading2"/>
      </w:pPr>
      <w:bookmarkStart w:id="3942" w:name="_Toc3044"/>
      <w:r>
        <w:t>حميدي ، محمّد بن علي - 1170 ه-</w:t>
      </w:r>
      <w:bookmarkEnd w:id="3942"/>
    </w:p>
    <w:p>
      <w:pPr>
        <w:pStyle w:val="BookText"/>
      </w:pPr>
      <w:r>
        <w:rPr>
          <w:rFonts w:ascii="Amiri" w:hAnsi="Amiri" w:eastAsia="Amiri" w:cs="Amiri"/>
          <w:lang w:bidi="ar-SA"/>
          <w:color w:val="111111"/>
          <w:sz w:val="28"/>
          <w:szCs w:val="28"/>
          <w:rtl/>
        </w:rPr>
        <w:t xml:space="preserve">الكرة ( رسالة في) = آلة ذات الكرسي</w:t>
      </w:r>
    </w:p>
    <w:p>
      <w:pPr>
        <w:pStyle w:val="BookText"/>
      </w:pPr>
      <w:r>
        <w:rPr>
          <w:rFonts w:ascii="Amiri" w:hAnsi="Amiri" w:eastAsia="Amiri" w:cs="Amiri"/>
          <w:lang w:bidi="ar-SA"/>
          <w:color w:val="111111"/>
          <w:sz w:val="28"/>
          <w:szCs w:val="28"/>
          <w:rtl/>
        </w:rPr>
        <w:t xml:space="preserve">(رسالة في)، ج 13، ص 155.</w:t>
      </w:r>
    </w:p>
    <w:p>
      <w:pPr>
        <w:pStyle w:val="Heading2"/>
      </w:pPr>
      <w:bookmarkStart w:id="3943" w:name="_Toc3045"/>
      <w:r>
        <w:t>حميدي ، محمّد بن فتوح، 420 - 488 ه-</w:t>
      </w:r>
      <w:bookmarkEnd w:id="3943"/>
    </w:p>
    <w:p>
      <w:pPr>
        <w:pStyle w:val="BookText"/>
      </w:pPr>
      <w:r>
        <w:rPr>
          <w:rFonts w:ascii="Amiri" w:hAnsi="Amiri" w:eastAsia="Amiri" w:cs="Amiri"/>
          <w:lang w:bidi="ar-SA"/>
          <w:color w:val="111111"/>
          <w:sz w:val="28"/>
          <w:szCs w:val="28"/>
          <w:rtl/>
        </w:rPr>
        <w:t xml:space="preserve">الجمع بين الصحيحين، ج 5، ص 428.</w:t>
      </w:r>
    </w:p>
    <w:p>
      <w:pPr>
        <w:pStyle w:val="Heading2"/>
      </w:pPr>
      <w:bookmarkStart w:id="3944" w:name="_Toc3046"/>
      <w:r>
        <w:t>حميدي ، محمّد بن نبي قرن 10 ه-</w:t>
      </w:r>
      <w:bookmarkEnd w:id="3944"/>
    </w:p>
    <w:p>
      <w:pPr>
        <w:pStyle w:val="BookText"/>
      </w:pPr>
      <w:r>
        <w:rPr>
          <w:rFonts w:ascii="Amiri" w:hAnsi="Amiri" w:eastAsia="Amiri" w:cs="Amiri"/>
          <w:lang w:bidi="ar-SA"/>
          <w:color w:val="111111"/>
          <w:sz w:val="28"/>
          <w:szCs w:val="28"/>
          <w:rtl/>
        </w:rPr>
        <w:t xml:space="preserve">شرح القصيدة الطنطرانية، ج 9،</w:t>
      </w:r>
    </w:p>
    <w:p>
      <w:pPr>
        <w:pStyle w:val="BookText"/>
      </w:pPr>
      <w:r>
        <w:rPr>
          <w:rFonts w:ascii="IRNazanin" w:hAnsi="IRNazanin" w:eastAsia="IRNazanin" w:cs="IRNazanin"/>
          <w:lang w:bidi="fa-IR"/>
          <w:color w:val="111111"/>
          <w:sz w:val="28"/>
          <w:szCs w:val="28"/>
          <w:rtl/>
        </w:rPr>
        <w:t xml:space="preserve">ص 873.</w:t>
      </w:r>
    </w:p>
    <w:p>
      <w:pPr>
        <w:pStyle w:val="BookText"/>
      </w:pPr>
      <w:r>
        <w:rPr>
          <w:rFonts w:ascii="Amiri" w:hAnsi="Amiri" w:eastAsia="Amiri" w:cs="Amiri"/>
          <w:lang w:bidi="ar-SA"/>
          <w:color w:val="111111"/>
          <w:sz w:val="28"/>
          <w:szCs w:val="28"/>
          <w:rtl/>
        </w:rPr>
        <w:t xml:space="preserve">حميدي ، محمّد بن يونس - شويهي</w:t>
      </w:r>
    </w:p>
    <w:p>
      <w:pPr>
        <w:pStyle w:val="BookText"/>
      </w:pPr>
      <w:r>
        <w:rPr>
          <w:rFonts w:ascii="Amiri" w:hAnsi="Amiri" w:eastAsia="Amiri" w:cs="Amiri"/>
          <w:lang w:bidi="ar-SA"/>
          <w:color w:val="111111"/>
          <w:sz w:val="28"/>
          <w:szCs w:val="28"/>
          <w:rtl/>
        </w:rPr>
        <w:t xml:space="preserve">محمّد بن يونس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1" w:name="pg7742_70257"/>
    <w:bookmarkEnd w:id="431"/>
    <w:p>
      <w:pPr>
        <w:pStyle w:val="BookText"/>
      </w:pPr>
      <w:r>
        <w:rPr>
          <w:rFonts w:ascii="Amiri" w:hAnsi="Amiri" w:eastAsia="Amiri" w:cs="Amiri"/>
          <w:lang w:bidi="ar-SA"/>
          <w:color w:val="111111"/>
          <w:sz w:val="28"/>
          <w:szCs w:val="28"/>
          <w:rtl/>
        </w:rPr>
        <w:t xml:space="preserve">حميري ، احمد بن محمّد خلوف -ابن</w:t>
      </w:r>
    </w:p>
    <w:p>
      <w:pPr>
        <w:pStyle w:val="BookText"/>
      </w:pPr>
      <w:r>
        <w:rPr>
          <w:rFonts w:ascii="Amiri" w:hAnsi="Amiri" w:eastAsia="Amiri" w:cs="Amiri"/>
          <w:lang w:bidi="ar-SA"/>
          <w:color w:val="111111"/>
          <w:sz w:val="28"/>
          <w:szCs w:val="28"/>
          <w:rtl/>
        </w:rPr>
        <w:t xml:space="preserve">خلوف ، احمد بن ابي القاسم</w:t>
      </w:r>
    </w:p>
    <w:p>
      <w:pPr>
        <w:pStyle w:val="BookText"/>
      </w:pPr>
      <w:r>
        <w:rPr>
          <w:rFonts w:ascii="Amiri" w:hAnsi="Amiri" w:eastAsia="Amiri" w:cs="Amiri"/>
          <w:lang w:bidi="ar-SA"/>
          <w:color w:val="111111"/>
          <w:sz w:val="28"/>
          <w:szCs w:val="28"/>
          <w:rtl/>
        </w:rPr>
        <w:t xml:space="preserve">حميري، اسماعيل بن محمّد- سيد حميري</w:t>
      </w:r>
    </w:p>
    <w:p>
      <w:pPr>
        <w:pStyle w:val="BookText"/>
      </w:pPr>
      <w:r>
        <w:rPr>
          <w:rFonts w:ascii="Amiri" w:hAnsi="Amiri" w:eastAsia="Amiri" w:cs="Amiri"/>
          <w:lang w:bidi="ar-SA"/>
          <w:color w:val="111111"/>
          <w:sz w:val="28"/>
          <w:szCs w:val="28"/>
          <w:rtl/>
        </w:rPr>
        <w:t xml:space="preserve">، اسماعيل بن محمّد</w:t>
      </w:r>
    </w:p>
    <w:p>
      <w:pPr>
        <w:pStyle w:val="BookText"/>
      </w:pPr>
      <w:r>
        <w:rPr>
          <w:rFonts w:ascii="Amiri" w:hAnsi="Amiri" w:eastAsia="Amiri" w:cs="Amiri"/>
          <w:lang w:bidi="ar-SA"/>
          <w:color w:val="111111"/>
          <w:sz w:val="28"/>
          <w:szCs w:val="28"/>
          <w:rtl/>
        </w:rPr>
        <w:t xml:space="preserve">حميري ، زيد بن حسن- كندي ، زيد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3945" w:name="_Toc3047"/>
      <w:r>
        <w:t>حميري ، سليمان بن عبدالله - 1209 ه-</w:t>
      </w:r>
      <w:bookmarkEnd w:id="3945"/>
    </w:p>
    <w:p>
      <w:pPr>
        <w:pStyle w:val="BookText"/>
      </w:pPr>
      <w:r>
        <w:rPr>
          <w:rFonts w:ascii="Amiri" w:hAnsi="Amiri" w:eastAsia="Amiri" w:cs="Amiri"/>
          <w:lang w:bidi="ar-SA"/>
          <w:color w:val="111111"/>
          <w:sz w:val="28"/>
          <w:szCs w:val="28"/>
          <w:rtl/>
        </w:rPr>
        <w:t xml:space="preserve">1 .سكب الادب على لامية العرب</w:t>
      </w:r>
    </w:p>
    <w:p>
      <w:pPr>
        <w:pStyle w:val="BookText"/>
      </w:pPr>
      <w:r>
        <w:rPr>
          <w:rFonts w:ascii="IRNazanin" w:hAnsi="IRNazanin" w:eastAsia="IRNazanin" w:cs="IRNazanin"/>
          <w:lang w:bidi="fa-IR"/>
          <w:color w:val="111111"/>
          <w:sz w:val="28"/>
          <w:szCs w:val="28"/>
          <w:rtl/>
        </w:rPr>
        <w:t xml:space="preserve">ج 8، ص790.</w:t>
      </w:r>
    </w:p>
    <w:p>
      <w:pPr>
        <w:pStyle w:val="BookText"/>
      </w:pPr>
      <w:r>
        <w:rPr>
          <w:rFonts w:ascii="IRNazanin" w:hAnsi="IRNazanin" w:eastAsia="IRNazanin" w:cs="IRNazanin"/>
          <w:lang w:bidi="fa-IR"/>
          <w:color w:val="111111"/>
          <w:sz w:val="28"/>
          <w:szCs w:val="28"/>
          <w:rtl/>
        </w:rPr>
        <w:t xml:space="preserve">2 .نظم القطر، ج 16، ص 355 .</w:t>
      </w:r>
    </w:p>
    <w:p>
      <w:pPr>
        <w:pStyle w:val="BookText"/>
      </w:pPr>
      <w:r>
        <w:rPr>
          <w:rFonts w:ascii="Amiri" w:hAnsi="Amiri" w:eastAsia="Amiri" w:cs="Amiri"/>
          <w:lang w:bidi="ar-SA"/>
          <w:color w:val="111111"/>
          <w:sz w:val="28"/>
          <w:szCs w:val="28"/>
          <w:rtl/>
        </w:rPr>
        <w:t xml:space="preserve">حميري صنهاجي ، معزبن باديس - صنهاجي ، معز بن باديس</w:t>
      </w:r>
    </w:p>
    <w:p>
      <w:pPr>
        <w:pStyle w:val="BookText"/>
      </w:pPr>
      <w:r>
        <w:rPr>
          <w:rFonts w:ascii="Amiri" w:hAnsi="Amiri" w:eastAsia="Amiri" w:cs="Amiri"/>
          <w:lang w:bidi="ar-SA"/>
          <w:color w:val="111111"/>
          <w:sz w:val="28"/>
          <w:szCs w:val="28"/>
          <w:rtl/>
        </w:rPr>
        <w:t xml:space="preserve">حميري ، عبد الرزاق صنعاني- صنعاني ،</w:t>
      </w:r>
    </w:p>
    <w:p>
      <w:pPr>
        <w:pStyle w:val="BookText"/>
      </w:pPr>
      <w:r>
        <w:rPr>
          <w:rFonts w:ascii="IRNazanin" w:hAnsi="IRNazanin" w:eastAsia="IRNazanin" w:cs="IRNazanin"/>
          <w:lang w:bidi="fa-IR"/>
          <w:color w:val="111111"/>
          <w:sz w:val="28"/>
          <w:szCs w:val="28"/>
          <w:rtl/>
        </w:rPr>
        <w:t xml:space="preserve">عبد الرزاق بن همام</w:t>
      </w:r>
    </w:p>
    <w:p>
      <w:pPr>
        <w:pStyle w:val="Heading2"/>
      </w:pPr>
      <w:bookmarkStart w:id="3946" w:name="_Toc3048"/>
      <w:r>
        <w:t>حميري، عبدالله بن جعفر - 310 ؟ ه-</w:t>
      </w:r>
      <w:bookmarkEnd w:id="3946"/>
    </w:p>
    <w:p>
      <w:pPr>
        <w:pStyle w:val="BookText"/>
      </w:pPr>
      <w:r>
        <w:rPr>
          <w:rFonts w:ascii="IRNazanin" w:hAnsi="IRNazanin" w:eastAsia="IRNazanin" w:cs="IRNazanin"/>
          <w:lang w:bidi="fa-IR"/>
          <w:color w:val="111111"/>
          <w:sz w:val="28"/>
          <w:szCs w:val="28"/>
          <w:rtl/>
        </w:rPr>
        <w:t xml:space="preserve">قرب الاسناد، ج 12، ص 562.</w:t>
      </w:r>
    </w:p>
    <w:p>
      <w:pPr>
        <w:pStyle w:val="BookText"/>
      </w:pPr>
      <w:r>
        <w:rPr>
          <w:rFonts w:ascii="Amiri" w:hAnsi="Amiri" w:eastAsia="Amiri" w:cs="Amiri"/>
          <w:lang w:bidi="ar-SA"/>
          <w:color w:val="111111"/>
          <w:sz w:val="28"/>
          <w:szCs w:val="28"/>
          <w:rtl/>
        </w:rPr>
        <w:t xml:space="preserve">حميري ، عبد الملك بن هشام- ابن هشام ،</w:t>
      </w:r>
    </w:p>
    <w:p>
      <w:pPr>
        <w:pStyle w:val="BookText"/>
      </w:pPr>
      <w:r>
        <w:rPr>
          <w:rFonts w:ascii="Amiri" w:hAnsi="Amiri" w:eastAsia="Amiri" w:cs="Amiri"/>
          <w:lang w:bidi="ar-SA"/>
          <w:color w:val="111111"/>
          <w:sz w:val="28"/>
          <w:szCs w:val="28"/>
          <w:rtl/>
        </w:rPr>
        <w:t xml:space="preserve">عبدالملك بن هشام</w:t>
      </w:r>
    </w:p>
    <w:p>
      <w:pPr>
        <w:pStyle w:val="Heading2"/>
      </w:pPr>
      <w:bookmarkStart w:id="3947" w:name="_Toc3049"/>
      <w:r>
        <w:t>حميري ، كعب بن ماتع - 32 ه-</w:t>
      </w:r>
      <w:bookmarkEnd w:id="3947"/>
    </w:p>
    <w:p>
      <w:pPr>
        <w:pStyle w:val="BookText"/>
      </w:pPr>
      <w:r>
        <w:rPr>
          <w:rFonts w:ascii="Amiri" w:hAnsi="Amiri" w:eastAsia="Amiri" w:cs="Amiri"/>
          <w:lang w:bidi="ar-SA"/>
          <w:color w:val="111111"/>
          <w:sz w:val="28"/>
          <w:szCs w:val="28"/>
          <w:rtl/>
        </w:rPr>
        <w:t xml:space="preserve">الجفر (رسالة في)، ج5، ص392.</w:t>
      </w:r>
    </w:p>
    <w:p>
      <w:pPr>
        <w:pStyle w:val="BookText"/>
      </w:pPr>
      <w:r>
        <w:rPr>
          <w:rFonts w:ascii="Amiri" w:hAnsi="Amiri" w:eastAsia="Amiri" w:cs="Amiri"/>
          <w:lang w:bidi="ar-SA"/>
          <w:color w:val="111111"/>
          <w:sz w:val="28"/>
          <w:szCs w:val="28"/>
          <w:rtl/>
        </w:rPr>
        <w:t xml:space="preserve">حميري ، محمّد بن ابراهيم- ابن عباد</w:t>
      </w:r>
    </w:p>
    <w:p>
      <w:pPr>
        <w:pStyle w:val="BookText"/>
      </w:pPr>
      <w:r>
        <w:rPr>
          <w:rFonts w:ascii="Amiri" w:hAnsi="Amiri" w:eastAsia="Amiri" w:cs="Amiri"/>
          <w:lang w:bidi="ar-SA"/>
          <w:color w:val="111111"/>
          <w:sz w:val="28"/>
          <w:szCs w:val="28"/>
          <w:rtl/>
        </w:rPr>
        <w:t xml:space="preserve">رندي ، محمّد بن ابراهيم</w:t>
      </w:r>
    </w:p>
    <w:p>
      <w:pPr>
        <w:pStyle w:val="Heading2"/>
      </w:pPr>
      <w:bookmarkStart w:id="3948" w:name="_Toc3050"/>
      <w:r>
        <w:t>حميري ، محمّد بن أبي القاسم - 988 ه-</w:t>
      </w:r>
      <w:bookmarkEnd w:id="3948"/>
    </w:p>
    <w:p>
      <w:pPr>
        <w:pStyle w:val="BookText"/>
      </w:pPr>
      <w:r>
        <w:rPr>
          <w:rFonts w:ascii="Amiri" w:hAnsi="Amiri" w:eastAsia="Amiri" w:cs="Amiri"/>
          <w:lang w:bidi="ar-SA"/>
          <w:color w:val="111111"/>
          <w:sz w:val="28"/>
          <w:szCs w:val="28"/>
          <w:rtl/>
        </w:rPr>
        <w:t xml:space="preserve">درة الاسرار وتحفة الابرار، ج7،</w:t>
      </w:r>
    </w:p>
    <w:p>
      <w:pPr>
        <w:pStyle w:val="BookText"/>
      </w:pPr>
      <w:r>
        <w:rPr>
          <w:rFonts w:ascii="IRNazanin" w:hAnsi="IRNazanin" w:eastAsia="IRNazanin" w:cs="IRNazanin"/>
          <w:lang w:bidi="fa-IR"/>
          <w:color w:val="111111"/>
          <w:sz w:val="28"/>
          <w:szCs w:val="28"/>
          <w:rtl/>
        </w:rPr>
        <w:t xml:space="preserve">ص220.</w:t>
      </w:r>
    </w:p>
    <w:p>
      <w:pPr>
        <w:pStyle w:val="BookText"/>
      </w:pPr>
      <w:r>
        <w:rPr>
          <w:rFonts w:ascii="Amiri" w:hAnsi="Amiri" w:eastAsia="Amiri" w:cs="Amiri"/>
          <w:lang w:bidi="ar-SA"/>
          <w:color w:val="111111"/>
          <w:sz w:val="28"/>
          <w:szCs w:val="28"/>
          <w:rtl/>
        </w:rPr>
        <w:t xml:space="preserve">حميري ، محمود بن سلطان- شاوي ،</w:t>
      </w:r>
    </w:p>
    <w:p>
      <w:pPr>
        <w:pStyle w:val="BookText"/>
      </w:pPr>
      <w:r>
        <w:rPr>
          <w:rFonts w:ascii="IRNazanin" w:hAnsi="IRNazanin" w:eastAsia="IRNazanin" w:cs="IRNazanin"/>
          <w:lang w:bidi="fa-IR"/>
          <w:color w:val="111111"/>
          <w:sz w:val="28"/>
          <w:szCs w:val="28"/>
          <w:rtl/>
        </w:rPr>
        <w:t xml:space="preserve">محمود بن سلطان</w:t>
      </w:r>
    </w:p>
    <w:p>
      <w:pPr>
        <w:pStyle w:val="Heading2"/>
      </w:pPr>
      <w:bookmarkStart w:id="3949" w:name="_Toc3051"/>
      <w:r>
        <w:t>حميري نجفي، محمّد بن فرج -1059ه-</w:t>
      </w:r>
      <w:bookmarkEnd w:id="3949"/>
    </w:p>
    <w:p>
      <w:pPr>
        <w:pStyle w:val="BookText"/>
      </w:pPr>
      <w:r>
        <w:rPr>
          <w:rFonts w:ascii="Amiri" w:hAnsi="Amiri" w:eastAsia="Amiri" w:cs="Amiri"/>
          <w:lang w:bidi="ar-SA"/>
          <w:color w:val="111111"/>
          <w:sz w:val="28"/>
          <w:szCs w:val="28"/>
          <w:rtl/>
        </w:rPr>
        <w:t xml:space="preserve">1 .الاربعون حديثا في اعمال السلاطين</w:t>
      </w:r>
    </w:p>
    <w:p>
      <w:pPr>
        <w:pStyle w:val="BookText"/>
      </w:pPr>
      <w:r>
        <w:rPr>
          <w:rFonts w:ascii="Amiri" w:hAnsi="Amiri" w:eastAsia="Amiri" w:cs="Amiri"/>
          <w:lang w:bidi="ar-SA"/>
          <w:color w:val="111111"/>
          <w:sz w:val="28"/>
          <w:szCs w:val="28"/>
          <w:rtl/>
        </w:rPr>
        <w:t xml:space="preserve">و طلب جوائزهم و الركون اليهم</w:t>
      </w:r>
    </w:p>
    <w:p>
      <w:pPr>
        <w:pStyle w:val="BookText"/>
      </w:pPr>
      <w:r>
        <w:rPr>
          <w:rFonts w:ascii="IRNazanin" w:hAnsi="IRNazanin" w:eastAsia="IRNazanin" w:cs="IRNazanin"/>
          <w:lang w:bidi="fa-IR"/>
          <w:color w:val="111111"/>
          <w:sz w:val="28"/>
          <w:szCs w:val="28"/>
          <w:rtl/>
        </w:rPr>
        <w:t xml:space="preserve">ج 1، ص 723.</w:t>
      </w:r>
    </w:p>
    <w:p>
      <w:pPr>
        <w:pStyle w:val="BookText"/>
      </w:pPr>
      <w:r>
        <w:rPr>
          <w:rFonts w:ascii="Amiri" w:hAnsi="Amiri" w:eastAsia="Amiri" w:cs="Amiri"/>
          <w:lang w:bidi="ar-SA"/>
          <w:color w:val="111111"/>
          <w:sz w:val="28"/>
          <w:szCs w:val="28"/>
          <w:rtl/>
        </w:rPr>
        <w:t xml:space="preserve">2 .دستور السالكين، ج 7، ص380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علم اليقين، ج 11، ص 273.</w:t>
      </w:r>
    </w:p>
    <w:p>
      <w:pPr>
        <w:pStyle w:val="Heading2"/>
      </w:pPr>
      <w:bookmarkStart w:id="3950" w:name="_Toc3052"/>
      <w:r>
        <w:t>حميري ، نشوان بن سعيد قرن 6 ه-</w:t>
      </w:r>
      <w:bookmarkEnd w:id="3950"/>
    </w:p>
    <w:p>
      <w:pPr>
        <w:pStyle w:val="BookText"/>
      </w:pPr>
      <w:r>
        <w:rPr>
          <w:rFonts w:ascii="IRNazanin" w:hAnsi="IRNazanin" w:eastAsia="IRNazanin" w:cs="IRNazanin"/>
          <w:lang w:bidi="fa-IR"/>
          <w:color w:val="111111"/>
          <w:sz w:val="28"/>
          <w:szCs w:val="28"/>
          <w:rtl/>
        </w:rPr>
        <w:t xml:space="preserve">الفرائد والقلائد، ج 11، ص 748.</w:t>
      </w:r>
    </w:p>
    <w:p>
      <w:pPr>
        <w:pStyle w:val="BookText"/>
      </w:pPr>
      <w:r>
        <w:rPr>
          <w:rFonts w:ascii="Amiri" w:hAnsi="Amiri" w:eastAsia="Amiri" w:cs="Amiri"/>
          <w:lang w:bidi="ar-SA"/>
          <w:color w:val="111111"/>
          <w:sz w:val="28"/>
          <w:szCs w:val="28"/>
          <w:rtl/>
        </w:rPr>
        <w:t xml:space="preserve">حنائي ، حسين بن محمّد - 459 ه-</w:t>
      </w:r>
    </w:p>
    <w:p>
      <w:pPr>
        <w:pStyle w:val="BookText"/>
      </w:pPr>
      <w:r>
        <w:rPr>
          <w:rFonts w:ascii="IRNazanin" w:hAnsi="IRNazanin" w:eastAsia="IRNazanin" w:cs="IRNazanin"/>
          <w:lang w:bidi="fa-IR"/>
          <w:color w:val="111111"/>
          <w:sz w:val="28"/>
          <w:szCs w:val="28"/>
          <w:rtl/>
        </w:rPr>
        <w:t xml:space="preserve">الفوائد، ج 12، ص170.</w:t>
      </w:r>
    </w:p>
    <w:p>
      <w:pPr>
        <w:pStyle w:val="Heading2"/>
      </w:pPr>
      <w:bookmarkStart w:id="3951" w:name="_Toc3053"/>
      <w:r>
        <w:t>حنائي، سليمان، قرن 13 ه-</w:t>
      </w:r>
      <w:bookmarkEnd w:id="3951"/>
    </w:p>
    <w:p>
      <w:pPr>
        <w:pStyle w:val="BookText"/>
      </w:pPr>
      <w:r>
        <w:rPr>
          <w:rFonts w:ascii="Amiri" w:hAnsi="Amiri" w:eastAsia="Amiri" w:cs="Amiri"/>
          <w:lang w:bidi="ar-SA"/>
          <w:color w:val="111111"/>
          <w:sz w:val="28"/>
          <w:szCs w:val="28"/>
          <w:rtl/>
        </w:rPr>
        <w:t xml:space="preserve">شرح قصيدة البردة، ج 9، ص 854</w:t>
      </w:r>
    </w:p>
    <w:p>
      <w:pPr>
        <w:pStyle w:val="Heading2"/>
      </w:pPr>
      <w:bookmarkStart w:id="3952" w:name="_Toc3054"/>
      <w:r>
        <w:t>حنائي ، يوسف بن قاسم</w:t>
      </w:r>
      <w:bookmarkEnd w:id="3952"/>
    </w:p>
    <w:p>
      <w:pPr>
        <w:pStyle w:val="BookText"/>
      </w:pPr>
      <w:r>
        <w:rPr>
          <w:rFonts w:ascii="Amiri" w:hAnsi="Amiri" w:eastAsia="Amiri" w:cs="Amiri"/>
          <w:lang w:bidi="ar-SA"/>
          <w:color w:val="111111"/>
          <w:sz w:val="28"/>
          <w:szCs w:val="28"/>
          <w:rtl/>
        </w:rPr>
        <w:t xml:space="preserve">السير والسلوك، ج 9، ص33.</w:t>
      </w:r>
    </w:p>
    <w:p>
      <w:pPr>
        <w:pStyle w:val="Heading2"/>
      </w:pPr>
      <w:bookmarkStart w:id="3953" w:name="_Toc3055"/>
      <w:r>
        <w:t>حنا الكرملتاني الحافي</w:t>
      </w:r>
      <w:bookmarkEnd w:id="3953"/>
    </w:p>
    <w:p>
      <w:pPr>
        <w:pStyle w:val="BookText"/>
      </w:pPr>
      <w:r>
        <w:rPr>
          <w:rFonts w:ascii="IRNazanin" w:hAnsi="IRNazanin" w:eastAsia="IRNazanin" w:cs="IRNazanin"/>
          <w:lang w:bidi="fa-IR"/>
          <w:color w:val="111111"/>
          <w:sz w:val="28"/>
          <w:szCs w:val="28"/>
          <w:rtl/>
        </w:rPr>
        <w:t xml:space="preserve">1 .النجاح و مصباح الفلاح، ج 16،</w:t>
      </w:r>
    </w:p>
    <w:p>
      <w:pPr>
        <w:pStyle w:val="BookText"/>
      </w:pPr>
      <w:r>
        <w:rPr>
          <w:rFonts w:ascii="IRNazanin" w:hAnsi="IRNazanin" w:eastAsia="IRNazanin" w:cs="IRNazanin"/>
          <w:lang w:bidi="fa-IR"/>
          <w:color w:val="111111"/>
          <w:sz w:val="28"/>
          <w:szCs w:val="28"/>
          <w:rtl/>
        </w:rPr>
        <w:t xml:space="preserve">ص 153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النقد على المجاميع المسيحية المبتدعة( كتاب في)، ج 16، ص 417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2" w:name="pg7742_70259"/>
    <w:bookmarkEnd w:id="432"/>
    <w:p>
      <w:pPr>
        <w:pStyle w:val="Heading2"/>
      </w:pPr>
      <w:bookmarkStart w:id="3954" w:name="_Toc3056"/>
      <w:r>
        <w:t>حناط كوفي ، عاصم بن حميد قرن 2 ه-</w:t>
      </w:r>
      <w:bookmarkEnd w:id="3954"/>
    </w:p>
    <w:p>
      <w:pPr>
        <w:pStyle w:val="BookText"/>
      </w:pPr>
      <w:r>
        <w:rPr>
          <w:rFonts w:ascii="Amiri" w:hAnsi="Amiri" w:eastAsia="Amiri" w:cs="Amiri"/>
          <w:lang w:bidi="ar-SA"/>
          <w:color w:val="111111"/>
          <w:sz w:val="28"/>
          <w:szCs w:val="28"/>
          <w:rtl/>
        </w:rPr>
        <w:t xml:space="preserve">اصل الحناط = اصل عاصم بن حميد</w:t>
      </w:r>
    </w:p>
    <w:p>
      <w:pPr>
        <w:pStyle w:val="BookText"/>
      </w:pPr>
      <w:r>
        <w:rPr>
          <w:rFonts w:ascii="Amiri" w:hAnsi="Amiri" w:eastAsia="Amiri" w:cs="Amiri"/>
          <w:lang w:bidi="ar-SA"/>
          <w:color w:val="111111"/>
          <w:sz w:val="28"/>
          <w:szCs w:val="28"/>
          <w:rtl/>
        </w:rPr>
        <w:t xml:space="preserve">حناط كوفي، ج 2، ص383.</w:t>
      </w:r>
    </w:p>
    <w:p>
      <w:pPr>
        <w:pStyle w:val="Heading2"/>
      </w:pPr>
      <w:bookmarkStart w:id="3955" w:name="_Toc3057"/>
      <w:r>
        <w:t>حناط كوفي ، مثنى بن ولید قرن 2 ه-</w:t>
      </w:r>
      <w:bookmarkEnd w:id="3955"/>
    </w:p>
    <w:p>
      <w:pPr>
        <w:pStyle w:val="BookText"/>
      </w:pPr>
      <w:r>
        <w:rPr>
          <w:rFonts w:ascii="Amiri" w:hAnsi="Amiri" w:eastAsia="Amiri" w:cs="Amiri"/>
          <w:lang w:bidi="ar-SA"/>
          <w:color w:val="111111"/>
          <w:sz w:val="28"/>
          <w:szCs w:val="28"/>
          <w:rtl/>
        </w:rPr>
        <w:t xml:space="preserve">اصل المثنى بن وليد = كتاب المثنى بن</w:t>
      </w:r>
    </w:p>
    <w:p>
      <w:pPr>
        <w:pStyle w:val="BookText"/>
      </w:pPr>
      <w:r>
        <w:rPr>
          <w:rFonts w:ascii="Amiri" w:hAnsi="Amiri" w:eastAsia="Amiri" w:cs="Amiri"/>
          <w:lang w:bidi="ar-SA"/>
          <w:color w:val="111111"/>
          <w:sz w:val="28"/>
          <w:szCs w:val="28"/>
          <w:rtl/>
        </w:rPr>
        <w:t xml:space="preserve">وليد الحناط، ج 2، ص 399.</w:t>
      </w:r>
    </w:p>
    <w:p>
      <w:pPr>
        <w:pStyle w:val="BookText"/>
      </w:pPr>
      <w:r>
        <w:rPr>
          <w:rFonts w:ascii="Amiri" w:hAnsi="Amiri" w:eastAsia="Amiri" w:cs="Amiri"/>
          <w:lang w:bidi="ar-SA"/>
          <w:color w:val="111111"/>
          <w:sz w:val="28"/>
          <w:szCs w:val="28"/>
          <w:rtl/>
        </w:rPr>
        <w:t xml:space="preserve">حنايي ، علي بن امر الله -ابن حنائي ، علي</w:t>
      </w:r>
    </w:p>
    <w:p>
      <w:pPr>
        <w:pStyle w:val="BookText"/>
      </w:pPr>
      <w:r>
        <w:rPr>
          <w:rFonts w:ascii="IRNazanin" w:hAnsi="IRNazanin" w:eastAsia="IRNazanin" w:cs="IRNazanin"/>
          <w:lang w:bidi="fa-IR"/>
          <w:color w:val="111111"/>
          <w:sz w:val="28"/>
          <w:szCs w:val="28"/>
          <w:rtl/>
        </w:rPr>
        <w:t xml:space="preserve">بن امر الله</w:t>
      </w:r>
    </w:p>
    <w:p>
      <w:pPr>
        <w:pStyle w:val="BookText"/>
      </w:pPr>
      <w:r>
        <w:rPr>
          <w:rFonts w:ascii="IRNazanin" w:hAnsi="IRNazanin" w:eastAsia="IRNazanin" w:cs="IRNazanin"/>
          <w:lang w:bidi="fa-IR"/>
          <w:color w:val="111111"/>
          <w:sz w:val="28"/>
          <w:szCs w:val="28"/>
          <w:rtl/>
        </w:rPr>
        <w:t xml:space="preserve">حنیف ، ابراهيم بن مصطفى الرومي- رومي، ابراهيم بن حنيف بن</w:t>
      </w:r>
    </w:p>
    <w:p>
      <w:pPr>
        <w:pStyle w:val="BookText"/>
      </w:pPr>
      <w:r>
        <w:rPr>
          <w:rFonts w:ascii="IRNazanin" w:hAnsi="IRNazanin" w:eastAsia="IRNazanin" w:cs="IRNazanin"/>
          <w:lang w:bidi="fa-IR"/>
          <w:color w:val="111111"/>
          <w:sz w:val="28"/>
          <w:szCs w:val="28"/>
          <w:rtl/>
        </w:rPr>
        <w:t xml:space="preserve">مصطفى</w:t>
      </w:r>
    </w:p>
    <w:p>
      <w:pPr>
        <w:pStyle w:val="Heading2"/>
      </w:pPr>
      <w:bookmarkStart w:id="3956" w:name="_Toc3058"/>
      <w:r>
        <w:t>حنبلي ، ابو عبدالله</w:t>
      </w:r>
      <w:bookmarkEnd w:id="3956"/>
    </w:p>
    <w:p>
      <w:pPr>
        <w:pStyle w:val="BookText"/>
      </w:pPr>
      <w:r>
        <w:rPr>
          <w:rFonts w:ascii="Amiri" w:hAnsi="Amiri" w:eastAsia="Amiri" w:cs="Amiri"/>
          <w:lang w:bidi="ar-SA"/>
          <w:color w:val="111111"/>
          <w:sz w:val="28"/>
          <w:szCs w:val="28"/>
          <w:rtl/>
        </w:rPr>
        <w:t xml:space="preserve">منظومة الأدب، ج 15 ، ص716.</w:t>
      </w:r>
    </w:p>
    <w:p>
      <w:pPr>
        <w:pStyle w:val="Heading2"/>
      </w:pPr>
      <w:bookmarkStart w:id="3957" w:name="_Toc3059"/>
      <w:r>
        <w:t>حنبلي ، راشد بن علي</w:t>
      </w:r>
      <w:bookmarkEnd w:id="3957"/>
    </w:p>
    <w:p>
      <w:pPr>
        <w:pStyle w:val="BookText"/>
      </w:pPr>
      <w:r>
        <w:rPr>
          <w:rFonts w:ascii="Amiri" w:hAnsi="Amiri" w:eastAsia="Amiri" w:cs="Amiri"/>
          <w:lang w:bidi="ar-SA"/>
          <w:color w:val="111111"/>
          <w:sz w:val="28"/>
          <w:szCs w:val="28"/>
          <w:rtl/>
        </w:rPr>
        <w:t xml:space="preserve">مثير الوجد في معرفة انساب ملوك</w:t>
      </w:r>
    </w:p>
    <w:p>
      <w:pPr>
        <w:pStyle w:val="BookText"/>
      </w:pPr>
      <w:r>
        <w:rPr>
          <w:rFonts w:ascii="IRNazanin" w:hAnsi="IRNazanin" w:eastAsia="IRNazanin" w:cs="IRNazanin"/>
          <w:lang w:bidi="fa-IR"/>
          <w:color w:val="111111"/>
          <w:sz w:val="28"/>
          <w:szCs w:val="28"/>
          <w:rtl/>
        </w:rPr>
        <w:t xml:space="preserve">نجد، ج 13، ص780.</w:t>
      </w:r>
    </w:p>
    <w:p>
      <w:pPr>
        <w:pStyle w:val="BookText"/>
      </w:pPr>
      <w:r>
        <w:rPr>
          <w:rFonts w:ascii="Amiri" w:hAnsi="Amiri" w:eastAsia="Amiri" w:cs="Amiri"/>
          <w:lang w:bidi="ar-SA"/>
          <w:color w:val="111111"/>
          <w:sz w:val="28"/>
          <w:szCs w:val="28"/>
          <w:rtl/>
        </w:rPr>
        <w:t xml:space="preserve">حنبلي زاده- ابن حنبلي</w:t>
      </w:r>
    </w:p>
    <w:p>
      <w:pPr>
        <w:pStyle w:val="Heading2"/>
      </w:pPr>
      <w:bookmarkStart w:id="3958" w:name="_Toc3060"/>
      <w:r>
        <w:t>حنبلي، عبد الرحمن قرن 12 ه-</w:t>
      </w:r>
      <w:bookmarkEnd w:id="3958"/>
    </w:p>
    <w:p>
      <w:pPr>
        <w:pStyle w:val="BookText"/>
      </w:pPr>
      <w:r>
        <w:rPr>
          <w:rFonts w:ascii="Amiri" w:hAnsi="Amiri" w:eastAsia="Amiri" w:cs="Amiri"/>
          <w:lang w:bidi="ar-SA"/>
          <w:color w:val="111111"/>
          <w:sz w:val="28"/>
          <w:szCs w:val="28"/>
          <w:rtl/>
        </w:rPr>
        <w:t xml:space="preserve">حنبلي ، عبدالرحمن بن احمد- ابن رجب</w:t>
      </w:r>
    </w:p>
    <w:p>
      <w:pPr>
        <w:pStyle w:val="BookText"/>
      </w:pPr>
      <w:r>
        <w:rPr>
          <w:rFonts w:ascii="IRNazanin" w:hAnsi="IRNazanin" w:eastAsia="IRNazanin" w:cs="IRNazanin"/>
          <w:lang w:bidi="fa-IR"/>
          <w:color w:val="111111"/>
          <w:sz w:val="28"/>
          <w:szCs w:val="28"/>
          <w:rtl/>
        </w:rPr>
        <w:t xml:space="preserve">، عبدالرحمن بن احمد</w:t>
      </w:r>
    </w:p>
    <w:p>
      <w:pPr>
        <w:pStyle w:val="BookText"/>
      </w:pPr>
      <w:r>
        <w:rPr>
          <w:rFonts w:ascii="Amiri" w:hAnsi="Amiri" w:eastAsia="Amiri" w:cs="Amiri"/>
          <w:lang w:bidi="ar-SA"/>
          <w:color w:val="111111"/>
          <w:sz w:val="28"/>
          <w:szCs w:val="28"/>
          <w:rtl/>
        </w:rPr>
        <w:t xml:space="preserve">ابراهيم بن حسن</w:t>
      </w:r>
    </w:p>
    <w:p>
      <w:pPr>
        <w:pStyle w:val="BookText"/>
      </w:pPr>
      <w:r>
        <w:rPr>
          <w:rFonts w:ascii="Amiri" w:hAnsi="Amiri" w:eastAsia="Amiri" w:cs="Amiri"/>
          <w:lang w:bidi="ar-SA"/>
          <w:color w:val="111111"/>
          <w:sz w:val="28"/>
          <w:szCs w:val="28"/>
          <w:rtl/>
        </w:rPr>
        <w:t xml:space="preserve">حنبلي ، عبدالله بن احمد -ازهري ، عبدالله بن احمد</w:t>
      </w:r>
    </w:p>
    <w:p>
      <w:pPr>
        <w:pStyle w:val="Heading2"/>
      </w:pPr>
      <w:bookmarkStart w:id="3959" w:name="_Toc3061"/>
      <w:r>
        <w:t>حنبلي ، محمّد بن ابراهيم</w:t>
      </w:r>
      <w:bookmarkEnd w:id="3959"/>
    </w:p>
    <w:p>
      <w:pPr>
        <w:pStyle w:val="BookText"/>
      </w:pPr>
      <w:r>
        <w:rPr>
          <w:rFonts w:ascii="IRNazanin" w:hAnsi="IRNazanin" w:eastAsia="IRNazanin" w:cs="IRNazanin"/>
          <w:lang w:bidi="fa-IR"/>
          <w:color w:val="111111"/>
          <w:sz w:val="28"/>
          <w:szCs w:val="28"/>
          <w:rtl/>
        </w:rPr>
        <w:t xml:space="preserve">شرح مختصر، ج 10، ص 106.</w:t>
      </w:r>
    </w:p>
    <w:p>
      <w:pPr>
        <w:pStyle w:val="BookText"/>
      </w:pPr>
      <w:r>
        <w:rPr>
          <w:rFonts w:ascii="Amiri" w:hAnsi="Amiri" w:eastAsia="Amiri" w:cs="Amiri"/>
          <w:lang w:bidi="ar-SA"/>
          <w:color w:val="111111"/>
          <w:sz w:val="28"/>
          <w:szCs w:val="28"/>
          <w:rtl/>
        </w:rPr>
        <w:t xml:space="preserve">حنبلي ، محمّد بن احمد- ابن كزبر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3960" w:name="_Toc3062"/>
      <w:r>
        <w:t>حنبلي ، محمّد بن نصر الله</w:t>
      </w:r>
      <w:bookmarkEnd w:id="3960"/>
    </w:p>
    <w:p>
      <w:pPr>
        <w:pStyle w:val="BookText"/>
      </w:pPr>
      <w:r>
        <w:rPr>
          <w:rFonts w:ascii="Amiri" w:hAnsi="Amiri" w:eastAsia="Amiri" w:cs="Amiri"/>
          <w:lang w:bidi="ar-SA"/>
          <w:color w:val="111111"/>
          <w:sz w:val="28"/>
          <w:szCs w:val="28"/>
          <w:rtl/>
        </w:rPr>
        <w:t xml:space="preserve">اختلاف القراء في القراءات، ج 1،</w:t>
      </w:r>
    </w:p>
    <w:p>
      <w:pPr>
        <w:pStyle w:val="BookText"/>
      </w:pPr>
      <w:r>
        <w:rPr>
          <w:rFonts w:ascii="IRNazanin" w:hAnsi="IRNazanin" w:eastAsia="IRNazanin" w:cs="IRNazanin"/>
          <w:lang w:bidi="fa-IR"/>
          <w:color w:val="111111"/>
          <w:sz w:val="28"/>
          <w:szCs w:val="28"/>
          <w:rtl/>
        </w:rPr>
        <w:t xml:space="preserve">ص 551 .</w:t>
      </w:r>
    </w:p>
    <w:p>
      <w:pPr>
        <w:pStyle w:val="Heading2"/>
      </w:pPr>
      <w:bookmarkStart w:id="3961" w:name="_Toc3063"/>
      <w:r>
        <w:t>حنبيطي ، عبدالوهاب بن عبدالواحد</w:t>
      </w:r>
      <w:bookmarkEnd w:id="3961"/>
    </w:p>
    <w:p>
      <w:pPr>
        <w:pStyle w:val="BookText"/>
      </w:pPr>
      <w:r>
        <w:rPr>
          <w:rFonts w:ascii="Amiri" w:hAnsi="Amiri" w:eastAsia="Amiri" w:cs="Amiri"/>
          <w:lang w:bidi="ar-SA"/>
          <w:color w:val="111111"/>
          <w:sz w:val="28"/>
          <w:szCs w:val="28"/>
          <w:rtl/>
        </w:rPr>
        <w:t xml:space="preserve">الرسالة الواضحة، ج8، ص292.</w:t>
      </w:r>
    </w:p>
    <w:p>
      <w:pPr>
        <w:pStyle w:val="BookText"/>
      </w:pPr>
      <w:r>
        <w:rPr>
          <w:rFonts w:ascii="IRNazanin" w:hAnsi="IRNazanin" w:eastAsia="IRNazanin" w:cs="IRNazanin"/>
          <w:lang w:bidi="fa-IR"/>
          <w:color w:val="111111"/>
          <w:sz w:val="28"/>
          <w:szCs w:val="28"/>
          <w:rtl/>
        </w:rPr>
        <w:t xml:space="preserve">حنش ، محمّد امین -جبوري ، محمّد امين</w:t>
      </w:r>
    </w:p>
    <w:p>
      <w:pPr>
        <w:pStyle w:val="BookText"/>
      </w:pPr>
      <w:r>
        <w:rPr>
          <w:rFonts w:ascii="Amiri" w:hAnsi="Amiri" w:eastAsia="Amiri" w:cs="Amiri"/>
          <w:lang w:bidi="ar-SA"/>
          <w:color w:val="111111"/>
          <w:sz w:val="28"/>
          <w:szCs w:val="28"/>
          <w:rtl/>
        </w:rPr>
        <w:t xml:space="preserve">حنظلي ، عبدالرحمن بن محمّد- ابن ابي</w:t>
      </w:r>
    </w:p>
    <w:p>
      <w:pPr>
        <w:pStyle w:val="BookText"/>
      </w:pPr>
      <w:r>
        <w:rPr>
          <w:rFonts w:ascii="IRNazanin" w:hAnsi="IRNazanin" w:eastAsia="IRNazanin" w:cs="IRNazanin"/>
          <w:lang w:bidi="fa-IR"/>
          <w:color w:val="111111"/>
          <w:sz w:val="28"/>
          <w:szCs w:val="28"/>
          <w:rtl/>
        </w:rPr>
        <w:t xml:space="preserve">حاتم ، عبدالرحمن بن محمّد</w:t>
      </w:r>
    </w:p>
    <w:p>
      <w:pPr>
        <w:pStyle w:val="BookText"/>
      </w:pPr>
      <w:r>
        <w:rPr>
          <w:rFonts w:ascii="Amiri" w:hAnsi="Amiri" w:eastAsia="Amiri" w:cs="Amiri"/>
          <w:lang w:bidi="ar-SA"/>
          <w:color w:val="111111"/>
          <w:sz w:val="28"/>
          <w:szCs w:val="28"/>
          <w:rtl/>
        </w:rPr>
        <w:t xml:space="preserve">حنظلي ، عبدالله بن مبارك- ابن مبارك</w:t>
      </w:r>
    </w:p>
    <w:p>
      <w:pPr>
        <w:pStyle w:val="BookText"/>
      </w:pPr>
      <w:r>
        <w:rPr>
          <w:rFonts w:ascii="Amiri" w:hAnsi="Amiri" w:eastAsia="Amiri" w:cs="Amiri"/>
          <w:lang w:bidi="ar-SA"/>
          <w:color w:val="111111"/>
          <w:sz w:val="28"/>
          <w:szCs w:val="28"/>
          <w:rtl/>
        </w:rPr>
        <w:t xml:space="preserve">عبدالله بن مبارك</w:t>
      </w:r>
    </w:p>
    <w:p>
      <w:pPr>
        <w:pStyle w:val="BookText"/>
      </w:pPr>
      <w:r>
        <w:rPr>
          <w:rFonts w:ascii="Amiri" w:hAnsi="Amiri" w:eastAsia="Amiri" w:cs="Amiri"/>
          <w:lang w:bidi="ar-SA"/>
          <w:color w:val="111111"/>
          <w:sz w:val="28"/>
          <w:szCs w:val="28"/>
          <w:rtl/>
        </w:rPr>
        <w:t xml:space="preserve">حنظلي ، محمّد بن ادريس -رازي ، محمّد</w:t>
      </w:r>
    </w:p>
    <w:p>
      <w:pPr>
        <w:pStyle w:val="BookText"/>
      </w:pPr>
      <w:r>
        <w:rPr>
          <w:rFonts w:ascii="Amiri" w:hAnsi="Amiri" w:eastAsia="Amiri" w:cs="Amiri"/>
          <w:lang w:bidi="ar-SA"/>
          <w:color w:val="111111"/>
          <w:sz w:val="28"/>
          <w:szCs w:val="28"/>
          <w:rtl/>
        </w:rPr>
        <w:t xml:space="preserve">بن ادريس</w:t>
      </w:r>
    </w:p>
    <w:p>
      <w:pPr>
        <w:pStyle w:val="Heading2"/>
      </w:pPr>
      <w:bookmarkStart w:id="3962" w:name="_Toc3064"/>
      <w:r>
        <w:t>حنفي</w:t>
      </w:r>
      <w:bookmarkEnd w:id="3962"/>
    </w:p>
    <w:p>
      <w:pPr>
        <w:pStyle w:val="BookText"/>
      </w:pPr>
      <w:r>
        <w:rPr>
          <w:rFonts w:ascii="Amiri" w:hAnsi="Amiri" w:eastAsia="Amiri" w:cs="Amiri"/>
          <w:lang w:bidi="ar-SA"/>
          <w:color w:val="111111"/>
          <w:sz w:val="28"/>
          <w:szCs w:val="28"/>
          <w:rtl/>
        </w:rPr>
        <w:t xml:space="preserve">شرح الاربعين حديثا، ج9، ص 171</w:t>
      </w:r>
    </w:p>
    <w:p>
      <w:pPr>
        <w:pStyle w:val="BookText"/>
      </w:pPr>
      <w:r>
        <w:rPr>
          <w:rFonts w:ascii="Amiri" w:hAnsi="Amiri" w:eastAsia="Amiri" w:cs="Amiri"/>
          <w:lang w:bidi="ar-SA"/>
          <w:color w:val="111111"/>
          <w:sz w:val="28"/>
          <w:szCs w:val="28"/>
          <w:rtl/>
        </w:rPr>
        <w:t xml:space="preserve">شرح قصيدة البردة، ج 9، ص 851.</w:t>
      </w:r>
    </w:p>
    <w:p>
      <w:pPr>
        <w:pStyle w:val="BookText"/>
      </w:pPr>
      <w:r>
        <w:rPr>
          <w:rFonts w:ascii="Amiri" w:hAnsi="Amiri" w:eastAsia="Amiri" w:cs="Amiri"/>
          <w:lang w:bidi="ar-SA"/>
          <w:color w:val="111111"/>
          <w:sz w:val="28"/>
          <w:szCs w:val="28"/>
          <w:rtl/>
        </w:rPr>
        <w:t xml:space="preserve">حنفي ، ابراهيم بن حسن -احسائي ،</w:t>
      </w:r>
    </w:p>
    <w:p>
      <w:pPr>
        <w:pStyle w:val="BookText"/>
      </w:pPr>
      <w:r>
        <w:rPr>
          <w:rFonts w:ascii="IRNazanin" w:hAnsi="IRNazanin" w:eastAsia="IRNazanin" w:cs="IRNazanin"/>
          <w:lang w:bidi="fa-IR"/>
          <w:color w:val="111111"/>
          <w:sz w:val="28"/>
          <w:szCs w:val="28"/>
          <w:rtl/>
        </w:rPr>
        <w:t xml:space="preserve">حنفي ، ابراهيم بن مصطفی- شیخ زاده ،</w:t>
      </w:r>
    </w:p>
    <w:p>
      <w:pPr>
        <w:pStyle w:val="BookText"/>
      </w:pPr>
      <w:r>
        <w:rPr>
          <w:rFonts w:ascii="Amiri" w:hAnsi="Amiri" w:eastAsia="Amiri" w:cs="Amiri"/>
          <w:lang w:bidi="ar-SA"/>
          <w:color w:val="111111"/>
          <w:sz w:val="28"/>
          <w:szCs w:val="28"/>
          <w:rtl/>
        </w:rPr>
        <w:t xml:space="preserve">ابراهيم بن قره مصطفى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3" w:name="pg7742_70261"/>
    <w:bookmarkEnd w:id="433"/>
    <w:p>
      <w:pPr>
        <w:pStyle w:val="Heading2"/>
      </w:pPr>
      <w:bookmarkStart w:id="3963" w:name="_Toc3065"/>
      <w:r>
        <w:t>حنفي ، ابوبكر بن ايوب</w:t>
      </w:r>
      <w:bookmarkEnd w:id="3963"/>
    </w:p>
    <w:p>
      <w:pPr>
        <w:pStyle w:val="BookText"/>
      </w:pPr>
      <w:r>
        <w:rPr>
          <w:rFonts w:ascii="IRNazanin" w:hAnsi="IRNazanin" w:eastAsia="IRNazanin" w:cs="IRNazanin"/>
          <w:lang w:bidi="fa-IR"/>
          <w:color w:val="111111"/>
          <w:sz w:val="28"/>
          <w:szCs w:val="28"/>
          <w:rtl/>
        </w:rPr>
        <w:t xml:space="preserve">شرح دیوان علقمة الفحل، ج9،</w:t>
      </w:r>
    </w:p>
    <w:p>
      <w:pPr>
        <w:pStyle w:val="BookText"/>
      </w:pPr>
      <w:r>
        <w:rPr>
          <w:rFonts w:ascii="IRNazanin" w:hAnsi="IRNazanin" w:eastAsia="IRNazanin" w:cs="IRNazanin"/>
          <w:lang w:bidi="fa-IR"/>
          <w:color w:val="111111"/>
          <w:sz w:val="28"/>
          <w:szCs w:val="28"/>
          <w:rtl/>
        </w:rPr>
        <w:t xml:space="preserve">ص 490 .</w:t>
      </w:r>
    </w:p>
    <w:p>
      <w:pPr>
        <w:pStyle w:val="BookText"/>
      </w:pPr>
      <w:r>
        <w:rPr>
          <w:rFonts w:ascii="Amiri" w:hAnsi="Amiri" w:eastAsia="Amiri" w:cs="Amiri"/>
          <w:lang w:bidi="ar-SA"/>
          <w:color w:val="111111"/>
          <w:sz w:val="28"/>
          <w:szCs w:val="28"/>
          <w:rtl/>
        </w:rPr>
        <w:t xml:space="preserve">حنفي احساني ، محمّد بن عبدالرحيم ابراهيم - صمدي ، محمّد بن عبدالرحيم</w:t>
      </w:r>
    </w:p>
    <w:p>
      <w:pPr>
        <w:pStyle w:val="Heading2"/>
      </w:pPr>
      <w:bookmarkStart w:id="3964" w:name="_Toc3066"/>
      <w:r>
        <w:t>حنفي ، احمد بن محمّد - 561 ه-</w:t>
      </w:r>
      <w:bookmarkEnd w:id="3964"/>
    </w:p>
    <w:p>
      <w:pPr>
        <w:pStyle w:val="BookText"/>
      </w:pPr>
      <w:r>
        <w:rPr>
          <w:rFonts w:ascii="IRNazanin" w:hAnsi="IRNazanin" w:eastAsia="IRNazanin" w:cs="IRNazanin"/>
          <w:lang w:bidi="fa-IR"/>
          <w:color w:val="111111"/>
          <w:sz w:val="28"/>
          <w:szCs w:val="28"/>
          <w:rtl/>
        </w:rPr>
        <w:t xml:space="preserve">خزانة الفتاوی = مختصر مجمع الفتاوى، ج 7، ص 21.</w:t>
      </w:r>
    </w:p>
    <w:p>
      <w:pPr>
        <w:pStyle w:val="BookText"/>
      </w:pPr>
      <w:r>
        <w:rPr>
          <w:rFonts w:ascii="Amiri" w:hAnsi="Amiri" w:eastAsia="Amiri" w:cs="Amiri"/>
          <w:lang w:bidi="ar-SA"/>
          <w:color w:val="111111"/>
          <w:sz w:val="28"/>
          <w:szCs w:val="28"/>
          <w:rtl/>
        </w:rPr>
        <w:t xml:space="preserve">حنفي بخاري ، الله يار بن الله قلي- صوفي الله يار بن الله قلي</w:t>
      </w:r>
    </w:p>
    <w:p>
      <w:pPr>
        <w:pStyle w:val="Heading2"/>
      </w:pPr>
      <w:bookmarkStart w:id="3965" w:name="_Toc3067"/>
      <w:r>
        <w:t>حنفي تبريزي ، شمس الدین محمّد قرن 10ه-</w:t>
      </w:r>
      <w:bookmarkEnd w:id="3965"/>
    </w:p>
    <w:p>
      <w:pPr>
        <w:pStyle w:val="BookText"/>
      </w:pPr>
      <w:r>
        <w:rPr>
          <w:rFonts w:ascii="Amiri" w:hAnsi="Amiri" w:eastAsia="Amiri" w:cs="Amiri"/>
          <w:lang w:bidi="ar-SA"/>
          <w:color w:val="111111"/>
          <w:sz w:val="28"/>
          <w:szCs w:val="28"/>
          <w:rtl/>
        </w:rPr>
        <w:t xml:space="preserve">1 .تحقيق العلم = تقسيم العلم بالتصور و التصديق، ج 4 ، ص 63 .</w:t>
      </w:r>
    </w:p>
    <w:p>
      <w:pPr>
        <w:pStyle w:val="BookText"/>
      </w:pPr>
      <w:r>
        <w:rPr>
          <w:rFonts w:ascii="Amiri" w:hAnsi="Amiri" w:eastAsia="Amiri" w:cs="Amiri"/>
          <w:lang w:bidi="ar-SA"/>
          <w:color w:val="111111"/>
          <w:sz w:val="28"/>
          <w:szCs w:val="28"/>
          <w:rtl/>
        </w:rPr>
        <w:t xml:space="preserve">2 .التناقض (رسالة في)، ج 5، ص 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الجوهر الفرد رسالة في)، جه،</w:t>
      </w:r>
    </w:p>
    <w:p>
      <w:pPr>
        <w:pStyle w:val="BookText"/>
      </w:pPr>
      <w:r>
        <w:rPr>
          <w:rFonts w:ascii="IRNazanin" w:hAnsi="IRNazanin" w:eastAsia="IRNazanin" w:cs="IRNazanin"/>
          <w:lang w:bidi="fa-IR"/>
          <w:color w:val="111111"/>
          <w:sz w:val="28"/>
          <w:szCs w:val="28"/>
          <w:rtl/>
        </w:rPr>
        <w:t xml:space="preserve">ص 622 .</w:t>
      </w:r>
    </w:p>
    <w:p>
      <w:pPr>
        <w:pStyle w:val="BookText"/>
      </w:pPr>
      <w:r>
        <w:rPr>
          <w:rFonts w:ascii="Amiri" w:hAnsi="Amiri" w:eastAsia="Amiri" w:cs="Amiri"/>
          <w:lang w:bidi="ar-SA"/>
          <w:color w:val="111111"/>
          <w:sz w:val="28"/>
          <w:szCs w:val="28"/>
          <w:rtl/>
        </w:rPr>
        <w:t xml:space="preserve">4 .حاشية اثبات الواجب القديم، ج5،</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Amiri" w:hAnsi="Amiri" w:eastAsia="Amiri" w:cs="Amiri"/>
          <w:lang w:bidi="ar-SA"/>
          <w:color w:val="111111"/>
          <w:sz w:val="28"/>
          <w:szCs w:val="28"/>
          <w:rtl/>
        </w:rPr>
        <w:t xml:space="preserve">5 .حاشية تجريد الاعتقاد، ج5،</w:t>
      </w:r>
    </w:p>
    <w:p>
      <w:pPr>
        <w:pStyle w:val="BookText"/>
      </w:pPr>
      <w:r>
        <w:rPr>
          <w:rFonts w:ascii="IRNazanin" w:hAnsi="IRNazanin" w:eastAsia="IRNazanin" w:cs="IRNazanin"/>
          <w:lang w:bidi="fa-IR"/>
          <w:color w:val="111111"/>
          <w:sz w:val="28"/>
          <w:szCs w:val="28"/>
          <w:rtl/>
        </w:rPr>
        <w:t xml:space="preserve">ص 713.</w:t>
      </w:r>
    </w:p>
    <w:p>
      <w:pPr>
        <w:pStyle w:val="BookText"/>
      </w:pPr>
      <w:r>
        <w:rPr>
          <w:rFonts w:ascii="Amiri" w:hAnsi="Amiri" w:eastAsia="Amiri" w:cs="Amiri"/>
          <w:lang w:bidi="ar-SA"/>
          <w:color w:val="111111"/>
          <w:sz w:val="28"/>
          <w:szCs w:val="28"/>
          <w:rtl/>
        </w:rPr>
        <w:t xml:space="preserve">6 .حاشية شرح آداب البحث العضدية</w:t>
      </w:r>
    </w:p>
    <w:p>
      <w:pPr>
        <w:pStyle w:val="BookText"/>
      </w:pPr>
      <w:r>
        <w:rPr>
          <w:rFonts w:ascii="IRNazanin" w:hAnsi="IRNazanin" w:eastAsia="IRNazanin" w:cs="IRNazanin"/>
          <w:lang w:bidi="fa-IR"/>
          <w:color w:val="111111"/>
          <w:sz w:val="28"/>
          <w:szCs w:val="28"/>
          <w:rtl/>
        </w:rPr>
        <w:t xml:space="preserve">ج 6، ص 27.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حاشية شرح الايساغوجي = حاشية</w:t>
      </w:r>
    </w:p>
    <w:p>
      <w:pPr>
        <w:pStyle w:val="BookText"/>
      </w:pPr>
      <w:r>
        <w:rPr>
          <w:rFonts w:ascii="Amiri" w:hAnsi="Amiri" w:eastAsia="Amiri" w:cs="Amiri"/>
          <w:lang w:bidi="ar-SA"/>
          <w:color w:val="111111"/>
          <w:sz w:val="28"/>
          <w:szCs w:val="28"/>
          <w:rtl/>
        </w:rPr>
        <w:t xml:space="preserve">البردعي، ج 6 ، ص 45 .</w:t>
      </w:r>
    </w:p>
    <w:p>
      <w:pPr>
        <w:pStyle w:val="BookText"/>
      </w:pPr>
      <w:r>
        <w:rPr>
          <w:rFonts w:ascii="Amiri" w:hAnsi="Amiri" w:eastAsia="Amiri" w:cs="Amiri"/>
          <w:lang w:bidi="ar-SA"/>
          <w:color w:val="111111"/>
          <w:sz w:val="28"/>
          <w:szCs w:val="28"/>
          <w:rtl/>
        </w:rPr>
        <w:t xml:space="preserve">8 .حاشية لوامع الاسرار في شرح مطالع</w:t>
      </w:r>
    </w:p>
    <w:p>
      <w:pPr>
        <w:pStyle w:val="BookText"/>
      </w:pPr>
      <w:r>
        <w:rPr>
          <w:rFonts w:ascii="IRNazanin" w:hAnsi="IRNazanin" w:eastAsia="IRNazanin" w:cs="IRNazanin"/>
          <w:lang w:bidi="fa-IR"/>
          <w:color w:val="111111"/>
          <w:sz w:val="28"/>
          <w:szCs w:val="28"/>
          <w:rtl/>
        </w:rPr>
        <w:t xml:space="preserve">الانوار، ج 6 ، ص 346 .</w:t>
      </w:r>
    </w:p>
    <w:p>
      <w:pPr>
        <w:pStyle w:val="BookText"/>
      </w:pPr>
      <w:r>
        <w:rPr>
          <w:rFonts w:ascii="Amiri" w:hAnsi="Amiri" w:eastAsia="Amiri" w:cs="Amiri"/>
          <w:lang w:bidi="ar-SA"/>
          <w:color w:val="111111"/>
          <w:sz w:val="28"/>
          <w:szCs w:val="28"/>
          <w:rtl/>
        </w:rPr>
        <w:t xml:space="preserve">9 .الدلالات( رسالة في)، ج 7، ص 462.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الرسالة الحنفية في علم الآداب = شرح آداب البحث، ج8، ص191.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عدم النقيض للتصور = التصور لا</w:t>
      </w:r>
    </w:p>
    <w:p>
      <w:pPr>
        <w:pStyle w:val="BookText"/>
      </w:pPr>
      <w:r>
        <w:rPr>
          <w:rFonts w:ascii="Amiri" w:hAnsi="Amiri" w:eastAsia="Amiri" w:cs="Amiri"/>
          <w:lang w:bidi="ar-SA"/>
          <w:color w:val="111111"/>
          <w:sz w:val="28"/>
          <w:szCs w:val="28"/>
          <w:rtl/>
        </w:rPr>
        <w:t xml:space="preserve">نقيض له، ج 11 ، ص 69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المصدر (رسالة في)، ج 14 ، ص 743 .</w:t>
      </w:r>
    </w:p>
    <w:p>
      <w:pPr>
        <w:pStyle w:val="BookText"/>
      </w:pPr>
      <w:r>
        <w:rPr>
          <w:rFonts w:ascii="Amiri" w:hAnsi="Amiri" w:eastAsia="Amiri" w:cs="Amiri"/>
          <w:lang w:bidi="ar-SA"/>
          <w:color w:val="111111"/>
          <w:sz w:val="28"/>
          <w:szCs w:val="28"/>
          <w:rtl/>
        </w:rPr>
        <w:t xml:space="preserve">13 .النقيض، ج 16، ص 455.</w:t>
      </w:r>
    </w:p>
    <w:p>
      <w:pPr>
        <w:pStyle w:val="BookText"/>
      </w:pPr>
      <w:r>
        <w:rPr>
          <w:rFonts w:ascii="Amiri" w:hAnsi="Amiri" w:eastAsia="Amiri" w:cs="Amiri"/>
          <w:lang w:bidi="ar-SA"/>
          <w:color w:val="111111"/>
          <w:sz w:val="28"/>
          <w:szCs w:val="28"/>
          <w:rtl/>
        </w:rPr>
        <w:t xml:space="preserve">حنفي تركماني ، محمّد بن احمد- تركماني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حنفي ، حسين بن اسکندر- ابن اسکندر</w:t>
      </w:r>
    </w:p>
    <w:p>
      <w:pPr>
        <w:pStyle w:val="BookText"/>
      </w:pPr>
      <w:r>
        <w:rPr>
          <w:rFonts w:ascii="Amiri" w:hAnsi="Amiri" w:eastAsia="Amiri" w:cs="Amiri"/>
          <w:lang w:bidi="ar-SA"/>
          <w:color w:val="111111"/>
          <w:sz w:val="28"/>
          <w:szCs w:val="28"/>
          <w:rtl/>
        </w:rPr>
        <w:t xml:space="preserve">حسين بن اسكندر</w:t>
      </w:r>
    </w:p>
    <w:p>
      <w:pPr>
        <w:pStyle w:val="Heading2"/>
      </w:pPr>
      <w:bookmarkStart w:id="3966" w:name="_Toc3068"/>
      <w:r>
        <w:t>حنفي خوشابي ، مهدي</w:t>
      </w:r>
      <w:bookmarkEnd w:id="3966"/>
    </w:p>
    <w:p>
      <w:pPr>
        <w:pStyle w:val="BookText"/>
      </w:pPr>
      <w:r>
        <w:rPr>
          <w:rFonts w:ascii="IRNazanin" w:hAnsi="IRNazanin" w:eastAsia="IRNazanin" w:cs="IRNazanin"/>
          <w:lang w:bidi="fa-IR"/>
          <w:color w:val="111111"/>
          <w:sz w:val="28"/>
          <w:szCs w:val="28"/>
          <w:rtl/>
        </w:rPr>
        <w:t xml:space="preserve">شرح مراح الارواح، ج 10، ص133.</w:t>
      </w:r>
    </w:p>
    <w:p>
      <w:pPr>
        <w:pStyle w:val="Heading2"/>
      </w:pPr>
      <w:bookmarkStart w:id="3967" w:name="_Toc3069"/>
      <w:r>
        <w:t>حنفي ، رمضان بن محمّد - 1025 ه-</w:t>
      </w:r>
      <w:bookmarkEnd w:id="3967"/>
    </w:p>
    <w:p>
      <w:pPr>
        <w:pStyle w:val="BookText"/>
      </w:pPr>
      <w:r>
        <w:rPr>
          <w:rFonts w:ascii="Amiri" w:hAnsi="Amiri" w:eastAsia="Amiri" w:cs="Amiri"/>
          <w:lang w:bidi="ar-SA"/>
          <w:color w:val="111111"/>
          <w:sz w:val="28"/>
          <w:szCs w:val="28"/>
          <w:rtl/>
        </w:rPr>
        <w:t xml:space="preserve">حاشية شرح العقائد النسفية، ج 6،</w:t>
      </w:r>
    </w:p>
    <w:p>
      <w:pPr>
        <w:pStyle w:val="BookText"/>
      </w:pPr>
      <w:r>
        <w:rPr>
          <w:rFonts w:ascii="IRNazanin" w:hAnsi="IRNazanin" w:eastAsia="IRNazanin" w:cs="IRNazanin"/>
          <w:lang w:bidi="fa-IR"/>
          <w:color w:val="111111"/>
          <w:sz w:val="28"/>
          <w:szCs w:val="28"/>
          <w:rtl/>
        </w:rPr>
        <w:t xml:space="preserve">ص 151.</w:t>
      </w:r>
    </w:p>
    <w:p>
      <w:pPr>
        <w:pStyle w:val="Heading2"/>
      </w:pPr>
      <w:bookmarkStart w:id="3968" w:name="_Toc3070"/>
      <w:r>
        <w:t>حنفي ، رمضان بن موسى</w:t>
      </w:r>
      <w:bookmarkEnd w:id="3968"/>
    </w:p>
    <w:p>
      <w:pPr>
        <w:pStyle w:val="BookText"/>
      </w:pPr>
      <w:r>
        <w:rPr>
          <w:rFonts w:ascii="IRNazanin" w:hAnsi="IRNazanin" w:eastAsia="IRNazanin" w:cs="IRNazanin"/>
          <w:lang w:bidi="fa-IR"/>
          <w:color w:val="111111"/>
          <w:sz w:val="28"/>
          <w:szCs w:val="28"/>
          <w:rtl/>
        </w:rPr>
        <w:t xml:space="preserve">الصبوح، ج 10، ص 482 .</w:t>
      </w:r>
    </w:p>
    <w:p>
      <w:pPr>
        <w:pStyle w:val="Heading2"/>
      </w:pPr>
      <w:bookmarkStart w:id="3969" w:name="_Toc3071"/>
      <w:r>
        <w:t>حنفي، زين الدين</w:t>
      </w:r>
      <w:bookmarkEnd w:id="3969"/>
    </w:p>
    <w:p>
      <w:pPr>
        <w:pStyle w:val="BookText"/>
      </w:pPr>
      <w:r>
        <w:rPr>
          <w:rFonts w:ascii="Amiri" w:hAnsi="Amiri" w:eastAsia="Amiri" w:cs="Amiri"/>
          <w:lang w:bidi="ar-SA"/>
          <w:color w:val="111111"/>
          <w:sz w:val="28"/>
          <w:szCs w:val="28"/>
          <w:rtl/>
        </w:rPr>
        <w:t xml:space="preserve">حاشية نزهة النظر في توضيح نخبة الفكر، ج 6، ص 438 .</w:t>
      </w:r>
    </w:p>
    <w:p>
      <w:pPr>
        <w:pStyle w:val="Heading2"/>
      </w:pPr>
      <w:bookmarkStart w:id="3970" w:name="_Toc3072"/>
      <w:r>
        <w:t>حنفي ، سعدي بن امين قرن 13 ه-</w:t>
      </w:r>
      <w:bookmarkEnd w:id="3970"/>
    </w:p>
    <w:p>
      <w:pPr>
        <w:pStyle w:val="BookText"/>
      </w:pPr>
      <w:r>
        <w:rPr>
          <w:rFonts w:ascii="Amiri" w:hAnsi="Amiri" w:eastAsia="Amiri" w:cs="Amiri"/>
          <w:lang w:bidi="ar-SA"/>
          <w:color w:val="111111"/>
          <w:sz w:val="28"/>
          <w:szCs w:val="28"/>
          <w:rtl/>
        </w:rPr>
        <w:t xml:space="preserve">بهجة الناظر، ج3، ص 439.</w:t>
      </w:r>
    </w:p>
    <w:p>
      <w:pPr>
        <w:pStyle w:val="Heading2"/>
      </w:pPr>
      <w:bookmarkStart w:id="3971" w:name="_Toc3073"/>
      <w:r>
        <w:t>حنفي ، شهاب الدین احمد - 862 ه-</w:t>
      </w:r>
      <w:bookmarkEnd w:id="3971"/>
    </w:p>
    <w:p>
      <w:pPr>
        <w:pStyle w:val="BookText"/>
      </w:pPr>
      <w:r>
        <w:rPr>
          <w:rFonts w:ascii="Amiri" w:hAnsi="Amiri" w:eastAsia="Amiri" w:cs="Amiri"/>
          <w:lang w:bidi="ar-SA"/>
          <w:color w:val="111111"/>
          <w:sz w:val="28"/>
          <w:szCs w:val="28"/>
          <w:rtl/>
        </w:rPr>
        <w:t xml:space="preserve">زهر الحديقة في الاطعمة الانيقة، ج8،</w:t>
      </w:r>
    </w:p>
    <w:p>
      <w:pPr>
        <w:pStyle w:val="BookText"/>
      </w:pPr>
      <w:r>
        <w:rPr>
          <w:rFonts w:ascii="IRNazanin" w:hAnsi="IRNazanin" w:eastAsia="IRNazanin" w:cs="IRNazanin"/>
          <w:lang w:bidi="fa-IR"/>
          <w:color w:val="111111"/>
          <w:sz w:val="28"/>
          <w:szCs w:val="28"/>
          <w:rtl/>
        </w:rPr>
        <w:t xml:space="preserve">ص 624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4" w:name="pg7742_70263"/>
    <w:bookmarkEnd w:id="434"/>
    <w:p>
      <w:pPr>
        <w:pStyle w:val="BookText"/>
      </w:pPr>
      <w:r>
        <w:rPr>
          <w:rFonts w:ascii="Amiri" w:hAnsi="Amiri" w:eastAsia="Amiri" w:cs="Amiri"/>
          <w:lang w:bidi="ar-SA"/>
          <w:color w:val="111111"/>
          <w:sz w:val="28"/>
          <w:szCs w:val="28"/>
          <w:rtl/>
        </w:rPr>
        <w:t xml:space="preserve">حنفي ، صالح بن عبد القادر -موصلي</w:t>
      </w:r>
    </w:p>
    <w:p>
      <w:pPr>
        <w:pStyle w:val="BookText"/>
      </w:pPr>
      <w:r>
        <w:rPr>
          <w:rFonts w:ascii="IRNazanin" w:hAnsi="IRNazanin" w:eastAsia="IRNazanin" w:cs="IRNazanin"/>
          <w:lang w:bidi="fa-IR"/>
          <w:color w:val="111111"/>
          <w:sz w:val="28"/>
          <w:szCs w:val="28"/>
          <w:rtl/>
        </w:rPr>
        <w:t xml:space="preserve">صالح بن عبد القادر</w:t>
      </w:r>
    </w:p>
    <w:p>
      <w:pPr>
        <w:pStyle w:val="Heading2"/>
      </w:pPr>
      <w:bookmarkStart w:id="3972" w:name="_Toc3074"/>
      <w:r>
        <w:t>حنفي ، عبدالرحمن بن ابراهيم</w:t>
      </w:r>
      <w:bookmarkEnd w:id="3972"/>
    </w:p>
    <w:p>
      <w:pPr>
        <w:pStyle w:val="BookText"/>
      </w:pPr>
      <w:r>
        <w:rPr>
          <w:rFonts w:ascii="Amiri" w:hAnsi="Amiri" w:eastAsia="Amiri" w:cs="Amiri"/>
          <w:lang w:bidi="ar-SA"/>
          <w:color w:val="111111"/>
          <w:sz w:val="28"/>
          <w:szCs w:val="28"/>
          <w:rtl/>
        </w:rPr>
        <w:t xml:space="preserve">نثر اللآلي، ج 16، ص 142.</w:t>
      </w:r>
    </w:p>
    <w:p>
      <w:pPr>
        <w:pStyle w:val="Heading2"/>
      </w:pPr>
      <w:bookmarkStart w:id="3973" w:name="_Toc3075"/>
      <w:r>
        <w:t>حنفي ، عبد الصمد بن عبدالغفار</w:t>
      </w:r>
      <w:bookmarkEnd w:id="3973"/>
    </w:p>
    <w:p>
      <w:pPr>
        <w:pStyle w:val="BookText"/>
      </w:pPr>
      <w:r>
        <w:rPr>
          <w:rFonts w:ascii="IRNazanin" w:hAnsi="IRNazanin" w:eastAsia="IRNazanin" w:cs="IRNazanin"/>
          <w:lang w:bidi="fa-IR"/>
          <w:color w:val="111111"/>
          <w:sz w:val="28"/>
          <w:szCs w:val="28"/>
          <w:rtl/>
        </w:rPr>
        <w:t xml:space="preserve">فتوى بشأن السماع، ج11، ص717.</w:t>
      </w:r>
    </w:p>
    <w:p>
      <w:pPr>
        <w:pStyle w:val="BookText"/>
      </w:pPr>
      <w:r>
        <w:rPr>
          <w:rFonts w:ascii="Amiri" w:hAnsi="Amiri" w:eastAsia="Amiri" w:cs="Amiri"/>
          <w:lang w:bidi="ar-SA"/>
          <w:color w:val="111111"/>
          <w:sz w:val="28"/>
          <w:szCs w:val="28"/>
          <w:rtl/>
        </w:rPr>
        <w:t xml:space="preserve">حنفي ، علاء الدين بن علي- علاء الدين</w:t>
      </w:r>
    </w:p>
    <w:p>
      <w:pPr>
        <w:pStyle w:val="BookText"/>
      </w:pPr>
      <w:r>
        <w:rPr>
          <w:rFonts w:ascii="Amiri" w:hAnsi="Amiri" w:eastAsia="Amiri" w:cs="Amiri"/>
          <w:lang w:bidi="ar-SA"/>
          <w:color w:val="111111"/>
          <w:sz w:val="28"/>
          <w:szCs w:val="28"/>
          <w:rtl/>
        </w:rPr>
        <w:t xml:space="preserve">بن علي حنفي</w:t>
      </w:r>
    </w:p>
    <w:p>
      <w:pPr>
        <w:pStyle w:val="BookText"/>
      </w:pPr>
      <w:r>
        <w:rPr>
          <w:rFonts w:ascii="Amiri" w:hAnsi="Amiri" w:eastAsia="Amiri" w:cs="Amiri"/>
          <w:lang w:bidi="ar-SA"/>
          <w:color w:val="111111"/>
          <w:sz w:val="28"/>
          <w:szCs w:val="28"/>
          <w:rtl/>
        </w:rPr>
        <w:t xml:space="preserve">حنفي ، علي بن علي -ابن ابي العز ، علي</w:t>
      </w:r>
    </w:p>
    <w:p>
      <w:pPr>
        <w:pStyle w:val="BookText"/>
      </w:pPr>
      <w:r>
        <w:rPr>
          <w:rFonts w:ascii="Amiri" w:hAnsi="Amiri" w:eastAsia="Amiri" w:cs="Amiri"/>
          <w:lang w:bidi="ar-SA"/>
          <w:color w:val="111111"/>
          <w:sz w:val="28"/>
          <w:szCs w:val="28"/>
          <w:rtl/>
        </w:rPr>
        <w:t xml:space="preserve">بن علي</w:t>
      </w:r>
    </w:p>
    <w:p>
      <w:pPr>
        <w:pStyle w:val="Heading2"/>
      </w:pPr>
      <w:bookmarkStart w:id="3974" w:name="_Toc3076"/>
      <w:r>
        <w:t>حنفي قره باغي ، محمّد - 900 ه- ت</w:t>
      </w:r>
      <w:bookmarkEnd w:id="3974"/>
    </w:p>
    <w:p>
      <w:pPr>
        <w:pStyle w:val="BookText"/>
      </w:pPr>
      <w:r>
        <w:rPr>
          <w:rFonts w:ascii="Amiri" w:hAnsi="Amiri" w:eastAsia="Amiri" w:cs="Amiri"/>
          <w:lang w:bidi="ar-SA"/>
          <w:color w:val="111111"/>
          <w:sz w:val="28"/>
          <w:szCs w:val="28"/>
          <w:rtl/>
        </w:rPr>
        <w:t xml:space="preserve">عليق على حاشية شرح الشمسية</w:t>
      </w:r>
    </w:p>
    <w:p>
      <w:pPr>
        <w:pStyle w:val="BookText"/>
      </w:pPr>
      <w:r>
        <w:rPr>
          <w:rFonts w:ascii="Amiri" w:hAnsi="Amiri" w:eastAsia="Amiri" w:cs="Amiri"/>
          <w:lang w:bidi="ar-SA"/>
          <w:color w:val="111111"/>
          <w:sz w:val="28"/>
          <w:szCs w:val="28"/>
          <w:rtl/>
        </w:rPr>
        <w:t xml:space="preserve">للسيد الشريف، ج 4، ص 545.</w:t>
      </w:r>
    </w:p>
    <w:p>
      <w:pPr>
        <w:pStyle w:val="BookText"/>
      </w:pPr>
      <w:r>
        <w:rPr>
          <w:rFonts w:ascii="Amiri" w:hAnsi="Amiri" w:eastAsia="Amiri" w:cs="Amiri"/>
          <w:lang w:bidi="ar-SA"/>
          <w:color w:val="111111"/>
          <w:sz w:val="28"/>
          <w:szCs w:val="28"/>
          <w:rtl/>
        </w:rPr>
        <w:t xml:space="preserve">حنفي ، قطب الدين- نهروالي ، محمّد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3975" w:name="_Toc3077"/>
      <w:r>
        <w:t>حنفي ، لطف الله، قرن 13 ه-</w:t>
      </w:r>
      <w:bookmarkEnd w:id="3975"/>
    </w:p>
    <w:p>
      <w:pPr>
        <w:pStyle w:val="BookText"/>
      </w:pPr>
      <w:r>
        <w:rPr>
          <w:rFonts w:ascii="Amiri" w:hAnsi="Amiri" w:eastAsia="Amiri" w:cs="Amiri"/>
          <w:lang w:bidi="ar-SA"/>
          <w:color w:val="111111"/>
          <w:sz w:val="28"/>
          <w:szCs w:val="28"/>
          <w:rtl/>
        </w:rPr>
        <w:t xml:space="preserve">الفوائد السنية في عبادات الحنفية</w:t>
      </w:r>
    </w:p>
    <w:p>
      <w:pPr>
        <w:pStyle w:val="BookText"/>
      </w:pPr>
      <w:r>
        <w:rPr>
          <w:rFonts w:ascii="IRNazanin" w:hAnsi="IRNazanin" w:eastAsia="IRNazanin" w:cs="IRNazanin"/>
          <w:lang w:bidi="fa-IR"/>
          <w:color w:val="111111"/>
          <w:sz w:val="28"/>
          <w:szCs w:val="28"/>
          <w:rtl/>
        </w:rPr>
        <w:t xml:space="preserve">ج 12، ص 209.</w:t>
      </w:r>
    </w:p>
    <w:p>
      <w:pPr>
        <w:pStyle w:val="Heading2"/>
      </w:pPr>
      <w:bookmarkStart w:id="3976" w:name="_Toc3078"/>
      <w:r>
        <w:t>حنفي ، محمّد</w:t>
      </w:r>
      <w:bookmarkEnd w:id="3976"/>
    </w:p>
    <w:p>
      <w:pPr>
        <w:pStyle w:val="BookText"/>
      </w:pPr>
      <w:r>
        <w:rPr>
          <w:rFonts w:ascii="Amiri" w:hAnsi="Amiri" w:eastAsia="Amiri" w:cs="Amiri"/>
          <w:lang w:bidi="ar-SA"/>
          <w:color w:val="111111"/>
          <w:sz w:val="28"/>
          <w:szCs w:val="28"/>
          <w:rtl/>
        </w:rPr>
        <w:t xml:space="preserve">الطرق الموضحة، ج 10، ص 815.</w:t>
      </w:r>
    </w:p>
    <w:p>
      <w:pPr>
        <w:pStyle w:val="Heading2"/>
      </w:pPr>
      <w:bookmarkStart w:id="3977" w:name="_Toc3079"/>
      <w:r>
        <w:t>حنفي ، محمّد بن عبدالرحيم</w:t>
      </w:r>
      <w:bookmarkEnd w:id="3977"/>
    </w:p>
    <w:p>
      <w:pPr>
        <w:pStyle w:val="BookText"/>
      </w:pPr>
      <w:r>
        <w:rPr>
          <w:rFonts w:ascii="Amiri" w:hAnsi="Amiri" w:eastAsia="Amiri" w:cs="Amiri"/>
          <w:lang w:bidi="ar-SA"/>
          <w:color w:val="111111"/>
          <w:sz w:val="28"/>
          <w:szCs w:val="28"/>
          <w:rtl/>
        </w:rPr>
        <w:t xml:space="preserve">الفواتح العرفية في شرح المنظومة العمريطية، ج 12، ص 296.</w:t>
      </w:r>
    </w:p>
    <w:p>
      <w:pPr>
        <w:pStyle w:val="BookText"/>
      </w:pPr>
      <w:r>
        <w:rPr>
          <w:rFonts w:ascii="Amiri" w:hAnsi="Amiri" w:eastAsia="Amiri" w:cs="Amiri"/>
          <w:lang w:bidi="ar-SA"/>
          <w:color w:val="111111"/>
          <w:sz w:val="28"/>
          <w:szCs w:val="28"/>
          <w:rtl/>
        </w:rPr>
        <w:t xml:space="preserve">حنفي ، محمّد بن عبد القادر- ابو الطيب</w:t>
      </w:r>
    </w:p>
    <w:p>
      <w:pPr>
        <w:pStyle w:val="BookText"/>
      </w:pPr>
      <w:r>
        <w:rPr>
          <w:rFonts w:ascii="IRNazanin" w:hAnsi="IRNazanin" w:eastAsia="IRNazanin" w:cs="IRNazanin"/>
          <w:lang w:bidi="fa-IR"/>
          <w:color w:val="111111"/>
          <w:sz w:val="28"/>
          <w:szCs w:val="28"/>
          <w:rtl/>
        </w:rPr>
        <w:t xml:space="preserve">محمّد بن عبد القادر</w:t>
      </w:r>
    </w:p>
    <w:p>
      <w:pPr>
        <w:pStyle w:val="Heading2"/>
      </w:pPr>
      <w:bookmarkStart w:id="3978" w:name="_Toc3080"/>
      <w:r>
        <w:t>حنفي ، محمّد بن عبدالله قرن 10 ه-</w:t>
      </w:r>
      <w:bookmarkEnd w:id="3978"/>
    </w:p>
    <w:p>
      <w:pPr>
        <w:pStyle w:val="BookText"/>
      </w:pPr>
      <w:r>
        <w:rPr>
          <w:rFonts w:ascii="IRNazanin" w:hAnsi="IRNazanin" w:eastAsia="IRNazanin" w:cs="IRNazanin"/>
          <w:lang w:bidi="fa-IR"/>
          <w:color w:val="111111"/>
          <w:sz w:val="28"/>
          <w:szCs w:val="28"/>
          <w:rtl/>
        </w:rPr>
        <w:t xml:space="preserve">الفتاوى، ج 11، ص 601.</w:t>
      </w:r>
    </w:p>
    <w:p>
      <w:pPr>
        <w:pStyle w:val="Heading2"/>
      </w:pPr>
      <w:bookmarkStart w:id="3979" w:name="_Toc3081"/>
      <w:r>
        <w:t>حنفي ، محمّد بن محمّد قرن 10 ه-</w:t>
      </w:r>
      <w:bookmarkEnd w:id="3979"/>
    </w:p>
    <w:p>
      <w:pPr>
        <w:pStyle w:val="BookText"/>
      </w:pPr>
      <w:r>
        <w:rPr>
          <w:rFonts w:ascii="Amiri" w:hAnsi="Amiri" w:eastAsia="Amiri" w:cs="Amiri"/>
          <w:lang w:bidi="ar-SA"/>
          <w:color w:val="111111"/>
          <w:sz w:val="28"/>
          <w:szCs w:val="28"/>
          <w:rtl/>
        </w:rPr>
        <w:t xml:space="preserve">نزهة الجالس في عيون المجالس، ج 16،</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Amiri" w:hAnsi="Amiri" w:eastAsia="Amiri" w:cs="Amiri"/>
          <w:lang w:bidi="ar-SA"/>
          <w:color w:val="111111"/>
          <w:sz w:val="28"/>
          <w:szCs w:val="28"/>
          <w:rtl/>
        </w:rPr>
        <w:t xml:space="preserve">حنفي ، محمّد بن محمود بابرتي ، محمّد بن محمّد</w:t>
      </w:r>
    </w:p>
    <w:p>
      <w:pPr>
        <w:pStyle w:val="Heading2"/>
      </w:pPr>
      <w:bookmarkStart w:id="3980" w:name="_Toc3082"/>
      <w:r>
        <w:t>حنفي ، محيي الدين بن ابي بكر</w:t>
      </w:r>
      <w:bookmarkEnd w:id="3980"/>
    </w:p>
    <w:p>
      <w:pPr>
        <w:pStyle w:val="BookText"/>
      </w:pPr>
      <w:r>
        <w:rPr>
          <w:rFonts w:ascii="IRNazanin" w:hAnsi="IRNazanin" w:eastAsia="IRNazanin" w:cs="IRNazanin"/>
          <w:lang w:bidi="fa-IR"/>
          <w:color w:val="111111"/>
          <w:sz w:val="28"/>
          <w:szCs w:val="28"/>
          <w:rtl/>
        </w:rPr>
        <w:t xml:space="preserve">اهم الامور، ج 3، ص 54 .</w:t>
      </w:r>
    </w:p>
    <w:p>
      <w:pPr>
        <w:pStyle w:val="BookText"/>
      </w:pPr>
      <w:r>
        <w:rPr>
          <w:rFonts w:ascii="Amiri" w:hAnsi="Amiri" w:eastAsia="Amiri" w:cs="Amiri"/>
          <w:lang w:bidi="ar-SA"/>
          <w:color w:val="111111"/>
          <w:sz w:val="28"/>
          <w:szCs w:val="28"/>
          <w:rtl/>
        </w:rPr>
        <w:t xml:space="preserve">حنفي موصلي ، محمّد بن عثمان- موصلي</w:t>
      </w:r>
    </w:p>
    <w:p>
      <w:pPr>
        <w:pStyle w:val="BookText"/>
      </w:pPr>
      <w:r>
        <w:rPr>
          <w:rFonts w:ascii="IRNazanin" w:hAnsi="IRNazanin" w:eastAsia="IRNazanin" w:cs="IRNazanin"/>
          <w:lang w:bidi="fa-IR"/>
          <w:color w:val="111111"/>
          <w:sz w:val="28"/>
          <w:szCs w:val="28"/>
          <w:rtl/>
        </w:rPr>
        <w:t xml:space="preserve">، محمّد بن عثمان</w:t>
      </w:r>
    </w:p>
    <w:p>
      <w:pPr>
        <w:pStyle w:val="Heading2"/>
      </w:pPr>
      <w:bookmarkStart w:id="3981" w:name="_Toc3083"/>
      <w:r>
        <w:t>حنفي نيشابوري ، ابوسعيد</w:t>
      </w:r>
      <w:bookmarkEnd w:id="3981"/>
    </w:p>
    <w:p>
      <w:pPr>
        <w:pStyle w:val="BookText"/>
      </w:pPr>
      <w:r>
        <w:rPr>
          <w:rFonts w:ascii="Amiri" w:hAnsi="Amiri" w:eastAsia="Amiri" w:cs="Amiri"/>
          <w:lang w:bidi="ar-SA"/>
          <w:color w:val="111111"/>
          <w:sz w:val="28"/>
          <w:szCs w:val="28"/>
          <w:rtl/>
        </w:rPr>
        <w:t xml:space="preserve">تفسير حنفي، ج 4، ص 620.</w:t>
      </w:r>
    </w:p>
    <w:p>
      <w:pPr>
        <w:pStyle w:val="BookText"/>
      </w:pPr>
      <w:r>
        <w:rPr>
          <w:rFonts w:ascii="Amiri" w:hAnsi="Amiri" w:eastAsia="Amiri" w:cs="Amiri"/>
          <w:lang w:bidi="ar-SA"/>
          <w:color w:val="111111"/>
          <w:sz w:val="28"/>
          <w:szCs w:val="28"/>
          <w:rtl/>
        </w:rPr>
        <w:t xml:space="preserve">حنفي ، يحيى بن ابي بكر -عامري ، يحيى</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حنيد شيرازي ، يحيى بن معين الدين -شيرازي ، يحيى بن برهان الدين</w:t>
      </w:r>
    </w:p>
    <w:p>
      <w:pPr>
        <w:pStyle w:val="Heading2"/>
      </w:pPr>
      <w:bookmarkStart w:id="3982" w:name="_Toc3084"/>
      <w:r>
        <w:t>حنيف افندي</w:t>
      </w:r>
      <w:bookmarkEnd w:id="3982"/>
    </w:p>
    <w:p>
      <w:pPr>
        <w:pStyle w:val="BookText"/>
      </w:pPr>
      <w:r>
        <w:rPr>
          <w:rFonts w:ascii="Amiri" w:hAnsi="Amiri" w:eastAsia="Amiri" w:cs="Amiri"/>
          <w:lang w:bidi="ar-SA"/>
          <w:color w:val="111111"/>
          <w:sz w:val="28"/>
          <w:szCs w:val="28"/>
          <w:rtl/>
        </w:rPr>
        <w:t xml:space="preserve">منظومة الختم الصغير، ج 15 ، ص 720.</w:t>
      </w:r>
    </w:p>
    <w:p>
      <w:pPr>
        <w:pStyle w:val="Heading2"/>
      </w:pPr>
      <w:bookmarkStart w:id="3983" w:name="_Toc3085"/>
      <w:r>
        <w:t>حنيفي ، محمّد بن محمّد، - 1342 ه-</w:t>
      </w:r>
      <w:bookmarkEnd w:id="3983"/>
    </w:p>
    <w:p>
      <w:pPr>
        <w:pStyle w:val="BookText"/>
      </w:pPr>
      <w:r>
        <w:rPr>
          <w:rFonts w:ascii="Amiri" w:hAnsi="Amiri" w:eastAsia="Amiri" w:cs="Amiri"/>
          <w:lang w:bidi="ar-SA"/>
          <w:color w:val="111111"/>
          <w:sz w:val="28"/>
          <w:szCs w:val="28"/>
          <w:rtl/>
        </w:rPr>
        <w:t xml:space="preserve">شرح جوهرة التوحيد، ج 9، ص 375.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5" w:name="pg7742_70265"/>
    <w:bookmarkEnd w:id="435"/>
    <w:p>
      <w:pPr>
        <w:pStyle w:val="Heading2"/>
      </w:pPr>
      <w:bookmarkStart w:id="3984" w:name="_Toc3086"/>
      <w:r>
        <w:t>حنين بن اسحاق، 194 - 260 ه-</w:t>
      </w:r>
      <w:bookmarkEnd w:id="3984"/>
    </w:p>
    <w:p>
      <w:pPr>
        <w:pStyle w:val="BookText"/>
      </w:pPr>
      <w:r>
        <w:rPr>
          <w:rFonts w:ascii="Amiri" w:hAnsi="Amiri" w:eastAsia="Amiri" w:cs="Amiri"/>
          <w:lang w:bidi="ar-SA"/>
          <w:color w:val="111111"/>
          <w:sz w:val="28"/>
          <w:szCs w:val="28"/>
          <w:rtl/>
        </w:rPr>
        <w:t xml:space="preserve">1 .جوامع كتاب الآثار العلوية، ج 5،</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IRNazanin" w:hAnsi="IRNazanin" w:eastAsia="IRNazanin" w:cs="IRNazanin"/>
          <w:lang w:bidi="fa-IR"/>
          <w:color w:val="111111"/>
          <w:sz w:val="28"/>
          <w:szCs w:val="28"/>
          <w:rtl/>
        </w:rPr>
        <w:t xml:space="preserve">2 .سلامان و ابسال، ج8، ص798</w:t>
      </w:r>
    </w:p>
    <w:p>
      <w:pPr>
        <w:pStyle w:val="BookText"/>
      </w:pPr>
      <w:r>
        <w:rPr>
          <w:rFonts w:ascii="Amiri" w:hAnsi="Amiri" w:eastAsia="Amiri" w:cs="Amiri"/>
          <w:lang w:bidi="ar-SA"/>
          <w:color w:val="111111"/>
          <w:sz w:val="28"/>
          <w:szCs w:val="28"/>
          <w:rtl/>
        </w:rPr>
        <w:t xml:space="preserve">3 .فصول من تفسير جالينوس للامراض</w:t>
      </w:r>
    </w:p>
    <w:p>
      <w:pPr>
        <w:pStyle w:val="BookText"/>
      </w:pPr>
      <w:r>
        <w:rPr>
          <w:rFonts w:ascii="Amiri" w:hAnsi="Amiri" w:eastAsia="Amiri" w:cs="Amiri"/>
          <w:lang w:bidi="ar-SA"/>
          <w:color w:val="111111"/>
          <w:sz w:val="28"/>
          <w:szCs w:val="28"/>
          <w:rtl/>
        </w:rPr>
        <w:t xml:space="preserve">الزائدة، ج 11، ص 864.</w:t>
      </w:r>
    </w:p>
    <w:p>
      <w:pPr>
        <w:pStyle w:val="BookText"/>
      </w:pPr>
      <w:r>
        <w:rPr>
          <w:rFonts w:ascii="IRNazanin" w:hAnsi="IRNazanin" w:eastAsia="IRNazanin" w:cs="IRNazanin"/>
          <w:lang w:bidi="fa-IR"/>
          <w:color w:val="111111"/>
          <w:sz w:val="28"/>
          <w:szCs w:val="28"/>
          <w:rtl/>
        </w:rPr>
        <w:t xml:space="preserve">4 .قاطيغوریاس، ج 12، ص330.</w:t>
      </w:r>
    </w:p>
    <w:p>
      <w:pPr>
        <w:pStyle w:val="BookText"/>
      </w:pPr>
      <w:r>
        <w:rPr>
          <w:rFonts w:ascii="IRNazanin" w:hAnsi="IRNazanin" w:eastAsia="IRNazanin" w:cs="IRNazanin"/>
          <w:lang w:bidi="fa-IR"/>
          <w:color w:val="111111"/>
          <w:sz w:val="28"/>
          <w:szCs w:val="28"/>
          <w:rtl/>
        </w:rPr>
        <w:t xml:space="preserve">5 .المسائل = المدخل إلى الطب، ج 14،</w:t>
      </w:r>
    </w:p>
    <w:p>
      <w:pPr>
        <w:pStyle w:val="BookText"/>
      </w:pPr>
      <w:r>
        <w:rPr>
          <w:rFonts w:ascii="IRNazanin" w:hAnsi="IRNazanin" w:eastAsia="IRNazanin" w:cs="IRNazanin"/>
          <w:lang w:bidi="fa-IR"/>
          <w:color w:val="111111"/>
          <w:sz w:val="28"/>
          <w:szCs w:val="28"/>
          <w:rtl/>
        </w:rPr>
        <w:t xml:space="preserve">ص 428 .</w:t>
      </w:r>
    </w:p>
    <w:p>
      <w:pPr>
        <w:pStyle w:val="BookText"/>
      </w:pPr>
      <w:r>
        <w:rPr>
          <w:rFonts w:ascii="Amiri" w:hAnsi="Amiri" w:eastAsia="Amiri" w:cs="Amiri"/>
          <w:lang w:bidi="ar-SA"/>
          <w:color w:val="111111"/>
          <w:sz w:val="28"/>
          <w:szCs w:val="28"/>
          <w:rtl/>
        </w:rPr>
        <w:t xml:space="preserve">6 .مسائل حنين بن اسحاق، ج 14</w:t>
      </w:r>
    </w:p>
    <w:p>
      <w:pPr>
        <w:pStyle w:val="BookText"/>
      </w:pPr>
      <w:r>
        <w:rPr>
          <w:rFonts w:ascii="IRNazanin" w:hAnsi="IRNazanin" w:eastAsia="IRNazanin" w:cs="IRNazanin"/>
          <w:lang w:bidi="fa-IR"/>
          <w:color w:val="111111"/>
          <w:sz w:val="28"/>
          <w:szCs w:val="28"/>
          <w:rtl/>
        </w:rPr>
        <w:t xml:space="preserve">ص 444.</w:t>
      </w:r>
    </w:p>
    <w:p>
      <w:pPr>
        <w:pStyle w:val="BookText"/>
      </w:pPr>
      <w:r>
        <w:rPr>
          <w:rFonts w:ascii="Amiri" w:hAnsi="Amiri" w:eastAsia="Amiri" w:cs="Amiri"/>
          <w:lang w:bidi="ar-SA"/>
          <w:color w:val="111111"/>
          <w:sz w:val="28"/>
          <w:szCs w:val="28"/>
          <w:rtl/>
        </w:rPr>
        <w:t xml:space="preserve">7 معرفة قوي الأغذية، ج 15، ص 67.</w:t>
      </w:r>
    </w:p>
    <w:p>
      <w:pPr>
        <w:pStyle w:val="BookText"/>
      </w:pPr>
      <w:r>
        <w:rPr>
          <w:rFonts w:ascii="IRNazanin" w:hAnsi="IRNazanin" w:eastAsia="IRNazanin" w:cs="IRNazanin"/>
          <w:lang w:bidi="fa-IR"/>
          <w:color w:val="111111"/>
          <w:sz w:val="28"/>
          <w:szCs w:val="28"/>
          <w:rtl/>
        </w:rPr>
        <w:t xml:space="preserve">8.نقولات، ج 16، ص 428.</w:t>
      </w:r>
    </w:p>
    <w:p>
      <w:pPr>
        <w:pStyle w:val="Heading2"/>
      </w:pPr>
      <w:bookmarkStart w:id="3985" w:name="_Toc3087"/>
      <w:r>
        <w:t>حوثي ، يحيى بن محمّد</w:t>
      </w:r>
      <w:bookmarkEnd w:id="3985"/>
    </w:p>
    <w:p>
      <w:pPr>
        <w:pStyle w:val="BookText"/>
      </w:pPr>
      <w:r>
        <w:rPr>
          <w:rFonts w:ascii="IRNazanin" w:hAnsi="IRNazanin" w:eastAsia="IRNazanin" w:cs="IRNazanin"/>
          <w:lang w:bidi="fa-IR"/>
          <w:color w:val="111111"/>
          <w:sz w:val="28"/>
          <w:szCs w:val="28"/>
          <w:rtl/>
        </w:rPr>
        <w:t xml:space="preserve">دیوان حوثي، ج 7، ص 628 .</w:t>
      </w:r>
    </w:p>
    <w:p>
      <w:pPr>
        <w:pStyle w:val="Heading2"/>
      </w:pPr>
      <w:bookmarkStart w:id="3986" w:name="_Toc3088"/>
      <w:r>
        <w:t>حورني ، يعقوب بن ابراهيم</w:t>
      </w:r>
      <w:bookmarkEnd w:id="3986"/>
    </w:p>
    <w:p>
      <w:pPr>
        <w:pStyle w:val="BookText"/>
      </w:pPr>
      <w:r>
        <w:rPr>
          <w:rFonts w:ascii="Amiri" w:hAnsi="Amiri" w:eastAsia="Amiri" w:cs="Amiri"/>
          <w:lang w:bidi="ar-SA"/>
          <w:color w:val="111111"/>
          <w:sz w:val="28"/>
          <w:szCs w:val="28"/>
          <w:rtl/>
        </w:rPr>
        <w:t xml:space="preserve">رسائل متفرقة، ج8، ص 151.</w:t>
      </w:r>
    </w:p>
    <w:p>
      <w:pPr>
        <w:pStyle w:val="Heading2"/>
      </w:pPr>
      <w:bookmarkStart w:id="3987" w:name="_Toc3089"/>
      <w:r>
        <w:t>حولاوي ، رضا</w:t>
      </w:r>
      <w:bookmarkEnd w:id="3987"/>
    </w:p>
    <w:p>
      <w:pPr>
        <w:pStyle w:val="BookText"/>
      </w:pPr>
      <w:r>
        <w:rPr>
          <w:rFonts w:ascii="IRNazanin" w:hAnsi="IRNazanin" w:eastAsia="IRNazanin" w:cs="IRNazanin"/>
          <w:lang w:bidi="fa-IR"/>
          <w:color w:val="111111"/>
          <w:sz w:val="28"/>
          <w:szCs w:val="28"/>
          <w:rtl/>
        </w:rPr>
        <w:t xml:space="preserve">الحدائق، ج 6، ص 508.</w:t>
      </w:r>
    </w:p>
    <w:p>
      <w:pPr>
        <w:pStyle w:val="BookText"/>
      </w:pPr>
      <w:r>
        <w:rPr>
          <w:rFonts w:ascii="Amiri" w:hAnsi="Amiri" w:eastAsia="Amiri" w:cs="Amiri"/>
          <w:lang w:bidi="ar-SA"/>
          <w:color w:val="111111"/>
          <w:sz w:val="28"/>
          <w:szCs w:val="28"/>
          <w:rtl/>
        </w:rPr>
        <w:t xml:space="preserve">حولاوي ، مشكور بن محمّد- مشكور</w:t>
      </w:r>
    </w:p>
    <w:p>
      <w:pPr>
        <w:pStyle w:val="BookText"/>
      </w:pPr>
      <w:r>
        <w:rPr>
          <w:rFonts w:ascii="Amiri" w:hAnsi="Amiri" w:eastAsia="Amiri" w:cs="Amiri"/>
          <w:lang w:bidi="ar-SA"/>
          <w:color w:val="111111"/>
          <w:sz w:val="28"/>
          <w:szCs w:val="28"/>
          <w:rtl/>
        </w:rPr>
        <w:t xml:space="preserve">حولاوي ، مشكور بن محمّد</w:t>
      </w:r>
    </w:p>
    <w:p>
      <w:pPr>
        <w:pStyle w:val="BookText"/>
      </w:pPr>
      <w:r>
        <w:rPr>
          <w:rFonts w:ascii="Amiri" w:hAnsi="Amiri" w:eastAsia="Amiri" w:cs="Amiri"/>
          <w:lang w:bidi="ar-SA"/>
          <w:color w:val="111111"/>
          <w:sz w:val="28"/>
          <w:szCs w:val="28"/>
          <w:rtl/>
        </w:rPr>
        <w:t xml:space="preserve">حويدره ، قطبة بن اوس -حادره ، قطبة</w:t>
      </w:r>
    </w:p>
    <w:p>
      <w:pPr>
        <w:pStyle w:val="BookText"/>
      </w:pPr>
      <w:r>
        <w:rPr>
          <w:rFonts w:ascii="IRNazanin" w:hAnsi="IRNazanin" w:eastAsia="IRNazanin" w:cs="IRNazanin"/>
          <w:lang w:bidi="fa-IR"/>
          <w:color w:val="111111"/>
          <w:sz w:val="28"/>
          <w:szCs w:val="28"/>
          <w:rtl/>
        </w:rPr>
        <w:t xml:space="preserve">بن اوس</w:t>
      </w:r>
    </w:p>
    <w:p>
      <w:pPr>
        <w:pStyle w:val="Heading2"/>
      </w:pPr>
      <w:bookmarkStart w:id="3988" w:name="_Toc3090"/>
      <w:r>
        <w:t>حويزي ، اسحاق</w:t>
      </w:r>
      <w:bookmarkEnd w:id="3988"/>
    </w:p>
    <w:p>
      <w:pPr>
        <w:pStyle w:val="BookText"/>
      </w:pPr>
      <w:r>
        <w:rPr>
          <w:rFonts w:ascii="Amiri" w:hAnsi="Amiri" w:eastAsia="Amiri" w:cs="Amiri"/>
          <w:lang w:bidi="ar-SA"/>
          <w:color w:val="111111"/>
          <w:sz w:val="28"/>
          <w:szCs w:val="28"/>
          <w:rtl/>
        </w:rPr>
        <w:t xml:space="preserve">حاشية حاشية اليزدي على تهذيب المنطق = تعديل الميزان، ج 5، ص 855</w:t>
      </w:r>
    </w:p>
    <w:p>
      <w:pPr>
        <w:pStyle w:val="Heading2"/>
      </w:pPr>
      <w:bookmarkStart w:id="3989" w:name="_Toc3091"/>
      <w:r>
        <w:t>حويزي ، جعفر بن عبدالله - 1115ه-</w:t>
      </w:r>
      <w:bookmarkEnd w:id="3989"/>
    </w:p>
    <w:p>
      <w:pPr>
        <w:pStyle w:val="BookText"/>
      </w:pPr>
      <w:r>
        <w:rPr>
          <w:rFonts w:ascii="IRNazanin" w:hAnsi="IRNazanin" w:eastAsia="IRNazanin" w:cs="IRNazanin"/>
          <w:lang w:bidi="fa-IR"/>
          <w:color w:val="111111"/>
          <w:sz w:val="28"/>
          <w:szCs w:val="28"/>
          <w:rtl/>
        </w:rPr>
        <w:t xml:space="preserve">1 .تحفه سلطاني و هديه مجلس خاقاني = اصول دین، ج 3، ص 848.</w:t>
      </w:r>
    </w:p>
    <w:p>
      <w:pPr>
        <w:pStyle w:val="BookText"/>
      </w:pPr>
      <w:r>
        <w:rPr>
          <w:rFonts w:ascii="Amiri" w:hAnsi="Amiri" w:eastAsia="Amiri" w:cs="Amiri"/>
          <w:lang w:bidi="ar-SA"/>
          <w:color w:val="111111"/>
          <w:sz w:val="28"/>
          <w:szCs w:val="28"/>
          <w:rtl/>
        </w:rPr>
        <w:t xml:space="preserve">2 .حاشية الروضة البهية في شرح اللمعة الدمشقية، ج 5، ص879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كفاية المقتصد، ج6، ص 337.</w:t>
      </w:r>
    </w:p>
    <w:p>
      <w:pPr>
        <w:pStyle w:val="BookText"/>
      </w:pPr>
      <w:r>
        <w:rPr>
          <w:rFonts w:ascii="Amiri" w:hAnsi="Amiri" w:eastAsia="Amiri" w:cs="Amiri"/>
          <w:lang w:bidi="ar-SA"/>
          <w:color w:val="111111"/>
          <w:sz w:val="28"/>
          <w:szCs w:val="28"/>
          <w:rtl/>
        </w:rPr>
        <w:t xml:space="preserve">4 .الفراغ والتجاوز (رسالة في)، ج11،</w:t>
      </w:r>
    </w:p>
    <w:p>
      <w:pPr>
        <w:pStyle w:val="BookText"/>
      </w:pPr>
      <w:r>
        <w:rPr>
          <w:rFonts w:ascii="IRNazanin" w:hAnsi="IRNazanin" w:eastAsia="IRNazanin" w:cs="IRNazanin"/>
          <w:lang w:bidi="fa-IR"/>
          <w:color w:val="111111"/>
          <w:sz w:val="28"/>
          <w:szCs w:val="28"/>
          <w:rtl/>
        </w:rPr>
        <w:t xml:space="preserve">ص 772 .</w:t>
      </w:r>
    </w:p>
    <w:p>
      <w:pPr>
        <w:pStyle w:val="BookText"/>
      </w:pPr>
      <w:r>
        <w:rPr>
          <w:rFonts w:ascii="Amiri" w:hAnsi="Amiri" w:eastAsia="Amiri" w:cs="Amiri"/>
          <w:lang w:bidi="ar-SA"/>
          <w:color w:val="111111"/>
          <w:sz w:val="28"/>
          <w:szCs w:val="28"/>
          <w:rtl/>
        </w:rPr>
        <w:t xml:space="preserve">5 .المسلوس (رسالة في)، ج 14، ص 586.</w:t>
      </w:r>
    </w:p>
    <w:p>
      <w:pPr>
        <w:pStyle w:val="BookText"/>
      </w:pPr>
      <w:r>
        <w:rPr>
          <w:rFonts w:ascii="Amiri" w:hAnsi="Amiri" w:eastAsia="Amiri" w:cs="Amiri"/>
          <w:lang w:bidi="ar-SA"/>
          <w:color w:val="111111"/>
          <w:sz w:val="28"/>
          <w:szCs w:val="28"/>
          <w:rtl/>
        </w:rPr>
        <w:t xml:space="preserve">6 .الملازمات العقلية، ج 15 ، ص 434 .</w:t>
      </w:r>
    </w:p>
    <w:p>
      <w:pPr>
        <w:pStyle w:val="Heading2"/>
      </w:pPr>
      <w:bookmarkStart w:id="3990" w:name="_Toc3092"/>
      <w:r>
        <w:t>حويزي حائري ، محسن بن محمّد، 1235</w:t>
      </w:r>
      <w:bookmarkEnd w:id="39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1305 ه-</w:t>
      </w:r>
    </w:p>
    <w:p>
      <w:pPr>
        <w:pStyle w:val="BookText"/>
      </w:pPr>
      <w:r>
        <w:rPr>
          <w:rFonts w:ascii="Amiri" w:hAnsi="Amiri" w:eastAsia="Amiri" w:cs="Amiri"/>
          <w:lang w:bidi="ar-SA"/>
          <w:color w:val="111111"/>
          <w:sz w:val="28"/>
          <w:szCs w:val="28"/>
          <w:rtl/>
        </w:rPr>
        <w:t xml:space="preserve">1 .الحائريات، ج 5، ص 643 .</w:t>
      </w:r>
    </w:p>
    <w:p>
      <w:pPr>
        <w:pStyle w:val="BookText"/>
      </w:pPr>
      <w:r>
        <w:rPr>
          <w:rFonts w:ascii="IRNazanin" w:hAnsi="IRNazanin" w:eastAsia="IRNazanin" w:cs="IRNazanin"/>
          <w:lang w:bidi="fa-IR"/>
          <w:color w:val="111111"/>
          <w:sz w:val="28"/>
          <w:szCs w:val="28"/>
          <w:rtl/>
        </w:rPr>
        <w:t xml:space="preserve">2 .کشکول، ج13، ص289.</w:t>
      </w:r>
    </w:p>
    <w:p>
      <w:pPr>
        <w:pStyle w:val="Heading2"/>
      </w:pPr>
      <w:bookmarkStart w:id="3991" w:name="_Toc3093"/>
      <w:r>
        <w:t>حويزي خلف بن عبد المطلب - 1074ه-</w:t>
      </w:r>
      <w:bookmarkEnd w:id="3991"/>
    </w:p>
    <w:p>
      <w:pPr>
        <w:pStyle w:val="BookText"/>
      </w:pPr>
      <w:r>
        <w:rPr>
          <w:rFonts w:ascii="Amiri" w:hAnsi="Amiri" w:eastAsia="Amiri" w:cs="Amiri"/>
          <w:lang w:bidi="ar-SA"/>
          <w:color w:val="111111"/>
          <w:sz w:val="28"/>
          <w:szCs w:val="28"/>
          <w:rtl/>
        </w:rPr>
        <w:t xml:space="preserve">1 .الحجة البالغة، ج6، ص 482.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المشعشع، ج 7، ص771.</w:t>
      </w:r>
    </w:p>
    <w:p>
      <w:pPr>
        <w:pStyle w:val="BookText"/>
      </w:pPr>
      <w:r>
        <w:rPr>
          <w:rFonts w:ascii="Amiri" w:hAnsi="Amiri" w:eastAsia="Amiri" w:cs="Amiri"/>
          <w:lang w:bidi="ar-SA"/>
          <w:color w:val="111111"/>
          <w:sz w:val="28"/>
          <w:szCs w:val="28"/>
          <w:rtl/>
        </w:rPr>
        <w:t xml:space="preserve">حويزي ، سيّد علي خان- مدني ، علي خان</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حويزي ، شبر بن محمّد- موسوي حويزي ، شبر بن محمّد</w:t>
      </w:r>
    </w:p>
    <w:p>
      <w:pPr>
        <w:pStyle w:val="Heading2"/>
      </w:pPr>
      <w:bookmarkStart w:id="3992" w:name="_Toc3094"/>
      <w:r>
        <w:t>حويزي ، شهاب الدین احمد 1168 ه-</w:t>
      </w:r>
      <w:bookmarkEnd w:id="3992"/>
    </w:p>
    <w:p>
      <w:pPr>
        <w:pStyle w:val="BookText"/>
      </w:pPr>
      <w:r>
        <w:rPr>
          <w:rFonts w:ascii="Amiri" w:hAnsi="Amiri" w:eastAsia="Amiri" w:cs="Amiri"/>
          <w:lang w:bidi="ar-SA"/>
          <w:color w:val="111111"/>
          <w:sz w:val="28"/>
          <w:szCs w:val="28"/>
          <w:rtl/>
        </w:rPr>
        <w:t xml:space="preserve">ديوان الحويزي، ج 7، ص 631.</w:t>
      </w:r>
    </w:p>
    <w:p>
      <w:pPr>
        <w:pStyle w:val="Heading2"/>
      </w:pPr>
      <w:bookmarkStart w:id="3993" w:name="_Toc3095"/>
      <w:r>
        <w:t>حويزي ، عبد الامير بن علي - 1149 ه-</w:t>
      </w:r>
      <w:bookmarkEnd w:id="3993"/>
    </w:p>
    <w:p>
      <w:pPr>
        <w:pStyle w:val="BookText"/>
      </w:pPr>
      <w:r>
        <w:rPr>
          <w:rFonts w:ascii="Amiri" w:hAnsi="Amiri" w:eastAsia="Amiri" w:cs="Amiri"/>
          <w:lang w:bidi="ar-SA"/>
          <w:color w:val="111111"/>
          <w:sz w:val="28"/>
          <w:szCs w:val="28"/>
          <w:rtl/>
        </w:rPr>
        <w:t xml:space="preserve">الطب (رسالة في)، ج 10، ص 742 .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6" w:name="pg7742_70267"/>
    <w:bookmarkEnd w:id="436"/>
    <w:p>
      <w:pPr>
        <w:pStyle w:val="Heading2"/>
      </w:pPr>
      <w:bookmarkStart w:id="3994" w:name="_Toc3096"/>
      <w:r>
        <w:t>حويزي عبد الحسين بن عمران - 1376ه-</w:t>
      </w:r>
      <w:bookmarkEnd w:id="3994"/>
    </w:p>
    <w:p>
      <w:pPr>
        <w:pStyle w:val="BookText"/>
      </w:pPr>
      <w:r>
        <w:rPr>
          <w:rFonts w:ascii="Amiri" w:hAnsi="Amiri" w:eastAsia="Amiri" w:cs="Amiri"/>
          <w:lang w:bidi="ar-SA"/>
          <w:color w:val="111111"/>
          <w:sz w:val="28"/>
          <w:szCs w:val="28"/>
          <w:rtl/>
        </w:rPr>
        <w:t xml:space="preserve">ديوان الحويزي، ج 7، ص 630.</w:t>
      </w:r>
    </w:p>
    <w:p>
      <w:pPr>
        <w:pStyle w:val="Heading2"/>
      </w:pPr>
      <w:bookmarkStart w:id="3995" w:name="_Toc3097"/>
      <w:r>
        <w:t>حويزي ، عبدالله</w:t>
      </w:r>
      <w:bookmarkEnd w:id="3995"/>
    </w:p>
    <w:p>
      <w:pPr>
        <w:pStyle w:val="BookText"/>
      </w:pPr>
      <w:r>
        <w:rPr>
          <w:rFonts w:ascii="IRNazanin" w:hAnsi="IRNazanin" w:eastAsia="IRNazanin" w:cs="IRNazanin"/>
          <w:lang w:bidi="fa-IR"/>
          <w:color w:val="111111"/>
          <w:sz w:val="28"/>
          <w:szCs w:val="28"/>
          <w:rtl/>
        </w:rPr>
        <w:t xml:space="preserve">نظم، ج 16، ص 327.</w:t>
      </w:r>
    </w:p>
    <w:p>
      <w:pPr>
        <w:pStyle w:val="Heading2"/>
      </w:pPr>
      <w:bookmarkStart w:id="3996" w:name="_Toc3098"/>
      <w:r>
        <w:t>حويزي ، عبد علي بن جمعه قرن 12 ه-</w:t>
      </w:r>
      <w:bookmarkEnd w:id="3996"/>
    </w:p>
    <w:p>
      <w:pPr>
        <w:pStyle w:val="BookText"/>
      </w:pPr>
      <w:r>
        <w:rPr>
          <w:rFonts w:ascii="Amiri" w:hAnsi="Amiri" w:eastAsia="Amiri" w:cs="Amiri"/>
          <w:lang w:bidi="ar-SA"/>
          <w:color w:val="111111"/>
          <w:sz w:val="28"/>
          <w:szCs w:val="28"/>
          <w:rtl/>
        </w:rPr>
        <w:t xml:space="preserve">نور الثقلين - تفسير نور الثقلين، ج 16،</w:t>
      </w:r>
    </w:p>
    <w:p>
      <w:pPr>
        <w:pStyle w:val="BookText"/>
      </w:pPr>
      <w:r>
        <w:rPr>
          <w:rFonts w:ascii="IRNazanin" w:hAnsi="IRNazanin" w:eastAsia="IRNazanin" w:cs="IRNazanin"/>
          <w:lang w:bidi="fa-IR"/>
          <w:color w:val="111111"/>
          <w:sz w:val="28"/>
          <w:szCs w:val="28"/>
          <w:rtl/>
        </w:rPr>
        <w:t xml:space="preserve">ص 555 .</w:t>
      </w:r>
    </w:p>
    <w:p>
      <w:pPr>
        <w:pStyle w:val="BookText"/>
      </w:pPr>
      <w:r>
        <w:rPr>
          <w:rFonts w:ascii="Amiri" w:hAnsi="Amiri" w:eastAsia="Amiri" w:cs="Amiri"/>
          <w:lang w:bidi="ar-SA"/>
          <w:color w:val="111111"/>
          <w:sz w:val="28"/>
          <w:szCs w:val="28"/>
          <w:rtl/>
        </w:rPr>
        <w:t xml:space="preserve">حويزي ، عبد علي بن ناصر - 1075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البديعية، ج3، ص287.</w:t>
      </w:r>
    </w:p>
    <w:p>
      <w:pPr>
        <w:pStyle w:val="BookText"/>
      </w:pPr>
      <w:r>
        <w:rPr>
          <w:rFonts w:ascii="Amiri" w:hAnsi="Amiri" w:eastAsia="Amiri" w:cs="Amiri"/>
          <w:lang w:bidi="ar-SA"/>
          <w:color w:val="111111"/>
          <w:sz w:val="28"/>
          <w:szCs w:val="28"/>
          <w:rtl/>
        </w:rPr>
        <w:t xml:space="preserve">2 .السيرة المرضية في شرح الفرضية</w:t>
      </w:r>
    </w:p>
    <w:p>
      <w:pPr>
        <w:pStyle w:val="BookText"/>
      </w:pPr>
      <w:r>
        <w:rPr>
          <w:rFonts w:ascii="IRNazanin" w:hAnsi="IRNazanin" w:eastAsia="IRNazanin" w:cs="IRNazanin"/>
          <w:lang w:bidi="fa-IR"/>
          <w:color w:val="111111"/>
          <w:sz w:val="28"/>
          <w:szCs w:val="28"/>
          <w:rtl/>
        </w:rPr>
        <w:t xml:space="preserve">ج 9، ص19.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العقود الرفيعية في الصنايع</w:t>
      </w:r>
    </w:p>
    <w:p>
      <w:pPr>
        <w:pStyle w:val="BookText"/>
      </w:pPr>
      <w:r>
        <w:rPr>
          <w:rFonts w:ascii="Amiri" w:hAnsi="Amiri" w:eastAsia="Amiri" w:cs="Amiri"/>
          <w:lang w:bidi="ar-SA"/>
          <w:color w:val="111111"/>
          <w:sz w:val="28"/>
          <w:szCs w:val="28"/>
          <w:rtl/>
        </w:rPr>
        <w:t xml:space="preserve">البديعية، ج 11، ص189 .</w:t>
      </w:r>
    </w:p>
    <w:p>
      <w:pPr>
        <w:pStyle w:val="BookText"/>
      </w:pPr>
      <w:r>
        <w:rPr>
          <w:rFonts w:ascii="Amiri" w:hAnsi="Amiri" w:eastAsia="Amiri" w:cs="Amiri"/>
          <w:lang w:bidi="ar-SA"/>
          <w:color w:val="111111"/>
          <w:sz w:val="28"/>
          <w:szCs w:val="28"/>
          <w:rtl/>
        </w:rPr>
        <w:t xml:space="preserve">4 .الفيض الغزير في شرح مواليات</w:t>
      </w:r>
    </w:p>
    <w:p>
      <w:pPr>
        <w:pStyle w:val="BookText"/>
      </w:pPr>
      <w:r>
        <w:rPr>
          <w:rFonts w:ascii="Amiri" w:hAnsi="Amiri" w:eastAsia="Amiri" w:cs="Amiri"/>
          <w:lang w:bidi="ar-SA"/>
          <w:color w:val="111111"/>
          <w:sz w:val="28"/>
          <w:szCs w:val="28"/>
          <w:rtl/>
        </w:rPr>
        <w:t xml:space="preserve">الأمير، ج 12، ص310.</w:t>
      </w:r>
    </w:p>
    <w:p>
      <w:pPr>
        <w:pStyle w:val="BookText"/>
      </w:pPr>
      <w:r>
        <w:rPr>
          <w:rFonts w:ascii="Amiri" w:hAnsi="Amiri" w:eastAsia="Amiri" w:cs="Amiri"/>
          <w:lang w:bidi="ar-SA"/>
          <w:color w:val="111111"/>
          <w:sz w:val="28"/>
          <w:szCs w:val="28"/>
          <w:rtl/>
        </w:rPr>
        <w:t xml:space="preserve">5 .كلام الملوك ملوك الكلام = قطر الغمام في شرح كلام الملوك، ج 13،</w:t>
      </w:r>
    </w:p>
    <w:p>
      <w:pPr>
        <w:pStyle w:val="BookText"/>
      </w:pPr>
      <w:r>
        <w:rPr>
          <w:rFonts w:ascii="IRNazanin" w:hAnsi="IRNazanin" w:eastAsia="IRNazanin" w:cs="IRNazanin"/>
          <w:lang w:bidi="fa-IR"/>
          <w:color w:val="111111"/>
          <w:sz w:val="28"/>
          <w:szCs w:val="28"/>
          <w:rtl/>
        </w:rPr>
        <w:t xml:space="preserve">ص 360 .</w:t>
      </w:r>
    </w:p>
    <w:p>
      <w:pPr>
        <w:pStyle w:val="BookText"/>
      </w:pPr>
      <w:r>
        <w:rPr>
          <w:rFonts w:ascii="Amiri" w:hAnsi="Amiri" w:eastAsia="Amiri" w:cs="Amiri"/>
          <w:lang w:bidi="ar-SA"/>
          <w:color w:val="111111"/>
          <w:sz w:val="28"/>
          <w:szCs w:val="28"/>
          <w:rtl/>
        </w:rPr>
        <w:t xml:space="preserve">6 .الكلمات التامة في الامور العامة</w:t>
      </w:r>
    </w:p>
    <w:p>
      <w:pPr>
        <w:pStyle w:val="BookText"/>
      </w:pPr>
      <w:r>
        <w:rPr>
          <w:rFonts w:ascii="IRNazanin" w:hAnsi="IRNazanin" w:eastAsia="IRNazanin" w:cs="IRNazanin"/>
          <w:lang w:bidi="fa-IR"/>
          <w:color w:val="111111"/>
          <w:sz w:val="28"/>
          <w:szCs w:val="28"/>
          <w:rtl/>
        </w:rPr>
        <w:t xml:space="preserve">ج 13، ص 363.</w:t>
      </w:r>
    </w:p>
    <w:p>
      <w:pPr>
        <w:pStyle w:val="BookText"/>
      </w:pPr>
      <w:r>
        <w:rPr>
          <w:rFonts w:ascii="Amiri" w:hAnsi="Amiri" w:eastAsia="Amiri" w:cs="Amiri"/>
          <w:lang w:bidi="ar-SA"/>
          <w:color w:val="111111"/>
          <w:sz w:val="28"/>
          <w:szCs w:val="28"/>
          <w:rtl/>
        </w:rPr>
        <w:t xml:space="preserve">7 .مدارج النمل في علم الرمل، ج 14</w:t>
      </w:r>
    </w:p>
    <w:p>
      <w:pPr>
        <w:pStyle w:val="BookText"/>
      </w:pPr>
      <w:r>
        <w:rPr>
          <w:rFonts w:ascii="IRNazanin" w:hAnsi="IRNazanin" w:eastAsia="IRNazanin" w:cs="IRNazanin"/>
          <w:lang w:bidi="fa-IR"/>
          <w:color w:val="111111"/>
          <w:sz w:val="28"/>
          <w:szCs w:val="28"/>
          <w:rtl/>
        </w:rPr>
        <w:t xml:space="preserve">ص 304.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المشعشعة = العروض، ج 14 ،</w:t>
      </w:r>
    </w:p>
    <w:p>
      <w:pPr>
        <w:pStyle w:val="BookText"/>
      </w:pPr>
      <w:r>
        <w:rPr>
          <w:rFonts w:ascii="IRNazanin" w:hAnsi="IRNazanin" w:eastAsia="IRNazanin" w:cs="IRNazanin"/>
          <w:lang w:bidi="fa-IR"/>
          <w:color w:val="111111"/>
          <w:sz w:val="28"/>
          <w:szCs w:val="28"/>
          <w:rtl/>
        </w:rPr>
        <w:t xml:space="preserve">ص 629 .</w:t>
      </w:r>
    </w:p>
    <w:p>
      <w:pPr>
        <w:pStyle w:val="BookText"/>
      </w:pPr>
      <w:r>
        <w:rPr>
          <w:rFonts w:ascii="Amiri" w:hAnsi="Amiri" w:eastAsia="Amiri" w:cs="Amiri"/>
          <w:lang w:bidi="ar-SA"/>
          <w:color w:val="111111"/>
          <w:sz w:val="28"/>
          <w:szCs w:val="28"/>
          <w:rtl/>
        </w:rPr>
        <w:t xml:space="preserve">9 .معارج التحقيق ومناهج التوفيق</w:t>
      </w:r>
    </w:p>
    <w:p>
      <w:pPr>
        <w:pStyle w:val="BookText"/>
      </w:pPr>
      <w:r>
        <w:rPr>
          <w:rFonts w:ascii="IRNazanin" w:hAnsi="IRNazanin" w:eastAsia="IRNazanin" w:cs="IRNazanin"/>
          <w:lang w:bidi="fa-IR"/>
          <w:color w:val="111111"/>
          <w:sz w:val="28"/>
          <w:szCs w:val="28"/>
          <w:rtl/>
        </w:rPr>
        <w:t xml:space="preserve">ج 14، ص 837.</w:t>
      </w:r>
    </w:p>
    <w:p>
      <w:pPr>
        <w:pStyle w:val="BookText"/>
      </w:pPr>
      <w:r>
        <w:rPr>
          <w:rFonts w:ascii="Amiri" w:hAnsi="Amiri" w:eastAsia="Amiri" w:cs="Amiri"/>
          <w:lang w:bidi="ar-SA"/>
          <w:color w:val="111111"/>
          <w:sz w:val="28"/>
          <w:szCs w:val="28"/>
          <w:rtl/>
        </w:rPr>
        <w:t xml:space="preserve">10 .مناهج الصواب في علم الاعراب</w:t>
      </w:r>
    </w:p>
    <w:p>
      <w:pPr>
        <w:pStyle w:val="BookText"/>
      </w:pPr>
      <w:r>
        <w:rPr>
          <w:rFonts w:ascii="IRNazanin" w:hAnsi="IRNazanin" w:eastAsia="IRNazanin" w:cs="IRNazanin"/>
          <w:lang w:bidi="fa-IR"/>
          <w:color w:val="111111"/>
          <w:sz w:val="28"/>
          <w:szCs w:val="28"/>
          <w:rtl/>
        </w:rPr>
        <w:t xml:space="preserve">ج 15، ص 569.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منتخب حلي الأفاضل ج 15</w:t>
      </w:r>
    </w:p>
    <w:p>
      <w:pPr>
        <w:pStyle w:val="BookText"/>
      </w:pPr>
      <w:r>
        <w:rPr>
          <w:rFonts w:ascii="IRNazanin" w:hAnsi="IRNazanin" w:eastAsia="IRNazanin" w:cs="IRNazanin"/>
          <w:lang w:bidi="fa-IR"/>
          <w:color w:val="111111"/>
          <w:sz w:val="28"/>
          <w:szCs w:val="28"/>
          <w:rtl/>
        </w:rPr>
        <w:t xml:space="preserve">ص 604 .</w:t>
      </w:r>
    </w:p>
    <w:p>
      <w:pPr>
        <w:pStyle w:val="BookText"/>
      </w:pPr>
      <w:r>
        <w:rPr>
          <w:rFonts w:ascii="Amiri" w:hAnsi="Amiri" w:eastAsia="Amiri" w:cs="Amiri"/>
          <w:lang w:bidi="ar-SA"/>
          <w:color w:val="111111"/>
          <w:sz w:val="28"/>
          <w:szCs w:val="28"/>
          <w:rtl/>
        </w:rPr>
        <w:t xml:space="preserve">12 .مواهب الفياض في الجواهر و</w:t>
      </w:r>
    </w:p>
    <w:p>
      <w:pPr>
        <w:pStyle w:val="BookText"/>
      </w:pPr>
      <w:r>
        <w:rPr>
          <w:rFonts w:ascii="IRNazanin" w:hAnsi="IRNazanin" w:eastAsia="IRNazanin" w:cs="IRNazanin"/>
          <w:lang w:bidi="fa-IR"/>
          <w:color w:val="111111"/>
          <w:sz w:val="28"/>
          <w:szCs w:val="28"/>
          <w:rtl/>
        </w:rPr>
        <w:t xml:space="preserve">الأعراض، ج 15 ، ص 894.</w:t>
      </w:r>
    </w:p>
    <w:p>
      <w:pPr>
        <w:pStyle w:val="Heading2"/>
      </w:pPr>
      <w:bookmarkStart w:id="3997" w:name="_Toc3099"/>
      <w:r>
        <w:t>حويزي ، علي بن خلف - 1088 ه-</w:t>
      </w:r>
      <w:bookmarkEnd w:id="3997"/>
    </w:p>
    <w:p>
      <w:pPr>
        <w:pStyle w:val="BookText"/>
      </w:pPr>
      <w:r>
        <w:rPr>
          <w:rFonts w:ascii="IRNazanin" w:hAnsi="IRNazanin" w:eastAsia="IRNazanin" w:cs="IRNazanin"/>
          <w:lang w:bidi="fa-IR"/>
          <w:color w:val="111111"/>
          <w:sz w:val="28"/>
          <w:szCs w:val="28"/>
          <w:rtl/>
        </w:rPr>
        <w:t xml:space="preserve">1 .انيس من دیوان خير جليس، ج3،</w:t>
      </w:r>
    </w:p>
    <w:p>
      <w:pPr>
        <w:pStyle w:val="BookText"/>
      </w:pPr>
      <w:r>
        <w:rPr>
          <w:rFonts w:ascii="IRNazanin" w:hAnsi="IRNazanin" w:eastAsia="IRNazanin" w:cs="IRNazanin"/>
          <w:lang w:bidi="fa-IR"/>
          <w:color w:val="111111"/>
          <w:sz w:val="28"/>
          <w:szCs w:val="28"/>
          <w:rtl/>
        </w:rPr>
        <w:t xml:space="preserve">ص 46 .</w:t>
      </w:r>
    </w:p>
    <w:p>
      <w:pPr>
        <w:pStyle w:val="BookText"/>
      </w:pPr>
      <w:r>
        <w:rPr>
          <w:rFonts w:ascii="Amiri" w:hAnsi="Amiri" w:eastAsia="Amiri" w:cs="Amiri"/>
          <w:lang w:bidi="ar-SA"/>
          <w:color w:val="111111"/>
          <w:sz w:val="28"/>
          <w:szCs w:val="28"/>
          <w:rtl/>
        </w:rPr>
        <w:t xml:space="preserve">2 .ديوان الحويزي، ج 7، ص 629.</w:t>
      </w:r>
    </w:p>
    <w:p>
      <w:pPr>
        <w:pStyle w:val="BookText"/>
      </w:pPr>
      <w:r>
        <w:rPr>
          <w:rFonts w:ascii="IRNazanin" w:hAnsi="IRNazanin" w:eastAsia="IRNazanin" w:cs="IRNazanin"/>
          <w:lang w:bidi="fa-IR"/>
          <w:color w:val="111111"/>
          <w:sz w:val="28"/>
          <w:szCs w:val="28"/>
          <w:rtl/>
        </w:rPr>
        <w:t xml:space="preserve">3 .ديوان خير جليس و نعم انیس ج7،</w:t>
      </w:r>
    </w:p>
    <w:p>
      <w:pPr>
        <w:pStyle w:val="BookText"/>
      </w:pPr>
      <w:r>
        <w:rPr>
          <w:rFonts w:ascii="IRNazanin" w:hAnsi="IRNazanin" w:eastAsia="IRNazanin" w:cs="IRNazanin"/>
          <w:lang w:bidi="fa-IR"/>
          <w:color w:val="111111"/>
          <w:sz w:val="28"/>
          <w:szCs w:val="28"/>
          <w:rtl/>
        </w:rPr>
        <w:t xml:space="preserve">ص 639 .</w:t>
      </w:r>
    </w:p>
    <w:p>
      <w:pPr>
        <w:pStyle w:val="Heading2"/>
      </w:pPr>
      <w:bookmarkStart w:id="3998" w:name="_Toc3100"/>
      <w:r>
        <w:t>حويزي ، غالب بن قعود قرن 14 ه-</w:t>
      </w:r>
      <w:bookmarkEnd w:id="39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كشف اللثام عن سرائر مراسم</w:t>
      </w:r>
    </w:p>
    <w:p>
      <w:pPr>
        <w:pStyle w:val="BookText"/>
      </w:pPr>
      <w:r>
        <w:rPr>
          <w:rFonts w:ascii="IRNazanin" w:hAnsi="IRNazanin" w:eastAsia="IRNazanin" w:cs="IRNazanin"/>
          <w:lang w:bidi="fa-IR"/>
          <w:color w:val="111111"/>
          <w:sz w:val="28"/>
          <w:szCs w:val="28"/>
          <w:rtl/>
        </w:rPr>
        <w:t xml:space="preserve">الاسلام، ج13، ص 252.</w:t>
      </w:r>
    </w:p>
    <w:p>
      <w:pPr>
        <w:pStyle w:val="BookText"/>
      </w:pPr>
      <w:r>
        <w:rPr>
          <w:rFonts w:ascii="Amiri" w:hAnsi="Amiri" w:eastAsia="Amiri" w:cs="Amiri"/>
          <w:lang w:bidi="ar-SA"/>
          <w:color w:val="111111"/>
          <w:sz w:val="28"/>
          <w:szCs w:val="28"/>
          <w:rtl/>
        </w:rPr>
        <w:t xml:space="preserve">2 .كشف المرام في شرح بغية الخاص و</w:t>
      </w:r>
    </w:p>
    <w:p>
      <w:pPr>
        <w:pStyle w:val="BookText"/>
      </w:pPr>
      <w:r>
        <w:rPr>
          <w:rFonts w:ascii="IRNazanin" w:hAnsi="IRNazanin" w:eastAsia="IRNazanin" w:cs="IRNazanin"/>
          <w:lang w:bidi="fa-IR"/>
          <w:color w:val="111111"/>
          <w:sz w:val="28"/>
          <w:szCs w:val="28"/>
          <w:rtl/>
        </w:rPr>
        <w:t xml:space="preserve">العام، ج 13، ص 268.</w:t>
      </w:r>
    </w:p>
    <w:p>
      <w:pPr>
        <w:pStyle w:val="Heading2"/>
      </w:pPr>
      <w:bookmarkStart w:id="3999" w:name="_Toc3101"/>
      <w:r>
        <w:t>حويزي ، فرج الله بن محمّد بن محمّد، - 1100 ه-</w:t>
      </w:r>
      <w:bookmarkEnd w:id="3999"/>
    </w:p>
    <w:p>
      <w:pPr>
        <w:pStyle w:val="BookText"/>
      </w:pPr>
      <w:r>
        <w:rPr>
          <w:rFonts w:ascii="Amiri" w:hAnsi="Amiri" w:eastAsia="Amiri" w:cs="Amiri"/>
          <w:lang w:bidi="ar-SA"/>
          <w:color w:val="111111"/>
          <w:sz w:val="28"/>
          <w:szCs w:val="28"/>
          <w:rtl/>
        </w:rPr>
        <w:t xml:space="preserve">1 .ايجاز المقال في معرفة الرجال، ج 3،</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Amiri" w:hAnsi="Amiri" w:eastAsia="Amiri" w:cs="Amiri"/>
          <w:lang w:bidi="ar-SA"/>
          <w:color w:val="111111"/>
          <w:sz w:val="28"/>
          <w:szCs w:val="28"/>
          <w:rtl/>
        </w:rPr>
        <w:t xml:space="preserve">2 .تذكرة العنوان، ج4، ص197.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حويزي، ج 7، ص 629.</w:t>
      </w:r>
    </w:p>
    <w:p>
      <w:pPr>
        <w:pStyle w:val="BookText"/>
      </w:pPr>
      <w:r>
        <w:rPr>
          <w:rFonts w:ascii="Amiri" w:hAnsi="Amiri" w:eastAsia="Amiri" w:cs="Amiri"/>
          <w:lang w:bidi="ar-SA"/>
          <w:color w:val="111111"/>
          <w:sz w:val="28"/>
          <w:szCs w:val="28"/>
          <w:rtl/>
        </w:rPr>
        <w:t xml:space="preserve">4 .الصفوة، ج 10، ص 573.</w:t>
      </w:r>
    </w:p>
    <w:p>
      <w:pPr>
        <w:pStyle w:val="BookText"/>
      </w:pPr>
      <w:r>
        <w:rPr>
          <w:rFonts w:ascii="Amiri" w:hAnsi="Amiri" w:eastAsia="Amiri" w:cs="Amiri"/>
          <w:lang w:bidi="ar-SA"/>
          <w:color w:val="111111"/>
          <w:sz w:val="28"/>
          <w:szCs w:val="28"/>
          <w:rtl/>
        </w:rPr>
        <w:t xml:space="preserve">5 .معارج الاملاك إلى تشريح الافلاك</w:t>
      </w:r>
    </w:p>
    <w:p>
      <w:pPr>
        <w:pStyle w:val="BookText"/>
      </w:pPr>
      <w:r>
        <w:rPr>
          <w:rFonts w:ascii="IRNazanin" w:hAnsi="IRNazanin" w:eastAsia="IRNazanin" w:cs="IRNazanin"/>
          <w:lang w:bidi="fa-IR"/>
          <w:color w:val="111111"/>
          <w:sz w:val="28"/>
          <w:szCs w:val="28"/>
          <w:rtl/>
        </w:rPr>
        <w:t xml:space="preserve">ج 14، ص 836.</w:t>
      </w:r>
    </w:p>
    <w:p>
      <w:pPr>
        <w:pStyle w:val="BookText"/>
      </w:pPr>
      <w:r>
        <w:rPr>
          <w:rFonts w:ascii="Amiri" w:hAnsi="Amiri" w:eastAsia="Amiri" w:cs="Amiri"/>
          <w:lang w:bidi="ar-SA"/>
          <w:color w:val="111111"/>
          <w:sz w:val="28"/>
          <w:szCs w:val="28"/>
          <w:rtl/>
        </w:rPr>
        <w:t xml:space="preserve">6 .المناسك الشاهوردية، ج 15 ، ص 508.</w:t>
      </w:r>
    </w:p>
    <w:p>
      <w:pPr>
        <w:pStyle w:val="BookText"/>
      </w:pPr>
      <w:r>
        <w:rPr>
          <w:rFonts w:ascii="Amiri" w:hAnsi="Amiri" w:eastAsia="Amiri" w:cs="Amiri"/>
          <w:lang w:bidi="ar-SA"/>
          <w:color w:val="111111"/>
          <w:sz w:val="28"/>
          <w:szCs w:val="28"/>
          <w:rtl/>
        </w:rPr>
        <w:t xml:space="preserve">حويزي ، محمّد بن علي- حرفوشي ، محمّد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حويزي ، محمّد بن نصار -جزائري ،</w:t>
      </w:r>
    </w:p>
    <w:p>
      <w:pPr>
        <w:pStyle w:val="BookText"/>
      </w:pPr>
      <w:r>
        <w:rPr>
          <w:rFonts w:ascii="IRNazanin" w:hAnsi="IRNazanin" w:eastAsia="IRNazanin" w:cs="IRNazanin"/>
          <w:lang w:bidi="fa-IR"/>
          <w:color w:val="111111"/>
          <w:sz w:val="28"/>
          <w:szCs w:val="28"/>
          <w:rtl/>
        </w:rPr>
        <w:t xml:space="preserve">محمّد بن نصار</w:t>
      </w:r>
    </w:p>
    <w:p>
      <w:pPr>
        <w:pStyle w:val="BookText"/>
      </w:pPr>
      <w:r>
        <w:rPr>
          <w:rFonts w:ascii="Amiri" w:hAnsi="Amiri" w:eastAsia="Amiri" w:cs="Amiri"/>
          <w:lang w:bidi="ar-SA"/>
          <w:color w:val="111111"/>
          <w:sz w:val="28"/>
          <w:szCs w:val="28"/>
          <w:rtl/>
        </w:rPr>
        <w:t xml:space="preserve">حويزي ، يعقوب بن ابراهيم -بختياري</w:t>
      </w:r>
    </w:p>
    <w:p>
      <w:pPr>
        <w:pStyle w:val="BookText"/>
      </w:pPr>
      <w:r>
        <w:rPr>
          <w:rFonts w:ascii="Amiri" w:hAnsi="Amiri" w:eastAsia="Amiri" w:cs="Amiri"/>
          <w:lang w:bidi="ar-SA"/>
          <w:color w:val="111111"/>
          <w:sz w:val="28"/>
          <w:szCs w:val="28"/>
          <w:rtl/>
        </w:rPr>
        <w:t xml:space="preserve">حويزي ، يعقوب بن ابراهيم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7" w:name="pg7742_70269"/>
    <w:bookmarkEnd w:id="437"/>
    <w:p>
      <w:pPr>
        <w:pStyle w:val="BookText"/>
      </w:pPr>
      <w:r>
        <w:rPr>
          <w:rFonts w:ascii="Amiri" w:hAnsi="Amiri" w:eastAsia="Amiri" w:cs="Amiri"/>
          <w:lang w:bidi="ar-SA"/>
          <w:color w:val="111111"/>
          <w:sz w:val="28"/>
          <w:szCs w:val="28"/>
          <w:rtl/>
        </w:rPr>
        <w:t xml:space="preserve">حويزي ، يوسف بن علي -بحراني ، يوسف</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حياتي ، حسن بن علي- عاملي حانيني</w:t>
      </w:r>
    </w:p>
    <w:p>
      <w:pPr>
        <w:pStyle w:val="BookText"/>
      </w:pPr>
      <w:r>
        <w:rPr>
          <w:rFonts w:ascii="Amiri" w:hAnsi="Amiri" w:eastAsia="Amiri" w:cs="Amiri"/>
          <w:lang w:bidi="ar-SA"/>
          <w:color w:val="111111"/>
          <w:sz w:val="28"/>
          <w:szCs w:val="28"/>
          <w:rtl/>
        </w:rPr>
        <w:t xml:space="preserve">حسن بن علي</w:t>
      </w:r>
    </w:p>
    <w:p>
      <w:pPr>
        <w:pStyle w:val="Heading2"/>
      </w:pPr>
      <w:bookmarkStart w:id="4000" w:name="_Toc3102"/>
      <w:r>
        <w:t>حياني ، عثمان بن سليمان - 1245 ه-</w:t>
      </w:r>
      <w:bookmarkEnd w:id="4000"/>
    </w:p>
    <w:p>
      <w:pPr>
        <w:pStyle w:val="BookText"/>
      </w:pPr>
      <w:r>
        <w:rPr>
          <w:rFonts w:ascii="Amiri" w:hAnsi="Amiri" w:eastAsia="Amiri" w:cs="Amiri"/>
          <w:lang w:bidi="ar-SA"/>
          <w:color w:val="111111"/>
          <w:sz w:val="28"/>
          <w:szCs w:val="28"/>
          <w:rtl/>
        </w:rPr>
        <w:t xml:space="preserve">1 .تخميس القصيدة الهمزية، ج 4،</w:t>
      </w:r>
    </w:p>
    <w:p>
      <w:pPr>
        <w:pStyle w:val="BookText"/>
      </w:pPr>
      <w:r>
        <w:rPr>
          <w:rFonts w:ascii="IRNazanin" w:hAnsi="IRNazanin" w:eastAsia="IRNazanin" w:cs="IRNazanin"/>
          <w:lang w:bidi="fa-IR"/>
          <w:color w:val="111111"/>
          <w:sz w:val="28"/>
          <w:szCs w:val="28"/>
          <w:rtl/>
        </w:rPr>
        <w:t xml:space="preserve">ص 146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الحجة على من زاد على ابن حجة</w:t>
      </w:r>
    </w:p>
    <w:p>
      <w:pPr>
        <w:pStyle w:val="BookText"/>
      </w:pPr>
      <w:r>
        <w:rPr>
          <w:rFonts w:ascii="IRNazanin" w:hAnsi="IRNazanin" w:eastAsia="IRNazanin" w:cs="IRNazanin"/>
          <w:lang w:bidi="fa-IR"/>
          <w:color w:val="111111"/>
          <w:sz w:val="28"/>
          <w:szCs w:val="28"/>
          <w:rtl/>
        </w:rPr>
        <w:t xml:space="preserve">ج 6 ، ص 485.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دين الله الغالب على كل منكر</w:t>
      </w:r>
    </w:p>
    <w:p>
      <w:pPr>
        <w:pStyle w:val="BookText"/>
      </w:pPr>
      <w:r>
        <w:rPr>
          <w:rFonts w:ascii="Amiri" w:hAnsi="Amiri" w:eastAsia="Amiri" w:cs="Amiri"/>
          <w:lang w:bidi="ar-SA"/>
          <w:color w:val="111111"/>
          <w:sz w:val="28"/>
          <w:szCs w:val="28"/>
          <w:rtl/>
        </w:rPr>
        <w:t xml:space="preserve">مبتدع كاذب، ج 7، ص 501.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موشح، ج 16، ص 19.</w:t>
      </w:r>
    </w:p>
    <w:p>
      <w:pPr>
        <w:pStyle w:val="Heading2"/>
      </w:pPr>
      <w:bookmarkStart w:id="4001" w:name="_Toc3103"/>
      <w:r>
        <w:t>حياتي ، احمد بن احمد - 1229 ه-</w:t>
      </w:r>
      <w:bookmarkEnd w:id="4001"/>
    </w:p>
    <w:p>
      <w:pPr>
        <w:pStyle w:val="BookText"/>
      </w:pPr>
      <w:r>
        <w:rPr>
          <w:rFonts w:ascii="Amiri" w:hAnsi="Amiri" w:eastAsia="Amiri" w:cs="Amiri"/>
          <w:lang w:bidi="ar-SA"/>
          <w:color w:val="111111"/>
          <w:sz w:val="28"/>
          <w:szCs w:val="28"/>
          <w:rtl/>
        </w:rPr>
        <w:t xml:space="preserve">1 .آداب البحث (ارجوزة في ) القصيدة النونية، ج 1، ص23.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تحفة الجنان، ج 3، ص818</w:t>
      </w:r>
    </w:p>
    <w:p>
      <w:pPr>
        <w:pStyle w:val="BookText"/>
      </w:pPr>
      <w:r>
        <w:rPr>
          <w:rFonts w:ascii="Amiri" w:hAnsi="Amiri" w:eastAsia="Amiri" w:cs="Amiri"/>
          <w:lang w:bidi="ar-SA"/>
          <w:color w:val="111111"/>
          <w:sz w:val="28"/>
          <w:szCs w:val="28"/>
          <w:rtl/>
        </w:rPr>
        <w:t xml:space="preserve">حياتي زاده ، مصطفى بن عبد الله - فيضي ،</w:t>
      </w:r>
    </w:p>
    <w:p>
      <w:pPr>
        <w:pStyle w:val="BookText"/>
      </w:pPr>
      <w:r>
        <w:rPr>
          <w:rFonts w:ascii="IRNazanin" w:hAnsi="IRNazanin" w:eastAsia="IRNazanin" w:cs="IRNazanin"/>
          <w:lang w:bidi="fa-IR"/>
          <w:color w:val="111111"/>
          <w:sz w:val="28"/>
          <w:szCs w:val="28"/>
          <w:rtl/>
        </w:rPr>
        <w:t xml:space="preserve">مصطفى بن عبدالله</w:t>
      </w:r>
    </w:p>
    <w:p>
      <w:pPr>
        <w:pStyle w:val="Heading2"/>
      </w:pPr>
      <w:bookmarkStart w:id="4002" w:name="_Toc3104"/>
      <w:r>
        <w:t>حياتي زاده مصطفى بن محمّد - 1151 ه-</w:t>
      </w:r>
      <w:bookmarkEnd w:id="4002"/>
    </w:p>
    <w:p>
      <w:pPr>
        <w:pStyle w:val="BookText"/>
      </w:pPr>
      <w:r>
        <w:rPr>
          <w:rFonts w:ascii="Amiri" w:hAnsi="Amiri" w:eastAsia="Amiri" w:cs="Amiri"/>
          <w:lang w:bidi="ar-SA"/>
          <w:color w:val="111111"/>
          <w:sz w:val="28"/>
          <w:szCs w:val="28"/>
          <w:rtl/>
        </w:rPr>
        <w:t xml:space="preserve">1 .العلاج (رسالة في)، ج 11، ص213.</w:t>
      </w:r>
    </w:p>
    <w:p>
      <w:pPr>
        <w:pStyle w:val="BookText"/>
      </w:pPr>
      <w:r>
        <w:rPr>
          <w:rFonts w:ascii="Amiri" w:hAnsi="Amiri" w:eastAsia="Amiri" w:cs="Amiri"/>
          <w:lang w:bidi="ar-SA"/>
          <w:color w:val="111111"/>
          <w:sz w:val="28"/>
          <w:szCs w:val="28"/>
          <w:rtl/>
        </w:rPr>
        <w:t xml:space="preserve">2 .نزهة البيان (الأبدان) في ترجمة غاية الإتقان، ج 16، ص 226 .</w:t>
      </w:r>
    </w:p>
    <w:p>
      <w:pPr>
        <w:pStyle w:val="BookText"/>
      </w:pPr>
      <w:r>
        <w:rPr>
          <w:rFonts w:ascii="IRNazanin" w:hAnsi="IRNazanin" w:eastAsia="IRNazanin" w:cs="IRNazanin"/>
          <w:lang w:bidi="fa-IR"/>
          <w:color w:val="111111"/>
          <w:sz w:val="28"/>
          <w:szCs w:val="28"/>
          <w:rtl/>
        </w:rPr>
        <w:t xml:space="preserve">حیدر آملي -آملي ، حيدر بن علي</w:t>
      </w:r>
    </w:p>
    <w:p>
      <w:pPr>
        <w:pStyle w:val="Heading2"/>
      </w:pPr>
      <w:bookmarkStart w:id="4003" w:name="_Toc3105"/>
      <w:r>
        <w:t>حیدر ، اسد بن محمّد قرن 14 ه-</w:t>
      </w:r>
      <w:bookmarkEnd w:id="4003"/>
    </w:p>
    <w:p>
      <w:pPr>
        <w:pStyle w:val="BookText"/>
      </w:pPr>
      <w:r>
        <w:rPr>
          <w:rFonts w:ascii="Amiri" w:hAnsi="Amiri" w:eastAsia="Amiri" w:cs="Amiri"/>
          <w:lang w:bidi="ar-SA"/>
          <w:color w:val="111111"/>
          <w:sz w:val="28"/>
          <w:szCs w:val="28"/>
          <w:rtl/>
        </w:rPr>
        <w:t xml:space="preserve">امام الصادق و المذاهب الاربعة، ج 2، ص 736 .</w:t>
      </w:r>
    </w:p>
    <w:p>
      <w:pPr>
        <w:pStyle w:val="BookText"/>
      </w:pPr>
      <w:r>
        <w:rPr>
          <w:rFonts w:ascii="Amiri" w:hAnsi="Amiri" w:eastAsia="Amiri" w:cs="Amiri"/>
          <w:lang w:bidi="ar-SA"/>
          <w:color w:val="111111"/>
          <w:sz w:val="28"/>
          <w:szCs w:val="28"/>
          <w:rtl/>
        </w:rPr>
        <w:t xml:space="preserve">حيدر بن ابراهيم حسيني</w:t>
      </w:r>
    </w:p>
    <w:p>
      <w:pPr>
        <w:pStyle w:val="BookText"/>
      </w:pPr>
      <w:r>
        <w:rPr>
          <w:rFonts w:ascii="Amiri" w:hAnsi="Amiri" w:eastAsia="Amiri" w:cs="Amiri"/>
          <w:lang w:bidi="ar-SA"/>
          <w:color w:val="111111"/>
          <w:sz w:val="28"/>
          <w:szCs w:val="28"/>
          <w:rtl/>
        </w:rPr>
        <w:t xml:space="preserve">كاظمي- حسني كاظمي، حيدر بن ابراهيم</w:t>
      </w:r>
    </w:p>
    <w:p>
      <w:pPr>
        <w:pStyle w:val="BookText"/>
      </w:pPr>
      <w:r>
        <w:rPr>
          <w:rFonts w:ascii="Amiri" w:hAnsi="Amiri" w:eastAsia="Amiri" w:cs="Amiri"/>
          <w:lang w:bidi="ar-SA"/>
          <w:color w:val="111111"/>
          <w:sz w:val="28"/>
          <w:szCs w:val="28"/>
          <w:rtl/>
        </w:rPr>
        <w:t xml:space="preserve">حيدر بن احمد كردي حسين آبادي -كردي</w:t>
      </w:r>
    </w:p>
    <w:p>
      <w:pPr>
        <w:pStyle w:val="BookText"/>
      </w:pPr>
      <w:r>
        <w:rPr>
          <w:rFonts w:ascii="IRNazanin" w:hAnsi="IRNazanin" w:eastAsia="IRNazanin" w:cs="IRNazanin"/>
          <w:lang w:bidi="fa-IR"/>
          <w:color w:val="111111"/>
          <w:sz w:val="28"/>
          <w:szCs w:val="28"/>
          <w:rtl/>
        </w:rPr>
        <w:t xml:space="preserve">حسین آبادي ، حيدر بن احمد</w:t>
      </w:r>
    </w:p>
    <w:p>
      <w:pPr>
        <w:pStyle w:val="BookText"/>
      </w:pPr>
      <w:r>
        <w:rPr>
          <w:rFonts w:ascii="Amiri" w:hAnsi="Amiri" w:eastAsia="Amiri" w:cs="Amiri"/>
          <w:lang w:bidi="ar-SA"/>
          <w:color w:val="111111"/>
          <w:sz w:val="28"/>
          <w:szCs w:val="28"/>
          <w:rtl/>
        </w:rPr>
        <w:t xml:space="preserve">حيدر بن سليمان الحلي -حلي ، حيدر بن</w:t>
      </w:r>
    </w:p>
    <w:p>
      <w:pPr>
        <w:pStyle w:val="BookText"/>
      </w:pPr>
      <w:r>
        <w:rPr>
          <w:rFonts w:ascii="IRNazanin" w:hAnsi="IRNazanin" w:eastAsia="IRNazanin" w:cs="IRNazanin"/>
          <w:lang w:bidi="fa-IR"/>
          <w:color w:val="111111"/>
          <w:sz w:val="28"/>
          <w:szCs w:val="28"/>
          <w:rtl/>
        </w:rPr>
        <w:t xml:space="preserve">سلیمان</w:t>
      </w:r>
    </w:p>
    <w:p>
      <w:pPr>
        <w:pStyle w:val="BookText"/>
      </w:pPr>
      <w:r>
        <w:rPr>
          <w:rFonts w:ascii="Amiri" w:hAnsi="Amiri" w:eastAsia="Amiri" w:cs="Amiri"/>
          <w:lang w:bidi="ar-SA"/>
          <w:color w:val="111111"/>
          <w:sz w:val="28"/>
          <w:szCs w:val="28"/>
          <w:rtl/>
        </w:rPr>
        <w:t xml:space="preserve">حيدر بن عبدالرحمن حسيني</w:t>
      </w:r>
    </w:p>
    <w:p>
      <w:pPr>
        <w:pStyle w:val="BookText"/>
      </w:pPr>
      <w:r>
        <w:rPr>
          <w:rFonts w:ascii="Amiri" w:hAnsi="Amiri" w:eastAsia="Amiri" w:cs="Amiri"/>
          <w:lang w:bidi="ar-SA"/>
          <w:color w:val="111111"/>
          <w:sz w:val="28"/>
          <w:szCs w:val="28"/>
          <w:rtl/>
        </w:rPr>
        <w:t xml:space="preserve">جزري -حسيني جزري، حيدر بن عبد الرحمن</w:t>
      </w:r>
    </w:p>
    <w:p>
      <w:pPr>
        <w:pStyle w:val="BookText"/>
      </w:pPr>
      <w:r>
        <w:rPr>
          <w:rFonts w:ascii="Amiri" w:hAnsi="Amiri" w:eastAsia="Amiri" w:cs="Amiri"/>
          <w:lang w:bidi="ar-SA"/>
          <w:color w:val="111111"/>
          <w:sz w:val="28"/>
          <w:szCs w:val="28"/>
          <w:rtl/>
        </w:rPr>
        <w:t xml:space="preserve">حيدر بن عبدالله الحيدري- داغستاني</w:t>
      </w:r>
    </w:p>
    <w:p>
      <w:pPr>
        <w:pStyle w:val="BookText"/>
      </w:pPr>
      <w:r>
        <w:rPr>
          <w:rFonts w:ascii="Amiri" w:hAnsi="Amiri" w:eastAsia="Amiri" w:cs="Amiri"/>
          <w:lang w:bidi="ar-SA"/>
          <w:color w:val="111111"/>
          <w:sz w:val="28"/>
          <w:szCs w:val="28"/>
          <w:rtl/>
        </w:rPr>
        <w:t xml:space="preserve">حيدر بن عبدالله</w:t>
      </w:r>
    </w:p>
    <w:p>
      <w:pPr>
        <w:pStyle w:val="BookText"/>
      </w:pPr>
      <w:r>
        <w:rPr>
          <w:rFonts w:ascii="Amiri" w:hAnsi="Amiri" w:eastAsia="Amiri" w:cs="Amiri"/>
          <w:lang w:bidi="ar-SA"/>
          <w:color w:val="111111"/>
          <w:sz w:val="28"/>
          <w:szCs w:val="28"/>
          <w:rtl/>
        </w:rPr>
        <w:t xml:space="preserve">حيدر بن عبدالله نائب اللواء</w:t>
      </w:r>
    </w:p>
    <w:p>
      <w:pPr>
        <w:pStyle w:val="BookText"/>
      </w:pPr>
      <w:r>
        <w:rPr>
          <w:rFonts w:ascii="Amiri" w:hAnsi="Amiri" w:eastAsia="Amiri" w:cs="Amiri"/>
          <w:lang w:bidi="ar-SA"/>
          <w:color w:val="111111"/>
          <w:sz w:val="28"/>
          <w:szCs w:val="28"/>
          <w:rtl/>
        </w:rPr>
        <w:t xml:space="preserve">العمارة - نائب اللواء ، حيدر بن عبدالله</w:t>
      </w:r>
    </w:p>
    <w:p>
      <w:pPr>
        <w:pStyle w:val="Heading2"/>
      </w:pPr>
      <w:bookmarkStart w:id="4004" w:name="_Toc3106"/>
      <w:r>
        <w:t>حیدر بن عبیدالله</w:t>
      </w:r>
      <w:bookmarkEnd w:id="4004"/>
    </w:p>
    <w:p>
      <w:pPr>
        <w:pStyle w:val="BookText"/>
      </w:pPr>
      <w:r>
        <w:rPr>
          <w:rFonts w:ascii="Amiri" w:hAnsi="Amiri" w:eastAsia="Amiri" w:cs="Amiri"/>
          <w:lang w:bidi="ar-SA"/>
          <w:color w:val="111111"/>
          <w:sz w:val="28"/>
          <w:szCs w:val="28"/>
          <w:rtl/>
        </w:rPr>
        <w:t xml:space="preserve">غرر الدرر في صفات سيد البشر، ج 11،</w:t>
      </w:r>
    </w:p>
    <w:p>
      <w:pPr>
        <w:pStyle w:val="BookText"/>
      </w:pPr>
      <w:r>
        <w:rPr>
          <w:rFonts w:ascii="IRNazanin" w:hAnsi="IRNazanin" w:eastAsia="IRNazanin" w:cs="IRNazanin"/>
          <w:lang w:bidi="fa-IR"/>
          <w:color w:val="111111"/>
          <w:sz w:val="28"/>
          <w:szCs w:val="28"/>
          <w:rtl/>
        </w:rPr>
        <w:t xml:space="preserve">ص 481.</w:t>
      </w:r>
    </w:p>
    <w:p>
      <w:pPr>
        <w:pStyle w:val="BookText"/>
      </w:pPr>
      <w:r>
        <w:rPr>
          <w:rFonts w:ascii="Amiri" w:hAnsi="Amiri" w:eastAsia="Amiri" w:cs="Amiri"/>
          <w:lang w:bidi="ar-SA"/>
          <w:color w:val="111111"/>
          <w:sz w:val="28"/>
          <w:szCs w:val="28"/>
          <w:rtl/>
        </w:rPr>
        <w:t xml:space="preserve">حيدر بن علاء الدين حسيني بيروي -حسيني بيروي ، حيدر بن علاء الدين</w:t>
      </w:r>
    </w:p>
    <w:p>
      <w:pPr>
        <w:pStyle w:val="BookText"/>
      </w:pPr>
      <w:r>
        <w:rPr>
          <w:rFonts w:ascii="Amiri" w:hAnsi="Amiri" w:eastAsia="Amiri" w:cs="Amiri"/>
          <w:lang w:bidi="ar-SA"/>
          <w:color w:val="111111"/>
          <w:sz w:val="28"/>
          <w:szCs w:val="28"/>
          <w:rtl/>
        </w:rPr>
        <w:t xml:space="preserve">حيدر بن علي بن محمّد حسن</w:t>
      </w:r>
    </w:p>
    <w:p>
      <w:pPr>
        <w:pStyle w:val="BookText"/>
      </w:pPr>
      <w:r>
        <w:rPr>
          <w:rFonts w:ascii="Amiri" w:hAnsi="Amiri" w:eastAsia="Amiri" w:cs="Amiri"/>
          <w:lang w:bidi="ar-SA"/>
          <w:color w:val="111111"/>
          <w:sz w:val="28"/>
          <w:szCs w:val="28"/>
          <w:rtl/>
        </w:rPr>
        <w:t xml:space="preserve">دهلوي- ابن عبد القادر دهلوي ، حيدر بن</w:t>
      </w:r>
    </w:p>
    <w:p>
      <w:pPr>
        <w:pStyle w:val="BookText"/>
      </w:pPr>
      <w:r>
        <w:rPr>
          <w:rFonts w:ascii="Amiri" w:hAnsi="Amiri" w:eastAsia="Amiri" w:cs="Amiri"/>
          <w:lang w:bidi="ar-SA"/>
          <w:color w:val="111111"/>
          <w:sz w:val="28"/>
          <w:szCs w:val="28"/>
          <w:rtl/>
        </w:rPr>
        <w:t xml:space="preserve">علي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8" w:name="pg7742_70271"/>
    <w:bookmarkEnd w:id="438"/>
    <w:p>
      <w:pPr>
        <w:pStyle w:val="BookText"/>
      </w:pPr>
      <w:r>
        <w:rPr>
          <w:rFonts w:ascii="Amiri" w:hAnsi="Amiri" w:eastAsia="Amiri" w:cs="Amiri"/>
          <w:lang w:bidi="ar-SA"/>
          <w:color w:val="111111"/>
          <w:sz w:val="28"/>
          <w:szCs w:val="28"/>
          <w:rtl/>
        </w:rPr>
        <w:t xml:space="preserve">حيدر بن علي حسيني -حسيني ، حيدر</w:t>
      </w:r>
    </w:p>
    <w:p>
      <w:pPr>
        <w:pStyle w:val="BookText"/>
      </w:pPr>
      <w:r>
        <w:rPr>
          <w:rFonts w:ascii="Amiri" w:hAnsi="Amiri" w:eastAsia="Amiri" w:cs="Amiri"/>
          <w:lang w:bidi="ar-SA"/>
          <w:color w:val="111111"/>
          <w:sz w:val="28"/>
          <w:szCs w:val="28"/>
          <w:rtl/>
        </w:rPr>
        <w:t xml:space="preserve">بن علي</w:t>
      </w:r>
    </w:p>
    <w:p>
      <w:pPr>
        <w:pStyle w:val="BookText"/>
      </w:pPr>
      <w:r>
        <w:rPr>
          <w:rFonts w:ascii="IRNazanin" w:hAnsi="IRNazanin" w:eastAsia="IRNazanin" w:cs="IRNazanin"/>
          <w:lang w:bidi="fa-IR"/>
          <w:color w:val="111111"/>
          <w:sz w:val="28"/>
          <w:szCs w:val="28"/>
          <w:rtl/>
        </w:rPr>
        <w:t xml:space="preserve">1299 ه-</w:t>
      </w:r>
    </w:p>
    <w:p>
      <w:pPr>
        <w:pStyle w:val="BookText"/>
      </w:pPr>
      <w:r>
        <w:rPr>
          <w:rFonts w:ascii="Amiri" w:hAnsi="Amiri" w:eastAsia="Amiri" w:cs="Amiri"/>
          <w:lang w:bidi="ar-SA"/>
          <w:color w:val="111111"/>
          <w:sz w:val="28"/>
          <w:szCs w:val="28"/>
          <w:rtl/>
        </w:rPr>
        <w:t xml:space="preserve">حيدر بن علي حسيني آملي- آملي ، حيدر</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حيدر بن محمّد حسن موسوي عاملي -موسوي عاملي ، حيدر بن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حیدر بن محمّد خوانساري -خوانساري ،</w:t>
      </w:r>
    </w:p>
    <w:p>
      <w:pPr>
        <w:pStyle w:val="BookText"/>
      </w:pPr>
      <w:r>
        <w:rPr>
          <w:rFonts w:ascii="Amiri" w:hAnsi="Amiri" w:eastAsia="Amiri" w:cs="Amiri"/>
          <w:lang w:bidi="ar-SA"/>
          <w:color w:val="111111"/>
          <w:sz w:val="28"/>
          <w:szCs w:val="28"/>
          <w:rtl/>
        </w:rPr>
        <w:t xml:space="preserve">حيدر بن محمّد</w:t>
      </w:r>
    </w:p>
    <w:p>
      <w:pPr>
        <w:pStyle w:val="BookText"/>
      </w:pPr>
      <w:r>
        <w:rPr>
          <w:rFonts w:ascii="Amiri" w:hAnsi="Amiri" w:eastAsia="Amiri" w:cs="Amiri"/>
          <w:lang w:bidi="ar-SA"/>
          <w:color w:val="111111"/>
          <w:sz w:val="28"/>
          <w:szCs w:val="28"/>
          <w:rtl/>
        </w:rPr>
        <w:t xml:space="preserve">حيدر بن محمّد شيرازي- شيرازي ، احمد</w:t>
      </w:r>
    </w:p>
    <w:p>
      <w:pPr>
        <w:pStyle w:val="BookText"/>
      </w:pPr>
      <w:r>
        <w:rPr>
          <w:rFonts w:ascii="IRNazanin" w:hAnsi="IRNazanin" w:eastAsia="IRNazanin" w:cs="IRNazanin"/>
          <w:lang w:bidi="fa-IR"/>
          <w:color w:val="111111"/>
          <w:sz w:val="28"/>
          <w:szCs w:val="28"/>
          <w:rtl/>
        </w:rPr>
        <w:t xml:space="preserve">بن حیدر</w:t>
      </w:r>
    </w:p>
    <w:p>
      <w:pPr>
        <w:pStyle w:val="Heading2"/>
      </w:pPr>
      <w:bookmarkStart w:id="4005" w:name="_Toc3107"/>
      <w:r>
        <w:t>حیدر بیگ</w:t>
      </w:r>
      <w:bookmarkEnd w:id="4005"/>
    </w:p>
    <w:p>
      <w:pPr>
        <w:pStyle w:val="BookText"/>
      </w:pPr>
      <w:r>
        <w:rPr>
          <w:rFonts w:ascii="Amiri" w:hAnsi="Amiri" w:eastAsia="Amiri" w:cs="Amiri"/>
          <w:lang w:bidi="ar-SA"/>
          <w:color w:val="111111"/>
          <w:sz w:val="28"/>
          <w:szCs w:val="28"/>
          <w:rtl/>
        </w:rPr>
        <w:t xml:space="preserve">الكبرى في المنطق (ترجمه)، ج13،</w:t>
      </w:r>
    </w:p>
    <w:p>
      <w:pPr>
        <w:pStyle w:val="BookText"/>
      </w:pPr>
      <w:r>
        <w:rPr>
          <w:rFonts w:ascii="IRNazanin" w:hAnsi="IRNazanin" w:eastAsia="IRNazanin" w:cs="IRNazanin"/>
          <w:lang w:bidi="fa-IR"/>
          <w:color w:val="111111"/>
          <w:sz w:val="28"/>
          <w:szCs w:val="28"/>
          <w:rtl/>
        </w:rPr>
        <w:t xml:space="preserve">ص 83.</w:t>
      </w:r>
    </w:p>
    <w:p>
      <w:pPr>
        <w:pStyle w:val="Heading2"/>
      </w:pPr>
      <w:bookmarkStart w:id="4006" w:name="_Toc3108"/>
      <w:r>
        <w:t>حيدرة ، خشيمة بن سليمان</w:t>
      </w:r>
      <w:bookmarkEnd w:id="4006"/>
    </w:p>
    <w:p>
      <w:pPr>
        <w:pStyle w:val="BookText"/>
      </w:pPr>
      <w:r>
        <w:rPr>
          <w:rFonts w:ascii="IRNazanin" w:hAnsi="IRNazanin" w:eastAsia="IRNazanin" w:cs="IRNazanin"/>
          <w:lang w:bidi="fa-IR"/>
          <w:color w:val="111111"/>
          <w:sz w:val="28"/>
          <w:szCs w:val="28"/>
          <w:rtl/>
        </w:rPr>
        <w:t xml:space="preserve">الفضائل، ج 12، ص 1.</w:t>
      </w:r>
    </w:p>
    <w:p>
      <w:pPr>
        <w:pStyle w:val="BookText"/>
      </w:pPr>
      <w:r>
        <w:rPr>
          <w:rFonts w:ascii="Amiri" w:hAnsi="Amiri" w:eastAsia="Amiri" w:cs="Amiri"/>
          <w:lang w:bidi="ar-SA"/>
          <w:color w:val="111111"/>
          <w:sz w:val="28"/>
          <w:szCs w:val="28"/>
          <w:rtl/>
        </w:rPr>
        <w:t xml:space="preserve">حيدر حسني كاظمي- حسني كاظمي</w:t>
      </w:r>
    </w:p>
    <w:p>
      <w:pPr>
        <w:pStyle w:val="BookText"/>
      </w:pPr>
      <w:r>
        <w:rPr>
          <w:rFonts w:ascii="Amiri" w:hAnsi="Amiri" w:eastAsia="Amiri" w:cs="Amiri"/>
          <w:lang w:bidi="ar-SA"/>
          <w:color w:val="111111"/>
          <w:sz w:val="28"/>
          <w:szCs w:val="28"/>
          <w:rtl/>
        </w:rPr>
        <w:t xml:space="preserve">حيدر بن ابراهيم</w:t>
      </w:r>
    </w:p>
    <w:p>
      <w:pPr>
        <w:pStyle w:val="BookText"/>
      </w:pPr>
      <w:r>
        <w:rPr>
          <w:rFonts w:ascii="Amiri" w:hAnsi="Amiri" w:eastAsia="Amiri" w:cs="Amiri"/>
          <w:lang w:bidi="ar-SA"/>
          <w:color w:val="111111"/>
          <w:sz w:val="28"/>
          <w:szCs w:val="28"/>
          <w:rtl/>
        </w:rPr>
        <w:t xml:space="preserve">حيدر علي بن عزيز الله مجلسي- مجلسي</w:t>
      </w:r>
    </w:p>
    <w:p>
      <w:pPr>
        <w:pStyle w:val="BookText"/>
      </w:pPr>
      <w:r>
        <w:rPr>
          <w:rFonts w:ascii="Amiri" w:hAnsi="Amiri" w:eastAsia="Amiri" w:cs="Amiri"/>
          <w:lang w:bidi="ar-SA"/>
          <w:color w:val="111111"/>
          <w:sz w:val="28"/>
          <w:szCs w:val="28"/>
          <w:rtl/>
        </w:rPr>
        <w:t xml:space="preserve">حيدر علي بن عزيز الله</w:t>
      </w:r>
    </w:p>
    <w:p>
      <w:pPr>
        <w:pStyle w:val="BookText"/>
      </w:pPr>
      <w:r>
        <w:rPr>
          <w:rFonts w:ascii="Amiri" w:hAnsi="Amiri" w:eastAsia="Amiri" w:cs="Amiri"/>
          <w:lang w:bidi="ar-SA"/>
          <w:color w:val="111111"/>
          <w:sz w:val="28"/>
          <w:szCs w:val="28"/>
          <w:rtl/>
        </w:rPr>
        <w:t xml:space="preserve">حيدر علي بن محمّد شيرواني - شيرواني ،</w:t>
      </w:r>
    </w:p>
    <w:p>
      <w:pPr>
        <w:pStyle w:val="BookText"/>
      </w:pPr>
      <w:r>
        <w:rPr>
          <w:rFonts w:ascii="Amiri" w:hAnsi="Amiri" w:eastAsia="Amiri" w:cs="Amiri"/>
          <w:lang w:bidi="ar-SA"/>
          <w:color w:val="111111"/>
          <w:sz w:val="28"/>
          <w:szCs w:val="28"/>
          <w:rtl/>
        </w:rPr>
        <w:t xml:space="preserve">حيدر علي بن محمّد</w:t>
      </w:r>
    </w:p>
    <w:p>
      <w:pPr>
        <w:pStyle w:val="BookText"/>
      </w:pPr>
      <w:r>
        <w:rPr>
          <w:rFonts w:ascii="Amiri" w:hAnsi="Amiri" w:eastAsia="Amiri" w:cs="Amiri"/>
          <w:lang w:bidi="ar-SA"/>
          <w:color w:val="111111"/>
          <w:sz w:val="28"/>
          <w:szCs w:val="28"/>
          <w:rtl/>
        </w:rPr>
        <w:t xml:space="preserve">حيدر علي بن محمّد مهدي كمالي</w:t>
      </w:r>
    </w:p>
    <w:p>
      <w:pPr>
        <w:pStyle w:val="BookText"/>
      </w:pPr>
      <w:r>
        <w:rPr>
          <w:rFonts w:ascii="Amiri" w:hAnsi="Amiri" w:eastAsia="Amiri" w:cs="Amiri"/>
          <w:lang w:bidi="ar-SA"/>
          <w:color w:val="111111"/>
          <w:sz w:val="28"/>
          <w:szCs w:val="28"/>
          <w:rtl/>
        </w:rPr>
        <w:t xml:space="preserve">ابرقوي- ابرقوهي ، حيدر علي</w:t>
      </w:r>
    </w:p>
    <w:p>
      <w:pPr>
        <w:pStyle w:val="BookText"/>
      </w:pPr>
      <w:r>
        <w:rPr>
          <w:rFonts w:ascii="Amiri" w:hAnsi="Amiri" w:eastAsia="Amiri" w:cs="Amiri"/>
          <w:lang w:bidi="ar-SA"/>
          <w:color w:val="111111"/>
          <w:sz w:val="28"/>
          <w:szCs w:val="28"/>
          <w:rtl/>
        </w:rPr>
        <w:t xml:space="preserve">حيدر قلي خان بن نورمحمّد خان</w:t>
      </w:r>
    </w:p>
    <w:p>
      <w:pPr>
        <w:pStyle w:val="BookText"/>
      </w:pPr>
      <w:r>
        <w:rPr>
          <w:rFonts w:ascii="IRNazanin" w:hAnsi="IRNazanin" w:eastAsia="IRNazanin" w:cs="IRNazanin"/>
          <w:lang w:bidi="fa-IR"/>
          <w:color w:val="111111"/>
          <w:sz w:val="28"/>
          <w:szCs w:val="28"/>
          <w:rtl/>
        </w:rPr>
        <w:t xml:space="preserve">سردار -سردار کابلي ، حيدر قلي</w:t>
      </w:r>
    </w:p>
    <w:p>
      <w:pPr>
        <w:pStyle w:val="BookText"/>
      </w:pPr>
      <w:r>
        <w:rPr>
          <w:rFonts w:ascii="Amiri" w:hAnsi="Amiri" w:eastAsia="Amiri" w:cs="Amiri"/>
          <w:lang w:bidi="ar-SA"/>
          <w:color w:val="111111"/>
          <w:sz w:val="28"/>
          <w:szCs w:val="28"/>
          <w:rtl/>
        </w:rPr>
        <w:t xml:space="preserve">حيدر محمّد فارسي- قاري ، محمّد بن</w:t>
      </w:r>
    </w:p>
    <w:p>
      <w:pPr>
        <w:pStyle w:val="BookText"/>
      </w:pPr>
      <w:r>
        <w:rPr>
          <w:rFonts w:ascii="IRNazanin" w:hAnsi="IRNazanin" w:eastAsia="IRNazanin" w:cs="IRNazanin"/>
          <w:lang w:bidi="fa-IR"/>
          <w:color w:val="111111"/>
          <w:sz w:val="28"/>
          <w:szCs w:val="28"/>
          <w:rtl/>
        </w:rPr>
        <w:t xml:space="preserve">حیدر</w:t>
      </w:r>
    </w:p>
    <w:p>
      <w:pPr>
        <w:pStyle w:val="Heading2"/>
      </w:pPr>
      <w:bookmarkStart w:id="4007" w:name="_Toc3109"/>
      <w:r>
        <w:t>حيدري ، ابراهيم بن صبغة الله، 1236؟ -</w:t>
      </w:r>
      <w:bookmarkEnd w:id="4007"/>
    </w:p>
    <w:p>
      <w:pPr>
        <w:pStyle w:val="BookText"/>
      </w:pPr>
      <w:r>
        <w:rPr>
          <w:rFonts w:ascii="Amiri" w:hAnsi="Amiri" w:eastAsia="Amiri" w:cs="Amiri"/>
          <w:lang w:bidi="ar-SA"/>
          <w:color w:val="111111"/>
          <w:sz w:val="28"/>
          <w:szCs w:val="28"/>
          <w:rtl/>
        </w:rPr>
        <w:t xml:space="preserve">1 .احسن المقال في شرح رسالة خلق</w:t>
      </w:r>
    </w:p>
    <w:p>
      <w:pPr>
        <w:pStyle w:val="BookText"/>
      </w:pPr>
      <w:r>
        <w:rPr>
          <w:rFonts w:ascii="IRNazanin" w:hAnsi="IRNazanin" w:eastAsia="IRNazanin" w:cs="IRNazanin"/>
          <w:lang w:bidi="fa-IR"/>
          <w:color w:val="111111"/>
          <w:sz w:val="28"/>
          <w:szCs w:val="28"/>
          <w:rtl/>
        </w:rPr>
        <w:t xml:space="preserve">الاعمال، ج1، ص 448.</w:t>
      </w:r>
    </w:p>
    <w:p>
      <w:pPr>
        <w:pStyle w:val="BookText"/>
      </w:pPr>
      <w:r>
        <w:rPr>
          <w:rFonts w:ascii="Amiri" w:hAnsi="Amiri" w:eastAsia="Amiri" w:cs="Amiri"/>
          <w:lang w:bidi="ar-SA"/>
          <w:color w:val="111111"/>
          <w:sz w:val="28"/>
          <w:szCs w:val="28"/>
          <w:rtl/>
        </w:rPr>
        <w:t xml:space="preserve">2 .الادلة الواضحة في كون البسملة جزءاً من الفاتحة، ج 1، ص 665.</w:t>
      </w:r>
    </w:p>
    <w:p>
      <w:pPr>
        <w:pStyle w:val="BookText"/>
      </w:pPr>
      <w:r>
        <w:rPr>
          <w:rFonts w:ascii="Amiri" w:hAnsi="Amiri" w:eastAsia="Amiri" w:cs="Amiri"/>
          <w:lang w:bidi="ar-SA"/>
          <w:color w:val="111111"/>
          <w:sz w:val="28"/>
          <w:szCs w:val="28"/>
          <w:rtl/>
        </w:rPr>
        <w:t xml:space="preserve">3 .الاسطرلاب (رسالة في)، ج2، ص191.</w:t>
      </w:r>
    </w:p>
    <w:p>
      <w:pPr>
        <w:pStyle w:val="BookText"/>
      </w:pPr>
      <w:r>
        <w:rPr>
          <w:rFonts w:ascii="Amiri" w:hAnsi="Amiri" w:eastAsia="Amiri" w:cs="Amiri"/>
          <w:lang w:bidi="ar-SA"/>
          <w:color w:val="111111"/>
          <w:sz w:val="28"/>
          <w:szCs w:val="28"/>
          <w:rtl/>
        </w:rPr>
        <w:t xml:space="preserve">4 .أعلى الرتبة بشرح نظم النخبة، ج 2،</w:t>
      </w:r>
    </w:p>
    <w:p>
      <w:pPr>
        <w:pStyle w:val="BookText"/>
      </w:pPr>
      <w:r>
        <w:rPr>
          <w:rFonts w:ascii="IRNazanin" w:hAnsi="IRNazanin" w:eastAsia="IRNazanin" w:cs="IRNazanin"/>
          <w:lang w:bidi="fa-IR"/>
          <w:color w:val="111111"/>
          <w:sz w:val="28"/>
          <w:szCs w:val="28"/>
          <w:rtl/>
        </w:rPr>
        <w:t xml:space="preserve">ص 570</w:t>
      </w:r>
    </w:p>
    <w:p>
      <w:pPr>
        <w:pStyle w:val="BookText"/>
      </w:pPr>
      <w:r>
        <w:rPr>
          <w:rFonts w:ascii="Amiri" w:hAnsi="Amiri" w:eastAsia="Amiri" w:cs="Amiri"/>
          <w:lang w:bidi="ar-SA"/>
          <w:color w:val="111111"/>
          <w:sz w:val="28"/>
          <w:szCs w:val="28"/>
          <w:rtl/>
        </w:rPr>
        <w:t xml:space="preserve">5.الإقامة الحيدرية على المقامة</w:t>
      </w:r>
    </w:p>
    <w:p>
      <w:pPr>
        <w:pStyle w:val="BookText"/>
      </w:pPr>
      <w:r>
        <w:rPr>
          <w:rFonts w:ascii="Amiri" w:hAnsi="Amiri" w:eastAsia="Amiri" w:cs="Amiri"/>
          <w:lang w:bidi="ar-SA"/>
          <w:color w:val="111111"/>
          <w:sz w:val="28"/>
          <w:szCs w:val="28"/>
          <w:rtl/>
        </w:rPr>
        <w:t xml:space="preserve">الطيفية، ج 2، ص 607.</w:t>
      </w:r>
    </w:p>
    <w:p>
      <w:pPr>
        <w:pStyle w:val="BookText"/>
      </w:pPr>
      <w:r>
        <w:rPr>
          <w:rFonts w:ascii="Amiri" w:hAnsi="Amiri" w:eastAsia="Amiri" w:cs="Amiri"/>
          <w:lang w:bidi="ar-SA"/>
          <w:color w:val="111111"/>
          <w:sz w:val="28"/>
          <w:szCs w:val="28"/>
          <w:rtl/>
        </w:rPr>
        <w:t xml:space="preserve">6 .إلقام الحجر في فم من هدى و</w:t>
      </w:r>
    </w:p>
    <w:p>
      <w:pPr>
        <w:pStyle w:val="BookText"/>
      </w:pPr>
      <w:r>
        <w:rPr>
          <w:rFonts w:ascii="IRNazanin" w:hAnsi="IRNazanin" w:eastAsia="IRNazanin" w:cs="IRNazanin"/>
          <w:lang w:bidi="fa-IR"/>
          <w:color w:val="111111"/>
          <w:sz w:val="28"/>
          <w:szCs w:val="28"/>
          <w:rtl/>
        </w:rPr>
        <w:t xml:space="preserve">فجر، ج 2، ص 694.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البيع، ج 3، ص 505.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تذكرة الاذكياء و تبصرة الأغنياء في عصمة الأنبياء، ج 4، ص 178.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ترشيح اللسان في علم البيان، ج4،</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Amiri" w:hAnsi="Amiri" w:eastAsia="Amiri" w:cs="Amiri"/>
          <w:lang w:bidi="ar-SA"/>
          <w:color w:val="111111"/>
          <w:sz w:val="28"/>
          <w:szCs w:val="28"/>
          <w:rtl/>
        </w:rPr>
        <w:t xml:space="preserve">10 .تعليقات في الافتاء، ج 4، ص 505.</w:t>
      </w:r>
    </w:p>
    <w:p>
      <w:pPr>
        <w:pStyle w:val="BookText"/>
      </w:pPr>
      <w:r>
        <w:rPr>
          <w:rFonts w:ascii="Amiri" w:hAnsi="Amiri" w:eastAsia="Amiri" w:cs="Amiri"/>
          <w:lang w:bidi="ar-SA"/>
          <w:color w:val="111111"/>
          <w:sz w:val="28"/>
          <w:szCs w:val="28"/>
          <w:rtl/>
        </w:rPr>
        <w:t xml:space="preserve">11 .التلميحات إلى معاني المحاكمات</w:t>
      </w:r>
    </w:p>
    <w:p>
      <w:pPr>
        <w:pStyle w:val="BookText"/>
      </w:pPr>
      <w:r>
        <w:rPr>
          <w:rFonts w:ascii="IRNazanin" w:hAnsi="IRNazanin" w:eastAsia="IRNazanin" w:cs="IRNazanin"/>
          <w:lang w:bidi="fa-IR"/>
          <w:color w:val="111111"/>
          <w:sz w:val="28"/>
          <w:szCs w:val="28"/>
          <w:rtl/>
        </w:rPr>
        <w:t xml:space="preserve">ج 4، ص 868.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حاشية حاشية القره باغي على شرح الايساغوجي، ج 5، ص 841.</w:t>
      </w:r>
    </w:p>
    <w:p>
      <w:pPr>
        <w:pStyle w:val="BookText"/>
      </w:pPr>
      <w:r>
        <w:rPr>
          <w:rFonts w:ascii="Amiri" w:hAnsi="Amiri" w:eastAsia="Amiri" w:cs="Amiri"/>
          <w:lang w:bidi="ar-SA"/>
          <w:color w:val="111111"/>
          <w:sz w:val="28"/>
          <w:szCs w:val="28"/>
          <w:rtl/>
        </w:rPr>
        <w:t xml:space="preserve">13 .حسن الوفاق في مكارم الأخلاق</w:t>
      </w:r>
    </w:p>
    <w:p>
      <w:pPr>
        <w:pStyle w:val="BookText"/>
      </w:pPr>
      <w:r>
        <w:rPr>
          <w:rFonts w:ascii="IRNazanin" w:hAnsi="IRNazanin" w:eastAsia="IRNazanin" w:cs="IRNazanin"/>
          <w:lang w:bidi="fa-IR"/>
          <w:color w:val="111111"/>
          <w:sz w:val="28"/>
          <w:szCs w:val="28"/>
          <w:rtl/>
        </w:rPr>
        <w:t xml:space="preserve">ج 6 ، ص 653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الرسالة الجفرية، ج8، ص 185.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السلسلة الحيدرية، ج8، ص 802.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المقاصد النووية، ج 10،</w:t>
      </w:r>
    </w:p>
    <w:p>
      <w:pPr>
        <w:pStyle w:val="BookText"/>
      </w:pPr>
      <w:r>
        <w:rPr>
          <w:rFonts w:ascii="IRNazanin" w:hAnsi="IRNazanin" w:eastAsia="IRNazanin" w:cs="IRNazanin"/>
          <w:lang w:bidi="fa-IR"/>
          <w:color w:val="111111"/>
          <w:sz w:val="28"/>
          <w:szCs w:val="28"/>
          <w:rtl/>
        </w:rPr>
        <w:t xml:space="preserve">ص 175 .</w:t>
      </w:r>
    </w:p>
    <w:p>
      <w:pPr>
        <w:pStyle w:val="BookText"/>
      </w:pPr>
      <w:r>
        <w:rPr>
          <w:rFonts w:ascii="Amiri" w:hAnsi="Amiri" w:eastAsia="Amiri" w:cs="Amiri"/>
          <w:lang w:bidi="ar-SA"/>
          <w:color w:val="111111"/>
          <w:sz w:val="28"/>
          <w:szCs w:val="28"/>
          <w:rtl/>
        </w:rPr>
        <w:t xml:space="preserve">17 .شرح المنظومة الحنفية = شرح نظم رسالة الآداب الحنفية، ج10،</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Amiri" w:hAnsi="Amiri" w:eastAsia="Amiri" w:cs="Amiri"/>
          <w:lang w:bidi="ar-SA"/>
          <w:color w:val="111111"/>
          <w:sz w:val="28"/>
          <w:szCs w:val="28"/>
          <w:rtl/>
        </w:rPr>
        <w:t xml:space="preserve">18 .شرح لغز اسعد صدرالدين» مفتي الحنفية في بغداد (رسالة في)، ج 10، ص 80.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9" w:name="pg7742_70273"/>
    <w:bookmarkEnd w:id="439"/>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لغز العمري، ج 10، ص81</w:t>
      </w:r>
    </w:p>
    <w:p>
      <w:pPr>
        <w:pStyle w:val="BookText"/>
      </w:pPr>
      <w:r>
        <w:rPr>
          <w:rFonts w:ascii="Amiri" w:hAnsi="Amiri" w:eastAsia="Amiri" w:cs="Amiri"/>
          <w:lang w:bidi="ar-SA"/>
          <w:color w:val="111111"/>
          <w:sz w:val="28"/>
          <w:szCs w:val="28"/>
          <w:rtl/>
        </w:rPr>
        <w:t xml:space="preserve">20 .الصراط المستقيم في الدين المحمّدي القويم، ج 10، ص 546.</w:t>
      </w:r>
    </w:p>
    <w:p>
      <w:pPr>
        <w:pStyle w:val="BookText"/>
      </w:pPr>
      <w:r>
        <w:rPr>
          <w:rFonts w:ascii="Amiri" w:hAnsi="Amiri" w:eastAsia="Amiri" w:cs="Amiri"/>
          <w:lang w:bidi="ar-SA"/>
          <w:color w:val="111111"/>
          <w:sz w:val="28"/>
          <w:szCs w:val="28"/>
          <w:rtl/>
        </w:rPr>
        <w:t xml:space="preserve">21 .عنوان المجد في بيان احوال بغداد</w:t>
      </w:r>
    </w:p>
    <w:p>
      <w:pPr>
        <w:pStyle w:val="BookText"/>
      </w:pPr>
      <w:r>
        <w:rPr>
          <w:rFonts w:ascii="Amiri" w:hAnsi="Amiri" w:eastAsia="Amiri" w:cs="Amiri"/>
          <w:lang w:bidi="ar-SA"/>
          <w:color w:val="111111"/>
          <w:sz w:val="28"/>
          <w:szCs w:val="28"/>
          <w:rtl/>
        </w:rPr>
        <w:t xml:space="preserve">و البصرة و نجد، ج 11، ص 340.</w:t>
      </w:r>
    </w:p>
    <w:p>
      <w:pPr>
        <w:pStyle w:val="BookText"/>
      </w:pPr>
      <w:r>
        <w:rPr>
          <w:rFonts w:ascii="Amiri" w:hAnsi="Amiri" w:eastAsia="Amiri" w:cs="Amiri"/>
          <w:lang w:bidi="ar-SA"/>
          <w:color w:val="111111"/>
          <w:sz w:val="28"/>
          <w:szCs w:val="28"/>
          <w:rtl/>
        </w:rPr>
        <w:t xml:space="preserve">22 .غوص البحار لاخراج الدر المنتقي</w:t>
      </w:r>
    </w:p>
    <w:p>
      <w:pPr>
        <w:pStyle w:val="BookText"/>
      </w:pPr>
      <w:r>
        <w:rPr>
          <w:rFonts w:ascii="IRNazanin" w:hAnsi="IRNazanin" w:eastAsia="IRNazanin" w:cs="IRNazanin"/>
          <w:lang w:bidi="fa-IR"/>
          <w:color w:val="111111"/>
          <w:sz w:val="28"/>
          <w:szCs w:val="28"/>
          <w:rtl/>
        </w:rPr>
        <w:t xml:space="preserve">إلى الامصار، ج 11، ص 544.</w:t>
      </w:r>
    </w:p>
    <w:p>
      <w:pPr>
        <w:pStyle w:val="BookText"/>
      </w:pPr>
      <w:r>
        <w:rPr>
          <w:rFonts w:ascii="Amiri" w:hAnsi="Amiri" w:eastAsia="Amiri" w:cs="Amiri"/>
          <w:lang w:bidi="ar-SA"/>
          <w:color w:val="111111"/>
          <w:sz w:val="28"/>
          <w:szCs w:val="28"/>
          <w:rtl/>
        </w:rPr>
        <w:t xml:space="preserve">23 .فصيح البيان في تفسير القرآن</w:t>
      </w:r>
    </w:p>
    <w:p>
      <w:pPr>
        <w:pStyle w:val="BookText"/>
      </w:pPr>
      <w:r>
        <w:rPr>
          <w:rFonts w:ascii="IRNazanin" w:hAnsi="IRNazanin" w:eastAsia="IRNazanin" w:cs="IRNazanin"/>
          <w:lang w:bidi="fa-IR"/>
          <w:color w:val="111111"/>
          <w:sz w:val="28"/>
          <w:szCs w:val="28"/>
          <w:rtl/>
        </w:rPr>
        <w:t xml:space="preserve">ج 11، ص 872.</w:t>
      </w:r>
    </w:p>
    <w:p>
      <w:pPr>
        <w:pStyle w:val="BookText"/>
      </w:pPr>
      <w:r>
        <w:rPr>
          <w:rFonts w:ascii="Amiri" w:hAnsi="Amiri" w:eastAsia="Amiri" w:cs="Amiri"/>
          <w:lang w:bidi="ar-SA"/>
          <w:color w:val="111111"/>
          <w:sz w:val="28"/>
          <w:szCs w:val="28"/>
          <w:rtl/>
        </w:rPr>
        <w:t xml:space="preserve">24 .فصيح التوقيع في علم البديع</w:t>
      </w:r>
    </w:p>
    <w:p>
      <w:pPr>
        <w:pStyle w:val="BookText"/>
      </w:pPr>
      <w:r>
        <w:rPr>
          <w:rFonts w:ascii="IRNazanin" w:hAnsi="IRNazanin" w:eastAsia="IRNazanin" w:cs="IRNazanin"/>
          <w:lang w:bidi="fa-IR"/>
          <w:color w:val="111111"/>
          <w:sz w:val="28"/>
          <w:szCs w:val="28"/>
          <w:rtl/>
        </w:rPr>
        <w:t xml:space="preserve">ج 11، ص 872.</w:t>
      </w:r>
    </w:p>
    <w:p>
      <w:pPr>
        <w:pStyle w:val="BookText"/>
      </w:pPr>
      <w:r>
        <w:rPr>
          <w:rFonts w:ascii="Amiri" w:hAnsi="Amiri" w:eastAsia="Amiri" w:cs="Amiri"/>
          <w:lang w:bidi="ar-SA"/>
          <w:color w:val="111111"/>
          <w:sz w:val="28"/>
          <w:szCs w:val="28"/>
          <w:rtl/>
        </w:rPr>
        <w:t xml:space="preserve">25 .لغز اسم «شريف رشدي و محمّد كامل (رسالة في)، ج 13، ص 596.</w:t>
      </w:r>
    </w:p>
    <w:p>
      <w:pPr>
        <w:pStyle w:val="BookText"/>
      </w:pPr>
      <w:r>
        <w:rPr>
          <w:rFonts w:ascii="Amiri" w:hAnsi="Amiri" w:eastAsia="Amiri" w:cs="Amiri"/>
          <w:lang w:bidi="ar-SA"/>
          <w:color w:val="111111"/>
          <w:sz w:val="28"/>
          <w:szCs w:val="28"/>
          <w:rtl/>
        </w:rPr>
        <w:t xml:space="preserve">26 .لغز باسم محمّد علي» (رسالة</w:t>
      </w:r>
    </w:p>
    <w:p>
      <w:pPr>
        <w:pStyle w:val="BookText"/>
      </w:pPr>
      <w:r>
        <w:rPr>
          <w:rFonts w:ascii="Amiri" w:hAnsi="Amiri" w:eastAsia="Amiri" w:cs="Amiri"/>
          <w:lang w:bidi="ar-SA"/>
          <w:color w:val="111111"/>
          <w:sz w:val="28"/>
          <w:szCs w:val="28"/>
          <w:rtl/>
        </w:rPr>
        <w:t xml:space="preserve">في)، ج 13، ص 597.</w:t>
      </w:r>
    </w:p>
    <w:p>
      <w:pPr>
        <w:pStyle w:val="BookText"/>
      </w:pPr>
      <w:r>
        <w:rPr>
          <w:rFonts w:ascii="IRNazanin" w:hAnsi="IRNazanin" w:eastAsia="IRNazanin" w:cs="IRNazanin"/>
          <w:lang w:bidi="fa-IR"/>
          <w:color w:val="111111"/>
          <w:sz w:val="28"/>
          <w:szCs w:val="28"/>
          <w:rtl/>
        </w:rPr>
        <w:t xml:space="preserve">27 .المبدأ و المعاد، ج13، ص 734.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مقامة، ج 15، ص 311</w:t>
      </w:r>
    </w:p>
    <w:p>
      <w:pPr>
        <w:pStyle w:val="BookText"/>
      </w:pPr>
      <w:r>
        <w:rPr>
          <w:rFonts w:ascii="Amiri" w:hAnsi="Amiri" w:eastAsia="Amiri" w:cs="Amiri"/>
          <w:lang w:bidi="ar-SA"/>
          <w:color w:val="111111"/>
          <w:sz w:val="28"/>
          <w:szCs w:val="28"/>
          <w:rtl/>
        </w:rPr>
        <w:t xml:space="preserve">29 .مكتوب ملمع بالعربية و التركية</w:t>
      </w:r>
    </w:p>
    <w:p>
      <w:pPr>
        <w:pStyle w:val="BookText"/>
      </w:pPr>
      <w:r>
        <w:rPr>
          <w:rFonts w:ascii="IRNazanin" w:hAnsi="IRNazanin" w:eastAsia="IRNazanin" w:cs="IRNazanin"/>
          <w:lang w:bidi="fa-IR"/>
          <w:color w:val="111111"/>
          <w:sz w:val="28"/>
          <w:szCs w:val="28"/>
          <w:rtl/>
        </w:rPr>
        <w:t xml:space="preserve">ج 15، ص 426 .</w:t>
      </w:r>
    </w:p>
    <w:p>
      <w:pPr>
        <w:pStyle w:val="BookText"/>
      </w:pPr>
      <w:r>
        <w:rPr>
          <w:rFonts w:ascii="Amiri" w:hAnsi="Amiri" w:eastAsia="Amiri" w:cs="Amiri"/>
          <w:lang w:bidi="ar-SA"/>
          <w:color w:val="111111"/>
          <w:sz w:val="28"/>
          <w:szCs w:val="28"/>
          <w:rtl/>
        </w:rPr>
        <w:t xml:space="preserve">30 .نفح الرند في شرح سقط الزند</w:t>
      </w:r>
    </w:p>
    <w:p>
      <w:pPr>
        <w:pStyle w:val="BookText"/>
      </w:pPr>
      <w:r>
        <w:rPr>
          <w:rFonts w:ascii="IRNazanin" w:hAnsi="IRNazanin" w:eastAsia="IRNazanin" w:cs="IRNazanin"/>
          <w:lang w:bidi="fa-IR"/>
          <w:color w:val="111111"/>
          <w:sz w:val="28"/>
          <w:szCs w:val="28"/>
          <w:rtl/>
        </w:rPr>
        <w:t xml:space="preserve">ج 16، ص 396.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النكت الشنيعة في بيان الخلاف بين الله و الشيعة، ج 16، ص 464.</w:t>
      </w:r>
    </w:p>
    <w:p>
      <w:pPr>
        <w:pStyle w:val="BookText"/>
      </w:pPr>
      <w:r>
        <w:rPr>
          <w:rFonts w:ascii="Amiri" w:hAnsi="Amiri" w:eastAsia="Amiri" w:cs="Amiri"/>
          <w:lang w:bidi="ar-SA"/>
          <w:color w:val="111111"/>
          <w:sz w:val="28"/>
          <w:szCs w:val="28"/>
          <w:rtl/>
        </w:rPr>
        <w:t xml:space="preserve">32 .الوقف (رسالة في)، ج 16، ص 867.</w:t>
      </w:r>
    </w:p>
    <w:p>
      <w:pPr>
        <w:pStyle w:val="Heading2"/>
      </w:pPr>
      <w:bookmarkStart w:id="4008" w:name="_Toc3110"/>
      <w:r>
        <w:t>حيدري ، ابراهيم بن عاصم، قرن 13 ه-</w:t>
      </w:r>
      <w:bookmarkEnd w:id="4008"/>
    </w:p>
    <w:p>
      <w:pPr>
        <w:pStyle w:val="BookText"/>
      </w:pPr>
      <w:r>
        <w:rPr>
          <w:rFonts w:ascii="Amiri" w:hAnsi="Amiri" w:eastAsia="Amiri" w:cs="Amiri"/>
          <w:lang w:bidi="ar-SA"/>
          <w:color w:val="111111"/>
          <w:sz w:val="28"/>
          <w:szCs w:val="28"/>
          <w:rtl/>
        </w:rPr>
        <w:t xml:space="preserve">غاية التحقيق في شرح رسالة الدواني</w:t>
      </w:r>
    </w:p>
    <w:p>
      <w:pPr>
        <w:pStyle w:val="BookText"/>
      </w:pPr>
      <w:r>
        <w:rPr>
          <w:rFonts w:ascii="IRNazanin" w:hAnsi="IRNazanin" w:eastAsia="IRNazanin" w:cs="IRNazanin"/>
          <w:lang w:bidi="fa-IR"/>
          <w:color w:val="111111"/>
          <w:sz w:val="28"/>
          <w:szCs w:val="28"/>
          <w:rtl/>
        </w:rPr>
        <w:t xml:space="preserve">ج 11، ص 435 .</w:t>
      </w:r>
    </w:p>
    <w:p>
      <w:pPr>
        <w:pStyle w:val="BookText"/>
      </w:pPr>
      <w:r>
        <w:rPr>
          <w:rFonts w:ascii="Amiri" w:hAnsi="Amiri" w:eastAsia="Amiri" w:cs="Amiri"/>
          <w:lang w:bidi="ar-SA"/>
          <w:color w:val="111111"/>
          <w:sz w:val="28"/>
          <w:szCs w:val="28"/>
          <w:rtl/>
        </w:rPr>
        <w:t xml:space="preserve">حيدري ، احمد بن حيدر- كردي حسين</w:t>
      </w:r>
    </w:p>
    <w:p>
      <w:pPr>
        <w:pStyle w:val="BookText"/>
      </w:pPr>
      <w:r>
        <w:rPr>
          <w:rFonts w:ascii="Amiri" w:hAnsi="Amiri" w:eastAsia="Amiri" w:cs="Amiri"/>
          <w:lang w:bidi="ar-SA"/>
          <w:color w:val="111111"/>
          <w:sz w:val="28"/>
          <w:szCs w:val="28"/>
          <w:rtl/>
        </w:rPr>
        <w:t xml:space="preserve">آبادي ، احمد بن حيدر</w:t>
      </w:r>
    </w:p>
    <w:p>
      <w:pPr>
        <w:pStyle w:val="Heading2"/>
      </w:pPr>
      <w:bookmarkStart w:id="4009" w:name="_Toc3111"/>
      <w:r>
        <w:t>حيدري، اسماعيل بن ابراهيم - 911 ه-</w:t>
      </w:r>
      <w:bookmarkEnd w:id="4009"/>
    </w:p>
    <w:p>
      <w:pPr>
        <w:pStyle w:val="BookText"/>
      </w:pPr>
      <w:r>
        <w:rPr>
          <w:rFonts w:ascii="Amiri" w:hAnsi="Amiri" w:eastAsia="Amiri" w:cs="Amiri"/>
          <w:lang w:bidi="ar-SA"/>
          <w:color w:val="111111"/>
          <w:sz w:val="28"/>
          <w:szCs w:val="28"/>
          <w:rtl/>
        </w:rPr>
        <w:t xml:space="preserve">1 .حاشية حاشية القره باغي على شرح ايساغوجي، ج 5، ص 842.</w:t>
      </w:r>
    </w:p>
    <w:p>
      <w:pPr>
        <w:pStyle w:val="BookText"/>
      </w:pPr>
      <w:r>
        <w:rPr>
          <w:rFonts w:ascii="Amiri" w:hAnsi="Amiri" w:eastAsia="Amiri" w:cs="Amiri"/>
          <w:lang w:bidi="ar-SA"/>
          <w:color w:val="111111"/>
          <w:sz w:val="28"/>
          <w:szCs w:val="28"/>
          <w:rtl/>
        </w:rPr>
        <w:t xml:space="preserve">2 .حاشية شرح الرسالة العضدية، ج 6،</w:t>
      </w:r>
    </w:p>
    <w:p>
      <w:pPr>
        <w:pStyle w:val="BookText"/>
      </w:pPr>
      <w:r>
        <w:rPr>
          <w:rFonts w:ascii="IRNazanin" w:hAnsi="IRNazanin" w:eastAsia="IRNazanin" w:cs="IRNazanin"/>
          <w:lang w:bidi="fa-IR"/>
          <w:color w:val="111111"/>
          <w:sz w:val="28"/>
          <w:szCs w:val="28"/>
          <w:rtl/>
        </w:rPr>
        <w:t xml:space="preserve">ص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نبذة في تفسير آية من القرآن الكريم، ج 16، ص 110.</w:t>
      </w:r>
    </w:p>
    <w:p>
      <w:pPr>
        <w:pStyle w:val="BookText"/>
      </w:pPr>
      <w:r>
        <w:rPr>
          <w:rFonts w:ascii="Amiri" w:hAnsi="Amiri" w:eastAsia="Amiri" w:cs="Amiri"/>
          <w:lang w:bidi="ar-SA"/>
          <w:color w:val="111111"/>
          <w:sz w:val="28"/>
          <w:szCs w:val="28"/>
          <w:rtl/>
        </w:rPr>
        <w:t xml:space="preserve">حيدري ، حيدر بن عبدالله- داغستاني ،</w:t>
      </w:r>
    </w:p>
    <w:p>
      <w:pPr>
        <w:pStyle w:val="BookText"/>
      </w:pPr>
      <w:r>
        <w:rPr>
          <w:rFonts w:ascii="Amiri" w:hAnsi="Amiri" w:eastAsia="Amiri" w:cs="Amiri"/>
          <w:lang w:bidi="ar-SA"/>
          <w:color w:val="111111"/>
          <w:sz w:val="28"/>
          <w:szCs w:val="28"/>
          <w:rtl/>
        </w:rPr>
        <w:t xml:space="preserve">حيدر بن عبدالله</w:t>
      </w:r>
    </w:p>
    <w:p>
      <w:pPr>
        <w:pStyle w:val="Heading2"/>
      </w:pPr>
      <w:bookmarkStart w:id="4010" w:name="_Toc3112"/>
      <w:r>
        <w:t>حيدري ، درویش بن محمّد امین</w:t>
      </w:r>
      <w:bookmarkEnd w:id="4010"/>
    </w:p>
    <w:p>
      <w:pPr>
        <w:pStyle w:val="BookText"/>
      </w:pPr>
      <w:r>
        <w:rPr>
          <w:rFonts w:ascii="Amiri" w:hAnsi="Amiri" w:eastAsia="Amiri" w:cs="Amiri"/>
          <w:lang w:bidi="ar-SA"/>
          <w:color w:val="111111"/>
          <w:sz w:val="28"/>
          <w:szCs w:val="28"/>
          <w:rtl/>
        </w:rPr>
        <w:t xml:space="preserve">1 .لغز باسم «احمد» «توفيق» قائم مقام والي العراق (رسالة في)، ج 13،</w:t>
      </w:r>
    </w:p>
    <w:p>
      <w:pPr>
        <w:pStyle w:val="BookText"/>
      </w:pPr>
      <w:r>
        <w:rPr>
          <w:rFonts w:ascii="IRNazanin" w:hAnsi="IRNazanin" w:eastAsia="IRNazanin" w:cs="IRNazanin"/>
          <w:lang w:bidi="fa-IR"/>
          <w:color w:val="111111"/>
          <w:sz w:val="28"/>
          <w:szCs w:val="28"/>
          <w:rtl/>
        </w:rPr>
        <w:t xml:space="preserve">ص 597 .</w:t>
      </w:r>
    </w:p>
    <w:p>
      <w:pPr>
        <w:pStyle w:val="BookText"/>
      </w:pPr>
      <w:r>
        <w:rPr>
          <w:rFonts w:ascii="Amiri" w:hAnsi="Amiri" w:eastAsia="Amiri" w:cs="Amiri"/>
          <w:lang w:bidi="ar-SA"/>
          <w:color w:val="111111"/>
          <w:sz w:val="28"/>
          <w:szCs w:val="28"/>
          <w:rtl/>
        </w:rPr>
        <w:t xml:space="preserve">2 .لغز باسم محمّد علي» (رسالة في)</w:t>
      </w:r>
    </w:p>
    <w:p>
      <w:pPr>
        <w:pStyle w:val="BookText"/>
      </w:pPr>
      <w:r>
        <w:rPr>
          <w:rFonts w:ascii="IRNazanin" w:hAnsi="IRNazanin" w:eastAsia="IRNazanin" w:cs="IRNazanin"/>
          <w:lang w:bidi="fa-IR"/>
          <w:color w:val="111111"/>
          <w:sz w:val="28"/>
          <w:szCs w:val="28"/>
          <w:rtl/>
        </w:rPr>
        <w:t xml:space="preserve">ج 13، ص 597.</w:t>
      </w:r>
    </w:p>
    <w:p>
      <w:pPr>
        <w:pStyle w:val="Heading2"/>
      </w:pPr>
      <w:bookmarkStart w:id="4011" w:name="_Toc3113"/>
      <w:r>
        <w:t>حيدري، صبغة الله بن ابراهيم - 1187ه-</w:t>
      </w:r>
      <w:bookmarkEnd w:id="4011"/>
    </w:p>
    <w:p>
      <w:pPr>
        <w:pStyle w:val="BookText"/>
      </w:pPr>
      <w:r>
        <w:rPr>
          <w:rFonts w:ascii="Amiri" w:hAnsi="Amiri" w:eastAsia="Amiri" w:cs="Amiri"/>
          <w:lang w:bidi="ar-SA"/>
          <w:color w:val="111111"/>
          <w:sz w:val="28"/>
          <w:szCs w:val="28"/>
          <w:rtl/>
        </w:rPr>
        <w:t xml:space="preserve">1 .تحقيق زيادة الصفات، ج 4، ص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 ج 4، ص 488.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تعليقات، ج 4، ص 489</w:t>
      </w:r>
    </w:p>
    <w:p>
      <w:pPr>
        <w:pStyle w:val="BookText"/>
      </w:pPr>
      <w:r>
        <w:rPr>
          <w:rFonts w:ascii="Amiri" w:hAnsi="Amiri" w:eastAsia="Amiri" w:cs="Amiri"/>
          <w:lang w:bidi="ar-SA"/>
          <w:color w:val="111111"/>
          <w:sz w:val="28"/>
          <w:szCs w:val="28"/>
          <w:rtl/>
        </w:rPr>
        <w:t xml:space="preserve">4 .تعليق على نقولات في التفسير، ج 4،</w:t>
      </w:r>
    </w:p>
    <w:p>
      <w:pPr>
        <w:pStyle w:val="BookText"/>
      </w:pPr>
      <w:r>
        <w:rPr>
          <w:rFonts w:ascii="IRNazanin" w:hAnsi="IRNazanin" w:eastAsia="IRNazanin" w:cs="IRNazanin"/>
          <w:lang w:bidi="fa-IR"/>
          <w:color w:val="111111"/>
          <w:sz w:val="28"/>
          <w:szCs w:val="28"/>
          <w:rtl/>
        </w:rPr>
        <w:t xml:space="preserve">ص 553.</w:t>
      </w:r>
    </w:p>
    <w:p>
      <w:pPr>
        <w:pStyle w:val="BookText"/>
      </w:pPr>
      <w:r>
        <w:rPr>
          <w:rFonts w:ascii="Amiri" w:hAnsi="Amiri" w:eastAsia="Amiri" w:cs="Amiri"/>
          <w:lang w:bidi="ar-SA"/>
          <w:color w:val="111111"/>
          <w:sz w:val="28"/>
          <w:szCs w:val="28"/>
          <w:rtl/>
        </w:rPr>
        <w:t xml:space="preserve">5 .تفسير القرآن الكريم، ج 4، ص 668.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تفسير جملة من القرآن الكريم</w:t>
      </w:r>
    </w:p>
    <w:p>
      <w:pPr>
        <w:pStyle w:val="BookText"/>
      </w:pPr>
      <w:r>
        <w:rPr>
          <w:rFonts w:ascii="IRNazanin" w:hAnsi="IRNazanin" w:eastAsia="IRNazanin" w:cs="IRNazanin"/>
          <w:lang w:bidi="fa-IR"/>
          <w:color w:val="111111"/>
          <w:sz w:val="28"/>
          <w:szCs w:val="28"/>
          <w:rtl/>
        </w:rPr>
        <w:t xml:space="preserve">ج 4، ص 617.</w:t>
      </w:r>
    </w:p>
    <w:p>
      <w:pPr>
        <w:pStyle w:val="BookText"/>
      </w:pPr>
      <w:r>
        <w:rPr>
          <w:rFonts w:ascii="Amiri" w:hAnsi="Amiri" w:eastAsia="Amiri" w:cs="Amiri"/>
          <w:lang w:bidi="ar-SA"/>
          <w:color w:val="111111"/>
          <w:sz w:val="28"/>
          <w:szCs w:val="28"/>
          <w:rtl/>
        </w:rPr>
        <w:t xml:space="preserve">7 .حاشية انوار التنزيل، ج5، ص 698.</w:t>
      </w:r>
    </w:p>
    <w:p>
      <w:pPr>
        <w:pStyle w:val="BookText"/>
      </w:pPr>
      <w:r>
        <w:rPr>
          <w:rFonts w:ascii="Amiri" w:hAnsi="Amiri" w:eastAsia="Amiri" w:cs="Amiri"/>
          <w:lang w:bidi="ar-SA"/>
          <w:color w:val="111111"/>
          <w:sz w:val="28"/>
          <w:szCs w:val="28"/>
          <w:rtl/>
        </w:rPr>
        <w:t xml:space="preserve">8 .الطاعون (رسالة في)، ج 10، ص 732.</w:t>
      </w:r>
    </w:p>
    <w:p>
      <w:pPr>
        <w:pStyle w:val="BookText"/>
      </w:pPr>
      <w:r>
        <w:rPr>
          <w:rFonts w:ascii="Amiri" w:hAnsi="Amiri" w:eastAsia="Amiri" w:cs="Amiri"/>
          <w:lang w:bidi="ar-SA"/>
          <w:color w:val="111111"/>
          <w:sz w:val="28"/>
          <w:szCs w:val="28"/>
          <w:rtl/>
        </w:rPr>
        <w:t xml:space="preserve">9 .مدح بعض الوزراء (رسالة في)</w:t>
      </w:r>
    </w:p>
    <w:p>
      <w:pPr>
        <w:pStyle w:val="BookText"/>
      </w:pPr>
      <w:r>
        <w:rPr>
          <w:rFonts w:ascii="IRNazanin" w:hAnsi="IRNazanin" w:eastAsia="IRNazanin" w:cs="IRNazanin"/>
          <w:lang w:bidi="fa-IR"/>
          <w:color w:val="111111"/>
          <w:sz w:val="28"/>
          <w:szCs w:val="28"/>
          <w:rtl/>
        </w:rPr>
        <w:t xml:space="preserve">ج 14، ص 320.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0" w:name="pg7742_70275"/>
    <w:bookmarkEnd w:id="440"/>
    <w:p>
      <w:pPr>
        <w:pStyle w:val="Heading2"/>
      </w:pPr>
      <w:bookmarkStart w:id="4012" w:name="_Toc3114"/>
      <w:r>
        <w:t>حيدري ، عاصم بن ابراهیم قرن 13</w:t>
      </w:r>
      <w:bookmarkEnd w:id="4012"/>
    </w:p>
    <w:p>
      <w:pPr>
        <w:pStyle w:val="BookText"/>
      </w:pPr>
      <w:r>
        <w:rPr>
          <w:rFonts w:ascii="Amiri" w:hAnsi="Amiri" w:eastAsia="Amiri" w:cs="Amiri"/>
          <w:lang w:bidi="ar-SA"/>
          <w:color w:val="111111"/>
          <w:sz w:val="28"/>
          <w:szCs w:val="28"/>
          <w:rtl/>
        </w:rPr>
        <w:t xml:space="preserve">التحفة النملية إلى آمر خزانة الكتب</w:t>
      </w:r>
    </w:p>
    <w:p>
      <w:pPr>
        <w:pStyle w:val="BookText"/>
      </w:pPr>
      <w:r>
        <w:rPr>
          <w:rFonts w:ascii="Amiri" w:hAnsi="Amiri" w:eastAsia="Amiri" w:cs="Amiri"/>
          <w:lang w:bidi="ar-SA"/>
          <w:color w:val="111111"/>
          <w:sz w:val="28"/>
          <w:szCs w:val="28"/>
          <w:rtl/>
        </w:rPr>
        <w:t xml:space="preserve">السليمانية المتعلقة على الحاشية الخيالية على العقائد النسفية، ج 4، ص 37.</w:t>
      </w:r>
    </w:p>
    <w:p>
      <w:pPr>
        <w:pStyle w:val="BookText"/>
      </w:pPr>
      <w:r>
        <w:rPr>
          <w:rFonts w:ascii="Amiri" w:hAnsi="Amiri" w:eastAsia="Amiri" w:cs="Amiri"/>
          <w:lang w:bidi="ar-SA"/>
          <w:color w:val="111111"/>
          <w:sz w:val="28"/>
          <w:szCs w:val="28"/>
          <w:rtl/>
        </w:rPr>
        <w:t xml:space="preserve">حيدري ، عبد الدائم بن علي- حديدي ،</w:t>
      </w:r>
    </w:p>
    <w:p>
      <w:pPr>
        <w:pStyle w:val="BookText"/>
      </w:pPr>
      <w:r>
        <w:rPr>
          <w:rFonts w:ascii="Amiri" w:hAnsi="Amiri" w:eastAsia="Amiri" w:cs="Amiri"/>
          <w:lang w:bidi="ar-SA"/>
          <w:color w:val="111111"/>
          <w:sz w:val="28"/>
          <w:szCs w:val="28"/>
          <w:rtl/>
        </w:rPr>
        <w:t xml:space="preserve">عبدالدائم بن علي</w:t>
      </w:r>
    </w:p>
    <w:p>
      <w:pPr>
        <w:pStyle w:val="Heading2"/>
      </w:pPr>
      <w:bookmarkStart w:id="4013" w:name="_Toc3115"/>
      <w:r>
        <w:t>حيدري ، عبدالله - 1233 ه-</w:t>
      </w:r>
      <w:bookmarkEnd w:id="4013"/>
    </w:p>
    <w:p>
      <w:pPr>
        <w:pStyle w:val="BookText"/>
      </w:pPr>
      <w:r>
        <w:rPr>
          <w:rFonts w:ascii="Amiri" w:hAnsi="Amiri" w:eastAsia="Amiri" w:cs="Amiri"/>
          <w:lang w:bidi="ar-SA"/>
          <w:color w:val="111111"/>
          <w:sz w:val="28"/>
          <w:szCs w:val="28"/>
          <w:rtl/>
        </w:rPr>
        <w:t xml:space="preserve">حاشية على باب الفرائض في كتاب</w:t>
      </w:r>
    </w:p>
    <w:p>
      <w:pPr>
        <w:pStyle w:val="BookText"/>
      </w:pPr>
      <w:r>
        <w:rPr>
          <w:rFonts w:ascii="Amiri" w:hAnsi="Amiri" w:eastAsia="Amiri" w:cs="Amiri"/>
          <w:lang w:bidi="ar-SA"/>
          <w:color w:val="111111"/>
          <w:sz w:val="28"/>
          <w:szCs w:val="28"/>
          <w:rtl/>
        </w:rPr>
        <w:t xml:space="preserve">تحفة المحتاج، ج6، ص 234.</w:t>
      </w:r>
    </w:p>
    <w:p>
      <w:pPr>
        <w:pStyle w:val="Heading2"/>
      </w:pPr>
      <w:bookmarkStart w:id="4014" w:name="_Toc3116"/>
      <w:r>
        <w:t>حيدري ، عبدالله بن احمد</w:t>
      </w:r>
      <w:bookmarkEnd w:id="4014"/>
    </w:p>
    <w:p>
      <w:pPr>
        <w:pStyle w:val="BookText"/>
      </w:pPr>
      <w:r>
        <w:rPr>
          <w:rFonts w:ascii="Amiri" w:hAnsi="Amiri" w:eastAsia="Amiri" w:cs="Amiri"/>
          <w:lang w:bidi="ar-SA"/>
          <w:color w:val="111111"/>
          <w:sz w:val="28"/>
          <w:szCs w:val="28"/>
          <w:rtl/>
        </w:rPr>
        <w:t xml:space="preserve">مسائل في المنطق، ج 14، ص 477.</w:t>
      </w:r>
    </w:p>
    <w:p>
      <w:pPr>
        <w:pStyle w:val="BookText"/>
      </w:pPr>
      <w:r>
        <w:rPr>
          <w:rFonts w:ascii="Amiri" w:hAnsi="Amiri" w:eastAsia="Amiri" w:cs="Amiri"/>
          <w:lang w:bidi="ar-SA"/>
          <w:color w:val="111111"/>
          <w:sz w:val="28"/>
          <w:szCs w:val="28"/>
          <w:rtl/>
        </w:rPr>
        <w:t xml:space="preserve">حيدري ، عبدالله بن حيدر- كردي حسين</w:t>
      </w:r>
    </w:p>
    <w:p>
      <w:pPr>
        <w:pStyle w:val="BookText"/>
      </w:pPr>
      <w:r>
        <w:rPr>
          <w:rFonts w:ascii="Amiri" w:hAnsi="Amiri" w:eastAsia="Amiri" w:cs="Amiri"/>
          <w:lang w:bidi="ar-SA"/>
          <w:color w:val="111111"/>
          <w:sz w:val="28"/>
          <w:szCs w:val="28"/>
          <w:rtl/>
        </w:rPr>
        <w:t xml:space="preserve">آبادي ، عبدالله بن حيدر</w:t>
      </w:r>
    </w:p>
    <w:p>
      <w:pPr>
        <w:pStyle w:val="Heading2"/>
      </w:pPr>
      <w:bookmarkStart w:id="4015" w:name="_Toc3117"/>
      <w:r>
        <w:t>حيدري عبيد الله بن صبغة الله - 1242ه-</w:t>
      </w:r>
      <w:bookmarkEnd w:id="4015"/>
    </w:p>
    <w:p>
      <w:pPr>
        <w:pStyle w:val="BookText"/>
      </w:pPr>
      <w:r>
        <w:rPr>
          <w:rFonts w:ascii="Amiri" w:hAnsi="Amiri" w:eastAsia="Amiri" w:cs="Amiri"/>
          <w:lang w:bidi="ar-SA"/>
          <w:color w:val="111111"/>
          <w:sz w:val="28"/>
          <w:szCs w:val="28"/>
          <w:rtl/>
        </w:rPr>
        <w:t xml:space="preserve">شرح المسائل الهندية، ج 10، ص 137.</w:t>
      </w:r>
    </w:p>
    <w:p>
      <w:pPr>
        <w:pStyle w:val="Heading2"/>
      </w:pPr>
      <w:bookmarkStart w:id="4016" w:name="_Toc3118"/>
      <w:r>
        <w:t>حيدري، محمّد السيّد احمد - 1315 ه-</w:t>
      </w:r>
      <w:bookmarkEnd w:id="4016"/>
    </w:p>
    <w:p>
      <w:pPr>
        <w:pStyle w:val="BookText"/>
      </w:pPr>
      <w:r>
        <w:rPr>
          <w:rFonts w:ascii="Amiri" w:hAnsi="Amiri" w:eastAsia="Amiri" w:cs="Amiri"/>
          <w:lang w:bidi="ar-SA"/>
          <w:color w:val="111111"/>
          <w:sz w:val="28"/>
          <w:szCs w:val="28"/>
          <w:rtl/>
        </w:rPr>
        <w:t xml:space="preserve">مقتل الحسين (ع)، ج 15 ، ص 340.</w:t>
      </w:r>
    </w:p>
    <w:p>
      <w:pPr>
        <w:pStyle w:val="Heading2"/>
      </w:pPr>
      <w:bookmarkStart w:id="4017" w:name="_Toc3119"/>
      <w:r>
        <w:t>حيدري ، محمّد بن حسين قرن 12 ه-</w:t>
      </w:r>
      <w:bookmarkEnd w:id="4017"/>
    </w:p>
    <w:p>
      <w:pPr>
        <w:pStyle w:val="BookText"/>
      </w:pPr>
      <w:r>
        <w:rPr>
          <w:rFonts w:ascii="Amiri" w:hAnsi="Amiri" w:eastAsia="Amiri" w:cs="Amiri"/>
          <w:lang w:bidi="ar-SA"/>
          <w:color w:val="111111"/>
          <w:sz w:val="28"/>
          <w:szCs w:val="28"/>
          <w:rtl/>
        </w:rPr>
        <w:t xml:space="preserve">1 .حاشية حاشية مير أبي الفتح على</w:t>
      </w:r>
    </w:p>
    <w:p>
      <w:pPr>
        <w:pStyle w:val="BookText"/>
      </w:pPr>
      <w:r>
        <w:rPr>
          <w:rFonts w:ascii="Amiri" w:hAnsi="Amiri" w:eastAsia="Amiri" w:cs="Amiri"/>
          <w:lang w:bidi="ar-SA"/>
          <w:color w:val="111111"/>
          <w:sz w:val="28"/>
          <w:szCs w:val="28"/>
          <w:rtl/>
        </w:rPr>
        <w:t xml:space="preserve">الرسالة العضدية في الآداب، ج5، ص 851.</w:t>
      </w:r>
    </w:p>
    <w:p>
      <w:pPr>
        <w:pStyle w:val="BookText"/>
      </w:pPr>
      <w:r>
        <w:rPr>
          <w:rFonts w:ascii="Amiri" w:hAnsi="Amiri" w:eastAsia="Amiri" w:cs="Amiri"/>
          <w:lang w:bidi="ar-SA"/>
          <w:color w:val="111111"/>
          <w:sz w:val="28"/>
          <w:szCs w:val="28"/>
          <w:rtl/>
        </w:rPr>
        <w:t xml:space="preserve">2 .حاشية شرح الرسالة الوضعية، ج 6،</w:t>
      </w:r>
    </w:p>
    <w:p>
      <w:pPr>
        <w:pStyle w:val="BookText"/>
      </w:pPr>
      <w:r>
        <w:rPr>
          <w:rFonts w:ascii="IRNazanin" w:hAnsi="IRNazanin" w:eastAsia="IRNazanin" w:cs="IRNazanin"/>
          <w:lang w:bidi="fa-IR"/>
          <w:color w:val="111111"/>
          <w:sz w:val="28"/>
          <w:szCs w:val="28"/>
          <w:rtl/>
        </w:rPr>
        <w:t xml:space="preserve">ص 114 .</w:t>
      </w:r>
    </w:p>
    <w:p>
      <w:pPr>
        <w:pStyle w:val="BookText"/>
      </w:pPr>
      <w:r>
        <w:rPr>
          <w:rFonts w:ascii="Amiri" w:hAnsi="Amiri" w:eastAsia="Amiri" w:cs="Amiri"/>
          <w:lang w:bidi="ar-SA"/>
          <w:color w:val="111111"/>
          <w:sz w:val="28"/>
          <w:szCs w:val="28"/>
          <w:rtl/>
        </w:rPr>
        <w:t xml:space="preserve">حيدري ، مهدي بن احمد -حسني ، مهدي</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حیرت ، مصطفى بن ابي بكر- سيواسي ،</w:t>
      </w:r>
    </w:p>
    <w:p>
      <w:pPr>
        <w:pStyle w:val="BookText"/>
      </w:pPr>
      <w:r>
        <w:rPr>
          <w:rFonts w:ascii="Amiri" w:hAnsi="Amiri" w:eastAsia="Amiri" w:cs="Amiri"/>
          <w:lang w:bidi="ar-SA"/>
          <w:color w:val="111111"/>
          <w:sz w:val="28"/>
          <w:szCs w:val="28"/>
          <w:rtl/>
        </w:rPr>
        <w:t xml:space="preserve">مصطفى بن ابي بكر</w:t>
      </w:r>
    </w:p>
    <w:p>
      <w:pPr>
        <w:pStyle w:val="Heading2"/>
      </w:pPr>
      <w:bookmarkStart w:id="4018" w:name="_Toc3120"/>
      <w:r>
        <w:t>حيري، اسماعيل بن احمد 361 - 430 ه-</w:t>
      </w:r>
      <w:bookmarkEnd w:id="4018"/>
    </w:p>
    <w:p>
      <w:pPr>
        <w:pStyle w:val="BookText"/>
      </w:pPr>
      <w:r>
        <w:rPr>
          <w:rFonts w:ascii="Amiri" w:hAnsi="Amiri" w:eastAsia="Amiri" w:cs="Amiri"/>
          <w:lang w:bidi="ar-SA"/>
          <w:color w:val="111111"/>
          <w:sz w:val="28"/>
          <w:szCs w:val="28"/>
          <w:rtl/>
        </w:rPr>
        <w:t xml:space="preserve">اسامي من نزل فيهم القرآن، ج2،</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Amiri" w:hAnsi="Amiri" w:eastAsia="Amiri" w:cs="Amiri"/>
          <w:lang w:bidi="ar-SA"/>
          <w:color w:val="111111"/>
          <w:sz w:val="28"/>
          <w:szCs w:val="28"/>
          <w:rtl/>
        </w:rPr>
        <w:t xml:space="preserve">حيص بيص ، سعد بن محمّد -ابن صيفي ،</w:t>
      </w:r>
    </w:p>
    <w:p>
      <w:pPr>
        <w:pStyle w:val="BookText"/>
      </w:pPr>
      <w:r>
        <w:rPr>
          <w:rFonts w:ascii="Amiri" w:hAnsi="Amiri" w:eastAsia="Amiri" w:cs="Amiri"/>
          <w:lang w:bidi="ar-SA"/>
          <w:color w:val="111111"/>
          <w:sz w:val="28"/>
          <w:szCs w:val="28"/>
          <w:rtl/>
        </w:rPr>
        <w:t xml:space="preserve">سعد بن محمّد</w:t>
      </w:r>
    </w:p>
    <w:p>
      <w:pPr>
        <w:pStyle w:val="Heading2"/>
      </w:pPr>
      <w:bookmarkStart w:id="4019" w:name="_Toc3121"/>
      <w:r>
        <w:t>خائف دزفولي، قرن 14 ه-</w:t>
      </w:r>
      <w:bookmarkEnd w:id="4019"/>
    </w:p>
    <w:p>
      <w:pPr>
        <w:pStyle w:val="BookText"/>
      </w:pPr>
      <w:r>
        <w:rPr>
          <w:rFonts w:ascii="Amiri" w:hAnsi="Amiri" w:eastAsia="Amiri" w:cs="Amiri"/>
          <w:lang w:bidi="ar-SA"/>
          <w:color w:val="111111"/>
          <w:sz w:val="28"/>
          <w:szCs w:val="28"/>
          <w:rtl/>
        </w:rPr>
        <w:t xml:space="preserve">مفتاح الكنوز، ج 15، ص228.</w:t>
      </w:r>
    </w:p>
    <w:p>
      <w:pPr>
        <w:pStyle w:val="Heading2"/>
      </w:pPr>
      <w:bookmarkStart w:id="4020" w:name="_Toc3122"/>
      <w:r>
        <w:t>خابوري ، جاسم، قرن 14 ه-</w:t>
      </w:r>
      <w:bookmarkEnd w:id="4020"/>
    </w:p>
    <w:p>
      <w:pPr>
        <w:pStyle w:val="BookText"/>
      </w:pPr>
      <w:r>
        <w:rPr>
          <w:rFonts w:ascii="Amiri" w:hAnsi="Amiri" w:eastAsia="Amiri" w:cs="Amiri"/>
          <w:lang w:bidi="ar-SA"/>
          <w:color w:val="111111"/>
          <w:sz w:val="28"/>
          <w:szCs w:val="28"/>
          <w:rtl/>
        </w:rPr>
        <w:t xml:space="preserve">الورد النفيس، ج 16، ص 762.</w:t>
      </w:r>
    </w:p>
    <w:p>
      <w:pPr>
        <w:pStyle w:val="BookText"/>
      </w:pPr>
      <w:r>
        <w:rPr>
          <w:rFonts w:ascii="Amiri" w:hAnsi="Amiri" w:eastAsia="Amiri" w:cs="Amiri"/>
          <w:lang w:bidi="ar-SA"/>
          <w:color w:val="111111"/>
          <w:sz w:val="28"/>
          <w:szCs w:val="28"/>
          <w:rtl/>
        </w:rPr>
        <w:t xml:space="preserve">خابوري ، سلطان بن ناصر -جبوري ، سلطان بن ناصر</w:t>
      </w:r>
    </w:p>
    <w:p>
      <w:pPr>
        <w:pStyle w:val="BookText"/>
      </w:pPr>
      <w:r>
        <w:rPr>
          <w:rFonts w:ascii="IRNazanin" w:hAnsi="IRNazanin" w:eastAsia="IRNazanin" w:cs="IRNazanin"/>
          <w:lang w:bidi="fa-IR"/>
          <w:color w:val="111111"/>
          <w:sz w:val="28"/>
          <w:szCs w:val="28"/>
          <w:rtl/>
        </w:rPr>
        <w:t xml:space="preserve">خاتم النحات ، احمد بن محمّد- ابن ملا ، احمد بن محمّد</w:t>
      </w:r>
    </w:p>
    <w:p>
      <w:pPr>
        <w:pStyle w:val="BookText"/>
      </w:pPr>
      <w:r>
        <w:rPr>
          <w:rFonts w:ascii="Amiri" w:hAnsi="Amiri" w:eastAsia="Amiri" w:cs="Amiri"/>
          <w:lang w:bidi="ar-SA"/>
          <w:color w:val="111111"/>
          <w:sz w:val="28"/>
          <w:szCs w:val="28"/>
          <w:rtl/>
        </w:rPr>
        <w:t xml:space="preserve">خاتمة المحدثين ، محمّد بن عبد الباقي -زرقاني ، محمّد بن عبد الباقي</w:t>
      </w:r>
    </w:p>
    <w:p>
      <w:pPr>
        <w:pStyle w:val="BookText"/>
      </w:pPr>
      <w:r>
        <w:rPr>
          <w:rFonts w:ascii="Amiri" w:hAnsi="Amiri" w:eastAsia="Amiri" w:cs="Amiri"/>
          <w:lang w:bidi="ar-SA"/>
          <w:color w:val="111111"/>
          <w:sz w:val="28"/>
          <w:szCs w:val="28"/>
          <w:rtl/>
        </w:rPr>
        <w:t xml:space="preserve">خاتون آبادي ، احمد بن محمّد</w:t>
      </w:r>
    </w:p>
    <w:p>
      <w:pPr>
        <w:pStyle w:val="BookText"/>
      </w:pPr>
      <w:r>
        <w:rPr>
          <w:rFonts w:ascii="Amiri" w:hAnsi="Amiri" w:eastAsia="Amiri" w:cs="Amiri"/>
          <w:lang w:bidi="ar-SA"/>
          <w:color w:val="111111"/>
          <w:sz w:val="28"/>
          <w:szCs w:val="28"/>
          <w:rtl/>
        </w:rPr>
        <w:t xml:space="preserve">مهدي -شريف خاتون آبادي ، احمد بن</w:t>
      </w:r>
    </w:p>
    <w:p>
      <w:pPr>
        <w:pStyle w:val="BookText"/>
      </w:pPr>
      <w:r>
        <w:rPr>
          <w:rFonts w:ascii="Amiri" w:hAnsi="Amiri" w:eastAsia="Amiri" w:cs="Amiri"/>
          <w:lang w:bidi="ar-SA"/>
          <w:color w:val="111111"/>
          <w:sz w:val="28"/>
          <w:szCs w:val="28"/>
          <w:rtl/>
        </w:rPr>
        <w:t xml:space="preserve">محمّد مهدي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1" w:name="pg7742_70277"/>
    <w:bookmarkEnd w:id="441"/>
    <w:p>
      <w:pPr>
        <w:pStyle w:val="Heading2"/>
      </w:pPr>
      <w:bookmarkStart w:id="4021" w:name="_Toc3123"/>
      <w:r>
        <w:t>خاتون آبادي ، اسماعیل بن محمّد باقر،</w:t>
      </w:r>
      <w:bookmarkEnd w:id="4021"/>
    </w:p>
    <w:p>
      <w:pPr>
        <w:pStyle w:val="BookText"/>
      </w:pPr>
      <w:r>
        <w:rPr>
          <w:rFonts w:ascii="IRNazanin" w:hAnsi="IRNazanin" w:eastAsia="IRNazanin" w:cs="IRNazanin"/>
          <w:lang w:bidi="fa-IR"/>
          <w:color w:val="111111"/>
          <w:sz w:val="28"/>
          <w:szCs w:val="28"/>
          <w:rtl/>
        </w:rPr>
        <w:t xml:space="preserve">1031 - 1116ه-</w:t>
      </w:r>
    </w:p>
    <w:p>
      <w:pPr>
        <w:pStyle w:val="BookText"/>
      </w:pPr>
      <w:r>
        <w:rPr>
          <w:rFonts w:ascii="Amiri" w:hAnsi="Amiri" w:eastAsia="Amiri" w:cs="Amiri"/>
          <w:lang w:bidi="ar-SA"/>
          <w:color w:val="111111"/>
          <w:sz w:val="28"/>
          <w:szCs w:val="28"/>
          <w:rtl/>
        </w:rPr>
        <w:t xml:space="preserve">1 .التحفة الرضوية - شرح حديث عمران صابي، ج 3، ص 835.</w:t>
      </w:r>
    </w:p>
    <w:p>
      <w:pPr>
        <w:pStyle w:val="BookText"/>
      </w:pPr>
      <w:r>
        <w:rPr>
          <w:rFonts w:ascii="IRNazanin" w:hAnsi="IRNazanin" w:eastAsia="IRNazanin" w:cs="IRNazanin"/>
          <w:lang w:bidi="fa-IR"/>
          <w:color w:val="111111"/>
          <w:sz w:val="28"/>
          <w:szCs w:val="28"/>
          <w:rtl/>
        </w:rPr>
        <w:t xml:space="preserve">2.العمل الصالح، ج 11، ص323.</w:t>
      </w:r>
    </w:p>
    <w:p>
      <w:pPr>
        <w:pStyle w:val="Heading2"/>
      </w:pPr>
      <w:bookmarkStart w:id="4022" w:name="_Toc3124"/>
      <w:r>
        <w:t>خاتون آبادي ، عبد الباقي بن محمّد حسين - 1207 ه-</w:t>
      </w:r>
      <w:bookmarkEnd w:id="4022"/>
    </w:p>
    <w:p>
      <w:pPr>
        <w:pStyle w:val="BookText"/>
      </w:pPr>
      <w:r>
        <w:rPr>
          <w:rFonts w:ascii="Amiri" w:hAnsi="Amiri" w:eastAsia="Amiri" w:cs="Amiri"/>
          <w:lang w:bidi="ar-SA"/>
          <w:color w:val="111111"/>
          <w:sz w:val="28"/>
          <w:szCs w:val="28"/>
          <w:rtl/>
        </w:rPr>
        <w:t xml:space="preserve">اجازة للسيّد بحر العلوم، ج 1، ص 247.</w:t>
      </w:r>
    </w:p>
    <w:p>
      <w:pPr>
        <w:pStyle w:val="BookText"/>
      </w:pPr>
      <w:r>
        <w:rPr>
          <w:rFonts w:ascii="IRNazanin" w:hAnsi="IRNazanin" w:eastAsia="IRNazanin" w:cs="IRNazanin"/>
          <w:lang w:bidi="fa-IR"/>
          <w:color w:val="111111"/>
          <w:sz w:val="28"/>
          <w:szCs w:val="28"/>
          <w:rtl/>
        </w:rPr>
        <w:t xml:space="preserve">خاتون آبادي ، محمّد ابراهیم بن محمّد</w:t>
      </w:r>
    </w:p>
    <w:p>
      <w:pPr>
        <w:pStyle w:val="BookText"/>
      </w:pPr>
      <w:r>
        <w:rPr>
          <w:rFonts w:ascii="Amiri" w:hAnsi="Amiri" w:eastAsia="Amiri" w:cs="Amiri"/>
          <w:lang w:bidi="ar-SA"/>
          <w:color w:val="111111"/>
          <w:sz w:val="28"/>
          <w:szCs w:val="28"/>
          <w:rtl/>
        </w:rPr>
        <w:t xml:space="preserve">نصير - مدرس مشهدي ، محمّد ابراهيم بن</w:t>
      </w:r>
    </w:p>
    <w:p>
      <w:pPr>
        <w:pStyle w:val="BookText"/>
      </w:pPr>
      <w:r>
        <w:rPr>
          <w:rFonts w:ascii="Amiri" w:hAnsi="Amiri" w:eastAsia="Amiri" w:cs="Amiri"/>
          <w:lang w:bidi="ar-SA"/>
          <w:color w:val="111111"/>
          <w:sz w:val="28"/>
          <w:szCs w:val="28"/>
          <w:rtl/>
        </w:rPr>
        <w:t xml:space="preserve">محمّد نصیر</w:t>
      </w:r>
    </w:p>
    <w:p>
      <w:pPr>
        <w:pStyle w:val="BookText"/>
      </w:pPr>
      <w:r>
        <w:rPr>
          <w:rFonts w:ascii="Amiri" w:hAnsi="Amiri" w:eastAsia="Amiri" w:cs="Amiri"/>
          <w:lang w:bidi="ar-SA"/>
          <w:color w:val="111111"/>
          <w:sz w:val="28"/>
          <w:szCs w:val="28"/>
          <w:rtl/>
        </w:rPr>
        <w:t xml:space="preserve">خاتون آبادي ، محمّد باقر-حسيني خاتون</w:t>
      </w:r>
    </w:p>
    <w:p>
      <w:pPr>
        <w:pStyle w:val="BookText"/>
      </w:pPr>
      <w:r>
        <w:rPr>
          <w:rFonts w:ascii="IRNazanin" w:hAnsi="IRNazanin" w:eastAsia="IRNazanin" w:cs="IRNazanin"/>
          <w:lang w:bidi="fa-IR"/>
          <w:color w:val="111111"/>
          <w:sz w:val="28"/>
          <w:szCs w:val="28"/>
          <w:rtl/>
        </w:rPr>
        <w:t xml:space="preserve">آبادي ، محمّد باقر بن اسماعیل</w:t>
      </w:r>
    </w:p>
    <w:p>
      <w:pPr>
        <w:pStyle w:val="BookText"/>
      </w:pPr>
      <w:r>
        <w:rPr>
          <w:rFonts w:ascii="Amiri" w:hAnsi="Amiri" w:eastAsia="Amiri" w:cs="Amiri"/>
          <w:lang w:bidi="ar-SA"/>
          <w:color w:val="111111"/>
          <w:sz w:val="28"/>
          <w:szCs w:val="28"/>
          <w:rtl/>
        </w:rPr>
        <w:t xml:space="preserve">خاتون آبادي ، محمّد باقربن</w:t>
      </w:r>
    </w:p>
    <w:p>
      <w:pPr>
        <w:pStyle w:val="BookText"/>
      </w:pPr>
      <w:r>
        <w:rPr>
          <w:rFonts w:ascii="Amiri" w:hAnsi="Amiri" w:eastAsia="Amiri" w:cs="Amiri"/>
          <w:lang w:bidi="ar-SA"/>
          <w:color w:val="111111"/>
          <w:sz w:val="28"/>
          <w:szCs w:val="28"/>
          <w:rtl/>
        </w:rPr>
        <w:t xml:space="preserve">اسماعيل- حسيني خاتون آبادي ، محمّد باقر</w:t>
      </w:r>
    </w:p>
    <w:p>
      <w:pPr>
        <w:pStyle w:val="BookText"/>
      </w:pPr>
      <w:r>
        <w:rPr>
          <w:rFonts w:ascii="Amiri" w:hAnsi="Amiri" w:eastAsia="Amiri" w:cs="Amiri"/>
          <w:lang w:bidi="ar-SA"/>
          <w:color w:val="111111"/>
          <w:sz w:val="28"/>
          <w:szCs w:val="28"/>
          <w:rtl/>
        </w:rPr>
        <w:t xml:space="preserve">بن اسماعيل</w:t>
      </w:r>
    </w:p>
    <w:p>
      <w:pPr>
        <w:pStyle w:val="BookText"/>
      </w:pPr>
      <w:r>
        <w:rPr>
          <w:rFonts w:ascii="Amiri" w:hAnsi="Amiri" w:eastAsia="Amiri" w:cs="Amiri"/>
          <w:lang w:bidi="ar-SA"/>
          <w:color w:val="111111"/>
          <w:sz w:val="28"/>
          <w:szCs w:val="28"/>
          <w:rtl/>
        </w:rPr>
        <w:t xml:space="preserve">خاتون آبادي ، محمّد بن علي- ابن خاتون عاملي ، محمّد بن علي</w:t>
      </w:r>
    </w:p>
    <w:p>
      <w:pPr>
        <w:pStyle w:val="BookText"/>
      </w:pPr>
      <w:r>
        <w:rPr>
          <w:rFonts w:ascii="Amiri" w:hAnsi="Amiri" w:eastAsia="Amiri" w:cs="Amiri"/>
          <w:lang w:bidi="ar-SA"/>
          <w:color w:val="111111"/>
          <w:sz w:val="28"/>
          <w:szCs w:val="28"/>
          <w:rtl/>
        </w:rPr>
        <w:t xml:space="preserve">خاتون آبادي ، محمّد بن محمّد</w:t>
      </w:r>
    </w:p>
    <w:p>
      <w:pPr>
        <w:pStyle w:val="BookText"/>
      </w:pPr>
      <w:r>
        <w:rPr>
          <w:rFonts w:ascii="Amiri" w:hAnsi="Amiri" w:eastAsia="Amiri" w:cs="Amiri"/>
          <w:lang w:bidi="ar-SA"/>
          <w:color w:val="111111"/>
          <w:sz w:val="28"/>
          <w:szCs w:val="28"/>
          <w:rtl/>
        </w:rPr>
        <w:t xml:space="preserve">باقر -حسيني ، محمّد بن محمّد باقر</w:t>
      </w:r>
    </w:p>
    <w:p>
      <w:pPr>
        <w:pStyle w:val="Heading2"/>
      </w:pPr>
      <w:bookmarkStart w:id="4023" w:name="_Toc3125"/>
      <w:r>
        <w:t>خاتون آبادي ، محمّد حسين بن صالح -</w:t>
      </w:r>
      <w:bookmarkEnd w:id="4023"/>
    </w:p>
    <w:p>
      <w:pPr>
        <w:pStyle w:val="BookText"/>
      </w:pPr>
      <w:r>
        <w:rPr>
          <w:rFonts w:ascii="IRNazanin" w:hAnsi="IRNazanin" w:eastAsia="IRNazanin" w:cs="IRNazanin"/>
          <w:lang w:bidi="fa-IR"/>
          <w:color w:val="111111"/>
          <w:sz w:val="28"/>
          <w:szCs w:val="28"/>
          <w:rtl/>
        </w:rPr>
        <w:t xml:space="preserve">1151 ه-</w:t>
      </w:r>
    </w:p>
    <w:p>
      <w:pPr>
        <w:pStyle w:val="BookText"/>
      </w:pPr>
      <w:r>
        <w:rPr>
          <w:rFonts w:ascii="Amiri" w:hAnsi="Amiri" w:eastAsia="Amiri" w:cs="Amiri"/>
          <w:lang w:bidi="ar-SA"/>
          <w:color w:val="111111"/>
          <w:sz w:val="28"/>
          <w:szCs w:val="28"/>
          <w:rtl/>
        </w:rPr>
        <w:t xml:space="preserve">1 .إجازة لزين الدين بن عين علي</w:t>
      </w:r>
    </w:p>
    <w:p>
      <w:pPr>
        <w:pStyle w:val="BookText"/>
      </w:pPr>
      <w:r>
        <w:rPr>
          <w:rFonts w:ascii="Amiri" w:hAnsi="Amiri" w:eastAsia="Amiri" w:cs="Amiri"/>
          <w:lang w:bidi="ar-SA"/>
          <w:color w:val="111111"/>
          <w:sz w:val="28"/>
          <w:szCs w:val="28"/>
          <w:rtl/>
        </w:rPr>
        <w:t xml:space="preserve">الخوانساري المعروفة بمناقب</w:t>
      </w:r>
    </w:p>
    <w:p>
      <w:pPr>
        <w:pStyle w:val="BookText"/>
      </w:pPr>
      <w:r>
        <w:rPr>
          <w:rFonts w:ascii="IRNazanin" w:hAnsi="IRNazanin" w:eastAsia="IRNazanin" w:cs="IRNazanin"/>
          <w:lang w:bidi="fa-IR"/>
          <w:color w:val="111111"/>
          <w:sz w:val="28"/>
          <w:szCs w:val="28"/>
          <w:rtl/>
        </w:rPr>
        <w:t xml:space="preserve">الفضلاء، ج 1، ص 243.</w:t>
      </w:r>
    </w:p>
    <w:p>
      <w:pPr>
        <w:pStyle w:val="BookText"/>
      </w:pPr>
      <w:r>
        <w:rPr>
          <w:rFonts w:ascii="Amiri" w:hAnsi="Amiri" w:eastAsia="Amiri" w:cs="Amiri"/>
          <w:lang w:bidi="ar-SA"/>
          <w:color w:val="111111"/>
          <w:sz w:val="28"/>
          <w:szCs w:val="28"/>
          <w:rtl/>
        </w:rPr>
        <w:t xml:space="preserve">2 .إجازة لصدر الدين محمّد بن محمّد</w:t>
      </w:r>
    </w:p>
    <w:p>
      <w:pPr>
        <w:pStyle w:val="BookText"/>
      </w:pPr>
      <w:r>
        <w:rPr>
          <w:rFonts w:ascii="Amiri" w:hAnsi="Amiri" w:eastAsia="Amiri" w:cs="Amiri"/>
          <w:lang w:bidi="ar-SA"/>
          <w:color w:val="111111"/>
          <w:sz w:val="28"/>
          <w:szCs w:val="28"/>
          <w:rtl/>
        </w:rPr>
        <w:t xml:space="preserve">باقر الرضوي القمي، ج 1، ص 276.</w:t>
      </w:r>
    </w:p>
    <w:p>
      <w:pPr>
        <w:pStyle w:val="BookText"/>
      </w:pPr>
      <w:r>
        <w:rPr>
          <w:rFonts w:ascii="Amiri" w:hAnsi="Amiri" w:eastAsia="Amiri" w:cs="Amiri"/>
          <w:lang w:bidi="ar-SA"/>
          <w:color w:val="111111"/>
          <w:sz w:val="28"/>
          <w:szCs w:val="28"/>
          <w:rtl/>
        </w:rPr>
        <w:t xml:space="preserve">3 .إجازة لمحمدّ شفيع بن نور الدين</w:t>
      </w:r>
    </w:p>
    <w:p>
      <w:pPr>
        <w:pStyle w:val="BookText"/>
      </w:pPr>
      <w:r>
        <w:rPr>
          <w:rFonts w:ascii="Amiri" w:hAnsi="Amiri" w:eastAsia="Amiri" w:cs="Amiri"/>
          <w:lang w:bidi="ar-SA"/>
          <w:color w:val="111111"/>
          <w:sz w:val="28"/>
          <w:szCs w:val="28"/>
          <w:rtl/>
        </w:rPr>
        <w:t xml:space="preserve">محمّد الخاتون آبادي و لولده</w:t>
      </w:r>
    </w:p>
    <w:p>
      <w:pPr>
        <w:pStyle w:val="BookText"/>
      </w:pPr>
      <w:r>
        <w:rPr>
          <w:rFonts w:ascii="Amiri" w:hAnsi="Amiri" w:eastAsia="Amiri" w:cs="Amiri"/>
          <w:lang w:bidi="ar-SA"/>
          <w:color w:val="111111"/>
          <w:sz w:val="28"/>
          <w:szCs w:val="28"/>
          <w:rtl/>
        </w:rPr>
        <w:t xml:space="preserve">محمّد، ج 1، ص 286.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فهرست مؤلفات مجلسي، ج 12،</w:t>
      </w:r>
    </w:p>
    <w:p>
      <w:pPr>
        <w:pStyle w:val="BookText"/>
      </w:pPr>
      <w:r>
        <w:rPr>
          <w:rFonts w:ascii="IRNazanin" w:hAnsi="IRNazanin" w:eastAsia="IRNazanin" w:cs="IRNazanin"/>
          <w:lang w:bidi="fa-IR"/>
          <w:color w:val="111111"/>
          <w:sz w:val="28"/>
          <w:szCs w:val="28"/>
          <w:rtl/>
        </w:rPr>
        <w:t xml:space="preserve">ص 158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قبله، ج 12، ص 376.</w:t>
      </w:r>
    </w:p>
    <w:p>
      <w:pPr>
        <w:pStyle w:val="BookText"/>
      </w:pPr>
      <w:r>
        <w:rPr>
          <w:rFonts w:ascii="Amiri" w:hAnsi="Amiri" w:eastAsia="Amiri" w:cs="Amiri"/>
          <w:lang w:bidi="ar-SA"/>
          <w:color w:val="111111"/>
          <w:sz w:val="28"/>
          <w:szCs w:val="28"/>
          <w:rtl/>
        </w:rPr>
        <w:t xml:space="preserve">خاتون آبادي ، محمّد رضا بن محمّد</w:t>
      </w:r>
    </w:p>
    <w:p>
      <w:pPr>
        <w:pStyle w:val="BookText"/>
      </w:pPr>
      <w:r>
        <w:rPr>
          <w:rFonts w:ascii="Amiri" w:hAnsi="Amiri" w:eastAsia="Amiri" w:cs="Amiri"/>
          <w:lang w:bidi="ar-SA"/>
          <w:color w:val="111111"/>
          <w:sz w:val="28"/>
          <w:szCs w:val="28"/>
          <w:rtl/>
        </w:rPr>
        <w:t xml:space="preserve">مؤمن- امامي خاتون آبادي ، محمّد رضا بن محمّد مؤمن</w:t>
      </w:r>
    </w:p>
    <w:p>
      <w:pPr>
        <w:pStyle w:val="Heading2"/>
      </w:pPr>
      <w:bookmarkStart w:id="4024" w:name="_Toc3126"/>
      <w:r>
        <w:t>خاتون آبادي ، محمّد شریف بن محمّد صادق قرن 12 ه-</w:t>
      </w:r>
      <w:bookmarkEnd w:id="4024"/>
    </w:p>
    <w:p>
      <w:pPr>
        <w:pStyle w:val="BookText"/>
      </w:pPr>
      <w:r>
        <w:rPr>
          <w:rFonts w:ascii="Amiri" w:hAnsi="Amiri" w:eastAsia="Amiri" w:cs="Amiri"/>
          <w:lang w:bidi="ar-SA"/>
          <w:color w:val="111111"/>
          <w:sz w:val="28"/>
          <w:szCs w:val="28"/>
          <w:rtl/>
        </w:rPr>
        <w:t xml:space="preserve">شرح الأربعين حديثاً، ج9، ص 171</w:t>
      </w:r>
    </w:p>
    <w:p>
      <w:pPr>
        <w:pStyle w:val="BookText"/>
      </w:pPr>
      <w:r>
        <w:rPr>
          <w:rFonts w:ascii="Amiri" w:hAnsi="Amiri" w:eastAsia="Amiri" w:cs="Amiri"/>
          <w:lang w:bidi="ar-SA"/>
          <w:color w:val="111111"/>
          <w:sz w:val="28"/>
          <w:szCs w:val="28"/>
          <w:rtl/>
        </w:rPr>
        <w:t xml:space="preserve">خاتون آبادي ، محمّد صالح بن عبد الواسع -حسيني خاتون آبادي محمّد بن عبدالواسع</w:t>
      </w:r>
    </w:p>
    <w:p>
      <w:pPr>
        <w:pStyle w:val="BookText"/>
      </w:pPr>
      <w:r>
        <w:rPr>
          <w:rFonts w:ascii="Amiri" w:hAnsi="Amiri" w:eastAsia="Amiri" w:cs="Amiri"/>
          <w:lang w:bidi="ar-SA"/>
          <w:color w:val="111111"/>
          <w:sz w:val="28"/>
          <w:szCs w:val="28"/>
          <w:rtl/>
        </w:rPr>
        <w:t xml:space="preserve">خاتوني ، محمّد بن علي بن نعمت الله -ابن خاتون</w:t>
      </w:r>
    </w:p>
    <w:p>
      <w:pPr>
        <w:pStyle w:val="BookText"/>
      </w:pPr>
      <w:r>
        <w:rPr>
          <w:rFonts w:ascii="Amiri" w:hAnsi="Amiri" w:eastAsia="Amiri" w:cs="Amiri"/>
          <w:lang w:bidi="ar-SA"/>
          <w:color w:val="111111"/>
          <w:sz w:val="28"/>
          <w:szCs w:val="28"/>
          <w:rtl/>
        </w:rPr>
        <w:t xml:space="preserve">عاملي ، محمّد بن علي</w:t>
      </w:r>
    </w:p>
    <w:p>
      <w:pPr>
        <w:pStyle w:val="Heading2"/>
      </w:pPr>
      <w:bookmarkStart w:id="4025" w:name="_Toc3127"/>
      <w:r>
        <w:t>خادم، ابو البركات بن محمّد اسماعیل</w:t>
      </w:r>
      <w:bookmarkEnd w:id="4025"/>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كشف الخلاصه = شرح خلاصة الحساب، ج13، ص 209.</w:t>
      </w:r>
    </w:p>
    <w:p>
      <w:pPr>
        <w:pStyle w:val="Heading2"/>
      </w:pPr>
      <w:bookmarkStart w:id="4026" w:name="_Toc3128"/>
      <w:r>
        <w:t>خادم استرآبادي علي بن داوود، قرن 11 ه-</w:t>
      </w:r>
      <w:bookmarkEnd w:id="4026"/>
    </w:p>
    <w:p>
      <w:pPr>
        <w:pStyle w:val="BookText"/>
      </w:pPr>
      <w:r>
        <w:rPr>
          <w:rFonts w:ascii="Amiri" w:hAnsi="Amiri" w:eastAsia="Amiri" w:cs="Amiri"/>
          <w:lang w:bidi="ar-SA"/>
          <w:color w:val="111111"/>
          <w:sz w:val="28"/>
          <w:szCs w:val="28"/>
          <w:rtl/>
        </w:rPr>
        <w:t xml:space="preserve">انساب النواصب = انساب المنافقين و الناصبين، ج 2، ص 803.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2" w:name="pg7742_70280"/>
    <w:bookmarkEnd w:id="442"/>
    <w:p>
      <w:pPr>
        <w:pStyle w:val="Heading2"/>
      </w:pPr>
      <w:bookmarkStart w:id="4027" w:name="_Toc3129"/>
      <w:r>
        <w:t>خادم انصاري ، محمّد تقي بن ابوالمعالي</w:t>
      </w:r>
      <w:bookmarkEnd w:id="4027"/>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ترتيب رجال النجاشي، ج4، ص 240.</w:t>
      </w:r>
    </w:p>
    <w:p>
      <w:pPr>
        <w:pStyle w:val="Heading2"/>
      </w:pPr>
      <w:bookmarkStart w:id="4028" w:name="_Toc3130"/>
      <w:r>
        <w:t>خادم حسيني، زين العابدين قرن 11 ه-</w:t>
      </w:r>
      <w:bookmarkEnd w:id="4028"/>
    </w:p>
    <w:p>
      <w:pPr>
        <w:pStyle w:val="BookText"/>
      </w:pPr>
      <w:r>
        <w:rPr>
          <w:rFonts w:ascii="Amiri" w:hAnsi="Amiri" w:eastAsia="Amiri" w:cs="Amiri"/>
          <w:lang w:bidi="ar-SA"/>
          <w:color w:val="111111"/>
          <w:sz w:val="28"/>
          <w:szCs w:val="28"/>
          <w:rtl/>
        </w:rPr>
        <w:t xml:space="preserve">1 .تتميم الجامع العباسي، ج3،</w:t>
      </w:r>
    </w:p>
    <w:p>
      <w:pPr>
        <w:pStyle w:val="BookText"/>
      </w:pPr>
      <w:r>
        <w:rPr>
          <w:rFonts w:ascii="IRNazanin" w:hAnsi="IRNazanin" w:eastAsia="IRNazanin" w:cs="IRNazanin"/>
          <w:lang w:bidi="fa-IR"/>
          <w:color w:val="111111"/>
          <w:sz w:val="28"/>
          <w:szCs w:val="28"/>
          <w:rtl/>
        </w:rPr>
        <w:t xml:space="preserve">ص 677 .</w:t>
      </w:r>
    </w:p>
    <w:p>
      <w:pPr>
        <w:pStyle w:val="BookText"/>
      </w:pPr>
      <w:r>
        <w:rPr>
          <w:rFonts w:ascii="Amiri" w:hAnsi="Amiri" w:eastAsia="Amiri" w:cs="Amiri"/>
          <w:lang w:bidi="ar-SA"/>
          <w:color w:val="111111"/>
          <w:sz w:val="28"/>
          <w:szCs w:val="28"/>
          <w:rtl/>
        </w:rPr>
        <w:t xml:space="preserve">2 .مصباح العابدين، ج 14، ص 716.</w:t>
      </w:r>
    </w:p>
    <w:p>
      <w:pPr>
        <w:pStyle w:val="BookText"/>
      </w:pPr>
      <w:r>
        <w:rPr>
          <w:rFonts w:ascii="IRNazanin" w:hAnsi="IRNazanin" w:eastAsia="IRNazanin" w:cs="IRNazanin"/>
          <w:lang w:bidi="fa-IR"/>
          <w:color w:val="111111"/>
          <w:sz w:val="28"/>
          <w:szCs w:val="28"/>
          <w:rtl/>
        </w:rPr>
        <w:t xml:space="preserve">خادم ، معين الدين اشرف بن محمّد صادق- حسيني خادم ، معین الدین اشرف بن</w:t>
      </w:r>
    </w:p>
    <w:p>
      <w:pPr>
        <w:pStyle w:val="Heading2"/>
      </w:pPr>
      <w:bookmarkStart w:id="4029" w:name="_Toc3131"/>
      <w:r>
        <w:t>خادمي ، محمّد - 1113 ه-</w:t>
      </w:r>
      <w:bookmarkEnd w:id="4029"/>
    </w:p>
    <w:p>
      <w:pPr>
        <w:pStyle w:val="BookText"/>
      </w:pPr>
      <w:r>
        <w:rPr>
          <w:rFonts w:ascii="Amiri" w:hAnsi="Amiri" w:eastAsia="Amiri" w:cs="Amiri"/>
          <w:lang w:bidi="ar-SA"/>
          <w:color w:val="111111"/>
          <w:sz w:val="28"/>
          <w:szCs w:val="28"/>
          <w:rtl/>
        </w:rPr>
        <w:t xml:space="preserve">ترتيل القرآن، ج 4، ص 248.</w:t>
      </w:r>
    </w:p>
    <w:p>
      <w:pPr>
        <w:pStyle w:val="Heading2"/>
      </w:pPr>
      <w:bookmarkStart w:id="4030" w:name="_Toc3132"/>
      <w:r>
        <w:t>خادمي، محمّد بن مصطفى، - 1176 ه-</w:t>
      </w:r>
      <w:bookmarkEnd w:id="40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البريقة المحمودية في شرح الطريقة</w:t>
      </w:r>
    </w:p>
    <w:p>
      <w:pPr>
        <w:pStyle w:val="BookText"/>
      </w:pPr>
      <w:r>
        <w:rPr>
          <w:rFonts w:ascii="Amiri" w:hAnsi="Amiri" w:eastAsia="Amiri" w:cs="Amiri"/>
          <w:lang w:bidi="ar-SA"/>
          <w:color w:val="111111"/>
          <w:sz w:val="28"/>
          <w:szCs w:val="28"/>
          <w:rtl/>
        </w:rPr>
        <w:t xml:space="preserve">المحمّدية و الشريعة النبوية في</w:t>
      </w:r>
    </w:p>
    <w:p>
      <w:pPr>
        <w:pStyle w:val="BookText"/>
      </w:pPr>
      <w:r>
        <w:rPr>
          <w:rFonts w:ascii="IRNazanin" w:hAnsi="IRNazanin" w:eastAsia="IRNazanin" w:cs="IRNazanin"/>
          <w:lang w:bidi="fa-IR"/>
          <w:color w:val="111111"/>
          <w:sz w:val="28"/>
          <w:szCs w:val="28"/>
          <w:rtl/>
        </w:rPr>
        <w:t xml:space="preserve">ص 543.</w:t>
      </w:r>
    </w:p>
    <w:p>
      <w:pPr>
        <w:pStyle w:val="BookText"/>
      </w:pPr>
      <w:r>
        <w:rPr>
          <w:rFonts w:ascii="Amiri" w:hAnsi="Amiri" w:eastAsia="Amiri" w:cs="Amiri"/>
          <w:lang w:bidi="ar-SA"/>
          <w:color w:val="111111"/>
          <w:sz w:val="28"/>
          <w:szCs w:val="28"/>
          <w:rtl/>
        </w:rPr>
        <w:t xml:space="preserve">السيرة الاحمدية، ج3، ص320.</w:t>
      </w:r>
    </w:p>
    <w:p>
      <w:pPr>
        <w:pStyle w:val="BookText"/>
      </w:pPr>
      <w:r>
        <w:rPr>
          <w:rFonts w:ascii="Amiri" w:hAnsi="Amiri" w:eastAsia="Amiri" w:cs="Amiri"/>
          <w:lang w:bidi="ar-SA"/>
          <w:color w:val="111111"/>
          <w:sz w:val="28"/>
          <w:szCs w:val="28"/>
          <w:rtl/>
        </w:rPr>
        <w:t xml:space="preserve">2 .تربية السالكين = الطريقة</w:t>
      </w:r>
    </w:p>
    <w:p>
      <w:pPr>
        <w:pStyle w:val="BookText"/>
      </w:pPr>
      <w:r>
        <w:rPr>
          <w:rFonts w:ascii="Amiri" w:hAnsi="Amiri" w:eastAsia="Amiri" w:cs="Amiri"/>
          <w:lang w:bidi="ar-SA"/>
          <w:color w:val="111111"/>
          <w:sz w:val="28"/>
          <w:szCs w:val="28"/>
          <w:rtl/>
        </w:rPr>
        <w:t xml:space="preserve">النقشبندية، ج4، ص 234.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ترتيل القرآن - آداب قرائة القرآن</w:t>
      </w:r>
    </w:p>
    <w:p>
      <w:pPr>
        <w:pStyle w:val="BookText"/>
      </w:pPr>
      <w:r>
        <w:rPr>
          <w:rFonts w:ascii="IRNazanin" w:hAnsi="IRNazanin" w:eastAsia="IRNazanin" w:cs="IRNazanin"/>
          <w:lang w:bidi="fa-IR"/>
          <w:color w:val="111111"/>
          <w:sz w:val="28"/>
          <w:szCs w:val="28"/>
          <w:rtl/>
        </w:rPr>
        <w:t xml:space="preserve">ج4، ص 249.</w:t>
      </w:r>
    </w:p>
    <w:p>
      <w:pPr>
        <w:pStyle w:val="BookText"/>
      </w:pPr>
      <w:r>
        <w:rPr>
          <w:rFonts w:ascii="Amiri" w:hAnsi="Amiri" w:eastAsia="Amiri" w:cs="Amiri"/>
          <w:lang w:bidi="ar-SA"/>
          <w:color w:val="111111"/>
          <w:sz w:val="28"/>
          <w:szCs w:val="28"/>
          <w:rtl/>
        </w:rPr>
        <w:t xml:space="preserve">4 .حق القهوة (رسالة في)، ج 6،</w:t>
      </w:r>
    </w:p>
    <w:p>
      <w:pPr>
        <w:pStyle w:val="BookText"/>
      </w:pPr>
      <w:r>
        <w:rPr>
          <w:rFonts w:ascii="IRNazanin" w:hAnsi="IRNazanin" w:eastAsia="IRNazanin" w:cs="IRNazanin"/>
          <w:lang w:bidi="fa-IR"/>
          <w:color w:val="111111"/>
          <w:sz w:val="28"/>
          <w:szCs w:val="28"/>
          <w:rtl/>
        </w:rPr>
        <w:t xml:space="preserve">ص 695 .</w:t>
      </w:r>
    </w:p>
    <w:p>
      <w:pPr>
        <w:pStyle w:val="BookText"/>
      </w:pPr>
      <w:r>
        <w:rPr>
          <w:rFonts w:ascii="IRNazanin" w:hAnsi="IRNazanin" w:eastAsia="IRNazanin" w:cs="IRNazanin"/>
          <w:lang w:bidi="fa-IR"/>
          <w:color w:val="111111"/>
          <w:sz w:val="28"/>
          <w:szCs w:val="28"/>
          <w:rtl/>
        </w:rPr>
        <w:t xml:space="preserve">5 .خزائن الجواهر و مخازن الزواهر =</w:t>
      </w:r>
    </w:p>
    <w:p>
      <w:pPr>
        <w:pStyle w:val="BookText"/>
      </w:pPr>
      <w:r>
        <w:rPr>
          <w:rFonts w:ascii="Amiri" w:hAnsi="Amiri" w:eastAsia="Amiri" w:cs="Amiri"/>
          <w:lang w:bidi="ar-SA"/>
          <w:color w:val="111111"/>
          <w:sz w:val="28"/>
          <w:szCs w:val="28"/>
          <w:rtl/>
        </w:rPr>
        <w:t xml:space="preserve">تفسير بسمله = ابداع حكمة</w:t>
      </w:r>
    </w:p>
    <w:p>
      <w:pPr>
        <w:pStyle w:val="BookText"/>
      </w:pPr>
      <w:r>
        <w:rPr>
          <w:rFonts w:ascii="Amiri" w:hAnsi="Amiri" w:eastAsia="Amiri" w:cs="Amiri"/>
          <w:lang w:bidi="ar-SA"/>
          <w:color w:val="111111"/>
          <w:sz w:val="28"/>
          <w:szCs w:val="28"/>
          <w:rtl/>
        </w:rPr>
        <w:t xml:space="preserve">الحكيم في بيان</w:t>
      </w:r>
    </w:p>
    <w:p>
      <w:pPr>
        <w:pStyle w:val="BookText"/>
      </w:pPr>
      <w:r>
        <w:rPr>
          <w:rFonts w:ascii="IRNazanin" w:hAnsi="IRNazanin" w:eastAsia="IRNazanin" w:cs="IRNazanin"/>
          <w:lang w:bidi="fa-IR"/>
          <w:color w:val="111111"/>
          <w:sz w:val="28"/>
          <w:szCs w:val="28"/>
          <w:rtl/>
        </w:rPr>
        <w:t xml:space="preserve">بسم الله الرحمن</w:t>
      </w:r>
    </w:p>
    <w:p>
      <w:pPr>
        <w:pStyle w:val="BookText"/>
      </w:pPr>
      <w:r>
        <w:rPr>
          <w:rFonts w:ascii="Amiri" w:hAnsi="Amiri" w:eastAsia="Amiri" w:cs="Amiri"/>
          <w:lang w:bidi="ar-SA"/>
          <w:color w:val="111111"/>
          <w:sz w:val="28"/>
          <w:szCs w:val="28"/>
          <w:rtl/>
        </w:rPr>
        <w:t xml:space="preserve">الرحيم، ج 7، ص 15</w:t>
      </w:r>
    </w:p>
    <w:p>
      <w:pPr>
        <w:pStyle w:val="BookText"/>
      </w:pPr>
      <w:r>
        <w:rPr>
          <w:rFonts w:ascii="Amiri" w:hAnsi="Amiri" w:eastAsia="Amiri" w:cs="Amiri"/>
          <w:lang w:bidi="ar-SA"/>
          <w:color w:val="111111"/>
          <w:sz w:val="28"/>
          <w:szCs w:val="28"/>
          <w:rtl/>
        </w:rPr>
        <w:t xml:space="preserve">6 .الدخان (رسالة في)، ج 7، ص213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السواك( رسالة)، ج8، ص 859.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مجامع الحقائق و القواعد و</w:t>
      </w:r>
    </w:p>
    <w:p>
      <w:pPr>
        <w:pStyle w:val="BookText"/>
      </w:pPr>
      <w:r>
        <w:rPr>
          <w:rFonts w:ascii="IRNazanin" w:hAnsi="IRNazanin" w:eastAsia="IRNazanin" w:cs="IRNazanin"/>
          <w:lang w:bidi="fa-IR"/>
          <w:color w:val="111111"/>
          <w:sz w:val="28"/>
          <w:szCs w:val="28"/>
          <w:rtl/>
        </w:rPr>
        <w:t xml:space="preserve">جوامع الروائق و الفوائد، ج 10،</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Amiri" w:hAnsi="Amiri" w:eastAsia="Amiri" w:cs="Amiri"/>
          <w:lang w:bidi="ar-SA"/>
          <w:color w:val="111111"/>
          <w:sz w:val="28"/>
          <w:szCs w:val="28"/>
          <w:rtl/>
        </w:rPr>
        <w:t xml:space="preserve">9 .مجامع الحقائق و القواعد و جوامع الروائق والفوائد من الأصول كافية</w:t>
      </w:r>
    </w:p>
    <w:p>
      <w:pPr>
        <w:pStyle w:val="BookText"/>
      </w:pPr>
      <w:r>
        <w:rPr>
          <w:rFonts w:ascii="Amiri" w:hAnsi="Amiri" w:eastAsia="Amiri" w:cs="Amiri"/>
          <w:lang w:bidi="ar-SA"/>
          <w:color w:val="111111"/>
          <w:sz w:val="28"/>
          <w:szCs w:val="28"/>
          <w:rtl/>
        </w:rPr>
        <w:t xml:space="preserve">في الفصول، ج13، ص 807</w:t>
      </w:r>
    </w:p>
    <w:p>
      <w:pPr>
        <w:pStyle w:val="BookText"/>
      </w:pPr>
      <w:r>
        <w:rPr>
          <w:rFonts w:ascii="Amiri" w:hAnsi="Amiri" w:eastAsia="Amiri" w:cs="Amiri"/>
          <w:lang w:bidi="ar-SA"/>
          <w:color w:val="111111"/>
          <w:sz w:val="28"/>
          <w:szCs w:val="28"/>
          <w:rtl/>
        </w:rPr>
        <w:t xml:space="preserve">خازن ، احمد بن محمّد-ابن مسكويه</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خازن اهوازي، محمّد بن حسين- اهوازي محمّد صادق</w:t>
      </w:r>
    </w:p>
    <w:p>
      <w:pPr>
        <w:pStyle w:val="BookText"/>
      </w:pPr>
      <w:r>
        <w:rPr>
          <w:rFonts w:ascii="Amiri" w:hAnsi="Amiri" w:eastAsia="Amiri" w:cs="Amiri"/>
          <w:lang w:bidi="ar-SA"/>
          <w:color w:val="111111"/>
          <w:sz w:val="28"/>
          <w:szCs w:val="28"/>
          <w:rtl/>
        </w:rPr>
        <w:t xml:space="preserve">، محمّد بن حسين</w:t>
      </w:r>
    </w:p>
    <w:p>
      <w:pPr>
        <w:pStyle w:val="Heading2"/>
      </w:pPr>
      <w:bookmarkStart w:id="4031" w:name="_Toc3133"/>
      <w:r>
        <w:t>خازن ، علي بن محمّد، 678 - 741 ه-</w:t>
      </w:r>
      <w:bookmarkEnd w:id="4031"/>
    </w:p>
    <w:p>
      <w:pPr>
        <w:pStyle w:val="BookText"/>
      </w:pPr>
      <w:r>
        <w:rPr>
          <w:rFonts w:ascii="Amiri" w:hAnsi="Amiri" w:eastAsia="Amiri" w:cs="Amiri"/>
          <w:lang w:bidi="ar-SA"/>
          <w:color w:val="111111"/>
          <w:sz w:val="28"/>
          <w:szCs w:val="28"/>
          <w:rtl/>
        </w:rPr>
        <w:t xml:space="preserve">لباب التأويل في معالم التنزيل، ج13،</w:t>
      </w:r>
    </w:p>
    <w:p>
      <w:pPr>
        <w:pStyle w:val="Heading2"/>
      </w:pPr>
      <w:bookmarkStart w:id="4032" w:name="_Toc3134"/>
      <w:r>
        <w:t>خازني ، محمّد بن ابراهيم</w:t>
      </w:r>
      <w:bookmarkEnd w:id="4032"/>
    </w:p>
    <w:p>
      <w:pPr>
        <w:pStyle w:val="BookText"/>
      </w:pPr>
      <w:r>
        <w:rPr>
          <w:rFonts w:ascii="IRNazanin" w:hAnsi="IRNazanin" w:eastAsia="IRNazanin" w:cs="IRNazanin"/>
          <w:lang w:bidi="fa-IR"/>
          <w:color w:val="111111"/>
          <w:sz w:val="28"/>
          <w:szCs w:val="28"/>
          <w:rtl/>
        </w:rPr>
        <w:t xml:space="preserve">احادیث، ج1، ص391.</w:t>
      </w:r>
    </w:p>
    <w:p>
      <w:pPr>
        <w:pStyle w:val="BookText"/>
      </w:pPr>
      <w:r>
        <w:rPr>
          <w:rFonts w:ascii="IRNazanin" w:hAnsi="IRNazanin" w:eastAsia="IRNazanin" w:cs="IRNazanin"/>
          <w:lang w:bidi="fa-IR"/>
          <w:color w:val="111111"/>
          <w:sz w:val="28"/>
          <w:szCs w:val="28"/>
          <w:rtl/>
        </w:rPr>
        <w:t xml:space="preserve">خاصكي ، مسعود بن احمد -سعدالدین ،</w:t>
      </w:r>
    </w:p>
    <w:p>
      <w:pPr>
        <w:pStyle w:val="BookText"/>
      </w:pPr>
      <w:r>
        <w:rPr>
          <w:rFonts w:ascii="IRNazanin" w:hAnsi="IRNazanin" w:eastAsia="IRNazanin" w:cs="IRNazanin"/>
          <w:lang w:bidi="fa-IR"/>
          <w:color w:val="111111"/>
          <w:sz w:val="28"/>
          <w:szCs w:val="28"/>
          <w:rtl/>
        </w:rPr>
        <w:t xml:space="preserve">مسعود بن احمد</w:t>
      </w:r>
    </w:p>
    <w:p>
      <w:pPr>
        <w:pStyle w:val="Heading2"/>
      </w:pPr>
      <w:bookmarkStart w:id="4033" w:name="_Toc3135"/>
      <w:r>
        <w:t>خاصي ، موفق بن محمّد، 579 - 643 ه-</w:t>
      </w:r>
      <w:bookmarkEnd w:id="4033"/>
    </w:p>
    <w:p>
      <w:pPr>
        <w:pStyle w:val="BookText"/>
      </w:pPr>
      <w:r>
        <w:rPr>
          <w:rFonts w:ascii="IRNazanin" w:hAnsi="IRNazanin" w:eastAsia="IRNazanin" w:cs="IRNazanin"/>
          <w:lang w:bidi="fa-IR"/>
          <w:color w:val="111111"/>
          <w:sz w:val="28"/>
          <w:szCs w:val="28"/>
          <w:rtl/>
        </w:rPr>
        <w:t xml:space="preserve">1 .درر الدقائق و درر الحقائق، ج 7،</w:t>
      </w:r>
    </w:p>
    <w:p>
      <w:pPr>
        <w:pStyle w:val="BookText"/>
      </w:pPr>
      <w:r>
        <w:rPr>
          <w:rFonts w:ascii="IRNazanin" w:hAnsi="IRNazanin" w:eastAsia="IRNazanin" w:cs="IRNazanin"/>
          <w:lang w:bidi="fa-IR"/>
          <w:color w:val="111111"/>
          <w:sz w:val="28"/>
          <w:szCs w:val="28"/>
          <w:rtl/>
        </w:rPr>
        <w:t xml:space="preserve">ص 297 .</w:t>
      </w:r>
    </w:p>
    <w:p>
      <w:pPr>
        <w:pStyle w:val="BookText"/>
      </w:pPr>
      <w:r>
        <w:rPr>
          <w:rFonts w:ascii="Amiri" w:hAnsi="Amiri" w:eastAsia="Amiri" w:cs="Amiri"/>
          <w:lang w:bidi="ar-SA"/>
          <w:color w:val="111111"/>
          <w:sz w:val="28"/>
          <w:szCs w:val="28"/>
          <w:rtl/>
        </w:rPr>
        <w:t xml:space="preserve">2 .السلوة في شرائط الخلوة، ج8،</w:t>
      </w:r>
    </w:p>
    <w:p>
      <w:pPr>
        <w:pStyle w:val="BookText"/>
      </w:pPr>
      <w:r>
        <w:rPr>
          <w:rFonts w:ascii="IRNazanin" w:hAnsi="IRNazanin" w:eastAsia="IRNazanin" w:cs="IRNazanin"/>
          <w:lang w:bidi="fa-IR"/>
          <w:color w:val="111111"/>
          <w:sz w:val="28"/>
          <w:szCs w:val="28"/>
          <w:rtl/>
        </w:rPr>
        <w:t xml:space="preserve">ص 824.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الفصول في علم الاصول، ج 11،</w:t>
      </w:r>
    </w:p>
    <w:p>
      <w:pPr>
        <w:pStyle w:val="BookText"/>
      </w:pPr>
      <w:r>
        <w:rPr>
          <w:rFonts w:ascii="IRNazanin" w:hAnsi="IRNazanin" w:eastAsia="IRNazanin" w:cs="IRNazanin"/>
          <w:lang w:bidi="fa-IR"/>
          <w:color w:val="111111"/>
          <w:sz w:val="28"/>
          <w:szCs w:val="28"/>
          <w:rtl/>
        </w:rPr>
        <w:t xml:space="preserve">ص 858.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3" w:name="pg7742_70282"/>
    <w:bookmarkEnd w:id="443"/>
    <w:p>
      <w:pPr>
        <w:pStyle w:val="BookText"/>
      </w:pPr>
      <w:r>
        <w:rPr>
          <w:rFonts w:ascii="Amiri" w:hAnsi="Amiri" w:eastAsia="Amiri" w:cs="Amiri"/>
          <w:lang w:bidi="ar-SA"/>
          <w:color w:val="111111"/>
          <w:sz w:val="28"/>
          <w:szCs w:val="28"/>
          <w:rtl/>
        </w:rPr>
        <w:t xml:space="preserve">خاضع بن احمد ، عبدالعزيز -عبد العزيز</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4034" w:name="_Toc3136"/>
      <w:r>
        <w:t>خاقاني، بديل بن علي 520 - 595؟ ه-</w:t>
      </w:r>
      <w:bookmarkEnd w:id="4034"/>
    </w:p>
    <w:p>
      <w:pPr>
        <w:pStyle w:val="BookText"/>
      </w:pPr>
      <w:r>
        <w:rPr>
          <w:rFonts w:ascii="Amiri" w:hAnsi="Amiri" w:eastAsia="Amiri" w:cs="Amiri"/>
          <w:lang w:bidi="ar-SA"/>
          <w:color w:val="111111"/>
          <w:sz w:val="28"/>
          <w:szCs w:val="28"/>
          <w:rtl/>
        </w:rPr>
        <w:t xml:space="preserve">1 .تحفة العراقين، ج 3، ص 868.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خاقاني شرواني، ج 7، ص 633.</w:t>
      </w:r>
    </w:p>
    <w:p>
      <w:pPr>
        <w:pStyle w:val="Heading2"/>
      </w:pPr>
      <w:bookmarkStart w:id="4035" w:name="_Toc3137"/>
      <w:r>
        <w:t>خاقاني ، حسن بن علي - 1381 ه-</w:t>
      </w:r>
      <w:bookmarkEnd w:id="40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التحقيقات الحقيقية في الاصول</w:t>
      </w:r>
    </w:p>
    <w:p>
      <w:pPr>
        <w:pStyle w:val="BookText"/>
      </w:pPr>
      <w:r>
        <w:rPr>
          <w:rFonts w:ascii="Amiri" w:hAnsi="Amiri" w:eastAsia="Amiri" w:cs="Amiri"/>
          <w:lang w:bidi="ar-SA"/>
          <w:color w:val="111111"/>
          <w:sz w:val="28"/>
          <w:szCs w:val="28"/>
          <w:rtl/>
        </w:rPr>
        <w:t xml:space="preserve">العملية، ج 4، ص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الدرر الغروية في شرح اللمعة الدمشقية، ج 7، ص302.</w:t>
      </w:r>
    </w:p>
    <w:p>
      <w:pPr>
        <w:pStyle w:val="BookText"/>
      </w:pPr>
      <w:r>
        <w:rPr>
          <w:rFonts w:ascii="Amiri" w:hAnsi="Amiri" w:eastAsia="Amiri" w:cs="Amiri"/>
          <w:lang w:bidi="ar-SA"/>
          <w:color w:val="111111"/>
          <w:sz w:val="28"/>
          <w:szCs w:val="28"/>
          <w:rtl/>
        </w:rPr>
        <w:t xml:space="preserve">3 .فروع العلم الاجمالي، ج 11، ص 814.</w:t>
      </w:r>
    </w:p>
    <w:p>
      <w:pPr>
        <w:pStyle w:val="BookText"/>
      </w:pPr>
      <w:r>
        <w:rPr>
          <w:rFonts w:ascii="Amiri" w:hAnsi="Amiri" w:eastAsia="Amiri" w:cs="Amiri"/>
          <w:lang w:bidi="ar-SA"/>
          <w:color w:val="111111"/>
          <w:sz w:val="28"/>
          <w:szCs w:val="28"/>
          <w:rtl/>
        </w:rPr>
        <w:t xml:space="preserve">4 .نجاة العاملين، ج 16، ص 146.</w:t>
      </w:r>
    </w:p>
    <w:p>
      <w:pPr>
        <w:pStyle w:val="Heading2"/>
      </w:pPr>
      <w:bookmarkStart w:id="4036" w:name="_Toc3138"/>
      <w:r>
        <w:t>خاقاني ، علي بن حسين، 1255 - 1334 ه-</w:t>
      </w:r>
      <w:bookmarkEnd w:id="4036"/>
    </w:p>
    <w:p>
      <w:pPr>
        <w:pStyle w:val="BookText"/>
      </w:pPr>
      <w:r>
        <w:rPr>
          <w:rFonts w:ascii="Amiri" w:hAnsi="Amiri" w:eastAsia="Amiri" w:cs="Amiri"/>
          <w:lang w:bidi="ar-SA"/>
          <w:color w:val="111111"/>
          <w:sz w:val="28"/>
          <w:szCs w:val="28"/>
          <w:rtl/>
        </w:rPr>
        <w:t xml:space="preserve">1 .ترجمة الشيخ المفيد، ج4، ص282.</w:t>
      </w:r>
    </w:p>
    <w:p>
      <w:pPr>
        <w:pStyle w:val="BookText"/>
      </w:pPr>
      <w:r>
        <w:rPr>
          <w:rFonts w:ascii="Amiri" w:hAnsi="Amiri" w:eastAsia="Amiri" w:cs="Amiri"/>
          <w:lang w:bidi="ar-SA"/>
          <w:color w:val="111111"/>
          <w:sz w:val="28"/>
          <w:szCs w:val="28"/>
          <w:rtl/>
        </w:rPr>
        <w:t xml:space="preserve">2.ترجمة الصاحب بن عباد ج4،</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ترجمة المرتضى، ج 4، ص 297</w:t>
      </w:r>
    </w:p>
    <w:p>
      <w:pPr>
        <w:pStyle w:val="BookText"/>
      </w:pPr>
      <w:r>
        <w:rPr>
          <w:rFonts w:ascii="Amiri" w:hAnsi="Amiri" w:eastAsia="Amiri" w:cs="Amiri"/>
          <w:lang w:bidi="ar-SA"/>
          <w:color w:val="111111"/>
          <w:sz w:val="28"/>
          <w:szCs w:val="28"/>
          <w:rtl/>
        </w:rPr>
        <w:t xml:space="preserve">4 .ترجمة النوبختي، ج4، ص299</w:t>
      </w:r>
    </w:p>
    <w:p>
      <w:pPr>
        <w:pStyle w:val="BookText"/>
      </w:pPr>
      <w:r>
        <w:rPr>
          <w:rFonts w:ascii="Amiri" w:hAnsi="Amiri" w:eastAsia="Amiri" w:cs="Amiri"/>
          <w:lang w:bidi="ar-SA"/>
          <w:color w:val="111111"/>
          <w:sz w:val="28"/>
          <w:szCs w:val="28"/>
          <w:rtl/>
        </w:rPr>
        <w:t xml:space="preserve">5 .رسائل في الاصول العملية، ج8،</w:t>
      </w:r>
    </w:p>
    <w:p>
      <w:pPr>
        <w:pStyle w:val="BookText"/>
      </w:pPr>
      <w:r>
        <w:rPr>
          <w:rFonts w:ascii="IRNazanin" w:hAnsi="IRNazanin" w:eastAsia="IRNazanin" w:cs="IRNazanin"/>
          <w:lang w:bidi="fa-IR"/>
          <w:color w:val="111111"/>
          <w:sz w:val="28"/>
          <w:szCs w:val="28"/>
          <w:rtl/>
        </w:rPr>
        <w:t xml:space="preserve">ص 147 .</w:t>
      </w:r>
    </w:p>
    <w:p>
      <w:pPr>
        <w:pStyle w:val="BookText"/>
      </w:pPr>
      <w:r>
        <w:rPr>
          <w:rFonts w:ascii="Amiri" w:hAnsi="Amiri" w:eastAsia="Amiri" w:cs="Amiri"/>
          <w:lang w:bidi="ar-SA"/>
          <w:color w:val="111111"/>
          <w:sz w:val="28"/>
          <w:szCs w:val="28"/>
          <w:rtl/>
        </w:rPr>
        <w:t xml:space="preserve">6 .شرح اللمعة الدمشقية، ج 10،</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Amiri" w:hAnsi="Amiri" w:eastAsia="Amiri" w:cs="Amiri"/>
          <w:lang w:bidi="ar-SA"/>
          <w:color w:val="111111"/>
          <w:sz w:val="28"/>
          <w:szCs w:val="28"/>
          <w:rtl/>
        </w:rPr>
        <w:t xml:space="preserve">7 .شرح تعليقة منهج المقال = رجال</w:t>
      </w:r>
    </w:p>
    <w:p>
      <w:pPr>
        <w:pStyle w:val="BookText"/>
      </w:pPr>
      <w:r>
        <w:rPr>
          <w:rFonts w:ascii="Amiri" w:hAnsi="Amiri" w:eastAsia="Amiri" w:cs="Amiri"/>
          <w:lang w:bidi="ar-SA"/>
          <w:color w:val="111111"/>
          <w:sz w:val="28"/>
          <w:szCs w:val="28"/>
          <w:rtl/>
        </w:rPr>
        <w:t xml:space="preserve">الخاقاني، ج9، ص339.</w:t>
      </w:r>
    </w:p>
    <w:p>
      <w:pPr>
        <w:pStyle w:val="Heading2"/>
      </w:pPr>
      <w:bookmarkStart w:id="4037" w:name="_Toc3139"/>
      <w:r>
        <w:t>خاقاني ، قاسم</w:t>
      </w:r>
      <w:bookmarkEnd w:id="4037"/>
    </w:p>
    <w:p>
      <w:pPr>
        <w:pStyle w:val="BookText"/>
      </w:pPr>
      <w:r>
        <w:rPr>
          <w:rFonts w:ascii="Amiri" w:hAnsi="Amiri" w:eastAsia="Amiri" w:cs="Amiri"/>
          <w:lang w:bidi="ar-SA"/>
          <w:color w:val="111111"/>
          <w:sz w:val="28"/>
          <w:szCs w:val="28"/>
          <w:rtl/>
        </w:rPr>
        <w:t xml:space="preserve">شرح اللامية في الكلام، ج10، ص77</w:t>
      </w:r>
    </w:p>
    <w:p>
      <w:pPr>
        <w:pStyle w:val="BookText"/>
      </w:pPr>
      <w:r>
        <w:rPr>
          <w:rFonts w:ascii="IRNazanin" w:hAnsi="IRNazanin" w:eastAsia="IRNazanin" w:cs="IRNazanin"/>
          <w:lang w:bidi="fa-IR"/>
          <w:color w:val="111111"/>
          <w:sz w:val="28"/>
          <w:szCs w:val="28"/>
          <w:rtl/>
        </w:rPr>
        <w:t xml:space="preserve">خاقاني ، محمّد بن عبد الجليل- ابن ایاس</w:t>
      </w:r>
    </w:p>
    <w:p>
      <w:pPr>
        <w:pStyle w:val="BookText"/>
      </w:pPr>
      <w:r>
        <w:rPr>
          <w:rFonts w:ascii="Amiri" w:hAnsi="Amiri" w:eastAsia="Amiri" w:cs="Amiri"/>
          <w:lang w:bidi="ar-SA"/>
          <w:color w:val="111111"/>
          <w:sz w:val="28"/>
          <w:szCs w:val="28"/>
          <w:rtl/>
        </w:rPr>
        <w:t xml:space="preserve">محمّد بن عبدالجليل</w:t>
      </w:r>
    </w:p>
    <w:p>
      <w:pPr>
        <w:pStyle w:val="Heading2"/>
      </w:pPr>
      <w:bookmarkStart w:id="4038" w:name="_Toc3140"/>
      <w:r>
        <w:t>خاقاني ، محمّد بن نصر الله قرن 8 ه-</w:t>
      </w:r>
      <w:bookmarkEnd w:id="4038"/>
    </w:p>
    <w:p>
      <w:pPr>
        <w:pStyle w:val="BookText"/>
      </w:pPr>
      <w:r>
        <w:rPr>
          <w:rFonts w:ascii="Amiri" w:hAnsi="Amiri" w:eastAsia="Amiri" w:cs="Amiri"/>
          <w:lang w:bidi="ar-SA"/>
          <w:color w:val="111111"/>
          <w:sz w:val="28"/>
          <w:szCs w:val="28"/>
          <w:rtl/>
        </w:rPr>
        <w:t xml:space="preserve">زبدة الرمل = خلاصة البحرين، ج8،</w:t>
      </w:r>
    </w:p>
    <w:p>
      <w:pPr>
        <w:pStyle w:val="BookText"/>
      </w:pPr>
      <w:r>
        <w:rPr>
          <w:rFonts w:ascii="IRNazanin" w:hAnsi="IRNazanin" w:eastAsia="IRNazanin" w:cs="IRNazanin"/>
          <w:lang w:bidi="fa-IR"/>
          <w:color w:val="111111"/>
          <w:sz w:val="28"/>
          <w:szCs w:val="28"/>
          <w:rtl/>
        </w:rPr>
        <w:t xml:space="preserve">ص 577</w:t>
      </w:r>
    </w:p>
    <w:p>
      <w:pPr>
        <w:pStyle w:val="BookText"/>
      </w:pPr>
      <w:r>
        <w:rPr>
          <w:rFonts w:ascii="Amiri" w:hAnsi="Amiri" w:eastAsia="Amiri" w:cs="Amiri"/>
          <w:lang w:bidi="ar-SA"/>
          <w:color w:val="111111"/>
          <w:sz w:val="28"/>
          <w:szCs w:val="28"/>
          <w:rtl/>
        </w:rPr>
        <w:t xml:space="preserve">خاكسار اصفهاني -واعظ اصفهاني ، محمّد</w:t>
      </w:r>
    </w:p>
    <w:p>
      <w:pPr>
        <w:pStyle w:val="Heading2"/>
      </w:pPr>
      <w:bookmarkStart w:id="4039" w:name="_Toc3141"/>
      <w:r>
        <w:t>خاك قزويني ، محمّد بن عبد الحسين قرن</w:t>
      </w:r>
      <w:bookmarkEnd w:id="4039"/>
    </w:p>
    <w:p>
      <w:pPr>
        <w:pStyle w:val="BookText"/>
      </w:pPr>
      <w:r>
        <w:rPr>
          <w:rFonts w:ascii="IRNazanin" w:hAnsi="IRNazanin" w:eastAsia="IRNazanin" w:cs="IRNazanin"/>
          <w:lang w:bidi="fa-IR"/>
          <w:color w:val="111111"/>
          <w:sz w:val="28"/>
          <w:szCs w:val="28"/>
          <w:rtl/>
        </w:rPr>
        <w:t xml:space="preserve">14 ه-</w:t>
      </w:r>
    </w:p>
    <w:p>
      <w:pPr>
        <w:pStyle w:val="BookText"/>
      </w:pPr>
      <w:r>
        <w:rPr>
          <w:rFonts w:ascii="Amiri" w:hAnsi="Amiri" w:eastAsia="Amiri" w:cs="Amiri"/>
          <w:lang w:bidi="ar-SA"/>
          <w:color w:val="111111"/>
          <w:sz w:val="28"/>
          <w:szCs w:val="28"/>
          <w:rtl/>
        </w:rPr>
        <w:t xml:space="preserve">شرح الصدور في حقايق الامور، ج9،</w:t>
      </w:r>
    </w:p>
    <w:p>
      <w:pPr>
        <w:pStyle w:val="BookText"/>
      </w:pPr>
      <w:r>
        <w:rPr>
          <w:rFonts w:ascii="IRNazanin" w:hAnsi="IRNazanin" w:eastAsia="IRNazanin" w:cs="IRNazanin"/>
          <w:lang w:bidi="fa-IR"/>
          <w:color w:val="111111"/>
          <w:sz w:val="28"/>
          <w:szCs w:val="28"/>
          <w:rtl/>
        </w:rPr>
        <w:t xml:space="preserve">ص 672.</w:t>
      </w:r>
    </w:p>
    <w:p>
      <w:pPr>
        <w:pStyle w:val="Heading2"/>
      </w:pPr>
      <w:bookmarkStart w:id="4040" w:name="_Toc3142"/>
      <w:r>
        <w:t>خاکي زاده، محمّد کمال قرن 14 ه-</w:t>
      </w:r>
      <w:bookmarkEnd w:id="4040"/>
    </w:p>
    <w:p>
      <w:pPr>
        <w:pStyle w:val="BookText"/>
      </w:pPr>
      <w:r>
        <w:rPr>
          <w:rFonts w:ascii="Amiri" w:hAnsi="Amiri" w:eastAsia="Amiri" w:cs="Amiri"/>
          <w:lang w:bidi="ar-SA"/>
          <w:color w:val="111111"/>
          <w:sz w:val="28"/>
          <w:szCs w:val="28"/>
          <w:rtl/>
        </w:rPr>
        <w:t xml:space="preserve">الكمالية في مدح خير البرية، ج13،</w:t>
      </w:r>
    </w:p>
    <w:p>
      <w:pPr>
        <w:pStyle w:val="BookText"/>
      </w:pPr>
      <w:r>
        <w:rPr>
          <w:rFonts w:ascii="IRNazanin" w:hAnsi="IRNazanin" w:eastAsia="IRNazanin" w:cs="IRNazanin"/>
          <w:lang w:bidi="fa-IR"/>
          <w:color w:val="111111"/>
          <w:sz w:val="28"/>
          <w:szCs w:val="28"/>
          <w:rtl/>
        </w:rPr>
        <w:t xml:space="preserve">ص 394.</w:t>
      </w:r>
    </w:p>
    <w:p>
      <w:pPr>
        <w:pStyle w:val="Heading2"/>
      </w:pPr>
      <w:bookmarkStart w:id="4041" w:name="_Toc3143"/>
      <w:r>
        <w:t>خاكي ، موسى</w:t>
      </w:r>
      <w:bookmarkEnd w:id="40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قصيدة بانت سعاد، ج 9،</w:t>
      </w:r>
    </w:p>
    <w:p>
      <w:pPr>
        <w:pStyle w:val="BookText"/>
      </w:pPr>
      <w:r>
        <w:rPr>
          <w:rFonts w:ascii="IRNazanin" w:hAnsi="IRNazanin" w:eastAsia="IRNazanin" w:cs="IRNazanin"/>
          <w:lang w:bidi="fa-IR"/>
          <w:color w:val="111111"/>
          <w:sz w:val="28"/>
          <w:szCs w:val="28"/>
          <w:rtl/>
        </w:rPr>
        <w:t xml:space="preserve">ص 841.</w:t>
      </w:r>
    </w:p>
    <w:p>
      <w:pPr>
        <w:pStyle w:val="BookText"/>
      </w:pPr>
      <w:r>
        <w:rPr>
          <w:rFonts w:ascii="Amiri" w:hAnsi="Amiri" w:eastAsia="Amiri" w:cs="Amiri"/>
          <w:lang w:bidi="ar-SA"/>
          <w:color w:val="111111"/>
          <w:sz w:val="28"/>
          <w:szCs w:val="28"/>
          <w:rtl/>
        </w:rPr>
        <w:t xml:space="preserve">2 .القواعد الكلية ما بين اللغة العربية</w:t>
      </w:r>
    </w:p>
    <w:p>
      <w:pPr>
        <w:pStyle w:val="BookText"/>
      </w:pPr>
      <w:r>
        <w:rPr>
          <w:rFonts w:ascii="Amiri" w:hAnsi="Amiri" w:eastAsia="Amiri" w:cs="Amiri"/>
          <w:lang w:bidi="ar-SA"/>
          <w:color w:val="111111"/>
          <w:sz w:val="28"/>
          <w:szCs w:val="28"/>
          <w:rtl/>
        </w:rPr>
        <w:t xml:space="preserve">و التركية، ج 12، ص 801.</w:t>
      </w:r>
    </w:p>
    <w:p>
      <w:pPr>
        <w:pStyle w:val="BookText"/>
      </w:pPr>
      <w:r>
        <w:rPr>
          <w:rFonts w:ascii="Amiri" w:hAnsi="Amiri" w:eastAsia="Amiri" w:cs="Amiri"/>
          <w:lang w:bidi="ar-SA"/>
          <w:color w:val="111111"/>
          <w:sz w:val="28"/>
          <w:szCs w:val="28"/>
          <w:rtl/>
        </w:rPr>
        <w:t xml:space="preserve">خالد بن احمد شهرزوري عثماني نقشبندي شهر زوري ، خالد بن حسين</w:t>
      </w:r>
    </w:p>
    <w:p>
      <w:pPr>
        <w:pStyle w:val="BookText"/>
      </w:pPr>
      <w:r>
        <w:rPr>
          <w:rFonts w:ascii="IRNazanin" w:hAnsi="IRNazanin" w:eastAsia="IRNazanin" w:cs="IRNazanin"/>
          <w:lang w:bidi="fa-IR"/>
          <w:color w:val="111111"/>
          <w:sz w:val="28"/>
          <w:szCs w:val="28"/>
          <w:rtl/>
        </w:rPr>
        <w:t xml:space="preserve">خالد بن زيد انصاري- ابوایوب انصاري ، خالد بن زيد</w:t>
      </w:r>
    </w:p>
    <w:p>
      <w:pPr>
        <w:pStyle w:val="Heading2"/>
      </w:pPr>
      <w:bookmarkStart w:id="4042" w:name="_Toc3144"/>
      <w:r>
        <w:t>خالد بن صفوان - 133 ه-</w:t>
      </w:r>
      <w:bookmarkEnd w:id="4042"/>
    </w:p>
    <w:p>
      <w:pPr>
        <w:pStyle w:val="BookText"/>
      </w:pPr>
      <w:r>
        <w:rPr>
          <w:rFonts w:ascii="Amiri" w:hAnsi="Amiri" w:eastAsia="Amiri" w:cs="Amiri"/>
          <w:lang w:bidi="ar-SA"/>
          <w:color w:val="111111"/>
          <w:sz w:val="28"/>
          <w:szCs w:val="28"/>
          <w:rtl/>
        </w:rPr>
        <w:t xml:space="preserve">قصيدة العروس، ج 12، ص 682.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4" w:name="pg7742_70284"/>
    <w:bookmarkEnd w:id="444"/>
    <w:p>
      <w:pPr>
        <w:pStyle w:val="BookText"/>
      </w:pPr>
      <w:r>
        <w:rPr>
          <w:rFonts w:ascii="IRNazanin" w:hAnsi="IRNazanin" w:eastAsia="IRNazanin" w:cs="IRNazanin"/>
          <w:lang w:bidi="fa-IR"/>
          <w:color w:val="111111"/>
          <w:sz w:val="28"/>
          <w:szCs w:val="28"/>
          <w:rtl/>
        </w:rPr>
        <w:t xml:space="preserve">خالد بن صفوان القناص- خالد بن صفوان</w:t>
      </w:r>
    </w:p>
    <w:p>
      <w:pPr>
        <w:pStyle w:val="BookText"/>
      </w:pPr>
      <w:r>
        <w:rPr>
          <w:rFonts w:ascii="Amiri" w:hAnsi="Amiri" w:eastAsia="Amiri" w:cs="Amiri"/>
          <w:lang w:bidi="ar-SA"/>
          <w:color w:val="111111"/>
          <w:sz w:val="28"/>
          <w:szCs w:val="28"/>
          <w:rtl/>
        </w:rPr>
        <w:t xml:space="preserve">خالد بن عبدالله ازهري- ازهري ، خالد بن</w:t>
      </w:r>
    </w:p>
    <w:p>
      <w:pPr>
        <w:pStyle w:val="BookText"/>
      </w:pPr>
      <w:r>
        <w:rPr>
          <w:rFonts w:ascii="IRNazanin" w:hAnsi="IRNazanin" w:eastAsia="IRNazanin" w:cs="IRNazanin"/>
          <w:lang w:bidi="fa-IR"/>
          <w:color w:val="111111"/>
          <w:sz w:val="28"/>
          <w:szCs w:val="28"/>
          <w:rtl/>
        </w:rPr>
        <w:t xml:space="preserve">عبدالله</w:t>
      </w:r>
    </w:p>
    <w:p>
      <w:pPr>
        <w:pStyle w:val="Heading2"/>
      </w:pPr>
      <w:bookmarkStart w:id="4043" w:name="_Toc3145"/>
      <w:r>
        <w:t>خالد بن يزيد - 85 ه-</w:t>
      </w:r>
      <w:bookmarkEnd w:id="40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دیوان خالد بن يزيد، ج 7، ص 633.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خالد بن يزيد ج 8، ص200.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فردوس الحكمة، ج 11، ص779.</w:t>
      </w:r>
    </w:p>
    <w:p>
      <w:pPr>
        <w:pStyle w:val="BookText"/>
      </w:pPr>
      <w:r>
        <w:rPr>
          <w:rFonts w:ascii="Amiri" w:hAnsi="Amiri" w:eastAsia="Amiri" w:cs="Amiri"/>
          <w:lang w:bidi="ar-SA"/>
          <w:color w:val="111111"/>
          <w:sz w:val="28"/>
          <w:szCs w:val="28"/>
          <w:rtl/>
        </w:rPr>
        <w:t xml:space="preserve">4 .الكيمياء (رسالة في)، ج 13، ص 486.</w:t>
      </w:r>
    </w:p>
    <w:p>
      <w:pPr>
        <w:pStyle w:val="BookText"/>
      </w:pPr>
      <w:r>
        <w:rPr>
          <w:rFonts w:ascii="Amiri" w:hAnsi="Amiri" w:eastAsia="Amiri" w:cs="Amiri"/>
          <w:lang w:bidi="ar-SA"/>
          <w:color w:val="111111"/>
          <w:sz w:val="28"/>
          <w:szCs w:val="28"/>
          <w:rtl/>
        </w:rPr>
        <w:t xml:space="preserve">خالد بن يزيد بن معاويه بن ابي</w:t>
      </w:r>
    </w:p>
    <w:p>
      <w:pPr>
        <w:pStyle w:val="BookText"/>
      </w:pPr>
      <w:r>
        <w:rPr>
          <w:rFonts w:ascii="Amiri" w:hAnsi="Amiri" w:eastAsia="Amiri" w:cs="Amiri"/>
          <w:lang w:bidi="ar-SA"/>
          <w:color w:val="111111"/>
          <w:sz w:val="28"/>
          <w:szCs w:val="28"/>
          <w:rtl/>
        </w:rPr>
        <w:t xml:space="preserve">سفيان- خالد بن يزيد</w:t>
      </w:r>
    </w:p>
    <w:p>
      <w:pPr>
        <w:pStyle w:val="BookText"/>
      </w:pPr>
      <w:r>
        <w:rPr>
          <w:rFonts w:ascii="Amiri" w:hAnsi="Amiri" w:eastAsia="Amiri" w:cs="Amiri"/>
          <w:lang w:bidi="ar-SA"/>
          <w:color w:val="111111"/>
          <w:sz w:val="28"/>
          <w:szCs w:val="28"/>
          <w:rtl/>
        </w:rPr>
        <w:t xml:space="preserve">خالد زيباري خالدي نقشبندي- زيباري</w:t>
      </w:r>
    </w:p>
    <w:p>
      <w:pPr>
        <w:pStyle w:val="BookText"/>
      </w:pPr>
      <w:r>
        <w:rPr>
          <w:rFonts w:ascii="Amiri" w:hAnsi="Amiri" w:eastAsia="Amiri" w:cs="Amiri"/>
          <w:lang w:bidi="ar-SA"/>
          <w:color w:val="111111"/>
          <w:sz w:val="28"/>
          <w:szCs w:val="28"/>
          <w:rtl/>
        </w:rPr>
        <w:t xml:space="preserve">خالدي ، خالد</w:t>
      </w:r>
    </w:p>
    <w:p>
      <w:pPr>
        <w:pStyle w:val="BookText"/>
      </w:pPr>
      <w:r>
        <w:rPr>
          <w:rFonts w:ascii="IRNazanin" w:hAnsi="IRNazanin" w:eastAsia="IRNazanin" w:cs="IRNazanin"/>
          <w:lang w:bidi="fa-IR"/>
          <w:color w:val="111111"/>
          <w:sz w:val="28"/>
          <w:szCs w:val="28"/>
          <w:rtl/>
        </w:rPr>
        <w:t xml:space="preserve">خالد کرد ، ضیاء الدین -شهر زوري ، خالد</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خالد واني -واني ، خالد</w:t>
      </w:r>
    </w:p>
    <w:p>
      <w:pPr>
        <w:pStyle w:val="BookText"/>
      </w:pPr>
      <w:r>
        <w:rPr>
          <w:rFonts w:ascii="Amiri" w:hAnsi="Amiri" w:eastAsia="Amiri" w:cs="Amiri"/>
          <w:lang w:bidi="ar-SA"/>
          <w:color w:val="111111"/>
          <w:sz w:val="28"/>
          <w:szCs w:val="28"/>
          <w:rtl/>
        </w:rPr>
        <w:t xml:space="preserve">خالدي ، احمد بن حسن -جوهري ، احمد</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خالدي ، احمد بن محمّد- خالدي صفدي</w:t>
      </w:r>
    </w:p>
    <w:p>
      <w:pPr>
        <w:pStyle w:val="BookText"/>
      </w:pPr>
      <w:r>
        <w:rPr>
          <w:rFonts w:ascii="IRNazanin" w:hAnsi="IRNazanin" w:eastAsia="IRNazanin" w:cs="IRNazanin"/>
          <w:lang w:bidi="fa-IR"/>
          <w:color w:val="111111"/>
          <w:sz w:val="28"/>
          <w:szCs w:val="28"/>
          <w:rtl/>
        </w:rPr>
        <w:t xml:space="preserve">ص 510.</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خالدي ، حسين بن احمد- دوسري ، حسين بن احمد</w:t>
      </w:r>
    </w:p>
    <w:p>
      <w:pPr>
        <w:pStyle w:val="Heading2"/>
      </w:pPr>
      <w:bookmarkStart w:id="4044" w:name="_Toc3146"/>
      <w:r>
        <w:t>؟ خالدي ، حسين بن احمد قرن 8 ه-</w:t>
      </w:r>
      <w:bookmarkEnd w:id="404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تأويل القرآن العزيز المستخرج من قرن 14 ه-</w:t>
      </w:r>
    </w:p>
    <w:p>
      <w:pPr>
        <w:pStyle w:val="BookText"/>
      </w:pPr>
      <w:r>
        <w:rPr>
          <w:rFonts w:ascii="Amiri" w:hAnsi="Amiri" w:eastAsia="Amiri" w:cs="Amiri"/>
          <w:lang w:bidi="ar-SA"/>
          <w:color w:val="111111"/>
          <w:sz w:val="28"/>
          <w:szCs w:val="28"/>
          <w:rtl/>
        </w:rPr>
        <w:t xml:space="preserve">خير الحقائق، ج 3، ص 628 .</w:t>
      </w:r>
    </w:p>
    <w:p>
      <w:pPr>
        <w:pStyle w:val="BookText"/>
      </w:pPr>
      <w:r>
        <w:rPr>
          <w:rFonts w:ascii="Amiri" w:hAnsi="Amiri" w:eastAsia="Amiri" w:cs="Amiri"/>
          <w:lang w:bidi="ar-SA"/>
          <w:color w:val="111111"/>
          <w:sz w:val="28"/>
          <w:szCs w:val="28"/>
          <w:rtl/>
        </w:rPr>
        <w:t xml:space="preserve">2 .رشف الالحاظ في كشف الالفاظ =</w:t>
      </w:r>
    </w:p>
    <w:p>
      <w:pPr>
        <w:pStyle w:val="BookText"/>
      </w:pPr>
      <w:r>
        <w:rPr>
          <w:rFonts w:ascii="IRNazanin" w:hAnsi="IRNazanin" w:eastAsia="IRNazanin" w:cs="IRNazanin"/>
          <w:lang w:bidi="fa-IR"/>
          <w:color w:val="111111"/>
          <w:sz w:val="28"/>
          <w:szCs w:val="28"/>
          <w:rtl/>
        </w:rPr>
        <w:t xml:space="preserve">شرح الالفاظ، ج8، ص310.</w:t>
      </w:r>
    </w:p>
    <w:p>
      <w:pPr>
        <w:pStyle w:val="Heading2"/>
      </w:pPr>
      <w:bookmarkStart w:id="4045" w:name="_Toc3147"/>
      <w:r>
        <w:t>خالدي صفدي احمد بن محمّد -1034ه-</w:t>
      </w:r>
      <w:bookmarkEnd w:id="40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الانوار الجلية في تخميس الهمزية</w:t>
      </w:r>
    </w:p>
    <w:p>
      <w:pPr>
        <w:pStyle w:val="BookText"/>
      </w:pPr>
      <w:r>
        <w:rPr>
          <w:rFonts w:ascii="IRNazanin" w:hAnsi="IRNazanin" w:eastAsia="IRNazanin" w:cs="IRNazanin"/>
          <w:lang w:bidi="fa-IR"/>
          <w:color w:val="111111"/>
          <w:sz w:val="28"/>
          <w:szCs w:val="28"/>
          <w:rtl/>
        </w:rPr>
        <w:t xml:space="preserve">ج 2، ص 881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الفوائد السنية، ج 12، ص 207.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اللوامع الهمسية في تخميس القصيدة الهمزية، ج13، ص 659.</w:t>
      </w:r>
    </w:p>
    <w:p>
      <w:pPr>
        <w:pStyle w:val="BookText"/>
      </w:pPr>
      <w:r>
        <w:rPr>
          <w:rFonts w:ascii="Amiri" w:hAnsi="Amiri" w:eastAsia="Amiri" w:cs="Amiri"/>
          <w:lang w:bidi="ar-SA"/>
          <w:color w:val="111111"/>
          <w:sz w:val="28"/>
          <w:szCs w:val="28"/>
          <w:rtl/>
        </w:rPr>
        <w:t xml:space="preserve">خالدي ، عبد المجيد بن محمّد- خاني ،</w:t>
      </w:r>
    </w:p>
    <w:p>
      <w:pPr>
        <w:pStyle w:val="BookText"/>
      </w:pPr>
      <w:r>
        <w:rPr>
          <w:rFonts w:ascii="Amiri" w:hAnsi="Amiri" w:eastAsia="Amiri" w:cs="Amiri"/>
          <w:lang w:bidi="ar-SA"/>
          <w:color w:val="111111"/>
          <w:sz w:val="28"/>
          <w:szCs w:val="28"/>
          <w:rtl/>
        </w:rPr>
        <w:t xml:space="preserve">عبد المجيد بن محمّد</w:t>
      </w:r>
    </w:p>
    <w:p>
      <w:pPr>
        <w:pStyle w:val="BookText"/>
      </w:pPr>
      <w:r>
        <w:rPr>
          <w:rFonts w:ascii="Amiri" w:hAnsi="Amiri" w:eastAsia="Amiri" w:cs="Amiri"/>
          <w:lang w:bidi="ar-SA"/>
          <w:color w:val="111111"/>
          <w:sz w:val="28"/>
          <w:szCs w:val="28"/>
          <w:rtl/>
        </w:rPr>
        <w:t xml:space="preserve">خالدي ، محمّد بن احمد -جوهري صغير</w:t>
      </w:r>
    </w:p>
    <w:p>
      <w:pPr>
        <w:pStyle w:val="BookText"/>
      </w:pPr>
      <w:r>
        <w:rPr>
          <w:rFonts w:ascii="IRNazanin" w:hAnsi="IRNazanin" w:eastAsia="IRNazanin" w:cs="IRNazanin"/>
          <w:lang w:bidi="fa-IR"/>
          <w:color w:val="111111"/>
          <w:sz w:val="28"/>
          <w:szCs w:val="28"/>
          <w:rtl/>
        </w:rPr>
        <w:t xml:space="preserve">، محمّد بن احمد</w:t>
      </w:r>
    </w:p>
    <w:p>
      <w:pPr>
        <w:pStyle w:val="BookText"/>
      </w:pPr>
      <w:r>
        <w:rPr>
          <w:rFonts w:ascii="IRNazanin" w:hAnsi="IRNazanin" w:eastAsia="IRNazanin" w:cs="IRNazanin"/>
          <w:lang w:bidi="fa-IR"/>
          <w:color w:val="111111"/>
          <w:sz w:val="28"/>
          <w:szCs w:val="28"/>
          <w:rtl/>
        </w:rPr>
        <w:t xml:space="preserve">خالدي ، محمّد بن سليمان -بغدادي ، محمّد بن سلیمان</w:t>
      </w:r>
    </w:p>
    <w:p>
      <w:pPr>
        <w:pStyle w:val="BookText"/>
      </w:pPr>
      <w:r>
        <w:rPr>
          <w:rFonts w:ascii="Amiri" w:hAnsi="Amiri" w:eastAsia="Amiri" w:cs="Amiri"/>
          <w:lang w:bidi="ar-SA"/>
          <w:color w:val="111111"/>
          <w:sz w:val="28"/>
          <w:szCs w:val="28"/>
          <w:rtl/>
        </w:rPr>
        <w:t xml:space="preserve">خالدي، محمّد بن شهاب الدين- زكريائي</w:t>
      </w:r>
    </w:p>
    <w:p>
      <w:pPr>
        <w:pStyle w:val="BookText"/>
      </w:pPr>
      <w:r>
        <w:rPr>
          <w:rFonts w:ascii="Amiri" w:hAnsi="Amiri" w:eastAsia="Amiri" w:cs="Amiri"/>
          <w:lang w:bidi="ar-SA"/>
          <w:color w:val="111111"/>
          <w:sz w:val="28"/>
          <w:szCs w:val="28"/>
          <w:rtl/>
        </w:rPr>
        <w:t xml:space="preserve">، محمّد بن شهاب الدين</w:t>
      </w:r>
    </w:p>
    <w:p>
      <w:pPr>
        <w:pStyle w:val="BookText"/>
      </w:pPr>
      <w:r>
        <w:rPr>
          <w:rFonts w:ascii="Amiri" w:hAnsi="Amiri" w:eastAsia="Amiri" w:cs="Amiri"/>
          <w:lang w:bidi="ar-SA"/>
          <w:color w:val="111111"/>
          <w:sz w:val="28"/>
          <w:szCs w:val="28"/>
          <w:rtl/>
        </w:rPr>
        <w:t xml:space="preserve">خالدي، محمّد بن نصر- ابن قيسراني ،</w:t>
      </w:r>
    </w:p>
    <w:p>
      <w:pPr>
        <w:pStyle w:val="BookText"/>
      </w:pPr>
      <w:r>
        <w:rPr>
          <w:rFonts w:ascii="Amiri" w:hAnsi="Amiri" w:eastAsia="Amiri" w:cs="Amiri"/>
          <w:lang w:bidi="ar-SA"/>
          <w:color w:val="111111"/>
          <w:sz w:val="28"/>
          <w:szCs w:val="28"/>
          <w:rtl/>
        </w:rPr>
        <w:t xml:space="preserve">محمّد بن نصر</w:t>
      </w:r>
    </w:p>
    <w:p>
      <w:pPr>
        <w:pStyle w:val="BookText"/>
      </w:pPr>
      <w:r>
        <w:rPr>
          <w:rFonts w:ascii="Amiri" w:hAnsi="Amiri" w:eastAsia="Amiri" w:cs="Amiri"/>
          <w:lang w:bidi="ar-SA"/>
          <w:color w:val="111111"/>
          <w:sz w:val="28"/>
          <w:szCs w:val="28"/>
          <w:rtl/>
        </w:rPr>
        <w:t xml:space="preserve">خالدي نقشبندي، داود- بغدادي ، داود بن سليمان</w:t>
      </w:r>
    </w:p>
    <w:p>
      <w:pPr>
        <w:pStyle w:val="Heading2"/>
      </w:pPr>
      <w:bookmarkStart w:id="4046" w:name="_Toc3148"/>
      <w:r>
        <w:t>خالصي،اسدالله بن محمّد علي قرن 14 ه-</w:t>
      </w:r>
      <w:bookmarkEnd w:id="4046"/>
    </w:p>
    <w:p>
      <w:pPr>
        <w:pStyle w:val="BookText"/>
      </w:pPr>
      <w:r>
        <w:rPr>
          <w:rFonts w:ascii="Amiri" w:hAnsi="Amiri" w:eastAsia="Amiri" w:cs="Amiri"/>
          <w:lang w:bidi="ar-SA"/>
          <w:color w:val="111111"/>
          <w:sz w:val="28"/>
          <w:szCs w:val="28"/>
          <w:rtl/>
        </w:rPr>
        <w:t xml:space="preserve">جواب مسألة في شأن آية التبليغ جه،</w:t>
      </w:r>
    </w:p>
    <w:p>
      <w:pPr>
        <w:pStyle w:val="Heading2"/>
      </w:pPr>
      <w:bookmarkStart w:id="4047" w:name="_Toc3149"/>
      <w:r>
        <w:t>خالصي ، ضياء الدين</w:t>
      </w:r>
      <w:bookmarkEnd w:id="4047"/>
    </w:p>
    <w:p>
      <w:pPr>
        <w:pStyle w:val="BookText"/>
      </w:pPr>
      <w:r>
        <w:rPr>
          <w:rFonts w:ascii="Amiri" w:hAnsi="Amiri" w:eastAsia="Amiri" w:cs="Amiri"/>
          <w:lang w:bidi="ar-SA"/>
          <w:color w:val="111111"/>
          <w:sz w:val="28"/>
          <w:szCs w:val="28"/>
          <w:rtl/>
        </w:rPr>
        <w:t xml:space="preserve">ترجمة ضياءالدين خالصي، جع،</w:t>
      </w:r>
    </w:p>
    <w:p>
      <w:pPr>
        <w:pStyle w:val="BookText"/>
      </w:pPr>
      <w:r>
        <w:rPr>
          <w:rFonts w:ascii="IRNazanin" w:hAnsi="IRNazanin" w:eastAsia="IRNazanin" w:cs="IRNazanin"/>
          <w:lang w:bidi="fa-IR"/>
          <w:color w:val="111111"/>
          <w:sz w:val="28"/>
          <w:szCs w:val="28"/>
          <w:rtl/>
        </w:rPr>
        <w:t xml:space="preserve">ص 286 .</w:t>
      </w:r>
    </w:p>
    <w:p>
      <w:pPr>
        <w:pStyle w:val="Heading2"/>
      </w:pPr>
      <w:bookmarkStart w:id="4048" w:name="_Toc3150"/>
      <w:r>
        <w:t>خالصي كاظمي، محمّد بن محمّد مهدي</w:t>
      </w:r>
      <w:bookmarkEnd w:id="4048"/>
    </w:p>
    <w:p>
      <w:pPr>
        <w:pStyle w:val="BookText"/>
      </w:pPr>
      <w:r>
        <w:rPr>
          <w:rFonts w:ascii="Amiri" w:hAnsi="Amiri" w:eastAsia="Amiri" w:cs="Amiri"/>
          <w:lang w:bidi="ar-SA"/>
          <w:color w:val="111111"/>
          <w:sz w:val="28"/>
          <w:szCs w:val="28"/>
          <w:rtl/>
        </w:rPr>
        <w:t xml:space="preserve">1 .احوال الامام الشيخ مهدي</w:t>
      </w:r>
    </w:p>
    <w:p>
      <w:pPr>
        <w:pStyle w:val="BookText"/>
      </w:pPr>
      <w:r>
        <w:rPr>
          <w:rFonts w:ascii="Amiri" w:hAnsi="Amiri" w:eastAsia="Amiri" w:cs="Amiri"/>
          <w:lang w:bidi="ar-SA"/>
          <w:color w:val="111111"/>
          <w:sz w:val="28"/>
          <w:szCs w:val="28"/>
          <w:rtl/>
        </w:rPr>
        <w:t xml:space="preserve">الخالصي «قدس سره» (كتاب في)</w:t>
      </w:r>
    </w:p>
    <w:p>
      <w:pPr>
        <w:pStyle w:val="BookText"/>
      </w:pPr>
      <w:r>
        <w:rPr>
          <w:rFonts w:ascii="IRNazanin" w:hAnsi="IRNazanin" w:eastAsia="IRNazanin" w:cs="IRNazanin"/>
          <w:lang w:bidi="fa-IR"/>
          <w:color w:val="111111"/>
          <w:sz w:val="28"/>
          <w:szCs w:val="28"/>
          <w:rtl/>
        </w:rPr>
        <w:t xml:space="preserve">ج 1، ص 500.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5" w:name="pg7742_70286"/>
    <w:bookmarkEnd w:id="445"/>
    <w:p>
      <w:pPr>
        <w:pStyle w:val="BookText"/>
      </w:pPr>
      <w:r>
        <w:rPr>
          <w:rFonts w:ascii="Amiri" w:hAnsi="Amiri" w:eastAsia="Amiri" w:cs="Amiri"/>
          <w:lang w:bidi="ar-SA"/>
          <w:color w:val="111111"/>
          <w:sz w:val="28"/>
          <w:szCs w:val="28"/>
          <w:rtl/>
        </w:rPr>
        <w:t xml:space="preserve">2 .احياء السنة و اماتة البدعة، ج 1،</w:t>
      </w:r>
    </w:p>
    <w:p>
      <w:pPr>
        <w:pStyle w:val="BookText"/>
      </w:pPr>
      <w:r>
        <w:rPr>
          <w:rFonts w:ascii="IRNazanin" w:hAnsi="IRNazanin" w:eastAsia="IRNazanin" w:cs="IRNazanin"/>
          <w:lang w:bidi="fa-IR"/>
          <w:color w:val="111111"/>
          <w:sz w:val="28"/>
          <w:szCs w:val="28"/>
          <w:rtl/>
        </w:rPr>
        <w:t xml:space="preserve">ص 507.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احياء الشريعة في مذهب الشيعة</w:t>
      </w:r>
    </w:p>
    <w:p>
      <w:pPr>
        <w:pStyle w:val="BookText"/>
      </w:pPr>
      <w:r>
        <w:rPr>
          <w:rFonts w:ascii="IRNazanin" w:hAnsi="IRNazanin" w:eastAsia="IRNazanin" w:cs="IRNazanin"/>
          <w:lang w:bidi="fa-IR"/>
          <w:color w:val="111111"/>
          <w:sz w:val="28"/>
          <w:szCs w:val="28"/>
          <w:rtl/>
        </w:rPr>
        <w:t xml:space="preserve">ج 1، ص 507.</w:t>
      </w:r>
    </w:p>
    <w:p>
      <w:pPr>
        <w:pStyle w:val="BookText"/>
      </w:pPr>
      <w:r>
        <w:rPr>
          <w:rFonts w:ascii="Amiri" w:hAnsi="Amiri" w:eastAsia="Amiri" w:cs="Amiri"/>
          <w:lang w:bidi="ar-SA"/>
          <w:color w:val="111111"/>
          <w:sz w:val="28"/>
          <w:szCs w:val="28"/>
          <w:rtl/>
        </w:rPr>
        <w:t xml:space="preserve">4 .ايضاح العناوين، ج3، ص121</w:t>
      </w:r>
    </w:p>
    <w:p>
      <w:pPr>
        <w:pStyle w:val="BookText"/>
      </w:pPr>
      <w:r>
        <w:rPr>
          <w:rFonts w:ascii="IRNazanin" w:hAnsi="IRNazanin" w:eastAsia="IRNazanin" w:cs="IRNazanin"/>
          <w:lang w:bidi="fa-IR"/>
          <w:color w:val="111111"/>
          <w:sz w:val="28"/>
          <w:szCs w:val="28"/>
          <w:rtl/>
        </w:rPr>
        <w:t xml:space="preserve">5 .بطل الاسلام، ج3، ص 353.</w:t>
      </w:r>
    </w:p>
    <w:p>
      <w:pPr>
        <w:pStyle w:val="BookText"/>
      </w:pPr>
      <w:r>
        <w:rPr>
          <w:rFonts w:ascii="Amiri" w:hAnsi="Amiri" w:eastAsia="Amiri" w:cs="Amiri"/>
          <w:lang w:bidi="ar-SA"/>
          <w:color w:val="111111"/>
          <w:sz w:val="28"/>
          <w:szCs w:val="28"/>
          <w:rtl/>
        </w:rPr>
        <w:t xml:space="preserve">6 .تاريخ الاحتلال الانكليزي للعراق و</w:t>
      </w:r>
    </w:p>
    <w:p>
      <w:pPr>
        <w:pStyle w:val="BookText"/>
      </w:pPr>
      <w:r>
        <w:rPr>
          <w:rFonts w:ascii="Amiri" w:hAnsi="Amiri" w:eastAsia="Amiri" w:cs="Amiri"/>
          <w:lang w:bidi="ar-SA"/>
          <w:color w:val="111111"/>
          <w:sz w:val="28"/>
          <w:szCs w:val="28"/>
          <w:rtl/>
        </w:rPr>
        <w:t xml:space="preserve">جهاد الامة ضده (رسالة في)، ج3،</w:t>
      </w:r>
    </w:p>
    <w:p>
      <w:pPr>
        <w:pStyle w:val="BookText"/>
      </w:pPr>
      <w:r>
        <w:rPr>
          <w:rFonts w:ascii="IRNazanin" w:hAnsi="IRNazanin" w:eastAsia="IRNazanin" w:cs="IRNazanin"/>
          <w:lang w:bidi="fa-IR"/>
          <w:color w:val="111111"/>
          <w:sz w:val="28"/>
          <w:szCs w:val="28"/>
          <w:rtl/>
        </w:rPr>
        <w:t xml:space="preserve">ص 545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الجمعة، ج 5، ص 433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خطبة للشيخ محمّد الخالصي (قدس</w:t>
      </w:r>
    </w:p>
    <w:p>
      <w:pPr>
        <w:pStyle w:val="BookText"/>
      </w:pPr>
      <w:r>
        <w:rPr>
          <w:rFonts w:ascii="IRNazanin" w:hAnsi="IRNazanin" w:eastAsia="IRNazanin" w:cs="IRNazanin"/>
          <w:lang w:bidi="fa-IR"/>
          <w:color w:val="111111"/>
          <w:sz w:val="28"/>
          <w:szCs w:val="28"/>
          <w:rtl/>
        </w:rPr>
        <w:t xml:space="preserve">سره)، ج 7، ص 54.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رحلة الشمال، ج8، ص70.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الرد على كتاب «الذريعة في الرد</w:t>
      </w:r>
    </w:p>
    <w:p>
      <w:pPr>
        <w:pStyle w:val="BookText"/>
      </w:pPr>
      <w:r>
        <w:rPr>
          <w:rFonts w:ascii="Amiri" w:hAnsi="Amiri" w:eastAsia="Amiri" w:cs="Amiri"/>
          <w:lang w:bidi="ar-SA"/>
          <w:color w:val="111111"/>
          <w:sz w:val="28"/>
          <w:szCs w:val="28"/>
          <w:rtl/>
        </w:rPr>
        <w:t xml:space="preserve">على الشيعة» (رسالة في)، ج8،</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Amiri" w:hAnsi="Amiri" w:eastAsia="Amiri" w:cs="Amiri"/>
          <w:lang w:bidi="ar-SA"/>
          <w:color w:val="111111"/>
          <w:sz w:val="28"/>
          <w:szCs w:val="28"/>
          <w:rtl/>
        </w:rPr>
        <w:t xml:space="preserve">11 .الرسائل الدمشقية، ج8، ص139.</w:t>
      </w:r>
    </w:p>
    <w:p>
      <w:pPr>
        <w:pStyle w:val="BookText"/>
      </w:pPr>
      <w:r>
        <w:rPr>
          <w:rFonts w:ascii="IRNazanin" w:hAnsi="IRNazanin" w:eastAsia="IRNazanin" w:cs="IRNazanin"/>
          <w:lang w:bidi="fa-IR"/>
          <w:color w:val="111111"/>
          <w:sz w:val="28"/>
          <w:szCs w:val="28"/>
          <w:rtl/>
        </w:rPr>
        <w:t xml:space="preserve">12 .سبل السلام، ج8، ص 705.</w:t>
      </w:r>
    </w:p>
    <w:p>
      <w:pPr>
        <w:pStyle w:val="BookText"/>
      </w:pPr>
      <w:r>
        <w:rPr>
          <w:rFonts w:ascii="Amiri" w:hAnsi="Amiri" w:eastAsia="Amiri" w:cs="Amiri"/>
          <w:lang w:bidi="ar-SA"/>
          <w:color w:val="111111"/>
          <w:sz w:val="28"/>
          <w:szCs w:val="28"/>
          <w:rtl/>
        </w:rPr>
        <w:t xml:space="preserve">13 .شرر فتنه الجهل في ايران، ج10،</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في سبيل الله، ج 12، ص 305.</w:t>
      </w:r>
    </w:p>
    <w:p>
      <w:pPr>
        <w:pStyle w:val="BookText"/>
      </w:pPr>
      <w:r>
        <w:rPr>
          <w:rFonts w:ascii="Amiri" w:hAnsi="Amiri" w:eastAsia="Amiri" w:cs="Amiri"/>
          <w:lang w:bidi="ar-SA"/>
          <w:color w:val="111111"/>
          <w:sz w:val="28"/>
          <w:szCs w:val="28"/>
          <w:rtl/>
        </w:rPr>
        <w:t xml:space="preserve">15 .الكلمة العليا، ج13، ص 376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نظام عائله اسلامي، ج 16، ص322.</w:t>
      </w:r>
    </w:p>
    <w:p>
      <w:pPr>
        <w:pStyle w:val="Heading2"/>
      </w:pPr>
      <w:bookmarkStart w:id="4049" w:name="_Toc3151"/>
      <w:r>
        <w:t>خالصي كاظمي، محمّد حسن بن باقر -</w:t>
      </w:r>
      <w:bookmarkEnd w:id="4049"/>
    </w:p>
    <w:p>
      <w:pPr>
        <w:pStyle w:val="BookText"/>
      </w:pPr>
      <w:r>
        <w:rPr>
          <w:rFonts w:ascii="IRNazanin" w:hAnsi="IRNazanin" w:eastAsia="IRNazanin" w:cs="IRNazanin"/>
          <w:lang w:bidi="fa-IR"/>
          <w:color w:val="111111"/>
          <w:sz w:val="28"/>
          <w:szCs w:val="28"/>
          <w:rtl/>
        </w:rPr>
        <w:t xml:space="preserve">1375ه-</w:t>
      </w:r>
    </w:p>
    <w:p>
      <w:pPr>
        <w:pStyle w:val="BookText"/>
      </w:pPr>
      <w:r>
        <w:rPr>
          <w:rFonts w:ascii="IRNazanin" w:hAnsi="IRNazanin" w:eastAsia="IRNazanin" w:cs="IRNazanin"/>
          <w:lang w:bidi="fa-IR"/>
          <w:color w:val="111111"/>
          <w:sz w:val="28"/>
          <w:szCs w:val="28"/>
          <w:rtl/>
        </w:rPr>
        <w:t xml:space="preserve">1 .جامع الفوائد الفرائد، ج 5، ص 314.</w:t>
      </w:r>
    </w:p>
    <w:p>
      <w:pPr>
        <w:pStyle w:val="BookText"/>
      </w:pPr>
      <w:r>
        <w:rPr>
          <w:rFonts w:ascii="Amiri" w:hAnsi="Amiri" w:eastAsia="Amiri" w:cs="Amiri"/>
          <w:lang w:bidi="ar-SA"/>
          <w:color w:val="111111"/>
          <w:sz w:val="28"/>
          <w:szCs w:val="28"/>
          <w:rtl/>
        </w:rPr>
        <w:t xml:space="preserve">2 .مختارات أدبية، ج 14، ص 141.</w:t>
      </w:r>
    </w:p>
    <w:p>
      <w:pPr>
        <w:pStyle w:val="Heading2"/>
      </w:pPr>
      <w:bookmarkStart w:id="4050" w:name="_Toc3152"/>
      <w:r>
        <w:t>خالصي كاظمي، محمّد مهدي بن حسين</w:t>
      </w:r>
      <w:bookmarkEnd w:id="4050"/>
    </w:p>
    <w:p>
      <w:pPr>
        <w:pStyle w:val="BookText"/>
      </w:pPr>
      <w:r>
        <w:rPr>
          <w:rFonts w:ascii="IRNazanin" w:hAnsi="IRNazanin" w:eastAsia="IRNazanin" w:cs="IRNazanin"/>
          <w:lang w:bidi="fa-IR"/>
          <w:color w:val="111111"/>
          <w:sz w:val="28"/>
          <w:szCs w:val="28"/>
          <w:rtl/>
        </w:rPr>
        <w:t xml:space="preserve">1277؟ - 1343 ه-</w:t>
      </w:r>
    </w:p>
    <w:p>
      <w:pPr>
        <w:pStyle w:val="BookText"/>
      </w:pPr>
      <w:r>
        <w:rPr>
          <w:rFonts w:ascii="Amiri" w:hAnsi="Amiri" w:eastAsia="Amiri" w:cs="Amiri"/>
          <w:lang w:bidi="ar-SA"/>
          <w:color w:val="111111"/>
          <w:sz w:val="28"/>
          <w:szCs w:val="28"/>
          <w:rtl/>
        </w:rPr>
        <w:t xml:space="preserve">1 .بيان تصحيف المنحة الالهية عن</w:t>
      </w:r>
    </w:p>
    <w:p>
      <w:pPr>
        <w:pStyle w:val="BookText"/>
      </w:pPr>
      <w:r>
        <w:rPr>
          <w:rFonts w:ascii="Amiri" w:hAnsi="Amiri" w:eastAsia="Amiri" w:cs="Amiri"/>
          <w:lang w:bidi="ar-SA"/>
          <w:color w:val="111111"/>
          <w:sz w:val="28"/>
          <w:szCs w:val="28"/>
          <w:rtl/>
        </w:rPr>
        <w:t xml:space="preserve">النفثة الشيطانية، ج 3، ص 465.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تلخيص الرسائل، ج 4، ص 845.</w:t>
      </w:r>
    </w:p>
    <w:p>
      <w:pPr>
        <w:pStyle w:val="BookText"/>
      </w:pPr>
      <w:r>
        <w:rPr>
          <w:rFonts w:ascii="Amiri" w:hAnsi="Amiri" w:eastAsia="Amiri" w:cs="Amiri"/>
          <w:lang w:bidi="ar-SA"/>
          <w:color w:val="111111"/>
          <w:sz w:val="28"/>
          <w:szCs w:val="28"/>
          <w:rtl/>
        </w:rPr>
        <w:t xml:space="preserve">3 .الشريعة السمحاء في احكام سيد</w:t>
      </w:r>
    </w:p>
    <w:p>
      <w:pPr>
        <w:pStyle w:val="BookText"/>
      </w:pPr>
      <w:r>
        <w:rPr>
          <w:rFonts w:ascii="Amiri" w:hAnsi="Amiri" w:eastAsia="Amiri" w:cs="Amiri"/>
          <w:lang w:bidi="ar-SA"/>
          <w:color w:val="111111"/>
          <w:sz w:val="28"/>
          <w:szCs w:val="28"/>
          <w:rtl/>
        </w:rPr>
        <w:t xml:space="preserve">الانبياء، ج 10، ص 363.</w:t>
      </w:r>
    </w:p>
    <w:p>
      <w:pPr>
        <w:pStyle w:val="BookText"/>
      </w:pPr>
      <w:r>
        <w:rPr>
          <w:rFonts w:ascii="Amiri" w:hAnsi="Amiri" w:eastAsia="Amiri" w:cs="Amiri"/>
          <w:lang w:bidi="ar-SA"/>
          <w:color w:val="111111"/>
          <w:sz w:val="28"/>
          <w:szCs w:val="28"/>
          <w:rtl/>
        </w:rPr>
        <w:t xml:space="preserve">4 .علم الرجال (رسالة في)، ج 11،</w:t>
      </w:r>
    </w:p>
    <w:p>
      <w:pPr>
        <w:pStyle w:val="BookText"/>
      </w:pPr>
      <w:r>
        <w:rPr>
          <w:rFonts w:ascii="IRNazanin" w:hAnsi="IRNazanin" w:eastAsia="IRNazanin" w:cs="IRNazanin"/>
          <w:lang w:bidi="fa-IR"/>
          <w:color w:val="111111"/>
          <w:sz w:val="28"/>
          <w:szCs w:val="28"/>
          <w:rtl/>
        </w:rPr>
        <w:t xml:space="preserve">ص 246 .</w:t>
      </w:r>
    </w:p>
    <w:p>
      <w:pPr>
        <w:pStyle w:val="BookText"/>
      </w:pPr>
      <w:r>
        <w:rPr>
          <w:rFonts w:ascii="Amiri" w:hAnsi="Amiri" w:eastAsia="Amiri" w:cs="Amiri"/>
          <w:lang w:bidi="ar-SA"/>
          <w:color w:val="111111"/>
          <w:sz w:val="28"/>
          <w:szCs w:val="28"/>
          <w:rtl/>
        </w:rPr>
        <w:t xml:space="preserve">5 .عناوين الاصول، ج11، ص328</w:t>
      </w:r>
    </w:p>
    <w:p>
      <w:pPr>
        <w:pStyle w:val="Heading2"/>
      </w:pPr>
      <w:bookmarkStart w:id="4051" w:name="_Toc3153"/>
      <w:r>
        <w:t>خالصي كاظمي، مرتضى بن راضي 1303</w:t>
      </w:r>
      <w:bookmarkEnd w:id="40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1369ه-</w:t>
      </w:r>
    </w:p>
    <w:p>
      <w:pPr>
        <w:pStyle w:val="BookText"/>
      </w:pPr>
      <w:r>
        <w:rPr>
          <w:rFonts w:ascii="Amiri" w:hAnsi="Amiri" w:eastAsia="Amiri" w:cs="Amiri"/>
          <w:lang w:bidi="ar-SA"/>
          <w:color w:val="111111"/>
          <w:sz w:val="28"/>
          <w:szCs w:val="28"/>
          <w:rtl/>
        </w:rPr>
        <w:t xml:space="preserve">المعارف المرتضوية في اصول و فروع</w:t>
      </w:r>
    </w:p>
    <w:p>
      <w:pPr>
        <w:pStyle w:val="BookText"/>
      </w:pPr>
      <w:r>
        <w:rPr>
          <w:rFonts w:ascii="Amiri" w:hAnsi="Amiri" w:eastAsia="Amiri" w:cs="Amiri"/>
          <w:lang w:bidi="ar-SA"/>
          <w:color w:val="111111"/>
          <w:sz w:val="28"/>
          <w:szCs w:val="28"/>
          <w:rtl/>
        </w:rPr>
        <w:t xml:space="preserve">الامامية، ج 14، ص 849.</w:t>
      </w:r>
    </w:p>
    <w:p>
      <w:pPr>
        <w:pStyle w:val="Heading2"/>
      </w:pPr>
      <w:bookmarkStart w:id="4052" w:name="_Toc3154"/>
      <w:r>
        <w:t>خالصي ، محمّد</w:t>
      </w:r>
      <w:bookmarkEnd w:id="4052"/>
    </w:p>
    <w:p>
      <w:pPr>
        <w:pStyle w:val="BookText"/>
      </w:pPr>
      <w:r>
        <w:rPr>
          <w:rFonts w:ascii="Amiri" w:hAnsi="Amiri" w:eastAsia="Amiri" w:cs="Amiri"/>
          <w:lang w:bidi="ar-SA"/>
          <w:color w:val="111111"/>
          <w:sz w:val="28"/>
          <w:szCs w:val="28"/>
          <w:rtl/>
        </w:rPr>
        <w:t xml:space="preserve">البدر الطالع في سماء المختصر النافع</w:t>
      </w:r>
    </w:p>
    <w:p>
      <w:pPr>
        <w:pStyle w:val="BookText"/>
      </w:pPr>
      <w:r>
        <w:rPr>
          <w:rFonts w:ascii="IRNazanin" w:hAnsi="IRNazanin" w:eastAsia="IRNazanin" w:cs="IRNazanin"/>
          <w:lang w:bidi="fa-IR"/>
          <w:color w:val="111111"/>
          <w:sz w:val="28"/>
          <w:szCs w:val="28"/>
          <w:rtl/>
        </w:rPr>
        <w:t xml:space="preserve">ج 3، ص 265.</w:t>
      </w:r>
    </w:p>
    <w:p>
      <w:pPr>
        <w:pStyle w:val="Heading2"/>
      </w:pPr>
      <w:bookmarkStart w:id="4053" w:name="_Toc3155"/>
      <w:r>
        <w:t>خالعي، ابراهيم قرن 11 ه-</w:t>
      </w:r>
      <w:bookmarkEnd w:id="4053"/>
    </w:p>
    <w:p>
      <w:pPr>
        <w:pStyle w:val="BookText"/>
      </w:pPr>
      <w:r>
        <w:rPr>
          <w:rFonts w:ascii="Amiri" w:hAnsi="Amiri" w:eastAsia="Amiri" w:cs="Amiri"/>
          <w:lang w:bidi="ar-SA"/>
          <w:color w:val="111111"/>
          <w:sz w:val="28"/>
          <w:szCs w:val="28"/>
          <w:rtl/>
        </w:rPr>
        <w:t xml:space="preserve">غاية المرام في تتمة لسان الحكام</w:t>
      </w:r>
    </w:p>
    <w:p>
      <w:pPr>
        <w:pStyle w:val="BookText"/>
      </w:pPr>
      <w:r>
        <w:rPr>
          <w:rFonts w:ascii="IRNazanin" w:hAnsi="IRNazanin" w:eastAsia="IRNazanin" w:cs="IRNazanin"/>
          <w:lang w:bidi="fa-IR"/>
          <w:color w:val="111111"/>
          <w:sz w:val="28"/>
          <w:szCs w:val="28"/>
          <w:rtl/>
        </w:rPr>
        <w:t xml:space="preserve">ج 11، ص 451.</w:t>
      </w:r>
    </w:p>
    <w:p>
      <w:pPr>
        <w:pStyle w:val="Heading2"/>
      </w:pPr>
      <w:bookmarkStart w:id="4054" w:name="_Toc3156"/>
      <w:r>
        <w:t>خامیس</w:t>
      </w:r>
      <w:bookmarkEnd w:id="4054"/>
    </w:p>
    <w:p>
      <w:pPr>
        <w:pStyle w:val="BookText"/>
      </w:pPr>
      <w:r>
        <w:rPr>
          <w:rFonts w:ascii="IRNazanin" w:hAnsi="IRNazanin" w:eastAsia="IRNazanin" w:cs="IRNazanin"/>
          <w:lang w:bidi="fa-IR"/>
          <w:color w:val="111111"/>
          <w:sz w:val="28"/>
          <w:szCs w:val="28"/>
          <w:rtl/>
        </w:rPr>
        <w:t xml:space="preserve">مقدمات الرسائل، ج 15، ص 345.</w:t>
      </w:r>
    </w:p>
    <w:p>
      <w:pPr>
        <w:pStyle w:val="BookText"/>
      </w:pPr>
      <w:r>
        <w:rPr>
          <w:rFonts w:ascii="Amiri" w:hAnsi="Amiri" w:eastAsia="Amiri" w:cs="Amiri"/>
          <w:lang w:bidi="ar-SA"/>
          <w:color w:val="111111"/>
          <w:sz w:val="28"/>
          <w:szCs w:val="28"/>
          <w:rtl/>
        </w:rPr>
        <w:t xml:space="preserve">خان آرزو -آرزو ، سراج الدين علي بن</w:t>
      </w:r>
    </w:p>
    <w:p>
      <w:pPr>
        <w:pStyle w:val="BookText"/>
      </w:pPr>
      <w:r>
        <w:rPr>
          <w:rFonts w:ascii="Amiri" w:hAnsi="Amiri" w:eastAsia="Amiri" w:cs="Amiri"/>
          <w:lang w:bidi="ar-SA"/>
          <w:color w:val="111111"/>
          <w:sz w:val="28"/>
          <w:szCs w:val="28"/>
          <w:rtl/>
        </w:rPr>
        <w:t xml:space="preserve">حسام الدين</w:t>
      </w:r>
    </w:p>
    <w:p>
      <w:pPr>
        <w:pStyle w:val="BookText"/>
      </w:pPr>
      <w:r>
        <w:rPr>
          <w:rFonts w:ascii="IRNazanin" w:hAnsi="IRNazanin" w:eastAsia="IRNazanin" w:cs="IRNazanin"/>
          <w:lang w:bidi="fa-IR"/>
          <w:color w:val="111111"/>
          <w:sz w:val="28"/>
          <w:szCs w:val="28"/>
          <w:rtl/>
        </w:rPr>
        <w:t xml:space="preserve">خان بن علي مراد خان -ابراهیم خان بن</w:t>
      </w:r>
    </w:p>
    <w:p>
      <w:pPr>
        <w:pStyle w:val="BookText"/>
      </w:pPr>
      <w:r>
        <w:rPr>
          <w:rFonts w:ascii="Amiri" w:hAnsi="Amiri" w:eastAsia="Amiri" w:cs="Amiri"/>
          <w:lang w:bidi="ar-SA"/>
          <w:color w:val="111111"/>
          <w:sz w:val="28"/>
          <w:szCs w:val="28"/>
          <w:rtl/>
        </w:rPr>
        <w:t xml:space="preserve">علي مراد خان</w:t>
      </w:r>
    </w:p>
    <w:p>
      <w:pPr>
        <w:pStyle w:val="Heading2"/>
      </w:pPr>
      <w:bookmarkStart w:id="4055" w:name="_Toc3157"/>
      <w:r>
        <w:t>خان داود ، احمد</w:t>
      </w:r>
      <w:bookmarkEnd w:id="4055"/>
    </w:p>
    <w:p>
      <w:pPr>
        <w:pStyle w:val="BookText"/>
      </w:pPr>
      <w:r>
        <w:rPr>
          <w:rFonts w:ascii="Amiri" w:hAnsi="Amiri" w:eastAsia="Amiri" w:cs="Amiri"/>
          <w:lang w:bidi="ar-SA"/>
          <w:color w:val="111111"/>
          <w:sz w:val="28"/>
          <w:szCs w:val="28"/>
          <w:rtl/>
        </w:rPr>
        <w:t xml:space="preserve">تيسير البيان في تخريج آيات القرآن -</w:t>
      </w:r>
    </w:p>
    <w:p>
      <w:pPr>
        <w:pStyle w:val="BookText"/>
      </w:pPr>
      <w:r>
        <w:rPr>
          <w:rFonts w:ascii="Amiri" w:hAnsi="Amiri" w:eastAsia="Amiri" w:cs="Amiri"/>
          <w:lang w:bidi="ar-SA"/>
          <w:color w:val="111111"/>
          <w:sz w:val="28"/>
          <w:szCs w:val="28"/>
          <w:rtl/>
        </w:rPr>
        <w:t xml:space="preserve">كشف الآيات، ج 5، ص 191.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6" w:name="pg7742_70288"/>
    <w:bookmarkEnd w:id="446"/>
    <w:p>
      <w:pPr>
        <w:pStyle w:val="Heading2"/>
      </w:pPr>
      <w:bookmarkStart w:id="4056" w:name="_Toc3158"/>
      <w:r>
        <w:t>خانزاده ، عبدالجبار</w:t>
      </w:r>
      <w:bookmarkEnd w:id="4056"/>
    </w:p>
    <w:p>
      <w:pPr>
        <w:pStyle w:val="BookText"/>
      </w:pPr>
      <w:r>
        <w:rPr>
          <w:rFonts w:ascii="IRNazanin" w:hAnsi="IRNazanin" w:eastAsia="IRNazanin" w:cs="IRNazanin"/>
          <w:lang w:bidi="fa-IR"/>
          <w:color w:val="111111"/>
          <w:sz w:val="28"/>
          <w:szCs w:val="28"/>
          <w:rtl/>
        </w:rPr>
        <w:t xml:space="preserve">شرح کتابچه دستور العمل، ج 10،</w:t>
      </w:r>
    </w:p>
    <w:p>
      <w:pPr>
        <w:pStyle w:val="BookText"/>
      </w:pPr>
      <w:r>
        <w:rPr>
          <w:rFonts w:ascii="IRNazanin" w:hAnsi="IRNazanin" w:eastAsia="IRNazanin" w:cs="IRNazanin"/>
          <w:lang w:bidi="fa-IR"/>
          <w:color w:val="111111"/>
          <w:sz w:val="28"/>
          <w:szCs w:val="28"/>
          <w:rtl/>
        </w:rPr>
        <w:t xml:space="preserve">ص 45.</w:t>
      </w:r>
    </w:p>
    <w:p>
      <w:pPr>
        <w:pStyle w:val="BookText"/>
      </w:pPr>
      <w:r>
        <w:rPr>
          <w:rFonts w:ascii="IRNazanin" w:hAnsi="IRNazanin" w:eastAsia="IRNazanin" w:cs="IRNazanin"/>
          <w:lang w:bidi="fa-IR"/>
          <w:color w:val="111111"/>
          <w:sz w:val="28"/>
          <w:szCs w:val="28"/>
          <w:rtl/>
        </w:rPr>
        <w:t xml:space="preserve">خان زمان بهادر خان زاد فیروز جنگ- حسيني ، امان الله خان بن مهابت</w:t>
      </w:r>
    </w:p>
    <w:p>
      <w:pPr>
        <w:pStyle w:val="BookText"/>
      </w:pPr>
      <w:r>
        <w:rPr>
          <w:rFonts w:ascii="IRNazanin" w:hAnsi="IRNazanin" w:eastAsia="IRNazanin" w:cs="IRNazanin"/>
          <w:lang w:bidi="fa-IR"/>
          <w:color w:val="111111"/>
          <w:sz w:val="28"/>
          <w:szCs w:val="28"/>
          <w:rtl/>
        </w:rPr>
        <w:t xml:space="preserve">خان</w:t>
      </w:r>
    </w:p>
    <w:p>
      <w:pPr>
        <w:pStyle w:val="Heading2"/>
      </w:pPr>
      <w:bookmarkStart w:id="4057" w:name="_Toc3159"/>
      <w:r>
        <w:t>خانقاهي ، شمس الدين</w:t>
      </w:r>
      <w:bookmarkEnd w:id="4057"/>
    </w:p>
    <w:p>
      <w:pPr>
        <w:pStyle w:val="BookText"/>
      </w:pPr>
      <w:r>
        <w:rPr>
          <w:rFonts w:ascii="Amiri" w:hAnsi="Amiri" w:eastAsia="Amiri" w:cs="Amiri"/>
          <w:lang w:bidi="ar-SA"/>
          <w:color w:val="111111"/>
          <w:sz w:val="28"/>
          <w:szCs w:val="28"/>
          <w:rtl/>
        </w:rPr>
        <w:t xml:space="preserve">الكاف في ليس كمثله شيء (رسالة في)</w:t>
      </w:r>
    </w:p>
    <w:p>
      <w:pPr>
        <w:pStyle w:val="BookText"/>
      </w:pPr>
      <w:r>
        <w:rPr>
          <w:rFonts w:ascii="IRNazanin" w:hAnsi="IRNazanin" w:eastAsia="IRNazanin" w:cs="IRNazanin"/>
          <w:lang w:bidi="fa-IR"/>
          <w:color w:val="111111"/>
          <w:sz w:val="28"/>
          <w:szCs w:val="28"/>
          <w:rtl/>
        </w:rPr>
        <w:t xml:space="preserve">ج 13، ص 15.</w:t>
      </w:r>
    </w:p>
    <w:p>
      <w:pPr>
        <w:pStyle w:val="Heading2"/>
      </w:pPr>
      <w:bookmarkStart w:id="4058" w:name="_Toc3160"/>
      <w:r>
        <w:t>خان والي شا محمّد زمان</w:t>
      </w:r>
      <w:bookmarkEnd w:id="4058"/>
    </w:p>
    <w:p>
      <w:pPr>
        <w:pStyle w:val="BookText"/>
      </w:pPr>
      <w:r>
        <w:rPr>
          <w:rFonts w:ascii="IRNazanin" w:hAnsi="IRNazanin" w:eastAsia="IRNazanin" w:cs="IRNazanin"/>
          <w:lang w:bidi="fa-IR"/>
          <w:color w:val="111111"/>
          <w:sz w:val="28"/>
          <w:szCs w:val="28"/>
          <w:rtl/>
        </w:rPr>
        <w:t xml:space="preserve">خان دیوان منصف، ج 7، ص779</w:t>
      </w:r>
    </w:p>
    <w:p>
      <w:pPr>
        <w:pStyle w:val="Heading2"/>
      </w:pPr>
      <w:bookmarkStart w:id="4059" w:name="_Toc3161"/>
      <w:r>
        <w:t>خاني ، عبد المجيد بن محمّد 1263 -</w:t>
      </w:r>
      <w:bookmarkEnd w:id="4059"/>
    </w:p>
    <w:p>
      <w:pPr>
        <w:pStyle w:val="BookText"/>
      </w:pPr>
      <w:r>
        <w:rPr>
          <w:rFonts w:ascii="IRNazanin" w:hAnsi="IRNazanin" w:eastAsia="IRNazanin" w:cs="IRNazanin"/>
          <w:lang w:bidi="fa-IR"/>
          <w:color w:val="111111"/>
          <w:sz w:val="28"/>
          <w:szCs w:val="28"/>
          <w:rtl/>
        </w:rPr>
        <w:t xml:space="preserve">1318 ه-</w:t>
      </w:r>
    </w:p>
    <w:p>
      <w:pPr>
        <w:pStyle w:val="BookText"/>
      </w:pPr>
      <w:r>
        <w:rPr>
          <w:rFonts w:ascii="Amiri" w:hAnsi="Amiri" w:eastAsia="Amiri" w:cs="Amiri"/>
          <w:lang w:bidi="ar-SA"/>
          <w:color w:val="111111"/>
          <w:sz w:val="28"/>
          <w:szCs w:val="28"/>
          <w:rtl/>
        </w:rPr>
        <w:t xml:space="preserve">ديوان وجه الحل من جهد المقل، ج 7،</w:t>
      </w:r>
    </w:p>
    <w:p>
      <w:pPr>
        <w:pStyle w:val="BookText"/>
      </w:pPr>
      <w:r>
        <w:rPr>
          <w:rFonts w:ascii="IRNazanin" w:hAnsi="IRNazanin" w:eastAsia="IRNazanin" w:cs="IRNazanin"/>
          <w:lang w:bidi="fa-IR"/>
          <w:color w:val="111111"/>
          <w:sz w:val="28"/>
          <w:szCs w:val="28"/>
          <w:rtl/>
        </w:rPr>
        <w:t xml:space="preserve">ص 796 .</w:t>
      </w:r>
    </w:p>
    <w:p>
      <w:pPr>
        <w:pStyle w:val="Heading2"/>
      </w:pPr>
      <w:bookmarkStart w:id="4060" w:name="_Toc3162"/>
      <w:r>
        <w:t>خاني ، قاسم بن صلاح الدین 1028 -</w:t>
      </w:r>
      <w:bookmarkEnd w:id="4060"/>
    </w:p>
    <w:p>
      <w:pPr>
        <w:pStyle w:val="BookText"/>
      </w:pPr>
      <w:r>
        <w:rPr>
          <w:rFonts w:ascii="IRNazanin" w:hAnsi="IRNazanin" w:eastAsia="IRNazanin" w:cs="IRNazanin"/>
          <w:lang w:bidi="fa-IR"/>
          <w:color w:val="111111"/>
          <w:sz w:val="28"/>
          <w:szCs w:val="28"/>
          <w:rtl/>
        </w:rPr>
        <w:t xml:space="preserve">1109ه-</w:t>
      </w:r>
    </w:p>
    <w:p>
      <w:pPr>
        <w:pStyle w:val="BookText"/>
      </w:pPr>
      <w:r>
        <w:rPr>
          <w:rFonts w:ascii="Amiri" w:hAnsi="Amiri" w:eastAsia="Amiri" w:cs="Amiri"/>
          <w:lang w:bidi="ar-SA"/>
          <w:color w:val="111111"/>
          <w:sz w:val="28"/>
          <w:szCs w:val="28"/>
          <w:rtl/>
        </w:rPr>
        <w:t xml:space="preserve">1 .التحقيق في الرد على الزنديق جع،</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الدرة اللؤلؤية على رسالة الخانية -</w:t>
      </w:r>
    </w:p>
    <w:p>
      <w:pPr>
        <w:pStyle w:val="BookText"/>
      </w:pPr>
      <w:r>
        <w:rPr>
          <w:rFonts w:ascii="IRNazanin" w:hAnsi="IRNazanin" w:eastAsia="IRNazanin" w:cs="IRNazanin"/>
          <w:lang w:bidi="fa-IR"/>
          <w:color w:val="111111"/>
          <w:sz w:val="28"/>
          <w:szCs w:val="28"/>
          <w:rtl/>
        </w:rPr>
        <w:t xml:space="preserve">المنطق، ج 7، ص 255.</w:t>
      </w:r>
    </w:p>
    <w:p>
      <w:pPr>
        <w:pStyle w:val="BookText"/>
      </w:pPr>
      <w:r>
        <w:rPr>
          <w:rFonts w:ascii="Amiri" w:hAnsi="Amiri" w:eastAsia="Amiri" w:cs="Amiri"/>
          <w:lang w:bidi="ar-SA"/>
          <w:color w:val="111111"/>
          <w:sz w:val="28"/>
          <w:szCs w:val="28"/>
          <w:rtl/>
        </w:rPr>
        <w:t xml:space="preserve">3 .السير والسلوك إلى ملك الملوك</w:t>
      </w:r>
    </w:p>
    <w:p>
      <w:pPr>
        <w:pStyle w:val="BookText"/>
      </w:pPr>
      <w:r>
        <w:rPr>
          <w:rFonts w:ascii="IRNazanin" w:hAnsi="IRNazanin" w:eastAsia="IRNazanin" w:cs="IRNazanin"/>
          <w:lang w:bidi="fa-IR"/>
          <w:color w:val="111111"/>
          <w:sz w:val="28"/>
          <w:szCs w:val="28"/>
          <w:rtl/>
        </w:rPr>
        <w:t xml:space="preserve">ج 9، ص 34.</w:t>
      </w:r>
    </w:p>
    <w:p>
      <w:pPr>
        <w:pStyle w:val="BookText"/>
      </w:pPr>
      <w:r>
        <w:rPr>
          <w:rFonts w:ascii="Amiri" w:hAnsi="Amiri" w:eastAsia="Amiri" w:cs="Amiri"/>
          <w:lang w:bidi="ar-SA"/>
          <w:color w:val="111111"/>
          <w:sz w:val="28"/>
          <w:szCs w:val="28"/>
          <w:rtl/>
        </w:rPr>
        <w:t xml:space="preserve">4 .شرح الجزائرية في العقائد، ج 9،</w:t>
      </w:r>
    </w:p>
    <w:p>
      <w:pPr>
        <w:pStyle w:val="BookText"/>
      </w:pPr>
      <w:r>
        <w:rPr>
          <w:rFonts w:ascii="IRNazanin" w:hAnsi="IRNazanin" w:eastAsia="IRNazanin" w:cs="IRNazanin"/>
          <w:lang w:bidi="fa-IR"/>
          <w:color w:val="111111"/>
          <w:sz w:val="28"/>
          <w:szCs w:val="28"/>
          <w:rtl/>
        </w:rPr>
        <w:t xml:space="preserve">ص 363.</w:t>
      </w:r>
    </w:p>
    <w:p>
      <w:pPr>
        <w:pStyle w:val="Heading2"/>
      </w:pPr>
      <w:bookmarkStart w:id="4061" w:name="_Toc3163"/>
      <w:r>
        <w:t>خاني ، محمّد بن عبدالله - 1279 ه-</w:t>
      </w:r>
      <w:bookmarkEnd w:id="4061"/>
    </w:p>
    <w:p>
      <w:pPr>
        <w:pStyle w:val="BookText"/>
      </w:pPr>
      <w:r>
        <w:rPr>
          <w:rFonts w:ascii="Amiri" w:hAnsi="Amiri" w:eastAsia="Amiri" w:cs="Amiri"/>
          <w:lang w:bidi="ar-SA"/>
          <w:color w:val="111111"/>
          <w:sz w:val="28"/>
          <w:szCs w:val="28"/>
          <w:rtl/>
        </w:rPr>
        <w:t xml:space="preserve">البهجة السنية في آداب الطريقة العلية الخالدية النقشبندية، ج3، ص419.</w:t>
      </w:r>
    </w:p>
    <w:p>
      <w:pPr>
        <w:pStyle w:val="BookText"/>
      </w:pPr>
      <w:r>
        <w:rPr>
          <w:rFonts w:ascii="Amiri" w:hAnsi="Amiri" w:eastAsia="Amiri" w:cs="Amiri"/>
          <w:lang w:bidi="ar-SA"/>
          <w:color w:val="111111"/>
          <w:sz w:val="28"/>
          <w:szCs w:val="28"/>
          <w:rtl/>
        </w:rPr>
        <w:t xml:space="preserve">خاوري- انوري ، محمّد بن محمّد</w:t>
      </w:r>
    </w:p>
    <w:p>
      <w:pPr>
        <w:pStyle w:val="BookText"/>
      </w:pPr>
      <w:r>
        <w:rPr>
          <w:rFonts w:ascii="IRNazanin" w:hAnsi="IRNazanin" w:eastAsia="IRNazanin" w:cs="IRNazanin"/>
          <w:lang w:bidi="fa-IR"/>
          <w:color w:val="111111"/>
          <w:sz w:val="28"/>
          <w:szCs w:val="28"/>
          <w:rtl/>
        </w:rPr>
        <w:t xml:space="preserve">خاوند شاهي -میرخواند ، محمّد بن</w:t>
      </w:r>
    </w:p>
    <w:p>
      <w:pPr>
        <w:pStyle w:val="BookText"/>
      </w:pPr>
      <w:r>
        <w:rPr>
          <w:rFonts w:ascii="IRNazanin" w:hAnsi="IRNazanin" w:eastAsia="IRNazanin" w:cs="IRNazanin"/>
          <w:lang w:bidi="fa-IR"/>
          <w:color w:val="111111"/>
          <w:sz w:val="28"/>
          <w:szCs w:val="28"/>
          <w:rtl/>
        </w:rPr>
        <w:t xml:space="preserve">خاوند شاه</w:t>
      </w:r>
    </w:p>
    <w:p>
      <w:pPr>
        <w:pStyle w:val="Heading2"/>
      </w:pPr>
      <w:bookmarkStart w:id="4062" w:name="_Toc3164"/>
      <w:r>
        <w:t>خبازي ، عمر بن محمّد، 629 - 691 ه-</w:t>
      </w:r>
      <w:bookmarkEnd w:id="4062"/>
    </w:p>
    <w:p>
      <w:pPr>
        <w:pStyle w:val="BookText"/>
      </w:pPr>
      <w:r>
        <w:rPr>
          <w:rFonts w:ascii="Amiri" w:hAnsi="Amiri" w:eastAsia="Amiri" w:cs="Amiri"/>
          <w:lang w:bidi="ar-SA"/>
          <w:color w:val="111111"/>
          <w:sz w:val="28"/>
          <w:szCs w:val="28"/>
          <w:rtl/>
        </w:rPr>
        <w:t xml:space="preserve">1 .الحواشي الخبازيه على الهداية -</w:t>
      </w:r>
    </w:p>
    <w:p>
      <w:pPr>
        <w:pStyle w:val="BookText"/>
      </w:pPr>
      <w:r>
        <w:rPr>
          <w:rFonts w:ascii="Amiri" w:hAnsi="Amiri" w:eastAsia="Amiri" w:cs="Amiri"/>
          <w:lang w:bidi="ar-SA"/>
          <w:color w:val="111111"/>
          <w:sz w:val="28"/>
          <w:szCs w:val="28"/>
          <w:rtl/>
        </w:rPr>
        <w:t xml:space="preserve">الفوائد الخبازية، ج6، ص 833.</w:t>
      </w:r>
    </w:p>
    <w:p>
      <w:pPr>
        <w:pStyle w:val="BookText"/>
      </w:pPr>
      <w:r>
        <w:rPr>
          <w:rFonts w:ascii="Amiri" w:hAnsi="Amiri" w:eastAsia="Amiri" w:cs="Amiri"/>
          <w:lang w:bidi="ar-SA"/>
          <w:color w:val="111111"/>
          <w:sz w:val="28"/>
          <w:szCs w:val="28"/>
          <w:rtl/>
        </w:rPr>
        <w:t xml:space="preserve">2 .الكفاية في شرح الهداية، ج13،</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Amiri" w:hAnsi="Amiri" w:eastAsia="Amiri" w:cs="Amiri"/>
          <w:lang w:bidi="ar-SA"/>
          <w:color w:val="111111"/>
          <w:sz w:val="28"/>
          <w:szCs w:val="28"/>
          <w:rtl/>
        </w:rPr>
        <w:t xml:space="preserve">3 .المغني في الاصول، ج 15، ص 121.</w:t>
      </w:r>
    </w:p>
    <w:p>
      <w:pPr>
        <w:pStyle w:val="Heading2"/>
      </w:pPr>
      <w:bookmarkStart w:id="4063" w:name="_Toc3165"/>
      <w:r>
        <w:t>خبري ، عبدالله بن ابراهيم - 476 ه-</w:t>
      </w:r>
      <w:bookmarkEnd w:id="4063"/>
    </w:p>
    <w:p>
      <w:pPr>
        <w:pStyle w:val="BookText"/>
      </w:pPr>
      <w:r>
        <w:rPr>
          <w:rFonts w:ascii="Amiri" w:hAnsi="Amiri" w:eastAsia="Amiri" w:cs="Amiri"/>
          <w:lang w:bidi="ar-SA"/>
          <w:color w:val="111111"/>
          <w:sz w:val="28"/>
          <w:szCs w:val="28"/>
          <w:rtl/>
        </w:rPr>
        <w:t xml:space="preserve">شرح ديوان الشريف الرضي، ج 9،</w:t>
      </w:r>
    </w:p>
    <w:p>
      <w:pPr>
        <w:pStyle w:val="BookText"/>
      </w:pPr>
      <w:r>
        <w:rPr>
          <w:rFonts w:ascii="IRNazanin" w:hAnsi="IRNazanin" w:eastAsia="IRNazanin" w:cs="IRNazanin"/>
          <w:lang w:bidi="fa-IR"/>
          <w:color w:val="111111"/>
          <w:sz w:val="28"/>
          <w:szCs w:val="28"/>
          <w:rtl/>
        </w:rPr>
        <w:t xml:space="preserve">ص 490 .</w:t>
      </w:r>
    </w:p>
    <w:p>
      <w:pPr>
        <w:pStyle w:val="Heading2"/>
      </w:pPr>
      <w:bookmarkStart w:id="4064" w:name="_Toc3166"/>
      <w:r>
        <w:t>خبزارزي ، نصر بن احمد - 327 ه-</w:t>
      </w:r>
      <w:bookmarkEnd w:id="4064"/>
    </w:p>
    <w:p>
      <w:pPr>
        <w:pStyle w:val="BookText"/>
      </w:pPr>
      <w:r>
        <w:rPr>
          <w:rFonts w:ascii="Amiri" w:hAnsi="Amiri" w:eastAsia="Amiri" w:cs="Amiri"/>
          <w:lang w:bidi="ar-SA"/>
          <w:color w:val="111111"/>
          <w:sz w:val="28"/>
          <w:szCs w:val="28"/>
          <w:rtl/>
        </w:rPr>
        <w:t xml:space="preserve">قصيدة، ج 12، ص 633.</w:t>
      </w:r>
    </w:p>
    <w:p>
      <w:pPr>
        <w:pStyle w:val="BookText"/>
      </w:pPr>
      <w:r>
        <w:rPr>
          <w:rFonts w:ascii="Amiri" w:hAnsi="Amiri" w:eastAsia="Amiri" w:cs="Amiri"/>
          <w:lang w:bidi="ar-SA"/>
          <w:color w:val="111111"/>
          <w:sz w:val="28"/>
          <w:szCs w:val="28"/>
          <w:rtl/>
        </w:rPr>
        <w:t xml:space="preserve">خبوشاني جامي- هاتفي ، عبدالله بن</w:t>
      </w:r>
    </w:p>
    <w:p>
      <w:pPr>
        <w:pStyle w:val="BookText"/>
      </w:pPr>
      <w:r>
        <w:rPr>
          <w:rFonts w:ascii="Amiri" w:hAnsi="Amiri" w:eastAsia="Amiri" w:cs="Amiri"/>
          <w:lang w:bidi="ar-SA"/>
          <w:color w:val="111111"/>
          <w:sz w:val="28"/>
          <w:szCs w:val="28"/>
          <w:rtl/>
        </w:rPr>
        <w:t xml:space="preserve">محمّد</w:t>
      </w:r>
    </w:p>
    <w:p>
      <w:pPr>
        <w:pStyle w:val="Heading2"/>
      </w:pPr>
      <w:bookmarkStart w:id="4065" w:name="_Toc3167"/>
      <w:r>
        <w:t>خبوشاني ، محمّد بن موفق - 548 ه-</w:t>
      </w:r>
      <w:bookmarkEnd w:id="4065"/>
    </w:p>
    <w:p>
      <w:pPr>
        <w:pStyle w:val="BookText"/>
      </w:pPr>
      <w:r>
        <w:rPr>
          <w:rFonts w:ascii="Amiri" w:hAnsi="Amiri" w:eastAsia="Amiri" w:cs="Amiri"/>
          <w:lang w:bidi="ar-SA"/>
          <w:color w:val="111111"/>
          <w:sz w:val="28"/>
          <w:szCs w:val="28"/>
          <w:rtl/>
        </w:rPr>
        <w:t xml:space="preserve">تحقيق المحيط في شرح الوسيط، ج 4،</w:t>
      </w:r>
    </w:p>
    <w:p>
      <w:pPr>
        <w:pStyle w:val="BookText"/>
      </w:pPr>
      <w:r>
        <w:rPr>
          <w:rFonts w:ascii="IRNazanin" w:hAnsi="IRNazanin" w:eastAsia="IRNazanin" w:cs="IRNazanin"/>
          <w:lang w:bidi="fa-IR"/>
          <w:color w:val="111111"/>
          <w:sz w:val="28"/>
          <w:szCs w:val="28"/>
          <w:rtl/>
        </w:rPr>
        <w:t xml:space="preserve">ص 74 .</w:t>
      </w:r>
    </w:p>
    <w:p>
      <w:pPr>
        <w:pStyle w:val="BookText"/>
      </w:pPr>
      <w:r>
        <w:rPr>
          <w:rFonts w:ascii="Amiri" w:hAnsi="Amiri" w:eastAsia="Amiri" w:cs="Amiri"/>
          <w:lang w:bidi="ar-SA"/>
          <w:color w:val="111111"/>
          <w:sz w:val="28"/>
          <w:szCs w:val="28"/>
          <w:rtl/>
        </w:rPr>
        <w:t xml:space="preserve">خبوشاني ، محمّد رضا ن-وعي خبوشاني</w:t>
      </w:r>
    </w:p>
    <w:p>
      <w:pPr>
        <w:pStyle w:val="BookText"/>
      </w:pPr>
      <w:r>
        <w:rPr>
          <w:rFonts w:ascii="IRNazanin" w:hAnsi="IRNazanin" w:eastAsia="IRNazanin" w:cs="IRNazanin"/>
          <w:lang w:bidi="fa-IR"/>
          <w:color w:val="111111"/>
          <w:sz w:val="28"/>
          <w:szCs w:val="28"/>
          <w:rtl/>
        </w:rPr>
        <w:t xml:space="preserve">محمّد رضا بن محمود</w:t>
      </w:r>
    </w:p>
    <w:p>
      <w:pPr>
        <w:pStyle w:val="Heading2"/>
      </w:pPr>
      <w:bookmarkStart w:id="4066" w:name="_Toc3168"/>
      <w:r>
        <w:t>خبيصي، عبيد الله بن فضل الله، قرن 11 ه-</w:t>
      </w:r>
      <w:bookmarkEnd w:id="4066"/>
    </w:p>
    <w:p>
      <w:pPr>
        <w:pStyle w:val="BookText"/>
      </w:pPr>
      <w:r>
        <w:rPr>
          <w:rFonts w:ascii="Amiri" w:hAnsi="Amiri" w:eastAsia="Amiri" w:cs="Amiri"/>
          <w:lang w:bidi="ar-SA"/>
          <w:color w:val="111111"/>
          <w:sz w:val="28"/>
          <w:szCs w:val="28"/>
          <w:rtl/>
        </w:rPr>
        <w:t xml:space="preserve">التذهيب في شرح التهذيب، ج 4،</w:t>
      </w:r>
    </w:p>
    <w:p>
      <w:pPr>
        <w:pStyle w:val="BookText"/>
      </w:pPr>
      <w:r>
        <w:rPr>
          <w:rFonts w:ascii="IRNazanin" w:hAnsi="IRNazanin" w:eastAsia="IRNazanin" w:cs="IRNazanin"/>
          <w:lang w:bidi="fa-IR"/>
          <w:color w:val="111111"/>
          <w:sz w:val="28"/>
          <w:szCs w:val="28"/>
          <w:rtl/>
        </w:rPr>
        <w:t xml:space="preserve">ص 221.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7" w:name="pg7742_70289"/>
    <w:bookmarkEnd w:id="447"/>
    <w:p>
      <w:pPr>
        <w:pStyle w:val="Heading2"/>
      </w:pPr>
      <w:bookmarkStart w:id="4067" w:name="_Toc3169"/>
      <w:r>
        <w:t>خبيصي ، محمّد بن ابي بكر - 731 ه-</w:t>
      </w:r>
      <w:bookmarkEnd w:id="4067"/>
    </w:p>
    <w:p>
      <w:pPr>
        <w:pStyle w:val="BookText"/>
      </w:pPr>
      <w:r>
        <w:rPr>
          <w:rFonts w:ascii="Amiri" w:hAnsi="Amiri" w:eastAsia="Amiri" w:cs="Amiri"/>
          <w:lang w:bidi="ar-SA"/>
          <w:color w:val="111111"/>
          <w:sz w:val="28"/>
          <w:szCs w:val="28"/>
          <w:rtl/>
        </w:rPr>
        <w:t xml:space="preserve">الموشح في شرح الكافية، ج 16، ص 20.</w:t>
      </w:r>
    </w:p>
    <w:p>
      <w:pPr>
        <w:pStyle w:val="Heading2"/>
      </w:pPr>
      <w:bookmarkStart w:id="4068" w:name="_Toc3170"/>
      <w:r>
        <w:t>خبيصي ، محمّد بن نصير قرن 9 ه-</w:t>
      </w:r>
      <w:bookmarkEnd w:id="4068"/>
    </w:p>
    <w:p>
      <w:pPr>
        <w:pStyle w:val="BookText"/>
      </w:pPr>
      <w:r>
        <w:rPr>
          <w:rFonts w:ascii="IRNazanin" w:hAnsi="IRNazanin" w:eastAsia="IRNazanin" w:cs="IRNazanin"/>
          <w:lang w:bidi="fa-IR"/>
          <w:color w:val="111111"/>
          <w:sz w:val="28"/>
          <w:szCs w:val="28"/>
          <w:rtl/>
        </w:rPr>
        <w:t xml:space="preserve">فوائد نظامیه = فوائد علائیه = شرح و تخمیس قصیده برده ،ج 12، ص 287.</w:t>
      </w:r>
    </w:p>
    <w:p>
      <w:pPr>
        <w:pStyle w:val="BookText"/>
      </w:pPr>
      <w:r>
        <w:rPr>
          <w:rFonts w:ascii="Amiri" w:hAnsi="Amiri" w:eastAsia="Amiri" w:cs="Amiri"/>
          <w:lang w:bidi="ar-SA"/>
          <w:color w:val="111111"/>
          <w:sz w:val="28"/>
          <w:szCs w:val="28"/>
          <w:rtl/>
        </w:rPr>
        <w:t xml:space="preserve">خبيطي ، محمّد بن نصير- خبيصي ، محمّد</w:t>
      </w:r>
    </w:p>
    <w:p>
      <w:pPr>
        <w:pStyle w:val="BookText"/>
      </w:pPr>
      <w:r>
        <w:rPr>
          <w:rFonts w:ascii="Amiri" w:hAnsi="Amiri" w:eastAsia="Amiri" w:cs="Amiri"/>
          <w:lang w:bidi="ar-SA"/>
          <w:color w:val="111111"/>
          <w:sz w:val="28"/>
          <w:szCs w:val="28"/>
          <w:rtl/>
        </w:rPr>
        <w:t xml:space="preserve">بن نصير</w:t>
      </w:r>
    </w:p>
    <w:p>
      <w:pPr>
        <w:pStyle w:val="BookText"/>
      </w:pPr>
      <w:r>
        <w:rPr>
          <w:rFonts w:ascii="Amiri" w:hAnsi="Amiri" w:eastAsia="Amiri" w:cs="Amiri"/>
          <w:lang w:bidi="ar-SA"/>
          <w:color w:val="111111"/>
          <w:sz w:val="28"/>
          <w:szCs w:val="28"/>
          <w:rtl/>
        </w:rPr>
        <w:t xml:space="preserve">ختابي ، يعقوب بن اسحق -خطابي ،</w:t>
      </w:r>
    </w:p>
    <w:p>
      <w:pPr>
        <w:pStyle w:val="BookText"/>
      </w:pPr>
      <w:r>
        <w:rPr>
          <w:rFonts w:ascii="Amiri" w:hAnsi="Amiri" w:eastAsia="Amiri" w:cs="Amiri"/>
          <w:lang w:bidi="ar-SA"/>
          <w:color w:val="111111"/>
          <w:sz w:val="28"/>
          <w:szCs w:val="28"/>
          <w:rtl/>
        </w:rPr>
        <w:t xml:space="preserve">يعقوب بن اسحق</w:t>
      </w:r>
    </w:p>
    <w:p>
      <w:pPr>
        <w:pStyle w:val="BookText"/>
      </w:pPr>
      <w:r>
        <w:rPr>
          <w:rFonts w:ascii="Amiri" w:hAnsi="Amiri" w:eastAsia="Amiri" w:cs="Amiri"/>
          <w:lang w:bidi="ar-SA"/>
          <w:color w:val="111111"/>
          <w:sz w:val="28"/>
          <w:szCs w:val="28"/>
          <w:rtl/>
        </w:rPr>
        <w:t xml:space="preserve">ختلي ، علي بن عمر -كيال ، علي بن عمر</w:t>
      </w:r>
    </w:p>
    <w:p>
      <w:pPr>
        <w:pStyle w:val="Heading2"/>
      </w:pPr>
      <w:bookmarkStart w:id="4069" w:name="_Toc3171"/>
      <w:r>
        <w:t>ختني ، احمد بن محمّد قرن 12 ه-</w:t>
      </w:r>
      <w:bookmarkEnd w:id="4069"/>
    </w:p>
    <w:p>
      <w:pPr>
        <w:pStyle w:val="BookText"/>
      </w:pPr>
      <w:r>
        <w:rPr>
          <w:rFonts w:ascii="Amiri" w:hAnsi="Amiri" w:eastAsia="Amiri" w:cs="Amiri"/>
          <w:lang w:bidi="ar-SA"/>
          <w:color w:val="111111"/>
          <w:sz w:val="28"/>
          <w:szCs w:val="28"/>
          <w:rtl/>
        </w:rPr>
        <w:t xml:space="preserve">شرح بدء الامالي، ج 9، ص279</w:t>
      </w:r>
    </w:p>
    <w:p>
      <w:pPr>
        <w:pStyle w:val="Heading2"/>
      </w:pPr>
      <w:bookmarkStart w:id="4070" w:name="_Toc3172"/>
      <w:r>
        <w:t>خثعمي كوفي، عبدالملك بن حكيم قرن 2 ه-</w:t>
      </w:r>
      <w:bookmarkEnd w:id="4070"/>
    </w:p>
    <w:p>
      <w:pPr>
        <w:pStyle w:val="BookText"/>
      </w:pPr>
      <w:r>
        <w:rPr>
          <w:rFonts w:ascii="Amiri" w:hAnsi="Amiri" w:eastAsia="Amiri" w:cs="Amiri"/>
          <w:lang w:bidi="ar-SA"/>
          <w:color w:val="111111"/>
          <w:sz w:val="28"/>
          <w:szCs w:val="28"/>
          <w:rtl/>
        </w:rPr>
        <w:t xml:space="preserve">اصل عبد الملك بن حكيم = كتاب عبد الملك بن حكيم، ج 2، ص 394.</w:t>
      </w:r>
    </w:p>
    <w:p>
      <w:pPr>
        <w:pStyle w:val="Heading2"/>
      </w:pPr>
      <w:bookmarkStart w:id="4071" w:name="_Toc3173"/>
      <w:r>
        <w:t>خجندي ، احمد بن محمود - 700 ه-</w:t>
      </w:r>
      <w:bookmarkEnd w:id="4071"/>
    </w:p>
    <w:p>
      <w:pPr>
        <w:pStyle w:val="BookText"/>
      </w:pPr>
      <w:r>
        <w:rPr>
          <w:rFonts w:ascii="Amiri" w:hAnsi="Amiri" w:eastAsia="Amiri" w:cs="Amiri"/>
          <w:lang w:bidi="ar-SA"/>
          <w:color w:val="111111"/>
          <w:sz w:val="28"/>
          <w:szCs w:val="28"/>
          <w:rtl/>
        </w:rPr>
        <w:t xml:space="preserve">1 .شرح المفصل في صنعة الاعراب =</w:t>
      </w:r>
    </w:p>
    <w:p>
      <w:pPr>
        <w:pStyle w:val="BookText"/>
      </w:pPr>
      <w:r>
        <w:rPr>
          <w:rFonts w:ascii="Amiri" w:hAnsi="Amiri" w:eastAsia="Amiri" w:cs="Amiri"/>
          <w:lang w:bidi="ar-SA"/>
          <w:color w:val="111111"/>
          <w:sz w:val="28"/>
          <w:szCs w:val="28"/>
          <w:rtl/>
        </w:rPr>
        <w:t xml:space="preserve">الاقليد، ج 10، ص170.</w:t>
      </w:r>
    </w:p>
    <w:p>
      <w:pPr>
        <w:pStyle w:val="BookText"/>
      </w:pPr>
      <w:r>
        <w:rPr>
          <w:rFonts w:ascii="IRNazanin" w:hAnsi="IRNazanin" w:eastAsia="IRNazanin" w:cs="IRNazanin"/>
          <w:lang w:bidi="fa-IR"/>
          <w:color w:val="111111"/>
          <w:sz w:val="28"/>
          <w:szCs w:val="28"/>
          <w:rtl/>
        </w:rPr>
        <w:t xml:space="preserve">2 .عقود الجواهر، ج 11، ص 185.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القصاري، ج 12، ص 586.</w:t>
      </w:r>
    </w:p>
    <w:p>
      <w:pPr>
        <w:pStyle w:val="BookText"/>
      </w:pPr>
      <w:r>
        <w:rPr>
          <w:rFonts w:ascii="Amiri" w:hAnsi="Amiri" w:eastAsia="Amiri" w:cs="Amiri"/>
          <w:lang w:bidi="ar-SA"/>
          <w:color w:val="111111"/>
          <w:sz w:val="28"/>
          <w:szCs w:val="28"/>
          <w:rtl/>
        </w:rPr>
        <w:t xml:space="preserve">خجندي ، حامد بن خضر- ابن خجندي ،</w:t>
      </w:r>
    </w:p>
    <w:p>
      <w:pPr>
        <w:pStyle w:val="BookText"/>
      </w:pPr>
      <w:r>
        <w:rPr>
          <w:rFonts w:ascii="IRNazanin" w:hAnsi="IRNazanin" w:eastAsia="IRNazanin" w:cs="IRNazanin"/>
          <w:lang w:bidi="fa-IR"/>
          <w:color w:val="111111"/>
          <w:sz w:val="28"/>
          <w:szCs w:val="28"/>
          <w:rtl/>
        </w:rPr>
        <w:t xml:space="preserve">حامد بن خضر</w:t>
      </w:r>
    </w:p>
    <w:p>
      <w:pPr>
        <w:pStyle w:val="Heading2"/>
      </w:pPr>
      <w:bookmarkStart w:id="4072" w:name="_Toc3174"/>
      <w:r>
        <w:t>خجندي، حامد بن خضر</w:t>
      </w:r>
      <w:bookmarkEnd w:id="4072"/>
    </w:p>
    <w:p>
      <w:pPr>
        <w:pStyle w:val="BookText"/>
      </w:pPr>
      <w:r>
        <w:rPr>
          <w:rFonts w:ascii="Amiri" w:hAnsi="Amiri" w:eastAsia="Amiri" w:cs="Amiri"/>
          <w:lang w:bidi="ar-SA"/>
          <w:color w:val="111111"/>
          <w:sz w:val="28"/>
          <w:szCs w:val="28"/>
          <w:rtl/>
        </w:rPr>
        <w:t xml:space="preserve">العمل بالصفيحة الآفاقية، ج11،</w:t>
      </w:r>
    </w:p>
    <w:p>
      <w:pPr>
        <w:pStyle w:val="BookText"/>
      </w:pPr>
      <w:r>
        <w:rPr>
          <w:rFonts w:ascii="IRNazanin" w:hAnsi="IRNazanin" w:eastAsia="IRNazanin" w:cs="IRNazanin"/>
          <w:lang w:bidi="fa-IR"/>
          <w:color w:val="111111"/>
          <w:sz w:val="28"/>
          <w:szCs w:val="28"/>
          <w:rtl/>
        </w:rPr>
        <w:t xml:space="preserve">ص 319.</w:t>
      </w:r>
    </w:p>
    <w:p>
      <w:pPr>
        <w:pStyle w:val="Heading2"/>
      </w:pPr>
      <w:bookmarkStart w:id="4073" w:name="_Toc3175"/>
      <w:r>
        <w:t>خجندي ، عبد الجبار ، قرن 7 ه-</w:t>
      </w:r>
      <w:bookmarkEnd w:id="4073"/>
    </w:p>
    <w:p>
      <w:pPr>
        <w:pStyle w:val="BookText"/>
      </w:pPr>
      <w:r>
        <w:rPr>
          <w:rFonts w:ascii="Amiri" w:hAnsi="Amiri" w:eastAsia="Amiri" w:cs="Amiri"/>
          <w:lang w:bidi="ar-SA"/>
          <w:color w:val="111111"/>
          <w:sz w:val="28"/>
          <w:szCs w:val="28"/>
          <w:rtl/>
        </w:rPr>
        <w:t xml:space="preserve">مدخل منظوم = مثنوي مدخل</w:t>
      </w:r>
    </w:p>
    <w:p>
      <w:pPr>
        <w:pStyle w:val="BookText"/>
      </w:pPr>
      <w:r>
        <w:rPr>
          <w:rFonts w:ascii="IRNazanin" w:hAnsi="IRNazanin" w:eastAsia="IRNazanin" w:cs="IRNazanin"/>
          <w:lang w:bidi="fa-IR"/>
          <w:color w:val="111111"/>
          <w:sz w:val="28"/>
          <w:szCs w:val="28"/>
          <w:rtl/>
        </w:rPr>
        <w:t xml:space="preserve">منظوم، ج 14، ص 331.</w:t>
      </w:r>
    </w:p>
    <w:p>
      <w:pPr>
        <w:pStyle w:val="Heading2"/>
      </w:pPr>
      <w:bookmarkStart w:id="4074" w:name="_Toc3176"/>
      <w:r>
        <w:t>خجندي ، علي بن احمد قرن 8 ه-</w:t>
      </w:r>
      <w:bookmarkEnd w:id="4074"/>
    </w:p>
    <w:p>
      <w:pPr>
        <w:pStyle w:val="BookText"/>
      </w:pPr>
      <w:r>
        <w:rPr>
          <w:rFonts w:ascii="Amiri" w:hAnsi="Amiri" w:eastAsia="Amiri" w:cs="Amiri"/>
          <w:lang w:bidi="ar-SA"/>
          <w:color w:val="111111"/>
          <w:sz w:val="28"/>
          <w:szCs w:val="28"/>
          <w:rtl/>
        </w:rPr>
        <w:t xml:space="preserve">شرح القوادم و الخوافي في علمي العروض والقوافي، ج 10، ص 14.</w:t>
      </w:r>
    </w:p>
    <w:p>
      <w:pPr>
        <w:pStyle w:val="BookText"/>
      </w:pPr>
      <w:r>
        <w:rPr>
          <w:rFonts w:ascii="IRNazanin" w:hAnsi="IRNazanin" w:eastAsia="IRNazanin" w:cs="IRNazanin"/>
          <w:lang w:bidi="fa-IR"/>
          <w:color w:val="111111"/>
          <w:sz w:val="28"/>
          <w:szCs w:val="28"/>
          <w:rtl/>
        </w:rPr>
        <w:t xml:space="preserve">خجندي ، علي بن محمّد -ترکه اصفهاني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خجندي ، عمر بن محمّد -خبازي ، عمر</w:t>
      </w:r>
    </w:p>
    <w:p>
      <w:pPr>
        <w:pStyle w:val="BookText"/>
      </w:pPr>
      <w:r>
        <w:rPr>
          <w:rFonts w:ascii="Amiri" w:hAnsi="Amiri" w:eastAsia="Amiri" w:cs="Amiri"/>
          <w:lang w:bidi="ar-SA"/>
          <w:color w:val="111111"/>
          <w:sz w:val="28"/>
          <w:szCs w:val="28"/>
          <w:rtl/>
        </w:rPr>
        <w:t xml:space="preserve">بن محمّد</w:t>
      </w:r>
    </w:p>
    <w:p>
      <w:pPr>
        <w:pStyle w:val="Heading2"/>
      </w:pPr>
      <w:bookmarkStart w:id="4075" w:name="_Toc3177"/>
      <w:r>
        <w:t>خجندي ، محمّد بن عبد اللطيف - 552ه-</w:t>
      </w:r>
      <w:bookmarkEnd w:id="4075"/>
    </w:p>
    <w:p>
      <w:pPr>
        <w:pStyle w:val="BookText"/>
      </w:pPr>
      <w:r>
        <w:rPr>
          <w:rFonts w:ascii="Amiri" w:hAnsi="Amiri" w:eastAsia="Amiri" w:cs="Amiri"/>
          <w:lang w:bidi="ar-SA"/>
          <w:color w:val="111111"/>
          <w:sz w:val="28"/>
          <w:szCs w:val="28"/>
          <w:rtl/>
        </w:rPr>
        <w:t xml:space="preserve">1 .الاوزان والمكاييل (رسالة في)، ج3،</w:t>
      </w:r>
    </w:p>
    <w:p>
      <w:pPr>
        <w:pStyle w:val="BookText"/>
      </w:pPr>
      <w:r>
        <w:rPr>
          <w:rFonts w:ascii="IRNazanin" w:hAnsi="IRNazanin" w:eastAsia="IRNazanin" w:cs="IRNazanin"/>
          <w:lang w:bidi="fa-IR"/>
          <w:color w:val="111111"/>
          <w:sz w:val="28"/>
          <w:szCs w:val="28"/>
          <w:rtl/>
        </w:rPr>
        <w:t xml:space="preserve">ص 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تشريح الابدان ج4، ص 362.</w:t>
      </w:r>
    </w:p>
    <w:p>
      <w:pPr>
        <w:pStyle w:val="BookText"/>
      </w:pPr>
      <w:r>
        <w:rPr>
          <w:rFonts w:ascii="Amiri" w:hAnsi="Amiri" w:eastAsia="Amiri" w:cs="Amiri"/>
          <w:lang w:bidi="ar-SA"/>
          <w:color w:val="111111"/>
          <w:sz w:val="28"/>
          <w:szCs w:val="28"/>
          <w:rtl/>
        </w:rPr>
        <w:t xml:space="preserve">3.التلويح إلى اسرار التنقيح، ج 4،</w:t>
      </w:r>
    </w:p>
    <w:p>
      <w:pPr>
        <w:pStyle w:val="BookText"/>
      </w:pPr>
      <w:r>
        <w:rPr>
          <w:rFonts w:ascii="IRNazanin" w:hAnsi="IRNazanin" w:eastAsia="IRNazanin" w:cs="IRNazanin"/>
          <w:lang w:bidi="fa-IR"/>
          <w:color w:val="111111"/>
          <w:sz w:val="28"/>
          <w:szCs w:val="28"/>
          <w:rtl/>
        </w:rPr>
        <w:t xml:space="preserve">ص 869.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الطب (مختصر)، ج 10، ص739.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النبض، ج 16، ص 122.</w:t>
      </w:r>
    </w:p>
    <w:p>
      <w:pPr>
        <w:pStyle w:val="BookText"/>
      </w:pPr>
      <w:r>
        <w:rPr>
          <w:rFonts w:ascii="Amiri" w:hAnsi="Amiri" w:eastAsia="Amiri" w:cs="Amiri"/>
          <w:lang w:bidi="ar-SA"/>
          <w:color w:val="111111"/>
          <w:sz w:val="28"/>
          <w:szCs w:val="28"/>
          <w:rtl/>
        </w:rPr>
        <w:t xml:space="preserve">خجندي ، محمّد بن محمّد -كاكي ،</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خدابخش ، محمّد قاسم- ساوجي ، محمّد</w:t>
      </w:r>
    </w:p>
    <w:p>
      <w:pPr>
        <w:pStyle w:val="BookText"/>
      </w:pPr>
      <w:r>
        <w:rPr>
          <w:rFonts w:ascii="IRNazanin" w:hAnsi="IRNazanin" w:eastAsia="IRNazanin" w:cs="IRNazanin"/>
          <w:lang w:bidi="fa-IR"/>
          <w:color w:val="111111"/>
          <w:sz w:val="28"/>
          <w:szCs w:val="28"/>
          <w:rtl/>
        </w:rPr>
        <w:t xml:space="preserve">قاسم</w:t>
      </w:r>
    </w:p>
    <w:p>
      <w:pPr>
        <w:pStyle w:val="BookText"/>
      </w:pPr>
      <w:r>
        <w:rPr>
          <w:rFonts w:ascii="Amiri" w:hAnsi="Amiri" w:eastAsia="Amiri" w:cs="Amiri"/>
          <w:lang w:bidi="ar-SA"/>
          <w:color w:val="111111"/>
          <w:sz w:val="28"/>
          <w:szCs w:val="28"/>
          <w:rtl/>
        </w:rPr>
        <w:t xml:space="preserve">خداوردي بن قاسم افشار- افشار ،</w:t>
      </w:r>
    </w:p>
    <w:p>
      <w:pPr>
        <w:pStyle w:val="BookText"/>
      </w:pPr>
      <w:r>
        <w:rPr>
          <w:rFonts w:ascii="Amiri" w:hAnsi="Amiri" w:eastAsia="Amiri" w:cs="Amiri"/>
          <w:lang w:bidi="ar-SA"/>
          <w:color w:val="111111"/>
          <w:sz w:val="28"/>
          <w:szCs w:val="28"/>
          <w:rtl/>
        </w:rPr>
        <w:t xml:space="preserve">خداوردي بن قاسم</w:t>
      </w:r>
    </w:p>
    <w:p>
      <w:pPr>
        <w:pStyle w:val="Heading2"/>
      </w:pPr>
      <w:bookmarkStart w:id="4076" w:name="_Toc3178"/>
      <w:r>
        <w:t>خرائطي ، محمّد بن جعفر - 327 ه-</w:t>
      </w:r>
      <w:bookmarkEnd w:id="4076"/>
    </w:p>
    <w:p>
      <w:pPr>
        <w:pStyle w:val="BookText"/>
      </w:pPr>
      <w:r>
        <w:rPr>
          <w:rFonts w:ascii="Amiri" w:hAnsi="Amiri" w:eastAsia="Amiri" w:cs="Amiri"/>
          <w:lang w:bidi="ar-SA"/>
          <w:color w:val="111111"/>
          <w:sz w:val="28"/>
          <w:szCs w:val="28"/>
          <w:rtl/>
        </w:rPr>
        <w:t xml:space="preserve">مساوي الاخلاق و مذمومها و طرائق</w:t>
      </w:r>
    </w:p>
    <w:p>
      <w:pPr>
        <w:pStyle w:val="BookText"/>
      </w:pPr>
      <w:r>
        <w:rPr>
          <w:rFonts w:ascii="IRNazanin" w:hAnsi="IRNazanin" w:eastAsia="IRNazanin" w:cs="IRNazanin"/>
          <w:lang w:bidi="fa-IR"/>
          <w:color w:val="111111"/>
          <w:sz w:val="28"/>
          <w:szCs w:val="28"/>
          <w:rtl/>
        </w:rPr>
        <w:t xml:space="preserve">مکروهها، ج 14، ص 535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8" w:name="pg7742_70291"/>
    <w:bookmarkEnd w:id="448"/>
    <w:p>
      <w:pPr>
        <w:pStyle w:val="Heading2"/>
      </w:pPr>
      <w:bookmarkStart w:id="4077" w:name="_Toc3179"/>
      <w:r>
        <w:t>خراز، محمّد بن محمّد - 718 ه-</w:t>
      </w:r>
      <w:bookmarkEnd w:id="4077"/>
    </w:p>
    <w:p>
      <w:pPr>
        <w:pStyle w:val="BookText"/>
      </w:pPr>
      <w:r>
        <w:rPr>
          <w:rFonts w:ascii="Amiri" w:hAnsi="Amiri" w:eastAsia="Amiri" w:cs="Amiri"/>
          <w:lang w:bidi="ar-SA"/>
          <w:color w:val="111111"/>
          <w:sz w:val="28"/>
          <w:szCs w:val="28"/>
          <w:rtl/>
        </w:rPr>
        <w:t xml:space="preserve">1 .جامع الكلام في رسم مصحف</w:t>
      </w:r>
    </w:p>
    <w:p>
      <w:pPr>
        <w:pStyle w:val="BookText"/>
      </w:pPr>
      <w:r>
        <w:rPr>
          <w:rFonts w:ascii="IRNazanin" w:hAnsi="IRNazanin" w:eastAsia="IRNazanin" w:cs="IRNazanin"/>
          <w:lang w:bidi="fa-IR"/>
          <w:color w:val="111111"/>
          <w:sz w:val="28"/>
          <w:szCs w:val="28"/>
          <w:rtl/>
        </w:rPr>
        <w:t xml:space="preserve">الامام، ج 5، ص318</w:t>
      </w:r>
    </w:p>
    <w:p>
      <w:pPr>
        <w:pStyle w:val="BookText"/>
      </w:pPr>
      <w:r>
        <w:rPr>
          <w:rFonts w:ascii="Amiri" w:hAnsi="Amiri" w:eastAsia="Amiri" w:cs="Amiri"/>
          <w:lang w:bidi="ar-SA"/>
          <w:color w:val="111111"/>
          <w:sz w:val="28"/>
          <w:szCs w:val="28"/>
          <w:rtl/>
        </w:rPr>
        <w:t xml:space="preserve">2 .مورد الضمان في حكم رسم أحرف</w:t>
      </w:r>
    </w:p>
    <w:p>
      <w:pPr>
        <w:pStyle w:val="BookText"/>
      </w:pPr>
      <w:r>
        <w:rPr>
          <w:rFonts w:ascii="IRNazanin" w:hAnsi="IRNazanin" w:eastAsia="IRNazanin" w:cs="IRNazanin"/>
          <w:lang w:bidi="fa-IR"/>
          <w:color w:val="111111"/>
          <w:sz w:val="28"/>
          <w:szCs w:val="28"/>
          <w:rtl/>
        </w:rPr>
        <w:t xml:space="preserve">القرآن، ج 16، ص 12.</w:t>
      </w:r>
    </w:p>
    <w:p>
      <w:pPr>
        <w:pStyle w:val="Heading2"/>
      </w:pPr>
      <w:bookmarkStart w:id="4078" w:name="_Toc3180"/>
      <w:r>
        <w:t>خراساني آملي ، محمّد حسين بن محمّد</w:t>
      </w:r>
      <w:bookmarkEnd w:id="4078"/>
    </w:p>
    <w:p>
      <w:pPr>
        <w:pStyle w:val="BookText"/>
      </w:pPr>
      <w:r>
        <w:rPr>
          <w:rFonts w:ascii="Amiri" w:hAnsi="Amiri" w:eastAsia="Amiri" w:cs="Amiri"/>
          <w:lang w:bidi="ar-SA"/>
          <w:color w:val="111111"/>
          <w:sz w:val="28"/>
          <w:szCs w:val="28"/>
          <w:rtl/>
        </w:rPr>
        <w:t xml:space="preserve">اسماعيل قرن 13 ه-</w:t>
      </w:r>
    </w:p>
    <w:p>
      <w:pPr>
        <w:pStyle w:val="BookText"/>
      </w:pPr>
      <w:r>
        <w:rPr>
          <w:rFonts w:ascii="Amiri" w:hAnsi="Amiri" w:eastAsia="Amiri" w:cs="Amiri"/>
          <w:lang w:bidi="ar-SA"/>
          <w:color w:val="111111"/>
          <w:sz w:val="28"/>
          <w:szCs w:val="28"/>
          <w:rtl/>
        </w:rPr>
        <w:t xml:space="preserve">تقريرات الاصول، ج4، ص 741 .</w:t>
      </w:r>
    </w:p>
    <w:p>
      <w:pPr>
        <w:pStyle w:val="BookText"/>
      </w:pPr>
      <w:r>
        <w:rPr>
          <w:rFonts w:ascii="Amiri" w:hAnsi="Amiri" w:eastAsia="Amiri" w:cs="Amiri"/>
          <w:lang w:bidi="ar-SA"/>
          <w:color w:val="111111"/>
          <w:sz w:val="28"/>
          <w:szCs w:val="28"/>
          <w:rtl/>
        </w:rPr>
        <w:t xml:space="preserve">خراساني ، ابواحمد بن عبد النبي- اخباري ،</w:t>
      </w:r>
    </w:p>
    <w:p>
      <w:pPr>
        <w:pStyle w:val="BookText"/>
      </w:pPr>
      <w:r>
        <w:rPr>
          <w:rFonts w:ascii="Amiri" w:hAnsi="Amiri" w:eastAsia="Amiri" w:cs="Amiri"/>
          <w:lang w:bidi="ar-SA"/>
          <w:color w:val="111111"/>
          <w:sz w:val="28"/>
          <w:szCs w:val="28"/>
          <w:rtl/>
        </w:rPr>
        <w:t xml:space="preserve">محمّد بن عبدالنبي</w:t>
      </w:r>
    </w:p>
    <w:p>
      <w:pPr>
        <w:pStyle w:val="BookText"/>
      </w:pPr>
      <w:r>
        <w:rPr>
          <w:rFonts w:ascii="Amiri" w:hAnsi="Amiri" w:eastAsia="Amiri" w:cs="Amiri"/>
          <w:lang w:bidi="ar-SA"/>
          <w:color w:val="111111"/>
          <w:sz w:val="28"/>
          <w:szCs w:val="28"/>
          <w:rtl/>
        </w:rPr>
        <w:t xml:space="preserve">خراساني ، ابوالفضل بن احمد بن ابي طاهر -ابن ابي طاهر ، احمد بن ابي طاهر</w:t>
      </w:r>
    </w:p>
    <w:p>
      <w:pPr>
        <w:pStyle w:val="BookText"/>
      </w:pPr>
      <w:r>
        <w:rPr>
          <w:rFonts w:ascii="Amiri" w:hAnsi="Amiri" w:eastAsia="Amiri" w:cs="Amiri"/>
          <w:lang w:bidi="ar-SA"/>
          <w:color w:val="111111"/>
          <w:sz w:val="28"/>
          <w:szCs w:val="28"/>
          <w:rtl/>
        </w:rPr>
        <w:t xml:space="preserve">خراساني ، ابوذر عبد بن احمد- ابوذر</w:t>
      </w:r>
    </w:p>
    <w:p>
      <w:pPr>
        <w:pStyle w:val="BookText"/>
      </w:pPr>
      <w:r>
        <w:rPr>
          <w:rFonts w:ascii="Amiri" w:hAnsi="Amiri" w:eastAsia="Amiri" w:cs="Amiri"/>
          <w:lang w:bidi="ar-SA"/>
          <w:color w:val="111111"/>
          <w:sz w:val="28"/>
          <w:szCs w:val="28"/>
          <w:rtl/>
        </w:rPr>
        <w:t xml:space="preserve">هروي ، عبد بن احمد</w:t>
      </w:r>
    </w:p>
    <w:p>
      <w:pPr>
        <w:pStyle w:val="BookText"/>
      </w:pPr>
      <w:r>
        <w:rPr>
          <w:rFonts w:ascii="Amiri" w:hAnsi="Amiri" w:eastAsia="Amiri" w:cs="Amiri"/>
          <w:lang w:bidi="ar-SA"/>
          <w:color w:val="111111"/>
          <w:sz w:val="28"/>
          <w:szCs w:val="28"/>
          <w:rtl/>
        </w:rPr>
        <w:t xml:space="preserve">خراساني ، ابوطالب بن ابوتراب- حسيني</w:t>
      </w:r>
    </w:p>
    <w:p>
      <w:pPr>
        <w:pStyle w:val="BookText"/>
      </w:pPr>
      <w:r>
        <w:rPr>
          <w:rFonts w:ascii="IRNazanin" w:hAnsi="IRNazanin" w:eastAsia="IRNazanin" w:cs="IRNazanin"/>
          <w:lang w:bidi="fa-IR"/>
          <w:color w:val="111111"/>
          <w:sz w:val="28"/>
          <w:szCs w:val="28"/>
          <w:rtl/>
        </w:rPr>
        <w:t xml:space="preserve">عبد بن احمد</w:t>
      </w:r>
    </w:p>
    <w:p>
      <w:pPr>
        <w:pStyle w:val="BookText"/>
      </w:pPr>
      <w:r>
        <w:rPr>
          <w:rFonts w:ascii="Amiri" w:hAnsi="Amiri" w:eastAsia="Amiri" w:cs="Amiri"/>
          <w:lang w:bidi="ar-SA"/>
          <w:color w:val="111111"/>
          <w:sz w:val="28"/>
          <w:szCs w:val="28"/>
          <w:rtl/>
        </w:rPr>
        <w:t xml:space="preserve">قائني ، ابوطالب بن ابي تراب</w:t>
      </w:r>
    </w:p>
    <w:p>
      <w:pPr>
        <w:pStyle w:val="BookText"/>
      </w:pPr>
      <w:r>
        <w:rPr>
          <w:rFonts w:ascii="Amiri" w:hAnsi="Amiri" w:eastAsia="Amiri" w:cs="Amiri"/>
          <w:lang w:bidi="ar-SA"/>
          <w:color w:val="111111"/>
          <w:sz w:val="28"/>
          <w:szCs w:val="28"/>
          <w:rtl/>
        </w:rPr>
        <w:t xml:space="preserve">خراساني ، اسحاق بن ابراهيم -شاشي</w:t>
      </w:r>
    </w:p>
    <w:p>
      <w:pPr>
        <w:pStyle w:val="BookText"/>
      </w:pPr>
      <w:r>
        <w:rPr>
          <w:rFonts w:ascii="Amiri" w:hAnsi="Amiri" w:eastAsia="Amiri" w:cs="Amiri"/>
          <w:lang w:bidi="ar-SA"/>
          <w:color w:val="111111"/>
          <w:sz w:val="28"/>
          <w:szCs w:val="28"/>
          <w:rtl/>
        </w:rPr>
        <w:t xml:space="preserve">اسحاق بن ابراهيم</w:t>
      </w:r>
    </w:p>
    <w:p>
      <w:pPr>
        <w:pStyle w:val="Heading2"/>
      </w:pPr>
      <w:bookmarkStart w:id="4079" w:name="_Toc3181"/>
      <w:r>
        <w:t>خراساني ترشيزي ، احمد بن اسماعيل</w:t>
      </w:r>
      <w:bookmarkEnd w:id="4079"/>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مذكرات، ج 14، ص 339.</w:t>
      </w:r>
    </w:p>
    <w:p>
      <w:pPr>
        <w:pStyle w:val="BookText"/>
      </w:pPr>
      <w:r>
        <w:rPr>
          <w:rFonts w:ascii="Amiri" w:hAnsi="Amiri" w:eastAsia="Amiri" w:cs="Amiri"/>
          <w:lang w:bidi="ar-SA"/>
          <w:color w:val="111111"/>
          <w:sz w:val="28"/>
          <w:szCs w:val="28"/>
          <w:rtl/>
        </w:rPr>
        <w:t xml:space="preserve">خراساني ، جعفر بن محمّد -فريابي ،</w:t>
      </w:r>
    </w:p>
    <w:p>
      <w:pPr>
        <w:pStyle w:val="BookText"/>
      </w:pPr>
      <w:r>
        <w:rPr>
          <w:rFonts w:ascii="IRNazanin" w:hAnsi="IRNazanin" w:eastAsia="IRNazanin" w:cs="IRNazanin"/>
          <w:lang w:bidi="fa-IR"/>
          <w:color w:val="111111"/>
          <w:sz w:val="28"/>
          <w:szCs w:val="28"/>
          <w:rtl/>
        </w:rPr>
        <w:t xml:space="preserve">جعفر بن محمّد</w:t>
      </w:r>
    </w:p>
    <w:p>
      <w:pPr>
        <w:pStyle w:val="BookText"/>
      </w:pPr>
      <w:r>
        <w:rPr>
          <w:rFonts w:ascii="Amiri" w:hAnsi="Amiri" w:eastAsia="Amiri" w:cs="Amiri"/>
          <w:lang w:bidi="ar-SA"/>
          <w:color w:val="111111"/>
          <w:sz w:val="28"/>
          <w:szCs w:val="28"/>
          <w:rtl/>
        </w:rPr>
        <w:t xml:space="preserve">خراساني ، حسن بن محمّ-د واعظ</w:t>
      </w:r>
    </w:p>
    <w:p>
      <w:pPr>
        <w:pStyle w:val="BookText"/>
      </w:pPr>
      <w:r>
        <w:rPr>
          <w:rFonts w:ascii="Amiri" w:hAnsi="Amiri" w:eastAsia="Amiri" w:cs="Amiri"/>
          <w:lang w:bidi="ar-SA"/>
          <w:color w:val="111111"/>
          <w:sz w:val="28"/>
          <w:szCs w:val="28"/>
          <w:rtl/>
        </w:rPr>
        <w:t xml:space="preserve">نيشابوري ، حسن بن محمّد</w:t>
      </w:r>
    </w:p>
    <w:p>
      <w:pPr>
        <w:pStyle w:val="BookText"/>
      </w:pPr>
      <w:r>
        <w:rPr>
          <w:rFonts w:ascii="Amiri" w:hAnsi="Amiri" w:eastAsia="Amiri" w:cs="Amiri"/>
          <w:lang w:bidi="ar-SA"/>
          <w:color w:val="111111"/>
          <w:sz w:val="28"/>
          <w:szCs w:val="28"/>
          <w:rtl/>
        </w:rPr>
        <w:t xml:space="preserve">خراساني ،سبزواري، محمّد باقر بن محمّد</w:t>
      </w:r>
    </w:p>
    <w:p>
      <w:pPr>
        <w:pStyle w:val="BookText"/>
      </w:pPr>
      <w:r>
        <w:rPr>
          <w:rFonts w:ascii="Amiri" w:hAnsi="Amiri" w:eastAsia="Amiri" w:cs="Amiri"/>
          <w:lang w:bidi="ar-SA"/>
          <w:color w:val="111111"/>
          <w:sz w:val="28"/>
          <w:szCs w:val="28"/>
          <w:rtl/>
        </w:rPr>
        <w:t xml:space="preserve">مؤمن- محقق سبزواري، محمّد باقر بن</w:t>
      </w:r>
    </w:p>
    <w:p>
      <w:pPr>
        <w:pStyle w:val="BookText"/>
      </w:pPr>
      <w:r>
        <w:rPr>
          <w:rFonts w:ascii="Amiri" w:hAnsi="Amiri" w:eastAsia="Amiri" w:cs="Amiri"/>
          <w:lang w:bidi="ar-SA"/>
          <w:color w:val="111111"/>
          <w:sz w:val="28"/>
          <w:szCs w:val="28"/>
          <w:rtl/>
        </w:rPr>
        <w:t xml:space="preserve">محمّد مؤمن</w:t>
      </w:r>
    </w:p>
    <w:p>
      <w:pPr>
        <w:pStyle w:val="BookText"/>
      </w:pPr>
      <w:r>
        <w:rPr>
          <w:rFonts w:ascii="Amiri" w:hAnsi="Amiri" w:eastAsia="Amiri" w:cs="Amiri"/>
          <w:lang w:bidi="ar-SA"/>
          <w:color w:val="111111"/>
          <w:sz w:val="28"/>
          <w:szCs w:val="28"/>
          <w:rtl/>
        </w:rPr>
        <w:t xml:space="preserve">خراساني ، سلطانعلي - طبيب كنابادي ،</w:t>
      </w:r>
    </w:p>
    <w:p>
      <w:pPr>
        <w:pStyle w:val="BookText"/>
      </w:pPr>
      <w:r>
        <w:rPr>
          <w:rFonts w:ascii="Amiri" w:hAnsi="Amiri" w:eastAsia="Amiri" w:cs="Amiri"/>
          <w:lang w:bidi="ar-SA"/>
          <w:color w:val="111111"/>
          <w:sz w:val="28"/>
          <w:szCs w:val="28"/>
          <w:rtl/>
        </w:rPr>
        <w:t xml:space="preserve">سلطان علي</w:t>
      </w:r>
    </w:p>
    <w:p>
      <w:pPr>
        <w:pStyle w:val="BookText"/>
      </w:pPr>
      <w:r>
        <w:rPr>
          <w:rFonts w:ascii="IRNazanin" w:hAnsi="IRNazanin" w:eastAsia="IRNazanin" w:cs="IRNazanin"/>
          <w:lang w:bidi="fa-IR"/>
          <w:color w:val="111111"/>
          <w:sz w:val="28"/>
          <w:szCs w:val="28"/>
          <w:rtl/>
        </w:rPr>
        <w:t xml:space="preserve">خراساني شيرازي ، محمّد حسین بن محمّد</w:t>
      </w:r>
    </w:p>
    <w:p>
      <w:pPr>
        <w:pStyle w:val="BookText"/>
      </w:pPr>
      <w:r>
        <w:rPr>
          <w:rFonts w:ascii="Amiri" w:hAnsi="Amiri" w:eastAsia="Amiri" w:cs="Amiri"/>
          <w:lang w:bidi="ar-SA"/>
          <w:color w:val="111111"/>
          <w:sz w:val="28"/>
          <w:szCs w:val="28"/>
          <w:rtl/>
        </w:rPr>
        <w:t xml:space="preserve">هادي -عقيلي شيرازي ، محمّد حسين بن محمّد هادي</w:t>
      </w:r>
    </w:p>
    <w:p>
      <w:pPr>
        <w:pStyle w:val="Heading2"/>
      </w:pPr>
      <w:bookmarkStart w:id="4080" w:name="_Toc3182"/>
      <w:r>
        <w:t>خراساني ، عبدالغني</w:t>
      </w:r>
      <w:bookmarkEnd w:id="4080"/>
    </w:p>
    <w:p>
      <w:pPr>
        <w:pStyle w:val="BookText"/>
      </w:pPr>
      <w:r>
        <w:rPr>
          <w:rFonts w:ascii="Amiri" w:hAnsi="Amiri" w:eastAsia="Amiri" w:cs="Amiri"/>
          <w:lang w:bidi="ar-SA"/>
          <w:color w:val="111111"/>
          <w:sz w:val="28"/>
          <w:szCs w:val="28"/>
          <w:rtl/>
        </w:rPr>
        <w:t xml:space="preserve">تقريرات الشيخ عبدالغني الخراساني ج 4، ص 759.</w:t>
      </w:r>
    </w:p>
    <w:p>
      <w:pPr>
        <w:pStyle w:val="BookText"/>
      </w:pPr>
      <w:r>
        <w:rPr>
          <w:rFonts w:ascii="Amiri" w:hAnsi="Amiri" w:eastAsia="Amiri" w:cs="Amiri"/>
          <w:lang w:bidi="ar-SA"/>
          <w:color w:val="111111"/>
          <w:sz w:val="28"/>
          <w:szCs w:val="28"/>
          <w:rtl/>
        </w:rPr>
        <w:t xml:space="preserve">خراساني ، عبدالله بن محمّد -توني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خراساني ، عبد بن احمد- ابوذر هروي ،</w:t>
      </w:r>
    </w:p>
    <w:p>
      <w:pPr>
        <w:pStyle w:val="BookText"/>
      </w:pPr>
      <w:r>
        <w:rPr>
          <w:rFonts w:ascii="Amiri" w:hAnsi="Amiri" w:eastAsia="Amiri" w:cs="Amiri"/>
          <w:lang w:bidi="ar-SA"/>
          <w:color w:val="111111"/>
          <w:sz w:val="28"/>
          <w:szCs w:val="28"/>
          <w:rtl/>
        </w:rPr>
        <w:t xml:space="preserve">خراساني ، علي بن رستم -ابن ساعاتي ، علي بن رستم</w:t>
      </w:r>
    </w:p>
    <w:p>
      <w:pPr>
        <w:pStyle w:val="Heading2"/>
      </w:pPr>
      <w:bookmarkStart w:id="4081" w:name="_Toc3183"/>
      <w:r>
        <w:t>خراساني ، علي بن محمّد</w:t>
      </w:r>
      <w:bookmarkEnd w:id="40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اشتغال الذمة، ج 2، ص 274.</w:t>
      </w:r>
    </w:p>
    <w:p>
      <w:pPr>
        <w:pStyle w:val="BookText"/>
      </w:pPr>
      <w:r>
        <w:rPr>
          <w:rFonts w:ascii="Amiri" w:hAnsi="Amiri" w:eastAsia="Amiri" w:cs="Amiri"/>
          <w:lang w:bidi="ar-SA"/>
          <w:color w:val="111111"/>
          <w:sz w:val="28"/>
          <w:szCs w:val="28"/>
          <w:rtl/>
        </w:rPr>
        <w:t xml:space="preserve">2 .الخلاف الواقع بين المجتهدين و الاخباريين (رسالة في)، ج 7، ص 145 .</w:t>
      </w:r>
    </w:p>
    <w:p>
      <w:pPr>
        <w:pStyle w:val="Heading2"/>
      </w:pPr>
      <w:bookmarkStart w:id="4082" w:name="_Toc3184"/>
      <w:r>
        <w:t>خراساني قهستاني ، شمس الدین محمّد -</w:t>
      </w:r>
      <w:bookmarkEnd w:id="4082"/>
    </w:p>
    <w:p>
      <w:pPr>
        <w:pStyle w:val="BookText"/>
      </w:pPr>
      <w:r>
        <w:rPr>
          <w:rFonts w:ascii="IRNazanin" w:hAnsi="IRNazanin" w:eastAsia="IRNazanin" w:cs="IRNazanin"/>
          <w:lang w:bidi="fa-IR"/>
          <w:color w:val="111111"/>
          <w:sz w:val="28"/>
          <w:szCs w:val="28"/>
          <w:rtl/>
        </w:rPr>
        <w:t xml:space="preserve">962؟ ه-</w:t>
      </w:r>
    </w:p>
    <w:p>
      <w:pPr>
        <w:pStyle w:val="BookText"/>
      </w:pPr>
      <w:r>
        <w:rPr>
          <w:rFonts w:ascii="IRNazanin" w:hAnsi="IRNazanin" w:eastAsia="IRNazanin" w:cs="IRNazanin"/>
          <w:lang w:bidi="fa-IR"/>
          <w:color w:val="111111"/>
          <w:sz w:val="28"/>
          <w:szCs w:val="28"/>
          <w:rtl/>
        </w:rPr>
        <w:t xml:space="preserve">1 .جامع الرموز، ج 5 ، ص 266 .</w:t>
      </w:r>
    </w:p>
    <w:p>
      <w:pPr>
        <w:pStyle w:val="BookText"/>
      </w:pPr>
      <w:r>
        <w:rPr>
          <w:rFonts w:ascii="Amiri" w:hAnsi="Amiri" w:eastAsia="Amiri" w:cs="Amiri"/>
          <w:lang w:bidi="ar-SA"/>
          <w:color w:val="111111"/>
          <w:sz w:val="28"/>
          <w:szCs w:val="28"/>
          <w:rtl/>
        </w:rPr>
        <w:t xml:space="preserve">2 .شرح خلاصة الفقه الكيداني، ج9،</w:t>
      </w:r>
    </w:p>
    <w:p>
      <w:pPr>
        <w:pStyle w:val="BookText"/>
      </w:pPr>
      <w:r>
        <w:rPr>
          <w:rFonts w:ascii="IRNazanin" w:hAnsi="IRNazanin" w:eastAsia="IRNazanin" w:cs="IRNazanin"/>
          <w:lang w:bidi="fa-IR"/>
          <w:color w:val="111111"/>
          <w:sz w:val="28"/>
          <w:szCs w:val="28"/>
          <w:rtl/>
        </w:rPr>
        <w:t xml:space="preserve">ص 448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9" w:name="pg7742_70293"/>
    <w:bookmarkEnd w:id="449"/>
    <w:p>
      <w:pPr>
        <w:pStyle w:val="Heading2"/>
      </w:pPr>
      <w:bookmarkStart w:id="4083" w:name="_Toc3185"/>
      <w:r>
        <w:t>خراساني ،كوفي، سلام بن ابي عمره قرن 3 ه-</w:t>
      </w:r>
      <w:bookmarkEnd w:id="4083"/>
    </w:p>
    <w:p>
      <w:pPr>
        <w:pStyle w:val="BookText"/>
      </w:pPr>
      <w:r>
        <w:rPr>
          <w:rFonts w:ascii="Amiri" w:hAnsi="Amiri" w:eastAsia="Amiri" w:cs="Amiri"/>
          <w:lang w:bidi="ar-SA"/>
          <w:color w:val="111111"/>
          <w:sz w:val="28"/>
          <w:szCs w:val="28"/>
          <w:rtl/>
        </w:rPr>
        <w:t xml:space="preserve">اصل سلام بن ابي عمرة = كتاب سلام</w:t>
      </w:r>
    </w:p>
    <w:p>
      <w:pPr>
        <w:pStyle w:val="BookText"/>
      </w:pPr>
      <w:r>
        <w:rPr>
          <w:rFonts w:ascii="Amiri" w:hAnsi="Amiri" w:eastAsia="Amiri" w:cs="Amiri"/>
          <w:lang w:bidi="ar-SA"/>
          <w:color w:val="111111"/>
          <w:sz w:val="28"/>
          <w:szCs w:val="28"/>
          <w:rtl/>
        </w:rPr>
        <w:t xml:space="preserve">بن ابي عمره، ج 2، ص388.</w:t>
      </w:r>
    </w:p>
    <w:p>
      <w:pPr>
        <w:pStyle w:val="BookText"/>
      </w:pPr>
      <w:r>
        <w:rPr>
          <w:rFonts w:ascii="IRNazanin" w:hAnsi="IRNazanin" w:eastAsia="IRNazanin" w:cs="IRNazanin"/>
          <w:lang w:bidi="fa-IR"/>
          <w:color w:val="111111"/>
          <w:sz w:val="28"/>
          <w:szCs w:val="28"/>
          <w:rtl/>
        </w:rPr>
        <w:t xml:space="preserve">خراساني ، محمّد ابراهیم بن محمّد حسن -كرباسي ، محمّد ابراهیم بن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خراساني ، محمّد باقر- بيرجندي ، محمّد</w:t>
      </w:r>
    </w:p>
    <w:p>
      <w:pPr>
        <w:pStyle w:val="BookText"/>
      </w:pPr>
      <w:r>
        <w:rPr>
          <w:rFonts w:ascii="IRNazanin" w:hAnsi="IRNazanin" w:eastAsia="IRNazanin" w:cs="IRNazanin"/>
          <w:lang w:bidi="fa-IR"/>
          <w:color w:val="111111"/>
          <w:sz w:val="28"/>
          <w:szCs w:val="28"/>
          <w:rtl/>
        </w:rPr>
        <w:t xml:space="preserve">باقر بن محمّد حسن</w:t>
      </w:r>
    </w:p>
    <w:p>
      <w:pPr>
        <w:pStyle w:val="BookText"/>
      </w:pPr>
      <w:r>
        <w:rPr>
          <w:rFonts w:ascii="Amiri" w:hAnsi="Amiri" w:eastAsia="Amiri" w:cs="Amiri"/>
          <w:lang w:bidi="ar-SA"/>
          <w:color w:val="111111"/>
          <w:sz w:val="28"/>
          <w:szCs w:val="28"/>
          <w:rtl/>
        </w:rPr>
        <w:t xml:space="preserve">خراساني ، محمّد باقر خرساني ، محمّد باقر</w:t>
      </w:r>
    </w:p>
    <w:p>
      <w:pPr>
        <w:pStyle w:val="Heading2"/>
      </w:pPr>
      <w:bookmarkStart w:id="4084" w:name="_Toc3186"/>
      <w:r>
        <w:t>خراساني ، محمّد باقر</w:t>
      </w:r>
      <w:bookmarkEnd w:id="4084"/>
    </w:p>
    <w:p>
      <w:pPr>
        <w:pStyle w:val="BookText"/>
      </w:pPr>
      <w:r>
        <w:rPr>
          <w:rFonts w:ascii="IRNazanin" w:hAnsi="IRNazanin" w:eastAsia="IRNazanin" w:cs="IRNazanin"/>
          <w:lang w:bidi="fa-IR"/>
          <w:color w:val="111111"/>
          <w:sz w:val="28"/>
          <w:szCs w:val="28"/>
          <w:rtl/>
        </w:rPr>
        <w:t xml:space="preserve">جامع الاسرار، ج 5، ص 248.</w:t>
      </w:r>
    </w:p>
    <w:p>
      <w:pPr>
        <w:pStyle w:val="BookText"/>
      </w:pPr>
      <w:r>
        <w:rPr>
          <w:rFonts w:ascii="Amiri" w:hAnsi="Amiri" w:eastAsia="Amiri" w:cs="Amiri"/>
          <w:lang w:bidi="ar-SA"/>
          <w:color w:val="111111"/>
          <w:sz w:val="28"/>
          <w:szCs w:val="28"/>
          <w:rtl/>
        </w:rPr>
        <w:t xml:space="preserve">خراساني ، محمّد بن حسن- طوسي</w:t>
      </w:r>
    </w:p>
    <w:p>
      <w:pPr>
        <w:pStyle w:val="BookText"/>
      </w:pPr>
      <w:r>
        <w:rPr>
          <w:rFonts w:ascii="Amiri" w:hAnsi="Amiri" w:eastAsia="Amiri" w:cs="Amiri"/>
          <w:lang w:bidi="ar-SA"/>
          <w:color w:val="111111"/>
          <w:sz w:val="28"/>
          <w:szCs w:val="28"/>
          <w:rtl/>
        </w:rPr>
        <w:t xml:space="preserve">مشهدي ، محمّد بن حسن</w:t>
      </w:r>
    </w:p>
    <w:p>
      <w:pPr>
        <w:pStyle w:val="BookText"/>
      </w:pPr>
      <w:r>
        <w:rPr>
          <w:rFonts w:ascii="IRNazanin" w:hAnsi="IRNazanin" w:eastAsia="IRNazanin" w:cs="IRNazanin"/>
          <w:lang w:bidi="fa-IR"/>
          <w:color w:val="111111"/>
          <w:sz w:val="28"/>
          <w:szCs w:val="28"/>
          <w:rtl/>
        </w:rPr>
        <w:t xml:space="preserve">خراساني ، محمّد بن زنگي -شعيبي</w:t>
      </w:r>
    </w:p>
    <w:p>
      <w:pPr>
        <w:pStyle w:val="BookText"/>
      </w:pPr>
      <w:r>
        <w:rPr>
          <w:rFonts w:ascii="IRNazanin" w:hAnsi="IRNazanin" w:eastAsia="IRNazanin" w:cs="IRNazanin"/>
          <w:lang w:bidi="fa-IR"/>
          <w:color w:val="111111"/>
          <w:sz w:val="28"/>
          <w:szCs w:val="28"/>
          <w:rtl/>
        </w:rPr>
        <w:t xml:space="preserve">اسفرايني ، محمّد بن زنگي</w:t>
      </w:r>
    </w:p>
    <w:p>
      <w:pPr>
        <w:pStyle w:val="BookText"/>
      </w:pPr>
      <w:r>
        <w:rPr>
          <w:rFonts w:ascii="Amiri" w:hAnsi="Amiri" w:eastAsia="Amiri" w:cs="Amiri"/>
          <w:lang w:bidi="ar-SA"/>
          <w:color w:val="111111"/>
          <w:sz w:val="28"/>
          <w:szCs w:val="28"/>
          <w:rtl/>
        </w:rPr>
        <w:t xml:space="preserve">خراساني ، محمّد بن عبد الخالق- ابن</w:t>
      </w:r>
    </w:p>
    <w:p>
      <w:pPr>
        <w:pStyle w:val="BookText"/>
      </w:pPr>
      <w:r>
        <w:rPr>
          <w:rFonts w:ascii="IRNazanin" w:hAnsi="IRNazanin" w:eastAsia="IRNazanin" w:cs="IRNazanin"/>
          <w:lang w:bidi="fa-IR"/>
          <w:color w:val="111111"/>
          <w:sz w:val="28"/>
          <w:szCs w:val="28"/>
          <w:rtl/>
        </w:rPr>
        <w:t xml:space="preserve">معروف ، محمّد بن عبدالخالق</w:t>
      </w:r>
    </w:p>
    <w:p>
      <w:pPr>
        <w:pStyle w:val="BookText"/>
      </w:pPr>
      <w:r>
        <w:rPr>
          <w:rFonts w:ascii="Amiri" w:hAnsi="Amiri" w:eastAsia="Amiri" w:cs="Amiri"/>
          <w:lang w:bidi="ar-SA"/>
          <w:color w:val="111111"/>
          <w:sz w:val="28"/>
          <w:szCs w:val="28"/>
          <w:rtl/>
        </w:rPr>
        <w:t xml:space="preserve">خراساني ، محمّد ، بن</w:t>
      </w:r>
    </w:p>
    <w:p>
      <w:pPr>
        <w:pStyle w:val="BookText"/>
      </w:pPr>
      <w:r>
        <w:rPr>
          <w:rFonts w:ascii="Amiri" w:hAnsi="Amiri" w:eastAsia="Amiri" w:cs="Amiri"/>
          <w:lang w:bidi="ar-SA"/>
          <w:color w:val="111111"/>
          <w:sz w:val="28"/>
          <w:szCs w:val="28"/>
          <w:rtl/>
        </w:rPr>
        <w:t xml:space="preserve">عبد الرحمان - مسعودي ، محمّد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خراساني ، محمّد بن عبد النبي - اخباري ،</w:t>
      </w:r>
    </w:p>
    <w:p>
      <w:pPr>
        <w:pStyle w:val="BookText"/>
      </w:pPr>
      <w:r>
        <w:rPr>
          <w:rFonts w:ascii="Amiri" w:hAnsi="Amiri" w:eastAsia="Amiri" w:cs="Amiri"/>
          <w:lang w:bidi="ar-SA"/>
          <w:color w:val="111111"/>
          <w:sz w:val="28"/>
          <w:szCs w:val="28"/>
          <w:rtl/>
        </w:rPr>
        <w:t xml:space="preserve">محمّد بن عبدالنبي</w:t>
      </w:r>
    </w:p>
    <w:p>
      <w:pPr>
        <w:pStyle w:val="Heading2"/>
      </w:pPr>
      <w:bookmarkStart w:id="4085" w:name="_Toc3187"/>
      <w:r>
        <w:t>خراساني ، محمّد بن عمران - 385 ه-</w:t>
      </w:r>
      <w:bookmarkEnd w:id="4085"/>
    </w:p>
    <w:p>
      <w:pPr>
        <w:pStyle w:val="BookText"/>
      </w:pPr>
      <w:r>
        <w:rPr>
          <w:rFonts w:ascii="Amiri" w:hAnsi="Amiri" w:eastAsia="Amiri" w:cs="Amiri"/>
          <w:lang w:bidi="ar-SA"/>
          <w:color w:val="111111"/>
          <w:sz w:val="28"/>
          <w:szCs w:val="28"/>
          <w:rtl/>
        </w:rPr>
        <w:t xml:space="preserve">اخبار السيد الحميري، ج 1، ص 529.</w:t>
      </w:r>
    </w:p>
    <w:p>
      <w:pPr>
        <w:pStyle w:val="Heading2"/>
      </w:pPr>
      <w:bookmarkStart w:id="4086" w:name="_Toc3188"/>
      <w:r>
        <w:t>خراساني ، محمّد بن محمّد کاظم، 1294</w:t>
      </w:r>
      <w:bookmarkEnd w:id="4086"/>
    </w:p>
    <w:p>
      <w:pPr>
        <w:pStyle w:val="BookText"/>
      </w:pPr>
      <w:r>
        <w:rPr>
          <w:rFonts w:ascii="IRNazanin" w:hAnsi="IRNazanin" w:eastAsia="IRNazanin" w:cs="IRNazanin"/>
          <w:lang w:bidi="fa-IR"/>
          <w:color w:val="111111"/>
          <w:sz w:val="28"/>
          <w:szCs w:val="28"/>
          <w:rtl/>
        </w:rPr>
        <w:t xml:space="preserve">1356 ه-</w:t>
      </w:r>
    </w:p>
    <w:p>
      <w:pPr>
        <w:pStyle w:val="BookText"/>
      </w:pPr>
      <w:r>
        <w:rPr>
          <w:rFonts w:ascii="Amiri" w:hAnsi="Amiri" w:eastAsia="Amiri" w:cs="Amiri"/>
          <w:lang w:bidi="ar-SA"/>
          <w:color w:val="111111"/>
          <w:sz w:val="28"/>
          <w:szCs w:val="28"/>
          <w:rtl/>
        </w:rPr>
        <w:t xml:space="preserve">1 .تقريرات الفقه، ج 4، ص 764 .</w:t>
      </w:r>
    </w:p>
    <w:p>
      <w:pPr>
        <w:pStyle w:val="BookText"/>
      </w:pPr>
      <w:r>
        <w:rPr>
          <w:rFonts w:ascii="Amiri" w:hAnsi="Amiri" w:eastAsia="Amiri" w:cs="Amiri"/>
          <w:lang w:bidi="ar-SA"/>
          <w:color w:val="111111"/>
          <w:sz w:val="28"/>
          <w:szCs w:val="28"/>
          <w:rtl/>
        </w:rPr>
        <w:t xml:space="preserve">2 .تقريرات الفقه = تقريرات الشيخ</w:t>
      </w:r>
    </w:p>
    <w:p>
      <w:pPr>
        <w:pStyle w:val="BookText"/>
      </w:pPr>
      <w:r>
        <w:rPr>
          <w:rFonts w:ascii="Amiri" w:hAnsi="Amiri" w:eastAsia="Amiri" w:cs="Amiri"/>
          <w:lang w:bidi="ar-SA"/>
          <w:color w:val="111111"/>
          <w:sz w:val="28"/>
          <w:szCs w:val="28"/>
          <w:rtl/>
        </w:rPr>
        <w:t xml:space="preserve">محمّد كاظم الخراساني جع</w:t>
      </w:r>
    </w:p>
    <w:p>
      <w:pPr>
        <w:pStyle w:val="BookText"/>
      </w:pPr>
      <w:r>
        <w:rPr>
          <w:rFonts w:ascii="IRNazanin" w:hAnsi="IRNazanin" w:eastAsia="IRNazanin" w:cs="IRNazanin"/>
          <w:lang w:bidi="fa-IR"/>
          <w:color w:val="111111"/>
          <w:sz w:val="28"/>
          <w:szCs w:val="28"/>
          <w:rtl/>
        </w:rPr>
        <w:t xml:space="preserve">ص 765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القضاء، ج 12، ص 733.</w:t>
      </w:r>
    </w:p>
    <w:p>
      <w:pPr>
        <w:pStyle w:val="Heading2"/>
      </w:pPr>
      <w:bookmarkStart w:id="4087" w:name="_Toc3189"/>
      <w:r>
        <w:t>خراساني ، محمّد جعفر بن محمّد طاهر</w:t>
      </w:r>
      <w:bookmarkEnd w:id="4087"/>
    </w:p>
    <w:p>
      <w:pPr>
        <w:pStyle w:val="BookText"/>
      </w:pPr>
      <w:r>
        <w:rPr>
          <w:rFonts w:ascii="IRNazanin" w:hAnsi="IRNazanin" w:eastAsia="IRNazanin" w:cs="IRNazanin"/>
          <w:lang w:bidi="fa-IR"/>
          <w:color w:val="111111"/>
          <w:sz w:val="28"/>
          <w:szCs w:val="28"/>
          <w:rtl/>
        </w:rPr>
        <w:t xml:space="preserve">1080 - 1175؟ ه-</w:t>
      </w:r>
    </w:p>
    <w:p>
      <w:pPr>
        <w:pStyle w:val="BookText"/>
      </w:pPr>
      <w:r>
        <w:rPr>
          <w:rFonts w:ascii="IRNazanin" w:hAnsi="IRNazanin" w:eastAsia="IRNazanin" w:cs="IRNazanin"/>
          <w:lang w:bidi="fa-IR"/>
          <w:color w:val="111111"/>
          <w:sz w:val="28"/>
          <w:szCs w:val="28"/>
          <w:rtl/>
        </w:rPr>
        <w:t xml:space="preserve">نوادر الأخبار، ج 16، ص 540.</w:t>
      </w:r>
    </w:p>
    <w:p>
      <w:pPr>
        <w:pStyle w:val="Heading2"/>
      </w:pPr>
      <w:bookmarkStart w:id="4088" w:name="_Toc3190"/>
      <w:r>
        <w:t>خراساني ، محمّد حسين</w:t>
      </w:r>
      <w:bookmarkEnd w:id="4088"/>
    </w:p>
    <w:p>
      <w:pPr>
        <w:pStyle w:val="BookText"/>
      </w:pPr>
      <w:r>
        <w:rPr>
          <w:rFonts w:ascii="Amiri" w:hAnsi="Amiri" w:eastAsia="Amiri" w:cs="Amiri"/>
          <w:lang w:bidi="ar-SA"/>
          <w:color w:val="111111"/>
          <w:sz w:val="28"/>
          <w:szCs w:val="28"/>
          <w:rtl/>
        </w:rPr>
        <w:t xml:space="preserve">اصول الفقه (رسالة في)، ج2، ص 437</w:t>
      </w:r>
    </w:p>
    <w:p>
      <w:pPr>
        <w:pStyle w:val="BookText"/>
      </w:pPr>
      <w:r>
        <w:rPr>
          <w:rFonts w:ascii="Amiri" w:hAnsi="Amiri" w:eastAsia="Amiri" w:cs="Amiri"/>
          <w:lang w:bidi="ar-SA"/>
          <w:color w:val="111111"/>
          <w:sz w:val="28"/>
          <w:szCs w:val="28"/>
          <w:rtl/>
        </w:rPr>
        <w:t xml:space="preserve">خراساني ، محمّد رفيع بن فرج- جيلاني</w:t>
      </w:r>
    </w:p>
    <w:p>
      <w:pPr>
        <w:pStyle w:val="BookText"/>
      </w:pPr>
      <w:r>
        <w:rPr>
          <w:rFonts w:ascii="IRNazanin" w:hAnsi="IRNazanin" w:eastAsia="IRNazanin" w:cs="IRNazanin"/>
          <w:lang w:bidi="fa-IR"/>
          <w:color w:val="111111"/>
          <w:sz w:val="28"/>
          <w:szCs w:val="28"/>
          <w:rtl/>
        </w:rPr>
        <w:t xml:space="preserve">محمّد رفیع بن فرج</w:t>
      </w:r>
    </w:p>
    <w:p>
      <w:pPr>
        <w:pStyle w:val="BookText"/>
      </w:pPr>
      <w:r>
        <w:rPr>
          <w:rFonts w:ascii="Amiri" w:hAnsi="Amiri" w:eastAsia="Amiri" w:cs="Amiri"/>
          <w:lang w:bidi="ar-SA"/>
          <w:color w:val="111111"/>
          <w:sz w:val="28"/>
          <w:szCs w:val="28"/>
          <w:rtl/>
        </w:rPr>
        <w:t xml:space="preserve">خراساني ، محمّد علي- طبسي خراساني ،</w:t>
      </w:r>
    </w:p>
    <w:p>
      <w:pPr>
        <w:pStyle w:val="BookText"/>
      </w:pPr>
      <w:r>
        <w:rPr>
          <w:rFonts w:ascii="Amiri" w:hAnsi="Amiri" w:eastAsia="Amiri" w:cs="Amiri"/>
          <w:lang w:bidi="ar-SA"/>
          <w:color w:val="111111"/>
          <w:sz w:val="28"/>
          <w:szCs w:val="28"/>
          <w:rtl/>
        </w:rPr>
        <w:t xml:space="preserve">محمد علي</w:t>
      </w:r>
    </w:p>
    <w:p>
      <w:pPr>
        <w:pStyle w:val="BookText"/>
      </w:pPr>
      <w:r>
        <w:rPr>
          <w:rFonts w:ascii="Amiri" w:hAnsi="Amiri" w:eastAsia="Amiri" w:cs="Amiri"/>
          <w:lang w:bidi="ar-SA"/>
          <w:color w:val="111111"/>
          <w:sz w:val="28"/>
          <w:szCs w:val="28"/>
          <w:rtl/>
        </w:rPr>
        <w:t xml:space="preserve">خراساني ، محمّد علي بن محمّد رضا -توني</w:t>
      </w:r>
    </w:p>
    <w:p>
      <w:pPr>
        <w:pStyle w:val="BookText"/>
      </w:pPr>
      <w:r>
        <w:rPr>
          <w:rFonts w:ascii="Amiri" w:hAnsi="Amiri" w:eastAsia="Amiri" w:cs="Amiri"/>
          <w:lang w:bidi="ar-SA"/>
          <w:color w:val="111111"/>
          <w:sz w:val="28"/>
          <w:szCs w:val="28"/>
          <w:rtl/>
        </w:rPr>
        <w:t xml:space="preserve">خراساني، محمّد علي بن محمّد رضا</w:t>
      </w:r>
    </w:p>
    <w:p>
      <w:pPr>
        <w:pStyle w:val="BookText"/>
      </w:pPr>
      <w:r>
        <w:rPr>
          <w:rFonts w:ascii="IRNazanin" w:hAnsi="IRNazanin" w:eastAsia="IRNazanin" w:cs="IRNazanin"/>
          <w:lang w:bidi="fa-IR"/>
          <w:color w:val="111111"/>
          <w:sz w:val="28"/>
          <w:szCs w:val="28"/>
          <w:rtl/>
        </w:rPr>
        <w:t xml:space="preserve">خراساني ، محمّد کاظم بن حسين- آخوند</w:t>
      </w:r>
    </w:p>
    <w:p>
      <w:pPr>
        <w:pStyle w:val="BookText"/>
      </w:pPr>
      <w:r>
        <w:rPr>
          <w:rFonts w:ascii="IRNazanin" w:hAnsi="IRNazanin" w:eastAsia="IRNazanin" w:cs="IRNazanin"/>
          <w:lang w:bidi="fa-IR"/>
          <w:color w:val="111111"/>
          <w:sz w:val="28"/>
          <w:szCs w:val="28"/>
          <w:rtl/>
        </w:rPr>
        <w:t xml:space="preserve">خراساني ، محمّد کاظم بن حسين</w:t>
      </w:r>
    </w:p>
    <w:p>
      <w:pPr>
        <w:pStyle w:val="BookText"/>
      </w:pPr>
      <w:r>
        <w:rPr>
          <w:rFonts w:ascii="Amiri" w:hAnsi="Amiri" w:eastAsia="Amiri" w:cs="Amiri"/>
          <w:lang w:bidi="ar-SA"/>
          <w:color w:val="111111"/>
          <w:sz w:val="28"/>
          <w:szCs w:val="28"/>
          <w:rtl/>
        </w:rPr>
        <w:t xml:space="preserve">خراساني ، محمّد مهدي بن هدايت</w:t>
      </w:r>
    </w:p>
    <w:p>
      <w:pPr>
        <w:pStyle w:val="BookText"/>
      </w:pPr>
      <w:r>
        <w:rPr>
          <w:rFonts w:ascii="Amiri" w:hAnsi="Amiri" w:eastAsia="Amiri" w:cs="Amiri"/>
          <w:lang w:bidi="ar-SA"/>
          <w:color w:val="111111"/>
          <w:sz w:val="28"/>
          <w:szCs w:val="28"/>
          <w:rtl/>
        </w:rPr>
        <w:t xml:space="preserve">الله -حسيني اصفهاني ، محمّد مهدي بن</w:t>
      </w:r>
    </w:p>
    <w:p>
      <w:pPr>
        <w:pStyle w:val="BookText"/>
      </w:pPr>
      <w:r>
        <w:rPr>
          <w:rFonts w:ascii="IRNazanin" w:hAnsi="IRNazanin" w:eastAsia="IRNazanin" w:cs="IRNazanin"/>
          <w:lang w:bidi="fa-IR"/>
          <w:color w:val="111111"/>
          <w:sz w:val="28"/>
          <w:szCs w:val="28"/>
          <w:rtl/>
        </w:rPr>
        <w:t xml:space="preserve">هدایت الله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0" w:name="pg7742_70295"/>
    <w:bookmarkEnd w:id="450"/>
    <w:p>
      <w:pPr>
        <w:pStyle w:val="BookText"/>
      </w:pPr>
      <w:r>
        <w:rPr>
          <w:rFonts w:ascii="Amiri" w:hAnsi="Amiri" w:eastAsia="Amiri" w:cs="Amiri"/>
          <w:lang w:bidi="ar-SA"/>
          <w:color w:val="111111"/>
          <w:sz w:val="28"/>
          <w:szCs w:val="28"/>
          <w:rtl/>
        </w:rPr>
        <w:t xml:space="preserve">خراساني مرزباني ، ابو عبد الله محمّد -مرزباني ، محمّد بن عمران</w:t>
      </w:r>
    </w:p>
    <w:p>
      <w:pPr>
        <w:pStyle w:val="BookText"/>
      </w:pPr>
      <w:r>
        <w:rPr>
          <w:rFonts w:ascii="Amiri" w:hAnsi="Amiri" w:eastAsia="Amiri" w:cs="Amiri"/>
          <w:lang w:bidi="ar-SA"/>
          <w:color w:val="111111"/>
          <w:sz w:val="28"/>
          <w:szCs w:val="28"/>
          <w:rtl/>
        </w:rPr>
        <w:t xml:space="preserve">خراساني مروزي، آدم بن ابي اياس- ابن</w:t>
      </w:r>
    </w:p>
    <w:p>
      <w:pPr>
        <w:pStyle w:val="BookText"/>
      </w:pPr>
      <w:r>
        <w:rPr>
          <w:rFonts w:ascii="Amiri" w:hAnsi="Amiri" w:eastAsia="Amiri" w:cs="Amiri"/>
          <w:lang w:bidi="ar-SA"/>
          <w:color w:val="111111"/>
          <w:sz w:val="28"/>
          <w:szCs w:val="28"/>
          <w:rtl/>
        </w:rPr>
        <w:t xml:space="preserve">ابي اياس ، آدم بن ابي اياس</w:t>
      </w:r>
    </w:p>
    <w:p>
      <w:pPr>
        <w:pStyle w:val="BookText"/>
      </w:pPr>
      <w:r>
        <w:rPr>
          <w:rFonts w:ascii="Amiri" w:hAnsi="Amiri" w:eastAsia="Amiri" w:cs="Amiri"/>
          <w:lang w:bidi="ar-SA"/>
          <w:color w:val="111111"/>
          <w:sz w:val="28"/>
          <w:szCs w:val="28"/>
          <w:rtl/>
        </w:rPr>
        <w:t xml:space="preserve">خراساني ، مولانا سعد الدين- كاشغري ،</w:t>
      </w:r>
    </w:p>
    <w:p>
      <w:pPr>
        <w:pStyle w:val="BookText"/>
      </w:pPr>
      <w:r>
        <w:rPr>
          <w:rFonts w:ascii="IRNazanin" w:hAnsi="IRNazanin" w:eastAsia="IRNazanin" w:cs="IRNazanin"/>
          <w:lang w:bidi="fa-IR"/>
          <w:color w:val="111111"/>
          <w:sz w:val="28"/>
          <w:szCs w:val="28"/>
          <w:rtl/>
        </w:rPr>
        <w:t xml:space="preserve">سعدالدین</w:t>
      </w:r>
    </w:p>
    <w:p>
      <w:pPr>
        <w:pStyle w:val="BookText"/>
      </w:pPr>
      <w:r>
        <w:rPr>
          <w:rFonts w:ascii="Amiri" w:hAnsi="Amiri" w:eastAsia="Amiri" w:cs="Amiri"/>
          <w:lang w:bidi="ar-SA"/>
          <w:color w:val="111111"/>
          <w:sz w:val="28"/>
          <w:szCs w:val="28"/>
          <w:rtl/>
        </w:rPr>
        <w:t xml:space="preserve">خراساني ، نوربخش- نوربخش خراساني ،</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خراساني ، هداية الله بن مهدي -حسيني</w:t>
      </w:r>
    </w:p>
    <w:p>
      <w:pPr>
        <w:pStyle w:val="BookText"/>
      </w:pPr>
      <w:r>
        <w:rPr>
          <w:rFonts w:ascii="Amiri" w:hAnsi="Amiri" w:eastAsia="Amiri" w:cs="Amiri"/>
          <w:lang w:bidi="ar-SA"/>
          <w:color w:val="111111"/>
          <w:sz w:val="28"/>
          <w:szCs w:val="28"/>
          <w:rtl/>
        </w:rPr>
        <w:t xml:space="preserve">مشهدي ، هدايت الله بن مهدي</w:t>
      </w:r>
    </w:p>
    <w:p>
      <w:pPr>
        <w:pStyle w:val="BookText"/>
      </w:pPr>
      <w:r>
        <w:rPr>
          <w:rFonts w:ascii="Amiri" w:hAnsi="Amiri" w:eastAsia="Amiri" w:cs="Amiri"/>
          <w:lang w:bidi="ar-SA"/>
          <w:color w:val="111111"/>
          <w:sz w:val="28"/>
          <w:szCs w:val="28"/>
          <w:rtl/>
        </w:rPr>
        <w:t xml:space="preserve">خراساني ، يوسف بن محمّد -حسيني</w:t>
      </w:r>
    </w:p>
    <w:p>
      <w:pPr>
        <w:pStyle w:val="BookText"/>
      </w:pPr>
      <w:r>
        <w:rPr>
          <w:rFonts w:ascii="Amiri" w:hAnsi="Amiri" w:eastAsia="Amiri" w:cs="Amiri"/>
          <w:lang w:bidi="ar-SA"/>
          <w:color w:val="111111"/>
          <w:sz w:val="28"/>
          <w:szCs w:val="28"/>
          <w:rtl/>
        </w:rPr>
        <w:t xml:space="preserve">خراساني ، يوسف بن محمّد</w:t>
      </w:r>
    </w:p>
    <w:p>
      <w:pPr>
        <w:pStyle w:val="Heading2"/>
      </w:pPr>
      <w:bookmarkStart w:id="4089" w:name="_Toc3191"/>
      <w:r>
        <w:t>خراشي، محمّد بن عبدالله، 1010-1101ه-</w:t>
      </w:r>
      <w:bookmarkEnd w:id="4089"/>
    </w:p>
    <w:p>
      <w:pPr>
        <w:pStyle w:val="BookText"/>
      </w:pPr>
      <w:r>
        <w:rPr>
          <w:rFonts w:ascii="Amiri" w:hAnsi="Amiri" w:eastAsia="Amiri" w:cs="Amiri"/>
          <w:lang w:bidi="ar-SA"/>
          <w:color w:val="111111"/>
          <w:sz w:val="28"/>
          <w:szCs w:val="28"/>
          <w:rtl/>
        </w:rPr>
        <w:t xml:space="preserve">فتح الجليل على مختصر العلامة</w:t>
      </w:r>
    </w:p>
    <w:p>
      <w:pPr>
        <w:pStyle w:val="BookText"/>
      </w:pPr>
      <w:r>
        <w:rPr>
          <w:rFonts w:ascii="Amiri" w:hAnsi="Amiri" w:eastAsia="Amiri" w:cs="Amiri"/>
          <w:lang w:bidi="ar-SA"/>
          <w:color w:val="111111"/>
          <w:sz w:val="28"/>
          <w:szCs w:val="28"/>
          <w:rtl/>
        </w:rPr>
        <w:t xml:space="preserve">الخليل، ج 11، ص 642 .</w:t>
      </w:r>
    </w:p>
    <w:p>
      <w:pPr>
        <w:pStyle w:val="BookText"/>
      </w:pPr>
      <w:r>
        <w:rPr>
          <w:rFonts w:ascii="Amiri" w:hAnsi="Amiri" w:eastAsia="Amiri" w:cs="Amiri"/>
          <w:lang w:bidi="ar-SA"/>
          <w:color w:val="111111"/>
          <w:sz w:val="28"/>
          <w:szCs w:val="28"/>
          <w:rtl/>
        </w:rPr>
        <w:t xml:space="preserve">خرباوي ، ابراهيم بن عمر- بقاعي ،</w:t>
      </w:r>
    </w:p>
    <w:p>
      <w:pPr>
        <w:pStyle w:val="BookText"/>
      </w:pPr>
      <w:r>
        <w:rPr>
          <w:rFonts w:ascii="Amiri" w:hAnsi="Amiri" w:eastAsia="Amiri" w:cs="Amiri"/>
          <w:lang w:bidi="ar-SA"/>
          <w:color w:val="111111"/>
          <w:sz w:val="28"/>
          <w:szCs w:val="28"/>
          <w:rtl/>
        </w:rPr>
        <w:t xml:space="preserve">ابراهيم بن عمر</w:t>
      </w:r>
    </w:p>
    <w:p>
      <w:pPr>
        <w:pStyle w:val="Heading2"/>
      </w:pPr>
      <w:bookmarkStart w:id="4090" w:name="_Toc3192"/>
      <w:r>
        <w:t>خرپوتي ، عبدالحميد بن عمر 1245 -</w:t>
      </w:r>
      <w:bookmarkEnd w:id="4090"/>
    </w:p>
    <w:p>
      <w:pPr>
        <w:pStyle w:val="BookText"/>
      </w:pPr>
      <w:r>
        <w:rPr>
          <w:rFonts w:ascii="IRNazanin" w:hAnsi="IRNazanin" w:eastAsia="IRNazanin" w:cs="IRNazanin"/>
          <w:lang w:bidi="fa-IR"/>
          <w:color w:val="111111"/>
          <w:sz w:val="28"/>
          <w:szCs w:val="28"/>
          <w:rtl/>
        </w:rPr>
        <w:t xml:space="preserve">1320 ه-</w:t>
      </w:r>
    </w:p>
    <w:p>
      <w:pPr>
        <w:pStyle w:val="BookText"/>
      </w:pPr>
      <w:r>
        <w:rPr>
          <w:rFonts w:ascii="Amiri" w:hAnsi="Amiri" w:eastAsia="Amiri" w:cs="Amiri"/>
          <w:lang w:bidi="ar-SA"/>
          <w:color w:val="111111"/>
          <w:sz w:val="28"/>
          <w:szCs w:val="28"/>
          <w:rtl/>
        </w:rPr>
        <w:t xml:space="preserve">الصمت العبقري في شرح العقد الجوهري، ج 10، ص 634.</w:t>
      </w:r>
    </w:p>
    <w:p>
      <w:pPr>
        <w:pStyle w:val="Heading2"/>
      </w:pPr>
      <w:bookmarkStart w:id="4091" w:name="_Toc3193"/>
      <w:r>
        <w:t>خرتبرتي ، محمود بن اسماعيل - 915 ه-</w:t>
      </w:r>
      <w:bookmarkEnd w:id="4091"/>
    </w:p>
    <w:p>
      <w:pPr>
        <w:pStyle w:val="BookText"/>
      </w:pPr>
      <w:r>
        <w:rPr>
          <w:rFonts w:ascii="Amiri" w:hAnsi="Amiri" w:eastAsia="Amiri" w:cs="Amiri"/>
          <w:lang w:bidi="ar-SA"/>
          <w:color w:val="111111"/>
          <w:sz w:val="28"/>
          <w:szCs w:val="28"/>
          <w:rtl/>
        </w:rPr>
        <w:t xml:space="preserve">1 .توضيح الاعراب في شرح قواعد</w:t>
      </w:r>
    </w:p>
    <w:p>
      <w:pPr>
        <w:pStyle w:val="BookText"/>
      </w:pPr>
      <w:r>
        <w:rPr>
          <w:rFonts w:ascii="IRNazanin" w:hAnsi="IRNazanin" w:eastAsia="IRNazanin" w:cs="IRNazanin"/>
          <w:lang w:bidi="fa-IR"/>
          <w:color w:val="111111"/>
          <w:sz w:val="28"/>
          <w:szCs w:val="28"/>
          <w:rtl/>
        </w:rPr>
        <w:t xml:space="preserve">الاعراب، ج 5، ص 169.</w:t>
      </w:r>
    </w:p>
    <w:p>
      <w:pPr>
        <w:pStyle w:val="BookText"/>
      </w:pPr>
      <w:r>
        <w:rPr>
          <w:rFonts w:ascii="Amiri" w:hAnsi="Amiri" w:eastAsia="Amiri" w:cs="Amiri"/>
          <w:lang w:bidi="ar-SA"/>
          <w:color w:val="111111"/>
          <w:sz w:val="28"/>
          <w:szCs w:val="28"/>
          <w:rtl/>
        </w:rPr>
        <w:t xml:space="preserve">2 .الدرة الغراء في نصيحة السلاطين و القضاة و الأمراء، ج 7، ص 242.</w:t>
      </w:r>
    </w:p>
    <w:p>
      <w:pPr>
        <w:pStyle w:val="BookText"/>
      </w:pPr>
      <w:r>
        <w:rPr>
          <w:rFonts w:ascii="Amiri" w:hAnsi="Amiri" w:eastAsia="Amiri" w:cs="Amiri"/>
          <w:lang w:bidi="ar-SA"/>
          <w:color w:val="111111"/>
          <w:sz w:val="28"/>
          <w:szCs w:val="28"/>
          <w:rtl/>
        </w:rPr>
        <w:t xml:space="preserve">خرجردي خراساني ، عبدالله - هاتفي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خررجي ، ابوالحسن علي -ابن وهاس</w:t>
      </w:r>
    </w:p>
    <w:p>
      <w:pPr>
        <w:pStyle w:val="BookText"/>
      </w:pPr>
      <w:r>
        <w:rPr>
          <w:rFonts w:ascii="IRNazanin" w:hAnsi="IRNazanin" w:eastAsia="IRNazanin" w:cs="IRNazanin"/>
          <w:lang w:bidi="fa-IR"/>
          <w:color w:val="111111"/>
          <w:sz w:val="28"/>
          <w:szCs w:val="28"/>
          <w:rtl/>
        </w:rPr>
        <w:t xml:space="preserve">على بن حسن</w:t>
      </w:r>
    </w:p>
    <w:p>
      <w:pPr>
        <w:pStyle w:val="BookText"/>
      </w:pPr>
      <w:r>
        <w:rPr>
          <w:rFonts w:ascii="Amiri" w:hAnsi="Amiri" w:eastAsia="Amiri" w:cs="Amiri"/>
          <w:lang w:bidi="ar-SA"/>
          <w:color w:val="111111"/>
          <w:sz w:val="28"/>
          <w:szCs w:val="28"/>
          <w:rtl/>
        </w:rPr>
        <w:t xml:space="preserve">خررجي الزبيدي ، موفق الدين- ابن</w:t>
      </w:r>
    </w:p>
    <w:p>
      <w:pPr>
        <w:pStyle w:val="BookText"/>
      </w:pPr>
      <w:r>
        <w:rPr>
          <w:rFonts w:ascii="Amiri" w:hAnsi="Amiri" w:eastAsia="Amiri" w:cs="Amiri"/>
          <w:lang w:bidi="ar-SA"/>
          <w:color w:val="111111"/>
          <w:sz w:val="28"/>
          <w:szCs w:val="28"/>
          <w:rtl/>
        </w:rPr>
        <w:t xml:space="preserve">وهاس ، علي بن حسن</w:t>
      </w:r>
    </w:p>
    <w:p>
      <w:pPr>
        <w:pStyle w:val="Heading2"/>
      </w:pPr>
      <w:bookmarkStart w:id="4092" w:name="_Toc3194"/>
      <w:r>
        <w:t>خرسان ، ابراهيم بن حسين قرن 13 ه-</w:t>
      </w:r>
      <w:bookmarkEnd w:id="4092"/>
    </w:p>
    <w:p>
      <w:pPr>
        <w:pStyle w:val="BookText"/>
      </w:pPr>
      <w:r>
        <w:rPr>
          <w:rFonts w:ascii="IRNazanin" w:hAnsi="IRNazanin" w:eastAsia="IRNazanin" w:cs="IRNazanin"/>
          <w:lang w:bidi="fa-IR"/>
          <w:color w:val="111111"/>
          <w:sz w:val="28"/>
          <w:szCs w:val="28"/>
          <w:rtl/>
        </w:rPr>
        <w:t xml:space="preserve">کشکول، ج13، ص288</w:t>
      </w:r>
    </w:p>
    <w:p>
      <w:pPr>
        <w:pStyle w:val="Heading2"/>
      </w:pPr>
      <w:bookmarkStart w:id="4093" w:name="_Toc3195"/>
      <w:r>
        <w:t>خرسان ، محمّد مهدي بن حسن</w:t>
      </w:r>
      <w:bookmarkEnd w:id="4093"/>
    </w:p>
    <w:p>
      <w:pPr>
        <w:pStyle w:val="BookText"/>
      </w:pPr>
      <w:r>
        <w:rPr>
          <w:rFonts w:ascii="Amiri" w:hAnsi="Amiri" w:eastAsia="Amiri" w:cs="Amiri"/>
          <w:lang w:bidi="ar-SA"/>
          <w:color w:val="111111"/>
          <w:sz w:val="28"/>
          <w:szCs w:val="28"/>
          <w:rtl/>
        </w:rPr>
        <w:t xml:space="preserve">انتخاب الحسان من لسان الميزان، ج 2،</w:t>
      </w:r>
    </w:p>
    <w:p>
      <w:pPr>
        <w:pStyle w:val="BookText"/>
      </w:pPr>
      <w:r>
        <w:rPr>
          <w:rFonts w:ascii="IRNazanin" w:hAnsi="IRNazanin" w:eastAsia="IRNazanin" w:cs="IRNazanin"/>
          <w:lang w:bidi="fa-IR"/>
          <w:color w:val="111111"/>
          <w:sz w:val="28"/>
          <w:szCs w:val="28"/>
          <w:rtl/>
        </w:rPr>
        <w:t xml:space="preserve">ص 784.</w:t>
      </w:r>
    </w:p>
    <w:p>
      <w:pPr>
        <w:pStyle w:val="Heading2"/>
      </w:pPr>
      <w:bookmarkStart w:id="4094" w:name="_Toc3196"/>
      <w:r>
        <w:t>خرسان ، موسی بن حسن - 1323 ه-</w:t>
      </w:r>
      <w:bookmarkEnd w:id="4094"/>
    </w:p>
    <w:p>
      <w:pPr>
        <w:pStyle w:val="BookText"/>
      </w:pPr>
      <w:r>
        <w:rPr>
          <w:rFonts w:ascii="Amiri" w:hAnsi="Amiri" w:eastAsia="Amiri" w:cs="Amiri"/>
          <w:lang w:bidi="ar-SA"/>
          <w:color w:val="111111"/>
          <w:sz w:val="28"/>
          <w:szCs w:val="28"/>
          <w:rtl/>
        </w:rPr>
        <w:t xml:space="preserve">مرجح الميزان في يوم العرض على</w:t>
      </w:r>
    </w:p>
    <w:p>
      <w:pPr>
        <w:pStyle w:val="BookText"/>
      </w:pPr>
      <w:r>
        <w:rPr>
          <w:rFonts w:ascii="Amiri" w:hAnsi="Amiri" w:eastAsia="Amiri" w:cs="Amiri"/>
          <w:lang w:bidi="ar-SA"/>
          <w:color w:val="111111"/>
          <w:sz w:val="28"/>
          <w:szCs w:val="28"/>
          <w:rtl/>
        </w:rPr>
        <w:t xml:space="preserve">الرؤوف المنان في مناقب الائمه المعصومين من ولد عدنان ج 14</w:t>
      </w:r>
    </w:p>
    <w:p>
      <w:pPr>
        <w:pStyle w:val="BookText"/>
      </w:pPr>
      <w:r>
        <w:rPr>
          <w:rFonts w:ascii="IRNazanin" w:hAnsi="IRNazanin" w:eastAsia="IRNazanin" w:cs="IRNazanin"/>
          <w:lang w:bidi="fa-IR"/>
          <w:color w:val="111111"/>
          <w:sz w:val="28"/>
          <w:szCs w:val="28"/>
          <w:rtl/>
        </w:rPr>
        <w:t xml:space="preserve">ص 393.</w:t>
      </w:r>
    </w:p>
    <w:p>
      <w:pPr>
        <w:pStyle w:val="Heading2"/>
      </w:pPr>
      <w:bookmarkStart w:id="4095" w:name="_Toc3197"/>
      <w:r>
        <w:t>خرساني ، محمّد باقر</w:t>
      </w:r>
      <w:bookmarkEnd w:id="40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اهل البيت و آية التطهير، ج3،</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Amiri" w:hAnsi="Amiri" w:eastAsia="Amiri" w:cs="Amiri"/>
          <w:lang w:bidi="ar-SA"/>
          <w:color w:val="111111"/>
          <w:sz w:val="28"/>
          <w:szCs w:val="28"/>
          <w:rtl/>
        </w:rPr>
        <w:t xml:space="preserve">2 .مسائل فقهية ج 14، ص 464</w:t>
      </w:r>
    </w:p>
    <w:p>
      <w:pPr>
        <w:pStyle w:val="BookText"/>
      </w:pPr>
      <w:r>
        <w:rPr>
          <w:rFonts w:ascii="Amiri" w:hAnsi="Amiri" w:eastAsia="Amiri" w:cs="Amiri"/>
          <w:lang w:bidi="ar-SA"/>
          <w:color w:val="111111"/>
          <w:sz w:val="28"/>
          <w:szCs w:val="28"/>
          <w:rtl/>
        </w:rPr>
        <w:t xml:space="preserve">3 .مشكاة المعرفة عند ديكارت، ج 14،</w:t>
      </w:r>
    </w:p>
    <w:p>
      <w:pPr>
        <w:pStyle w:val="BookText"/>
      </w:pPr>
      <w:r>
        <w:rPr>
          <w:rFonts w:ascii="IRNazanin" w:hAnsi="IRNazanin" w:eastAsia="IRNazanin" w:cs="IRNazanin"/>
          <w:lang w:bidi="fa-IR"/>
          <w:color w:val="111111"/>
          <w:sz w:val="28"/>
          <w:szCs w:val="28"/>
          <w:rtl/>
        </w:rPr>
        <w:t xml:space="preserve">ص 644.</w:t>
      </w:r>
    </w:p>
    <w:p>
      <w:pPr>
        <w:pStyle w:val="BookText"/>
      </w:pPr>
      <w:r>
        <w:rPr>
          <w:rFonts w:ascii="Amiri" w:hAnsi="Amiri" w:eastAsia="Amiri" w:cs="Amiri"/>
          <w:lang w:bidi="ar-SA"/>
          <w:color w:val="111111"/>
          <w:sz w:val="28"/>
          <w:szCs w:val="28"/>
          <w:rtl/>
        </w:rPr>
        <w:t xml:space="preserve">خرشي ، محمّد بن عبدالله -خراشي ، محمّد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،خرضمه، لطف الله بن شجاع الدين -آقحصاري ، لطف الله بن شجاع الدین</w:t>
      </w:r>
    </w:p>
    <w:p>
      <w:pPr>
        <w:pStyle w:val="BookText"/>
      </w:pPr>
      <w:r>
        <w:rPr>
          <w:rFonts w:ascii="Amiri" w:hAnsi="Amiri" w:eastAsia="Amiri" w:cs="Amiri"/>
          <w:lang w:bidi="ar-SA"/>
          <w:color w:val="111111"/>
          <w:sz w:val="28"/>
          <w:szCs w:val="28"/>
          <w:rtl/>
        </w:rPr>
        <w:t xml:space="preserve">خرقاني ، احمد -كتبي ، شهاب الدين</w:t>
      </w:r>
    </w:p>
    <w:p>
      <w:pPr>
        <w:pStyle w:val="BookText"/>
      </w:pPr>
      <w:r>
        <w:rPr>
          <w:rFonts w:ascii="IRNazanin" w:hAnsi="IRNazanin" w:eastAsia="IRNazanin" w:cs="IRNazanin"/>
          <w:lang w:bidi="fa-IR"/>
          <w:color w:val="111111"/>
          <w:sz w:val="28"/>
          <w:szCs w:val="28"/>
          <w:rtl/>
        </w:rPr>
        <w:t xml:space="preserve">احمد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1" w:name="pg7742_70297"/>
    <w:bookmarkEnd w:id="451"/>
    <w:p>
      <w:pPr>
        <w:pStyle w:val="Heading2"/>
      </w:pPr>
      <w:bookmarkStart w:id="4096" w:name="_Toc3198"/>
      <w:r>
        <w:t>خرقاني ، قطب الدين محمّد</w:t>
      </w:r>
      <w:bookmarkEnd w:id="4096"/>
    </w:p>
    <w:p>
      <w:pPr>
        <w:pStyle w:val="BookText"/>
      </w:pPr>
      <w:r>
        <w:rPr>
          <w:rFonts w:ascii="Amiri" w:hAnsi="Amiri" w:eastAsia="Amiri" w:cs="Amiri"/>
          <w:lang w:bidi="ar-SA"/>
          <w:color w:val="111111"/>
          <w:sz w:val="28"/>
          <w:szCs w:val="28"/>
          <w:rtl/>
        </w:rPr>
        <w:t xml:space="preserve">مكاتيب، ج 15 ، ص 409.</w:t>
      </w:r>
    </w:p>
    <w:p>
      <w:pPr>
        <w:pStyle w:val="Heading2"/>
      </w:pPr>
      <w:bookmarkStart w:id="4097" w:name="_Toc3199"/>
      <w:r>
        <w:t>خرقاني نجفي ، محمّد تقي</w:t>
      </w:r>
      <w:bookmarkEnd w:id="4097"/>
    </w:p>
    <w:p>
      <w:pPr>
        <w:pStyle w:val="BookText"/>
      </w:pPr>
      <w:r>
        <w:rPr>
          <w:rFonts w:ascii="Amiri" w:hAnsi="Amiri" w:eastAsia="Amiri" w:cs="Amiri"/>
          <w:lang w:bidi="ar-SA"/>
          <w:color w:val="111111"/>
          <w:sz w:val="28"/>
          <w:szCs w:val="28"/>
          <w:rtl/>
        </w:rPr>
        <w:t xml:space="preserve">معادن الحكم = اسرار العبادات</w:t>
      </w:r>
    </w:p>
    <w:p>
      <w:pPr>
        <w:pStyle w:val="BookText"/>
      </w:pPr>
      <w:r>
        <w:rPr>
          <w:rFonts w:ascii="IRNazanin" w:hAnsi="IRNazanin" w:eastAsia="IRNazanin" w:cs="IRNazanin"/>
          <w:lang w:bidi="fa-IR"/>
          <w:color w:val="111111"/>
          <w:sz w:val="28"/>
          <w:szCs w:val="28"/>
          <w:rtl/>
        </w:rPr>
        <w:t xml:space="preserve">ج 14، ص 831.</w:t>
      </w:r>
    </w:p>
    <w:p>
      <w:pPr>
        <w:pStyle w:val="Heading2"/>
      </w:pPr>
      <w:bookmarkStart w:id="4098" w:name="_Toc3200"/>
      <w:r>
        <w:t>خرقي ، محمّد بن احمد - 533 ه-</w:t>
      </w:r>
      <w:bookmarkEnd w:id="4098"/>
    </w:p>
    <w:p>
      <w:pPr>
        <w:pStyle w:val="BookText"/>
      </w:pPr>
      <w:r>
        <w:rPr>
          <w:rFonts w:ascii="Amiri" w:hAnsi="Amiri" w:eastAsia="Amiri" w:cs="Amiri"/>
          <w:lang w:bidi="ar-SA"/>
          <w:color w:val="111111"/>
          <w:sz w:val="28"/>
          <w:szCs w:val="28"/>
          <w:rtl/>
        </w:rPr>
        <w:t xml:space="preserve">التبصرة في علم الهيئة، ج 3، ص 640 .</w:t>
      </w:r>
    </w:p>
    <w:p>
      <w:pPr>
        <w:pStyle w:val="BookText"/>
      </w:pPr>
      <w:r>
        <w:rPr>
          <w:rFonts w:ascii="Amiri" w:hAnsi="Amiri" w:eastAsia="Amiri" w:cs="Amiri"/>
          <w:lang w:bidi="ar-SA"/>
          <w:color w:val="111111"/>
          <w:sz w:val="28"/>
          <w:szCs w:val="28"/>
          <w:rtl/>
        </w:rPr>
        <w:t xml:space="preserve">خرقي ، محمّد بن عمر- بحرق ، محمّد</w:t>
      </w:r>
    </w:p>
    <w:p>
      <w:pPr>
        <w:pStyle w:val="BookText"/>
      </w:pPr>
      <w:r>
        <w:rPr>
          <w:rFonts w:ascii="IRNazanin" w:hAnsi="IRNazanin" w:eastAsia="IRNazanin" w:cs="IRNazanin"/>
          <w:lang w:bidi="fa-IR"/>
          <w:color w:val="111111"/>
          <w:sz w:val="28"/>
          <w:szCs w:val="28"/>
          <w:rtl/>
        </w:rPr>
        <w:t xml:space="preserve">بن عمر</w:t>
      </w:r>
    </w:p>
    <w:p>
      <w:pPr>
        <w:pStyle w:val="Heading2"/>
      </w:pPr>
      <w:bookmarkStart w:id="4099" w:name="_Toc3201"/>
      <w:r>
        <w:t>خرگوشي ، عبدالملك بن محمّد - 407 ه-</w:t>
      </w:r>
      <w:bookmarkEnd w:id="4099"/>
    </w:p>
    <w:p>
      <w:pPr>
        <w:pStyle w:val="BookText"/>
      </w:pPr>
      <w:r>
        <w:rPr>
          <w:rFonts w:ascii="Amiri" w:hAnsi="Amiri" w:eastAsia="Amiri" w:cs="Amiri"/>
          <w:lang w:bidi="ar-SA"/>
          <w:color w:val="111111"/>
          <w:sz w:val="28"/>
          <w:szCs w:val="28"/>
          <w:rtl/>
        </w:rPr>
        <w:t xml:space="preserve">شرف المصطفى و دلائل النبوة في سيرة</w:t>
      </w:r>
    </w:p>
    <w:p>
      <w:pPr>
        <w:pStyle w:val="BookText"/>
      </w:pPr>
      <w:r>
        <w:rPr>
          <w:rFonts w:ascii="Amiri" w:hAnsi="Amiri" w:eastAsia="Amiri" w:cs="Amiri"/>
          <w:lang w:bidi="ar-SA"/>
          <w:color w:val="111111"/>
          <w:sz w:val="28"/>
          <w:szCs w:val="28"/>
          <w:rtl/>
        </w:rPr>
        <w:t xml:space="preserve">النبي عليه السلام، ج10، ص 351.</w:t>
      </w:r>
    </w:p>
    <w:p>
      <w:pPr>
        <w:pStyle w:val="BookText"/>
      </w:pPr>
      <w:r>
        <w:rPr>
          <w:rFonts w:ascii="Amiri" w:hAnsi="Amiri" w:eastAsia="Amiri" w:cs="Amiri"/>
          <w:lang w:bidi="ar-SA"/>
          <w:color w:val="111111"/>
          <w:sz w:val="28"/>
          <w:szCs w:val="28"/>
          <w:rtl/>
        </w:rPr>
        <w:t xml:space="preserve">خرم آبادي ، موسى بن عزيز الله- موسوي</w:t>
      </w:r>
    </w:p>
    <w:p>
      <w:pPr>
        <w:pStyle w:val="BookText"/>
      </w:pPr>
      <w:r>
        <w:rPr>
          <w:rFonts w:ascii="Amiri" w:hAnsi="Amiri" w:eastAsia="Amiri" w:cs="Amiri"/>
          <w:lang w:bidi="ar-SA"/>
          <w:color w:val="111111"/>
          <w:sz w:val="28"/>
          <w:szCs w:val="28"/>
          <w:rtl/>
        </w:rPr>
        <w:t xml:space="preserve">جزائري، موسى بن عزيز الله</w:t>
      </w:r>
    </w:p>
    <w:p>
      <w:pPr>
        <w:pStyle w:val="Heading2"/>
      </w:pPr>
      <w:bookmarkStart w:id="4100" w:name="_Toc3202"/>
      <w:r>
        <w:t>خرمابادي، زين الدين جبرئيل</w:t>
      </w:r>
      <w:bookmarkEnd w:id="4100"/>
    </w:p>
    <w:p>
      <w:pPr>
        <w:pStyle w:val="BookText"/>
      </w:pPr>
      <w:r>
        <w:rPr>
          <w:rFonts w:ascii="Amiri" w:hAnsi="Amiri" w:eastAsia="Amiri" w:cs="Amiri"/>
          <w:lang w:bidi="ar-SA"/>
          <w:color w:val="111111"/>
          <w:sz w:val="28"/>
          <w:szCs w:val="28"/>
          <w:rtl/>
        </w:rPr>
        <w:t xml:space="preserve">شرح الآجرومية، ج 9، ص123.</w:t>
      </w:r>
    </w:p>
    <w:p>
      <w:pPr>
        <w:pStyle w:val="Heading2"/>
      </w:pPr>
      <w:bookmarkStart w:id="4101" w:name="_Toc3203"/>
      <w:r>
        <w:t>خرميطي ، مسلم بن قاسم</w:t>
      </w:r>
      <w:bookmarkEnd w:id="4101"/>
    </w:p>
    <w:p>
      <w:pPr>
        <w:pStyle w:val="BookText"/>
      </w:pPr>
      <w:r>
        <w:rPr>
          <w:rFonts w:ascii="IRNazanin" w:hAnsi="IRNazanin" w:eastAsia="IRNazanin" w:cs="IRNazanin"/>
          <w:lang w:bidi="fa-IR"/>
          <w:color w:val="111111"/>
          <w:sz w:val="28"/>
          <w:szCs w:val="28"/>
          <w:rtl/>
        </w:rPr>
        <w:t xml:space="preserve">رسائل اخوان الصفا، ج 8، ص133.</w:t>
      </w:r>
    </w:p>
    <w:p>
      <w:pPr>
        <w:pStyle w:val="BookText"/>
      </w:pPr>
      <w:r>
        <w:rPr>
          <w:rFonts w:ascii="Amiri" w:hAnsi="Amiri" w:eastAsia="Amiri" w:cs="Amiri"/>
          <w:lang w:bidi="ar-SA"/>
          <w:color w:val="111111"/>
          <w:sz w:val="28"/>
          <w:szCs w:val="28"/>
          <w:rtl/>
        </w:rPr>
        <w:t xml:space="preserve">خريسطو خوروس ويخا يسوعي- ويخا ،</w:t>
      </w:r>
    </w:p>
    <w:p>
      <w:pPr>
        <w:pStyle w:val="BookText"/>
      </w:pPr>
      <w:r>
        <w:rPr>
          <w:rFonts w:ascii="Amiri" w:hAnsi="Amiri" w:eastAsia="Amiri" w:cs="Amiri"/>
          <w:lang w:bidi="ar-SA"/>
          <w:color w:val="111111"/>
          <w:sz w:val="28"/>
          <w:szCs w:val="28"/>
          <w:rtl/>
        </w:rPr>
        <w:t xml:space="preserve">خريسطو خوروس</w:t>
      </w:r>
    </w:p>
    <w:p>
      <w:pPr>
        <w:pStyle w:val="BookText"/>
      </w:pPr>
      <w:r>
        <w:rPr>
          <w:rFonts w:ascii="IRNazanin" w:hAnsi="IRNazanin" w:eastAsia="IRNazanin" w:cs="IRNazanin"/>
          <w:lang w:bidi="fa-IR"/>
          <w:color w:val="111111"/>
          <w:sz w:val="28"/>
          <w:szCs w:val="28"/>
          <w:rtl/>
        </w:rPr>
        <w:t xml:space="preserve">خزاز ، جنید بن محمّد- جنيد بغدادي</w:t>
      </w:r>
    </w:p>
    <w:p>
      <w:pPr>
        <w:pStyle w:val="Heading2"/>
      </w:pPr>
      <w:bookmarkStart w:id="4102" w:name="_Toc3204"/>
      <w:r>
        <w:t>خزاز رازي ، علي بن محمّد قرن 4 ه-</w:t>
      </w:r>
      <w:bookmarkEnd w:id="4102"/>
    </w:p>
    <w:p>
      <w:pPr>
        <w:pStyle w:val="BookText"/>
      </w:pPr>
      <w:r>
        <w:rPr>
          <w:rFonts w:ascii="Amiri" w:hAnsi="Amiri" w:eastAsia="Amiri" w:cs="Amiri"/>
          <w:lang w:bidi="ar-SA"/>
          <w:color w:val="111111"/>
          <w:sz w:val="28"/>
          <w:szCs w:val="28"/>
          <w:rtl/>
        </w:rPr>
        <w:t xml:space="preserve">كفاية الاثر في النصوص على الائمة</w:t>
      </w:r>
    </w:p>
    <w:p>
      <w:pPr>
        <w:pStyle w:val="BookText"/>
      </w:pPr>
      <w:r>
        <w:rPr>
          <w:rFonts w:ascii="IRNazanin" w:hAnsi="IRNazanin" w:eastAsia="IRNazanin" w:cs="IRNazanin"/>
          <w:lang w:bidi="fa-IR"/>
          <w:color w:val="111111"/>
          <w:sz w:val="28"/>
          <w:szCs w:val="28"/>
          <w:rtl/>
        </w:rPr>
        <w:t xml:space="preserve">الاثنى عشر، ج13، ص 304.</w:t>
      </w:r>
    </w:p>
    <w:p>
      <w:pPr>
        <w:pStyle w:val="Heading2"/>
      </w:pPr>
      <w:bookmarkStart w:id="4103" w:name="_Toc3205"/>
      <w:r>
        <w:t>خزاعي اصفهاني ، محمّد مقیم بن درویش</w:t>
      </w:r>
      <w:bookmarkEnd w:id="4103"/>
    </w:p>
    <w:p>
      <w:pPr>
        <w:pStyle w:val="BookText"/>
      </w:pPr>
      <w:r>
        <w:rPr>
          <w:rFonts w:ascii="Amiri" w:hAnsi="Amiri" w:eastAsia="Amiri" w:cs="Amiri"/>
          <w:lang w:bidi="ar-SA"/>
          <w:color w:val="111111"/>
          <w:sz w:val="28"/>
          <w:szCs w:val="28"/>
          <w:rtl/>
        </w:rPr>
        <w:t xml:space="preserve">،محمّد، - 1165ه-</w:t>
      </w:r>
    </w:p>
    <w:p>
      <w:pPr>
        <w:pStyle w:val="BookText"/>
      </w:pPr>
      <w:r>
        <w:rPr>
          <w:rFonts w:ascii="Amiri" w:hAnsi="Amiri" w:eastAsia="Amiri" w:cs="Amiri"/>
          <w:lang w:bidi="ar-SA"/>
          <w:color w:val="111111"/>
          <w:sz w:val="28"/>
          <w:szCs w:val="28"/>
          <w:rtl/>
        </w:rPr>
        <w:t xml:space="preserve">حاوي نخب الادلة و الاقوال فيما</w:t>
      </w:r>
    </w:p>
    <w:p>
      <w:pPr>
        <w:pStyle w:val="BookText"/>
      </w:pPr>
      <w:r>
        <w:rPr>
          <w:rFonts w:ascii="Amiri" w:hAnsi="Amiri" w:eastAsia="Amiri" w:cs="Amiri"/>
          <w:lang w:bidi="ar-SA"/>
          <w:color w:val="111111"/>
          <w:sz w:val="28"/>
          <w:szCs w:val="28"/>
          <w:rtl/>
        </w:rPr>
        <w:t xml:space="preserve">لايجوز جهله في العقائد و الاعمال، ج 6،</w:t>
      </w:r>
    </w:p>
    <w:p>
      <w:pPr>
        <w:pStyle w:val="BookText"/>
      </w:pPr>
      <w:r>
        <w:rPr>
          <w:rFonts w:ascii="IRNazanin" w:hAnsi="IRNazanin" w:eastAsia="IRNazanin" w:cs="IRNazanin"/>
          <w:lang w:bidi="fa-IR"/>
          <w:color w:val="111111"/>
          <w:sz w:val="28"/>
          <w:szCs w:val="28"/>
          <w:rtl/>
        </w:rPr>
        <w:t xml:space="preserve">ص 467 .</w:t>
      </w:r>
    </w:p>
    <w:p>
      <w:pPr>
        <w:pStyle w:val="BookText"/>
      </w:pPr>
      <w:r>
        <w:rPr>
          <w:rFonts w:ascii="Amiri" w:hAnsi="Amiri" w:eastAsia="Amiri" w:cs="Amiri"/>
          <w:lang w:bidi="ar-SA"/>
          <w:color w:val="111111"/>
          <w:sz w:val="28"/>
          <w:szCs w:val="28"/>
          <w:rtl/>
        </w:rPr>
        <w:t xml:space="preserve">خزاعي ، حسين بن علي -ابوالفتوح رازي ، حسين بن علي</w:t>
      </w:r>
    </w:p>
    <w:p>
      <w:pPr>
        <w:pStyle w:val="BookText"/>
      </w:pPr>
      <w:r>
        <w:rPr>
          <w:rFonts w:ascii="Amiri" w:hAnsi="Amiri" w:eastAsia="Amiri" w:cs="Amiri"/>
          <w:lang w:bidi="ar-SA"/>
          <w:color w:val="111111"/>
          <w:sz w:val="28"/>
          <w:szCs w:val="28"/>
          <w:rtl/>
        </w:rPr>
        <w:t xml:space="preserve">خزاعي، دعبل بن علي- دعبل خزاعي</w:t>
      </w:r>
    </w:p>
    <w:p>
      <w:pPr>
        <w:pStyle w:val="BookText"/>
      </w:pPr>
      <w:r>
        <w:rPr>
          <w:rFonts w:ascii="Amiri" w:hAnsi="Amiri" w:eastAsia="Amiri" w:cs="Amiri"/>
          <w:lang w:bidi="ar-SA"/>
          <w:color w:val="111111"/>
          <w:sz w:val="28"/>
          <w:szCs w:val="28"/>
          <w:rtl/>
        </w:rPr>
        <w:t xml:space="preserve">خزاعي ، عبد الرحمن بن احمد -مفيد</w:t>
      </w:r>
    </w:p>
    <w:p>
      <w:pPr>
        <w:pStyle w:val="BookText"/>
      </w:pPr>
      <w:r>
        <w:rPr>
          <w:rFonts w:ascii="Amiri" w:hAnsi="Amiri" w:eastAsia="Amiri" w:cs="Amiri"/>
          <w:lang w:bidi="ar-SA"/>
          <w:color w:val="111111"/>
          <w:sz w:val="28"/>
          <w:szCs w:val="28"/>
          <w:rtl/>
        </w:rPr>
        <w:t xml:space="preserve">نيشابوري ، محمّد بن احمد</w:t>
      </w:r>
    </w:p>
    <w:p>
      <w:pPr>
        <w:pStyle w:val="BookText"/>
      </w:pPr>
      <w:r>
        <w:rPr>
          <w:rFonts w:ascii="Amiri" w:hAnsi="Amiri" w:eastAsia="Amiri" w:cs="Amiri"/>
          <w:lang w:bidi="ar-SA"/>
          <w:color w:val="111111"/>
          <w:sz w:val="28"/>
          <w:szCs w:val="28"/>
          <w:rtl/>
        </w:rPr>
        <w:t xml:space="preserve">خزاعي ، كثير بن عبد الرحمن- عزه ، كثير بن عبدالرحمن</w:t>
      </w:r>
    </w:p>
    <w:p>
      <w:pPr>
        <w:pStyle w:val="BookText"/>
      </w:pPr>
      <w:r>
        <w:rPr>
          <w:rFonts w:ascii="IRNazanin" w:hAnsi="IRNazanin" w:eastAsia="IRNazanin" w:cs="IRNazanin"/>
          <w:lang w:bidi="fa-IR"/>
          <w:color w:val="111111"/>
          <w:sz w:val="28"/>
          <w:szCs w:val="28"/>
          <w:rtl/>
        </w:rPr>
        <w:t xml:space="preserve">خزاعي ، محمّد بن احمد- مفید</w:t>
      </w:r>
    </w:p>
    <w:p>
      <w:pPr>
        <w:pStyle w:val="BookText"/>
      </w:pPr>
      <w:r>
        <w:rPr>
          <w:rFonts w:ascii="Amiri" w:hAnsi="Amiri" w:eastAsia="Amiri" w:cs="Amiri"/>
          <w:lang w:bidi="ar-SA"/>
          <w:color w:val="111111"/>
          <w:sz w:val="28"/>
          <w:szCs w:val="28"/>
          <w:rtl/>
        </w:rPr>
        <w:t xml:space="preserve">نيشابوري ، محمّد بن احمد</w:t>
      </w:r>
    </w:p>
    <w:p>
      <w:pPr>
        <w:pStyle w:val="BookText"/>
      </w:pPr>
      <w:r>
        <w:rPr>
          <w:rFonts w:ascii="Amiri" w:hAnsi="Amiri" w:eastAsia="Amiri" w:cs="Amiri"/>
          <w:lang w:bidi="ar-SA"/>
          <w:color w:val="111111"/>
          <w:sz w:val="28"/>
          <w:szCs w:val="28"/>
          <w:rtl/>
        </w:rPr>
        <w:t xml:space="preserve">خزاعي ، محمّد بن عم-ر مزيجفي</w:t>
      </w:r>
    </w:p>
    <w:p>
      <w:pPr>
        <w:pStyle w:val="BookText"/>
      </w:pPr>
      <w:r>
        <w:rPr>
          <w:rFonts w:ascii="Amiri" w:hAnsi="Amiri" w:eastAsia="Amiri" w:cs="Amiri"/>
          <w:lang w:bidi="ar-SA"/>
          <w:color w:val="111111"/>
          <w:sz w:val="28"/>
          <w:szCs w:val="28"/>
          <w:rtl/>
        </w:rPr>
        <w:t xml:space="preserve">محمّد بن عمر</w:t>
      </w:r>
    </w:p>
    <w:p>
      <w:pPr>
        <w:pStyle w:val="BookText"/>
      </w:pPr>
      <w:r>
        <w:rPr>
          <w:rFonts w:ascii="Amiri" w:hAnsi="Amiri" w:eastAsia="Amiri" w:cs="Amiri"/>
          <w:lang w:bidi="ar-SA"/>
          <w:color w:val="111111"/>
          <w:sz w:val="28"/>
          <w:szCs w:val="28"/>
          <w:rtl/>
        </w:rPr>
        <w:t xml:space="preserve">خزاعي ، نعيم بن حماد- مروزي، نعيم</w:t>
      </w:r>
    </w:p>
    <w:p>
      <w:pPr>
        <w:pStyle w:val="BookText"/>
      </w:pPr>
      <w:r>
        <w:rPr>
          <w:rFonts w:ascii="IRNazanin" w:hAnsi="IRNazanin" w:eastAsia="IRNazanin" w:cs="IRNazanin"/>
          <w:lang w:bidi="fa-IR"/>
          <w:color w:val="111111"/>
          <w:sz w:val="28"/>
          <w:szCs w:val="28"/>
          <w:rtl/>
        </w:rPr>
        <w:t xml:space="preserve">بن حماد</w:t>
      </w:r>
    </w:p>
    <w:p>
      <w:pPr>
        <w:pStyle w:val="BookText"/>
      </w:pPr>
      <w:r>
        <w:rPr>
          <w:rFonts w:ascii="Amiri" w:hAnsi="Amiri" w:eastAsia="Amiri" w:cs="Amiri"/>
          <w:lang w:bidi="ar-SA"/>
          <w:color w:val="111111"/>
          <w:sz w:val="28"/>
          <w:szCs w:val="28"/>
          <w:rtl/>
        </w:rPr>
        <w:t xml:space="preserve">خزاعي نيشابوري ، حسين بن علي -ابوالفتوح رازي ، حسين بن علي</w:t>
      </w:r>
    </w:p>
    <w:p>
      <w:pPr>
        <w:pStyle w:val="BookText"/>
      </w:pPr>
      <w:r>
        <w:rPr>
          <w:rFonts w:ascii="Amiri" w:hAnsi="Amiri" w:eastAsia="Amiri" w:cs="Amiri"/>
          <w:lang w:bidi="ar-SA"/>
          <w:color w:val="111111"/>
          <w:sz w:val="28"/>
          <w:szCs w:val="28"/>
          <w:rtl/>
        </w:rPr>
        <w:t xml:space="preserve">خزاعي نيشابوري ، محمّد بن احمد- مفيد نيشابوري ، محمّد بن احمد</w:t>
      </w:r>
    </w:p>
    <w:p>
      <w:pPr>
        <w:pStyle w:val="BookText"/>
      </w:pPr>
      <w:r>
        <w:rPr>
          <w:rFonts w:ascii="Amiri" w:hAnsi="Amiri" w:eastAsia="Amiri" w:cs="Amiri"/>
          <w:lang w:bidi="ar-SA"/>
          <w:color w:val="111111"/>
          <w:sz w:val="28"/>
          <w:szCs w:val="28"/>
          <w:rtl/>
        </w:rPr>
        <w:t xml:space="preserve">خزاعي ولاء ، قاسم بن سلام- ابو عبيد</w:t>
      </w:r>
    </w:p>
    <w:p>
      <w:pPr>
        <w:pStyle w:val="BookText"/>
      </w:pPr>
      <w:r>
        <w:rPr>
          <w:rFonts w:ascii="Amiri" w:hAnsi="Amiri" w:eastAsia="Amiri" w:cs="Amiri"/>
          <w:lang w:bidi="ar-SA"/>
          <w:color w:val="111111"/>
          <w:sz w:val="28"/>
          <w:szCs w:val="28"/>
          <w:rtl/>
        </w:rPr>
        <w:t xml:space="preserve">هروي ، قاسم بن سلام</w:t>
      </w:r>
    </w:p>
    <w:p>
      <w:pPr>
        <w:pStyle w:val="BookText"/>
      </w:pPr>
      <w:r>
        <w:rPr>
          <w:rFonts w:ascii="IRNazanin" w:hAnsi="IRNazanin" w:eastAsia="IRNazanin" w:cs="IRNazanin"/>
          <w:lang w:bidi="fa-IR"/>
          <w:color w:val="111111"/>
          <w:sz w:val="28"/>
          <w:szCs w:val="28"/>
          <w:rtl/>
        </w:rPr>
        <w:t xml:space="preserve">خزامي موصلي ، مصطفى بن محمّد سعيد- افندي ، مصطفى بن محمّد سعید</w:t>
      </w:r>
    </w:p>
    <w:p>
      <w:pPr>
        <w:pStyle w:val="BookText"/>
      </w:pPr>
      <w:r>
        <w:rPr>
          <w:rFonts w:ascii="Amiri" w:hAnsi="Amiri" w:eastAsia="Amiri" w:cs="Amiri"/>
          <w:lang w:bidi="ar-SA"/>
          <w:color w:val="111111"/>
          <w:sz w:val="28"/>
          <w:szCs w:val="28"/>
          <w:rtl/>
        </w:rPr>
        <w:t xml:space="preserve">خزرباني ، احمد بن محمود- ملازاده</w:t>
      </w:r>
    </w:p>
    <w:p>
      <w:pPr>
        <w:pStyle w:val="BookText"/>
      </w:pPr>
      <w:r>
        <w:rPr>
          <w:rFonts w:ascii="Amiri" w:hAnsi="Amiri" w:eastAsia="Amiri" w:cs="Amiri"/>
          <w:lang w:bidi="ar-SA"/>
          <w:color w:val="111111"/>
          <w:sz w:val="28"/>
          <w:szCs w:val="28"/>
          <w:rtl/>
        </w:rPr>
        <w:t xml:space="preserve">هروي ، احمد بن محمود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2" w:name="pg7742_70299"/>
    <w:bookmarkEnd w:id="452"/>
    <w:p>
      <w:pPr>
        <w:pStyle w:val="BookText"/>
      </w:pPr>
      <w:r>
        <w:rPr>
          <w:rFonts w:ascii="Amiri" w:hAnsi="Amiri" w:eastAsia="Amiri" w:cs="Amiri"/>
          <w:lang w:bidi="ar-SA"/>
          <w:color w:val="111111"/>
          <w:sz w:val="28"/>
          <w:szCs w:val="28"/>
          <w:rtl/>
        </w:rPr>
        <w:t xml:space="preserve">خزرجي ، ابراهيم بن عبد الوهاب - زنجاني</w:t>
      </w:r>
    </w:p>
    <w:p>
      <w:pPr>
        <w:pStyle w:val="BookText"/>
      </w:pPr>
      <w:r>
        <w:rPr>
          <w:rFonts w:ascii="Amiri" w:hAnsi="Amiri" w:eastAsia="Amiri" w:cs="Amiri"/>
          <w:lang w:bidi="ar-SA"/>
          <w:color w:val="111111"/>
          <w:sz w:val="28"/>
          <w:szCs w:val="28"/>
          <w:rtl/>
        </w:rPr>
        <w:t xml:space="preserve">، عبد الوهاب بن ابراهيم</w:t>
      </w:r>
    </w:p>
    <w:p>
      <w:pPr>
        <w:pStyle w:val="BookText"/>
      </w:pPr>
      <w:r>
        <w:rPr>
          <w:rFonts w:ascii="Amiri" w:hAnsi="Amiri" w:eastAsia="Amiri" w:cs="Amiri"/>
          <w:lang w:bidi="ar-SA"/>
          <w:color w:val="111111"/>
          <w:sz w:val="28"/>
          <w:szCs w:val="28"/>
          <w:rtl/>
        </w:rPr>
        <w:t xml:space="preserve">خزرجي ، احمد بن قاسم -ابن ابي اصيبعه</w:t>
      </w:r>
    </w:p>
    <w:p>
      <w:pPr>
        <w:pStyle w:val="BookText"/>
      </w:pPr>
      <w:r>
        <w:rPr>
          <w:rFonts w:ascii="IRNazanin" w:hAnsi="IRNazanin" w:eastAsia="IRNazanin" w:cs="IRNazanin"/>
          <w:lang w:bidi="fa-IR"/>
          <w:color w:val="111111"/>
          <w:sz w:val="28"/>
          <w:szCs w:val="28"/>
          <w:rtl/>
        </w:rPr>
        <w:t xml:space="preserve">، احمد بن قاسم</w:t>
      </w:r>
    </w:p>
    <w:p>
      <w:pPr>
        <w:pStyle w:val="BookText"/>
      </w:pPr>
      <w:r>
        <w:rPr>
          <w:rFonts w:ascii="Amiri" w:hAnsi="Amiri" w:eastAsia="Amiri" w:cs="Amiri"/>
          <w:lang w:bidi="ar-SA"/>
          <w:color w:val="111111"/>
          <w:sz w:val="28"/>
          <w:szCs w:val="28"/>
          <w:rtl/>
        </w:rPr>
        <w:t xml:space="preserve">خزرجي ، احمد بن محمّد- حجازي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خزرجي ، احمد بن محمّد- غنيمي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خزرجي ، احمد بن محمّد -فنجي ، احمد بن محمّد</w:t>
      </w:r>
    </w:p>
    <w:p>
      <w:pPr>
        <w:pStyle w:val="BookText"/>
      </w:pPr>
      <w:r>
        <w:rPr>
          <w:rFonts w:ascii="Amiri" w:hAnsi="Amiri" w:eastAsia="Amiri" w:cs="Amiri"/>
          <w:lang w:bidi="ar-SA"/>
          <w:color w:val="111111"/>
          <w:sz w:val="28"/>
          <w:szCs w:val="28"/>
          <w:rtl/>
        </w:rPr>
        <w:t xml:space="preserve">خزرجي انصاري ، حسان بن ثابت- حسان بن ثابت</w:t>
      </w:r>
    </w:p>
    <w:p>
      <w:pPr>
        <w:pStyle w:val="BookText"/>
      </w:pPr>
      <w:r>
        <w:rPr>
          <w:rFonts w:ascii="IRNazanin" w:hAnsi="IRNazanin" w:eastAsia="IRNazanin" w:cs="IRNazanin"/>
          <w:lang w:bidi="fa-IR"/>
          <w:color w:val="111111"/>
          <w:sz w:val="28"/>
          <w:szCs w:val="28"/>
          <w:rtl/>
        </w:rPr>
        <w:t xml:space="preserve">خزرجي بلباني ، محمّد بن بدر- بلباني ، محمّد بن بدرالدین</w:t>
      </w:r>
    </w:p>
    <w:p>
      <w:pPr>
        <w:pStyle w:val="Heading2"/>
      </w:pPr>
      <w:bookmarkStart w:id="4104" w:name="_Toc3206"/>
      <w:r>
        <w:t>خزرجي ، جمال الدين بن حسن</w:t>
      </w:r>
      <w:bookmarkEnd w:id="4104"/>
    </w:p>
    <w:p>
      <w:pPr>
        <w:pStyle w:val="BookText"/>
      </w:pPr>
      <w:r>
        <w:rPr>
          <w:rFonts w:ascii="Amiri" w:hAnsi="Amiri" w:eastAsia="Amiri" w:cs="Amiri"/>
          <w:lang w:bidi="ar-SA"/>
          <w:color w:val="111111"/>
          <w:sz w:val="28"/>
          <w:szCs w:val="28"/>
          <w:rtl/>
        </w:rPr>
        <w:t xml:space="preserve">اخبار الزمان في تاريخ بني العباس</w:t>
      </w:r>
    </w:p>
    <w:p>
      <w:pPr>
        <w:pStyle w:val="BookText"/>
      </w:pPr>
      <w:r>
        <w:rPr>
          <w:rFonts w:ascii="IRNazanin" w:hAnsi="IRNazanin" w:eastAsia="IRNazanin" w:cs="IRNazanin"/>
          <w:lang w:bidi="fa-IR"/>
          <w:color w:val="111111"/>
          <w:sz w:val="28"/>
          <w:szCs w:val="28"/>
          <w:rtl/>
        </w:rPr>
        <w:t xml:space="preserve">ج 1، ص 528.</w:t>
      </w:r>
    </w:p>
    <w:p>
      <w:pPr>
        <w:pStyle w:val="BookText"/>
      </w:pPr>
      <w:r>
        <w:rPr>
          <w:rFonts w:ascii="Amiri" w:hAnsi="Amiri" w:eastAsia="Amiri" w:cs="Amiri"/>
          <w:lang w:bidi="ar-SA"/>
          <w:color w:val="111111"/>
          <w:sz w:val="28"/>
          <w:szCs w:val="28"/>
          <w:rtl/>
        </w:rPr>
        <w:t xml:space="preserve">خزرجي ، خلف بن عبد الملك - قرطبي ، خلف بن عبدالملك</w:t>
      </w:r>
    </w:p>
    <w:p>
      <w:pPr>
        <w:pStyle w:val="BookText"/>
      </w:pPr>
      <w:r>
        <w:rPr>
          <w:rFonts w:ascii="Amiri" w:hAnsi="Amiri" w:eastAsia="Amiri" w:cs="Amiri"/>
          <w:lang w:bidi="ar-SA"/>
          <w:color w:val="111111"/>
          <w:sz w:val="28"/>
          <w:szCs w:val="28"/>
          <w:rtl/>
        </w:rPr>
        <w:t xml:space="preserve">خزرجي سبتي ، احمد بن جعفر- ابن</w:t>
      </w:r>
    </w:p>
    <w:p>
      <w:pPr>
        <w:pStyle w:val="BookText"/>
      </w:pPr>
      <w:r>
        <w:rPr>
          <w:rFonts w:ascii="Amiri" w:hAnsi="Amiri" w:eastAsia="Amiri" w:cs="Amiri"/>
          <w:lang w:bidi="ar-SA"/>
          <w:color w:val="111111"/>
          <w:sz w:val="28"/>
          <w:szCs w:val="28"/>
          <w:rtl/>
        </w:rPr>
        <w:t xml:space="preserve">دبيني ، احمد بن جعفر</w:t>
      </w:r>
    </w:p>
    <w:p>
      <w:pPr>
        <w:pStyle w:val="BookText"/>
      </w:pPr>
      <w:r>
        <w:rPr>
          <w:rFonts w:ascii="Amiri" w:hAnsi="Amiri" w:eastAsia="Amiri" w:cs="Amiri"/>
          <w:lang w:bidi="ar-SA"/>
          <w:color w:val="111111"/>
          <w:sz w:val="28"/>
          <w:szCs w:val="28"/>
          <w:rtl/>
        </w:rPr>
        <w:t xml:space="preserve">خزرجي ، سعد بن علي- انصاري خزرجي ، سعد بن علي</w:t>
      </w:r>
    </w:p>
    <w:p>
      <w:pPr>
        <w:pStyle w:val="BookText"/>
      </w:pPr>
      <w:r>
        <w:rPr>
          <w:rFonts w:ascii="Amiri" w:hAnsi="Amiri" w:eastAsia="Amiri" w:cs="Amiri"/>
          <w:lang w:bidi="ar-SA"/>
          <w:color w:val="111111"/>
          <w:sz w:val="28"/>
          <w:szCs w:val="28"/>
          <w:rtl/>
        </w:rPr>
        <w:t xml:space="preserve">خزرجي، صالح بن صديق -تماري ، صالح</w:t>
      </w:r>
    </w:p>
    <w:p>
      <w:pPr>
        <w:pStyle w:val="BookText"/>
      </w:pPr>
      <w:r>
        <w:rPr>
          <w:rFonts w:ascii="Amiri" w:hAnsi="Amiri" w:eastAsia="Amiri" w:cs="Amiri"/>
          <w:lang w:bidi="ar-SA"/>
          <w:color w:val="111111"/>
          <w:sz w:val="28"/>
          <w:szCs w:val="28"/>
          <w:rtl/>
        </w:rPr>
        <w:t xml:space="preserve">بن صديق</w:t>
      </w:r>
    </w:p>
    <w:p>
      <w:pPr>
        <w:pStyle w:val="BookText"/>
      </w:pPr>
      <w:r>
        <w:rPr>
          <w:rFonts w:ascii="Amiri" w:hAnsi="Amiri" w:eastAsia="Amiri" w:cs="Amiri"/>
          <w:lang w:bidi="ar-SA"/>
          <w:color w:val="111111"/>
          <w:sz w:val="28"/>
          <w:szCs w:val="28"/>
          <w:rtl/>
        </w:rPr>
        <w:t xml:space="preserve">خزرجي ، عبدالله بن حديده -انصاري ، عبدالله بن حديده</w:t>
      </w:r>
    </w:p>
    <w:p>
      <w:pPr>
        <w:pStyle w:val="BookText"/>
      </w:pPr>
      <w:r>
        <w:rPr>
          <w:rFonts w:ascii="Amiri" w:hAnsi="Amiri" w:eastAsia="Amiri" w:cs="Amiri"/>
          <w:lang w:bidi="ar-SA"/>
          <w:color w:val="111111"/>
          <w:sz w:val="28"/>
          <w:szCs w:val="28"/>
          <w:rtl/>
        </w:rPr>
        <w:t xml:space="preserve">خزرجي ، عبدالله بن محمّد -زكي الدين</w:t>
      </w:r>
    </w:p>
    <w:p>
      <w:pPr>
        <w:pStyle w:val="BookText"/>
      </w:pPr>
      <w:r>
        <w:rPr>
          <w:rFonts w:ascii="Amiri" w:hAnsi="Amiri" w:eastAsia="Amiri" w:cs="Amiri"/>
          <w:lang w:bidi="ar-SA"/>
          <w:color w:val="111111"/>
          <w:sz w:val="28"/>
          <w:szCs w:val="28"/>
          <w:rtl/>
        </w:rPr>
        <w:t xml:space="preserve">خزرجي ، عبدالله بن محمّد</w:t>
      </w:r>
    </w:p>
    <w:p>
      <w:pPr>
        <w:pStyle w:val="Heading2"/>
      </w:pPr>
      <w:bookmarkStart w:id="4105" w:name="_Toc3207"/>
      <w:r>
        <w:t>خزرجي ، عبدالله بن محمّد - 626 ه-</w:t>
      </w:r>
      <w:bookmarkEnd w:id="4105"/>
    </w:p>
    <w:p>
      <w:pPr>
        <w:pStyle w:val="BookText"/>
      </w:pPr>
      <w:r>
        <w:rPr>
          <w:rFonts w:ascii="Amiri" w:hAnsi="Amiri" w:eastAsia="Amiri" w:cs="Amiri"/>
          <w:lang w:bidi="ar-SA"/>
          <w:color w:val="111111"/>
          <w:sz w:val="28"/>
          <w:szCs w:val="28"/>
          <w:rtl/>
        </w:rPr>
        <w:t xml:space="preserve">1 .حاجب العيون الفاخرة الاخرة في علم العروض والقافية، جه،</w:t>
      </w:r>
    </w:p>
    <w:p>
      <w:pPr>
        <w:pStyle w:val="BookText"/>
      </w:pPr>
      <w:r>
        <w:rPr>
          <w:rFonts w:ascii="IRNazanin" w:hAnsi="IRNazanin" w:eastAsia="IRNazanin" w:cs="IRNazanin"/>
          <w:lang w:bidi="fa-IR"/>
          <w:color w:val="111111"/>
          <w:sz w:val="28"/>
          <w:szCs w:val="28"/>
          <w:rtl/>
        </w:rPr>
        <w:t xml:space="preserve">ص 643 .</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Amiri" w:hAnsi="Amiri" w:eastAsia="Amiri" w:cs="Amiri"/>
          <w:lang w:bidi="ar-SA"/>
          <w:color w:val="111111"/>
          <w:sz w:val="28"/>
          <w:szCs w:val="28"/>
          <w:rtl/>
        </w:rPr>
        <w:t xml:space="preserve">2 .الرامزة = خزرجية = الرامزة الوافية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قصيده رامزه، ج8، ص8.</w:t>
      </w:r>
    </w:p>
    <w:p>
      <w:pPr>
        <w:pStyle w:val="BookText"/>
      </w:pPr>
      <w:r>
        <w:rPr>
          <w:rFonts w:ascii="IRNazanin" w:hAnsi="IRNazanin" w:eastAsia="IRNazanin" w:cs="IRNazanin"/>
          <w:lang w:bidi="fa-IR"/>
          <w:color w:val="111111"/>
          <w:sz w:val="28"/>
          <w:szCs w:val="28"/>
          <w:rtl/>
        </w:rPr>
        <w:t xml:space="preserve">خزرجي ، علي بن ابوبکر ابن جمال</w:t>
      </w:r>
    </w:p>
    <w:p>
      <w:pPr>
        <w:pStyle w:val="BookText"/>
      </w:pPr>
      <w:r>
        <w:rPr>
          <w:rFonts w:ascii="Amiri" w:hAnsi="Amiri" w:eastAsia="Amiri" w:cs="Amiri"/>
          <w:lang w:bidi="ar-SA"/>
          <w:color w:val="111111"/>
          <w:sz w:val="28"/>
          <w:szCs w:val="28"/>
          <w:rtl/>
        </w:rPr>
        <w:t xml:space="preserve">علي بن ابي بكر</w:t>
      </w:r>
    </w:p>
    <w:p>
      <w:pPr>
        <w:pStyle w:val="BookText"/>
      </w:pPr>
      <w:r>
        <w:rPr>
          <w:rFonts w:ascii="Amiri" w:hAnsi="Amiri" w:eastAsia="Amiri" w:cs="Amiri"/>
          <w:lang w:bidi="ar-SA"/>
          <w:color w:val="111111"/>
          <w:sz w:val="28"/>
          <w:szCs w:val="28"/>
          <w:rtl/>
        </w:rPr>
        <w:t xml:space="preserve">خزرجي ، علي بن حسن -ابن وهاس ،</w:t>
      </w:r>
    </w:p>
    <w:p>
      <w:pPr>
        <w:pStyle w:val="BookText"/>
      </w:pPr>
      <w:r>
        <w:rPr>
          <w:rFonts w:ascii="Amiri" w:hAnsi="Amiri" w:eastAsia="Amiri" w:cs="Amiri"/>
          <w:lang w:bidi="ar-SA"/>
          <w:color w:val="111111"/>
          <w:sz w:val="28"/>
          <w:szCs w:val="28"/>
          <w:rtl/>
        </w:rPr>
        <w:t xml:space="preserve">علي بن حسن</w:t>
      </w:r>
    </w:p>
    <w:p>
      <w:pPr>
        <w:pStyle w:val="BookText"/>
      </w:pPr>
      <w:r>
        <w:rPr>
          <w:rFonts w:ascii="Amiri" w:hAnsi="Amiri" w:eastAsia="Amiri" w:cs="Amiri"/>
          <w:lang w:bidi="ar-SA"/>
          <w:color w:val="111111"/>
          <w:sz w:val="28"/>
          <w:szCs w:val="28"/>
          <w:rtl/>
        </w:rPr>
        <w:t xml:space="preserve">خزرجي ، علي بن خليفه -ابن ابي اصيبعه ، علي بن خليفه</w:t>
      </w:r>
    </w:p>
    <w:p>
      <w:pPr>
        <w:pStyle w:val="BookText"/>
      </w:pPr>
      <w:r>
        <w:rPr>
          <w:rFonts w:ascii="Amiri" w:hAnsi="Amiri" w:eastAsia="Amiri" w:cs="Amiri"/>
          <w:lang w:bidi="ar-SA"/>
          <w:color w:val="111111"/>
          <w:sz w:val="28"/>
          <w:szCs w:val="28"/>
          <w:rtl/>
        </w:rPr>
        <w:t xml:space="preserve">خزرجي ، علي بن عبد الكافي- سبكي ، علي بن عبدالكافي</w:t>
      </w:r>
    </w:p>
    <w:p>
      <w:pPr>
        <w:pStyle w:val="BookText"/>
      </w:pPr>
      <w:r>
        <w:rPr>
          <w:rFonts w:ascii="Amiri" w:hAnsi="Amiri" w:eastAsia="Amiri" w:cs="Amiri"/>
          <w:lang w:bidi="ar-SA"/>
          <w:color w:val="111111"/>
          <w:sz w:val="28"/>
          <w:szCs w:val="28"/>
          <w:rtl/>
        </w:rPr>
        <w:t xml:space="preserve">خزرجي ، محمّد بن ابراهيم -ابن حنبلي</w:t>
      </w:r>
    </w:p>
    <w:p>
      <w:pPr>
        <w:pStyle w:val="BookText"/>
      </w:pPr>
      <w:r>
        <w:rPr>
          <w:rFonts w:ascii="Amiri" w:hAnsi="Amiri" w:eastAsia="Amiri" w:cs="Amiri"/>
          <w:lang w:bidi="ar-SA"/>
          <w:color w:val="111111"/>
          <w:sz w:val="28"/>
          <w:szCs w:val="28"/>
          <w:rtl/>
        </w:rPr>
        <w:t xml:space="preserve">محمّد بن ابراهيم</w:t>
      </w:r>
    </w:p>
    <w:p>
      <w:pPr>
        <w:pStyle w:val="BookText"/>
      </w:pPr>
      <w:r>
        <w:rPr>
          <w:rFonts w:ascii="Amiri" w:hAnsi="Amiri" w:eastAsia="Amiri" w:cs="Amiri"/>
          <w:lang w:bidi="ar-SA"/>
          <w:color w:val="111111"/>
          <w:sz w:val="28"/>
          <w:szCs w:val="28"/>
          <w:rtl/>
        </w:rPr>
        <w:t xml:space="preserve">خزرجي ، محمّد بن احمد- ابن خشاب يمني ، محمّد بن احمد</w:t>
      </w:r>
    </w:p>
    <w:p>
      <w:pPr>
        <w:pStyle w:val="BookText"/>
      </w:pPr>
      <w:r>
        <w:rPr>
          <w:rFonts w:ascii="Amiri" w:hAnsi="Amiri" w:eastAsia="Amiri" w:cs="Amiri"/>
          <w:lang w:bidi="ar-SA"/>
          <w:color w:val="111111"/>
          <w:sz w:val="28"/>
          <w:szCs w:val="28"/>
          <w:rtl/>
        </w:rPr>
        <w:t xml:space="preserve">خزرجي ، محمّد بن بدر- بلباني ، محمّد</w:t>
      </w:r>
    </w:p>
    <w:p>
      <w:pPr>
        <w:pStyle w:val="BookText"/>
      </w:pPr>
      <w:r>
        <w:rPr>
          <w:rFonts w:ascii="IRNazanin" w:hAnsi="IRNazanin" w:eastAsia="IRNazanin" w:cs="IRNazanin"/>
          <w:lang w:bidi="fa-IR"/>
          <w:color w:val="111111"/>
          <w:sz w:val="28"/>
          <w:szCs w:val="28"/>
          <w:rtl/>
        </w:rPr>
        <w:t xml:space="preserve">بن بدرالدین</w:t>
      </w:r>
    </w:p>
    <w:p>
      <w:pPr>
        <w:pStyle w:val="Heading2"/>
      </w:pPr>
      <w:bookmarkStart w:id="4106" w:name="_Toc3208"/>
      <w:r>
        <w:t>خزرجي ، محمّد بن نعمان</w:t>
      </w:r>
      <w:bookmarkEnd w:id="4106"/>
    </w:p>
    <w:p>
      <w:pPr>
        <w:pStyle w:val="BookText"/>
      </w:pPr>
      <w:r>
        <w:rPr>
          <w:rFonts w:ascii="Amiri" w:hAnsi="Amiri" w:eastAsia="Amiri" w:cs="Amiri"/>
          <w:lang w:bidi="ar-SA"/>
          <w:color w:val="111111"/>
          <w:sz w:val="28"/>
          <w:szCs w:val="28"/>
          <w:rtl/>
        </w:rPr>
        <w:t xml:space="preserve">تشقيق اللغة، ج4، ص390.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3" w:name="pg7742_70301"/>
    <w:bookmarkEnd w:id="453"/>
    <w:p>
      <w:pPr>
        <w:pStyle w:val="BookText"/>
      </w:pPr>
      <w:r>
        <w:rPr>
          <w:rFonts w:ascii="Amiri" w:hAnsi="Amiri" w:eastAsia="Amiri" w:cs="Amiri"/>
          <w:lang w:bidi="ar-SA"/>
          <w:color w:val="111111"/>
          <w:sz w:val="28"/>
          <w:szCs w:val="28"/>
          <w:rtl/>
        </w:rPr>
        <w:t xml:space="preserve">خزرجي ، هبة الله بن علي -بوصيري</w:t>
      </w:r>
    </w:p>
    <w:p>
      <w:pPr>
        <w:pStyle w:val="BookText"/>
      </w:pPr>
      <w:r>
        <w:rPr>
          <w:rFonts w:ascii="Amiri" w:hAnsi="Amiri" w:eastAsia="Amiri" w:cs="Amiri"/>
          <w:lang w:bidi="ar-SA"/>
          <w:color w:val="111111"/>
          <w:sz w:val="28"/>
          <w:szCs w:val="28"/>
          <w:rtl/>
        </w:rPr>
        <w:t xml:space="preserve">هبة الله بن علي</w:t>
      </w:r>
    </w:p>
    <w:p>
      <w:pPr>
        <w:pStyle w:val="BookText"/>
      </w:pPr>
      <w:r>
        <w:rPr>
          <w:rFonts w:ascii="Amiri" w:hAnsi="Amiri" w:eastAsia="Amiri" w:cs="Amiri"/>
          <w:lang w:bidi="ar-SA"/>
          <w:color w:val="111111"/>
          <w:sz w:val="28"/>
          <w:szCs w:val="28"/>
          <w:rtl/>
        </w:rPr>
        <w:t xml:space="preserve">خزرجي يمني ، محمّد بن احمد بن خشاب- ابن خشاب يمني ، محمّد بن احمد</w:t>
      </w:r>
    </w:p>
    <w:p>
      <w:pPr>
        <w:pStyle w:val="Heading2"/>
      </w:pPr>
      <w:bookmarkStart w:id="4107" w:name="_Toc3209"/>
      <w:r>
        <w:t>خزندار لطف الله بن عبدالله قرن 13ه-</w:t>
      </w:r>
      <w:bookmarkEnd w:id="4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خزانات الروايات، ج 7، ص17.</w:t>
      </w:r>
    </w:p>
    <w:p>
      <w:pPr>
        <w:pStyle w:val="BookText"/>
      </w:pPr>
      <w:r>
        <w:rPr>
          <w:rFonts w:ascii="Amiri" w:hAnsi="Amiri" w:eastAsia="Amiri" w:cs="Amiri"/>
          <w:lang w:bidi="ar-SA"/>
          <w:color w:val="111111"/>
          <w:sz w:val="28"/>
          <w:szCs w:val="28"/>
          <w:rtl/>
        </w:rPr>
        <w:t xml:space="preserve">2 .كشف الظنون عن اسامي الكتب و</w:t>
      </w:r>
    </w:p>
    <w:p>
      <w:pPr>
        <w:pStyle w:val="BookText"/>
      </w:pPr>
      <w:r>
        <w:rPr>
          <w:rFonts w:ascii="IRNazanin" w:hAnsi="IRNazanin" w:eastAsia="IRNazanin" w:cs="IRNazanin"/>
          <w:lang w:bidi="fa-IR"/>
          <w:color w:val="111111"/>
          <w:sz w:val="28"/>
          <w:szCs w:val="28"/>
          <w:rtl/>
        </w:rPr>
        <w:t xml:space="preserve">الفنون (مختصر)، ج13، ص 226.</w:t>
      </w:r>
    </w:p>
    <w:p>
      <w:pPr>
        <w:pStyle w:val="BookText"/>
      </w:pPr>
      <w:r>
        <w:rPr>
          <w:rFonts w:ascii="Amiri" w:hAnsi="Amiri" w:eastAsia="Amiri" w:cs="Amiri"/>
          <w:lang w:bidi="ar-SA"/>
          <w:color w:val="111111"/>
          <w:sz w:val="28"/>
          <w:szCs w:val="28"/>
          <w:rtl/>
        </w:rPr>
        <w:t xml:space="preserve">3 .المسائل الحكمية في البلاد الهندية</w:t>
      </w:r>
    </w:p>
    <w:p>
      <w:pPr>
        <w:pStyle w:val="BookText"/>
      </w:pPr>
      <w:r>
        <w:rPr>
          <w:rFonts w:ascii="IRNazanin" w:hAnsi="IRNazanin" w:eastAsia="IRNazanin" w:cs="IRNazanin"/>
          <w:lang w:bidi="fa-IR"/>
          <w:color w:val="111111"/>
          <w:sz w:val="28"/>
          <w:szCs w:val="28"/>
          <w:rtl/>
        </w:rPr>
        <w:t xml:space="preserve">ج 14، ص 444.</w:t>
      </w:r>
    </w:p>
    <w:p>
      <w:pPr>
        <w:pStyle w:val="Heading2"/>
      </w:pPr>
      <w:bookmarkStart w:id="4108" w:name="_Toc3210"/>
      <w:r>
        <w:t>خزنوي، محمّد بن عبدالرحمن</w:t>
      </w:r>
      <w:bookmarkEnd w:id="4108"/>
    </w:p>
    <w:p>
      <w:pPr>
        <w:pStyle w:val="BookText"/>
      </w:pPr>
      <w:r>
        <w:rPr>
          <w:rFonts w:ascii="Amiri" w:hAnsi="Amiri" w:eastAsia="Amiri" w:cs="Amiri"/>
          <w:lang w:bidi="ar-SA"/>
          <w:color w:val="111111"/>
          <w:sz w:val="28"/>
          <w:szCs w:val="28"/>
          <w:rtl/>
        </w:rPr>
        <w:t xml:space="preserve">مسند الامام ابي حنيفة، ج 14، ص 596.</w:t>
      </w:r>
    </w:p>
    <w:p>
      <w:pPr>
        <w:pStyle w:val="BookText"/>
      </w:pPr>
      <w:r>
        <w:rPr>
          <w:rFonts w:ascii="Amiri" w:hAnsi="Amiri" w:eastAsia="Amiri" w:cs="Amiri"/>
          <w:lang w:bidi="ar-SA"/>
          <w:color w:val="111111"/>
          <w:sz w:val="28"/>
          <w:szCs w:val="28"/>
          <w:rtl/>
        </w:rPr>
        <w:t xml:space="preserve">خزنيدار ، لطف الله بن عبدالله - خزندار ،</w:t>
      </w:r>
    </w:p>
    <w:p>
      <w:pPr>
        <w:pStyle w:val="BookText"/>
      </w:pPr>
      <w:r>
        <w:rPr>
          <w:rFonts w:ascii="IRNazanin" w:hAnsi="IRNazanin" w:eastAsia="IRNazanin" w:cs="IRNazanin"/>
          <w:lang w:bidi="fa-IR"/>
          <w:color w:val="111111"/>
          <w:sz w:val="28"/>
          <w:szCs w:val="28"/>
          <w:rtl/>
        </w:rPr>
        <w:t xml:space="preserve">لطف الله بن عبدالله</w:t>
      </w:r>
    </w:p>
    <w:p>
      <w:pPr>
        <w:pStyle w:val="BookText"/>
      </w:pPr>
      <w:r>
        <w:rPr>
          <w:rFonts w:ascii="Amiri" w:hAnsi="Amiri" w:eastAsia="Amiri" w:cs="Amiri"/>
          <w:lang w:bidi="ar-SA"/>
          <w:color w:val="111111"/>
          <w:sz w:val="28"/>
          <w:szCs w:val="28"/>
          <w:rtl/>
        </w:rPr>
        <w:t xml:space="preserve">خزياتي ، احمد بن محمود- ملازاده هروي</w:t>
      </w:r>
    </w:p>
    <w:p>
      <w:pPr>
        <w:pStyle w:val="BookText"/>
      </w:pPr>
      <w:r>
        <w:rPr>
          <w:rFonts w:ascii="IRNazanin" w:hAnsi="IRNazanin" w:eastAsia="IRNazanin" w:cs="IRNazanin"/>
          <w:lang w:bidi="fa-IR"/>
          <w:color w:val="111111"/>
          <w:sz w:val="28"/>
          <w:szCs w:val="28"/>
          <w:rtl/>
        </w:rPr>
        <w:t xml:space="preserve">، احمد بن محمود</w:t>
      </w:r>
    </w:p>
    <w:p>
      <w:pPr>
        <w:pStyle w:val="BookText"/>
      </w:pPr>
      <w:r>
        <w:rPr>
          <w:rFonts w:ascii="IRNazanin" w:hAnsi="IRNazanin" w:eastAsia="IRNazanin" w:cs="IRNazanin"/>
          <w:lang w:bidi="fa-IR"/>
          <w:color w:val="111111"/>
          <w:sz w:val="28"/>
          <w:szCs w:val="28"/>
          <w:rtl/>
        </w:rPr>
        <w:t xml:space="preserve">خسرو بن محمّد بن علي زنگي- زنگي ،</w:t>
      </w:r>
    </w:p>
    <w:p>
      <w:pPr>
        <w:pStyle w:val="BookText"/>
      </w:pPr>
      <w:r>
        <w:rPr>
          <w:rFonts w:ascii="IRNazanin" w:hAnsi="IRNazanin" w:eastAsia="IRNazanin" w:cs="IRNazanin"/>
          <w:lang w:bidi="fa-IR"/>
          <w:color w:val="111111"/>
          <w:sz w:val="28"/>
          <w:szCs w:val="28"/>
          <w:rtl/>
        </w:rPr>
        <w:t xml:space="preserve">خسرو بن محمّد</w:t>
      </w:r>
    </w:p>
    <w:p>
      <w:pPr>
        <w:pStyle w:val="BookText"/>
      </w:pPr>
      <w:r>
        <w:rPr>
          <w:rFonts w:ascii="Amiri" w:hAnsi="Amiri" w:eastAsia="Amiri" w:cs="Amiri"/>
          <w:lang w:bidi="ar-SA"/>
          <w:color w:val="111111"/>
          <w:sz w:val="28"/>
          <w:szCs w:val="28"/>
          <w:rtl/>
        </w:rPr>
        <w:t xml:space="preserve">خسرو بن محمّد كرماني -كرماني ، خسرو بن محمّد</w:t>
      </w:r>
    </w:p>
    <w:p>
      <w:pPr>
        <w:pStyle w:val="Heading2"/>
      </w:pPr>
      <w:bookmarkStart w:id="4109" w:name="_Toc3211"/>
      <w:r>
        <w:t>خسروشاهي ، حسين بن علي، قرن 13 ه-</w:t>
      </w:r>
      <w:bookmarkEnd w:id="4109"/>
    </w:p>
    <w:p>
      <w:pPr>
        <w:pStyle w:val="BookText"/>
      </w:pPr>
      <w:r>
        <w:rPr>
          <w:rFonts w:ascii="Amiri" w:hAnsi="Amiri" w:eastAsia="Amiri" w:cs="Amiri"/>
          <w:lang w:bidi="ar-SA"/>
          <w:color w:val="111111"/>
          <w:sz w:val="28"/>
          <w:szCs w:val="28"/>
          <w:rtl/>
        </w:rPr>
        <w:t xml:space="preserve">سير و سلوك = دليل المتحيرين، ج9،</w:t>
      </w:r>
    </w:p>
    <w:p>
      <w:pPr>
        <w:pStyle w:val="BookText"/>
      </w:pPr>
      <w:r>
        <w:rPr>
          <w:rFonts w:ascii="IRNazanin" w:hAnsi="IRNazanin" w:eastAsia="IRNazanin" w:cs="IRNazanin"/>
          <w:lang w:bidi="fa-IR"/>
          <w:color w:val="111111"/>
          <w:sz w:val="28"/>
          <w:szCs w:val="28"/>
          <w:rtl/>
        </w:rPr>
        <w:t xml:space="preserve">ص 33.</w:t>
      </w:r>
    </w:p>
    <w:p>
      <w:pPr>
        <w:pStyle w:val="BookText"/>
      </w:pPr>
      <w:r>
        <w:rPr>
          <w:rFonts w:ascii="Amiri" w:hAnsi="Amiri" w:eastAsia="Amiri" w:cs="Amiri"/>
          <w:lang w:bidi="ar-SA"/>
          <w:color w:val="111111"/>
          <w:sz w:val="28"/>
          <w:szCs w:val="28"/>
          <w:rtl/>
        </w:rPr>
        <w:t xml:space="preserve">خضر بن شلال عفكاوي نجفي - عفكاوي ،</w:t>
      </w:r>
    </w:p>
    <w:p>
      <w:pPr>
        <w:pStyle w:val="BookText"/>
      </w:pPr>
      <w:r>
        <w:rPr>
          <w:rFonts w:ascii="IRNazanin" w:hAnsi="IRNazanin" w:eastAsia="IRNazanin" w:cs="IRNazanin"/>
          <w:lang w:bidi="fa-IR"/>
          <w:color w:val="111111"/>
          <w:sz w:val="28"/>
          <w:szCs w:val="28"/>
          <w:rtl/>
        </w:rPr>
        <w:t xml:space="preserve">خسرو ، محمّد بن فرامرز -ملا خسرو</w:t>
      </w:r>
    </w:p>
    <w:p>
      <w:pPr>
        <w:pStyle w:val="BookText"/>
      </w:pPr>
      <w:r>
        <w:rPr>
          <w:rFonts w:ascii="IRNazanin" w:hAnsi="IRNazanin" w:eastAsia="IRNazanin" w:cs="IRNazanin"/>
          <w:lang w:bidi="fa-IR"/>
          <w:color w:val="111111"/>
          <w:sz w:val="28"/>
          <w:szCs w:val="28"/>
          <w:rtl/>
        </w:rPr>
        <w:t xml:space="preserve">محمّد بن فرامرز</w:t>
      </w:r>
    </w:p>
    <w:p>
      <w:pPr>
        <w:pStyle w:val="Heading2"/>
      </w:pPr>
      <w:bookmarkStart w:id="4110" w:name="_Toc3212"/>
      <w:r>
        <w:t>خسروي ، محمّد باقر میرزا قرن 14 ه-</w:t>
      </w:r>
      <w:bookmarkEnd w:id="4110"/>
    </w:p>
    <w:p>
      <w:pPr>
        <w:pStyle w:val="BookText"/>
      </w:pPr>
      <w:r>
        <w:rPr>
          <w:rFonts w:ascii="Amiri" w:hAnsi="Amiri" w:eastAsia="Amiri" w:cs="Amiri"/>
          <w:lang w:bidi="ar-SA"/>
          <w:color w:val="111111"/>
          <w:sz w:val="28"/>
          <w:szCs w:val="28"/>
          <w:rtl/>
        </w:rPr>
        <w:t xml:space="preserve">ضياء الابصار في معجزات المعصومين</w:t>
      </w:r>
    </w:p>
    <w:p>
      <w:pPr>
        <w:pStyle w:val="BookText"/>
      </w:pPr>
      <w:r>
        <w:rPr>
          <w:rFonts w:ascii="IRNazanin" w:hAnsi="IRNazanin" w:eastAsia="IRNazanin" w:cs="IRNazanin"/>
          <w:lang w:bidi="fa-IR"/>
          <w:color w:val="111111"/>
          <w:sz w:val="28"/>
          <w:szCs w:val="28"/>
          <w:rtl/>
        </w:rPr>
        <w:t xml:space="preserve">الاطهار، ج 10، ص 711.</w:t>
      </w:r>
    </w:p>
    <w:p>
      <w:pPr>
        <w:pStyle w:val="BookText"/>
      </w:pPr>
      <w:r>
        <w:rPr>
          <w:rFonts w:ascii="Amiri" w:hAnsi="Amiri" w:eastAsia="Amiri" w:cs="Amiri"/>
          <w:lang w:bidi="ar-SA"/>
          <w:color w:val="111111"/>
          <w:sz w:val="28"/>
          <w:szCs w:val="28"/>
          <w:rtl/>
        </w:rPr>
        <w:t xml:space="preserve">خشني ، احمد بن علي- ختني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خصاف ، احمد بن عمر- شيباني ، احمد</w:t>
      </w:r>
    </w:p>
    <w:p>
      <w:pPr>
        <w:pStyle w:val="BookText"/>
      </w:pPr>
      <w:r>
        <w:rPr>
          <w:rFonts w:ascii="IRNazanin" w:hAnsi="IRNazanin" w:eastAsia="IRNazanin" w:cs="IRNazanin"/>
          <w:lang w:bidi="fa-IR"/>
          <w:color w:val="111111"/>
          <w:sz w:val="28"/>
          <w:szCs w:val="28"/>
          <w:rtl/>
        </w:rPr>
        <w:t xml:space="preserve">بن عمر</w:t>
      </w:r>
    </w:p>
    <w:p>
      <w:pPr>
        <w:pStyle w:val="Heading2"/>
      </w:pPr>
      <w:bookmarkStart w:id="4111" w:name="_Toc3213"/>
      <w:r>
        <w:t>خصالي، عبدالرحمن بن ايوب - 1087 ه-</w:t>
      </w:r>
      <w:bookmarkEnd w:id="4111"/>
    </w:p>
    <w:p>
      <w:pPr>
        <w:pStyle w:val="BookText"/>
      </w:pPr>
      <w:r>
        <w:rPr>
          <w:rFonts w:ascii="Amiri" w:hAnsi="Amiri" w:eastAsia="Amiri" w:cs="Amiri"/>
          <w:lang w:bidi="ar-SA"/>
          <w:color w:val="111111"/>
          <w:sz w:val="28"/>
          <w:szCs w:val="28"/>
          <w:rtl/>
        </w:rPr>
        <w:t xml:space="preserve">ترجيح البينات، ج 4، ص 300.</w:t>
      </w:r>
    </w:p>
    <w:p>
      <w:pPr>
        <w:pStyle w:val="Heading2"/>
      </w:pPr>
      <w:bookmarkStart w:id="4112" w:name="_Toc3214"/>
      <w:r>
        <w:t>خصيبي ، حسين بن حمدان - 358 ه-</w:t>
      </w:r>
      <w:bookmarkEnd w:id="4112"/>
    </w:p>
    <w:p>
      <w:pPr>
        <w:pStyle w:val="BookText"/>
      </w:pPr>
      <w:r>
        <w:rPr>
          <w:rFonts w:ascii="Amiri" w:hAnsi="Amiri" w:eastAsia="Amiri" w:cs="Amiri"/>
          <w:lang w:bidi="ar-SA"/>
          <w:color w:val="111111"/>
          <w:sz w:val="28"/>
          <w:szCs w:val="28"/>
          <w:rtl/>
        </w:rPr>
        <w:t xml:space="preserve">الهداية - تاريخ الائمة = اصل حسين</w:t>
      </w:r>
    </w:p>
    <w:p>
      <w:pPr>
        <w:pStyle w:val="BookText"/>
      </w:pPr>
      <w:r>
        <w:rPr>
          <w:rFonts w:ascii="Amiri" w:hAnsi="Amiri" w:eastAsia="Amiri" w:cs="Amiri"/>
          <w:lang w:bidi="ar-SA"/>
          <w:color w:val="111111"/>
          <w:sz w:val="28"/>
          <w:szCs w:val="28"/>
          <w:rtl/>
        </w:rPr>
        <w:t xml:space="preserve">بن حمدان الجنبلاني، ج 16، ص 593.</w:t>
      </w:r>
    </w:p>
    <w:p>
      <w:pPr>
        <w:pStyle w:val="BookText"/>
      </w:pPr>
      <w:r>
        <w:rPr>
          <w:rFonts w:ascii="Amiri" w:hAnsi="Amiri" w:eastAsia="Amiri" w:cs="Amiri"/>
          <w:lang w:bidi="ar-SA"/>
          <w:color w:val="111111"/>
          <w:sz w:val="28"/>
          <w:szCs w:val="28"/>
          <w:rtl/>
        </w:rPr>
        <w:t xml:space="preserve">خضراوي ، محمّد بن احمد -فاسي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خضر بن جلال الدین- رومي ، خضر بن</w:t>
      </w:r>
    </w:p>
    <w:p>
      <w:pPr>
        <w:pStyle w:val="BookText"/>
      </w:pPr>
      <w:r>
        <w:rPr>
          <w:rFonts w:ascii="Amiri" w:hAnsi="Amiri" w:eastAsia="Amiri" w:cs="Amiri"/>
          <w:lang w:bidi="ar-SA"/>
          <w:color w:val="111111"/>
          <w:sz w:val="28"/>
          <w:szCs w:val="28"/>
          <w:rtl/>
        </w:rPr>
        <w:t xml:space="preserve">جلال الدين</w:t>
      </w:r>
    </w:p>
    <w:p>
      <w:pPr>
        <w:pStyle w:val="BookText"/>
      </w:pPr>
      <w:r>
        <w:rPr>
          <w:rFonts w:ascii="Amiri" w:hAnsi="Amiri" w:eastAsia="Amiri" w:cs="Amiri"/>
          <w:lang w:bidi="ar-SA"/>
          <w:color w:val="111111"/>
          <w:sz w:val="28"/>
          <w:szCs w:val="28"/>
          <w:rtl/>
        </w:rPr>
        <w:t xml:space="preserve">خضر بن جمعه جزيري - جزيري ، خضر</w:t>
      </w:r>
    </w:p>
    <w:p>
      <w:pPr>
        <w:pStyle w:val="BookText"/>
      </w:pPr>
      <w:r>
        <w:rPr>
          <w:rFonts w:ascii="Amiri" w:hAnsi="Amiri" w:eastAsia="Amiri" w:cs="Amiri"/>
          <w:lang w:bidi="ar-SA"/>
          <w:color w:val="111111"/>
          <w:sz w:val="28"/>
          <w:szCs w:val="28"/>
          <w:rtl/>
        </w:rPr>
        <w:t xml:space="preserve">بن جمعة</w:t>
      </w:r>
    </w:p>
    <w:p>
      <w:pPr>
        <w:pStyle w:val="Heading2"/>
      </w:pPr>
      <w:bookmarkStart w:id="4113" w:name="_Toc3215"/>
      <w:r>
        <w:t>خضر بن حسن</w:t>
      </w:r>
      <w:bookmarkEnd w:id="4113"/>
    </w:p>
    <w:p>
      <w:pPr>
        <w:pStyle w:val="BookText"/>
      </w:pPr>
      <w:r>
        <w:rPr>
          <w:rFonts w:ascii="Amiri" w:hAnsi="Amiri" w:eastAsia="Amiri" w:cs="Amiri"/>
          <w:lang w:bidi="ar-SA"/>
          <w:color w:val="111111"/>
          <w:sz w:val="28"/>
          <w:szCs w:val="28"/>
          <w:rtl/>
        </w:rPr>
        <w:t xml:space="preserve">حاشية الاظهار في النحو، ج5، ص 667.</w:t>
      </w:r>
    </w:p>
    <w:p>
      <w:pPr>
        <w:pStyle w:val="BookText"/>
      </w:pPr>
      <w:r>
        <w:rPr>
          <w:rFonts w:ascii="Amiri" w:hAnsi="Amiri" w:eastAsia="Amiri" w:cs="Amiri"/>
          <w:lang w:bidi="ar-SA"/>
          <w:color w:val="111111"/>
          <w:sz w:val="28"/>
          <w:szCs w:val="28"/>
          <w:rtl/>
        </w:rPr>
        <w:t xml:space="preserve">خضر بن شلال خضر بن عباس دجيلي-دجيلي ، خضر بن</w:t>
      </w:r>
    </w:p>
    <w:p>
      <w:pPr>
        <w:pStyle w:val="BookText"/>
      </w:pPr>
      <w:r>
        <w:rPr>
          <w:rFonts w:ascii="IRNazanin" w:hAnsi="IRNazanin" w:eastAsia="IRNazanin" w:cs="IRNazanin"/>
          <w:lang w:bidi="fa-IR"/>
          <w:color w:val="111111"/>
          <w:sz w:val="28"/>
          <w:szCs w:val="28"/>
          <w:rtl/>
        </w:rPr>
        <w:t xml:space="preserve">عباس</w:t>
      </w:r>
    </w:p>
    <w:p>
      <w:pPr>
        <w:pStyle w:val="BookText"/>
      </w:pPr>
      <w:r>
        <w:rPr>
          <w:rFonts w:ascii="Amiri" w:hAnsi="Amiri" w:eastAsia="Amiri" w:cs="Amiri"/>
          <w:lang w:bidi="ar-SA"/>
          <w:color w:val="111111"/>
          <w:sz w:val="28"/>
          <w:szCs w:val="28"/>
          <w:rtl/>
        </w:rPr>
        <w:t xml:space="preserve">خضر بن عطاء الله موصلي- موصلي ، خضر</w:t>
      </w:r>
    </w:p>
    <w:p>
      <w:pPr>
        <w:pStyle w:val="BookText"/>
      </w:pPr>
      <w:r>
        <w:rPr>
          <w:rFonts w:ascii="IRNazanin" w:hAnsi="IRNazanin" w:eastAsia="IRNazanin" w:cs="IRNazanin"/>
          <w:lang w:bidi="fa-IR"/>
          <w:color w:val="111111"/>
          <w:sz w:val="28"/>
          <w:szCs w:val="28"/>
          <w:rtl/>
        </w:rPr>
        <w:t xml:space="preserve">بن عطاء الله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4" w:name="pg7742_70303"/>
    <w:bookmarkEnd w:id="454"/>
    <w:p>
      <w:pPr>
        <w:pStyle w:val="BookText"/>
      </w:pPr>
      <w:r>
        <w:rPr>
          <w:rFonts w:ascii="Amiri" w:hAnsi="Amiri" w:eastAsia="Amiri" w:cs="Amiri"/>
          <w:lang w:bidi="ar-SA"/>
          <w:color w:val="111111"/>
          <w:sz w:val="28"/>
          <w:szCs w:val="28"/>
          <w:rtl/>
        </w:rPr>
        <w:t xml:space="preserve">خضر بن عمر العطوفي- عطوفي ، خضر بن عمر</w:t>
      </w:r>
    </w:p>
    <w:p>
      <w:pPr>
        <w:pStyle w:val="BookText"/>
      </w:pPr>
      <w:r>
        <w:rPr>
          <w:rFonts w:ascii="Amiri" w:hAnsi="Amiri" w:eastAsia="Amiri" w:cs="Amiri"/>
          <w:lang w:bidi="ar-SA"/>
          <w:color w:val="111111"/>
          <w:sz w:val="28"/>
          <w:szCs w:val="28"/>
          <w:rtl/>
        </w:rPr>
        <w:t xml:space="preserve">خضر بن محمّد رازي حبلرودي- رازي ،</w:t>
      </w:r>
    </w:p>
    <w:p>
      <w:pPr>
        <w:pStyle w:val="BookText"/>
      </w:pPr>
      <w:r>
        <w:rPr>
          <w:rFonts w:ascii="Amiri" w:hAnsi="Amiri" w:eastAsia="Amiri" w:cs="Amiri"/>
          <w:lang w:bidi="ar-SA"/>
          <w:color w:val="111111"/>
          <w:sz w:val="28"/>
          <w:szCs w:val="28"/>
          <w:rtl/>
        </w:rPr>
        <w:t xml:space="preserve">خضر بن محمّد</w:t>
      </w:r>
    </w:p>
    <w:p>
      <w:pPr>
        <w:pStyle w:val="BookText"/>
      </w:pPr>
      <w:r>
        <w:rPr>
          <w:rFonts w:ascii="Amiri" w:hAnsi="Amiri" w:eastAsia="Amiri" w:cs="Amiri"/>
          <w:lang w:bidi="ar-SA"/>
          <w:color w:val="111111"/>
          <w:sz w:val="28"/>
          <w:szCs w:val="28"/>
          <w:rtl/>
        </w:rPr>
        <w:t xml:space="preserve">خضر بن محمّد مفتي آماسي- مفتي</w:t>
      </w:r>
    </w:p>
    <w:p>
      <w:pPr>
        <w:pStyle w:val="BookText"/>
      </w:pPr>
      <w:r>
        <w:rPr>
          <w:rFonts w:ascii="Amiri" w:hAnsi="Amiri" w:eastAsia="Amiri" w:cs="Amiri"/>
          <w:lang w:bidi="ar-SA"/>
          <w:color w:val="111111"/>
          <w:sz w:val="28"/>
          <w:szCs w:val="28"/>
          <w:rtl/>
        </w:rPr>
        <w:t xml:space="preserve">آماسي ، خضر بن محمّد</w:t>
      </w:r>
    </w:p>
    <w:p>
      <w:pPr>
        <w:pStyle w:val="BookText"/>
      </w:pPr>
      <w:r>
        <w:rPr>
          <w:rFonts w:ascii="Amiri" w:hAnsi="Amiri" w:eastAsia="Amiri" w:cs="Amiri"/>
          <w:lang w:bidi="ar-SA"/>
          <w:color w:val="111111"/>
          <w:sz w:val="28"/>
          <w:szCs w:val="28"/>
          <w:rtl/>
        </w:rPr>
        <w:t xml:space="preserve">خضر بن يوسف بغدادي عاني- بغدادي ،</w:t>
      </w:r>
    </w:p>
    <w:p>
      <w:pPr>
        <w:pStyle w:val="BookText"/>
      </w:pPr>
      <w:r>
        <w:rPr>
          <w:rFonts w:ascii="Amiri" w:hAnsi="Amiri" w:eastAsia="Amiri" w:cs="Amiri"/>
          <w:lang w:bidi="ar-SA"/>
          <w:color w:val="111111"/>
          <w:sz w:val="28"/>
          <w:szCs w:val="28"/>
          <w:rtl/>
        </w:rPr>
        <w:t xml:space="preserve">خضر بن يوسف</w:t>
      </w:r>
    </w:p>
    <w:p>
      <w:pPr>
        <w:pStyle w:val="BookText"/>
      </w:pPr>
      <w:r>
        <w:rPr>
          <w:rFonts w:ascii="Amiri" w:hAnsi="Amiri" w:eastAsia="Amiri" w:cs="Amiri"/>
          <w:lang w:bidi="ar-SA"/>
          <w:color w:val="111111"/>
          <w:sz w:val="28"/>
          <w:szCs w:val="28"/>
          <w:rtl/>
        </w:rPr>
        <w:t xml:space="preserve">خضر بيك بن جلال الدين -رومي ، خضر</w:t>
      </w:r>
    </w:p>
    <w:p>
      <w:pPr>
        <w:pStyle w:val="BookText"/>
      </w:pPr>
      <w:r>
        <w:rPr>
          <w:rFonts w:ascii="IRNazanin" w:hAnsi="IRNazanin" w:eastAsia="IRNazanin" w:cs="IRNazanin"/>
          <w:lang w:bidi="fa-IR"/>
          <w:color w:val="111111"/>
          <w:sz w:val="28"/>
          <w:szCs w:val="28"/>
          <w:rtl/>
        </w:rPr>
        <w:t xml:space="preserve">بن جلال الدین</w:t>
      </w:r>
    </w:p>
    <w:p>
      <w:pPr>
        <w:pStyle w:val="BookText"/>
      </w:pPr>
      <w:r>
        <w:rPr>
          <w:rFonts w:ascii="Amiri" w:hAnsi="Amiri" w:eastAsia="Amiri" w:cs="Amiri"/>
          <w:lang w:bidi="ar-SA"/>
          <w:color w:val="111111"/>
          <w:sz w:val="28"/>
          <w:szCs w:val="28"/>
          <w:rtl/>
        </w:rPr>
        <w:t xml:space="preserve">خضر شاه بن عبداللطيف منتسوي - منتسوي ، خضر شاه بن عبداللطيف</w:t>
      </w:r>
    </w:p>
    <w:p>
      <w:pPr>
        <w:pStyle w:val="BookText"/>
      </w:pPr>
      <w:r>
        <w:rPr>
          <w:rFonts w:ascii="Amiri" w:hAnsi="Amiri" w:eastAsia="Amiri" w:cs="Amiri"/>
          <w:lang w:bidi="ar-SA"/>
          <w:color w:val="111111"/>
          <w:sz w:val="28"/>
          <w:szCs w:val="28"/>
          <w:rtl/>
        </w:rPr>
        <w:t xml:space="preserve">خضر منشي ، مظفر بن عثمان- برمكي</w:t>
      </w:r>
    </w:p>
    <w:p>
      <w:pPr>
        <w:pStyle w:val="BookText"/>
      </w:pPr>
      <w:r>
        <w:rPr>
          <w:rFonts w:ascii="Amiri" w:hAnsi="Amiri" w:eastAsia="Amiri" w:cs="Amiri"/>
          <w:lang w:bidi="ar-SA"/>
          <w:color w:val="111111"/>
          <w:sz w:val="28"/>
          <w:szCs w:val="28"/>
          <w:rtl/>
        </w:rPr>
        <w:t xml:space="preserve">شيرواني، مظفر بن عثمان</w:t>
      </w:r>
    </w:p>
    <w:p>
      <w:pPr>
        <w:pStyle w:val="BookText"/>
      </w:pPr>
      <w:r>
        <w:rPr>
          <w:rFonts w:ascii="Amiri" w:hAnsi="Amiri" w:eastAsia="Amiri" w:cs="Amiri"/>
          <w:lang w:bidi="ar-SA"/>
          <w:color w:val="111111"/>
          <w:sz w:val="28"/>
          <w:szCs w:val="28"/>
          <w:rtl/>
        </w:rPr>
        <w:t xml:space="preserve">خضر موصلي مكي- موصلي ، خضر بن</w:t>
      </w:r>
    </w:p>
    <w:p>
      <w:pPr>
        <w:pStyle w:val="BookText"/>
      </w:pPr>
      <w:r>
        <w:rPr>
          <w:rFonts w:ascii="IRNazanin" w:hAnsi="IRNazanin" w:eastAsia="IRNazanin" w:cs="IRNazanin"/>
          <w:lang w:bidi="fa-IR"/>
          <w:color w:val="111111"/>
          <w:sz w:val="28"/>
          <w:szCs w:val="28"/>
          <w:rtl/>
        </w:rPr>
        <w:t xml:space="preserve">عطاء الله</w:t>
      </w:r>
    </w:p>
    <w:p>
      <w:pPr>
        <w:pStyle w:val="BookText"/>
      </w:pPr>
      <w:r>
        <w:rPr>
          <w:rFonts w:ascii="Amiri" w:hAnsi="Amiri" w:eastAsia="Amiri" w:cs="Amiri"/>
          <w:lang w:bidi="ar-SA"/>
          <w:color w:val="111111"/>
          <w:sz w:val="28"/>
          <w:szCs w:val="28"/>
          <w:rtl/>
        </w:rPr>
        <w:t xml:space="preserve">خضرمي ، عبدالملك بن عبدالله- ابن</w:t>
      </w:r>
    </w:p>
    <w:p>
      <w:pPr>
        <w:pStyle w:val="BookText"/>
      </w:pPr>
      <w:r>
        <w:rPr>
          <w:rFonts w:ascii="Amiri" w:hAnsi="Amiri" w:eastAsia="Amiri" w:cs="Amiri"/>
          <w:lang w:bidi="ar-SA"/>
          <w:color w:val="111111"/>
          <w:sz w:val="28"/>
          <w:szCs w:val="28"/>
          <w:rtl/>
        </w:rPr>
        <w:t xml:space="preserve">بدرون ، عبدالملك بن عبدالله</w:t>
      </w:r>
    </w:p>
    <w:p>
      <w:pPr>
        <w:pStyle w:val="BookText"/>
      </w:pPr>
      <w:r>
        <w:rPr>
          <w:rFonts w:ascii="Amiri" w:hAnsi="Amiri" w:eastAsia="Amiri" w:cs="Amiri"/>
          <w:lang w:bidi="ar-SA"/>
          <w:color w:val="111111"/>
          <w:sz w:val="28"/>
          <w:szCs w:val="28"/>
          <w:rtl/>
        </w:rPr>
        <w:t xml:space="preserve">خضري ، عبد الله بن مصطفى -فيضي</w:t>
      </w:r>
    </w:p>
    <w:p>
      <w:pPr>
        <w:pStyle w:val="BookText"/>
      </w:pPr>
      <w:r>
        <w:rPr>
          <w:rFonts w:ascii="Amiri" w:hAnsi="Amiri" w:eastAsia="Amiri" w:cs="Amiri"/>
          <w:lang w:bidi="ar-SA"/>
          <w:color w:val="111111"/>
          <w:sz w:val="28"/>
          <w:szCs w:val="28"/>
          <w:rtl/>
        </w:rPr>
        <w:t xml:space="preserve">موصلي ، عبدالله بن مصطفى</w:t>
      </w:r>
    </w:p>
    <w:p>
      <w:pPr>
        <w:pStyle w:val="Heading2"/>
      </w:pPr>
      <w:bookmarkStart w:id="4114" w:name="_Toc3216"/>
      <w:r>
        <w:t>خضري، محمّد بن احمد - 928 ه-</w:t>
      </w:r>
      <w:bookmarkEnd w:id="4114"/>
    </w:p>
    <w:p>
      <w:pPr>
        <w:pStyle w:val="BookText"/>
      </w:pPr>
      <w:r>
        <w:rPr>
          <w:rFonts w:ascii="Amiri" w:hAnsi="Amiri" w:eastAsia="Amiri" w:cs="Amiri"/>
          <w:lang w:bidi="ar-SA"/>
          <w:color w:val="111111"/>
          <w:sz w:val="28"/>
          <w:szCs w:val="28"/>
          <w:rtl/>
        </w:rPr>
        <w:t xml:space="preserve">1 .تعليقات على الطبقات التجريد</w:t>
      </w:r>
    </w:p>
    <w:p>
      <w:pPr>
        <w:pStyle w:val="BookText"/>
      </w:pPr>
      <w:r>
        <w:rPr>
          <w:rFonts w:ascii="IRNazanin" w:hAnsi="IRNazanin" w:eastAsia="IRNazanin" w:cs="IRNazanin"/>
          <w:lang w:bidi="fa-IR"/>
          <w:color w:val="111111"/>
          <w:sz w:val="28"/>
          <w:szCs w:val="28"/>
          <w:rtl/>
        </w:rPr>
        <w:t xml:space="preserve">ج 4، ص 501.</w:t>
      </w:r>
    </w:p>
    <w:p>
      <w:pPr>
        <w:pStyle w:val="BookText"/>
      </w:pPr>
      <w:r>
        <w:rPr>
          <w:rFonts w:ascii="Amiri" w:hAnsi="Amiri" w:eastAsia="Amiri" w:cs="Amiri"/>
          <w:lang w:bidi="ar-SA"/>
          <w:color w:val="111111"/>
          <w:sz w:val="28"/>
          <w:szCs w:val="28"/>
          <w:rtl/>
        </w:rPr>
        <w:t xml:space="preserve">2 .حاشية الخضري، ج 5، ص 860.</w:t>
      </w:r>
    </w:p>
    <w:p>
      <w:pPr>
        <w:pStyle w:val="Heading2"/>
      </w:pPr>
      <w:bookmarkStart w:id="4115" w:name="_Toc3217"/>
      <w:r>
        <w:t>خضري، محمّد بن محمّد - 928؟ ه-</w:t>
      </w:r>
      <w:bookmarkEnd w:id="4115"/>
    </w:p>
    <w:p>
      <w:pPr>
        <w:pStyle w:val="BookText"/>
      </w:pPr>
      <w:r>
        <w:rPr>
          <w:rFonts w:ascii="Amiri" w:hAnsi="Amiri" w:eastAsia="Amiri" w:cs="Amiri"/>
          <w:lang w:bidi="ar-SA"/>
          <w:color w:val="111111"/>
          <w:sz w:val="28"/>
          <w:szCs w:val="28"/>
          <w:rtl/>
        </w:rPr>
        <w:t xml:space="preserve">1 .بيان حل المعضلة المشهورة التي أعيت علماء الامصار (رسالة في)، ج 3، ص 470.</w:t>
      </w:r>
    </w:p>
    <w:p>
      <w:pPr>
        <w:pStyle w:val="BookText"/>
      </w:pPr>
      <w:r>
        <w:rPr>
          <w:rFonts w:ascii="Amiri" w:hAnsi="Amiri" w:eastAsia="Amiri" w:cs="Amiri"/>
          <w:lang w:bidi="ar-SA"/>
          <w:color w:val="111111"/>
          <w:sz w:val="28"/>
          <w:szCs w:val="28"/>
          <w:rtl/>
        </w:rPr>
        <w:t xml:space="preserve">2 .حاشية على هيئة التحرير، ج 6،</w:t>
      </w:r>
    </w:p>
    <w:p>
      <w:pPr>
        <w:pStyle w:val="BookText"/>
      </w:pPr>
      <w:r>
        <w:rPr>
          <w:rFonts w:ascii="IRNazanin" w:hAnsi="IRNazanin" w:eastAsia="IRNazanin" w:cs="IRNazanin"/>
          <w:lang w:bidi="fa-IR"/>
          <w:color w:val="111111"/>
          <w:sz w:val="28"/>
          <w:szCs w:val="28"/>
          <w:rtl/>
        </w:rPr>
        <w:t xml:space="preserve">ص 257 .</w:t>
      </w:r>
    </w:p>
    <w:p>
      <w:pPr>
        <w:pStyle w:val="BookText"/>
      </w:pPr>
      <w:r>
        <w:rPr>
          <w:rFonts w:ascii="Amiri" w:hAnsi="Amiri" w:eastAsia="Amiri" w:cs="Amiri"/>
          <w:lang w:bidi="ar-SA"/>
          <w:color w:val="111111"/>
          <w:sz w:val="28"/>
          <w:szCs w:val="28"/>
          <w:rtl/>
        </w:rPr>
        <w:t xml:space="preserve">3 .عصمة الانبياء (رسالة في)، ج11،</w:t>
      </w:r>
    </w:p>
    <w:p>
      <w:pPr>
        <w:pStyle w:val="BookText"/>
      </w:pPr>
      <w:r>
        <w:rPr>
          <w:rFonts w:ascii="IRNazanin" w:hAnsi="IRNazanin" w:eastAsia="IRNazanin" w:cs="IRNazanin"/>
          <w:lang w:bidi="fa-IR"/>
          <w:color w:val="111111"/>
          <w:sz w:val="28"/>
          <w:szCs w:val="28"/>
          <w:rtl/>
        </w:rPr>
        <w:t xml:space="preserve">ص 124 .</w:t>
      </w:r>
    </w:p>
    <w:p>
      <w:pPr>
        <w:pStyle w:val="Heading2"/>
      </w:pPr>
      <w:bookmarkStart w:id="4116" w:name="_Toc3218"/>
      <w:r>
        <w:t>خضري، محمود بن عبدالجليل</w:t>
      </w:r>
      <w:bookmarkEnd w:id="4116"/>
    </w:p>
    <w:p>
      <w:pPr>
        <w:pStyle w:val="BookText"/>
      </w:pPr>
      <w:r>
        <w:rPr>
          <w:rFonts w:ascii="IRNazanin" w:hAnsi="IRNazanin" w:eastAsia="IRNazanin" w:cs="IRNazanin"/>
          <w:lang w:bidi="fa-IR"/>
          <w:color w:val="111111"/>
          <w:sz w:val="28"/>
          <w:szCs w:val="28"/>
          <w:rtl/>
        </w:rPr>
        <w:t xml:space="preserve">اجازة لحسن بن اسماعیل، ج1،</w:t>
      </w:r>
    </w:p>
    <w:p>
      <w:pPr>
        <w:pStyle w:val="BookText"/>
      </w:pPr>
      <w:r>
        <w:rPr>
          <w:rFonts w:ascii="IRNazanin" w:hAnsi="IRNazanin" w:eastAsia="IRNazanin" w:cs="IRNazanin"/>
          <w:lang w:bidi="fa-IR"/>
          <w:color w:val="111111"/>
          <w:sz w:val="28"/>
          <w:szCs w:val="28"/>
          <w:rtl/>
        </w:rPr>
        <w:t xml:space="preserve">ص 239.</w:t>
      </w:r>
    </w:p>
    <w:p>
      <w:pPr>
        <w:pStyle w:val="Heading2"/>
      </w:pPr>
      <w:bookmarkStart w:id="4117" w:name="_Toc3219"/>
      <w:r>
        <w:t>خضري ، يوسف بن عبد الجليل - 1241ه-</w:t>
      </w:r>
      <w:bookmarkEnd w:id="4117"/>
    </w:p>
    <w:p>
      <w:pPr>
        <w:pStyle w:val="BookText"/>
      </w:pPr>
      <w:r>
        <w:rPr>
          <w:rFonts w:ascii="IRNazanin" w:hAnsi="IRNazanin" w:eastAsia="IRNazanin" w:cs="IRNazanin"/>
          <w:lang w:bidi="fa-IR"/>
          <w:color w:val="111111"/>
          <w:sz w:val="28"/>
          <w:szCs w:val="28"/>
          <w:rtl/>
        </w:rPr>
        <w:t xml:space="preserve">1 .الاجازات، ج 1، ص200.</w:t>
      </w:r>
    </w:p>
    <w:p>
      <w:pPr>
        <w:pStyle w:val="BookText"/>
      </w:pPr>
      <w:r>
        <w:rPr>
          <w:rFonts w:ascii="Amiri" w:hAnsi="Amiri" w:eastAsia="Amiri" w:cs="Amiri"/>
          <w:lang w:bidi="ar-SA"/>
          <w:color w:val="111111"/>
          <w:sz w:val="28"/>
          <w:szCs w:val="28"/>
          <w:rtl/>
        </w:rPr>
        <w:t xml:space="preserve">2 .الاستشفاء بأحاديث المصطفى، ج 2،</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الالهام من الله العلام في مديح سيد</w:t>
      </w:r>
    </w:p>
    <w:p>
      <w:pPr>
        <w:pStyle w:val="BookText"/>
      </w:pPr>
      <w:r>
        <w:rPr>
          <w:rFonts w:ascii="IRNazanin" w:hAnsi="IRNazanin" w:eastAsia="IRNazanin" w:cs="IRNazanin"/>
          <w:lang w:bidi="fa-IR"/>
          <w:color w:val="111111"/>
          <w:sz w:val="28"/>
          <w:szCs w:val="28"/>
          <w:rtl/>
        </w:rPr>
        <w:t xml:space="preserve">الأنام، ج2، ص 699.</w:t>
      </w:r>
    </w:p>
    <w:p>
      <w:pPr>
        <w:pStyle w:val="BookText"/>
      </w:pPr>
      <w:r>
        <w:rPr>
          <w:rFonts w:ascii="Amiri" w:hAnsi="Amiri" w:eastAsia="Amiri" w:cs="Amiri"/>
          <w:lang w:bidi="ar-SA"/>
          <w:color w:val="111111"/>
          <w:sz w:val="28"/>
          <w:szCs w:val="28"/>
          <w:rtl/>
        </w:rPr>
        <w:t xml:space="preserve">4 .الانتصار للاولياء الاخيار، ج2،</w:t>
      </w:r>
    </w:p>
    <w:p>
      <w:pPr>
        <w:pStyle w:val="BookText"/>
      </w:pPr>
      <w:r>
        <w:rPr>
          <w:rFonts w:ascii="IRNazanin" w:hAnsi="IRNazanin" w:eastAsia="IRNazanin" w:cs="IRNazanin"/>
          <w:lang w:bidi="fa-IR"/>
          <w:color w:val="111111"/>
          <w:sz w:val="28"/>
          <w:szCs w:val="28"/>
          <w:rtl/>
        </w:rPr>
        <w:t xml:space="preserve">ص 789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تحفة الواعظين و تذكرة السامعين</w:t>
      </w:r>
    </w:p>
    <w:p>
      <w:pPr>
        <w:pStyle w:val="BookText"/>
      </w:pPr>
      <w:r>
        <w:rPr>
          <w:rFonts w:ascii="IRNazanin" w:hAnsi="IRNazanin" w:eastAsia="IRNazanin" w:cs="IRNazanin"/>
          <w:lang w:bidi="fa-IR"/>
          <w:color w:val="111111"/>
          <w:sz w:val="28"/>
          <w:szCs w:val="28"/>
          <w:rtl/>
        </w:rPr>
        <w:t xml:space="preserve">ج 4، ص38.</w:t>
      </w:r>
    </w:p>
    <w:p>
      <w:pPr>
        <w:pStyle w:val="BookText"/>
      </w:pPr>
      <w:r>
        <w:rPr>
          <w:rFonts w:ascii="IRNazanin" w:hAnsi="IRNazanin" w:eastAsia="IRNazanin" w:cs="IRNazanin"/>
          <w:lang w:bidi="fa-IR"/>
          <w:color w:val="111111"/>
          <w:sz w:val="28"/>
          <w:szCs w:val="28"/>
          <w:rtl/>
        </w:rPr>
        <w:t xml:space="preserve">6 .الزهر الفائح لمن اقلع عن الذنوب</w:t>
      </w:r>
    </w:p>
    <w:p>
      <w:pPr>
        <w:pStyle w:val="BookText"/>
      </w:pPr>
      <w:r>
        <w:rPr>
          <w:rFonts w:ascii="IRNazanin" w:hAnsi="IRNazanin" w:eastAsia="IRNazanin" w:cs="IRNazanin"/>
          <w:lang w:bidi="fa-IR"/>
          <w:color w:val="111111"/>
          <w:sz w:val="28"/>
          <w:szCs w:val="28"/>
          <w:rtl/>
        </w:rPr>
        <w:t xml:space="preserve">و القبائح، ج8، ص 630.</w:t>
      </w:r>
    </w:p>
    <w:p>
      <w:pPr>
        <w:pStyle w:val="BookText"/>
      </w:pPr>
      <w:r>
        <w:rPr>
          <w:rFonts w:ascii="Amiri" w:hAnsi="Amiri" w:eastAsia="Amiri" w:cs="Amiri"/>
          <w:lang w:bidi="ar-SA"/>
          <w:color w:val="111111"/>
          <w:sz w:val="28"/>
          <w:szCs w:val="28"/>
          <w:rtl/>
        </w:rPr>
        <w:t xml:space="preserve">7 .شرح اربعون حديثا، ج9، ص 168.</w:t>
      </w:r>
    </w:p>
    <w:p>
      <w:pPr>
        <w:pStyle w:val="BookText"/>
      </w:pPr>
      <w:r>
        <w:rPr>
          <w:rFonts w:ascii="Amiri" w:hAnsi="Amiri" w:eastAsia="Amiri" w:cs="Amiri"/>
          <w:lang w:bidi="ar-SA"/>
          <w:color w:val="111111"/>
          <w:sz w:val="28"/>
          <w:szCs w:val="28"/>
          <w:rtl/>
        </w:rPr>
        <w:t xml:space="preserve">8 .فتح الفاتح في شرح مفتاح النجاح</w:t>
      </w:r>
    </w:p>
    <w:p>
      <w:pPr>
        <w:pStyle w:val="BookText"/>
      </w:pPr>
      <w:r>
        <w:rPr>
          <w:rFonts w:ascii="IRNazanin" w:hAnsi="IRNazanin" w:eastAsia="IRNazanin" w:cs="IRNazanin"/>
          <w:lang w:bidi="fa-IR"/>
          <w:color w:val="111111"/>
          <w:sz w:val="28"/>
          <w:szCs w:val="28"/>
          <w:rtl/>
        </w:rPr>
        <w:t xml:space="preserve">ج 11، ص 662 .</w:t>
      </w:r>
    </w:p>
    <w:p>
      <w:pPr>
        <w:pStyle w:val="BookText"/>
      </w:pPr>
      <w:r>
        <w:rPr>
          <w:rFonts w:ascii="Amiri" w:hAnsi="Amiri" w:eastAsia="Amiri" w:cs="Amiri"/>
          <w:lang w:bidi="ar-SA"/>
          <w:color w:val="111111"/>
          <w:sz w:val="28"/>
          <w:szCs w:val="28"/>
          <w:rtl/>
        </w:rPr>
        <w:t xml:space="preserve">9 .مفتاح الفلاح في شرح ورد الصباح</w:t>
      </w:r>
    </w:p>
    <w:p>
      <w:pPr>
        <w:pStyle w:val="BookText"/>
      </w:pPr>
      <w:r>
        <w:rPr>
          <w:rFonts w:ascii="IRNazanin" w:hAnsi="IRNazanin" w:eastAsia="IRNazanin" w:cs="IRNazanin"/>
          <w:lang w:bidi="fa-IR"/>
          <w:color w:val="111111"/>
          <w:sz w:val="28"/>
          <w:szCs w:val="28"/>
          <w:rtl/>
        </w:rPr>
        <w:t xml:space="preserve">ج 15، ص 218.</w:t>
      </w:r>
    </w:p>
    <w:p>
      <w:pPr>
        <w:pStyle w:val="Heading2"/>
      </w:pPr>
      <w:bookmarkStart w:id="4118" w:name="_Toc3220"/>
      <w:r>
        <w:t>خضيري ، معروف</w:t>
      </w:r>
      <w:bookmarkEnd w:id="4118"/>
    </w:p>
    <w:p>
      <w:pPr>
        <w:pStyle w:val="BookText"/>
      </w:pPr>
      <w:r>
        <w:rPr>
          <w:rFonts w:ascii="Amiri" w:hAnsi="Amiri" w:eastAsia="Amiri" w:cs="Amiri"/>
          <w:lang w:bidi="ar-SA"/>
          <w:color w:val="111111"/>
          <w:sz w:val="28"/>
          <w:szCs w:val="28"/>
          <w:rtl/>
        </w:rPr>
        <w:t xml:space="preserve">التنجيم ( رسالة في)، ج 5، ص 45.</w:t>
      </w:r>
    </w:p>
    <w:p>
      <w:pPr>
        <w:pStyle w:val="Heading2"/>
      </w:pPr>
      <w:bookmarkStart w:id="4119" w:name="_Toc3221"/>
      <w:r>
        <w:t>خطائي ، احمد بن عثمان قرن 10 ه-</w:t>
      </w:r>
      <w:bookmarkEnd w:id="4119"/>
    </w:p>
    <w:p>
      <w:pPr>
        <w:pStyle w:val="BookText"/>
      </w:pPr>
      <w:r>
        <w:rPr>
          <w:rFonts w:ascii="Amiri" w:hAnsi="Amiri" w:eastAsia="Amiri" w:cs="Amiri"/>
          <w:lang w:bidi="ar-SA"/>
          <w:color w:val="111111"/>
          <w:sz w:val="28"/>
          <w:szCs w:val="28"/>
          <w:rtl/>
        </w:rPr>
        <w:t xml:space="preserve">1 .حاشية الخطائي على شرح قطر</w:t>
      </w:r>
    </w:p>
    <w:p>
      <w:pPr>
        <w:pStyle w:val="BookText"/>
      </w:pPr>
      <w:r>
        <w:rPr>
          <w:rFonts w:ascii="IRNazanin" w:hAnsi="IRNazanin" w:eastAsia="IRNazanin" w:cs="IRNazanin"/>
          <w:lang w:bidi="fa-IR"/>
          <w:color w:val="111111"/>
          <w:sz w:val="28"/>
          <w:szCs w:val="28"/>
          <w:rtl/>
        </w:rPr>
        <w:t xml:space="preserve">الندى، ج 5، ص 862.</w:t>
      </w:r>
    </w:p>
    <w:p>
      <w:pPr>
        <w:pStyle w:val="BookText"/>
      </w:pPr>
      <w:r>
        <w:rPr>
          <w:rFonts w:ascii="Amiri" w:hAnsi="Amiri" w:eastAsia="Amiri" w:cs="Amiri"/>
          <w:lang w:bidi="ar-SA"/>
          <w:color w:val="111111"/>
          <w:sz w:val="28"/>
          <w:szCs w:val="28"/>
          <w:rtl/>
        </w:rPr>
        <w:t xml:space="preserve">2 .حاشية الشرح المختصر للتفتازاني</w:t>
      </w:r>
    </w:p>
    <w:p>
      <w:pPr>
        <w:pStyle w:val="BookText"/>
      </w:pPr>
      <w:r>
        <w:rPr>
          <w:rFonts w:ascii="IRNazanin" w:hAnsi="IRNazanin" w:eastAsia="IRNazanin" w:cs="IRNazanin"/>
          <w:lang w:bidi="fa-IR"/>
          <w:color w:val="111111"/>
          <w:sz w:val="28"/>
          <w:szCs w:val="28"/>
          <w:rtl/>
        </w:rPr>
        <w:t xml:space="preserve">ج 6، ص 181 .</w:t>
      </w:r>
    </w:p>
    <w:p>
      <w:pPr>
        <w:pStyle w:val="BookText"/>
      </w:pPr>
      <w:r>
        <w:rPr>
          <w:rFonts w:ascii="Amiri" w:hAnsi="Amiri" w:eastAsia="Amiri" w:cs="Amiri"/>
          <w:lang w:bidi="ar-SA"/>
          <w:color w:val="111111"/>
          <w:sz w:val="28"/>
          <w:szCs w:val="28"/>
          <w:rtl/>
        </w:rPr>
        <w:t xml:space="preserve">3.حاشية شرح هداية الحكمة، ج 6 ،</w:t>
      </w:r>
    </w:p>
    <w:p>
      <w:pPr>
        <w:pStyle w:val="BookText"/>
      </w:pPr>
      <w:r>
        <w:rPr>
          <w:rFonts w:ascii="IRNazanin" w:hAnsi="IRNazanin" w:eastAsia="IRNazanin" w:cs="IRNazanin"/>
          <w:lang w:bidi="fa-IR"/>
          <w:color w:val="111111"/>
          <w:sz w:val="28"/>
          <w:szCs w:val="28"/>
          <w:rtl/>
        </w:rPr>
        <w:t xml:space="preserve">ص 214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5" w:name="pg7742_70305"/>
    <w:bookmarkEnd w:id="455"/>
    <w:p>
      <w:pPr>
        <w:pStyle w:val="Heading2"/>
      </w:pPr>
      <w:bookmarkStart w:id="4120" w:name="_Toc3222"/>
      <w:r>
        <w:t>خطائي ، محمّد بن عبدالهادي</w:t>
      </w:r>
      <w:bookmarkEnd w:id="4120"/>
    </w:p>
    <w:p>
      <w:pPr>
        <w:pStyle w:val="BookText"/>
      </w:pPr>
      <w:r>
        <w:rPr>
          <w:rFonts w:ascii="Amiri" w:hAnsi="Amiri" w:eastAsia="Amiri" w:cs="Amiri"/>
          <w:lang w:bidi="ar-SA"/>
          <w:color w:val="111111"/>
          <w:sz w:val="28"/>
          <w:szCs w:val="28"/>
          <w:rtl/>
        </w:rPr>
        <w:t xml:space="preserve">نزهة الزمان في طبايع الحيوان، ج 16،</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IRNazanin" w:hAnsi="IRNazanin" w:eastAsia="IRNazanin" w:cs="IRNazanin"/>
          <w:lang w:bidi="fa-IR"/>
          <w:color w:val="111111"/>
          <w:sz w:val="28"/>
          <w:szCs w:val="28"/>
          <w:rtl/>
        </w:rPr>
        <w:t xml:space="preserve">خطاب ، محمّد بن محمّد- حطاب</w:t>
      </w:r>
    </w:p>
    <w:p>
      <w:pPr>
        <w:pStyle w:val="BookText"/>
      </w:pPr>
      <w:r>
        <w:rPr>
          <w:rFonts w:ascii="Amiri" w:hAnsi="Amiri" w:eastAsia="Amiri" w:cs="Amiri"/>
          <w:lang w:bidi="ar-SA"/>
          <w:color w:val="111111"/>
          <w:sz w:val="28"/>
          <w:szCs w:val="28"/>
          <w:rtl/>
        </w:rPr>
        <w:t xml:space="preserve">محمّد بن محمّد</w:t>
      </w:r>
    </w:p>
    <w:p>
      <w:pPr>
        <w:pStyle w:val="Heading2"/>
      </w:pPr>
      <w:bookmarkStart w:id="4121" w:name="_Toc3223"/>
      <w:r>
        <w:t>خطابي ، احمد بن محمّد، 319 - 388</w:t>
      </w:r>
      <w:bookmarkEnd w:id="4121"/>
    </w:p>
    <w:p>
      <w:pPr>
        <w:pStyle w:val="BookText"/>
      </w:pPr>
      <w:r>
        <w:rPr>
          <w:rFonts w:ascii="Amiri" w:hAnsi="Amiri" w:eastAsia="Amiri" w:cs="Amiri"/>
          <w:lang w:bidi="ar-SA"/>
          <w:color w:val="111111"/>
          <w:sz w:val="28"/>
          <w:szCs w:val="28"/>
          <w:rtl/>
        </w:rPr>
        <w:t xml:space="preserve">1 .اعلام الحديث، ج 2، ص 559</w:t>
      </w:r>
    </w:p>
    <w:p>
      <w:pPr>
        <w:pStyle w:val="BookText"/>
      </w:pPr>
      <w:r>
        <w:rPr>
          <w:rFonts w:ascii="Amiri" w:hAnsi="Amiri" w:eastAsia="Amiri" w:cs="Amiri"/>
          <w:lang w:bidi="ar-SA"/>
          <w:color w:val="111111"/>
          <w:sz w:val="28"/>
          <w:szCs w:val="28"/>
          <w:rtl/>
        </w:rPr>
        <w:t xml:space="preserve">2 .حاشية الخطابي، ج 5، ص 860.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غريب الحديث، ج 11، ص 490.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معالم السنن في شرح سنن أبي</w:t>
      </w:r>
    </w:p>
    <w:p>
      <w:pPr>
        <w:pStyle w:val="BookText"/>
      </w:pPr>
      <w:r>
        <w:rPr>
          <w:rFonts w:ascii="IRNazanin" w:hAnsi="IRNazanin" w:eastAsia="IRNazanin" w:cs="IRNazanin"/>
          <w:lang w:bidi="fa-IR"/>
          <w:color w:val="111111"/>
          <w:sz w:val="28"/>
          <w:szCs w:val="28"/>
          <w:rtl/>
        </w:rPr>
        <w:t xml:space="preserve">داوود، ج 1، ص878.</w:t>
      </w:r>
    </w:p>
    <w:p>
      <w:pPr>
        <w:pStyle w:val="Heading2"/>
      </w:pPr>
      <w:bookmarkStart w:id="4122" w:name="_Toc3224"/>
      <w:r>
        <w:t>خطاب ، يحيى بن محمّد، 902 - 995 ه-</w:t>
      </w:r>
      <w:bookmarkEnd w:id="4122"/>
    </w:p>
    <w:p>
      <w:pPr>
        <w:pStyle w:val="BookText"/>
      </w:pPr>
      <w:r>
        <w:rPr>
          <w:rFonts w:ascii="Amiri" w:hAnsi="Amiri" w:eastAsia="Amiri" w:cs="Amiri"/>
          <w:lang w:bidi="ar-SA"/>
          <w:color w:val="111111"/>
          <w:sz w:val="28"/>
          <w:szCs w:val="28"/>
          <w:rtl/>
        </w:rPr>
        <w:t xml:space="preserve">1 .الدموع المجيب (رسالة في)، ج7،</w:t>
      </w:r>
    </w:p>
    <w:p>
      <w:pPr>
        <w:pStyle w:val="BookText"/>
      </w:pPr>
      <w:r>
        <w:rPr>
          <w:rFonts w:ascii="IRNazanin" w:hAnsi="IRNazanin" w:eastAsia="IRNazanin" w:cs="IRNazanin"/>
          <w:lang w:bidi="fa-IR"/>
          <w:color w:val="111111"/>
          <w:sz w:val="28"/>
          <w:szCs w:val="28"/>
          <w:rtl/>
        </w:rPr>
        <w:t xml:space="preserve">ص 478.</w:t>
      </w:r>
    </w:p>
    <w:p>
      <w:pPr>
        <w:pStyle w:val="BookText"/>
      </w:pPr>
      <w:r>
        <w:rPr>
          <w:rFonts w:ascii="Amiri" w:hAnsi="Amiri" w:eastAsia="Amiri" w:cs="Amiri"/>
          <w:lang w:bidi="ar-SA"/>
          <w:color w:val="111111"/>
          <w:sz w:val="28"/>
          <w:szCs w:val="28"/>
          <w:rtl/>
        </w:rPr>
        <w:t xml:space="preserve">2 .الربع المجيب في معرفة الاستخراج</w:t>
      </w:r>
    </w:p>
    <w:p>
      <w:pPr>
        <w:pStyle w:val="BookText"/>
      </w:pPr>
      <w:r>
        <w:rPr>
          <w:rFonts w:ascii="IRNazanin" w:hAnsi="IRNazanin" w:eastAsia="IRNazanin" w:cs="IRNazanin"/>
          <w:lang w:bidi="fa-IR"/>
          <w:color w:val="111111"/>
          <w:sz w:val="28"/>
          <w:szCs w:val="28"/>
          <w:rtl/>
        </w:rPr>
        <w:t xml:space="preserve">ج 8، ص28.</w:t>
      </w:r>
    </w:p>
    <w:p>
      <w:pPr>
        <w:pStyle w:val="BookText"/>
      </w:pPr>
      <w:r>
        <w:rPr>
          <w:rFonts w:ascii="Amiri" w:hAnsi="Amiri" w:eastAsia="Amiri" w:cs="Amiri"/>
          <w:lang w:bidi="ar-SA"/>
          <w:color w:val="111111"/>
          <w:sz w:val="28"/>
          <w:szCs w:val="28"/>
          <w:rtl/>
        </w:rPr>
        <w:t xml:space="preserve">3 .مختصر النزهة في الحساب، ج 14،</w:t>
      </w:r>
    </w:p>
    <w:p>
      <w:pPr>
        <w:pStyle w:val="BookText"/>
      </w:pPr>
      <w:r>
        <w:rPr>
          <w:rFonts w:ascii="IRNazanin" w:hAnsi="IRNazanin" w:eastAsia="IRNazanin" w:cs="IRNazanin"/>
          <w:lang w:bidi="fa-IR"/>
          <w:color w:val="111111"/>
          <w:sz w:val="28"/>
          <w:szCs w:val="28"/>
          <w:rtl/>
        </w:rPr>
        <w:t xml:space="preserve">ص 277</w:t>
      </w:r>
    </w:p>
    <w:p>
      <w:pPr>
        <w:pStyle w:val="BookText"/>
      </w:pPr>
      <w:r>
        <w:rPr>
          <w:rFonts w:ascii="Amiri" w:hAnsi="Amiri" w:eastAsia="Amiri" w:cs="Amiri"/>
          <w:lang w:bidi="ar-SA"/>
          <w:color w:val="111111"/>
          <w:sz w:val="28"/>
          <w:szCs w:val="28"/>
          <w:rtl/>
        </w:rPr>
        <w:t xml:space="preserve">4 .مختصر في العمل بالربع المجيب</w:t>
      </w:r>
    </w:p>
    <w:p>
      <w:pPr>
        <w:pStyle w:val="BookText"/>
      </w:pPr>
      <w:r>
        <w:rPr>
          <w:rFonts w:ascii="IRNazanin" w:hAnsi="IRNazanin" w:eastAsia="IRNazanin" w:cs="IRNazanin"/>
          <w:lang w:bidi="fa-IR"/>
          <w:color w:val="111111"/>
          <w:sz w:val="28"/>
          <w:szCs w:val="28"/>
          <w:rtl/>
        </w:rPr>
        <w:t xml:space="preserve">ج 14 ، ص 222.</w:t>
      </w:r>
    </w:p>
    <w:p>
      <w:pPr>
        <w:pStyle w:val="BookText"/>
      </w:pPr>
      <w:r>
        <w:rPr>
          <w:rFonts w:ascii="Amiri" w:hAnsi="Amiri" w:eastAsia="Amiri" w:cs="Amiri"/>
          <w:lang w:bidi="ar-SA"/>
          <w:color w:val="111111"/>
          <w:sz w:val="28"/>
          <w:szCs w:val="28"/>
          <w:rtl/>
        </w:rPr>
        <w:t xml:space="preserve">5 .مختصر في معرفة استخراج اعمال</w:t>
      </w:r>
    </w:p>
    <w:p>
      <w:pPr>
        <w:pStyle w:val="BookText"/>
      </w:pPr>
      <w:r>
        <w:rPr>
          <w:rFonts w:ascii="Amiri" w:hAnsi="Amiri" w:eastAsia="Amiri" w:cs="Amiri"/>
          <w:lang w:bidi="ar-SA"/>
          <w:color w:val="111111"/>
          <w:sz w:val="28"/>
          <w:szCs w:val="28"/>
          <w:rtl/>
        </w:rPr>
        <w:t xml:space="preserve">الليل والنهار = الربع المجيب ج 14 ، ص 226 .</w:t>
      </w:r>
    </w:p>
    <w:p>
      <w:pPr>
        <w:pStyle w:val="BookText"/>
      </w:pPr>
      <w:r>
        <w:rPr>
          <w:rFonts w:ascii="Amiri" w:hAnsi="Amiri" w:eastAsia="Amiri" w:cs="Amiri"/>
          <w:lang w:bidi="ar-SA"/>
          <w:color w:val="111111"/>
          <w:sz w:val="28"/>
          <w:szCs w:val="28"/>
          <w:rtl/>
        </w:rPr>
        <w:t xml:space="preserve">6 .مسلك الدرين في حل النيرين (مختصر)، ج 14، ص 583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معرفة منزلة الشمس (جدول في)،</w:t>
      </w:r>
    </w:p>
    <w:p>
      <w:pPr>
        <w:pStyle w:val="BookText"/>
      </w:pPr>
      <w:r>
        <w:rPr>
          <w:rFonts w:ascii="IRNazanin" w:hAnsi="IRNazanin" w:eastAsia="IRNazanin" w:cs="IRNazanin"/>
          <w:lang w:bidi="fa-IR"/>
          <w:color w:val="111111"/>
          <w:sz w:val="28"/>
          <w:szCs w:val="28"/>
          <w:rtl/>
        </w:rPr>
        <w:t xml:space="preserve">ج 15 ، ص 73.</w:t>
      </w:r>
    </w:p>
    <w:p>
      <w:pPr>
        <w:pStyle w:val="BookText"/>
      </w:pPr>
      <w:r>
        <w:rPr>
          <w:rFonts w:ascii="Amiri" w:hAnsi="Amiri" w:eastAsia="Amiri" w:cs="Amiri"/>
          <w:lang w:bidi="ar-SA"/>
          <w:color w:val="111111"/>
          <w:sz w:val="28"/>
          <w:szCs w:val="28"/>
          <w:rtl/>
        </w:rPr>
        <w:t xml:space="preserve">8 .وسيلة الطلاب لمعرفة عمل الليل و</w:t>
      </w:r>
    </w:p>
    <w:p>
      <w:pPr>
        <w:pStyle w:val="BookText"/>
      </w:pPr>
      <w:r>
        <w:rPr>
          <w:rFonts w:ascii="Amiri" w:hAnsi="Amiri" w:eastAsia="Amiri" w:cs="Amiri"/>
          <w:lang w:bidi="ar-SA"/>
          <w:color w:val="111111"/>
          <w:sz w:val="28"/>
          <w:szCs w:val="28"/>
          <w:rtl/>
        </w:rPr>
        <w:t xml:space="preserve">النهار بطريق الحساب، ج 16،</w:t>
      </w:r>
    </w:p>
    <w:p>
      <w:pPr>
        <w:pStyle w:val="BookText"/>
      </w:pPr>
      <w:r>
        <w:rPr>
          <w:rFonts w:ascii="IRNazanin" w:hAnsi="IRNazanin" w:eastAsia="IRNazanin" w:cs="IRNazanin"/>
          <w:lang w:bidi="fa-IR"/>
          <w:color w:val="111111"/>
          <w:sz w:val="28"/>
          <w:szCs w:val="28"/>
          <w:rtl/>
        </w:rPr>
        <w:t xml:space="preserve">ص 785.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وصلة المبتدي في الفرائض و كفاية</w:t>
      </w:r>
    </w:p>
    <w:p>
      <w:pPr>
        <w:pStyle w:val="BookText"/>
      </w:pPr>
      <w:r>
        <w:rPr>
          <w:rFonts w:ascii="Amiri" w:hAnsi="Amiri" w:eastAsia="Amiri" w:cs="Amiri"/>
          <w:lang w:bidi="ar-SA"/>
          <w:color w:val="111111"/>
          <w:sz w:val="28"/>
          <w:szCs w:val="28"/>
          <w:rtl/>
        </w:rPr>
        <w:t xml:space="preserve">المنتهي، ج 16، ص 807.</w:t>
      </w:r>
    </w:p>
    <w:p>
      <w:pPr>
        <w:pStyle w:val="BookText"/>
      </w:pPr>
      <w:r>
        <w:rPr>
          <w:rFonts w:ascii="Amiri" w:hAnsi="Amiri" w:eastAsia="Amiri" w:cs="Amiri"/>
          <w:lang w:bidi="ar-SA"/>
          <w:color w:val="111111"/>
          <w:sz w:val="28"/>
          <w:szCs w:val="28"/>
          <w:rtl/>
        </w:rPr>
        <w:t xml:space="preserve">خطابي ، محمّد بن عبد الرحمن- ابن زريق</w:t>
      </w:r>
    </w:p>
    <w:p>
      <w:pPr>
        <w:pStyle w:val="BookText"/>
      </w:pPr>
      <w:r>
        <w:rPr>
          <w:rFonts w:ascii="IRNazanin" w:hAnsi="IRNazanin" w:eastAsia="IRNazanin" w:cs="IRNazanin"/>
          <w:lang w:bidi="fa-IR"/>
          <w:color w:val="111111"/>
          <w:sz w:val="28"/>
          <w:szCs w:val="28"/>
          <w:rtl/>
        </w:rPr>
        <w:t xml:space="preserve">، محمّد بن عبد الرحمن</w:t>
      </w:r>
    </w:p>
    <w:p>
      <w:pPr>
        <w:pStyle w:val="Heading2"/>
      </w:pPr>
      <w:bookmarkStart w:id="4123" w:name="_Toc3225"/>
      <w:r>
        <w:t>خطابي ، يعقوب بن اسحق</w:t>
      </w:r>
      <w:bookmarkEnd w:id="4123"/>
    </w:p>
    <w:p>
      <w:pPr>
        <w:pStyle w:val="BookText"/>
      </w:pPr>
      <w:r>
        <w:rPr>
          <w:rFonts w:ascii="Amiri" w:hAnsi="Amiri" w:eastAsia="Amiri" w:cs="Amiri"/>
          <w:lang w:bidi="ar-SA"/>
          <w:color w:val="111111"/>
          <w:sz w:val="28"/>
          <w:szCs w:val="28"/>
          <w:rtl/>
        </w:rPr>
        <w:t xml:space="preserve">البيطرة الرومية في امراض الخيل، ج3،</w:t>
      </w:r>
    </w:p>
    <w:p>
      <w:pPr>
        <w:pStyle w:val="BookText"/>
      </w:pPr>
      <w:r>
        <w:rPr>
          <w:rFonts w:ascii="IRNazanin" w:hAnsi="IRNazanin" w:eastAsia="IRNazanin" w:cs="IRNazanin"/>
          <w:lang w:bidi="fa-IR"/>
          <w:color w:val="111111"/>
          <w:sz w:val="28"/>
          <w:szCs w:val="28"/>
          <w:rtl/>
        </w:rPr>
        <w:t xml:space="preserve">ص 504 .</w:t>
      </w:r>
    </w:p>
    <w:p>
      <w:pPr>
        <w:pStyle w:val="Heading2"/>
      </w:pPr>
      <w:bookmarkStart w:id="4124" w:name="_Toc3226"/>
      <w:r>
        <w:t>خطايي ، عثمان بن عبدالله - 901 ه-</w:t>
      </w:r>
      <w:bookmarkEnd w:id="4124"/>
    </w:p>
    <w:p>
      <w:pPr>
        <w:pStyle w:val="BookText"/>
      </w:pPr>
      <w:r>
        <w:rPr>
          <w:rFonts w:ascii="Amiri" w:hAnsi="Amiri" w:eastAsia="Amiri" w:cs="Amiri"/>
          <w:lang w:bidi="ar-SA"/>
          <w:color w:val="111111"/>
          <w:sz w:val="28"/>
          <w:szCs w:val="28"/>
          <w:rtl/>
        </w:rPr>
        <w:t xml:space="preserve">1 .حاشية الخطائي على اوائل حاشية السعد على الكشاف، ج 5، ص 861.</w:t>
      </w:r>
    </w:p>
    <w:p>
      <w:pPr>
        <w:pStyle w:val="BookText"/>
      </w:pPr>
      <w:r>
        <w:rPr>
          <w:rFonts w:ascii="Amiri" w:hAnsi="Amiri" w:eastAsia="Amiri" w:cs="Amiri"/>
          <w:lang w:bidi="ar-SA"/>
          <w:color w:val="111111"/>
          <w:sz w:val="28"/>
          <w:szCs w:val="28"/>
          <w:rtl/>
        </w:rPr>
        <w:t xml:space="preserve">2 .حاشية المطول = حاشية خطائي على تلخيص المفتاح، ج 6، ص 384.</w:t>
      </w:r>
    </w:p>
    <w:p>
      <w:pPr>
        <w:pStyle w:val="BookText"/>
      </w:pPr>
      <w:r>
        <w:rPr>
          <w:rFonts w:ascii="Amiri" w:hAnsi="Amiri" w:eastAsia="Amiri" w:cs="Amiri"/>
          <w:lang w:bidi="ar-SA"/>
          <w:color w:val="111111"/>
          <w:sz w:val="28"/>
          <w:szCs w:val="28"/>
          <w:rtl/>
        </w:rPr>
        <w:t xml:space="preserve">3.حاشية مختصر المعاني، ج 6، ص 356.</w:t>
      </w:r>
    </w:p>
    <w:p>
      <w:pPr>
        <w:pStyle w:val="BookText"/>
      </w:pPr>
      <w:r>
        <w:rPr>
          <w:rFonts w:ascii="IRNazanin" w:hAnsi="IRNazanin" w:eastAsia="IRNazanin" w:cs="IRNazanin"/>
          <w:lang w:bidi="fa-IR"/>
          <w:color w:val="111111"/>
          <w:sz w:val="28"/>
          <w:szCs w:val="28"/>
          <w:rtl/>
        </w:rPr>
        <w:t xml:space="preserve">4 .يوسف و زلیخا، ج16، ص908</w:t>
      </w:r>
    </w:p>
    <w:p>
      <w:pPr>
        <w:pStyle w:val="BookText"/>
      </w:pPr>
      <w:r>
        <w:rPr>
          <w:rFonts w:ascii="Amiri" w:hAnsi="Amiri" w:eastAsia="Amiri" w:cs="Amiri"/>
          <w:lang w:bidi="ar-SA"/>
          <w:color w:val="111111"/>
          <w:sz w:val="28"/>
          <w:szCs w:val="28"/>
          <w:rtl/>
        </w:rPr>
        <w:t xml:space="preserve">خطفي ، جرير بن عطيه -كلبي ، جرير بن</w:t>
      </w:r>
    </w:p>
    <w:p>
      <w:pPr>
        <w:pStyle w:val="BookText"/>
      </w:pPr>
      <w:r>
        <w:rPr>
          <w:rFonts w:ascii="Amiri" w:hAnsi="Amiri" w:eastAsia="Amiri" w:cs="Amiri"/>
          <w:lang w:bidi="ar-SA"/>
          <w:color w:val="111111"/>
          <w:sz w:val="28"/>
          <w:szCs w:val="28"/>
          <w:rtl/>
        </w:rPr>
        <w:t xml:space="preserve">عطيه</w:t>
      </w:r>
    </w:p>
    <w:p>
      <w:pPr>
        <w:pStyle w:val="BookText"/>
      </w:pPr>
      <w:r>
        <w:rPr>
          <w:rFonts w:ascii="Amiri" w:hAnsi="Amiri" w:eastAsia="Amiri" w:cs="Amiri"/>
          <w:lang w:bidi="ar-SA"/>
          <w:color w:val="111111"/>
          <w:sz w:val="28"/>
          <w:szCs w:val="28"/>
          <w:rtl/>
        </w:rPr>
        <w:t xml:space="preserve">خطي ، ابراهيم بن عرب -قطيفي خطي ،</w:t>
      </w:r>
    </w:p>
    <w:p>
      <w:pPr>
        <w:pStyle w:val="BookText"/>
      </w:pPr>
      <w:r>
        <w:rPr>
          <w:rFonts w:ascii="Amiri" w:hAnsi="Amiri" w:eastAsia="Amiri" w:cs="Amiri"/>
          <w:lang w:bidi="ar-SA"/>
          <w:color w:val="111111"/>
          <w:sz w:val="28"/>
          <w:szCs w:val="28"/>
          <w:rtl/>
        </w:rPr>
        <w:t xml:space="preserve">ابراهيم بن عرب</w:t>
      </w:r>
    </w:p>
    <w:p>
      <w:pPr>
        <w:pStyle w:val="BookText"/>
      </w:pPr>
      <w:r>
        <w:rPr>
          <w:rFonts w:ascii="Amiri" w:hAnsi="Amiri" w:eastAsia="Amiri" w:cs="Amiri"/>
          <w:lang w:bidi="ar-SA"/>
          <w:color w:val="111111"/>
          <w:sz w:val="28"/>
          <w:szCs w:val="28"/>
          <w:rtl/>
        </w:rPr>
        <w:t xml:space="preserve">خطي ، ابوالحسن بن حسن- قطيفي</w:t>
      </w:r>
    </w:p>
    <w:p>
      <w:pPr>
        <w:pStyle w:val="BookText"/>
      </w:pPr>
      <w:r>
        <w:rPr>
          <w:rFonts w:ascii="IRNazanin" w:hAnsi="IRNazanin" w:eastAsia="IRNazanin" w:cs="IRNazanin"/>
          <w:lang w:bidi="fa-IR"/>
          <w:color w:val="111111"/>
          <w:sz w:val="28"/>
          <w:szCs w:val="28"/>
          <w:rtl/>
        </w:rPr>
        <w:t xml:space="preserve">ابوالحسن بن حسن</w:t>
      </w:r>
    </w:p>
    <w:p>
      <w:pPr>
        <w:pStyle w:val="BookText"/>
      </w:pPr>
      <w:r>
        <w:rPr>
          <w:rFonts w:ascii="Amiri" w:hAnsi="Amiri" w:eastAsia="Amiri" w:cs="Amiri"/>
          <w:lang w:bidi="ar-SA"/>
          <w:color w:val="111111"/>
          <w:sz w:val="28"/>
          <w:szCs w:val="28"/>
          <w:rtl/>
        </w:rPr>
        <w:t xml:space="preserve">خطي ، احمد بن مهدي- سويكت خطي ،</w:t>
      </w:r>
    </w:p>
    <w:p>
      <w:pPr>
        <w:pStyle w:val="BookText"/>
      </w:pPr>
      <w:r>
        <w:rPr>
          <w:rFonts w:ascii="Amiri" w:hAnsi="Amiri" w:eastAsia="Amiri" w:cs="Amiri"/>
          <w:lang w:bidi="ar-SA"/>
          <w:color w:val="111111"/>
          <w:sz w:val="28"/>
          <w:szCs w:val="28"/>
          <w:rtl/>
        </w:rPr>
        <w:t xml:space="preserve">احمد بن مهدي</w:t>
      </w:r>
    </w:p>
    <w:p>
      <w:pPr>
        <w:pStyle w:val="Heading2"/>
      </w:pPr>
      <w:bookmarkStart w:id="4125" w:name="_Toc3227"/>
      <w:r>
        <w:t>خطيب، ابراهيم</w:t>
      </w:r>
      <w:bookmarkEnd w:id="4125"/>
    </w:p>
    <w:p>
      <w:pPr>
        <w:pStyle w:val="BookText"/>
      </w:pPr>
      <w:r>
        <w:rPr>
          <w:rFonts w:ascii="Amiri" w:hAnsi="Amiri" w:eastAsia="Amiri" w:cs="Amiri"/>
          <w:lang w:bidi="ar-SA"/>
          <w:color w:val="111111"/>
          <w:sz w:val="28"/>
          <w:szCs w:val="28"/>
          <w:rtl/>
        </w:rPr>
        <w:t xml:space="preserve">الفقه (كتاب في)، ج 12، ص 43.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6" w:name="pg7742_70307"/>
    <w:bookmarkEnd w:id="456"/>
    <w:p>
      <w:pPr>
        <w:pStyle w:val="BookText"/>
      </w:pPr>
      <w:r>
        <w:rPr>
          <w:rFonts w:ascii="IRNazanin" w:hAnsi="IRNazanin" w:eastAsia="IRNazanin" w:cs="IRNazanin"/>
          <w:lang w:bidi="fa-IR"/>
          <w:color w:val="111111"/>
          <w:sz w:val="28"/>
          <w:szCs w:val="28"/>
          <w:rtl/>
        </w:rPr>
        <w:t xml:space="preserve">خطیب ابراهيم بن مصطفى</w:t>
      </w:r>
    </w:p>
    <w:p>
      <w:pPr>
        <w:pStyle w:val="BookText"/>
      </w:pPr>
      <w:r>
        <w:rPr>
          <w:rFonts w:ascii="IRNazanin" w:hAnsi="IRNazanin" w:eastAsia="IRNazanin" w:cs="IRNazanin"/>
          <w:lang w:bidi="fa-IR"/>
          <w:color w:val="111111"/>
          <w:sz w:val="28"/>
          <w:szCs w:val="28"/>
          <w:rtl/>
        </w:rPr>
        <w:t xml:space="preserve">الرومي - فناري زاده ، ابراهیم بن مصطفى</w:t>
      </w:r>
    </w:p>
    <w:p>
      <w:pPr>
        <w:pStyle w:val="Heading2"/>
      </w:pPr>
      <w:bookmarkStart w:id="4126" w:name="_Toc3228"/>
      <w:r>
        <w:t>خطيب ، ابو عبد الله بن محمّد</w:t>
      </w:r>
      <w:bookmarkEnd w:id="4126"/>
    </w:p>
    <w:p>
      <w:pPr>
        <w:pStyle w:val="BookText"/>
      </w:pPr>
      <w:r>
        <w:rPr>
          <w:rFonts w:ascii="IRNazanin" w:hAnsi="IRNazanin" w:eastAsia="IRNazanin" w:cs="IRNazanin"/>
          <w:lang w:bidi="fa-IR"/>
          <w:color w:val="111111"/>
          <w:sz w:val="28"/>
          <w:szCs w:val="28"/>
          <w:rtl/>
        </w:rPr>
        <w:t xml:space="preserve">خلق الانسان = اسماء اعضاء الانسان</w:t>
      </w:r>
    </w:p>
    <w:p>
      <w:pPr>
        <w:pStyle w:val="BookText"/>
      </w:pPr>
      <w:r>
        <w:rPr>
          <w:rFonts w:ascii="IRNazanin" w:hAnsi="IRNazanin" w:eastAsia="IRNazanin" w:cs="IRNazanin"/>
          <w:lang w:bidi="fa-IR"/>
          <w:color w:val="111111"/>
          <w:sz w:val="28"/>
          <w:szCs w:val="28"/>
          <w:rtl/>
        </w:rPr>
        <w:t xml:space="preserve">ج 7، ص 152.</w:t>
      </w:r>
    </w:p>
    <w:p>
      <w:pPr>
        <w:pStyle w:val="Heading2"/>
      </w:pPr>
      <w:bookmarkStart w:id="4127" w:name="_Toc3229"/>
      <w:r>
        <w:t>خطيب، احمد بن جمال الدين</w:t>
      </w:r>
      <w:bookmarkEnd w:id="4127"/>
    </w:p>
    <w:p>
      <w:pPr>
        <w:pStyle w:val="BookText"/>
      </w:pPr>
      <w:r>
        <w:rPr>
          <w:rFonts w:ascii="Amiri" w:hAnsi="Amiri" w:eastAsia="Amiri" w:cs="Amiri"/>
          <w:lang w:bidi="ar-SA"/>
          <w:color w:val="111111"/>
          <w:sz w:val="28"/>
          <w:szCs w:val="28"/>
          <w:rtl/>
        </w:rPr>
        <w:t xml:space="preserve">البسملة (رسالة في)، ج 3، ص331.</w:t>
      </w:r>
    </w:p>
    <w:p>
      <w:pPr>
        <w:pStyle w:val="BookText"/>
      </w:pPr>
      <w:r>
        <w:rPr>
          <w:rFonts w:ascii="IRNazanin" w:hAnsi="IRNazanin" w:eastAsia="IRNazanin" w:cs="IRNazanin"/>
          <w:lang w:bidi="fa-IR"/>
          <w:color w:val="111111"/>
          <w:sz w:val="28"/>
          <w:szCs w:val="28"/>
          <w:rtl/>
        </w:rPr>
        <w:t xml:space="preserve">خطیب ، احمد بن محمّد بن تميم - خليلي</w:t>
      </w:r>
    </w:p>
    <w:p>
      <w:pPr>
        <w:pStyle w:val="BookText"/>
      </w:pPr>
      <w:r>
        <w:rPr>
          <w:rFonts w:ascii="Amiri" w:hAnsi="Amiri" w:eastAsia="Amiri" w:cs="Amiri"/>
          <w:lang w:bidi="ar-SA"/>
          <w:color w:val="111111"/>
          <w:sz w:val="28"/>
          <w:szCs w:val="28"/>
          <w:rtl/>
        </w:rPr>
        <w:t xml:space="preserve">، احمد بن تميم</w:t>
      </w:r>
    </w:p>
    <w:p>
      <w:pPr>
        <w:pStyle w:val="Heading2"/>
      </w:pPr>
      <w:bookmarkStart w:id="4128" w:name="_Toc3230"/>
      <w:r>
        <w:t>خطيب اسكافي ، محمّد بن عبدالله</w:t>
      </w:r>
      <w:bookmarkEnd w:id="4128"/>
    </w:p>
    <w:p>
      <w:pPr>
        <w:pStyle w:val="BookText"/>
      </w:pPr>
      <w:r>
        <w:rPr>
          <w:rFonts w:ascii="IRNazanin" w:hAnsi="IRNazanin" w:eastAsia="IRNazanin" w:cs="IRNazanin"/>
          <w:lang w:bidi="fa-IR"/>
          <w:color w:val="111111"/>
          <w:sz w:val="28"/>
          <w:szCs w:val="28"/>
          <w:rtl/>
        </w:rPr>
        <w:t xml:space="preserve">420ه-</w:t>
      </w:r>
    </w:p>
    <w:p>
      <w:pPr>
        <w:pStyle w:val="BookText"/>
      </w:pPr>
      <w:r>
        <w:rPr>
          <w:rFonts w:ascii="IRNazanin" w:hAnsi="IRNazanin" w:eastAsia="IRNazanin" w:cs="IRNazanin"/>
          <w:lang w:bidi="fa-IR"/>
          <w:color w:val="111111"/>
          <w:sz w:val="28"/>
          <w:szCs w:val="28"/>
          <w:rtl/>
        </w:rPr>
        <w:t xml:space="preserve">1 .خلق الانسان، ج7، ص 151.</w:t>
      </w:r>
    </w:p>
    <w:p>
      <w:pPr>
        <w:pStyle w:val="BookText"/>
      </w:pPr>
      <w:r>
        <w:rPr>
          <w:rFonts w:ascii="Amiri" w:hAnsi="Amiri" w:eastAsia="Amiri" w:cs="Amiri"/>
          <w:lang w:bidi="ar-SA"/>
          <w:color w:val="111111"/>
          <w:sz w:val="28"/>
          <w:szCs w:val="28"/>
          <w:rtl/>
        </w:rPr>
        <w:t xml:space="preserve">2 .شرح ابيات مباديء اللغة، ج 9،</w:t>
      </w:r>
    </w:p>
    <w:p>
      <w:pPr>
        <w:pStyle w:val="BookText"/>
      </w:pPr>
      <w:r>
        <w:rPr>
          <w:rFonts w:ascii="IRNazanin" w:hAnsi="IRNazanin" w:eastAsia="IRNazanin" w:cs="IRNazanin"/>
          <w:lang w:bidi="fa-IR"/>
          <w:color w:val="111111"/>
          <w:sz w:val="28"/>
          <w:szCs w:val="28"/>
          <w:rtl/>
        </w:rPr>
        <w:t xml:space="preserve">ص 149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لطف التدبير، ج 13، ص 584.</w:t>
      </w:r>
    </w:p>
    <w:p>
      <w:pPr>
        <w:pStyle w:val="BookText"/>
      </w:pPr>
      <w:r>
        <w:rPr>
          <w:rFonts w:ascii="Amiri" w:hAnsi="Amiri" w:eastAsia="Amiri" w:cs="Amiri"/>
          <w:lang w:bidi="ar-SA"/>
          <w:color w:val="111111"/>
          <w:sz w:val="28"/>
          <w:szCs w:val="28"/>
          <w:rtl/>
        </w:rPr>
        <w:t xml:space="preserve">4 .مبادي اللغة، ج 13، ص 722.</w:t>
      </w:r>
    </w:p>
    <w:p>
      <w:pPr>
        <w:pStyle w:val="Heading2"/>
      </w:pPr>
      <w:bookmarkStart w:id="4129" w:name="_Toc3231"/>
      <w:r>
        <w:t>خطيب ، اسماعيل - 1401 ه-</w:t>
      </w:r>
      <w:bookmarkEnd w:id="4129"/>
    </w:p>
    <w:p>
      <w:pPr>
        <w:pStyle w:val="BookText"/>
      </w:pPr>
      <w:r>
        <w:rPr>
          <w:rFonts w:ascii="IRNazanin" w:hAnsi="IRNazanin" w:eastAsia="IRNazanin" w:cs="IRNazanin"/>
          <w:lang w:bidi="fa-IR"/>
          <w:color w:val="111111"/>
          <w:sz w:val="28"/>
          <w:szCs w:val="28"/>
          <w:rtl/>
        </w:rPr>
        <w:t xml:space="preserve">1 .توضیح اصول قواعد الشفع في نشر علم القراءات السبع، ج 5، ص 169.</w:t>
      </w:r>
    </w:p>
    <w:p>
      <w:pPr>
        <w:pStyle w:val="BookText"/>
      </w:pPr>
      <w:r>
        <w:rPr>
          <w:rFonts w:ascii="Amiri" w:hAnsi="Amiri" w:eastAsia="Amiri" w:cs="Amiri"/>
          <w:lang w:bidi="ar-SA"/>
          <w:color w:val="111111"/>
          <w:sz w:val="28"/>
          <w:szCs w:val="28"/>
          <w:rtl/>
        </w:rPr>
        <w:t xml:space="preserve">2 .شفاء الصدور في ذكر انواع قواعد شيوخ قراء السبعة البدور، ج 10، ص 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القراء العشرة ورواتهم وطرقهم</w:t>
      </w:r>
    </w:p>
    <w:p>
      <w:pPr>
        <w:pStyle w:val="BookText"/>
      </w:pPr>
      <w:r>
        <w:rPr>
          <w:rFonts w:ascii="IRNazanin" w:hAnsi="IRNazanin" w:eastAsia="IRNazanin" w:cs="IRNazanin"/>
          <w:lang w:bidi="fa-IR"/>
          <w:color w:val="111111"/>
          <w:sz w:val="28"/>
          <w:szCs w:val="28"/>
          <w:rtl/>
        </w:rPr>
        <w:t xml:space="preserve">ج 12، ص 551.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معرفة القراء الكبار على الطبقات</w:t>
      </w:r>
    </w:p>
    <w:p>
      <w:pPr>
        <w:pStyle w:val="BookText"/>
      </w:pPr>
      <w:r>
        <w:rPr>
          <w:rFonts w:ascii="IRNazanin" w:hAnsi="IRNazanin" w:eastAsia="IRNazanin" w:cs="IRNazanin"/>
          <w:lang w:bidi="fa-IR"/>
          <w:color w:val="111111"/>
          <w:sz w:val="28"/>
          <w:szCs w:val="28"/>
          <w:rtl/>
        </w:rPr>
        <w:t xml:space="preserve">ج 15، ص 67.</w:t>
      </w:r>
    </w:p>
    <w:p>
      <w:pPr>
        <w:pStyle w:val="BookText"/>
      </w:pPr>
      <w:r>
        <w:rPr>
          <w:rFonts w:ascii="Amiri" w:hAnsi="Amiri" w:eastAsia="Amiri" w:cs="Amiri"/>
          <w:lang w:bidi="ar-SA"/>
          <w:color w:val="111111"/>
          <w:sz w:val="28"/>
          <w:szCs w:val="28"/>
          <w:rtl/>
        </w:rPr>
        <w:t xml:space="preserve">خطيب افندي، رشيد بن صالح -افندي</w:t>
      </w:r>
    </w:p>
    <w:p>
      <w:pPr>
        <w:pStyle w:val="BookText"/>
      </w:pPr>
      <w:r>
        <w:rPr>
          <w:rFonts w:ascii="Amiri" w:hAnsi="Amiri" w:eastAsia="Amiri" w:cs="Amiri"/>
          <w:lang w:bidi="ar-SA"/>
          <w:color w:val="111111"/>
          <w:sz w:val="28"/>
          <w:szCs w:val="28"/>
          <w:rtl/>
        </w:rPr>
        <w:t xml:space="preserve">خطيب ، رشيد بن صالح</w:t>
      </w:r>
    </w:p>
    <w:p>
      <w:pPr>
        <w:pStyle w:val="Heading2"/>
      </w:pPr>
      <w:bookmarkStart w:id="4130" w:name="_Toc3232"/>
      <w:r>
        <w:t>خطيب افندي ، سليمان</w:t>
      </w:r>
      <w:bookmarkEnd w:id="4130"/>
    </w:p>
    <w:p>
      <w:pPr>
        <w:pStyle w:val="BookText"/>
      </w:pPr>
      <w:r>
        <w:rPr>
          <w:rFonts w:ascii="IRNazanin" w:hAnsi="IRNazanin" w:eastAsia="IRNazanin" w:cs="IRNazanin"/>
          <w:lang w:bidi="fa-IR"/>
          <w:color w:val="111111"/>
          <w:sz w:val="28"/>
          <w:szCs w:val="28"/>
          <w:rtl/>
        </w:rPr>
        <w:t xml:space="preserve">مفتاح الجنان، ج 15 ، ص 190.</w:t>
      </w:r>
    </w:p>
    <w:p>
      <w:pPr>
        <w:pStyle w:val="Heading2"/>
      </w:pPr>
      <w:bookmarkStart w:id="4131" w:name="_Toc3233"/>
      <w:r>
        <w:t>خطيب الدهشة ، محمود بن احمد</w:t>
      </w:r>
      <w:bookmarkEnd w:id="4131"/>
    </w:p>
    <w:p>
      <w:pPr>
        <w:pStyle w:val="BookText"/>
      </w:pPr>
      <w:r>
        <w:rPr>
          <w:rFonts w:ascii="IRNazanin" w:hAnsi="IRNazanin" w:eastAsia="IRNazanin" w:cs="IRNazanin"/>
          <w:lang w:bidi="fa-IR"/>
          <w:color w:val="111111"/>
          <w:sz w:val="28"/>
          <w:szCs w:val="28"/>
          <w:rtl/>
        </w:rPr>
        <w:t xml:space="preserve">834 ه-</w:t>
      </w:r>
    </w:p>
    <w:p>
      <w:pPr>
        <w:pStyle w:val="BookText"/>
      </w:pPr>
      <w:r>
        <w:rPr>
          <w:rFonts w:ascii="IRNazanin" w:hAnsi="IRNazanin" w:eastAsia="IRNazanin" w:cs="IRNazanin"/>
          <w:lang w:bidi="fa-IR"/>
          <w:color w:val="111111"/>
          <w:sz w:val="28"/>
          <w:szCs w:val="28"/>
          <w:rtl/>
        </w:rPr>
        <w:t xml:space="preserve">النقط و الضبط نقلت من</w:t>
      </w:r>
    </w:p>
    <w:p>
      <w:pPr>
        <w:pStyle w:val="BookText"/>
      </w:pPr>
      <w:r>
        <w:rPr>
          <w:rFonts w:ascii="Amiri" w:hAnsi="Amiri" w:eastAsia="Amiri" w:cs="Amiri"/>
          <w:lang w:bidi="ar-SA"/>
          <w:color w:val="111111"/>
          <w:sz w:val="28"/>
          <w:szCs w:val="28"/>
          <w:rtl/>
        </w:rPr>
        <w:t xml:space="preserve">كتاب وسيلة الاصابة في صنعة الكتابة</w:t>
      </w:r>
    </w:p>
    <w:p>
      <w:pPr>
        <w:pStyle w:val="BookText"/>
      </w:pPr>
      <w:r>
        <w:rPr>
          <w:rFonts w:ascii="Amiri" w:hAnsi="Amiri" w:eastAsia="Amiri" w:cs="Amiri"/>
          <w:lang w:bidi="ar-SA"/>
          <w:color w:val="111111"/>
          <w:sz w:val="28"/>
          <w:szCs w:val="28"/>
          <w:rtl/>
        </w:rPr>
        <w:t xml:space="preserve">(رسالة في)، ج 16، ص 426.</w:t>
      </w:r>
    </w:p>
    <w:p>
      <w:pPr>
        <w:pStyle w:val="Heading2"/>
      </w:pPr>
      <w:bookmarkStart w:id="4132" w:name="_Toc3234"/>
      <w:r>
        <w:t>خطيب بغدادي ، احمد بن علي 392؟ -</w:t>
      </w:r>
      <w:bookmarkEnd w:id="4132"/>
    </w:p>
    <w:p>
      <w:pPr>
        <w:pStyle w:val="BookText"/>
      </w:pPr>
      <w:r>
        <w:rPr>
          <w:rFonts w:ascii="IRNazanin" w:hAnsi="IRNazanin" w:eastAsia="IRNazanin" w:cs="IRNazanin"/>
          <w:lang w:bidi="fa-IR"/>
          <w:color w:val="111111"/>
          <w:sz w:val="28"/>
          <w:szCs w:val="28"/>
          <w:rtl/>
        </w:rPr>
        <w:t xml:space="preserve">463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أخبار الطفيليين، ج 1، ص 530.</w:t>
      </w:r>
    </w:p>
    <w:p>
      <w:pPr>
        <w:pStyle w:val="BookText"/>
      </w:pPr>
      <w:r>
        <w:rPr>
          <w:rFonts w:ascii="Amiri" w:hAnsi="Amiri" w:eastAsia="Amiri" w:cs="Amiri"/>
          <w:lang w:bidi="ar-SA"/>
          <w:color w:val="111111"/>
          <w:sz w:val="28"/>
          <w:szCs w:val="28"/>
          <w:rtl/>
        </w:rPr>
        <w:t xml:space="preserve">2 .الأسماء المبهمة في الأنباء المحكمة</w:t>
      </w:r>
    </w:p>
    <w:p>
      <w:pPr>
        <w:pStyle w:val="BookText"/>
      </w:pPr>
      <w:r>
        <w:rPr>
          <w:rFonts w:ascii="IRNazanin" w:hAnsi="IRNazanin" w:eastAsia="IRNazanin" w:cs="IRNazanin"/>
          <w:lang w:bidi="fa-IR"/>
          <w:color w:val="111111"/>
          <w:sz w:val="28"/>
          <w:szCs w:val="28"/>
          <w:rtl/>
        </w:rPr>
        <w:t xml:space="preserve">ج 2، ص 234.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البخلاء، ج3، ص 237.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الانبياء، ج 3، ص 558</w:t>
      </w:r>
    </w:p>
    <w:p>
      <w:pPr>
        <w:pStyle w:val="BookText"/>
      </w:pPr>
      <w:r>
        <w:rPr>
          <w:rFonts w:ascii="Amiri" w:hAnsi="Amiri" w:eastAsia="Amiri" w:cs="Amiri"/>
          <w:lang w:bidi="ar-SA"/>
          <w:color w:val="111111"/>
          <w:sz w:val="28"/>
          <w:szCs w:val="28"/>
          <w:rtl/>
        </w:rPr>
        <w:t xml:space="preserve">5 .تاريخ بغداد، ج 3، ص 561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ترجمة الامام ابي حنيفة النعمان بن</w:t>
      </w:r>
    </w:p>
    <w:p>
      <w:pPr>
        <w:pStyle w:val="BookText"/>
      </w:pPr>
      <w:r>
        <w:rPr>
          <w:rFonts w:ascii="IRNazanin" w:hAnsi="IRNazanin" w:eastAsia="IRNazanin" w:cs="IRNazanin"/>
          <w:lang w:bidi="fa-IR"/>
          <w:color w:val="111111"/>
          <w:sz w:val="28"/>
          <w:szCs w:val="28"/>
          <w:rtl/>
        </w:rPr>
        <w:t xml:space="preserve">ثابت، ج4، ص 260.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تقييد العلم، ج4، ص808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تلخيص المتشابه في الرسم وحماية ما أشكل منه من نوادر التصحيف</w:t>
      </w:r>
    </w:p>
    <w:p>
      <w:pPr>
        <w:pStyle w:val="BookText"/>
      </w:pPr>
      <w:r>
        <w:rPr>
          <w:rFonts w:ascii="IRNazanin" w:hAnsi="IRNazanin" w:eastAsia="IRNazanin" w:cs="IRNazanin"/>
          <w:lang w:bidi="fa-IR"/>
          <w:color w:val="111111"/>
          <w:sz w:val="28"/>
          <w:szCs w:val="28"/>
          <w:rtl/>
        </w:rPr>
        <w:t xml:space="preserve">و الوهم، ج 4 ، ص 855.</w:t>
      </w:r>
    </w:p>
    <w:p>
      <w:pPr>
        <w:pStyle w:val="BookText"/>
      </w:pPr>
      <w:r>
        <w:rPr>
          <w:rFonts w:ascii="Amiri" w:hAnsi="Amiri" w:eastAsia="Amiri" w:cs="Amiri"/>
          <w:lang w:bidi="ar-SA"/>
          <w:color w:val="111111"/>
          <w:sz w:val="28"/>
          <w:szCs w:val="28"/>
          <w:rtl/>
        </w:rPr>
        <w:t xml:space="preserve">9 .الجامع لآداب الراوي و السامع</w:t>
      </w:r>
    </w:p>
    <w:p>
      <w:pPr>
        <w:pStyle w:val="BookText"/>
      </w:pPr>
      <w:r>
        <w:rPr>
          <w:rFonts w:ascii="IRNazanin" w:hAnsi="IRNazanin" w:eastAsia="IRNazanin" w:cs="IRNazanin"/>
          <w:lang w:bidi="fa-IR"/>
          <w:color w:val="111111"/>
          <w:sz w:val="28"/>
          <w:szCs w:val="28"/>
          <w:rtl/>
        </w:rPr>
        <w:t xml:space="preserve">ج 5، ص 319.</w:t>
      </w:r>
    </w:p>
    <w:p>
      <w:pPr>
        <w:pStyle w:val="BookText"/>
      </w:pPr>
      <w:r>
        <w:rPr>
          <w:rFonts w:ascii="Amiri" w:hAnsi="Amiri" w:eastAsia="Amiri" w:cs="Amiri"/>
          <w:lang w:bidi="ar-SA"/>
          <w:color w:val="111111"/>
          <w:sz w:val="28"/>
          <w:szCs w:val="28"/>
          <w:rtl/>
        </w:rPr>
        <w:t xml:space="preserve">10 .الجهر للبسملة، ج 5، ص 487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الرحلة في طلب الحديث، ج8،</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12 .شرف اصحاب الحدیث، ج10،</w:t>
      </w:r>
    </w:p>
    <w:p>
      <w:pPr>
        <w:pStyle w:val="BookText"/>
      </w:pPr>
      <w:r>
        <w:rPr>
          <w:rFonts w:ascii="IRNazanin" w:hAnsi="IRNazanin" w:eastAsia="IRNazanin" w:cs="IRNazanin"/>
          <w:lang w:bidi="fa-IR"/>
          <w:color w:val="111111"/>
          <w:sz w:val="28"/>
          <w:szCs w:val="28"/>
          <w:rtl/>
        </w:rPr>
        <w:t xml:space="preserve">ص 349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7" w:name="pg7742_70309"/>
    <w:bookmarkEnd w:id="457"/>
    <w:p>
      <w:pPr>
        <w:pStyle w:val="BookText"/>
      </w:pPr>
      <w:r>
        <w:rPr>
          <w:rFonts w:ascii="Amiri" w:hAnsi="Amiri" w:eastAsia="Amiri" w:cs="Amiri"/>
          <w:lang w:bidi="ar-SA"/>
          <w:color w:val="111111"/>
          <w:sz w:val="28"/>
          <w:szCs w:val="28"/>
          <w:rtl/>
        </w:rPr>
        <w:t xml:space="preserve">13 .الفقيه و المتفقه، ج 12، ص 119.</w:t>
      </w:r>
    </w:p>
    <w:p>
      <w:pPr>
        <w:pStyle w:val="BookText"/>
      </w:pPr>
      <w:r>
        <w:rPr>
          <w:rFonts w:ascii="Amiri" w:hAnsi="Amiri" w:eastAsia="Amiri" w:cs="Amiri"/>
          <w:lang w:bidi="ar-SA"/>
          <w:color w:val="111111"/>
          <w:sz w:val="28"/>
          <w:szCs w:val="28"/>
          <w:rtl/>
        </w:rPr>
        <w:t xml:space="preserve">14 .الفوائد المنتخبة الصحاح و الغرائب = المهروانيات، ج 12،</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Amiri" w:hAnsi="Amiri" w:eastAsia="Amiri" w:cs="Amiri"/>
          <w:lang w:bidi="ar-SA"/>
          <w:color w:val="111111"/>
          <w:sz w:val="28"/>
          <w:szCs w:val="28"/>
          <w:rtl/>
        </w:rPr>
        <w:t xml:space="preserve">15 .الكفاية في علم الرواية، ج13</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IRNazanin" w:hAnsi="IRNazanin" w:eastAsia="IRNazanin" w:cs="IRNazanin"/>
          <w:lang w:bidi="fa-IR"/>
          <w:color w:val="111111"/>
          <w:sz w:val="28"/>
          <w:szCs w:val="28"/>
          <w:rtl/>
        </w:rPr>
        <w:t xml:space="preserve">16 .المتفق و المفترق ج13، ص 761.</w:t>
      </w:r>
    </w:p>
    <w:p>
      <w:pPr>
        <w:pStyle w:val="BookText"/>
      </w:pPr>
      <w:r>
        <w:rPr>
          <w:rFonts w:ascii="IRNazanin" w:hAnsi="IRNazanin" w:eastAsia="IRNazanin" w:cs="IRNazanin"/>
          <w:lang w:bidi="fa-IR"/>
          <w:color w:val="111111"/>
          <w:sz w:val="28"/>
          <w:szCs w:val="28"/>
          <w:rtl/>
        </w:rPr>
        <w:t xml:space="preserve">خطیب تبريزي ، محمّد بن عبدالله - خطيب عمري ، محمّد بن عبدالله</w:t>
      </w:r>
    </w:p>
    <w:p>
      <w:pPr>
        <w:pStyle w:val="Heading2"/>
      </w:pPr>
      <w:bookmarkStart w:id="4133" w:name="_Toc3235"/>
      <w:r>
        <w:t>خطيب تبريزي ، يحيى بن علي 421 -</w:t>
      </w:r>
      <w:bookmarkEnd w:id="4133"/>
    </w:p>
    <w:p>
      <w:pPr>
        <w:pStyle w:val="BookText"/>
      </w:pPr>
      <w:r>
        <w:rPr>
          <w:rFonts w:ascii="IRNazanin" w:hAnsi="IRNazanin" w:eastAsia="IRNazanin" w:cs="IRNazanin"/>
          <w:lang w:bidi="fa-IR"/>
          <w:color w:val="111111"/>
          <w:sz w:val="28"/>
          <w:szCs w:val="28"/>
          <w:rtl/>
        </w:rPr>
        <w:t xml:space="preserve">502 ه-</w:t>
      </w:r>
    </w:p>
    <w:p>
      <w:pPr>
        <w:pStyle w:val="BookText"/>
      </w:pPr>
      <w:r>
        <w:rPr>
          <w:rFonts w:ascii="IRNazanin" w:hAnsi="IRNazanin" w:eastAsia="IRNazanin" w:cs="IRNazanin"/>
          <w:lang w:bidi="fa-IR"/>
          <w:color w:val="111111"/>
          <w:sz w:val="28"/>
          <w:szCs w:val="28"/>
          <w:rtl/>
        </w:rPr>
        <w:t xml:space="preserve">شرح دیوان الحماسة - شرح حماسة ابي تمام، ج9، ص 487.</w:t>
      </w:r>
    </w:p>
    <w:p>
      <w:pPr>
        <w:pStyle w:val="BookText"/>
      </w:pPr>
      <w:r>
        <w:rPr>
          <w:rFonts w:ascii="IRNazanin" w:hAnsi="IRNazanin" w:eastAsia="IRNazanin" w:cs="IRNazanin"/>
          <w:lang w:bidi="fa-IR"/>
          <w:color w:val="111111"/>
          <w:sz w:val="28"/>
          <w:szCs w:val="28"/>
          <w:rtl/>
        </w:rPr>
        <w:t xml:space="preserve">2 .شرح سقط الزند، ج 9، ص 585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الكافي في علمي العروض والقوافي</w:t>
      </w:r>
    </w:p>
    <w:p>
      <w:pPr>
        <w:pStyle w:val="BookText"/>
      </w:pPr>
      <w:r>
        <w:rPr>
          <w:rFonts w:ascii="IRNazanin" w:hAnsi="IRNazanin" w:eastAsia="IRNazanin" w:cs="IRNazanin"/>
          <w:lang w:bidi="fa-IR"/>
          <w:color w:val="111111"/>
          <w:sz w:val="28"/>
          <w:szCs w:val="28"/>
          <w:rtl/>
        </w:rPr>
        <w:t xml:space="preserve">ج13، ص 51.</w:t>
      </w:r>
    </w:p>
    <w:p>
      <w:pPr>
        <w:pStyle w:val="BookText"/>
      </w:pPr>
      <w:r>
        <w:rPr>
          <w:rFonts w:ascii="Amiri" w:hAnsi="Amiri" w:eastAsia="Amiri" w:cs="Amiri"/>
          <w:lang w:bidi="ar-SA"/>
          <w:color w:val="111111"/>
          <w:sz w:val="28"/>
          <w:szCs w:val="28"/>
          <w:rtl/>
        </w:rPr>
        <w:t xml:space="preserve">4 .كتاب ما يقرأ من آخره كما يقرأ من</w:t>
      </w:r>
    </w:p>
    <w:p>
      <w:pPr>
        <w:pStyle w:val="BookText"/>
      </w:pPr>
      <w:r>
        <w:rPr>
          <w:rFonts w:ascii="IRNazanin" w:hAnsi="IRNazanin" w:eastAsia="IRNazanin" w:cs="IRNazanin"/>
          <w:lang w:bidi="fa-IR"/>
          <w:color w:val="111111"/>
          <w:sz w:val="28"/>
          <w:szCs w:val="28"/>
          <w:rtl/>
        </w:rPr>
        <w:t xml:space="preserve">اوله، ج13، ص 120.</w:t>
      </w:r>
    </w:p>
    <w:p>
      <w:pPr>
        <w:pStyle w:val="BookText"/>
      </w:pPr>
      <w:r>
        <w:rPr>
          <w:rFonts w:ascii="Amiri" w:hAnsi="Amiri" w:eastAsia="Amiri" w:cs="Amiri"/>
          <w:lang w:bidi="ar-SA"/>
          <w:color w:val="111111"/>
          <w:sz w:val="28"/>
          <w:szCs w:val="28"/>
          <w:rtl/>
        </w:rPr>
        <w:t xml:space="preserve">5 .الملخص في إعراب القرآن، ج 15،</w:t>
      </w:r>
    </w:p>
    <w:p>
      <w:pPr>
        <w:pStyle w:val="BookText"/>
      </w:pPr>
      <w:r>
        <w:rPr>
          <w:rFonts w:ascii="IRNazanin" w:hAnsi="IRNazanin" w:eastAsia="IRNazanin" w:cs="IRNazanin"/>
          <w:lang w:bidi="fa-IR"/>
          <w:color w:val="111111"/>
          <w:sz w:val="28"/>
          <w:szCs w:val="28"/>
          <w:rtl/>
        </w:rPr>
        <w:t xml:space="preserve">ص 459 .</w:t>
      </w:r>
    </w:p>
    <w:p>
      <w:pPr>
        <w:pStyle w:val="BookText"/>
      </w:pPr>
      <w:r>
        <w:rPr>
          <w:rFonts w:ascii="Amiri" w:hAnsi="Amiri" w:eastAsia="Amiri" w:cs="Amiri"/>
          <w:lang w:bidi="ar-SA"/>
          <w:color w:val="111111"/>
          <w:sz w:val="28"/>
          <w:szCs w:val="28"/>
          <w:rtl/>
        </w:rPr>
        <w:t xml:space="preserve">6.الموضح في شرح ديوان المتنبي</w:t>
      </w:r>
    </w:p>
    <w:p>
      <w:pPr>
        <w:pStyle w:val="BookText"/>
      </w:pPr>
      <w:r>
        <w:rPr>
          <w:rFonts w:ascii="IRNazanin" w:hAnsi="IRNazanin" w:eastAsia="IRNazanin" w:cs="IRNazanin"/>
          <w:lang w:bidi="fa-IR"/>
          <w:color w:val="111111"/>
          <w:sz w:val="28"/>
          <w:szCs w:val="28"/>
          <w:rtl/>
        </w:rPr>
        <w:t xml:space="preserve">ج 16، ص 34.</w:t>
      </w:r>
    </w:p>
    <w:p>
      <w:pPr>
        <w:pStyle w:val="Heading2"/>
      </w:pPr>
      <w:bookmarkStart w:id="4134" w:name="_Toc3236"/>
      <w:r>
        <w:t>خطي بحراني محمّد بن احمد قرن 12 ه-</w:t>
      </w:r>
      <w:bookmarkEnd w:id="4134"/>
    </w:p>
    <w:p>
      <w:pPr>
        <w:pStyle w:val="BookText"/>
      </w:pPr>
      <w:r>
        <w:rPr>
          <w:rFonts w:ascii="Amiri" w:hAnsi="Amiri" w:eastAsia="Amiri" w:cs="Amiri"/>
          <w:lang w:bidi="ar-SA"/>
          <w:color w:val="111111"/>
          <w:sz w:val="28"/>
          <w:szCs w:val="28"/>
          <w:rtl/>
        </w:rPr>
        <w:t xml:space="preserve">1 .المسالك في اقتناص الممالك، ج 14</w:t>
      </w:r>
    </w:p>
    <w:p>
      <w:pPr>
        <w:pStyle w:val="BookText"/>
      </w:pPr>
      <w:r>
        <w:rPr>
          <w:rFonts w:ascii="IRNazanin" w:hAnsi="IRNazanin" w:eastAsia="IRNazanin" w:cs="IRNazanin"/>
          <w:lang w:bidi="fa-IR"/>
          <w:color w:val="111111"/>
          <w:sz w:val="28"/>
          <w:szCs w:val="28"/>
          <w:rtl/>
        </w:rPr>
        <w:t xml:space="preserve">ص 533.</w:t>
      </w:r>
    </w:p>
    <w:p>
      <w:pPr>
        <w:pStyle w:val="BookText"/>
      </w:pPr>
      <w:r>
        <w:rPr>
          <w:rFonts w:ascii="Amiri" w:hAnsi="Amiri" w:eastAsia="Amiri" w:cs="Amiri"/>
          <w:lang w:bidi="ar-SA"/>
          <w:color w:val="111111"/>
          <w:sz w:val="28"/>
          <w:szCs w:val="28"/>
          <w:rtl/>
        </w:rPr>
        <w:t xml:space="preserve">2 .منهاج السلوك في معارج الملوك</w:t>
      </w:r>
    </w:p>
    <w:p>
      <w:pPr>
        <w:pStyle w:val="BookText"/>
      </w:pPr>
      <w:r>
        <w:rPr>
          <w:rFonts w:ascii="IRNazanin" w:hAnsi="IRNazanin" w:eastAsia="IRNazanin" w:cs="IRNazanin"/>
          <w:lang w:bidi="fa-IR"/>
          <w:color w:val="111111"/>
          <w:sz w:val="28"/>
          <w:szCs w:val="28"/>
          <w:rtl/>
        </w:rPr>
        <w:t xml:space="preserve">ج 15 ، ص 757.</w:t>
      </w:r>
    </w:p>
    <w:p>
      <w:pPr>
        <w:pStyle w:val="BookText"/>
      </w:pPr>
      <w:r>
        <w:rPr>
          <w:rFonts w:ascii="Amiri" w:hAnsi="Amiri" w:eastAsia="Amiri" w:cs="Amiri"/>
          <w:lang w:bidi="ar-SA"/>
          <w:color w:val="111111"/>
          <w:sz w:val="28"/>
          <w:szCs w:val="28"/>
          <w:rtl/>
        </w:rPr>
        <w:t xml:space="preserve">خطي بحراني ، محمّد بن حسن- ابومجلي</w:t>
      </w:r>
    </w:p>
    <w:p>
      <w:pPr>
        <w:pStyle w:val="BookText"/>
      </w:pPr>
      <w:r>
        <w:rPr>
          <w:rFonts w:ascii="Amiri" w:hAnsi="Amiri" w:eastAsia="Amiri" w:cs="Amiri"/>
          <w:lang w:bidi="ar-SA"/>
          <w:color w:val="111111"/>
          <w:sz w:val="28"/>
          <w:szCs w:val="28"/>
          <w:rtl/>
        </w:rPr>
        <w:t xml:space="preserve">مكي ، محمّد بن حسن</w:t>
      </w:r>
    </w:p>
    <w:p>
      <w:pPr>
        <w:pStyle w:val="Heading2"/>
      </w:pPr>
      <w:bookmarkStart w:id="4135" w:name="_Toc3237"/>
      <w:r>
        <w:t>خطيب حنفي، محمّد بن محمّد قرن 10ه-</w:t>
      </w:r>
      <w:bookmarkEnd w:id="4135"/>
    </w:p>
    <w:p>
      <w:pPr>
        <w:pStyle w:val="BookText"/>
      </w:pPr>
      <w:r>
        <w:rPr>
          <w:rFonts w:ascii="Amiri" w:hAnsi="Amiri" w:eastAsia="Amiri" w:cs="Amiri"/>
          <w:lang w:bidi="ar-SA"/>
          <w:color w:val="111111"/>
          <w:sz w:val="28"/>
          <w:szCs w:val="28"/>
          <w:rtl/>
        </w:rPr>
        <w:t xml:space="preserve">تهذيب المنقول في سلسلة النحو و</w:t>
      </w:r>
    </w:p>
    <w:p>
      <w:pPr>
        <w:pStyle w:val="BookText"/>
      </w:pPr>
      <w:r>
        <w:rPr>
          <w:rFonts w:ascii="IRNazanin" w:hAnsi="IRNazanin" w:eastAsia="IRNazanin" w:cs="IRNazanin"/>
          <w:lang w:bidi="fa-IR"/>
          <w:color w:val="111111"/>
          <w:sz w:val="28"/>
          <w:szCs w:val="28"/>
          <w:rtl/>
        </w:rPr>
        <w:t xml:space="preserve">الفقه والاصول، ج5، ص129.</w:t>
      </w:r>
    </w:p>
    <w:p>
      <w:pPr>
        <w:pStyle w:val="Heading2"/>
      </w:pPr>
      <w:bookmarkStart w:id="4136" w:name="_Toc3238"/>
      <w:r>
        <w:t>خطيب خفاجي ، حمید بن محمّد جواد</w:t>
      </w:r>
      <w:bookmarkEnd w:id="4136"/>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الدوحة المحمّدية، ج 7، ص 488.</w:t>
      </w:r>
    </w:p>
    <w:p>
      <w:pPr>
        <w:pStyle w:val="BookText"/>
      </w:pPr>
      <w:r>
        <w:rPr>
          <w:rFonts w:ascii="Amiri" w:hAnsi="Amiri" w:eastAsia="Amiri" w:cs="Amiri"/>
          <w:lang w:bidi="ar-SA"/>
          <w:color w:val="111111"/>
          <w:sz w:val="28"/>
          <w:szCs w:val="28"/>
          <w:rtl/>
        </w:rPr>
        <w:t xml:space="preserve">خطيب رستم مولوي- مولوي ، خطيب</w:t>
      </w:r>
    </w:p>
    <w:p>
      <w:pPr>
        <w:pStyle w:val="BookText"/>
      </w:pPr>
      <w:r>
        <w:rPr>
          <w:rFonts w:ascii="IRNazanin" w:hAnsi="IRNazanin" w:eastAsia="IRNazanin" w:cs="IRNazanin"/>
          <w:lang w:bidi="fa-IR"/>
          <w:color w:val="111111"/>
          <w:sz w:val="28"/>
          <w:szCs w:val="28"/>
          <w:rtl/>
        </w:rPr>
        <w:t xml:space="preserve">رستم بن عبدالله</w:t>
      </w:r>
    </w:p>
    <w:p>
      <w:pPr>
        <w:pStyle w:val="Heading2"/>
      </w:pPr>
      <w:bookmarkStart w:id="4137" w:name="_Toc3239"/>
      <w:r>
        <w:t>خطیب ،زاده محمّد بن ابراهيم - 901 ه-</w:t>
      </w:r>
      <w:bookmarkEnd w:id="4137"/>
    </w:p>
    <w:p>
      <w:pPr>
        <w:pStyle w:val="BookText"/>
      </w:pPr>
      <w:r>
        <w:rPr>
          <w:rFonts w:ascii="Amiri" w:hAnsi="Amiri" w:eastAsia="Amiri" w:cs="Amiri"/>
          <w:lang w:bidi="ar-SA"/>
          <w:color w:val="111111"/>
          <w:sz w:val="28"/>
          <w:szCs w:val="28"/>
          <w:rtl/>
        </w:rPr>
        <w:t xml:space="preserve">حاشية الكشاف، ج6، ص332.</w:t>
      </w:r>
    </w:p>
    <w:p>
      <w:pPr>
        <w:pStyle w:val="Heading2"/>
      </w:pPr>
      <w:bookmarkStart w:id="4138" w:name="_Toc3240"/>
      <w:r>
        <w:t>خطيب شامي ، علي بن غانم</w:t>
      </w:r>
      <w:bookmarkEnd w:id="4138"/>
    </w:p>
    <w:p>
      <w:pPr>
        <w:pStyle w:val="BookText"/>
      </w:pPr>
      <w:r>
        <w:rPr>
          <w:rFonts w:ascii="Amiri" w:hAnsi="Amiri" w:eastAsia="Amiri" w:cs="Amiri"/>
          <w:lang w:bidi="ar-SA"/>
          <w:color w:val="111111"/>
          <w:sz w:val="28"/>
          <w:szCs w:val="28"/>
          <w:rtl/>
        </w:rPr>
        <w:t xml:space="preserve">1 .ضياء العين في معرفة القلتين، ج10،</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Amiri" w:hAnsi="Amiri" w:eastAsia="Amiri" w:cs="Amiri"/>
          <w:lang w:bidi="ar-SA"/>
          <w:color w:val="111111"/>
          <w:sz w:val="28"/>
          <w:szCs w:val="28"/>
          <w:rtl/>
        </w:rPr>
        <w:t xml:space="preserve">2 .الكواكب النيرات في معرفة العمل</w:t>
      </w:r>
    </w:p>
    <w:p>
      <w:pPr>
        <w:pStyle w:val="BookText"/>
      </w:pPr>
      <w:r>
        <w:rPr>
          <w:rFonts w:ascii="IRNazanin" w:hAnsi="IRNazanin" w:eastAsia="IRNazanin" w:cs="IRNazanin"/>
          <w:lang w:bidi="fa-IR"/>
          <w:color w:val="111111"/>
          <w:sz w:val="28"/>
          <w:szCs w:val="28"/>
          <w:rtl/>
        </w:rPr>
        <w:t xml:space="preserve">بربع المقنطرات، ج 13، ص 468.</w:t>
      </w:r>
    </w:p>
    <w:p>
      <w:pPr>
        <w:pStyle w:val="Heading2"/>
      </w:pPr>
      <w:bookmarkStart w:id="4139" w:name="_Toc3241"/>
      <w:r>
        <w:t>خطيب شربيني، محمّد بن احمد، 977ه-</w:t>
      </w:r>
      <w:bookmarkEnd w:id="4139"/>
    </w:p>
    <w:p>
      <w:pPr>
        <w:pStyle w:val="BookText"/>
      </w:pPr>
      <w:r>
        <w:rPr>
          <w:rFonts w:ascii="Amiri" w:hAnsi="Amiri" w:eastAsia="Amiri" w:cs="Amiri"/>
          <w:lang w:bidi="ar-SA"/>
          <w:color w:val="111111"/>
          <w:sz w:val="28"/>
          <w:szCs w:val="28"/>
          <w:rtl/>
        </w:rPr>
        <w:t xml:space="preserve">1 .الاقناع في الفروع، ج 2، ص 631.</w:t>
      </w:r>
    </w:p>
    <w:p>
      <w:pPr>
        <w:pStyle w:val="BookText"/>
      </w:pPr>
      <w:r>
        <w:rPr>
          <w:rFonts w:ascii="Amiri" w:hAnsi="Amiri" w:eastAsia="Amiri" w:cs="Amiri"/>
          <w:lang w:bidi="ar-SA"/>
          <w:color w:val="111111"/>
          <w:sz w:val="28"/>
          <w:szCs w:val="28"/>
          <w:rtl/>
        </w:rPr>
        <w:t xml:space="preserve">2 .الاقناع في حل الفاظ ابي شجاع، ج2،</w:t>
      </w:r>
    </w:p>
    <w:p>
      <w:pPr>
        <w:pStyle w:val="BookText"/>
      </w:pPr>
      <w:r>
        <w:rPr>
          <w:rFonts w:ascii="IRNazanin" w:hAnsi="IRNazanin" w:eastAsia="IRNazanin" w:cs="IRNazanin"/>
          <w:lang w:bidi="fa-IR"/>
          <w:color w:val="111111"/>
          <w:sz w:val="28"/>
          <w:szCs w:val="28"/>
          <w:rtl/>
        </w:rPr>
        <w:t xml:space="preserve">ص 631.</w:t>
      </w:r>
    </w:p>
    <w:p>
      <w:pPr>
        <w:pStyle w:val="BookText"/>
      </w:pPr>
      <w:r>
        <w:rPr>
          <w:rFonts w:ascii="Amiri" w:hAnsi="Amiri" w:eastAsia="Amiri" w:cs="Amiri"/>
          <w:lang w:bidi="ar-SA"/>
          <w:color w:val="111111"/>
          <w:sz w:val="28"/>
          <w:szCs w:val="28"/>
          <w:rtl/>
        </w:rPr>
        <w:t xml:space="preserve">3 .البسملة و الحمد (رسالة في)، ج3،</w:t>
      </w:r>
    </w:p>
    <w:p>
      <w:pPr>
        <w:pStyle w:val="BookText"/>
      </w:pPr>
      <w:r>
        <w:rPr>
          <w:rFonts w:ascii="IRNazanin" w:hAnsi="IRNazanin" w:eastAsia="IRNazanin" w:cs="IRNazanin"/>
          <w:lang w:bidi="fa-IR"/>
          <w:color w:val="111111"/>
          <w:sz w:val="28"/>
          <w:szCs w:val="28"/>
          <w:rtl/>
        </w:rPr>
        <w:t xml:space="preserve">ص 332</w:t>
      </w:r>
    </w:p>
    <w:p>
      <w:pPr>
        <w:pStyle w:val="BookText"/>
      </w:pPr>
      <w:r>
        <w:rPr>
          <w:rFonts w:ascii="Amiri" w:hAnsi="Amiri" w:eastAsia="Amiri" w:cs="Amiri"/>
          <w:lang w:bidi="ar-SA"/>
          <w:color w:val="111111"/>
          <w:sz w:val="28"/>
          <w:szCs w:val="28"/>
          <w:rtl/>
        </w:rPr>
        <w:t xml:space="preserve">4 .السراج المنير في الاعانة على معرفة</w:t>
      </w:r>
    </w:p>
    <w:p>
      <w:pPr>
        <w:pStyle w:val="BookText"/>
      </w:pPr>
      <w:r>
        <w:rPr>
          <w:rFonts w:ascii="Amiri" w:hAnsi="Amiri" w:eastAsia="Amiri" w:cs="Amiri"/>
          <w:lang w:bidi="ar-SA"/>
          <w:color w:val="111111"/>
          <w:sz w:val="28"/>
          <w:szCs w:val="28"/>
          <w:rtl/>
        </w:rPr>
        <w:t xml:space="preserve">بعض كلام ربنا الحكيم الخبير</w:t>
      </w:r>
    </w:p>
    <w:p>
      <w:pPr>
        <w:pStyle w:val="BookText"/>
      </w:pPr>
      <w:r>
        <w:rPr>
          <w:rFonts w:ascii="Amiri" w:hAnsi="Amiri" w:eastAsia="Amiri" w:cs="Amiri"/>
          <w:lang w:bidi="ar-SA"/>
          <w:color w:val="111111"/>
          <w:sz w:val="28"/>
          <w:szCs w:val="28"/>
          <w:rtl/>
        </w:rPr>
        <w:t xml:space="preserve">تفسير خطيب شربيني، ج8،</w:t>
      </w:r>
    </w:p>
    <w:p>
      <w:pPr>
        <w:pStyle w:val="BookText"/>
      </w:pPr>
      <w:r>
        <w:rPr>
          <w:rFonts w:ascii="IRNazanin" w:hAnsi="IRNazanin" w:eastAsia="IRNazanin" w:cs="IRNazanin"/>
          <w:lang w:bidi="fa-IR"/>
          <w:color w:val="111111"/>
          <w:sz w:val="28"/>
          <w:szCs w:val="28"/>
          <w:rtl/>
        </w:rPr>
        <w:t xml:space="preserve">ص 740.</w:t>
      </w:r>
    </w:p>
    <w:p>
      <w:pPr>
        <w:pStyle w:val="BookText"/>
      </w:pPr>
      <w:r>
        <w:rPr>
          <w:rFonts w:ascii="IRNazanin" w:hAnsi="IRNazanin" w:eastAsia="IRNazanin" w:cs="IRNazanin"/>
          <w:lang w:bidi="fa-IR"/>
          <w:color w:val="111111"/>
          <w:sz w:val="28"/>
          <w:szCs w:val="28"/>
          <w:rtl/>
        </w:rPr>
        <w:t xml:space="preserve">5 .شرح شواهد قطر الندى، ج9،</w:t>
      </w:r>
    </w:p>
    <w:p>
      <w:pPr>
        <w:pStyle w:val="BookText"/>
      </w:pPr>
      <w:r>
        <w:rPr>
          <w:rFonts w:ascii="IRNazanin" w:hAnsi="IRNazanin" w:eastAsia="IRNazanin" w:cs="IRNazanin"/>
          <w:lang w:bidi="fa-IR"/>
          <w:color w:val="111111"/>
          <w:sz w:val="28"/>
          <w:szCs w:val="28"/>
          <w:rtl/>
        </w:rPr>
        <w:t xml:space="preserve">ص 656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8" w:name="pg7742_70311"/>
    <w:bookmarkEnd w:id="458"/>
    <w:p>
      <w:pPr>
        <w:pStyle w:val="BookText"/>
      </w:pPr>
      <w:r>
        <w:rPr>
          <w:rFonts w:ascii="Amiri" w:hAnsi="Amiri" w:eastAsia="Amiri" w:cs="Amiri"/>
          <w:lang w:bidi="ar-SA"/>
          <w:color w:val="111111"/>
          <w:sz w:val="28"/>
          <w:szCs w:val="28"/>
          <w:rtl/>
        </w:rPr>
        <w:t xml:space="preserve">6 . غاية الأختصار، ج11، ص 427.</w:t>
      </w:r>
    </w:p>
    <w:p>
      <w:pPr>
        <w:pStyle w:val="BookText"/>
      </w:pPr>
      <w:r>
        <w:rPr>
          <w:rFonts w:ascii="Amiri" w:hAnsi="Amiri" w:eastAsia="Amiri" w:cs="Amiri"/>
          <w:lang w:bidi="ar-SA"/>
          <w:color w:val="111111"/>
          <w:sz w:val="28"/>
          <w:szCs w:val="28"/>
          <w:rtl/>
        </w:rPr>
        <w:t xml:space="preserve">7 .مغني المحتاج إلى معرفة معاني</w:t>
      </w:r>
    </w:p>
    <w:p>
      <w:pPr>
        <w:pStyle w:val="BookText"/>
      </w:pPr>
      <w:r>
        <w:rPr>
          <w:rFonts w:ascii="IRNazanin" w:hAnsi="IRNazanin" w:eastAsia="IRNazanin" w:cs="IRNazanin"/>
          <w:lang w:bidi="fa-IR"/>
          <w:color w:val="111111"/>
          <w:sz w:val="28"/>
          <w:szCs w:val="28"/>
          <w:rtl/>
        </w:rPr>
        <w:t xml:space="preserve">ألفاظ المنهاج، ج 15 ، ص 142 .</w:t>
      </w:r>
    </w:p>
    <w:p>
      <w:pPr>
        <w:pStyle w:val="BookText"/>
      </w:pPr>
      <w:r>
        <w:rPr>
          <w:rFonts w:ascii="Amiri" w:hAnsi="Amiri" w:eastAsia="Amiri" w:cs="Amiri"/>
          <w:lang w:bidi="ar-SA"/>
          <w:color w:val="111111"/>
          <w:sz w:val="28"/>
          <w:szCs w:val="28"/>
          <w:rtl/>
        </w:rPr>
        <w:t xml:space="preserve">8 مناسك الحج، ج 15 ، ص 498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نور السجية في حل الفاظ الآجرومية، ج 16، ص 560.</w:t>
      </w:r>
    </w:p>
    <w:p>
      <w:pPr>
        <w:pStyle w:val="Heading2"/>
      </w:pPr>
      <w:bookmarkStart w:id="4140" w:name="_Toc3242"/>
      <w:r>
        <w:t>خطيب ، صالح بن عباس</w:t>
      </w:r>
      <w:bookmarkEnd w:id="4140"/>
    </w:p>
    <w:p>
      <w:pPr>
        <w:pStyle w:val="BookText"/>
      </w:pPr>
      <w:r>
        <w:rPr>
          <w:rFonts w:ascii="Amiri" w:hAnsi="Amiri" w:eastAsia="Amiri" w:cs="Amiri"/>
          <w:lang w:bidi="ar-SA"/>
          <w:color w:val="111111"/>
          <w:sz w:val="28"/>
          <w:szCs w:val="28"/>
          <w:rtl/>
        </w:rPr>
        <w:t xml:space="preserve">1 .حديقة السعداء في احوال سيد</w:t>
      </w:r>
    </w:p>
    <w:p>
      <w:pPr>
        <w:pStyle w:val="BookText"/>
      </w:pPr>
      <w:r>
        <w:rPr>
          <w:rFonts w:ascii="IRNazanin" w:hAnsi="IRNazanin" w:eastAsia="IRNazanin" w:cs="IRNazanin"/>
          <w:lang w:bidi="fa-IR"/>
          <w:color w:val="111111"/>
          <w:sz w:val="28"/>
          <w:szCs w:val="28"/>
          <w:rtl/>
        </w:rPr>
        <w:t xml:space="preserve">الشهداء، ج 6، ص 588.</w:t>
      </w:r>
    </w:p>
    <w:p>
      <w:pPr>
        <w:pStyle w:val="BookText"/>
      </w:pPr>
      <w:r>
        <w:rPr>
          <w:rFonts w:ascii="Amiri" w:hAnsi="Amiri" w:eastAsia="Amiri" w:cs="Amiri"/>
          <w:lang w:bidi="ar-SA"/>
          <w:color w:val="111111"/>
          <w:sz w:val="28"/>
          <w:szCs w:val="28"/>
          <w:rtl/>
        </w:rPr>
        <w:t xml:space="preserve">2 .ري العطاش، ج8، ص 517.</w:t>
      </w:r>
    </w:p>
    <w:p>
      <w:pPr>
        <w:pStyle w:val="BookText"/>
      </w:pPr>
      <w:r>
        <w:rPr>
          <w:rFonts w:ascii="Amiri" w:hAnsi="Amiri" w:eastAsia="Amiri" w:cs="Amiri"/>
          <w:lang w:bidi="ar-SA"/>
          <w:color w:val="111111"/>
          <w:sz w:val="28"/>
          <w:szCs w:val="28"/>
          <w:rtl/>
        </w:rPr>
        <w:t xml:space="preserve">3 .قبة العجلان، ج 12، ص 371</w:t>
      </w:r>
    </w:p>
    <w:p>
      <w:pPr>
        <w:pStyle w:val="BookText"/>
      </w:pPr>
      <w:r>
        <w:rPr>
          <w:rFonts w:ascii="Amiri" w:hAnsi="Amiri" w:eastAsia="Amiri" w:cs="Amiri"/>
          <w:lang w:bidi="ar-SA"/>
          <w:color w:val="111111"/>
          <w:sz w:val="28"/>
          <w:szCs w:val="28"/>
          <w:rtl/>
        </w:rPr>
        <w:t xml:space="preserve">4 .المجالس الصالحية، ج13، ص 796.</w:t>
      </w:r>
    </w:p>
    <w:p>
      <w:pPr>
        <w:pStyle w:val="BookText"/>
      </w:pPr>
      <w:r>
        <w:rPr>
          <w:rFonts w:ascii="Amiri" w:hAnsi="Amiri" w:eastAsia="Amiri" w:cs="Amiri"/>
          <w:lang w:bidi="ar-SA"/>
          <w:color w:val="111111"/>
          <w:sz w:val="28"/>
          <w:szCs w:val="28"/>
          <w:rtl/>
        </w:rPr>
        <w:t xml:space="preserve">5 .المجموعة البصرية، ج 14، ص 24.</w:t>
      </w:r>
    </w:p>
    <w:p>
      <w:pPr>
        <w:pStyle w:val="BookText"/>
      </w:pPr>
      <w:r>
        <w:rPr>
          <w:rFonts w:ascii="Amiri" w:hAnsi="Amiri" w:eastAsia="Amiri" w:cs="Amiri"/>
          <w:lang w:bidi="ar-SA"/>
          <w:color w:val="111111"/>
          <w:sz w:val="28"/>
          <w:szCs w:val="28"/>
          <w:rtl/>
        </w:rPr>
        <w:t xml:space="preserve">6 .مجموعة شعرية، ج 14 ، ص 40 .</w:t>
      </w:r>
    </w:p>
    <w:p>
      <w:pPr>
        <w:pStyle w:val="BookText"/>
      </w:pPr>
      <w:r>
        <w:rPr>
          <w:rFonts w:ascii="Amiri" w:hAnsi="Amiri" w:eastAsia="Amiri" w:cs="Amiri"/>
          <w:lang w:bidi="ar-SA"/>
          <w:color w:val="111111"/>
          <w:sz w:val="28"/>
          <w:szCs w:val="28"/>
          <w:rtl/>
        </w:rPr>
        <w:t xml:space="preserve">7 .مجموعة في أحوال الرجال، ج 14،</w:t>
      </w:r>
    </w:p>
    <w:p>
      <w:pPr>
        <w:pStyle w:val="BookText"/>
      </w:pPr>
      <w:r>
        <w:rPr>
          <w:rFonts w:ascii="IRNazanin" w:hAnsi="IRNazanin" w:eastAsia="IRNazanin" w:cs="IRNazanin"/>
          <w:lang w:bidi="fa-IR"/>
          <w:color w:val="111111"/>
          <w:sz w:val="28"/>
          <w:szCs w:val="28"/>
          <w:rtl/>
        </w:rPr>
        <w:t xml:space="preserve">ص 47 .</w:t>
      </w:r>
    </w:p>
    <w:p>
      <w:pPr>
        <w:pStyle w:val="BookText"/>
      </w:pPr>
      <w:r>
        <w:rPr>
          <w:rFonts w:ascii="Amiri" w:hAnsi="Amiri" w:eastAsia="Amiri" w:cs="Amiri"/>
          <w:lang w:bidi="ar-SA"/>
          <w:color w:val="111111"/>
          <w:sz w:val="28"/>
          <w:szCs w:val="28"/>
          <w:rtl/>
        </w:rPr>
        <w:t xml:space="preserve">8 .مجموعة مجالس، ج 14، ص 55.</w:t>
      </w:r>
    </w:p>
    <w:p>
      <w:pPr>
        <w:pStyle w:val="BookText"/>
      </w:pPr>
      <w:r>
        <w:rPr>
          <w:rFonts w:ascii="Amiri" w:hAnsi="Amiri" w:eastAsia="Amiri" w:cs="Amiri"/>
          <w:lang w:bidi="ar-SA"/>
          <w:color w:val="111111"/>
          <w:sz w:val="28"/>
          <w:szCs w:val="28"/>
          <w:rtl/>
        </w:rPr>
        <w:t xml:space="preserve">9 .مجموعة مجالس في قصص الأنبياء،</w:t>
      </w:r>
    </w:p>
    <w:p>
      <w:pPr>
        <w:pStyle w:val="BookText"/>
      </w:pPr>
      <w:r>
        <w:rPr>
          <w:rFonts w:ascii="IRNazanin" w:hAnsi="IRNazanin" w:eastAsia="IRNazanin" w:cs="IRNazanin"/>
          <w:lang w:bidi="fa-IR"/>
          <w:color w:val="111111"/>
          <w:sz w:val="28"/>
          <w:szCs w:val="28"/>
          <w:rtl/>
        </w:rPr>
        <w:t xml:space="preserve">ج 14، ص 55.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مجموع في أحوال الإمام الجواد و الهادي والعسكري، ج 14، ص 69.</w:t>
      </w:r>
    </w:p>
    <w:p>
      <w:pPr>
        <w:pStyle w:val="BookText"/>
      </w:pPr>
      <w:r>
        <w:rPr>
          <w:rFonts w:ascii="Amiri" w:hAnsi="Amiri" w:eastAsia="Amiri" w:cs="Amiri"/>
          <w:lang w:bidi="ar-SA"/>
          <w:color w:val="111111"/>
          <w:sz w:val="28"/>
          <w:szCs w:val="28"/>
          <w:rtl/>
        </w:rPr>
        <w:t xml:space="preserve">11 .مجموع في أحوال الإمامين السجاد</w:t>
      </w:r>
    </w:p>
    <w:p>
      <w:pPr>
        <w:pStyle w:val="BookText"/>
      </w:pPr>
      <w:r>
        <w:rPr>
          <w:rFonts w:ascii="IRNazanin" w:hAnsi="IRNazanin" w:eastAsia="IRNazanin" w:cs="IRNazanin"/>
          <w:lang w:bidi="fa-IR"/>
          <w:color w:val="111111"/>
          <w:sz w:val="28"/>
          <w:szCs w:val="28"/>
          <w:rtl/>
        </w:rPr>
        <w:t xml:space="preserve">و الباقر، ج 14 ، ص 69.</w:t>
      </w:r>
    </w:p>
    <w:p>
      <w:pPr>
        <w:pStyle w:val="BookText"/>
      </w:pPr>
      <w:r>
        <w:rPr>
          <w:rFonts w:ascii="Amiri" w:hAnsi="Amiri" w:eastAsia="Amiri" w:cs="Amiri"/>
          <w:lang w:bidi="ar-SA"/>
          <w:color w:val="111111"/>
          <w:sz w:val="28"/>
          <w:szCs w:val="28"/>
          <w:rtl/>
        </w:rPr>
        <w:t xml:space="preserve">خطيب ، صالح بن محمّد- تمرتاشي ، صالح</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خطيب ، عبد الرحيم بن محمّد- ابن نباته</w:t>
      </w:r>
    </w:p>
    <w:p>
      <w:pPr>
        <w:pStyle w:val="BookText"/>
      </w:pPr>
      <w:r>
        <w:rPr>
          <w:rFonts w:ascii="IRNazanin" w:hAnsi="IRNazanin" w:eastAsia="IRNazanin" w:cs="IRNazanin"/>
          <w:lang w:bidi="fa-IR"/>
          <w:color w:val="111111"/>
          <w:sz w:val="28"/>
          <w:szCs w:val="28"/>
          <w:rtl/>
        </w:rPr>
        <w:t xml:space="preserve">، عبدالرحیم بن محمّد</w:t>
      </w:r>
    </w:p>
    <w:p>
      <w:pPr>
        <w:pStyle w:val="BookText"/>
      </w:pPr>
      <w:r>
        <w:rPr>
          <w:rFonts w:ascii="Amiri" w:hAnsi="Amiri" w:eastAsia="Amiri" w:cs="Amiri"/>
          <w:lang w:bidi="ar-SA"/>
          <w:color w:val="111111"/>
          <w:sz w:val="28"/>
          <w:szCs w:val="28"/>
          <w:rtl/>
        </w:rPr>
        <w:t xml:space="preserve">خطيب عمري ، محمّد امين بن خير الله -عمري ، محمّد امين بن خير الله</w:t>
      </w:r>
    </w:p>
    <w:p>
      <w:pPr>
        <w:pStyle w:val="Heading2"/>
      </w:pPr>
      <w:bookmarkStart w:id="4141" w:name="_Toc3243"/>
      <w:r>
        <w:t>خطيب عمري محمّد بن عبدالله - 9749ه-</w:t>
      </w:r>
      <w:bookmarkEnd w:id="4141"/>
    </w:p>
    <w:p>
      <w:pPr>
        <w:pStyle w:val="BookText"/>
      </w:pPr>
      <w:r>
        <w:rPr>
          <w:rFonts w:ascii="Amiri" w:hAnsi="Amiri" w:eastAsia="Amiri" w:cs="Amiri"/>
          <w:lang w:bidi="ar-SA"/>
          <w:color w:val="111111"/>
          <w:sz w:val="28"/>
          <w:szCs w:val="28"/>
          <w:rtl/>
        </w:rPr>
        <w:t xml:space="preserve">1 .اسماء رجال المشكاة، ج 2، ص 224.</w:t>
      </w:r>
    </w:p>
    <w:p>
      <w:pPr>
        <w:pStyle w:val="BookText"/>
      </w:pPr>
      <w:r>
        <w:rPr>
          <w:rFonts w:ascii="Amiri" w:hAnsi="Amiri" w:eastAsia="Amiri" w:cs="Amiri"/>
          <w:lang w:bidi="ar-SA"/>
          <w:color w:val="111111"/>
          <w:sz w:val="28"/>
          <w:szCs w:val="28"/>
          <w:rtl/>
        </w:rPr>
        <w:t xml:space="preserve">2 .مشكاة المصابيح، ج 14، ص 638.</w:t>
      </w:r>
    </w:p>
    <w:p>
      <w:pPr>
        <w:pStyle w:val="Heading2"/>
      </w:pPr>
      <w:bookmarkStart w:id="4142" w:name="_Toc3244"/>
      <w:r>
        <w:t>خطيب عمري ، ياسين بن خيرالله، 1157 -</w:t>
      </w:r>
      <w:bookmarkEnd w:id="4142"/>
    </w:p>
    <w:p>
      <w:pPr>
        <w:pStyle w:val="BookText"/>
      </w:pPr>
      <w:r>
        <w:rPr>
          <w:rFonts w:ascii="IRNazanin" w:hAnsi="IRNazanin" w:eastAsia="IRNazanin" w:cs="IRNazanin"/>
          <w:lang w:bidi="fa-IR"/>
          <w:color w:val="111111"/>
          <w:sz w:val="28"/>
          <w:szCs w:val="28"/>
          <w:rtl/>
        </w:rPr>
        <w:t xml:space="preserve">1232ه-</w:t>
      </w:r>
    </w:p>
    <w:p>
      <w:pPr>
        <w:pStyle w:val="BookText"/>
      </w:pPr>
      <w:r>
        <w:rPr>
          <w:rFonts w:ascii="Amiri" w:hAnsi="Amiri" w:eastAsia="Amiri" w:cs="Amiri"/>
          <w:lang w:bidi="ar-SA"/>
          <w:color w:val="111111"/>
          <w:sz w:val="28"/>
          <w:szCs w:val="28"/>
          <w:rtl/>
        </w:rPr>
        <w:t xml:space="preserve">1 .الآثار الجلية في الحوادث الأرضية</w:t>
      </w:r>
    </w:p>
    <w:p>
      <w:pPr>
        <w:pStyle w:val="BookText"/>
      </w:pPr>
      <w:r>
        <w:rPr>
          <w:rFonts w:ascii="IRNazanin" w:hAnsi="IRNazanin" w:eastAsia="IRNazanin" w:cs="IRNazanin"/>
          <w:lang w:bidi="fa-IR"/>
          <w:color w:val="111111"/>
          <w:sz w:val="28"/>
          <w:szCs w:val="28"/>
          <w:rtl/>
        </w:rPr>
        <w:t xml:space="preserve">ج 1، ص 7 .</w:t>
      </w:r>
    </w:p>
    <w:p>
      <w:pPr>
        <w:pStyle w:val="BookText"/>
      </w:pPr>
      <w:r>
        <w:rPr>
          <w:rFonts w:ascii="IRNazanin" w:hAnsi="IRNazanin" w:eastAsia="IRNazanin" w:cs="IRNazanin"/>
          <w:lang w:bidi="fa-IR"/>
          <w:color w:val="111111"/>
          <w:sz w:val="28"/>
          <w:szCs w:val="28"/>
          <w:rtl/>
        </w:rPr>
        <w:t xml:space="preserve">2 .حوادث الموصل عام 1170ه-</w:t>
      </w:r>
    </w:p>
    <w:p>
      <w:pPr>
        <w:pStyle w:val="BookText"/>
      </w:pPr>
      <w:r>
        <w:rPr>
          <w:rFonts w:ascii="Amiri" w:hAnsi="Amiri" w:eastAsia="Amiri" w:cs="Amiri"/>
          <w:lang w:bidi="ar-SA"/>
          <w:color w:val="111111"/>
          <w:sz w:val="28"/>
          <w:szCs w:val="28"/>
          <w:rtl/>
        </w:rPr>
        <w:t xml:space="preserve">منظومة في)، ج6، ص 829.</w:t>
      </w:r>
    </w:p>
    <w:p>
      <w:pPr>
        <w:pStyle w:val="BookText"/>
      </w:pPr>
      <w:r>
        <w:rPr>
          <w:rFonts w:ascii="Amiri" w:hAnsi="Amiri" w:eastAsia="Amiri" w:cs="Amiri"/>
          <w:lang w:bidi="ar-SA"/>
          <w:color w:val="111111"/>
          <w:sz w:val="28"/>
          <w:szCs w:val="28"/>
          <w:rtl/>
        </w:rPr>
        <w:t xml:space="preserve">3 .الدر المنتثر في تراجم ادباء القرن</w:t>
      </w:r>
    </w:p>
    <w:p>
      <w:pPr>
        <w:pStyle w:val="BookText"/>
      </w:pPr>
      <w:r>
        <w:rPr>
          <w:rFonts w:ascii="IRNazanin" w:hAnsi="IRNazanin" w:eastAsia="IRNazanin" w:cs="IRNazanin"/>
          <w:lang w:bidi="fa-IR"/>
          <w:color w:val="111111"/>
          <w:sz w:val="28"/>
          <w:szCs w:val="28"/>
          <w:rtl/>
        </w:rPr>
        <w:t xml:space="preserve">الثالث عشر، ج 7، ص338.</w:t>
      </w:r>
    </w:p>
    <w:p>
      <w:pPr>
        <w:pStyle w:val="BookText"/>
      </w:pPr>
      <w:r>
        <w:rPr>
          <w:rFonts w:ascii="Amiri" w:hAnsi="Amiri" w:eastAsia="Amiri" w:cs="Amiri"/>
          <w:lang w:bidi="ar-SA"/>
          <w:color w:val="111111"/>
          <w:sz w:val="28"/>
          <w:szCs w:val="28"/>
          <w:rtl/>
        </w:rPr>
        <w:t xml:space="preserve">4 .ديوان خطيب عمري، ج 7، ص 637.</w:t>
      </w:r>
    </w:p>
    <w:p>
      <w:pPr>
        <w:pStyle w:val="BookText"/>
      </w:pPr>
      <w:r>
        <w:rPr>
          <w:rFonts w:ascii="Amiri" w:hAnsi="Amiri" w:eastAsia="Amiri" w:cs="Amiri"/>
          <w:lang w:bidi="ar-SA"/>
          <w:color w:val="111111"/>
          <w:sz w:val="28"/>
          <w:szCs w:val="28"/>
          <w:rtl/>
        </w:rPr>
        <w:t xml:space="preserve">5 .الروضة الفيحاء في تواريخ النساء</w:t>
      </w:r>
    </w:p>
    <w:p>
      <w:pPr>
        <w:pStyle w:val="BookText"/>
      </w:pPr>
      <w:r>
        <w:rPr>
          <w:rFonts w:ascii="IRNazanin" w:hAnsi="IRNazanin" w:eastAsia="IRNazanin" w:cs="IRNazanin"/>
          <w:lang w:bidi="fa-IR"/>
          <w:color w:val="111111"/>
          <w:sz w:val="28"/>
          <w:szCs w:val="28"/>
          <w:rtl/>
        </w:rPr>
        <w:t xml:space="preserve">ج 8، ص 448.</w:t>
      </w:r>
    </w:p>
    <w:p>
      <w:pPr>
        <w:pStyle w:val="BookText"/>
      </w:pPr>
      <w:r>
        <w:rPr>
          <w:rFonts w:ascii="Amiri" w:hAnsi="Amiri" w:eastAsia="Amiri" w:cs="Amiri"/>
          <w:lang w:bidi="ar-SA"/>
          <w:color w:val="111111"/>
          <w:sz w:val="28"/>
          <w:szCs w:val="28"/>
          <w:rtl/>
        </w:rPr>
        <w:t xml:space="preserve">6 .السيف المهند في مناقب من سمي</w:t>
      </w:r>
    </w:p>
    <w:p>
      <w:pPr>
        <w:pStyle w:val="BookText"/>
      </w:pPr>
      <w:r>
        <w:rPr>
          <w:rFonts w:ascii="IRNazanin" w:hAnsi="IRNazanin" w:eastAsia="IRNazanin" w:cs="IRNazanin"/>
          <w:lang w:bidi="fa-IR"/>
          <w:color w:val="111111"/>
          <w:sz w:val="28"/>
          <w:szCs w:val="28"/>
          <w:rtl/>
        </w:rPr>
        <w:t xml:space="preserve">احمد، ج 9، ص 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العذب الصافي في تسهيل القوافي</w:t>
      </w:r>
    </w:p>
    <w:p>
      <w:pPr>
        <w:pStyle w:val="BookText"/>
      </w:pPr>
      <w:r>
        <w:rPr>
          <w:rFonts w:ascii="IRNazanin" w:hAnsi="IRNazanin" w:eastAsia="IRNazanin" w:cs="IRNazanin"/>
          <w:lang w:bidi="fa-IR"/>
          <w:color w:val="111111"/>
          <w:sz w:val="28"/>
          <w:szCs w:val="28"/>
          <w:rtl/>
        </w:rPr>
        <w:t xml:space="preserve">ج 11، ص 72.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عمدة البيان في تصاريف الزمان</w:t>
      </w:r>
    </w:p>
    <w:p>
      <w:pPr>
        <w:pStyle w:val="BookText"/>
      </w:pPr>
      <w:r>
        <w:rPr>
          <w:rFonts w:ascii="IRNazanin" w:hAnsi="IRNazanin" w:eastAsia="IRNazanin" w:cs="IRNazanin"/>
          <w:lang w:bidi="fa-IR"/>
          <w:color w:val="111111"/>
          <w:sz w:val="28"/>
          <w:szCs w:val="28"/>
          <w:rtl/>
        </w:rPr>
        <w:t xml:space="preserve">ج 11، ص 289</w:t>
      </w:r>
    </w:p>
    <w:p>
      <w:pPr>
        <w:pStyle w:val="BookText"/>
      </w:pPr>
      <w:r>
        <w:rPr>
          <w:rFonts w:ascii="Amiri" w:hAnsi="Amiri" w:eastAsia="Amiri" w:cs="Amiri"/>
          <w:lang w:bidi="ar-SA"/>
          <w:color w:val="111111"/>
          <w:sz w:val="28"/>
          <w:szCs w:val="28"/>
          <w:rtl/>
        </w:rPr>
        <w:t xml:space="preserve">9 .عنوان الاعيان في ذكر ملوك الزمان</w:t>
      </w:r>
    </w:p>
    <w:p>
      <w:pPr>
        <w:pStyle w:val="BookText"/>
      </w:pPr>
      <w:r>
        <w:rPr>
          <w:rFonts w:ascii="IRNazanin" w:hAnsi="IRNazanin" w:eastAsia="IRNazanin" w:cs="IRNazanin"/>
          <w:lang w:bidi="fa-IR"/>
          <w:color w:val="111111"/>
          <w:sz w:val="28"/>
          <w:szCs w:val="28"/>
          <w:rtl/>
        </w:rPr>
        <w:t xml:space="preserve">ج 11 ، ص 336 .</w:t>
      </w:r>
    </w:p>
    <w:p>
      <w:pPr>
        <w:pStyle w:val="BookText"/>
      </w:pPr>
      <w:r>
        <w:rPr>
          <w:rFonts w:ascii="Amiri" w:hAnsi="Amiri" w:eastAsia="Amiri" w:cs="Amiri"/>
          <w:lang w:bidi="ar-SA"/>
          <w:color w:val="111111"/>
          <w:sz w:val="28"/>
          <w:szCs w:val="28"/>
          <w:rtl/>
        </w:rPr>
        <w:t xml:space="preserve">10 .عيون الآداب وصفوة الألباب</w:t>
      </w:r>
    </w:p>
    <w:p>
      <w:pPr>
        <w:pStyle w:val="BookText"/>
      </w:pPr>
      <w:r>
        <w:rPr>
          <w:rFonts w:ascii="IRNazanin" w:hAnsi="IRNazanin" w:eastAsia="IRNazanin" w:cs="IRNazanin"/>
          <w:lang w:bidi="fa-IR"/>
          <w:color w:val="111111"/>
          <w:sz w:val="28"/>
          <w:szCs w:val="28"/>
          <w:rtl/>
        </w:rPr>
        <w:t xml:space="preserve">ج 11، ص 386.</w:t>
      </w:r>
    </w:p>
    <w:p>
      <w:pPr>
        <w:pStyle w:val="BookText"/>
      </w:pPr>
      <w:r>
        <w:rPr>
          <w:rFonts w:ascii="Amiri" w:hAnsi="Amiri" w:eastAsia="Amiri" w:cs="Amiri"/>
          <w:lang w:bidi="ar-SA"/>
          <w:color w:val="111111"/>
          <w:sz w:val="28"/>
          <w:szCs w:val="28"/>
          <w:rtl/>
        </w:rPr>
        <w:t xml:space="preserve">11 .غاية المرام في تاريخ محاسن بغداد</w:t>
      </w:r>
    </w:p>
    <w:p>
      <w:pPr>
        <w:pStyle w:val="BookText"/>
      </w:pPr>
      <w:r>
        <w:rPr>
          <w:rFonts w:ascii="IRNazanin" w:hAnsi="IRNazanin" w:eastAsia="IRNazanin" w:cs="IRNazanin"/>
          <w:lang w:bidi="fa-IR"/>
          <w:color w:val="111111"/>
          <w:sz w:val="28"/>
          <w:szCs w:val="28"/>
          <w:rtl/>
        </w:rPr>
        <w:t xml:space="preserve">دارالسلام، ج 11، ص 450 .</w:t>
      </w:r>
    </w:p>
    <w:p>
      <w:pPr>
        <w:pStyle w:val="BookText"/>
      </w:pPr>
      <w:r>
        <w:rPr>
          <w:rFonts w:ascii="Amiri" w:hAnsi="Amiri" w:eastAsia="Amiri" w:cs="Amiri"/>
          <w:lang w:bidi="ar-SA"/>
          <w:color w:val="111111"/>
          <w:sz w:val="28"/>
          <w:szCs w:val="28"/>
          <w:rtl/>
        </w:rPr>
        <w:t xml:space="preserve">12 .غرائب الاثر في حوادث ربع القرن</w:t>
      </w:r>
    </w:p>
    <w:p>
      <w:pPr>
        <w:pStyle w:val="BookText"/>
      </w:pPr>
      <w:r>
        <w:rPr>
          <w:rFonts w:ascii="IRNazanin" w:hAnsi="IRNazanin" w:eastAsia="IRNazanin" w:cs="IRNazanin"/>
          <w:lang w:bidi="fa-IR"/>
          <w:color w:val="111111"/>
          <w:sz w:val="28"/>
          <w:szCs w:val="28"/>
          <w:rtl/>
        </w:rPr>
        <w:t xml:space="preserve">الثالث عشر، ج 11، ص 462.</w:t>
      </w:r>
    </w:p>
    <w:p>
      <w:pPr>
        <w:pStyle w:val="BookText"/>
      </w:pPr>
      <w:r>
        <w:rPr>
          <w:rFonts w:ascii="Amiri" w:hAnsi="Amiri" w:eastAsia="Amiri" w:cs="Amiri"/>
          <w:lang w:bidi="ar-SA"/>
          <w:color w:val="111111"/>
          <w:sz w:val="28"/>
          <w:szCs w:val="28"/>
          <w:rtl/>
        </w:rPr>
        <w:t xml:space="preserve">13 .قرة العينين في تراجم الحسن و</w:t>
      </w:r>
    </w:p>
    <w:p>
      <w:pPr>
        <w:pStyle w:val="BookText"/>
      </w:pPr>
      <w:r>
        <w:rPr>
          <w:rFonts w:ascii="Amiri" w:hAnsi="Amiri" w:eastAsia="Amiri" w:cs="Amiri"/>
          <w:lang w:bidi="ar-SA"/>
          <w:color w:val="111111"/>
          <w:sz w:val="28"/>
          <w:szCs w:val="28"/>
          <w:rtl/>
        </w:rPr>
        <w:t xml:space="preserve">الحسين، ج 12، ص 570.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منهج الثقاة في تراجم القضاة</w:t>
      </w:r>
    </w:p>
    <w:p>
      <w:pPr>
        <w:pStyle w:val="BookText"/>
      </w:pPr>
      <w:r>
        <w:rPr>
          <w:rFonts w:ascii="IRNazanin" w:hAnsi="IRNazanin" w:eastAsia="IRNazanin" w:cs="IRNazanin"/>
          <w:lang w:bidi="fa-IR"/>
          <w:color w:val="111111"/>
          <w:sz w:val="28"/>
          <w:szCs w:val="28"/>
          <w:rtl/>
        </w:rPr>
        <w:t xml:space="preserve">ج 15 ، ص 793.</w:t>
      </w:r>
    </w:p>
    <w:p>
      <w:pPr>
        <w:pStyle w:val="BookText"/>
      </w:pPr>
      <w:r>
        <w:rPr>
          <w:rFonts w:ascii="Amiri" w:hAnsi="Amiri" w:eastAsia="Amiri" w:cs="Amiri"/>
          <w:lang w:bidi="ar-SA"/>
          <w:color w:val="111111"/>
          <w:sz w:val="28"/>
          <w:szCs w:val="28"/>
          <w:rtl/>
        </w:rPr>
        <w:t xml:space="preserve">15 .منية الادباء في تاريخ الموصل</w:t>
      </w:r>
    </w:p>
    <w:p>
      <w:pPr>
        <w:pStyle w:val="BookText"/>
      </w:pPr>
      <w:r>
        <w:rPr>
          <w:rFonts w:ascii="IRNazanin" w:hAnsi="IRNazanin" w:eastAsia="IRNazanin" w:cs="IRNazanin"/>
          <w:lang w:bidi="fa-IR"/>
          <w:color w:val="111111"/>
          <w:sz w:val="28"/>
          <w:szCs w:val="28"/>
          <w:rtl/>
        </w:rPr>
        <w:t xml:space="preserve">الحدباء، ج 15، ص 819.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9" w:name="pg7742_70313"/>
    <w:bookmarkEnd w:id="459"/>
    <w:p>
      <w:pPr>
        <w:pStyle w:val="BookText"/>
      </w:pPr>
      <w:r>
        <w:rPr>
          <w:rFonts w:ascii="Amiri" w:hAnsi="Amiri" w:eastAsia="Amiri" w:cs="Amiri"/>
          <w:lang w:bidi="ar-SA"/>
          <w:color w:val="111111"/>
          <w:sz w:val="28"/>
          <w:szCs w:val="28"/>
          <w:rtl/>
        </w:rPr>
        <w:t xml:space="preserve">خطيب قادري ، عثمان بن يوسف- قادري</w:t>
      </w:r>
    </w:p>
    <w:p>
      <w:pPr>
        <w:pStyle w:val="BookText"/>
      </w:pPr>
      <w:r>
        <w:rPr>
          <w:rFonts w:ascii="Amiri" w:hAnsi="Amiri" w:eastAsia="Amiri" w:cs="Amiri"/>
          <w:lang w:bidi="ar-SA"/>
          <w:color w:val="111111"/>
          <w:sz w:val="28"/>
          <w:szCs w:val="28"/>
          <w:rtl/>
        </w:rPr>
        <w:t xml:space="preserve">، عثمان بن يوسف</w:t>
      </w:r>
    </w:p>
    <w:p>
      <w:pPr>
        <w:pStyle w:val="Heading2"/>
      </w:pPr>
      <w:bookmarkStart w:id="4143" w:name="_Toc3245"/>
      <w:r>
        <w:t>خطيب قزويني ، محمّد بن عبدالرحمن</w:t>
      </w:r>
      <w:bookmarkEnd w:id="4143"/>
    </w:p>
    <w:p>
      <w:pPr>
        <w:pStyle w:val="BookText"/>
      </w:pPr>
      <w:r>
        <w:rPr>
          <w:rFonts w:ascii="IRNazanin" w:hAnsi="IRNazanin" w:eastAsia="IRNazanin" w:cs="IRNazanin"/>
          <w:lang w:bidi="fa-IR"/>
          <w:color w:val="111111"/>
          <w:sz w:val="28"/>
          <w:szCs w:val="28"/>
          <w:rtl/>
        </w:rPr>
        <w:t xml:space="preserve">666 - 739 ه-</w:t>
      </w:r>
    </w:p>
    <w:p>
      <w:pPr>
        <w:pStyle w:val="BookText"/>
      </w:pPr>
      <w:r>
        <w:rPr>
          <w:rFonts w:ascii="Amiri" w:hAnsi="Amiri" w:eastAsia="Amiri" w:cs="Amiri"/>
          <w:lang w:bidi="ar-SA"/>
          <w:color w:val="111111"/>
          <w:sz w:val="28"/>
          <w:szCs w:val="28"/>
          <w:rtl/>
        </w:rPr>
        <w:t xml:space="preserve">1 .الايضاح في المعاني والبيان، ج3،</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تلخيص المفتاح في المعاني والبيان</w:t>
      </w:r>
    </w:p>
    <w:p>
      <w:pPr>
        <w:pStyle w:val="BookText"/>
      </w:pPr>
      <w:r>
        <w:rPr>
          <w:rFonts w:ascii="IRNazanin" w:hAnsi="IRNazanin" w:eastAsia="IRNazanin" w:cs="IRNazanin"/>
          <w:lang w:bidi="fa-IR"/>
          <w:color w:val="111111"/>
          <w:sz w:val="28"/>
          <w:szCs w:val="28"/>
          <w:rtl/>
        </w:rPr>
        <w:t xml:space="preserve">ج 4، ص 859.</w:t>
      </w:r>
    </w:p>
    <w:p>
      <w:pPr>
        <w:pStyle w:val="BookText"/>
      </w:pPr>
      <w:r>
        <w:rPr>
          <w:rFonts w:ascii="Amiri" w:hAnsi="Amiri" w:eastAsia="Amiri" w:cs="Amiri"/>
          <w:lang w:bidi="ar-SA"/>
          <w:color w:val="111111"/>
          <w:sz w:val="28"/>
          <w:szCs w:val="28"/>
          <w:rtl/>
        </w:rPr>
        <w:t xml:space="preserve">خطيب كازروني ، ابوالفضل- كازروني ،</w:t>
      </w:r>
    </w:p>
    <w:p>
      <w:pPr>
        <w:pStyle w:val="BookText"/>
      </w:pPr>
      <w:r>
        <w:rPr>
          <w:rFonts w:ascii="IRNazanin" w:hAnsi="IRNazanin" w:eastAsia="IRNazanin" w:cs="IRNazanin"/>
          <w:lang w:bidi="fa-IR"/>
          <w:color w:val="111111"/>
          <w:sz w:val="28"/>
          <w:szCs w:val="28"/>
          <w:rtl/>
        </w:rPr>
        <w:t xml:space="preserve">ابوالفضل</w:t>
      </w:r>
    </w:p>
    <w:p>
      <w:pPr>
        <w:pStyle w:val="BookText"/>
      </w:pPr>
      <w:r>
        <w:rPr>
          <w:rFonts w:ascii="Amiri" w:hAnsi="Amiri" w:eastAsia="Amiri" w:cs="Amiri"/>
          <w:lang w:bidi="ar-SA"/>
          <w:color w:val="111111"/>
          <w:sz w:val="28"/>
          <w:szCs w:val="28"/>
          <w:rtl/>
        </w:rPr>
        <w:t xml:space="preserve">خطيب ، محمّد بن احمد -شوبري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4144" w:name="_Toc3246"/>
      <w:r>
        <w:t>خطيب ، محمّد بن احمد</w:t>
      </w:r>
      <w:bookmarkEnd w:id="4144"/>
    </w:p>
    <w:p>
      <w:pPr>
        <w:pStyle w:val="BookText"/>
      </w:pPr>
      <w:r>
        <w:rPr>
          <w:rFonts w:ascii="IRNazanin" w:hAnsi="IRNazanin" w:eastAsia="IRNazanin" w:cs="IRNazanin"/>
          <w:lang w:bidi="fa-IR"/>
          <w:color w:val="111111"/>
          <w:sz w:val="28"/>
          <w:szCs w:val="28"/>
          <w:rtl/>
        </w:rPr>
        <w:t xml:space="preserve">شرح فتاوی ابن نجيم المصري، ج9،</w:t>
      </w:r>
    </w:p>
    <w:p>
      <w:pPr>
        <w:pStyle w:val="BookText"/>
      </w:pPr>
      <w:r>
        <w:rPr>
          <w:rFonts w:ascii="IRNazanin" w:hAnsi="IRNazanin" w:eastAsia="IRNazanin" w:cs="IRNazanin"/>
          <w:lang w:bidi="fa-IR"/>
          <w:color w:val="111111"/>
          <w:sz w:val="28"/>
          <w:szCs w:val="28"/>
          <w:rtl/>
        </w:rPr>
        <w:t xml:space="preserve">ص 771</w:t>
      </w:r>
    </w:p>
    <w:p>
      <w:pPr>
        <w:pStyle w:val="Heading2"/>
      </w:pPr>
      <w:bookmarkStart w:id="4145" w:name="_Toc3247"/>
      <w:r>
        <w:t>خطيب ، محمّد بن داود - 1380 ه-</w:t>
      </w:r>
      <w:bookmarkEnd w:id="4145"/>
    </w:p>
    <w:p>
      <w:pPr>
        <w:pStyle w:val="BookText"/>
      </w:pPr>
      <w:r>
        <w:rPr>
          <w:rFonts w:ascii="Amiri" w:hAnsi="Amiri" w:eastAsia="Amiri" w:cs="Amiri"/>
          <w:lang w:bidi="ar-SA"/>
          <w:color w:val="111111"/>
          <w:sz w:val="28"/>
          <w:szCs w:val="28"/>
          <w:rtl/>
        </w:rPr>
        <w:t xml:space="preserve">1 .أجوبة الأسئلة الطهرانية (رسالة</w:t>
      </w:r>
    </w:p>
    <w:p>
      <w:pPr>
        <w:pStyle w:val="BookText"/>
      </w:pPr>
      <w:r>
        <w:rPr>
          <w:rFonts w:ascii="Amiri" w:hAnsi="Amiri" w:eastAsia="Amiri" w:cs="Amiri"/>
          <w:lang w:bidi="ar-SA"/>
          <w:color w:val="111111"/>
          <w:sz w:val="28"/>
          <w:szCs w:val="28"/>
          <w:rtl/>
        </w:rPr>
        <w:t xml:space="preserve">في)، ج 1، ص 320.</w:t>
      </w:r>
    </w:p>
    <w:p>
      <w:pPr>
        <w:pStyle w:val="BookText"/>
      </w:pPr>
      <w:r>
        <w:rPr>
          <w:rFonts w:ascii="Amiri" w:hAnsi="Amiri" w:eastAsia="Amiri" w:cs="Amiri"/>
          <w:lang w:bidi="ar-SA"/>
          <w:color w:val="111111"/>
          <w:sz w:val="28"/>
          <w:szCs w:val="28"/>
          <w:rtl/>
        </w:rPr>
        <w:t xml:space="preserve">2 .التذكرة في شرح التبصرة، ج 4،</w:t>
      </w:r>
    </w:p>
    <w:p>
      <w:pPr>
        <w:pStyle w:val="BookText"/>
      </w:pPr>
      <w:r>
        <w:rPr>
          <w:rFonts w:ascii="IRNazanin" w:hAnsi="IRNazanin" w:eastAsia="IRNazanin" w:cs="IRNazanin"/>
          <w:lang w:bidi="fa-IR"/>
          <w:color w:val="111111"/>
          <w:sz w:val="28"/>
          <w:szCs w:val="28"/>
          <w:rtl/>
        </w:rPr>
        <w:t xml:space="preserve">ص 206.</w:t>
      </w:r>
    </w:p>
    <w:p>
      <w:pPr>
        <w:pStyle w:val="BookText"/>
      </w:pPr>
      <w:r>
        <w:rPr>
          <w:rFonts w:ascii="Amiri" w:hAnsi="Amiri" w:eastAsia="Amiri" w:cs="Amiri"/>
          <w:lang w:bidi="ar-SA"/>
          <w:color w:val="111111"/>
          <w:sz w:val="28"/>
          <w:szCs w:val="28"/>
          <w:rtl/>
        </w:rPr>
        <w:t xml:space="preserve">3.حضانة الطفل (رسالة في)، ج 6،</w:t>
      </w:r>
    </w:p>
    <w:p>
      <w:pPr>
        <w:pStyle w:val="BookText"/>
      </w:pPr>
      <w:r>
        <w:rPr>
          <w:rFonts w:ascii="IRNazanin" w:hAnsi="IRNazanin" w:eastAsia="IRNazanin" w:cs="IRNazanin"/>
          <w:lang w:bidi="fa-IR"/>
          <w:color w:val="111111"/>
          <w:sz w:val="28"/>
          <w:szCs w:val="28"/>
          <w:rtl/>
        </w:rPr>
        <w:t xml:space="preserve">ص 673 .</w:t>
      </w:r>
    </w:p>
    <w:p>
      <w:pPr>
        <w:pStyle w:val="BookText"/>
      </w:pPr>
      <w:r>
        <w:rPr>
          <w:rFonts w:ascii="Amiri" w:hAnsi="Amiri" w:eastAsia="Amiri" w:cs="Amiri"/>
          <w:lang w:bidi="ar-SA"/>
          <w:color w:val="111111"/>
          <w:sz w:val="28"/>
          <w:szCs w:val="28"/>
          <w:rtl/>
        </w:rPr>
        <w:t xml:space="preserve">4 .الدورة الفقهية في احكام الجعفري</w:t>
      </w:r>
    </w:p>
    <w:p>
      <w:pPr>
        <w:pStyle w:val="BookText"/>
      </w:pPr>
      <w:r>
        <w:rPr>
          <w:rFonts w:ascii="IRNazanin" w:hAnsi="IRNazanin" w:eastAsia="IRNazanin" w:cs="IRNazanin"/>
          <w:lang w:bidi="fa-IR"/>
          <w:color w:val="111111"/>
          <w:sz w:val="28"/>
          <w:szCs w:val="28"/>
          <w:rtl/>
        </w:rPr>
        <w:t xml:space="preserve">ج 7، ص 493 .</w:t>
      </w:r>
    </w:p>
    <w:p>
      <w:pPr>
        <w:pStyle w:val="BookText"/>
      </w:pPr>
      <w:r>
        <w:rPr>
          <w:rFonts w:ascii="Amiri" w:hAnsi="Amiri" w:eastAsia="Amiri" w:cs="Amiri"/>
          <w:lang w:bidi="ar-SA"/>
          <w:color w:val="111111"/>
          <w:sz w:val="28"/>
          <w:szCs w:val="28"/>
          <w:rtl/>
        </w:rPr>
        <w:t xml:space="preserve">5 .صحاح الخبر في الأدلة على امامة الأئمة الاثنى عشر، ج 10، ص 486.</w:t>
      </w:r>
    </w:p>
    <w:p>
      <w:pPr>
        <w:pStyle w:val="BookText"/>
      </w:pPr>
      <w:r>
        <w:rPr>
          <w:rFonts w:ascii="Amiri" w:hAnsi="Amiri" w:eastAsia="Amiri" w:cs="Amiri"/>
          <w:lang w:bidi="ar-SA"/>
          <w:color w:val="111111"/>
          <w:sz w:val="28"/>
          <w:szCs w:val="28"/>
          <w:rtl/>
        </w:rPr>
        <w:t xml:space="preserve">6 .صلاة الجمعة (رسالة في)، ج 10،</w:t>
      </w:r>
    </w:p>
    <w:p>
      <w:pPr>
        <w:pStyle w:val="BookText"/>
      </w:pPr>
      <w:r>
        <w:rPr>
          <w:rFonts w:ascii="IRNazanin" w:hAnsi="IRNazanin" w:eastAsia="IRNazanin" w:cs="IRNazanin"/>
          <w:lang w:bidi="fa-IR"/>
          <w:color w:val="111111"/>
          <w:sz w:val="28"/>
          <w:szCs w:val="28"/>
          <w:rtl/>
        </w:rPr>
        <w:t xml:space="preserve">ص 605.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طب النبي (ص) (رسالة في)، ج10،</w:t>
      </w:r>
    </w:p>
    <w:p>
      <w:pPr>
        <w:pStyle w:val="BookText"/>
      </w:pPr>
      <w:r>
        <w:rPr>
          <w:rFonts w:ascii="IRNazanin" w:hAnsi="IRNazanin" w:eastAsia="IRNazanin" w:cs="IRNazanin"/>
          <w:lang w:bidi="fa-IR"/>
          <w:color w:val="111111"/>
          <w:sz w:val="28"/>
          <w:szCs w:val="28"/>
          <w:rtl/>
        </w:rPr>
        <w:t xml:space="preserve">ص 796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طلاق المريض رسالة في)، ج 10،</w:t>
      </w:r>
    </w:p>
    <w:p>
      <w:pPr>
        <w:pStyle w:val="BookText"/>
      </w:pPr>
      <w:r>
        <w:rPr>
          <w:rFonts w:ascii="IRNazanin" w:hAnsi="IRNazanin" w:eastAsia="IRNazanin" w:cs="IRNazanin"/>
          <w:lang w:bidi="fa-IR"/>
          <w:color w:val="111111"/>
          <w:sz w:val="28"/>
          <w:szCs w:val="28"/>
          <w:rtl/>
        </w:rPr>
        <w:t xml:space="preserve">ص 848.</w:t>
      </w:r>
    </w:p>
    <w:p>
      <w:pPr>
        <w:pStyle w:val="BookText"/>
      </w:pPr>
      <w:r>
        <w:rPr>
          <w:rFonts w:ascii="Amiri" w:hAnsi="Amiri" w:eastAsia="Amiri" w:cs="Amiri"/>
          <w:lang w:bidi="ar-SA"/>
          <w:color w:val="111111"/>
          <w:sz w:val="28"/>
          <w:szCs w:val="28"/>
          <w:rtl/>
        </w:rPr>
        <w:t xml:space="preserve">9 .عملية اتمام الصلاة و الطهارة (رسالة</w:t>
      </w:r>
    </w:p>
    <w:p>
      <w:pPr>
        <w:pStyle w:val="BookText"/>
      </w:pPr>
      <w:r>
        <w:rPr>
          <w:rFonts w:ascii="Amiri" w:hAnsi="Amiri" w:eastAsia="Amiri" w:cs="Amiri"/>
          <w:lang w:bidi="ar-SA"/>
          <w:color w:val="111111"/>
          <w:sz w:val="28"/>
          <w:szCs w:val="28"/>
          <w:rtl/>
        </w:rPr>
        <w:t xml:space="preserve">في)، ج 11، ص 325.</w:t>
      </w:r>
    </w:p>
    <w:p>
      <w:pPr>
        <w:pStyle w:val="BookText"/>
      </w:pPr>
      <w:r>
        <w:rPr>
          <w:rFonts w:ascii="Amiri" w:hAnsi="Amiri" w:eastAsia="Amiri" w:cs="Amiri"/>
          <w:lang w:bidi="ar-SA"/>
          <w:color w:val="111111"/>
          <w:sz w:val="28"/>
          <w:szCs w:val="28"/>
          <w:rtl/>
        </w:rPr>
        <w:t xml:space="preserve">10 .مناسك الحج و العمرة، ج 15،</w:t>
      </w:r>
    </w:p>
    <w:p>
      <w:pPr>
        <w:pStyle w:val="BookText"/>
      </w:pPr>
      <w:r>
        <w:rPr>
          <w:rFonts w:ascii="IRNazanin" w:hAnsi="IRNazanin" w:eastAsia="IRNazanin" w:cs="IRNazanin"/>
          <w:lang w:bidi="fa-IR"/>
          <w:color w:val="111111"/>
          <w:sz w:val="28"/>
          <w:szCs w:val="28"/>
          <w:rtl/>
        </w:rPr>
        <w:t xml:space="preserve">ص605.</w:t>
      </w:r>
    </w:p>
    <w:p>
      <w:pPr>
        <w:pStyle w:val="Heading2"/>
      </w:pPr>
      <w:bookmarkStart w:id="4146" w:name="_Toc3248"/>
      <w:r>
        <w:t>خطيب ، محمّد بن سلیمان قرن 8 ه-</w:t>
      </w:r>
      <w:bookmarkEnd w:id="4146"/>
    </w:p>
    <w:p>
      <w:pPr>
        <w:pStyle w:val="BookText"/>
      </w:pPr>
      <w:r>
        <w:rPr>
          <w:rFonts w:ascii="Amiri" w:hAnsi="Amiri" w:eastAsia="Amiri" w:cs="Amiri"/>
          <w:lang w:bidi="ar-SA"/>
          <w:color w:val="111111"/>
          <w:sz w:val="28"/>
          <w:szCs w:val="28"/>
          <w:rtl/>
        </w:rPr>
        <w:t xml:space="preserve">شرح شواهد الكشاف، ج 9، ص 662.</w:t>
      </w:r>
    </w:p>
    <w:p>
      <w:pPr>
        <w:pStyle w:val="BookText"/>
      </w:pPr>
      <w:r>
        <w:rPr>
          <w:rFonts w:ascii="IRNazanin" w:hAnsi="IRNazanin" w:eastAsia="IRNazanin" w:cs="IRNazanin"/>
          <w:lang w:bidi="fa-IR"/>
          <w:color w:val="111111"/>
          <w:sz w:val="28"/>
          <w:szCs w:val="28"/>
          <w:rtl/>
        </w:rPr>
        <w:t xml:space="preserve">خطیب ، محمّد بن عبدالله- تمرتاشي</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خطيب ، محمّد بن قاسم -آماسي ، محمّد</w:t>
      </w:r>
    </w:p>
    <w:p>
      <w:pPr>
        <w:pStyle w:val="BookText"/>
      </w:pPr>
      <w:r>
        <w:rPr>
          <w:rFonts w:ascii="IRNazanin" w:hAnsi="IRNazanin" w:eastAsia="IRNazanin" w:cs="IRNazanin"/>
          <w:lang w:bidi="fa-IR"/>
          <w:color w:val="111111"/>
          <w:sz w:val="28"/>
          <w:szCs w:val="28"/>
          <w:rtl/>
        </w:rPr>
        <w:t xml:space="preserve">بن قاسم</w:t>
      </w:r>
    </w:p>
    <w:p>
      <w:pPr>
        <w:pStyle w:val="BookText"/>
      </w:pPr>
      <w:r>
        <w:rPr>
          <w:rFonts w:ascii="Amiri" w:hAnsi="Amiri" w:eastAsia="Amiri" w:cs="Amiri"/>
          <w:lang w:bidi="ar-SA"/>
          <w:color w:val="111111"/>
          <w:sz w:val="28"/>
          <w:szCs w:val="28"/>
          <w:rtl/>
        </w:rPr>
        <w:t xml:space="preserve">خطيب مغربي ، عبدالرحمن بن مروان -ابن منجم ، عبدالرحمن بن مروان</w:t>
      </w:r>
    </w:p>
    <w:p>
      <w:pPr>
        <w:pStyle w:val="Heading2"/>
      </w:pPr>
      <w:bookmarkStart w:id="4147" w:name="_Toc3249"/>
      <w:r>
        <w:t>خطيب ،موصلي صالح بن معمار قرن 13ه-</w:t>
      </w:r>
      <w:bookmarkEnd w:id="4147"/>
    </w:p>
    <w:p>
      <w:pPr>
        <w:pStyle w:val="BookText"/>
      </w:pPr>
      <w:r>
        <w:rPr>
          <w:rFonts w:ascii="Amiri" w:hAnsi="Amiri" w:eastAsia="Amiri" w:cs="Amiri"/>
          <w:lang w:bidi="ar-SA"/>
          <w:color w:val="111111"/>
          <w:sz w:val="28"/>
          <w:szCs w:val="28"/>
          <w:rtl/>
        </w:rPr>
        <w:t xml:space="preserve">تخميس القصيدة الهمزية، جع،</w:t>
      </w:r>
    </w:p>
    <w:p>
      <w:pPr>
        <w:pStyle w:val="BookText"/>
      </w:pPr>
      <w:r>
        <w:rPr>
          <w:rFonts w:ascii="IRNazanin" w:hAnsi="IRNazanin" w:eastAsia="IRNazanin" w:cs="IRNazanin"/>
          <w:lang w:bidi="fa-IR"/>
          <w:color w:val="111111"/>
          <w:sz w:val="28"/>
          <w:szCs w:val="28"/>
          <w:rtl/>
        </w:rPr>
        <w:t xml:space="preserve">ص 148.</w:t>
      </w:r>
    </w:p>
    <w:p>
      <w:pPr>
        <w:pStyle w:val="Heading2"/>
      </w:pPr>
      <w:bookmarkStart w:id="4148" w:name="_Toc3250"/>
      <w:r>
        <w:t>خطيب موصلي ، عثمان بن يوسف</w:t>
      </w:r>
      <w:bookmarkEnd w:id="4148"/>
    </w:p>
    <w:p>
      <w:pPr>
        <w:pStyle w:val="BookText"/>
      </w:pPr>
      <w:r>
        <w:rPr>
          <w:rFonts w:ascii="IRNazanin" w:hAnsi="IRNazanin" w:eastAsia="IRNazanin" w:cs="IRNazanin"/>
          <w:lang w:bidi="fa-IR"/>
          <w:color w:val="111111"/>
          <w:sz w:val="28"/>
          <w:szCs w:val="28"/>
          <w:rtl/>
        </w:rPr>
        <w:t xml:space="preserve">1146 ؟ ه-</w:t>
      </w:r>
    </w:p>
    <w:p>
      <w:pPr>
        <w:pStyle w:val="BookText"/>
      </w:pPr>
      <w:r>
        <w:rPr>
          <w:rFonts w:ascii="IRNazanin" w:hAnsi="IRNazanin" w:eastAsia="IRNazanin" w:cs="IRNazanin"/>
          <w:lang w:bidi="fa-IR"/>
          <w:color w:val="111111"/>
          <w:sz w:val="28"/>
          <w:szCs w:val="28"/>
          <w:rtl/>
        </w:rPr>
        <w:t xml:space="preserve">1 .تخامیس، ج4، ص87.</w:t>
      </w:r>
    </w:p>
    <w:p>
      <w:pPr>
        <w:pStyle w:val="BookText"/>
      </w:pPr>
      <w:r>
        <w:rPr>
          <w:rFonts w:ascii="IRNazanin" w:hAnsi="IRNazanin" w:eastAsia="IRNazanin" w:cs="IRNazanin"/>
          <w:lang w:bidi="fa-IR"/>
          <w:color w:val="111111"/>
          <w:sz w:val="28"/>
          <w:szCs w:val="28"/>
          <w:rtl/>
        </w:rPr>
        <w:t xml:space="preserve">2 .تخمیس، ج4، ص100.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 للابيات الحلاج، ج 4،</w:t>
      </w:r>
    </w:p>
    <w:p>
      <w:pPr>
        <w:pStyle w:val="BookText"/>
      </w:pPr>
      <w:r>
        <w:rPr>
          <w:rFonts w:ascii="IRNazanin" w:hAnsi="IRNazanin" w:eastAsia="IRNazanin" w:cs="IRNazanin"/>
          <w:lang w:bidi="fa-IR"/>
          <w:color w:val="111111"/>
          <w:sz w:val="28"/>
          <w:szCs w:val="28"/>
          <w:rtl/>
        </w:rPr>
        <w:t xml:space="preserve">ص 155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0" w:name="pg7742_70315"/>
    <w:bookmarkEnd w:id="460"/>
    <w:p>
      <w:pPr>
        <w:pStyle w:val="BookText"/>
      </w:pPr>
      <w:r>
        <w:rPr>
          <w:rFonts w:ascii="Amiri" w:hAnsi="Amiri" w:eastAsia="Amiri" w:cs="Amiri"/>
          <w:lang w:bidi="ar-SA"/>
          <w:color w:val="111111"/>
          <w:sz w:val="28"/>
          <w:szCs w:val="28"/>
          <w:rtl/>
        </w:rPr>
        <w:t xml:space="preserve">4 .تنزيلة لعثمان الخطيب الموصلي من مقام الجاركا (صلاة) من الله</w:t>
      </w:r>
    </w:p>
    <w:p>
      <w:pPr>
        <w:pStyle w:val="BookText"/>
      </w:pPr>
      <w:r>
        <w:rPr>
          <w:rFonts w:ascii="Amiri" w:hAnsi="Amiri" w:eastAsia="Amiri" w:cs="Amiri"/>
          <w:lang w:bidi="ar-SA"/>
          <w:color w:val="111111"/>
          <w:sz w:val="28"/>
          <w:szCs w:val="28"/>
          <w:rtl/>
        </w:rPr>
        <w:t xml:space="preserve">تغشي</w:t>
      </w:r>
    </w:p>
    <w:p>
      <w:pPr>
        <w:pStyle w:val="BookText"/>
      </w:pPr>
      <w:r>
        <w:rPr>
          <w:rFonts w:ascii="Amiri" w:hAnsi="Amiri" w:eastAsia="Amiri" w:cs="Amiri"/>
          <w:lang w:bidi="ar-SA"/>
          <w:color w:val="111111"/>
          <w:sz w:val="28"/>
          <w:szCs w:val="28"/>
          <w:rtl/>
        </w:rPr>
        <w:t xml:space="preserve">دائماً)، ج 5، ص 50.</w:t>
      </w:r>
    </w:p>
    <w:p>
      <w:pPr>
        <w:pStyle w:val="BookText"/>
      </w:pPr>
      <w:r>
        <w:rPr>
          <w:rFonts w:ascii="IRNazanin" w:hAnsi="IRNazanin" w:eastAsia="IRNazanin" w:cs="IRNazanin"/>
          <w:lang w:bidi="fa-IR"/>
          <w:color w:val="111111"/>
          <w:sz w:val="28"/>
          <w:szCs w:val="28"/>
          <w:rtl/>
        </w:rPr>
        <w:t xml:space="preserve">5.دیوان عثمان الخطيب، ج 7،</w:t>
      </w:r>
    </w:p>
    <w:p>
      <w:pPr>
        <w:pStyle w:val="BookText"/>
      </w:pPr>
      <w:r>
        <w:rPr>
          <w:rFonts w:ascii="IRNazanin" w:hAnsi="IRNazanin" w:eastAsia="IRNazanin" w:cs="IRNazanin"/>
          <w:lang w:bidi="fa-IR"/>
          <w:color w:val="111111"/>
          <w:sz w:val="28"/>
          <w:szCs w:val="28"/>
          <w:rtl/>
        </w:rPr>
        <w:t xml:space="preserve">ص 715</w:t>
      </w:r>
    </w:p>
    <w:p>
      <w:pPr>
        <w:pStyle w:val="BookText"/>
      </w:pPr>
      <w:r>
        <w:rPr>
          <w:rFonts w:ascii="Amiri" w:hAnsi="Amiri" w:eastAsia="Amiri" w:cs="Amiri"/>
          <w:lang w:bidi="ar-SA"/>
          <w:color w:val="111111"/>
          <w:sz w:val="28"/>
          <w:szCs w:val="28"/>
          <w:rtl/>
        </w:rPr>
        <w:t xml:space="preserve">6 .قصيدة الاستغفار، ج 12، ص 649.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قصيدة في مدح الرسول، ج 12،</w:t>
      </w:r>
    </w:p>
    <w:p>
      <w:pPr>
        <w:pStyle w:val="BookText"/>
      </w:pPr>
      <w:r>
        <w:rPr>
          <w:rFonts w:ascii="IRNazanin" w:hAnsi="IRNazanin" w:eastAsia="IRNazanin" w:cs="IRNazanin"/>
          <w:lang w:bidi="fa-IR"/>
          <w:color w:val="111111"/>
          <w:sz w:val="28"/>
          <w:szCs w:val="28"/>
          <w:rtl/>
        </w:rPr>
        <w:t xml:space="preserve">ص 697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كشف استار الجمال عن مقدمة</w:t>
      </w:r>
    </w:p>
    <w:p>
      <w:pPr>
        <w:pStyle w:val="BookText"/>
      </w:pPr>
      <w:r>
        <w:rPr>
          <w:rFonts w:ascii="Amiri" w:hAnsi="Amiri" w:eastAsia="Amiri" w:cs="Amiri"/>
          <w:lang w:bidi="ar-SA"/>
          <w:color w:val="111111"/>
          <w:sz w:val="28"/>
          <w:szCs w:val="28"/>
          <w:rtl/>
        </w:rPr>
        <w:t xml:space="preserve">الشيخ جلال السيوطي ، ج 13،</w:t>
      </w:r>
    </w:p>
    <w:p>
      <w:pPr>
        <w:pStyle w:val="BookText"/>
      </w:pPr>
      <w:r>
        <w:rPr>
          <w:rFonts w:ascii="IRNazanin" w:hAnsi="IRNazanin" w:eastAsia="IRNazanin" w:cs="IRNazanin"/>
          <w:lang w:bidi="fa-IR"/>
          <w:color w:val="111111"/>
          <w:sz w:val="28"/>
          <w:szCs w:val="28"/>
          <w:rtl/>
        </w:rPr>
        <w:t xml:space="preserve">ص 181 .</w:t>
      </w:r>
    </w:p>
    <w:p>
      <w:pPr>
        <w:pStyle w:val="BookText"/>
      </w:pPr>
      <w:r>
        <w:rPr>
          <w:rFonts w:ascii="Amiri" w:hAnsi="Amiri" w:eastAsia="Amiri" w:cs="Amiri"/>
          <w:lang w:bidi="ar-SA"/>
          <w:color w:val="111111"/>
          <w:sz w:val="28"/>
          <w:szCs w:val="28"/>
          <w:rtl/>
        </w:rPr>
        <w:t xml:space="preserve">9 .نظم على الآجرومية، ج 16، ص 350.</w:t>
      </w:r>
    </w:p>
    <w:p>
      <w:pPr>
        <w:pStyle w:val="Heading2"/>
      </w:pPr>
      <w:bookmarkStart w:id="4149" w:name="_Toc3251"/>
      <w:r>
        <w:t>خطيب نجفي ، محمّد سعيد</w:t>
      </w:r>
      <w:bookmarkEnd w:id="4149"/>
    </w:p>
    <w:p>
      <w:pPr>
        <w:pStyle w:val="BookText"/>
      </w:pPr>
      <w:r>
        <w:rPr>
          <w:rFonts w:ascii="Amiri" w:hAnsi="Amiri" w:eastAsia="Amiri" w:cs="Amiri"/>
          <w:lang w:bidi="ar-SA"/>
          <w:color w:val="111111"/>
          <w:sz w:val="28"/>
          <w:szCs w:val="28"/>
          <w:rtl/>
        </w:rPr>
        <w:t xml:space="preserve">نجاة المبتدي ج16، ص 153.</w:t>
      </w:r>
    </w:p>
    <w:p>
      <w:pPr>
        <w:pStyle w:val="Heading2"/>
      </w:pPr>
      <w:bookmarkStart w:id="4150" w:name="_Toc3252"/>
      <w:r>
        <w:t>خطيب ، ولي بن محمّد</w:t>
      </w:r>
      <w:bookmarkEnd w:id="4150"/>
    </w:p>
    <w:p>
      <w:pPr>
        <w:pStyle w:val="BookText"/>
      </w:pPr>
      <w:r>
        <w:rPr>
          <w:rFonts w:ascii="Amiri" w:hAnsi="Amiri" w:eastAsia="Amiri" w:cs="Amiri"/>
          <w:lang w:bidi="ar-SA"/>
          <w:color w:val="111111"/>
          <w:sz w:val="28"/>
          <w:szCs w:val="28"/>
          <w:rtl/>
        </w:rPr>
        <w:t xml:space="preserve">شرح قصيدة منسوبة للامام علي (ع)،</w:t>
      </w:r>
    </w:p>
    <w:p>
      <w:pPr>
        <w:pStyle w:val="BookText"/>
      </w:pPr>
      <w:r>
        <w:rPr>
          <w:rFonts w:ascii="IRNazanin" w:hAnsi="IRNazanin" w:eastAsia="IRNazanin" w:cs="IRNazanin"/>
          <w:lang w:bidi="fa-IR"/>
          <w:color w:val="111111"/>
          <w:sz w:val="28"/>
          <w:szCs w:val="28"/>
          <w:rtl/>
        </w:rPr>
        <w:t xml:space="preserve">ج 9، ص 896.</w:t>
      </w:r>
    </w:p>
    <w:p>
      <w:pPr>
        <w:pStyle w:val="BookText"/>
      </w:pPr>
      <w:r>
        <w:rPr>
          <w:rFonts w:ascii="IRNazanin" w:hAnsi="IRNazanin" w:eastAsia="IRNazanin" w:cs="IRNazanin"/>
          <w:lang w:bidi="fa-IR"/>
          <w:color w:val="111111"/>
          <w:sz w:val="28"/>
          <w:szCs w:val="28"/>
          <w:rtl/>
        </w:rPr>
        <w:t xml:space="preserve">خطيبي، شمس الدین محمّد بن</w:t>
      </w:r>
    </w:p>
    <w:p>
      <w:pPr>
        <w:pStyle w:val="BookText"/>
      </w:pPr>
      <w:r>
        <w:rPr>
          <w:rFonts w:ascii="IRNazanin" w:hAnsi="IRNazanin" w:eastAsia="IRNazanin" w:cs="IRNazanin"/>
          <w:lang w:bidi="fa-IR"/>
          <w:color w:val="111111"/>
          <w:sz w:val="28"/>
          <w:szCs w:val="28"/>
          <w:rtl/>
        </w:rPr>
        <w:t xml:space="preserve">مظفر الدین- خلخالي ، محمّد بن مظفرالدين</w:t>
      </w:r>
    </w:p>
    <w:p>
      <w:pPr>
        <w:pStyle w:val="Heading2"/>
      </w:pPr>
      <w:bookmarkStart w:id="4151" w:name="_Toc3253"/>
      <w:r>
        <w:t>خطيبي ، عبد القادر بن ملا ،مختار</w:t>
      </w:r>
      <w:bookmarkEnd w:id="4151"/>
    </w:p>
    <w:p>
      <w:pPr>
        <w:pStyle w:val="BookText"/>
      </w:pPr>
      <w:r>
        <w:rPr>
          <w:rFonts w:ascii="IRNazanin" w:hAnsi="IRNazanin" w:eastAsia="IRNazanin" w:cs="IRNazanin"/>
          <w:lang w:bidi="fa-IR"/>
          <w:color w:val="111111"/>
          <w:sz w:val="28"/>
          <w:szCs w:val="28"/>
          <w:rtl/>
        </w:rPr>
        <w:t xml:space="preserve">1247ه-</w:t>
      </w:r>
    </w:p>
    <w:p>
      <w:pPr>
        <w:pStyle w:val="BookText"/>
      </w:pPr>
      <w:r>
        <w:rPr>
          <w:rFonts w:ascii="Amiri" w:hAnsi="Amiri" w:eastAsia="Amiri" w:cs="Amiri"/>
          <w:lang w:bidi="ar-SA"/>
          <w:color w:val="111111"/>
          <w:sz w:val="28"/>
          <w:szCs w:val="28"/>
          <w:rtl/>
        </w:rPr>
        <w:t xml:space="preserve">تذكرة شعراء بغداد و كتابها في ايام وزارة داود باشا والي بغداد ج4</w:t>
      </w:r>
    </w:p>
    <w:p>
      <w:pPr>
        <w:pStyle w:val="BookText"/>
      </w:pPr>
      <w:r>
        <w:rPr>
          <w:rFonts w:ascii="IRNazanin" w:hAnsi="IRNazanin" w:eastAsia="IRNazanin" w:cs="IRNazanin"/>
          <w:lang w:bidi="fa-IR"/>
          <w:color w:val="111111"/>
          <w:sz w:val="28"/>
          <w:szCs w:val="28"/>
          <w:rtl/>
        </w:rPr>
        <w:t xml:space="preserve">ص 192.</w:t>
      </w:r>
    </w:p>
    <w:p>
      <w:pPr>
        <w:pStyle w:val="BookText"/>
      </w:pPr>
      <w:r>
        <w:rPr>
          <w:rFonts w:ascii="Amiri" w:hAnsi="Amiri" w:eastAsia="Amiri" w:cs="Amiri"/>
          <w:lang w:bidi="ar-SA"/>
          <w:color w:val="111111"/>
          <w:sz w:val="28"/>
          <w:szCs w:val="28"/>
          <w:rtl/>
        </w:rPr>
        <w:t xml:space="preserve">خطيب يمني ، محمّد بن علي- ابن</w:t>
      </w:r>
    </w:p>
    <w:p>
      <w:pPr>
        <w:pStyle w:val="BookText"/>
      </w:pPr>
      <w:r>
        <w:rPr>
          <w:rFonts w:ascii="Amiri" w:hAnsi="Amiri" w:eastAsia="Amiri" w:cs="Amiri"/>
          <w:lang w:bidi="ar-SA"/>
          <w:color w:val="111111"/>
          <w:sz w:val="28"/>
          <w:szCs w:val="28"/>
          <w:rtl/>
        </w:rPr>
        <w:t xml:space="preserve">نورالدين ، محمّد بن علي</w:t>
      </w:r>
    </w:p>
    <w:p>
      <w:pPr>
        <w:pStyle w:val="Heading2"/>
      </w:pPr>
      <w:bookmarkStart w:id="4152" w:name="_Toc3254"/>
      <w:r>
        <w:t>خطي، جعفر بن محمّد - 1028 ه-</w:t>
      </w:r>
      <w:bookmarkEnd w:id="4152"/>
    </w:p>
    <w:p>
      <w:pPr>
        <w:pStyle w:val="BookText"/>
      </w:pPr>
      <w:r>
        <w:rPr>
          <w:rFonts w:ascii="Amiri" w:hAnsi="Amiri" w:eastAsia="Amiri" w:cs="Amiri"/>
          <w:lang w:bidi="ar-SA"/>
          <w:color w:val="111111"/>
          <w:sz w:val="28"/>
          <w:szCs w:val="28"/>
          <w:rtl/>
        </w:rPr>
        <w:t xml:space="preserve">ديوان الخطي، ج 7، ص 635.</w:t>
      </w:r>
    </w:p>
    <w:p>
      <w:pPr>
        <w:pStyle w:val="Heading2"/>
      </w:pPr>
      <w:bookmarkStart w:id="4153" w:name="_Toc3255"/>
      <w:r>
        <w:t>خطي ، حسن بن محمّد</w:t>
      </w:r>
      <w:bookmarkEnd w:id="4153"/>
    </w:p>
    <w:p>
      <w:pPr>
        <w:pStyle w:val="BookText"/>
      </w:pPr>
      <w:r>
        <w:rPr>
          <w:rFonts w:ascii="Amiri" w:hAnsi="Amiri" w:eastAsia="Amiri" w:cs="Amiri"/>
          <w:lang w:bidi="ar-SA"/>
          <w:color w:val="111111"/>
          <w:sz w:val="28"/>
          <w:szCs w:val="28"/>
          <w:rtl/>
        </w:rPr>
        <w:t xml:space="preserve">جامع قصائد المؤمنين، ج 5، ص 316.</w:t>
      </w:r>
    </w:p>
    <w:p>
      <w:pPr>
        <w:pStyle w:val="Heading2"/>
      </w:pPr>
      <w:bookmarkStart w:id="4154" w:name="_Toc3256"/>
      <w:r>
        <w:t>خطي ، عبدالله بن معتوق - 1364 ه-</w:t>
      </w:r>
      <w:bookmarkEnd w:id="4154"/>
    </w:p>
    <w:p>
      <w:pPr>
        <w:pStyle w:val="BookText"/>
      </w:pPr>
      <w:r>
        <w:rPr>
          <w:rFonts w:ascii="Amiri" w:hAnsi="Amiri" w:eastAsia="Amiri" w:cs="Amiri"/>
          <w:lang w:bidi="ar-SA"/>
          <w:color w:val="111111"/>
          <w:sz w:val="28"/>
          <w:szCs w:val="28"/>
          <w:rtl/>
        </w:rPr>
        <w:t xml:space="preserve">اجازة لميرزا موسى بن محمد باقر</w:t>
      </w:r>
    </w:p>
    <w:p>
      <w:pPr>
        <w:pStyle w:val="BookText"/>
      </w:pPr>
      <w:r>
        <w:rPr>
          <w:rFonts w:ascii="Amiri" w:hAnsi="Amiri" w:eastAsia="Amiri" w:cs="Amiri"/>
          <w:lang w:bidi="ar-SA"/>
          <w:color w:val="111111"/>
          <w:sz w:val="28"/>
          <w:szCs w:val="28"/>
          <w:rtl/>
        </w:rPr>
        <w:t xml:space="preserve">الأسكوئي، ج 1، ص291.</w:t>
      </w:r>
    </w:p>
    <w:p>
      <w:pPr>
        <w:pStyle w:val="Heading2"/>
      </w:pPr>
      <w:bookmarkStart w:id="4155" w:name="_Toc3257"/>
      <w:r>
        <w:t>خطي ، محمّد بن عبدالله قرن 12 ه-</w:t>
      </w:r>
      <w:bookmarkEnd w:id="4155"/>
    </w:p>
    <w:p>
      <w:pPr>
        <w:pStyle w:val="BookText"/>
      </w:pPr>
      <w:r>
        <w:rPr>
          <w:rFonts w:ascii="Amiri" w:hAnsi="Amiri" w:eastAsia="Amiri" w:cs="Amiri"/>
          <w:lang w:bidi="ar-SA"/>
          <w:color w:val="111111"/>
          <w:sz w:val="28"/>
          <w:szCs w:val="28"/>
          <w:rtl/>
        </w:rPr>
        <w:t xml:space="preserve">1 .معراج النبي، ج 15 ، ص 35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وفاة الامام الحسن العسكري (ع)</w:t>
      </w:r>
    </w:p>
    <w:p>
      <w:pPr>
        <w:pStyle w:val="BookText"/>
      </w:pPr>
      <w:r>
        <w:rPr>
          <w:rFonts w:ascii="IRNazanin" w:hAnsi="IRNazanin" w:eastAsia="IRNazanin" w:cs="IRNazanin"/>
          <w:lang w:bidi="fa-IR"/>
          <w:color w:val="111111"/>
          <w:sz w:val="28"/>
          <w:szCs w:val="28"/>
          <w:rtl/>
        </w:rPr>
        <w:t xml:space="preserve">ج 16، ص 845.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وفاة الامام موسى الكاظم (ع)</w:t>
      </w:r>
    </w:p>
    <w:p>
      <w:pPr>
        <w:pStyle w:val="BookText"/>
      </w:pPr>
      <w:r>
        <w:rPr>
          <w:rFonts w:ascii="IRNazanin" w:hAnsi="IRNazanin" w:eastAsia="IRNazanin" w:cs="IRNazanin"/>
          <w:lang w:bidi="fa-IR"/>
          <w:color w:val="111111"/>
          <w:sz w:val="28"/>
          <w:szCs w:val="28"/>
          <w:rtl/>
        </w:rPr>
        <w:t xml:space="preserve">ج 16، ص 845.</w:t>
      </w:r>
    </w:p>
    <w:p>
      <w:pPr>
        <w:pStyle w:val="Heading2"/>
      </w:pPr>
      <w:bookmarkStart w:id="4156" w:name="_Toc3258"/>
      <w:r>
        <w:t>خفاجي ، احمد بن محمّد، 9979-1069ه-</w:t>
      </w:r>
      <w:bookmarkEnd w:id="4156"/>
    </w:p>
    <w:p>
      <w:pPr>
        <w:pStyle w:val="BookText"/>
      </w:pPr>
      <w:r>
        <w:rPr>
          <w:rFonts w:ascii="IRNazanin" w:hAnsi="IRNazanin" w:eastAsia="IRNazanin" w:cs="IRNazanin"/>
          <w:lang w:bidi="fa-IR"/>
          <w:color w:val="111111"/>
          <w:sz w:val="28"/>
          <w:szCs w:val="28"/>
          <w:rtl/>
        </w:rPr>
        <w:t xml:space="preserve">1 .ترجمة شهاب الدین احمد بن محمّد بن عمر الخفاجي المصري ج 4 ، ص 279.</w:t>
      </w:r>
    </w:p>
    <w:p>
      <w:pPr>
        <w:pStyle w:val="BookText"/>
      </w:pPr>
      <w:r>
        <w:rPr>
          <w:rFonts w:ascii="Amiri" w:hAnsi="Amiri" w:eastAsia="Amiri" w:cs="Amiri"/>
          <w:lang w:bidi="ar-SA"/>
          <w:color w:val="111111"/>
          <w:sz w:val="28"/>
          <w:szCs w:val="28"/>
          <w:rtl/>
        </w:rPr>
        <w:t xml:space="preserve">2 .حاشية شرح النكت ج 6 ، ص211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خبايا الزوايا فيما في الرجال من</w:t>
      </w:r>
    </w:p>
    <w:p>
      <w:pPr>
        <w:pStyle w:val="BookText"/>
      </w:pPr>
      <w:r>
        <w:rPr>
          <w:rFonts w:ascii="Amiri" w:hAnsi="Amiri" w:eastAsia="Amiri" w:cs="Amiri"/>
          <w:lang w:bidi="ar-SA"/>
          <w:color w:val="111111"/>
          <w:sz w:val="28"/>
          <w:szCs w:val="28"/>
          <w:rtl/>
        </w:rPr>
        <w:t xml:space="preserve">البقايا، ج 6، ص 880.</w:t>
      </w:r>
    </w:p>
    <w:p>
      <w:pPr>
        <w:pStyle w:val="BookText"/>
      </w:pPr>
      <w:r>
        <w:rPr>
          <w:rFonts w:ascii="Amiri" w:hAnsi="Amiri" w:eastAsia="Amiri" w:cs="Amiri"/>
          <w:lang w:bidi="ar-SA"/>
          <w:color w:val="111111"/>
          <w:sz w:val="28"/>
          <w:szCs w:val="28"/>
          <w:rtl/>
        </w:rPr>
        <w:t xml:space="preserve">4 .ديوان الشهاب الخفاجي، ج7،</w:t>
      </w:r>
    </w:p>
    <w:p>
      <w:pPr>
        <w:pStyle w:val="BookText"/>
      </w:pPr>
      <w:r>
        <w:rPr>
          <w:rFonts w:ascii="IRNazanin" w:hAnsi="IRNazanin" w:eastAsia="IRNazanin" w:cs="IRNazanin"/>
          <w:lang w:bidi="fa-IR"/>
          <w:color w:val="111111"/>
          <w:sz w:val="28"/>
          <w:szCs w:val="28"/>
          <w:rtl/>
        </w:rPr>
        <w:t xml:space="preserve">ص 673 .</w:t>
      </w:r>
    </w:p>
    <w:p>
      <w:pPr>
        <w:pStyle w:val="BookText"/>
      </w:pPr>
      <w:r>
        <w:rPr>
          <w:rFonts w:ascii="Amiri" w:hAnsi="Amiri" w:eastAsia="Amiri" w:cs="Amiri"/>
          <w:lang w:bidi="ar-SA"/>
          <w:color w:val="111111"/>
          <w:sz w:val="28"/>
          <w:szCs w:val="28"/>
          <w:rtl/>
        </w:rPr>
        <w:t xml:space="preserve">5 .ريحانة الالباء و زهرة الحياة الدنيا</w:t>
      </w:r>
    </w:p>
    <w:p>
      <w:pPr>
        <w:pStyle w:val="BookText"/>
      </w:pPr>
      <w:r>
        <w:rPr>
          <w:rFonts w:ascii="IRNazanin" w:hAnsi="IRNazanin" w:eastAsia="IRNazanin" w:cs="IRNazanin"/>
          <w:lang w:bidi="fa-IR"/>
          <w:color w:val="111111"/>
          <w:sz w:val="28"/>
          <w:szCs w:val="28"/>
          <w:rtl/>
        </w:rPr>
        <w:t xml:space="preserve">ج8، ص 518.</w:t>
      </w:r>
    </w:p>
    <w:p>
      <w:pPr>
        <w:pStyle w:val="BookText"/>
      </w:pPr>
      <w:r>
        <w:rPr>
          <w:rFonts w:ascii="Amiri" w:hAnsi="Amiri" w:eastAsia="Amiri" w:cs="Amiri"/>
          <w:lang w:bidi="ar-SA"/>
          <w:color w:val="111111"/>
          <w:sz w:val="28"/>
          <w:szCs w:val="28"/>
          <w:rtl/>
        </w:rPr>
        <w:t xml:space="preserve">6 .ريحانة الندماء بذوات الأمثال، ج8،</w:t>
      </w:r>
    </w:p>
    <w:p>
      <w:pPr>
        <w:pStyle w:val="BookText"/>
      </w:pPr>
      <w:r>
        <w:rPr>
          <w:rFonts w:ascii="IRNazanin" w:hAnsi="IRNazanin" w:eastAsia="IRNazanin" w:cs="IRNazanin"/>
          <w:lang w:bidi="fa-IR"/>
          <w:color w:val="111111"/>
          <w:sz w:val="28"/>
          <w:szCs w:val="28"/>
          <w:rtl/>
        </w:rPr>
        <w:t xml:space="preserve">ص 521.</w:t>
      </w:r>
    </w:p>
    <w:p>
      <w:pPr>
        <w:pStyle w:val="BookText"/>
      </w:pPr>
      <w:r>
        <w:rPr>
          <w:rFonts w:ascii="Amiri" w:hAnsi="Amiri" w:eastAsia="Amiri" w:cs="Amiri"/>
          <w:lang w:bidi="ar-SA"/>
          <w:color w:val="111111"/>
          <w:sz w:val="28"/>
          <w:szCs w:val="28"/>
          <w:rtl/>
        </w:rPr>
        <w:t xml:space="preserve">7 .شرح درة الغواص، ج 9، ص 454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طراز المجالس = الأمالي، ج10،</w:t>
      </w:r>
    </w:p>
    <w:p>
      <w:pPr>
        <w:pStyle w:val="BookText"/>
      </w:pPr>
      <w:r>
        <w:rPr>
          <w:rFonts w:ascii="IRNazanin" w:hAnsi="IRNazanin" w:eastAsia="IRNazanin" w:cs="IRNazanin"/>
          <w:lang w:bidi="fa-IR"/>
          <w:color w:val="111111"/>
          <w:sz w:val="28"/>
          <w:szCs w:val="28"/>
          <w:rtl/>
        </w:rPr>
        <w:t xml:space="preserve">ص 808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1" w:name="pg7742_70317"/>
    <w:bookmarkEnd w:id="461"/>
    <w:p>
      <w:pPr>
        <w:pStyle w:val="BookText"/>
      </w:pPr>
      <w:r>
        <w:rPr>
          <w:rFonts w:ascii="Amiri" w:hAnsi="Amiri" w:eastAsia="Amiri" w:cs="Amiri"/>
          <w:lang w:bidi="ar-SA"/>
          <w:color w:val="111111"/>
          <w:sz w:val="28"/>
          <w:szCs w:val="28"/>
          <w:rtl/>
        </w:rPr>
        <w:t xml:space="preserve">9 .العروض (منظومة في)، ج11، ص 96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عناية القاضي و كفاية الراضي حاشية على تفسير البيضاوي ج 11، ص329.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الكشف على الكشاف، ج13،</w:t>
      </w:r>
    </w:p>
    <w:p>
      <w:pPr>
        <w:pStyle w:val="BookText"/>
      </w:pPr>
      <w:r>
        <w:rPr>
          <w:rFonts w:ascii="IRNazanin" w:hAnsi="IRNazanin" w:eastAsia="IRNazanin" w:cs="IRNazanin"/>
          <w:lang w:bidi="fa-IR"/>
          <w:color w:val="111111"/>
          <w:sz w:val="28"/>
          <w:szCs w:val="28"/>
          <w:rtl/>
        </w:rPr>
        <w:t xml:space="preserve">ص 227.</w:t>
      </w:r>
    </w:p>
    <w:p>
      <w:pPr>
        <w:pStyle w:val="BookText"/>
      </w:pPr>
      <w:r>
        <w:rPr>
          <w:rFonts w:ascii="Amiri" w:hAnsi="Amiri" w:eastAsia="Amiri" w:cs="Amiri"/>
          <w:lang w:bidi="ar-SA"/>
          <w:color w:val="111111"/>
          <w:sz w:val="28"/>
          <w:szCs w:val="28"/>
          <w:rtl/>
        </w:rPr>
        <w:t xml:space="preserve">12 .مقصورة الخفاجي، ج 15، ص388.</w:t>
      </w:r>
    </w:p>
    <w:p>
      <w:pPr>
        <w:pStyle w:val="BookText"/>
      </w:pPr>
      <w:r>
        <w:rPr>
          <w:rFonts w:ascii="Amiri" w:hAnsi="Amiri" w:eastAsia="Amiri" w:cs="Amiri"/>
          <w:lang w:bidi="ar-SA"/>
          <w:color w:val="111111"/>
          <w:sz w:val="28"/>
          <w:szCs w:val="28"/>
          <w:rtl/>
        </w:rPr>
        <w:t xml:space="preserve">13 .نسيم الرياض في شرح الشفاء</w:t>
      </w:r>
    </w:p>
    <w:p>
      <w:pPr>
        <w:pStyle w:val="BookText"/>
      </w:pPr>
      <w:r>
        <w:rPr>
          <w:rFonts w:ascii="IRNazanin" w:hAnsi="IRNazanin" w:eastAsia="IRNazanin" w:cs="IRNazanin"/>
          <w:lang w:bidi="fa-IR"/>
          <w:color w:val="111111"/>
          <w:sz w:val="28"/>
          <w:szCs w:val="28"/>
          <w:rtl/>
        </w:rPr>
        <w:t xml:space="preserve">ج 16، ص 281 .</w:t>
      </w:r>
    </w:p>
    <w:p>
      <w:pPr>
        <w:pStyle w:val="Heading2"/>
      </w:pPr>
      <w:bookmarkStart w:id="4157" w:name="_Toc3259"/>
      <w:r>
        <w:t>خفاجي ، باقر بن حبیب، 1312-1381ه-</w:t>
      </w:r>
      <w:bookmarkEnd w:id="4157"/>
    </w:p>
    <w:p>
      <w:pPr>
        <w:pStyle w:val="BookText"/>
      </w:pPr>
      <w:r>
        <w:rPr>
          <w:rFonts w:ascii="Amiri" w:hAnsi="Amiri" w:eastAsia="Amiri" w:cs="Amiri"/>
          <w:lang w:bidi="ar-SA"/>
          <w:color w:val="111111"/>
          <w:sz w:val="28"/>
          <w:szCs w:val="28"/>
          <w:rtl/>
        </w:rPr>
        <w:t xml:space="preserve">ديوان خفاجي حلي، ج 7، ص 638.</w:t>
      </w:r>
    </w:p>
    <w:p>
      <w:pPr>
        <w:pStyle w:val="Heading2"/>
      </w:pPr>
      <w:bookmarkStart w:id="4158" w:name="_Toc3260"/>
      <w:r>
        <w:t>خفاجي ، علي بن عبدالله - 1200 ه-</w:t>
      </w:r>
      <w:bookmarkEnd w:id="4158"/>
    </w:p>
    <w:p>
      <w:pPr>
        <w:pStyle w:val="BookText"/>
      </w:pPr>
      <w:r>
        <w:rPr>
          <w:rFonts w:ascii="Amiri" w:hAnsi="Amiri" w:eastAsia="Amiri" w:cs="Amiri"/>
          <w:lang w:bidi="ar-SA"/>
          <w:color w:val="111111"/>
          <w:sz w:val="28"/>
          <w:szCs w:val="28"/>
          <w:rtl/>
        </w:rPr>
        <w:t xml:space="preserve">السراج الانور في كيفية العمل بالربع المقنطر، ج8، ص727.</w:t>
      </w:r>
    </w:p>
    <w:p>
      <w:pPr>
        <w:pStyle w:val="BookText"/>
      </w:pPr>
      <w:r>
        <w:rPr>
          <w:rFonts w:ascii="Amiri" w:hAnsi="Amiri" w:eastAsia="Amiri" w:cs="Amiri"/>
          <w:lang w:bidi="ar-SA"/>
          <w:color w:val="111111"/>
          <w:sz w:val="28"/>
          <w:szCs w:val="28"/>
          <w:rtl/>
        </w:rPr>
        <w:t xml:space="preserve">خفري ، حسين بن عبد الله -بشدري ،</w:t>
      </w:r>
    </w:p>
    <w:p>
      <w:pPr>
        <w:pStyle w:val="BookText"/>
      </w:pPr>
      <w:r>
        <w:rPr>
          <w:rFonts w:ascii="Amiri" w:hAnsi="Amiri" w:eastAsia="Amiri" w:cs="Amiri"/>
          <w:lang w:bidi="ar-SA"/>
          <w:color w:val="111111"/>
          <w:sz w:val="28"/>
          <w:szCs w:val="28"/>
          <w:rtl/>
        </w:rPr>
        <w:t xml:space="preserve">حسين بن عبدالله</w:t>
      </w:r>
    </w:p>
    <w:p>
      <w:pPr>
        <w:pStyle w:val="BookText"/>
      </w:pPr>
      <w:r>
        <w:rPr>
          <w:rFonts w:ascii="Amiri" w:hAnsi="Amiri" w:eastAsia="Amiri" w:cs="Amiri"/>
          <w:lang w:bidi="ar-SA"/>
          <w:color w:val="111111"/>
          <w:sz w:val="28"/>
          <w:szCs w:val="28"/>
          <w:rtl/>
        </w:rPr>
        <w:t xml:space="preserve">خفري رومي ، علي -جفري رومي ، علي</w:t>
      </w:r>
    </w:p>
    <w:p>
      <w:pPr>
        <w:pStyle w:val="BookText"/>
      </w:pPr>
      <w:r>
        <w:rPr>
          <w:rFonts w:ascii="Amiri" w:hAnsi="Amiri" w:eastAsia="Amiri" w:cs="Amiri"/>
          <w:lang w:bidi="ar-SA"/>
          <w:color w:val="111111"/>
          <w:sz w:val="28"/>
          <w:szCs w:val="28"/>
          <w:rtl/>
        </w:rPr>
        <w:t xml:space="preserve">خفري سماكي ، محمّد بن حسين - فخرالدين حسيني ، محمّد بن حسين</w:t>
      </w:r>
    </w:p>
    <w:p>
      <w:pPr>
        <w:pStyle w:val="Heading2"/>
      </w:pPr>
      <w:bookmarkStart w:id="4159" w:name="_Toc3261"/>
      <w:r>
        <w:t>خفري ، محمّد بن احمد - 957 ؟ ه-</w:t>
      </w:r>
      <w:bookmarkEnd w:id="4159"/>
    </w:p>
    <w:p>
      <w:pPr>
        <w:pStyle w:val="BookText"/>
      </w:pPr>
      <w:r>
        <w:rPr>
          <w:rFonts w:ascii="IRNazanin" w:hAnsi="IRNazanin" w:eastAsia="IRNazanin" w:cs="IRNazanin"/>
          <w:lang w:bidi="fa-IR"/>
          <w:color w:val="111111"/>
          <w:sz w:val="28"/>
          <w:szCs w:val="28"/>
          <w:rtl/>
        </w:rPr>
        <w:t xml:space="preserve">1 اثبات الواجب، ج 1، ص 164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واجب الوجود، ج 1، ص 174.</w:t>
      </w:r>
    </w:p>
    <w:p>
      <w:pPr>
        <w:pStyle w:val="BookText"/>
      </w:pPr>
      <w:r>
        <w:rPr>
          <w:rFonts w:ascii="Amiri" w:hAnsi="Amiri" w:eastAsia="Amiri" w:cs="Amiri"/>
          <w:lang w:bidi="ar-SA"/>
          <w:color w:val="111111"/>
          <w:sz w:val="28"/>
          <w:szCs w:val="28"/>
          <w:rtl/>
        </w:rPr>
        <w:t xml:space="preserve">3.تركيب الافلاك (كتاب في)، ج4،</w:t>
      </w:r>
    </w:p>
    <w:p>
      <w:pPr>
        <w:pStyle w:val="BookText"/>
      </w:pPr>
      <w:r>
        <w:rPr>
          <w:rFonts w:ascii="IRNazanin" w:hAnsi="IRNazanin" w:eastAsia="IRNazanin" w:cs="IRNazanin"/>
          <w:lang w:bidi="fa-IR"/>
          <w:color w:val="111111"/>
          <w:sz w:val="28"/>
          <w:szCs w:val="28"/>
          <w:rtl/>
        </w:rPr>
        <w:t xml:space="preserve">ص 313.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آية الكرسي = بيان لطائف</w:t>
      </w:r>
    </w:p>
    <w:p>
      <w:pPr>
        <w:pStyle w:val="BookText"/>
      </w:pPr>
      <w:r>
        <w:rPr>
          <w:rFonts w:ascii="Amiri" w:hAnsi="Amiri" w:eastAsia="Amiri" w:cs="Amiri"/>
          <w:lang w:bidi="ar-SA"/>
          <w:color w:val="111111"/>
          <w:sz w:val="28"/>
          <w:szCs w:val="28"/>
          <w:rtl/>
        </w:rPr>
        <w:t xml:space="preserve">آية الكرسي، ج4، ص 582.</w:t>
      </w:r>
    </w:p>
    <w:p>
      <w:pPr>
        <w:pStyle w:val="BookText"/>
      </w:pPr>
      <w:r>
        <w:rPr>
          <w:rFonts w:ascii="Amiri" w:hAnsi="Amiri" w:eastAsia="Amiri" w:cs="Amiri"/>
          <w:lang w:bidi="ar-SA"/>
          <w:color w:val="111111"/>
          <w:sz w:val="28"/>
          <w:szCs w:val="28"/>
          <w:rtl/>
        </w:rPr>
        <w:t xml:space="preserve">5 .التكملة في شرح التذكرة = شرح</w:t>
      </w:r>
    </w:p>
    <w:p>
      <w:pPr>
        <w:pStyle w:val="BookText"/>
      </w:pPr>
      <w:r>
        <w:rPr>
          <w:rFonts w:ascii="Amiri" w:hAnsi="Amiri" w:eastAsia="Amiri" w:cs="Amiri"/>
          <w:lang w:bidi="ar-SA"/>
          <w:color w:val="111111"/>
          <w:sz w:val="28"/>
          <w:szCs w:val="28"/>
          <w:rtl/>
        </w:rPr>
        <w:t xml:space="preserve">التذكرة النصيرية، ج 4، ص 820.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حاشية المنطق، ج 6، ص 423.</w:t>
      </w:r>
    </w:p>
    <w:p>
      <w:pPr>
        <w:pStyle w:val="BookText"/>
      </w:pPr>
      <w:r>
        <w:rPr>
          <w:rFonts w:ascii="IRNazanin" w:hAnsi="IRNazanin" w:eastAsia="IRNazanin" w:cs="IRNazanin"/>
          <w:lang w:bidi="fa-IR"/>
          <w:color w:val="111111"/>
          <w:sz w:val="28"/>
          <w:szCs w:val="28"/>
          <w:rtl/>
        </w:rPr>
        <w:t xml:space="preserve">7 .حاشية شرح التجريد الجديد = حاشیه بر شرح الهيات تجريد، ج 6،</w:t>
      </w:r>
    </w:p>
    <w:p>
      <w:pPr>
        <w:pStyle w:val="BookText"/>
      </w:pPr>
      <w:r>
        <w:rPr>
          <w:rFonts w:ascii="IRNazanin" w:hAnsi="IRNazanin" w:eastAsia="IRNazanin" w:cs="IRNazanin"/>
          <w:lang w:bidi="fa-IR"/>
          <w:color w:val="111111"/>
          <w:sz w:val="28"/>
          <w:szCs w:val="28"/>
          <w:rtl/>
        </w:rPr>
        <w:t xml:space="preserve">ص 56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حل معضلات علم الهيئة (رسالة</w:t>
      </w:r>
    </w:p>
    <w:p>
      <w:pPr>
        <w:pStyle w:val="BookText"/>
      </w:pPr>
      <w:r>
        <w:rPr>
          <w:rFonts w:ascii="Amiri" w:hAnsi="Amiri" w:eastAsia="Amiri" w:cs="Amiri"/>
          <w:lang w:bidi="ar-SA"/>
          <w:color w:val="111111"/>
          <w:sz w:val="28"/>
          <w:szCs w:val="28"/>
          <w:rtl/>
        </w:rPr>
        <w:t xml:space="preserve">في)، ج 6، ص 802.</w:t>
      </w:r>
    </w:p>
    <w:p>
      <w:pPr>
        <w:pStyle w:val="BookText"/>
      </w:pPr>
      <w:r>
        <w:rPr>
          <w:rFonts w:ascii="Amiri" w:hAnsi="Amiri" w:eastAsia="Amiri" w:cs="Amiri"/>
          <w:lang w:bidi="ar-SA"/>
          <w:color w:val="111111"/>
          <w:sz w:val="28"/>
          <w:szCs w:val="28"/>
          <w:rtl/>
        </w:rPr>
        <w:t xml:space="preserve">9 .حيرة الفضلاء في تحقيق الجذر الاصم = حسرة الفضلاء = حيرة العقلاء = حل شبهة جذر الاصم</w:t>
      </w:r>
    </w:p>
    <w:p>
      <w:pPr>
        <w:pStyle w:val="BookText"/>
      </w:pPr>
      <w:r>
        <w:rPr>
          <w:rFonts w:ascii="IRNazanin" w:hAnsi="IRNazanin" w:eastAsia="IRNazanin" w:cs="IRNazanin"/>
          <w:lang w:bidi="fa-IR"/>
          <w:color w:val="111111"/>
          <w:sz w:val="28"/>
          <w:szCs w:val="28"/>
          <w:rtl/>
        </w:rPr>
        <w:t xml:space="preserve">ج 6، ص 868.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الرسالة التي اعيت علماء العصر</w:t>
      </w:r>
    </w:p>
    <w:p>
      <w:pPr>
        <w:pStyle w:val="BookText"/>
      </w:pPr>
      <w:r>
        <w:rPr>
          <w:rFonts w:ascii="IRNazanin" w:hAnsi="IRNazanin" w:eastAsia="IRNazanin" w:cs="IRNazanin"/>
          <w:lang w:bidi="fa-IR"/>
          <w:color w:val="111111"/>
          <w:sz w:val="28"/>
          <w:szCs w:val="28"/>
          <w:rtl/>
        </w:rPr>
        <w:t xml:space="preserve">ج 8، ص 166 .</w:t>
      </w:r>
    </w:p>
    <w:p>
      <w:pPr>
        <w:pStyle w:val="BookText"/>
      </w:pPr>
      <w:r>
        <w:rPr>
          <w:rFonts w:ascii="Amiri" w:hAnsi="Amiri" w:eastAsia="Amiri" w:cs="Amiri"/>
          <w:lang w:bidi="ar-SA"/>
          <w:color w:val="111111"/>
          <w:sz w:val="28"/>
          <w:szCs w:val="28"/>
          <w:rtl/>
        </w:rPr>
        <w:t xml:space="preserve">11 .الرمل - زبدة التصانيف، ج8،</w:t>
      </w:r>
    </w:p>
    <w:p>
      <w:pPr>
        <w:pStyle w:val="BookText"/>
      </w:pPr>
      <w:r>
        <w:rPr>
          <w:rFonts w:ascii="IRNazanin" w:hAnsi="IRNazanin" w:eastAsia="IRNazanin" w:cs="IRNazanin"/>
          <w:lang w:bidi="fa-IR"/>
          <w:color w:val="111111"/>
          <w:sz w:val="28"/>
          <w:szCs w:val="28"/>
          <w:rtl/>
        </w:rPr>
        <w:t xml:space="preserve">ص 360.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سواد العين في شرح حكمة العين = حاشية شرح حكمة العين، ج8،</w:t>
      </w:r>
    </w:p>
    <w:p>
      <w:pPr>
        <w:pStyle w:val="BookText"/>
      </w:pPr>
      <w:r>
        <w:rPr>
          <w:rFonts w:ascii="IRNazanin" w:hAnsi="IRNazanin" w:eastAsia="IRNazanin" w:cs="IRNazanin"/>
          <w:lang w:bidi="fa-IR"/>
          <w:color w:val="111111"/>
          <w:sz w:val="28"/>
          <w:szCs w:val="28"/>
          <w:rtl/>
        </w:rPr>
        <w:t xml:space="preserve">ص 857.</w:t>
      </w:r>
    </w:p>
    <w:p>
      <w:pPr>
        <w:pStyle w:val="BookText"/>
      </w:pPr>
      <w:r>
        <w:rPr>
          <w:rFonts w:ascii="Amiri" w:hAnsi="Amiri" w:eastAsia="Amiri" w:cs="Amiri"/>
          <w:lang w:bidi="ar-SA"/>
          <w:color w:val="111111"/>
          <w:sz w:val="28"/>
          <w:szCs w:val="28"/>
          <w:rtl/>
        </w:rPr>
        <w:t xml:space="preserve">13 .عبرة الفضلاء = ضالة الفضلاء = حل شبهة جذر الاصم = حل شبهة</w:t>
      </w:r>
    </w:p>
    <w:p>
      <w:pPr>
        <w:pStyle w:val="BookText"/>
      </w:pPr>
      <w:r>
        <w:rPr>
          <w:rFonts w:ascii="Amiri" w:hAnsi="Amiri" w:eastAsia="Amiri" w:cs="Amiri"/>
          <w:lang w:bidi="ar-SA"/>
          <w:color w:val="111111"/>
          <w:sz w:val="28"/>
          <w:szCs w:val="28"/>
          <w:rtl/>
        </w:rPr>
        <w:t xml:space="preserve">ابن كمونة، ج 11، ص17.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علمي الهيأة و الكلام (رسالة في)</w:t>
      </w:r>
    </w:p>
    <w:p>
      <w:pPr>
        <w:pStyle w:val="BookText"/>
      </w:pPr>
      <w:r>
        <w:rPr>
          <w:rFonts w:ascii="IRNazanin" w:hAnsi="IRNazanin" w:eastAsia="IRNazanin" w:cs="IRNazanin"/>
          <w:lang w:bidi="fa-IR"/>
          <w:color w:val="111111"/>
          <w:sz w:val="28"/>
          <w:szCs w:val="28"/>
          <w:rtl/>
        </w:rPr>
        <w:t xml:space="preserve">ج 11، ص 274.</w:t>
      </w:r>
    </w:p>
    <w:p>
      <w:pPr>
        <w:pStyle w:val="BookText"/>
      </w:pPr>
      <w:r>
        <w:rPr>
          <w:rFonts w:ascii="Amiri" w:hAnsi="Amiri" w:eastAsia="Amiri" w:cs="Amiri"/>
          <w:lang w:bidi="ar-SA"/>
          <w:color w:val="111111"/>
          <w:sz w:val="28"/>
          <w:szCs w:val="28"/>
          <w:rtl/>
        </w:rPr>
        <w:t xml:space="preserve">15 .اللمعة في حل الشيعة، ج13،</w:t>
      </w:r>
    </w:p>
    <w:p>
      <w:pPr>
        <w:pStyle w:val="BookText"/>
      </w:pPr>
      <w:r>
        <w:rPr>
          <w:rFonts w:ascii="IRNazanin" w:hAnsi="IRNazanin" w:eastAsia="IRNazanin" w:cs="IRNazanin"/>
          <w:lang w:bidi="fa-IR"/>
          <w:color w:val="111111"/>
          <w:sz w:val="28"/>
          <w:szCs w:val="28"/>
          <w:rtl/>
        </w:rPr>
        <w:t xml:space="preserve">ص 623.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منتهي الادراك في مدرك الافلاك</w:t>
      </w:r>
    </w:p>
    <w:p>
      <w:pPr>
        <w:pStyle w:val="BookText"/>
      </w:pPr>
      <w:r>
        <w:rPr>
          <w:rFonts w:ascii="IRNazanin" w:hAnsi="IRNazanin" w:eastAsia="IRNazanin" w:cs="IRNazanin"/>
          <w:lang w:bidi="fa-IR"/>
          <w:color w:val="111111"/>
          <w:sz w:val="28"/>
          <w:szCs w:val="28"/>
          <w:rtl/>
        </w:rPr>
        <w:t xml:space="preserve">ج 15 ، ص 635.</w:t>
      </w:r>
    </w:p>
    <w:p>
      <w:pPr>
        <w:pStyle w:val="BookText"/>
      </w:pPr>
      <w:r>
        <w:rPr>
          <w:rFonts w:ascii="IRNazanin" w:hAnsi="IRNazanin" w:eastAsia="IRNazanin" w:cs="IRNazanin"/>
          <w:lang w:bidi="fa-IR"/>
          <w:color w:val="111111"/>
          <w:sz w:val="28"/>
          <w:szCs w:val="28"/>
          <w:rtl/>
        </w:rPr>
        <w:t xml:space="preserve">خفري ، محمّد بن حسين - فخرالدین</w:t>
      </w:r>
    </w:p>
    <w:p>
      <w:pPr>
        <w:pStyle w:val="BookText"/>
      </w:pPr>
      <w:r>
        <w:rPr>
          <w:rFonts w:ascii="Amiri" w:hAnsi="Amiri" w:eastAsia="Amiri" w:cs="Amiri"/>
          <w:lang w:bidi="ar-SA"/>
          <w:color w:val="111111"/>
          <w:sz w:val="28"/>
          <w:szCs w:val="28"/>
          <w:rtl/>
        </w:rPr>
        <w:t xml:space="preserve">حسيني ، محمّد بن حسين</w:t>
      </w:r>
    </w:p>
    <w:p>
      <w:pPr>
        <w:pStyle w:val="BookText"/>
      </w:pPr>
      <w:r>
        <w:rPr>
          <w:rFonts w:ascii="Amiri" w:hAnsi="Amiri" w:eastAsia="Amiri" w:cs="Amiri"/>
          <w:lang w:bidi="ar-SA"/>
          <w:color w:val="111111"/>
          <w:sz w:val="28"/>
          <w:szCs w:val="28"/>
          <w:rtl/>
        </w:rPr>
        <w:t xml:space="preserve">خفري ، محمود -حسيني خفري ، محمود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2" w:name="pg7742_70320"/>
    <w:bookmarkEnd w:id="462"/>
    <w:p>
      <w:pPr>
        <w:pStyle w:val="Heading2"/>
      </w:pPr>
      <w:bookmarkStart w:id="4160" w:name="_Toc3262"/>
      <w:r>
        <w:t>خفيف شيرازي ، محمّد بن خفيف، 268 -</w:t>
      </w:r>
      <w:bookmarkEnd w:id="4160"/>
    </w:p>
    <w:p>
      <w:pPr>
        <w:pStyle w:val="BookText"/>
      </w:pPr>
      <w:r>
        <w:rPr>
          <w:rFonts w:ascii="IRNazanin" w:hAnsi="IRNazanin" w:eastAsia="IRNazanin" w:cs="IRNazanin"/>
          <w:lang w:bidi="fa-IR"/>
          <w:color w:val="111111"/>
          <w:sz w:val="28"/>
          <w:szCs w:val="28"/>
          <w:rtl/>
        </w:rPr>
        <w:t xml:space="preserve">371ه-</w:t>
      </w:r>
    </w:p>
    <w:p>
      <w:pPr>
        <w:pStyle w:val="BookText"/>
      </w:pPr>
      <w:r>
        <w:rPr>
          <w:rFonts w:ascii="Amiri" w:hAnsi="Amiri" w:eastAsia="Amiri" w:cs="Amiri"/>
          <w:lang w:bidi="ar-SA"/>
          <w:color w:val="111111"/>
          <w:sz w:val="28"/>
          <w:szCs w:val="28"/>
          <w:rtl/>
        </w:rPr>
        <w:t xml:space="preserve">وصية ابن خفيف الشيرازي - الوصية</w:t>
      </w:r>
    </w:p>
    <w:p>
      <w:pPr>
        <w:pStyle w:val="BookText"/>
      </w:pPr>
      <w:r>
        <w:rPr>
          <w:rFonts w:ascii="IRNazanin" w:hAnsi="IRNazanin" w:eastAsia="IRNazanin" w:cs="IRNazanin"/>
          <w:lang w:bidi="fa-IR"/>
          <w:color w:val="111111"/>
          <w:sz w:val="28"/>
          <w:szCs w:val="28"/>
          <w:rtl/>
        </w:rPr>
        <w:t xml:space="preserve">ج 16، ص 811.</w:t>
      </w:r>
    </w:p>
    <w:p>
      <w:pPr>
        <w:pStyle w:val="BookText"/>
      </w:pPr>
      <w:r>
        <w:rPr>
          <w:rFonts w:ascii="Amiri" w:hAnsi="Amiri" w:eastAsia="Amiri" w:cs="Amiri"/>
          <w:lang w:bidi="ar-SA"/>
          <w:color w:val="111111"/>
          <w:sz w:val="28"/>
          <w:szCs w:val="28"/>
          <w:rtl/>
        </w:rPr>
        <w:t xml:space="preserve">خلاد السندي البزار الكوفي- سندي ، خلاد</w:t>
      </w:r>
    </w:p>
    <w:p>
      <w:pPr>
        <w:pStyle w:val="BookText"/>
      </w:pPr>
      <w:r>
        <w:rPr>
          <w:rFonts w:ascii="Amiri" w:hAnsi="Amiri" w:eastAsia="Amiri" w:cs="Amiri"/>
          <w:lang w:bidi="ar-SA"/>
          <w:color w:val="111111"/>
          <w:sz w:val="28"/>
          <w:szCs w:val="28"/>
          <w:rtl/>
        </w:rPr>
        <w:t xml:space="preserve">خلاطي، علي بن احمد- ابن هبل ، علي</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4161" w:name="_Toc3263"/>
      <w:r>
        <w:t>خلاطي، محمّد بن عباد - 652 ه-</w:t>
      </w:r>
      <w:bookmarkEnd w:id="4161"/>
    </w:p>
    <w:p>
      <w:pPr>
        <w:pStyle w:val="BookText"/>
      </w:pPr>
      <w:r>
        <w:rPr>
          <w:rFonts w:ascii="Amiri" w:hAnsi="Amiri" w:eastAsia="Amiri" w:cs="Amiri"/>
          <w:lang w:bidi="ar-SA"/>
          <w:color w:val="111111"/>
          <w:sz w:val="28"/>
          <w:szCs w:val="28"/>
          <w:rtl/>
        </w:rPr>
        <w:t xml:space="preserve">تخليص التلخيص، ج4، ص 97.</w:t>
      </w:r>
    </w:p>
    <w:p>
      <w:pPr>
        <w:pStyle w:val="BookText"/>
      </w:pPr>
      <w:r>
        <w:rPr>
          <w:rFonts w:ascii="Amiri" w:hAnsi="Amiri" w:eastAsia="Amiri" w:cs="Amiri"/>
          <w:lang w:bidi="ar-SA"/>
          <w:color w:val="111111"/>
          <w:sz w:val="28"/>
          <w:szCs w:val="28"/>
          <w:rtl/>
        </w:rPr>
        <w:t xml:space="preserve">خلاق المعاني، اسماعيل بن جمال الدين- كمال اصفهاني، اسماعيل بن محمد</w:t>
      </w:r>
    </w:p>
    <w:p>
      <w:pPr>
        <w:pStyle w:val="Heading2"/>
      </w:pPr>
      <w:bookmarkStart w:id="4162" w:name="_Toc3264"/>
      <w:r>
        <w:t>خلال ، احمد بن محمّد، 234؟ - 311 ه-</w:t>
      </w:r>
      <w:bookmarkEnd w:id="4162"/>
    </w:p>
    <w:p>
      <w:pPr>
        <w:pStyle w:val="BookText"/>
      </w:pPr>
      <w:r>
        <w:rPr>
          <w:rFonts w:ascii="IRNazanin" w:hAnsi="IRNazanin" w:eastAsia="IRNazanin" w:cs="IRNazanin"/>
          <w:lang w:bidi="fa-IR"/>
          <w:color w:val="111111"/>
          <w:sz w:val="28"/>
          <w:szCs w:val="28"/>
          <w:rtl/>
        </w:rPr>
        <w:t xml:space="preserve">مسائل احمد بن حنبل، ج 14، ص 433 .</w:t>
      </w:r>
    </w:p>
    <w:p>
      <w:pPr>
        <w:pStyle w:val="Heading2"/>
      </w:pPr>
      <w:bookmarkStart w:id="4163" w:name="_Toc3265"/>
      <w:r>
        <w:t>خلال ، حسن بن محمّد - 439 ه-</w:t>
      </w:r>
      <w:bookmarkEnd w:id="4163"/>
    </w:p>
    <w:p>
      <w:pPr>
        <w:pStyle w:val="BookText"/>
      </w:pPr>
      <w:r>
        <w:rPr>
          <w:rFonts w:ascii="Amiri" w:hAnsi="Amiri" w:eastAsia="Amiri" w:cs="Amiri"/>
          <w:lang w:bidi="ar-SA"/>
          <w:color w:val="111111"/>
          <w:sz w:val="28"/>
          <w:szCs w:val="28"/>
          <w:rtl/>
        </w:rPr>
        <w:t xml:space="preserve">جزء فيه ذم الغضب وكظم الغيظ،</w:t>
      </w:r>
    </w:p>
    <w:p>
      <w:pPr>
        <w:pStyle w:val="BookText"/>
      </w:pPr>
      <w:r>
        <w:rPr>
          <w:rFonts w:ascii="IRNazanin" w:hAnsi="IRNazanin" w:eastAsia="IRNazanin" w:cs="IRNazanin"/>
          <w:lang w:bidi="fa-IR"/>
          <w:color w:val="111111"/>
          <w:sz w:val="28"/>
          <w:szCs w:val="28"/>
          <w:rtl/>
        </w:rPr>
        <w:t xml:space="preserve">ج 5، ص 382.</w:t>
      </w:r>
    </w:p>
    <w:p>
      <w:pPr>
        <w:pStyle w:val="Heading2"/>
      </w:pPr>
      <w:bookmarkStart w:id="4164" w:name="_Toc3266"/>
      <w:r>
        <w:t>خلال ، عبدالله بن نجم - 616 ه-</w:t>
      </w:r>
      <w:bookmarkEnd w:id="4164"/>
    </w:p>
    <w:p>
      <w:pPr>
        <w:pStyle w:val="BookText"/>
      </w:pPr>
      <w:r>
        <w:rPr>
          <w:rFonts w:ascii="Amiri" w:hAnsi="Amiri" w:eastAsia="Amiri" w:cs="Amiri"/>
          <w:lang w:bidi="ar-SA"/>
          <w:color w:val="111111"/>
          <w:sz w:val="28"/>
          <w:szCs w:val="28"/>
          <w:rtl/>
        </w:rPr>
        <w:t xml:space="preserve">الجواهر الثمينه في مذهب عالم</w:t>
      </w:r>
    </w:p>
    <w:p>
      <w:pPr>
        <w:pStyle w:val="BookText"/>
      </w:pPr>
      <w:r>
        <w:rPr>
          <w:rFonts w:ascii="Amiri" w:hAnsi="Amiri" w:eastAsia="Amiri" w:cs="Amiri"/>
          <w:lang w:bidi="ar-SA"/>
          <w:color w:val="111111"/>
          <w:sz w:val="28"/>
          <w:szCs w:val="28"/>
          <w:rtl/>
        </w:rPr>
        <w:t xml:space="preserve">المدينة، ج 5، ص544.</w:t>
      </w:r>
    </w:p>
    <w:p>
      <w:pPr>
        <w:pStyle w:val="BookText"/>
      </w:pPr>
      <w:r>
        <w:rPr>
          <w:rFonts w:ascii="Amiri" w:hAnsi="Amiri" w:eastAsia="Amiri" w:cs="Amiri"/>
          <w:lang w:bidi="ar-SA"/>
          <w:color w:val="111111"/>
          <w:sz w:val="28"/>
          <w:szCs w:val="28"/>
          <w:rtl/>
        </w:rPr>
        <w:t xml:space="preserve">خلجاني ، حسين بن حسن- خلخالي حسين بن حسن</w:t>
      </w:r>
    </w:p>
    <w:p>
      <w:pPr>
        <w:pStyle w:val="BookText"/>
      </w:pPr>
      <w:r>
        <w:rPr>
          <w:rFonts w:ascii="Amiri" w:hAnsi="Amiri" w:eastAsia="Amiri" w:cs="Amiri"/>
          <w:lang w:bidi="ar-SA"/>
          <w:color w:val="111111"/>
          <w:sz w:val="28"/>
          <w:szCs w:val="28"/>
          <w:rtl/>
        </w:rPr>
        <w:t xml:space="preserve">خلجي قمي ، عليقلي خان قمي ، عليقلي</w:t>
      </w:r>
    </w:p>
    <w:p>
      <w:pPr>
        <w:pStyle w:val="BookText"/>
      </w:pPr>
      <w:r>
        <w:rPr>
          <w:rFonts w:ascii="IRNazanin" w:hAnsi="IRNazanin" w:eastAsia="IRNazanin" w:cs="IRNazanin"/>
          <w:lang w:bidi="fa-IR"/>
          <w:color w:val="111111"/>
          <w:sz w:val="28"/>
          <w:szCs w:val="28"/>
          <w:rtl/>
        </w:rPr>
        <w:t xml:space="preserve">بن قره چغاي</w:t>
      </w:r>
    </w:p>
    <w:p>
      <w:pPr>
        <w:pStyle w:val="Heading2"/>
      </w:pPr>
      <w:bookmarkStart w:id="4165" w:name="_Toc3267"/>
      <w:r>
        <w:t>خلخالي ، حسين بن حسن - 1014 ه-</w:t>
      </w:r>
      <w:bookmarkEnd w:id="4165"/>
    </w:p>
    <w:p>
      <w:pPr>
        <w:pStyle w:val="BookText"/>
      </w:pPr>
      <w:r>
        <w:rPr>
          <w:rFonts w:ascii="Amiri" w:hAnsi="Amiri" w:eastAsia="Amiri" w:cs="Amiri"/>
          <w:lang w:bidi="ar-SA"/>
          <w:color w:val="111111"/>
          <w:sz w:val="28"/>
          <w:szCs w:val="28"/>
          <w:rtl/>
        </w:rPr>
        <w:t xml:space="preserve">1 .حاشية اثبات الواجب، ج5،</w:t>
      </w:r>
    </w:p>
    <w:p>
      <w:pPr>
        <w:pStyle w:val="BookText"/>
      </w:pPr>
      <w:r>
        <w:rPr>
          <w:rFonts w:ascii="IRNazanin" w:hAnsi="IRNazanin" w:eastAsia="IRNazanin" w:cs="IRNazanin"/>
          <w:lang w:bidi="fa-IR"/>
          <w:color w:val="111111"/>
          <w:sz w:val="28"/>
          <w:szCs w:val="28"/>
          <w:rtl/>
        </w:rPr>
        <w:t xml:space="preserve">ص 648 .</w:t>
      </w:r>
    </w:p>
    <w:p>
      <w:pPr>
        <w:pStyle w:val="BookText"/>
      </w:pPr>
      <w:r>
        <w:rPr>
          <w:rFonts w:ascii="Amiri" w:hAnsi="Amiri" w:eastAsia="Amiri" w:cs="Amiri"/>
          <w:lang w:bidi="ar-SA"/>
          <w:color w:val="111111"/>
          <w:sz w:val="28"/>
          <w:szCs w:val="28"/>
          <w:rtl/>
        </w:rPr>
        <w:t xml:space="preserve">2 .حاشية الخلخالي من الدرر المتزايد</w:t>
      </w:r>
    </w:p>
    <w:p>
      <w:pPr>
        <w:pStyle w:val="BookText"/>
      </w:pPr>
      <w:r>
        <w:rPr>
          <w:rFonts w:ascii="IRNazanin" w:hAnsi="IRNazanin" w:eastAsia="IRNazanin" w:cs="IRNazanin"/>
          <w:lang w:bidi="fa-IR"/>
          <w:color w:val="111111"/>
          <w:sz w:val="28"/>
          <w:szCs w:val="28"/>
          <w:rtl/>
        </w:rPr>
        <w:t xml:space="preserve">ج 5، ص 864.</w:t>
      </w:r>
    </w:p>
    <w:p>
      <w:pPr>
        <w:pStyle w:val="BookText"/>
      </w:pPr>
      <w:r>
        <w:rPr>
          <w:rFonts w:ascii="Amiri" w:hAnsi="Amiri" w:eastAsia="Amiri" w:cs="Amiri"/>
          <w:lang w:bidi="ar-SA"/>
          <w:color w:val="111111"/>
          <w:sz w:val="28"/>
          <w:szCs w:val="28"/>
          <w:rtl/>
        </w:rPr>
        <w:t xml:space="preserve">3 .حاشية انوار التنزيل = حاشيه تفسير بيضاوي، ج 5، ص 690.</w:t>
      </w:r>
    </w:p>
    <w:p>
      <w:pPr>
        <w:pStyle w:val="BookText"/>
      </w:pPr>
      <w:r>
        <w:rPr>
          <w:rFonts w:ascii="Amiri" w:hAnsi="Amiri" w:eastAsia="Amiri" w:cs="Amiri"/>
          <w:lang w:bidi="ar-SA"/>
          <w:color w:val="111111"/>
          <w:sz w:val="28"/>
          <w:szCs w:val="28"/>
          <w:rtl/>
        </w:rPr>
        <w:t xml:space="preserve">4 .حاشية حاشية الدواني على تهذيب</w:t>
      </w:r>
    </w:p>
    <w:p>
      <w:pPr>
        <w:pStyle w:val="BookText"/>
      </w:pPr>
      <w:r>
        <w:rPr>
          <w:rFonts w:ascii="IRNazanin" w:hAnsi="IRNazanin" w:eastAsia="IRNazanin" w:cs="IRNazanin"/>
          <w:lang w:bidi="fa-IR"/>
          <w:color w:val="111111"/>
          <w:sz w:val="28"/>
          <w:szCs w:val="28"/>
          <w:rtl/>
        </w:rPr>
        <w:t xml:space="preserve">المنطق، ج 5، ص 815.</w:t>
      </w:r>
    </w:p>
    <w:p>
      <w:pPr>
        <w:pStyle w:val="BookText"/>
      </w:pPr>
      <w:r>
        <w:rPr>
          <w:rFonts w:ascii="Amiri" w:hAnsi="Amiri" w:eastAsia="Amiri" w:cs="Amiri"/>
          <w:lang w:bidi="ar-SA"/>
          <w:color w:val="111111"/>
          <w:sz w:val="28"/>
          <w:szCs w:val="28"/>
          <w:rtl/>
        </w:rPr>
        <w:t xml:space="preserve">5 .حاشية حاشية السيّد الشريف على</w:t>
      </w:r>
    </w:p>
    <w:p>
      <w:pPr>
        <w:pStyle w:val="BookText"/>
      </w:pPr>
      <w:r>
        <w:rPr>
          <w:rFonts w:ascii="IRNazanin" w:hAnsi="IRNazanin" w:eastAsia="IRNazanin" w:cs="IRNazanin"/>
          <w:lang w:bidi="fa-IR"/>
          <w:color w:val="111111"/>
          <w:sz w:val="28"/>
          <w:szCs w:val="28"/>
          <w:rtl/>
        </w:rPr>
        <w:t xml:space="preserve">شرح المطالع، ج5، ص822</w:t>
      </w:r>
    </w:p>
    <w:p>
      <w:pPr>
        <w:pStyle w:val="BookText"/>
      </w:pPr>
      <w:r>
        <w:rPr>
          <w:rFonts w:ascii="Amiri" w:hAnsi="Amiri" w:eastAsia="Amiri" w:cs="Amiri"/>
          <w:lang w:bidi="ar-SA"/>
          <w:color w:val="111111"/>
          <w:sz w:val="28"/>
          <w:szCs w:val="28"/>
          <w:rtl/>
        </w:rPr>
        <w:t xml:space="preserve">6 .حاشية شرح العقائد العضدية، ج 6،</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Amiri" w:hAnsi="Amiri" w:eastAsia="Amiri" w:cs="Amiri"/>
          <w:lang w:bidi="ar-SA"/>
          <w:color w:val="111111"/>
          <w:sz w:val="28"/>
          <w:szCs w:val="28"/>
          <w:rtl/>
        </w:rPr>
        <w:t xml:space="preserve">7 .حاشية شرح مختصر الاصول، ج 6،</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Amiri" w:hAnsi="Amiri" w:eastAsia="Amiri" w:cs="Amiri"/>
          <w:lang w:bidi="ar-SA"/>
          <w:color w:val="111111"/>
          <w:sz w:val="28"/>
          <w:szCs w:val="28"/>
          <w:rtl/>
        </w:rPr>
        <w:t xml:space="preserve">8 .شرح الوقاية = دائرة الهندية =</w:t>
      </w:r>
    </w:p>
    <w:p>
      <w:pPr>
        <w:pStyle w:val="BookText"/>
      </w:pPr>
      <w:r>
        <w:rPr>
          <w:rFonts w:ascii="Amiri" w:hAnsi="Amiri" w:eastAsia="Amiri" w:cs="Amiri"/>
          <w:lang w:bidi="ar-SA"/>
          <w:color w:val="111111"/>
          <w:sz w:val="28"/>
          <w:szCs w:val="28"/>
          <w:rtl/>
        </w:rPr>
        <w:t xml:space="preserve">معرفة الزوال، ج 10، ص332.</w:t>
      </w:r>
    </w:p>
    <w:p>
      <w:pPr>
        <w:pStyle w:val="BookText"/>
      </w:pPr>
      <w:r>
        <w:rPr>
          <w:rFonts w:ascii="Amiri" w:hAnsi="Amiri" w:eastAsia="Amiri" w:cs="Amiri"/>
          <w:lang w:bidi="ar-SA"/>
          <w:color w:val="111111"/>
          <w:sz w:val="28"/>
          <w:szCs w:val="28"/>
          <w:rtl/>
        </w:rPr>
        <w:t xml:space="preserve">9 .معرفة الاوقات بواسطة ربع الدائرة</w:t>
      </w:r>
    </w:p>
    <w:p>
      <w:pPr>
        <w:pStyle w:val="BookText"/>
      </w:pPr>
      <w:r>
        <w:rPr>
          <w:rFonts w:ascii="IRNazanin" w:hAnsi="IRNazanin" w:eastAsia="IRNazanin" w:cs="IRNazanin"/>
          <w:lang w:bidi="fa-IR"/>
          <w:color w:val="111111"/>
          <w:sz w:val="28"/>
          <w:szCs w:val="28"/>
          <w:rtl/>
        </w:rPr>
        <w:t xml:space="preserve">ج 15 ، ص 48 .</w:t>
      </w:r>
    </w:p>
    <w:p>
      <w:pPr>
        <w:pStyle w:val="Heading2"/>
      </w:pPr>
      <w:bookmarkStart w:id="4166" w:name="_Toc3268"/>
      <w:r>
        <w:t>خلخالي ، سعيد بن محمّد</w:t>
      </w:r>
      <w:bookmarkEnd w:id="4166"/>
    </w:p>
    <w:p>
      <w:pPr>
        <w:pStyle w:val="BookText"/>
      </w:pPr>
      <w:r>
        <w:rPr>
          <w:rFonts w:ascii="Amiri" w:hAnsi="Amiri" w:eastAsia="Amiri" w:cs="Amiri"/>
          <w:lang w:bidi="ar-SA"/>
          <w:color w:val="111111"/>
          <w:sz w:val="28"/>
          <w:szCs w:val="28"/>
          <w:rtl/>
        </w:rPr>
        <w:t xml:space="preserve">حاشية تحرير القواعد المنطقية في شرح الشمسية = حاشية شرح الشمسية، ج 5، ص 729.</w:t>
      </w:r>
    </w:p>
    <w:p>
      <w:pPr>
        <w:pStyle w:val="BookText"/>
      </w:pPr>
      <w:r>
        <w:rPr>
          <w:rFonts w:ascii="Amiri" w:hAnsi="Amiri" w:eastAsia="Amiri" w:cs="Amiri"/>
          <w:lang w:bidi="ar-SA"/>
          <w:color w:val="111111"/>
          <w:sz w:val="28"/>
          <w:szCs w:val="28"/>
          <w:rtl/>
        </w:rPr>
        <w:t xml:space="preserve">خلخالي ، علي بن محمّد -حسيني خلخالي</w:t>
      </w:r>
    </w:p>
    <w:p>
      <w:pPr>
        <w:pStyle w:val="BookText"/>
      </w:pPr>
      <w:r>
        <w:rPr>
          <w:rFonts w:ascii="Amiri" w:hAnsi="Amiri" w:eastAsia="Amiri" w:cs="Amiri"/>
          <w:lang w:bidi="ar-SA"/>
          <w:color w:val="111111"/>
          <w:sz w:val="28"/>
          <w:szCs w:val="28"/>
          <w:rtl/>
        </w:rPr>
        <w:t xml:space="preserve">، علي بن محمّد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3" w:name="pg7742_70322"/>
    <w:bookmarkEnd w:id="463"/>
    <w:p>
      <w:pPr>
        <w:pStyle w:val="Heading2"/>
      </w:pPr>
      <w:bookmarkStart w:id="4167" w:name="_Toc3269"/>
      <w:r>
        <w:t>خلخالي محمّد بن مظفر الدين - 745 ه-</w:t>
      </w:r>
      <w:bookmarkEnd w:id="4167"/>
    </w:p>
    <w:p>
      <w:pPr>
        <w:pStyle w:val="BookText"/>
      </w:pPr>
      <w:r>
        <w:rPr>
          <w:rFonts w:ascii="Amiri" w:hAnsi="Amiri" w:eastAsia="Amiri" w:cs="Amiri"/>
          <w:lang w:bidi="ar-SA"/>
          <w:color w:val="111111"/>
          <w:sz w:val="28"/>
          <w:szCs w:val="28"/>
          <w:rtl/>
        </w:rPr>
        <w:t xml:space="preserve">مفتاح تلخيص المفتاح، ج 15، ص189.</w:t>
      </w:r>
    </w:p>
    <w:p>
      <w:pPr>
        <w:pStyle w:val="BookText"/>
      </w:pPr>
      <w:r>
        <w:rPr>
          <w:rFonts w:ascii="Amiri" w:hAnsi="Amiri" w:eastAsia="Amiri" w:cs="Amiri"/>
          <w:lang w:bidi="ar-SA"/>
          <w:color w:val="111111"/>
          <w:sz w:val="28"/>
          <w:szCs w:val="28"/>
          <w:rtl/>
        </w:rPr>
        <w:t xml:space="preserve">خلخالي ، محمّد صالح بن محمّد- موسوي</w:t>
      </w:r>
    </w:p>
    <w:p>
      <w:pPr>
        <w:pStyle w:val="BookText"/>
      </w:pPr>
      <w:r>
        <w:rPr>
          <w:rFonts w:ascii="Amiri" w:hAnsi="Amiri" w:eastAsia="Amiri" w:cs="Amiri"/>
          <w:lang w:bidi="ar-SA"/>
          <w:color w:val="111111"/>
          <w:sz w:val="28"/>
          <w:szCs w:val="28"/>
          <w:rtl/>
        </w:rPr>
        <w:t xml:space="preserve">خلخالي ، صالح بن محمّد- صالح</w:t>
      </w:r>
    </w:p>
    <w:p>
      <w:pPr>
        <w:pStyle w:val="Heading2"/>
      </w:pPr>
      <w:bookmarkStart w:id="4168" w:name="_Toc3270"/>
      <w:r>
        <w:t>خلخالي ، محمّد صالح بن محمّد سعید</w:t>
      </w:r>
      <w:bookmarkEnd w:id="4168"/>
    </w:p>
    <w:p>
      <w:pPr>
        <w:pStyle w:val="BookText"/>
      </w:pPr>
      <w:r>
        <w:rPr>
          <w:rFonts w:ascii="IRNazanin" w:hAnsi="IRNazanin" w:eastAsia="IRNazanin" w:cs="IRNazanin"/>
          <w:lang w:bidi="fa-IR"/>
          <w:color w:val="111111"/>
          <w:sz w:val="28"/>
          <w:szCs w:val="28"/>
          <w:rtl/>
        </w:rPr>
        <w:t xml:space="preserve">1095 - 1175 ه-</w:t>
      </w:r>
    </w:p>
    <w:p>
      <w:pPr>
        <w:pStyle w:val="BookText"/>
      </w:pPr>
      <w:r>
        <w:rPr>
          <w:rFonts w:ascii="Amiri" w:hAnsi="Amiri" w:eastAsia="Amiri" w:cs="Amiri"/>
          <w:lang w:bidi="ar-SA"/>
          <w:color w:val="111111"/>
          <w:sz w:val="28"/>
          <w:szCs w:val="28"/>
          <w:rtl/>
        </w:rPr>
        <w:t xml:space="preserve">1 .حاشية مبحث الوقت والقبلة من</w:t>
      </w:r>
    </w:p>
    <w:p>
      <w:pPr>
        <w:pStyle w:val="BookText"/>
      </w:pPr>
      <w:r>
        <w:rPr>
          <w:rFonts w:ascii="Amiri" w:hAnsi="Amiri" w:eastAsia="Amiri" w:cs="Amiri"/>
          <w:lang w:bidi="ar-SA"/>
          <w:color w:val="111111"/>
          <w:sz w:val="28"/>
          <w:szCs w:val="28"/>
          <w:rtl/>
        </w:rPr>
        <w:t xml:space="preserve">الروضة البهية، ج6، ص 346.</w:t>
      </w:r>
    </w:p>
    <w:p>
      <w:pPr>
        <w:pStyle w:val="BookText"/>
      </w:pPr>
      <w:r>
        <w:rPr>
          <w:rFonts w:ascii="Amiri" w:hAnsi="Amiri" w:eastAsia="Amiri" w:cs="Amiri"/>
          <w:lang w:bidi="ar-SA"/>
          <w:color w:val="111111"/>
          <w:sz w:val="28"/>
          <w:szCs w:val="28"/>
          <w:rtl/>
        </w:rPr>
        <w:t xml:space="preserve">2 .شرح قصيده يائيه مير فندرسكي</w:t>
      </w:r>
    </w:p>
    <w:p>
      <w:pPr>
        <w:pStyle w:val="BookText"/>
      </w:pPr>
      <w:r>
        <w:rPr>
          <w:rFonts w:ascii="IRNazanin" w:hAnsi="IRNazanin" w:eastAsia="IRNazanin" w:cs="IRNazanin"/>
          <w:lang w:bidi="fa-IR"/>
          <w:color w:val="111111"/>
          <w:sz w:val="28"/>
          <w:szCs w:val="28"/>
          <w:rtl/>
        </w:rPr>
        <w:t xml:space="preserve">ج 9، ص 905.</w:t>
      </w:r>
    </w:p>
    <w:p>
      <w:pPr>
        <w:pStyle w:val="Heading2"/>
      </w:pPr>
      <w:bookmarkStart w:id="4169" w:name="_Toc3271"/>
      <w:r>
        <w:t>خلخالي ، مقصود علي</w:t>
      </w:r>
      <w:bookmarkEnd w:id="4169"/>
    </w:p>
    <w:p>
      <w:pPr>
        <w:pStyle w:val="BookText"/>
      </w:pPr>
      <w:r>
        <w:rPr>
          <w:rFonts w:ascii="IRNazanin" w:hAnsi="IRNazanin" w:eastAsia="IRNazanin" w:cs="IRNazanin"/>
          <w:lang w:bidi="fa-IR"/>
          <w:color w:val="111111"/>
          <w:sz w:val="28"/>
          <w:szCs w:val="28"/>
          <w:rtl/>
        </w:rPr>
        <w:t xml:space="preserve">گنجینه جوهر، ج13، ص 507.</w:t>
      </w:r>
    </w:p>
    <w:p>
      <w:pPr>
        <w:pStyle w:val="Heading2"/>
      </w:pPr>
      <w:bookmarkStart w:id="4170" w:name="_Toc3272"/>
      <w:r>
        <w:t>خلخالي ، نصر الله بن محمّد - 946 ه-</w:t>
      </w:r>
      <w:bookmarkEnd w:id="4170"/>
    </w:p>
    <w:p>
      <w:pPr>
        <w:pStyle w:val="BookText"/>
      </w:pPr>
      <w:r>
        <w:rPr>
          <w:rFonts w:ascii="Amiri" w:hAnsi="Amiri" w:eastAsia="Amiri" w:cs="Amiri"/>
          <w:lang w:bidi="ar-SA"/>
          <w:color w:val="111111"/>
          <w:sz w:val="28"/>
          <w:szCs w:val="28"/>
          <w:rtl/>
        </w:rPr>
        <w:t xml:space="preserve">محاكمات = حاشية عقائد الدواني</w:t>
      </w:r>
    </w:p>
    <w:p>
      <w:pPr>
        <w:pStyle w:val="BookText"/>
      </w:pPr>
      <w:r>
        <w:rPr>
          <w:rFonts w:ascii="IRNazanin" w:hAnsi="IRNazanin" w:eastAsia="IRNazanin" w:cs="IRNazanin"/>
          <w:lang w:bidi="fa-IR"/>
          <w:color w:val="111111"/>
          <w:sz w:val="28"/>
          <w:szCs w:val="28"/>
          <w:rtl/>
        </w:rPr>
        <w:t xml:space="preserve">ج 14، ص 104.</w:t>
      </w:r>
    </w:p>
    <w:p>
      <w:pPr>
        <w:pStyle w:val="Heading2"/>
      </w:pPr>
      <w:bookmarkStart w:id="4171" w:name="_Toc3273"/>
      <w:r>
        <w:t>خلدي ، جعفر بن محمّد، 252 - 348 ه-</w:t>
      </w:r>
      <w:bookmarkEnd w:id="4171"/>
    </w:p>
    <w:p>
      <w:pPr>
        <w:pStyle w:val="BookText"/>
      </w:pPr>
      <w:r>
        <w:rPr>
          <w:rFonts w:ascii="Amiri" w:hAnsi="Amiri" w:eastAsia="Amiri" w:cs="Amiri"/>
          <w:lang w:bidi="ar-SA"/>
          <w:color w:val="111111"/>
          <w:sz w:val="28"/>
          <w:szCs w:val="28"/>
          <w:rtl/>
        </w:rPr>
        <w:t xml:space="preserve">محنة الامام الشافعي، ج 14، ص 134.</w:t>
      </w:r>
    </w:p>
    <w:p>
      <w:pPr>
        <w:pStyle w:val="Heading2"/>
      </w:pPr>
      <w:bookmarkStart w:id="4172" w:name="_Toc3274"/>
      <w:r>
        <w:t>خلعي حلي موصلي ، علي بن عبدالعزيز</w:t>
      </w:r>
      <w:bookmarkEnd w:id="41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750 ه-</w:t>
      </w:r>
    </w:p>
    <w:p>
      <w:pPr>
        <w:pStyle w:val="BookText"/>
      </w:pPr>
      <w:r>
        <w:rPr>
          <w:rFonts w:ascii="Amiri" w:hAnsi="Amiri" w:eastAsia="Amiri" w:cs="Amiri"/>
          <w:lang w:bidi="ar-SA"/>
          <w:color w:val="111111"/>
          <w:sz w:val="28"/>
          <w:szCs w:val="28"/>
          <w:rtl/>
        </w:rPr>
        <w:t xml:space="preserve">1 .ديوان الخلعي، ج 7، ص 638.</w:t>
      </w:r>
    </w:p>
    <w:p>
      <w:pPr>
        <w:pStyle w:val="BookText"/>
      </w:pPr>
      <w:r>
        <w:rPr>
          <w:rFonts w:ascii="Amiri" w:hAnsi="Amiri" w:eastAsia="Amiri" w:cs="Amiri"/>
          <w:lang w:bidi="ar-SA"/>
          <w:color w:val="111111"/>
          <w:sz w:val="28"/>
          <w:szCs w:val="28"/>
          <w:rtl/>
        </w:rPr>
        <w:t xml:space="preserve">2 .قصائد في مدح آل البيت، ج 12،</w:t>
      </w:r>
    </w:p>
    <w:p>
      <w:pPr>
        <w:pStyle w:val="BookText"/>
      </w:pPr>
      <w:r>
        <w:rPr>
          <w:rFonts w:ascii="IRNazanin" w:hAnsi="IRNazanin" w:eastAsia="IRNazanin" w:cs="IRNazanin"/>
          <w:lang w:bidi="fa-IR"/>
          <w:color w:val="111111"/>
          <w:sz w:val="28"/>
          <w:szCs w:val="28"/>
          <w:rtl/>
        </w:rPr>
        <w:t xml:space="preserve">ص 594.</w:t>
      </w:r>
    </w:p>
    <w:p>
      <w:pPr>
        <w:pStyle w:val="Heading2"/>
      </w:pPr>
      <w:bookmarkStart w:id="4173" w:name="_Toc3275"/>
      <w:r>
        <w:t>خلعي ، محمّد كامل بن سليمان، 1296 -</w:t>
      </w:r>
      <w:bookmarkEnd w:id="4173"/>
    </w:p>
    <w:p>
      <w:pPr>
        <w:pStyle w:val="BookText"/>
      </w:pPr>
      <w:r>
        <w:rPr>
          <w:rFonts w:ascii="IRNazanin" w:hAnsi="IRNazanin" w:eastAsia="IRNazanin" w:cs="IRNazanin"/>
          <w:lang w:bidi="fa-IR"/>
          <w:color w:val="111111"/>
          <w:sz w:val="28"/>
          <w:szCs w:val="28"/>
          <w:rtl/>
        </w:rPr>
        <w:t xml:space="preserve">1357 ه-</w:t>
      </w:r>
    </w:p>
    <w:p>
      <w:pPr>
        <w:pStyle w:val="BookText"/>
      </w:pPr>
      <w:r>
        <w:rPr>
          <w:rFonts w:ascii="Amiri" w:hAnsi="Amiri" w:eastAsia="Amiri" w:cs="Amiri"/>
          <w:lang w:bidi="ar-SA"/>
          <w:color w:val="111111"/>
          <w:sz w:val="28"/>
          <w:szCs w:val="28"/>
          <w:rtl/>
        </w:rPr>
        <w:t xml:space="preserve">نيل الأماني في ضروب الأغاني، ج 16،</w:t>
      </w:r>
    </w:p>
    <w:p>
      <w:pPr>
        <w:pStyle w:val="BookText"/>
      </w:pPr>
      <w:r>
        <w:rPr>
          <w:rFonts w:ascii="IRNazanin" w:hAnsi="IRNazanin" w:eastAsia="IRNazanin" w:cs="IRNazanin"/>
          <w:lang w:bidi="fa-IR"/>
          <w:color w:val="111111"/>
          <w:sz w:val="28"/>
          <w:szCs w:val="28"/>
          <w:rtl/>
        </w:rPr>
        <w:t xml:space="preserve">ص 578</w:t>
      </w:r>
    </w:p>
    <w:p>
      <w:pPr>
        <w:pStyle w:val="BookText"/>
      </w:pPr>
      <w:r>
        <w:rPr>
          <w:rFonts w:ascii="Amiri" w:hAnsi="Amiri" w:eastAsia="Amiri" w:cs="Amiri"/>
          <w:lang w:bidi="ar-SA"/>
          <w:color w:val="111111"/>
          <w:sz w:val="28"/>
          <w:szCs w:val="28"/>
          <w:rtl/>
        </w:rPr>
        <w:t xml:space="preserve">خلف بن عباس زهراوي - زهراوي اندلسي ، خلف بن عباس</w:t>
      </w:r>
    </w:p>
    <w:p>
      <w:pPr>
        <w:pStyle w:val="BookText"/>
      </w:pPr>
      <w:r>
        <w:rPr>
          <w:rFonts w:ascii="Amiri" w:hAnsi="Amiri" w:eastAsia="Amiri" w:cs="Amiri"/>
          <w:lang w:bidi="ar-SA"/>
          <w:color w:val="111111"/>
          <w:sz w:val="28"/>
          <w:szCs w:val="28"/>
          <w:rtl/>
        </w:rPr>
        <w:t xml:space="preserve">خلف بن عبد العلي انصاري -بحراني انصاري ، خلف بن عبدالعلي</w:t>
      </w:r>
    </w:p>
    <w:p>
      <w:pPr>
        <w:pStyle w:val="BookText"/>
      </w:pPr>
      <w:r>
        <w:rPr>
          <w:rFonts w:ascii="Amiri" w:hAnsi="Amiri" w:eastAsia="Amiri" w:cs="Amiri"/>
          <w:lang w:bidi="ar-SA"/>
          <w:color w:val="111111"/>
          <w:sz w:val="28"/>
          <w:szCs w:val="28"/>
          <w:rtl/>
        </w:rPr>
        <w:t xml:space="preserve">خلف بن عبد المطلب حويزي- حويزي</w:t>
      </w:r>
    </w:p>
    <w:p>
      <w:pPr>
        <w:pStyle w:val="BookText"/>
      </w:pPr>
      <w:r>
        <w:rPr>
          <w:rFonts w:ascii="IRNazanin" w:hAnsi="IRNazanin" w:eastAsia="IRNazanin" w:cs="IRNazanin"/>
          <w:lang w:bidi="fa-IR"/>
          <w:color w:val="111111"/>
          <w:sz w:val="28"/>
          <w:szCs w:val="28"/>
          <w:rtl/>
        </w:rPr>
        <w:t xml:space="preserve">خلف بن عبدالمطلب</w:t>
      </w:r>
    </w:p>
    <w:p>
      <w:pPr>
        <w:pStyle w:val="BookText"/>
      </w:pPr>
      <w:r>
        <w:rPr>
          <w:rFonts w:ascii="Amiri" w:hAnsi="Amiri" w:eastAsia="Amiri" w:cs="Amiri"/>
          <w:lang w:bidi="ar-SA"/>
          <w:color w:val="111111"/>
          <w:sz w:val="28"/>
          <w:szCs w:val="28"/>
          <w:rtl/>
        </w:rPr>
        <w:t xml:space="preserve">خلف بن عبد الملك قرطبي - قرطبي ،</w:t>
      </w:r>
    </w:p>
    <w:p>
      <w:pPr>
        <w:pStyle w:val="BookText"/>
      </w:pPr>
      <w:r>
        <w:rPr>
          <w:rFonts w:ascii="Amiri" w:hAnsi="Amiri" w:eastAsia="Amiri" w:cs="Amiri"/>
          <w:lang w:bidi="ar-SA"/>
          <w:color w:val="111111"/>
          <w:sz w:val="28"/>
          <w:szCs w:val="28"/>
          <w:rtl/>
        </w:rPr>
        <w:t xml:space="preserve">خلف بن عبدالملك</w:t>
      </w:r>
    </w:p>
    <w:p>
      <w:pPr>
        <w:pStyle w:val="BookText"/>
      </w:pPr>
      <w:r>
        <w:rPr>
          <w:rFonts w:ascii="Amiri" w:hAnsi="Amiri" w:eastAsia="Amiri" w:cs="Amiri"/>
          <w:lang w:bidi="ar-SA"/>
          <w:color w:val="111111"/>
          <w:sz w:val="28"/>
          <w:szCs w:val="28"/>
          <w:rtl/>
        </w:rPr>
        <w:t xml:space="preserve">خلف بن عبد علي آل عصفور بحراني -آل</w:t>
      </w:r>
    </w:p>
    <w:p>
      <w:pPr>
        <w:pStyle w:val="BookText"/>
      </w:pPr>
      <w:r>
        <w:rPr>
          <w:rFonts w:ascii="Amiri" w:hAnsi="Amiri" w:eastAsia="Amiri" w:cs="Amiri"/>
          <w:lang w:bidi="ar-SA"/>
          <w:color w:val="111111"/>
          <w:sz w:val="28"/>
          <w:szCs w:val="28"/>
          <w:rtl/>
        </w:rPr>
        <w:t xml:space="preserve">عصفور بحراني ، خلف بن عبد علي</w:t>
      </w:r>
    </w:p>
    <w:p>
      <w:pPr>
        <w:pStyle w:val="BookText"/>
      </w:pPr>
      <w:r>
        <w:rPr>
          <w:rFonts w:ascii="Amiri" w:hAnsi="Amiri" w:eastAsia="Amiri" w:cs="Amiri"/>
          <w:lang w:bidi="ar-SA"/>
          <w:color w:val="111111"/>
          <w:sz w:val="28"/>
          <w:szCs w:val="28"/>
          <w:rtl/>
        </w:rPr>
        <w:t xml:space="preserve">خلف بن عسكر زويعي- زويعي ، خلف</w:t>
      </w:r>
    </w:p>
    <w:p>
      <w:pPr>
        <w:pStyle w:val="BookText"/>
      </w:pPr>
      <w:r>
        <w:rPr>
          <w:rFonts w:ascii="Amiri" w:hAnsi="Amiri" w:eastAsia="Amiri" w:cs="Amiri"/>
          <w:lang w:bidi="ar-SA"/>
          <w:color w:val="111111"/>
          <w:sz w:val="28"/>
          <w:szCs w:val="28"/>
          <w:rtl/>
        </w:rPr>
        <w:t xml:space="preserve">بن عسكر</w:t>
      </w:r>
    </w:p>
    <w:p>
      <w:pPr>
        <w:pStyle w:val="Heading2"/>
      </w:pPr>
      <w:bookmarkStart w:id="4174" w:name="_Toc3276"/>
      <w:r>
        <w:t>خلف مصري ، عبدالرحمن احمد</w:t>
      </w:r>
      <w:bookmarkEnd w:id="4174"/>
    </w:p>
    <w:p>
      <w:pPr>
        <w:pStyle w:val="BookText"/>
      </w:pPr>
      <w:r>
        <w:rPr>
          <w:rFonts w:ascii="Amiri" w:hAnsi="Amiri" w:eastAsia="Amiri" w:cs="Amiri"/>
          <w:lang w:bidi="ar-SA"/>
          <w:color w:val="111111"/>
          <w:sz w:val="28"/>
          <w:szCs w:val="28"/>
          <w:rtl/>
        </w:rPr>
        <w:t xml:space="preserve">الدروس الاولية شرح المقدمة</w:t>
      </w:r>
    </w:p>
    <w:p>
      <w:pPr>
        <w:pStyle w:val="BookText"/>
      </w:pPr>
      <w:r>
        <w:rPr>
          <w:rFonts w:ascii="Amiri" w:hAnsi="Amiri" w:eastAsia="Amiri" w:cs="Amiri"/>
          <w:lang w:bidi="ar-SA"/>
          <w:color w:val="111111"/>
          <w:sz w:val="28"/>
          <w:szCs w:val="28"/>
          <w:rtl/>
        </w:rPr>
        <w:t xml:space="preserve">السنوسية، ج 7، ص370.</w:t>
      </w:r>
    </w:p>
    <w:p>
      <w:pPr>
        <w:pStyle w:val="BookText"/>
      </w:pPr>
      <w:r>
        <w:rPr>
          <w:rFonts w:ascii="Amiri" w:hAnsi="Amiri" w:eastAsia="Amiri" w:cs="Amiri"/>
          <w:lang w:bidi="ar-SA"/>
          <w:color w:val="111111"/>
          <w:sz w:val="28"/>
          <w:szCs w:val="28"/>
          <w:rtl/>
        </w:rPr>
        <w:t xml:space="preserve">خلوتي ، ابوالحسن علي- زناتي ، ابوالحسن</w:t>
      </w:r>
    </w:p>
    <w:p>
      <w:pPr>
        <w:pStyle w:val="Heading2"/>
      </w:pPr>
      <w:bookmarkStart w:id="4175" w:name="_Toc3277"/>
      <w:r>
        <w:t>خلوتي ، احمد بن سالم</w:t>
      </w:r>
      <w:bookmarkEnd w:id="4175"/>
    </w:p>
    <w:p>
      <w:pPr>
        <w:pStyle w:val="BookText"/>
      </w:pPr>
      <w:r>
        <w:rPr>
          <w:rFonts w:ascii="Amiri" w:hAnsi="Amiri" w:eastAsia="Amiri" w:cs="Amiri"/>
          <w:lang w:bidi="ar-SA"/>
          <w:color w:val="111111"/>
          <w:sz w:val="28"/>
          <w:szCs w:val="28"/>
          <w:rtl/>
        </w:rPr>
        <w:t xml:space="preserve">منهل الوارد في الحث على قراءة</w:t>
      </w:r>
    </w:p>
    <w:p>
      <w:pPr>
        <w:pStyle w:val="BookText"/>
      </w:pPr>
      <w:r>
        <w:rPr>
          <w:rFonts w:ascii="Amiri" w:hAnsi="Amiri" w:eastAsia="Amiri" w:cs="Amiri"/>
          <w:lang w:bidi="ar-SA"/>
          <w:color w:val="111111"/>
          <w:sz w:val="28"/>
          <w:szCs w:val="28"/>
          <w:rtl/>
        </w:rPr>
        <w:t xml:space="preserve">الاوراد وتحفة الملوك لمن اراد تحرير السلوك، ج 15 ، ص 817.</w:t>
      </w:r>
    </w:p>
    <w:p>
      <w:pPr>
        <w:pStyle w:val="BookText"/>
      </w:pPr>
      <w:r>
        <w:rPr>
          <w:rFonts w:ascii="Amiri" w:hAnsi="Amiri" w:eastAsia="Amiri" w:cs="Amiri"/>
          <w:lang w:bidi="ar-SA"/>
          <w:color w:val="111111"/>
          <w:sz w:val="28"/>
          <w:szCs w:val="28"/>
          <w:rtl/>
        </w:rPr>
        <w:t xml:space="preserve">خلوتي ، احمد بن عمر -حمامي ، احمد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خلوتي ، احمد بن محمّد- صاوي ، احمد بن محمّد</w:t>
      </w:r>
    </w:p>
    <w:p>
      <w:pPr>
        <w:pStyle w:val="BookText"/>
      </w:pPr>
      <w:r>
        <w:rPr>
          <w:rFonts w:ascii="Amiri" w:hAnsi="Amiri" w:eastAsia="Amiri" w:cs="Amiri"/>
          <w:lang w:bidi="ar-SA"/>
          <w:color w:val="111111"/>
          <w:sz w:val="28"/>
          <w:szCs w:val="28"/>
          <w:rtl/>
        </w:rPr>
        <w:t xml:space="preserve">خلوتي، اسماعيل بن مصطفى- حقي</w:t>
      </w:r>
    </w:p>
    <w:p>
      <w:pPr>
        <w:pStyle w:val="BookText"/>
      </w:pPr>
      <w:r>
        <w:rPr>
          <w:rFonts w:ascii="Amiri" w:hAnsi="Amiri" w:eastAsia="Amiri" w:cs="Amiri"/>
          <w:lang w:bidi="ar-SA"/>
          <w:color w:val="111111"/>
          <w:sz w:val="28"/>
          <w:szCs w:val="28"/>
          <w:rtl/>
        </w:rPr>
        <w:t xml:space="preserve">برسوي، اسماعيل بن مصطفى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4" w:name="pg7742_70323"/>
    <w:bookmarkEnd w:id="464"/>
    <w:p>
      <w:pPr>
        <w:pStyle w:val="Heading2"/>
      </w:pPr>
      <w:bookmarkStart w:id="4176" w:name="_Toc3278"/>
      <w:r>
        <w:t>خلوتي ، ايوب بن احمد - 1071 ه-</w:t>
      </w:r>
      <w:bookmarkEnd w:id="4176"/>
    </w:p>
    <w:p>
      <w:pPr>
        <w:pStyle w:val="BookText"/>
      </w:pPr>
      <w:r>
        <w:rPr>
          <w:rFonts w:ascii="Amiri" w:hAnsi="Amiri" w:eastAsia="Amiri" w:cs="Amiri"/>
          <w:lang w:bidi="ar-SA"/>
          <w:color w:val="111111"/>
          <w:sz w:val="28"/>
          <w:szCs w:val="28"/>
          <w:rtl/>
        </w:rPr>
        <w:t xml:space="preserve">التحقيق السلالة الصديق (رسالة)، ج ،</w:t>
      </w:r>
    </w:p>
    <w:p>
      <w:pPr>
        <w:pStyle w:val="BookText"/>
      </w:pPr>
      <w:r>
        <w:rPr>
          <w:rFonts w:ascii="IRNazanin" w:hAnsi="IRNazanin" w:eastAsia="IRNazanin" w:cs="IRNazanin"/>
          <w:lang w:bidi="fa-IR"/>
          <w:color w:val="111111"/>
          <w:sz w:val="28"/>
          <w:szCs w:val="28"/>
          <w:rtl/>
        </w:rPr>
        <w:t xml:space="preserve">ص 72.</w:t>
      </w:r>
    </w:p>
    <w:p>
      <w:pPr>
        <w:pStyle w:val="BookText"/>
      </w:pPr>
      <w:r>
        <w:rPr>
          <w:rFonts w:ascii="Amiri" w:hAnsi="Amiri" w:eastAsia="Amiri" w:cs="Amiri"/>
          <w:lang w:bidi="ar-SA"/>
          <w:color w:val="111111"/>
          <w:sz w:val="28"/>
          <w:szCs w:val="28"/>
          <w:rtl/>
        </w:rPr>
        <w:t xml:space="preserve">خلوتي ، جمال الدين -ابن جمال آقسرائي ،محمّد بن محمود</w:t>
      </w:r>
    </w:p>
    <w:p>
      <w:pPr>
        <w:pStyle w:val="BookText"/>
      </w:pPr>
      <w:r>
        <w:rPr>
          <w:rFonts w:ascii="IRNazanin" w:hAnsi="IRNazanin" w:eastAsia="IRNazanin" w:cs="IRNazanin"/>
          <w:lang w:bidi="fa-IR"/>
          <w:color w:val="111111"/>
          <w:sz w:val="28"/>
          <w:szCs w:val="28"/>
          <w:rtl/>
        </w:rPr>
        <w:t xml:space="preserve">خلوتي دردير ، احمد بن محمّد- دردیر ، احمد بن محمّد -</w:t>
      </w:r>
    </w:p>
    <w:p>
      <w:pPr>
        <w:pStyle w:val="Heading2"/>
      </w:pPr>
      <w:bookmarkStart w:id="4177" w:name="_Toc3279"/>
      <w:r>
        <w:t>خلوتي ، عبدالرحمن</w:t>
      </w:r>
      <w:bookmarkEnd w:id="4177"/>
    </w:p>
    <w:p>
      <w:pPr>
        <w:pStyle w:val="BookText"/>
      </w:pPr>
      <w:r>
        <w:rPr>
          <w:rFonts w:ascii="Amiri" w:hAnsi="Amiri" w:eastAsia="Amiri" w:cs="Amiri"/>
          <w:lang w:bidi="ar-SA"/>
          <w:color w:val="111111"/>
          <w:sz w:val="28"/>
          <w:szCs w:val="28"/>
          <w:rtl/>
        </w:rPr>
        <w:t xml:space="preserve">مفاتيح الغيب، ج 15، ص 166.</w:t>
      </w:r>
    </w:p>
    <w:p>
      <w:pPr>
        <w:pStyle w:val="BookText"/>
      </w:pPr>
      <w:r>
        <w:rPr>
          <w:rFonts w:ascii="Amiri" w:hAnsi="Amiri" w:eastAsia="Amiri" w:cs="Amiri"/>
          <w:lang w:bidi="ar-SA"/>
          <w:color w:val="111111"/>
          <w:sz w:val="28"/>
          <w:szCs w:val="28"/>
          <w:rtl/>
        </w:rPr>
        <w:t xml:space="preserve">خليفه العصفري ، ابو عمرو خليفه بن</w:t>
      </w:r>
    </w:p>
    <w:p>
      <w:pPr>
        <w:pStyle w:val="BookText"/>
      </w:pPr>
      <w:r>
        <w:rPr>
          <w:rFonts w:ascii="IRNazanin" w:hAnsi="IRNazanin" w:eastAsia="IRNazanin" w:cs="IRNazanin"/>
          <w:lang w:bidi="fa-IR"/>
          <w:color w:val="111111"/>
          <w:sz w:val="28"/>
          <w:szCs w:val="28"/>
          <w:rtl/>
        </w:rPr>
        <w:t xml:space="preserve">خیاط</w:t>
      </w:r>
    </w:p>
    <w:p>
      <w:pPr>
        <w:pStyle w:val="BookText"/>
      </w:pPr>
      <w:r>
        <w:rPr>
          <w:rFonts w:ascii="Amiri" w:hAnsi="Amiri" w:eastAsia="Amiri" w:cs="Amiri"/>
          <w:lang w:bidi="ar-SA"/>
          <w:color w:val="111111"/>
          <w:sz w:val="28"/>
          <w:szCs w:val="28"/>
          <w:rtl/>
        </w:rPr>
        <w:t xml:space="preserve">خلوتي ، عثمان بن يوسف- خطيب</w:t>
      </w:r>
    </w:p>
    <w:p>
      <w:pPr>
        <w:pStyle w:val="BookText"/>
      </w:pPr>
      <w:r>
        <w:rPr>
          <w:rFonts w:ascii="Amiri" w:hAnsi="Amiri" w:eastAsia="Amiri" w:cs="Amiri"/>
          <w:lang w:bidi="ar-SA"/>
          <w:color w:val="111111"/>
          <w:sz w:val="28"/>
          <w:szCs w:val="28"/>
          <w:rtl/>
        </w:rPr>
        <w:t xml:space="preserve">موصلي ، عثمان بن يوسف</w:t>
      </w:r>
    </w:p>
    <w:p>
      <w:pPr>
        <w:pStyle w:val="BookText"/>
      </w:pPr>
      <w:r>
        <w:rPr>
          <w:rFonts w:ascii="Amiri" w:hAnsi="Amiri" w:eastAsia="Amiri" w:cs="Amiri"/>
          <w:lang w:bidi="ar-SA"/>
          <w:color w:val="111111"/>
          <w:sz w:val="28"/>
          <w:szCs w:val="28"/>
          <w:rtl/>
        </w:rPr>
        <w:t xml:space="preserve">خلوتي ، عثمان بن يوسف -قادري ، عثمان</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خلوتي متولي ، محمّد بن احمد -متولي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4178" w:name="_Toc3280"/>
      <w:r>
        <w:t>خلوصي ناصري ، محمّد قرن 14 ه-</w:t>
      </w:r>
      <w:bookmarkEnd w:id="4178"/>
    </w:p>
    <w:p>
      <w:pPr>
        <w:pStyle w:val="BookText"/>
      </w:pPr>
      <w:r>
        <w:rPr>
          <w:rFonts w:ascii="Amiri" w:hAnsi="Amiri" w:eastAsia="Amiri" w:cs="Amiri"/>
          <w:lang w:bidi="ar-SA"/>
          <w:color w:val="111111"/>
          <w:sz w:val="28"/>
          <w:szCs w:val="28"/>
          <w:rtl/>
        </w:rPr>
        <w:t xml:space="preserve">1 .ترجمة احمد عزت باشا، ج4،</w:t>
      </w:r>
    </w:p>
    <w:p>
      <w:pPr>
        <w:pStyle w:val="BookText"/>
      </w:pPr>
      <w:r>
        <w:rPr>
          <w:rFonts w:ascii="IRNazanin" w:hAnsi="IRNazanin" w:eastAsia="IRNazanin" w:cs="IRNazanin"/>
          <w:lang w:bidi="fa-IR"/>
          <w:color w:val="111111"/>
          <w:sz w:val="28"/>
          <w:szCs w:val="28"/>
          <w:rtl/>
        </w:rPr>
        <w:t xml:space="preserve">ص 257 .</w:t>
      </w:r>
    </w:p>
    <w:p>
      <w:pPr>
        <w:pStyle w:val="BookText"/>
      </w:pPr>
      <w:r>
        <w:rPr>
          <w:rFonts w:ascii="Amiri" w:hAnsi="Amiri" w:eastAsia="Amiri" w:cs="Amiri"/>
          <w:lang w:bidi="ar-SA"/>
          <w:color w:val="111111"/>
          <w:sz w:val="28"/>
          <w:szCs w:val="28"/>
          <w:rtl/>
        </w:rPr>
        <w:t xml:space="preserve">2 .تكملة مساجد بغداد، ج4، ص 825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حروب الايرانيين في العراق</w:t>
      </w:r>
    </w:p>
    <w:p>
      <w:pPr>
        <w:pStyle w:val="BookText"/>
      </w:pPr>
      <w:r>
        <w:rPr>
          <w:rFonts w:ascii="Amiri" w:hAnsi="Amiri" w:eastAsia="Amiri" w:cs="Amiri"/>
          <w:lang w:bidi="ar-SA"/>
          <w:color w:val="111111"/>
          <w:sz w:val="28"/>
          <w:szCs w:val="28"/>
          <w:rtl/>
        </w:rPr>
        <w:t xml:space="preserve">(ترجمة)، ج 6، ص 620 .</w:t>
      </w:r>
    </w:p>
    <w:p>
      <w:pPr>
        <w:pStyle w:val="BookText"/>
      </w:pPr>
      <w:r>
        <w:rPr>
          <w:rFonts w:ascii="Amiri" w:hAnsi="Amiri" w:eastAsia="Amiri" w:cs="Amiri"/>
          <w:lang w:bidi="ar-SA"/>
          <w:color w:val="111111"/>
          <w:sz w:val="28"/>
          <w:szCs w:val="28"/>
          <w:rtl/>
        </w:rPr>
        <w:t xml:space="preserve">4 .الخبر الصحيح عن عشائر المنتفق -</w:t>
      </w:r>
    </w:p>
    <w:p>
      <w:pPr>
        <w:pStyle w:val="BookText"/>
      </w:pPr>
      <w:r>
        <w:rPr>
          <w:rFonts w:ascii="Amiri" w:hAnsi="Amiri" w:eastAsia="Amiri" w:cs="Amiri"/>
          <w:lang w:bidi="ar-SA"/>
          <w:color w:val="111111"/>
          <w:sz w:val="28"/>
          <w:szCs w:val="28"/>
          <w:rtl/>
        </w:rPr>
        <w:t xml:space="preserve">تاريخ المنتفق، ج6، ص882</w:t>
      </w:r>
    </w:p>
    <w:p>
      <w:pPr>
        <w:pStyle w:val="BookText"/>
      </w:pPr>
      <w:r>
        <w:rPr>
          <w:rFonts w:ascii="IRNazanin" w:hAnsi="IRNazanin" w:eastAsia="IRNazanin" w:cs="IRNazanin"/>
          <w:lang w:bidi="fa-IR"/>
          <w:color w:val="111111"/>
          <w:sz w:val="28"/>
          <w:szCs w:val="28"/>
          <w:rtl/>
        </w:rPr>
        <w:t xml:space="preserve">خلوف ، احمد بن محمّد- ابن خلوف</w:t>
      </w:r>
    </w:p>
    <w:p>
      <w:pPr>
        <w:pStyle w:val="BookText"/>
      </w:pPr>
      <w:r>
        <w:rPr>
          <w:rFonts w:ascii="Amiri" w:hAnsi="Amiri" w:eastAsia="Amiri" w:cs="Amiri"/>
          <w:lang w:bidi="ar-SA"/>
          <w:color w:val="111111"/>
          <w:sz w:val="28"/>
          <w:szCs w:val="28"/>
          <w:rtl/>
        </w:rPr>
        <w:t xml:space="preserve">احمد بن ابي القاسم</w:t>
      </w:r>
    </w:p>
    <w:p>
      <w:pPr>
        <w:pStyle w:val="BookText"/>
      </w:pPr>
      <w:r>
        <w:rPr>
          <w:rFonts w:ascii="Amiri" w:hAnsi="Amiri" w:eastAsia="Amiri" w:cs="Amiri"/>
          <w:lang w:bidi="ar-SA"/>
          <w:color w:val="111111"/>
          <w:sz w:val="28"/>
          <w:szCs w:val="28"/>
          <w:rtl/>
        </w:rPr>
        <w:t xml:space="preserve">خليفة الشيخ ، تقي بن نجم -ابو الصلاح حلبي ، تقي بن نجم</w:t>
      </w:r>
    </w:p>
    <w:p>
      <w:pPr>
        <w:pStyle w:val="BookText"/>
      </w:pPr>
      <w:r>
        <w:rPr>
          <w:rFonts w:ascii="Amiri" w:hAnsi="Amiri" w:eastAsia="Amiri" w:cs="Amiri"/>
          <w:lang w:bidi="ar-SA"/>
          <w:color w:val="111111"/>
          <w:sz w:val="28"/>
          <w:szCs w:val="28"/>
          <w:rtl/>
        </w:rPr>
        <w:t xml:space="preserve">خليفة بن علي كردي- كردي ، خليفة بن علي</w:t>
      </w:r>
    </w:p>
    <w:p>
      <w:pPr>
        <w:pStyle w:val="BookText"/>
      </w:pPr>
      <w:r>
        <w:rPr>
          <w:rFonts w:ascii="Amiri" w:hAnsi="Amiri" w:eastAsia="Amiri" w:cs="Amiri"/>
          <w:lang w:bidi="ar-SA"/>
          <w:color w:val="111111"/>
          <w:sz w:val="28"/>
          <w:szCs w:val="28"/>
          <w:rtl/>
        </w:rPr>
        <w:t xml:space="preserve">خليفة المرتضى ، تقي بن نجم -ابو الصلاح</w:t>
      </w:r>
    </w:p>
    <w:p>
      <w:pPr>
        <w:pStyle w:val="BookText"/>
      </w:pPr>
      <w:r>
        <w:rPr>
          <w:rFonts w:ascii="Amiri" w:hAnsi="Amiri" w:eastAsia="Amiri" w:cs="Amiri"/>
          <w:lang w:bidi="ar-SA"/>
          <w:color w:val="111111"/>
          <w:sz w:val="28"/>
          <w:szCs w:val="28"/>
          <w:rtl/>
        </w:rPr>
        <w:t xml:space="preserve">حلبي ، تقي بن نجم</w:t>
      </w:r>
    </w:p>
    <w:p>
      <w:pPr>
        <w:pStyle w:val="Heading2"/>
      </w:pPr>
      <w:bookmarkStart w:id="4179" w:name="_Toc3281"/>
      <w:r>
        <w:t>خليفة ، عبد الحسين</w:t>
      </w:r>
      <w:bookmarkEnd w:id="4179"/>
    </w:p>
    <w:p>
      <w:pPr>
        <w:pStyle w:val="BookText"/>
      </w:pPr>
      <w:r>
        <w:rPr>
          <w:rFonts w:ascii="Amiri" w:hAnsi="Amiri" w:eastAsia="Amiri" w:cs="Amiri"/>
          <w:lang w:bidi="ar-SA"/>
          <w:color w:val="111111"/>
          <w:sz w:val="28"/>
          <w:szCs w:val="28"/>
          <w:rtl/>
        </w:rPr>
        <w:t xml:space="preserve">ديوان الشيخ عبد الحسين خليفة، ج 7،</w:t>
      </w:r>
    </w:p>
    <w:p>
      <w:pPr>
        <w:pStyle w:val="BookText"/>
      </w:pPr>
      <w:r>
        <w:rPr>
          <w:rFonts w:ascii="IRNazanin" w:hAnsi="IRNazanin" w:eastAsia="IRNazanin" w:cs="IRNazanin"/>
          <w:lang w:bidi="fa-IR"/>
          <w:color w:val="111111"/>
          <w:sz w:val="28"/>
          <w:szCs w:val="28"/>
          <w:rtl/>
        </w:rPr>
        <w:t xml:space="preserve">ص 676 .</w:t>
      </w:r>
    </w:p>
    <w:p>
      <w:pPr>
        <w:pStyle w:val="Heading2"/>
      </w:pPr>
      <w:bookmarkStart w:id="4180" w:name="_Toc3282"/>
      <w:r>
        <w:t>خليفه بن خياط - 240 ه-</w:t>
      </w:r>
      <w:bookmarkEnd w:id="4180"/>
    </w:p>
    <w:p>
      <w:pPr>
        <w:pStyle w:val="BookText"/>
      </w:pPr>
      <w:r>
        <w:rPr>
          <w:rFonts w:ascii="Amiri" w:hAnsi="Amiri" w:eastAsia="Amiri" w:cs="Amiri"/>
          <w:lang w:bidi="ar-SA"/>
          <w:color w:val="111111"/>
          <w:sz w:val="28"/>
          <w:szCs w:val="28"/>
          <w:rtl/>
        </w:rPr>
        <w:t xml:space="preserve">1 .تاريخ الزمان - تاريخ خليفة بن</w:t>
      </w:r>
    </w:p>
    <w:p>
      <w:pPr>
        <w:pStyle w:val="BookText"/>
      </w:pPr>
      <w:r>
        <w:rPr>
          <w:rFonts w:ascii="Amiri" w:hAnsi="Amiri" w:eastAsia="Amiri" w:cs="Amiri"/>
          <w:lang w:bidi="ar-SA"/>
          <w:color w:val="111111"/>
          <w:sz w:val="28"/>
          <w:szCs w:val="28"/>
          <w:rtl/>
        </w:rPr>
        <w:t xml:space="preserve">خياط، ج 3، ص 577.</w:t>
      </w:r>
    </w:p>
    <w:p>
      <w:pPr>
        <w:pStyle w:val="BookText"/>
      </w:pPr>
      <w:r>
        <w:rPr>
          <w:rFonts w:ascii="IRNazanin" w:hAnsi="IRNazanin" w:eastAsia="IRNazanin" w:cs="IRNazanin"/>
          <w:lang w:bidi="fa-IR"/>
          <w:color w:val="111111"/>
          <w:sz w:val="28"/>
          <w:szCs w:val="28"/>
          <w:rtl/>
        </w:rPr>
        <w:t xml:space="preserve">2 .الطبقات، ج 10، ص 770.</w:t>
      </w:r>
    </w:p>
    <w:p>
      <w:pPr>
        <w:pStyle w:val="BookText"/>
      </w:pPr>
      <w:r>
        <w:rPr>
          <w:rFonts w:ascii="Amiri" w:hAnsi="Amiri" w:eastAsia="Amiri" w:cs="Amiri"/>
          <w:lang w:bidi="ar-SA"/>
          <w:color w:val="111111"/>
          <w:sz w:val="28"/>
          <w:szCs w:val="28"/>
          <w:rtl/>
        </w:rPr>
        <w:t xml:space="preserve">خليفه بن سيّد علي -كردي ، خليفة بن علي</w:t>
      </w:r>
    </w:p>
    <w:p>
      <w:pPr>
        <w:pStyle w:val="Heading2"/>
      </w:pPr>
      <w:bookmarkStart w:id="4181" w:name="_Toc3283"/>
      <w:r>
        <w:t>خليفه زاده، اسماعيل بن مصطفى -</w:t>
      </w:r>
      <w:bookmarkEnd w:id="4181"/>
    </w:p>
    <w:p>
      <w:pPr>
        <w:pStyle w:val="BookText"/>
      </w:pPr>
      <w:r>
        <w:rPr>
          <w:rFonts w:ascii="IRNazanin" w:hAnsi="IRNazanin" w:eastAsia="IRNazanin" w:cs="IRNazanin"/>
          <w:lang w:bidi="fa-IR"/>
          <w:color w:val="111111"/>
          <w:sz w:val="28"/>
          <w:szCs w:val="28"/>
          <w:rtl/>
        </w:rPr>
        <w:t xml:space="preserve">1204ه-</w:t>
      </w:r>
    </w:p>
    <w:p>
      <w:pPr>
        <w:pStyle w:val="BookText"/>
      </w:pPr>
      <w:r>
        <w:rPr>
          <w:rFonts w:ascii="Amiri" w:hAnsi="Amiri" w:eastAsia="Amiri" w:cs="Amiri"/>
          <w:lang w:bidi="ar-SA"/>
          <w:color w:val="111111"/>
          <w:sz w:val="28"/>
          <w:szCs w:val="28"/>
          <w:rtl/>
        </w:rPr>
        <w:t xml:space="preserve">علم النجوم و حسابها (رسالة في)</w:t>
      </w:r>
    </w:p>
    <w:p>
      <w:pPr>
        <w:pStyle w:val="BookText"/>
      </w:pPr>
      <w:r>
        <w:rPr>
          <w:rFonts w:ascii="IRNazanin" w:hAnsi="IRNazanin" w:eastAsia="IRNazanin" w:cs="IRNazanin"/>
          <w:lang w:bidi="fa-IR"/>
          <w:color w:val="111111"/>
          <w:sz w:val="28"/>
          <w:szCs w:val="28"/>
          <w:rtl/>
        </w:rPr>
        <w:t xml:space="preserve">ج 11، ص 263.</w:t>
      </w:r>
    </w:p>
    <w:p>
      <w:pPr>
        <w:pStyle w:val="BookText"/>
      </w:pPr>
      <w:r>
        <w:rPr>
          <w:rFonts w:ascii="IRNazanin" w:hAnsi="IRNazanin" w:eastAsia="IRNazanin" w:cs="IRNazanin"/>
          <w:lang w:bidi="fa-IR"/>
          <w:color w:val="111111"/>
          <w:sz w:val="28"/>
          <w:szCs w:val="28"/>
          <w:rtl/>
        </w:rPr>
        <w:t xml:space="preserve">خلیفه زاهد اسماعیل افندي- خليفه زاده ، اسماعيل بن مصطفى</w:t>
      </w:r>
    </w:p>
    <w:p>
      <w:pPr>
        <w:pStyle w:val="BookText"/>
      </w:pPr>
      <w:r>
        <w:rPr>
          <w:rFonts w:ascii="Amiri" w:hAnsi="Amiri" w:eastAsia="Amiri" w:cs="Amiri"/>
          <w:lang w:bidi="ar-SA"/>
          <w:color w:val="111111"/>
          <w:sz w:val="28"/>
          <w:szCs w:val="28"/>
          <w:rtl/>
        </w:rPr>
        <w:t xml:space="preserve">خليفه سلطان ، حسين بن رفيع الدين محمّد- سلطان العلماء ، حسين بن محمّد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5" w:name="pg7742_70325"/>
    <w:bookmarkEnd w:id="465"/>
    <w:p>
      <w:pPr>
        <w:pStyle w:val="BookText"/>
      </w:pPr>
      <w:r>
        <w:rPr>
          <w:rFonts w:ascii="Amiri" w:hAnsi="Amiri" w:eastAsia="Amiri" w:cs="Amiri"/>
          <w:lang w:bidi="ar-SA"/>
          <w:color w:val="111111"/>
          <w:sz w:val="28"/>
          <w:szCs w:val="28"/>
          <w:rtl/>
        </w:rPr>
        <w:t xml:space="preserve">خليل اشرفي -اشرفي ، خليل</w:t>
      </w:r>
    </w:p>
    <w:p>
      <w:pPr>
        <w:pStyle w:val="BookText"/>
      </w:pPr>
      <w:r>
        <w:rPr>
          <w:rFonts w:ascii="Amiri" w:hAnsi="Amiri" w:eastAsia="Amiri" w:cs="Amiri"/>
          <w:lang w:bidi="ar-SA"/>
          <w:color w:val="111111"/>
          <w:sz w:val="28"/>
          <w:szCs w:val="28"/>
          <w:rtl/>
        </w:rPr>
        <w:t xml:space="preserve">خليل افندي الخوري -افندي خوري</w:t>
      </w:r>
    </w:p>
    <w:p>
      <w:pPr>
        <w:pStyle w:val="BookText"/>
      </w:pPr>
      <w:r>
        <w:rPr>
          <w:rFonts w:ascii="Amiri" w:hAnsi="Amiri" w:eastAsia="Amiri" w:cs="Amiri"/>
          <w:lang w:bidi="ar-SA"/>
          <w:color w:val="111111"/>
          <w:sz w:val="28"/>
          <w:szCs w:val="28"/>
          <w:rtl/>
        </w:rPr>
        <w:t xml:space="preserve">خليل</w:t>
      </w:r>
    </w:p>
    <w:p>
      <w:pPr>
        <w:pStyle w:val="BookText"/>
      </w:pPr>
      <w:r>
        <w:rPr>
          <w:rFonts w:ascii="Amiri" w:hAnsi="Amiri" w:eastAsia="Amiri" w:cs="Amiri"/>
          <w:lang w:bidi="ar-SA"/>
          <w:color w:val="111111"/>
          <w:sz w:val="28"/>
          <w:szCs w:val="28"/>
          <w:rtl/>
        </w:rPr>
        <w:t xml:space="preserve">خليل الله شريف بن علي دارارب- دارارب</w:t>
      </w:r>
    </w:p>
    <w:p>
      <w:pPr>
        <w:pStyle w:val="BookText"/>
      </w:pPr>
      <w:r>
        <w:rPr>
          <w:rFonts w:ascii="Amiri" w:hAnsi="Amiri" w:eastAsia="Amiri" w:cs="Amiri"/>
          <w:lang w:bidi="ar-SA"/>
          <w:color w:val="111111"/>
          <w:sz w:val="28"/>
          <w:szCs w:val="28"/>
          <w:rtl/>
        </w:rPr>
        <w:t xml:space="preserve">، شريف بن علي</w:t>
      </w:r>
    </w:p>
    <w:p>
      <w:pPr>
        <w:pStyle w:val="BookText"/>
      </w:pPr>
      <w:r>
        <w:rPr>
          <w:rFonts w:ascii="Amiri" w:hAnsi="Amiri" w:eastAsia="Amiri" w:cs="Amiri"/>
          <w:lang w:bidi="ar-SA"/>
          <w:color w:val="111111"/>
          <w:sz w:val="28"/>
          <w:szCs w:val="28"/>
          <w:rtl/>
        </w:rPr>
        <w:t xml:space="preserve">خليل باشا بلغرادي عثماني- بلغرادي ،</w:t>
      </w:r>
    </w:p>
    <w:p>
      <w:pPr>
        <w:pStyle w:val="BookText"/>
      </w:pPr>
      <w:r>
        <w:rPr>
          <w:rFonts w:ascii="Amiri" w:hAnsi="Amiri" w:eastAsia="Amiri" w:cs="Amiri"/>
          <w:lang w:bidi="ar-SA"/>
          <w:color w:val="111111"/>
          <w:sz w:val="28"/>
          <w:szCs w:val="28"/>
          <w:rtl/>
        </w:rPr>
        <w:t xml:space="preserve">خليل باشا</w:t>
      </w:r>
    </w:p>
    <w:p>
      <w:pPr>
        <w:pStyle w:val="BookText"/>
      </w:pPr>
      <w:r>
        <w:rPr>
          <w:rFonts w:ascii="Amiri" w:hAnsi="Amiri" w:eastAsia="Amiri" w:cs="Amiri"/>
          <w:lang w:bidi="ar-SA"/>
          <w:color w:val="111111"/>
          <w:sz w:val="28"/>
          <w:szCs w:val="28"/>
          <w:rtl/>
        </w:rPr>
        <w:t xml:space="preserve">خليل بصيري - بصيري ، خليل بن علي بن اسماعيل</w:t>
      </w:r>
    </w:p>
    <w:p>
      <w:pPr>
        <w:pStyle w:val="Heading2"/>
      </w:pPr>
      <w:bookmarkStart w:id="4182" w:name="_Toc3284"/>
      <w:r>
        <w:t>خلیل بن ابراهيم - 1119 ه-</w:t>
      </w:r>
      <w:bookmarkEnd w:id="4182"/>
    </w:p>
    <w:p>
      <w:pPr>
        <w:pStyle w:val="BookText"/>
      </w:pPr>
      <w:r>
        <w:rPr>
          <w:rFonts w:ascii="Amiri" w:hAnsi="Amiri" w:eastAsia="Amiri" w:cs="Amiri"/>
          <w:lang w:bidi="ar-SA"/>
          <w:color w:val="111111"/>
          <w:sz w:val="28"/>
          <w:szCs w:val="28"/>
          <w:rtl/>
        </w:rPr>
        <w:t xml:space="preserve">الجوهرة الشافية الكافية، ج5،</w:t>
      </w:r>
    </w:p>
    <w:p>
      <w:pPr>
        <w:pStyle w:val="BookText"/>
      </w:pPr>
      <w:r>
        <w:rPr>
          <w:rFonts w:ascii="IRNazanin" w:hAnsi="IRNazanin" w:eastAsia="IRNazanin" w:cs="IRNazanin"/>
          <w:lang w:bidi="fa-IR"/>
          <w:color w:val="111111"/>
          <w:sz w:val="28"/>
          <w:szCs w:val="28"/>
          <w:rtl/>
        </w:rPr>
        <w:t xml:space="preserve">ص 613 .</w:t>
      </w:r>
    </w:p>
    <w:p>
      <w:pPr>
        <w:pStyle w:val="BookText"/>
      </w:pPr>
      <w:r>
        <w:rPr>
          <w:rFonts w:ascii="Amiri" w:hAnsi="Amiri" w:eastAsia="Amiri" w:cs="Amiri"/>
          <w:lang w:bidi="ar-SA"/>
          <w:color w:val="111111"/>
          <w:sz w:val="28"/>
          <w:szCs w:val="28"/>
          <w:rtl/>
        </w:rPr>
        <w:t xml:space="preserve">خليل بن ابراهيم امين الفتوي- امين</w:t>
      </w:r>
    </w:p>
    <w:p>
      <w:pPr>
        <w:pStyle w:val="BookText"/>
      </w:pPr>
      <w:r>
        <w:rPr>
          <w:rFonts w:ascii="Amiri" w:hAnsi="Amiri" w:eastAsia="Amiri" w:cs="Amiri"/>
          <w:lang w:bidi="ar-SA"/>
          <w:color w:val="111111"/>
          <w:sz w:val="28"/>
          <w:szCs w:val="28"/>
          <w:rtl/>
        </w:rPr>
        <w:t xml:space="preserve">الفتوي ، خليل بن ابراهيم</w:t>
      </w:r>
    </w:p>
    <w:p>
      <w:pPr>
        <w:pStyle w:val="BookText"/>
      </w:pPr>
      <w:r>
        <w:rPr>
          <w:rFonts w:ascii="IRNazanin" w:hAnsi="IRNazanin" w:eastAsia="IRNazanin" w:cs="IRNazanin"/>
          <w:lang w:bidi="fa-IR"/>
          <w:color w:val="111111"/>
          <w:sz w:val="28"/>
          <w:szCs w:val="28"/>
          <w:rtl/>
        </w:rPr>
        <w:t xml:space="preserve">خليل بن ابراهيم بكتاش موصلي -فخري زاده ، خلیل بن ابراهيم</w:t>
      </w:r>
    </w:p>
    <w:p>
      <w:pPr>
        <w:pStyle w:val="BookText"/>
      </w:pPr>
      <w:r>
        <w:rPr>
          <w:rFonts w:ascii="Amiri" w:hAnsi="Amiri" w:eastAsia="Amiri" w:cs="Amiri"/>
          <w:lang w:bidi="ar-SA"/>
          <w:color w:val="111111"/>
          <w:sz w:val="28"/>
          <w:szCs w:val="28"/>
          <w:rtl/>
        </w:rPr>
        <w:t xml:space="preserve">خليل بن احمد- فراهيدي ، خليل بن احمد</w:t>
      </w:r>
    </w:p>
    <w:p>
      <w:pPr>
        <w:pStyle w:val="Heading2"/>
      </w:pPr>
      <w:bookmarkStart w:id="4183" w:name="_Toc3285"/>
      <w:r>
        <w:t>خلیل بن احمد</w:t>
      </w:r>
      <w:bookmarkEnd w:id="4183"/>
    </w:p>
    <w:p>
      <w:pPr>
        <w:pStyle w:val="BookText"/>
      </w:pPr>
      <w:r>
        <w:rPr>
          <w:rFonts w:ascii="Amiri" w:hAnsi="Amiri" w:eastAsia="Amiri" w:cs="Amiri"/>
          <w:lang w:bidi="ar-SA"/>
          <w:color w:val="111111"/>
          <w:sz w:val="28"/>
          <w:szCs w:val="28"/>
          <w:rtl/>
        </w:rPr>
        <w:t xml:space="preserve">حكايات عن الصالحين، ج6 ، ص 722.</w:t>
      </w:r>
    </w:p>
    <w:p>
      <w:pPr>
        <w:pStyle w:val="BookText"/>
      </w:pPr>
      <w:r>
        <w:rPr>
          <w:rFonts w:ascii="Amiri" w:hAnsi="Amiri" w:eastAsia="Amiri" w:cs="Amiri"/>
          <w:lang w:bidi="ar-SA"/>
          <w:color w:val="111111"/>
          <w:sz w:val="28"/>
          <w:szCs w:val="28"/>
          <w:rtl/>
        </w:rPr>
        <w:t xml:space="preserve">خليل بن اسحاق جندي- جندي ، بن اسحاق</w:t>
      </w:r>
    </w:p>
    <w:p>
      <w:pPr>
        <w:pStyle w:val="BookText"/>
      </w:pPr>
      <w:r>
        <w:rPr>
          <w:rFonts w:ascii="Amiri" w:hAnsi="Amiri" w:eastAsia="Amiri" w:cs="Amiri"/>
          <w:lang w:bidi="ar-SA"/>
          <w:color w:val="111111"/>
          <w:sz w:val="28"/>
          <w:szCs w:val="28"/>
          <w:rtl/>
        </w:rPr>
        <w:t xml:space="preserve">خليل بن الحاج محمّد الانطاكي</w:t>
      </w:r>
    </w:p>
    <w:p>
      <w:pPr>
        <w:pStyle w:val="BookText"/>
      </w:pPr>
      <w:r>
        <w:rPr>
          <w:rFonts w:ascii="Amiri" w:hAnsi="Amiri" w:eastAsia="Amiri" w:cs="Amiri"/>
          <w:lang w:bidi="ar-SA"/>
          <w:color w:val="111111"/>
          <w:sz w:val="28"/>
          <w:szCs w:val="28"/>
          <w:rtl/>
        </w:rPr>
        <w:t xml:space="preserve">الواعظ -انطاكي ، خليل بن محمّد</w:t>
      </w:r>
    </w:p>
    <w:p>
      <w:pPr>
        <w:pStyle w:val="BookText"/>
      </w:pPr>
      <w:r>
        <w:rPr>
          <w:rFonts w:ascii="IRNazanin" w:hAnsi="IRNazanin" w:eastAsia="IRNazanin" w:cs="IRNazanin"/>
          <w:lang w:bidi="fa-IR"/>
          <w:color w:val="111111"/>
          <w:sz w:val="28"/>
          <w:szCs w:val="28"/>
          <w:rtl/>
        </w:rPr>
        <w:t xml:space="preserve">خليل بن العلاء بخاری یمنی-بخاری خليل بن العلاء</w:t>
      </w:r>
    </w:p>
    <w:p>
      <w:pPr>
        <w:pStyle w:val="BookText"/>
      </w:pPr>
      <w:r>
        <w:rPr>
          <w:rFonts w:ascii="IRNazanin" w:hAnsi="IRNazanin" w:eastAsia="IRNazanin" w:cs="IRNazanin"/>
          <w:lang w:bidi="fa-IR"/>
          <w:color w:val="111111"/>
          <w:sz w:val="28"/>
          <w:szCs w:val="28"/>
          <w:rtl/>
        </w:rPr>
        <w:t xml:space="preserve">خليل بن ابیک صفدی-صفدی خليل بن ابیک</w:t>
      </w:r>
    </w:p>
    <w:p>
      <w:pPr>
        <w:pStyle w:val="BookText"/>
      </w:pPr>
      <w:r>
        <w:rPr>
          <w:rFonts w:ascii="IRNazanin" w:hAnsi="IRNazanin" w:eastAsia="IRNazanin" w:cs="IRNazanin"/>
          <w:lang w:bidi="fa-IR"/>
          <w:color w:val="111111"/>
          <w:sz w:val="28"/>
          <w:szCs w:val="28"/>
          <w:rtl/>
        </w:rPr>
        <w:t xml:space="preserve">خليل بن بوعلی رومی-رومی خليل بن بوعلی</w:t>
      </w:r>
    </w:p>
    <w:p>
      <w:pPr>
        <w:pStyle w:val="BookText"/>
      </w:pPr>
      <w:r>
        <w:rPr>
          <w:rFonts w:ascii="IRNazanin" w:hAnsi="IRNazanin" w:eastAsia="IRNazanin" w:cs="IRNazanin"/>
          <w:lang w:bidi="fa-IR"/>
          <w:color w:val="111111"/>
          <w:sz w:val="28"/>
          <w:szCs w:val="28"/>
          <w:rtl/>
        </w:rPr>
        <w:t xml:space="preserve">خليل بن حسن تیروی-قره خليل بن حسن</w:t>
      </w:r>
    </w:p>
    <w:p>
      <w:pPr>
        <w:pStyle w:val="BookText"/>
      </w:pPr>
      <w:r>
        <w:rPr>
          <w:rFonts w:ascii="IRNazanin" w:hAnsi="IRNazanin" w:eastAsia="IRNazanin" w:cs="IRNazanin"/>
          <w:lang w:bidi="fa-IR"/>
          <w:color w:val="111111"/>
          <w:sz w:val="28"/>
          <w:szCs w:val="28"/>
          <w:rtl/>
        </w:rPr>
        <w:t xml:space="preserve">خليل بن حسین الاسعردی-اسعردی خليل بن حسین</w:t>
      </w:r>
    </w:p>
    <w:p>
      <w:pPr>
        <w:pStyle w:val="BookText"/>
      </w:pPr>
      <w:r>
        <w:rPr>
          <w:rFonts w:ascii="Amiri" w:hAnsi="Amiri" w:eastAsia="Amiri" w:cs="Amiri"/>
          <w:lang w:bidi="ar-SA"/>
          <w:color w:val="111111"/>
          <w:sz w:val="28"/>
          <w:szCs w:val="28"/>
          <w:rtl/>
        </w:rPr>
        <w:t xml:space="preserve">خليل بن درويش بن حسن- ابن عبد التاج خليل بن درويش بن</w:t>
      </w:r>
    </w:p>
    <w:p>
      <w:pPr>
        <w:pStyle w:val="BookText"/>
      </w:pPr>
      <w:r>
        <w:rPr>
          <w:rFonts w:ascii="Amiri" w:hAnsi="Amiri" w:eastAsia="Amiri" w:cs="Amiri"/>
          <w:lang w:bidi="ar-SA"/>
          <w:color w:val="111111"/>
          <w:sz w:val="28"/>
          <w:szCs w:val="28"/>
          <w:rtl/>
        </w:rPr>
        <w:t xml:space="preserve">خليل بن شاهين ظاهري- ابن شاهين ،</w:t>
      </w:r>
    </w:p>
    <w:p>
      <w:pPr>
        <w:pStyle w:val="BookText"/>
      </w:pPr>
      <w:r>
        <w:rPr>
          <w:rFonts w:ascii="Amiri" w:hAnsi="Amiri" w:eastAsia="Amiri" w:cs="Amiri"/>
          <w:lang w:bidi="ar-SA"/>
          <w:color w:val="111111"/>
          <w:sz w:val="28"/>
          <w:szCs w:val="28"/>
          <w:rtl/>
        </w:rPr>
        <w:t xml:space="preserve">خليل بن شاهين</w:t>
      </w:r>
    </w:p>
    <w:p>
      <w:pPr>
        <w:pStyle w:val="BookText"/>
      </w:pPr>
      <w:r>
        <w:rPr>
          <w:rFonts w:ascii="Amiri" w:hAnsi="Amiri" w:eastAsia="Amiri" w:cs="Amiri"/>
          <w:lang w:bidi="ar-SA"/>
          <w:color w:val="111111"/>
          <w:sz w:val="28"/>
          <w:szCs w:val="28"/>
          <w:rtl/>
        </w:rPr>
        <w:t xml:space="preserve">خليل بن عبد السلام كاملي- كاملي ، خليل بن عبدالسلام</w:t>
      </w:r>
    </w:p>
    <w:p>
      <w:pPr>
        <w:pStyle w:val="BookText"/>
      </w:pPr>
      <w:r>
        <w:rPr>
          <w:rFonts w:ascii="Amiri" w:hAnsi="Amiri" w:eastAsia="Amiri" w:cs="Amiri"/>
          <w:lang w:bidi="ar-SA"/>
          <w:color w:val="111111"/>
          <w:sz w:val="28"/>
          <w:szCs w:val="28"/>
          <w:rtl/>
        </w:rPr>
        <w:t xml:space="preserve">خليل بن عثمان- ابن مشيب ، خليل بن</w:t>
      </w:r>
    </w:p>
    <w:p>
      <w:pPr>
        <w:pStyle w:val="BookText"/>
      </w:pPr>
      <w:r>
        <w:rPr>
          <w:rFonts w:ascii="Amiri" w:hAnsi="Amiri" w:eastAsia="Amiri" w:cs="Amiri"/>
          <w:lang w:bidi="ar-SA"/>
          <w:color w:val="111111"/>
          <w:sz w:val="28"/>
          <w:szCs w:val="28"/>
          <w:rtl/>
        </w:rPr>
        <w:t xml:space="preserve">مشيب</w:t>
      </w:r>
    </w:p>
    <w:p>
      <w:pPr>
        <w:pStyle w:val="BookText"/>
      </w:pPr>
      <w:r>
        <w:rPr>
          <w:rFonts w:ascii="Amiri" w:hAnsi="Amiri" w:eastAsia="Amiri" w:cs="Amiri"/>
          <w:lang w:bidi="ar-SA"/>
          <w:color w:val="111111"/>
          <w:sz w:val="28"/>
          <w:szCs w:val="28"/>
          <w:rtl/>
        </w:rPr>
        <w:t xml:space="preserve">خليل بن غازي قزويني- قزويني ، خليل</w:t>
      </w:r>
    </w:p>
    <w:p>
      <w:pPr>
        <w:pStyle w:val="BookText"/>
      </w:pPr>
      <w:r>
        <w:rPr>
          <w:rFonts w:ascii="Amiri" w:hAnsi="Amiri" w:eastAsia="Amiri" w:cs="Amiri"/>
          <w:lang w:bidi="ar-SA"/>
          <w:color w:val="111111"/>
          <w:sz w:val="28"/>
          <w:szCs w:val="28"/>
          <w:rtl/>
        </w:rPr>
        <w:t xml:space="preserve">بن غازي</w:t>
      </w:r>
    </w:p>
    <w:p>
      <w:pPr>
        <w:pStyle w:val="BookText"/>
      </w:pPr>
      <w:r>
        <w:rPr>
          <w:rFonts w:ascii="Amiri" w:hAnsi="Amiri" w:eastAsia="Amiri" w:cs="Amiri"/>
          <w:lang w:bidi="ar-SA"/>
          <w:color w:val="111111"/>
          <w:sz w:val="28"/>
          <w:szCs w:val="28"/>
          <w:rtl/>
        </w:rPr>
        <w:t xml:space="preserve">خليل بن كيكلدي علائي- علائي ، خليل بن</w:t>
      </w:r>
    </w:p>
    <w:p>
      <w:pPr>
        <w:pStyle w:val="BookText"/>
      </w:pPr>
      <w:r>
        <w:rPr>
          <w:rFonts w:ascii="Amiri" w:hAnsi="Amiri" w:eastAsia="Amiri" w:cs="Amiri"/>
          <w:lang w:bidi="ar-SA"/>
          <w:color w:val="111111"/>
          <w:sz w:val="28"/>
          <w:szCs w:val="28"/>
          <w:rtl/>
        </w:rPr>
        <w:t xml:space="preserve">كيكلدي</w:t>
      </w:r>
    </w:p>
    <w:p>
      <w:pPr>
        <w:pStyle w:val="BookText"/>
      </w:pPr>
      <w:r>
        <w:rPr>
          <w:rFonts w:ascii="Amiri" w:hAnsi="Amiri" w:eastAsia="Amiri" w:cs="Amiri"/>
          <w:lang w:bidi="ar-SA"/>
          <w:color w:val="111111"/>
          <w:sz w:val="28"/>
          <w:szCs w:val="28"/>
          <w:rtl/>
        </w:rPr>
        <w:t xml:space="preserve">خليل بن محمّد اشرف قائني</w:t>
      </w:r>
    </w:p>
    <w:p>
      <w:pPr>
        <w:pStyle w:val="BookText"/>
      </w:pPr>
      <w:r>
        <w:rPr>
          <w:rFonts w:ascii="Amiri" w:hAnsi="Amiri" w:eastAsia="Amiri" w:cs="Amiri"/>
          <w:lang w:bidi="ar-SA"/>
          <w:color w:val="111111"/>
          <w:sz w:val="28"/>
          <w:szCs w:val="28"/>
          <w:rtl/>
        </w:rPr>
        <w:t xml:space="preserve">خليل اصفهاني- قائني اصفهاني ، خليل بن محمّد</w:t>
      </w:r>
    </w:p>
    <w:p>
      <w:pPr>
        <w:pStyle w:val="BookText"/>
      </w:pPr>
      <w:r>
        <w:rPr>
          <w:rFonts w:ascii="IRNazanin" w:hAnsi="IRNazanin" w:eastAsia="IRNazanin" w:cs="IRNazanin"/>
          <w:lang w:bidi="fa-IR"/>
          <w:color w:val="111111"/>
          <w:sz w:val="28"/>
          <w:szCs w:val="28"/>
          <w:rtl/>
        </w:rPr>
        <w:t xml:space="preserve">اشرف</w:t>
      </w:r>
    </w:p>
    <w:p>
      <w:pPr>
        <w:pStyle w:val="BookText"/>
      </w:pPr>
      <w:r>
        <w:rPr>
          <w:rFonts w:ascii="Amiri" w:hAnsi="Amiri" w:eastAsia="Amiri" w:cs="Amiri"/>
          <w:lang w:bidi="ar-SA"/>
          <w:color w:val="111111"/>
          <w:sz w:val="28"/>
          <w:szCs w:val="28"/>
          <w:rtl/>
        </w:rPr>
        <w:t xml:space="preserve">خليل بن محمّد انطاكي -انطاكي ، خليل بن محمّد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6" w:name="pg7742_70327"/>
    <w:bookmarkEnd w:id="46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خليل بن محمّد فتال - فتال ، خليل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خليل بن محمّد قنوي -قنوي ، خليل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خليل بن مهدي حكيم شهرستاني - حسيني</w:t>
      </w:r>
    </w:p>
    <w:p>
      <w:pPr>
        <w:pStyle w:val="BookText"/>
      </w:pPr>
      <w:r>
        <w:rPr>
          <w:rFonts w:ascii="Amiri" w:hAnsi="Amiri" w:eastAsia="Amiri" w:cs="Amiri"/>
          <w:lang w:bidi="ar-SA"/>
          <w:color w:val="111111"/>
          <w:sz w:val="28"/>
          <w:szCs w:val="28"/>
          <w:rtl/>
        </w:rPr>
        <w:t xml:space="preserve">حائري ، مهدي بن خليل</w:t>
      </w:r>
    </w:p>
    <w:p>
      <w:pPr>
        <w:pStyle w:val="Heading2"/>
      </w:pPr>
      <w:bookmarkStart w:id="4184" w:name="_Toc3286"/>
      <w:r>
        <w:t>خليل بن ولي - 1106 ه-</w:t>
      </w:r>
      <w:bookmarkEnd w:id="4184"/>
    </w:p>
    <w:p>
      <w:pPr>
        <w:pStyle w:val="BookText"/>
      </w:pPr>
      <w:r>
        <w:rPr>
          <w:rFonts w:ascii="Amiri" w:hAnsi="Amiri" w:eastAsia="Amiri" w:cs="Amiri"/>
          <w:lang w:bidi="ar-SA"/>
          <w:color w:val="111111"/>
          <w:sz w:val="28"/>
          <w:szCs w:val="28"/>
          <w:rtl/>
        </w:rPr>
        <w:t xml:space="preserve">حكم الصلاة في السفينة( رسالة في)</w:t>
      </w:r>
    </w:p>
    <w:p>
      <w:pPr>
        <w:pStyle w:val="BookText"/>
      </w:pPr>
      <w:r>
        <w:rPr>
          <w:rFonts w:ascii="IRNazanin" w:hAnsi="IRNazanin" w:eastAsia="IRNazanin" w:cs="IRNazanin"/>
          <w:lang w:bidi="fa-IR"/>
          <w:color w:val="111111"/>
          <w:sz w:val="28"/>
          <w:szCs w:val="28"/>
          <w:rtl/>
        </w:rPr>
        <w:t xml:space="preserve">ج 6، ص 757 .</w:t>
      </w:r>
    </w:p>
    <w:p>
      <w:pPr>
        <w:pStyle w:val="BookText"/>
      </w:pPr>
      <w:r>
        <w:rPr>
          <w:rFonts w:ascii="Amiri" w:hAnsi="Amiri" w:eastAsia="Amiri" w:cs="Amiri"/>
          <w:lang w:bidi="ar-SA"/>
          <w:color w:val="111111"/>
          <w:sz w:val="28"/>
          <w:szCs w:val="28"/>
          <w:rtl/>
        </w:rPr>
        <w:t xml:space="preserve">خليل بن ولي بن جعفر حنفي- خليل بن ولي</w:t>
      </w:r>
    </w:p>
    <w:p>
      <w:pPr>
        <w:pStyle w:val="Heading2"/>
      </w:pPr>
      <w:bookmarkStart w:id="4185" w:name="_Toc3287"/>
      <w:r>
        <w:t>خليل حسانين</w:t>
      </w:r>
      <w:bookmarkEnd w:id="4185"/>
    </w:p>
    <w:p>
      <w:pPr>
        <w:pStyle w:val="BookText"/>
      </w:pPr>
      <w:r>
        <w:rPr>
          <w:rFonts w:ascii="Amiri" w:hAnsi="Amiri" w:eastAsia="Amiri" w:cs="Amiri"/>
          <w:lang w:bidi="ar-SA"/>
          <w:color w:val="111111"/>
          <w:sz w:val="28"/>
          <w:szCs w:val="28"/>
          <w:rtl/>
        </w:rPr>
        <w:t xml:space="preserve">تدبير حجر الزخيرة لكل ما حدث و</w:t>
      </w:r>
    </w:p>
    <w:p>
      <w:pPr>
        <w:pStyle w:val="BookText"/>
      </w:pPr>
      <w:r>
        <w:rPr>
          <w:rFonts w:ascii="Amiri" w:hAnsi="Amiri" w:eastAsia="Amiri" w:cs="Amiri"/>
          <w:lang w:bidi="ar-SA"/>
          <w:color w:val="111111"/>
          <w:sz w:val="28"/>
          <w:szCs w:val="28"/>
          <w:rtl/>
        </w:rPr>
        <w:t xml:space="preserve">أحدث حيرة، ج 4، ص 167.</w:t>
      </w:r>
    </w:p>
    <w:p>
      <w:pPr>
        <w:pStyle w:val="BookText"/>
      </w:pPr>
      <w:r>
        <w:rPr>
          <w:rFonts w:ascii="Amiri" w:hAnsi="Amiri" w:eastAsia="Amiri" w:cs="Amiri"/>
          <w:lang w:bidi="ar-SA"/>
          <w:color w:val="111111"/>
          <w:sz w:val="28"/>
          <w:szCs w:val="28"/>
          <w:rtl/>
        </w:rPr>
        <w:t xml:space="preserve">خليل زلفكوي- زلفكوي ، خليل</w:t>
      </w:r>
    </w:p>
    <w:p>
      <w:pPr>
        <w:pStyle w:val="BookText"/>
      </w:pPr>
      <w:r>
        <w:rPr>
          <w:rFonts w:ascii="Amiri" w:hAnsi="Amiri" w:eastAsia="Amiri" w:cs="Amiri"/>
          <w:lang w:bidi="ar-SA"/>
          <w:color w:val="111111"/>
          <w:sz w:val="28"/>
          <w:szCs w:val="28"/>
          <w:rtl/>
        </w:rPr>
        <w:t xml:space="preserve">خليل صدقي- صدقي ، خليل</w:t>
      </w:r>
    </w:p>
    <w:p>
      <w:pPr>
        <w:pStyle w:val="Heading2"/>
      </w:pPr>
      <w:bookmarkStart w:id="4186" w:name="_Toc3288"/>
      <w:r>
        <w:t>خليل عبدالله بن عمر، 1105 - 1196 ه-</w:t>
      </w:r>
      <w:bookmarkEnd w:id="4186"/>
    </w:p>
    <w:p>
      <w:pPr>
        <w:pStyle w:val="BookText"/>
      </w:pPr>
      <w:r>
        <w:rPr>
          <w:rFonts w:ascii="Amiri" w:hAnsi="Amiri" w:eastAsia="Amiri" w:cs="Amiri"/>
          <w:lang w:bidi="ar-SA"/>
          <w:color w:val="111111"/>
          <w:sz w:val="28"/>
          <w:szCs w:val="28"/>
          <w:rtl/>
        </w:rPr>
        <w:t xml:space="preserve">قصيدة ميمية، ج 12، ص719.</w:t>
      </w:r>
    </w:p>
    <w:p>
      <w:pPr>
        <w:pStyle w:val="Heading2"/>
      </w:pPr>
      <w:bookmarkStart w:id="4187" w:name="_Toc3289"/>
      <w:r>
        <w:t>خليل علي خان</w:t>
      </w:r>
      <w:bookmarkEnd w:id="4187"/>
    </w:p>
    <w:p>
      <w:pPr>
        <w:pStyle w:val="BookText"/>
      </w:pPr>
      <w:r>
        <w:rPr>
          <w:rFonts w:ascii="Amiri" w:hAnsi="Amiri" w:eastAsia="Amiri" w:cs="Amiri"/>
          <w:lang w:bidi="ar-SA"/>
          <w:color w:val="111111"/>
          <w:sz w:val="28"/>
          <w:szCs w:val="28"/>
          <w:rtl/>
        </w:rPr>
        <w:t xml:space="preserve">تاريخ الإسلام، ج3، ص 547.</w:t>
      </w:r>
    </w:p>
    <w:p>
      <w:pPr>
        <w:pStyle w:val="BookText"/>
      </w:pPr>
      <w:r>
        <w:rPr>
          <w:rFonts w:ascii="Amiri" w:hAnsi="Amiri" w:eastAsia="Amiri" w:cs="Amiri"/>
          <w:lang w:bidi="ar-SA"/>
          <w:color w:val="111111"/>
          <w:sz w:val="28"/>
          <w:szCs w:val="28"/>
          <w:rtl/>
        </w:rPr>
        <w:t xml:space="preserve">خليل فخري بصير -فخري بصير ، خليل</w:t>
      </w:r>
    </w:p>
    <w:p>
      <w:pPr>
        <w:pStyle w:val="Heading2"/>
      </w:pPr>
      <w:bookmarkStart w:id="4188" w:name="_Toc3290"/>
      <w:r>
        <w:t>خليلي ، احمد بن تميم قرن 13 ه-</w:t>
      </w:r>
      <w:bookmarkEnd w:id="4188"/>
    </w:p>
    <w:p>
      <w:pPr>
        <w:pStyle w:val="BookText"/>
      </w:pPr>
      <w:r>
        <w:rPr>
          <w:rFonts w:ascii="Amiri" w:hAnsi="Amiri" w:eastAsia="Amiri" w:cs="Amiri"/>
          <w:lang w:bidi="ar-SA"/>
          <w:color w:val="111111"/>
          <w:sz w:val="28"/>
          <w:szCs w:val="28"/>
          <w:rtl/>
        </w:rPr>
        <w:t xml:space="preserve">نجاة الارواح في احكام النكاح، ج 16،</w:t>
      </w:r>
    </w:p>
    <w:p>
      <w:pPr>
        <w:pStyle w:val="BookText"/>
      </w:pPr>
      <w:r>
        <w:rPr>
          <w:rFonts w:ascii="IRNazanin" w:hAnsi="IRNazanin" w:eastAsia="IRNazanin" w:cs="IRNazanin"/>
          <w:lang w:bidi="fa-IR"/>
          <w:color w:val="111111"/>
          <w:sz w:val="28"/>
          <w:szCs w:val="28"/>
          <w:rtl/>
        </w:rPr>
        <w:t xml:space="preserve">ص 145 .</w:t>
      </w:r>
    </w:p>
    <w:p>
      <w:pPr>
        <w:pStyle w:val="BookText"/>
      </w:pPr>
      <w:r>
        <w:rPr>
          <w:rFonts w:ascii="Amiri" w:hAnsi="Amiri" w:eastAsia="Amiri" w:cs="Amiri"/>
          <w:lang w:bidi="ar-SA"/>
          <w:color w:val="111111"/>
          <w:sz w:val="28"/>
          <w:szCs w:val="28"/>
          <w:rtl/>
        </w:rPr>
        <w:t xml:space="preserve">خليلي ، احمد بن عبد الغني -تميمي خليلي</w:t>
      </w:r>
    </w:p>
    <w:p>
      <w:pPr>
        <w:pStyle w:val="BookText"/>
      </w:pPr>
      <w:r>
        <w:rPr>
          <w:rFonts w:ascii="Amiri" w:hAnsi="Amiri" w:eastAsia="Amiri" w:cs="Amiri"/>
          <w:lang w:bidi="ar-SA"/>
          <w:color w:val="111111"/>
          <w:sz w:val="28"/>
          <w:szCs w:val="28"/>
          <w:rtl/>
        </w:rPr>
        <w:t xml:space="preserve">، احمد بن عبدالغني</w:t>
      </w:r>
    </w:p>
    <w:p>
      <w:pPr>
        <w:pStyle w:val="Heading2"/>
      </w:pPr>
      <w:bookmarkStart w:id="4189" w:name="_Toc3291"/>
      <w:r>
        <w:t>خليلي ، حسين بن خليل، 1230-1326 ه-</w:t>
      </w:r>
      <w:bookmarkEnd w:id="41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لثقة الاسلام الساروي، ج1،</w:t>
      </w:r>
    </w:p>
    <w:p>
      <w:pPr>
        <w:pStyle w:val="BookText"/>
      </w:pPr>
      <w:r>
        <w:rPr>
          <w:rFonts w:ascii="IRNazanin" w:hAnsi="IRNazanin" w:eastAsia="IRNazanin" w:cs="IRNazanin"/>
          <w:lang w:bidi="fa-IR"/>
          <w:color w:val="111111"/>
          <w:sz w:val="28"/>
          <w:szCs w:val="28"/>
          <w:rtl/>
        </w:rPr>
        <w:t xml:space="preserve">ص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البيع والخيارات ، ج 3، ص 509.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ذخيرة العباد، ج 7، ص 825</w:t>
      </w:r>
    </w:p>
    <w:p>
      <w:pPr>
        <w:pStyle w:val="Heading2"/>
      </w:pPr>
      <w:bookmarkStart w:id="4190" w:name="_Toc3292"/>
      <w:r>
        <w:t>خليلي، خليل بن عبدالله - 446 ه-</w:t>
      </w:r>
      <w:bookmarkEnd w:id="4190"/>
    </w:p>
    <w:p>
      <w:pPr>
        <w:pStyle w:val="BookText"/>
      </w:pPr>
      <w:r>
        <w:rPr>
          <w:rFonts w:ascii="Amiri" w:hAnsi="Amiri" w:eastAsia="Amiri" w:cs="Amiri"/>
          <w:lang w:bidi="ar-SA"/>
          <w:color w:val="111111"/>
          <w:sz w:val="28"/>
          <w:szCs w:val="28"/>
          <w:rtl/>
        </w:rPr>
        <w:t xml:space="preserve">1 .الارشاد في علماء البلاد، ج 2، ص 40.</w:t>
      </w:r>
    </w:p>
    <w:p>
      <w:pPr>
        <w:pStyle w:val="BookText"/>
      </w:pPr>
      <w:r>
        <w:rPr>
          <w:rFonts w:ascii="Amiri" w:hAnsi="Amiri" w:eastAsia="Amiri" w:cs="Amiri"/>
          <w:lang w:bidi="ar-SA"/>
          <w:color w:val="111111"/>
          <w:sz w:val="28"/>
          <w:szCs w:val="28"/>
          <w:rtl/>
        </w:rPr>
        <w:t xml:space="preserve">2 .حواشي على عدة الاصول، ج 6،</w:t>
      </w:r>
    </w:p>
    <w:p>
      <w:pPr>
        <w:pStyle w:val="BookText"/>
      </w:pPr>
      <w:r>
        <w:rPr>
          <w:rFonts w:ascii="IRNazanin" w:hAnsi="IRNazanin" w:eastAsia="IRNazanin" w:cs="IRNazanin"/>
          <w:lang w:bidi="fa-IR"/>
          <w:color w:val="111111"/>
          <w:sz w:val="28"/>
          <w:szCs w:val="28"/>
          <w:rtl/>
        </w:rPr>
        <w:t xml:space="preserve">ص 839.</w:t>
      </w:r>
    </w:p>
    <w:p>
      <w:pPr>
        <w:pStyle w:val="Heading2"/>
      </w:pPr>
      <w:bookmarkStart w:id="4191" w:name="_Toc3293"/>
      <w:r>
        <w:t>خليلي ، شمس الدين محمّد</w:t>
      </w:r>
      <w:bookmarkEnd w:id="4191"/>
    </w:p>
    <w:p>
      <w:pPr>
        <w:pStyle w:val="BookText"/>
      </w:pPr>
      <w:r>
        <w:rPr>
          <w:rFonts w:ascii="IRNazanin" w:hAnsi="IRNazanin" w:eastAsia="IRNazanin" w:cs="IRNazanin"/>
          <w:lang w:bidi="fa-IR"/>
          <w:color w:val="111111"/>
          <w:sz w:val="28"/>
          <w:szCs w:val="28"/>
          <w:rtl/>
        </w:rPr>
        <w:t xml:space="preserve">جدول الدائر و فضل الدائر، ج5،</w:t>
      </w:r>
    </w:p>
    <w:p>
      <w:pPr>
        <w:pStyle w:val="BookText"/>
      </w:pPr>
      <w:r>
        <w:rPr>
          <w:rFonts w:ascii="IRNazanin" w:hAnsi="IRNazanin" w:eastAsia="IRNazanin" w:cs="IRNazanin"/>
          <w:lang w:bidi="fa-IR"/>
          <w:color w:val="111111"/>
          <w:sz w:val="28"/>
          <w:szCs w:val="28"/>
          <w:rtl/>
        </w:rPr>
        <w:t xml:space="preserve">ص 373 .</w:t>
      </w:r>
    </w:p>
    <w:p>
      <w:pPr>
        <w:pStyle w:val="Heading2"/>
      </w:pPr>
      <w:bookmarkStart w:id="4192" w:name="_Toc3294"/>
      <w:r>
        <w:t>خليلي ، علي، ه-</w:t>
      </w:r>
      <w:bookmarkEnd w:id="4192"/>
    </w:p>
    <w:p>
      <w:pPr>
        <w:pStyle w:val="BookText"/>
      </w:pPr>
      <w:r>
        <w:rPr>
          <w:rFonts w:ascii="Amiri" w:hAnsi="Amiri" w:eastAsia="Amiri" w:cs="Amiri"/>
          <w:lang w:bidi="ar-SA"/>
          <w:color w:val="111111"/>
          <w:sz w:val="28"/>
          <w:szCs w:val="28"/>
          <w:rtl/>
        </w:rPr>
        <w:t xml:space="preserve">إجازة للسيد عبد الصمد بن الحاج</w:t>
      </w:r>
    </w:p>
    <w:p>
      <w:pPr>
        <w:pStyle w:val="BookText"/>
      </w:pPr>
      <w:r>
        <w:rPr>
          <w:rFonts w:ascii="Amiri" w:hAnsi="Amiri" w:eastAsia="Amiri" w:cs="Amiri"/>
          <w:lang w:bidi="ar-SA"/>
          <w:color w:val="111111"/>
          <w:sz w:val="28"/>
          <w:szCs w:val="28"/>
          <w:rtl/>
        </w:rPr>
        <w:t xml:space="preserve">السيد أحمد آل نعمة الله الجزائري</w:t>
      </w:r>
    </w:p>
    <w:p>
      <w:pPr>
        <w:pStyle w:val="BookText"/>
      </w:pPr>
      <w:r>
        <w:rPr>
          <w:rFonts w:ascii="IRNazanin" w:hAnsi="IRNazanin" w:eastAsia="IRNazanin" w:cs="IRNazanin"/>
          <w:lang w:bidi="fa-IR"/>
          <w:color w:val="111111"/>
          <w:sz w:val="28"/>
          <w:szCs w:val="28"/>
          <w:rtl/>
        </w:rPr>
        <w:t xml:space="preserve">ج 1، ص 251.</w:t>
      </w:r>
    </w:p>
    <w:p>
      <w:pPr>
        <w:pStyle w:val="BookText"/>
      </w:pPr>
      <w:r>
        <w:rPr>
          <w:rFonts w:ascii="Amiri" w:hAnsi="Amiri" w:eastAsia="Amiri" w:cs="Amiri"/>
          <w:lang w:bidi="ar-SA"/>
          <w:color w:val="111111"/>
          <w:sz w:val="28"/>
          <w:szCs w:val="28"/>
          <w:rtl/>
        </w:rPr>
        <w:t xml:space="preserve">خليلي ، علي بن خليل- تهراني ، علي بن خليل</w:t>
      </w:r>
    </w:p>
    <w:p>
      <w:pPr>
        <w:pStyle w:val="Heading2"/>
      </w:pPr>
      <w:bookmarkStart w:id="4193" w:name="_Toc3295"/>
      <w:r>
        <w:t>خليلي ، محمّد بن احمد - 1057 ه-</w:t>
      </w:r>
      <w:bookmarkEnd w:id="4193"/>
    </w:p>
    <w:p>
      <w:pPr>
        <w:pStyle w:val="BookText"/>
      </w:pPr>
      <w:r>
        <w:rPr>
          <w:rFonts w:ascii="Amiri" w:hAnsi="Amiri" w:eastAsia="Amiri" w:cs="Amiri"/>
          <w:lang w:bidi="ar-SA"/>
          <w:color w:val="111111"/>
          <w:sz w:val="28"/>
          <w:szCs w:val="28"/>
          <w:rtl/>
        </w:rPr>
        <w:t xml:space="preserve">كشف الالتباس عما دار من الاحاديث</w:t>
      </w:r>
    </w:p>
    <w:p>
      <w:pPr>
        <w:pStyle w:val="BookText"/>
      </w:pPr>
      <w:r>
        <w:rPr>
          <w:rFonts w:ascii="Amiri" w:hAnsi="Amiri" w:eastAsia="Amiri" w:cs="Amiri"/>
          <w:lang w:bidi="ar-SA"/>
          <w:color w:val="111111"/>
          <w:sz w:val="28"/>
          <w:szCs w:val="28"/>
          <w:rtl/>
        </w:rPr>
        <w:t xml:space="preserve">بين الناس، ج 13، ص 195.</w:t>
      </w:r>
    </w:p>
    <w:p>
      <w:pPr>
        <w:pStyle w:val="Heading2"/>
      </w:pPr>
      <w:bookmarkStart w:id="4194" w:name="_Toc3296"/>
      <w:r>
        <w:t>خليلي ، محمّد بن محمّد - 800 ه-</w:t>
      </w:r>
      <w:bookmarkEnd w:id="4194"/>
    </w:p>
    <w:p>
      <w:pPr>
        <w:pStyle w:val="BookText"/>
      </w:pPr>
      <w:r>
        <w:rPr>
          <w:rFonts w:ascii="Amiri" w:hAnsi="Amiri" w:eastAsia="Amiri" w:cs="Amiri"/>
          <w:lang w:bidi="ar-SA"/>
          <w:color w:val="111111"/>
          <w:sz w:val="28"/>
          <w:szCs w:val="28"/>
          <w:rtl/>
        </w:rPr>
        <w:t xml:space="preserve">المقنطرات (رسالة في)، ج 15 ، ص 391 .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7" w:name="pg7742_70330"/>
    <w:bookmarkEnd w:id="467"/>
    <w:p>
      <w:pPr>
        <w:pStyle w:val="Heading2"/>
      </w:pPr>
      <w:bookmarkStart w:id="4195" w:name="_Toc3297"/>
      <w:r>
        <w:t>خليلي، موسى بن محمّد - 805 ه-</w:t>
      </w:r>
      <w:bookmarkEnd w:id="41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التخليص في معرفة اوقات الصلاة</w:t>
      </w:r>
    </w:p>
    <w:p>
      <w:pPr>
        <w:pStyle w:val="BookText"/>
      </w:pPr>
      <w:r>
        <w:rPr>
          <w:rFonts w:ascii="IRNazanin" w:hAnsi="IRNazanin" w:eastAsia="IRNazanin" w:cs="IRNazanin"/>
          <w:lang w:bidi="fa-IR"/>
          <w:color w:val="111111"/>
          <w:sz w:val="28"/>
          <w:szCs w:val="28"/>
          <w:rtl/>
        </w:rPr>
        <w:t xml:space="preserve">ج 4، ص 98.</w:t>
      </w:r>
    </w:p>
    <w:p>
      <w:pPr>
        <w:pStyle w:val="BookText"/>
      </w:pPr>
      <w:r>
        <w:rPr>
          <w:rFonts w:ascii="Amiri" w:hAnsi="Amiri" w:eastAsia="Amiri" w:cs="Amiri"/>
          <w:lang w:bidi="ar-SA"/>
          <w:color w:val="111111"/>
          <w:sz w:val="28"/>
          <w:szCs w:val="28"/>
          <w:rtl/>
        </w:rPr>
        <w:t xml:space="preserve">2 .حاشية على المثبتات في المسائل</w:t>
      </w:r>
    </w:p>
    <w:p>
      <w:pPr>
        <w:pStyle w:val="BookText"/>
      </w:pPr>
      <w:r>
        <w:rPr>
          <w:rFonts w:ascii="Amiri" w:hAnsi="Amiri" w:eastAsia="Amiri" w:cs="Amiri"/>
          <w:lang w:bidi="ar-SA"/>
          <w:color w:val="111111"/>
          <w:sz w:val="28"/>
          <w:szCs w:val="28"/>
          <w:rtl/>
        </w:rPr>
        <w:t xml:space="preserve">السبعة، ج 6 ، ص 253.</w:t>
      </w:r>
    </w:p>
    <w:p>
      <w:pPr>
        <w:pStyle w:val="BookText"/>
      </w:pPr>
      <w:r>
        <w:rPr>
          <w:rFonts w:ascii="Amiri" w:hAnsi="Amiri" w:eastAsia="Amiri" w:cs="Amiri"/>
          <w:lang w:bidi="ar-SA"/>
          <w:color w:val="111111"/>
          <w:sz w:val="28"/>
          <w:szCs w:val="28"/>
          <w:rtl/>
        </w:rPr>
        <w:t xml:space="preserve">3 .الفلك (رسالة في)، ج 12، ص 129.</w:t>
      </w:r>
    </w:p>
    <w:p>
      <w:pPr>
        <w:pStyle w:val="Heading2"/>
      </w:pPr>
      <w:bookmarkStart w:id="4196" w:name="_Toc3298"/>
      <w:r>
        <w:t>خمايسي ، عبد علي بن محمّد</w:t>
      </w:r>
      <w:bookmarkEnd w:id="4196"/>
    </w:p>
    <w:p>
      <w:pPr>
        <w:pStyle w:val="BookText"/>
      </w:pPr>
      <w:r>
        <w:rPr>
          <w:rFonts w:ascii="Amiri" w:hAnsi="Amiri" w:eastAsia="Amiri" w:cs="Amiri"/>
          <w:lang w:bidi="ar-SA"/>
          <w:color w:val="111111"/>
          <w:sz w:val="28"/>
          <w:szCs w:val="28"/>
          <w:rtl/>
        </w:rPr>
        <w:t xml:space="preserve">إجازة للشيخ يوسف بن عبد الحسين</w:t>
      </w:r>
    </w:p>
    <w:p>
      <w:pPr>
        <w:pStyle w:val="BookText"/>
      </w:pPr>
      <w:r>
        <w:rPr>
          <w:rFonts w:ascii="Amiri" w:hAnsi="Amiri" w:eastAsia="Amiri" w:cs="Amiri"/>
          <w:lang w:bidi="ar-SA"/>
          <w:color w:val="111111"/>
          <w:sz w:val="28"/>
          <w:szCs w:val="28"/>
          <w:rtl/>
        </w:rPr>
        <w:t xml:space="preserve">الصفار النجفي الشهير بالصلبناوي</w:t>
      </w:r>
    </w:p>
    <w:p>
      <w:pPr>
        <w:pStyle w:val="BookText"/>
      </w:pPr>
      <w:r>
        <w:rPr>
          <w:rFonts w:ascii="IRNazanin" w:hAnsi="IRNazanin" w:eastAsia="IRNazanin" w:cs="IRNazanin"/>
          <w:lang w:bidi="fa-IR"/>
          <w:color w:val="111111"/>
          <w:sz w:val="28"/>
          <w:szCs w:val="28"/>
          <w:rtl/>
        </w:rPr>
        <w:t xml:space="preserve">ج 1، ص 276 .</w:t>
      </w:r>
    </w:p>
    <w:p>
      <w:pPr>
        <w:pStyle w:val="BookText"/>
      </w:pPr>
      <w:r>
        <w:rPr>
          <w:rFonts w:ascii="Amiri" w:hAnsi="Amiri" w:eastAsia="Amiri" w:cs="Amiri"/>
          <w:lang w:bidi="ar-SA"/>
          <w:color w:val="111111"/>
          <w:sz w:val="28"/>
          <w:szCs w:val="28"/>
          <w:rtl/>
        </w:rPr>
        <w:t xml:space="preserve">خميس بن سيف معضادي -معضادي</w:t>
      </w:r>
    </w:p>
    <w:p>
      <w:pPr>
        <w:pStyle w:val="BookText"/>
      </w:pPr>
      <w:r>
        <w:rPr>
          <w:rFonts w:ascii="Amiri" w:hAnsi="Amiri" w:eastAsia="Amiri" w:cs="Amiri"/>
          <w:lang w:bidi="ar-SA"/>
          <w:color w:val="111111"/>
          <w:sz w:val="28"/>
          <w:szCs w:val="28"/>
          <w:rtl/>
        </w:rPr>
        <w:t xml:space="preserve">خميس بن سيف</w:t>
      </w:r>
    </w:p>
    <w:p>
      <w:pPr>
        <w:pStyle w:val="Heading2"/>
      </w:pPr>
      <w:bookmarkStart w:id="4197" w:name="_Toc3299"/>
      <w:r>
        <w:t>خنجي ، ابوالقاسم</w:t>
      </w:r>
      <w:bookmarkEnd w:id="4197"/>
    </w:p>
    <w:p>
      <w:pPr>
        <w:pStyle w:val="BookText"/>
      </w:pPr>
      <w:r>
        <w:rPr>
          <w:rFonts w:ascii="Amiri" w:hAnsi="Amiri" w:eastAsia="Amiri" w:cs="Amiri"/>
          <w:lang w:bidi="ar-SA"/>
          <w:color w:val="111111"/>
          <w:sz w:val="28"/>
          <w:szCs w:val="28"/>
          <w:rtl/>
        </w:rPr>
        <w:t xml:space="preserve">وقت الصلاة و القبلة، ج 16، ص 864.</w:t>
      </w:r>
    </w:p>
    <w:p>
      <w:pPr>
        <w:pStyle w:val="BookText"/>
      </w:pPr>
      <w:r>
        <w:rPr>
          <w:rFonts w:ascii="Amiri" w:hAnsi="Amiri" w:eastAsia="Amiri" w:cs="Amiri"/>
          <w:lang w:bidi="ar-SA"/>
          <w:color w:val="111111"/>
          <w:sz w:val="28"/>
          <w:szCs w:val="28"/>
          <w:rtl/>
        </w:rPr>
        <w:t xml:space="preserve">خنجي ، فضل الله بن روزبهان- فضل الله</w:t>
      </w:r>
    </w:p>
    <w:p>
      <w:pPr>
        <w:pStyle w:val="BookText"/>
      </w:pPr>
      <w:r>
        <w:rPr>
          <w:rFonts w:ascii="IRNazanin" w:hAnsi="IRNazanin" w:eastAsia="IRNazanin" w:cs="IRNazanin"/>
          <w:lang w:bidi="fa-IR"/>
          <w:color w:val="111111"/>
          <w:sz w:val="28"/>
          <w:szCs w:val="28"/>
          <w:rtl/>
        </w:rPr>
        <w:t xml:space="preserve">بن روزبهان</w:t>
      </w:r>
    </w:p>
    <w:p>
      <w:pPr>
        <w:pStyle w:val="Heading2"/>
      </w:pPr>
      <w:bookmarkStart w:id="4198" w:name="_Toc3300"/>
      <w:r>
        <w:t>خنساء ، تماضر بنت عمرو - 24 ه-</w:t>
      </w:r>
      <w:bookmarkEnd w:id="4198"/>
    </w:p>
    <w:p>
      <w:pPr>
        <w:pStyle w:val="BookText"/>
      </w:pPr>
      <w:r>
        <w:rPr>
          <w:rFonts w:ascii="Amiri" w:hAnsi="Amiri" w:eastAsia="Amiri" w:cs="Amiri"/>
          <w:lang w:bidi="ar-SA"/>
          <w:color w:val="111111"/>
          <w:sz w:val="28"/>
          <w:szCs w:val="28"/>
          <w:rtl/>
        </w:rPr>
        <w:t xml:space="preserve">ديوان الخنساء، ج 7، ص 640.</w:t>
      </w:r>
    </w:p>
    <w:p>
      <w:pPr>
        <w:pStyle w:val="Heading2"/>
      </w:pPr>
      <w:bookmarkStart w:id="4199" w:name="_Toc3301"/>
      <w:r>
        <w:t>خوئي ، ابوالقاسم، 1278 - 1371 ش</w:t>
      </w:r>
      <w:bookmarkEnd w:id="4199"/>
    </w:p>
    <w:p>
      <w:pPr>
        <w:pStyle w:val="BookText"/>
      </w:pPr>
      <w:r>
        <w:rPr>
          <w:rFonts w:ascii="Amiri" w:hAnsi="Amiri" w:eastAsia="Amiri" w:cs="Amiri"/>
          <w:lang w:bidi="ar-SA"/>
          <w:color w:val="111111"/>
          <w:sz w:val="28"/>
          <w:szCs w:val="28"/>
          <w:rtl/>
        </w:rPr>
        <w:t xml:space="preserve">جواب رسالة في المسيح و الخضر و</w:t>
      </w:r>
    </w:p>
    <w:p>
      <w:pPr>
        <w:pStyle w:val="BookText"/>
      </w:pPr>
      <w:r>
        <w:rPr>
          <w:rFonts w:ascii="IRNazanin" w:hAnsi="IRNazanin" w:eastAsia="IRNazanin" w:cs="IRNazanin"/>
          <w:lang w:bidi="fa-IR"/>
          <w:color w:val="111111"/>
          <w:sz w:val="28"/>
          <w:szCs w:val="28"/>
          <w:rtl/>
        </w:rPr>
        <w:t xml:space="preserve">موسی، ج 5، ص 497</w:t>
      </w:r>
    </w:p>
    <w:p>
      <w:pPr>
        <w:pStyle w:val="BookText"/>
      </w:pPr>
      <w:r>
        <w:rPr>
          <w:rFonts w:ascii="Amiri" w:hAnsi="Amiri" w:eastAsia="Amiri" w:cs="Amiri"/>
          <w:lang w:bidi="ar-SA"/>
          <w:color w:val="111111"/>
          <w:sz w:val="28"/>
          <w:szCs w:val="28"/>
          <w:rtl/>
        </w:rPr>
        <w:t xml:space="preserve">خوئي ، ابويعقوب بن يوسف- ابويعقوب</w:t>
      </w:r>
    </w:p>
    <w:p>
      <w:pPr>
        <w:pStyle w:val="BookText"/>
      </w:pPr>
      <w:r>
        <w:rPr>
          <w:rFonts w:ascii="Amiri" w:hAnsi="Amiri" w:eastAsia="Amiri" w:cs="Amiri"/>
          <w:lang w:bidi="ar-SA"/>
          <w:color w:val="111111"/>
          <w:sz w:val="28"/>
          <w:szCs w:val="28"/>
          <w:rtl/>
        </w:rPr>
        <w:t xml:space="preserve">خوئي، يوسف بن طاهر</w:t>
      </w:r>
    </w:p>
    <w:p>
      <w:pPr>
        <w:pStyle w:val="Heading2"/>
      </w:pPr>
      <w:bookmarkStart w:id="4200" w:name="_Toc3302"/>
      <w:r>
        <w:t>خوئي ، احمد بن خليل، 2583 - 637 ؟ ه-</w:t>
      </w:r>
      <w:bookmarkEnd w:id="4200"/>
    </w:p>
    <w:p>
      <w:pPr>
        <w:pStyle w:val="BookText"/>
      </w:pPr>
      <w:r>
        <w:rPr>
          <w:rFonts w:ascii="IRNazanin" w:hAnsi="IRNazanin" w:eastAsia="IRNazanin" w:cs="IRNazanin"/>
          <w:lang w:bidi="fa-IR"/>
          <w:color w:val="111111"/>
          <w:sz w:val="28"/>
          <w:szCs w:val="28"/>
          <w:rtl/>
        </w:rPr>
        <w:t xml:space="preserve">شرح الارشاد، ج 9، ص 184.</w:t>
      </w:r>
    </w:p>
    <w:p>
      <w:pPr>
        <w:pStyle w:val="Heading2"/>
      </w:pPr>
      <w:bookmarkStart w:id="4201" w:name="_Toc3303"/>
      <w:r>
        <w:t>خوئي ، حبيب الله بن محمّد هاشم 1268</w:t>
      </w:r>
      <w:bookmarkEnd w:id="42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1324ه-</w:t>
      </w:r>
    </w:p>
    <w:p>
      <w:pPr>
        <w:pStyle w:val="BookText"/>
      </w:pPr>
      <w:r>
        <w:rPr>
          <w:rFonts w:ascii="Amiri" w:hAnsi="Amiri" w:eastAsia="Amiri" w:cs="Amiri"/>
          <w:lang w:bidi="ar-SA"/>
          <w:color w:val="111111"/>
          <w:sz w:val="28"/>
          <w:szCs w:val="28"/>
          <w:rtl/>
        </w:rPr>
        <w:t xml:space="preserve">منهاج البراعة في شرح نهج البلاغة</w:t>
      </w:r>
    </w:p>
    <w:p>
      <w:pPr>
        <w:pStyle w:val="BookText"/>
      </w:pPr>
      <w:r>
        <w:rPr>
          <w:rFonts w:ascii="IRNazanin" w:hAnsi="IRNazanin" w:eastAsia="IRNazanin" w:cs="IRNazanin"/>
          <w:lang w:bidi="fa-IR"/>
          <w:color w:val="111111"/>
          <w:sz w:val="28"/>
          <w:szCs w:val="28"/>
          <w:rtl/>
        </w:rPr>
        <w:t xml:space="preserve">ج 15، ص 749.</w:t>
      </w:r>
    </w:p>
    <w:p>
      <w:pPr>
        <w:pStyle w:val="BookText"/>
      </w:pPr>
      <w:r>
        <w:rPr>
          <w:rFonts w:ascii="Amiri" w:hAnsi="Amiri" w:eastAsia="Amiri" w:cs="Amiri"/>
          <w:lang w:bidi="ar-SA"/>
          <w:color w:val="111111"/>
          <w:sz w:val="28"/>
          <w:szCs w:val="28"/>
          <w:rtl/>
        </w:rPr>
        <w:t xml:space="preserve">خوئي زنوزي ، حسن بن</w:t>
      </w:r>
    </w:p>
    <w:p>
      <w:pPr>
        <w:pStyle w:val="BookText"/>
      </w:pPr>
      <w:r>
        <w:rPr>
          <w:rFonts w:ascii="Amiri" w:hAnsi="Amiri" w:eastAsia="Amiri" w:cs="Amiri"/>
          <w:lang w:bidi="ar-SA"/>
          <w:color w:val="111111"/>
          <w:sz w:val="28"/>
          <w:szCs w:val="28"/>
          <w:rtl/>
        </w:rPr>
        <w:t xml:space="preserve">عبد الرسول - زنوزي ، محمّد حسن بن عبدالرسول</w:t>
      </w:r>
    </w:p>
    <w:p>
      <w:pPr>
        <w:pStyle w:val="Heading2"/>
      </w:pPr>
      <w:bookmarkStart w:id="4202" w:name="_Toc3304"/>
      <w:r>
        <w:t>خوئي ، علي، 1253 - 1309 ه-</w:t>
      </w:r>
      <w:bookmarkEnd w:id="4202"/>
    </w:p>
    <w:p>
      <w:pPr>
        <w:pStyle w:val="BookText"/>
      </w:pPr>
      <w:r>
        <w:rPr>
          <w:rFonts w:ascii="Amiri" w:hAnsi="Amiri" w:eastAsia="Amiri" w:cs="Amiri"/>
          <w:lang w:bidi="ar-SA"/>
          <w:color w:val="111111"/>
          <w:sz w:val="28"/>
          <w:szCs w:val="28"/>
          <w:rtl/>
        </w:rPr>
        <w:t xml:space="preserve">تعليقة فرائد الاصول، ج 4، ص 535</w:t>
      </w:r>
    </w:p>
    <w:p>
      <w:pPr>
        <w:pStyle w:val="BookText"/>
      </w:pPr>
      <w:r>
        <w:rPr>
          <w:rFonts w:ascii="Amiri" w:hAnsi="Amiri" w:eastAsia="Amiri" w:cs="Amiri"/>
          <w:lang w:bidi="ar-SA"/>
          <w:color w:val="111111"/>
          <w:sz w:val="28"/>
          <w:szCs w:val="28"/>
          <w:rtl/>
        </w:rPr>
        <w:t xml:space="preserve">خنجي ، اسعد بن نصر فالي ، اسعد بن نصر</w:t>
      </w:r>
    </w:p>
    <w:p>
      <w:pPr>
        <w:pStyle w:val="BookText"/>
      </w:pPr>
      <w:r>
        <w:rPr>
          <w:rFonts w:ascii="Amiri" w:hAnsi="Amiri" w:eastAsia="Amiri" w:cs="Amiri"/>
          <w:lang w:bidi="ar-SA"/>
          <w:color w:val="111111"/>
          <w:sz w:val="28"/>
          <w:szCs w:val="28"/>
          <w:rtl/>
        </w:rPr>
        <w:t xml:space="preserve">خوني ، محمّد بن احمد -قضاعي ، محمّد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4203" w:name="_Toc3305"/>
      <w:r>
        <w:t>خوئي، محمّدتقي بن ابوالقاسم - 1413ه-</w:t>
      </w:r>
      <w:bookmarkEnd w:id="4203"/>
    </w:p>
    <w:p>
      <w:pPr>
        <w:pStyle w:val="BookText"/>
      </w:pPr>
      <w:r>
        <w:rPr>
          <w:rFonts w:ascii="Amiri" w:hAnsi="Amiri" w:eastAsia="Amiri" w:cs="Amiri"/>
          <w:lang w:bidi="ar-SA"/>
          <w:color w:val="111111"/>
          <w:sz w:val="28"/>
          <w:szCs w:val="28"/>
          <w:rtl/>
        </w:rPr>
        <w:t xml:space="preserve">مباني العروة الوثقى، ج 13، ص729.</w:t>
      </w:r>
    </w:p>
    <w:p>
      <w:pPr>
        <w:pStyle w:val="Heading2"/>
      </w:pPr>
      <w:bookmarkStart w:id="4204" w:name="_Toc3306"/>
      <w:r>
        <w:t>خوئي، مصطفى بن محمّد قرن 13 ه-</w:t>
      </w:r>
      <w:bookmarkEnd w:id="4204"/>
    </w:p>
    <w:p>
      <w:pPr>
        <w:pStyle w:val="BookText"/>
      </w:pPr>
      <w:r>
        <w:rPr>
          <w:rFonts w:ascii="Amiri" w:hAnsi="Amiri" w:eastAsia="Amiri" w:cs="Amiri"/>
          <w:lang w:bidi="ar-SA"/>
          <w:color w:val="111111"/>
          <w:sz w:val="28"/>
          <w:szCs w:val="28"/>
          <w:rtl/>
        </w:rPr>
        <w:t xml:space="preserve">1 .الجواهر المكنونة و اللآلي المخزونة</w:t>
      </w:r>
    </w:p>
    <w:p>
      <w:pPr>
        <w:pStyle w:val="BookText"/>
      </w:pPr>
      <w:r>
        <w:rPr>
          <w:rFonts w:ascii="IRNazanin" w:hAnsi="IRNazanin" w:eastAsia="IRNazanin" w:cs="IRNazanin"/>
          <w:lang w:bidi="fa-IR"/>
          <w:color w:val="111111"/>
          <w:sz w:val="28"/>
          <w:szCs w:val="28"/>
          <w:rtl/>
        </w:rPr>
        <w:t xml:space="preserve">ج 5، ص 601 .</w:t>
      </w:r>
    </w:p>
    <w:p>
      <w:pPr>
        <w:pStyle w:val="BookText"/>
      </w:pPr>
      <w:r>
        <w:rPr>
          <w:rFonts w:ascii="Amiri" w:hAnsi="Amiri" w:eastAsia="Amiri" w:cs="Amiri"/>
          <w:lang w:bidi="ar-SA"/>
          <w:color w:val="111111"/>
          <w:sz w:val="28"/>
          <w:szCs w:val="28"/>
          <w:rtl/>
        </w:rPr>
        <w:t xml:space="preserve">2 .جواهر مكنونه = لآلي مخزونه، ج5،</w:t>
      </w:r>
    </w:p>
    <w:p>
      <w:pPr>
        <w:pStyle w:val="BookText"/>
      </w:pPr>
      <w:r>
        <w:rPr>
          <w:rFonts w:ascii="IRNazanin" w:hAnsi="IRNazanin" w:eastAsia="IRNazanin" w:cs="IRNazanin"/>
          <w:lang w:bidi="fa-IR"/>
          <w:color w:val="111111"/>
          <w:sz w:val="28"/>
          <w:szCs w:val="28"/>
          <w:rtl/>
        </w:rPr>
        <w:t xml:space="preserve">ص 600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8" w:name="pg7742_70331"/>
    <w:bookmarkEnd w:id="468"/>
    <w:p>
      <w:pPr>
        <w:pStyle w:val="Heading2"/>
      </w:pPr>
      <w:bookmarkStart w:id="4205" w:name="_Toc3307"/>
      <w:r>
        <w:t>خوئي ، ملا علي قرن 14 ه-</w:t>
      </w:r>
      <w:bookmarkEnd w:id="4205"/>
    </w:p>
    <w:p>
      <w:pPr>
        <w:pStyle w:val="BookText"/>
      </w:pPr>
      <w:r>
        <w:rPr>
          <w:rFonts w:ascii="Amiri" w:hAnsi="Amiri" w:eastAsia="Amiri" w:cs="Amiri"/>
          <w:lang w:bidi="ar-SA"/>
          <w:color w:val="111111"/>
          <w:sz w:val="28"/>
          <w:szCs w:val="28"/>
          <w:rtl/>
        </w:rPr>
        <w:t xml:space="preserve">حاشية على قطع الرسائل لمحمد</w:t>
      </w:r>
    </w:p>
    <w:p>
      <w:pPr>
        <w:pStyle w:val="BookText"/>
      </w:pPr>
      <w:r>
        <w:rPr>
          <w:rFonts w:ascii="Amiri" w:hAnsi="Amiri" w:eastAsia="Amiri" w:cs="Amiri"/>
          <w:lang w:bidi="ar-SA"/>
          <w:color w:val="111111"/>
          <w:sz w:val="28"/>
          <w:szCs w:val="28"/>
          <w:rtl/>
        </w:rPr>
        <w:t xml:space="preserve">كاظم الخراساني، ج6، ص 249.</w:t>
      </w:r>
    </w:p>
    <w:p>
      <w:pPr>
        <w:pStyle w:val="BookText"/>
      </w:pPr>
      <w:r>
        <w:rPr>
          <w:rFonts w:ascii="Amiri" w:hAnsi="Amiri" w:eastAsia="Amiri" w:cs="Amiri"/>
          <w:lang w:bidi="ar-SA"/>
          <w:color w:val="111111"/>
          <w:sz w:val="28"/>
          <w:szCs w:val="28"/>
          <w:rtl/>
        </w:rPr>
        <w:t xml:space="preserve">خوئي ، نصيرالدين محمود (محمّد) بن</w:t>
      </w:r>
    </w:p>
    <w:p>
      <w:pPr>
        <w:pStyle w:val="BookText"/>
      </w:pPr>
      <w:r>
        <w:rPr>
          <w:rFonts w:ascii="IRNazanin" w:hAnsi="IRNazanin" w:eastAsia="IRNazanin" w:cs="IRNazanin"/>
          <w:lang w:bidi="fa-IR"/>
          <w:color w:val="111111"/>
          <w:sz w:val="28"/>
          <w:szCs w:val="28"/>
          <w:rtl/>
        </w:rPr>
        <w:t xml:space="preserve">احمد- نصیرالدین خوئي ، محمود (محمد)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خوئيني حائري ، ملاعلي- قزويني خوئيني</w:t>
      </w:r>
    </w:p>
    <w:p>
      <w:pPr>
        <w:pStyle w:val="BookText"/>
      </w:pPr>
      <w:r>
        <w:rPr>
          <w:rFonts w:ascii="Amiri" w:hAnsi="Amiri" w:eastAsia="Amiri" w:cs="Amiri"/>
          <w:lang w:bidi="ar-SA"/>
          <w:color w:val="111111"/>
          <w:sz w:val="28"/>
          <w:szCs w:val="28"/>
          <w:rtl/>
        </w:rPr>
        <w:t xml:space="preserve">، ملاعلي</w:t>
      </w:r>
    </w:p>
    <w:p>
      <w:pPr>
        <w:pStyle w:val="Heading2"/>
      </w:pPr>
      <w:bookmarkStart w:id="4206" w:name="_Toc3308"/>
      <w:r>
        <w:t>خوئيني ، علي محمّد</w:t>
      </w:r>
      <w:bookmarkEnd w:id="42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لوازم و الشروط التي تعتبر في</w:t>
      </w:r>
    </w:p>
    <w:p>
      <w:pPr>
        <w:pStyle w:val="BookText"/>
      </w:pPr>
      <w:r>
        <w:rPr>
          <w:rFonts w:ascii="IRNazanin" w:hAnsi="IRNazanin" w:eastAsia="IRNazanin" w:cs="IRNazanin"/>
          <w:lang w:bidi="fa-IR"/>
          <w:color w:val="111111"/>
          <w:sz w:val="28"/>
          <w:szCs w:val="28"/>
          <w:rtl/>
        </w:rPr>
        <w:t xml:space="preserve">العقد، ج 13، ص 633.</w:t>
      </w:r>
    </w:p>
    <w:p>
      <w:pPr>
        <w:pStyle w:val="BookText"/>
      </w:pPr>
      <w:r>
        <w:rPr>
          <w:rFonts w:ascii="Amiri" w:hAnsi="Amiri" w:eastAsia="Amiri" w:cs="Amiri"/>
          <w:lang w:bidi="ar-SA"/>
          <w:color w:val="111111"/>
          <w:sz w:val="28"/>
          <w:szCs w:val="28"/>
          <w:rtl/>
        </w:rPr>
        <w:t xml:space="preserve">2 .النكاح والطلاق مع مشوقاتها</w:t>
      </w:r>
    </w:p>
    <w:p>
      <w:pPr>
        <w:pStyle w:val="BookText"/>
      </w:pPr>
      <w:r>
        <w:rPr>
          <w:rFonts w:ascii="IRNazanin" w:hAnsi="IRNazanin" w:eastAsia="IRNazanin" w:cs="IRNazanin"/>
          <w:lang w:bidi="fa-IR"/>
          <w:color w:val="111111"/>
          <w:sz w:val="28"/>
          <w:szCs w:val="28"/>
          <w:rtl/>
        </w:rPr>
        <w:t xml:space="preserve">ج 16، ص 460.</w:t>
      </w:r>
    </w:p>
    <w:p>
      <w:pPr>
        <w:pStyle w:val="Heading2"/>
      </w:pPr>
      <w:bookmarkStart w:id="4207" w:name="_Toc3309"/>
      <w:r>
        <w:t>خوئي ، يوسف بن اسماعيل - 754؟ ه-</w:t>
      </w:r>
      <w:bookmarkEnd w:id="42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الادوية المفردة، ج 1، ص 671.</w:t>
      </w:r>
    </w:p>
    <w:p>
      <w:pPr>
        <w:pStyle w:val="BookText"/>
      </w:pPr>
      <w:r>
        <w:rPr>
          <w:rFonts w:ascii="Amiri" w:hAnsi="Amiri" w:eastAsia="Amiri" w:cs="Amiri"/>
          <w:lang w:bidi="ar-SA"/>
          <w:color w:val="111111"/>
          <w:sz w:val="28"/>
          <w:szCs w:val="28"/>
          <w:rtl/>
        </w:rPr>
        <w:t xml:space="preserve">2 .ما لا يسع الطبيب جهله = جامع</w:t>
      </w:r>
    </w:p>
    <w:p>
      <w:pPr>
        <w:pStyle w:val="BookText"/>
      </w:pPr>
      <w:r>
        <w:rPr>
          <w:rFonts w:ascii="Amiri" w:hAnsi="Amiri" w:eastAsia="Amiri" w:cs="Amiri"/>
          <w:lang w:bidi="ar-SA"/>
          <w:color w:val="111111"/>
          <w:sz w:val="28"/>
          <w:szCs w:val="28"/>
          <w:rtl/>
        </w:rPr>
        <w:t xml:space="preserve">بغدادي، ج13، ص 684.</w:t>
      </w:r>
    </w:p>
    <w:p>
      <w:pPr>
        <w:pStyle w:val="Heading2"/>
      </w:pPr>
      <w:bookmarkStart w:id="4208" w:name="_Toc3310"/>
      <w:r>
        <w:t>خواجگي زاده ، مصطفى بن محمّد -</w:t>
      </w:r>
      <w:bookmarkEnd w:id="4208"/>
    </w:p>
    <w:p>
      <w:pPr>
        <w:pStyle w:val="BookText"/>
      </w:pPr>
      <w:r>
        <w:rPr>
          <w:rFonts w:ascii="IRNazanin" w:hAnsi="IRNazanin" w:eastAsia="IRNazanin" w:cs="IRNazanin"/>
          <w:lang w:bidi="fa-IR"/>
          <w:color w:val="111111"/>
          <w:sz w:val="28"/>
          <w:szCs w:val="28"/>
          <w:rtl/>
        </w:rPr>
        <w:t xml:space="preserve">998 ه-</w:t>
      </w:r>
    </w:p>
    <w:p>
      <w:pPr>
        <w:pStyle w:val="BookText"/>
      </w:pPr>
      <w:r>
        <w:rPr>
          <w:rFonts w:ascii="Amiri" w:hAnsi="Amiri" w:eastAsia="Amiri" w:cs="Amiri"/>
          <w:lang w:bidi="ar-SA"/>
          <w:color w:val="111111"/>
          <w:sz w:val="28"/>
          <w:szCs w:val="28"/>
          <w:rtl/>
        </w:rPr>
        <w:t xml:space="preserve">1 .حاشية على تفسير سورة يس للبيضاوي، ج 1، ص238.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دعاء التحيات = شرح دعاء</w:t>
      </w:r>
    </w:p>
    <w:p>
      <w:pPr>
        <w:pStyle w:val="BookText"/>
      </w:pPr>
      <w:r>
        <w:rPr>
          <w:rFonts w:ascii="IRNazanin" w:hAnsi="IRNazanin" w:eastAsia="IRNazanin" w:cs="IRNazanin"/>
          <w:lang w:bidi="fa-IR"/>
          <w:color w:val="111111"/>
          <w:sz w:val="28"/>
          <w:szCs w:val="28"/>
          <w:rtl/>
        </w:rPr>
        <w:t xml:space="preserve">القنوت، ج 9، ص 459.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المطالب العلية = المطالب العالية</w:t>
      </w:r>
    </w:p>
    <w:p>
      <w:pPr>
        <w:pStyle w:val="BookText"/>
      </w:pPr>
      <w:r>
        <w:rPr>
          <w:rFonts w:ascii="Amiri" w:hAnsi="Amiri" w:eastAsia="Amiri" w:cs="Amiri"/>
          <w:lang w:bidi="ar-SA"/>
          <w:color w:val="111111"/>
          <w:sz w:val="28"/>
          <w:szCs w:val="28"/>
          <w:rtl/>
        </w:rPr>
        <w:t xml:space="preserve">في بيان الكتب الاربعة الإلهية</w:t>
      </w:r>
    </w:p>
    <w:p>
      <w:pPr>
        <w:pStyle w:val="BookText"/>
      </w:pPr>
      <w:r>
        <w:rPr>
          <w:rFonts w:ascii="IRNazanin" w:hAnsi="IRNazanin" w:eastAsia="IRNazanin" w:cs="IRNazanin"/>
          <w:lang w:bidi="fa-IR"/>
          <w:color w:val="111111"/>
          <w:sz w:val="28"/>
          <w:szCs w:val="28"/>
          <w:rtl/>
        </w:rPr>
        <w:t xml:space="preserve">ج 14، ص 763 .</w:t>
      </w:r>
    </w:p>
    <w:p>
      <w:pPr>
        <w:pStyle w:val="Heading2"/>
      </w:pPr>
      <w:bookmarkStart w:id="4209" w:name="_Toc3311"/>
      <w:r>
        <w:t>خواجگي شيرازي ، محمّد بن احمد قرن</w:t>
      </w:r>
      <w:bookmarkEnd w:id="4209"/>
    </w:p>
    <w:p>
      <w:pPr>
        <w:pStyle w:val="BookText"/>
      </w:pPr>
      <w:r>
        <w:rPr>
          <w:rFonts w:ascii="IRNazanin" w:hAnsi="IRNazanin" w:eastAsia="IRNazanin" w:cs="IRNazanin"/>
          <w:lang w:bidi="fa-IR"/>
          <w:color w:val="111111"/>
          <w:sz w:val="28"/>
          <w:szCs w:val="28"/>
          <w:rtl/>
        </w:rPr>
        <w:t xml:space="preserve">10ه-</w:t>
      </w:r>
    </w:p>
    <w:p>
      <w:pPr>
        <w:pStyle w:val="BookText"/>
      </w:pPr>
      <w:r>
        <w:rPr>
          <w:rFonts w:ascii="Amiri" w:hAnsi="Amiri" w:eastAsia="Amiri" w:cs="Amiri"/>
          <w:lang w:bidi="ar-SA"/>
          <w:color w:val="111111"/>
          <w:sz w:val="28"/>
          <w:szCs w:val="28"/>
          <w:rtl/>
        </w:rPr>
        <w:t xml:space="preserve">1 .تمهيدات، ج 5، ص 1.</w:t>
      </w:r>
    </w:p>
    <w:p>
      <w:pPr>
        <w:pStyle w:val="BookText"/>
      </w:pPr>
      <w:r>
        <w:rPr>
          <w:rFonts w:ascii="Amiri" w:hAnsi="Amiri" w:eastAsia="Amiri" w:cs="Amiri"/>
          <w:lang w:bidi="ar-SA"/>
          <w:color w:val="111111"/>
          <w:sz w:val="28"/>
          <w:szCs w:val="28"/>
          <w:rtl/>
        </w:rPr>
        <w:t xml:space="preserve">2 .مفتاح المنجمين = عمل بربع مجيب آفاقي - ربع دستور، ج15،</w:t>
      </w:r>
    </w:p>
    <w:p>
      <w:pPr>
        <w:pStyle w:val="BookText"/>
      </w:pPr>
      <w:r>
        <w:rPr>
          <w:rFonts w:ascii="IRNazanin" w:hAnsi="IRNazanin" w:eastAsia="IRNazanin" w:cs="IRNazanin"/>
          <w:lang w:bidi="fa-IR"/>
          <w:color w:val="111111"/>
          <w:sz w:val="28"/>
          <w:szCs w:val="28"/>
          <w:rtl/>
        </w:rPr>
        <w:t xml:space="preserve">ص231.</w:t>
      </w:r>
    </w:p>
    <w:p>
      <w:pPr>
        <w:pStyle w:val="Heading2"/>
      </w:pPr>
      <w:bookmarkStart w:id="4210" w:name="_Toc3312"/>
      <w:r>
        <w:t>خواجه جهان ، محمود بن محمّد 808 -</w:t>
      </w:r>
      <w:bookmarkEnd w:id="4210"/>
    </w:p>
    <w:p>
      <w:pPr>
        <w:pStyle w:val="BookText"/>
      </w:pPr>
      <w:r>
        <w:rPr>
          <w:rFonts w:ascii="IRNazanin" w:hAnsi="IRNazanin" w:eastAsia="IRNazanin" w:cs="IRNazanin"/>
          <w:lang w:bidi="fa-IR"/>
          <w:color w:val="111111"/>
          <w:sz w:val="28"/>
          <w:szCs w:val="28"/>
          <w:rtl/>
        </w:rPr>
        <w:t xml:space="preserve">886 ه-</w:t>
      </w:r>
    </w:p>
    <w:p>
      <w:pPr>
        <w:pStyle w:val="BookText"/>
      </w:pPr>
      <w:r>
        <w:rPr>
          <w:rFonts w:ascii="IRNazanin" w:hAnsi="IRNazanin" w:eastAsia="IRNazanin" w:cs="IRNazanin"/>
          <w:lang w:bidi="fa-IR"/>
          <w:color w:val="111111"/>
          <w:sz w:val="28"/>
          <w:szCs w:val="28"/>
          <w:rtl/>
        </w:rPr>
        <w:t xml:space="preserve">مناظر الانشاء، ج 15، ص 512.</w:t>
      </w:r>
    </w:p>
    <w:p>
      <w:pPr>
        <w:pStyle w:val="BookText"/>
      </w:pPr>
      <w:r>
        <w:rPr>
          <w:rFonts w:ascii="Amiri" w:hAnsi="Amiri" w:eastAsia="Amiri" w:cs="Amiri"/>
          <w:lang w:bidi="ar-SA"/>
          <w:color w:val="111111"/>
          <w:sz w:val="28"/>
          <w:szCs w:val="28"/>
          <w:rtl/>
        </w:rPr>
        <w:t xml:space="preserve">خواجه خاوند معين الدين معيني كشميري -معيني كشميري ، معين الدين بن</w:t>
      </w:r>
    </w:p>
    <w:p>
      <w:pPr>
        <w:pStyle w:val="BookText"/>
      </w:pPr>
      <w:r>
        <w:rPr>
          <w:rFonts w:ascii="IRNazanin" w:hAnsi="IRNazanin" w:eastAsia="IRNazanin" w:cs="IRNazanin"/>
          <w:lang w:bidi="fa-IR"/>
          <w:color w:val="111111"/>
          <w:sz w:val="28"/>
          <w:szCs w:val="28"/>
          <w:rtl/>
        </w:rPr>
        <w:t xml:space="preserve">محمود</w:t>
      </w:r>
    </w:p>
    <w:p>
      <w:pPr>
        <w:pStyle w:val="Heading2"/>
      </w:pPr>
      <w:bookmarkStart w:id="4211" w:name="_Toc3313"/>
      <w:r>
        <w:t>خواجه زاده</w:t>
      </w:r>
      <w:bookmarkEnd w:id="4211"/>
    </w:p>
    <w:p>
      <w:pPr>
        <w:pStyle w:val="BookText"/>
      </w:pPr>
      <w:r>
        <w:rPr>
          <w:rFonts w:ascii="Amiri" w:hAnsi="Amiri" w:eastAsia="Amiri" w:cs="Amiri"/>
          <w:lang w:bidi="ar-SA"/>
          <w:color w:val="111111"/>
          <w:sz w:val="28"/>
          <w:szCs w:val="28"/>
          <w:rtl/>
        </w:rPr>
        <w:t xml:space="preserve">1 .حاشية الطريقة المحمّدية، ج 6،</w:t>
      </w:r>
    </w:p>
    <w:p>
      <w:pPr>
        <w:pStyle w:val="BookText"/>
      </w:pPr>
      <w:r>
        <w:rPr>
          <w:rFonts w:ascii="IRNazanin" w:hAnsi="IRNazanin" w:eastAsia="IRNazanin" w:cs="IRNazanin"/>
          <w:lang w:bidi="fa-IR"/>
          <w:color w:val="111111"/>
          <w:sz w:val="28"/>
          <w:szCs w:val="28"/>
          <w:rtl/>
        </w:rPr>
        <w:t xml:space="preserve">ص 226.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خواجه زاده في الحكمة، ج 9،</w:t>
      </w:r>
    </w:p>
    <w:p>
      <w:pPr>
        <w:pStyle w:val="BookText"/>
      </w:pPr>
      <w:r>
        <w:rPr>
          <w:rFonts w:ascii="IRNazanin" w:hAnsi="IRNazanin" w:eastAsia="IRNazanin" w:cs="IRNazanin"/>
          <w:lang w:bidi="fa-IR"/>
          <w:color w:val="111111"/>
          <w:sz w:val="28"/>
          <w:szCs w:val="28"/>
          <w:rtl/>
        </w:rPr>
        <w:t xml:space="preserve">ص 450 .</w:t>
      </w:r>
    </w:p>
    <w:p>
      <w:pPr>
        <w:pStyle w:val="Heading2"/>
      </w:pPr>
      <w:bookmarkStart w:id="4212" w:name="_Toc3314"/>
      <w:r>
        <w:t>خواجه زاده مصطفی بن يوسف -893ه-</w:t>
      </w:r>
      <w:bookmarkEnd w:id="4212"/>
    </w:p>
    <w:p>
      <w:pPr>
        <w:pStyle w:val="BookText"/>
      </w:pPr>
      <w:r>
        <w:rPr>
          <w:rFonts w:ascii="Amiri" w:hAnsi="Amiri" w:eastAsia="Amiri" w:cs="Amiri"/>
          <w:lang w:bidi="ar-SA"/>
          <w:color w:val="111111"/>
          <w:sz w:val="28"/>
          <w:szCs w:val="28"/>
          <w:rtl/>
        </w:rPr>
        <w:t xml:space="preserve">1 .بيان الجسماني (رسالة في)، ج3،</w:t>
      </w:r>
    </w:p>
    <w:p>
      <w:pPr>
        <w:pStyle w:val="BookText"/>
      </w:pPr>
      <w:r>
        <w:rPr>
          <w:rFonts w:ascii="IRNazanin" w:hAnsi="IRNazanin" w:eastAsia="IRNazanin" w:cs="IRNazanin"/>
          <w:lang w:bidi="fa-IR"/>
          <w:color w:val="111111"/>
          <w:sz w:val="28"/>
          <w:szCs w:val="28"/>
          <w:rtl/>
        </w:rPr>
        <w:t xml:space="preserve">ص 467 .</w:t>
      </w:r>
    </w:p>
    <w:p>
      <w:pPr>
        <w:pStyle w:val="BookText"/>
      </w:pPr>
      <w:r>
        <w:rPr>
          <w:rFonts w:ascii="Amiri" w:hAnsi="Amiri" w:eastAsia="Amiri" w:cs="Amiri"/>
          <w:lang w:bidi="ar-SA"/>
          <w:color w:val="111111"/>
          <w:sz w:val="28"/>
          <w:szCs w:val="28"/>
          <w:rtl/>
        </w:rPr>
        <w:t xml:space="preserve">2 .تهافت الفلاسفة = المحاكمات بين</w:t>
      </w:r>
    </w:p>
    <w:p>
      <w:pPr>
        <w:pStyle w:val="BookText"/>
      </w:pPr>
      <w:r>
        <w:rPr>
          <w:rFonts w:ascii="Amiri" w:hAnsi="Amiri" w:eastAsia="Amiri" w:cs="Amiri"/>
          <w:lang w:bidi="ar-SA"/>
          <w:color w:val="111111"/>
          <w:sz w:val="28"/>
          <w:szCs w:val="28"/>
          <w:rtl/>
        </w:rPr>
        <w:t xml:space="preserve">التهافتين، ج 5، ص 84.</w:t>
      </w:r>
    </w:p>
    <w:p>
      <w:pPr>
        <w:pStyle w:val="BookText"/>
      </w:pPr>
      <w:r>
        <w:rPr>
          <w:rFonts w:ascii="Amiri" w:hAnsi="Amiri" w:eastAsia="Amiri" w:cs="Amiri"/>
          <w:lang w:bidi="ar-SA"/>
          <w:color w:val="111111"/>
          <w:sz w:val="28"/>
          <w:szCs w:val="28"/>
          <w:rtl/>
        </w:rPr>
        <w:t xml:space="preserve">3 .حاشية شرح المواقف، ج 6، ص 199.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هداية الحكمة = النهاية في توضيح مشكلات الهداية</w:t>
      </w:r>
    </w:p>
    <w:p>
      <w:pPr>
        <w:pStyle w:val="BookText"/>
      </w:pPr>
      <w:r>
        <w:rPr>
          <w:rFonts w:ascii="IRNazanin" w:hAnsi="IRNazanin" w:eastAsia="IRNazanin" w:cs="IRNazanin"/>
          <w:lang w:bidi="fa-IR"/>
          <w:color w:val="111111"/>
          <w:sz w:val="28"/>
          <w:szCs w:val="28"/>
          <w:rtl/>
        </w:rPr>
        <w:t xml:space="preserve">ج 6، ص 213.</w:t>
      </w:r>
    </w:p>
    <w:p>
      <w:pPr>
        <w:pStyle w:val="BookText"/>
      </w:pPr>
      <w:r>
        <w:rPr>
          <w:rFonts w:ascii="Amiri" w:hAnsi="Amiri" w:eastAsia="Amiri" w:cs="Amiri"/>
          <w:lang w:bidi="ar-SA"/>
          <w:color w:val="111111"/>
          <w:sz w:val="28"/>
          <w:szCs w:val="28"/>
          <w:rtl/>
        </w:rPr>
        <w:t xml:space="preserve">5 .شرح الطريقة المحمّدية، ج 9،</w:t>
      </w:r>
    </w:p>
    <w:p>
      <w:pPr>
        <w:pStyle w:val="BookText"/>
      </w:pPr>
      <w:r>
        <w:rPr>
          <w:rFonts w:ascii="IRNazanin" w:hAnsi="IRNazanin" w:eastAsia="IRNazanin" w:cs="IRNazanin"/>
          <w:lang w:bidi="fa-IR"/>
          <w:color w:val="111111"/>
          <w:sz w:val="28"/>
          <w:szCs w:val="28"/>
          <w:rtl/>
        </w:rPr>
        <w:t xml:space="preserve">ص 680.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9" w:name="pg7742_70334"/>
    <w:bookmarkEnd w:id="469"/>
    <w:p>
      <w:pPr>
        <w:pStyle w:val="Heading2"/>
      </w:pPr>
      <w:bookmarkStart w:id="4213" w:name="_Toc3315"/>
      <w:r>
        <w:t>خواجه سعد الله</w:t>
      </w:r>
      <w:bookmarkEnd w:id="4213"/>
    </w:p>
    <w:p>
      <w:pPr>
        <w:pStyle w:val="BookText"/>
      </w:pPr>
      <w:r>
        <w:rPr>
          <w:rFonts w:ascii="Amiri" w:hAnsi="Amiri" w:eastAsia="Amiri" w:cs="Amiri"/>
          <w:lang w:bidi="ar-SA"/>
          <w:color w:val="111111"/>
          <w:sz w:val="28"/>
          <w:szCs w:val="28"/>
          <w:rtl/>
        </w:rPr>
        <w:t xml:space="preserve">اصول العقائد( كتاب في)، ج2،</w:t>
      </w:r>
    </w:p>
    <w:p>
      <w:pPr>
        <w:pStyle w:val="BookText"/>
      </w:pPr>
      <w:r>
        <w:rPr>
          <w:rFonts w:ascii="IRNazanin" w:hAnsi="IRNazanin" w:eastAsia="IRNazanin" w:cs="IRNazanin"/>
          <w:lang w:bidi="fa-IR"/>
          <w:color w:val="111111"/>
          <w:sz w:val="28"/>
          <w:szCs w:val="28"/>
          <w:rtl/>
        </w:rPr>
        <w:t xml:space="preserve">ص 427 .</w:t>
      </w:r>
    </w:p>
    <w:p>
      <w:pPr>
        <w:pStyle w:val="BookText"/>
      </w:pPr>
      <w:r>
        <w:rPr>
          <w:rFonts w:ascii="Amiri" w:hAnsi="Amiri" w:eastAsia="Amiri" w:cs="Amiri"/>
          <w:lang w:bidi="ar-SA"/>
          <w:color w:val="111111"/>
          <w:sz w:val="28"/>
          <w:szCs w:val="28"/>
          <w:rtl/>
        </w:rPr>
        <w:t xml:space="preserve">خواجه عبدالله انصاري -انصاري ، عبدالله</w:t>
      </w:r>
    </w:p>
    <w:p>
      <w:pPr>
        <w:pStyle w:val="BookText"/>
      </w:pPr>
      <w:r>
        <w:rPr>
          <w:rFonts w:ascii="Amiri" w:hAnsi="Amiri" w:eastAsia="Amiri" w:cs="Amiri"/>
          <w:lang w:bidi="ar-SA"/>
          <w:color w:val="111111"/>
          <w:sz w:val="28"/>
          <w:szCs w:val="28"/>
          <w:rtl/>
        </w:rPr>
        <w:t xml:space="preserve">بن محمّد</w:t>
      </w:r>
    </w:p>
    <w:p>
      <w:pPr>
        <w:pStyle w:val="Heading2"/>
      </w:pPr>
      <w:bookmarkStart w:id="4214" w:name="_Toc3316"/>
      <w:r>
        <w:t>خواجه عصمت الله ، صدر بن رشید، قرن 8ه-</w:t>
      </w:r>
      <w:bookmarkEnd w:id="4214"/>
    </w:p>
    <w:p>
      <w:pPr>
        <w:pStyle w:val="BookText"/>
      </w:pPr>
      <w:r>
        <w:rPr>
          <w:rFonts w:ascii="Amiri" w:hAnsi="Amiri" w:eastAsia="Amiri" w:cs="Amiri"/>
          <w:lang w:bidi="ar-SA"/>
          <w:color w:val="111111"/>
          <w:sz w:val="28"/>
          <w:szCs w:val="28"/>
          <w:rtl/>
        </w:rPr>
        <w:t xml:space="preserve">دستور القضاة، ج 7، ص 384.</w:t>
      </w:r>
    </w:p>
    <w:p>
      <w:pPr>
        <w:pStyle w:val="BookText"/>
      </w:pPr>
      <w:r>
        <w:rPr>
          <w:rFonts w:ascii="IRNazanin" w:hAnsi="IRNazanin" w:eastAsia="IRNazanin" w:cs="IRNazanin"/>
          <w:lang w:bidi="fa-IR"/>
          <w:color w:val="111111"/>
          <w:sz w:val="28"/>
          <w:szCs w:val="28"/>
          <w:rtl/>
        </w:rPr>
        <w:t xml:space="preserve">خواجه کلان ، سلیمان- قندوزي ، سليمان</w:t>
      </w:r>
    </w:p>
    <w:p>
      <w:pPr>
        <w:pStyle w:val="BookText"/>
      </w:pPr>
      <w:r>
        <w:rPr>
          <w:rFonts w:ascii="Amiri" w:hAnsi="Amiri" w:eastAsia="Amiri" w:cs="Amiri"/>
          <w:lang w:bidi="ar-SA"/>
          <w:color w:val="111111"/>
          <w:sz w:val="28"/>
          <w:szCs w:val="28"/>
          <w:rtl/>
        </w:rPr>
        <w:t xml:space="preserve">بن ابراهيم</w:t>
      </w:r>
    </w:p>
    <w:p>
      <w:pPr>
        <w:pStyle w:val="BookText"/>
      </w:pPr>
      <w:r>
        <w:rPr>
          <w:rFonts w:ascii="IRNazanin" w:hAnsi="IRNazanin" w:eastAsia="IRNazanin" w:cs="IRNazanin"/>
          <w:lang w:bidi="fa-IR"/>
          <w:color w:val="111111"/>
          <w:sz w:val="28"/>
          <w:szCs w:val="28"/>
          <w:rtl/>
        </w:rPr>
        <w:t xml:space="preserve">خواجه محمّد پارسا -پارسا ، محمّد بن محمّد</w:t>
      </w:r>
    </w:p>
    <w:p>
      <w:pPr>
        <w:pStyle w:val="BookText"/>
      </w:pPr>
      <w:r>
        <w:rPr>
          <w:rFonts w:ascii="IRNazanin" w:hAnsi="IRNazanin" w:eastAsia="IRNazanin" w:cs="IRNazanin"/>
          <w:lang w:bidi="fa-IR"/>
          <w:color w:val="111111"/>
          <w:sz w:val="28"/>
          <w:szCs w:val="28"/>
          <w:rtl/>
        </w:rPr>
        <w:t xml:space="preserve">خواجه ملا ، فضل الله بن روزبهان- فضل</w:t>
      </w:r>
    </w:p>
    <w:p>
      <w:pPr>
        <w:pStyle w:val="BookText"/>
      </w:pPr>
      <w:r>
        <w:rPr>
          <w:rFonts w:ascii="IRNazanin" w:hAnsi="IRNazanin" w:eastAsia="IRNazanin" w:cs="IRNazanin"/>
          <w:lang w:bidi="fa-IR"/>
          <w:color w:val="111111"/>
          <w:sz w:val="28"/>
          <w:szCs w:val="28"/>
          <w:rtl/>
        </w:rPr>
        <w:t xml:space="preserve">الله بن روزبهان</w:t>
      </w:r>
    </w:p>
    <w:p>
      <w:pPr>
        <w:pStyle w:val="BookText"/>
      </w:pPr>
      <w:r>
        <w:rPr>
          <w:rFonts w:ascii="IRNazanin" w:hAnsi="IRNazanin" w:eastAsia="IRNazanin" w:cs="IRNazanin"/>
          <w:lang w:bidi="fa-IR"/>
          <w:color w:val="111111"/>
          <w:sz w:val="28"/>
          <w:szCs w:val="28"/>
          <w:rtl/>
        </w:rPr>
        <w:t xml:space="preserve">خواجه نصیرالدین طوسي - نصير الدين طوسي ، محمّد بن محمّد</w:t>
      </w:r>
    </w:p>
    <w:p>
      <w:pPr>
        <w:pStyle w:val="BookText"/>
      </w:pPr>
      <w:r>
        <w:rPr>
          <w:rFonts w:ascii="Amiri" w:hAnsi="Amiri" w:eastAsia="Amiri" w:cs="Amiri"/>
          <w:lang w:bidi="ar-SA"/>
          <w:color w:val="111111"/>
          <w:sz w:val="28"/>
          <w:szCs w:val="28"/>
          <w:rtl/>
        </w:rPr>
        <w:t xml:space="preserve">خواجه نظام الملك - نظام الملك ، حسن بن علي</w:t>
      </w:r>
    </w:p>
    <w:p>
      <w:pPr>
        <w:pStyle w:val="Heading2"/>
      </w:pPr>
      <w:bookmarkStart w:id="4215" w:name="_Toc3317"/>
      <w:r>
        <w:t>خواجه نعمة الدين</w:t>
      </w:r>
      <w:bookmarkEnd w:id="4215"/>
    </w:p>
    <w:p>
      <w:pPr>
        <w:pStyle w:val="BookText"/>
      </w:pPr>
      <w:r>
        <w:rPr>
          <w:rFonts w:ascii="Amiri" w:hAnsi="Amiri" w:eastAsia="Amiri" w:cs="Amiri"/>
          <w:lang w:bidi="ar-SA"/>
          <w:color w:val="111111"/>
          <w:sz w:val="28"/>
          <w:szCs w:val="28"/>
          <w:rtl/>
        </w:rPr>
        <w:t xml:space="preserve">تجريد القواعد، ج3، ص 692.</w:t>
      </w:r>
    </w:p>
    <w:p>
      <w:pPr>
        <w:pStyle w:val="Heading2"/>
      </w:pPr>
      <w:bookmarkStart w:id="4216" w:name="_Toc3318"/>
      <w:r>
        <w:t>خواجوئي ، محمّد اسماعيل بن حسين - 1173ه-</w:t>
      </w:r>
      <w:bookmarkEnd w:id="4216"/>
    </w:p>
    <w:p>
      <w:pPr>
        <w:pStyle w:val="BookText"/>
      </w:pPr>
      <w:r>
        <w:rPr>
          <w:rFonts w:ascii="IRNazanin" w:hAnsi="IRNazanin" w:eastAsia="IRNazanin" w:cs="IRNazanin"/>
          <w:lang w:bidi="fa-IR"/>
          <w:color w:val="111111"/>
          <w:sz w:val="28"/>
          <w:szCs w:val="28"/>
          <w:rtl/>
        </w:rPr>
        <w:t xml:space="preserve">1 .البلل الحادث أثناء الغسل، ج3،</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Amiri" w:hAnsi="Amiri" w:eastAsia="Amiri" w:cs="Amiri"/>
          <w:lang w:bidi="ar-SA"/>
          <w:color w:val="111111"/>
          <w:sz w:val="28"/>
          <w:szCs w:val="28"/>
          <w:rtl/>
        </w:rPr>
        <w:t xml:space="preserve">2 .حاشية الاربعين حديثاً، ج 5، ص 657.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العقد الفضولي، ج 11، ص172.</w:t>
      </w:r>
    </w:p>
    <w:p>
      <w:pPr>
        <w:pStyle w:val="BookText"/>
      </w:pPr>
      <w:r>
        <w:rPr>
          <w:rFonts w:ascii="Amiri" w:hAnsi="Amiri" w:eastAsia="Amiri" w:cs="Amiri"/>
          <w:lang w:bidi="ar-SA"/>
          <w:color w:val="111111"/>
          <w:sz w:val="28"/>
          <w:szCs w:val="28"/>
          <w:rtl/>
        </w:rPr>
        <w:t xml:space="preserve">4 .مفتاح الفلاح و مصباح النجاح في شرح دعاء الصباح، ج 15 ، ص 219.</w:t>
      </w:r>
    </w:p>
    <w:p>
      <w:pPr>
        <w:pStyle w:val="Heading2"/>
      </w:pPr>
      <w:bookmarkStart w:id="4217" w:name="_Toc3319"/>
      <w:r>
        <w:t>خواجوي كرماني ، محمود بن علي 689 -</w:t>
      </w:r>
      <w:bookmarkEnd w:id="4217"/>
    </w:p>
    <w:p>
      <w:pPr>
        <w:pStyle w:val="BookText"/>
      </w:pPr>
      <w:r>
        <w:rPr>
          <w:rFonts w:ascii="IRNazanin" w:hAnsi="IRNazanin" w:eastAsia="IRNazanin" w:cs="IRNazanin"/>
          <w:lang w:bidi="fa-IR"/>
          <w:color w:val="111111"/>
          <w:sz w:val="28"/>
          <w:szCs w:val="28"/>
          <w:rtl/>
        </w:rPr>
        <w:t xml:space="preserve">753 ه-</w:t>
      </w:r>
    </w:p>
    <w:p>
      <w:pPr>
        <w:pStyle w:val="BookText"/>
      </w:pPr>
      <w:r>
        <w:rPr>
          <w:rFonts w:ascii="IRNazanin" w:hAnsi="IRNazanin" w:eastAsia="IRNazanin" w:cs="IRNazanin"/>
          <w:lang w:bidi="fa-IR"/>
          <w:color w:val="111111"/>
          <w:sz w:val="28"/>
          <w:szCs w:val="28"/>
          <w:rtl/>
        </w:rPr>
        <w:t xml:space="preserve">قصيدة در مدح امیرالمؤمنین، ج 12، ص 669</w:t>
      </w:r>
    </w:p>
    <w:p>
      <w:pPr>
        <w:pStyle w:val="Heading2"/>
      </w:pPr>
      <w:bookmarkStart w:id="4218" w:name="_Toc3320"/>
      <w:r>
        <w:t>خوارزمي ، ابو علي بن عبدالجليل</w:t>
      </w:r>
      <w:bookmarkEnd w:id="4218"/>
    </w:p>
    <w:p>
      <w:pPr>
        <w:pStyle w:val="BookText"/>
      </w:pPr>
      <w:r>
        <w:rPr>
          <w:rFonts w:ascii="IRNazanin" w:hAnsi="IRNazanin" w:eastAsia="IRNazanin" w:cs="IRNazanin"/>
          <w:lang w:bidi="fa-IR"/>
          <w:color w:val="111111"/>
          <w:sz w:val="28"/>
          <w:szCs w:val="28"/>
          <w:rtl/>
        </w:rPr>
        <w:t xml:space="preserve">جر الاثقال، ج 5، ص 377</w:t>
      </w:r>
    </w:p>
    <w:p>
      <w:pPr>
        <w:pStyle w:val="BookText"/>
      </w:pPr>
      <w:r>
        <w:rPr>
          <w:rFonts w:ascii="Amiri" w:hAnsi="Amiri" w:eastAsia="Amiri" w:cs="Amiri"/>
          <w:lang w:bidi="ar-SA"/>
          <w:color w:val="111111"/>
          <w:sz w:val="28"/>
          <w:szCs w:val="28"/>
          <w:rtl/>
        </w:rPr>
        <w:t xml:space="preserve">خوارزمي ، احمد بن عمر- نجم الدين</w:t>
      </w:r>
    </w:p>
    <w:p>
      <w:pPr>
        <w:pStyle w:val="BookText"/>
      </w:pPr>
      <w:r>
        <w:rPr>
          <w:rFonts w:ascii="IRNazanin" w:hAnsi="IRNazanin" w:eastAsia="IRNazanin" w:cs="IRNazanin"/>
          <w:lang w:bidi="fa-IR"/>
          <w:color w:val="111111"/>
          <w:sz w:val="28"/>
          <w:szCs w:val="28"/>
          <w:rtl/>
        </w:rPr>
        <w:t xml:space="preserve">کبری، احمد بن عمر</w:t>
      </w:r>
    </w:p>
    <w:p>
      <w:pPr>
        <w:pStyle w:val="BookText"/>
      </w:pPr>
      <w:r>
        <w:rPr>
          <w:rFonts w:ascii="Amiri" w:hAnsi="Amiri" w:eastAsia="Amiri" w:cs="Amiri"/>
          <w:lang w:bidi="ar-SA"/>
          <w:color w:val="111111"/>
          <w:sz w:val="28"/>
          <w:szCs w:val="28"/>
          <w:rtl/>
        </w:rPr>
        <w:t xml:space="preserve">خوارزمي ، احمد بن محمود- قاضي زاده ، احمد بن محمود</w:t>
      </w:r>
    </w:p>
    <w:p>
      <w:pPr>
        <w:pStyle w:val="BookText"/>
      </w:pPr>
      <w:r>
        <w:rPr>
          <w:rFonts w:ascii="Amiri" w:hAnsi="Amiri" w:eastAsia="Amiri" w:cs="Amiri"/>
          <w:lang w:bidi="ar-SA"/>
          <w:color w:val="111111"/>
          <w:sz w:val="28"/>
          <w:szCs w:val="28"/>
          <w:rtl/>
        </w:rPr>
        <w:t xml:space="preserve">خوارزمي بخاري ، عليشاه بن</w:t>
      </w:r>
    </w:p>
    <w:p>
      <w:pPr>
        <w:pStyle w:val="BookText"/>
      </w:pPr>
      <w:r>
        <w:rPr>
          <w:rFonts w:ascii="Amiri" w:hAnsi="Amiri" w:eastAsia="Amiri" w:cs="Amiri"/>
          <w:lang w:bidi="ar-SA"/>
          <w:color w:val="111111"/>
          <w:sz w:val="28"/>
          <w:szCs w:val="28"/>
          <w:rtl/>
        </w:rPr>
        <w:t xml:space="preserve">محمد ب-خاري خوارزمي ، عليشاه بن محمّد</w:t>
      </w:r>
    </w:p>
    <w:p>
      <w:pPr>
        <w:pStyle w:val="BookText"/>
      </w:pPr>
      <w:r>
        <w:rPr>
          <w:rFonts w:ascii="Amiri" w:hAnsi="Amiri" w:eastAsia="Amiri" w:cs="Amiri"/>
          <w:lang w:bidi="ar-SA"/>
          <w:color w:val="111111"/>
          <w:sz w:val="28"/>
          <w:szCs w:val="28"/>
          <w:rtl/>
        </w:rPr>
        <w:t xml:space="preserve">خوارزمي ، جلال الدين بن شمس</w:t>
      </w:r>
    </w:p>
    <w:p>
      <w:pPr>
        <w:pStyle w:val="BookText"/>
      </w:pPr>
      <w:r>
        <w:rPr>
          <w:rFonts w:ascii="Amiri" w:hAnsi="Amiri" w:eastAsia="Amiri" w:cs="Amiri"/>
          <w:lang w:bidi="ar-SA"/>
          <w:color w:val="111111"/>
          <w:sz w:val="28"/>
          <w:szCs w:val="28"/>
          <w:rtl/>
        </w:rPr>
        <w:t xml:space="preserve">الدين -كرلاني ، جلال الدين بن شمس الدين</w:t>
      </w:r>
    </w:p>
    <w:p>
      <w:pPr>
        <w:pStyle w:val="BookText"/>
      </w:pPr>
      <w:r>
        <w:rPr>
          <w:rFonts w:ascii="Amiri" w:hAnsi="Amiri" w:eastAsia="Amiri" w:cs="Amiri"/>
          <w:lang w:bidi="ar-SA"/>
          <w:color w:val="111111"/>
          <w:sz w:val="28"/>
          <w:szCs w:val="28"/>
          <w:rtl/>
        </w:rPr>
        <w:t xml:space="preserve">خوارزمي ، طاهر بن سلام -انصاري</w:t>
      </w:r>
    </w:p>
    <w:p>
      <w:pPr>
        <w:pStyle w:val="BookText"/>
      </w:pPr>
      <w:r>
        <w:rPr>
          <w:rFonts w:ascii="IRNazanin" w:hAnsi="IRNazanin" w:eastAsia="IRNazanin" w:cs="IRNazanin"/>
          <w:lang w:bidi="fa-IR"/>
          <w:color w:val="111111"/>
          <w:sz w:val="28"/>
          <w:szCs w:val="28"/>
          <w:rtl/>
        </w:rPr>
        <w:t xml:space="preserve">طاهر بن سلام</w:t>
      </w:r>
    </w:p>
    <w:p>
      <w:pPr>
        <w:pStyle w:val="BookText"/>
      </w:pPr>
      <w:r>
        <w:rPr>
          <w:rFonts w:ascii="Amiri" w:hAnsi="Amiri" w:eastAsia="Amiri" w:cs="Amiri"/>
          <w:lang w:bidi="ar-SA"/>
          <w:color w:val="111111"/>
          <w:sz w:val="28"/>
          <w:szCs w:val="28"/>
          <w:rtl/>
        </w:rPr>
        <w:t xml:space="preserve">خوارزمي ، عبد الرحيم بن عمر -ترجماني</w:t>
      </w:r>
    </w:p>
    <w:p>
      <w:pPr>
        <w:pStyle w:val="BookText"/>
      </w:pPr>
      <w:r>
        <w:rPr>
          <w:rFonts w:ascii="Amiri" w:hAnsi="Amiri" w:eastAsia="Amiri" w:cs="Amiri"/>
          <w:lang w:bidi="ar-SA"/>
          <w:color w:val="111111"/>
          <w:sz w:val="28"/>
          <w:szCs w:val="28"/>
          <w:rtl/>
        </w:rPr>
        <w:t xml:space="preserve">عبد الرحيم بن عمر</w:t>
      </w:r>
    </w:p>
    <w:p>
      <w:pPr>
        <w:pStyle w:val="BookText"/>
      </w:pPr>
      <w:r>
        <w:rPr>
          <w:rFonts w:ascii="Amiri" w:hAnsi="Amiri" w:eastAsia="Amiri" w:cs="Amiri"/>
          <w:lang w:bidi="ar-SA"/>
          <w:color w:val="111111"/>
          <w:sz w:val="28"/>
          <w:szCs w:val="28"/>
          <w:rtl/>
        </w:rPr>
        <w:t xml:space="preserve">خوارزمي ، علي بن محمّد- عمراني ، علي بن محمّد</w:t>
      </w:r>
    </w:p>
    <w:p>
      <w:pPr>
        <w:pStyle w:val="BookText"/>
      </w:pPr>
      <w:r>
        <w:rPr>
          <w:rFonts w:ascii="Amiri" w:hAnsi="Amiri" w:eastAsia="Amiri" w:cs="Amiri"/>
          <w:lang w:bidi="ar-SA"/>
          <w:color w:val="111111"/>
          <w:sz w:val="28"/>
          <w:szCs w:val="28"/>
          <w:rtl/>
        </w:rPr>
        <w:t xml:space="preserve">خوارزمي ، عليشاه بن محمّد -خوارزمي ، عليشاه بن محمّد بخاري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0" w:name="pg7742_70336"/>
    <w:bookmarkEnd w:id="470"/>
    <w:p>
      <w:pPr>
        <w:pStyle w:val="Heading2"/>
      </w:pPr>
      <w:bookmarkStart w:id="4219" w:name="_Toc3321"/>
      <w:r>
        <w:t>خوارزمي ، قاسم بن حسين 555-617 ه-</w:t>
      </w:r>
      <w:bookmarkEnd w:id="4219"/>
    </w:p>
    <w:p>
      <w:pPr>
        <w:pStyle w:val="BookText"/>
      </w:pPr>
      <w:r>
        <w:rPr>
          <w:rFonts w:ascii="Amiri" w:hAnsi="Amiri" w:eastAsia="Amiri" w:cs="Amiri"/>
          <w:lang w:bidi="ar-SA"/>
          <w:color w:val="111111"/>
          <w:sz w:val="28"/>
          <w:szCs w:val="28"/>
          <w:rtl/>
        </w:rPr>
        <w:t xml:space="preserve">ضرام السقط في شرح السقط، ج10، 838 ه-</w:t>
      </w:r>
    </w:p>
    <w:p>
      <w:pPr>
        <w:pStyle w:val="BookText"/>
      </w:pPr>
      <w:r>
        <w:rPr>
          <w:rFonts w:ascii="Amiri" w:hAnsi="Amiri" w:eastAsia="Amiri" w:cs="Amiri"/>
          <w:lang w:bidi="ar-SA"/>
          <w:color w:val="111111"/>
          <w:sz w:val="28"/>
          <w:szCs w:val="28"/>
          <w:rtl/>
        </w:rPr>
        <w:t xml:space="preserve">خوارزمي ، محمّد بن ابو القاسم- بقالي</w:t>
      </w:r>
    </w:p>
    <w:p>
      <w:pPr>
        <w:pStyle w:val="BookText"/>
      </w:pPr>
      <w:r>
        <w:rPr>
          <w:rFonts w:ascii="IRNazanin" w:hAnsi="IRNazanin" w:eastAsia="IRNazanin" w:cs="IRNazanin"/>
          <w:lang w:bidi="fa-IR"/>
          <w:color w:val="111111"/>
          <w:sz w:val="28"/>
          <w:szCs w:val="28"/>
          <w:rtl/>
        </w:rPr>
        <w:t xml:space="preserve">محمّد بن ابوالقاسم</w:t>
      </w:r>
    </w:p>
    <w:p>
      <w:pPr>
        <w:pStyle w:val="Heading2"/>
      </w:pPr>
      <w:bookmarkStart w:id="4220" w:name="_Toc3322"/>
      <w:r>
        <w:t>خوارزمي محمّد بن عباس 323-383؟ه-</w:t>
      </w:r>
      <w:bookmarkEnd w:id="4220"/>
    </w:p>
    <w:p>
      <w:pPr>
        <w:pStyle w:val="BookText"/>
      </w:pPr>
      <w:r>
        <w:rPr>
          <w:rFonts w:ascii="Amiri" w:hAnsi="Amiri" w:eastAsia="Amiri" w:cs="Amiri"/>
          <w:lang w:bidi="ar-SA"/>
          <w:color w:val="111111"/>
          <w:sz w:val="28"/>
          <w:szCs w:val="28"/>
          <w:rtl/>
        </w:rPr>
        <w:t xml:space="preserve">رسائل الخوارزمي، ج8، ص138.</w:t>
      </w:r>
    </w:p>
    <w:p>
      <w:pPr>
        <w:pStyle w:val="Heading2"/>
      </w:pPr>
      <w:bookmarkStart w:id="4221" w:name="_Toc3323"/>
      <w:r>
        <w:t>خوارزمي محمّد بن محمود، 593-655ه-</w:t>
      </w:r>
      <w:bookmarkEnd w:id="4221"/>
    </w:p>
    <w:p>
      <w:pPr>
        <w:pStyle w:val="BookText"/>
      </w:pPr>
      <w:r>
        <w:rPr>
          <w:rFonts w:ascii="Amiri" w:hAnsi="Amiri" w:eastAsia="Amiri" w:cs="Amiri"/>
          <w:lang w:bidi="ar-SA"/>
          <w:color w:val="111111"/>
          <w:sz w:val="28"/>
          <w:szCs w:val="28"/>
          <w:rtl/>
        </w:rPr>
        <w:t xml:space="preserve">1 .جامع المسانيد، ج5، ص328</w:t>
      </w:r>
    </w:p>
    <w:p>
      <w:pPr>
        <w:pStyle w:val="BookText"/>
      </w:pPr>
      <w:r>
        <w:rPr>
          <w:rFonts w:ascii="IRNazanin" w:hAnsi="IRNazanin" w:eastAsia="IRNazanin" w:cs="IRNazanin"/>
          <w:lang w:bidi="fa-IR"/>
          <w:color w:val="111111"/>
          <w:sz w:val="28"/>
          <w:szCs w:val="28"/>
          <w:rtl/>
        </w:rPr>
        <w:t xml:space="preserve">2 .مناقب امیر المؤمنين (ع)، ج 15 ،</w:t>
      </w:r>
    </w:p>
    <w:p>
      <w:pPr>
        <w:pStyle w:val="BookText"/>
      </w:pPr>
      <w:r>
        <w:rPr>
          <w:rFonts w:ascii="IRNazanin" w:hAnsi="IRNazanin" w:eastAsia="IRNazanin" w:cs="IRNazanin"/>
          <w:lang w:bidi="fa-IR"/>
          <w:color w:val="111111"/>
          <w:sz w:val="28"/>
          <w:szCs w:val="28"/>
          <w:rtl/>
        </w:rPr>
        <w:t xml:space="preserve">ص 542.</w:t>
      </w:r>
    </w:p>
    <w:p>
      <w:pPr>
        <w:pStyle w:val="BookText"/>
      </w:pPr>
      <w:r>
        <w:rPr>
          <w:rFonts w:ascii="Amiri" w:hAnsi="Amiri" w:eastAsia="Amiri" w:cs="Amiri"/>
          <w:lang w:bidi="ar-SA"/>
          <w:color w:val="111111"/>
          <w:sz w:val="28"/>
          <w:szCs w:val="28"/>
          <w:rtl/>
        </w:rPr>
        <w:t xml:space="preserve">خوارزمي ، موفق بن احمد- اخطب</w:t>
      </w:r>
    </w:p>
    <w:p>
      <w:pPr>
        <w:pStyle w:val="BookText"/>
      </w:pPr>
      <w:r>
        <w:rPr>
          <w:rFonts w:ascii="IRNazanin" w:hAnsi="IRNazanin" w:eastAsia="IRNazanin" w:cs="IRNazanin"/>
          <w:lang w:bidi="fa-IR"/>
          <w:color w:val="111111"/>
          <w:sz w:val="28"/>
          <w:szCs w:val="28"/>
          <w:rtl/>
        </w:rPr>
        <w:t xml:space="preserve">خوارزم، موفق بن احمد</w:t>
      </w:r>
    </w:p>
    <w:p>
      <w:pPr>
        <w:pStyle w:val="BookText"/>
      </w:pPr>
      <w:r>
        <w:rPr>
          <w:rFonts w:ascii="Amiri" w:hAnsi="Amiri" w:eastAsia="Amiri" w:cs="Amiri"/>
          <w:lang w:bidi="ar-SA"/>
          <w:color w:val="111111"/>
          <w:sz w:val="28"/>
          <w:szCs w:val="28"/>
          <w:rtl/>
        </w:rPr>
        <w:t xml:space="preserve">خوارزمي ، موفق بن محمّد- خاصي</w:t>
      </w:r>
    </w:p>
    <w:p>
      <w:pPr>
        <w:pStyle w:val="BookText"/>
      </w:pPr>
      <w:r>
        <w:rPr>
          <w:rFonts w:ascii="IRNazanin" w:hAnsi="IRNazanin" w:eastAsia="IRNazanin" w:cs="IRNazanin"/>
          <w:lang w:bidi="fa-IR"/>
          <w:color w:val="111111"/>
          <w:sz w:val="28"/>
          <w:szCs w:val="28"/>
          <w:rtl/>
        </w:rPr>
        <w:t xml:space="preserve">موفق بن محمّد</w:t>
      </w:r>
    </w:p>
    <w:p>
      <w:pPr>
        <w:pStyle w:val="Heading2"/>
      </w:pPr>
      <w:bookmarkStart w:id="4222" w:name="_Toc3324"/>
      <w:r>
        <w:t>خوارزمي ، منصور بن احمد - 775؟ ه-</w:t>
      </w:r>
      <w:bookmarkEnd w:id="4222"/>
    </w:p>
    <w:p>
      <w:pPr>
        <w:pStyle w:val="BookText"/>
      </w:pPr>
      <w:r>
        <w:rPr>
          <w:rFonts w:ascii="Amiri" w:hAnsi="Amiri" w:eastAsia="Amiri" w:cs="Amiri"/>
          <w:lang w:bidi="ar-SA"/>
          <w:color w:val="111111"/>
          <w:sz w:val="28"/>
          <w:szCs w:val="28"/>
          <w:rtl/>
        </w:rPr>
        <w:t xml:space="preserve">كشف الستور المسدلة عن أوجه أسرار</w:t>
      </w:r>
    </w:p>
    <w:p>
      <w:pPr>
        <w:pStyle w:val="BookText"/>
      </w:pPr>
      <w:r>
        <w:rPr>
          <w:rFonts w:ascii="Amiri" w:hAnsi="Amiri" w:eastAsia="Amiri" w:cs="Amiri"/>
          <w:lang w:bidi="ar-SA"/>
          <w:color w:val="111111"/>
          <w:sz w:val="28"/>
          <w:szCs w:val="28"/>
          <w:rtl/>
        </w:rPr>
        <w:t xml:space="preserve">البسملة، ج13، ص219.</w:t>
      </w:r>
    </w:p>
    <w:p>
      <w:pPr>
        <w:pStyle w:val="Heading2"/>
      </w:pPr>
      <w:bookmarkStart w:id="4223" w:name="_Toc3325"/>
      <w:r>
        <w:t>خواري ، محمّد بن محمود</w:t>
      </w:r>
      <w:bookmarkEnd w:id="4223"/>
    </w:p>
    <w:p>
      <w:pPr>
        <w:pStyle w:val="BookText"/>
      </w:pPr>
      <w:r>
        <w:rPr>
          <w:rFonts w:ascii="Amiri" w:hAnsi="Amiri" w:eastAsia="Amiri" w:cs="Amiri"/>
          <w:lang w:bidi="ar-SA"/>
          <w:color w:val="111111"/>
          <w:sz w:val="28"/>
          <w:szCs w:val="28"/>
          <w:rtl/>
        </w:rPr>
        <w:t xml:space="preserve">الرسالة العملية، ج8، ص231.</w:t>
      </w:r>
    </w:p>
    <w:p>
      <w:pPr>
        <w:pStyle w:val="BookText"/>
      </w:pPr>
      <w:r>
        <w:rPr>
          <w:rFonts w:ascii="Amiri" w:hAnsi="Amiri" w:eastAsia="Amiri" w:cs="Amiri"/>
          <w:lang w:bidi="ar-SA"/>
          <w:color w:val="111111"/>
          <w:sz w:val="28"/>
          <w:szCs w:val="28"/>
          <w:rtl/>
        </w:rPr>
        <w:t xml:space="preserve">خواص ، احمد بن عباد -قنائي ، احمد بن عباد</w:t>
      </w:r>
    </w:p>
    <w:p>
      <w:pPr>
        <w:pStyle w:val="BookText"/>
      </w:pPr>
      <w:r>
        <w:rPr>
          <w:rFonts w:ascii="Amiri" w:hAnsi="Amiri" w:eastAsia="Amiri" w:cs="Amiri"/>
          <w:lang w:bidi="ar-SA"/>
          <w:color w:val="111111"/>
          <w:sz w:val="28"/>
          <w:szCs w:val="28"/>
          <w:rtl/>
        </w:rPr>
        <w:t xml:space="preserve">خواص ، جعفر بن محمّد- خلدي ، جعفر</w:t>
      </w:r>
    </w:p>
    <w:p>
      <w:pPr>
        <w:pStyle w:val="BookText"/>
      </w:pPr>
      <w:r>
        <w:rPr>
          <w:rFonts w:ascii="Amiri" w:hAnsi="Amiri" w:eastAsia="Amiri" w:cs="Amiri"/>
          <w:lang w:bidi="ar-SA"/>
          <w:color w:val="111111"/>
          <w:sz w:val="28"/>
          <w:szCs w:val="28"/>
          <w:rtl/>
        </w:rPr>
        <w:t xml:space="preserve">بن محمّد</w:t>
      </w:r>
    </w:p>
    <w:p>
      <w:pPr>
        <w:pStyle w:val="Heading2"/>
      </w:pPr>
      <w:bookmarkStart w:id="4224" w:name="_Toc3326"/>
      <w:r>
        <w:t>خوافي برآبادي، محمّد بن محمّد 757 -</w:t>
      </w:r>
      <w:bookmarkEnd w:id="4224"/>
    </w:p>
    <w:p>
      <w:pPr>
        <w:pStyle w:val="BookText"/>
      </w:pPr>
      <w:r>
        <w:rPr>
          <w:rFonts w:ascii="IRNazanin" w:hAnsi="IRNazanin" w:eastAsia="IRNazanin" w:cs="IRNazanin"/>
          <w:lang w:bidi="fa-IR"/>
          <w:color w:val="111111"/>
          <w:sz w:val="28"/>
          <w:szCs w:val="28"/>
          <w:rtl/>
        </w:rPr>
        <w:t xml:space="preserve">ص 691 .</w:t>
      </w:r>
    </w:p>
    <w:p>
      <w:pPr>
        <w:pStyle w:val="BookText"/>
      </w:pPr>
      <w:r>
        <w:rPr>
          <w:rFonts w:ascii="Amiri" w:hAnsi="Amiri" w:eastAsia="Amiri" w:cs="Amiri"/>
          <w:lang w:bidi="ar-SA"/>
          <w:color w:val="111111"/>
          <w:sz w:val="28"/>
          <w:szCs w:val="28"/>
          <w:rtl/>
        </w:rPr>
        <w:t xml:space="preserve">التصوف (رسالة في)، ج4، ص 428.</w:t>
      </w:r>
    </w:p>
    <w:p>
      <w:pPr>
        <w:pStyle w:val="BookText"/>
      </w:pPr>
      <w:r>
        <w:rPr>
          <w:rFonts w:ascii="IRNazanin" w:hAnsi="IRNazanin" w:eastAsia="IRNazanin" w:cs="IRNazanin"/>
          <w:lang w:bidi="fa-IR"/>
          <w:color w:val="111111"/>
          <w:sz w:val="28"/>
          <w:szCs w:val="28"/>
          <w:rtl/>
        </w:rPr>
        <w:t xml:space="preserve">خوافي ، محمّد بن حسام الدین- ابن</w:t>
      </w:r>
    </w:p>
    <w:p>
      <w:pPr>
        <w:pStyle w:val="BookText"/>
      </w:pPr>
      <w:r>
        <w:rPr>
          <w:rFonts w:ascii="IRNazanin" w:hAnsi="IRNazanin" w:eastAsia="IRNazanin" w:cs="IRNazanin"/>
          <w:lang w:bidi="fa-IR"/>
          <w:color w:val="111111"/>
          <w:sz w:val="28"/>
          <w:szCs w:val="28"/>
          <w:rtl/>
        </w:rPr>
        <w:t xml:space="preserve">حسام ، محمّد بن حسام الدین</w:t>
      </w:r>
    </w:p>
    <w:p>
      <w:pPr>
        <w:pStyle w:val="Heading2"/>
      </w:pPr>
      <w:bookmarkStart w:id="4225" w:name="_Toc3327"/>
      <w:r>
        <w:t>خواند میر، غیاث الدين بن همام الدين</w:t>
      </w:r>
      <w:bookmarkEnd w:id="4225"/>
    </w:p>
    <w:p>
      <w:pPr>
        <w:pStyle w:val="BookText"/>
      </w:pPr>
      <w:r>
        <w:rPr>
          <w:rFonts w:ascii="IRNazanin" w:hAnsi="IRNazanin" w:eastAsia="IRNazanin" w:cs="IRNazanin"/>
          <w:lang w:bidi="fa-IR"/>
          <w:color w:val="111111"/>
          <w:sz w:val="28"/>
          <w:szCs w:val="28"/>
          <w:rtl/>
        </w:rPr>
        <w:t xml:space="preserve">880 - 942 ه-</w:t>
      </w:r>
    </w:p>
    <w:p>
      <w:pPr>
        <w:pStyle w:val="BookText"/>
      </w:pPr>
      <w:r>
        <w:rPr>
          <w:rFonts w:ascii="Amiri" w:hAnsi="Amiri" w:eastAsia="Amiri" w:cs="Amiri"/>
          <w:lang w:bidi="ar-SA"/>
          <w:color w:val="111111"/>
          <w:sz w:val="28"/>
          <w:szCs w:val="28"/>
          <w:rtl/>
        </w:rPr>
        <w:t xml:space="preserve">حبيب السير في اخبار افراد البشر، ج6،</w:t>
      </w:r>
    </w:p>
    <w:p>
      <w:pPr>
        <w:pStyle w:val="BookText"/>
      </w:pPr>
      <w:r>
        <w:rPr>
          <w:rFonts w:ascii="IRNazanin" w:hAnsi="IRNazanin" w:eastAsia="IRNazanin" w:cs="IRNazanin"/>
          <w:lang w:bidi="fa-IR"/>
          <w:color w:val="111111"/>
          <w:sz w:val="28"/>
          <w:szCs w:val="28"/>
          <w:rtl/>
        </w:rPr>
        <w:t xml:space="preserve">ص 472 .</w:t>
      </w:r>
    </w:p>
    <w:p>
      <w:pPr>
        <w:pStyle w:val="BookText"/>
      </w:pPr>
      <w:r>
        <w:rPr>
          <w:rFonts w:ascii="IRNazanin" w:hAnsi="IRNazanin" w:eastAsia="IRNazanin" w:cs="IRNazanin"/>
          <w:lang w:bidi="fa-IR"/>
          <w:color w:val="111111"/>
          <w:sz w:val="28"/>
          <w:szCs w:val="28"/>
          <w:rtl/>
        </w:rPr>
        <w:t xml:space="preserve">خوانساری ، آقا جمال آقا -جمال</w:t>
      </w:r>
    </w:p>
    <w:p>
      <w:pPr>
        <w:pStyle w:val="BookText"/>
      </w:pPr>
      <w:r>
        <w:rPr>
          <w:rFonts w:ascii="IRNazanin" w:hAnsi="IRNazanin" w:eastAsia="IRNazanin" w:cs="IRNazanin"/>
          <w:lang w:bidi="fa-IR"/>
          <w:color w:val="111111"/>
          <w:sz w:val="28"/>
          <w:szCs w:val="28"/>
          <w:rtl/>
        </w:rPr>
        <w:t xml:space="preserve">خوانساری ، محمّد بن حسين</w:t>
      </w:r>
    </w:p>
    <w:p>
      <w:pPr>
        <w:pStyle w:val="BookText"/>
      </w:pPr>
      <w:r>
        <w:rPr>
          <w:rFonts w:ascii="Amiri" w:hAnsi="Amiri" w:eastAsia="Amiri" w:cs="Amiri"/>
          <w:lang w:bidi="ar-SA"/>
          <w:color w:val="111111"/>
          <w:sz w:val="28"/>
          <w:szCs w:val="28"/>
          <w:rtl/>
        </w:rPr>
        <w:t xml:space="preserve">خوانساري ، ابوالقاسم جعفر بن حسين- موسوي اصفهاني ، جعفر بن حسين</w:t>
      </w:r>
    </w:p>
    <w:p>
      <w:pPr>
        <w:pStyle w:val="Heading2"/>
      </w:pPr>
      <w:bookmarkStart w:id="4226" w:name="_Toc3328"/>
      <w:r>
        <w:t>خوانساري ، ابوتراب بن ابوالقاسم، 1271</w:t>
      </w:r>
      <w:bookmarkEnd w:id="42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1346 ه-</w:t>
      </w:r>
    </w:p>
    <w:p>
      <w:pPr>
        <w:pStyle w:val="BookText"/>
      </w:pPr>
      <w:r>
        <w:rPr>
          <w:rFonts w:ascii="Amiri" w:hAnsi="Amiri" w:eastAsia="Amiri" w:cs="Amiri"/>
          <w:lang w:bidi="ar-SA"/>
          <w:color w:val="111111"/>
          <w:sz w:val="28"/>
          <w:szCs w:val="28"/>
          <w:rtl/>
        </w:rPr>
        <w:t xml:space="preserve">1 .اجوبة المسائل البحرانية، ج1،</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Amiri" w:hAnsi="Amiri" w:eastAsia="Amiri" w:cs="Amiri"/>
          <w:lang w:bidi="ar-SA"/>
          <w:color w:val="111111"/>
          <w:sz w:val="28"/>
          <w:szCs w:val="28"/>
          <w:rtl/>
        </w:rPr>
        <w:t xml:space="preserve">2 .اصالة العدم، ج 2، ص 358.</w:t>
      </w:r>
    </w:p>
    <w:p>
      <w:pPr>
        <w:pStyle w:val="BookText"/>
      </w:pPr>
      <w:r>
        <w:rPr>
          <w:rFonts w:ascii="IRNazanin" w:hAnsi="IRNazanin" w:eastAsia="IRNazanin" w:cs="IRNazanin"/>
          <w:lang w:bidi="fa-IR"/>
          <w:color w:val="111111"/>
          <w:sz w:val="28"/>
          <w:szCs w:val="28"/>
          <w:rtl/>
        </w:rPr>
        <w:t xml:space="preserve">3.اصول الفقه، ج2، ص 438</w:t>
      </w:r>
    </w:p>
    <w:p>
      <w:pPr>
        <w:pStyle w:val="BookText"/>
      </w:pPr>
      <w:r>
        <w:rPr>
          <w:rFonts w:ascii="Amiri" w:hAnsi="Amiri" w:eastAsia="Amiri" w:cs="Amiri"/>
          <w:lang w:bidi="ar-SA"/>
          <w:color w:val="111111"/>
          <w:sz w:val="28"/>
          <w:szCs w:val="28"/>
          <w:rtl/>
        </w:rPr>
        <w:t xml:space="preserve">4 .حقيقة ماهيات الاحكام الوضعية و</w:t>
      </w:r>
    </w:p>
    <w:p>
      <w:pPr>
        <w:pStyle w:val="BookText"/>
      </w:pPr>
      <w:r>
        <w:rPr>
          <w:rFonts w:ascii="Amiri" w:hAnsi="Amiri" w:eastAsia="Amiri" w:cs="Amiri"/>
          <w:lang w:bidi="ar-SA"/>
          <w:color w:val="111111"/>
          <w:sz w:val="28"/>
          <w:szCs w:val="28"/>
          <w:rtl/>
        </w:rPr>
        <w:t xml:space="preserve">التكليفية، ج6، ص 711.</w:t>
      </w:r>
    </w:p>
    <w:p>
      <w:pPr>
        <w:pStyle w:val="BookText"/>
      </w:pPr>
      <w:r>
        <w:rPr>
          <w:rFonts w:ascii="Amiri" w:hAnsi="Amiri" w:eastAsia="Amiri" w:cs="Amiri"/>
          <w:lang w:bidi="ar-SA"/>
          <w:color w:val="111111"/>
          <w:sz w:val="28"/>
          <w:szCs w:val="28"/>
          <w:rtl/>
        </w:rPr>
        <w:t xml:space="preserve">5 .دوران الامر بين الاقل و الاكثر، ج7،</w:t>
      </w:r>
    </w:p>
    <w:p>
      <w:pPr>
        <w:pStyle w:val="BookText"/>
      </w:pPr>
      <w:r>
        <w:rPr>
          <w:rFonts w:ascii="IRNazanin" w:hAnsi="IRNazanin" w:eastAsia="IRNazanin" w:cs="IRNazanin"/>
          <w:lang w:bidi="fa-IR"/>
          <w:color w:val="111111"/>
          <w:sz w:val="28"/>
          <w:szCs w:val="28"/>
          <w:rtl/>
        </w:rPr>
        <w:t xml:space="preserve">ص 491.</w:t>
      </w:r>
    </w:p>
    <w:p>
      <w:pPr>
        <w:pStyle w:val="BookText"/>
      </w:pPr>
      <w:r>
        <w:rPr>
          <w:rFonts w:ascii="IRNazanin" w:hAnsi="IRNazanin" w:eastAsia="IRNazanin" w:cs="IRNazanin"/>
          <w:lang w:bidi="fa-IR"/>
          <w:color w:val="111111"/>
          <w:sz w:val="28"/>
          <w:szCs w:val="28"/>
          <w:rtl/>
        </w:rPr>
        <w:t xml:space="preserve">6 .سبل الرشاد، ج8، ص 704.</w:t>
      </w:r>
    </w:p>
    <w:p>
      <w:pPr>
        <w:pStyle w:val="BookText"/>
      </w:pPr>
      <w:r>
        <w:rPr>
          <w:rFonts w:ascii="Amiri" w:hAnsi="Amiri" w:eastAsia="Amiri" w:cs="Amiri"/>
          <w:lang w:bidi="ar-SA"/>
          <w:color w:val="111111"/>
          <w:sz w:val="28"/>
          <w:szCs w:val="28"/>
          <w:rtl/>
        </w:rPr>
        <w:t xml:space="preserve">7 .قصد السبيل في الاحكام المستنبطة</w:t>
      </w:r>
    </w:p>
    <w:p>
      <w:pPr>
        <w:pStyle w:val="BookText"/>
      </w:pPr>
      <w:r>
        <w:rPr>
          <w:rFonts w:ascii="Amiri" w:hAnsi="Amiri" w:eastAsia="Amiri" w:cs="Amiri"/>
          <w:lang w:bidi="ar-SA"/>
          <w:color w:val="111111"/>
          <w:sz w:val="28"/>
          <w:szCs w:val="28"/>
          <w:rtl/>
        </w:rPr>
        <w:t xml:space="preserve">من الدليل، ج 12، ص 620.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مصرف النذورات التي يهدي إلى المشاهد( رسالة في)، ج 14، ص 744.</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1" w:name="pg7742_70338"/>
    <w:bookmarkEnd w:id="471"/>
    <w:p>
      <w:pPr>
        <w:pStyle w:val="BookText"/>
      </w:pPr>
      <w:r>
        <w:rPr>
          <w:rFonts w:ascii="Amiri" w:hAnsi="Amiri" w:eastAsia="Amiri" w:cs="Amiri"/>
          <w:lang w:bidi="ar-SA"/>
          <w:color w:val="111111"/>
          <w:sz w:val="28"/>
          <w:szCs w:val="28"/>
          <w:rtl/>
        </w:rPr>
        <w:t xml:space="preserve">خوانساري اصفهاني ، جعفر بن</w:t>
      </w:r>
    </w:p>
    <w:p>
      <w:pPr>
        <w:pStyle w:val="BookText"/>
      </w:pPr>
      <w:r>
        <w:rPr>
          <w:rFonts w:ascii="Amiri" w:hAnsi="Amiri" w:eastAsia="Amiri" w:cs="Amiri"/>
          <w:lang w:bidi="ar-SA"/>
          <w:color w:val="111111"/>
          <w:sz w:val="28"/>
          <w:szCs w:val="28"/>
          <w:rtl/>
        </w:rPr>
        <w:t xml:space="preserve">حسين -موسوي اصفهاني ، جعفر بن حسين</w:t>
      </w:r>
    </w:p>
    <w:p>
      <w:pPr>
        <w:pStyle w:val="BookText"/>
      </w:pPr>
      <w:r>
        <w:rPr>
          <w:rFonts w:ascii="IRNazanin" w:hAnsi="IRNazanin" w:eastAsia="IRNazanin" w:cs="IRNazanin"/>
          <w:lang w:bidi="fa-IR"/>
          <w:color w:val="111111"/>
          <w:sz w:val="28"/>
          <w:szCs w:val="28"/>
          <w:rtl/>
        </w:rPr>
        <w:t xml:space="preserve">خوانساری ، امیر محمّد صادق -موسوي</w:t>
      </w:r>
    </w:p>
    <w:p>
      <w:pPr>
        <w:pStyle w:val="BookText"/>
      </w:pPr>
      <w:r>
        <w:rPr>
          <w:rFonts w:ascii="Amiri" w:hAnsi="Amiri" w:eastAsia="Amiri" w:cs="Amiri"/>
          <w:lang w:bidi="ar-SA"/>
          <w:color w:val="111111"/>
          <w:sz w:val="28"/>
          <w:szCs w:val="28"/>
          <w:rtl/>
        </w:rPr>
        <w:t xml:space="preserve">خوانساري ، امير محمّد صادق</w:t>
      </w:r>
    </w:p>
    <w:p>
      <w:pPr>
        <w:pStyle w:val="BookText"/>
      </w:pPr>
      <w:r>
        <w:rPr>
          <w:rFonts w:ascii="Amiri" w:hAnsi="Amiri" w:eastAsia="Amiri" w:cs="Amiri"/>
          <w:lang w:bidi="ar-SA"/>
          <w:color w:val="111111"/>
          <w:sz w:val="28"/>
          <w:szCs w:val="28"/>
          <w:rtl/>
        </w:rPr>
        <w:t xml:space="preserve">خوانساري ، جعفر بن حسين- موسوي</w:t>
      </w:r>
    </w:p>
    <w:p>
      <w:pPr>
        <w:pStyle w:val="BookText"/>
      </w:pPr>
      <w:r>
        <w:rPr>
          <w:rFonts w:ascii="Amiri" w:hAnsi="Amiri" w:eastAsia="Amiri" w:cs="Amiri"/>
          <w:lang w:bidi="ar-SA"/>
          <w:color w:val="111111"/>
          <w:sz w:val="28"/>
          <w:szCs w:val="28"/>
          <w:rtl/>
        </w:rPr>
        <w:t xml:space="preserve">اصفهاني ، جعفر بن حسين</w:t>
      </w:r>
    </w:p>
    <w:p>
      <w:pPr>
        <w:pStyle w:val="BookText"/>
      </w:pPr>
      <w:r>
        <w:rPr>
          <w:rFonts w:ascii="IRNazanin" w:hAnsi="IRNazanin" w:eastAsia="IRNazanin" w:cs="IRNazanin"/>
          <w:lang w:bidi="fa-IR"/>
          <w:color w:val="111111"/>
          <w:sz w:val="28"/>
          <w:szCs w:val="28"/>
          <w:rtl/>
        </w:rPr>
        <w:t xml:space="preserve">خوانساري ، جمال الدین- آقا جمال</w:t>
      </w:r>
    </w:p>
    <w:p>
      <w:pPr>
        <w:pStyle w:val="BookText"/>
      </w:pPr>
      <w:r>
        <w:rPr>
          <w:rFonts w:ascii="Amiri" w:hAnsi="Amiri" w:eastAsia="Amiri" w:cs="Amiri"/>
          <w:lang w:bidi="ar-SA"/>
          <w:color w:val="111111"/>
          <w:sz w:val="28"/>
          <w:szCs w:val="28"/>
          <w:rtl/>
        </w:rPr>
        <w:t xml:space="preserve">خوانساري ، محمّد بن حسين</w:t>
      </w:r>
    </w:p>
    <w:p>
      <w:pPr>
        <w:pStyle w:val="BookText"/>
      </w:pPr>
      <w:r>
        <w:rPr>
          <w:rFonts w:ascii="Amiri" w:hAnsi="Amiri" w:eastAsia="Amiri" w:cs="Amiri"/>
          <w:lang w:bidi="ar-SA"/>
          <w:color w:val="111111"/>
          <w:sz w:val="28"/>
          <w:szCs w:val="28"/>
          <w:rtl/>
        </w:rPr>
        <w:t xml:space="preserve">خوانساري ، حسين بن محمّد- محقق</w:t>
      </w:r>
    </w:p>
    <w:p>
      <w:pPr>
        <w:pStyle w:val="BookText"/>
      </w:pPr>
      <w:r>
        <w:rPr>
          <w:rFonts w:ascii="Amiri" w:hAnsi="Amiri" w:eastAsia="Amiri" w:cs="Amiri"/>
          <w:lang w:bidi="ar-SA"/>
          <w:color w:val="111111"/>
          <w:sz w:val="28"/>
          <w:szCs w:val="28"/>
          <w:rtl/>
        </w:rPr>
        <w:t xml:space="preserve">خوانساري ، حسين بن محمّد</w:t>
      </w:r>
    </w:p>
    <w:p>
      <w:pPr>
        <w:pStyle w:val="Heading2"/>
      </w:pPr>
      <w:bookmarkStart w:id="4227" w:name="_Toc3329"/>
      <w:r>
        <w:t>خوانساري ، حيدر بن محمّد -1050 ه-</w:t>
      </w:r>
      <w:bookmarkEnd w:id="4227"/>
    </w:p>
    <w:p>
      <w:pPr>
        <w:pStyle w:val="BookText"/>
      </w:pPr>
      <w:r>
        <w:rPr>
          <w:rFonts w:ascii="Amiri" w:hAnsi="Amiri" w:eastAsia="Amiri" w:cs="Amiri"/>
          <w:lang w:bidi="ar-SA"/>
          <w:color w:val="111111"/>
          <w:sz w:val="28"/>
          <w:szCs w:val="28"/>
          <w:rtl/>
        </w:rPr>
        <w:t xml:space="preserve">زبدة التصانيف، ج8، ص 570</w:t>
      </w:r>
    </w:p>
    <w:p>
      <w:pPr>
        <w:pStyle w:val="Heading2"/>
      </w:pPr>
      <w:bookmarkStart w:id="4228" w:name="_Toc3330"/>
      <w:r>
        <w:t>خوانساري ، رضي الدين محمّد بن حسين</w:t>
      </w:r>
      <w:bookmarkEnd w:id="42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1113ه-</w:t>
      </w:r>
    </w:p>
    <w:p>
      <w:pPr>
        <w:pStyle w:val="BookText"/>
      </w:pPr>
      <w:r>
        <w:rPr>
          <w:rFonts w:ascii="Amiri" w:hAnsi="Amiri" w:eastAsia="Amiri" w:cs="Amiri"/>
          <w:lang w:bidi="ar-SA"/>
          <w:color w:val="111111"/>
          <w:sz w:val="28"/>
          <w:szCs w:val="28"/>
          <w:rtl/>
        </w:rPr>
        <w:t xml:space="preserve">1 .زيارتنامه علي بن موسى الرضا</w:t>
      </w:r>
    </w:p>
    <w:p>
      <w:pPr>
        <w:pStyle w:val="BookText"/>
      </w:pPr>
      <w:r>
        <w:rPr>
          <w:rFonts w:ascii="IRNazanin" w:hAnsi="IRNazanin" w:eastAsia="IRNazanin" w:cs="IRNazanin"/>
          <w:lang w:bidi="fa-IR"/>
          <w:color w:val="111111"/>
          <w:sz w:val="28"/>
          <w:szCs w:val="28"/>
          <w:rtl/>
        </w:rPr>
        <w:t xml:space="preserve">ج 8 ص 654 .</w:t>
      </w:r>
    </w:p>
    <w:p>
      <w:pPr>
        <w:pStyle w:val="BookText"/>
      </w:pPr>
      <w:r>
        <w:rPr>
          <w:rFonts w:ascii="Amiri" w:hAnsi="Amiri" w:eastAsia="Amiri" w:cs="Amiri"/>
          <w:lang w:bidi="ar-SA"/>
          <w:color w:val="111111"/>
          <w:sz w:val="28"/>
          <w:szCs w:val="28"/>
          <w:rtl/>
        </w:rPr>
        <w:t xml:space="preserve">2 .صلاة الجمعة، ج 10، ص 602.</w:t>
      </w:r>
    </w:p>
    <w:p>
      <w:pPr>
        <w:pStyle w:val="Heading2"/>
      </w:pPr>
      <w:bookmarkStart w:id="4229" w:name="_Toc3331"/>
      <w:r>
        <w:t>خوانساري ، علي اكبر بن غلام حسن</w:t>
      </w:r>
      <w:bookmarkEnd w:id="4229"/>
    </w:p>
    <w:p>
      <w:pPr>
        <w:pStyle w:val="BookText"/>
      </w:pPr>
      <w:r>
        <w:rPr>
          <w:rFonts w:ascii="Amiri" w:hAnsi="Amiri" w:eastAsia="Amiri" w:cs="Amiri"/>
          <w:lang w:bidi="ar-SA"/>
          <w:color w:val="111111"/>
          <w:sz w:val="28"/>
          <w:szCs w:val="28"/>
          <w:rtl/>
        </w:rPr>
        <w:t xml:space="preserve">1 .صيد المحرم (رسالة في)، ج10،</w:t>
      </w:r>
    </w:p>
    <w:p>
      <w:pPr>
        <w:pStyle w:val="BookText"/>
      </w:pPr>
      <w:r>
        <w:rPr>
          <w:rFonts w:ascii="IRNazanin" w:hAnsi="IRNazanin" w:eastAsia="IRNazanin" w:cs="IRNazanin"/>
          <w:lang w:bidi="fa-IR"/>
          <w:color w:val="111111"/>
          <w:sz w:val="28"/>
          <w:szCs w:val="28"/>
          <w:rtl/>
        </w:rPr>
        <w:t xml:space="preserve">ص 673.</w:t>
      </w:r>
    </w:p>
    <w:p>
      <w:pPr>
        <w:pStyle w:val="BookText"/>
      </w:pPr>
      <w:r>
        <w:rPr>
          <w:rFonts w:ascii="Amiri" w:hAnsi="Amiri" w:eastAsia="Amiri" w:cs="Amiri"/>
          <w:lang w:bidi="ar-SA"/>
          <w:color w:val="111111"/>
          <w:sz w:val="28"/>
          <w:szCs w:val="28"/>
          <w:rtl/>
        </w:rPr>
        <w:t xml:space="preserve">2 .منار الهدى في شرح العروة الوثقى</w:t>
      </w:r>
    </w:p>
    <w:p>
      <w:pPr>
        <w:pStyle w:val="BookText"/>
      </w:pPr>
      <w:r>
        <w:rPr>
          <w:rFonts w:ascii="IRNazanin" w:hAnsi="IRNazanin" w:eastAsia="IRNazanin" w:cs="IRNazanin"/>
          <w:lang w:bidi="fa-IR"/>
          <w:color w:val="111111"/>
          <w:sz w:val="28"/>
          <w:szCs w:val="28"/>
          <w:rtl/>
        </w:rPr>
        <w:t xml:space="preserve">ج 15 ، ص 487 .</w:t>
      </w:r>
    </w:p>
    <w:p>
      <w:pPr>
        <w:pStyle w:val="BookText"/>
      </w:pPr>
      <w:r>
        <w:rPr>
          <w:rFonts w:ascii="Amiri" w:hAnsi="Amiri" w:eastAsia="Amiri" w:cs="Amiri"/>
          <w:lang w:bidi="ar-SA"/>
          <w:color w:val="111111"/>
          <w:sz w:val="28"/>
          <w:szCs w:val="28"/>
          <w:rtl/>
        </w:rPr>
        <w:t xml:space="preserve">خوانساري ، علي بن محمّد باقر- موسوي</w:t>
      </w:r>
    </w:p>
    <w:p>
      <w:pPr>
        <w:pStyle w:val="BookText"/>
      </w:pPr>
      <w:r>
        <w:rPr>
          <w:rFonts w:ascii="Amiri" w:hAnsi="Amiri" w:eastAsia="Amiri" w:cs="Amiri"/>
          <w:lang w:bidi="ar-SA"/>
          <w:color w:val="111111"/>
          <w:sz w:val="28"/>
          <w:szCs w:val="28"/>
          <w:rtl/>
        </w:rPr>
        <w:t xml:space="preserve">خوانساري ، علي بن محمّد باقر</w:t>
      </w:r>
    </w:p>
    <w:p>
      <w:pPr>
        <w:pStyle w:val="BookText"/>
      </w:pPr>
      <w:r>
        <w:rPr>
          <w:rFonts w:ascii="IRNazanin" w:hAnsi="IRNazanin" w:eastAsia="IRNazanin" w:cs="IRNazanin"/>
          <w:lang w:bidi="fa-IR"/>
          <w:color w:val="111111"/>
          <w:sz w:val="28"/>
          <w:szCs w:val="28"/>
          <w:rtl/>
        </w:rPr>
        <w:t xml:space="preserve">بن محمّد باقر</w:t>
      </w:r>
    </w:p>
    <w:p>
      <w:pPr>
        <w:pStyle w:val="BookText"/>
      </w:pPr>
      <w:r>
        <w:rPr>
          <w:rFonts w:ascii="IRNazanin" w:hAnsi="IRNazanin" w:eastAsia="IRNazanin" w:cs="IRNazanin"/>
          <w:lang w:bidi="fa-IR"/>
          <w:color w:val="111111"/>
          <w:sz w:val="28"/>
          <w:szCs w:val="28"/>
          <w:rtl/>
        </w:rPr>
        <w:t xml:space="preserve">خوانساري ، غلامحسین بن محمّد صادق</w:t>
      </w:r>
    </w:p>
    <w:p>
      <w:pPr>
        <w:pStyle w:val="BookText"/>
      </w:pPr>
      <w:r>
        <w:rPr>
          <w:rFonts w:ascii="IRNazanin" w:hAnsi="IRNazanin" w:eastAsia="IRNazanin" w:cs="IRNazanin"/>
          <w:lang w:bidi="fa-IR"/>
          <w:color w:val="111111"/>
          <w:sz w:val="28"/>
          <w:szCs w:val="28"/>
          <w:rtl/>
        </w:rPr>
        <w:t xml:space="preserve">قرن 14ه-</w:t>
      </w:r>
    </w:p>
    <w:p>
      <w:pPr>
        <w:pStyle w:val="BookText"/>
      </w:pPr>
      <w:r>
        <w:rPr>
          <w:rFonts w:ascii="Amiri" w:hAnsi="Amiri" w:eastAsia="Amiri" w:cs="Amiri"/>
          <w:lang w:bidi="ar-SA"/>
          <w:color w:val="111111"/>
          <w:sz w:val="28"/>
          <w:szCs w:val="28"/>
          <w:rtl/>
        </w:rPr>
        <w:t xml:space="preserve">1 .مسلكين، ج 14، ص 586.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وقائع الايام، ج 16، ص 862.</w:t>
      </w:r>
    </w:p>
    <w:p>
      <w:pPr>
        <w:pStyle w:val="Heading2"/>
      </w:pPr>
      <w:bookmarkStart w:id="4230" w:name="_Toc3332"/>
      <w:r>
        <w:t>خوانساري ، محمّد باقر بن زین العابدين</w:t>
      </w:r>
      <w:bookmarkEnd w:id="4230"/>
    </w:p>
    <w:p>
      <w:pPr>
        <w:pStyle w:val="BookText"/>
      </w:pPr>
      <w:r>
        <w:rPr>
          <w:rFonts w:ascii="IRNazanin" w:hAnsi="IRNazanin" w:eastAsia="IRNazanin" w:cs="IRNazanin"/>
          <w:lang w:bidi="fa-IR"/>
          <w:color w:val="111111"/>
          <w:sz w:val="28"/>
          <w:szCs w:val="28"/>
          <w:rtl/>
        </w:rPr>
        <w:t xml:space="preserve">1226 - 1313 ه-</w:t>
      </w:r>
    </w:p>
    <w:p>
      <w:pPr>
        <w:pStyle w:val="BookText"/>
      </w:pPr>
      <w:r>
        <w:rPr>
          <w:rFonts w:ascii="Amiri" w:hAnsi="Amiri" w:eastAsia="Amiri" w:cs="Amiri"/>
          <w:lang w:bidi="ar-SA"/>
          <w:color w:val="111111"/>
          <w:sz w:val="28"/>
          <w:szCs w:val="28"/>
          <w:rtl/>
        </w:rPr>
        <w:t xml:space="preserve">1 .اجازة للشيخ الشريعة الاصفهاني</w:t>
      </w:r>
    </w:p>
    <w:p>
      <w:pPr>
        <w:pStyle w:val="BookText"/>
      </w:pPr>
      <w:r>
        <w:rPr>
          <w:rFonts w:ascii="IRNazanin" w:hAnsi="IRNazanin" w:eastAsia="IRNazanin" w:cs="IRNazanin"/>
          <w:lang w:bidi="fa-IR"/>
          <w:color w:val="111111"/>
          <w:sz w:val="28"/>
          <w:szCs w:val="28"/>
          <w:rtl/>
        </w:rPr>
        <w:t xml:space="preserve">ج 1، ص 266 .</w:t>
      </w:r>
    </w:p>
    <w:p>
      <w:pPr>
        <w:pStyle w:val="BookText"/>
      </w:pPr>
      <w:r>
        <w:rPr>
          <w:rFonts w:ascii="Amiri" w:hAnsi="Amiri" w:eastAsia="Amiri" w:cs="Amiri"/>
          <w:lang w:bidi="ar-SA"/>
          <w:color w:val="111111"/>
          <w:sz w:val="28"/>
          <w:szCs w:val="28"/>
          <w:rtl/>
        </w:rPr>
        <w:t xml:space="preserve">2 .روضات الجنات في احوال العلماء و</w:t>
      </w:r>
    </w:p>
    <w:p>
      <w:pPr>
        <w:pStyle w:val="BookText"/>
      </w:pPr>
      <w:r>
        <w:rPr>
          <w:rFonts w:ascii="IRNazanin" w:hAnsi="IRNazanin" w:eastAsia="IRNazanin" w:cs="IRNazanin"/>
          <w:lang w:bidi="fa-IR"/>
          <w:color w:val="111111"/>
          <w:sz w:val="28"/>
          <w:szCs w:val="28"/>
          <w:rtl/>
        </w:rPr>
        <w:t xml:space="preserve">السادات، ج8، ص393.</w:t>
      </w:r>
    </w:p>
    <w:p>
      <w:pPr>
        <w:pStyle w:val="BookText"/>
      </w:pPr>
      <w:r>
        <w:rPr>
          <w:rFonts w:ascii="IRNazanin" w:hAnsi="IRNazanin" w:eastAsia="IRNazanin" w:cs="IRNazanin"/>
          <w:lang w:bidi="fa-IR"/>
          <w:color w:val="111111"/>
          <w:sz w:val="28"/>
          <w:szCs w:val="28"/>
          <w:rtl/>
        </w:rPr>
        <w:t xml:space="preserve">خوانساري ، محمّد حسین بن محمّد</w:t>
      </w:r>
    </w:p>
    <w:p>
      <w:pPr>
        <w:pStyle w:val="BookText"/>
      </w:pPr>
      <w:r>
        <w:rPr>
          <w:rFonts w:ascii="IRNazanin" w:hAnsi="IRNazanin" w:eastAsia="IRNazanin" w:cs="IRNazanin"/>
          <w:lang w:bidi="fa-IR"/>
          <w:color w:val="111111"/>
          <w:sz w:val="28"/>
          <w:szCs w:val="28"/>
          <w:rtl/>
        </w:rPr>
        <w:t xml:space="preserve">باقر -خوشنویس خوانساري ، محمّد حسن</w:t>
      </w:r>
    </w:p>
    <w:p>
      <w:pPr>
        <w:pStyle w:val="Heading2"/>
      </w:pPr>
      <w:bookmarkStart w:id="4231" w:name="_Toc3333"/>
      <w:r>
        <w:t>خوانساري ، محمّد هاشم بن زين</w:t>
      </w:r>
      <w:bookmarkEnd w:id="4231"/>
    </w:p>
    <w:p>
      <w:pPr>
        <w:pStyle w:val="BookText"/>
      </w:pPr>
      <w:r>
        <w:rPr>
          <w:rFonts w:ascii="Amiri" w:hAnsi="Amiri" w:eastAsia="Amiri" w:cs="Amiri"/>
          <w:lang w:bidi="ar-SA"/>
          <w:color w:val="111111"/>
          <w:sz w:val="28"/>
          <w:szCs w:val="28"/>
          <w:rtl/>
        </w:rPr>
        <w:t xml:space="preserve">،العابدين، 1235 - 1318 ه-</w:t>
      </w:r>
    </w:p>
    <w:p>
      <w:pPr>
        <w:pStyle w:val="BookText"/>
      </w:pPr>
      <w:r>
        <w:rPr>
          <w:rFonts w:ascii="IRNazanin" w:hAnsi="IRNazanin" w:eastAsia="IRNazanin" w:cs="IRNazanin"/>
          <w:lang w:bidi="fa-IR"/>
          <w:color w:val="111111"/>
          <w:sz w:val="28"/>
          <w:szCs w:val="28"/>
          <w:rtl/>
        </w:rPr>
        <w:t xml:space="preserve">اصول دین، ج 2، ص 418.</w:t>
      </w:r>
    </w:p>
    <w:p>
      <w:pPr>
        <w:pStyle w:val="Heading2"/>
      </w:pPr>
      <w:bookmarkStart w:id="4232" w:name="_Toc3334"/>
      <w:r>
        <w:t>خوانساري ملايري ، احمد بن عبدالله قرن</w:t>
      </w:r>
      <w:bookmarkEnd w:id="4232"/>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مصابيح الاصول، ج 14 ، ص 664 .</w:t>
      </w:r>
    </w:p>
    <w:p>
      <w:pPr>
        <w:pStyle w:val="Heading2"/>
      </w:pPr>
      <w:bookmarkStart w:id="4233" w:name="_Toc3335"/>
      <w:r>
        <w:t>خوانساري ، ميرزا محمّد حسن</w:t>
      </w:r>
      <w:bookmarkEnd w:id="4233"/>
    </w:p>
    <w:p>
      <w:pPr>
        <w:pStyle w:val="BookText"/>
      </w:pPr>
      <w:r>
        <w:rPr>
          <w:rFonts w:ascii="IRNazanin" w:hAnsi="IRNazanin" w:eastAsia="IRNazanin" w:cs="IRNazanin"/>
          <w:lang w:bidi="fa-IR"/>
          <w:color w:val="111111"/>
          <w:sz w:val="28"/>
          <w:szCs w:val="28"/>
          <w:rtl/>
        </w:rPr>
        <w:t xml:space="preserve">1 .متاجر الجواهر، ج 13، ص 746.</w:t>
      </w:r>
    </w:p>
    <w:p>
      <w:pPr>
        <w:pStyle w:val="BookText"/>
      </w:pPr>
      <w:r>
        <w:rPr>
          <w:rFonts w:ascii="Amiri" w:hAnsi="Amiri" w:eastAsia="Amiri" w:cs="Amiri"/>
          <w:lang w:bidi="ar-SA"/>
          <w:color w:val="111111"/>
          <w:sz w:val="28"/>
          <w:szCs w:val="28"/>
          <w:rtl/>
        </w:rPr>
        <w:t xml:space="preserve">2 .متشابه القرآن و المختلف فيه</w:t>
      </w:r>
    </w:p>
    <w:p>
      <w:pPr>
        <w:pStyle w:val="BookText"/>
      </w:pPr>
      <w:r>
        <w:rPr>
          <w:rFonts w:ascii="IRNazanin" w:hAnsi="IRNazanin" w:eastAsia="IRNazanin" w:cs="IRNazanin"/>
          <w:lang w:bidi="fa-IR"/>
          <w:color w:val="111111"/>
          <w:sz w:val="28"/>
          <w:szCs w:val="28"/>
          <w:rtl/>
        </w:rPr>
        <w:t xml:space="preserve">ج 13 ، ص 751.</w:t>
      </w:r>
    </w:p>
    <w:p>
      <w:pPr>
        <w:pStyle w:val="Heading2"/>
      </w:pPr>
      <w:bookmarkStart w:id="4234" w:name="_Toc3336"/>
      <w:r>
        <w:t>خوانساري نجفي ، علي اکبر</w:t>
      </w:r>
      <w:bookmarkEnd w:id="4234"/>
    </w:p>
    <w:p>
      <w:pPr>
        <w:pStyle w:val="BookText"/>
      </w:pPr>
      <w:r>
        <w:rPr>
          <w:rFonts w:ascii="Amiri" w:hAnsi="Amiri" w:eastAsia="Amiri" w:cs="Amiri"/>
          <w:lang w:bidi="ar-SA"/>
          <w:color w:val="111111"/>
          <w:sz w:val="28"/>
          <w:szCs w:val="28"/>
          <w:rtl/>
        </w:rPr>
        <w:t xml:space="preserve">حديث الكساء، ج 6 ، ص 575.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2" w:name="pg7742_70340"/>
    <w:bookmarkEnd w:id="472"/>
    <w:p>
      <w:pPr>
        <w:pStyle w:val="Heading2"/>
      </w:pPr>
      <w:bookmarkStart w:id="4235" w:name="_Toc3337"/>
      <w:r>
        <w:t>خوانساري نجفي ، موسى بن محمّد</w:t>
      </w:r>
      <w:bookmarkEnd w:id="4235"/>
    </w:p>
    <w:p>
      <w:pPr>
        <w:pStyle w:val="BookText"/>
      </w:pPr>
      <w:r>
        <w:rPr>
          <w:rFonts w:ascii="IRNazanin" w:hAnsi="IRNazanin" w:eastAsia="IRNazanin" w:cs="IRNazanin"/>
          <w:lang w:bidi="fa-IR"/>
          <w:color w:val="111111"/>
          <w:sz w:val="28"/>
          <w:szCs w:val="28"/>
          <w:rtl/>
        </w:rPr>
        <w:t xml:space="preserve">1322 ش</w:t>
      </w:r>
    </w:p>
    <w:p>
      <w:pPr>
        <w:pStyle w:val="BookText"/>
      </w:pPr>
      <w:r>
        <w:rPr>
          <w:rFonts w:ascii="Amiri" w:hAnsi="Amiri" w:eastAsia="Amiri" w:cs="Amiri"/>
          <w:lang w:bidi="ar-SA"/>
          <w:color w:val="111111"/>
          <w:sz w:val="28"/>
          <w:szCs w:val="28"/>
          <w:rtl/>
        </w:rPr>
        <w:t xml:space="preserve">1 .اجتماع الامر و النهي ( مجموعة</w:t>
      </w:r>
    </w:p>
    <w:p>
      <w:pPr>
        <w:pStyle w:val="BookText"/>
      </w:pPr>
      <w:r>
        <w:rPr>
          <w:rFonts w:ascii="Amiri" w:hAnsi="Amiri" w:eastAsia="Amiri" w:cs="Amiri"/>
          <w:lang w:bidi="ar-SA"/>
          <w:color w:val="111111"/>
          <w:sz w:val="28"/>
          <w:szCs w:val="28"/>
          <w:rtl/>
        </w:rPr>
        <w:t xml:space="preserve">في)، ج 1 ، ص 296 .</w:t>
      </w:r>
    </w:p>
    <w:p>
      <w:pPr>
        <w:pStyle w:val="BookText"/>
      </w:pPr>
      <w:r>
        <w:rPr>
          <w:rFonts w:ascii="IRNazanin" w:hAnsi="IRNazanin" w:eastAsia="IRNazanin" w:cs="IRNazanin"/>
          <w:lang w:bidi="fa-IR"/>
          <w:color w:val="111111"/>
          <w:sz w:val="28"/>
          <w:szCs w:val="28"/>
          <w:rtl/>
        </w:rPr>
        <w:t xml:space="preserve">2 .اوثق الرسائل، ج 3، ص 61.</w:t>
      </w:r>
    </w:p>
    <w:p>
      <w:pPr>
        <w:pStyle w:val="BookText"/>
      </w:pPr>
      <w:r>
        <w:rPr>
          <w:rFonts w:ascii="Amiri" w:hAnsi="Amiri" w:eastAsia="Amiri" w:cs="Amiri"/>
          <w:lang w:bidi="ar-SA"/>
          <w:color w:val="111111"/>
          <w:sz w:val="28"/>
          <w:szCs w:val="28"/>
          <w:rtl/>
        </w:rPr>
        <w:t xml:space="preserve">3.تقريرات الاصول، ج 4، ص 742.</w:t>
      </w:r>
    </w:p>
    <w:p>
      <w:pPr>
        <w:pStyle w:val="BookText"/>
      </w:pPr>
      <w:r>
        <w:rPr>
          <w:rFonts w:ascii="Amiri" w:hAnsi="Amiri" w:eastAsia="Amiri" w:cs="Amiri"/>
          <w:lang w:bidi="ar-SA"/>
          <w:color w:val="111111"/>
          <w:sz w:val="28"/>
          <w:szCs w:val="28"/>
          <w:rtl/>
        </w:rPr>
        <w:t xml:space="preserve">4 .حاشية الخيارات، ج 5، ص 864.</w:t>
      </w:r>
    </w:p>
    <w:p>
      <w:pPr>
        <w:pStyle w:val="BookText"/>
      </w:pPr>
      <w:r>
        <w:rPr>
          <w:rFonts w:ascii="Amiri" w:hAnsi="Amiri" w:eastAsia="Amiri" w:cs="Amiri"/>
          <w:lang w:bidi="ar-SA"/>
          <w:color w:val="111111"/>
          <w:sz w:val="28"/>
          <w:szCs w:val="28"/>
          <w:rtl/>
        </w:rPr>
        <w:t xml:space="preserve">5 .حاشية فوائد الاصول، ج 6 ، ص 270 .</w:t>
      </w:r>
    </w:p>
    <w:p>
      <w:pPr>
        <w:pStyle w:val="BookText"/>
      </w:pPr>
      <w:r>
        <w:rPr>
          <w:rFonts w:ascii="Amiri" w:hAnsi="Amiri" w:eastAsia="Amiri" w:cs="Amiri"/>
          <w:lang w:bidi="ar-SA"/>
          <w:color w:val="111111"/>
          <w:sz w:val="28"/>
          <w:szCs w:val="28"/>
          <w:rtl/>
        </w:rPr>
        <w:t xml:space="preserve">6 .الصلاة، ج 10، ص 588.</w:t>
      </w:r>
    </w:p>
    <w:p>
      <w:pPr>
        <w:pStyle w:val="Heading2"/>
      </w:pPr>
      <w:bookmarkStart w:id="4236" w:name="_Toc3338"/>
      <w:r>
        <w:t>خوانساري همداني مولى علي، قرن 13 ه-</w:t>
      </w:r>
      <w:bookmarkEnd w:id="4236"/>
    </w:p>
    <w:p>
      <w:pPr>
        <w:pStyle w:val="BookText"/>
      </w:pPr>
      <w:r>
        <w:rPr>
          <w:rFonts w:ascii="IRNazanin" w:hAnsi="IRNazanin" w:eastAsia="IRNazanin" w:cs="IRNazanin"/>
          <w:lang w:bidi="fa-IR"/>
          <w:color w:val="111111"/>
          <w:sz w:val="28"/>
          <w:szCs w:val="28"/>
          <w:rtl/>
        </w:rPr>
        <w:t xml:space="preserve">شرح شرائع الاسلام، ج 9، ص 624 .</w:t>
      </w:r>
    </w:p>
    <w:p>
      <w:pPr>
        <w:pStyle w:val="BookText"/>
      </w:pPr>
      <w:r>
        <w:rPr>
          <w:rFonts w:ascii="Amiri" w:hAnsi="Amiri" w:eastAsia="Amiri" w:cs="Amiri"/>
          <w:lang w:bidi="ar-SA"/>
          <w:color w:val="111111"/>
          <w:sz w:val="28"/>
          <w:szCs w:val="28"/>
          <w:rtl/>
        </w:rPr>
        <w:t xml:space="preserve">خوانكي، رمضان بن صالح- سفطي ،</w:t>
      </w:r>
    </w:p>
    <w:p>
      <w:pPr>
        <w:pStyle w:val="BookText"/>
      </w:pPr>
      <w:r>
        <w:rPr>
          <w:rFonts w:ascii="IRNazanin" w:hAnsi="IRNazanin" w:eastAsia="IRNazanin" w:cs="IRNazanin"/>
          <w:lang w:bidi="fa-IR"/>
          <w:color w:val="111111"/>
          <w:sz w:val="28"/>
          <w:szCs w:val="28"/>
          <w:rtl/>
        </w:rPr>
        <w:t xml:space="preserve">رمضان بن صالح</w:t>
      </w:r>
    </w:p>
    <w:p>
      <w:pPr>
        <w:pStyle w:val="Heading2"/>
      </w:pPr>
      <w:bookmarkStart w:id="4237" w:name="_Toc3339"/>
      <w:r>
        <w:t>خواهرزاده محمّد بن ابي بكر قرن 6 ه-</w:t>
      </w:r>
      <w:bookmarkEnd w:id="4237"/>
    </w:p>
    <w:p>
      <w:pPr>
        <w:pStyle w:val="BookText"/>
      </w:pPr>
      <w:r>
        <w:rPr>
          <w:rFonts w:ascii="Amiri" w:hAnsi="Amiri" w:eastAsia="Amiri" w:cs="Amiri"/>
          <w:lang w:bidi="ar-SA"/>
          <w:color w:val="111111"/>
          <w:sz w:val="28"/>
          <w:szCs w:val="28"/>
          <w:rtl/>
        </w:rPr>
        <w:t xml:space="preserve">الجواهر المنظومة في أصول الدين =</w:t>
      </w:r>
    </w:p>
    <w:p>
      <w:pPr>
        <w:pStyle w:val="BookText"/>
      </w:pPr>
      <w:r>
        <w:rPr>
          <w:rFonts w:ascii="Amiri" w:hAnsi="Amiri" w:eastAsia="Amiri" w:cs="Amiri"/>
          <w:lang w:bidi="ar-SA"/>
          <w:color w:val="111111"/>
          <w:sz w:val="28"/>
          <w:szCs w:val="28"/>
          <w:rtl/>
        </w:rPr>
        <w:t xml:space="preserve">الجوهرة المضية، ج 5، ص 602.</w:t>
      </w:r>
    </w:p>
    <w:p>
      <w:pPr>
        <w:pStyle w:val="BookText"/>
      </w:pPr>
      <w:r>
        <w:rPr>
          <w:rFonts w:ascii="Amiri" w:hAnsi="Amiri" w:eastAsia="Amiri" w:cs="Amiri"/>
          <w:lang w:bidi="ar-SA"/>
          <w:color w:val="111111"/>
          <w:sz w:val="28"/>
          <w:szCs w:val="28"/>
          <w:rtl/>
        </w:rPr>
        <w:t xml:space="preserve">خوبوي ، عثمان بن حسن -شاكر ، عثمان بن حسن</w:t>
      </w:r>
    </w:p>
    <w:p>
      <w:pPr>
        <w:pStyle w:val="Heading2"/>
      </w:pPr>
      <w:bookmarkStart w:id="4238" w:name="_Toc3340"/>
      <w:r>
        <w:t>خوجه پاشا ، یوسف بن خضر 844 -</w:t>
      </w:r>
      <w:bookmarkEnd w:id="4238"/>
    </w:p>
    <w:p>
      <w:pPr>
        <w:pStyle w:val="BookText"/>
      </w:pPr>
      <w:r>
        <w:rPr>
          <w:rFonts w:ascii="IRNazanin" w:hAnsi="IRNazanin" w:eastAsia="IRNazanin" w:cs="IRNazanin"/>
          <w:lang w:bidi="fa-IR"/>
          <w:color w:val="111111"/>
          <w:sz w:val="28"/>
          <w:szCs w:val="28"/>
          <w:rtl/>
        </w:rPr>
        <w:t xml:space="preserve">891 ه-</w:t>
      </w:r>
    </w:p>
    <w:p>
      <w:pPr>
        <w:pStyle w:val="BookText"/>
      </w:pPr>
      <w:r>
        <w:rPr>
          <w:rFonts w:ascii="IRNazanin" w:hAnsi="IRNazanin" w:eastAsia="IRNazanin" w:cs="IRNazanin"/>
          <w:lang w:bidi="fa-IR"/>
          <w:color w:val="111111"/>
          <w:sz w:val="28"/>
          <w:szCs w:val="28"/>
          <w:rtl/>
        </w:rPr>
        <w:t xml:space="preserve">1 آداب البحث، ج 1، ص 19.</w:t>
      </w:r>
    </w:p>
    <w:p>
      <w:pPr>
        <w:pStyle w:val="BookText"/>
      </w:pPr>
      <w:r>
        <w:rPr>
          <w:rFonts w:ascii="Amiri" w:hAnsi="Amiri" w:eastAsia="Amiri" w:cs="Amiri"/>
          <w:lang w:bidi="ar-SA"/>
          <w:color w:val="111111"/>
          <w:sz w:val="28"/>
          <w:szCs w:val="28"/>
          <w:rtl/>
        </w:rPr>
        <w:t xml:space="preserve">2 .اجوبة لأسئلة ملا كستلي، ج1،</w:t>
      </w:r>
    </w:p>
    <w:p>
      <w:pPr>
        <w:pStyle w:val="BookText"/>
      </w:pPr>
      <w:r>
        <w:rPr>
          <w:rFonts w:ascii="IRNazanin" w:hAnsi="IRNazanin" w:eastAsia="IRNazanin" w:cs="IRNazanin"/>
          <w:lang w:bidi="fa-IR"/>
          <w:color w:val="111111"/>
          <w:sz w:val="28"/>
          <w:szCs w:val="28"/>
          <w:rtl/>
        </w:rPr>
        <w:t xml:space="preserve">ص 329.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الاولياء (ترجمه)، ج4،</w:t>
      </w:r>
    </w:p>
    <w:p>
      <w:pPr>
        <w:pStyle w:val="BookText"/>
      </w:pPr>
      <w:r>
        <w:rPr>
          <w:rFonts w:ascii="IRNazanin" w:hAnsi="IRNazanin" w:eastAsia="IRNazanin" w:cs="IRNazanin"/>
          <w:lang w:bidi="fa-IR"/>
          <w:color w:val="111111"/>
          <w:sz w:val="28"/>
          <w:szCs w:val="28"/>
          <w:rtl/>
        </w:rPr>
        <w:t xml:space="preserve">ص 180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الملخص جغميني ج6،</w:t>
      </w:r>
    </w:p>
    <w:p>
      <w:pPr>
        <w:pStyle w:val="BookText"/>
      </w:pPr>
      <w:r>
        <w:rPr>
          <w:rFonts w:ascii="IRNazanin" w:hAnsi="IRNazanin" w:eastAsia="IRNazanin" w:cs="IRNazanin"/>
          <w:lang w:bidi="fa-IR"/>
          <w:color w:val="111111"/>
          <w:sz w:val="28"/>
          <w:szCs w:val="28"/>
          <w:rtl/>
        </w:rPr>
        <w:t xml:space="preserve">ص 187 .</w:t>
      </w:r>
    </w:p>
    <w:p>
      <w:pPr>
        <w:pStyle w:val="BookText"/>
      </w:pPr>
      <w:r>
        <w:rPr>
          <w:rFonts w:ascii="Amiri" w:hAnsi="Amiri" w:eastAsia="Amiri" w:cs="Amiri"/>
          <w:lang w:bidi="ar-SA"/>
          <w:color w:val="111111"/>
          <w:sz w:val="28"/>
          <w:szCs w:val="28"/>
          <w:rtl/>
        </w:rPr>
        <w:t xml:space="preserve">5 .الهندسة فى الزاوية الحادة (رسالة</w:t>
      </w:r>
    </w:p>
    <w:p>
      <w:pPr>
        <w:pStyle w:val="BookText"/>
      </w:pPr>
      <w:r>
        <w:rPr>
          <w:rFonts w:ascii="Amiri" w:hAnsi="Amiri" w:eastAsia="Amiri" w:cs="Amiri"/>
          <w:lang w:bidi="ar-SA"/>
          <w:color w:val="111111"/>
          <w:sz w:val="28"/>
          <w:szCs w:val="28"/>
          <w:rtl/>
        </w:rPr>
        <w:t xml:space="preserve">في)، ج 16 ، ص 657 .</w:t>
      </w:r>
    </w:p>
    <w:p>
      <w:pPr>
        <w:pStyle w:val="BookText"/>
      </w:pPr>
      <w:r>
        <w:rPr>
          <w:rFonts w:ascii="IRNazanin" w:hAnsi="IRNazanin" w:eastAsia="IRNazanin" w:cs="IRNazanin"/>
          <w:lang w:bidi="fa-IR"/>
          <w:color w:val="111111"/>
          <w:sz w:val="28"/>
          <w:szCs w:val="28"/>
          <w:rtl/>
        </w:rPr>
        <w:t xml:space="preserve">خوجه چلبي- ابوالسعود عمادي ، محمّد</w:t>
      </w:r>
    </w:p>
    <w:p>
      <w:pPr>
        <w:pStyle w:val="BookText"/>
      </w:pPr>
      <w:r>
        <w:rPr>
          <w:rFonts w:ascii="Amiri" w:hAnsi="Amiri" w:eastAsia="Amiri" w:cs="Amiri"/>
          <w:lang w:bidi="ar-SA"/>
          <w:color w:val="111111"/>
          <w:sz w:val="28"/>
          <w:szCs w:val="28"/>
          <w:rtl/>
        </w:rPr>
        <w:t xml:space="preserve">بن محمّد</w:t>
      </w:r>
    </w:p>
    <w:p>
      <w:pPr>
        <w:pStyle w:val="Heading2"/>
      </w:pPr>
      <w:bookmarkStart w:id="4239" w:name="_Toc3341"/>
      <w:r>
        <w:t>خوراسكاني اصفهاني ، عبدالله بن محمّد</w:t>
      </w:r>
      <w:bookmarkEnd w:id="4239"/>
    </w:p>
    <w:p>
      <w:pPr>
        <w:pStyle w:val="BookText"/>
      </w:pPr>
      <w:r>
        <w:rPr>
          <w:rFonts w:ascii="IRNazanin" w:hAnsi="IRNazanin" w:eastAsia="IRNazanin" w:cs="IRNazanin"/>
          <w:lang w:bidi="fa-IR"/>
          <w:color w:val="111111"/>
          <w:sz w:val="28"/>
          <w:szCs w:val="28"/>
          <w:rtl/>
        </w:rPr>
        <w:t xml:space="preserve">حسن قرن 14 ه-</w:t>
      </w:r>
    </w:p>
    <w:p>
      <w:pPr>
        <w:pStyle w:val="BookText"/>
      </w:pPr>
      <w:r>
        <w:rPr>
          <w:rFonts w:ascii="IRNazanin" w:hAnsi="IRNazanin" w:eastAsia="IRNazanin" w:cs="IRNazanin"/>
          <w:lang w:bidi="fa-IR"/>
          <w:color w:val="111111"/>
          <w:sz w:val="28"/>
          <w:szCs w:val="28"/>
          <w:rtl/>
        </w:rPr>
        <w:t xml:space="preserve">قطرات العلوم، ج 12، ص 745.</w:t>
      </w:r>
    </w:p>
    <w:p>
      <w:pPr>
        <w:pStyle w:val="BookText"/>
      </w:pPr>
      <w:r>
        <w:rPr>
          <w:rFonts w:ascii="Amiri" w:hAnsi="Amiri" w:eastAsia="Amiri" w:cs="Amiri"/>
          <w:lang w:bidi="ar-SA"/>
          <w:color w:val="111111"/>
          <w:sz w:val="28"/>
          <w:szCs w:val="28"/>
          <w:rtl/>
        </w:rPr>
        <w:t xml:space="preserve">خوري الياس كلداني- كلداني موصلي خوري الياس بن قس حنا</w:t>
      </w:r>
    </w:p>
    <w:p>
      <w:pPr>
        <w:pStyle w:val="Heading2"/>
      </w:pPr>
      <w:bookmarkStart w:id="4240" w:name="_Toc3342"/>
      <w:r>
        <w:t>خوري، بهنام بدرية قرن 19 م</w:t>
      </w:r>
      <w:bookmarkEnd w:id="4240"/>
    </w:p>
    <w:p>
      <w:pPr>
        <w:pStyle w:val="BookText"/>
      </w:pPr>
      <w:r>
        <w:rPr>
          <w:rFonts w:ascii="IRNazanin" w:hAnsi="IRNazanin" w:eastAsia="IRNazanin" w:cs="IRNazanin"/>
          <w:lang w:bidi="fa-IR"/>
          <w:color w:val="111111"/>
          <w:sz w:val="28"/>
          <w:szCs w:val="28"/>
          <w:rtl/>
        </w:rPr>
        <w:t xml:space="preserve">مواعظ، ج 15 ، ص 864.</w:t>
      </w:r>
    </w:p>
    <w:p>
      <w:pPr>
        <w:pStyle w:val="BookText"/>
      </w:pPr>
      <w:r>
        <w:rPr>
          <w:rFonts w:ascii="Amiri" w:hAnsi="Amiri" w:eastAsia="Amiri" w:cs="Amiri"/>
          <w:lang w:bidi="ar-SA"/>
          <w:color w:val="111111"/>
          <w:sz w:val="28"/>
          <w:szCs w:val="28"/>
          <w:rtl/>
        </w:rPr>
        <w:t xml:space="preserve">خوري حناوي ، نقولا- ابن صائغ ، نقولا</w:t>
      </w:r>
    </w:p>
    <w:p>
      <w:pPr>
        <w:pStyle w:val="Heading2"/>
      </w:pPr>
      <w:bookmarkStart w:id="4241" w:name="_Toc3343"/>
      <w:r>
        <w:t>خوري ، يوسف بن محمّد یوسف</w:t>
      </w:r>
      <w:bookmarkEnd w:id="4241"/>
    </w:p>
    <w:p>
      <w:pPr>
        <w:pStyle w:val="BookText"/>
      </w:pPr>
      <w:r>
        <w:rPr>
          <w:rFonts w:ascii="Amiri" w:hAnsi="Amiri" w:eastAsia="Amiri" w:cs="Amiri"/>
          <w:lang w:bidi="ar-SA"/>
          <w:color w:val="111111"/>
          <w:sz w:val="28"/>
          <w:szCs w:val="28"/>
          <w:rtl/>
        </w:rPr>
        <w:t xml:space="preserve">مسألة الطلاق و الثلاث واحد لا فاسد</w:t>
      </w:r>
    </w:p>
    <w:p>
      <w:pPr>
        <w:pStyle w:val="BookText"/>
      </w:pPr>
      <w:r>
        <w:rPr>
          <w:rFonts w:ascii="IRNazanin" w:hAnsi="IRNazanin" w:eastAsia="IRNazanin" w:cs="IRNazanin"/>
          <w:lang w:bidi="fa-IR"/>
          <w:color w:val="111111"/>
          <w:sz w:val="28"/>
          <w:szCs w:val="28"/>
          <w:rtl/>
        </w:rPr>
        <w:t xml:space="preserve">ج 14، ص 540.</w:t>
      </w:r>
    </w:p>
    <w:p>
      <w:pPr>
        <w:pStyle w:val="Heading2"/>
      </w:pPr>
      <w:bookmarkStart w:id="4242" w:name="_Toc3344"/>
      <w:r>
        <w:t>خوري ، يوسف داد</w:t>
      </w:r>
      <w:bookmarkEnd w:id="4242"/>
    </w:p>
    <w:p>
      <w:pPr>
        <w:pStyle w:val="BookText"/>
      </w:pPr>
      <w:r>
        <w:rPr>
          <w:rFonts w:ascii="Amiri" w:hAnsi="Amiri" w:eastAsia="Amiri" w:cs="Amiri"/>
          <w:lang w:bidi="ar-SA"/>
          <w:color w:val="111111"/>
          <w:sz w:val="28"/>
          <w:szCs w:val="28"/>
          <w:rtl/>
        </w:rPr>
        <w:t xml:space="preserve">جامع الحجج الراهنة في أبطال دعاوي</w:t>
      </w:r>
    </w:p>
    <w:p>
      <w:pPr>
        <w:pStyle w:val="BookText"/>
      </w:pPr>
      <w:r>
        <w:rPr>
          <w:rFonts w:ascii="Amiri" w:hAnsi="Amiri" w:eastAsia="Amiri" w:cs="Amiri"/>
          <w:lang w:bidi="ar-SA"/>
          <w:color w:val="111111"/>
          <w:sz w:val="28"/>
          <w:szCs w:val="28"/>
          <w:rtl/>
        </w:rPr>
        <w:t xml:space="preserve">الموازنة، ج 5، ص 262.</w:t>
      </w:r>
    </w:p>
    <w:p>
      <w:pPr>
        <w:pStyle w:val="Heading2"/>
      </w:pPr>
      <w:bookmarkStart w:id="4243" w:name="_Toc3345"/>
      <w:r>
        <w:t>خوستي، محمّد موسى</w:t>
      </w:r>
      <w:bookmarkEnd w:id="4243"/>
    </w:p>
    <w:p>
      <w:pPr>
        <w:pStyle w:val="BookText"/>
      </w:pPr>
      <w:r>
        <w:rPr>
          <w:rFonts w:ascii="Amiri" w:hAnsi="Amiri" w:eastAsia="Amiri" w:cs="Amiri"/>
          <w:lang w:bidi="ar-SA"/>
          <w:color w:val="111111"/>
          <w:sz w:val="28"/>
          <w:szCs w:val="28"/>
          <w:rtl/>
        </w:rPr>
        <w:t xml:space="preserve">حاشية الحاشية الهروية على حاشية</w:t>
      </w:r>
    </w:p>
    <w:p>
      <w:pPr>
        <w:pStyle w:val="BookText"/>
      </w:pPr>
      <w:r>
        <w:rPr>
          <w:rFonts w:ascii="Amiri" w:hAnsi="Amiri" w:eastAsia="Amiri" w:cs="Amiri"/>
          <w:lang w:bidi="ar-SA"/>
          <w:color w:val="111111"/>
          <w:sz w:val="28"/>
          <w:szCs w:val="28"/>
          <w:rtl/>
        </w:rPr>
        <w:t xml:space="preserve">تهذيب المنطق، ج 5، ص 853.</w:t>
      </w:r>
    </w:p>
    <w:p>
      <w:pPr>
        <w:pStyle w:val="BookText"/>
      </w:pPr>
      <w:r>
        <w:rPr>
          <w:rFonts w:ascii="IRNazanin" w:hAnsi="IRNazanin" w:eastAsia="IRNazanin" w:cs="IRNazanin"/>
          <w:lang w:bidi="fa-IR"/>
          <w:color w:val="111111"/>
          <w:sz w:val="28"/>
          <w:szCs w:val="28"/>
          <w:rtl/>
        </w:rPr>
        <w:t xml:space="preserve">خوسفي ، محمّد بن حسام الدین -ابن</w:t>
      </w:r>
    </w:p>
    <w:p>
      <w:pPr>
        <w:pStyle w:val="BookText"/>
      </w:pPr>
      <w:r>
        <w:rPr>
          <w:rFonts w:ascii="Amiri" w:hAnsi="Amiri" w:eastAsia="Amiri" w:cs="Amiri"/>
          <w:lang w:bidi="ar-SA"/>
          <w:color w:val="111111"/>
          <w:sz w:val="28"/>
          <w:szCs w:val="28"/>
          <w:rtl/>
        </w:rPr>
        <w:t xml:space="preserve">حسام ، محمّد بن حسام الدين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3" w:name="pg7742_70342"/>
    <w:bookmarkEnd w:id="473"/>
    <w:p>
      <w:pPr>
        <w:pStyle w:val="BookText"/>
      </w:pPr>
      <w:r>
        <w:rPr>
          <w:rFonts w:ascii="Amiri" w:hAnsi="Amiri" w:eastAsia="Amiri" w:cs="Amiri"/>
          <w:lang w:bidi="ar-SA"/>
          <w:color w:val="111111"/>
          <w:sz w:val="28"/>
          <w:szCs w:val="28"/>
          <w:rtl/>
        </w:rPr>
        <w:t xml:space="preserve">خوسفي قايني ، محمّد بن حسام -ابن</w:t>
      </w:r>
    </w:p>
    <w:p>
      <w:pPr>
        <w:pStyle w:val="BookText"/>
      </w:pPr>
      <w:r>
        <w:rPr>
          <w:rFonts w:ascii="IRNazanin" w:hAnsi="IRNazanin" w:eastAsia="IRNazanin" w:cs="IRNazanin"/>
          <w:lang w:bidi="fa-IR"/>
          <w:color w:val="111111"/>
          <w:sz w:val="28"/>
          <w:szCs w:val="28"/>
          <w:rtl/>
        </w:rPr>
        <w:t xml:space="preserve">حسام ، محمّد بن حسام الدین</w:t>
      </w:r>
    </w:p>
    <w:p>
      <w:pPr>
        <w:pStyle w:val="BookText"/>
      </w:pPr>
      <w:r>
        <w:rPr>
          <w:rFonts w:ascii="Amiri" w:hAnsi="Amiri" w:eastAsia="Amiri" w:cs="Amiri"/>
          <w:lang w:bidi="ar-SA"/>
          <w:color w:val="111111"/>
          <w:sz w:val="28"/>
          <w:szCs w:val="28"/>
          <w:rtl/>
        </w:rPr>
        <w:t xml:space="preserve">خوشابي حسيني ، محمّد بن بسطام- واني</w:t>
      </w:r>
    </w:p>
    <w:p>
      <w:pPr>
        <w:pStyle w:val="BookText"/>
      </w:pPr>
      <w:r>
        <w:rPr>
          <w:rFonts w:ascii="IRNazanin" w:hAnsi="IRNazanin" w:eastAsia="IRNazanin" w:cs="IRNazanin"/>
          <w:lang w:bidi="fa-IR"/>
          <w:color w:val="111111"/>
          <w:sz w:val="28"/>
          <w:szCs w:val="28"/>
          <w:rtl/>
        </w:rPr>
        <w:t xml:space="preserve">، محمّد بن بسطام</w:t>
      </w:r>
    </w:p>
    <w:p>
      <w:pPr>
        <w:pStyle w:val="BookText"/>
      </w:pPr>
      <w:r>
        <w:rPr>
          <w:rFonts w:ascii="IRNazanin" w:hAnsi="IRNazanin" w:eastAsia="IRNazanin" w:cs="IRNazanin"/>
          <w:lang w:bidi="fa-IR"/>
          <w:color w:val="111111"/>
          <w:sz w:val="28"/>
          <w:szCs w:val="28"/>
          <w:rtl/>
        </w:rPr>
        <w:t xml:space="preserve">محمّد ابن خیاط، عبدالرحيم بن محمّد</w:t>
      </w:r>
    </w:p>
    <w:p>
      <w:pPr>
        <w:pStyle w:val="Heading2"/>
      </w:pPr>
      <w:bookmarkStart w:id="4244" w:name="_Toc3346"/>
      <w:r>
        <w:t>خوشناوي عيسى بن احمد قرن 12 ه-</w:t>
      </w:r>
      <w:bookmarkEnd w:id="4244"/>
    </w:p>
    <w:p>
      <w:pPr>
        <w:pStyle w:val="BookText"/>
      </w:pPr>
      <w:r>
        <w:rPr>
          <w:rFonts w:ascii="Amiri" w:hAnsi="Amiri" w:eastAsia="Amiri" w:cs="Amiri"/>
          <w:lang w:bidi="ar-SA"/>
          <w:color w:val="111111"/>
          <w:sz w:val="28"/>
          <w:szCs w:val="28"/>
          <w:rtl/>
        </w:rPr>
        <w:t xml:space="preserve">تفسير سورة الفتح، ج 4، ص 637.</w:t>
      </w:r>
    </w:p>
    <w:p>
      <w:pPr>
        <w:pStyle w:val="Heading2"/>
      </w:pPr>
      <w:bookmarkStart w:id="4245" w:name="_Toc3347"/>
      <w:r>
        <w:t>خوشنویس خوانساري ، محمّد حسن بن ، محمّد</w:t>
      </w:r>
      <w:bookmarkEnd w:id="4245"/>
    </w:p>
    <w:p>
      <w:pPr>
        <w:pStyle w:val="BookText"/>
      </w:pPr>
      <w:r>
        <w:rPr>
          <w:rFonts w:ascii="IRNazanin" w:hAnsi="IRNazanin" w:eastAsia="IRNazanin" w:cs="IRNazanin"/>
          <w:lang w:bidi="fa-IR"/>
          <w:color w:val="111111"/>
          <w:sz w:val="28"/>
          <w:szCs w:val="28"/>
          <w:rtl/>
        </w:rPr>
        <w:t xml:space="preserve">محمّد باقر، قرن 13 ه-</w:t>
      </w:r>
    </w:p>
    <w:p>
      <w:pPr>
        <w:pStyle w:val="BookText"/>
      </w:pPr>
      <w:r>
        <w:rPr>
          <w:rFonts w:ascii="Amiri" w:hAnsi="Amiri" w:eastAsia="Amiri" w:cs="Amiri"/>
          <w:lang w:bidi="ar-SA"/>
          <w:color w:val="111111"/>
          <w:sz w:val="28"/>
          <w:szCs w:val="28"/>
          <w:rtl/>
        </w:rPr>
        <w:t xml:space="preserve">القرآن الكريم (مترجم)، ج12، ص 519.</w:t>
      </w:r>
    </w:p>
    <w:p>
      <w:pPr>
        <w:pStyle w:val="BookText"/>
      </w:pPr>
      <w:r>
        <w:rPr>
          <w:rFonts w:ascii="IRNazanin" w:hAnsi="IRNazanin" w:eastAsia="IRNazanin" w:cs="IRNazanin"/>
          <w:lang w:bidi="fa-IR"/>
          <w:color w:val="111111"/>
          <w:sz w:val="28"/>
          <w:szCs w:val="28"/>
          <w:rtl/>
        </w:rPr>
        <w:t xml:space="preserve">خوشنویس ، علينقي بن محمّد علي- رضوي ، علينقي بن محمّد علي</w:t>
      </w:r>
    </w:p>
    <w:p>
      <w:pPr>
        <w:pStyle w:val="BookText"/>
      </w:pPr>
      <w:r>
        <w:rPr>
          <w:rFonts w:ascii="Amiri" w:hAnsi="Amiri" w:eastAsia="Amiri" w:cs="Amiri"/>
          <w:lang w:bidi="ar-SA"/>
          <w:color w:val="111111"/>
          <w:sz w:val="28"/>
          <w:szCs w:val="28"/>
          <w:rtl/>
        </w:rPr>
        <w:t xml:space="preserve">خونجي ، فضل الله بن روزبهان- فضل الله بن روزبهان</w:t>
      </w:r>
    </w:p>
    <w:p>
      <w:pPr>
        <w:pStyle w:val="BookText"/>
      </w:pPr>
      <w:r>
        <w:rPr>
          <w:rFonts w:ascii="IRNazanin" w:hAnsi="IRNazanin" w:eastAsia="IRNazanin" w:cs="IRNazanin"/>
          <w:lang w:bidi="fa-IR"/>
          <w:color w:val="111111"/>
          <w:sz w:val="28"/>
          <w:szCs w:val="28"/>
          <w:rtl/>
        </w:rPr>
        <w:t xml:space="preserve">خوند میر- خواند میر، غیاث الدین بن</w:t>
      </w:r>
    </w:p>
    <w:p>
      <w:pPr>
        <w:pStyle w:val="BookText"/>
      </w:pPr>
      <w:r>
        <w:rPr>
          <w:rFonts w:ascii="Amiri" w:hAnsi="Amiri" w:eastAsia="Amiri" w:cs="Amiri"/>
          <w:lang w:bidi="ar-SA"/>
          <w:color w:val="111111"/>
          <w:sz w:val="28"/>
          <w:szCs w:val="28"/>
          <w:rtl/>
        </w:rPr>
        <w:t xml:space="preserve">همام الدين</w:t>
      </w:r>
    </w:p>
    <w:p>
      <w:pPr>
        <w:pStyle w:val="BookText"/>
      </w:pPr>
      <w:r>
        <w:rPr>
          <w:rFonts w:ascii="IRNazanin" w:hAnsi="IRNazanin" w:eastAsia="IRNazanin" w:cs="IRNazanin"/>
          <w:lang w:bidi="fa-IR"/>
          <w:color w:val="111111"/>
          <w:sz w:val="28"/>
          <w:szCs w:val="28"/>
          <w:rtl/>
        </w:rPr>
        <w:t xml:space="preserve">خویشاوند ، احمد بن حسن- طوسي ، احمد بن حسين</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4246" w:name="_Toc3348"/>
      <w:r>
        <w:t>خویش، محمّد خلیل قرن 10 ه-</w:t>
      </w:r>
      <w:bookmarkEnd w:id="4246"/>
    </w:p>
    <w:p>
      <w:pPr>
        <w:pStyle w:val="BookText"/>
      </w:pPr>
      <w:r>
        <w:rPr>
          <w:rFonts w:ascii="Amiri" w:hAnsi="Amiri" w:eastAsia="Amiri" w:cs="Amiri"/>
          <w:lang w:bidi="ar-SA"/>
          <w:color w:val="111111"/>
          <w:sz w:val="28"/>
          <w:szCs w:val="28"/>
          <w:rtl/>
        </w:rPr>
        <w:t xml:space="preserve">1 .تحفة الابصار والبصائر بتبويب</w:t>
      </w:r>
    </w:p>
    <w:p>
      <w:pPr>
        <w:pStyle w:val="BookText"/>
      </w:pPr>
      <w:r>
        <w:rPr>
          <w:rFonts w:ascii="IRNazanin" w:hAnsi="IRNazanin" w:eastAsia="IRNazanin" w:cs="IRNazanin"/>
          <w:lang w:bidi="fa-IR"/>
          <w:color w:val="111111"/>
          <w:sz w:val="28"/>
          <w:szCs w:val="28"/>
          <w:rtl/>
        </w:rPr>
        <w:t xml:space="preserve">الاشباه والنظائر، ج3، ص777.</w:t>
      </w:r>
    </w:p>
    <w:p>
      <w:pPr>
        <w:pStyle w:val="BookText"/>
      </w:pPr>
      <w:r>
        <w:rPr>
          <w:rFonts w:ascii="IRNazanin" w:hAnsi="IRNazanin" w:eastAsia="IRNazanin" w:cs="IRNazanin"/>
          <w:lang w:bidi="fa-IR"/>
          <w:color w:val="111111"/>
          <w:sz w:val="28"/>
          <w:szCs w:val="28"/>
          <w:rtl/>
        </w:rPr>
        <w:t xml:space="preserve">2 .هامش الدور، ج 16، ص 590.</w:t>
      </w:r>
    </w:p>
    <w:p>
      <w:pPr>
        <w:pStyle w:val="Heading2"/>
      </w:pPr>
      <w:bookmarkStart w:id="4247" w:name="_Toc3349"/>
      <w:r>
        <w:t>خياري، ابراهيم بن عبدالرحمن، 1037 -</w:t>
      </w:r>
      <w:bookmarkEnd w:id="4247"/>
    </w:p>
    <w:p>
      <w:pPr>
        <w:pStyle w:val="BookText"/>
      </w:pPr>
      <w:r>
        <w:rPr>
          <w:rFonts w:ascii="IRNazanin" w:hAnsi="IRNazanin" w:eastAsia="IRNazanin" w:cs="IRNazanin"/>
          <w:lang w:bidi="fa-IR"/>
          <w:color w:val="111111"/>
          <w:sz w:val="28"/>
          <w:szCs w:val="28"/>
          <w:rtl/>
        </w:rPr>
        <w:t xml:space="preserve">1083 ه-</w:t>
      </w:r>
    </w:p>
    <w:p>
      <w:pPr>
        <w:pStyle w:val="BookText"/>
      </w:pPr>
      <w:r>
        <w:rPr>
          <w:rFonts w:ascii="Amiri" w:hAnsi="Amiri" w:eastAsia="Amiri" w:cs="Amiri"/>
          <w:lang w:bidi="ar-SA"/>
          <w:color w:val="111111"/>
          <w:sz w:val="28"/>
          <w:szCs w:val="28"/>
          <w:rtl/>
        </w:rPr>
        <w:t xml:space="preserve">تحفة الأدباء و سلوة الغرباء = رحلة</w:t>
      </w:r>
    </w:p>
    <w:p>
      <w:pPr>
        <w:pStyle w:val="BookText"/>
      </w:pPr>
      <w:r>
        <w:rPr>
          <w:rFonts w:ascii="Amiri" w:hAnsi="Amiri" w:eastAsia="Amiri" w:cs="Amiri"/>
          <w:lang w:bidi="ar-SA"/>
          <w:color w:val="111111"/>
          <w:sz w:val="28"/>
          <w:szCs w:val="28"/>
          <w:rtl/>
        </w:rPr>
        <w:t xml:space="preserve">الخياري، ج 3، ص 794.</w:t>
      </w:r>
    </w:p>
    <w:p>
      <w:pPr>
        <w:pStyle w:val="BookText"/>
      </w:pPr>
      <w:r>
        <w:rPr>
          <w:rFonts w:ascii="IRNazanin" w:hAnsi="IRNazanin" w:eastAsia="IRNazanin" w:cs="IRNazanin"/>
          <w:lang w:bidi="fa-IR"/>
          <w:color w:val="111111"/>
          <w:sz w:val="28"/>
          <w:szCs w:val="28"/>
          <w:rtl/>
        </w:rPr>
        <w:t xml:space="preserve">خیاط ، ابوالحسين عبدالرحيم بن محمّد -ابن خیاط، عبدالرحيم بن محمّد</w:t>
      </w:r>
    </w:p>
    <w:p>
      <w:pPr>
        <w:pStyle w:val="Heading2"/>
      </w:pPr>
      <w:bookmarkStart w:id="4248" w:name="_Toc3350"/>
      <w:r>
        <w:t>خیاط ، احمد، قرن 13 ه-</w:t>
      </w:r>
      <w:bookmarkEnd w:id="4248"/>
    </w:p>
    <w:p>
      <w:pPr>
        <w:pStyle w:val="BookText"/>
      </w:pPr>
      <w:r>
        <w:rPr>
          <w:rFonts w:ascii="Amiri" w:hAnsi="Amiri" w:eastAsia="Amiri" w:cs="Amiri"/>
          <w:lang w:bidi="ar-SA"/>
          <w:color w:val="111111"/>
          <w:sz w:val="28"/>
          <w:szCs w:val="28"/>
          <w:rtl/>
        </w:rPr>
        <w:t xml:space="preserve">تقريض التخميس، ج4، ص782</w:t>
      </w:r>
    </w:p>
    <w:p>
      <w:pPr>
        <w:pStyle w:val="BookText"/>
      </w:pPr>
      <w:r>
        <w:rPr>
          <w:rFonts w:ascii="IRNazanin" w:hAnsi="IRNazanin" w:eastAsia="IRNazanin" w:cs="IRNazanin"/>
          <w:lang w:bidi="fa-IR"/>
          <w:color w:val="111111"/>
          <w:sz w:val="28"/>
          <w:szCs w:val="28"/>
          <w:rtl/>
        </w:rPr>
        <w:t xml:space="preserve">خياط اصفهانی ، آقا محمّد- عاشق اصفهاني محمّد</w:t>
      </w:r>
    </w:p>
    <w:p>
      <w:pPr>
        <w:pStyle w:val="BookText"/>
      </w:pPr>
      <w:r>
        <w:rPr>
          <w:rFonts w:ascii="Amiri" w:hAnsi="Amiri" w:eastAsia="Amiri" w:cs="Amiri"/>
          <w:lang w:bidi="ar-SA"/>
          <w:color w:val="111111"/>
          <w:sz w:val="28"/>
          <w:szCs w:val="28"/>
          <w:rtl/>
        </w:rPr>
        <w:t xml:space="preserve">خياط بغدادي ، يحيى بن غالب- ابوعلي</w:t>
      </w:r>
    </w:p>
    <w:p>
      <w:pPr>
        <w:pStyle w:val="BookText"/>
      </w:pPr>
      <w:r>
        <w:rPr>
          <w:rFonts w:ascii="IRNazanin" w:hAnsi="IRNazanin" w:eastAsia="IRNazanin" w:cs="IRNazanin"/>
          <w:lang w:bidi="fa-IR"/>
          <w:color w:val="111111"/>
          <w:sz w:val="28"/>
          <w:szCs w:val="28"/>
          <w:rtl/>
        </w:rPr>
        <w:t xml:space="preserve">خیاط ، يحيى بن غالب</w:t>
      </w:r>
    </w:p>
    <w:p>
      <w:pPr>
        <w:pStyle w:val="Heading2"/>
      </w:pPr>
      <w:bookmarkStart w:id="4249" w:name="_Toc3351"/>
      <w:r>
        <w:t>خیاط زاده، محمّد بن احمد - 1285 ه-</w:t>
      </w:r>
      <w:bookmarkEnd w:id="4249"/>
    </w:p>
    <w:p>
      <w:pPr>
        <w:pStyle w:val="BookText"/>
      </w:pPr>
      <w:r>
        <w:rPr>
          <w:rFonts w:ascii="Amiri" w:hAnsi="Amiri" w:eastAsia="Amiri" w:cs="Amiri"/>
          <w:lang w:bidi="ar-SA"/>
          <w:color w:val="111111"/>
          <w:sz w:val="28"/>
          <w:szCs w:val="28"/>
          <w:rtl/>
        </w:rPr>
        <w:t xml:space="preserve">الفريدة السنية في كشف العقائد اليزيدية - الرسالة الذهبية في الرد على اليزيدية المارقين عن الامة المحمّدية، ج 11، ص821</w:t>
      </w:r>
    </w:p>
    <w:p>
      <w:pPr>
        <w:pStyle w:val="BookText"/>
      </w:pPr>
      <w:r>
        <w:rPr>
          <w:rFonts w:ascii="IRNazanin" w:hAnsi="IRNazanin" w:eastAsia="IRNazanin" w:cs="IRNazanin"/>
          <w:lang w:bidi="fa-IR"/>
          <w:color w:val="111111"/>
          <w:sz w:val="28"/>
          <w:szCs w:val="28"/>
          <w:rtl/>
        </w:rPr>
        <w:t xml:space="preserve">خیاط ، عبدالله بن محمّد -هاروشي ، عبدالله بن محمّد</w:t>
      </w:r>
    </w:p>
    <w:p>
      <w:pPr>
        <w:pStyle w:val="Heading2"/>
      </w:pPr>
      <w:bookmarkStart w:id="4250" w:name="_Toc3352"/>
      <w:r>
        <w:t>خياط ، قس جرجس</w:t>
      </w:r>
      <w:bookmarkEnd w:id="4250"/>
    </w:p>
    <w:p>
      <w:pPr>
        <w:pStyle w:val="BookText"/>
      </w:pPr>
      <w:r>
        <w:rPr>
          <w:rFonts w:ascii="Amiri" w:hAnsi="Amiri" w:eastAsia="Amiri" w:cs="Amiri"/>
          <w:lang w:bidi="ar-SA"/>
          <w:color w:val="111111"/>
          <w:sz w:val="28"/>
          <w:szCs w:val="28"/>
          <w:rtl/>
        </w:rPr>
        <w:t xml:space="preserve">مبادي المنطق، ج13، ص722.</w:t>
      </w:r>
    </w:p>
    <w:p>
      <w:pPr>
        <w:pStyle w:val="Heading2"/>
      </w:pPr>
      <w:bookmarkStart w:id="4251" w:name="_Toc3353"/>
      <w:r>
        <w:t>خياط ، محمّد بن يوسف، قرن 14 ه-</w:t>
      </w:r>
      <w:bookmarkEnd w:id="4251"/>
    </w:p>
    <w:p>
      <w:pPr>
        <w:pStyle w:val="BookText"/>
      </w:pPr>
      <w:r>
        <w:rPr>
          <w:rFonts w:ascii="Amiri" w:hAnsi="Amiri" w:eastAsia="Amiri" w:cs="Amiri"/>
          <w:lang w:bidi="ar-SA"/>
          <w:color w:val="111111"/>
          <w:sz w:val="28"/>
          <w:szCs w:val="28"/>
          <w:rtl/>
        </w:rPr>
        <w:t xml:space="preserve">الباكورة الجنية في عمل الآلة الحبيبية</w:t>
      </w:r>
    </w:p>
    <w:p>
      <w:pPr>
        <w:pStyle w:val="BookText"/>
      </w:pPr>
      <w:r>
        <w:rPr>
          <w:rFonts w:ascii="IRNazanin" w:hAnsi="IRNazanin" w:eastAsia="IRNazanin" w:cs="IRNazanin"/>
          <w:lang w:bidi="fa-IR"/>
          <w:color w:val="111111"/>
          <w:sz w:val="28"/>
          <w:szCs w:val="28"/>
          <w:rtl/>
        </w:rPr>
        <w:t xml:space="preserve">ج 3، ص 182.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4" w:name="pg7742_70344"/>
    <w:bookmarkEnd w:id="474"/>
    <w:p>
      <w:pPr>
        <w:pStyle w:val="BookText"/>
      </w:pPr>
      <w:r>
        <w:rPr>
          <w:rFonts w:ascii="Amiri" w:hAnsi="Amiri" w:eastAsia="Amiri" w:cs="Amiri"/>
          <w:lang w:bidi="ar-SA"/>
          <w:color w:val="111111"/>
          <w:sz w:val="28"/>
          <w:szCs w:val="28"/>
          <w:rtl/>
        </w:rPr>
        <w:t xml:space="preserve">خياط ، ملا علي -فنائي اصفهاني ، علي</w:t>
      </w:r>
    </w:p>
    <w:p>
      <w:pPr>
        <w:pStyle w:val="Heading2"/>
      </w:pPr>
      <w:bookmarkStart w:id="4252" w:name="_Toc3354"/>
      <w:r>
        <w:t>خياط ، يوسف بن عيسى - 1321 ه-</w:t>
      </w:r>
      <w:bookmarkEnd w:id="4252"/>
    </w:p>
    <w:p>
      <w:pPr>
        <w:pStyle w:val="BookText"/>
      </w:pPr>
      <w:r>
        <w:rPr>
          <w:rFonts w:ascii="Amiri" w:hAnsi="Amiri" w:eastAsia="Amiri" w:cs="Amiri"/>
          <w:lang w:bidi="ar-SA"/>
          <w:color w:val="111111"/>
          <w:sz w:val="28"/>
          <w:szCs w:val="28"/>
          <w:rtl/>
        </w:rPr>
        <w:t xml:space="preserve">1 .اخبار كلدان الملبار، ج 1، ص 534</w:t>
      </w:r>
    </w:p>
    <w:p>
      <w:pPr>
        <w:pStyle w:val="BookText"/>
      </w:pPr>
      <w:r>
        <w:rPr>
          <w:rFonts w:ascii="IRNazanin" w:hAnsi="IRNazanin" w:eastAsia="IRNazanin" w:cs="IRNazanin"/>
          <w:lang w:bidi="fa-IR"/>
          <w:color w:val="111111"/>
          <w:sz w:val="28"/>
          <w:szCs w:val="28"/>
          <w:rtl/>
        </w:rPr>
        <w:t xml:space="preserve">2 .قلائد الفرائد، ج 12، ص 762.</w:t>
      </w:r>
    </w:p>
    <w:p>
      <w:pPr>
        <w:pStyle w:val="Heading2"/>
      </w:pPr>
      <w:bookmarkStart w:id="4253" w:name="_Toc3355"/>
      <w:r>
        <w:t>خيالي ، احمد بن موسی 829 - 862؟ ه-</w:t>
      </w:r>
      <w:bookmarkEnd w:id="4253"/>
    </w:p>
    <w:p>
      <w:pPr>
        <w:pStyle w:val="BookText"/>
      </w:pPr>
      <w:r>
        <w:rPr>
          <w:rFonts w:ascii="Amiri" w:hAnsi="Amiri" w:eastAsia="Amiri" w:cs="Amiri"/>
          <w:lang w:bidi="ar-SA"/>
          <w:color w:val="111111"/>
          <w:sz w:val="28"/>
          <w:szCs w:val="28"/>
          <w:rtl/>
        </w:rPr>
        <w:t xml:space="preserve">1 .حاشية شرح العقائد العضدية، ج 6،</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IRNazanin" w:hAnsi="IRNazanin" w:eastAsia="IRNazanin" w:cs="IRNazanin"/>
          <w:lang w:bidi="fa-IR"/>
          <w:color w:val="111111"/>
          <w:sz w:val="28"/>
          <w:szCs w:val="28"/>
          <w:rtl/>
        </w:rPr>
        <w:t xml:space="preserve">1394ه-</w:t>
      </w:r>
    </w:p>
    <w:p>
      <w:pPr>
        <w:pStyle w:val="BookText"/>
      </w:pPr>
      <w:r>
        <w:rPr>
          <w:rFonts w:ascii="Amiri" w:hAnsi="Amiri" w:eastAsia="Amiri" w:cs="Amiri"/>
          <w:lang w:bidi="ar-SA"/>
          <w:color w:val="111111"/>
          <w:sz w:val="28"/>
          <w:szCs w:val="28"/>
          <w:rtl/>
        </w:rPr>
        <w:t xml:space="preserve">2 .حاشية شرح العقائد النسفية، ج 6،</w:t>
      </w:r>
    </w:p>
    <w:p>
      <w:pPr>
        <w:pStyle w:val="BookText"/>
      </w:pPr>
      <w:r>
        <w:rPr>
          <w:rFonts w:ascii="IRNazanin" w:hAnsi="IRNazanin" w:eastAsia="IRNazanin" w:cs="IRNazanin"/>
          <w:lang w:bidi="fa-IR"/>
          <w:color w:val="111111"/>
          <w:sz w:val="28"/>
          <w:szCs w:val="28"/>
          <w:rtl/>
        </w:rPr>
        <w:t xml:space="preserve">ص 142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العقائد العضدية، ج9،</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Amiri" w:hAnsi="Amiri" w:eastAsia="Amiri" w:cs="Amiri"/>
          <w:lang w:bidi="ar-SA"/>
          <w:color w:val="111111"/>
          <w:sz w:val="28"/>
          <w:szCs w:val="28"/>
          <w:rtl/>
        </w:rPr>
        <w:t xml:space="preserve">4 .شرح القصيدة النونية في الكلام</w:t>
      </w:r>
    </w:p>
    <w:p>
      <w:pPr>
        <w:pStyle w:val="BookText"/>
      </w:pPr>
      <w:r>
        <w:rPr>
          <w:rFonts w:ascii="IRNazanin" w:hAnsi="IRNazanin" w:eastAsia="IRNazanin" w:cs="IRNazanin"/>
          <w:lang w:bidi="fa-IR"/>
          <w:color w:val="111111"/>
          <w:sz w:val="28"/>
          <w:szCs w:val="28"/>
          <w:rtl/>
        </w:rPr>
        <w:t xml:space="preserve">ج 9، ص 903.</w:t>
      </w:r>
    </w:p>
    <w:p>
      <w:pPr>
        <w:pStyle w:val="BookText"/>
      </w:pPr>
      <w:r>
        <w:rPr>
          <w:rFonts w:ascii="Amiri" w:hAnsi="Amiri" w:eastAsia="Amiri" w:cs="Amiri"/>
          <w:lang w:bidi="ar-SA"/>
          <w:color w:val="111111"/>
          <w:sz w:val="28"/>
          <w:szCs w:val="28"/>
          <w:rtl/>
        </w:rPr>
        <w:t xml:space="preserve">خيالي ، صبغة الله- شهرزوري ، صبغة الله</w:t>
      </w:r>
    </w:p>
    <w:p>
      <w:pPr>
        <w:pStyle w:val="BookText"/>
      </w:pPr>
      <w:r>
        <w:rPr>
          <w:rFonts w:ascii="IRNazanin" w:hAnsi="IRNazanin" w:eastAsia="IRNazanin" w:cs="IRNazanin"/>
          <w:lang w:bidi="fa-IR"/>
          <w:color w:val="111111"/>
          <w:sz w:val="28"/>
          <w:szCs w:val="28"/>
          <w:rtl/>
        </w:rPr>
        <w:t xml:space="preserve">خیام ، ابوالفتح عمر بن ابراهيم- خيام ،</w:t>
      </w:r>
    </w:p>
    <w:p>
      <w:pPr>
        <w:pStyle w:val="BookText"/>
      </w:pPr>
      <w:r>
        <w:rPr>
          <w:rFonts w:ascii="Amiri" w:hAnsi="Amiri" w:eastAsia="Amiri" w:cs="Amiri"/>
          <w:lang w:bidi="ar-SA"/>
          <w:color w:val="111111"/>
          <w:sz w:val="28"/>
          <w:szCs w:val="28"/>
          <w:rtl/>
        </w:rPr>
        <w:t xml:space="preserve">عمر بن ابراهيم</w:t>
      </w:r>
    </w:p>
    <w:p>
      <w:pPr>
        <w:pStyle w:val="Heading2"/>
      </w:pPr>
      <w:bookmarkStart w:id="4254" w:name="_Toc3356"/>
      <w:r>
        <w:t>خیام ، عمر بن ابراهيم - 517 ه-</w:t>
      </w:r>
      <w:bookmarkEnd w:id="4254"/>
    </w:p>
    <w:p>
      <w:pPr>
        <w:pStyle w:val="BookText"/>
      </w:pPr>
      <w:r>
        <w:rPr>
          <w:rFonts w:ascii="IRNazanin" w:hAnsi="IRNazanin" w:eastAsia="IRNazanin" w:cs="IRNazanin"/>
          <w:lang w:bidi="fa-IR"/>
          <w:color w:val="111111"/>
          <w:sz w:val="28"/>
          <w:szCs w:val="28"/>
          <w:rtl/>
        </w:rPr>
        <w:t xml:space="preserve">رباعیات خیام، ج8، ص19.</w:t>
      </w:r>
    </w:p>
    <w:p>
      <w:pPr>
        <w:pStyle w:val="Heading2"/>
      </w:pPr>
      <w:bookmarkStart w:id="4255" w:name="_Toc3357"/>
      <w:r>
        <w:t>خيرآبادي، محمّد صالح بن محمّد شریف</w:t>
      </w:r>
      <w:bookmarkEnd w:id="4255"/>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جلاء مرآة العارفين في ملتمس زين العابدين، ج 5، ص 416.</w:t>
      </w:r>
    </w:p>
    <w:p>
      <w:pPr>
        <w:pStyle w:val="BookText"/>
      </w:pPr>
      <w:r>
        <w:rPr>
          <w:rFonts w:ascii="Amiri" w:hAnsi="Amiri" w:eastAsia="Amiri" w:cs="Amiri"/>
          <w:lang w:bidi="ar-SA"/>
          <w:color w:val="111111"/>
          <w:sz w:val="28"/>
          <w:szCs w:val="28"/>
          <w:rtl/>
        </w:rPr>
        <w:t xml:space="preserve">خير الدين بن ابي السعود -ابن ابي السعود</w:t>
      </w:r>
    </w:p>
    <w:p>
      <w:pPr>
        <w:pStyle w:val="BookText"/>
      </w:pPr>
      <w:r>
        <w:rPr>
          <w:rFonts w:ascii="IRNazanin" w:hAnsi="IRNazanin" w:eastAsia="IRNazanin" w:cs="IRNazanin"/>
          <w:lang w:bidi="fa-IR"/>
          <w:color w:val="111111"/>
          <w:sz w:val="28"/>
          <w:szCs w:val="28"/>
          <w:rtl/>
        </w:rPr>
        <w:t xml:space="preserve">، خیرالدین</w:t>
      </w:r>
    </w:p>
    <w:p>
      <w:pPr>
        <w:pStyle w:val="BookText"/>
      </w:pPr>
      <w:r>
        <w:rPr>
          <w:rFonts w:ascii="Amiri" w:hAnsi="Amiri" w:eastAsia="Amiri" w:cs="Amiri"/>
          <w:lang w:bidi="ar-SA"/>
          <w:color w:val="111111"/>
          <w:sz w:val="28"/>
          <w:szCs w:val="28"/>
          <w:rtl/>
        </w:rPr>
        <w:t xml:space="preserve">خيرالدين بدليسي - بدليسي ، خيرالدين بن</w:t>
      </w:r>
    </w:p>
    <w:p>
      <w:pPr>
        <w:pStyle w:val="BookText"/>
      </w:pPr>
      <w:r>
        <w:rPr>
          <w:rFonts w:ascii="Amiri" w:hAnsi="Amiri" w:eastAsia="Amiri" w:cs="Amiri"/>
          <w:lang w:bidi="ar-SA"/>
          <w:color w:val="111111"/>
          <w:sz w:val="28"/>
          <w:szCs w:val="28"/>
          <w:rtl/>
        </w:rPr>
        <w:t xml:space="preserve">محمّد عباس</w:t>
      </w:r>
    </w:p>
    <w:p>
      <w:pPr>
        <w:pStyle w:val="BookText"/>
      </w:pPr>
      <w:r>
        <w:rPr>
          <w:rFonts w:ascii="Amiri" w:hAnsi="Amiri" w:eastAsia="Amiri" w:cs="Amiri"/>
          <w:lang w:bidi="ar-SA"/>
          <w:color w:val="111111"/>
          <w:sz w:val="28"/>
          <w:szCs w:val="28"/>
          <w:rtl/>
        </w:rPr>
        <w:t xml:space="preserve">خير الدين بن احمد رملي -رملي ، خيرالدين</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4256" w:name="_Toc3358"/>
      <w:r>
        <w:t>خيرالدين، محمّد علي بن حسين، 1312 -</w:t>
      </w:r>
      <w:bookmarkEnd w:id="4256"/>
    </w:p>
    <w:p>
      <w:pPr>
        <w:pStyle w:val="BookText"/>
      </w:pPr>
      <w:r>
        <w:rPr>
          <w:rFonts w:ascii="Amiri" w:hAnsi="Amiri" w:eastAsia="Amiri" w:cs="Amiri"/>
          <w:lang w:bidi="ar-SA"/>
          <w:color w:val="111111"/>
          <w:sz w:val="28"/>
          <w:szCs w:val="28"/>
          <w:rtl/>
        </w:rPr>
        <w:t xml:space="preserve">1.دليم النيسان، ج7، ص 473.</w:t>
      </w:r>
    </w:p>
    <w:p>
      <w:pPr>
        <w:pStyle w:val="BookText"/>
      </w:pPr>
      <w:r>
        <w:rPr>
          <w:rFonts w:ascii="Amiri" w:hAnsi="Amiri" w:eastAsia="Amiri" w:cs="Amiri"/>
          <w:lang w:bidi="ar-SA"/>
          <w:color w:val="111111"/>
          <w:sz w:val="28"/>
          <w:szCs w:val="28"/>
          <w:rtl/>
        </w:rPr>
        <w:t xml:space="preserve">2 .سبحة اللثالي، ج8، ص 697.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سبل السلام في الحكمة و الكلام</w:t>
      </w:r>
    </w:p>
    <w:p>
      <w:pPr>
        <w:pStyle w:val="BookText"/>
      </w:pPr>
      <w:r>
        <w:rPr>
          <w:rFonts w:ascii="IRNazanin" w:hAnsi="IRNazanin" w:eastAsia="IRNazanin" w:cs="IRNazanin"/>
          <w:lang w:bidi="fa-IR"/>
          <w:color w:val="111111"/>
          <w:sz w:val="28"/>
          <w:szCs w:val="28"/>
          <w:rtl/>
        </w:rPr>
        <w:t xml:space="preserve">ج 8، ص 705 .</w:t>
      </w:r>
    </w:p>
    <w:p>
      <w:pPr>
        <w:pStyle w:val="BookText"/>
      </w:pPr>
      <w:r>
        <w:rPr>
          <w:rFonts w:ascii="Amiri" w:hAnsi="Amiri" w:eastAsia="Amiri" w:cs="Amiri"/>
          <w:lang w:bidi="ar-SA"/>
          <w:color w:val="111111"/>
          <w:sz w:val="28"/>
          <w:szCs w:val="28"/>
          <w:rtl/>
        </w:rPr>
        <w:t xml:space="preserve">خيرالله بن محمود العمري- عمري ،</w:t>
      </w:r>
    </w:p>
    <w:p>
      <w:pPr>
        <w:pStyle w:val="BookText"/>
      </w:pPr>
      <w:r>
        <w:rPr>
          <w:rFonts w:ascii="Amiri" w:hAnsi="Amiri" w:eastAsia="Amiri" w:cs="Amiri"/>
          <w:lang w:bidi="ar-SA"/>
          <w:color w:val="111111"/>
          <w:sz w:val="28"/>
          <w:szCs w:val="28"/>
          <w:rtl/>
        </w:rPr>
        <w:t xml:space="preserve">خير الله بن محمود</w:t>
      </w:r>
    </w:p>
    <w:p>
      <w:pPr>
        <w:pStyle w:val="Heading2"/>
      </w:pPr>
      <w:bookmarkStart w:id="4257" w:name="_Toc3359"/>
      <w:r>
        <w:t>خير بزتي ، احمد بن اسماعيل</w:t>
      </w:r>
      <w:bookmarkEnd w:id="4257"/>
    </w:p>
    <w:p>
      <w:pPr>
        <w:pStyle w:val="BookText"/>
      </w:pPr>
      <w:r>
        <w:rPr>
          <w:rFonts w:ascii="Amiri" w:hAnsi="Amiri" w:eastAsia="Amiri" w:cs="Amiri"/>
          <w:lang w:bidi="ar-SA"/>
          <w:color w:val="111111"/>
          <w:sz w:val="28"/>
          <w:szCs w:val="28"/>
          <w:rtl/>
        </w:rPr>
        <w:t xml:space="preserve">شرح الفرائض السراجية، ج 9، ص 785.</w:t>
      </w:r>
    </w:p>
    <w:p>
      <w:pPr>
        <w:pStyle w:val="BookText"/>
      </w:pPr>
      <w:r>
        <w:rPr>
          <w:rFonts w:ascii="Amiri" w:hAnsi="Amiri" w:eastAsia="Amiri" w:cs="Amiri"/>
          <w:lang w:bidi="ar-SA"/>
          <w:color w:val="111111"/>
          <w:sz w:val="28"/>
          <w:szCs w:val="28"/>
          <w:rtl/>
        </w:rPr>
        <w:t xml:space="preserve">خيربيتي ، محمّد بن اسماعيل- خرتبرتي ،</w:t>
      </w:r>
    </w:p>
    <w:p>
      <w:pPr>
        <w:pStyle w:val="BookText"/>
      </w:pPr>
      <w:r>
        <w:rPr>
          <w:rFonts w:ascii="IRNazanin" w:hAnsi="IRNazanin" w:eastAsia="IRNazanin" w:cs="IRNazanin"/>
          <w:lang w:bidi="fa-IR"/>
          <w:color w:val="111111"/>
          <w:sz w:val="28"/>
          <w:szCs w:val="28"/>
          <w:rtl/>
        </w:rPr>
        <w:t xml:space="preserve">محمود بن اسماعیل</w:t>
      </w:r>
    </w:p>
    <w:p>
      <w:pPr>
        <w:pStyle w:val="Heading2"/>
      </w:pPr>
      <w:bookmarkStart w:id="4258" w:name="_Toc3360"/>
      <w:r>
        <w:t>خيري ، مظفر بن محمود</w:t>
      </w:r>
      <w:bookmarkEnd w:id="4258"/>
    </w:p>
    <w:p>
      <w:pPr>
        <w:pStyle w:val="BookText"/>
      </w:pPr>
      <w:r>
        <w:rPr>
          <w:rFonts w:ascii="Amiri" w:hAnsi="Amiri" w:eastAsia="Amiri" w:cs="Amiri"/>
          <w:lang w:bidi="ar-SA"/>
          <w:color w:val="111111"/>
          <w:sz w:val="28"/>
          <w:szCs w:val="28"/>
          <w:rtl/>
        </w:rPr>
        <w:t xml:space="preserve">الطب (كتاب في)، ج 10، ص 744 .</w:t>
      </w:r>
    </w:p>
    <w:p>
      <w:pPr>
        <w:pStyle w:val="BookText"/>
      </w:pPr>
      <w:r>
        <w:rPr>
          <w:rFonts w:ascii="Amiri" w:hAnsi="Amiri" w:eastAsia="Amiri" w:cs="Amiri"/>
          <w:lang w:bidi="ar-SA"/>
          <w:color w:val="111111"/>
          <w:sz w:val="28"/>
          <w:szCs w:val="28"/>
          <w:rtl/>
        </w:rPr>
        <w:t xml:space="preserve">خيمي ، محمّد بن عبد المنعم- ابن</w:t>
      </w:r>
    </w:p>
    <w:p>
      <w:pPr>
        <w:pStyle w:val="BookText"/>
      </w:pPr>
      <w:r>
        <w:rPr>
          <w:rFonts w:ascii="Amiri" w:hAnsi="Amiri" w:eastAsia="Amiri" w:cs="Amiri"/>
          <w:lang w:bidi="ar-SA"/>
          <w:color w:val="111111"/>
          <w:sz w:val="28"/>
          <w:szCs w:val="28"/>
          <w:rtl/>
        </w:rPr>
        <w:t xml:space="preserve">الخيمي ، محمّد بن عبد المنعم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5" w:name="pg7742_70346"/>
    <w:bookmarkEnd w:id="475"/>
    <w:p>
      <w:pPr>
        <w:pStyle w:val="Heading2"/>
      </w:pPr>
      <w:bookmarkStart w:id="4259" w:name="_Toc3361"/>
      <w:r>
        <w:t>خيضري، محمّد بن محمّد 821-894 ه-</w:t>
      </w:r>
      <w:bookmarkEnd w:id="4259"/>
    </w:p>
    <w:p>
      <w:pPr>
        <w:pStyle w:val="BookText"/>
      </w:pPr>
      <w:r>
        <w:rPr>
          <w:rFonts w:ascii="Amiri" w:hAnsi="Amiri" w:eastAsia="Amiri" w:cs="Amiri"/>
          <w:lang w:bidi="ar-SA"/>
          <w:color w:val="111111"/>
          <w:sz w:val="28"/>
          <w:szCs w:val="28"/>
          <w:rtl/>
        </w:rPr>
        <w:t xml:space="preserve">1 .اجازة للسيد عبد القادر بن محمد</w:t>
      </w:r>
    </w:p>
    <w:p>
      <w:pPr>
        <w:pStyle w:val="BookText"/>
      </w:pPr>
      <w:r>
        <w:rPr>
          <w:rFonts w:ascii="Amiri" w:hAnsi="Amiri" w:eastAsia="Amiri" w:cs="Amiri"/>
          <w:lang w:bidi="ar-SA"/>
          <w:color w:val="111111"/>
          <w:sz w:val="28"/>
          <w:szCs w:val="28"/>
          <w:rtl/>
        </w:rPr>
        <w:t xml:space="preserve">النعيمي، ج 1، ص 252.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الاكتساب في تلخيص (معرفة) كتب</w:t>
      </w:r>
    </w:p>
    <w:p>
      <w:pPr>
        <w:pStyle w:val="BookText"/>
      </w:pPr>
      <w:r>
        <w:rPr>
          <w:rFonts w:ascii="IRNazanin" w:hAnsi="IRNazanin" w:eastAsia="IRNazanin" w:cs="IRNazanin"/>
          <w:lang w:bidi="fa-IR"/>
          <w:color w:val="111111"/>
          <w:sz w:val="28"/>
          <w:szCs w:val="28"/>
          <w:rtl/>
        </w:rPr>
        <w:t xml:space="preserve">الانساب، ج 2، ص 639.</w:t>
      </w:r>
    </w:p>
    <w:p>
      <w:pPr>
        <w:pStyle w:val="BookText"/>
      </w:pPr>
      <w:r>
        <w:rPr>
          <w:rFonts w:ascii="Amiri" w:hAnsi="Amiri" w:eastAsia="Amiri" w:cs="Amiri"/>
          <w:lang w:bidi="ar-SA"/>
          <w:color w:val="111111"/>
          <w:sz w:val="28"/>
          <w:szCs w:val="28"/>
          <w:rtl/>
        </w:rPr>
        <w:t xml:space="preserve">3 .الروض النضر في حال الخضر، ج8،</w:t>
      </w:r>
    </w:p>
    <w:p>
      <w:pPr>
        <w:pStyle w:val="BookText"/>
      </w:pPr>
      <w:r>
        <w:rPr>
          <w:rFonts w:ascii="IRNazanin" w:hAnsi="IRNazanin" w:eastAsia="IRNazanin" w:cs="IRNazanin"/>
          <w:lang w:bidi="fa-IR"/>
          <w:color w:val="111111"/>
          <w:sz w:val="28"/>
          <w:szCs w:val="28"/>
          <w:rtl/>
        </w:rPr>
        <w:t xml:space="preserve">ص 471.</w:t>
      </w:r>
    </w:p>
    <w:p>
      <w:pPr>
        <w:pStyle w:val="BookText"/>
      </w:pPr>
      <w:r>
        <w:rPr>
          <w:rFonts w:ascii="Amiri" w:hAnsi="Amiri" w:eastAsia="Amiri" w:cs="Amiri"/>
          <w:lang w:bidi="ar-SA"/>
          <w:color w:val="111111"/>
          <w:sz w:val="28"/>
          <w:szCs w:val="28"/>
          <w:rtl/>
        </w:rPr>
        <w:t xml:space="preserve">4 .العقد الفريد و الجوهر النضيد</w:t>
      </w:r>
    </w:p>
    <w:p>
      <w:pPr>
        <w:pStyle w:val="BookText"/>
      </w:pPr>
      <w:r>
        <w:rPr>
          <w:rFonts w:ascii="IRNazanin" w:hAnsi="IRNazanin" w:eastAsia="IRNazanin" w:cs="IRNazanin"/>
          <w:lang w:bidi="fa-IR"/>
          <w:color w:val="111111"/>
          <w:sz w:val="28"/>
          <w:szCs w:val="28"/>
          <w:rtl/>
        </w:rPr>
        <w:t xml:space="preserve">ج 11، ص 172.</w:t>
      </w:r>
    </w:p>
    <w:p>
      <w:pPr>
        <w:pStyle w:val="BookText"/>
      </w:pPr>
      <w:r>
        <w:rPr>
          <w:rFonts w:ascii="Amiri" w:hAnsi="Amiri" w:eastAsia="Amiri" w:cs="Amiri"/>
          <w:lang w:bidi="ar-SA"/>
          <w:color w:val="111111"/>
          <w:sz w:val="28"/>
          <w:szCs w:val="28"/>
          <w:rtl/>
        </w:rPr>
        <w:t xml:space="preserve">5 .اللمع الالمعية لاعيان الشافعية</w:t>
      </w:r>
    </w:p>
    <w:p>
      <w:pPr>
        <w:pStyle w:val="BookText"/>
      </w:pPr>
      <w:r>
        <w:rPr>
          <w:rFonts w:ascii="IRNazanin" w:hAnsi="IRNazanin" w:eastAsia="IRNazanin" w:cs="IRNazanin"/>
          <w:lang w:bidi="fa-IR"/>
          <w:color w:val="111111"/>
          <w:sz w:val="28"/>
          <w:szCs w:val="28"/>
          <w:rtl/>
        </w:rPr>
        <w:t xml:space="preserve">ج 13، ص 617.</w:t>
      </w:r>
    </w:p>
    <w:p>
      <w:pPr>
        <w:pStyle w:val="BookText"/>
      </w:pPr>
      <w:r>
        <w:rPr>
          <w:rFonts w:ascii="Amiri" w:hAnsi="Amiri" w:eastAsia="Amiri" w:cs="Amiri"/>
          <w:lang w:bidi="ar-SA"/>
          <w:color w:val="111111"/>
          <w:sz w:val="28"/>
          <w:szCs w:val="28"/>
          <w:rtl/>
        </w:rPr>
        <w:t xml:space="preserve">6 .اللواء المعلم في شرح مواطن الصلاة</w:t>
      </w:r>
    </w:p>
    <w:p>
      <w:pPr>
        <w:pStyle w:val="BookText"/>
      </w:pPr>
      <w:r>
        <w:rPr>
          <w:rFonts w:ascii="Amiri" w:hAnsi="Amiri" w:eastAsia="Amiri" w:cs="Amiri"/>
          <w:lang w:bidi="ar-SA"/>
          <w:color w:val="111111"/>
          <w:sz w:val="28"/>
          <w:szCs w:val="28"/>
          <w:rtl/>
        </w:rPr>
        <w:t xml:space="preserve">على النبي المحترم، ج13، ص 631.</w:t>
      </w:r>
    </w:p>
    <w:p>
      <w:pPr>
        <w:pStyle w:val="Heading2"/>
      </w:pPr>
      <w:bookmarkStart w:id="4260" w:name="_Toc3362"/>
      <w:r>
        <w:t>خيفي ، ابوسعيد</w:t>
      </w:r>
      <w:bookmarkEnd w:id="4260"/>
    </w:p>
    <w:p>
      <w:pPr>
        <w:pStyle w:val="BookText"/>
      </w:pPr>
      <w:r>
        <w:rPr>
          <w:rFonts w:ascii="Amiri" w:hAnsi="Amiri" w:eastAsia="Amiri" w:cs="Amiri"/>
          <w:lang w:bidi="ar-SA"/>
          <w:color w:val="111111"/>
          <w:sz w:val="28"/>
          <w:szCs w:val="28"/>
          <w:rtl/>
        </w:rPr>
        <w:t xml:space="preserve">الوعظ و التفسير (رسالة في)، ج 16 ،</w:t>
      </w:r>
    </w:p>
    <w:p>
      <w:pPr>
        <w:pStyle w:val="BookText"/>
      </w:pPr>
      <w:r>
        <w:rPr>
          <w:rFonts w:ascii="IRNazanin" w:hAnsi="IRNazanin" w:eastAsia="IRNazanin" w:cs="IRNazanin"/>
          <w:lang w:bidi="fa-IR"/>
          <w:color w:val="111111"/>
          <w:sz w:val="28"/>
          <w:szCs w:val="28"/>
          <w:rtl/>
        </w:rPr>
        <w:t xml:space="preserve">ص 843.</w:t>
      </w:r>
    </w:p>
    <w:p>
      <w:pPr>
        <w:pStyle w:val="Heading2"/>
      </w:pPr>
      <w:bookmarkStart w:id="4261" w:name="_Toc3363"/>
      <w:r>
        <w:t>خيقاني ، محمّد علي بن بشاره</w:t>
      </w:r>
      <w:bookmarkEnd w:id="4261"/>
    </w:p>
    <w:p>
      <w:pPr>
        <w:pStyle w:val="BookText"/>
      </w:pPr>
      <w:r>
        <w:rPr>
          <w:rFonts w:ascii="Amiri" w:hAnsi="Amiri" w:eastAsia="Amiri" w:cs="Amiri"/>
          <w:lang w:bidi="ar-SA"/>
          <w:color w:val="111111"/>
          <w:sz w:val="28"/>
          <w:szCs w:val="28"/>
          <w:rtl/>
        </w:rPr>
        <w:t xml:space="preserve">1 .نتائج الأفكار و محاسن الأشعار</w:t>
      </w:r>
    </w:p>
    <w:p>
      <w:pPr>
        <w:pStyle w:val="BookText"/>
      </w:pPr>
      <w:r>
        <w:rPr>
          <w:rFonts w:ascii="IRNazanin" w:hAnsi="IRNazanin" w:eastAsia="IRNazanin" w:cs="IRNazanin"/>
          <w:lang w:bidi="fa-IR"/>
          <w:color w:val="111111"/>
          <w:sz w:val="28"/>
          <w:szCs w:val="28"/>
          <w:rtl/>
        </w:rPr>
        <w:t xml:space="preserve">ج 16، ص 129 .</w:t>
      </w:r>
    </w:p>
    <w:p>
      <w:pPr>
        <w:pStyle w:val="BookText"/>
      </w:pPr>
      <w:r>
        <w:rPr>
          <w:rFonts w:ascii="Amiri" w:hAnsi="Amiri" w:eastAsia="Amiri" w:cs="Amiri"/>
          <w:lang w:bidi="ar-SA"/>
          <w:color w:val="111111"/>
          <w:sz w:val="28"/>
          <w:szCs w:val="28"/>
          <w:rtl/>
        </w:rPr>
        <w:t xml:space="preserve">2 .نشوة السلافة و محل الاضافة</w:t>
      </w:r>
    </w:p>
    <w:p>
      <w:pPr>
        <w:pStyle w:val="BookText"/>
      </w:pPr>
      <w:r>
        <w:rPr>
          <w:rFonts w:ascii="IRNazanin" w:hAnsi="IRNazanin" w:eastAsia="IRNazanin" w:cs="IRNazanin"/>
          <w:lang w:bidi="fa-IR"/>
          <w:color w:val="111111"/>
          <w:sz w:val="28"/>
          <w:szCs w:val="28"/>
          <w:rtl/>
        </w:rPr>
        <w:t xml:space="preserve">ج 16، ص 291.</w:t>
      </w:r>
    </w:p>
    <w:p>
      <w:pPr>
        <w:pStyle w:val="BookText"/>
      </w:pPr>
      <w:r>
        <w:rPr>
          <w:rFonts w:ascii="IRNazanin" w:hAnsi="IRNazanin" w:eastAsia="IRNazanin" w:cs="IRNazanin"/>
          <w:lang w:bidi="fa-IR"/>
          <w:color w:val="111111"/>
          <w:sz w:val="28"/>
          <w:szCs w:val="28"/>
          <w:rtl/>
        </w:rPr>
        <w:t xml:space="preserve">خيوقي ، احمد بن عمر- نجم الدین کبری</w:t>
      </w:r>
    </w:p>
    <w:p>
      <w:pPr>
        <w:pStyle w:val="BookText"/>
      </w:pPr>
      <w:r>
        <w:rPr>
          <w:rFonts w:ascii="IRNazanin" w:hAnsi="IRNazanin" w:eastAsia="IRNazanin" w:cs="IRNazanin"/>
          <w:lang w:bidi="fa-IR"/>
          <w:color w:val="111111"/>
          <w:sz w:val="28"/>
          <w:szCs w:val="28"/>
          <w:rtl/>
        </w:rPr>
        <w:t xml:space="preserve">، احمد بن عمر</w:t>
      </w:r>
    </w:p>
    <w:p>
      <w:pPr>
        <w:pStyle w:val="BookText"/>
      </w:pPr>
      <w:r>
        <w:rPr>
          <w:rFonts w:ascii="Amiri" w:hAnsi="Amiri" w:eastAsia="Amiri" w:cs="Amiri"/>
          <w:lang w:bidi="ar-SA"/>
          <w:color w:val="111111"/>
          <w:sz w:val="28"/>
          <w:szCs w:val="28"/>
          <w:rtl/>
        </w:rPr>
        <w:t xml:space="preserve">دولي ، ابوالاسود -ابوالاسود دولي</w:t>
      </w:r>
    </w:p>
    <w:p>
      <w:pPr>
        <w:pStyle w:val="Heading2"/>
      </w:pPr>
      <w:bookmarkStart w:id="4262" w:name="_Toc3364"/>
      <w:r>
        <w:t>دادسي، علي بن محمّد - 1094 ه-</w:t>
      </w:r>
      <w:bookmarkEnd w:id="4262"/>
    </w:p>
    <w:p>
      <w:pPr>
        <w:pStyle w:val="BookText"/>
      </w:pPr>
      <w:r>
        <w:rPr>
          <w:rFonts w:ascii="Amiri" w:hAnsi="Amiri" w:eastAsia="Amiri" w:cs="Amiri"/>
          <w:lang w:bidi="ar-SA"/>
          <w:color w:val="111111"/>
          <w:sz w:val="28"/>
          <w:szCs w:val="28"/>
          <w:rtl/>
        </w:rPr>
        <w:t xml:space="preserve">فتح المقيت في شرح اليواقيت، ج11،</w:t>
      </w:r>
    </w:p>
    <w:p>
      <w:pPr>
        <w:pStyle w:val="BookText"/>
      </w:pPr>
      <w:r>
        <w:rPr>
          <w:rFonts w:ascii="IRNazanin" w:hAnsi="IRNazanin" w:eastAsia="IRNazanin" w:cs="IRNazanin"/>
          <w:lang w:bidi="fa-IR"/>
          <w:color w:val="111111"/>
          <w:sz w:val="28"/>
          <w:szCs w:val="28"/>
          <w:rtl/>
        </w:rPr>
        <w:t xml:space="preserve">ص 684 .</w:t>
      </w:r>
    </w:p>
    <w:p>
      <w:pPr>
        <w:pStyle w:val="Heading2"/>
      </w:pPr>
      <w:bookmarkStart w:id="4263" w:name="_Toc3365"/>
      <w:r>
        <w:t>دادیشوع نجار ، یوسف، قرن 20 م</w:t>
      </w:r>
      <w:bookmarkEnd w:id="4263"/>
    </w:p>
    <w:p>
      <w:pPr>
        <w:pStyle w:val="BookText"/>
      </w:pPr>
      <w:r>
        <w:rPr>
          <w:rFonts w:ascii="Amiri" w:hAnsi="Amiri" w:eastAsia="Amiri" w:cs="Amiri"/>
          <w:lang w:bidi="ar-SA"/>
          <w:color w:val="111111"/>
          <w:sz w:val="28"/>
          <w:szCs w:val="28"/>
          <w:rtl/>
        </w:rPr>
        <w:t xml:space="preserve">مختصر التعليم المسيحي، ج 14،</w:t>
      </w:r>
    </w:p>
    <w:p>
      <w:pPr>
        <w:pStyle w:val="BookText"/>
      </w:pPr>
      <w:r>
        <w:rPr>
          <w:rFonts w:ascii="IRNazanin" w:hAnsi="IRNazanin" w:eastAsia="IRNazanin" w:cs="IRNazanin"/>
          <w:lang w:bidi="fa-IR"/>
          <w:color w:val="111111"/>
          <w:sz w:val="28"/>
          <w:szCs w:val="28"/>
          <w:rtl/>
        </w:rPr>
        <w:t xml:space="preserve">ص 182 .</w:t>
      </w:r>
    </w:p>
    <w:p>
      <w:pPr>
        <w:pStyle w:val="BookText"/>
      </w:pPr>
      <w:r>
        <w:rPr>
          <w:rFonts w:ascii="IRNazanin" w:hAnsi="IRNazanin" w:eastAsia="IRNazanin" w:cs="IRNazanin"/>
          <w:lang w:bidi="fa-IR"/>
          <w:color w:val="111111"/>
          <w:sz w:val="28"/>
          <w:szCs w:val="28"/>
          <w:rtl/>
        </w:rPr>
        <w:t xml:space="preserve">دارابگردي ، محمّد بن ابي بكر -فارسي محمّد بن ابي بكر</w:t>
      </w:r>
    </w:p>
    <w:p>
      <w:pPr>
        <w:pStyle w:val="BookText"/>
      </w:pPr>
      <w:r>
        <w:rPr>
          <w:rFonts w:ascii="Amiri" w:hAnsi="Amiri" w:eastAsia="Amiri" w:cs="Amiri"/>
          <w:lang w:bidi="ar-SA"/>
          <w:color w:val="111111"/>
          <w:sz w:val="28"/>
          <w:szCs w:val="28"/>
          <w:rtl/>
        </w:rPr>
        <w:t xml:space="preserve">دارابي بروجردي ، جعفر-كشفي ، جعفر</w:t>
      </w:r>
    </w:p>
    <w:p>
      <w:pPr>
        <w:pStyle w:val="BookText"/>
      </w:pPr>
      <w:r>
        <w:rPr>
          <w:rFonts w:ascii="Amiri" w:hAnsi="Amiri" w:eastAsia="Amiri" w:cs="Amiri"/>
          <w:lang w:bidi="ar-SA"/>
          <w:color w:val="111111"/>
          <w:sz w:val="28"/>
          <w:szCs w:val="28"/>
          <w:rtl/>
        </w:rPr>
        <w:t xml:space="preserve">بن ابي اسحاق</w:t>
      </w:r>
    </w:p>
    <w:p>
      <w:pPr>
        <w:pStyle w:val="BookText"/>
      </w:pPr>
      <w:r>
        <w:rPr>
          <w:rFonts w:ascii="Amiri" w:hAnsi="Amiri" w:eastAsia="Amiri" w:cs="Amiri"/>
          <w:lang w:bidi="ar-SA"/>
          <w:color w:val="111111"/>
          <w:sz w:val="28"/>
          <w:szCs w:val="28"/>
          <w:rtl/>
        </w:rPr>
        <w:t xml:space="preserve">دارابي ، جعفر بن اسحاق- كشفي ، جعفر</w:t>
      </w:r>
    </w:p>
    <w:p>
      <w:pPr>
        <w:pStyle w:val="BookText"/>
      </w:pPr>
      <w:r>
        <w:rPr>
          <w:rFonts w:ascii="Amiri" w:hAnsi="Amiri" w:eastAsia="Amiri" w:cs="Amiri"/>
          <w:lang w:bidi="ar-SA"/>
          <w:color w:val="111111"/>
          <w:sz w:val="28"/>
          <w:szCs w:val="28"/>
          <w:rtl/>
        </w:rPr>
        <w:t xml:space="preserve">بن ابي اسحاق</w:t>
      </w:r>
    </w:p>
    <w:p>
      <w:pPr>
        <w:pStyle w:val="Heading2"/>
      </w:pPr>
      <w:bookmarkStart w:id="4264" w:name="_Toc3366"/>
      <w:r>
        <w:t>دارابي ، شاه محمّد بن محمّد 1027؟ -</w:t>
      </w:r>
      <w:bookmarkEnd w:id="4264"/>
    </w:p>
    <w:p>
      <w:pPr>
        <w:pStyle w:val="BookText"/>
      </w:pPr>
      <w:r>
        <w:rPr>
          <w:rFonts w:ascii="IRNazanin" w:hAnsi="IRNazanin" w:eastAsia="IRNazanin" w:cs="IRNazanin"/>
          <w:lang w:bidi="fa-IR"/>
          <w:color w:val="111111"/>
          <w:sz w:val="28"/>
          <w:szCs w:val="28"/>
          <w:rtl/>
        </w:rPr>
        <w:t xml:space="preserve">1147؟ ه-</w:t>
      </w:r>
    </w:p>
    <w:p>
      <w:pPr>
        <w:pStyle w:val="BookText"/>
      </w:pPr>
      <w:r>
        <w:rPr>
          <w:rFonts w:ascii="Amiri" w:hAnsi="Amiri" w:eastAsia="Amiri" w:cs="Amiri"/>
          <w:lang w:bidi="ar-SA"/>
          <w:color w:val="111111"/>
          <w:sz w:val="28"/>
          <w:szCs w:val="28"/>
          <w:rtl/>
        </w:rPr>
        <w:t xml:space="preserve">1 .تقسيم الواجب و الممكن و الممتنع</w:t>
      </w:r>
    </w:p>
    <w:p>
      <w:pPr>
        <w:pStyle w:val="BookText"/>
      </w:pPr>
      <w:r>
        <w:rPr>
          <w:rFonts w:ascii="Amiri" w:hAnsi="Amiri" w:eastAsia="Amiri" w:cs="Amiri"/>
          <w:lang w:bidi="ar-SA"/>
          <w:color w:val="111111"/>
          <w:sz w:val="28"/>
          <w:szCs w:val="28"/>
          <w:rtl/>
        </w:rPr>
        <w:t xml:space="preserve">(رسالة في)، ج4، ص788.</w:t>
      </w:r>
    </w:p>
    <w:p>
      <w:pPr>
        <w:pStyle w:val="BookText"/>
      </w:pPr>
      <w:r>
        <w:rPr>
          <w:rFonts w:ascii="IRNazanin" w:hAnsi="IRNazanin" w:eastAsia="IRNazanin" w:cs="IRNazanin"/>
          <w:lang w:bidi="fa-IR"/>
          <w:color w:val="111111"/>
          <w:sz w:val="28"/>
          <w:szCs w:val="28"/>
          <w:rtl/>
        </w:rPr>
        <w:t xml:space="preserve">2 .فرض المحال، ج 11، ص 786.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لطيفه غيبيه = شرح دیوان خواجه</w:t>
      </w:r>
    </w:p>
    <w:p>
      <w:pPr>
        <w:pStyle w:val="BookText"/>
      </w:pPr>
      <w:r>
        <w:rPr>
          <w:rFonts w:ascii="Amiri" w:hAnsi="Amiri" w:eastAsia="Amiri" w:cs="Amiri"/>
          <w:lang w:bidi="ar-SA"/>
          <w:color w:val="111111"/>
          <w:sz w:val="28"/>
          <w:szCs w:val="28"/>
          <w:rtl/>
        </w:rPr>
        <w:t xml:space="preserve">حافظ شيرازي، ج 13، ص 585.</w:t>
      </w:r>
    </w:p>
    <w:p>
      <w:pPr>
        <w:pStyle w:val="BookText"/>
      </w:pPr>
      <w:r>
        <w:rPr>
          <w:rFonts w:ascii="Amiri" w:hAnsi="Amiri" w:eastAsia="Amiri" w:cs="Amiri"/>
          <w:lang w:bidi="ar-SA"/>
          <w:color w:val="111111"/>
          <w:sz w:val="28"/>
          <w:szCs w:val="28"/>
          <w:rtl/>
        </w:rPr>
        <w:t xml:space="preserve">4 .معراج الكمال، ج 15، ص 33.</w:t>
      </w:r>
    </w:p>
    <w:p>
      <w:pPr>
        <w:pStyle w:val="Heading2"/>
      </w:pPr>
      <w:bookmarkStart w:id="4265" w:name="_Toc3367"/>
      <w:r>
        <w:t>دارابي، صبغة الله بن جعفر، قرن 13 ه-</w:t>
      </w:r>
      <w:bookmarkEnd w:id="4265"/>
    </w:p>
    <w:p>
      <w:pPr>
        <w:pStyle w:val="BookText"/>
      </w:pPr>
      <w:r>
        <w:rPr>
          <w:rFonts w:ascii="Amiri" w:hAnsi="Amiri" w:eastAsia="Amiri" w:cs="Amiri"/>
          <w:lang w:bidi="ar-SA"/>
          <w:color w:val="111111"/>
          <w:sz w:val="28"/>
          <w:szCs w:val="28"/>
          <w:rtl/>
        </w:rPr>
        <w:t xml:space="preserve">1 .بصائر الايمان في تفسير القرآن - درة الصفا في تفسير ائمة الهدى</w:t>
      </w:r>
    </w:p>
    <w:p>
      <w:pPr>
        <w:pStyle w:val="BookText"/>
      </w:pPr>
      <w:r>
        <w:rPr>
          <w:rFonts w:ascii="IRNazanin" w:hAnsi="IRNazanin" w:eastAsia="IRNazanin" w:cs="IRNazanin"/>
          <w:lang w:bidi="fa-IR"/>
          <w:color w:val="111111"/>
          <w:sz w:val="28"/>
          <w:szCs w:val="28"/>
          <w:rtl/>
        </w:rPr>
        <w:t xml:space="preserve">ج 3، ص 343.</w:t>
      </w:r>
    </w:p>
    <w:p>
      <w:pPr>
        <w:pStyle w:val="BookText"/>
      </w:pPr>
      <w:r>
        <w:rPr>
          <w:rFonts w:ascii="Amiri" w:hAnsi="Amiri" w:eastAsia="Amiri" w:cs="Amiri"/>
          <w:lang w:bidi="ar-SA"/>
          <w:color w:val="111111"/>
          <w:sz w:val="28"/>
          <w:szCs w:val="28"/>
          <w:rtl/>
        </w:rPr>
        <w:t xml:space="preserve">2 .مفاتيح الكلام في شرح درر النظام</w:t>
      </w:r>
    </w:p>
    <w:p>
      <w:pPr>
        <w:pStyle w:val="BookText"/>
      </w:pPr>
      <w:r>
        <w:rPr>
          <w:rFonts w:ascii="IRNazanin" w:hAnsi="IRNazanin" w:eastAsia="IRNazanin" w:cs="IRNazanin"/>
          <w:lang w:bidi="fa-IR"/>
          <w:color w:val="111111"/>
          <w:sz w:val="28"/>
          <w:szCs w:val="28"/>
          <w:rtl/>
        </w:rPr>
        <w:t xml:space="preserve">ج ،15، ص 177</w:t>
      </w:r>
    </w:p>
    <w:p>
      <w:pPr>
        <w:pStyle w:val="Heading2"/>
      </w:pPr>
      <w:bookmarkStart w:id="4266" w:name="_Toc3368"/>
      <w:r>
        <w:t>دارارب ، شريف بن علي، قرن 10 ه-</w:t>
      </w:r>
      <w:bookmarkEnd w:id="4266"/>
    </w:p>
    <w:p>
      <w:pPr>
        <w:pStyle w:val="BookText"/>
      </w:pPr>
      <w:r>
        <w:rPr>
          <w:rFonts w:ascii="Amiri" w:hAnsi="Amiri" w:eastAsia="Amiri" w:cs="Amiri"/>
          <w:lang w:bidi="ar-SA"/>
          <w:color w:val="111111"/>
          <w:sz w:val="28"/>
          <w:szCs w:val="28"/>
          <w:rtl/>
        </w:rPr>
        <w:t xml:space="preserve">جوامع الادوية المفردة، ج 5، ص 520.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6" w:name="pg7742_70348"/>
    <w:bookmarkEnd w:id="476"/>
    <w:p>
      <w:pPr>
        <w:pStyle w:val="Heading2"/>
      </w:pPr>
      <w:bookmarkStart w:id="4267" w:name="_Toc3369"/>
      <w:r>
        <w:t>داراشکوه ،بابري، 1024 - 1069 ه-</w:t>
      </w:r>
      <w:bookmarkEnd w:id="4267"/>
    </w:p>
    <w:p>
      <w:pPr>
        <w:pStyle w:val="BookText"/>
      </w:pPr>
      <w:r>
        <w:rPr>
          <w:rFonts w:ascii="IRNazanin" w:hAnsi="IRNazanin" w:eastAsia="IRNazanin" w:cs="IRNazanin"/>
          <w:lang w:bidi="fa-IR"/>
          <w:color w:val="111111"/>
          <w:sz w:val="28"/>
          <w:szCs w:val="28"/>
          <w:rtl/>
        </w:rPr>
        <w:t xml:space="preserve">اکبر = اوپانیشاد (ترجمه)، ج8،</w:t>
      </w:r>
    </w:p>
    <w:p>
      <w:pPr>
        <w:pStyle w:val="BookText"/>
      </w:pPr>
      <w:r>
        <w:rPr>
          <w:rFonts w:ascii="IRNazanin" w:hAnsi="IRNazanin" w:eastAsia="IRNazanin" w:cs="IRNazanin"/>
          <w:lang w:bidi="fa-IR"/>
          <w:color w:val="111111"/>
          <w:sz w:val="28"/>
          <w:szCs w:val="28"/>
          <w:rtl/>
        </w:rPr>
        <w:t xml:space="preserve">ص 748 .</w:t>
      </w:r>
    </w:p>
    <w:p>
      <w:pPr>
        <w:pStyle w:val="Heading2"/>
      </w:pPr>
      <w:bookmarkStart w:id="4268" w:name="_Toc3370"/>
      <w:r>
        <w:t>داراني ، نجم الدين</w:t>
      </w:r>
      <w:bookmarkEnd w:id="4268"/>
    </w:p>
    <w:p>
      <w:pPr>
        <w:pStyle w:val="BookText"/>
      </w:pPr>
      <w:r>
        <w:rPr>
          <w:rFonts w:ascii="Amiri" w:hAnsi="Amiri" w:eastAsia="Amiri" w:cs="Amiri"/>
          <w:lang w:bidi="ar-SA"/>
          <w:color w:val="111111"/>
          <w:sz w:val="28"/>
          <w:szCs w:val="28"/>
          <w:rtl/>
        </w:rPr>
        <w:t xml:space="preserve">التوحيد (رسالة في)، ج 5، ص 156 .</w:t>
      </w:r>
    </w:p>
    <w:p>
      <w:pPr>
        <w:pStyle w:val="Heading2"/>
      </w:pPr>
      <w:bookmarkStart w:id="4269" w:name="_Toc3371"/>
      <w:r>
        <w:t>دارند ، محمّد</w:t>
      </w:r>
      <w:bookmarkEnd w:id="4269"/>
    </w:p>
    <w:p>
      <w:pPr>
        <w:pStyle w:val="BookText"/>
      </w:pPr>
      <w:r>
        <w:rPr>
          <w:rFonts w:ascii="Amiri" w:hAnsi="Amiri" w:eastAsia="Amiri" w:cs="Amiri"/>
          <w:lang w:bidi="ar-SA"/>
          <w:color w:val="111111"/>
          <w:sz w:val="28"/>
          <w:szCs w:val="28"/>
          <w:rtl/>
        </w:rPr>
        <w:t xml:space="preserve">التفرقة بين مذهب المتأخرين و</w:t>
      </w:r>
    </w:p>
    <w:p>
      <w:pPr>
        <w:pStyle w:val="BookText"/>
      </w:pPr>
      <w:r>
        <w:rPr>
          <w:rFonts w:ascii="Amiri" w:hAnsi="Amiri" w:eastAsia="Amiri" w:cs="Amiri"/>
          <w:lang w:bidi="ar-SA"/>
          <w:color w:val="111111"/>
          <w:sz w:val="28"/>
          <w:szCs w:val="28"/>
          <w:rtl/>
        </w:rPr>
        <w:t xml:space="preserve">القدماء في القضية و التصديق بحث</w:t>
      </w:r>
    </w:p>
    <w:p>
      <w:pPr>
        <w:pStyle w:val="BookText"/>
      </w:pPr>
      <w:r>
        <w:rPr>
          <w:rFonts w:ascii="Amiri" w:hAnsi="Amiri" w:eastAsia="Amiri" w:cs="Amiri"/>
          <w:lang w:bidi="ar-SA"/>
          <w:color w:val="111111"/>
          <w:sz w:val="28"/>
          <w:szCs w:val="28"/>
          <w:rtl/>
        </w:rPr>
        <w:t xml:space="preserve">في)، ج 4، ص 568 .</w:t>
      </w:r>
    </w:p>
    <w:p>
      <w:pPr>
        <w:pStyle w:val="Heading2"/>
      </w:pPr>
      <w:bookmarkStart w:id="4270" w:name="_Toc3372"/>
      <w:r>
        <w:t>دارقطني ، علي بن عمر 306 - 385 ه-</w:t>
      </w:r>
      <w:bookmarkEnd w:id="4270"/>
    </w:p>
    <w:p>
      <w:pPr>
        <w:pStyle w:val="BookText"/>
      </w:pPr>
      <w:r>
        <w:rPr>
          <w:rFonts w:ascii="Amiri" w:hAnsi="Amiri" w:eastAsia="Amiri" w:cs="Amiri"/>
          <w:lang w:bidi="ar-SA"/>
          <w:color w:val="111111"/>
          <w:sz w:val="28"/>
          <w:szCs w:val="28"/>
          <w:rtl/>
        </w:rPr>
        <w:t xml:space="preserve">1 .اخبار عمرو بن عبيد بن باب</w:t>
      </w:r>
    </w:p>
    <w:p>
      <w:pPr>
        <w:pStyle w:val="BookText"/>
      </w:pPr>
      <w:r>
        <w:rPr>
          <w:rFonts w:ascii="Amiri" w:hAnsi="Amiri" w:eastAsia="Amiri" w:cs="Amiri"/>
          <w:lang w:bidi="ar-SA"/>
          <w:color w:val="111111"/>
          <w:sz w:val="28"/>
          <w:szCs w:val="28"/>
          <w:rtl/>
        </w:rPr>
        <w:t xml:space="preserve">البصري المعتزلي و كلامه في القرآن</w:t>
      </w:r>
    </w:p>
    <w:p>
      <w:pPr>
        <w:pStyle w:val="BookText"/>
      </w:pPr>
      <w:r>
        <w:rPr>
          <w:rFonts w:ascii="IRNazanin" w:hAnsi="IRNazanin" w:eastAsia="IRNazanin" w:cs="IRNazanin"/>
          <w:lang w:bidi="fa-IR"/>
          <w:color w:val="111111"/>
          <w:sz w:val="28"/>
          <w:szCs w:val="28"/>
          <w:rtl/>
        </w:rPr>
        <w:t xml:space="preserve">و اظهار بدعه، ج1، ص 532.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حديث، ج 6، ص 557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سنن الدارقطني = المجتني من</w:t>
      </w:r>
    </w:p>
    <w:p>
      <w:pPr>
        <w:pStyle w:val="BookText"/>
      </w:pPr>
      <w:r>
        <w:rPr>
          <w:rFonts w:ascii="Amiri" w:hAnsi="Amiri" w:eastAsia="Amiri" w:cs="Amiri"/>
          <w:lang w:bidi="ar-SA"/>
          <w:color w:val="111111"/>
          <w:sz w:val="28"/>
          <w:szCs w:val="28"/>
          <w:rtl/>
        </w:rPr>
        <w:t xml:space="preserve">السنن المأثورة، ج8، ص 845.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الضعفاء والمتروكون، ج 10، ص 694.</w:t>
      </w:r>
    </w:p>
    <w:p>
      <w:pPr>
        <w:pStyle w:val="BookText"/>
      </w:pPr>
      <w:r>
        <w:rPr>
          <w:rFonts w:ascii="Amiri" w:hAnsi="Amiri" w:eastAsia="Amiri" w:cs="Amiri"/>
          <w:lang w:bidi="ar-SA"/>
          <w:color w:val="111111"/>
          <w:sz w:val="28"/>
          <w:szCs w:val="28"/>
          <w:rtl/>
        </w:rPr>
        <w:t xml:space="preserve">5 .علل الحديث، ج 11، ص 221.</w:t>
      </w:r>
    </w:p>
    <w:p>
      <w:pPr>
        <w:pStyle w:val="BookText"/>
      </w:pPr>
      <w:r>
        <w:rPr>
          <w:rFonts w:ascii="Amiri" w:hAnsi="Amiri" w:eastAsia="Amiri" w:cs="Amiri"/>
          <w:lang w:bidi="ar-SA"/>
          <w:color w:val="111111"/>
          <w:sz w:val="28"/>
          <w:szCs w:val="28"/>
          <w:rtl/>
        </w:rPr>
        <w:t xml:space="preserve">6 .فضائل الصحابة و مناقبهم و قول</w:t>
      </w:r>
    </w:p>
    <w:p>
      <w:pPr>
        <w:pStyle w:val="BookText"/>
      </w:pPr>
      <w:r>
        <w:rPr>
          <w:rFonts w:ascii="Amiri" w:hAnsi="Amiri" w:eastAsia="Amiri" w:cs="Amiri"/>
          <w:lang w:bidi="ar-SA"/>
          <w:color w:val="111111"/>
          <w:sz w:val="28"/>
          <w:szCs w:val="28"/>
          <w:rtl/>
        </w:rPr>
        <w:t xml:space="preserve">بعضهم في بعض، ج 12، ص11.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الفوائد المنتخبة الغرائب العوالي</w:t>
      </w:r>
    </w:p>
    <w:p>
      <w:pPr>
        <w:pStyle w:val="BookText"/>
      </w:pPr>
      <w:r>
        <w:rPr>
          <w:rFonts w:ascii="Amiri" w:hAnsi="Amiri" w:eastAsia="Amiri" w:cs="Amiri"/>
          <w:lang w:bidi="ar-SA"/>
          <w:color w:val="111111"/>
          <w:sz w:val="28"/>
          <w:szCs w:val="28"/>
          <w:rtl/>
        </w:rPr>
        <w:t xml:space="preserve">المنتقي من الفوائد المنتقاة الغرائب العوالي من حديث المزكي</w:t>
      </w:r>
    </w:p>
    <w:p>
      <w:pPr>
        <w:pStyle w:val="BookText"/>
      </w:pPr>
      <w:r>
        <w:rPr>
          <w:rFonts w:ascii="Amiri" w:hAnsi="Amiri" w:eastAsia="Amiri" w:cs="Amiri"/>
          <w:lang w:bidi="ar-SA"/>
          <w:color w:val="111111"/>
          <w:sz w:val="28"/>
          <w:szCs w:val="28"/>
          <w:rtl/>
        </w:rPr>
        <w:t xml:space="preserve">و القطيعي، ج 12، ص 276.</w:t>
      </w:r>
    </w:p>
    <w:p>
      <w:pPr>
        <w:pStyle w:val="BookText"/>
      </w:pPr>
      <w:r>
        <w:rPr>
          <w:rFonts w:ascii="Amiri" w:hAnsi="Amiri" w:eastAsia="Amiri" w:cs="Amiri"/>
          <w:lang w:bidi="ar-SA"/>
          <w:color w:val="111111"/>
          <w:sz w:val="28"/>
          <w:szCs w:val="28"/>
          <w:rtl/>
        </w:rPr>
        <w:t xml:space="preserve">دارقيتي ، عثمان- ملا عثمان دارقته</w:t>
      </w:r>
    </w:p>
    <w:p>
      <w:pPr>
        <w:pStyle w:val="Heading2"/>
      </w:pPr>
      <w:bookmarkStart w:id="4271" w:name="_Toc3373"/>
      <w:r>
        <w:t>دارنده وي ، حمزه افندي - 1167</w:t>
      </w:r>
      <w:bookmarkEnd w:id="4271"/>
    </w:p>
    <w:p>
      <w:pPr>
        <w:pStyle w:val="BookText"/>
      </w:pPr>
      <w:r>
        <w:rPr>
          <w:rFonts w:ascii="Amiri" w:hAnsi="Amiri" w:eastAsia="Amiri" w:cs="Amiri"/>
          <w:lang w:bidi="ar-SA"/>
          <w:color w:val="111111"/>
          <w:sz w:val="28"/>
          <w:szCs w:val="28"/>
          <w:rtl/>
        </w:rPr>
        <w:t xml:space="preserve">1 .حاشية حاشية مير ابي الفتح الشرح</w:t>
      </w:r>
    </w:p>
    <w:p>
      <w:pPr>
        <w:pStyle w:val="BookText"/>
      </w:pPr>
      <w:r>
        <w:rPr>
          <w:rFonts w:ascii="IRNazanin" w:hAnsi="IRNazanin" w:eastAsia="IRNazanin" w:cs="IRNazanin"/>
          <w:lang w:bidi="fa-IR"/>
          <w:color w:val="111111"/>
          <w:sz w:val="28"/>
          <w:szCs w:val="28"/>
          <w:rtl/>
        </w:rPr>
        <w:t xml:space="preserve">آداب البحث، ج 6، ص 11.</w:t>
      </w:r>
    </w:p>
    <w:p>
      <w:pPr>
        <w:pStyle w:val="BookText"/>
      </w:pPr>
      <w:r>
        <w:rPr>
          <w:rFonts w:ascii="Amiri" w:hAnsi="Amiri" w:eastAsia="Amiri" w:cs="Amiri"/>
          <w:lang w:bidi="ar-SA"/>
          <w:color w:val="111111"/>
          <w:sz w:val="28"/>
          <w:szCs w:val="28"/>
          <w:rtl/>
        </w:rPr>
        <w:t xml:space="preserve">2 .الفقه( رسالة في)، ج 12، ص 44.</w:t>
      </w:r>
    </w:p>
    <w:p>
      <w:pPr>
        <w:pStyle w:val="BookText"/>
      </w:pPr>
      <w:r>
        <w:rPr>
          <w:rFonts w:ascii="Amiri" w:hAnsi="Amiri" w:eastAsia="Amiri" w:cs="Amiri"/>
          <w:lang w:bidi="ar-SA"/>
          <w:color w:val="111111"/>
          <w:sz w:val="28"/>
          <w:szCs w:val="28"/>
          <w:rtl/>
        </w:rPr>
        <w:t xml:space="preserve">داري شمني ، احمد بن محمّد- اشموني،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داري ، محمّد بن محمّد -شمني ، محمّد</w:t>
      </w:r>
    </w:p>
    <w:p>
      <w:pPr>
        <w:pStyle w:val="BookText"/>
      </w:pPr>
      <w:r>
        <w:rPr>
          <w:rFonts w:ascii="Amiri" w:hAnsi="Amiri" w:eastAsia="Amiri" w:cs="Amiri"/>
          <w:lang w:bidi="ar-SA"/>
          <w:color w:val="111111"/>
          <w:sz w:val="28"/>
          <w:szCs w:val="28"/>
          <w:rtl/>
        </w:rPr>
        <w:t xml:space="preserve">بن محمّد</w:t>
      </w:r>
    </w:p>
    <w:p>
      <w:pPr>
        <w:pStyle w:val="Heading2"/>
      </w:pPr>
      <w:bookmarkStart w:id="4272" w:name="_Toc3374"/>
      <w:r>
        <w:t>دارین ، شاه محمود</w:t>
      </w:r>
      <w:bookmarkEnd w:id="4272"/>
    </w:p>
    <w:p>
      <w:pPr>
        <w:pStyle w:val="BookText"/>
      </w:pPr>
      <w:r>
        <w:rPr>
          <w:rFonts w:ascii="Amiri" w:hAnsi="Amiri" w:eastAsia="Amiri" w:cs="Amiri"/>
          <w:lang w:bidi="ar-SA"/>
          <w:color w:val="111111"/>
          <w:sz w:val="28"/>
          <w:szCs w:val="28"/>
          <w:rtl/>
        </w:rPr>
        <w:t xml:space="preserve">اخلاق محسني، ج 1، ص 580</w:t>
      </w:r>
    </w:p>
    <w:p>
      <w:pPr>
        <w:pStyle w:val="BookText"/>
      </w:pPr>
      <w:r>
        <w:rPr>
          <w:rFonts w:ascii="Amiri" w:hAnsi="Amiri" w:eastAsia="Amiri" w:cs="Amiri"/>
          <w:lang w:bidi="ar-SA"/>
          <w:color w:val="111111"/>
          <w:sz w:val="28"/>
          <w:szCs w:val="28"/>
          <w:rtl/>
        </w:rPr>
        <w:t xml:space="preserve">داعي ، احمد بن عبدالله -كرمياني ، احمد</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4273" w:name="_Toc3375"/>
      <w:r>
        <w:t>داعي ، ادريس الانف، 832 - 872 ه-</w:t>
      </w:r>
      <w:bookmarkEnd w:id="4273"/>
    </w:p>
    <w:p>
      <w:pPr>
        <w:pStyle w:val="BookText"/>
      </w:pPr>
      <w:r>
        <w:rPr>
          <w:rFonts w:ascii="IRNazanin" w:hAnsi="IRNazanin" w:eastAsia="IRNazanin" w:cs="IRNazanin"/>
          <w:lang w:bidi="fa-IR"/>
          <w:color w:val="111111"/>
          <w:sz w:val="28"/>
          <w:szCs w:val="28"/>
          <w:rtl/>
        </w:rPr>
        <w:t xml:space="preserve">عيون الاخبار و فنون الآثار في ذكر النبي المصطفى المختار و وصیه و آله ج 11، ص 395.</w:t>
      </w:r>
    </w:p>
    <w:p>
      <w:pPr>
        <w:pStyle w:val="BookText"/>
      </w:pPr>
      <w:r>
        <w:rPr>
          <w:rFonts w:ascii="Amiri" w:hAnsi="Amiri" w:eastAsia="Amiri" w:cs="Amiri"/>
          <w:lang w:bidi="ar-SA"/>
          <w:color w:val="111111"/>
          <w:sz w:val="28"/>
          <w:szCs w:val="28"/>
          <w:rtl/>
        </w:rPr>
        <w:t xml:space="preserve">داعي ، حسن بن محمّد -علوي ، حسن</w:t>
      </w:r>
    </w:p>
    <w:p>
      <w:pPr>
        <w:pStyle w:val="BookText"/>
      </w:pPr>
      <w:r>
        <w:rPr>
          <w:rFonts w:ascii="Amiri" w:hAnsi="Amiri" w:eastAsia="Amiri" w:cs="Amiri"/>
          <w:lang w:bidi="ar-SA"/>
          <w:color w:val="111111"/>
          <w:sz w:val="28"/>
          <w:szCs w:val="28"/>
          <w:rtl/>
        </w:rPr>
        <w:t xml:space="preserve">بن محمّد</w:t>
      </w:r>
    </w:p>
    <w:p>
      <w:pPr>
        <w:pStyle w:val="Heading2"/>
      </w:pPr>
      <w:bookmarkStart w:id="4274" w:name="_Toc3376"/>
      <w:r>
        <w:t>داغستاني ، حيدر بن عبدالله قرن 14 ه-</w:t>
      </w:r>
      <w:bookmarkEnd w:id="4274"/>
    </w:p>
    <w:p>
      <w:pPr>
        <w:pStyle w:val="BookText"/>
      </w:pPr>
      <w:r>
        <w:rPr>
          <w:rFonts w:ascii="Amiri" w:hAnsi="Amiri" w:eastAsia="Amiri" w:cs="Amiri"/>
          <w:lang w:bidi="ar-SA"/>
          <w:color w:val="111111"/>
          <w:sz w:val="28"/>
          <w:szCs w:val="28"/>
          <w:rtl/>
        </w:rPr>
        <w:t xml:space="preserve">1 .الجرأة في شرح البرأة، ج 5، ص377</w:t>
      </w:r>
    </w:p>
    <w:p>
      <w:pPr>
        <w:pStyle w:val="BookText"/>
      </w:pPr>
      <w:r>
        <w:rPr>
          <w:rFonts w:ascii="Amiri" w:hAnsi="Amiri" w:eastAsia="Amiri" w:cs="Amiri"/>
          <w:lang w:bidi="ar-SA"/>
          <w:color w:val="111111"/>
          <w:sz w:val="28"/>
          <w:szCs w:val="28"/>
          <w:rtl/>
        </w:rPr>
        <w:t xml:space="preserve">2 .شرح رسالة في علم البيان لاحمد</w:t>
      </w:r>
    </w:p>
    <w:p>
      <w:pPr>
        <w:pStyle w:val="BookText"/>
      </w:pPr>
      <w:r>
        <w:rPr>
          <w:rFonts w:ascii="Amiri" w:hAnsi="Amiri" w:eastAsia="Amiri" w:cs="Amiri"/>
          <w:lang w:bidi="ar-SA"/>
          <w:color w:val="111111"/>
          <w:sz w:val="28"/>
          <w:szCs w:val="28"/>
          <w:rtl/>
        </w:rPr>
        <w:t xml:space="preserve">الكردي، ج 9، ص 547.</w:t>
      </w:r>
    </w:p>
    <w:p>
      <w:pPr>
        <w:pStyle w:val="Heading2"/>
      </w:pPr>
      <w:bookmarkStart w:id="4275" w:name="_Toc3377"/>
      <w:r>
        <w:t>داقوقي ، سليمان بن محمّد</w:t>
      </w:r>
      <w:bookmarkEnd w:id="4275"/>
    </w:p>
    <w:p>
      <w:pPr>
        <w:pStyle w:val="BookText"/>
      </w:pPr>
      <w:r>
        <w:rPr>
          <w:rFonts w:ascii="Amiri" w:hAnsi="Amiri" w:eastAsia="Amiri" w:cs="Amiri"/>
          <w:lang w:bidi="ar-SA"/>
          <w:color w:val="111111"/>
          <w:sz w:val="28"/>
          <w:szCs w:val="28"/>
          <w:rtl/>
        </w:rPr>
        <w:t xml:space="preserve">اتحاف الامة بتواريخ الائمة، ج 1،</w:t>
      </w:r>
    </w:p>
    <w:p>
      <w:pPr>
        <w:pStyle w:val="BookText"/>
      </w:pPr>
      <w:r>
        <w:rPr>
          <w:rFonts w:ascii="IRNazanin" w:hAnsi="IRNazanin" w:eastAsia="IRNazanin" w:cs="IRNazanin"/>
          <w:lang w:bidi="fa-IR"/>
          <w:color w:val="111111"/>
          <w:sz w:val="28"/>
          <w:szCs w:val="28"/>
          <w:rtl/>
        </w:rPr>
        <w:t xml:space="preserve">ص 125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7" w:name="pg7742_70350"/>
    <w:bookmarkEnd w:id="477"/>
    <w:p>
      <w:pPr>
        <w:pStyle w:val="BookText"/>
      </w:pPr>
      <w:r>
        <w:rPr>
          <w:rFonts w:ascii="Amiri" w:hAnsi="Amiri" w:eastAsia="Amiri" w:cs="Amiri"/>
          <w:lang w:bidi="ar-SA"/>
          <w:color w:val="111111"/>
          <w:sz w:val="28"/>
          <w:szCs w:val="28"/>
          <w:rtl/>
        </w:rPr>
        <w:t xml:space="preserve">داماد افندي ، عبد الله الرحمن- شيخي</w:t>
      </w:r>
    </w:p>
    <w:p>
      <w:pPr>
        <w:pStyle w:val="BookText"/>
      </w:pPr>
      <w:r>
        <w:rPr>
          <w:rFonts w:ascii="IRNazanin" w:hAnsi="IRNazanin" w:eastAsia="IRNazanin" w:cs="IRNazanin"/>
          <w:lang w:bidi="fa-IR"/>
          <w:color w:val="111111"/>
          <w:sz w:val="28"/>
          <w:szCs w:val="28"/>
          <w:rtl/>
        </w:rPr>
        <w:t xml:space="preserve">زاده ، عبدالرحمن بن محمّد</w:t>
      </w:r>
    </w:p>
    <w:p>
      <w:pPr>
        <w:pStyle w:val="Heading2"/>
      </w:pPr>
      <w:bookmarkStart w:id="4276" w:name="_Toc3378"/>
      <w:r>
        <w:t>دامادزاده ابو بکر بن احمد - 1203 ه-</w:t>
      </w:r>
      <w:bookmarkEnd w:id="4276"/>
    </w:p>
    <w:p>
      <w:pPr>
        <w:pStyle w:val="BookText"/>
      </w:pPr>
      <w:r>
        <w:rPr>
          <w:rFonts w:ascii="Amiri" w:hAnsi="Amiri" w:eastAsia="Amiri" w:cs="Amiri"/>
          <w:lang w:bidi="ar-SA"/>
          <w:color w:val="111111"/>
          <w:sz w:val="28"/>
          <w:szCs w:val="28"/>
          <w:rtl/>
        </w:rPr>
        <w:t xml:space="preserve">نظم العقائد النسفية، ج 16، ص 348.</w:t>
      </w:r>
    </w:p>
    <w:p>
      <w:pPr>
        <w:pStyle w:val="BookText"/>
      </w:pPr>
      <w:r>
        <w:rPr>
          <w:rFonts w:ascii="IRNazanin" w:hAnsi="IRNazanin" w:eastAsia="IRNazanin" w:cs="IRNazanin"/>
          <w:lang w:bidi="fa-IR"/>
          <w:color w:val="111111"/>
          <w:sz w:val="28"/>
          <w:szCs w:val="28"/>
          <w:rtl/>
        </w:rPr>
        <w:t xml:space="preserve">داماد ، محمّد باقر بن محمّد- میرداماد</w:t>
      </w:r>
    </w:p>
    <w:p>
      <w:pPr>
        <w:pStyle w:val="BookText"/>
      </w:pPr>
      <w:r>
        <w:rPr>
          <w:rFonts w:ascii="Amiri" w:hAnsi="Amiri" w:eastAsia="Amiri" w:cs="Amiri"/>
          <w:lang w:bidi="ar-SA"/>
          <w:color w:val="111111"/>
          <w:sz w:val="28"/>
          <w:szCs w:val="28"/>
          <w:rtl/>
        </w:rPr>
        <w:t xml:space="preserve">محمّد باقر بن محمّد</w:t>
      </w:r>
    </w:p>
    <w:p>
      <w:pPr>
        <w:pStyle w:val="Heading2"/>
      </w:pPr>
      <w:bookmarkStart w:id="4277" w:name="_Toc3379"/>
      <w:r>
        <w:t>دامغاني ، حسين بن محمّد - 478 ه-</w:t>
      </w:r>
      <w:bookmarkEnd w:id="4277"/>
    </w:p>
    <w:p>
      <w:pPr>
        <w:pStyle w:val="BookText"/>
      </w:pPr>
      <w:r>
        <w:rPr>
          <w:rFonts w:ascii="Amiri" w:hAnsi="Amiri" w:eastAsia="Amiri" w:cs="Amiri"/>
          <w:lang w:bidi="ar-SA"/>
          <w:color w:val="111111"/>
          <w:sz w:val="28"/>
          <w:szCs w:val="28"/>
          <w:rtl/>
        </w:rPr>
        <w:t xml:space="preserve">الوجوه والنظائر في القرآن - الزوائد</w:t>
      </w:r>
    </w:p>
    <w:p>
      <w:pPr>
        <w:pStyle w:val="BookText"/>
      </w:pPr>
      <w:r>
        <w:rPr>
          <w:rFonts w:ascii="IRNazanin" w:hAnsi="IRNazanin" w:eastAsia="IRNazanin" w:cs="IRNazanin"/>
          <w:lang w:bidi="fa-IR"/>
          <w:color w:val="111111"/>
          <w:sz w:val="28"/>
          <w:szCs w:val="28"/>
          <w:rtl/>
        </w:rPr>
        <w:t xml:space="preserve">و النظایر و فوائد البصائر في القرآن ج 16، ص 736.</w:t>
      </w:r>
    </w:p>
    <w:p>
      <w:pPr>
        <w:pStyle w:val="Heading2"/>
      </w:pPr>
      <w:bookmarkStart w:id="4278" w:name="_Toc3380"/>
      <w:r>
        <w:t>دامغاني خراساني، ابراهيم قرن 14 ه-</w:t>
      </w:r>
      <w:bookmarkEnd w:id="4278"/>
    </w:p>
    <w:p>
      <w:pPr>
        <w:pStyle w:val="BookText"/>
      </w:pPr>
      <w:r>
        <w:rPr>
          <w:rFonts w:ascii="Amiri" w:hAnsi="Amiri" w:eastAsia="Amiri" w:cs="Amiri"/>
          <w:lang w:bidi="ar-SA"/>
          <w:color w:val="111111"/>
          <w:sz w:val="28"/>
          <w:szCs w:val="28"/>
          <w:rtl/>
        </w:rPr>
        <w:t xml:space="preserve">تقريرات ميرزا الشيرازي، ج4، ص 773 .</w:t>
      </w:r>
    </w:p>
    <w:p>
      <w:pPr>
        <w:pStyle w:val="BookText"/>
      </w:pPr>
      <w:r>
        <w:rPr>
          <w:rFonts w:ascii="Amiri" w:hAnsi="Amiri" w:eastAsia="Amiri" w:cs="Amiri"/>
          <w:lang w:bidi="ar-SA"/>
          <w:color w:val="111111"/>
          <w:sz w:val="28"/>
          <w:szCs w:val="28"/>
          <w:rtl/>
        </w:rPr>
        <w:t xml:space="preserve">دامغاني ، عبد الصمد بن عبدالله- علوي</w:t>
      </w:r>
    </w:p>
    <w:p>
      <w:pPr>
        <w:pStyle w:val="BookText"/>
      </w:pPr>
      <w:r>
        <w:rPr>
          <w:rFonts w:ascii="IRNazanin" w:hAnsi="IRNazanin" w:eastAsia="IRNazanin" w:cs="IRNazanin"/>
          <w:lang w:bidi="fa-IR"/>
          <w:color w:val="111111"/>
          <w:sz w:val="28"/>
          <w:szCs w:val="28"/>
          <w:rtl/>
        </w:rPr>
        <w:t xml:space="preserve">عبد الصمد بن عبدالله</w:t>
      </w:r>
    </w:p>
    <w:p>
      <w:pPr>
        <w:pStyle w:val="Heading2"/>
      </w:pPr>
      <w:bookmarkStart w:id="4279" w:name="_Toc3381"/>
      <w:r>
        <w:t>دامغاني ، عبدالعلي</w:t>
      </w:r>
      <w:bookmarkEnd w:id="4279"/>
    </w:p>
    <w:p>
      <w:pPr>
        <w:pStyle w:val="BookText"/>
      </w:pPr>
      <w:r>
        <w:rPr>
          <w:rFonts w:ascii="Amiri" w:hAnsi="Amiri" w:eastAsia="Amiri" w:cs="Amiri"/>
          <w:lang w:bidi="ar-SA"/>
          <w:color w:val="111111"/>
          <w:sz w:val="28"/>
          <w:szCs w:val="28"/>
          <w:rtl/>
        </w:rPr>
        <w:t xml:space="preserve">1 .احاديث متفرقة، ج 1، ص 418.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فرائد اخلاقية، ج11، ص 725.</w:t>
      </w:r>
    </w:p>
    <w:p>
      <w:pPr>
        <w:pStyle w:val="Heading2"/>
      </w:pPr>
      <w:bookmarkStart w:id="4280" w:name="_Toc3382"/>
      <w:r>
        <w:t>دامغاني محمّد باقر بن علي اكبر قرن 14ه-</w:t>
      </w:r>
      <w:bookmarkEnd w:id="4280"/>
    </w:p>
    <w:p>
      <w:pPr>
        <w:pStyle w:val="BookText"/>
      </w:pPr>
      <w:r>
        <w:rPr>
          <w:rFonts w:ascii="Amiri" w:hAnsi="Amiri" w:eastAsia="Amiri" w:cs="Amiri"/>
          <w:lang w:bidi="ar-SA"/>
          <w:color w:val="111111"/>
          <w:sz w:val="28"/>
          <w:szCs w:val="28"/>
          <w:rtl/>
        </w:rPr>
        <w:t xml:space="preserve">1 .الآثار الاحمدية في بيان الادلة</w:t>
      </w:r>
    </w:p>
    <w:p>
      <w:pPr>
        <w:pStyle w:val="BookText"/>
      </w:pPr>
      <w:r>
        <w:rPr>
          <w:rFonts w:ascii="Amiri" w:hAnsi="Amiri" w:eastAsia="Amiri" w:cs="Amiri"/>
          <w:lang w:bidi="ar-SA"/>
          <w:color w:val="111111"/>
          <w:sz w:val="28"/>
          <w:szCs w:val="28"/>
          <w:rtl/>
        </w:rPr>
        <w:t xml:space="preserve">الشرعية، ج 1، ص 6.</w:t>
      </w:r>
    </w:p>
    <w:p>
      <w:pPr>
        <w:pStyle w:val="BookText"/>
      </w:pPr>
      <w:r>
        <w:rPr>
          <w:rFonts w:ascii="Amiri" w:hAnsi="Amiri" w:eastAsia="Amiri" w:cs="Amiri"/>
          <w:lang w:bidi="ar-SA"/>
          <w:color w:val="111111"/>
          <w:sz w:val="28"/>
          <w:szCs w:val="28"/>
          <w:rtl/>
        </w:rPr>
        <w:t xml:space="preserve">2 .اصالة البرائة (ارجوزة في)، ج2،</w:t>
      </w:r>
    </w:p>
    <w:p>
      <w:pPr>
        <w:pStyle w:val="BookText"/>
      </w:pPr>
      <w:r>
        <w:rPr>
          <w:rFonts w:ascii="IRNazanin" w:hAnsi="IRNazanin" w:eastAsia="IRNazanin" w:cs="IRNazanin"/>
          <w:lang w:bidi="fa-IR"/>
          <w:color w:val="111111"/>
          <w:sz w:val="28"/>
          <w:szCs w:val="28"/>
          <w:rtl/>
        </w:rPr>
        <w:t xml:space="preserve">ص 353.</w:t>
      </w:r>
    </w:p>
    <w:p>
      <w:pPr>
        <w:pStyle w:val="BookText"/>
      </w:pPr>
      <w:r>
        <w:rPr>
          <w:rFonts w:ascii="Amiri" w:hAnsi="Amiri" w:eastAsia="Amiri" w:cs="Amiri"/>
          <w:lang w:bidi="ar-SA"/>
          <w:color w:val="111111"/>
          <w:sz w:val="28"/>
          <w:szCs w:val="28"/>
          <w:rtl/>
        </w:rPr>
        <w:t xml:space="preserve">3 .التقريرات، ج 4، ص 735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التقريرات في الاصول، ج4، ص770.</w:t>
      </w:r>
    </w:p>
    <w:p>
      <w:pPr>
        <w:pStyle w:val="BookText"/>
      </w:pPr>
      <w:r>
        <w:rPr>
          <w:rFonts w:ascii="Amiri" w:hAnsi="Amiri" w:eastAsia="Amiri" w:cs="Amiri"/>
          <w:lang w:bidi="ar-SA"/>
          <w:color w:val="111111"/>
          <w:sz w:val="28"/>
          <w:szCs w:val="28"/>
          <w:rtl/>
        </w:rPr>
        <w:t xml:space="preserve">5 .جواهر المصيبة، ج 5، ص 597.</w:t>
      </w:r>
    </w:p>
    <w:p>
      <w:pPr>
        <w:pStyle w:val="BookText"/>
      </w:pPr>
      <w:r>
        <w:rPr>
          <w:rFonts w:ascii="Amiri" w:hAnsi="Amiri" w:eastAsia="Amiri" w:cs="Amiri"/>
          <w:lang w:bidi="ar-SA"/>
          <w:color w:val="111111"/>
          <w:sz w:val="28"/>
          <w:szCs w:val="28"/>
          <w:rtl/>
        </w:rPr>
        <w:t xml:space="preserve">6 .حاشية القوانين المحكمة، ج 6،</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صيغ النكاح، ج 10، ص 684.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مفتاح الشرائع في شرح شرائع</w:t>
      </w:r>
    </w:p>
    <w:p>
      <w:pPr>
        <w:pStyle w:val="BookText"/>
      </w:pPr>
      <w:r>
        <w:rPr>
          <w:rFonts w:ascii="IRNazanin" w:hAnsi="IRNazanin" w:eastAsia="IRNazanin" w:cs="IRNazanin"/>
          <w:lang w:bidi="fa-IR"/>
          <w:color w:val="111111"/>
          <w:sz w:val="28"/>
          <w:szCs w:val="28"/>
          <w:rtl/>
        </w:rPr>
        <w:t xml:space="preserve">الاسلام، ج 15، ص 200.</w:t>
      </w:r>
    </w:p>
    <w:p>
      <w:pPr>
        <w:pStyle w:val="BookText"/>
      </w:pPr>
      <w:r>
        <w:rPr>
          <w:rFonts w:ascii="Amiri" w:hAnsi="Amiri" w:eastAsia="Amiri" w:cs="Amiri"/>
          <w:lang w:bidi="ar-SA"/>
          <w:color w:val="111111"/>
          <w:sz w:val="28"/>
          <w:szCs w:val="28"/>
          <w:rtl/>
        </w:rPr>
        <w:t xml:space="preserve">9 .نفي الضرر (رسالة في)، ج 16،</w:t>
      </w:r>
    </w:p>
    <w:p>
      <w:pPr>
        <w:pStyle w:val="BookText"/>
      </w:pPr>
      <w:r>
        <w:rPr>
          <w:rFonts w:ascii="IRNazanin" w:hAnsi="IRNazanin" w:eastAsia="IRNazanin" w:cs="IRNazanin"/>
          <w:lang w:bidi="fa-IR"/>
          <w:color w:val="111111"/>
          <w:sz w:val="28"/>
          <w:szCs w:val="28"/>
          <w:rtl/>
        </w:rPr>
        <w:t xml:space="preserve">ص408.</w:t>
      </w:r>
    </w:p>
    <w:p>
      <w:pPr>
        <w:pStyle w:val="BookText"/>
      </w:pPr>
      <w:r>
        <w:rPr>
          <w:rFonts w:ascii="Amiri" w:hAnsi="Amiri" w:eastAsia="Amiri" w:cs="Amiri"/>
          <w:lang w:bidi="ar-SA"/>
          <w:color w:val="111111"/>
          <w:sz w:val="28"/>
          <w:szCs w:val="28"/>
          <w:rtl/>
        </w:rPr>
        <w:t xml:space="preserve">10 .الوجيزة، ج 16، ص 740.</w:t>
      </w:r>
    </w:p>
    <w:p>
      <w:pPr>
        <w:pStyle w:val="Heading2"/>
      </w:pPr>
      <w:bookmarkStart w:id="4281" w:name="_Toc3383"/>
      <w:r>
        <w:t>دامغاني ، محمّد بن حسين - 776 ه-</w:t>
      </w:r>
      <w:bookmarkEnd w:id="4281"/>
    </w:p>
    <w:p>
      <w:pPr>
        <w:pStyle w:val="BookText"/>
      </w:pPr>
      <w:r>
        <w:rPr>
          <w:rFonts w:ascii="Amiri" w:hAnsi="Amiri" w:eastAsia="Amiri" w:cs="Amiri"/>
          <w:lang w:bidi="ar-SA"/>
          <w:color w:val="111111"/>
          <w:sz w:val="28"/>
          <w:szCs w:val="28"/>
          <w:rtl/>
        </w:rPr>
        <w:t xml:space="preserve">المحاضرات الأدبية (كتاب في)، ج 14،</w:t>
      </w:r>
    </w:p>
    <w:p>
      <w:pPr>
        <w:pStyle w:val="BookText"/>
      </w:pPr>
      <w:r>
        <w:rPr>
          <w:rFonts w:ascii="IRNazanin" w:hAnsi="IRNazanin" w:eastAsia="IRNazanin" w:cs="IRNazanin"/>
          <w:lang w:bidi="fa-IR"/>
          <w:color w:val="111111"/>
          <w:sz w:val="28"/>
          <w:szCs w:val="28"/>
          <w:rtl/>
        </w:rPr>
        <w:t xml:space="preserve">ص 99.</w:t>
      </w:r>
    </w:p>
    <w:p>
      <w:pPr>
        <w:pStyle w:val="Heading2"/>
      </w:pPr>
      <w:bookmarkStart w:id="4282" w:name="_Toc3384"/>
      <w:r>
        <w:t>دامغاني ، محمّد بن علي، 398 - 478 ه-</w:t>
      </w:r>
      <w:bookmarkEnd w:id="4282"/>
    </w:p>
    <w:p>
      <w:pPr>
        <w:pStyle w:val="BookText"/>
      </w:pPr>
      <w:r>
        <w:rPr>
          <w:rFonts w:ascii="Amiri" w:hAnsi="Amiri" w:eastAsia="Amiri" w:cs="Amiri"/>
          <w:lang w:bidi="ar-SA"/>
          <w:color w:val="111111"/>
          <w:sz w:val="28"/>
          <w:szCs w:val="28"/>
          <w:rtl/>
        </w:rPr>
        <w:t xml:space="preserve">مسائل دعوي الحيطان و الطرق و</w:t>
      </w:r>
    </w:p>
    <w:p>
      <w:pPr>
        <w:pStyle w:val="BookText"/>
      </w:pPr>
      <w:r>
        <w:rPr>
          <w:rFonts w:ascii="IRNazanin" w:hAnsi="IRNazanin" w:eastAsia="IRNazanin" w:cs="IRNazanin"/>
          <w:lang w:bidi="fa-IR"/>
          <w:color w:val="111111"/>
          <w:sz w:val="28"/>
          <w:szCs w:val="28"/>
          <w:rtl/>
        </w:rPr>
        <w:t xml:space="preserve">الأبواب، ج 14، ص 451 .</w:t>
      </w:r>
    </w:p>
    <w:p>
      <w:pPr>
        <w:pStyle w:val="Heading2"/>
      </w:pPr>
      <w:bookmarkStart w:id="4283" w:name="_Toc3385"/>
      <w:r>
        <w:t>دامغاني، محمّد بن نصر الله - 775 ه-</w:t>
      </w:r>
      <w:bookmarkEnd w:id="4283"/>
    </w:p>
    <w:p>
      <w:pPr>
        <w:pStyle w:val="BookText"/>
      </w:pPr>
      <w:r>
        <w:rPr>
          <w:rFonts w:ascii="Amiri" w:hAnsi="Amiri" w:eastAsia="Amiri" w:cs="Amiri"/>
          <w:lang w:bidi="ar-SA"/>
          <w:color w:val="111111"/>
          <w:sz w:val="28"/>
          <w:szCs w:val="28"/>
          <w:rtl/>
        </w:rPr>
        <w:t xml:space="preserve">كاشف السجاف عن وجه الكشاف</w:t>
      </w:r>
    </w:p>
    <w:p>
      <w:pPr>
        <w:pStyle w:val="BookText"/>
      </w:pPr>
      <w:r>
        <w:rPr>
          <w:rFonts w:ascii="IRNazanin" w:hAnsi="IRNazanin" w:eastAsia="IRNazanin" w:cs="IRNazanin"/>
          <w:lang w:bidi="fa-IR"/>
          <w:color w:val="111111"/>
          <w:sz w:val="28"/>
          <w:szCs w:val="28"/>
          <w:rtl/>
        </w:rPr>
        <w:t xml:space="preserve">ج 13، ص10.</w:t>
      </w:r>
    </w:p>
    <w:p>
      <w:pPr>
        <w:pStyle w:val="BookText"/>
      </w:pPr>
      <w:r>
        <w:rPr>
          <w:rFonts w:ascii="IRNazanin" w:hAnsi="IRNazanin" w:eastAsia="IRNazanin" w:cs="IRNazanin"/>
          <w:lang w:bidi="fa-IR"/>
          <w:color w:val="111111"/>
          <w:sz w:val="28"/>
          <w:szCs w:val="28"/>
          <w:rtl/>
        </w:rPr>
        <w:t xml:space="preserve">دانا گنج بخش- هجويري ، علي بن عثمان</w:t>
      </w:r>
    </w:p>
    <w:p>
      <w:pPr>
        <w:pStyle w:val="BookText"/>
      </w:pPr>
      <w:r>
        <w:rPr>
          <w:rFonts w:ascii="Amiri" w:hAnsi="Amiri" w:eastAsia="Amiri" w:cs="Amiri"/>
          <w:lang w:bidi="ar-SA"/>
          <w:color w:val="111111"/>
          <w:sz w:val="28"/>
          <w:szCs w:val="28"/>
          <w:rtl/>
        </w:rPr>
        <w:t xml:space="preserve">دانش بن خالد رنجوري- رنجوري ، دانش</w:t>
      </w:r>
    </w:p>
    <w:p>
      <w:pPr>
        <w:pStyle w:val="BookText"/>
      </w:pPr>
      <w:r>
        <w:rPr>
          <w:rFonts w:ascii="IRNazanin" w:hAnsi="IRNazanin" w:eastAsia="IRNazanin" w:cs="IRNazanin"/>
          <w:lang w:bidi="fa-IR"/>
          <w:color w:val="111111"/>
          <w:sz w:val="28"/>
          <w:szCs w:val="28"/>
          <w:rtl/>
        </w:rPr>
        <w:t xml:space="preserve">بن خالد</w:t>
      </w:r>
    </w:p>
    <w:p>
      <w:pPr>
        <w:pStyle w:val="Heading2"/>
      </w:pPr>
      <w:bookmarkStart w:id="4284" w:name="_Toc3386"/>
      <w:r>
        <w:t>دانش تفرشي ، محمّد تقي بن حسين</w:t>
      </w:r>
      <w:bookmarkEnd w:id="4284"/>
    </w:p>
    <w:p>
      <w:pPr>
        <w:pStyle w:val="BookText"/>
      </w:pPr>
      <w:r>
        <w:rPr>
          <w:rFonts w:ascii="IRNazanin" w:hAnsi="IRNazanin" w:eastAsia="IRNazanin" w:cs="IRNazanin"/>
          <w:lang w:bidi="fa-IR"/>
          <w:color w:val="111111"/>
          <w:sz w:val="28"/>
          <w:szCs w:val="28"/>
          <w:rtl/>
        </w:rPr>
        <w:t xml:space="preserve">1287 - 1366ه-</w:t>
      </w:r>
    </w:p>
    <w:p>
      <w:pPr>
        <w:pStyle w:val="BookText"/>
      </w:pPr>
      <w:r>
        <w:rPr>
          <w:rFonts w:ascii="IRNazanin" w:hAnsi="IRNazanin" w:eastAsia="IRNazanin" w:cs="IRNazanin"/>
          <w:lang w:bidi="fa-IR"/>
          <w:color w:val="111111"/>
          <w:sz w:val="28"/>
          <w:szCs w:val="28"/>
          <w:rtl/>
        </w:rPr>
        <w:t xml:space="preserve">تذکره آش کشکیان ج4، ص 175.</w:t>
      </w:r>
    </w:p>
    <w:p>
      <w:pPr>
        <w:pStyle w:val="BookText"/>
      </w:pPr>
      <w:r>
        <w:rPr>
          <w:rFonts w:ascii="Amiri" w:hAnsi="Amiri" w:eastAsia="Amiri" w:cs="Amiri"/>
          <w:lang w:bidi="ar-SA"/>
          <w:color w:val="111111"/>
          <w:sz w:val="28"/>
          <w:szCs w:val="28"/>
          <w:rtl/>
        </w:rPr>
        <w:t xml:space="preserve">دانشمند ، ابو الحسن بن احمد- ابيوردي</w:t>
      </w:r>
    </w:p>
    <w:p>
      <w:pPr>
        <w:pStyle w:val="BookText"/>
      </w:pPr>
      <w:r>
        <w:rPr>
          <w:rFonts w:ascii="IRNazanin" w:hAnsi="IRNazanin" w:eastAsia="IRNazanin" w:cs="IRNazanin"/>
          <w:lang w:bidi="fa-IR"/>
          <w:color w:val="111111"/>
          <w:sz w:val="28"/>
          <w:szCs w:val="28"/>
          <w:rtl/>
        </w:rPr>
        <w:t xml:space="preserve">، ابوالحسن بن احمد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8" w:name="pg7742_70352"/>
    <w:bookmarkEnd w:id="478"/>
    <w:p>
      <w:pPr>
        <w:pStyle w:val="BookText"/>
      </w:pPr>
      <w:r>
        <w:rPr>
          <w:rFonts w:ascii="Amiri" w:hAnsi="Amiri" w:eastAsia="Amiri" w:cs="Amiri"/>
          <w:lang w:bidi="ar-SA"/>
          <w:color w:val="111111"/>
          <w:sz w:val="28"/>
          <w:szCs w:val="28"/>
          <w:rtl/>
        </w:rPr>
        <w:t xml:space="preserve">دانشمند خان- عالي شيرازي ، محمّد</w:t>
      </w:r>
    </w:p>
    <w:p>
      <w:pPr>
        <w:pStyle w:val="BookText"/>
      </w:pPr>
      <w:r>
        <w:rPr>
          <w:rFonts w:ascii="Amiri" w:hAnsi="Amiri" w:eastAsia="Amiri" w:cs="Amiri"/>
          <w:lang w:bidi="ar-SA"/>
          <w:color w:val="111111"/>
          <w:sz w:val="28"/>
          <w:szCs w:val="28"/>
          <w:rtl/>
        </w:rPr>
        <w:t xml:space="preserve">داني ، ابو الصلت امية بن عبد العزيز- ابن</w:t>
      </w:r>
    </w:p>
    <w:p>
      <w:pPr>
        <w:pStyle w:val="BookText"/>
      </w:pPr>
      <w:r>
        <w:rPr>
          <w:rFonts w:ascii="Amiri" w:hAnsi="Amiri" w:eastAsia="Amiri" w:cs="Amiri"/>
          <w:lang w:bidi="ar-SA"/>
          <w:color w:val="111111"/>
          <w:sz w:val="28"/>
          <w:szCs w:val="28"/>
          <w:rtl/>
        </w:rPr>
        <w:t xml:space="preserve">ابي الصلت ، امية بن عبدالعزيز</w:t>
      </w:r>
    </w:p>
    <w:p>
      <w:pPr>
        <w:pStyle w:val="Heading2"/>
      </w:pPr>
      <w:bookmarkStart w:id="4285" w:name="_Toc3387"/>
      <w:r>
        <w:t>داني ، عثمان بن سعيد، 371 - 444 ؟ ه-</w:t>
      </w:r>
      <w:bookmarkEnd w:id="4285"/>
    </w:p>
    <w:p>
      <w:pPr>
        <w:pStyle w:val="BookText"/>
      </w:pPr>
      <w:r>
        <w:rPr>
          <w:rFonts w:ascii="Amiri" w:hAnsi="Amiri" w:eastAsia="Amiri" w:cs="Amiri"/>
          <w:lang w:bidi="ar-SA"/>
          <w:color w:val="111111"/>
          <w:sz w:val="28"/>
          <w:szCs w:val="28"/>
          <w:rtl/>
        </w:rPr>
        <w:t xml:space="preserve">1 .الاكتفاء في الوقف والابتداء = المكتفي في الوقف والابتداء، ج 2،</w:t>
      </w:r>
    </w:p>
    <w:p>
      <w:pPr>
        <w:pStyle w:val="BookText"/>
      </w:pPr>
      <w:r>
        <w:rPr>
          <w:rFonts w:ascii="IRNazanin" w:hAnsi="IRNazanin" w:eastAsia="IRNazanin" w:cs="IRNazanin"/>
          <w:lang w:bidi="fa-IR"/>
          <w:color w:val="111111"/>
          <w:sz w:val="28"/>
          <w:szCs w:val="28"/>
          <w:rtl/>
        </w:rPr>
        <w:t xml:space="preserve">ص 639 .</w:t>
      </w:r>
    </w:p>
    <w:p>
      <w:pPr>
        <w:pStyle w:val="BookText"/>
      </w:pPr>
      <w:r>
        <w:rPr>
          <w:rFonts w:ascii="Amiri" w:hAnsi="Amiri" w:eastAsia="Amiri" w:cs="Amiri"/>
          <w:lang w:bidi="ar-SA"/>
          <w:color w:val="111111"/>
          <w:sz w:val="28"/>
          <w:szCs w:val="28"/>
          <w:rtl/>
        </w:rPr>
        <w:t xml:space="preserve">2 .التيسير في القراآت السبع = التيسير داود بن كمال</w:t>
      </w:r>
    </w:p>
    <w:p>
      <w:pPr>
        <w:pStyle w:val="BookText"/>
      </w:pPr>
      <w:r>
        <w:rPr>
          <w:rFonts w:ascii="Amiri" w:hAnsi="Amiri" w:eastAsia="Amiri" w:cs="Amiri"/>
          <w:lang w:bidi="ar-SA"/>
          <w:color w:val="111111"/>
          <w:sz w:val="28"/>
          <w:szCs w:val="28"/>
          <w:rtl/>
        </w:rPr>
        <w:t xml:space="preserve">لحفظ مذاهب القراء السبعة في القراآت، ج 5، ص 194.</w:t>
      </w:r>
    </w:p>
    <w:p>
      <w:pPr>
        <w:pStyle w:val="BookText"/>
      </w:pPr>
      <w:r>
        <w:rPr>
          <w:rFonts w:ascii="Amiri" w:hAnsi="Amiri" w:eastAsia="Amiri" w:cs="Amiri"/>
          <w:lang w:bidi="ar-SA"/>
          <w:color w:val="111111"/>
          <w:sz w:val="28"/>
          <w:szCs w:val="28"/>
          <w:rtl/>
        </w:rPr>
        <w:t xml:space="preserve">3 .المقنع في بيان رسم خط المصاحف</w:t>
      </w:r>
    </w:p>
    <w:p>
      <w:pPr>
        <w:pStyle w:val="BookText"/>
      </w:pPr>
      <w:r>
        <w:rPr>
          <w:rFonts w:ascii="Amiri" w:hAnsi="Amiri" w:eastAsia="Amiri" w:cs="Amiri"/>
          <w:lang w:bidi="ar-SA"/>
          <w:color w:val="111111"/>
          <w:sz w:val="28"/>
          <w:szCs w:val="28"/>
          <w:rtl/>
        </w:rPr>
        <w:t xml:space="preserve">= المقنع في معرفة مرسوم مصاحف اهل الامصار، ج 15 ،</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Amiri" w:hAnsi="Amiri" w:eastAsia="Amiri" w:cs="Amiri"/>
          <w:lang w:bidi="ar-SA"/>
          <w:color w:val="111111"/>
          <w:sz w:val="28"/>
          <w:szCs w:val="28"/>
          <w:rtl/>
        </w:rPr>
        <w:t xml:space="preserve">4 .الهجاء في مرسوم خطوط مصاحف بن محمود</w:t>
      </w:r>
    </w:p>
    <w:p>
      <w:pPr>
        <w:pStyle w:val="BookText"/>
      </w:pPr>
      <w:r>
        <w:rPr>
          <w:rFonts w:ascii="Amiri" w:hAnsi="Amiri" w:eastAsia="Amiri" w:cs="Amiri"/>
          <w:lang w:bidi="ar-SA"/>
          <w:color w:val="111111"/>
          <w:sz w:val="28"/>
          <w:szCs w:val="28"/>
          <w:rtl/>
        </w:rPr>
        <w:t xml:space="preserve">اهل الامصار المدنية والمكيية و الكوفية والبصرية و الشامية و</w:t>
      </w:r>
    </w:p>
    <w:p>
      <w:pPr>
        <w:pStyle w:val="BookText"/>
      </w:pPr>
      <w:r>
        <w:rPr>
          <w:rFonts w:ascii="IRNazanin" w:hAnsi="IRNazanin" w:eastAsia="IRNazanin" w:cs="IRNazanin"/>
          <w:lang w:bidi="fa-IR"/>
          <w:color w:val="111111"/>
          <w:sz w:val="28"/>
          <w:szCs w:val="28"/>
          <w:rtl/>
        </w:rPr>
        <w:t xml:space="preserve">سائر العراق، ج 16، ص 592.</w:t>
      </w:r>
    </w:p>
    <w:p>
      <w:pPr>
        <w:pStyle w:val="BookText"/>
      </w:pPr>
      <w:r>
        <w:rPr>
          <w:rFonts w:ascii="Amiri" w:hAnsi="Amiri" w:eastAsia="Amiri" w:cs="Amiri"/>
          <w:lang w:bidi="ar-SA"/>
          <w:color w:val="111111"/>
          <w:sz w:val="28"/>
          <w:szCs w:val="28"/>
          <w:rtl/>
        </w:rPr>
        <w:t xml:space="preserve">داهري نقشبندي، ابوالحسن بن محمّد صادق- سندي مدني ، ابوالحسن بن محمّد</w:t>
      </w:r>
    </w:p>
    <w:p>
      <w:pPr>
        <w:pStyle w:val="BookText"/>
      </w:pPr>
      <w:r>
        <w:rPr>
          <w:rFonts w:ascii="IRNazanin" w:hAnsi="IRNazanin" w:eastAsia="IRNazanin" w:cs="IRNazanin"/>
          <w:lang w:bidi="fa-IR"/>
          <w:color w:val="111111"/>
          <w:sz w:val="28"/>
          <w:szCs w:val="28"/>
          <w:rtl/>
        </w:rPr>
        <w:t xml:space="preserve">صادق</w:t>
      </w:r>
    </w:p>
    <w:p>
      <w:pPr>
        <w:pStyle w:val="BookText"/>
      </w:pPr>
      <w:r>
        <w:rPr>
          <w:rFonts w:ascii="Amiri" w:hAnsi="Amiri" w:eastAsia="Amiri" w:cs="Amiri"/>
          <w:lang w:bidi="ar-SA"/>
          <w:color w:val="111111"/>
          <w:sz w:val="28"/>
          <w:szCs w:val="28"/>
          <w:rtl/>
        </w:rPr>
        <w:t xml:space="preserve">داود افندي شيخ الاسلام -شيخ الاسلام ،</w:t>
      </w:r>
    </w:p>
    <w:p>
      <w:pPr>
        <w:pStyle w:val="BookText"/>
      </w:pPr>
      <w:r>
        <w:rPr>
          <w:rFonts w:ascii="Amiri" w:hAnsi="Amiri" w:eastAsia="Amiri" w:cs="Amiri"/>
          <w:lang w:bidi="ar-SA"/>
          <w:color w:val="111111"/>
          <w:sz w:val="28"/>
          <w:szCs w:val="28"/>
          <w:rtl/>
        </w:rPr>
        <w:t xml:space="preserve">داود افندي</w:t>
      </w:r>
    </w:p>
    <w:p>
      <w:pPr>
        <w:pStyle w:val="BookText"/>
      </w:pPr>
      <w:r>
        <w:rPr>
          <w:rFonts w:ascii="Amiri" w:hAnsi="Amiri" w:eastAsia="Amiri" w:cs="Amiri"/>
          <w:lang w:bidi="ar-SA"/>
          <w:color w:val="111111"/>
          <w:sz w:val="28"/>
          <w:szCs w:val="28"/>
          <w:rtl/>
        </w:rPr>
        <w:t xml:space="preserve">داود بن اسحق موصلي- موصلي ، داود بن اسحق</w:t>
      </w:r>
    </w:p>
    <w:p>
      <w:pPr>
        <w:pStyle w:val="Heading2"/>
      </w:pPr>
      <w:bookmarkStart w:id="4286" w:name="_Toc3388"/>
      <w:r>
        <w:t>داود بن سليمان</w:t>
      </w:r>
      <w:bookmarkEnd w:id="4286"/>
    </w:p>
    <w:p>
      <w:pPr>
        <w:pStyle w:val="BookText"/>
      </w:pPr>
      <w:r>
        <w:rPr>
          <w:rFonts w:ascii="Amiri" w:hAnsi="Amiri" w:eastAsia="Amiri" w:cs="Amiri"/>
          <w:lang w:bidi="ar-SA"/>
          <w:color w:val="111111"/>
          <w:sz w:val="28"/>
          <w:szCs w:val="28"/>
          <w:rtl/>
        </w:rPr>
        <w:t xml:space="preserve">اختلاف الائمة (رسالة في)، ج1،</w:t>
      </w:r>
    </w:p>
    <w:p>
      <w:pPr>
        <w:pStyle w:val="BookText"/>
      </w:pPr>
      <w:r>
        <w:rPr>
          <w:rFonts w:ascii="IRNazanin" w:hAnsi="IRNazanin" w:eastAsia="IRNazanin" w:cs="IRNazanin"/>
          <w:lang w:bidi="fa-IR"/>
          <w:color w:val="111111"/>
          <w:sz w:val="28"/>
          <w:szCs w:val="28"/>
          <w:rtl/>
        </w:rPr>
        <w:t xml:space="preserve">ص 547 .</w:t>
      </w:r>
    </w:p>
    <w:p>
      <w:pPr>
        <w:pStyle w:val="BookText"/>
      </w:pPr>
      <w:r>
        <w:rPr>
          <w:rFonts w:ascii="Amiri" w:hAnsi="Amiri" w:eastAsia="Amiri" w:cs="Amiri"/>
          <w:lang w:bidi="ar-SA"/>
          <w:color w:val="111111"/>
          <w:sz w:val="28"/>
          <w:szCs w:val="28"/>
          <w:rtl/>
        </w:rPr>
        <w:t xml:space="preserve">داود بن سليمان بغدادي نقشبندي- بغدادي ، داود بن سليمان</w:t>
      </w:r>
    </w:p>
    <w:p>
      <w:pPr>
        <w:pStyle w:val="BookText"/>
      </w:pPr>
      <w:r>
        <w:rPr>
          <w:rFonts w:ascii="Amiri" w:hAnsi="Amiri" w:eastAsia="Amiri" w:cs="Amiri"/>
          <w:lang w:bidi="ar-SA"/>
          <w:color w:val="111111"/>
          <w:sz w:val="28"/>
          <w:szCs w:val="28"/>
          <w:rtl/>
        </w:rPr>
        <w:t xml:space="preserve">داود بن صالح بن ابي الثناء -ابن ابي الثناء</w:t>
      </w:r>
    </w:p>
    <w:p>
      <w:pPr>
        <w:pStyle w:val="BookText"/>
      </w:pPr>
      <w:r>
        <w:rPr>
          <w:rFonts w:ascii="IRNazanin" w:hAnsi="IRNazanin" w:eastAsia="IRNazanin" w:cs="IRNazanin"/>
          <w:lang w:bidi="fa-IR"/>
          <w:color w:val="111111"/>
          <w:sz w:val="28"/>
          <w:szCs w:val="28"/>
          <w:rtl/>
        </w:rPr>
        <w:t xml:space="preserve">، داود بن صالح</w:t>
      </w:r>
    </w:p>
    <w:p>
      <w:pPr>
        <w:pStyle w:val="BookText"/>
      </w:pPr>
      <w:r>
        <w:rPr>
          <w:rFonts w:ascii="Amiri" w:hAnsi="Amiri" w:eastAsia="Amiri" w:cs="Amiri"/>
          <w:lang w:bidi="ar-SA"/>
          <w:color w:val="111111"/>
          <w:sz w:val="28"/>
          <w:szCs w:val="28"/>
          <w:rtl/>
        </w:rPr>
        <w:t xml:space="preserve">داود بن عمر انطاكي- انطاكي ، داود بن عمر</w:t>
      </w:r>
    </w:p>
    <w:p>
      <w:pPr>
        <w:pStyle w:val="BookText"/>
      </w:pPr>
      <w:r>
        <w:rPr>
          <w:rFonts w:ascii="Amiri" w:hAnsi="Amiri" w:eastAsia="Amiri" w:cs="Amiri"/>
          <w:lang w:bidi="ar-SA"/>
          <w:color w:val="111111"/>
          <w:sz w:val="28"/>
          <w:szCs w:val="28"/>
          <w:rtl/>
        </w:rPr>
        <w:t xml:space="preserve">داود بن كمال قوجوي -قوجوي ، قره داود بن كمال</w:t>
      </w:r>
    </w:p>
    <w:p>
      <w:pPr>
        <w:pStyle w:val="BookText"/>
      </w:pPr>
      <w:r>
        <w:rPr>
          <w:rFonts w:ascii="IRNazanin" w:hAnsi="IRNazanin" w:eastAsia="IRNazanin" w:cs="IRNazanin"/>
          <w:lang w:bidi="fa-IR"/>
          <w:color w:val="111111"/>
          <w:sz w:val="28"/>
          <w:szCs w:val="28"/>
          <w:rtl/>
        </w:rPr>
        <w:t xml:space="preserve">داود بن محمّد سليم جلبي موصلي -چلپی ، داود بن محمّد سلیم</w:t>
      </w:r>
    </w:p>
    <w:p>
      <w:pPr>
        <w:pStyle w:val="BookText"/>
      </w:pPr>
      <w:r>
        <w:rPr>
          <w:rFonts w:ascii="Amiri" w:hAnsi="Amiri" w:eastAsia="Amiri" w:cs="Amiri"/>
          <w:lang w:bidi="ar-SA"/>
          <w:color w:val="111111"/>
          <w:sz w:val="28"/>
          <w:szCs w:val="28"/>
          <w:rtl/>
        </w:rPr>
        <w:t xml:space="preserve">داود بن محمّد قارصي حنفي- قارصي</w:t>
      </w:r>
    </w:p>
    <w:p>
      <w:pPr>
        <w:pStyle w:val="BookText"/>
      </w:pPr>
      <w:r>
        <w:rPr>
          <w:rFonts w:ascii="IRNazanin" w:hAnsi="IRNazanin" w:eastAsia="IRNazanin" w:cs="IRNazanin"/>
          <w:lang w:bidi="fa-IR"/>
          <w:color w:val="111111"/>
          <w:sz w:val="28"/>
          <w:szCs w:val="28"/>
          <w:rtl/>
        </w:rPr>
        <w:t xml:space="preserve">داود بن محمّد</w:t>
      </w:r>
    </w:p>
    <w:p>
      <w:pPr>
        <w:pStyle w:val="BookText"/>
      </w:pPr>
      <w:r>
        <w:rPr>
          <w:rFonts w:ascii="Amiri" w:hAnsi="Amiri" w:eastAsia="Amiri" w:cs="Amiri"/>
          <w:lang w:bidi="ar-SA"/>
          <w:color w:val="111111"/>
          <w:sz w:val="28"/>
          <w:szCs w:val="28"/>
          <w:rtl/>
        </w:rPr>
        <w:t xml:space="preserve">داود بن محمود قيصري- قيصري ، داود بن محمود</w:t>
      </w:r>
    </w:p>
    <w:p>
      <w:pPr>
        <w:pStyle w:val="BookText"/>
      </w:pPr>
      <w:r>
        <w:rPr>
          <w:rFonts w:ascii="Amiri" w:hAnsi="Amiri" w:eastAsia="Amiri" w:cs="Amiri"/>
          <w:lang w:bidi="ar-SA"/>
          <w:color w:val="111111"/>
          <w:sz w:val="28"/>
          <w:szCs w:val="28"/>
          <w:rtl/>
        </w:rPr>
        <w:t xml:space="preserve">داود بن ناصر الدين موصلي زركشي اغيري -موصلي ، داود بن ناصر الدين</w:t>
      </w:r>
    </w:p>
    <w:p>
      <w:pPr>
        <w:pStyle w:val="BookText"/>
      </w:pPr>
      <w:r>
        <w:rPr>
          <w:rFonts w:ascii="Amiri" w:hAnsi="Amiri" w:eastAsia="Amiri" w:cs="Amiri"/>
          <w:lang w:bidi="ar-SA"/>
          <w:color w:val="111111"/>
          <w:sz w:val="28"/>
          <w:szCs w:val="28"/>
          <w:rtl/>
        </w:rPr>
        <w:t xml:space="preserve">داود شيرواني -قره داود شيرواني</w:t>
      </w:r>
    </w:p>
    <w:p>
      <w:pPr>
        <w:pStyle w:val="BookText"/>
      </w:pPr>
      <w:r>
        <w:rPr>
          <w:rFonts w:ascii="Amiri" w:hAnsi="Amiri" w:eastAsia="Amiri" w:cs="Amiri"/>
          <w:lang w:bidi="ar-SA"/>
          <w:color w:val="111111"/>
          <w:sz w:val="28"/>
          <w:szCs w:val="28"/>
          <w:rtl/>
        </w:rPr>
        <w:t xml:space="preserve">داود صليوا -صليوا ، داود</w:t>
      </w:r>
    </w:p>
    <w:p>
      <w:pPr>
        <w:pStyle w:val="BookText"/>
      </w:pPr>
      <w:r>
        <w:rPr>
          <w:rFonts w:ascii="Amiri" w:hAnsi="Amiri" w:eastAsia="Amiri" w:cs="Amiri"/>
          <w:lang w:bidi="ar-SA"/>
          <w:color w:val="111111"/>
          <w:sz w:val="28"/>
          <w:szCs w:val="28"/>
          <w:rtl/>
        </w:rPr>
        <w:t xml:space="preserve">داود ضريري- ضريري ، داود</w:t>
      </w:r>
    </w:p>
    <w:p>
      <w:pPr>
        <w:pStyle w:val="BookText"/>
      </w:pPr>
      <w:r>
        <w:rPr>
          <w:rFonts w:ascii="Amiri" w:hAnsi="Amiri" w:eastAsia="Amiri" w:cs="Amiri"/>
          <w:lang w:bidi="ar-SA"/>
          <w:color w:val="111111"/>
          <w:sz w:val="28"/>
          <w:szCs w:val="28"/>
          <w:rtl/>
        </w:rPr>
        <w:t xml:space="preserve">داود عيسى باقوفي- باقوفي ، داود عيسى</w:t>
      </w:r>
    </w:p>
    <w:p>
      <w:pPr>
        <w:pStyle w:val="BookText"/>
      </w:pPr>
      <w:r>
        <w:rPr>
          <w:rFonts w:ascii="Amiri" w:hAnsi="Amiri" w:eastAsia="Amiri" w:cs="Amiri"/>
          <w:lang w:bidi="ar-SA"/>
          <w:color w:val="111111"/>
          <w:sz w:val="28"/>
          <w:szCs w:val="28"/>
          <w:rtl/>
        </w:rPr>
        <w:t xml:space="preserve">داودي ، احمد بن علي -ابن عنبه ، احمد</w:t>
      </w:r>
    </w:p>
    <w:p>
      <w:pPr>
        <w:pStyle w:val="BookText"/>
      </w:pPr>
      <w:r>
        <w:rPr>
          <w:rFonts w:ascii="Amiri" w:hAnsi="Amiri" w:eastAsia="Amiri" w:cs="Amiri"/>
          <w:lang w:bidi="ar-SA"/>
          <w:color w:val="111111"/>
          <w:sz w:val="28"/>
          <w:szCs w:val="28"/>
          <w:rtl/>
        </w:rPr>
        <w:t xml:space="preserve">بن علي</w:t>
      </w:r>
    </w:p>
    <w:p>
      <w:pPr>
        <w:pStyle w:val="Heading2"/>
      </w:pPr>
      <w:bookmarkStart w:id="4287" w:name="_Toc3389"/>
      <w:r>
        <w:t>داودي ، محمّد بن علي - 945 ه-</w:t>
      </w:r>
      <w:bookmarkEnd w:id="4287"/>
    </w:p>
    <w:p>
      <w:pPr>
        <w:pStyle w:val="BookText"/>
      </w:pPr>
      <w:r>
        <w:rPr>
          <w:rFonts w:ascii="Amiri" w:hAnsi="Amiri" w:eastAsia="Amiri" w:cs="Amiri"/>
          <w:lang w:bidi="ar-SA"/>
          <w:color w:val="111111"/>
          <w:sz w:val="28"/>
          <w:szCs w:val="28"/>
          <w:rtl/>
        </w:rPr>
        <w:t xml:space="preserve">طبقات المفسرين، ج 10، ص789.</w:t>
      </w:r>
    </w:p>
    <w:p>
      <w:pPr>
        <w:pStyle w:val="BookText"/>
      </w:pPr>
      <w:r>
        <w:rPr>
          <w:rFonts w:ascii="IRNazanin" w:hAnsi="IRNazanin" w:eastAsia="IRNazanin" w:cs="IRNazanin"/>
          <w:lang w:bidi="fa-IR"/>
          <w:color w:val="111111"/>
          <w:sz w:val="28"/>
          <w:szCs w:val="28"/>
          <w:rtl/>
        </w:rPr>
        <w:t xml:space="preserve">بن اسحق</w:t>
      </w:r>
    </w:p>
    <w:p>
      <w:pPr>
        <w:pStyle w:val="BookText"/>
      </w:pPr>
      <w:r>
        <w:rPr>
          <w:rFonts w:ascii="Amiri" w:hAnsi="Amiri" w:eastAsia="Amiri" w:cs="Amiri"/>
          <w:lang w:bidi="ar-SA"/>
          <w:color w:val="111111"/>
          <w:sz w:val="28"/>
          <w:szCs w:val="28"/>
          <w:rtl/>
        </w:rPr>
        <w:t xml:space="preserve">داودي ، محمّد بن وفاء -ابن وفائي ،</w:t>
      </w:r>
    </w:p>
    <w:p>
      <w:pPr>
        <w:pStyle w:val="BookText"/>
      </w:pPr>
      <w:r>
        <w:rPr>
          <w:rFonts w:ascii="IRNazanin" w:hAnsi="IRNazanin" w:eastAsia="IRNazanin" w:cs="IRNazanin"/>
          <w:lang w:bidi="fa-IR"/>
          <w:color w:val="111111"/>
          <w:sz w:val="28"/>
          <w:szCs w:val="28"/>
          <w:rtl/>
        </w:rPr>
        <w:t xml:space="preserve">محمّد بن وفاء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9" w:name="pg7742_70354"/>
    <w:bookmarkEnd w:id="479"/>
    <w:p>
      <w:pPr>
        <w:pStyle w:val="Heading2"/>
      </w:pPr>
      <w:bookmarkStart w:id="4288" w:name="_Toc3390"/>
      <w:r>
        <w:t>داوود النبي</w:t>
      </w:r>
      <w:bookmarkEnd w:id="4288"/>
    </w:p>
    <w:p>
      <w:pPr>
        <w:pStyle w:val="BookText"/>
      </w:pPr>
      <w:r>
        <w:rPr>
          <w:rFonts w:ascii="Amiri" w:hAnsi="Amiri" w:eastAsia="Amiri" w:cs="Amiri"/>
          <w:lang w:bidi="ar-SA"/>
          <w:color w:val="111111"/>
          <w:sz w:val="28"/>
          <w:szCs w:val="28"/>
          <w:rtl/>
        </w:rPr>
        <w:t xml:space="preserve">1 .المزامير = زبور داوود، ج 14،</w:t>
      </w:r>
    </w:p>
    <w:p>
      <w:pPr>
        <w:pStyle w:val="BookText"/>
      </w:pPr>
      <w:r>
        <w:rPr>
          <w:rFonts w:ascii="IRNazanin" w:hAnsi="IRNazanin" w:eastAsia="IRNazanin" w:cs="IRNazanin"/>
          <w:lang w:bidi="fa-IR"/>
          <w:color w:val="111111"/>
          <w:sz w:val="28"/>
          <w:szCs w:val="28"/>
          <w:rtl/>
        </w:rPr>
        <w:t xml:space="preserve">ص 419.</w:t>
      </w:r>
    </w:p>
    <w:p>
      <w:pPr>
        <w:pStyle w:val="BookText"/>
      </w:pPr>
      <w:r>
        <w:rPr>
          <w:rFonts w:ascii="Amiri" w:hAnsi="Amiri" w:eastAsia="Amiri" w:cs="Amiri"/>
          <w:lang w:bidi="ar-SA"/>
          <w:color w:val="111111"/>
          <w:sz w:val="28"/>
          <w:szCs w:val="28"/>
          <w:rtl/>
        </w:rPr>
        <w:t xml:space="preserve">2 .المزامير = زبور داوود، ج 14</w:t>
      </w:r>
    </w:p>
    <w:p>
      <w:pPr>
        <w:pStyle w:val="BookText"/>
      </w:pPr>
      <w:r>
        <w:rPr>
          <w:rFonts w:ascii="IRNazanin" w:hAnsi="IRNazanin" w:eastAsia="IRNazanin" w:cs="IRNazanin"/>
          <w:lang w:bidi="fa-IR"/>
          <w:color w:val="111111"/>
          <w:sz w:val="28"/>
          <w:szCs w:val="28"/>
          <w:rtl/>
        </w:rPr>
        <w:t xml:space="preserve">ص 420.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المزامير طقسي)، ج 14، ص 421.</w:t>
      </w:r>
    </w:p>
    <w:p>
      <w:pPr>
        <w:pStyle w:val="BookText"/>
      </w:pPr>
      <w:r>
        <w:rPr>
          <w:rFonts w:ascii="Amiri" w:hAnsi="Amiri" w:eastAsia="Amiri" w:cs="Amiri"/>
          <w:lang w:bidi="ar-SA"/>
          <w:color w:val="111111"/>
          <w:sz w:val="28"/>
          <w:szCs w:val="28"/>
          <w:rtl/>
        </w:rPr>
        <w:t xml:space="preserve">دايه ، نجم رازي- نجم رازي ، عبدالله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دباس ، حسين بن محمّد- بارع بغدادي</w:t>
      </w:r>
    </w:p>
    <w:p>
      <w:pPr>
        <w:pStyle w:val="BookText"/>
      </w:pPr>
      <w:r>
        <w:rPr>
          <w:rFonts w:ascii="Amiri" w:hAnsi="Amiri" w:eastAsia="Amiri" w:cs="Amiri"/>
          <w:lang w:bidi="ar-SA"/>
          <w:color w:val="111111"/>
          <w:sz w:val="28"/>
          <w:szCs w:val="28"/>
          <w:rtl/>
        </w:rPr>
        <w:t xml:space="preserve">حسين بن محمّد</w:t>
      </w:r>
    </w:p>
    <w:p>
      <w:pPr>
        <w:pStyle w:val="Heading2"/>
      </w:pPr>
      <w:bookmarkStart w:id="4289" w:name="_Toc3391"/>
      <w:r>
        <w:t>دباغ زاده، صالح، - 1298 ه-</w:t>
      </w:r>
      <w:bookmarkEnd w:id="4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ذكر الشيخ نورالدين البريفكاني</w:t>
      </w:r>
    </w:p>
    <w:p>
      <w:pPr>
        <w:pStyle w:val="BookText"/>
      </w:pPr>
      <w:r>
        <w:rPr>
          <w:rFonts w:ascii="Amiri" w:hAnsi="Amiri" w:eastAsia="Amiri" w:cs="Amiri"/>
          <w:lang w:bidi="ar-SA"/>
          <w:color w:val="111111"/>
          <w:sz w:val="28"/>
          <w:szCs w:val="28"/>
          <w:rtl/>
        </w:rPr>
        <w:t xml:space="preserve">(رسالة في)، ج 7، ص 855.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قصائد و أبيات، ج12، ص599 .</w:t>
      </w:r>
    </w:p>
    <w:p>
      <w:pPr>
        <w:pStyle w:val="BookText"/>
      </w:pPr>
      <w:r>
        <w:rPr>
          <w:rFonts w:ascii="Amiri" w:hAnsi="Amiri" w:eastAsia="Amiri" w:cs="Amiri"/>
          <w:lang w:bidi="ar-SA"/>
          <w:color w:val="111111"/>
          <w:sz w:val="28"/>
          <w:szCs w:val="28"/>
          <w:rtl/>
        </w:rPr>
        <w:t xml:space="preserve">كرامات الشيخ نورالدين البريفكاني</w:t>
      </w:r>
    </w:p>
    <w:p>
      <w:pPr>
        <w:pStyle w:val="BookText"/>
      </w:pPr>
      <w:r>
        <w:rPr>
          <w:rFonts w:ascii="Amiri" w:hAnsi="Amiri" w:eastAsia="Amiri" w:cs="Amiri"/>
          <w:lang w:bidi="ar-SA"/>
          <w:color w:val="111111"/>
          <w:sz w:val="28"/>
          <w:szCs w:val="28"/>
          <w:rtl/>
        </w:rPr>
        <w:t xml:space="preserve">(رسالة في)، ج 13، ص 154.</w:t>
      </w:r>
    </w:p>
    <w:p>
      <w:pPr>
        <w:pStyle w:val="Heading2"/>
      </w:pPr>
      <w:bookmarkStart w:id="4290" w:name="_Toc3392"/>
      <w:r>
        <w:t>دباغ زاده محمّد بن محمود - 1114 ه-</w:t>
      </w:r>
      <w:bookmarkEnd w:id="4290"/>
    </w:p>
    <w:p>
      <w:pPr>
        <w:pStyle w:val="BookText"/>
      </w:pPr>
      <w:r>
        <w:rPr>
          <w:rFonts w:ascii="Amiri" w:hAnsi="Amiri" w:eastAsia="Amiri" w:cs="Amiri"/>
          <w:lang w:bidi="ar-SA"/>
          <w:color w:val="111111"/>
          <w:sz w:val="28"/>
          <w:szCs w:val="28"/>
          <w:rtl/>
        </w:rPr>
        <w:t xml:space="preserve">رشحة النصيح من الحديث الصحيح</w:t>
      </w:r>
    </w:p>
    <w:p>
      <w:pPr>
        <w:pStyle w:val="BookText"/>
      </w:pPr>
      <w:r>
        <w:rPr>
          <w:rFonts w:ascii="IRNazanin" w:hAnsi="IRNazanin" w:eastAsia="IRNazanin" w:cs="IRNazanin"/>
          <w:lang w:bidi="fa-IR"/>
          <w:color w:val="111111"/>
          <w:sz w:val="28"/>
          <w:szCs w:val="28"/>
          <w:rtl/>
        </w:rPr>
        <w:t xml:space="preserve">ج 8، ص308.</w:t>
      </w:r>
    </w:p>
    <w:p>
      <w:pPr>
        <w:pStyle w:val="Heading2"/>
      </w:pPr>
      <w:bookmarkStart w:id="4291" w:name="_Toc3393"/>
      <w:r>
        <w:t>دباغ ، صالح افندي قرن 13 ه-</w:t>
      </w:r>
      <w:bookmarkEnd w:id="4291"/>
    </w:p>
    <w:p>
      <w:pPr>
        <w:pStyle w:val="BookText"/>
      </w:pPr>
      <w:r>
        <w:rPr>
          <w:rFonts w:ascii="Amiri" w:hAnsi="Amiri" w:eastAsia="Amiri" w:cs="Amiri"/>
          <w:lang w:bidi="ar-SA"/>
          <w:color w:val="111111"/>
          <w:sz w:val="28"/>
          <w:szCs w:val="28"/>
          <w:rtl/>
        </w:rPr>
        <w:t xml:space="preserve">1 .تخميس قصيدة البردة، جع،</w:t>
      </w:r>
    </w:p>
    <w:p>
      <w:pPr>
        <w:pStyle w:val="BookText"/>
      </w:pPr>
      <w:r>
        <w:rPr>
          <w:rFonts w:ascii="IRNazanin" w:hAnsi="IRNazanin" w:eastAsia="IRNazanin" w:cs="IRNazanin"/>
          <w:lang w:bidi="fa-IR"/>
          <w:color w:val="111111"/>
          <w:sz w:val="28"/>
          <w:szCs w:val="28"/>
          <w:rtl/>
        </w:rPr>
        <w:t xml:space="preserve">ص 124 .</w:t>
      </w:r>
    </w:p>
    <w:p>
      <w:pPr>
        <w:pStyle w:val="BookText"/>
      </w:pPr>
      <w:r>
        <w:rPr>
          <w:rFonts w:ascii="Amiri" w:hAnsi="Amiri" w:eastAsia="Amiri" w:cs="Amiri"/>
          <w:lang w:bidi="ar-SA"/>
          <w:color w:val="111111"/>
          <w:sz w:val="28"/>
          <w:szCs w:val="28"/>
          <w:rtl/>
        </w:rPr>
        <w:t xml:space="preserve">2 .مجموعة نقول مختلفة و قصائد ج 14، ص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مجموعه ج 14، ص 5.</w:t>
      </w:r>
    </w:p>
    <w:p>
      <w:pPr>
        <w:pStyle w:val="BookText"/>
      </w:pPr>
      <w:r>
        <w:rPr>
          <w:rFonts w:ascii="Amiri" w:hAnsi="Amiri" w:eastAsia="Amiri" w:cs="Amiri"/>
          <w:lang w:bidi="ar-SA"/>
          <w:color w:val="111111"/>
          <w:sz w:val="28"/>
          <w:szCs w:val="28"/>
          <w:rtl/>
        </w:rPr>
        <w:t xml:space="preserve">4 .مسائل فقهية في الغاز، ج 14،</w:t>
      </w:r>
    </w:p>
    <w:p>
      <w:pPr>
        <w:pStyle w:val="BookText"/>
      </w:pPr>
      <w:r>
        <w:rPr>
          <w:rFonts w:ascii="IRNazanin" w:hAnsi="IRNazanin" w:eastAsia="IRNazanin" w:cs="IRNazanin"/>
          <w:lang w:bidi="fa-IR"/>
          <w:color w:val="111111"/>
          <w:sz w:val="28"/>
          <w:szCs w:val="28"/>
          <w:rtl/>
        </w:rPr>
        <w:t xml:space="preserve">ص 467 .</w:t>
      </w:r>
    </w:p>
    <w:p>
      <w:pPr>
        <w:pStyle w:val="Heading2"/>
      </w:pPr>
      <w:bookmarkStart w:id="4292" w:name="_Toc3394"/>
      <w:r>
        <w:t>دباغ، علي بن مصطفى، 1104 - 1174 ه-</w:t>
      </w:r>
      <w:bookmarkEnd w:id="4292"/>
    </w:p>
    <w:p>
      <w:pPr>
        <w:pStyle w:val="BookText"/>
      </w:pPr>
      <w:r>
        <w:rPr>
          <w:rFonts w:ascii="Amiri" w:hAnsi="Amiri" w:eastAsia="Amiri" w:cs="Amiri"/>
          <w:lang w:bidi="ar-SA"/>
          <w:color w:val="111111"/>
          <w:sz w:val="28"/>
          <w:szCs w:val="28"/>
          <w:rtl/>
        </w:rPr>
        <w:t xml:space="preserve">اتحاف الانام بأخبار سيدنا جرجيس</w:t>
      </w:r>
    </w:p>
    <w:p>
      <w:pPr>
        <w:pStyle w:val="BookText"/>
      </w:pPr>
      <w:r>
        <w:rPr>
          <w:rFonts w:ascii="Amiri" w:hAnsi="Amiri" w:eastAsia="Amiri" w:cs="Amiri"/>
          <w:lang w:bidi="ar-SA"/>
          <w:color w:val="111111"/>
          <w:sz w:val="28"/>
          <w:szCs w:val="28"/>
          <w:rtl/>
        </w:rPr>
        <w:t xml:space="preserve">عليه السلام، ج1، ص 126 .</w:t>
      </w:r>
    </w:p>
    <w:p>
      <w:pPr>
        <w:pStyle w:val="Heading2"/>
      </w:pPr>
      <w:bookmarkStart w:id="4293" w:name="_Toc3395"/>
      <w:r>
        <w:t>دباغي مرعشي، احمد بن محمّد -1165ه-</w:t>
      </w:r>
      <w:bookmarkEnd w:id="4293"/>
    </w:p>
    <w:p>
      <w:pPr>
        <w:pStyle w:val="BookText"/>
      </w:pPr>
      <w:r>
        <w:rPr>
          <w:rFonts w:ascii="Amiri" w:hAnsi="Amiri" w:eastAsia="Amiri" w:cs="Amiri"/>
          <w:lang w:bidi="ar-SA"/>
          <w:color w:val="111111"/>
          <w:sz w:val="28"/>
          <w:szCs w:val="28"/>
          <w:rtl/>
        </w:rPr>
        <w:t xml:space="preserve">1 .تفسير القرآن الكريم، ج 4، ص 668 .</w:t>
      </w:r>
    </w:p>
    <w:p>
      <w:pPr>
        <w:pStyle w:val="BookText"/>
      </w:pPr>
      <w:r>
        <w:rPr>
          <w:rFonts w:ascii="Amiri" w:hAnsi="Amiri" w:eastAsia="Amiri" w:cs="Amiri"/>
          <w:lang w:bidi="ar-SA"/>
          <w:color w:val="111111"/>
          <w:sz w:val="28"/>
          <w:szCs w:val="28"/>
          <w:rtl/>
        </w:rPr>
        <w:t xml:space="preserve">2 .حاشية على تفسير آيات للبيضاوي</w:t>
      </w:r>
    </w:p>
    <w:p>
      <w:pPr>
        <w:pStyle w:val="BookText"/>
      </w:pPr>
      <w:r>
        <w:rPr>
          <w:rFonts w:ascii="IRNazanin" w:hAnsi="IRNazanin" w:eastAsia="IRNazanin" w:cs="IRNazanin"/>
          <w:lang w:bidi="fa-IR"/>
          <w:color w:val="111111"/>
          <w:sz w:val="28"/>
          <w:szCs w:val="28"/>
          <w:rtl/>
        </w:rPr>
        <w:t xml:space="preserve">ج 6 ، ص 236.</w:t>
      </w:r>
    </w:p>
    <w:p>
      <w:pPr>
        <w:pStyle w:val="BookText"/>
      </w:pPr>
      <w:r>
        <w:rPr>
          <w:rFonts w:ascii="Amiri" w:hAnsi="Amiri" w:eastAsia="Amiri" w:cs="Amiri"/>
          <w:lang w:bidi="ar-SA"/>
          <w:color w:val="111111"/>
          <w:sz w:val="28"/>
          <w:szCs w:val="28"/>
          <w:rtl/>
        </w:rPr>
        <w:t xml:space="preserve">3 .حاشية على جواب السعدي على</w:t>
      </w:r>
    </w:p>
    <w:p>
      <w:pPr>
        <w:pStyle w:val="BookText"/>
      </w:pPr>
      <w:r>
        <w:rPr>
          <w:rFonts w:ascii="Amiri" w:hAnsi="Amiri" w:eastAsia="Amiri" w:cs="Amiri"/>
          <w:lang w:bidi="ar-SA"/>
          <w:color w:val="111111"/>
          <w:sz w:val="28"/>
          <w:szCs w:val="28"/>
          <w:rtl/>
        </w:rPr>
        <w:t xml:space="preserve">اشكال الكشف على الكشف و البيضاوي، ج 6، ص238.</w:t>
      </w:r>
    </w:p>
    <w:p>
      <w:pPr>
        <w:pStyle w:val="BookText"/>
      </w:pPr>
      <w:r>
        <w:rPr>
          <w:rFonts w:ascii="Amiri" w:hAnsi="Amiri" w:eastAsia="Amiri" w:cs="Amiri"/>
          <w:lang w:bidi="ar-SA"/>
          <w:color w:val="111111"/>
          <w:sz w:val="28"/>
          <w:szCs w:val="28"/>
          <w:rtl/>
        </w:rPr>
        <w:t xml:space="preserve">4 .حاشية على ما اورده بعض العلماء</w:t>
      </w:r>
    </w:p>
    <w:p>
      <w:pPr>
        <w:pStyle w:val="BookText"/>
      </w:pPr>
      <w:r>
        <w:rPr>
          <w:rFonts w:ascii="IRNazanin" w:hAnsi="IRNazanin" w:eastAsia="IRNazanin" w:cs="IRNazanin"/>
          <w:lang w:bidi="fa-IR"/>
          <w:color w:val="111111"/>
          <w:sz w:val="28"/>
          <w:szCs w:val="28"/>
          <w:rtl/>
        </w:rPr>
        <w:t xml:space="preserve">على شرح خواجه زاده ج6، ص 251.</w:t>
      </w:r>
    </w:p>
    <w:p>
      <w:pPr>
        <w:pStyle w:val="BookText"/>
      </w:pPr>
      <w:r>
        <w:rPr>
          <w:rFonts w:ascii="Amiri" w:hAnsi="Amiri" w:eastAsia="Amiri" w:cs="Amiri"/>
          <w:lang w:bidi="ar-SA"/>
          <w:color w:val="111111"/>
          <w:sz w:val="28"/>
          <w:szCs w:val="28"/>
          <w:rtl/>
        </w:rPr>
        <w:t xml:space="preserve">5 .رد في التصوف، ج8، ص109.</w:t>
      </w:r>
    </w:p>
    <w:p>
      <w:pPr>
        <w:pStyle w:val="BookText"/>
      </w:pPr>
      <w:r>
        <w:rPr>
          <w:rFonts w:ascii="Amiri" w:hAnsi="Amiri" w:eastAsia="Amiri" w:cs="Amiri"/>
          <w:lang w:bidi="ar-SA"/>
          <w:color w:val="111111"/>
          <w:sz w:val="28"/>
          <w:szCs w:val="28"/>
          <w:rtl/>
        </w:rPr>
        <w:t xml:space="preserve">6 .شرح تفسير سورة الاخلاص، ج 9،</w:t>
      </w:r>
    </w:p>
    <w:p>
      <w:pPr>
        <w:pStyle w:val="BookText"/>
      </w:pPr>
      <w:r>
        <w:rPr>
          <w:rFonts w:ascii="IRNazanin" w:hAnsi="IRNazanin" w:eastAsia="IRNazanin" w:cs="IRNazanin"/>
          <w:lang w:bidi="fa-IR"/>
          <w:color w:val="111111"/>
          <w:sz w:val="28"/>
          <w:szCs w:val="28"/>
          <w:rtl/>
        </w:rPr>
        <w:t xml:space="preserve">ص 341.</w:t>
      </w:r>
    </w:p>
    <w:p>
      <w:pPr>
        <w:pStyle w:val="Heading2"/>
      </w:pPr>
      <w:bookmarkStart w:id="4294" w:name="_Toc3396"/>
      <w:r>
        <w:t>دبوسي ، عبد الله بن عمر، 367 - 430 ه-</w:t>
      </w:r>
      <w:bookmarkEnd w:id="4294"/>
    </w:p>
    <w:p>
      <w:pPr>
        <w:pStyle w:val="BookText"/>
      </w:pPr>
      <w:r>
        <w:rPr>
          <w:rFonts w:ascii="Amiri" w:hAnsi="Amiri" w:eastAsia="Amiri" w:cs="Amiri"/>
          <w:lang w:bidi="ar-SA"/>
          <w:color w:val="111111"/>
          <w:sz w:val="28"/>
          <w:szCs w:val="28"/>
          <w:rtl/>
        </w:rPr>
        <w:t xml:space="preserve">الأسرار في الأصول والفروع، ج 2، ص 178.</w:t>
      </w:r>
    </w:p>
    <w:p>
      <w:pPr>
        <w:pStyle w:val="BookText"/>
      </w:pPr>
      <w:r>
        <w:rPr>
          <w:rFonts w:ascii="Amiri" w:hAnsi="Amiri" w:eastAsia="Amiri" w:cs="Amiri"/>
          <w:lang w:bidi="ar-SA"/>
          <w:color w:val="111111"/>
          <w:sz w:val="28"/>
          <w:szCs w:val="28"/>
          <w:rtl/>
        </w:rPr>
        <w:t xml:space="preserve">دبيثي ، محمّد بن سعيد -ابن دبيثي ،</w:t>
      </w:r>
    </w:p>
    <w:p>
      <w:pPr>
        <w:pStyle w:val="BookText"/>
      </w:pPr>
      <w:r>
        <w:rPr>
          <w:rFonts w:ascii="Amiri" w:hAnsi="Amiri" w:eastAsia="Amiri" w:cs="Amiri"/>
          <w:lang w:bidi="ar-SA"/>
          <w:color w:val="111111"/>
          <w:sz w:val="28"/>
          <w:szCs w:val="28"/>
          <w:rtl/>
        </w:rPr>
        <w:t xml:space="preserve">محمّد بن سعيد</w:t>
      </w:r>
    </w:p>
    <w:p>
      <w:pPr>
        <w:pStyle w:val="BookText"/>
      </w:pPr>
      <w:r>
        <w:rPr>
          <w:rFonts w:ascii="Amiri" w:hAnsi="Amiri" w:eastAsia="Amiri" w:cs="Amiri"/>
          <w:lang w:bidi="ar-SA"/>
          <w:color w:val="111111"/>
          <w:sz w:val="28"/>
          <w:szCs w:val="28"/>
          <w:rtl/>
        </w:rPr>
        <w:t xml:space="preserve">دبيران كاتبي قزويني- كاتبي قزويني</w:t>
      </w:r>
    </w:p>
    <w:p>
      <w:pPr>
        <w:pStyle w:val="BookText"/>
      </w:pPr>
      <w:r>
        <w:rPr>
          <w:rFonts w:ascii="Amiri" w:hAnsi="Amiri" w:eastAsia="Amiri" w:cs="Amiri"/>
          <w:lang w:bidi="ar-SA"/>
          <w:color w:val="111111"/>
          <w:sz w:val="28"/>
          <w:szCs w:val="28"/>
          <w:rtl/>
        </w:rPr>
        <w:t xml:space="preserve">علي بن عمر</w:t>
      </w:r>
    </w:p>
    <w:p>
      <w:pPr>
        <w:pStyle w:val="BookText"/>
      </w:pPr>
      <w:r>
        <w:rPr>
          <w:rFonts w:ascii="Amiri" w:hAnsi="Amiri" w:eastAsia="Amiri" w:cs="Amiri"/>
          <w:lang w:bidi="ar-SA"/>
          <w:color w:val="111111"/>
          <w:sz w:val="28"/>
          <w:szCs w:val="28"/>
          <w:rtl/>
        </w:rPr>
        <w:t xml:space="preserve">دبيلي ، احمد بن نصر الله- تتوي ، احمد</w:t>
      </w:r>
    </w:p>
    <w:p>
      <w:pPr>
        <w:pStyle w:val="BookText"/>
      </w:pPr>
      <w:r>
        <w:rPr>
          <w:rFonts w:ascii="IRNazanin" w:hAnsi="IRNazanin" w:eastAsia="IRNazanin" w:cs="IRNazanin"/>
          <w:lang w:bidi="fa-IR"/>
          <w:color w:val="111111"/>
          <w:sz w:val="28"/>
          <w:szCs w:val="28"/>
          <w:rtl/>
        </w:rPr>
        <w:t xml:space="preserve">بن نصر الله</w:t>
      </w:r>
    </w:p>
    <w:p>
      <w:pPr>
        <w:pStyle w:val="BookText"/>
      </w:pPr>
      <w:r>
        <w:rPr>
          <w:rFonts w:ascii="Amiri" w:hAnsi="Amiri" w:eastAsia="Amiri" w:cs="Amiri"/>
          <w:lang w:bidi="ar-SA"/>
          <w:color w:val="111111"/>
          <w:sz w:val="28"/>
          <w:szCs w:val="28"/>
          <w:rtl/>
        </w:rPr>
        <w:t xml:space="preserve">دبيني ، منصور بن حسن -ايجي ، منصور</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دتفزي ، ملا عبد الله - ديكقوز ، احمد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دجاني ، احمد بن محمّد- بدري قشاشي</w:t>
      </w:r>
    </w:p>
    <w:p>
      <w:pPr>
        <w:pStyle w:val="BookText"/>
      </w:pPr>
      <w:r>
        <w:rPr>
          <w:rFonts w:ascii="Amiri" w:hAnsi="Amiri" w:eastAsia="Amiri" w:cs="Amiri"/>
          <w:lang w:bidi="ar-SA"/>
          <w:color w:val="111111"/>
          <w:sz w:val="28"/>
          <w:szCs w:val="28"/>
          <w:rtl/>
        </w:rPr>
        <w:t xml:space="preserve">صفي الدين احمد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0" w:name="pg7742_70356"/>
    <w:bookmarkEnd w:id="480"/>
    <w:p>
      <w:pPr>
        <w:pStyle w:val="Heading2"/>
      </w:pPr>
      <w:bookmarkStart w:id="4295" w:name="_Toc3397"/>
      <w:r>
        <w:t>دجاني ، حسين بن سليم، - 1374 ه-</w:t>
      </w:r>
      <w:bookmarkEnd w:id="4295"/>
    </w:p>
    <w:p>
      <w:pPr>
        <w:pStyle w:val="BookText"/>
      </w:pPr>
      <w:r>
        <w:rPr>
          <w:rFonts w:ascii="Amiri" w:hAnsi="Amiri" w:eastAsia="Amiri" w:cs="Amiri"/>
          <w:lang w:bidi="ar-SA"/>
          <w:color w:val="111111"/>
          <w:sz w:val="28"/>
          <w:szCs w:val="28"/>
          <w:rtl/>
        </w:rPr>
        <w:t xml:space="preserve">1 .تشطير ابيات للسيد احمد الرفاعي</w:t>
      </w:r>
    </w:p>
    <w:p>
      <w:pPr>
        <w:pStyle w:val="BookText"/>
      </w:pPr>
      <w:r>
        <w:rPr>
          <w:rFonts w:ascii="IRNazanin" w:hAnsi="IRNazanin" w:eastAsia="IRNazanin" w:cs="IRNazanin"/>
          <w:lang w:bidi="fa-IR"/>
          <w:color w:val="111111"/>
          <w:sz w:val="28"/>
          <w:szCs w:val="28"/>
          <w:rtl/>
        </w:rPr>
        <w:t xml:space="preserve">ج 4، ص 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الدجاني، ج 7، ص 640.</w:t>
      </w:r>
    </w:p>
    <w:p>
      <w:pPr>
        <w:pStyle w:val="BookText"/>
      </w:pPr>
      <w:r>
        <w:rPr>
          <w:rFonts w:ascii="Amiri" w:hAnsi="Amiri" w:eastAsia="Amiri" w:cs="Amiri"/>
          <w:lang w:bidi="ar-SA"/>
          <w:color w:val="111111"/>
          <w:sz w:val="28"/>
          <w:szCs w:val="28"/>
          <w:rtl/>
        </w:rPr>
        <w:t xml:space="preserve">3 .الشافية للاسقام والآلام الجالبة للبر</w:t>
      </w:r>
    </w:p>
    <w:p>
      <w:pPr>
        <w:pStyle w:val="BookText"/>
      </w:pPr>
      <w:r>
        <w:rPr>
          <w:rFonts w:ascii="Amiri" w:hAnsi="Amiri" w:eastAsia="Amiri" w:cs="Amiri"/>
          <w:lang w:bidi="ar-SA"/>
          <w:color w:val="111111"/>
          <w:sz w:val="28"/>
          <w:szCs w:val="28"/>
          <w:rtl/>
        </w:rPr>
        <w:t xml:space="preserve">و الأنعام القاضية للمرام في نظم أسماء أهل بدر الكرام (منظوم) ج 9، ص 61 .</w:t>
      </w:r>
    </w:p>
    <w:p>
      <w:pPr>
        <w:pStyle w:val="BookText"/>
      </w:pPr>
      <w:r>
        <w:rPr>
          <w:rFonts w:ascii="Amiri" w:hAnsi="Amiri" w:eastAsia="Amiri" w:cs="Amiri"/>
          <w:lang w:bidi="ar-SA"/>
          <w:color w:val="111111"/>
          <w:sz w:val="28"/>
          <w:szCs w:val="28"/>
          <w:rtl/>
        </w:rPr>
        <w:t xml:space="preserve">4 .المنهل الشافي على الكافي في علمي العروض والقوافي، ج 15، ص 814.</w:t>
      </w:r>
    </w:p>
    <w:p>
      <w:pPr>
        <w:pStyle w:val="Heading2"/>
      </w:pPr>
      <w:bookmarkStart w:id="4296" w:name="_Toc3398"/>
      <w:r>
        <w:t>دجيلي ، خضر بن عباس، قرن 14 ه-</w:t>
      </w:r>
      <w:bookmarkEnd w:id="4296"/>
    </w:p>
    <w:p>
      <w:pPr>
        <w:pStyle w:val="BookText"/>
      </w:pPr>
      <w:r>
        <w:rPr>
          <w:rFonts w:ascii="Amiri" w:hAnsi="Amiri" w:eastAsia="Amiri" w:cs="Amiri"/>
          <w:lang w:bidi="ar-SA"/>
          <w:color w:val="111111"/>
          <w:sz w:val="28"/>
          <w:szCs w:val="28"/>
          <w:rtl/>
        </w:rPr>
        <w:t xml:space="preserve">1 .الاصول العملية، ج 2، ص 430 .</w:t>
      </w:r>
    </w:p>
    <w:p>
      <w:pPr>
        <w:pStyle w:val="BookText"/>
      </w:pPr>
      <w:r>
        <w:rPr>
          <w:rFonts w:ascii="Amiri" w:hAnsi="Amiri" w:eastAsia="Amiri" w:cs="Amiri"/>
          <w:lang w:bidi="ar-SA"/>
          <w:color w:val="111111"/>
          <w:sz w:val="28"/>
          <w:szCs w:val="28"/>
          <w:rtl/>
        </w:rPr>
        <w:t xml:space="preserve">2 .اصول اللفظية، ج2، ص 464.</w:t>
      </w:r>
    </w:p>
    <w:p>
      <w:pPr>
        <w:pStyle w:val="BookText"/>
      </w:pPr>
      <w:r>
        <w:rPr>
          <w:rFonts w:ascii="Amiri" w:hAnsi="Amiri" w:eastAsia="Amiri" w:cs="Amiri"/>
          <w:lang w:bidi="ar-SA"/>
          <w:color w:val="111111"/>
          <w:sz w:val="28"/>
          <w:szCs w:val="28"/>
          <w:rtl/>
        </w:rPr>
        <w:t xml:space="preserve">3 .حاشية العروة الوثقى، ج 1، ص 229</w:t>
      </w:r>
    </w:p>
    <w:p>
      <w:pPr>
        <w:pStyle w:val="BookText"/>
      </w:pPr>
      <w:r>
        <w:rPr>
          <w:rFonts w:ascii="Amiri" w:hAnsi="Amiri" w:eastAsia="Amiri" w:cs="Amiri"/>
          <w:lang w:bidi="ar-SA"/>
          <w:color w:val="111111"/>
          <w:sz w:val="28"/>
          <w:szCs w:val="28"/>
          <w:rtl/>
        </w:rPr>
        <w:t xml:space="preserve">4 .حاشية كفاية الاصول، ج 6، ص 336 .</w:t>
      </w:r>
    </w:p>
    <w:p>
      <w:pPr>
        <w:pStyle w:val="BookText"/>
      </w:pPr>
      <w:r>
        <w:rPr>
          <w:rFonts w:ascii="Amiri" w:hAnsi="Amiri" w:eastAsia="Amiri" w:cs="Amiri"/>
          <w:lang w:bidi="ar-SA"/>
          <w:color w:val="111111"/>
          <w:sz w:val="28"/>
          <w:szCs w:val="28"/>
          <w:rtl/>
        </w:rPr>
        <w:t xml:space="preserve">5 .الفوائد المثمرة في شرح التبصرة</w:t>
      </w:r>
    </w:p>
    <w:p>
      <w:pPr>
        <w:pStyle w:val="BookText"/>
      </w:pPr>
      <w:r>
        <w:rPr>
          <w:rFonts w:ascii="IRNazanin" w:hAnsi="IRNazanin" w:eastAsia="IRNazanin" w:cs="IRNazanin"/>
          <w:lang w:bidi="fa-IR"/>
          <w:color w:val="111111"/>
          <w:sz w:val="28"/>
          <w:szCs w:val="28"/>
          <w:rtl/>
        </w:rPr>
        <w:t xml:space="preserve">ج 12، ص 268.</w:t>
      </w:r>
    </w:p>
    <w:p>
      <w:pPr>
        <w:pStyle w:val="BookText"/>
      </w:pPr>
      <w:r>
        <w:rPr>
          <w:rFonts w:ascii="Amiri" w:hAnsi="Amiri" w:eastAsia="Amiri" w:cs="Amiri"/>
          <w:lang w:bidi="ar-SA"/>
          <w:color w:val="111111"/>
          <w:sz w:val="28"/>
          <w:szCs w:val="28"/>
          <w:rtl/>
        </w:rPr>
        <w:t xml:space="preserve">6 .قاعدة لاضرر، ج 12، ص 335.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منهج الرشاد إلى ما يجب فيه الاعتقاد، ج 15 ، ص 794 .</w:t>
      </w:r>
    </w:p>
    <w:p>
      <w:pPr>
        <w:pStyle w:val="Heading2"/>
      </w:pPr>
      <w:bookmarkStart w:id="4297" w:name="_Toc3399"/>
      <w:r>
        <w:t>دجيلي ، عبد الصاحب</w:t>
      </w:r>
      <w:bookmarkEnd w:id="4297"/>
    </w:p>
    <w:p>
      <w:pPr>
        <w:pStyle w:val="BookText"/>
      </w:pPr>
      <w:r>
        <w:rPr>
          <w:rFonts w:ascii="IRNazanin" w:hAnsi="IRNazanin" w:eastAsia="IRNazanin" w:cs="IRNazanin"/>
          <w:lang w:bidi="fa-IR"/>
          <w:color w:val="111111"/>
          <w:sz w:val="28"/>
          <w:szCs w:val="28"/>
          <w:rtl/>
        </w:rPr>
        <w:t xml:space="preserve">مجموعات قصائد و کلمات، ج 14،</w:t>
      </w:r>
    </w:p>
    <w:p>
      <w:pPr>
        <w:pStyle w:val="BookText"/>
      </w:pPr>
      <w:r>
        <w:rPr>
          <w:rFonts w:ascii="IRNazanin" w:hAnsi="IRNazanin" w:eastAsia="IRNazanin" w:cs="IRNazanin"/>
          <w:lang w:bidi="fa-IR"/>
          <w:color w:val="111111"/>
          <w:sz w:val="28"/>
          <w:szCs w:val="28"/>
          <w:rtl/>
        </w:rPr>
        <w:t xml:space="preserve">ص 4.</w:t>
      </w:r>
    </w:p>
    <w:p>
      <w:pPr>
        <w:pStyle w:val="BookText"/>
      </w:pPr>
      <w:r>
        <w:rPr>
          <w:rFonts w:ascii="Amiri" w:hAnsi="Amiri" w:eastAsia="Amiri" w:cs="Amiri"/>
          <w:lang w:bidi="ar-SA"/>
          <w:color w:val="111111"/>
          <w:sz w:val="28"/>
          <w:szCs w:val="28"/>
          <w:rtl/>
        </w:rPr>
        <w:t xml:space="preserve">دحلان ، احمد زيني- ابن زيني دحلان</w:t>
      </w:r>
    </w:p>
    <w:p>
      <w:pPr>
        <w:pStyle w:val="BookText"/>
      </w:pPr>
      <w:r>
        <w:rPr>
          <w:rFonts w:ascii="Amiri" w:hAnsi="Amiri" w:eastAsia="Amiri" w:cs="Amiri"/>
          <w:lang w:bidi="ar-SA"/>
          <w:color w:val="111111"/>
          <w:sz w:val="28"/>
          <w:szCs w:val="28"/>
          <w:rtl/>
        </w:rPr>
        <w:t xml:space="preserve">احمد بن زيني دحلان</w:t>
      </w:r>
    </w:p>
    <w:p>
      <w:pPr>
        <w:pStyle w:val="Heading2"/>
      </w:pPr>
      <w:bookmarkStart w:id="4298" w:name="_Toc3400"/>
      <w:r>
        <w:t>دحلان، احمد زيني، 91231 - 1304 ه-</w:t>
      </w:r>
      <w:bookmarkEnd w:id="4298"/>
    </w:p>
    <w:p>
      <w:pPr>
        <w:pStyle w:val="BookText"/>
      </w:pPr>
      <w:r>
        <w:rPr>
          <w:rFonts w:ascii="Amiri" w:hAnsi="Amiri" w:eastAsia="Amiri" w:cs="Amiri"/>
          <w:lang w:bidi="ar-SA"/>
          <w:color w:val="111111"/>
          <w:sz w:val="28"/>
          <w:szCs w:val="28"/>
          <w:rtl/>
        </w:rPr>
        <w:t xml:space="preserve">الاستعارة و المجاز المرسل، ج2،</w:t>
      </w:r>
    </w:p>
    <w:p>
      <w:pPr>
        <w:pStyle w:val="BookText"/>
      </w:pPr>
      <w:r>
        <w:rPr>
          <w:rFonts w:ascii="IRNazanin" w:hAnsi="IRNazanin" w:eastAsia="IRNazanin" w:cs="IRNazanin"/>
          <w:lang w:bidi="fa-IR"/>
          <w:color w:val="111111"/>
          <w:sz w:val="28"/>
          <w:szCs w:val="28"/>
          <w:rtl/>
        </w:rPr>
        <w:t xml:space="preserve">ص 145.</w:t>
      </w:r>
    </w:p>
    <w:p>
      <w:pPr>
        <w:pStyle w:val="Heading2"/>
      </w:pPr>
      <w:bookmarkStart w:id="4299" w:name="_Toc3401"/>
      <w:r>
        <w:t>دخوار عبدالرحيم بن علي 565-628 ه-</w:t>
      </w:r>
      <w:bookmarkEnd w:id="4299"/>
    </w:p>
    <w:p>
      <w:pPr>
        <w:pStyle w:val="BookText"/>
      </w:pPr>
      <w:r>
        <w:rPr>
          <w:rFonts w:ascii="Amiri" w:hAnsi="Amiri" w:eastAsia="Amiri" w:cs="Amiri"/>
          <w:lang w:bidi="ar-SA"/>
          <w:color w:val="111111"/>
          <w:sz w:val="28"/>
          <w:szCs w:val="28"/>
          <w:rtl/>
        </w:rPr>
        <w:t xml:space="preserve">1 .الاستفراغ (مقاله في)، ج2، ص 150.</w:t>
      </w:r>
    </w:p>
    <w:p>
      <w:pPr>
        <w:pStyle w:val="BookText"/>
      </w:pPr>
      <w:r>
        <w:rPr>
          <w:rFonts w:ascii="Amiri" w:hAnsi="Amiri" w:eastAsia="Amiri" w:cs="Amiri"/>
          <w:lang w:bidi="ar-SA"/>
          <w:color w:val="111111"/>
          <w:sz w:val="28"/>
          <w:szCs w:val="28"/>
          <w:rtl/>
        </w:rPr>
        <w:t xml:space="preserve">2 .انتخاب الاقتضاب على طريق السؤال والجواب للمسيحي، ج2،</w:t>
      </w:r>
    </w:p>
    <w:p>
      <w:pPr>
        <w:pStyle w:val="BookText"/>
      </w:pPr>
      <w:r>
        <w:rPr>
          <w:rFonts w:ascii="IRNazanin" w:hAnsi="IRNazanin" w:eastAsia="IRNazanin" w:cs="IRNazanin"/>
          <w:lang w:bidi="fa-IR"/>
          <w:color w:val="111111"/>
          <w:sz w:val="28"/>
          <w:szCs w:val="28"/>
          <w:rtl/>
        </w:rPr>
        <w:t xml:space="preserve">ص 782</w:t>
      </w:r>
    </w:p>
    <w:p>
      <w:pPr>
        <w:pStyle w:val="Heading2"/>
      </w:pPr>
      <w:bookmarkStart w:id="4300" w:name="_Toc3402"/>
      <w:r>
        <w:t>دخيل نجدي، سليمان بن صالح، 1294 -</w:t>
      </w:r>
      <w:bookmarkEnd w:id="4300"/>
    </w:p>
    <w:p>
      <w:pPr>
        <w:pStyle w:val="BookText"/>
      </w:pPr>
      <w:r>
        <w:rPr>
          <w:rFonts w:ascii="IRNazanin" w:hAnsi="IRNazanin" w:eastAsia="IRNazanin" w:cs="IRNazanin"/>
          <w:lang w:bidi="fa-IR"/>
          <w:color w:val="111111"/>
          <w:sz w:val="28"/>
          <w:szCs w:val="28"/>
          <w:rtl/>
        </w:rPr>
        <w:t xml:space="preserve">1364ه-</w:t>
      </w:r>
    </w:p>
    <w:p>
      <w:pPr>
        <w:pStyle w:val="BookText"/>
      </w:pPr>
      <w:r>
        <w:rPr>
          <w:rFonts w:ascii="Amiri" w:hAnsi="Amiri" w:eastAsia="Amiri" w:cs="Amiri"/>
          <w:lang w:bidi="ar-SA"/>
          <w:color w:val="111111"/>
          <w:sz w:val="28"/>
          <w:szCs w:val="28"/>
          <w:rtl/>
        </w:rPr>
        <w:t xml:space="preserve">1 .اعراب نجد و ما يتعلق بهم، ج2،</w:t>
      </w:r>
    </w:p>
    <w:p>
      <w:pPr>
        <w:pStyle w:val="BookText"/>
      </w:pPr>
      <w:r>
        <w:rPr>
          <w:rFonts w:ascii="IRNazanin" w:hAnsi="IRNazanin" w:eastAsia="IRNazanin" w:cs="IRNazanin"/>
          <w:lang w:bidi="fa-IR"/>
          <w:color w:val="111111"/>
          <w:sz w:val="28"/>
          <w:szCs w:val="28"/>
          <w:rtl/>
        </w:rPr>
        <w:t xml:space="preserve">ص 549</w:t>
      </w:r>
    </w:p>
    <w:p>
      <w:pPr>
        <w:pStyle w:val="BookText"/>
      </w:pPr>
      <w:r>
        <w:rPr>
          <w:rFonts w:ascii="Amiri" w:hAnsi="Amiri" w:eastAsia="Amiri" w:cs="Amiri"/>
          <w:lang w:bidi="ar-SA"/>
          <w:color w:val="111111"/>
          <w:sz w:val="28"/>
          <w:szCs w:val="28"/>
          <w:rtl/>
        </w:rPr>
        <w:t xml:space="preserve">2 .تاريخ امارات العرب، ج 3، ص 556.</w:t>
      </w:r>
    </w:p>
    <w:p>
      <w:pPr>
        <w:pStyle w:val="BookText"/>
      </w:pPr>
      <w:r>
        <w:rPr>
          <w:rFonts w:ascii="Amiri" w:hAnsi="Amiri" w:eastAsia="Amiri" w:cs="Amiri"/>
          <w:lang w:bidi="ar-SA"/>
          <w:color w:val="111111"/>
          <w:sz w:val="28"/>
          <w:szCs w:val="28"/>
          <w:rtl/>
        </w:rPr>
        <w:t xml:space="preserve">3.حديقة الزوراء في سيرة الوزراء</w:t>
      </w:r>
    </w:p>
    <w:p>
      <w:pPr>
        <w:pStyle w:val="BookText"/>
      </w:pPr>
      <w:r>
        <w:rPr>
          <w:rFonts w:ascii="IRNazanin" w:hAnsi="IRNazanin" w:eastAsia="IRNazanin" w:cs="IRNazanin"/>
          <w:lang w:bidi="fa-IR"/>
          <w:color w:val="111111"/>
          <w:sz w:val="28"/>
          <w:szCs w:val="28"/>
          <w:rtl/>
        </w:rPr>
        <w:t xml:space="preserve">(مختصر)، ج 6، ص 587.</w:t>
      </w:r>
    </w:p>
    <w:p>
      <w:pPr>
        <w:pStyle w:val="BookText"/>
      </w:pPr>
      <w:r>
        <w:rPr>
          <w:rFonts w:ascii="Amiri" w:hAnsi="Amiri" w:eastAsia="Amiri" w:cs="Amiri"/>
          <w:lang w:bidi="ar-SA"/>
          <w:color w:val="111111"/>
          <w:sz w:val="28"/>
          <w:szCs w:val="28"/>
          <w:rtl/>
        </w:rPr>
        <w:t xml:space="preserve">4 .القول السديد في أخبار امارة آل</w:t>
      </w:r>
    </w:p>
    <w:p>
      <w:pPr>
        <w:pStyle w:val="BookText"/>
      </w:pPr>
      <w:r>
        <w:rPr>
          <w:rFonts w:ascii="IRNazanin" w:hAnsi="IRNazanin" w:eastAsia="IRNazanin" w:cs="IRNazanin"/>
          <w:lang w:bidi="fa-IR"/>
          <w:color w:val="111111"/>
          <w:sz w:val="28"/>
          <w:szCs w:val="28"/>
          <w:rtl/>
        </w:rPr>
        <w:t xml:space="preserve">رشید، ج 12، ص 845.</w:t>
      </w:r>
    </w:p>
    <w:p>
      <w:pPr>
        <w:pStyle w:val="BookText"/>
      </w:pPr>
      <w:r>
        <w:rPr>
          <w:rFonts w:ascii="Amiri" w:hAnsi="Amiri" w:eastAsia="Amiri" w:cs="Amiri"/>
          <w:lang w:bidi="ar-SA"/>
          <w:color w:val="111111"/>
          <w:sz w:val="28"/>
          <w:szCs w:val="28"/>
          <w:rtl/>
        </w:rPr>
        <w:t xml:space="preserve">5 .منهل الاولياء و مشرب الاصفياء من</w:t>
      </w:r>
    </w:p>
    <w:p>
      <w:pPr>
        <w:pStyle w:val="BookText"/>
      </w:pPr>
      <w:r>
        <w:rPr>
          <w:rFonts w:ascii="IRNazanin" w:hAnsi="IRNazanin" w:eastAsia="IRNazanin" w:cs="IRNazanin"/>
          <w:lang w:bidi="fa-IR"/>
          <w:color w:val="111111"/>
          <w:sz w:val="28"/>
          <w:szCs w:val="28"/>
          <w:rtl/>
        </w:rPr>
        <w:t xml:space="preserve">سادات الموصل الحدباء (مختصر)</w:t>
      </w:r>
    </w:p>
    <w:p>
      <w:pPr>
        <w:pStyle w:val="BookText"/>
      </w:pPr>
      <w:r>
        <w:rPr>
          <w:rFonts w:ascii="IRNazanin" w:hAnsi="IRNazanin" w:eastAsia="IRNazanin" w:cs="IRNazanin"/>
          <w:lang w:bidi="fa-IR"/>
          <w:color w:val="111111"/>
          <w:sz w:val="28"/>
          <w:szCs w:val="28"/>
          <w:rtl/>
        </w:rPr>
        <w:t xml:space="preserve">ج 15، ص 813.</w:t>
      </w:r>
    </w:p>
    <w:p>
      <w:pPr>
        <w:pStyle w:val="BookText"/>
      </w:pPr>
      <w:r>
        <w:rPr>
          <w:rFonts w:ascii="Amiri" w:hAnsi="Amiri" w:eastAsia="Amiri" w:cs="Amiri"/>
          <w:lang w:bidi="ar-SA"/>
          <w:color w:val="111111"/>
          <w:sz w:val="28"/>
          <w:szCs w:val="28"/>
          <w:rtl/>
        </w:rPr>
        <w:t xml:space="preserve">دده ، ابراهيم بن صالح -مغلوي ، ابراهيم</w:t>
      </w:r>
    </w:p>
    <w:p>
      <w:pPr>
        <w:pStyle w:val="BookText"/>
      </w:pPr>
      <w:r>
        <w:rPr>
          <w:rFonts w:ascii="IRNazanin" w:hAnsi="IRNazanin" w:eastAsia="IRNazanin" w:cs="IRNazanin"/>
          <w:lang w:bidi="fa-IR"/>
          <w:color w:val="111111"/>
          <w:sz w:val="28"/>
          <w:szCs w:val="28"/>
          <w:rtl/>
        </w:rPr>
        <w:t xml:space="preserve">بن صالح</w:t>
      </w:r>
    </w:p>
    <w:p>
      <w:pPr>
        <w:pStyle w:val="Heading2"/>
      </w:pPr>
      <w:bookmarkStart w:id="4301" w:name="_Toc3403"/>
      <w:r>
        <w:t>دده افندي محمّد بن مصطفی قرن 13ه-</w:t>
      </w:r>
      <w:bookmarkEnd w:id="4301"/>
    </w:p>
    <w:p>
      <w:pPr>
        <w:pStyle w:val="BookText"/>
      </w:pPr>
      <w:r>
        <w:rPr>
          <w:rFonts w:ascii="Amiri" w:hAnsi="Amiri" w:eastAsia="Amiri" w:cs="Amiri"/>
          <w:lang w:bidi="ar-SA"/>
          <w:color w:val="111111"/>
          <w:sz w:val="28"/>
          <w:szCs w:val="28"/>
          <w:rtl/>
        </w:rPr>
        <w:t xml:space="preserve">1 .السياسة الشرعية = سياست نامه</w:t>
      </w:r>
    </w:p>
    <w:p>
      <w:pPr>
        <w:pStyle w:val="BookText"/>
      </w:pPr>
      <w:r>
        <w:rPr>
          <w:rFonts w:ascii="Amiri" w:hAnsi="Amiri" w:eastAsia="Amiri" w:cs="Amiri"/>
          <w:lang w:bidi="ar-SA"/>
          <w:color w:val="111111"/>
          <w:sz w:val="28"/>
          <w:szCs w:val="28"/>
          <w:rtl/>
        </w:rPr>
        <w:t xml:space="preserve">= شرح الهداية في السياسة الشرعية، ج 8، ص 869.</w:t>
      </w:r>
    </w:p>
    <w:p>
      <w:pPr>
        <w:pStyle w:val="BookText"/>
      </w:pPr>
      <w:r>
        <w:rPr>
          <w:rFonts w:ascii="Amiri" w:hAnsi="Amiri" w:eastAsia="Amiri" w:cs="Amiri"/>
          <w:lang w:bidi="ar-SA"/>
          <w:color w:val="111111"/>
          <w:sz w:val="28"/>
          <w:szCs w:val="28"/>
          <w:rtl/>
        </w:rPr>
        <w:t xml:space="preserve">2 .شرح الرسالة القياسية، ج 9، ص 549.</w:t>
      </w:r>
    </w:p>
    <w:p>
      <w:pPr>
        <w:pStyle w:val="Heading2"/>
      </w:pPr>
      <w:bookmarkStart w:id="4302" w:name="_Toc3404"/>
      <w:r>
        <w:t>دده جونكي، ابراهيم بن يحيى -973ه-</w:t>
      </w:r>
      <w:bookmarkEnd w:id="4302"/>
    </w:p>
    <w:p>
      <w:pPr>
        <w:pStyle w:val="BookText"/>
      </w:pPr>
      <w:r>
        <w:rPr>
          <w:rFonts w:ascii="Amiri" w:hAnsi="Amiri" w:eastAsia="Amiri" w:cs="Amiri"/>
          <w:lang w:bidi="ar-SA"/>
          <w:color w:val="111111"/>
          <w:sz w:val="28"/>
          <w:szCs w:val="28"/>
          <w:rtl/>
        </w:rPr>
        <w:t xml:space="preserve">حاشية شرح التصريف العزي، ج 6،</w:t>
      </w:r>
    </w:p>
    <w:p>
      <w:pPr>
        <w:pStyle w:val="BookText"/>
      </w:pPr>
      <w:r>
        <w:rPr>
          <w:rFonts w:ascii="IRNazanin" w:hAnsi="IRNazanin" w:eastAsia="IRNazanin" w:cs="IRNazanin"/>
          <w:lang w:bidi="fa-IR"/>
          <w:color w:val="111111"/>
          <w:sz w:val="28"/>
          <w:szCs w:val="28"/>
          <w:rtl/>
        </w:rPr>
        <w:t xml:space="preserve">ص 69.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1" w:name="pg7742_70358"/>
    <w:bookmarkEnd w:id="481"/>
    <w:p>
      <w:pPr>
        <w:pStyle w:val="BookText"/>
      </w:pPr>
      <w:r>
        <w:rPr>
          <w:rFonts w:ascii="Amiri" w:hAnsi="Amiri" w:eastAsia="Amiri" w:cs="Amiri"/>
          <w:lang w:bidi="ar-SA"/>
          <w:color w:val="111111"/>
          <w:sz w:val="28"/>
          <w:szCs w:val="28"/>
          <w:rtl/>
        </w:rPr>
        <w:t xml:space="preserve">دده ، محمّد بن مصطفى- دده افندي</w:t>
      </w:r>
    </w:p>
    <w:p>
      <w:pPr>
        <w:pStyle w:val="BookText"/>
      </w:pPr>
      <w:r>
        <w:rPr>
          <w:rFonts w:ascii="IRNazanin" w:hAnsi="IRNazanin" w:eastAsia="IRNazanin" w:cs="IRNazanin"/>
          <w:lang w:bidi="fa-IR"/>
          <w:color w:val="111111"/>
          <w:sz w:val="28"/>
          <w:szCs w:val="28"/>
          <w:rtl/>
        </w:rPr>
        <w:t xml:space="preserve">محمّد بن مصطفى</w:t>
      </w:r>
    </w:p>
    <w:p>
      <w:pPr>
        <w:pStyle w:val="BookText"/>
      </w:pPr>
      <w:r>
        <w:rPr>
          <w:rFonts w:ascii="Amiri" w:hAnsi="Amiri" w:eastAsia="Amiri" w:cs="Amiri"/>
          <w:lang w:bidi="ar-SA"/>
          <w:color w:val="111111"/>
          <w:sz w:val="28"/>
          <w:szCs w:val="28"/>
          <w:rtl/>
        </w:rPr>
        <w:t xml:space="preserve">دده خليفه ، ابراهيم بن يحيى -دده</w:t>
      </w:r>
    </w:p>
    <w:p>
      <w:pPr>
        <w:pStyle w:val="BookText"/>
      </w:pPr>
      <w:r>
        <w:rPr>
          <w:rFonts w:ascii="Amiri" w:hAnsi="Amiri" w:eastAsia="Amiri" w:cs="Amiri"/>
          <w:lang w:bidi="ar-SA"/>
          <w:color w:val="111111"/>
          <w:sz w:val="28"/>
          <w:szCs w:val="28"/>
          <w:rtl/>
        </w:rPr>
        <w:t xml:space="preserve">جونكي ، ابراهيم بن يحيى</w:t>
      </w:r>
    </w:p>
    <w:p>
      <w:pPr>
        <w:pStyle w:val="BookText"/>
      </w:pPr>
      <w:r>
        <w:rPr>
          <w:rFonts w:ascii="Amiri" w:hAnsi="Amiri" w:eastAsia="Amiri" w:cs="Amiri"/>
          <w:lang w:bidi="ar-SA"/>
          <w:color w:val="111111"/>
          <w:sz w:val="28"/>
          <w:szCs w:val="28"/>
          <w:rtl/>
        </w:rPr>
        <w:t xml:space="preserve">دده شاني زاده، محمّد صادق بن مصطفى- شاني زاده، محمّد صادق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درازي بحراني ، احمد بن محمّد- آل</w:t>
      </w:r>
    </w:p>
    <w:p>
      <w:pPr>
        <w:pStyle w:val="BookText"/>
      </w:pPr>
      <w:r>
        <w:rPr>
          <w:rFonts w:ascii="IRNazanin" w:hAnsi="IRNazanin" w:eastAsia="IRNazanin" w:cs="IRNazanin"/>
          <w:lang w:bidi="fa-IR"/>
          <w:color w:val="111111"/>
          <w:sz w:val="28"/>
          <w:szCs w:val="28"/>
          <w:rtl/>
        </w:rPr>
        <w:t xml:space="preserve">عصفور ، احمد بن محمّد</w:t>
      </w:r>
    </w:p>
    <w:p>
      <w:pPr>
        <w:pStyle w:val="Heading2"/>
      </w:pPr>
      <w:bookmarkStart w:id="4303" w:name="_Toc3405"/>
      <w:r>
        <w:t>درازي بحراني ، عبد علي بن احمد 1116</w:t>
      </w:r>
      <w:bookmarkEnd w:id="43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1177 ه-</w:t>
      </w:r>
    </w:p>
    <w:p>
      <w:pPr>
        <w:pStyle w:val="BookText"/>
      </w:pPr>
      <w:r>
        <w:rPr>
          <w:rFonts w:ascii="Amiri" w:hAnsi="Amiri" w:eastAsia="Amiri" w:cs="Amiri"/>
          <w:lang w:bidi="ar-SA"/>
          <w:color w:val="111111"/>
          <w:sz w:val="28"/>
          <w:szCs w:val="28"/>
          <w:rtl/>
        </w:rPr>
        <w:t xml:space="preserve">احياء معالم الشريعة باخبار الشريعة</w:t>
      </w:r>
    </w:p>
    <w:p>
      <w:pPr>
        <w:pStyle w:val="BookText"/>
      </w:pPr>
      <w:r>
        <w:rPr>
          <w:rFonts w:ascii="IRNazanin" w:hAnsi="IRNazanin" w:eastAsia="IRNazanin" w:cs="IRNazanin"/>
          <w:lang w:bidi="fa-IR"/>
          <w:color w:val="111111"/>
          <w:sz w:val="28"/>
          <w:szCs w:val="28"/>
          <w:rtl/>
        </w:rPr>
        <w:t xml:space="preserve">ج 1، ص 517.</w:t>
      </w:r>
    </w:p>
    <w:p>
      <w:pPr>
        <w:pStyle w:val="BookText"/>
      </w:pPr>
      <w:r>
        <w:rPr>
          <w:rFonts w:ascii="Amiri" w:hAnsi="Amiri" w:eastAsia="Amiri" w:cs="Amiri"/>
          <w:lang w:bidi="ar-SA"/>
          <w:color w:val="111111"/>
          <w:sz w:val="28"/>
          <w:szCs w:val="28"/>
          <w:rtl/>
        </w:rPr>
        <w:t xml:space="preserve">درازي بحراني ، محمّد بن احمد- بحراني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درازي بحراني ، يوسف بن احمد -بحراني ،</w:t>
      </w:r>
    </w:p>
    <w:p>
      <w:pPr>
        <w:pStyle w:val="BookText"/>
      </w:pPr>
      <w:r>
        <w:rPr>
          <w:rFonts w:ascii="Amiri" w:hAnsi="Amiri" w:eastAsia="Amiri" w:cs="Amiri"/>
          <w:lang w:bidi="ar-SA"/>
          <w:color w:val="111111"/>
          <w:sz w:val="28"/>
          <w:szCs w:val="28"/>
          <w:rtl/>
        </w:rPr>
        <w:t xml:space="preserve">يوسف بن احمد</w:t>
      </w:r>
    </w:p>
    <w:p>
      <w:pPr>
        <w:pStyle w:val="BookText"/>
      </w:pPr>
      <w:r>
        <w:rPr>
          <w:rFonts w:ascii="Amiri" w:hAnsi="Amiri" w:eastAsia="Amiri" w:cs="Amiri"/>
          <w:lang w:bidi="ar-SA"/>
          <w:color w:val="111111"/>
          <w:sz w:val="28"/>
          <w:szCs w:val="28"/>
          <w:rtl/>
        </w:rPr>
        <w:t xml:space="preserve">درازي ، حسين بن محمّد -آل عصفور ،</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درازي ، محمّد بن احمد- بحراني ، محمّد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4304" w:name="_Toc3406"/>
      <w:r>
        <w:t>درا ، محمّد بن نورالدين 1028-1065ه-</w:t>
      </w:r>
      <w:bookmarkEnd w:id="4304"/>
    </w:p>
    <w:p>
      <w:pPr>
        <w:pStyle w:val="BookText"/>
      </w:pPr>
      <w:r>
        <w:rPr>
          <w:rFonts w:ascii="Amiri" w:hAnsi="Amiri" w:eastAsia="Amiri" w:cs="Amiri"/>
          <w:lang w:bidi="ar-SA"/>
          <w:color w:val="111111"/>
          <w:sz w:val="28"/>
          <w:szCs w:val="28"/>
          <w:rtl/>
        </w:rPr>
        <w:t xml:space="preserve">ديوان الدرا الدمشقي، ج 7، ص 640.</w:t>
      </w:r>
    </w:p>
    <w:p>
      <w:pPr>
        <w:pStyle w:val="Heading2"/>
      </w:pPr>
      <w:bookmarkStart w:id="4305" w:name="_Toc3407"/>
      <w:r>
        <w:t>درامي ، عبدالله بن داود</w:t>
      </w:r>
      <w:bookmarkEnd w:id="4305"/>
    </w:p>
    <w:p>
      <w:pPr>
        <w:pStyle w:val="BookText"/>
      </w:pPr>
      <w:r>
        <w:rPr>
          <w:rFonts w:ascii="IRNazanin" w:hAnsi="IRNazanin" w:eastAsia="IRNazanin" w:cs="IRNazanin"/>
          <w:lang w:bidi="fa-IR"/>
          <w:color w:val="111111"/>
          <w:sz w:val="28"/>
          <w:szCs w:val="28"/>
          <w:rtl/>
        </w:rPr>
        <w:t xml:space="preserve">علویات ابن داود، ج 11، ص280</w:t>
      </w:r>
    </w:p>
    <w:p>
      <w:pPr>
        <w:pStyle w:val="Heading2"/>
      </w:pPr>
      <w:bookmarkStart w:id="4306" w:name="_Toc3408"/>
      <w:r>
        <w:t>دربندي ، آقا بن عابد - 1285 ؟ ه-</w:t>
      </w:r>
      <w:bookmarkEnd w:id="4306"/>
    </w:p>
    <w:p>
      <w:pPr>
        <w:pStyle w:val="BookText"/>
      </w:pPr>
      <w:r>
        <w:rPr>
          <w:rFonts w:ascii="Amiri" w:hAnsi="Amiri" w:eastAsia="Amiri" w:cs="Amiri"/>
          <w:lang w:bidi="ar-SA"/>
          <w:color w:val="111111"/>
          <w:sz w:val="28"/>
          <w:szCs w:val="28"/>
          <w:rtl/>
        </w:rPr>
        <w:t xml:space="preserve">1 .اسرار الشهادة - اكسير العبادات</w:t>
      </w:r>
    </w:p>
    <w:p>
      <w:pPr>
        <w:pStyle w:val="BookText"/>
      </w:pPr>
      <w:r>
        <w:rPr>
          <w:rFonts w:ascii="Amiri" w:hAnsi="Amiri" w:eastAsia="Amiri" w:cs="Amiri"/>
          <w:lang w:bidi="ar-SA"/>
          <w:color w:val="111111"/>
          <w:sz w:val="28"/>
          <w:szCs w:val="28"/>
          <w:rtl/>
        </w:rPr>
        <w:t xml:space="preserve">في اسرار الشهادات، ج 2، ص172</w:t>
      </w:r>
    </w:p>
    <w:p>
      <w:pPr>
        <w:pStyle w:val="BookText"/>
      </w:pPr>
      <w:r>
        <w:rPr>
          <w:rFonts w:ascii="Amiri" w:hAnsi="Amiri" w:eastAsia="Amiri" w:cs="Amiri"/>
          <w:lang w:bidi="ar-SA"/>
          <w:color w:val="111111"/>
          <w:sz w:val="28"/>
          <w:szCs w:val="28"/>
          <w:rtl/>
        </w:rPr>
        <w:t xml:space="preserve">2 .الجوهرة في الاسطرلاب، ج 5،</w:t>
      </w:r>
    </w:p>
    <w:p>
      <w:pPr>
        <w:pStyle w:val="BookText"/>
      </w:pPr>
      <w:r>
        <w:rPr>
          <w:rFonts w:ascii="IRNazanin" w:hAnsi="IRNazanin" w:eastAsia="IRNazanin" w:cs="IRNazanin"/>
          <w:lang w:bidi="fa-IR"/>
          <w:color w:val="111111"/>
          <w:sz w:val="28"/>
          <w:szCs w:val="28"/>
          <w:rtl/>
        </w:rPr>
        <w:t xml:space="preserve">ص 615 .</w:t>
      </w:r>
    </w:p>
    <w:p>
      <w:pPr>
        <w:pStyle w:val="BookText"/>
      </w:pPr>
      <w:r>
        <w:rPr>
          <w:rFonts w:ascii="Amiri" w:hAnsi="Amiri" w:eastAsia="Amiri" w:cs="Amiri"/>
          <w:lang w:bidi="ar-SA"/>
          <w:color w:val="111111"/>
          <w:sz w:val="28"/>
          <w:szCs w:val="28"/>
          <w:rtl/>
        </w:rPr>
        <w:t xml:space="preserve">3 .خزائن الاحكام = الخزائن الحائرية في شرح الدرة الغروية، ج7، ص 14.</w:t>
      </w:r>
    </w:p>
    <w:p>
      <w:pPr>
        <w:pStyle w:val="BookText"/>
      </w:pPr>
      <w:r>
        <w:rPr>
          <w:rFonts w:ascii="IRNazanin" w:hAnsi="IRNazanin" w:eastAsia="IRNazanin" w:cs="IRNazanin"/>
          <w:lang w:bidi="fa-IR"/>
          <w:color w:val="111111"/>
          <w:sz w:val="28"/>
          <w:szCs w:val="28"/>
          <w:rtl/>
        </w:rPr>
        <w:t xml:space="preserve">4 .خزائن الاصول، ج 7، ص 14 .</w:t>
      </w:r>
    </w:p>
    <w:p>
      <w:pPr>
        <w:pStyle w:val="BookText"/>
      </w:pPr>
      <w:r>
        <w:rPr>
          <w:rFonts w:ascii="Amiri" w:hAnsi="Amiri" w:eastAsia="Amiri" w:cs="Amiri"/>
          <w:lang w:bidi="ar-SA"/>
          <w:color w:val="111111"/>
          <w:sz w:val="28"/>
          <w:szCs w:val="28"/>
          <w:rtl/>
        </w:rPr>
        <w:t xml:space="preserve">5 .قواميس القواعد = رجال ملا آقا دربندي = القواميس في الرجال و الدراية، ج 12، ص 816.</w:t>
      </w:r>
    </w:p>
    <w:p>
      <w:pPr>
        <w:pStyle w:val="Heading2"/>
      </w:pPr>
      <w:bookmarkStart w:id="4307" w:name="_Toc3409"/>
      <w:r>
        <w:t>دربندي ، غلامحسين بن علي اصغر</w:t>
      </w:r>
      <w:bookmarkEnd w:id="4307"/>
    </w:p>
    <w:p>
      <w:pPr>
        <w:pStyle w:val="BookText"/>
      </w:pPr>
      <w:r>
        <w:rPr>
          <w:rFonts w:ascii="IRNazanin" w:hAnsi="IRNazanin" w:eastAsia="IRNazanin" w:cs="IRNazanin"/>
          <w:lang w:bidi="fa-IR"/>
          <w:color w:val="111111"/>
          <w:sz w:val="28"/>
          <w:szCs w:val="28"/>
          <w:rtl/>
        </w:rPr>
        <w:t xml:space="preserve">1322 ه-</w:t>
      </w:r>
    </w:p>
    <w:p>
      <w:pPr>
        <w:pStyle w:val="BookText"/>
      </w:pPr>
      <w:r>
        <w:rPr>
          <w:rFonts w:ascii="Amiri" w:hAnsi="Amiri" w:eastAsia="Amiri" w:cs="Amiri"/>
          <w:lang w:bidi="ar-SA"/>
          <w:color w:val="111111"/>
          <w:sz w:val="28"/>
          <w:szCs w:val="28"/>
          <w:rtl/>
        </w:rPr>
        <w:t xml:space="preserve">1 .حكم و الأسرار، ج 6، ص 767.</w:t>
      </w:r>
    </w:p>
    <w:p>
      <w:pPr>
        <w:pStyle w:val="BookText"/>
      </w:pPr>
      <w:r>
        <w:rPr>
          <w:rFonts w:ascii="Amiri" w:hAnsi="Amiri" w:eastAsia="Amiri" w:cs="Amiri"/>
          <w:lang w:bidi="ar-SA"/>
          <w:color w:val="111111"/>
          <w:sz w:val="28"/>
          <w:szCs w:val="28"/>
          <w:rtl/>
        </w:rPr>
        <w:t xml:space="preserve">2 .طرائق الرياض، ج 10، ص 803</w:t>
      </w:r>
    </w:p>
    <w:p>
      <w:pPr>
        <w:pStyle w:val="BookText"/>
      </w:pPr>
      <w:r>
        <w:rPr>
          <w:rFonts w:ascii="IRNazanin" w:hAnsi="IRNazanin" w:eastAsia="IRNazanin" w:cs="IRNazanin"/>
          <w:lang w:bidi="fa-IR"/>
          <w:color w:val="111111"/>
          <w:sz w:val="28"/>
          <w:szCs w:val="28"/>
          <w:rtl/>
        </w:rPr>
        <w:t xml:space="preserve">3 .کشکول، ج13، ص289.</w:t>
      </w:r>
    </w:p>
    <w:p>
      <w:pPr>
        <w:pStyle w:val="BookText"/>
      </w:pPr>
      <w:r>
        <w:rPr>
          <w:rFonts w:ascii="Amiri" w:hAnsi="Amiri" w:eastAsia="Amiri" w:cs="Amiri"/>
          <w:lang w:bidi="ar-SA"/>
          <w:color w:val="111111"/>
          <w:sz w:val="28"/>
          <w:szCs w:val="28"/>
          <w:rtl/>
        </w:rPr>
        <w:t xml:space="preserve">دربيدي ، يوسف بن ابراهيم- وراق</w:t>
      </w:r>
    </w:p>
    <w:p>
      <w:pPr>
        <w:pStyle w:val="BookText"/>
      </w:pPr>
      <w:r>
        <w:rPr>
          <w:rFonts w:ascii="Amiri" w:hAnsi="Amiri" w:eastAsia="Amiri" w:cs="Amiri"/>
          <w:lang w:bidi="ar-SA"/>
          <w:color w:val="111111"/>
          <w:sz w:val="28"/>
          <w:szCs w:val="28"/>
          <w:rtl/>
        </w:rPr>
        <w:t xml:space="preserve">يوسف بن ابراهيم</w:t>
      </w:r>
    </w:p>
    <w:p>
      <w:pPr>
        <w:pStyle w:val="BookText"/>
      </w:pPr>
      <w:r>
        <w:rPr>
          <w:rFonts w:ascii="Amiri" w:hAnsi="Amiri" w:eastAsia="Amiri" w:cs="Amiri"/>
          <w:lang w:bidi="ar-SA"/>
          <w:color w:val="111111"/>
          <w:sz w:val="28"/>
          <w:szCs w:val="28"/>
          <w:rtl/>
        </w:rPr>
        <w:t xml:space="preserve">در جزيني ، حسينقلي بن رمضان -همداني</w:t>
      </w:r>
    </w:p>
    <w:p>
      <w:pPr>
        <w:pStyle w:val="BookText"/>
      </w:pPr>
      <w:r>
        <w:rPr>
          <w:rFonts w:ascii="Amiri" w:hAnsi="Amiri" w:eastAsia="Amiri" w:cs="Amiri"/>
          <w:lang w:bidi="ar-SA"/>
          <w:color w:val="111111"/>
          <w:sz w:val="28"/>
          <w:szCs w:val="28"/>
          <w:rtl/>
        </w:rPr>
        <w:t xml:space="preserve">، حسينقلي بن رمضان</w:t>
      </w:r>
    </w:p>
    <w:p>
      <w:pPr>
        <w:pStyle w:val="Heading2"/>
      </w:pPr>
      <w:bookmarkStart w:id="4308" w:name="_Toc3410"/>
      <w:r>
        <w:t>درچه اي اصفهاني ، محمّد باقر بن</w:t>
      </w:r>
      <w:bookmarkEnd w:id="4308"/>
    </w:p>
    <w:p>
      <w:pPr>
        <w:pStyle w:val="BookText"/>
      </w:pPr>
      <w:r>
        <w:rPr>
          <w:rFonts w:ascii="IRNazanin" w:hAnsi="IRNazanin" w:eastAsia="IRNazanin" w:cs="IRNazanin"/>
          <w:lang w:bidi="fa-IR"/>
          <w:color w:val="111111"/>
          <w:sz w:val="28"/>
          <w:szCs w:val="28"/>
          <w:rtl/>
        </w:rPr>
        <w:t xml:space="preserve">مرتضى قرن 14 ه-</w:t>
      </w:r>
    </w:p>
    <w:p>
      <w:pPr>
        <w:pStyle w:val="BookText"/>
      </w:pPr>
      <w:r>
        <w:rPr>
          <w:rFonts w:ascii="Amiri" w:hAnsi="Amiri" w:eastAsia="Amiri" w:cs="Amiri"/>
          <w:lang w:bidi="ar-SA"/>
          <w:color w:val="111111"/>
          <w:sz w:val="28"/>
          <w:szCs w:val="28"/>
          <w:rtl/>
        </w:rPr>
        <w:t xml:space="preserve">1 .التقريرات - اصالة البرائة و</w:t>
      </w:r>
    </w:p>
    <w:p>
      <w:pPr>
        <w:pStyle w:val="BookText"/>
      </w:pPr>
      <w:r>
        <w:rPr>
          <w:rFonts w:ascii="Amiri" w:hAnsi="Amiri" w:eastAsia="Amiri" w:cs="Amiri"/>
          <w:lang w:bidi="ar-SA"/>
          <w:color w:val="111111"/>
          <w:sz w:val="28"/>
          <w:szCs w:val="28"/>
          <w:rtl/>
        </w:rPr>
        <w:t xml:space="preserve">التعادل والتراجيح، ج4، ص 736 .</w:t>
      </w:r>
    </w:p>
    <w:p>
      <w:pPr>
        <w:pStyle w:val="BookText"/>
      </w:pPr>
      <w:r>
        <w:rPr>
          <w:rFonts w:ascii="Amiri" w:hAnsi="Amiri" w:eastAsia="Amiri" w:cs="Amiri"/>
          <w:lang w:bidi="ar-SA"/>
          <w:color w:val="111111"/>
          <w:sz w:val="28"/>
          <w:szCs w:val="28"/>
          <w:rtl/>
        </w:rPr>
        <w:t xml:space="preserve">2 .تقريرات الاصول = الاستصحاب،</w:t>
      </w:r>
    </w:p>
    <w:p>
      <w:pPr>
        <w:pStyle w:val="BookText"/>
      </w:pPr>
      <w:r>
        <w:rPr>
          <w:rFonts w:ascii="IRNazanin" w:hAnsi="IRNazanin" w:eastAsia="IRNazanin" w:cs="IRNazanin"/>
          <w:lang w:bidi="fa-IR"/>
          <w:color w:val="111111"/>
          <w:sz w:val="28"/>
          <w:szCs w:val="28"/>
          <w:rtl/>
        </w:rPr>
        <w:t xml:space="preserve">ج 4، ص 743.</w:t>
      </w:r>
    </w:p>
    <w:p>
      <w:pPr>
        <w:pStyle w:val="Heading2"/>
      </w:pPr>
      <w:bookmarkStart w:id="4309" w:name="_Toc3411"/>
      <w:r>
        <w:t>دردیر، احمد بن محمّد، 1127-1201 ه-</w:t>
      </w:r>
      <w:bookmarkEnd w:id="4309"/>
    </w:p>
    <w:p>
      <w:pPr>
        <w:pStyle w:val="BookText"/>
      </w:pPr>
      <w:r>
        <w:rPr>
          <w:rFonts w:ascii="Amiri" w:hAnsi="Amiri" w:eastAsia="Amiri" w:cs="Amiri"/>
          <w:lang w:bidi="ar-SA"/>
          <w:color w:val="111111"/>
          <w:sz w:val="28"/>
          <w:szCs w:val="28"/>
          <w:rtl/>
        </w:rPr>
        <w:t xml:space="preserve">1 .اقرب المسالك لمذهب مالك، ج 2،</w:t>
      </w:r>
    </w:p>
    <w:p>
      <w:pPr>
        <w:pStyle w:val="BookText"/>
      </w:pPr>
      <w:r>
        <w:rPr>
          <w:rFonts w:ascii="IRNazanin" w:hAnsi="IRNazanin" w:eastAsia="IRNazanin" w:cs="IRNazanin"/>
          <w:lang w:bidi="fa-IR"/>
          <w:color w:val="111111"/>
          <w:sz w:val="28"/>
          <w:szCs w:val="28"/>
          <w:rtl/>
        </w:rPr>
        <w:t xml:space="preserve">ص 621.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2" w:name="pg7742_70360"/>
    <w:bookmarkEnd w:id="482"/>
    <w:p>
      <w:pPr>
        <w:pStyle w:val="BookText"/>
      </w:pPr>
      <w:r>
        <w:rPr>
          <w:rFonts w:ascii="Amiri" w:hAnsi="Amiri" w:eastAsia="Amiri" w:cs="Amiri"/>
          <w:lang w:bidi="ar-SA"/>
          <w:color w:val="111111"/>
          <w:sz w:val="28"/>
          <w:szCs w:val="28"/>
          <w:rtl/>
        </w:rPr>
        <w:t xml:space="preserve">2 .تفسير آية «يوم يأتي بعض آيات</w:t>
      </w:r>
    </w:p>
    <w:p>
      <w:pPr>
        <w:pStyle w:val="BookText"/>
      </w:pPr>
      <w:r>
        <w:rPr>
          <w:rFonts w:ascii="Amiri" w:hAnsi="Amiri" w:eastAsia="Amiri" w:cs="Amiri"/>
          <w:lang w:bidi="ar-SA"/>
          <w:color w:val="111111"/>
          <w:sz w:val="28"/>
          <w:szCs w:val="28"/>
          <w:rtl/>
        </w:rPr>
        <w:t xml:space="preserve">ربك»، ج 4، ص 591.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الخريدة البهية في العقائد</w:t>
      </w:r>
    </w:p>
    <w:p>
      <w:pPr>
        <w:pStyle w:val="BookText"/>
      </w:pPr>
      <w:r>
        <w:rPr>
          <w:rFonts w:ascii="Amiri" w:hAnsi="Amiri" w:eastAsia="Amiri" w:cs="Amiri"/>
          <w:lang w:bidi="ar-SA"/>
          <w:color w:val="111111"/>
          <w:sz w:val="28"/>
          <w:szCs w:val="28"/>
          <w:rtl/>
        </w:rPr>
        <w:t xml:space="preserve">التوحيدية، ج 7، ص 6.</w:t>
      </w:r>
    </w:p>
    <w:p>
      <w:pPr>
        <w:pStyle w:val="BookText"/>
      </w:pPr>
      <w:r>
        <w:rPr>
          <w:rFonts w:ascii="IRNazanin" w:hAnsi="IRNazanin" w:eastAsia="IRNazanin" w:cs="IRNazanin"/>
          <w:lang w:bidi="fa-IR"/>
          <w:color w:val="111111"/>
          <w:sz w:val="28"/>
          <w:szCs w:val="28"/>
          <w:rtl/>
        </w:rPr>
        <w:t xml:space="preserve">4 .شرح فوائد الفرائد، ج 9، ص811</w:t>
      </w:r>
    </w:p>
    <w:p>
      <w:pPr>
        <w:pStyle w:val="BookText"/>
      </w:pPr>
      <w:r>
        <w:rPr>
          <w:rFonts w:ascii="Amiri" w:hAnsi="Amiri" w:eastAsia="Amiri" w:cs="Amiri"/>
          <w:lang w:bidi="ar-SA"/>
          <w:color w:val="111111"/>
          <w:sz w:val="28"/>
          <w:szCs w:val="28"/>
          <w:rtl/>
        </w:rPr>
        <w:t xml:space="preserve">5 .صلوات زكية على المصطفى خير</w:t>
      </w:r>
    </w:p>
    <w:p>
      <w:pPr>
        <w:pStyle w:val="BookText"/>
      </w:pPr>
      <w:r>
        <w:rPr>
          <w:rFonts w:ascii="Amiri" w:hAnsi="Amiri" w:eastAsia="Amiri" w:cs="Amiri"/>
          <w:lang w:bidi="ar-SA"/>
          <w:color w:val="111111"/>
          <w:sz w:val="28"/>
          <w:szCs w:val="28"/>
          <w:rtl/>
        </w:rPr>
        <w:t xml:space="preserve">البرية، ج 10، ص 627.</w:t>
      </w:r>
    </w:p>
    <w:p>
      <w:pPr>
        <w:pStyle w:val="BookText"/>
      </w:pPr>
      <w:r>
        <w:rPr>
          <w:rFonts w:ascii="Amiri" w:hAnsi="Amiri" w:eastAsia="Amiri" w:cs="Amiri"/>
          <w:lang w:bidi="ar-SA"/>
          <w:color w:val="111111"/>
          <w:sz w:val="28"/>
          <w:szCs w:val="28"/>
          <w:rtl/>
        </w:rPr>
        <w:t xml:space="preserve">درزي ، حمزة بن علي -هادي المستجيبين</w:t>
      </w:r>
    </w:p>
    <w:p>
      <w:pPr>
        <w:pStyle w:val="BookText"/>
      </w:pPr>
      <w:r>
        <w:rPr>
          <w:rFonts w:ascii="Amiri" w:hAnsi="Amiri" w:eastAsia="Amiri" w:cs="Amiri"/>
          <w:lang w:bidi="ar-SA"/>
          <w:color w:val="111111"/>
          <w:sz w:val="28"/>
          <w:szCs w:val="28"/>
          <w:rtl/>
        </w:rPr>
        <w:t xml:space="preserve">حمزة بن علي</w:t>
      </w:r>
    </w:p>
    <w:p>
      <w:pPr>
        <w:pStyle w:val="BookText"/>
      </w:pPr>
      <w:r>
        <w:rPr>
          <w:rFonts w:ascii="Amiri" w:hAnsi="Amiri" w:eastAsia="Amiri" w:cs="Amiri"/>
          <w:lang w:bidi="ar-SA"/>
          <w:color w:val="111111"/>
          <w:sz w:val="28"/>
          <w:szCs w:val="28"/>
          <w:rtl/>
        </w:rPr>
        <w:t xml:space="preserve">درست بن أبي منصور محمّد واسطي- واسطي ، درست بن أبي منصور</w:t>
      </w:r>
    </w:p>
    <w:p>
      <w:pPr>
        <w:pStyle w:val="BookText"/>
      </w:pPr>
      <w:r>
        <w:rPr>
          <w:rFonts w:ascii="Amiri" w:hAnsi="Amiri" w:eastAsia="Amiri" w:cs="Amiri"/>
          <w:lang w:bidi="ar-SA"/>
          <w:color w:val="111111"/>
          <w:sz w:val="28"/>
          <w:szCs w:val="28"/>
          <w:rtl/>
        </w:rPr>
        <w:t xml:space="preserve">محمّد</w:t>
      </w:r>
    </w:p>
    <w:p>
      <w:pPr>
        <w:pStyle w:val="Heading2"/>
      </w:pPr>
      <w:bookmarkStart w:id="4310" w:name="_Toc3412"/>
      <w:r>
        <w:t>دركزلي ، حسن بن اسماعيل - 1327 ه-</w:t>
      </w:r>
      <w:bookmarkEnd w:id="4310"/>
    </w:p>
    <w:p>
      <w:pPr>
        <w:pStyle w:val="BookText"/>
      </w:pPr>
      <w:r>
        <w:rPr>
          <w:rFonts w:ascii="IRNazanin" w:hAnsi="IRNazanin" w:eastAsia="IRNazanin" w:cs="IRNazanin"/>
          <w:lang w:bidi="fa-IR"/>
          <w:color w:val="111111"/>
          <w:sz w:val="28"/>
          <w:szCs w:val="28"/>
          <w:rtl/>
        </w:rPr>
        <w:t xml:space="preserve">1 .الاعلام في بيان قواعد الاحکام، ج2،</w:t>
      </w:r>
    </w:p>
    <w:p>
      <w:pPr>
        <w:pStyle w:val="BookText"/>
      </w:pPr>
      <w:r>
        <w:rPr>
          <w:rFonts w:ascii="IRNazanin" w:hAnsi="IRNazanin" w:eastAsia="IRNazanin" w:cs="IRNazanin"/>
          <w:lang w:bidi="fa-IR"/>
          <w:color w:val="111111"/>
          <w:sz w:val="28"/>
          <w:szCs w:val="28"/>
          <w:rtl/>
        </w:rPr>
        <w:t xml:space="preserve">ص 563.</w:t>
      </w:r>
    </w:p>
    <w:p>
      <w:pPr>
        <w:pStyle w:val="BookText"/>
      </w:pPr>
      <w:r>
        <w:rPr>
          <w:rFonts w:ascii="Amiri" w:hAnsi="Amiri" w:eastAsia="Amiri" w:cs="Amiri"/>
          <w:lang w:bidi="ar-SA"/>
          <w:color w:val="111111"/>
          <w:sz w:val="28"/>
          <w:szCs w:val="28"/>
          <w:rtl/>
        </w:rPr>
        <w:t xml:space="preserve">2 .تبصرة الاخوات و الاخوان في جلال</w:t>
      </w:r>
    </w:p>
    <w:p>
      <w:pPr>
        <w:pStyle w:val="BookText"/>
      </w:pPr>
      <w:r>
        <w:rPr>
          <w:rFonts w:ascii="IRNazanin" w:hAnsi="IRNazanin" w:eastAsia="IRNazanin" w:cs="IRNazanin"/>
          <w:lang w:bidi="fa-IR"/>
          <w:color w:val="111111"/>
          <w:sz w:val="28"/>
          <w:szCs w:val="28"/>
          <w:rtl/>
        </w:rPr>
        <w:t xml:space="preserve">الله، ج 3، ص 636.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التبصرة في أحكام الحيض، ج3،</w:t>
      </w:r>
    </w:p>
    <w:p>
      <w:pPr>
        <w:pStyle w:val="BookText"/>
      </w:pPr>
      <w:r>
        <w:rPr>
          <w:rFonts w:ascii="IRNazanin" w:hAnsi="IRNazanin" w:eastAsia="IRNazanin" w:cs="IRNazanin"/>
          <w:lang w:bidi="fa-IR"/>
          <w:color w:val="111111"/>
          <w:sz w:val="28"/>
          <w:szCs w:val="28"/>
          <w:rtl/>
        </w:rPr>
        <w:t xml:space="preserve">ص 639 .</w:t>
      </w:r>
    </w:p>
    <w:p>
      <w:pPr>
        <w:pStyle w:val="BookText"/>
      </w:pPr>
      <w:r>
        <w:rPr>
          <w:rFonts w:ascii="Amiri" w:hAnsi="Amiri" w:eastAsia="Amiri" w:cs="Amiri"/>
          <w:lang w:bidi="ar-SA"/>
          <w:color w:val="111111"/>
          <w:sz w:val="28"/>
          <w:szCs w:val="28"/>
          <w:rtl/>
        </w:rPr>
        <w:t xml:space="preserve">4 .التبيان في بيان الاختلاف في حكم مناكحة الانس والجان، ج3، ص 654 .</w:t>
      </w:r>
    </w:p>
    <w:p>
      <w:pPr>
        <w:pStyle w:val="BookText"/>
      </w:pPr>
      <w:r>
        <w:rPr>
          <w:rFonts w:ascii="Amiri" w:hAnsi="Amiri" w:eastAsia="Amiri" w:cs="Amiri"/>
          <w:lang w:bidi="ar-SA"/>
          <w:color w:val="111111"/>
          <w:sz w:val="28"/>
          <w:szCs w:val="28"/>
          <w:rtl/>
        </w:rPr>
        <w:t xml:space="preserve">5 .تحقيق حال أبوي النبي (رسالة في)،</w:t>
      </w:r>
    </w:p>
    <w:p>
      <w:pPr>
        <w:pStyle w:val="BookText"/>
      </w:pPr>
      <w:r>
        <w:rPr>
          <w:rFonts w:ascii="IRNazanin" w:hAnsi="IRNazanin" w:eastAsia="IRNazanin" w:cs="IRNazanin"/>
          <w:lang w:bidi="fa-IR"/>
          <w:color w:val="111111"/>
          <w:sz w:val="28"/>
          <w:szCs w:val="28"/>
          <w:rtl/>
        </w:rPr>
        <w:t xml:space="preserve">ج 4، ص 55.</w:t>
      </w:r>
    </w:p>
    <w:p>
      <w:pPr>
        <w:pStyle w:val="BookText"/>
      </w:pPr>
      <w:r>
        <w:rPr>
          <w:rFonts w:ascii="Amiri" w:hAnsi="Amiri" w:eastAsia="Amiri" w:cs="Amiri"/>
          <w:lang w:bidi="ar-SA"/>
          <w:color w:val="111111"/>
          <w:sz w:val="28"/>
          <w:szCs w:val="28"/>
          <w:rtl/>
        </w:rPr>
        <w:t xml:space="preserve">6 التنبيه القوي على مصطلحات</w:t>
      </w:r>
    </w:p>
    <w:p>
      <w:pPr>
        <w:pStyle w:val="BookText"/>
      </w:pPr>
      <w:r>
        <w:rPr>
          <w:rFonts w:ascii="Amiri" w:hAnsi="Amiri" w:eastAsia="Amiri" w:cs="Amiri"/>
          <w:lang w:bidi="ar-SA"/>
          <w:color w:val="111111"/>
          <w:sz w:val="28"/>
          <w:szCs w:val="28"/>
          <w:rtl/>
        </w:rPr>
        <w:t xml:space="preserve">النووي، ج 5، ص 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الحيض و الاستحاضة و النفاس، ج 6،</w:t>
      </w:r>
    </w:p>
    <w:p>
      <w:pPr>
        <w:pStyle w:val="BookText"/>
      </w:pPr>
      <w:r>
        <w:rPr>
          <w:rFonts w:ascii="IRNazanin" w:hAnsi="IRNazanin" w:eastAsia="IRNazanin" w:cs="IRNazanin"/>
          <w:lang w:bidi="fa-IR"/>
          <w:color w:val="111111"/>
          <w:sz w:val="28"/>
          <w:szCs w:val="28"/>
          <w:rtl/>
        </w:rPr>
        <w:t xml:space="preserve">ص 869.</w:t>
      </w:r>
    </w:p>
    <w:p>
      <w:pPr>
        <w:pStyle w:val="BookText"/>
      </w:pPr>
      <w:r>
        <w:rPr>
          <w:rFonts w:ascii="Amiri" w:hAnsi="Amiri" w:eastAsia="Amiri" w:cs="Amiri"/>
          <w:lang w:bidi="ar-SA"/>
          <w:color w:val="111111"/>
          <w:sz w:val="28"/>
          <w:szCs w:val="28"/>
          <w:rtl/>
        </w:rPr>
        <w:t xml:space="preserve">8 .خلاصة العجالة في بيان مراد الرسالة في علم التجويد، ج7، ص117.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رسالة مقتصرة من مسامرات الابرار</w:t>
      </w:r>
    </w:p>
    <w:p>
      <w:pPr>
        <w:pStyle w:val="BookText"/>
      </w:pPr>
      <w:r>
        <w:rPr>
          <w:rFonts w:ascii="IRNazanin" w:hAnsi="IRNazanin" w:eastAsia="IRNazanin" w:cs="IRNazanin"/>
          <w:lang w:bidi="fa-IR"/>
          <w:color w:val="111111"/>
          <w:sz w:val="28"/>
          <w:szCs w:val="28"/>
          <w:rtl/>
        </w:rPr>
        <w:t xml:space="preserve">ج 8، ص 276.</w:t>
      </w:r>
    </w:p>
    <w:p>
      <w:pPr>
        <w:pStyle w:val="BookText"/>
      </w:pPr>
      <w:r>
        <w:rPr>
          <w:rFonts w:ascii="Amiri" w:hAnsi="Amiri" w:eastAsia="Amiri" w:cs="Amiri"/>
          <w:lang w:bidi="ar-SA"/>
          <w:color w:val="111111"/>
          <w:sz w:val="28"/>
          <w:szCs w:val="28"/>
          <w:rtl/>
        </w:rPr>
        <w:t xml:space="preserve">10 /رفع الملام عن العلماء في مخالفتهم لبعض اقوال ائمة مذهبم في غير محال الضرورة في الضراء والسراء ج 8، ص 346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القصيدة الشيخ عبد القادر</w:t>
      </w:r>
    </w:p>
    <w:p>
      <w:pPr>
        <w:pStyle w:val="BookText"/>
      </w:pPr>
      <w:r>
        <w:rPr>
          <w:rFonts w:ascii="Amiri" w:hAnsi="Amiri" w:eastAsia="Amiri" w:cs="Amiri"/>
          <w:lang w:bidi="ar-SA"/>
          <w:color w:val="111111"/>
          <w:sz w:val="28"/>
          <w:szCs w:val="28"/>
          <w:rtl/>
        </w:rPr>
        <w:t xml:space="preserve">الجيلاني، ج 9، ص 871.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شرح القصيدة اليائية، ج 9،</w:t>
      </w:r>
    </w:p>
    <w:p>
      <w:pPr>
        <w:pStyle w:val="BookText"/>
      </w:pPr>
      <w:r>
        <w:rPr>
          <w:rFonts w:ascii="IRNazanin" w:hAnsi="IRNazanin" w:eastAsia="IRNazanin" w:cs="IRNazanin"/>
          <w:lang w:bidi="fa-IR"/>
          <w:color w:val="111111"/>
          <w:sz w:val="28"/>
          <w:szCs w:val="28"/>
          <w:rtl/>
        </w:rPr>
        <w:t xml:space="preserve">ص 905.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قصيدة الشيخ نور الدين بن الشيخ عبدالجبار البرفكي، ج9، ص 871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قصيدة في التصوف، ج 9،</w:t>
      </w:r>
    </w:p>
    <w:p>
      <w:pPr>
        <w:pStyle w:val="BookText"/>
      </w:pPr>
      <w:r>
        <w:rPr>
          <w:rFonts w:ascii="IRNazanin" w:hAnsi="IRNazanin" w:eastAsia="IRNazanin" w:cs="IRNazanin"/>
          <w:lang w:bidi="fa-IR"/>
          <w:color w:val="111111"/>
          <w:sz w:val="28"/>
          <w:szCs w:val="28"/>
          <w:rtl/>
        </w:rPr>
        <w:t xml:space="preserve">ص 885</w:t>
      </w:r>
    </w:p>
    <w:p>
      <w:pPr>
        <w:pStyle w:val="BookText"/>
      </w:pPr>
      <w:r>
        <w:rPr>
          <w:rFonts w:ascii="Amiri" w:hAnsi="Amiri" w:eastAsia="Amiri" w:cs="Amiri"/>
          <w:lang w:bidi="ar-SA"/>
          <w:color w:val="111111"/>
          <w:sz w:val="28"/>
          <w:szCs w:val="28"/>
          <w:rtl/>
        </w:rPr>
        <w:t xml:space="preserve">15 . شرح مختصر ابن حجر الهيثمي = شرح الوفا في بيان بعض حقوق</w:t>
      </w:r>
    </w:p>
    <w:p>
      <w:pPr>
        <w:pStyle w:val="BookText"/>
      </w:pPr>
      <w:r>
        <w:rPr>
          <w:rFonts w:ascii="IRNazanin" w:hAnsi="IRNazanin" w:eastAsia="IRNazanin" w:cs="IRNazanin"/>
          <w:lang w:bidi="fa-IR"/>
          <w:color w:val="111111"/>
          <w:sz w:val="28"/>
          <w:szCs w:val="28"/>
          <w:rtl/>
        </w:rPr>
        <w:t xml:space="preserve">المصطفى، ج 10، ص 106.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العلامات الكبرى للقيامة الكبرى</w:t>
      </w:r>
    </w:p>
    <w:p>
      <w:pPr>
        <w:pStyle w:val="BookText"/>
      </w:pPr>
      <w:r>
        <w:rPr>
          <w:rFonts w:ascii="Amiri" w:hAnsi="Amiri" w:eastAsia="Amiri" w:cs="Amiri"/>
          <w:lang w:bidi="ar-SA"/>
          <w:color w:val="111111"/>
          <w:sz w:val="28"/>
          <w:szCs w:val="28"/>
          <w:rtl/>
        </w:rPr>
        <w:t xml:space="preserve">(رسالة في)، ج 11، ص219.</w:t>
      </w:r>
    </w:p>
    <w:p>
      <w:pPr>
        <w:pStyle w:val="BookText"/>
      </w:pPr>
      <w:r>
        <w:rPr>
          <w:rFonts w:ascii="Amiri" w:hAnsi="Amiri" w:eastAsia="Amiri" w:cs="Amiri"/>
          <w:lang w:bidi="ar-SA"/>
          <w:color w:val="111111"/>
          <w:sz w:val="28"/>
          <w:szCs w:val="28"/>
          <w:rtl/>
        </w:rPr>
        <w:t xml:space="preserve">17 .علم الاخلاق و تدبير المنزل (رسالة</w:t>
      </w:r>
    </w:p>
    <w:p>
      <w:pPr>
        <w:pStyle w:val="BookText"/>
      </w:pPr>
      <w:r>
        <w:rPr>
          <w:rFonts w:ascii="Amiri" w:hAnsi="Amiri" w:eastAsia="Amiri" w:cs="Amiri"/>
          <w:lang w:bidi="ar-SA"/>
          <w:color w:val="111111"/>
          <w:sz w:val="28"/>
          <w:szCs w:val="28"/>
          <w:rtl/>
        </w:rPr>
        <w:t xml:space="preserve">مختصر في)، ج11، ص228.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الفرائد البهيجة في شرح البهجة</w:t>
      </w:r>
    </w:p>
    <w:p>
      <w:pPr>
        <w:pStyle w:val="BookText"/>
      </w:pPr>
      <w:r>
        <w:rPr>
          <w:rFonts w:ascii="Amiri" w:hAnsi="Amiri" w:eastAsia="Amiri" w:cs="Amiri"/>
          <w:lang w:bidi="ar-SA"/>
          <w:color w:val="111111"/>
          <w:sz w:val="28"/>
          <w:szCs w:val="28"/>
          <w:rtl/>
        </w:rPr>
        <w:t xml:space="preserve">الجديدة، ج11، ص730.</w:t>
      </w:r>
    </w:p>
    <w:p>
      <w:pPr>
        <w:pStyle w:val="BookText"/>
      </w:pPr>
      <w:r>
        <w:rPr>
          <w:rFonts w:ascii="Amiri" w:hAnsi="Amiri" w:eastAsia="Amiri" w:cs="Amiri"/>
          <w:lang w:bidi="ar-SA"/>
          <w:color w:val="111111"/>
          <w:sz w:val="28"/>
          <w:szCs w:val="28"/>
          <w:rtl/>
        </w:rPr>
        <w:t xml:space="preserve">19 .فيض الجمال في شرح كرب الحال</w:t>
      </w:r>
    </w:p>
    <w:p>
      <w:pPr>
        <w:pStyle w:val="BookText"/>
      </w:pPr>
      <w:r>
        <w:rPr>
          <w:rFonts w:ascii="IRNazanin" w:hAnsi="IRNazanin" w:eastAsia="IRNazanin" w:cs="IRNazanin"/>
          <w:lang w:bidi="fa-IR"/>
          <w:color w:val="111111"/>
          <w:sz w:val="28"/>
          <w:szCs w:val="28"/>
          <w:rtl/>
        </w:rPr>
        <w:t xml:space="preserve">شرح مطول، ج 12، ص308.</w:t>
      </w:r>
    </w:p>
    <w:p>
      <w:pPr>
        <w:pStyle w:val="BookText"/>
      </w:pPr>
      <w:r>
        <w:rPr>
          <w:rFonts w:ascii="Amiri" w:hAnsi="Amiri" w:eastAsia="Amiri" w:cs="Amiri"/>
          <w:lang w:bidi="ar-SA"/>
          <w:color w:val="111111"/>
          <w:sz w:val="28"/>
          <w:szCs w:val="28"/>
          <w:rtl/>
        </w:rPr>
        <w:t xml:space="preserve">20 .كشف الأستار عن خفايا بعض</w:t>
      </w:r>
    </w:p>
    <w:p>
      <w:pPr>
        <w:pStyle w:val="BookText"/>
      </w:pPr>
      <w:r>
        <w:rPr>
          <w:rFonts w:ascii="IRNazanin" w:hAnsi="IRNazanin" w:eastAsia="IRNazanin" w:cs="IRNazanin"/>
          <w:lang w:bidi="fa-IR"/>
          <w:color w:val="111111"/>
          <w:sz w:val="28"/>
          <w:szCs w:val="28"/>
          <w:rtl/>
        </w:rPr>
        <w:t xml:space="preserve">عبارات الأنوار، ج13، ص181.</w:t>
      </w:r>
    </w:p>
    <w:p>
      <w:pPr>
        <w:pStyle w:val="BookText"/>
      </w:pPr>
      <w:r>
        <w:rPr>
          <w:rFonts w:ascii="Amiri" w:hAnsi="Amiri" w:eastAsia="Amiri" w:cs="Amiri"/>
          <w:lang w:bidi="ar-SA"/>
          <w:color w:val="111111"/>
          <w:sz w:val="28"/>
          <w:szCs w:val="28"/>
          <w:rtl/>
        </w:rPr>
        <w:t xml:space="preserve">21 .مختصر البيان لأهل تلاوة القرآن</w:t>
      </w:r>
    </w:p>
    <w:p>
      <w:pPr>
        <w:pStyle w:val="BookText"/>
      </w:pPr>
      <w:r>
        <w:rPr>
          <w:rFonts w:ascii="IRNazanin" w:hAnsi="IRNazanin" w:eastAsia="IRNazanin" w:cs="IRNazanin"/>
          <w:lang w:bidi="fa-IR"/>
          <w:color w:val="111111"/>
          <w:sz w:val="28"/>
          <w:szCs w:val="28"/>
          <w:rtl/>
        </w:rPr>
        <w:t xml:space="preserve">ج 14، ص 177.</w:t>
      </w:r>
    </w:p>
    <w:p>
      <w:pPr>
        <w:pStyle w:val="BookText"/>
      </w:pPr>
      <w:r>
        <w:rPr>
          <w:rFonts w:ascii="Amiri" w:hAnsi="Amiri" w:eastAsia="Amiri" w:cs="Amiri"/>
          <w:lang w:bidi="ar-SA"/>
          <w:color w:val="111111"/>
          <w:sz w:val="28"/>
          <w:szCs w:val="28"/>
          <w:rtl/>
        </w:rPr>
        <w:t xml:space="preserve">22 .مرآة حقايق حق الطريق في بيان عويصات الحقائق، ج 14، ص 349.</w:t>
      </w:r>
    </w:p>
    <w:p>
      <w:pPr>
        <w:pStyle w:val="BookText"/>
      </w:pPr>
      <w:r>
        <w:rPr>
          <w:rFonts w:ascii="Amiri" w:hAnsi="Amiri" w:eastAsia="Amiri" w:cs="Amiri"/>
          <w:lang w:bidi="ar-SA"/>
          <w:color w:val="111111"/>
          <w:sz w:val="28"/>
          <w:szCs w:val="28"/>
          <w:rtl/>
        </w:rPr>
        <w:t xml:space="preserve">23 .النور المبين في تعيين ما قصيدة ابن حجر المكي بكلامه الجامع المتين ج 16، ص 568.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3" w:name="pg7742_70361"/>
    <w:bookmarkEnd w:id="483"/>
    <w:p>
      <w:pPr>
        <w:pStyle w:val="BookText"/>
      </w:pPr>
      <w:r>
        <w:rPr>
          <w:rFonts w:ascii="IRNazanin" w:hAnsi="IRNazanin" w:eastAsia="IRNazanin" w:cs="IRNazanin"/>
          <w:lang w:bidi="fa-IR"/>
          <w:color w:val="111111"/>
          <w:sz w:val="28"/>
          <w:szCs w:val="28"/>
          <w:rtl/>
        </w:rPr>
        <w:t xml:space="preserve">درگاهي كايته اي ، محمّد حسن -قتيل</w:t>
      </w:r>
    </w:p>
    <w:p>
      <w:pPr>
        <w:pStyle w:val="BookText"/>
      </w:pPr>
      <w:r>
        <w:rPr>
          <w:rFonts w:ascii="IRNazanin" w:hAnsi="IRNazanin" w:eastAsia="IRNazanin" w:cs="IRNazanin"/>
          <w:lang w:bidi="fa-IR"/>
          <w:color w:val="111111"/>
          <w:sz w:val="28"/>
          <w:szCs w:val="28"/>
          <w:rtl/>
        </w:rPr>
        <w:t xml:space="preserve">لاهوري ، محمّد حسن بن درگاهي مل</w:t>
      </w:r>
    </w:p>
    <w:p>
      <w:pPr>
        <w:pStyle w:val="Heading2"/>
      </w:pPr>
      <w:bookmarkStart w:id="4311" w:name="_Toc3413"/>
      <w:r>
        <w:t>درگزيني ، محمود بن محمّد - 911 ه-</w:t>
      </w:r>
      <w:bookmarkEnd w:id="4311"/>
    </w:p>
    <w:p>
      <w:pPr>
        <w:pStyle w:val="BookText"/>
      </w:pPr>
      <w:r>
        <w:rPr>
          <w:rFonts w:ascii="Amiri" w:hAnsi="Amiri" w:eastAsia="Amiri" w:cs="Amiri"/>
          <w:lang w:bidi="ar-SA"/>
          <w:color w:val="111111"/>
          <w:sz w:val="28"/>
          <w:szCs w:val="28"/>
          <w:rtl/>
        </w:rPr>
        <w:t xml:space="preserve">نزل السائرين إلى الله رب العالمين في</w:t>
      </w:r>
    </w:p>
    <w:p>
      <w:pPr>
        <w:pStyle w:val="BookText"/>
      </w:pPr>
      <w:r>
        <w:rPr>
          <w:rFonts w:ascii="Amiri" w:hAnsi="Amiri" w:eastAsia="Amiri" w:cs="Amiri"/>
          <w:lang w:bidi="ar-SA"/>
          <w:color w:val="111111"/>
          <w:sz w:val="28"/>
          <w:szCs w:val="28"/>
          <w:rtl/>
        </w:rPr>
        <w:t xml:space="preserve">احاديث سيد المرسلين، ج 16، ص 214.</w:t>
      </w:r>
    </w:p>
    <w:p>
      <w:pPr>
        <w:pStyle w:val="Heading2"/>
      </w:pPr>
      <w:bookmarkStart w:id="4312" w:name="_Toc3414"/>
      <w:r>
        <w:t>درني ، عبدالله</w:t>
      </w:r>
      <w:bookmarkEnd w:id="4312"/>
    </w:p>
    <w:p>
      <w:pPr>
        <w:pStyle w:val="BookText"/>
      </w:pPr>
      <w:r>
        <w:rPr>
          <w:rFonts w:ascii="Amiri" w:hAnsi="Amiri" w:eastAsia="Amiri" w:cs="Amiri"/>
          <w:lang w:bidi="ar-SA"/>
          <w:color w:val="111111"/>
          <w:sz w:val="28"/>
          <w:szCs w:val="28"/>
          <w:rtl/>
        </w:rPr>
        <w:t xml:space="preserve">الادعية، ج 1، ص 603.</w:t>
      </w:r>
    </w:p>
    <w:p>
      <w:pPr>
        <w:pStyle w:val="Heading2"/>
      </w:pPr>
      <w:bookmarkStart w:id="4313" w:name="_Toc3415"/>
      <w:r>
        <w:t>دروبي ، ابراهيم بن عبد الغني قرن 14 ه-</w:t>
      </w:r>
      <w:bookmarkEnd w:id="4313"/>
    </w:p>
    <w:p>
      <w:pPr>
        <w:pStyle w:val="BookText"/>
      </w:pPr>
      <w:r>
        <w:rPr>
          <w:rFonts w:ascii="IRNazanin" w:hAnsi="IRNazanin" w:eastAsia="IRNazanin" w:cs="IRNazanin"/>
          <w:lang w:bidi="fa-IR"/>
          <w:color w:val="111111"/>
          <w:sz w:val="28"/>
          <w:szCs w:val="28"/>
          <w:rtl/>
        </w:rPr>
        <w:t xml:space="preserve">1 .اخبار بغداد، ج 1، ص523.</w:t>
      </w:r>
    </w:p>
    <w:p>
      <w:pPr>
        <w:pStyle w:val="BookText"/>
      </w:pPr>
      <w:r>
        <w:rPr>
          <w:rFonts w:ascii="Amiri" w:hAnsi="Amiri" w:eastAsia="Amiri" w:cs="Amiri"/>
          <w:lang w:bidi="ar-SA"/>
          <w:color w:val="111111"/>
          <w:sz w:val="28"/>
          <w:szCs w:val="28"/>
          <w:rtl/>
        </w:rPr>
        <w:t xml:space="preserve">2 .قلائد المرجان في مدح النقيب</w:t>
      </w:r>
    </w:p>
    <w:p>
      <w:pPr>
        <w:pStyle w:val="BookText"/>
      </w:pPr>
      <w:r>
        <w:rPr>
          <w:rFonts w:ascii="IRNazanin" w:hAnsi="IRNazanin" w:eastAsia="IRNazanin" w:cs="IRNazanin"/>
          <w:lang w:bidi="fa-IR"/>
          <w:color w:val="111111"/>
          <w:sz w:val="28"/>
          <w:szCs w:val="28"/>
          <w:rtl/>
        </w:rPr>
        <w:t xml:space="preserve">سلمان، ج12، ص 764.</w:t>
      </w:r>
    </w:p>
    <w:p>
      <w:pPr>
        <w:pStyle w:val="BookText"/>
      </w:pPr>
      <w:r>
        <w:rPr>
          <w:rFonts w:ascii="IRNazanin" w:hAnsi="IRNazanin" w:eastAsia="IRNazanin" w:cs="IRNazanin"/>
          <w:lang w:bidi="fa-IR"/>
          <w:color w:val="111111"/>
          <w:sz w:val="28"/>
          <w:szCs w:val="28"/>
          <w:rtl/>
        </w:rPr>
        <w:t xml:space="preserve">درویزه بن گداي ننگر هاري - ننگرهاري ،</w:t>
      </w:r>
    </w:p>
    <w:p>
      <w:pPr>
        <w:pStyle w:val="BookText"/>
      </w:pPr>
      <w:r>
        <w:rPr>
          <w:rFonts w:ascii="IRNazanin" w:hAnsi="IRNazanin" w:eastAsia="IRNazanin" w:cs="IRNazanin"/>
          <w:lang w:bidi="fa-IR"/>
          <w:color w:val="111111"/>
          <w:sz w:val="28"/>
          <w:szCs w:val="28"/>
          <w:rtl/>
        </w:rPr>
        <w:t xml:space="preserve">درویزه</w:t>
      </w:r>
    </w:p>
    <w:p>
      <w:pPr>
        <w:pStyle w:val="Heading2"/>
      </w:pPr>
      <w:bookmarkStart w:id="4314" w:name="_Toc3416"/>
      <w:r>
        <w:t>درویش ،برهان علي بن ابراهيم قرن 10ه-</w:t>
      </w:r>
      <w:bookmarkEnd w:id="4314"/>
    </w:p>
    <w:p>
      <w:pPr>
        <w:pStyle w:val="BookText"/>
      </w:pPr>
      <w:r>
        <w:rPr>
          <w:rFonts w:ascii="Amiri" w:hAnsi="Amiri" w:eastAsia="Amiri" w:cs="Amiri"/>
          <w:lang w:bidi="ar-SA"/>
          <w:color w:val="111111"/>
          <w:sz w:val="28"/>
          <w:szCs w:val="28"/>
          <w:rtl/>
        </w:rPr>
        <w:t xml:space="preserve">در بحر المناقب في تفضيل علي بن</w:t>
      </w:r>
    </w:p>
    <w:p>
      <w:pPr>
        <w:pStyle w:val="BookText"/>
      </w:pPr>
      <w:r>
        <w:rPr>
          <w:rFonts w:ascii="IRNazanin" w:hAnsi="IRNazanin" w:eastAsia="IRNazanin" w:cs="IRNazanin"/>
          <w:lang w:bidi="fa-IR"/>
          <w:color w:val="111111"/>
          <w:sz w:val="28"/>
          <w:szCs w:val="28"/>
          <w:rtl/>
        </w:rPr>
        <w:t xml:space="preserve">ابیطالب (ع)، ج 7، ص219</w:t>
      </w:r>
    </w:p>
    <w:p>
      <w:pPr>
        <w:pStyle w:val="BookText"/>
      </w:pPr>
      <w:r>
        <w:rPr>
          <w:rFonts w:ascii="IRNazanin" w:hAnsi="IRNazanin" w:eastAsia="IRNazanin" w:cs="IRNazanin"/>
          <w:lang w:bidi="fa-IR"/>
          <w:color w:val="111111"/>
          <w:sz w:val="28"/>
          <w:szCs w:val="28"/>
          <w:rtl/>
        </w:rPr>
        <w:t xml:space="preserve">درویش بن احمد واعظ- واعظ ، درویش</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درويش بن علي بن ممحّد- حقير ،</w:t>
      </w:r>
    </w:p>
    <w:p>
      <w:pPr>
        <w:pStyle w:val="BookText"/>
      </w:pPr>
      <w:r>
        <w:rPr>
          <w:rFonts w:ascii="IRNazanin" w:hAnsi="IRNazanin" w:eastAsia="IRNazanin" w:cs="IRNazanin"/>
          <w:lang w:bidi="fa-IR"/>
          <w:color w:val="111111"/>
          <w:sz w:val="28"/>
          <w:szCs w:val="28"/>
          <w:rtl/>
        </w:rPr>
        <w:t xml:space="preserve">درویش بن علي بن محمّد</w:t>
      </w:r>
    </w:p>
    <w:p>
      <w:pPr>
        <w:pStyle w:val="Heading2"/>
      </w:pPr>
      <w:bookmarkStart w:id="4315" w:name="_Toc3417"/>
      <w:r>
        <w:t>درویش بن محمّد - 1014ه-</w:t>
      </w:r>
      <w:bookmarkEnd w:id="4315"/>
    </w:p>
    <w:p>
      <w:pPr>
        <w:pStyle w:val="BookText"/>
      </w:pPr>
      <w:r>
        <w:rPr>
          <w:rFonts w:ascii="Amiri" w:hAnsi="Amiri" w:eastAsia="Amiri" w:cs="Amiri"/>
          <w:lang w:bidi="ar-SA"/>
          <w:color w:val="111111"/>
          <w:sz w:val="28"/>
          <w:szCs w:val="28"/>
          <w:rtl/>
        </w:rPr>
        <w:t xml:space="preserve">اللؤلؤة السنية بحل رموز الطلسمات</w:t>
      </w:r>
    </w:p>
    <w:p>
      <w:pPr>
        <w:pStyle w:val="BookText"/>
      </w:pPr>
      <w:r>
        <w:rPr>
          <w:rFonts w:ascii="Amiri" w:hAnsi="Amiri" w:eastAsia="Amiri" w:cs="Amiri"/>
          <w:lang w:bidi="ar-SA"/>
          <w:color w:val="111111"/>
          <w:sz w:val="28"/>
          <w:szCs w:val="28"/>
          <w:rtl/>
        </w:rPr>
        <w:t xml:space="preserve">الخفية، ج13، ص 535 .</w:t>
      </w:r>
    </w:p>
    <w:p>
      <w:pPr>
        <w:pStyle w:val="BookText"/>
      </w:pPr>
      <w:r>
        <w:rPr>
          <w:rFonts w:ascii="IRNazanin" w:hAnsi="IRNazanin" w:eastAsia="IRNazanin" w:cs="IRNazanin"/>
          <w:lang w:bidi="fa-IR"/>
          <w:color w:val="111111"/>
          <w:sz w:val="28"/>
          <w:szCs w:val="28"/>
          <w:rtl/>
        </w:rPr>
        <w:t xml:space="preserve">درویش بن محمّد امين حيدري- حيدري ،</w:t>
      </w:r>
    </w:p>
    <w:p>
      <w:pPr>
        <w:pStyle w:val="BookText"/>
      </w:pPr>
      <w:r>
        <w:rPr>
          <w:rFonts w:ascii="IRNazanin" w:hAnsi="IRNazanin" w:eastAsia="IRNazanin" w:cs="IRNazanin"/>
          <w:lang w:bidi="fa-IR"/>
          <w:color w:val="111111"/>
          <w:sz w:val="28"/>
          <w:szCs w:val="28"/>
          <w:rtl/>
        </w:rPr>
        <w:t xml:space="preserve">درويش بن محمّد امین</w:t>
      </w:r>
    </w:p>
    <w:p>
      <w:pPr>
        <w:pStyle w:val="BookText"/>
      </w:pPr>
      <w:r>
        <w:rPr>
          <w:rFonts w:ascii="Amiri" w:hAnsi="Amiri" w:eastAsia="Amiri" w:cs="Amiri"/>
          <w:lang w:bidi="ar-SA"/>
          <w:color w:val="111111"/>
          <w:sz w:val="28"/>
          <w:szCs w:val="28"/>
          <w:rtl/>
        </w:rPr>
        <w:t xml:space="preserve">درويش بن محمّد حلي-حلي ، درويش بن محمّد</w:t>
      </w:r>
    </w:p>
    <w:p>
      <w:pPr>
        <w:pStyle w:val="Heading2"/>
      </w:pPr>
      <w:bookmarkStart w:id="4316" w:name="_Toc3418"/>
      <w:r>
        <w:t>درويش بن مصطفى</w:t>
      </w:r>
      <w:bookmarkEnd w:id="4316"/>
    </w:p>
    <w:p>
      <w:pPr>
        <w:pStyle w:val="BookText"/>
      </w:pPr>
      <w:r>
        <w:rPr>
          <w:rFonts w:ascii="Amiri" w:hAnsi="Amiri" w:eastAsia="Amiri" w:cs="Amiri"/>
          <w:lang w:bidi="ar-SA"/>
          <w:color w:val="111111"/>
          <w:sz w:val="28"/>
          <w:szCs w:val="28"/>
          <w:rtl/>
        </w:rPr>
        <w:t xml:space="preserve">تحفة المجالس، ج 4، ص 8.</w:t>
      </w:r>
    </w:p>
    <w:p>
      <w:pPr>
        <w:pStyle w:val="BookText"/>
      </w:pPr>
      <w:r>
        <w:rPr>
          <w:rFonts w:ascii="Amiri" w:hAnsi="Amiri" w:eastAsia="Amiri" w:cs="Amiri"/>
          <w:lang w:bidi="ar-SA"/>
          <w:color w:val="111111"/>
          <w:sz w:val="28"/>
          <w:szCs w:val="28"/>
          <w:rtl/>
        </w:rPr>
        <w:t xml:space="preserve">درويش تهراني ، ابراهيم -تهراني ، ابراهيم</w:t>
      </w:r>
    </w:p>
    <w:p>
      <w:pPr>
        <w:pStyle w:val="BookText"/>
      </w:pPr>
      <w:r>
        <w:rPr>
          <w:rFonts w:ascii="IRNazanin" w:hAnsi="IRNazanin" w:eastAsia="IRNazanin" w:cs="IRNazanin"/>
          <w:lang w:bidi="fa-IR"/>
          <w:color w:val="111111"/>
          <w:sz w:val="28"/>
          <w:szCs w:val="28"/>
          <w:rtl/>
        </w:rPr>
        <w:t xml:space="preserve">درویش حكيم عين الملك دوائي شيرازي- دوايي شيرازي ، درويش</w:t>
      </w:r>
    </w:p>
    <w:p>
      <w:pPr>
        <w:pStyle w:val="BookText"/>
      </w:pPr>
      <w:r>
        <w:rPr>
          <w:rFonts w:ascii="Amiri" w:hAnsi="Amiri" w:eastAsia="Amiri" w:cs="Amiri"/>
          <w:lang w:bidi="ar-SA"/>
          <w:color w:val="111111"/>
          <w:sz w:val="28"/>
          <w:szCs w:val="28"/>
          <w:rtl/>
        </w:rPr>
        <w:t xml:space="preserve">درويش دوايي شيرازي- دوايي شيرازي ،</w:t>
      </w:r>
    </w:p>
    <w:p>
      <w:pPr>
        <w:pStyle w:val="BookText"/>
      </w:pPr>
      <w:r>
        <w:rPr>
          <w:rFonts w:ascii="IRNazanin" w:hAnsi="IRNazanin" w:eastAsia="IRNazanin" w:cs="IRNazanin"/>
          <w:lang w:bidi="fa-IR"/>
          <w:color w:val="111111"/>
          <w:sz w:val="28"/>
          <w:szCs w:val="28"/>
          <w:rtl/>
        </w:rPr>
        <w:t xml:space="preserve">درویش</w:t>
      </w:r>
    </w:p>
    <w:p>
      <w:pPr>
        <w:pStyle w:val="Heading2"/>
      </w:pPr>
      <w:bookmarkStart w:id="4317" w:name="_Toc3419"/>
      <w:r>
        <w:t>درویش ، علي - 1368 ه-</w:t>
      </w:r>
      <w:bookmarkEnd w:id="4317"/>
    </w:p>
    <w:p>
      <w:pPr>
        <w:pStyle w:val="BookText"/>
      </w:pPr>
      <w:r>
        <w:rPr>
          <w:rFonts w:ascii="IRNazanin" w:hAnsi="IRNazanin" w:eastAsia="IRNazanin" w:cs="IRNazanin"/>
          <w:lang w:bidi="fa-IR"/>
          <w:color w:val="111111"/>
          <w:sz w:val="28"/>
          <w:szCs w:val="28"/>
          <w:rtl/>
        </w:rPr>
        <w:t xml:space="preserve">1 .الصرف، ج10، ص 551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 النحو (رسالة في)، ج11،</w:t>
      </w:r>
    </w:p>
    <w:p>
      <w:pPr>
        <w:pStyle w:val="BookText"/>
      </w:pPr>
      <w:r>
        <w:rPr>
          <w:rFonts w:ascii="IRNazanin" w:hAnsi="IRNazanin" w:eastAsia="IRNazanin" w:cs="IRNazanin"/>
          <w:lang w:bidi="fa-IR"/>
          <w:color w:val="111111"/>
          <w:sz w:val="28"/>
          <w:szCs w:val="28"/>
          <w:rtl/>
        </w:rPr>
        <w:t xml:space="preserve">ص 264 .</w:t>
      </w:r>
    </w:p>
    <w:p>
      <w:pPr>
        <w:pStyle w:val="Heading2"/>
      </w:pPr>
      <w:bookmarkStart w:id="4318" w:name="_Toc3420"/>
      <w:r>
        <w:t>درويش ، علي بن حسن - 1270 ه-</w:t>
      </w:r>
      <w:bookmarkEnd w:id="4318"/>
    </w:p>
    <w:p>
      <w:pPr>
        <w:pStyle w:val="BookText"/>
      </w:pPr>
      <w:r>
        <w:rPr>
          <w:rFonts w:ascii="Amiri" w:hAnsi="Amiri" w:eastAsia="Amiri" w:cs="Amiri"/>
          <w:lang w:bidi="ar-SA"/>
          <w:color w:val="111111"/>
          <w:sz w:val="28"/>
          <w:szCs w:val="28"/>
          <w:rtl/>
        </w:rPr>
        <w:t xml:space="preserve">ديوان علي درويش، ج 7، ص 724.</w:t>
      </w:r>
    </w:p>
    <w:p>
      <w:pPr>
        <w:pStyle w:val="Heading2"/>
      </w:pPr>
      <w:bookmarkStart w:id="4319" w:name="_Toc3421"/>
      <w:r>
        <w:t>درویش مصطفی</w:t>
      </w:r>
      <w:bookmarkEnd w:id="4319"/>
    </w:p>
    <w:p>
      <w:pPr>
        <w:pStyle w:val="BookText"/>
      </w:pPr>
      <w:r>
        <w:rPr>
          <w:rFonts w:ascii="Amiri" w:hAnsi="Amiri" w:eastAsia="Amiri" w:cs="Amiri"/>
          <w:lang w:bidi="ar-SA"/>
          <w:color w:val="111111"/>
          <w:sz w:val="28"/>
          <w:szCs w:val="28"/>
          <w:rtl/>
        </w:rPr>
        <w:t xml:space="preserve">نظم قواعد نحوية، ج 16، ص 357.</w:t>
      </w:r>
    </w:p>
    <w:p>
      <w:pPr>
        <w:pStyle w:val="Heading2"/>
      </w:pPr>
      <w:bookmarkStart w:id="4320" w:name="_Toc3422"/>
      <w:r>
        <w:t>دريديل</w:t>
      </w:r>
      <w:bookmarkEnd w:id="4320"/>
    </w:p>
    <w:p>
      <w:pPr>
        <w:pStyle w:val="BookText"/>
      </w:pPr>
      <w:r>
        <w:rPr>
          <w:rFonts w:ascii="Amiri" w:hAnsi="Amiri" w:eastAsia="Amiri" w:cs="Amiri"/>
          <w:lang w:bidi="ar-SA"/>
          <w:color w:val="111111"/>
          <w:sz w:val="28"/>
          <w:szCs w:val="28"/>
          <w:rtl/>
        </w:rPr>
        <w:t xml:space="preserve">العقائد (منظومة في)، ج 11، ص138.</w:t>
      </w:r>
    </w:p>
    <w:p>
      <w:pPr>
        <w:pStyle w:val="Heading2"/>
      </w:pPr>
      <w:bookmarkStart w:id="4321" w:name="_Toc3423"/>
      <w:r>
        <w:t>دري ، عبدالكريم بن محمّد قرن 11 ه-</w:t>
      </w:r>
      <w:bookmarkEnd w:id="4321"/>
    </w:p>
    <w:p>
      <w:pPr>
        <w:pStyle w:val="BookText"/>
      </w:pPr>
      <w:r>
        <w:rPr>
          <w:rFonts w:ascii="Amiri" w:hAnsi="Amiri" w:eastAsia="Amiri" w:cs="Amiri"/>
          <w:lang w:bidi="ar-SA"/>
          <w:color w:val="111111"/>
          <w:sz w:val="28"/>
          <w:szCs w:val="28"/>
          <w:rtl/>
        </w:rPr>
        <w:t xml:space="preserve">الدرة السنية على حل الفاظ الشيخ</w:t>
      </w:r>
    </w:p>
    <w:p>
      <w:pPr>
        <w:pStyle w:val="BookText"/>
      </w:pPr>
      <w:r>
        <w:rPr>
          <w:rFonts w:ascii="Amiri" w:hAnsi="Amiri" w:eastAsia="Amiri" w:cs="Amiri"/>
          <w:lang w:bidi="ar-SA"/>
          <w:color w:val="111111"/>
          <w:sz w:val="28"/>
          <w:szCs w:val="28"/>
          <w:rtl/>
        </w:rPr>
        <w:t xml:space="preserve">خالد و الآجرومية، ج 7، ص239.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4" w:name="pg7742_70363"/>
    <w:bookmarkEnd w:id="484"/>
    <w:p>
      <w:pPr>
        <w:pStyle w:val="BookText"/>
      </w:pPr>
      <w:r>
        <w:rPr>
          <w:rFonts w:ascii="Amiri" w:hAnsi="Amiri" w:eastAsia="Amiri" w:cs="Amiri"/>
          <w:lang w:bidi="ar-SA"/>
          <w:color w:val="111111"/>
          <w:sz w:val="28"/>
          <w:szCs w:val="28"/>
          <w:rtl/>
        </w:rPr>
        <w:t xml:space="preserve">دريني عبدالعزيز بن احمد -ديريني ،</w:t>
      </w:r>
    </w:p>
    <w:p>
      <w:pPr>
        <w:pStyle w:val="BookText"/>
      </w:pPr>
      <w:r>
        <w:rPr>
          <w:rFonts w:ascii="Amiri" w:hAnsi="Amiri" w:eastAsia="Amiri" w:cs="Amiri"/>
          <w:lang w:bidi="ar-SA"/>
          <w:color w:val="111111"/>
          <w:sz w:val="28"/>
          <w:szCs w:val="28"/>
          <w:rtl/>
        </w:rPr>
        <w:t xml:space="preserve">عبد العزيز بن احمد</w:t>
      </w:r>
    </w:p>
    <w:p>
      <w:pPr>
        <w:pStyle w:val="Heading2"/>
      </w:pPr>
      <w:bookmarkStart w:id="4322" w:name="_Toc3424"/>
      <w:r>
        <w:t>دزدري ، ملاعلي قرن 14 ه-</w:t>
      </w:r>
      <w:bookmarkEnd w:id="4322"/>
    </w:p>
    <w:p>
      <w:pPr>
        <w:pStyle w:val="BookText"/>
      </w:pPr>
      <w:r>
        <w:rPr>
          <w:rFonts w:ascii="IRNazanin" w:hAnsi="IRNazanin" w:eastAsia="IRNazanin" w:cs="IRNazanin"/>
          <w:lang w:bidi="fa-IR"/>
          <w:color w:val="111111"/>
          <w:sz w:val="28"/>
          <w:szCs w:val="28"/>
          <w:rtl/>
        </w:rPr>
        <w:t xml:space="preserve">مباحث الفاظ، ج 13، ص 711.</w:t>
      </w:r>
    </w:p>
    <w:p>
      <w:pPr>
        <w:pStyle w:val="Heading2"/>
      </w:pPr>
      <w:bookmarkStart w:id="4323" w:name="_Toc3425"/>
      <w:r>
        <w:t>دزفولي ، عبد الحسين بن محمّدتقي</w:t>
      </w:r>
      <w:bookmarkEnd w:id="4323"/>
    </w:p>
    <w:p>
      <w:pPr>
        <w:pStyle w:val="BookText"/>
      </w:pPr>
      <w:r>
        <w:rPr>
          <w:rFonts w:ascii="Amiri" w:hAnsi="Amiri" w:eastAsia="Amiri" w:cs="Amiri"/>
          <w:lang w:bidi="ar-SA"/>
          <w:color w:val="111111"/>
          <w:sz w:val="28"/>
          <w:szCs w:val="28"/>
          <w:rtl/>
        </w:rPr>
        <w:t xml:space="preserve">الهداية في شرح الكفاية، ج 16،</w:t>
      </w:r>
    </w:p>
    <w:p>
      <w:pPr>
        <w:pStyle w:val="BookText"/>
      </w:pPr>
      <w:r>
        <w:rPr>
          <w:rFonts w:ascii="IRNazanin" w:hAnsi="IRNazanin" w:eastAsia="IRNazanin" w:cs="IRNazanin"/>
          <w:lang w:bidi="fa-IR"/>
          <w:color w:val="111111"/>
          <w:sz w:val="28"/>
          <w:szCs w:val="28"/>
          <w:rtl/>
        </w:rPr>
        <w:t xml:space="preserve">ص 623 .</w:t>
      </w:r>
    </w:p>
    <w:p>
      <w:pPr>
        <w:pStyle w:val="BookText"/>
      </w:pPr>
      <w:r>
        <w:rPr>
          <w:rFonts w:ascii="Amiri" w:hAnsi="Amiri" w:eastAsia="Amiri" w:cs="Amiri"/>
          <w:lang w:bidi="ar-SA"/>
          <w:color w:val="111111"/>
          <w:sz w:val="28"/>
          <w:szCs w:val="28"/>
          <w:rtl/>
        </w:rPr>
        <w:t xml:space="preserve">دزفولي ، صدر الدين بن محمّد</w:t>
      </w:r>
    </w:p>
    <w:p>
      <w:pPr>
        <w:pStyle w:val="BookText"/>
      </w:pPr>
      <w:r>
        <w:rPr>
          <w:rFonts w:ascii="Amiri" w:hAnsi="Amiri" w:eastAsia="Amiri" w:cs="Amiri"/>
          <w:lang w:bidi="ar-SA"/>
          <w:color w:val="111111"/>
          <w:sz w:val="28"/>
          <w:szCs w:val="28"/>
          <w:rtl/>
        </w:rPr>
        <w:t xml:space="preserve">باقر -كاشف دزفولي ، صدرالدين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دزفولي ، محمّد باقر بن مهدي- كاشف</w:t>
      </w:r>
    </w:p>
    <w:p>
      <w:pPr>
        <w:pStyle w:val="BookText"/>
      </w:pPr>
      <w:r>
        <w:rPr>
          <w:rFonts w:ascii="IRNazanin" w:hAnsi="IRNazanin" w:eastAsia="IRNazanin" w:cs="IRNazanin"/>
          <w:lang w:bidi="fa-IR"/>
          <w:color w:val="111111"/>
          <w:sz w:val="28"/>
          <w:szCs w:val="28"/>
          <w:rtl/>
        </w:rPr>
        <w:t xml:space="preserve">دزفولي ، صدر الدین بن محمّد باقر</w:t>
      </w:r>
    </w:p>
    <w:p>
      <w:pPr>
        <w:pStyle w:val="Heading2"/>
      </w:pPr>
      <w:bookmarkStart w:id="4324" w:name="_Toc3426"/>
      <w:r>
        <w:t>دزفولي ، محمّد طاهر - 1315 ه-</w:t>
      </w:r>
      <w:bookmarkEnd w:id="4324"/>
    </w:p>
    <w:p>
      <w:pPr>
        <w:pStyle w:val="BookText"/>
      </w:pPr>
      <w:r>
        <w:rPr>
          <w:rFonts w:ascii="Amiri" w:hAnsi="Amiri" w:eastAsia="Amiri" w:cs="Amiri"/>
          <w:lang w:bidi="ar-SA"/>
          <w:color w:val="111111"/>
          <w:sz w:val="28"/>
          <w:szCs w:val="28"/>
          <w:rtl/>
        </w:rPr>
        <w:t xml:space="preserve">إجازة للسيد عبد الصمد بن الحاج السيّد أحمد آل نعمة الله الجزائري</w:t>
      </w:r>
    </w:p>
    <w:p>
      <w:pPr>
        <w:pStyle w:val="BookText"/>
      </w:pPr>
      <w:r>
        <w:rPr>
          <w:rFonts w:ascii="IRNazanin" w:hAnsi="IRNazanin" w:eastAsia="IRNazanin" w:cs="IRNazanin"/>
          <w:lang w:bidi="fa-IR"/>
          <w:color w:val="111111"/>
          <w:sz w:val="28"/>
          <w:szCs w:val="28"/>
          <w:rtl/>
        </w:rPr>
        <w:t xml:space="preserve">ج 1، ص 251.</w:t>
      </w:r>
    </w:p>
    <w:p>
      <w:pPr>
        <w:pStyle w:val="BookText"/>
      </w:pPr>
      <w:r>
        <w:rPr>
          <w:rFonts w:ascii="Amiri" w:hAnsi="Amiri" w:eastAsia="Amiri" w:cs="Amiri"/>
          <w:lang w:bidi="ar-SA"/>
          <w:color w:val="111111"/>
          <w:sz w:val="28"/>
          <w:szCs w:val="28"/>
          <w:rtl/>
        </w:rPr>
        <w:t xml:space="preserve">دزفولي ، محمّد طاهر بن محمّد باقر -موسوي ، محمّد طاهر بن محمّد باقر</w:t>
      </w:r>
    </w:p>
    <w:p>
      <w:pPr>
        <w:pStyle w:val="BookText"/>
      </w:pPr>
      <w:r>
        <w:rPr>
          <w:rFonts w:ascii="Amiri" w:hAnsi="Amiri" w:eastAsia="Amiri" w:cs="Amiri"/>
          <w:lang w:bidi="ar-SA"/>
          <w:color w:val="111111"/>
          <w:sz w:val="28"/>
          <w:szCs w:val="28"/>
          <w:rtl/>
        </w:rPr>
        <w:t xml:space="preserve">دزفولي كاظمي ، اسدالله</w:t>
      </w:r>
    </w:p>
    <w:p>
      <w:pPr>
        <w:pStyle w:val="BookText"/>
      </w:pPr>
      <w:r>
        <w:rPr>
          <w:rFonts w:ascii="Amiri" w:hAnsi="Amiri" w:eastAsia="Amiri" w:cs="Amiri"/>
          <w:lang w:bidi="ar-SA"/>
          <w:color w:val="111111"/>
          <w:sz w:val="28"/>
          <w:szCs w:val="28"/>
          <w:rtl/>
        </w:rPr>
        <w:t xml:space="preserve">بن اسماعيل- كاظمي، اسدالله بن اسماعيل</w:t>
      </w:r>
    </w:p>
    <w:p>
      <w:pPr>
        <w:pStyle w:val="Heading2"/>
      </w:pPr>
      <w:bookmarkStart w:id="4325" w:name="_Toc3427"/>
      <w:r>
        <w:t>دستغیب ، محمّد صالح بن مسعود قرن</w:t>
      </w:r>
      <w:bookmarkEnd w:id="4325"/>
    </w:p>
    <w:p>
      <w:pPr>
        <w:pStyle w:val="BookText"/>
      </w:pPr>
      <w:r>
        <w:rPr>
          <w:rFonts w:ascii="IRNazanin" w:hAnsi="IRNazanin" w:eastAsia="IRNazanin" w:cs="IRNazanin"/>
          <w:lang w:bidi="fa-IR"/>
          <w:color w:val="111111"/>
          <w:sz w:val="28"/>
          <w:szCs w:val="28"/>
          <w:rtl/>
        </w:rPr>
        <w:t xml:space="preserve">11 ه-</w:t>
      </w:r>
    </w:p>
    <w:p>
      <w:pPr>
        <w:pStyle w:val="BookText"/>
      </w:pPr>
      <w:r>
        <w:rPr>
          <w:rFonts w:ascii="IRNazanin" w:hAnsi="IRNazanin" w:eastAsia="IRNazanin" w:cs="IRNazanin"/>
          <w:lang w:bidi="fa-IR"/>
          <w:color w:val="111111"/>
          <w:sz w:val="28"/>
          <w:szCs w:val="28"/>
          <w:rtl/>
        </w:rPr>
        <w:t xml:space="preserve">البرهان القاطع و النور الساطع، ج 3،</w:t>
      </w:r>
    </w:p>
    <w:p>
      <w:pPr>
        <w:pStyle w:val="BookText"/>
      </w:pPr>
      <w:r>
        <w:rPr>
          <w:rFonts w:ascii="IRNazanin" w:hAnsi="IRNazanin" w:eastAsia="IRNazanin" w:cs="IRNazanin"/>
          <w:lang w:bidi="fa-IR"/>
          <w:color w:val="111111"/>
          <w:sz w:val="28"/>
          <w:szCs w:val="28"/>
          <w:rtl/>
        </w:rPr>
        <w:t xml:space="preserve">ص 316.</w:t>
      </w:r>
    </w:p>
    <w:p>
      <w:pPr>
        <w:pStyle w:val="Heading2"/>
      </w:pPr>
      <w:bookmarkStart w:id="4326" w:name="_Toc3428"/>
      <w:r>
        <w:t>دسوقي ، ابراهيم بن محمّد - 919 ه-</w:t>
      </w:r>
      <w:bookmarkEnd w:id="4326"/>
    </w:p>
    <w:p>
      <w:pPr>
        <w:pStyle w:val="BookText"/>
      </w:pPr>
      <w:r>
        <w:rPr>
          <w:rFonts w:ascii="Amiri" w:hAnsi="Amiri" w:eastAsia="Amiri" w:cs="Amiri"/>
          <w:lang w:bidi="ar-SA"/>
          <w:color w:val="111111"/>
          <w:sz w:val="28"/>
          <w:szCs w:val="28"/>
          <w:rtl/>
        </w:rPr>
        <w:t xml:space="preserve">اوراد الدسوقي = حزب الدسوقي</w:t>
      </w:r>
    </w:p>
    <w:p>
      <w:pPr>
        <w:pStyle w:val="BookText"/>
      </w:pPr>
      <w:r>
        <w:rPr>
          <w:rFonts w:ascii="Amiri" w:hAnsi="Amiri" w:eastAsia="Amiri" w:cs="Amiri"/>
          <w:lang w:bidi="ar-SA"/>
          <w:color w:val="111111"/>
          <w:sz w:val="28"/>
          <w:szCs w:val="28"/>
          <w:rtl/>
        </w:rPr>
        <w:t xml:space="preserve">الحزب الكبير، ج 3، ص 65.</w:t>
      </w:r>
    </w:p>
    <w:p>
      <w:pPr>
        <w:pStyle w:val="Heading2"/>
      </w:pPr>
      <w:bookmarkStart w:id="4327" w:name="_Toc3429"/>
      <w:r>
        <w:t>دسوقي ، ابراهيم صومع</w:t>
      </w:r>
      <w:bookmarkEnd w:id="4327"/>
    </w:p>
    <w:p>
      <w:pPr>
        <w:pStyle w:val="BookText"/>
      </w:pPr>
      <w:r>
        <w:rPr>
          <w:rFonts w:ascii="Amiri" w:hAnsi="Amiri" w:eastAsia="Amiri" w:cs="Amiri"/>
          <w:lang w:bidi="ar-SA"/>
          <w:color w:val="111111"/>
          <w:sz w:val="28"/>
          <w:szCs w:val="28"/>
          <w:rtl/>
        </w:rPr>
        <w:t xml:space="preserve">شرح على دعاء و تفريج الكرب، ج 9،</w:t>
      </w:r>
    </w:p>
    <w:p>
      <w:pPr>
        <w:pStyle w:val="BookText"/>
      </w:pPr>
      <w:r>
        <w:rPr>
          <w:rFonts w:ascii="IRNazanin" w:hAnsi="IRNazanin" w:eastAsia="IRNazanin" w:cs="IRNazanin"/>
          <w:lang w:bidi="fa-IR"/>
          <w:color w:val="111111"/>
          <w:sz w:val="28"/>
          <w:szCs w:val="28"/>
          <w:rtl/>
        </w:rPr>
        <w:t xml:space="preserve">ص 748 .</w:t>
      </w:r>
    </w:p>
    <w:p>
      <w:pPr>
        <w:pStyle w:val="Heading2"/>
      </w:pPr>
      <w:bookmarkStart w:id="4328" w:name="_Toc3430"/>
      <w:r>
        <w:t>دسوقي ، علي الملاح، قرن 14 ه-</w:t>
      </w:r>
      <w:bookmarkEnd w:id="4328"/>
    </w:p>
    <w:p>
      <w:pPr>
        <w:pStyle w:val="BookText"/>
      </w:pPr>
      <w:r>
        <w:rPr>
          <w:rFonts w:ascii="Amiri" w:hAnsi="Amiri" w:eastAsia="Amiri" w:cs="Amiri"/>
          <w:lang w:bidi="ar-SA"/>
          <w:color w:val="111111"/>
          <w:sz w:val="28"/>
          <w:szCs w:val="28"/>
          <w:rtl/>
        </w:rPr>
        <w:t xml:space="preserve">الرسالة الوفية بتحقيق خلق افعال العباد الاختيارية، ج8، ص297</w:t>
      </w:r>
    </w:p>
    <w:p>
      <w:pPr>
        <w:pStyle w:val="BookText"/>
      </w:pPr>
      <w:r>
        <w:rPr>
          <w:rFonts w:ascii="Amiri" w:hAnsi="Amiri" w:eastAsia="Amiri" w:cs="Amiri"/>
          <w:lang w:bidi="ar-SA"/>
          <w:color w:val="111111"/>
          <w:sz w:val="28"/>
          <w:szCs w:val="28"/>
          <w:rtl/>
        </w:rPr>
        <w:t xml:space="preserve">دشتكي شيرازي ، احمد بن</w:t>
      </w:r>
    </w:p>
    <w:p>
      <w:pPr>
        <w:pStyle w:val="BookText"/>
      </w:pPr>
      <w:r>
        <w:rPr>
          <w:rFonts w:ascii="Amiri" w:hAnsi="Amiri" w:eastAsia="Amiri" w:cs="Amiri"/>
          <w:lang w:bidi="ar-SA"/>
          <w:color w:val="111111"/>
          <w:sz w:val="28"/>
          <w:szCs w:val="28"/>
          <w:rtl/>
        </w:rPr>
        <w:t xml:space="preserve">ابراهيم -حسيني دشتكي ، احمد بن ابراهيم</w:t>
      </w:r>
    </w:p>
    <w:p>
      <w:pPr>
        <w:pStyle w:val="BookText"/>
      </w:pPr>
      <w:r>
        <w:rPr>
          <w:rFonts w:ascii="Amiri" w:hAnsi="Amiri" w:eastAsia="Amiri" w:cs="Amiri"/>
          <w:lang w:bidi="ar-SA"/>
          <w:color w:val="111111"/>
          <w:sz w:val="28"/>
          <w:szCs w:val="28"/>
          <w:rtl/>
        </w:rPr>
        <w:t xml:space="preserve">دشتكي شيرازي ، صدر الدين- مدني ، علي</w:t>
      </w:r>
    </w:p>
    <w:p>
      <w:pPr>
        <w:pStyle w:val="BookText"/>
      </w:pPr>
      <w:r>
        <w:rPr>
          <w:rFonts w:ascii="IRNazanin" w:hAnsi="IRNazanin" w:eastAsia="IRNazanin" w:cs="IRNazanin"/>
          <w:lang w:bidi="fa-IR"/>
          <w:color w:val="111111"/>
          <w:sz w:val="28"/>
          <w:szCs w:val="28"/>
          <w:rtl/>
        </w:rPr>
        <w:t xml:space="preserve">خان بن احمد</w:t>
      </w:r>
    </w:p>
    <w:p>
      <w:pPr>
        <w:pStyle w:val="Heading2"/>
      </w:pPr>
      <w:bookmarkStart w:id="4329" w:name="_Toc3431"/>
      <w:r>
        <w:t>دشتكي شيرازي ، صدر الدين ثاني محمّد بن</w:t>
      </w:r>
      <w:bookmarkEnd w:id="4329"/>
    </w:p>
    <w:p>
      <w:pPr>
        <w:pStyle w:val="BookText"/>
      </w:pPr>
      <w:r>
        <w:rPr>
          <w:rFonts w:ascii="IRNazanin" w:hAnsi="IRNazanin" w:eastAsia="IRNazanin" w:cs="IRNazanin"/>
          <w:lang w:bidi="fa-IR"/>
          <w:color w:val="111111"/>
          <w:sz w:val="28"/>
          <w:szCs w:val="28"/>
          <w:rtl/>
        </w:rPr>
        <w:t xml:space="preserve">منصور، قرن 10 ه-</w:t>
      </w:r>
    </w:p>
    <w:p>
      <w:pPr>
        <w:pStyle w:val="BookText"/>
      </w:pPr>
      <w:r>
        <w:rPr>
          <w:rFonts w:ascii="Amiri" w:hAnsi="Amiri" w:eastAsia="Amiri" w:cs="Amiri"/>
          <w:lang w:bidi="ar-SA"/>
          <w:color w:val="111111"/>
          <w:sz w:val="28"/>
          <w:szCs w:val="28"/>
          <w:rtl/>
        </w:rPr>
        <w:t xml:space="preserve">الذكرى، ج 7، ص 858.</w:t>
      </w:r>
    </w:p>
    <w:p>
      <w:pPr>
        <w:pStyle w:val="BookText"/>
      </w:pPr>
      <w:r>
        <w:rPr>
          <w:rFonts w:ascii="Amiri" w:hAnsi="Amiri" w:eastAsia="Amiri" w:cs="Amiri"/>
          <w:lang w:bidi="ar-SA"/>
          <w:color w:val="111111"/>
          <w:sz w:val="28"/>
          <w:szCs w:val="28"/>
          <w:rtl/>
        </w:rPr>
        <w:t xml:space="preserve">دشتكي شيرازي ، عطاء الله بن فضل الله -جمال حسيني ، عطاء الله بن فضل الله</w:t>
      </w:r>
    </w:p>
    <w:p>
      <w:pPr>
        <w:pStyle w:val="Heading2"/>
      </w:pPr>
      <w:bookmarkStart w:id="4330" w:name="_Toc3432"/>
      <w:r>
        <w:t>دشتكي شيرازي ، منصور بن صدر الدين</w:t>
      </w:r>
      <w:bookmarkEnd w:id="4330"/>
    </w:p>
    <w:p>
      <w:pPr>
        <w:pStyle w:val="BookText"/>
      </w:pPr>
      <w:r>
        <w:rPr>
          <w:rFonts w:ascii="Amiri" w:hAnsi="Amiri" w:eastAsia="Amiri" w:cs="Amiri"/>
          <w:lang w:bidi="ar-SA"/>
          <w:color w:val="111111"/>
          <w:sz w:val="28"/>
          <w:szCs w:val="28"/>
          <w:rtl/>
        </w:rPr>
        <w:t xml:space="preserve">محمّد 866 - 948 ه-</w:t>
      </w:r>
    </w:p>
    <w:p>
      <w:pPr>
        <w:pStyle w:val="BookText"/>
      </w:pPr>
      <w:r>
        <w:rPr>
          <w:rFonts w:ascii="Amiri" w:hAnsi="Amiri" w:eastAsia="Amiri" w:cs="Amiri"/>
          <w:lang w:bidi="ar-SA"/>
          <w:color w:val="111111"/>
          <w:sz w:val="28"/>
          <w:szCs w:val="28"/>
          <w:rtl/>
        </w:rPr>
        <w:t xml:space="preserve">1 .اخلاق منصوري - جام جهان نما</w:t>
      </w:r>
    </w:p>
    <w:p>
      <w:pPr>
        <w:pStyle w:val="BookText"/>
      </w:pPr>
      <w:r>
        <w:rPr>
          <w:rFonts w:ascii="IRNazanin" w:hAnsi="IRNazanin" w:eastAsia="IRNazanin" w:cs="IRNazanin"/>
          <w:lang w:bidi="fa-IR"/>
          <w:color w:val="111111"/>
          <w:sz w:val="28"/>
          <w:szCs w:val="28"/>
          <w:rtl/>
        </w:rPr>
        <w:t xml:space="preserve">ج 1، ص 580.</w:t>
      </w:r>
    </w:p>
    <w:p>
      <w:pPr>
        <w:pStyle w:val="BookText"/>
      </w:pPr>
      <w:r>
        <w:rPr>
          <w:rFonts w:ascii="Amiri" w:hAnsi="Amiri" w:eastAsia="Amiri" w:cs="Amiri"/>
          <w:lang w:bidi="ar-SA"/>
          <w:color w:val="111111"/>
          <w:sz w:val="28"/>
          <w:szCs w:val="28"/>
          <w:rtl/>
        </w:rPr>
        <w:t xml:space="preserve">2 .الايمان فن علم الكلام، ج3، ص 160.</w:t>
      </w:r>
    </w:p>
    <w:p>
      <w:pPr>
        <w:pStyle w:val="BookText"/>
      </w:pPr>
      <w:r>
        <w:rPr>
          <w:rFonts w:ascii="Amiri" w:hAnsi="Amiri" w:eastAsia="Amiri" w:cs="Amiri"/>
          <w:lang w:bidi="ar-SA"/>
          <w:color w:val="111111"/>
          <w:sz w:val="28"/>
          <w:szCs w:val="28"/>
          <w:rtl/>
        </w:rPr>
        <w:t xml:space="preserve">3.تحديد جهات، ج 3، ص 722.</w:t>
      </w:r>
    </w:p>
    <w:p>
      <w:pPr>
        <w:pStyle w:val="BookText"/>
      </w:pPr>
      <w:r>
        <w:rPr>
          <w:rFonts w:ascii="Amiri" w:hAnsi="Amiri" w:eastAsia="Amiri" w:cs="Amiri"/>
          <w:lang w:bidi="ar-SA"/>
          <w:color w:val="111111"/>
          <w:sz w:val="28"/>
          <w:szCs w:val="28"/>
          <w:rtl/>
        </w:rPr>
        <w:t xml:space="preserve">4 .التهليلية، ج 5، ص 137.</w:t>
      </w:r>
    </w:p>
    <w:p>
      <w:pPr>
        <w:pStyle w:val="BookText"/>
      </w:pPr>
      <w:r>
        <w:rPr>
          <w:rFonts w:ascii="IRNazanin" w:hAnsi="IRNazanin" w:eastAsia="IRNazanin" w:cs="IRNazanin"/>
          <w:lang w:bidi="fa-IR"/>
          <w:color w:val="111111"/>
          <w:sz w:val="28"/>
          <w:szCs w:val="28"/>
          <w:rtl/>
        </w:rPr>
        <w:t xml:space="preserve">5 .جام گيتي نما، ج 5، ص 354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5" w:name="pg7742_70365"/>
    <w:bookmarkEnd w:id="485"/>
    <w:p>
      <w:pPr>
        <w:pStyle w:val="BookText"/>
      </w:pPr>
      <w:r>
        <w:rPr>
          <w:rFonts w:ascii="Amiri" w:hAnsi="Amiri" w:eastAsia="Amiri" w:cs="Amiri"/>
          <w:lang w:bidi="ar-SA"/>
          <w:color w:val="111111"/>
          <w:sz w:val="28"/>
          <w:szCs w:val="28"/>
          <w:rtl/>
        </w:rPr>
        <w:t xml:space="preserve">6 .حاشية الزوراء = رد الزوراء، ج 6، ص 2.</w:t>
      </w:r>
    </w:p>
    <w:p>
      <w:pPr>
        <w:pStyle w:val="BookText"/>
      </w:pPr>
      <w:r>
        <w:rPr>
          <w:rFonts w:ascii="Amiri" w:hAnsi="Amiri" w:eastAsia="Amiri" w:cs="Amiri"/>
          <w:lang w:bidi="ar-SA"/>
          <w:color w:val="111111"/>
          <w:sz w:val="28"/>
          <w:szCs w:val="28"/>
          <w:rtl/>
        </w:rPr>
        <w:t xml:space="preserve">7 .حاشية حاشية الدواني على تهذيب</w:t>
      </w:r>
    </w:p>
    <w:p>
      <w:pPr>
        <w:pStyle w:val="BookText"/>
      </w:pPr>
      <w:r>
        <w:rPr>
          <w:rFonts w:ascii="IRNazanin" w:hAnsi="IRNazanin" w:eastAsia="IRNazanin" w:cs="IRNazanin"/>
          <w:lang w:bidi="fa-IR"/>
          <w:color w:val="111111"/>
          <w:sz w:val="28"/>
          <w:szCs w:val="28"/>
          <w:rtl/>
        </w:rPr>
        <w:t xml:space="preserve">المنطق، ج 5، ص 810.</w:t>
      </w:r>
    </w:p>
    <w:p>
      <w:pPr>
        <w:pStyle w:val="BookText"/>
      </w:pPr>
      <w:r>
        <w:rPr>
          <w:rFonts w:ascii="Amiri" w:hAnsi="Amiri" w:eastAsia="Amiri" w:cs="Amiri"/>
          <w:lang w:bidi="ar-SA"/>
          <w:color w:val="111111"/>
          <w:sz w:val="28"/>
          <w:szCs w:val="28"/>
          <w:rtl/>
        </w:rPr>
        <w:t xml:space="preserve">8 .حاشية حاشية الدواني على حاشية تحرير القواعد المنطقية، جه،</w:t>
      </w:r>
    </w:p>
    <w:p>
      <w:pPr>
        <w:pStyle w:val="BookText"/>
      </w:pPr>
      <w:r>
        <w:rPr>
          <w:rFonts w:ascii="IRNazanin" w:hAnsi="IRNazanin" w:eastAsia="IRNazanin" w:cs="IRNazanin"/>
          <w:lang w:bidi="fa-IR"/>
          <w:color w:val="111111"/>
          <w:sz w:val="28"/>
          <w:szCs w:val="28"/>
          <w:rtl/>
        </w:rPr>
        <w:t xml:space="preserve">ص 816.</w:t>
      </w:r>
    </w:p>
    <w:p>
      <w:pPr>
        <w:pStyle w:val="BookText"/>
      </w:pPr>
      <w:r>
        <w:rPr>
          <w:rFonts w:ascii="Amiri" w:hAnsi="Amiri" w:eastAsia="Amiri" w:cs="Amiri"/>
          <w:lang w:bidi="ar-SA"/>
          <w:color w:val="111111"/>
          <w:sz w:val="28"/>
          <w:szCs w:val="28"/>
          <w:rtl/>
        </w:rPr>
        <w:t xml:space="preserve">9 .حاشية حاشية الشريفية على شرح</w:t>
      </w:r>
    </w:p>
    <w:p>
      <w:pPr>
        <w:pStyle w:val="BookText"/>
      </w:pPr>
      <w:r>
        <w:rPr>
          <w:rFonts w:ascii="Amiri" w:hAnsi="Amiri" w:eastAsia="Amiri" w:cs="Amiri"/>
          <w:lang w:bidi="ar-SA"/>
          <w:color w:val="111111"/>
          <w:sz w:val="28"/>
          <w:szCs w:val="28"/>
          <w:rtl/>
        </w:rPr>
        <w:t xml:space="preserve">الشمسية، ج 5، ص 833.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حاشية شرح الكافية، ج 6، ص 158.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حاشية شرح الملخص چغميني</w:t>
      </w:r>
    </w:p>
    <w:p>
      <w:pPr>
        <w:pStyle w:val="BookText"/>
      </w:pPr>
      <w:r>
        <w:rPr>
          <w:rFonts w:ascii="IRNazanin" w:hAnsi="IRNazanin" w:eastAsia="IRNazanin" w:cs="IRNazanin"/>
          <w:lang w:bidi="fa-IR"/>
          <w:color w:val="111111"/>
          <w:sz w:val="28"/>
          <w:szCs w:val="28"/>
          <w:rtl/>
        </w:rPr>
        <w:t xml:space="preserve">ج 6 ، ص 192.</w:t>
      </w:r>
    </w:p>
    <w:p>
      <w:pPr>
        <w:pStyle w:val="BookText"/>
      </w:pPr>
      <w:r>
        <w:rPr>
          <w:rFonts w:ascii="Amiri" w:hAnsi="Amiri" w:eastAsia="Amiri" w:cs="Amiri"/>
          <w:lang w:bidi="ar-SA"/>
          <w:color w:val="111111"/>
          <w:sz w:val="28"/>
          <w:szCs w:val="28"/>
          <w:rtl/>
        </w:rPr>
        <w:t xml:space="preserve">12 .حجة الكلام لايضاح محجة الزام الخصام و افحام معاني عقائد الاسلام = حشر الجسماني = رسالة</w:t>
      </w:r>
    </w:p>
    <w:p>
      <w:pPr>
        <w:pStyle w:val="BookText"/>
      </w:pPr>
      <w:r>
        <w:rPr>
          <w:rFonts w:ascii="Amiri" w:hAnsi="Amiri" w:eastAsia="Amiri" w:cs="Amiri"/>
          <w:lang w:bidi="ar-SA"/>
          <w:color w:val="111111"/>
          <w:sz w:val="28"/>
          <w:szCs w:val="28"/>
          <w:rtl/>
        </w:rPr>
        <w:t xml:space="preserve">في المعاد، ج 6، ص 486.</w:t>
      </w:r>
    </w:p>
    <w:p>
      <w:pPr>
        <w:pStyle w:val="BookText"/>
      </w:pPr>
      <w:r>
        <w:rPr>
          <w:rFonts w:ascii="IRNazanin" w:hAnsi="IRNazanin" w:eastAsia="IRNazanin" w:cs="IRNazanin"/>
          <w:lang w:bidi="fa-IR"/>
          <w:color w:val="111111"/>
          <w:sz w:val="28"/>
          <w:szCs w:val="28"/>
          <w:rtl/>
        </w:rPr>
        <w:t xml:space="preserve">13 .رد انموذج العلوم، ج8، ص83.</w:t>
      </w:r>
    </w:p>
    <w:p>
      <w:pPr>
        <w:pStyle w:val="BookText"/>
      </w:pPr>
      <w:r>
        <w:rPr>
          <w:rFonts w:ascii="Amiri" w:hAnsi="Amiri" w:eastAsia="Amiri" w:cs="Amiri"/>
          <w:lang w:bidi="ar-SA"/>
          <w:color w:val="111111"/>
          <w:sz w:val="28"/>
          <w:szCs w:val="28"/>
          <w:rtl/>
        </w:rPr>
        <w:t xml:space="preserve">14 .رسالة جعفرية، ج8، ص 184.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سفير الغبراء و الخضراء - السفير</w:t>
      </w:r>
    </w:p>
    <w:p>
      <w:pPr>
        <w:pStyle w:val="BookText"/>
      </w:pPr>
      <w:r>
        <w:rPr>
          <w:rFonts w:ascii="IRNazanin" w:hAnsi="IRNazanin" w:eastAsia="IRNazanin" w:cs="IRNazanin"/>
          <w:lang w:bidi="fa-IR"/>
          <w:color w:val="111111"/>
          <w:sz w:val="28"/>
          <w:szCs w:val="28"/>
          <w:rtl/>
        </w:rPr>
        <w:t xml:space="preserve">ج 8، ص 779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ضياء العين = حاشية شرح حكمة</w:t>
      </w:r>
    </w:p>
    <w:p>
      <w:pPr>
        <w:pStyle w:val="BookText"/>
      </w:pPr>
      <w:r>
        <w:rPr>
          <w:rFonts w:ascii="Amiri" w:hAnsi="Amiri" w:eastAsia="Amiri" w:cs="Amiri"/>
          <w:lang w:bidi="ar-SA"/>
          <w:color w:val="111111"/>
          <w:sz w:val="28"/>
          <w:szCs w:val="28"/>
          <w:rtl/>
        </w:rPr>
        <w:t xml:space="preserve">العين، ج 10، ص720.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الفوائد المنصورية، ج 12، ص283.</w:t>
      </w:r>
    </w:p>
    <w:p>
      <w:pPr>
        <w:pStyle w:val="BookText"/>
      </w:pPr>
      <w:r>
        <w:rPr>
          <w:rFonts w:ascii="Amiri" w:hAnsi="Amiri" w:eastAsia="Amiri" w:cs="Amiri"/>
          <w:lang w:bidi="ar-SA"/>
          <w:color w:val="111111"/>
          <w:sz w:val="28"/>
          <w:szCs w:val="28"/>
          <w:rtl/>
        </w:rPr>
        <w:t xml:space="preserve">18 .كشف الحقائق المحمّدية في شرح</w:t>
      </w:r>
    </w:p>
    <w:p>
      <w:pPr>
        <w:pStyle w:val="BookText"/>
      </w:pPr>
      <w:r>
        <w:rPr>
          <w:rFonts w:ascii="Amiri" w:hAnsi="Amiri" w:eastAsia="Amiri" w:cs="Amiri"/>
          <w:lang w:bidi="ar-SA"/>
          <w:color w:val="111111"/>
          <w:sz w:val="28"/>
          <w:szCs w:val="28"/>
          <w:rtl/>
        </w:rPr>
        <w:t xml:space="preserve">الحقائق المحمّدية - شرح اثبات</w:t>
      </w:r>
    </w:p>
    <w:p>
      <w:pPr>
        <w:pStyle w:val="BookText"/>
      </w:pPr>
      <w:r>
        <w:rPr>
          <w:rFonts w:ascii="IRNazanin" w:hAnsi="IRNazanin" w:eastAsia="IRNazanin" w:cs="IRNazanin"/>
          <w:lang w:bidi="fa-IR"/>
          <w:color w:val="111111"/>
          <w:sz w:val="28"/>
          <w:szCs w:val="28"/>
          <w:rtl/>
        </w:rPr>
        <w:t xml:space="preserve">الواجب، ج 13، ص 206.</w:t>
      </w:r>
    </w:p>
    <w:p>
      <w:pPr>
        <w:pStyle w:val="BookText"/>
      </w:pPr>
      <w:r>
        <w:rPr>
          <w:rFonts w:ascii="IRNazanin" w:hAnsi="IRNazanin" w:eastAsia="IRNazanin" w:cs="IRNazanin"/>
          <w:lang w:bidi="fa-IR"/>
          <w:color w:val="111111"/>
          <w:sz w:val="28"/>
          <w:szCs w:val="28"/>
          <w:rtl/>
        </w:rPr>
        <w:t xml:space="preserve">19 .لطائف الاشارات - مقاصد</w:t>
      </w:r>
    </w:p>
    <w:p>
      <w:pPr>
        <w:pStyle w:val="BookText"/>
      </w:pPr>
      <w:r>
        <w:rPr>
          <w:rFonts w:ascii="IRNazanin" w:hAnsi="IRNazanin" w:eastAsia="IRNazanin" w:cs="IRNazanin"/>
          <w:lang w:bidi="fa-IR"/>
          <w:color w:val="111111"/>
          <w:sz w:val="28"/>
          <w:szCs w:val="28"/>
          <w:rtl/>
        </w:rPr>
        <w:t xml:space="preserve">الاشارات، ج13، ص 574.</w:t>
      </w:r>
    </w:p>
    <w:p>
      <w:pPr>
        <w:pStyle w:val="BookText"/>
      </w:pPr>
      <w:r>
        <w:rPr>
          <w:rFonts w:ascii="IRNazanin" w:hAnsi="IRNazanin" w:eastAsia="IRNazanin" w:cs="IRNazanin"/>
          <w:lang w:bidi="fa-IR"/>
          <w:color w:val="111111"/>
          <w:sz w:val="28"/>
          <w:szCs w:val="28"/>
          <w:rtl/>
        </w:rPr>
        <w:t xml:space="preserve">20 .معالم الشفاء، ج 14، ص 879.</w:t>
      </w:r>
    </w:p>
    <w:p>
      <w:pPr>
        <w:pStyle w:val="BookText"/>
      </w:pPr>
      <w:r>
        <w:rPr>
          <w:rFonts w:ascii="IRNazanin" w:hAnsi="IRNazanin" w:eastAsia="IRNazanin" w:cs="IRNazanin"/>
          <w:lang w:bidi="fa-IR"/>
          <w:color w:val="111111"/>
          <w:sz w:val="28"/>
          <w:szCs w:val="28"/>
          <w:rtl/>
        </w:rPr>
        <w:t xml:space="preserve">21 .المقاصد، ج15، ص 268.</w:t>
      </w:r>
    </w:p>
    <w:p>
      <w:pPr>
        <w:pStyle w:val="BookText"/>
      </w:pPr>
      <w:r>
        <w:rPr>
          <w:rFonts w:ascii="Amiri" w:hAnsi="Amiri" w:eastAsia="Amiri" w:cs="Amiri"/>
          <w:lang w:bidi="ar-SA"/>
          <w:color w:val="111111"/>
          <w:sz w:val="28"/>
          <w:szCs w:val="28"/>
          <w:rtl/>
        </w:rPr>
        <w:t xml:space="preserve">22.. مقالات في الهندسة، ج 15، ص282.</w:t>
      </w:r>
    </w:p>
    <w:p>
      <w:pPr>
        <w:pStyle w:val="Heading2"/>
      </w:pPr>
      <w:bookmarkStart w:id="4331" w:name="_Toc3433"/>
      <w:r>
        <w:t>دشتكي شيرازي ، مير صدرالدین محمّد</w:t>
      </w:r>
      <w:bookmarkEnd w:id="4331"/>
    </w:p>
    <w:p>
      <w:pPr>
        <w:pStyle w:val="BookText"/>
      </w:pPr>
      <w:r>
        <w:rPr>
          <w:rFonts w:ascii="IRNazanin" w:hAnsi="IRNazanin" w:eastAsia="IRNazanin" w:cs="IRNazanin"/>
          <w:lang w:bidi="fa-IR"/>
          <w:color w:val="111111"/>
          <w:sz w:val="28"/>
          <w:szCs w:val="28"/>
          <w:rtl/>
        </w:rPr>
        <w:t xml:space="preserve">828 - 903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الواجب و صفاته الحسنی =</w:t>
      </w:r>
    </w:p>
    <w:p>
      <w:pPr>
        <w:pStyle w:val="BookText"/>
      </w:pPr>
      <w:r>
        <w:rPr>
          <w:rFonts w:ascii="Amiri" w:hAnsi="Amiri" w:eastAsia="Amiri" w:cs="Amiri"/>
          <w:lang w:bidi="ar-SA"/>
          <w:color w:val="111111"/>
          <w:sz w:val="28"/>
          <w:szCs w:val="28"/>
          <w:rtl/>
        </w:rPr>
        <w:t xml:space="preserve">الحقائق المحمّدية، ج 1، ص 175.</w:t>
      </w:r>
    </w:p>
    <w:p>
      <w:pPr>
        <w:pStyle w:val="BookText"/>
      </w:pPr>
      <w:r>
        <w:rPr>
          <w:rFonts w:ascii="Amiri" w:hAnsi="Amiri" w:eastAsia="Amiri" w:cs="Amiri"/>
          <w:lang w:bidi="ar-SA"/>
          <w:color w:val="111111"/>
          <w:sz w:val="28"/>
          <w:szCs w:val="28"/>
          <w:rtl/>
        </w:rPr>
        <w:t xml:space="preserve">2 .حاشية الجديدة على شرح التجريد الجديد = تجريدات الغواشي، جه،</w:t>
      </w:r>
    </w:p>
    <w:p>
      <w:pPr>
        <w:pStyle w:val="BookText"/>
      </w:pPr>
      <w:r>
        <w:rPr>
          <w:rFonts w:ascii="IRNazanin" w:hAnsi="IRNazanin" w:eastAsia="IRNazanin" w:cs="IRNazanin"/>
          <w:lang w:bidi="fa-IR"/>
          <w:color w:val="111111"/>
          <w:sz w:val="28"/>
          <w:szCs w:val="28"/>
          <w:rtl/>
        </w:rPr>
        <w:t xml:space="preserve">ص 764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تحرير القواعد المنطقية في شرح الشمسية، ج 5، ص 725.</w:t>
      </w:r>
    </w:p>
    <w:p>
      <w:pPr>
        <w:pStyle w:val="BookText"/>
      </w:pPr>
      <w:r>
        <w:rPr>
          <w:rFonts w:ascii="Amiri" w:hAnsi="Amiri" w:eastAsia="Amiri" w:cs="Amiri"/>
          <w:lang w:bidi="ar-SA"/>
          <w:color w:val="111111"/>
          <w:sz w:val="28"/>
          <w:szCs w:val="28"/>
          <w:rtl/>
        </w:rPr>
        <w:t xml:space="preserve">4 .حاشية حاشية مختصر الاصول، ج5،</w:t>
      </w:r>
    </w:p>
    <w:p>
      <w:pPr>
        <w:pStyle w:val="BookText"/>
      </w:pPr>
      <w:r>
        <w:rPr>
          <w:rFonts w:ascii="IRNazanin" w:hAnsi="IRNazanin" w:eastAsia="IRNazanin" w:cs="IRNazanin"/>
          <w:lang w:bidi="fa-IR"/>
          <w:color w:val="111111"/>
          <w:sz w:val="28"/>
          <w:szCs w:val="28"/>
          <w:rtl/>
        </w:rPr>
        <w:t xml:space="preserve">ص 847.</w:t>
      </w:r>
    </w:p>
    <w:p>
      <w:pPr>
        <w:pStyle w:val="BookText"/>
      </w:pPr>
      <w:r>
        <w:rPr>
          <w:rFonts w:ascii="Amiri" w:hAnsi="Amiri" w:eastAsia="Amiri" w:cs="Amiri"/>
          <w:lang w:bidi="ar-SA"/>
          <w:color w:val="111111"/>
          <w:sz w:val="28"/>
          <w:szCs w:val="28"/>
          <w:rtl/>
        </w:rPr>
        <w:t xml:space="preserve">5.حاشية شرح التجريد الجديد، ج 6،</w:t>
      </w:r>
    </w:p>
    <w:p>
      <w:pPr>
        <w:pStyle w:val="BookText"/>
      </w:pPr>
      <w:r>
        <w:rPr>
          <w:rFonts w:ascii="IRNazanin" w:hAnsi="IRNazanin" w:eastAsia="IRNazanin" w:cs="IRNazanin"/>
          <w:lang w:bidi="fa-IR"/>
          <w:color w:val="111111"/>
          <w:sz w:val="28"/>
          <w:szCs w:val="28"/>
          <w:rtl/>
        </w:rPr>
        <w:t xml:space="preserve">ص 55</w:t>
      </w:r>
    </w:p>
    <w:p>
      <w:pPr>
        <w:pStyle w:val="BookText"/>
      </w:pPr>
      <w:r>
        <w:rPr>
          <w:rFonts w:ascii="IRNazanin" w:hAnsi="IRNazanin" w:eastAsia="IRNazanin" w:cs="IRNazanin"/>
          <w:lang w:bidi="fa-IR"/>
          <w:color w:val="111111"/>
          <w:sz w:val="28"/>
          <w:szCs w:val="28"/>
          <w:rtl/>
        </w:rPr>
        <w:t xml:space="preserve">6 .مناظرات، ج 15 ، ص 511</w:t>
      </w:r>
    </w:p>
    <w:p>
      <w:pPr>
        <w:pStyle w:val="Heading2"/>
      </w:pPr>
      <w:bookmarkStart w:id="4332" w:name="_Toc3434"/>
      <w:r>
        <w:t>دشتي ، محمود بن ابي القاسم ، قرن 7 ه-</w:t>
      </w:r>
      <w:bookmarkEnd w:id="4332"/>
    </w:p>
    <w:p>
      <w:pPr>
        <w:pStyle w:val="BookText"/>
      </w:pPr>
      <w:r>
        <w:rPr>
          <w:rFonts w:ascii="IRNazanin" w:hAnsi="IRNazanin" w:eastAsia="IRNazanin" w:cs="IRNazanin"/>
          <w:lang w:bidi="fa-IR"/>
          <w:color w:val="111111"/>
          <w:sz w:val="28"/>
          <w:szCs w:val="28"/>
          <w:rtl/>
        </w:rPr>
        <w:t xml:space="preserve">اثبات الحد الله عز و جل و بأنه قاعد</w:t>
      </w:r>
    </w:p>
    <w:p>
      <w:pPr>
        <w:pStyle w:val="BookText"/>
      </w:pPr>
      <w:r>
        <w:rPr>
          <w:rFonts w:ascii="IRNazanin" w:hAnsi="IRNazanin" w:eastAsia="IRNazanin" w:cs="IRNazanin"/>
          <w:lang w:bidi="fa-IR"/>
          <w:color w:val="111111"/>
          <w:sz w:val="28"/>
          <w:szCs w:val="28"/>
          <w:rtl/>
        </w:rPr>
        <w:t xml:space="preserve">أو جالس على عرشه، ج 1، ص 149 .</w:t>
      </w:r>
    </w:p>
    <w:p>
      <w:pPr>
        <w:pStyle w:val="BookText"/>
      </w:pPr>
      <w:r>
        <w:rPr>
          <w:rFonts w:ascii="Amiri" w:hAnsi="Amiri" w:eastAsia="Amiri" w:cs="Amiri"/>
          <w:lang w:bidi="ar-SA"/>
          <w:color w:val="111111"/>
          <w:sz w:val="28"/>
          <w:szCs w:val="28"/>
          <w:rtl/>
        </w:rPr>
        <w:t xml:space="preserve">دشتي هروي، ابو البركات - جامي ، عبد الرحمن بن احمد</w:t>
      </w:r>
    </w:p>
    <w:p>
      <w:pPr>
        <w:pStyle w:val="Heading2"/>
      </w:pPr>
      <w:bookmarkStart w:id="4333" w:name="_Toc3435"/>
      <w:r>
        <w:t>دعبل خزاعي، 148 - 246 ه-</w:t>
      </w:r>
      <w:bookmarkEnd w:id="4333"/>
    </w:p>
    <w:p>
      <w:pPr>
        <w:pStyle w:val="BookText"/>
      </w:pPr>
      <w:r>
        <w:rPr>
          <w:rFonts w:ascii="Amiri" w:hAnsi="Amiri" w:eastAsia="Amiri" w:cs="Amiri"/>
          <w:lang w:bidi="ar-SA"/>
          <w:color w:val="111111"/>
          <w:sz w:val="28"/>
          <w:szCs w:val="28"/>
          <w:rtl/>
        </w:rPr>
        <w:t xml:space="preserve">1 .ديوان دعبل الخزاعي، ج7،</w:t>
      </w:r>
    </w:p>
    <w:p>
      <w:pPr>
        <w:pStyle w:val="BookText"/>
      </w:pPr>
      <w:r>
        <w:rPr>
          <w:rFonts w:ascii="IRNazanin" w:hAnsi="IRNazanin" w:eastAsia="IRNazanin" w:cs="IRNazanin"/>
          <w:lang w:bidi="fa-IR"/>
          <w:color w:val="111111"/>
          <w:sz w:val="28"/>
          <w:szCs w:val="28"/>
          <w:rtl/>
        </w:rPr>
        <w:t xml:space="preserve">ص 641 .</w:t>
      </w:r>
    </w:p>
    <w:p>
      <w:pPr>
        <w:pStyle w:val="BookText"/>
      </w:pPr>
      <w:r>
        <w:rPr>
          <w:rFonts w:ascii="Amiri" w:hAnsi="Amiri" w:eastAsia="Amiri" w:cs="Amiri"/>
          <w:lang w:bidi="ar-SA"/>
          <w:color w:val="111111"/>
          <w:sz w:val="28"/>
          <w:szCs w:val="28"/>
          <w:rtl/>
        </w:rPr>
        <w:t xml:space="preserve">2 .القصيدة التائية - قصيدة دعبل</w:t>
      </w:r>
    </w:p>
    <w:p>
      <w:pPr>
        <w:pStyle w:val="BookText"/>
      </w:pPr>
      <w:r>
        <w:rPr>
          <w:rFonts w:ascii="Amiri" w:hAnsi="Amiri" w:eastAsia="Amiri" w:cs="Amiri"/>
          <w:lang w:bidi="ar-SA"/>
          <w:color w:val="111111"/>
          <w:sz w:val="28"/>
          <w:szCs w:val="28"/>
          <w:rtl/>
        </w:rPr>
        <w:t xml:space="preserve">خزاعي، ج 12، ص 657.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وصايا الملوك و أبناء الملوك من ولد</w:t>
      </w:r>
    </w:p>
    <w:p>
      <w:pPr>
        <w:pStyle w:val="BookText"/>
      </w:pPr>
      <w:r>
        <w:rPr>
          <w:rFonts w:ascii="IRNazanin" w:hAnsi="IRNazanin" w:eastAsia="IRNazanin" w:cs="IRNazanin"/>
          <w:lang w:bidi="fa-IR"/>
          <w:color w:val="111111"/>
          <w:sz w:val="28"/>
          <w:szCs w:val="28"/>
          <w:rtl/>
        </w:rPr>
        <w:t xml:space="preserve">قحطان بن هود، ج 16، ص 800.</w:t>
      </w:r>
    </w:p>
    <w:p>
      <w:pPr>
        <w:pStyle w:val="Heading2"/>
      </w:pPr>
      <w:bookmarkStart w:id="4334" w:name="_Toc3436"/>
      <w:r>
        <w:t>دعبيل ، عمران بن احمد .</w:t>
      </w:r>
      <w:bookmarkEnd w:id="4334"/>
    </w:p>
    <w:p>
      <w:pPr>
        <w:pStyle w:val="BookText"/>
      </w:pPr>
      <w:r>
        <w:rPr>
          <w:rFonts w:ascii="Amiri" w:hAnsi="Amiri" w:eastAsia="Amiri" w:cs="Amiri"/>
          <w:lang w:bidi="ar-SA"/>
          <w:color w:val="111111"/>
          <w:sz w:val="28"/>
          <w:szCs w:val="28"/>
          <w:rtl/>
        </w:rPr>
        <w:t xml:space="preserve">1 الامامة، ج 2، ص 734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الفرائض، ج 11، ص 753.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الحق في معرفة الخالق</w:t>
      </w:r>
    </w:p>
    <w:p>
      <w:pPr>
        <w:pStyle w:val="BookText"/>
      </w:pPr>
      <w:r>
        <w:rPr>
          <w:rFonts w:ascii="IRNazanin" w:hAnsi="IRNazanin" w:eastAsia="IRNazanin" w:cs="IRNazanin"/>
          <w:lang w:bidi="fa-IR"/>
          <w:color w:val="111111"/>
          <w:sz w:val="28"/>
          <w:szCs w:val="28"/>
          <w:rtl/>
        </w:rPr>
        <w:t xml:space="preserve">ج 13، ص 207.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6" w:name="pg7742_70367"/>
    <w:bookmarkEnd w:id="486"/>
    <w:p>
      <w:pPr>
        <w:pStyle w:val="BookText"/>
      </w:pPr>
      <w:r>
        <w:rPr>
          <w:rFonts w:ascii="Amiri" w:hAnsi="Amiri" w:eastAsia="Amiri" w:cs="Amiri"/>
          <w:lang w:bidi="ar-SA"/>
          <w:color w:val="111111"/>
          <w:sz w:val="28"/>
          <w:szCs w:val="28"/>
          <w:rtl/>
        </w:rPr>
        <w:t xml:space="preserve">دعسين ، عبدالملك بن عبد السلام- ابن</w:t>
      </w:r>
    </w:p>
    <w:p>
      <w:pPr>
        <w:pStyle w:val="BookText"/>
      </w:pPr>
      <w:r>
        <w:rPr>
          <w:rFonts w:ascii="Amiri" w:hAnsi="Amiri" w:eastAsia="Amiri" w:cs="Amiri"/>
          <w:lang w:bidi="ar-SA"/>
          <w:color w:val="111111"/>
          <w:sz w:val="28"/>
          <w:szCs w:val="28"/>
          <w:rtl/>
        </w:rPr>
        <w:t xml:space="preserve">دعسين ، عبدالملك بن عبد السلام</w:t>
      </w:r>
    </w:p>
    <w:p>
      <w:pPr>
        <w:pStyle w:val="BookText"/>
      </w:pPr>
      <w:r>
        <w:rPr>
          <w:rFonts w:ascii="Amiri" w:hAnsi="Amiri" w:eastAsia="Amiri" w:cs="Amiri"/>
          <w:lang w:bidi="ar-SA"/>
          <w:color w:val="111111"/>
          <w:sz w:val="28"/>
          <w:szCs w:val="28"/>
          <w:rtl/>
        </w:rPr>
        <w:t xml:space="preserve">دفتري ، عثمان بن علي- عمري ، عثمان</w:t>
      </w:r>
    </w:p>
    <w:p>
      <w:pPr>
        <w:pStyle w:val="BookText"/>
      </w:pPr>
      <w:r>
        <w:rPr>
          <w:rFonts w:ascii="Amiri" w:hAnsi="Amiri" w:eastAsia="Amiri" w:cs="Amiri"/>
          <w:lang w:bidi="ar-SA"/>
          <w:color w:val="111111"/>
          <w:sz w:val="28"/>
          <w:szCs w:val="28"/>
          <w:rtl/>
        </w:rPr>
        <w:t xml:space="preserve">بن علي</w:t>
      </w:r>
    </w:p>
    <w:p>
      <w:pPr>
        <w:pStyle w:val="BookText"/>
      </w:pPr>
      <w:r>
        <w:rPr>
          <w:rFonts w:ascii="IRNazanin" w:hAnsi="IRNazanin" w:eastAsia="IRNazanin" w:cs="IRNazanin"/>
          <w:lang w:bidi="fa-IR"/>
          <w:color w:val="111111"/>
          <w:sz w:val="28"/>
          <w:szCs w:val="28"/>
          <w:rtl/>
        </w:rPr>
        <w:t xml:space="preserve">ص 589</w:t>
      </w:r>
    </w:p>
    <w:p>
      <w:pPr>
        <w:pStyle w:val="BookText"/>
      </w:pPr>
      <w:r>
        <w:rPr>
          <w:rFonts w:ascii="Amiri" w:hAnsi="Amiri" w:eastAsia="Amiri" w:cs="Amiri"/>
          <w:lang w:bidi="ar-SA"/>
          <w:color w:val="111111"/>
          <w:sz w:val="28"/>
          <w:szCs w:val="28"/>
          <w:rtl/>
        </w:rPr>
        <w:t xml:space="preserve">دفري ، عمر بن عمر -زهري ، عمر بن عمر</w:t>
      </w:r>
    </w:p>
    <w:p>
      <w:pPr>
        <w:pStyle w:val="Heading2"/>
      </w:pPr>
      <w:bookmarkStart w:id="4335" w:name="_Toc3437"/>
      <w:r>
        <w:t>دكتور طلوزان، 1820 - 1898 ه</w:t>
      </w:r>
      <w:bookmarkEnd w:id="4335"/>
    </w:p>
    <w:p>
      <w:pPr>
        <w:pStyle w:val="BookText"/>
      </w:pPr>
      <w:r>
        <w:rPr>
          <w:rFonts w:ascii="IRNazanin" w:hAnsi="IRNazanin" w:eastAsia="IRNazanin" w:cs="IRNazanin"/>
          <w:lang w:bidi="fa-IR"/>
          <w:color w:val="111111"/>
          <w:sz w:val="28"/>
          <w:szCs w:val="28"/>
          <w:rtl/>
        </w:rPr>
        <w:t xml:space="preserve">دوارش دم = تشریح قلب و اعصاب</w:t>
      </w:r>
    </w:p>
    <w:p>
      <w:pPr>
        <w:pStyle w:val="BookText"/>
      </w:pPr>
      <w:r>
        <w:rPr>
          <w:rFonts w:ascii="IRNazanin" w:hAnsi="IRNazanin" w:eastAsia="IRNazanin" w:cs="IRNazanin"/>
          <w:lang w:bidi="fa-IR"/>
          <w:color w:val="111111"/>
          <w:sz w:val="28"/>
          <w:szCs w:val="28"/>
          <w:rtl/>
        </w:rPr>
        <w:t xml:space="preserve">ج 7، ص 484 .</w:t>
      </w:r>
    </w:p>
    <w:p>
      <w:pPr>
        <w:pStyle w:val="Heading2"/>
      </w:pPr>
      <w:bookmarkStart w:id="4336" w:name="_Toc3438"/>
      <w:r>
        <w:t>دكتور مظفر، - 1921م</w:t>
      </w:r>
      <w:bookmarkEnd w:id="4336"/>
    </w:p>
    <w:p>
      <w:pPr>
        <w:pStyle w:val="BookText"/>
      </w:pPr>
      <w:r>
        <w:rPr>
          <w:rFonts w:ascii="Amiri" w:hAnsi="Amiri" w:eastAsia="Amiri" w:cs="Amiri"/>
          <w:lang w:bidi="ar-SA"/>
          <w:color w:val="111111"/>
          <w:sz w:val="28"/>
          <w:szCs w:val="28"/>
          <w:rtl/>
        </w:rPr>
        <w:t xml:space="preserve">الطب (كتاب في)، ج 10، ص 744.</w:t>
      </w:r>
    </w:p>
    <w:p>
      <w:pPr>
        <w:pStyle w:val="Heading2"/>
      </w:pPr>
      <w:bookmarkStart w:id="4337" w:name="_Toc3439"/>
      <w:r>
        <w:t>دكتور موبو</w:t>
      </w:r>
      <w:bookmarkEnd w:id="4337"/>
    </w:p>
    <w:p>
      <w:pPr>
        <w:pStyle w:val="BookText"/>
      </w:pPr>
      <w:r>
        <w:rPr>
          <w:rFonts w:ascii="Amiri" w:hAnsi="Amiri" w:eastAsia="Amiri" w:cs="Amiri"/>
          <w:lang w:bidi="ar-SA"/>
          <w:color w:val="111111"/>
          <w:sz w:val="28"/>
          <w:szCs w:val="28"/>
          <w:rtl/>
        </w:rPr>
        <w:t xml:space="preserve">طبيب العائلة، ج 10، ص799.</w:t>
      </w:r>
    </w:p>
    <w:p>
      <w:pPr>
        <w:pStyle w:val="BookText"/>
      </w:pPr>
      <w:r>
        <w:rPr>
          <w:rFonts w:ascii="Amiri" w:hAnsi="Amiri" w:eastAsia="Amiri" w:cs="Amiri"/>
          <w:lang w:bidi="ar-SA"/>
          <w:color w:val="111111"/>
          <w:sz w:val="28"/>
          <w:szCs w:val="28"/>
          <w:rtl/>
        </w:rPr>
        <w:t xml:space="preserve">دكني حسيني ، طاهر بن رضي</w:t>
      </w:r>
    </w:p>
    <w:p>
      <w:pPr>
        <w:pStyle w:val="BookText"/>
      </w:pPr>
      <w:r>
        <w:rPr>
          <w:rFonts w:ascii="Amiri" w:hAnsi="Amiri" w:eastAsia="Amiri" w:cs="Amiri"/>
          <w:lang w:bidi="ar-SA"/>
          <w:color w:val="111111"/>
          <w:sz w:val="28"/>
          <w:szCs w:val="28"/>
          <w:rtl/>
        </w:rPr>
        <w:t xml:space="preserve">الدين -حسيني كاشاني ، طاهر بن رضي الدين</w:t>
      </w:r>
    </w:p>
    <w:p>
      <w:pPr>
        <w:pStyle w:val="Heading2"/>
      </w:pPr>
      <w:bookmarkStart w:id="4338" w:name="_Toc3440"/>
      <w:r>
        <w:t>دقيقي ، سليمان بن بنين - 613 ه-</w:t>
      </w:r>
      <w:bookmarkEnd w:id="4338"/>
    </w:p>
    <w:p>
      <w:pPr>
        <w:pStyle w:val="BookText"/>
      </w:pPr>
      <w:r>
        <w:rPr>
          <w:rFonts w:ascii="Amiri" w:hAnsi="Amiri" w:eastAsia="Amiri" w:cs="Amiri"/>
          <w:lang w:bidi="ar-SA"/>
          <w:color w:val="111111"/>
          <w:sz w:val="28"/>
          <w:szCs w:val="28"/>
          <w:rtl/>
        </w:rPr>
        <w:t xml:space="preserve">اتفاق المعاني و اختلاف المباني، ج 1،</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Amiri" w:hAnsi="Amiri" w:eastAsia="Amiri" w:cs="Amiri"/>
          <w:lang w:bidi="ar-SA"/>
          <w:color w:val="111111"/>
          <w:sz w:val="28"/>
          <w:szCs w:val="28"/>
          <w:rtl/>
        </w:rPr>
        <w:t xml:space="preserve">دكالي ، محمّد بن علي- ابن نقاش ، محمّد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دكني ، طاهر- شاه طاهر انجداني دكني</w:t>
      </w:r>
    </w:p>
    <w:p>
      <w:pPr>
        <w:pStyle w:val="Heading2"/>
      </w:pPr>
      <w:bookmarkStart w:id="4339" w:name="_Toc3441"/>
      <w:r>
        <w:t>دل آهيا، حسين</w:t>
      </w:r>
      <w:bookmarkEnd w:id="4339"/>
    </w:p>
    <w:p>
      <w:pPr>
        <w:pStyle w:val="BookText"/>
      </w:pPr>
      <w:r>
        <w:rPr>
          <w:rFonts w:ascii="Amiri" w:hAnsi="Amiri" w:eastAsia="Amiri" w:cs="Amiri"/>
          <w:lang w:bidi="ar-SA"/>
          <w:color w:val="111111"/>
          <w:sz w:val="28"/>
          <w:szCs w:val="28"/>
          <w:rtl/>
        </w:rPr>
        <w:t xml:space="preserve">الأدب الفارسي (كتاب في)، ج1،</w:t>
      </w:r>
    </w:p>
    <w:p>
      <w:pPr>
        <w:pStyle w:val="BookText"/>
      </w:pPr>
      <w:r>
        <w:rPr>
          <w:rFonts w:ascii="Amiri" w:hAnsi="Amiri" w:eastAsia="Amiri" w:cs="Amiri"/>
          <w:lang w:bidi="ar-SA"/>
          <w:color w:val="111111"/>
          <w:sz w:val="28"/>
          <w:szCs w:val="28"/>
          <w:rtl/>
        </w:rPr>
        <w:t xml:space="preserve">دلال الكتب ، سعد بن علي -انصاري</w:t>
      </w:r>
    </w:p>
    <w:p>
      <w:pPr>
        <w:pStyle w:val="BookText"/>
      </w:pPr>
      <w:r>
        <w:rPr>
          <w:rFonts w:ascii="Amiri" w:hAnsi="Amiri" w:eastAsia="Amiri" w:cs="Amiri"/>
          <w:lang w:bidi="ar-SA"/>
          <w:color w:val="111111"/>
          <w:sz w:val="28"/>
          <w:szCs w:val="28"/>
          <w:rtl/>
        </w:rPr>
        <w:t xml:space="preserve">خزرجي ، سعد بن علي</w:t>
      </w:r>
    </w:p>
    <w:p>
      <w:pPr>
        <w:pStyle w:val="Heading2"/>
      </w:pPr>
      <w:bookmarkStart w:id="4340" w:name="_Toc3442"/>
      <w:r>
        <w:t>دلجی، محمد بن محمّد، 860 - 947 ه-</w:t>
      </w:r>
      <w:bookmarkEnd w:id="4340"/>
    </w:p>
    <w:p>
      <w:pPr>
        <w:pStyle w:val="BookText"/>
      </w:pPr>
      <w:r>
        <w:rPr>
          <w:rFonts w:ascii="Amiri" w:hAnsi="Amiri" w:eastAsia="Amiri" w:cs="Amiri"/>
          <w:lang w:bidi="ar-SA"/>
          <w:color w:val="111111"/>
          <w:sz w:val="28"/>
          <w:szCs w:val="28"/>
          <w:rtl/>
        </w:rPr>
        <w:t xml:space="preserve">1 .رفع حاجب العيون الغامزة عن</w:t>
      </w:r>
    </w:p>
    <w:p>
      <w:pPr>
        <w:pStyle w:val="BookText"/>
      </w:pPr>
      <w:r>
        <w:rPr>
          <w:rFonts w:ascii="Amiri" w:hAnsi="Amiri" w:eastAsia="Amiri" w:cs="Amiri"/>
          <w:lang w:bidi="ar-SA"/>
          <w:color w:val="111111"/>
          <w:sz w:val="28"/>
          <w:szCs w:val="28"/>
          <w:rtl/>
        </w:rPr>
        <w:t xml:space="preserve">كنوز الرامزة = شرح الخزرجية</w:t>
      </w:r>
    </w:p>
    <w:p>
      <w:pPr>
        <w:pStyle w:val="BookText"/>
      </w:pPr>
      <w:r>
        <w:rPr>
          <w:rFonts w:ascii="IRNazanin" w:hAnsi="IRNazanin" w:eastAsia="IRNazanin" w:cs="IRNazanin"/>
          <w:lang w:bidi="fa-IR"/>
          <w:color w:val="111111"/>
          <w:sz w:val="28"/>
          <w:szCs w:val="28"/>
          <w:rtl/>
        </w:rPr>
        <w:t xml:space="preserve">ج 8، ص338.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الاربعين النووية، ج9، ص175.</w:t>
      </w:r>
    </w:p>
    <w:p>
      <w:pPr>
        <w:pStyle w:val="BookText"/>
      </w:pPr>
      <w:r>
        <w:rPr>
          <w:rFonts w:ascii="Amiri" w:hAnsi="Amiri" w:eastAsia="Amiri" w:cs="Amiri"/>
          <w:lang w:bidi="ar-SA"/>
          <w:color w:val="111111"/>
          <w:sz w:val="28"/>
          <w:szCs w:val="28"/>
          <w:rtl/>
        </w:rPr>
        <w:t xml:space="preserve">3 .شرح الشفاء بتعريف حقوق</w:t>
      </w:r>
    </w:p>
    <w:p>
      <w:pPr>
        <w:pStyle w:val="BookText"/>
      </w:pPr>
      <w:r>
        <w:rPr>
          <w:rFonts w:ascii="Amiri" w:hAnsi="Amiri" w:eastAsia="Amiri" w:cs="Amiri"/>
          <w:lang w:bidi="ar-SA"/>
          <w:color w:val="111111"/>
          <w:sz w:val="28"/>
          <w:szCs w:val="28"/>
          <w:rtl/>
        </w:rPr>
        <w:t xml:space="preserve">المصطفى - الاصطفاء لبيان معاني</w:t>
      </w:r>
    </w:p>
    <w:p>
      <w:pPr>
        <w:pStyle w:val="BookText"/>
      </w:pPr>
      <w:r>
        <w:rPr>
          <w:rFonts w:ascii="IRNazanin" w:hAnsi="IRNazanin" w:eastAsia="IRNazanin" w:cs="IRNazanin"/>
          <w:lang w:bidi="fa-IR"/>
          <w:color w:val="111111"/>
          <w:sz w:val="28"/>
          <w:szCs w:val="28"/>
          <w:rtl/>
        </w:rPr>
        <w:t xml:space="preserve">الشفاء، ج 9، ص 637.</w:t>
      </w:r>
    </w:p>
    <w:p>
      <w:pPr>
        <w:pStyle w:val="BookText"/>
      </w:pPr>
      <w:r>
        <w:rPr>
          <w:rFonts w:ascii="Amiri" w:hAnsi="Amiri" w:eastAsia="Amiri" w:cs="Amiri"/>
          <w:lang w:bidi="ar-SA"/>
          <w:color w:val="111111"/>
          <w:sz w:val="28"/>
          <w:szCs w:val="28"/>
          <w:rtl/>
        </w:rPr>
        <w:t xml:space="preserve">دلدار علي بن محمّد معين نقوي نصيرآبادي -نقوي نصير آبادي ، دلدار علي بن محمّد معين</w:t>
      </w:r>
    </w:p>
    <w:p>
      <w:pPr>
        <w:pStyle w:val="BookText"/>
      </w:pPr>
      <w:r>
        <w:rPr>
          <w:rFonts w:ascii="Amiri" w:hAnsi="Amiri" w:eastAsia="Amiri" w:cs="Amiri"/>
          <w:lang w:bidi="ar-SA"/>
          <w:color w:val="111111"/>
          <w:sz w:val="28"/>
          <w:szCs w:val="28"/>
          <w:rtl/>
        </w:rPr>
        <w:t xml:space="preserve">دلف بن جحدر الشبلي -شبلي ، جعفر بن</w:t>
      </w:r>
    </w:p>
    <w:p>
      <w:pPr>
        <w:pStyle w:val="BookText"/>
      </w:pPr>
      <w:r>
        <w:rPr>
          <w:rFonts w:ascii="Amiri" w:hAnsi="Amiri" w:eastAsia="Amiri" w:cs="Amiri"/>
          <w:lang w:bidi="ar-SA"/>
          <w:color w:val="111111"/>
          <w:sz w:val="28"/>
          <w:szCs w:val="28"/>
          <w:rtl/>
        </w:rPr>
        <w:t xml:space="preserve">يونس</w:t>
      </w:r>
    </w:p>
    <w:p>
      <w:pPr>
        <w:pStyle w:val="BookText"/>
      </w:pPr>
      <w:r>
        <w:rPr>
          <w:rFonts w:ascii="IRNazanin" w:hAnsi="IRNazanin" w:eastAsia="IRNazanin" w:cs="IRNazanin"/>
          <w:lang w:bidi="fa-IR"/>
          <w:color w:val="111111"/>
          <w:sz w:val="28"/>
          <w:szCs w:val="28"/>
          <w:rtl/>
        </w:rPr>
        <w:t xml:space="preserve">دلکر زاده ، مصطفى بن علي- نجار زاده</w:t>
      </w:r>
    </w:p>
    <w:p>
      <w:pPr>
        <w:pStyle w:val="BookText"/>
      </w:pPr>
      <w:r>
        <w:rPr>
          <w:rFonts w:ascii="Amiri" w:hAnsi="Amiri" w:eastAsia="Amiri" w:cs="Amiri"/>
          <w:lang w:bidi="ar-SA"/>
          <w:color w:val="111111"/>
          <w:sz w:val="28"/>
          <w:szCs w:val="28"/>
          <w:rtl/>
        </w:rPr>
        <w:t xml:space="preserve">مصطفى بن علي</w:t>
      </w:r>
    </w:p>
    <w:p>
      <w:pPr>
        <w:pStyle w:val="Heading2"/>
      </w:pPr>
      <w:bookmarkStart w:id="4341" w:name="_Toc3443"/>
      <w:r>
        <w:t>دلكزنلي ، حسن بن اسماعيل</w:t>
      </w:r>
      <w:bookmarkEnd w:id="4341"/>
    </w:p>
    <w:p>
      <w:pPr>
        <w:pStyle w:val="BookText"/>
      </w:pPr>
      <w:r>
        <w:rPr>
          <w:rFonts w:ascii="Amiri" w:hAnsi="Amiri" w:eastAsia="Amiri" w:cs="Amiri"/>
          <w:lang w:bidi="ar-SA"/>
          <w:color w:val="111111"/>
          <w:sz w:val="28"/>
          <w:szCs w:val="28"/>
          <w:rtl/>
        </w:rPr>
        <w:t xml:space="preserve">تفصيل الاضاحي، ج 4، ص 698.</w:t>
      </w:r>
    </w:p>
    <w:p>
      <w:pPr>
        <w:pStyle w:val="BookText"/>
      </w:pPr>
      <w:r>
        <w:rPr>
          <w:rFonts w:ascii="Amiri" w:hAnsi="Amiri" w:eastAsia="Amiri" w:cs="Amiri"/>
          <w:lang w:bidi="ar-SA"/>
          <w:color w:val="111111"/>
          <w:sz w:val="28"/>
          <w:szCs w:val="28"/>
          <w:rtl/>
        </w:rPr>
        <w:t xml:space="preserve">دليمي ، عبد المحسن بن محمّد مبارك - لويمي ، عبدالمحسن بن محمّد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7" w:name="pg7742_70369"/>
    <w:bookmarkEnd w:id="487"/>
    <w:p>
      <w:pPr>
        <w:pStyle w:val="BookText"/>
      </w:pPr>
      <w:r>
        <w:rPr>
          <w:rFonts w:ascii="Amiri" w:hAnsi="Amiri" w:eastAsia="Amiri" w:cs="Amiri"/>
          <w:lang w:bidi="ar-SA"/>
          <w:color w:val="111111"/>
          <w:sz w:val="28"/>
          <w:szCs w:val="28"/>
          <w:rtl/>
        </w:rPr>
        <w:t xml:space="preserve">دماميني ، محمّد بن ابي بكر- ابن</w:t>
      </w:r>
    </w:p>
    <w:p>
      <w:pPr>
        <w:pStyle w:val="BookText"/>
      </w:pPr>
      <w:r>
        <w:rPr>
          <w:rFonts w:ascii="Amiri" w:hAnsi="Amiri" w:eastAsia="Amiri" w:cs="Amiri"/>
          <w:lang w:bidi="ar-SA"/>
          <w:color w:val="111111"/>
          <w:sz w:val="28"/>
          <w:szCs w:val="28"/>
          <w:rtl/>
        </w:rPr>
        <w:t xml:space="preserve">دماميني ، محمّد بن ابي بكر</w:t>
      </w:r>
    </w:p>
    <w:p>
      <w:pPr>
        <w:pStyle w:val="BookText"/>
      </w:pPr>
      <w:r>
        <w:rPr>
          <w:rFonts w:ascii="Amiri" w:hAnsi="Amiri" w:eastAsia="Amiri" w:cs="Amiri"/>
          <w:lang w:bidi="ar-SA"/>
          <w:color w:val="111111"/>
          <w:sz w:val="28"/>
          <w:szCs w:val="28"/>
          <w:rtl/>
        </w:rPr>
        <w:t xml:space="preserve">دماميني احمد بن عبد الرضي - بصري ،</w:t>
      </w:r>
    </w:p>
    <w:p>
      <w:pPr>
        <w:pStyle w:val="BookText"/>
      </w:pPr>
      <w:r>
        <w:rPr>
          <w:rFonts w:ascii="IRNazanin" w:hAnsi="IRNazanin" w:eastAsia="IRNazanin" w:cs="IRNazanin"/>
          <w:lang w:bidi="fa-IR"/>
          <w:color w:val="111111"/>
          <w:sz w:val="28"/>
          <w:szCs w:val="28"/>
          <w:rtl/>
        </w:rPr>
        <w:t xml:space="preserve">احمد بن عبدالرضا</w:t>
      </w:r>
    </w:p>
    <w:p>
      <w:pPr>
        <w:pStyle w:val="BookText"/>
      </w:pPr>
      <w:r>
        <w:rPr>
          <w:rFonts w:ascii="Amiri" w:hAnsi="Amiri" w:eastAsia="Amiri" w:cs="Amiri"/>
          <w:lang w:bidi="ar-SA"/>
          <w:color w:val="111111"/>
          <w:sz w:val="28"/>
          <w:szCs w:val="28"/>
          <w:rtl/>
        </w:rPr>
        <w:t xml:space="preserve">دمراجي ، قاسم بن حسين -غزنوي ، قاسم</w:t>
      </w:r>
    </w:p>
    <w:p>
      <w:pPr>
        <w:pStyle w:val="BookText"/>
      </w:pPr>
      <w:r>
        <w:rPr>
          <w:rFonts w:ascii="Amiri" w:hAnsi="Amiri" w:eastAsia="Amiri" w:cs="Amiri"/>
          <w:lang w:bidi="ar-SA"/>
          <w:color w:val="111111"/>
          <w:sz w:val="28"/>
          <w:szCs w:val="28"/>
          <w:rtl/>
        </w:rPr>
        <w:t xml:space="preserve">بن حسين</w:t>
      </w:r>
    </w:p>
    <w:p>
      <w:pPr>
        <w:pStyle w:val="Heading2"/>
      </w:pPr>
      <w:bookmarkStart w:id="4342" w:name="_Toc3444"/>
      <w:r>
        <w:t>دمستاني ، حسن بن محمّد - 1191 ه-</w:t>
      </w:r>
      <w:bookmarkEnd w:id="4342"/>
    </w:p>
    <w:p>
      <w:pPr>
        <w:pStyle w:val="BookText"/>
      </w:pPr>
      <w:r>
        <w:rPr>
          <w:rFonts w:ascii="IRNazanin" w:hAnsi="IRNazanin" w:eastAsia="IRNazanin" w:cs="IRNazanin"/>
          <w:lang w:bidi="fa-IR"/>
          <w:color w:val="111111"/>
          <w:sz w:val="28"/>
          <w:szCs w:val="28"/>
          <w:rtl/>
        </w:rPr>
        <w:t xml:space="preserve">1 .الاسفار والاوراد، ج 2، ص 204.</w:t>
      </w:r>
    </w:p>
    <w:p>
      <w:pPr>
        <w:pStyle w:val="BookText"/>
      </w:pPr>
      <w:r>
        <w:rPr>
          <w:rFonts w:ascii="Amiri" w:hAnsi="Amiri" w:eastAsia="Amiri" w:cs="Amiri"/>
          <w:lang w:bidi="ar-SA"/>
          <w:color w:val="111111"/>
          <w:sz w:val="28"/>
          <w:szCs w:val="28"/>
          <w:rtl/>
        </w:rPr>
        <w:t xml:space="preserve">2 .انتخاب الجيد من تنبيهات السيد</w:t>
      </w:r>
    </w:p>
    <w:p>
      <w:pPr>
        <w:pStyle w:val="BookText"/>
      </w:pPr>
      <w:r>
        <w:rPr>
          <w:rFonts w:ascii="IRNazanin" w:hAnsi="IRNazanin" w:eastAsia="IRNazanin" w:cs="IRNazanin"/>
          <w:lang w:bidi="fa-IR"/>
          <w:color w:val="111111"/>
          <w:sz w:val="28"/>
          <w:szCs w:val="28"/>
          <w:rtl/>
        </w:rPr>
        <w:t xml:space="preserve">ج 2، ص 783.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اوراد الابرار في مأتم الكرار، ج3،</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Amiri" w:hAnsi="Amiri" w:eastAsia="Amiri" w:cs="Amiri"/>
          <w:lang w:bidi="ar-SA"/>
          <w:color w:val="111111"/>
          <w:sz w:val="28"/>
          <w:szCs w:val="28"/>
          <w:rtl/>
        </w:rPr>
        <w:t xml:space="preserve">4 .التحفة = ارجوزة في اصول الدين =</w:t>
      </w:r>
    </w:p>
    <w:p>
      <w:pPr>
        <w:pStyle w:val="BookText"/>
      </w:pPr>
      <w:r>
        <w:rPr>
          <w:rFonts w:ascii="Amiri" w:hAnsi="Amiri" w:eastAsia="Amiri" w:cs="Amiri"/>
          <w:lang w:bidi="ar-SA"/>
          <w:color w:val="111111"/>
          <w:sz w:val="28"/>
          <w:szCs w:val="28"/>
          <w:rtl/>
        </w:rPr>
        <w:t xml:space="preserve">التحفة الباحث = ارجوزة كلامية</w:t>
      </w:r>
    </w:p>
    <w:p>
      <w:pPr>
        <w:pStyle w:val="BookText"/>
      </w:pPr>
      <w:r>
        <w:rPr>
          <w:rFonts w:ascii="IRNazanin" w:hAnsi="IRNazanin" w:eastAsia="IRNazanin" w:cs="IRNazanin"/>
          <w:lang w:bidi="fa-IR"/>
          <w:color w:val="111111"/>
          <w:sz w:val="28"/>
          <w:szCs w:val="28"/>
          <w:rtl/>
        </w:rPr>
        <w:t xml:space="preserve">ج 3، ص 769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ديوان الدمستاني، ج 7، ص 641.</w:t>
      </w:r>
    </w:p>
    <w:p>
      <w:pPr>
        <w:pStyle w:val="BookText"/>
      </w:pPr>
      <w:r>
        <w:rPr>
          <w:rFonts w:ascii="Amiri" w:hAnsi="Amiri" w:eastAsia="Amiri" w:cs="Amiri"/>
          <w:lang w:bidi="ar-SA"/>
          <w:color w:val="111111"/>
          <w:sz w:val="28"/>
          <w:szCs w:val="28"/>
          <w:rtl/>
        </w:rPr>
        <w:t xml:space="preserve">6 .الزكاة، ج8، ص 602 .</w:t>
      </w:r>
    </w:p>
    <w:p>
      <w:pPr>
        <w:pStyle w:val="BookText"/>
      </w:pPr>
      <w:r>
        <w:rPr>
          <w:rFonts w:ascii="Amiri" w:hAnsi="Amiri" w:eastAsia="Amiri" w:cs="Amiri"/>
          <w:lang w:bidi="ar-SA"/>
          <w:color w:val="111111"/>
          <w:sz w:val="28"/>
          <w:szCs w:val="28"/>
          <w:rtl/>
        </w:rPr>
        <w:t xml:space="preserve">دمشقي ، احمد بن حسين -كيواني ، احمد بن حسين</w:t>
      </w:r>
    </w:p>
    <w:p>
      <w:pPr>
        <w:pStyle w:val="Heading2"/>
      </w:pPr>
      <w:bookmarkStart w:id="4343" w:name="_Toc3445"/>
      <w:r>
        <w:t>دمشقي، ارسلان بن يعقوب - 699 ه-</w:t>
      </w:r>
      <w:bookmarkEnd w:id="4343"/>
    </w:p>
    <w:p>
      <w:pPr>
        <w:pStyle w:val="BookText"/>
      </w:pPr>
      <w:r>
        <w:rPr>
          <w:rFonts w:ascii="Amiri" w:hAnsi="Amiri" w:eastAsia="Amiri" w:cs="Amiri"/>
          <w:lang w:bidi="ar-SA"/>
          <w:color w:val="111111"/>
          <w:sz w:val="28"/>
          <w:szCs w:val="28"/>
          <w:rtl/>
        </w:rPr>
        <w:t xml:space="preserve">الرسالة الرسلانية في التوحيد، ج8،</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Amiri" w:hAnsi="Amiri" w:eastAsia="Amiri" w:cs="Amiri"/>
          <w:lang w:bidi="ar-SA"/>
          <w:color w:val="111111"/>
          <w:sz w:val="28"/>
          <w:szCs w:val="28"/>
          <w:rtl/>
        </w:rPr>
        <w:t xml:space="preserve">دمشقي ، اسعد بن الياس- ابن مطران اسعد بن الياس</w:t>
      </w:r>
    </w:p>
    <w:p>
      <w:pPr>
        <w:pStyle w:val="BookText"/>
      </w:pPr>
      <w:r>
        <w:rPr>
          <w:rFonts w:ascii="IRNazanin" w:hAnsi="IRNazanin" w:eastAsia="IRNazanin" w:cs="IRNazanin"/>
          <w:lang w:bidi="fa-IR"/>
          <w:color w:val="111111"/>
          <w:sz w:val="28"/>
          <w:szCs w:val="28"/>
          <w:rtl/>
        </w:rPr>
        <w:t xml:space="preserve">دمشقي ، بركات بن احمد -ابن کیال</w:t>
      </w:r>
    </w:p>
    <w:p>
      <w:pPr>
        <w:pStyle w:val="BookText"/>
      </w:pPr>
      <w:r>
        <w:rPr>
          <w:rFonts w:ascii="Amiri" w:hAnsi="Amiri" w:eastAsia="Amiri" w:cs="Amiri"/>
          <w:lang w:bidi="ar-SA"/>
          <w:color w:val="111111"/>
          <w:sz w:val="28"/>
          <w:szCs w:val="28"/>
          <w:rtl/>
        </w:rPr>
        <w:t xml:space="preserve">بركات بن احمد</w:t>
      </w:r>
    </w:p>
    <w:p>
      <w:pPr>
        <w:pStyle w:val="BookText"/>
      </w:pPr>
      <w:r>
        <w:rPr>
          <w:rFonts w:ascii="Amiri" w:hAnsi="Amiri" w:eastAsia="Amiri" w:cs="Amiri"/>
          <w:lang w:bidi="ar-SA"/>
          <w:color w:val="111111"/>
          <w:sz w:val="28"/>
          <w:szCs w:val="28"/>
          <w:rtl/>
        </w:rPr>
        <w:t xml:space="preserve">دمشقي تغلبي ، احمد بن محمّد- ابن</w:t>
      </w:r>
    </w:p>
    <w:p>
      <w:pPr>
        <w:pStyle w:val="BookText"/>
      </w:pPr>
      <w:r>
        <w:rPr>
          <w:rFonts w:ascii="IRNazanin" w:hAnsi="IRNazanin" w:eastAsia="IRNazanin" w:cs="IRNazanin"/>
          <w:lang w:bidi="fa-IR"/>
          <w:color w:val="111111"/>
          <w:sz w:val="28"/>
          <w:szCs w:val="28"/>
          <w:rtl/>
        </w:rPr>
        <w:t xml:space="preserve">خیاط ، احمد بن محمّد</w:t>
      </w:r>
    </w:p>
    <w:p>
      <w:pPr>
        <w:pStyle w:val="BookText"/>
      </w:pPr>
      <w:r>
        <w:rPr>
          <w:rFonts w:ascii="Amiri" w:hAnsi="Amiri" w:eastAsia="Amiri" w:cs="Amiri"/>
          <w:lang w:bidi="ar-SA"/>
          <w:color w:val="111111"/>
          <w:sz w:val="28"/>
          <w:szCs w:val="28"/>
          <w:rtl/>
        </w:rPr>
        <w:t xml:space="preserve">دمشقي ، حامد بن علي -عمادي ، حامد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دمشقي ، حسين بن محمّد -حنائي ، حسين</w:t>
      </w:r>
    </w:p>
    <w:p>
      <w:pPr>
        <w:pStyle w:val="BookText"/>
      </w:pPr>
      <w:r>
        <w:rPr>
          <w:rFonts w:ascii="Amiri" w:hAnsi="Amiri" w:eastAsia="Amiri" w:cs="Amiri"/>
          <w:lang w:bidi="ar-SA"/>
          <w:color w:val="111111"/>
          <w:sz w:val="28"/>
          <w:szCs w:val="28"/>
          <w:rtl/>
        </w:rPr>
        <w:t xml:space="preserve">دمشقي ، خليل بن محمّد- فتال ، بن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دمشقي دمياطي ، احمد بن ابراهيم -نحاس، احمد بن ابراهيم</w:t>
      </w:r>
    </w:p>
    <w:p>
      <w:pPr>
        <w:pStyle w:val="Heading2"/>
      </w:pPr>
      <w:bookmarkStart w:id="4344" w:name="_Toc3446"/>
      <w:r>
        <w:t>دمشقي شافعي محمّد بن احمد -904ه-</w:t>
      </w:r>
      <w:bookmarkEnd w:id="4344"/>
    </w:p>
    <w:p>
      <w:pPr>
        <w:pStyle w:val="BookText"/>
      </w:pPr>
      <w:r>
        <w:rPr>
          <w:rFonts w:ascii="Amiri" w:hAnsi="Amiri" w:eastAsia="Amiri" w:cs="Amiri"/>
          <w:lang w:bidi="ar-SA"/>
          <w:color w:val="111111"/>
          <w:sz w:val="28"/>
          <w:szCs w:val="28"/>
          <w:rtl/>
        </w:rPr>
        <w:t xml:space="preserve">تحفة الطلاب في شرح نزهة الحساب</w:t>
      </w:r>
    </w:p>
    <w:p>
      <w:pPr>
        <w:pStyle w:val="BookText"/>
      </w:pPr>
      <w:r>
        <w:rPr>
          <w:rFonts w:ascii="IRNazanin" w:hAnsi="IRNazanin" w:eastAsia="IRNazanin" w:cs="IRNazanin"/>
          <w:lang w:bidi="fa-IR"/>
          <w:color w:val="111111"/>
          <w:sz w:val="28"/>
          <w:szCs w:val="28"/>
          <w:rtl/>
        </w:rPr>
        <w:t xml:space="preserve">ج 3، ص 865.</w:t>
      </w:r>
    </w:p>
    <w:p>
      <w:pPr>
        <w:pStyle w:val="BookText"/>
      </w:pPr>
      <w:r>
        <w:rPr>
          <w:rFonts w:ascii="Amiri" w:hAnsi="Amiri" w:eastAsia="Amiri" w:cs="Amiri"/>
          <w:lang w:bidi="ar-SA"/>
          <w:color w:val="111111"/>
          <w:sz w:val="28"/>
          <w:szCs w:val="28"/>
          <w:rtl/>
        </w:rPr>
        <w:t xml:space="preserve">دمشقي شبلي ، بدر الدين بن تقي</w:t>
      </w:r>
    </w:p>
    <w:p>
      <w:pPr>
        <w:pStyle w:val="BookText"/>
      </w:pPr>
      <w:r>
        <w:rPr>
          <w:rFonts w:ascii="Amiri" w:hAnsi="Amiri" w:eastAsia="Amiri" w:cs="Amiri"/>
          <w:lang w:bidi="ar-SA"/>
          <w:color w:val="111111"/>
          <w:sz w:val="28"/>
          <w:szCs w:val="28"/>
          <w:rtl/>
        </w:rPr>
        <w:t xml:space="preserve">الدين- شبلي ، محمّد بن عبدالله</w:t>
      </w:r>
    </w:p>
    <w:p>
      <w:pPr>
        <w:pStyle w:val="BookText"/>
      </w:pPr>
      <w:r>
        <w:rPr>
          <w:rFonts w:ascii="Amiri" w:hAnsi="Amiri" w:eastAsia="Amiri" w:cs="Amiri"/>
          <w:lang w:bidi="ar-SA"/>
          <w:color w:val="111111"/>
          <w:sz w:val="28"/>
          <w:szCs w:val="28"/>
          <w:rtl/>
        </w:rPr>
        <w:t xml:space="preserve">دمشقي ، شمس الدين محمّد بن ابي طالب- انصاري ، محمّد ابراهيم بن ابي طالب</w:t>
      </w:r>
    </w:p>
    <w:p>
      <w:pPr>
        <w:pStyle w:val="BookText"/>
      </w:pPr>
      <w:r>
        <w:rPr>
          <w:rFonts w:ascii="Amiri" w:hAnsi="Amiri" w:eastAsia="Amiri" w:cs="Amiri"/>
          <w:lang w:bidi="ar-SA"/>
          <w:color w:val="111111"/>
          <w:sz w:val="28"/>
          <w:szCs w:val="28"/>
          <w:rtl/>
        </w:rPr>
        <w:t xml:space="preserve">دمشقي طيبي ، حسن بن محمّد -طيبي</w:t>
      </w:r>
    </w:p>
    <w:p>
      <w:pPr>
        <w:pStyle w:val="BookText"/>
      </w:pPr>
      <w:r>
        <w:rPr>
          <w:rFonts w:ascii="Amiri" w:hAnsi="Amiri" w:eastAsia="Amiri" w:cs="Amiri"/>
          <w:lang w:bidi="ar-SA"/>
          <w:color w:val="111111"/>
          <w:sz w:val="28"/>
          <w:szCs w:val="28"/>
          <w:rtl/>
        </w:rPr>
        <w:t xml:space="preserve">حسين بن محمّد</w:t>
      </w:r>
    </w:p>
    <w:p>
      <w:pPr>
        <w:pStyle w:val="Heading2"/>
      </w:pPr>
      <w:bookmarkStart w:id="4345" w:name="_Toc3447"/>
      <w:r>
        <w:t>دمشقي ، عبد الجليل بن عبدالمواهب</w:t>
      </w:r>
      <w:bookmarkEnd w:id="4345"/>
    </w:p>
    <w:p>
      <w:pPr>
        <w:pStyle w:val="BookText"/>
      </w:pPr>
      <w:r>
        <w:rPr>
          <w:rFonts w:ascii="IRNazanin" w:hAnsi="IRNazanin" w:eastAsia="IRNazanin" w:cs="IRNazanin"/>
          <w:lang w:bidi="fa-IR"/>
          <w:color w:val="111111"/>
          <w:sz w:val="28"/>
          <w:szCs w:val="28"/>
          <w:rtl/>
        </w:rPr>
        <w:t xml:space="preserve">1079 - 1119 ه-</w:t>
      </w:r>
    </w:p>
    <w:p>
      <w:pPr>
        <w:pStyle w:val="BookText"/>
      </w:pPr>
      <w:r>
        <w:rPr>
          <w:rFonts w:ascii="Amiri" w:hAnsi="Amiri" w:eastAsia="Amiri" w:cs="Amiri"/>
          <w:lang w:bidi="ar-SA"/>
          <w:color w:val="111111"/>
          <w:sz w:val="28"/>
          <w:szCs w:val="28"/>
          <w:rtl/>
        </w:rPr>
        <w:t xml:space="preserve">اجازة للشيخ محمّد العبدلي، ج1،</w:t>
      </w:r>
    </w:p>
    <w:p>
      <w:pPr>
        <w:pStyle w:val="BookText"/>
      </w:pPr>
      <w:r>
        <w:rPr>
          <w:rFonts w:ascii="IRNazanin" w:hAnsi="IRNazanin" w:eastAsia="IRNazanin" w:cs="IRNazanin"/>
          <w:lang w:bidi="fa-IR"/>
          <w:color w:val="111111"/>
          <w:sz w:val="28"/>
          <w:szCs w:val="28"/>
          <w:rtl/>
        </w:rPr>
        <w:t xml:space="preserve">ص 275.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8" w:name="pg7742_70371"/>
    <w:bookmarkEnd w:id="488"/>
    <w:p>
      <w:pPr>
        <w:pStyle w:val="BookText"/>
      </w:pPr>
      <w:r>
        <w:rPr>
          <w:rFonts w:ascii="Amiri" w:hAnsi="Amiri" w:eastAsia="Amiri" w:cs="Amiri"/>
          <w:lang w:bidi="ar-SA"/>
          <w:color w:val="111111"/>
          <w:sz w:val="28"/>
          <w:szCs w:val="28"/>
          <w:rtl/>
        </w:rPr>
        <w:t xml:space="preserve">دمشقي ، عبدالرحمان بن عمر -جوبري ،</w:t>
      </w:r>
    </w:p>
    <w:p>
      <w:pPr>
        <w:pStyle w:val="BookText"/>
      </w:pPr>
      <w:r>
        <w:rPr>
          <w:rFonts w:ascii="IRNazanin" w:hAnsi="IRNazanin" w:eastAsia="IRNazanin" w:cs="IRNazanin"/>
          <w:lang w:bidi="fa-IR"/>
          <w:color w:val="111111"/>
          <w:sz w:val="28"/>
          <w:szCs w:val="28"/>
          <w:rtl/>
        </w:rPr>
        <w:t xml:space="preserve">عبد الرحمن بن عمر</w:t>
      </w:r>
    </w:p>
    <w:p>
      <w:pPr>
        <w:pStyle w:val="BookText"/>
      </w:pPr>
      <w:r>
        <w:rPr>
          <w:rFonts w:ascii="Amiri" w:hAnsi="Amiri" w:eastAsia="Amiri" w:cs="Amiri"/>
          <w:lang w:bidi="ar-SA"/>
          <w:color w:val="111111"/>
          <w:sz w:val="28"/>
          <w:szCs w:val="28"/>
          <w:rtl/>
        </w:rPr>
        <w:t xml:space="preserve">دمشقي ، عبد الرحمن بن ابي بكر- ابن</w:t>
      </w:r>
    </w:p>
    <w:p>
      <w:pPr>
        <w:pStyle w:val="BookText"/>
      </w:pPr>
      <w:r>
        <w:rPr>
          <w:rFonts w:ascii="Amiri" w:hAnsi="Amiri" w:eastAsia="Amiri" w:cs="Amiri"/>
          <w:lang w:bidi="ar-SA"/>
          <w:color w:val="111111"/>
          <w:sz w:val="28"/>
          <w:szCs w:val="28"/>
          <w:rtl/>
        </w:rPr>
        <w:t xml:space="preserve">داود ، عبدالرحمن بن ابي بكر</w:t>
      </w:r>
    </w:p>
    <w:p>
      <w:pPr>
        <w:pStyle w:val="BookText"/>
      </w:pPr>
      <w:r>
        <w:rPr>
          <w:rFonts w:ascii="Amiri" w:hAnsi="Amiri" w:eastAsia="Amiri" w:cs="Amiri"/>
          <w:lang w:bidi="ar-SA"/>
          <w:color w:val="111111"/>
          <w:sz w:val="28"/>
          <w:szCs w:val="28"/>
          <w:rtl/>
        </w:rPr>
        <w:t xml:space="preserve">دمشقي ، عبد الرحيم بن علي -دخوار</w:t>
      </w:r>
    </w:p>
    <w:p>
      <w:pPr>
        <w:pStyle w:val="BookText"/>
      </w:pPr>
      <w:r>
        <w:rPr>
          <w:rFonts w:ascii="Amiri" w:hAnsi="Amiri" w:eastAsia="Amiri" w:cs="Amiri"/>
          <w:lang w:bidi="ar-SA"/>
          <w:color w:val="111111"/>
          <w:sz w:val="28"/>
          <w:szCs w:val="28"/>
          <w:rtl/>
        </w:rPr>
        <w:t xml:space="preserve">عبد الرحيم بن علي</w:t>
      </w:r>
    </w:p>
    <w:p>
      <w:pPr>
        <w:pStyle w:val="BookText"/>
      </w:pPr>
      <w:r>
        <w:rPr>
          <w:rFonts w:ascii="Amiri" w:hAnsi="Amiri" w:eastAsia="Amiri" w:cs="Amiri"/>
          <w:lang w:bidi="ar-SA"/>
          <w:color w:val="111111"/>
          <w:sz w:val="28"/>
          <w:szCs w:val="28"/>
          <w:rtl/>
        </w:rPr>
        <w:t xml:space="preserve">دمشقي ، عبد اللطيف بن احمد - كتبي ،</w:t>
      </w:r>
    </w:p>
    <w:p>
      <w:pPr>
        <w:pStyle w:val="BookText"/>
      </w:pPr>
      <w:r>
        <w:rPr>
          <w:rFonts w:ascii="Amiri" w:hAnsi="Amiri" w:eastAsia="Amiri" w:cs="Amiri"/>
          <w:lang w:bidi="ar-SA"/>
          <w:color w:val="111111"/>
          <w:sz w:val="28"/>
          <w:szCs w:val="28"/>
          <w:rtl/>
        </w:rPr>
        <w:t xml:space="preserve">عبد اللطيف بن احمد</w:t>
      </w:r>
    </w:p>
    <w:p>
      <w:pPr>
        <w:pStyle w:val="BookText"/>
      </w:pPr>
      <w:r>
        <w:rPr>
          <w:rFonts w:ascii="Amiri" w:hAnsi="Amiri" w:eastAsia="Amiri" w:cs="Amiri"/>
          <w:lang w:bidi="ar-SA"/>
          <w:color w:val="111111"/>
          <w:sz w:val="28"/>
          <w:szCs w:val="28"/>
          <w:rtl/>
        </w:rPr>
        <w:t xml:space="preserve">دمشقي ، علي بن الحسن- ابن عساكر ، علي بن حسن</w:t>
      </w:r>
    </w:p>
    <w:p>
      <w:pPr>
        <w:pStyle w:val="BookText"/>
      </w:pPr>
      <w:r>
        <w:rPr>
          <w:rFonts w:ascii="Amiri" w:hAnsi="Amiri" w:eastAsia="Amiri" w:cs="Amiri"/>
          <w:lang w:bidi="ar-SA"/>
          <w:color w:val="111111"/>
          <w:sz w:val="28"/>
          <w:szCs w:val="28"/>
          <w:rtl/>
        </w:rPr>
        <w:t xml:space="preserve">دمشقي ، علي بن علي- ابن ابي العز ، علي</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دمشقي عمري ، احمد بن يحيى- ابن</w:t>
      </w:r>
    </w:p>
    <w:p>
      <w:pPr>
        <w:pStyle w:val="BookText"/>
      </w:pPr>
      <w:r>
        <w:rPr>
          <w:rFonts w:ascii="Amiri" w:hAnsi="Amiri" w:eastAsia="Amiri" w:cs="Amiri"/>
          <w:lang w:bidi="ar-SA"/>
          <w:color w:val="111111"/>
          <w:sz w:val="28"/>
          <w:szCs w:val="28"/>
          <w:rtl/>
        </w:rPr>
        <w:t xml:space="preserve">فضل الله عمري ، احمد بن يحيى</w:t>
      </w:r>
    </w:p>
    <w:p>
      <w:pPr>
        <w:pStyle w:val="Heading2"/>
      </w:pPr>
      <w:bookmarkStart w:id="4346" w:name="_Toc3448"/>
      <w:r>
        <w:t>دمشقي ، فضل الله بن محب الله</w:t>
      </w:r>
      <w:bookmarkEnd w:id="4346"/>
    </w:p>
    <w:p>
      <w:pPr>
        <w:pStyle w:val="BookText"/>
      </w:pPr>
      <w:r>
        <w:rPr>
          <w:rFonts w:ascii="IRNazanin" w:hAnsi="IRNazanin" w:eastAsia="IRNazanin" w:cs="IRNazanin"/>
          <w:lang w:bidi="fa-IR"/>
          <w:color w:val="111111"/>
          <w:sz w:val="28"/>
          <w:szCs w:val="28"/>
          <w:rtl/>
        </w:rPr>
        <w:t xml:space="preserve">1082 ه-</w:t>
      </w:r>
    </w:p>
    <w:p>
      <w:pPr>
        <w:pStyle w:val="BookText"/>
      </w:pPr>
      <w:r>
        <w:rPr>
          <w:rFonts w:ascii="Amiri" w:hAnsi="Amiri" w:eastAsia="Amiri" w:cs="Amiri"/>
          <w:lang w:bidi="ar-SA"/>
          <w:color w:val="111111"/>
          <w:sz w:val="28"/>
          <w:szCs w:val="28"/>
          <w:rtl/>
        </w:rPr>
        <w:t xml:space="preserve">1 .فيض المنان في تراجم اعيان الزمان</w:t>
      </w:r>
    </w:p>
    <w:p>
      <w:pPr>
        <w:pStyle w:val="BookText"/>
      </w:pPr>
      <w:r>
        <w:rPr>
          <w:rFonts w:ascii="IRNazanin" w:hAnsi="IRNazanin" w:eastAsia="IRNazanin" w:cs="IRNazanin"/>
          <w:lang w:bidi="fa-IR"/>
          <w:color w:val="111111"/>
          <w:sz w:val="28"/>
          <w:szCs w:val="28"/>
          <w:rtl/>
        </w:rPr>
        <w:t xml:space="preserve">ج 12 ، ص 316.</w:t>
      </w:r>
    </w:p>
    <w:p>
      <w:pPr>
        <w:pStyle w:val="BookText"/>
      </w:pPr>
      <w:r>
        <w:rPr>
          <w:rFonts w:ascii="Amiri" w:hAnsi="Amiri" w:eastAsia="Amiri" w:cs="Amiri"/>
          <w:lang w:bidi="ar-SA"/>
          <w:color w:val="111111"/>
          <w:sz w:val="28"/>
          <w:szCs w:val="28"/>
          <w:rtl/>
        </w:rPr>
        <w:t xml:space="preserve">2 .مختارات المحبي، ج 14، ص 146.</w:t>
      </w:r>
    </w:p>
    <w:p>
      <w:pPr>
        <w:pStyle w:val="BookText"/>
      </w:pPr>
      <w:r>
        <w:rPr>
          <w:rFonts w:ascii="Amiri" w:hAnsi="Amiri" w:eastAsia="Amiri" w:cs="Amiri"/>
          <w:lang w:bidi="ar-SA"/>
          <w:color w:val="111111"/>
          <w:sz w:val="28"/>
          <w:szCs w:val="28"/>
          <w:rtl/>
        </w:rPr>
        <w:t xml:space="preserve">دمشقي قرماني ، احمد بن يوسف -قرماني</w:t>
      </w:r>
    </w:p>
    <w:p>
      <w:pPr>
        <w:pStyle w:val="BookText"/>
      </w:pPr>
      <w:r>
        <w:rPr>
          <w:rFonts w:ascii="Amiri" w:hAnsi="Amiri" w:eastAsia="Amiri" w:cs="Amiri"/>
          <w:lang w:bidi="ar-SA"/>
          <w:color w:val="111111"/>
          <w:sz w:val="28"/>
          <w:szCs w:val="28"/>
          <w:rtl/>
        </w:rPr>
        <w:t xml:space="preserve">، احمد بن يوسف</w:t>
      </w:r>
    </w:p>
    <w:p>
      <w:pPr>
        <w:pStyle w:val="BookText"/>
      </w:pPr>
      <w:r>
        <w:rPr>
          <w:rFonts w:ascii="Amiri" w:hAnsi="Amiri" w:eastAsia="Amiri" w:cs="Amiri"/>
          <w:lang w:bidi="ar-SA"/>
          <w:color w:val="111111"/>
          <w:sz w:val="28"/>
          <w:szCs w:val="28"/>
          <w:rtl/>
        </w:rPr>
        <w:t xml:space="preserve">دمشقي ، محمّد امين بن عابدين- ابن</w:t>
      </w:r>
    </w:p>
    <w:p>
      <w:pPr>
        <w:pStyle w:val="BookText"/>
      </w:pPr>
      <w:r>
        <w:rPr>
          <w:rFonts w:ascii="IRNazanin" w:hAnsi="IRNazanin" w:eastAsia="IRNazanin" w:cs="IRNazanin"/>
          <w:lang w:bidi="fa-IR"/>
          <w:color w:val="111111"/>
          <w:sz w:val="28"/>
          <w:szCs w:val="28"/>
          <w:rtl/>
        </w:rPr>
        <w:t xml:space="preserve">عابدين ، محمّد امین بن عمر</w:t>
      </w:r>
    </w:p>
    <w:p>
      <w:pPr>
        <w:pStyle w:val="BookText"/>
      </w:pPr>
      <w:r>
        <w:rPr>
          <w:rFonts w:ascii="Amiri" w:hAnsi="Amiri" w:eastAsia="Amiri" w:cs="Amiri"/>
          <w:lang w:bidi="ar-SA"/>
          <w:color w:val="111111"/>
          <w:sz w:val="28"/>
          <w:szCs w:val="28"/>
          <w:rtl/>
        </w:rPr>
        <w:t xml:space="preserve">دمشقي ، محمّد امين بن فضل الله -محبي</w:t>
      </w:r>
    </w:p>
    <w:p>
      <w:pPr>
        <w:pStyle w:val="BookText"/>
      </w:pPr>
      <w:r>
        <w:rPr>
          <w:rFonts w:ascii="IRNazanin" w:hAnsi="IRNazanin" w:eastAsia="IRNazanin" w:cs="IRNazanin"/>
          <w:lang w:bidi="fa-IR"/>
          <w:color w:val="111111"/>
          <w:sz w:val="28"/>
          <w:szCs w:val="28"/>
          <w:rtl/>
        </w:rPr>
        <w:t xml:space="preserve">، محمّد امین بن فضل الله</w:t>
      </w:r>
    </w:p>
    <w:p>
      <w:pPr>
        <w:pStyle w:val="BookText"/>
      </w:pPr>
      <w:r>
        <w:rPr>
          <w:rFonts w:ascii="Amiri" w:hAnsi="Amiri" w:eastAsia="Amiri" w:cs="Amiri"/>
          <w:lang w:bidi="ar-SA"/>
          <w:color w:val="111111"/>
          <w:sz w:val="28"/>
          <w:szCs w:val="28"/>
          <w:rtl/>
        </w:rPr>
        <w:t xml:space="preserve">دمشقي ، محمّد بن ابراهيم جزري -ابن</w:t>
      </w:r>
    </w:p>
    <w:p>
      <w:pPr>
        <w:pStyle w:val="BookText"/>
      </w:pPr>
      <w:r>
        <w:rPr>
          <w:rFonts w:ascii="Amiri" w:hAnsi="Amiri" w:eastAsia="Amiri" w:cs="Amiri"/>
          <w:lang w:bidi="ar-SA"/>
          <w:color w:val="111111"/>
          <w:sz w:val="28"/>
          <w:szCs w:val="28"/>
          <w:rtl/>
        </w:rPr>
        <w:t xml:space="preserve">جزري، محمّد بن ابراهيم</w:t>
      </w:r>
    </w:p>
    <w:p>
      <w:pPr>
        <w:pStyle w:val="BookText"/>
      </w:pPr>
      <w:r>
        <w:rPr>
          <w:rFonts w:ascii="Amiri" w:hAnsi="Amiri" w:eastAsia="Amiri" w:cs="Amiri"/>
          <w:lang w:bidi="ar-SA"/>
          <w:color w:val="111111"/>
          <w:sz w:val="28"/>
          <w:szCs w:val="28"/>
          <w:rtl/>
        </w:rPr>
        <w:t xml:space="preserve">دمشقي ، محمّد بن ابي طالب -انصاري ،</w:t>
      </w:r>
    </w:p>
    <w:p>
      <w:pPr>
        <w:pStyle w:val="BookText"/>
      </w:pPr>
      <w:r>
        <w:rPr>
          <w:rFonts w:ascii="Amiri" w:hAnsi="Amiri" w:eastAsia="Amiri" w:cs="Amiri"/>
          <w:lang w:bidi="ar-SA"/>
          <w:color w:val="111111"/>
          <w:sz w:val="28"/>
          <w:szCs w:val="28"/>
          <w:rtl/>
        </w:rPr>
        <w:t xml:space="preserve">محمّد ابراهيم بن ابي طالب</w:t>
      </w:r>
    </w:p>
    <w:p>
      <w:pPr>
        <w:pStyle w:val="BookText"/>
      </w:pPr>
      <w:r>
        <w:rPr>
          <w:rFonts w:ascii="Amiri" w:hAnsi="Amiri" w:eastAsia="Amiri" w:cs="Amiri"/>
          <w:lang w:bidi="ar-SA"/>
          <w:color w:val="111111"/>
          <w:sz w:val="28"/>
          <w:szCs w:val="28"/>
          <w:rtl/>
        </w:rPr>
        <w:t xml:space="preserve">دمشقي ،، محمّد بن احمد- ابن فرفور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دمشقي ، عبد الوهاب بن احمد- ابن</w:t>
      </w:r>
    </w:p>
    <w:p>
      <w:pPr>
        <w:pStyle w:val="BookText"/>
      </w:pPr>
      <w:r>
        <w:rPr>
          <w:rFonts w:ascii="IRNazanin" w:hAnsi="IRNazanin" w:eastAsia="IRNazanin" w:cs="IRNazanin"/>
          <w:lang w:bidi="fa-IR"/>
          <w:color w:val="111111"/>
          <w:sz w:val="28"/>
          <w:szCs w:val="28"/>
          <w:rtl/>
        </w:rPr>
        <w:t xml:space="preserve">وهبان ، عبدالوهاب بن احمد</w:t>
      </w:r>
    </w:p>
    <w:p>
      <w:pPr>
        <w:pStyle w:val="BookText"/>
      </w:pPr>
      <w:r>
        <w:rPr>
          <w:rFonts w:ascii="Amiri" w:hAnsi="Amiri" w:eastAsia="Amiri" w:cs="Amiri"/>
          <w:lang w:bidi="ar-SA"/>
          <w:color w:val="111111"/>
          <w:sz w:val="28"/>
          <w:szCs w:val="28"/>
          <w:rtl/>
        </w:rPr>
        <w:t xml:space="preserve">دمشقي ، محمّد بن احمد- ابن لبان ،</w:t>
      </w:r>
    </w:p>
    <w:p>
      <w:pPr>
        <w:pStyle w:val="BookText"/>
      </w:pPr>
      <w:r>
        <w:rPr>
          <w:rFonts w:ascii="Amiri" w:hAnsi="Amiri" w:eastAsia="Amiri" w:cs="Amiri"/>
          <w:lang w:bidi="ar-SA"/>
          <w:color w:val="111111"/>
          <w:sz w:val="28"/>
          <w:szCs w:val="28"/>
          <w:rtl/>
        </w:rPr>
        <w:t xml:space="preserve">محمّد بن حسن</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دمشقي ، محمّد بن احمد- غساني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دمشقي ، محمّد بن حسن -شطي محمّد بن حسن</w:t>
      </w:r>
    </w:p>
    <w:p>
      <w:pPr>
        <w:pStyle w:val="BookText"/>
      </w:pPr>
      <w:r>
        <w:rPr>
          <w:rFonts w:ascii="Amiri" w:hAnsi="Amiri" w:eastAsia="Amiri" w:cs="Amiri"/>
          <w:lang w:bidi="ar-SA"/>
          <w:color w:val="111111"/>
          <w:sz w:val="28"/>
          <w:szCs w:val="28"/>
          <w:rtl/>
        </w:rPr>
        <w:t xml:space="preserve">دمشقي، محمّد بن حسن- ابن صائغ</w:t>
      </w:r>
    </w:p>
    <w:p>
      <w:pPr>
        <w:pStyle w:val="BookText"/>
      </w:pPr>
      <w:r>
        <w:rPr>
          <w:rFonts w:ascii="Amiri" w:hAnsi="Amiri" w:eastAsia="Amiri" w:cs="Amiri"/>
          <w:lang w:bidi="ar-SA"/>
          <w:color w:val="111111"/>
          <w:sz w:val="28"/>
          <w:szCs w:val="28"/>
          <w:rtl/>
        </w:rPr>
        <w:t xml:space="preserve">دمشقي ، محمّد بن حسن</w:t>
      </w:r>
    </w:p>
    <w:p>
      <w:pPr>
        <w:pStyle w:val="BookText"/>
      </w:pPr>
      <w:r>
        <w:rPr>
          <w:rFonts w:ascii="Amiri" w:hAnsi="Amiri" w:eastAsia="Amiri" w:cs="Amiri"/>
          <w:lang w:bidi="ar-SA"/>
          <w:color w:val="111111"/>
          <w:sz w:val="28"/>
          <w:szCs w:val="28"/>
          <w:rtl/>
        </w:rPr>
        <w:t xml:space="preserve">دمشقي ، محمّد بن عبد الرحمان -قاضي</w:t>
      </w:r>
    </w:p>
    <w:p>
      <w:pPr>
        <w:pStyle w:val="BookText"/>
      </w:pPr>
      <w:r>
        <w:rPr>
          <w:rFonts w:ascii="Amiri" w:hAnsi="Amiri" w:eastAsia="Amiri" w:cs="Amiri"/>
          <w:lang w:bidi="ar-SA"/>
          <w:color w:val="111111"/>
          <w:sz w:val="28"/>
          <w:szCs w:val="28"/>
          <w:rtl/>
        </w:rPr>
        <w:t xml:space="preserve">صفدي، محمّد بن عبدالرحمن</w:t>
      </w:r>
    </w:p>
    <w:p>
      <w:pPr>
        <w:pStyle w:val="BookText"/>
      </w:pPr>
      <w:r>
        <w:rPr>
          <w:rFonts w:ascii="Amiri" w:hAnsi="Amiri" w:eastAsia="Amiri" w:cs="Amiri"/>
          <w:lang w:bidi="ar-SA"/>
          <w:color w:val="111111"/>
          <w:sz w:val="28"/>
          <w:szCs w:val="28"/>
          <w:rtl/>
        </w:rPr>
        <w:t xml:space="preserve">دمشقي ، محمّد بن علي بن يوسف- صالحي ، محمّد بن يوسف</w:t>
      </w:r>
    </w:p>
    <w:p>
      <w:pPr>
        <w:pStyle w:val="BookText"/>
      </w:pPr>
      <w:r>
        <w:rPr>
          <w:rFonts w:ascii="Amiri" w:hAnsi="Amiri" w:eastAsia="Amiri" w:cs="Amiri"/>
          <w:lang w:bidi="ar-SA"/>
          <w:color w:val="111111"/>
          <w:sz w:val="28"/>
          <w:szCs w:val="28"/>
          <w:rtl/>
        </w:rPr>
        <w:t xml:space="preserve">دمشقي ، محمّد بن محمّد -تيزيني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دمشقي ، محمّد بن ناصر الدین- ابن</w:t>
      </w:r>
    </w:p>
    <w:p>
      <w:pPr>
        <w:pStyle w:val="BookText"/>
      </w:pPr>
      <w:r>
        <w:rPr>
          <w:rFonts w:ascii="IRNazanin" w:hAnsi="IRNazanin" w:eastAsia="IRNazanin" w:cs="IRNazanin"/>
          <w:lang w:bidi="fa-IR"/>
          <w:color w:val="111111"/>
          <w:sz w:val="28"/>
          <w:szCs w:val="28"/>
          <w:rtl/>
        </w:rPr>
        <w:t xml:space="preserve">ناصر الدین ، محمّد بن عبدالله</w:t>
      </w:r>
    </w:p>
    <w:p>
      <w:pPr>
        <w:pStyle w:val="Heading2"/>
      </w:pPr>
      <w:bookmarkStart w:id="4347" w:name="_Toc3449"/>
      <w:r>
        <w:t>دمشقي، محمّد بن وحيد محمّد - 711ه-</w:t>
      </w:r>
      <w:bookmarkEnd w:id="4347"/>
    </w:p>
    <w:p>
      <w:pPr>
        <w:pStyle w:val="BookText"/>
      </w:pPr>
      <w:r>
        <w:rPr>
          <w:rFonts w:ascii="Amiri" w:hAnsi="Amiri" w:eastAsia="Amiri" w:cs="Amiri"/>
          <w:lang w:bidi="ar-SA"/>
          <w:color w:val="111111"/>
          <w:sz w:val="28"/>
          <w:szCs w:val="28"/>
          <w:rtl/>
        </w:rPr>
        <w:t xml:space="preserve">ارجوزة تصف العيش، ج 1، ص 765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89" w:name="pg7742_70373"/>
    <w:bookmarkEnd w:id="489"/>
    <w:p>
      <w:pPr>
        <w:pStyle w:val="BookText"/>
      </w:pPr>
      <w:r>
        <w:rPr>
          <w:rFonts w:ascii="Amiri" w:hAnsi="Amiri" w:eastAsia="Amiri" w:cs="Amiri"/>
          <w:lang w:bidi="ar-SA"/>
          <w:color w:val="111111"/>
          <w:sz w:val="28"/>
          <w:szCs w:val="28"/>
          <w:rtl/>
        </w:rPr>
        <w:t xml:space="preserve">دمشقي ، محمّد بن يوسف- صالحي</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Amiri" w:hAnsi="Amiri" w:eastAsia="Amiri" w:cs="Amiri"/>
          <w:lang w:bidi="ar-SA"/>
          <w:color w:val="111111"/>
          <w:sz w:val="28"/>
          <w:szCs w:val="28"/>
          <w:rtl/>
        </w:rPr>
        <w:t xml:space="preserve">دمشقي ، محمود بن سليمان- ابن فهد</w:t>
      </w:r>
    </w:p>
    <w:p>
      <w:pPr>
        <w:pStyle w:val="BookText"/>
      </w:pPr>
      <w:r>
        <w:rPr>
          <w:rFonts w:ascii="Amiri" w:hAnsi="Amiri" w:eastAsia="Amiri" w:cs="Amiri"/>
          <w:lang w:bidi="ar-SA"/>
          <w:color w:val="111111"/>
          <w:sz w:val="28"/>
          <w:szCs w:val="28"/>
          <w:rtl/>
        </w:rPr>
        <w:t xml:space="preserve">حلبي ، محمود بن سليمان</w:t>
      </w:r>
    </w:p>
    <w:p>
      <w:pPr>
        <w:pStyle w:val="Heading2"/>
      </w:pPr>
      <w:bookmarkStart w:id="4348" w:name="_Toc3450"/>
      <w:r>
        <w:t>دملوجي ، عبدالله بن مصطفى - 1259ه-</w:t>
      </w:r>
      <w:bookmarkEnd w:id="4348"/>
    </w:p>
    <w:p>
      <w:pPr>
        <w:pStyle w:val="BookText"/>
      </w:pPr>
      <w:r>
        <w:rPr>
          <w:rFonts w:ascii="Amiri" w:hAnsi="Amiri" w:eastAsia="Amiri" w:cs="Amiri"/>
          <w:lang w:bidi="ar-SA"/>
          <w:color w:val="111111"/>
          <w:sz w:val="28"/>
          <w:szCs w:val="28"/>
          <w:rtl/>
        </w:rPr>
        <w:t xml:space="preserve">1 .تقريض التخميس، ج4، ص782.</w:t>
      </w:r>
    </w:p>
    <w:p>
      <w:pPr>
        <w:pStyle w:val="BookText"/>
      </w:pPr>
      <w:r>
        <w:rPr>
          <w:rFonts w:ascii="Amiri" w:hAnsi="Amiri" w:eastAsia="Amiri" w:cs="Amiri"/>
          <w:lang w:bidi="ar-SA"/>
          <w:color w:val="111111"/>
          <w:sz w:val="28"/>
          <w:szCs w:val="28"/>
          <w:rtl/>
        </w:rPr>
        <w:t xml:space="preserve">2 .حاشية حاشية الوغ بيك على شرح</w:t>
      </w:r>
    </w:p>
    <w:p>
      <w:pPr>
        <w:pStyle w:val="BookText"/>
      </w:pPr>
      <w:r>
        <w:rPr>
          <w:rFonts w:ascii="Amiri" w:hAnsi="Amiri" w:eastAsia="Amiri" w:cs="Amiri"/>
          <w:lang w:bidi="ar-SA"/>
          <w:color w:val="111111"/>
          <w:sz w:val="28"/>
          <w:szCs w:val="28"/>
          <w:rtl/>
        </w:rPr>
        <w:t xml:space="preserve">الرسالة السمرقندية، ج 5، ص 769.</w:t>
      </w:r>
    </w:p>
    <w:p>
      <w:pPr>
        <w:pStyle w:val="BookText"/>
      </w:pPr>
      <w:r>
        <w:rPr>
          <w:rFonts w:ascii="Amiri" w:hAnsi="Amiri" w:eastAsia="Amiri" w:cs="Amiri"/>
          <w:lang w:bidi="ar-SA"/>
          <w:color w:val="111111"/>
          <w:sz w:val="28"/>
          <w:szCs w:val="28"/>
          <w:rtl/>
        </w:rPr>
        <w:t xml:space="preserve">حاشية شرح الرسالة الوضعية</w:t>
      </w:r>
    </w:p>
    <w:p>
      <w:pPr>
        <w:pStyle w:val="BookText"/>
      </w:pPr>
      <w:r>
        <w:rPr>
          <w:rFonts w:ascii="Amiri" w:hAnsi="Amiri" w:eastAsia="Amiri" w:cs="Amiri"/>
          <w:lang w:bidi="ar-SA"/>
          <w:color w:val="111111"/>
          <w:sz w:val="28"/>
          <w:szCs w:val="28"/>
          <w:rtl/>
        </w:rPr>
        <w:t xml:space="preserve">العضدية، ج 6، ص123.</w:t>
      </w:r>
    </w:p>
    <w:p>
      <w:pPr>
        <w:pStyle w:val="BookText"/>
      </w:pPr>
      <w:r>
        <w:rPr>
          <w:rFonts w:ascii="Amiri" w:hAnsi="Amiri" w:eastAsia="Amiri" w:cs="Amiri"/>
          <w:lang w:bidi="ar-SA"/>
          <w:color w:val="111111"/>
          <w:sz w:val="28"/>
          <w:szCs w:val="28"/>
          <w:rtl/>
        </w:rPr>
        <w:t xml:space="preserve">4 .حاشية شرح رسالة الاستعارة، ج6،</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Amiri" w:hAnsi="Amiri" w:eastAsia="Amiri" w:cs="Amiri"/>
          <w:lang w:bidi="ar-SA"/>
          <w:color w:val="111111"/>
          <w:sz w:val="28"/>
          <w:szCs w:val="28"/>
          <w:rtl/>
        </w:rPr>
        <w:t xml:space="preserve">5 .شرح شباك توريث ذي الارحام، ج9، ص 614 .</w:t>
      </w:r>
    </w:p>
    <w:p>
      <w:pPr>
        <w:pStyle w:val="Heading2"/>
      </w:pPr>
      <w:bookmarkStart w:id="4349" w:name="_Toc3451"/>
      <w:r>
        <w:t>دمناتي ، علي بن سليمان - 1306 ه-</w:t>
      </w:r>
      <w:bookmarkEnd w:id="4349"/>
    </w:p>
    <w:p>
      <w:pPr>
        <w:pStyle w:val="BookText"/>
      </w:pPr>
      <w:r>
        <w:rPr>
          <w:rFonts w:ascii="IRNazanin" w:hAnsi="IRNazanin" w:eastAsia="IRNazanin" w:cs="IRNazanin"/>
          <w:lang w:bidi="fa-IR"/>
          <w:color w:val="111111"/>
          <w:sz w:val="28"/>
          <w:szCs w:val="28"/>
          <w:rtl/>
        </w:rPr>
        <w:t xml:space="preserve">اختلاف آراء المذاهب، ج 1، ص 546.</w:t>
      </w:r>
    </w:p>
    <w:p>
      <w:pPr>
        <w:pStyle w:val="BookText"/>
      </w:pPr>
      <w:r>
        <w:rPr>
          <w:rFonts w:ascii="Amiri" w:hAnsi="Amiri" w:eastAsia="Amiri" w:cs="Amiri"/>
          <w:lang w:bidi="ar-SA"/>
          <w:color w:val="111111"/>
          <w:sz w:val="28"/>
          <w:szCs w:val="28"/>
          <w:rtl/>
        </w:rPr>
        <w:t xml:space="preserve">دمنتي ، علي بن سليمان -دمناتي ، علي بن</w:t>
      </w:r>
    </w:p>
    <w:p>
      <w:pPr>
        <w:pStyle w:val="BookText"/>
      </w:pPr>
      <w:r>
        <w:rPr>
          <w:rFonts w:ascii="Amiri" w:hAnsi="Amiri" w:eastAsia="Amiri" w:cs="Amiri"/>
          <w:lang w:bidi="ar-SA"/>
          <w:color w:val="111111"/>
          <w:sz w:val="28"/>
          <w:szCs w:val="28"/>
          <w:rtl/>
        </w:rPr>
        <w:t xml:space="preserve">سليمان</w:t>
      </w:r>
    </w:p>
    <w:p>
      <w:pPr>
        <w:pStyle w:val="Heading2"/>
      </w:pPr>
      <w:bookmarkStart w:id="4350" w:name="_Toc3452"/>
      <w:r>
        <w:t>دمنهوري ، احمد بن عبد المنعم 1111 -</w:t>
      </w:r>
      <w:bookmarkEnd w:id="4350"/>
    </w:p>
    <w:p>
      <w:pPr>
        <w:pStyle w:val="BookText"/>
      </w:pPr>
      <w:r>
        <w:rPr>
          <w:rFonts w:ascii="IRNazanin" w:hAnsi="IRNazanin" w:eastAsia="IRNazanin" w:cs="IRNazanin"/>
          <w:lang w:bidi="fa-IR"/>
          <w:color w:val="111111"/>
          <w:sz w:val="28"/>
          <w:szCs w:val="28"/>
          <w:rtl/>
        </w:rPr>
        <w:t xml:space="preserve">1192 ه-</w:t>
      </w:r>
    </w:p>
    <w:p>
      <w:pPr>
        <w:pStyle w:val="BookText"/>
      </w:pPr>
      <w:r>
        <w:rPr>
          <w:rFonts w:ascii="Amiri" w:hAnsi="Amiri" w:eastAsia="Amiri" w:cs="Amiri"/>
          <w:lang w:bidi="ar-SA"/>
          <w:color w:val="111111"/>
          <w:sz w:val="28"/>
          <w:szCs w:val="28"/>
          <w:rtl/>
        </w:rPr>
        <w:t xml:space="preserve">1 .حسن الإنابة بإحياء ليلة الإجابة</w:t>
      </w:r>
    </w:p>
    <w:p>
      <w:pPr>
        <w:pStyle w:val="BookText"/>
      </w:pPr>
      <w:r>
        <w:rPr>
          <w:rFonts w:ascii="IRNazanin" w:hAnsi="IRNazanin" w:eastAsia="IRNazanin" w:cs="IRNazanin"/>
          <w:lang w:bidi="fa-IR"/>
          <w:color w:val="111111"/>
          <w:sz w:val="28"/>
          <w:szCs w:val="28"/>
          <w:rtl/>
        </w:rPr>
        <w:t xml:space="preserve">ج 6، ص 650.</w:t>
      </w:r>
    </w:p>
    <w:p>
      <w:pPr>
        <w:pStyle w:val="BookText"/>
      </w:pPr>
      <w:r>
        <w:rPr>
          <w:rFonts w:ascii="Amiri" w:hAnsi="Amiri" w:eastAsia="Amiri" w:cs="Amiri"/>
          <w:lang w:bidi="ar-SA"/>
          <w:color w:val="111111"/>
          <w:sz w:val="28"/>
          <w:szCs w:val="28"/>
          <w:rtl/>
        </w:rPr>
        <w:t xml:space="preserve">2 .حلية اللب المصون بشرح الجوهر</w:t>
      </w:r>
    </w:p>
    <w:p>
      <w:pPr>
        <w:pStyle w:val="BookText"/>
      </w:pPr>
      <w:r>
        <w:rPr>
          <w:rFonts w:ascii="Amiri" w:hAnsi="Amiri" w:eastAsia="Amiri" w:cs="Amiri"/>
          <w:lang w:bidi="ar-SA"/>
          <w:color w:val="111111"/>
          <w:sz w:val="28"/>
          <w:szCs w:val="28"/>
          <w:rtl/>
        </w:rPr>
        <w:t xml:space="preserve">المكنون، ج 6، ص 816.</w:t>
      </w:r>
    </w:p>
    <w:p>
      <w:pPr>
        <w:pStyle w:val="BookText"/>
      </w:pPr>
      <w:r>
        <w:rPr>
          <w:rFonts w:ascii="Amiri" w:hAnsi="Amiri" w:eastAsia="Amiri" w:cs="Amiri"/>
          <w:lang w:bidi="ar-SA"/>
          <w:color w:val="111111"/>
          <w:sz w:val="28"/>
          <w:szCs w:val="28"/>
          <w:rtl/>
        </w:rPr>
        <w:t xml:space="preserve">دمنهوري ، سرور- زواوي ، سرور بن</w:t>
      </w:r>
    </w:p>
    <w:p>
      <w:pPr>
        <w:pStyle w:val="BookText"/>
      </w:pPr>
      <w:r>
        <w:rPr>
          <w:rFonts w:ascii="Amiri" w:hAnsi="Amiri" w:eastAsia="Amiri" w:cs="Amiri"/>
          <w:lang w:bidi="ar-SA"/>
          <w:color w:val="111111"/>
          <w:sz w:val="28"/>
          <w:szCs w:val="28"/>
          <w:rtl/>
        </w:rPr>
        <w:t xml:space="preserve">محمّد</w:t>
      </w:r>
    </w:p>
    <w:p>
      <w:pPr>
        <w:pStyle w:val="Heading2"/>
      </w:pPr>
      <w:bookmarkStart w:id="4351" w:name="_Toc3453"/>
      <w:r>
        <w:t>دمنهوري ، محمّد بن محمّد، - 1288 ه-</w:t>
      </w:r>
      <w:bookmarkEnd w:id="4351"/>
    </w:p>
    <w:p>
      <w:pPr>
        <w:pStyle w:val="BookText"/>
      </w:pPr>
      <w:r>
        <w:rPr>
          <w:rFonts w:ascii="Amiri" w:hAnsi="Amiri" w:eastAsia="Amiri" w:cs="Amiri"/>
          <w:lang w:bidi="ar-SA"/>
          <w:color w:val="111111"/>
          <w:sz w:val="28"/>
          <w:szCs w:val="28"/>
          <w:rtl/>
        </w:rPr>
        <w:t xml:space="preserve">1 .تحقيق الكلام على ختم الازهرية للشيخ خالد الازهري، ج4، ص 70.</w:t>
      </w:r>
    </w:p>
    <w:p>
      <w:pPr>
        <w:pStyle w:val="BookText"/>
      </w:pPr>
      <w:r>
        <w:rPr>
          <w:rFonts w:ascii="Amiri" w:hAnsi="Amiri" w:eastAsia="Amiri" w:cs="Amiri"/>
          <w:lang w:bidi="ar-SA"/>
          <w:color w:val="111111"/>
          <w:sz w:val="28"/>
          <w:szCs w:val="28"/>
          <w:rtl/>
        </w:rPr>
        <w:t xml:space="preserve">2 .المختصر الشافي على متن الكافي</w:t>
      </w:r>
    </w:p>
    <w:p>
      <w:pPr>
        <w:pStyle w:val="BookText"/>
      </w:pPr>
      <w:r>
        <w:rPr>
          <w:rFonts w:ascii="IRNazanin" w:hAnsi="IRNazanin" w:eastAsia="IRNazanin" w:cs="IRNazanin"/>
          <w:lang w:bidi="fa-IR"/>
          <w:color w:val="111111"/>
          <w:sz w:val="28"/>
          <w:szCs w:val="28"/>
          <w:rtl/>
        </w:rPr>
        <w:t xml:space="preserve">ج 14، ص 198.</w:t>
      </w:r>
    </w:p>
    <w:p>
      <w:pPr>
        <w:pStyle w:val="BookText"/>
      </w:pPr>
      <w:r>
        <w:rPr>
          <w:rFonts w:ascii="IRNazanin" w:hAnsi="IRNazanin" w:eastAsia="IRNazanin" w:cs="IRNazanin"/>
          <w:lang w:bidi="fa-IR"/>
          <w:color w:val="111111"/>
          <w:sz w:val="28"/>
          <w:szCs w:val="28"/>
          <w:rtl/>
        </w:rPr>
        <w:t xml:space="preserve">دمنهوري، محمّد كامل بن سلیمان- خلعي ، محمّد كامل بن سليمان</w:t>
      </w:r>
    </w:p>
    <w:p>
      <w:pPr>
        <w:pStyle w:val="Heading2"/>
      </w:pPr>
      <w:bookmarkStart w:id="4352" w:name="_Toc3454"/>
      <w:r>
        <w:t>دموسكي ، ژوزف لوئي</w:t>
      </w:r>
      <w:bookmarkEnd w:id="4352"/>
    </w:p>
    <w:p>
      <w:pPr>
        <w:pStyle w:val="BookText"/>
      </w:pPr>
      <w:r>
        <w:rPr>
          <w:rFonts w:ascii="Amiri" w:hAnsi="Amiri" w:eastAsia="Amiri" w:cs="Amiri"/>
          <w:lang w:bidi="ar-SA"/>
          <w:color w:val="111111"/>
          <w:sz w:val="28"/>
          <w:szCs w:val="28"/>
          <w:rtl/>
        </w:rPr>
        <w:t xml:space="preserve">تاريخ بطارقة الكلدان، ج 3، ص 561.</w:t>
      </w:r>
    </w:p>
    <w:p>
      <w:pPr>
        <w:pStyle w:val="BookText"/>
      </w:pPr>
      <w:r>
        <w:rPr>
          <w:rFonts w:ascii="Amiri" w:hAnsi="Amiri" w:eastAsia="Amiri" w:cs="Amiri"/>
          <w:lang w:bidi="ar-SA"/>
          <w:color w:val="111111"/>
          <w:sz w:val="28"/>
          <w:szCs w:val="28"/>
          <w:rtl/>
        </w:rPr>
        <w:t xml:space="preserve">دمياطي ، احمد بن ابراهيم -نحاس احمد بن ابراهيم</w:t>
      </w:r>
    </w:p>
    <w:p>
      <w:pPr>
        <w:pStyle w:val="BookText"/>
      </w:pPr>
      <w:r>
        <w:rPr>
          <w:rFonts w:ascii="Amiri" w:hAnsi="Amiri" w:eastAsia="Amiri" w:cs="Amiri"/>
          <w:lang w:bidi="ar-SA"/>
          <w:color w:val="111111"/>
          <w:sz w:val="28"/>
          <w:szCs w:val="28"/>
          <w:rtl/>
        </w:rPr>
        <w:t xml:space="preserve">دمياطي ، احمد بن ايبك - حسامي ، احمد</w:t>
      </w:r>
    </w:p>
    <w:p>
      <w:pPr>
        <w:pStyle w:val="BookText"/>
      </w:pPr>
      <w:r>
        <w:rPr>
          <w:rFonts w:ascii="Amiri" w:hAnsi="Amiri" w:eastAsia="Amiri" w:cs="Amiri"/>
          <w:lang w:bidi="ar-SA"/>
          <w:color w:val="111111"/>
          <w:sz w:val="28"/>
          <w:szCs w:val="28"/>
          <w:rtl/>
        </w:rPr>
        <w:t xml:space="preserve">بن ايبك</w:t>
      </w:r>
    </w:p>
    <w:p>
      <w:pPr>
        <w:pStyle w:val="BookText"/>
      </w:pPr>
      <w:r>
        <w:rPr>
          <w:rFonts w:ascii="Amiri" w:hAnsi="Amiri" w:eastAsia="Amiri" w:cs="Amiri"/>
          <w:lang w:bidi="ar-SA"/>
          <w:color w:val="111111"/>
          <w:sz w:val="28"/>
          <w:szCs w:val="28"/>
          <w:rtl/>
        </w:rPr>
        <w:t xml:space="preserve">دمياطي ، احمد بن محمّد- بناء ، احمد</w:t>
      </w:r>
    </w:p>
    <w:p>
      <w:pPr>
        <w:pStyle w:val="BookText"/>
      </w:pPr>
      <w:r>
        <w:rPr>
          <w:rFonts w:ascii="Amiri" w:hAnsi="Amiri" w:eastAsia="Amiri" w:cs="Amiri"/>
          <w:lang w:bidi="ar-SA"/>
          <w:color w:val="111111"/>
          <w:sz w:val="28"/>
          <w:szCs w:val="28"/>
          <w:rtl/>
        </w:rPr>
        <w:t xml:space="preserve">بن محمّد</w:t>
      </w:r>
    </w:p>
    <w:p>
      <w:pPr>
        <w:pStyle w:val="Heading2"/>
      </w:pPr>
      <w:bookmarkStart w:id="4353" w:name="_Toc3455"/>
      <w:r>
        <w:t>دمياطي ، محمّد بن احمد - 921 ه-</w:t>
      </w:r>
      <w:bookmarkEnd w:id="4353"/>
    </w:p>
    <w:p>
      <w:pPr>
        <w:pStyle w:val="BookText"/>
      </w:pPr>
      <w:r>
        <w:rPr>
          <w:rFonts w:ascii="Amiri" w:hAnsi="Amiri" w:eastAsia="Amiri" w:cs="Amiri"/>
          <w:lang w:bidi="ar-SA"/>
          <w:color w:val="111111"/>
          <w:sz w:val="28"/>
          <w:szCs w:val="28"/>
          <w:rtl/>
        </w:rPr>
        <w:t xml:space="preserve">1 .سرور الراغبين في شرح منهاج</w:t>
      </w:r>
    </w:p>
    <w:p>
      <w:pPr>
        <w:pStyle w:val="BookText"/>
      </w:pPr>
      <w:r>
        <w:rPr>
          <w:rFonts w:ascii="Amiri" w:hAnsi="Amiri" w:eastAsia="Amiri" w:cs="Amiri"/>
          <w:lang w:bidi="ar-SA"/>
          <w:color w:val="111111"/>
          <w:sz w:val="28"/>
          <w:szCs w:val="28"/>
          <w:rtl/>
        </w:rPr>
        <w:t xml:space="preserve">الطالبين، ج8، ص 768.</w:t>
      </w:r>
    </w:p>
    <w:p>
      <w:pPr>
        <w:pStyle w:val="BookText"/>
      </w:pPr>
      <w:r>
        <w:rPr>
          <w:rFonts w:ascii="IRNazanin" w:hAnsi="IRNazanin" w:eastAsia="IRNazanin" w:cs="IRNazanin"/>
          <w:lang w:bidi="fa-IR"/>
          <w:color w:val="111111"/>
          <w:sz w:val="28"/>
          <w:szCs w:val="28"/>
          <w:rtl/>
        </w:rPr>
        <w:t xml:space="preserve">2 .القصيدة الدمياطية في الاسماء الحسنی، ج 12، ص 670.</w:t>
      </w:r>
    </w:p>
    <w:p>
      <w:pPr>
        <w:pStyle w:val="BookText"/>
      </w:pPr>
      <w:r>
        <w:rPr>
          <w:rFonts w:ascii="Amiri" w:hAnsi="Amiri" w:eastAsia="Amiri" w:cs="Amiri"/>
          <w:lang w:bidi="ar-SA"/>
          <w:color w:val="111111"/>
          <w:sz w:val="28"/>
          <w:szCs w:val="28"/>
          <w:rtl/>
        </w:rPr>
        <w:t xml:space="preserve">دمياطي ، محمّد بن محمّد ابن ميت ،</w:t>
      </w:r>
    </w:p>
    <w:p>
      <w:pPr>
        <w:pStyle w:val="BookText"/>
      </w:pPr>
      <w:r>
        <w:rPr>
          <w:rFonts w:ascii="Amiri" w:hAnsi="Amiri" w:eastAsia="Amiri" w:cs="Amiri"/>
          <w:lang w:bidi="ar-SA"/>
          <w:color w:val="111111"/>
          <w:sz w:val="28"/>
          <w:szCs w:val="28"/>
          <w:rtl/>
        </w:rPr>
        <w:t xml:space="preserve">محمّد بن محمّد</w:t>
      </w:r>
    </w:p>
    <w:p>
      <w:pPr>
        <w:pStyle w:val="Heading2"/>
      </w:pPr>
      <w:bookmarkStart w:id="4354" w:name="_Toc3456"/>
      <w:r>
        <w:t>دميري ، اسحاق بن ابراهيم - 833 ه-</w:t>
      </w:r>
      <w:bookmarkEnd w:id="4354"/>
    </w:p>
    <w:p>
      <w:pPr>
        <w:pStyle w:val="BookText"/>
      </w:pPr>
      <w:r>
        <w:rPr>
          <w:rFonts w:ascii="Amiri" w:hAnsi="Amiri" w:eastAsia="Amiri" w:cs="Amiri"/>
          <w:lang w:bidi="ar-SA"/>
          <w:color w:val="111111"/>
          <w:sz w:val="28"/>
          <w:szCs w:val="28"/>
          <w:rtl/>
        </w:rPr>
        <w:t xml:space="preserve">مثير الغرام في زيارة قبر الخليل عليه السلام، ج13، ص 779.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0" w:name="pg7742_70374"/>
    <w:bookmarkEnd w:id="490"/>
    <w:p>
      <w:pPr>
        <w:pStyle w:val="Heading2"/>
      </w:pPr>
      <w:bookmarkStart w:id="4355" w:name="_Toc3457"/>
      <w:r>
        <w:t>دميري، بهرام بن عبد الله، 734 - 805 ه-</w:t>
      </w:r>
      <w:bookmarkEnd w:id="4355"/>
    </w:p>
    <w:p>
      <w:pPr>
        <w:pStyle w:val="BookText"/>
      </w:pPr>
      <w:r>
        <w:rPr>
          <w:rFonts w:ascii="Amiri" w:hAnsi="Amiri" w:eastAsia="Amiri" w:cs="Amiri"/>
          <w:lang w:bidi="ar-SA"/>
          <w:color w:val="111111"/>
          <w:sz w:val="28"/>
          <w:szCs w:val="28"/>
          <w:rtl/>
        </w:rPr>
        <w:t xml:space="preserve">الشرح الكبير على مختصر الخليل</w:t>
      </w:r>
    </w:p>
    <w:p>
      <w:pPr>
        <w:pStyle w:val="BookText"/>
      </w:pPr>
      <w:r>
        <w:rPr>
          <w:rFonts w:ascii="IRNazanin" w:hAnsi="IRNazanin" w:eastAsia="IRNazanin" w:cs="IRNazanin"/>
          <w:lang w:bidi="fa-IR"/>
          <w:color w:val="111111"/>
          <w:sz w:val="28"/>
          <w:szCs w:val="28"/>
          <w:rtl/>
        </w:rPr>
        <w:t xml:space="preserve">ج 10، ص 43.</w:t>
      </w:r>
    </w:p>
    <w:p>
      <w:pPr>
        <w:pStyle w:val="Heading2"/>
      </w:pPr>
      <w:bookmarkStart w:id="4356" w:name="_Toc3458"/>
      <w:r>
        <w:t>دميري ، جمال الدين</w:t>
      </w:r>
      <w:bookmarkEnd w:id="4356"/>
    </w:p>
    <w:p>
      <w:pPr>
        <w:pStyle w:val="BookText"/>
      </w:pPr>
      <w:r>
        <w:rPr>
          <w:rFonts w:ascii="IRNazanin" w:hAnsi="IRNazanin" w:eastAsia="IRNazanin" w:cs="IRNazanin"/>
          <w:lang w:bidi="fa-IR"/>
          <w:color w:val="111111"/>
          <w:sz w:val="28"/>
          <w:szCs w:val="28"/>
          <w:rtl/>
        </w:rPr>
        <w:t xml:space="preserve">دعاء، ج 7، ص389.</w:t>
      </w:r>
    </w:p>
    <w:p>
      <w:pPr>
        <w:pStyle w:val="BookText"/>
      </w:pPr>
      <w:r>
        <w:rPr>
          <w:rFonts w:ascii="Amiri" w:hAnsi="Amiri" w:eastAsia="Amiri" w:cs="Amiri"/>
          <w:lang w:bidi="ar-SA"/>
          <w:color w:val="111111"/>
          <w:sz w:val="28"/>
          <w:szCs w:val="28"/>
          <w:rtl/>
        </w:rPr>
        <w:t xml:space="preserve">دميري ، عبد العزيز بن احمد -ديريني ،</w:t>
      </w:r>
    </w:p>
    <w:p>
      <w:pPr>
        <w:pStyle w:val="BookText"/>
      </w:pPr>
      <w:r>
        <w:rPr>
          <w:rFonts w:ascii="Amiri" w:hAnsi="Amiri" w:eastAsia="Amiri" w:cs="Amiri"/>
          <w:lang w:bidi="ar-SA"/>
          <w:color w:val="111111"/>
          <w:sz w:val="28"/>
          <w:szCs w:val="28"/>
          <w:rtl/>
        </w:rPr>
        <w:t xml:space="preserve">عبدالعزيز بن احمد</w:t>
      </w:r>
    </w:p>
    <w:p>
      <w:pPr>
        <w:pStyle w:val="BookText"/>
      </w:pPr>
      <w:r>
        <w:rPr>
          <w:rFonts w:ascii="Amiri" w:hAnsi="Amiri" w:eastAsia="Amiri" w:cs="Amiri"/>
          <w:lang w:bidi="ar-SA"/>
          <w:color w:val="111111"/>
          <w:sz w:val="28"/>
          <w:szCs w:val="28"/>
          <w:rtl/>
        </w:rPr>
        <w:t xml:space="preserve">دميري ، محمّد بن عبد الرزاق- شافعي ،</w:t>
      </w:r>
    </w:p>
    <w:p>
      <w:pPr>
        <w:pStyle w:val="BookText"/>
      </w:pPr>
      <w:r>
        <w:rPr>
          <w:rFonts w:ascii="IRNazanin" w:hAnsi="IRNazanin" w:eastAsia="IRNazanin" w:cs="IRNazanin"/>
          <w:lang w:bidi="fa-IR"/>
          <w:color w:val="111111"/>
          <w:sz w:val="28"/>
          <w:szCs w:val="28"/>
          <w:rtl/>
        </w:rPr>
        <w:t xml:space="preserve">محمّد بن عبدالرزاق</w:t>
      </w:r>
    </w:p>
    <w:p>
      <w:pPr>
        <w:pStyle w:val="Heading2"/>
      </w:pPr>
      <w:bookmarkStart w:id="4357" w:name="_Toc3459"/>
      <w:r>
        <w:t>دميري ، محمّد بن عبد القادر قرن 10 ه-</w:t>
      </w:r>
      <w:bookmarkEnd w:id="4357"/>
    </w:p>
    <w:p>
      <w:pPr>
        <w:pStyle w:val="BookText"/>
      </w:pPr>
      <w:r>
        <w:rPr>
          <w:rFonts w:ascii="Amiri" w:hAnsi="Amiri" w:eastAsia="Amiri" w:cs="Amiri"/>
          <w:lang w:bidi="ar-SA"/>
          <w:color w:val="111111"/>
          <w:sz w:val="28"/>
          <w:szCs w:val="28"/>
          <w:rtl/>
        </w:rPr>
        <w:t xml:space="preserve">حاوي الحسان من حياة الحيوان ج6،</w:t>
      </w:r>
    </w:p>
    <w:p>
      <w:pPr>
        <w:pStyle w:val="BookText"/>
      </w:pPr>
      <w:r>
        <w:rPr>
          <w:rFonts w:ascii="IRNazanin" w:hAnsi="IRNazanin" w:eastAsia="IRNazanin" w:cs="IRNazanin"/>
          <w:lang w:bidi="fa-IR"/>
          <w:color w:val="111111"/>
          <w:sz w:val="28"/>
          <w:szCs w:val="28"/>
          <w:rtl/>
        </w:rPr>
        <w:t xml:space="preserve">ص 458 .</w:t>
      </w:r>
    </w:p>
    <w:p>
      <w:pPr>
        <w:pStyle w:val="Heading2"/>
      </w:pPr>
      <w:bookmarkStart w:id="4358" w:name="_Toc3460"/>
      <w:r>
        <w:t>دميري ، محمّد بن موسى، 742 - 808 ه-</w:t>
      </w:r>
      <w:bookmarkEnd w:id="4358"/>
    </w:p>
    <w:p>
      <w:pPr>
        <w:pStyle w:val="BookText"/>
      </w:pPr>
      <w:r>
        <w:rPr>
          <w:rFonts w:ascii="Amiri" w:hAnsi="Amiri" w:eastAsia="Amiri" w:cs="Amiri"/>
          <w:lang w:bidi="ar-SA"/>
          <w:color w:val="111111"/>
          <w:sz w:val="28"/>
          <w:szCs w:val="28"/>
          <w:rtl/>
        </w:rPr>
        <w:t xml:space="preserve">1 .حياة الحيوان، ج6 ، ص 852.</w:t>
      </w:r>
    </w:p>
    <w:p>
      <w:pPr>
        <w:pStyle w:val="BookText"/>
      </w:pPr>
      <w:r>
        <w:rPr>
          <w:rFonts w:ascii="Amiri" w:hAnsi="Amiri" w:eastAsia="Amiri" w:cs="Amiri"/>
          <w:lang w:bidi="ar-SA"/>
          <w:color w:val="111111"/>
          <w:sz w:val="28"/>
          <w:szCs w:val="28"/>
          <w:rtl/>
        </w:rPr>
        <w:t xml:space="preserve">2 .حياة الحيوان الصغرى، ج 6،</w:t>
      </w:r>
    </w:p>
    <w:p>
      <w:pPr>
        <w:pStyle w:val="BookText"/>
      </w:pPr>
      <w:r>
        <w:rPr>
          <w:rFonts w:ascii="IRNazanin" w:hAnsi="IRNazanin" w:eastAsia="IRNazanin" w:cs="IRNazanin"/>
          <w:lang w:bidi="fa-IR"/>
          <w:color w:val="111111"/>
          <w:sz w:val="28"/>
          <w:szCs w:val="28"/>
          <w:rtl/>
        </w:rPr>
        <w:t xml:space="preserve">ص 853.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حياة الحيوان الكبرى، ج 6 ، ص 854.</w:t>
      </w:r>
    </w:p>
    <w:p>
      <w:pPr>
        <w:pStyle w:val="BookText"/>
      </w:pPr>
      <w:r>
        <w:rPr>
          <w:rFonts w:ascii="Amiri" w:hAnsi="Amiri" w:eastAsia="Amiri" w:cs="Amiri"/>
          <w:lang w:bidi="ar-SA"/>
          <w:color w:val="111111"/>
          <w:sz w:val="28"/>
          <w:szCs w:val="28"/>
          <w:rtl/>
        </w:rPr>
        <w:t xml:space="preserve">4 .رموز الكنوز، ج8، ص 366 .</w:t>
      </w:r>
    </w:p>
    <w:p>
      <w:pPr>
        <w:pStyle w:val="BookText"/>
      </w:pPr>
      <w:r>
        <w:rPr>
          <w:rFonts w:ascii="IRNazanin" w:hAnsi="IRNazanin" w:eastAsia="IRNazanin" w:cs="IRNazanin"/>
          <w:lang w:bidi="fa-IR"/>
          <w:color w:val="111111"/>
          <w:sz w:val="28"/>
          <w:szCs w:val="28"/>
          <w:rtl/>
        </w:rPr>
        <w:t xml:space="preserve">5 .عجائب المخلوقات، ج 11، ص 35.</w:t>
      </w:r>
    </w:p>
    <w:p>
      <w:pPr>
        <w:pStyle w:val="BookText"/>
      </w:pPr>
      <w:r>
        <w:rPr>
          <w:rFonts w:ascii="Amiri" w:hAnsi="Amiri" w:eastAsia="Amiri" w:cs="Amiri"/>
          <w:lang w:bidi="ar-SA"/>
          <w:color w:val="111111"/>
          <w:sz w:val="28"/>
          <w:szCs w:val="28"/>
          <w:rtl/>
        </w:rPr>
        <w:t xml:space="preserve">6 .الغيث الذي انسجم في شرح لامية</w:t>
      </w:r>
    </w:p>
    <w:p>
      <w:pPr>
        <w:pStyle w:val="BookText"/>
      </w:pPr>
      <w:r>
        <w:rPr>
          <w:rFonts w:ascii="IRNazanin" w:hAnsi="IRNazanin" w:eastAsia="IRNazanin" w:cs="IRNazanin"/>
          <w:lang w:bidi="fa-IR"/>
          <w:color w:val="111111"/>
          <w:sz w:val="28"/>
          <w:szCs w:val="28"/>
          <w:rtl/>
        </w:rPr>
        <w:t xml:space="preserve">العجم (مختصر)، ج11، ص558.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فائدة في الخضر عليه السلام، ج11،</w:t>
      </w:r>
    </w:p>
    <w:p>
      <w:pPr>
        <w:pStyle w:val="BookText"/>
      </w:pPr>
      <w:r>
        <w:rPr>
          <w:rFonts w:ascii="IRNazanin" w:hAnsi="IRNazanin" w:eastAsia="IRNazanin" w:cs="IRNazanin"/>
          <w:lang w:bidi="fa-IR"/>
          <w:color w:val="111111"/>
          <w:sz w:val="28"/>
          <w:szCs w:val="28"/>
          <w:rtl/>
        </w:rPr>
        <w:t xml:space="preserve">ص 574 .</w:t>
      </w:r>
    </w:p>
    <w:p>
      <w:pPr>
        <w:pStyle w:val="BookText"/>
      </w:pPr>
      <w:r>
        <w:rPr>
          <w:rFonts w:ascii="Amiri" w:hAnsi="Amiri" w:eastAsia="Amiri" w:cs="Amiri"/>
          <w:lang w:bidi="ar-SA"/>
          <w:color w:val="111111"/>
          <w:sz w:val="28"/>
          <w:szCs w:val="28"/>
          <w:rtl/>
        </w:rPr>
        <w:t xml:space="preserve">8 .لامية العجم (شرح)، ج13، ص 529 .</w:t>
      </w:r>
    </w:p>
    <w:p>
      <w:pPr>
        <w:pStyle w:val="BookText"/>
      </w:pPr>
      <w:r>
        <w:rPr>
          <w:rFonts w:ascii="Amiri" w:hAnsi="Amiri" w:eastAsia="Amiri" w:cs="Amiri"/>
          <w:lang w:bidi="ar-SA"/>
          <w:color w:val="111111"/>
          <w:sz w:val="28"/>
          <w:szCs w:val="28"/>
          <w:rtl/>
        </w:rPr>
        <w:t xml:space="preserve">9 .المقصد الأتم في شرح لامية العجم</w:t>
      </w:r>
    </w:p>
    <w:p>
      <w:pPr>
        <w:pStyle w:val="BookText"/>
      </w:pPr>
      <w:r>
        <w:rPr>
          <w:rFonts w:ascii="IRNazanin" w:hAnsi="IRNazanin" w:eastAsia="IRNazanin" w:cs="IRNazanin"/>
          <w:lang w:bidi="fa-IR"/>
          <w:color w:val="111111"/>
          <w:sz w:val="28"/>
          <w:szCs w:val="28"/>
          <w:rtl/>
        </w:rPr>
        <w:t xml:space="preserve">ج 15، ص 378.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النجم الوهاج في شرح المنهاج</w:t>
      </w:r>
    </w:p>
    <w:p>
      <w:pPr>
        <w:pStyle w:val="BookText"/>
      </w:pPr>
      <w:r>
        <w:rPr>
          <w:rFonts w:ascii="IRNazanin" w:hAnsi="IRNazanin" w:eastAsia="IRNazanin" w:cs="IRNazanin"/>
          <w:lang w:bidi="fa-IR"/>
          <w:color w:val="111111"/>
          <w:sz w:val="28"/>
          <w:szCs w:val="28"/>
          <w:rtl/>
        </w:rPr>
        <w:t xml:space="preserve">ج 16، ص 159 .</w:t>
      </w:r>
    </w:p>
    <w:p>
      <w:pPr>
        <w:pStyle w:val="BookText"/>
      </w:pPr>
      <w:r>
        <w:rPr>
          <w:rFonts w:ascii="Amiri" w:hAnsi="Amiri" w:eastAsia="Amiri" w:cs="Amiri"/>
          <w:lang w:bidi="ar-SA"/>
          <w:color w:val="111111"/>
          <w:sz w:val="28"/>
          <w:szCs w:val="28"/>
          <w:rtl/>
        </w:rPr>
        <w:t xml:space="preserve">دنبلي ، عبد الرزاق-مفتون دنبلي .</w:t>
      </w:r>
    </w:p>
    <w:p>
      <w:pPr>
        <w:pStyle w:val="BookText"/>
      </w:pPr>
      <w:r>
        <w:rPr>
          <w:rFonts w:ascii="Amiri" w:hAnsi="Amiri" w:eastAsia="Amiri" w:cs="Amiri"/>
          <w:lang w:bidi="ar-SA"/>
          <w:color w:val="111111"/>
          <w:sz w:val="28"/>
          <w:szCs w:val="28"/>
          <w:rtl/>
        </w:rPr>
        <w:t xml:space="preserve">عبد الرزاق بن نجفقلي</w:t>
      </w:r>
    </w:p>
    <w:p>
      <w:pPr>
        <w:pStyle w:val="Heading2"/>
      </w:pPr>
      <w:bookmarkStart w:id="4359" w:name="_Toc3461"/>
      <w:r>
        <w:t>دنبلي ، محمّد بن عبد الرزاق قرن 13 ه-</w:t>
      </w:r>
      <w:bookmarkEnd w:id="4359"/>
    </w:p>
    <w:p>
      <w:pPr>
        <w:pStyle w:val="BookText"/>
      </w:pPr>
      <w:r>
        <w:rPr>
          <w:rFonts w:ascii="IRNazanin" w:hAnsi="IRNazanin" w:eastAsia="IRNazanin" w:cs="IRNazanin"/>
          <w:lang w:bidi="fa-IR"/>
          <w:color w:val="111111"/>
          <w:sz w:val="28"/>
          <w:szCs w:val="28"/>
          <w:rtl/>
        </w:rPr>
        <w:t xml:space="preserve">شرح دیوان انوري، ج 9، ص 484</w:t>
      </w:r>
    </w:p>
    <w:p>
      <w:pPr>
        <w:pStyle w:val="BookText"/>
      </w:pPr>
      <w:r>
        <w:rPr>
          <w:rFonts w:ascii="Amiri" w:hAnsi="Amiri" w:eastAsia="Amiri" w:cs="Amiri"/>
          <w:lang w:bidi="ar-SA"/>
          <w:color w:val="111111"/>
          <w:sz w:val="28"/>
          <w:szCs w:val="28"/>
          <w:rtl/>
        </w:rPr>
        <w:t xml:space="preserve">دنجاوي ، محمّد بن ابي بكر- قادري</w:t>
      </w:r>
    </w:p>
    <w:p>
      <w:pPr>
        <w:pStyle w:val="BookText"/>
      </w:pPr>
      <w:r>
        <w:rPr>
          <w:rFonts w:ascii="Amiri" w:hAnsi="Amiri" w:eastAsia="Amiri" w:cs="Amiri"/>
          <w:lang w:bidi="ar-SA"/>
          <w:color w:val="111111"/>
          <w:sz w:val="28"/>
          <w:szCs w:val="28"/>
          <w:rtl/>
        </w:rPr>
        <w:t xml:space="preserve">انصاري ، محمّد بن ابي بكر</w:t>
      </w:r>
    </w:p>
    <w:p>
      <w:pPr>
        <w:pStyle w:val="BookText"/>
      </w:pPr>
      <w:r>
        <w:rPr>
          <w:rFonts w:ascii="Amiri" w:hAnsi="Amiri" w:eastAsia="Amiri" w:cs="Amiri"/>
          <w:lang w:bidi="ar-SA"/>
          <w:color w:val="111111"/>
          <w:sz w:val="28"/>
          <w:szCs w:val="28"/>
          <w:rtl/>
        </w:rPr>
        <w:t xml:space="preserve">دنقوز ، احمد بن علي جمعه -ديكقوز ، احمد بن عبدالله</w:t>
      </w:r>
    </w:p>
    <w:p>
      <w:pPr>
        <w:pStyle w:val="Heading2"/>
      </w:pPr>
      <w:bookmarkStart w:id="4360" w:name="_Toc3462"/>
      <w:r>
        <w:t>دنوشري ، عبدالله قرن 11 ه-</w:t>
      </w:r>
      <w:bookmarkEnd w:id="43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مجموعة الدنوشري، ج 14، ص 30.</w:t>
      </w:r>
    </w:p>
    <w:p>
      <w:pPr>
        <w:pStyle w:val="BookText"/>
      </w:pPr>
      <w:r>
        <w:rPr>
          <w:rFonts w:ascii="IRNazanin" w:hAnsi="IRNazanin" w:eastAsia="IRNazanin" w:cs="IRNazanin"/>
          <w:lang w:bidi="fa-IR"/>
          <w:color w:val="111111"/>
          <w:sz w:val="28"/>
          <w:szCs w:val="28"/>
          <w:rtl/>
        </w:rPr>
        <w:t xml:space="preserve">2 .منتخبات من الشعر، ج 15، ص 598.</w:t>
      </w:r>
    </w:p>
    <w:p>
      <w:pPr>
        <w:pStyle w:val="Heading2"/>
      </w:pPr>
      <w:bookmarkStart w:id="4361" w:name="_Toc3463"/>
      <w:r>
        <w:t>دنوشري ، عبد المنعم بن ابي بكر</w:t>
      </w:r>
      <w:bookmarkEnd w:id="4361"/>
    </w:p>
    <w:p>
      <w:pPr>
        <w:pStyle w:val="BookText"/>
      </w:pPr>
      <w:r>
        <w:rPr>
          <w:rFonts w:ascii="Amiri" w:hAnsi="Amiri" w:eastAsia="Amiri" w:cs="Amiri"/>
          <w:lang w:bidi="ar-SA"/>
          <w:color w:val="111111"/>
          <w:sz w:val="28"/>
          <w:szCs w:val="28"/>
          <w:rtl/>
        </w:rPr>
        <w:t xml:space="preserve">بغية السائل في المسائل، ج 3، ص 367.</w:t>
      </w:r>
    </w:p>
    <w:p>
      <w:pPr>
        <w:pStyle w:val="BookText"/>
      </w:pPr>
      <w:r>
        <w:rPr>
          <w:rFonts w:ascii="Amiri" w:hAnsi="Amiri" w:eastAsia="Amiri" w:cs="Amiri"/>
          <w:lang w:bidi="ar-SA"/>
          <w:color w:val="111111"/>
          <w:sz w:val="28"/>
          <w:szCs w:val="28"/>
          <w:rtl/>
        </w:rPr>
        <w:t xml:space="preserve">دهان ، تاج الدين بن احمد-ابن يعقوب</w:t>
      </w:r>
    </w:p>
    <w:p>
      <w:pPr>
        <w:pStyle w:val="BookText"/>
      </w:pPr>
      <w:r>
        <w:rPr>
          <w:rFonts w:ascii="Amiri" w:hAnsi="Amiri" w:eastAsia="Amiri" w:cs="Amiri"/>
          <w:lang w:bidi="ar-SA"/>
          <w:color w:val="111111"/>
          <w:sz w:val="28"/>
          <w:szCs w:val="28"/>
          <w:rtl/>
        </w:rPr>
        <w:t xml:space="preserve">، احمد بن ابراهيم</w:t>
      </w:r>
    </w:p>
    <w:p>
      <w:pPr>
        <w:pStyle w:val="Heading2"/>
      </w:pPr>
      <w:bookmarkStart w:id="4362" w:name="_Toc3464"/>
      <w:r>
        <w:t>دهخوارقاني ، محمّد یوسف بن محمّد</w:t>
      </w:r>
      <w:bookmarkEnd w:id="4362"/>
    </w:p>
    <w:p>
      <w:pPr>
        <w:pStyle w:val="BookText"/>
      </w:pPr>
      <w:r>
        <w:rPr>
          <w:rFonts w:ascii="IRNazanin" w:hAnsi="IRNazanin" w:eastAsia="IRNazanin" w:cs="IRNazanin"/>
          <w:lang w:bidi="fa-IR"/>
          <w:color w:val="111111"/>
          <w:sz w:val="28"/>
          <w:szCs w:val="28"/>
          <w:rtl/>
        </w:rPr>
        <w:t xml:space="preserve">،بیگ - 1073 ه-</w:t>
      </w:r>
    </w:p>
    <w:p>
      <w:pPr>
        <w:pStyle w:val="BookText"/>
      </w:pPr>
      <w:r>
        <w:rPr>
          <w:rFonts w:ascii="Amiri" w:hAnsi="Amiri" w:eastAsia="Amiri" w:cs="Amiri"/>
          <w:lang w:bidi="ar-SA"/>
          <w:color w:val="111111"/>
          <w:sz w:val="28"/>
          <w:szCs w:val="28"/>
          <w:rtl/>
        </w:rPr>
        <w:t xml:space="preserve">نوحة الاحزان و صيحة الاشجان، ج 16،</w:t>
      </w:r>
    </w:p>
    <w:p>
      <w:pPr>
        <w:pStyle w:val="BookText"/>
      </w:pPr>
      <w:r>
        <w:rPr>
          <w:rFonts w:ascii="IRNazanin" w:hAnsi="IRNazanin" w:eastAsia="IRNazanin" w:cs="IRNazanin"/>
          <w:lang w:bidi="fa-IR"/>
          <w:color w:val="111111"/>
          <w:sz w:val="28"/>
          <w:szCs w:val="28"/>
          <w:rtl/>
        </w:rPr>
        <w:t xml:space="preserve">ص 550.</w:t>
      </w:r>
    </w:p>
    <w:p>
      <w:pPr>
        <w:pStyle w:val="BookText"/>
      </w:pPr>
      <w:r>
        <w:rPr>
          <w:rFonts w:ascii="Amiri" w:hAnsi="Amiri" w:eastAsia="Amiri" w:cs="Amiri"/>
          <w:lang w:bidi="ar-SA"/>
          <w:color w:val="111111"/>
          <w:sz w:val="28"/>
          <w:szCs w:val="28"/>
          <w:rtl/>
        </w:rPr>
        <w:t xml:space="preserve">دهدار ، احمد بن محمود -فاني شيرازي</w:t>
      </w:r>
    </w:p>
    <w:p>
      <w:pPr>
        <w:pStyle w:val="BookText"/>
      </w:pPr>
      <w:r>
        <w:rPr>
          <w:rFonts w:ascii="IRNazanin" w:hAnsi="IRNazanin" w:eastAsia="IRNazanin" w:cs="IRNazanin"/>
          <w:lang w:bidi="fa-IR"/>
          <w:color w:val="111111"/>
          <w:sz w:val="28"/>
          <w:szCs w:val="28"/>
          <w:rtl/>
        </w:rPr>
        <w:t xml:space="preserve">دهدار ، محمّد بن محمود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1" w:name="pg7742_70377"/>
    <w:bookmarkEnd w:id="491"/>
    <w:p>
      <w:pPr>
        <w:pStyle w:val="Heading2"/>
      </w:pPr>
      <w:bookmarkStart w:id="4363" w:name="_Toc3465"/>
      <w:r>
        <w:t>دهدار عياني محمود بن محمّد قرن 10ه-</w:t>
      </w:r>
      <w:bookmarkEnd w:id="4363"/>
    </w:p>
    <w:p>
      <w:pPr>
        <w:pStyle w:val="BookText"/>
      </w:pPr>
      <w:r>
        <w:rPr>
          <w:rFonts w:ascii="Amiri" w:hAnsi="Amiri" w:eastAsia="Amiri" w:cs="Amiri"/>
          <w:lang w:bidi="ar-SA"/>
          <w:color w:val="111111"/>
          <w:sz w:val="28"/>
          <w:szCs w:val="28"/>
          <w:rtl/>
        </w:rPr>
        <w:t xml:space="preserve">1 .جوامع الفوايد في حصول المقاصد</w:t>
      </w:r>
    </w:p>
    <w:p>
      <w:pPr>
        <w:pStyle w:val="BookText"/>
      </w:pPr>
      <w:r>
        <w:rPr>
          <w:rFonts w:ascii="IRNazanin" w:hAnsi="IRNazanin" w:eastAsia="IRNazanin" w:cs="IRNazanin"/>
          <w:lang w:bidi="fa-IR"/>
          <w:color w:val="111111"/>
          <w:sz w:val="28"/>
          <w:szCs w:val="28"/>
          <w:rtl/>
        </w:rPr>
        <w:t xml:space="preserve">ج 5، ص 530.</w:t>
      </w:r>
    </w:p>
    <w:p>
      <w:pPr>
        <w:pStyle w:val="BookText"/>
      </w:pPr>
      <w:r>
        <w:rPr>
          <w:rFonts w:ascii="Amiri" w:hAnsi="Amiri" w:eastAsia="Amiri" w:cs="Amiri"/>
          <w:lang w:bidi="ar-SA"/>
          <w:color w:val="111111"/>
          <w:sz w:val="28"/>
          <w:szCs w:val="28"/>
          <w:rtl/>
        </w:rPr>
        <w:t xml:space="preserve">2 .جواهر الاسرار في الجفر المنقول عن</w:t>
      </w:r>
    </w:p>
    <w:p>
      <w:pPr>
        <w:pStyle w:val="BookText"/>
      </w:pPr>
      <w:r>
        <w:rPr>
          <w:rFonts w:ascii="Amiri" w:hAnsi="Amiri" w:eastAsia="Amiri" w:cs="Amiri"/>
          <w:lang w:bidi="ar-SA"/>
          <w:color w:val="111111"/>
          <w:sz w:val="28"/>
          <w:szCs w:val="28"/>
          <w:rtl/>
        </w:rPr>
        <w:t xml:space="preserve">الائمة الاطهار، ج 5، ص 538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زبدة الاسرار و خلاصة الاذكار، ج 8،</w:t>
      </w:r>
    </w:p>
    <w:p>
      <w:pPr>
        <w:pStyle w:val="BookText"/>
      </w:pPr>
      <w:r>
        <w:rPr>
          <w:rFonts w:ascii="IRNazanin" w:hAnsi="IRNazanin" w:eastAsia="IRNazanin" w:cs="IRNazanin"/>
          <w:lang w:bidi="fa-IR"/>
          <w:color w:val="111111"/>
          <w:sz w:val="28"/>
          <w:szCs w:val="28"/>
          <w:rtl/>
        </w:rPr>
        <w:t xml:space="preserve">ص 552 .</w:t>
      </w:r>
    </w:p>
    <w:p>
      <w:pPr>
        <w:pStyle w:val="BookText"/>
      </w:pPr>
      <w:r>
        <w:rPr>
          <w:rFonts w:ascii="Amiri" w:hAnsi="Amiri" w:eastAsia="Amiri" w:cs="Amiri"/>
          <w:lang w:bidi="ar-SA"/>
          <w:color w:val="111111"/>
          <w:sz w:val="28"/>
          <w:szCs w:val="28"/>
          <w:rtl/>
        </w:rPr>
        <w:t xml:space="preserve">4 .زبدة الالواح، ج 8، ص 564.</w:t>
      </w:r>
    </w:p>
    <w:p>
      <w:pPr>
        <w:pStyle w:val="BookText"/>
      </w:pPr>
      <w:r>
        <w:rPr>
          <w:rFonts w:ascii="Amiri" w:hAnsi="Amiri" w:eastAsia="Amiri" w:cs="Amiri"/>
          <w:lang w:bidi="ar-SA"/>
          <w:color w:val="111111"/>
          <w:sz w:val="28"/>
          <w:szCs w:val="28"/>
          <w:rtl/>
        </w:rPr>
        <w:t xml:space="preserve">دهدار ، محمّد بن محمود -فاني شيرازي</w:t>
      </w:r>
    </w:p>
    <w:p>
      <w:pPr>
        <w:pStyle w:val="BookText"/>
      </w:pPr>
      <w:r>
        <w:rPr>
          <w:rFonts w:ascii="IRNazanin" w:hAnsi="IRNazanin" w:eastAsia="IRNazanin" w:cs="IRNazanin"/>
          <w:lang w:bidi="fa-IR"/>
          <w:color w:val="111111"/>
          <w:sz w:val="28"/>
          <w:szCs w:val="28"/>
          <w:rtl/>
        </w:rPr>
        <w:t xml:space="preserve">دهدار ، محمّد بن محمود</w:t>
      </w:r>
    </w:p>
    <w:p>
      <w:pPr>
        <w:pStyle w:val="BookText"/>
      </w:pPr>
      <w:r>
        <w:rPr>
          <w:rFonts w:ascii="Amiri" w:hAnsi="Amiri" w:eastAsia="Amiri" w:cs="Amiri"/>
          <w:lang w:bidi="ar-SA"/>
          <w:color w:val="111111"/>
          <w:sz w:val="28"/>
          <w:szCs w:val="28"/>
          <w:rtl/>
        </w:rPr>
        <w:t xml:space="preserve">دهدشتي ، محمّد باقر بن عبد الكريم- بهبهاني ، محمّد باقر بن عبدالكريم</w:t>
      </w:r>
    </w:p>
    <w:p>
      <w:pPr>
        <w:pStyle w:val="BookText"/>
      </w:pPr>
      <w:r>
        <w:rPr>
          <w:rFonts w:ascii="Amiri" w:hAnsi="Amiri" w:eastAsia="Amiri" w:cs="Amiri"/>
          <w:lang w:bidi="ar-SA"/>
          <w:color w:val="111111"/>
          <w:sz w:val="28"/>
          <w:szCs w:val="28"/>
          <w:rtl/>
        </w:rPr>
        <w:t xml:space="preserve">دهدشتي نجفي ، محمّد باقر -بهبهاني</w:t>
      </w:r>
    </w:p>
    <w:p>
      <w:pPr>
        <w:pStyle w:val="BookText"/>
      </w:pPr>
      <w:r>
        <w:rPr>
          <w:rFonts w:ascii="Amiri" w:hAnsi="Amiri" w:eastAsia="Amiri" w:cs="Amiri"/>
          <w:lang w:bidi="ar-SA"/>
          <w:color w:val="111111"/>
          <w:sz w:val="28"/>
          <w:szCs w:val="28"/>
          <w:rtl/>
        </w:rPr>
        <w:t xml:space="preserve">محمد باقر بن عبدالكريم</w:t>
      </w:r>
    </w:p>
    <w:p>
      <w:pPr>
        <w:pStyle w:val="BookText"/>
      </w:pPr>
      <w:r>
        <w:rPr>
          <w:rFonts w:ascii="Amiri" w:hAnsi="Amiri" w:eastAsia="Amiri" w:cs="Amiri"/>
          <w:lang w:bidi="ar-SA"/>
          <w:color w:val="111111"/>
          <w:sz w:val="28"/>
          <w:szCs w:val="28"/>
          <w:rtl/>
        </w:rPr>
        <w:t xml:space="preserve">دهشه حموي ، محمود بن احمد- ابن</w:t>
      </w:r>
    </w:p>
    <w:p>
      <w:pPr>
        <w:pStyle w:val="BookText"/>
      </w:pPr>
      <w:r>
        <w:rPr>
          <w:rFonts w:ascii="Amiri" w:hAnsi="Amiri" w:eastAsia="Amiri" w:cs="Amiri"/>
          <w:lang w:bidi="ar-SA"/>
          <w:color w:val="111111"/>
          <w:sz w:val="28"/>
          <w:szCs w:val="28"/>
          <w:rtl/>
        </w:rPr>
        <w:t xml:space="preserve">خطيب الدهشة ، محمود بن احمد</w:t>
      </w:r>
    </w:p>
    <w:p>
      <w:pPr>
        <w:pStyle w:val="BookText"/>
      </w:pPr>
      <w:r>
        <w:rPr>
          <w:rFonts w:ascii="Amiri" w:hAnsi="Amiri" w:eastAsia="Amiri" w:cs="Amiri"/>
          <w:lang w:bidi="ar-SA"/>
          <w:color w:val="111111"/>
          <w:sz w:val="28"/>
          <w:szCs w:val="28"/>
          <w:rtl/>
        </w:rPr>
        <w:t xml:space="preserve">ده ده ، احمد -منجم باشي ، احمد بن</w:t>
      </w:r>
    </w:p>
    <w:p>
      <w:pPr>
        <w:pStyle w:val="BookText"/>
      </w:pPr>
      <w:r>
        <w:rPr>
          <w:rFonts w:ascii="IRNazanin" w:hAnsi="IRNazanin" w:eastAsia="IRNazanin" w:cs="IRNazanin"/>
          <w:lang w:bidi="fa-IR"/>
          <w:color w:val="111111"/>
          <w:sz w:val="28"/>
          <w:szCs w:val="28"/>
          <w:rtl/>
        </w:rPr>
        <w:t xml:space="preserve">لطف الله</w:t>
      </w:r>
    </w:p>
    <w:p>
      <w:pPr>
        <w:pStyle w:val="Heading2"/>
      </w:pPr>
      <w:bookmarkStart w:id="4364" w:name="_Toc3466"/>
      <w:r>
        <w:t>دهري ، ابراهیم بن محمّد باقر</w:t>
      </w:r>
      <w:bookmarkEnd w:id="4364"/>
    </w:p>
    <w:p>
      <w:pPr>
        <w:pStyle w:val="BookText"/>
      </w:pPr>
      <w:r>
        <w:rPr>
          <w:rFonts w:ascii="Amiri" w:hAnsi="Amiri" w:eastAsia="Amiri" w:cs="Amiri"/>
          <w:lang w:bidi="ar-SA"/>
          <w:color w:val="111111"/>
          <w:sz w:val="28"/>
          <w:szCs w:val="28"/>
          <w:rtl/>
        </w:rPr>
        <w:t xml:space="preserve">حكم الصلاة بالمقوي (رسالة في)، ج 6،</w:t>
      </w:r>
    </w:p>
    <w:p>
      <w:pPr>
        <w:pStyle w:val="BookText"/>
      </w:pPr>
      <w:r>
        <w:rPr>
          <w:rFonts w:ascii="IRNazanin" w:hAnsi="IRNazanin" w:eastAsia="IRNazanin" w:cs="IRNazanin"/>
          <w:lang w:bidi="fa-IR"/>
          <w:color w:val="111111"/>
          <w:sz w:val="28"/>
          <w:szCs w:val="28"/>
          <w:rtl/>
        </w:rPr>
        <w:t xml:space="preserve">ص 756 .</w:t>
      </w:r>
    </w:p>
    <w:p>
      <w:pPr>
        <w:pStyle w:val="Heading2"/>
      </w:pPr>
      <w:bookmarkStart w:id="4365" w:name="_Toc3467"/>
      <w:r>
        <w:t>دهقان ، ابو اسحاق</w:t>
      </w:r>
      <w:bookmarkEnd w:id="4365"/>
    </w:p>
    <w:p>
      <w:pPr>
        <w:pStyle w:val="BookText"/>
      </w:pPr>
      <w:r>
        <w:rPr>
          <w:rFonts w:ascii="IRNazanin" w:hAnsi="IRNazanin" w:eastAsia="IRNazanin" w:cs="IRNazanin"/>
          <w:lang w:bidi="fa-IR"/>
          <w:color w:val="111111"/>
          <w:sz w:val="28"/>
          <w:szCs w:val="28"/>
          <w:rtl/>
        </w:rPr>
        <w:t xml:space="preserve">شرح مجالس المحاسن، ج10، ص97.</w:t>
      </w:r>
    </w:p>
    <w:p>
      <w:pPr>
        <w:pStyle w:val="Heading2"/>
      </w:pPr>
      <w:bookmarkStart w:id="4366" w:name="_Toc3468"/>
      <w:r>
        <w:t>دهقساني ، محمّد بن محمّد - 615 ه-</w:t>
      </w:r>
      <w:bookmarkEnd w:id="4366"/>
    </w:p>
    <w:p>
      <w:pPr>
        <w:pStyle w:val="BookText"/>
      </w:pPr>
      <w:r>
        <w:rPr>
          <w:rFonts w:ascii="Amiri" w:hAnsi="Amiri" w:eastAsia="Amiri" w:cs="Amiri"/>
          <w:lang w:bidi="ar-SA"/>
          <w:color w:val="111111"/>
          <w:sz w:val="28"/>
          <w:szCs w:val="28"/>
          <w:rtl/>
        </w:rPr>
        <w:t xml:space="preserve">اربعون حديثا مختارا، ج 1، ص732.</w:t>
      </w:r>
    </w:p>
    <w:p>
      <w:pPr>
        <w:pStyle w:val="Heading2"/>
      </w:pPr>
      <w:bookmarkStart w:id="4367" w:name="_Toc3469"/>
      <w:r>
        <w:t>دهكردي ، محمّد مؤمن بن محمّد حسين</w:t>
      </w:r>
      <w:bookmarkEnd w:id="4367"/>
    </w:p>
    <w:p>
      <w:pPr>
        <w:pStyle w:val="BookText"/>
      </w:pPr>
      <w:r>
        <w:rPr>
          <w:rFonts w:ascii="Amiri" w:hAnsi="Amiri" w:eastAsia="Amiri" w:cs="Amiri"/>
          <w:lang w:bidi="ar-SA"/>
          <w:color w:val="111111"/>
          <w:sz w:val="28"/>
          <w:szCs w:val="28"/>
          <w:rtl/>
        </w:rPr>
        <w:t xml:space="preserve">ترجمة الصلاة، ج 4، ص 284.</w:t>
      </w:r>
    </w:p>
    <w:p>
      <w:pPr>
        <w:pStyle w:val="Heading2"/>
      </w:pPr>
      <w:bookmarkStart w:id="4368" w:name="_Toc3470"/>
      <w:r>
        <w:t>دهلوي، ابراهيم قرن 11 ه-</w:t>
      </w:r>
      <w:bookmarkEnd w:id="4368"/>
    </w:p>
    <w:p>
      <w:pPr>
        <w:pStyle w:val="BookText"/>
      </w:pPr>
      <w:r>
        <w:rPr>
          <w:rFonts w:ascii="Amiri" w:hAnsi="Amiri" w:eastAsia="Amiri" w:cs="Amiri"/>
          <w:lang w:bidi="ar-SA"/>
          <w:color w:val="111111"/>
          <w:sz w:val="28"/>
          <w:szCs w:val="28"/>
          <w:rtl/>
        </w:rPr>
        <w:t xml:space="preserve">التقويم (رسالة في)، ج4، ص794.</w:t>
      </w:r>
    </w:p>
    <w:p>
      <w:pPr>
        <w:pStyle w:val="BookText"/>
      </w:pPr>
      <w:r>
        <w:rPr>
          <w:rFonts w:ascii="IRNazanin" w:hAnsi="IRNazanin" w:eastAsia="IRNazanin" w:cs="IRNazanin"/>
          <w:lang w:bidi="fa-IR"/>
          <w:color w:val="111111"/>
          <w:sz w:val="28"/>
          <w:szCs w:val="28"/>
          <w:rtl/>
        </w:rPr>
        <w:t xml:space="preserve">دهلوي ، ابو عبدالعزیز احمد بن عبد الرحیم -شاه ولي الله ، احمد بن عبدالرحیم</w:t>
      </w:r>
    </w:p>
    <w:p>
      <w:pPr>
        <w:pStyle w:val="BookText"/>
      </w:pPr>
      <w:r>
        <w:rPr>
          <w:rFonts w:ascii="Amiri" w:hAnsi="Amiri" w:eastAsia="Amiri" w:cs="Amiri"/>
          <w:lang w:bidi="ar-SA"/>
          <w:color w:val="111111"/>
          <w:sz w:val="28"/>
          <w:szCs w:val="28"/>
          <w:rtl/>
        </w:rPr>
        <w:t xml:space="preserve">دهلوي ، احمد بن عبد الرحيم -شاه ولي</w:t>
      </w:r>
    </w:p>
    <w:p>
      <w:pPr>
        <w:pStyle w:val="BookText"/>
      </w:pPr>
      <w:r>
        <w:rPr>
          <w:rFonts w:ascii="Amiri" w:hAnsi="Amiri" w:eastAsia="Amiri" w:cs="Amiri"/>
          <w:lang w:bidi="ar-SA"/>
          <w:color w:val="111111"/>
          <w:sz w:val="28"/>
          <w:szCs w:val="28"/>
          <w:rtl/>
        </w:rPr>
        <w:t xml:space="preserve">الله ، احمد بن عبدالرحيم</w:t>
      </w:r>
    </w:p>
    <w:p>
      <w:pPr>
        <w:pStyle w:val="BookText"/>
      </w:pPr>
      <w:r>
        <w:rPr>
          <w:rFonts w:ascii="IRNazanin" w:hAnsi="IRNazanin" w:eastAsia="IRNazanin" w:cs="IRNazanin"/>
          <w:lang w:bidi="fa-IR"/>
          <w:color w:val="111111"/>
          <w:sz w:val="28"/>
          <w:szCs w:val="28"/>
          <w:rtl/>
        </w:rPr>
        <w:t xml:space="preserve">دهلوي چشتي ، مسعود بك -بخشي</w:t>
      </w:r>
    </w:p>
    <w:p>
      <w:pPr>
        <w:pStyle w:val="BookText"/>
      </w:pPr>
      <w:r>
        <w:rPr>
          <w:rFonts w:ascii="IRNazanin" w:hAnsi="IRNazanin" w:eastAsia="IRNazanin" w:cs="IRNazanin"/>
          <w:lang w:bidi="fa-IR"/>
          <w:color w:val="111111"/>
          <w:sz w:val="28"/>
          <w:szCs w:val="28"/>
          <w:rtl/>
        </w:rPr>
        <w:t xml:space="preserve">شیرخان ، احمد بن محمّد</w:t>
      </w:r>
    </w:p>
    <w:p>
      <w:pPr>
        <w:pStyle w:val="Heading2"/>
      </w:pPr>
      <w:bookmarkStart w:id="4369" w:name="_Toc3471"/>
      <w:r>
        <w:t>دهلوي ، حسن بن امان الله قرن 13 ه-</w:t>
      </w:r>
      <w:bookmarkEnd w:id="4369"/>
    </w:p>
    <w:p>
      <w:pPr>
        <w:pStyle w:val="BookText"/>
      </w:pPr>
      <w:r>
        <w:rPr>
          <w:rFonts w:ascii="Amiri" w:hAnsi="Amiri" w:eastAsia="Amiri" w:cs="Amiri"/>
          <w:lang w:bidi="ar-SA"/>
          <w:color w:val="111111"/>
          <w:sz w:val="28"/>
          <w:szCs w:val="28"/>
          <w:rtl/>
        </w:rPr>
        <w:t xml:space="preserve">1 .تنقيح الاصول، ج 5، ص 61.</w:t>
      </w:r>
    </w:p>
    <w:p>
      <w:pPr>
        <w:pStyle w:val="BookText"/>
      </w:pPr>
      <w:r>
        <w:rPr>
          <w:rFonts w:ascii="Amiri" w:hAnsi="Amiri" w:eastAsia="Amiri" w:cs="Amiri"/>
          <w:lang w:bidi="ar-SA"/>
          <w:color w:val="111111"/>
          <w:sz w:val="28"/>
          <w:szCs w:val="28"/>
          <w:rtl/>
        </w:rPr>
        <w:t xml:space="preserve">2 .صلاة الآيات (رسالة في)، ج 10،</w:t>
      </w:r>
    </w:p>
    <w:p>
      <w:pPr>
        <w:pStyle w:val="BookText"/>
      </w:pPr>
      <w:r>
        <w:rPr>
          <w:rFonts w:ascii="IRNazanin" w:hAnsi="IRNazanin" w:eastAsia="IRNazanin" w:cs="IRNazanin"/>
          <w:lang w:bidi="fa-IR"/>
          <w:color w:val="111111"/>
          <w:sz w:val="28"/>
          <w:szCs w:val="28"/>
          <w:rtl/>
        </w:rPr>
        <w:t xml:space="preserve">ص 593.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صلاة العابدين( رسالة في)، ج 10،</w:t>
      </w:r>
    </w:p>
    <w:p>
      <w:pPr>
        <w:pStyle w:val="BookText"/>
      </w:pPr>
      <w:r>
        <w:rPr>
          <w:rFonts w:ascii="IRNazanin" w:hAnsi="IRNazanin" w:eastAsia="IRNazanin" w:cs="IRNazanin"/>
          <w:lang w:bidi="fa-IR"/>
          <w:color w:val="111111"/>
          <w:sz w:val="28"/>
          <w:szCs w:val="28"/>
          <w:rtl/>
        </w:rPr>
        <w:t xml:space="preserve">ص 608 .</w:t>
      </w:r>
    </w:p>
    <w:p>
      <w:pPr>
        <w:pStyle w:val="BookText"/>
      </w:pPr>
      <w:r>
        <w:rPr>
          <w:rFonts w:ascii="Amiri" w:hAnsi="Amiri" w:eastAsia="Amiri" w:cs="Amiri"/>
          <w:lang w:bidi="ar-SA"/>
          <w:color w:val="111111"/>
          <w:sz w:val="28"/>
          <w:szCs w:val="28"/>
          <w:rtl/>
        </w:rPr>
        <w:t xml:space="preserve">4 .كشف الظلام و قشع الغمام، ج13،</w:t>
      </w:r>
    </w:p>
    <w:p>
      <w:pPr>
        <w:pStyle w:val="BookText"/>
      </w:pPr>
      <w:r>
        <w:rPr>
          <w:rFonts w:ascii="IRNazanin" w:hAnsi="IRNazanin" w:eastAsia="IRNazanin" w:cs="IRNazanin"/>
          <w:lang w:bidi="fa-IR"/>
          <w:color w:val="111111"/>
          <w:sz w:val="28"/>
          <w:szCs w:val="28"/>
          <w:rtl/>
        </w:rPr>
        <w:t xml:space="preserve">ص 225.</w:t>
      </w:r>
    </w:p>
    <w:p>
      <w:pPr>
        <w:pStyle w:val="BookText"/>
      </w:pPr>
      <w:r>
        <w:rPr>
          <w:rFonts w:ascii="IRNazanin" w:hAnsi="IRNazanin" w:eastAsia="IRNazanin" w:cs="IRNazanin"/>
          <w:lang w:bidi="fa-IR"/>
          <w:color w:val="111111"/>
          <w:sz w:val="28"/>
          <w:szCs w:val="28"/>
          <w:rtl/>
        </w:rPr>
        <w:t xml:space="preserve">دهلوي حسيني ، محمّد بن یوسف -گیسو دراز ، محمّد بن یوسف</w:t>
      </w:r>
    </w:p>
    <w:p>
      <w:pPr>
        <w:pStyle w:val="BookText"/>
      </w:pPr>
      <w:r>
        <w:rPr>
          <w:rFonts w:ascii="Amiri" w:hAnsi="Amiri" w:eastAsia="Amiri" w:cs="Amiri"/>
          <w:lang w:bidi="ar-SA"/>
          <w:color w:val="111111"/>
          <w:sz w:val="28"/>
          <w:szCs w:val="28"/>
          <w:rtl/>
        </w:rPr>
        <w:t xml:space="preserve">دهلوي ، روشنعلي بن عبد الرسول -فيض</w:t>
      </w:r>
    </w:p>
    <w:p>
      <w:pPr>
        <w:pStyle w:val="BookText"/>
      </w:pPr>
      <w:r>
        <w:rPr>
          <w:rFonts w:ascii="Amiri" w:hAnsi="Amiri" w:eastAsia="Amiri" w:cs="Amiri"/>
          <w:lang w:bidi="ar-SA"/>
          <w:color w:val="111111"/>
          <w:sz w:val="28"/>
          <w:szCs w:val="28"/>
          <w:rtl/>
        </w:rPr>
        <w:t xml:space="preserve">آبادي ، روشنعلي بن عبدالرسول</w:t>
      </w:r>
    </w:p>
    <w:p>
      <w:pPr>
        <w:pStyle w:val="Heading2"/>
      </w:pPr>
      <w:bookmarkStart w:id="4370" w:name="_Toc3472"/>
      <w:r>
        <w:t>دهلوي، سليمان بن عبد الحق -1050ه-</w:t>
      </w:r>
      <w:bookmarkEnd w:id="4370"/>
    </w:p>
    <w:p>
      <w:pPr>
        <w:pStyle w:val="BookText"/>
      </w:pPr>
      <w:r>
        <w:rPr>
          <w:rFonts w:ascii="Amiri" w:hAnsi="Amiri" w:eastAsia="Amiri" w:cs="Amiri"/>
          <w:lang w:bidi="ar-SA"/>
          <w:color w:val="111111"/>
          <w:sz w:val="28"/>
          <w:szCs w:val="28"/>
          <w:rtl/>
        </w:rPr>
        <w:t xml:space="preserve">مباحث الإمامة، ج 13، ص 712.</w:t>
      </w:r>
    </w:p>
    <w:p>
      <w:pPr>
        <w:pStyle w:val="BookText"/>
      </w:pPr>
      <w:r>
        <w:rPr>
          <w:rFonts w:ascii="Amiri" w:hAnsi="Amiri" w:eastAsia="Amiri" w:cs="Amiri"/>
          <w:lang w:bidi="ar-SA"/>
          <w:color w:val="111111"/>
          <w:sz w:val="28"/>
          <w:szCs w:val="28"/>
          <w:rtl/>
        </w:rPr>
        <w:t xml:space="preserve">دهلوي ، شاه ولي الله- شاه ولي الله ، احمد</w:t>
      </w:r>
    </w:p>
    <w:p>
      <w:pPr>
        <w:pStyle w:val="BookText"/>
      </w:pPr>
      <w:r>
        <w:rPr>
          <w:rFonts w:ascii="Amiri" w:hAnsi="Amiri" w:eastAsia="Amiri" w:cs="Amiri"/>
          <w:lang w:bidi="ar-SA"/>
          <w:color w:val="111111"/>
          <w:sz w:val="28"/>
          <w:szCs w:val="28"/>
          <w:rtl/>
        </w:rPr>
        <w:t xml:space="preserve">بن عبدالرحيم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2" w:name="pg7742_70379"/>
    <w:bookmarkEnd w:id="492"/>
    <w:p>
      <w:pPr>
        <w:pStyle w:val="Heading2"/>
      </w:pPr>
      <w:bookmarkStart w:id="4371" w:name="_Toc3473"/>
      <w:r>
        <w:t>دهلوي، صفدر علي بن حيدر علي قرن</w:t>
      </w:r>
      <w:bookmarkEnd w:id="4371"/>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تقريرات في الاصول، ج 4، ص 768.</w:t>
      </w:r>
    </w:p>
    <w:p>
      <w:pPr>
        <w:pStyle w:val="BookText"/>
      </w:pPr>
      <w:r>
        <w:rPr>
          <w:rFonts w:ascii="Amiri" w:hAnsi="Amiri" w:eastAsia="Amiri" w:cs="Amiri"/>
          <w:lang w:bidi="ar-SA"/>
          <w:color w:val="111111"/>
          <w:sz w:val="28"/>
          <w:szCs w:val="28"/>
          <w:rtl/>
        </w:rPr>
        <w:t xml:space="preserve">دهلوي ، صفي الدين بن</w:t>
      </w:r>
    </w:p>
    <w:p>
      <w:pPr>
        <w:pStyle w:val="BookText"/>
      </w:pPr>
      <w:r>
        <w:rPr>
          <w:rFonts w:ascii="Amiri" w:hAnsi="Amiri" w:eastAsia="Amiri" w:cs="Amiri"/>
          <w:lang w:bidi="ar-SA"/>
          <w:color w:val="111111"/>
          <w:sz w:val="28"/>
          <w:szCs w:val="28"/>
          <w:rtl/>
        </w:rPr>
        <w:t xml:space="preserve">نصير الدين - معلم دهلوي ، صفي الدين بن</w:t>
      </w:r>
    </w:p>
    <w:p>
      <w:pPr>
        <w:pStyle w:val="BookText"/>
      </w:pPr>
      <w:r>
        <w:rPr>
          <w:rFonts w:ascii="IRNazanin" w:hAnsi="IRNazanin" w:eastAsia="IRNazanin" w:cs="IRNazanin"/>
          <w:lang w:bidi="fa-IR"/>
          <w:color w:val="111111"/>
          <w:sz w:val="28"/>
          <w:szCs w:val="28"/>
          <w:rtl/>
        </w:rPr>
        <w:t xml:space="preserve">نصیرالدین</w:t>
      </w:r>
    </w:p>
    <w:p>
      <w:pPr>
        <w:pStyle w:val="Heading2"/>
      </w:pPr>
      <w:bookmarkStart w:id="4372" w:name="_Toc3474"/>
      <w:r>
        <w:t>دهلوي ، عبد الحق بن سيف الدين 958</w:t>
      </w:r>
      <w:bookmarkEnd w:id="43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1052 ه-</w:t>
      </w:r>
    </w:p>
    <w:p>
      <w:pPr>
        <w:pStyle w:val="BookText"/>
      </w:pPr>
      <w:r>
        <w:rPr>
          <w:rFonts w:ascii="Amiri" w:hAnsi="Amiri" w:eastAsia="Amiri" w:cs="Amiri"/>
          <w:lang w:bidi="ar-SA"/>
          <w:color w:val="111111"/>
          <w:sz w:val="28"/>
          <w:szCs w:val="28"/>
          <w:rtl/>
        </w:rPr>
        <w:t xml:space="preserve">ما ثبت من السنة في ايام السنة، ج13،</w:t>
      </w:r>
    </w:p>
    <w:p>
      <w:pPr>
        <w:pStyle w:val="BookText"/>
      </w:pPr>
      <w:r>
        <w:rPr>
          <w:rFonts w:ascii="IRNazanin" w:hAnsi="IRNazanin" w:eastAsia="IRNazanin" w:cs="IRNazanin"/>
          <w:lang w:bidi="fa-IR"/>
          <w:color w:val="111111"/>
          <w:sz w:val="28"/>
          <w:szCs w:val="28"/>
          <w:rtl/>
        </w:rPr>
        <w:t xml:space="preserve">ص 678 .</w:t>
      </w:r>
    </w:p>
    <w:p>
      <w:pPr>
        <w:pStyle w:val="Heading2"/>
      </w:pPr>
      <w:bookmarkStart w:id="4373" w:name="_Toc3475"/>
      <w:r>
        <w:t>دهلوي ، عبدالستار بن عبدالوهاب</w:t>
      </w:r>
      <w:bookmarkEnd w:id="4373"/>
    </w:p>
    <w:p>
      <w:pPr>
        <w:pStyle w:val="BookText"/>
      </w:pPr>
      <w:r>
        <w:rPr>
          <w:rFonts w:ascii="IRNazanin" w:hAnsi="IRNazanin" w:eastAsia="IRNazanin" w:cs="IRNazanin"/>
          <w:lang w:bidi="fa-IR"/>
          <w:color w:val="111111"/>
          <w:sz w:val="28"/>
          <w:szCs w:val="28"/>
          <w:rtl/>
        </w:rPr>
        <w:t xml:space="preserve">1355 ه-</w:t>
      </w:r>
    </w:p>
    <w:p>
      <w:pPr>
        <w:pStyle w:val="BookText"/>
      </w:pPr>
      <w:r>
        <w:rPr>
          <w:rFonts w:ascii="Amiri" w:hAnsi="Amiri" w:eastAsia="Amiri" w:cs="Amiri"/>
          <w:lang w:bidi="ar-SA"/>
          <w:color w:val="111111"/>
          <w:sz w:val="28"/>
          <w:szCs w:val="28"/>
          <w:rtl/>
        </w:rPr>
        <w:t xml:space="preserve">فيض الملك الوهاب المتعالي بابناء</w:t>
      </w:r>
    </w:p>
    <w:p>
      <w:pPr>
        <w:pStyle w:val="BookText"/>
      </w:pPr>
      <w:r>
        <w:rPr>
          <w:rFonts w:ascii="IRNazanin" w:hAnsi="IRNazanin" w:eastAsia="IRNazanin" w:cs="IRNazanin"/>
          <w:lang w:bidi="fa-IR"/>
          <w:color w:val="111111"/>
          <w:sz w:val="28"/>
          <w:szCs w:val="28"/>
          <w:rtl/>
        </w:rPr>
        <w:t xml:space="preserve">اوائل القرن الثالث عشر، ج 12،</w:t>
      </w:r>
    </w:p>
    <w:p>
      <w:pPr>
        <w:pStyle w:val="BookText"/>
      </w:pPr>
      <w:r>
        <w:rPr>
          <w:rFonts w:ascii="IRNazanin" w:hAnsi="IRNazanin" w:eastAsia="IRNazanin" w:cs="IRNazanin"/>
          <w:lang w:bidi="fa-IR"/>
          <w:color w:val="111111"/>
          <w:sz w:val="28"/>
          <w:szCs w:val="28"/>
          <w:rtl/>
        </w:rPr>
        <w:t xml:space="preserve">ص 316.</w:t>
      </w:r>
    </w:p>
    <w:p>
      <w:pPr>
        <w:pStyle w:val="Heading2"/>
      </w:pPr>
      <w:bookmarkStart w:id="4374" w:name="_Toc3476"/>
      <w:r>
        <w:t>دهلوي ، عبدالعزيز بن احمد 1159 -</w:t>
      </w:r>
      <w:bookmarkEnd w:id="4374"/>
    </w:p>
    <w:p>
      <w:pPr>
        <w:pStyle w:val="BookText"/>
      </w:pPr>
      <w:r>
        <w:rPr>
          <w:rFonts w:ascii="IRNazanin" w:hAnsi="IRNazanin" w:eastAsia="IRNazanin" w:cs="IRNazanin"/>
          <w:lang w:bidi="fa-IR"/>
          <w:color w:val="111111"/>
          <w:sz w:val="28"/>
          <w:szCs w:val="28"/>
          <w:rtl/>
        </w:rPr>
        <w:t xml:space="preserve">1239ه-</w:t>
      </w:r>
    </w:p>
    <w:p>
      <w:pPr>
        <w:pStyle w:val="BookText"/>
      </w:pPr>
      <w:r>
        <w:rPr>
          <w:rFonts w:ascii="Amiri" w:hAnsi="Amiri" w:eastAsia="Amiri" w:cs="Amiri"/>
          <w:lang w:bidi="ar-SA"/>
          <w:color w:val="111111"/>
          <w:sz w:val="28"/>
          <w:szCs w:val="28"/>
          <w:rtl/>
        </w:rPr>
        <w:t xml:space="preserve">تحفه اثنى عشريه = نصيحة المؤمنين و فضيحة الشياطين، ج3، ص778.</w:t>
      </w:r>
    </w:p>
    <w:p>
      <w:pPr>
        <w:pStyle w:val="BookText"/>
      </w:pPr>
      <w:r>
        <w:rPr>
          <w:rFonts w:ascii="Amiri" w:hAnsi="Amiri" w:eastAsia="Amiri" w:cs="Amiri"/>
          <w:lang w:bidi="ar-SA"/>
          <w:color w:val="111111"/>
          <w:sz w:val="28"/>
          <w:szCs w:val="28"/>
          <w:rtl/>
        </w:rPr>
        <w:t xml:space="preserve">دهلوي ، غلام يحيى بن نجم الدين-</w:t>
      </w:r>
    </w:p>
    <w:p>
      <w:pPr>
        <w:pStyle w:val="BookText"/>
      </w:pPr>
      <w:r>
        <w:rPr>
          <w:rFonts w:ascii="Amiri" w:hAnsi="Amiri" w:eastAsia="Amiri" w:cs="Amiri"/>
          <w:lang w:bidi="ar-SA"/>
          <w:color w:val="111111"/>
          <w:sz w:val="28"/>
          <w:szCs w:val="28"/>
          <w:rtl/>
        </w:rPr>
        <w:t xml:space="preserve">بهاري ، غلام يحيى بن نجم الدين</w:t>
      </w:r>
    </w:p>
    <w:p>
      <w:pPr>
        <w:pStyle w:val="Heading2"/>
      </w:pPr>
      <w:bookmarkStart w:id="4375" w:name="_Toc3477"/>
      <w:r>
        <w:t>دهلوي، فريد الدين مسعود، قرن 11 ه-</w:t>
      </w:r>
      <w:bookmarkEnd w:id="4375"/>
    </w:p>
    <w:p>
      <w:pPr>
        <w:pStyle w:val="BookText"/>
      </w:pPr>
      <w:r>
        <w:rPr>
          <w:rFonts w:ascii="IRNazanin" w:hAnsi="IRNazanin" w:eastAsia="IRNazanin" w:cs="IRNazanin"/>
          <w:lang w:bidi="fa-IR"/>
          <w:color w:val="111111"/>
          <w:sz w:val="28"/>
          <w:szCs w:val="28"/>
          <w:rtl/>
        </w:rPr>
        <w:t xml:space="preserve">سراج الاستخراج، ج8، ص726.</w:t>
      </w:r>
    </w:p>
    <w:p>
      <w:pPr>
        <w:pStyle w:val="BookText"/>
      </w:pPr>
      <w:r>
        <w:rPr>
          <w:rFonts w:ascii="Amiri" w:hAnsi="Amiri" w:eastAsia="Amiri" w:cs="Amiri"/>
          <w:lang w:bidi="ar-SA"/>
          <w:color w:val="111111"/>
          <w:sz w:val="28"/>
          <w:szCs w:val="28"/>
          <w:rtl/>
        </w:rPr>
        <w:t xml:space="preserve">دهلوي ، محمّد افضل - سرخوش لاهوري ،</w:t>
      </w:r>
    </w:p>
    <w:p>
      <w:pPr>
        <w:pStyle w:val="BookText"/>
      </w:pPr>
      <w:r>
        <w:rPr>
          <w:rFonts w:ascii="IRNazanin" w:hAnsi="IRNazanin" w:eastAsia="IRNazanin" w:cs="IRNazanin"/>
          <w:lang w:bidi="fa-IR"/>
          <w:color w:val="111111"/>
          <w:sz w:val="28"/>
          <w:szCs w:val="28"/>
          <w:rtl/>
        </w:rPr>
        <w:t xml:space="preserve">محمّد افضل بن محمّد معصوم</w:t>
      </w:r>
    </w:p>
    <w:p>
      <w:pPr>
        <w:pStyle w:val="Heading2"/>
      </w:pPr>
      <w:bookmarkStart w:id="4376" w:name="_Toc3478"/>
      <w:r>
        <w:t>دهلوي ، محمّد بن لاد قرن 9 ه-</w:t>
      </w:r>
      <w:bookmarkEnd w:id="4376"/>
    </w:p>
    <w:p>
      <w:pPr>
        <w:pStyle w:val="BookText"/>
      </w:pPr>
      <w:r>
        <w:rPr>
          <w:rFonts w:ascii="Amiri" w:hAnsi="Amiri" w:eastAsia="Amiri" w:cs="Amiri"/>
          <w:lang w:bidi="ar-SA"/>
          <w:color w:val="111111"/>
          <w:sz w:val="28"/>
          <w:szCs w:val="28"/>
          <w:rtl/>
        </w:rPr>
        <w:t xml:space="preserve">مؤيد الفضلاء، ج13، ص 707.</w:t>
      </w:r>
    </w:p>
    <w:p>
      <w:pPr>
        <w:pStyle w:val="BookText"/>
      </w:pPr>
      <w:r>
        <w:rPr>
          <w:rFonts w:ascii="IRNazanin" w:hAnsi="IRNazanin" w:eastAsia="IRNazanin" w:cs="IRNazanin"/>
          <w:lang w:bidi="fa-IR"/>
          <w:color w:val="111111"/>
          <w:sz w:val="28"/>
          <w:szCs w:val="28"/>
          <w:rtl/>
        </w:rPr>
        <w:t xml:space="preserve">دهلوي ، محمّد شریف بن محمّد اکمل</w:t>
      </w:r>
    </w:p>
    <w:p>
      <w:pPr>
        <w:pStyle w:val="BookText"/>
      </w:pPr>
      <w:r>
        <w:rPr>
          <w:rFonts w:ascii="IRNazanin" w:hAnsi="IRNazanin" w:eastAsia="IRNazanin" w:cs="IRNazanin"/>
          <w:lang w:bidi="fa-IR"/>
          <w:color w:val="111111"/>
          <w:sz w:val="28"/>
          <w:szCs w:val="28"/>
          <w:rtl/>
        </w:rPr>
        <w:t xml:space="preserve">1138 - 1231 ه-</w:t>
      </w:r>
    </w:p>
    <w:p>
      <w:pPr>
        <w:pStyle w:val="BookText"/>
      </w:pPr>
      <w:r>
        <w:rPr>
          <w:rFonts w:ascii="IRNazanin" w:hAnsi="IRNazanin" w:eastAsia="IRNazanin" w:cs="IRNazanin"/>
          <w:lang w:bidi="fa-IR"/>
          <w:color w:val="111111"/>
          <w:sz w:val="28"/>
          <w:szCs w:val="28"/>
          <w:rtl/>
        </w:rPr>
        <w:t xml:space="preserve">علاج الامراض = علائم الامراض، ج11،</w:t>
      </w:r>
    </w:p>
    <w:p>
      <w:pPr>
        <w:pStyle w:val="BookText"/>
      </w:pPr>
      <w:r>
        <w:rPr>
          <w:rFonts w:ascii="IRNazanin" w:hAnsi="IRNazanin" w:eastAsia="IRNazanin" w:cs="IRNazanin"/>
          <w:lang w:bidi="fa-IR"/>
          <w:color w:val="111111"/>
          <w:sz w:val="28"/>
          <w:szCs w:val="28"/>
          <w:rtl/>
        </w:rPr>
        <w:t xml:space="preserve">ص 216.</w:t>
      </w:r>
    </w:p>
    <w:p>
      <w:pPr>
        <w:pStyle w:val="Heading2"/>
      </w:pPr>
      <w:bookmarkStart w:id="4377" w:name="_Toc3479"/>
      <w:r>
        <w:t>دهلوي ، محمّد فاضل بن محمّد عارف</w:t>
      </w:r>
      <w:bookmarkEnd w:id="4377"/>
    </w:p>
    <w:p>
      <w:pPr>
        <w:pStyle w:val="BookText"/>
      </w:pPr>
      <w:r>
        <w:rPr>
          <w:rFonts w:ascii="Amiri" w:hAnsi="Amiri" w:eastAsia="Amiri" w:cs="Amiri"/>
          <w:lang w:bidi="ar-SA"/>
          <w:color w:val="111111"/>
          <w:sz w:val="28"/>
          <w:szCs w:val="28"/>
          <w:rtl/>
        </w:rPr>
        <w:t xml:space="preserve">مزرع الحسنات در شرح دلائل الخيرات، ج 14، ص 423.</w:t>
      </w:r>
    </w:p>
    <w:p>
      <w:pPr>
        <w:pStyle w:val="BookText"/>
      </w:pPr>
      <w:r>
        <w:rPr>
          <w:rFonts w:ascii="IRNazanin" w:hAnsi="IRNazanin" w:eastAsia="IRNazanin" w:cs="IRNazanin"/>
          <w:lang w:bidi="fa-IR"/>
          <w:color w:val="111111"/>
          <w:sz w:val="28"/>
          <w:szCs w:val="28"/>
          <w:rtl/>
        </w:rPr>
        <w:t xml:space="preserve">دهلوي ، ولي الدين بن عبدالرحیم- شاہ</w:t>
      </w:r>
    </w:p>
    <w:p>
      <w:pPr>
        <w:pStyle w:val="BookText"/>
      </w:pPr>
      <w:r>
        <w:rPr>
          <w:rFonts w:ascii="Amiri" w:hAnsi="Amiri" w:eastAsia="Amiri" w:cs="Amiri"/>
          <w:lang w:bidi="ar-SA"/>
          <w:color w:val="111111"/>
          <w:sz w:val="28"/>
          <w:szCs w:val="28"/>
          <w:rtl/>
        </w:rPr>
        <w:t xml:space="preserve">ولي الله ، احمد بن عبد الرحيم</w:t>
      </w:r>
    </w:p>
    <w:p>
      <w:pPr>
        <w:pStyle w:val="BookText"/>
      </w:pPr>
      <w:r>
        <w:rPr>
          <w:rFonts w:ascii="Amiri" w:hAnsi="Amiri" w:eastAsia="Amiri" w:cs="Amiri"/>
          <w:lang w:bidi="ar-SA"/>
          <w:color w:val="111111"/>
          <w:sz w:val="28"/>
          <w:szCs w:val="28"/>
          <w:rtl/>
        </w:rPr>
        <w:t xml:space="preserve">دهلوي ، ولي الله -شاه ولي الله ، احمد بن</w:t>
      </w:r>
    </w:p>
    <w:p>
      <w:pPr>
        <w:pStyle w:val="BookText"/>
      </w:pPr>
      <w:r>
        <w:rPr>
          <w:rFonts w:ascii="IRNazanin" w:hAnsi="IRNazanin" w:eastAsia="IRNazanin" w:cs="IRNazanin"/>
          <w:lang w:bidi="fa-IR"/>
          <w:color w:val="111111"/>
          <w:sz w:val="28"/>
          <w:szCs w:val="28"/>
          <w:rtl/>
        </w:rPr>
        <w:t xml:space="preserve">عبدالرحیم</w:t>
      </w:r>
    </w:p>
    <w:p>
      <w:pPr>
        <w:pStyle w:val="Heading2"/>
      </w:pPr>
      <w:bookmarkStart w:id="4378" w:name="_Toc3480"/>
      <w:r>
        <w:t>دهوي ، سيد حسين</w:t>
      </w:r>
      <w:bookmarkEnd w:id="4378"/>
    </w:p>
    <w:p>
      <w:pPr>
        <w:pStyle w:val="BookText"/>
      </w:pPr>
      <w:r>
        <w:rPr>
          <w:rFonts w:ascii="Amiri" w:hAnsi="Amiri" w:eastAsia="Amiri" w:cs="Amiri"/>
          <w:lang w:bidi="ar-SA"/>
          <w:color w:val="111111"/>
          <w:sz w:val="28"/>
          <w:szCs w:val="28"/>
          <w:rtl/>
        </w:rPr>
        <w:t xml:space="preserve">ديوان السيد حسين الدهوي، ج7،</w:t>
      </w:r>
    </w:p>
    <w:p>
      <w:pPr>
        <w:pStyle w:val="BookText"/>
      </w:pPr>
      <w:r>
        <w:rPr>
          <w:rFonts w:ascii="IRNazanin" w:hAnsi="IRNazanin" w:eastAsia="IRNazanin" w:cs="IRNazanin"/>
          <w:lang w:bidi="fa-IR"/>
          <w:color w:val="111111"/>
          <w:sz w:val="28"/>
          <w:szCs w:val="28"/>
          <w:rtl/>
        </w:rPr>
        <w:t xml:space="preserve">ص 658 .</w:t>
      </w:r>
    </w:p>
    <w:p>
      <w:pPr>
        <w:pStyle w:val="Heading2"/>
      </w:pPr>
      <w:bookmarkStart w:id="4379" w:name="_Toc3481"/>
      <w:r>
        <w:t>دواري، عبدالله بن حسن - 800 ه-</w:t>
      </w:r>
      <w:bookmarkEnd w:id="4379"/>
    </w:p>
    <w:p>
      <w:pPr>
        <w:pStyle w:val="BookText"/>
      </w:pPr>
      <w:r>
        <w:rPr>
          <w:rFonts w:ascii="Amiri" w:hAnsi="Amiri" w:eastAsia="Amiri" w:cs="Amiri"/>
          <w:lang w:bidi="ar-SA"/>
          <w:color w:val="111111"/>
          <w:sz w:val="28"/>
          <w:szCs w:val="28"/>
          <w:rtl/>
        </w:rPr>
        <w:t xml:space="preserve">الديباج والحرير في النور من الزهر المنير في ايضاح لمع الأمير، ج 7، ص 500.</w:t>
      </w:r>
    </w:p>
    <w:p>
      <w:pPr>
        <w:pStyle w:val="Heading2"/>
      </w:pPr>
      <w:bookmarkStart w:id="4380" w:name="_Toc3482"/>
      <w:r>
        <w:t>دواني ، امام الدین ابويزيد</w:t>
      </w:r>
      <w:bookmarkEnd w:id="4380"/>
    </w:p>
    <w:p>
      <w:pPr>
        <w:pStyle w:val="BookText"/>
      </w:pPr>
      <w:r>
        <w:rPr>
          <w:rFonts w:ascii="Amiri" w:hAnsi="Amiri" w:eastAsia="Amiri" w:cs="Amiri"/>
          <w:lang w:bidi="ar-SA"/>
          <w:color w:val="111111"/>
          <w:sz w:val="28"/>
          <w:szCs w:val="28"/>
          <w:rtl/>
        </w:rPr>
        <w:t xml:space="preserve">تفسير القرآن العظيم - تلخيص انوار</w:t>
      </w:r>
    </w:p>
    <w:p>
      <w:pPr>
        <w:pStyle w:val="BookText"/>
      </w:pPr>
      <w:r>
        <w:rPr>
          <w:rFonts w:ascii="Amiri" w:hAnsi="Amiri" w:eastAsia="Amiri" w:cs="Amiri"/>
          <w:lang w:bidi="ar-SA"/>
          <w:color w:val="111111"/>
          <w:sz w:val="28"/>
          <w:szCs w:val="28"/>
          <w:rtl/>
        </w:rPr>
        <w:t xml:space="preserve">التنزيل، ج 4، ص 652.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3" w:name="pg7742_70381"/>
    <w:bookmarkEnd w:id="493"/>
    <w:p>
      <w:pPr>
        <w:pStyle w:val="Heading2"/>
      </w:pPr>
      <w:bookmarkStart w:id="4381" w:name="_Toc3483"/>
      <w:r>
        <w:t>دواني ، محمّد بن اسعد، 830 - 908 ؟ ه-</w:t>
      </w:r>
      <w:bookmarkEnd w:id="4381"/>
    </w:p>
    <w:p>
      <w:pPr>
        <w:pStyle w:val="BookText"/>
      </w:pPr>
      <w:r>
        <w:rPr>
          <w:rFonts w:ascii="Amiri" w:hAnsi="Amiri" w:eastAsia="Amiri" w:cs="Amiri"/>
          <w:lang w:bidi="ar-SA"/>
          <w:color w:val="111111"/>
          <w:sz w:val="28"/>
          <w:szCs w:val="28"/>
          <w:rtl/>
        </w:rPr>
        <w:t xml:space="preserve">1 .اثبات الصانع على طريق</w:t>
      </w:r>
    </w:p>
    <w:p>
      <w:pPr>
        <w:pStyle w:val="BookText"/>
      </w:pPr>
      <w:r>
        <w:rPr>
          <w:rFonts w:ascii="Amiri" w:hAnsi="Amiri" w:eastAsia="Amiri" w:cs="Amiri"/>
          <w:lang w:bidi="ar-SA"/>
          <w:color w:val="111111"/>
          <w:sz w:val="28"/>
          <w:szCs w:val="28"/>
          <w:rtl/>
        </w:rPr>
        <w:t xml:space="preserve">المتكلمين، ج 1، ص 156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اثبات الواجب، ج 1، ص 162.</w:t>
      </w:r>
    </w:p>
    <w:p>
      <w:pPr>
        <w:pStyle w:val="BookText"/>
      </w:pPr>
      <w:r>
        <w:rPr>
          <w:rFonts w:ascii="Amiri" w:hAnsi="Amiri" w:eastAsia="Amiri" w:cs="Amiri"/>
          <w:lang w:bidi="ar-SA"/>
          <w:color w:val="111111"/>
          <w:sz w:val="28"/>
          <w:szCs w:val="28"/>
          <w:rtl/>
        </w:rPr>
        <w:t xml:space="preserve">3.اثبات الواجب الجديد، ج1،</w:t>
      </w:r>
    </w:p>
    <w:p>
      <w:pPr>
        <w:pStyle w:val="BookText"/>
      </w:pPr>
      <w:r>
        <w:rPr>
          <w:rFonts w:ascii="IRNazanin" w:hAnsi="IRNazanin" w:eastAsia="IRNazanin" w:cs="IRNazanin"/>
          <w:lang w:bidi="fa-IR"/>
          <w:color w:val="111111"/>
          <w:sz w:val="28"/>
          <w:szCs w:val="28"/>
          <w:rtl/>
        </w:rPr>
        <w:t xml:space="preserve">ص 169 .</w:t>
      </w:r>
    </w:p>
    <w:p>
      <w:pPr>
        <w:pStyle w:val="BookText"/>
      </w:pPr>
      <w:r>
        <w:rPr>
          <w:rFonts w:ascii="IRNazanin" w:hAnsi="IRNazanin" w:eastAsia="IRNazanin" w:cs="IRNazanin"/>
          <w:lang w:bidi="fa-IR"/>
          <w:color w:val="111111"/>
          <w:sz w:val="28"/>
          <w:szCs w:val="28"/>
          <w:rtl/>
        </w:rPr>
        <w:t xml:space="preserve">4 .اثبات الواجب القديم = صيت و صيدا = وجوه براهین اثبات الواجب، ج 1، ص 169.</w:t>
      </w:r>
    </w:p>
    <w:p>
      <w:pPr>
        <w:pStyle w:val="BookText"/>
      </w:pPr>
      <w:r>
        <w:rPr>
          <w:rFonts w:ascii="Amiri" w:hAnsi="Amiri" w:eastAsia="Amiri" w:cs="Amiri"/>
          <w:lang w:bidi="ar-SA"/>
          <w:color w:val="111111"/>
          <w:sz w:val="28"/>
          <w:szCs w:val="28"/>
          <w:rtl/>
        </w:rPr>
        <w:t xml:space="preserve">5 .إجازة لجلال الدين حسين ابن الخواجة شرف الدين عبد الحق الأردبيلي المعروف بالالهي، ج1،</w:t>
      </w:r>
    </w:p>
    <w:p>
      <w:pPr>
        <w:pStyle w:val="BookText"/>
      </w:pPr>
      <w:r>
        <w:rPr>
          <w:rFonts w:ascii="IRNazanin" w:hAnsi="IRNazanin" w:eastAsia="IRNazanin" w:cs="IRNazanin"/>
          <w:lang w:bidi="fa-IR"/>
          <w:color w:val="111111"/>
          <w:sz w:val="28"/>
          <w:szCs w:val="28"/>
          <w:rtl/>
        </w:rPr>
        <w:t xml:space="preserve">ص238.</w:t>
      </w:r>
    </w:p>
    <w:p>
      <w:pPr>
        <w:pStyle w:val="BookText"/>
      </w:pPr>
      <w:r>
        <w:rPr>
          <w:rFonts w:ascii="IRNazanin" w:hAnsi="IRNazanin" w:eastAsia="IRNazanin" w:cs="IRNazanin"/>
          <w:lang w:bidi="fa-IR"/>
          <w:color w:val="111111"/>
          <w:sz w:val="28"/>
          <w:szCs w:val="28"/>
          <w:rtl/>
        </w:rPr>
        <w:t xml:space="preserve">6 .افادات، ج2، ص 587.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انموذج العلوم، ج 2، ص830.</w:t>
      </w:r>
    </w:p>
    <w:p>
      <w:pPr>
        <w:pStyle w:val="BookText"/>
      </w:pPr>
      <w:r>
        <w:rPr>
          <w:rFonts w:ascii="IRNazanin" w:hAnsi="IRNazanin" w:eastAsia="IRNazanin" w:cs="IRNazanin"/>
          <w:lang w:bidi="fa-IR"/>
          <w:color w:val="111111"/>
          <w:sz w:val="28"/>
          <w:szCs w:val="28"/>
          <w:rtl/>
        </w:rPr>
        <w:t xml:space="preserve">8 .ایمان فرعون = تفسير آية «قال</w:t>
      </w:r>
    </w:p>
    <w:p>
      <w:pPr>
        <w:pStyle w:val="BookText"/>
      </w:pPr>
      <w:r>
        <w:rPr>
          <w:rFonts w:ascii="Amiri" w:hAnsi="Amiri" w:eastAsia="Amiri" w:cs="Amiri"/>
          <w:lang w:bidi="ar-SA"/>
          <w:color w:val="111111"/>
          <w:sz w:val="28"/>
          <w:szCs w:val="28"/>
          <w:rtl/>
        </w:rPr>
        <w:t xml:space="preserve">آمنت ... من المسلمين»، ج 3،</w:t>
      </w:r>
    </w:p>
    <w:p>
      <w:pPr>
        <w:pStyle w:val="BookText"/>
      </w:pPr>
      <w:r>
        <w:rPr>
          <w:rFonts w:ascii="IRNazanin" w:hAnsi="IRNazanin" w:eastAsia="IRNazanin" w:cs="IRNazanin"/>
          <w:lang w:bidi="fa-IR"/>
          <w:color w:val="111111"/>
          <w:sz w:val="28"/>
          <w:szCs w:val="28"/>
          <w:rtl/>
        </w:rPr>
        <w:t xml:space="preserve">ص 159 .</w:t>
      </w:r>
    </w:p>
    <w:p>
      <w:pPr>
        <w:pStyle w:val="BookText"/>
      </w:pPr>
      <w:r>
        <w:rPr>
          <w:rFonts w:ascii="Amiri" w:hAnsi="Amiri" w:eastAsia="Amiri" w:cs="Amiri"/>
          <w:lang w:bidi="ar-SA"/>
          <w:color w:val="111111"/>
          <w:sz w:val="28"/>
          <w:szCs w:val="28"/>
          <w:rtl/>
        </w:rPr>
        <w:t xml:space="preserve">9 .تحفه روحاني = خواص الحروف</w:t>
      </w:r>
    </w:p>
    <w:p>
      <w:pPr>
        <w:pStyle w:val="BookText"/>
      </w:pPr>
      <w:r>
        <w:rPr>
          <w:rFonts w:ascii="IRNazanin" w:hAnsi="IRNazanin" w:eastAsia="IRNazanin" w:cs="IRNazanin"/>
          <w:lang w:bidi="fa-IR"/>
          <w:color w:val="111111"/>
          <w:sz w:val="28"/>
          <w:szCs w:val="28"/>
          <w:rtl/>
        </w:rPr>
        <w:t xml:space="preserve">اسرار حروف، ج 3، ص838</w:t>
      </w:r>
    </w:p>
    <w:p>
      <w:pPr>
        <w:pStyle w:val="BookText"/>
      </w:pPr>
      <w:r>
        <w:rPr>
          <w:rFonts w:ascii="Amiri" w:hAnsi="Amiri" w:eastAsia="Amiri" w:cs="Amiri"/>
          <w:lang w:bidi="ar-SA"/>
          <w:color w:val="111111"/>
          <w:sz w:val="28"/>
          <w:szCs w:val="28"/>
          <w:rtl/>
        </w:rPr>
        <w:t xml:space="preserve">10 .تحقيق كلمة التوحيد، ج4، ص 70.</w:t>
      </w:r>
    </w:p>
    <w:p>
      <w:pPr>
        <w:pStyle w:val="BookText"/>
      </w:pPr>
      <w:r>
        <w:rPr>
          <w:rFonts w:ascii="Amiri" w:hAnsi="Amiri" w:eastAsia="Amiri" w:cs="Amiri"/>
          <w:lang w:bidi="ar-SA"/>
          <w:color w:val="111111"/>
          <w:sz w:val="28"/>
          <w:szCs w:val="28"/>
          <w:rtl/>
        </w:rPr>
        <w:t xml:space="preserve">11 .التصوف (رسالة في)، ج4، ص 429.</w:t>
      </w:r>
    </w:p>
    <w:p>
      <w:pPr>
        <w:pStyle w:val="BookText"/>
      </w:pPr>
      <w:r>
        <w:rPr>
          <w:rFonts w:ascii="Amiri" w:hAnsi="Amiri" w:eastAsia="Amiri" w:cs="Amiri"/>
          <w:lang w:bidi="ar-SA"/>
          <w:color w:val="111111"/>
          <w:sz w:val="28"/>
          <w:szCs w:val="28"/>
          <w:rtl/>
        </w:rPr>
        <w:t xml:space="preserve">12 .تعريف علم الكلام = حاشية شرح</w:t>
      </w:r>
    </w:p>
    <w:p>
      <w:pPr>
        <w:pStyle w:val="BookText"/>
      </w:pPr>
      <w:r>
        <w:rPr>
          <w:rFonts w:ascii="IRNazanin" w:hAnsi="IRNazanin" w:eastAsia="IRNazanin" w:cs="IRNazanin"/>
          <w:lang w:bidi="fa-IR"/>
          <w:color w:val="111111"/>
          <w:sz w:val="28"/>
          <w:szCs w:val="28"/>
          <w:rtl/>
        </w:rPr>
        <w:t xml:space="preserve">المواقف، ج 4، ص 478.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تفسير آية يا بني آدم خذوا زينتكم عند كل مسجد و کلوا و اشربوا ولا تسرفوا»، ج 4، ص 590.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تفسير سورة الاخلاص = تفسير سورة التوحيد، ج 4، ص 625.</w:t>
      </w:r>
    </w:p>
    <w:p>
      <w:pPr>
        <w:pStyle w:val="BookText"/>
      </w:pPr>
      <w:r>
        <w:rPr>
          <w:rFonts w:ascii="Amiri" w:hAnsi="Amiri" w:eastAsia="Amiri" w:cs="Amiri"/>
          <w:lang w:bidi="ar-SA"/>
          <w:color w:val="111111"/>
          <w:sz w:val="28"/>
          <w:szCs w:val="28"/>
          <w:rtl/>
        </w:rPr>
        <w:t xml:space="preserve">15 .تنوير المطالع وتبصير المطالع -</w:t>
      </w:r>
    </w:p>
    <w:p>
      <w:pPr>
        <w:pStyle w:val="BookText"/>
      </w:pPr>
      <w:r>
        <w:rPr>
          <w:rFonts w:ascii="Amiri" w:hAnsi="Amiri" w:eastAsia="Amiri" w:cs="Amiri"/>
          <w:lang w:bidi="ar-SA"/>
          <w:color w:val="111111"/>
          <w:sz w:val="28"/>
          <w:szCs w:val="28"/>
          <w:rtl/>
        </w:rPr>
        <w:t xml:space="preserve">حاشية حاشية شرح المطالع =</w:t>
      </w:r>
    </w:p>
    <w:p>
      <w:pPr>
        <w:pStyle w:val="BookText"/>
      </w:pPr>
      <w:r>
        <w:rPr>
          <w:rFonts w:ascii="Amiri" w:hAnsi="Amiri" w:eastAsia="Amiri" w:cs="Amiri"/>
          <w:lang w:bidi="ar-SA"/>
          <w:color w:val="111111"/>
          <w:sz w:val="28"/>
          <w:szCs w:val="28"/>
          <w:rtl/>
        </w:rPr>
        <w:t xml:space="preserve">تعويذ المطالع وتبصير المطالع</w:t>
      </w:r>
    </w:p>
    <w:p>
      <w:pPr>
        <w:pStyle w:val="BookText"/>
      </w:pPr>
      <w:r>
        <w:rPr>
          <w:rFonts w:ascii="IRNazanin" w:hAnsi="IRNazanin" w:eastAsia="IRNazanin" w:cs="IRNazanin"/>
          <w:lang w:bidi="fa-IR"/>
          <w:color w:val="111111"/>
          <w:sz w:val="28"/>
          <w:szCs w:val="28"/>
          <w:rtl/>
        </w:rPr>
        <w:t xml:space="preserve">ج 5، ص 81</w:t>
      </w:r>
    </w:p>
    <w:p>
      <w:pPr>
        <w:pStyle w:val="BookText"/>
      </w:pPr>
      <w:r>
        <w:rPr>
          <w:rFonts w:ascii="Amiri" w:hAnsi="Amiri" w:eastAsia="Amiri" w:cs="Amiri"/>
          <w:lang w:bidi="ar-SA"/>
          <w:color w:val="111111"/>
          <w:sz w:val="28"/>
          <w:szCs w:val="28"/>
          <w:rtl/>
        </w:rPr>
        <w:t xml:space="preserve">16 .تهليلية = كلمة التوحيد (رسالة</w:t>
      </w:r>
    </w:p>
    <w:p>
      <w:pPr>
        <w:pStyle w:val="BookText"/>
      </w:pPr>
      <w:r>
        <w:rPr>
          <w:rFonts w:ascii="Amiri" w:hAnsi="Amiri" w:eastAsia="Amiri" w:cs="Amiri"/>
          <w:lang w:bidi="ar-SA"/>
          <w:color w:val="111111"/>
          <w:sz w:val="28"/>
          <w:szCs w:val="28"/>
          <w:rtl/>
        </w:rPr>
        <w:t xml:space="preserve">في)، ج 5، ص 136.</w:t>
      </w:r>
    </w:p>
    <w:p>
      <w:pPr>
        <w:pStyle w:val="BookText"/>
      </w:pPr>
      <w:r>
        <w:rPr>
          <w:rFonts w:ascii="Amiri" w:hAnsi="Amiri" w:eastAsia="Amiri" w:cs="Amiri"/>
          <w:lang w:bidi="ar-SA"/>
          <w:color w:val="111111"/>
          <w:sz w:val="28"/>
          <w:szCs w:val="28"/>
          <w:rtl/>
        </w:rPr>
        <w:t xml:space="preserve">17 .حاشية الانوار لعمل الابرار، ج5،</w:t>
      </w:r>
    </w:p>
    <w:p>
      <w:pPr>
        <w:pStyle w:val="BookText"/>
      </w:pPr>
      <w:r>
        <w:rPr>
          <w:rFonts w:ascii="IRNazanin" w:hAnsi="IRNazanin" w:eastAsia="IRNazanin" w:cs="IRNazanin"/>
          <w:lang w:bidi="fa-IR"/>
          <w:color w:val="111111"/>
          <w:sz w:val="28"/>
          <w:szCs w:val="28"/>
          <w:rtl/>
        </w:rPr>
        <w:t xml:space="preserve">ص 701.</w:t>
      </w:r>
    </w:p>
    <w:p>
      <w:pPr>
        <w:pStyle w:val="BookText"/>
      </w:pPr>
      <w:r>
        <w:rPr>
          <w:rFonts w:ascii="Amiri" w:hAnsi="Amiri" w:eastAsia="Amiri" w:cs="Amiri"/>
          <w:lang w:bidi="ar-SA"/>
          <w:color w:val="111111"/>
          <w:sz w:val="28"/>
          <w:szCs w:val="28"/>
          <w:rtl/>
        </w:rPr>
        <w:t xml:space="preserve">18 .حاشية الجديدة على شرح التجريد الجديد، ج 5، ص 765</w:t>
      </w:r>
    </w:p>
    <w:p>
      <w:pPr>
        <w:pStyle w:val="BookText"/>
      </w:pPr>
      <w:r>
        <w:rPr>
          <w:rFonts w:ascii="Amiri" w:hAnsi="Amiri" w:eastAsia="Amiri" w:cs="Amiri"/>
          <w:lang w:bidi="ar-SA"/>
          <w:color w:val="111111"/>
          <w:sz w:val="28"/>
          <w:szCs w:val="28"/>
          <w:rtl/>
        </w:rPr>
        <w:t xml:space="preserve">19 . الحاشية القديمة على شرح</w:t>
      </w:r>
    </w:p>
    <w:p>
      <w:pPr>
        <w:pStyle w:val="BookText"/>
      </w:pPr>
      <w:r>
        <w:rPr>
          <w:rFonts w:ascii="Amiri" w:hAnsi="Amiri" w:eastAsia="Amiri" w:cs="Amiri"/>
          <w:lang w:bidi="ar-SA"/>
          <w:color w:val="111111"/>
          <w:sz w:val="28"/>
          <w:szCs w:val="28"/>
          <w:rtl/>
        </w:rPr>
        <w:t xml:space="preserve">التجريد، ج6، ص306.</w:t>
      </w:r>
    </w:p>
    <w:p>
      <w:pPr>
        <w:pStyle w:val="BookText"/>
      </w:pPr>
      <w:r>
        <w:rPr>
          <w:rFonts w:ascii="Amiri" w:hAnsi="Amiri" w:eastAsia="Amiri" w:cs="Amiri"/>
          <w:lang w:bidi="ar-SA"/>
          <w:color w:val="111111"/>
          <w:sz w:val="28"/>
          <w:szCs w:val="28"/>
          <w:rtl/>
        </w:rPr>
        <w:t xml:space="preserve">20 .حاشية تحرير القواعد المنطقية في</w:t>
      </w:r>
    </w:p>
    <w:p>
      <w:pPr>
        <w:pStyle w:val="BookText"/>
      </w:pPr>
      <w:r>
        <w:rPr>
          <w:rFonts w:ascii="Amiri" w:hAnsi="Amiri" w:eastAsia="Amiri" w:cs="Amiri"/>
          <w:lang w:bidi="ar-SA"/>
          <w:color w:val="111111"/>
          <w:sz w:val="28"/>
          <w:szCs w:val="28"/>
          <w:rtl/>
        </w:rPr>
        <w:t xml:space="preserve">شرح الشمسية، ج 5، ص 725.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حاشية تهذيب المنطق = العجالة</w:t>
      </w:r>
    </w:p>
    <w:p>
      <w:pPr>
        <w:pStyle w:val="BookText"/>
      </w:pPr>
      <w:r>
        <w:rPr>
          <w:rFonts w:ascii="Amiri" w:hAnsi="Amiri" w:eastAsia="Amiri" w:cs="Amiri"/>
          <w:lang w:bidi="ar-SA"/>
          <w:color w:val="111111"/>
          <w:sz w:val="28"/>
          <w:szCs w:val="28"/>
          <w:rtl/>
        </w:rPr>
        <w:t xml:space="preserve">= حاشية الدواني، ج 5، ص 743.</w:t>
      </w:r>
    </w:p>
    <w:p>
      <w:pPr>
        <w:pStyle w:val="BookText"/>
      </w:pPr>
      <w:r>
        <w:rPr>
          <w:rFonts w:ascii="Amiri" w:hAnsi="Amiri" w:eastAsia="Amiri" w:cs="Amiri"/>
          <w:lang w:bidi="ar-SA"/>
          <w:color w:val="111111"/>
          <w:sz w:val="28"/>
          <w:szCs w:val="28"/>
          <w:rtl/>
        </w:rPr>
        <w:t xml:space="preserve">22 .حاشية جلال الدين الدواني جه،</w:t>
      </w:r>
    </w:p>
    <w:p>
      <w:pPr>
        <w:pStyle w:val="BookText"/>
      </w:pPr>
      <w:r>
        <w:rPr>
          <w:rFonts w:ascii="IRNazanin" w:hAnsi="IRNazanin" w:eastAsia="IRNazanin" w:cs="IRNazanin"/>
          <w:lang w:bidi="fa-IR"/>
          <w:color w:val="111111"/>
          <w:sz w:val="28"/>
          <w:szCs w:val="28"/>
          <w:rtl/>
        </w:rPr>
        <w:t xml:space="preserve">ص 766.</w:t>
      </w:r>
    </w:p>
    <w:p>
      <w:pPr>
        <w:pStyle w:val="BookText"/>
      </w:pPr>
      <w:r>
        <w:rPr>
          <w:rFonts w:ascii="Amiri" w:hAnsi="Amiri" w:eastAsia="Amiri" w:cs="Amiri"/>
          <w:lang w:bidi="ar-SA"/>
          <w:color w:val="111111"/>
          <w:sz w:val="28"/>
          <w:szCs w:val="28"/>
          <w:rtl/>
        </w:rPr>
        <w:t xml:space="preserve">23 .حاشية حاشية الجرجاني على تحرير القواعد المنطقية = حاشية الدواني، ج 5، ص 784.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حاشية حاشية لوامع الاسرار في</w:t>
      </w:r>
    </w:p>
    <w:p>
      <w:pPr>
        <w:pStyle w:val="BookText"/>
      </w:pPr>
      <w:r>
        <w:rPr>
          <w:rFonts w:ascii="Amiri" w:hAnsi="Amiri" w:eastAsia="Amiri" w:cs="Amiri"/>
          <w:lang w:bidi="ar-SA"/>
          <w:color w:val="111111"/>
          <w:sz w:val="28"/>
          <w:szCs w:val="28"/>
          <w:rtl/>
        </w:rPr>
        <w:t xml:space="preserve">شرح مطالع الانوار = حاشية القديمة على حاشية شرح المطالع = تنوير المطالع القديمة، ج 5،</w:t>
      </w:r>
    </w:p>
    <w:p>
      <w:pPr>
        <w:pStyle w:val="BookText"/>
      </w:pPr>
      <w:r>
        <w:rPr>
          <w:rFonts w:ascii="IRNazanin" w:hAnsi="IRNazanin" w:eastAsia="IRNazanin" w:cs="IRNazanin"/>
          <w:lang w:bidi="fa-IR"/>
          <w:color w:val="111111"/>
          <w:sz w:val="28"/>
          <w:szCs w:val="28"/>
          <w:rtl/>
        </w:rPr>
        <w:t xml:space="preserve">ص 845.</w:t>
      </w:r>
    </w:p>
    <w:p>
      <w:pPr>
        <w:pStyle w:val="BookText"/>
      </w:pPr>
      <w:r>
        <w:rPr>
          <w:rFonts w:ascii="Amiri" w:hAnsi="Amiri" w:eastAsia="Amiri" w:cs="Amiri"/>
          <w:lang w:bidi="ar-SA"/>
          <w:color w:val="111111"/>
          <w:sz w:val="28"/>
          <w:szCs w:val="28"/>
          <w:rtl/>
        </w:rPr>
        <w:t xml:space="preserve">25 .حاشية شرح آداب البحث</w:t>
      </w:r>
    </w:p>
    <w:p>
      <w:pPr>
        <w:pStyle w:val="BookText"/>
      </w:pPr>
      <w:r>
        <w:rPr>
          <w:rFonts w:ascii="Amiri" w:hAnsi="Amiri" w:eastAsia="Amiri" w:cs="Amiri"/>
          <w:lang w:bidi="ar-SA"/>
          <w:color w:val="111111"/>
          <w:sz w:val="28"/>
          <w:szCs w:val="28"/>
          <w:rtl/>
        </w:rPr>
        <w:t xml:space="preserve">السمرقندية، ج 6، ص 14.</w:t>
      </w:r>
    </w:p>
    <w:p>
      <w:pPr>
        <w:pStyle w:val="BookText"/>
      </w:pPr>
      <w:r>
        <w:rPr>
          <w:rFonts w:ascii="Amiri" w:hAnsi="Amiri" w:eastAsia="Amiri" w:cs="Amiri"/>
          <w:lang w:bidi="ar-SA"/>
          <w:color w:val="111111"/>
          <w:sz w:val="28"/>
          <w:szCs w:val="28"/>
          <w:rtl/>
        </w:rPr>
        <w:t xml:space="preserve">26 . حاشية شرح تجريد العقائد، ج 6،</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Amiri" w:hAnsi="Amiri" w:eastAsia="Amiri" w:cs="Amiri"/>
          <w:lang w:bidi="ar-SA"/>
          <w:color w:val="111111"/>
          <w:sz w:val="28"/>
          <w:szCs w:val="28"/>
          <w:rtl/>
        </w:rPr>
        <w:t xml:space="preserve">27 .حاشية في الاستعارة، ج 6، ص 291.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حاشية في العقائد، ج 6، ص 296.</w:t>
      </w:r>
    </w:p>
    <w:p>
      <w:pPr>
        <w:pStyle w:val="BookText"/>
      </w:pPr>
      <w:r>
        <w:rPr>
          <w:rFonts w:ascii="Amiri" w:hAnsi="Amiri" w:eastAsia="Amiri" w:cs="Amiri"/>
          <w:lang w:bidi="ar-SA"/>
          <w:color w:val="111111"/>
          <w:sz w:val="28"/>
          <w:szCs w:val="28"/>
          <w:rtl/>
        </w:rPr>
        <w:t xml:space="preserve">29 .الحجج الباهرة في افخام الطائفة الكافرة الفاجرة، ج 6، ص 488.</w:t>
      </w:r>
    </w:p>
    <w:p>
      <w:pPr>
        <w:pStyle w:val="BookText"/>
      </w:pPr>
      <w:r>
        <w:rPr>
          <w:rFonts w:ascii="Amiri" w:hAnsi="Amiri" w:eastAsia="Amiri" w:cs="Amiri"/>
          <w:lang w:bidi="ar-SA"/>
          <w:color w:val="111111"/>
          <w:sz w:val="28"/>
          <w:szCs w:val="28"/>
          <w:rtl/>
        </w:rPr>
        <w:t xml:space="preserve">30 .حقيقة الانسان، ج 6، ص 706.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الحكمة المتعلقة بذات المبتدا</w:t>
      </w:r>
    </w:p>
    <w:p>
      <w:pPr>
        <w:pStyle w:val="BookText"/>
      </w:pPr>
      <w:r>
        <w:rPr>
          <w:rFonts w:ascii="Amiri" w:hAnsi="Amiri" w:eastAsia="Amiri" w:cs="Amiri"/>
          <w:lang w:bidi="ar-SA"/>
          <w:color w:val="111111"/>
          <w:sz w:val="28"/>
          <w:szCs w:val="28"/>
          <w:rtl/>
        </w:rPr>
        <w:t xml:space="preserve">الاول (رسالة في)، ج 6، ص 751.</w:t>
      </w:r>
    </w:p>
    <w:p>
      <w:pPr>
        <w:pStyle w:val="BookText"/>
      </w:pPr>
      <w:r>
        <w:rPr>
          <w:rFonts w:ascii="Times New Roman" w:hAnsi="Times New Roman" w:eastAsia="Times New Roman" w:cs="Times New Roman"/>
          <w:lang w:val="en-US" w:bidi="en-US"/>
          <w:color w:val="111111"/>
          <w:sz w:val="28"/>
          <w:szCs w:val="28"/>
          <w:rtl/>
        </w:rPr>
        <w:t xml:space="preserve">530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4" w:name="pg7742_70382"/>
    <w:bookmarkEnd w:id="494"/>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الحكمة (رسالة في)، ج6، ص 736.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حنين الحزين ج6، ص 825.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حواشي محقق الدواني على قطر و</w:t>
      </w:r>
    </w:p>
    <w:p>
      <w:pPr>
        <w:pStyle w:val="BookText"/>
      </w:pPr>
      <w:r>
        <w:rPr>
          <w:rFonts w:ascii="Amiri" w:hAnsi="Amiri" w:eastAsia="Amiri" w:cs="Amiri"/>
          <w:lang w:bidi="ar-SA"/>
          <w:color w:val="111111"/>
          <w:sz w:val="28"/>
          <w:szCs w:val="28"/>
          <w:rtl/>
        </w:rPr>
        <w:t xml:space="preserve">مير، ج 6، ص 842.</w:t>
      </w:r>
    </w:p>
    <w:p>
      <w:pPr>
        <w:pStyle w:val="BookText"/>
      </w:pPr>
      <w:r>
        <w:rPr>
          <w:rFonts w:ascii="IRNazanin" w:hAnsi="IRNazanin" w:eastAsia="IRNazanin" w:cs="IRNazanin"/>
          <w:lang w:bidi="fa-IR"/>
          <w:color w:val="111111"/>
          <w:sz w:val="28"/>
          <w:szCs w:val="28"/>
          <w:rtl/>
        </w:rPr>
        <w:t xml:space="preserve">35 .خلق الاعمال = افعال العباد =</w:t>
      </w:r>
    </w:p>
    <w:p>
      <w:pPr>
        <w:pStyle w:val="BookText"/>
      </w:pPr>
      <w:r>
        <w:rPr>
          <w:rFonts w:ascii="Amiri" w:hAnsi="Amiri" w:eastAsia="Amiri" w:cs="Amiri"/>
          <w:lang w:bidi="ar-SA"/>
          <w:color w:val="111111"/>
          <w:sz w:val="28"/>
          <w:szCs w:val="28"/>
          <w:rtl/>
        </w:rPr>
        <w:t xml:space="preserve">الجبر والاختيار، ج7، ص 147 .</w:t>
      </w:r>
    </w:p>
    <w:p>
      <w:pPr>
        <w:pStyle w:val="BookText"/>
      </w:pPr>
      <w:r>
        <w:rPr>
          <w:rFonts w:ascii="Amiri" w:hAnsi="Amiri" w:eastAsia="Amiri" w:cs="Amiri"/>
          <w:lang w:bidi="ar-SA"/>
          <w:color w:val="111111"/>
          <w:sz w:val="28"/>
          <w:szCs w:val="28"/>
          <w:rtl/>
        </w:rPr>
        <w:t xml:space="preserve">36 .خواص الجسم اللطيف، ج 7،</w:t>
      </w:r>
    </w:p>
    <w:p>
      <w:pPr>
        <w:pStyle w:val="BookText"/>
      </w:pPr>
      <w:r>
        <w:rPr>
          <w:rFonts w:ascii="IRNazanin" w:hAnsi="IRNazanin" w:eastAsia="IRNazanin" w:cs="IRNazanin"/>
          <w:lang w:bidi="fa-IR"/>
          <w:color w:val="111111"/>
          <w:sz w:val="28"/>
          <w:szCs w:val="28"/>
          <w:rtl/>
        </w:rPr>
        <w:t xml:space="preserve">ص 174 .</w:t>
      </w:r>
    </w:p>
    <w:p>
      <w:pPr>
        <w:pStyle w:val="BookText"/>
      </w:pPr>
      <w:r>
        <w:rPr>
          <w:rFonts w:ascii="IRNazanin" w:hAnsi="IRNazanin" w:eastAsia="IRNazanin" w:cs="IRNazanin"/>
          <w:lang w:bidi="fa-IR"/>
          <w:color w:val="111111"/>
          <w:sz w:val="28"/>
          <w:szCs w:val="28"/>
          <w:rtl/>
        </w:rPr>
        <w:t xml:space="preserve">37 .دیوان مظالم = تحقيق احكام</w:t>
      </w:r>
    </w:p>
    <w:p>
      <w:pPr>
        <w:pStyle w:val="BookText"/>
      </w:pPr>
      <w:r>
        <w:rPr>
          <w:rFonts w:ascii="Amiri" w:hAnsi="Amiri" w:eastAsia="Amiri" w:cs="Amiri"/>
          <w:lang w:bidi="ar-SA"/>
          <w:color w:val="111111"/>
          <w:sz w:val="28"/>
          <w:szCs w:val="28"/>
          <w:rtl/>
        </w:rPr>
        <w:t xml:space="preserve">السياسة، ج 7، ص772.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رسائل، ج8، ص120.</w:t>
      </w:r>
    </w:p>
    <w:p>
      <w:pPr>
        <w:pStyle w:val="BookText"/>
      </w:pPr>
      <w:r>
        <w:rPr>
          <w:rFonts w:ascii="Amiri" w:hAnsi="Amiri" w:eastAsia="Amiri" w:cs="Amiri"/>
          <w:lang w:bidi="ar-SA"/>
          <w:color w:val="111111"/>
          <w:sz w:val="28"/>
          <w:szCs w:val="28"/>
          <w:rtl/>
        </w:rPr>
        <w:t xml:space="preserve">39 .رسالة، ج 8، ص 156.</w:t>
      </w:r>
    </w:p>
    <w:p>
      <w:pPr>
        <w:pStyle w:val="BookText"/>
      </w:pPr>
      <w:r>
        <w:rPr>
          <w:rFonts w:ascii="Amiri" w:hAnsi="Amiri" w:eastAsia="Amiri" w:cs="Amiri"/>
          <w:lang w:bidi="ar-SA"/>
          <w:color w:val="111111"/>
          <w:sz w:val="28"/>
          <w:szCs w:val="28"/>
          <w:rtl/>
        </w:rPr>
        <w:t xml:space="preserve">40 .الرسالة القلمية = البراعة في حق</w:t>
      </w:r>
    </w:p>
    <w:p>
      <w:pPr>
        <w:pStyle w:val="BookText"/>
      </w:pPr>
      <w:r>
        <w:rPr>
          <w:rFonts w:ascii="Amiri" w:hAnsi="Amiri" w:eastAsia="Amiri" w:cs="Amiri"/>
          <w:lang w:bidi="ar-SA"/>
          <w:color w:val="111111"/>
          <w:sz w:val="28"/>
          <w:szCs w:val="28"/>
          <w:rtl/>
        </w:rPr>
        <w:t xml:space="preserve">البراعة، ج 8، ص 250 .</w:t>
      </w:r>
    </w:p>
    <w:p>
      <w:pPr>
        <w:pStyle w:val="BookText"/>
      </w:pPr>
      <w:r>
        <w:rPr>
          <w:rFonts w:ascii="IRNazanin" w:hAnsi="IRNazanin" w:eastAsia="IRNazanin" w:cs="IRNazanin"/>
          <w:lang w:bidi="fa-IR"/>
          <w:color w:val="111111"/>
          <w:sz w:val="28"/>
          <w:szCs w:val="28"/>
          <w:rtl/>
        </w:rPr>
        <w:t xml:space="preserve">41 الروح، ج 8، ص 374 .</w:t>
      </w:r>
    </w:p>
    <w:p>
      <w:pPr>
        <w:pStyle w:val="BookText"/>
      </w:pPr>
      <w:r>
        <w:rPr>
          <w:rFonts w:ascii="Amiri" w:hAnsi="Amiri" w:eastAsia="Amiri" w:cs="Amiri"/>
          <w:lang w:bidi="ar-SA"/>
          <w:color w:val="111111"/>
          <w:sz w:val="28"/>
          <w:szCs w:val="28"/>
          <w:rtl/>
        </w:rPr>
        <w:t xml:space="preserve">42 .الزوراء = تنبيه الراقدين، ج8،</w:t>
      </w:r>
    </w:p>
    <w:p>
      <w:pPr>
        <w:pStyle w:val="BookText"/>
      </w:pPr>
      <w:r>
        <w:rPr>
          <w:rFonts w:ascii="IRNazanin" w:hAnsi="IRNazanin" w:eastAsia="IRNazanin" w:cs="IRNazanin"/>
          <w:lang w:bidi="fa-IR"/>
          <w:color w:val="111111"/>
          <w:sz w:val="28"/>
          <w:szCs w:val="28"/>
          <w:rtl/>
        </w:rPr>
        <w:t xml:space="preserve">ص 643 .</w:t>
      </w:r>
    </w:p>
    <w:p>
      <w:pPr>
        <w:pStyle w:val="BookText"/>
      </w:pPr>
      <w:r>
        <w:rPr>
          <w:rFonts w:ascii="Amiri" w:hAnsi="Amiri" w:eastAsia="Amiri" w:cs="Amiri"/>
          <w:lang w:bidi="ar-SA"/>
          <w:color w:val="111111"/>
          <w:sz w:val="28"/>
          <w:szCs w:val="28"/>
          <w:rtl/>
        </w:rPr>
        <w:t xml:space="preserve">43 .شرح اثبات الجوهر المفارق - تكثير الفوائد وتيسير العوائد، ج 9،</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Amiri" w:hAnsi="Amiri" w:eastAsia="Amiri" w:cs="Amiri"/>
          <w:lang w:bidi="ar-SA"/>
          <w:color w:val="111111"/>
          <w:sz w:val="28"/>
          <w:szCs w:val="28"/>
          <w:rtl/>
        </w:rPr>
        <w:t xml:space="preserve">44 .شرح الزوراء - الحوراء في شرح</w:t>
      </w:r>
    </w:p>
    <w:p>
      <w:pPr>
        <w:pStyle w:val="BookText"/>
      </w:pPr>
      <w:r>
        <w:rPr>
          <w:rFonts w:ascii="IRNazanin" w:hAnsi="IRNazanin" w:eastAsia="IRNazanin" w:cs="IRNazanin"/>
          <w:lang w:bidi="fa-IR"/>
          <w:color w:val="111111"/>
          <w:sz w:val="28"/>
          <w:szCs w:val="28"/>
          <w:rtl/>
        </w:rPr>
        <w:t xml:space="preserve">الزوراء، ج 9، ص 576.</w:t>
      </w:r>
    </w:p>
    <w:p>
      <w:pPr>
        <w:pStyle w:val="BookText"/>
      </w:pPr>
      <w:r>
        <w:rPr>
          <w:rFonts w:ascii="Amiri" w:hAnsi="Amiri" w:eastAsia="Amiri" w:cs="Amiri"/>
          <w:lang w:bidi="ar-SA"/>
          <w:color w:val="111111"/>
          <w:sz w:val="28"/>
          <w:szCs w:val="28"/>
          <w:rtl/>
        </w:rPr>
        <w:t xml:space="preserve">45 .شرح العقائد العضدية، ج 9،</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العقائد النسفية، ج 9،</w:t>
      </w:r>
    </w:p>
    <w:p>
      <w:pPr>
        <w:pStyle w:val="BookText"/>
      </w:pPr>
      <w:r>
        <w:rPr>
          <w:rFonts w:ascii="IRNazanin" w:hAnsi="IRNazanin" w:eastAsia="IRNazanin" w:cs="IRNazanin"/>
          <w:lang w:bidi="fa-IR"/>
          <w:color w:val="111111"/>
          <w:sz w:val="28"/>
          <w:szCs w:val="28"/>
          <w:rtl/>
        </w:rPr>
        <w:t xml:space="preserve">ص 736 .</w:t>
      </w:r>
    </w:p>
    <w:p>
      <w:pPr>
        <w:pStyle w:val="BookText"/>
      </w:pPr>
      <w:r>
        <w:rPr>
          <w:rFonts w:ascii="IRNazanin" w:hAnsi="IRNazanin" w:eastAsia="IRNazanin" w:cs="IRNazanin"/>
          <w:lang w:bidi="fa-IR"/>
          <w:color w:val="111111"/>
          <w:sz w:val="28"/>
          <w:szCs w:val="28"/>
          <w:rtl/>
        </w:rPr>
        <w:t xml:space="preserve">47 .شرح بيت تفکر رفتن از باطل سوى حق ...»، ج 9، ص 293.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حكمة الاشراق، ج9، ص 415.</w:t>
      </w:r>
    </w:p>
    <w:p>
      <w:pPr>
        <w:pStyle w:val="BookText"/>
      </w:pPr>
      <w:r>
        <w:rPr>
          <w:rFonts w:ascii="IRNazanin" w:hAnsi="IRNazanin" w:eastAsia="IRNazanin" w:cs="IRNazanin"/>
          <w:lang w:bidi="fa-IR"/>
          <w:color w:val="111111"/>
          <w:sz w:val="28"/>
          <w:szCs w:val="28"/>
          <w:rtl/>
        </w:rPr>
        <w:t xml:space="preserve">49 .شرح رباعیات - شرح رباعيات</w:t>
      </w:r>
    </w:p>
    <w:p>
      <w:pPr>
        <w:pStyle w:val="BookText"/>
      </w:pPr>
      <w:r>
        <w:rPr>
          <w:rFonts w:ascii="IRNazanin" w:hAnsi="IRNazanin" w:eastAsia="IRNazanin" w:cs="IRNazanin"/>
          <w:lang w:bidi="fa-IR"/>
          <w:color w:val="111111"/>
          <w:sz w:val="28"/>
          <w:szCs w:val="28"/>
          <w:rtl/>
        </w:rPr>
        <w:t xml:space="preserve">فارسیات، ج 9، ص 497. .50 شواكل الحور في شرح هياكل</w:t>
      </w:r>
    </w:p>
    <w:p>
      <w:pPr>
        <w:pStyle w:val="BookText"/>
      </w:pPr>
      <w:r>
        <w:rPr>
          <w:rFonts w:ascii="IRNazanin" w:hAnsi="IRNazanin" w:eastAsia="IRNazanin" w:cs="IRNazanin"/>
          <w:lang w:bidi="fa-IR"/>
          <w:color w:val="111111"/>
          <w:sz w:val="28"/>
          <w:szCs w:val="28"/>
          <w:rtl/>
        </w:rPr>
        <w:t xml:space="preserve">النور، ج 10، ص 445.</w:t>
      </w:r>
    </w:p>
    <w:p>
      <w:pPr>
        <w:pStyle w:val="BookText"/>
      </w:pPr>
      <w:r>
        <w:rPr>
          <w:rFonts w:ascii="Amiri" w:hAnsi="Amiri" w:eastAsia="Amiri" w:cs="Amiri"/>
          <w:lang w:bidi="ar-SA"/>
          <w:color w:val="111111"/>
          <w:sz w:val="28"/>
          <w:szCs w:val="28"/>
          <w:rtl/>
        </w:rPr>
        <w:t xml:space="preserve">51 .طبقات الجلالية، ج 10، ص 773.</w:t>
      </w:r>
    </w:p>
    <w:p>
      <w:pPr>
        <w:pStyle w:val="BookText"/>
      </w:pPr>
      <w:r>
        <w:rPr>
          <w:rFonts w:ascii="Amiri" w:hAnsi="Amiri" w:eastAsia="Amiri" w:cs="Amiri"/>
          <w:lang w:bidi="ar-SA"/>
          <w:color w:val="111111"/>
          <w:sz w:val="28"/>
          <w:szCs w:val="28"/>
          <w:rtl/>
        </w:rPr>
        <w:t xml:space="preserve">52 .عدليه - ماهية العدالة، ج11،</w:t>
      </w:r>
    </w:p>
    <w:p>
      <w:pPr>
        <w:pStyle w:val="BookText"/>
      </w:pPr>
      <w:r>
        <w:rPr>
          <w:rFonts w:ascii="IRNazanin" w:hAnsi="IRNazanin" w:eastAsia="IRNazanin" w:cs="IRNazanin"/>
          <w:lang w:bidi="fa-IR"/>
          <w:color w:val="111111"/>
          <w:sz w:val="28"/>
          <w:szCs w:val="28"/>
          <w:rtl/>
        </w:rPr>
        <w:t xml:space="preserve">ص 64 .</w:t>
      </w:r>
    </w:p>
    <w:p>
      <w:pPr>
        <w:pStyle w:val="BookText"/>
      </w:pPr>
      <w:r>
        <w:rPr>
          <w:rFonts w:ascii="Amiri" w:hAnsi="Amiri" w:eastAsia="Amiri" w:cs="Amiri"/>
          <w:lang w:bidi="ar-SA"/>
          <w:color w:val="111111"/>
          <w:sz w:val="28"/>
          <w:szCs w:val="28"/>
          <w:rtl/>
        </w:rPr>
        <w:t xml:space="preserve">53 .العقائد (رسالة في)، ج11، ص 132.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لوامع الاشراق في مكارم الاخلاق</w:t>
      </w:r>
    </w:p>
    <w:p>
      <w:pPr>
        <w:pStyle w:val="BookText"/>
      </w:pPr>
      <w:r>
        <w:rPr>
          <w:rFonts w:ascii="Amiri" w:hAnsi="Amiri" w:eastAsia="Amiri" w:cs="Amiri"/>
          <w:lang w:bidi="ar-SA"/>
          <w:color w:val="111111"/>
          <w:sz w:val="28"/>
          <w:szCs w:val="28"/>
          <w:rtl/>
        </w:rPr>
        <w:t xml:space="preserve">اخلاق جلالي، ج 13 ، ص 643 .</w:t>
      </w:r>
    </w:p>
    <w:p>
      <w:pPr>
        <w:pStyle w:val="BookText"/>
      </w:pPr>
      <w:r>
        <w:rPr>
          <w:rFonts w:ascii="Amiri" w:hAnsi="Amiri" w:eastAsia="Amiri" w:cs="Amiri"/>
          <w:lang w:bidi="ar-SA"/>
          <w:color w:val="111111"/>
          <w:sz w:val="28"/>
          <w:szCs w:val="28"/>
          <w:rtl/>
        </w:rPr>
        <w:t xml:space="preserve">55 .مراتب التوحيد، ج 14، ص 366.</w:t>
      </w:r>
    </w:p>
    <w:p>
      <w:pPr>
        <w:pStyle w:val="BookText"/>
      </w:pPr>
      <w:r>
        <w:rPr>
          <w:rFonts w:ascii="Amiri" w:hAnsi="Amiri" w:eastAsia="Amiri" w:cs="Amiri"/>
          <w:lang w:bidi="ar-SA"/>
          <w:color w:val="111111"/>
          <w:sz w:val="28"/>
          <w:szCs w:val="28"/>
          <w:rtl/>
        </w:rPr>
        <w:t xml:space="preserve">56 .مسائل في الفنون، ج 14، ص 476.</w:t>
      </w:r>
    </w:p>
    <w:p>
      <w:pPr>
        <w:pStyle w:val="BookText"/>
      </w:pPr>
      <w:r>
        <w:rPr>
          <w:rFonts w:ascii="Amiri" w:hAnsi="Amiri" w:eastAsia="Amiri" w:cs="Amiri"/>
          <w:lang w:bidi="ar-SA"/>
          <w:color w:val="111111"/>
          <w:sz w:val="28"/>
          <w:szCs w:val="28"/>
          <w:rtl/>
        </w:rPr>
        <w:t xml:space="preserve">57 .مناظرة كلامية بين الدواني و شمس الدين الخضري، ج 15 ، ص 521.</w:t>
      </w:r>
    </w:p>
    <w:p>
      <w:pPr>
        <w:pStyle w:val="BookText"/>
      </w:pPr>
      <w:r>
        <w:rPr>
          <w:rFonts w:ascii="IRNazanin" w:hAnsi="IRNazanin" w:eastAsia="IRNazanin" w:cs="IRNazanin"/>
          <w:lang w:bidi="fa-IR"/>
          <w:color w:val="111111"/>
          <w:sz w:val="28"/>
          <w:szCs w:val="28"/>
          <w:rtl/>
        </w:rPr>
        <w:t xml:space="preserve">58 .نامه ها ج16، ص 102.</w:t>
      </w:r>
    </w:p>
    <w:p>
      <w:pPr>
        <w:pStyle w:val="BookText"/>
      </w:pPr>
      <w:r>
        <w:rPr>
          <w:rFonts w:ascii="Amiri" w:hAnsi="Amiri" w:eastAsia="Amiri" w:cs="Amiri"/>
          <w:lang w:bidi="ar-SA"/>
          <w:color w:val="111111"/>
          <w:sz w:val="28"/>
          <w:szCs w:val="28"/>
          <w:rtl/>
        </w:rPr>
        <w:t xml:space="preserve">59 .نقولات من رياض النور، ج 16،</w:t>
      </w:r>
    </w:p>
    <w:p>
      <w:pPr>
        <w:pStyle w:val="BookText"/>
      </w:pPr>
      <w:r>
        <w:rPr>
          <w:rFonts w:ascii="IRNazanin" w:hAnsi="IRNazanin" w:eastAsia="IRNazanin" w:cs="IRNazanin"/>
          <w:lang w:bidi="fa-IR"/>
          <w:color w:val="111111"/>
          <w:sz w:val="28"/>
          <w:szCs w:val="28"/>
          <w:rtl/>
        </w:rPr>
        <w:t xml:space="preserve">ص 442.</w:t>
      </w:r>
    </w:p>
    <w:p>
      <w:pPr>
        <w:pStyle w:val="BookText"/>
      </w:pPr>
      <w:r>
        <w:rPr>
          <w:rFonts w:ascii="Amiri" w:hAnsi="Amiri" w:eastAsia="Amiri" w:cs="Amiri"/>
          <w:lang w:bidi="ar-SA"/>
          <w:color w:val="111111"/>
          <w:sz w:val="28"/>
          <w:szCs w:val="28"/>
          <w:rtl/>
        </w:rPr>
        <w:t xml:space="preserve">60 .نور الهداية، ج 16، ص 569.</w:t>
      </w:r>
    </w:p>
    <w:p>
      <w:pPr>
        <w:pStyle w:val="Heading2"/>
      </w:pPr>
      <w:bookmarkStart w:id="4382" w:name="_Toc3484"/>
      <w:r>
        <w:t>دواني ، محمّد جعفر بن عبد الصاحب قرن</w:t>
      </w:r>
      <w:bookmarkEnd w:id="4382"/>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احسن التفاسير، ج 1، ص 445.</w:t>
      </w:r>
    </w:p>
    <w:p>
      <w:pPr>
        <w:pStyle w:val="Heading2"/>
      </w:pPr>
      <w:bookmarkStart w:id="4383" w:name="_Toc3485"/>
      <w:r>
        <w:t>دواني، محمّد علي بن محمّدنبي، قرن13ه-</w:t>
      </w:r>
      <w:bookmarkEnd w:id="4383"/>
    </w:p>
    <w:p>
      <w:pPr>
        <w:pStyle w:val="BookText"/>
      </w:pPr>
      <w:r>
        <w:rPr>
          <w:rFonts w:ascii="Amiri" w:hAnsi="Amiri" w:eastAsia="Amiri" w:cs="Amiri"/>
          <w:lang w:bidi="ar-SA"/>
          <w:color w:val="111111"/>
          <w:sz w:val="28"/>
          <w:szCs w:val="28"/>
          <w:rtl/>
        </w:rPr>
        <w:t xml:space="preserve">تنجيس المتنجس، ج 5، ص 44.</w:t>
      </w:r>
    </w:p>
    <w:p>
      <w:pPr>
        <w:pStyle w:val="Heading2"/>
      </w:pPr>
      <w:bookmarkStart w:id="4384" w:name="_Toc3486"/>
      <w:r>
        <w:t>دوايي شيرازي ، درويش - 1004ه-</w:t>
      </w:r>
      <w:bookmarkEnd w:id="4384"/>
    </w:p>
    <w:p>
      <w:pPr>
        <w:pStyle w:val="BookText"/>
      </w:pPr>
      <w:r>
        <w:rPr>
          <w:rFonts w:ascii="IRNazanin" w:hAnsi="IRNazanin" w:eastAsia="IRNazanin" w:cs="IRNazanin"/>
          <w:lang w:bidi="fa-IR"/>
          <w:color w:val="111111"/>
          <w:sz w:val="28"/>
          <w:szCs w:val="28"/>
          <w:rtl/>
        </w:rPr>
        <w:t xml:space="preserve">فوائد الانسان، ج 12، ص 183.</w:t>
      </w:r>
    </w:p>
    <w:p>
      <w:pPr>
        <w:pStyle w:val="Heading2"/>
      </w:pPr>
      <w:bookmarkStart w:id="4385" w:name="_Toc3487"/>
      <w:r>
        <w:t>دورقي ، احمد بن ابراهيم، 168 - 246 ه-</w:t>
      </w:r>
      <w:bookmarkEnd w:id="4385"/>
    </w:p>
    <w:p>
      <w:pPr>
        <w:pStyle w:val="BookText"/>
      </w:pPr>
      <w:r>
        <w:rPr>
          <w:rFonts w:ascii="Amiri" w:hAnsi="Amiri" w:eastAsia="Amiri" w:cs="Amiri"/>
          <w:lang w:bidi="ar-SA"/>
          <w:color w:val="111111"/>
          <w:sz w:val="28"/>
          <w:szCs w:val="28"/>
          <w:rtl/>
        </w:rPr>
        <w:t xml:space="preserve">مسند سعد بن أبي وقاص، ج 14</w:t>
      </w:r>
    </w:p>
    <w:p>
      <w:pPr>
        <w:pStyle w:val="BookText"/>
      </w:pPr>
      <w:r>
        <w:rPr>
          <w:rFonts w:ascii="IRNazanin" w:hAnsi="IRNazanin" w:eastAsia="IRNazanin" w:cs="IRNazanin"/>
          <w:lang w:bidi="fa-IR"/>
          <w:color w:val="111111"/>
          <w:sz w:val="28"/>
          <w:szCs w:val="28"/>
          <w:rtl/>
        </w:rPr>
        <w:t xml:space="preserve">ص 598 .</w:t>
      </w:r>
    </w:p>
    <w:p>
      <w:pPr>
        <w:pStyle w:val="BookText"/>
      </w:pPr>
      <w:r>
        <w:rPr>
          <w:rFonts w:ascii="Amiri" w:hAnsi="Amiri" w:eastAsia="Amiri" w:cs="Amiri"/>
          <w:lang w:bidi="ar-SA"/>
          <w:color w:val="111111"/>
          <w:sz w:val="28"/>
          <w:szCs w:val="28"/>
          <w:rtl/>
        </w:rPr>
        <w:t xml:space="preserve">دورقي ، فتح الله بن علوان- كعبي ، فتح</w:t>
      </w:r>
    </w:p>
    <w:p>
      <w:pPr>
        <w:pStyle w:val="BookText"/>
      </w:pPr>
      <w:r>
        <w:rPr>
          <w:rFonts w:ascii="IRNazanin" w:hAnsi="IRNazanin" w:eastAsia="IRNazanin" w:cs="IRNazanin"/>
          <w:lang w:bidi="fa-IR"/>
          <w:color w:val="111111"/>
          <w:sz w:val="28"/>
          <w:szCs w:val="28"/>
          <w:rtl/>
        </w:rPr>
        <w:t xml:space="preserve">الله بن علوان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5" w:name="pg7742_70385"/>
    <w:bookmarkEnd w:id="495"/>
    <w:p>
      <w:pPr>
        <w:pStyle w:val="Heading2"/>
      </w:pPr>
      <w:bookmarkStart w:id="4386" w:name="_Toc3488"/>
      <w:r>
        <w:t>دوري ، هاشم</w:t>
      </w:r>
      <w:bookmarkEnd w:id="4386"/>
    </w:p>
    <w:p>
      <w:pPr>
        <w:pStyle w:val="BookText"/>
      </w:pPr>
      <w:r>
        <w:rPr>
          <w:rFonts w:ascii="Amiri" w:hAnsi="Amiri" w:eastAsia="Amiri" w:cs="Amiri"/>
          <w:lang w:bidi="ar-SA"/>
          <w:color w:val="111111"/>
          <w:sz w:val="28"/>
          <w:szCs w:val="28"/>
          <w:rtl/>
        </w:rPr>
        <w:t xml:space="preserve">مجموعة الدوري، ج 14، ص 30.</w:t>
      </w:r>
    </w:p>
    <w:p>
      <w:pPr>
        <w:pStyle w:val="Heading2"/>
      </w:pPr>
      <w:bookmarkStart w:id="4387" w:name="_Toc3489"/>
      <w:r>
        <w:t>دوري ، هيثم بن خلف - 307 ه-</w:t>
      </w:r>
      <w:bookmarkEnd w:id="4387"/>
    </w:p>
    <w:p>
      <w:pPr>
        <w:pStyle w:val="BookText"/>
      </w:pPr>
      <w:r>
        <w:rPr>
          <w:rFonts w:ascii="Amiri" w:hAnsi="Amiri" w:eastAsia="Amiri" w:cs="Amiri"/>
          <w:lang w:bidi="ar-SA"/>
          <w:color w:val="111111"/>
          <w:sz w:val="28"/>
          <w:szCs w:val="28"/>
          <w:rtl/>
        </w:rPr>
        <w:t xml:space="preserve">ذم اللواط و ما روي في التشديد و</w:t>
      </w:r>
    </w:p>
    <w:p>
      <w:pPr>
        <w:pStyle w:val="BookText"/>
      </w:pPr>
      <w:r>
        <w:rPr>
          <w:rFonts w:ascii="Amiri" w:hAnsi="Amiri" w:eastAsia="Amiri" w:cs="Amiri"/>
          <w:lang w:bidi="ar-SA"/>
          <w:color w:val="111111"/>
          <w:sz w:val="28"/>
          <w:szCs w:val="28"/>
          <w:rtl/>
        </w:rPr>
        <w:t xml:space="preserve">النهي عنه، ج7، ص 866.</w:t>
      </w:r>
    </w:p>
    <w:p>
      <w:pPr>
        <w:pStyle w:val="BookText"/>
      </w:pPr>
      <w:r>
        <w:rPr>
          <w:rFonts w:ascii="Amiri" w:hAnsi="Amiri" w:eastAsia="Amiri" w:cs="Amiri"/>
          <w:lang w:bidi="ar-SA"/>
          <w:color w:val="111111"/>
          <w:sz w:val="28"/>
          <w:szCs w:val="28"/>
          <w:rtl/>
        </w:rPr>
        <w:t xml:space="preserve">دوزدري ، علي -روزدري ، علي</w:t>
      </w:r>
    </w:p>
    <w:p>
      <w:pPr>
        <w:pStyle w:val="BookText"/>
      </w:pPr>
      <w:r>
        <w:rPr>
          <w:rFonts w:ascii="Amiri" w:hAnsi="Amiri" w:eastAsia="Amiri" w:cs="Amiri"/>
          <w:lang w:bidi="ar-SA"/>
          <w:color w:val="111111"/>
          <w:sz w:val="28"/>
          <w:szCs w:val="28"/>
          <w:rtl/>
        </w:rPr>
        <w:t xml:space="preserve">دوست محمّد بن عبد الرحيم- حسيني ،</w:t>
      </w:r>
    </w:p>
    <w:p>
      <w:pPr>
        <w:pStyle w:val="BookText"/>
      </w:pPr>
      <w:r>
        <w:rPr>
          <w:rFonts w:ascii="Amiri" w:hAnsi="Amiri" w:eastAsia="Amiri" w:cs="Amiri"/>
          <w:lang w:bidi="ar-SA"/>
          <w:color w:val="111111"/>
          <w:sz w:val="28"/>
          <w:szCs w:val="28"/>
          <w:rtl/>
        </w:rPr>
        <w:t xml:space="preserve">محمد بن عبدالرحيم</w:t>
      </w:r>
    </w:p>
    <w:p>
      <w:pPr>
        <w:pStyle w:val="BookText"/>
      </w:pPr>
      <w:r>
        <w:rPr>
          <w:rFonts w:ascii="Amiri" w:hAnsi="Amiri" w:eastAsia="Amiri" w:cs="Amiri"/>
          <w:lang w:bidi="ar-SA"/>
          <w:color w:val="111111"/>
          <w:sz w:val="28"/>
          <w:szCs w:val="28"/>
          <w:rtl/>
        </w:rPr>
        <w:t xml:space="preserve">دوست محمّد حسيني -حسيني ، محمّد</w:t>
      </w:r>
    </w:p>
    <w:p>
      <w:pPr>
        <w:pStyle w:val="BookText"/>
      </w:pPr>
      <w:r>
        <w:rPr>
          <w:rFonts w:ascii="Amiri" w:hAnsi="Amiri" w:eastAsia="Amiri" w:cs="Amiri"/>
          <w:lang w:bidi="ar-SA"/>
          <w:color w:val="111111"/>
          <w:sz w:val="28"/>
          <w:szCs w:val="28"/>
          <w:rtl/>
        </w:rPr>
        <w:t xml:space="preserve">بن عبدالرحيم</w:t>
      </w:r>
    </w:p>
    <w:p>
      <w:pPr>
        <w:pStyle w:val="Heading2"/>
      </w:pPr>
      <w:bookmarkStart w:id="4388" w:name="_Toc3490"/>
      <w:r>
        <w:t>دوسري ، حسين بن احمد - 1247 ه-</w:t>
      </w:r>
      <w:bookmarkEnd w:id="4388"/>
    </w:p>
    <w:p>
      <w:pPr>
        <w:pStyle w:val="BookText"/>
      </w:pPr>
      <w:r>
        <w:rPr>
          <w:rFonts w:ascii="Amiri" w:hAnsi="Amiri" w:eastAsia="Amiri" w:cs="Amiri"/>
          <w:lang w:bidi="ar-SA"/>
          <w:color w:val="111111"/>
          <w:sz w:val="28"/>
          <w:szCs w:val="28"/>
          <w:rtl/>
        </w:rPr>
        <w:t xml:space="preserve">1 .الجواب الشافي في المقال الصافي</w:t>
      </w:r>
    </w:p>
    <w:p>
      <w:pPr>
        <w:pStyle w:val="BookText"/>
      </w:pPr>
      <w:r>
        <w:rPr>
          <w:rFonts w:ascii="IRNazanin" w:hAnsi="IRNazanin" w:eastAsia="IRNazanin" w:cs="IRNazanin"/>
          <w:lang w:bidi="fa-IR"/>
          <w:color w:val="111111"/>
          <w:sz w:val="28"/>
          <w:szCs w:val="28"/>
          <w:rtl/>
        </w:rPr>
        <w:t xml:space="preserve">ج 5، ص 500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قصيدة في رد من انكر على اهل</w:t>
      </w:r>
    </w:p>
    <w:p>
      <w:pPr>
        <w:pStyle w:val="BookText"/>
      </w:pPr>
      <w:r>
        <w:rPr>
          <w:rFonts w:ascii="Amiri" w:hAnsi="Amiri" w:eastAsia="Amiri" w:cs="Amiri"/>
          <w:lang w:bidi="ar-SA"/>
          <w:color w:val="111111"/>
          <w:sz w:val="28"/>
          <w:szCs w:val="28"/>
          <w:rtl/>
        </w:rPr>
        <w:t xml:space="preserve">الطريقة استعمال الرابطة، ج 12،</w:t>
      </w:r>
    </w:p>
    <w:p>
      <w:pPr>
        <w:pStyle w:val="BookText"/>
      </w:pPr>
      <w:r>
        <w:rPr>
          <w:rFonts w:ascii="IRNazanin" w:hAnsi="IRNazanin" w:eastAsia="IRNazanin" w:cs="IRNazanin"/>
          <w:lang w:bidi="fa-IR"/>
          <w:color w:val="111111"/>
          <w:sz w:val="28"/>
          <w:szCs w:val="28"/>
          <w:rtl/>
        </w:rPr>
        <w:t xml:space="preserve">ص 693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المفردين الذاكرين الله كثيراً (رسالة</w:t>
      </w:r>
    </w:p>
    <w:p>
      <w:pPr>
        <w:pStyle w:val="BookText"/>
      </w:pPr>
      <w:r>
        <w:rPr>
          <w:rFonts w:ascii="Amiri" w:hAnsi="Amiri" w:eastAsia="Amiri" w:cs="Amiri"/>
          <w:lang w:bidi="ar-SA"/>
          <w:color w:val="111111"/>
          <w:sz w:val="28"/>
          <w:szCs w:val="28"/>
          <w:rtl/>
        </w:rPr>
        <w:t xml:space="preserve">في)، ج 15 ، ص 250 .</w:t>
      </w:r>
    </w:p>
    <w:p>
      <w:pPr>
        <w:pStyle w:val="BookText"/>
      </w:pPr>
      <w:r>
        <w:rPr>
          <w:rFonts w:ascii="Amiri" w:hAnsi="Amiri" w:eastAsia="Amiri" w:cs="Amiri"/>
          <w:lang w:bidi="ar-SA"/>
          <w:color w:val="111111"/>
          <w:sz w:val="28"/>
          <w:szCs w:val="28"/>
          <w:rtl/>
        </w:rPr>
        <w:t xml:space="preserve">4 .نشر الشعاع نظم أبي شجاع، ج 16،</w:t>
      </w:r>
    </w:p>
    <w:p>
      <w:pPr>
        <w:pStyle w:val="BookText"/>
      </w:pPr>
      <w:r>
        <w:rPr>
          <w:rFonts w:ascii="IRNazanin" w:hAnsi="IRNazanin" w:eastAsia="IRNazanin" w:cs="IRNazanin"/>
          <w:lang w:bidi="fa-IR"/>
          <w:color w:val="111111"/>
          <w:sz w:val="28"/>
          <w:szCs w:val="28"/>
          <w:rtl/>
        </w:rPr>
        <w:t xml:space="preserve">ص 286.</w:t>
      </w:r>
    </w:p>
    <w:p>
      <w:pPr>
        <w:pStyle w:val="BookText"/>
      </w:pPr>
      <w:r>
        <w:rPr>
          <w:rFonts w:ascii="Amiri" w:hAnsi="Amiri" w:eastAsia="Amiri" w:cs="Amiri"/>
          <w:lang w:bidi="ar-SA"/>
          <w:color w:val="111111"/>
          <w:sz w:val="28"/>
          <w:szCs w:val="28"/>
          <w:rtl/>
        </w:rPr>
        <w:t xml:space="preserve">دوسي ، علي بن حسن -كراع النمل ، علي</w:t>
      </w:r>
    </w:p>
    <w:p>
      <w:pPr>
        <w:pStyle w:val="BookText"/>
      </w:pPr>
      <w:r>
        <w:rPr>
          <w:rFonts w:ascii="IRNazanin" w:hAnsi="IRNazanin" w:eastAsia="IRNazanin" w:cs="IRNazanin"/>
          <w:lang w:bidi="fa-IR"/>
          <w:color w:val="111111"/>
          <w:sz w:val="28"/>
          <w:szCs w:val="28"/>
          <w:rtl/>
        </w:rPr>
        <w:t xml:space="preserve">بن حسن</w:t>
      </w:r>
    </w:p>
    <w:p>
      <w:pPr>
        <w:pStyle w:val="Heading2"/>
      </w:pPr>
      <w:bookmarkStart w:id="4389" w:name="_Toc3491"/>
      <w:r>
        <w:t>دوشيواني ، محمّد طبیب بن احمد</w:t>
      </w:r>
      <w:bookmarkEnd w:id="4389"/>
    </w:p>
    <w:p>
      <w:pPr>
        <w:pStyle w:val="BookText"/>
      </w:pPr>
      <w:r>
        <w:rPr>
          <w:rFonts w:ascii="Amiri" w:hAnsi="Amiri" w:eastAsia="Amiri" w:cs="Amiri"/>
          <w:lang w:bidi="ar-SA"/>
          <w:color w:val="111111"/>
          <w:sz w:val="28"/>
          <w:szCs w:val="28"/>
          <w:rtl/>
        </w:rPr>
        <w:t xml:space="preserve">1 .حاشية شرح الفوائد الحسينية</w:t>
      </w:r>
    </w:p>
    <w:p>
      <w:pPr>
        <w:pStyle w:val="BookText"/>
      </w:pPr>
      <w:r>
        <w:rPr>
          <w:rFonts w:ascii="IRNazanin" w:hAnsi="IRNazanin" w:eastAsia="IRNazanin" w:cs="IRNazanin"/>
          <w:lang w:bidi="fa-IR"/>
          <w:color w:val="111111"/>
          <w:sz w:val="28"/>
          <w:szCs w:val="28"/>
          <w:rtl/>
        </w:rPr>
        <w:t xml:space="preserve">ج 6، ص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الفوائد الحسينية، ج 9،</w:t>
      </w:r>
    </w:p>
    <w:p>
      <w:pPr>
        <w:pStyle w:val="BookText"/>
      </w:pPr>
      <w:r>
        <w:rPr>
          <w:rFonts w:ascii="IRNazanin" w:hAnsi="IRNazanin" w:eastAsia="IRNazanin" w:cs="IRNazanin"/>
          <w:lang w:bidi="fa-IR"/>
          <w:color w:val="111111"/>
          <w:sz w:val="28"/>
          <w:szCs w:val="28"/>
          <w:rtl/>
        </w:rPr>
        <w:t xml:space="preserve">ص 805.</w:t>
      </w:r>
    </w:p>
    <w:p>
      <w:pPr>
        <w:pStyle w:val="BookText"/>
      </w:pPr>
      <w:r>
        <w:rPr>
          <w:rFonts w:ascii="Amiri" w:hAnsi="Amiri" w:eastAsia="Amiri" w:cs="Amiri"/>
          <w:lang w:bidi="ar-SA"/>
          <w:color w:val="111111"/>
          <w:sz w:val="28"/>
          <w:szCs w:val="28"/>
          <w:rtl/>
        </w:rPr>
        <w:t xml:space="preserve">دوقاطي ، احمد بن محمّد- طهطاوي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4390" w:name="_Toc3492"/>
      <w:r>
        <w:t>دولابي ، محمّد بن احمد 224 - 310ه-</w:t>
      </w:r>
      <w:bookmarkEnd w:id="4390"/>
    </w:p>
    <w:p>
      <w:pPr>
        <w:pStyle w:val="BookText"/>
      </w:pPr>
      <w:r>
        <w:rPr>
          <w:rFonts w:ascii="Amiri" w:hAnsi="Amiri" w:eastAsia="Amiri" w:cs="Amiri"/>
          <w:lang w:bidi="ar-SA"/>
          <w:color w:val="111111"/>
          <w:sz w:val="28"/>
          <w:szCs w:val="28"/>
          <w:rtl/>
        </w:rPr>
        <w:t xml:space="preserve">الذرية الطاهرة المطهرة، ج 7، ص 844.</w:t>
      </w:r>
    </w:p>
    <w:p>
      <w:pPr>
        <w:pStyle w:val="Heading2"/>
      </w:pPr>
      <w:bookmarkStart w:id="4391" w:name="_Toc3493"/>
      <w:r>
        <w:t>دولت آبادي ، احمد بن شمس الدين -</w:t>
      </w:r>
      <w:bookmarkEnd w:id="4391"/>
    </w:p>
    <w:p>
      <w:pPr>
        <w:pStyle w:val="BookText"/>
      </w:pPr>
      <w:r>
        <w:rPr>
          <w:rFonts w:ascii="IRNazanin" w:hAnsi="IRNazanin" w:eastAsia="IRNazanin" w:cs="IRNazanin"/>
          <w:lang w:bidi="fa-IR"/>
          <w:color w:val="111111"/>
          <w:sz w:val="28"/>
          <w:szCs w:val="28"/>
          <w:rtl/>
        </w:rPr>
        <w:t xml:space="preserve">849 ؟ ه-</w:t>
      </w:r>
    </w:p>
    <w:p>
      <w:pPr>
        <w:pStyle w:val="BookText"/>
      </w:pPr>
      <w:r>
        <w:rPr>
          <w:rFonts w:ascii="Amiri" w:hAnsi="Amiri" w:eastAsia="Amiri" w:cs="Amiri"/>
          <w:lang w:bidi="ar-SA"/>
          <w:color w:val="111111"/>
          <w:sz w:val="28"/>
          <w:szCs w:val="28"/>
          <w:rtl/>
        </w:rPr>
        <w:t xml:space="preserve">1 .البحر المواج و السراج الوهاج في تفسير القرآن، ج3، ص233.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بديع البيان، ج 3، ص 276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المعافية في شرح الكافية = شرح</w:t>
      </w:r>
    </w:p>
    <w:p>
      <w:pPr>
        <w:pStyle w:val="BookText"/>
      </w:pPr>
      <w:r>
        <w:rPr>
          <w:rFonts w:ascii="Amiri" w:hAnsi="Amiri" w:eastAsia="Amiri" w:cs="Amiri"/>
          <w:lang w:bidi="ar-SA"/>
          <w:color w:val="111111"/>
          <w:sz w:val="28"/>
          <w:szCs w:val="28"/>
          <w:rtl/>
        </w:rPr>
        <w:t xml:space="preserve">هندي، ج 14، ص 851.</w:t>
      </w:r>
    </w:p>
    <w:p>
      <w:pPr>
        <w:pStyle w:val="BookText"/>
      </w:pPr>
      <w:r>
        <w:rPr>
          <w:rFonts w:ascii="IRNazanin" w:hAnsi="IRNazanin" w:eastAsia="IRNazanin" w:cs="IRNazanin"/>
          <w:lang w:bidi="fa-IR"/>
          <w:color w:val="111111"/>
          <w:sz w:val="28"/>
          <w:szCs w:val="28"/>
          <w:rtl/>
        </w:rPr>
        <w:t xml:space="preserve">دولت آبادي ، كمال الدين بن میر محمّد</w:t>
      </w:r>
    </w:p>
    <w:p>
      <w:pPr>
        <w:pStyle w:val="BookText"/>
      </w:pPr>
      <w:r>
        <w:rPr>
          <w:rFonts w:ascii="Amiri" w:hAnsi="Amiri" w:eastAsia="Amiri" w:cs="Amiri"/>
          <w:lang w:bidi="ar-SA"/>
          <w:color w:val="111111"/>
          <w:sz w:val="28"/>
          <w:szCs w:val="28"/>
          <w:rtl/>
        </w:rPr>
        <w:t xml:space="preserve">علي- رضوي ، كمال الدين بن محمّد علي</w:t>
      </w:r>
    </w:p>
    <w:p>
      <w:pPr>
        <w:pStyle w:val="Heading2"/>
      </w:pPr>
      <w:bookmarkStart w:id="4392" w:name="_Toc3494"/>
      <w:r>
        <w:t>دولتشاه دولتشاه بن بختیشاه - 900 ه-</w:t>
      </w:r>
      <w:bookmarkEnd w:id="4392"/>
    </w:p>
    <w:p>
      <w:pPr>
        <w:pStyle w:val="BookText"/>
      </w:pPr>
      <w:r>
        <w:rPr>
          <w:rFonts w:ascii="IRNazanin" w:hAnsi="IRNazanin" w:eastAsia="IRNazanin" w:cs="IRNazanin"/>
          <w:lang w:bidi="fa-IR"/>
          <w:color w:val="111111"/>
          <w:sz w:val="28"/>
          <w:szCs w:val="28"/>
          <w:rtl/>
        </w:rPr>
        <w:t xml:space="preserve">تذكره شعرا = تذکره دولتشاه</w:t>
      </w:r>
    </w:p>
    <w:p>
      <w:pPr>
        <w:pStyle w:val="BookText"/>
      </w:pPr>
      <w:r>
        <w:rPr>
          <w:rFonts w:ascii="Amiri" w:hAnsi="Amiri" w:eastAsia="Amiri" w:cs="Amiri"/>
          <w:lang w:bidi="ar-SA"/>
          <w:color w:val="111111"/>
          <w:sz w:val="28"/>
          <w:szCs w:val="28"/>
          <w:rtl/>
        </w:rPr>
        <w:t xml:space="preserve">سمرقندي، ج4، ص 191.</w:t>
      </w:r>
    </w:p>
    <w:p>
      <w:pPr>
        <w:pStyle w:val="BookText"/>
      </w:pPr>
      <w:r>
        <w:rPr>
          <w:rFonts w:ascii="Amiri" w:hAnsi="Amiri" w:eastAsia="Amiri" w:cs="Amiri"/>
          <w:lang w:bidi="ar-SA"/>
          <w:color w:val="111111"/>
          <w:sz w:val="28"/>
          <w:szCs w:val="28"/>
          <w:rtl/>
        </w:rPr>
        <w:t xml:space="preserve">دولتشاه ، محمّد علي ميرزا -دولت قاجار</w:t>
      </w:r>
    </w:p>
    <w:p>
      <w:pPr>
        <w:pStyle w:val="BookText"/>
      </w:pPr>
      <w:r>
        <w:rPr>
          <w:rFonts w:ascii="Amiri" w:hAnsi="Amiri" w:eastAsia="Amiri" w:cs="Amiri"/>
          <w:lang w:bidi="ar-SA"/>
          <w:color w:val="111111"/>
          <w:sz w:val="28"/>
          <w:szCs w:val="28"/>
          <w:rtl/>
        </w:rPr>
        <w:t xml:space="preserve">، محمّد علي بن فتحعلي</w:t>
      </w:r>
    </w:p>
    <w:p>
      <w:pPr>
        <w:pStyle w:val="Heading2"/>
      </w:pPr>
      <w:bookmarkStart w:id="4393" w:name="_Toc3495"/>
      <w:r>
        <w:t>دولت قاجار ، محمّد علي بن فتحعلي</w:t>
      </w:r>
      <w:bookmarkEnd w:id="4393"/>
    </w:p>
    <w:p>
      <w:pPr>
        <w:pStyle w:val="BookText"/>
      </w:pPr>
      <w:r>
        <w:rPr>
          <w:rFonts w:ascii="IRNazanin" w:hAnsi="IRNazanin" w:eastAsia="IRNazanin" w:cs="IRNazanin"/>
          <w:lang w:bidi="fa-IR"/>
          <w:color w:val="111111"/>
          <w:sz w:val="28"/>
          <w:szCs w:val="28"/>
          <w:rtl/>
        </w:rPr>
        <w:t xml:space="preserve">1203 - 1237 ه-</w:t>
      </w:r>
    </w:p>
    <w:p>
      <w:pPr>
        <w:pStyle w:val="BookText"/>
      </w:pPr>
      <w:r>
        <w:rPr>
          <w:rFonts w:ascii="IRNazanin" w:hAnsi="IRNazanin" w:eastAsia="IRNazanin" w:cs="IRNazanin"/>
          <w:lang w:bidi="fa-IR"/>
          <w:color w:val="111111"/>
          <w:sz w:val="28"/>
          <w:szCs w:val="28"/>
          <w:rtl/>
        </w:rPr>
        <w:t xml:space="preserve">دیوان دولت قاجار، ج 7، ص 642.</w:t>
      </w:r>
    </w:p>
    <w:p>
      <w:pPr>
        <w:pStyle w:val="Heading2"/>
      </w:pPr>
      <w:bookmarkStart w:id="4394" w:name="_Toc3496"/>
      <w:r>
        <w:t>دويهي، اسطفان بن میخائیل 1040 -</w:t>
      </w:r>
      <w:bookmarkEnd w:id="4394"/>
    </w:p>
    <w:p>
      <w:pPr>
        <w:pStyle w:val="BookText"/>
      </w:pPr>
      <w:r>
        <w:rPr>
          <w:rFonts w:ascii="IRNazanin" w:hAnsi="IRNazanin" w:eastAsia="IRNazanin" w:cs="IRNazanin"/>
          <w:lang w:bidi="fa-IR"/>
          <w:color w:val="111111"/>
          <w:sz w:val="28"/>
          <w:szCs w:val="28"/>
          <w:rtl/>
        </w:rPr>
        <w:t xml:space="preserve">1116ه-</w:t>
      </w:r>
    </w:p>
    <w:p>
      <w:pPr>
        <w:pStyle w:val="BookText"/>
      </w:pPr>
      <w:r>
        <w:rPr>
          <w:rFonts w:ascii="Amiri" w:hAnsi="Amiri" w:eastAsia="Amiri" w:cs="Amiri"/>
          <w:lang w:bidi="ar-SA"/>
          <w:color w:val="111111"/>
          <w:sz w:val="28"/>
          <w:szCs w:val="28"/>
          <w:rtl/>
        </w:rPr>
        <w:t xml:space="preserve">تاريخ المسلمين، ج 3، ص 605.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6" w:name="pg7742_70387"/>
    <w:bookmarkEnd w:id="496"/>
    <w:p>
      <w:pPr>
        <w:pStyle w:val="BookText"/>
      </w:pPr>
      <w:r>
        <w:rPr>
          <w:rFonts w:ascii="Amiri" w:hAnsi="Amiri" w:eastAsia="Amiri" w:cs="Amiri"/>
          <w:lang w:bidi="ar-SA"/>
          <w:color w:val="111111"/>
          <w:sz w:val="28"/>
          <w:szCs w:val="28"/>
          <w:rtl/>
        </w:rPr>
        <w:t xml:space="preserve">دياب اتليدي ، محمّد -اتليدي ، محمّد</w:t>
      </w:r>
    </w:p>
    <w:p>
      <w:pPr>
        <w:pStyle w:val="BookText"/>
      </w:pPr>
      <w:r>
        <w:rPr>
          <w:rFonts w:ascii="IRNazanin" w:hAnsi="IRNazanin" w:eastAsia="IRNazanin" w:cs="IRNazanin"/>
          <w:lang w:bidi="fa-IR"/>
          <w:color w:val="111111"/>
          <w:sz w:val="28"/>
          <w:szCs w:val="28"/>
          <w:rtl/>
        </w:rPr>
        <w:t xml:space="preserve">دیاب</w:t>
      </w:r>
    </w:p>
    <w:p>
      <w:pPr>
        <w:pStyle w:val="BookText"/>
      </w:pPr>
      <w:r>
        <w:rPr>
          <w:rFonts w:ascii="Amiri" w:hAnsi="Amiri" w:eastAsia="Amiri" w:cs="Amiri"/>
          <w:lang w:bidi="ar-SA"/>
          <w:color w:val="111111"/>
          <w:sz w:val="28"/>
          <w:szCs w:val="28"/>
          <w:rtl/>
        </w:rPr>
        <w:t xml:space="preserve">ديار بكري، حسن بن اسد- فارقي ، حسن</w:t>
      </w:r>
    </w:p>
    <w:p>
      <w:pPr>
        <w:pStyle w:val="BookText"/>
      </w:pPr>
      <w:r>
        <w:rPr>
          <w:rFonts w:ascii="IRNazanin" w:hAnsi="IRNazanin" w:eastAsia="IRNazanin" w:cs="IRNazanin"/>
          <w:lang w:bidi="fa-IR"/>
          <w:color w:val="111111"/>
          <w:sz w:val="28"/>
          <w:szCs w:val="28"/>
          <w:rtl/>
        </w:rPr>
        <w:t xml:space="preserve">بن اسد</w:t>
      </w:r>
    </w:p>
    <w:p>
      <w:pPr>
        <w:pStyle w:val="Heading2"/>
      </w:pPr>
      <w:bookmarkStart w:id="4395" w:name="_Toc3497"/>
      <w:r>
        <w:t>ديار بكري ، حسين بن محمّد - 966؟ ه-</w:t>
      </w:r>
      <w:bookmarkEnd w:id="4395"/>
    </w:p>
    <w:p>
      <w:pPr>
        <w:pStyle w:val="BookText"/>
      </w:pPr>
      <w:r>
        <w:rPr>
          <w:rFonts w:ascii="Amiri" w:hAnsi="Amiri" w:eastAsia="Amiri" w:cs="Amiri"/>
          <w:lang w:bidi="ar-SA"/>
          <w:color w:val="111111"/>
          <w:sz w:val="28"/>
          <w:szCs w:val="28"/>
          <w:rtl/>
        </w:rPr>
        <w:t xml:space="preserve">الخميس في احوال نفس النفيس</w:t>
      </w:r>
    </w:p>
    <w:p>
      <w:pPr>
        <w:pStyle w:val="BookText"/>
      </w:pPr>
      <w:r>
        <w:rPr>
          <w:rFonts w:ascii="Amiri" w:hAnsi="Amiri" w:eastAsia="Amiri" w:cs="Amiri"/>
          <w:lang w:bidi="ar-SA"/>
          <w:color w:val="111111"/>
          <w:sz w:val="28"/>
          <w:szCs w:val="28"/>
          <w:rtl/>
        </w:rPr>
        <w:t xml:space="preserve">تاريخ الخميس، ج 7، ص 165.</w:t>
      </w:r>
    </w:p>
    <w:p>
      <w:pPr>
        <w:pStyle w:val="BookText"/>
      </w:pPr>
      <w:r>
        <w:rPr>
          <w:rFonts w:ascii="Amiri" w:hAnsi="Amiri" w:eastAsia="Amiri" w:cs="Amiri"/>
          <w:lang w:bidi="ar-SA"/>
          <w:color w:val="111111"/>
          <w:sz w:val="28"/>
          <w:szCs w:val="28"/>
          <w:rtl/>
        </w:rPr>
        <w:t xml:space="preserve">ديار بكري ، عبد الرحيم بن علي- آمدي</w:t>
      </w:r>
    </w:p>
    <w:p>
      <w:pPr>
        <w:pStyle w:val="BookText"/>
      </w:pPr>
      <w:r>
        <w:rPr>
          <w:rFonts w:ascii="Amiri" w:hAnsi="Amiri" w:eastAsia="Amiri" w:cs="Amiri"/>
          <w:lang w:bidi="ar-SA"/>
          <w:color w:val="111111"/>
          <w:sz w:val="28"/>
          <w:szCs w:val="28"/>
          <w:rtl/>
        </w:rPr>
        <w:t xml:space="preserve">عبد الرحيم بن علي</w:t>
      </w:r>
    </w:p>
    <w:p>
      <w:pPr>
        <w:pStyle w:val="Heading2"/>
      </w:pPr>
      <w:bookmarkStart w:id="4396" w:name="_Toc3498"/>
      <w:r>
        <w:t>ديار بكري ، عبد الصمد بن علي - 786 ه-</w:t>
      </w:r>
      <w:bookmarkEnd w:id="4396"/>
    </w:p>
    <w:p>
      <w:pPr>
        <w:pStyle w:val="BookText"/>
      </w:pPr>
      <w:r>
        <w:rPr>
          <w:rFonts w:ascii="IRNazanin" w:hAnsi="IRNazanin" w:eastAsia="IRNazanin" w:cs="IRNazanin"/>
          <w:lang w:bidi="fa-IR"/>
          <w:color w:val="111111"/>
          <w:sz w:val="28"/>
          <w:szCs w:val="28"/>
          <w:rtl/>
        </w:rPr>
        <w:t xml:space="preserve">شرح بیان معضلات قسمي المنطق و الكلام، ج9، ص292.</w:t>
      </w:r>
    </w:p>
    <w:p>
      <w:pPr>
        <w:pStyle w:val="BookText"/>
      </w:pPr>
      <w:r>
        <w:rPr>
          <w:rFonts w:ascii="IRNazanin" w:hAnsi="IRNazanin" w:eastAsia="IRNazanin" w:cs="IRNazanin"/>
          <w:lang w:bidi="fa-IR"/>
          <w:color w:val="111111"/>
          <w:sz w:val="28"/>
          <w:szCs w:val="28"/>
          <w:rtl/>
        </w:rPr>
        <w:t xml:space="preserve">دياربكري ، عمر بن احمد- مائي چلبي</w:t>
      </w:r>
    </w:p>
    <w:p>
      <w:pPr>
        <w:pStyle w:val="BookText"/>
      </w:pPr>
      <w:r>
        <w:rPr>
          <w:rFonts w:ascii="IRNazanin" w:hAnsi="IRNazanin" w:eastAsia="IRNazanin" w:cs="IRNazanin"/>
          <w:lang w:bidi="fa-IR"/>
          <w:color w:val="111111"/>
          <w:sz w:val="28"/>
          <w:szCs w:val="28"/>
          <w:rtl/>
        </w:rPr>
        <w:t xml:space="preserve">عمر بن احمد</w:t>
      </w:r>
    </w:p>
    <w:p>
      <w:pPr>
        <w:pStyle w:val="BookText"/>
      </w:pPr>
      <w:r>
        <w:rPr>
          <w:rFonts w:ascii="Amiri" w:hAnsi="Amiri" w:eastAsia="Amiri" w:cs="Amiri"/>
          <w:lang w:bidi="ar-SA"/>
          <w:color w:val="111111"/>
          <w:sz w:val="28"/>
          <w:szCs w:val="28"/>
          <w:rtl/>
        </w:rPr>
        <w:t xml:space="preserve">ديار بكري ، محمّد بن علي- ملاجلبي</w:t>
      </w:r>
    </w:p>
    <w:p>
      <w:pPr>
        <w:pStyle w:val="BookText"/>
      </w:pPr>
      <w:r>
        <w:rPr>
          <w:rFonts w:ascii="Amiri" w:hAnsi="Amiri" w:eastAsia="Amiri" w:cs="Amiri"/>
          <w:lang w:bidi="ar-SA"/>
          <w:color w:val="111111"/>
          <w:sz w:val="28"/>
          <w:szCs w:val="28"/>
          <w:rtl/>
        </w:rPr>
        <w:t xml:space="preserve">محمّد بن علي</w:t>
      </w:r>
    </w:p>
    <w:p>
      <w:pPr>
        <w:pStyle w:val="BookText"/>
      </w:pPr>
      <w:r>
        <w:rPr>
          <w:rFonts w:ascii="IRNazanin" w:hAnsi="IRNazanin" w:eastAsia="IRNazanin" w:cs="IRNazanin"/>
          <w:lang w:bidi="fa-IR"/>
          <w:color w:val="111111"/>
          <w:sz w:val="28"/>
          <w:szCs w:val="28"/>
          <w:rtl/>
        </w:rPr>
        <w:t xml:space="preserve">دیا سقوريدس- پدانیوس دیوسکوریدس</w:t>
      </w:r>
    </w:p>
    <w:p>
      <w:pPr>
        <w:pStyle w:val="BookText"/>
      </w:pPr>
      <w:r>
        <w:rPr>
          <w:rFonts w:ascii="IRNazanin" w:hAnsi="IRNazanin" w:eastAsia="IRNazanin" w:cs="IRNazanin"/>
          <w:lang w:bidi="fa-IR"/>
          <w:color w:val="111111"/>
          <w:sz w:val="28"/>
          <w:szCs w:val="28"/>
          <w:rtl/>
        </w:rPr>
        <w:t xml:space="preserve">دیانت خان ، محمّد بن رستم -بدخشي</w:t>
      </w:r>
    </w:p>
    <w:p>
      <w:pPr>
        <w:pStyle w:val="BookText"/>
      </w:pPr>
      <w:r>
        <w:rPr>
          <w:rFonts w:ascii="IRNazanin" w:hAnsi="IRNazanin" w:eastAsia="IRNazanin" w:cs="IRNazanin"/>
          <w:lang w:bidi="fa-IR"/>
          <w:color w:val="111111"/>
          <w:sz w:val="28"/>
          <w:szCs w:val="28"/>
          <w:rtl/>
        </w:rPr>
        <w:t xml:space="preserve">محمّد بن رستم</w:t>
      </w:r>
    </w:p>
    <w:p>
      <w:pPr>
        <w:pStyle w:val="Heading2"/>
      </w:pPr>
      <w:bookmarkStart w:id="4397" w:name="_Toc3499"/>
      <w:r>
        <w:t>دیباج ، اسماعيل بن حسين</w:t>
      </w:r>
      <w:bookmarkEnd w:id="4397"/>
    </w:p>
    <w:p>
      <w:pPr>
        <w:pStyle w:val="BookText"/>
      </w:pPr>
      <w:r>
        <w:rPr>
          <w:rFonts w:ascii="Amiri" w:hAnsi="Amiri" w:eastAsia="Amiri" w:cs="Amiri"/>
          <w:lang w:bidi="ar-SA"/>
          <w:color w:val="111111"/>
          <w:sz w:val="28"/>
          <w:szCs w:val="28"/>
          <w:rtl/>
        </w:rPr>
        <w:t xml:space="preserve">أنساب الطالبين، ج 2، ص 802.</w:t>
      </w:r>
    </w:p>
    <w:p>
      <w:pPr>
        <w:pStyle w:val="Heading2"/>
      </w:pPr>
      <w:bookmarkStart w:id="4398" w:name="_Toc3500"/>
      <w:r>
        <w:t>ديباجي عبدالله بن عبد الرحمن، قرن 6ه-</w:t>
      </w:r>
      <w:bookmarkEnd w:id="4398"/>
    </w:p>
    <w:p>
      <w:pPr>
        <w:pStyle w:val="BookText"/>
      </w:pPr>
      <w:r>
        <w:rPr>
          <w:rFonts w:ascii="Amiri" w:hAnsi="Amiri" w:eastAsia="Amiri" w:cs="Amiri"/>
          <w:lang w:bidi="ar-SA"/>
          <w:color w:val="111111"/>
          <w:sz w:val="28"/>
          <w:szCs w:val="28"/>
          <w:rtl/>
        </w:rPr>
        <w:t xml:space="preserve">الفوائد في الحديث، ج 12، ص 257.</w:t>
      </w:r>
    </w:p>
    <w:p>
      <w:pPr>
        <w:pStyle w:val="Heading2"/>
      </w:pPr>
      <w:bookmarkStart w:id="4399" w:name="_Toc3501"/>
      <w:r>
        <w:t>ديباجي ، فتح الله بن محمّد، قرن 12</w:t>
      </w:r>
      <w:bookmarkEnd w:id="4399"/>
    </w:p>
    <w:p>
      <w:pPr>
        <w:pStyle w:val="BookText"/>
      </w:pPr>
      <w:r>
        <w:rPr>
          <w:rFonts w:ascii="IRNazanin" w:hAnsi="IRNazanin" w:eastAsia="IRNazanin" w:cs="IRNazanin"/>
          <w:lang w:bidi="fa-IR"/>
          <w:color w:val="111111"/>
          <w:sz w:val="28"/>
          <w:szCs w:val="28"/>
          <w:rtl/>
        </w:rPr>
        <w:t xml:space="preserve">کتاب فارسي، ج 13، ص112.</w:t>
      </w:r>
    </w:p>
    <w:p>
      <w:pPr>
        <w:pStyle w:val="BookText"/>
      </w:pPr>
      <w:r>
        <w:rPr>
          <w:rFonts w:ascii="Amiri" w:hAnsi="Amiri" w:eastAsia="Amiri" w:cs="Amiri"/>
          <w:lang w:bidi="ar-SA"/>
          <w:color w:val="111111"/>
          <w:sz w:val="28"/>
          <w:szCs w:val="28"/>
          <w:rtl/>
        </w:rPr>
        <w:t xml:space="preserve">ديباجي مروزي، محمّد بن سعد الله - بردعي ، محمّد بن سعد الله</w:t>
      </w:r>
    </w:p>
    <w:p>
      <w:pPr>
        <w:pStyle w:val="Heading2"/>
      </w:pPr>
      <w:bookmarkStart w:id="4400" w:name="_Toc3502"/>
      <w:r>
        <w:t>دیباچه نگار اصفهاني ، طاهر بن زين</w:t>
      </w:r>
      <w:bookmarkEnd w:id="4400"/>
    </w:p>
    <w:p>
      <w:pPr>
        <w:pStyle w:val="BookText"/>
      </w:pPr>
      <w:r>
        <w:rPr>
          <w:rFonts w:ascii="Amiri" w:hAnsi="Amiri" w:eastAsia="Amiri" w:cs="Amiri"/>
          <w:lang w:bidi="ar-SA"/>
          <w:color w:val="111111"/>
          <w:sz w:val="28"/>
          <w:szCs w:val="28"/>
          <w:rtl/>
        </w:rPr>
        <w:t xml:space="preserve">العابدين 1224 - 1270 ه-</w:t>
      </w:r>
    </w:p>
    <w:p>
      <w:pPr>
        <w:pStyle w:val="BookText"/>
      </w:pPr>
      <w:r>
        <w:rPr>
          <w:rFonts w:ascii="IRNazanin" w:hAnsi="IRNazanin" w:eastAsia="IRNazanin" w:cs="IRNazanin"/>
          <w:lang w:bidi="fa-IR"/>
          <w:color w:val="111111"/>
          <w:sz w:val="28"/>
          <w:szCs w:val="28"/>
          <w:rtl/>
        </w:rPr>
        <w:t xml:space="preserve">تذکره گنج شایگان، ج4، ص210.</w:t>
      </w:r>
    </w:p>
    <w:p>
      <w:pPr>
        <w:pStyle w:val="BookText"/>
      </w:pPr>
      <w:r>
        <w:rPr>
          <w:rFonts w:ascii="Amiri" w:hAnsi="Amiri" w:eastAsia="Amiri" w:cs="Amiri"/>
          <w:lang w:bidi="ar-SA"/>
          <w:color w:val="111111"/>
          <w:sz w:val="28"/>
          <w:szCs w:val="28"/>
          <w:rtl/>
        </w:rPr>
        <w:t xml:space="preserve">ديبلي سندي ، احمد بن نصر الله- تتوي</w:t>
      </w:r>
    </w:p>
    <w:p>
      <w:pPr>
        <w:pStyle w:val="BookText"/>
      </w:pPr>
      <w:r>
        <w:rPr>
          <w:rFonts w:ascii="IRNazanin" w:hAnsi="IRNazanin" w:eastAsia="IRNazanin" w:cs="IRNazanin"/>
          <w:lang w:bidi="fa-IR"/>
          <w:color w:val="111111"/>
          <w:sz w:val="28"/>
          <w:szCs w:val="28"/>
          <w:rtl/>
        </w:rPr>
        <w:t xml:space="preserve">احمد بن نصر الله</w:t>
      </w:r>
    </w:p>
    <w:p>
      <w:pPr>
        <w:pStyle w:val="Heading2"/>
      </w:pPr>
      <w:bookmarkStart w:id="4401" w:name="_Toc3503"/>
      <w:r>
        <w:t>ديد كوس - 1580م</w:t>
      </w:r>
      <w:bookmarkEnd w:id="4401"/>
    </w:p>
    <w:p>
      <w:pPr>
        <w:pStyle w:val="BookText"/>
      </w:pPr>
      <w:r>
        <w:rPr>
          <w:rFonts w:ascii="Amiri" w:hAnsi="Amiri" w:eastAsia="Amiri" w:cs="Amiri"/>
          <w:lang w:bidi="ar-SA"/>
          <w:color w:val="111111"/>
          <w:sz w:val="28"/>
          <w:szCs w:val="28"/>
          <w:rtl/>
        </w:rPr>
        <w:t xml:space="preserve">احتقار اباطيل العالم، ج1، ص 439</w:t>
      </w:r>
    </w:p>
    <w:p>
      <w:pPr>
        <w:pStyle w:val="Heading2"/>
      </w:pPr>
      <w:bookmarkStart w:id="4402" w:name="_Toc3504"/>
      <w:r>
        <w:t>ديربي ، احمد بن عمر 1061 - 1151 ه-</w:t>
      </w:r>
      <w:bookmarkEnd w:id="4402"/>
    </w:p>
    <w:p>
      <w:pPr>
        <w:pStyle w:val="BookText"/>
      </w:pPr>
      <w:r>
        <w:rPr>
          <w:rFonts w:ascii="Amiri" w:hAnsi="Amiri" w:eastAsia="Amiri" w:cs="Amiri"/>
          <w:lang w:bidi="ar-SA"/>
          <w:color w:val="111111"/>
          <w:sz w:val="28"/>
          <w:szCs w:val="28"/>
          <w:rtl/>
        </w:rPr>
        <w:t xml:space="preserve">1 .غاية المرام في ما يتعلق بانكحة الانام = مانع السفاح في تعليم عاقد النكاح، ج 11، ص 455 .</w:t>
      </w:r>
    </w:p>
    <w:p>
      <w:pPr>
        <w:pStyle w:val="BookText"/>
      </w:pPr>
      <w:r>
        <w:rPr>
          <w:rFonts w:ascii="Amiri" w:hAnsi="Amiri" w:eastAsia="Amiri" w:cs="Amiri"/>
          <w:lang w:bidi="ar-SA"/>
          <w:color w:val="111111"/>
          <w:sz w:val="28"/>
          <w:szCs w:val="28"/>
          <w:rtl/>
        </w:rPr>
        <w:t xml:space="preserve">2 .فتح الملك الجواد لتسهيل قسمة التركات على بعض العباد، ج11،</w:t>
      </w:r>
    </w:p>
    <w:p>
      <w:pPr>
        <w:pStyle w:val="BookText"/>
      </w:pPr>
      <w:r>
        <w:rPr>
          <w:rFonts w:ascii="IRNazanin" w:hAnsi="IRNazanin" w:eastAsia="IRNazanin" w:cs="IRNazanin"/>
          <w:lang w:bidi="fa-IR"/>
          <w:color w:val="111111"/>
          <w:sz w:val="28"/>
          <w:szCs w:val="28"/>
          <w:rtl/>
        </w:rPr>
        <w:t xml:space="preserve">ص 685.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فتح الملك القريب المجيب بالكلام على اخر شرح الخطيب الشربيني</w:t>
      </w:r>
    </w:p>
    <w:p>
      <w:pPr>
        <w:pStyle w:val="BookText"/>
      </w:pPr>
      <w:r>
        <w:rPr>
          <w:rFonts w:ascii="IRNazanin" w:hAnsi="IRNazanin" w:eastAsia="IRNazanin" w:cs="IRNazanin"/>
          <w:lang w:bidi="fa-IR"/>
          <w:color w:val="111111"/>
          <w:sz w:val="28"/>
          <w:szCs w:val="28"/>
          <w:rtl/>
        </w:rPr>
        <w:t xml:space="preserve">ج 11 ، ص 685.</w:t>
      </w:r>
    </w:p>
    <w:p>
      <w:pPr>
        <w:pStyle w:val="BookText"/>
      </w:pPr>
      <w:r>
        <w:rPr>
          <w:rFonts w:ascii="Amiri" w:hAnsi="Amiri" w:eastAsia="Amiri" w:cs="Amiri"/>
          <w:lang w:bidi="ar-SA"/>
          <w:color w:val="111111"/>
          <w:sz w:val="28"/>
          <w:szCs w:val="28"/>
          <w:rtl/>
        </w:rPr>
        <w:t xml:space="preserve">ديروطي دمياطي ، محمّد بن احمد- دمياطي ، محمّد بن احمد</w:t>
      </w:r>
    </w:p>
    <w:p>
      <w:pPr>
        <w:pStyle w:val="BookText"/>
      </w:pPr>
      <w:r>
        <w:rPr>
          <w:rFonts w:ascii="Amiri" w:hAnsi="Amiri" w:eastAsia="Amiri" w:cs="Amiri"/>
          <w:lang w:bidi="ar-SA"/>
          <w:color w:val="111111"/>
          <w:sz w:val="28"/>
          <w:szCs w:val="28"/>
          <w:rtl/>
        </w:rPr>
        <w:t xml:space="preserve">ديري ، سعد بن محمّد- ابن ديري ، سعد</w:t>
      </w:r>
    </w:p>
    <w:p>
      <w:pPr>
        <w:pStyle w:val="BookText"/>
      </w:pPr>
      <w:r>
        <w:rPr>
          <w:rFonts w:ascii="Amiri" w:hAnsi="Amiri" w:eastAsia="Amiri" w:cs="Amiri"/>
          <w:lang w:bidi="ar-SA"/>
          <w:color w:val="111111"/>
          <w:sz w:val="28"/>
          <w:szCs w:val="28"/>
          <w:rtl/>
        </w:rPr>
        <w:t xml:space="preserve">بن محمّد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7" w:name="pg7742_70389"/>
    <w:bookmarkEnd w:id="497"/>
    <w:p>
      <w:pPr>
        <w:pStyle w:val="Heading2"/>
      </w:pPr>
      <w:bookmarkStart w:id="4403" w:name="_Toc3505"/>
      <w:r>
        <w:t>ديري ، قادر بخش بن غلام محمّد</w:t>
      </w:r>
      <w:bookmarkEnd w:id="4403"/>
    </w:p>
    <w:p>
      <w:pPr>
        <w:pStyle w:val="BookText"/>
      </w:pPr>
      <w:r>
        <w:rPr>
          <w:rFonts w:ascii="Amiri" w:hAnsi="Amiri" w:eastAsia="Amiri" w:cs="Amiri"/>
          <w:lang w:bidi="ar-SA"/>
          <w:color w:val="111111"/>
          <w:sz w:val="28"/>
          <w:szCs w:val="28"/>
          <w:rtl/>
        </w:rPr>
        <w:t xml:space="preserve">حاشية المطول، ج 6، ص390.</w:t>
      </w:r>
    </w:p>
    <w:p>
      <w:pPr>
        <w:pStyle w:val="BookText"/>
      </w:pPr>
      <w:r>
        <w:rPr>
          <w:rFonts w:ascii="Amiri" w:hAnsi="Amiri" w:eastAsia="Amiri" w:cs="Amiri"/>
          <w:lang w:bidi="ar-SA"/>
          <w:color w:val="111111"/>
          <w:sz w:val="28"/>
          <w:szCs w:val="28"/>
          <w:rtl/>
        </w:rPr>
        <w:t xml:space="preserve">ديري ناصري ، محمّد بن ابي بكر- ابن</w:t>
      </w:r>
    </w:p>
    <w:p>
      <w:pPr>
        <w:pStyle w:val="BookText"/>
      </w:pPr>
      <w:r>
        <w:rPr>
          <w:rFonts w:ascii="Amiri" w:hAnsi="Amiri" w:eastAsia="Amiri" w:cs="Amiri"/>
          <w:lang w:bidi="ar-SA"/>
          <w:color w:val="111111"/>
          <w:sz w:val="28"/>
          <w:szCs w:val="28"/>
          <w:rtl/>
        </w:rPr>
        <w:t xml:space="preserve">ديري، محمّد بن ابي بكر</w:t>
      </w:r>
    </w:p>
    <w:p>
      <w:pPr>
        <w:pStyle w:val="Heading2"/>
      </w:pPr>
      <w:bookmarkStart w:id="4404" w:name="_Toc3506"/>
      <w:r>
        <w:t>ديريني عبدالعزيز بن احمد، 612-694ه-</w:t>
      </w:r>
      <w:bookmarkEnd w:id="4404"/>
    </w:p>
    <w:p>
      <w:pPr>
        <w:pStyle w:val="BookText"/>
      </w:pPr>
      <w:r>
        <w:rPr>
          <w:rFonts w:ascii="Amiri" w:hAnsi="Amiri" w:eastAsia="Amiri" w:cs="Amiri"/>
          <w:lang w:bidi="ar-SA"/>
          <w:color w:val="111111"/>
          <w:sz w:val="28"/>
          <w:szCs w:val="28"/>
          <w:rtl/>
        </w:rPr>
        <w:t xml:space="preserve">1 .ارجوزة، ج 1، ص 760 .</w:t>
      </w:r>
    </w:p>
    <w:p>
      <w:pPr>
        <w:pStyle w:val="BookText"/>
      </w:pPr>
      <w:r>
        <w:rPr>
          <w:rFonts w:ascii="Amiri" w:hAnsi="Amiri" w:eastAsia="Amiri" w:cs="Amiri"/>
          <w:lang w:bidi="ar-SA"/>
          <w:color w:val="111111"/>
          <w:sz w:val="28"/>
          <w:szCs w:val="28"/>
          <w:rtl/>
        </w:rPr>
        <w:t xml:space="preserve">2 .ارشاد الحياري في الرد على النصارى</w:t>
      </w:r>
    </w:p>
    <w:p>
      <w:pPr>
        <w:pStyle w:val="BookText"/>
      </w:pPr>
      <w:r>
        <w:rPr>
          <w:rFonts w:ascii="IRNazanin" w:hAnsi="IRNazanin" w:eastAsia="IRNazanin" w:cs="IRNazanin"/>
          <w:lang w:bidi="fa-IR"/>
          <w:color w:val="111111"/>
          <w:sz w:val="28"/>
          <w:szCs w:val="28"/>
          <w:rtl/>
        </w:rPr>
        <w:t xml:space="preserve">ج 2، ص 17.</w:t>
      </w:r>
    </w:p>
    <w:p>
      <w:pPr>
        <w:pStyle w:val="BookText"/>
      </w:pPr>
      <w:r>
        <w:rPr>
          <w:rFonts w:ascii="Amiri" w:hAnsi="Amiri" w:eastAsia="Amiri" w:cs="Amiri"/>
          <w:lang w:bidi="ar-SA"/>
          <w:color w:val="111111"/>
          <w:sz w:val="28"/>
          <w:szCs w:val="28"/>
          <w:rtl/>
        </w:rPr>
        <w:t xml:space="preserve">3 .طهارة القلوب و الخضوع لعلام</w:t>
      </w:r>
    </w:p>
    <w:p>
      <w:pPr>
        <w:pStyle w:val="BookText"/>
      </w:pPr>
      <w:r>
        <w:rPr>
          <w:rFonts w:ascii="Amiri" w:hAnsi="Amiri" w:eastAsia="Amiri" w:cs="Amiri"/>
          <w:lang w:bidi="ar-SA"/>
          <w:color w:val="111111"/>
          <w:sz w:val="28"/>
          <w:szCs w:val="28"/>
          <w:rtl/>
        </w:rPr>
        <w:t xml:space="preserve">الغيوب، ج 10، ص 864.</w:t>
      </w:r>
    </w:p>
    <w:p>
      <w:pPr>
        <w:pStyle w:val="BookText"/>
      </w:pPr>
      <w:r>
        <w:rPr>
          <w:rFonts w:ascii="IRNazanin" w:hAnsi="IRNazanin" w:eastAsia="IRNazanin" w:cs="IRNazanin"/>
          <w:lang w:bidi="fa-IR"/>
          <w:color w:val="111111"/>
          <w:sz w:val="28"/>
          <w:szCs w:val="28"/>
          <w:rtl/>
        </w:rPr>
        <w:t xml:space="preserve">4 .متشابه القرآن، ج13، ص 749.</w:t>
      </w:r>
    </w:p>
    <w:p>
      <w:pPr>
        <w:pStyle w:val="BookText"/>
      </w:pPr>
      <w:r>
        <w:rPr>
          <w:rFonts w:ascii="IRNazanin" w:hAnsi="IRNazanin" w:eastAsia="IRNazanin" w:cs="IRNazanin"/>
          <w:lang w:bidi="fa-IR"/>
          <w:color w:val="111111"/>
          <w:sz w:val="28"/>
          <w:szCs w:val="28"/>
          <w:rtl/>
        </w:rPr>
        <w:t xml:space="preserve">5 .مثلثات، ج13، ص770.</w:t>
      </w:r>
    </w:p>
    <w:p>
      <w:pPr>
        <w:pStyle w:val="BookText"/>
      </w:pPr>
      <w:r>
        <w:rPr>
          <w:rFonts w:ascii="Amiri" w:hAnsi="Amiri" w:eastAsia="Amiri" w:cs="Amiri"/>
          <w:lang w:bidi="ar-SA"/>
          <w:color w:val="111111"/>
          <w:sz w:val="28"/>
          <w:szCs w:val="28"/>
          <w:rtl/>
        </w:rPr>
        <w:t xml:space="preserve">6 .المقدمة اليوسفية، ج 15 ، ص 377.</w:t>
      </w:r>
    </w:p>
    <w:p>
      <w:pPr>
        <w:pStyle w:val="BookText"/>
      </w:pPr>
      <w:r>
        <w:rPr>
          <w:rFonts w:ascii="Amiri" w:hAnsi="Amiri" w:eastAsia="Amiri" w:cs="Amiri"/>
          <w:lang w:bidi="ar-SA"/>
          <w:color w:val="111111"/>
          <w:sz w:val="28"/>
          <w:szCs w:val="28"/>
          <w:rtl/>
        </w:rPr>
        <w:t xml:space="preserve">7 .المقصد الأسنى في شرح اسماء الله</w:t>
      </w:r>
    </w:p>
    <w:p>
      <w:pPr>
        <w:pStyle w:val="BookText"/>
      </w:pPr>
      <w:r>
        <w:rPr>
          <w:rFonts w:ascii="IRNazanin" w:hAnsi="IRNazanin" w:eastAsia="IRNazanin" w:cs="IRNazanin"/>
          <w:lang w:bidi="fa-IR"/>
          <w:color w:val="111111"/>
          <w:sz w:val="28"/>
          <w:szCs w:val="28"/>
          <w:rtl/>
        </w:rPr>
        <w:t xml:space="preserve">الحسنى، ج 15، ص381.</w:t>
      </w:r>
    </w:p>
    <w:p>
      <w:pPr>
        <w:pStyle w:val="Heading2"/>
      </w:pPr>
      <w:bookmarkStart w:id="4405" w:name="_Toc3507"/>
      <w:r>
        <w:t>ديري ، هبة الله محمّد - 645 ه-</w:t>
      </w:r>
      <w:bookmarkEnd w:id="4405"/>
    </w:p>
    <w:p>
      <w:pPr>
        <w:pStyle w:val="BookText"/>
      </w:pPr>
      <w:r>
        <w:rPr>
          <w:rFonts w:ascii="Amiri" w:hAnsi="Amiri" w:eastAsia="Amiri" w:cs="Amiri"/>
          <w:lang w:bidi="ar-SA"/>
          <w:color w:val="111111"/>
          <w:sz w:val="28"/>
          <w:szCs w:val="28"/>
          <w:rtl/>
        </w:rPr>
        <w:t xml:space="preserve">الجدول الصفي من البحر الوفي، ج5،</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دیسقریدس-پدانیوس دیوسکوریدس</w:t>
      </w:r>
    </w:p>
    <w:p>
      <w:pPr>
        <w:pStyle w:val="Heading2"/>
      </w:pPr>
      <w:bookmarkStart w:id="4406" w:name="_Toc3508"/>
      <w:r>
        <w:t>ديك الجن ، عبد السلام بن رغبان 161 -</w:t>
      </w:r>
      <w:bookmarkEnd w:id="4406"/>
    </w:p>
    <w:p>
      <w:pPr>
        <w:pStyle w:val="BookText"/>
      </w:pPr>
      <w:r>
        <w:rPr>
          <w:rFonts w:ascii="IRNazanin" w:hAnsi="IRNazanin" w:eastAsia="IRNazanin" w:cs="IRNazanin"/>
          <w:lang w:bidi="fa-IR"/>
          <w:color w:val="111111"/>
          <w:sz w:val="28"/>
          <w:szCs w:val="28"/>
          <w:rtl/>
        </w:rPr>
        <w:t xml:space="preserve">235 ه-</w:t>
      </w:r>
    </w:p>
    <w:p>
      <w:pPr>
        <w:pStyle w:val="BookText"/>
      </w:pPr>
      <w:r>
        <w:rPr>
          <w:rFonts w:ascii="Amiri" w:hAnsi="Amiri" w:eastAsia="Amiri" w:cs="Amiri"/>
          <w:lang w:bidi="ar-SA"/>
          <w:color w:val="111111"/>
          <w:sz w:val="28"/>
          <w:szCs w:val="28"/>
          <w:rtl/>
        </w:rPr>
        <w:t xml:space="preserve">ديوان ديك الجن، ج 7، ص 643.</w:t>
      </w:r>
    </w:p>
    <w:p>
      <w:pPr>
        <w:pStyle w:val="Heading2"/>
      </w:pPr>
      <w:bookmarkStart w:id="4407" w:name="_Toc3509"/>
      <w:r>
        <w:t>؟ ديكقوز ، احمد بن عبدالله قرن 9 ه-</w:t>
      </w:r>
      <w:bookmarkEnd w:id="4407"/>
    </w:p>
    <w:p>
      <w:pPr>
        <w:pStyle w:val="BookText"/>
      </w:pPr>
      <w:r>
        <w:rPr>
          <w:rFonts w:ascii="IRNazanin" w:hAnsi="IRNazanin" w:eastAsia="IRNazanin" w:cs="IRNazanin"/>
          <w:lang w:bidi="fa-IR"/>
          <w:color w:val="111111"/>
          <w:sz w:val="28"/>
          <w:szCs w:val="28"/>
          <w:rtl/>
        </w:rPr>
        <w:t xml:space="preserve">1 بناء الافعال، ج3، ص 404.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شرح آداب البحث السمرقندية، ج 6، ص 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مراح الارواح، ج 10، ص 131 .</w:t>
      </w:r>
    </w:p>
    <w:p>
      <w:pPr>
        <w:pStyle w:val="Heading2"/>
      </w:pPr>
      <w:bookmarkStart w:id="4408" w:name="_Toc3510"/>
      <w:r>
        <w:t>دیلماج ، محمّد بن قاسم قرن 12 ه-</w:t>
      </w:r>
      <w:bookmarkEnd w:id="4408"/>
    </w:p>
    <w:p>
      <w:pPr>
        <w:pStyle w:val="BookText"/>
      </w:pPr>
      <w:r>
        <w:rPr>
          <w:rFonts w:ascii="Amiri" w:hAnsi="Amiri" w:eastAsia="Amiri" w:cs="Amiri"/>
          <w:lang w:bidi="ar-SA"/>
          <w:color w:val="111111"/>
          <w:sz w:val="28"/>
          <w:szCs w:val="28"/>
          <w:rtl/>
        </w:rPr>
        <w:t xml:space="preserve">حاشية الروضة البهية في شرح اللمعة</w:t>
      </w:r>
    </w:p>
    <w:p>
      <w:pPr>
        <w:pStyle w:val="BookText"/>
      </w:pPr>
      <w:r>
        <w:rPr>
          <w:rFonts w:ascii="Amiri" w:hAnsi="Amiri" w:eastAsia="Amiri" w:cs="Amiri"/>
          <w:lang w:bidi="ar-SA"/>
          <w:color w:val="111111"/>
          <w:sz w:val="28"/>
          <w:szCs w:val="28"/>
          <w:rtl/>
        </w:rPr>
        <w:t xml:space="preserve">الدمشقية، ج 5، ص883</w:t>
      </w:r>
    </w:p>
    <w:p>
      <w:pPr>
        <w:pStyle w:val="BookText"/>
      </w:pPr>
      <w:r>
        <w:rPr>
          <w:rFonts w:ascii="Amiri" w:hAnsi="Amiri" w:eastAsia="Amiri" w:cs="Amiri"/>
          <w:lang w:bidi="ar-SA"/>
          <w:color w:val="111111"/>
          <w:sz w:val="28"/>
          <w:szCs w:val="28"/>
          <w:rtl/>
        </w:rPr>
        <w:t xml:space="preserve">ديلمي ، بهاءالدوله بن شاه قاسم- نوربخش ، حسن بن قاسم</w:t>
      </w:r>
    </w:p>
    <w:p>
      <w:pPr>
        <w:pStyle w:val="Heading2"/>
      </w:pPr>
      <w:bookmarkStart w:id="4409" w:name="_Toc3511"/>
      <w:r>
        <w:t>ديلمي ، حسن بن محمّد قرن 8 ه-</w:t>
      </w:r>
      <w:bookmarkEnd w:id="4409"/>
    </w:p>
    <w:p>
      <w:pPr>
        <w:pStyle w:val="BookText"/>
      </w:pPr>
      <w:r>
        <w:rPr>
          <w:rFonts w:ascii="Amiri" w:hAnsi="Amiri" w:eastAsia="Amiri" w:cs="Amiri"/>
          <w:lang w:bidi="ar-SA"/>
          <w:color w:val="111111"/>
          <w:sz w:val="28"/>
          <w:szCs w:val="28"/>
          <w:rtl/>
        </w:rPr>
        <w:t xml:space="preserve">1 .ارشاد القلوب إلى الصواب المنجي من عمل به من اليم العقاب، ج2،</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Amiri" w:hAnsi="Amiri" w:eastAsia="Amiri" w:cs="Amiri"/>
          <w:lang w:bidi="ar-SA"/>
          <w:color w:val="111111"/>
          <w:sz w:val="28"/>
          <w:szCs w:val="28"/>
          <w:rtl/>
        </w:rPr>
        <w:t xml:space="preserve">2 .اعلام الدين في صفات المؤمنين و كنز علوم العارفين، ج2، ص 559.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غرر الاخبار و درر الآثار في مناقب</w:t>
      </w:r>
    </w:p>
    <w:p>
      <w:pPr>
        <w:pStyle w:val="BookText"/>
      </w:pPr>
      <w:r>
        <w:rPr>
          <w:rFonts w:ascii="Amiri" w:hAnsi="Amiri" w:eastAsia="Amiri" w:cs="Amiri"/>
          <w:lang w:bidi="ar-SA"/>
          <w:color w:val="111111"/>
          <w:sz w:val="28"/>
          <w:szCs w:val="28"/>
          <w:rtl/>
        </w:rPr>
        <w:t xml:space="preserve">ابي الائمة الاطهار، ج 11، ص 476 .</w:t>
      </w:r>
    </w:p>
    <w:p>
      <w:pPr>
        <w:pStyle w:val="BookText"/>
      </w:pPr>
      <w:r>
        <w:rPr>
          <w:rFonts w:ascii="Amiri" w:hAnsi="Amiri" w:eastAsia="Amiri" w:cs="Amiri"/>
          <w:lang w:bidi="ar-SA"/>
          <w:color w:val="111111"/>
          <w:sz w:val="28"/>
          <w:szCs w:val="28"/>
          <w:rtl/>
        </w:rPr>
        <w:t xml:space="preserve">4 .فضائل علي بن ابي طالب (ع) و الرد على مخالفيه، ج 12، ص 15 .</w:t>
      </w:r>
    </w:p>
    <w:p>
      <w:pPr>
        <w:pStyle w:val="Heading2"/>
      </w:pPr>
      <w:bookmarkStart w:id="4410" w:name="_Toc3512"/>
      <w:r>
        <w:t>ديلمي ، شيرويه بن شهردار 445-509ه-</w:t>
      </w:r>
      <w:bookmarkEnd w:id="44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فردوس الاخبار بمأثور الخطاب المخرج على كتاب الشهاب، ج 11،</w:t>
      </w:r>
    </w:p>
    <w:p>
      <w:pPr>
        <w:pStyle w:val="BookText"/>
      </w:pPr>
      <w:r>
        <w:rPr>
          <w:rFonts w:ascii="IRNazanin" w:hAnsi="IRNazanin" w:eastAsia="IRNazanin" w:cs="IRNazanin"/>
          <w:lang w:bidi="fa-IR"/>
          <w:color w:val="111111"/>
          <w:sz w:val="28"/>
          <w:szCs w:val="28"/>
          <w:rtl/>
        </w:rPr>
        <w:t xml:space="preserve">ص 779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مسند الفردوس، ج 14، ص 600.</w:t>
      </w:r>
    </w:p>
    <w:p>
      <w:pPr>
        <w:pStyle w:val="BookText"/>
      </w:pPr>
      <w:r>
        <w:rPr>
          <w:rFonts w:ascii="Amiri" w:hAnsi="Amiri" w:eastAsia="Amiri" w:cs="Amiri"/>
          <w:lang w:bidi="ar-SA"/>
          <w:color w:val="111111"/>
          <w:sz w:val="28"/>
          <w:szCs w:val="28"/>
          <w:rtl/>
        </w:rPr>
        <w:t xml:space="preserve">ديلمي ، محمّد بن علي -شريف لاهيجي ،</w:t>
      </w:r>
    </w:p>
    <w:p>
      <w:pPr>
        <w:pStyle w:val="BookText"/>
      </w:pPr>
      <w:r>
        <w:rPr>
          <w:rFonts w:ascii="Amiri" w:hAnsi="Amiri" w:eastAsia="Amiri" w:cs="Amiri"/>
          <w:lang w:bidi="ar-SA"/>
          <w:color w:val="111111"/>
          <w:sz w:val="28"/>
          <w:szCs w:val="28"/>
          <w:rtl/>
        </w:rPr>
        <w:t xml:space="preserve">قطب الدين محمّد بن علي</w:t>
      </w:r>
    </w:p>
    <w:p>
      <w:pPr>
        <w:pStyle w:val="Heading2"/>
      </w:pPr>
      <w:bookmarkStart w:id="4411" w:name="_Toc3513"/>
      <w:r>
        <w:t>ديلمي ، محمّد بن عبدالملك - 589 ه-</w:t>
      </w:r>
      <w:bookmarkEnd w:id="4411"/>
    </w:p>
    <w:p>
      <w:pPr>
        <w:pStyle w:val="BookText"/>
      </w:pPr>
      <w:r>
        <w:rPr>
          <w:rFonts w:ascii="Amiri" w:hAnsi="Amiri" w:eastAsia="Amiri" w:cs="Amiri"/>
          <w:lang w:bidi="ar-SA"/>
          <w:color w:val="111111"/>
          <w:sz w:val="28"/>
          <w:szCs w:val="28"/>
          <w:rtl/>
        </w:rPr>
        <w:t xml:space="preserve">شرح السر على الانفاس الروحانية</w:t>
      </w:r>
    </w:p>
    <w:p>
      <w:pPr>
        <w:pStyle w:val="BookText"/>
      </w:pPr>
      <w:r>
        <w:rPr>
          <w:rFonts w:ascii="IRNazanin" w:hAnsi="IRNazanin" w:eastAsia="IRNazanin" w:cs="IRNazanin"/>
          <w:lang w:bidi="fa-IR"/>
          <w:color w:val="111111"/>
          <w:sz w:val="28"/>
          <w:szCs w:val="28"/>
          <w:rtl/>
        </w:rPr>
        <w:t xml:space="preserve">ج 9، ص 585.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8" w:name="pg7742_70391"/>
    <w:bookmarkEnd w:id="498"/>
    <w:p>
      <w:pPr>
        <w:pStyle w:val="BookText"/>
      </w:pPr>
      <w:r>
        <w:rPr>
          <w:rFonts w:ascii="IRNazanin" w:hAnsi="IRNazanin" w:eastAsia="IRNazanin" w:cs="IRNazanin"/>
          <w:lang w:bidi="fa-IR"/>
          <w:color w:val="111111"/>
          <w:sz w:val="28"/>
          <w:szCs w:val="28"/>
          <w:rtl/>
        </w:rPr>
        <w:t xml:space="preserve">ديلمي ، محمّد صالح- گيلاني ، محمّد</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Amiri" w:hAnsi="Amiri" w:eastAsia="Amiri" w:cs="Amiri"/>
          <w:lang w:bidi="ar-SA"/>
          <w:color w:val="111111"/>
          <w:sz w:val="28"/>
          <w:szCs w:val="28"/>
          <w:rtl/>
        </w:rPr>
        <w:t xml:space="preserve">ديلمي ، مهيار بن مرزويه -مهيار ديلمي ،</w:t>
      </w:r>
    </w:p>
    <w:p>
      <w:pPr>
        <w:pStyle w:val="BookText"/>
      </w:pPr>
      <w:r>
        <w:rPr>
          <w:rFonts w:ascii="IRNazanin" w:hAnsi="IRNazanin" w:eastAsia="IRNazanin" w:cs="IRNazanin"/>
          <w:lang w:bidi="fa-IR"/>
          <w:color w:val="111111"/>
          <w:sz w:val="28"/>
          <w:szCs w:val="28"/>
          <w:rtl/>
        </w:rPr>
        <w:t xml:space="preserve">مهیار بن مرزویه</w:t>
      </w:r>
    </w:p>
    <w:p>
      <w:pPr>
        <w:pStyle w:val="BookText"/>
      </w:pPr>
      <w:r>
        <w:rPr>
          <w:rFonts w:ascii="IRNazanin" w:hAnsi="IRNazanin" w:eastAsia="IRNazanin" w:cs="IRNazanin"/>
          <w:lang w:bidi="fa-IR"/>
          <w:color w:val="111111"/>
          <w:sz w:val="28"/>
          <w:szCs w:val="28"/>
          <w:rtl/>
        </w:rPr>
        <w:t xml:space="preserve">ديلمي همداني ، ابومنصور شهردار بن شیرويه -ابن شيرويه ، شهردار بن شیرویه</w:t>
      </w:r>
    </w:p>
    <w:p>
      <w:pPr>
        <w:pStyle w:val="BookText"/>
      </w:pPr>
      <w:r>
        <w:rPr>
          <w:rFonts w:ascii="Amiri" w:hAnsi="Amiri" w:eastAsia="Amiri" w:cs="Amiri"/>
          <w:lang w:bidi="ar-SA"/>
          <w:color w:val="111111"/>
          <w:sz w:val="28"/>
          <w:szCs w:val="28"/>
          <w:rtl/>
        </w:rPr>
        <w:t xml:space="preserve">ديلي ، ابوالاسود -ابو الاسود دولي</w:t>
      </w:r>
    </w:p>
    <w:p>
      <w:pPr>
        <w:pStyle w:val="Heading2"/>
      </w:pPr>
      <w:bookmarkStart w:id="4412" w:name="_Toc3514"/>
      <w:r>
        <w:t>ديمقراطيس - 459 ؟ قبل میلاد</w:t>
      </w:r>
      <w:bookmarkEnd w:id="4412"/>
    </w:p>
    <w:p>
      <w:pPr>
        <w:pStyle w:val="BookText"/>
      </w:pPr>
      <w:r>
        <w:rPr>
          <w:rFonts w:ascii="Amiri" w:hAnsi="Amiri" w:eastAsia="Amiri" w:cs="Amiri"/>
          <w:lang w:bidi="ar-SA"/>
          <w:color w:val="111111"/>
          <w:sz w:val="28"/>
          <w:szCs w:val="28"/>
          <w:rtl/>
        </w:rPr>
        <w:t xml:space="preserve">1 .الفلاحة، ج 12، ص123.</w:t>
      </w:r>
    </w:p>
    <w:p>
      <w:pPr>
        <w:pStyle w:val="BookText"/>
      </w:pPr>
      <w:r>
        <w:rPr>
          <w:rFonts w:ascii="Amiri" w:hAnsi="Amiri" w:eastAsia="Amiri" w:cs="Amiri"/>
          <w:lang w:bidi="ar-SA"/>
          <w:color w:val="111111"/>
          <w:sz w:val="28"/>
          <w:szCs w:val="28"/>
          <w:rtl/>
        </w:rPr>
        <w:t xml:space="preserve">2 .قاعدة في استخراج ميزان الادوية</w:t>
      </w:r>
    </w:p>
    <w:p>
      <w:pPr>
        <w:pStyle w:val="BookText"/>
      </w:pPr>
      <w:r>
        <w:rPr>
          <w:rFonts w:ascii="IRNazanin" w:hAnsi="IRNazanin" w:eastAsia="IRNazanin" w:cs="IRNazanin"/>
          <w:lang w:bidi="fa-IR"/>
          <w:color w:val="111111"/>
          <w:sz w:val="28"/>
          <w:szCs w:val="28"/>
          <w:rtl/>
        </w:rPr>
        <w:t xml:space="preserve">ج 12، ص 334 .</w:t>
      </w:r>
    </w:p>
    <w:p>
      <w:pPr>
        <w:pStyle w:val="BookText"/>
      </w:pPr>
      <w:r>
        <w:rPr>
          <w:rFonts w:ascii="Amiri" w:hAnsi="Amiri" w:eastAsia="Amiri" w:cs="Amiri"/>
          <w:lang w:bidi="ar-SA"/>
          <w:color w:val="111111"/>
          <w:sz w:val="28"/>
          <w:szCs w:val="28"/>
          <w:rtl/>
        </w:rPr>
        <w:t xml:space="preserve">دينوري( ابن سني) ، احمد بن محمّد -ابن سني ، احمد بن محمّد</w:t>
      </w:r>
    </w:p>
    <w:p>
      <w:pPr>
        <w:pStyle w:val="BookText"/>
      </w:pPr>
      <w:r>
        <w:rPr>
          <w:rFonts w:ascii="Amiri" w:hAnsi="Amiri" w:eastAsia="Amiri" w:cs="Amiri"/>
          <w:lang w:bidi="ar-SA"/>
          <w:color w:val="111111"/>
          <w:sz w:val="28"/>
          <w:szCs w:val="28"/>
          <w:rtl/>
        </w:rPr>
        <w:t xml:space="preserve">دينوري، احمد بن مروان- مالكي ، احمد بن مروان</w:t>
      </w:r>
    </w:p>
    <w:p>
      <w:pPr>
        <w:pStyle w:val="BookText"/>
      </w:pPr>
      <w:r>
        <w:rPr>
          <w:rFonts w:ascii="Amiri" w:hAnsi="Amiri" w:eastAsia="Amiri" w:cs="Amiri"/>
          <w:lang w:bidi="ar-SA"/>
          <w:color w:val="111111"/>
          <w:sz w:val="28"/>
          <w:szCs w:val="28"/>
          <w:rtl/>
        </w:rPr>
        <w:t xml:space="preserve">دينوري ، احمد بن منصور -يشكري احمد بن منصور</w:t>
      </w:r>
    </w:p>
    <w:p>
      <w:pPr>
        <w:pStyle w:val="BookText"/>
      </w:pPr>
      <w:r>
        <w:rPr>
          <w:rFonts w:ascii="Amiri" w:hAnsi="Amiri" w:eastAsia="Amiri" w:cs="Amiri"/>
          <w:lang w:bidi="ar-SA"/>
          <w:color w:val="111111"/>
          <w:sz w:val="28"/>
          <w:szCs w:val="28"/>
          <w:rtl/>
        </w:rPr>
        <w:t xml:space="preserve">دينوري، عبد الله بن مسلم- ابن قتيبه</w:t>
      </w:r>
    </w:p>
    <w:p>
      <w:pPr>
        <w:pStyle w:val="BookText"/>
      </w:pPr>
      <w:r>
        <w:rPr>
          <w:rFonts w:ascii="IRNazanin" w:hAnsi="IRNazanin" w:eastAsia="IRNazanin" w:cs="IRNazanin"/>
          <w:lang w:bidi="fa-IR"/>
          <w:color w:val="111111"/>
          <w:sz w:val="28"/>
          <w:szCs w:val="28"/>
          <w:rtl/>
        </w:rPr>
        <w:t xml:space="preserve">عبدالله بن مسلم</w:t>
      </w:r>
    </w:p>
    <w:p>
      <w:pPr>
        <w:pStyle w:val="Heading2"/>
      </w:pPr>
      <w:bookmarkStart w:id="4413" w:name="_Toc3515"/>
      <w:r>
        <w:t>دينوري ، محمّد سعيد، قرن 13 ه-</w:t>
      </w:r>
      <w:bookmarkEnd w:id="4413"/>
    </w:p>
    <w:p>
      <w:pPr>
        <w:pStyle w:val="BookText"/>
      </w:pPr>
      <w:r>
        <w:rPr>
          <w:rFonts w:ascii="Amiri" w:hAnsi="Amiri" w:eastAsia="Amiri" w:cs="Amiri"/>
          <w:lang w:bidi="ar-SA"/>
          <w:color w:val="111111"/>
          <w:sz w:val="28"/>
          <w:szCs w:val="28"/>
          <w:rtl/>
        </w:rPr>
        <w:t xml:space="preserve">إجازة للسيد محمّد رضا ،بحر العلوم</w:t>
      </w:r>
    </w:p>
    <w:p>
      <w:pPr>
        <w:pStyle w:val="BookText"/>
      </w:pPr>
      <w:r>
        <w:rPr>
          <w:rFonts w:ascii="IRNazanin" w:hAnsi="IRNazanin" w:eastAsia="IRNazanin" w:cs="IRNazanin"/>
          <w:lang w:bidi="fa-IR"/>
          <w:color w:val="111111"/>
          <w:sz w:val="28"/>
          <w:szCs w:val="28"/>
          <w:rtl/>
        </w:rPr>
        <w:t xml:space="preserve">ج 1 ، ص 256 .</w:t>
      </w:r>
    </w:p>
    <w:p>
      <w:pPr>
        <w:pStyle w:val="Heading2"/>
      </w:pPr>
      <w:bookmarkStart w:id="4414" w:name="_Toc3516"/>
      <w:r>
        <w:t>دينوري، نصر بن يعقوب قرن 4 ه-</w:t>
      </w:r>
      <w:bookmarkEnd w:id="4414"/>
    </w:p>
    <w:p>
      <w:pPr>
        <w:pStyle w:val="BookText"/>
      </w:pPr>
      <w:r>
        <w:rPr>
          <w:rFonts w:ascii="Amiri" w:hAnsi="Amiri" w:eastAsia="Amiri" w:cs="Amiri"/>
          <w:lang w:bidi="ar-SA"/>
          <w:color w:val="111111"/>
          <w:sz w:val="28"/>
          <w:szCs w:val="28"/>
          <w:rtl/>
        </w:rPr>
        <w:t xml:space="preserve">تعبير القادري = الجامع الكبير في</w:t>
      </w:r>
    </w:p>
    <w:p>
      <w:pPr>
        <w:pStyle w:val="BookText"/>
      </w:pPr>
      <w:r>
        <w:rPr>
          <w:rFonts w:ascii="Amiri" w:hAnsi="Amiri" w:eastAsia="Amiri" w:cs="Amiri"/>
          <w:lang w:bidi="ar-SA"/>
          <w:color w:val="111111"/>
          <w:sz w:val="28"/>
          <w:szCs w:val="28"/>
          <w:rtl/>
        </w:rPr>
        <w:t xml:space="preserve">التعبير، ج 4، ص 459.</w:t>
      </w:r>
    </w:p>
    <w:p>
      <w:pPr>
        <w:pStyle w:val="BookText"/>
      </w:pPr>
      <w:r>
        <w:rPr>
          <w:rFonts w:ascii="Amiri" w:hAnsi="Amiri" w:eastAsia="Amiri" w:cs="Amiri"/>
          <w:lang w:bidi="ar-SA"/>
          <w:color w:val="111111"/>
          <w:sz w:val="28"/>
          <w:szCs w:val="28"/>
          <w:rtl/>
        </w:rPr>
        <w:t xml:space="preserve">ديوسقوريدس - يدانيوس ديوسكوريدس</w:t>
      </w:r>
    </w:p>
    <w:p>
      <w:pPr>
        <w:pStyle w:val="Heading2"/>
      </w:pPr>
      <w:bookmarkStart w:id="4415" w:name="_Toc3517"/>
      <w:r>
        <w:t>ديوه جي ، احمد بن محمّد قرن 14 ه-</w:t>
      </w:r>
      <w:bookmarkEnd w:id="4415"/>
    </w:p>
    <w:p>
      <w:pPr>
        <w:pStyle w:val="BookText"/>
      </w:pPr>
      <w:r>
        <w:rPr>
          <w:rFonts w:ascii="Amiri" w:hAnsi="Amiri" w:eastAsia="Amiri" w:cs="Amiri"/>
          <w:lang w:bidi="ar-SA"/>
          <w:color w:val="111111"/>
          <w:sz w:val="28"/>
          <w:szCs w:val="28"/>
          <w:rtl/>
        </w:rPr>
        <w:t xml:space="preserve">1 .إنباء الأذكياء في حياة الأنبياء، ج 2،</w:t>
      </w:r>
    </w:p>
    <w:p>
      <w:pPr>
        <w:pStyle w:val="BookText"/>
      </w:pPr>
      <w:r>
        <w:rPr>
          <w:rFonts w:ascii="IRNazanin" w:hAnsi="IRNazanin" w:eastAsia="IRNazanin" w:cs="IRNazanin"/>
          <w:lang w:bidi="fa-IR"/>
          <w:color w:val="111111"/>
          <w:sz w:val="28"/>
          <w:szCs w:val="28"/>
          <w:rtl/>
        </w:rPr>
        <w:t xml:space="preserve">ص 775</w:t>
      </w:r>
    </w:p>
    <w:p>
      <w:pPr>
        <w:pStyle w:val="BookText"/>
      </w:pPr>
      <w:r>
        <w:rPr>
          <w:rFonts w:ascii="Amiri" w:hAnsi="Amiri" w:eastAsia="Amiri" w:cs="Amiri"/>
          <w:lang w:bidi="ar-SA"/>
          <w:color w:val="111111"/>
          <w:sz w:val="28"/>
          <w:szCs w:val="28"/>
          <w:rtl/>
        </w:rPr>
        <w:t xml:space="preserve">2 .شرح ارجوزة أبي الوليد محمد بن</w:t>
      </w:r>
    </w:p>
    <w:p>
      <w:pPr>
        <w:pStyle w:val="BookText"/>
      </w:pPr>
      <w:r>
        <w:rPr>
          <w:rFonts w:ascii="Amiri" w:hAnsi="Amiri" w:eastAsia="Amiri" w:cs="Amiri"/>
          <w:lang w:bidi="ar-SA"/>
          <w:color w:val="111111"/>
          <w:sz w:val="28"/>
          <w:szCs w:val="28"/>
          <w:rtl/>
        </w:rPr>
        <w:t xml:space="preserve">الشحنة، ج9، ص178.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الورقات، ج 10، ص328.</w:t>
      </w:r>
    </w:p>
    <w:p>
      <w:pPr>
        <w:pStyle w:val="BookText"/>
      </w:pPr>
      <w:r>
        <w:rPr>
          <w:rFonts w:ascii="Amiri" w:hAnsi="Amiri" w:eastAsia="Amiri" w:cs="Amiri"/>
          <w:lang w:bidi="ar-SA"/>
          <w:color w:val="111111"/>
          <w:sz w:val="28"/>
          <w:szCs w:val="28"/>
          <w:rtl/>
        </w:rPr>
        <w:t xml:space="preserve">4 .شرح منظومة السيد محمّد</w:t>
      </w:r>
    </w:p>
    <w:p>
      <w:pPr>
        <w:pStyle w:val="BookText"/>
      </w:pPr>
      <w:r>
        <w:rPr>
          <w:rFonts w:ascii="Amiri" w:hAnsi="Amiri" w:eastAsia="Amiri" w:cs="Amiri"/>
          <w:lang w:bidi="ar-SA"/>
          <w:color w:val="111111"/>
          <w:sz w:val="28"/>
          <w:szCs w:val="28"/>
          <w:rtl/>
        </w:rPr>
        <w:t xml:space="preserve">الفخري، ج 10، ص 247.</w:t>
      </w:r>
    </w:p>
    <w:p>
      <w:pPr>
        <w:pStyle w:val="BookText"/>
      </w:pPr>
      <w:r>
        <w:rPr>
          <w:rFonts w:ascii="Amiri" w:hAnsi="Amiri" w:eastAsia="Amiri" w:cs="Amiri"/>
          <w:lang w:bidi="ar-SA"/>
          <w:color w:val="111111"/>
          <w:sz w:val="28"/>
          <w:szCs w:val="28"/>
          <w:rtl/>
        </w:rPr>
        <w:t xml:space="preserve">5 .كشف الستار عن مختصر المنار</w:t>
      </w:r>
    </w:p>
    <w:p>
      <w:pPr>
        <w:pStyle w:val="BookText"/>
      </w:pPr>
      <w:r>
        <w:rPr>
          <w:rFonts w:ascii="IRNazanin" w:hAnsi="IRNazanin" w:eastAsia="IRNazanin" w:cs="IRNazanin"/>
          <w:lang w:bidi="fa-IR"/>
          <w:color w:val="111111"/>
          <w:sz w:val="28"/>
          <w:szCs w:val="28"/>
          <w:rtl/>
        </w:rPr>
        <w:t xml:space="preserve">ج 13، ص 219.</w:t>
      </w:r>
    </w:p>
    <w:p>
      <w:pPr>
        <w:pStyle w:val="BookText"/>
      </w:pPr>
      <w:r>
        <w:rPr>
          <w:rFonts w:ascii="IRNazanin" w:hAnsi="IRNazanin" w:eastAsia="IRNazanin" w:cs="IRNazanin"/>
          <w:lang w:bidi="fa-IR"/>
          <w:color w:val="111111"/>
          <w:sz w:val="28"/>
          <w:szCs w:val="28"/>
          <w:rtl/>
        </w:rPr>
        <w:t xml:space="preserve">6 .مجالس وعظ، ج 13، ص 806.</w:t>
      </w:r>
    </w:p>
    <w:p>
      <w:pPr>
        <w:pStyle w:val="Heading2"/>
      </w:pPr>
      <w:bookmarkStart w:id="4416" w:name="_Toc3518"/>
      <w:r>
        <w:t>ديوه جي ، عثمان</w:t>
      </w:r>
      <w:bookmarkEnd w:id="4416"/>
    </w:p>
    <w:p>
      <w:pPr>
        <w:pStyle w:val="BookText"/>
      </w:pPr>
      <w:r>
        <w:rPr>
          <w:rFonts w:ascii="IRNazanin" w:hAnsi="IRNazanin" w:eastAsia="IRNazanin" w:cs="IRNazanin"/>
          <w:lang w:bidi="fa-IR"/>
          <w:color w:val="111111"/>
          <w:sz w:val="28"/>
          <w:szCs w:val="28"/>
          <w:rtl/>
        </w:rPr>
        <w:t xml:space="preserve">نظم الإظهار، ج 16 ، ص 331 .</w:t>
      </w:r>
    </w:p>
    <w:p>
      <w:pPr>
        <w:pStyle w:val="BookText"/>
      </w:pPr>
      <w:r>
        <w:rPr>
          <w:rFonts w:ascii="IRNazanin" w:hAnsi="IRNazanin" w:eastAsia="IRNazanin" w:cs="IRNazanin"/>
          <w:lang w:bidi="fa-IR"/>
          <w:color w:val="111111"/>
          <w:sz w:val="28"/>
          <w:szCs w:val="28"/>
          <w:rtl/>
        </w:rPr>
        <w:t xml:space="preserve">ذبياني ، ابو امامه زیاد بن معاویه -نابغه</w:t>
      </w:r>
    </w:p>
    <w:p>
      <w:pPr>
        <w:pStyle w:val="BookText"/>
      </w:pPr>
      <w:r>
        <w:rPr>
          <w:rFonts w:ascii="IRNazanin" w:hAnsi="IRNazanin" w:eastAsia="IRNazanin" w:cs="IRNazanin"/>
          <w:lang w:bidi="fa-IR"/>
          <w:color w:val="111111"/>
          <w:sz w:val="28"/>
          <w:szCs w:val="28"/>
          <w:rtl/>
        </w:rPr>
        <w:t xml:space="preserve">بن مروان</w:t>
      </w:r>
    </w:p>
    <w:p>
      <w:pPr>
        <w:pStyle w:val="BookText"/>
      </w:pPr>
      <w:r>
        <w:rPr>
          <w:rFonts w:ascii="Amiri" w:hAnsi="Amiri" w:eastAsia="Amiri" w:cs="Amiri"/>
          <w:lang w:bidi="ar-SA"/>
          <w:color w:val="111111"/>
          <w:sz w:val="28"/>
          <w:szCs w:val="28"/>
          <w:rtl/>
        </w:rPr>
        <w:t xml:space="preserve">ذبياني ، زياد بن معاويه</w:t>
      </w:r>
    </w:p>
    <w:p>
      <w:pPr>
        <w:pStyle w:val="BookText"/>
      </w:pPr>
      <w:r>
        <w:rPr>
          <w:rFonts w:ascii="Amiri" w:hAnsi="Amiri" w:eastAsia="Amiri" w:cs="Amiri"/>
          <w:lang w:bidi="ar-SA"/>
          <w:color w:val="111111"/>
          <w:sz w:val="28"/>
          <w:szCs w:val="28"/>
          <w:rtl/>
        </w:rPr>
        <w:t xml:space="preserve">ذبيح الله بن تقي حسيني- حسيني ، ذبيح</w:t>
      </w:r>
    </w:p>
    <w:p>
      <w:pPr>
        <w:pStyle w:val="BookText"/>
      </w:pPr>
      <w:r>
        <w:rPr>
          <w:rFonts w:ascii="Amiri" w:hAnsi="Amiri" w:eastAsia="Amiri" w:cs="Amiri"/>
          <w:lang w:bidi="ar-SA"/>
          <w:color w:val="111111"/>
          <w:sz w:val="28"/>
          <w:szCs w:val="28"/>
          <w:rtl/>
        </w:rPr>
        <w:t xml:space="preserve">الله بن تقي</w:t>
      </w:r>
    </w:p>
    <w:p>
      <w:pPr>
        <w:pStyle w:val="BookText"/>
      </w:pPr>
      <w:r>
        <w:rPr>
          <w:rFonts w:ascii="IRNazanin" w:hAnsi="IRNazanin" w:eastAsia="IRNazanin" w:cs="IRNazanin"/>
          <w:lang w:bidi="fa-IR"/>
          <w:color w:val="111111"/>
          <w:sz w:val="28"/>
          <w:szCs w:val="28"/>
          <w:rtl/>
        </w:rPr>
        <w:t xml:space="preserve">ذخري ، محمّد بن احمد- خیاط زاده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ذكاء ، سنان پاشا -خوجه پاشا ، یوسف بن</w:t>
      </w:r>
    </w:p>
    <w:p>
      <w:pPr>
        <w:pStyle w:val="BookText"/>
      </w:pPr>
      <w:r>
        <w:rPr>
          <w:rFonts w:ascii="IRNazanin" w:hAnsi="IRNazanin" w:eastAsia="IRNazanin" w:cs="IRNazanin"/>
          <w:lang w:bidi="fa-IR"/>
          <w:color w:val="111111"/>
          <w:sz w:val="28"/>
          <w:szCs w:val="28"/>
          <w:rtl/>
        </w:rPr>
        <w:t xml:space="preserve">خضر</w:t>
      </w:r>
    </w:p>
    <w:p>
      <w:pPr>
        <w:pStyle w:val="BookText"/>
      </w:pPr>
      <w:r>
        <w:rPr>
          <w:rFonts w:ascii="Amiri" w:hAnsi="Amiri" w:eastAsia="Amiri" w:cs="Amiri"/>
          <w:lang w:bidi="ar-SA"/>
          <w:color w:val="111111"/>
          <w:sz w:val="28"/>
          <w:szCs w:val="28"/>
          <w:rtl/>
        </w:rPr>
        <w:t xml:space="preserve">ذكاء الله بن اسحاق دهلوي -دهلوي ،</w:t>
      </w:r>
    </w:p>
    <w:p>
      <w:pPr>
        <w:pStyle w:val="BookText"/>
      </w:pPr>
      <w:r>
        <w:rPr>
          <w:rFonts w:ascii="Amiri" w:hAnsi="Amiri" w:eastAsia="Amiri" w:cs="Amiri"/>
          <w:lang w:bidi="ar-SA"/>
          <w:color w:val="111111"/>
          <w:sz w:val="28"/>
          <w:szCs w:val="28"/>
          <w:rtl/>
        </w:rPr>
        <w:t xml:space="preserve">ذكاء الله بن اسحاق</w:t>
      </w:r>
    </w:p>
    <w:p>
      <w:pPr>
        <w:pStyle w:val="BookText"/>
      </w:pPr>
      <w:r>
        <w:rPr>
          <w:rFonts w:ascii="Amiri" w:hAnsi="Amiri" w:eastAsia="Amiri" w:cs="Amiri"/>
          <w:lang w:bidi="ar-SA"/>
          <w:color w:val="111111"/>
          <w:sz w:val="28"/>
          <w:szCs w:val="28"/>
          <w:rtl/>
        </w:rPr>
        <w:t xml:space="preserve">ذكائي افندي - حمدي ، احمد بن عبدالله</w:t>
      </w:r>
    </w:p>
    <w:p>
      <w:pPr>
        <w:pStyle w:val="BookText"/>
      </w:pPr>
      <w:r>
        <w:rPr>
          <w:rFonts w:ascii="Amiri" w:hAnsi="Amiri" w:eastAsia="Amiri" w:cs="Amiri"/>
          <w:lang w:bidi="ar-SA"/>
          <w:color w:val="111111"/>
          <w:sz w:val="28"/>
          <w:szCs w:val="28"/>
          <w:rtl/>
        </w:rPr>
        <w:t xml:space="preserve">ذكي الدين محمّد بن رسول - ساوجبلاغي ،</w:t>
      </w:r>
    </w:p>
    <w:p>
      <w:pPr>
        <w:pStyle w:val="BookText"/>
      </w:pPr>
      <w:r>
        <w:rPr>
          <w:rFonts w:ascii="IRNazanin" w:hAnsi="IRNazanin" w:eastAsia="IRNazanin" w:cs="IRNazanin"/>
          <w:lang w:bidi="fa-IR"/>
          <w:color w:val="111111"/>
          <w:sz w:val="28"/>
          <w:szCs w:val="28"/>
          <w:rtl/>
        </w:rPr>
        <w:t xml:space="preserve">محمّد بن رسول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99" w:name="pg7742_70393"/>
    <w:bookmarkEnd w:id="499"/>
    <w:p>
      <w:pPr>
        <w:pStyle w:val="Heading2"/>
      </w:pPr>
      <w:bookmarkStart w:id="4417" w:name="_Toc3519"/>
      <w:r>
        <w:t>ذكير ، مقبل عبد العزيز، قرن 14 ه-</w:t>
      </w:r>
      <w:bookmarkEnd w:id="4417"/>
    </w:p>
    <w:p>
      <w:pPr>
        <w:pStyle w:val="BookText"/>
      </w:pPr>
      <w:r>
        <w:rPr>
          <w:rFonts w:ascii="Amiri" w:hAnsi="Amiri" w:eastAsia="Amiri" w:cs="Amiri"/>
          <w:lang w:bidi="ar-SA"/>
          <w:color w:val="111111"/>
          <w:sz w:val="28"/>
          <w:szCs w:val="28"/>
          <w:rtl/>
        </w:rPr>
        <w:t xml:space="preserve">1.طوق الحمامة في اخبار اليمامة</w:t>
      </w:r>
    </w:p>
    <w:p>
      <w:pPr>
        <w:pStyle w:val="BookText"/>
      </w:pPr>
      <w:r>
        <w:rPr>
          <w:rFonts w:ascii="IRNazanin" w:hAnsi="IRNazanin" w:eastAsia="IRNazanin" w:cs="IRNazanin"/>
          <w:lang w:bidi="fa-IR"/>
          <w:color w:val="111111"/>
          <w:sz w:val="28"/>
          <w:szCs w:val="28"/>
          <w:rtl/>
        </w:rPr>
        <w:t xml:space="preserve">ج 10، ص 872.</w:t>
      </w:r>
    </w:p>
    <w:p>
      <w:pPr>
        <w:pStyle w:val="BookText"/>
      </w:pPr>
      <w:r>
        <w:rPr>
          <w:rFonts w:ascii="Amiri" w:hAnsi="Amiri" w:eastAsia="Amiri" w:cs="Amiri"/>
          <w:lang w:bidi="ar-SA"/>
          <w:color w:val="111111"/>
          <w:sz w:val="28"/>
          <w:szCs w:val="28"/>
          <w:rtl/>
        </w:rPr>
        <w:t xml:space="preserve">2.. العقد الممتاز في اخبار تهامة و</w:t>
      </w:r>
    </w:p>
    <w:p>
      <w:pPr>
        <w:pStyle w:val="BookText"/>
      </w:pPr>
      <w:r>
        <w:rPr>
          <w:rFonts w:ascii="IRNazanin" w:hAnsi="IRNazanin" w:eastAsia="IRNazanin" w:cs="IRNazanin"/>
          <w:lang w:bidi="fa-IR"/>
          <w:color w:val="111111"/>
          <w:sz w:val="28"/>
          <w:szCs w:val="28"/>
          <w:rtl/>
        </w:rPr>
        <w:t xml:space="preserve">الحجاز، ج 11، ص 175.</w:t>
      </w:r>
    </w:p>
    <w:p>
      <w:pPr>
        <w:pStyle w:val="BookText"/>
      </w:pPr>
      <w:r>
        <w:rPr>
          <w:rFonts w:ascii="Amiri" w:hAnsi="Amiri" w:eastAsia="Amiri" w:cs="Amiri"/>
          <w:lang w:bidi="ar-SA"/>
          <w:color w:val="111111"/>
          <w:sz w:val="28"/>
          <w:szCs w:val="28"/>
          <w:rtl/>
        </w:rPr>
        <w:t xml:space="preserve">3.. العقود الدرية في تاريخ البلاد</w:t>
      </w:r>
    </w:p>
    <w:p>
      <w:pPr>
        <w:pStyle w:val="BookText"/>
      </w:pPr>
      <w:r>
        <w:rPr>
          <w:rFonts w:ascii="Amiri" w:hAnsi="Amiri" w:eastAsia="Amiri" w:cs="Amiri"/>
          <w:lang w:bidi="ar-SA"/>
          <w:color w:val="111111"/>
          <w:sz w:val="28"/>
          <w:szCs w:val="28"/>
          <w:rtl/>
        </w:rPr>
        <w:t xml:space="preserve">النجدية، ج 11، ص189.</w:t>
      </w:r>
    </w:p>
    <w:p>
      <w:pPr>
        <w:pStyle w:val="Heading2"/>
      </w:pPr>
      <w:bookmarkStart w:id="4418" w:name="_Toc3520"/>
      <w:r>
        <w:t>ذمي ، يوحنا بن اسرائيل</w:t>
      </w:r>
      <w:bookmarkEnd w:id="4418"/>
    </w:p>
    <w:p>
      <w:pPr>
        <w:pStyle w:val="BookText"/>
      </w:pPr>
      <w:r>
        <w:rPr>
          <w:rFonts w:ascii="Amiri" w:hAnsi="Amiri" w:eastAsia="Amiri" w:cs="Amiri"/>
          <w:lang w:bidi="ar-SA"/>
          <w:color w:val="111111"/>
          <w:sz w:val="28"/>
          <w:szCs w:val="28"/>
          <w:rtl/>
        </w:rPr>
        <w:t xml:space="preserve">يوحنائيه - منهاج المناهج = رسالة يوحنا الذمي، ج 16، ص 906.</w:t>
      </w:r>
    </w:p>
    <w:p>
      <w:pPr>
        <w:pStyle w:val="BookText"/>
      </w:pPr>
      <w:r>
        <w:rPr>
          <w:rFonts w:ascii="Amiri" w:hAnsi="Amiri" w:eastAsia="Amiri" w:cs="Amiri"/>
          <w:lang w:bidi="ar-SA"/>
          <w:color w:val="111111"/>
          <w:sz w:val="28"/>
          <w:szCs w:val="28"/>
          <w:rtl/>
        </w:rPr>
        <w:t xml:space="preserve">ذنون بن جرجيس موصلي- موصلي ،</w:t>
      </w:r>
    </w:p>
    <w:p>
      <w:pPr>
        <w:pStyle w:val="BookText"/>
      </w:pPr>
      <w:r>
        <w:rPr>
          <w:rFonts w:ascii="Amiri" w:hAnsi="Amiri" w:eastAsia="Amiri" w:cs="Amiri"/>
          <w:lang w:bidi="ar-SA"/>
          <w:color w:val="111111"/>
          <w:sz w:val="28"/>
          <w:szCs w:val="28"/>
          <w:rtl/>
        </w:rPr>
        <w:t xml:space="preserve">ذوالنون بن جرجيس</w:t>
      </w:r>
    </w:p>
    <w:p>
      <w:pPr>
        <w:pStyle w:val="Heading2"/>
      </w:pPr>
      <w:bookmarkStart w:id="4419" w:name="_Toc3521"/>
      <w:r>
        <w:t>ذهب ، محمود</w:t>
      </w:r>
      <w:bookmarkEnd w:id="4419"/>
    </w:p>
    <w:p>
      <w:pPr>
        <w:pStyle w:val="BookText"/>
      </w:pPr>
      <w:r>
        <w:rPr>
          <w:rFonts w:ascii="Amiri" w:hAnsi="Amiri" w:eastAsia="Amiri" w:cs="Amiri"/>
          <w:lang w:bidi="ar-SA"/>
          <w:color w:val="111111"/>
          <w:sz w:val="28"/>
          <w:szCs w:val="28"/>
          <w:rtl/>
        </w:rPr>
        <w:t xml:space="preserve">تحقيق الأصل على حاشية الرسائل في</w:t>
      </w:r>
    </w:p>
    <w:p>
      <w:pPr>
        <w:pStyle w:val="BookText"/>
      </w:pPr>
      <w:r>
        <w:rPr>
          <w:rFonts w:ascii="IRNazanin" w:hAnsi="IRNazanin" w:eastAsia="IRNazanin" w:cs="IRNazanin"/>
          <w:lang w:bidi="fa-IR"/>
          <w:color w:val="111111"/>
          <w:sz w:val="28"/>
          <w:szCs w:val="28"/>
          <w:rtl/>
        </w:rPr>
        <w:t xml:space="preserve">الاستصحاب، ج 4، ص 50.</w:t>
      </w:r>
    </w:p>
    <w:p>
      <w:pPr>
        <w:pStyle w:val="Heading2"/>
      </w:pPr>
      <w:bookmarkStart w:id="4420" w:name="_Toc3522"/>
      <w:r>
        <w:t>ذهب ، محمود بن محمّد - 1325 ه-</w:t>
      </w:r>
      <w:bookmarkEnd w:id="4420"/>
    </w:p>
    <w:p>
      <w:pPr>
        <w:pStyle w:val="BookText"/>
      </w:pPr>
      <w:r>
        <w:rPr>
          <w:rFonts w:ascii="IRNazanin" w:hAnsi="IRNazanin" w:eastAsia="IRNazanin" w:cs="IRNazanin"/>
          <w:lang w:bidi="fa-IR"/>
          <w:color w:val="111111"/>
          <w:sz w:val="28"/>
          <w:szCs w:val="28"/>
          <w:rtl/>
        </w:rPr>
        <w:t xml:space="preserve">1 .الاصل المثبت، ج 2، ص399.</w:t>
      </w:r>
    </w:p>
    <w:p>
      <w:pPr>
        <w:pStyle w:val="BookText"/>
      </w:pPr>
      <w:r>
        <w:rPr>
          <w:rFonts w:ascii="Amiri" w:hAnsi="Amiri" w:eastAsia="Amiri" w:cs="Amiri"/>
          <w:lang w:bidi="ar-SA"/>
          <w:color w:val="111111"/>
          <w:sz w:val="28"/>
          <w:szCs w:val="28"/>
          <w:rtl/>
        </w:rPr>
        <w:t xml:space="preserve">2 .حاشية فرائد الاصول، ج 6، ص 263.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مقدمة الواجب (رسالة في)، ج 15 ،</w:t>
      </w:r>
    </w:p>
    <w:p>
      <w:pPr>
        <w:pStyle w:val="BookText"/>
      </w:pPr>
      <w:r>
        <w:rPr>
          <w:rFonts w:ascii="IRNazanin" w:hAnsi="IRNazanin" w:eastAsia="IRNazanin" w:cs="IRNazanin"/>
          <w:lang w:bidi="fa-IR"/>
          <w:color w:val="111111"/>
          <w:sz w:val="28"/>
          <w:szCs w:val="28"/>
          <w:rtl/>
        </w:rPr>
        <w:t xml:space="preserve">ص 376 .</w:t>
      </w:r>
    </w:p>
    <w:p>
      <w:pPr>
        <w:pStyle w:val="BookText"/>
      </w:pPr>
      <w:r>
        <w:rPr>
          <w:rFonts w:ascii="Amiri" w:hAnsi="Amiri" w:eastAsia="Amiri" w:cs="Amiri"/>
          <w:lang w:bidi="ar-SA"/>
          <w:color w:val="111111"/>
          <w:sz w:val="28"/>
          <w:szCs w:val="28"/>
          <w:rtl/>
        </w:rPr>
        <w:t xml:space="preserve">ذهبي ، ابوالقاسم بن عبد النبي - ميرزا</w:t>
      </w:r>
    </w:p>
    <w:p>
      <w:pPr>
        <w:pStyle w:val="BookText"/>
      </w:pPr>
      <w:r>
        <w:rPr>
          <w:rFonts w:ascii="Amiri" w:hAnsi="Amiri" w:eastAsia="Amiri" w:cs="Amiri"/>
          <w:lang w:bidi="ar-SA"/>
          <w:color w:val="111111"/>
          <w:sz w:val="28"/>
          <w:szCs w:val="28"/>
          <w:rtl/>
        </w:rPr>
        <w:t xml:space="preserve">بابا شيرازي ، ابوالقاسم بن عبدالنبي</w:t>
      </w:r>
    </w:p>
    <w:p>
      <w:pPr>
        <w:pStyle w:val="Heading2"/>
      </w:pPr>
      <w:bookmarkStart w:id="4421" w:name="_Toc3523"/>
      <w:r>
        <w:t>ذهبي ، ابو عبدالله</w:t>
      </w:r>
      <w:bookmarkEnd w:id="4421"/>
    </w:p>
    <w:p>
      <w:pPr>
        <w:pStyle w:val="BookText"/>
      </w:pPr>
      <w:r>
        <w:rPr>
          <w:rFonts w:ascii="Amiri" w:hAnsi="Amiri" w:eastAsia="Amiri" w:cs="Amiri"/>
          <w:lang w:bidi="ar-SA"/>
          <w:color w:val="111111"/>
          <w:sz w:val="28"/>
          <w:szCs w:val="28"/>
          <w:rtl/>
        </w:rPr>
        <w:t xml:space="preserve">مناقب الإمام الشافعي و طبقات</w:t>
      </w:r>
    </w:p>
    <w:p>
      <w:pPr>
        <w:pStyle w:val="BookText"/>
      </w:pPr>
      <w:r>
        <w:rPr>
          <w:rFonts w:ascii="IRNazanin" w:hAnsi="IRNazanin" w:eastAsia="IRNazanin" w:cs="IRNazanin"/>
          <w:lang w:bidi="fa-IR"/>
          <w:color w:val="111111"/>
          <w:sz w:val="28"/>
          <w:szCs w:val="28"/>
          <w:rtl/>
        </w:rPr>
        <w:t xml:space="preserve">اصحابه، ج 15، ص 541.</w:t>
      </w:r>
    </w:p>
    <w:p>
      <w:pPr>
        <w:pStyle w:val="BookText"/>
      </w:pPr>
      <w:r>
        <w:rPr>
          <w:rFonts w:ascii="Amiri" w:hAnsi="Amiri" w:eastAsia="Amiri" w:cs="Amiri"/>
          <w:lang w:bidi="ar-SA"/>
          <w:color w:val="111111"/>
          <w:sz w:val="28"/>
          <w:szCs w:val="28"/>
          <w:rtl/>
        </w:rPr>
        <w:t xml:space="preserve">ذهبي شيرازي ، قطب الدين محمّد- نيريزي ، قطب الدين محمّد</w:t>
      </w:r>
    </w:p>
    <w:p>
      <w:pPr>
        <w:pStyle w:val="BookText"/>
      </w:pPr>
      <w:r>
        <w:rPr>
          <w:rFonts w:ascii="Amiri" w:hAnsi="Amiri" w:eastAsia="Amiri" w:cs="Amiri"/>
          <w:lang w:bidi="ar-SA"/>
          <w:color w:val="111111"/>
          <w:sz w:val="28"/>
          <w:szCs w:val="28"/>
          <w:rtl/>
        </w:rPr>
        <w:t xml:space="preserve">ذهبي شيرازي ، ميرزابابا -ميرزا بابا شيرازي</w:t>
      </w:r>
    </w:p>
    <w:p>
      <w:pPr>
        <w:pStyle w:val="BookText"/>
      </w:pPr>
      <w:r>
        <w:rPr>
          <w:rFonts w:ascii="Amiri" w:hAnsi="Amiri" w:eastAsia="Amiri" w:cs="Amiri"/>
          <w:lang w:bidi="ar-SA"/>
          <w:color w:val="111111"/>
          <w:sz w:val="28"/>
          <w:szCs w:val="28"/>
          <w:rtl/>
        </w:rPr>
        <w:t xml:space="preserve">، ابوالقاسم بن عبد النبي</w:t>
      </w:r>
    </w:p>
    <w:p>
      <w:pPr>
        <w:pStyle w:val="BookText"/>
      </w:pPr>
      <w:r>
        <w:rPr>
          <w:rFonts w:ascii="Amiri" w:hAnsi="Amiri" w:eastAsia="Amiri" w:cs="Amiri"/>
          <w:lang w:bidi="ar-SA"/>
          <w:color w:val="111111"/>
          <w:sz w:val="28"/>
          <w:szCs w:val="28"/>
          <w:rtl/>
        </w:rPr>
        <w:t xml:space="preserve">ذهبي ، قطب الدين محمّد- نيريزي</w:t>
      </w:r>
    </w:p>
    <w:p>
      <w:pPr>
        <w:pStyle w:val="BookText"/>
      </w:pPr>
      <w:r>
        <w:rPr>
          <w:rFonts w:ascii="IRNazanin" w:hAnsi="IRNazanin" w:eastAsia="IRNazanin" w:cs="IRNazanin"/>
          <w:lang w:bidi="fa-IR"/>
          <w:color w:val="111111"/>
          <w:sz w:val="28"/>
          <w:szCs w:val="28"/>
          <w:rtl/>
        </w:rPr>
        <w:t xml:space="preserve">قطب الدین محمّد</w:t>
      </w:r>
    </w:p>
    <w:p>
      <w:pPr>
        <w:pStyle w:val="Heading2"/>
      </w:pPr>
      <w:bookmarkStart w:id="4422" w:name="_Toc3524"/>
      <w:r>
        <w:t>ذهبي ، محمّد بن احمد، 673 - 748 ه-</w:t>
      </w:r>
      <w:bookmarkEnd w:id="4422"/>
    </w:p>
    <w:p>
      <w:pPr>
        <w:pStyle w:val="BookText"/>
      </w:pPr>
      <w:r>
        <w:rPr>
          <w:rFonts w:ascii="Amiri" w:hAnsi="Amiri" w:eastAsia="Amiri" w:cs="Amiri"/>
          <w:lang w:bidi="ar-SA"/>
          <w:color w:val="111111"/>
          <w:sz w:val="28"/>
          <w:szCs w:val="28"/>
          <w:rtl/>
        </w:rPr>
        <w:t xml:space="preserve">1 .الاربعين في صفات رب العالمين</w:t>
      </w:r>
    </w:p>
    <w:p>
      <w:pPr>
        <w:pStyle w:val="BookText"/>
      </w:pPr>
      <w:r>
        <w:rPr>
          <w:rFonts w:ascii="IRNazanin" w:hAnsi="IRNazanin" w:eastAsia="IRNazanin" w:cs="IRNazanin"/>
          <w:lang w:bidi="fa-IR"/>
          <w:color w:val="111111"/>
          <w:sz w:val="28"/>
          <w:szCs w:val="28"/>
          <w:rtl/>
        </w:rPr>
        <w:t xml:space="preserve">ج 1، ص 745.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اسماء رجال، ج 2، ص 221</w:t>
      </w:r>
    </w:p>
    <w:p>
      <w:pPr>
        <w:pStyle w:val="BookText"/>
      </w:pPr>
      <w:r>
        <w:rPr>
          <w:rFonts w:ascii="Amiri" w:hAnsi="Amiri" w:eastAsia="Amiri" w:cs="Amiri"/>
          <w:lang w:bidi="ar-SA"/>
          <w:color w:val="111111"/>
          <w:sz w:val="28"/>
          <w:szCs w:val="28"/>
          <w:rtl/>
        </w:rPr>
        <w:t xml:space="preserve">3 .الاعلام بوفيات الاعلام، ج2، ص 558.</w:t>
      </w:r>
    </w:p>
    <w:p>
      <w:pPr>
        <w:pStyle w:val="BookText"/>
      </w:pPr>
      <w:r>
        <w:rPr>
          <w:rFonts w:ascii="Amiri" w:hAnsi="Amiri" w:eastAsia="Amiri" w:cs="Amiri"/>
          <w:lang w:bidi="ar-SA"/>
          <w:color w:val="111111"/>
          <w:sz w:val="28"/>
          <w:szCs w:val="28"/>
          <w:rtl/>
        </w:rPr>
        <w:t xml:space="preserve">4 .اهل المائة فصاعدا، ج 3، ص 52 .</w:t>
      </w:r>
    </w:p>
    <w:p>
      <w:pPr>
        <w:pStyle w:val="BookText"/>
      </w:pPr>
      <w:r>
        <w:rPr>
          <w:rFonts w:ascii="Amiri" w:hAnsi="Amiri" w:eastAsia="Amiri" w:cs="Amiri"/>
          <w:lang w:bidi="ar-SA"/>
          <w:color w:val="111111"/>
          <w:sz w:val="28"/>
          <w:szCs w:val="28"/>
          <w:rtl/>
        </w:rPr>
        <w:t xml:space="preserve">5 .تاريخ الاسلام و طبقات مشاهير الأعلام = تاريخ الاسلام للذهبي</w:t>
      </w:r>
    </w:p>
    <w:p>
      <w:pPr>
        <w:pStyle w:val="BookText"/>
      </w:pPr>
      <w:r>
        <w:rPr>
          <w:rFonts w:ascii="Amiri" w:hAnsi="Amiri" w:eastAsia="Amiri" w:cs="Amiri"/>
          <w:lang w:bidi="ar-SA"/>
          <w:color w:val="111111"/>
          <w:sz w:val="28"/>
          <w:szCs w:val="28"/>
          <w:rtl/>
        </w:rPr>
        <w:t xml:space="preserve">تاريخ ذهبي، ج 3، ص 548.</w:t>
      </w:r>
    </w:p>
    <w:p>
      <w:pPr>
        <w:pStyle w:val="BookText"/>
      </w:pPr>
      <w:r>
        <w:rPr>
          <w:rFonts w:ascii="Amiri" w:hAnsi="Amiri" w:eastAsia="Amiri" w:cs="Amiri"/>
          <w:lang w:bidi="ar-SA"/>
          <w:color w:val="111111"/>
          <w:sz w:val="28"/>
          <w:szCs w:val="28"/>
          <w:rtl/>
        </w:rPr>
        <w:t xml:space="preserve">6 .تاريخ دول الاسلام على الولاء و خلفاء الامة و ملوكها و اعلامها</w:t>
      </w:r>
    </w:p>
    <w:p>
      <w:pPr>
        <w:pStyle w:val="BookText"/>
      </w:pPr>
      <w:r>
        <w:rPr>
          <w:rFonts w:ascii="IRNazanin" w:hAnsi="IRNazanin" w:eastAsia="IRNazanin" w:cs="IRNazanin"/>
          <w:lang w:bidi="fa-IR"/>
          <w:color w:val="111111"/>
          <w:sz w:val="28"/>
          <w:szCs w:val="28"/>
          <w:rtl/>
        </w:rPr>
        <w:t xml:space="preserve">ج 3، ص 571.</w:t>
      </w:r>
    </w:p>
    <w:p>
      <w:pPr>
        <w:pStyle w:val="BookText"/>
      </w:pPr>
      <w:r>
        <w:rPr>
          <w:rFonts w:ascii="Amiri" w:hAnsi="Amiri" w:eastAsia="Amiri" w:cs="Amiri"/>
          <w:lang w:bidi="ar-SA"/>
          <w:color w:val="111111"/>
          <w:sz w:val="28"/>
          <w:szCs w:val="28"/>
          <w:rtl/>
        </w:rPr>
        <w:t xml:space="preserve">7 .تذكرة الحفاظ، ج 4، ص 188.</w:t>
      </w:r>
    </w:p>
    <w:p>
      <w:pPr>
        <w:pStyle w:val="BookText"/>
      </w:pPr>
      <w:r>
        <w:rPr>
          <w:rFonts w:ascii="Amiri" w:hAnsi="Amiri" w:eastAsia="Amiri" w:cs="Amiri"/>
          <w:lang w:bidi="ar-SA"/>
          <w:color w:val="111111"/>
          <w:sz w:val="28"/>
          <w:szCs w:val="28"/>
          <w:rtl/>
        </w:rPr>
        <w:t xml:space="preserve">8.تذكرة الحفاظ (مختصر)، جع،</w:t>
      </w:r>
    </w:p>
    <w:p>
      <w:pPr>
        <w:pStyle w:val="BookText"/>
      </w:pPr>
      <w:r>
        <w:rPr>
          <w:rFonts w:ascii="IRNazanin" w:hAnsi="IRNazanin" w:eastAsia="IRNazanin" w:cs="IRNazanin"/>
          <w:lang w:bidi="fa-IR"/>
          <w:color w:val="111111"/>
          <w:sz w:val="28"/>
          <w:szCs w:val="28"/>
          <w:rtl/>
        </w:rPr>
        <w:t xml:space="preserve">ص188.</w:t>
      </w:r>
    </w:p>
    <w:p>
      <w:pPr>
        <w:pStyle w:val="BookText"/>
      </w:pPr>
      <w:r>
        <w:rPr>
          <w:rFonts w:ascii="Amiri" w:hAnsi="Amiri" w:eastAsia="Amiri" w:cs="Amiri"/>
          <w:lang w:bidi="ar-SA"/>
          <w:color w:val="111111"/>
          <w:sz w:val="28"/>
          <w:szCs w:val="28"/>
          <w:rtl/>
        </w:rPr>
        <w:t xml:space="preserve">9 .ترجمة ابن تيمية ج4، ص 254.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ترجمة احمد بن صالح الحافظ</w:t>
      </w:r>
    </w:p>
    <w:p>
      <w:pPr>
        <w:pStyle w:val="BookText"/>
      </w:pPr>
      <w:r>
        <w:rPr>
          <w:rFonts w:ascii="IRNazanin" w:hAnsi="IRNazanin" w:eastAsia="IRNazanin" w:cs="IRNazanin"/>
          <w:lang w:bidi="fa-IR"/>
          <w:color w:val="111111"/>
          <w:sz w:val="28"/>
          <w:szCs w:val="28"/>
          <w:rtl/>
        </w:rPr>
        <w:t xml:space="preserve">ج 4، ص 255.</w:t>
      </w:r>
    </w:p>
    <w:p>
      <w:pPr>
        <w:pStyle w:val="BookText"/>
      </w:pPr>
      <w:r>
        <w:rPr>
          <w:rFonts w:ascii="Amiri" w:hAnsi="Amiri" w:eastAsia="Amiri" w:cs="Amiri"/>
          <w:lang w:bidi="ar-SA"/>
          <w:color w:val="111111"/>
          <w:sz w:val="28"/>
          <w:szCs w:val="28"/>
          <w:rtl/>
        </w:rPr>
        <w:t xml:space="preserve">11 .تهذيب تهذيب الكمال في اسماء</w:t>
      </w:r>
    </w:p>
    <w:p>
      <w:pPr>
        <w:pStyle w:val="BookText"/>
      </w:pPr>
      <w:r>
        <w:rPr>
          <w:rFonts w:ascii="Amiri" w:hAnsi="Amiri" w:eastAsia="Amiri" w:cs="Amiri"/>
          <w:lang w:bidi="ar-SA"/>
          <w:color w:val="111111"/>
          <w:sz w:val="28"/>
          <w:szCs w:val="28"/>
          <w:rtl/>
        </w:rPr>
        <w:t xml:space="preserve">الرجال = مختصر تهذيب الكمال</w:t>
      </w:r>
    </w:p>
    <w:p>
      <w:pPr>
        <w:pStyle w:val="BookText"/>
      </w:pPr>
      <w:r>
        <w:rPr>
          <w:rFonts w:ascii="IRNazanin" w:hAnsi="IRNazanin" w:eastAsia="IRNazanin" w:cs="IRNazanin"/>
          <w:lang w:bidi="fa-IR"/>
          <w:color w:val="111111"/>
          <w:sz w:val="28"/>
          <w:szCs w:val="28"/>
          <w:rtl/>
        </w:rPr>
        <w:t xml:space="preserve">ج 5، ص 113.</w:t>
      </w:r>
    </w:p>
    <w:p>
      <w:pPr>
        <w:pStyle w:val="BookText"/>
      </w:pPr>
      <w:r>
        <w:rPr>
          <w:rFonts w:ascii="IRNazanin" w:hAnsi="IRNazanin" w:eastAsia="IRNazanin" w:cs="IRNazanin"/>
          <w:lang w:bidi="fa-IR"/>
          <w:color w:val="111111"/>
          <w:sz w:val="28"/>
          <w:szCs w:val="28"/>
          <w:rtl/>
        </w:rPr>
        <w:t xml:space="preserve">12 .دیوان ذهبي، ج 7، ص 643.</w:t>
      </w:r>
    </w:p>
    <w:p>
      <w:pPr>
        <w:pStyle w:val="BookText"/>
      </w:pPr>
      <w:r>
        <w:rPr>
          <w:rFonts w:ascii="IRNazanin" w:hAnsi="IRNazanin" w:eastAsia="IRNazanin" w:cs="IRNazanin"/>
          <w:lang w:bidi="fa-IR"/>
          <w:color w:val="111111"/>
          <w:sz w:val="28"/>
          <w:szCs w:val="28"/>
          <w:rtl/>
        </w:rPr>
        <w:t xml:space="preserve">13 .سیر اعلام النبلاء (سير النبلاء)، ج9،</w:t>
      </w:r>
    </w:p>
    <w:p>
      <w:pPr>
        <w:pStyle w:val="BookText"/>
      </w:pPr>
      <w:r>
        <w:rPr>
          <w:rFonts w:ascii="IRNazanin" w:hAnsi="IRNazanin" w:eastAsia="IRNazanin" w:cs="IRNazanin"/>
          <w:lang w:bidi="fa-IR"/>
          <w:color w:val="111111"/>
          <w:sz w:val="28"/>
          <w:szCs w:val="28"/>
          <w:rtl/>
        </w:rPr>
        <w:t xml:space="preserve">ص 1.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0" w:name="pg7742_70395"/>
    <w:bookmarkEnd w:id="500"/>
    <w:p>
      <w:pPr>
        <w:pStyle w:val="BookText"/>
      </w:pPr>
      <w:r>
        <w:rPr>
          <w:rFonts w:ascii="Amiri" w:hAnsi="Amiri" w:eastAsia="Amiri" w:cs="Amiri"/>
          <w:lang w:bidi="ar-SA"/>
          <w:color w:val="111111"/>
          <w:sz w:val="28"/>
          <w:szCs w:val="28"/>
          <w:rtl/>
        </w:rPr>
        <w:t xml:space="preserve">14 .الطب النبوي، ج 10، ص 794 .</w:t>
      </w:r>
    </w:p>
    <w:p>
      <w:pPr>
        <w:pStyle w:val="BookText"/>
      </w:pPr>
      <w:r>
        <w:rPr>
          <w:rFonts w:ascii="Amiri" w:hAnsi="Amiri" w:eastAsia="Amiri" w:cs="Amiri"/>
          <w:lang w:bidi="ar-SA"/>
          <w:color w:val="111111"/>
          <w:sz w:val="28"/>
          <w:szCs w:val="28"/>
          <w:rtl/>
        </w:rPr>
        <w:t xml:space="preserve">15 .طبقات القراء المشهورين ج 10،</w:t>
      </w:r>
    </w:p>
    <w:p>
      <w:pPr>
        <w:pStyle w:val="BookText"/>
      </w:pPr>
      <w:r>
        <w:rPr>
          <w:rFonts w:ascii="IRNazanin" w:hAnsi="IRNazanin" w:eastAsia="IRNazanin" w:cs="IRNazanin"/>
          <w:lang w:bidi="fa-IR"/>
          <w:color w:val="111111"/>
          <w:sz w:val="28"/>
          <w:szCs w:val="28"/>
          <w:rtl/>
        </w:rPr>
        <w:t xml:space="preserve">ص 787 .</w:t>
      </w:r>
    </w:p>
    <w:p>
      <w:pPr>
        <w:pStyle w:val="BookText"/>
      </w:pPr>
      <w:r>
        <w:rPr>
          <w:rFonts w:ascii="Amiri" w:hAnsi="Amiri" w:eastAsia="Amiri" w:cs="Amiri"/>
          <w:lang w:bidi="ar-SA"/>
          <w:color w:val="111111"/>
          <w:sz w:val="28"/>
          <w:szCs w:val="28"/>
          <w:rtl/>
        </w:rPr>
        <w:t xml:space="preserve">16 .طبقات المحدثين و الرواة (كتاب</w:t>
      </w:r>
    </w:p>
    <w:p>
      <w:pPr>
        <w:pStyle w:val="BookText"/>
      </w:pPr>
      <w:r>
        <w:rPr>
          <w:rFonts w:ascii="Amiri" w:hAnsi="Amiri" w:eastAsia="Amiri" w:cs="Amiri"/>
          <w:lang w:bidi="ar-SA"/>
          <w:color w:val="111111"/>
          <w:sz w:val="28"/>
          <w:szCs w:val="28"/>
          <w:rtl/>
        </w:rPr>
        <w:t xml:space="preserve">في)، ج 10، ص 789 .</w:t>
      </w:r>
    </w:p>
    <w:p>
      <w:pPr>
        <w:pStyle w:val="BookText"/>
      </w:pPr>
      <w:r>
        <w:rPr>
          <w:rFonts w:ascii="Amiri" w:hAnsi="Amiri" w:eastAsia="Amiri" w:cs="Amiri"/>
          <w:lang w:bidi="ar-SA"/>
          <w:color w:val="111111"/>
          <w:sz w:val="28"/>
          <w:szCs w:val="28"/>
          <w:rtl/>
        </w:rPr>
        <w:t xml:space="preserve">17 .العبر في خبر من غبر، ج 11، ص18.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العلو لعلي الأعلى الغفار في ايضاح</w:t>
      </w:r>
    </w:p>
    <w:p>
      <w:pPr>
        <w:pStyle w:val="BookText"/>
      </w:pPr>
      <w:r>
        <w:rPr>
          <w:rFonts w:ascii="IRNazanin" w:hAnsi="IRNazanin" w:eastAsia="IRNazanin" w:cs="IRNazanin"/>
          <w:lang w:bidi="fa-IR"/>
          <w:color w:val="111111"/>
          <w:sz w:val="28"/>
          <w:szCs w:val="28"/>
          <w:rtl/>
        </w:rPr>
        <w:t xml:space="preserve">الاخبار، ج 11، ص 274.</w:t>
      </w:r>
    </w:p>
    <w:p>
      <w:pPr>
        <w:pStyle w:val="BookText"/>
      </w:pPr>
      <w:r>
        <w:rPr>
          <w:rFonts w:ascii="Amiri" w:hAnsi="Amiri" w:eastAsia="Amiri" w:cs="Amiri"/>
          <w:lang w:bidi="ar-SA"/>
          <w:color w:val="111111"/>
          <w:sz w:val="28"/>
          <w:szCs w:val="28"/>
          <w:rtl/>
        </w:rPr>
        <w:t xml:space="preserve">19 .الكاشف في اسماء الرجال، ج13،</w:t>
      </w:r>
    </w:p>
    <w:p>
      <w:pPr>
        <w:pStyle w:val="BookText"/>
      </w:pPr>
      <w:r>
        <w:rPr>
          <w:rFonts w:ascii="IRNazanin" w:hAnsi="IRNazanin" w:eastAsia="IRNazanin" w:cs="IRNazanin"/>
          <w:lang w:bidi="fa-IR"/>
          <w:color w:val="111111"/>
          <w:sz w:val="28"/>
          <w:szCs w:val="28"/>
          <w:rtl/>
        </w:rPr>
        <w:t xml:space="preserve">ص 14 .</w:t>
      </w:r>
    </w:p>
    <w:p>
      <w:pPr>
        <w:pStyle w:val="BookText"/>
      </w:pPr>
      <w:r>
        <w:rPr>
          <w:rFonts w:ascii="Amiri" w:hAnsi="Amiri" w:eastAsia="Amiri" w:cs="Amiri"/>
          <w:lang w:bidi="ar-SA"/>
          <w:color w:val="111111"/>
          <w:sz w:val="28"/>
          <w:szCs w:val="28"/>
          <w:rtl/>
        </w:rPr>
        <w:t xml:space="preserve">20 .المختصر المحتاج اليه من تاريخ</w:t>
      </w:r>
    </w:p>
    <w:p>
      <w:pPr>
        <w:pStyle w:val="BookText"/>
      </w:pPr>
      <w:r>
        <w:rPr>
          <w:rFonts w:ascii="Amiri" w:hAnsi="Amiri" w:eastAsia="Amiri" w:cs="Amiri"/>
          <w:lang w:bidi="ar-SA"/>
          <w:color w:val="111111"/>
          <w:sz w:val="28"/>
          <w:szCs w:val="28"/>
          <w:rtl/>
        </w:rPr>
        <w:t xml:space="preserve">الحافظ أبي عبدالله محمّد بن</w:t>
      </w:r>
    </w:p>
    <w:p>
      <w:pPr>
        <w:pStyle w:val="BookText"/>
      </w:pPr>
      <w:r>
        <w:rPr>
          <w:rFonts w:ascii="Amiri" w:hAnsi="Amiri" w:eastAsia="Amiri" w:cs="Amiri"/>
          <w:lang w:bidi="ar-SA"/>
          <w:color w:val="111111"/>
          <w:sz w:val="28"/>
          <w:szCs w:val="28"/>
          <w:rtl/>
        </w:rPr>
        <w:t xml:space="preserve">سعيد بن محمّد ابن الدبيثي ج 14 ، ص 240.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المشيخة = معجم اللطيف، ج 14،</w:t>
      </w:r>
    </w:p>
    <w:p>
      <w:pPr>
        <w:pStyle w:val="BookText"/>
      </w:pPr>
      <w:r>
        <w:rPr>
          <w:rFonts w:ascii="IRNazanin" w:hAnsi="IRNazanin" w:eastAsia="IRNazanin" w:cs="IRNazanin"/>
          <w:lang w:bidi="fa-IR"/>
          <w:color w:val="111111"/>
          <w:sz w:val="28"/>
          <w:szCs w:val="28"/>
          <w:rtl/>
        </w:rPr>
        <w:t xml:space="preserve">ص 649 .</w:t>
      </w:r>
    </w:p>
    <w:p>
      <w:pPr>
        <w:pStyle w:val="BookText"/>
      </w:pPr>
      <w:r>
        <w:rPr>
          <w:rFonts w:ascii="Amiri" w:hAnsi="Amiri" w:eastAsia="Amiri" w:cs="Amiri"/>
          <w:lang w:bidi="ar-SA"/>
          <w:color w:val="111111"/>
          <w:sz w:val="28"/>
          <w:szCs w:val="28"/>
          <w:rtl/>
        </w:rPr>
        <w:t xml:space="preserve">22 .معجم الشيوخ = المعجم المختص</w:t>
      </w:r>
    </w:p>
    <w:p>
      <w:pPr>
        <w:pStyle w:val="BookText"/>
      </w:pPr>
      <w:r>
        <w:rPr>
          <w:rFonts w:ascii="IRNazanin" w:hAnsi="IRNazanin" w:eastAsia="IRNazanin" w:cs="IRNazanin"/>
          <w:lang w:bidi="fa-IR"/>
          <w:color w:val="111111"/>
          <w:sz w:val="28"/>
          <w:szCs w:val="28"/>
          <w:rtl/>
        </w:rPr>
        <w:t xml:space="preserve">ج 15، ص 15.</w:t>
      </w:r>
    </w:p>
    <w:p>
      <w:pPr>
        <w:pStyle w:val="BookText"/>
      </w:pPr>
      <w:r>
        <w:rPr>
          <w:rFonts w:ascii="Amiri" w:hAnsi="Amiri" w:eastAsia="Amiri" w:cs="Amiri"/>
          <w:lang w:bidi="ar-SA"/>
          <w:color w:val="111111"/>
          <w:sz w:val="28"/>
          <w:szCs w:val="28"/>
          <w:rtl/>
        </w:rPr>
        <w:t xml:space="preserve">23 .معرفة الرواة الثقات، ج 15 ، ص 57</w:t>
      </w:r>
    </w:p>
    <w:p>
      <w:pPr>
        <w:pStyle w:val="BookText"/>
      </w:pPr>
      <w:r>
        <w:rPr>
          <w:rFonts w:ascii="Amiri" w:hAnsi="Amiri" w:eastAsia="Amiri" w:cs="Amiri"/>
          <w:lang w:bidi="ar-SA"/>
          <w:color w:val="111111"/>
          <w:sz w:val="28"/>
          <w:szCs w:val="28"/>
          <w:rtl/>
        </w:rPr>
        <w:t xml:space="preserve">24 .المعين في طبقات المحدثين، ج 15</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Amiri" w:hAnsi="Amiri" w:eastAsia="Amiri" w:cs="Amiri"/>
          <w:lang w:bidi="ar-SA"/>
          <w:color w:val="111111"/>
          <w:sz w:val="28"/>
          <w:szCs w:val="28"/>
          <w:rtl/>
        </w:rPr>
        <w:t xml:space="preserve">25 .المغني في الضعفاء والمتروكين</w:t>
      </w:r>
    </w:p>
    <w:p>
      <w:pPr>
        <w:pStyle w:val="BookText"/>
      </w:pPr>
      <w:r>
        <w:rPr>
          <w:rFonts w:ascii="IRNazanin" w:hAnsi="IRNazanin" w:eastAsia="IRNazanin" w:cs="IRNazanin"/>
          <w:lang w:bidi="fa-IR"/>
          <w:color w:val="111111"/>
          <w:sz w:val="28"/>
          <w:szCs w:val="28"/>
          <w:rtl/>
        </w:rPr>
        <w:t xml:space="preserve">ج ،15، ص 127 .</w:t>
      </w:r>
    </w:p>
    <w:p>
      <w:pPr>
        <w:pStyle w:val="BookText"/>
      </w:pPr>
      <w:r>
        <w:rPr>
          <w:rFonts w:ascii="Amiri" w:hAnsi="Amiri" w:eastAsia="Amiri" w:cs="Amiri"/>
          <w:lang w:bidi="ar-SA"/>
          <w:color w:val="111111"/>
          <w:sz w:val="28"/>
          <w:szCs w:val="28"/>
          <w:rtl/>
        </w:rPr>
        <w:t xml:space="preserve">26 .مفاخرة المشمش و التوت، ج 15 ،</w:t>
      </w:r>
    </w:p>
    <w:p>
      <w:pPr>
        <w:pStyle w:val="BookText"/>
      </w:pPr>
      <w:r>
        <w:rPr>
          <w:rFonts w:ascii="IRNazanin" w:hAnsi="IRNazanin" w:eastAsia="IRNazanin" w:cs="IRNazanin"/>
          <w:lang w:bidi="fa-IR"/>
          <w:color w:val="111111"/>
          <w:sz w:val="28"/>
          <w:szCs w:val="28"/>
          <w:rtl/>
        </w:rPr>
        <w:t xml:space="preserve">ص 180 .</w:t>
      </w:r>
    </w:p>
    <w:p>
      <w:pPr>
        <w:pStyle w:val="BookText"/>
      </w:pPr>
      <w:r>
        <w:rPr>
          <w:rFonts w:ascii="Amiri" w:hAnsi="Amiri" w:eastAsia="Amiri" w:cs="Amiri"/>
          <w:lang w:bidi="ar-SA"/>
          <w:color w:val="111111"/>
          <w:sz w:val="28"/>
          <w:szCs w:val="28"/>
          <w:rtl/>
        </w:rPr>
        <w:t xml:space="preserve">27 .المقتني في سرد الكني، ج 15</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Amiri" w:hAnsi="Amiri" w:eastAsia="Amiri" w:cs="Amiri"/>
          <w:lang w:bidi="ar-SA"/>
          <w:color w:val="111111"/>
          <w:sz w:val="28"/>
          <w:szCs w:val="28"/>
          <w:rtl/>
        </w:rPr>
        <w:t xml:space="preserve">28 .الممتاز من تاريخ ابن الجزري</w:t>
      </w:r>
    </w:p>
    <w:p>
      <w:pPr>
        <w:pStyle w:val="BookText"/>
      </w:pPr>
      <w:r>
        <w:rPr>
          <w:rFonts w:ascii="IRNazanin" w:hAnsi="IRNazanin" w:eastAsia="IRNazanin" w:cs="IRNazanin"/>
          <w:lang w:bidi="fa-IR"/>
          <w:color w:val="111111"/>
          <w:sz w:val="28"/>
          <w:szCs w:val="28"/>
          <w:rtl/>
        </w:rPr>
        <w:t xml:space="preserve">ج 15 ، ص 469 .</w:t>
      </w:r>
    </w:p>
    <w:p>
      <w:pPr>
        <w:pStyle w:val="BookText"/>
      </w:pPr>
      <w:r>
        <w:rPr>
          <w:rFonts w:ascii="Amiri" w:hAnsi="Amiri" w:eastAsia="Amiri" w:cs="Amiri"/>
          <w:lang w:bidi="ar-SA"/>
          <w:color w:val="111111"/>
          <w:sz w:val="28"/>
          <w:szCs w:val="28"/>
          <w:rtl/>
        </w:rPr>
        <w:t xml:space="preserve">29 .المهذب في اختصار السنن الكبير</w:t>
      </w:r>
    </w:p>
    <w:p>
      <w:pPr>
        <w:pStyle w:val="BookText"/>
      </w:pPr>
      <w:r>
        <w:rPr>
          <w:rFonts w:ascii="IRNazanin" w:hAnsi="IRNazanin" w:eastAsia="IRNazanin" w:cs="IRNazanin"/>
          <w:lang w:bidi="fa-IR"/>
          <w:color w:val="111111"/>
          <w:sz w:val="28"/>
          <w:szCs w:val="28"/>
          <w:rtl/>
        </w:rPr>
        <w:t xml:space="preserve">ج 15 ، ص 846.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الموعظة، ج 16، ص 40.</w:t>
      </w:r>
    </w:p>
    <w:p>
      <w:pPr>
        <w:pStyle w:val="BookText"/>
      </w:pPr>
      <w:r>
        <w:rPr>
          <w:rFonts w:ascii="Amiri" w:hAnsi="Amiri" w:eastAsia="Amiri" w:cs="Amiri"/>
          <w:lang w:bidi="ar-SA"/>
          <w:color w:val="111111"/>
          <w:sz w:val="28"/>
          <w:szCs w:val="28"/>
          <w:rtl/>
        </w:rPr>
        <w:t xml:space="preserve">31 .الموقظة في علم مصطلح الحديث</w:t>
      </w:r>
    </w:p>
    <w:p>
      <w:pPr>
        <w:pStyle w:val="BookText"/>
      </w:pPr>
      <w:r>
        <w:rPr>
          <w:rFonts w:ascii="IRNazanin" w:hAnsi="IRNazanin" w:eastAsia="IRNazanin" w:cs="IRNazanin"/>
          <w:lang w:bidi="fa-IR"/>
          <w:color w:val="111111"/>
          <w:sz w:val="28"/>
          <w:szCs w:val="28"/>
          <w:rtl/>
        </w:rPr>
        <w:t xml:space="preserve">ج 16، ص 43.</w:t>
      </w:r>
    </w:p>
    <w:p>
      <w:pPr>
        <w:pStyle w:val="BookText"/>
      </w:pPr>
      <w:r>
        <w:rPr>
          <w:rFonts w:ascii="IRNazanin" w:hAnsi="IRNazanin" w:eastAsia="IRNazanin" w:cs="IRNazanin"/>
          <w:lang w:bidi="fa-IR"/>
          <w:color w:val="111111"/>
          <w:sz w:val="28"/>
          <w:szCs w:val="28"/>
          <w:rtl/>
        </w:rPr>
        <w:t xml:space="preserve">32 .میزان الاعتدال في نقد الرجال</w:t>
      </w:r>
    </w:p>
    <w:p>
      <w:pPr>
        <w:pStyle w:val="BookText"/>
      </w:pPr>
      <w:r>
        <w:rPr>
          <w:rFonts w:ascii="IRNazanin" w:hAnsi="IRNazanin" w:eastAsia="IRNazanin" w:cs="IRNazanin"/>
          <w:lang w:bidi="fa-IR"/>
          <w:color w:val="111111"/>
          <w:sz w:val="28"/>
          <w:szCs w:val="28"/>
          <w:rtl/>
        </w:rPr>
        <w:t xml:space="preserve">ج 16، ص 66 .</w:t>
      </w:r>
    </w:p>
    <w:p>
      <w:pPr>
        <w:pStyle w:val="Heading2"/>
      </w:pPr>
      <w:bookmarkStart w:id="4423" w:name="_Toc3525"/>
      <w:r>
        <w:t>ذهبي ، مصطفى بن حنفي - 1280 ه-</w:t>
      </w:r>
      <w:bookmarkEnd w:id="4423"/>
    </w:p>
    <w:p>
      <w:pPr>
        <w:pStyle w:val="BookText"/>
      </w:pPr>
      <w:r>
        <w:rPr>
          <w:rFonts w:ascii="Amiri" w:hAnsi="Amiri" w:eastAsia="Amiri" w:cs="Amiri"/>
          <w:lang w:bidi="ar-SA"/>
          <w:color w:val="111111"/>
          <w:sz w:val="28"/>
          <w:szCs w:val="28"/>
          <w:rtl/>
        </w:rPr>
        <w:t xml:space="preserve">تحرير الدرهم و المثقال و الرطل و المكيال، ج 3، ص 736 .</w:t>
      </w:r>
    </w:p>
    <w:p>
      <w:pPr>
        <w:pStyle w:val="BookText"/>
      </w:pPr>
      <w:r>
        <w:rPr>
          <w:rFonts w:ascii="Amiri" w:hAnsi="Amiri" w:eastAsia="Amiri" w:cs="Amiri"/>
          <w:lang w:bidi="ar-SA"/>
          <w:color w:val="111111"/>
          <w:sz w:val="28"/>
          <w:szCs w:val="28"/>
          <w:rtl/>
        </w:rPr>
        <w:t xml:space="preserve">ذهبي ، ميرزابابا -ميرزا بابا شيرازي ،</w:t>
      </w:r>
    </w:p>
    <w:p>
      <w:pPr>
        <w:pStyle w:val="BookText"/>
      </w:pPr>
      <w:r>
        <w:rPr>
          <w:rFonts w:ascii="Amiri" w:hAnsi="Amiri" w:eastAsia="Amiri" w:cs="Amiri"/>
          <w:lang w:bidi="ar-SA"/>
          <w:color w:val="111111"/>
          <w:sz w:val="28"/>
          <w:szCs w:val="28"/>
          <w:rtl/>
        </w:rPr>
        <w:t xml:space="preserve">ابوالقاسم بن عبد النبي</w:t>
      </w:r>
    </w:p>
    <w:p>
      <w:pPr>
        <w:pStyle w:val="BookText"/>
      </w:pPr>
      <w:r>
        <w:rPr>
          <w:rFonts w:ascii="Amiri" w:hAnsi="Amiri" w:eastAsia="Amiri" w:cs="Amiri"/>
          <w:lang w:bidi="ar-SA"/>
          <w:color w:val="111111"/>
          <w:sz w:val="28"/>
          <w:szCs w:val="28"/>
          <w:rtl/>
        </w:rPr>
        <w:t xml:space="preserve">ذهبي ، يعقوب بن بدران - جرائدي ،</w:t>
      </w:r>
    </w:p>
    <w:p>
      <w:pPr>
        <w:pStyle w:val="BookText"/>
      </w:pPr>
      <w:r>
        <w:rPr>
          <w:rFonts w:ascii="Amiri" w:hAnsi="Amiri" w:eastAsia="Amiri" w:cs="Amiri"/>
          <w:lang w:bidi="ar-SA"/>
          <w:color w:val="111111"/>
          <w:sz w:val="28"/>
          <w:szCs w:val="28"/>
          <w:rtl/>
        </w:rPr>
        <w:t xml:space="preserve">يعقوب بن بدران</w:t>
      </w:r>
    </w:p>
    <w:p>
      <w:pPr>
        <w:pStyle w:val="BookText"/>
      </w:pPr>
      <w:r>
        <w:rPr>
          <w:rFonts w:ascii="Amiri" w:hAnsi="Amiri" w:eastAsia="Amiri" w:cs="Amiri"/>
          <w:lang w:bidi="ar-SA"/>
          <w:color w:val="111111"/>
          <w:sz w:val="28"/>
          <w:szCs w:val="28"/>
          <w:rtl/>
        </w:rPr>
        <w:t xml:space="preserve">ذو الثمانين - علم الهدى ، علي بن حسين</w:t>
      </w:r>
    </w:p>
    <w:p>
      <w:pPr>
        <w:pStyle w:val="BookText"/>
      </w:pPr>
      <w:r>
        <w:rPr>
          <w:rFonts w:ascii="Amiri" w:hAnsi="Amiri" w:eastAsia="Amiri" w:cs="Amiri"/>
          <w:lang w:bidi="ar-SA"/>
          <w:color w:val="111111"/>
          <w:sz w:val="28"/>
          <w:szCs w:val="28"/>
          <w:rtl/>
        </w:rPr>
        <w:t xml:space="preserve">ذوالجمالين ، حسين بن محمّد -محقق</w:t>
      </w:r>
    </w:p>
    <w:p>
      <w:pPr>
        <w:pStyle w:val="BookText"/>
      </w:pPr>
      <w:r>
        <w:rPr>
          <w:rFonts w:ascii="Amiri" w:hAnsi="Amiri" w:eastAsia="Amiri" w:cs="Amiri"/>
          <w:lang w:bidi="ar-SA"/>
          <w:color w:val="111111"/>
          <w:sz w:val="28"/>
          <w:szCs w:val="28"/>
          <w:rtl/>
        </w:rPr>
        <w:t xml:space="preserve">خوانساري ، حسين بن محمّد</w:t>
      </w:r>
    </w:p>
    <w:p>
      <w:pPr>
        <w:pStyle w:val="Heading2"/>
      </w:pPr>
      <w:bookmarkStart w:id="4424" w:name="_Toc3526"/>
      <w:r>
        <w:t>ذوالرمه ، غيلان بن عقبه 77 - 117 ه-</w:t>
      </w:r>
      <w:bookmarkEnd w:id="4424"/>
    </w:p>
    <w:p>
      <w:pPr>
        <w:pStyle w:val="BookText"/>
      </w:pPr>
      <w:r>
        <w:rPr>
          <w:rFonts w:ascii="IRNazanin" w:hAnsi="IRNazanin" w:eastAsia="IRNazanin" w:cs="IRNazanin"/>
          <w:lang w:bidi="fa-IR"/>
          <w:color w:val="111111"/>
          <w:sz w:val="28"/>
          <w:szCs w:val="28"/>
          <w:rtl/>
        </w:rPr>
        <w:t xml:space="preserve">دیوان ذوالرمه، ج 7، ص 643 .</w:t>
      </w:r>
    </w:p>
    <w:p>
      <w:pPr>
        <w:pStyle w:val="BookText"/>
      </w:pPr>
      <w:r>
        <w:rPr>
          <w:rFonts w:ascii="IRNazanin" w:hAnsi="IRNazanin" w:eastAsia="IRNazanin" w:cs="IRNazanin"/>
          <w:lang w:bidi="fa-IR"/>
          <w:color w:val="111111"/>
          <w:sz w:val="28"/>
          <w:szCs w:val="28"/>
          <w:rtl/>
        </w:rPr>
        <w:t xml:space="preserve">ذو العمرين- ابن خطیب ، محمّد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ذوالفقار خان بن علي اكبر</w:t>
      </w:r>
    </w:p>
    <w:p>
      <w:pPr>
        <w:pStyle w:val="BookText"/>
      </w:pPr>
      <w:r>
        <w:rPr>
          <w:rFonts w:ascii="Amiri" w:hAnsi="Amiri" w:eastAsia="Amiri" w:cs="Amiri"/>
          <w:lang w:bidi="ar-SA"/>
          <w:color w:val="111111"/>
          <w:sz w:val="28"/>
          <w:szCs w:val="28"/>
          <w:rtl/>
        </w:rPr>
        <w:t xml:space="preserve">بسطامي- بسطامي ، ذوالفقار خان بن علي</w:t>
      </w:r>
    </w:p>
    <w:p>
      <w:pPr>
        <w:pStyle w:val="BookText"/>
      </w:pPr>
      <w:r>
        <w:rPr>
          <w:rFonts w:ascii="Amiri" w:hAnsi="Amiri" w:eastAsia="Amiri" w:cs="Amiri"/>
          <w:lang w:bidi="ar-SA"/>
          <w:color w:val="111111"/>
          <w:sz w:val="28"/>
          <w:szCs w:val="28"/>
          <w:rtl/>
        </w:rPr>
        <w:t xml:space="preserve">ذوالفنون ، احمد بن خليل- خوئي ، احمد</w:t>
      </w:r>
    </w:p>
    <w:p>
      <w:pPr>
        <w:pStyle w:val="BookText"/>
      </w:pPr>
      <w:r>
        <w:rPr>
          <w:rFonts w:ascii="Amiri" w:hAnsi="Amiri" w:eastAsia="Amiri" w:cs="Amiri"/>
          <w:lang w:bidi="ar-SA"/>
          <w:color w:val="111111"/>
          <w:sz w:val="28"/>
          <w:szCs w:val="28"/>
          <w:rtl/>
        </w:rPr>
        <w:t xml:space="preserve">اكبر بن خليل</w:t>
      </w:r>
    </w:p>
    <w:p>
      <w:pPr>
        <w:pStyle w:val="Heading2"/>
      </w:pPr>
      <w:bookmarkStart w:id="4425" w:name="_Toc3527"/>
      <w:r>
        <w:t>ذوالنون بن احمد</w:t>
      </w:r>
      <w:bookmarkEnd w:id="4425"/>
    </w:p>
    <w:p>
      <w:pPr>
        <w:pStyle w:val="BookText"/>
      </w:pPr>
      <w:r>
        <w:rPr>
          <w:rFonts w:ascii="Amiri" w:hAnsi="Amiri" w:eastAsia="Amiri" w:cs="Amiri"/>
          <w:lang w:bidi="ar-SA"/>
          <w:color w:val="111111"/>
          <w:sz w:val="28"/>
          <w:szCs w:val="28"/>
          <w:rtl/>
        </w:rPr>
        <w:t xml:space="preserve">شرح مقدمة أبي الليث، ج 10، ص 186.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1" w:name="pg7742_70397"/>
    <w:bookmarkEnd w:id="501"/>
    <w:p>
      <w:pPr>
        <w:pStyle w:val="BookText"/>
      </w:pPr>
      <w:r>
        <w:rPr>
          <w:rFonts w:ascii="Amiri" w:hAnsi="Amiri" w:eastAsia="Amiri" w:cs="Amiri"/>
          <w:lang w:bidi="ar-SA"/>
          <w:color w:val="111111"/>
          <w:sz w:val="28"/>
          <w:szCs w:val="28"/>
          <w:rtl/>
        </w:rPr>
        <w:t xml:space="preserve">ذوالنون بن جرجيس موصلي - موصلي ،</w:t>
      </w:r>
    </w:p>
    <w:p>
      <w:pPr>
        <w:pStyle w:val="BookText"/>
      </w:pPr>
      <w:r>
        <w:rPr>
          <w:rFonts w:ascii="Amiri" w:hAnsi="Amiri" w:eastAsia="Amiri" w:cs="Amiri"/>
          <w:lang w:bidi="ar-SA"/>
          <w:color w:val="111111"/>
          <w:sz w:val="28"/>
          <w:szCs w:val="28"/>
          <w:rtl/>
        </w:rPr>
        <w:t xml:space="preserve">ذوالنون بن جرجيس</w:t>
      </w:r>
    </w:p>
    <w:p>
      <w:pPr>
        <w:pStyle w:val="Heading2"/>
      </w:pPr>
      <w:bookmarkStart w:id="4426" w:name="_Toc3528"/>
      <w:r>
        <w:t>ذوالنون مصري ، ثوبان بن ابراهیم 180 قدامه</w:t>
      </w:r>
      <w:bookmarkEnd w:id="4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245؟ ه-</w:t>
      </w:r>
    </w:p>
    <w:p>
      <w:pPr>
        <w:pStyle w:val="BookText"/>
      </w:pPr>
      <w:r>
        <w:rPr>
          <w:rFonts w:ascii="Amiri" w:hAnsi="Amiri" w:eastAsia="Amiri" w:cs="Amiri"/>
          <w:lang w:bidi="ar-SA"/>
          <w:color w:val="111111"/>
          <w:sz w:val="28"/>
          <w:szCs w:val="28"/>
          <w:rtl/>
        </w:rPr>
        <w:t xml:space="preserve">القربة من الله (كلام في)، ج 12، ص 565.</w:t>
      </w:r>
    </w:p>
    <w:p>
      <w:pPr>
        <w:pStyle w:val="BookText"/>
      </w:pPr>
      <w:r>
        <w:rPr>
          <w:rFonts w:ascii="Amiri" w:hAnsi="Amiri" w:eastAsia="Amiri" w:cs="Amiri"/>
          <w:lang w:bidi="ar-SA"/>
          <w:color w:val="111111"/>
          <w:sz w:val="28"/>
          <w:szCs w:val="28"/>
          <w:rtl/>
        </w:rPr>
        <w:t xml:space="preserve">ذو مصه اسماعيل بن محمّد تميمي داعي مشخص صفوة المستجيبين- تميمي ، اسماعيل</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ذیا سقوريدس- پدانیوس دیوسکوریدس</w:t>
      </w:r>
    </w:p>
    <w:p>
      <w:pPr>
        <w:pStyle w:val="BookText"/>
      </w:pPr>
      <w:r>
        <w:rPr>
          <w:rFonts w:ascii="Amiri" w:hAnsi="Amiri" w:eastAsia="Amiri" w:cs="Amiri"/>
          <w:lang w:bidi="ar-SA"/>
          <w:color w:val="111111"/>
          <w:sz w:val="28"/>
          <w:szCs w:val="28"/>
          <w:rtl/>
        </w:rPr>
        <w:t xml:space="preserve">ذي اصبح -مالك بن انس</w:t>
      </w:r>
    </w:p>
    <w:p>
      <w:pPr>
        <w:pStyle w:val="BookText"/>
      </w:pPr>
      <w:r>
        <w:rPr>
          <w:rFonts w:ascii="Amiri" w:hAnsi="Amiri" w:eastAsia="Amiri" w:cs="Amiri"/>
          <w:lang w:bidi="ar-SA"/>
          <w:color w:val="111111"/>
          <w:sz w:val="28"/>
          <w:szCs w:val="28"/>
          <w:rtl/>
        </w:rPr>
        <w:t xml:space="preserve">رؤبة بن عبدالله تميمي -سعدي ابن عجاج ،</w:t>
      </w:r>
    </w:p>
    <w:p>
      <w:pPr>
        <w:pStyle w:val="BookText"/>
      </w:pPr>
      <w:r>
        <w:rPr>
          <w:rFonts w:ascii="Amiri" w:hAnsi="Amiri" w:eastAsia="Amiri" w:cs="Amiri"/>
          <w:lang w:bidi="ar-SA"/>
          <w:color w:val="111111"/>
          <w:sz w:val="28"/>
          <w:szCs w:val="28"/>
          <w:rtl/>
        </w:rPr>
        <w:t xml:space="preserve">، رؤبة بن عبدالله</w:t>
      </w:r>
    </w:p>
    <w:p>
      <w:pPr>
        <w:pStyle w:val="BookText"/>
      </w:pPr>
      <w:r>
        <w:rPr>
          <w:rFonts w:ascii="Amiri" w:hAnsi="Amiri" w:eastAsia="Amiri" w:cs="Amiri"/>
          <w:lang w:bidi="ar-SA"/>
          <w:color w:val="111111"/>
          <w:sz w:val="28"/>
          <w:szCs w:val="28"/>
          <w:rtl/>
        </w:rPr>
        <w:t xml:space="preserve">رأس المؤلفين ، عبدالملك بن محمّد -ثعالبي ، عبدالملك بن محمّد</w:t>
      </w:r>
    </w:p>
    <w:p>
      <w:pPr>
        <w:pStyle w:val="BookText"/>
      </w:pPr>
      <w:r>
        <w:rPr>
          <w:rFonts w:ascii="Amiri" w:hAnsi="Amiri" w:eastAsia="Amiri" w:cs="Amiri"/>
          <w:lang w:bidi="ar-SA"/>
          <w:color w:val="111111"/>
          <w:sz w:val="28"/>
          <w:szCs w:val="28"/>
          <w:rtl/>
        </w:rPr>
        <w:t xml:space="preserve">رئيس الاطباء ، علي بن رضوان- ابن</w:t>
      </w:r>
    </w:p>
    <w:p>
      <w:pPr>
        <w:pStyle w:val="BookText"/>
      </w:pPr>
      <w:r>
        <w:rPr>
          <w:rFonts w:ascii="Amiri" w:hAnsi="Amiri" w:eastAsia="Amiri" w:cs="Amiri"/>
          <w:lang w:bidi="ar-SA"/>
          <w:color w:val="111111"/>
          <w:sz w:val="28"/>
          <w:szCs w:val="28"/>
          <w:rtl/>
        </w:rPr>
        <w:t xml:space="preserve">رضوان ، علي بن رضوان</w:t>
      </w:r>
    </w:p>
    <w:p>
      <w:pPr>
        <w:pStyle w:val="BookText"/>
      </w:pPr>
      <w:r>
        <w:rPr>
          <w:rFonts w:ascii="Amiri" w:hAnsi="Amiri" w:eastAsia="Amiri" w:cs="Amiri"/>
          <w:lang w:bidi="ar-SA"/>
          <w:color w:val="111111"/>
          <w:sz w:val="28"/>
          <w:szCs w:val="28"/>
          <w:rtl/>
        </w:rPr>
        <w:t xml:space="preserve">رئيس العلماء ، ابو محمّد عبدالله بن</w:t>
      </w:r>
    </w:p>
    <w:p>
      <w:pPr>
        <w:pStyle w:val="BookText"/>
      </w:pPr>
      <w:r>
        <w:rPr>
          <w:rFonts w:ascii="Amiri" w:hAnsi="Amiri" w:eastAsia="Amiri" w:cs="Amiri"/>
          <w:lang w:bidi="ar-SA"/>
          <w:color w:val="111111"/>
          <w:sz w:val="28"/>
          <w:szCs w:val="28"/>
          <w:rtl/>
        </w:rPr>
        <w:t xml:space="preserve">محمّد -عمري ، عبدالله بن محمّد</w:t>
      </w:r>
    </w:p>
    <w:p>
      <w:pPr>
        <w:pStyle w:val="BookText"/>
      </w:pPr>
      <w:r>
        <w:rPr>
          <w:rFonts w:ascii="Amiri" w:hAnsi="Amiri" w:eastAsia="Amiri" w:cs="Amiri"/>
          <w:lang w:bidi="ar-SA"/>
          <w:color w:val="111111"/>
          <w:sz w:val="28"/>
          <w:szCs w:val="28"/>
          <w:rtl/>
        </w:rPr>
        <w:t xml:space="preserve">رئيس الكتاب عثماني ، عبدالله بن</w:t>
      </w:r>
    </w:p>
    <w:p>
      <w:pPr>
        <w:pStyle w:val="BookText"/>
      </w:pPr>
      <w:r>
        <w:rPr>
          <w:rFonts w:ascii="Amiri" w:hAnsi="Amiri" w:eastAsia="Amiri" w:cs="Amiri"/>
          <w:lang w:bidi="ar-SA"/>
          <w:color w:val="111111"/>
          <w:sz w:val="28"/>
          <w:szCs w:val="28"/>
          <w:rtl/>
        </w:rPr>
        <w:t xml:space="preserve">محمّد- بسنوي ، عبدالله بن محمّد</w:t>
      </w:r>
    </w:p>
    <w:p>
      <w:pPr>
        <w:pStyle w:val="BookText"/>
      </w:pPr>
      <w:r>
        <w:rPr>
          <w:rFonts w:ascii="Amiri" w:hAnsi="Amiri" w:eastAsia="Amiri" w:cs="Amiri"/>
          <w:lang w:bidi="ar-SA"/>
          <w:color w:val="111111"/>
          <w:sz w:val="28"/>
          <w:szCs w:val="28"/>
          <w:rtl/>
        </w:rPr>
        <w:t xml:space="preserve">رئيس المنجمين ، احمد بن لطف الله- منجم باشي ، احمد بن لطف الله</w:t>
      </w:r>
    </w:p>
    <w:p>
      <w:pPr>
        <w:pStyle w:val="BookText"/>
      </w:pPr>
      <w:r>
        <w:rPr>
          <w:rFonts w:ascii="Amiri" w:hAnsi="Amiri" w:eastAsia="Amiri" w:cs="Amiri"/>
          <w:lang w:bidi="ar-SA"/>
          <w:color w:val="111111"/>
          <w:sz w:val="28"/>
          <w:szCs w:val="28"/>
          <w:rtl/>
        </w:rPr>
        <w:t xml:space="preserve">رئيس علي حسن- باخرزي ، علي بن حسن</w:t>
      </w:r>
    </w:p>
    <w:p>
      <w:pPr>
        <w:pStyle w:val="Heading2"/>
      </w:pPr>
      <w:bookmarkStart w:id="4427" w:name="_Toc3529"/>
      <w:r>
        <w:t>رائق ، حافظ محمّد</w:t>
      </w:r>
      <w:bookmarkEnd w:id="4427"/>
    </w:p>
    <w:p>
      <w:pPr>
        <w:pStyle w:val="BookText"/>
      </w:pPr>
      <w:r>
        <w:rPr>
          <w:rFonts w:ascii="Amiri" w:hAnsi="Amiri" w:eastAsia="Amiri" w:cs="Amiri"/>
          <w:lang w:bidi="ar-SA"/>
          <w:color w:val="111111"/>
          <w:sz w:val="28"/>
          <w:szCs w:val="28"/>
          <w:rtl/>
        </w:rPr>
        <w:t xml:space="preserve">اجازة في الرواية، ج 1، ص 225.</w:t>
      </w:r>
    </w:p>
    <w:p>
      <w:pPr>
        <w:pStyle w:val="BookText"/>
      </w:pPr>
      <w:r>
        <w:rPr>
          <w:rFonts w:ascii="Amiri" w:hAnsi="Amiri" w:eastAsia="Amiri" w:cs="Amiri"/>
          <w:lang w:bidi="ar-SA"/>
          <w:color w:val="111111"/>
          <w:sz w:val="28"/>
          <w:szCs w:val="28"/>
          <w:rtl/>
        </w:rPr>
        <w:t xml:space="preserve">را بستنجاك ، مطران لويس</w:t>
      </w:r>
    </w:p>
    <w:p>
      <w:pPr>
        <w:pStyle w:val="BookText"/>
      </w:pPr>
      <w:r>
        <w:rPr>
          <w:rFonts w:ascii="Amiri" w:hAnsi="Amiri" w:eastAsia="Amiri" w:cs="Amiri"/>
          <w:lang w:bidi="ar-SA"/>
          <w:color w:val="111111"/>
          <w:sz w:val="28"/>
          <w:szCs w:val="28"/>
          <w:rtl/>
        </w:rPr>
        <w:t xml:space="preserve">يعقوب- مطران لويس يعقوب</w:t>
      </w:r>
    </w:p>
    <w:p>
      <w:pPr>
        <w:pStyle w:val="BookText"/>
      </w:pPr>
      <w:r>
        <w:rPr>
          <w:rFonts w:ascii="Amiri" w:hAnsi="Amiri" w:eastAsia="Amiri" w:cs="Amiri"/>
          <w:lang w:bidi="ar-SA"/>
          <w:color w:val="111111"/>
          <w:sz w:val="28"/>
          <w:szCs w:val="28"/>
          <w:rtl/>
        </w:rPr>
        <w:t xml:space="preserve">راجز ، فضل بن قدامه- عجلي ، فضل بن قدامه</w:t>
      </w:r>
    </w:p>
    <w:p>
      <w:pPr>
        <w:pStyle w:val="BookText"/>
      </w:pPr>
      <w:r>
        <w:rPr>
          <w:rFonts w:ascii="Amiri" w:hAnsi="Amiri" w:eastAsia="Amiri" w:cs="Amiri"/>
          <w:lang w:bidi="ar-SA"/>
          <w:color w:val="111111"/>
          <w:sz w:val="28"/>
          <w:szCs w:val="28"/>
          <w:rtl/>
        </w:rPr>
        <w:t xml:space="preserve">راجكوتي ، عبد العزيز -ميمني ، عبد العزيز</w:t>
      </w:r>
    </w:p>
    <w:p>
      <w:pPr>
        <w:pStyle w:val="BookText"/>
      </w:pPr>
      <w:r>
        <w:rPr>
          <w:rFonts w:ascii="Amiri" w:hAnsi="Amiri" w:eastAsia="Amiri" w:cs="Amiri"/>
          <w:lang w:bidi="ar-SA"/>
          <w:color w:val="111111"/>
          <w:sz w:val="28"/>
          <w:szCs w:val="28"/>
          <w:rtl/>
        </w:rPr>
        <w:t xml:space="preserve">راحت حسين رضوي- رضوي ، راحت</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راز شيرازي ، ابوالقاسم بن عبد النبي - ميرزا بابا شيرازي ، ابوالقاسم بن عبد النبي</w:t>
      </w:r>
    </w:p>
    <w:p>
      <w:pPr>
        <w:pStyle w:val="BookText"/>
      </w:pPr>
      <w:r>
        <w:rPr>
          <w:rFonts w:ascii="Amiri" w:hAnsi="Amiri" w:eastAsia="Amiri" w:cs="Amiri"/>
          <w:lang w:bidi="ar-SA"/>
          <w:color w:val="111111"/>
          <w:sz w:val="28"/>
          <w:szCs w:val="28"/>
          <w:rtl/>
        </w:rPr>
        <w:t xml:space="preserve">راز ، محمّد بن ابي بكر -زين الدين الرازي محمّد بن ابي بكر</w:t>
      </w:r>
    </w:p>
    <w:p>
      <w:pPr>
        <w:pStyle w:val="BookText"/>
      </w:pPr>
      <w:r>
        <w:rPr>
          <w:rFonts w:ascii="Amiri" w:hAnsi="Amiri" w:eastAsia="Amiri" w:cs="Amiri"/>
          <w:lang w:bidi="ar-SA"/>
          <w:color w:val="111111"/>
          <w:sz w:val="28"/>
          <w:szCs w:val="28"/>
          <w:rtl/>
        </w:rPr>
        <w:t xml:space="preserve">رازي ، ابوالفتوح -ابوالفتوح رازي ، حسين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رازي ، ابوبكر بن عبدالله -نجم رازي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رازي ، ابوحاتم احمد بن حمدان- ابوحاتم</w:t>
      </w:r>
    </w:p>
    <w:p>
      <w:pPr>
        <w:pStyle w:val="BookText"/>
      </w:pPr>
      <w:r>
        <w:rPr>
          <w:rFonts w:ascii="Amiri" w:hAnsi="Amiri" w:eastAsia="Amiri" w:cs="Amiri"/>
          <w:lang w:bidi="ar-SA"/>
          <w:color w:val="111111"/>
          <w:sz w:val="28"/>
          <w:szCs w:val="28"/>
          <w:rtl/>
        </w:rPr>
        <w:t xml:space="preserve">رازي ، احمد بن حمدان</w:t>
      </w:r>
    </w:p>
    <w:p>
      <w:pPr>
        <w:pStyle w:val="BookText"/>
      </w:pPr>
      <w:r>
        <w:rPr>
          <w:rFonts w:ascii="Amiri" w:hAnsi="Amiri" w:eastAsia="Amiri" w:cs="Amiri"/>
          <w:lang w:bidi="ar-SA"/>
          <w:color w:val="111111"/>
          <w:sz w:val="28"/>
          <w:szCs w:val="28"/>
          <w:rtl/>
        </w:rPr>
        <w:t xml:space="preserve">رازي ، احمد بن علي -جصاص ، احمد بن</w:t>
      </w:r>
    </w:p>
    <w:p>
      <w:pPr>
        <w:pStyle w:val="BookText"/>
      </w:pPr>
      <w:r>
        <w:rPr>
          <w:rFonts w:ascii="Amiri" w:hAnsi="Amiri" w:eastAsia="Amiri" w:cs="Amiri"/>
          <w:lang w:bidi="ar-SA"/>
          <w:color w:val="111111"/>
          <w:sz w:val="28"/>
          <w:szCs w:val="28"/>
          <w:rtl/>
        </w:rPr>
        <w:t xml:space="preserve">علي</w:t>
      </w:r>
    </w:p>
    <w:p>
      <w:pPr>
        <w:pStyle w:val="Heading2"/>
      </w:pPr>
      <w:bookmarkStart w:id="4428" w:name="_Toc3530"/>
      <w:r>
        <w:t>رازي، احمد بن فارس، 326 - 395 ؟ ه-</w:t>
      </w:r>
      <w:bookmarkEnd w:id="4428"/>
    </w:p>
    <w:p>
      <w:pPr>
        <w:pStyle w:val="BookText"/>
      </w:pPr>
      <w:r>
        <w:rPr>
          <w:rFonts w:ascii="Amiri" w:hAnsi="Amiri" w:eastAsia="Amiri" w:cs="Amiri"/>
          <w:lang w:bidi="ar-SA"/>
          <w:color w:val="111111"/>
          <w:sz w:val="28"/>
          <w:szCs w:val="28"/>
          <w:rtl/>
        </w:rPr>
        <w:t xml:space="preserve">1 .الاتباع و المزاوجة، ج 1، ص 121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تمام الفصيح، ج 4، ص 874.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خلق الانسان = تعريف اعضاء</w:t>
      </w:r>
    </w:p>
    <w:p>
      <w:pPr>
        <w:pStyle w:val="BookText"/>
      </w:pPr>
      <w:r>
        <w:rPr>
          <w:rFonts w:ascii="IRNazanin" w:hAnsi="IRNazanin" w:eastAsia="IRNazanin" w:cs="IRNazanin"/>
          <w:lang w:bidi="fa-IR"/>
          <w:color w:val="111111"/>
          <w:sz w:val="28"/>
          <w:szCs w:val="28"/>
          <w:rtl/>
        </w:rPr>
        <w:t xml:space="preserve">الانسان، ج 7، ص 151.</w:t>
      </w:r>
    </w:p>
    <w:p>
      <w:pPr>
        <w:pStyle w:val="BookText"/>
      </w:pPr>
      <w:r>
        <w:rPr>
          <w:rFonts w:ascii="Amiri" w:hAnsi="Amiri" w:eastAsia="Amiri" w:cs="Amiri"/>
          <w:lang w:bidi="ar-SA"/>
          <w:color w:val="111111"/>
          <w:sz w:val="28"/>
          <w:szCs w:val="28"/>
          <w:rtl/>
        </w:rPr>
        <w:t xml:space="preserve">4 .ذم الخطأ في الشعر، ج 7، ص 864.</w:t>
      </w:r>
    </w:p>
    <w:p>
      <w:pPr>
        <w:pStyle w:val="BookText"/>
      </w:pPr>
      <w:r>
        <w:rPr>
          <w:rFonts w:ascii="Amiri" w:hAnsi="Amiri" w:eastAsia="Amiri" w:cs="Amiri"/>
          <w:lang w:bidi="ar-SA"/>
          <w:color w:val="111111"/>
          <w:sz w:val="28"/>
          <w:szCs w:val="28"/>
          <w:rtl/>
        </w:rPr>
        <w:t xml:space="preserve">5 .فقيه العرب، ج 12، ص118.</w:t>
      </w:r>
    </w:p>
    <w:p>
      <w:pPr>
        <w:pStyle w:val="BookText"/>
      </w:pPr>
      <w:r>
        <w:rPr>
          <w:rFonts w:ascii="Amiri" w:hAnsi="Amiri" w:eastAsia="Amiri" w:cs="Amiri"/>
          <w:lang w:bidi="ar-SA"/>
          <w:color w:val="111111"/>
          <w:sz w:val="28"/>
          <w:szCs w:val="28"/>
          <w:rtl/>
        </w:rPr>
        <w:t xml:space="preserve">6 .قصص النهار و سمر الليل، ج 12،</w:t>
      </w:r>
    </w:p>
    <w:p>
      <w:pPr>
        <w:pStyle w:val="BookText"/>
      </w:pPr>
      <w:r>
        <w:rPr>
          <w:rFonts w:ascii="IRNazanin" w:hAnsi="IRNazanin" w:eastAsia="IRNazanin" w:cs="IRNazanin"/>
          <w:lang w:bidi="fa-IR"/>
          <w:color w:val="111111"/>
          <w:sz w:val="28"/>
          <w:szCs w:val="28"/>
          <w:rtl/>
        </w:rPr>
        <w:t xml:space="preserve">ص 631.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2" w:name="pg7742_70399"/>
    <w:bookmarkEnd w:id="502"/>
    <w:p>
      <w:pPr>
        <w:pStyle w:val="BookText"/>
      </w:pPr>
      <w:r>
        <w:rPr>
          <w:rFonts w:ascii="Amiri" w:hAnsi="Amiri" w:eastAsia="Amiri" w:cs="Amiri"/>
          <w:lang w:bidi="ar-SA"/>
          <w:color w:val="111111"/>
          <w:sz w:val="28"/>
          <w:szCs w:val="28"/>
          <w:rtl/>
        </w:rPr>
        <w:t xml:space="preserve">7 .متخير الالفاظ، ج 13 ، ص 747 .</w:t>
      </w:r>
    </w:p>
    <w:p>
      <w:pPr>
        <w:pStyle w:val="BookText"/>
      </w:pPr>
      <w:r>
        <w:rPr>
          <w:rFonts w:ascii="Amiri" w:hAnsi="Amiri" w:eastAsia="Amiri" w:cs="Amiri"/>
          <w:lang w:bidi="ar-SA"/>
          <w:color w:val="111111"/>
          <w:sz w:val="28"/>
          <w:szCs w:val="28"/>
          <w:rtl/>
        </w:rPr>
        <w:t xml:space="preserve">8 .مجمل اللغة، ج 13، ص 867.</w:t>
      </w:r>
    </w:p>
    <w:p>
      <w:pPr>
        <w:pStyle w:val="BookText"/>
      </w:pPr>
      <w:r>
        <w:rPr>
          <w:rFonts w:ascii="IRNazanin" w:hAnsi="IRNazanin" w:eastAsia="IRNazanin" w:cs="IRNazanin"/>
          <w:lang w:bidi="fa-IR"/>
          <w:color w:val="111111"/>
          <w:sz w:val="28"/>
          <w:szCs w:val="28"/>
          <w:rtl/>
        </w:rPr>
        <w:t xml:space="preserve">9 .مختصر سیر رسول الله (ص) = السيرة النبوية (مختصر)، ج 14،</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10 .المعاريض (رسالة في)، ج 14،</w:t>
      </w:r>
    </w:p>
    <w:p>
      <w:pPr>
        <w:pStyle w:val="BookText"/>
      </w:pPr>
      <w:r>
        <w:rPr>
          <w:rFonts w:ascii="IRNazanin" w:hAnsi="IRNazanin" w:eastAsia="IRNazanin" w:cs="IRNazanin"/>
          <w:lang w:bidi="fa-IR"/>
          <w:color w:val="111111"/>
          <w:sz w:val="28"/>
          <w:szCs w:val="28"/>
          <w:rtl/>
        </w:rPr>
        <w:t xml:space="preserve">ص 850.</w:t>
      </w:r>
    </w:p>
    <w:p>
      <w:pPr>
        <w:pStyle w:val="BookText"/>
      </w:pPr>
      <w:r>
        <w:rPr>
          <w:rFonts w:ascii="Amiri" w:hAnsi="Amiri" w:eastAsia="Amiri" w:cs="Amiri"/>
          <w:lang w:bidi="ar-SA"/>
          <w:color w:val="111111"/>
          <w:sz w:val="28"/>
          <w:szCs w:val="28"/>
          <w:rtl/>
        </w:rPr>
        <w:t xml:space="preserve">11 .مقائيس اللغة، ج 15 ، ص 262.</w:t>
      </w:r>
    </w:p>
    <w:p>
      <w:pPr>
        <w:pStyle w:val="Heading2"/>
      </w:pPr>
      <w:bookmarkStart w:id="4429" w:name="_Toc3531"/>
      <w:r>
        <w:t>رازي ، اشرف بن محمّد قرن 11 ه-</w:t>
      </w:r>
      <w:bookmarkEnd w:id="4429"/>
    </w:p>
    <w:p>
      <w:pPr>
        <w:pStyle w:val="BookText"/>
      </w:pPr>
      <w:r>
        <w:rPr>
          <w:rFonts w:ascii="Amiri" w:hAnsi="Amiri" w:eastAsia="Amiri" w:cs="Amiri"/>
          <w:lang w:bidi="ar-SA"/>
          <w:color w:val="111111"/>
          <w:sz w:val="28"/>
          <w:szCs w:val="28"/>
          <w:rtl/>
        </w:rPr>
        <w:t xml:space="preserve">حقايق الحدائق، ج 6، ص 686 .</w:t>
      </w:r>
    </w:p>
    <w:p>
      <w:pPr>
        <w:pStyle w:val="BookText"/>
      </w:pPr>
      <w:r>
        <w:rPr>
          <w:rFonts w:ascii="Amiri" w:hAnsi="Amiri" w:eastAsia="Amiri" w:cs="Amiri"/>
          <w:lang w:bidi="ar-SA"/>
          <w:color w:val="111111"/>
          <w:sz w:val="28"/>
          <w:szCs w:val="28"/>
          <w:rtl/>
        </w:rPr>
        <w:t xml:space="preserve">رازي اصفهاني ، محمّد تقي- اصفهاني ،</w:t>
      </w:r>
    </w:p>
    <w:p>
      <w:pPr>
        <w:pStyle w:val="BookText"/>
      </w:pPr>
      <w:r>
        <w:rPr>
          <w:rFonts w:ascii="Amiri" w:hAnsi="Amiri" w:eastAsia="Amiri" w:cs="Amiri"/>
          <w:lang w:bidi="ar-SA"/>
          <w:color w:val="111111"/>
          <w:sz w:val="28"/>
          <w:szCs w:val="28"/>
          <w:rtl/>
        </w:rPr>
        <w:t xml:space="preserve">محمّد تقي بن عبد الرحيم</w:t>
      </w:r>
    </w:p>
    <w:p>
      <w:pPr>
        <w:pStyle w:val="BookText"/>
      </w:pPr>
      <w:r>
        <w:rPr>
          <w:rFonts w:ascii="Amiri" w:hAnsi="Amiri" w:eastAsia="Amiri" w:cs="Amiri"/>
          <w:lang w:bidi="ar-SA"/>
          <w:color w:val="111111"/>
          <w:sz w:val="28"/>
          <w:szCs w:val="28"/>
          <w:rtl/>
        </w:rPr>
        <w:t xml:space="preserve">رازي تحتاني ، محمّد بن محمّد- قطب</w:t>
      </w:r>
    </w:p>
    <w:p>
      <w:pPr>
        <w:pStyle w:val="BookText"/>
      </w:pPr>
      <w:r>
        <w:rPr>
          <w:rFonts w:ascii="Amiri" w:hAnsi="Amiri" w:eastAsia="Amiri" w:cs="Amiri"/>
          <w:lang w:bidi="ar-SA"/>
          <w:color w:val="111111"/>
          <w:sz w:val="28"/>
          <w:szCs w:val="28"/>
          <w:rtl/>
        </w:rPr>
        <w:t xml:space="preserve">الدين رازي ، محمّد بن محمّد</w:t>
      </w:r>
    </w:p>
    <w:p>
      <w:pPr>
        <w:pStyle w:val="BookText"/>
      </w:pPr>
      <w:r>
        <w:rPr>
          <w:rFonts w:ascii="Amiri" w:hAnsi="Amiri" w:eastAsia="Amiri" w:cs="Amiri"/>
          <w:lang w:bidi="ar-SA"/>
          <w:color w:val="111111"/>
          <w:sz w:val="28"/>
          <w:szCs w:val="28"/>
          <w:rtl/>
        </w:rPr>
        <w:t xml:space="preserve">رازي ترشتي ، بهاء الدوله -نوربخش</w:t>
      </w:r>
    </w:p>
    <w:p>
      <w:pPr>
        <w:pStyle w:val="BookText"/>
      </w:pPr>
      <w:r>
        <w:rPr>
          <w:rFonts w:ascii="IRNazanin" w:hAnsi="IRNazanin" w:eastAsia="IRNazanin" w:cs="IRNazanin"/>
          <w:lang w:bidi="fa-IR"/>
          <w:color w:val="111111"/>
          <w:sz w:val="28"/>
          <w:szCs w:val="28"/>
          <w:rtl/>
        </w:rPr>
        <w:t xml:space="preserve">حسن بن قاسم</w:t>
      </w:r>
    </w:p>
    <w:p>
      <w:pPr>
        <w:pStyle w:val="BookText"/>
      </w:pPr>
      <w:r>
        <w:rPr>
          <w:rFonts w:ascii="Amiri" w:hAnsi="Amiri" w:eastAsia="Amiri" w:cs="Amiri"/>
          <w:lang w:bidi="ar-SA"/>
          <w:color w:val="111111"/>
          <w:sz w:val="28"/>
          <w:szCs w:val="28"/>
          <w:rtl/>
        </w:rPr>
        <w:t xml:space="preserve">رازي ، تمام بن محمّد -بجلي رازي ، تمام</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رازي تهراني ، علي بن خليل- تهراني ، علي</w:t>
      </w:r>
    </w:p>
    <w:p>
      <w:pPr>
        <w:pStyle w:val="BookText"/>
      </w:pPr>
      <w:r>
        <w:rPr>
          <w:rFonts w:ascii="Amiri" w:hAnsi="Amiri" w:eastAsia="Amiri" w:cs="Amiri"/>
          <w:lang w:bidi="ar-SA"/>
          <w:color w:val="111111"/>
          <w:sz w:val="28"/>
          <w:szCs w:val="28"/>
          <w:rtl/>
        </w:rPr>
        <w:t xml:space="preserve">بن خليل</w:t>
      </w:r>
    </w:p>
    <w:p>
      <w:pPr>
        <w:pStyle w:val="BookText"/>
      </w:pPr>
      <w:r>
        <w:rPr>
          <w:rFonts w:ascii="Amiri" w:hAnsi="Amiri" w:eastAsia="Amiri" w:cs="Amiri"/>
          <w:lang w:bidi="ar-SA"/>
          <w:color w:val="111111"/>
          <w:sz w:val="28"/>
          <w:szCs w:val="28"/>
          <w:rtl/>
        </w:rPr>
        <w:t xml:space="preserve">رازي تهراني ، قوام الدين محمّد- تهراني</w:t>
      </w:r>
    </w:p>
    <w:p>
      <w:pPr>
        <w:pStyle w:val="BookText"/>
      </w:pPr>
      <w:r>
        <w:rPr>
          <w:rFonts w:ascii="Amiri" w:hAnsi="Amiri" w:eastAsia="Amiri" w:cs="Amiri"/>
          <w:lang w:bidi="ar-SA"/>
          <w:color w:val="111111"/>
          <w:sz w:val="28"/>
          <w:szCs w:val="28"/>
          <w:rtl/>
        </w:rPr>
        <w:t xml:space="preserve">رازي، قوام الدين محمّد</w:t>
      </w:r>
    </w:p>
    <w:p>
      <w:pPr>
        <w:pStyle w:val="BookText"/>
      </w:pPr>
      <w:r>
        <w:rPr>
          <w:rFonts w:ascii="Amiri" w:hAnsi="Amiri" w:eastAsia="Amiri" w:cs="Amiri"/>
          <w:lang w:bidi="ar-SA"/>
          <w:color w:val="111111"/>
          <w:sz w:val="28"/>
          <w:szCs w:val="28"/>
          <w:rtl/>
        </w:rPr>
        <w:t xml:space="preserve">رازي تهراني ، محمّد تقي بن عبد الرحيم- اصفهاني ، محمّد تقي بن عبد الرحيم</w:t>
      </w:r>
    </w:p>
    <w:p>
      <w:pPr>
        <w:pStyle w:val="BookText"/>
      </w:pPr>
      <w:r>
        <w:rPr>
          <w:rFonts w:ascii="Amiri" w:hAnsi="Amiri" w:eastAsia="Amiri" w:cs="Amiri"/>
          <w:lang w:bidi="ar-SA"/>
          <w:color w:val="111111"/>
          <w:sz w:val="28"/>
          <w:szCs w:val="28"/>
          <w:rtl/>
        </w:rPr>
        <w:t xml:space="preserve">رازي ، حسين بن علي -ابوالفتوح رازي ،</w:t>
      </w:r>
    </w:p>
    <w:p>
      <w:pPr>
        <w:pStyle w:val="BookText"/>
      </w:pPr>
      <w:r>
        <w:rPr>
          <w:rFonts w:ascii="Amiri" w:hAnsi="Amiri" w:eastAsia="Amiri" w:cs="Amiri"/>
          <w:lang w:bidi="ar-SA"/>
          <w:color w:val="111111"/>
          <w:sz w:val="28"/>
          <w:szCs w:val="28"/>
          <w:rtl/>
        </w:rPr>
        <w:t xml:space="preserve">حسين بن علي</w:t>
      </w:r>
    </w:p>
    <w:p>
      <w:pPr>
        <w:pStyle w:val="Heading2"/>
      </w:pPr>
      <w:bookmarkStart w:id="4430" w:name="_Toc3532"/>
      <w:r>
        <w:t>رازي، خضر بن محمّد - 850 ه-</w:t>
      </w:r>
      <w:bookmarkEnd w:id="4430"/>
    </w:p>
    <w:p>
      <w:pPr>
        <w:pStyle w:val="BookText"/>
      </w:pPr>
      <w:r>
        <w:rPr>
          <w:rFonts w:ascii="Amiri" w:hAnsi="Amiri" w:eastAsia="Amiri" w:cs="Amiri"/>
          <w:lang w:bidi="ar-SA"/>
          <w:color w:val="111111"/>
          <w:sz w:val="28"/>
          <w:szCs w:val="28"/>
          <w:rtl/>
        </w:rPr>
        <w:t xml:space="preserve">1 .التوضيح الانور بالحجج الواردة لدفع شبه الاعور، ج 5، ص 171.</w:t>
      </w:r>
    </w:p>
    <w:p>
      <w:pPr>
        <w:pStyle w:val="BookText"/>
      </w:pPr>
      <w:r>
        <w:rPr>
          <w:rFonts w:ascii="Amiri" w:hAnsi="Amiri" w:eastAsia="Amiri" w:cs="Amiri"/>
          <w:lang w:bidi="ar-SA"/>
          <w:color w:val="111111"/>
          <w:sz w:val="28"/>
          <w:szCs w:val="28"/>
          <w:rtl/>
        </w:rPr>
        <w:t xml:space="preserve">2 .جامع الاصول في شرح الفصول، ج5،</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جامع الدقايق، ج 5، ص 265.</w:t>
      </w:r>
    </w:p>
    <w:p>
      <w:pPr>
        <w:pStyle w:val="BookText"/>
      </w:pPr>
      <w:r>
        <w:rPr>
          <w:rFonts w:ascii="Amiri" w:hAnsi="Amiri" w:eastAsia="Amiri" w:cs="Amiri"/>
          <w:lang w:bidi="ar-SA"/>
          <w:color w:val="111111"/>
          <w:sz w:val="28"/>
          <w:szCs w:val="28"/>
          <w:rtl/>
        </w:rPr>
        <w:t xml:space="preserve">4 .كاشف الحقائق في شرح الدرة</w:t>
      </w:r>
    </w:p>
    <w:p>
      <w:pPr>
        <w:pStyle w:val="BookText"/>
      </w:pPr>
      <w:r>
        <w:rPr>
          <w:rFonts w:ascii="IRNazanin" w:hAnsi="IRNazanin" w:eastAsia="IRNazanin" w:cs="IRNazanin"/>
          <w:lang w:bidi="fa-IR"/>
          <w:color w:val="111111"/>
          <w:sz w:val="28"/>
          <w:szCs w:val="28"/>
          <w:rtl/>
        </w:rPr>
        <w:t xml:space="preserve">ج 13، ص 8.</w:t>
      </w:r>
    </w:p>
    <w:p>
      <w:pPr>
        <w:pStyle w:val="BookText"/>
      </w:pPr>
      <w:r>
        <w:rPr>
          <w:rFonts w:ascii="Amiri" w:hAnsi="Amiri" w:eastAsia="Amiri" w:cs="Amiri"/>
          <w:lang w:bidi="ar-SA"/>
          <w:color w:val="111111"/>
          <w:sz w:val="28"/>
          <w:szCs w:val="28"/>
          <w:rtl/>
        </w:rPr>
        <w:t xml:space="preserve">5 .مفتاح الغرر لفتح الباب الحادي عشر = منتخب جامع الدرر، ج 15</w:t>
      </w:r>
    </w:p>
    <w:p>
      <w:pPr>
        <w:pStyle w:val="BookText"/>
      </w:pPr>
      <w:r>
        <w:rPr>
          <w:rFonts w:ascii="IRNazanin" w:hAnsi="IRNazanin" w:eastAsia="IRNazanin" w:cs="IRNazanin"/>
          <w:lang w:bidi="fa-IR"/>
          <w:color w:val="111111"/>
          <w:sz w:val="28"/>
          <w:szCs w:val="28"/>
          <w:rtl/>
        </w:rPr>
        <w:t xml:space="preserve">ص 207.</w:t>
      </w:r>
    </w:p>
    <w:p>
      <w:pPr>
        <w:pStyle w:val="BookText"/>
      </w:pPr>
      <w:r>
        <w:rPr>
          <w:rFonts w:ascii="Amiri" w:hAnsi="Amiri" w:eastAsia="Amiri" w:cs="Amiri"/>
          <w:lang w:bidi="ar-SA"/>
          <w:color w:val="111111"/>
          <w:sz w:val="28"/>
          <w:szCs w:val="28"/>
          <w:rtl/>
        </w:rPr>
        <w:t xml:space="preserve">رازي دولابي ، محمّد بن احمد- دولابي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رازي، سديد الدين محمود بن علي- حمصي رازي ، محمود بن علي</w:t>
      </w:r>
    </w:p>
    <w:p>
      <w:pPr>
        <w:pStyle w:val="BookText"/>
      </w:pPr>
      <w:r>
        <w:rPr>
          <w:rFonts w:ascii="Amiri" w:hAnsi="Amiri" w:eastAsia="Amiri" w:cs="Amiri"/>
          <w:lang w:bidi="ar-SA"/>
          <w:color w:val="111111"/>
          <w:sz w:val="28"/>
          <w:szCs w:val="28"/>
          <w:rtl/>
        </w:rPr>
        <w:t xml:space="preserve">رازي سعيدي علي بن جعفر -حذاء ، علي</w:t>
      </w:r>
    </w:p>
    <w:p>
      <w:pPr>
        <w:pStyle w:val="BookText"/>
      </w:pPr>
      <w:r>
        <w:rPr>
          <w:rFonts w:ascii="IRNazanin" w:hAnsi="IRNazanin" w:eastAsia="IRNazanin" w:cs="IRNazanin"/>
          <w:lang w:bidi="fa-IR"/>
          <w:color w:val="111111"/>
          <w:sz w:val="28"/>
          <w:szCs w:val="28"/>
          <w:rtl/>
        </w:rPr>
        <w:t xml:space="preserve">بن جعفر</w:t>
      </w:r>
    </w:p>
    <w:p>
      <w:pPr>
        <w:pStyle w:val="Heading2"/>
      </w:pPr>
      <w:bookmarkStart w:id="4431" w:name="_Toc3533"/>
      <w:r>
        <w:t>رازي ، سليم بن ايوب - 448 ه-</w:t>
      </w:r>
      <w:bookmarkEnd w:id="4431"/>
    </w:p>
    <w:p>
      <w:pPr>
        <w:pStyle w:val="BookText"/>
      </w:pPr>
      <w:r>
        <w:rPr>
          <w:rFonts w:ascii="Amiri" w:hAnsi="Amiri" w:eastAsia="Amiri" w:cs="Amiri"/>
          <w:lang w:bidi="ar-SA"/>
          <w:color w:val="111111"/>
          <w:sz w:val="28"/>
          <w:szCs w:val="28"/>
          <w:rtl/>
        </w:rPr>
        <w:t xml:space="preserve">ضياء القلوب - تفسير الرازي، ج 10،</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IRNazanin" w:hAnsi="IRNazanin" w:eastAsia="IRNazanin" w:cs="IRNazanin"/>
          <w:lang w:bidi="fa-IR"/>
          <w:color w:val="111111"/>
          <w:sz w:val="28"/>
          <w:szCs w:val="28"/>
          <w:rtl/>
        </w:rPr>
        <w:t xml:space="preserve">رازی ، شاه بهاءالدوله بن میر</w:t>
      </w:r>
    </w:p>
    <w:p>
      <w:pPr>
        <w:pStyle w:val="BookText"/>
      </w:pPr>
      <w:r>
        <w:rPr>
          <w:rFonts w:ascii="IRNazanin" w:hAnsi="IRNazanin" w:eastAsia="IRNazanin" w:cs="IRNazanin"/>
          <w:lang w:bidi="fa-IR"/>
          <w:color w:val="111111"/>
          <w:sz w:val="28"/>
          <w:szCs w:val="28"/>
          <w:rtl/>
        </w:rPr>
        <w:t xml:space="preserve">قوام -نوربخش ، حسن بن قاسم</w:t>
      </w:r>
    </w:p>
    <w:p>
      <w:pPr>
        <w:pStyle w:val="Heading2"/>
      </w:pPr>
      <w:bookmarkStart w:id="4432" w:name="_Toc3534"/>
      <w:r>
        <w:t>رازي صنعاني احمد بن عبدالله قرن 5 ه-</w:t>
      </w:r>
      <w:bookmarkEnd w:id="4432"/>
    </w:p>
    <w:p>
      <w:pPr>
        <w:pStyle w:val="BookText"/>
      </w:pPr>
      <w:r>
        <w:rPr>
          <w:rFonts w:ascii="Amiri" w:hAnsi="Amiri" w:eastAsia="Amiri" w:cs="Amiri"/>
          <w:lang w:bidi="ar-SA"/>
          <w:color w:val="111111"/>
          <w:sz w:val="28"/>
          <w:szCs w:val="28"/>
          <w:rtl/>
        </w:rPr>
        <w:t xml:space="preserve">تاريخ صنعاء و اليمن - تاريخ الرازي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صنعاء من تاريخ اليمن، ج3،</w:t>
      </w:r>
    </w:p>
    <w:p>
      <w:pPr>
        <w:pStyle w:val="BookText"/>
      </w:pPr>
      <w:r>
        <w:rPr>
          <w:rFonts w:ascii="IRNazanin" w:hAnsi="IRNazanin" w:eastAsia="IRNazanin" w:cs="IRNazanin"/>
          <w:lang w:bidi="fa-IR"/>
          <w:color w:val="111111"/>
          <w:sz w:val="28"/>
          <w:szCs w:val="28"/>
          <w:rtl/>
        </w:rPr>
        <w:t xml:space="preserve">ص 580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3" w:name="pg7742_70401"/>
    <w:bookmarkEnd w:id="503"/>
    <w:p>
      <w:pPr>
        <w:pStyle w:val="BookText"/>
      </w:pPr>
      <w:r>
        <w:rPr>
          <w:rFonts w:ascii="Amiri" w:hAnsi="Amiri" w:eastAsia="Amiri" w:cs="Amiri"/>
          <w:lang w:bidi="ar-SA"/>
          <w:color w:val="111111"/>
          <w:sz w:val="28"/>
          <w:szCs w:val="28"/>
          <w:rtl/>
        </w:rPr>
        <w:t xml:space="preserve">رازي صوفي ، عبدالرحمن -صوفي ،</w:t>
      </w:r>
    </w:p>
    <w:p>
      <w:pPr>
        <w:pStyle w:val="BookText"/>
      </w:pPr>
      <w:r>
        <w:rPr>
          <w:rFonts w:ascii="IRNazanin" w:hAnsi="IRNazanin" w:eastAsia="IRNazanin" w:cs="IRNazanin"/>
          <w:lang w:bidi="fa-IR"/>
          <w:color w:val="111111"/>
          <w:sz w:val="28"/>
          <w:szCs w:val="28"/>
          <w:rtl/>
        </w:rPr>
        <w:t xml:space="preserve">عبد الرحمن بن عمر</w:t>
      </w:r>
    </w:p>
    <w:p>
      <w:pPr>
        <w:pStyle w:val="BookText"/>
      </w:pPr>
      <w:r>
        <w:rPr>
          <w:rFonts w:ascii="Amiri" w:hAnsi="Amiri" w:eastAsia="Amiri" w:cs="Amiri"/>
          <w:lang w:bidi="ar-SA"/>
          <w:color w:val="111111"/>
          <w:sz w:val="28"/>
          <w:szCs w:val="28"/>
          <w:rtl/>
        </w:rPr>
        <w:t xml:space="preserve">رازي ، عبدالرحمن بن محمّد- ابن ابي</w:t>
      </w:r>
    </w:p>
    <w:p>
      <w:pPr>
        <w:pStyle w:val="BookText"/>
      </w:pPr>
      <w:r>
        <w:rPr>
          <w:rFonts w:ascii="IRNazanin" w:hAnsi="IRNazanin" w:eastAsia="IRNazanin" w:cs="IRNazanin"/>
          <w:lang w:bidi="fa-IR"/>
          <w:color w:val="111111"/>
          <w:sz w:val="28"/>
          <w:szCs w:val="28"/>
          <w:rtl/>
        </w:rPr>
        <w:t xml:space="preserve">حاتم ، عبدالرحمن بن محمّد</w:t>
      </w:r>
    </w:p>
    <w:p>
      <w:pPr>
        <w:pStyle w:val="BookText"/>
      </w:pPr>
      <w:r>
        <w:rPr>
          <w:rFonts w:ascii="Amiri" w:hAnsi="Amiri" w:eastAsia="Amiri" w:cs="Amiri"/>
          <w:lang w:bidi="ar-SA"/>
          <w:color w:val="111111"/>
          <w:sz w:val="28"/>
          <w:szCs w:val="28"/>
          <w:rtl/>
        </w:rPr>
        <w:t xml:space="preserve">رازي ، عبد العظيم بن محمّد معصوم -عبد العظيم بن محمّد معصوم</w:t>
      </w:r>
    </w:p>
    <w:p>
      <w:pPr>
        <w:pStyle w:val="BookText"/>
      </w:pPr>
      <w:r>
        <w:rPr>
          <w:rFonts w:ascii="Amiri" w:hAnsi="Amiri" w:eastAsia="Amiri" w:cs="Amiri"/>
          <w:lang w:bidi="ar-SA"/>
          <w:color w:val="111111"/>
          <w:sz w:val="28"/>
          <w:szCs w:val="28"/>
          <w:rtl/>
        </w:rPr>
        <w:t xml:space="preserve">رازي ، عبدالله بن محمّد- نجم رازي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رازي ، علي بن احمد- ابن مكي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رازي ، علي بن جعفر -حذاء ، علي بن</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رازي ، علي بن حسين- ابن هندو ، علي</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رازي، علي بن خليل- تهراني ، علي بن</w:t>
      </w:r>
    </w:p>
    <w:p>
      <w:pPr>
        <w:pStyle w:val="BookText"/>
      </w:pPr>
      <w:r>
        <w:rPr>
          <w:rFonts w:ascii="Amiri" w:hAnsi="Amiri" w:eastAsia="Amiri" w:cs="Amiri"/>
          <w:lang w:bidi="ar-SA"/>
          <w:color w:val="111111"/>
          <w:sz w:val="28"/>
          <w:szCs w:val="28"/>
          <w:rtl/>
        </w:rPr>
        <w:t xml:space="preserve">خليل</w:t>
      </w:r>
    </w:p>
    <w:p>
      <w:pPr>
        <w:pStyle w:val="BookText"/>
      </w:pPr>
      <w:r>
        <w:rPr>
          <w:rFonts w:ascii="Amiri" w:hAnsi="Amiri" w:eastAsia="Amiri" w:cs="Amiri"/>
          <w:lang w:bidi="ar-SA"/>
          <w:color w:val="111111"/>
          <w:sz w:val="28"/>
          <w:szCs w:val="28"/>
          <w:rtl/>
        </w:rPr>
        <w:t xml:space="preserve">رازي ، علي بن عبيد الله -منتجب الدين</w:t>
      </w:r>
    </w:p>
    <w:p>
      <w:pPr>
        <w:pStyle w:val="BookText"/>
      </w:pPr>
      <w:r>
        <w:rPr>
          <w:rFonts w:ascii="Amiri" w:hAnsi="Amiri" w:eastAsia="Amiri" w:cs="Amiri"/>
          <w:lang w:bidi="ar-SA"/>
          <w:color w:val="111111"/>
          <w:sz w:val="28"/>
          <w:szCs w:val="28"/>
          <w:rtl/>
        </w:rPr>
        <w:t xml:space="preserve">رازي ، علي بن عبيد الله</w:t>
      </w:r>
    </w:p>
    <w:p>
      <w:pPr>
        <w:pStyle w:val="BookText"/>
      </w:pPr>
      <w:r>
        <w:rPr>
          <w:rFonts w:ascii="Amiri" w:hAnsi="Amiri" w:eastAsia="Amiri" w:cs="Amiri"/>
          <w:lang w:bidi="ar-SA"/>
          <w:color w:val="111111"/>
          <w:sz w:val="28"/>
          <w:szCs w:val="28"/>
          <w:rtl/>
        </w:rPr>
        <w:t xml:space="preserve">رازي قصراني ، يعقوب بن علي - قصراني ،</w:t>
      </w:r>
    </w:p>
    <w:p>
      <w:pPr>
        <w:pStyle w:val="BookText"/>
      </w:pPr>
      <w:r>
        <w:rPr>
          <w:rFonts w:ascii="Amiri" w:hAnsi="Amiri" w:eastAsia="Amiri" w:cs="Amiri"/>
          <w:lang w:bidi="ar-SA"/>
          <w:color w:val="111111"/>
          <w:sz w:val="28"/>
          <w:szCs w:val="28"/>
          <w:rtl/>
        </w:rPr>
        <w:t xml:space="preserve">يعقوب بن علي</w:t>
      </w:r>
    </w:p>
    <w:p>
      <w:pPr>
        <w:pStyle w:val="BookText"/>
      </w:pPr>
      <w:r>
        <w:rPr>
          <w:rFonts w:ascii="Amiri" w:hAnsi="Amiri" w:eastAsia="Amiri" w:cs="Amiri"/>
          <w:lang w:bidi="ar-SA"/>
          <w:color w:val="111111"/>
          <w:sz w:val="28"/>
          <w:szCs w:val="28"/>
          <w:rtl/>
        </w:rPr>
        <w:t xml:space="preserve">رازي ، قطب الدين محمّد بن محمّد- قطب الدين رازي ، محمّد بن محمّد</w:t>
      </w:r>
    </w:p>
    <w:p>
      <w:pPr>
        <w:pStyle w:val="BookText"/>
      </w:pPr>
      <w:r>
        <w:rPr>
          <w:rFonts w:ascii="Amiri" w:hAnsi="Amiri" w:eastAsia="Amiri" w:cs="Amiri"/>
          <w:lang w:bidi="ar-SA"/>
          <w:color w:val="111111"/>
          <w:sz w:val="28"/>
          <w:szCs w:val="28"/>
          <w:rtl/>
        </w:rPr>
        <w:t xml:space="preserve">رازي ، قوام الدين محمّد- تهراني رازي ،</w:t>
      </w:r>
    </w:p>
    <w:p>
      <w:pPr>
        <w:pStyle w:val="BookText"/>
      </w:pPr>
      <w:r>
        <w:rPr>
          <w:rFonts w:ascii="IRNazanin" w:hAnsi="IRNazanin" w:eastAsia="IRNazanin" w:cs="IRNazanin"/>
          <w:lang w:bidi="fa-IR"/>
          <w:color w:val="111111"/>
          <w:sz w:val="28"/>
          <w:szCs w:val="28"/>
          <w:rtl/>
        </w:rPr>
        <w:t xml:space="preserve">قوام الدین محمّد</w:t>
      </w:r>
    </w:p>
    <w:p>
      <w:pPr>
        <w:pStyle w:val="BookText"/>
      </w:pPr>
      <w:r>
        <w:rPr>
          <w:rFonts w:ascii="Amiri" w:hAnsi="Amiri" w:eastAsia="Amiri" w:cs="Amiri"/>
          <w:lang w:bidi="ar-SA"/>
          <w:color w:val="111111"/>
          <w:sz w:val="28"/>
          <w:szCs w:val="28"/>
          <w:rtl/>
        </w:rPr>
        <w:t xml:space="preserve">رازي ، محمّد بن ابي بكر -زين الدين</w:t>
      </w:r>
    </w:p>
    <w:p>
      <w:pPr>
        <w:pStyle w:val="BookText"/>
      </w:pPr>
      <w:r>
        <w:rPr>
          <w:rFonts w:ascii="Amiri" w:hAnsi="Amiri" w:eastAsia="Amiri" w:cs="Amiri"/>
          <w:lang w:bidi="ar-SA"/>
          <w:color w:val="111111"/>
          <w:sz w:val="28"/>
          <w:szCs w:val="28"/>
          <w:rtl/>
        </w:rPr>
        <w:t xml:space="preserve">الرازي ، محمّد بن ابي بكر</w:t>
      </w:r>
    </w:p>
    <w:p>
      <w:pPr>
        <w:pStyle w:val="Heading2"/>
      </w:pPr>
      <w:bookmarkStart w:id="4433" w:name="_Toc3535"/>
      <w:r>
        <w:t>رازي ، محمّد بن احمد قرن 5 ه-</w:t>
      </w:r>
      <w:bookmarkEnd w:id="4433"/>
    </w:p>
    <w:p>
      <w:pPr>
        <w:pStyle w:val="BookText"/>
      </w:pPr>
      <w:r>
        <w:rPr>
          <w:rFonts w:ascii="Amiri" w:hAnsi="Amiri" w:eastAsia="Amiri" w:cs="Amiri"/>
          <w:lang w:bidi="ar-SA"/>
          <w:color w:val="111111"/>
          <w:sz w:val="28"/>
          <w:szCs w:val="28"/>
          <w:rtl/>
        </w:rPr>
        <w:t xml:space="preserve">مشيخة الرازي، ج 14 ، ص 654 .</w:t>
      </w:r>
    </w:p>
    <w:p>
      <w:pPr>
        <w:pStyle w:val="Heading2"/>
      </w:pPr>
      <w:bookmarkStart w:id="4434" w:name="_Toc3536"/>
      <w:r>
        <w:t>رازي ، محمّد بن ادريس، 195 - 277 ه-</w:t>
      </w:r>
      <w:bookmarkEnd w:id="4434"/>
    </w:p>
    <w:p>
      <w:pPr>
        <w:pStyle w:val="BookText"/>
      </w:pPr>
      <w:r>
        <w:rPr>
          <w:rFonts w:ascii="Amiri" w:hAnsi="Amiri" w:eastAsia="Amiri" w:cs="Amiri"/>
          <w:lang w:bidi="ar-SA"/>
          <w:color w:val="111111"/>
          <w:sz w:val="28"/>
          <w:szCs w:val="28"/>
          <w:rtl/>
        </w:rPr>
        <w:t xml:space="preserve">1 .الزهد = كتاب الزهد، ج8، ص 613.</w:t>
      </w:r>
    </w:p>
    <w:p>
      <w:pPr>
        <w:pStyle w:val="BookText"/>
      </w:pPr>
      <w:r>
        <w:rPr>
          <w:rFonts w:ascii="Amiri" w:hAnsi="Amiri" w:eastAsia="Amiri" w:cs="Amiri"/>
          <w:lang w:bidi="ar-SA"/>
          <w:color w:val="111111"/>
          <w:sz w:val="28"/>
          <w:szCs w:val="28"/>
          <w:rtl/>
        </w:rPr>
        <w:t xml:space="preserve">الزينة، ج 8، ص 659.</w:t>
      </w:r>
    </w:p>
    <w:p>
      <w:pPr>
        <w:pStyle w:val="BookText"/>
      </w:pPr>
      <w:r>
        <w:rPr>
          <w:rFonts w:ascii="IRNazanin" w:hAnsi="IRNazanin" w:eastAsia="IRNazanin" w:cs="IRNazanin"/>
          <w:lang w:bidi="fa-IR"/>
          <w:color w:val="111111"/>
          <w:sz w:val="28"/>
          <w:szCs w:val="28"/>
          <w:rtl/>
        </w:rPr>
        <w:t xml:space="preserve">رازي محمّد بن ایوب -ابن ضريس</w:t>
      </w:r>
    </w:p>
    <w:p>
      <w:pPr>
        <w:pStyle w:val="BookText"/>
      </w:pPr>
      <w:r>
        <w:rPr>
          <w:rFonts w:ascii="Amiri" w:hAnsi="Amiri" w:eastAsia="Amiri" w:cs="Amiri"/>
          <w:lang w:bidi="ar-SA"/>
          <w:color w:val="111111"/>
          <w:sz w:val="28"/>
          <w:szCs w:val="28"/>
          <w:rtl/>
        </w:rPr>
        <w:t xml:space="preserve">، محمّد بن ايوب</w:t>
      </w:r>
    </w:p>
    <w:p>
      <w:pPr>
        <w:pStyle w:val="Heading2"/>
      </w:pPr>
      <w:bookmarkStart w:id="4435" w:name="_Toc3537"/>
      <w:r>
        <w:t>رازي ، محمّد بن زكريا، 251 - 313 ه-</w:t>
      </w:r>
      <w:bookmarkEnd w:id="4435"/>
    </w:p>
    <w:p>
      <w:pPr>
        <w:pStyle w:val="BookText"/>
      </w:pPr>
      <w:r>
        <w:rPr>
          <w:rFonts w:ascii="Amiri" w:hAnsi="Amiri" w:eastAsia="Amiri" w:cs="Amiri"/>
          <w:lang w:bidi="ar-SA"/>
          <w:color w:val="111111"/>
          <w:sz w:val="28"/>
          <w:szCs w:val="28"/>
          <w:rtl/>
        </w:rPr>
        <w:t xml:space="preserve">1 .الباه (رسالة في)، ج 3، ص 184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برء الساعة، ج 3، ص299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تقاسيم العلل و علاماتها، ج4،</w:t>
      </w:r>
    </w:p>
    <w:p>
      <w:pPr>
        <w:pStyle w:val="BookText"/>
      </w:pPr>
      <w:r>
        <w:rPr>
          <w:rFonts w:ascii="IRNazanin" w:hAnsi="IRNazanin" w:eastAsia="IRNazanin" w:cs="IRNazanin"/>
          <w:lang w:bidi="fa-IR"/>
          <w:color w:val="111111"/>
          <w:sz w:val="28"/>
          <w:szCs w:val="28"/>
          <w:rtl/>
        </w:rPr>
        <w:t xml:space="preserve">ص 716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جداول الحاوي، ج 5، ص 365 .</w:t>
      </w:r>
    </w:p>
    <w:p>
      <w:pPr>
        <w:pStyle w:val="BookText"/>
      </w:pPr>
      <w:r>
        <w:rPr>
          <w:rFonts w:ascii="Amiri" w:hAnsi="Amiri" w:eastAsia="Amiri" w:cs="Amiri"/>
          <w:lang w:bidi="ar-SA"/>
          <w:color w:val="111111"/>
          <w:sz w:val="28"/>
          <w:szCs w:val="28"/>
          <w:rtl/>
        </w:rPr>
        <w:t xml:space="preserve">5 .الجدري و الحصبة، ج 5، ص 371.</w:t>
      </w:r>
    </w:p>
    <w:p>
      <w:pPr>
        <w:pStyle w:val="BookText"/>
      </w:pPr>
      <w:r>
        <w:rPr>
          <w:rFonts w:ascii="Amiri" w:hAnsi="Amiri" w:eastAsia="Amiri" w:cs="Amiri"/>
          <w:lang w:bidi="ar-SA"/>
          <w:color w:val="111111"/>
          <w:sz w:val="28"/>
          <w:szCs w:val="28"/>
          <w:rtl/>
        </w:rPr>
        <w:t xml:space="preserve">6 .الحاوي في علم التداوي ج6،</w:t>
      </w:r>
    </w:p>
    <w:p>
      <w:pPr>
        <w:pStyle w:val="BookText"/>
      </w:pPr>
      <w:r>
        <w:rPr>
          <w:rFonts w:ascii="IRNazanin" w:hAnsi="IRNazanin" w:eastAsia="IRNazanin" w:cs="IRNazanin"/>
          <w:lang w:bidi="fa-IR"/>
          <w:color w:val="111111"/>
          <w:sz w:val="28"/>
          <w:szCs w:val="28"/>
          <w:rtl/>
        </w:rPr>
        <w:t xml:space="preserve">ص 458.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الحصاة المتولدة في الكلي = الحصي</w:t>
      </w:r>
    </w:p>
    <w:p>
      <w:pPr>
        <w:pStyle w:val="BookText"/>
      </w:pPr>
      <w:r>
        <w:rPr>
          <w:rFonts w:ascii="Amiri" w:hAnsi="Amiri" w:eastAsia="Amiri" w:cs="Amiri"/>
          <w:lang w:bidi="ar-SA"/>
          <w:color w:val="111111"/>
          <w:sz w:val="28"/>
          <w:szCs w:val="28"/>
          <w:rtl/>
        </w:rPr>
        <w:t xml:space="preserve">في الكلي و المثانة، ج 6 ، ص 659.</w:t>
      </w:r>
    </w:p>
    <w:p>
      <w:pPr>
        <w:pStyle w:val="BookText"/>
      </w:pPr>
      <w:r>
        <w:rPr>
          <w:rFonts w:ascii="Amiri" w:hAnsi="Amiri" w:eastAsia="Amiri" w:cs="Amiri"/>
          <w:lang w:bidi="ar-SA"/>
          <w:color w:val="111111"/>
          <w:sz w:val="28"/>
          <w:szCs w:val="28"/>
          <w:rtl/>
        </w:rPr>
        <w:t xml:space="preserve">8 .دفع مضار الاغذية، ج 7، ص 425.</w:t>
      </w:r>
    </w:p>
    <w:p>
      <w:pPr>
        <w:pStyle w:val="BookText"/>
      </w:pPr>
      <w:r>
        <w:rPr>
          <w:rFonts w:ascii="Amiri" w:hAnsi="Amiri" w:eastAsia="Amiri" w:cs="Amiri"/>
          <w:lang w:bidi="ar-SA"/>
          <w:color w:val="111111"/>
          <w:sz w:val="28"/>
          <w:szCs w:val="28"/>
          <w:rtl/>
        </w:rPr>
        <w:t xml:space="preserve">9 .رسالة ابي بكر محمّد بن زكريا الرازي إلى الحسن، ج8، ص 160.</w:t>
      </w:r>
    </w:p>
    <w:p>
      <w:pPr>
        <w:pStyle w:val="BookText"/>
      </w:pPr>
      <w:r>
        <w:rPr>
          <w:rFonts w:ascii="Amiri" w:hAnsi="Amiri" w:eastAsia="Amiri" w:cs="Amiri"/>
          <w:lang w:bidi="ar-SA"/>
          <w:color w:val="111111"/>
          <w:sz w:val="28"/>
          <w:szCs w:val="28"/>
          <w:rtl/>
        </w:rPr>
        <w:t xml:space="preserve">10 .رسالة محمّد بن زكريا الرازي، ج 8،</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IRNazanin" w:hAnsi="IRNazanin" w:eastAsia="IRNazanin" w:cs="IRNazanin"/>
          <w:lang w:bidi="fa-IR"/>
          <w:color w:val="111111"/>
          <w:sz w:val="28"/>
          <w:szCs w:val="28"/>
          <w:rtl/>
        </w:rPr>
        <w:t xml:space="preserve">11 .سر الاسرار، ج8، ص 745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الطب (مقالة في)، ج 10، ص 735.</w:t>
      </w:r>
    </w:p>
    <w:p>
      <w:pPr>
        <w:pStyle w:val="BookText"/>
      </w:pPr>
      <w:r>
        <w:rPr>
          <w:rFonts w:ascii="Amiri" w:hAnsi="Amiri" w:eastAsia="Amiri" w:cs="Amiri"/>
          <w:lang w:bidi="ar-SA"/>
          <w:color w:val="111111"/>
          <w:sz w:val="28"/>
          <w:szCs w:val="28"/>
          <w:rtl/>
        </w:rPr>
        <w:t xml:space="preserve">13 .الفاخر في الطب، ج 11، ص 581.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القيء و الاسهال (مقاله في)، ج12،</w:t>
      </w:r>
    </w:p>
    <w:p>
      <w:pPr>
        <w:pStyle w:val="BookText"/>
      </w:pPr>
      <w:r>
        <w:rPr>
          <w:rFonts w:ascii="IRNazanin" w:hAnsi="IRNazanin" w:eastAsia="IRNazanin" w:cs="IRNazanin"/>
          <w:lang w:bidi="fa-IR"/>
          <w:color w:val="111111"/>
          <w:sz w:val="28"/>
          <w:szCs w:val="28"/>
          <w:rtl/>
        </w:rPr>
        <w:t xml:space="preserve">ص 870</w:t>
      </w:r>
    </w:p>
    <w:p>
      <w:pPr>
        <w:pStyle w:val="BookText"/>
      </w:pPr>
      <w:r>
        <w:rPr>
          <w:rFonts w:ascii="Amiri" w:hAnsi="Amiri" w:eastAsia="Amiri" w:cs="Amiri"/>
          <w:lang w:bidi="ar-SA"/>
          <w:color w:val="111111"/>
          <w:sz w:val="28"/>
          <w:szCs w:val="28"/>
          <w:rtl/>
        </w:rPr>
        <w:t xml:space="preserve">15 .الكفاية المنصورية، ج13، ص 342.</w:t>
      </w:r>
    </w:p>
    <w:p>
      <w:pPr>
        <w:pStyle w:val="BookText"/>
      </w:pPr>
      <w:r>
        <w:rPr>
          <w:rFonts w:ascii="Amiri" w:hAnsi="Amiri" w:eastAsia="Amiri" w:cs="Amiri"/>
          <w:lang w:bidi="ar-SA"/>
          <w:color w:val="111111"/>
          <w:sz w:val="28"/>
          <w:szCs w:val="28"/>
          <w:rtl/>
        </w:rPr>
        <w:t xml:space="preserve">16 .الكناش المنصوري = طب المنصوري، ج13، ص397.</w:t>
      </w:r>
    </w:p>
    <w:p>
      <w:pPr>
        <w:pStyle w:val="BookText"/>
      </w:pPr>
      <w:r>
        <w:rPr>
          <w:rFonts w:ascii="Amiri" w:hAnsi="Amiri" w:eastAsia="Amiri" w:cs="Amiri"/>
          <w:lang w:bidi="ar-SA"/>
          <w:color w:val="111111"/>
          <w:sz w:val="28"/>
          <w:szCs w:val="28"/>
          <w:rtl/>
        </w:rPr>
        <w:t xml:space="preserve">17 .من لا يحضره الطبيب = طب</w:t>
      </w:r>
    </w:p>
    <w:p>
      <w:pPr>
        <w:pStyle w:val="BookText"/>
      </w:pPr>
      <w:r>
        <w:rPr>
          <w:rFonts w:ascii="IRNazanin" w:hAnsi="IRNazanin" w:eastAsia="IRNazanin" w:cs="IRNazanin"/>
          <w:lang w:bidi="fa-IR"/>
          <w:color w:val="111111"/>
          <w:sz w:val="28"/>
          <w:szCs w:val="28"/>
          <w:rtl/>
        </w:rPr>
        <w:t xml:space="preserve">الفقراء، ج 15 ، ص 744.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4" w:name="pg7742_70403"/>
    <w:bookmarkEnd w:id="504"/>
    <w:p>
      <w:pPr>
        <w:pStyle w:val="BookText"/>
      </w:pPr>
      <w:r>
        <w:rPr>
          <w:rFonts w:ascii="Amiri" w:hAnsi="Amiri" w:eastAsia="Amiri" w:cs="Amiri"/>
          <w:lang w:bidi="ar-SA"/>
          <w:color w:val="111111"/>
          <w:sz w:val="28"/>
          <w:szCs w:val="28"/>
          <w:rtl/>
        </w:rPr>
        <w:t xml:space="preserve">رازي ، محمّد بن عبدالجبار -عتبي</w:t>
      </w:r>
    </w:p>
    <w:p>
      <w:pPr>
        <w:pStyle w:val="BookText"/>
      </w:pPr>
      <w:r>
        <w:rPr>
          <w:rFonts w:ascii="IRNazanin" w:hAnsi="IRNazanin" w:eastAsia="IRNazanin" w:cs="IRNazanin"/>
          <w:lang w:bidi="fa-IR"/>
          <w:color w:val="111111"/>
          <w:sz w:val="28"/>
          <w:szCs w:val="28"/>
          <w:rtl/>
        </w:rPr>
        <w:t xml:space="preserve">محمّد بن عبدالجبار</w:t>
      </w:r>
    </w:p>
    <w:p>
      <w:pPr>
        <w:pStyle w:val="BookText"/>
      </w:pPr>
      <w:r>
        <w:rPr>
          <w:rFonts w:ascii="Amiri" w:hAnsi="Amiri" w:eastAsia="Amiri" w:cs="Amiri"/>
          <w:lang w:bidi="ar-SA"/>
          <w:color w:val="111111"/>
          <w:sz w:val="28"/>
          <w:szCs w:val="28"/>
          <w:rtl/>
        </w:rPr>
        <w:t xml:space="preserve">رازي ، محمّد بن علي -ابن حسول</w:t>
      </w:r>
    </w:p>
    <w:p>
      <w:pPr>
        <w:pStyle w:val="BookText"/>
      </w:pPr>
      <w:r>
        <w:rPr>
          <w:rFonts w:ascii="Amiri" w:hAnsi="Amiri" w:eastAsia="Amiri" w:cs="Amiri"/>
          <w:lang w:bidi="ar-SA"/>
          <w:color w:val="111111"/>
          <w:sz w:val="28"/>
          <w:szCs w:val="28"/>
          <w:rtl/>
        </w:rPr>
        <w:t xml:space="preserve">محمّد بن علي</w:t>
      </w:r>
    </w:p>
    <w:p>
      <w:pPr>
        <w:pStyle w:val="Heading2"/>
      </w:pPr>
      <w:bookmarkStart w:id="4436" w:name="_Toc3538"/>
      <w:r>
        <w:t>رازي ، محمّد بن مسلم قرن 6 ه-</w:t>
      </w:r>
      <w:bookmarkEnd w:id="4436"/>
    </w:p>
    <w:p>
      <w:pPr>
        <w:pStyle w:val="BookText"/>
      </w:pPr>
      <w:r>
        <w:rPr>
          <w:rFonts w:ascii="Amiri" w:hAnsi="Amiri" w:eastAsia="Amiri" w:cs="Amiri"/>
          <w:lang w:bidi="ar-SA"/>
          <w:color w:val="111111"/>
          <w:sz w:val="28"/>
          <w:szCs w:val="28"/>
          <w:rtl/>
        </w:rPr>
        <w:t xml:space="preserve">الاربعون حديثاً في مناقب امير المؤمنين (ع)، ج 1، ص 731 .</w:t>
      </w:r>
    </w:p>
    <w:p>
      <w:pPr>
        <w:pStyle w:val="BookText"/>
      </w:pPr>
      <w:r>
        <w:rPr>
          <w:rFonts w:ascii="Amiri" w:hAnsi="Amiri" w:eastAsia="Amiri" w:cs="Amiri"/>
          <w:lang w:bidi="ar-SA"/>
          <w:color w:val="111111"/>
          <w:sz w:val="28"/>
          <w:szCs w:val="28"/>
          <w:rtl/>
        </w:rPr>
        <w:t xml:space="preserve">رازي ، محمّد تقي بن</w:t>
      </w:r>
    </w:p>
    <w:p>
      <w:pPr>
        <w:pStyle w:val="BookText"/>
      </w:pPr>
      <w:r>
        <w:rPr>
          <w:rFonts w:ascii="Amiri" w:hAnsi="Amiri" w:eastAsia="Amiri" w:cs="Amiri"/>
          <w:lang w:bidi="ar-SA"/>
          <w:color w:val="111111"/>
          <w:sz w:val="28"/>
          <w:szCs w:val="28"/>
          <w:rtl/>
        </w:rPr>
        <w:t xml:space="preserve">عبد الرحيم -اصفهاني ، محمّد تقي بن عبد</w:t>
      </w:r>
    </w:p>
    <w:p>
      <w:pPr>
        <w:pStyle w:val="BookText"/>
      </w:pPr>
      <w:r>
        <w:rPr>
          <w:rFonts w:ascii="Amiri" w:hAnsi="Amiri" w:eastAsia="Amiri" w:cs="Amiri"/>
          <w:lang w:bidi="ar-SA"/>
          <w:color w:val="111111"/>
          <w:sz w:val="28"/>
          <w:szCs w:val="28"/>
          <w:rtl/>
        </w:rPr>
        <w:t xml:space="preserve">الرحيم</w:t>
      </w:r>
    </w:p>
    <w:p>
      <w:pPr>
        <w:pStyle w:val="BookText"/>
      </w:pPr>
      <w:r>
        <w:rPr>
          <w:rFonts w:ascii="Amiri" w:hAnsi="Amiri" w:eastAsia="Amiri" w:cs="Amiri"/>
          <w:lang w:bidi="ar-SA"/>
          <w:color w:val="111111"/>
          <w:sz w:val="28"/>
          <w:szCs w:val="28"/>
          <w:rtl/>
        </w:rPr>
        <w:t xml:space="preserve">رازي ، محمّد حسين بن</w:t>
      </w:r>
    </w:p>
    <w:p>
      <w:pPr>
        <w:pStyle w:val="BookText"/>
      </w:pPr>
      <w:r>
        <w:rPr>
          <w:rFonts w:ascii="Amiri" w:hAnsi="Amiri" w:eastAsia="Amiri" w:cs="Amiri"/>
          <w:lang w:bidi="ar-SA"/>
          <w:color w:val="111111"/>
          <w:sz w:val="28"/>
          <w:szCs w:val="28"/>
          <w:rtl/>
        </w:rPr>
        <w:t xml:space="preserve">عبد الرحيم -حائري اصفهاني ، محمد حسين</w:t>
      </w:r>
    </w:p>
    <w:p>
      <w:pPr>
        <w:pStyle w:val="BookText"/>
      </w:pPr>
      <w:r>
        <w:rPr>
          <w:rFonts w:ascii="Amiri" w:hAnsi="Amiri" w:eastAsia="Amiri" w:cs="Amiri"/>
          <w:lang w:bidi="ar-SA"/>
          <w:color w:val="111111"/>
          <w:sz w:val="28"/>
          <w:szCs w:val="28"/>
          <w:rtl/>
        </w:rPr>
        <w:t xml:space="preserve">بن عبد الرحيم</w:t>
      </w:r>
    </w:p>
    <w:p>
      <w:pPr>
        <w:pStyle w:val="Heading2"/>
      </w:pPr>
      <w:bookmarkStart w:id="4437" w:name="_Toc3539"/>
      <w:r>
        <w:t>رازي ، محمّد سلیم قرن 11 ه-</w:t>
      </w:r>
      <w:bookmarkEnd w:id="4437"/>
    </w:p>
    <w:p>
      <w:pPr>
        <w:pStyle w:val="BookText"/>
      </w:pPr>
      <w:r>
        <w:rPr>
          <w:rFonts w:ascii="IRNazanin" w:hAnsi="IRNazanin" w:eastAsia="IRNazanin" w:cs="IRNazanin"/>
          <w:lang w:bidi="fa-IR"/>
          <w:color w:val="111111"/>
          <w:sz w:val="28"/>
          <w:szCs w:val="28"/>
          <w:rtl/>
        </w:rPr>
        <w:t xml:space="preserve">شرح لغز القانون، ج 10، ص82</w:t>
      </w:r>
    </w:p>
    <w:p>
      <w:pPr>
        <w:pStyle w:val="Heading2"/>
      </w:pPr>
      <w:bookmarkStart w:id="4438" w:name="_Toc3540"/>
      <w:r>
        <w:t>رازي ، محمّد علي</w:t>
      </w:r>
      <w:bookmarkEnd w:id="4438"/>
    </w:p>
    <w:p>
      <w:pPr>
        <w:pStyle w:val="BookText"/>
      </w:pPr>
      <w:r>
        <w:rPr>
          <w:rFonts w:ascii="IRNazanin" w:hAnsi="IRNazanin" w:eastAsia="IRNazanin" w:cs="IRNazanin"/>
          <w:lang w:bidi="fa-IR"/>
          <w:color w:val="111111"/>
          <w:sz w:val="28"/>
          <w:szCs w:val="28"/>
          <w:rtl/>
        </w:rPr>
        <w:t xml:space="preserve">تدین و تمدن ج4، ص 171</w:t>
      </w:r>
    </w:p>
    <w:p>
      <w:pPr>
        <w:pStyle w:val="Heading2"/>
      </w:pPr>
      <w:bookmarkStart w:id="4439" w:name="_Toc3541"/>
      <w:r>
        <w:t>رازی، محمّد قاسم بن محمّد کاظم قرن</w:t>
      </w:r>
      <w:bookmarkEnd w:id="4439"/>
    </w:p>
    <w:p>
      <w:pPr>
        <w:pStyle w:val="BookText"/>
      </w:pPr>
      <w:r>
        <w:rPr>
          <w:rFonts w:ascii="Amiri" w:hAnsi="Amiri" w:eastAsia="Amiri" w:cs="Amiri"/>
          <w:lang w:bidi="ar-SA"/>
          <w:color w:val="111111"/>
          <w:sz w:val="28"/>
          <w:szCs w:val="28"/>
          <w:rtl/>
        </w:rPr>
        <w:t xml:space="preserve">شرح الزيارة الجامعة الكبيرة، ج 9،</w:t>
      </w:r>
    </w:p>
    <w:p>
      <w:pPr>
        <w:pStyle w:val="BookText"/>
      </w:pPr>
      <w:r>
        <w:rPr>
          <w:rFonts w:ascii="IRNazanin" w:hAnsi="IRNazanin" w:eastAsia="IRNazanin" w:cs="IRNazanin"/>
          <w:lang w:bidi="fa-IR"/>
          <w:color w:val="111111"/>
          <w:sz w:val="28"/>
          <w:szCs w:val="28"/>
          <w:rtl/>
        </w:rPr>
        <w:t xml:space="preserve">ص 579 .</w:t>
      </w:r>
    </w:p>
    <w:p>
      <w:pPr>
        <w:pStyle w:val="BookText"/>
      </w:pPr>
      <w:r>
        <w:rPr>
          <w:rFonts w:ascii="Amiri" w:hAnsi="Amiri" w:eastAsia="Amiri" w:cs="Amiri"/>
          <w:lang w:bidi="ar-SA"/>
          <w:color w:val="111111"/>
          <w:sz w:val="28"/>
          <w:szCs w:val="28"/>
          <w:rtl/>
        </w:rPr>
        <w:t xml:space="preserve">رازي ، مرتضى بن داعي- علم الهدى ،</w:t>
      </w:r>
    </w:p>
    <w:p>
      <w:pPr>
        <w:pStyle w:val="BookText"/>
      </w:pPr>
      <w:r>
        <w:rPr>
          <w:rFonts w:ascii="Amiri" w:hAnsi="Amiri" w:eastAsia="Amiri" w:cs="Amiri"/>
          <w:lang w:bidi="ar-SA"/>
          <w:color w:val="111111"/>
          <w:sz w:val="28"/>
          <w:szCs w:val="28"/>
          <w:rtl/>
        </w:rPr>
        <w:t xml:space="preserve">مرتضى بن داعي</w:t>
      </w:r>
    </w:p>
    <w:p>
      <w:pPr>
        <w:pStyle w:val="Heading2"/>
      </w:pPr>
      <w:bookmarkStart w:id="4440" w:name="_Toc3542"/>
      <w:r>
        <w:t>رازي ، يوسف بن محمود - 794 ه-</w:t>
      </w:r>
      <w:bookmarkEnd w:id="4440"/>
    </w:p>
    <w:p>
      <w:pPr>
        <w:pStyle w:val="BookText"/>
      </w:pPr>
      <w:r>
        <w:rPr>
          <w:rFonts w:ascii="Amiri" w:hAnsi="Amiri" w:eastAsia="Amiri" w:cs="Amiri"/>
          <w:lang w:bidi="ar-SA"/>
          <w:color w:val="111111"/>
          <w:sz w:val="28"/>
          <w:szCs w:val="28"/>
          <w:rtl/>
        </w:rPr>
        <w:t xml:space="preserve">كشف الدقايق، ج13، ص210.</w:t>
      </w:r>
    </w:p>
    <w:p>
      <w:pPr>
        <w:pStyle w:val="BookText"/>
      </w:pPr>
      <w:r>
        <w:rPr>
          <w:rFonts w:ascii="IRNazanin" w:hAnsi="IRNazanin" w:eastAsia="IRNazanin" w:cs="IRNazanin"/>
          <w:lang w:bidi="fa-IR"/>
          <w:color w:val="111111"/>
          <w:sz w:val="28"/>
          <w:szCs w:val="28"/>
          <w:rtl/>
        </w:rPr>
        <w:t xml:space="preserve">راستگو ، منصور بن عبدالله- فارسي</w:t>
      </w:r>
    </w:p>
    <w:p>
      <w:pPr>
        <w:pStyle w:val="BookText"/>
      </w:pPr>
      <w:r>
        <w:rPr>
          <w:rFonts w:ascii="Amiri" w:hAnsi="Amiri" w:eastAsia="Amiri" w:cs="Amiri"/>
          <w:lang w:bidi="ar-SA"/>
          <w:color w:val="111111"/>
          <w:sz w:val="28"/>
          <w:szCs w:val="28"/>
          <w:rtl/>
        </w:rPr>
        <w:t xml:space="preserve">شيرازي ، منصور بن عبدالله</w:t>
      </w:r>
    </w:p>
    <w:p>
      <w:pPr>
        <w:pStyle w:val="Heading2"/>
      </w:pPr>
      <w:bookmarkStart w:id="4441" w:name="_Toc3543"/>
      <w:r>
        <w:t>راسل ، برتراند، 1872 - 1970م</w:t>
      </w:r>
      <w:bookmarkEnd w:id="4441"/>
    </w:p>
    <w:p>
      <w:pPr>
        <w:pStyle w:val="BookText"/>
      </w:pPr>
      <w:r>
        <w:rPr>
          <w:rFonts w:ascii="Amiri" w:hAnsi="Amiri" w:eastAsia="Amiri" w:cs="Amiri"/>
          <w:lang w:bidi="ar-SA"/>
          <w:color w:val="111111"/>
          <w:sz w:val="28"/>
          <w:szCs w:val="28"/>
          <w:rtl/>
        </w:rPr>
        <w:t xml:space="preserve">العلم و نهضة المجتمع «صدمة العلم</w:t>
      </w:r>
    </w:p>
    <w:p>
      <w:pPr>
        <w:pStyle w:val="BookText"/>
      </w:pPr>
      <w:r>
        <w:rPr>
          <w:rFonts w:ascii="IRNazanin" w:hAnsi="IRNazanin" w:eastAsia="IRNazanin" w:cs="IRNazanin"/>
          <w:lang w:bidi="fa-IR"/>
          <w:color w:val="111111"/>
          <w:sz w:val="28"/>
          <w:szCs w:val="28"/>
          <w:rtl/>
        </w:rPr>
        <w:t xml:space="preserve">للمجتمع»، ج 11، ص 272</w:t>
      </w:r>
    </w:p>
    <w:p>
      <w:pPr>
        <w:pStyle w:val="Heading2"/>
      </w:pPr>
      <w:bookmarkStart w:id="4442" w:name="_Toc3544"/>
      <w:r>
        <w:t>راشد افندي، محمّد بن مصطفى .</w:t>
      </w:r>
      <w:bookmarkEnd w:id="4442"/>
    </w:p>
    <w:p>
      <w:pPr>
        <w:pStyle w:val="BookText"/>
      </w:pPr>
      <w:r>
        <w:rPr>
          <w:rFonts w:ascii="IRNazanin" w:hAnsi="IRNazanin" w:eastAsia="IRNazanin" w:cs="IRNazanin"/>
          <w:lang w:bidi="fa-IR"/>
          <w:color w:val="111111"/>
          <w:sz w:val="28"/>
          <w:szCs w:val="28"/>
          <w:rtl/>
        </w:rPr>
        <w:t xml:space="preserve">1148ه-</w:t>
      </w:r>
    </w:p>
    <w:p>
      <w:pPr>
        <w:pStyle w:val="BookText"/>
      </w:pPr>
      <w:r>
        <w:rPr>
          <w:rFonts w:ascii="IRNazanin" w:hAnsi="IRNazanin" w:eastAsia="IRNazanin" w:cs="IRNazanin"/>
          <w:lang w:bidi="fa-IR"/>
          <w:color w:val="111111"/>
          <w:sz w:val="28"/>
          <w:szCs w:val="28"/>
          <w:rtl/>
        </w:rPr>
        <w:t xml:space="preserve">تاریخ راشد = ذيل تاريخ نعيما، ج3،</w:t>
      </w:r>
    </w:p>
    <w:p>
      <w:pPr>
        <w:pStyle w:val="BookText"/>
      </w:pPr>
      <w:r>
        <w:rPr>
          <w:rFonts w:ascii="IRNazanin" w:hAnsi="IRNazanin" w:eastAsia="IRNazanin" w:cs="IRNazanin"/>
          <w:lang w:bidi="fa-IR"/>
          <w:color w:val="111111"/>
          <w:sz w:val="28"/>
          <w:szCs w:val="28"/>
          <w:rtl/>
        </w:rPr>
        <w:t xml:space="preserve">ص 576.</w:t>
      </w:r>
    </w:p>
    <w:p>
      <w:pPr>
        <w:pStyle w:val="BookText"/>
      </w:pPr>
      <w:r>
        <w:rPr>
          <w:rFonts w:ascii="Amiri" w:hAnsi="Amiri" w:eastAsia="Amiri" w:cs="Amiri"/>
          <w:lang w:bidi="ar-SA"/>
          <w:color w:val="111111"/>
          <w:sz w:val="28"/>
          <w:szCs w:val="28"/>
          <w:rtl/>
        </w:rPr>
        <w:t xml:space="preserve">راشد بن خلف الغزي- غزي ، راشد بن</w:t>
      </w:r>
    </w:p>
    <w:p>
      <w:pPr>
        <w:pStyle w:val="BookText"/>
      </w:pPr>
      <w:r>
        <w:rPr>
          <w:rFonts w:ascii="IRNazanin" w:hAnsi="IRNazanin" w:eastAsia="IRNazanin" w:cs="IRNazanin"/>
          <w:lang w:bidi="fa-IR"/>
          <w:color w:val="111111"/>
          <w:sz w:val="28"/>
          <w:szCs w:val="28"/>
          <w:rtl/>
        </w:rPr>
        <w:t xml:space="preserve">خلف</w:t>
      </w:r>
    </w:p>
    <w:p>
      <w:pPr>
        <w:pStyle w:val="BookText"/>
      </w:pPr>
      <w:r>
        <w:rPr>
          <w:rFonts w:ascii="Amiri" w:hAnsi="Amiri" w:eastAsia="Amiri" w:cs="Amiri"/>
          <w:lang w:bidi="ar-SA"/>
          <w:color w:val="111111"/>
          <w:sz w:val="28"/>
          <w:szCs w:val="28"/>
          <w:rtl/>
        </w:rPr>
        <w:t xml:space="preserve">راشد بن علي حنبلي -حنبلي ، راشد بن علي</w:t>
      </w:r>
    </w:p>
    <w:p>
      <w:pPr>
        <w:pStyle w:val="Heading2"/>
      </w:pPr>
      <w:bookmarkStart w:id="4443" w:name="_Toc3545"/>
      <w:r>
        <w:t>راشد رستاقي نعماني قرن 10 ه-</w:t>
      </w:r>
      <w:bookmarkEnd w:id="4443"/>
    </w:p>
    <w:p>
      <w:pPr>
        <w:pStyle w:val="BookText"/>
      </w:pPr>
      <w:r>
        <w:rPr>
          <w:rFonts w:ascii="Amiri" w:hAnsi="Amiri" w:eastAsia="Amiri" w:cs="Amiri"/>
          <w:lang w:bidi="ar-SA"/>
          <w:color w:val="111111"/>
          <w:sz w:val="28"/>
          <w:szCs w:val="28"/>
          <w:rtl/>
        </w:rPr>
        <w:t xml:space="preserve">زاد الفقير و جبر الكسير = شرح قصيدة في الطب = شرح ارجوزة لامية</w:t>
      </w:r>
    </w:p>
    <w:p>
      <w:pPr>
        <w:pStyle w:val="BookText"/>
      </w:pPr>
      <w:r>
        <w:rPr>
          <w:rFonts w:ascii="Amiri" w:hAnsi="Amiri" w:eastAsia="Amiri" w:cs="Amiri"/>
          <w:lang w:bidi="ar-SA"/>
          <w:color w:val="111111"/>
          <w:sz w:val="28"/>
          <w:szCs w:val="28"/>
          <w:rtl/>
        </w:rPr>
        <w:t xml:space="preserve">في الطب، ج8، ص 527.</w:t>
      </w:r>
    </w:p>
    <w:p>
      <w:pPr>
        <w:pStyle w:val="BookText"/>
      </w:pPr>
      <w:r>
        <w:rPr>
          <w:rFonts w:ascii="Amiri" w:hAnsi="Amiri" w:eastAsia="Amiri" w:cs="Amiri"/>
          <w:lang w:bidi="ar-SA"/>
          <w:color w:val="111111"/>
          <w:sz w:val="28"/>
          <w:szCs w:val="28"/>
          <w:rtl/>
        </w:rPr>
        <w:t xml:space="preserve">راصد اندلسي ، يحيى بن محمّد- مغربي ،</w:t>
      </w:r>
    </w:p>
    <w:p>
      <w:pPr>
        <w:pStyle w:val="BookText"/>
      </w:pPr>
      <w:r>
        <w:rPr>
          <w:rFonts w:ascii="Amiri" w:hAnsi="Amiri" w:eastAsia="Amiri" w:cs="Amiri"/>
          <w:lang w:bidi="ar-SA"/>
          <w:color w:val="111111"/>
          <w:sz w:val="28"/>
          <w:szCs w:val="28"/>
          <w:rtl/>
        </w:rPr>
        <w:t xml:space="preserve">يحيى بن محمّد</w:t>
      </w:r>
    </w:p>
    <w:p>
      <w:pPr>
        <w:pStyle w:val="Heading2"/>
      </w:pPr>
      <w:bookmarkStart w:id="4444" w:name="_Toc3546"/>
      <w:r>
        <w:t>راضي بن شيخ محمّد</w:t>
      </w:r>
      <w:bookmarkEnd w:id="4444"/>
    </w:p>
    <w:p>
      <w:pPr>
        <w:pStyle w:val="BookText"/>
      </w:pPr>
      <w:r>
        <w:rPr>
          <w:rFonts w:ascii="Amiri" w:hAnsi="Amiri" w:eastAsia="Amiri" w:cs="Amiri"/>
          <w:lang w:bidi="ar-SA"/>
          <w:color w:val="111111"/>
          <w:sz w:val="28"/>
          <w:szCs w:val="28"/>
          <w:rtl/>
        </w:rPr>
        <w:t xml:space="preserve">الفقه (رسالة في)، ج 12، ص 49.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5" w:name="pg7742_70404"/>
    <w:bookmarkEnd w:id="505"/>
    <w:p>
      <w:pPr>
        <w:pStyle w:val="BookText"/>
      </w:pPr>
      <w:r>
        <w:rPr>
          <w:rFonts w:ascii="Amiri" w:hAnsi="Amiri" w:eastAsia="Amiri" w:cs="Amiri"/>
          <w:lang w:bidi="ar-SA"/>
          <w:color w:val="111111"/>
          <w:sz w:val="28"/>
          <w:szCs w:val="28"/>
          <w:rtl/>
        </w:rPr>
        <w:t xml:space="preserve">راضي بن صالح قزويني حسيني- قزويني</w:t>
      </w:r>
    </w:p>
    <w:p>
      <w:pPr>
        <w:pStyle w:val="BookText"/>
      </w:pPr>
      <w:r>
        <w:rPr>
          <w:rFonts w:ascii="Amiri" w:hAnsi="Amiri" w:eastAsia="Amiri" w:cs="Amiri"/>
          <w:lang w:bidi="ar-SA"/>
          <w:color w:val="111111"/>
          <w:sz w:val="28"/>
          <w:szCs w:val="28"/>
          <w:rtl/>
        </w:rPr>
        <w:t xml:space="preserve">راضي بن صالح</w:t>
      </w:r>
    </w:p>
    <w:p>
      <w:pPr>
        <w:pStyle w:val="Heading2"/>
      </w:pPr>
      <w:bookmarkStart w:id="4445" w:name="_Toc3547"/>
      <w:r>
        <w:t>راضي شقاق ، حسينعلي، قرن 14 ه-</w:t>
      </w:r>
      <w:bookmarkEnd w:id="4445"/>
    </w:p>
    <w:p>
      <w:pPr>
        <w:pStyle w:val="BookText"/>
      </w:pPr>
      <w:r>
        <w:rPr>
          <w:rFonts w:ascii="Amiri" w:hAnsi="Amiri" w:eastAsia="Amiri" w:cs="Amiri"/>
          <w:lang w:bidi="ar-SA"/>
          <w:color w:val="111111"/>
          <w:sz w:val="28"/>
          <w:szCs w:val="28"/>
          <w:rtl/>
        </w:rPr>
        <w:t xml:space="preserve">1 .تقريرات في اصول الفقه جع،</w:t>
      </w:r>
    </w:p>
    <w:p>
      <w:pPr>
        <w:pStyle w:val="BookText"/>
      </w:pPr>
      <w:r>
        <w:rPr>
          <w:rFonts w:ascii="IRNazanin" w:hAnsi="IRNazanin" w:eastAsia="IRNazanin" w:cs="IRNazanin"/>
          <w:lang w:bidi="fa-IR"/>
          <w:color w:val="111111"/>
          <w:sz w:val="28"/>
          <w:szCs w:val="28"/>
          <w:rtl/>
        </w:rPr>
        <w:t xml:space="preserve">ص 767 .</w:t>
      </w:r>
    </w:p>
    <w:p>
      <w:pPr>
        <w:pStyle w:val="BookText"/>
      </w:pPr>
      <w:r>
        <w:rPr>
          <w:rFonts w:ascii="Amiri" w:hAnsi="Amiri" w:eastAsia="Amiri" w:cs="Amiri"/>
          <w:lang w:bidi="ar-SA"/>
          <w:color w:val="111111"/>
          <w:sz w:val="28"/>
          <w:szCs w:val="28"/>
          <w:rtl/>
        </w:rPr>
        <w:t xml:space="preserve">2 .كشكول، ج13، ص291</w:t>
      </w:r>
    </w:p>
    <w:p>
      <w:pPr>
        <w:pStyle w:val="Heading2"/>
      </w:pPr>
      <w:bookmarkStart w:id="4446" w:name="_Toc3548"/>
      <w:r>
        <w:t>راغب اصفهاني حسين بن محمّد -502ه-</w:t>
      </w:r>
      <w:bookmarkEnd w:id="4446"/>
    </w:p>
    <w:p>
      <w:pPr>
        <w:pStyle w:val="BookText"/>
      </w:pPr>
      <w:r>
        <w:rPr>
          <w:rFonts w:ascii="Amiri" w:hAnsi="Amiri" w:eastAsia="Amiri" w:cs="Amiri"/>
          <w:lang w:bidi="ar-SA"/>
          <w:color w:val="111111"/>
          <w:sz w:val="28"/>
          <w:szCs w:val="28"/>
          <w:rtl/>
        </w:rPr>
        <w:t xml:space="preserve">1 .تفصيل النشأتين و تحصيل</w:t>
      </w:r>
    </w:p>
    <w:p>
      <w:pPr>
        <w:pStyle w:val="BookText"/>
      </w:pPr>
      <w:r>
        <w:rPr>
          <w:rFonts w:ascii="Amiri" w:hAnsi="Amiri" w:eastAsia="Amiri" w:cs="Amiri"/>
          <w:lang w:bidi="ar-SA"/>
          <w:color w:val="111111"/>
          <w:sz w:val="28"/>
          <w:szCs w:val="28"/>
          <w:rtl/>
        </w:rPr>
        <w:t xml:space="preserve">السعادتين، ج 4، ص 702.</w:t>
      </w:r>
    </w:p>
    <w:p>
      <w:pPr>
        <w:pStyle w:val="BookText"/>
      </w:pPr>
      <w:r>
        <w:rPr>
          <w:rFonts w:ascii="Amiri" w:hAnsi="Amiri" w:eastAsia="Amiri" w:cs="Amiri"/>
          <w:lang w:bidi="ar-SA"/>
          <w:color w:val="111111"/>
          <w:sz w:val="28"/>
          <w:szCs w:val="28"/>
          <w:rtl/>
        </w:rPr>
        <w:t xml:space="preserve">2 .جامع التفسير (تفاسير)، جه،</w:t>
      </w:r>
    </w:p>
    <w:p>
      <w:pPr>
        <w:pStyle w:val="BookText"/>
      </w:pPr>
      <w:r>
        <w:rPr>
          <w:rFonts w:ascii="IRNazanin" w:hAnsi="IRNazanin" w:eastAsia="IRNazanin" w:cs="IRNazanin"/>
          <w:lang w:bidi="fa-IR"/>
          <w:color w:val="111111"/>
          <w:sz w:val="28"/>
          <w:szCs w:val="28"/>
          <w:rtl/>
        </w:rPr>
        <w:t xml:space="preserve">ص 259 .</w:t>
      </w:r>
    </w:p>
    <w:p>
      <w:pPr>
        <w:pStyle w:val="BookText"/>
      </w:pPr>
      <w:r>
        <w:rPr>
          <w:rFonts w:ascii="Amiri" w:hAnsi="Amiri" w:eastAsia="Amiri" w:cs="Amiri"/>
          <w:lang w:bidi="ar-SA"/>
          <w:color w:val="111111"/>
          <w:sz w:val="28"/>
          <w:szCs w:val="28"/>
          <w:rtl/>
        </w:rPr>
        <w:t xml:space="preserve">3 .الذريعة في مكارم الشريعة ، ج7،</w:t>
      </w:r>
    </w:p>
    <w:p>
      <w:pPr>
        <w:pStyle w:val="BookText"/>
      </w:pPr>
      <w:r>
        <w:rPr>
          <w:rFonts w:ascii="IRNazanin" w:hAnsi="IRNazanin" w:eastAsia="IRNazanin" w:cs="IRNazanin"/>
          <w:lang w:bidi="fa-IR"/>
          <w:color w:val="111111"/>
          <w:sz w:val="28"/>
          <w:szCs w:val="28"/>
          <w:rtl/>
        </w:rPr>
        <w:t xml:space="preserve">ص 849.</w:t>
      </w:r>
    </w:p>
    <w:p>
      <w:pPr>
        <w:pStyle w:val="BookText"/>
      </w:pPr>
      <w:r>
        <w:rPr>
          <w:rFonts w:ascii="IRNazanin" w:hAnsi="IRNazanin" w:eastAsia="IRNazanin" w:cs="IRNazanin"/>
          <w:lang w:bidi="fa-IR"/>
          <w:color w:val="111111"/>
          <w:sz w:val="28"/>
          <w:szCs w:val="28"/>
          <w:rtl/>
        </w:rPr>
        <w:t xml:space="preserve">4 .محاضرات الادباء و محاورات الشعراء و البلغاء = المحاضرات ج 14، ص 98 .</w:t>
      </w:r>
    </w:p>
    <w:p>
      <w:pPr>
        <w:pStyle w:val="BookText"/>
      </w:pPr>
      <w:r>
        <w:rPr>
          <w:rFonts w:ascii="IRNazanin" w:hAnsi="IRNazanin" w:eastAsia="IRNazanin" w:cs="IRNazanin"/>
          <w:lang w:bidi="fa-IR"/>
          <w:color w:val="111111"/>
          <w:sz w:val="28"/>
          <w:szCs w:val="28"/>
          <w:rtl/>
        </w:rPr>
        <w:t xml:space="preserve">5 .المفردات = مفردات القرآن، ج 15</w:t>
      </w:r>
    </w:p>
    <w:p>
      <w:pPr>
        <w:pStyle w:val="BookText"/>
      </w:pPr>
      <w:r>
        <w:rPr>
          <w:rFonts w:ascii="IRNazanin" w:hAnsi="IRNazanin" w:eastAsia="IRNazanin" w:cs="IRNazanin"/>
          <w:lang w:bidi="fa-IR"/>
          <w:color w:val="111111"/>
          <w:sz w:val="28"/>
          <w:szCs w:val="28"/>
          <w:rtl/>
        </w:rPr>
        <w:t xml:space="preserve">ص 242.</w:t>
      </w:r>
    </w:p>
    <w:p>
      <w:pPr>
        <w:pStyle w:val="Heading2"/>
      </w:pPr>
      <w:bookmarkStart w:id="4447" w:name="_Toc3549"/>
      <w:r>
        <w:t>راغب پاشا ، محمّد بن محمّد، 1110 -</w:t>
      </w:r>
      <w:bookmarkEnd w:id="4447"/>
    </w:p>
    <w:p>
      <w:pPr>
        <w:pStyle w:val="BookText"/>
      </w:pPr>
      <w:r>
        <w:rPr>
          <w:rFonts w:ascii="IRNazanin" w:hAnsi="IRNazanin" w:eastAsia="IRNazanin" w:cs="IRNazanin"/>
          <w:lang w:bidi="fa-IR"/>
          <w:color w:val="111111"/>
          <w:sz w:val="28"/>
          <w:szCs w:val="28"/>
          <w:rtl/>
        </w:rPr>
        <w:t xml:space="preserve">1176ه-</w:t>
      </w:r>
    </w:p>
    <w:p>
      <w:pPr>
        <w:pStyle w:val="BookText"/>
      </w:pPr>
      <w:r>
        <w:rPr>
          <w:rFonts w:ascii="Amiri" w:hAnsi="Amiri" w:eastAsia="Amiri" w:cs="Amiri"/>
          <w:lang w:bidi="ar-SA"/>
          <w:color w:val="111111"/>
          <w:sz w:val="28"/>
          <w:szCs w:val="28"/>
          <w:rtl/>
        </w:rPr>
        <w:t xml:space="preserve">1 .التوفيق والتحقيق، ج 5، ص 186.</w:t>
      </w:r>
    </w:p>
    <w:p>
      <w:pPr>
        <w:pStyle w:val="BookText"/>
      </w:pPr>
      <w:r>
        <w:rPr>
          <w:rFonts w:ascii="IRNazanin" w:hAnsi="IRNazanin" w:eastAsia="IRNazanin" w:cs="IRNazanin"/>
          <w:lang w:bidi="fa-IR"/>
          <w:color w:val="111111"/>
          <w:sz w:val="28"/>
          <w:szCs w:val="28"/>
          <w:rtl/>
        </w:rPr>
        <w:t xml:space="preserve">2 .دیوان راغب پاشا، ج 7، ص 644.</w:t>
      </w:r>
    </w:p>
    <w:p>
      <w:pPr>
        <w:pStyle w:val="BookText"/>
      </w:pPr>
      <w:r>
        <w:rPr>
          <w:rFonts w:ascii="Amiri" w:hAnsi="Amiri" w:eastAsia="Amiri" w:cs="Amiri"/>
          <w:lang w:bidi="ar-SA"/>
          <w:color w:val="111111"/>
          <w:sz w:val="28"/>
          <w:szCs w:val="28"/>
          <w:rtl/>
        </w:rPr>
        <w:t xml:space="preserve">3 .سفينة الراغب و دفينة المطالب</w:t>
      </w:r>
    </w:p>
    <w:p>
      <w:pPr>
        <w:pStyle w:val="BookText"/>
      </w:pPr>
      <w:r>
        <w:rPr>
          <w:rFonts w:ascii="IRNazanin" w:hAnsi="IRNazanin" w:eastAsia="IRNazanin" w:cs="IRNazanin"/>
          <w:lang w:bidi="fa-IR"/>
          <w:color w:val="111111"/>
          <w:sz w:val="28"/>
          <w:szCs w:val="28"/>
          <w:rtl/>
        </w:rPr>
        <w:t xml:space="preserve">ج8، ص 781</w:t>
      </w:r>
    </w:p>
    <w:p>
      <w:pPr>
        <w:pStyle w:val="BookText"/>
      </w:pPr>
      <w:r>
        <w:rPr>
          <w:rFonts w:ascii="Amiri" w:hAnsi="Amiri" w:eastAsia="Amiri" w:cs="Amiri"/>
          <w:lang w:bidi="ar-SA"/>
          <w:color w:val="111111"/>
          <w:sz w:val="28"/>
          <w:szCs w:val="28"/>
          <w:rtl/>
        </w:rPr>
        <w:t xml:space="preserve">4 .عقود العقول في شرح امثال</w:t>
      </w:r>
    </w:p>
    <w:p>
      <w:pPr>
        <w:pStyle w:val="BookText"/>
      </w:pPr>
      <w:r>
        <w:rPr>
          <w:rFonts w:ascii="Amiri" w:hAnsi="Amiri" w:eastAsia="Amiri" w:cs="Amiri"/>
          <w:lang w:bidi="ar-SA"/>
          <w:color w:val="111111"/>
          <w:sz w:val="28"/>
          <w:szCs w:val="28"/>
          <w:rtl/>
        </w:rPr>
        <w:t xml:space="preserve">العربية، ج 11، ص190.</w:t>
      </w:r>
    </w:p>
    <w:p>
      <w:pPr>
        <w:pStyle w:val="Heading2"/>
      </w:pPr>
      <w:bookmarkStart w:id="4448" w:name="_Toc3550"/>
      <w:r>
        <w:t>رافعاني، ابو عبدالله بن محمّد حسین</w:t>
      </w:r>
      <w:bookmarkEnd w:id="4448"/>
    </w:p>
    <w:p>
      <w:pPr>
        <w:pStyle w:val="BookText"/>
      </w:pPr>
      <w:r>
        <w:rPr>
          <w:rFonts w:ascii="IRNazanin" w:hAnsi="IRNazanin" w:eastAsia="IRNazanin" w:cs="IRNazanin"/>
          <w:lang w:bidi="fa-IR"/>
          <w:color w:val="111111"/>
          <w:sz w:val="28"/>
          <w:szCs w:val="28"/>
          <w:rtl/>
        </w:rPr>
        <w:t xml:space="preserve">زوائد النظائر و فوائد البواصر، ج8،</w:t>
      </w:r>
    </w:p>
    <w:p>
      <w:pPr>
        <w:pStyle w:val="BookText"/>
      </w:pPr>
      <w:r>
        <w:rPr>
          <w:rFonts w:ascii="Amiri" w:hAnsi="Amiri" w:eastAsia="Amiri" w:cs="Amiri"/>
          <w:lang w:bidi="ar-SA"/>
          <w:color w:val="111111"/>
          <w:sz w:val="28"/>
          <w:szCs w:val="28"/>
          <w:rtl/>
        </w:rPr>
        <w:t xml:space="preserve">راضي بن محمّد نجفي- نجفي ، راضي بن محمّد</w:t>
      </w:r>
    </w:p>
    <w:p>
      <w:pPr>
        <w:pStyle w:val="BookText"/>
      </w:pPr>
      <w:r>
        <w:rPr>
          <w:rFonts w:ascii="IRNazanin" w:hAnsi="IRNazanin" w:eastAsia="IRNazanin" w:cs="IRNazanin"/>
          <w:lang w:bidi="fa-IR"/>
          <w:color w:val="111111"/>
          <w:sz w:val="28"/>
          <w:szCs w:val="28"/>
          <w:rtl/>
        </w:rPr>
        <w:t xml:space="preserve">ص 643 .</w:t>
      </w:r>
    </w:p>
    <w:p>
      <w:pPr>
        <w:pStyle w:val="Heading2"/>
      </w:pPr>
      <w:bookmarkStart w:id="4449" w:name="_Toc3551"/>
      <w:r>
        <w:t>رافعي</w:t>
      </w:r>
      <w:bookmarkEnd w:id="4449"/>
    </w:p>
    <w:p>
      <w:pPr>
        <w:pStyle w:val="BookText"/>
      </w:pPr>
      <w:r>
        <w:rPr>
          <w:rFonts w:ascii="IRNazanin" w:hAnsi="IRNazanin" w:eastAsia="IRNazanin" w:cs="IRNazanin"/>
          <w:lang w:bidi="fa-IR"/>
          <w:color w:val="111111"/>
          <w:sz w:val="28"/>
          <w:szCs w:val="28"/>
          <w:rtl/>
        </w:rPr>
        <w:t xml:space="preserve">المبهمات، ج 13، ص 744 .</w:t>
      </w:r>
    </w:p>
    <w:p>
      <w:pPr>
        <w:pStyle w:val="BookText"/>
      </w:pPr>
      <w:r>
        <w:rPr>
          <w:rFonts w:ascii="Amiri" w:hAnsi="Amiri" w:eastAsia="Amiri" w:cs="Amiri"/>
          <w:lang w:bidi="ar-SA"/>
          <w:color w:val="111111"/>
          <w:sz w:val="28"/>
          <w:szCs w:val="28"/>
          <w:rtl/>
        </w:rPr>
        <w:t xml:space="preserve">رافعي، ابوالقاسم عبدالكريم بن محمّد -رافعي قزويني ، عبدالكريم بن محمّد</w:t>
      </w:r>
    </w:p>
    <w:p>
      <w:pPr>
        <w:pStyle w:val="BookText"/>
      </w:pPr>
      <w:r>
        <w:rPr>
          <w:rFonts w:ascii="Amiri" w:hAnsi="Amiri" w:eastAsia="Amiri" w:cs="Amiri"/>
          <w:lang w:bidi="ar-SA"/>
          <w:color w:val="111111"/>
          <w:sz w:val="28"/>
          <w:szCs w:val="28"/>
          <w:rtl/>
        </w:rPr>
        <w:t xml:space="preserve">رافعي، عبدالكريم بن محمّد- رافعي</w:t>
      </w:r>
    </w:p>
    <w:p>
      <w:pPr>
        <w:pStyle w:val="BookText"/>
      </w:pPr>
      <w:r>
        <w:rPr>
          <w:rFonts w:ascii="Amiri" w:hAnsi="Amiri" w:eastAsia="Amiri" w:cs="Amiri"/>
          <w:lang w:bidi="ar-SA"/>
          <w:color w:val="111111"/>
          <w:sz w:val="28"/>
          <w:szCs w:val="28"/>
          <w:rtl/>
        </w:rPr>
        <w:t xml:space="preserve">قزويني ، عبدالكريم بن محمّد</w:t>
      </w:r>
    </w:p>
    <w:p>
      <w:pPr>
        <w:pStyle w:val="Heading2"/>
      </w:pPr>
      <w:bookmarkStart w:id="4450" w:name="_Toc3552"/>
      <w:r>
        <w:t>رافعي قزويني، عبدالكريم بن محمّد</w:t>
      </w:r>
      <w:bookmarkEnd w:id="4450"/>
    </w:p>
    <w:p>
      <w:pPr>
        <w:pStyle w:val="BookText"/>
      </w:pPr>
      <w:r>
        <w:rPr>
          <w:rFonts w:ascii="IRNazanin" w:hAnsi="IRNazanin" w:eastAsia="IRNazanin" w:cs="IRNazanin"/>
          <w:lang w:bidi="fa-IR"/>
          <w:color w:val="111111"/>
          <w:sz w:val="28"/>
          <w:szCs w:val="28"/>
          <w:rtl/>
        </w:rPr>
        <w:t xml:space="preserve">557 - 623 ه-</w:t>
      </w:r>
    </w:p>
    <w:p>
      <w:pPr>
        <w:pStyle w:val="BookText"/>
      </w:pPr>
      <w:r>
        <w:rPr>
          <w:rFonts w:ascii="Amiri" w:hAnsi="Amiri" w:eastAsia="Amiri" w:cs="Amiri"/>
          <w:lang w:bidi="ar-SA"/>
          <w:color w:val="111111"/>
          <w:sz w:val="28"/>
          <w:szCs w:val="28"/>
          <w:rtl/>
        </w:rPr>
        <w:t xml:space="preserve">1 .التدوين في ذكر اهل العلم</w:t>
      </w:r>
    </w:p>
    <w:p>
      <w:pPr>
        <w:pStyle w:val="BookText"/>
      </w:pPr>
      <w:r>
        <w:rPr>
          <w:rFonts w:ascii="Amiri" w:hAnsi="Amiri" w:eastAsia="Amiri" w:cs="Amiri"/>
          <w:lang w:bidi="ar-SA"/>
          <w:color w:val="111111"/>
          <w:sz w:val="28"/>
          <w:szCs w:val="28"/>
          <w:rtl/>
        </w:rPr>
        <w:t xml:space="preserve">بقزوين ج4، ص170.</w:t>
      </w:r>
    </w:p>
    <w:p>
      <w:pPr>
        <w:pStyle w:val="BookText"/>
      </w:pPr>
      <w:r>
        <w:rPr>
          <w:rFonts w:ascii="Amiri" w:hAnsi="Amiri" w:eastAsia="Amiri" w:cs="Amiri"/>
          <w:lang w:bidi="ar-SA"/>
          <w:color w:val="111111"/>
          <w:sz w:val="28"/>
          <w:szCs w:val="28"/>
          <w:rtl/>
        </w:rPr>
        <w:t xml:space="preserve">2 .سواد العينين، ج8، ص 858.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فتح العزيز = العزيز في شرح الوجيز، ج 11، ص 659.</w:t>
      </w:r>
    </w:p>
    <w:p>
      <w:pPr>
        <w:pStyle w:val="BookText"/>
      </w:pPr>
      <w:r>
        <w:rPr>
          <w:rFonts w:ascii="Amiri" w:hAnsi="Amiri" w:eastAsia="Amiri" w:cs="Amiri"/>
          <w:lang w:bidi="ar-SA"/>
          <w:color w:val="111111"/>
          <w:sz w:val="28"/>
          <w:szCs w:val="28"/>
          <w:rtl/>
        </w:rPr>
        <w:t xml:space="preserve">4 .الفرائض من محرر الرافعي، ج11،</w:t>
      </w:r>
    </w:p>
    <w:p>
      <w:pPr>
        <w:pStyle w:val="BookText"/>
      </w:pPr>
      <w:r>
        <w:rPr>
          <w:rFonts w:ascii="IRNazanin" w:hAnsi="IRNazanin" w:eastAsia="IRNazanin" w:cs="IRNazanin"/>
          <w:lang w:bidi="fa-IR"/>
          <w:color w:val="111111"/>
          <w:sz w:val="28"/>
          <w:szCs w:val="28"/>
          <w:rtl/>
        </w:rPr>
        <w:t xml:space="preserve">ص 768.</w:t>
      </w:r>
    </w:p>
    <w:p>
      <w:pPr>
        <w:pStyle w:val="BookText"/>
      </w:pPr>
      <w:r>
        <w:rPr>
          <w:rFonts w:ascii="Amiri" w:hAnsi="Amiri" w:eastAsia="Amiri" w:cs="Amiri"/>
          <w:lang w:bidi="ar-SA"/>
          <w:color w:val="111111"/>
          <w:sz w:val="28"/>
          <w:szCs w:val="28"/>
          <w:rtl/>
        </w:rPr>
        <w:t xml:space="preserve">5 .المحرر في الفقه = محرر التدوين المحرر في الفروع الشافعية، ج 14،</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IRNazanin" w:hAnsi="IRNazanin" w:eastAsia="IRNazanin" w:cs="IRNazanin"/>
          <w:lang w:bidi="fa-IR"/>
          <w:color w:val="111111"/>
          <w:sz w:val="28"/>
          <w:szCs w:val="28"/>
          <w:rtl/>
        </w:rPr>
        <w:t xml:space="preserve">6 .المحرر (مختصر)، ج 14، ص 121.</w:t>
      </w:r>
    </w:p>
    <w:p>
      <w:pPr>
        <w:pStyle w:val="Heading2"/>
      </w:pPr>
      <w:bookmarkStart w:id="4451" w:name="_Toc3553"/>
      <w:r>
        <w:t>راقم ، محمّد، قرن 13 ه-</w:t>
      </w:r>
      <w:bookmarkEnd w:id="4451"/>
    </w:p>
    <w:p>
      <w:pPr>
        <w:pStyle w:val="BookText"/>
      </w:pPr>
      <w:r>
        <w:rPr>
          <w:rFonts w:ascii="Amiri" w:hAnsi="Amiri" w:eastAsia="Amiri" w:cs="Amiri"/>
          <w:lang w:bidi="ar-SA"/>
          <w:color w:val="111111"/>
          <w:sz w:val="28"/>
          <w:szCs w:val="28"/>
          <w:rtl/>
        </w:rPr>
        <w:t xml:space="preserve">اجازة، ج1، ص210.</w:t>
      </w:r>
    </w:p>
    <w:p>
      <w:pPr>
        <w:pStyle w:val="BookText"/>
      </w:pPr>
      <w:r>
        <w:rPr>
          <w:rFonts w:ascii="IRNazanin" w:hAnsi="IRNazanin" w:eastAsia="IRNazanin" w:cs="IRNazanin"/>
          <w:lang w:bidi="fa-IR"/>
          <w:color w:val="111111"/>
          <w:sz w:val="28"/>
          <w:szCs w:val="28"/>
          <w:rtl/>
        </w:rPr>
        <w:t xml:space="preserve">رامپوري ، عماد الدين عثمان -عثماني</w:t>
      </w:r>
    </w:p>
    <w:p>
      <w:pPr>
        <w:pStyle w:val="BookText"/>
      </w:pPr>
      <w:r>
        <w:rPr>
          <w:rFonts w:ascii="Amiri" w:hAnsi="Amiri" w:eastAsia="Amiri" w:cs="Amiri"/>
          <w:lang w:bidi="ar-SA"/>
          <w:color w:val="111111"/>
          <w:sz w:val="28"/>
          <w:szCs w:val="28"/>
          <w:rtl/>
        </w:rPr>
        <w:t xml:space="preserve">لبكني ، عماد الدين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6" w:name="pg7742_70407"/>
    <w:bookmarkEnd w:id="506"/>
    <w:p>
      <w:pPr>
        <w:pStyle w:val="BookText"/>
      </w:pPr>
      <w:r>
        <w:rPr>
          <w:rFonts w:ascii="IRNazanin" w:hAnsi="IRNazanin" w:eastAsia="IRNazanin" w:cs="IRNazanin"/>
          <w:lang w:bidi="fa-IR"/>
          <w:color w:val="111111"/>
          <w:sz w:val="28"/>
          <w:szCs w:val="28"/>
          <w:rtl/>
        </w:rPr>
        <w:t xml:space="preserve">رامپوري ، غیاث الدين- غياث الدين</w:t>
      </w:r>
    </w:p>
    <w:p>
      <w:pPr>
        <w:pStyle w:val="BookText"/>
      </w:pPr>
      <w:r>
        <w:rPr>
          <w:rFonts w:ascii="IRNazanin" w:hAnsi="IRNazanin" w:eastAsia="IRNazanin" w:cs="IRNazanin"/>
          <w:lang w:bidi="fa-IR"/>
          <w:color w:val="111111"/>
          <w:sz w:val="28"/>
          <w:szCs w:val="28"/>
          <w:rtl/>
        </w:rPr>
        <w:t xml:space="preserve">رامپوری، محمّد بن جلال الدین</w:t>
      </w:r>
    </w:p>
    <w:p>
      <w:pPr>
        <w:pStyle w:val="BookText"/>
      </w:pPr>
      <w:r>
        <w:rPr>
          <w:rFonts w:ascii="IRNazanin" w:hAnsi="IRNazanin" w:eastAsia="IRNazanin" w:cs="IRNazanin"/>
          <w:lang w:bidi="fa-IR"/>
          <w:color w:val="111111"/>
          <w:sz w:val="28"/>
          <w:szCs w:val="28"/>
          <w:rtl/>
        </w:rPr>
        <w:t xml:space="preserve">رامپوری، محمّد اعظم خان- ناظم جهان</w:t>
      </w:r>
    </w:p>
    <w:p>
      <w:pPr>
        <w:pStyle w:val="BookText"/>
      </w:pPr>
      <w:r>
        <w:rPr>
          <w:rFonts w:ascii="IRNazanin" w:hAnsi="IRNazanin" w:eastAsia="IRNazanin" w:cs="IRNazanin"/>
          <w:lang w:bidi="fa-IR"/>
          <w:color w:val="111111"/>
          <w:sz w:val="28"/>
          <w:szCs w:val="28"/>
          <w:rtl/>
        </w:rPr>
        <w:t xml:space="preserve">، محمد اعظم</w:t>
      </w:r>
    </w:p>
    <w:p>
      <w:pPr>
        <w:pStyle w:val="BookText"/>
      </w:pPr>
      <w:r>
        <w:rPr>
          <w:rFonts w:ascii="IRNazanin" w:hAnsi="IRNazanin" w:eastAsia="IRNazanin" w:cs="IRNazanin"/>
          <w:lang w:bidi="fa-IR"/>
          <w:color w:val="111111"/>
          <w:sz w:val="28"/>
          <w:szCs w:val="28"/>
          <w:rtl/>
        </w:rPr>
        <w:t xml:space="preserve">رامپوری ، محمّد سعدالله بن نظام</w:t>
      </w:r>
    </w:p>
    <w:p>
      <w:pPr>
        <w:pStyle w:val="BookText"/>
      </w:pPr>
      <w:r>
        <w:rPr>
          <w:rFonts w:ascii="Amiri" w:hAnsi="Amiri" w:eastAsia="Amiri" w:cs="Amiri"/>
          <w:lang w:bidi="ar-SA"/>
          <w:color w:val="111111"/>
          <w:sz w:val="28"/>
          <w:szCs w:val="28"/>
          <w:rtl/>
        </w:rPr>
        <w:t xml:space="preserve">الدين -مراد آبادي ، محمّد سعد الله بن نظام</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رامپوري ، محمّد غیاث الدین- غیاث</w:t>
      </w:r>
    </w:p>
    <w:p>
      <w:pPr>
        <w:pStyle w:val="BookText"/>
      </w:pPr>
      <w:r>
        <w:rPr>
          <w:rFonts w:ascii="IRNazanin" w:hAnsi="IRNazanin" w:eastAsia="IRNazanin" w:cs="IRNazanin"/>
          <w:lang w:bidi="fa-IR"/>
          <w:color w:val="111111"/>
          <w:sz w:val="28"/>
          <w:szCs w:val="28"/>
          <w:rtl/>
        </w:rPr>
        <w:t xml:space="preserve">الدین رامپوري ، محمّد بن جلال الدین</w:t>
      </w:r>
    </w:p>
    <w:p>
      <w:pPr>
        <w:pStyle w:val="BookText"/>
      </w:pPr>
      <w:r>
        <w:rPr>
          <w:rFonts w:ascii="Amiri" w:hAnsi="Amiri" w:eastAsia="Amiri" w:cs="Amiri"/>
          <w:lang w:bidi="ar-SA"/>
          <w:color w:val="111111"/>
          <w:sz w:val="28"/>
          <w:szCs w:val="28"/>
          <w:rtl/>
        </w:rPr>
        <w:t xml:space="preserve">رامي تبريزي ، حسن بن محمّد- رامي ،</w:t>
      </w:r>
    </w:p>
    <w:p>
      <w:pPr>
        <w:pStyle w:val="BookText"/>
      </w:pPr>
      <w:r>
        <w:rPr>
          <w:rFonts w:ascii="Amiri" w:hAnsi="Amiri" w:eastAsia="Amiri" w:cs="Amiri"/>
          <w:lang w:bidi="ar-SA"/>
          <w:color w:val="111111"/>
          <w:sz w:val="28"/>
          <w:szCs w:val="28"/>
          <w:rtl/>
        </w:rPr>
        <w:t xml:space="preserve">حسن بن محمّد</w:t>
      </w:r>
    </w:p>
    <w:p>
      <w:pPr>
        <w:pStyle w:val="Heading2"/>
      </w:pPr>
      <w:bookmarkStart w:id="4452" w:name="_Toc3554"/>
      <w:r>
        <w:t>رامي ، حسن بن محمّد - 795 ه-</w:t>
      </w:r>
      <w:bookmarkEnd w:id="44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انيس العشاق، ج3، ص39.</w:t>
      </w:r>
    </w:p>
    <w:p>
      <w:pPr>
        <w:pStyle w:val="BookText"/>
      </w:pPr>
      <w:r>
        <w:rPr>
          <w:rFonts w:ascii="Amiri" w:hAnsi="Amiri" w:eastAsia="Amiri" w:cs="Amiri"/>
          <w:lang w:bidi="ar-SA"/>
          <w:color w:val="111111"/>
          <w:sz w:val="28"/>
          <w:szCs w:val="28"/>
          <w:rtl/>
        </w:rPr>
        <w:t xml:space="preserve">2 .حدايق الحقايق = حقايق الحدايق</w:t>
      </w:r>
    </w:p>
    <w:p>
      <w:pPr>
        <w:pStyle w:val="BookText"/>
      </w:pPr>
      <w:r>
        <w:rPr>
          <w:rFonts w:ascii="IRNazanin" w:hAnsi="IRNazanin" w:eastAsia="IRNazanin" w:cs="IRNazanin"/>
          <w:lang w:bidi="fa-IR"/>
          <w:color w:val="111111"/>
          <w:sz w:val="28"/>
          <w:szCs w:val="28"/>
          <w:rtl/>
        </w:rPr>
        <w:t xml:space="preserve">ج 6، ص 514.</w:t>
      </w:r>
    </w:p>
    <w:p>
      <w:pPr>
        <w:pStyle w:val="BookText"/>
      </w:pPr>
      <w:r>
        <w:rPr>
          <w:rFonts w:ascii="IRNazanin" w:hAnsi="IRNazanin" w:eastAsia="IRNazanin" w:cs="IRNazanin"/>
          <w:lang w:bidi="fa-IR"/>
          <w:color w:val="111111"/>
          <w:sz w:val="28"/>
          <w:szCs w:val="28"/>
          <w:rtl/>
        </w:rPr>
        <w:t xml:space="preserve">رامي ، شرف الدین حسن بن</w:t>
      </w:r>
    </w:p>
    <w:p>
      <w:pPr>
        <w:pStyle w:val="BookText"/>
      </w:pPr>
      <w:r>
        <w:rPr>
          <w:rFonts w:ascii="Amiri" w:hAnsi="Amiri" w:eastAsia="Amiri" w:cs="Amiri"/>
          <w:lang w:bidi="ar-SA"/>
          <w:color w:val="111111"/>
          <w:sz w:val="28"/>
          <w:szCs w:val="28"/>
          <w:rtl/>
        </w:rPr>
        <w:t xml:space="preserve">محمّد-رامي ، حسن بن محمّد</w:t>
      </w:r>
    </w:p>
    <w:p>
      <w:pPr>
        <w:pStyle w:val="BookText"/>
      </w:pPr>
      <w:r>
        <w:rPr>
          <w:rFonts w:ascii="Amiri" w:hAnsi="Amiri" w:eastAsia="Amiri" w:cs="Amiri"/>
          <w:lang w:bidi="ar-SA"/>
          <w:color w:val="111111"/>
          <w:sz w:val="28"/>
          <w:szCs w:val="28"/>
          <w:rtl/>
        </w:rPr>
        <w:t xml:space="preserve">رامي ، قاسم- رامي ، قاسم بن مراد</w:t>
      </w:r>
    </w:p>
    <w:p>
      <w:pPr>
        <w:pStyle w:val="Heading2"/>
      </w:pPr>
      <w:bookmarkStart w:id="4453" w:name="_Toc3555"/>
      <w:r>
        <w:t>رامي ، قاسم بن مراد - 1186 ه-</w:t>
      </w:r>
      <w:bookmarkEnd w:id="4453"/>
    </w:p>
    <w:p>
      <w:pPr>
        <w:pStyle w:val="BookText"/>
      </w:pPr>
      <w:r>
        <w:rPr>
          <w:rFonts w:ascii="Amiri" w:hAnsi="Amiri" w:eastAsia="Amiri" w:cs="Amiri"/>
          <w:lang w:bidi="ar-SA"/>
          <w:color w:val="111111"/>
          <w:sz w:val="28"/>
          <w:szCs w:val="28"/>
          <w:rtl/>
        </w:rPr>
        <w:t xml:space="preserve">1 .تسميط ج4، ص 347.</w:t>
      </w:r>
    </w:p>
    <w:p>
      <w:pPr>
        <w:pStyle w:val="BookText"/>
      </w:pPr>
      <w:r>
        <w:rPr>
          <w:rFonts w:ascii="Amiri" w:hAnsi="Amiri" w:eastAsia="Amiri" w:cs="Amiri"/>
          <w:lang w:bidi="ar-SA"/>
          <w:color w:val="111111"/>
          <w:sz w:val="28"/>
          <w:szCs w:val="28"/>
          <w:rtl/>
        </w:rPr>
        <w:t xml:space="preserve">2.ديوان الرامي، ج 7، ص 644 .</w:t>
      </w:r>
    </w:p>
    <w:p>
      <w:pPr>
        <w:pStyle w:val="BookText"/>
      </w:pPr>
      <w:r>
        <w:rPr>
          <w:rFonts w:ascii="IRNazanin" w:hAnsi="IRNazanin" w:eastAsia="IRNazanin" w:cs="IRNazanin"/>
          <w:lang w:bidi="fa-IR"/>
          <w:color w:val="111111"/>
          <w:sz w:val="28"/>
          <w:szCs w:val="28"/>
          <w:rtl/>
        </w:rPr>
        <w:t xml:space="preserve">3 .القصائد المتسعات، ج12، ص 597.</w:t>
      </w:r>
    </w:p>
    <w:p>
      <w:pPr>
        <w:pStyle w:val="BookText"/>
      </w:pPr>
      <w:r>
        <w:rPr>
          <w:rFonts w:ascii="Amiri" w:hAnsi="Amiri" w:eastAsia="Amiri" w:cs="Amiri"/>
          <w:lang w:bidi="ar-SA"/>
          <w:color w:val="111111"/>
          <w:sz w:val="28"/>
          <w:szCs w:val="28"/>
          <w:rtl/>
        </w:rPr>
        <w:t xml:space="preserve">4 .قصائد في مدح الخليفة الصديق و</w:t>
      </w:r>
    </w:p>
    <w:p>
      <w:pPr>
        <w:pStyle w:val="BookText"/>
      </w:pPr>
      <w:r>
        <w:rPr>
          <w:rFonts w:ascii="Amiri" w:hAnsi="Amiri" w:eastAsia="Amiri" w:cs="Amiri"/>
          <w:lang w:bidi="ar-SA"/>
          <w:color w:val="111111"/>
          <w:sz w:val="28"/>
          <w:szCs w:val="28"/>
          <w:rtl/>
        </w:rPr>
        <w:t xml:space="preserve">الخليفة عمر و الخليفة عثمان و الله قطب راوندي ، سعيد بن هبة الله</w:t>
      </w:r>
    </w:p>
    <w:p>
      <w:pPr>
        <w:pStyle w:val="BookText"/>
      </w:pPr>
      <w:r>
        <w:rPr>
          <w:rFonts w:ascii="Amiri" w:hAnsi="Amiri" w:eastAsia="Amiri" w:cs="Amiri"/>
          <w:lang w:bidi="ar-SA"/>
          <w:color w:val="111111"/>
          <w:sz w:val="28"/>
          <w:szCs w:val="28"/>
          <w:rtl/>
        </w:rPr>
        <w:t xml:space="preserve">الخليفة علي رضي الله عنهم، ج12،</w:t>
      </w:r>
    </w:p>
    <w:p>
      <w:pPr>
        <w:pStyle w:val="BookText"/>
      </w:pPr>
      <w:r>
        <w:rPr>
          <w:rFonts w:ascii="IRNazanin" w:hAnsi="IRNazanin" w:eastAsia="IRNazanin" w:cs="IRNazanin"/>
          <w:lang w:bidi="fa-IR"/>
          <w:color w:val="111111"/>
          <w:sz w:val="28"/>
          <w:szCs w:val="28"/>
          <w:rtl/>
        </w:rPr>
        <w:t xml:space="preserve">ص 594.</w:t>
      </w:r>
    </w:p>
    <w:p>
      <w:pPr>
        <w:pStyle w:val="BookText"/>
      </w:pPr>
      <w:r>
        <w:rPr>
          <w:rFonts w:ascii="Amiri" w:hAnsi="Amiri" w:eastAsia="Amiri" w:cs="Amiri"/>
          <w:lang w:bidi="ar-SA"/>
          <w:color w:val="111111"/>
          <w:sz w:val="28"/>
          <w:szCs w:val="28"/>
          <w:rtl/>
        </w:rPr>
        <w:t xml:space="preserve">5 .قصيدة، ج 12، ص 638.</w:t>
      </w:r>
    </w:p>
    <w:p>
      <w:pPr>
        <w:pStyle w:val="BookText"/>
      </w:pPr>
      <w:r>
        <w:rPr>
          <w:rFonts w:ascii="Amiri" w:hAnsi="Amiri" w:eastAsia="Amiri" w:cs="Amiri"/>
          <w:lang w:bidi="ar-SA"/>
          <w:color w:val="111111"/>
          <w:sz w:val="28"/>
          <w:szCs w:val="28"/>
          <w:rtl/>
        </w:rPr>
        <w:t xml:space="preserve">6 .قصيدة الدر النظام في مدح خير</w:t>
      </w:r>
    </w:p>
    <w:p>
      <w:pPr>
        <w:pStyle w:val="BookText"/>
      </w:pPr>
      <w:r>
        <w:rPr>
          <w:rFonts w:ascii="IRNazanin" w:hAnsi="IRNazanin" w:eastAsia="IRNazanin" w:cs="IRNazanin"/>
          <w:lang w:bidi="fa-IR"/>
          <w:color w:val="111111"/>
          <w:sz w:val="28"/>
          <w:szCs w:val="28"/>
          <w:rtl/>
        </w:rPr>
        <w:t xml:space="preserve">الانام، ج12، ص 669.</w:t>
      </w:r>
    </w:p>
    <w:p>
      <w:pPr>
        <w:pStyle w:val="BookText"/>
      </w:pPr>
      <w:r>
        <w:rPr>
          <w:rFonts w:ascii="Amiri" w:hAnsi="Amiri" w:eastAsia="Amiri" w:cs="Amiri"/>
          <w:lang w:bidi="ar-SA"/>
          <w:color w:val="111111"/>
          <w:sz w:val="28"/>
          <w:szCs w:val="28"/>
          <w:rtl/>
        </w:rPr>
        <w:t xml:space="preserve">راميني، ابراهيم بن محمّد- ابن مفلح ،</w:t>
      </w:r>
    </w:p>
    <w:p>
      <w:pPr>
        <w:pStyle w:val="BookText"/>
      </w:pPr>
      <w:r>
        <w:rPr>
          <w:rFonts w:ascii="IRNazanin" w:hAnsi="IRNazanin" w:eastAsia="IRNazanin" w:cs="IRNazanin"/>
          <w:lang w:bidi="fa-IR"/>
          <w:color w:val="111111"/>
          <w:sz w:val="28"/>
          <w:szCs w:val="28"/>
          <w:rtl/>
        </w:rPr>
        <w:t xml:space="preserve">ابراهیم بن محمّد</w:t>
      </w:r>
    </w:p>
    <w:p>
      <w:pPr>
        <w:pStyle w:val="Heading2"/>
      </w:pPr>
      <w:bookmarkStart w:id="4454" w:name="_Toc3556"/>
      <w:r>
        <w:t>راهب آمدي، عبد النور - 1755 م</w:t>
      </w:r>
      <w:bookmarkEnd w:id="4454"/>
    </w:p>
    <w:p>
      <w:pPr>
        <w:pStyle w:val="BookText"/>
      </w:pPr>
      <w:r>
        <w:rPr>
          <w:rFonts w:ascii="Amiri" w:hAnsi="Amiri" w:eastAsia="Amiri" w:cs="Amiri"/>
          <w:lang w:bidi="ar-SA"/>
          <w:color w:val="111111"/>
          <w:sz w:val="28"/>
          <w:szCs w:val="28"/>
          <w:rtl/>
        </w:rPr>
        <w:t xml:space="preserve">المعرفة الحقيقية إلى جميع الامم الموجودين تحت السماء، ج 15 ، ص 54 .</w:t>
      </w:r>
    </w:p>
    <w:p>
      <w:pPr>
        <w:pStyle w:val="BookText"/>
      </w:pPr>
      <w:r>
        <w:rPr>
          <w:rFonts w:ascii="Amiri" w:hAnsi="Amiri" w:eastAsia="Amiri" w:cs="Amiri"/>
          <w:lang w:bidi="ar-SA"/>
          <w:color w:val="111111"/>
          <w:sz w:val="28"/>
          <w:szCs w:val="28"/>
          <w:rtl/>
        </w:rPr>
        <w:t xml:space="preserve">راهب انطاكي بولس- انطاكي ، بولس</w:t>
      </w:r>
    </w:p>
    <w:p>
      <w:pPr>
        <w:pStyle w:val="BookText"/>
      </w:pPr>
      <w:r>
        <w:rPr>
          <w:rFonts w:ascii="Amiri" w:hAnsi="Amiri" w:eastAsia="Amiri" w:cs="Amiri"/>
          <w:lang w:bidi="ar-SA"/>
          <w:color w:val="111111"/>
          <w:sz w:val="28"/>
          <w:szCs w:val="28"/>
          <w:rtl/>
        </w:rPr>
        <w:t xml:space="preserve">راهب جبرائيل بن بطريق - راهب ،</w:t>
      </w:r>
    </w:p>
    <w:p>
      <w:pPr>
        <w:pStyle w:val="BookText"/>
      </w:pPr>
      <w:r>
        <w:rPr>
          <w:rFonts w:ascii="Amiri" w:hAnsi="Amiri" w:eastAsia="Amiri" w:cs="Amiri"/>
          <w:lang w:bidi="ar-SA"/>
          <w:color w:val="111111"/>
          <w:sz w:val="28"/>
          <w:szCs w:val="28"/>
          <w:rtl/>
        </w:rPr>
        <w:t xml:space="preserve">جبرائيل بن بطريق</w:t>
      </w:r>
    </w:p>
    <w:p>
      <w:pPr>
        <w:pStyle w:val="Heading2"/>
      </w:pPr>
      <w:bookmarkStart w:id="4455" w:name="_Toc3557"/>
      <w:r>
        <w:t>؟ راهب، جبرائيل بن بطريق، قرن 13 ه-</w:t>
      </w:r>
      <w:bookmarkEnd w:id="4455"/>
    </w:p>
    <w:p>
      <w:pPr>
        <w:pStyle w:val="BookText"/>
      </w:pPr>
      <w:r>
        <w:rPr>
          <w:rFonts w:ascii="Amiri" w:hAnsi="Amiri" w:eastAsia="Amiri" w:cs="Amiri"/>
          <w:lang w:bidi="ar-SA"/>
          <w:color w:val="111111"/>
          <w:sz w:val="28"/>
          <w:szCs w:val="28"/>
          <w:rtl/>
        </w:rPr>
        <w:t xml:space="preserve">كتاب القديس نيقن مصنف الحاوي الكبير، ج 13 ، ص 115.</w:t>
      </w:r>
    </w:p>
    <w:p>
      <w:pPr>
        <w:pStyle w:val="BookText"/>
      </w:pPr>
      <w:r>
        <w:rPr>
          <w:rFonts w:ascii="Amiri" w:hAnsi="Amiri" w:eastAsia="Amiri" w:cs="Amiri"/>
          <w:lang w:bidi="ar-SA"/>
          <w:color w:val="111111"/>
          <w:sz w:val="28"/>
          <w:szCs w:val="28"/>
          <w:rtl/>
        </w:rPr>
        <w:t xml:space="preserve">راهب عبد النور آمدي- راهب آمدي</w:t>
      </w:r>
    </w:p>
    <w:p>
      <w:pPr>
        <w:pStyle w:val="BookText"/>
      </w:pPr>
      <w:r>
        <w:rPr>
          <w:rFonts w:ascii="IRNazanin" w:hAnsi="IRNazanin" w:eastAsia="IRNazanin" w:cs="IRNazanin"/>
          <w:lang w:bidi="fa-IR"/>
          <w:color w:val="111111"/>
          <w:sz w:val="28"/>
          <w:szCs w:val="28"/>
          <w:rtl/>
        </w:rPr>
        <w:t xml:space="preserve">عبد النور</w:t>
      </w:r>
    </w:p>
    <w:p>
      <w:pPr>
        <w:pStyle w:val="BookText"/>
      </w:pPr>
      <w:r>
        <w:rPr>
          <w:rFonts w:ascii="Amiri" w:hAnsi="Amiri" w:eastAsia="Amiri" w:cs="Amiri"/>
          <w:lang w:bidi="ar-SA"/>
          <w:color w:val="111111"/>
          <w:sz w:val="28"/>
          <w:szCs w:val="28"/>
          <w:rtl/>
        </w:rPr>
        <w:t xml:space="preserve">راوندي ، سعيد بن هبة الله- قطب</w:t>
      </w:r>
    </w:p>
    <w:p>
      <w:pPr>
        <w:pStyle w:val="BookText"/>
      </w:pPr>
      <w:r>
        <w:rPr>
          <w:rFonts w:ascii="Amiri" w:hAnsi="Amiri" w:eastAsia="Amiri" w:cs="Amiri"/>
          <w:lang w:bidi="ar-SA"/>
          <w:color w:val="111111"/>
          <w:sz w:val="28"/>
          <w:szCs w:val="28"/>
          <w:rtl/>
        </w:rPr>
        <w:t xml:space="preserve">راوندي ، سعيد بن هبة الله</w:t>
      </w:r>
    </w:p>
    <w:p>
      <w:pPr>
        <w:pStyle w:val="BookText"/>
      </w:pPr>
      <w:r>
        <w:rPr>
          <w:rFonts w:ascii="Amiri" w:hAnsi="Amiri" w:eastAsia="Amiri" w:cs="Amiri"/>
          <w:lang w:bidi="ar-SA"/>
          <w:color w:val="111111"/>
          <w:sz w:val="28"/>
          <w:szCs w:val="28"/>
          <w:rtl/>
        </w:rPr>
        <w:t xml:space="preserve">راوندي، ضياء الدين فضل الله بن علي-</w:t>
      </w:r>
    </w:p>
    <w:p>
      <w:pPr>
        <w:pStyle w:val="BookText"/>
      </w:pPr>
      <w:r>
        <w:rPr>
          <w:rFonts w:ascii="Amiri" w:hAnsi="Amiri" w:eastAsia="Amiri" w:cs="Amiri"/>
          <w:lang w:bidi="ar-SA"/>
          <w:color w:val="111111"/>
          <w:sz w:val="28"/>
          <w:szCs w:val="28"/>
          <w:rtl/>
        </w:rPr>
        <w:t xml:space="preserve">راوندي كاشاني، فضل الله بن علي</w:t>
      </w:r>
    </w:p>
    <w:p>
      <w:pPr>
        <w:pStyle w:val="BookText"/>
      </w:pPr>
      <w:r>
        <w:rPr>
          <w:rFonts w:ascii="Amiri" w:hAnsi="Amiri" w:eastAsia="Amiri" w:cs="Amiri"/>
          <w:lang w:bidi="ar-SA"/>
          <w:color w:val="111111"/>
          <w:sz w:val="28"/>
          <w:szCs w:val="28"/>
          <w:rtl/>
        </w:rPr>
        <w:t xml:space="preserve">راوندي ، فضل بن علي- راوندي كاشاني فضل الله بن علي</w:t>
      </w:r>
    </w:p>
    <w:p>
      <w:pPr>
        <w:pStyle w:val="BookText"/>
      </w:pPr>
      <w:r>
        <w:rPr>
          <w:rFonts w:ascii="Amiri" w:hAnsi="Amiri" w:eastAsia="Amiri" w:cs="Amiri"/>
          <w:lang w:bidi="ar-SA"/>
          <w:color w:val="111111"/>
          <w:sz w:val="28"/>
          <w:szCs w:val="28"/>
          <w:rtl/>
        </w:rPr>
        <w:t xml:space="preserve">راوندي ، قطب الدين سعيد بن هبة</w:t>
      </w:r>
    </w:p>
    <w:p>
      <w:pPr>
        <w:pStyle w:val="BookText"/>
      </w:pPr>
      <w:r>
        <w:rPr>
          <w:rFonts w:ascii="Amiri" w:hAnsi="Amiri" w:eastAsia="Amiri" w:cs="Amiri"/>
          <w:lang w:bidi="ar-SA"/>
          <w:color w:val="111111"/>
          <w:sz w:val="28"/>
          <w:szCs w:val="28"/>
          <w:rtl/>
        </w:rPr>
        <w:t xml:space="preserve">راوندي كاشاني، ابوالرضا فضل الله بن</w:t>
      </w:r>
    </w:p>
    <w:p>
      <w:pPr>
        <w:pStyle w:val="BookText"/>
      </w:pPr>
      <w:r>
        <w:rPr>
          <w:rFonts w:ascii="Amiri" w:hAnsi="Amiri" w:eastAsia="Amiri" w:cs="Amiri"/>
          <w:lang w:bidi="ar-SA"/>
          <w:color w:val="111111"/>
          <w:sz w:val="28"/>
          <w:szCs w:val="28"/>
          <w:rtl/>
        </w:rPr>
        <w:t xml:space="preserve">علي- راوندي كاشاني، فضل الله بن علي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7" w:name="pg7742_70409"/>
    <w:bookmarkEnd w:id="507"/>
    <w:p>
      <w:pPr>
        <w:pStyle w:val="Heading2"/>
      </w:pPr>
      <w:bookmarkStart w:id="4456" w:name="_Toc3558"/>
      <w:r>
        <w:t>راوندي كاشاني ، فضل الله بن علي، 483 -</w:t>
      </w:r>
      <w:bookmarkEnd w:id="4456"/>
    </w:p>
    <w:p>
      <w:pPr>
        <w:pStyle w:val="BookText"/>
      </w:pPr>
      <w:r>
        <w:rPr>
          <w:rFonts w:ascii="IRNazanin" w:hAnsi="IRNazanin" w:eastAsia="IRNazanin" w:cs="IRNazanin"/>
          <w:lang w:bidi="fa-IR"/>
          <w:color w:val="111111"/>
          <w:sz w:val="28"/>
          <w:szCs w:val="28"/>
          <w:rtl/>
        </w:rPr>
        <w:t xml:space="preserve">572؟ ه-</w:t>
      </w:r>
    </w:p>
    <w:p>
      <w:pPr>
        <w:pStyle w:val="BookText"/>
      </w:pPr>
      <w:r>
        <w:rPr>
          <w:rFonts w:ascii="Amiri" w:hAnsi="Amiri" w:eastAsia="Amiri" w:cs="Amiri"/>
          <w:lang w:bidi="ar-SA"/>
          <w:color w:val="111111"/>
          <w:sz w:val="28"/>
          <w:szCs w:val="28"/>
          <w:rtl/>
        </w:rPr>
        <w:t xml:space="preserve">1 .ادعية السر، ج 1، ص 632.</w:t>
      </w:r>
    </w:p>
    <w:p>
      <w:pPr>
        <w:pStyle w:val="BookText"/>
      </w:pPr>
      <w:r>
        <w:rPr>
          <w:rFonts w:ascii="Amiri" w:hAnsi="Amiri" w:eastAsia="Amiri" w:cs="Amiri"/>
          <w:lang w:bidi="ar-SA"/>
          <w:color w:val="111111"/>
          <w:sz w:val="28"/>
          <w:szCs w:val="28"/>
          <w:rtl/>
        </w:rPr>
        <w:t xml:space="preserve">2 .ترجمة العلوي للطب الرضوي، جع،</w:t>
      </w:r>
    </w:p>
    <w:p>
      <w:pPr>
        <w:pStyle w:val="BookText"/>
      </w:pPr>
      <w:r>
        <w:rPr>
          <w:rFonts w:ascii="IRNazanin" w:hAnsi="IRNazanin" w:eastAsia="IRNazanin" w:cs="IRNazanin"/>
          <w:lang w:bidi="fa-IR"/>
          <w:color w:val="111111"/>
          <w:sz w:val="28"/>
          <w:szCs w:val="28"/>
          <w:rtl/>
        </w:rPr>
        <w:t xml:space="preserve">ص 289</w:t>
      </w:r>
    </w:p>
    <w:p>
      <w:pPr>
        <w:pStyle w:val="BookText"/>
      </w:pPr>
      <w:r>
        <w:rPr>
          <w:rFonts w:ascii="Amiri" w:hAnsi="Amiri" w:eastAsia="Amiri" w:cs="Amiri"/>
          <w:lang w:bidi="ar-SA"/>
          <w:color w:val="111111"/>
          <w:sz w:val="28"/>
          <w:szCs w:val="28"/>
          <w:rtl/>
        </w:rPr>
        <w:t xml:space="preserve">3 .ضوء الشهاب في شرح الشهاب شرح شهاب الاخبار، ج 10، ص 698.</w:t>
      </w:r>
    </w:p>
    <w:p>
      <w:pPr>
        <w:pStyle w:val="BookText"/>
      </w:pPr>
      <w:r>
        <w:rPr>
          <w:rFonts w:ascii="IRNazanin" w:hAnsi="IRNazanin" w:eastAsia="IRNazanin" w:cs="IRNazanin"/>
          <w:lang w:bidi="fa-IR"/>
          <w:color w:val="111111"/>
          <w:sz w:val="28"/>
          <w:szCs w:val="28"/>
          <w:rtl/>
        </w:rPr>
        <w:t xml:space="preserve">4 .النوادر، ج 16، ص 537 .</w:t>
      </w:r>
    </w:p>
    <w:p>
      <w:pPr>
        <w:pStyle w:val="Heading2"/>
      </w:pPr>
      <w:bookmarkStart w:id="4457" w:name="_Toc3559"/>
      <w:r>
        <w:t>راوندي، محمّد بن حسن قرن 8 ه-</w:t>
      </w:r>
      <w:bookmarkEnd w:id="4457"/>
    </w:p>
    <w:p>
      <w:pPr>
        <w:pStyle w:val="BookText"/>
      </w:pPr>
      <w:r>
        <w:rPr>
          <w:rFonts w:ascii="Amiri" w:hAnsi="Amiri" w:eastAsia="Amiri" w:cs="Amiri"/>
          <w:lang w:bidi="ar-SA"/>
          <w:color w:val="111111"/>
          <w:sz w:val="28"/>
          <w:szCs w:val="28"/>
          <w:rtl/>
        </w:rPr>
        <w:t xml:space="preserve">التنبيهات على معاني السبع العلويات - شرح القصائد السبع العلويات، جه، ص 19.</w:t>
      </w:r>
    </w:p>
    <w:p>
      <w:pPr>
        <w:pStyle w:val="Heading2"/>
      </w:pPr>
      <w:bookmarkStart w:id="4458" w:name="_Toc3560"/>
      <w:r>
        <w:t>راوندي، محمّد بن سعيد، قرن 6 ه-</w:t>
      </w:r>
      <w:bookmarkEnd w:id="4458"/>
    </w:p>
    <w:p>
      <w:pPr>
        <w:pStyle w:val="BookText"/>
      </w:pPr>
      <w:r>
        <w:rPr>
          <w:rFonts w:ascii="Amiri" w:hAnsi="Amiri" w:eastAsia="Amiri" w:cs="Amiri"/>
          <w:lang w:bidi="ar-SA"/>
          <w:color w:val="111111"/>
          <w:sz w:val="28"/>
          <w:szCs w:val="28"/>
          <w:rtl/>
        </w:rPr>
        <w:t xml:space="preserve">الاربعون حديثاً، ج 1، ص 683.</w:t>
      </w:r>
    </w:p>
    <w:p>
      <w:pPr>
        <w:pStyle w:val="Heading2"/>
      </w:pPr>
      <w:bookmarkStart w:id="4459" w:name="_Toc3561"/>
      <w:r>
        <w:t>راوي ، ابراهيم - 1947م</w:t>
      </w:r>
      <w:bookmarkEnd w:id="4459"/>
    </w:p>
    <w:p>
      <w:pPr>
        <w:pStyle w:val="BookText"/>
      </w:pPr>
      <w:r>
        <w:rPr>
          <w:rFonts w:ascii="Amiri" w:hAnsi="Amiri" w:eastAsia="Amiri" w:cs="Amiri"/>
          <w:lang w:bidi="ar-SA"/>
          <w:color w:val="111111"/>
          <w:sz w:val="28"/>
          <w:szCs w:val="28"/>
          <w:rtl/>
        </w:rPr>
        <w:t xml:space="preserve">تشطير، ج4، ص381.</w:t>
      </w:r>
    </w:p>
    <w:p>
      <w:pPr>
        <w:pStyle w:val="Heading2"/>
      </w:pPr>
      <w:bookmarkStart w:id="4460" w:name="_Toc3562"/>
      <w:r>
        <w:t>راوي، ابراهيم بن محمّد - 1365 ه-</w:t>
      </w:r>
      <w:bookmarkEnd w:id="4460"/>
    </w:p>
    <w:p>
      <w:pPr>
        <w:pStyle w:val="BookText"/>
      </w:pPr>
      <w:r>
        <w:rPr>
          <w:rFonts w:ascii="Amiri" w:hAnsi="Amiri" w:eastAsia="Amiri" w:cs="Amiri"/>
          <w:lang w:bidi="ar-SA"/>
          <w:color w:val="111111"/>
          <w:sz w:val="28"/>
          <w:szCs w:val="28"/>
          <w:rtl/>
        </w:rPr>
        <w:t xml:space="preserve">1 .الاجوبة العقلية على إثبات أشرفية</w:t>
      </w:r>
    </w:p>
    <w:p>
      <w:pPr>
        <w:pStyle w:val="BookText"/>
      </w:pPr>
      <w:r>
        <w:rPr>
          <w:rFonts w:ascii="Amiri" w:hAnsi="Amiri" w:eastAsia="Amiri" w:cs="Amiri"/>
          <w:lang w:bidi="ar-SA"/>
          <w:color w:val="111111"/>
          <w:sz w:val="28"/>
          <w:szCs w:val="28"/>
          <w:rtl/>
        </w:rPr>
        <w:t xml:space="preserve">الشريعة المحمدية = الأدلة</w:t>
      </w:r>
    </w:p>
    <w:p>
      <w:pPr>
        <w:pStyle w:val="BookText"/>
      </w:pPr>
      <w:r>
        <w:rPr>
          <w:rFonts w:ascii="Amiri" w:hAnsi="Amiri" w:eastAsia="Amiri" w:cs="Amiri"/>
          <w:lang w:bidi="ar-SA"/>
          <w:color w:val="111111"/>
          <w:sz w:val="28"/>
          <w:szCs w:val="28"/>
          <w:rtl/>
        </w:rPr>
        <w:t xml:space="preserve">العقلية، ج 1، ص 324.</w:t>
      </w:r>
    </w:p>
    <w:p>
      <w:pPr>
        <w:pStyle w:val="BookText"/>
      </w:pPr>
      <w:r>
        <w:rPr>
          <w:rFonts w:ascii="Amiri" w:hAnsi="Amiri" w:eastAsia="Amiri" w:cs="Amiri"/>
          <w:lang w:bidi="ar-SA"/>
          <w:color w:val="111111"/>
          <w:sz w:val="28"/>
          <w:szCs w:val="28"/>
          <w:rtl/>
        </w:rPr>
        <w:t xml:space="preserve">2 .السفر الحاوي لمنظومات السيد محمّد الراوي، ج 8، ص777</w:t>
      </w:r>
    </w:p>
    <w:p>
      <w:pPr>
        <w:pStyle w:val="Heading2"/>
      </w:pPr>
      <w:bookmarkStart w:id="4461" w:name="_Toc3563"/>
      <w:r>
        <w:t>راوي ، ابوابراهيم محمّد - 1289 ه-</w:t>
      </w:r>
      <w:bookmarkEnd w:id="4461"/>
    </w:p>
    <w:p>
      <w:pPr>
        <w:pStyle w:val="BookText"/>
      </w:pPr>
      <w:r>
        <w:rPr>
          <w:rFonts w:ascii="Amiri" w:hAnsi="Amiri" w:eastAsia="Amiri" w:cs="Amiri"/>
          <w:lang w:bidi="ar-SA"/>
          <w:color w:val="111111"/>
          <w:sz w:val="28"/>
          <w:szCs w:val="28"/>
          <w:rtl/>
        </w:rPr>
        <w:t xml:space="preserve">ديوان الراوي، ج 7، ص 645 .</w:t>
      </w:r>
    </w:p>
    <w:p>
      <w:pPr>
        <w:pStyle w:val="Heading2"/>
      </w:pPr>
      <w:bookmarkStart w:id="4462" w:name="_Toc3564"/>
      <w:r>
        <w:t>راوي بغدادي ، احمد بن عبدالرحمن 1318 ه-</w:t>
      </w:r>
      <w:bookmarkEnd w:id="4462"/>
    </w:p>
    <w:p>
      <w:pPr>
        <w:pStyle w:val="BookText"/>
      </w:pPr>
      <w:r>
        <w:rPr>
          <w:rFonts w:ascii="Amiri" w:hAnsi="Amiri" w:eastAsia="Amiri" w:cs="Amiri"/>
          <w:lang w:bidi="ar-SA"/>
          <w:color w:val="111111"/>
          <w:sz w:val="28"/>
          <w:szCs w:val="28"/>
          <w:rtl/>
        </w:rPr>
        <w:t xml:space="preserve">صفع البرهان على قفا سليمان، ج10،</w:t>
      </w:r>
    </w:p>
    <w:p>
      <w:pPr>
        <w:pStyle w:val="BookText"/>
      </w:pPr>
      <w:r>
        <w:rPr>
          <w:rFonts w:ascii="IRNazanin" w:hAnsi="IRNazanin" w:eastAsia="IRNazanin" w:cs="IRNazanin"/>
          <w:lang w:bidi="fa-IR"/>
          <w:color w:val="111111"/>
          <w:sz w:val="28"/>
          <w:szCs w:val="28"/>
          <w:rtl/>
        </w:rPr>
        <w:t xml:space="preserve">ص 572</w:t>
      </w:r>
    </w:p>
    <w:p>
      <w:pPr>
        <w:pStyle w:val="Heading2"/>
      </w:pPr>
      <w:bookmarkStart w:id="4463" w:name="_Toc3565"/>
      <w:r>
        <w:t>راوي بغدادي ، عبدالله، 12 ه-</w:t>
      </w:r>
      <w:bookmarkEnd w:id="4463"/>
    </w:p>
    <w:p>
      <w:pPr>
        <w:pStyle w:val="BookText"/>
      </w:pPr>
      <w:r>
        <w:rPr>
          <w:rFonts w:ascii="IRNazanin" w:hAnsi="IRNazanin" w:eastAsia="IRNazanin" w:cs="IRNazanin"/>
          <w:lang w:bidi="fa-IR"/>
          <w:color w:val="111111"/>
          <w:sz w:val="28"/>
          <w:szCs w:val="28"/>
          <w:rtl/>
        </w:rPr>
        <w:t xml:space="preserve">دیوان عبدالله راوي، ج7، ص 705.</w:t>
      </w:r>
    </w:p>
    <w:p>
      <w:pPr>
        <w:pStyle w:val="Heading2"/>
      </w:pPr>
      <w:bookmarkStart w:id="4464" w:name="_Toc3566"/>
      <w:r>
        <w:t>راوي رفاعي ، ابراهيم بن محمّد</w:t>
      </w:r>
      <w:bookmarkEnd w:id="4464"/>
    </w:p>
    <w:p>
      <w:pPr>
        <w:pStyle w:val="BookText"/>
      </w:pPr>
      <w:r>
        <w:rPr>
          <w:rFonts w:ascii="Amiri" w:hAnsi="Amiri" w:eastAsia="Amiri" w:cs="Amiri"/>
          <w:lang w:bidi="ar-SA"/>
          <w:color w:val="111111"/>
          <w:sz w:val="28"/>
          <w:szCs w:val="28"/>
          <w:rtl/>
        </w:rPr>
        <w:t xml:space="preserve">النفحة المسكية في الصلاة على خير</w:t>
      </w:r>
    </w:p>
    <w:p>
      <w:pPr>
        <w:pStyle w:val="BookText"/>
      </w:pPr>
      <w:r>
        <w:rPr>
          <w:rFonts w:ascii="Amiri" w:hAnsi="Amiri" w:eastAsia="Amiri" w:cs="Amiri"/>
          <w:lang w:bidi="ar-SA"/>
          <w:color w:val="111111"/>
          <w:sz w:val="28"/>
          <w:szCs w:val="28"/>
          <w:rtl/>
        </w:rPr>
        <w:t xml:space="preserve">البرية، ج 16 ، ص 395.</w:t>
      </w:r>
    </w:p>
    <w:p>
      <w:pPr>
        <w:pStyle w:val="Heading2"/>
      </w:pPr>
      <w:bookmarkStart w:id="4465" w:name="_Toc3567"/>
      <w:r>
        <w:t>راوي عبدالله بن عبدالرحمن قرن 14 ه-</w:t>
      </w:r>
      <w:bookmarkEnd w:id="4465"/>
    </w:p>
    <w:p>
      <w:pPr>
        <w:pStyle w:val="BookText"/>
      </w:pPr>
      <w:r>
        <w:rPr>
          <w:rFonts w:ascii="Amiri" w:hAnsi="Amiri" w:eastAsia="Amiri" w:cs="Amiri"/>
          <w:lang w:bidi="ar-SA"/>
          <w:color w:val="111111"/>
          <w:sz w:val="28"/>
          <w:szCs w:val="28"/>
          <w:rtl/>
        </w:rPr>
        <w:t xml:space="preserve">مجموعة ادبية، ج 14، ص 18.</w:t>
      </w:r>
    </w:p>
    <w:p>
      <w:pPr>
        <w:pStyle w:val="BookText"/>
      </w:pPr>
      <w:r>
        <w:rPr>
          <w:rFonts w:ascii="Amiri" w:hAnsi="Amiri" w:eastAsia="Amiri" w:cs="Amiri"/>
          <w:lang w:bidi="ar-SA"/>
          <w:color w:val="111111"/>
          <w:sz w:val="28"/>
          <w:szCs w:val="28"/>
          <w:rtl/>
        </w:rPr>
        <w:t xml:space="preserve">راوي ، محمّد- راوي، ابوابراهيم محمّد</w:t>
      </w:r>
    </w:p>
    <w:p>
      <w:pPr>
        <w:pStyle w:val="Heading2"/>
      </w:pPr>
      <w:bookmarkStart w:id="4466" w:name="_Toc3568"/>
      <w:r>
        <w:t>راوي، محمّد سعيد - 1354</w:t>
      </w:r>
      <w:bookmarkEnd w:id="4466"/>
    </w:p>
    <w:p>
      <w:pPr>
        <w:pStyle w:val="BookText"/>
      </w:pPr>
      <w:r>
        <w:rPr>
          <w:rFonts w:ascii="Amiri" w:hAnsi="Amiri" w:eastAsia="Amiri" w:cs="Amiri"/>
          <w:lang w:bidi="ar-SA"/>
          <w:color w:val="111111"/>
          <w:sz w:val="28"/>
          <w:szCs w:val="28"/>
          <w:rtl/>
        </w:rPr>
        <w:t xml:space="preserve">نقد في التاريخ، ج 16، ص 417.</w:t>
      </w:r>
    </w:p>
    <w:p>
      <w:pPr>
        <w:pStyle w:val="Heading2"/>
      </w:pPr>
      <w:bookmarkStart w:id="4467" w:name="_Toc3569"/>
      <w:r>
        <w:t>رايض بدخشاني ، علي بن محمود - 909</w:t>
      </w:r>
      <w:bookmarkEnd w:id="4467"/>
    </w:p>
    <w:p>
      <w:pPr>
        <w:pStyle w:val="BookText"/>
      </w:pPr>
      <w:r>
        <w:rPr>
          <w:rFonts w:ascii="Amiri" w:hAnsi="Amiri" w:eastAsia="Amiri" w:cs="Amiri"/>
          <w:lang w:bidi="ar-SA"/>
          <w:color w:val="111111"/>
          <w:sz w:val="28"/>
          <w:szCs w:val="28"/>
          <w:rtl/>
        </w:rPr>
        <w:t xml:space="preserve">اخلص خالصة الحقائق = تلخيص الخالصة = مختصر خالصة الحقائق لمافيه من اساليب الدقائق، ج1، ص 583.</w:t>
      </w:r>
    </w:p>
    <w:p>
      <w:pPr>
        <w:pStyle w:val="BookText"/>
      </w:pPr>
      <w:r>
        <w:rPr>
          <w:rFonts w:ascii="Amiri" w:hAnsi="Amiri" w:eastAsia="Amiri" w:cs="Amiri"/>
          <w:lang w:bidi="ar-SA"/>
          <w:color w:val="111111"/>
          <w:sz w:val="28"/>
          <w:szCs w:val="28"/>
          <w:rtl/>
        </w:rPr>
        <w:t xml:space="preserve">رايض، علي بن محمود- رايض بدخشاني ،</w:t>
      </w:r>
    </w:p>
    <w:p>
      <w:pPr>
        <w:pStyle w:val="BookText"/>
      </w:pPr>
      <w:r>
        <w:rPr>
          <w:rFonts w:ascii="Amiri" w:hAnsi="Amiri" w:eastAsia="Amiri" w:cs="Amiri"/>
          <w:lang w:bidi="ar-SA"/>
          <w:color w:val="111111"/>
          <w:sz w:val="28"/>
          <w:szCs w:val="28"/>
          <w:rtl/>
        </w:rPr>
        <w:t xml:space="preserve">علي بن محمود</w:t>
      </w:r>
    </w:p>
    <w:p>
      <w:pPr>
        <w:pStyle w:val="BookText"/>
      </w:pPr>
      <w:r>
        <w:rPr>
          <w:rFonts w:ascii="Amiri" w:hAnsi="Amiri" w:eastAsia="Amiri" w:cs="Amiri"/>
          <w:lang w:bidi="ar-SA"/>
          <w:color w:val="111111"/>
          <w:sz w:val="28"/>
          <w:szCs w:val="28"/>
          <w:rtl/>
        </w:rPr>
        <w:t xml:space="preserve">رباط بقاعي ، ابراهيم بن عمر- رباط</w:t>
      </w:r>
    </w:p>
    <w:p>
      <w:pPr>
        <w:pStyle w:val="BookText"/>
      </w:pPr>
      <w:r>
        <w:rPr>
          <w:rFonts w:ascii="Amiri" w:hAnsi="Amiri" w:eastAsia="Amiri" w:cs="Amiri"/>
          <w:lang w:bidi="ar-SA"/>
          <w:color w:val="111111"/>
          <w:sz w:val="28"/>
          <w:szCs w:val="28"/>
          <w:rtl/>
        </w:rPr>
        <w:t xml:space="preserve">شافعي ، ابراهيم بن عمر</w:t>
      </w:r>
    </w:p>
    <w:p>
      <w:pPr>
        <w:pStyle w:val="Heading2"/>
      </w:pPr>
      <w:bookmarkStart w:id="4468" w:name="_Toc3570"/>
      <w:r>
        <w:t>رباط شافعي ، ابراهيم بن عمر</w:t>
      </w:r>
      <w:bookmarkEnd w:id="4468"/>
    </w:p>
    <w:p>
      <w:pPr>
        <w:pStyle w:val="BookText"/>
      </w:pPr>
      <w:r>
        <w:rPr>
          <w:rFonts w:ascii="Amiri" w:hAnsi="Amiri" w:eastAsia="Amiri" w:cs="Amiri"/>
          <w:lang w:bidi="ar-SA"/>
          <w:color w:val="111111"/>
          <w:sz w:val="28"/>
          <w:szCs w:val="28"/>
          <w:rtl/>
        </w:rPr>
        <w:t xml:space="preserve">قصيدة نبوية، ج 12، ص 720.</w:t>
      </w:r>
    </w:p>
    <w:p>
      <w:pPr>
        <w:pStyle w:val="BookText"/>
      </w:pPr>
      <w:r>
        <w:rPr>
          <w:rFonts w:ascii="Amiri" w:hAnsi="Amiri" w:eastAsia="Amiri" w:cs="Amiri"/>
          <w:lang w:bidi="ar-SA"/>
          <w:color w:val="111111"/>
          <w:sz w:val="28"/>
          <w:szCs w:val="28"/>
          <w:rtl/>
        </w:rPr>
        <w:t xml:space="preserve">رباطي ، علي بن محمّد -ابن بري ، علي بن محمّد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8" w:name="pg7742_70411"/>
    <w:bookmarkEnd w:id="508"/>
    <w:p>
      <w:pPr>
        <w:pStyle w:val="BookText"/>
      </w:pPr>
      <w:r>
        <w:rPr>
          <w:rFonts w:ascii="Times New Roman" w:hAnsi="Times New Roman" w:eastAsia="Times New Roman" w:cs="Times New Roman"/>
          <w:lang w:val="en-US" w:bidi="en-US"/>
          <w:color w:val="111111"/>
          <w:sz w:val="28"/>
          <w:szCs w:val="28"/>
          <w:rtl/>
        </w:rPr>
        <w:t xml:space="preserve">१</w:t>
      </w:r>
    </w:p>
    <w:p>
      <w:pPr>
        <w:pStyle w:val="Heading2"/>
      </w:pPr>
      <w:bookmarkStart w:id="4469" w:name="_Toc3571"/>
      <w:r>
        <w:t>ربتكي ، عبدالله بن احمد، 1060 - 1159</w:t>
      </w:r>
      <w:bookmarkEnd w:id="4469"/>
    </w:p>
    <w:p>
      <w:pPr>
        <w:pStyle w:val="BookText"/>
      </w:pPr>
      <w:r>
        <w:rPr>
          <w:rFonts w:ascii="Amiri" w:hAnsi="Amiri" w:eastAsia="Amiri" w:cs="Amiri"/>
          <w:lang w:bidi="ar-SA"/>
          <w:color w:val="111111"/>
          <w:sz w:val="28"/>
          <w:szCs w:val="28"/>
          <w:rtl/>
        </w:rPr>
        <w:t xml:space="preserve">1 .الاشكال الأربعة في المنطق (منظومة في) = ضابطة الاشكال( منظومة في)، ج 2، ص 344.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اصول الدين( رسالة في)، ج2،</w:t>
      </w:r>
    </w:p>
    <w:p>
      <w:pPr>
        <w:pStyle w:val="BookText"/>
      </w:pPr>
      <w:r>
        <w:rPr>
          <w:rFonts w:ascii="IRNazanin" w:hAnsi="IRNazanin" w:eastAsia="IRNazanin" w:cs="IRNazanin"/>
          <w:lang w:bidi="fa-IR"/>
          <w:color w:val="111111"/>
          <w:sz w:val="28"/>
          <w:szCs w:val="28"/>
          <w:rtl/>
        </w:rPr>
        <w:t xml:space="preserve">ص 413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الرافضة (رسالة في بحث) = الرد</w:t>
      </w:r>
    </w:p>
    <w:p>
      <w:pPr>
        <w:pStyle w:val="BookText"/>
      </w:pPr>
      <w:r>
        <w:rPr>
          <w:rFonts w:ascii="Amiri" w:hAnsi="Amiri" w:eastAsia="Amiri" w:cs="Amiri"/>
          <w:lang w:bidi="ar-SA"/>
          <w:color w:val="111111"/>
          <w:sz w:val="28"/>
          <w:szCs w:val="28"/>
          <w:rtl/>
        </w:rPr>
        <w:t xml:space="preserve">على الرافضة (رسالة في)، ج8، ص7.</w:t>
      </w:r>
    </w:p>
    <w:p>
      <w:pPr>
        <w:pStyle w:val="BookText"/>
      </w:pPr>
      <w:r>
        <w:rPr>
          <w:rFonts w:ascii="Amiri" w:hAnsi="Amiri" w:eastAsia="Amiri" w:cs="Amiri"/>
          <w:lang w:bidi="ar-SA"/>
          <w:color w:val="111111"/>
          <w:sz w:val="28"/>
          <w:szCs w:val="28"/>
          <w:rtl/>
        </w:rPr>
        <w:t xml:space="preserve">4 .رسالة تبحث في قتل المؤمن و</w:t>
      </w:r>
    </w:p>
    <w:p>
      <w:pPr>
        <w:pStyle w:val="BookText"/>
      </w:pPr>
      <w:r>
        <w:rPr>
          <w:rFonts w:ascii="IRNazanin" w:hAnsi="IRNazanin" w:eastAsia="IRNazanin" w:cs="IRNazanin"/>
          <w:lang w:bidi="fa-IR"/>
          <w:color w:val="111111"/>
          <w:sz w:val="28"/>
          <w:szCs w:val="28"/>
          <w:rtl/>
        </w:rPr>
        <w:t xml:space="preserve">غصب ماله، ج8، ص178.</w:t>
      </w:r>
    </w:p>
    <w:p>
      <w:pPr>
        <w:pStyle w:val="BookText"/>
      </w:pPr>
      <w:r>
        <w:rPr>
          <w:rFonts w:ascii="Amiri" w:hAnsi="Amiri" w:eastAsia="Amiri" w:cs="Amiri"/>
          <w:lang w:bidi="ar-SA"/>
          <w:color w:val="111111"/>
          <w:sz w:val="28"/>
          <w:szCs w:val="28"/>
          <w:rtl/>
        </w:rPr>
        <w:t xml:space="preserve">5 .الزاجر بعد الكبائر، ج8، ص 525.</w:t>
      </w:r>
    </w:p>
    <w:p>
      <w:pPr>
        <w:pStyle w:val="BookText"/>
      </w:pPr>
      <w:r>
        <w:rPr>
          <w:rFonts w:ascii="IRNazanin" w:hAnsi="IRNazanin" w:eastAsia="IRNazanin" w:cs="IRNazanin"/>
          <w:lang w:bidi="fa-IR"/>
          <w:color w:val="111111"/>
          <w:sz w:val="28"/>
          <w:szCs w:val="28"/>
          <w:rtl/>
        </w:rPr>
        <w:t xml:space="preserve">6 .زواهر الزواجر = مختصر الزواجر</w:t>
      </w:r>
    </w:p>
    <w:p>
      <w:pPr>
        <w:pStyle w:val="BookText"/>
      </w:pPr>
      <w:r>
        <w:rPr>
          <w:rFonts w:ascii="IRNazanin" w:hAnsi="IRNazanin" w:eastAsia="IRNazanin" w:cs="IRNazanin"/>
          <w:lang w:bidi="fa-IR"/>
          <w:color w:val="111111"/>
          <w:sz w:val="28"/>
          <w:szCs w:val="28"/>
          <w:rtl/>
        </w:rPr>
        <w:t xml:space="preserve">لابن حجر، ج8، ص 641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العبادات (رسالة في)، ج 11، ص12.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المنهاج في بيان احكام العشر و</w:t>
      </w:r>
    </w:p>
    <w:p>
      <w:pPr>
        <w:pStyle w:val="BookText"/>
      </w:pPr>
      <w:r>
        <w:rPr>
          <w:rFonts w:ascii="IRNazanin" w:hAnsi="IRNazanin" w:eastAsia="IRNazanin" w:cs="IRNazanin"/>
          <w:lang w:bidi="fa-IR"/>
          <w:color w:val="111111"/>
          <w:sz w:val="28"/>
          <w:szCs w:val="28"/>
          <w:rtl/>
        </w:rPr>
        <w:t xml:space="preserve">الخراج، ج 15 ، ص 772.</w:t>
      </w:r>
    </w:p>
    <w:p>
      <w:pPr>
        <w:pStyle w:val="BookText"/>
      </w:pPr>
      <w:r>
        <w:rPr>
          <w:rFonts w:ascii="Amiri" w:hAnsi="Amiri" w:eastAsia="Amiri" w:cs="Amiri"/>
          <w:lang w:bidi="ar-SA"/>
          <w:color w:val="111111"/>
          <w:sz w:val="28"/>
          <w:szCs w:val="28"/>
          <w:rtl/>
        </w:rPr>
        <w:t xml:space="preserve">9 .هدي الحكم إلى خير الحكم، ج 16، .</w:t>
      </w:r>
    </w:p>
    <w:p>
      <w:pPr>
        <w:pStyle w:val="BookText"/>
      </w:pPr>
      <w:r>
        <w:rPr>
          <w:rFonts w:ascii="IRNazanin" w:hAnsi="IRNazanin" w:eastAsia="IRNazanin" w:cs="IRNazanin"/>
          <w:lang w:bidi="fa-IR"/>
          <w:color w:val="111111"/>
          <w:sz w:val="28"/>
          <w:szCs w:val="28"/>
          <w:rtl/>
        </w:rPr>
        <w:t xml:space="preserve">ص 644.</w:t>
      </w:r>
    </w:p>
    <w:p>
      <w:pPr>
        <w:pStyle w:val="BookText"/>
      </w:pPr>
      <w:r>
        <w:rPr>
          <w:rFonts w:ascii="Amiri" w:hAnsi="Amiri" w:eastAsia="Amiri" w:cs="Amiri"/>
          <w:lang w:bidi="ar-SA"/>
          <w:color w:val="111111"/>
          <w:sz w:val="28"/>
          <w:szCs w:val="28"/>
          <w:rtl/>
        </w:rPr>
        <w:t xml:space="preserve">ربعي ، ابو محمّد عيسى بن</w:t>
      </w:r>
    </w:p>
    <w:p>
      <w:pPr>
        <w:pStyle w:val="BookText"/>
      </w:pPr>
      <w:r>
        <w:rPr>
          <w:rFonts w:ascii="Amiri" w:hAnsi="Amiri" w:eastAsia="Amiri" w:cs="Amiri"/>
          <w:lang w:bidi="ar-SA"/>
          <w:color w:val="111111"/>
          <w:sz w:val="28"/>
          <w:szCs w:val="28"/>
          <w:rtl/>
        </w:rPr>
        <w:t xml:space="preserve">ابراهيم -ربعي ، عيسى بن ابراهيم</w:t>
      </w:r>
    </w:p>
    <w:p>
      <w:pPr>
        <w:pStyle w:val="BookText"/>
      </w:pPr>
      <w:r>
        <w:rPr>
          <w:rFonts w:ascii="Amiri" w:hAnsi="Amiri" w:eastAsia="Amiri" w:cs="Amiri"/>
          <w:lang w:bidi="ar-SA"/>
          <w:color w:val="111111"/>
          <w:sz w:val="28"/>
          <w:szCs w:val="28"/>
          <w:rtl/>
        </w:rPr>
        <w:t xml:space="preserve">ربعي خزرجي ، محمّد بن ابراهيم -ابن</w:t>
      </w:r>
    </w:p>
    <w:p>
      <w:pPr>
        <w:pStyle w:val="BookText"/>
      </w:pPr>
      <w:r>
        <w:rPr>
          <w:rFonts w:ascii="Amiri" w:hAnsi="Amiri" w:eastAsia="Amiri" w:cs="Amiri"/>
          <w:lang w:bidi="ar-SA"/>
          <w:color w:val="111111"/>
          <w:sz w:val="28"/>
          <w:szCs w:val="28"/>
          <w:rtl/>
        </w:rPr>
        <w:t xml:space="preserve">حنبلي ، محمّد بن ابراهيم</w:t>
      </w:r>
    </w:p>
    <w:p>
      <w:pPr>
        <w:pStyle w:val="Heading2"/>
      </w:pPr>
      <w:bookmarkStart w:id="4470" w:name="_Toc3572"/>
      <w:r>
        <w:t>ربعي ، علي بن عيسى، 328 - 420 ه-</w:t>
      </w:r>
      <w:bookmarkEnd w:id="4470"/>
    </w:p>
    <w:p>
      <w:pPr>
        <w:pStyle w:val="BookText"/>
      </w:pPr>
      <w:r>
        <w:rPr>
          <w:rFonts w:ascii="Amiri" w:hAnsi="Amiri" w:eastAsia="Amiri" w:cs="Amiri"/>
          <w:lang w:bidi="ar-SA"/>
          <w:color w:val="111111"/>
          <w:sz w:val="28"/>
          <w:szCs w:val="28"/>
          <w:rtl/>
        </w:rPr>
        <w:t xml:space="preserve">حديث عن معنى العنم» من كتاب علي بن عيسى [الربعي عن المتنبي ج 6، ص 570.</w:t>
      </w:r>
    </w:p>
    <w:p>
      <w:pPr>
        <w:pStyle w:val="Heading2"/>
      </w:pPr>
      <w:bookmarkStart w:id="4471" w:name="_Toc3573"/>
      <w:r>
        <w:t>ربعي ، عيسى بن ابراهيم - 480 ه-</w:t>
      </w:r>
      <w:bookmarkEnd w:id="4471"/>
    </w:p>
    <w:p>
      <w:pPr>
        <w:pStyle w:val="BookText"/>
      </w:pPr>
      <w:r>
        <w:rPr>
          <w:rFonts w:ascii="Amiri" w:hAnsi="Amiri" w:eastAsia="Amiri" w:cs="Amiri"/>
          <w:lang w:bidi="ar-SA"/>
          <w:color w:val="111111"/>
          <w:sz w:val="28"/>
          <w:szCs w:val="28"/>
          <w:rtl/>
        </w:rPr>
        <w:t xml:space="preserve">نظام الغريب، ج 16، ص 322.</w:t>
      </w:r>
    </w:p>
    <w:p>
      <w:pPr>
        <w:pStyle w:val="BookText"/>
      </w:pPr>
      <w:r>
        <w:rPr>
          <w:rFonts w:ascii="Amiri" w:hAnsi="Amiri" w:eastAsia="Amiri" w:cs="Amiri"/>
          <w:lang w:bidi="ar-SA"/>
          <w:color w:val="111111"/>
          <w:sz w:val="28"/>
          <w:szCs w:val="28"/>
          <w:rtl/>
        </w:rPr>
        <w:t xml:space="preserve">ربعي كاظمي، جابر بن</w:t>
      </w:r>
    </w:p>
    <w:p>
      <w:pPr>
        <w:pStyle w:val="BookText"/>
      </w:pPr>
      <w:r>
        <w:rPr>
          <w:rFonts w:ascii="Amiri" w:hAnsi="Amiri" w:eastAsia="Amiri" w:cs="Amiri"/>
          <w:lang w:bidi="ar-SA"/>
          <w:color w:val="111111"/>
          <w:sz w:val="28"/>
          <w:szCs w:val="28"/>
          <w:rtl/>
        </w:rPr>
        <w:t xml:space="preserve">عبد الحسين- كاظمي ، جابر بن عبدالحسين</w:t>
      </w:r>
    </w:p>
    <w:p>
      <w:pPr>
        <w:pStyle w:val="Heading2"/>
      </w:pPr>
      <w:bookmarkStart w:id="4472" w:name="_Toc3574"/>
      <w:r>
        <w:t>ربعي محمّد بن عبدالله - 379 ه-</w:t>
      </w:r>
      <w:bookmarkEnd w:id="4472"/>
    </w:p>
    <w:p>
      <w:pPr>
        <w:pStyle w:val="BookText"/>
      </w:pPr>
      <w:r>
        <w:rPr>
          <w:rFonts w:ascii="Amiri" w:hAnsi="Amiri" w:eastAsia="Amiri" w:cs="Amiri"/>
          <w:lang w:bidi="ar-SA"/>
          <w:color w:val="111111"/>
          <w:sz w:val="28"/>
          <w:szCs w:val="28"/>
          <w:rtl/>
        </w:rPr>
        <w:t xml:space="preserve">تاريخ مواليد العلماء و وفياتهم من</w:t>
      </w:r>
    </w:p>
    <w:p>
      <w:pPr>
        <w:pStyle w:val="BookText"/>
      </w:pPr>
      <w:r>
        <w:rPr>
          <w:rFonts w:ascii="Amiri" w:hAnsi="Amiri" w:eastAsia="Amiri" w:cs="Amiri"/>
          <w:lang w:bidi="ar-SA"/>
          <w:color w:val="111111"/>
          <w:sz w:val="28"/>
          <w:szCs w:val="28"/>
          <w:rtl/>
        </w:rPr>
        <w:t xml:space="preserve">اول الهجرة النبوية، ج 3، ص 610.</w:t>
      </w:r>
    </w:p>
    <w:p>
      <w:pPr>
        <w:pStyle w:val="BookText"/>
      </w:pPr>
      <w:r>
        <w:rPr>
          <w:rFonts w:ascii="Amiri" w:hAnsi="Amiri" w:eastAsia="Amiri" w:cs="Amiri"/>
          <w:lang w:bidi="ar-SA"/>
          <w:color w:val="111111"/>
          <w:sz w:val="28"/>
          <w:szCs w:val="28"/>
          <w:rtl/>
        </w:rPr>
        <w:t xml:space="preserve">ربعي، محمّد جواد بن حسن- بلاغي محمّد جواد بن حسن</w:t>
      </w:r>
    </w:p>
    <w:p>
      <w:pPr>
        <w:pStyle w:val="BookText"/>
      </w:pPr>
      <w:r>
        <w:rPr>
          <w:rFonts w:ascii="Amiri" w:hAnsi="Amiri" w:eastAsia="Amiri" w:cs="Amiri"/>
          <w:lang w:bidi="ar-SA"/>
          <w:color w:val="111111"/>
          <w:sz w:val="28"/>
          <w:szCs w:val="28"/>
          <w:rtl/>
        </w:rPr>
        <w:t xml:space="preserve">ربنجني ، محمود بن عمر -سجزي</w:t>
      </w:r>
    </w:p>
    <w:p>
      <w:pPr>
        <w:pStyle w:val="BookText"/>
      </w:pPr>
      <w:r>
        <w:rPr>
          <w:rFonts w:ascii="IRNazanin" w:hAnsi="IRNazanin" w:eastAsia="IRNazanin" w:cs="IRNazanin"/>
          <w:lang w:bidi="fa-IR"/>
          <w:color w:val="111111"/>
          <w:sz w:val="28"/>
          <w:szCs w:val="28"/>
          <w:rtl/>
        </w:rPr>
        <w:t xml:space="preserve">محمود بن عمر</w:t>
      </w:r>
    </w:p>
    <w:p>
      <w:pPr>
        <w:pStyle w:val="BookText"/>
      </w:pPr>
      <w:r>
        <w:rPr>
          <w:rFonts w:ascii="Amiri" w:hAnsi="Amiri" w:eastAsia="Amiri" w:cs="Amiri"/>
          <w:lang w:bidi="ar-SA"/>
          <w:color w:val="111111"/>
          <w:sz w:val="28"/>
          <w:szCs w:val="28"/>
          <w:rtl/>
        </w:rPr>
        <w:t xml:space="preserve">ربن طبري- طبري ، علي بن سهل</w:t>
      </w:r>
    </w:p>
    <w:p>
      <w:pPr>
        <w:pStyle w:val="Heading2"/>
      </w:pPr>
      <w:bookmarkStart w:id="4473" w:name="_Toc3575"/>
      <w:r>
        <w:t>ربيعي ، عيسى بن ابراهيم</w:t>
      </w:r>
      <w:bookmarkEnd w:id="4473"/>
    </w:p>
    <w:p>
      <w:pPr>
        <w:pStyle w:val="BookText"/>
      </w:pPr>
      <w:r>
        <w:rPr>
          <w:rFonts w:ascii="Amiri" w:hAnsi="Amiri" w:eastAsia="Amiri" w:cs="Amiri"/>
          <w:lang w:bidi="ar-SA"/>
          <w:color w:val="111111"/>
          <w:sz w:val="28"/>
          <w:szCs w:val="28"/>
          <w:rtl/>
        </w:rPr>
        <w:t xml:space="preserve">نظام الغريب في اللغة، ج 16، ص 323.</w:t>
      </w:r>
    </w:p>
    <w:p>
      <w:pPr>
        <w:pStyle w:val="BookText"/>
      </w:pPr>
      <w:r>
        <w:rPr>
          <w:rFonts w:ascii="IRNazanin" w:hAnsi="IRNazanin" w:eastAsia="IRNazanin" w:cs="IRNazanin"/>
          <w:lang w:bidi="fa-IR"/>
          <w:color w:val="111111"/>
          <w:sz w:val="28"/>
          <w:szCs w:val="28"/>
          <w:rtl/>
        </w:rPr>
        <w:t xml:space="preserve">هر</w:t>
      </w:r>
    </w:p>
    <w:p>
      <w:pPr>
        <w:pStyle w:val="BookText"/>
      </w:pPr>
      <w:r>
        <w:rPr>
          <w:rFonts w:ascii="Amiri" w:hAnsi="Amiri" w:eastAsia="Amiri" w:cs="Amiri"/>
          <w:lang w:bidi="ar-SA"/>
          <w:color w:val="111111"/>
          <w:sz w:val="28"/>
          <w:szCs w:val="28"/>
          <w:rtl/>
        </w:rPr>
        <w:t xml:space="preserve">ربيعي ، محمّد حسن بن محمّد -صالح كبه ، محمّد حسن بن محمّد صالح</w:t>
      </w:r>
    </w:p>
    <w:p>
      <w:pPr>
        <w:pStyle w:val="Heading2"/>
      </w:pPr>
      <w:bookmarkStart w:id="4474" w:name="_Toc3576"/>
      <w:r>
        <w:t>ربيعي ، محمّد يونس بن راضي</w:t>
      </w:r>
      <w:bookmarkEnd w:id="4474"/>
    </w:p>
    <w:p>
      <w:pPr>
        <w:pStyle w:val="BookText"/>
      </w:pPr>
      <w:r>
        <w:rPr>
          <w:rFonts w:ascii="Amiri" w:hAnsi="Amiri" w:eastAsia="Amiri" w:cs="Amiri"/>
          <w:lang w:bidi="ar-SA"/>
          <w:color w:val="111111"/>
          <w:sz w:val="28"/>
          <w:szCs w:val="28"/>
          <w:rtl/>
        </w:rPr>
        <w:t xml:space="preserve">ضياء الاذهان في علم الميزان ج 10،</w:t>
      </w:r>
    </w:p>
    <w:p>
      <w:pPr>
        <w:pStyle w:val="BookText"/>
      </w:pPr>
      <w:r>
        <w:rPr>
          <w:rFonts w:ascii="IRNazanin" w:hAnsi="IRNazanin" w:eastAsia="IRNazanin" w:cs="IRNazanin"/>
          <w:lang w:bidi="fa-IR"/>
          <w:color w:val="111111"/>
          <w:sz w:val="28"/>
          <w:szCs w:val="28"/>
          <w:rtl/>
        </w:rPr>
        <w:t xml:space="preserve">ص 711.</w:t>
      </w:r>
    </w:p>
    <w:p>
      <w:pPr>
        <w:pStyle w:val="Heading2"/>
      </w:pPr>
      <w:bookmarkStart w:id="4475" w:name="_Toc3577"/>
      <w:r>
        <w:t>ربيعي نجفي ، محمّد بن يونس</w:t>
      </w:r>
      <w:bookmarkEnd w:id="4475"/>
    </w:p>
    <w:p>
      <w:pPr>
        <w:pStyle w:val="BookText"/>
      </w:pPr>
      <w:r>
        <w:rPr>
          <w:rFonts w:ascii="Amiri" w:hAnsi="Amiri" w:eastAsia="Amiri" w:cs="Amiri"/>
          <w:lang w:bidi="ar-SA"/>
          <w:color w:val="111111"/>
          <w:sz w:val="28"/>
          <w:szCs w:val="28"/>
          <w:rtl/>
        </w:rPr>
        <w:t xml:space="preserve">حجة الخصام في اصول الحكام، ج6،</w:t>
      </w:r>
    </w:p>
    <w:p>
      <w:pPr>
        <w:pStyle w:val="BookText"/>
      </w:pPr>
      <w:r>
        <w:rPr>
          <w:rFonts w:ascii="IRNazanin" w:hAnsi="IRNazanin" w:eastAsia="IRNazanin" w:cs="IRNazanin"/>
          <w:lang w:bidi="fa-IR"/>
          <w:color w:val="111111"/>
          <w:sz w:val="28"/>
          <w:szCs w:val="28"/>
          <w:rtl/>
        </w:rPr>
        <w:t xml:space="preserve">ص 483 .</w:t>
      </w:r>
    </w:p>
    <w:p>
      <w:pPr>
        <w:pStyle w:val="Heading2"/>
      </w:pPr>
      <w:bookmarkStart w:id="4476" w:name="_Toc3578"/>
      <w:r>
        <w:t>ربيعي نوري ، محمّد جواد</w:t>
      </w:r>
      <w:bookmarkEnd w:id="4476"/>
    </w:p>
    <w:p>
      <w:pPr>
        <w:pStyle w:val="BookText"/>
      </w:pPr>
      <w:r>
        <w:rPr>
          <w:rFonts w:ascii="Amiri" w:hAnsi="Amiri" w:eastAsia="Amiri" w:cs="Amiri"/>
          <w:lang w:bidi="ar-SA"/>
          <w:color w:val="111111"/>
          <w:sz w:val="28"/>
          <w:szCs w:val="28"/>
          <w:rtl/>
        </w:rPr>
        <w:t xml:space="preserve">اطلس ربيعي نوري، ج 2، ص 484.</w:t>
      </w:r>
    </w:p>
    <w:p>
      <w:pPr>
        <w:pStyle w:val="Heading2"/>
      </w:pPr>
      <w:bookmarkStart w:id="4477" w:name="_Toc3579"/>
      <w:r>
        <w:t>ربيعي ، هاشم بن عبد الباقي</w:t>
      </w:r>
      <w:bookmarkEnd w:id="4477"/>
    </w:p>
    <w:p>
      <w:pPr>
        <w:pStyle w:val="BookText"/>
      </w:pPr>
      <w:r>
        <w:rPr>
          <w:rFonts w:ascii="Amiri" w:hAnsi="Amiri" w:eastAsia="Amiri" w:cs="Amiri"/>
          <w:lang w:bidi="ar-SA"/>
          <w:color w:val="111111"/>
          <w:sz w:val="28"/>
          <w:szCs w:val="28"/>
          <w:rtl/>
        </w:rPr>
        <w:t xml:space="preserve">غزوات الإمام أمير المؤمنين، ج11،</w:t>
      </w:r>
    </w:p>
    <w:p>
      <w:pPr>
        <w:pStyle w:val="BookText"/>
      </w:pPr>
      <w:r>
        <w:rPr>
          <w:rFonts w:ascii="IRNazanin" w:hAnsi="IRNazanin" w:eastAsia="IRNazanin" w:cs="IRNazanin"/>
          <w:lang w:bidi="fa-IR"/>
          <w:color w:val="111111"/>
          <w:sz w:val="28"/>
          <w:szCs w:val="28"/>
          <w:rtl/>
        </w:rPr>
        <w:t xml:space="preserve">ص 501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9" w:name="pg7742_70413"/>
    <w:bookmarkEnd w:id="509"/>
    <w:p>
      <w:pPr>
        <w:pStyle w:val="BookText"/>
      </w:pPr>
      <w:r>
        <w:rPr>
          <w:rFonts w:ascii="Amiri" w:hAnsi="Amiri" w:eastAsia="Amiri" w:cs="Amiri"/>
          <w:lang w:bidi="ar-SA"/>
          <w:color w:val="111111"/>
          <w:sz w:val="28"/>
          <w:szCs w:val="28"/>
          <w:rtl/>
        </w:rPr>
        <w:t xml:space="preserve">رجائي -تبريزي ، محمّد زمان بن محمّد</w:t>
      </w:r>
    </w:p>
    <w:p>
      <w:pPr>
        <w:pStyle w:val="BookText"/>
      </w:pPr>
      <w:r>
        <w:rPr>
          <w:rFonts w:ascii="IRNazanin" w:hAnsi="IRNazanin" w:eastAsia="IRNazanin" w:cs="IRNazanin"/>
          <w:lang w:bidi="fa-IR"/>
          <w:color w:val="111111"/>
          <w:sz w:val="28"/>
          <w:szCs w:val="28"/>
          <w:rtl/>
        </w:rPr>
        <w:t xml:space="preserve">طاهر</w:t>
      </w:r>
    </w:p>
    <w:p>
      <w:pPr>
        <w:pStyle w:val="BookText"/>
      </w:pPr>
      <w:r>
        <w:rPr>
          <w:rFonts w:ascii="Amiri" w:hAnsi="Amiri" w:eastAsia="Amiri" w:cs="Amiri"/>
          <w:lang w:bidi="ar-SA"/>
          <w:color w:val="111111"/>
          <w:sz w:val="28"/>
          <w:szCs w:val="28"/>
          <w:rtl/>
        </w:rPr>
        <w:t xml:space="preserve">رجائي ، علي بن حسين- سعاوي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رجالي ، احمد بن عبد القادر- عجيلي</w:t>
      </w:r>
    </w:p>
    <w:p>
      <w:pPr>
        <w:pStyle w:val="BookText"/>
      </w:pPr>
      <w:r>
        <w:rPr>
          <w:rFonts w:ascii="IRNazanin" w:hAnsi="IRNazanin" w:eastAsia="IRNazanin" w:cs="IRNazanin"/>
          <w:lang w:bidi="fa-IR"/>
          <w:color w:val="111111"/>
          <w:sz w:val="28"/>
          <w:szCs w:val="28"/>
          <w:rtl/>
        </w:rPr>
        <w:t xml:space="preserve">احمد بن عبد القادر</w:t>
      </w:r>
    </w:p>
    <w:p>
      <w:pPr>
        <w:pStyle w:val="BookText"/>
      </w:pPr>
      <w:r>
        <w:rPr>
          <w:rFonts w:ascii="Amiri" w:hAnsi="Amiri" w:eastAsia="Amiri" w:cs="Amiri"/>
          <w:lang w:bidi="ar-SA"/>
          <w:color w:val="111111"/>
          <w:sz w:val="28"/>
          <w:szCs w:val="28"/>
          <w:rtl/>
        </w:rPr>
        <w:t xml:space="preserve">رجالي ، محمّد بن اسماعيل- مازندراني</w:t>
      </w:r>
    </w:p>
    <w:p>
      <w:pPr>
        <w:pStyle w:val="BookText"/>
      </w:pPr>
      <w:r>
        <w:rPr>
          <w:rFonts w:ascii="IRNazanin" w:hAnsi="IRNazanin" w:eastAsia="IRNazanin" w:cs="IRNazanin"/>
          <w:lang w:bidi="fa-IR"/>
          <w:color w:val="111111"/>
          <w:sz w:val="28"/>
          <w:szCs w:val="28"/>
          <w:rtl/>
        </w:rPr>
        <w:t xml:space="preserve">حائري ، محمّد بن اسماعیل</w:t>
      </w:r>
    </w:p>
    <w:p>
      <w:pPr>
        <w:pStyle w:val="BookText"/>
      </w:pPr>
      <w:r>
        <w:rPr>
          <w:rFonts w:ascii="Amiri" w:hAnsi="Amiri" w:eastAsia="Amiri" w:cs="Amiri"/>
          <w:lang w:bidi="ar-SA"/>
          <w:color w:val="111111"/>
          <w:sz w:val="28"/>
          <w:szCs w:val="28"/>
          <w:rtl/>
        </w:rPr>
        <w:t xml:space="preserve">رجب برسي- حافظ برسي ، رجب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رجب بن احمد قيصري رومي حنفي- قيصري ، رجب بن احمد</w:t>
      </w:r>
    </w:p>
    <w:p>
      <w:pPr>
        <w:pStyle w:val="Heading2"/>
      </w:pPr>
      <w:bookmarkStart w:id="4478" w:name="_Toc3580"/>
      <w:r>
        <w:t>رجب علي</w:t>
      </w:r>
      <w:bookmarkEnd w:id="4478"/>
    </w:p>
    <w:p>
      <w:pPr>
        <w:pStyle w:val="BookText"/>
      </w:pPr>
      <w:r>
        <w:rPr>
          <w:rFonts w:ascii="IRNazanin" w:hAnsi="IRNazanin" w:eastAsia="IRNazanin" w:cs="IRNazanin"/>
          <w:lang w:bidi="fa-IR"/>
          <w:color w:val="111111"/>
          <w:sz w:val="28"/>
          <w:szCs w:val="28"/>
          <w:rtl/>
        </w:rPr>
        <w:t xml:space="preserve">مفتاح الجنان، ج 15، ص 190.</w:t>
      </w:r>
    </w:p>
    <w:p>
      <w:pPr>
        <w:pStyle w:val="BookText"/>
      </w:pPr>
      <w:r>
        <w:rPr>
          <w:rFonts w:ascii="Amiri" w:hAnsi="Amiri" w:eastAsia="Amiri" w:cs="Amiri"/>
          <w:lang w:bidi="ar-SA"/>
          <w:color w:val="111111"/>
          <w:sz w:val="28"/>
          <w:szCs w:val="28"/>
          <w:rtl/>
        </w:rPr>
        <w:t xml:space="preserve">رجبعلي برسي- حافظ برسي ، رجب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رجبعلي بن محمّد صادق طوسي- طوسي</w:t>
      </w:r>
    </w:p>
    <w:p>
      <w:pPr>
        <w:pStyle w:val="BookText"/>
      </w:pPr>
      <w:r>
        <w:rPr>
          <w:rFonts w:ascii="Amiri" w:hAnsi="Amiri" w:eastAsia="Amiri" w:cs="Amiri"/>
          <w:lang w:bidi="ar-SA"/>
          <w:color w:val="111111"/>
          <w:sz w:val="28"/>
          <w:szCs w:val="28"/>
          <w:rtl/>
        </w:rPr>
        <w:t xml:space="preserve">اصفهاني ، رجبعلي بن محمّد صالح</w:t>
      </w:r>
    </w:p>
    <w:p>
      <w:pPr>
        <w:pStyle w:val="BookText"/>
      </w:pPr>
      <w:r>
        <w:rPr>
          <w:rFonts w:ascii="Amiri" w:hAnsi="Amiri" w:eastAsia="Amiri" w:cs="Amiri"/>
          <w:lang w:bidi="ar-SA"/>
          <w:color w:val="111111"/>
          <w:sz w:val="28"/>
          <w:szCs w:val="28"/>
          <w:rtl/>
        </w:rPr>
        <w:t xml:space="preserve">رجبعلي بن محمّد صالح طوسي- طوسي</w:t>
      </w:r>
    </w:p>
    <w:p>
      <w:pPr>
        <w:pStyle w:val="BookText"/>
      </w:pPr>
      <w:r>
        <w:rPr>
          <w:rFonts w:ascii="Amiri" w:hAnsi="Amiri" w:eastAsia="Amiri" w:cs="Amiri"/>
          <w:lang w:bidi="ar-SA"/>
          <w:color w:val="111111"/>
          <w:sz w:val="28"/>
          <w:szCs w:val="28"/>
          <w:rtl/>
        </w:rPr>
        <w:t xml:space="preserve">اصفهاني ، رجبعلي بن محمّد صالح</w:t>
      </w:r>
    </w:p>
    <w:p>
      <w:pPr>
        <w:pStyle w:val="BookText"/>
      </w:pPr>
      <w:r>
        <w:rPr>
          <w:rFonts w:ascii="Amiri" w:hAnsi="Amiri" w:eastAsia="Amiri" w:cs="Amiri"/>
          <w:lang w:bidi="ar-SA"/>
          <w:color w:val="111111"/>
          <w:sz w:val="28"/>
          <w:szCs w:val="28"/>
          <w:rtl/>
        </w:rPr>
        <w:t xml:space="preserve">رجبعلي تبريزي ت-بريزي ، رجبعلي</w:t>
      </w:r>
    </w:p>
    <w:p>
      <w:pPr>
        <w:pStyle w:val="BookText"/>
      </w:pPr>
      <w:r>
        <w:rPr>
          <w:rFonts w:ascii="Amiri" w:hAnsi="Amiri" w:eastAsia="Amiri" w:cs="Amiri"/>
          <w:lang w:bidi="ar-SA"/>
          <w:color w:val="111111"/>
          <w:sz w:val="28"/>
          <w:szCs w:val="28"/>
          <w:rtl/>
        </w:rPr>
        <w:t xml:space="preserve">رجب علي تبريزي- تبريزي ، رجبعلي</w:t>
      </w:r>
    </w:p>
    <w:p>
      <w:pPr>
        <w:pStyle w:val="BookText"/>
      </w:pPr>
      <w:r>
        <w:rPr>
          <w:rFonts w:ascii="Amiri" w:hAnsi="Amiri" w:eastAsia="Amiri" w:cs="Amiri"/>
          <w:lang w:bidi="ar-SA"/>
          <w:color w:val="111111"/>
          <w:sz w:val="28"/>
          <w:szCs w:val="28"/>
          <w:rtl/>
        </w:rPr>
        <w:t xml:space="preserve">رجبي سمناني ، علي بن محمّد - سمناني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رجبي ، محمّد بن علي حسين- ابن متفننه</w:t>
      </w:r>
    </w:p>
    <w:p>
      <w:pPr>
        <w:pStyle w:val="BookText"/>
      </w:pPr>
      <w:r>
        <w:rPr>
          <w:rFonts w:ascii="Amiri" w:hAnsi="Amiri" w:eastAsia="Amiri" w:cs="Amiri"/>
          <w:lang w:bidi="ar-SA"/>
          <w:color w:val="111111"/>
          <w:sz w:val="28"/>
          <w:szCs w:val="28"/>
          <w:rtl/>
        </w:rPr>
        <w:t xml:space="preserve">، محمد بن علي</w:t>
      </w:r>
    </w:p>
    <w:p>
      <w:pPr>
        <w:pStyle w:val="BookText"/>
      </w:pPr>
      <w:r>
        <w:rPr>
          <w:rFonts w:ascii="Amiri" w:hAnsi="Amiri" w:eastAsia="Amiri" w:cs="Amiri"/>
          <w:lang w:bidi="ar-SA"/>
          <w:color w:val="111111"/>
          <w:sz w:val="28"/>
          <w:szCs w:val="28"/>
          <w:rtl/>
        </w:rPr>
        <w:t xml:space="preserve">رحبي، ابوالبركات محمّد- رحبي ، محمّد</w:t>
      </w:r>
    </w:p>
    <w:p>
      <w:pPr>
        <w:pStyle w:val="Heading2"/>
      </w:pPr>
      <w:bookmarkStart w:id="4479" w:name="_Toc3581"/>
      <w:r>
        <w:t>رجبي ، بكر بن محمّد قرن 12 ه-</w:t>
      </w:r>
      <w:bookmarkEnd w:id="4479"/>
    </w:p>
    <w:p>
      <w:pPr>
        <w:pStyle w:val="BookText"/>
      </w:pPr>
      <w:r>
        <w:rPr>
          <w:rFonts w:ascii="Amiri" w:hAnsi="Amiri" w:eastAsia="Amiri" w:cs="Amiri"/>
          <w:lang w:bidi="ar-SA"/>
          <w:color w:val="111111"/>
          <w:sz w:val="28"/>
          <w:szCs w:val="28"/>
          <w:rtl/>
        </w:rPr>
        <w:t xml:space="preserve">1 .تحفة المبتدي و تذكرة المنتهي</w:t>
      </w:r>
    </w:p>
    <w:p>
      <w:pPr>
        <w:pStyle w:val="BookText"/>
      </w:pPr>
      <w:r>
        <w:rPr>
          <w:rFonts w:ascii="IRNazanin" w:hAnsi="IRNazanin" w:eastAsia="IRNazanin" w:cs="IRNazanin"/>
          <w:lang w:bidi="fa-IR"/>
          <w:color w:val="111111"/>
          <w:sz w:val="28"/>
          <w:szCs w:val="28"/>
          <w:rtl/>
        </w:rPr>
        <w:t xml:space="preserve">ج 4، ص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الحواشي السنية في شرح حل الفاظ شرح الاجرومية، ج 6، ص833.</w:t>
      </w:r>
    </w:p>
    <w:p>
      <w:pPr>
        <w:pStyle w:val="Heading2"/>
      </w:pPr>
      <w:bookmarkStart w:id="4480" w:name="_Toc3582"/>
      <w:r>
        <w:t>رحبي ، عبدالحميد بن عبدالله - 1242</w:t>
      </w:r>
      <w:bookmarkEnd w:id="4480"/>
    </w:p>
    <w:p>
      <w:pPr>
        <w:pStyle w:val="BookText"/>
      </w:pPr>
      <w:r>
        <w:rPr>
          <w:rFonts w:ascii="Amiri" w:hAnsi="Amiri" w:eastAsia="Amiri" w:cs="Amiri"/>
          <w:lang w:bidi="ar-SA"/>
          <w:color w:val="111111"/>
          <w:sz w:val="28"/>
          <w:szCs w:val="28"/>
          <w:rtl/>
        </w:rPr>
        <w:t xml:space="preserve">1 .زجاجة الانوار في كشف الباب</w:t>
      </w:r>
    </w:p>
    <w:p>
      <w:pPr>
        <w:pStyle w:val="BookText"/>
      </w:pPr>
      <w:r>
        <w:rPr>
          <w:rFonts w:ascii="IRNazanin" w:hAnsi="IRNazanin" w:eastAsia="IRNazanin" w:cs="IRNazanin"/>
          <w:lang w:bidi="fa-IR"/>
          <w:color w:val="111111"/>
          <w:sz w:val="28"/>
          <w:szCs w:val="28"/>
          <w:rtl/>
        </w:rPr>
        <w:t xml:space="preserve">المنار، ج 8، ص 599.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الزلزلة العظمى - الرد على سليمان</w:t>
      </w:r>
    </w:p>
    <w:p>
      <w:pPr>
        <w:pStyle w:val="BookText"/>
      </w:pPr>
      <w:r>
        <w:rPr>
          <w:rFonts w:ascii="Amiri" w:hAnsi="Amiri" w:eastAsia="Amiri" w:cs="Amiri"/>
          <w:lang w:bidi="ar-SA"/>
          <w:color w:val="111111"/>
          <w:sz w:val="28"/>
          <w:szCs w:val="28"/>
          <w:rtl/>
        </w:rPr>
        <w:t xml:space="preserve">بن عبدالله البحراني الشيعي، ج8،</w:t>
      </w:r>
    </w:p>
    <w:p>
      <w:pPr>
        <w:pStyle w:val="BookText"/>
      </w:pPr>
      <w:r>
        <w:rPr>
          <w:rFonts w:ascii="IRNazanin" w:hAnsi="IRNazanin" w:eastAsia="IRNazanin" w:cs="IRNazanin"/>
          <w:lang w:bidi="fa-IR"/>
          <w:color w:val="111111"/>
          <w:sz w:val="28"/>
          <w:szCs w:val="28"/>
          <w:rtl/>
        </w:rPr>
        <w:t xml:space="preserve">ص 608.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لباب المنار، ج13، ص 551</w:t>
      </w:r>
    </w:p>
    <w:p>
      <w:pPr>
        <w:pStyle w:val="BookText"/>
      </w:pPr>
      <w:r>
        <w:rPr>
          <w:rFonts w:ascii="Amiri" w:hAnsi="Amiri" w:eastAsia="Amiri" w:cs="Amiri"/>
          <w:lang w:bidi="ar-SA"/>
          <w:color w:val="111111"/>
          <w:sz w:val="28"/>
          <w:szCs w:val="28"/>
          <w:rtl/>
        </w:rPr>
        <w:t xml:space="preserve">4 .المنظومة السراجية، ج 15 ، ص 721.</w:t>
      </w:r>
    </w:p>
    <w:p>
      <w:pPr>
        <w:pStyle w:val="Heading2"/>
      </w:pPr>
      <w:bookmarkStart w:id="4481" w:name="_Toc3583"/>
      <w:r>
        <w:t>رحبي ، عبدالعزيز بن محمّد - 1193 ه-</w:t>
      </w:r>
      <w:bookmarkEnd w:id="4481"/>
    </w:p>
    <w:p>
      <w:pPr>
        <w:pStyle w:val="BookText"/>
      </w:pPr>
      <w:r>
        <w:rPr>
          <w:rFonts w:ascii="Amiri" w:hAnsi="Amiri" w:eastAsia="Amiri" w:cs="Amiri"/>
          <w:lang w:bidi="ar-SA"/>
          <w:color w:val="111111"/>
          <w:sz w:val="28"/>
          <w:szCs w:val="28"/>
          <w:rtl/>
        </w:rPr>
        <w:t xml:space="preserve">1 .البرهان المحرر لمعرفة مساحة الحوض المربع و المدور، ج3،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فقه الملوك و مفتاح الرتاج المرصد</w:t>
      </w:r>
    </w:p>
    <w:p>
      <w:pPr>
        <w:pStyle w:val="BookText"/>
      </w:pPr>
      <w:r>
        <w:rPr>
          <w:rFonts w:ascii="Amiri" w:hAnsi="Amiri" w:eastAsia="Amiri" w:cs="Amiri"/>
          <w:lang w:bidi="ar-SA"/>
          <w:color w:val="111111"/>
          <w:sz w:val="28"/>
          <w:szCs w:val="28"/>
          <w:rtl/>
        </w:rPr>
        <w:t xml:space="preserve">على خزانة كتاب الخراج، ج 12، ص 112.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العين عن انطباق المنطقتين</w:t>
      </w:r>
    </w:p>
    <w:p>
      <w:pPr>
        <w:pStyle w:val="BookText"/>
      </w:pPr>
      <w:r>
        <w:rPr>
          <w:rFonts w:ascii="IRNazanin" w:hAnsi="IRNazanin" w:eastAsia="IRNazanin" w:cs="IRNazanin"/>
          <w:lang w:bidi="fa-IR"/>
          <w:color w:val="111111"/>
          <w:sz w:val="28"/>
          <w:szCs w:val="28"/>
          <w:rtl/>
        </w:rPr>
        <w:t xml:space="preserve">ج 13، ص 235 .</w:t>
      </w:r>
    </w:p>
    <w:p>
      <w:pPr>
        <w:pStyle w:val="BookText"/>
      </w:pPr>
      <w:r>
        <w:rPr>
          <w:rFonts w:ascii="Amiri" w:hAnsi="Amiri" w:eastAsia="Amiri" w:cs="Amiri"/>
          <w:lang w:bidi="ar-SA"/>
          <w:color w:val="111111"/>
          <w:sz w:val="28"/>
          <w:szCs w:val="28"/>
          <w:rtl/>
        </w:rPr>
        <w:t xml:space="preserve">رحبي، علي بن محمّد -عمراني ، علي بن</w:t>
      </w:r>
    </w:p>
    <w:p>
      <w:pPr>
        <w:pStyle w:val="BookText"/>
      </w:pPr>
      <w:r>
        <w:rPr>
          <w:rFonts w:ascii="Amiri" w:hAnsi="Amiri" w:eastAsia="Amiri" w:cs="Amiri"/>
          <w:lang w:bidi="ar-SA"/>
          <w:color w:val="111111"/>
          <w:sz w:val="28"/>
          <w:szCs w:val="28"/>
          <w:rtl/>
        </w:rPr>
        <w:t xml:space="preserve">محمّد</w:t>
      </w:r>
    </w:p>
    <w:p>
      <w:pPr>
        <w:pStyle w:val="Heading2"/>
      </w:pPr>
      <w:bookmarkStart w:id="4482" w:name="_Toc3584"/>
      <w:r>
        <w:t>رحبي ، محمّد قرن 12 ه-</w:t>
      </w:r>
      <w:bookmarkEnd w:id="4482"/>
    </w:p>
    <w:p>
      <w:pPr>
        <w:pStyle w:val="BookText"/>
      </w:pPr>
      <w:r>
        <w:rPr>
          <w:rFonts w:ascii="IRNazanin" w:hAnsi="IRNazanin" w:eastAsia="IRNazanin" w:cs="IRNazanin"/>
          <w:lang w:bidi="fa-IR"/>
          <w:color w:val="111111"/>
          <w:sz w:val="28"/>
          <w:szCs w:val="28"/>
          <w:rtl/>
        </w:rPr>
        <w:t xml:space="preserve">ص 623 .</w:t>
      </w:r>
    </w:p>
    <w:p>
      <w:pPr>
        <w:pStyle w:val="BookText"/>
      </w:pPr>
      <w:r>
        <w:rPr>
          <w:rFonts w:ascii="Amiri" w:hAnsi="Amiri" w:eastAsia="Amiri" w:cs="Amiri"/>
          <w:lang w:bidi="ar-SA"/>
          <w:color w:val="111111"/>
          <w:sz w:val="28"/>
          <w:szCs w:val="28"/>
          <w:rtl/>
        </w:rPr>
        <w:t xml:space="preserve">1 .الحروف الشمسية (ابيات في)، ج 6،</w:t>
      </w:r>
    </w:p>
    <w:p>
      <w:pPr>
        <w:pStyle w:val="BookText"/>
      </w:pPr>
      <w:r>
        <w:rPr>
          <w:rFonts w:ascii="Amiri" w:hAnsi="Amiri" w:eastAsia="Amiri" w:cs="Amiri"/>
          <w:lang w:bidi="ar-SA"/>
          <w:color w:val="111111"/>
          <w:sz w:val="28"/>
          <w:szCs w:val="28"/>
          <w:rtl/>
        </w:rPr>
        <w:t xml:space="preserve">2 .نزهة المشتاق في علماء العراق</w:t>
      </w:r>
    </w:p>
    <w:p>
      <w:pPr>
        <w:pStyle w:val="BookText"/>
      </w:pPr>
      <w:r>
        <w:rPr>
          <w:rFonts w:ascii="IRNazanin" w:hAnsi="IRNazanin" w:eastAsia="IRNazanin" w:cs="IRNazanin"/>
          <w:lang w:bidi="fa-IR"/>
          <w:color w:val="111111"/>
          <w:sz w:val="28"/>
          <w:szCs w:val="28"/>
          <w:rtl/>
        </w:rPr>
        <w:t xml:space="preserve">ج 16، ص 246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0" w:name="pg7742_70414"/>
    <w:bookmarkEnd w:id="510"/>
    <w:p>
      <w:pPr>
        <w:pStyle w:val="BookText"/>
      </w:pPr>
      <w:r>
        <w:rPr>
          <w:rFonts w:ascii="Amiri" w:hAnsi="Amiri" w:eastAsia="Amiri" w:cs="Amiri"/>
          <w:lang w:bidi="ar-SA"/>
          <w:color w:val="111111"/>
          <w:sz w:val="28"/>
          <w:szCs w:val="28"/>
          <w:rtl/>
        </w:rPr>
        <w:t xml:space="preserve">رحبي ، محمّد بن عبدالله</w:t>
      </w:r>
    </w:p>
    <w:p>
      <w:pPr>
        <w:pStyle w:val="BookText"/>
      </w:pPr>
      <w:r>
        <w:rPr>
          <w:rFonts w:ascii="Amiri" w:hAnsi="Amiri" w:eastAsia="Amiri" w:cs="Amiri"/>
          <w:lang w:bidi="ar-SA"/>
          <w:color w:val="111111"/>
          <w:sz w:val="28"/>
          <w:szCs w:val="28"/>
          <w:rtl/>
        </w:rPr>
        <w:t xml:space="preserve">العجالة في بيان مراد الرسالة، ج 11</w:t>
      </w:r>
    </w:p>
    <w:p>
      <w:pPr>
        <w:pStyle w:val="BookText"/>
      </w:pPr>
      <w:r>
        <w:rPr>
          <w:rFonts w:ascii="IRNazanin" w:hAnsi="IRNazanin" w:eastAsia="IRNazanin" w:cs="IRNazanin"/>
          <w:lang w:bidi="fa-IR"/>
          <w:color w:val="111111"/>
          <w:sz w:val="28"/>
          <w:szCs w:val="28"/>
          <w:rtl/>
        </w:rPr>
        <w:t xml:space="preserve">ص 25 .</w:t>
      </w:r>
    </w:p>
    <w:p>
      <w:pPr>
        <w:pStyle w:val="BookText"/>
      </w:pPr>
      <w:r>
        <w:rPr>
          <w:rFonts w:ascii="Amiri" w:hAnsi="Amiri" w:eastAsia="Amiri" w:cs="Amiri"/>
          <w:lang w:bidi="ar-SA"/>
          <w:color w:val="111111"/>
          <w:sz w:val="28"/>
          <w:szCs w:val="28"/>
          <w:rtl/>
        </w:rPr>
        <w:t xml:space="preserve">رحبي، محمّد بن علي- ابن متفننه ،</w:t>
      </w:r>
    </w:p>
    <w:p>
      <w:pPr>
        <w:pStyle w:val="BookText"/>
      </w:pPr>
      <w:r>
        <w:rPr>
          <w:rFonts w:ascii="Amiri" w:hAnsi="Amiri" w:eastAsia="Amiri" w:cs="Amiri"/>
          <w:lang w:bidi="ar-SA"/>
          <w:color w:val="111111"/>
          <w:sz w:val="28"/>
          <w:szCs w:val="28"/>
          <w:rtl/>
        </w:rPr>
        <w:t xml:space="preserve">محمّد بن علي</w:t>
      </w:r>
    </w:p>
    <w:p>
      <w:pPr>
        <w:pStyle w:val="Heading2"/>
      </w:pPr>
      <w:bookmarkStart w:id="4483" w:name="_Toc3585"/>
      <w:r>
        <w:t>رحبي، محمود بن عثمان - 1150</w:t>
      </w:r>
      <w:bookmarkEnd w:id="4483"/>
    </w:p>
    <w:p>
      <w:pPr>
        <w:pStyle w:val="BookText"/>
      </w:pPr>
      <w:r>
        <w:rPr>
          <w:rFonts w:ascii="Amiri" w:hAnsi="Amiri" w:eastAsia="Amiri" w:cs="Amiri"/>
          <w:lang w:bidi="ar-SA"/>
          <w:color w:val="111111"/>
          <w:sz w:val="28"/>
          <w:szCs w:val="28"/>
          <w:rtl/>
        </w:rPr>
        <w:t xml:space="preserve">بهجة الإخوان في ذكر الوزير سليمان</w:t>
      </w:r>
    </w:p>
    <w:p>
      <w:pPr>
        <w:pStyle w:val="BookText"/>
      </w:pPr>
      <w:r>
        <w:rPr>
          <w:rFonts w:ascii="IRNazanin" w:hAnsi="IRNazanin" w:eastAsia="IRNazanin" w:cs="IRNazanin"/>
          <w:lang w:bidi="fa-IR"/>
          <w:color w:val="111111"/>
          <w:sz w:val="28"/>
          <w:szCs w:val="28"/>
          <w:rtl/>
        </w:rPr>
        <w:t xml:space="preserve">ج 3، ص 412.</w:t>
      </w:r>
    </w:p>
    <w:p>
      <w:pPr>
        <w:pStyle w:val="BookText"/>
      </w:pPr>
      <w:r>
        <w:rPr>
          <w:rFonts w:ascii="Amiri" w:hAnsi="Amiri" w:eastAsia="Amiri" w:cs="Amiri"/>
          <w:lang w:bidi="ar-SA"/>
          <w:color w:val="111111"/>
          <w:sz w:val="28"/>
          <w:szCs w:val="28"/>
          <w:rtl/>
        </w:rPr>
        <w:t xml:space="preserve">رحبي ، موفق الدين محمّد بن عبد الله -رحبي ، محمّد بن عبدالله</w:t>
      </w:r>
    </w:p>
    <w:p>
      <w:pPr>
        <w:pStyle w:val="BookText"/>
      </w:pPr>
      <w:r>
        <w:rPr>
          <w:rFonts w:ascii="Amiri" w:hAnsi="Amiri" w:eastAsia="Amiri" w:cs="Amiri"/>
          <w:lang w:bidi="ar-SA"/>
          <w:color w:val="111111"/>
          <w:sz w:val="28"/>
          <w:szCs w:val="28"/>
          <w:rtl/>
        </w:rPr>
        <w:t xml:space="preserve">رحبي ، يوسف بن عبد اللطيف - حموي ،</w:t>
      </w:r>
    </w:p>
    <w:p>
      <w:pPr>
        <w:pStyle w:val="BookText"/>
      </w:pPr>
      <w:r>
        <w:rPr>
          <w:rFonts w:ascii="Amiri" w:hAnsi="Amiri" w:eastAsia="Amiri" w:cs="Amiri"/>
          <w:lang w:bidi="ar-SA"/>
          <w:color w:val="111111"/>
          <w:sz w:val="28"/>
          <w:szCs w:val="28"/>
          <w:rtl/>
        </w:rPr>
        <w:t xml:space="preserve">يوسف بن عبداللطيف</w:t>
      </w:r>
    </w:p>
    <w:p>
      <w:pPr>
        <w:pStyle w:val="BookText"/>
      </w:pPr>
      <w:r>
        <w:rPr>
          <w:rFonts w:ascii="IRNazanin" w:hAnsi="IRNazanin" w:eastAsia="IRNazanin" w:cs="IRNazanin"/>
          <w:lang w:bidi="fa-IR"/>
          <w:color w:val="111111"/>
          <w:sz w:val="28"/>
          <w:szCs w:val="28"/>
          <w:rtl/>
        </w:rPr>
        <w:t xml:space="preserve">رحمت الله -ملا رحمت الله</w:t>
      </w:r>
    </w:p>
    <w:p>
      <w:pPr>
        <w:pStyle w:val="Heading2"/>
      </w:pPr>
      <w:bookmarkStart w:id="4484" w:name="_Toc3586"/>
      <w:r>
        <w:t>رحمة الله بن عبدالكريم</w:t>
      </w:r>
      <w:bookmarkEnd w:id="4484"/>
    </w:p>
    <w:p>
      <w:pPr>
        <w:pStyle w:val="BookText"/>
      </w:pPr>
      <w:r>
        <w:rPr>
          <w:rFonts w:ascii="Amiri" w:hAnsi="Amiri" w:eastAsia="Amiri" w:cs="Amiri"/>
          <w:lang w:bidi="ar-SA"/>
          <w:color w:val="111111"/>
          <w:sz w:val="28"/>
          <w:szCs w:val="28"/>
          <w:rtl/>
        </w:rPr>
        <w:t xml:space="preserve">الحساب = علم الحساب (رسالة في)</w:t>
      </w:r>
    </w:p>
    <w:p>
      <w:pPr>
        <w:pStyle w:val="BookText"/>
      </w:pPr>
      <w:r>
        <w:rPr>
          <w:rFonts w:ascii="IRNazanin" w:hAnsi="IRNazanin" w:eastAsia="IRNazanin" w:cs="IRNazanin"/>
          <w:lang w:bidi="fa-IR"/>
          <w:color w:val="111111"/>
          <w:sz w:val="28"/>
          <w:szCs w:val="28"/>
          <w:rtl/>
        </w:rPr>
        <w:t xml:space="preserve">ج 6، ص 637 .</w:t>
      </w:r>
    </w:p>
    <w:p>
      <w:pPr>
        <w:pStyle w:val="BookText"/>
      </w:pPr>
      <w:r>
        <w:rPr>
          <w:rFonts w:ascii="Amiri" w:hAnsi="Amiri" w:eastAsia="Amiri" w:cs="Amiri"/>
          <w:lang w:bidi="ar-SA"/>
          <w:color w:val="111111"/>
          <w:sz w:val="28"/>
          <w:szCs w:val="28"/>
          <w:rtl/>
        </w:rPr>
        <w:t xml:space="preserve">رحمت الله بن عبدالله سندي هندي- سندي، رحمة الله بن عبدالله</w:t>
      </w:r>
    </w:p>
    <w:p>
      <w:pPr>
        <w:pStyle w:val="BookText"/>
      </w:pPr>
      <w:r>
        <w:rPr>
          <w:rFonts w:ascii="Amiri" w:hAnsi="Amiri" w:eastAsia="Amiri" w:cs="Amiri"/>
          <w:lang w:bidi="ar-SA"/>
          <w:color w:val="111111"/>
          <w:sz w:val="28"/>
          <w:szCs w:val="28"/>
          <w:rtl/>
        </w:rPr>
        <w:t xml:space="preserve">رحيباني ، محمّد بن عبد الرحيم- مخللاتي</w:t>
      </w:r>
    </w:p>
    <w:p>
      <w:pPr>
        <w:pStyle w:val="BookText"/>
      </w:pPr>
      <w:r>
        <w:rPr>
          <w:rFonts w:ascii="Amiri" w:hAnsi="Amiri" w:eastAsia="Amiri" w:cs="Amiri"/>
          <w:lang w:bidi="ar-SA"/>
          <w:color w:val="111111"/>
          <w:sz w:val="28"/>
          <w:szCs w:val="28"/>
          <w:rtl/>
        </w:rPr>
        <w:t xml:space="preserve">محمّد بن عبدالرحيم</w:t>
      </w:r>
    </w:p>
    <w:p>
      <w:pPr>
        <w:pStyle w:val="BookText"/>
      </w:pPr>
      <w:r>
        <w:rPr>
          <w:rFonts w:ascii="Amiri" w:hAnsi="Amiri" w:eastAsia="Amiri" w:cs="Amiri"/>
          <w:lang w:bidi="ar-SA"/>
          <w:color w:val="111111"/>
          <w:sz w:val="28"/>
          <w:szCs w:val="28"/>
          <w:rtl/>
        </w:rPr>
        <w:t xml:space="preserve">رحيم بن ابراهيم قلي يغماي</w:t>
      </w:r>
    </w:p>
    <w:p>
      <w:pPr>
        <w:pStyle w:val="BookText"/>
      </w:pPr>
      <w:r>
        <w:rPr>
          <w:rFonts w:ascii="Amiri" w:hAnsi="Amiri" w:eastAsia="Amiri" w:cs="Amiri"/>
          <w:lang w:bidi="ar-SA"/>
          <w:color w:val="111111"/>
          <w:sz w:val="28"/>
          <w:szCs w:val="28"/>
          <w:rtl/>
        </w:rPr>
        <w:t xml:space="preserve">جندقي- يغما جندقي ، ابوالحسن بن ابراهيم</w:t>
      </w:r>
    </w:p>
    <w:p>
      <w:pPr>
        <w:pStyle w:val="BookText"/>
      </w:pPr>
      <w:r>
        <w:rPr>
          <w:rFonts w:ascii="Amiri" w:hAnsi="Amiri" w:eastAsia="Amiri" w:cs="Amiri"/>
          <w:lang w:bidi="ar-SA"/>
          <w:color w:val="111111"/>
          <w:sz w:val="28"/>
          <w:szCs w:val="28"/>
          <w:rtl/>
        </w:rPr>
        <w:t xml:space="preserve">قلي</w:t>
      </w:r>
    </w:p>
    <w:p>
      <w:pPr>
        <w:pStyle w:val="Heading2"/>
      </w:pPr>
      <w:bookmarkStart w:id="4485" w:name="_Toc3587"/>
      <w:r>
        <w:t>رداد ، احمد بن ابي بكر، 748 - 821 ه-</w:t>
      </w:r>
      <w:bookmarkEnd w:id="4485"/>
    </w:p>
    <w:p>
      <w:pPr>
        <w:pStyle w:val="BookText"/>
      </w:pPr>
      <w:r>
        <w:rPr>
          <w:rFonts w:ascii="Amiri" w:hAnsi="Amiri" w:eastAsia="Amiri" w:cs="Amiri"/>
          <w:lang w:bidi="ar-SA"/>
          <w:color w:val="111111"/>
          <w:sz w:val="28"/>
          <w:szCs w:val="28"/>
          <w:rtl/>
        </w:rPr>
        <w:t xml:space="preserve">شرح أبيات شيخ عبدالقادر الجيلاني</w:t>
      </w:r>
    </w:p>
    <w:p>
      <w:pPr>
        <w:pStyle w:val="BookText"/>
      </w:pPr>
      <w:r>
        <w:rPr>
          <w:rFonts w:ascii="IRNazanin" w:hAnsi="IRNazanin" w:eastAsia="IRNazanin" w:cs="IRNazanin"/>
          <w:lang w:bidi="fa-IR"/>
          <w:color w:val="111111"/>
          <w:sz w:val="28"/>
          <w:szCs w:val="28"/>
          <w:rtl/>
        </w:rPr>
        <w:t xml:space="preserve">ج 9، ص 147.</w:t>
      </w:r>
    </w:p>
    <w:p>
      <w:pPr>
        <w:pStyle w:val="BookText"/>
      </w:pPr>
      <w:r>
        <w:rPr>
          <w:rFonts w:ascii="Amiri" w:hAnsi="Amiri" w:eastAsia="Amiri" w:cs="Amiri"/>
          <w:lang w:bidi="ar-SA"/>
          <w:color w:val="111111"/>
          <w:sz w:val="28"/>
          <w:szCs w:val="28"/>
          <w:rtl/>
        </w:rPr>
        <w:t xml:space="preserve">رداني ، محمّد بن محمّد -سوسي ، محمّد بن محمّد</w:t>
      </w:r>
    </w:p>
    <w:p>
      <w:pPr>
        <w:pStyle w:val="BookText"/>
      </w:pPr>
      <w:r>
        <w:rPr>
          <w:rFonts w:ascii="Amiri" w:hAnsi="Amiri" w:eastAsia="Amiri" w:cs="Amiri"/>
          <w:lang w:bidi="ar-SA"/>
          <w:color w:val="111111"/>
          <w:sz w:val="28"/>
          <w:szCs w:val="28"/>
          <w:rtl/>
        </w:rPr>
        <w:t xml:space="preserve">ردولوي، صفي الدين بن</w:t>
      </w:r>
    </w:p>
    <w:p>
      <w:pPr>
        <w:pStyle w:val="BookText"/>
      </w:pPr>
      <w:r>
        <w:rPr>
          <w:rFonts w:ascii="Amiri" w:hAnsi="Amiri" w:eastAsia="Amiri" w:cs="Amiri"/>
          <w:lang w:bidi="ar-SA"/>
          <w:color w:val="111111"/>
          <w:sz w:val="28"/>
          <w:szCs w:val="28"/>
          <w:rtl/>
        </w:rPr>
        <w:t xml:space="preserve">نصير الدين - معلم دهلوي ، صفي الدين بن</w:t>
      </w:r>
    </w:p>
    <w:p>
      <w:pPr>
        <w:pStyle w:val="BookText"/>
      </w:pPr>
      <w:r>
        <w:rPr>
          <w:rFonts w:ascii="IRNazanin" w:hAnsi="IRNazanin" w:eastAsia="IRNazanin" w:cs="IRNazanin"/>
          <w:lang w:bidi="fa-IR"/>
          <w:color w:val="111111"/>
          <w:sz w:val="28"/>
          <w:szCs w:val="28"/>
          <w:rtl/>
        </w:rPr>
        <w:t xml:space="preserve">نصیر الدین</w:t>
      </w:r>
    </w:p>
    <w:p>
      <w:pPr>
        <w:pStyle w:val="BookText"/>
      </w:pPr>
      <w:r>
        <w:rPr>
          <w:rFonts w:ascii="Amiri" w:hAnsi="Amiri" w:eastAsia="Amiri" w:cs="Amiri"/>
          <w:lang w:bidi="ar-SA"/>
          <w:color w:val="111111"/>
          <w:sz w:val="28"/>
          <w:szCs w:val="28"/>
          <w:rtl/>
        </w:rPr>
        <w:t xml:space="preserve">رزاز ، رضوان بن عبد الله -مصري ، رضوان</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4486" w:name="_Toc3588"/>
      <w:r>
        <w:t>رزاز ، محمّد بن عمرو، 251 - 339 ه-</w:t>
      </w:r>
      <w:bookmarkEnd w:id="4486"/>
    </w:p>
    <w:p>
      <w:pPr>
        <w:pStyle w:val="BookText"/>
      </w:pPr>
      <w:r>
        <w:rPr>
          <w:rFonts w:ascii="Amiri" w:hAnsi="Amiri" w:eastAsia="Amiri" w:cs="Amiri"/>
          <w:lang w:bidi="ar-SA"/>
          <w:color w:val="111111"/>
          <w:sz w:val="28"/>
          <w:szCs w:val="28"/>
          <w:rtl/>
        </w:rPr>
        <w:t xml:space="preserve">1 .احاديث البختري، ج 1، ص 406.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الامالي، ج 2، ص710.</w:t>
      </w:r>
    </w:p>
    <w:p>
      <w:pPr>
        <w:pStyle w:val="Heading2"/>
      </w:pPr>
      <w:bookmarkStart w:id="4487" w:name="_Toc3589"/>
      <w:r>
        <w:t>؟ رزق مغربي</w:t>
      </w:r>
      <w:bookmarkEnd w:id="4487"/>
    </w:p>
    <w:p>
      <w:pPr>
        <w:pStyle w:val="BookText"/>
      </w:pPr>
      <w:r>
        <w:rPr>
          <w:rFonts w:ascii="Amiri" w:hAnsi="Amiri" w:eastAsia="Amiri" w:cs="Amiri"/>
          <w:lang w:bidi="ar-SA"/>
          <w:color w:val="111111"/>
          <w:sz w:val="28"/>
          <w:szCs w:val="28"/>
          <w:rtl/>
        </w:rPr>
        <w:t xml:space="preserve">قصيدة، ج 12، ص 640 .</w:t>
      </w:r>
    </w:p>
    <w:p>
      <w:pPr>
        <w:pStyle w:val="Heading2"/>
      </w:pPr>
      <w:bookmarkStart w:id="4488" w:name="_Toc3590"/>
      <w:r>
        <w:t>رزوق ، رزوق فرج</w:t>
      </w:r>
      <w:bookmarkEnd w:id="4488"/>
    </w:p>
    <w:p>
      <w:pPr>
        <w:pStyle w:val="BookText"/>
      </w:pPr>
      <w:r>
        <w:rPr>
          <w:rFonts w:ascii="Amiri" w:hAnsi="Amiri" w:eastAsia="Amiri" w:cs="Amiri"/>
          <w:lang w:bidi="ar-SA"/>
          <w:color w:val="111111"/>
          <w:sz w:val="28"/>
          <w:szCs w:val="28"/>
          <w:rtl/>
        </w:rPr>
        <w:t xml:space="preserve">مكتبة كوبنهاجن الملكية و</w:t>
      </w:r>
    </w:p>
    <w:p>
      <w:pPr>
        <w:pStyle w:val="BookText"/>
      </w:pPr>
      <w:r>
        <w:rPr>
          <w:rFonts w:ascii="Amiri" w:hAnsi="Amiri" w:eastAsia="Amiri" w:cs="Amiri"/>
          <w:lang w:bidi="ar-SA"/>
          <w:color w:val="111111"/>
          <w:sz w:val="28"/>
          <w:szCs w:val="28"/>
          <w:rtl/>
        </w:rPr>
        <w:t xml:space="preserve">مخطوطاتها العربية، ج 15، ص 417.</w:t>
      </w:r>
    </w:p>
    <w:p>
      <w:pPr>
        <w:pStyle w:val="BookText"/>
      </w:pPr>
      <w:r>
        <w:rPr>
          <w:rFonts w:ascii="IRNazanin" w:hAnsi="IRNazanin" w:eastAsia="IRNazanin" w:cs="IRNazanin"/>
          <w:lang w:bidi="fa-IR"/>
          <w:color w:val="111111"/>
          <w:sz w:val="28"/>
          <w:szCs w:val="28"/>
          <w:rtl/>
        </w:rPr>
        <w:t xml:space="preserve">رزوق فرج رزوق- رزوق ، رزوق فرج</w:t>
      </w:r>
    </w:p>
    <w:p>
      <w:pPr>
        <w:pStyle w:val="BookText"/>
      </w:pPr>
      <w:r>
        <w:rPr>
          <w:rFonts w:ascii="Amiri" w:hAnsi="Amiri" w:eastAsia="Amiri" w:cs="Amiri"/>
          <w:lang w:bidi="ar-SA"/>
          <w:color w:val="111111"/>
          <w:sz w:val="28"/>
          <w:szCs w:val="28"/>
          <w:rtl/>
        </w:rPr>
        <w:t xml:space="preserve">رستم بن يوسف مولوي -مولوي ، خطيب</w:t>
      </w:r>
    </w:p>
    <w:p>
      <w:pPr>
        <w:pStyle w:val="BookText"/>
      </w:pPr>
      <w:r>
        <w:rPr>
          <w:rFonts w:ascii="IRNazanin" w:hAnsi="IRNazanin" w:eastAsia="IRNazanin" w:cs="IRNazanin"/>
          <w:lang w:bidi="fa-IR"/>
          <w:color w:val="111111"/>
          <w:sz w:val="28"/>
          <w:szCs w:val="28"/>
          <w:rtl/>
        </w:rPr>
        <w:t xml:space="preserve">رستم بن عبدالله</w:t>
      </w:r>
    </w:p>
    <w:p>
      <w:pPr>
        <w:pStyle w:val="BookText"/>
      </w:pPr>
      <w:r>
        <w:rPr>
          <w:rFonts w:ascii="Amiri" w:hAnsi="Amiri" w:eastAsia="Amiri" w:cs="Amiri"/>
          <w:lang w:bidi="ar-SA"/>
          <w:color w:val="111111"/>
          <w:sz w:val="28"/>
          <w:szCs w:val="28"/>
          <w:rtl/>
        </w:rPr>
        <w:t xml:space="preserve">رستمداري ، محمّد -مشكك رستمداري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رستمداري ، محمّد بن علي- مشكك</w:t>
      </w:r>
    </w:p>
    <w:p>
      <w:pPr>
        <w:pStyle w:val="BookText"/>
      </w:pPr>
      <w:r>
        <w:rPr>
          <w:rFonts w:ascii="Amiri" w:hAnsi="Amiri" w:eastAsia="Amiri" w:cs="Amiri"/>
          <w:lang w:bidi="ar-SA"/>
          <w:color w:val="111111"/>
          <w:sz w:val="28"/>
          <w:szCs w:val="28"/>
          <w:rtl/>
        </w:rPr>
        <w:t xml:space="preserve">رستمداري ، محمّد بن علي</w:t>
      </w:r>
    </w:p>
    <w:p>
      <w:pPr>
        <w:pStyle w:val="BookText"/>
      </w:pPr>
      <w:r>
        <w:rPr>
          <w:rFonts w:ascii="Amiri" w:hAnsi="Amiri" w:eastAsia="Amiri" w:cs="Amiri"/>
          <w:lang w:bidi="ar-SA"/>
          <w:color w:val="111111"/>
          <w:sz w:val="28"/>
          <w:szCs w:val="28"/>
          <w:rtl/>
        </w:rPr>
        <w:t xml:space="preserve">رستمداري ، محمّد بن فخرالدين علي -مشكك رستمداري ، محمّد بن علي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1" w:name="pg7742_70416"/>
    <w:bookmarkEnd w:id="511"/>
    <w:p>
      <w:pPr>
        <w:pStyle w:val="BookText"/>
      </w:pPr>
      <w:r>
        <w:rPr>
          <w:rFonts w:ascii="Amiri" w:hAnsi="Amiri" w:eastAsia="Amiri" w:cs="Amiri"/>
          <w:lang w:bidi="ar-SA"/>
          <w:color w:val="111111"/>
          <w:sz w:val="28"/>
          <w:szCs w:val="28"/>
          <w:rtl/>
        </w:rPr>
        <w:t xml:space="preserve">رستم دده بن عبد الله خطيب - مولوي ،</w:t>
      </w:r>
    </w:p>
    <w:p>
      <w:pPr>
        <w:pStyle w:val="BookText"/>
      </w:pPr>
      <w:r>
        <w:rPr>
          <w:rFonts w:ascii="IRNazanin" w:hAnsi="IRNazanin" w:eastAsia="IRNazanin" w:cs="IRNazanin"/>
          <w:lang w:bidi="fa-IR"/>
          <w:color w:val="111111"/>
          <w:sz w:val="28"/>
          <w:szCs w:val="28"/>
          <w:rtl/>
        </w:rPr>
        <w:t xml:space="preserve">خطیب رستم بن عبدالله</w:t>
      </w:r>
    </w:p>
    <w:p>
      <w:pPr>
        <w:pStyle w:val="BookText"/>
      </w:pPr>
      <w:r>
        <w:rPr>
          <w:rFonts w:ascii="Amiri" w:hAnsi="Amiri" w:eastAsia="Amiri" w:cs="Amiri"/>
          <w:lang w:bidi="ar-SA"/>
          <w:color w:val="111111"/>
          <w:sz w:val="28"/>
          <w:szCs w:val="28"/>
          <w:rtl/>
        </w:rPr>
        <w:t xml:space="preserve">رستم مولوي- مولوي ، خطيب رستم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رستمي ، ابوبكر بن محمّد- ميررستمي ،</w:t>
      </w:r>
    </w:p>
    <w:p>
      <w:pPr>
        <w:pStyle w:val="BookText"/>
      </w:pPr>
      <w:r>
        <w:rPr>
          <w:rFonts w:ascii="IRNazanin" w:hAnsi="IRNazanin" w:eastAsia="IRNazanin" w:cs="IRNazanin"/>
          <w:lang w:bidi="fa-IR"/>
          <w:color w:val="111111"/>
          <w:sz w:val="28"/>
          <w:szCs w:val="28"/>
          <w:rtl/>
        </w:rPr>
        <w:t xml:space="preserve">ابوبکر بن محمّد</w:t>
      </w:r>
    </w:p>
    <w:p>
      <w:pPr>
        <w:pStyle w:val="BookText"/>
      </w:pPr>
      <w:r>
        <w:rPr>
          <w:rFonts w:ascii="IRNazanin" w:hAnsi="IRNazanin" w:eastAsia="IRNazanin" w:cs="IRNazanin"/>
          <w:lang w:bidi="fa-IR"/>
          <w:color w:val="111111"/>
          <w:sz w:val="28"/>
          <w:szCs w:val="28"/>
          <w:rtl/>
        </w:rPr>
        <w:t xml:space="preserve">رسعني ، ابومحمّد عزالدین عبدالرزاق- رسعني ، عبدالرزاق بن رزق الله</w:t>
      </w:r>
    </w:p>
    <w:p>
      <w:pPr>
        <w:pStyle w:val="Heading2"/>
      </w:pPr>
      <w:bookmarkStart w:id="4489" w:name="_Toc3591"/>
      <w:r>
        <w:t>رسعني ، عبدالرزاق بن رزق الله، 589 -</w:t>
      </w:r>
      <w:bookmarkEnd w:id="4489"/>
    </w:p>
    <w:p>
      <w:pPr>
        <w:pStyle w:val="BookText"/>
      </w:pPr>
      <w:r>
        <w:rPr>
          <w:rFonts w:ascii="IRNazanin" w:hAnsi="IRNazanin" w:eastAsia="IRNazanin" w:cs="IRNazanin"/>
          <w:lang w:bidi="fa-IR"/>
          <w:color w:val="111111"/>
          <w:sz w:val="28"/>
          <w:szCs w:val="28"/>
          <w:rtl/>
        </w:rPr>
        <w:t xml:space="preserve">661 ؟ ه-</w:t>
      </w:r>
    </w:p>
    <w:p>
      <w:pPr>
        <w:pStyle w:val="BookText"/>
      </w:pPr>
      <w:r>
        <w:rPr>
          <w:rFonts w:ascii="Amiri" w:hAnsi="Amiri" w:eastAsia="Amiri" w:cs="Amiri"/>
          <w:lang w:bidi="ar-SA"/>
          <w:color w:val="111111"/>
          <w:sz w:val="28"/>
          <w:szCs w:val="28"/>
          <w:rtl/>
        </w:rPr>
        <w:t xml:space="preserve">1 .درة القاري في الفرق بين الضاد و احمد بن كاظم</w:t>
      </w:r>
    </w:p>
    <w:p>
      <w:pPr>
        <w:pStyle w:val="BookText"/>
      </w:pPr>
      <w:r>
        <w:rPr>
          <w:rFonts w:ascii="Amiri" w:hAnsi="Amiri" w:eastAsia="Amiri" w:cs="Amiri"/>
          <w:lang w:bidi="ar-SA"/>
          <w:color w:val="111111"/>
          <w:sz w:val="28"/>
          <w:szCs w:val="28"/>
          <w:rtl/>
        </w:rPr>
        <w:t xml:space="preserve">الظاء - الظائية النونية، ج 7،</w:t>
      </w:r>
    </w:p>
    <w:p>
      <w:pPr>
        <w:pStyle w:val="BookText"/>
      </w:pPr>
      <w:r>
        <w:rPr>
          <w:rFonts w:ascii="IRNazanin" w:hAnsi="IRNazanin" w:eastAsia="IRNazanin" w:cs="IRNazanin"/>
          <w:lang w:bidi="fa-IR"/>
          <w:color w:val="111111"/>
          <w:sz w:val="28"/>
          <w:szCs w:val="28"/>
          <w:rtl/>
        </w:rPr>
        <w:t xml:space="preserve">ص 254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رموز الكنوز في تفسير الكتاب</w:t>
      </w:r>
    </w:p>
    <w:p>
      <w:pPr>
        <w:pStyle w:val="BookText"/>
      </w:pPr>
      <w:r>
        <w:rPr>
          <w:rFonts w:ascii="Amiri" w:hAnsi="Amiri" w:eastAsia="Amiri" w:cs="Amiri"/>
          <w:lang w:bidi="ar-SA"/>
          <w:color w:val="111111"/>
          <w:sz w:val="28"/>
          <w:szCs w:val="28"/>
          <w:rtl/>
        </w:rPr>
        <w:t xml:space="preserve">العزيز، ج 8، ص 366.</w:t>
      </w:r>
    </w:p>
    <w:p>
      <w:pPr>
        <w:pStyle w:val="BookText"/>
      </w:pPr>
      <w:r>
        <w:rPr>
          <w:rFonts w:ascii="Amiri" w:hAnsi="Amiri" w:eastAsia="Amiri" w:cs="Amiri"/>
          <w:lang w:bidi="ar-SA"/>
          <w:color w:val="111111"/>
          <w:sz w:val="28"/>
          <w:szCs w:val="28"/>
          <w:rtl/>
        </w:rPr>
        <w:t xml:space="preserve">رسوخ الدين ، اسماعيل بن احمد</w:t>
      </w:r>
    </w:p>
    <w:p>
      <w:pPr>
        <w:pStyle w:val="BookText"/>
      </w:pPr>
      <w:r>
        <w:rPr>
          <w:rFonts w:ascii="Amiri" w:hAnsi="Amiri" w:eastAsia="Amiri" w:cs="Amiri"/>
          <w:lang w:bidi="ar-SA"/>
          <w:color w:val="111111"/>
          <w:sz w:val="28"/>
          <w:szCs w:val="28"/>
          <w:rtl/>
        </w:rPr>
        <w:t xml:space="preserve">انقروي -انقروي، اسماعيل بن احمد</w:t>
      </w:r>
    </w:p>
    <w:p>
      <w:pPr>
        <w:pStyle w:val="BookText"/>
      </w:pPr>
      <w:r>
        <w:rPr>
          <w:rFonts w:ascii="Amiri" w:hAnsi="Amiri" w:eastAsia="Amiri" w:cs="Amiri"/>
          <w:lang w:bidi="ar-SA"/>
          <w:color w:val="111111"/>
          <w:sz w:val="28"/>
          <w:szCs w:val="28"/>
          <w:rtl/>
        </w:rPr>
        <w:t xml:space="preserve">رسوخي، اسماعيل بن احمد- انقروي</w:t>
      </w:r>
    </w:p>
    <w:p>
      <w:pPr>
        <w:pStyle w:val="BookText"/>
      </w:pPr>
      <w:r>
        <w:rPr>
          <w:rFonts w:ascii="IRNazanin" w:hAnsi="IRNazanin" w:eastAsia="IRNazanin" w:cs="IRNazanin"/>
          <w:lang w:bidi="fa-IR"/>
          <w:color w:val="111111"/>
          <w:sz w:val="28"/>
          <w:szCs w:val="28"/>
          <w:rtl/>
        </w:rPr>
        <w:t xml:space="preserve">اسماعیل بن احمد</w:t>
      </w:r>
    </w:p>
    <w:p>
      <w:pPr>
        <w:pStyle w:val="BookText"/>
      </w:pPr>
      <w:r>
        <w:rPr>
          <w:rFonts w:ascii="Amiri" w:hAnsi="Amiri" w:eastAsia="Amiri" w:cs="Amiri"/>
          <w:lang w:bidi="ar-SA"/>
          <w:color w:val="111111"/>
          <w:sz w:val="28"/>
          <w:szCs w:val="28"/>
          <w:rtl/>
        </w:rPr>
        <w:t xml:space="preserve">رسول بن صالح آيديني- آيديني ، رسول</w:t>
      </w:r>
    </w:p>
    <w:p>
      <w:pPr>
        <w:pStyle w:val="BookText"/>
      </w:pPr>
      <w:r>
        <w:rPr>
          <w:rFonts w:ascii="IRNazanin" w:hAnsi="IRNazanin" w:eastAsia="IRNazanin" w:cs="IRNazanin"/>
          <w:lang w:bidi="fa-IR"/>
          <w:color w:val="111111"/>
          <w:sz w:val="28"/>
          <w:szCs w:val="28"/>
          <w:rtl/>
        </w:rPr>
        <w:t xml:space="preserve">بن صالح</w:t>
      </w:r>
    </w:p>
    <w:p>
      <w:pPr>
        <w:pStyle w:val="BookText"/>
      </w:pPr>
      <w:r>
        <w:rPr>
          <w:rFonts w:ascii="Amiri" w:hAnsi="Amiri" w:eastAsia="Amiri" w:cs="Amiri"/>
          <w:lang w:bidi="ar-SA"/>
          <w:color w:val="111111"/>
          <w:sz w:val="28"/>
          <w:szCs w:val="28"/>
          <w:rtl/>
        </w:rPr>
        <w:t xml:space="preserve">رسول حاوي -حاوي ، رسول</w:t>
      </w:r>
    </w:p>
    <w:p>
      <w:pPr>
        <w:pStyle w:val="BookText"/>
      </w:pPr>
      <w:r>
        <w:rPr>
          <w:rFonts w:ascii="Amiri" w:hAnsi="Amiri" w:eastAsia="Amiri" w:cs="Amiri"/>
          <w:lang w:bidi="ar-SA"/>
          <w:color w:val="111111"/>
          <w:sz w:val="28"/>
          <w:szCs w:val="28"/>
          <w:rtl/>
        </w:rPr>
        <w:t xml:space="preserve">رسول مستي- مستي ، رسول</w:t>
      </w:r>
    </w:p>
    <w:p>
      <w:pPr>
        <w:pStyle w:val="BookText"/>
      </w:pPr>
      <w:r>
        <w:rPr>
          <w:rFonts w:ascii="Amiri" w:hAnsi="Amiri" w:eastAsia="Amiri" w:cs="Amiri"/>
          <w:lang w:bidi="ar-SA"/>
          <w:color w:val="111111"/>
          <w:sz w:val="28"/>
          <w:szCs w:val="28"/>
          <w:rtl/>
        </w:rPr>
        <w:t xml:space="preserve">رسولي ، عمر بن يوسف - اشرف الرسولي</w:t>
      </w:r>
    </w:p>
    <w:p>
      <w:pPr>
        <w:pStyle w:val="BookText"/>
      </w:pPr>
      <w:r>
        <w:rPr>
          <w:rFonts w:ascii="Amiri" w:hAnsi="Amiri" w:eastAsia="Amiri" w:cs="Amiri"/>
          <w:lang w:bidi="ar-SA"/>
          <w:color w:val="111111"/>
          <w:sz w:val="28"/>
          <w:szCs w:val="28"/>
          <w:rtl/>
        </w:rPr>
        <w:t xml:space="preserve">عمر بن يوسف</w:t>
      </w:r>
    </w:p>
    <w:p>
      <w:pPr>
        <w:pStyle w:val="Heading2"/>
      </w:pPr>
      <w:bookmarkStart w:id="4490" w:name="_Toc3592"/>
      <w:r>
        <w:t>رسولي ، يوسف بن عمر 619 - 694 ه-</w:t>
      </w:r>
      <w:bookmarkEnd w:id="4490"/>
    </w:p>
    <w:p>
      <w:pPr>
        <w:pStyle w:val="BookText"/>
      </w:pPr>
      <w:r>
        <w:rPr>
          <w:rFonts w:ascii="Amiri" w:hAnsi="Amiri" w:eastAsia="Amiri" w:cs="Amiri"/>
          <w:lang w:bidi="ar-SA"/>
          <w:color w:val="111111"/>
          <w:sz w:val="28"/>
          <w:szCs w:val="28"/>
          <w:rtl/>
        </w:rPr>
        <w:t xml:space="preserve">1 .طرفة الاصحاب في معرفة الانساب</w:t>
      </w:r>
    </w:p>
    <w:p>
      <w:pPr>
        <w:pStyle w:val="BookText"/>
      </w:pPr>
      <w:r>
        <w:rPr>
          <w:rFonts w:ascii="IRNazanin" w:hAnsi="IRNazanin" w:eastAsia="IRNazanin" w:cs="IRNazanin"/>
          <w:lang w:bidi="fa-IR"/>
          <w:color w:val="111111"/>
          <w:sz w:val="28"/>
          <w:szCs w:val="28"/>
          <w:rtl/>
        </w:rPr>
        <w:t xml:space="preserve">ج 10، ص 812.</w:t>
      </w:r>
    </w:p>
    <w:p>
      <w:pPr>
        <w:pStyle w:val="BookText"/>
      </w:pPr>
      <w:r>
        <w:rPr>
          <w:rFonts w:ascii="Amiri" w:hAnsi="Amiri" w:eastAsia="Amiri" w:cs="Amiri"/>
          <w:lang w:bidi="ar-SA"/>
          <w:color w:val="111111"/>
          <w:sz w:val="28"/>
          <w:szCs w:val="28"/>
          <w:rtl/>
        </w:rPr>
        <w:t xml:space="preserve">2 .المخترع في فنون من الصنع، ج 14،</w:t>
      </w:r>
    </w:p>
    <w:p>
      <w:pPr>
        <w:pStyle w:val="BookText"/>
      </w:pPr>
      <w:r>
        <w:rPr>
          <w:rFonts w:ascii="IRNazanin" w:hAnsi="IRNazanin" w:eastAsia="IRNazanin" w:cs="IRNazanin"/>
          <w:lang w:bidi="fa-IR"/>
          <w:color w:val="111111"/>
          <w:sz w:val="28"/>
          <w:szCs w:val="28"/>
          <w:rtl/>
        </w:rPr>
        <w:t xml:space="preserve">ص 167.</w:t>
      </w:r>
    </w:p>
    <w:p>
      <w:pPr>
        <w:pStyle w:val="BookText"/>
      </w:pPr>
      <w:r>
        <w:rPr>
          <w:rFonts w:ascii="Amiri" w:hAnsi="Amiri" w:eastAsia="Amiri" w:cs="Amiri"/>
          <w:lang w:bidi="ar-SA"/>
          <w:color w:val="111111"/>
          <w:sz w:val="28"/>
          <w:szCs w:val="28"/>
          <w:rtl/>
        </w:rPr>
        <w:t xml:space="preserve">رسي ، محمّد بن علي -ابن طقطقي</w:t>
      </w:r>
    </w:p>
    <w:p>
      <w:pPr>
        <w:pStyle w:val="BookText"/>
      </w:pPr>
      <w:r>
        <w:rPr>
          <w:rFonts w:ascii="Amiri" w:hAnsi="Amiri" w:eastAsia="Amiri" w:cs="Amiri"/>
          <w:lang w:bidi="ar-SA"/>
          <w:color w:val="111111"/>
          <w:sz w:val="28"/>
          <w:szCs w:val="28"/>
          <w:rtl/>
        </w:rPr>
        <w:t xml:space="preserve">محمّد بن علي</w:t>
      </w:r>
    </w:p>
    <w:p>
      <w:pPr>
        <w:pStyle w:val="Heading2"/>
      </w:pPr>
      <w:bookmarkStart w:id="4491" w:name="_Toc3593"/>
      <w:r>
        <w:t>رشتاني ، برهان الدين</w:t>
      </w:r>
      <w:bookmarkEnd w:id="4491"/>
    </w:p>
    <w:p>
      <w:pPr>
        <w:pStyle w:val="BookText"/>
      </w:pPr>
      <w:r>
        <w:rPr>
          <w:rFonts w:ascii="Amiri" w:hAnsi="Amiri" w:eastAsia="Amiri" w:cs="Amiri"/>
          <w:lang w:bidi="ar-SA"/>
          <w:color w:val="111111"/>
          <w:sz w:val="28"/>
          <w:szCs w:val="28"/>
          <w:rtl/>
        </w:rPr>
        <w:t xml:space="preserve">الهداية في شرح البداية، ج 16، ص 623.</w:t>
      </w:r>
    </w:p>
    <w:p>
      <w:pPr>
        <w:pStyle w:val="BookText"/>
      </w:pPr>
      <w:r>
        <w:rPr>
          <w:rFonts w:ascii="Amiri" w:hAnsi="Amiri" w:eastAsia="Amiri" w:cs="Amiri"/>
          <w:lang w:bidi="ar-SA"/>
          <w:color w:val="111111"/>
          <w:sz w:val="28"/>
          <w:szCs w:val="28"/>
          <w:rtl/>
        </w:rPr>
        <w:t xml:space="preserve">رشتي ، احمد بن كاظم -حسيني رشتي</w:t>
      </w:r>
    </w:p>
    <w:p>
      <w:pPr>
        <w:pStyle w:val="Heading2"/>
      </w:pPr>
      <w:bookmarkStart w:id="4492" w:name="_Toc3594"/>
      <w:r>
        <w:t>رشتي ، احمد بن محمّد قرن 14 ه-</w:t>
      </w:r>
      <w:bookmarkEnd w:id="4492"/>
    </w:p>
    <w:p>
      <w:pPr>
        <w:pStyle w:val="BookText"/>
      </w:pPr>
      <w:r>
        <w:rPr>
          <w:rFonts w:ascii="Amiri" w:hAnsi="Amiri" w:eastAsia="Amiri" w:cs="Amiri"/>
          <w:lang w:bidi="ar-SA"/>
          <w:color w:val="111111"/>
          <w:sz w:val="28"/>
          <w:szCs w:val="28"/>
          <w:rtl/>
        </w:rPr>
        <w:t xml:space="preserve">زهرة الغرى في استخراج التقويم من</w:t>
      </w:r>
    </w:p>
    <w:p>
      <w:pPr>
        <w:pStyle w:val="BookText"/>
      </w:pPr>
      <w:r>
        <w:rPr>
          <w:rFonts w:ascii="Amiri" w:hAnsi="Amiri" w:eastAsia="Amiri" w:cs="Amiri"/>
          <w:lang w:bidi="ar-SA"/>
          <w:color w:val="111111"/>
          <w:sz w:val="28"/>
          <w:szCs w:val="28"/>
          <w:rtl/>
        </w:rPr>
        <w:t xml:space="preserve">الزيج البهادري، ج8، ص 622 .</w:t>
      </w:r>
    </w:p>
    <w:p>
      <w:pPr>
        <w:pStyle w:val="BookText"/>
      </w:pPr>
      <w:r>
        <w:rPr>
          <w:rFonts w:ascii="IRNazanin" w:hAnsi="IRNazanin" w:eastAsia="IRNazanin" w:cs="IRNazanin"/>
          <w:lang w:bidi="fa-IR"/>
          <w:color w:val="111111"/>
          <w:sz w:val="28"/>
          <w:szCs w:val="28"/>
          <w:rtl/>
        </w:rPr>
        <w:t xml:space="preserve">رشتي چهاردهي ، محمّد علي بن محمّد</w:t>
      </w:r>
    </w:p>
    <w:p>
      <w:pPr>
        <w:pStyle w:val="BookText"/>
      </w:pPr>
      <w:r>
        <w:rPr>
          <w:rFonts w:ascii="IRNazanin" w:hAnsi="IRNazanin" w:eastAsia="IRNazanin" w:cs="IRNazanin"/>
          <w:lang w:bidi="fa-IR"/>
          <w:color w:val="111111"/>
          <w:sz w:val="28"/>
          <w:szCs w:val="28"/>
          <w:rtl/>
        </w:rPr>
        <w:t xml:space="preserve">نصیر -مدرس چهاردهي ، محمّد علي بن</w:t>
      </w:r>
    </w:p>
    <w:p>
      <w:pPr>
        <w:pStyle w:val="BookText"/>
      </w:pPr>
      <w:r>
        <w:rPr>
          <w:rFonts w:ascii="Amiri" w:hAnsi="Amiri" w:eastAsia="Amiri" w:cs="Amiri"/>
          <w:lang w:bidi="ar-SA"/>
          <w:color w:val="111111"/>
          <w:sz w:val="28"/>
          <w:szCs w:val="28"/>
          <w:rtl/>
        </w:rPr>
        <w:t xml:space="preserve">محمّد نصیر</w:t>
      </w:r>
    </w:p>
    <w:p>
      <w:pPr>
        <w:pStyle w:val="Heading2"/>
      </w:pPr>
      <w:bookmarkStart w:id="4493" w:name="_Toc3595"/>
      <w:r>
        <w:t>رشتي حائري، محمّد كاظم بن علي اكبر</w:t>
      </w:r>
      <w:bookmarkEnd w:id="4493"/>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1 .درر الأخبار في فضائل حيدر الكرار</w:t>
      </w:r>
    </w:p>
    <w:p>
      <w:pPr>
        <w:pStyle w:val="BookText"/>
      </w:pPr>
      <w:r>
        <w:rPr>
          <w:rFonts w:ascii="IRNazanin" w:hAnsi="IRNazanin" w:eastAsia="IRNazanin" w:cs="IRNazanin"/>
          <w:lang w:bidi="fa-IR"/>
          <w:color w:val="111111"/>
          <w:sz w:val="28"/>
          <w:szCs w:val="28"/>
          <w:rtl/>
        </w:rPr>
        <w:t xml:space="preserve">ج 7، ص282.</w:t>
      </w:r>
    </w:p>
    <w:p>
      <w:pPr>
        <w:pStyle w:val="BookText"/>
      </w:pPr>
      <w:r>
        <w:rPr>
          <w:rFonts w:ascii="Amiri" w:hAnsi="Amiri" w:eastAsia="Amiri" w:cs="Amiri"/>
          <w:lang w:bidi="ar-SA"/>
          <w:color w:val="111111"/>
          <w:sz w:val="28"/>
          <w:szCs w:val="28"/>
          <w:rtl/>
        </w:rPr>
        <w:t xml:space="preserve">2 .قرة العيون، ج 12، ص 572.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2" w:name="pg7742_70418"/>
    <w:bookmarkEnd w:id="512"/>
    <w:p>
      <w:pPr>
        <w:pStyle w:val="Heading2"/>
      </w:pPr>
      <w:bookmarkStart w:id="4494" w:name="_Toc3596"/>
      <w:r>
        <w:t>رشتي ، حبيب الله بن محمّد علي 1234 -</w:t>
      </w:r>
      <w:bookmarkEnd w:id="4494"/>
    </w:p>
    <w:p>
      <w:pPr>
        <w:pStyle w:val="BookText"/>
      </w:pPr>
      <w:r>
        <w:rPr>
          <w:rFonts w:ascii="IRNazanin" w:hAnsi="IRNazanin" w:eastAsia="IRNazanin" w:cs="IRNazanin"/>
          <w:lang w:bidi="fa-IR"/>
          <w:color w:val="111111"/>
          <w:sz w:val="28"/>
          <w:szCs w:val="28"/>
          <w:rtl/>
        </w:rPr>
        <w:t xml:space="preserve">1312ه-</w:t>
      </w:r>
    </w:p>
    <w:p>
      <w:pPr>
        <w:pStyle w:val="BookText"/>
      </w:pPr>
      <w:r>
        <w:rPr>
          <w:rFonts w:ascii="IRNazanin" w:hAnsi="IRNazanin" w:eastAsia="IRNazanin" w:cs="IRNazanin"/>
          <w:lang w:bidi="fa-IR"/>
          <w:color w:val="111111"/>
          <w:sz w:val="28"/>
          <w:szCs w:val="28"/>
          <w:rtl/>
        </w:rPr>
        <w:t xml:space="preserve">1 .الاجارة - شرح شرایع الاسلام، ج1،</w:t>
      </w:r>
    </w:p>
    <w:p>
      <w:pPr>
        <w:pStyle w:val="BookText"/>
      </w:pPr>
      <w:r>
        <w:rPr>
          <w:rFonts w:ascii="IRNazanin" w:hAnsi="IRNazanin" w:eastAsia="IRNazanin" w:cs="IRNazanin"/>
          <w:lang w:bidi="fa-IR"/>
          <w:color w:val="111111"/>
          <w:sz w:val="28"/>
          <w:szCs w:val="28"/>
          <w:rtl/>
        </w:rPr>
        <w:t xml:space="preserve">ص 197</w:t>
      </w:r>
    </w:p>
    <w:p>
      <w:pPr>
        <w:pStyle w:val="BookText"/>
      </w:pPr>
      <w:r>
        <w:rPr>
          <w:rFonts w:ascii="Amiri" w:hAnsi="Amiri" w:eastAsia="Amiri" w:cs="Amiri"/>
          <w:lang w:bidi="ar-SA"/>
          <w:color w:val="111111"/>
          <w:sz w:val="28"/>
          <w:szCs w:val="28"/>
          <w:rtl/>
        </w:rPr>
        <w:t xml:space="preserve">2 .إجازة للسيد عبد الصمد بن الحاج</w:t>
      </w:r>
    </w:p>
    <w:p>
      <w:pPr>
        <w:pStyle w:val="BookText"/>
      </w:pPr>
      <w:r>
        <w:rPr>
          <w:rFonts w:ascii="Amiri" w:hAnsi="Amiri" w:eastAsia="Amiri" w:cs="Amiri"/>
          <w:lang w:bidi="ar-SA"/>
          <w:color w:val="111111"/>
          <w:sz w:val="28"/>
          <w:szCs w:val="28"/>
          <w:rtl/>
        </w:rPr>
        <w:t xml:space="preserve">السيد أحمد آل نعمة الله</w:t>
      </w:r>
    </w:p>
    <w:p>
      <w:pPr>
        <w:pStyle w:val="BookText"/>
      </w:pPr>
      <w:r>
        <w:rPr>
          <w:rFonts w:ascii="Amiri" w:hAnsi="Amiri" w:eastAsia="Amiri" w:cs="Amiri"/>
          <w:lang w:bidi="ar-SA"/>
          <w:color w:val="111111"/>
          <w:sz w:val="28"/>
          <w:szCs w:val="28"/>
          <w:rtl/>
        </w:rPr>
        <w:t xml:space="preserve">الجزائري، ج 1، ص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احياء الموات = شرح شرایع الاسلام</w:t>
      </w:r>
    </w:p>
    <w:p>
      <w:pPr>
        <w:pStyle w:val="BookText"/>
      </w:pPr>
      <w:r>
        <w:rPr>
          <w:rFonts w:ascii="IRNazanin" w:hAnsi="IRNazanin" w:eastAsia="IRNazanin" w:cs="IRNazanin"/>
          <w:lang w:bidi="fa-IR"/>
          <w:color w:val="111111"/>
          <w:sz w:val="28"/>
          <w:szCs w:val="28"/>
          <w:rtl/>
        </w:rPr>
        <w:t xml:space="preserve">ج 1، ص 518.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الالتقاط في شرح شرایع الاسلام، ج 2،</w:t>
      </w:r>
    </w:p>
    <w:p>
      <w:pPr>
        <w:pStyle w:val="BookText"/>
      </w:pPr>
      <w:r>
        <w:rPr>
          <w:rFonts w:ascii="IRNazanin" w:hAnsi="IRNazanin" w:eastAsia="IRNazanin" w:cs="IRNazanin"/>
          <w:lang w:bidi="fa-IR"/>
          <w:color w:val="111111"/>
          <w:sz w:val="28"/>
          <w:szCs w:val="28"/>
          <w:rtl/>
        </w:rPr>
        <w:t xml:space="preserve">ص 659 .</w:t>
      </w:r>
    </w:p>
    <w:p>
      <w:pPr>
        <w:pStyle w:val="BookText"/>
      </w:pPr>
      <w:r>
        <w:rPr>
          <w:rFonts w:ascii="Amiri" w:hAnsi="Amiri" w:eastAsia="Amiri" w:cs="Amiri"/>
          <w:lang w:bidi="ar-SA"/>
          <w:color w:val="111111"/>
          <w:sz w:val="28"/>
          <w:szCs w:val="28"/>
          <w:rtl/>
        </w:rPr>
        <w:t xml:space="preserve">5 .بدايع الافكار = بدائع الاصول، ج3،</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Amiri" w:hAnsi="Amiri" w:eastAsia="Amiri" w:cs="Amiri"/>
          <w:lang w:bidi="ar-SA"/>
          <w:color w:val="111111"/>
          <w:sz w:val="28"/>
          <w:szCs w:val="28"/>
          <w:rtl/>
        </w:rPr>
        <w:t xml:space="preserve">6 .بدر الدجى في احوال الشريعة الغراء</w:t>
      </w:r>
    </w:p>
    <w:p>
      <w:pPr>
        <w:pStyle w:val="BookText"/>
      </w:pPr>
      <w:r>
        <w:rPr>
          <w:rFonts w:ascii="IRNazanin" w:hAnsi="IRNazanin" w:eastAsia="IRNazanin" w:cs="IRNazanin"/>
          <w:lang w:bidi="fa-IR"/>
          <w:color w:val="111111"/>
          <w:sz w:val="28"/>
          <w:szCs w:val="28"/>
          <w:rtl/>
        </w:rPr>
        <w:t xml:space="preserve">ج 3، ص 265 .</w:t>
      </w:r>
    </w:p>
    <w:p>
      <w:pPr>
        <w:pStyle w:val="BookText"/>
      </w:pPr>
      <w:r>
        <w:rPr>
          <w:rFonts w:ascii="Amiri" w:hAnsi="Amiri" w:eastAsia="Amiri" w:cs="Amiri"/>
          <w:lang w:bidi="ar-SA"/>
          <w:color w:val="111111"/>
          <w:sz w:val="28"/>
          <w:szCs w:val="28"/>
          <w:rtl/>
        </w:rPr>
        <w:t xml:space="preserve">7 .التحسين و التقبيح (رسالة في)، ج3،</w:t>
      </w:r>
    </w:p>
    <w:p>
      <w:pPr>
        <w:pStyle w:val="BookText"/>
      </w:pPr>
      <w:r>
        <w:rPr>
          <w:rFonts w:ascii="IRNazanin" w:hAnsi="IRNazanin" w:eastAsia="IRNazanin" w:cs="IRNazanin"/>
          <w:lang w:bidi="fa-IR"/>
          <w:color w:val="111111"/>
          <w:sz w:val="28"/>
          <w:szCs w:val="28"/>
          <w:rtl/>
        </w:rPr>
        <w:t xml:space="preserve">ص 764 .</w:t>
      </w:r>
    </w:p>
    <w:p>
      <w:pPr>
        <w:pStyle w:val="BookText"/>
      </w:pPr>
      <w:r>
        <w:rPr>
          <w:rFonts w:ascii="Amiri" w:hAnsi="Amiri" w:eastAsia="Amiri" w:cs="Amiri"/>
          <w:lang w:bidi="ar-SA"/>
          <w:color w:val="111111"/>
          <w:sz w:val="28"/>
          <w:szCs w:val="28"/>
          <w:rtl/>
        </w:rPr>
        <w:t xml:space="preserve">8 .تقريرات الفقه، ج 4، ص 764.</w:t>
      </w:r>
    </w:p>
    <w:p>
      <w:pPr>
        <w:pStyle w:val="BookText"/>
      </w:pPr>
      <w:r>
        <w:rPr>
          <w:rFonts w:ascii="Amiri" w:hAnsi="Amiri" w:eastAsia="Amiri" w:cs="Amiri"/>
          <w:lang w:bidi="ar-SA"/>
          <w:color w:val="111111"/>
          <w:sz w:val="28"/>
          <w:szCs w:val="28"/>
          <w:rtl/>
        </w:rPr>
        <w:t xml:space="preserve">9 .تقريرات في دليل الانسداد، جع،</w:t>
      </w:r>
    </w:p>
    <w:p>
      <w:pPr>
        <w:pStyle w:val="BookText"/>
      </w:pPr>
      <w:r>
        <w:rPr>
          <w:rFonts w:ascii="IRNazanin" w:hAnsi="IRNazanin" w:eastAsia="IRNazanin" w:cs="IRNazanin"/>
          <w:lang w:bidi="fa-IR"/>
          <w:color w:val="111111"/>
          <w:sz w:val="28"/>
          <w:szCs w:val="28"/>
          <w:rtl/>
        </w:rPr>
        <w:t xml:space="preserve">ص 770.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تقليد الميت و الاعلم = التقريرات</w:t>
      </w:r>
    </w:p>
    <w:p>
      <w:pPr>
        <w:pStyle w:val="BookText"/>
      </w:pPr>
      <w:r>
        <w:rPr>
          <w:rFonts w:ascii="IRNazanin" w:hAnsi="IRNazanin" w:eastAsia="IRNazanin" w:cs="IRNazanin"/>
          <w:lang w:bidi="fa-IR"/>
          <w:color w:val="111111"/>
          <w:sz w:val="28"/>
          <w:szCs w:val="28"/>
          <w:rtl/>
        </w:rPr>
        <w:t xml:space="preserve">ج 4، ص 793 .</w:t>
      </w:r>
    </w:p>
    <w:p>
      <w:pPr>
        <w:pStyle w:val="BookText"/>
      </w:pPr>
      <w:r>
        <w:rPr>
          <w:rFonts w:ascii="Amiri" w:hAnsi="Amiri" w:eastAsia="Amiri" w:cs="Amiri"/>
          <w:lang w:bidi="ar-SA"/>
          <w:color w:val="111111"/>
          <w:sz w:val="28"/>
          <w:szCs w:val="28"/>
          <w:rtl/>
        </w:rPr>
        <w:t xml:space="preserve">11 .حاشية المكاسب، ج 6 ، ص 416.</w:t>
      </w:r>
    </w:p>
    <w:p>
      <w:pPr>
        <w:pStyle w:val="BookText"/>
      </w:pPr>
      <w:r>
        <w:rPr>
          <w:rFonts w:ascii="Amiri" w:hAnsi="Amiri" w:eastAsia="Amiri" w:cs="Amiri"/>
          <w:lang w:bidi="ar-SA"/>
          <w:color w:val="111111"/>
          <w:sz w:val="28"/>
          <w:szCs w:val="28"/>
          <w:rtl/>
        </w:rPr>
        <w:t xml:space="preserve">12 .الرهان = كتاب الرهان، ج8،</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13.. الرهن، ج8، ص 369.</w:t>
      </w:r>
    </w:p>
    <w:p>
      <w:pPr>
        <w:pStyle w:val="BookText"/>
      </w:pPr>
      <w:r>
        <w:rPr>
          <w:rFonts w:ascii="Amiri" w:hAnsi="Amiri" w:eastAsia="Amiri" w:cs="Amiri"/>
          <w:lang w:bidi="ar-SA"/>
          <w:color w:val="111111"/>
          <w:sz w:val="28"/>
          <w:szCs w:val="28"/>
          <w:rtl/>
        </w:rPr>
        <w:t xml:space="preserve">14 .زكاة ،رشتي، ج8، ص 606.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شرح شرائع الاسلام، ج9، ص 627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الصلاة = شرح شرایع الاسلام</w:t>
      </w:r>
    </w:p>
    <w:p>
      <w:pPr>
        <w:pStyle w:val="BookText"/>
      </w:pPr>
      <w:r>
        <w:rPr>
          <w:rFonts w:ascii="IRNazanin" w:hAnsi="IRNazanin" w:eastAsia="IRNazanin" w:cs="IRNazanin"/>
          <w:lang w:bidi="fa-IR"/>
          <w:color w:val="111111"/>
          <w:sz w:val="28"/>
          <w:szCs w:val="28"/>
          <w:rtl/>
        </w:rPr>
        <w:t xml:space="preserve">ج 10، ص 588.</w:t>
      </w:r>
    </w:p>
    <w:p>
      <w:pPr>
        <w:pStyle w:val="BookText"/>
      </w:pPr>
      <w:r>
        <w:rPr>
          <w:rFonts w:ascii="Amiri" w:hAnsi="Amiri" w:eastAsia="Amiri" w:cs="Amiri"/>
          <w:lang w:bidi="ar-SA"/>
          <w:color w:val="111111"/>
          <w:sz w:val="28"/>
          <w:szCs w:val="28"/>
          <w:rtl/>
        </w:rPr>
        <w:t xml:space="preserve">17 .صلاة المسافر (رسالة في)، ج10،</w:t>
      </w:r>
    </w:p>
    <w:p>
      <w:pPr>
        <w:pStyle w:val="BookText"/>
      </w:pPr>
      <w:r>
        <w:rPr>
          <w:rFonts w:ascii="IRNazanin" w:hAnsi="IRNazanin" w:eastAsia="IRNazanin" w:cs="IRNazanin"/>
          <w:lang w:bidi="fa-IR"/>
          <w:color w:val="111111"/>
          <w:sz w:val="28"/>
          <w:szCs w:val="28"/>
          <w:rtl/>
        </w:rPr>
        <w:t xml:space="preserve">ص 613.</w:t>
      </w:r>
    </w:p>
    <w:p>
      <w:pPr>
        <w:pStyle w:val="BookText"/>
      </w:pPr>
      <w:r>
        <w:rPr>
          <w:rFonts w:ascii="IRNazanin" w:hAnsi="IRNazanin" w:eastAsia="IRNazanin" w:cs="IRNazanin"/>
          <w:lang w:bidi="fa-IR"/>
          <w:color w:val="111111"/>
          <w:sz w:val="28"/>
          <w:szCs w:val="28"/>
          <w:rtl/>
        </w:rPr>
        <w:t xml:space="preserve">18 .الطهارة = شرح شرایع الاسلام</w:t>
      </w:r>
    </w:p>
    <w:p>
      <w:pPr>
        <w:pStyle w:val="BookText"/>
      </w:pPr>
      <w:r>
        <w:rPr>
          <w:rFonts w:ascii="IRNazanin" w:hAnsi="IRNazanin" w:eastAsia="IRNazanin" w:cs="IRNazanin"/>
          <w:lang w:bidi="fa-IR"/>
          <w:color w:val="111111"/>
          <w:sz w:val="28"/>
          <w:szCs w:val="28"/>
          <w:rtl/>
        </w:rPr>
        <w:t xml:space="preserve">ج 10، ص 857.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العام والخاص و المطلق والمقيد</w:t>
      </w:r>
    </w:p>
    <w:p>
      <w:pPr>
        <w:pStyle w:val="BookText"/>
      </w:pPr>
      <w:r>
        <w:rPr>
          <w:rFonts w:ascii="IRNazanin" w:hAnsi="IRNazanin" w:eastAsia="IRNazanin" w:cs="IRNazanin"/>
          <w:lang w:bidi="fa-IR"/>
          <w:color w:val="111111"/>
          <w:sz w:val="28"/>
          <w:szCs w:val="28"/>
          <w:rtl/>
        </w:rPr>
        <w:t xml:space="preserve">ج 11، ص 10.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القضاء و الشهادات، ج 12،</w:t>
      </w:r>
    </w:p>
    <w:p>
      <w:pPr>
        <w:pStyle w:val="BookText"/>
      </w:pPr>
      <w:r>
        <w:rPr>
          <w:rFonts w:ascii="IRNazanin" w:hAnsi="IRNazanin" w:eastAsia="IRNazanin" w:cs="IRNazanin"/>
          <w:lang w:bidi="fa-IR"/>
          <w:color w:val="111111"/>
          <w:sz w:val="28"/>
          <w:szCs w:val="28"/>
          <w:rtl/>
        </w:rPr>
        <w:t xml:space="preserve">ص 736.</w:t>
      </w:r>
    </w:p>
    <w:p>
      <w:pPr>
        <w:pStyle w:val="BookText"/>
      </w:pPr>
      <w:r>
        <w:rPr>
          <w:rFonts w:ascii="Amiri" w:hAnsi="Amiri" w:eastAsia="Amiri" w:cs="Amiri"/>
          <w:lang w:bidi="ar-SA"/>
          <w:color w:val="111111"/>
          <w:sz w:val="28"/>
          <w:szCs w:val="28"/>
          <w:rtl/>
        </w:rPr>
        <w:t xml:space="preserve">21 .مباحث حكم الخلل، ج13،</w:t>
      </w:r>
    </w:p>
    <w:p>
      <w:pPr>
        <w:pStyle w:val="BookText"/>
      </w:pPr>
      <w:r>
        <w:rPr>
          <w:rFonts w:ascii="IRNazanin" w:hAnsi="IRNazanin" w:eastAsia="IRNazanin" w:cs="IRNazanin"/>
          <w:lang w:bidi="fa-IR"/>
          <w:color w:val="111111"/>
          <w:sz w:val="28"/>
          <w:szCs w:val="28"/>
          <w:rtl/>
        </w:rPr>
        <w:t xml:space="preserve">ص 714.</w:t>
      </w:r>
    </w:p>
    <w:p>
      <w:pPr>
        <w:pStyle w:val="BookText"/>
      </w:pPr>
      <w:r>
        <w:rPr>
          <w:rFonts w:ascii="IRNazanin" w:hAnsi="IRNazanin" w:eastAsia="IRNazanin" w:cs="IRNazanin"/>
          <w:lang w:bidi="fa-IR"/>
          <w:color w:val="111111"/>
          <w:sz w:val="28"/>
          <w:szCs w:val="28"/>
          <w:rtl/>
        </w:rPr>
        <w:t xml:space="preserve">22 .الوقف = شرح شرایع الاسلام</w:t>
      </w:r>
    </w:p>
    <w:p>
      <w:pPr>
        <w:pStyle w:val="BookText"/>
      </w:pPr>
      <w:r>
        <w:rPr>
          <w:rFonts w:ascii="IRNazanin" w:hAnsi="IRNazanin" w:eastAsia="IRNazanin" w:cs="IRNazanin"/>
          <w:lang w:bidi="fa-IR"/>
          <w:color w:val="111111"/>
          <w:sz w:val="28"/>
          <w:szCs w:val="28"/>
          <w:rtl/>
        </w:rPr>
        <w:t xml:space="preserve">ج 16، ص 867.</w:t>
      </w:r>
    </w:p>
    <w:p>
      <w:pPr>
        <w:pStyle w:val="BookText"/>
      </w:pPr>
      <w:r>
        <w:rPr>
          <w:rFonts w:ascii="IRNazanin" w:hAnsi="IRNazanin" w:eastAsia="IRNazanin" w:cs="IRNazanin"/>
          <w:lang w:bidi="fa-IR"/>
          <w:color w:val="111111"/>
          <w:sz w:val="28"/>
          <w:szCs w:val="28"/>
          <w:rtl/>
        </w:rPr>
        <w:t xml:space="preserve">رشتي شيخي ، محمّد کاظم بن محمّد قاسم- رشتي ، كاظم بن قاسم</w:t>
      </w:r>
    </w:p>
    <w:p>
      <w:pPr>
        <w:pStyle w:val="Heading2"/>
      </w:pPr>
      <w:bookmarkStart w:id="4495" w:name="_Toc3597"/>
      <w:r>
        <w:t>رشتي ، صدرالدين بن بدرالدین قرن 12</w:t>
      </w:r>
      <w:bookmarkEnd w:id="4495"/>
    </w:p>
    <w:p>
      <w:pPr>
        <w:pStyle w:val="BookText"/>
      </w:pPr>
      <w:r>
        <w:rPr>
          <w:rFonts w:ascii="Amiri" w:hAnsi="Amiri" w:eastAsia="Amiri" w:cs="Amiri"/>
          <w:lang w:bidi="ar-SA"/>
          <w:color w:val="111111"/>
          <w:sz w:val="28"/>
          <w:szCs w:val="28"/>
          <w:rtl/>
        </w:rPr>
        <w:t xml:space="preserve">تفسير القرآن الكريم، ج 4، ص 668.</w:t>
      </w:r>
    </w:p>
    <w:p>
      <w:pPr>
        <w:pStyle w:val="Heading2"/>
      </w:pPr>
      <w:bookmarkStart w:id="4496" w:name="_Toc3598"/>
      <w:r>
        <w:t>رشتي صومعه سرائي ، محمّد علي</w:t>
      </w:r>
      <w:bookmarkEnd w:id="4496"/>
    </w:p>
    <w:p>
      <w:pPr>
        <w:pStyle w:val="BookText"/>
      </w:pPr>
      <w:r>
        <w:rPr>
          <w:rFonts w:ascii="Amiri" w:hAnsi="Amiri" w:eastAsia="Amiri" w:cs="Amiri"/>
          <w:lang w:bidi="ar-SA"/>
          <w:color w:val="111111"/>
          <w:sz w:val="28"/>
          <w:szCs w:val="28"/>
          <w:rtl/>
        </w:rPr>
        <w:t xml:space="preserve">ارث الزوجة من ثمن العقار المردود</w:t>
      </w:r>
    </w:p>
    <w:p>
      <w:pPr>
        <w:pStyle w:val="BookText"/>
      </w:pPr>
      <w:r>
        <w:rPr>
          <w:rFonts w:ascii="Amiri" w:hAnsi="Amiri" w:eastAsia="Amiri" w:cs="Amiri"/>
          <w:lang w:bidi="ar-SA"/>
          <w:color w:val="111111"/>
          <w:sz w:val="28"/>
          <w:szCs w:val="28"/>
          <w:rtl/>
        </w:rPr>
        <w:t xml:space="preserve">بالخيار، ج 1، ص 757.</w:t>
      </w:r>
    </w:p>
    <w:p>
      <w:pPr>
        <w:pStyle w:val="Heading2"/>
      </w:pPr>
      <w:bookmarkStart w:id="4497" w:name="_Toc3599"/>
      <w:r>
        <w:t>رشتي ، عبدالحسين بن عيسى قرن 14</w:t>
      </w:r>
      <w:bookmarkEnd w:id="4497"/>
    </w:p>
    <w:p>
      <w:pPr>
        <w:pStyle w:val="BookText"/>
      </w:pPr>
      <w:r>
        <w:rPr>
          <w:rFonts w:ascii="Amiri" w:hAnsi="Amiri" w:eastAsia="Amiri" w:cs="Amiri"/>
          <w:lang w:bidi="ar-SA"/>
          <w:color w:val="111111"/>
          <w:sz w:val="28"/>
          <w:szCs w:val="28"/>
          <w:rtl/>
        </w:rPr>
        <w:t xml:space="preserve">الفرق بين العرض والعرضي، ج 11،</w:t>
      </w:r>
    </w:p>
    <w:p>
      <w:pPr>
        <w:pStyle w:val="BookText"/>
      </w:pPr>
      <w:r>
        <w:rPr>
          <w:rFonts w:ascii="IRNazanin" w:hAnsi="IRNazanin" w:eastAsia="IRNazanin" w:cs="IRNazanin"/>
          <w:lang w:bidi="fa-IR"/>
          <w:color w:val="111111"/>
          <w:sz w:val="28"/>
          <w:szCs w:val="28"/>
          <w:rtl/>
        </w:rPr>
        <w:t xml:space="preserve">ص 794 .</w:t>
      </w:r>
    </w:p>
    <w:p>
      <w:pPr>
        <w:pStyle w:val="Heading2"/>
      </w:pPr>
      <w:bookmarkStart w:id="4498" w:name="_Toc3600"/>
      <w:r>
        <w:t>رشتي ، عبد الغفار بن محمّد قرن 11 ه-</w:t>
      </w:r>
      <w:bookmarkEnd w:id="4498"/>
    </w:p>
    <w:p>
      <w:pPr>
        <w:pStyle w:val="BookText"/>
      </w:pPr>
      <w:r>
        <w:rPr>
          <w:rFonts w:ascii="Amiri" w:hAnsi="Amiri" w:eastAsia="Amiri" w:cs="Amiri"/>
          <w:lang w:bidi="ar-SA"/>
          <w:color w:val="111111"/>
          <w:sz w:val="28"/>
          <w:szCs w:val="28"/>
          <w:rtl/>
        </w:rPr>
        <w:t xml:space="preserve">حاشية شرح المطالع، ج1، ص 182 .</w:t>
      </w:r>
    </w:p>
    <w:p>
      <w:pPr>
        <w:pStyle w:val="Heading2"/>
      </w:pPr>
      <w:bookmarkStart w:id="4499" w:name="_Toc3601"/>
      <w:r>
        <w:t>رشتي ، علي بن محمّد قرن 13 ه-</w:t>
      </w:r>
      <w:bookmarkEnd w:id="4499"/>
    </w:p>
    <w:p>
      <w:pPr>
        <w:pStyle w:val="BookText"/>
      </w:pPr>
      <w:r>
        <w:rPr>
          <w:rFonts w:ascii="IRNazanin" w:hAnsi="IRNazanin" w:eastAsia="IRNazanin" w:cs="IRNazanin"/>
          <w:lang w:bidi="fa-IR"/>
          <w:color w:val="111111"/>
          <w:sz w:val="28"/>
          <w:szCs w:val="28"/>
          <w:rtl/>
        </w:rPr>
        <w:t xml:space="preserve">جناح الصلاح، ج 5، ص 457.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3" w:name="pg7742_70420"/>
    <w:bookmarkEnd w:id="513"/>
    <w:p>
      <w:pPr>
        <w:pStyle w:val="Heading2"/>
      </w:pPr>
      <w:bookmarkStart w:id="4500" w:name="_Toc3602"/>
      <w:r>
        <w:t>رشتي ، كاظم بن قاسم، 1212 - 1259 ه-</w:t>
      </w:r>
      <w:bookmarkEnd w:id="4500"/>
    </w:p>
    <w:p>
      <w:pPr>
        <w:pStyle w:val="BookText"/>
      </w:pPr>
      <w:r>
        <w:rPr>
          <w:rFonts w:ascii="IRNazanin" w:hAnsi="IRNazanin" w:eastAsia="IRNazanin" w:cs="IRNazanin"/>
          <w:lang w:bidi="fa-IR"/>
          <w:color w:val="111111"/>
          <w:sz w:val="28"/>
          <w:szCs w:val="28"/>
          <w:rtl/>
        </w:rPr>
        <w:t xml:space="preserve">1 .اجازة لحسن ،گوهر، ج 1، ص 240.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اجوبة المسائل، ج 1، ص 336.</w:t>
      </w:r>
    </w:p>
    <w:p>
      <w:pPr>
        <w:pStyle w:val="BookText"/>
      </w:pPr>
      <w:r>
        <w:rPr>
          <w:rFonts w:ascii="Amiri" w:hAnsi="Amiri" w:eastAsia="Amiri" w:cs="Amiri"/>
          <w:lang w:bidi="ar-SA"/>
          <w:color w:val="111111"/>
          <w:sz w:val="28"/>
          <w:szCs w:val="28"/>
          <w:rtl/>
        </w:rPr>
        <w:t xml:space="preserve">3 .اجوبة المسائل (1) = قيام المفاعيل</w:t>
      </w:r>
    </w:p>
    <w:p>
      <w:pPr>
        <w:pStyle w:val="BookText"/>
      </w:pPr>
      <w:r>
        <w:rPr>
          <w:rFonts w:ascii="Amiri" w:hAnsi="Amiri" w:eastAsia="Amiri" w:cs="Amiri"/>
          <w:lang w:bidi="ar-SA"/>
          <w:color w:val="111111"/>
          <w:sz w:val="28"/>
          <w:szCs w:val="28"/>
          <w:rtl/>
        </w:rPr>
        <w:t xml:space="preserve">(رسالة)، ج1، ص337.</w:t>
      </w:r>
    </w:p>
    <w:p>
      <w:pPr>
        <w:pStyle w:val="BookText"/>
      </w:pPr>
      <w:r>
        <w:rPr>
          <w:rFonts w:ascii="Amiri" w:hAnsi="Amiri" w:eastAsia="Amiri" w:cs="Amiri"/>
          <w:lang w:bidi="ar-SA"/>
          <w:color w:val="111111"/>
          <w:sz w:val="28"/>
          <w:szCs w:val="28"/>
          <w:rtl/>
        </w:rPr>
        <w:t xml:space="preserve">4 .اجوبة المسائل، ج 1، ص 336.</w:t>
      </w:r>
    </w:p>
    <w:p>
      <w:pPr>
        <w:pStyle w:val="BookText"/>
      </w:pPr>
      <w:r>
        <w:rPr>
          <w:rFonts w:ascii="Amiri" w:hAnsi="Amiri" w:eastAsia="Amiri" w:cs="Amiri"/>
          <w:lang w:bidi="ar-SA"/>
          <w:color w:val="111111"/>
          <w:sz w:val="28"/>
          <w:szCs w:val="28"/>
          <w:rtl/>
        </w:rPr>
        <w:t xml:space="preserve">5 .اجوبة مسائل السيد علي البهبهاني</w:t>
      </w:r>
    </w:p>
    <w:p>
      <w:pPr>
        <w:pStyle w:val="BookText"/>
      </w:pPr>
      <w:r>
        <w:rPr>
          <w:rFonts w:ascii="IRNazanin" w:hAnsi="IRNazanin" w:eastAsia="IRNazanin" w:cs="IRNazanin"/>
          <w:lang w:bidi="fa-IR"/>
          <w:color w:val="111111"/>
          <w:sz w:val="28"/>
          <w:szCs w:val="28"/>
          <w:rtl/>
        </w:rPr>
        <w:t xml:space="preserve">ج 1، ص 353.</w:t>
      </w:r>
    </w:p>
    <w:p>
      <w:pPr>
        <w:pStyle w:val="BookText"/>
      </w:pPr>
      <w:r>
        <w:rPr>
          <w:rFonts w:ascii="Amiri" w:hAnsi="Amiri" w:eastAsia="Amiri" w:cs="Amiri"/>
          <w:lang w:bidi="ar-SA"/>
          <w:color w:val="111111"/>
          <w:sz w:val="28"/>
          <w:szCs w:val="28"/>
          <w:rtl/>
        </w:rPr>
        <w:t xml:space="preserve">6 .اجوبة مسائل سيد حسن اعرجي</w:t>
      </w:r>
    </w:p>
    <w:p>
      <w:pPr>
        <w:pStyle w:val="BookText"/>
      </w:pPr>
      <w:r>
        <w:rPr>
          <w:rFonts w:ascii="IRNazanin" w:hAnsi="IRNazanin" w:eastAsia="IRNazanin" w:cs="IRNazanin"/>
          <w:lang w:bidi="fa-IR"/>
          <w:color w:val="111111"/>
          <w:sz w:val="28"/>
          <w:szCs w:val="28"/>
          <w:rtl/>
        </w:rPr>
        <w:t xml:space="preserve">ج 1، ص 352.</w:t>
      </w:r>
    </w:p>
    <w:p>
      <w:pPr>
        <w:pStyle w:val="BookText"/>
      </w:pPr>
      <w:r>
        <w:rPr>
          <w:rFonts w:ascii="Amiri" w:hAnsi="Amiri" w:eastAsia="Amiri" w:cs="Amiri"/>
          <w:lang w:bidi="ar-SA"/>
          <w:color w:val="111111"/>
          <w:sz w:val="28"/>
          <w:szCs w:val="28"/>
          <w:rtl/>
        </w:rPr>
        <w:t xml:space="preserve">7.اجوبة مسائل محمّد بن حسين بن</w:t>
      </w:r>
    </w:p>
    <w:p>
      <w:pPr>
        <w:pStyle w:val="BookText"/>
      </w:pPr>
      <w:r>
        <w:rPr>
          <w:rFonts w:ascii="IRNazanin" w:hAnsi="IRNazanin" w:eastAsia="IRNazanin" w:cs="IRNazanin"/>
          <w:lang w:bidi="fa-IR"/>
          <w:color w:val="111111"/>
          <w:sz w:val="28"/>
          <w:szCs w:val="28"/>
          <w:rtl/>
        </w:rPr>
        <w:t xml:space="preserve">خلف آل عصفور، ج1، ص 369.</w:t>
      </w:r>
    </w:p>
    <w:p>
      <w:pPr>
        <w:pStyle w:val="BookText"/>
      </w:pPr>
      <w:r>
        <w:rPr>
          <w:rFonts w:ascii="Amiri" w:hAnsi="Amiri" w:eastAsia="Amiri" w:cs="Amiri"/>
          <w:lang w:bidi="ar-SA"/>
          <w:color w:val="111111"/>
          <w:sz w:val="28"/>
          <w:szCs w:val="28"/>
          <w:rtl/>
        </w:rPr>
        <w:t xml:space="preserve">8 .اجوبة مسائل ملا حسينعلي اجوبة المسائل الاثنى عشرية، ج 1، ص 371.</w:t>
      </w:r>
    </w:p>
    <w:p>
      <w:pPr>
        <w:pStyle w:val="BookText"/>
      </w:pPr>
      <w:r>
        <w:rPr>
          <w:rFonts w:ascii="Amiri" w:hAnsi="Amiri" w:eastAsia="Amiri" w:cs="Amiri"/>
          <w:lang w:bidi="ar-SA"/>
          <w:color w:val="111111"/>
          <w:sz w:val="28"/>
          <w:szCs w:val="28"/>
          <w:rtl/>
        </w:rPr>
        <w:t xml:space="preserve">9 .اسرار الشهادة = سر الحقيقة في وقعة الطفوف = سر الشهادة، ج 2،</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اسرار العبادة = اجوبة مسائل</w:t>
      </w:r>
    </w:p>
    <w:p>
      <w:pPr>
        <w:pStyle w:val="BookText"/>
      </w:pPr>
      <w:r>
        <w:rPr>
          <w:rFonts w:ascii="Amiri" w:hAnsi="Amiri" w:eastAsia="Amiri" w:cs="Amiri"/>
          <w:lang w:bidi="ar-SA"/>
          <w:color w:val="111111"/>
          <w:sz w:val="28"/>
          <w:szCs w:val="28"/>
          <w:rtl/>
        </w:rPr>
        <w:t xml:space="preserve">العشرين، ج 2، ص 176 .</w:t>
      </w:r>
    </w:p>
    <w:p>
      <w:pPr>
        <w:pStyle w:val="BookText"/>
      </w:pPr>
      <w:r>
        <w:rPr>
          <w:rFonts w:ascii="IRNazanin" w:hAnsi="IRNazanin" w:eastAsia="IRNazanin" w:cs="IRNazanin"/>
          <w:lang w:bidi="fa-IR"/>
          <w:color w:val="111111"/>
          <w:sz w:val="28"/>
          <w:szCs w:val="28"/>
          <w:rtl/>
        </w:rPr>
        <w:t xml:space="preserve">11 .اصول دین = اصول عقاید، ج2،</w:t>
      </w:r>
    </w:p>
    <w:p>
      <w:pPr>
        <w:pStyle w:val="BookText"/>
      </w:pPr>
      <w:r>
        <w:rPr>
          <w:rFonts w:ascii="IRNazanin" w:hAnsi="IRNazanin" w:eastAsia="IRNazanin" w:cs="IRNazanin"/>
          <w:lang w:bidi="fa-IR"/>
          <w:color w:val="111111"/>
          <w:sz w:val="28"/>
          <w:szCs w:val="28"/>
          <w:rtl/>
        </w:rPr>
        <w:t xml:space="preserve">ص 416 .</w:t>
      </w:r>
    </w:p>
    <w:p>
      <w:pPr>
        <w:pStyle w:val="BookText"/>
      </w:pPr>
      <w:r>
        <w:rPr>
          <w:rFonts w:ascii="Amiri" w:hAnsi="Amiri" w:eastAsia="Amiri" w:cs="Amiri"/>
          <w:lang w:bidi="ar-SA"/>
          <w:color w:val="111111"/>
          <w:sz w:val="28"/>
          <w:szCs w:val="28"/>
          <w:rtl/>
        </w:rPr>
        <w:t xml:space="preserve">12.الاعتقاد (رسالة في)، ج2، ص 499.</w:t>
      </w:r>
    </w:p>
    <w:p>
      <w:pPr>
        <w:pStyle w:val="BookText"/>
      </w:pPr>
      <w:r>
        <w:rPr>
          <w:rFonts w:ascii="Amiri" w:hAnsi="Amiri" w:eastAsia="Amiri" w:cs="Amiri"/>
          <w:lang w:bidi="ar-SA"/>
          <w:color w:val="111111"/>
          <w:sz w:val="28"/>
          <w:szCs w:val="28"/>
          <w:rtl/>
        </w:rPr>
        <w:t xml:space="preserve">13 .بيان اقسام التفسير، ج 3، ص 461.</w:t>
      </w:r>
    </w:p>
    <w:p>
      <w:pPr>
        <w:pStyle w:val="BookText"/>
      </w:pPr>
      <w:r>
        <w:rPr>
          <w:rFonts w:ascii="IRNazanin" w:hAnsi="IRNazanin" w:eastAsia="IRNazanin" w:cs="IRNazanin"/>
          <w:lang w:bidi="fa-IR"/>
          <w:color w:val="111111"/>
          <w:sz w:val="28"/>
          <w:szCs w:val="28"/>
          <w:rtl/>
        </w:rPr>
        <w:t xml:space="preserve">14 .بیان مرجع الضمير( رسالة في)</w:t>
      </w:r>
    </w:p>
    <w:p>
      <w:pPr>
        <w:pStyle w:val="BookText"/>
      </w:pPr>
      <w:r>
        <w:rPr>
          <w:rFonts w:ascii="IRNazanin" w:hAnsi="IRNazanin" w:eastAsia="IRNazanin" w:cs="IRNazanin"/>
          <w:lang w:bidi="fa-IR"/>
          <w:color w:val="111111"/>
          <w:sz w:val="28"/>
          <w:szCs w:val="28"/>
          <w:rtl/>
        </w:rPr>
        <w:t xml:space="preserve">ج 3، ص 491.</w:t>
      </w:r>
    </w:p>
    <w:p>
      <w:pPr>
        <w:pStyle w:val="BookText"/>
      </w:pPr>
      <w:r>
        <w:rPr>
          <w:rFonts w:ascii="IRNazanin" w:hAnsi="IRNazanin" w:eastAsia="IRNazanin" w:cs="IRNazanin"/>
          <w:lang w:bidi="fa-IR"/>
          <w:color w:val="111111"/>
          <w:sz w:val="28"/>
          <w:szCs w:val="28"/>
          <w:rtl/>
        </w:rPr>
        <w:t xml:space="preserve">15 .پاسخ به میرزا شفیع، ج 3، ص 519.</w:t>
      </w:r>
    </w:p>
    <w:p>
      <w:pPr>
        <w:pStyle w:val="BookText"/>
      </w:pPr>
      <w:r>
        <w:rPr>
          <w:rFonts w:ascii="Amiri" w:hAnsi="Amiri" w:eastAsia="Amiri" w:cs="Amiri"/>
          <w:lang w:bidi="ar-SA"/>
          <w:color w:val="111111"/>
          <w:sz w:val="28"/>
          <w:szCs w:val="28"/>
          <w:rtl/>
        </w:rPr>
        <w:t xml:space="preserve">16 .الحجة البالغة، ج 6، ص 482.</w:t>
      </w:r>
    </w:p>
    <w:p>
      <w:pPr>
        <w:pStyle w:val="BookText"/>
      </w:pPr>
      <w:r>
        <w:rPr>
          <w:rFonts w:ascii="Amiri" w:hAnsi="Amiri" w:eastAsia="Amiri" w:cs="Amiri"/>
          <w:lang w:bidi="ar-SA"/>
          <w:color w:val="111111"/>
          <w:sz w:val="28"/>
          <w:szCs w:val="28"/>
          <w:rtl/>
        </w:rPr>
        <w:t xml:space="preserve">17 .حملية = جواب المسائل - الرسالة</w:t>
      </w:r>
    </w:p>
    <w:p>
      <w:pPr>
        <w:pStyle w:val="BookText"/>
      </w:pPr>
      <w:r>
        <w:rPr>
          <w:rFonts w:ascii="Amiri" w:hAnsi="Amiri" w:eastAsia="Amiri" w:cs="Amiri"/>
          <w:lang w:bidi="ar-SA"/>
          <w:color w:val="111111"/>
          <w:sz w:val="28"/>
          <w:szCs w:val="28"/>
          <w:rtl/>
        </w:rPr>
        <w:t xml:space="preserve">الحملية = شرح حديث علي</w:t>
      </w:r>
    </w:p>
    <w:p>
      <w:pPr>
        <w:pStyle w:val="BookText"/>
      </w:pPr>
      <w:r>
        <w:rPr>
          <w:rFonts w:ascii="Amiri" w:hAnsi="Amiri" w:eastAsia="Amiri" w:cs="Amiri"/>
          <w:lang w:bidi="ar-SA"/>
          <w:color w:val="111111"/>
          <w:sz w:val="28"/>
          <w:szCs w:val="28"/>
          <w:rtl/>
        </w:rPr>
        <w:t xml:space="preserve">باطن الانبياء»، ج6، ص 823.</w:t>
      </w:r>
    </w:p>
    <w:p>
      <w:pPr>
        <w:pStyle w:val="BookText"/>
      </w:pPr>
      <w:r>
        <w:rPr>
          <w:rFonts w:ascii="Amiri" w:hAnsi="Amiri" w:eastAsia="Amiri" w:cs="Amiri"/>
          <w:lang w:bidi="ar-SA"/>
          <w:color w:val="111111"/>
          <w:sz w:val="28"/>
          <w:szCs w:val="28"/>
          <w:rtl/>
        </w:rPr>
        <w:t xml:space="preserve">18 .حياة النفس في حظيرة القدس</w:t>
      </w:r>
    </w:p>
    <w:p>
      <w:pPr>
        <w:pStyle w:val="BookText"/>
      </w:pPr>
      <w:r>
        <w:rPr>
          <w:rFonts w:ascii="IRNazanin" w:hAnsi="IRNazanin" w:eastAsia="IRNazanin" w:cs="IRNazanin"/>
          <w:lang w:bidi="fa-IR"/>
          <w:color w:val="111111"/>
          <w:sz w:val="28"/>
          <w:szCs w:val="28"/>
          <w:rtl/>
        </w:rPr>
        <w:t xml:space="preserve">ترجمه دوم)، ج6، ص 863.</w:t>
      </w:r>
    </w:p>
    <w:p>
      <w:pPr>
        <w:pStyle w:val="BookText"/>
      </w:pPr>
      <w:r>
        <w:rPr>
          <w:rFonts w:ascii="Amiri" w:hAnsi="Amiri" w:eastAsia="Amiri" w:cs="Amiri"/>
          <w:lang w:bidi="ar-SA"/>
          <w:color w:val="111111"/>
          <w:sz w:val="28"/>
          <w:szCs w:val="28"/>
          <w:rtl/>
        </w:rPr>
        <w:t xml:space="preserve">19 .خطبة العيد الجديدة، ج 7، ص 52.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خطبة العيد القديمة، ج 7، ص 52.</w:t>
      </w:r>
    </w:p>
    <w:p>
      <w:pPr>
        <w:pStyle w:val="BookText"/>
      </w:pPr>
      <w:r>
        <w:rPr>
          <w:rFonts w:ascii="Amiri" w:hAnsi="Amiri" w:eastAsia="Amiri" w:cs="Amiri"/>
          <w:lang w:bidi="ar-SA"/>
          <w:color w:val="111111"/>
          <w:sz w:val="28"/>
          <w:szCs w:val="28"/>
          <w:rtl/>
        </w:rPr>
        <w:t xml:space="preserve">21 .دلالة الالفاظ، ج 7، ص 463 .</w:t>
      </w:r>
    </w:p>
    <w:p>
      <w:pPr>
        <w:pStyle w:val="BookText"/>
      </w:pPr>
      <w:r>
        <w:rPr>
          <w:rFonts w:ascii="Amiri" w:hAnsi="Amiri" w:eastAsia="Amiri" w:cs="Amiri"/>
          <w:lang w:bidi="ar-SA"/>
          <w:color w:val="111111"/>
          <w:sz w:val="28"/>
          <w:szCs w:val="28"/>
          <w:rtl/>
        </w:rPr>
        <w:t xml:space="preserve">22 .دليل المتحيرين = اعتقادية، ج7،</w:t>
      </w:r>
    </w:p>
    <w:p>
      <w:pPr>
        <w:pStyle w:val="BookText"/>
      </w:pPr>
      <w:r>
        <w:rPr>
          <w:rFonts w:ascii="IRNazanin" w:hAnsi="IRNazanin" w:eastAsia="IRNazanin" w:cs="IRNazanin"/>
          <w:lang w:bidi="fa-IR"/>
          <w:color w:val="111111"/>
          <w:sz w:val="28"/>
          <w:szCs w:val="28"/>
          <w:rtl/>
        </w:rPr>
        <w:t xml:space="preserve">ص 470.</w:t>
      </w:r>
    </w:p>
    <w:p>
      <w:pPr>
        <w:pStyle w:val="BookText"/>
      </w:pPr>
      <w:r>
        <w:rPr>
          <w:rFonts w:ascii="IRNazanin" w:hAnsi="IRNazanin" w:eastAsia="IRNazanin" w:cs="IRNazanin"/>
          <w:lang w:bidi="fa-IR"/>
          <w:color w:val="111111"/>
          <w:sz w:val="28"/>
          <w:szCs w:val="28"/>
          <w:rtl/>
        </w:rPr>
        <w:t xml:space="preserve">23 .رسائل، ج8، ص 124.</w:t>
      </w:r>
    </w:p>
    <w:p>
      <w:pPr>
        <w:pStyle w:val="BookText"/>
      </w:pPr>
      <w:r>
        <w:rPr>
          <w:rFonts w:ascii="IRNazanin" w:hAnsi="IRNazanin" w:eastAsia="IRNazanin" w:cs="IRNazanin"/>
          <w:lang w:bidi="fa-IR"/>
          <w:color w:val="111111"/>
          <w:sz w:val="28"/>
          <w:szCs w:val="28"/>
          <w:rtl/>
        </w:rPr>
        <w:t xml:space="preserve">24 .رسائل، ج 8، ص 124.</w:t>
      </w:r>
    </w:p>
    <w:p>
      <w:pPr>
        <w:pStyle w:val="BookText"/>
      </w:pPr>
      <w:r>
        <w:rPr>
          <w:rFonts w:ascii="Amiri" w:hAnsi="Amiri" w:eastAsia="Amiri" w:cs="Amiri"/>
          <w:lang w:bidi="ar-SA"/>
          <w:color w:val="111111"/>
          <w:sz w:val="28"/>
          <w:szCs w:val="28"/>
          <w:rtl/>
        </w:rPr>
        <w:t xml:space="preserve">25 .رسائل في اخوان الصفا، ج 8،</w:t>
      </w:r>
    </w:p>
    <w:p>
      <w:pPr>
        <w:pStyle w:val="BookText"/>
      </w:pPr>
      <w:r>
        <w:rPr>
          <w:rFonts w:ascii="IRNazanin" w:hAnsi="IRNazanin" w:eastAsia="IRNazanin" w:cs="IRNazanin"/>
          <w:lang w:bidi="fa-IR"/>
          <w:color w:val="111111"/>
          <w:sz w:val="28"/>
          <w:szCs w:val="28"/>
          <w:rtl/>
        </w:rPr>
        <w:t xml:space="preserve">ص 146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الرسالة الشيخية الكشفية، ج8،</w:t>
      </w:r>
    </w:p>
    <w:p>
      <w:pPr>
        <w:pStyle w:val="BookText"/>
      </w:pPr>
      <w:r>
        <w:rPr>
          <w:rFonts w:ascii="IRNazanin" w:hAnsi="IRNazanin" w:eastAsia="IRNazanin" w:cs="IRNazanin"/>
          <w:lang w:bidi="fa-IR"/>
          <w:color w:val="111111"/>
          <w:sz w:val="28"/>
          <w:szCs w:val="28"/>
          <w:rtl/>
        </w:rPr>
        <w:t xml:space="preserve">ص 215 .</w:t>
      </w:r>
    </w:p>
    <w:p>
      <w:pPr>
        <w:pStyle w:val="BookText"/>
      </w:pPr>
      <w:r>
        <w:rPr>
          <w:rFonts w:ascii="Amiri" w:hAnsi="Amiri" w:eastAsia="Amiri" w:cs="Amiri"/>
          <w:lang w:bidi="ar-SA"/>
          <w:color w:val="111111"/>
          <w:sz w:val="28"/>
          <w:szCs w:val="28"/>
          <w:rtl/>
        </w:rPr>
        <w:t xml:space="preserve">27 .الرسالة المكية في فضل سيدتنا</w:t>
      </w:r>
    </w:p>
    <w:p>
      <w:pPr>
        <w:pStyle w:val="BookText"/>
      </w:pPr>
      <w:r>
        <w:rPr>
          <w:rFonts w:ascii="Amiri" w:hAnsi="Amiri" w:eastAsia="Amiri" w:cs="Amiri"/>
          <w:lang w:bidi="ar-SA"/>
          <w:color w:val="111111"/>
          <w:sz w:val="28"/>
          <w:szCs w:val="28"/>
          <w:rtl/>
        </w:rPr>
        <w:t xml:space="preserve">فاطمة الزهراء، ج8، ص277.</w:t>
      </w:r>
    </w:p>
    <w:p>
      <w:pPr>
        <w:pStyle w:val="BookText"/>
      </w:pPr>
      <w:r>
        <w:rPr>
          <w:rFonts w:ascii="Amiri" w:hAnsi="Amiri" w:eastAsia="Amiri" w:cs="Amiri"/>
          <w:lang w:bidi="ar-SA"/>
          <w:color w:val="111111"/>
          <w:sz w:val="28"/>
          <w:szCs w:val="28"/>
          <w:rtl/>
        </w:rPr>
        <w:t xml:space="preserve">28 .رؤية الامام المهدي بعد الغيبة</w:t>
      </w:r>
    </w:p>
    <w:p>
      <w:pPr>
        <w:pStyle w:val="BookText"/>
      </w:pPr>
      <w:r>
        <w:rPr>
          <w:rFonts w:ascii="Amiri" w:hAnsi="Amiri" w:eastAsia="Amiri" w:cs="Amiri"/>
          <w:lang w:bidi="ar-SA"/>
          <w:color w:val="111111"/>
          <w:sz w:val="28"/>
          <w:szCs w:val="28"/>
          <w:rtl/>
        </w:rPr>
        <w:t xml:space="preserve">(رسالة في)، ج8، ص 15.</w:t>
      </w:r>
    </w:p>
    <w:p>
      <w:pPr>
        <w:pStyle w:val="BookText"/>
      </w:pPr>
      <w:r>
        <w:rPr>
          <w:rFonts w:ascii="Amiri" w:hAnsi="Amiri" w:eastAsia="Amiri" w:cs="Amiri"/>
          <w:lang w:bidi="ar-SA"/>
          <w:color w:val="111111"/>
          <w:sz w:val="28"/>
          <w:szCs w:val="28"/>
          <w:rtl/>
        </w:rPr>
        <w:t xml:space="preserve">29 .السير والسلوك، ج 9، ص31.</w:t>
      </w:r>
    </w:p>
    <w:p>
      <w:pPr>
        <w:pStyle w:val="BookText"/>
      </w:pPr>
      <w:r>
        <w:rPr>
          <w:rFonts w:ascii="Amiri" w:hAnsi="Amiri" w:eastAsia="Amiri" w:cs="Amiri"/>
          <w:lang w:bidi="ar-SA"/>
          <w:color w:val="111111"/>
          <w:sz w:val="28"/>
          <w:szCs w:val="28"/>
          <w:rtl/>
        </w:rPr>
        <w:t xml:space="preserve">30 .السير والسلوك (3) = كيفية</w:t>
      </w:r>
    </w:p>
    <w:p>
      <w:pPr>
        <w:pStyle w:val="BookText"/>
      </w:pPr>
      <w:r>
        <w:rPr>
          <w:rFonts w:ascii="Amiri" w:hAnsi="Amiri" w:eastAsia="Amiri" w:cs="Amiri"/>
          <w:lang w:bidi="ar-SA"/>
          <w:color w:val="111111"/>
          <w:sz w:val="28"/>
          <w:szCs w:val="28"/>
          <w:rtl/>
        </w:rPr>
        <w:t xml:space="preserve">السلوك، ج 9، ص31.</w:t>
      </w:r>
    </w:p>
    <w:p>
      <w:pPr>
        <w:pStyle w:val="BookText"/>
      </w:pPr>
      <w:r>
        <w:rPr>
          <w:rFonts w:ascii="IRNazanin" w:hAnsi="IRNazanin" w:eastAsia="IRNazanin" w:cs="IRNazanin"/>
          <w:lang w:bidi="fa-IR"/>
          <w:color w:val="111111"/>
          <w:sz w:val="28"/>
          <w:szCs w:val="28"/>
          <w:rtl/>
        </w:rPr>
        <w:t xml:space="preserve">31 .شرح اعتقادات الصدوق، ج9،</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شرح الخطبة التطنجية = شرح</w:t>
      </w:r>
    </w:p>
    <w:p>
      <w:pPr>
        <w:pStyle w:val="BookText"/>
      </w:pPr>
      <w:r>
        <w:rPr>
          <w:rFonts w:ascii="Amiri" w:hAnsi="Amiri" w:eastAsia="Amiri" w:cs="Amiri"/>
          <w:lang w:bidi="ar-SA"/>
          <w:color w:val="111111"/>
          <w:sz w:val="28"/>
          <w:szCs w:val="28"/>
          <w:rtl/>
        </w:rPr>
        <w:t xml:space="preserve">الخطبة البطيحية - ارشاد</w:t>
      </w:r>
    </w:p>
    <w:p>
      <w:pPr>
        <w:pStyle w:val="BookText"/>
      </w:pPr>
      <w:r>
        <w:rPr>
          <w:rFonts w:ascii="IRNazanin" w:hAnsi="IRNazanin" w:eastAsia="IRNazanin" w:cs="IRNazanin"/>
          <w:lang w:bidi="fa-IR"/>
          <w:color w:val="111111"/>
          <w:sz w:val="28"/>
          <w:szCs w:val="28"/>
          <w:rtl/>
        </w:rPr>
        <w:t xml:space="preserve">المسترشدین، ج9، ص 432</w:t>
      </w:r>
    </w:p>
    <w:p>
      <w:pPr>
        <w:pStyle w:val="BookText"/>
      </w:pPr>
      <w:r>
        <w:rPr>
          <w:rFonts w:ascii="Amiri" w:hAnsi="Amiri" w:eastAsia="Amiri" w:cs="Amiri"/>
          <w:lang w:bidi="ar-SA"/>
          <w:color w:val="111111"/>
          <w:sz w:val="28"/>
          <w:szCs w:val="28"/>
          <w:rtl/>
        </w:rPr>
        <w:t xml:space="preserve">33 .شرح القصيدة اللامية = شرح</w:t>
      </w:r>
    </w:p>
    <w:p>
      <w:pPr>
        <w:pStyle w:val="BookText"/>
      </w:pPr>
      <w:r>
        <w:rPr>
          <w:rFonts w:ascii="Amiri" w:hAnsi="Amiri" w:eastAsia="Amiri" w:cs="Amiri"/>
          <w:lang w:bidi="ar-SA"/>
          <w:color w:val="111111"/>
          <w:sz w:val="28"/>
          <w:szCs w:val="28"/>
          <w:rtl/>
        </w:rPr>
        <w:t xml:space="preserve">القصيدة الغراء، ج 9، ص887</w:t>
      </w:r>
    </w:p>
    <w:p>
      <w:pPr>
        <w:pStyle w:val="BookText"/>
      </w:pPr>
      <w:r>
        <w:rPr>
          <w:rFonts w:ascii="Amiri" w:hAnsi="Amiri" w:eastAsia="Amiri" w:cs="Amiri"/>
          <w:lang w:bidi="ar-SA"/>
          <w:color w:val="111111"/>
          <w:sz w:val="28"/>
          <w:szCs w:val="28"/>
          <w:rtl/>
        </w:rPr>
        <w:t xml:space="preserve">34 .شرح حديث النورانية، ج 9،</w:t>
      </w:r>
    </w:p>
    <w:p>
      <w:pPr>
        <w:pStyle w:val="BookText"/>
      </w:pPr>
      <w:r>
        <w:rPr>
          <w:rFonts w:ascii="IRNazanin" w:hAnsi="IRNazanin" w:eastAsia="IRNazanin" w:cs="IRNazanin"/>
          <w:lang w:bidi="fa-IR"/>
          <w:color w:val="111111"/>
          <w:sz w:val="28"/>
          <w:szCs w:val="28"/>
          <w:rtl/>
        </w:rPr>
        <w:t xml:space="preserve">ص 405.</w:t>
      </w:r>
    </w:p>
    <w:p>
      <w:pPr>
        <w:pStyle w:val="BookText"/>
      </w:pPr>
      <w:r>
        <w:rPr>
          <w:rFonts w:ascii="Amiri" w:hAnsi="Amiri" w:eastAsia="Amiri" w:cs="Amiri"/>
          <w:lang w:bidi="ar-SA"/>
          <w:color w:val="111111"/>
          <w:sz w:val="28"/>
          <w:szCs w:val="28"/>
          <w:rtl/>
        </w:rPr>
        <w:t xml:space="preserve">35 .شرح حديث عمران الصابي، ج9،</w:t>
      </w:r>
    </w:p>
    <w:p>
      <w:pPr>
        <w:pStyle w:val="BookText"/>
      </w:pPr>
      <w:r>
        <w:rPr>
          <w:rFonts w:ascii="IRNazanin" w:hAnsi="IRNazanin" w:eastAsia="IRNazanin" w:cs="IRNazanin"/>
          <w:lang w:bidi="fa-IR"/>
          <w:color w:val="111111"/>
          <w:sz w:val="28"/>
          <w:szCs w:val="28"/>
          <w:rtl/>
        </w:rPr>
        <w:t xml:space="preserve">ص 394.</w:t>
      </w:r>
    </w:p>
    <w:p>
      <w:pPr>
        <w:pStyle w:val="BookText"/>
      </w:pPr>
      <w:r>
        <w:rPr>
          <w:rFonts w:ascii="IRNazanin" w:hAnsi="IRNazanin" w:eastAsia="IRNazanin" w:cs="IRNazanin"/>
          <w:lang w:bidi="fa-IR"/>
          <w:color w:val="111111"/>
          <w:sz w:val="28"/>
          <w:szCs w:val="28"/>
          <w:rtl/>
        </w:rPr>
        <w:t xml:space="preserve">36 .شرح دعاء السمات، ج 9، ص 462.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شرح قصيدة ابن سينا في تنزيل</w:t>
      </w:r>
    </w:p>
    <w:p>
      <w:pPr>
        <w:pStyle w:val="BookText"/>
      </w:pPr>
      <w:r>
        <w:rPr>
          <w:rFonts w:ascii="IRNazanin" w:hAnsi="IRNazanin" w:eastAsia="IRNazanin" w:cs="IRNazanin"/>
          <w:lang w:bidi="fa-IR"/>
          <w:color w:val="111111"/>
          <w:sz w:val="28"/>
          <w:szCs w:val="28"/>
          <w:rtl/>
        </w:rPr>
        <w:t xml:space="preserve">الروح)، ج9، ص 833.</w:t>
      </w:r>
    </w:p>
    <w:p>
      <w:pPr>
        <w:pStyle w:val="BookText"/>
      </w:pPr>
      <w:r>
        <w:rPr>
          <w:rFonts w:ascii="Amiri" w:hAnsi="Amiri" w:eastAsia="Amiri" w:cs="Amiri"/>
          <w:lang w:bidi="ar-SA"/>
          <w:color w:val="111111"/>
          <w:sz w:val="28"/>
          <w:szCs w:val="28"/>
          <w:rtl/>
        </w:rPr>
        <w:t xml:space="preserve">38 .شرح كلمات الشذوري، ج 10،</w:t>
      </w:r>
    </w:p>
    <w:p>
      <w:pPr>
        <w:pStyle w:val="BookText"/>
      </w:pPr>
      <w:r>
        <w:rPr>
          <w:rFonts w:ascii="IRNazanin" w:hAnsi="IRNazanin" w:eastAsia="IRNazanin" w:cs="IRNazanin"/>
          <w:lang w:bidi="fa-IR"/>
          <w:color w:val="111111"/>
          <w:sz w:val="28"/>
          <w:szCs w:val="28"/>
          <w:rtl/>
        </w:rPr>
        <w:t xml:space="preserve">ص 60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4" w:name="pg7742_70422"/>
    <w:bookmarkEnd w:id="514"/>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الشيرازية = الرسالة الشيرازية =</w:t>
      </w:r>
    </w:p>
    <w:p>
      <w:pPr>
        <w:pStyle w:val="BookText"/>
      </w:pPr>
      <w:r>
        <w:rPr>
          <w:rFonts w:ascii="IRNazanin" w:hAnsi="IRNazanin" w:eastAsia="IRNazanin" w:cs="IRNazanin"/>
          <w:lang w:bidi="fa-IR"/>
          <w:color w:val="111111"/>
          <w:sz w:val="28"/>
          <w:szCs w:val="28"/>
          <w:rtl/>
        </w:rPr>
        <w:t xml:space="preserve">جواب مسائل میرزا ابراهیم شيرازي = اجوبة المسائل الشيرازية</w:t>
      </w:r>
    </w:p>
    <w:p>
      <w:pPr>
        <w:pStyle w:val="BookText"/>
      </w:pPr>
      <w:r>
        <w:rPr>
          <w:rFonts w:ascii="IRNazanin" w:hAnsi="IRNazanin" w:eastAsia="IRNazanin" w:cs="IRNazanin"/>
          <w:lang w:bidi="fa-IR"/>
          <w:color w:val="111111"/>
          <w:sz w:val="28"/>
          <w:szCs w:val="28"/>
          <w:rtl/>
        </w:rPr>
        <w:t xml:space="preserve">ج 10، ص 457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الصحيفة الوصية، ج 10، ص 535.</w:t>
      </w:r>
    </w:p>
    <w:p>
      <w:pPr>
        <w:pStyle w:val="BookText"/>
      </w:pPr>
      <w:r>
        <w:rPr>
          <w:rFonts w:ascii="IRNazanin" w:hAnsi="IRNazanin" w:eastAsia="IRNazanin" w:cs="IRNazanin"/>
          <w:lang w:bidi="fa-IR"/>
          <w:color w:val="111111"/>
          <w:sz w:val="28"/>
          <w:szCs w:val="28"/>
          <w:rtl/>
        </w:rPr>
        <w:t xml:space="preserve">41 .الصدرية (الرسالة) = جواب مسائل میرزا محمّد شفیع صدر ج 10، ص 538.</w:t>
      </w:r>
    </w:p>
    <w:p>
      <w:pPr>
        <w:pStyle w:val="BookText"/>
      </w:pPr>
      <w:r>
        <w:rPr>
          <w:rFonts w:ascii="Amiri" w:hAnsi="Amiri" w:eastAsia="Amiri" w:cs="Amiri"/>
          <w:lang w:bidi="ar-SA"/>
          <w:color w:val="111111"/>
          <w:sz w:val="28"/>
          <w:szCs w:val="28"/>
          <w:rtl/>
        </w:rPr>
        <w:t xml:space="preserve">42 .ضروريات الصلاة (رسالة في)</w:t>
      </w:r>
    </w:p>
    <w:p>
      <w:pPr>
        <w:pStyle w:val="BookText"/>
      </w:pPr>
      <w:r>
        <w:rPr>
          <w:rFonts w:ascii="IRNazanin" w:hAnsi="IRNazanin" w:eastAsia="IRNazanin" w:cs="IRNazanin"/>
          <w:lang w:bidi="fa-IR"/>
          <w:color w:val="111111"/>
          <w:sz w:val="28"/>
          <w:szCs w:val="28"/>
          <w:rtl/>
        </w:rPr>
        <w:t xml:space="preserve">ج 10، ص 693.</w:t>
      </w:r>
    </w:p>
    <w:p>
      <w:pPr>
        <w:pStyle w:val="BookText"/>
      </w:pPr>
      <w:r>
        <w:rPr>
          <w:rFonts w:ascii="Amiri" w:hAnsi="Amiri" w:eastAsia="Amiri" w:cs="Amiri"/>
          <w:lang w:bidi="ar-SA"/>
          <w:color w:val="111111"/>
          <w:sz w:val="28"/>
          <w:szCs w:val="28"/>
          <w:rtl/>
        </w:rPr>
        <w:t xml:space="preserve">43 .الطهارة والصلاة، ج 10، ص 865</w:t>
      </w:r>
    </w:p>
    <w:p>
      <w:pPr>
        <w:pStyle w:val="BookText"/>
      </w:pPr>
      <w:r>
        <w:rPr>
          <w:rFonts w:ascii="Amiri" w:hAnsi="Amiri" w:eastAsia="Amiri" w:cs="Amiri"/>
          <w:lang w:bidi="ar-SA"/>
          <w:color w:val="111111"/>
          <w:sz w:val="28"/>
          <w:szCs w:val="28"/>
          <w:rtl/>
        </w:rPr>
        <w:t xml:space="preserve">44 .عقائد الامامية الاثنى عشرية</w:t>
      </w:r>
    </w:p>
    <w:p>
      <w:pPr>
        <w:pStyle w:val="BookText"/>
      </w:pPr>
      <w:r>
        <w:rPr>
          <w:rFonts w:ascii="IRNazanin" w:hAnsi="IRNazanin" w:eastAsia="IRNazanin" w:cs="IRNazanin"/>
          <w:lang w:bidi="fa-IR"/>
          <w:color w:val="111111"/>
          <w:sz w:val="28"/>
          <w:szCs w:val="28"/>
          <w:rtl/>
        </w:rPr>
        <w:t xml:space="preserve">ج 11، ص 145 .</w:t>
      </w:r>
    </w:p>
    <w:p>
      <w:pPr>
        <w:pStyle w:val="BookText"/>
      </w:pPr>
      <w:r>
        <w:rPr>
          <w:rFonts w:ascii="Amiri" w:hAnsi="Amiri" w:eastAsia="Amiri" w:cs="Amiri"/>
          <w:lang w:bidi="ar-SA"/>
          <w:color w:val="111111"/>
          <w:sz w:val="28"/>
          <w:szCs w:val="28"/>
          <w:rtl/>
        </w:rPr>
        <w:t xml:space="preserve">45 .العقائد( كتاب في)، ج 11، ص 135.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فقه الصلاة = الصلاة اليومية</w:t>
      </w:r>
    </w:p>
    <w:p>
      <w:pPr>
        <w:pStyle w:val="BookText"/>
      </w:pPr>
      <w:r>
        <w:rPr>
          <w:rFonts w:ascii="IRNazanin" w:hAnsi="IRNazanin" w:eastAsia="IRNazanin" w:cs="IRNazanin"/>
          <w:lang w:bidi="fa-IR"/>
          <w:color w:val="111111"/>
          <w:sz w:val="28"/>
          <w:szCs w:val="28"/>
          <w:rtl/>
        </w:rPr>
        <w:t xml:space="preserve">ج 12، ص108.</w:t>
      </w:r>
    </w:p>
    <w:p>
      <w:pPr>
        <w:pStyle w:val="BookText"/>
      </w:pPr>
      <w:r>
        <w:rPr>
          <w:rFonts w:ascii="Amiri" w:hAnsi="Amiri" w:eastAsia="Amiri" w:cs="Amiri"/>
          <w:lang w:bidi="ar-SA"/>
          <w:color w:val="111111"/>
          <w:sz w:val="28"/>
          <w:szCs w:val="28"/>
          <w:rtl/>
        </w:rPr>
        <w:t xml:space="preserve">47 .كشف الحق = المعراج، ج 13،</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Amiri" w:hAnsi="Amiri" w:eastAsia="Amiri" w:cs="Amiri"/>
          <w:lang w:bidi="ar-SA"/>
          <w:color w:val="111111"/>
          <w:sz w:val="28"/>
          <w:szCs w:val="28"/>
          <w:rtl/>
        </w:rPr>
        <w:t xml:space="preserve">48 .كيفية السلوك إلى الله، ج13،</w:t>
      </w:r>
    </w:p>
    <w:p>
      <w:pPr>
        <w:pStyle w:val="BookText"/>
      </w:pPr>
      <w:r>
        <w:rPr>
          <w:rFonts w:ascii="IRNazanin" w:hAnsi="IRNazanin" w:eastAsia="IRNazanin" w:cs="IRNazanin"/>
          <w:lang w:bidi="fa-IR"/>
          <w:color w:val="111111"/>
          <w:sz w:val="28"/>
          <w:szCs w:val="28"/>
          <w:rtl/>
        </w:rPr>
        <w:t xml:space="preserve">ص 482.</w:t>
      </w:r>
    </w:p>
    <w:p>
      <w:pPr>
        <w:pStyle w:val="BookText"/>
      </w:pPr>
      <w:r>
        <w:rPr>
          <w:rFonts w:ascii="Amiri" w:hAnsi="Amiri" w:eastAsia="Amiri" w:cs="Amiri"/>
          <w:lang w:bidi="ar-SA"/>
          <w:color w:val="111111"/>
          <w:sz w:val="28"/>
          <w:szCs w:val="28"/>
          <w:rtl/>
        </w:rPr>
        <w:t xml:space="preserve">49 .اللوامع الحسينية في الحكمة و العرفان و عقائد الشيخية، ج13،</w:t>
      </w:r>
    </w:p>
    <w:p>
      <w:pPr>
        <w:pStyle w:val="BookText"/>
      </w:pPr>
      <w:r>
        <w:rPr>
          <w:rFonts w:ascii="IRNazanin" w:hAnsi="IRNazanin" w:eastAsia="IRNazanin" w:cs="IRNazanin"/>
          <w:lang w:bidi="fa-IR"/>
          <w:color w:val="111111"/>
          <w:sz w:val="28"/>
          <w:szCs w:val="28"/>
          <w:rtl/>
        </w:rPr>
        <w:t xml:space="preserve">ص 651 .</w:t>
      </w:r>
    </w:p>
    <w:p>
      <w:pPr>
        <w:pStyle w:val="BookText"/>
      </w:pPr>
      <w:r>
        <w:rPr>
          <w:rFonts w:ascii="Amiri" w:hAnsi="Amiri" w:eastAsia="Amiri" w:cs="Amiri"/>
          <w:lang w:bidi="ar-SA"/>
          <w:color w:val="111111"/>
          <w:sz w:val="28"/>
          <w:szCs w:val="28"/>
          <w:rtl/>
        </w:rPr>
        <w:t xml:space="preserve">50 .مبادي الالفاظ، ج13، ص721.</w:t>
      </w:r>
    </w:p>
    <w:p>
      <w:pPr>
        <w:pStyle w:val="BookText"/>
      </w:pPr>
      <w:r>
        <w:rPr>
          <w:rFonts w:ascii="Amiri" w:hAnsi="Amiri" w:eastAsia="Amiri" w:cs="Amiri"/>
          <w:lang w:bidi="ar-SA"/>
          <w:color w:val="111111"/>
          <w:sz w:val="28"/>
          <w:szCs w:val="28"/>
          <w:rtl/>
        </w:rPr>
        <w:t xml:space="preserve">51 .مقامات العارفين، ج 15 ، ص 306.</w:t>
      </w:r>
    </w:p>
    <w:p>
      <w:pPr>
        <w:pStyle w:val="BookText"/>
      </w:pPr>
      <w:r>
        <w:rPr>
          <w:rFonts w:ascii="Amiri" w:hAnsi="Amiri" w:eastAsia="Amiri" w:cs="Amiri"/>
          <w:lang w:bidi="ar-SA"/>
          <w:color w:val="111111"/>
          <w:sz w:val="28"/>
          <w:szCs w:val="28"/>
          <w:rtl/>
        </w:rPr>
        <w:t xml:space="preserve">52 .مناقب الامير، ج 15 ، ص 542.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النبوة الخاصة و الولاية الخاصة =</w:t>
      </w:r>
    </w:p>
    <w:p>
      <w:pPr>
        <w:pStyle w:val="BookText"/>
      </w:pPr>
      <w:r>
        <w:rPr>
          <w:rFonts w:ascii="Amiri" w:hAnsi="Amiri" w:eastAsia="Amiri" w:cs="Amiri"/>
          <w:lang w:bidi="ar-SA"/>
          <w:color w:val="111111"/>
          <w:sz w:val="28"/>
          <w:szCs w:val="28"/>
          <w:rtl/>
        </w:rPr>
        <w:t xml:space="preserve">اثبات النبوة، ج 16، ص123.</w:t>
      </w:r>
    </w:p>
    <w:p>
      <w:pPr>
        <w:pStyle w:val="BookText"/>
      </w:pPr>
      <w:r>
        <w:rPr>
          <w:rFonts w:ascii="Amiri" w:hAnsi="Amiri" w:eastAsia="Amiri" w:cs="Amiri"/>
          <w:lang w:bidi="ar-SA"/>
          <w:color w:val="111111"/>
          <w:sz w:val="28"/>
          <w:szCs w:val="28"/>
          <w:rtl/>
        </w:rPr>
        <w:t xml:space="preserve">54 .الوجيزة، ج 16، ص 738.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الوصية، ج 16، ص 809.</w:t>
      </w:r>
    </w:p>
    <w:p>
      <w:pPr>
        <w:pStyle w:val="Heading2"/>
      </w:pPr>
      <w:bookmarkStart w:id="4501" w:name="_Toc3603"/>
      <w:r>
        <w:t>رشتي لنگرودي ، محمّد کاظم بن</w:t>
      </w:r>
      <w:bookmarkEnd w:id="4501"/>
    </w:p>
    <w:p>
      <w:pPr>
        <w:pStyle w:val="BookText"/>
      </w:pPr>
      <w:r>
        <w:rPr>
          <w:rFonts w:ascii="Amiri" w:hAnsi="Amiri" w:eastAsia="Amiri" w:cs="Amiri"/>
          <w:lang w:bidi="ar-SA"/>
          <w:color w:val="111111"/>
          <w:sz w:val="28"/>
          <w:szCs w:val="28"/>
          <w:rtl/>
        </w:rPr>
        <w:t xml:space="preserve">علينقي قرن 13 ه-</w:t>
      </w:r>
    </w:p>
    <w:p>
      <w:pPr>
        <w:pStyle w:val="BookText"/>
      </w:pPr>
      <w:r>
        <w:rPr>
          <w:rFonts w:ascii="IRNazanin" w:hAnsi="IRNazanin" w:eastAsia="IRNazanin" w:cs="IRNazanin"/>
          <w:lang w:bidi="fa-IR"/>
          <w:color w:val="111111"/>
          <w:sz w:val="28"/>
          <w:szCs w:val="28"/>
          <w:rtl/>
        </w:rPr>
        <w:t xml:space="preserve">1 .شرح المختصر النافع، ج10،</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IRNazanin" w:hAnsi="IRNazanin" w:eastAsia="IRNazanin" w:cs="IRNazanin"/>
          <w:lang w:bidi="fa-IR"/>
          <w:color w:val="111111"/>
          <w:sz w:val="28"/>
          <w:szCs w:val="28"/>
          <w:rtl/>
        </w:rPr>
        <w:t xml:space="preserve">2 .شرح شرایع الاسلام، ج 9، ص 624 .</w:t>
      </w:r>
    </w:p>
    <w:p>
      <w:pPr>
        <w:pStyle w:val="Heading2"/>
      </w:pPr>
      <w:bookmarkStart w:id="4502" w:name="_Toc3604"/>
      <w:r>
        <w:t>رشتي ، محمّد باقر، قرن 13 ه-</w:t>
      </w:r>
      <w:bookmarkEnd w:id="4502"/>
    </w:p>
    <w:p>
      <w:pPr>
        <w:pStyle w:val="BookText"/>
      </w:pPr>
      <w:r>
        <w:rPr>
          <w:rFonts w:ascii="IRNazanin" w:hAnsi="IRNazanin" w:eastAsia="IRNazanin" w:cs="IRNazanin"/>
          <w:lang w:bidi="fa-IR"/>
          <w:color w:val="111111"/>
          <w:sz w:val="28"/>
          <w:szCs w:val="28"/>
          <w:rtl/>
        </w:rPr>
        <w:t xml:space="preserve">1.شرح الشرائع، ج 9، ص 621 .</w:t>
      </w:r>
    </w:p>
    <w:p>
      <w:pPr>
        <w:pStyle w:val="BookText"/>
      </w:pPr>
      <w:r>
        <w:rPr>
          <w:rFonts w:ascii="Amiri" w:hAnsi="Amiri" w:eastAsia="Amiri" w:cs="Amiri"/>
          <w:lang w:bidi="ar-SA"/>
          <w:color w:val="111111"/>
          <w:sz w:val="28"/>
          <w:szCs w:val="28"/>
          <w:rtl/>
        </w:rPr>
        <w:t xml:space="preserve">2 .فقه سؤال و جواب در = فقهي</w:t>
      </w:r>
    </w:p>
    <w:p>
      <w:pPr>
        <w:pStyle w:val="BookText"/>
      </w:pPr>
      <w:r>
        <w:rPr>
          <w:rFonts w:ascii="IRNazanin" w:hAnsi="IRNazanin" w:eastAsia="IRNazanin" w:cs="IRNazanin"/>
          <w:lang w:bidi="fa-IR"/>
          <w:color w:val="111111"/>
          <w:sz w:val="28"/>
          <w:szCs w:val="28"/>
          <w:rtl/>
        </w:rPr>
        <w:t xml:space="preserve">(سؤال و جواب)، ج 12، ص 49.</w:t>
      </w:r>
    </w:p>
    <w:p>
      <w:pPr>
        <w:pStyle w:val="Heading2"/>
      </w:pPr>
      <w:bookmarkStart w:id="4503" w:name="_Toc3605"/>
      <w:r>
        <w:t>رشتي ، محمّد بن رضا قرن 13 ه-</w:t>
      </w:r>
      <w:bookmarkEnd w:id="4503"/>
    </w:p>
    <w:p>
      <w:pPr>
        <w:pStyle w:val="BookText"/>
      </w:pPr>
      <w:r>
        <w:rPr>
          <w:rFonts w:ascii="Amiri" w:hAnsi="Amiri" w:eastAsia="Amiri" w:cs="Amiri"/>
          <w:lang w:bidi="ar-SA"/>
          <w:color w:val="111111"/>
          <w:sz w:val="28"/>
          <w:szCs w:val="28"/>
          <w:rtl/>
        </w:rPr>
        <w:t xml:space="preserve">فرض الصلاة، ج 11، ص 785.</w:t>
      </w:r>
    </w:p>
    <w:p>
      <w:pPr>
        <w:pStyle w:val="Heading2"/>
      </w:pPr>
      <w:bookmarkStart w:id="4504" w:name="_Toc3606"/>
      <w:r>
        <w:t>رشتي ، محمّد علي، قرن 13 ه-</w:t>
      </w:r>
      <w:bookmarkEnd w:id="4504"/>
    </w:p>
    <w:p>
      <w:pPr>
        <w:pStyle w:val="BookText"/>
      </w:pPr>
      <w:r>
        <w:rPr>
          <w:rFonts w:ascii="Amiri" w:hAnsi="Amiri" w:eastAsia="Amiri" w:cs="Amiri"/>
          <w:lang w:bidi="ar-SA"/>
          <w:color w:val="111111"/>
          <w:sz w:val="28"/>
          <w:szCs w:val="28"/>
          <w:rtl/>
        </w:rPr>
        <w:t xml:space="preserve">بعض مسائل بيع الخيار (رسالة في)،</w:t>
      </w:r>
    </w:p>
    <w:p>
      <w:pPr>
        <w:pStyle w:val="BookText"/>
      </w:pPr>
      <w:r>
        <w:rPr>
          <w:rFonts w:ascii="IRNazanin" w:hAnsi="IRNazanin" w:eastAsia="IRNazanin" w:cs="IRNazanin"/>
          <w:lang w:bidi="fa-IR"/>
          <w:color w:val="111111"/>
          <w:sz w:val="28"/>
          <w:szCs w:val="28"/>
          <w:rtl/>
        </w:rPr>
        <w:t xml:space="preserve">ج 3، ص 359.</w:t>
      </w:r>
    </w:p>
    <w:p>
      <w:pPr>
        <w:pStyle w:val="BookText"/>
      </w:pPr>
      <w:r>
        <w:rPr>
          <w:rFonts w:ascii="Amiri" w:hAnsi="Amiri" w:eastAsia="Amiri" w:cs="Amiri"/>
          <w:lang w:bidi="ar-SA"/>
          <w:color w:val="111111"/>
          <w:sz w:val="28"/>
          <w:szCs w:val="28"/>
          <w:rtl/>
        </w:rPr>
        <w:t xml:space="preserve">رشتي ، محمّد علي بن حسين- بهشتي</w:t>
      </w:r>
    </w:p>
    <w:p>
      <w:pPr>
        <w:pStyle w:val="BookText"/>
      </w:pPr>
      <w:r>
        <w:rPr>
          <w:rFonts w:ascii="Amiri" w:hAnsi="Amiri" w:eastAsia="Amiri" w:cs="Amiri"/>
          <w:lang w:bidi="ar-SA"/>
          <w:color w:val="111111"/>
          <w:sz w:val="28"/>
          <w:szCs w:val="28"/>
          <w:rtl/>
        </w:rPr>
        <w:t xml:space="preserve">رشتي ، محمّد علي بن حسين</w:t>
      </w:r>
    </w:p>
    <w:p>
      <w:pPr>
        <w:pStyle w:val="BookText"/>
      </w:pPr>
      <w:r>
        <w:rPr>
          <w:rFonts w:ascii="IRNazanin" w:hAnsi="IRNazanin" w:eastAsia="IRNazanin" w:cs="IRNazanin"/>
          <w:lang w:bidi="fa-IR"/>
          <w:color w:val="111111"/>
          <w:sz w:val="28"/>
          <w:szCs w:val="28"/>
          <w:rtl/>
        </w:rPr>
        <w:t xml:space="preserve">رشتي ، محمّد کاظم بن علينقي- رشتي</w:t>
      </w:r>
    </w:p>
    <w:p>
      <w:pPr>
        <w:pStyle w:val="BookText"/>
      </w:pPr>
      <w:r>
        <w:rPr>
          <w:rFonts w:ascii="IRNazanin" w:hAnsi="IRNazanin" w:eastAsia="IRNazanin" w:cs="IRNazanin"/>
          <w:lang w:bidi="fa-IR"/>
          <w:color w:val="111111"/>
          <w:sz w:val="28"/>
          <w:szCs w:val="28"/>
          <w:rtl/>
        </w:rPr>
        <w:t xml:space="preserve">لنگرودي ، محمّد كاظم بن علينقي</w:t>
      </w:r>
    </w:p>
    <w:p>
      <w:pPr>
        <w:pStyle w:val="BookText"/>
      </w:pPr>
      <w:r>
        <w:rPr>
          <w:rFonts w:ascii="IRNazanin" w:hAnsi="IRNazanin" w:eastAsia="IRNazanin" w:cs="IRNazanin"/>
          <w:lang w:bidi="fa-IR"/>
          <w:color w:val="111111"/>
          <w:sz w:val="28"/>
          <w:szCs w:val="28"/>
          <w:rtl/>
        </w:rPr>
        <w:t xml:space="preserve">قاسم رشتي ، كاظم بن قاسم- رشتي ، محمّد کاظم بن محمّد</w:t>
      </w:r>
    </w:p>
    <w:p>
      <w:pPr>
        <w:pStyle w:val="BookText"/>
      </w:pPr>
      <w:r>
        <w:rPr>
          <w:rFonts w:ascii="IRNazanin" w:hAnsi="IRNazanin" w:eastAsia="IRNazanin" w:cs="IRNazanin"/>
          <w:lang w:bidi="fa-IR"/>
          <w:color w:val="111111"/>
          <w:sz w:val="28"/>
          <w:szCs w:val="28"/>
          <w:rtl/>
        </w:rPr>
        <w:t xml:space="preserve">رشتي ، مهدي بن اسدالله -گيلاني ، محمّد</w:t>
      </w:r>
    </w:p>
    <w:p>
      <w:pPr>
        <w:pStyle w:val="BookText"/>
      </w:pPr>
      <w:r>
        <w:rPr>
          <w:rFonts w:ascii="Amiri" w:hAnsi="Amiri" w:eastAsia="Amiri" w:cs="Amiri"/>
          <w:lang w:bidi="ar-SA"/>
          <w:color w:val="111111"/>
          <w:sz w:val="28"/>
          <w:szCs w:val="28"/>
          <w:rtl/>
        </w:rPr>
        <w:t xml:space="preserve">مهدي بن اسد الله</w:t>
      </w:r>
    </w:p>
    <w:p>
      <w:pPr>
        <w:pStyle w:val="BookText"/>
      </w:pPr>
      <w:r>
        <w:rPr>
          <w:rFonts w:ascii="Amiri" w:hAnsi="Amiri" w:eastAsia="Amiri" w:cs="Amiri"/>
          <w:lang w:bidi="ar-SA"/>
          <w:color w:val="111111"/>
          <w:sz w:val="28"/>
          <w:szCs w:val="28"/>
          <w:rtl/>
        </w:rPr>
        <w:t xml:space="preserve">رشتي نجفي ، حبيب الله بن محمّد</w:t>
      </w:r>
    </w:p>
    <w:p>
      <w:pPr>
        <w:pStyle w:val="BookText"/>
      </w:pPr>
      <w:r>
        <w:rPr>
          <w:rFonts w:ascii="Amiri" w:hAnsi="Amiri" w:eastAsia="Amiri" w:cs="Amiri"/>
          <w:lang w:bidi="ar-SA"/>
          <w:color w:val="111111"/>
          <w:sz w:val="28"/>
          <w:szCs w:val="28"/>
          <w:rtl/>
        </w:rPr>
        <w:t xml:space="preserve">علي- رشتي ، حبيب الله بن محمّد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5" w:name="pg7742_70425"/>
    <w:bookmarkEnd w:id="515"/>
    <w:p>
      <w:pPr>
        <w:pStyle w:val="BookText"/>
      </w:pPr>
      <w:r>
        <w:rPr>
          <w:rFonts w:ascii="Amiri" w:hAnsi="Amiri" w:eastAsia="Amiri" w:cs="Amiri"/>
          <w:lang w:bidi="ar-SA"/>
          <w:color w:val="111111"/>
          <w:sz w:val="28"/>
          <w:szCs w:val="28"/>
          <w:rtl/>
        </w:rPr>
        <w:t xml:space="preserve">رشتي نجفي ، عبد الحسين- رشتي</w:t>
      </w:r>
    </w:p>
    <w:p>
      <w:pPr>
        <w:pStyle w:val="BookText"/>
      </w:pPr>
      <w:r>
        <w:rPr>
          <w:rFonts w:ascii="Amiri" w:hAnsi="Amiri" w:eastAsia="Amiri" w:cs="Amiri"/>
          <w:lang w:bidi="ar-SA"/>
          <w:color w:val="111111"/>
          <w:sz w:val="28"/>
          <w:szCs w:val="28"/>
          <w:rtl/>
        </w:rPr>
        <w:t xml:space="preserve">عبد الحسين بن عيسى</w:t>
      </w:r>
    </w:p>
    <w:p>
      <w:pPr>
        <w:pStyle w:val="BookText"/>
      </w:pPr>
      <w:r>
        <w:rPr>
          <w:rFonts w:ascii="Amiri" w:hAnsi="Amiri" w:eastAsia="Amiri" w:cs="Amiri"/>
          <w:lang w:bidi="ar-SA"/>
          <w:color w:val="111111"/>
          <w:sz w:val="28"/>
          <w:szCs w:val="28"/>
          <w:rtl/>
        </w:rPr>
        <w:t xml:space="preserve">رشداني مرغيناني ، ابي الحسن- مرغيناني ،</w:t>
      </w:r>
    </w:p>
    <w:p>
      <w:pPr>
        <w:pStyle w:val="BookText"/>
      </w:pPr>
      <w:r>
        <w:rPr>
          <w:rFonts w:ascii="Amiri" w:hAnsi="Amiri" w:eastAsia="Amiri" w:cs="Amiri"/>
          <w:lang w:bidi="ar-SA"/>
          <w:color w:val="111111"/>
          <w:sz w:val="28"/>
          <w:szCs w:val="28"/>
          <w:rtl/>
        </w:rPr>
        <w:t xml:space="preserve">علي بن ابي بكر</w:t>
      </w:r>
    </w:p>
    <w:p>
      <w:pPr>
        <w:pStyle w:val="BookText"/>
      </w:pPr>
      <w:r>
        <w:rPr>
          <w:rFonts w:ascii="Amiri" w:hAnsi="Amiri" w:eastAsia="Amiri" w:cs="Amiri"/>
          <w:lang w:bidi="ar-SA"/>
          <w:color w:val="111111"/>
          <w:sz w:val="28"/>
          <w:szCs w:val="28"/>
          <w:rtl/>
        </w:rPr>
        <w:t xml:space="preserve">رشدي ، احمد -رشدي افندي ، احمد</w:t>
      </w:r>
    </w:p>
    <w:p>
      <w:pPr>
        <w:pStyle w:val="Heading2"/>
      </w:pPr>
      <w:bookmarkStart w:id="4505" w:name="_Toc3607"/>
      <w:r>
        <w:t>رشدي افندي ، احمد، قرن 12 ه-</w:t>
      </w:r>
      <w:bookmarkEnd w:id="4505"/>
    </w:p>
    <w:p>
      <w:pPr>
        <w:pStyle w:val="BookText"/>
      </w:pPr>
      <w:r>
        <w:rPr>
          <w:rFonts w:ascii="Amiri" w:hAnsi="Amiri" w:eastAsia="Amiri" w:cs="Amiri"/>
          <w:lang w:bidi="ar-SA"/>
          <w:color w:val="111111"/>
          <w:sz w:val="28"/>
          <w:szCs w:val="28"/>
          <w:rtl/>
        </w:rPr>
        <w:t xml:space="preserve">مرشد الطلبة، ج 14 ، ص 397.</w:t>
      </w:r>
    </w:p>
    <w:p>
      <w:pPr>
        <w:pStyle w:val="Heading2"/>
      </w:pPr>
      <w:bookmarkStart w:id="4506" w:name="_Toc3608"/>
      <w:r>
        <w:t>رشدي ، سليم، قرن 14 ه-</w:t>
      </w:r>
      <w:bookmarkEnd w:id="4506"/>
    </w:p>
    <w:p>
      <w:pPr>
        <w:pStyle w:val="BookText"/>
      </w:pPr>
      <w:r>
        <w:rPr>
          <w:rFonts w:ascii="Amiri" w:hAnsi="Amiri" w:eastAsia="Amiri" w:cs="Amiri"/>
          <w:lang w:bidi="ar-SA"/>
          <w:color w:val="111111"/>
          <w:sz w:val="28"/>
          <w:szCs w:val="28"/>
          <w:rtl/>
        </w:rPr>
        <w:t xml:space="preserve">القصيدة الصخرية، ج 12، ص 680.</w:t>
      </w:r>
    </w:p>
    <w:p>
      <w:pPr>
        <w:pStyle w:val="BookText"/>
      </w:pPr>
      <w:r>
        <w:rPr>
          <w:rFonts w:ascii="IRNazanin" w:hAnsi="IRNazanin" w:eastAsia="IRNazanin" w:cs="IRNazanin"/>
          <w:lang w:bidi="fa-IR"/>
          <w:color w:val="111111"/>
          <w:sz w:val="28"/>
          <w:szCs w:val="28"/>
          <w:rtl/>
        </w:rPr>
        <w:t xml:space="preserve">رشدي ، محمّد ابراهيم بن محمّد- ترمدي ، محمّد ابراهیم بن محمّد</w:t>
      </w:r>
    </w:p>
    <w:p>
      <w:pPr>
        <w:pStyle w:val="Heading2"/>
      </w:pPr>
      <w:bookmarkStart w:id="4507" w:name="_Toc3609"/>
      <w:r>
        <w:t>رشدي ، محمّد بن مصطفى</w:t>
      </w:r>
      <w:bookmarkEnd w:id="4507"/>
    </w:p>
    <w:p>
      <w:pPr>
        <w:pStyle w:val="BookText"/>
      </w:pPr>
      <w:r>
        <w:rPr>
          <w:rFonts w:ascii="Amiri" w:hAnsi="Amiri" w:eastAsia="Amiri" w:cs="Amiri"/>
          <w:lang w:bidi="ar-SA"/>
          <w:color w:val="111111"/>
          <w:sz w:val="28"/>
          <w:szCs w:val="28"/>
          <w:rtl/>
        </w:rPr>
        <w:t xml:space="preserve">زبدة التعريفات، ج8، ص 571</w:t>
      </w:r>
    </w:p>
    <w:p>
      <w:pPr>
        <w:pStyle w:val="Heading2"/>
      </w:pPr>
      <w:bookmarkStart w:id="4508" w:name="_Toc3610"/>
      <w:r>
        <w:t>رشعني ، مارشليطا</w:t>
      </w:r>
      <w:bookmarkEnd w:id="4508"/>
    </w:p>
    <w:p>
      <w:pPr>
        <w:pStyle w:val="BookText"/>
      </w:pPr>
      <w:r>
        <w:rPr>
          <w:rFonts w:ascii="IRNazanin" w:hAnsi="IRNazanin" w:eastAsia="IRNazanin" w:cs="IRNazanin"/>
          <w:lang w:bidi="fa-IR"/>
          <w:color w:val="111111"/>
          <w:sz w:val="28"/>
          <w:szCs w:val="28"/>
          <w:rtl/>
        </w:rPr>
        <w:t xml:space="preserve">صلوات الصباح، ج 10، ص 628.</w:t>
      </w:r>
    </w:p>
    <w:p>
      <w:pPr>
        <w:pStyle w:val="BookText"/>
      </w:pPr>
      <w:r>
        <w:rPr>
          <w:rFonts w:ascii="Amiri" w:hAnsi="Amiri" w:eastAsia="Amiri" w:cs="Amiri"/>
          <w:lang w:bidi="ar-SA"/>
          <w:color w:val="111111"/>
          <w:sz w:val="28"/>
          <w:szCs w:val="28"/>
          <w:rtl/>
        </w:rPr>
        <w:t xml:space="preserve">رشيد ابو الخير بن طيب -ابن الطيب ، ابو الخير</w:t>
      </w:r>
    </w:p>
    <w:p>
      <w:pPr>
        <w:pStyle w:val="BookText"/>
      </w:pPr>
      <w:r>
        <w:rPr>
          <w:rFonts w:ascii="Amiri" w:hAnsi="Amiri" w:eastAsia="Amiri" w:cs="Amiri"/>
          <w:lang w:bidi="ar-SA"/>
          <w:color w:val="111111"/>
          <w:sz w:val="28"/>
          <w:szCs w:val="28"/>
          <w:rtl/>
        </w:rPr>
        <w:t xml:space="preserve">رشيد الاسواني- ابن زبير ، احمد بن علي</w:t>
      </w:r>
    </w:p>
    <w:p>
      <w:pPr>
        <w:pStyle w:val="BookText"/>
      </w:pPr>
      <w:r>
        <w:rPr>
          <w:rFonts w:ascii="IRNazanin" w:hAnsi="IRNazanin" w:eastAsia="IRNazanin" w:cs="IRNazanin"/>
          <w:lang w:bidi="fa-IR"/>
          <w:color w:val="111111"/>
          <w:sz w:val="28"/>
          <w:szCs w:val="28"/>
          <w:rtl/>
        </w:rPr>
        <w:t xml:space="preserve">رشیدالدین فضل الله- همداني ،</w:t>
      </w:r>
    </w:p>
    <w:p>
      <w:pPr>
        <w:pStyle w:val="BookText"/>
      </w:pPr>
      <w:r>
        <w:rPr>
          <w:rFonts w:ascii="IRNazanin" w:hAnsi="IRNazanin" w:eastAsia="IRNazanin" w:cs="IRNazanin"/>
          <w:lang w:bidi="fa-IR"/>
          <w:color w:val="111111"/>
          <w:sz w:val="28"/>
          <w:szCs w:val="28"/>
          <w:rtl/>
        </w:rPr>
        <w:t xml:space="preserve">رشیدالدین فضل الله</w:t>
      </w:r>
    </w:p>
    <w:p>
      <w:pPr>
        <w:pStyle w:val="BookText"/>
      </w:pPr>
      <w:r>
        <w:rPr>
          <w:rFonts w:ascii="Amiri" w:hAnsi="Amiri" w:eastAsia="Amiri" w:cs="Amiri"/>
          <w:lang w:bidi="ar-SA"/>
          <w:color w:val="111111"/>
          <w:sz w:val="28"/>
          <w:szCs w:val="28"/>
          <w:rtl/>
        </w:rPr>
        <w:t xml:space="preserve">رشيد الدين فضل الله همداني- همداني ،</w:t>
      </w:r>
    </w:p>
    <w:p>
      <w:pPr>
        <w:pStyle w:val="BookText"/>
      </w:pPr>
      <w:r>
        <w:rPr>
          <w:rFonts w:ascii="IRNazanin" w:hAnsi="IRNazanin" w:eastAsia="IRNazanin" w:cs="IRNazanin"/>
          <w:lang w:bidi="fa-IR"/>
          <w:color w:val="111111"/>
          <w:sz w:val="28"/>
          <w:szCs w:val="28"/>
          <w:rtl/>
        </w:rPr>
        <w:t xml:space="preserve">رشیدالدین فضل الله</w:t>
      </w:r>
    </w:p>
    <w:p>
      <w:pPr>
        <w:pStyle w:val="BookText"/>
      </w:pPr>
      <w:r>
        <w:rPr>
          <w:rFonts w:ascii="Amiri" w:hAnsi="Amiri" w:eastAsia="Amiri" w:cs="Amiri"/>
          <w:lang w:bidi="ar-SA"/>
          <w:color w:val="111111"/>
          <w:sz w:val="28"/>
          <w:szCs w:val="28"/>
          <w:rtl/>
        </w:rPr>
        <w:t xml:space="preserve">رشيد الدين محمّد بن رمضان -ابن رمضان</w:t>
      </w:r>
    </w:p>
    <w:p>
      <w:pPr>
        <w:pStyle w:val="BookText"/>
      </w:pPr>
      <w:r>
        <w:rPr>
          <w:rFonts w:ascii="IRNazanin" w:hAnsi="IRNazanin" w:eastAsia="IRNazanin" w:cs="IRNazanin"/>
          <w:lang w:bidi="fa-IR"/>
          <w:color w:val="111111"/>
          <w:sz w:val="28"/>
          <w:szCs w:val="28"/>
          <w:rtl/>
        </w:rPr>
        <w:t xml:space="preserve">، محمود بن رمضان</w:t>
      </w:r>
    </w:p>
    <w:p>
      <w:pPr>
        <w:pStyle w:val="BookText"/>
      </w:pPr>
      <w:r>
        <w:rPr>
          <w:rFonts w:ascii="Amiri" w:hAnsi="Amiri" w:eastAsia="Amiri" w:cs="Amiri"/>
          <w:lang w:bidi="ar-SA"/>
          <w:color w:val="111111"/>
          <w:sz w:val="28"/>
          <w:szCs w:val="28"/>
          <w:rtl/>
        </w:rPr>
        <w:t xml:space="preserve">رشيد الدين ميبدي -ميبدي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رشيد الدين وطواط ، سعد الملك محمّد بن</w:t>
      </w:r>
    </w:p>
    <w:p>
      <w:pPr>
        <w:pStyle w:val="BookText"/>
      </w:pPr>
      <w:r>
        <w:rPr>
          <w:rFonts w:ascii="Amiri" w:hAnsi="Amiri" w:eastAsia="Amiri" w:cs="Amiri"/>
          <w:lang w:bidi="ar-SA"/>
          <w:color w:val="111111"/>
          <w:sz w:val="28"/>
          <w:szCs w:val="28"/>
          <w:rtl/>
        </w:rPr>
        <w:t xml:space="preserve">محمّد -رشيد وطواط ، محمّد بن محمّد</w:t>
      </w:r>
    </w:p>
    <w:p>
      <w:pPr>
        <w:pStyle w:val="BookText"/>
      </w:pPr>
      <w:r>
        <w:rPr>
          <w:rFonts w:ascii="Amiri" w:hAnsi="Amiri" w:eastAsia="Amiri" w:cs="Amiri"/>
          <w:lang w:bidi="ar-SA"/>
          <w:color w:val="111111"/>
          <w:sz w:val="28"/>
          <w:szCs w:val="28"/>
          <w:rtl/>
        </w:rPr>
        <w:t xml:space="preserve">رشيد بن صالح افندي الخطيب - افندي</w:t>
      </w:r>
    </w:p>
    <w:p>
      <w:pPr>
        <w:pStyle w:val="BookText"/>
      </w:pPr>
      <w:r>
        <w:rPr>
          <w:rFonts w:ascii="Amiri" w:hAnsi="Amiri" w:eastAsia="Amiri" w:cs="Amiri"/>
          <w:lang w:bidi="ar-SA"/>
          <w:color w:val="111111"/>
          <w:sz w:val="28"/>
          <w:szCs w:val="28"/>
          <w:rtl/>
        </w:rPr>
        <w:t xml:space="preserve">خطيب ، رشيد بن صالح</w:t>
      </w:r>
    </w:p>
    <w:p>
      <w:pPr>
        <w:pStyle w:val="BookText"/>
      </w:pPr>
      <w:r>
        <w:rPr>
          <w:rFonts w:ascii="Amiri" w:hAnsi="Amiri" w:eastAsia="Amiri" w:cs="Amiri"/>
          <w:lang w:bidi="ar-SA"/>
          <w:color w:val="111111"/>
          <w:sz w:val="28"/>
          <w:szCs w:val="28"/>
          <w:rtl/>
        </w:rPr>
        <w:t xml:space="preserve">رشيد بن طيب متطبب يعقوبي- ابن</w:t>
      </w:r>
    </w:p>
    <w:p>
      <w:pPr>
        <w:pStyle w:val="BookText"/>
      </w:pPr>
      <w:r>
        <w:rPr>
          <w:rFonts w:ascii="Amiri" w:hAnsi="Amiri" w:eastAsia="Amiri" w:cs="Amiri"/>
          <w:lang w:bidi="ar-SA"/>
          <w:color w:val="111111"/>
          <w:sz w:val="28"/>
          <w:szCs w:val="28"/>
          <w:rtl/>
        </w:rPr>
        <w:t xml:space="preserve">الطيب ، ابو الخير</w:t>
      </w:r>
    </w:p>
    <w:p>
      <w:pPr>
        <w:pStyle w:val="BookText"/>
      </w:pPr>
      <w:r>
        <w:rPr>
          <w:rFonts w:ascii="IRNazanin" w:hAnsi="IRNazanin" w:eastAsia="IRNazanin" w:cs="IRNazanin"/>
          <w:lang w:bidi="fa-IR"/>
          <w:color w:val="111111"/>
          <w:sz w:val="28"/>
          <w:szCs w:val="28"/>
          <w:rtl/>
        </w:rPr>
        <w:t xml:space="preserve">رشيد طبيب ، فضل الله بن ابو الخير -همداني ، رشیدالدین فضل الله</w:t>
      </w:r>
    </w:p>
    <w:p>
      <w:pPr>
        <w:pStyle w:val="Heading2"/>
      </w:pPr>
      <w:bookmarkStart w:id="4509" w:name="_Toc3611"/>
      <w:r>
        <w:t>رشید ، محمّد بن اسماعيل - 768 ه-</w:t>
      </w:r>
      <w:bookmarkEnd w:id="4509"/>
    </w:p>
    <w:p>
      <w:pPr>
        <w:pStyle w:val="BookText"/>
      </w:pPr>
      <w:r>
        <w:rPr>
          <w:rFonts w:ascii="Amiri" w:hAnsi="Amiri" w:eastAsia="Amiri" w:cs="Amiri"/>
          <w:lang w:bidi="ar-SA"/>
          <w:color w:val="111111"/>
          <w:sz w:val="28"/>
          <w:szCs w:val="28"/>
          <w:rtl/>
        </w:rPr>
        <w:t xml:space="preserve">1 .الفاظ الكفر = الالفاظ التي يكفر</w:t>
      </w:r>
    </w:p>
    <w:p>
      <w:pPr>
        <w:pStyle w:val="BookText"/>
      </w:pPr>
      <w:r>
        <w:rPr>
          <w:rFonts w:ascii="IRNazanin" w:hAnsi="IRNazanin" w:eastAsia="IRNazanin" w:cs="IRNazanin"/>
          <w:lang w:bidi="fa-IR"/>
          <w:color w:val="111111"/>
          <w:sz w:val="28"/>
          <w:szCs w:val="28"/>
          <w:rtl/>
        </w:rPr>
        <w:t xml:space="preserve">بها قائلها، ج 2، ص 677.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كفاية الفتاوى - فتاوى منقولة من</w:t>
      </w:r>
    </w:p>
    <w:p>
      <w:pPr>
        <w:pStyle w:val="BookText"/>
      </w:pPr>
      <w:r>
        <w:rPr>
          <w:rFonts w:ascii="Amiri" w:hAnsi="Amiri" w:eastAsia="Amiri" w:cs="Amiri"/>
          <w:lang w:bidi="ar-SA"/>
          <w:color w:val="111111"/>
          <w:sz w:val="28"/>
          <w:szCs w:val="28"/>
          <w:rtl/>
        </w:rPr>
        <w:t xml:space="preserve">عدة مصادر، ج13، ص323.</w:t>
      </w:r>
    </w:p>
    <w:p>
      <w:pPr>
        <w:pStyle w:val="BookText"/>
      </w:pPr>
      <w:r>
        <w:rPr>
          <w:rFonts w:ascii="Amiri" w:hAnsi="Amiri" w:eastAsia="Amiri" w:cs="Amiri"/>
          <w:lang w:bidi="ar-SA"/>
          <w:color w:val="111111"/>
          <w:sz w:val="28"/>
          <w:szCs w:val="28"/>
          <w:rtl/>
        </w:rPr>
        <w:t xml:space="preserve">3 .ما يجب على الانسان، ج13،</w:t>
      </w:r>
    </w:p>
    <w:p>
      <w:pPr>
        <w:pStyle w:val="BookText"/>
      </w:pPr>
      <w:r>
        <w:rPr>
          <w:rFonts w:ascii="IRNazanin" w:hAnsi="IRNazanin" w:eastAsia="IRNazanin" w:cs="IRNazanin"/>
          <w:lang w:bidi="fa-IR"/>
          <w:color w:val="111111"/>
          <w:sz w:val="28"/>
          <w:szCs w:val="28"/>
          <w:rtl/>
        </w:rPr>
        <w:t xml:space="preserve">ص 693.</w:t>
      </w:r>
    </w:p>
    <w:p>
      <w:pPr>
        <w:pStyle w:val="BookText"/>
      </w:pPr>
      <w:r>
        <w:rPr>
          <w:rFonts w:ascii="Amiri" w:hAnsi="Amiri" w:eastAsia="Amiri" w:cs="Amiri"/>
          <w:lang w:bidi="ar-SA"/>
          <w:color w:val="111111"/>
          <w:sz w:val="28"/>
          <w:szCs w:val="28"/>
          <w:rtl/>
        </w:rPr>
        <w:t xml:space="preserve">رشيد وتري ، محمّد بن ابي بك-ر وتري ،</w:t>
      </w:r>
    </w:p>
    <w:p>
      <w:pPr>
        <w:pStyle w:val="BookText"/>
      </w:pPr>
      <w:r>
        <w:rPr>
          <w:rFonts w:ascii="Amiri" w:hAnsi="Amiri" w:eastAsia="Amiri" w:cs="Amiri"/>
          <w:lang w:bidi="ar-SA"/>
          <w:color w:val="111111"/>
          <w:sz w:val="28"/>
          <w:szCs w:val="28"/>
          <w:rtl/>
        </w:rPr>
        <w:t xml:space="preserve">محمّد بن ابي بكر</w:t>
      </w:r>
    </w:p>
    <w:p>
      <w:pPr>
        <w:pStyle w:val="BookText"/>
      </w:pPr>
      <w:r>
        <w:rPr>
          <w:rFonts w:ascii="IRNazanin" w:hAnsi="IRNazanin" w:eastAsia="IRNazanin" w:cs="IRNazanin"/>
          <w:lang w:bidi="fa-IR"/>
          <w:color w:val="111111"/>
          <w:sz w:val="28"/>
          <w:szCs w:val="28"/>
          <w:rtl/>
        </w:rPr>
        <w:t xml:space="preserve">رشید وطواط ، رشید الدین محّمد بن رشيد وطواط ، محمّد بن محمّد</w:t>
      </w:r>
    </w:p>
    <w:p>
      <w:pPr>
        <w:pStyle w:val="Heading2"/>
      </w:pPr>
      <w:bookmarkStart w:id="4510" w:name="_Toc3612"/>
      <w:r>
        <w:t>رشید وطواط ، محمّد بن محمّد - 573</w:t>
      </w:r>
      <w:bookmarkEnd w:id="4510"/>
    </w:p>
    <w:p>
      <w:pPr>
        <w:pStyle w:val="BookText"/>
      </w:pPr>
      <w:r>
        <w:rPr>
          <w:rFonts w:ascii="Amiri" w:hAnsi="Amiri" w:eastAsia="Amiri" w:cs="Amiri"/>
          <w:lang w:bidi="ar-SA"/>
          <w:color w:val="111111"/>
          <w:sz w:val="28"/>
          <w:szCs w:val="28"/>
          <w:rtl/>
        </w:rPr>
        <w:t xml:space="preserve">1.انيس اللهفان من كلام عثمان : انس اللهفان من كلام عثمان بن عفان، ج 3، ص 41.</w:t>
      </w:r>
    </w:p>
    <w:p>
      <w:pPr>
        <w:pStyle w:val="BookText"/>
      </w:pPr>
      <w:r>
        <w:rPr>
          <w:rFonts w:ascii="Amiri" w:hAnsi="Amiri" w:eastAsia="Amiri" w:cs="Amiri"/>
          <w:lang w:bidi="ar-SA"/>
          <w:color w:val="111111"/>
          <w:sz w:val="28"/>
          <w:szCs w:val="28"/>
          <w:rtl/>
        </w:rPr>
        <w:t xml:space="preserve">2 .تحفة الصديق إلى الصديق، ج3،</w:t>
      </w:r>
    </w:p>
    <w:p>
      <w:pPr>
        <w:pStyle w:val="BookText"/>
      </w:pPr>
      <w:r>
        <w:rPr>
          <w:rFonts w:ascii="IRNazanin" w:hAnsi="IRNazanin" w:eastAsia="IRNazanin" w:cs="IRNazanin"/>
          <w:lang w:bidi="fa-IR"/>
          <w:color w:val="111111"/>
          <w:sz w:val="28"/>
          <w:szCs w:val="28"/>
          <w:rtl/>
        </w:rPr>
        <w:t xml:space="preserve">ص 857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6" w:name="pg7742_70426"/>
    <w:bookmarkEnd w:id="516"/>
    <w:p>
      <w:pPr>
        <w:pStyle w:val="BookText"/>
      </w:pPr>
      <w:r>
        <w:rPr>
          <w:rFonts w:ascii="Amiri" w:hAnsi="Amiri" w:eastAsia="Amiri" w:cs="Amiri"/>
          <w:lang w:bidi="ar-SA"/>
          <w:color w:val="111111"/>
          <w:sz w:val="28"/>
          <w:szCs w:val="28"/>
          <w:rtl/>
        </w:rPr>
        <w:t xml:space="preserve">3 .حدائق السحر في دقائق الشعر</w:t>
      </w:r>
    </w:p>
    <w:p>
      <w:pPr>
        <w:pStyle w:val="BookText"/>
      </w:pPr>
      <w:r>
        <w:rPr>
          <w:rFonts w:ascii="IRNazanin" w:hAnsi="IRNazanin" w:eastAsia="IRNazanin" w:cs="IRNazanin"/>
          <w:lang w:bidi="fa-IR"/>
          <w:color w:val="111111"/>
          <w:sz w:val="28"/>
          <w:szCs w:val="28"/>
          <w:rtl/>
        </w:rPr>
        <w:t xml:space="preserve">ج 6 ، ص 521.</w:t>
      </w:r>
    </w:p>
    <w:p>
      <w:pPr>
        <w:pStyle w:val="BookText"/>
      </w:pPr>
      <w:r>
        <w:rPr>
          <w:rFonts w:ascii="Amiri" w:hAnsi="Amiri" w:eastAsia="Amiri" w:cs="Amiri"/>
          <w:lang w:bidi="ar-SA"/>
          <w:color w:val="111111"/>
          <w:sz w:val="28"/>
          <w:szCs w:val="28"/>
          <w:rtl/>
        </w:rPr>
        <w:t xml:space="preserve">4 .عمدة البلغاء وعدة الفصحاء</w:t>
      </w:r>
    </w:p>
    <w:p>
      <w:pPr>
        <w:pStyle w:val="BookText"/>
      </w:pPr>
      <w:r>
        <w:rPr>
          <w:rFonts w:ascii="IRNazanin" w:hAnsi="IRNazanin" w:eastAsia="IRNazanin" w:cs="IRNazanin"/>
          <w:lang w:bidi="fa-IR"/>
          <w:color w:val="111111"/>
          <w:sz w:val="28"/>
          <w:szCs w:val="28"/>
          <w:rtl/>
        </w:rPr>
        <w:t xml:space="preserve">ج 11، ص288</w:t>
      </w:r>
    </w:p>
    <w:p>
      <w:pPr>
        <w:pStyle w:val="BookText"/>
      </w:pPr>
      <w:r>
        <w:rPr>
          <w:rFonts w:ascii="Amiri" w:hAnsi="Amiri" w:eastAsia="Amiri" w:cs="Amiri"/>
          <w:lang w:bidi="ar-SA"/>
          <w:color w:val="111111"/>
          <w:sz w:val="28"/>
          <w:szCs w:val="28"/>
          <w:rtl/>
        </w:rPr>
        <w:t xml:space="preserve">5 .فصل الخطاب من كلمات عمر بن</w:t>
      </w:r>
    </w:p>
    <w:p>
      <w:pPr>
        <w:pStyle w:val="BookText"/>
      </w:pPr>
      <w:r>
        <w:rPr>
          <w:rFonts w:ascii="IRNazanin" w:hAnsi="IRNazanin" w:eastAsia="IRNazanin" w:cs="IRNazanin"/>
          <w:lang w:bidi="fa-IR"/>
          <w:color w:val="111111"/>
          <w:sz w:val="28"/>
          <w:szCs w:val="28"/>
          <w:rtl/>
        </w:rPr>
        <w:t xml:space="preserve">الخطاب، ج 11، ص 834.</w:t>
      </w:r>
    </w:p>
    <w:p>
      <w:pPr>
        <w:pStyle w:val="BookText"/>
      </w:pPr>
      <w:r>
        <w:rPr>
          <w:rFonts w:ascii="Amiri" w:hAnsi="Amiri" w:eastAsia="Amiri" w:cs="Amiri"/>
          <w:lang w:bidi="ar-SA"/>
          <w:color w:val="111111"/>
          <w:sz w:val="28"/>
          <w:szCs w:val="28"/>
          <w:rtl/>
        </w:rPr>
        <w:t xml:space="preserve">6 .كلمات ذي النورين عثمان بن</w:t>
      </w:r>
    </w:p>
    <w:p>
      <w:pPr>
        <w:pStyle w:val="BookText"/>
      </w:pPr>
      <w:r>
        <w:rPr>
          <w:rFonts w:ascii="IRNazanin" w:hAnsi="IRNazanin" w:eastAsia="IRNazanin" w:cs="IRNazanin"/>
          <w:lang w:bidi="fa-IR"/>
          <w:color w:val="111111"/>
          <w:sz w:val="28"/>
          <w:szCs w:val="28"/>
          <w:rtl/>
        </w:rPr>
        <w:t xml:space="preserve">عفان، ج13، ص 365.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مطلوب كل طالب - ترجمه صد</w:t>
      </w:r>
    </w:p>
    <w:p>
      <w:pPr>
        <w:pStyle w:val="BookText"/>
      </w:pPr>
      <w:r>
        <w:rPr>
          <w:rFonts w:ascii="IRNazanin" w:hAnsi="IRNazanin" w:eastAsia="IRNazanin" w:cs="IRNazanin"/>
          <w:lang w:bidi="fa-IR"/>
          <w:color w:val="111111"/>
          <w:sz w:val="28"/>
          <w:szCs w:val="28"/>
          <w:rtl/>
        </w:rPr>
        <w:t xml:space="preserve">کلمه = شرح صد کلمه، ج 14،</w:t>
      </w:r>
    </w:p>
    <w:p>
      <w:pPr>
        <w:pStyle w:val="BookText"/>
      </w:pPr>
      <w:r>
        <w:rPr>
          <w:rFonts w:ascii="IRNazanin" w:hAnsi="IRNazanin" w:eastAsia="IRNazanin" w:cs="IRNazanin"/>
          <w:lang w:bidi="fa-IR"/>
          <w:color w:val="111111"/>
          <w:sz w:val="28"/>
          <w:szCs w:val="28"/>
          <w:rtl/>
        </w:rPr>
        <w:t xml:space="preserve">ص 803.</w:t>
      </w:r>
    </w:p>
    <w:p>
      <w:pPr>
        <w:pStyle w:val="BookText"/>
      </w:pPr>
      <w:r>
        <w:rPr>
          <w:rFonts w:ascii="Amiri" w:hAnsi="Amiri" w:eastAsia="Amiri" w:cs="Amiri"/>
          <w:lang w:bidi="ar-SA"/>
          <w:color w:val="111111"/>
          <w:sz w:val="28"/>
          <w:szCs w:val="28"/>
          <w:rtl/>
        </w:rPr>
        <w:t xml:space="preserve">رشيدي ، احمد بن عبد الرزاق- مغربي</w:t>
      </w:r>
    </w:p>
    <w:p>
      <w:pPr>
        <w:pStyle w:val="BookText"/>
      </w:pPr>
      <w:r>
        <w:rPr>
          <w:rFonts w:ascii="Amiri" w:hAnsi="Amiri" w:eastAsia="Amiri" w:cs="Amiri"/>
          <w:lang w:bidi="ar-SA"/>
          <w:color w:val="111111"/>
          <w:sz w:val="28"/>
          <w:szCs w:val="28"/>
          <w:rtl/>
        </w:rPr>
        <w:t xml:space="preserve">رشيدي ، احمد بن عبدالرزاق</w:t>
      </w:r>
    </w:p>
    <w:p>
      <w:pPr>
        <w:pStyle w:val="Heading2"/>
      </w:pPr>
      <w:bookmarkStart w:id="4511" w:name="_Toc3613"/>
      <w:r>
        <w:t>رشيدي حفناوي، ابراهيم</w:t>
      </w:r>
      <w:bookmarkEnd w:id="4511"/>
    </w:p>
    <w:p>
      <w:pPr>
        <w:pStyle w:val="BookText"/>
      </w:pPr>
      <w:r>
        <w:rPr>
          <w:rFonts w:ascii="Amiri" w:hAnsi="Amiri" w:eastAsia="Amiri" w:cs="Amiri"/>
          <w:lang w:bidi="ar-SA"/>
          <w:color w:val="111111"/>
          <w:sz w:val="28"/>
          <w:szCs w:val="28"/>
          <w:rtl/>
        </w:rPr>
        <w:t xml:space="preserve">حاشية شرح محمّد الامير الكبير المالكي</w:t>
      </w:r>
    </w:p>
    <w:p>
      <w:pPr>
        <w:pStyle w:val="BookText"/>
      </w:pPr>
      <w:r>
        <w:rPr>
          <w:rFonts w:ascii="Amiri" w:hAnsi="Amiri" w:eastAsia="Amiri" w:cs="Amiri"/>
          <w:lang w:bidi="ar-SA"/>
          <w:color w:val="111111"/>
          <w:sz w:val="28"/>
          <w:szCs w:val="28"/>
          <w:rtl/>
        </w:rPr>
        <w:t xml:space="preserve">على منظومة على السقاط المغربي المالكي في علم التوحيد، ج 6، ص 167.</w:t>
      </w:r>
    </w:p>
    <w:p>
      <w:pPr>
        <w:pStyle w:val="BookText"/>
      </w:pPr>
      <w:r>
        <w:rPr>
          <w:rFonts w:ascii="IRNazanin" w:hAnsi="IRNazanin" w:eastAsia="IRNazanin" w:cs="IRNazanin"/>
          <w:lang w:bidi="fa-IR"/>
          <w:color w:val="111111"/>
          <w:sz w:val="28"/>
          <w:szCs w:val="28"/>
          <w:rtl/>
        </w:rPr>
        <w:t xml:space="preserve">رشيدي حنفي ، محمّد بن اسماعيل (بدرالدین) -رشید ، محمّد بن اسماعيل</w:t>
      </w:r>
    </w:p>
    <w:p>
      <w:pPr>
        <w:pStyle w:val="Heading2"/>
      </w:pPr>
      <w:bookmarkStart w:id="4512" w:name="_Toc3614"/>
      <w:r>
        <w:t>رشيدي ، عبدالرحمن بن محمّد - 803</w:t>
      </w:r>
      <w:bookmarkEnd w:id="4512"/>
    </w:p>
    <w:p>
      <w:pPr>
        <w:pStyle w:val="BookText"/>
      </w:pPr>
      <w:r>
        <w:rPr>
          <w:rFonts w:ascii="Amiri" w:hAnsi="Amiri" w:eastAsia="Amiri" w:cs="Amiri"/>
          <w:lang w:bidi="ar-SA"/>
          <w:color w:val="111111"/>
          <w:sz w:val="28"/>
          <w:szCs w:val="28"/>
          <w:rtl/>
        </w:rPr>
        <w:t xml:space="preserve">شرح الفرائض الاشنهية، ج9، ص 775.</w:t>
      </w:r>
    </w:p>
    <w:p>
      <w:pPr>
        <w:pStyle w:val="Heading2"/>
      </w:pPr>
      <w:bookmarkStart w:id="4513" w:name="_Toc3615"/>
      <w:r>
        <w:t>رشيدي ، عبدالرشيد بن عبدالغفور 1077ه-</w:t>
      </w:r>
      <w:bookmarkEnd w:id="4513"/>
    </w:p>
    <w:p>
      <w:pPr>
        <w:pStyle w:val="BookText"/>
      </w:pPr>
      <w:r>
        <w:rPr>
          <w:rFonts w:ascii="IRNazanin" w:hAnsi="IRNazanin" w:eastAsia="IRNazanin" w:cs="IRNazanin"/>
          <w:lang w:bidi="fa-IR"/>
          <w:color w:val="111111"/>
          <w:sz w:val="28"/>
          <w:szCs w:val="28"/>
          <w:rtl/>
        </w:rPr>
        <w:t xml:space="preserve">فرهنگ رشيدي - منتخب اللغات</w:t>
      </w:r>
    </w:p>
    <w:p>
      <w:pPr>
        <w:pStyle w:val="BookText"/>
      </w:pPr>
      <w:r>
        <w:rPr>
          <w:rFonts w:ascii="IRNazanin" w:hAnsi="IRNazanin" w:eastAsia="IRNazanin" w:cs="IRNazanin"/>
          <w:lang w:bidi="fa-IR"/>
          <w:color w:val="111111"/>
          <w:sz w:val="28"/>
          <w:szCs w:val="28"/>
          <w:rtl/>
        </w:rPr>
        <w:t xml:space="preserve">ج 11، ص 810.</w:t>
      </w:r>
    </w:p>
    <w:p>
      <w:pPr>
        <w:pStyle w:val="BookText"/>
      </w:pPr>
      <w:r>
        <w:rPr>
          <w:rFonts w:ascii="Amiri" w:hAnsi="Amiri" w:eastAsia="Amiri" w:cs="Amiri"/>
          <w:lang w:bidi="ar-SA"/>
          <w:color w:val="111111"/>
          <w:sz w:val="28"/>
          <w:szCs w:val="28"/>
          <w:rtl/>
        </w:rPr>
        <w:t xml:space="preserve">رشيدي مصري ، عبد الرحمن بن محمّد -رشيدي ، عبدالرحمن بن محمّد</w:t>
      </w:r>
    </w:p>
    <w:p>
      <w:pPr>
        <w:pStyle w:val="Heading2"/>
      </w:pPr>
      <w:bookmarkStart w:id="4514" w:name="_Toc3616"/>
      <w:r>
        <w:t>رشيدي ، محمّد بشار</w:t>
      </w:r>
      <w:bookmarkEnd w:id="4514"/>
    </w:p>
    <w:p>
      <w:pPr>
        <w:pStyle w:val="BookText"/>
      </w:pPr>
      <w:r>
        <w:rPr>
          <w:rFonts w:ascii="Amiri" w:hAnsi="Amiri" w:eastAsia="Amiri" w:cs="Amiri"/>
          <w:lang w:bidi="ar-SA"/>
          <w:color w:val="111111"/>
          <w:sz w:val="28"/>
          <w:szCs w:val="28"/>
          <w:rtl/>
        </w:rPr>
        <w:t xml:space="preserve">أسهل المسالك في نظم ترغيب المريد</w:t>
      </w:r>
    </w:p>
    <w:p>
      <w:pPr>
        <w:pStyle w:val="BookText"/>
      </w:pPr>
      <w:r>
        <w:rPr>
          <w:rFonts w:ascii="Amiri" w:hAnsi="Amiri" w:eastAsia="Amiri" w:cs="Amiri"/>
          <w:lang w:bidi="ar-SA"/>
          <w:color w:val="111111"/>
          <w:sz w:val="28"/>
          <w:szCs w:val="28"/>
          <w:rtl/>
        </w:rPr>
        <w:t xml:space="preserve">السالك، ج 2، ص 246.</w:t>
      </w:r>
    </w:p>
    <w:p>
      <w:pPr>
        <w:pStyle w:val="BookText"/>
      </w:pPr>
      <w:r>
        <w:rPr>
          <w:rFonts w:ascii="Amiri" w:hAnsi="Amiri" w:eastAsia="Amiri" w:cs="Amiri"/>
          <w:lang w:bidi="ar-SA"/>
          <w:color w:val="111111"/>
          <w:sz w:val="28"/>
          <w:szCs w:val="28"/>
          <w:rtl/>
        </w:rPr>
        <w:t xml:space="preserve">رشيدي ، محمّد بن اسماعيل- رشيد ،</w:t>
      </w:r>
    </w:p>
    <w:p>
      <w:pPr>
        <w:pStyle w:val="BookText"/>
      </w:pPr>
      <w:r>
        <w:rPr>
          <w:rFonts w:ascii="Amiri" w:hAnsi="Amiri" w:eastAsia="Amiri" w:cs="Amiri"/>
          <w:lang w:bidi="ar-SA"/>
          <w:color w:val="111111"/>
          <w:sz w:val="28"/>
          <w:szCs w:val="28"/>
          <w:rtl/>
        </w:rPr>
        <w:t xml:space="preserve">محمّد بن اسماعيل</w:t>
      </w:r>
    </w:p>
    <w:p>
      <w:pPr>
        <w:pStyle w:val="BookText"/>
      </w:pPr>
      <w:r>
        <w:rPr>
          <w:rFonts w:ascii="Amiri" w:hAnsi="Amiri" w:eastAsia="Amiri" w:cs="Amiri"/>
          <w:lang w:bidi="ar-SA"/>
          <w:color w:val="111111"/>
          <w:sz w:val="28"/>
          <w:szCs w:val="28"/>
          <w:rtl/>
        </w:rPr>
        <w:t xml:space="preserve">رشيدي ، محمّد بن شرف الدين- رشيدي</w:t>
      </w:r>
    </w:p>
    <w:p>
      <w:pPr>
        <w:pStyle w:val="BookText"/>
      </w:pPr>
      <w:r>
        <w:rPr>
          <w:rFonts w:ascii="Amiri" w:hAnsi="Amiri" w:eastAsia="Amiri" w:cs="Amiri"/>
          <w:lang w:bidi="ar-SA"/>
          <w:color w:val="111111"/>
          <w:sz w:val="28"/>
          <w:szCs w:val="28"/>
          <w:rtl/>
        </w:rPr>
        <w:t xml:space="preserve">محمد بن عيسى</w:t>
      </w:r>
    </w:p>
    <w:p>
      <w:pPr>
        <w:pStyle w:val="Heading2"/>
      </w:pPr>
      <w:bookmarkStart w:id="4515" w:name="_Toc3617"/>
      <w:r>
        <w:t>رشيدي ، محمّد بن عيسى قرن 10 ه-</w:t>
      </w:r>
      <w:bookmarkEnd w:id="4515"/>
    </w:p>
    <w:p>
      <w:pPr>
        <w:pStyle w:val="BookText"/>
      </w:pPr>
      <w:r>
        <w:rPr>
          <w:rFonts w:ascii="Amiri" w:hAnsi="Amiri" w:eastAsia="Amiri" w:cs="Amiri"/>
          <w:lang w:bidi="ar-SA"/>
          <w:color w:val="111111"/>
          <w:sz w:val="28"/>
          <w:szCs w:val="28"/>
          <w:rtl/>
        </w:rPr>
        <w:t xml:space="preserve">1 .ارجوزة في التصوف و الاصول و</w:t>
      </w:r>
    </w:p>
    <w:p>
      <w:pPr>
        <w:pStyle w:val="BookText"/>
      </w:pPr>
      <w:r>
        <w:rPr>
          <w:rFonts w:ascii="IRNazanin" w:hAnsi="IRNazanin" w:eastAsia="IRNazanin" w:cs="IRNazanin"/>
          <w:lang w:bidi="fa-IR"/>
          <w:color w:val="111111"/>
          <w:sz w:val="28"/>
          <w:szCs w:val="28"/>
          <w:rtl/>
        </w:rPr>
        <w:t xml:space="preserve">النحو، ج 1، ص 769.</w:t>
      </w:r>
    </w:p>
    <w:p>
      <w:pPr>
        <w:pStyle w:val="BookText"/>
      </w:pPr>
      <w:r>
        <w:rPr>
          <w:rFonts w:ascii="Amiri" w:hAnsi="Amiri" w:eastAsia="Amiri" w:cs="Amiri"/>
          <w:lang w:bidi="ar-SA"/>
          <w:color w:val="111111"/>
          <w:sz w:val="28"/>
          <w:szCs w:val="28"/>
          <w:rtl/>
        </w:rPr>
        <w:t xml:space="preserve">2 .تهنئة السلطان سليمان القانوني</w:t>
      </w:r>
    </w:p>
    <w:p>
      <w:pPr>
        <w:pStyle w:val="BookText"/>
      </w:pPr>
      <w:r>
        <w:rPr>
          <w:rFonts w:ascii="IRNazanin" w:hAnsi="IRNazanin" w:eastAsia="IRNazanin" w:cs="IRNazanin"/>
          <w:lang w:bidi="fa-IR"/>
          <w:color w:val="111111"/>
          <w:sz w:val="28"/>
          <w:szCs w:val="28"/>
          <w:rtl/>
        </w:rPr>
        <w:t xml:space="preserve">بالفتح، ج 5، ص 137.</w:t>
      </w:r>
    </w:p>
    <w:p>
      <w:pPr>
        <w:pStyle w:val="BookText"/>
      </w:pPr>
      <w:r>
        <w:rPr>
          <w:rFonts w:ascii="Amiri" w:hAnsi="Amiri" w:eastAsia="Amiri" w:cs="Amiri"/>
          <w:lang w:bidi="ar-SA"/>
          <w:color w:val="111111"/>
          <w:sz w:val="28"/>
          <w:szCs w:val="28"/>
          <w:rtl/>
        </w:rPr>
        <w:t xml:space="preserve">3 .عنوان الفضل و طراز ملك العدل</w:t>
      </w:r>
    </w:p>
    <w:p>
      <w:pPr>
        <w:pStyle w:val="BookText"/>
      </w:pPr>
      <w:r>
        <w:rPr>
          <w:rFonts w:ascii="IRNazanin" w:hAnsi="IRNazanin" w:eastAsia="IRNazanin" w:cs="IRNazanin"/>
          <w:lang w:bidi="fa-IR"/>
          <w:color w:val="111111"/>
          <w:sz w:val="28"/>
          <w:szCs w:val="28"/>
          <w:rtl/>
        </w:rPr>
        <w:t xml:space="preserve">ج 11، ص338.</w:t>
      </w:r>
    </w:p>
    <w:p>
      <w:pPr>
        <w:pStyle w:val="Heading2"/>
      </w:pPr>
      <w:bookmarkStart w:id="4516" w:name="_Toc3618"/>
      <w:r>
        <w:t>رشيدي ، مرتضى بن احمد - 1345 ه-</w:t>
      </w:r>
      <w:bookmarkEnd w:id="4516"/>
    </w:p>
    <w:p>
      <w:pPr>
        <w:pStyle w:val="BookText"/>
      </w:pPr>
      <w:r>
        <w:rPr>
          <w:rFonts w:ascii="Amiri" w:hAnsi="Amiri" w:eastAsia="Amiri" w:cs="Amiri"/>
          <w:lang w:bidi="ar-SA"/>
          <w:color w:val="111111"/>
          <w:sz w:val="28"/>
          <w:szCs w:val="28"/>
          <w:rtl/>
        </w:rPr>
        <w:t xml:space="preserve">حقيقة النوم، ج6 ، ص 713.</w:t>
      </w:r>
    </w:p>
    <w:p>
      <w:pPr>
        <w:pStyle w:val="BookText"/>
      </w:pPr>
      <w:r>
        <w:rPr>
          <w:rFonts w:ascii="Amiri" w:hAnsi="Amiri" w:eastAsia="Amiri" w:cs="Amiri"/>
          <w:lang w:bidi="ar-SA"/>
          <w:color w:val="111111"/>
          <w:sz w:val="28"/>
          <w:szCs w:val="28"/>
          <w:rtl/>
        </w:rPr>
        <w:t xml:space="preserve">رشيدي ، مصطفى- صبري رشيدي ،</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رشيدي ، يوسف بن عبد القادر- رشيدي ،</w:t>
      </w:r>
    </w:p>
    <w:p>
      <w:pPr>
        <w:pStyle w:val="BookText"/>
      </w:pPr>
      <w:r>
        <w:rPr>
          <w:rFonts w:ascii="IRNazanin" w:hAnsi="IRNazanin" w:eastAsia="IRNazanin" w:cs="IRNazanin"/>
          <w:lang w:bidi="fa-IR"/>
          <w:color w:val="111111"/>
          <w:sz w:val="28"/>
          <w:szCs w:val="28"/>
          <w:rtl/>
        </w:rPr>
        <w:t xml:space="preserve">یونس بن یونس</w:t>
      </w:r>
    </w:p>
    <w:p>
      <w:pPr>
        <w:pStyle w:val="BookText"/>
      </w:pPr>
      <w:r>
        <w:rPr>
          <w:rFonts w:ascii="Amiri" w:hAnsi="Amiri" w:eastAsia="Amiri" w:cs="Amiri"/>
          <w:lang w:bidi="ar-SA"/>
          <w:color w:val="111111"/>
          <w:sz w:val="28"/>
          <w:szCs w:val="28"/>
          <w:rtl/>
        </w:rPr>
        <w:t xml:space="preserve">رشيدي ، يونس بن عبد القادر -رشيدي ،</w:t>
      </w:r>
    </w:p>
    <w:p>
      <w:pPr>
        <w:pStyle w:val="BookText"/>
      </w:pPr>
      <w:r>
        <w:rPr>
          <w:rFonts w:ascii="IRNazanin" w:hAnsi="IRNazanin" w:eastAsia="IRNazanin" w:cs="IRNazanin"/>
          <w:lang w:bidi="fa-IR"/>
          <w:color w:val="111111"/>
          <w:sz w:val="28"/>
          <w:szCs w:val="28"/>
          <w:rtl/>
        </w:rPr>
        <w:t xml:space="preserve">یونس بن یونس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7" w:name="pg7742_70428"/>
    <w:bookmarkEnd w:id="517"/>
    <w:p>
      <w:pPr>
        <w:pStyle w:val="Heading2"/>
      </w:pPr>
      <w:bookmarkStart w:id="4517" w:name="_Toc3619"/>
      <w:r>
        <w:t>رشيدي ، يونس بن یونس قرن 11 ه-</w:t>
      </w:r>
      <w:bookmarkEnd w:id="4517"/>
    </w:p>
    <w:p>
      <w:pPr>
        <w:pStyle w:val="BookText"/>
      </w:pPr>
      <w:r>
        <w:rPr>
          <w:rFonts w:ascii="Amiri" w:hAnsi="Amiri" w:eastAsia="Amiri" w:cs="Amiri"/>
          <w:lang w:bidi="ar-SA"/>
          <w:color w:val="111111"/>
          <w:sz w:val="28"/>
          <w:szCs w:val="28"/>
          <w:rtl/>
        </w:rPr>
        <w:t xml:space="preserve">غاية السؤول في شرح العشرة فصول</w:t>
      </w:r>
    </w:p>
    <w:p>
      <w:pPr>
        <w:pStyle w:val="BookText"/>
      </w:pPr>
      <w:r>
        <w:rPr>
          <w:rFonts w:ascii="IRNazanin" w:hAnsi="IRNazanin" w:eastAsia="IRNazanin" w:cs="IRNazanin"/>
          <w:lang w:bidi="fa-IR"/>
          <w:color w:val="111111"/>
          <w:sz w:val="28"/>
          <w:szCs w:val="28"/>
          <w:rtl/>
        </w:rPr>
        <w:t xml:space="preserve">ج 11، ص 439.</w:t>
      </w:r>
    </w:p>
    <w:p>
      <w:pPr>
        <w:pStyle w:val="Heading2"/>
      </w:pPr>
      <w:bookmarkStart w:id="4518" w:name="_Toc3620"/>
      <w:r>
        <w:t>رصافي ، معروف بن عبد الغني، 1292 .</w:t>
      </w:r>
      <w:bookmarkEnd w:id="4518"/>
    </w:p>
    <w:p>
      <w:pPr>
        <w:pStyle w:val="BookText"/>
      </w:pPr>
      <w:r>
        <w:rPr>
          <w:rFonts w:ascii="IRNazanin" w:hAnsi="IRNazanin" w:eastAsia="IRNazanin" w:cs="IRNazanin"/>
          <w:lang w:bidi="fa-IR"/>
          <w:color w:val="111111"/>
          <w:sz w:val="28"/>
          <w:szCs w:val="28"/>
          <w:rtl/>
        </w:rPr>
        <w:t xml:space="preserve">1364ه-</w:t>
      </w:r>
    </w:p>
    <w:p>
      <w:pPr>
        <w:pStyle w:val="BookText"/>
      </w:pPr>
      <w:r>
        <w:rPr>
          <w:rFonts w:ascii="Amiri" w:hAnsi="Amiri" w:eastAsia="Amiri" w:cs="Amiri"/>
          <w:lang w:bidi="ar-SA"/>
          <w:color w:val="111111"/>
          <w:sz w:val="28"/>
          <w:szCs w:val="28"/>
          <w:rtl/>
        </w:rPr>
        <w:t xml:space="preserve">1 .آراء ابي العلاء (المعري)، ج1،</w:t>
      </w:r>
    </w:p>
    <w:p>
      <w:pPr>
        <w:pStyle w:val="BookText"/>
      </w:pPr>
      <w:r>
        <w:rPr>
          <w:rFonts w:ascii="IRNazanin" w:hAnsi="IRNazanin" w:eastAsia="IRNazanin" w:cs="IRNazanin"/>
          <w:lang w:bidi="fa-IR"/>
          <w:color w:val="111111"/>
          <w:sz w:val="28"/>
          <w:szCs w:val="28"/>
          <w:rtl/>
        </w:rPr>
        <w:t xml:space="preserve">ص 65 .</w:t>
      </w:r>
    </w:p>
    <w:p>
      <w:pPr>
        <w:pStyle w:val="BookText"/>
      </w:pPr>
      <w:r>
        <w:rPr>
          <w:rFonts w:ascii="Amiri" w:hAnsi="Amiri" w:eastAsia="Amiri" w:cs="Amiri"/>
          <w:lang w:bidi="ar-SA"/>
          <w:color w:val="111111"/>
          <w:sz w:val="28"/>
          <w:szCs w:val="28"/>
          <w:rtl/>
        </w:rPr>
        <w:t xml:space="preserve">2 .الادب الرفيع في ميزان الشعر و</w:t>
      </w:r>
    </w:p>
    <w:p>
      <w:pPr>
        <w:pStyle w:val="BookText"/>
      </w:pPr>
      <w:r>
        <w:rPr>
          <w:rFonts w:ascii="Amiri" w:hAnsi="Amiri" w:eastAsia="Amiri" w:cs="Amiri"/>
          <w:lang w:bidi="ar-SA"/>
          <w:color w:val="111111"/>
          <w:sz w:val="28"/>
          <w:szCs w:val="28"/>
          <w:rtl/>
        </w:rPr>
        <w:t xml:space="preserve">قوافيه، ج 1، ص587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ألزم الإلزام من لزوم ما يلزم، ج2،</w:t>
      </w:r>
    </w:p>
    <w:p>
      <w:pPr>
        <w:pStyle w:val="BookText"/>
      </w:pPr>
      <w:r>
        <w:rPr>
          <w:rFonts w:ascii="IRNazanin" w:hAnsi="IRNazanin" w:eastAsia="IRNazanin" w:cs="IRNazanin"/>
          <w:lang w:bidi="fa-IR"/>
          <w:color w:val="111111"/>
          <w:sz w:val="28"/>
          <w:szCs w:val="28"/>
          <w:rtl/>
        </w:rPr>
        <w:t xml:space="preserve">ص 669 .</w:t>
      </w:r>
    </w:p>
    <w:p>
      <w:pPr>
        <w:pStyle w:val="BookText"/>
      </w:pPr>
      <w:r>
        <w:rPr>
          <w:rFonts w:ascii="Amiri" w:hAnsi="Amiri" w:eastAsia="Amiri" w:cs="Amiri"/>
          <w:lang w:bidi="ar-SA"/>
          <w:color w:val="111111"/>
          <w:sz w:val="28"/>
          <w:szCs w:val="28"/>
          <w:rtl/>
        </w:rPr>
        <w:t xml:space="preserve">4 .حكومتنا الانتدابية، ج6، ص 770.</w:t>
      </w:r>
    </w:p>
    <w:p>
      <w:pPr>
        <w:pStyle w:val="BookText"/>
      </w:pPr>
      <w:r>
        <w:rPr>
          <w:rFonts w:ascii="Amiri" w:hAnsi="Amiri" w:eastAsia="Amiri" w:cs="Amiri"/>
          <w:lang w:bidi="ar-SA"/>
          <w:color w:val="111111"/>
          <w:sz w:val="28"/>
          <w:szCs w:val="28"/>
          <w:rtl/>
        </w:rPr>
        <w:t xml:space="preserve">5 .الشخصية المحمّدية = حل اللغز</w:t>
      </w:r>
    </w:p>
    <w:p>
      <w:pPr>
        <w:pStyle w:val="BookText"/>
      </w:pPr>
      <w:r>
        <w:rPr>
          <w:rFonts w:ascii="IRNazanin" w:hAnsi="IRNazanin" w:eastAsia="IRNazanin" w:cs="IRNazanin"/>
          <w:lang w:bidi="fa-IR"/>
          <w:color w:val="111111"/>
          <w:sz w:val="28"/>
          <w:szCs w:val="28"/>
          <w:rtl/>
        </w:rPr>
        <w:t xml:space="preserve">المقدس، ج 9، ص 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قصائد المعروف الرصافي، ج 12،</w:t>
      </w:r>
    </w:p>
    <w:p>
      <w:pPr>
        <w:pStyle w:val="BookText"/>
      </w:pPr>
      <w:r>
        <w:rPr>
          <w:rFonts w:ascii="IRNazanin" w:hAnsi="IRNazanin" w:eastAsia="IRNazanin" w:cs="IRNazanin"/>
          <w:lang w:bidi="fa-IR"/>
          <w:color w:val="111111"/>
          <w:sz w:val="28"/>
          <w:szCs w:val="28"/>
          <w:rtl/>
        </w:rPr>
        <w:t xml:space="preserve">ص 597</w:t>
      </w:r>
    </w:p>
    <w:p>
      <w:pPr>
        <w:pStyle w:val="BookText"/>
      </w:pPr>
      <w:r>
        <w:rPr>
          <w:rFonts w:ascii="Amiri" w:hAnsi="Amiri" w:eastAsia="Amiri" w:cs="Amiri"/>
          <w:lang w:bidi="ar-SA"/>
          <w:color w:val="111111"/>
          <w:sz w:val="28"/>
          <w:szCs w:val="28"/>
          <w:rtl/>
        </w:rPr>
        <w:t xml:space="preserve">7 .القصيدة الدالية، ج 12، ص 668 .</w:t>
      </w:r>
    </w:p>
    <w:p>
      <w:pPr>
        <w:pStyle w:val="BookText"/>
      </w:pPr>
      <w:r>
        <w:rPr>
          <w:rFonts w:ascii="Amiri" w:hAnsi="Amiri" w:eastAsia="Amiri" w:cs="Amiri"/>
          <w:lang w:bidi="ar-SA"/>
          <w:color w:val="111111"/>
          <w:sz w:val="28"/>
          <w:szCs w:val="28"/>
          <w:rtl/>
        </w:rPr>
        <w:t xml:space="preserve">8 .قصيدة في مدح امين الريحاني، ج 12،</w:t>
      </w:r>
    </w:p>
    <w:p>
      <w:pPr>
        <w:pStyle w:val="BookText"/>
      </w:pPr>
      <w:r>
        <w:rPr>
          <w:rFonts w:ascii="IRNazanin" w:hAnsi="IRNazanin" w:eastAsia="IRNazanin" w:cs="IRNazanin"/>
          <w:lang w:bidi="fa-IR"/>
          <w:color w:val="111111"/>
          <w:sz w:val="28"/>
          <w:szCs w:val="28"/>
          <w:rtl/>
        </w:rPr>
        <w:t xml:space="preserve">ص 696 .</w:t>
      </w:r>
    </w:p>
    <w:p>
      <w:pPr>
        <w:pStyle w:val="BookText"/>
      </w:pPr>
      <w:r>
        <w:rPr>
          <w:rFonts w:ascii="Amiri" w:hAnsi="Amiri" w:eastAsia="Amiri" w:cs="Amiri"/>
          <w:lang w:bidi="ar-SA"/>
          <w:color w:val="111111"/>
          <w:sz w:val="28"/>
          <w:szCs w:val="28"/>
          <w:rtl/>
        </w:rPr>
        <w:t xml:space="preserve">9 .النحو (منظومة في)، ج 16، ص 174.</w:t>
      </w:r>
    </w:p>
    <w:p>
      <w:pPr>
        <w:pStyle w:val="BookText"/>
      </w:pPr>
      <w:r>
        <w:rPr>
          <w:rFonts w:ascii="Amiri" w:hAnsi="Amiri" w:eastAsia="Amiri" w:cs="Amiri"/>
          <w:lang w:bidi="ar-SA"/>
          <w:color w:val="111111"/>
          <w:sz w:val="28"/>
          <w:szCs w:val="28"/>
          <w:rtl/>
        </w:rPr>
        <w:t xml:space="preserve">رصدي طوسي ، محمّد بن حسن- طوسي</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رضاء الدين مصطفى بن علي</w:t>
      </w:r>
    </w:p>
    <w:p>
      <w:pPr>
        <w:pStyle w:val="BookText"/>
      </w:pPr>
      <w:r>
        <w:rPr>
          <w:rFonts w:ascii="Amiri" w:hAnsi="Amiri" w:eastAsia="Amiri" w:cs="Amiri"/>
          <w:lang w:bidi="ar-SA"/>
          <w:color w:val="111111"/>
          <w:sz w:val="28"/>
          <w:szCs w:val="28"/>
          <w:rtl/>
        </w:rPr>
        <w:t xml:space="preserve">قسطنطيني - نجار زاده ، مصطفى بن علي</w:t>
      </w:r>
    </w:p>
    <w:p>
      <w:pPr>
        <w:pStyle w:val="BookText"/>
      </w:pPr>
      <w:r>
        <w:rPr>
          <w:rFonts w:ascii="Amiri" w:hAnsi="Amiri" w:eastAsia="Amiri" w:cs="Amiri"/>
          <w:lang w:bidi="ar-SA"/>
          <w:color w:val="111111"/>
          <w:sz w:val="28"/>
          <w:szCs w:val="28"/>
          <w:rtl/>
        </w:rPr>
        <w:t xml:space="preserve">رضائي آماسيه وي ، علي بن محمّد- رضائي رومي ، علي بن محمّد</w:t>
      </w:r>
    </w:p>
    <w:p>
      <w:pPr>
        <w:pStyle w:val="Heading2"/>
      </w:pPr>
      <w:bookmarkStart w:id="4519" w:name="_Toc3621"/>
      <w:r>
        <w:t>رضائي رومي ، علي بن محمّد - 1039 ه-</w:t>
      </w:r>
      <w:bookmarkEnd w:id="45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نقد المسائل في أجوبة السائل،</w:t>
      </w:r>
    </w:p>
    <w:p>
      <w:pPr>
        <w:pStyle w:val="BookText"/>
      </w:pPr>
      <w:r>
        <w:rPr>
          <w:rFonts w:ascii="IRNazanin" w:hAnsi="IRNazanin" w:eastAsia="IRNazanin" w:cs="IRNazanin"/>
          <w:lang w:bidi="fa-IR"/>
          <w:color w:val="111111"/>
          <w:sz w:val="28"/>
          <w:szCs w:val="28"/>
          <w:rtl/>
        </w:rPr>
        <w:t xml:space="preserve">ج 16، ص 419.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يعود الشباب = عود الشباب، ج 16،</w:t>
      </w:r>
    </w:p>
    <w:p>
      <w:pPr>
        <w:pStyle w:val="BookText"/>
      </w:pPr>
      <w:r>
        <w:rPr>
          <w:rFonts w:ascii="IRNazanin" w:hAnsi="IRNazanin" w:eastAsia="IRNazanin" w:cs="IRNazanin"/>
          <w:lang w:bidi="fa-IR"/>
          <w:color w:val="111111"/>
          <w:sz w:val="28"/>
          <w:szCs w:val="28"/>
          <w:rtl/>
        </w:rPr>
        <w:t xml:space="preserve">ص 898</w:t>
      </w:r>
    </w:p>
    <w:p>
      <w:pPr>
        <w:pStyle w:val="BookText"/>
      </w:pPr>
      <w:r>
        <w:rPr>
          <w:rFonts w:ascii="Amiri" w:hAnsi="Amiri" w:eastAsia="Amiri" w:cs="Amiri"/>
          <w:lang w:bidi="ar-SA"/>
          <w:color w:val="111111"/>
          <w:sz w:val="28"/>
          <w:szCs w:val="28"/>
          <w:rtl/>
        </w:rPr>
        <w:t xml:space="preserve">رضائي زاده ، علي بن محمّد- رضائي رومي</w:t>
      </w:r>
    </w:p>
    <w:p>
      <w:pPr>
        <w:pStyle w:val="BookText"/>
      </w:pPr>
      <w:r>
        <w:rPr>
          <w:rFonts w:ascii="Amiri" w:hAnsi="Amiri" w:eastAsia="Amiri" w:cs="Amiri"/>
          <w:lang w:bidi="ar-SA"/>
          <w:color w:val="111111"/>
          <w:sz w:val="28"/>
          <w:szCs w:val="28"/>
          <w:rtl/>
        </w:rPr>
        <w:t xml:space="preserve">، علي بن محمّد</w:t>
      </w:r>
    </w:p>
    <w:p>
      <w:pPr>
        <w:pStyle w:val="BookText"/>
      </w:pPr>
      <w:r>
        <w:rPr>
          <w:rFonts w:ascii="Amiri" w:hAnsi="Amiri" w:eastAsia="Amiri" w:cs="Amiri"/>
          <w:lang w:bidi="ar-SA"/>
          <w:color w:val="111111"/>
          <w:sz w:val="28"/>
          <w:szCs w:val="28"/>
          <w:rtl/>
        </w:rPr>
        <w:t xml:space="preserve">رضائي ، علي بن محمّد -رضائي رومي ، علي</w:t>
      </w:r>
    </w:p>
    <w:p>
      <w:pPr>
        <w:pStyle w:val="BookText"/>
      </w:pPr>
      <w:r>
        <w:rPr>
          <w:rFonts w:ascii="Amiri" w:hAnsi="Amiri" w:eastAsia="Amiri" w:cs="Amiri"/>
          <w:lang w:bidi="ar-SA"/>
          <w:color w:val="111111"/>
          <w:sz w:val="28"/>
          <w:szCs w:val="28"/>
          <w:rtl/>
        </w:rPr>
        <w:t xml:space="preserve">بن محمّد</w:t>
      </w:r>
    </w:p>
    <w:p>
      <w:pPr>
        <w:pStyle w:val="Heading2"/>
      </w:pPr>
      <w:bookmarkStart w:id="4520" w:name="_Toc3622"/>
      <w:r>
        <w:t>رضائي ، محمّد</w:t>
      </w:r>
      <w:bookmarkEnd w:id="4520"/>
    </w:p>
    <w:p>
      <w:pPr>
        <w:pStyle w:val="BookText"/>
      </w:pPr>
      <w:r>
        <w:rPr>
          <w:rFonts w:ascii="Amiri" w:hAnsi="Amiri" w:eastAsia="Amiri" w:cs="Amiri"/>
          <w:lang w:bidi="ar-SA"/>
          <w:color w:val="111111"/>
          <w:sz w:val="28"/>
          <w:szCs w:val="28"/>
          <w:rtl/>
        </w:rPr>
        <w:t xml:space="preserve">السبع السيار في أخبار ملوك التتار</w:t>
      </w:r>
    </w:p>
    <w:p>
      <w:pPr>
        <w:pStyle w:val="BookText"/>
      </w:pPr>
      <w:r>
        <w:rPr>
          <w:rFonts w:ascii="IRNazanin" w:hAnsi="IRNazanin" w:eastAsia="IRNazanin" w:cs="IRNazanin"/>
          <w:lang w:bidi="fa-IR"/>
          <w:color w:val="111111"/>
          <w:sz w:val="28"/>
          <w:szCs w:val="28"/>
          <w:rtl/>
        </w:rPr>
        <w:t xml:space="preserve">ج 8، ص 699 .</w:t>
      </w:r>
    </w:p>
    <w:p>
      <w:pPr>
        <w:pStyle w:val="BookText"/>
      </w:pPr>
      <w:r>
        <w:rPr>
          <w:rFonts w:ascii="IRNazanin" w:hAnsi="IRNazanin" w:eastAsia="IRNazanin" w:cs="IRNazanin"/>
          <w:lang w:bidi="fa-IR"/>
          <w:color w:val="111111"/>
          <w:sz w:val="28"/>
          <w:szCs w:val="28"/>
          <w:rtl/>
        </w:rPr>
        <w:t xml:space="preserve">رضا بن شیخ احمد نحوي- نحوي ، رضا</w:t>
      </w:r>
    </w:p>
    <w:p>
      <w:pPr>
        <w:pStyle w:val="BookText"/>
      </w:pPr>
      <w:r>
        <w:rPr>
          <w:rFonts w:ascii="IRNazanin" w:hAnsi="IRNazanin" w:eastAsia="IRNazanin" w:cs="IRNazanin"/>
          <w:lang w:bidi="fa-IR"/>
          <w:color w:val="111111"/>
          <w:sz w:val="28"/>
          <w:szCs w:val="28"/>
          <w:rtl/>
        </w:rPr>
        <w:t xml:space="preserve">بن شیخ احمد</w:t>
      </w:r>
    </w:p>
    <w:p>
      <w:pPr>
        <w:pStyle w:val="BookText"/>
      </w:pPr>
      <w:r>
        <w:rPr>
          <w:rFonts w:ascii="IRNazanin" w:hAnsi="IRNazanin" w:eastAsia="IRNazanin" w:cs="IRNazanin"/>
          <w:lang w:bidi="fa-IR"/>
          <w:color w:val="111111"/>
          <w:sz w:val="28"/>
          <w:szCs w:val="28"/>
          <w:rtl/>
        </w:rPr>
        <w:t xml:space="preserve">رضا بن محمّد امین کوثر همداني- كوثر</w:t>
      </w:r>
    </w:p>
    <w:p>
      <w:pPr>
        <w:pStyle w:val="BookText"/>
      </w:pPr>
      <w:r>
        <w:rPr>
          <w:rFonts w:ascii="IRNazanin" w:hAnsi="IRNazanin" w:eastAsia="IRNazanin" w:cs="IRNazanin"/>
          <w:lang w:bidi="fa-IR"/>
          <w:color w:val="111111"/>
          <w:sz w:val="28"/>
          <w:szCs w:val="28"/>
          <w:rtl/>
        </w:rPr>
        <w:t xml:space="preserve">همداني ، محمّد رضا بن محمّد امین</w:t>
      </w:r>
    </w:p>
    <w:p>
      <w:pPr>
        <w:pStyle w:val="BookText"/>
      </w:pPr>
      <w:r>
        <w:rPr>
          <w:rFonts w:ascii="Amiri" w:hAnsi="Amiri" w:eastAsia="Amiri" w:cs="Amiri"/>
          <w:lang w:bidi="ar-SA"/>
          <w:color w:val="111111"/>
          <w:sz w:val="28"/>
          <w:szCs w:val="28"/>
          <w:rtl/>
        </w:rPr>
        <w:t xml:space="preserve">رضا بن محمّد مهدي بحر العلوم ( بحر العلوم) ، رضا بن محمّد مهدي</w:t>
      </w:r>
    </w:p>
    <w:p>
      <w:pPr>
        <w:pStyle w:val="BookText"/>
      </w:pPr>
      <w:r>
        <w:rPr>
          <w:rFonts w:ascii="Amiri" w:hAnsi="Amiri" w:eastAsia="Amiri" w:cs="Amiri"/>
          <w:lang w:bidi="ar-SA"/>
          <w:color w:val="111111"/>
          <w:sz w:val="28"/>
          <w:szCs w:val="28"/>
          <w:rtl/>
        </w:rPr>
        <w:t xml:space="preserve">رضا بن محمّد هادي همداني- همداني ، رضا بن محمّد هادي</w:t>
      </w:r>
    </w:p>
    <w:p>
      <w:pPr>
        <w:pStyle w:val="BookText"/>
      </w:pPr>
      <w:r>
        <w:rPr>
          <w:rFonts w:ascii="Amiri" w:hAnsi="Amiri" w:eastAsia="Amiri" w:cs="Amiri"/>
          <w:lang w:bidi="ar-SA"/>
          <w:color w:val="111111"/>
          <w:sz w:val="28"/>
          <w:szCs w:val="28"/>
          <w:rtl/>
        </w:rPr>
        <w:t xml:space="preserve">رضا حولاوي -حولاوي ، رضا</w:t>
      </w:r>
    </w:p>
    <w:p>
      <w:pPr>
        <w:pStyle w:val="BookText"/>
      </w:pPr>
      <w:r>
        <w:rPr>
          <w:rFonts w:ascii="Amiri" w:hAnsi="Amiri" w:eastAsia="Amiri" w:cs="Amiri"/>
          <w:lang w:bidi="ar-SA"/>
          <w:color w:val="111111"/>
          <w:sz w:val="28"/>
          <w:szCs w:val="28"/>
          <w:rtl/>
        </w:rPr>
        <w:t xml:space="preserve">رضا زاده ، عبد الرزاق بن علي- اصفهاني حائري همداني ، عبد الرزاق بن عليرضا</w:t>
      </w:r>
    </w:p>
    <w:p>
      <w:pPr>
        <w:pStyle w:val="BookText"/>
      </w:pPr>
      <w:r>
        <w:rPr>
          <w:rFonts w:ascii="Amiri" w:hAnsi="Amiri" w:eastAsia="Amiri" w:cs="Amiri"/>
          <w:lang w:bidi="ar-SA"/>
          <w:color w:val="111111"/>
          <w:sz w:val="28"/>
          <w:szCs w:val="28"/>
          <w:rtl/>
        </w:rPr>
        <w:t xml:space="preserve">رضا طالباني كردستاني- طالباني كردستاني ،</w:t>
      </w:r>
    </w:p>
    <w:p>
      <w:pPr>
        <w:pStyle w:val="BookText"/>
      </w:pPr>
      <w:r>
        <w:rPr>
          <w:rFonts w:ascii="IRNazanin" w:hAnsi="IRNazanin" w:eastAsia="IRNazanin" w:cs="IRNazanin"/>
          <w:lang w:bidi="fa-IR"/>
          <w:color w:val="111111"/>
          <w:sz w:val="28"/>
          <w:szCs w:val="28"/>
          <w:rtl/>
        </w:rPr>
        <w:t xml:space="preserve">رضا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8" w:name="pg7742_70430"/>
    <w:bookmarkEnd w:id="518"/>
    <w:p>
      <w:pPr>
        <w:pStyle w:val="BookText"/>
      </w:pPr>
      <w:r>
        <w:rPr>
          <w:rFonts w:ascii="Amiri" w:hAnsi="Amiri" w:eastAsia="Amiri" w:cs="Amiri"/>
          <w:lang w:bidi="ar-SA"/>
          <w:color w:val="111111"/>
          <w:sz w:val="28"/>
          <w:szCs w:val="28"/>
          <w:rtl/>
        </w:rPr>
        <w:t xml:space="preserve">رضا قلي خان بن محمّد هادي</w:t>
      </w:r>
    </w:p>
    <w:p>
      <w:pPr>
        <w:pStyle w:val="BookText"/>
      </w:pPr>
      <w:r>
        <w:rPr>
          <w:rFonts w:ascii="IRNazanin" w:hAnsi="IRNazanin" w:eastAsia="IRNazanin" w:cs="IRNazanin"/>
          <w:lang w:bidi="fa-IR"/>
          <w:color w:val="111111"/>
          <w:sz w:val="28"/>
          <w:szCs w:val="28"/>
          <w:rtl/>
        </w:rPr>
        <w:t xml:space="preserve">هدایت -هدایت، رضا قلي بن محمّد هادي</w:t>
      </w:r>
    </w:p>
    <w:p>
      <w:pPr>
        <w:pStyle w:val="Heading2"/>
      </w:pPr>
      <w:bookmarkStart w:id="4521" w:name="_Toc3623"/>
      <w:r>
        <w:t>رضا ، مهدي</w:t>
      </w:r>
      <w:bookmarkEnd w:id="4521"/>
    </w:p>
    <w:p>
      <w:pPr>
        <w:pStyle w:val="BookText"/>
      </w:pPr>
      <w:r>
        <w:rPr>
          <w:rFonts w:ascii="Amiri" w:hAnsi="Amiri" w:eastAsia="Amiri" w:cs="Amiri"/>
          <w:lang w:bidi="ar-SA"/>
          <w:color w:val="111111"/>
          <w:sz w:val="28"/>
          <w:szCs w:val="28"/>
          <w:rtl/>
        </w:rPr>
        <w:t xml:space="preserve">تعليقة على شرح ايساغوجي، ج4،</w:t>
      </w:r>
    </w:p>
    <w:p>
      <w:pPr>
        <w:pStyle w:val="BookText"/>
      </w:pPr>
      <w:r>
        <w:rPr>
          <w:rFonts w:ascii="IRNazanin" w:hAnsi="IRNazanin" w:eastAsia="IRNazanin" w:cs="IRNazanin"/>
          <w:lang w:bidi="fa-IR"/>
          <w:color w:val="111111"/>
          <w:sz w:val="28"/>
          <w:szCs w:val="28"/>
          <w:rtl/>
        </w:rPr>
        <w:t xml:space="preserve">ص 522.</w:t>
      </w:r>
    </w:p>
    <w:p>
      <w:pPr>
        <w:pStyle w:val="Heading2"/>
      </w:pPr>
      <w:bookmarkStart w:id="4522" w:name="_Toc3624"/>
      <w:r>
        <w:t>رضوان افندي قرن 12 ه-</w:t>
      </w:r>
      <w:bookmarkEnd w:id="4522"/>
    </w:p>
    <w:p>
      <w:pPr>
        <w:pStyle w:val="BookText"/>
      </w:pPr>
      <w:r>
        <w:rPr>
          <w:rFonts w:ascii="Amiri" w:hAnsi="Amiri" w:eastAsia="Amiri" w:cs="Amiri"/>
          <w:lang w:bidi="ar-SA"/>
          <w:color w:val="111111"/>
          <w:sz w:val="28"/>
          <w:szCs w:val="28"/>
          <w:rtl/>
        </w:rPr>
        <w:t xml:space="preserve">تقويم الفلكي، ج 4، ص 802</w:t>
      </w:r>
    </w:p>
    <w:p>
      <w:pPr>
        <w:pStyle w:val="BookText"/>
      </w:pPr>
      <w:r>
        <w:rPr>
          <w:rFonts w:ascii="Amiri" w:hAnsi="Amiri" w:eastAsia="Amiri" w:cs="Amiri"/>
          <w:lang w:bidi="ar-SA"/>
          <w:color w:val="111111"/>
          <w:sz w:val="28"/>
          <w:szCs w:val="28"/>
          <w:rtl/>
        </w:rPr>
        <w:t xml:space="preserve">رضوان بن عبد الله مصري -مصري ، رضوان</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رضوان پاشا زاده -جلبي ، عبدالله بن</w:t>
      </w:r>
    </w:p>
    <w:p>
      <w:pPr>
        <w:pStyle w:val="BookText"/>
      </w:pPr>
      <w:r>
        <w:rPr>
          <w:rFonts w:ascii="IRNazanin" w:hAnsi="IRNazanin" w:eastAsia="IRNazanin" w:cs="IRNazanin"/>
          <w:lang w:bidi="fa-IR"/>
          <w:color w:val="111111"/>
          <w:sz w:val="28"/>
          <w:szCs w:val="28"/>
          <w:rtl/>
        </w:rPr>
        <w:t xml:space="preserve">رضوان</w:t>
      </w:r>
    </w:p>
    <w:p>
      <w:pPr>
        <w:pStyle w:val="BookText"/>
      </w:pPr>
      <w:r>
        <w:rPr>
          <w:rFonts w:ascii="Amiri" w:hAnsi="Amiri" w:eastAsia="Amiri" w:cs="Amiri"/>
          <w:lang w:bidi="ar-SA"/>
          <w:color w:val="111111"/>
          <w:sz w:val="28"/>
          <w:szCs w:val="28"/>
          <w:rtl/>
        </w:rPr>
        <w:t xml:space="preserve">رضوان رزاز -مصري ، رضوان بن عبدالله</w:t>
      </w:r>
    </w:p>
    <w:p>
      <w:pPr>
        <w:pStyle w:val="Heading2"/>
      </w:pPr>
      <w:bookmarkStart w:id="4523" w:name="_Toc3625"/>
      <w:r>
        <w:t>رضوي ، ابو علي قرن 13 ه-</w:t>
      </w:r>
      <w:bookmarkEnd w:id="4523"/>
    </w:p>
    <w:p>
      <w:pPr>
        <w:pStyle w:val="BookText"/>
      </w:pPr>
      <w:r>
        <w:rPr>
          <w:rFonts w:ascii="Amiri" w:hAnsi="Amiri" w:eastAsia="Amiri" w:cs="Amiri"/>
          <w:lang w:bidi="ar-SA"/>
          <w:color w:val="111111"/>
          <w:sz w:val="28"/>
          <w:szCs w:val="28"/>
          <w:rtl/>
        </w:rPr>
        <w:t xml:space="preserve">حدائق البلاغة، ج6، ص 512</w:t>
      </w:r>
    </w:p>
    <w:p>
      <w:pPr>
        <w:pStyle w:val="BookText"/>
      </w:pPr>
      <w:r>
        <w:rPr>
          <w:rFonts w:ascii="Amiri" w:hAnsi="Amiri" w:eastAsia="Amiri" w:cs="Amiri"/>
          <w:lang w:bidi="ar-SA"/>
          <w:color w:val="111111"/>
          <w:sz w:val="28"/>
          <w:szCs w:val="28"/>
          <w:rtl/>
        </w:rPr>
        <w:t xml:space="preserve">رضوي افغاني ، صفدر علي بن حيدر علي -دهلوي ، صفدر علي بن حيدر علي</w:t>
      </w:r>
    </w:p>
    <w:p>
      <w:pPr>
        <w:pStyle w:val="BookText"/>
      </w:pPr>
      <w:r>
        <w:rPr>
          <w:rFonts w:ascii="Amiri" w:hAnsi="Amiri" w:eastAsia="Amiri" w:cs="Amiri"/>
          <w:lang w:bidi="ar-SA"/>
          <w:color w:val="111111"/>
          <w:sz w:val="28"/>
          <w:szCs w:val="28"/>
          <w:rtl/>
        </w:rPr>
        <w:t xml:space="preserve">رضوي حائري حسيني ، ولي الله بن نعمت</w:t>
      </w:r>
    </w:p>
    <w:p>
      <w:pPr>
        <w:pStyle w:val="BookText"/>
      </w:pPr>
      <w:r>
        <w:rPr>
          <w:rFonts w:ascii="Amiri" w:hAnsi="Amiri" w:eastAsia="Amiri" w:cs="Amiri"/>
          <w:lang w:bidi="ar-SA"/>
          <w:color w:val="111111"/>
          <w:sz w:val="28"/>
          <w:szCs w:val="28"/>
          <w:rtl/>
        </w:rPr>
        <w:t xml:space="preserve">الله- حسيني رضوي ، ولي الله بن نعمت الله</w:t>
      </w:r>
    </w:p>
    <w:p>
      <w:pPr>
        <w:pStyle w:val="BookText"/>
      </w:pPr>
      <w:r>
        <w:rPr>
          <w:rFonts w:ascii="Amiri" w:hAnsi="Amiri" w:eastAsia="Amiri" w:cs="Amiri"/>
          <w:lang w:bidi="ar-SA"/>
          <w:color w:val="111111"/>
          <w:sz w:val="28"/>
          <w:szCs w:val="28"/>
          <w:rtl/>
        </w:rPr>
        <w:t xml:space="preserve">رضوي ، حسين بن مير رشيد -رضوي نجفي</w:t>
      </w:r>
    </w:p>
    <w:p>
      <w:pPr>
        <w:pStyle w:val="BookText"/>
      </w:pPr>
      <w:r>
        <w:rPr>
          <w:rFonts w:ascii="IRNazanin" w:hAnsi="IRNazanin" w:eastAsia="IRNazanin" w:cs="IRNazanin"/>
          <w:lang w:bidi="fa-IR"/>
          <w:color w:val="111111"/>
          <w:sz w:val="28"/>
          <w:szCs w:val="28"/>
          <w:rtl/>
        </w:rPr>
        <w:t xml:space="preserve">، حسین بن میررشید</w:t>
      </w:r>
    </w:p>
    <w:p>
      <w:pPr>
        <w:pStyle w:val="Heading2"/>
      </w:pPr>
      <w:bookmarkStart w:id="4524" w:name="_Toc3626"/>
      <w:r>
        <w:t>رضوي حسيني ، عبدالرحيم بن حسن</w:t>
      </w:r>
      <w:bookmarkEnd w:id="4524"/>
    </w:p>
    <w:p>
      <w:pPr>
        <w:pStyle w:val="BookText"/>
      </w:pPr>
      <w:r>
        <w:rPr>
          <w:rFonts w:ascii="IRNazanin" w:hAnsi="IRNazanin" w:eastAsia="IRNazanin" w:cs="IRNazanin"/>
          <w:lang w:bidi="fa-IR"/>
          <w:color w:val="111111"/>
          <w:sz w:val="28"/>
          <w:szCs w:val="28"/>
          <w:rtl/>
        </w:rPr>
        <w:t xml:space="preserve">پاسخ سه پرسش (رساله) در ج3</w:t>
      </w:r>
    </w:p>
    <w:p>
      <w:pPr>
        <w:pStyle w:val="BookText"/>
      </w:pPr>
      <w:r>
        <w:rPr>
          <w:rFonts w:ascii="IRNazanin" w:hAnsi="IRNazanin" w:eastAsia="IRNazanin" w:cs="IRNazanin"/>
          <w:lang w:bidi="fa-IR"/>
          <w:color w:val="111111"/>
          <w:sz w:val="28"/>
          <w:szCs w:val="28"/>
          <w:rtl/>
        </w:rPr>
        <w:t xml:space="preserve">ص 519</w:t>
      </w:r>
    </w:p>
    <w:p>
      <w:pPr>
        <w:pStyle w:val="BookText"/>
      </w:pPr>
      <w:r>
        <w:rPr>
          <w:rFonts w:ascii="Amiri" w:hAnsi="Amiri" w:eastAsia="Amiri" w:cs="Amiri"/>
          <w:lang w:bidi="ar-SA"/>
          <w:color w:val="111111"/>
          <w:sz w:val="28"/>
          <w:szCs w:val="28"/>
          <w:rtl/>
        </w:rPr>
        <w:t xml:space="preserve">رضوي دهلوي، صفدر علي بن حيدر علي- دهلوي ، صفدر علي بن حيدر علي</w:t>
      </w:r>
    </w:p>
    <w:p>
      <w:pPr>
        <w:pStyle w:val="Heading2"/>
      </w:pPr>
      <w:bookmarkStart w:id="4525" w:name="_Toc3627"/>
      <w:r>
        <w:t>رضوي ، راحت حسین، 1297 ق 14 ه-</w:t>
      </w:r>
      <w:bookmarkEnd w:id="4525"/>
    </w:p>
    <w:p>
      <w:pPr>
        <w:pStyle w:val="BookText"/>
      </w:pPr>
      <w:r>
        <w:rPr>
          <w:rFonts w:ascii="Amiri" w:hAnsi="Amiri" w:eastAsia="Amiri" w:cs="Amiri"/>
          <w:lang w:bidi="ar-SA"/>
          <w:color w:val="111111"/>
          <w:sz w:val="28"/>
          <w:szCs w:val="28"/>
          <w:rtl/>
        </w:rPr>
        <w:t xml:space="preserve">هداية العقول إلى مطالب الأصول</w:t>
      </w:r>
    </w:p>
    <w:p>
      <w:pPr>
        <w:pStyle w:val="BookText"/>
      </w:pPr>
      <w:r>
        <w:rPr>
          <w:rFonts w:ascii="IRNazanin" w:hAnsi="IRNazanin" w:eastAsia="IRNazanin" w:cs="IRNazanin"/>
          <w:lang w:bidi="fa-IR"/>
          <w:color w:val="111111"/>
          <w:sz w:val="28"/>
          <w:szCs w:val="28"/>
          <w:rtl/>
        </w:rPr>
        <w:t xml:space="preserve">ج 16 ، ص 615 .</w:t>
      </w:r>
    </w:p>
    <w:p>
      <w:pPr>
        <w:pStyle w:val="Heading2"/>
      </w:pPr>
      <w:bookmarkStart w:id="4526" w:name="_Toc3628"/>
      <w:r>
        <w:t>رضوي ، سجاد، 1337 - 1390 ه-</w:t>
      </w:r>
      <w:bookmarkEnd w:id="4526"/>
    </w:p>
    <w:p>
      <w:pPr>
        <w:pStyle w:val="BookText"/>
      </w:pPr>
      <w:r>
        <w:rPr>
          <w:rFonts w:ascii="Amiri" w:hAnsi="Amiri" w:eastAsia="Amiri" w:cs="Amiri"/>
          <w:lang w:bidi="ar-SA"/>
          <w:color w:val="111111"/>
          <w:sz w:val="28"/>
          <w:szCs w:val="28"/>
          <w:rtl/>
        </w:rPr>
        <w:t xml:space="preserve">نزهة الناظرين، ج 16، ص 250.</w:t>
      </w:r>
    </w:p>
    <w:p>
      <w:pPr>
        <w:pStyle w:val="BookText"/>
      </w:pPr>
      <w:r>
        <w:rPr>
          <w:rFonts w:ascii="Amiri" w:hAnsi="Amiri" w:eastAsia="Amiri" w:cs="Amiri"/>
          <w:lang w:bidi="ar-SA"/>
          <w:color w:val="111111"/>
          <w:sz w:val="28"/>
          <w:szCs w:val="28"/>
          <w:rtl/>
        </w:rPr>
        <w:t xml:space="preserve">رضوي ، سيّد سجاد -رضوي ، سجاد</w:t>
      </w:r>
    </w:p>
    <w:p>
      <w:pPr>
        <w:pStyle w:val="BookText"/>
      </w:pPr>
      <w:r>
        <w:rPr>
          <w:rFonts w:ascii="Amiri" w:hAnsi="Amiri" w:eastAsia="Amiri" w:cs="Amiri"/>
          <w:lang w:bidi="ar-SA"/>
          <w:color w:val="111111"/>
          <w:sz w:val="28"/>
          <w:szCs w:val="28"/>
          <w:rtl/>
        </w:rPr>
        <w:t xml:space="preserve">رضوي شيرازي ، محمّد بن</w:t>
      </w:r>
    </w:p>
    <w:p>
      <w:pPr>
        <w:pStyle w:val="BookText"/>
      </w:pPr>
      <w:r>
        <w:rPr>
          <w:rFonts w:ascii="IRNazanin" w:hAnsi="IRNazanin" w:eastAsia="IRNazanin" w:cs="IRNazanin"/>
          <w:lang w:bidi="fa-IR"/>
          <w:color w:val="111111"/>
          <w:sz w:val="28"/>
          <w:szCs w:val="28"/>
          <w:rtl/>
        </w:rPr>
        <w:t xml:space="preserve">احمد -خواجگي شيرازي ، محمّد بن احمد</w:t>
      </w:r>
    </w:p>
    <w:p>
      <w:pPr>
        <w:pStyle w:val="BookText"/>
      </w:pPr>
      <w:r>
        <w:rPr>
          <w:rFonts w:ascii="Amiri" w:hAnsi="Amiri" w:eastAsia="Amiri" w:cs="Amiri"/>
          <w:lang w:bidi="ar-SA"/>
          <w:color w:val="111111"/>
          <w:sz w:val="28"/>
          <w:szCs w:val="28"/>
          <w:rtl/>
        </w:rPr>
        <w:t xml:space="preserve">رضوي ، صدر الدين محمّد -رضوي قمي ،</w:t>
      </w:r>
    </w:p>
    <w:p>
      <w:pPr>
        <w:pStyle w:val="BookText"/>
      </w:pPr>
      <w:r>
        <w:rPr>
          <w:rFonts w:ascii="Amiri" w:hAnsi="Amiri" w:eastAsia="Amiri" w:cs="Amiri"/>
          <w:lang w:bidi="ar-SA"/>
          <w:color w:val="111111"/>
          <w:sz w:val="28"/>
          <w:szCs w:val="28"/>
          <w:rtl/>
        </w:rPr>
        <w:t xml:space="preserve">محمّد بن محمّد باقر</w:t>
      </w:r>
    </w:p>
    <w:p>
      <w:pPr>
        <w:pStyle w:val="BookText"/>
      </w:pPr>
      <w:r>
        <w:rPr>
          <w:rFonts w:ascii="Amiri" w:hAnsi="Amiri" w:eastAsia="Amiri" w:cs="Amiri"/>
          <w:lang w:bidi="ar-SA"/>
          <w:color w:val="111111"/>
          <w:sz w:val="28"/>
          <w:szCs w:val="28"/>
          <w:rtl/>
        </w:rPr>
        <w:t xml:space="preserve">رضوي طوسي، محمّد بن معصوم- رضوي</w:t>
      </w:r>
    </w:p>
    <w:p>
      <w:pPr>
        <w:pStyle w:val="BookText"/>
      </w:pPr>
      <w:r>
        <w:rPr>
          <w:rFonts w:ascii="IRNazanin" w:hAnsi="IRNazanin" w:eastAsia="IRNazanin" w:cs="IRNazanin"/>
          <w:lang w:bidi="fa-IR"/>
          <w:color w:val="111111"/>
          <w:sz w:val="28"/>
          <w:szCs w:val="28"/>
          <w:rtl/>
        </w:rPr>
        <w:t xml:space="preserve">، محمّد بن معصوم</w:t>
      </w:r>
    </w:p>
    <w:p>
      <w:pPr>
        <w:pStyle w:val="BookText"/>
      </w:pPr>
      <w:r>
        <w:rPr>
          <w:rFonts w:ascii="Amiri" w:hAnsi="Amiri" w:eastAsia="Amiri" w:cs="Amiri"/>
          <w:lang w:bidi="ar-SA"/>
          <w:color w:val="111111"/>
          <w:sz w:val="28"/>
          <w:szCs w:val="28"/>
          <w:rtl/>
        </w:rPr>
        <w:t xml:space="preserve">رضوي ، عبد الحي بن عبد الرزاق- رضوي</w:t>
      </w:r>
    </w:p>
    <w:p>
      <w:pPr>
        <w:pStyle w:val="BookText"/>
      </w:pPr>
      <w:r>
        <w:rPr>
          <w:rFonts w:ascii="Amiri" w:hAnsi="Amiri" w:eastAsia="Amiri" w:cs="Amiri"/>
          <w:lang w:bidi="ar-SA"/>
          <w:color w:val="111111"/>
          <w:sz w:val="28"/>
          <w:szCs w:val="28"/>
          <w:rtl/>
        </w:rPr>
        <w:t xml:space="preserve">كاشاني، عبد الحي بن عبدالرزاق</w:t>
      </w:r>
    </w:p>
    <w:p>
      <w:pPr>
        <w:pStyle w:val="Heading2"/>
      </w:pPr>
      <w:bookmarkStart w:id="4527" w:name="_Toc3629"/>
      <w:r>
        <w:t>رضوي ، علينقي بن محمّد علي</w:t>
      </w:r>
      <w:bookmarkEnd w:id="4527"/>
    </w:p>
    <w:p>
      <w:pPr>
        <w:pStyle w:val="BookText"/>
      </w:pPr>
      <w:r>
        <w:rPr>
          <w:rFonts w:ascii="Amiri" w:hAnsi="Amiri" w:eastAsia="Amiri" w:cs="Amiri"/>
          <w:lang w:bidi="ar-SA"/>
          <w:color w:val="111111"/>
          <w:sz w:val="28"/>
          <w:szCs w:val="28"/>
          <w:rtl/>
        </w:rPr>
        <w:t xml:space="preserve">روضة كشميري، ج8، ص 450 .</w:t>
      </w:r>
    </w:p>
    <w:p>
      <w:pPr>
        <w:pStyle w:val="BookText"/>
      </w:pPr>
      <w:r>
        <w:rPr>
          <w:rFonts w:ascii="Amiri" w:hAnsi="Amiri" w:eastAsia="Amiri" w:cs="Amiri"/>
          <w:lang w:bidi="ar-SA"/>
          <w:color w:val="111111"/>
          <w:sz w:val="28"/>
          <w:szCs w:val="28"/>
          <w:rtl/>
        </w:rPr>
        <w:t xml:space="preserve">رضوي ، غلامعلي خان بن محمّد</w:t>
      </w:r>
    </w:p>
    <w:p>
      <w:pPr>
        <w:pStyle w:val="BookText"/>
      </w:pPr>
      <w:r>
        <w:rPr>
          <w:rFonts w:ascii="IRNazanin" w:hAnsi="IRNazanin" w:eastAsia="IRNazanin" w:cs="IRNazanin"/>
          <w:lang w:bidi="fa-IR"/>
          <w:color w:val="111111"/>
          <w:sz w:val="28"/>
          <w:szCs w:val="28"/>
          <w:rtl/>
        </w:rPr>
        <w:t xml:space="preserve">اكمل -نقوي ، غلامعلي خان بن محمّد اکمل</w:t>
      </w:r>
    </w:p>
    <w:p>
      <w:pPr>
        <w:pStyle w:val="BookText"/>
      </w:pPr>
      <w:r>
        <w:rPr>
          <w:rFonts w:ascii="IRNazanin" w:hAnsi="IRNazanin" w:eastAsia="IRNazanin" w:cs="IRNazanin"/>
          <w:lang w:bidi="fa-IR"/>
          <w:color w:val="111111"/>
          <w:sz w:val="28"/>
          <w:szCs w:val="28"/>
          <w:rtl/>
        </w:rPr>
        <w:t xml:space="preserve">خان</w:t>
      </w:r>
    </w:p>
    <w:p>
      <w:pPr>
        <w:pStyle w:val="Heading2"/>
      </w:pPr>
      <w:bookmarkStart w:id="4528" w:name="_Toc3630"/>
      <w:r>
        <w:t>رضوي قمي ، محمّد بن محمّد باقر</w:t>
      </w:r>
      <w:bookmarkEnd w:id="4528"/>
    </w:p>
    <w:p>
      <w:pPr>
        <w:pStyle w:val="BookText"/>
      </w:pPr>
      <w:r>
        <w:rPr>
          <w:rFonts w:ascii="IRNazanin" w:hAnsi="IRNazanin" w:eastAsia="IRNazanin" w:cs="IRNazanin"/>
          <w:lang w:bidi="fa-IR"/>
          <w:color w:val="111111"/>
          <w:sz w:val="28"/>
          <w:szCs w:val="28"/>
          <w:rtl/>
        </w:rPr>
        <w:t xml:space="preserve">1100 - 1160 ه-</w:t>
      </w:r>
    </w:p>
    <w:p>
      <w:pPr>
        <w:pStyle w:val="BookText"/>
      </w:pPr>
      <w:r>
        <w:rPr>
          <w:rFonts w:ascii="Amiri" w:hAnsi="Amiri" w:eastAsia="Amiri" w:cs="Amiri"/>
          <w:lang w:bidi="ar-SA"/>
          <w:color w:val="111111"/>
          <w:sz w:val="28"/>
          <w:szCs w:val="28"/>
          <w:rtl/>
        </w:rPr>
        <w:t xml:space="preserve">حاشية الوافية - شرح الوافية = شرح</w:t>
      </w:r>
    </w:p>
    <w:p>
      <w:pPr>
        <w:pStyle w:val="BookText"/>
      </w:pPr>
      <w:r>
        <w:rPr>
          <w:rFonts w:ascii="Amiri" w:hAnsi="Amiri" w:eastAsia="Amiri" w:cs="Amiri"/>
          <w:lang w:bidi="ar-SA"/>
          <w:color w:val="111111"/>
          <w:sz w:val="28"/>
          <w:szCs w:val="28"/>
          <w:rtl/>
        </w:rPr>
        <w:t xml:space="preserve">وافية الاصول، ج 6، ص 445.</w:t>
      </w:r>
    </w:p>
    <w:p>
      <w:pPr>
        <w:pStyle w:val="Heading2"/>
      </w:pPr>
      <w:bookmarkStart w:id="4529" w:name="_Toc3631"/>
      <w:r>
        <w:t>رضوي كاشاني ، عبد الحي بن عبدالرزاق</w:t>
      </w:r>
      <w:bookmarkEnd w:id="4529"/>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الاستعارة، ج 2، ص 143.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9" w:name="pg7742_70433"/>
    <w:bookmarkEnd w:id="519"/>
    <w:p>
      <w:pPr>
        <w:pStyle w:val="BookText"/>
      </w:pPr>
      <w:r>
        <w:rPr>
          <w:rFonts w:ascii="Amiri" w:hAnsi="Amiri" w:eastAsia="Amiri" w:cs="Amiri"/>
          <w:lang w:bidi="ar-SA"/>
          <w:color w:val="111111"/>
          <w:sz w:val="28"/>
          <w:szCs w:val="28"/>
          <w:rtl/>
        </w:rPr>
        <w:t xml:space="preserve">رضوي كشميري ، علينقي بن محمّد</w:t>
      </w:r>
    </w:p>
    <w:p>
      <w:pPr>
        <w:pStyle w:val="BookText"/>
      </w:pPr>
      <w:r>
        <w:rPr>
          <w:rFonts w:ascii="Amiri" w:hAnsi="Amiri" w:eastAsia="Amiri" w:cs="Amiri"/>
          <w:lang w:bidi="ar-SA"/>
          <w:color w:val="111111"/>
          <w:sz w:val="28"/>
          <w:szCs w:val="28"/>
          <w:rtl/>
        </w:rPr>
        <w:t xml:space="preserve">علي -رضوي ، علينقي بن محمّد علي</w:t>
      </w:r>
    </w:p>
    <w:p>
      <w:pPr>
        <w:pStyle w:val="Heading2"/>
      </w:pPr>
      <w:bookmarkStart w:id="4530" w:name="_Toc3632"/>
      <w:r>
        <w:t>رضوي ، كمال الدين بن محمّد علي</w:t>
      </w:r>
      <w:bookmarkEnd w:id="4530"/>
    </w:p>
    <w:p>
      <w:pPr>
        <w:pStyle w:val="BookText"/>
      </w:pPr>
      <w:r>
        <w:rPr>
          <w:rFonts w:ascii="Amiri" w:hAnsi="Amiri" w:eastAsia="Amiri" w:cs="Amiri"/>
          <w:lang w:bidi="ar-SA"/>
          <w:color w:val="111111"/>
          <w:sz w:val="28"/>
          <w:szCs w:val="28"/>
          <w:rtl/>
        </w:rPr>
        <w:t xml:space="preserve">اشارة، ج 2، ص 256.</w:t>
      </w:r>
    </w:p>
    <w:p>
      <w:pPr>
        <w:pStyle w:val="BookText"/>
      </w:pPr>
      <w:r>
        <w:rPr>
          <w:rFonts w:ascii="Amiri" w:hAnsi="Amiri" w:eastAsia="Amiri" w:cs="Amiri"/>
          <w:lang w:bidi="ar-SA"/>
          <w:color w:val="111111"/>
          <w:sz w:val="28"/>
          <w:szCs w:val="28"/>
          <w:rtl/>
        </w:rPr>
        <w:t xml:space="preserve">رضوي ، محمّد بديع بن عبد القدوس - رضوي مشهدي ، محمّد بديع</w:t>
      </w:r>
    </w:p>
    <w:p>
      <w:pPr>
        <w:pStyle w:val="BookText"/>
      </w:pPr>
      <w:r>
        <w:rPr>
          <w:rFonts w:ascii="Amiri" w:hAnsi="Amiri" w:eastAsia="Amiri" w:cs="Amiri"/>
          <w:lang w:bidi="ar-SA"/>
          <w:color w:val="111111"/>
          <w:sz w:val="28"/>
          <w:szCs w:val="28"/>
          <w:rtl/>
        </w:rPr>
        <w:t xml:space="preserve">مير عبد القدوس</w:t>
      </w:r>
    </w:p>
    <w:p>
      <w:pPr>
        <w:pStyle w:val="BookText"/>
      </w:pPr>
      <w:r>
        <w:rPr>
          <w:rFonts w:ascii="Amiri" w:hAnsi="Amiri" w:eastAsia="Amiri" w:cs="Amiri"/>
          <w:lang w:bidi="ar-SA"/>
          <w:color w:val="111111"/>
          <w:sz w:val="28"/>
          <w:szCs w:val="28"/>
          <w:rtl/>
        </w:rPr>
        <w:t xml:space="preserve">رضوي ، محمّد بن محمّد باقر -رضوي</w:t>
      </w:r>
    </w:p>
    <w:p>
      <w:pPr>
        <w:pStyle w:val="BookText"/>
      </w:pPr>
      <w:r>
        <w:rPr>
          <w:rFonts w:ascii="Amiri" w:hAnsi="Amiri" w:eastAsia="Amiri" w:cs="Amiri"/>
          <w:lang w:bidi="ar-SA"/>
          <w:color w:val="111111"/>
          <w:sz w:val="28"/>
          <w:szCs w:val="28"/>
          <w:rtl/>
        </w:rPr>
        <w:t xml:space="preserve">قمي ، محمّد بن محمّد باقر</w:t>
      </w:r>
    </w:p>
    <w:p>
      <w:pPr>
        <w:pStyle w:val="Heading2"/>
      </w:pPr>
      <w:bookmarkStart w:id="4531" w:name="_Toc3633"/>
      <w:r>
        <w:t>رضوي ، محمّد بن معصوم - 1355 ه-</w:t>
      </w:r>
      <w:bookmarkEnd w:id="4531"/>
    </w:p>
    <w:p>
      <w:pPr>
        <w:pStyle w:val="BookText"/>
      </w:pPr>
      <w:r>
        <w:rPr>
          <w:rFonts w:ascii="Amiri" w:hAnsi="Amiri" w:eastAsia="Amiri" w:cs="Amiri"/>
          <w:lang w:bidi="ar-SA"/>
          <w:color w:val="111111"/>
          <w:sz w:val="28"/>
          <w:szCs w:val="28"/>
          <w:rtl/>
        </w:rPr>
        <w:t xml:space="preserve">1 .إجازة للسيّد رضا بحر العلوم، ج1،</w:t>
      </w:r>
    </w:p>
    <w:p>
      <w:pPr>
        <w:pStyle w:val="BookText"/>
      </w:pPr>
      <w:r>
        <w:rPr>
          <w:rFonts w:ascii="IRNazanin" w:hAnsi="IRNazanin" w:eastAsia="IRNazanin" w:cs="IRNazanin"/>
          <w:lang w:bidi="fa-IR"/>
          <w:color w:val="111111"/>
          <w:sz w:val="28"/>
          <w:szCs w:val="28"/>
          <w:rtl/>
        </w:rPr>
        <w:t xml:space="preserve">ص 250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التحفة الرضوية في شرح اللمعة الدمشقية، ج3، ص 836.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معالم الاصول = حاشية</w:t>
      </w:r>
    </w:p>
    <w:p>
      <w:pPr>
        <w:pStyle w:val="BookText"/>
      </w:pPr>
      <w:r>
        <w:rPr>
          <w:rFonts w:ascii="IRNazanin" w:hAnsi="IRNazanin" w:eastAsia="IRNazanin" w:cs="IRNazanin"/>
          <w:lang w:bidi="fa-IR"/>
          <w:color w:val="111111"/>
          <w:sz w:val="28"/>
          <w:szCs w:val="28"/>
          <w:rtl/>
        </w:rPr>
        <w:t xml:space="preserve">المعالم، ج 6، ص 411.</w:t>
      </w:r>
    </w:p>
    <w:p>
      <w:pPr>
        <w:pStyle w:val="BookText"/>
      </w:pPr>
      <w:r>
        <w:rPr>
          <w:rFonts w:ascii="Amiri" w:hAnsi="Amiri" w:eastAsia="Amiri" w:cs="Amiri"/>
          <w:lang w:bidi="ar-SA"/>
          <w:color w:val="111111"/>
          <w:sz w:val="28"/>
          <w:szCs w:val="28"/>
          <w:rtl/>
        </w:rPr>
        <w:t xml:space="preserve">رضوي ، محمّد حسين بن علي اصغر- حسيني رضوي ، محمّد حسين بن علي</w:t>
      </w:r>
    </w:p>
    <w:p>
      <w:pPr>
        <w:pStyle w:val="BookText"/>
      </w:pPr>
      <w:r>
        <w:rPr>
          <w:rFonts w:ascii="IRNazanin" w:hAnsi="IRNazanin" w:eastAsia="IRNazanin" w:cs="IRNazanin"/>
          <w:lang w:bidi="fa-IR"/>
          <w:color w:val="111111"/>
          <w:sz w:val="28"/>
          <w:szCs w:val="28"/>
          <w:rtl/>
        </w:rPr>
        <w:t xml:space="preserve">اصغر</w:t>
      </w:r>
    </w:p>
    <w:p>
      <w:pPr>
        <w:pStyle w:val="BookText"/>
      </w:pPr>
      <w:r>
        <w:rPr>
          <w:rFonts w:ascii="Amiri" w:hAnsi="Amiri" w:eastAsia="Amiri" w:cs="Amiri"/>
          <w:lang w:bidi="ar-SA"/>
          <w:color w:val="111111"/>
          <w:sz w:val="28"/>
          <w:szCs w:val="28"/>
          <w:rtl/>
        </w:rPr>
        <w:t xml:space="preserve">رضوي ، محمّد رفيع -نظام العلماء</w:t>
      </w:r>
    </w:p>
    <w:p>
      <w:pPr>
        <w:pStyle w:val="BookText"/>
      </w:pPr>
      <w:r>
        <w:rPr>
          <w:rFonts w:ascii="Amiri" w:hAnsi="Amiri" w:eastAsia="Amiri" w:cs="Amiri"/>
          <w:lang w:bidi="ar-SA"/>
          <w:color w:val="111111"/>
          <w:sz w:val="28"/>
          <w:szCs w:val="28"/>
          <w:rtl/>
        </w:rPr>
        <w:t xml:space="preserve">محمّد رفيع بن علي اصغر</w:t>
      </w:r>
    </w:p>
    <w:p>
      <w:pPr>
        <w:pStyle w:val="BookText"/>
      </w:pPr>
      <w:r>
        <w:rPr>
          <w:rFonts w:ascii="Amiri" w:hAnsi="Amiri" w:eastAsia="Amiri" w:cs="Amiri"/>
          <w:lang w:bidi="ar-SA"/>
          <w:color w:val="111111"/>
          <w:sz w:val="28"/>
          <w:szCs w:val="28"/>
          <w:rtl/>
        </w:rPr>
        <w:t xml:space="preserve">رضوي، محمّد قصير- رضوي ، محمّد بن</w:t>
      </w:r>
    </w:p>
    <w:p>
      <w:pPr>
        <w:pStyle w:val="BookText"/>
      </w:pPr>
      <w:r>
        <w:rPr>
          <w:rFonts w:ascii="IRNazanin" w:hAnsi="IRNazanin" w:eastAsia="IRNazanin" w:cs="IRNazanin"/>
          <w:lang w:bidi="fa-IR"/>
          <w:color w:val="111111"/>
          <w:sz w:val="28"/>
          <w:szCs w:val="28"/>
          <w:rtl/>
        </w:rPr>
        <w:t xml:space="preserve">معصوم</w:t>
      </w:r>
    </w:p>
    <w:p>
      <w:pPr>
        <w:pStyle w:val="BookText"/>
      </w:pPr>
      <w:r>
        <w:rPr>
          <w:rFonts w:ascii="IRNazanin" w:hAnsi="IRNazanin" w:eastAsia="IRNazanin" w:cs="IRNazanin"/>
          <w:lang w:bidi="fa-IR"/>
          <w:color w:val="111111"/>
          <w:sz w:val="28"/>
          <w:szCs w:val="28"/>
          <w:rtl/>
        </w:rPr>
        <w:t xml:space="preserve">رضوي مشهدي ، حسن بن هداية الله -عسكري ، محمّد حسن بن هدایت الله</w:t>
      </w:r>
    </w:p>
    <w:p>
      <w:pPr>
        <w:pStyle w:val="Heading2"/>
      </w:pPr>
      <w:bookmarkStart w:id="4532" w:name="_Toc3634"/>
      <w:r>
        <w:t>رضوي مشهدي ، محمّد بديع مير</w:t>
      </w:r>
      <w:bookmarkEnd w:id="4532"/>
    </w:p>
    <w:p>
      <w:pPr>
        <w:pStyle w:val="BookText"/>
      </w:pPr>
      <w:r>
        <w:rPr>
          <w:rFonts w:ascii="IRNazanin" w:hAnsi="IRNazanin" w:eastAsia="IRNazanin" w:cs="IRNazanin"/>
          <w:lang w:bidi="fa-IR"/>
          <w:color w:val="111111"/>
          <w:sz w:val="28"/>
          <w:szCs w:val="28"/>
          <w:rtl/>
        </w:rPr>
        <w:t xml:space="preserve">عبد القدوس، قرن 13 ه-</w:t>
      </w:r>
    </w:p>
    <w:p>
      <w:pPr>
        <w:pStyle w:val="BookText"/>
      </w:pPr>
      <w:r>
        <w:rPr>
          <w:rFonts w:ascii="Amiri" w:hAnsi="Amiri" w:eastAsia="Amiri" w:cs="Amiri"/>
          <w:lang w:bidi="ar-SA"/>
          <w:color w:val="111111"/>
          <w:sz w:val="28"/>
          <w:szCs w:val="28"/>
          <w:rtl/>
        </w:rPr>
        <w:t xml:space="preserve">تبصرة الزائر و كشف السرائر، ج3،</w:t>
      </w:r>
    </w:p>
    <w:p>
      <w:pPr>
        <w:pStyle w:val="BookText"/>
      </w:pPr>
      <w:r>
        <w:rPr>
          <w:rFonts w:ascii="IRNazanin" w:hAnsi="IRNazanin" w:eastAsia="IRNazanin" w:cs="IRNazanin"/>
          <w:lang w:bidi="fa-IR"/>
          <w:color w:val="111111"/>
          <w:sz w:val="28"/>
          <w:szCs w:val="28"/>
          <w:rtl/>
        </w:rPr>
        <w:t xml:space="preserve">ص 637 .</w:t>
      </w:r>
    </w:p>
    <w:p>
      <w:pPr>
        <w:pStyle w:val="BookText"/>
      </w:pPr>
      <w:r>
        <w:rPr>
          <w:rFonts w:ascii="Amiri" w:hAnsi="Amiri" w:eastAsia="Amiri" w:cs="Amiri"/>
          <w:lang w:bidi="ar-SA"/>
          <w:color w:val="111111"/>
          <w:sz w:val="28"/>
          <w:szCs w:val="28"/>
          <w:rtl/>
        </w:rPr>
        <w:t xml:space="preserve">رضوي مشهدي ، محمّد بن</w:t>
      </w:r>
    </w:p>
    <w:p>
      <w:pPr>
        <w:pStyle w:val="BookText"/>
      </w:pPr>
      <w:r>
        <w:rPr>
          <w:rFonts w:ascii="Amiri" w:hAnsi="Amiri" w:eastAsia="Amiri" w:cs="Amiri"/>
          <w:lang w:bidi="ar-SA"/>
          <w:color w:val="111111"/>
          <w:sz w:val="28"/>
          <w:szCs w:val="28"/>
          <w:rtl/>
        </w:rPr>
        <w:t xml:space="preserve">معصوم- رضوي، محمّد بن معصوم</w:t>
      </w:r>
    </w:p>
    <w:p>
      <w:pPr>
        <w:pStyle w:val="BookText"/>
      </w:pPr>
      <w:r>
        <w:rPr>
          <w:rFonts w:ascii="Amiri" w:hAnsi="Amiri" w:eastAsia="Amiri" w:cs="Amiri"/>
          <w:lang w:bidi="ar-SA"/>
          <w:color w:val="111111"/>
          <w:sz w:val="28"/>
          <w:szCs w:val="28"/>
          <w:rtl/>
        </w:rPr>
        <w:t xml:space="preserve">رضوي مشهدي ، نعمت الله بن قريش- رضوي ، نعمت الله بن قريش</w:t>
      </w:r>
    </w:p>
    <w:p>
      <w:pPr>
        <w:pStyle w:val="Heading2"/>
      </w:pPr>
      <w:bookmarkStart w:id="4533" w:name="_Toc3635"/>
      <w:r>
        <w:t>رضوي نجفي ، حسين بن ميررشيد</w:t>
      </w:r>
      <w:bookmarkEnd w:id="4533"/>
    </w:p>
    <w:p>
      <w:pPr>
        <w:pStyle w:val="BookText"/>
      </w:pPr>
      <w:r>
        <w:rPr>
          <w:rFonts w:ascii="IRNazanin" w:hAnsi="IRNazanin" w:eastAsia="IRNazanin" w:cs="IRNazanin"/>
          <w:lang w:bidi="fa-IR"/>
          <w:color w:val="111111"/>
          <w:sz w:val="28"/>
          <w:szCs w:val="28"/>
          <w:rtl/>
        </w:rPr>
        <w:t xml:space="preserve">1170ه-</w:t>
      </w:r>
    </w:p>
    <w:p>
      <w:pPr>
        <w:pStyle w:val="BookText"/>
      </w:pPr>
      <w:r>
        <w:rPr>
          <w:rFonts w:ascii="IRNazanin" w:hAnsi="IRNazanin" w:eastAsia="IRNazanin" w:cs="IRNazanin"/>
          <w:lang w:bidi="fa-IR"/>
          <w:color w:val="111111"/>
          <w:sz w:val="28"/>
          <w:szCs w:val="28"/>
          <w:rtl/>
        </w:rPr>
        <w:t xml:space="preserve">ذخائر المآل، ج7، ص 815.</w:t>
      </w:r>
    </w:p>
    <w:p>
      <w:pPr>
        <w:pStyle w:val="BookText"/>
      </w:pPr>
      <w:r>
        <w:rPr>
          <w:rFonts w:ascii="Amiri" w:hAnsi="Amiri" w:eastAsia="Amiri" w:cs="Amiri"/>
          <w:lang w:bidi="ar-SA"/>
          <w:color w:val="111111"/>
          <w:sz w:val="28"/>
          <w:szCs w:val="28"/>
          <w:rtl/>
        </w:rPr>
        <w:t xml:space="preserve">رضوي نجفي همداني ، صدر الدين محمّد -رضوي قمي ، محمّد بن محمّد باقر</w:t>
      </w:r>
    </w:p>
    <w:p>
      <w:pPr>
        <w:pStyle w:val="Heading2"/>
      </w:pPr>
      <w:bookmarkStart w:id="4534" w:name="_Toc3636"/>
      <w:r>
        <w:t>رضوي ، نعمت الله بن قريش قرن 10 ه-</w:t>
      </w:r>
      <w:bookmarkEnd w:id="4534"/>
    </w:p>
    <w:p>
      <w:pPr>
        <w:pStyle w:val="BookText"/>
      </w:pPr>
      <w:r>
        <w:rPr>
          <w:rFonts w:ascii="Amiri" w:hAnsi="Amiri" w:eastAsia="Amiri" w:cs="Amiri"/>
          <w:lang w:bidi="ar-SA"/>
          <w:color w:val="111111"/>
          <w:sz w:val="28"/>
          <w:szCs w:val="28"/>
          <w:rtl/>
        </w:rPr>
        <w:t xml:space="preserve">منهاج الكرامة في معرفة الامامة</w:t>
      </w:r>
    </w:p>
    <w:p>
      <w:pPr>
        <w:pStyle w:val="BookText"/>
      </w:pPr>
      <w:r>
        <w:rPr>
          <w:rFonts w:ascii="IRNazanin" w:hAnsi="IRNazanin" w:eastAsia="IRNazanin" w:cs="IRNazanin"/>
          <w:lang w:bidi="fa-IR"/>
          <w:color w:val="111111"/>
          <w:sz w:val="28"/>
          <w:szCs w:val="28"/>
          <w:rtl/>
        </w:rPr>
        <w:t xml:space="preserve">(ترجمه)، ج 15 ، ص 776.</w:t>
      </w:r>
    </w:p>
    <w:p>
      <w:pPr>
        <w:pStyle w:val="Heading2"/>
      </w:pPr>
      <w:bookmarkStart w:id="4535" w:name="_Toc3637"/>
      <w:r>
        <w:t>رضوي ، نورالله</w:t>
      </w:r>
      <w:bookmarkEnd w:id="4535"/>
    </w:p>
    <w:p>
      <w:pPr>
        <w:pStyle w:val="BookText"/>
      </w:pPr>
      <w:r>
        <w:rPr>
          <w:rFonts w:ascii="IRNazanin" w:hAnsi="IRNazanin" w:eastAsia="IRNazanin" w:cs="IRNazanin"/>
          <w:lang w:bidi="fa-IR"/>
          <w:color w:val="111111"/>
          <w:sz w:val="28"/>
          <w:szCs w:val="28"/>
          <w:rtl/>
        </w:rPr>
        <w:t xml:space="preserve">ساطع الأهام، ج8، ص 670.</w:t>
      </w:r>
    </w:p>
    <w:p>
      <w:pPr>
        <w:pStyle w:val="BookText"/>
      </w:pPr>
      <w:r>
        <w:rPr>
          <w:rFonts w:ascii="Amiri" w:hAnsi="Amiri" w:eastAsia="Amiri" w:cs="Amiri"/>
          <w:lang w:bidi="ar-SA"/>
          <w:color w:val="111111"/>
          <w:sz w:val="28"/>
          <w:szCs w:val="28"/>
          <w:rtl/>
        </w:rPr>
        <w:t xml:space="preserve">رضوي هندي ، محمّد بن هاشم- موسوي</w:t>
      </w:r>
    </w:p>
    <w:p>
      <w:pPr>
        <w:pStyle w:val="BookText"/>
      </w:pPr>
      <w:r>
        <w:rPr>
          <w:rFonts w:ascii="Amiri" w:hAnsi="Amiri" w:eastAsia="Amiri" w:cs="Amiri"/>
          <w:lang w:bidi="ar-SA"/>
          <w:color w:val="111111"/>
          <w:sz w:val="28"/>
          <w:szCs w:val="28"/>
          <w:rtl/>
        </w:rPr>
        <w:t xml:space="preserve">رضوي ، محمّد بن هاشم</w:t>
      </w:r>
    </w:p>
    <w:p>
      <w:pPr>
        <w:pStyle w:val="BookText"/>
      </w:pPr>
      <w:r>
        <w:rPr>
          <w:rFonts w:ascii="IRNazanin" w:hAnsi="IRNazanin" w:eastAsia="IRNazanin" w:cs="IRNazanin"/>
          <w:lang w:bidi="fa-IR"/>
          <w:color w:val="111111"/>
          <w:sz w:val="28"/>
          <w:szCs w:val="28"/>
          <w:rtl/>
        </w:rPr>
        <w:t xml:space="preserve">رضی ، ابوالحسن محمّد بن حسين- شريف</w:t>
      </w:r>
    </w:p>
    <w:p>
      <w:pPr>
        <w:pStyle w:val="BookText"/>
      </w:pPr>
      <w:r>
        <w:rPr>
          <w:rFonts w:ascii="Amiri" w:hAnsi="Amiri" w:eastAsia="Amiri" w:cs="Amiri"/>
          <w:lang w:bidi="ar-SA"/>
          <w:color w:val="111111"/>
          <w:sz w:val="28"/>
          <w:szCs w:val="28"/>
          <w:rtl/>
        </w:rPr>
        <w:t xml:space="preserve">الرضي ، محمّد بن حسين</w:t>
      </w:r>
    </w:p>
    <w:p>
      <w:pPr>
        <w:pStyle w:val="BookText"/>
      </w:pPr>
      <w:r>
        <w:rPr>
          <w:rFonts w:ascii="Amiri" w:hAnsi="Amiri" w:eastAsia="Amiri" w:cs="Amiri"/>
          <w:lang w:bidi="ar-SA"/>
          <w:color w:val="111111"/>
          <w:sz w:val="28"/>
          <w:szCs w:val="28"/>
          <w:rtl/>
        </w:rPr>
        <w:t xml:space="preserve">رضي استرآبادي- رضي الدين استرآبادي ، محمّد بن حسن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0" w:name="pg7742_70435"/>
    <w:bookmarkEnd w:id="520"/>
    <w:p>
      <w:pPr>
        <w:pStyle w:val="Heading2"/>
      </w:pPr>
      <w:bookmarkStart w:id="4536" w:name="_Toc3638"/>
      <w:r>
        <w:t>رضي الدين استرآبادي ، محمّد بن حسن</w:t>
      </w:r>
      <w:bookmarkEnd w:id="4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686؟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اعراب الكافية، ج 2، ص 546 .</w:t>
      </w:r>
    </w:p>
    <w:p>
      <w:pPr>
        <w:pStyle w:val="BookText"/>
      </w:pPr>
      <w:r>
        <w:rPr>
          <w:rFonts w:ascii="Amiri" w:hAnsi="Amiri" w:eastAsia="Amiri" w:cs="Amiri"/>
          <w:lang w:bidi="ar-SA"/>
          <w:color w:val="111111"/>
          <w:sz w:val="28"/>
          <w:szCs w:val="28"/>
          <w:rtl/>
        </w:rPr>
        <w:t xml:space="preserve">2 .شرح الشافية، ج 9، ص 594.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الكافية = شرح رضي، ج 10،</w:t>
      </w:r>
    </w:p>
    <w:p>
      <w:pPr>
        <w:pStyle w:val="BookText"/>
      </w:pPr>
      <w:r>
        <w:rPr>
          <w:rFonts w:ascii="IRNazanin" w:hAnsi="IRNazanin" w:eastAsia="IRNazanin" w:cs="IRNazanin"/>
          <w:lang w:bidi="fa-IR"/>
          <w:color w:val="111111"/>
          <w:sz w:val="28"/>
          <w:szCs w:val="28"/>
          <w:rtl/>
        </w:rPr>
        <w:t xml:space="preserve">ص28.</w:t>
      </w:r>
    </w:p>
    <w:p>
      <w:pPr>
        <w:pStyle w:val="BookText"/>
      </w:pPr>
      <w:r>
        <w:rPr>
          <w:rFonts w:ascii="Amiri" w:hAnsi="Amiri" w:eastAsia="Amiri" w:cs="Amiri"/>
          <w:lang w:bidi="ar-SA"/>
          <w:color w:val="111111"/>
          <w:sz w:val="28"/>
          <w:szCs w:val="28"/>
          <w:rtl/>
        </w:rPr>
        <w:t xml:space="preserve">رضي الدين علي بن محمّد نيلي- نيلي</w:t>
      </w:r>
    </w:p>
    <w:p>
      <w:pPr>
        <w:pStyle w:val="BookText"/>
      </w:pPr>
      <w:r>
        <w:rPr>
          <w:rFonts w:ascii="Amiri" w:hAnsi="Amiri" w:eastAsia="Amiri" w:cs="Amiri"/>
          <w:lang w:bidi="ar-SA"/>
          <w:color w:val="111111"/>
          <w:sz w:val="28"/>
          <w:szCs w:val="28"/>
          <w:rtl/>
        </w:rPr>
        <w:t xml:space="preserve">رضي الدين علي بن محمّد</w:t>
      </w:r>
    </w:p>
    <w:p>
      <w:pPr>
        <w:pStyle w:val="BookText"/>
      </w:pPr>
      <w:r>
        <w:rPr>
          <w:rFonts w:ascii="Amiri" w:hAnsi="Amiri" w:eastAsia="Amiri" w:cs="Amiri"/>
          <w:lang w:bidi="ar-SA"/>
          <w:color w:val="111111"/>
          <w:sz w:val="28"/>
          <w:szCs w:val="28"/>
          <w:rtl/>
        </w:rPr>
        <w:t xml:space="preserve">رضي الدين قزويني ، احمد بن اسماعيل - قزويني ، احمد بن اسماعيل</w:t>
      </w:r>
    </w:p>
    <w:p>
      <w:pPr>
        <w:pStyle w:val="BookText"/>
      </w:pPr>
      <w:r>
        <w:rPr>
          <w:rFonts w:ascii="Amiri" w:hAnsi="Amiri" w:eastAsia="Amiri" w:cs="Amiri"/>
          <w:lang w:bidi="ar-SA"/>
          <w:color w:val="111111"/>
          <w:sz w:val="28"/>
          <w:szCs w:val="28"/>
          <w:rtl/>
        </w:rPr>
        <w:t xml:space="preserve">رضي الدين لاري- لاري ، رضي الدين</w:t>
      </w:r>
    </w:p>
    <w:p>
      <w:pPr>
        <w:pStyle w:val="BookText"/>
      </w:pPr>
      <w:r>
        <w:rPr>
          <w:rFonts w:ascii="IRNazanin" w:hAnsi="IRNazanin" w:eastAsia="IRNazanin" w:cs="IRNazanin"/>
          <w:lang w:bidi="fa-IR"/>
          <w:color w:val="111111"/>
          <w:sz w:val="28"/>
          <w:szCs w:val="28"/>
          <w:rtl/>
        </w:rPr>
        <w:t xml:space="preserve">عبدالغفور</w:t>
      </w:r>
    </w:p>
    <w:p>
      <w:pPr>
        <w:pStyle w:val="BookText"/>
      </w:pPr>
      <w:r>
        <w:rPr>
          <w:rFonts w:ascii="Amiri" w:hAnsi="Amiri" w:eastAsia="Amiri" w:cs="Amiri"/>
          <w:lang w:bidi="ar-SA"/>
          <w:color w:val="111111"/>
          <w:sz w:val="28"/>
          <w:szCs w:val="28"/>
          <w:rtl/>
        </w:rPr>
        <w:t xml:space="preserve">رضي بن احمد علوي - علوي ، ابوالحسن بن احمد</w:t>
      </w:r>
    </w:p>
    <w:p>
      <w:pPr>
        <w:pStyle w:val="BookText"/>
      </w:pPr>
      <w:r>
        <w:rPr>
          <w:rFonts w:ascii="Amiri" w:hAnsi="Amiri" w:eastAsia="Amiri" w:cs="Amiri"/>
          <w:lang w:bidi="ar-SA"/>
          <w:color w:val="111111"/>
          <w:sz w:val="28"/>
          <w:szCs w:val="28"/>
          <w:rtl/>
        </w:rPr>
        <w:t xml:space="preserve">رضي بن نبي قزويني قزويني ، محمّد</w:t>
      </w:r>
    </w:p>
    <w:p>
      <w:pPr>
        <w:pStyle w:val="BookText"/>
      </w:pPr>
      <w:r>
        <w:rPr>
          <w:rFonts w:ascii="Amiri" w:hAnsi="Amiri" w:eastAsia="Amiri" w:cs="Amiri"/>
          <w:lang w:bidi="ar-SA"/>
          <w:color w:val="111111"/>
          <w:sz w:val="28"/>
          <w:szCs w:val="28"/>
          <w:rtl/>
        </w:rPr>
        <w:t xml:space="preserve">رضي بن محمّد نبي</w:t>
      </w:r>
    </w:p>
    <w:p>
      <w:pPr>
        <w:pStyle w:val="BookText"/>
      </w:pPr>
      <w:r>
        <w:rPr>
          <w:rFonts w:ascii="Amiri" w:hAnsi="Amiri" w:eastAsia="Amiri" w:cs="Amiri"/>
          <w:lang w:bidi="ar-SA"/>
          <w:color w:val="111111"/>
          <w:sz w:val="28"/>
          <w:szCs w:val="28"/>
          <w:rtl/>
        </w:rPr>
        <w:t xml:space="preserve">رضي قزويني- قزويني ، محمّد رضي بن</w:t>
      </w:r>
    </w:p>
    <w:p>
      <w:pPr>
        <w:pStyle w:val="BookText"/>
      </w:pPr>
      <w:r>
        <w:rPr>
          <w:rFonts w:ascii="Amiri" w:hAnsi="Amiri" w:eastAsia="Amiri" w:cs="Amiri"/>
          <w:lang w:bidi="ar-SA"/>
          <w:color w:val="111111"/>
          <w:sz w:val="28"/>
          <w:szCs w:val="28"/>
          <w:rtl/>
        </w:rPr>
        <w:t xml:space="preserve">محمّد نبي</w:t>
      </w:r>
    </w:p>
    <w:p>
      <w:pPr>
        <w:pStyle w:val="BookText"/>
      </w:pPr>
      <w:r>
        <w:rPr>
          <w:rFonts w:ascii="Amiri" w:hAnsi="Amiri" w:eastAsia="Amiri" w:cs="Amiri"/>
          <w:lang w:bidi="ar-SA"/>
          <w:color w:val="111111"/>
          <w:sz w:val="28"/>
          <w:szCs w:val="28"/>
          <w:rtl/>
        </w:rPr>
        <w:t xml:space="preserve">رضي قزويني ، محمّد بن حسن- قزويني ،</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رعيني ، ابو عبد الله محمّد- حطاب ، محمّد</w:t>
      </w:r>
    </w:p>
    <w:p>
      <w:pPr>
        <w:pStyle w:val="BookText"/>
      </w:pPr>
      <w:r>
        <w:rPr>
          <w:rFonts w:ascii="Amiri" w:hAnsi="Amiri" w:eastAsia="Amiri" w:cs="Amiri"/>
          <w:lang w:bidi="ar-SA"/>
          <w:color w:val="111111"/>
          <w:sz w:val="28"/>
          <w:szCs w:val="28"/>
          <w:rtl/>
        </w:rPr>
        <w:t xml:space="preserve">بن محمّد</w:t>
      </w:r>
    </w:p>
    <w:p>
      <w:pPr>
        <w:pStyle w:val="Heading2"/>
      </w:pPr>
      <w:bookmarkStart w:id="4537" w:name="_Toc3639"/>
      <w:r>
        <w:t>رعيني ، احمد بن يوسف، 700 - 779 ه-</w:t>
      </w:r>
      <w:bookmarkEnd w:id="45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البديعية، ج 9، ص282.</w:t>
      </w:r>
    </w:p>
    <w:p>
      <w:pPr>
        <w:pStyle w:val="BookText"/>
      </w:pPr>
      <w:r>
        <w:rPr>
          <w:rFonts w:ascii="Amiri" w:hAnsi="Amiri" w:eastAsia="Amiri" w:cs="Amiri"/>
          <w:lang w:bidi="ar-SA"/>
          <w:color w:val="111111"/>
          <w:sz w:val="28"/>
          <w:szCs w:val="28"/>
          <w:rtl/>
        </w:rPr>
        <w:t xml:space="preserve">2 .طراز الحلة و شفاء الغلة، ج 10،</w:t>
      </w:r>
    </w:p>
    <w:p>
      <w:pPr>
        <w:pStyle w:val="BookText"/>
      </w:pPr>
      <w:r>
        <w:rPr>
          <w:rFonts w:ascii="IRNazanin" w:hAnsi="IRNazanin" w:eastAsia="IRNazanin" w:cs="IRNazanin"/>
          <w:lang w:bidi="fa-IR"/>
          <w:color w:val="111111"/>
          <w:sz w:val="28"/>
          <w:szCs w:val="28"/>
          <w:rtl/>
        </w:rPr>
        <w:t xml:space="preserve">ص 807</w:t>
      </w:r>
    </w:p>
    <w:p>
      <w:pPr>
        <w:pStyle w:val="Heading2"/>
      </w:pPr>
      <w:bookmarkStart w:id="4538" w:name="_Toc3640"/>
      <w:r>
        <w:t>رعيني ، شريح بن محمّد، 451 - 539 ه-</w:t>
      </w:r>
      <w:bookmarkEnd w:id="4538"/>
    </w:p>
    <w:p>
      <w:pPr>
        <w:pStyle w:val="BookText"/>
      </w:pPr>
      <w:r>
        <w:rPr>
          <w:rFonts w:ascii="Amiri" w:hAnsi="Amiri" w:eastAsia="Amiri" w:cs="Amiri"/>
          <w:lang w:bidi="ar-SA"/>
          <w:color w:val="111111"/>
          <w:sz w:val="28"/>
          <w:szCs w:val="28"/>
          <w:rtl/>
        </w:rPr>
        <w:t xml:space="preserve">القراءات (رسالة في)، ج 12، ص 541.</w:t>
      </w:r>
    </w:p>
    <w:p>
      <w:pPr>
        <w:pStyle w:val="BookText"/>
      </w:pPr>
      <w:r>
        <w:rPr>
          <w:rFonts w:ascii="Amiri" w:hAnsi="Amiri" w:eastAsia="Amiri" w:cs="Amiri"/>
          <w:lang w:bidi="ar-SA"/>
          <w:color w:val="111111"/>
          <w:sz w:val="28"/>
          <w:szCs w:val="28"/>
          <w:rtl/>
        </w:rPr>
        <w:t xml:space="preserve">رعيني ، قاسم بن فيره -شاطبي ، قاسم بن فيره</w:t>
      </w:r>
    </w:p>
    <w:p>
      <w:pPr>
        <w:pStyle w:val="BookText"/>
      </w:pPr>
      <w:r>
        <w:rPr>
          <w:rFonts w:ascii="Amiri" w:hAnsi="Amiri" w:eastAsia="Amiri" w:cs="Amiri"/>
          <w:lang w:bidi="ar-SA"/>
          <w:color w:val="111111"/>
          <w:sz w:val="28"/>
          <w:szCs w:val="28"/>
          <w:rtl/>
        </w:rPr>
        <w:t xml:space="preserve">رعيني ، محمّد بن محمّد- حطاب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رعيني ، يحيى بن محمّد- خطاب ، يحيى</w:t>
      </w:r>
    </w:p>
    <w:p>
      <w:pPr>
        <w:pStyle w:val="BookText"/>
      </w:pPr>
      <w:r>
        <w:rPr>
          <w:rFonts w:ascii="Amiri" w:hAnsi="Amiri" w:eastAsia="Amiri" w:cs="Amiri"/>
          <w:lang w:bidi="ar-SA"/>
          <w:color w:val="111111"/>
          <w:sz w:val="28"/>
          <w:szCs w:val="28"/>
          <w:rtl/>
        </w:rPr>
        <w:t xml:space="preserve">بن محمّد</w:t>
      </w:r>
    </w:p>
    <w:p>
      <w:pPr>
        <w:pStyle w:val="Heading2"/>
      </w:pPr>
      <w:bookmarkStart w:id="4539" w:name="_Toc3641"/>
      <w:r>
        <w:t>رفاء كندي، سري بن احمد - 366 ؟ ه-</w:t>
      </w:r>
      <w:bookmarkEnd w:id="4539"/>
    </w:p>
    <w:p>
      <w:pPr>
        <w:pStyle w:val="BookText"/>
      </w:pPr>
      <w:r>
        <w:rPr>
          <w:rFonts w:ascii="Amiri" w:hAnsi="Amiri" w:eastAsia="Amiri" w:cs="Amiri"/>
          <w:lang w:bidi="ar-SA"/>
          <w:color w:val="111111"/>
          <w:sz w:val="28"/>
          <w:szCs w:val="28"/>
          <w:rtl/>
        </w:rPr>
        <w:t xml:space="preserve">1 .ديوان السري الرفاء، ج 7، ص 651.</w:t>
      </w:r>
    </w:p>
    <w:p>
      <w:pPr>
        <w:pStyle w:val="BookText"/>
      </w:pPr>
      <w:r>
        <w:rPr>
          <w:rFonts w:ascii="IRNazanin" w:hAnsi="IRNazanin" w:eastAsia="IRNazanin" w:cs="IRNazanin"/>
          <w:lang w:bidi="fa-IR"/>
          <w:color w:val="111111"/>
          <w:sz w:val="28"/>
          <w:szCs w:val="28"/>
          <w:rtl/>
        </w:rPr>
        <w:t xml:space="preserve">2 .المحب والمحبوب و المشموم و</w:t>
      </w:r>
    </w:p>
    <w:p>
      <w:pPr>
        <w:pStyle w:val="BookText"/>
      </w:pPr>
      <w:r>
        <w:rPr>
          <w:rFonts w:ascii="IRNazanin" w:hAnsi="IRNazanin" w:eastAsia="IRNazanin" w:cs="IRNazanin"/>
          <w:lang w:bidi="fa-IR"/>
          <w:color w:val="111111"/>
          <w:sz w:val="28"/>
          <w:szCs w:val="28"/>
          <w:rtl/>
        </w:rPr>
        <w:t xml:space="preserve">المشروب، ج 14، ص 109.</w:t>
      </w:r>
    </w:p>
    <w:p>
      <w:pPr>
        <w:pStyle w:val="BookText"/>
      </w:pPr>
      <w:r>
        <w:rPr>
          <w:rFonts w:ascii="Amiri" w:hAnsi="Amiri" w:eastAsia="Amiri" w:cs="Amiri"/>
          <w:lang w:bidi="ar-SA"/>
          <w:color w:val="111111"/>
          <w:sz w:val="28"/>
          <w:szCs w:val="28"/>
          <w:rtl/>
        </w:rPr>
        <w:t xml:space="preserve">رفاء كندي موصلي، سري بن احمد- رفاء</w:t>
      </w:r>
    </w:p>
    <w:p>
      <w:pPr>
        <w:pStyle w:val="BookText"/>
      </w:pPr>
      <w:r>
        <w:rPr>
          <w:rFonts w:ascii="IRNazanin" w:hAnsi="IRNazanin" w:eastAsia="IRNazanin" w:cs="IRNazanin"/>
          <w:lang w:bidi="fa-IR"/>
          <w:color w:val="111111"/>
          <w:sz w:val="28"/>
          <w:szCs w:val="28"/>
          <w:rtl/>
        </w:rPr>
        <w:t xml:space="preserve">کندي، سري بن احمد</w:t>
      </w:r>
    </w:p>
    <w:p>
      <w:pPr>
        <w:pStyle w:val="BookText"/>
      </w:pPr>
      <w:r>
        <w:rPr>
          <w:rFonts w:ascii="Amiri" w:hAnsi="Amiri" w:eastAsia="Amiri" w:cs="Amiri"/>
          <w:lang w:bidi="ar-SA"/>
          <w:color w:val="111111"/>
          <w:sz w:val="28"/>
          <w:szCs w:val="28"/>
          <w:rtl/>
        </w:rPr>
        <w:t xml:space="preserve">رفا ، ابوالحسن السري - رفاء كندي، سري</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رفا ، احمد بن عبدالله -ابونعیم اصفهاني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رفا ، سري بن احمد -رفاء كندي، سري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4540" w:name="_Toc3642"/>
      <w:r>
        <w:t>رفاعي، ابراهيم بن بدرالدین، قرن 13</w:t>
      </w:r>
      <w:bookmarkEnd w:id="4540"/>
    </w:p>
    <w:p>
      <w:pPr>
        <w:pStyle w:val="BookText"/>
      </w:pPr>
      <w:r>
        <w:rPr>
          <w:rFonts w:ascii="Amiri" w:hAnsi="Amiri" w:eastAsia="Amiri" w:cs="Amiri"/>
          <w:lang w:bidi="ar-SA"/>
          <w:color w:val="111111"/>
          <w:sz w:val="28"/>
          <w:szCs w:val="28"/>
          <w:rtl/>
        </w:rPr>
        <w:t xml:space="preserve">البدر الطالع في ملة النبي الشافع، ج 3،</w:t>
      </w:r>
    </w:p>
    <w:p>
      <w:pPr>
        <w:pStyle w:val="BookText"/>
      </w:pPr>
      <w:r>
        <w:rPr>
          <w:rFonts w:ascii="IRNazanin" w:hAnsi="IRNazanin" w:eastAsia="IRNazanin" w:cs="IRNazanin"/>
          <w:lang w:bidi="fa-IR"/>
          <w:color w:val="111111"/>
          <w:sz w:val="28"/>
          <w:szCs w:val="28"/>
          <w:rtl/>
        </w:rPr>
        <w:t xml:space="preserve">ص 265.</w:t>
      </w:r>
    </w:p>
    <w:p>
      <w:pPr>
        <w:pStyle w:val="BookText"/>
      </w:pPr>
      <w:r>
        <w:rPr>
          <w:rFonts w:ascii="Amiri" w:hAnsi="Amiri" w:eastAsia="Amiri" w:cs="Amiri"/>
          <w:lang w:bidi="ar-SA"/>
          <w:color w:val="111111"/>
          <w:sz w:val="28"/>
          <w:szCs w:val="28"/>
          <w:rtl/>
        </w:rPr>
        <w:t xml:space="preserve">رفاعي ، ابوالفتح بن محمّد- واسطي ،</w:t>
      </w:r>
    </w:p>
    <w:p>
      <w:pPr>
        <w:pStyle w:val="BookText"/>
      </w:pPr>
      <w:r>
        <w:rPr>
          <w:rFonts w:ascii="IRNazanin" w:hAnsi="IRNazanin" w:eastAsia="IRNazanin" w:cs="IRNazanin"/>
          <w:lang w:bidi="fa-IR"/>
          <w:color w:val="111111"/>
          <w:sz w:val="28"/>
          <w:szCs w:val="28"/>
          <w:rtl/>
        </w:rPr>
        <w:t xml:space="preserve">ابوالفتح بن محمّد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1" w:name="pg7742_70437"/>
    <w:bookmarkEnd w:id="521"/>
    <w:p>
      <w:pPr>
        <w:pStyle w:val="Heading2"/>
      </w:pPr>
      <w:bookmarkStart w:id="4541" w:name="_Toc3643"/>
      <w:r>
        <w:t>رفاعي ، احمد، قرن 13 ه-</w:t>
      </w:r>
      <w:bookmarkEnd w:id="4541"/>
    </w:p>
    <w:p>
      <w:pPr>
        <w:pStyle w:val="BookText"/>
      </w:pPr>
      <w:r>
        <w:rPr>
          <w:rFonts w:ascii="Amiri" w:hAnsi="Amiri" w:eastAsia="Amiri" w:cs="Amiri"/>
          <w:lang w:bidi="ar-SA"/>
          <w:color w:val="111111"/>
          <w:sz w:val="28"/>
          <w:szCs w:val="28"/>
          <w:rtl/>
        </w:rPr>
        <w:t xml:space="preserve">شرح الآجرومية في النحو، ج9، ص123.</w:t>
      </w:r>
    </w:p>
    <w:p>
      <w:pPr>
        <w:pStyle w:val="BookText"/>
      </w:pPr>
      <w:r>
        <w:rPr>
          <w:rFonts w:ascii="Amiri" w:hAnsi="Amiri" w:eastAsia="Amiri" w:cs="Amiri"/>
          <w:lang w:bidi="ar-SA"/>
          <w:color w:val="111111"/>
          <w:sz w:val="28"/>
          <w:szCs w:val="28"/>
          <w:rtl/>
        </w:rPr>
        <w:t xml:space="preserve">رفاعي ، احمد بن عبد الرحمن- مسلم</w:t>
      </w:r>
    </w:p>
    <w:p>
      <w:pPr>
        <w:pStyle w:val="BookText"/>
      </w:pPr>
      <w:r>
        <w:rPr>
          <w:rFonts w:ascii="Amiri" w:hAnsi="Amiri" w:eastAsia="Amiri" w:cs="Amiri"/>
          <w:lang w:bidi="ar-SA"/>
          <w:color w:val="111111"/>
          <w:sz w:val="28"/>
          <w:szCs w:val="28"/>
          <w:rtl/>
        </w:rPr>
        <w:t xml:space="preserve">موصلي ، احمد بن عبدالرحمن</w:t>
      </w:r>
    </w:p>
    <w:p>
      <w:pPr>
        <w:pStyle w:val="Heading2"/>
      </w:pPr>
      <w:bookmarkStart w:id="4542" w:name="_Toc3644"/>
      <w:r>
        <w:t>رفاعي ، احمد بن علي، 4512 - 578 ه-</w:t>
      </w:r>
      <w:bookmarkEnd w:id="4542"/>
    </w:p>
    <w:p>
      <w:pPr>
        <w:pStyle w:val="BookText"/>
      </w:pPr>
      <w:r>
        <w:rPr>
          <w:rFonts w:ascii="Amiri" w:hAnsi="Amiri" w:eastAsia="Amiri" w:cs="Amiri"/>
          <w:lang w:bidi="ar-SA"/>
          <w:color w:val="111111"/>
          <w:sz w:val="28"/>
          <w:szCs w:val="28"/>
          <w:rtl/>
        </w:rPr>
        <w:t xml:space="preserve">1 .البهجة، ج 3، ص 412.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حكم الرفاعي، ج 6، ص 755 .</w:t>
      </w:r>
    </w:p>
    <w:p>
      <w:pPr>
        <w:pStyle w:val="BookText"/>
      </w:pPr>
      <w:r>
        <w:rPr>
          <w:rFonts w:ascii="Amiri" w:hAnsi="Amiri" w:eastAsia="Amiri" w:cs="Amiri"/>
          <w:lang w:bidi="ar-SA"/>
          <w:color w:val="111111"/>
          <w:sz w:val="28"/>
          <w:szCs w:val="28"/>
          <w:rtl/>
        </w:rPr>
        <w:t xml:space="preserve">3 .النور الجلي في اخبار السيّد سلطان</w:t>
      </w:r>
    </w:p>
    <w:p>
      <w:pPr>
        <w:pStyle w:val="BookText"/>
      </w:pPr>
      <w:r>
        <w:rPr>
          <w:rFonts w:ascii="Amiri" w:hAnsi="Amiri" w:eastAsia="Amiri" w:cs="Amiri"/>
          <w:lang w:bidi="ar-SA"/>
          <w:color w:val="111111"/>
          <w:sz w:val="28"/>
          <w:szCs w:val="28"/>
          <w:rtl/>
        </w:rPr>
        <w:t xml:space="preserve">علي، ج 16، ص 557.</w:t>
      </w:r>
    </w:p>
    <w:p>
      <w:pPr>
        <w:pStyle w:val="BookText"/>
      </w:pPr>
      <w:r>
        <w:rPr>
          <w:rFonts w:ascii="Amiri" w:hAnsi="Amiri" w:eastAsia="Amiri" w:cs="Amiri"/>
          <w:lang w:bidi="ar-SA"/>
          <w:color w:val="111111"/>
          <w:sz w:val="28"/>
          <w:szCs w:val="28"/>
          <w:rtl/>
        </w:rPr>
        <w:t xml:space="preserve">رفاعي ، احمد بن محمّد -سبعي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رفاعي ، عبدالباري - عشماوي ، عبدالباري</w:t>
      </w:r>
    </w:p>
    <w:p>
      <w:pPr>
        <w:pStyle w:val="BookText"/>
      </w:pPr>
      <w:r>
        <w:rPr>
          <w:rFonts w:ascii="Amiri" w:hAnsi="Amiri" w:eastAsia="Amiri" w:cs="Amiri"/>
          <w:lang w:bidi="ar-SA"/>
          <w:color w:val="111111"/>
          <w:sz w:val="28"/>
          <w:szCs w:val="28"/>
          <w:rtl/>
        </w:rPr>
        <w:t xml:space="preserve">رفاعي ، عبدالرحمن بن</w:t>
      </w:r>
    </w:p>
    <w:p>
      <w:pPr>
        <w:pStyle w:val="BookText"/>
      </w:pPr>
      <w:r>
        <w:rPr>
          <w:rFonts w:ascii="Amiri" w:hAnsi="Amiri" w:eastAsia="Amiri" w:cs="Amiri"/>
          <w:lang w:bidi="ar-SA"/>
          <w:color w:val="111111"/>
          <w:sz w:val="28"/>
          <w:szCs w:val="28"/>
          <w:rtl/>
        </w:rPr>
        <w:t xml:space="preserve">عبد المحسن- واسطي ، عبدالرحمن بن</w:t>
      </w:r>
    </w:p>
    <w:p>
      <w:pPr>
        <w:pStyle w:val="BookText"/>
      </w:pPr>
      <w:r>
        <w:rPr>
          <w:rFonts w:ascii="IRNazanin" w:hAnsi="IRNazanin" w:eastAsia="IRNazanin" w:cs="IRNazanin"/>
          <w:lang w:bidi="fa-IR"/>
          <w:color w:val="111111"/>
          <w:sz w:val="28"/>
          <w:szCs w:val="28"/>
          <w:rtl/>
        </w:rPr>
        <w:t xml:space="preserve">عبد المحسن</w:t>
      </w:r>
    </w:p>
    <w:p>
      <w:pPr>
        <w:pStyle w:val="BookText"/>
      </w:pPr>
      <w:r>
        <w:rPr>
          <w:rFonts w:ascii="Amiri" w:hAnsi="Amiri" w:eastAsia="Amiri" w:cs="Amiri"/>
          <w:lang w:bidi="ar-SA"/>
          <w:color w:val="111111"/>
          <w:sz w:val="28"/>
          <w:szCs w:val="28"/>
          <w:rtl/>
        </w:rPr>
        <w:t xml:space="preserve">رفاعي ، غلام -نقشبندي ، محمّد رفيع</w:t>
      </w:r>
    </w:p>
    <w:p>
      <w:pPr>
        <w:pStyle w:val="BookText"/>
      </w:pPr>
      <w:r>
        <w:rPr>
          <w:rFonts w:ascii="IRNazanin" w:hAnsi="IRNazanin" w:eastAsia="IRNazanin" w:cs="IRNazanin"/>
          <w:lang w:bidi="fa-IR"/>
          <w:color w:val="111111"/>
          <w:sz w:val="28"/>
          <w:szCs w:val="28"/>
          <w:rtl/>
        </w:rPr>
        <w:t xml:space="preserve">الدين بن محمّد شمس الدین</w:t>
      </w:r>
    </w:p>
    <w:p>
      <w:pPr>
        <w:pStyle w:val="Heading2"/>
      </w:pPr>
      <w:bookmarkStart w:id="4543" w:name="_Toc3645"/>
      <w:r>
        <w:t>رفاعي ، محمّد بن حسن - 1328</w:t>
      </w:r>
      <w:bookmarkEnd w:id="4543"/>
    </w:p>
    <w:p>
      <w:pPr>
        <w:pStyle w:val="BookText"/>
      </w:pPr>
      <w:r>
        <w:rPr>
          <w:rFonts w:ascii="Amiri" w:hAnsi="Amiri" w:eastAsia="Amiri" w:cs="Amiri"/>
          <w:lang w:bidi="ar-SA"/>
          <w:color w:val="111111"/>
          <w:sz w:val="28"/>
          <w:szCs w:val="28"/>
          <w:rtl/>
        </w:rPr>
        <w:t xml:space="preserve">شفاء القلوب في احاديث النبي المحبوب، ج 10، ص390.</w:t>
      </w:r>
    </w:p>
    <w:p>
      <w:pPr>
        <w:pStyle w:val="BookText"/>
      </w:pPr>
      <w:r>
        <w:rPr>
          <w:rFonts w:ascii="Amiri" w:hAnsi="Amiri" w:eastAsia="Amiri" w:cs="Amiri"/>
          <w:lang w:bidi="ar-SA"/>
          <w:color w:val="111111"/>
          <w:sz w:val="28"/>
          <w:szCs w:val="28"/>
          <w:rtl/>
        </w:rPr>
        <w:t xml:space="preserve">رفاعي ، محمّد بن عبد الرحيم- صياد</w:t>
      </w:r>
    </w:p>
    <w:p>
      <w:pPr>
        <w:pStyle w:val="BookText"/>
      </w:pPr>
      <w:r>
        <w:rPr>
          <w:rFonts w:ascii="Amiri" w:hAnsi="Amiri" w:eastAsia="Amiri" w:cs="Amiri"/>
          <w:lang w:bidi="ar-SA"/>
          <w:color w:val="111111"/>
          <w:sz w:val="28"/>
          <w:szCs w:val="28"/>
          <w:rtl/>
        </w:rPr>
        <w:t xml:space="preserve">رفاعي ، محمّد بن عبدالرحيم</w:t>
      </w:r>
    </w:p>
    <w:p>
      <w:pPr>
        <w:pStyle w:val="BookText"/>
      </w:pPr>
      <w:r>
        <w:rPr>
          <w:rFonts w:ascii="Amiri" w:hAnsi="Amiri" w:eastAsia="Amiri" w:cs="Amiri"/>
          <w:lang w:bidi="ar-SA"/>
          <w:color w:val="111111"/>
          <w:sz w:val="28"/>
          <w:szCs w:val="28"/>
          <w:rtl/>
        </w:rPr>
        <w:t xml:space="preserve">رفاعي ، محمّد بن عبدالله -مخزومي</w:t>
      </w:r>
    </w:p>
    <w:p>
      <w:pPr>
        <w:pStyle w:val="BookText"/>
      </w:pPr>
      <w:r>
        <w:rPr>
          <w:rFonts w:ascii="IRNazanin" w:hAnsi="IRNazanin" w:eastAsia="IRNazanin" w:cs="IRNazanin"/>
          <w:lang w:bidi="fa-IR"/>
          <w:color w:val="111111"/>
          <w:sz w:val="28"/>
          <w:szCs w:val="28"/>
          <w:rtl/>
        </w:rPr>
        <w:t xml:space="preserve">محمّد بن عبدالله</w:t>
      </w:r>
    </w:p>
    <w:p>
      <w:pPr>
        <w:pStyle w:val="Heading2"/>
      </w:pPr>
      <w:bookmarkStart w:id="4544" w:name="_Toc3646"/>
      <w:r>
        <w:t>رفاعي ، محمّد بن علي قرن 10 ه-</w:t>
      </w:r>
      <w:bookmarkEnd w:id="4544"/>
    </w:p>
    <w:p>
      <w:pPr>
        <w:pStyle w:val="BookText"/>
      </w:pPr>
      <w:r>
        <w:rPr>
          <w:rFonts w:ascii="Amiri" w:hAnsi="Amiri" w:eastAsia="Amiri" w:cs="Amiri"/>
          <w:lang w:bidi="ar-SA"/>
          <w:color w:val="111111"/>
          <w:sz w:val="28"/>
          <w:szCs w:val="28"/>
          <w:rtl/>
        </w:rPr>
        <w:t xml:space="preserve">الكلام ( رسالة في) = علم الكلام (رسالة</w:t>
      </w:r>
    </w:p>
    <w:p>
      <w:pPr>
        <w:pStyle w:val="BookText"/>
      </w:pPr>
      <w:r>
        <w:rPr>
          <w:rFonts w:ascii="Amiri" w:hAnsi="Amiri" w:eastAsia="Amiri" w:cs="Amiri"/>
          <w:lang w:bidi="ar-SA"/>
          <w:color w:val="111111"/>
          <w:sz w:val="28"/>
          <w:szCs w:val="28"/>
          <w:rtl/>
        </w:rPr>
        <w:t xml:space="preserve">في)، ج 13 ، ص 349.</w:t>
      </w:r>
    </w:p>
    <w:p>
      <w:pPr>
        <w:pStyle w:val="BookText"/>
      </w:pPr>
      <w:r>
        <w:rPr>
          <w:rFonts w:ascii="Amiri" w:hAnsi="Amiri" w:eastAsia="Amiri" w:cs="Amiri"/>
          <w:lang w:bidi="ar-SA"/>
          <w:color w:val="111111"/>
          <w:sz w:val="28"/>
          <w:szCs w:val="28"/>
          <w:rtl/>
        </w:rPr>
        <w:t xml:space="preserve">رفاعي ، محمّد مهدي بن علي- رواس ،</w:t>
      </w:r>
    </w:p>
    <w:p>
      <w:pPr>
        <w:pStyle w:val="BookText"/>
      </w:pPr>
      <w:r>
        <w:rPr>
          <w:rFonts w:ascii="Amiri" w:hAnsi="Amiri" w:eastAsia="Amiri" w:cs="Amiri"/>
          <w:lang w:bidi="ar-SA"/>
          <w:color w:val="111111"/>
          <w:sz w:val="28"/>
          <w:szCs w:val="28"/>
          <w:rtl/>
        </w:rPr>
        <w:t xml:space="preserve">محمّد مهدي بن علي</w:t>
      </w:r>
    </w:p>
    <w:p>
      <w:pPr>
        <w:pStyle w:val="BookText"/>
      </w:pPr>
      <w:r>
        <w:rPr>
          <w:rFonts w:ascii="Amiri" w:hAnsi="Amiri" w:eastAsia="Amiri" w:cs="Amiri"/>
          <w:lang w:bidi="ar-SA"/>
          <w:color w:val="111111"/>
          <w:sz w:val="28"/>
          <w:szCs w:val="28"/>
          <w:rtl/>
        </w:rPr>
        <w:t xml:space="preserve">رفاعي مخزومي ، محمّد بن عبد الله- مخزومي ، محمّد بن عبدالله</w:t>
      </w:r>
    </w:p>
    <w:p>
      <w:pPr>
        <w:pStyle w:val="Heading2"/>
      </w:pPr>
      <w:bookmarkStart w:id="4545" w:name="_Toc3647"/>
      <w:r>
        <w:t>رفعت شکور صالحي ، هاشم، قرن 14 ه-</w:t>
      </w:r>
      <w:bookmarkEnd w:id="4545"/>
    </w:p>
    <w:p>
      <w:pPr>
        <w:pStyle w:val="BookText"/>
      </w:pPr>
      <w:r>
        <w:rPr>
          <w:rFonts w:ascii="Amiri" w:hAnsi="Amiri" w:eastAsia="Amiri" w:cs="Amiri"/>
          <w:lang w:bidi="ar-SA"/>
          <w:color w:val="111111"/>
          <w:sz w:val="28"/>
          <w:szCs w:val="28"/>
          <w:rtl/>
        </w:rPr>
        <w:t xml:space="preserve">قصائد دينية، ج 12، ص 589.</w:t>
      </w:r>
    </w:p>
    <w:p>
      <w:pPr>
        <w:pStyle w:val="BookText"/>
      </w:pPr>
      <w:r>
        <w:rPr>
          <w:rFonts w:ascii="Amiri" w:hAnsi="Amiri" w:eastAsia="Amiri" w:cs="Amiri"/>
          <w:lang w:bidi="ar-SA"/>
          <w:color w:val="111111"/>
          <w:sz w:val="28"/>
          <w:szCs w:val="28"/>
          <w:rtl/>
        </w:rPr>
        <w:t xml:space="preserve">رفيع الدين محمّد بن حيدر حسيني طباطبائي نائيني - رفيعا ، محمّد بن حيدر</w:t>
      </w:r>
    </w:p>
    <w:p>
      <w:pPr>
        <w:pStyle w:val="BookText"/>
      </w:pPr>
      <w:r>
        <w:rPr>
          <w:rFonts w:ascii="Amiri" w:hAnsi="Amiri" w:eastAsia="Amiri" w:cs="Amiri"/>
          <w:lang w:bidi="ar-SA"/>
          <w:color w:val="111111"/>
          <w:sz w:val="28"/>
          <w:szCs w:val="28"/>
          <w:rtl/>
        </w:rPr>
        <w:t xml:space="preserve">رفيع الدين نائيني رفيعا ، محمّد بن</w:t>
      </w:r>
    </w:p>
    <w:p>
      <w:pPr>
        <w:pStyle w:val="BookText"/>
      </w:pPr>
      <w:r>
        <w:rPr>
          <w:rFonts w:ascii="Amiri" w:hAnsi="Amiri" w:eastAsia="Amiri" w:cs="Amiri"/>
          <w:lang w:bidi="ar-SA"/>
          <w:color w:val="111111"/>
          <w:sz w:val="28"/>
          <w:szCs w:val="28"/>
          <w:rtl/>
        </w:rPr>
        <w:t xml:space="preserve">حيدر</w:t>
      </w:r>
    </w:p>
    <w:p>
      <w:pPr>
        <w:pStyle w:val="BookText"/>
      </w:pPr>
      <w:r>
        <w:rPr>
          <w:rFonts w:ascii="Amiri" w:hAnsi="Amiri" w:eastAsia="Amiri" w:cs="Amiri"/>
          <w:lang w:bidi="ar-SA"/>
          <w:color w:val="111111"/>
          <w:sz w:val="28"/>
          <w:szCs w:val="28"/>
          <w:rtl/>
        </w:rPr>
        <w:t xml:space="preserve">رفيعا كيلاني ، محمّد رفيع بن فرج -جيلاني</w:t>
      </w:r>
    </w:p>
    <w:p>
      <w:pPr>
        <w:pStyle w:val="BookText"/>
      </w:pPr>
      <w:r>
        <w:rPr>
          <w:rFonts w:ascii="IRNazanin" w:hAnsi="IRNazanin" w:eastAsia="IRNazanin" w:cs="IRNazanin"/>
          <w:lang w:bidi="fa-IR"/>
          <w:color w:val="111111"/>
          <w:sz w:val="28"/>
          <w:szCs w:val="28"/>
          <w:rtl/>
        </w:rPr>
        <w:t xml:space="preserve">، محمّد رفیع بن فرج</w:t>
      </w:r>
    </w:p>
    <w:p>
      <w:pPr>
        <w:pStyle w:val="Heading2"/>
      </w:pPr>
      <w:bookmarkStart w:id="4546" w:name="_Toc3648"/>
      <w:r>
        <w:t>رفيعا ، محمّد بن حيدر، 997 - 1080؟</w:t>
      </w:r>
      <w:bookmarkEnd w:id="4546"/>
    </w:p>
    <w:p>
      <w:pPr>
        <w:pStyle w:val="BookText"/>
      </w:pPr>
      <w:r>
        <w:rPr>
          <w:rFonts w:ascii="IRNazanin" w:hAnsi="IRNazanin" w:eastAsia="IRNazanin" w:cs="IRNazanin"/>
          <w:lang w:bidi="fa-IR"/>
          <w:color w:val="111111"/>
          <w:sz w:val="28"/>
          <w:szCs w:val="28"/>
          <w:rtl/>
        </w:rPr>
        <w:t xml:space="preserve">1 .التشكيك رسالة( في تحقيق مسألة ...) = مقامات = رساله تشكيك در ماهیت = اقسام التشكيك و حقيقته، ج4، ص391.</w:t>
      </w:r>
    </w:p>
    <w:p>
      <w:pPr>
        <w:pStyle w:val="BookText"/>
      </w:pPr>
      <w:r>
        <w:rPr>
          <w:rFonts w:ascii="Amiri" w:hAnsi="Amiri" w:eastAsia="Amiri" w:cs="Amiri"/>
          <w:lang w:bidi="ar-SA"/>
          <w:color w:val="111111"/>
          <w:sz w:val="28"/>
          <w:szCs w:val="28"/>
          <w:rtl/>
        </w:rPr>
        <w:t xml:space="preserve">2 .حاشية الكافي = شرح اصول الكافي</w:t>
      </w:r>
    </w:p>
    <w:p>
      <w:pPr>
        <w:pStyle w:val="BookText"/>
      </w:pPr>
      <w:r>
        <w:rPr>
          <w:rFonts w:ascii="IRNazanin" w:hAnsi="IRNazanin" w:eastAsia="IRNazanin" w:cs="IRNazanin"/>
          <w:lang w:bidi="fa-IR"/>
          <w:color w:val="111111"/>
          <w:sz w:val="28"/>
          <w:szCs w:val="28"/>
          <w:rtl/>
        </w:rPr>
        <w:t xml:space="preserve">ج 6، ص 320.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شواهد الاسلام، ج10، ص 447.</w:t>
      </w:r>
    </w:p>
    <w:p>
      <w:pPr>
        <w:pStyle w:val="BookText"/>
      </w:pPr>
      <w:r>
        <w:rPr>
          <w:rFonts w:ascii="Amiri" w:hAnsi="Amiri" w:eastAsia="Amiri" w:cs="Amiri"/>
          <w:lang w:bidi="ar-SA"/>
          <w:color w:val="111111"/>
          <w:sz w:val="28"/>
          <w:szCs w:val="28"/>
          <w:rtl/>
        </w:rPr>
        <w:t xml:space="preserve">رفيع بن رفيع مشهدي اصفهاني- جيلاني ،</w:t>
      </w:r>
    </w:p>
    <w:p>
      <w:pPr>
        <w:pStyle w:val="BookText"/>
      </w:pPr>
      <w:r>
        <w:rPr>
          <w:rFonts w:ascii="IRNazanin" w:hAnsi="IRNazanin" w:eastAsia="IRNazanin" w:cs="IRNazanin"/>
          <w:lang w:bidi="fa-IR"/>
          <w:color w:val="111111"/>
          <w:sz w:val="28"/>
          <w:szCs w:val="28"/>
          <w:rtl/>
        </w:rPr>
        <w:t xml:space="preserve">محمّد رفیع بن رفيع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2" w:name="pg7742_70439"/>
    <w:bookmarkEnd w:id="522"/>
    <w:p>
      <w:pPr>
        <w:pStyle w:val="Heading2"/>
      </w:pPr>
      <w:bookmarkStart w:id="4547" w:name="_Toc3649"/>
      <w:r>
        <w:t>رفيق اصفهاني ، محمّد حسين 1150؟ -</w:t>
      </w:r>
      <w:bookmarkEnd w:id="4547"/>
    </w:p>
    <w:p>
      <w:pPr>
        <w:pStyle w:val="BookText"/>
      </w:pPr>
      <w:r>
        <w:rPr>
          <w:rFonts w:ascii="IRNazanin" w:hAnsi="IRNazanin" w:eastAsia="IRNazanin" w:cs="IRNazanin"/>
          <w:lang w:bidi="fa-IR"/>
          <w:color w:val="111111"/>
          <w:sz w:val="28"/>
          <w:szCs w:val="28"/>
          <w:rtl/>
        </w:rPr>
        <w:t xml:space="preserve">1212 ؟ ه-</w:t>
      </w:r>
    </w:p>
    <w:p>
      <w:pPr>
        <w:pStyle w:val="BookText"/>
      </w:pPr>
      <w:r>
        <w:rPr>
          <w:rFonts w:ascii="IRNazanin" w:hAnsi="IRNazanin" w:eastAsia="IRNazanin" w:cs="IRNazanin"/>
          <w:lang w:bidi="fa-IR"/>
          <w:color w:val="111111"/>
          <w:sz w:val="28"/>
          <w:szCs w:val="28"/>
          <w:rtl/>
        </w:rPr>
        <w:t xml:space="preserve">دیوان رفيق اصفهاني، ج 7، ص 646 .</w:t>
      </w:r>
    </w:p>
    <w:p>
      <w:pPr>
        <w:pStyle w:val="BookText"/>
      </w:pPr>
      <w:r>
        <w:rPr>
          <w:rFonts w:ascii="Amiri" w:hAnsi="Amiri" w:eastAsia="Amiri" w:cs="Amiri"/>
          <w:lang w:bidi="ar-SA"/>
          <w:color w:val="111111"/>
          <w:sz w:val="28"/>
          <w:szCs w:val="28"/>
          <w:rtl/>
        </w:rPr>
        <w:t xml:space="preserve">رفيق اصفهاني ، ملا حسين- رفيق اصفهاني</w:t>
      </w:r>
    </w:p>
    <w:p>
      <w:pPr>
        <w:pStyle w:val="BookText"/>
      </w:pPr>
      <w:r>
        <w:rPr>
          <w:rFonts w:ascii="Amiri" w:hAnsi="Amiri" w:eastAsia="Amiri" w:cs="Amiri"/>
          <w:lang w:bidi="ar-SA"/>
          <w:color w:val="111111"/>
          <w:sz w:val="28"/>
          <w:szCs w:val="28"/>
          <w:rtl/>
        </w:rPr>
        <w:t xml:space="preserve">، محمّد حسین</w:t>
      </w:r>
    </w:p>
    <w:p>
      <w:pPr>
        <w:pStyle w:val="BookText"/>
      </w:pPr>
      <w:r>
        <w:rPr>
          <w:rFonts w:ascii="Amiri" w:hAnsi="Amiri" w:eastAsia="Amiri" w:cs="Amiri"/>
          <w:lang w:bidi="ar-SA"/>
          <w:color w:val="111111"/>
          <w:sz w:val="28"/>
          <w:szCs w:val="28"/>
          <w:rtl/>
        </w:rPr>
        <w:t xml:space="preserve">رفيق ، محمّد حسين -رفيق اصفهاني ،</w:t>
      </w:r>
    </w:p>
    <w:p>
      <w:pPr>
        <w:pStyle w:val="BookText"/>
      </w:pPr>
      <w:r>
        <w:rPr>
          <w:rFonts w:ascii="Amiri" w:hAnsi="Amiri" w:eastAsia="Amiri" w:cs="Amiri"/>
          <w:lang w:bidi="ar-SA"/>
          <w:color w:val="111111"/>
          <w:sz w:val="28"/>
          <w:szCs w:val="28"/>
          <w:rtl/>
        </w:rPr>
        <w:t xml:space="preserve">محمّد حسين</w:t>
      </w:r>
    </w:p>
    <w:p>
      <w:pPr>
        <w:pStyle w:val="BookText"/>
      </w:pPr>
      <w:r>
        <w:rPr>
          <w:rFonts w:ascii="Amiri" w:hAnsi="Amiri" w:eastAsia="Amiri" w:cs="Amiri"/>
          <w:lang w:bidi="ar-SA"/>
          <w:color w:val="111111"/>
          <w:sz w:val="28"/>
          <w:szCs w:val="28"/>
          <w:rtl/>
        </w:rPr>
        <w:t xml:space="preserve">رفيق ، ملا حسين- رفيق اصفهاني ، محمّد</w:t>
      </w:r>
    </w:p>
    <w:p>
      <w:pPr>
        <w:pStyle w:val="BookText"/>
      </w:pPr>
      <w:r>
        <w:rPr>
          <w:rFonts w:ascii="Amiri" w:hAnsi="Amiri" w:eastAsia="Amiri" w:cs="Amiri"/>
          <w:lang w:bidi="ar-SA"/>
          <w:color w:val="111111"/>
          <w:sz w:val="28"/>
          <w:szCs w:val="28"/>
          <w:rtl/>
        </w:rPr>
        <w:t xml:space="preserve">حسين</w:t>
      </w:r>
    </w:p>
    <w:p>
      <w:pPr>
        <w:pStyle w:val="Heading2"/>
      </w:pPr>
      <w:bookmarkStart w:id="4548" w:name="_Toc3650"/>
      <w:r>
        <w:t>رقا ، محمّد بن علي</w:t>
      </w:r>
      <w:bookmarkEnd w:id="4548"/>
    </w:p>
    <w:p>
      <w:pPr>
        <w:pStyle w:val="BookText"/>
      </w:pPr>
      <w:r>
        <w:rPr>
          <w:rFonts w:ascii="Amiri" w:hAnsi="Amiri" w:eastAsia="Amiri" w:cs="Amiri"/>
          <w:lang w:bidi="ar-SA"/>
          <w:color w:val="111111"/>
          <w:sz w:val="28"/>
          <w:szCs w:val="28"/>
          <w:rtl/>
        </w:rPr>
        <w:t xml:space="preserve">مقدمة حديقة الشيعة وشريعة</w:t>
      </w:r>
    </w:p>
    <w:p>
      <w:pPr>
        <w:pStyle w:val="BookText"/>
      </w:pPr>
      <w:r>
        <w:rPr>
          <w:rFonts w:ascii="Amiri" w:hAnsi="Amiri" w:eastAsia="Amiri" w:cs="Amiri"/>
          <w:lang w:bidi="ar-SA"/>
          <w:color w:val="111111"/>
          <w:sz w:val="28"/>
          <w:szCs w:val="28"/>
          <w:rtl/>
        </w:rPr>
        <w:t xml:space="preserve">الطريقة، ج 15، ص 356.</w:t>
      </w:r>
    </w:p>
    <w:p>
      <w:pPr>
        <w:pStyle w:val="BookText"/>
      </w:pPr>
      <w:r>
        <w:rPr>
          <w:rFonts w:ascii="Amiri" w:hAnsi="Amiri" w:eastAsia="Amiri" w:cs="Amiri"/>
          <w:lang w:bidi="ar-SA"/>
          <w:color w:val="111111"/>
          <w:sz w:val="28"/>
          <w:szCs w:val="28"/>
          <w:rtl/>
        </w:rPr>
        <w:t xml:space="preserve">رقباني اتباني- ابن احمد رقباني ، محمّد بن</w:t>
      </w:r>
    </w:p>
    <w:p>
      <w:pPr>
        <w:pStyle w:val="BookText"/>
      </w:pPr>
      <w:r>
        <w:rPr>
          <w:rFonts w:ascii="Amiri" w:hAnsi="Amiri" w:eastAsia="Amiri" w:cs="Amiri"/>
          <w:lang w:bidi="ar-SA"/>
          <w:color w:val="111111"/>
          <w:sz w:val="28"/>
          <w:szCs w:val="28"/>
          <w:rtl/>
        </w:rPr>
        <w:t xml:space="preserve">حجازي</w:t>
      </w:r>
    </w:p>
    <w:p>
      <w:pPr>
        <w:pStyle w:val="BookText"/>
      </w:pPr>
      <w:r>
        <w:rPr>
          <w:rFonts w:ascii="Amiri" w:hAnsi="Amiri" w:eastAsia="Amiri" w:cs="Amiri"/>
          <w:lang w:bidi="ar-SA"/>
          <w:color w:val="111111"/>
          <w:sz w:val="28"/>
          <w:szCs w:val="28"/>
          <w:rtl/>
        </w:rPr>
        <w:t xml:space="preserve">رقوقي ، سليمان بن محمّد- داقوقي ،</w:t>
      </w:r>
    </w:p>
    <w:p>
      <w:pPr>
        <w:pStyle w:val="BookText"/>
      </w:pPr>
      <w:r>
        <w:rPr>
          <w:rFonts w:ascii="Amiri" w:hAnsi="Amiri" w:eastAsia="Amiri" w:cs="Amiri"/>
          <w:lang w:bidi="ar-SA"/>
          <w:color w:val="111111"/>
          <w:sz w:val="28"/>
          <w:szCs w:val="28"/>
          <w:rtl/>
        </w:rPr>
        <w:t xml:space="preserve">سليمان بن محمّد</w:t>
      </w:r>
    </w:p>
    <w:p>
      <w:pPr>
        <w:pStyle w:val="Heading2"/>
      </w:pPr>
      <w:bookmarkStart w:id="4549" w:name="_Toc3651"/>
      <w:r>
        <w:t>رقي ، ابراهيم بن احمد، 647 - 703 ه-</w:t>
      </w:r>
      <w:bookmarkEnd w:id="4549"/>
    </w:p>
    <w:p>
      <w:pPr>
        <w:pStyle w:val="BookText"/>
      </w:pPr>
      <w:r>
        <w:rPr>
          <w:rFonts w:ascii="Amiri" w:hAnsi="Amiri" w:eastAsia="Amiri" w:cs="Amiri"/>
          <w:lang w:bidi="ar-SA"/>
          <w:color w:val="111111"/>
          <w:sz w:val="28"/>
          <w:szCs w:val="28"/>
          <w:rtl/>
        </w:rPr>
        <w:t xml:space="preserve">احاسن المحاسن = تلخيص صفوة</w:t>
      </w:r>
    </w:p>
    <w:p>
      <w:pPr>
        <w:pStyle w:val="BookText"/>
      </w:pPr>
      <w:r>
        <w:rPr>
          <w:rFonts w:ascii="Amiri" w:hAnsi="Amiri" w:eastAsia="Amiri" w:cs="Amiri"/>
          <w:lang w:bidi="ar-SA"/>
          <w:color w:val="111111"/>
          <w:sz w:val="28"/>
          <w:szCs w:val="28"/>
          <w:rtl/>
        </w:rPr>
        <w:t xml:space="preserve">الصفوة = تراجم الصوفية، ج 1،</w:t>
      </w:r>
    </w:p>
    <w:p>
      <w:pPr>
        <w:pStyle w:val="BookText"/>
      </w:pPr>
      <w:r>
        <w:rPr>
          <w:rFonts w:ascii="IRNazanin" w:hAnsi="IRNazanin" w:eastAsia="IRNazanin" w:cs="IRNazanin"/>
          <w:lang w:bidi="fa-IR"/>
          <w:color w:val="111111"/>
          <w:sz w:val="28"/>
          <w:szCs w:val="28"/>
          <w:rtl/>
        </w:rPr>
        <w:t xml:space="preserve">ص 433 .</w:t>
      </w:r>
    </w:p>
    <w:p>
      <w:pPr>
        <w:pStyle w:val="BookText"/>
      </w:pPr>
      <w:r>
        <w:rPr>
          <w:rFonts w:ascii="Amiri" w:hAnsi="Amiri" w:eastAsia="Amiri" w:cs="Amiri"/>
          <w:lang w:bidi="ar-SA"/>
          <w:color w:val="111111"/>
          <w:sz w:val="28"/>
          <w:szCs w:val="28"/>
          <w:rtl/>
        </w:rPr>
        <w:t xml:space="preserve">رقي ، ابو اسحاق- رقي، ابراهيم بن احمد</w:t>
      </w:r>
    </w:p>
    <w:p>
      <w:pPr>
        <w:pStyle w:val="BookText"/>
      </w:pPr>
      <w:r>
        <w:rPr>
          <w:rFonts w:ascii="Amiri" w:hAnsi="Amiri" w:eastAsia="Amiri" w:cs="Amiri"/>
          <w:lang w:bidi="ar-SA"/>
          <w:color w:val="111111"/>
          <w:sz w:val="28"/>
          <w:szCs w:val="28"/>
          <w:rtl/>
        </w:rPr>
        <w:t xml:space="preserve">رقي، برهان الدين ابراهيم- رقي</w:t>
      </w:r>
    </w:p>
    <w:p>
      <w:pPr>
        <w:pStyle w:val="BookText"/>
      </w:pPr>
      <w:r>
        <w:rPr>
          <w:rFonts w:ascii="Amiri" w:hAnsi="Amiri" w:eastAsia="Amiri" w:cs="Amiri"/>
          <w:lang w:bidi="ar-SA"/>
          <w:color w:val="111111"/>
          <w:sz w:val="28"/>
          <w:szCs w:val="28"/>
          <w:rtl/>
        </w:rPr>
        <w:t xml:space="preserve">ابراهيم بن احمد</w:t>
      </w:r>
    </w:p>
    <w:p>
      <w:pPr>
        <w:pStyle w:val="BookText"/>
      </w:pPr>
      <w:r>
        <w:rPr>
          <w:rFonts w:ascii="Amiri" w:hAnsi="Amiri" w:eastAsia="Amiri" w:cs="Amiri"/>
          <w:lang w:bidi="ar-SA"/>
          <w:color w:val="111111"/>
          <w:sz w:val="28"/>
          <w:szCs w:val="28"/>
          <w:rtl/>
        </w:rPr>
        <w:t xml:space="preserve">رقيق القيرواني- ابن رقيق ، ابراهيم بن</w:t>
      </w:r>
    </w:p>
    <w:p>
      <w:pPr>
        <w:pStyle w:val="BookText"/>
      </w:pPr>
      <w:r>
        <w:rPr>
          <w:rFonts w:ascii="IRNazanin" w:hAnsi="IRNazanin" w:eastAsia="IRNazanin" w:cs="IRNazanin"/>
          <w:lang w:bidi="fa-IR"/>
          <w:color w:val="111111"/>
          <w:sz w:val="28"/>
          <w:szCs w:val="28"/>
          <w:rtl/>
        </w:rPr>
        <w:t xml:space="preserve">قاسم</w:t>
      </w:r>
    </w:p>
    <w:p>
      <w:pPr>
        <w:pStyle w:val="BookText"/>
      </w:pPr>
      <w:r>
        <w:rPr>
          <w:rFonts w:ascii="Amiri" w:hAnsi="Amiri" w:eastAsia="Amiri" w:cs="Amiri"/>
          <w:lang w:bidi="ar-SA"/>
          <w:color w:val="111111"/>
          <w:sz w:val="28"/>
          <w:szCs w:val="28"/>
          <w:rtl/>
        </w:rPr>
        <w:t xml:space="preserve">ركابي ، علي- عجمي ، سيد علي</w:t>
      </w:r>
    </w:p>
    <w:p>
      <w:pPr>
        <w:pStyle w:val="Heading2"/>
      </w:pPr>
      <w:bookmarkStart w:id="4550" w:name="_Toc3652"/>
      <w:r>
        <w:t>رکن الدین احمد</w:t>
      </w:r>
      <w:bookmarkEnd w:id="4550"/>
    </w:p>
    <w:p>
      <w:pPr>
        <w:pStyle w:val="BookText"/>
      </w:pPr>
      <w:r>
        <w:rPr>
          <w:rFonts w:ascii="Amiri" w:hAnsi="Amiri" w:eastAsia="Amiri" w:cs="Amiri"/>
          <w:lang w:bidi="ar-SA"/>
          <w:color w:val="111111"/>
          <w:sz w:val="28"/>
          <w:szCs w:val="28"/>
          <w:rtl/>
        </w:rPr>
        <w:t xml:space="preserve">التجويد، ج 3، ص 702.</w:t>
      </w:r>
    </w:p>
    <w:p>
      <w:pPr>
        <w:pStyle w:val="Heading2"/>
      </w:pPr>
      <w:bookmarkStart w:id="4551" w:name="_Toc3653"/>
      <w:r>
        <w:t>ركن الدين جرجاني ، محمّد بن علي قرن 8ه-</w:t>
      </w:r>
      <w:bookmarkEnd w:id="4551"/>
    </w:p>
    <w:p>
      <w:pPr>
        <w:pStyle w:val="BookText"/>
      </w:pPr>
      <w:r>
        <w:rPr>
          <w:rFonts w:ascii="IRNazanin" w:hAnsi="IRNazanin" w:eastAsia="IRNazanin" w:cs="IRNazanin"/>
          <w:lang w:bidi="fa-IR"/>
          <w:color w:val="111111"/>
          <w:sz w:val="28"/>
          <w:szCs w:val="28"/>
          <w:rtl/>
        </w:rPr>
        <w:t xml:space="preserve">1 .اوصاف الاشراف (ترجمه)، ج 3،</w:t>
      </w:r>
    </w:p>
    <w:p>
      <w:pPr>
        <w:pStyle w:val="BookText"/>
      </w:pPr>
      <w:r>
        <w:rPr>
          <w:rFonts w:ascii="IRNazanin" w:hAnsi="IRNazanin" w:eastAsia="IRNazanin" w:cs="IRNazanin"/>
          <w:lang w:bidi="fa-IR"/>
          <w:color w:val="111111"/>
          <w:sz w:val="28"/>
          <w:szCs w:val="28"/>
          <w:rtl/>
        </w:rPr>
        <w:t xml:space="preserve">ص 76 .</w:t>
      </w:r>
    </w:p>
    <w:p>
      <w:pPr>
        <w:pStyle w:val="BookText"/>
      </w:pPr>
      <w:r>
        <w:rPr>
          <w:rFonts w:ascii="Amiri" w:hAnsi="Amiri" w:eastAsia="Amiri" w:cs="Amiri"/>
          <w:lang w:bidi="ar-SA"/>
          <w:color w:val="111111"/>
          <w:sz w:val="28"/>
          <w:szCs w:val="28"/>
          <w:rtl/>
        </w:rPr>
        <w:t xml:space="preserve">2 .غاية البادي في شرح المبادي = شرح</w:t>
      </w:r>
    </w:p>
    <w:p>
      <w:pPr>
        <w:pStyle w:val="BookText"/>
      </w:pPr>
      <w:r>
        <w:rPr>
          <w:rFonts w:ascii="Amiri" w:hAnsi="Amiri" w:eastAsia="Amiri" w:cs="Amiri"/>
          <w:lang w:bidi="ar-SA"/>
          <w:color w:val="111111"/>
          <w:sz w:val="28"/>
          <w:szCs w:val="28"/>
          <w:rtl/>
        </w:rPr>
        <w:t xml:space="preserve">مبادي الوصول = نهاية البادي في</w:t>
      </w:r>
    </w:p>
    <w:p>
      <w:pPr>
        <w:pStyle w:val="BookText"/>
      </w:pPr>
      <w:r>
        <w:rPr>
          <w:rFonts w:ascii="Amiri" w:hAnsi="Amiri" w:eastAsia="Amiri" w:cs="Amiri"/>
          <w:lang w:bidi="ar-SA"/>
          <w:color w:val="111111"/>
          <w:sz w:val="28"/>
          <w:szCs w:val="28"/>
          <w:rtl/>
        </w:rPr>
        <w:t xml:space="preserve">شرح المبادي، ج 11، ص 431 .</w:t>
      </w:r>
    </w:p>
    <w:p>
      <w:pPr>
        <w:pStyle w:val="BookText"/>
      </w:pPr>
      <w:r>
        <w:rPr>
          <w:rFonts w:ascii="Amiri" w:hAnsi="Amiri" w:eastAsia="Amiri" w:cs="Amiri"/>
          <w:lang w:bidi="ar-SA"/>
          <w:color w:val="111111"/>
          <w:sz w:val="28"/>
          <w:szCs w:val="28"/>
          <w:rtl/>
        </w:rPr>
        <w:t xml:space="preserve">3 .الفصول النصيرية في الاصول الدينية (ترجمه) = ترجمة الفصول في الاصول، ج 11، ص 869.</w:t>
      </w:r>
    </w:p>
    <w:p>
      <w:pPr>
        <w:pStyle w:val="Heading2"/>
      </w:pPr>
      <w:bookmarkStart w:id="4552" w:name="_Toc3654"/>
      <w:r>
        <w:t>ركن الدين حسيني ، حسن</w:t>
      </w:r>
      <w:bookmarkEnd w:id="4552"/>
    </w:p>
    <w:p>
      <w:pPr>
        <w:pStyle w:val="BookText"/>
      </w:pPr>
      <w:r>
        <w:rPr>
          <w:rFonts w:ascii="IRNazanin" w:hAnsi="IRNazanin" w:eastAsia="IRNazanin" w:cs="IRNazanin"/>
          <w:lang w:bidi="fa-IR"/>
          <w:color w:val="111111"/>
          <w:sz w:val="28"/>
          <w:szCs w:val="28"/>
          <w:rtl/>
        </w:rPr>
        <w:t xml:space="preserve">1 .بحر الانساب، ج3، ص207.</w:t>
      </w:r>
    </w:p>
    <w:p>
      <w:pPr>
        <w:pStyle w:val="BookText"/>
      </w:pPr>
      <w:r>
        <w:rPr>
          <w:rFonts w:ascii="Amiri" w:hAnsi="Amiri" w:eastAsia="Amiri" w:cs="Amiri"/>
          <w:lang w:bidi="ar-SA"/>
          <w:color w:val="111111"/>
          <w:sz w:val="28"/>
          <w:szCs w:val="28"/>
          <w:rtl/>
        </w:rPr>
        <w:t xml:space="preserve">2 .الوافية شرح الكافية، ج 16، ص 705.</w:t>
      </w:r>
    </w:p>
    <w:p>
      <w:pPr>
        <w:pStyle w:val="Heading2"/>
      </w:pPr>
      <w:bookmarkStart w:id="4553" w:name="_Toc3655"/>
      <w:r>
        <w:t>ركن الدين شيرازي ، مسعود بن عبدالله</w:t>
      </w:r>
      <w:bookmarkEnd w:id="4553"/>
    </w:p>
    <w:p>
      <w:pPr>
        <w:pStyle w:val="BookText"/>
      </w:pPr>
      <w:r>
        <w:rPr>
          <w:rFonts w:ascii="IRNazanin" w:hAnsi="IRNazanin" w:eastAsia="IRNazanin" w:cs="IRNazanin"/>
          <w:lang w:bidi="fa-IR"/>
          <w:color w:val="111111"/>
          <w:sz w:val="28"/>
          <w:szCs w:val="28"/>
          <w:rtl/>
        </w:rPr>
        <w:t xml:space="preserve">قرن 8 ه-</w:t>
      </w:r>
    </w:p>
    <w:p>
      <w:pPr>
        <w:pStyle w:val="BookText"/>
      </w:pPr>
      <w:r>
        <w:rPr>
          <w:rFonts w:ascii="Amiri" w:hAnsi="Amiri" w:eastAsia="Amiri" w:cs="Amiri"/>
          <w:lang w:bidi="ar-SA"/>
          <w:color w:val="111111"/>
          <w:sz w:val="28"/>
          <w:szCs w:val="28"/>
          <w:rtl/>
        </w:rPr>
        <w:t xml:space="preserve">شرح منازل السائرين، ج 10، ص 235.</w:t>
      </w:r>
    </w:p>
    <w:p>
      <w:pPr>
        <w:pStyle w:val="Heading2"/>
      </w:pPr>
      <w:bookmarkStart w:id="4554" w:name="_Toc3656"/>
      <w:r>
        <w:t>رمال اصفهاني، زين العابدين بن قاسم</w:t>
      </w:r>
      <w:bookmarkEnd w:id="4554"/>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كنز الاحباب، ج13، ص399</w:t>
      </w:r>
    </w:p>
    <w:p>
      <w:pPr>
        <w:pStyle w:val="BookText"/>
      </w:pPr>
      <w:r>
        <w:rPr>
          <w:rFonts w:ascii="Amiri" w:hAnsi="Amiri" w:eastAsia="Amiri" w:cs="Amiri"/>
          <w:lang w:bidi="ar-SA"/>
          <w:color w:val="111111"/>
          <w:sz w:val="28"/>
          <w:szCs w:val="28"/>
          <w:rtl/>
        </w:rPr>
        <w:t xml:space="preserve">رمال، زين العابدين بن قاسم -رمال</w:t>
      </w:r>
    </w:p>
    <w:p>
      <w:pPr>
        <w:pStyle w:val="BookText"/>
      </w:pPr>
      <w:r>
        <w:rPr>
          <w:rFonts w:ascii="Amiri" w:hAnsi="Amiri" w:eastAsia="Amiri" w:cs="Amiri"/>
          <w:lang w:bidi="ar-SA"/>
          <w:color w:val="111111"/>
          <w:sz w:val="28"/>
          <w:szCs w:val="28"/>
          <w:rtl/>
        </w:rPr>
        <w:t xml:space="preserve">اصفهاني، زين العابدين بن قاسم</w:t>
      </w:r>
    </w:p>
    <w:p>
      <w:pPr>
        <w:pStyle w:val="BookText"/>
      </w:pPr>
      <w:r>
        <w:rPr>
          <w:rFonts w:ascii="Amiri" w:hAnsi="Amiri" w:eastAsia="Amiri" w:cs="Amiri"/>
          <w:lang w:bidi="ar-SA"/>
          <w:color w:val="111111"/>
          <w:sz w:val="28"/>
          <w:szCs w:val="28"/>
          <w:rtl/>
        </w:rPr>
        <w:t xml:space="preserve">رمال شيرازي ، ناصر بن حيدر -شيرازي</w:t>
      </w:r>
    </w:p>
    <w:p>
      <w:pPr>
        <w:pStyle w:val="BookText"/>
      </w:pPr>
      <w:r>
        <w:rPr>
          <w:rFonts w:ascii="Amiri" w:hAnsi="Amiri" w:eastAsia="Amiri" w:cs="Amiri"/>
          <w:lang w:bidi="ar-SA"/>
          <w:color w:val="111111"/>
          <w:sz w:val="28"/>
          <w:szCs w:val="28"/>
          <w:rtl/>
        </w:rPr>
        <w:t xml:space="preserve">احمد بن حيدر</w:t>
      </w:r>
    </w:p>
    <w:p>
      <w:pPr>
        <w:pStyle w:val="BookText"/>
      </w:pPr>
      <w:r>
        <w:rPr>
          <w:rFonts w:ascii="Amiri" w:hAnsi="Amiri" w:eastAsia="Amiri" w:cs="Amiri"/>
          <w:lang w:bidi="ar-SA"/>
          <w:color w:val="111111"/>
          <w:sz w:val="28"/>
          <w:szCs w:val="28"/>
          <w:rtl/>
        </w:rPr>
        <w:t xml:space="preserve">رمال فيض آبادي ، روشنعلي- فيض آبادي</w:t>
      </w:r>
    </w:p>
    <w:p>
      <w:pPr>
        <w:pStyle w:val="BookText"/>
      </w:pPr>
      <w:r>
        <w:rPr>
          <w:rFonts w:ascii="Amiri" w:hAnsi="Amiri" w:eastAsia="Amiri" w:cs="Amiri"/>
          <w:lang w:bidi="ar-SA"/>
          <w:color w:val="111111"/>
          <w:sz w:val="28"/>
          <w:szCs w:val="28"/>
          <w:rtl/>
        </w:rPr>
        <w:t xml:space="preserve">، روشنعلي بن عبدالرسول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3" w:name="pg7742_70441"/>
    <w:bookmarkEnd w:id="523"/>
    <w:p>
      <w:pPr>
        <w:pStyle w:val="BookText"/>
      </w:pPr>
      <w:r>
        <w:rPr>
          <w:rFonts w:ascii="Amiri" w:hAnsi="Amiri" w:eastAsia="Amiri" w:cs="Amiri"/>
          <w:lang w:bidi="ar-SA"/>
          <w:color w:val="111111"/>
          <w:sz w:val="28"/>
          <w:szCs w:val="28"/>
          <w:rtl/>
        </w:rPr>
        <w:t xml:space="preserve">رمال يزدي ، محمّد بن عبد الله- منجم</w:t>
      </w:r>
    </w:p>
    <w:p>
      <w:pPr>
        <w:pStyle w:val="BookText"/>
      </w:pPr>
      <w:r>
        <w:rPr>
          <w:rFonts w:ascii="Amiri" w:hAnsi="Amiri" w:eastAsia="Amiri" w:cs="Amiri"/>
          <w:lang w:bidi="ar-SA"/>
          <w:color w:val="111111"/>
          <w:sz w:val="28"/>
          <w:szCs w:val="28"/>
          <w:rtl/>
        </w:rPr>
        <w:t xml:space="preserve">يزدي ، جلال الدين محمّد</w:t>
      </w:r>
    </w:p>
    <w:p>
      <w:pPr>
        <w:pStyle w:val="BookText"/>
      </w:pPr>
      <w:r>
        <w:rPr>
          <w:rFonts w:ascii="Amiri" w:hAnsi="Amiri" w:eastAsia="Amiri" w:cs="Amiri"/>
          <w:lang w:bidi="ar-SA"/>
          <w:color w:val="111111"/>
          <w:sz w:val="28"/>
          <w:szCs w:val="28"/>
          <w:rtl/>
        </w:rPr>
        <w:t xml:space="preserve">رماني ، ابوالحسن علي بن عيسى - رماني ،</w:t>
      </w:r>
    </w:p>
    <w:p>
      <w:pPr>
        <w:pStyle w:val="BookText"/>
      </w:pPr>
      <w:r>
        <w:rPr>
          <w:rFonts w:ascii="Amiri" w:hAnsi="Amiri" w:eastAsia="Amiri" w:cs="Amiri"/>
          <w:lang w:bidi="ar-SA"/>
          <w:color w:val="111111"/>
          <w:sz w:val="28"/>
          <w:szCs w:val="28"/>
          <w:rtl/>
        </w:rPr>
        <w:t xml:space="preserve">علي بن عيسى</w:t>
      </w:r>
    </w:p>
    <w:p>
      <w:pPr>
        <w:pStyle w:val="Heading2"/>
      </w:pPr>
      <w:bookmarkStart w:id="4555" w:name="_Toc3657"/>
      <w:r>
        <w:t>رماني ، علي بن عيسى، 296 - 384 ه-</w:t>
      </w:r>
      <w:bookmarkEnd w:id="45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الحدود = حدود الاكبر و الاصغر</w:t>
      </w:r>
    </w:p>
    <w:p>
      <w:pPr>
        <w:pStyle w:val="BookText"/>
      </w:pPr>
      <w:r>
        <w:rPr>
          <w:rFonts w:ascii="IRNazanin" w:hAnsi="IRNazanin" w:eastAsia="IRNazanin" w:cs="IRNazanin"/>
          <w:lang w:bidi="fa-IR"/>
          <w:color w:val="111111"/>
          <w:sz w:val="28"/>
          <w:szCs w:val="28"/>
          <w:rtl/>
        </w:rPr>
        <w:t xml:space="preserve">ج 6 ، ص 547.</w:t>
      </w:r>
    </w:p>
    <w:p>
      <w:pPr>
        <w:pStyle w:val="BookText"/>
      </w:pPr>
      <w:r>
        <w:rPr>
          <w:rFonts w:ascii="IRNazanin" w:hAnsi="IRNazanin" w:eastAsia="IRNazanin" w:cs="IRNazanin"/>
          <w:lang w:bidi="fa-IR"/>
          <w:color w:val="111111"/>
          <w:sz w:val="28"/>
          <w:szCs w:val="28"/>
          <w:rtl/>
        </w:rPr>
        <w:t xml:space="preserve">2 .منازل الحروف، ج 15 ، ص 489.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النكت في اعجاز القرآن، ج 16،</w:t>
      </w:r>
    </w:p>
    <w:p>
      <w:pPr>
        <w:pStyle w:val="BookText"/>
      </w:pPr>
      <w:r>
        <w:rPr>
          <w:rFonts w:ascii="IRNazanin" w:hAnsi="IRNazanin" w:eastAsia="IRNazanin" w:cs="IRNazanin"/>
          <w:lang w:bidi="fa-IR"/>
          <w:color w:val="111111"/>
          <w:sz w:val="28"/>
          <w:szCs w:val="28"/>
          <w:rtl/>
        </w:rPr>
        <w:t xml:space="preserve">ص 468 .</w:t>
      </w:r>
    </w:p>
    <w:p>
      <w:pPr>
        <w:pStyle w:val="Heading2"/>
      </w:pPr>
      <w:bookmarkStart w:id="4556" w:name="_Toc3658"/>
      <w:r>
        <w:t>رمزي زاده، محمّد قرن 11 ه-</w:t>
      </w:r>
      <w:bookmarkEnd w:id="4556"/>
    </w:p>
    <w:p>
      <w:pPr>
        <w:pStyle w:val="BookText"/>
      </w:pPr>
      <w:r>
        <w:rPr>
          <w:rFonts w:ascii="IRNazanin" w:hAnsi="IRNazanin" w:eastAsia="IRNazanin" w:cs="IRNazanin"/>
          <w:lang w:bidi="fa-IR"/>
          <w:color w:val="111111"/>
          <w:sz w:val="28"/>
          <w:szCs w:val="28"/>
          <w:rtl/>
        </w:rPr>
        <w:t xml:space="preserve">وصایا و حکم، ج 16، ص 800.</w:t>
      </w:r>
    </w:p>
    <w:p>
      <w:pPr>
        <w:pStyle w:val="Heading2"/>
      </w:pPr>
      <w:bookmarkStart w:id="4557" w:name="_Toc3659"/>
      <w:r>
        <w:t>رمزي، مصطفى بن حسن - 1100 ه-</w:t>
      </w:r>
      <w:bookmarkEnd w:id="4557"/>
    </w:p>
    <w:p>
      <w:pPr>
        <w:pStyle w:val="BookText"/>
      </w:pPr>
      <w:r>
        <w:rPr>
          <w:rFonts w:ascii="Amiri" w:hAnsi="Amiri" w:eastAsia="Amiri" w:cs="Amiri"/>
          <w:lang w:bidi="ar-SA"/>
          <w:color w:val="111111"/>
          <w:sz w:val="28"/>
          <w:szCs w:val="28"/>
          <w:rtl/>
        </w:rPr>
        <w:t xml:space="preserve">شرح الحواشي العمادية في الآداب</w:t>
      </w:r>
    </w:p>
    <w:p>
      <w:pPr>
        <w:pStyle w:val="BookText"/>
      </w:pPr>
      <w:r>
        <w:rPr>
          <w:rFonts w:ascii="IRNazanin" w:hAnsi="IRNazanin" w:eastAsia="IRNazanin" w:cs="IRNazanin"/>
          <w:lang w:bidi="fa-IR"/>
          <w:color w:val="111111"/>
          <w:sz w:val="28"/>
          <w:szCs w:val="28"/>
          <w:rtl/>
        </w:rPr>
        <w:t xml:space="preserve">ج 9، ص 427.</w:t>
      </w:r>
    </w:p>
    <w:p>
      <w:pPr>
        <w:pStyle w:val="BookText"/>
      </w:pPr>
      <w:r>
        <w:rPr>
          <w:rFonts w:ascii="Amiri" w:hAnsi="Amiri" w:eastAsia="Amiri" w:cs="Amiri"/>
          <w:lang w:bidi="ar-SA"/>
          <w:color w:val="111111"/>
          <w:sz w:val="28"/>
          <w:szCs w:val="28"/>
          <w:rtl/>
        </w:rPr>
        <w:t xml:space="preserve">رمزي مصطفى بن حسن افندي- رمزي ،</w:t>
      </w:r>
    </w:p>
    <w:p>
      <w:pPr>
        <w:pStyle w:val="BookText"/>
      </w:pPr>
      <w:r>
        <w:rPr>
          <w:rFonts w:ascii="IRNazanin" w:hAnsi="IRNazanin" w:eastAsia="IRNazanin" w:cs="IRNazanin"/>
          <w:lang w:bidi="fa-IR"/>
          <w:color w:val="111111"/>
          <w:sz w:val="28"/>
          <w:szCs w:val="28"/>
          <w:rtl/>
        </w:rPr>
        <w:t xml:space="preserve">مصطفى بن حسن</w:t>
      </w:r>
    </w:p>
    <w:p>
      <w:pPr>
        <w:pStyle w:val="BookText"/>
      </w:pPr>
      <w:r>
        <w:rPr>
          <w:rFonts w:ascii="Amiri" w:hAnsi="Amiri" w:eastAsia="Amiri" w:cs="Amiri"/>
          <w:lang w:bidi="ar-SA"/>
          <w:color w:val="111111"/>
          <w:sz w:val="28"/>
          <w:szCs w:val="28"/>
          <w:rtl/>
        </w:rPr>
        <w:t xml:space="preserve">رمضان بن ابي هريره جزري قادري - جزري، رمضان بن ابي هريره</w:t>
      </w:r>
    </w:p>
    <w:p>
      <w:pPr>
        <w:pStyle w:val="BookText"/>
      </w:pPr>
      <w:r>
        <w:rPr>
          <w:rFonts w:ascii="Amiri" w:hAnsi="Amiri" w:eastAsia="Amiri" w:cs="Amiri"/>
          <w:lang w:bidi="ar-SA"/>
          <w:color w:val="111111"/>
          <w:sz w:val="28"/>
          <w:szCs w:val="28"/>
          <w:rtl/>
        </w:rPr>
        <w:t xml:space="preserve">رمضان بن صالح سفطي خوانكي- سفطي</w:t>
      </w:r>
    </w:p>
    <w:p>
      <w:pPr>
        <w:pStyle w:val="BookText"/>
      </w:pPr>
      <w:r>
        <w:rPr>
          <w:rFonts w:ascii="IRNazanin" w:hAnsi="IRNazanin" w:eastAsia="IRNazanin" w:cs="IRNazanin"/>
          <w:lang w:bidi="fa-IR"/>
          <w:color w:val="111111"/>
          <w:sz w:val="28"/>
          <w:szCs w:val="28"/>
          <w:rtl/>
        </w:rPr>
        <w:t xml:space="preserve">، رمضان بن صالح</w:t>
      </w:r>
    </w:p>
    <w:p>
      <w:pPr>
        <w:pStyle w:val="BookText"/>
      </w:pPr>
      <w:r>
        <w:rPr>
          <w:rFonts w:ascii="Amiri" w:hAnsi="Amiri" w:eastAsia="Amiri" w:cs="Amiri"/>
          <w:lang w:bidi="ar-SA"/>
          <w:color w:val="111111"/>
          <w:sz w:val="28"/>
          <w:szCs w:val="28"/>
          <w:rtl/>
        </w:rPr>
        <w:t xml:space="preserve">رمضان بن عبد المحسن ويزوي- بهشتي</w:t>
      </w:r>
    </w:p>
    <w:p>
      <w:pPr>
        <w:pStyle w:val="BookText"/>
      </w:pPr>
      <w:r>
        <w:rPr>
          <w:rFonts w:ascii="IRNazanin" w:hAnsi="IRNazanin" w:eastAsia="IRNazanin" w:cs="IRNazanin"/>
          <w:lang w:bidi="fa-IR"/>
          <w:color w:val="111111"/>
          <w:sz w:val="28"/>
          <w:szCs w:val="28"/>
          <w:rtl/>
        </w:rPr>
        <w:t xml:space="preserve">رمضان بن عبد المحسن</w:t>
      </w:r>
    </w:p>
    <w:p>
      <w:pPr>
        <w:pStyle w:val="BookText"/>
      </w:pPr>
      <w:r>
        <w:rPr>
          <w:rFonts w:ascii="Amiri" w:hAnsi="Amiri" w:eastAsia="Amiri" w:cs="Amiri"/>
          <w:lang w:bidi="ar-SA"/>
          <w:color w:val="111111"/>
          <w:sz w:val="28"/>
          <w:szCs w:val="28"/>
          <w:rtl/>
        </w:rPr>
        <w:t xml:space="preserve">رمضان بن محسن وزيري- بهشتي ،</w:t>
      </w:r>
    </w:p>
    <w:p>
      <w:pPr>
        <w:pStyle w:val="BookText"/>
      </w:pPr>
      <w:r>
        <w:rPr>
          <w:rFonts w:ascii="IRNazanin" w:hAnsi="IRNazanin" w:eastAsia="IRNazanin" w:cs="IRNazanin"/>
          <w:lang w:bidi="fa-IR"/>
          <w:color w:val="111111"/>
          <w:sz w:val="28"/>
          <w:szCs w:val="28"/>
          <w:rtl/>
        </w:rPr>
        <w:t xml:space="preserve">رمضان بن عبدالمحسن</w:t>
      </w:r>
    </w:p>
    <w:p>
      <w:pPr>
        <w:pStyle w:val="BookText"/>
      </w:pPr>
      <w:r>
        <w:rPr>
          <w:rFonts w:ascii="Amiri" w:hAnsi="Amiri" w:eastAsia="Amiri" w:cs="Amiri"/>
          <w:lang w:bidi="ar-SA"/>
          <w:color w:val="111111"/>
          <w:sz w:val="28"/>
          <w:szCs w:val="28"/>
          <w:rtl/>
        </w:rPr>
        <w:t xml:space="preserve">رمضان بن موسى حنفي- حنفي ، رمضان</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رمضان بهشتي- بهشتي ، رمضان بن</w:t>
      </w:r>
    </w:p>
    <w:p>
      <w:pPr>
        <w:pStyle w:val="BookText"/>
      </w:pPr>
      <w:r>
        <w:rPr>
          <w:rFonts w:ascii="IRNazanin" w:hAnsi="IRNazanin" w:eastAsia="IRNazanin" w:cs="IRNazanin"/>
          <w:lang w:bidi="fa-IR"/>
          <w:color w:val="111111"/>
          <w:sz w:val="28"/>
          <w:szCs w:val="28"/>
          <w:rtl/>
        </w:rPr>
        <w:t xml:space="preserve">عبدالمحسن</w:t>
      </w:r>
    </w:p>
    <w:p>
      <w:pPr>
        <w:pStyle w:val="BookText"/>
      </w:pPr>
      <w:r>
        <w:rPr>
          <w:rFonts w:ascii="Amiri" w:hAnsi="Amiri" w:eastAsia="Amiri" w:cs="Amiri"/>
          <w:lang w:bidi="ar-SA"/>
          <w:color w:val="111111"/>
          <w:sz w:val="28"/>
          <w:szCs w:val="28"/>
          <w:rtl/>
        </w:rPr>
        <w:t xml:space="preserve">رمضان حنفي -حنفي ، رمضان بن محمّد</w:t>
      </w:r>
    </w:p>
    <w:p>
      <w:pPr>
        <w:pStyle w:val="Heading2"/>
      </w:pPr>
      <w:bookmarkStart w:id="4558" w:name="_Toc3660"/>
      <w:r>
        <w:t>رمضان زاده، محمّد بن احمد - 1031</w:t>
      </w:r>
      <w:bookmarkEnd w:id="4558"/>
    </w:p>
    <w:p>
      <w:pPr>
        <w:pStyle w:val="BookText"/>
      </w:pPr>
      <w:r>
        <w:rPr>
          <w:rFonts w:ascii="Amiri" w:hAnsi="Amiri" w:eastAsia="Amiri" w:cs="Amiri"/>
          <w:lang w:bidi="ar-SA"/>
          <w:color w:val="111111"/>
          <w:sz w:val="28"/>
          <w:szCs w:val="28"/>
          <w:rtl/>
        </w:rPr>
        <w:t xml:space="preserve">مرآت الكائنات، ج 14، ص 360 .</w:t>
      </w:r>
    </w:p>
    <w:p>
      <w:pPr>
        <w:pStyle w:val="BookText"/>
      </w:pPr>
      <w:r>
        <w:rPr>
          <w:rFonts w:ascii="Amiri" w:hAnsi="Amiri" w:eastAsia="Amiri" w:cs="Amiri"/>
          <w:lang w:bidi="ar-SA"/>
          <w:color w:val="111111"/>
          <w:sz w:val="28"/>
          <w:szCs w:val="28"/>
          <w:rtl/>
        </w:rPr>
        <w:t xml:space="preserve">رمضاني ، علي، - 143 ه-</w:t>
      </w:r>
    </w:p>
    <w:p>
      <w:pPr>
        <w:pStyle w:val="BookText"/>
      </w:pPr>
      <w:r>
        <w:rPr>
          <w:rFonts w:ascii="IRNazanin" w:hAnsi="IRNazanin" w:eastAsia="IRNazanin" w:cs="IRNazanin"/>
          <w:lang w:bidi="fa-IR"/>
          <w:color w:val="111111"/>
          <w:sz w:val="28"/>
          <w:szCs w:val="28"/>
          <w:rtl/>
        </w:rPr>
        <w:t xml:space="preserve">تخمیس، ج4، ص99.</w:t>
      </w:r>
    </w:p>
    <w:p>
      <w:pPr>
        <w:pStyle w:val="Heading2"/>
      </w:pPr>
      <w:bookmarkStart w:id="4559" w:name="_Toc3661"/>
      <w:r>
        <w:t>رمضاني ، ملايوسف - 1243 ه-</w:t>
      </w:r>
      <w:bookmarkEnd w:id="4559"/>
    </w:p>
    <w:p>
      <w:pPr>
        <w:pStyle w:val="BookText"/>
      </w:pPr>
      <w:r>
        <w:rPr>
          <w:rFonts w:ascii="Amiri" w:hAnsi="Amiri" w:eastAsia="Amiri" w:cs="Amiri"/>
          <w:lang w:bidi="ar-SA"/>
          <w:color w:val="111111"/>
          <w:sz w:val="28"/>
          <w:szCs w:val="28"/>
          <w:rtl/>
        </w:rPr>
        <w:t xml:space="preserve">العقائد (رسالة في)، ج 11، ص134.</w:t>
      </w:r>
    </w:p>
    <w:p>
      <w:pPr>
        <w:pStyle w:val="BookText"/>
      </w:pPr>
      <w:r>
        <w:rPr>
          <w:rFonts w:ascii="Amiri" w:hAnsi="Amiri" w:eastAsia="Amiri" w:cs="Amiri"/>
          <w:lang w:bidi="ar-SA"/>
          <w:color w:val="111111"/>
          <w:sz w:val="28"/>
          <w:szCs w:val="28"/>
          <w:rtl/>
        </w:rPr>
        <w:t xml:space="preserve">رمضاني ، يوسف- رمضاني ، ملايوسف</w:t>
      </w:r>
    </w:p>
    <w:p>
      <w:pPr>
        <w:pStyle w:val="Heading2"/>
      </w:pPr>
      <w:bookmarkStart w:id="4560" w:name="_Toc3662"/>
      <w:r>
        <w:t>رملي، احمد بن احمد - 971 ه-</w:t>
      </w:r>
      <w:bookmarkEnd w:id="4560"/>
    </w:p>
    <w:p>
      <w:pPr>
        <w:pStyle w:val="BookText"/>
      </w:pPr>
      <w:r>
        <w:rPr>
          <w:rFonts w:ascii="IRNazanin" w:hAnsi="IRNazanin" w:eastAsia="IRNazanin" w:cs="IRNazanin"/>
          <w:lang w:bidi="fa-IR"/>
          <w:color w:val="111111"/>
          <w:sz w:val="28"/>
          <w:szCs w:val="28"/>
          <w:rtl/>
        </w:rPr>
        <w:t xml:space="preserve">1 .شرح شروط الوضوء، ج 9، ص 636.</w:t>
      </w:r>
    </w:p>
    <w:p>
      <w:pPr>
        <w:pStyle w:val="BookText"/>
      </w:pPr>
      <w:r>
        <w:rPr>
          <w:rFonts w:ascii="Amiri" w:hAnsi="Amiri" w:eastAsia="Amiri" w:cs="Amiri"/>
          <w:lang w:bidi="ar-SA"/>
          <w:color w:val="111111"/>
          <w:sz w:val="28"/>
          <w:szCs w:val="28"/>
          <w:rtl/>
        </w:rPr>
        <w:t xml:space="preserve">2 .شرح مقدمة الزاهد المعروفة بالستين مسألة، ج 10، ص201.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شروط الإمامة وشرحها، ج 10،</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شروط المأموم و الامام غاية المرام</w:t>
      </w:r>
    </w:p>
    <w:p>
      <w:pPr>
        <w:pStyle w:val="BookText"/>
      </w:pPr>
      <w:r>
        <w:rPr>
          <w:rFonts w:ascii="IRNazanin" w:hAnsi="IRNazanin" w:eastAsia="IRNazanin" w:cs="IRNazanin"/>
          <w:lang w:bidi="fa-IR"/>
          <w:color w:val="111111"/>
          <w:sz w:val="28"/>
          <w:szCs w:val="28"/>
          <w:rtl/>
        </w:rPr>
        <w:t xml:space="preserve">ج 10، ص 362.</w:t>
      </w:r>
    </w:p>
    <w:p>
      <w:pPr>
        <w:pStyle w:val="BookText"/>
      </w:pPr>
      <w:r>
        <w:rPr>
          <w:rFonts w:ascii="Amiri" w:hAnsi="Amiri" w:eastAsia="Amiri" w:cs="Amiri"/>
          <w:lang w:bidi="ar-SA"/>
          <w:color w:val="111111"/>
          <w:sz w:val="28"/>
          <w:szCs w:val="28"/>
          <w:rtl/>
        </w:rPr>
        <w:t xml:space="preserve">5 .الفتاوى الرملية، ج 11، ص 613.</w:t>
      </w:r>
    </w:p>
    <w:p>
      <w:pPr>
        <w:pStyle w:val="BookText"/>
      </w:pPr>
      <w:r>
        <w:rPr>
          <w:rFonts w:ascii="Amiri" w:hAnsi="Amiri" w:eastAsia="Amiri" w:cs="Amiri"/>
          <w:lang w:bidi="ar-SA"/>
          <w:color w:val="111111"/>
          <w:sz w:val="28"/>
          <w:szCs w:val="28"/>
          <w:rtl/>
        </w:rPr>
        <w:t xml:space="preserve">6 .فتح الجواد بشرح منظومة ابن</w:t>
      </w:r>
    </w:p>
    <w:p>
      <w:pPr>
        <w:pStyle w:val="BookText"/>
      </w:pPr>
      <w:r>
        <w:rPr>
          <w:rFonts w:ascii="IRNazanin" w:hAnsi="IRNazanin" w:eastAsia="IRNazanin" w:cs="IRNazanin"/>
          <w:lang w:bidi="fa-IR"/>
          <w:color w:val="111111"/>
          <w:sz w:val="28"/>
          <w:szCs w:val="28"/>
          <w:rtl/>
        </w:rPr>
        <w:t xml:space="preserve">العماد، ج 11، ص 645.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فتح الرحمن في شرح زبد ابن رسلان</w:t>
      </w:r>
    </w:p>
    <w:p>
      <w:pPr>
        <w:pStyle w:val="BookText"/>
      </w:pPr>
      <w:r>
        <w:rPr>
          <w:rFonts w:ascii="Amiri" w:hAnsi="Amiri" w:eastAsia="Amiri" w:cs="Amiri"/>
          <w:lang w:bidi="ar-SA"/>
          <w:color w:val="111111"/>
          <w:sz w:val="28"/>
          <w:szCs w:val="28"/>
          <w:rtl/>
        </w:rPr>
        <w:t xml:space="preserve">= شرح منظومه صفوة الزبد ج 11، ص 654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4" w:name="pg7742_70443"/>
    <w:bookmarkEnd w:id="524"/>
    <w:p>
      <w:pPr>
        <w:pStyle w:val="Heading2"/>
      </w:pPr>
      <w:bookmarkStart w:id="4561" w:name="_Toc3663"/>
      <w:r>
        <w:t>رملي ، احمد بن حسين، 773؟ - 844 ه-</w:t>
      </w:r>
      <w:bookmarkEnd w:id="4561"/>
    </w:p>
    <w:p>
      <w:pPr>
        <w:pStyle w:val="BookText"/>
      </w:pPr>
      <w:r>
        <w:rPr>
          <w:rFonts w:ascii="Amiri" w:hAnsi="Amiri" w:eastAsia="Amiri" w:cs="Amiri"/>
          <w:lang w:bidi="ar-SA"/>
          <w:color w:val="111111"/>
          <w:sz w:val="28"/>
          <w:szCs w:val="28"/>
          <w:rtl/>
        </w:rPr>
        <w:t xml:space="preserve">1 .التعليقة على صفوة الزبد ج 4</w:t>
      </w:r>
    </w:p>
    <w:p>
      <w:pPr>
        <w:pStyle w:val="BookText"/>
      </w:pPr>
      <w:r>
        <w:rPr>
          <w:rFonts w:ascii="IRNazanin" w:hAnsi="IRNazanin" w:eastAsia="IRNazanin" w:cs="IRNazanin"/>
          <w:lang w:bidi="fa-IR"/>
          <w:color w:val="111111"/>
          <w:sz w:val="28"/>
          <w:szCs w:val="28"/>
          <w:rtl/>
        </w:rPr>
        <w:t xml:space="preserve">ص 524 .</w:t>
      </w:r>
    </w:p>
    <w:p>
      <w:pPr>
        <w:pStyle w:val="BookText"/>
      </w:pPr>
      <w:r>
        <w:rPr>
          <w:rFonts w:ascii="Amiri" w:hAnsi="Amiri" w:eastAsia="Amiri" w:cs="Amiri"/>
          <w:lang w:bidi="ar-SA"/>
          <w:color w:val="111111"/>
          <w:sz w:val="28"/>
          <w:szCs w:val="28"/>
          <w:rtl/>
        </w:rPr>
        <w:t xml:space="preserve">2 .تهذيب الاذكار = مختصر الاذكار</w:t>
      </w:r>
    </w:p>
    <w:p>
      <w:pPr>
        <w:pStyle w:val="BookText"/>
      </w:pPr>
      <w:r>
        <w:rPr>
          <w:rFonts w:ascii="IRNazanin" w:hAnsi="IRNazanin" w:eastAsia="IRNazanin" w:cs="IRNazanin"/>
          <w:lang w:bidi="fa-IR"/>
          <w:color w:val="111111"/>
          <w:sz w:val="28"/>
          <w:szCs w:val="28"/>
          <w:rtl/>
        </w:rPr>
        <w:t xml:space="preserve">ج 5، ص108.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الزبد في الفقه الشافعي، ج8،</w:t>
      </w:r>
    </w:p>
    <w:p>
      <w:pPr>
        <w:pStyle w:val="BookText"/>
      </w:pPr>
      <w:r>
        <w:rPr>
          <w:rFonts w:ascii="IRNazanin" w:hAnsi="IRNazanin" w:eastAsia="IRNazanin" w:cs="IRNazanin"/>
          <w:lang w:bidi="fa-IR"/>
          <w:color w:val="111111"/>
          <w:sz w:val="28"/>
          <w:szCs w:val="28"/>
          <w:rtl/>
        </w:rPr>
        <w:t xml:space="preserve">ص 595.</w:t>
      </w:r>
    </w:p>
    <w:p>
      <w:pPr>
        <w:pStyle w:val="BookText"/>
      </w:pPr>
      <w:r>
        <w:rPr>
          <w:rFonts w:ascii="Amiri" w:hAnsi="Amiri" w:eastAsia="Amiri" w:cs="Amiri"/>
          <w:lang w:bidi="ar-SA"/>
          <w:color w:val="111111"/>
          <w:sz w:val="28"/>
          <w:szCs w:val="28"/>
          <w:rtl/>
        </w:rPr>
        <w:t xml:space="preserve">4 .شرح سنن أبي داود، ج 9، ص 591.</w:t>
      </w:r>
    </w:p>
    <w:p>
      <w:pPr>
        <w:pStyle w:val="BookText"/>
      </w:pPr>
      <w:r>
        <w:rPr>
          <w:rFonts w:ascii="Amiri" w:hAnsi="Amiri" w:eastAsia="Amiri" w:cs="Amiri"/>
          <w:lang w:bidi="ar-SA"/>
          <w:color w:val="111111"/>
          <w:sz w:val="28"/>
          <w:szCs w:val="28"/>
          <w:rtl/>
        </w:rPr>
        <w:t xml:space="preserve">5 .شرح صفوة الزبد، ج 9، ص 675.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منهاج الطالبين، ج 10، ص 263.</w:t>
      </w:r>
    </w:p>
    <w:p>
      <w:pPr>
        <w:pStyle w:val="BookText"/>
      </w:pPr>
      <w:r>
        <w:rPr>
          <w:rFonts w:ascii="Amiri" w:hAnsi="Amiri" w:eastAsia="Amiri" w:cs="Amiri"/>
          <w:lang w:bidi="ar-SA"/>
          <w:color w:val="111111"/>
          <w:sz w:val="28"/>
          <w:szCs w:val="28"/>
          <w:rtl/>
        </w:rPr>
        <w:t xml:space="preserve">7 .صفوة الزبد فيما عليه المعتمد =</w:t>
      </w:r>
    </w:p>
    <w:p>
      <w:pPr>
        <w:pStyle w:val="BookText"/>
      </w:pPr>
      <w:r>
        <w:rPr>
          <w:rFonts w:ascii="Amiri" w:hAnsi="Amiri" w:eastAsia="Amiri" w:cs="Amiri"/>
          <w:lang w:bidi="ar-SA"/>
          <w:color w:val="111111"/>
          <w:sz w:val="28"/>
          <w:szCs w:val="28"/>
          <w:rtl/>
        </w:rPr>
        <w:t xml:space="preserve">ارجوزة الالفية، ج 10، ص 573.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نظم الشمائل المحمّدية، ج 16،</w:t>
      </w:r>
    </w:p>
    <w:p>
      <w:pPr>
        <w:pStyle w:val="BookText"/>
      </w:pPr>
      <w:r>
        <w:rPr>
          <w:rFonts w:ascii="IRNazanin" w:hAnsi="IRNazanin" w:eastAsia="IRNazanin" w:cs="IRNazanin"/>
          <w:lang w:bidi="fa-IR"/>
          <w:color w:val="111111"/>
          <w:sz w:val="28"/>
          <w:szCs w:val="28"/>
          <w:rtl/>
        </w:rPr>
        <w:t xml:space="preserve">ص 345 .</w:t>
      </w:r>
    </w:p>
    <w:p>
      <w:pPr>
        <w:pStyle w:val="BookText"/>
      </w:pPr>
      <w:r>
        <w:rPr>
          <w:rFonts w:ascii="Amiri" w:hAnsi="Amiri" w:eastAsia="Amiri" w:cs="Amiri"/>
          <w:lang w:bidi="ar-SA"/>
          <w:color w:val="111111"/>
          <w:sz w:val="28"/>
          <w:szCs w:val="28"/>
          <w:rtl/>
        </w:rPr>
        <w:t xml:space="preserve">رملي ، احمد بن حمزه -رملي ، احمد بن احمد</w:t>
      </w:r>
    </w:p>
    <w:p>
      <w:pPr>
        <w:pStyle w:val="Heading2"/>
      </w:pPr>
      <w:bookmarkStart w:id="4562" w:name="_Toc3664"/>
      <w:r>
        <w:t>رملي، خيرالدين بن احمد، 993 - 1081</w:t>
      </w:r>
      <w:bookmarkEnd w:id="4562"/>
    </w:p>
    <w:p>
      <w:pPr>
        <w:pStyle w:val="BookText"/>
      </w:pPr>
      <w:r>
        <w:rPr>
          <w:rFonts w:ascii="Amiri" w:hAnsi="Amiri" w:eastAsia="Amiri" w:cs="Amiri"/>
          <w:lang w:bidi="ar-SA"/>
          <w:color w:val="111111"/>
          <w:sz w:val="28"/>
          <w:szCs w:val="28"/>
          <w:rtl/>
        </w:rPr>
        <w:t xml:space="preserve">الفتاوى الخيرية لنفع البرية، ج 11،</w:t>
      </w:r>
    </w:p>
    <w:p>
      <w:pPr>
        <w:pStyle w:val="BookText"/>
      </w:pPr>
      <w:r>
        <w:rPr>
          <w:rFonts w:ascii="IRNazanin" w:hAnsi="IRNazanin" w:eastAsia="IRNazanin" w:cs="IRNazanin"/>
          <w:lang w:bidi="fa-IR"/>
          <w:color w:val="111111"/>
          <w:sz w:val="28"/>
          <w:szCs w:val="28"/>
          <w:rtl/>
        </w:rPr>
        <w:t xml:space="preserve">ص 609 .</w:t>
      </w:r>
    </w:p>
    <w:p>
      <w:pPr>
        <w:pStyle w:val="BookText"/>
      </w:pPr>
      <w:r>
        <w:rPr>
          <w:rFonts w:ascii="Amiri" w:hAnsi="Amiri" w:eastAsia="Amiri" w:cs="Amiri"/>
          <w:lang w:bidi="ar-SA"/>
          <w:color w:val="111111"/>
          <w:sz w:val="28"/>
          <w:szCs w:val="28"/>
          <w:rtl/>
        </w:rPr>
        <w:t xml:space="preserve">رملي شافعي ، يحيى بن عبد الرحمن- مقدسي قادري ، يحيى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رملي ، محمّد بن احمد -منوفي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رملي، محمّد بن خير الدين- رملي ، نجم</w:t>
      </w:r>
    </w:p>
    <w:p>
      <w:pPr>
        <w:pStyle w:val="BookText"/>
      </w:pPr>
      <w:r>
        <w:rPr>
          <w:rFonts w:ascii="IRNazanin" w:hAnsi="IRNazanin" w:eastAsia="IRNazanin" w:cs="IRNazanin"/>
          <w:lang w:bidi="fa-IR"/>
          <w:color w:val="111111"/>
          <w:sz w:val="28"/>
          <w:szCs w:val="28"/>
          <w:rtl/>
        </w:rPr>
        <w:t xml:space="preserve">الدين محمّد بن خیرالدین</w:t>
      </w:r>
    </w:p>
    <w:p>
      <w:pPr>
        <w:pStyle w:val="Heading2"/>
      </w:pPr>
      <w:bookmarkStart w:id="4563" w:name="_Toc3665"/>
      <w:r>
        <w:t>رملي ، محمود</w:t>
      </w:r>
      <w:bookmarkEnd w:id="4563"/>
    </w:p>
    <w:p>
      <w:pPr>
        <w:pStyle w:val="BookText"/>
      </w:pPr>
      <w:r>
        <w:rPr>
          <w:rFonts w:ascii="Amiri" w:hAnsi="Amiri" w:eastAsia="Amiri" w:cs="Amiri"/>
          <w:lang w:bidi="ar-SA"/>
          <w:color w:val="111111"/>
          <w:sz w:val="28"/>
          <w:szCs w:val="28"/>
          <w:rtl/>
        </w:rPr>
        <w:t xml:space="preserve">مرسوم المصحف العثماني (رسالة في)</w:t>
      </w:r>
    </w:p>
    <w:p>
      <w:pPr>
        <w:pStyle w:val="BookText"/>
      </w:pPr>
      <w:r>
        <w:rPr>
          <w:rFonts w:ascii="IRNazanin" w:hAnsi="IRNazanin" w:eastAsia="IRNazanin" w:cs="IRNazanin"/>
          <w:lang w:bidi="fa-IR"/>
          <w:color w:val="111111"/>
          <w:sz w:val="28"/>
          <w:szCs w:val="28"/>
          <w:rtl/>
        </w:rPr>
        <w:t xml:space="preserve">ج 14، ص 395.</w:t>
      </w:r>
    </w:p>
    <w:p>
      <w:pPr>
        <w:pStyle w:val="BookText"/>
      </w:pPr>
      <w:r>
        <w:rPr>
          <w:rFonts w:ascii="Amiri" w:hAnsi="Amiri" w:eastAsia="Amiri" w:cs="Amiri"/>
          <w:lang w:bidi="ar-SA"/>
          <w:color w:val="111111"/>
          <w:sz w:val="28"/>
          <w:szCs w:val="28"/>
          <w:rtl/>
        </w:rPr>
        <w:t xml:space="preserve">رملي ، محمود بن الحسين- كشاجم ،</w:t>
      </w:r>
    </w:p>
    <w:p>
      <w:pPr>
        <w:pStyle w:val="BookText"/>
      </w:pPr>
      <w:r>
        <w:rPr>
          <w:rFonts w:ascii="Amiri" w:hAnsi="Amiri" w:eastAsia="Amiri" w:cs="Amiri"/>
          <w:lang w:bidi="ar-SA"/>
          <w:color w:val="111111"/>
          <w:sz w:val="28"/>
          <w:szCs w:val="28"/>
          <w:rtl/>
        </w:rPr>
        <w:t xml:space="preserve">محمود بن حسين</w:t>
      </w:r>
    </w:p>
    <w:p>
      <w:pPr>
        <w:pStyle w:val="BookText"/>
      </w:pPr>
      <w:r>
        <w:rPr>
          <w:rFonts w:ascii="Amiri" w:hAnsi="Amiri" w:eastAsia="Amiri" w:cs="Amiri"/>
          <w:lang w:bidi="ar-SA"/>
          <w:color w:val="111111"/>
          <w:sz w:val="28"/>
          <w:szCs w:val="28"/>
          <w:rtl/>
        </w:rPr>
        <w:t xml:space="preserve">رملي ، مصطفى بن خير الدين- جلب</w:t>
      </w:r>
    </w:p>
    <w:p>
      <w:pPr>
        <w:pStyle w:val="BookText"/>
      </w:pPr>
      <w:r>
        <w:rPr>
          <w:rFonts w:ascii="Amiri" w:hAnsi="Amiri" w:eastAsia="Amiri" w:cs="Amiri"/>
          <w:lang w:bidi="ar-SA"/>
          <w:color w:val="111111"/>
          <w:sz w:val="28"/>
          <w:szCs w:val="28"/>
          <w:rtl/>
        </w:rPr>
        <w:t xml:space="preserve">مصلح الدين ، مصطفى بن خير الدين</w:t>
      </w:r>
    </w:p>
    <w:p>
      <w:pPr>
        <w:pStyle w:val="BookText"/>
      </w:pPr>
      <w:r>
        <w:rPr>
          <w:rFonts w:ascii="Amiri" w:hAnsi="Amiri" w:eastAsia="Amiri" w:cs="Amiri"/>
          <w:lang w:bidi="ar-SA"/>
          <w:color w:val="111111"/>
          <w:sz w:val="28"/>
          <w:szCs w:val="28"/>
          <w:rtl/>
        </w:rPr>
        <w:t xml:space="preserve">رملي ، نجم الدين بن خيرالدين -رملي ،</w:t>
      </w:r>
    </w:p>
    <w:p>
      <w:pPr>
        <w:pStyle w:val="BookText"/>
      </w:pPr>
      <w:r>
        <w:rPr>
          <w:rFonts w:ascii="IRNazanin" w:hAnsi="IRNazanin" w:eastAsia="IRNazanin" w:cs="IRNazanin"/>
          <w:lang w:bidi="fa-IR"/>
          <w:color w:val="111111"/>
          <w:sz w:val="28"/>
          <w:szCs w:val="28"/>
          <w:rtl/>
        </w:rPr>
        <w:t xml:space="preserve">نجم الدين محمّد بن خیرالدین</w:t>
      </w:r>
    </w:p>
    <w:p>
      <w:pPr>
        <w:pStyle w:val="Heading2"/>
      </w:pPr>
      <w:bookmarkStart w:id="4564" w:name="_Toc3666"/>
      <w:r>
        <w:t>رملي ، نجم الدين محمّد بن خیرالدین</w:t>
      </w:r>
      <w:bookmarkEnd w:id="4564"/>
    </w:p>
    <w:p>
      <w:pPr>
        <w:pStyle w:val="BookText"/>
      </w:pPr>
      <w:r>
        <w:rPr>
          <w:rFonts w:ascii="IRNazanin" w:hAnsi="IRNazanin" w:eastAsia="IRNazanin" w:cs="IRNazanin"/>
          <w:lang w:bidi="fa-IR"/>
          <w:color w:val="111111"/>
          <w:sz w:val="28"/>
          <w:szCs w:val="28"/>
          <w:rtl/>
        </w:rPr>
        <w:t xml:space="preserve">1121؟ ه-</w:t>
      </w:r>
    </w:p>
    <w:p>
      <w:pPr>
        <w:pStyle w:val="BookText"/>
      </w:pPr>
      <w:r>
        <w:rPr>
          <w:rFonts w:ascii="Amiri" w:hAnsi="Amiri" w:eastAsia="Amiri" w:cs="Amiri"/>
          <w:lang w:bidi="ar-SA"/>
          <w:color w:val="111111"/>
          <w:sz w:val="28"/>
          <w:szCs w:val="28"/>
          <w:rtl/>
        </w:rPr>
        <w:t xml:space="preserve">1 .اللآلي الدرية في الفوائد الخيرية</w:t>
      </w:r>
    </w:p>
    <w:p>
      <w:pPr>
        <w:pStyle w:val="BookText"/>
      </w:pPr>
      <w:r>
        <w:rPr>
          <w:rFonts w:ascii="IRNazanin" w:hAnsi="IRNazanin" w:eastAsia="IRNazanin" w:cs="IRNazanin"/>
          <w:lang w:bidi="fa-IR"/>
          <w:color w:val="111111"/>
          <w:sz w:val="28"/>
          <w:szCs w:val="28"/>
          <w:rtl/>
        </w:rPr>
        <w:t xml:space="preserve">ج 13، ص 517.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لوائح الانوار على منح الغفار، ج 13،</w:t>
      </w:r>
    </w:p>
    <w:p>
      <w:pPr>
        <w:pStyle w:val="BookText"/>
      </w:pPr>
      <w:r>
        <w:rPr>
          <w:rFonts w:ascii="IRNazanin" w:hAnsi="IRNazanin" w:eastAsia="IRNazanin" w:cs="IRNazanin"/>
          <w:lang w:bidi="fa-IR"/>
          <w:color w:val="111111"/>
          <w:sz w:val="28"/>
          <w:szCs w:val="28"/>
          <w:rtl/>
        </w:rPr>
        <w:t xml:space="preserve">ص661.</w:t>
      </w:r>
    </w:p>
    <w:p>
      <w:pPr>
        <w:pStyle w:val="Heading2"/>
      </w:pPr>
      <w:bookmarkStart w:id="4565" w:name="_Toc3667"/>
      <w:r>
        <w:t>رميثي ، محمّد بن محمّد - 895 ه-</w:t>
      </w:r>
      <w:bookmarkEnd w:id="4565"/>
    </w:p>
    <w:p>
      <w:pPr>
        <w:pStyle w:val="BookText"/>
      </w:pPr>
      <w:r>
        <w:rPr>
          <w:rFonts w:ascii="Amiri" w:hAnsi="Amiri" w:eastAsia="Amiri" w:cs="Amiri"/>
          <w:lang w:bidi="ar-SA"/>
          <w:color w:val="111111"/>
          <w:sz w:val="28"/>
          <w:szCs w:val="28"/>
          <w:rtl/>
        </w:rPr>
        <w:t xml:space="preserve">العروض (رسالة في)، ج 11، ص 95 .</w:t>
      </w:r>
    </w:p>
    <w:p>
      <w:pPr>
        <w:pStyle w:val="Heading2"/>
      </w:pPr>
      <w:bookmarkStart w:id="4566" w:name="_Toc3668"/>
      <w:r>
        <w:t>رنجوري ، دانش بن ،خالد قرن 13 ه-</w:t>
      </w:r>
      <w:bookmarkEnd w:id="4566"/>
    </w:p>
    <w:p>
      <w:pPr>
        <w:pStyle w:val="BookText"/>
      </w:pPr>
      <w:r>
        <w:rPr>
          <w:rFonts w:ascii="Amiri" w:hAnsi="Amiri" w:eastAsia="Amiri" w:cs="Amiri"/>
          <w:lang w:bidi="ar-SA"/>
          <w:color w:val="111111"/>
          <w:sz w:val="28"/>
          <w:szCs w:val="28"/>
          <w:rtl/>
        </w:rPr>
        <w:t xml:space="preserve">تسكين القلوب، ج4، ص339.</w:t>
      </w:r>
    </w:p>
    <w:p>
      <w:pPr>
        <w:pStyle w:val="Heading2"/>
      </w:pPr>
      <w:bookmarkStart w:id="4567" w:name="_Toc3669"/>
      <w:r>
        <w:t>رندي ، صالح بن علي، 601 - 684 ه-</w:t>
      </w:r>
      <w:bookmarkEnd w:id="4567"/>
    </w:p>
    <w:p>
      <w:pPr>
        <w:pStyle w:val="BookText"/>
      </w:pPr>
      <w:r>
        <w:rPr>
          <w:rFonts w:ascii="Amiri" w:hAnsi="Amiri" w:eastAsia="Amiri" w:cs="Amiri"/>
          <w:lang w:bidi="ar-SA"/>
          <w:color w:val="111111"/>
          <w:sz w:val="28"/>
          <w:szCs w:val="28"/>
          <w:rtl/>
        </w:rPr>
        <w:t xml:space="preserve">الوافي في نظم القوافي، ج 16، ص 720.</w:t>
      </w:r>
    </w:p>
    <w:p>
      <w:pPr>
        <w:pStyle w:val="Heading2"/>
      </w:pPr>
      <w:bookmarkStart w:id="4568" w:name="_Toc3670"/>
      <w:r>
        <w:t>رندي، عمر بن عبد المجيد، 543 - 616 ه-</w:t>
      </w:r>
      <w:bookmarkEnd w:id="4568"/>
    </w:p>
    <w:p>
      <w:pPr>
        <w:pStyle w:val="BookText"/>
      </w:pPr>
      <w:r>
        <w:rPr>
          <w:rFonts w:ascii="Amiri" w:hAnsi="Amiri" w:eastAsia="Amiri" w:cs="Amiri"/>
          <w:lang w:bidi="ar-SA"/>
          <w:color w:val="111111"/>
          <w:sz w:val="28"/>
          <w:szCs w:val="28"/>
          <w:rtl/>
        </w:rPr>
        <w:t xml:space="preserve">المنتقي و التخريج من كتاب الفردوس، ج 15، ص 634 .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5" w:name="pg7742_70444"/>
    <w:bookmarkEnd w:id="525"/>
    <w:p>
      <w:pPr>
        <w:pStyle w:val="BookText"/>
      </w:pPr>
      <w:r>
        <w:rPr>
          <w:rFonts w:ascii="Amiri" w:hAnsi="Amiri" w:eastAsia="Amiri" w:cs="Amiri"/>
          <w:lang w:bidi="ar-SA"/>
          <w:color w:val="111111"/>
          <w:sz w:val="28"/>
          <w:szCs w:val="28"/>
          <w:rtl/>
        </w:rPr>
        <w:t xml:space="preserve">رندي ، محمّد بن ابراهيم- ابن عباد رندي مر</w:t>
      </w:r>
    </w:p>
    <w:p>
      <w:pPr>
        <w:pStyle w:val="BookText"/>
      </w:pPr>
      <w:r>
        <w:rPr>
          <w:rFonts w:ascii="Amiri" w:hAnsi="Amiri" w:eastAsia="Amiri" w:cs="Amiri"/>
          <w:lang w:bidi="ar-SA"/>
          <w:color w:val="111111"/>
          <w:sz w:val="28"/>
          <w:szCs w:val="28"/>
          <w:rtl/>
        </w:rPr>
        <w:t xml:space="preserve">، محمّد بن ابراهيم</w:t>
      </w:r>
    </w:p>
    <w:p>
      <w:pPr>
        <w:pStyle w:val="BookText"/>
      </w:pPr>
      <w:r>
        <w:rPr>
          <w:rFonts w:ascii="Amiri" w:hAnsi="Amiri" w:eastAsia="Amiri" w:cs="Amiri"/>
          <w:lang w:bidi="ar-SA"/>
          <w:color w:val="111111"/>
          <w:sz w:val="28"/>
          <w:szCs w:val="28"/>
          <w:rtl/>
        </w:rPr>
        <w:t xml:space="preserve">رندي ، محمّد بن عبدالله- ابن عباد رندي</w:t>
      </w:r>
    </w:p>
    <w:p>
      <w:pPr>
        <w:pStyle w:val="BookText"/>
      </w:pPr>
      <w:r>
        <w:rPr>
          <w:rFonts w:ascii="Amiri" w:hAnsi="Amiri" w:eastAsia="Amiri" w:cs="Amiri"/>
          <w:lang w:bidi="ar-SA"/>
          <w:color w:val="111111"/>
          <w:sz w:val="28"/>
          <w:szCs w:val="28"/>
          <w:rtl/>
        </w:rPr>
        <w:t xml:space="preserve">، محمّد بن ابراهيم</w:t>
      </w:r>
    </w:p>
    <w:p>
      <w:pPr>
        <w:pStyle w:val="BookText"/>
      </w:pPr>
      <w:r>
        <w:rPr>
          <w:rFonts w:ascii="IRNazanin" w:hAnsi="IRNazanin" w:eastAsia="IRNazanin" w:cs="IRNazanin"/>
          <w:lang w:bidi="fa-IR"/>
          <w:color w:val="111111"/>
          <w:sz w:val="28"/>
          <w:szCs w:val="28"/>
          <w:rtl/>
        </w:rPr>
        <w:t xml:space="preserve">رنگي ، خسرو بن محمّد- زنگي ، خسرو</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رهاوي ، ابوزكريا يحيى- فاضل رهاوي ، يحيى</w:t>
      </w:r>
    </w:p>
    <w:p>
      <w:pPr>
        <w:pStyle w:val="BookText"/>
      </w:pPr>
      <w:r>
        <w:rPr>
          <w:rFonts w:ascii="Amiri" w:hAnsi="Amiri" w:eastAsia="Amiri" w:cs="Amiri"/>
          <w:lang w:bidi="ar-SA"/>
          <w:color w:val="111111"/>
          <w:sz w:val="28"/>
          <w:szCs w:val="28"/>
          <w:rtl/>
        </w:rPr>
        <w:t xml:space="preserve">رهاوي حراني ، عبد القادر بن عبد الله-</w:t>
      </w:r>
    </w:p>
    <w:p>
      <w:pPr>
        <w:pStyle w:val="BookText"/>
      </w:pPr>
      <w:r>
        <w:rPr>
          <w:rFonts w:ascii="Amiri" w:hAnsi="Amiri" w:eastAsia="Amiri" w:cs="Amiri"/>
          <w:lang w:bidi="ar-SA"/>
          <w:color w:val="111111"/>
          <w:sz w:val="28"/>
          <w:szCs w:val="28"/>
          <w:rtl/>
        </w:rPr>
        <w:t xml:space="preserve">رهاوي ، عبد القادر بن عبدالله</w:t>
      </w:r>
    </w:p>
    <w:p>
      <w:pPr>
        <w:pStyle w:val="Heading2"/>
      </w:pPr>
      <w:bookmarkStart w:id="4569" w:name="_Toc3671"/>
      <w:r>
        <w:t>رهاوي ، عبد القادر بن عبدالله 536 -</w:t>
      </w:r>
      <w:bookmarkEnd w:id="4569"/>
    </w:p>
    <w:p>
      <w:pPr>
        <w:pStyle w:val="BookText"/>
      </w:pPr>
      <w:r>
        <w:rPr>
          <w:rFonts w:ascii="IRNazanin" w:hAnsi="IRNazanin" w:eastAsia="IRNazanin" w:cs="IRNazanin"/>
          <w:lang w:bidi="fa-IR"/>
          <w:color w:val="111111"/>
          <w:sz w:val="28"/>
          <w:szCs w:val="28"/>
          <w:rtl/>
        </w:rPr>
        <w:t xml:space="preserve">612 ه-</w:t>
      </w:r>
    </w:p>
    <w:p>
      <w:pPr>
        <w:pStyle w:val="BookText"/>
      </w:pPr>
      <w:r>
        <w:rPr>
          <w:rFonts w:ascii="Amiri" w:hAnsi="Amiri" w:eastAsia="Amiri" w:cs="Amiri"/>
          <w:lang w:bidi="ar-SA"/>
          <w:color w:val="111111"/>
          <w:sz w:val="28"/>
          <w:szCs w:val="28"/>
          <w:rtl/>
        </w:rPr>
        <w:t xml:space="preserve">وفيات جماعة من المحدثين، ج 16،</w:t>
      </w:r>
    </w:p>
    <w:p>
      <w:pPr>
        <w:pStyle w:val="BookText"/>
      </w:pPr>
      <w:r>
        <w:rPr>
          <w:rFonts w:ascii="IRNazanin" w:hAnsi="IRNazanin" w:eastAsia="IRNazanin" w:cs="IRNazanin"/>
          <w:lang w:bidi="fa-IR"/>
          <w:color w:val="111111"/>
          <w:sz w:val="28"/>
          <w:szCs w:val="28"/>
          <w:rtl/>
        </w:rPr>
        <w:t xml:space="preserve">ص 857.</w:t>
      </w:r>
    </w:p>
    <w:p>
      <w:pPr>
        <w:pStyle w:val="Heading2"/>
      </w:pPr>
      <w:bookmarkStart w:id="4570" w:name="_Toc3672"/>
      <w:r>
        <w:t>رهاوي ، محمّد بن سليمان</w:t>
      </w:r>
      <w:bookmarkEnd w:id="4570"/>
    </w:p>
    <w:p>
      <w:pPr>
        <w:pStyle w:val="BookText"/>
      </w:pPr>
      <w:r>
        <w:rPr>
          <w:rFonts w:ascii="Amiri" w:hAnsi="Amiri" w:eastAsia="Amiri" w:cs="Amiri"/>
          <w:lang w:bidi="ar-SA"/>
          <w:color w:val="111111"/>
          <w:sz w:val="28"/>
          <w:szCs w:val="28"/>
          <w:rtl/>
        </w:rPr>
        <w:t xml:space="preserve">نخبة اللآلي لشرح بدء الامالي، ج 16،</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Amiri" w:hAnsi="Amiri" w:eastAsia="Amiri" w:cs="Amiri"/>
          <w:lang w:bidi="ar-SA"/>
          <w:color w:val="111111"/>
          <w:sz w:val="28"/>
          <w:szCs w:val="28"/>
          <w:rtl/>
        </w:rPr>
        <w:t xml:space="preserve">رهاوي ، نابي- نابي رهاوي ، يوسف بن</w:t>
      </w:r>
    </w:p>
    <w:p>
      <w:pPr>
        <w:pStyle w:val="BookText"/>
      </w:pPr>
      <w:r>
        <w:rPr>
          <w:rFonts w:ascii="IRNazanin" w:hAnsi="IRNazanin" w:eastAsia="IRNazanin" w:cs="IRNazanin"/>
          <w:lang w:bidi="fa-IR"/>
          <w:color w:val="111111"/>
          <w:sz w:val="28"/>
          <w:szCs w:val="28"/>
          <w:rtl/>
        </w:rPr>
        <w:t xml:space="preserve">عبدالله</w:t>
      </w:r>
    </w:p>
    <w:p>
      <w:pPr>
        <w:pStyle w:val="Heading2"/>
      </w:pPr>
      <w:bookmarkStart w:id="4571" w:name="_Toc3673"/>
      <w:r>
        <w:t>رواس ، محمّد مهدي بن علي، 1220 - 1287 ه-</w:t>
      </w:r>
      <w:bookmarkEnd w:id="4571"/>
    </w:p>
    <w:p>
      <w:pPr>
        <w:pStyle w:val="BookText"/>
      </w:pPr>
      <w:r>
        <w:rPr>
          <w:rFonts w:ascii="Amiri" w:hAnsi="Amiri" w:eastAsia="Amiri" w:cs="Amiri"/>
          <w:lang w:bidi="ar-SA"/>
          <w:color w:val="111111"/>
          <w:sz w:val="28"/>
          <w:szCs w:val="28"/>
          <w:rtl/>
        </w:rPr>
        <w:t xml:space="preserve">1 .الحكم المهدوية الملتقطة من درر</w:t>
      </w:r>
    </w:p>
    <w:p>
      <w:pPr>
        <w:pStyle w:val="BookText"/>
      </w:pPr>
      <w:r>
        <w:rPr>
          <w:rFonts w:ascii="Amiri" w:hAnsi="Amiri" w:eastAsia="Amiri" w:cs="Amiri"/>
          <w:lang w:bidi="ar-SA"/>
          <w:color w:val="111111"/>
          <w:sz w:val="28"/>
          <w:szCs w:val="28"/>
          <w:rtl/>
        </w:rPr>
        <w:t xml:space="preserve">الامدادات النبوية، ج 6، ص 765.</w:t>
      </w:r>
    </w:p>
    <w:p>
      <w:pPr>
        <w:pStyle w:val="BookText"/>
      </w:pPr>
      <w:r>
        <w:rPr>
          <w:rFonts w:ascii="Amiri" w:hAnsi="Amiri" w:eastAsia="Amiri" w:cs="Amiri"/>
          <w:lang w:bidi="ar-SA"/>
          <w:color w:val="111111"/>
          <w:sz w:val="28"/>
          <w:szCs w:val="28"/>
          <w:rtl/>
        </w:rPr>
        <w:t xml:space="preserve">2 .ديوان التبيان الجامع بين الحكمة و</w:t>
      </w:r>
    </w:p>
    <w:p>
      <w:pPr>
        <w:pStyle w:val="BookText"/>
      </w:pPr>
      <w:r>
        <w:rPr>
          <w:rFonts w:ascii="Amiri" w:hAnsi="Amiri" w:eastAsia="Amiri" w:cs="Amiri"/>
          <w:lang w:bidi="ar-SA"/>
          <w:color w:val="111111"/>
          <w:sz w:val="28"/>
          <w:szCs w:val="28"/>
          <w:rtl/>
        </w:rPr>
        <w:t xml:space="preserve">البيان، ج 7، ص 599.</w:t>
      </w:r>
    </w:p>
    <w:p>
      <w:pPr>
        <w:pStyle w:val="BookText"/>
      </w:pPr>
      <w:r>
        <w:rPr>
          <w:rFonts w:ascii="Amiri" w:hAnsi="Amiri" w:eastAsia="Amiri" w:cs="Amiri"/>
          <w:lang w:bidi="ar-SA"/>
          <w:color w:val="111111"/>
          <w:sz w:val="28"/>
          <w:szCs w:val="28"/>
          <w:rtl/>
        </w:rPr>
        <w:t xml:space="preserve">رواسي ، وكيع بن جراح -ابن جراح ، وكيع</w:t>
      </w:r>
    </w:p>
    <w:p>
      <w:pPr>
        <w:pStyle w:val="BookText"/>
      </w:pPr>
      <w:r>
        <w:rPr>
          <w:rFonts w:ascii="IRNazanin" w:hAnsi="IRNazanin" w:eastAsia="IRNazanin" w:cs="IRNazanin"/>
          <w:lang w:bidi="fa-IR"/>
          <w:color w:val="111111"/>
          <w:sz w:val="28"/>
          <w:szCs w:val="28"/>
          <w:rtl/>
        </w:rPr>
        <w:t xml:space="preserve">بن جراح</w:t>
      </w:r>
    </w:p>
    <w:p>
      <w:pPr>
        <w:pStyle w:val="Heading2"/>
      </w:pPr>
      <w:bookmarkStart w:id="4572" w:name="_Toc3674"/>
      <w:r>
        <w:t>رواوي ، عبدالرحمن بن احمد</w:t>
      </w:r>
      <w:bookmarkEnd w:id="4572"/>
    </w:p>
    <w:p>
      <w:pPr>
        <w:pStyle w:val="BookText"/>
      </w:pPr>
      <w:r>
        <w:rPr>
          <w:rFonts w:ascii="Amiri" w:hAnsi="Amiri" w:eastAsia="Amiri" w:cs="Amiri"/>
          <w:lang w:bidi="ar-SA"/>
          <w:color w:val="111111"/>
          <w:sz w:val="28"/>
          <w:szCs w:val="28"/>
          <w:rtl/>
        </w:rPr>
        <w:t xml:space="preserve">1 قصيدة الرواوي، ج 12، ص 677 .</w:t>
      </w:r>
    </w:p>
    <w:p>
      <w:pPr>
        <w:pStyle w:val="BookText"/>
      </w:pPr>
      <w:r>
        <w:rPr>
          <w:rFonts w:ascii="Amiri" w:hAnsi="Amiri" w:eastAsia="Amiri" w:cs="Amiri"/>
          <w:lang w:bidi="ar-SA"/>
          <w:color w:val="111111"/>
          <w:sz w:val="28"/>
          <w:szCs w:val="28"/>
          <w:rtl/>
        </w:rPr>
        <w:t xml:space="preserve">2 .القصيدة القافية، ج 12، ص 703.</w:t>
      </w:r>
    </w:p>
    <w:p>
      <w:pPr>
        <w:pStyle w:val="BookText"/>
      </w:pPr>
      <w:r>
        <w:rPr>
          <w:rFonts w:ascii="Amiri" w:hAnsi="Amiri" w:eastAsia="Amiri" w:cs="Amiri"/>
          <w:lang w:bidi="ar-SA"/>
          <w:color w:val="111111"/>
          <w:sz w:val="28"/>
          <w:szCs w:val="28"/>
          <w:rtl/>
        </w:rPr>
        <w:t xml:space="preserve">روح الدين عيسى بن مطهر حسني -حسني ، عيسى بن لطف الله</w:t>
      </w:r>
    </w:p>
    <w:p>
      <w:pPr>
        <w:pStyle w:val="BookText"/>
      </w:pPr>
      <w:r>
        <w:rPr>
          <w:rFonts w:ascii="Amiri" w:hAnsi="Amiri" w:eastAsia="Amiri" w:cs="Amiri"/>
          <w:lang w:bidi="ar-SA"/>
          <w:color w:val="111111"/>
          <w:sz w:val="28"/>
          <w:szCs w:val="28"/>
          <w:rtl/>
        </w:rPr>
        <w:t xml:space="preserve">روحي، اسماعيل بن مصطفى -كلنبوي</w:t>
      </w:r>
    </w:p>
    <w:p>
      <w:pPr>
        <w:pStyle w:val="BookText"/>
      </w:pPr>
      <w:r>
        <w:rPr>
          <w:rFonts w:ascii="Amiri" w:hAnsi="Amiri" w:eastAsia="Amiri" w:cs="Amiri"/>
          <w:lang w:bidi="ar-SA"/>
          <w:color w:val="111111"/>
          <w:sz w:val="28"/>
          <w:szCs w:val="28"/>
          <w:rtl/>
        </w:rPr>
        <w:t xml:space="preserve">اسماعيل بن مصطفى</w:t>
      </w:r>
    </w:p>
    <w:p>
      <w:pPr>
        <w:pStyle w:val="BookText"/>
      </w:pPr>
      <w:r>
        <w:rPr>
          <w:rFonts w:ascii="Amiri" w:hAnsi="Amiri" w:eastAsia="Amiri" w:cs="Amiri"/>
          <w:lang w:bidi="ar-SA"/>
          <w:color w:val="111111"/>
          <w:sz w:val="28"/>
          <w:szCs w:val="28"/>
          <w:rtl/>
        </w:rPr>
        <w:t xml:space="preserve">روحي ، علي -جفري رومي ، علي</w:t>
      </w:r>
    </w:p>
    <w:p>
      <w:pPr>
        <w:pStyle w:val="Heading2"/>
      </w:pPr>
      <w:bookmarkStart w:id="4573" w:name="_Toc3675"/>
      <w:r>
        <w:t>؟ روحي ، علي بن محمّد ، قرن 7 ه-</w:t>
      </w:r>
      <w:bookmarkEnd w:id="4573"/>
    </w:p>
    <w:p>
      <w:pPr>
        <w:pStyle w:val="BookText"/>
      </w:pPr>
      <w:r>
        <w:rPr>
          <w:rFonts w:ascii="Amiri" w:hAnsi="Amiri" w:eastAsia="Amiri" w:cs="Amiri"/>
          <w:lang w:bidi="ar-SA"/>
          <w:color w:val="111111"/>
          <w:sz w:val="28"/>
          <w:szCs w:val="28"/>
          <w:rtl/>
        </w:rPr>
        <w:t xml:space="preserve">تاريخ الانبياء و ملوك الإسلام، ج3،</w:t>
      </w:r>
    </w:p>
    <w:p>
      <w:pPr>
        <w:pStyle w:val="BookText"/>
      </w:pPr>
      <w:r>
        <w:rPr>
          <w:rFonts w:ascii="IRNazanin" w:hAnsi="IRNazanin" w:eastAsia="IRNazanin" w:cs="IRNazanin"/>
          <w:lang w:bidi="fa-IR"/>
          <w:color w:val="111111"/>
          <w:sz w:val="28"/>
          <w:szCs w:val="28"/>
          <w:rtl/>
        </w:rPr>
        <w:t xml:space="preserve">ص 559 .</w:t>
      </w:r>
    </w:p>
    <w:p>
      <w:pPr>
        <w:pStyle w:val="BookText"/>
      </w:pPr>
      <w:r>
        <w:rPr>
          <w:rFonts w:ascii="Amiri" w:hAnsi="Amiri" w:eastAsia="Amiri" w:cs="Amiri"/>
          <w:lang w:bidi="ar-SA"/>
          <w:color w:val="111111"/>
          <w:sz w:val="28"/>
          <w:szCs w:val="28"/>
          <w:rtl/>
        </w:rPr>
        <w:t xml:space="preserve">روداني ، محمّد بن سليمان - سوسي ،</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روداني ، محمّد بن محمّد- سوسي ، محمّد</w:t>
      </w:r>
    </w:p>
    <w:p>
      <w:pPr>
        <w:pStyle w:val="BookText"/>
      </w:pPr>
      <w:r>
        <w:rPr>
          <w:rFonts w:ascii="Amiri" w:hAnsi="Amiri" w:eastAsia="Amiri" w:cs="Amiri"/>
          <w:lang w:bidi="ar-SA"/>
          <w:color w:val="111111"/>
          <w:sz w:val="28"/>
          <w:szCs w:val="28"/>
          <w:rtl/>
        </w:rPr>
        <w:t xml:space="preserve">بن محمّد</w:t>
      </w:r>
    </w:p>
    <w:p>
      <w:pPr>
        <w:pStyle w:val="Heading2"/>
      </w:pPr>
      <w:bookmarkStart w:id="4574" w:name="_Toc3676"/>
      <w:r>
        <w:t>رودريكوس ، الفونسيوس، 1537 - 1617 م</w:t>
      </w:r>
      <w:bookmarkEnd w:id="4574"/>
    </w:p>
    <w:p>
      <w:pPr>
        <w:pStyle w:val="BookText"/>
      </w:pPr>
      <w:r>
        <w:rPr>
          <w:rFonts w:ascii="Amiri" w:hAnsi="Amiri" w:eastAsia="Amiri" w:cs="Amiri"/>
          <w:lang w:bidi="ar-SA"/>
          <w:color w:val="111111"/>
          <w:sz w:val="28"/>
          <w:szCs w:val="28"/>
          <w:rtl/>
        </w:rPr>
        <w:t xml:space="preserve">الكمال المسيحي، ج 13، ص392.</w:t>
      </w:r>
    </w:p>
    <w:p>
      <w:pPr>
        <w:pStyle w:val="BookText"/>
      </w:pPr>
      <w:r>
        <w:rPr>
          <w:rFonts w:ascii="Amiri" w:hAnsi="Amiri" w:eastAsia="Amiri" w:cs="Amiri"/>
          <w:lang w:bidi="ar-SA"/>
          <w:color w:val="111111"/>
          <w:sz w:val="28"/>
          <w:szCs w:val="28"/>
          <w:rtl/>
        </w:rPr>
        <w:t xml:space="preserve">رودينس ، كيرفاوفليطس- كيرفاو فليطس</w:t>
      </w:r>
    </w:p>
    <w:p>
      <w:pPr>
        <w:pStyle w:val="BookText"/>
      </w:pPr>
      <w:r>
        <w:rPr>
          <w:rFonts w:ascii="IRNazanin" w:hAnsi="IRNazanin" w:eastAsia="IRNazanin" w:cs="IRNazanin"/>
          <w:lang w:bidi="fa-IR"/>
          <w:color w:val="111111"/>
          <w:sz w:val="28"/>
          <w:szCs w:val="28"/>
          <w:rtl/>
        </w:rPr>
        <w:t xml:space="preserve">رودینس</w:t>
      </w:r>
    </w:p>
    <w:p>
      <w:pPr>
        <w:pStyle w:val="BookText"/>
      </w:pPr>
      <w:r>
        <w:rPr>
          <w:rFonts w:ascii="Amiri" w:hAnsi="Amiri" w:eastAsia="Amiri" w:cs="Amiri"/>
          <w:lang w:bidi="ar-SA"/>
          <w:color w:val="111111"/>
          <w:sz w:val="28"/>
          <w:szCs w:val="28"/>
          <w:rtl/>
        </w:rPr>
        <w:t xml:space="preserve">روذراوري ، ابوشجاع محمّد بن الحسين- روذراوري ، محمّد بن حسين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6" w:name="pg7742_70446"/>
    <w:bookmarkEnd w:id="526"/>
    <w:p>
      <w:pPr>
        <w:pStyle w:val="BookText"/>
      </w:pPr>
      <w:r>
        <w:rPr>
          <w:rFonts w:ascii="IRNazanin" w:hAnsi="IRNazanin" w:eastAsia="IRNazanin" w:cs="IRNazanin"/>
          <w:lang w:bidi="fa-IR"/>
          <w:color w:val="111111"/>
          <w:sz w:val="28"/>
          <w:szCs w:val="28"/>
          <w:rtl/>
        </w:rPr>
        <w:t xml:space="preserve">روذراوري ، ظهیرالدین محمّد بن الحسين - روذراوري ، محمّد بن حسين</w:t>
      </w:r>
    </w:p>
    <w:p>
      <w:pPr>
        <w:pStyle w:val="Heading2"/>
      </w:pPr>
      <w:bookmarkStart w:id="4575" w:name="_Toc3677"/>
      <w:r>
        <w:t>روذراوري ، محمّد بن حسين، 437 - 488 ؟ ه-</w:t>
      </w:r>
      <w:bookmarkEnd w:id="4575"/>
    </w:p>
    <w:p>
      <w:pPr>
        <w:pStyle w:val="BookText"/>
      </w:pPr>
      <w:r>
        <w:rPr>
          <w:rFonts w:ascii="Amiri" w:hAnsi="Amiri" w:eastAsia="Amiri" w:cs="Amiri"/>
          <w:lang w:bidi="ar-SA"/>
          <w:color w:val="111111"/>
          <w:sz w:val="28"/>
          <w:szCs w:val="28"/>
          <w:rtl/>
        </w:rPr>
        <w:t xml:space="preserve">غاية الاختصار، ج11، ص 427.</w:t>
      </w:r>
    </w:p>
    <w:p>
      <w:pPr>
        <w:pStyle w:val="BookText"/>
      </w:pPr>
      <w:r>
        <w:rPr>
          <w:rFonts w:ascii="Amiri" w:hAnsi="Amiri" w:eastAsia="Amiri" w:cs="Amiri"/>
          <w:lang w:bidi="ar-SA"/>
          <w:color w:val="111111"/>
          <w:sz w:val="28"/>
          <w:szCs w:val="28"/>
          <w:rtl/>
        </w:rPr>
        <w:t xml:space="preserve">روزبهان بقلي ، ابو محمّد بن ابي نصر -</w:t>
      </w:r>
    </w:p>
    <w:p>
      <w:pPr>
        <w:pStyle w:val="BookText"/>
      </w:pPr>
      <w:r>
        <w:rPr>
          <w:rFonts w:ascii="Amiri" w:hAnsi="Amiri" w:eastAsia="Amiri" w:cs="Amiri"/>
          <w:lang w:bidi="ar-SA"/>
          <w:color w:val="111111"/>
          <w:sz w:val="28"/>
          <w:szCs w:val="28"/>
          <w:rtl/>
        </w:rPr>
        <w:t xml:space="preserve">روزبهان بقلي ، روزبهان بن ابي نصر</w:t>
      </w:r>
    </w:p>
    <w:p>
      <w:pPr>
        <w:pStyle w:val="Heading2"/>
      </w:pPr>
      <w:bookmarkStart w:id="4576" w:name="_Toc3678"/>
      <w:r>
        <w:t>روزبهان بقلي ، روزبهان بن ابي نصر</w:t>
      </w:r>
      <w:bookmarkEnd w:id="4576"/>
    </w:p>
    <w:p>
      <w:pPr>
        <w:pStyle w:val="BookText"/>
      </w:pPr>
      <w:r>
        <w:rPr>
          <w:rFonts w:ascii="IRNazanin" w:hAnsi="IRNazanin" w:eastAsia="IRNazanin" w:cs="IRNazanin"/>
          <w:lang w:bidi="fa-IR"/>
          <w:color w:val="111111"/>
          <w:sz w:val="28"/>
          <w:szCs w:val="28"/>
          <w:rtl/>
        </w:rPr>
        <w:t xml:space="preserve">522 - 606 ه-</w:t>
      </w:r>
    </w:p>
    <w:p>
      <w:pPr>
        <w:pStyle w:val="BookText"/>
      </w:pPr>
      <w:r>
        <w:rPr>
          <w:rFonts w:ascii="Amiri" w:hAnsi="Amiri" w:eastAsia="Amiri" w:cs="Amiri"/>
          <w:lang w:bidi="ar-SA"/>
          <w:color w:val="111111"/>
          <w:sz w:val="28"/>
          <w:szCs w:val="28"/>
          <w:rtl/>
        </w:rPr>
        <w:t xml:space="preserve">عرائس البيان في حقائق القرآن مرائي البيان في معاني القرآن، ج11،</w:t>
      </w:r>
    </w:p>
    <w:p>
      <w:pPr>
        <w:pStyle w:val="BookText"/>
      </w:pPr>
      <w:r>
        <w:rPr>
          <w:rFonts w:ascii="IRNazanin" w:hAnsi="IRNazanin" w:eastAsia="IRNazanin" w:cs="IRNazanin"/>
          <w:lang w:bidi="fa-IR"/>
          <w:color w:val="111111"/>
          <w:sz w:val="28"/>
          <w:szCs w:val="28"/>
          <w:rtl/>
        </w:rPr>
        <w:t xml:space="preserve">ص 73.</w:t>
      </w:r>
    </w:p>
    <w:p>
      <w:pPr>
        <w:pStyle w:val="BookText"/>
      </w:pPr>
      <w:r>
        <w:rPr>
          <w:rFonts w:ascii="Amiri" w:hAnsi="Amiri" w:eastAsia="Amiri" w:cs="Amiri"/>
          <w:lang w:bidi="ar-SA"/>
          <w:color w:val="111111"/>
          <w:sz w:val="28"/>
          <w:szCs w:val="28"/>
          <w:rtl/>
        </w:rPr>
        <w:t xml:space="preserve">روزبهان شيرازي- روزبهان بقلي ، روزبهان</w:t>
      </w:r>
    </w:p>
    <w:p>
      <w:pPr>
        <w:pStyle w:val="BookText"/>
      </w:pPr>
      <w:r>
        <w:rPr>
          <w:rFonts w:ascii="Amiri" w:hAnsi="Amiri" w:eastAsia="Amiri" w:cs="Amiri"/>
          <w:lang w:bidi="ar-SA"/>
          <w:color w:val="111111"/>
          <w:sz w:val="28"/>
          <w:szCs w:val="28"/>
          <w:rtl/>
        </w:rPr>
        <w:t xml:space="preserve">بن ابي نصر</w:t>
      </w:r>
    </w:p>
    <w:p>
      <w:pPr>
        <w:pStyle w:val="Heading2"/>
      </w:pPr>
      <w:bookmarkStart w:id="4577" w:name="_Toc3679"/>
      <w:r>
        <w:t>روزبهاني ، عبدالرحمن بن حسين قرن 13</w:t>
      </w:r>
      <w:bookmarkEnd w:id="4577"/>
    </w:p>
    <w:p>
      <w:pPr>
        <w:pStyle w:val="BookText"/>
      </w:pPr>
      <w:r>
        <w:rPr>
          <w:rFonts w:ascii="Amiri" w:hAnsi="Amiri" w:eastAsia="Amiri" w:cs="Amiri"/>
          <w:lang w:bidi="ar-SA"/>
          <w:color w:val="111111"/>
          <w:sz w:val="28"/>
          <w:szCs w:val="28"/>
          <w:rtl/>
        </w:rPr>
        <w:t xml:space="preserve">اجازة لعبيد الله بن عبيد الله بن صبغة</w:t>
      </w:r>
    </w:p>
    <w:p>
      <w:pPr>
        <w:pStyle w:val="BookText"/>
      </w:pPr>
      <w:r>
        <w:rPr>
          <w:rFonts w:ascii="Amiri" w:hAnsi="Amiri" w:eastAsia="Amiri" w:cs="Amiri"/>
          <w:lang w:bidi="ar-SA"/>
          <w:color w:val="111111"/>
          <w:sz w:val="28"/>
          <w:szCs w:val="28"/>
          <w:rtl/>
        </w:rPr>
        <w:t xml:space="preserve">الله الصفوي الحسين آبادي، ج1،</w:t>
      </w:r>
    </w:p>
    <w:p>
      <w:pPr>
        <w:pStyle w:val="BookText"/>
      </w:pPr>
      <w:r>
        <w:rPr>
          <w:rFonts w:ascii="IRNazanin" w:hAnsi="IRNazanin" w:eastAsia="IRNazanin" w:cs="IRNazanin"/>
          <w:lang w:bidi="fa-IR"/>
          <w:color w:val="111111"/>
          <w:sz w:val="28"/>
          <w:szCs w:val="28"/>
          <w:rtl/>
        </w:rPr>
        <w:t xml:space="preserve">ص 279.</w:t>
      </w:r>
    </w:p>
    <w:p>
      <w:pPr>
        <w:pStyle w:val="Heading2"/>
      </w:pPr>
      <w:bookmarkStart w:id="4578" w:name="_Toc3680"/>
      <w:r>
        <w:t>روزبهاني ، محمّد جميل قرن 14 ه-</w:t>
      </w:r>
      <w:bookmarkEnd w:id="4578"/>
    </w:p>
    <w:p>
      <w:pPr>
        <w:pStyle w:val="BookText"/>
      </w:pPr>
      <w:r>
        <w:rPr>
          <w:rFonts w:ascii="Amiri" w:hAnsi="Amiri" w:eastAsia="Amiri" w:cs="Amiri"/>
          <w:lang w:bidi="ar-SA"/>
          <w:color w:val="111111"/>
          <w:sz w:val="28"/>
          <w:szCs w:val="28"/>
          <w:rtl/>
        </w:rPr>
        <w:t xml:space="preserve">منشأ الاسرة المردوخية، ج 15، ص 689.</w:t>
      </w:r>
    </w:p>
    <w:p>
      <w:pPr>
        <w:pStyle w:val="BookText"/>
      </w:pPr>
      <w:r>
        <w:rPr>
          <w:rFonts w:ascii="IRNazanin" w:hAnsi="IRNazanin" w:eastAsia="IRNazanin" w:cs="IRNazanin"/>
          <w:lang w:bidi="fa-IR"/>
          <w:color w:val="111111"/>
          <w:sz w:val="28"/>
          <w:szCs w:val="28"/>
          <w:rtl/>
        </w:rPr>
        <w:t xml:space="preserve">روزبه بن دادویه- ابن مقفع ، عبدالله بن دادویه</w:t>
      </w:r>
    </w:p>
    <w:p>
      <w:pPr>
        <w:pStyle w:val="Heading2"/>
      </w:pPr>
      <w:bookmarkStart w:id="4579" w:name="_Toc3681"/>
      <w:r>
        <w:t>روزدري ، علي، - 1290 ه-</w:t>
      </w:r>
      <w:bookmarkEnd w:id="4579"/>
    </w:p>
    <w:p>
      <w:pPr>
        <w:pStyle w:val="BookText"/>
      </w:pPr>
      <w:r>
        <w:rPr>
          <w:rFonts w:ascii="Amiri" w:hAnsi="Amiri" w:eastAsia="Amiri" w:cs="Amiri"/>
          <w:lang w:bidi="ar-SA"/>
          <w:color w:val="111111"/>
          <w:sz w:val="28"/>
          <w:szCs w:val="28"/>
          <w:rtl/>
        </w:rPr>
        <w:t xml:space="preserve">1 .تقريرات الاصول، ج 4، ص 740.</w:t>
      </w:r>
    </w:p>
    <w:p>
      <w:pPr>
        <w:pStyle w:val="BookText"/>
      </w:pPr>
      <w:r>
        <w:rPr>
          <w:rFonts w:ascii="Amiri" w:hAnsi="Amiri" w:eastAsia="Amiri" w:cs="Amiri"/>
          <w:lang w:bidi="ar-SA"/>
          <w:color w:val="111111"/>
          <w:sz w:val="28"/>
          <w:szCs w:val="28"/>
          <w:rtl/>
        </w:rPr>
        <w:t xml:space="preserve">2 .حاشية التعادل والتراجيح، ج 5،</w:t>
      </w:r>
    </w:p>
    <w:p>
      <w:pPr>
        <w:pStyle w:val="BookText"/>
      </w:pPr>
      <w:r>
        <w:rPr>
          <w:rFonts w:ascii="IRNazanin" w:hAnsi="IRNazanin" w:eastAsia="IRNazanin" w:cs="IRNazanin"/>
          <w:lang w:bidi="fa-IR"/>
          <w:color w:val="111111"/>
          <w:sz w:val="28"/>
          <w:szCs w:val="28"/>
          <w:rtl/>
        </w:rPr>
        <w:t xml:space="preserve">ص 739.</w:t>
      </w:r>
    </w:p>
    <w:p>
      <w:pPr>
        <w:pStyle w:val="BookText"/>
      </w:pPr>
      <w:r>
        <w:rPr>
          <w:rFonts w:ascii="IRNazanin" w:hAnsi="IRNazanin" w:eastAsia="IRNazanin" w:cs="IRNazanin"/>
          <w:lang w:bidi="fa-IR"/>
          <w:color w:val="111111"/>
          <w:sz w:val="28"/>
          <w:szCs w:val="28"/>
          <w:rtl/>
        </w:rPr>
        <w:t xml:space="preserve">3 .حاشية فرائد الاصول = حاشیه بر</w:t>
      </w:r>
    </w:p>
    <w:p>
      <w:pPr>
        <w:pStyle w:val="BookText"/>
      </w:pPr>
      <w:r>
        <w:rPr>
          <w:rFonts w:ascii="IRNazanin" w:hAnsi="IRNazanin" w:eastAsia="IRNazanin" w:cs="IRNazanin"/>
          <w:lang w:bidi="fa-IR"/>
          <w:color w:val="111111"/>
          <w:sz w:val="28"/>
          <w:szCs w:val="28"/>
          <w:rtl/>
        </w:rPr>
        <w:t xml:space="preserve">رسائل، ج 6، ص 262.</w:t>
      </w:r>
    </w:p>
    <w:p>
      <w:pPr>
        <w:pStyle w:val="BookText"/>
      </w:pPr>
      <w:r>
        <w:rPr>
          <w:rFonts w:ascii="Amiri" w:hAnsi="Amiri" w:eastAsia="Amiri" w:cs="Amiri"/>
          <w:lang w:bidi="ar-SA"/>
          <w:color w:val="111111"/>
          <w:sz w:val="28"/>
          <w:szCs w:val="28"/>
          <w:rtl/>
        </w:rPr>
        <w:t xml:space="preserve">روزدري ، ملاعلي- روزدري ، علي</w:t>
      </w:r>
    </w:p>
    <w:p>
      <w:pPr>
        <w:pStyle w:val="Heading2"/>
      </w:pPr>
      <w:bookmarkStart w:id="4580" w:name="_Toc3682"/>
      <w:r>
        <w:t>روزي ، محمّد بن محمّد</w:t>
      </w:r>
      <w:bookmarkEnd w:id="4580"/>
    </w:p>
    <w:p>
      <w:pPr>
        <w:pStyle w:val="BookText"/>
      </w:pPr>
      <w:r>
        <w:rPr>
          <w:rFonts w:ascii="Amiri" w:hAnsi="Amiri" w:eastAsia="Amiri" w:cs="Amiri"/>
          <w:lang w:bidi="ar-SA"/>
          <w:color w:val="111111"/>
          <w:sz w:val="28"/>
          <w:szCs w:val="28"/>
          <w:rtl/>
        </w:rPr>
        <w:t xml:space="preserve">الاحاديث المائة من صحيح البخاري</w:t>
      </w:r>
    </w:p>
    <w:p>
      <w:pPr>
        <w:pStyle w:val="BookText"/>
      </w:pPr>
      <w:r>
        <w:rPr>
          <w:rFonts w:ascii="IRNazanin" w:hAnsi="IRNazanin" w:eastAsia="IRNazanin" w:cs="IRNazanin"/>
          <w:lang w:bidi="fa-IR"/>
          <w:color w:val="111111"/>
          <w:sz w:val="28"/>
          <w:szCs w:val="28"/>
          <w:rtl/>
        </w:rPr>
        <w:t xml:space="preserve">ج 1، ص 417 .</w:t>
      </w:r>
    </w:p>
    <w:p>
      <w:pPr>
        <w:pStyle w:val="BookText"/>
      </w:pPr>
      <w:r>
        <w:rPr>
          <w:rFonts w:ascii="Amiri" w:hAnsi="Amiri" w:eastAsia="Amiri" w:cs="Amiri"/>
          <w:lang w:bidi="ar-SA"/>
          <w:color w:val="111111"/>
          <w:sz w:val="28"/>
          <w:szCs w:val="28"/>
          <w:rtl/>
        </w:rPr>
        <w:t xml:space="preserve">روستايي ، محمّد بن آدم- محمّد بن آدم</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روستمي ، ابوبكر -ميررستمي ، ابوبكر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روشنعلي بن عبدالرسول فيض آبادي- فيض آبادي ، روشنعلي بن عبدالرسول</w:t>
      </w:r>
    </w:p>
    <w:p>
      <w:pPr>
        <w:pStyle w:val="Heading2"/>
      </w:pPr>
      <w:bookmarkStart w:id="4581" w:name="_Toc3683"/>
      <w:r>
        <w:t>روشني زاده ، نعمت الله بن احمد</w:t>
      </w:r>
      <w:bookmarkEnd w:id="4581"/>
    </w:p>
    <w:p>
      <w:pPr>
        <w:pStyle w:val="BookText"/>
      </w:pPr>
      <w:r>
        <w:rPr>
          <w:rFonts w:ascii="IRNazanin" w:hAnsi="IRNazanin" w:eastAsia="IRNazanin" w:cs="IRNazanin"/>
          <w:lang w:bidi="fa-IR"/>
          <w:color w:val="111111"/>
          <w:sz w:val="28"/>
          <w:szCs w:val="28"/>
          <w:rtl/>
        </w:rPr>
        <w:t xml:space="preserve">969ه-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لغت نعمة الله</w:t>
      </w:r>
    </w:p>
    <w:p>
      <w:pPr>
        <w:pStyle w:val="BookText"/>
      </w:pPr>
      <w:r>
        <w:rPr>
          <w:rFonts w:ascii="IRNazanin" w:hAnsi="IRNazanin" w:eastAsia="IRNazanin" w:cs="IRNazanin"/>
          <w:lang w:bidi="fa-IR"/>
          <w:color w:val="111111"/>
          <w:sz w:val="28"/>
          <w:szCs w:val="28"/>
          <w:rtl/>
        </w:rPr>
        <w:t xml:space="preserve">رومي = فرهنگ</w:t>
      </w:r>
    </w:p>
    <w:p>
      <w:pPr>
        <w:pStyle w:val="BookText"/>
      </w:pPr>
      <w:r>
        <w:rPr>
          <w:rFonts w:ascii="Amiri" w:hAnsi="Amiri" w:eastAsia="Amiri" w:cs="Amiri"/>
          <w:lang w:bidi="ar-SA"/>
          <w:color w:val="111111"/>
          <w:sz w:val="28"/>
          <w:szCs w:val="28"/>
          <w:rtl/>
        </w:rPr>
        <w:t xml:space="preserve">نعمة الله، ج13، ص594.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لغز، ج13، ص 595.</w:t>
      </w:r>
    </w:p>
    <w:p>
      <w:pPr>
        <w:pStyle w:val="BookText"/>
      </w:pPr>
      <w:r>
        <w:rPr>
          <w:rFonts w:ascii="IRNazanin" w:hAnsi="IRNazanin" w:eastAsia="IRNazanin" w:cs="IRNazanin"/>
          <w:lang w:bidi="fa-IR"/>
          <w:color w:val="111111"/>
          <w:sz w:val="28"/>
          <w:szCs w:val="28"/>
          <w:rtl/>
        </w:rPr>
        <w:t xml:space="preserve">روضه خوان ، جواد بن مجتبى- حسيني ، جواد بن مجتبی</w:t>
      </w:r>
    </w:p>
    <w:p>
      <w:pPr>
        <w:pStyle w:val="BookText"/>
      </w:pPr>
      <w:r>
        <w:rPr>
          <w:rFonts w:ascii="Amiri" w:hAnsi="Amiri" w:eastAsia="Amiri" w:cs="Amiri"/>
          <w:lang w:bidi="ar-SA"/>
          <w:color w:val="111111"/>
          <w:sz w:val="28"/>
          <w:szCs w:val="28"/>
          <w:rtl/>
        </w:rPr>
        <w:t xml:space="preserve">روضه خوان ، غلام حسين بن محمّد صادق -نجف آبادي ، غلام حسين بن محمّد</w:t>
      </w:r>
    </w:p>
    <w:p>
      <w:pPr>
        <w:pStyle w:val="BookText"/>
      </w:pPr>
      <w:r>
        <w:rPr>
          <w:rFonts w:ascii="IRNazanin" w:hAnsi="IRNazanin" w:eastAsia="IRNazanin" w:cs="IRNazanin"/>
          <w:lang w:bidi="fa-IR"/>
          <w:color w:val="111111"/>
          <w:sz w:val="28"/>
          <w:szCs w:val="28"/>
          <w:rtl/>
        </w:rPr>
        <w:t xml:space="preserve">صادق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7" w:name="pg7742_70449"/>
    <w:bookmarkEnd w:id="527"/>
    <w:p>
      <w:pPr>
        <w:pStyle w:val="Heading2"/>
      </w:pPr>
      <w:bookmarkStart w:id="4582" w:name="_Toc3684"/>
      <w:r>
        <w:t>روغني قزويني ، محمّد صالح بن محمّد</w:t>
      </w:r>
      <w:bookmarkEnd w:id="4582"/>
    </w:p>
    <w:p>
      <w:pPr>
        <w:pStyle w:val="BookText"/>
      </w:pPr>
      <w:r>
        <w:rPr>
          <w:rFonts w:ascii="IRNazanin" w:hAnsi="IRNazanin" w:eastAsia="IRNazanin" w:cs="IRNazanin"/>
          <w:lang w:bidi="fa-IR"/>
          <w:color w:val="111111"/>
          <w:sz w:val="28"/>
          <w:szCs w:val="28"/>
          <w:rtl/>
        </w:rPr>
        <w:t xml:space="preserve">باقر - 1116 ؟ ه-</w:t>
      </w:r>
    </w:p>
    <w:p>
      <w:pPr>
        <w:pStyle w:val="BookText"/>
      </w:pPr>
      <w:r>
        <w:rPr>
          <w:rFonts w:ascii="Amiri" w:hAnsi="Amiri" w:eastAsia="Amiri" w:cs="Amiri"/>
          <w:lang w:bidi="ar-SA"/>
          <w:color w:val="111111"/>
          <w:sz w:val="28"/>
          <w:szCs w:val="28"/>
          <w:rtl/>
        </w:rPr>
        <w:t xml:space="preserve">1 .الامامة، ج 2، ص 733.</w:t>
      </w:r>
    </w:p>
    <w:p>
      <w:pPr>
        <w:pStyle w:val="BookText"/>
      </w:pPr>
      <w:r>
        <w:rPr>
          <w:rFonts w:ascii="Amiri" w:hAnsi="Amiri" w:eastAsia="Amiri" w:cs="Amiri"/>
          <w:lang w:bidi="ar-SA"/>
          <w:color w:val="111111"/>
          <w:sz w:val="28"/>
          <w:szCs w:val="28"/>
          <w:rtl/>
        </w:rPr>
        <w:t xml:space="preserve">2 .رياض اللبيب و حدائق الأريب =</w:t>
      </w:r>
    </w:p>
    <w:p>
      <w:pPr>
        <w:pStyle w:val="BookText"/>
      </w:pPr>
      <w:r>
        <w:rPr>
          <w:rFonts w:ascii="IRNazanin" w:hAnsi="IRNazanin" w:eastAsia="IRNazanin" w:cs="IRNazanin"/>
          <w:lang w:bidi="fa-IR"/>
          <w:color w:val="111111"/>
          <w:sz w:val="28"/>
          <w:szCs w:val="28"/>
          <w:rtl/>
        </w:rPr>
        <w:t xml:space="preserve">نوادر العلوم و الأدب، ج8، ص 491.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الصحيفة الكاملة السجادية (ترجمه) = الصحيفة السجادية (ترجمه) = شرح صحیفه سجادیه</w:t>
      </w:r>
    </w:p>
    <w:p>
      <w:pPr>
        <w:pStyle w:val="BookText"/>
      </w:pPr>
      <w:r>
        <w:rPr>
          <w:rFonts w:ascii="IRNazanin" w:hAnsi="IRNazanin" w:eastAsia="IRNazanin" w:cs="IRNazanin"/>
          <w:lang w:bidi="fa-IR"/>
          <w:color w:val="111111"/>
          <w:sz w:val="28"/>
          <w:szCs w:val="28"/>
          <w:rtl/>
        </w:rPr>
        <w:t xml:space="preserve">ج 10، ص 533.</w:t>
      </w:r>
    </w:p>
    <w:p>
      <w:pPr>
        <w:pStyle w:val="BookText"/>
      </w:pPr>
      <w:r>
        <w:rPr>
          <w:rFonts w:ascii="IRNazanin" w:hAnsi="IRNazanin" w:eastAsia="IRNazanin" w:cs="IRNazanin"/>
          <w:lang w:bidi="fa-IR"/>
          <w:color w:val="111111"/>
          <w:sz w:val="28"/>
          <w:szCs w:val="28"/>
          <w:rtl/>
        </w:rPr>
        <w:t xml:space="preserve">4 .النوادر، ج 16، ص 538.</w:t>
      </w:r>
    </w:p>
    <w:p>
      <w:pPr>
        <w:pStyle w:val="BookText"/>
      </w:pPr>
      <w:r>
        <w:rPr>
          <w:rFonts w:ascii="Amiri" w:hAnsi="Amiri" w:eastAsia="Amiri" w:cs="Amiri"/>
          <w:lang w:bidi="ar-SA"/>
          <w:color w:val="111111"/>
          <w:sz w:val="28"/>
          <w:szCs w:val="28"/>
          <w:rtl/>
        </w:rPr>
        <w:t xml:space="preserve">روغني ، محمّد صالح بن محمّد</w:t>
      </w:r>
    </w:p>
    <w:p>
      <w:pPr>
        <w:pStyle w:val="BookText"/>
      </w:pPr>
      <w:r>
        <w:rPr>
          <w:rFonts w:ascii="Amiri" w:hAnsi="Amiri" w:eastAsia="Amiri" w:cs="Amiri"/>
          <w:lang w:bidi="ar-SA"/>
          <w:color w:val="111111"/>
          <w:sz w:val="28"/>
          <w:szCs w:val="28"/>
          <w:rtl/>
        </w:rPr>
        <w:t xml:space="preserve">باقر -روغني قزويني ، محمّد صالح بن محمّد</w:t>
      </w:r>
    </w:p>
    <w:p>
      <w:pPr>
        <w:pStyle w:val="BookText"/>
      </w:pPr>
      <w:r>
        <w:rPr>
          <w:rFonts w:ascii="IRNazanin" w:hAnsi="IRNazanin" w:eastAsia="IRNazanin" w:cs="IRNazanin"/>
          <w:lang w:bidi="fa-IR"/>
          <w:color w:val="111111"/>
          <w:sz w:val="28"/>
          <w:szCs w:val="28"/>
          <w:rtl/>
        </w:rPr>
        <w:t xml:space="preserve">باقر</w:t>
      </w:r>
    </w:p>
    <w:p>
      <w:pPr>
        <w:pStyle w:val="Heading2"/>
      </w:pPr>
      <w:bookmarkStart w:id="4583" w:name="_Toc3685"/>
      <w:r>
        <w:t>روفائيل ، الباتري</w:t>
      </w:r>
      <w:bookmarkEnd w:id="4583"/>
    </w:p>
    <w:p>
      <w:pPr>
        <w:pStyle w:val="BookText"/>
      </w:pPr>
      <w:r>
        <w:rPr>
          <w:rFonts w:ascii="Amiri" w:hAnsi="Amiri" w:eastAsia="Amiri" w:cs="Amiri"/>
          <w:lang w:bidi="ar-SA"/>
          <w:color w:val="111111"/>
          <w:sz w:val="28"/>
          <w:szCs w:val="28"/>
          <w:rtl/>
        </w:rPr>
        <w:t xml:space="preserve">اباطيل العالم، ج1، ص83</w:t>
      </w:r>
    </w:p>
    <w:p>
      <w:pPr>
        <w:pStyle w:val="Heading2"/>
      </w:pPr>
      <w:bookmarkStart w:id="4584" w:name="_Toc3686"/>
      <w:r>
        <w:t>رومي، ابراهيم بن حنيف بن مصطفى</w:t>
      </w:r>
      <w:bookmarkEnd w:id="458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1199 ه-</w:t>
      </w:r>
    </w:p>
    <w:p>
      <w:pPr>
        <w:pStyle w:val="BookText"/>
      </w:pPr>
      <w:r>
        <w:rPr>
          <w:rFonts w:ascii="IRNazanin" w:hAnsi="IRNazanin" w:eastAsia="IRNazanin" w:cs="IRNazanin"/>
          <w:lang w:bidi="fa-IR"/>
          <w:color w:val="111111"/>
          <w:sz w:val="28"/>
          <w:szCs w:val="28"/>
          <w:rtl/>
        </w:rPr>
        <w:t xml:space="preserve">اسماء اهل بدر و مناقبهم و فضائلهم</w:t>
      </w:r>
    </w:p>
    <w:p>
      <w:pPr>
        <w:pStyle w:val="BookText"/>
      </w:pPr>
      <w:r>
        <w:rPr>
          <w:rFonts w:ascii="IRNazanin" w:hAnsi="IRNazanin" w:eastAsia="IRNazanin" w:cs="IRNazanin"/>
          <w:lang w:bidi="fa-IR"/>
          <w:color w:val="111111"/>
          <w:sz w:val="28"/>
          <w:szCs w:val="28"/>
          <w:rtl/>
        </w:rPr>
        <w:t xml:space="preserve">ج 2، ص 216.</w:t>
      </w:r>
    </w:p>
    <w:p>
      <w:pPr>
        <w:pStyle w:val="Heading2"/>
      </w:pPr>
      <w:bookmarkStart w:id="4585" w:name="_Toc3687"/>
      <w:r>
        <w:t>رومي ، ابوالفضل احمد - 720 ؟ ه-</w:t>
      </w:r>
      <w:bookmarkEnd w:id="4585"/>
    </w:p>
    <w:p>
      <w:pPr>
        <w:pStyle w:val="BookText"/>
      </w:pPr>
      <w:r>
        <w:rPr>
          <w:rFonts w:ascii="IRNazanin" w:hAnsi="IRNazanin" w:eastAsia="IRNazanin" w:cs="IRNazanin"/>
          <w:lang w:bidi="fa-IR"/>
          <w:color w:val="111111"/>
          <w:sz w:val="28"/>
          <w:szCs w:val="28"/>
          <w:rtl/>
        </w:rPr>
        <w:t xml:space="preserve">1 .الحقائق و الدقائق = دقائق</w:t>
      </w:r>
    </w:p>
    <w:p>
      <w:pPr>
        <w:pStyle w:val="BookText"/>
      </w:pPr>
      <w:r>
        <w:rPr>
          <w:rFonts w:ascii="Amiri" w:hAnsi="Amiri" w:eastAsia="Amiri" w:cs="Amiri"/>
          <w:lang w:bidi="ar-SA"/>
          <w:color w:val="111111"/>
          <w:sz w:val="28"/>
          <w:szCs w:val="28"/>
          <w:rtl/>
        </w:rPr>
        <w:t xml:space="preserve">الحقايق، ج 6 ، ص 691 .</w:t>
      </w:r>
    </w:p>
    <w:p>
      <w:pPr>
        <w:pStyle w:val="BookText"/>
      </w:pPr>
      <w:r>
        <w:rPr>
          <w:rFonts w:ascii="Amiri" w:hAnsi="Amiri" w:eastAsia="Amiri" w:cs="Amiri"/>
          <w:lang w:bidi="ar-SA"/>
          <w:color w:val="111111"/>
          <w:sz w:val="28"/>
          <w:szCs w:val="28"/>
          <w:rtl/>
        </w:rPr>
        <w:t xml:space="preserve">2 .خلاصة الحقائق، ج 7، ص 110.</w:t>
      </w:r>
    </w:p>
    <w:p>
      <w:pPr>
        <w:pStyle w:val="Heading2"/>
      </w:pPr>
      <w:bookmarkStart w:id="4586" w:name="_Toc3688"/>
      <w:r>
        <w:t>رومي ، ابوالقاسم بن عبدالجلیل قرن 8</w:t>
      </w:r>
      <w:bookmarkEnd w:id="4586"/>
    </w:p>
    <w:p>
      <w:pPr>
        <w:pStyle w:val="BookText"/>
      </w:pPr>
      <w:r>
        <w:rPr>
          <w:rFonts w:ascii="Amiri" w:hAnsi="Amiri" w:eastAsia="Amiri" w:cs="Amiri"/>
          <w:lang w:bidi="ar-SA"/>
          <w:color w:val="111111"/>
          <w:sz w:val="28"/>
          <w:szCs w:val="28"/>
          <w:rtl/>
        </w:rPr>
        <w:t xml:space="preserve">اصابة المبتدي و غاية المنتهي، ج 2،</w:t>
      </w:r>
    </w:p>
    <w:p>
      <w:pPr>
        <w:pStyle w:val="BookText"/>
      </w:pPr>
      <w:r>
        <w:rPr>
          <w:rFonts w:ascii="IRNazanin" w:hAnsi="IRNazanin" w:eastAsia="IRNazanin" w:cs="IRNazanin"/>
          <w:lang w:bidi="fa-IR"/>
          <w:color w:val="111111"/>
          <w:sz w:val="28"/>
          <w:szCs w:val="28"/>
          <w:rtl/>
        </w:rPr>
        <w:t xml:space="preserve">ص 350.</w:t>
      </w:r>
    </w:p>
    <w:p>
      <w:pPr>
        <w:pStyle w:val="BookText"/>
      </w:pPr>
      <w:r>
        <w:rPr>
          <w:rFonts w:ascii="Amiri" w:hAnsi="Amiri" w:eastAsia="Amiri" w:cs="Amiri"/>
          <w:lang w:bidi="ar-SA"/>
          <w:color w:val="111111"/>
          <w:sz w:val="28"/>
          <w:szCs w:val="28"/>
          <w:rtl/>
        </w:rPr>
        <w:t xml:space="preserve">رومي ، احمد -رومي ، ابوالفضل احمد</w:t>
      </w:r>
    </w:p>
    <w:p>
      <w:pPr>
        <w:pStyle w:val="Heading2"/>
      </w:pPr>
      <w:bookmarkStart w:id="4587" w:name="_Toc3689"/>
      <w:r>
        <w:t>رومي ، احمد بن محمّد - 717 ه-</w:t>
      </w:r>
      <w:bookmarkEnd w:id="4587"/>
    </w:p>
    <w:p>
      <w:pPr>
        <w:pStyle w:val="BookText"/>
      </w:pPr>
      <w:r>
        <w:rPr>
          <w:rFonts w:ascii="Amiri" w:hAnsi="Amiri" w:eastAsia="Amiri" w:cs="Amiri"/>
          <w:lang w:bidi="ar-SA"/>
          <w:color w:val="111111"/>
          <w:sz w:val="28"/>
          <w:szCs w:val="28"/>
          <w:rtl/>
        </w:rPr>
        <w:t xml:space="preserve">الاراضي (رسالة في)، ج 1 ، ص 676.</w:t>
      </w:r>
    </w:p>
    <w:p>
      <w:pPr>
        <w:pStyle w:val="BookText"/>
      </w:pPr>
      <w:r>
        <w:rPr>
          <w:rFonts w:ascii="Amiri" w:hAnsi="Amiri" w:eastAsia="Amiri" w:cs="Amiri"/>
          <w:lang w:bidi="ar-SA"/>
          <w:color w:val="111111"/>
          <w:sz w:val="28"/>
          <w:szCs w:val="28"/>
          <w:rtl/>
        </w:rPr>
        <w:t xml:space="preserve">رومي بروسوي ، احمد بن عبد الله - ديكقوز ، احمد بن عبدالله</w:t>
      </w:r>
    </w:p>
    <w:p>
      <w:pPr>
        <w:pStyle w:val="BookText"/>
      </w:pPr>
      <w:r>
        <w:rPr>
          <w:rFonts w:ascii="Amiri" w:hAnsi="Amiri" w:eastAsia="Amiri" w:cs="Amiri"/>
          <w:lang w:bidi="ar-SA"/>
          <w:color w:val="111111"/>
          <w:sz w:val="28"/>
          <w:szCs w:val="28"/>
          <w:rtl/>
        </w:rPr>
        <w:t xml:space="preserve">رومي تبريزي ، محي الدين محمّد بن محمّد -حنفي</w:t>
      </w:r>
    </w:p>
    <w:p>
      <w:pPr>
        <w:pStyle w:val="BookText"/>
      </w:pPr>
      <w:r>
        <w:rPr>
          <w:rFonts w:ascii="Amiri" w:hAnsi="Amiri" w:eastAsia="Amiri" w:cs="Amiri"/>
          <w:lang w:bidi="ar-SA"/>
          <w:color w:val="111111"/>
          <w:sz w:val="28"/>
          <w:szCs w:val="28"/>
          <w:rtl/>
        </w:rPr>
        <w:t xml:space="preserve">تبريزي ، شمس الدين محمّد</w:t>
      </w:r>
    </w:p>
    <w:p>
      <w:pPr>
        <w:pStyle w:val="BookText"/>
      </w:pPr>
      <w:r>
        <w:rPr>
          <w:rFonts w:ascii="Amiri" w:hAnsi="Amiri" w:eastAsia="Amiri" w:cs="Amiri"/>
          <w:lang w:bidi="ar-SA"/>
          <w:color w:val="111111"/>
          <w:sz w:val="28"/>
          <w:szCs w:val="28"/>
          <w:rtl/>
        </w:rPr>
        <w:t xml:space="preserve">رومي ، جلال الدين - مولوي ، جلال الدين</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رومي ، جلال الدين- احمد رومي ،</w:t>
      </w:r>
    </w:p>
    <w:p>
      <w:pPr>
        <w:pStyle w:val="BookText"/>
      </w:pPr>
      <w:r>
        <w:rPr>
          <w:rFonts w:ascii="IRNazanin" w:hAnsi="IRNazanin" w:eastAsia="IRNazanin" w:cs="IRNazanin"/>
          <w:lang w:bidi="fa-IR"/>
          <w:color w:val="111111"/>
          <w:sz w:val="28"/>
          <w:szCs w:val="28"/>
          <w:rtl/>
        </w:rPr>
        <w:t xml:space="preserve">ابوالفضل احمد</w:t>
      </w:r>
    </w:p>
    <w:p>
      <w:pPr>
        <w:pStyle w:val="BookText"/>
      </w:pPr>
      <w:r>
        <w:rPr>
          <w:rFonts w:ascii="Amiri" w:hAnsi="Amiri" w:eastAsia="Amiri" w:cs="Amiri"/>
          <w:lang w:bidi="ar-SA"/>
          <w:color w:val="111111"/>
          <w:sz w:val="28"/>
          <w:szCs w:val="28"/>
          <w:rtl/>
        </w:rPr>
        <w:t xml:space="preserve">رومي حنفي ، ادريس بن حسام</w:t>
      </w:r>
    </w:p>
    <w:p>
      <w:pPr>
        <w:pStyle w:val="BookText"/>
      </w:pPr>
      <w:r>
        <w:rPr>
          <w:rFonts w:ascii="Amiri" w:hAnsi="Amiri" w:eastAsia="Amiri" w:cs="Amiri"/>
          <w:lang w:bidi="ar-SA"/>
          <w:color w:val="111111"/>
          <w:sz w:val="28"/>
          <w:szCs w:val="28"/>
          <w:rtl/>
        </w:rPr>
        <w:t xml:space="preserve">الدين- بدليسي ، ادريس بن حسام الدين علي</w:t>
      </w:r>
    </w:p>
    <w:p>
      <w:pPr>
        <w:pStyle w:val="BookText"/>
      </w:pPr>
      <w:r>
        <w:rPr>
          <w:rFonts w:ascii="Amiri" w:hAnsi="Amiri" w:eastAsia="Amiri" w:cs="Amiri"/>
          <w:lang w:bidi="ar-SA"/>
          <w:color w:val="111111"/>
          <w:sz w:val="28"/>
          <w:szCs w:val="28"/>
          <w:rtl/>
        </w:rPr>
        <w:t xml:space="preserve">رومي حنفي ، علي بن لالي -باليمنق</w:t>
      </w:r>
    </w:p>
    <w:p>
      <w:pPr>
        <w:pStyle w:val="BookText"/>
      </w:pPr>
      <w:r>
        <w:rPr>
          <w:rFonts w:ascii="Amiri" w:hAnsi="Amiri" w:eastAsia="Amiri" w:cs="Amiri"/>
          <w:lang w:bidi="ar-SA"/>
          <w:color w:val="111111"/>
          <w:sz w:val="28"/>
          <w:szCs w:val="28"/>
          <w:rtl/>
        </w:rPr>
        <w:t xml:space="preserve">علي بن لالي بالي</w:t>
      </w:r>
    </w:p>
    <w:p>
      <w:pPr>
        <w:pStyle w:val="BookText"/>
      </w:pPr>
      <w:r>
        <w:rPr>
          <w:rFonts w:ascii="Amiri" w:hAnsi="Amiri" w:eastAsia="Amiri" w:cs="Amiri"/>
          <w:lang w:bidi="ar-SA"/>
          <w:color w:val="111111"/>
          <w:sz w:val="28"/>
          <w:szCs w:val="28"/>
          <w:rtl/>
        </w:rPr>
        <w:t xml:space="preserve">رومي حنفي، مصطفى بن ابراهيم- ابن</w:t>
      </w:r>
    </w:p>
    <w:p>
      <w:pPr>
        <w:pStyle w:val="BookText"/>
      </w:pPr>
      <w:r>
        <w:rPr>
          <w:rFonts w:ascii="Amiri" w:hAnsi="Amiri" w:eastAsia="Amiri" w:cs="Amiri"/>
          <w:lang w:bidi="ar-SA"/>
          <w:color w:val="111111"/>
          <w:sz w:val="28"/>
          <w:szCs w:val="28"/>
          <w:rtl/>
        </w:rPr>
        <w:t xml:space="preserve">تمجيد ، مصطفى بن ابراهيم</w:t>
      </w:r>
    </w:p>
    <w:p>
      <w:pPr>
        <w:pStyle w:val="Heading2"/>
      </w:pPr>
      <w:bookmarkStart w:id="4588" w:name="_Toc3690"/>
      <w:r>
        <w:t>رومي، خضر بن جلال الدين - 863 ه-</w:t>
      </w:r>
      <w:bookmarkEnd w:id="4588"/>
    </w:p>
    <w:p>
      <w:pPr>
        <w:pStyle w:val="BookText"/>
      </w:pPr>
      <w:r>
        <w:rPr>
          <w:rFonts w:ascii="Amiri" w:hAnsi="Amiri" w:eastAsia="Amiri" w:cs="Amiri"/>
          <w:lang w:bidi="ar-SA"/>
          <w:color w:val="111111"/>
          <w:sz w:val="28"/>
          <w:szCs w:val="28"/>
          <w:rtl/>
        </w:rPr>
        <w:t xml:space="preserve">القصيدة النونية في العقائد - جواهر</w:t>
      </w:r>
    </w:p>
    <w:p>
      <w:pPr>
        <w:pStyle w:val="BookText"/>
      </w:pPr>
      <w:r>
        <w:rPr>
          <w:rFonts w:ascii="IRNazanin" w:hAnsi="IRNazanin" w:eastAsia="IRNazanin" w:cs="IRNazanin"/>
          <w:lang w:bidi="fa-IR"/>
          <w:color w:val="111111"/>
          <w:sz w:val="28"/>
          <w:szCs w:val="28"/>
          <w:rtl/>
        </w:rPr>
        <w:t xml:space="preserve">العقائد، ج 12، ص 723.</w:t>
      </w:r>
    </w:p>
    <w:p>
      <w:pPr>
        <w:pStyle w:val="Heading2"/>
      </w:pPr>
      <w:bookmarkStart w:id="4589" w:name="_Toc3691"/>
      <w:r>
        <w:t>رومي ، خليل بن بوعلي، قرن 8 ه-</w:t>
      </w:r>
      <w:bookmarkEnd w:id="4589"/>
    </w:p>
    <w:p>
      <w:pPr>
        <w:pStyle w:val="BookText"/>
      </w:pPr>
      <w:r>
        <w:rPr>
          <w:rFonts w:ascii="Amiri" w:hAnsi="Amiri" w:eastAsia="Amiri" w:cs="Amiri"/>
          <w:lang w:bidi="ar-SA"/>
          <w:color w:val="111111"/>
          <w:sz w:val="28"/>
          <w:szCs w:val="28"/>
          <w:rtl/>
        </w:rPr>
        <w:t xml:space="preserve">عيون الحقايق في رموز المعاني و كنوز</w:t>
      </w:r>
    </w:p>
    <w:p>
      <w:pPr>
        <w:pStyle w:val="BookText"/>
      </w:pPr>
      <w:r>
        <w:rPr>
          <w:rFonts w:ascii="Amiri" w:hAnsi="Amiri" w:eastAsia="Amiri" w:cs="Amiri"/>
          <w:lang w:bidi="ar-SA"/>
          <w:color w:val="111111"/>
          <w:sz w:val="28"/>
          <w:szCs w:val="28"/>
          <w:rtl/>
        </w:rPr>
        <w:t xml:space="preserve">الرقائق و الدقايق = المنتخب من حقايق التفسير = اصطلاحات الصوفية</w:t>
      </w:r>
    </w:p>
    <w:p>
      <w:pPr>
        <w:pStyle w:val="BookText"/>
      </w:pPr>
      <w:r>
        <w:rPr>
          <w:rFonts w:ascii="IRNazanin" w:hAnsi="IRNazanin" w:eastAsia="IRNazanin" w:cs="IRNazanin"/>
          <w:lang w:bidi="fa-IR"/>
          <w:color w:val="111111"/>
          <w:sz w:val="28"/>
          <w:szCs w:val="28"/>
          <w:rtl/>
        </w:rPr>
        <w:t xml:space="preserve">ج 11، ص 402.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8" w:name="pg7742_70451"/>
    <w:bookmarkEnd w:id="528"/>
    <w:p>
      <w:pPr>
        <w:pStyle w:val="BookText"/>
      </w:pPr>
      <w:r>
        <w:rPr>
          <w:rFonts w:ascii="Amiri" w:hAnsi="Amiri" w:eastAsia="Amiri" w:cs="Amiri"/>
          <w:lang w:bidi="ar-SA"/>
          <w:color w:val="111111"/>
          <w:sz w:val="28"/>
          <w:szCs w:val="28"/>
          <w:rtl/>
        </w:rPr>
        <w:t xml:space="preserve">رومي خيالي ، احمد بن موسى- خيالي</w:t>
      </w:r>
    </w:p>
    <w:p>
      <w:pPr>
        <w:pStyle w:val="BookText"/>
      </w:pPr>
      <w:r>
        <w:rPr>
          <w:rFonts w:ascii="IRNazanin" w:hAnsi="IRNazanin" w:eastAsia="IRNazanin" w:cs="IRNazanin"/>
          <w:lang w:bidi="fa-IR"/>
          <w:color w:val="111111"/>
          <w:sz w:val="28"/>
          <w:szCs w:val="28"/>
          <w:rtl/>
        </w:rPr>
        <w:t xml:space="preserve">احمد بن موسى</w:t>
      </w:r>
    </w:p>
    <w:p>
      <w:pPr>
        <w:pStyle w:val="Heading2"/>
      </w:pPr>
      <w:bookmarkStart w:id="4590" w:name="_Toc3692"/>
      <w:r>
        <w:t>رومي ، عبدالباقي بن احمد</w:t>
      </w:r>
      <w:bookmarkEnd w:id="4590"/>
    </w:p>
    <w:p>
      <w:pPr>
        <w:pStyle w:val="BookText"/>
      </w:pPr>
      <w:r>
        <w:rPr>
          <w:rFonts w:ascii="IRNazanin" w:hAnsi="IRNazanin" w:eastAsia="IRNazanin" w:cs="IRNazanin"/>
          <w:lang w:bidi="fa-IR"/>
          <w:color w:val="111111"/>
          <w:sz w:val="28"/>
          <w:szCs w:val="28"/>
          <w:rtl/>
        </w:rPr>
        <w:t xml:space="preserve">غذاء الروح، ج 11، ص 461.</w:t>
      </w:r>
    </w:p>
    <w:p>
      <w:pPr>
        <w:pStyle w:val="Heading2"/>
      </w:pPr>
      <w:bookmarkStart w:id="4591" w:name="_Toc3693"/>
      <w:r>
        <w:t>رومي ، عبدالرحمن بن خليل قرن 13 ه-</w:t>
      </w:r>
      <w:bookmarkEnd w:id="4591"/>
    </w:p>
    <w:p>
      <w:pPr>
        <w:pStyle w:val="BookText"/>
      </w:pPr>
      <w:r>
        <w:rPr>
          <w:rFonts w:ascii="Amiri" w:hAnsi="Amiri" w:eastAsia="Amiri" w:cs="Amiri"/>
          <w:lang w:bidi="ar-SA"/>
          <w:color w:val="111111"/>
          <w:sz w:val="28"/>
          <w:szCs w:val="28"/>
          <w:rtl/>
        </w:rPr>
        <w:t xml:space="preserve">عبرة الأنام في مدح الإمام أبي حنيفة</w:t>
      </w:r>
    </w:p>
    <w:p>
      <w:pPr>
        <w:pStyle w:val="BookText"/>
      </w:pPr>
      <w:r>
        <w:rPr>
          <w:rFonts w:ascii="IRNazanin" w:hAnsi="IRNazanin" w:eastAsia="IRNazanin" w:cs="IRNazanin"/>
          <w:lang w:bidi="fa-IR"/>
          <w:color w:val="111111"/>
          <w:sz w:val="28"/>
          <w:szCs w:val="28"/>
          <w:rtl/>
        </w:rPr>
        <w:t xml:space="preserve">النعمان، ج11، ص 16.</w:t>
      </w:r>
    </w:p>
    <w:p>
      <w:pPr>
        <w:pStyle w:val="Heading2"/>
      </w:pPr>
      <w:bookmarkStart w:id="4592" w:name="_Toc3694"/>
      <w:r>
        <w:t>رومي ، عبدالقادر</w:t>
      </w:r>
      <w:bookmarkEnd w:id="4592"/>
    </w:p>
    <w:p>
      <w:pPr>
        <w:pStyle w:val="BookText"/>
      </w:pPr>
      <w:r>
        <w:rPr>
          <w:rFonts w:ascii="Amiri" w:hAnsi="Amiri" w:eastAsia="Amiri" w:cs="Amiri"/>
          <w:lang w:bidi="ar-SA"/>
          <w:color w:val="111111"/>
          <w:sz w:val="28"/>
          <w:szCs w:val="28"/>
          <w:rtl/>
        </w:rPr>
        <w:t xml:space="preserve">دائرة الطرب في الاصول و الشعب</w:t>
      </w:r>
    </w:p>
    <w:p>
      <w:pPr>
        <w:pStyle w:val="BookText"/>
      </w:pPr>
      <w:r>
        <w:rPr>
          <w:rFonts w:ascii="IRNazanin" w:hAnsi="IRNazanin" w:eastAsia="IRNazanin" w:cs="IRNazanin"/>
          <w:lang w:bidi="fa-IR"/>
          <w:color w:val="111111"/>
          <w:sz w:val="28"/>
          <w:szCs w:val="28"/>
          <w:rtl/>
        </w:rPr>
        <w:t xml:space="preserve">ج 7، ص203.</w:t>
      </w:r>
    </w:p>
    <w:p>
      <w:pPr>
        <w:pStyle w:val="Heading2"/>
      </w:pPr>
      <w:bookmarkStart w:id="4593" w:name="_Toc3695"/>
      <w:r>
        <w:t>رومي ، عبدالله بن اشرف - 889 ؟ ه-</w:t>
      </w:r>
      <w:bookmarkEnd w:id="4593"/>
    </w:p>
    <w:p>
      <w:pPr>
        <w:pStyle w:val="BookText"/>
      </w:pPr>
      <w:r>
        <w:rPr>
          <w:rFonts w:ascii="Amiri" w:hAnsi="Amiri" w:eastAsia="Amiri" w:cs="Amiri"/>
          <w:lang w:bidi="ar-SA"/>
          <w:color w:val="111111"/>
          <w:sz w:val="28"/>
          <w:szCs w:val="28"/>
          <w:rtl/>
        </w:rPr>
        <w:t xml:space="preserve">مزكي النفوس، ج 14، ص 424 .</w:t>
      </w:r>
    </w:p>
    <w:p>
      <w:pPr>
        <w:pStyle w:val="Heading2"/>
      </w:pPr>
      <w:bookmarkStart w:id="4594" w:name="_Toc3696"/>
      <w:r>
        <w:t>رومي ، عثمان افندي قرن 12 ه-</w:t>
      </w:r>
      <w:bookmarkEnd w:id="4594"/>
    </w:p>
    <w:p>
      <w:pPr>
        <w:pStyle w:val="BookText"/>
      </w:pPr>
      <w:r>
        <w:rPr>
          <w:rFonts w:ascii="Amiri" w:hAnsi="Amiri" w:eastAsia="Amiri" w:cs="Amiri"/>
          <w:lang w:bidi="ar-SA"/>
          <w:color w:val="111111"/>
          <w:sz w:val="28"/>
          <w:szCs w:val="28"/>
          <w:rtl/>
        </w:rPr>
        <w:t xml:space="preserve">المطالب السنية في قمع المراسم</w:t>
      </w:r>
    </w:p>
    <w:p>
      <w:pPr>
        <w:pStyle w:val="BookText"/>
      </w:pPr>
      <w:r>
        <w:rPr>
          <w:rFonts w:ascii="Amiri" w:hAnsi="Amiri" w:eastAsia="Amiri" w:cs="Amiri"/>
          <w:lang w:bidi="ar-SA"/>
          <w:color w:val="111111"/>
          <w:sz w:val="28"/>
          <w:szCs w:val="28"/>
          <w:rtl/>
        </w:rPr>
        <w:t xml:space="preserve">البدعية، ج 14، ص 761.</w:t>
      </w:r>
    </w:p>
    <w:p>
      <w:pPr>
        <w:pStyle w:val="BookText"/>
      </w:pPr>
      <w:r>
        <w:rPr>
          <w:rFonts w:ascii="Amiri" w:hAnsi="Amiri" w:eastAsia="Amiri" w:cs="Amiri"/>
          <w:lang w:bidi="ar-SA"/>
          <w:color w:val="111111"/>
          <w:sz w:val="28"/>
          <w:szCs w:val="28"/>
          <w:rtl/>
        </w:rPr>
        <w:t xml:space="preserve">رومي ، علي بيك- ازنيقي ، علي بن خسرو</w:t>
      </w:r>
    </w:p>
    <w:p>
      <w:pPr>
        <w:pStyle w:val="Heading2"/>
      </w:pPr>
      <w:bookmarkStart w:id="4595" w:name="_Toc3697"/>
      <w:r>
        <w:t>رومي ، قاسم بن يوسف</w:t>
      </w:r>
      <w:bookmarkEnd w:id="4595"/>
    </w:p>
    <w:p>
      <w:pPr>
        <w:pStyle w:val="BookText"/>
      </w:pPr>
      <w:r>
        <w:rPr>
          <w:rFonts w:ascii="Amiri" w:hAnsi="Amiri" w:eastAsia="Amiri" w:cs="Amiri"/>
          <w:lang w:bidi="ar-SA"/>
          <w:color w:val="111111"/>
          <w:sz w:val="28"/>
          <w:szCs w:val="28"/>
          <w:rtl/>
        </w:rPr>
        <w:t xml:space="preserve">حاشية منطقية = حاشية في المنطق،</w:t>
      </w:r>
    </w:p>
    <w:p>
      <w:pPr>
        <w:pStyle w:val="BookText"/>
      </w:pPr>
      <w:r>
        <w:rPr>
          <w:rFonts w:ascii="IRNazanin" w:hAnsi="IRNazanin" w:eastAsia="IRNazanin" w:cs="IRNazanin"/>
          <w:lang w:bidi="fa-IR"/>
          <w:color w:val="111111"/>
          <w:sz w:val="28"/>
          <w:szCs w:val="28"/>
          <w:rtl/>
        </w:rPr>
        <w:t xml:space="preserve">ج 6، ص 424.</w:t>
      </w:r>
    </w:p>
    <w:p>
      <w:pPr>
        <w:pStyle w:val="BookText"/>
      </w:pPr>
      <w:r>
        <w:rPr>
          <w:rFonts w:ascii="IRNazanin" w:hAnsi="IRNazanin" w:eastAsia="IRNazanin" w:cs="IRNazanin"/>
          <w:lang w:bidi="fa-IR"/>
          <w:color w:val="111111"/>
          <w:sz w:val="28"/>
          <w:szCs w:val="28"/>
          <w:rtl/>
        </w:rPr>
        <w:t xml:space="preserve">رومي قلنبكي ، محمّد خلیل- خویش ،</w:t>
      </w:r>
    </w:p>
    <w:p>
      <w:pPr>
        <w:pStyle w:val="BookText"/>
      </w:pPr>
      <w:r>
        <w:rPr>
          <w:rFonts w:ascii="Amiri" w:hAnsi="Amiri" w:eastAsia="Amiri" w:cs="Amiri"/>
          <w:lang w:bidi="ar-SA"/>
          <w:color w:val="111111"/>
          <w:sz w:val="28"/>
          <w:szCs w:val="28"/>
          <w:rtl/>
        </w:rPr>
        <w:t xml:space="preserve">محمّد خليل</w:t>
      </w:r>
    </w:p>
    <w:p>
      <w:pPr>
        <w:pStyle w:val="Heading2"/>
      </w:pPr>
      <w:bookmarkStart w:id="4596" w:name="_Toc3698"/>
      <w:r>
        <w:t>رومي، محمّد بن ابراهيم قرن 10 ه-</w:t>
      </w:r>
      <w:bookmarkEnd w:id="4596"/>
    </w:p>
    <w:p>
      <w:pPr>
        <w:pStyle w:val="BookText"/>
      </w:pPr>
      <w:r>
        <w:rPr>
          <w:rFonts w:ascii="Amiri" w:hAnsi="Amiri" w:eastAsia="Amiri" w:cs="Amiri"/>
          <w:lang w:bidi="ar-SA"/>
          <w:color w:val="111111"/>
          <w:sz w:val="28"/>
          <w:szCs w:val="28"/>
          <w:rtl/>
        </w:rPr>
        <w:t xml:space="preserve">مسائل فقهية، ج 14، ص 463.</w:t>
      </w:r>
    </w:p>
    <w:p>
      <w:pPr>
        <w:pStyle w:val="Heading2"/>
      </w:pPr>
      <w:bookmarkStart w:id="4597" w:name="_Toc3699"/>
      <w:r>
        <w:t>رومي ، محمّد مفيد بن مصطفى</w:t>
      </w:r>
      <w:bookmarkEnd w:id="4597"/>
    </w:p>
    <w:p>
      <w:pPr>
        <w:pStyle w:val="BookText"/>
      </w:pPr>
      <w:r>
        <w:rPr>
          <w:rFonts w:ascii="Amiri" w:hAnsi="Amiri" w:eastAsia="Amiri" w:cs="Amiri"/>
          <w:lang w:bidi="ar-SA"/>
          <w:color w:val="111111"/>
          <w:sz w:val="28"/>
          <w:szCs w:val="28"/>
          <w:rtl/>
        </w:rPr>
        <w:t xml:space="preserve">الموسيقي من كتاب الدرر المنتخبات</w:t>
      </w:r>
    </w:p>
    <w:p>
      <w:pPr>
        <w:pStyle w:val="BookText"/>
      </w:pPr>
      <w:r>
        <w:rPr>
          <w:rFonts w:ascii="Amiri" w:hAnsi="Amiri" w:eastAsia="Amiri" w:cs="Amiri"/>
          <w:lang w:bidi="ar-SA"/>
          <w:color w:val="111111"/>
          <w:sz w:val="28"/>
          <w:szCs w:val="28"/>
          <w:rtl/>
        </w:rPr>
        <w:t xml:space="preserve">المنثورة في اصلاح الغلطات المشهورة</w:t>
      </w:r>
    </w:p>
    <w:p>
      <w:pPr>
        <w:pStyle w:val="BookText"/>
      </w:pPr>
      <w:r>
        <w:rPr>
          <w:rFonts w:ascii="IRNazanin" w:hAnsi="IRNazanin" w:eastAsia="IRNazanin" w:cs="IRNazanin"/>
          <w:lang w:bidi="fa-IR"/>
          <w:color w:val="111111"/>
          <w:sz w:val="28"/>
          <w:szCs w:val="28"/>
          <w:rtl/>
        </w:rPr>
        <w:t xml:space="preserve">ج 16 ، ص 18.</w:t>
      </w:r>
    </w:p>
    <w:p>
      <w:pPr>
        <w:pStyle w:val="Heading2"/>
      </w:pPr>
      <w:bookmarkStart w:id="4598" w:name="_Toc3700"/>
      <w:r>
        <w:t>رومي، محمود بن الياس - 851 ه-</w:t>
      </w:r>
      <w:bookmarkEnd w:id="4598"/>
    </w:p>
    <w:p>
      <w:pPr>
        <w:pStyle w:val="BookText"/>
      </w:pPr>
      <w:r>
        <w:rPr>
          <w:rFonts w:ascii="Amiri" w:hAnsi="Amiri" w:eastAsia="Amiri" w:cs="Amiri"/>
          <w:lang w:bidi="ar-SA"/>
          <w:color w:val="111111"/>
          <w:sz w:val="28"/>
          <w:szCs w:val="28"/>
          <w:rtl/>
        </w:rPr>
        <w:t xml:space="preserve">شرح النقاية مختصر الوقاية، ج 10،</w:t>
      </w:r>
    </w:p>
    <w:p>
      <w:pPr>
        <w:pStyle w:val="BookText"/>
      </w:pPr>
      <w:r>
        <w:rPr>
          <w:rFonts w:ascii="IRNazanin" w:hAnsi="IRNazanin" w:eastAsia="IRNazanin" w:cs="IRNazanin"/>
          <w:lang w:bidi="fa-IR"/>
          <w:color w:val="111111"/>
          <w:sz w:val="28"/>
          <w:szCs w:val="28"/>
          <w:rtl/>
        </w:rPr>
        <w:t xml:space="preserve">ص 293.</w:t>
      </w:r>
    </w:p>
    <w:p>
      <w:pPr>
        <w:pStyle w:val="Heading2"/>
      </w:pPr>
      <w:bookmarkStart w:id="4599" w:name="_Toc3701"/>
      <w:r>
        <w:t>رومي، محيي الدين محمّد - 977 ه-</w:t>
      </w:r>
      <w:bookmarkEnd w:id="4599"/>
    </w:p>
    <w:p>
      <w:pPr>
        <w:pStyle w:val="BookText"/>
      </w:pPr>
      <w:r>
        <w:rPr>
          <w:rFonts w:ascii="Amiri" w:hAnsi="Amiri" w:eastAsia="Amiri" w:cs="Amiri"/>
          <w:lang w:bidi="ar-SA"/>
          <w:color w:val="111111"/>
          <w:sz w:val="28"/>
          <w:szCs w:val="28"/>
          <w:rtl/>
        </w:rPr>
        <w:t xml:space="preserve">شرح شواهد الكشاف، ج 9، ص 662 .</w:t>
      </w:r>
    </w:p>
    <w:p>
      <w:pPr>
        <w:pStyle w:val="BookText"/>
      </w:pPr>
      <w:r>
        <w:rPr>
          <w:rFonts w:ascii="Amiri" w:hAnsi="Amiri" w:eastAsia="Amiri" w:cs="Amiri"/>
          <w:lang w:bidi="ar-SA"/>
          <w:color w:val="111111"/>
          <w:sz w:val="28"/>
          <w:szCs w:val="28"/>
          <w:rtl/>
        </w:rPr>
        <w:t xml:space="preserve">رومي هروي، ابوعبيد القاسم بن</w:t>
      </w:r>
    </w:p>
    <w:p>
      <w:pPr>
        <w:pStyle w:val="BookText"/>
      </w:pPr>
      <w:r>
        <w:rPr>
          <w:rFonts w:ascii="IRNazanin" w:hAnsi="IRNazanin" w:eastAsia="IRNazanin" w:cs="IRNazanin"/>
          <w:lang w:bidi="fa-IR"/>
          <w:color w:val="111111"/>
          <w:sz w:val="28"/>
          <w:szCs w:val="28"/>
          <w:rtl/>
        </w:rPr>
        <w:t xml:space="preserve">سلام جمحي ، محمّد بن سلام -رومي ، يحيى بن عبد الله فخرالدین</w:t>
      </w:r>
    </w:p>
    <w:p>
      <w:pPr>
        <w:pStyle w:val="BookText"/>
      </w:pPr>
      <w:r>
        <w:rPr>
          <w:rFonts w:ascii="Amiri" w:hAnsi="Amiri" w:eastAsia="Amiri" w:cs="Amiri"/>
          <w:lang w:bidi="ar-SA"/>
          <w:color w:val="111111"/>
          <w:sz w:val="28"/>
          <w:szCs w:val="28"/>
          <w:rtl/>
        </w:rPr>
        <w:t xml:space="preserve">رومي ، يحيى بن عبدالله -</w:t>
      </w:r>
    </w:p>
    <w:p>
      <w:pPr>
        <w:pStyle w:val="BookText"/>
      </w:pPr>
      <w:r>
        <w:rPr>
          <w:rFonts w:ascii="Amiri" w:hAnsi="Amiri" w:eastAsia="Amiri" w:cs="Amiri"/>
          <w:lang w:bidi="ar-SA"/>
          <w:color w:val="111111"/>
          <w:sz w:val="28"/>
          <w:szCs w:val="28"/>
          <w:rtl/>
        </w:rPr>
        <w:t xml:space="preserve">رومي ، يعقوب بن سيدي علي- بلخي</w:t>
      </w:r>
    </w:p>
    <w:p>
      <w:pPr>
        <w:pStyle w:val="BookText"/>
      </w:pPr>
      <w:r>
        <w:rPr>
          <w:rFonts w:ascii="Amiri" w:hAnsi="Amiri" w:eastAsia="Amiri" w:cs="Amiri"/>
          <w:lang w:bidi="ar-SA"/>
          <w:color w:val="111111"/>
          <w:sz w:val="28"/>
          <w:szCs w:val="28"/>
          <w:rtl/>
        </w:rPr>
        <w:t xml:space="preserve">يعقوب بن علي</w:t>
      </w:r>
    </w:p>
    <w:p>
      <w:pPr>
        <w:pStyle w:val="Heading2"/>
      </w:pPr>
      <w:bookmarkStart w:id="4600" w:name="_Toc3702"/>
      <w:r>
        <w:t>رونقي ، قاسم بن خليل، 1108؟ - 1164</w:t>
      </w:r>
      <w:bookmarkEnd w:id="46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تشطير قصيدة البردة، ج 4، ص 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قصيدة، ج 12، ص 637 .</w:t>
      </w:r>
    </w:p>
    <w:p>
      <w:pPr>
        <w:pStyle w:val="BookText"/>
      </w:pPr>
      <w:r>
        <w:rPr>
          <w:rFonts w:ascii="Amiri" w:hAnsi="Amiri" w:eastAsia="Amiri" w:cs="Amiri"/>
          <w:lang w:bidi="ar-SA"/>
          <w:color w:val="111111"/>
          <w:sz w:val="28"/>
          <w:szCs w:val="28"/>
          <w:rtl/>
        </w:rPr>
        <w:t xml:space="preserve">3.قصيدة هزلية، ج 12، ص 725.</w:t>
      </w:r>
    </w:p>
    <w:p>
      <w:pPr>
        <w:pStyle w:val="Heading2"/>
      </w:pPr>
      <w:bookmarkStart w:id="4601" w:name="_Toc3703"/>
      <w:r>
        <w:t>روياني، شريح بن عبد الكريم - 505 ه-</w:t>
      </w:r>
      <w:bookmarkEnd w:id="4601"/>
    </w:p>
    <w:p>
      <w:pPr>
        <w:pStyle w:val="BookText"/>
      </w:pPr>
      <w:r>
        <w:rPr>
          <w:rFonts w:ascii="Amiri" w:hAnsi="Amiri" w:eastAsia="Amiri" w:cs="Amiri"/>
          <w:lang w:bidi="ar-SA"/>
          <w:color w:val="111111"/>
          <w:sz w:val="28"/>
          <w:szCs w:val="28"/>
          <w:rtl/>
        </w:rPr>
        <w:t xml:space="preserve">روضة الاحكام وزينة الحكام، ج8،</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Amiri" w:hAnsi="Amiri" w:eastAsia="Amiri" w:cs="Amiri"/>
          <w:lang w:bidi="ar-SA"/>
          <w:color w:val="111111"/>
          <w:sz w:val="28"/>
          <w:szCs w:val="28"/>
          <w:rtl/>
        </w:rPr>
        <w:t xml:space="preserve">روياني ، عبد القادر بن حسن- روياني</w:t>
      </w:r>
    </w:p>
    <w:p>
      <w:pPr>
        <w:pStyle w:val="BookText"/>
      </w:pPr>
      <w:r>
        <w:rPr>
          <w:rFonts w:ascii="Amiri" w:hAnsi="Amiri" w:eastAsia="Amiri" w:cs="Amiri"/>
          <w:lang w:bidi="ar-SA"/>
          <w:color w:val="111111"/>
          <w:sz w:val="28"/>
          <w:szCs w:val="28"/>
          <w:rtl/>
        </w:rPr>
        <w:t xml:space="preserve">لاهيجي ، عبد القادر بن حسن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9" w:name="pg7742_70453"/>
    <w:bookmarkEnd w:id="529"/>
    <w:p>
      <w:pPr>
        <w:pStyle w:val="Heading2"/>
      </w:pPr>
      <w:bookmarkStart w:id="4602" w:name="_Toc3704"/>
      <w:r>
        <w:t>روياني ، عبدالواحد بن اسماعيل 415 -</w:t>
      </w:r>
      <w:bookmarkEnd w:id="4602"/>
    </w:p>
    <w:p>
      <w:pPr>
        <w:pStyle w:val="BookText"/>
      </w:pPr>
      <w:r>
        <w:rPr>
          <w:rFonts w:ascii="IRNazanin" w:hAnsi="IRNazanin" w:eastAsia="IRNazanin" w:cs="IRNazanin"/>
          <w:lang w:bidi="fa-IR"/>
          <w:color w:val="111111"/>
          <w:sz w:val="28"/>
          <w:szCs w:val="28"/>
          <w:rtl/>
        </w:rPr>
        <w:t xml:space="preserve">502 ه-</w:t>
      </w:r>
    </w:p>
    <w:p>
      <w:pPr>
        <w:pStyle w:val="BookText"/>
      </w:pPr>
      <w:r>
        <w:rPr>
          <w:rFonts w:ascii="IRNazanin" w:hAnsi="IRNazanin" w:eastAsia="IRNazanin" w:cs="IRNazanin"/>
          <w:lang w:bidi="fa-IR"/>
          <w:color w:val="111111"/>
          <w:sz w:val="28"/>
          <w:szCs w:val="28"/>
          <w:rtl/>
        </w:rPr>
        <w:t xml:space="preserve">بحر المذهب، ج3، ص230.</w:t>
      </w:r>
    </w:p>
    <w:p>
      <w:pPr>
        <w:pStyle w:val="Heading2"/>
      </w:pPr>
      <w:bookmarkStart w:id="4603" w:name="_Toc3705"/>
      <w:r>
        <w:t>روياني لاهيجي ، عبد القادر بن حسن</w:t>
      </w:r>
      <w:bookmarkEnd w:id="4603"/>
    </w:p>
    <w:p>
      <w:pPr>
        <w:pStyle w:val="BookText"/>
      </w:pPr>
      <w:r>
        <w:rPr>
          <w:rFonts w:ascii="IRNazanin" w:hAnsi="IRNazanin" w:eastAsia="IRNazanin" w:cs="IRNazanin"/>
          <w:lang w:bidi="fa-IR"/>
          <w:color w:val="111111"/>
          <w:sz w:val="28"/>
          <w:szCs w:val="28"/>
          <w:rtl/>
        </w:rPr>
        <w:t xml:space="preserve">844 - 925 ه-</w:t>
      </w:r>
    </w:p>
    <w:p>
      <w:pPr>
        <w:pStyle w:val="BookText"/>
      </w:pPr>
      <w:r>
        <w:rPr>
          <w:rFonts w:ascii="IRNazanin" w:hAnsi="IRNazanin" w:eastAsia="IRNazanin" w:cs="IRNazanin"/>
          <w:lang w:bidi="fa-IR"/>
          <w:color w:val="111111"/>
          <w:sz w:val="28"/>
          <w:szCs w:val="28"/>
          <w:rtl/>
        </w:rPr>
        <w:t xml:space="preserve">1 .زیج ملخص ميرزائي، ج8، ص658.</w:t>
      </w:r>
    </w:p>
    <w:p>
      <w:pPr>
        <w:pStyle w:val="BookText"/>
      </w:pPr>
      <w:r>
        <w:rPr>
          <w:rFonts w:ascii="IRNazanin" w:hAnsi="IRNazanin" w:eastAsia="IRNazanin" w:cs="IRNazanin"/>
          <w:lang w:bidi="fa-IR"/>
          <w:color w:val="111111"/>
          <w:sz w:val="28"/>
          <w:szCs w:val="28"/>
          <w:rtl/>
        </w:rPr>
        <w:t xml:space="preserve">2 .معرفت تقويم = حل تقويم = مختصر در معرفت ،تقویم ج 15 ص 50.</w:t>
      </w:r>
    </w:p>
    <w:p>
      <w:pPr>
        <w:pStyle w:val="BookText"/>
      </w:pPr>
      <w:r>
        <w:rPr>
          <w:rFonts w:ascii="IRNazanin" w:hAnsi="IRNazanin" w:eastAsia="IRNazanin" w:cs="IRNazanin"/>
          <w:lang w:bidi="fa-IR"/>
          <w:color w:val="111111"/>
          <w:sz w:val="28"/>
          <w:szCs w:val="28"/>
          <w:rtl/>
        </w:rPr>
        <w:t xml:space="preserve">روياني ، نظام الدین عبدالقادر بن حسن -روياني لاهيجي ، عبدالقادر بن حسن</w:t>
      </w:r>
    </w:p>
    <w:p>
      <w:pPr>
        <w:pStyle w:val="BookText"/>
      </w:pPr>
      <w:r>
        <w:rPr>
          <w:rFonts w:ascii="Amiri" w:hAnsi="Amiri" w:eastAsia="Amiri" w:cs="Amiri"/>
          <w:lang w:bidi="ar-SA"/>
          <w:color w:val="111111"/>
          <w:sz w:val="28"/>
          <w:szCs w:val="28"/>
          <w:rtl/>
        </w:rPr>
        <w:t xml:space="preserve">رويسي ، يوسف بن محمود- كوراني ،</w:t>
      </w:r>
    </w:p>
    <w:p>
      <w:pPr>
        <w:pStyle w:val="BookText"/>
      </w:pPr>
      <w:r>
        <w:rPr>
          <w:rFonts w:ascii="Amiri" w:hAnsi="Amiri" w:eastAsia="Amiri" w:cs="Amiri"/>
          <w:lang w:bidi="ar-SA"/>
          <w:color w:val="111111"/>
          <w:sz w:val="28"/>
          <w:szCs w:val="28"/>
          <w:rtl/>
        </w:rPr>
        <w:t xml:space="preserve">يوسف بن محمود</w:t>
      </w:r>
    </w:p>
    <w:p>
      <w:pPr>
        <w:pStyle w:val="Heading2"/>
      </w:pPr>
      <w:bookmarkStart w:id="4604" w:name="_Toc3706"/>
      <w:r>
        <w:t>روي ، علي بن عبدالكريم</w:t>
      </w:r>
      <w:bookmarkEnd w:id="4604"/>
    </w:p>
    <w:p>
      <w:pPr>
        <w:pStyle w:val="BookText"/>
      </w:pPr>
      <w:r>
        <w:rPr>
          <w:rFonts w:ascii="Amiri" w:hAnsi="Amiri" w:eastAsia="Amiri" w:cs="Amiri"/>
          <w:lang w:bidi="ar-SA"/>
          <w:color w:val="111111"/>
          <w:sz w:val="28"/>
          <w:szCs w:val="28"/>
          <w:rtl/>
        </w:rPr>
        <w:t xml:space="preserve">تلخيص العروض، ج4، ص 850.</w:t>
      </w:r>
    </w:p>
    <w:p>
      <w:pPr>
        <w:pStyle w:val="BookText"/>
      </w:pPr>
      <w:r>
        <w:rPr>
          <w:rFonts w:ascii="Amiri" w:hAnsi="Amiri" w:eastAsia="Amiri" w:cs="Amiri"/>
          <w:lang w:bidi="ar-SA"/>
          <w:color w:val="111111"/>
          <w:sz w:val="28"/>
          <w:szCs w:val="28"/>
          <w:rtl/>
        </w:rPr>
        <w:t xml:space="preserve">رياض ، محمّد جعفر- رياض همداني ،</w:t>
      </w:r>
    </w:p>
    <w:p>
      <w:pPr>
        <w:pStyle w:val="BookText"/>
      </w:pPr>
      <w:r>
        <w:rPr>
          <w:rFonts w:ascii="Amiri" w:hAnsi="Amiri" w:eastAsia="Amiri" w:cs="Amiri"/>
          <w:lang w:bidi="ar-SA"/>
          <w:color w:val="111111"/>
          <w:sz w:val="28"/>
          <w:szCs w:val="28"/>
          <w:rtl/>
        </w:rPr>
        <w:t xml:space="preserve">محمّد جعفر</w:t>
      </w:r>
    </w:p>
    <w:p>
      <w:pPr>
        <w:pStyle w:val="BookText"/>
      </w:pPr>
      <w:r>
        <w:rPr>
          <w:rFonts w:ascii="Amiri" w:hAnsi="Amiri" w:eastAsia="Amiri" w:cs="Amiri"/>
          <w:lang w:bidi="ar-SA"/>
          <w:color w:val="111111"/>
          <w:sz w:val="28"/>
          <w:szCs w:val="28"/>
          <w:rtl/>
        </w:rPr>
        <w:t xml:space="preserve">رياض همداني ، جعفر- رياض همداني ،</w:t>
      </w:r>
    </w:p>
    <w:p>
      <w:pPr>
        <w:pStyle w:val="BookText"/>
      </w:pPr>
      <w:r>
        <w:rPr>
          <w:rFonts w:ascii="Amiri" w:hAnsi="Amiri" w:eastAsia="Amiri" w:cs="Amiri"/>
          <w:lang w:bidi="ar-SA"/>
          <w:color w:val="111111"/>
          <w:sz w:val="28"/>
          <w:szCs w:val="28"/>
          <w:rtl/>
        </w:rPr>
        <w:t xml:space="preserve">محمّد جعفر</w:t>
      </w:r>
    </w:p>
    <w:p>
      <w:pPr>
        <w:pStyle w:val="Heading2"/>
      </w:pPr>
      <w:bookmarkStart w:id="4605" w:name="_Toc3707"/>
      <w:r>
        <w:t>رياض همداني ، محمّد جعفر، - 1368 ه-</w:t>
      </w:r>
      <w:bookmarkEnd w:id="4605"/>
    </w:p>
    <w:p>
      <w:pPr>
        <w:pStyle w:val="BookText"/>
      </w:pPr>
      <w:r>
        <w:rPr>
          <w:rFonts w:ascii="Amiri" w:hAnsi="Amiri" w:eastAsia="Amiri" w:cs="Amiri"/>
          <w:lang w:bidi="ar-SA"/>
          <w:color w:val="111111"/>
          <w:sz w:val="28"/>
          <w:szCs w:val="28"/>
          <w:rtl/>
        </w:rPr>
        <w:t xml:space="preserve">رياض الادب = المقامات، ج8، ص 477.</w:t>
      </w:r>
    </w:p>
    <w:p>
      <w:pPr>
        <w:pStyle w:val="BookText"/>
      </w:pPr>
      <w:r>
        <w:rPr>
          <w:rFonts w:ascii="Amiri" w:hAnsi="Amiri" w:eastAsia="Amiri" w:cs="Amiri"/>
          <w:lang w:bidi="ar-SA"/>
          <w:color w:val="111111"/>
          <w:sz w:val="28"/>
          <w:szCs w:val="28"/>
          <w:rtl/>
        </w:rPr>
        <w:t xml:space="preserve">رياضي- رياض همداني ، محمّد جعفر</w:t>
      </w:r>
    </w:p>
    <w:p>
      <w:pPr>
        <w:pStyle w:val="BookText"/>
      </w:pPr>
      <w:r>
        <w:rPr>
          <w:rFonts w:ascii="Amiri" w:hAnsi="Amiri" w:eastAsia="Amiri" w:cs="Amiri"/>
          <w:lang w:bidi="ar-SA"/>
          <w:color w:val="111111"/>
          <w:sz w:val="28"/>
          <w:szCs w:val="28"/>
          <w:rtl/>
        </w:rPr>
        <w:t xml:space="preserve">رياضي، عباسعلي بن نجفعلي - تبريزي</w:t>
      </w:r>
    </w:p>
    <w:p>
      <w:pPr>
        <w:pStyle w:val="BookText"/>
      </w:pPr>
      <w:r>
        <w:rPr>
          <w:rFonts w:ascii="Amiri" w:hAnsi="Amiri" w:eastAsia="Amiri" w:cs="Amiri"/>
          <w:lang w:bidi="ar-SA"/>
          <w:color w:val="111111"/>
          <w:sz w:val="28"/>
          <w:szCs w:val="28"/>
          <w:rtl/>
        </w:rPr>
        <w:t xml:space="preserve">رياضي، عباسعلي بن نجفعلي</w:t>
      </w:r>
    </w:p>
    <w:p>
      <w:pPr>
        <w:pStyle w:val="BookText"/>
      </w:pPr>
      <w:r>
        <w:rPr>
          <w:rFonts w:ascii="Amiri" w:hAnsi="Amiri" w:eastAsia="Amiri" w:cs="Amiri"/>
          <w:lang w:bidi="ar-SA"/>
          <w:color w:val="111111"/>
          <w:sz w:val="28"/>
          <w:szCs w:val="28"/>
          <w:rtl/>
        </w:rPr>
        <w:t xml:space="preserve">ريحاني ، محمّد بن سليمان -رهاوي</w:t>
      </w:r>
    </w:p>
    <w:p>
      <w:pPr>
        <w:pStyle w:val="BookText"/>
      </w:pPr>
      <w:r>
        <w:rPr>
          <w:rFonts w:ascii="IRNazanin" w:hAnsi="IRNazanin" w:eastAsia="IRNazanin" w:cs="IRNazanin"/>
          <w:lang w:bidi="fa-IR"/>
          <w:color w:val="111111"/>
          <w:sz w:val="28"/>
          <w:szCs w:val="28"/>
          <w:rtl/>
        </w:rPr>
        <w:t xml:space="preserve">محمّد بن سلیمان</w:t>
      </w:r>
    </w:p>
    <w:p>
      <w:pPr>
        <w:pStyle w:val="Heading2"/>
      </w:pPr>
      <w:bookmarkStart w:id="4606" w:name="_Toc3708"/>
      <w:r>
        <w:t>ريزي ، ابوالفضل، قرن 14 ه-</w:t>
      </w:r>
      <w:bookmarkEnd w:id="4606"/>
    </w:p>
    <w:p>
      <w:pPr>
        <w:pStyle w:val="BookText"/>
      </w:pPr>
      <w:r>
        <w:rPr>
          <w:rFonts w:ascii="Amiri" w:hAnsi="Amiri" w:eastAsia="Amiri" w:cs="Amiri"/>
          <w:lang w:bidi="ar-SA"/>
          <w:color w:val="111111"/>
          <w:sz w:val="28"/>
          <w:szCs w:val="28"/>
          <w:rtl/>
        </w:rPr>
        <w:t xml:space="preserve">تقريرات كفاية الأصول، ج4، ص 771</w:t>
      </w:r>
    </w:p>
    <w:p>
      <w:pPr>
        <w:pStyle w:val="Heading2"/>
      </w:pPr>
      <w:bookmarkStart w:id="4607" w:name="_Toc3709"/>
      <w:r>
        <w:t>ريشي ، احمد بن غلام - 836 ه-</w:t>
      </w:r>
      <w:bookmarkEnd w:id="4607"/>
    </w:p>
    <w:p>
      <w:pPr>
        <w:pStyle w:val="BookText"/>
      </w:pPr>
      <w:r>
        <w:rPr>
          <w:rFonts w:ascii="Amiri" w:hAnsi="Amiri" w:eastAsia="Amiri" w:cs="Amiri"/>
          <w:lang w:bidi="ar-SA"/>
          <w:color w:val="111111"/>
          <w:sz w:val="28"/>
          <w:szCs w:val="28"/>
          <w:rtl/>
        </w:rPr>
        <w:t xml:space="preserve">اللمعة في حل الكواكب السبعة = مختصر نزهة الخاطر في تلخيص زيج إبن شاطر، ج 13، ص 623.</w:t>
      </w:r>
    </w:p>
    <w:p>
      <w:pPr>
        <w:pStyle w:val="BookText"/>
      </w:pPr>
      <w:r>
        <w:rPr>
          <w:rFonts w:ascii="IRNazanin" w:hAnsi="IRNazanin" w:eastAsia="IRNazanin" w:cs="IRNazanin"/>
          <w:lang w:bidi="fa-IR"/>
          <w:color w:val="111111"/>
          <w:sz w:val="28"/>
          <w:szCs w:val="28"/>
          <w:rtl/>
        </w:rPr>
        <w:t xml:space="preserve">ريشي ، شهاب الدین احمد بن غلام</w:t>
      </w:r>
    </w:p>
    <w:p>
      <w:pPr>
        <w:pStyle w:val="BookText"/>
      </w:pPr>
      <w:r>
        <w:rPr>
          <w:rFonts w:ascii="Amiri" w:hAnsi="Amiri" w:eastAsia="Amiri" w:cs="Amiri"/>
          <w:lang w:bidi="ar-SA"/>
          <w:color w:val="111111"/>
          <w:sz w:val="28"/>
          <w:szCs w:val="28"/>
          <w:rtl/>
        </w:rPr>
        <w:t xml:space="preserve">الله -ريشي ، احمد بن غلام</w:t>
      </w:r>
    </w:p>
    <w:p>
      <w:pPr>
        <w:pStyle w:val="BookText"/>
      </w:pPr>
      <w:r>
        <w:rPr>
          <w:rFonts w:ascii="Amiri" w:hAnsi="Amiri" w:eastAsia="Amiri" w:cs="Amiri"/>
          <w:lang w:bidi="ar-SA"/>
          <w:color w:val="111111"/>
          <w:sz w:val="28"/>
          <w:szCs w:val="28"/>
          <w:rtl/>
        </w:rPr>
        <w:t xml:space="preserve">زاخر الحلبي - شماس عبدالله زاخر</w:t>
      </w:r>
    </w:p>
    <w:p>
      <w:pPr>
        <w:pStyle w:val="BookText"/>
      </w:pPr>
      <w:r>
        <w:rPr>
          <w:rFonts w:ascii="Amiri" w:hAnsi="Amiri" w:eastAsia="Amiri" w:cs="Amiri"/>
          <w:lang w:bidi="ar-SA"/>
          <w:color w:val="111111"/>
          <w:sz w:val="28"/>
          <w:szCs w:val="28"/>
          <w:rtl/>
        </w:rPr>
        <w:t xml:space="preserve">زادي كرماني، نصر الله بن محمّد- حماد ،</w:t>
      </w:r>
    </w:p>
    <w:p>
      <w:pPr>
        <w:pStyle w:val="BookText"/>
      </w:pPr>
      <w:r>
        <w:rPr>
          <w:rFonts w:ascii="IRNazanin" w:hAnsi="IRNazanin" w:eastAsia="IRNazanin" w:cs="IRNazanin"/>
          <w:lang w:bidi="fa-IR"/>
          <w:color w:val="111111"/>
          <w:sz w:val="28"/>
          <w:szCs w:val="28"/>
          <w:rtl/>
        </w:rPr>
        <w:t xml:space="preserve">نصر الله بن محمّد</w:t>
      </w:r>
    </w:p>
    <w:p>
      <w:pPr>
        <w:pStyle w:val="BookText"/>
      </w:pPr>
      <w:r>
        <w:rPr>
          <w:rFonts w:ascii="Amiri" w:hAnsi="Amiri" w:eastAsia="Amiri" w:cs="Amiri"/>
          <w:lang w:bidi="ar-SA"/>
          <w:color w:val="111111"/>
          <w:sz w:val="28"/>
          <w:szCs w:val="28"/>
          <w:rtl/>
        </w:rPr>
        <w:t xml:space="preserve">زاكاني قزويني ، منصور بن ابي المكارم- زاكاني ، منصور بن ابي المكارم</w:t>
      </w:r>
    </w:p>
    <w:p>
      <w:pPr>
        <w:pStyle w:val="BookText"/>
      </w:pPr>
      <w:r>
        <w:rPr>
          <w:rFonts w:ascii="Amiri" w:hAnsi="Amiri" w:eastAsia="Amiri" w:cs="Amiri"/>
          <w:lang w:bidi="ar-SA"/>
          <w:color w:val="111111"/>
          <w:sz w:val="28"/>
          <w:szCs w:val="28"/>
          <w:rtl/>
        </w:rPr>
        <w:t xml:space="preserve">زاكاني ، منصور بن ابي ،المكارم قرن 8 ه-</w:t>
      </w:r>
    </w:p>
    <w:p>
      <w:pPr>
        <w:pStyle w:val="Heading2"/>
      </w:pPr>
      <w:bookmarkStart w:id="4608" w:name="_Toc3710"/>
      <w:r>
        <w:t>الفقه الشافعي (كتاب في)، ج12،</w:t>
      </w:r>
      <w:bookmarkEnd w:id="4608"/>
    </w:p>
    <w:p>
      <w:pPr>
        <w:pStyle w:val="BookText"/>
      </w:pPr>
      <w:r>
        <w:rPr>
          <w:rFonts w:ascii="IRNazanin" w:hAnsi="IRNazanin" w:eastAsia="IRNazanin" w:cs="IRNazanin"/>
          <w:lang w:bidi="fa-IR"/>
          <w:color w:val="111111"/>
          <w:sz w:val="28"/>
          <w:szCs w:val="28"/>
          <w:rtl/>
        </w:rPr>
        <w:t xml:space="preserve">ص 102 .</w:t>
      </w:r>
    </w:p>
    <w:p>
      <w:pPr>
        <w:pStyle w:val="Heading2"/>
      </w:pPr>
      <w:bookmarkStart w:id="4609" w:name="_Toc3711"/>
      <w:r>
        <w:t>زاكي ، عبدالسلام بن عمر قرن 13 ه-</w:t>
      </w:r>
      <w:bookmarkEnd w:id="4609"/>
    </w:p>
    <w:p>
      <w:pPr>
        <w:pStyle w:val="BookText"/>
      </w:pPr>
      <w:r>
        <w:rPr>
          <w:rFonts w:ascii="Amiri" w:hAnsi="Amiri" w:eastAsia="Amiri" w:cs="Amiri"/>
          <w:lang w:bidi="ar-SA"/>
          <w:color w:val="111111"/>
          <w:sz w:val="28"/>
          <w:szCs w:val="28"/>
          <w:rtl/>
        </w:rPr>
        <w:t xml:space="preserve">العقائد (رسالة في)، ج 11، ص 136.</w:t>
      </w:r>
    </w:p>
    <w:p>
      <w:pPr>
        <w:pStyle w:val="Heading2"/>
      </w:pPr>
      <w:bookmarkStart w:id="4610" w:name="_Toc3712"/>
      <w:r>
        <w:t>زاهد، ابوالعباس احمد</w:t>
      </w:r>
      <w:bookmarkEnd w:id="4610"/>
    </w:p>
    <w:p>
      <w:pPr>
        <w:pStyle w:val="BookText"/>
      </w:pPr>
      <w:r>
        <w:rPr>
          <w:rFonts w:ascii="Amiri" w:hAnsi="Amiri" w:eastAsia="Amiri" w:cs="Amiri"/>
          <w:lang w:bidi="ar-SA"/>
          <w:color w:val="111111"/>
          <w:sz w:val="28"/>
          <w:szCs w:val="28"/>
          <w:rtl/>
        </w:rPr>
        <w:t xml:space="preserve">الفروض و السنة في تعبد الامة، ج11،</w:t>
      </w:r>
    </w:p>
    <w:p>
      <w:pPr>
        <w:pStyle w:val="BookText"/>
      </w:pPr>
      <w:r>
        <w:rPr>
          <w:rFonts w:ascii="IRNazanin" w:hAnsi="IRNazanin" w:eastAsia="IRNazanin" w:cs="IRNazanin"/>
          <w:lang w:bidi="fa-IR"/>
          <w:color w:val="111111"/>
          <w:sz w:val="28"/>
          <w:szCs w:val="28"/>
          <w:rtl/>
        </w:rPr>
        <w:t xml:space="preserve">ص 813.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0" w:name="pg7742_70454"/>
    <w:bookmarkEnd w:id="530"/>
    <w:p>
      <w:pPr>
        <w:pStyle w:val="BookText"/>
      </w:pPr>
      <w:r>
        <w:rPr>
          <w:rFonts w:ascii="IRNazanin" w:hAnsi="IRNazanin" w:eastAsia="IRNazanin" w:cs="IRNazanin"/>
          <w:lang w:bidi="fa-IR"/>
          <w:color w:val="111111"/>
          <w:sz w:val="28"/>
          <w:szCs w:val="28"/>
          <w:rtl/>
        </w:rPr>
        <w:t xml:space="preserve">زاهد ، ابو عبد الله علاء الدین محمّد بن</w:t>
      </w:r>
    </w:p>
    <w:p>
      <w:pPr>
        <w:pStyle w:val="BookText"/>
      </w:pPr>
      <w:r>
        <w:rPr>
          <w:rFonts w:ascii="Amiri" w:hAnsi="Amiri" w:eastAsia="Amiri" w:cs="Amiri"/>
          <w:lang w:bidi="ar-SA"/>
          <w:color w:val="111111"/>
          <w:sz w:val="28"/>
          <w:szCs w:val="28"/>
          <w:rtl/>
        </w:rPr>
        <w:t xml:space="preserve">عبد الرحمن -زاهد بخاري، محمّد بن عبد الرحمن</w:t>
      </w:r>
    </w:p>
    <w:p>
      <w:pPr>
        <w:pStyle w:val="BookText"/>
      </w:pPr>
      <w:r>
        <w:rPr>
          <w:rFonts w:ascii="IRNazanin" w:hAnsi="IRNazanin" w:eastAsia="IRNazanin" w:cs="IRNazanin"/>
          <w:lang w:bidi="fa-IR"/>
          <w:color w:val="111111"/>
          <w:sz w:val="28"/>
          <w:szCs w:val="28"/>
          <w:rtl/>
        </w:rPr>
        <w:t xml:space="preserve">زاهد ، ابو عمرو المطرز- غلام ثعلب ،</w:t>
      </w:r>
    </w:p>
    <w:p>
      <w:pPr>
        <w:pStyle w:val="BookText"/>
      </w:pPr>
      <w:r>
        <w:rPr>
          <w:rFonts w:ascii="IRNazanin" w:hAnsi="IRNazanin" w:eastAsia="IRNazanin" w:cs="IRNazanin"/>
          <w:lang w:bidi="fa-IR"/>
          <w:color w:val="111111"/>
          <w:sz w:val="28"/>
          <w:szCs w:val="28"/>
          <w:rtl/>
        </w:rPr>
        <w:t xml:space="preserve">محمّد بن عبد الواحد</w:t>
      </w:r>
    </w:p>
    <w:p>
      <w:pPr>
        <w:pStyle w:val="Heading2"/>
      </w:pPr>
      <w:bookmarkStart w:id="4611" w:name="_Toc3713"/>
      <w:r>
        <w:t>زاهد ، احمد بن ابي عمر، - 470 ؟ ه-</w:t>
      </w:r>
      <w:bookmarkEnd w:id="4611"/>
    </w:p>
    <w:p>
      <w:pPr>
        <w:pStyle w:val="BookText"/>
      </w:pPr>
      <w:r>
        <w:rPr>
          <w:rFonts w:ascii="Amiri" w:hAnsi="Amiri" w:eastAsia="Amiri" w:cs="Amiri"/>
          <w:lang w:bidi="ar-SA"/>
          <w:color w:val="111111"/>
          <w:sz w:val="28"/>
          <w:szCs w:val="28"/>
          <w:rtl/>
        </w:rPr>
        <w:t xml:space="preserve">الايضاح في القراءات، ج 3، ص 129.</w:t>
      </w:r>
    </w:p>
    <w:p>
      <w:pPr>
        <w:pStyle w:val="Heading2"/>
      </w:pPr>
      <w:bookmarkStart w:id="4612" w:name="_Toc3714"/>
      <w:r>
        <w:t>زاهد، احمد بن محمّد - 819 ه-</w:t>
      </w:r>
      <w:bookmarkEnd w:id="4612"/>
    </w:p>
    <w:p>
      <w:pPr>
        <w:pStyle w:val="BookText"/>
      </w:pPr>
      <w:r>
        <w:rPr>
          <w:rFonts w:ascii="Amiri" w:hAnsi="Amiri" w:eastAsia="Amiri" w:cs="Amiri"/>
          <w:lang w:bidi="ar-SA"/>
          <w:color w:val="111111"/>
          <w:sz w:val="28"/>
          <w:szCs w:val="28"/>
          <w:rtl/>
        </w:rPr>
        <w:t xml:space="preserve">1 .تحفة السلام في فضل السواك، ج 3،</w:t>
      </w:r>
    </w:p>
    <w:p>
      <w:pPr>
        <w:pStyle w:val="BookText"/>
      </w:pPr>
      <w:r>
        <w:rPr>
          <w:rFonts w:ascii="IRNazanin" w:hAnsi="IRNazanin" w:eastAsia="IRNazanin" w:cs="IRNazanin"/>
          <w:lang w:bidi="fa-IR"/>
          <w:color w:val="111111"/>
          <w:sz w:val="28"/>
          <w:szCs w:val="28"/>
          <w:rtl/>
        </w:rPr>
        <w:t xml:space="preserve">ص 847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الستون مسألة في الفقه، ج8،</w:t>
      </w:r>
    </w:p>
    <w:p>
      <w:pPr>
        <w:pStyle w:val="BookText"/>
      </w:pPr>
      <w:r>
        <w:rPr>
          <w:rFonts w:ascii="IRNazanin" w:hAnsi="IRNazanin" w:eastAsia="IRNazanin" w:cs="IRNazanin"/>
          <w:lang w:bidi="fa-IR"/>
          <w:color w:val="111111"/>
          <w:sz w:val="28"/>
          <w:szCs w:val="28"/>
          <w:rtl/>
        </w:rPr>
        <w:t xml:space="preserve">ص 710.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الفيض القدسي في فضل آية الكرسي</w:t>
      </w:r>
    </w:p>
    <w:p>
      <w:pPr>
        <w:pStyle w:val="BookText"/>
      </w:pPr>
      <w:r>
        <w:rPr>
          <w:rFonts w:ascii="IRNazanin" w:hAnsi="IRNazanin" w:eastAsia="IRNazanin" w:cs="IRNazanin"/>
          <w:lang w:bidi="fa-IR"/>
          <w:color w:val="111111"/>
          <w:sz w:val="28"/>
          <w:szCs w:val="28"/>
          <w:rtl/>
        </w:rPr>
        <w:t xml:space="preserve">ج 12، ص 311.</w:t>
      </w:r>
    </w:p>
    <w:p>
      <w:pPr>
        <w:pStyle w:val="Heading2"/>
      </w:pPr>
      <w:bookmarkStart w:id="4613" w:name="_Toc3715"/>
      <w:r>
        <w:t>زاهد بخاري، محمّد بن عبدالرحمن</w:t>
      </w:r>
      <w:bookmarkEnd w:id="4613"/>
    </w:p>
    <w:p>
      <w:pPr>
        <w:pStyle w:val="BookText"/>
      </w:pPr>
      <w:r>
        <w:rPr>
          <w:rFonts w:ascii="IRNazanin" w:hAnsi="IRNazanin" w:eastAsia="IRNazanin" w:cs="IRNazanin"/>
          <w:lang w:bidi="fa-IR"/>
          <w:color w:val="111111"/>
          <w:sz w:val="28"/>
          <w:szCs w:val="28"/>
          <w:rtl/>
        </w:rPr>
        <w:t xml:space="preserve">546 ه-</w:t>
      </w:r>
    </w:p>
    <w:p>
      <w:pPr>
        <w:pStyle w:val="BookText"/>
      </w:pPr>
      <w:r>
        <w:rPr>
          <w:rFonts w:ascii="Amiri" w:hAnsi="Amiri" w:eastAsia="Amiri" w:cs="Amiri"/>
          <w:lang w:bidi="ar-SA"/>
          <w:color w:val="111111"/>
          <w:sz w:val="28"/>
          <w:szCs w:val="28"/>
          <w:rtl/>
        </w:rPr>
        <w:t xml:space="preserve">محاسن الاسلام و الشرايع، ج 14،</w:t>
      </w:r>
    </w:p>
    <w:p>
      <w:pPr>
        <w:pStyle w:val="BookText"/>
      </w:pPr>
      <w:r>
        <w:rPr>
          <w:rFonts w:ascii="IRNazanin" w:hAnsi="IRNazanin" w:eastAsia="IRNazanin" w:cs="IRNazanin"/>
          <w:lang w:bidi="fa-IR"/>
          <w:color w:val="111111"/>
          <w:sz w:val="28"/>
          <w:szCs w:val="28"/>
          <w:rtl/>
        </w:rPr>
        <w:t xml:space="preserve">ص92.</w:t>
      </w:r>
    </w:p>
    <w:p>
      <w:pPr>
        <w:pStyle w:val="Heading2"/>
      </w:pPr>
      <w:bookmarkStart w:id="4614" w:name="_Toc3716"/>
      <w:r>
        <w:t>زاهد علي بن غلام حكيم</w:t>
      </w:r>
      <w:bookmarkEnd w:id="4614"/>
    </w:p>
    <w:p>
      <w:pPr>
        <w:pStyle w:val="BookText"/>
      </w:pPr>
      <w:r>
        <w:rPr>
          <w:rFonts w:ascii="IRNazanin" w:hAnsi="IRNazanin" w:eastAsia="IRNazanin" w:cs="IRNazanin"/>
          <w:lang w:bidi="fa-IR"/>
          <w:color w:val="111111"/>
          <w:sz w:val="28"/>
          <w:szCs w:val="28"/>
          <w:rtl/>
        </w:rPr>
        <w:t xml:space="preserve">قرابادین زاهدي، ج 12، ص 556.</w:t>
      </w:r>
    </w:p>
    <w:p>
      <w:pPr>
        <w:pStyle w:val="BookText"/>
      </w:pPr>
      <w:r>
        <w:rPr>
          <w:rFonts w:ascii="Amiri" w:hAnsi="Amiri" w:eastAsia="Amiri" w:cs="Amiri"/>
          <w:lang w:bidi="ar-SA"/>
          <w:color w:val="111111"/>
          <w:sz w:val="28"/>
          <w:szCs w:val="28"/>
          <w:rtl/>
        </w:rPr>
        <w:t xml:space="preserve">زاهد، عيسى بن حسين -زاهد نجفي عيسى بن حسين</w:t>
      </w:r>
    </w:p>
    <w:p>
      <w:pPr>
        <w:pStyle w:val="Heading2"/>
      </w:pPr>
      <w:bookmarkStart w:id="4615" w:name="_Toc3717"/>
      <w:r>
        <w:t>زاهد نجفي، عيسى بن حسين قرن 13 ه-</w:t>
      </w:r>
      <w:bookmarkEnd w:id="4615"/>
    </w:p>
    <w:p>
      <w:pPr>
        <w:pStyle w:val="BookText"/>
      </w:pPr>
      <w:r>
        <w:rPr>
          <w:rFonts w:ascii="IRNazanin" w:hAnsi="IRNazanin" w:eastAsia="IRNazanin" w:cs="IRNazanin"/>
          <w:lang w:bidi="fa-IR"/>
          <w:color w:val="111111"/>
          <w:sz w:val="28"/>
          <w:szCs w:val="28"/>
          <w:rtl/>
        </w:rPr>
        <w:t xml:space="preserve">شرح شرایع الاسلام، ج 9، ص 625 .</w:t>
      </w:r>
    </w:p>
    <w:p>
      <w:pPr>
        <w:pStyle w:val="Heading2"/>
      </w:pPr>
      <w:bookmarkStart w:id="4616" w:name="_Toc3718"/>
      <w:r>
        <w:t>زاهد نجفي ، محمّد</w:t>
      </w:r>
      <w:bookmarkEnd w:id="4616"/>
    </w:p>
    <w:p>
      <w:pPr>
        <w:pStyle w:val="BookText"/>
      </w:pPr>
      <w:r>
        <w:rPr>
          <w:rFonts w:ascii="Amiri" w:hAnsi="Amiri" w:eastAsia="Amiri" w:cs="Amiri"/>
          <w:lang w:bidi="ar-SA"/>
          <w:color w:val="111111"/>
          <w:sz w:val="28"/>
          <w:szCs w:val="28"/>
          <w:rtl/>
        </w:rPr>
        <w:t xml:space="preserve">شرح الكفاية، ج 10، ص 56.</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Amiri" w:hAnsi="Amiri" w:eastAsia="Amiri" w:cs="Amiri"/>
          <w:lang w:bidi="ar-SA"/>
          <w:color w:val="111111"/>
          <w:sz w:val="28"/>
          <w:szCs w:val="28"/>
          <w:rtl/>
        </w:rPr>
        <w:t xml:space="preserve">زاهدي حسيني ، عبد الحي -زاهدي لاري ،</w:t>
      </w:r>
    </w:p>
    <w:p>
      <w:pPr>
        <w:pStyle w:val="BookText"/>
      </w:pPr>
      <w:r>
        <w:rPr>
          <w:rFonts w:ascii="Amiri" w:hAnsi="Amiri" w:eastAsia="Amiri" w:cs="Amiri"/>
          <w:lang w:bidi="ar-SA"/>
          <w:color w:val="111111"/>
          <w:sz w:val="28"/>
          <w:szCs w:val="28"/>
          <w:rtl/>
        </w:rPr>
        <w:t xml:space="preserve">عبد الحي بن عزالدين</w:t>
      </w:r>
    </w:p>
    <w:p>
      <w:pPr>
        <w:pStyle w:val="BookText"/>
      </w:pPr>
      <w:r>
        <w:rPr>
          <w:rFonts w:ascii="Amiri" w:hAnsi="Amiri" w:eastAsia="Amiri" w:cs="Amiri"/>
          <w:lang w:bidi="ar-SA"/>
          <w:color w:val="111111"/>
          <w:sz w:val="28"/>
          <w:szCs w:val="28"/>
          <w:rtl/>
        </w:rPr>
        <w:t xml:space="preserve">زاهدي ، علي بن فضل الله- كيلاني ، علي</w:t>
      </w:r>
    </w:p>
    <w:p>
      <w:pPr>
        <w:pStyle w:val="BookText"/>
      </w:pPr>
      <w:r>
        <w:rPr>
          <w:rFonts w:ascii="IRNazanin" w:hAnsi="IRNazanin" w:eastAsia="IRNazanin" w:cs="IRNazanin"/>
          <w:lang w:bidi="fa-IR"/>
          <w:color w:val="111111"/>
          <w:sz w:val="28"/>
          <w:szCs w:val="28"/>
          <w:rtl/>
        </w:rPr>
        <w:t xml:space="preserve">بن فضل الله</w:t>
      </w:r>
    </w:p>
    <w:p>
      <w:pPr>
        <w:pStyle w:val="BookText"/>
      </w:pPr>
      <w:r>
        <w:rPr>
          <w:rFonts w:ascii="IRNazanin" w:hAnsi="IRNazanin" w:eastAsia="IRNazanin" w:cs="IRNazanin"/>
          <w:lang w:bidi="fa-IR"/>
          <w:color w:val="111111"/>
          <w:sz w:val="28"/>
          <w:szCs w:val="28"/>
          <w:rtl/>
        </w:rPr>
        <w:t xml:space="preserve">زاهدي گيلاني ، محمّد علي بن</w:t>
      </w:r>
    </w:p>
    <w:p>
      <w:pPr>
        <w:pStyle w:val="BookText"/>
      </w:pPr>
      <w:r>
        <w:rPr>
          <w:rFonts w:ascii="Amiri" w:hAnsi="Amiri" w:eastAsia="Amiri" w:cs="Amiri"/>
          <w:lang w:bidi="ar-SA"/>
          <w:color w:val="111111"/>
          <w:sz w:val="28"/>
          <w:szCs w:val="28"/>
          <w:rtl/>
        </w:rPr>
        <w:t xml:space="preserve">ابوطالب- حزين ، محمّد علي بن ابي طالب</w:t>
      </w:r>
    </w:p>
    <w:p>
      <w:pPr>
        <w:pStyle w:val="Heading2"/>
      </w:pPr>
      <w:bookmarkStart w:id="4617" w:name="_Toc3719"/>
      <w:r>
        <w:t>زاهدي لاري ، عبد الحي بن عزالدين</w:t>
      </w:r>
      <w:bookmarkEnd w:id="4617"/>
    </w:p>
    <w:p>
      <w:pPr>
        <w:pStyle w:val="BookText"/>
      </w:pPr>
      <w:r>
        <w:rPr>
          <w:rFonts w:ascii="IRNazanin" w:hAnsi="IRNazanin" w:eastAsia="IRNazanin" w:cs="IRNazanin"/>
          <w:lang w:bidi="fa-IR"/>
          <w:color w:val="111111"/>
          <w:sz w:val="28"/>
          <w:szCs w:val="28"/>
          <w:rtl/>
        </w:rPr>
        <w:t xml:space="preserve">988 ق 11 ه-</w:t>
      </w:r>
    </w:p>
    <w:p>
      <w:pPr>
        <w:pStyle w:val="BookText"/>
      </w:pPr>
      <w:r>
        <w:rPr>
          <w:rFonts w:ascii="IRNazanin" w:hAnsi="IRNazanin" w:eastAsia="IRNazanin" w:cs="IRNazanin"/>
          <w:lang w:bidi="fa-IR"/>
          <w:color w:val="111111"/>
          <w:sz w:val="28"/>
          <w:szCs w:val="28"/>
          <w:rtl/>
        </w:rPr>
        <w:t xml:space="preserve">1 .حل المسائل، ج 6، ص 792.</w:t>
      </w:r>
    </w:p>
    <w:p>
      <w:pPr>
        <w:pStyle w:val="BookText"/>
      </w:pPr>
      <w:r>
        <w:rPr>
          <w:rFonts w:ascii="Amiri" w:hAnsi="Amiri" w:eastAsia="Amiri" w:cs="Amiri"/>
          <w:lang w:bidi="ar-SA"/>
          <w:color w:val="111111"/>
          <w:sz w:val="28"/>
          <w:szCs w:val="28"/>
          <w:rtl/>
        </w:rPr>
        <w:t xml:space="preserve">2 .حل مسايل في معرفة الغيب، ج 6،</w:t>
      </w:r>
    </w:p>
    <w:p>
      <w:pPr>
        <w:pStyle w:val="BookText"/>
      </w:pPr>
      <w:r>
        <w:rPr>
          <w:rFonts w:ascii="IRNazanin" w:hAnsi="IRNazanin" w:eastAsia="IRNazanin" w:cs="IRNazanin"/>
          <w:lang w:bidi="fa-IR"/>
          <w:color w:val="111111"/>
          <w:sz w:val="28"/>
          <w:szCs w:val="28"/>
          <w:rtl/>
        </w:rPr>
        <w:t xml:space="preserve">ص 793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حل و عقد، ج 6 ، ص 805.</w:t>
      </w:r>
    </w:p>
    <w:p>
      <w:pPr>
        <w:pStyle w:val="BookText"/>
      </w:pPr>
      <w:r>
        <w:rPr>
          <w:rFonts w:ascii="Amiri" w:hAnsi="Amiri" w:eastAsia="Amiri" w:cs="Amiri"/>
          <w:lang w:bidi="ar-SA"/>
          <w:color w:val="111111"/>
          <w:sz w:val="28"/>
          <w:szCs w:val="28"/>
          <w:rtl/>
        </w:rPr>
        <w:t xml:space="preserve">زاهدي لاري ، قطب الدين بن عبد الحي- زاهدي لاري ، عبد الحي بن</w:t>
      </w:r>
    </w:p>
    <w:p>
      <w:pPr>
        <w:pStyle w:val="BookText"/>
      </w:pPr>
      <w:r>
        <w:rPr>
          <w:rFonts w:ascii="IRNazanin" w:hAnsi="IRNazanin" w:eastAsia="IRNazanin" w:cs="IRNazanin"/>
          <w:lang w:bidi="fa-IR"/>
          <w:color w:val="111111"/>
          <w:sz w:val="28"/>
          <w:szCs w:val="28"/>
          <w:rtl/>
        </w:rPr>
        <w:t xml:space="preserve">عزالدین</w:t>
      </w:r>
    </w:p>
    <w:p>
      <w:pPr>
        <w:pStyle w:val="BookText"/>
      </w:pPr>
      <w:r>
        <w:rPr>
          <w:rFonts w:ascii="IRNazanin" w:hAnsi="IRNazanin" w:eastAsia="IRNazanin" w:cs="IRNazanin"/>
          <w:lang w:bidi="fa-IR"/>
          <w:color w:val="111111"/>
          <w:sz w:val="28"/>
          <w:szCs w:val="28"/>
          <w:rtl/>
        </w:rPr>
        <w:t xml:space="preserve">زاهدي، محمّد رفیع -پیرزاده ، محمّد</w:t>
      </w:r>
    </w:p>
    <w:p>
      <w:pPr>
        <w:pStyle w:val="BookText"/>
      </w:pPr>
      <w:r>
        <w:rPr>
          <w:rFonts w:ascii="Amiri" w:hAnsi="Amiri" w:eastAsia="Amiri" w:cs="Amiri"/>
          <w:lang w:bidi="ar-SA"/>
          <w:color w:val="111111"/>
          <w:sz w:val="28"/>
          <w:szCs w:val="28"/>
          <w:rtl/>
        </w:rPr>
        <w:t xml:space="preserve">رفيع</w:t>
      </w:r>
    </w:p>
    <w:p>
      <w:pPr>
        <w:pStyle w:val="BookText"/>
      </w:pPr>
      <w:r>
        <w:rPr>
          <w:rFonts w:ascii="Amiri" w:hAnsi="Amiri" w:eastAsia="Amiri" w:cs="Amiri"/>
          <w:lang w:bidi="ar-SA"/>
          <w:color w:val="111111"/>
          <w:sz w:val="28"/>
          <w:szCs w:val="28"/>
          <w:rtl/>
        </w:rPr>
        <w:t xml:space="preserve">زاهدي ، محمّد علي بن ابوطالب-حزين ،</w:t>
      </w:r>
    </w:p>
    <w:p>
      <w:pPr>
        <w:pStyle w:val="BookText"/>
      </w:pPr>
      <w:r>
        <w:rPr>
          <w:rFonts w:ascii="Amiri" w:hAnsi="Amiri" w:eastAsia="Amiri" w:cs="Amiri"/>
          <w:lang w:bidi="ar-SA"/>
          <w:color w:val="111111"/>
          <w:sz w:val="28"/>
          <w:szCs w:val="28"/>
          <w:rtl/>
        </w:rPr>
        <w:t xml:space="preserve">محمّد علي بن ابي طالب</w:t>
      </w:r>
    </w:p>
    <w:p>
      <w:pPr>
        <w:pStyle w:val="Heading2"/>
      </w:pPr>
      <w:bookmarkStart w:id="4618" w:name="_Toc3720"/>
      <w:r>
        <w:t>زاهدي، مختار بن محمود - 658 ه-</w:t>
      </w:r>
      <w:bookmarkEnd w:id="4618"/>
    </w:p>
    <w:p>
      <w:pPr>
        <w:pStyle w:val="BookText"/>
      </w:pPr>
      <w:r>
        <w:rPr>
          <w:rFonts w:ascii="Amiri" w:hAnsi="Amiri" w:eastAsia="Amiri" w:cs="Amiri"/>
          <w:lang w:bidi="ar-SA"/>
          <w:color w:val="111111"/>
          <w:sz w:val="28"/>
          <w:szCs w:val="28"/>
          <w:rtl/>
        </w:rPr>
        <w:t xml:space="preserve">1 .حاوي مسائل الواقعات، ج 6،</w:t>
      </w:r>
    </w:p>
    <w:p>
      <w:pPr>
        <w:pStyle w:val="BookText"/>
      </w:pPr>
      <w:r>
        <w:rPr>
          <w:rFonts w:ascii="IRNazanin" w:hAnsi="IRNazanin" w:eastAsia="IRNazanin" w:cs="IRNazanin"/>
          <w:lang w:bidi="fa-IR"/>
          <w:color w:val="111111"/>
          <w:sz w:val="28"/>
          <w:szCs w:val="28"/>
          <w:rtl/>
        </w:rPr>
        <w:t xml:space="preserve">ص 466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الحدائق الناصرية في العلوم الشرعية والعقلية، ج 6، ص 524.</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1" w:name="pg7742_70456"/>
    <w:bookmarkEnd w:id="53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مختصر القدوري = المجتبى في</w:t>
      </w:r>
    </w:p>
    <w:p>
      <w:pPr>
        <w:pStyle w:val="BookText"/>
      </w:pPr>
      <w:r>
        <w:rPr>
          <w:rFonts w:ascii="Amiri" w:hAnsi="Amiri" w:eastAsia="Amiri" w:cs="Amiri"/>
          <w:lang w:bidi="ar-SA"/>
          <w:color w:val="111111"/>
          <w:sz w:val="28"/>
          <w:szCs w:val="28"/>
          <w:rtl/>
        </w:rPr>
        <w:t xml:space="preserve">شرح مختصر القدوري، ج 10،</w:t>
      </w:r>
    </w:p>
    <w:p>
      <w:pPr>
        <w:pStyle w:val="BookText"/>
      </w:pPr>
      <w:r>
        <w:rPr>
          <w:rFonts w:ascii="IRNazanin" w:hAnsi="IRNazanin" w:eastAsia="IRNazanin" w:cs="IRNazanin"/>
          <w:lang w:bidi="fa-IR"/>
          <w:color w:val="111111"/>
          <w:sz w:val="28"/>
          <w:szCs w:val="28"/>
          <w:rtl/>
        </w:rPr>
        <w:t xml:space="preserve">ص 120.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قنية المنية لتتميم الغنية، ج 12،</w:t>
      </w:r>
    </w:p>
    <w:p>
      <w:pPr>
        <w:pStyle w:val="BookText"/>
      </w:pPr>
      <w:r>
        <w:rPr>
          <w:rFonts w:ascii="IRNazanin" w:hAnsi="IRNazanin" w:eastAsia="IRNazanin" w:cs="IRNazanin"/>
          <w:lang w:bidi="fa-IR"/>
          <w:color w:val="111111"/>
          <w:sz w:val="28"/>
          <w:szCs w:val="28"/>
          <w:rtl/>
        </w:rPr>
        <w:t xml:space="preserve">ص 771</w:t>
      </w:r>
    </w:p>
    <w:p>
      <w:pPr>
        <w:pStyle w:val="BookText"/>
      </w:pPr>
      <w:r>
        <w:rPr>
          <w:rFonts w:ascii="Amiri" w:hAnsi="Amiri" w:eastAsia="Amiri" w:cs="Amiri"/>
          <w:lang w:bidi="ar-SA"/>
          <w:color w:val="111111"/>
          <w:sz w:val="28"/>
          <w:szCs w:val="28"/>
          <w:rtl/>
        </w:rPr>
        <w:t xml:space="preserve">زاهر بن طاهر سحامي- سحامي ، زاهر</w:t>
      </w:r>
    </w:p>
    <w:p>
      <w:pPr>
        <w:pStyle w:val="BookText"/>
      </w:pPr>
      <w:r>
        <w:rPr>
          <w:rFonts w:ascii="IRNazanin" w:hAnsi="IRNazanin" w:eastAsia="IRNazanin" w:cs="IRNazanin"/>
          <w:lang w:bidi="fa-IR"/>
          <w:color w:val="111111"/>
          <w:sz w:val="28"/>
          <w:szCs w:val="28"/>
          <w:rtl/>
        </w:rPr>
        <w:t xml:space="preserve">بن طاهر</w:t>
      </w:r>
    </w:p>
    <w:p>
      <w:pPr>
        <w:pStyle w:val="BookText"/>
      </w:pPr>
      <w:r>
        <w:rPr>
          <w:rFonts w:ascii="Amiri" w:hAnsi="Amiri" w:eastAsia="Amiri" w:cs="Amiri"/>
          <w:lang w:bidi="ar-SA"/>
          <w:color w:val="111111"/>
          <w:sz w:val="28"/>
          <w:szCs w:val="28"/>
          <w:rtl/>
        </w:rPr>
        <w:t xml:space="preserve">زاهر بن طاهر شحامي</w:t>
      </w:r>
    </w:p>
    <w:p>
      <w:pPr>
        <w:pStyle w:val="BookText"/>
      </w:pPr>
      <w:r>
        <w:rPr>
          <w:rFonts w:ascii="Amiri" w:hAnsi="Amiri" w:eastAsia="Amiri" w:cs="Amiri"/>
          <w:lang w:bidi="ar-SA"/>
          <w:color w:val="111111"/>
          <w:sz w:val="28"/>
          <w:szCs w:val="28"/>
          <w:rtl/>
        </w:rPr>
        <w:t xml:space="preserve">نيشابوري - سحامي ، زاهر بن طاهر</w:t>
      </w:r>
    </w:p>
    <w:p>
      <w:pPr>
        <w:pStyle w:val="Heading2"/>
      </w:pPr>
      <w:bookmarkStart w:id="4619" w:name="_Toc3721"/>
      <w:r>
        <w:t>زاهي، علي بن اسحاق، 318 - 352 ه-</w:t>
      </w:r>
      <w:bookmarkEnd w:id="4619"/>
    </w:p>
    <w:p>
      <w:pPr>
        <w:pStyle w:val="BookText"/>
      </w:pPr>
      <w:r>
        <w:rPr>
          <w:rFonts w:ascii="Amiri" w:hAnsi="Amiri" w:eastAsia="Amiri" w:cs="Amiri"/>
          <w:lang w:bidi="ar-SA"/>
          <w:color w:val="111111"/>
          <w:sz w:val="28"/>
          <w:szCs w:val="28"/>
          <w:rtl/>
        </w:rPr>
        <w:t xml:space="preserve">ديوان الزاهي، ج 7، ص 647 .</w:t>
      </w:r>
    </w:p>
    <w:p>
      <w:pPr>
        <w:pStyle w:val="BookText"/>
      </w:pPr>
      <w:r>
        <w:rPr>
          <w:rFonts w:ascii="Amiri" w:hAnsi="Amiri" w:eastAsia="Amiri" w:cs="Amiri"/>
          <w:lang w:bidi="ar-SA"/>
          <w:color w:val="111111"/>
          <w:sz w:val="28"/>
          <w:szCs w:val="28"/>
          <w:rtl/>
        </w:rPr>
        <w:t xml:space="preserve">زاولي ، شهاب الدين بن شمس الدين- دولت آبادي ، احمد بن شمس الدين</w:t>
      </w:r>
    </w:p>
    <w:p>
      <w:pPr>
        <w:pStyle w:val="BookText"/>
      </w:pPr>
      <w:r>
        <w:rPr>
          <w:rFonts w:ascii="Amiri" w:hAnsi="Amiri" w:eastAsia="Amiri" w:cs="Amiri"/>
          <w:lang w:bidi="ar-SA"/>
          <w:color w:val="111111"/>
          <w:sz w:val="28"/>
          <w:szCs w:val="28"/>
          <w:rtl/>
        </w:rPr>
        <w:t xml:space="preserve">زاوي ، شهاب الدين بن شمس الدين- دولت آبادي ، احمد بن شمس الدين</w:t>
      </w:r>
    </w:p>
    <w:p>
      <w:pPr>
        <w:pStyle w:val="BookText"/>
      </w:pPr>
      <w:r>
        <w:rPr>
          <w:rFonts w:ascii="Amiri" w:hAnsi="Amiri" w:eastAsia="Amiri" w:cs="Amiri"/>
          <w:lang w:bidi="ar-SA"/>
          <w:color w:val="111111"/>
          <w:sz w:val="28"/>
          <w:szCs w:val="28"/>
          <w:rtl/>
        </w:rPr>
        <w:t xml:space="preserve">زبال ، مصطفى- شرقاوي، مصطفى</w:t>
      </w:r>
    </w:p>
    <w:p>
      <w:pPr>
        <w:pStyle w:val="Heading2"/>
      </w:pPr>
      <w:bookmarkStart w:id="4620" w:name="_Toc3722"/>
      <w:r>
        <w:t>زبزاري، عبدالرحمن بن داود ، قرن 7 ه-</w:t>
      </w:r>
      <w:bookmarkEnd w:id="4620"/>
    </w:p>
    <w:p>
      <w:pPr>
        <w:pStyle w:val="BookText"/>
      </w:pPr>
      <w:r>
        <w:rPr>
          <w:rFonts w:ascii="Amiri" w:hAnsi="Amiri" w:eastAsia="Amiri" w:cs="Amiri"/>
          <w:lang w:bidi="ar-SA"/>
          <w:color w:val="111111"/>
          <w:sz w:val="28"/>
          <w:szCs w:val="28"/>
          <w:rtl/>
        </w:rPr>
        <w:t xml:space="preserve">الاربعون حديثا، ج 1، ص 692.</w:t>
      </w:r>
    </w:p>
    <w:p>
      <w:pPr>
        <w:pStyle w:val="BookText"/>
      </w:pPr>
      <w:r>
        <w:rPr>
          <w:rFonts w:ascii="Amiri" w:hAnsi="Amiri" w:eastAsia="Amiri" w:cs="Amiri"/>
          <w:lang w:bidi="ar-SA"/>
          <w:color w:val="111111"/>
          <w:sz w:val="28"/>
          <w:szCs w:val="28"/>
          <w:rtl/>
        </w:rPr>
        <w:t xml:space="preserve">زبنجي ، محمود بن عمر -سجزي</w:t>
      </w:r>
    </w:p>
    <w:p>
      <w:pPr>
        <w:pStyle w:val="BookText"/>
      </w:pPr>
      <w:r>
        <w:rPr>
          <w:rFonts w:ascii="IRNazanin" w:hAnsi="IRNazanin" w:eastAsia="IRNazanin" w:cs="IRNazanin"/>
          <w:lang w:bidi="fa-IR"/>
          <w:color w:val="111111"/>
          <w:sz w:val="28"/>
          <w:szCs w:val="28"/>
          <w:rtl/>
        </w:rPr>
        <w:t xml:space="preserve">محمود بن عمر</w:t>
      </w:r>
    </w:p>
    <w:p>
      <w:pPr>
        <w:pStyle w:val="BookText"/>
      </w:pPr>
      <w:r>
        <w:rPr>
          <w:rFonts w:ascii="Amiri" w:hAnsi="Amiri" w:eastAsia="Amiri" w:cs="Amiri"/>
          <w:lang w:bidi="ar-SA"/>
          <w:color w:val="111111"/>
          <w:sz w:val="28"/>
          <w:szCs w:val="28"/>
          <w:rtl/>
        </w:rPr>
        <w:t xml:space="preserve">زبيدي ، ابو العباس احمد بن احمد- زبيدي ، احمد بن احمد</w:t>
      </w:r>
    </w:p>
    <w:p>
      <w:pPr>
        <w:pStyle w:val="BookText"/>
      </w:pPr>
      <w:r>
        <w:rPr>
          <w:rFonts w:ascii="Amiri" w:hAnsi="Amiri" w:eastAsia="Amiri" w:cs="Amiri"/>
          <w:lang w:bidi="ar-SA"/>
          <w:color w:val="111111"/>
          <w:sz w:val="28"/>
          <w:szCs w:val="28"/>
          <w:rtl/>
        </w:rPr>
        <w:t xml:space="preserve">زبيدي ، ابوبكر محمّد بن الحسن - زبيدي</w:t>
      </w:r>
    </w:p>
    <w:p>
      <w:pPr>
        <w:pStyle w:val="BookText"/>
      </w:pPr>
      <w:r>
        <w:rPr>
          <w:rFonts w:ascii="IRNazanin" w:hAnsi="IRNazanin" w:eastAsia="IRNazanin" w:cs="IRNazanin"/>
          <w:lang w:bidi="fa-IR"/>
          <w:color w:val="111111"/>
          <w:sz w:val="28"/>
          <w:szCs w:val="28"/>
          <w:rtl/>
        </w:rPr>
        <w:t xml:space="preserve">، محمّد بن حسن</w:t>
      </w:r>
    </w:p>
    <w:p>
      <w:pPr>
        <w:pStyle w:val="BookText"/>
      </w:pPr>
      <w:r>
        <w:rPr>
          <w:rFonts w:ascii="Amiri" w:hAnsi="Amiri" w:eastAsia="Amiri" w:cs="Amiri"/>
          <w:lang w:bidi="ar-SA"/>
          <w:color w:val="111111"/>
          <w:sz w:val="28"/>
          <w:szCs w:val="28"/>
          <w:rtl/>
        </w:rPr>
        <w:t xml:space="preserve">زبيدي ، ابي فيض محمّد- مرتضى زبيدي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4621" w:name="_Toc3723"/>
      <w:r>
        <w:t>زبيدي ، احمد بن احمد، 812 - 893 ه-</w:t>
      </w:r>
      <w:bookmarkEnd w:id="4621"/>
    </w:p>
    <w:p>
      <w:pPr>
        <w:pStyle w:val="BookText"/>
      </w:pPr>
      <w:r>
        <w:rPr>
          <w:rFonts w:ascii="Amiri" w:hAnsi="Amiri" w:eastAsia="Amiri" w:cs="Amiri"/>
          <w:lang w:bidi="ar-SA"/>
          <w:color w:val="111111"/>
          <w:sz w:val="28"/>
          <w:szCs w:val="28"/>
          <w:rtl/>
        </w:rPr>
        <w:t xml:space="preserve">1 .التجريد الصريح الاحاديث الجامع</w:t>
      </w:r>
    </w:p>
    <w:p>
      <w:pPr>
        <w:pStyle w:val="BookText"/>
      </w:pPr>
      <w:r>
        <w:rPr>
          <w:rFonts w:ascii="Amiri" w:hAnsi="Amiri" w:eastAsia="Amiri" w:cs="Amiri"/>
          <w:lang w:bidi="ar-SA"/>
          <w:color w:val="111111"/>
          <w:sz w:val="28"/>
          <w:szCs w:val="28"/>
          <w:rtl/>
        </w:rPr>
        <w:t xml:space="preserve">الصحيح، ج 3، ص 689.</w:t>
      </w:r>
    </w:p>
    <w:p>
      <w:pPr>
        <w:pStyle w:val="BookText"/>
      </w:pPr>
      <w:r>
        <w:rPr>
          <w:rFonts w:ascii="IRNazanin" w:hAnsi="IRNazanin" w:eastAsia="IRNazanin" w:cs="IRNazanin"/>
          <w:lang w:bidi="fa-IR"/>
          <w:color w:val="111111"/>
          <w:sz w:val="28"/>
          <w:szCs w:val="28"/>
          <w:rtl/>
        </w:rPr>
        <w:t xml:space="preserve">2.طبقات الخواص من اهل الصدق و</w:t>
      </w:r>
    </w:p>
    <w:p>
      <w:pPr>
        <w:pStyle w:val="BookText"/>
      </w:pPr>
      <w:r>
        <w:rPr>
          <w:rFonts w:ascii="Amiri" w:hAnsi="Amiri" w:eastAsia="Amiri" w:cs="Amiri"/>
          <w:lang w:bidi="ar-SA"/>
          <w:color w:val="111111"/>
          <w:sz w:val="28"/>
          <w:szCs w:val="28"/>
          <w:rtl/>
        </w:rPr>
        <w:t xml:space="preserve">الإخلاص = تذكرة اولياء اليمن</w:t>
      </w:r>
    </w:p>
    <w:p>
      <w:pPr>
        <w:pStyle w:val="BookText"/>
      </w:pPr>
      <w:r>
        <w:rPr>
          <w:rFonts w:ascii="IRNazanin" w:hAnsi="IRNazanin" w:eastAsia="IRNazanin" w:cs="IRNazanin"/>
          <w:lang w:bidi="fa-IR"/>
          <w:color w:val="111111"/>
          <w:sz w:val="28"/>
          <w:szCs w:val="28"/>
          <w:rtl/>
        </w:rPr>
        <w:t xml:space="preserve">ج 10، ص 774.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الفوائد و الصلاة والعوائد = مأة الفوايد و الصلاة والعوايد = مأة فائدة، ج 12، ص289.</w:t>
      </w:r>
    </w:p>
    <w:p>
      <w:pPr>
        <w:pStyle w:val="BookText"/>
      </w:pPr>
      <w:r>
        <w:rPr>
          <w:rFonts w:ascii="Amiri" w:hAnsi="Amiri" w:eastAsia="Amiri" w:cs="Amiri"/>
          <w:lang w:bidi="ar-SA"/>
          <w:color w:val="111111"/>
          <w:sz w:val="28"/>
          <w:szCs w:val="28"/>
          <w:rtl/>
        </w:rPr>
        <w:t xml:space="preserve">زبيدي ، احمد بن عبد اللطيف - زبيدي ،</w:t>
      </w:r>
    </w:p>
    <w:p>
      <w:pPr>
        <w:pStyle w:val="BookText"/>
      </w:pPr>
      <w:r>
        <w:rPr>
          <w:rFonts w:ascii="IRNazanin" w:hAnsi="IRNazanin" w:eastAsia="IRNazanin" w:cs="IRNazanin"/>
          <w:lang w:bidi="fa-IR"/>
          <w:color w:val="111111"/>
          <w:sz w:val="28"/>
          <w:szCs w:val="28"/>
          <w:rtl/>
        </w:rPr>
        <w:t xml:space="preserve">احمد بن احمد</w:t>
      </w:r>
    </w:p>
    <w:p>
      <w:pPr>
        <w:pStyle w:val="Heading2"/>
      </w:pPr>
      <w:bookmarkStart w:id="4622" w:name="_Toc3724"/>
      <w:r>
        <w:t>زبيدي ، احمد بن عمر، 847 - 930 ه-</w:t>
      </w:r>
      <w:bookmarkEnd w:id="4622"/>
    </w:p>
    <w:p>
      <w:pPr>
        <w:pStyle w:val="BookText"/>
      </w:pPr>
      <w:r>
        <w:rPr>
          <w:rFonts w:ascii="Amiri" w:hAnsi="Amiri" w:eastAsia="Amiri" w:cs="Amiri"/>
          <w:lang w:bidi="ar-SA"/>
          <w:color w:val="111111"/>
          <w:sz w:val="28"/>
          <w:szCs w:val="28"/>
          <w:rtl/>
        </w:rPr>
        <w:t xml:space="preserve">العباب المحيط بمعظم نصوص الشافعي و الأصحاب، ج 11، ص11.</w:t>
      </w:r>
    </w:p>
    <w:p>
      <w:pPr>
        <w:pStyle w:val="Heading2"/>
      </w:pPr>
      <w:bookmarkStart w:id="4623" w:name="_Toc3725"/>
      <w:r>
        <w:t>زبيدي، اسماعيل بن عبدالله</w:t>
      </w:r>
      <w:bookmarkEnd w:id="4623"/>
    </w:p>
    <w:p>
      <w:pPr>
        <w:pStyle w:val="BookText"/>
      </w:pPr>
      <w:r>
        <w:rPr>
          <w:rFonts w:ascii="Amiri" w:hAnsi="Amiri" w:eastAsia="Amiri" w:cs="Amiri"/>
          <w:lang w:bidi="ar-SA"/>
          <w:color w:val="111111"/>
          <w:sz w:val="28"/>
          <w:szCs w:val="28"/>
          <w:rtl/>
        </w:rPr>
        <w:t xml:space="preserve">نبذة في قوله (صلى الله عليه و سلم): لا يمل الله حتى تملوا»، ج 16، ص112.</w:t>
      </w:r>
    </w:p>
    <w:p>
      <w:pPr>
        <w:pStyle w:val="BookText"/>
      </w:pPr>
      <w:r>
        <w:rPr>
          <w:rFonts w:ascii="Amiri" w:hAnsi="Amiri" w:eastAsia="Amiri" w:cs="Amiri"/>
          <w:lang w:bidi="ar-SA"/>
          <w:color w:val="111111"/>
          <w:sz w:val="28"/>
          <w:szCs w:val="28"/>
          <w:rtl/>
        </w:rPr>
        <w:t xml:space="preserve">زبيدي ، حمزة بن عبد الله- ناشري ، حمزة</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زبيدي ، شهاب الدین احمد بن</w:t>
      </w:r>
    </w:p>
    <w:p>
      <w:pPr>
        <w:pStyle w:val="BookText"/>
      </w:pPr>
      <w:r>
        <w:rPr>
          <w:rFonts w:ascii="Amiri" w:hAnsi="Amiri" w:eastAsia="Amiri" w:cs="Amiri"/>
          <w:lang w:bidi="ar-SA"/>
          <w:color w:val="111111"/>
          <w:sz w:val="28"/>
          <w:szCs w:val="28"/>
          <w:rtl/>
        </w:rPr>
        <w:t xml:space="preserve">احمد -زبيدي ، احمد بن احمد</w:t>
      </w:r>
    </w:p>
    <w:p>
      <w:pPr>
        <w:pStyle w:val="Heading2"/>
      </w:pPr>
      <w:bookmarkStart w:id="4624" w:name="_Toc3726"/>
      <w:r>
        <w:t>زبيدي، صديق بن محمّد قرن 11 ه-</w:t>
      </w:r>
      <w:bookmarkEnd w:id="4624"/>
    </w:p>
    <w:p>
      <w:pPr>
        <w:pStyle w:val="BookText"/>
      </w:pPr>
      <w:r>
        <w:rPr>
          <w:rFonts w:ascii="Amiri" w:hAnsi="Amiri" w:eastAsia="Amiri" w:cs="Amiri"/>
          <w:lang w:bidi="ar-SA"/>
          <w:color w:val="111111"/>
          <w:sz w:val="28"/>
          <w:szCs w:val="28"/>
          <w:rtl/>
        </w:rPr>
        <w:t xml:space="preserve">الايضاح الشافي بالاتقان في معرفة</w:t>
      </w:r>
    </w:p>
    <w:p>
      <w:pPr>
        <w:pStyle w:val="BookText"/>
      </w:pPr>
      <w:r>
        <w:rPr>
          <w:rFonts w:ascii="IRNazanin" w:hAnsi="IRNazanin" w:eastAsia="IRNazanin" w:cs="IRNazanin"/>
          <w:lang w:bidi="fa-IR"/>
          <w:color w:val="111111"/>
          <w:sz w:val="28"/>
          <w:szCs w:val="28"/>
          <w:rtl/>
        </w:rPr>
        <w:t xml:space="preserve">المنازل و الازمان، ج3، ص120.</w:t>
      </w:r>
    </w:p>
    <w:p>
      <w:pPr>
        <w:pStyle w:val="BookText"/>
      </w:pPr>
      <w:r>
        <w:rPr>
          <w:rFonts w:ascii="Amiri" w:hAnsi="Amiri" w:eastAsia="Amiri" w:cs="Amiri"/>
          <w:lang w:bidi="ar-SA"/>
          <w:color w:val="111111"/>
          <w:sz w:val="28"/>
          <w:szCs w:val="28"/>
          <w:rtl/>
        </w:rPr>
        <w:t xml:space="preserve">زبيدي ، عبدالرحمن بن علي- ابن ديبع ،</w:t>
      </w:r>
    </w:p>
    <w:p>
      <w:pPr>
        <w:pStyle w:val="BookText"/>
      </w:pPr>
      <w:r>
        <w:rPr>
          <w:rFonts w:ascii="Amiri" w:hAnsi="Amiri" w:eastAsia="Amiri" w:cs="Amiri"/>
          <w:lang w:bidi="ar-SA"/>
          <w:color w:val="111111"/>
          <w:sz w:val="28"/>
          <w:szCs w:val="28"/>
          <w:rtl/>
        </w:rPr>
        <w:t xml:space="preserve">عبدالرحمن بن علي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2" w:name="pg7742_70458"/>
    <w:bookmarkEnd w:id="532"/>
    <w:p>
      <w:pPr>
        <w:pStyle w:val="BookText"/>
      </w:pPr>
      <w:r>
        <w:rPr>
          <w:rFonts w:ascii="Amiri" w:hAnsi="Amiri" w:eastAsia="Amiri" w:cs="Amiri"/>
          <w:lang w:bidi="ar-SA"/>
          <w:color w:val="111111"/>
          <w:sz w:val="28"/>
          <w:szCs w:val="28"/>
          <w:rtl/>
        </w:rPr>
        <w:t xml:space="preserve">زبيدي ، علي بن حسن- ابن وهاس ، علي</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زبيدي ، عمر بن محمّد -فتي ، عمر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زبيدي ، محب الدین محمّد -مرتضى</w:t>
      </w:r>
    </w:p>
    <w:p>
      <w:pPr>
        <w:pStyle w:val="BookText"/>
      </w:pPr>
      <w:r>
        <w:rPr>
          <w:rFonts w:ascii="Amiri" w:hAnsi="Amiri" w:eastAsia="Amiri" w:cs="Amiri"/>
          <w:lang w:bidi="ar-SA"/>
          <w:color w:val="111111"/>
          <w:sz w:val="28"/>
          <w:szCs w:val="28"/>
          <w:rtl/>
        </w:rPr>
        <w:t xml:space="preserve">زبيدي ، محمّد بن محمّد</w:t>
      </w:r>
    </w:p>
    <w:p>
      <w:pPr>
        <w:pStyle w:val="Heading2"/>
      </w:pPr>
      <w:bookmarkStart w:id="4625" w:name="_Toc3727"/>
      <w:r>
        <w:t>زبيدي ، محمّد بشير بن مصطفى</w:t>
      </w:r>
      <w:bookmarkEnd w:id="4625"/>
    </w:p>
    <w:p>
      <w:pPr>
        <w:pStyle w:val="BookText"/>
      </w:pPr>
      <w:r>
        <w:rPr>
          <w:rFonts w:ascii="Amiri" w:hAnsi="Amiri" w:eastAsia="Amiri" w:cs="Amiri"/>
          <w:lang w:bidi="ar-SA"/>
          <w:color w:val="111111"/>
          <w:sz w:val="28"/>
          <w:szCs w:val="28"/>
          <w:rtl/>
        </w:rPr>
        <w:t xml:space="preserve">الأدعية، ج 1، ص 607.</w:t>
      </w:r>
    </w:p>
    <w:p>
      <w:pPr>
        <w:pStyle w:val="Heading2"/>
      </w:pPr>
      <w:bookmarkStart w:id="4626" w:name="_Toc3728"/>
      <w:r>
        <w:t>زبيدي، محمّد بن حسن، 316 - 379 ه-</w:t>
      </w:r>
      <w:bookmarkEnd w:id="4626"/>
    </w:p>
    <w:p>
      <w:pPr>
        <w:pStyle w:val="BookText"/>
      </w:pPr>
      <w:r>
        <w:rPr>
          <w:rFonts w:ascii="Amiri" w:hAnsi="Amiri" w:eastAsia="Amiri" w:cs="Amiri"/>
          <w:lang w:bidi="ar-SA"/>
          <w:color w:val="111111"/>
          <w:sz w:val="28"/>
          <w:szCs w:val="28"/>
          <w:rtl/>
        </w:rPr>
        <w:t xml:space="preserve">العين (مختصر) = كتاب العين</w:t>
      </w:r>
    </w:p>
    <w:p>
      <w:pPr>
        <w:pStyle w:val="BookText"/>
      </w:pPr>
      <w:r>
        <w:rPr>
          <w:rFonts w:ascii="IRNazanin" w:hAnsi="IRNazanin" w:eastAsia="IRNazanin" w:cs="IRNazanin"/>
          <w:lang w:bidi="fa-IR"/>
          <w:color w:val="111111"/>
          <w:sz w:val="28"/>
          <w:szCs w:val="28"/>
          <w:rtl/>
        </w:rPr>
        <w:t xml:space="preserve">(مختصر)، ج11، ص 374.</w:t>
      </w:r>
    </w:p>
    <w:p>
      <w:pPr>
        <w:pStyle w:val="BookText"/>
      </w:pPr>
      <w:r>
        <w:rPr>
          <w:rFonts w:ascii="IRNazanin" w:hAnsi="IRNazanin" w:eastAsia="IRNazanin" w:cs="IRNazanin"/>
          <w:lang w:bidi="fa-IR"/>
          <w:color w:val="111111"/>
          <w:sz w:val="28"/>
          <w:szCs w:val="28"/>
          <w:rtl/>
        </w:rPr>
        <w:t xml:space="preserve">ص 42 .</w:t>
      </w:r>
    </w:p>
    <w:p>
      <w:pPr>
        <w:pStyle w:val="BookText"/>
      </w:pPr>
      <w:r>
        <w:rPr>
          <w:rFonts w:ascii="Amiri" w:hAnsi="Amiri" w:eastAsia="Amiri" w:cs="Amiri"/>
          <w:lang w:bidi="ar-SA"/>
          <w:color w:val="111111"/>
          <w:sz w:val="28"/>
          <w:szCs w:val="28"/>
          <w:rtl/>
        </w:rPr>
        <w:t xml:space="preserve">زبيدي ، محمّد بن محمّد -مرتضى زبيدي</w:t>
      </w:r>
    </w:p>
    <w:p>
      <w:pPr>
        <w:pStyle w:val="BookText"/>
      </w:pPr>
      <w:r>
        <w:rPr>
          <w:rFonts w:ascii="Amiri" w:hAnsi="Amiri" w:eastAsia="Amiri" w:cs="Amiri"/>
          <w:lang w:bidi="ar-SA"/>
          <w:color w:val="111111"/>
          <w:sz w:val="28"/>
          <w:szCs w:val="28"/>
          <w:rtl/>
        </w:rPr>
        <w:t xml:space="preserve">، محمّد بن محمّد</w:t>
      </w:r>
    </w:p>
    <w:p>
      <w:pPr>
        <w:pStyle w:val="BookText"/>
      </w:pPr>
      <w:r>
        <w:rPr>
          <w:rFonts w:ascii="Amiri" w:hAnsi="Amiri" w:eastAsia="Amiri" w:cs="Amiri"/>
          <w:lang w:bidi="ar-SA"/>
          <w:color w:val="111111"/>
          <w:sz w:val="28"/>
          <w:szCs w:val="28"/>
          <w:rtl/>
        </w:rPr>
        <w:t xml:space="preserve">زبيدي ، مرتضى -مرتضى زبيدي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زبير بن احمد ثقفي- ثقفي ، زبير بن</w:t>
      </w:r>
    </w:p>
    <w:p>
      <w:pPr>
        <w:pStyle w:val="BookText"/>
      </w:pPr>
      <w:r>
        <w:rPr>
          <w:rFonts w:ascii="Amiri" w:hAnsi="Amiri" w:eastAsia="Amiri" w:cs="Amiri"/>
          <w:lang w:bidi="ar-SA"/>
          <w:color w:val="111111"/>
          <w:sz w:val="28"/>
          <w:szCs w:val="28"/>
          <w:rtl/>
        </w:rPr>
        <w:t xml:space="preserve">زبير بن بكار زبيري قرشي زبيري ، زبير بن</w:t>
      </w:r>
    </w:p>
    <w:p>
      <w:pPr>
        <w:pStyle w:val="BookText"/>
      </w:pPr>
      <w:r>
        <w:rPr>
          <w:rFonts w:ascii="Amiri" w:hAnsi="Amiri" w:eastAsia="Amiri" w:cs="Amiri"/>
          <w:lang w:bidi="ar-SA"/>
          <w:color w:val="111111"/>
          <w:sz w:val="28"/>
          <w:szCs w:val="28"/>
          <w:rtl/>
        </w:rPr>
        <w:t xml:space="preserve">زجاج ، ابراهيم بن سري 241 - 311 ه-</w:t>
      </w:r>
    </w:p>
    <w:p>
      <w:pPr>
        <w:pStyle w:val="BookText"/>
      </w:pPr>
      <w:r>
        <w:rPr>
          <w:rFonts w:ascii="IRNazanin" w:hAnsi="IRNazanin" w:eastAsia="IRNazanin" w:cs="IRNazanin"/>
          <w:lang w:bidi="fa-IR"/>
          <w:color w:val="111111"/>
          <w:sz w:val="28"/>
          <w:szCs w:val="28"/>
          <w:rtl/>
        </w:rPr>
        <w:t xml:space="preserve">المثلث، ج 13، ص 769.</w:t>
      </w:r>
    </w:p>
    <w:p>
      <w:pPr>
        <w:pStyle w:val="Heading2"/>
      </w:pPr>
      <w:bookmarkStart w:id="4627" w:name="_Toc3729"/>
      <w:r>
        <w:t>زبير ، عبدالله بن عبدالحي</w:t>
      </w:r>
      <w:bookmarkEnd w:id="4627"/>
    </w:p>
    <w:p>
      <w:pPr>
        <w:pStyle w:val="BookText"/>
      </w:pPr>
      <w:r>
        <w:rPr>
          <w:rFonts w:ascii="Amiri" w:hAnsi="Amiri" w:eastAsia="Amiri" w:cs="Amiri"/>
          <w:lang w:bidi="ar-SA"/>
          <w:color w:val="111111"/>
          <w:sz w:val="28"/>
          <w:szCs w:val="28"/>
          <w:rtl/>
        </w:rPr>
        <w:t xml:space="preserve">مفسدة الحال بترك دعاوي الاستبدال</w:t>
      </w:r>
    </w:p>
    <w:p>
      <w:pPr>
        <w:pStyle w:val="BookText"/>
      </w:pPr>
      <w:r>
        <w:rPr>
          <w:rFonts w:ascii="IRNazanin" w:hAnsi="IRNazanin" w:eastAsia="IRNazanin" w:cs="IRNazanin"/>
          <w:lang w:bidi="fa-IR"/>
          <w:color w:val="111111"/>
          <w:sz w:val="28"/>
          <w:szCs w:val="28"/>
          <w:rtl/>
        </w:rPr>
        <w:t xml:space="preserve">ج 15 ، ص 251 .</w:t>
      </w:r>
    </w:p>
    <w:p>
      <w:pPr>
        <w:pStyle w:val="BookText"/>
      </w:pPr>
      <w:r>
        <w:rPr>
          <w:rFonts w:ascii="Amiri" w:hAnsi="Amiri" w:eastAsia="Amiri" w:cs="Amiri"/>
          <w:lang w:bidi="ar-SA"/>
          <w:color w:val="111111"/>
          <w:sz w:val="28"/>
          <w:szCs w:val="28"/>
          <w:rtl/>
        </w:rPr>
        <w:t xml:space="preserve">زبيري ، ابوالحسين احمد بن علي- ابن</w:t>
      </w:r>
    </w:p>
    <w:p>
      <w:pPr>
        <w:pStyle w:val="BookText"/>
      </w:pPr>
      <w:r>
        <w:rPr>
          <w:rFonts w:ascii="Amiri" w:hAnsi="Amiri" w:eastAsia="Amiri" w:cs="Amiri"/>
          <w:lang w:bidi="ar-SA"/>
          <w:color w:val="111111"/>
          <w:sz w:val="28"/>
          <w:szCs w:val="28"/>
          <w:rtl/>
        </w:rPr>
        <w:t xml:space="preserve">زبير ، احمد بن علي</w:t>
      </w:r>
    </w:p>
    <w:p>
      <w:pPr>
        <w:pStyle w:val="BookText"/>
      </w:pPr>
      <w:r>
        <w:rPr>
          <w:rFonts w:ascii="Amiri" w:hAnsi="Amiri" w:eastAsia="Amiri" w:cs="Amiri"/>
          <w:lang w:bidi="ar-SA"/>
          <w:color w:val="111111"/>
          <w:sz w:val="28"/>
          <w:szCs w:val="28"/>
          <w:rtl/>
        </w:rPr>
        <w:t xml:space="preserve">زبيري ، ابو عبد الله مصعب - زبيري ،</w:t>
      </w:r>
    </w:p>
    <w:p>
      <w:pPr>
        <w:pStyle w:val="BookText"/>
      </w:pPr>
      <w:r>
        <w:rPr>
          <w:rFonts w:ascii="IRNazanin" w:hAnsi="IRNazanin" w:eastAsia="IRNazanin" w:cs="IRNazanin"/>
          <w:lang w:bidi="fa-IR"/>
          <w:color w:val="111111"/>
          <w:sz w:val="28"/>
          <w:szCs w:val="28"/>
          <w:rtl/>
        </w:rPr>
        <w:t xml:space="preserve">مصعب بن عبدالله</w:t>
      </w:r>
    </w:p>
    <w:p>
      <w:pPr>
        <w:pStyle w:val="Heading2"/>
      </w:pPr>
      <w:bookmarkStart w:id="4628" w:name="_Toc3730"/>
      <w:r>
        <w:t>زبيري ، زبير بن بكار 172 - 256 ه-</w:t>
      </w:r>
      <w:bookmarkEnd w:id="4628"/>
    </w:p>
    <w:p>
      <w:pPr>
        <w:pStyle w:val="BookText"/>
      </w:pPr>
      <w:r>
        <w:rPr>
          <w:rFonts w:ascii="Amiri" w:hAnsi="Amiri" w:eastAsia="Amiri" w:cs="Amiri"/>
          <w:lang w:bidi="ar-SA"/>
          <w:color w:val="111111"/>
          <w:sz w:val="28"/>
          <w:szCs w:val="28"/>
          <w:rtl/>
        </w:rPr>
        <w:t xml:space="preserve">الموفقيات = اخبار الموفقيات، ج 16</w:t>
      </w:r>
    </w:p>
    <w:p>
      <w:pPr>
        <w:pStyle w:val="BookText"/>
      </w:pPr>
      <w:r>
        <w:rPr>
          <w:rFonts w:ascii="Amiri" w:hAnsi="Amiri" w:eastAsia="Amiri" w:cs="Amiri"/>
          <w:lang w:bidi="ar-SA"/>
          <w:color w:val="111111"/>
          <w:sz w:val="28"/>
          <w:szCs w:val="28"/>
          <w:rtl/>
        </w:rPr>
        <w:t xml:space="preserve">زبيري كلاعي ، محمّد بن شريف -كلاني ،</w:t>
      </w:r>
    </w:p>
    <w:p>
      <w:pPr>
        <w:pStyle w:val="BookText"/>
      </w:pPr>
      <w:r>
        <w:rPr>
          <w:rFonts w:ascii="Amiri" w:hAnsi="Amiri" w:eastAsia="Amiri" w:cs="Amiri"/>
          <w:lang w:bidi="ar-SA"/>
          <w:color w:val="111111"/>
          <w:sz w:val="28"/>
          <w:szCs w:val="28"/>
          <w:rtl/>
        </w:rPr>
        <w:t xml:space="preserve">محمّد بن شرف</w:t>
      </w:r>
    </w:p>
    <w:p>
      <w:pPr>
        <w:pStyle w:val="Heading2"/>
      </w:pPr>
      <w:bookmarkStart w:id="4629" w:name="_Toc3731"/>
      <w:r>
        <w:t>زبيري ، مصعب بن عبدالله 156 - 236</w:t>
      </w:r>
      <w:bookmarkEnd w:id="4629"/>
    </w:p>
    <w:p>
      <w:pPr>
        <w:pStyle w:val="BookText"/>
      </w:pPr>
      <w:r>
        <w:rPr>
          <w:rFonts w:ascii="Amiri" w:hAnsi="Amiri" w:eastAsia="Amiri" w:cs="Amiri"/>
          <w:lang w:bidi="ar-SA"/>
          <w:color w:val="111111"/>
          <w:sz w:val="28"/>
          <w:szCs w:val="28"/>
          <w:rtl/>
        </w:rPr>
        <w:t xml:space="preserve">الجمهرة في نسب قريش، ج 5، ص 452.</w:t>
      </w:r>
    </w:p>
    <w:p>
      <w:pPr>
        <w:pStyle w:val="Heading2"/>
      </w:pPr>
      <w:bookmarkStart w:id="4630" w:name="_Toc3732"/>
      <w:r>
        <w:t>زجاج ، ابراهیم</w:t>
      </w:r>
      <w:bookmarkEnd w:id="4630"/>
    </w:p>
    <w:p>
      <w:pPr>
        <w:pStyle w:val="BookText"/>
      </w:pPr>
      <w:r>
        <w:rPr>
          <w:rFonts w:ascii="IRNazanin" w:hAnsi="IRNazanin" w:eastAsia="IRNazanin" w:cs="IRNazanin"/>
          <w:lang w:bidi="fa-IR"/>
          <w:color w:val="111111"/>
          <w:sz w:val="28"/>
          <w:szCs w:val="28"/>
          <w:rtl/>
        </w:rPr>
        <w:t xml:space="preserve">اسماء و اخطاء الانسان و صفاته، ج2،</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Amiri" w:hAnsi="Amiri" w:eastAsia="Amiri" w:cs="Amiri"/>
          <w:lang w:bidi="ar-SA"/>
          <w:color w:val="111111"/>
          <w:sz w:val="28"/>
          <w:szCs w:val="28"/>
          <w:rtl/>
        </w:rPr>
        <w:t xml:space="preserve">زجاج ، ابراهيم بنسهل -زجاج ،</w:t>
      </w:r>
    </w:p>
    <w:p>
      <w:pPr>
        <w:pStyle w:val="BookText"/>
      </w:pPr>
      <w:r>
        <w:rPr>
          <w:rFonts w:ascii="Amiri" w:hAnsi="Amiri" w:eastAsia="Amiri" w:cs="Amiri"/>
          <w:lang w:bidi="ar-SA"/>
          <w:color w:val="111111"/>
          <w:sz w:val="28"/>
          <w:szCs w:val="28"/>
          <w:rtl/>
        </w:rPr>
        <w:t xml:space="preserve">ابراهيم بن سري</w:t>
      </w:r>
    </w:p>
    <w:p>
      <w:pPr>
        <w:pStyle w:val="BookText"/>
      </w:pPr>
      <w:r>
        <w:rPr>
          <w:rFonts w:ascii="Amiri" w:hAnsi="Amiri" w:eastAsia="Amiri" w:cs="Amiri"/>
          <w:lang w:bidi="ar-SA"/>
          <w:color w:val="111111"/>
          <w:sz w:val="28"/>
          <w:szCs w:val="28"/>
          <w:rtl/>
        </w:rPr>
        <w:t xml:space="preserve">زجاج ، ابراهيم بن سري</w:t>
      </w:r>
    </w:p>
    <w:p>
      <w:pPr>
        <w:pStyle w:val="BookText"/>
      </w:pPr>
      <w:r>
        <w:rPr>
          <w:rFonts w:ascii="Amiri" w:hAnsi="Amiri" w:eastAsia="Amiri" w:cs="Amiri"/>
          <w:lang w:bidi="ar-SA"/>
          <w:color w:val="111111"/>
          <w:sz w:val="28"/>
          <w:szCs w:val="28"/>
          <w:rtl/>
        </w:rPr>
        <w:t xml:space="preserve">زجاج ، ابواسحق ابراهيم بن السري - زجاج ابراهيم بن سري</w:t>
      </w:r>
    </w:p>
    <w:p>
      <w:pPr>
        <w:pStyle w:val="Heading2"/>
      </w:pPr>
      <w:bookmarkStart w:id="4631" w:name="_Toc3733"/>
      <w:r>
        <w:t>زجاج انباري ، حسين بن عبدالله</w:t>
      </w:r>
      <w:bookmarkEnd w:id="4631"/>
    </w:p>
    <w:p>
      <w:pPr>
        <w:pStyle w:val="BookText"/>
      </w:pPr>
      <w:r>
        <w:rPr>
          <w:rFonts w:ascii="Amiri" w:hAnsi="Amiri" w:eastAsia="Amiri" w:cs="Amiri"/>
          <w:lang w:bidi="ar-SA"/>
          <w:color w:val="111111"/>
          <w:sz w:val="28"/>
          <w:szCs w:val="28"/>
          <w:rtl/>
        </w:rPr>
        <w:t xml:space="preserve">الحاوي من مسائل الفتاوى، ج 6،</w:t>
      </w:r>
    </w:p>
    <w:p>
      <w:pPr>
        <w:pStyle w:val="BookText"/>
      </w:pPr>
      <w:r>
        <w:rPr>
          <w:rFonts w:ascii="IRNazanin" w:hAnsi="IRNazanin" w:eastAsia="IRNazanin" w:cs="IRNazanin"/>
          <w:lang w:bidi="fa-IR"/>
          <w:color w:val="111111"/>
          <w:sz w:val="28"/>
          <w:szCs w:val="28"/>
          <w:rtl/>
        </w:rPr>
        <w:t xml:space="preserve">ص 467 .</w:t>
      </w:r>
    </w:p>
    <w:p>
      <w:pPr>
        <w:pStyle w:val="BookText"/>
      </w:pPr>
      <w:r>
        <w:rPr>
          <w:rFonts w:ascii="IRNazanin" w:hAnsi="IRNazanin" w:eastAsia="IRNazanin" w:cs="IRNazanin"/>
          <w:lang w:bidi="fa-IR"/>
          <w:color w:val="111111"/>
          <w:sz w:val="28"/>
          <w:szCs w:val="28"/>
          <w:rtl/>
        </w:rPr>
        <w:t xml:space="preserve">زجاج ، جنید بن محمّد- جنيد بغدادي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3" w:name="pg7742_70460"/>
    <w:bookmarkEnd w:id="533"/>
    <w:p>
      <w:pPr>
        <w:pStyle w:val="Heading2"/>
      </w:pPr>
      <w:bookmarkStart w:id="4632" w:name="_Toc3734"/>
      <w:r>
        <w:t>زجاجي ، عبدالرحمن بن اسحاق - 337 ؟ ه-</w:t>
      </w:r>
      <w:bookmarkEnd w:id="4632"/>
    </w:p>
    <w:p>
      <w:pPr>
        <w:pStyle w:val="BookText"/>
      </w:pPr>
      <w:r>
        <w:rPr>
          <w:rFonts w:ascii="Amiri" w:hAnsi="Amiri" w:eastAsia="Amiri" w:cs="Amiri"/>
          <w:lang w:bidi="ar-SA"/>
          <w:color w:val="111111"/>
          <w:sz w:val="28"/>
          <w:szCs w:val="28"/>
          <w:rtl/>
        </w:rPr>
        <w:t xml:space="preserve">الامالي في النحو = الاخبار والفوايد</w:t>
      </w:r>
    </w:p>
    <w:p>
      <w:pPr>
        <w:pStyle w:val="BookText"/>
      </w:pPr>
      <w:r>
        <w:rPr>
          <w:rFonts w:ascii="IRNazanin" w:hAnsi="IRNazanin" w:eastAsia="IRNazanin" w:cs="IRNazanin"/>
          <w:lang w:bidi="fa-IR"/>
          <w:color w:val="111111"/>
          <w:sz w:val="28"/>
          <w:szCs w:val="28"/>
          <w:rtl/>
        </w:rPr>
        <w:t xml:space="preserve">ج 2، ص 727</w:t>
      </w:r>
    </w:p>
    <w:p>
      <w:pPr>
        <w:pStyle w:val="Heading2"/>
      </w:pPr>
      <w:bookmarkStart w:id="4633" w:name="_Toc3735"/>
      <w:r>
        <w:t>زجاجي مدني ، احمد بن محمّد</w:t>
      </w:r>
      <w:bookmarkEnd w:id="4633"/>
    </w:p>
    <w:p>
      <w:pPr>
        <w:pStyle w:val="BookText"/>
      </w:pPr>
      <w:r>
        <w:rPr>
          <w:rFonts w:ascii="Amiri" w:hAnsi="Amiri" w:eastAsia="Amiri" w:cs="Amiri"/>
          <w:lang w:bidi="ar-SA"/>
          <w:color w:val="111111"/>
          <w:sz w:val="28"/>
          <w:szCs w:val="28"/>
          <w:rtl/>
        </w:rPr>
        <w:t xml:space="preserve">منية أهل الورع في عدد من تصح بهم الجمع، ج 15 ، ص 820.</w:t>
      </w:r>
    </w:p>
    <w:p>
      <w:pPr>
        <w:pStyle w:val="Heading2"/>
      </w:pPr>
      <w:bookmarkStart w:id="4634" w:name="_Toc3736"/>
      <w:r>
        <w:t>زجاجي ، يوسف بن عبدالله - 415 ه-</w:t>
      </w:r>
      <w:bookmarkEnd w:id="4634"/>
    </w:p>
    <w:p>
      <w:pPr>
        <w:pStyle w:val="BookText"/>
      </w:pPr>
      <w:r>
        <w:rPr>
          <w:rFonts w:ascii="Amiri" w:hAnsi="Amiri" w:eastAsia="Amiri" w:cs="Amiri"/>
          <w:lang w:bidi="ar-SA"/>
          <w:color w:val="111111"/>
          <w:sz w:val="28"/>
          <w:szCs w:val="28"/>
          <w:rtl/>
        </w:rPr>
        <w:t xml:space="preserve">عمدة الكتاب و عدة ذوي الالباب</w:t>
      </w:r>
    </w:p>
    <w:p>
      <w:pPr>
        <w:pStyle w:val="BookText"/>
      </w:pPr>
      <w:r>
        <w:rPr>
          <w:rFonts w:ascii="IRNazanin" w:hAnsi="IRNazanin" w:eastAsia="IRNazanin" w:cs="IRNazanin"/>
          <w:lang w:bidi="fa-IR"/>
          <w:color w:val="111111"/>
          <w:sz w:val="28"/>
          <w:szCs w:val="28"/>
          <w:rtl/>
        </w:rPr>
        <w:t xml:space="preserve">ج 11، ص 306.</w:t>
      </w:r>
    </w:p>
    <w:p>
      <w:pPr>
        <w:pStyle w:val="Heading2"/>
      </w:pPr>
      <w:bookmarkStart w:id="4635" w:name="_Toc3737"/>
      <w:r>
        <w:t>؟ زراد ، زيد قرن 2 ه-</w:t>
      </w:r>
      <w:bookmarkEnd w:id="4635"/>
    </w:p>
    <w:p>
      <w:pPr>
        <w:pStyle w:val="BookText"/>
      </w:pPr>
      <w:r>
        <w:rPr>
          <w:rFonts w:ascii="Amiri" w:hAnsi="Amiri" w:eastAsia="Amiri" w:cs="Amiri"/>
          <w:lang w:bidi="ar-SA"/>
          <w:color w:val="111111"/>
          <w:sz w:val="28"/>
          <w:szCs w:val="28"/>
          <w:rtl/>
        </w:rPr>
        <w:t xml:space="preserve">اصل زيد الزراد = كتاب زيد الزراد</w:t>
      </w:r>
    </w:p>
    <w:p>
      <w:pPr>
        <w:pStyle w:val="BookText"/>
      </w:pPr>
      <w:r>
        <w:rPr>
          <w:rFonts w:ascii="IRNazanin" w:hAnsi="IRNazanin" w:eastAsia="IRNazanin" w:cs="IRNazanin"/>
          <w:lang w:bidi="fa-IR"/>
          <w:color w:val="111111"/>
          <w:sz w:val="28"/>
          <w:szCs w:val="28"/>
          <w:rtl/>
        </w:rPr>
        <w:t xml:space="preserve">ج 2، ص 386 .</w:t>
      </w:r>
    </w:p>
    <w:p>
      <w:pPr>
        <w:pStyle w:val="Heading2"/>
      </w:pPr>
      <w:bookmarkStart w:id="4636" w:name="_Toc3738"/>
      <w:r>
        <w:t>زراره ، عبدربه بن اعين - 150ه-</w:t>
      </w:r>
      <w:bookmarkEnd w:id="4636"/>
    </w:p>
    <w:p>
      <w:pPr>
        <w:pStyle w:val="BookText"/>
      </w:pPr>
      <w:r>
        <w:rPr>
          <w:rFonts w:ascii="Amiri" w:hAnsi="Amiri" w:eastAsia="Amiri" w:cs="Amiri"/>
          <w:lang w:bidi="ar-SA"/>
          <w:color w:val="111111"/>
          <w:sz w:val="28"/>
          <w:szCs w:val="28"/>
          <w:rtl/>
        </w:rPr>
        <w:t xml:space="preserve">مرثية معن بن زائدة، ج 14 ، ص393.</w:t>
      </w:r>
    </w:p>
    <w:p>
      <w:pPr>
        <w:pStyle w:val="Heading2"/>
      </w:pPr>
      <w:bookmarkStart w:id="4637" w:name="_Toc3739"/>
      <w:r>
        <w:t>زراري، احمد بن محمّد، 285 - 368 ؟ ه-</w:t>
      </w:r>
      <w:bookmarkEnd w:id="4637"/>
    </w:p>
    <w:p>
      <w:pPr>
        <w:pStyle w:val="BookText"/>
      </w:pPr>
      <w:r>
        <w:rPr>
          <w:rFonts w:ascii="Amiri" w:hAnsi="Amiri" w:eastAsia="Amiri" w:cs="Amiri"/>
          <w:lang w:bidi="ar-SA"/>
          <w:color w:val="111111"/>
          <w:sz w:val="28"/>
          <w:szCs w:val="28"/>
          <w:rtl/>
        </w:rPr>
        <w:t xml:space="preserve">آل اعين = رسالة ابي غالب الزراري إلى ابن ابنه = رسالة في نسب آل اعين ج 1، ص 68 .</w:t>
      </w:r>
    </w:p>
    <w:p>
      <w:pPr>
        <w:pStyle w:val="BookText"/>
      </w:pPr>
      <w:r>
        <w:rPr>
          <w:rFonts w:ascii="Amiri" w:hAnsi="Amiri" w:eastAsia="Amiri" w:cs="Amiri"/>
          <w:lang w:bidi="ar-SA"/>
          <w:color w:val="111111"/>
          <w:sz w:val="28"/>
          <w:szCs w:val="28"/>
          <w:rtl/>
        </w:rPr>
        <w:t xml:space="preserve">زربي ، عدنان بن نصر عين- زربي ، عدنان</w:t>
      </w:r>
    </w:p>
    <w:p>
      <w:pPr>
        <w:pStyle w:val="BookText"/>
      </w:pPr>
      <w:r>
        <w:rPr>
          <w:rFonts w:ascii="IRNazanin" w:hAnsi="IRNazanin" w:eastAsia="IRNazanin" w:cs="IRNazanin"/>
          <w:lang w:bidi="fa-IR"/>
          <w:color w:val="111111"/>
          <w:sz w:val="28"/>
          <w:szCs w:val="28"/>
          <w:rtl/>
        </w:rPr>
        <w:t xml:space="preserve">بن نصر</w:t>
      </w:r>
    </w:p>
    <w:p>
      <w:pPr>
        <w:pStyle w:val="BookText"/>
      </w:pPr>
      <w:r>
        <w:rPr>
          <w:rFonts w:ascii="Amiri" w:hAnsi="Amiri" w:eastAsia="Amiri" w:cs="Amiri"/>
          <w:lang w:bidi="ar-SA"/>
          <w:color w:val="111111"/>
          <w:sz w:val="28"/>
          <w:szCs w:val="28"/>
          <w:rtl/>
        </w:rPr>
        <w:t xml:space="preserve">زربيلي ، جبريل بن حسن- كنجاني ، جبريل بن حسن</w:t>
      </w:r>
    </w:p>
    <w:p>
      <w:pPr>
        <w:pStyle w:val="BookText"/>
      </w:pPr>
      <w:r>
        <w:rPr>
          <w:rFonts w:ascii="Amiri" w:hAnsi="Amiri" w:eastAsia="Amiri" w:cs="Amiri"/>
          <w:lang w:bidi="ar-SA"/>
          <w:color w:val="111111"/>
          <w:sz w:val="28"/>
          <w:szCs w:val="28"/>
          <w:rtl/>
        </w:rPr>
        <w:t xml:space="preserve">زرديني ، حسن بن موسى -كردي باني ،</w:t>
      </w:r>
    </w:p>
    <w:p>
      <w:pPr>
        <w:pStyle w:val="BookText"/>
      </w:pPr>
      <w:r>
        <w:rPr>
          <w:rFonts w:ascii="IRNazanin" w:hAnsi="IRNazanin" w:eastAsia="IRNazanin" w:cs="IRNazanin"/>
          <w:lang w:bidi="fa-IR"/>
          <w:color w:val="111111"/>
          <w:sz w:val="28"/>
          <w:szCs w:val="28"/>
          <w:rtl/>
        </w:rPr>
        <w:t xml:space="preserve">حسن بن موسى</w:t>
      </w:r>
    </w:p>
    <w:p>
      <w:pPr>
        <w:pStyle w:val="BookText"/>
      </w:pPr>
      <w:r>
        <w:rPr>
          <w:rFonts w:ascii="Amiri" w:hAnsi="Amiri" w:eastAsia="Amiri" w:cs="Amiri"/>
          <w:lang w:bidi="ar-SA"/>
          <w:color w:val="111111"/>
          <w:sz w:val="28"/>
          <w:szCs w:val="28"/>
          <w:rtl/>
        </w:rPr>
        <w:t xml:space="preserve">زرعه ، محمّد بن عمر -زرعه ، محمّد تقي</w:t>
      </w:r>
    </w:p>
    <w:p>
      <w:pPr>
        <w:pStyle w:val="BookText"/>
      </w:pPr>
      <w:r>
        <w:rPr>
          <w:rFonts w:ascii="Amiri" w:hAnsi="Amiri" w:eastAsia="Amiri" w:cs="Amiri"/>
          <w:lang w:bidi="ar-SA"/>
          <w:color w:val="111111"/>
          <w:sz w:val="28"/>
          <w:szCs w:val="28"/>
          <w:rtl/>
        </w:rPr>
        <w:t xml:space="preserve">الدين بن عمر</w:t>
      </w:r>
    </w:p>
    <w:p>
      <w:pPr>
        <w:pStyle w:val="Heading2"/>
      </w:pPr>
      <w:bookmarkStart w:id="4638" w:name="_Toc3740"/>
      <w:r>
        <w:t>زرعه ، محمّد تقي الدين بن عمر</w:t>
      </w:r>
      <w:bookmarkEnd w:id="4638"/>
    </w:p>
    <w:p>
      <w:pPr>
        <w:pStyle w:val="BookText"/>
      </w:pPr>
      <w:r>
        <w:rPr>
          <w:rFonts w:ascii="IRNazanin" w:hAnsi="IRNazanin" w:eastAsia="IRNazanin" w:cs="IRNazanin"/>
          <w:lang w:bidi="fa-IR"/>
          <w:color w:val="111111"/>
          <w:sz w:val="28"/>
          <w:szCs w:val="28"/>
          <w:rtl/>
        </w:rPr>
        <w:t xml:space="preserve">1 .درة العقد الثمين في بعض مناقب میمونه ام المؤمنين، ج 7، ص 241.</w:t>
      </w:r>
    </w:p>
    <w:p>
      <w:pPr>
        <w:pStyle w:val="BookText"/>
      </w:pPr>
      <w:r>
        <w:rPr>
          <w:rFonts w:ascii="Amiri" w:hAnsi="Amiri" w:eastAsia="Amiri" w:cs="Amiri"/>
          <w:lang w:bidi="ar-SA"/>
          <w:color w:val="111111"/>
          <w:sz w:val="28"/>
          <w:szCs w:val="28"/>
          <w:rtl/>
        </w:rPr>
        <w:t xml:space="preserve">2 .درة عقدة جيد الزمان في مناقب</w:t>
      </w:r>
    </w:p>
    <w:p>
      <w:pPr>
        <w:pStyle w:val="BookText"/>
      </w:pPr>
      <w:r>
        <w:rPr>
          <w:rFonts w:ascii="IRNazanin" w:hAnsi="IRNazanin" w:eastAsia="IRNazanin" w:cs="IRNazanin"/>
          <w:lang w:bidi="fa-IR"/>
          <w:color w:val="111111"/>
          <w:sz w:val="28"/>
          <w:szCs w:val="28"/>
          <w:rtl/>
        </w:rPr>
        <w:t xml:space="preserve">السمان، ج7، ص 241.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المنهل الروي الكاملي في بعض مناقب العاذلي، ج 15، ص 814.</w:t>
      </w:r>
    </w:p>
    <w:p>
      <w:pPr>
        <w:pStyle w:val="BookText"/>
      </w:pPr>
      <w:r>
        <w:rPr>
          <w:rFonts w:ascii="Amiri" w:hAnsi="Amiri" w:eastAsia="Amiri" w:cs="Amiri"/>
          <w:lang w:bidi="ar-SA"/>
          <w:color w:val="111111"/>
          <w:sz w:val="28"/>
          <w:szCs w:val="28"/>
          <w:rtl/>
        </w:rPr>
        <w:t xml:space="preserve">زرعه ، محمّد تقي بن عمر -زرعه ، محمّد</w:t>
      </w:r>
    </w:p>
    <w:p>
      <w:pPr>
        <w:pStyle w:val="BookText"/>
      </w:pPr>
      <w:r>
        <w:rPr>
          <w:rFonts w:ascii="Amiri" w:hAnsi="Amiri" w:eastAsia="Amiri" w:cs="Amiri"/>
          <w:lang w:bidi="ar-SA"/>
          <w:color w:val="111111"/>
          <w:sz w:val="28"/>
          <w:szCs w:val="28"/>
          <w:rtl/>
        </w:rPr>
        <w:t xml:space="preserve">تقي الدين بن عمر</w:t>
      </w:r>
    </w:p>
    <w:p>
      <w:pPr>
        <w:pStyle w:val="BookText"/>
      </w:pPr>
      <w:r>
        <w:rPr>
          <w:rFonts w:ascii="Amiri" w:hAnsi="Amiri" w:eastAsia="Amiri" w:cs="Amiri"/>
          <w:lang w:bidi="ar-SA"/>
          <w:color w:val="111111"/>
          <w:sz w:val="28"/>
          <w:szCs w:val="28"/>
          <w:rtl/>
        </w:rPr>
        <w:t xml:space="preserve">زرعي دمشقي- ابن قاضي عجلون ،</w:t>
      </w:r>
    </w:p>
    <w:p>
      <w:pPr>
        <w:pStyle w:val="BookText"/>
      </w:pPr>
      <w:r>
        <w:rPr>
          <w:rFonts w:ascii="IRNazanin" w:hAnsi="IRNazanin" w:eastAsia="IRNazanin" w:cs="IRNazanin"/>
          <w:lang w:bidi="fa-IR"/>
          <w:color w:val="111111"/>
          <w:sz w:val="28"/>
          <w:szCs w:val="28"/>
          <w:rtl/>
        </w:rPr>
        <w:t xml:space="preserve">ابوبکر بن عبدالله</w:t>
      </w:r>
    </w:p>
    <w:p>
      <w:pPr>
        <w:pStyle w:val="BookText"/>
      </w:pPr>
      <w:r>
        <w:rPr>
          <w:rFonts w:ascii="Amiri" w:hAnsi="Amiri" w:eastAsia="Amiri" w:cs="Amiri"/>
          <w:lang w:bidi="ar-SA"/>
          <w:color w:val="111111"/>
          <w:sz w:val="28"/>
          <w:szCs w:val="28"/>
          <w:rtl/>
        </w:rPr>
        <w:t xml:space="preserve">زرعي ، محمّد ابي بكر -ابن قيم جوزيه ،</w:t>
      </w:r>
    </w:p>
    <w:p>
      <w:pPr>
        <w:pStyle w:val="BookText"/>
      </w:pPr>
      <w:r>
        <w:rPr>
          <w:rFonts w:ascii="Amiri" w:hAnsi="Amiri" w:eastAsia="Amiri" w:cs="Amiri"/>
          <w:lang w:bidi="ar-SA"/>
          <w:color w:val="111111"/>
          <w:sz w:val="28"/>
          <w:szCs w:val="28"/>
          <w:rtl/>
        </w:rPr>
        <w:t xml:space="preserve">محمّد بن ابي بكر</w:t>
      </w:r>
    </w:p>
    <w:p>
      <w:pPr>
        <w:pStyle w:val="BookText"/>
      </w:pPr>
      <w:r>
        <w:rPr>
          <w:rFonts w:ascii="Amiri" w:hAnsi="Amiri" w:eastAsia="Amiri" w:cs="Amiri"/>
          <w:lang w:bidi="ar-SA"/>
          <w:color w:val="111111"/>
          <w:sz w:val="28"/>
          <w:szCs w:val="28"/>
          <w:rtl/>
        </w:rPr>
        <w:t xml:space="preserve">زرعي ، محمّد بن عبدالله- ابن قاضي</w:t>
      </w:r>
    </w:p>
    <w:p>
      <w:pPr>
        <w:pStyle w:val="BookText"/>
      </w:pPr>
      <w:r>
        <w:rPr>
          <w:rFonts w:ascii="IRNazanin" w:hAnsi="IRNazanin" w:eastAsia="IRNazanin" w:cs="IRNazanin"/>
          <w:lang w:bidi="fa-IR"/>
          <w:color w:val="111111"/>
          <w:sz w:val="28"/>
          <w:szCs w:val="28"/>
          <w:rtl/>
        </w:rPr>
        <w:t xml:space="preserve">عجلون ، محمّد بن عبدالله</w:t>
      </w:r>
    </w:p>
    <w:p>
      <w:pPr>
        <w:pStyle w:val="Heading2"/>
      </w:pPr>
      <w:bookmarkStart w:id="4639" w:name="_Toc3741"/>
      <w:r>
        <w:t>زرقاني ، احمد بن محمّد، قرن 10 ه-</w:t>
      </w:r>
      <w:bookmarkEnd w:id="4639"/>
    </w:p>
    <w:p>
      <w:pPr>
        <w:pStyle w:val="BookText"/>
      </w:pPr>
      <w:r>
        <w:rPr>
          <w:rFonts w:ascii="Amiri" w:hAnsi="Amiri" w:eastAsia="Amiri" w:cs="Amiri"/>
          <w:lang w:bidi="ar-SA"/>
          <w:color w:val="111111"/>
          <w:sz w:val="28"/>
          <w:szCs w:val="28"/>
          <w:rtl/>
        </w:rPr>
        <w:t xml:space="preserve">حاشية قواعد الاعراب، ج 6، ص 311.</w:t>
      </w:r>
    </w:p>
    <w:p>
      <w:pPr>
        <w:pStyle w:val="Heading2"/>
      </w:pPr>
      <w:bookmarkStart w:id="4640" w:name="_Toc3742"/>
      <w:r>
        <w:t>زرقاني ، عبد المنعم</w:t>
      </w:r>
      <w:bookmarkEnd w:id="4640"/>
    </w:p>
    <w:p>
      <w:pPr>
        <w:pStyle w:val="BookText"/>
      </w:pPr>
      <w:r>
        <w:rPr>
          <w:rFonts w:ascii="Amiri" w:hAnsi="Amiri" w:eastAsia="Amiri" w:cs="Amiri"/>
          <w:lang w:bidi="ar-SA"/>
          <w:color w:val="111111"/>
          <w:sz w:val="28"/>
          <w:szCs w:val="28"/>
          <w:rtl/>
        </w:rPr>
        <w:t xml:space="preserve">مقدمة في النحو، ج15، ص 370.</w:t>
      </w:r>
    </w:p>
    <w:p>
      <w:pPr>
        <w:pStyle w:val="Heading2"/>
      </w:pPr>
      <w:bookmarkStart w:id="4641" w:name="_Toc3743"/>
      <w:r>
        <w:t>زرقاني ، محمد بن عبد الباقي 1055 - 1122 ه-</w:t>
      </w:r>
      <w:bookmarkEnd w:id="4641"/>
    </w:p>
    <w:p>
      <w:pPr>
        <w:pStyle w:val="BookText"/>
      </w:pPr>
      <w:r>
        <w:rPr>
          <w:rFonts w:ascii="Amiri" w:hAnsi="Amiri" w:eastAsia="Amiri" w:cs="Amiri"/>
          <w:lang w:bidi="ar-SA"/>
          <w:color w:val="111111"/>
          <w:sz w:val="28"/>
          <w:szCs w:val="28"/>
          <w:rtl/>
        </w:rPr>
        <w:t xml:space="preserve">1 .انوار كوكب انهج المسالك بشرح</w:t>
      </w:r>
    </w:p>
    <w:p>
      <w:pPr>
        <w:pStyle w:val="BookText"/>
      </w:pPr>
      <w:r>
        <w:rPr>
          <w:rFonts w:ascii="Amiri" w:hAnsi="Amiri" w:eastAsia="Amiri" w:cs="Amiri"/>
          <w:lang w:bidi="ar-SA"/>
          <w:color w:val="111111"/>
          <w:sz w:val="28"/>
          <w:szCs w:val="28"/>
          <w:rtl/>
        </w:rPr>
        <w:t xml:space="preserve">موطا مالك شرح الموطا، ج3،</w:t>
      </w:r>
    </w:p>
    <w:p>
      <w:pPr>
        <w:pStyle w:val="BookText"/>
      </w:pPr>
      <w:r>
        <w:rPr>
          <w:rFonts w:ascii="IRNazanin" w:hAnsi="IRNazanin" w:eastAsia="IRNazanin" w:cs="IRNazanin"/>
          <w:lang w:bidi="fa-IR"/>
          <w:color w:val="111111"/>
          <w:sz w:val="28"/>
          <w:szCs w:val="28"/>
          <w:rtl/>
        </w:rPr>
        <w:t xml:space="preserve">ص 13.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4" w:name="pg7742_70463"/>
    <w:bookmarkEnd w:id="534"/>
    <w:p>
      <w:pPr>
        <w:pStyle w:val="BookText"/>
      </w:pPr>
      <w:r>
        <w:rPr>
          <w:rFonts w:ascii="Amiri" w:hAnsi="Amiri" w:eastAsia="Amiri" w:cs="Amiri"/>
          <w:lang w:bidi="ar-SA"/>
          <w:color w:val="111111"/>
          <w:sz w:val="28"/>
          <w:szCs w:val="28"/>
          <w:rtl/>
        </w:rPr>
        <w:t xml:space="preserve">2 .شرح منظومة البيقوني في مصطلح</w:t>
      </w:r>
    </w:p>
    <w:p>
      <w:pPr>
        <w:pStyle w:val="BookText"/>
      </w:pPr>
      <w:r>
        <w:rPr>
          <w:rFonts w:ascii="Amiri" w:hAnsi="Amiri" w:eastAsia="Amiri" w:cs="Amiri"/>
          <w:lang w:bidi="ar-SA"/>
          <w:color w:val="111111"/>
          <w:sz w:val="28"/>
          <w:szCs w:val="28"/>
          <w:rtl/>
        </w:rPr>
        <w:t xml:space="preserve">الحديث، ج 10، ص 244.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مختصر المقاصد الحسنة في الاحاديث المشتهرة على الالسنة</w:t>
      </w:r>
    </w:p>
    <w:p>
      <w:pPr>
        <w:pStyle w:val="BookText"/>
      </w:pPr>
      <w:r>
        <w:rPr>
          <w:rFonts w:ascii="IRNazanin" w:hAnsi="IRNazanin" w:eastAsia="IRNazanin" w:cs="IRNazanin"/>
          <w:lang w:bidi="fa-IR"/>
          <w:color w:val="111111"/>
          <w:sz w:val="28"/>
          <w:szCs w:val="28"/>
          <w:rtl/>
        </w:rPr>
        <w:t xml:space="preserve">ج 14، ص 262.</w:t>
      </w:r>
    </w:p>
    <w:p>
      <w:pPr>
        <w:pStyle w:val="Heading2"/>
      </w:pPr>
      <w:bookmarkStart w:id="4642" w:name="_Toc3744"/>
      <w:r>
        <w:t>زركتي ، مولان بن موسى</w:t>
      </w:r>
      <w:bookmarkEnd w:id="4642"/>
    </w:p>
    <w:p>
      <w:pPr>
        <w:pStyle w:val="BookText"/>
      </w:pPr>
      <w:r>
        <w:rPr>
          <w:rFonts w:ascii="Amiri" w:hAnsi="Amiri" w:eastAsia="Amiri" w:cs="Amiri"/>
          <w:lang w:bidi="ar-SA"/>
          <w:color w:val="111111"/>
          <w:sz w:val="28"/>
          <w:szCs w:val="28"/>
          <w:rtl/>
        </w:rPr>
        <w:t xml:space="preserve">الاوضحة = شرح التصريف العزي</w:t>
      </w:r>
    </w:p>
    <w:p>
      <w:pPr>
        <w:pStyle w:val="BookText"/>
      </w:pPr>
      <w:r>
        <w:rPr>
          <w:rFonts w:ascii="IRNazanin" w:hAnsi="IRNazanin" w:eastAsia="IRNazanin" w:cs="IRNazanin"/>
          <w:lang w:bidi="fa-IR"/>
          <w:color w:val="111111"/>
          <w:sz w:val="28"/>
          <w:szCs w:val="28"/>
          <w:rtl/>
        </w:rPr>
        <w:t xml:space="preserve">ج 3، ص 78.</w:t>
      </w:r>
    </w:p>
    <w:p>
      <w:pPr>
        <w:pStyle w:val="BookText"/>
      </w:pPr>
      <w:r>
        <w:rPr>
          <w:rFonts w:ascii="Amiri" w:hAnsi="Amiri" w:eastAsia="Amiri" w:cs="Amiri"/>
          <w:lang w:bidi="ar-SA"/>
          <w:color w:val="111111"/>
          <w:sz w:val="28"/>
          <w:szCs w:val="28"/>
          <w:rtl/>
        </w:rPr>
        <w:t xml:space="preserve">زركشي ، داود بن ناصر الدين -موصلي ،</w:t>
      </w:r>
    </w:p>
    <w:p>
      <w:pPr>
        <w:pStyle w:val="BookText"/>
      </w:pPr>
      <w:r>
        <w:rPr>
          <w:rFonts w:ascii="IRNazanin" w:hAnsi="IRNazanin" w:eastAsia="IRNazanin" w:cs="IRNazanin"/>
          <w:lang w:bidi="fa-IR"/>
          <w:color w:val="111111"/>
          <w:sz w:val="28"/>
          <w:szCs w:val="28"/>
          <w:rtl/>
        </w:rPr>
        <w:t xml:space="preserve">داود بن ناصرالدین</w:t>
      </w:r>
    </w:p>
    <w:p>
      <w:pPr>
        <w:pStyle w:val="Heading2"/>
      </w:pPr>
      <w:bookmarkStart w:id="4643" w:name="_Toc3745"/>
      <w:r>
        <w:t>زركشي ، محمّد بن بهادر، 745 - 794 ه-</w:t>
      </w:r>
      <w:bookmarkEnd w:id="4643"/>
    </w:p>
    <w:p>
      <w:pPr>
        <w:pStyle w:val="BookText"/>
      </w:pPr>
      <w:r>
        <w:rPr>
          <w:rFonts w:ascii="Amiri" w:hAnsi="Amiri" w:eastAsia="Amiri" w:cs="Amiri"/>
          <w:lang w:bidi="ar-SA"/>
          <w:color w:val="111111"/>
          <w:sz w:val="28"/>
          <w:szCs w:val="28"/>
          <w:rtl/>
        </w:rPr>
        <w:t xml:space="preserve">1 .البحر المحيط، ج 3، ص228.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تعليقة على صحيح البخاري، ج4،</w:t>
      </w:r>
    </w:p>
    <w:p>
      <w:pPr>
        <w:pStyle w:val="BookText"/>
      </w:pPr>
      <w:r>
        <w:rPr>
          <w:rFonts w:ascii="IRNazanin" w:hAnsi="IRNazanin" w:eastAsia="IRNazanin" w:cs="IRNazanin"/>
          <w:lang w:bidi="fa-IR"/>
          <w:color w:val="111111"/>
          <w:sz w:val="28"/>
          <w:szCs w:val="28"/>
          <w:rtl/>
        </w:rPr>
        <w:t xml:space="preserve">ص 523.</w:t>
      </w:r>
    </w:p>
    <w:p>
      <w:pPr>
        <w:pStyle w:val="BookText"/>
      </w:pPr>
      <w:r>
        <w:rPr>
          <w:rFonts w:ascii="Amiri" w:hAnsi="Amiri" w:eastAsia="Amiri" w:cs="Amiri"/>
          <w:lang w:bidi="ar-SA"/>
          <w:color w:val="111111"/>
          <w:sz w:val="28"/>
          <w:szCs w:val="28"/>
          <w:rtl/>
        </w:rPr>
        <w:t xml:space="preserve">3 .التنقيح لالفاظ الجامع الصحيح،</w:t>
      </w:r>
    </w:p>
    <w:p>
      <w:pPr>
        <w:pStyle w:val="BookText"/>
      </w:pPr>
      <w:r>
        <w:rPr>
          <w:rFonts w:ascii="IRNazanin" w:hAnsi="IRNazanin" w:eastAsia="IRNazanin" w:cs="IRNazanin"/>
          <w:lang w:bidi="fa-IR"/>
          <w:color w:val="111111"/>
          <w:sz w:val="28"/>
          <w:szCs w:val="28"/>
          <w:rtl/>
        </w:rPr>
        <w:t xml:space="preserve">ج 5، ص 66.</w:t>
      </w:r>
    </w:p>
    <w:p>
      <w:pPr>
        <w:pStyle w:val="BookText"/>
      </w:pPr>
      <w:r>
        <w:rPr>
          <w:rFonts w:ascii="Amiri" w:hAnsi="Amiri" w:eastAsia="Amiri" w:cs="Amiri"/>
          <w:lang w:bidi="ar-SA"/>
          <w:color w:val="111111"/>
          <w:sz w:val="28"/>
          <w:szCs w:val="28"/>
          <w:rtl/>
        </w:rPr>
        <w:t xml:space="preserve">4 .خادم الرافعي و الروضة = شرح</w:t>
      </w:r>
    </w:p>
    <w:p>
      <w:pPr>
        <w:pStyle w:val="BookText"/>
      </w:pPr>
      <w:r>
        <w:rPr>
          <w:rFonts w:ascii="Amiri" w:hAnsi="Amiri" w:eastAsia="Amiri" w:cs="Amiri"/>
          <w:lang w:bidi="ar-SA"/>
          <w:color w:val="111111"/>
          <w:sz w:val="28"/>
          <w:szCs w:val="28"/>
          <w:rtl/>
        </w:rPr>
        <w:t xml:space="preserve">روضة الطالبين للنووي و شرح</w:t>
      </w:r>
    </w:p>
    <w:p>
      <w:pPr>
        <w:pStyle w:val="BookText"/>
      </w:pPr>
      <w:r>
        <w:rPr>
          <w:rFonts w:ascii="Amiri" w:hAnsi="Amiri" w:eastAsia="Amiri" w:cs="Amiri"/>
          <w:lang w:bidi="ar-SA"/>
          <w:color w:val="111111"/>
          <w:sz w:val="28"/>
          <w:szCs w:val="28"/>
          <w:rtl/>
        </w:rPr>
        <w:t xml:space="preserve">الوجيز للرافعي، ج6، ص 876.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خبايا الزوايا، ج 6، ص 879.</w:t>
      </w:r>
    </w:p>
    <w:p>
      <w:pPr>
        <w:pStyle w:val="BookText"/>
      </w:pPr>
      <w:r>
        <w:rPr>
          <w:rFonts w:ascii="Amiri" w:hAnsi="Amiri" w:eastAsia="Amiri" w:cs="Amiri"/>
          <w:lang w:bidi="ar-SA"/>
          <w:color w:val="111111"/>
          <w:sz w:val="28"/>
          <w:szCs w:val="28"/>
          <w:rtl/>
        </w:rPr>
        <w:t xml:space="preserve">6 .الديباج في شرح المنهاج، ج7،</w:t>
      </w:r>
    </w:p>
    <w:p>
      <w:pPr>
        <w:pStyle w:val="BookText"/>
      </w:pPr>
      <w:r>
        <w:rPr>
          <w:rFonts w:ascii="IRNazanin" w:hAnsi="IRNazanin" w:eastAsia="IRNazanin" w:cs="IRNazanin"/>
          <w:lang w:bidi="fa-IR"/>
          <w:color w:val="111111"/>
          <w:sz w:val="28"/>
          <w:szCs w:val="28"/>
          <w:rtl/>
        </w:rPr>
        <w:t xml:space="preserve">ص499.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زهر العريش في تحريم الحشيش</w:t>
      </w:r>
    </w:p>
    <w:p>
      <w:pPr>
        <w:pStyle w:val="BookText"/>
      </w:pPr>
      <w:r>
        <w:rPr>
          <w:rFonts w:ascii="IRNazanin" w:hAnsi="IRNazanin" w:eastAsia="IRNazanin" w:cs="IRNazanin"/>
          <w:lang w:bidi="fa-IR"/>
          <w:color w:val="111111"/>
          <w:sz w:val="28"/>
          <w:szCs w:val="28"/>
          <w:rtl/>
        </w:rPr>
        <w:t xml:space="preserve">ج 8، ص 628.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المنهاج، ج 10، ص 261.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شرح الوجيز، ج 10، ص323.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عقود الجمان و تذييل وفيات</w:t>
      </w:r>
    </w:p>
    <w:p>
      <w:pPr>
        <w:pStyle w:val="BookText"/>
      </w:pPr>
      <w:r>
        <w:rPr>
          <w:rFonts w:ascii="Amiri" w:hAnsi="Amiri" w:eastAsia="Amiri" w:cs="Amiri"/>
          <w:lang w:bidi="ar-SA"/>
          <w:color w:val="111111"/>
          <w:sz w:val="28"/>
          <w:szCs w:val="28"/>
          <w:rtl/>
        </w:rPr>
        <w:t xml:space="preserve">الاعيان، ج 11، ص 185.</w:t>
      </w:r>
    </w:p>
    <w:p>
      <w:pPr>
        <w:pStyle w:val="BookText"/>
      </w:pPr>
      <w:r>
        <w:rPr>
          <w:rFonts w:ascii="IRNazanin" w:hAnsi="IRNazanin" w:eastAsia="IRNazanin" w:cs="IRNazanin"/>
          <w:lang w:bidi="fa-IR"/>
          <w:color w:val="111111"/>
          <w:sz w:val="28"/>
          <w:szCs w:val="28"/>
          <w:rtl/>
        </w:rPr>
        <w:t xml:space="preserve">11 .القواعد والضوابط، ج 12، ص 811</w:t>
      </w:r>
    </w:p>
    <w:p>
      <w:pPr>
        <w:pStyle w:val="BookText"/>
      </w:pPr>
      <w:r>
        <w:rPr>
          <w:rFonts w:ascii="Amiri" w:hAnsi="Amiri" w:eastAsia="Amiri" w:cs="Amiri"/>
          <w:lang w:bidi="ar-SA"/>
          <w:color w:val="111111"/>
          <w:sz w:val="28"/>
          <w:szCs w:val="28"/>
          <w:rtl/>
        </w:rPr>
        <w:t xml:space="preserve">12 .اللآلي المنتشرة في الاحاديث</w:t>
      </w:r>
    </w:p>
    <w:p>
      <w:pPr>
        <w:pStyle w:val="BookText"/>
      </w:pPr>
      <w:r>
        <w:rPr>
          <w:rFonts w:ascii="Amiri" w:hAnsi="Amiri" w:eastAsia="Amiri" w:cs="Amiri"/>
          <w:lang w:bidi="ar-SA"/>
          <w:color w:val="111111"/>
          <w:sz w:val="28"/>
          <w:szCs w:val="28"/>
          <w:rtl/>
        </w:rPr>
        <w:t xml:space="preserve">المشتهرة، ج13، ص 522.</w:t>
      </w:r>
    </w:p>
    <w:p>
      <w:pPr>
        <w:pStyle w:val="BookText"/>
      </w:pPr>
      <w:r>
        <w:rPr>
          <w:rFonts w:ascii="Amiri" w:hAnsi="Amiri" w:eastAsia="Amiri" w:cs="Amiri"/>
          <w:lang w:bidi="ar-SA"/>
          <w:color w:val="111111"/>
          <w:sz w:val="28"/>
          <w:szCs w:val="28"/>
          <w:rtl/>
        </w:rPr>
        <w:t xml:space="preserve">زركشي ، محمّد بن عبدالله- زركشي ،</w:t>
      </w:r>
    </w:p>
    <w:p>
      <w:pPr>
        <w:pStyle w:val="BookText"/>
      </w:pPr>
      <w:r>
        <w:rPr>
          <w:rFonts w:ascii="IRNazanin" w:hAnsi="IRNazanin" w:eastAsia="IRNazanin" w:cs="IRNazanin"/>
          <w:lang w:bidi="fa-IR"/>
          <w:color w:val="111111"/>
          <w:sz w:val="28"/>
          <w:szCs w:val="28"/>
          <w:rtl/>
        </w:rPr>
        <w:t xml:space="preserve">محمّد بن بهادر</w:t>
      </w:r>
    </w:p>
    <w:p>
      <w:pPr>
        <w:pStyle w:val="Heading2"/>
      </w:pPr>
      <w:bookmarkStart w:id="4644" w:name="_Toc3746"/>
      <w:r>
        <w:t>زركشي ، محمّد بن عبدالله - 772 ه-</w:t>
      </w:r>
      <w:bookmarkEnd w:id="4644"/>
    </w:p>
    <w:p>
      <w:pPr>
        <w:pStyle w:val="BookText"/>
      </w:pPr>
      <w:r>
        <w:rPr>
          <w:rFonts w:ascii="Amiri" w:hAnsi="Amiri" w:eastAsia="Amiri" w:cs="Amiri"/>
          <w:lang w:bidi="ar-SA"/>
          <w:color w:val="111111"/>
          <w:sz w:val="28"/>
          <w:szCs w:val="28"/>
          <w:rtl/>
        </w:rPr>
        <w:t xml:space="preserve">شرح مختصر الخرقي، ج 10، ص 115.</w:t>
      </w:r>
    </w:p>
    <w:p>
      <w:pPr>
        <w:pStyle w:val="Heading2"/>
      </w:pPr>
      <w:bookmarkStart w:id="4645" w:name="_Toc3747"/>
      <w:r>
        <w:t>زركشي ، محمّد بن محمّد - 813 ه-</w:t>
      </w:r>
      <w:bookmarkEnd w:id="4645"/>
    </w:p>
    <w:p>
      <w:pPr>
        <w:pStyle w:val="BookText"/>
      </w:pPr>
      <w:r>
        <w:rPr>
          <w:rFonts w:ascii="Amiri" w:hAnsi="Amiri" w:eastAsia="Amiri" w:cs="Amiri"/>
          <w:lang w:bidi="ar-SA"/>
          <w:color w:val="111111"/>
          <w:sz w:val="28"/>
          <w:szCs w:val="28"/>
          <w:rtl/>
        </w:rPr>
        <w:t xml:space="preserve">1 .تخميس قصيدة بانت سعاد ج4،</w:t>
      </w:r>
    </w:p>
    <w:p>
      <w:pPr>
        <w:pStyle w:val="BookText"/>
      </w:pPr>
      <w:r>
        <w:rPr>
          <w:rFonts w:ascii="IRNazanin" w:hAnsi="IRNazanin" w:eastAsia="IRNazanin" w:cs="IRNazanin"/>
          <w:lang w:bidi="fa-IR"/>
          <w:color w:val="111111"/>
          <w:sz w:val="28"/>
          <w:szCs w:val="28"/>
          <w:rtl/>
        </w:rPr>
        <w:t xml:space="preserve">ص 115.</w:t>
      </w:r>
    </w:p>
    <w:p>
      <w:pPr>
        <w:pStyle w:val="BookText"/>
      </w:pPr>
      <w:r>
        <w:rPr>
          <w:rFonts w:ascii="Amiri" w:hAnsi="Amiri" w:eastAsia="Amiri" w:cs="Amiri"/>
          <w:lang w:bidi="ar-SA"/>
          <w:color w:val="111111"/>
          <w:sz w:val="28"/>
          <w:szCs w:val="28"/>
          <w:rtl/>
        </w:rPr>
        <w:t xml:space="preserve">2 .قصيدة الساوي في علمي العروض و القوافي = عروض الساوي، ج 12،</w:t>
      </w:r>
    </w:p>
    <w:p>
      <w:pPr>
        <w:pStyle w:val="BookText"/>
      </w:pPr>
      <w:r>
        <w:rPr>
          <w:rFonts w:ascii="IRNazanin" w:hAnsi="IRNazanin" w:eastAsia="IRNazanin" w:cs="IRNazanin"/>
          <w:lang w:bidi="fa-IR"/>
          <w:color w:val="111111"/>
          <w:sz w:val="28"/>
          <w:szCs w:val="28"/>
          <w:rtl/>
        </w:rPr>
        <w:t xml:space="preserve">ص 678 .</w:t>
      </w:r>
    </w:p>
    <w:p>
      <w:pPr>
        <w:pStyle w:val="BookText"/>
      </w:pPr>
      <w:r>
        <w:rPr>
          <w:rFonts w:ascii="Amiri" w:hAnsi="Amiri" w:eastAsia="Amiri" w:cs="Amiri"/>
          <w:lang w:bidi="ar-SA"/>
          <w:color w:val="111111"/>
          <w:sz w:val="28"/>
          <w:szCs w:val="28"/>
          <w:rtl/>
        </w:rPr>
        <w:t xml:space="preserve">زركي ، ابي موسى -زركتي ، مولان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زرنوجي ، برهان الدين- زرنوجي ، عثمان</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زرنوجي ، عثمان بن علي- زرنوجي ،</w:t>
      </w:r>
    </w:p>
    <w:p>
      <w:pPr>
        <w:pStyle w:val="BookText"/>
      </w:pPr>
      <w:r>
        <w:rPr>
          <w:rFonts w:ascii="IRNazanin" w:hAnsi="IRNazanin" w:eastAsia="IRNazanin" w:cs="IRNazanin"/>
          <w:lang w:bidi="fa-IR"/>
          <w:color w:val="111111"/>
          <w:sz w:val="28"/>
          <w:szCs w:val="28"/>
          <w:rtl/>
        </w:rPr>
        <w:t xml:space="preserve">عثمان بن عمر</w:t>
      </w:r>
    </w:p>
    <w:p>
      <w:pPr>
        <w:pStyle w:val="Heading2"/>
      </w:pPr>
      <w:bookmarkStart w:id="4646" w:name="_Toc3748"/>
      <w:r>
        <w:t>زرنوجي ، عثمان بن عمر قرن 6 ه-</w:t>
      </w:r>
      <w:bookmarkEnd w:id="4646"/>
    </w:p>
    <w:p>
      <w:pPr>
        <w:pStyle w:val="BookText"/>
      </w:pPr>
      <w:r>
        <w:rPr>
          <w:rFonts w:ascii="Amiri" w:hAnsi="Amiri" w:eastAsia="Amiri" w:cs="Amiri"/>
          <w:lang w:bidi="ar-SA"/>
          <w:color w:val="111111"/>
          <w:sz w:val="28"/>
          <w:szCs w:val="28"/>
          <w:rtl/>
        </w:rPr>
        <w:t xml:space="preserve">تعليم المتعلّم في طريق التعلّم، جع،</w:t>
      </w:r>
    </w:p>
    <w:p>
      <w:pPr>
        <w:pStyle w:val="BookText"/>
      </w:pPr>
      <w:r>
        <w:rPr>
          <w:rFonts w:ascii="IRNazanin" w:hAnsi="IRNazanin" w:eastAsia="IRNazanin" w:cs="IRNazanin"/>
          <w:lang w:bidi="fa-IR"/>
          <w:color w:val="111111"/>
          <w:sz w:val="28"/>
          <w:szCs w:val="28"/>
          <w:rtl/>
        </w:rPr>
        <w:t xml:space="preserve">ص 559</w:t>
      </w:r>
    </w:p>
    <w:p>
      <w:pPr>
        <w:pStyle w:val="BookText"/>
      </w:pPr>
      <w:r>
        <w:rPr>
          <w:rFonts w:ascii="Amiri" w:hAnsi="Amiri" w:eastAsia="Amiri" w:cs="Amiri"/>
          <w:lang w:bidi="ar-SA"/>
          <w:color w:val="111111"/>
          <w:sz w:val="28"/>
          <w:szCs w:val="28"/>
          <w:rtl/>
        </w:rPr>
        <w:t xml:space="preserve">زرنوجي ، علي بن ابي بكر- زرنوجي ،</w:t>
      </w:r>
    </w:p>
    <w:p>
      <w:pPr>
        <w:pStyle w:val="BookText"/>
      </w:pPr>
      <w:r>
        <w:rPr>
          <w:rFonts w:ascii="IRNazanin" w:hAnsi="IRNazanin" w:eastAsia="IRNazanin" w:cs="IRNazanin"/>
          <w:lang w:bidi="fa-IR"/>
          <w:color w:val="111111"/>
          <w:sz w:val="28"/>
          <w:szCs w:val="28"/>
          <w:rtl/>
        </w:rPr>
        <w:t xml:space="preserve">عثمان بن عمر</w:t>
      </w:r>
    </w:p>
    <w:p>
      <w:pPr>
        <w:pStyle w:val="BookText"/>
      </w:pPr>
      <w:r>
        <w:rPr>
          <w:rFonts w:ascii="IRNazanin" w:hAnsi="IRNazanin" w:eastAsia="IRNazanin" w:cs="IRNazanin"/>
          <w:lang w:bidi="fa-IR"/>
          <w:color w:val="111111"/>
          <w:sz w:val="28"/>
          <w:szCs w:val="28"/>
          <w:rtl/>
        </w:rPr>
        <w:t xml:space="preserve">زروق ، ابو العباس احمد بن احمد- زروق</w:t>
      </w:r>
    </w:p>
    <w:p>
      <w:pPr>
        <w:pStyle w:val="BookText"/>
      </w:pPr>
      <w:r>
        <w:rPr>
          <w:rFonts w:ascii="IRNazanin" w:hAnsi="IRNazanin" w:eastAsia="IRNazanin" w:cs="IRNazanin"/>
          <w:lang w:bidi="fa-IR"/>
          <w:color w:val="111111"/>
          <w:sz w:val="28"/>
          <w:szCs w:val="28"/>
          <w:rtl/>
        </w:rPr>
        <w:t xml:space="preserve">، احمد بن احمد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5" w:name="pg7742_70465"/>
    <w:bookmarkEnd w:id="535"/>
    <w:p>
      <w:pPr>
        <w:pStyle w:val="BookText"/>
      </w:pPr>
      <w:r>
        <w:rPr>
          <w:rFonts w:ascii="IRNazanin" w:hAnsi="IRNazanin" w:eastAsia="IRNazanin" w:cs="IRNazanin"/>
          <w:lang w:bidi="fa-IR"/>
          <w:color w:val="111111"/>
          <w:sz w:val="28"/>
          <w:szCs w:val="28"/>
          <w:rtl/>
        </w:rPr>
        <w:t xml:space="preserve">زروق، احمد بن احمد، 846 - 899 ه-</w:t>
      </w:r>
    </w:p>
    <w:p>
      <w:pPr>
        <w:pStyle w:val="BookText"/>
      </w:pPr>
      <w:r>
        <w:rPr>
          <w:rFonts w:ascii="Amiri" w:hAnsi="Amiri" w:eastAsia="Amiri" w:cs="Amiri"/>
          <w:lang w:bidi="ar-SA"/>
          <w:color w:val="111111"/>
          <w:sz w:val="28"/>
          <w:szCs w:val="28"/>
          <w:rtl/>
        </w:rPr>
        <w:t xml:space="preserve">1 .اصول الحقيقة و الطريقة الشاذلية</w:t>
      </w:r>
    </w:p>
    <w:p>
      <w:pPr>
        <w:pStyle w:val="BookText"/>
      </w:pPr>
      <w:r>
        <w:rPr>
          <w:rFonts w:ascii="Amiri" w:hAnsi="Amiri" w:eastAsia="Amiri" w:cs="Amiri"/>
          <w:lang w:bidi="ar-SA"/>
          <w:color w:val="111111"/>
          <w:sz w:val="28"/>
          <w:szCs w:val="28"/>
          <w:rtl/>
        </w:rPr>
        <w:t xml:space="preserve">الزروقية = اصول الطريقة</w:t>
      </w:r>
    </w:p>
    <w:p>
      <w:pPr>
        <w:pStyle w:val="BookText"/>
      </w:pPr>
      <w:r>
        <w:rPr>
          <w:rFonts w:ascii="Amiri" w:hAnsi="Amiri" w:eastAsia="Amiri" w:cs="Amiri"/>
          <w:lang w:bidi="ar-SA"/>
          <w:color w:val="111111"/>
          <w:sz w:val="28"/>
          <w:szCs w:val="28"/>
          <w:rtl/>
        </w:rPr>
        <w:t xml:space="preserve">الصوفية، ج 2، ص 408.</w:t>
      </w:r>
    </w:p>
    <w:p>
      <w:pPr>
        <w:pStyle w:val="BookText"/>
      </w:pPr>
      <w:r>
        <w:rPr>
          <w:rFonts w:ascii="Amiri" w:hAnsi="Amiri" w:eastAsia="Amiri" w:cs="Amiri"/>
          <w:lang w:bidi="ar-SA"/>
          <w:color w:val="111111"/>
          <w:sz w:val="28"/>
          <w:szCs w:val="28"/>
          <w:rtl/>
        </w:rPr>
        <w:t xml:space="preserve">2 .اغتنام الفوائد في التنبيه على معاني</w:t>
      </w:r>
    </w:p>
    <w:p>
      <w:pPr>
        <w:pStyle w:val="BookText"/>
      </w:pPr>
      <w:r>
        <w:rPr>
          <w:rFonts w:ascii="IRNazanin" w:hAnsi="IRNazanin" w:eastAsia="IRNazanin" w:cs="IRNazanin"/>
          <w:lang w:bidi="fa-IR"/>
          <w:color w:val="111111"/>
          <w:sz w:val="28"/>
          <w:szCs w:val="28"/>
          <w:rtl/>
        </w:rPr>
        <w:t xml:space="preserve">قواعد العقائد، ج 2، ص 581.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خواص الارجوزة الدمياطية (رسالة</w:t>
      </w:r>
    </w:p>
    <w:p>
      <w:pPr>
        <w:pStyle w:val="BookText"/>
      </w:pPr>
      <w:r>
        <w:rPr>
          <w:rFonts w:ascii="Amiri" w:hAnsi="Amiri" w:eastAsia="Amiri" w:cs="Amiri"/>
          <w:lang w:bidi="ar-SA"/>
          <w:color w:val="111111"/>
          <w:sz w:val="28"/>
          <w:szCs w:val="28"/>
          <w:rtl/>
        </w:rPr>
        <w:t xml:space="preserve">في )= خواص نظم الدمياطية في أسماء الله الحسنى، ج 7، ص170.</w:t>
      </w:r>
    </w:p>
    <w:p>
      <w:pPr>
        <w:pStyle w:val="BookText"/>
      </w:pPr>
      <w:r>
        <w:rPr>
          <w:rFonts w:ascii="Amiri" w:hAnsi="Amiri" w:eastAsia="Amiri" w:cs="Amiri"/>
          <w:lang w:bidi="ar-SA"/>
          <w:color w:val="111111"/>
          <w:sz w:val="28"/>
          <w:szCs w:val="28"/>
          <w:rtl/>
        </w:rPr>
        <w:t xml:space="preserve">4 .الرحمة في الطب و الحكمة، ج8،</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Amiri" w:hAnsi="Amiri" w:eastAsia="Amiri" w:cs="Amiri"/>
          <w:lang w:bidi="ar-SA"/>
          <w:color w:val="111111"/>
          <w:sz w:val="28"/>
          <w:szCs w:val="28"/>
          <w:rtl/>
        </w:rPr>
        <w:t xml:space="preserve">5 .شرح ارجوزة الاسماء الحسنى - شرح اسماء الله الحسنى = شرح</w:t>
      </w:r>
    </w:p>
    <w:p>
      <w:pPr>
        <w:pStyle w:val="BookText"/>
      </w:pPr>
      <w:r>
        <w:rPr>
          <w:rFonts w:ascii="Amiri" w:hAnsi="Amiri" w:eastAsia="Amiri" w:cs="Amiri"/>
          <w:lang w:bidi="ar-SA"/>
          <w:color w:val="111111"/>
          <w:sz w:val="28"/>
          <w:szCs w:val="28"/>
          <w:rtl/>
        </w:rPr>
        <w:t xml:space="preserve">القصيدة الدمياطية في التوسل بأسماء الله الحسنى، ج 9، ص178.</w:t>
      </w:r>
    </w:p>
    <w:p>
      <w:pPr>
        <w:pStyle w:val="BookText"/>
      </w:pPr>
      <w:r>
        <w:rPr>
          <w:rFonts w:ascii="Amiri" w:hAnsi="Amiri" w:eastAsia="Amiri" w:cs="Amiri"/>
          <w:lang w:bidi="ar-SA"/>
          <w:color w:val="111111"/>
          <w:sz w:val="28"/>
          <w:szCs w:val="28"/>
          <w:rtl/>
        </w:rPr>
        <w:t xml:space="preserve">6 .شرح الحزب الكبير، ج 9، ص 411.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الحكم العطائية = تنبيه ذوي</w:t>
      </w:r>
    </w:p>
    <w:p>
      <w:pPr>
        <w:pStyle w:val="BookText"/>
      </w:pPr>
      <w:r>
        <w:rPr>
          <w:rFonts w:ascii="Amiri" w:hAnsi="Amiri" w:eastAsia="Amiri" w:cs="Amiri"/>
          <w:lang w:bidi="ar-SA"/>
          <w:color w:val="111111"/>
          <w:sz w:val="28"/>
          <w:szCs w:val="28"/>
          <w:rtl/>
        </w:rPr>
        <w:t xml:space="preserve">الهمم على معاني الفاظ الحكم ج 9، ص 423.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المباحث الاصلية لمنظومة ابن</w:t>
      </w:r>
    </w:p>
    <w:p>
      <w:pPr>
        <w:pStyle w:val="BookText"/>
      </w:pPr>
      <w:r>
        <w:rPr>
          <w:rFonts w:ascii="IRNazanin" w:hAnsi="IRNazanin" w:eastAsia="IRNazanin" w:cs="IRNazanin"/>
          <w:lang w:bidi="fa-IR"/>
          <w:color w:val="111111"/>
          <w:sz w:val="28"/>
          <w:szCs w:val="28"/>
          <w:rtl/>
        </w:rPr>
        <w:t xml:space="preserve">البناء، ج 10، ص 95.</w:t>
      </w:r>
    </w:p>
    <w:p>
      <w:pPr>
        <w:pStyle w:val="BookText"/>
      </w:pPr>
      <w:r>
        <w:rPr>
          <w:rFonts w:ascii="Amiri" w:hAnsi="Amiri" w:eastAsia="Amiri" w:cs="Amiri"/>
          <w:lang w:bidi="ar-SA"/>
          <w:color w:val="111111"/>
          <w:sz w:val="28"/>
          <w:szCs w:val="28"/>
          <w:rtl/>
        </w:rPr>
        <w:t xml:space="preserve">9 .شرح حزب البحر = مفاتيح العز و النصر في التنبيه على ما يتعلق بحزب البحر = شرح حزب الصغير</w:t>
      </w:r>
    </w:p>
    <w:p>
      <w:pPr>
        <w:pStyle w:val="BookText"/>
      </w:pPr>
      <w:r>
        <w:rPr>
          <w:rFonts w:ascii="IRNazanin" w:hAnsi="IRNazanin" w:eastAsia="IRNazanin" w:cs="IRNazanin"/>
          <w:lang w:bidi="fa-IR"/>
          <w:color w:val="111111"/>
          <w:sz w:val="28"/>
          <w:szCs w:val="28"/>
          <w:rtl/>
        </w:rPr>
        <w:t xml:space="preserve">خواص حزب البحر، ج9،</w:t>
      </w:r>
    </w:p>
    <w:p>
      <w:pPr>
        <w:pStyle w:val="BookText"/>
      </w:pPr>
      <w:r>
        <w:rPr>
          <w:rFonts w:ascii="IRNazanin" w:hAnsi="IRNazanin" w:eastAsia="IRNazanin" w:cs="IRNazanin"/>
          <w:lang w:bidi="fa-IR"/>
          <w:color w:val="111111"/>
          <w:sz w:val="28"/>
          <w:szCs w:val="28"/>
          <w:rtl/>
        </w:rPr>
        <w:t xml:space="preserve">ص 408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شرح حزب النصر، ج9، ص 412.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فضائل بيت المقدس، ج 12، ص 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الكشف = رسالة الكشف، ج13،</w:t>
      </w:r>
    </w:p>
    <w:p>
      <w:pPr>
        <w:pStyle w:val="BookText"/>
      </w:pPr>
      <w:r>
        <w:rPr>
          <w:rFonts w:ascii="IRNazanin" w:hAnsi="IRNazanin" w:eastAsia="IRNazanin" w:cs="IRNazanin"/>
          <w:lang w:bidi="fa-IR"/>
          <w:color w:val="111111"/>
          <w:sz w:val="28"/>
          <w:szCs w:val="28"/>
          <w:rtl/>
        </w:rPr>
        <w:t xml:space="preserve">ص 174 .</w:t>
      </w:r>
    </w:p>
    <w:p>
      <w:pPr>
        <w:pStyle w:val="BookText"/>
      </w:pPr>
      <w:r>
        <w:rPr>
          <w:rFonts w:ascii="Amiri" w:hAnsi="Amiri" w:eastAsia="Amiri" w:cs="Amiri"/>
          <w:lang w:bidi="ar-SA"/>
          <w:color w:val="111111"/>
          <w:sz w:val="28"/>
          <w:szCs w:val="28"/>
          <w:rtl/>
        </w:rPr>
        <w:t xml:space="preserve">13 .النصيحة الكافية لمن خصه الله تعالى بالعافية، ج 16، ص 314.</w:t>
      </w:r>
    </w:p>
    <w:p>
      <w:pPr>
        <w:pStyle w:val="BookText"/>
      </w:pPr>
      <w:r>
        <w:rPr>
          <w:rFonts w:ascii="IRNazanin" w:hAnsi="IRNazanin" w:eastAsia="IRNazanin" w:cs="IRNazanin"/>
          <w:lang w:bidi="fa-IR"/>
          <w:color w:val="111111"/>
          <w:sz w:val="28"/>
          <w:szCs w:val="28"/>
          <w:rtl/>
        </w:rPr>
        <w:t xml:space="preserve">زروق ، شهاب الله احمد بن احمد -زروق ، احمد بن احمد</w:t>
      </w:r>
    </w:p>
    <w:p>
      <w:pPr>
        <w:pStyle w:val="Heading2"/>
      </w:pPr>
      <w:bookmarkStart w:id="4647" w:name="_Toc3749"/>
      <w:r>
        <w:t>زريجاوي ، محمّد بن طعمه قرن 12 ه-</w:t>
      </w:r>
      <w:bookmarkEnd w:id="4647"/>
    </w:p>
    <w:p>
      <w:pPr>
        <w:pStyle w:val="BookText"/>
      </w:pPr>
      <w:r>
        <w:rPr>
          <w:rFonts w:ascii="Amiri" w:hAnsi="Amiri" w:eastAsia="Amiri" w:cs="Amiri"/>
          <w:lang w:bidi="ar-SA"/>
          <w:color w:val="111111"/>
          <w:sz w:val="28"/>
          <w:szCs w:val="28"/>
          <w:rtl/>
        </w:rPr>
        <w:t xml:space="preserve">القضاء - كتاب القضاء، ج 12، ص731.</w:t>
      </w:r>
    </w:p>
    <w:p>
      <w:pPr>
        <w:pStyle w:val="Heading2"/>
      </w:pPr>
      <w:bookmarkStart w:id="4648" w:name="_Toc3750"/>
      <w:r>
        <w:t>زعفراني ، محمّد بن عيسى قرن 14 ه-</w:t>
      </w:r>
      <w:bookmarkEnd w:id="4648"/>
    </w:p>
    <w:p>
      <w:pPr>
        <w:pStyle w:val="BookText"/>
      </w:pPr>
      <w:r>
        <w:rPr>
          <w:rFonts w:ascii="Amiri" w:hAnsi="Amiri" w:eastAsia="Amiri" w:cs="Amiri"/>
          <w:lang w:bidi="ar-SA"/>
          <w:color w:val="111111"/>
          <w:sz w:val="28"/>
          <w:szCs w:val="28"/>
          <w:rtl/>
        </w:rPr>
        <w:t xml:space="preserve">مجموعة الزعفراني، ج 14، ص 37.</w:t>
      </w:r>
    </w:p>
    <w:p>
      <w:pPr>
        <w:pStyle w:val="Heading2"/>
      </w:pPr>
      <w:bookmarkStart w:id="4649" w:name="_Toc3751"/>
      <w:r>
        <w:t>زفتاوی ، ابراهیم بن محمّد - 957 ه-</w:t>
      </w:r>
      <w:bookmarkEnd w:id="4649"/>
    </w:p>
    <w:p>
      <w:pPr>
        <w:pStyle w:val="BookText"/>
      </w:pPr>
      <w:r>
        <w:rPr>
          <w:rFonts w:ascii="Amiri" w:hAnsi="Amiri" w:eastAsia="Amiri" w:cs="Amiri"/>
          <w:lang w:bidi="ar-SA"/>
          <w:color w:val="111111"/>
          <w:sz w:val="28"/>
          <w:szCs w:val="28"/>
          <w:rtl/>
        </w:rPr>
        <w:t xml:space="preserve">زيد الفقه - الزبدة في الفقه الشافعي</w:t>
      </w:r>
    </w:p>
    <w:p>
      <w:pPr>
        <w:pStyle w:val="BookText"/>
      </w:pPr>
      <w:r>
        <w:rPr>
          <w:rFonts w:ascii="Amiri" w:hAnsi="Amiri" w:eastAsia="Amiri" w:cs="Amiri"/>
          <w:lang w:bidi="ar-SA"/>
          <w:color w:val="111111"/>
          <w:sz w:val="28"/>
          <w:szCs w:val="28"/>
          <w:rtl/>
        </w:rPr>
        <w:t xml:space="preserve">نظم زبد الاحكام، ج8، ص 595.</w:t>
      </w:r>
    </w:p>
    <w:p>
      <w:pPr>
        <w:pStyle w:val="BookText"/>
      </w:pPr>
      <w:r>
        <w:rPr>
          <w:rFonts w:ascii="Amiri" w:hAnsi="Amiri" w:eastAsia="Amiri" w:cs="Amiri"/>
          <w:lang w:bidi="ar-SA"/>
          <w:color w:val="111111"/>
          <w:sz w:val="28"/>
          <w:szCs w:val="28"/>
          <w:rtl/>
        </w:rPr>
        <w:t xml:space="preserve">زفوسي فاسي ، احمد بن عيسى- فاسي</w:t>
      </w:r>
    </w:p>
    <w:p>
      <w:pPr>
        <w:pStyle w:val="BookText"/>
      </w:pPr>
      <w:r>
        <w:rPr>
          <w:rFonts w:ascii="Amiri" w:hAnsi="Amiri" w:eastAsia="Amiri" w:cs="Amiri"/>
          <w:lang w:bidi="ar-SA"/>
          <w:color w:val="111111"/>
          <w:sz w:val="28"/>
          <w:szCs w:val="28"/>
          <w:rtl/>
        </w:rPr>
        <w:t xml:space="preserve">احمد بن عيسى</w:t>
      </w:r>
    </w:p>
    <w:p>
      <w:pPr>
        <w:pStyle w:val="Heading2"/>
      </w:pPr>
      <w:bookmarkStart w:id="4650" w:name="_Toc3752"/>
      <w:r>
        <w:t>زكريائي ، محمّد بن شهاب الدین قرن 12</w:t>
      </w:r>
      <w:bookmarkEnd w:id="4650"/>
    </w:p>
    <w:p>
      <w:pPr>
        <w:pStyle w:val="BookText"/>
      </w:pPr>
      <w:r>
        <w:rPr>
          <w:rFonts w:ascii="Amiri" w:hAnsi="Amiri" w:eastAsia="Amiri" w:cs="Amiri"/>
          <w:lang w:bidi="ar-SA"/>
          <w:color w:val="111111"/>
          <w:sz w:val="28"/>
          <w:szCs w:val="28"/>
          <w:rtl/>
        </w:rPr>
        <w:t xml:space="preserve">كتابة محمدية، ج13، ص95.</w:t>
      </w:r>
    </w:p>
    <w:p>
      <w:pPr>
        <w:pStyle w:val="BookText"/>
      </w:pPr>
      <w:r>
        <w:rPr>
          <w:rFonts w:ascii="Amiri" w:hAnsi="Amiri" w:eastAsia="Amiri" w:cs="Amiri"/>
          <w:lang w:bidi="ar-SA"/>
          <w:color w:val="111111"/>
          <w:sz w:val="28"/>
          <w:szCs w:val="28"/>
          <w:rtl/>
        </w:rPr>
        <w:t xml:space="preserve">زكريا الانصاري ، ابويحيى زكريا بن</w:t>
      </w:r>
    </w:p>
    <w:p>
      <w:pPr>
        <w:pStyle w:val="BookText"/>
      </w:pPr>
      <w:r>
        <w:rPr>
          <w:rFonts w:ascii="Amiri" w:hAnsi="Amiri" w:eastAsia="Amiri" w:cs="Amiri"/>
          <w:lang w:bidi="ar-SA"/>
          <w:color w:val="111111"/>
          <w:sz w:val="28"/>
          <w:szCs w:val="28"/>
          <w:rtl/>
        </w:rPr>
        <w:t xml:space="preserve">محمّد -انصاري، زكريا بن محمّد</w:t>
      </w:r>
    </w:p>
    <w:p>
      <w:pPr>
        <w:pStyle w:val="BookText"/>
      </w:pPr>
      <w:r>
        <w:rPr>
          <w:rFonts w:ascii="Amiri" w:hAnsi="Amiri" w:eastAsia="Amiri" w:cs="Amiri"/>
          <w:lang w:bidi="ar-SA"/>
          <w:color w:val="111111"/>
          <w:sz w:val="28"/>
          <w:szCs w:val="28"/>
          <w:rtl/>
        </w:rPr>
        <w:t xml:space="preserve">زكريا بن سعيد يمني اسرائيلي- يمني</w:t>
      </w:r>
    </w:p>
    <w:p>
      <w:pPr>
        <w:pStyle w:val="BookText"/>
      </w:pPr>
      <w:r>
        <w:rPr>
          <w:rFonts w:ascii="Amiri" w:hAnsi="Amiri" w:eastAsia="Amiri" w:cs="Amiri"/>
          <w:lang w:bidi="ar-SA"/>
          <w:color w:val="111111"/>
          <w:sz w:val="28"/>
          <w:szCs w:val="28"/>
          <w:rtl/>
        </w:rPr>
        <w:t xml:space="preserve">اسرائيلي ، زكريا بن سعيد</w:t>
      </w:r>
    </w:p>
    <w:p>
      <w:pPr>
        <w:pStyle w:val="BookText"/>
      </w:pPr>
      <w:r>
        <w:rPr>
          <w:rFonts w:ascii="Amiri" w:hAnsi="Amiri" w:eastAsia="Amiri" w:cs="Amiri"/>
          <w:lang w:bidi="ar-SA"/>
          <w:color w:val="111111"/>
          <w:sz w:val="28"/>
          <w:szCs w:val="28"/>
          <w:rtl/>
        </w:rPr>
        <w:t xml:space="preserve">زكريا بن محمّد انصاري -انصاري، زكريا</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زكريا بن محمّد بن محمود قروتي- كموني زكريا بن محمّد</w:t>
      </w:r>
    </w:p>
    <w:p>
      <w:pPr>
        <w:pStyle w:val="BookText"/>
      </w:pPr>
      <w:r>
        <w:rPr>
          <w:rFonts w:ascii="Amiri" w:hAnsi="Amiri" w:eastAsia="Amiri" w:cs="Amiri"/>
          <w:lang w:bidi="ar-SA"/>
          <w:color w:val="111111"/>
          <w:sz w:val="28"/>
          <w:szCs w:val="28"/>
          <w:rtl/>
        </w:rPr>
        <w:t xml:space="preserve">زكريا بن محمّد قزويني- قزويني ، زكريا</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زكريا كموني - كموني ، زكريا بن محمّد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6" w:name="pg7742_70467"/>
    <w:bookmarkEnd w:id="536"/>
    <w:p>
      <w:pPr>
        <w:pStyle w:val="Heading2"/>
      </w:pPr>
      <w:bookmarkStart w:id="4651" w:name="_Toc3753"/>
      <w:r>
        <w:t>زكي الدين خزرجي ، عبدالله بن محمّد</w:t>
      </w:r>
      <w:bookmarkEnd w:id="4651"/>
    </w:p>
    <w:p>
      <w:pPr>
        <w:pStyle w:val="BookText"/>
      </w:pPr>
      <w:r>
        <w:rPr>
          <w:rFonts w:ascii="IRNazanin" w:hAnsi="IRNazanin" w:eastAsia="IRNazanin" w:cs="IRNazanin"/>
          <w:lang w:bidi="fa-IR"/>
          <w:color w:val="111111"/>
          <w:sz w:val="28"/>
          <w:szCs w:val="28"/>
          <w:rtl/>
        </w:rPr>
        <w:t xml:space="preserve">681ه-</w:t>
      </w:r>
    </w:p>
    <w:p>
      <w:pPr>
        <w:pStyle w:val="BookText"/>
      </w:pPr>
      <w:r>
        <w:rPr>
          <w:rFonts w:ascii="IRNazanin" w:hAnsi="IRNazanin" w:eastAsia="IRNazanin" w:cs="IRNazanin"/>
          <w:lang w:bidi="fa-IR"/>
          <w:color w:val="111111"/>
          <w:sz w:val="28"/>
          <w:szCs w:val="28"/>
          <w:rtl/>
        </w:rPr>
        <w:t xml:space="preserve">مجمل الرغائب فبما للامام احمد بن</w:t>
      </w:r>
    </w:p>
    <w:p>
      <w:pPr>
        <w:pStyle w:val="BookText"/>
      </w:pPr>
      <w:r>
        <w:rPr>
          <w:rFonts w:ascii="IRNazanin" w:hAnsi="IRNazanin" w:eastAsia="IRNazanin" w:cs="IRNazanin"/>
          <w:lang w:bidi="fa-IR"/>
          <w:color w:val="111111"/>
          <w:sz w:val="28"/>
          <w:szCs w:val="28"/>
          <w:rtl/>
        </w:rPr>
        <w:t xml:space="preserve">حنبل من مناقب، ج13، ص 866.</w:t>
      </w:r>
    </w:p>
    <w:p>
      <w:pPr>
        <w:pStyle w:val="Heading2"/>
      </w:pPr>
      <w:bookmarkStart w:id="4652" w:name="_Toc3754"/>
      <w:r>
        <w:t>زكي الدين ، محمّد بن عبدالله</w:t>
      </w:r>
      <w:bookmarkEnd w:id="4652"/>
    </w:p>
    <w:p>
      <w:pPr>
        <w:pStyle w:val="BookText"/>
      </w:pPr>
      <w:r>
        <w:rPr>
          <w:rFonts w:ascii="Amiri" w:hAnsi="Amiri" w:eastAsia="Amiri" w:cs="Amiri"/>
          <w:lang w:bidi="ar-SA"/>
          <w:color w:val="111111"/>
          <w:sz w:val="28"/>
          <w:szCs w:val="28"/>
          <w:rtl/>
        </w:rPr>
        <w:t xml:space="preserve">مجلس من الاحاكي، ج 13، ص 820</w:t>
      </w:r>
    </w:p>
    <w:p>
      <w:pPr>
        <w:pStyle w:val="Heading2"/>
      </w:pPr>
      <w:bookmarkStart w:id="4653" w:name="_Toc3755"/>
      <w:r>
        <w:t>زكي ، علي بن رسول</w:t>
      </w:r>
      <w:bookmarkEnd w:id="4653"/>
    </w:p>
    <w:p>
      <w:pPr>
        <w:pStyle w:val="BookText"/>
      </w:pPr>
      <w:r>
        <w:rPr>
          <w:rFonts w:ascii="IRNazanin" w:hAnsi="IRNazanin" w:eastAsia="IRNazanin" w:cs="IRNazanin"/>
          <w:lang w:bidi="fa-IR"/>
          <w:color w:val="111111"/>
          <w:sz w:val="28"/>
          <w:szCs w:val="28"/>
          <w:rtl/>
        </w:rPr>
        <w:t xml:space="preserve">مناجات، ج 15 ، ص 473.</w:t>
      </w:r>
    </w:p>
    <w:p>
      <w:pPr>
        <w:pStyle w:val="BookText"/>
      </w:pPr>
      <w:r>
        <w:rPr>
          <w:rFonts w:ascii="Amiri" w:hAnsi="Amiri" w:eastAsia="Amiri" w:cs="Amiri"/>
          <w:lang w:bidi="ar-SA"/>
          <w:color w:val="111111"/>
          <w:sz w:val="28"/>
          <w:szCs w:val="28"/>
          <w:rtl/>
        </w:rPr>
        <w:t xml:space="preserve">زكي غزنوي ، محمّد بن مسعود- مسعودي</w:t>
      </w:r>
    </w:p>
    <w:p>
      <w:pPr>
        <w:pStyle w:val="BookText"/>
      </w:pPr>
      <w:r>
        <w:rPr>
          <w:rFonts w:ascii="Amiri" w:hAnsi="Amiri" w:eastAsia="Amiri" w:cs="Amiri"/>
          <w:lang w:bidi="ar-SA"/>
          <w:color w:val="111111"/>
          <w:sz w:val="28"/>
          <w:szCs w:val="28"/>
          <w:rtl/>
        </w:rPr>
        <w:t xml:space="preserve">غزنوي، محمّد بن مسعود</w:t>
      </w:r>
    </w:p>
    <w:p>
      <w:pPr>
        <w:pStyle w:val="Heading2"/>
      </w:pPr>
      <w:bookmarkStart w:id="4654" w:name="_Toc3756"/>
      <w:r>
        <w:t>زكي ، محمّد امین بن زكي قرن 14 ه-</w:t>
      </w:r>
      <w:bookmarkEnd w:id="4654"/>
    </w:p>
    <w:p>
      <w:pPr>
        <w:pStyle w:val="BookText"/>
      </w:pPr>
      <w:r>
        <w:rPr>
          <w:rFonts w:ascii="IRNazanin" w:hAnsi="IRNazanin" w:eastAsia="IRNazanin" w:cs="IRNazanin"/>
          <w:lang w:bidi="fa-IR"/>
          <w:color w:val="111111"/>
          <w:sz w:val="28"/>
          <w:szCs w:val="28"/>
          <w:rtl/>
        </w:rPr>
        <w:t xml:space="preserve">1 .حکمت عبادت، ج 6 ، ص 745 .</w:t>
      </w:r>
    </w:p>
    <w:p>
      <w:pPr>
        <w:pStyle w:val="BookText"/>
      </w:pPr>
      <w:r>
        <w:rPr>
          <w:rFonts w:ascii="Amiri" w:hAnsi="Amiri" w:eastAsia="Amiri" w:cs="Amiri"/>
          <w:lang w:bidi="ar-SA"/>
          <w:color w:val="111111"/>
          <w:sz w:val="28"/>
          <w:szCs w:val="28"/>
          <w:rtl/>
        </w:rPr>
        <w:t xml:space="preserve">2 .المقامة الصوفية، ج 15 ، ص 319.</w:t>
      </w:r>
    </w:p>
    <w:p>
      <w:pPr>
        <w:pStyle w:val="BookText"/>
      </w:pPr>
      <w:r>
        <w:rPr>
          <w:rFonts w:ascii="IRNazanin" w:hAnsi="IRNazanin" w:eastAsia="IRNazanin" w:cs="IRNazanin"/>
          <w:lang w:bidi="fa-IR"/>
          <w:color w:val="111111"/>
          <w:sz w:val="28"/>
          <w:szCs w:val="28"/>
          <w:rtl/>
        </w:rPr>
        <w:t xml:space="preserve">زكي نجف - قهپائي ، عناية الله بن علي</w:t>
      </w:r>
    </w:p>
    <w:p>
      <w:pPr>
        <w:pStyle w:val="Heading2"/>
      </w:pPr>
      <w:bookmarkStart w:id="4655" w:name="_Toc3757"/>
      <w:r>
        <w:t>زلفكوي ، خليل</w:t>
      </w:r>
      <w:bookmarkEnd w:id="4655"/>
    </w:p>
    <w:p>
      <w:pPr>
        <w:pStyle w:val="BookText"/>
      </w:pPr>
      <w:r>
        <w:rPr>
          <w:rFonts w:ascii="Amiri" w:hAnsi="Amiri" w:eastAsia="Amiri" w:cs="Amiri"/>
          <w:lang w:bidi="ar-SA"/>
          <w:color w:val="111111"/>
          <w:sz w:val="28"/>
          <w:szCs w:val="28"/>
          <w:rtl/>
        </w:rPr>
        <w:t xml:space="preserve">شرح مناجاة الشافعي، ج 10، ص 229.</w:t>
      </w:r>
    </w:p>
    <w:p>
      <w:pPr>
        <w:pStyle w:val="BookText"/>
      </w:pPr>
      <w:r>
        <w:rPr>
          <w:rFonts w:ascii="Amiri" w:hAnsi="Amiri" w:eastAsia="Amiri" w:cs="Amiri"/>
          <w:lang w:bidi="ar-SA"/>
          <w:color w:val="111111"/>
          <w:sz w:val="28"/>
          <w:szCs w:val="28"/>
          <w:rtl/>
        </w:rPr>
        <w:t xml:space="preserve">زمخشري ، ابوالقاسم محمود -زمخشري ،</w:t>
      </w:r>
    </w:p>
    <w:p>
      <w:pPr>
        <w:pStyle w:val="BookText"/>
      </w:pPr>
      <w:r>
        <w:rPr>
          <w:rFonts w:ascii="IRNazanin" w:hAnsi="IRNazanin" w:eastAsia="IRNazanin" w:cs="IRNazanin"/>
          <w:lang w:bidi="fa-IR"/>
          <w:color w:val="111111"/>
          <w:sz w:val="28"/>
          <w:szCs w:val="28"/>
          <w:rtl/>
        </w:rPr>
        <w:t xml:space="preserve">محمود بن عمر</w:t>
      </w:r>
    </w:p>
    <w:p>
      <w:pPr>
        <w:pStyle w:val="BookText"/>
      </w:pPr>
      <w:r>
        <w:rPr>
          <w:rFonts w:ascii="Amiri" w:hAnsi="Amiri" w:eastAsia="Amiri" w:cs="Amiri"/>
          <w:lang w:bidi="ar-SA"/>
          <w:color w:val="111111"/>
          <w:sz w:val="28"/>
          <w:szCs w:val="28"/>
          <w:rtl/>
        </w:rPr>
        <w:t xml:space="preserve">زمخشري ، زكريا بن محمّد- قزويني</w:t>
      </w:r>
    </w:p>
    <w:p>
      <w:pPr>
        <w:pStyle w:val="BookText"/>
      </w:pPr>
      <w:r>
        <w:rPr>
          <w:rFonts w:ascii="Amiri" w:hAnsi="Amiri" w:eastAsia="Amiri" w:cs="Amiri"/>
          <w:lang w:bidi="ar-SA"/>
          <w:color w:val="111111"/>
          <w:sz w:val="28"/>
          <w:szCs w:val="28"/>
          <w:rtl/>
        </w:rPr>
        <w:t xml:space="preserve">زكريا بن محمّد</w:t>
      </w:r>
    </w:p>
    <w:p>
      <w:pPr>
        <w:pStyle w:val="Heading2"/>
      </w:pPr>
      <w:bookmarkStart w:id="4656" w:name="_Toc3758"/>
      <w:r>
        <w:t>زمخشري ، محمود بن عمر، 467 - 538</w:t>
      </w:r>
      <w:bookmarkEnd w:id="4656"/>
    </w:p>
    <w:p>
      <w:pPr>
        <w:pStyle w:val="BookText"/>
      </w:pPr>
      <w:r>
        <w:rPr>
          <w:rFonts w:ascii="Amiri" w:hAnsi="Amiri" w:eastAsia="Amiri" w:cs="Amiri"/>
          <w:lang w:bidi="ar-SA"/>
          <w:color w:val="111111"/>
          <w:sz w:val="28"/>
          <w:szCs w:val="28"/>
          <w:rtl/>
        </w:rPr>
        <w:t xml:space="preserve">1 .أساس البلاغة = أساس اللغة و مقياس البلاغة، ج 2، ص 75.</w:t>
      </w:r>
    </w:p>
    <w:p>
      <w:pPr>
        <w:pStyle w:val="BookText"/>
      </w:pPr>
      <w:r>
        <w:rPr>
          <w:rFonts w:ascii="IRNazanin" w:hAnsi="IRNazanin" w:eastAsia="IRNazanin" w:cs="IRNazanin"/>
          <w:lang w:bidi="fa-IR"/>
          <w:color w:val="111111"/>
          <w:sz w:val="28"/>
          <w:szCs w:val="28"/>
          <w:rtl/>
        </w:rPr>
        <w:t xml:space="preserve">2 .اطواق الذهب، ج 2، ص 484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الانموذج، ج 2، ص828.</w:t>
      </w:r>
    </w:p>
    <w:p>
      <w:pPr>
        <w:pStyle w:val="BookText"/>
      </w:pPr>
      <w:r>
        <w:rPr>
          <w:rFonts w:ascii="IRNazanin" w:hAnsi="IRNazanin" w:eastAsia="IRNazanin" w:cs="IRNazanin"/>
          <w:lang w:bidi="fa-IR"/>
          <w:color w:val="111111"/>
          <w:sz w:val="28"/>
          <w:szCs w:val="28"/>
          <w:rtl/>
        </w:rPr>
        <w:t xml:space="preserve">4 .التصرفات، ج 4، ص 402 .</w:t>
      </w:r>
    </w:p>
    <w:p>
      <w:pPr>
        <w:pStyle w:val="BookText"/>
      </w:pPr>
      <w:r>
        <w:rPr>
          <w:rFonts w:ascii="Amiri" w:hAnsi="Amiri" w:eastAsia="Amiri" w:cs="Amiri"/>
          <w:lang w:bidi="ar-SA"/>
          <w:color w:val="111111"/>
          <w:sz w:val="28"/>
          <w:szCs w:val="28"/>
          <w:rtl/>
        </w:rPr>
        <w:t xml:space="preserve">5 .تفسير كلمة التوحيد - التهليلية</w:t>
      </w:r>
    </w:p>
    <w:p>
      <w:pPr>
        <w:pStyle w:val="BookText"/>
      </w:pPr>
      <w:r>
        <w:rPr>
          <w:rFonts w:ascii="Amiri" w:hAnsi="Amiri" w:eastAsia="Amiri" w:cs="Amiri"/>
          <w:lang w:bidi="ar-SA"/>
          <w:color w:val="111111"/>
          <w:sz w:val="28"/>
          <w:szCs w:val="28"/>
          <w:rtl/>
        </w:rPr>
        <w:t xml:space="preserve">معنى لا إله الا الله (رسالة في)، جع،</w:t>
      </w:r>
    </w:p>
    <w:p>
      <w:pPr>
        <w:pStyle w:val="BookText"/>
      </w:pPr>
      <w:r>
        <w:rPr>
          <w:rFonts w:ascii="IRNazanin" w:hAnsi="IRNazanin" w:eastAsia="IRNazanin" w:cs="IRNazanin"/>
          <w:lang w:bidi="fa-IR"/>
          <w:color w:val="111111"/>
          <w:sz w:val="28"/>
          <w:szCs w:val="28"/>
          <w:rtl/>
        </w:rPr>
        <w:t xml:space="preserve">ص 691 .</w:t>
      </w:r>
    </w:p>
    <w:p>
      <w:pPr>
        <w:pStyle w:val="BookText"/>
      </w:pPr>
      <w:r>
        <w:rPr>
          <w:rFonts w:ascii="Amiri" w:hAnsi="Amiri" w:eastAsia="Amiri" w:cs="Amiri"/>
          <w:lang w:bidi="ar-SA"/>
          <w:color w:val="111111"/>
          <w:sz w:val="28"/>
          <w:szCs w:val="28"/>
          <w:rtl/>
        </w:rPr>
        <w:t xml:space="preserve">6 .الجبال و الأمكنة و المياه، ج 5،</w:t>
      </w:r>
    </w:p>
    <w:p>
      <w:pPr>
        <w:pStyle w:val="BookText"/>
      </w:pPr>
      <w:r>
        <w:rPr>
          <w:rFonts w:ascii="IRNazanin" w:hAnsi="IRNazanin" w:eastAsia="IRNazanin" w:cs="IRNazanin"/>
          <w:lang w:bidi="fa-IR"/>
          <w:color w:val="111111"/>
          <w:sz w:val="28"/>
          <w:szCs w:val="28"/>
          <w:rtl/>
        </w:rPr>
        <w:t xml:space="preserve">ص 355 .</w:t>
      </w:r>
    </w:p>
    <w:p>
      <w:pPr>
        <w:pStyle w:val="BookText"/>
      </w:pPr>
      <w:r>
        <w:rPr>
          <w:rFonts w:ascii="Amiri" w:hAnsi="Amiri" w:eastAsia="Amiri" w:cs="Amiri"/>
          <w:lang w:bidi="ar-SA"/>
          <w:color w:val="111111"/>
          <w:sz w:val="28"/>
          <w:szCs w:val="28"/>
          <w:rtl/>
        </w:rPr>
        <w:t xml:space="preserve">7 .ديوان الزمخشري، ج 7، ص 647.</w:t>
      </w:r>
    </w:p>
    <w:p>
      <w:pPr>
        <w:pStyle w:val="BookText"/>
      </w:pPr>
      <w:r>
        <w:rPr>
          <w:rFonts w:ascii="IRNazanin" w:hAnsi="IRNazanin" w:eastAsia="IRNazanin" w:cs="IRNazanin"/>
          <w:lang w:bidi="fa-IR"/>
          <w:color w:val="111111"/>
          <w:sz w:val="28"/>
          <w:szCs w:val="28"/>
          <w:rtl/>
        </w:rPr>
        <w:t xml:space="preserve">8.ربیع الابرار و نصوص الاخیار - ربیع الابرار وجنة الابصار = ربيع الابرار في سير الخواطر و الافكار</w:t>
      </w:r>
    </w:p>
    <w:p>
      <w:pPr>
        <w:pStyle w:val="BookText"/>
      </w:pPr>
      <w:r>
        <w:rPr>
          <w:rFonts w:ascii="IRNazanin" w:hAnsi="IRNazanin" w:eastAsia="IRNazanin" w:cs="IRNazanin"/>
          <w:lang w:bidi="fa-IR"/>
          <w:color w:val="111111"/>
          <w:sz w:val="28"/>
          <w:szCs w:val="28"/>
          <w:rtl/>
        </w:rPr>
        <w:t xml:space="preserve">ج 8، ص32.</w:t>
      </w:r>
    </w:p>
    <w:p>
      <w:pPr>
        <w:pStyle w:val="BookText"/>
      </w:pPr>
      <w:r>
        <w:rPr>
          <w:rFonts w:ascii="Amiri" w:hAnsi="Amiri" w:eastAsia="Amiri" w:cs="Amiri"/>
          <w:lang w:bidi="ar-SA"/>
          <w:color w:val="111111"/>
          <w:sz w:val="28"/>
          <w:szCs w:val="28"/>
          <w:rtl/>
        </w:rPr>
        <w:t xml:space="preserve">9 .شرح قصيدة لامية العرب = اعجب</w:t>
      </w:r>
    </w:p>
    <w:p>
      <w:pPr>
        <w:pStyle w:val="BookText"/>
      </w:pPr>
      <w:r>
        <w:rPr>
          <w:rFonts w:ascii="IRNazanin" w:hAnsi="IRNazanin" w:eastAsia="IRNazanin" w:cs="IRNazanin"/>
          <w:lang w:bidi="fa-IR"/>
          <w:color w:val="111111"/>
          <w:sz w:val="28"/>
          <w:szCs w:val="28"/>
          <w:rtl/>
        </w:rPr>
        <w:t xml:space="preserve">العجب، ج 9، ص889</w:t>
      </w:r>
    </w:p>
    <w:p>
      <w:pPr>
        <w:pStyle w:val="BookText"/>
      </w:pPr>
      <w:r>
        <w:rPr>
          <w:rFonts w:ascii="Amiri" w:hAnsi="Amiri" w:eastAsia="Amiri" w:cs="Amiri"/>
          <w:lang w:bidi="ar-SA"/>
          <w:color w:val="111111"/>
          <w:sz w:val="28"/>
          <w:szCs w:val="28"/>
          <w:rtl/>
        </w:rPr>
        <w:t xml:space="preserve">10 .صميم العربية، ج 10، ص 635.</w:t>
      </w:r>
    </w:p>
    <w:p>
      <w:pPr>
        <w:pStyle w:val="BookText"/>
      </w:pPr>
      <w:r>
        <w:rPr>
          <w:rFonts w:ascii="Amiri" w:hAnsi="Amiri" w:eastAsia="Amiri" w:cs="Amiri"/>
          <w:lang w:bidi="ar-SA"/>
          <w:color w:val="111111"/>
          <w:sz w:val="28"/>
          <w:szCs w:val="28"/>
          <w:rtl/>
        </w:rPr>
        <w:t xml:space="preserve">11 .فائق اللغات في غريب الحديث =</w:t>
      </w:r>
    </w:p>
    <w:p>
      <w:pPr>
        <w:pStyle w:val="BookText"/>
      </w:pPr>
      <w:r>
        <w:rPr>
          <w:rFonts w:ascii="IRNazanin" w:hAnsi="IRNazanin" w:eastAsia="IRNazanin" w:cs="IRNazanin"/>
          <w:lang w:bidi="fa-IR"/>
          <w:color w:val="111111"/>
          <w:sz w:val="28"/>
          <w:szCs w:val="28"/>
          <w:rtl/>
        </w:rPr>
        <w:t xml:space="preserve">الفائق في غريب الحدیث، ج11، ص 579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القسطاس المستقيم = القسطاس</w:t>
      </w:r>
    </w:p>
    <w:p>
      <w:pPr>
        <w:pStyle w:val="BookText"/>
      </w:pPr>
      <w:r>
        <w:rPr>
          <w:rFonts w:ascii="Amiri" w:hAnsi="Amiri" w:eastAsia="Amiri" w:cs="Amiri"/>
          <w:lang w:bidi="ar-SA"/>
          <w:color w:val="111111"/>
          <w:sz w:val="28"/>
          <w:szCs w:val="28"/>
          <w:rtl/>
        </w:rPr>
        <w:t xml:space="preserve">في العروض، ج 12، ص582</w:t>
      </w:r>
    </w:p>
    <w:p>
      <w:pPr>
        <w:pStyle w:val="BookText"/>
      </w:pPr>
      <w:r>
        <w:rPr>
          <w:rFonts w:ascii="Amiri" w:hAnsi="Amiri" w:eastAsia="Amiri" w:cs="Amiri"/>
          <w:lang w:bidi="ar-SA"/>
          <w:color w:val="111111"/>
          <w:sz w:val="28"/>
          <w:szCs w:val="28"/>
          <w:rtl/>
        </w:rPr>
        <w:t xml:space="preserve">13 .الكشاف عن حقايق غوامض</w:t>
      </w:r>
    </w:p>
    <w:p>
      <w:pPr>
        <w:pStyle w:val="BookText"/>
      </w:pPr>
      <w:r>
        <w:rPr>
          <w:rFonts w:ascii="IRNazanin" w:hAnsi="IRNazanin" w:eastAsia="IRNazanin" w:cs="IRNazanin"/>
          <w:lang w:bidi="fa-IR"/>
          <w:color w:val="111111"/>
          <w:sz w:val="28"/>
          <w:szCs w:val="28"/>
          <w:rtl/>
        </w:rPr>
        <w:t xml:space="preserve">التنزيل وعيون الاقاويل في وجوه التأويل = تفسیر کشاف، ج13،</w:t>
      </w:r>
    </w:p>
    <w:p>
      <w:pPr>
        <w:pStyle w:val="BookText"/>
      </w:pPr>
      <w:r>
        <w:rPr>
          <w:rFonts w:ascii="IRNazanin" w:hAnsi="IRNazanin" w:eastAsia="IRNazanin" w:cs="IRNazanin"/>
          <w:lang w:bidi="fa-IR"/>
          <w:color w:val="111111"/>
          <w:sz w:val="28"/>
          <w:szCs w:val="28"/>
          <w:rtl/>
        </w:rPr>
        <w:t xml:space="preserve">ص 157 .</w:t>
      </w:r>
    </w:p>
    <w:p>
      <w:pPr>
        <w:pStyle w:val="BookText"/>
      </w:pPr>
      <w:r>
        <w:rPr>
          <w:rFonts w:ascii="Amiri" w:hAnsi="Amiri" w:eastAsia="Amiri" w:cs="Amiri"/>
          <w:lang w:bidi="ar-SA"/>
          <w:color w:val="111111"/>
          <w:sz w:val="28"/>
          <w:szCs w:val="28"/>
          <w:rtl/>
        </w:rPr>
        <w:t xml:space="preserve">14 . الكلم السابع، ج13، ص377.</w:t>
      </w:r>
    </w:p>
    <w:p>
      <w:pPr>
        <w:pStyle w:val="BookText"/>
      </w:pPr>
      <w:r>
        <w:rPr>
          <w:rFonts w:ascii="Amiri" w:hAnsi="Amiri" w:eastAsia="Amiri" w:cs="Amiri"/>
          <w:lang w:bidi="ar-SA"/>
          <w:color w:val="111111"/>
          <w:sz w:val="28"/>
          <w:szCs w:val="28"/>
          <w:rtl/>
        </w:rPr>
        <w:t xml:space="preserve">15 .المحاجاة بالمسائل النحوية = المحاجات و متمم مهام ارباب</w:t>
      </w:r>
    </w:p>
    <w:p>
      <w:pPr>
        <w:pStyle w:val="BookText"/>
      </w:pPr>
      <w:r>
        <w:rPr>
          <w:rFonts w:ascii="IRNazanin" w:hAnsi="IRNazanin" w:eastAsia="IRNazanin" w:cs="IRNazanin"/>
          <w:lang w:bidi="fa-IR"/>
          <w:color w:val="111111"/>
          <w:sz w:val="28"/>
          <w:szCs w:val="28"/>
          <w:rtl/>
        </w:rPr>
        <w:t xml:space="preserve">الحاجات، ج 14 ، ص 86.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المختصر من كتاب الموافقة لابن</w:t>
      </w:r>
    </w:p>
    <w:p>
      <w:pPr>
        <w:pStyle w:val="BookText"/>
      </w:pPr>
      <w:r>
        <w:rPr>
          <w:rFonts w:ascii="Amiri" w:hAnsi="Amiri" w:eastAsia="Amiri" w:cs="Amiri"/>
          <w:lang w:bidi="ar-SA"/>
          <w:color w:val="111111"/>
          <w:sz w:val="28"/>
          <w:szCs w:val="28"/>
          <w:rtl/>
        </w:rPr>
        <w:t xml:space="preserve">السماوي، ج 14، ص 265.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7" w:name="pg7742_70469"/>
    <w:bookmarkEnd w:id="537"/>
    <w:p>
      <w:pPr>
        <w:pStyle w:val="BookText"/>
      </w:pPr>
      <w:r>
        <w:rPr>
          <w:rFonts w:ascii="Amiri" w:hAnsi="Amiri" w:eastAsia="Amiri" w:cs="Amiri"/>
          <w:lang w:bidi="ar-SA"/>
          <w:color w:val="111111"/>
          <w:sz w:val="28"/>
          <w:szCs w:val="28"/>
          <w:rtl/>
        </w:rPr>
        <w:t xml:space="preserve">17 .المستقصي في امثال العرب، ج 14،</w:t>
      </w:r>
    </w:p>
    <w:p>
      <w:pPr>
        <w:pStyle w:val="BookText"/>
      </w:pPr>
      <w:r>
        <w:rPr>
          <w:rFonts w:ascii="IRNazanin" w:hAnsi="IRNazanin" w:eastAsia="IRNazanin" w:cs="IRNazanin"/>
          <w:lang w:bidi="fa-IR"/>
          <w:color w:val="111111"/>
          <w:sz w:val="28"/>
          <w:szCs w:val="28"/>
          <w:rtl/>
        </w:rPr>
        <w:t xml:space="preserve">ص 563 .</w:t>
      </w:r>
    </w:p>
    <w:p>
      <w:pPr>
        <w:pStyle w:val="BookText"/>
      </w:pPr>
      <w:r>
        <w:rPr>
          <w:rFonts w:ascii="Amiri" w:hAnsi="Amiri" w:eastAsia="Amiri" w:cs="Amiri"/>
          <w:lang w:bidi="ar-SA"/>
          <w:color w:val="111111"/>
          <w:sz w:val="28"/>
          <w:szCs w:val="28"/>
          <w:rtl/>
        </w:rPr>
        <w:t xml:space="preserve">18 .المفصل في صنعة الاعراب، ج 15،</w:t>
      </w:r>
    </w:p>
    <w:p>
      <w:pPr>
        <w:pStyle w:val="BookText"/>
      </w:pPr>
      <w:r>
        <w:rPr>
          <w:rFonts w:ascii="IRNazanin" w:hAnsi="IRNazanin" w:eastAsia="IRNazanin" w:cs="IRNazanin"/>
          <w:lang w:bidi="fa-IR"/>
          <w:color w:val="111111"/>
          <w:sz w:val="28"/>
          <w:szCs w:val="28"/>
          <w:rtl/>
        </w:rPr>
        <w:t xml:space="preserve">ص 253 .</w:t>
      </w:r>
    </w:p>
    <w:p>
      <w:pPr>
        <w:pStyle w:val="BookText"/>
      </w:pPr>
      <w:r>
        <w:rPr>
          <w:rFonts w:ascii="Amiri" w:hAnsi="Amiri" w:eastAsia="Amiri" w:cs="Amiri"/>
          <w:lang w:bidi="ar-SA"/>
          <w:color w:val="111111"/>
          <w:sz w:val="28"/>
          <w:szCs w:val="28"/>
          <w:rtl/>
        </w:rPr>
        <w:t xml:space="preserve">19 .مقدمة الادب، ج 15 ، ص 348 .</w:t>
      </w:r>
    </w:p>
    <w:p>
      <w:pPr>
        <w:pStyle w:val="BookText"/>
      </w:pPr>
      <w:r>
        <w:rPr>
          <w:rFonts w:ascii="Amiri" w:hAnsi="Amiri" w:eastAsia="Amiri" w:cs="Amiri"/>
          <w:lang w:bidi="ar-SA"/>
          <w:color w:val="111111"/>
          <w:sz w:val="28"/>
          <w:szCs w:val="28"/>
          <w:rtl/>
        </w:rPr>
        <w:t xml:space="preserve">20 .ملتقط من كتاب التهذيب في</w:t>
      </w:r>
    </w:p>
    <w:p>
      <w:pPr>
        <w:pStyle w:val="BookText"/>
      </w:pPr>
      <w:r>
        <w:rPr>
          <w:rFonts w:ascii="Amiri" w:hAnsi="Amiri" w:eastAsia="Amiri" w:cs="Amiri"/>
          <w:lang w:bidi="ar-SA"/>
          <w:color w:val="111111"/>
          <w:sz w:val="28"/>
          <w:szCs w:val="28"/>
          <w:rtl/>
        </w:rPr>
        <w:t xml:space="preserve">اللغة، ج 15، ص 439.</w:t>
      </w:r>
    </w:p>
    <w:p>
      <w:pPr>
        <w:pStyle w:val="BookText"/>
      </w:pPr>
      <w:r>
        <w:rPr>
          <w:rFonts w:ascii="IRNazanin" w:hAnsi="IRNazanin" w:eastAsia="IRNazanin" w:cs="IRNazanin"/>
          <w:lang w:bidi="fa-IR"/>
          <w:color w:val="111111"/>
          <w:sz w:val="28"/>
          <w:szCs w:val="28"/>
          <w:rtl/>
        </w:rPr>
        <w:t xml:space="preserve">21 .مهذب الأسماء، ج 15، ص 843.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النصايح الكبرى = نصايح كبار -</w:t>
      </w:r>
    </w:p>
    <w:p>
      <w:pPr>
        <w:pStyle w:val="BookText"/>
      </w:pPr>
      <w:r>
        <w:rPr>
          <w:rFonts w:ascii="IRNazanin" w:hAnsi="IRNazanin" w:eastAsia="IRNazanin" w:cs="IRNazanin"/>
          <w:lang w:bidi="fa-IR"/>
          <w:color w:val="111111"/>
          <w:sz w:val="28"/>
          <w:szCs w:val="28"/>
          <w:rtl/>
        </w:rPr>
        <w:t xml:space="preserve">المقامات، ج 16، ص 300.</w:t>
      </w:r>
    </w:p>
    <w:p>
      <w:pPr>
        <w:pStyle w:val="BookText"/>
      </w:pPr>
      <w:r>
        <w:rPr>
          <w:rFonts w:ascii="Amiri" w:hAnsi="Amiri" w:eastAsia="Amiri" w:cs="Amiri"/>
          <w:lang w:bidi="ar-SA"/>
          <w:color w:val="111111"/>
          <w:sz w:val="28"/>
          <w:szCs w:val="28"/>
          <w:rtl/>
        </w:rPr>
        <w:t xml:space="preserve">23 .نوابغ الكلم = الكلم النوابغ =</w:t>
      </w:r>
    </w:p>
    <w:p>
      <w:pPr>
        <w:pStyle w:val="BookText"/>
      </w:pPr>
      <w:r>
        <w:rPr>
          <w:rFonts w:ascii="IRNazanin" w:hAnsi="IRNazanin" w:eastAsia="IRNazanin" w:cs="IRNazanin"/>
          <w:lang w:bidi="fa-IR"/>
          <w:color w:val="111111"/>
          <w:sz w:val="28"/>
          <w:szCs w:val="28"/>
          <w:rtl/>
        </w:rPr>
        <w:t xml:space="preserve">الامثال، ج 16، ص 536.</w:t>
      </w:r>
    </w:p>
    <w:p>
      <w:pPr>
        <w:pStyle w:val="Heading2"/>
      </w:pPr>
      <w:bookmarkStart w:id="4657" w:name="_Toc3759"/>
      <w:r>
        <w:t>زمزمي ، ابوالفتح بن اسماعيل قرن 9 ه-</w:t>
      </w:r>
      <w:bookmarkEnd w:id="4657"/>
    </w:p>
    <w:p>
      <w:pPr>
        <w:pStyle w:val="BookText"/>
      </w:pPr>
      <w:r>
        <w:rPr>
          <w:rFonts w:ascii="IRNazanin" w:hAnsi="IRNazanin" w:eastAsia="IRNazanin" w:cs="IRNazanin"/>
          <w:lang w:bidi="fa-IR"/>
          <w:color w:val="111111"/>
          <w:sz w:val="28"/>
          <w:szCs w:val="28"/>
          <w:rtl/>
        </w:rPr>
        <w:t xml:space="preserve">شرح الدرر اللوامع لعمل الأقدام و</w:t>
      </w:r>
    </w:p>
    <w:p>
      <w:pPr>
        <w:pStyle w:val="BookText"/>
      </w:pPr>
      <w:r>
        <w:rPr>
          <w:rFonts w:ascii="IRNazanin" w:hAnsi="IRNazanin" w:eastAsia="IRNazanin" w:cs="IRNazanin"/>
          <w:lang w:bidi="fa-IR"/>
          <w:color w:val="111111"/>
          <w:sz w:val="28"/>
          <w:szCs w:val="28"/>
          <w:rtl/>
        </w:rPr>
        <w:t xml:space="preserve">الأصابع، ج 9، ص 457.</w:t>
      </w:r>
    </w:p>
    <w:p>
      <w:pPr>
        <w:pStyle w:val="Heading2"/>
      </w:pPr>
      <w:bookmarkStart w:id="4658" w:name="_Toc3760"/>
      <w:r>
        <w:t>زمزمي ، عبدالعزيز بن علي، 900 - 963؟</w:t>
      </w:r>
      <w:bookmarkEnd w:id="4658"/>
    </w:p>
    <w:p>
      <w:pPr>
        <w:pStyle w:val="BookText"/>
      </w:pPr>
      <w:r>
        <w:rPr>
          <w:rFonts w:ascii="Amiri" w:hAnsi="Amiri" w:eastAsia="Amiri" w:cs="Amiri"/>
          <w:lang w:bidi="ar-SA"/>
          <w:color w:val="111111"/>
          <w:sz w:val="28"/>
          <w:szCs w:val="28"/>
          <w:rtl/>
        </w:rPr>
        <w:t xml:space="preserve">الفتح المبين في شرح سيد المرسلين</w:t>
      </w:r>
    </w:p>
    <w:p>
      <w:pPr>
        <w:pStyle w:val="BookText"/>
      </w:pPr>
      <w:r>
        <w:rPr>
          <w:rFonts w:ascii="IRNazanin" w:hAnsi="IRNazanin" w:eastAsia="IRNazanin" w:cs="IRNazanin"/>
          <w:lang w:bidi="fa-IR"/>
          <w:color w:val="111111"/>
          <w:sz w:val="28"/>
          <w:szCs w:val="28"/>
          <w:rtl/>
        </w:rPr>
        <w:t xml:space="preserve">ج 11، ص 676.</w:t>
      </w:r>
    </w:p>
    <w:p>
      <w:pPr>
        <w:pStyle w:val="Heading2"/>
      </w:pPr>
      <w:bookmarkStart w:id="4659" w:name="_Toc3761"/>
      <w:r>
        <w:t>زناتي ، ابوالحسن علي قرن 13 ه-</w:t>
      </w:r>
      <w:bookmarkEnd w:id="4659"/>
    </w:p>
    <w:p>
      <w:pPr>
        <w:pStyle w:val="BookText"/>
      </w:pPr>
      <w:r>
        <w:rPr>
          <w:rFonts w:ascii="Amiri" w:hAnsi="Amiri" w:eastAsia="Amiri" w:cs="Amiri"/>
          <w:lang w:bidi="ar-SA"/>
          <w:color w:val="111111"/>
          <w:sz w:val="28"/>
          <w:szCs w:val="28"/>
          <w:rtl/>
        </w:rPr>
        <w:t xml:space="preserve">نجاة الروح وكنز ،الفتوح، ج 16،</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Amiri" w:hAnsi="Amiri" w:eastAsia="Amiri" w:cs="Amiri"/>
          <w:lang w:bidi="ar-SA"/>
          <w:color w:val="111111"/>
          <w:sz w:val="28"/>
          <w:szCs w:val="28"/>
          <w:rtl/>
        </w:rPr>
        <w:t xml:space="preserve">زناتي خلوتي ، علي -زناتي ، ابوالحسن علي</w:t>
      </w:r>
    </w:p>
    <w:p>
      <w:pPr>
        <w:pStyle w:val="Heading2"/>
      </w:pPr>
      <w:bookmarkStart w:id="4660" w:name="_Toc3762"/>
      <w:r>
        <w:t>زناتي ، محمّد</w:t>
      </w:r>
      <w:bookmarkEnd w:id="4660"/>
    </w:p>
    <w:p>
      <w:pPr>
        <w:pStyle w:val="BookText"/>
      </w:pPr>
      <w:r>
        <w:rPr>
          <w:rFonts w:ascii="Amiri" w:hAnsi="Amiri" w:eastAsia="Amiri" w:cs="Amiri"/>
          <w:lang w:bidi="ar-SA"/>
          <w:color w:val="111111"/>
          <w:sz w:val="28"/>
          <w:szCs w:val="28"/>
          <w:rtl/>
        </w:rPr>
        <w:t xml:space="preserve">1 .الفضل في اصول الرمل، ج 12،</w:t>
      </w:r>
    </w:p>
    <w:p>
      <w:pPr>
        <w:pStyle w:val="BookText"/>
      </w:pPr>
      <w:r>
        <w:rPr>
          <w:rFonts w:ascii="IRNazanin" w:hAnsi="IRNazanin" w:eastAsia="IRNazanin" w:cs="IRNazanin"/>
          <w:lang w:bidi="fa-IR"/>
          <w:color w:val="111111"/>
          <w:sz w:val="28"/>
          <w:szCs w:val="28"/>
          <w:rtl/>
        </w:rPr>
        <w:t xml:space="preserve">ص 28.</w:t>
      </w:r>
    </w:p>
    <w:p>
      <w:pPr>
        <w:pStyle w:val="BookText"/>
      </w:pPr>
      <w:r>
        <w:rPr>
          <w:rFonts w:ascii="Amiri" w:hAnsi="Amiri" w:eastAsia="Amiri" w:cs="Amiri"/>
          <w:lang w:bidi="ar-SA"/>
          <w:color w:val="111111"/>
          <w:sz w:val="28"/>
          <w:szCs w:val="28"/>
          <w:rtl/>
        </w:rPr>
        <w:t xml:space="preserve">2 .المرضية في الاعمال الرملية، ج 14</w:t>
      </w:r>
    </w:p>
    <w:p>
      <w:pPr>
        <w:pStyle w:val="BookText"/>
      </w:pPr>
      <w:r>
        <w:rPr>
          <w:rFonts w:ascii="IRNazanin" w:hAnsi="IRNazanin" w:eastAsia="IRNazanin" w:cs="IRNazanin"/>
          <w:lang w:bidi="fa-IR"/>
          <w:color w:val="111111"/>
          <w:sz w:val="28"/>
          <w:szCs w:val="28"/>
          <w:rtl/>
        </w:rPr>
        <w:t xml:space="preserve">ص 403 .</w:t>
      </w:r>
    </w:p>
    <w:p>
      <w:pPr>
        <w:pStyle w:val="BookText"/>
      </w:pPr>
      <w:r>
        <w:rPr>
          <w:rFonts w:ascii="IRNazanin" w:hAnsi="IRNazanin" w:eastAsia="IRNazanin" w:cs="IRNazanin"/>
          <w:lang w:bidi="fa-IR"/>
          <w:color w:val="111111"/>
          <w:sz w:val="28"/>
          <w:szCs w:val="28"/>
          <w:rtl/>
        </w:rPr>
        <w:t xml:space="preserve">زنبري ، ابوبکر- عكبري ، محمّد بن بشر</w:t>
      </w:r>
    </w:p>
    <w:p>
      <w:pPr>
        <w:pStyle w:val="BookText"/>
      </w:pPr>
      <w:r>
        <w:rPr>
          <w:rFonts w:ascii="Amiri" w:hAnsi="Amiri" w:eastAsia="Amiri" w:cs="Amiri"/>
          <w:lang w:bidi="ar-SA"/>
          <w:color w:val="111111"/>
          <w:sz w:val="28"/>
          <w:szCs w:val="28"/>
          <w:rtl/>
        </w:rPr>
        <w:t xml:space="preserve">زنبل ، احمد بن علي ابن زنبل ، احمد بن</w:t>
      </w:r>
    </w:p>
    <w:p>
      <w:pPr>
        <w:pStyle w:val="BookText"/>
      </w:pPr>
      <w:r>
        <w:rPr>
          <w:rFonts w:ascii="Amiri" w:hAnsi="Amiri" w:eastAsia="Amiri" w:cs="Amiri"/>
          <w:lang w:bidi="ar-SA"/>
          <w:color w:val="111111"/>
          <w:sz w:val="28"/>
          <w:szCs w:val="28"/>
          <w:rtl/>
        </w:rPr>
        <w:t xml:space="preserve">علي -</w:t>
      </w:r>
    </w:p>
    <w:p>
      <w:pPr>
        <w:pStyle w:val="BookText"/>
      </w:pPr>
      <w:r>
        <w:rPr>
          <w:rFonts w:ascii="Amiri" w:hAnsi="Amiri" w:eastAsia="Amiri" w:cs="Amiri"/>
          <w:lang w:bidi="ar-SA"/>
          <w:color w:val="111111"/>
          <w:sz w:val="28"/>
          <w:szCs w:val="28"/>
          <w:rtl/>
        </w:rPr>
        <w:t xml:space="preserve">زنبللي زاده ، فضيل بن علي- جمالي ،</w:t>
      </w:r>
    </w:p>
    <w:p>
      <w:pPr>
        <w:pStyle w:val="BookText"/>
      </w:pPr>
      <w:r>
        <w:rPr>
          <w:rFonts w:ascii="Amiri" w:hAnsi="Amiri" w:eastAsia="Amiri" w:cs="Amiri"/>
          <w:lang w:bidi="ar-SA"/>
          <w:color w:val="111111"/>
          <w:sz w:val="28"/>
          <w:szCs w:val="28"/>
          <w:rtl/>
        </w:rPr>
        <w:t xml:space="preserve">فضيل بن علي</w:t>
      </w:r>
    </w:p>
    <w:p>
      <w:pPr>
        <w:pStyle w:val="BookText"/>
      </w:pPr>
      <w:r>
        <w:rPr>
          <w:rFonts w:ascii="Amiri" w:hAnsi="Amiri" w:eastAsia="Amiri" w:cs="Amiri"/>
          <w:lang w:bidi="ar-SA"/>
          <w:color w:val="111111"/>
          <w:sz w:val="28"/>
          <w:szCs w:val="28"/>
          <w:rtl/>
        </w:rPr>
        <w:t xml:space="preserve">زنبيلي ، علي بن احمد -جمالي زنبيلي</w:t>
      </w:r>
    </w:p>
    <w:p>
      <w:pPr>
        <w:pStyle w:val="BookText"/>
      </w:pPr>
      <w:r>
        <w:rPr>
          <w:rFonts w:ascii="Amiri" w:hAnsi="Amiri" w:eastAsia="Amiri" w:cs="Amiri"/>
          <w:lang w:bidi="ar-SA"/>
          <w:color w:val="111111"/>
          <w:sz w:val="28"/>
          <w:szCs w:val="28"/>
          <w:rtl/>
        </w:rPr>
        <w:t xml:space="preserve">علي بن احمد</w:t>
      </w:r>
    </w:p>
    <w:p>
      <w:pPr>
        <w:pStyle w:val="BookText"/>
      </w:pPr>
      <w:r>
        <w:rPr>
          <w:rFonts w:ascii="Amiri" w:hAnsi="Amiri" w:eastAsia="Amiri" w:cs="Amiri"/>
          <w:lang w:bidi="ar-SA"/>
          <w:color w:val="111111"/>
          <w:sz w:val="28"/>
          <w:szCs w:val="28"/>
          <w:rtl/>
        </w:rPr>
        <w:t xml:space="preserve">زنجاني ، ابراهيم بن عبد الوهاب - زنجاني ،</w:t>
      </w:r>
    </w:p>
    <w:p>
      <w:pPr>
        <w:pStyle w:val="BookText"/>
      </w:pPr>
      <w:r>
        <w:rPr>
          <w:rFonts w:ascii="Amiri" w:hAnsi="Amiri" w:eastAsia="Amiri" w:cs="Amiri"/>
          <w:lang w:bidi="ar-SA"/>
          <w:color w:val="111111"/>
          <w:sz w:val="28"/>
          <w:szCs w:val="28"/>
          <w:rtl/>
        </w:rPr>
        <w:t xml:space="preserve">عبد الوهاب بن ابراهيم</w:t>
      </w:r>
    </w:p>
    <w:p>
      <w:pPr>
        <w:pStyle w:val="Heading2"/>
      </w:pPr>
      <w:bookmarkStart w:id="4661" w:name="_Toc3763"/>
      <w:r>
        <w:t>زنجاني ، اسحاق بن حسن - 1100 ه-</w:t>
      </w:r>
      <w:bookmarkEnd w:id="4661"/>
    </w:p>
    <w:p>
      <w:pPr>
        <w:pStyle w:val="BookText"/>
      </w:pPr>
      <w:r>
        <w:rPr>
          <w:rFonts w:ascii="Amiri" w:hAnsi="Amiri" w:eastAsia="Amiri" w:cs="Amiri"/>
          <w:lang w:bidi="ar-SA"/>
          <w:color w:val="111111"/>
          <w:sz w:val="28"/>
          <w:szCs w:val="28"/>
          <w:rtl/>
        </w:rPr>
        <w:t xml:space="preserve">1 .شرح ذكر المتأهلين و النساء في تعريف الاطهار و الدماء، ج 9،</w:t>
      </w:r>
    </w:p>
    <w:p>
      <w:pPr>
        <w:pStyle w:val="BookText"/>
      </w:pPr>
      <w:r>
        <w:rPr>
          <w:rFonts w:ascii="IRNazanin" w:hAnsi="IRNazanin" w:eastAsia="IRNazanin" w:cs="IRNazanin"/>
          <w:lang w:bidi="fa-IR"/>
          <w:color w:val="111111"/>
          <w:sz w:val="28"/>
          <w:szCs w:val="28"/>
          <w:rtl/>
        </w:rPr>
        <w:t xml:space="preserve">ص 496.</w:t>
      </w:r>
    </w:p>
    <w:p>
      <w:pPr>
        <w:pStyle w:val="BookText"/>
      </w:pPr>
      <w:r>
        <w:rPr>
          <w:rFonts w:ascii="Amiri" w:hAnsi="Amiri" w:eastAsia="Amiri" w:cs="Amiri"/>
          <w:lang w:bidi="ar-SA"/>
          <w:color w:val="111111"/>
          <w:sz w:val="28"/>
          <w:szCs w:val="28"/>
          <w:rtl/>
        </w:rPr>
        <w:t xml:space="preserve">2 .ضياء القلوب في شرح جلاء القلوب</w:t>
      </w:r>
    </w:p>
    <w:p>
      <w:pPr>
        <w:pStyle w:val="BookText"/>
      </w:pPr>
      <w:r>
        <w:rPr>
          <w:rFonts w:ascii="IRNazanin" w:hAnsi="IRNazanin" w:eastAsia="IRNazanin" w:cs="IRNazanin"/>
          <w:lang w:bidi="fa-IR"/>
          <w:color w:val="111111"/>
          <w:sz w:val="28"/>
          <w:szCs w:val="28"/>
          <w:rtl/>
        </w:rPr>
        <w:t xml:space="preserve">ج 10، ص 723.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نظم العلوم، ج 16، ص 350.</w:t>
      </w:r>
    </w:p>
    <w:p>
      <w:pPr>
        <w:pStyle w:val="Heading2"/>
      </w:pPr>
      <w:bookmarkStart w:id="4662" w:name="_Toc3764"/>
      <w:r>
        <w:t>زنجاني ، اسدالله بن علي اكبر، 1282 -</w:t>
      </w:r>
      <w:bookmarkEnd w:id="4662"/>
    </w:p>
    <w:p>
      <w:pPr>
        <w:pStyle w:val="BookText"/>
      </w:pPr>
      <w:r>
        <w:rPr>
          <w:rFonts w:ascii="IRNazanin" w:hAnsi="IRNazanin" w:eastAsia="IRNazanin" w:cs="IRNazanin"/>
          <w:lang w:bidi="fa-IR"/>
          <w:color w:val="111111"/>
          <w:sz w:val="28"/>
          <w:szCs w:val="28"/>
          <w:rtl/>
        </w:rPr>
        <w:t xml:space="preserve">1354 ه-</w:t>
      </w:r>
    </w:p>
    <w:p>
      <w:pPr>
        <w:pStyle w:val="BookText"/>
      </w:pPr>
      <w:r>
        <w:rPr>
          <w:rFonts w:ascii="IRNazanin" w:hAnsi="IRNazanin" w:eastAsia="IRNazanin" w:cs="IRNazanin"/>
          <w:lang w:bidi="fa-IR"/>
          <w:color w:val="111111"/>
          <w:sz w:val="28"/>
          <w:szCs w:val="28"/>
          <w:rtl/>
        </w:rPr>
        <w:t xml:space="preserve">1 .اصول الفقه، ج2، ص 439.</w:t>
      </w:r>
    </w:p>
    <w:p>
      <w:pPr>
        <w:pStyle w:val="BookText"/>
      </w:pPr>
      <w:r>
        <w:rPr>
          <w:rFonts w:ascii="Amiri" w:hAnsi="Amiri" w:eastAsia="Amiri" w:cs="Amiri"/>
          <w:lang w:bidi="ar-SA"/>
          <w:color w:val="111111"/>
          <w:sz w:val="28"/>
          <w:szCs w:val="28"/>
          <w:rtl/>
        </w:rPr>
        <w:t xml:space="preserve">2 .تنجيس المتنجس (رسالة في)، جه،</w:t>
      </w:r>
    </w:p>
    <w:p>
      <w:pPr>
        <w:pStyle w:val="BookText"/>
      </w:pPr>
      <w:r>
        <w:rPr>
          <w:rFonts w:ascii="IRNazanin" w:hAnsi="IRNazanin" w:eastAsia="IRNazanin" w:cs="IRNazanin"/>
          <w:lang w:bidi="fa-IR"/>
          <w:color w:val="111111"/>
          <w:sz w:val="28"/>
          <w:szCs w:val="28"/>
          <w:rtl/>
        </w:rPr>
        <w:t xml:space="preserve">ص 45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الطهارة، ج 10، ص 859.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الفقه، ج 12، ص 52.</w:t>
      </w:r>
    </w:p>
    <w:p>
      <w:pPr>
        <w:pStyle w:val="BookText"/>
      </w:pPr>
      <w:r>
        <w:rPr>
          <w:rFonts w:ascii="Amiri" w:hAnsi="Amiri" w:eastAsia="Amiri" w:cs="Amiri"/>
          <w:lang w:bidi="ar-SA"/>
          <w:color w:val="111111"/>
          <w:sz w:val="28"/>
          <w:szCs w:val="28"/>
          <w:rtl/>
        </w:rPr>
        <w:t xml:space="preserve">زنجاني ، جواد بن محرمعلي- طارمي</w:t>
      </w:r>
    </w:p>
    <w:p>
      <w:pPr>
        <w:pStyle w:val="BookText"/>
      </w:pPr>
      <w:r>
        <w:rPr>
          <w:rFonts w:ascii="Amiri" w:hAnsi="Amiri" w:eastAsia="Amiri" w:cs="Amiri"/>
          <w:lang w:bidi="ar-SA"/>
          <w:color w:val="111111"/>
          <w:sz w:val="28"/>
          <w:szCs w:val="28"/>
          <w:rtl/>
        </w:rPr>
        <w:t xml:space="preserve">جواد بن محرم علي</w:t>
      </w:r>
    </w:p>
    <w:p>
      <w:pPr>
        <w:pStyle w:val="Heading2"/>
      </w:pPr>
      <w:bookmarkStart w:id="4663" w:name="_Toc3765"/>
      <w:r>
        <w:t>زنجاني ، عبدالوهاب بن ابراهيم - 660؟</w:t>
      </w:r>
      <w:bookmarkEnd w:id="4663"/>
    </w:p>
    <w:p>
      <w:pPr>
        <w:pStyle w:val="BookText"/>
      </w:pPr>
      <w:r>
        <w:rPr>
          <w:rFonts w:ascii="Amiri" w:hAnsi="Amiri" w:eastAsia="Amiri" w:cs="Amiri"/>
          <w:lang w:bidi="ar-SA"/>
          <w:color w:val="111111"/>
          <w:sz w:val="28"/>
          <w:szCs w:val="28"/>
          <w:rtl/>
        </w:rPr>
        <w:t xml:space="preserve">1 .البناء في التصريف، ج 3، ص 407.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8" w:name="pg7742_70471"/>
    <w:bookmarkEnd w:id="538"/>
    <w:p>
      <w:pPr>
        <w:pStyle w:val="BookText"/>
      </w:pPr>
      <w:r>
        <w:rPr>
          <w:rFonts w:ascii="Amiri" w:hAnsi="Amiri" w:eastAsia="Amiri" w:cs="Amiri"/>
          <w:lang w:bidi="ar-SA"/>
          <w:color w:val="111111"/>
          <w:sz w:val="28"/>
          <w:szCs w:val="28"/>
          <w:rtl/>
        </w:rPr>
        <w:t xml:space="preserve">2 .العزي في التصريف = تصريف = التصريف العزي، ج 11، ص 107.</w:t>
      </w:r>
    </w:p>
    <w:p>
      <w:pPr>
        <w:pStyle w:val="BookText"/>
      </w:pPr>
      <w:r>
        <w:rPr>
          <w:rFonts w:ascii="Amiri" w:hAnsi="Amiri" w:eastAsia="Amiri" w:cs="Amiri"/>
          <w:lang w:bidi="ar-SA"/>
          <w:color w:val="111111"/>
          <w:sz w:val="28"/>
          <w:szCs w:val="28"/>
          <w:rtl/>
        </w:rPr>
        <w:t xml:space="preserve">3 .فوائد في معيار النظار و علوم</w:t>
      </w:r>
    </w:p>
    <w:p>
      <w:pPr>
        <w:pStyle w:val="BookText"/>
      </w:pPr>
      <w:r>
        <w:rPr>
          <w:rFonts w:ascii="IRNazanin" w:hAnsi="IRNazanin" w:eastAsia="IRNazanin" w:cs="IRNazanin"/>
          <w:lang w:bidi="fa-IR"/>
          <w:color w:val="111111"/>
          <w:sz w:val="28"/>
          <w:szCs w:val="28"/>
          <w:rtl/>
        </w:rPr>
        <w:t xml:space="preserve">الاشعار، ج 12، ص 261.</w:t>
      </w:r>
    </w:p>
    <w:p>
      <w:pPr>
        <w:pStyle w:val="BookText"/>
      </w:pPr>
      <w:r>
        <w:rPr>
          <w:rFonts w:ascii="Amiri" w:hAnsi="Amiri" w:eastAsia="Amiri" w:cs="Amiri"/>
          <w:lang w:bidi="ar-SA"/>
          <w:color w:val="111111"/>
          <w:sz w:val="28"/>
          <w:szCs w:val="28"/>
          <w:rtl/>
        </w:rPr>
        <w:t xml:space="preserve">4 .الكافية في علم الحساب، ج13،</w:t>
      </w:r>
    </w:p>
    <w:p>
      <w:pPr>
        <w:pStyle w:val="BookText"/>
      </w:pPr>
      <w:r>
        <w:rPr>
          <w:rFonts w:ascii="IRNazanin" w:hAnsi="IRNazanin" w:eastAsia="IRNazanin" w:cs="IRNazanin"/>
          <w:lang w:bidi="fa-IR"/>
          <w:color w:val="111111"/>
          <w:sz w:val="28"/>
          <w:szCs w:val="28"/>
          <w:rtl/>
        </w:rPr>
        <w:t xml:space="preserve">ص 59 .</w:t>
      </w:r>
    </w:p>
    <w:p>
      <w:pPr>
        <w:pStyle w:val="BookText"/>
      </w:pPr>
      <w:r>
        <w:rPr>
          <w:rFonts w:ascii="Amiri" w:hAnsi="Amiri" w:eastAsia="Amiri" w:cs="Amiri"/>
          <w:lang w:bidi="ar-SA"/>
          <w:color w:val="111111"/>
          <w:sz w:val="28"/>
          <w:szCs w:val="28"/>
          <w:rtl/>
        </w:rPr>
        <w:t xml:space="preserve">زنجاني ، عبدالوهاب بن محمّد -زنجاني ،</w:t>
      </w:r>
    </w:p>
    <w:p>
      <w:pPr>
        <w:pStyle w:val="BookText"/>
      </w:pPr>
      <w:r>
        <w:rPr>
          <w:rFonts w:ascii="Amiri" w:hAnsi="Amiri" w:eastAsia="Amiri" w:cs="Amiri"/>
          <w:lang w:bidi="ar-SA"/>
          <w:color w:val="111111"/>
          <w:sz w:val="28"/>
          <w:szCs w:val="28"/>
          <w:rtl/>
        </w:rPr>
        <w:t xml:space="preserve">عبد الوهاب بن ابراهيم</w:t>
      </w:r>
    </w:p>
    <w:p>
      <w:pPr>
        <w:pStyle w:val="Heading2"/>
      </w:pPr>
      <w:bookmarkStart w:id="4664" w:name="_Toc3766"/>
      <w:r>
        <w:t>زنجاني ، عزالدين يوسف قرن 8 ه-</w:t>
      </w:r>
      <w:bookmarkEnd w:id="4664"/>
    </w:p>
    <w:p>
      <w:pPr>
        <w:pStyle w:val="BookText"/>
      </w:pPr>
      <w:r>
        <w:rPr>
          <w:rFonts w:ascii="IRNazanin" w:hAnsi="IRNazanin" w:eastAsia="IRNazanin" w:cs="IRNazanin"/>
          <w:lang w:bidi="fa-IR"/>
          <w:color w:val="111111"/>
          <w:sz w:val="28"/>
          <w:szCs w:val="28"/>
          <w:rtl/>
        </w:rPr>
        <w:t xml:space="preserve">المدخل إلى علم الاسطرلاب، ج 14،</w:t>
      </w:r>
    </w:p>
    <w:p>
      <w:pPr>
        <w:pStyle w:val="BookText"/>
      </w:pPr>
      <w:r>
        <w:rPr>
          <w:rFonts w:ascii="IRNazanin" w:hAnsi="IRNazanin" w:eastAsia="IRNazanin" w:cs="IRNazanin"/>
          <w:lang w:bidi="fa-IR"/>
          <w:color w:val="111111"/>
          <w:sz w:val="28"/>
          <w:szCs w:val="28"/>
          <w:rtl/>
        </w:rPr>
        <w:t xml:space="preserve">ص 326.</w:t>
      </w:r>
    </w:p>
    <w:p>
      <w:pPr>
        <w:pStyle w:val="Heading2"/>
      </w:pPr>
      <w:bookmarkStart w:id="4665" w:name="_Toc3767"/>
      <w:r>
        <w:t>زنجاني ، علي اكبر بن رجبعلي قرن 13 ه-</w:t>
      </w:r>
      <w:bookmarkEnd w:id="4665"/>
    </w:p>
    <w:p>
      <w:pPr>
        <w:pStyle w:val="BookText"/>
      </w:pPr>
      <w:r>
        <w:rPr>
          <w:rFonts w:ascii="Amiri" w:hAnsi="Amiri" w:eastAsia="Amiri" w:cs="Amiri"/>
          <w:lang w:bidi="ar-SA"/>
          <w:color w:val="111111"/>
          <w:sz w:val="28"/>
          <w:szCs w:val="28"/>
          <w:rtl/>
        </w:rPr>
        <w:t xml:space="preserve">حاشية الرسائل، ج 5، ص 872.</w:t>
      </w:r>
    </w:p>
    <w:p>
      <w:pPr>
        <w:pStyle w:val="BookText"/>
      </w:pPr>
      <w:r>
        <w:rPr>
          <w:rFonts w:ascii="Amiri" w:hAnsi="Amiri" w:eastAsia="Amiri" w:cs="Amiri"/>
          <w:lang w:bidi="ar-SA"/>
          <w:color w:val="111111"/>
          <w:sz w:val="28"/>
          <w:szCs w:val="28"/>
          <w:rtl/>
        </w:rPr>
        <w:t xml:space="preserve">زنجاني ، علي بن محمّد- قزويني ، علي بن</w:t>
      </w:r>
    </w:p>
    <w:p>
      <w:pPr>
        <w:pStyle w:val="BookText"/>
      </w:pPr>
      <w:r>
        <w:rPr>
          <w:rFonts w:ascii="Amiri" w:hAnsi="Amiri" w:eastAsia="Amiri" w:cs="Amiri"/>
          <w:lang w:bidi="ar-SA"/>
          <w:color w:val="111111"/>
          <w:sz w:val="28"/>
          <w:szCs w:val="28"/>
          <w:rtl/>
        </w:rPr>
        <w:t xml:space="preserve">محمّد</w:t>
      </w:r>
    </w:p>
    <w:p>
      <w:pPr>
        <w:pStyle w:val="Heading2"/>
      </w:pPr>
      <w:bookmarkStart w:id="4666" w:name="_Toc3768"/>
      <w:r>
        <w:t>زنجاني ، علي بن محمّد حسين - 1136</w:t>
      </w:r>
      <w:bookmarkEnd w:id="4666"/>
    </w:p>
    <w:p>
      <w:pPr>
        <w:pStyle w:val="BookText"/>
      </w:pPr>
      <w:r>
        <w:rPr>
          <w:rFonts w:ascii="Amiri" w:hAnsi="Amiri" w:eastAsia="Amiri" w:cs="Amiri"/>
          <w:lang w:bidi="ar-SA"/>
          <w:color w:val="111111"/>
          <w:sz w:val="28"/>
          <w:szCs w:val="28"/>
          <w:rtl/>
        </w:rPr>
        <w:t xml:space="preserve">المنطق (ارجوزة) = هدية التهذيب</w:t>
      </w:r>
    </w:p>
    <w:p>
      <w:pPr>
        <w:pStyle w:val="BookText"/>
      </w:pPr>
      <w:r>
        <w:rPr>
          <w:rFonts w:ascii="IRNazanin" w:hAnsi="IRNazanin" w:eastAsia="IRNazanin" w:cs="IRNazanin"/>
          <w:lang w:bidi="fa-IR"/>
          <w:color w:val="111111"/>
          <w:sz w:val="28"/>
          <w:szCs w:val="28"/>
          <w:rtl/>
        </w:rPr>
        <w:t xml:space="preserve">ج 15، ص 696.</w:t>
      </w:r>
    </w:p>
    <w:p>
      <w:pPr>
        <w:pStyle w:val="Heading2"/>
      </w:pPr>
      <w:bookmarkStart w:id="4667" w:name="_Toc3769"/>
      <w:r>
        <w:t>زنجاني ، فتحعلي</w:t>
      </w:r>
      <w:bookmarkEnd w:id="4667"/>
    </w:p>
    <w:p>
      <w:pPr>
        <w:pStyle w:val="BookText"/>
      </w:pPr>
      <w:r>
        <w:rPr>
          <w:rFonts w:ascii="Amiri" w:hAnsi="Amiri" w:eastAsia="Amiri" w:cs="Amiri"/>
          <w:lang w:bidi="ar-SA"/>
          <w:color w:val="111111"/>
          <w:sz w:val="28"/>
          <w:szCs w:val="28"/>
          <w:rtl/>
        </w:rPr>
        <w:t xml:space="preserve">مفتاح اللباب في شرح خلاصة الحساب، ج 15، ص228</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زنجاني قزويني ، علي بن محمّد- قزويني ،</w:t>
      </w:r>
    </w:p>
    <w:p>
      <w:pPr>
        <w:pStyle w:val="BookText"/>
      </w:pPr>
      <w:r>
        <w:rPr>
          <w:rFonts w:ascii="Amiri" w:hAnsi="Amiri" w:eastAsia="Amiri" w:cs="Amiri"/>
          <w:lang w:bidi="ar-SA"/>
          <w:color w:val="111111"/>
          <w:sz w:val="28"/>
          <w:szCs w:val="28"/>
          <w:rtl/>
        </w:rPr>
        <w:t xml:space="preserve">علي بن محمّد</w:t>
      </w:r>
    </w:p>
    <w:p>
      <w:pPr>
        <w:pStyle w:val="Heading2"/>
      </w:pPr>
      <w:bookmarkStart w:id="4668" w:name="_Toc3770"/>
      <w:r>
        <w:t>زنجاني ، محمّد بن علي - 1210 ه-</w:t>
      </w:r>
      <w:bookmarkEnd w:id="4668"/>
    </w:p>
    <w:p>
      <w:pPr>
        <w:pStyle w:val="BookText"/>
      </w:pPr>
      <w:r>
        <w:rPr>
          <w:rFonts w:ascii="Amiri" w:hAnsi="Amiri" w:eastAsia="Amiri" w:cs="Amiri"/>
          <w:lang w:bidi="ar-SA"/>
          <w:color w:val="111111"/>
          <w:sz w:val="28"/>
          <w:szCs w:val="28"/>
          <w:rtl/>
        </w:rPr>
        <w:t xml:space="preserve">إثبات إمامة أمير المؤمنين (ع)، ج1،</w:t>
      </w:r>
    </w:p>
    <w:p>
      <w:pPr>
        <w:pStyle w:val="BookText"/>
      </w:pPr>
      <w:r>
        <w:rPr>
          <w:rFonts w:ascii="IRNazanin" w:hAnsi="IRNazanin" w:eastAsia="IRNazanin" w:cs="IRNazanin"/>
          <w:lang w:bidi="fa-IR"/>
          <w:color w:val="111111"/>
          <w:sz w:val="28"/>
          <w:szCs w:val="28"/>
          <w:rtl/>
        </w:rPr>
        <w:t xml:space="preserve">ص 147.</w:t>
      </w:r>
    </w:p>
    <w:p>
      <w:pPr>
        <w:pStyle w:val="Heading2"/>
      </w:pPr>
      <w:bookmarkStart w:id="4669" w:name="_Toc3771"/>
      <w:r>
        <w:t>زنجاني ، محمود بن احمد - 656 ه-</w:t>
      </w:r>
      <w:bookmarkEnd w:id="46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ترويح الارواح في تهذيب الصحاح</w:t>
      </w:r>
    </w:p>
    <w:p>
      <w:pPr>
        <w:pStyle w:val="BookText"/>
      </w:pPr>
      <w:r>
        <w:rPr>
          <w:rFonts w:ascii="IRNazanin" w:hAnsi="IRNazanin" w:eastAsia="IRNazanin" w:cs="IRNazanin"/>
          <w:lang w:bidi="fa-IR"/>
          <w:color w:val="111111"/>
          <w:sz w:val="28"/>
          <w:szCs w:val="28"/>
          <w:rtl/>
        </w:rPr>
        <w:t xml:space="preserve">ج 4، ص 314.</w:t>
      </w:r>
    </w:p>
    <w:p>
      <w:pPr>
        <w:pStyle w:val="BookText"/>
      </w:pPr>
      <w:r>
        <w:rPr>
          <w:rFonts w:ascii="Amiri" w:hAnsi="Amiri" w:eastAsia="Amiri" w:cs="Amiri"/>
          <w:lang w:bidi="ar-SA"/>
          <w:color w:val="111111"/>
          <w:sz w:val="28"/>
          <w:szCs w:val="28"/>
          <w:rtl/>
        </w:rPr>
        <w:t xml:space="preserve">2 .مختصر ترويح الارواح في تهذيب</w:t>
      </w:r>
    </w:p>
    <w:p>
      <w:pPr>
        <w:pStyle w:val="BookText"/>
      </w:pPr>
      <w:r>
        <w:rPr>
          <w:rFonts w:ascii="IRNazanin" w:hAnsi="IRNazanin" w:eastAsia="IRNazanin" w:cs="IRNazanin"/>
          <w:lang w:bidi="fa-IR"/>
          <w:color w:val="111111"/>
          <w:sz w:val="28"/>
          <w:szCs w:val="28"/>
          <w:rtl/>
        </w:rPr>
        <w:t xml:space="preserve">الصحاح، ج 14، ص 182</w:t>
      </w:r>
    </w:p>
    <w:p>
      <w:pPr>
        <w:pStyle w:val="BookText"/>
      </w:pPr>
      <w:r>
        <w:rPr>
          <w:rFonts w:ascii="Amiri" w:hAnsi="Amiri" w:eastAsia="Amiri" w:cs="Amiri"/>
          <w:lang w:bidi="ar-SA"/>
          <w:color w:val="111111"/>
          <w:sz w:val="28"/>
          <w:szCs w:val="28"/>
          <w:rtl/>
        </w:rPr>
        <w:t xml:space="preserve">زنجاني ، مرتضى بن يحيى -حسيني زنجاني</w:t>
      </w:r>
    </w:p>
    <w:p>
      <w:pPr>
        <w:pStyle w:val="BookText"/>
      </w:pPr>
      <w:r>
        <w:rPr>
          <w:rFonts w:ascii="Amiri" w:hAnsi="Amiri" w:eastAsia="Amiri" w:cs="Amiri"/>
          <w:lang w:bidi="ar-SA"/>
          <w:color w:val="111111"/>
          <w:sz w:val="28"/>
          <w:szCs w:val="28"/>
          <w:rtl/>
        </w:rPr>
        <w:t xml:space="preserve">، مرتضى بن يحيى</w:t>
      </w:r>
    </w:p>
    <w:p>
      <w:pPr>
        <w:pStyle w:val="BookText"/>
      </w:pPr>
      <w:r>
        <w:rPr>
          <w:rFonts w:ascii="Amiri" w:hAnsi="Amiri" w:eastAsia="Amiri" w:cs="Amiri"/>
          <w:lang w:bidi="ar-SA"/>
          <w:color w:val="111111"/>
          <w:sz w:val="28"/>
          <w:szCs w:val="28"/>
          <w:rtl/>
        </w:rPr>
        <w:t xml:space="preserve">زنجاني ، يحيى بن ابراهيم -معظم ، يحيى</w:t>
      </w:r>
    </w:p>
    <w:p>
      <w:pPr>
        <w:pStyle w:val="BookText"/>
      </w:pPr>
      <w:r>
        <w:rPr>
          <w:rFonts w:ascii="Amiri" w:hAnsi="Amiri" w:eastAsia="Amiri" w:cs="Amiri"/>
          <w:lang w:bidi="ar-SA"/>
          <w:color w:val="111111"/>
          <w:sz w:val="28"/>
          <w:szCs w:val="28"/>
          <w:rtl/>
        </w:rPr>
        <w:t xml:space="preserve">بن ابراهيم</w:t>
      </w:r>
    </w:p>
    <w:p>
      <w:pPr>
        <w:pStyle w:val="Heading2"/>
      </w:pPr>
      <w:bookmarkStart w:id="4670" w:name="_Toc3772"/>
      <w:r>
        <w:t>زنجاني ، يحيى بن علي - 1050 ؟ ه-</w:t>
      </w:r>
      <w:bookmarkEnd w:id="4670"/>
    </w:p>
    <w:p>
      <w:pPr>
        <w:pStyle w:val="BookText"/>
      </w:pPr>
      <w:r>
        <w:rPr>
          <w:rFonts w:ascii="Amiri" w:hAnsi="Amiri" w:eastAsia="Amiri" w:cs="Amiri"/>
          <w:lang w:bidi="ar-SA"/>
          <w:color w:val="111111"/>
          <w:sz w:val="28"/>
          <w:szCs w:val="28"/>
          <w:rtl/>
        </w:rPr>
        <w:t xml:space="preserve">شرح العزي في التصريف = شرح</w:t>
      </w:r>
    </w:p>
    <w:p>
      <w:pPr>
        <w:pStyle w:val="BookText"/>
      </w:pPr>
      <w:r>
        <w:rPr>
          <w:rFonts w:ascii="Amiri" w:hAnsi="Amiri" w:eastAsia="Amiri" w:cs="Amiri"/>
          <w:lang w:bidi="ar-SA"/>
          <w:color w:val="111111"/>
          <w:sz w:val="28"/>
          <w:szCs w:val="28"/>
          <w:rtl/>
        </w:rPr>
        <w:t xml:space="preserve">التصريف العزي، ج 9، ص708.</w:t>
      </w:r>
    </w:p>
    <w:p>
      <w:pPr>
        <w:pStyle w:val="BookText"/>
      </w:pPr>
      <w:r>
        <w:rPr>
          <w:rFonts w:ascii="Amiri" w:hAnsi="Amiri" w:eastAsia="Amiri" w:cs="Amiri"/>
          <w:lang w:bidi="ar-SA"/>
          <w:color w:val="111111"/>
          <w:sz w:val="28"/>
          <w:szCs w:val="28"/>
          <w:rtl/>
        </w:rPr>
        <w:t xml:space="preserve">زنجاني ، يوسف- زنجاني ، عزالدين يوسف</w:t>
      </w:r>
    </w:p>
    <w:p>
      <w:pPr>
        <w:pStyle w:val="BookText"/>
      </w:pPr>
      <w:r>
        <w:rPr>
          <w:rFonts w:ascii="Amiri" w:hAnsi="Amiri" w:eastAsia="Amiri" w:cs="Amiri"/>
          <w:lang w:bidi="ar-SA"/>
          <w:color w:val="111111"/>
          <w:sz w:val="28"/>
          <w:szCs w:val="28"/>
          <w:rtl/>
        </w:rPr>
        <w:t xml:space="preserve">زنجي ، محمود بن عمر -سجزي ، محمود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زندوستي ، ابوالحسن بن يحيى- زندوستي</w:t>
      </w:r>
    </w:p>
    <w:p>
      <w:pPr>
        <w:pStyle w:val="BookText"/>
      </w:pPr>
      <w:r>
        <w:rPr>
          <w:rFonts w:ascii="Amiri" w:hAnsi="Amiri" w:eastAsia="Amiri" w:cs="Amiri"/>
          <w:lang w:bidi="ar-SA"/>
          <w:color w:val="111111"/>
          <w:sz w:val="28"/>
          <w:szCs w:val="28"/>
          <w:rtl/>
        </w:rPr>
        <w:t xml:space="preserve">، علي بن حسين</w:t>
      </w:r>
    </w:p>
    <w:p>
      <w:pPr>
        <w:pStyle w:val="BookText"/>
      </w:pPr>
      <w:r>
        <w:rPr>
          <w:rFonts w:ascii="Amiri" w:hAnsi="Amiri" w:eastAsia="Amiri" w:cs="Amiri"/>
          <w:lang w:bidi="ar-SA"/>
          <w:color w:val="111111"/>
          <w:sz w:val="28"/>
          <w:szCs w:val="28"/>
          <w:rtl/>
        </w:rPr>
        <w:t xml:space="preserve">زندوستي ، حسين بن يحيى -زندوستي ، علي بن حسين</w:t>
      </w:r>
    </w:p>
    <w:p>
      <w:pPr>
        <w:pStyle w:val="Heading2"/>
      </w:pPr>
      <w:bookmarkStart w:id="4671" w:name="_Toc3773"/>
      <w:r>
        <w:t>زندوستي ، علي بن حسين - 382 ؟ ه-</w:t>
      </w:r>
      <w:bookmarkEnd w:id="4671"/>
    </w:p>
    <w:p>
      <w:pPr>
        <w:pStyle w:val="BookText"/>
      </w:pPr>
      <w:r>
        <w:rPr>
          <w:rFonts w:ascii="Amiri" w:hAnsi="Amiri" w:eastAsia="Amiri" w:cs="Amiri"/>
          <w:lang w:bidi="ar-SA"/>
          <w:color w:val="111111"/>
          <w:sz w:val="28"/>
          <w:szCs w:val="28"/>
          <w:rtl/>
        </w:rPr>
        <w:t xml:space="preserve">روضة العلماء و نزهة الفضلاء، ج 8،</w:t>
      </w:r>
    </w:p>
    <w:p>
      <w:pPr>
        <w:pStyle w:val="BookText"/>
      </w:pPr>
      <w:r>
        <w:rPr>
          <w:rFonts w:ascii="IRNazanin" w:hAnsi="IRNazanin" w:eastAsia="IRNazanin" w:cs="IRNazanin"/>
          <w:lang w:bidi="fa-IR"/>
          <w:color w:val="111111"/>
          <w:sz w:val="28"/>
          <w:szCs w:val="28"/>
          <w:rtl/>
        </w:rPr>
        <w:t xml:space="preserve">ص 445.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9" w:name="pg7742_70473"/>
    <w:bookmarkEnd w:id="539"/>
    <w:p>
      <w:pPr>
        <w:pStyle w:val="BookText"/>
      </w:pPr>
      <w:r>
        <w:rPr>
          <w:rFonts w:ascii="Amiri" w:hAnsi="Amiri" w:eastAsia="Amiri" w:cs="Amiri"/>
          <w:lang w:bidi="ar-SA"/>
          <w:color w:val="111111"/>
          <w:sz w:val="28"/>
          <w:szCs w:val="28"/>
          <w:rtl/>
        </w:rPr>
        <w:t xml:space="preserve">زندوستي ، علي بن يحيى -زندوستي ، علي</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زندوي ، محمّد بن محمّد -بخاري زندوي ، محمّد بن محمّد</w:t>
      </w:r>
    </w:p>
    <w:p>
      <w:pPr>
        <w:pStyle w:val="Heading2"/>
      </w:pPr>
      <w:bookmarkStart w:id="4672" w:name="_Toc3774"/>
      <w:r>
        <w:t>زنطاح حكيم</w:t>
      </w:r>
      <w:bookmarkEnd w:id="4672"/>
    </w:p>
    <w:p>
      <w:pPr>
        <w:pStyle w:val="BookText"/>
      </w:pPr>
      <w:r>
        <w:rPr>
          <w:rFonts w:ascii="IRNazanin" w:hAnsi="IRNazanin" w:eastAsia="IRNazanin" w:cs="IRNazanin"/>
          <w:lang w:bidi="fa-IR"/>
          <w:color w:val="111111"/>
          <w:sz w:val="28"/>
          <w:szCs w:val="28"/>
          <w:rtl/>
        </w:rPr>
        <w:t xml:space="preserve">السموم، ج8، ص833.</w:t>
      </w:r>
    </w:p>
    <w:p>
      <w:pPr>
        <w:pStyle w:val="Heading2"/>
      </w:pPr>
      <w:bookmarkStart w:id="4673" w:name="_Toc3775"/>
      <w:r>
        <w:t>زنكلوني ، ابوبكر بن اسماعيل - 740 ه-</w:t>
      </w:r>
      <w:bookmarkEnd w:id="4673"/>
    </w:p>
    <w:p>
      <w:pPr>
        <w:pStyle w:val="BookText"/>
      </w:pPr>
      <w:r>
        <w:rPr>
          <w:rFonts w:ascii="Amiri" w:hAnsi="Amiri" w:eastAsia="Amiri" w:cs="Amiri"/>
          <w:lang w:bidi="ar-SA"/>
          <w:color w:val="111111"/>
          <w:sz w:val="28"/>
          <w:szCs w:val="28"/>
          <w:rtl/>
        </w:rPr>
        <w:t xml:space="preserve">تحفة النبيه في شرح التنبيه، جع،</w:t>
      </w:r>
    </w:p>
    <w:p>
      <w:pPr>
        <w:pStyle w:val="BookText"/>
      </w:pPr>
      <w:r>
        <w:rPr>
          <w:rFonts w:ascii="IRNazanin" w:hAnsi="IRNazanin" w:eastAsia="IRNazanin" w:cs="IRNazanin"/>
          <w:lang w:bidi="fa-IR"/>
          <w:color w:val="111111"/>
          <w:sz w:val="28"/>
          <w:szCs w:val="28"/>
          <w:rtl/>
        </w:rPr>
        <w:t xml:space="preserve">ص 34.</w:t>
      </w:r>
    </w:p>
    <w:p>
      <w:pPr>
        <w:pStyle w:val="Heading2"/>
      </w:pPr>
      <w:bookmarkStart w:id="4674" w:name="_Toc3776"/>
      <w:r>
        <w:t>زنگنه ، حسين علي بن علي قرن 11 ه-</w:t>
      </w:r>
      <w:bookmarkEnd w:id="4674"/>
    </w:p>
    <w:p>
      <w:pPr>
        <w:pStyle w:val="BookText"/>
      </w:pPr>
      <w:r>
        <w:rPr>
          <w:rFonts w:ascii="Amiri" w:hAnsi="Amiri" w:eastAsia="Amiri" w:cs="Amiri"/>
          <w:lang w:bidi="ar-SA"/>
          <w:color w:val="111111"/>
          <w:sz w:val="28"/>
          <w:szCs w:val="28"/>
          <w:rtl/>
        </w:rPr>
        <w:t xml:space="preserve">بديع البيان لمعان القرآن - بدايع</w:t>
      </w:r>
    </w:p>
    <w:p>
      <w:pPr>
        <w:pStyle w:val="BookText"/>
      </w:pPr>
      <w:r>
        <w:rPr>
          <w:rFonts w:ascii="Amiri" w:hAnsi="Amiri" w:eastAsia="Amiri" w:cs="Amiri"/>
          <w:lang w:bidi="ar-SA"/>
          <w:color w:val="111111"/>
          <w:sz w:val="28"/>
          <w:szCs w:val="28"/>
          <w:rtl/>
        </w:rPr>
        <w:t xml:space="preserve">البيان، ج 3، ص 276.</w:t>
      </w:r>
    </w:p>
    <w:p>
      <w:pPr>
        <w:pStyle w:val="Heading2"/>
      </w:pPr>
      <w:bookmarkStart w:id="4675" w:name="_Toc3777"/>
      <w:r>
        <w:t>زنگي ، خسرو بن محمّد</w:t>
      </w:r>
      <w:bookmarkEnd w:id="4675"/>
    </w:p>
    <w:p>
      <w:pPr>
        <w:pStyle w:val="BookText"/>
      </w:pPr>
      <w:r>
        <w:rPr>
          <w:rFonts w:ascii="IRNazanin" w:hAnsi="IRNazanin" w:eastAsia="IRNazanin" w:cs="IRNazanin"/>
          <w:lang w:bidi="fa-IR"/>
          <w:color w:val="111111"/>
          <w:sz w:val="28"/>
          <w:szCs w:val="28"/>
          <w:rtl/>
        </w:rPr>
        <w:t xml:space="preserve">اعداد وفق، ج2، ص 526.</w:t>
      </w:r>
    </w:p>
    <w:p>
      <w:pPr>
        <w:pStyle w:val="BookText"/>
      </w:pPr>
      <w:r>
        <w:rPr>
          <w:rFonts w:ascii="Amiri" w:hAnsi="Amiri" w:eastAsia="Amiri" w:cs="Amiri"/>
          <w:lang w:bidi="ar-SA"/>
          <w:color w:val="111111"/>
          <w:sz w:val="28"/>
          <w:szCs w:val="28"/>
          <w:rtl/>
        </w:rPr>
        <w:t xml:space="preserve">زنوزي ، حسن بن عبدالرسول - زنوزي</w:t>
      </w:r>
    </w:p>
    <w:p>
      <w:pPr>
        <w:pStyle w:val="BookText"/>
      </w:pPr>
      <w:r>
        <w:rPr>
          <w:rFonts w:ascii="IRNazanin" w:hAnsi="IRNazanin" w:eastAsia="IRNazanin" w:cs="IRNazanin"/>
          <w:lang w:bidi="fa-IR"/>
          <w:color w:val="111111"/>
          <w:sz w:val="28"/>
          <w:szCs w:val="28"/>
          <w:rtl/>
        </w:rPr>
        <w:t xml:space="preserve">محمّد حسن بن عبدالرسول</w:t>
      </w:r>
    </w:p>
    <w:p>
      <w:pPr>
        <w:pStyle w:val="Heading2"/>
      </w:pPr>
      <w:bookmarkStart w:id="4676" w:name="_Toc3778"/>
      <w:r>
        <w:t>زنوزي ، محمّد حسن بن عبدالرسول</w:t>
      </w:r>
      <w:bookmarkEnd w:id="4676"/>
    </w:p>
    <w:p>
      <w:pPr>
        <w:pStyle w:val="BookText"/>
      </w:pPr>
      <w:r>
        <w:rPr>
          <w:rFonts w:ascii="IRNazanin" w:hAnsi="IRNazanin" w:eastAsia="IRNazanin" w:cs="IRNazanin"/>
          <w:lang w:bidi="fa-IR"/>
          <w:color w:val="111111"/>
          <w:sz w:val="28"/>
          <w:szCs w:val="28"/>
          <w:rtl/>
        </w:rPr>
        <w:t xml:space="preserve">1172 - 1218 ه-</w:t>
      </w:r>
    </w:p>
    <w:p>
      <w:pPr>
        <w:pStyle w:val="BookText"/>
      </w:pPr>
      <w:r>
        <w:rPr>
          <w:rFonts w:ascii="Amiri" w:hAnsi="Amiri" w:eastAsia="Amiri" w:cs="Amiri"/>
          <w:lang w:bidi="ar-SA"/>
          <w:color w:val="111111"/>
          <w:sz w:val="28"/>
          <w:szCs w:val="28"/>
          <w:rtl/>
        </w:rPr>
        <w:t xml:space="preserve">روضة الآمال في ترجمة زبدة الأعمال</w:t>
      </w:r>
    </w:p>
    <w:p>
      <w:pPr>
        <w:pStyle w:val="BookText"/>
      </w:pPr>
      <w:r>
        <w:rPr>
          <w:rFonts w:ascii="IRNazanin" w:hAnsi="IRNazanin" w:eastAsia="IRNazanin" w:cs="IRNazanin"/>
          <w:lang w:bidi="fa-IR"/>
          <w:color w:val="111111"/>
          <w:sz w:val="28"/>
          <w:szCs w:val="28"/>
          <w:rtl/>
        </w:rPr>
        <w:t xml:space="preserve">ج8، ص399</w:t>
      </w:r>
    </w:p>
    <w:p>
      <w:pPr>
        <w:pStyle w:val="Heading2"/>
      </w:pPr>
      <w:bookmarkStart w:id="4677" w:name="_Toc3779"/>
      <w:r>
        <w:t>زهاوي، جميل بن محمّد، 1280 - 1354</w:t>
      </w:r>
      <w:bookmarkEnd w:id="4677"/>
    </w:p>
    <w:p>
      <w:pPr>
        <w:pStyle w:val="BookText"/>
      </w:pPr>
      <w:r>
        <w:rPr>
          <w:rFonts w:ascii="Amiri" w:hAnsi="Amiri" w:eastAsia="Amiri" w:cs="Amiri"/>
          <w:lang w:bidi="ar-SA"/>
          <w:color w:val="111111"/>
          <w:sz w:val="28"/>
          <w:szCs w:val="28"/>
          <w:rtl/>
        </w:rPr>
        <w:t xml:space="preserve">1 .ترجمة الزهاوي جميل صدقي</w:t>
      </w:r>
    </w:p>
    <w:p>
      <w:pPr>
        <w:pStyle w:val="BookText"/>
      </w:pPr>
      <w:r>
        <w:rPr>
          <w:rFonts w:ascii="Amiri" w:hAnsi="Amiri" w:eastAsia="Amiri" w:cs="Amiri"/>
          <w:lang w:bidi="ar-SA"/>
          <w:color w:val="111111"/>
          <w:sz w:val="28"/>
          <w:szCs w:val="28"/>
          <w:rtl/>
        </w:rPr>
        <w:t xml:space="preserve">البغدادي، ج4، ص 272.</w:t>
      </w:r>
    </w:p>
    <w:p>
      <w:pPr>
        <w:pStyle w:val="BookText"/>
      </w:pPr>
      <w:r>
        <w:rPr>
          <w:rFonts w:ascii="Amiri" w:hAnsi="Amiri" w:eastAsia="Amiri" w:cs="Amiri"/>
          <w:lang w:bidi="ar-SA"/>
          <w:color w:val="111111"/>
          <w:sz w:val="28"/>
          <w:szCs w:val="28"/>
          <w:rtl/>
        </w:rPr>
        <w:t xml:space="preserve">2 .مجموعة الزهاوي، ج 14، ص 37.</w:t>
      </w:r>
    </w:p>
    <w:p>
      <w:pPr>
        <w:pStyle w:val="BookText"/>
      </w:pPr>
      <w:r>
        <w:rPr>
          <w:rFonts w:ascii="Amiri" w:hAnsi="Amiri" w:eastAsia="Amiri" w:cs="Amiri"/>
          <w:lang w:bidi="ar-SA"/>
          <w:color w:val="111111"/>
          <w:sz w:val="28"/>
          <w:szCs w:val="28"/>
          <w:rtl/>
        </w:rPr>
        <w:t xml:space="preserve">زهاوي زاده ، جميل بن محمّد -زهاوي ،</w:t>
      </w:r>
    </w:p>
    <w:p>
      <w:pPr>
        <w:pStyle w:val="BookText"/>
      </w:pPr>
      <w:r>
        <w:rPr>
          <w:rFonts w:ascii="Amiri" w:hAnsi="Amiri" w:eastAsia="Amiri" w:cs="Amiri"/>
          <w:lang w:bidi="ar-SA"/>
          <w:color w:val="111111"/>
          <w:sz w:val="28"/>
          <w:szCs w:val="28"/>
          <w:rtl/>
        </w:rPr>
        <w:t xml:space="preserve">جميل بن محمّد</w:t>
      </w:r>
    </w:p>
    <w:p>
      <w:pPr>
        <w:pStyle w:val="BookText"/>
      </w:pPr>
      <w:r>
        <w:rPr>
          <w:rFonts w:ascii="Amiri" w:hAnsi="Amiri" w:eastAsia="Amiri" w:cs="Amiri"/>
          <w:lang w:bidi="ar-SA"/>
          <w:color w:val="111111"/>
          <w:sz w:val="28"/>
          <w:szCs w:val="28"/>
          <w:rtl/>
        </w:rPr>
        <w:t xml:space="preserve">زهاوي ، محمّد بن عبد الرحيم- سنندجي</w:t>
      </w:r>
    </w:p>
    <w:p>
      <w:pPr>
        <w:pStyle w:val="BookText"/>
      </w:pPr>
      <w:r>
        <w:rPr>
          <w:rFonts w:ascii="IRNazanin" w:hAnsi="IRNazanin" w:eastAsia="IRNazanin" w:cs="IRNazanin"/>
          <w:lang w:bidi="fa-IR"/>
          <w:color w:val="111111"/>
          <w:sz w:val="28"/>
          <w:szCs w:val="28"/>
          <w:rtl/>
        </w:rPr>
        <w:t xml:space="preserve">محمّد بن عبدالرحیم</w:t>
      </w:r>
    </w:p>
    <w:p>
      <w:pPr>
        <w:pStyle w:val="Heading2"/>
      </w:pPr>
      <w:bookmarkStart w:id="4678" w:name="_Toc3780"/>
      <w:r>
        <w:t>زهاوي ، محمّد سعيد</w:t>
      </w:r>
      <w:bookmarkEnd w:id="4678"/>
    </w:p>
    <w:p>
      <w:pPr>
        <w:pStyle w:val="BookText"/>
      </w:pPr>
      <w:r>
        <w:rPr>
          <w:rFonts w:ascii="Amiri" w:hAnsi="Amiri" w:eastAsia="Amiri" w:cs="Amiri"/>
          <w:lang w:bidi="ar-SA"/>
          <w:color w:val="111111"/>
          <w:sz w:val="28"/>
          <w:szCs w:val="28"/>
          <w:rtl/>
        </w:rPr>
        <w:t xml:space="preserve">مجموعة مراسلات، ج 14، ص 56.</w:t>
      </w:r>
    </w:p>
    <w:p>
      <w:pPr>
        <w:pStyle w:val="BookText"/>
      </w:pPr>
      <w:r>
        <w:rPr>
          <w:rFonts w:ascii="Amiri" w:hAnsi="Amiri" w:eastAsia="Amiri" w:cs="Amiri"/>
          <w:lang w:bidi="ar-SA"/>
          <w:color w:val="111111"/>
          <w:sz w:val="28"/>
          <w:szCs w:val="28"/>
          <w:rtl/>
        </w:rPr>
        <w:t xml:space="preserve">زهراوي ، احمد بن محمّد- كواكبي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زهري اندلسي - زهراوي اندلسي ، خلف بن</w:t>
      </w:r>
    </w:p>
    <w:p>
      <w:pPr>
        <w:pStyle w:val="BookText"/>
      </w:pPr>
      <w:r>
        <w:rPr>
          <w:rFonts w:ascii="IRNazanin" w:hAnsi="IRNazanin" w:eastAsia="IRNazanin" w:cs="IRNazanin"/>
          <w:lang w:bidi="fa-IR"/>
          <w:color w:val="111111"/>
          <w:sz w:val="28"/>
          <w:szCs w:val="28"/>
          <w:rtl/>
        </w:rPr>
        <w:t xml:space="preserve">عباس</w:t>
      </w:r>
    </w:p>
    <w:p>
      <w:pPr>
        <w:pStyle w:val="Heading2"/>
      </w:pPr>
      <w:bookmarkStart w:id="4679" w:name="_Toc3781"/>
      <w:r>
        <w:t>زهراوي اندلسي ، خلف بن عباس - 427</w:t>
      </w:r>
      <w:bookmarkEnd w:id="4679"/>
    </w:p>
    <w:p>
      <w:pPr>
        <w:pStyle w:val="BookText"/>
      </w:pPr>
      <w:r>
        <w:rPr>
          <w:rFonts w:ascii="IRNazanin" w:hAnsi="IRNazanin" w:eastAsia="IRNazanin" w:cs="IRNazanin"/>
          <w:lang w:bidi="fa-IR"/>
          <w:color w:val="111111"/>
          <w:sz w:val="28"/>
          <w:szCs w:val="28"/>
          <w:rtl/>
        </w:rPr>
        <w:t xml:space="preserve">؟ ه-</w:t>
      </w:r>
    </w:p>
    <w:p>
      <w:pPr>
        <w:pStyle w:val="BookText"/>
      </w:pPr>
      <w:r>
        <w:rPr>
          <w:rFonts w:ascii="Amiri" w:hAnsi="Amiri" w:eastAsia="Amiri" w:cs="Amiri"/>
          <w:lang w:bidi="ar-SA"/>
          <w:color w:val="111111"/>
          <w:sz w:val="28"/>
          <w:szCs w:val="28"/>
          <w:rtl/>
        </w:rPr>
        <w:t xml:space="preserve">التصريف لمن عجز عن التأليف، ج 4،</w:t>
      </w:r>
    </w:p>
    <w:p>
      <w:pPr>
        <w:pStyle w:val="BookText"/>
      </w:pPr>
      <w:r>
        <w:rPr>
          <w:rFonts w:ascii="IRNazanin" w:hAnsi="IRNazanin" w:eastAsia="IRNazanin" w:cs="IRNazanin"/>
          <w:lang w:bidi="fa-IR"/>
          <w:color w:val="111111"/>
          <w:sz w:val="28"/>
          <w:szCs w:val="28"/>
          <w:rtl/>
        </w:rPr>
        <w:t xml:space="preserve">ص 417 .</w:t>
      </w:r>
    </w:p>
    <w:p>
      <w:pPr>
        <w:pStyle w:val="BookText"/>
      </w:pPr>
      <w:r>
        <w:rPr>
          <w:rFonts w:ascii="Amiri" w:hAnsi="Amiri" w:eastAsia="Amiri" w:cs="Amiri"/>
          <w:lang w:bidi="ar-SA"/>
          <w:color w:val="111111"/>
          <w:sz w:val="28"/>
          <w:szCs w:val="28"/>
          <w:rtl/>
        </w:rPr>
        <w:t xml:space="preserve">زهراوي ، خلف بن عباس- زهراوي</w:t>
      </w:r>
    </w:p>
    <w:p>
      <w:pPr>
        <w:pStyle w:val="BookText"/>
      </w:pPr>
      <w:r>
        <w:rPr>
          <w:rFonts w:ascii="Amiri" w:hAnsi="Amiri" w:eastAsia="Amiri" w:cs="Amiri"/>
          <w:lang w:bidi="ar-SA"/>
          <w:color w:val="111111"/>
          <w:sz w:val="28"/>
          <w:szCs w:val="28"/>
          <w:rtl/>
        </w:rPr>
        <w:t xml:space="preserve">اندلسي ، خلف بن عباس</w:t>
      </w:r>
    </w:p>
    <w:p>
      <w:pPr>
        <w:pStyle w:val="Heading2"/>
      </w:pPr>
      <w:bookmarkStart w:id="4680" w:name="_Toc3782"/>
      <w:r>
        <w:t>زهري، عمر بن عمر - 1079 ه-</w:t>
      </w:r>
      <w:bookmarkEnd w:id="4680"/>
    </w:p>
    <w:p>
      <w:pPr>
        <w:pStyle w:val="BookText"/>
      </w:pPr>
      <w:r>
        <w:rPr>
          <w:rFonts w:ascii="Amiri" w:hAnsi="Amiri" w:eastAsia="Amiri" w:cs="Amiri"/>
          <w:lang w:bidi="ar-SA"/>
          <w:color w:val="111111"/>
          <w:sz w:val="28"/>
          <w:szCs w:val="28"/>
          <w:rtl/>
        </w:rPr>
        <w:t xml:space="preserve">1 .الجوهرة النفيسة في شرح الدرة</w:t>
      </w:r>
    </w:p>
    <w:p>
      <w:pPr>
        <w:pStyle w:val="BookText"/>
      </w:pPr>
      <w:r>
        <w:rPr>
          <w:rFonts w:ascii="Amiri" w:hAnsi="Amiri" w:eastAsia="Amiri" w:cs="Amiri"/>
          <w:lang w:bidi="ar-SA"/>
          <w:color w:val="111111"/>
          <w:sz w:val="28"/>
          <w:szCs w:val="28"/>
          <w:rtl/>
        </w:rPr>
        <w:t xml:space="preserve">المنيفة، ج 5، ص 618.</w:t>
      </w:r>
    </w:p>
    <w:p>
      <w:pPr>
        <w:pStyle w:val="BookText"/>
      </w:pPr>
      <w:r>
        <w:rPr>
          <w:rFonts w:ascii="Amiri" w:hAnsi="Amiri" w:eastAsia="Amiri" w:cs="Amiri"/>
          <w:lang w:bidi="ar-SA"/>
          <w:color w:val="111111"/>
          <w:sz w:val="28"/>
          <w:szCs w:val="28"/>
          <w:rtl/>
        </w:rPr>
        <w:t xml:space="preserve">2 .الدرة المنيفة على مذهب الامام ابي</w:t>
      </w:r>
    </w:p>
    <w:p>
      <w:pPr>
        <w:pStyle w:val="BookText"/>
      </w:pPr>
      <w:r>
        <w:rPr>
          <w:rFonts w:ascii="Amiri" w:hAnsi="Amiri" w:eastAsia="Amiri" w:cs="Amiri"/>
          <w:lang w:bidi="ar-SA"/>
          <w:color w:val="111111"/>
          <w:sz w:val="28"/>
          <w:szCs w:val="28"/>
          <w:rtl/>
        </w:rPr>
        <w:t xml:space="preserve">حنيفة، ج 7، ص 269.</w:t>
      </w:r>
    </w:p>
    <w:p>
      <w:pPr>
        <w:pStyle w:val="BookText"/>
      </w:pPr>
      <w:r>
        <w:rPr>
          <w:rFonts w:ascii="Amiri" w:hAnsi="Amiri" w:eastAsia="Amiri" w:cs="Amiri"/>
          <w:lang w:bidi="ar-SA"/>
          <w:color w:val="111111"/>
          <w:sz w:val="28"/>
          <w:szCs w:val="28"/>
          <w:rtl/>
        </w:rPr>
        <w:t xml:space="preserve">زهري ، محمّد بن سعد- ابن سعد ،</w:t>
      </w:r>
    </w:p>
    <w:p>
      <w:pPr>
        <w:pStyle w:val="BookText"/>
      </w:pPr>
      <w:r>
        <w:rPr>
          <w:rFonts w:ascii="Amiri" w:hAnsi="Amiri" w:eastAsia="Amiri" w:cs="Amiri"/>
          <w:lang w:bidi="ar-SA"/>
          <w:color w:val="111111"/>
          <w:sz w:val="28"/>
          <w:szCs w:val="28"/>
          <w:rtl/>
        </w:rPr>
        <w:t xml:space="preserve">محمّد بن سعد زهري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0" w:name="pg7742_70475"/>
    <w:bookmarkEnd w:id="540"/>
    <w:p>
      <w:pPr>
        <w:pStyle w:val="BookText"/>
      </w:pPr>
      <w:r>
        <w:rPr>
          <w:rFonts w:ascii="Amiri" w:hAnsi="Amiri" w:eastAsia="Amiri" w:cs="Amiri"/>
          <w:lang w:bidi="ar-SA"/>
          <w:color w:val="111111"/>
          <w:sz w:val="28"/>
          <w:szCs w:val="28"/>
          <w:rtl/>
        </w:rPr>
        <w:t xml:space="preserve">زهري، محمّد بن محمّد- زهيري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زهير البهاء زهير -بهاء زهير ، زهير بن</w:t>
      </w:r>
    </w:p>
    <w:p>
      <w:pPr>
        <w:pStyle w:val="BookText"/>
      </w:pPr>
      <w:r>
        <w:rPr>
          <w:rFonts w:ascii="Amiri" w:hAnsi="Amiri" w:eastAsia="Amiri" w:cs="Amiri"/>
          <w:lang w:bidi="ar-SA"/>
          <w:color w:val="111111"/>
          <w:sz w:val="28"/>
          <w:szCs w:val="28"/>
          <w:rtl/>
        </w:rPr>
        <w:t xml:space="preserve">محمّد</w:t>
      </w:r>
    </w:p>
    <w:p>
      <w:pPr>
        <w:pStyle w:val="Heading2"/>
      </w:pPr>
      <w:bookmarkStart w:id="4681" w:name="_Toc3783"/>
      <w:r>
        <w:t>زهير بن أبي سلمي - 13 قبل هجرت</w:t>
      </w:r>
      <w:bookmarkEnd w:id="4681"/>
    </w:p>
    <w:p>
      <w:pPr>
        <w:pStyle w:val="BookText"/>
      </w:pPr>
      <w:r>
        <w:rPr>
          <w:rFonts w:ascii="Amiri" w:hAnsi="Amiri" w:eastAsia="Amiri" w:cs="Amiri"/>
          <w:lang w:bidi="ar-SA"/>
          <w:color w:val="111111"/>
          <w:sz w:val="28"/>
          <w:szCs w:val="28"/>
          <w:rtl/>
        </w:rPr>
        <w:t xml:space="preserve">معلقة زهير بن ابي سلمي = القصيدة</w:t>
      </w:r>
    </w:p>
    <w:p>
      <w:pPr>
        <w:pStyle w:val="BookText"/>
      </w:pPr>
      <w:r>
        <w:rPr>
          <w:rFonts w:ascii="Amiri" w:hAnsi="Amiri" w:eastAsia="Amiri" w:cs="Amiri"/>
          <w:lang w:bidi="ar-SA"/>
          <w:color w:val="111111"/>
          <w:sz w:val="28"/>
          <w:szCs w:val="28"/>
          <w:rtl/>
        </w:rPr>
        <w:t xml:space="preserve">الميمية، ج 15، ص 82.</w:t>
      </w:r>
    </w:p>
    <w:p>
      <w:pPr>
        <w:pStyle w:val="BookText"/>
      </w:pPr>
      <w:r>
        <w:rPr>
          <w:rFonts w:ascii="Amiri" w:hAnsi="Amiri" w:eastAsia="Amiri" w:cs="Amiri"/>
          <w:lang w:bidi="ar-SA"/>
          <w:color w:val="111111"/>
          <w:sz w:val="28"/>
          <w:szCs w:val="28"/>
          <w:rtl/>
        </w:rPr>
        <w:t xml:space="preserve">زهير بن أبي سلمي، ربيعة بن رياح -زهير</w:t>
      </w:r>
    </w:p>
    <w:p>
      <w:pPr>
        <w:pStyle w:val="BookText"/>
      </w:pPr>
      <w:r>
        <w:rPr>
          <w:rFonts w:ascii="Amiri" w:hAnsi="Amiri" w:eastAsia="Amiri" w:cs="Amiri"/>
          <w:lang w:bidi="ar-SA"/>
          <w:color w:val="111111"/>
          <w:sz w:val="28"/>
          <w:szCs w:val="28"/>
          <w:rtl/>
        </w:rPr>
        <w:t xml:space="preserve">بن ابي سلمي</w:t>
      </w:r>
    </w:p>
    <w:p>
      <w:pPr>
        <w:pStyle w:val="BookText"/>
      </w:pPr>
      <w:r>
        <w:rPr>
          <w:rFonts w:ascii="Amiri" w:hAnsi="Amiri" w:eastAsia="Amiri" w:cs="Amiri"/>
          <w:lang w:bidi="ar-SA"/>
          <w:color w:val="111111"/>
          <w:sz w:val="28"/>
          <w:szCs w:val="28"/>
          <w:rtl/>
        </w:rPr>
        <w:t xml:space="preserve">زهير بن محمّد مهلبي- بهاء زهير ، زهير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زهير بن محمّد مهلبي ازدي- بهاء زهير</w:t>
      </w:r>
    </w:p>
    <w:p>
      <w:pPr>
        <w:pStyle w:val="BookText"/>
      </w:pPr>
      <w:r>
        <w:rPr>
          <w:rFonts w:ascii="Amiri" w:hAnsi="Amiri" w:eastAsia="Amiri" w:cs="Amiri"/>
          <w:lang w:bidi="ar-SA"/>
          <w:color w:val="111111"/>
          <w:sz w:val="28"/>
          <w:szCs w:val="28"/>
          <w:rtl/>
        </w:rPr>
        <w:t xml:space="preserve">زهير بن محمّد</w:t>
      </w:r>
    </w:p>
    <w:p>
      <w:pPr>
        <w:pStyle w:val="Heading2"/>
      </w:pPr>
      <w:bookmarkStart w:id="4682" w:name="_Toc3784"/>
      <w:r>
        <w:t>زهيري ، محمّد بن محمّد قرن 10 ه-</w:t>
      </w:r>
      <w:bookmarkEnd w:id="4682"/>
    </w:p>
    <w:p>
      <w:pPr>
        <w:pStyle w:val="BookText"/>
      </w:pPr>
      <w:r>
        <w:rPr>
          <w:rFonts w:ascii="Amiri" w:hAnsi="Amiri" w:eastAsia="Amiri" w:cs="Amiri"/>
          <w:lang w:bidi="ar-SA"/>
          <w:color w:val="111111"/>
          <w:sz w:val="28"/>
          <w:szCs w:val="28"/>
          <w:rtl/>
        </w:rPr>
        <w:t xml:space="preserve">كفاية السائل من انفع الوسائل مختصر انفع الوسائل إلى تحرير المسائل، ج 13، ص 314.</w:t>
      </w:r>
    </w:p>
    <w:p>
      <w:pPr>
        <w:pStyle w:val="BookText"/>
      </w:pPr>
      <w:r>
        <w:rPr>
          <w:rFonts w:ascii="Amiri" w:hAnsi="Amiri" w:eastAsia="Amiri" w:cs="Amiri"/>
          <w:lang w:bidi="ar-SA"/>
          <w:color w:val="111111"/>
          <w:sz w:val="28"/>
          <w:szCs w:val="28"/>
          <w:rtl/>
        </w:rPr>
        <w:t xml:space="preserve">زواره اي ، ابوالحسن علي بن حسن- زواره</w:t>
      </w:r>
    </w:p>
    <w:p>
      <w:pPr>
        <w:pStyle w:val="BookText"/>
      </w:pPr>
      <w:r>
        <w:rPr>
          <w:rFonts w:ascii="Amiri" w:hAnsi="Amiri" w:eastAsia="Amiri" w:cs="Amiri"/>
          <w:lang w:bidi="ar-SA"/>
          <w:color w:val="111111"/>
          <w:sz w:val="28"/>
          <w:szCs w:val="28"/>
          <w:rtl/>
        </w:rPr>
        <w:t xml:space="preserve">اي ، علي بن حسن</w:t>
      </w:r>
    </w:p>
    <w:p>
      <w:pPr>
        <w:pStyle w:val="Heading2"/>
      </w:pPr>
      <w:bookmarkStart w:id="4683" w:name="_Toc3785"/>
      <w:r>
        <w:t>زواره اي ، علي بن حسن قرن 10 ه-</w:t>
      </w:r>
      <w:bookmarkEnd w:id="4683"/>
    </w:p>
    <w:p>
      <w:pPr>
        <w:pStyle w:val="BookText"/>
      </w:pPr>
      <w:r>
        <w:rPr>
          <w:rFonts w:ascii="Amiri" w:hAnsi="Amiri" w:eastAsia="Amiri" w:cs="Amiri"/>
          <w:lang w:bidi="ar-SA"/>
          <w:color w:val="111111"/>
          <w:sz w:val="28"/>
          <w:szCs w:val="28"/>
          <w:rtl/>
        </w:rPr>
        <w:t xml:space="preserve">1 .ترجمة الخواص = تفسير زواره اي</w:t>
      </w:r>
    </w:p>
    <w:p>
      <w:pPr>
        <w:pStyle w:val="BookText"/>
      </w:pPr>
      <w:r>
        <w:rPr>
          <w:rFonts w:ascii="IRNazanin" w:hAnsi="IRNazanin" w:eastAsia="IRNazanin" w:cs="IRNazanin"/>
          <w:lang w:bidi="fa-IR"/>
          <w:color w:val="111111"/>
          <w:sz w:val="28"/>
          <w:szCs w:val="28"/>
          <w:rtl/>
        </w:rPr>
        <w:t xml:space="preserve">ج 4، ص 268.</w:t>
      </w:r>
    </w:p>
    <w:p>
      <w:pPr>
        <w:pStyle w:val="BookText"/>
      </w:pPr>
      <w:r>
        <w:rPr>
          <w:rFonts w:ascii="Amiri" w:hAnsi="Amiri" w:eastAsia="Amiri" w:cs="Amiri"/>
          <w:lang w:bidi="ar-SA"/>
          <w:color w:val="111111"/>
          <w:sz w:val="28"/>
          <w:szCs w:val="28"/>
          <w:rtl/>
        </w:rPr>
        <w:t xml:space="preserve">2 .تفسير سورة الفاتحة، ج 4 ، ص 635.</w:t>
      </w:r>
    </w:p>
    <w:p>
      <w:pPr>
        <w:pStyle w:val="BookText"/>
      </w:pPr>
      <w:r>
        <w:rPr>
          <w:rFonts w:ascii="Amiri" w:hAnsi="Amiri" w:eastAsia="Amiri" w:cs="Amiri"/>
          <w:lang w:bidi="ar-SA"/>
          <w:color w:val="111111"/>
          <w:sz w:val="28"/>
          <w:szCs w:val="28"/>
          <w:rtl/>
        </w:rPr>
        <w:t xml:space="preserve">3.روضة الابرار = شرح نهج البلاغه</w:t>
      </w:r>
    </w:p>
    <w:p>
      <w:pPr>
        <w:pStyle w:val="BookText"/>
      </w:pPr>
      <w:r>
        <w:rPr>
          <w:rFonts w:ascii="IRNazanin" w:hAnsi="IRNazanin" w:eastAsia="IRNazanin" w:cs="IRNazanin"/>
          <w:lang w:bidi="fa-IR"/>
          <w:color w:val="111111"/>
          <w:sz w:val="28"/>
          <w:szCs w:val="28"/>
          <w:rtl/>
        </w:rPr>
        <w:t xml:space="preserve">ج 8، ص 399.</w:t>
      </w:r>
    </w:p>
    <w:p>
      <w:pPr>
        <w:pStyle w:val="BookText"/>
      </w:pPr>
      <w:r>
        <w:rPr>
          <w:rFonts w:ascii="Amiri" w:hAnsi="Amiri" w:eastAsia="Amiri" w:cs="Amiri"/>
          <w:lang w:bidi="ar-SA"/>
          <w:color w:val="111111"/>
          <w:sz w:val="28"/>
          <w:szCs w:val="28"/>
          <w:rtl/>
        </w:rPr>
        <w:t xml:space="preserve">4 .لوامع الانوار في معرفة الائمة</w:t>
      </w:r>
    </w:p>
    <w:p>
      <w:pPr>
        <w:pStyle w:val="BookText"/>
      </w:pPr>
      <w:r>
        <w:rPr>
          <w:rFonts w:ascii="IRNazanin" w:hAnsi="IRNazanin" w:eastAsia="IRNazanin" w:cs="IRNazanin"/>
          <w:lang w:bidi="fa-IR"/>
          <w:color w:val="111111"/>
          <w:sz w:val="28"/>
          <w:szCs w:val="28"/>
          <w:rtl/>
        </w:rPr>
        <w:t xml:space="preserve">الاطهار، ج 13، ص 647.</w:t>
      </w:r>
    </w:p>
    <w:p>
      <w:pPr>
        <w:pStyle w:val="BookText"/>
      </w:pPr>
      <w:r>
        <w:rPr>
          <w:rFonts w:ascii="Amiri" w:hAnsi="Amiri" w:eastAsia="Amiri" w:cs="Amiri"/>
          <w:lang w:bidi="ar-SA"/>
          <w:color w:val="111111"/>
          <w:sz w:val="28"/>
          <w:szCs w:val="28"/>
          <w:rtl/>
        </w:rPr>
        <w:t xml:space="preserve">5 .مفتاح النجاح - ترجمه عدة الداعي، ج 15 ، ص 233.</w:t>
      </w:r>
    </w:p>
    <w:p>
      <w:pPr>
        <w:pStyle w:val="BookText"/>
      </w:pPr>
      <w:r>
        <w:rPr>
          <w:rFonts w:ascii="Amiri" w:hAnsi="Amiri" w:eastAsia="Amiri" w:cs="Amiri"/>
          <w:lang w:bidi="ar-SA"/>
          <w:color w:val="111111"/>
          <w:sz w:val="28"/>
          <w:szCs w:val="28"/>
          <w:rtl/>
        </w:rPr>
        <w:t xml:space="preserve">زواري، علي بن حسن -زواره اي ، علي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IRNazanin" w:hAnsi="IRNazanin" w:eastAsia="IRNazanin" w:cs="IRNazanin"/>
          <w:lang w:bidi="fa-IR"/>
          <w:color w:val="111111"/>
          <w:sz w:val="28"/>
          <w:szCs w:val="28"/>
          <w:rtl/>
        </w:rPr>
        <w:t xml:space="preserve">زوالي ، احمد بن شمس الدین- دولت</w:t>
      </w:r>
    </w:p>
    <w:p>
      <w:pPr>
        <w:pStyle w:val="BookText"/>
      </w:pPr>
      <w:r>
        <w:rPr>
          <w:rFonts w:ascii="Amiri" w:hAnsi="Amiri" w:eastAsia="Amiri" w:cs="Amiri"/>
          <w:lang w:bidi="ar-SA"/>
          <w:color w:val="111111"/>
          <w:sz w:val="28"/>
          <w:szCs w:val="28"/>
          <w:rtl/>
        </w:rPr>
        <w:t xml:space="preserve">آبادي ، احمد بن شمس الدين</w:t>
      </w:r>
    </w:p>
    <w:p>
      <w:pPr>
        <w:pStyle w:val="BookText"/>
      </w:pPr>
      <w:r>
        <w:rPr>
          <w:rFonts w:ascii="Amiri" w:hAnsi="Amiri" w:eastAsia="Amiri" w:cs="Amiri"/>
          <w:lang w:bidi="ar-SA"/>
          <w:color w:val="111111"/>
          <w:sz w:val="28"/>
          <w:szCs w:val="28"/>
          <w:rtl/>
        </w:rPr>
        <w:t xml:space="preserve">زوالي ، شهاب الدين بن شمس الدين- دولت آبادي ، احمد بن شمس الدين</w:t>
      </w:r>
    </w:p>
    <w:p>
      <w:pPr>
        <w:pStyle w:val="BookText"/>
      </w:pPr>
      <w:r>
        <w:rPr>
          <w:rFonts w:ascii="Amiri" w:hAnsi="Amiri" w:eastAsia="Amiri" w:cs="Amiri"/>
          <w:lang w:bidi="ar-SA"/>
          <w:color w:val="111111"/>
          <w:sz w:val="28"/>
          <w:szCs w:val="28"/>
          <w:rtl/>
        </w:rPr>
        <w:t xml:space="preserve">زواوي ، احمد بن عبد الله -جزائري ، احمد</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4684" w:name="_Toc3786"/>
      <w:r>
        <w:t>زواوي ، سرور بن محمّد قرن 13 ه-</w:t>
      </w:r>
      <w:bookmarkEnd w:id="4684"/>
    </w:p>
    <w:p>
      <w:pPr>
        <w:pStyle w:val="BookText"/>
      </w:pPr>
      <w:r>
        <w:rPr>
          <w:rFonts w:ascii="Amiri" w:hAnsi="Amiri" w:eastAsia="Amiri" w:cs="Amiri"/>
          <w:lang w:bidi="ar-SA"/>
          <w:color w:val="111111"/>
          <w:sz w:val="28"/>
          <w:szCs w:val="28"/>
          <w:rtl/>
        </w:rPr>
        <w:t xml:space="preserve">رسالة السيد سرور الزواوي</w:t>
      </w:r>
    </w:p>
    <w:p>
      <w:pPr>
        <w:pStyle w:val="BookText"/>
      </w:pPr>
      <w:r>
        <w:rPr>
          <w:rFonts w:ascii="Amiri" w:hAnsi="Amiri" w:eastAsia="Amiri" w:cs="Amiri"/>
          <w:lang w:bidi="ar-SA"/>
          <w:color w:val="111111"/>
          <w:sz w:val="28"/>
          <w:szCs w:val="28"/>
          <w:rtl/>
        </w:rPr>
        <w:t xml:space="preserve">الدمنهوري، ج8، ص211.</w:t>
      </w:r>
    </w:p>
    <w:p>
      <w:pPr>
        <w:pStyle w:val="BookText"/>
      </w:pPr>
      <w:r>
        <w:rPr>
          <w:rFonts w:ascii="Amiri" w:hAnsi="Amiri" w:eastAsia="Amiri" w:cs="Amiri"/>
          <w:lang w:bidi="ar-SA"/>
          <w:color w:val="111111"/>
          <w:sz w:val="28"/>
          <w:szCs w:val="28"/>
          <w:rtl/>
        </w:rPr>
        <w:t xml:space="preserve">زوبي ، شهاب الدين بن شمس الدين -دولت آبادي ، احمد بن شمس الدين</w:t>
      </w:r>
    </w:p>
    <w:p>
      <w:pPr>
        <w:pStyle w:val="BookText"/>
      </w:pPr>
      <w:r>
        <w:rPr>
          <w:rFonts w:ascii="Amiri" w:hAnsi="Amiri" w:eastAsia="Amiri" w:cs="Amiri"/>
          <w:lang w:bidi="ar-SA"/>
          <w:color w:val="111111"/>
          <w:sz w:val="28"/>
          <w:szCs w:val="28"/>
          <w:rtl/>
        </w:rPr>
        <w:t xml:space="preserve">زورق ، احمد بن عيسى- فاسي ، احمد بن</w:t>
      </w:r>
    </w:p>
    <w:p>
      <w:pPr>
        <w:pStyle w:val="BookText"/>
      </w:pPr>
      <w:r>
        <w:rPr>
          <w:rFonts w:ascii="Amiri" w:hAnsi="Amiri" w:eastAsia="Amiri" w:cs="Amiri"/>
          <w:lang w:bidi="ar-SA"/>
          <w:color w:val="111111"/>
          <w:sz w:val="28"/>
          <w:szCs w:val="28"/>
          <w:rtl/>
        </w:rPr>
        <w:t xml:space="preserve">عيسى</w:t>
      </w:r>
    </w:p>
    <w:p>
      <w:pPr>
        <w:pStyle w:val="BookText"/>
      </w:pPr>
      <w:r>
        <w:rPr>
          <w:rFonts w:ascii="Amiri" w:hAnsi="Amiri" w:eastAsia="Amiri" w:cs="Amiri"/>
          <w:lang w:bidi="ar-SA"/>
          <w:color w:val="111111"/>
          <w:sz w:val="28"/>
          <w:szCs w:val="28"/>
          <w:rtl/>
        </w:rPr>
        <w:t xml:space="preserve">زوزندي ، محمّد بن محمّد -بخاري زندوي</w:t>
      </w:r>
    </w:p>
    <w:p>
      <w:pPr>
        <w:pStyle w:val="BookText"/>
      </w:pPr>
      <w:r>
        <w:rPr>
          <w:rFonts w:ascii="Amiri" w:hAnsi="Amiri" w:eastAsia="Amiri" w:cs="Amiri"/>
          <w:lang w:bidi="ar-SA"/>
          <w:color w:val="111111"/>
          <w:sz w:val="28"/>
          <w:szCs w:val="28"/>
          <w:rtl/>
        </w:rPr>
        <w:t xml:space="preserve">، محمّد بن محمّد</w:t>
      </w:r>
    </w:p>
    <w:p>
      <w:pPr>
        <w:pStyle w:val="Heading2"/>
      </w:pPr>
      <w:bookmarkStart w:id="4685" w:name="_Toc3787"/>
      <w:r>
        <w:t>زوزني ، حسين بن احمد - 486 ه-</w:t>
      </w:r>
      <w:bookmarkEnd w:id="4685"/>
    </w:p>
    <w:p>
      <w:pPr>
        <w:pStyle w:val="BookText"/>
      </w:pPr>
      <w:r>
        <w:rPr>
          <w:rFonts w:ascii="IRNazanin" w:hAnsi="IRNazanin" w:eastAsia="IRNazanin" w:cs="IRNazanin"/>
          <w:lang w:bidi="fa-IR"/>
          <w:color w:val="111111"/>
          <w:sz w:val="28"/>
          <w:szCs w:val="28"/>
          <w:rtl/>
        </w:rPr>
        <w:t xml:space="preserve">1 .شرح القصائد المعلقات السبع = شرح القصائد السبع، ج 9، ص 825.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المصادر، ج 14، ص 693.</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1" w:name="pg7742_70477"/>
    <w:bookmarkEnd w:id="541"/>
    <w:p>
      <w:pPr>
        <w:pStyle w:val="BookText"/>
      </w:pPr>
      <w:r>
        <w:rPr>
          <w:rFonts w:ascii="Amiri" w:hAnsi="Amiri" w:eastAsia="Amiri" w:cs="Amiri"/>
          <w:lang w:bidi="ar-SA"/>
          <w:color w:val="111111"/>
          <w:sz w:val="28"/>
          <w:szCs w:val="28"/>
          <w:rtl/>
        </w:rPr>
        <w:t xml:space="preserve">زوزني ، حسين بن علي بن احمد -زوزني ،</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Amiri" w:hAnsi="Amiri" w:eastAsia="Amiri" w:cs="Amiri"/>
          <w:lang w:bidi="ar-SA"/>
          <w:color w:val="111111"/>
          <w:sz w:val="28"/>
          <w:szCs w:val="28"/>
          <w:rtl/>
        </w:rPr>
        <w:t xml:space="preserve">زوزني ، حمزة بن علي -هادي المستجيبين</w:t>
      </w:r>
    </w:p>
    <w:p>
      <w:pPr>
        <w:pStyle w:val="BookText"/>
      </w:pPr>
      <w:r>
        <w:rPr>
          <w:rFonts w:ascii="Amiri" w:hAnsi="Amiri" w:eastAsia="Amiri" w:cs="Amiri"/>
          <w:lang w:bidi="ar-SA"/>
          <w:color w:val="111111"/>
          <w:sz w:val="28"/>
          <w:szCs w:val="28"/>
          <w:rtl/>
        </w:rPr>
        <w:t xml:space="preserve">حمزة بن علي</w:t>
      </w:r>
    </w:p>
    <w:p>
      <w:pPr>
        <w:pStyle w:val="Heading2"/>
      </w:pPr>
      <w:bookmarkStart w:id="4686" w:name="_Toc3788"/>
      <w:r>
        <w:t>زوزني ، عبدالله بن محمد - 431 ه-</w:t>
      </w:r>
      <w:bookmarkEnd w:id="4686"/>
    </w:p>
    <w:p>
      <w:pPr>
        <w:pStyle w:val="BookText"/>
      </w:pPr>
      <w:r>
        <w:rPr>
          <w:rFonts w:ascii="Amiri" w:hAnsi="Amiri" w:eastAsia="Amiri" w:cs="Amiri"/>
          <w:lang w:bidi="ar-SA"/>
          <w:color w:val="111111"/>
          <w:sz w:val="28"/>
          <w:szCs w:val="28"/>
          <w:rtl/>
        </w:rPr>
        <w:t xml:space="preserve">حماسة الظرفاء من اشعار المحدثين و القدماء، ج 6، ص821</w:t>
      </w:r>
    </w:p>
    <w:p>
      <w:pPr>
        <w:pStyle w:val="Heading2"/>
      </w:pPr>
      <w:bookmarkStart w:id="4687" w:name="_Toc3789"/>
      <w:r>
        <w:t>زوزني ، محمّد بن عثمان - 792 ه-</w:t>
      </w:r>
      <w:bookmarkEnd w:id="4687"/>
    </w:p>
    <w:p>
      <w:pPr>
        <w:pStyle w:val="BookText"/>
      </w:pPr>
      <w:r>
        <w:rPr>
          <w:rFonts w:ascii="Amiri" w:hAnsi="Amiri" w:eastAsia="Amiri" w:cs="Amiri"/>
          <w:lang w:bidi="ar-SA"/>
          <w:color w:val="111111"/>
          <w:sz w:val="28"/>
          <w:szCs w:val="28"/>
          <w:rtl/>
        </w:rPr>
        <w:t xml:space="preserve">شرح اللباب في علم الاعراب، ج 10،</w:t>
      </w:r>
    </w:p>
    <w:p>
      <w:pPr>
        <w:pStyle w:val="BookText"/>
      </w:pPr>
      <w:r>
        <w:rPr>
          <w:rFonts w:ascii="IRNazanin" w:hAnsi="IRNazanin" w:eastAsia="IRNazanin" w:cs="IRNazanin"/>
          <w:lang w:bidi="fa-IR"/>
          <w:color w:val="111111"/>
          <w:sz w:val="28"/>
          <w:szCs w:val="28"/>
          <w:rtl/>
        </w:rPr>
        <w:t xml:space="preserve">ص 79</w:t>
      </w:r>
    </w:p>
    <w:p>
      <w:pPr>
        <w:pStyle w:val="Heading2"/>
      </w:pPr>
      <w:bookmarkStart w:id="4688" w:name="_Toc3790"/>
      <w:r>
        <w:t>زوقيدي ، ملانصرالدين</w:t>
      </w:r>
      <w:bookmarkEnd w:id="4688"/>
    </w:p>
    <w:p>
      <w:pPr>
        <w:pStyle w:val="BookText"/>
      </w:pPr>
      <w:r>
        <w:rPr>
          <w:rFonts w:ascii="Amiri" w:hAnsi="Amiri" w:eastAsia="Amiri" w:cs="Amiri"/>
          <w:lang w:bidi="ar-SA"/>
          <w:color w:val="111111"/>
          <w:sz w:val="28"/>
          <w:szCs w:val="28"/>
          <w:rtl/>
        </w:rPr>
        <w:t xml:space="preserve">عقيدة الايمان، ج11، ص200.</w:t>
      </w:r>
    </w:p>
    <w:p>
      <w:pPr>
        <w:pStyle w:val="Heading2"/>
      </w:pPr>
      <w:bookmarkStart w:id="4689" w:name="_Toc3791"/>
      <w:r>
        <w:t>زويعي ، خلف بن عسكر - 1246 ه-</w:t>
      </w:r>
      <w:bookmarkEnd w:id="4689"/>
    </w:p>
    <w:p>
      <w:pPr>
        <w:pStyle w:val="BookText"/>
      </w:pPr>
      <w:r>
        <w:rPr>
          <w:rFonts w:ascii="Amiri" w:hAnsi="Amiri" w:eastAsia="Amiri" w:cs="Amiri"/>
          <w:lang w:bidi="ar-SA"/>
          <w:color w:val="111111"/>
          <w:sz w:val="28"/>
          <w:szCs w:val="28"/>
          <w:rtl/>
        </w:rPr>
        <w:t xml:space="preserve">خلاصة شرح الصغير، ج 7، ص 113.</w:t>
      </w:r>
    </w:p>
    <w:p>
      <w:pPr>
        <w:pStyle w:val="BookText"/>
      </w:pPr>
      <w:r>
        <w:rPr>
          <w:rFonts w:ascii="IRNazanin" w:hAnsi="IRNazanin" w:eastAsia="IRNazanin" w:cs="IRNazanin"/>
          <w:lang w:bidi="fa-IR"/>
          <w:color w:val="111111"/>
          <w:sz w:val="28"/>
          <w:szCs w:val="28"/>
          <w:rtl/>
        </w:rPr>
        <w:t xml:space="preserve">زوین ، احمد بن حبيب- آل زوين اعرجي</w:t>
      </w:r>
    </w:p>
    <w:p>
      <w:pPr>
        <w:pStyle w:val="BookText"/>
      </w:pPr>
      <w:r>
        <w:rPr>
          <w:rFonts w:ascii="Amiri" w:hAnsi="Amiri" w:eastAsia="Amiri" w:cs="Amiri"/>
          <w:lang w:bidi="ar-SA"/>
          <w:color w:val="111111"/>
          <w:sz w:val="28"/>
          <w:szCs w:val="28"/>
          <w:rtl/>
        </w:rPr>
        <w:t xml:space="preserve">، احمد بن حبيب</w:t>
      </w:r>
    </w:p>
    <w:p>
      <w:pPr>
        <w:pStyle w:val="Heading2"/>
      </w:pPr>
      <w:bookmarkStart w:id="4690" w:name="_Toc3792"/>
      <w:r>
        <w:t>زوين، احمد بن حبيب - 1247 ه-</w:t>
      </w:r>
      <w:bookmarkEnd w:id="4690"/>
    </w:p>
    <w:p>
      <w:pPr>
        <w:pStyle w:val="BookText"/>
      </w:pPr>
      <w:r>
        <w:rPr>
          <w:rFonts w:ascii="Amiri" w:hAnsi="Amiri" w:eastAsia="Amiri" w:cs="Amiri"/>
          <w:lang w:bidi="ar-SA"/>
          <w:color w:val="111111"/>
          <w:sz w:val="28"/>
          <w:szCs w:val="28"/>
          <w:rtl/>
        </w:rPr>
        <w:t xml:space="preserve">1 .فائدة من شرح الاسترابادي، ج 11،</w:t>
      </w:r>
    </w:p>
    <w:p>
      <w:pPr>
        <w:pStyle w:val="BookText"/>
      </w:pPr>
      <w:r>
        <w:rPr>
          <w:rFonts w:ascii="IRNazanin" w:hAnsi="IRNazanin" w:eastAsia="IRNazanin" w:cs="IRNazanin"/>
          <w:lang w:bidi="fa-IR"/>
          <w:color w:val="111111"/>
          <w:sz w:val="28"/>
          <w:szCs w:val="28"/>
          <w:rtl/>
        </w:rPr>
        <w:t xml:space="preserve">ص 577 .</w:t>
      </w:r>
    </w:p>
    <w:p>
      <w:pPr>
        <w:pStyle w:val="BookText"/>
      </w:pPr>
      <w:r>
        <w:rPr>
          <w:rFonts w:ascii="Amiri" w:hAnsi="Amiri" w:eastAsia="Amiri" w:cs="Amiri"/>
          <w:lang w:bidi="ar-SA"/>
          <w:color w:val="111111"/>
          <w:sz w:val="28"/>
          <w:szCs w:val="28"/>
          <w:rtl/>
        </w:rPr>
        <w:t xml:space="preserve">2 .فوائد من خلاصة المذهب، ج 12،</w:t>
      </w:r>
    </w:p>
    <w:p>
      <w:pPr>
        <w:pStyle w:val="BookText"/>
      </w:pPr>
      <w:r>
        <w:rPr>
          <w:rFonts w:ascii="IRNazanin" w:hAnsi="IRNazanin" w:eastAsia="IRNazanin" w:cs="IRNazanin"/>
          <w:lang w:bidi="fa-IR"/>
          <w:color w:val="111111"/>
          <w:sz w:val="28"/>
          <w:szCs w:val="28"/>
          <w:rtl/>
        </w:rPr>
        <w:t xml:space="preserve">ص 282 .</w:t>
      </w:r>
    </w:p>
    <w:p>
      <w:pPr>
        <w:pStyle w:val="BookText"/>
      </w:pPr>
      <w:r>
        <w:rPr>
          <w:rFonts w:ascii="IRNazanin" w:hAnsi="IRNazanin" w:eastAsia="IRNazanin" w:cs="IRNazanin"/>
          <w:lang w:bidi="fa-IR"/>
          <w:color w:val="111111"/>
          <w:sz w:val="28"/>
          <w:szCs w:val="28"/>
          <w:rtl/>
        </w:rPr>
        <w:t xml:space="preserve">3 .مستجاب الدعوات، ج 14، ص 548.</w:t>
      </w:r>
    </w:p>
    <w:p>
      <w:pPr>
        <w:pStyle w:val="BookText"/>
      </w:pPr>
      <w:r>
        <w:rPr>
          <w:rFonts w:ascii="Amiri" w:hAnsi="Amiri" w:eastAsia="Amiri" w:cs="Amiri"/>
          <w:lang w:bidi="ar-SA"/>
          <w:color w:val="111111"/>
          <w:sz w:val="28"/>
          <w:szCs w:val="28"/>
          <w:rtl/>
        </w:rPr>
        <w:t xml:space="preserve">4 .وقاية الهداية، ج 16، ص 861.</w:t>
      </w:r>
    </w:p>
    <w:p>
      <w:pPr>
        <w:pStyle w:val="BookText"/>
      </w:pPr>
      <w:r>
        <w:rPr>
          <w:rFonts w:ascii="Amiri" w:hAnsi="Amiri" w:eastAsia="Amiri" w:cs="Amiri"/>
          <w:lang w:bidi="ar-SA"/>
          <w:color w:val="111111"/>
          <w:sz w:val="28"/>
          <w:szCs w:val="28"/>
          <w:rtl/>
        </w:rPr>
        <w:t xml:space="preserve">زيات ، حسين بن بسطام -ابن بسطام ،</w:t>
      </w:r>
    </w:p>
    <w:p>
      <w:pPr>
        <w:pStyle w:val="BookText"/>
      </w:pPr>
      <w:r>
        <w:rPr>
          <w:rFonts w:ascii="Amiri" w:hAnsi="Amiri" w:eastAsia="Amiri" w:cs="Amiri"/>
          <w:lang w:bidi="ar-SA"/>
          <w:color w:val="111111"/>
          <w:sz w:val="28"/>
          <w:szCs w:val="28"/>
          <w:rtl/>
        </w:rPr>
        <w:t xml:space="preserve">حسين بن بسطام</w:t>
      </w:r>
    </w:p>
    <w:p>
      <w:pPr>
        <w:pStyle w:val="Heading2"/>
      </w:pPr>
      <w:bookmarkStart w:id="4691" w:name="_Toc3793"/>
      <w:r>
        <w:t>زيات ، حمزه بن حبيب 80 - 156 ه-</w:t>
      </w:r>
      <w:bookmarkEnd w:id="4691"/>
    </w:p>
    <w:p>
      <w:pPr>
        <w:pStyle w:val="BookText"/>
      </w:pPr>
      <w:r>
        <w:rPr>
          <w:rFonts w:ascii="Amiri" w:hAnsi="Amiri" w:eastAsia="Amiri" w:cs="Amiri"/>
          <w:lang w:bidi="ar-SA"/>
          <w:color w:val="111111"/>
          <w:sz w:val="28"/>
          <w:szCs w:val="28"/>
          <w:rtl/>
        </w:rPr>
        <w:t xml:space="preserve">المنام في فضيلة حفظ القرآن = منام</w:t>
      </w:r>
    </w:p>
    <w:p>
      <w:pPr>
        <w:pStyle w:val="BookText"/>
      </w:pPr>
      <w:r>
        <w:rPr>
          <w:rFonts w:ascii="Amiri" w:hAnsi="Amiri" w:eastAsia="Amiri" w:cs="Amiri"/>
          <w:lang w:bidi="ar-SA"/>
          <w:color w:val="111111"/>
          <w:sz w:val="28"/>
          <w:szCs w:val="28"/>
          <w:rtl/>
        </w:rPr>
        <w:t xml:space="preserve">حمزه بن حبيب الزيات، ج 15 ص 559.</w:t>
      </w:r>
    </w:p>
    <w:p>
      <w:pPr>
        <w:pStyle w:val="BookText"/>
      </w:pPr>
      <w:r>
        <w:rPr>
          <w:rFonts w:ascii="Amiri" w:hAnsi="Amiri" w:eastAsia="Amiri" w:cs="Amiri"/>
          <w:lang w:bidi="ar-SA"/>
          <w:color w:val="111111"/>
          <w:sz w:val="28"/>
          <w:szCs w:val="28"/>
          <w:rtl/>
        </w:rPr>
        <w:t xml:space="preserve">زيات واسطي ، حسين بن بسطام -ابن</w:t>
      </w:r>
    </w:p>
    <w:p>
      <w:pPr>
        <w:pStyle w:val="BookText"/>
      </w:pPr>
      <w:r>
        <w:rPr>
          <w:rFonts w:ascii="Amiri" w:hAnsi="Amiri" w:eastAsia="Amiri" w:cs="Amiri"/>
          <w:lang w:bidi="ar-SA"/>
          <w:color w:val="111111"/>
          <w:sz w:val="28"/>
          <w:szCs w:val="28"/>
          <w:rtl/>
        </w:rPr>
        <w:t xml:space="preserve">بسطام ، حسين بن بسطام</w:t>
      </w:r>
    </w:p>
    <w:p>
      <w:pPr>
        <w:pStyle w:val="BookText"/>
      </w:pPr>
      <w:r>
        <w:rPr>
          <w:rFonts w:ascii="Amiri" w:hAnsi="Amiri" w:eastAsia="Amiri" w:cs="Amiri"/>
          <w:lang w:bidi="ar-SA"/>
          <w:color w:val="111111"/>
          <w:sz w:val="28"/>
          <w:szCs w:val="28"/>
          <w:rtl/>
        </w:rPr>
        <w:t xml:space="preserve">زياد بن شبر- ابن زياد اعرجي ، احمد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زياد بن معاويه ذبياني - نابغه ذبياني ، زياد</w:t>
      </w:r>
    </w:p>
    <w:p>
      <w:pPr>
        <w:pStyle w:val="BookText"/>
      </w:pPr>
      <w:r>
        <w:rPr>
          <w:rFonts w:ascii="Amiri" w:hAnsi="Amiri" w:eastAsia="Amiri" w:cs="Amiri"/>
          <w:lang w:bidi="ar-SA"/>
          <w:color w:val="111111"/>
          <w:sz w:val="28"/>
          <w:szCs w:val="28"/>
          <w:rtl/>
        </w:rPr>
        <w:t xml:space="preserve">بن معاويه</w:t>
      </w:r>
    </w:p>
    <w:p>
      <w:pPr>
        <w:pStyle w:val="BookText"/>
      </w:pPr>
      <w:r>
        <w:rPr>
          <w:rFonts w:ascii="Amiri" w:hAnsi="Amiri" w:eastAsia="Amiri" w:cs="Amiri"/>
          <w:lang w:bidi="ar-SA"/>
          <w:color w:val="111111"/>
          <w:sz w:val="28"/>
          <w:szCs w:val="28"/>
          <w:rtl/>
        </w:rPr>
        <w:t xml:space="preserve">زيادة بن يحيى نصب الرأسي- نصب</w:t>
      </w:r>
    </w:p>
    <w:p>
      <w:pPr>
        <w:pStyle w:val="BookText"/>
      </w:pPr>
      <w:r>
        <w:rPr>
          <w:rFonts w:ascii="Amiri" w:hAnsi="Amiri" w:eastAsia="Amiri" w:cs="Amiri"/>
          <w:lang w:bidi="ar-SA"/>
          <w:color w:val="111111"/>
          <w:sz w:val="28"/>
          <w:szCs w:val="28"/>
          <w:rtl/>
        </w:rPr>
        <w:t xml:space="preserve">الرأسي ، زيادة بن يحيى</w:t>
      </w:r>
    </w:p>
    <w:p>
      <w:pPr>
        <w:pStyle w:val="BookText"/>
      </w:pPr>
      <w:r>
        <w:rPr>
          <w:rFonts w:ascii="Amiri" w:hAnsi="Amiri" w:eastAsia="Amiri" w:cs="Amiri"/>
          <w:lang w:bidi="ar-SA"/>
          <w:color w:val="111111"/>
          <w:sz w:val="28"/>
          <w:szCs w:val="28"/>
          <w:rtl/>
        </w:rPr>
        <w:t xml:space="preserve">زياده بن يحيى نصب راسي -نصب الرأسي</w:t>
      </w:r>
    </w:p>
    <w:p>
      <w:pPr>
        <w:pStyle w:val="BookText"/>
      </w:pPr>
      <w:r>
        <w:rPr>
          <w:rFonts w:ascii="Amiri" w:hAnsi="Amiri" w:eastAsia="Amiri" w:cs="Amiri"/>
          <w:lang w:bidi="ar-SA"/>
          <w:color w:val="111111"/>
          <w:sz w:val="28"/>
          <w:szCs w:val="28"/>
          <w:rtl/>
        </w:rPr>
        <w:t xml:space="preserve">، زيادة بن يحيى</w:t>
      </w:r>
    </w:p>
    <w:p>
      <w:pPr>
        <w:pStyle w:val="Heading2"/>
      </w:pPr>
      <w:bookmarkStart w:id="4692" w:name="_Toc3794"/>
      <w:r>
        <w:t>زيادي ، علي بن يحيى - 1024 ه-</w:t>
      </w:r>
      <w:bookmarkEnd w:id="4692"/>
    </w:p>
    <w:p>
      <w:pPr>
        <w:pStyle w:val="BookText"/>
      </w:pPr>
      <w:r>
        <w:rPr>
          <w:rFonts w:ascii="Amiri" w:hAnsi="Amiri" w:eastAsia="Amiri" w:cs="Amiri"/>
          <w:lang w:bidi="ar-SA"/>
          <w:color w:val="111111"/>
          <w:sz w:val="28"/>
          <w:szCs w:val="28"/>
          <w:rtl/>
        </w:rPr>
        <w:t xml:space="preserve">1 .حاشية شرح المنهاج، ج 6، ص 195.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المحرر في الفقه، ج 10،</w:t>
      </w:r>
    </w:p>
    <w:p>
      <w:pPr>
        <w:pStyle w:val="BookText"/>
      </w:pPr>
      <w:r>
        <w:rPr>
          <w:rFonts w:ascii="IRNazanin" w:hAnsi="IRNazanin" w:eastAsia="IRNazanin" w:cs="IRNazanin"/>
          <w:lang w:bidi="fa-IR"/>
          <w:color w:val="111111"/>
          <w:sz w:val="28"/>
          <w:szCs w:val="28"/>
          <w:rtl/>
        </w:rPr>
        <w:t xml:space="preserve">ص 104.</w:t>
      </w:r>
    </w:p>
    <w:p>
      <w:pPr>
        <w:pStyle w:val="Heading2"/>
      </w:pPr>
      <w:bookmarkStart w:id="4693" w:name="_Toc3795"/>
      <w:r>
        <w:t>زيباري ، حسن بن محمّد ، حسن بن محمّد، - 1050 ؟ ه-</w:t>
      </w:r>
      <w:bookmarkEnd w:id="4693"/>
    </w:p>
    <w:p>
      <w:pPr>
        <w:pStyle w:val="BookText"/>
      </w:pPr>
      <w:r>
        <w:rPr>
          <w:rFonts w:ascii="Amiri" w:hAnsi="Amiri" w:eastAsia="Amiri" w:cs="Amiri"/>
          <w:lang w:bidi="ar-SA"/>
          <w:color w:val="111111"/>
          <w:sz w:val="28"/>
          <w:szCs w:val="28"/>
          <w:rtl/>
        </w:rPr>
        <w:t xml:space="preserve">حاشية شرح رسالة الاستعارة = حاشية</w:t>
      </w:r>
    </w:p>
    <w:p>
      <w:pPr>
        <w:pStyle w:val="BookText"/>
      </w:pPr>
      <w:r>
        <w:rPr>
          <w:rFonts w:ascii="Amiri" w:hAnsi="Amiri" w:eastAsia="Amiri" w:cs="Amiri"/>
          <w:lang w:bidi="ar-SA"/>
          <w:color w:val="111111"/>
          <w:sz w:val="28"/>
          <w:szCs w:val="28"/>
          <w:rtl/>
        </w:rPr>
        <w:t xml:space="preserve">شرح الرسالة السمرقندية = حاشية</w:t>
      </w:r>
    </w:p>
    <w:p>
      <w:pPr>
        <w:pStyle w:val="BookText"/>
      </w:pPr>
      <w:r>
        <w:rPr>
          <w:rFonts w:ascii="Amiri" w:hAnsi="Amiri" w:eastAsia="Amiri" w:cs="Amiri"/>
          <w:lang w:bidi="ar-SA"/>
          <w:color w:val="111111"/>
          <w:sz w:val="28"/>
          <w:szCs w:val="28"/>
          <w:rtl/>
        </w:rPr>
        <w:t xml:space="preserve">شرح رسالة الاستعارات = الزيبارية</w:t>
      </w:r>
    </w:p>
    <w:p>
      <w:pPr>
        <w:pStyle w:val="BookText"/>
      </w:pPr>
      <w:r>
        <w:rPr>
          <w:rFonts w:ascii="IRNazanin" w:hAnsi="IRNazanin" w:eastAsia="IRNazanin" w:cs="IRNazanin"/>
          <w:lang w:bidi="fa-IR"/>
          <w:color w:val="111111"/>
          <w:sz w:val="28"/>
          <w:szCs w:val="28"/>
          <w:rtl/>
        </w:rPr>
        <w:t xml:space="preserve">ج 6، ص 95.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2" w:name="pg7742_70479"/>
    <w:bookmarkEnd w:id="542"/>
    <w:p>
      <w:pPr>
        <w:pStyle w:val="Heading2"/>
      </w:pPr>
      <w:bookmarkStart w:id="4694" w:name="_Toc3796"/>
      <w:r>
        <w:t>زيباري خالدي ، خالد</w:t>
      </w:r>
      <w:bookmarkEnd w:id="4694"/>
    </w:p>
    <w:p>
      <w:pPr>
        <w:pStyle w:val="BookText"/>
      </w:pPr>
      <w:r>
        <w:rPr>
          <w:rFonts w:ascii="IRNazanin" w:hAnsi="IRNazanin" w:eastAsia="IRNazanin" w:cs="IRNazanin"/>
          <w:lang w:bidi="fa-IR"/>
          <w:color w:val="111111"/>
          <w:sz w:val="28"/>
          <w:szCs w:val="28"/>
          <w:rtl/>
        </w:rPr>
        <w:t xml:space="preserve">تجوید، ج3، ص708.</w:t>
      </w:r>
    </w:p>
    <w:p>
      <w:pPr>
        <w:pStyle w:val="BookText"/>
      </w:pPr>
      <w:r>
        <w:rPr>
          <w:rFonts w:ascii="Amiri" w:hAnsi="Amiri" w:eastAsia="Amiri" w:cs="Amiri"/>
          <w:lang w:bidi="ar-SA"/>
          <w:color w:val="111111"/>
          <w:sz w:val="28"/>
          <w:szCs w:val="28"/>
          <w:rtl/>
        </w:rPr>
        <w:t xml:space="preserve">زيد ابياني، محمّد- ابياني، محمّد زيد</w:t>
      </w:r>
    </w:p>
    <w:p>
      <w:pPr>
        <w:pStyle w:val="Heading2"/>
      </w:pPr>
      <w:bookmarkStart w:id="4695" w:name="_Toc3797"/>
      <w:r>
        <w:t>زیدان بنين</w:t>
      </w:r>
      <w:bookmarkEnd w:id="4695"/>
    </w:p>
    <w:p>
      <w:pPr>
        <w:pStyle w:val="BookText"/>
      </w:pPr>
      <w:r>
        <w:rPr>
          <w:rFonts w:ascii="Amiri" w:hAnsi="Amiri" w:eastAsia="Amiri" w:cs="Amiri"/>
          <w:lang w:bidi="ar-SA"/>
          <w:color w:val="111111"/>
          <w:sz w:val="28"/>
          <w:szCs w:val="28"/>
          <w:rtl/>
        </w:rPr>
        <w:t xml:space="preserve">زبدة الطب، ج8، ص 579 .</w:t>
      </w:r>
    </w:p>
    <w:p>
      <w:pPr>
        <w:pStyle w:val="Heading2"/>
      </w:pPr>
      <w:bookmarkStart w:id="4696" w:name="_Toc3798"/>
      <w:r>
        <w:t>زيدان ، جرجي، 1861 - 1914م</w:t>
      </w:r>
      <w:bookmarkEnd w:id="4696"/>
    </w:p>
    <w:p>
      <w:pPr>
        <w:pStyle w:val="BookText"/>
      </w:pPr>
      <w:r>
        <w:rPr>
          <w:rFonts w:ascii="Amiri" w:hAnsi="Amiri" w:eastAsia="Amiri" w:cs="Amiri"/>
          <w:lang w:bidi="ar-SA"/>
          <w:color w:val="111111"/>
          <w:sz w:val="28"/>
          <w:szCs w:val="28"/>
          <w:rtl/>
        </w:rPr>
        <w:t xml:space="preserve">خانم قريشي، ج 6، ص879.</w:t>
      </w:r>
    </w:p>
    <w:p>
      <w:pPr>
        <w:pStyle w:val="BookText"/>
      </w:pPr>
      <w:r>
        <w:rPr>
          <w:rFonts w:ascii="IRNazanin" w:hAnsi="IRNazanin" w:eastAsia="IRNazanin" w:cs="IRNazanin"/>
          <w:lang w:bidi="fa-IR"/>
          <w:color w:val="111111"/>
          <w:sz w:val="28"/>
          <w:szCs w:val="28"/>
          <w:rtl/>
        </w:rPr>
        <w:t xml:space="preserve">زیدان ، محمّد امين بن احمد- بدماصي ،</w:t>
      </w:r>
    </w:p>
    <w:p>
      <w:pPr>
        <w:pStyle w:val="BookText"/>
      </w:pPr>
      <w:r>
        <w:rPr>
          <w:rFonts w:ascii="IRNazanin" w:hAnsi="IRNazanin" w:eastAsia="IRNazanin" w:cs="IRNazanin"/>
          <w:lang w:bidi="fa-IR"/>
          <w:color w:val="111111"/>
          <w:sz w:val="28"/>
          <w:szCs w:val="28"/>
          <w:rtl/>
        </w:rPr>
        <w:t xml:space="preserve">محمّد امین بن احمد زیدان</w:t>
      </w:r>
    </w:p>
    <w:p>
      <w:pPr>
        <w:pStyle w:val="Heading2"/>
      </w:pPr>
      <w:bookmarkStart w:id="4697" w:name="_Toc3799"/>
      <w:r>
        <w:t>زیدان، محمّد امین بن احمد</w:t>
      </w:r>
      <w:bookmarkEnd w:id="4697"/>
    </w:p>
    <w:p>
      <w:pPr>
        <w:pStyle w:val="BookText"/>
      </w:pPr>
      <w:r>
        <w:rPr>
          <w:rFonts w:ascii="IRNazanin" w:hAnsi="IRNazanin" w:eastAsia="IRNazanin" w:cs="IRNazanin"/>
          <w:lang w:bidi="fa-IR"/>
          <w:color w:val="111111"/>
          <w:sz w:val="28"/>
          <w:szCs w:val="28"/>
          <w:rtl/>
        </w:rPr>
        <w:t xml:space="preserve">المنهج إلى اصول المذهب المبرج</w:t>
      </w:r>
    </w:p>
    <w:p>
      <w:pPr>
        <w:pStyle w:val="BookText"/>
      </w:pPr>
      <w:r>
        <w:rPr>
          <w:rFonts w:ascii="IRNazanin" w:hAnsi="IRNazanin" w:eastAsia="IRNazanin" w:cs="IRNazanin"/>
          <w:lang w:bidi="fa-IR"/>
          <w:color w:val="111111"/>
          <w:sz w:val="28"/>
          <w:szCs w:val="28"/>
          <w:rtl/>
        </w:rPr>
        <w:t xml:space="preserve">ج 15، ص 792 .</w:t>
      </w:r>
    </w:p>
    <w:p>
      <w:pPr>
        <w:pStyle w:val="Heading2"/>
      </w:pPr>
      <w:bookmarkStart w:id="4698" w:name="_Toc3800"/>
      <w:r>
        <w:t>زيداني ، حسين بن محمود - 662 ه-</w:t>
      </w:r>
      <w:bookmarkEnd w:id="46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المفاتيح في حل المصابيح، ج 15</w:t>
      </w:r>
    </w:p>
    <w:p>
      <w:pPr>
        <w:pStyle w:val="BookText"/>
      </w:pPr>
      <w:r>
        <w:rPr>
          <w:rFonts w:ascii="IRNazanin" w:hAnsi="IRNazanin" w:eastAsia="IRNazanin" w:cs="IRNazanin"/>
          <w:lang w:bidi="fa-IR"/>
          <w:color w:val="111111"/>
          <w:sz w:val="28"/>
          <w:szCs w:val="28"/>
          <w:rtl/>
        </w:rPr>
        <w:t xml:space="preserve">ص 174 .</w:t>
      </w:r>
    </w:p>
    <w:p>
      <w:pPr>
        <w:pStyle w:val="BookText"/>
      </w:pPr>
      <w:r>
        <w:rPr>
          <w:rFonts w:ascii="Amiri" w:hAnsi="Amiri" w:eastAsia="Amiri" w:cs="Amiri"/>
          <w:lang w:bidi="ar-SA"/>
          <w:color w:val="111111"/>
          <w:sz w:val="28"/>
          <w:szCs w:val="28"/>
          <w:rtl/>
        </w:rPr>
        <w:t xml:space="preserve">2 .المكمل في شرح المفصل، ج 15</w:t>
      </w:r>
    </w:p>
    <w:p>
      <w:pPr>
        <w:pStyle w:val="BookText"/>
      </w:pPr>
      <w:r>
        <w:rPr>
          <w:rFonts w:ascii="IRNazanin" w:hAnsi="IRNazanin" w:eastAsia="IRNazanin" w:cs="IRNazanin"/>
          <w:lang w:bidi="fa-IR"/>
          <w:color w:val="111111"/>
          <w:sz w:val="28"/>
          <w:szCs w:val="28"/>
          <w:rtl/>
        </w:rPr>
        <w:t xml:space="preserve">ص 429 .</w:t>
      </w:r>
    </w:p>
    <w:p>
      <w:pPr>
        <w:pStyle w:val="Heading2"/>
      </w:pPr>
      <w:bookmarkStart w:id="4699" w:name="_Toc3801"/>
      <w:r>
        <w:t>زيداني صفدي، فاضل بن علي، قرن 13</w:t>
      </w:r>
      <w:bookmarkEnd w:id="4699"/>
    </w:p>
    <w:p>
      <w:pPr>
        <w:pStyle w:val="BookText"/>
      </w:pPr>
      <w:r>
        <w:rPr>
          <w:rFonts w:ascii="Amiri" w:hAnsi="Amiri" w:eastAsia="Amiri" w:cs="Amiri"/>
          <w:lang w:bidi="ar-SA"/>
          <w:color w:val="111111"/>
          <w:sz w:val="28"/>
          <w:szCs w:val="28"/>
          <w:rtl/>
        </w:rPr>
        <w:t xml:space="preserve">سعادة الدارين في أخلاق سيد الكونين</w:t>
      </w:r>
    </w:p>
    <w:p>
      <w:pPr>
        <w:pStyle w:val="BookText"/>
      </w:pPr>
      <w:r>
        <w:rPr>
          <w:rFonts w:ascii="IRNazanin" w:hAnsi="IRNazanin" w:eastAsia="IRNazanin" w:cs="IRNazanin"/>
          <w:lang w:bidi="fa-IR"/>
          <w:color w:val="111111"/>
          <w:sz w:val="28"/>
          <w:szCs w:val="28"/>
          <w:rtl/>
        </w:rPr>
        <w:t xml:space="preserve">ج 8، ص 773.</w:t>
      </w:r>
    </w:p>
    <w:p>
      <w:pPr>
        <w:pStyle w:val="BookText"/>
      </w:pPr>
      <w:r>
        <w:rPr>
          <w:rFonts w:ascii="Amiri" w:hAnsi="Amiri" w:eastAsia="Amiri" w:cs="Amiri"/>
          <w:lang w:bidi="ar-SA"/>
          <w:color w:val="111111"/>
          <w:sz w:val="28"/>
          <w:szCs w:val="28"/>
          <w:rtl/>
        </w:rPr>
        <w:t xml:space="preserve">زيداني ، مظهر الدين حسين بن محمود -زيداني ، حسين بن محمود</w:t>
      </w:r>
    </w:p>
    <w:p>
      <w:pPr>
        <w:pStyle w:val="BookText"/>
      </w:pPr>
      <w:r>
        <w:rPr>
          <w:rFonts w:ascii="IRNazanin" w:hAnsi="IRNazanin" w:eastAsia="IRNazanin" w:cs="IRNazanin"/>
          <w:lang w:bidi="fa-IR"/>
          <w:color w:val="111111"/>
          <w:sz w:val="28"/>
          <w:szCs w:val="28"/>
          <w:rtl/>
        </w:rPr>
        <w:t xml:space="preserve">زید بن حسن كندي -كندي ، زيد بن حسن</w:t>
      </w:r>
    </w:p>
    <w:p>
      <w:pPr>
        <w:pStyle w:val="Heading2"/>
      </w:pPr>
      <w:bookmarkStart w:id="4700" w:name="_Toc3802"/>
      <w:r>
        <w:t>زید بن حسين قرن 14 ه-</w:t>
      </w:r>
      <w:bookmarkEnd w:id="4700"/>
    </w:p>
    <w:p>
      <w:pPr>
        <w:pStyle w:val="BookText"/>
      </w:pPr>
      <w:r>
        <w:rPr>
          <w:rFonts w:ascii="Amiri" w:hAnsi="Amiri" w:eastAsia="Amiri" w:cs="Amiri"/>
          <w:lang w:bidi="ar-SA"/>
          <w:color w:val="111111"/>
          <w:sz w:val="28"/>
          <w:szCs w:val="28"/>
          <w:rtl/>
        </w:rPr>
        <w:t xml:space="preserve">رسالة من زيد بن الحسين إلى ياسين</w:t>
      </w:r>
    </w:p>
    <w:p>
      <w:pPr>
        <w:pStyle w:val="BookText"/>
      </w:pPr>
      <w:r>
        <w:rPr>
          <w:rFonts w:ascii="Amiri" w:hAnsi="Amiri" w:eastAsia="Amiri" w:cs="Amiri"/>
          <w:lang w:bidi="ar-SA"/>
          <w:color w:val="111111"/>
          <w:sz w:val="28"/>
          <w:szCs w:val="28"/>
          <w:rtl/>
        </w:rPr>
        <w:t xml:space="preserve">الهاشمي، ج8، ص279.</w:t>
      </w:r>
    </w:p>
    <w:p>
      <w:pPr>
        <w:pStyle w:val="Heading2"/>
      </w:pPr>
      <w:bookmarkStart w:id="4701" w:name="_Toc3803"/>
      <w:r>
        <w:t>زید بن علي، 79 - 122 ه-</w:t>
      </w:r>
      <w:bookmarkEnd w:id="4701"/>
    </w:p>
    <w:p>
      <w:pPr>
        <w:pStyle w:val="BookText"/>
      </w:pPr>
      <w:r>
        <w:rPr>
          <w:rFonts w:ascii="Amiri" w:hAnsi="Amiri" w:eastAsia="Amiri" w:cs="Amiri"/>
          <w:lang w:bidi="ar-SA"/>
          <w:color w:val="111111"/>
          <w:sz w:val="28"/>
          <w:szCs w:val="28"/>
          <w:rtl/>
        </w:rPr>
        <w:t xml:space="preserve">1.الصفوة = كتاب الصفوة، ج 10،</w:t>
      </w:r>
    </w:p>
    <w:p>
      <w:pPr>
        <w:pStyle w:val="BookText"/>
      </w:pPr>
      <w:r>
        <w:rPr>
          <w:rFonts w:ascii="IRNazanin" w:hAnsi="IRNazanin" w:eastAsia="IRNazanin" w:cs="IRNazanin"/>
          <w:lang w:bidi="fa-IR"/>
          <w:color w:val="111111"/>
          <w:sz w:val="28"/>
          <w:szCs w:val="28"/>
          <w:rtl/>
        </w:rPr>
        <w:t xml:space="preserve">ص 573.</w:t>
      </w:r>
    </w:p>
    <w:p>
      <w:pPr>
        <w:pStyle w:val="BookText"/>
      </w:pPr>
      <w:r>
        <w:rPr>
          <w:rFonts w:ascii="Amiri" w:hAnsi="Amiri" w:eastAsia="Amiri" w:cs="Amiri"/>
          <w:lang w:bidi="ar-SA"/>
          <w:color w:val="111111"/>
          <w:sz w:val="28"/>
          <w:szCs w:val="28"/>
          <w:rtl/>
        </w:rPr>
        <w:t xml:space="preserve">2 .مناسك الحج، ج 15، ص 496.</w:t>
      </w:r>
    </w:p>
    <w:p>
      <w:pPr>
        <w:pStyle w:val="BookText"/>
      </w:pPr>
      <w:r>
        <w:rPr>
          <w:rFonts w:ascii="Amiri" w:hAnsi="Amiri" w:eastAsia="Amiri" w:cs="Amiri"/>
          <w:lang w:bidi="ar-SA"/>
          <w:color w:val="111111"/>
          <w:sz w:val="28"/>
          <w:szCs w:val="28"/>
          <w:rtl/>
        </w:rPr>
        <w:t xml:space="preserve">زيدي ، احمد بن يحيى- يمني ، احمد بن</w:t>
      </w:r>
    </w:p>
    <w:p>
      <w:pPr>
        <w:pStyle w:val="BookText"/>
      </w:pPr>
      <w:r>
        <w:rPr>
          <w:rFonts w:ascii="Amiri" w:hAnsi="Amiri" w:eastAsia="Amiri" w:cs="Amiri"/>
          <w:lang w:bidi="ar-SA"/>
          <w:color w:val="111111"/>
          <w:sz w:val="28"/>
          <w:szCs w:val="28"/>
          <w:rtl/>
        </w:rPr>
        <w:t xml:space="preserve">يحيى</w:t>
      </w:r>
    </w:p>
    <w:p>
      <w:pPr>
        <w:pStyle w:val="BookText"/>
      </w:pPr>
      <w:r>
        <w:rPr>
          <w:rFonts w:ascii="Amiri" w:hAnsi="Amiri" w:eastAsia="Amiri" w:cs="Amiri"/>
          <w:lang w:bidi="ar-SA"/>
          <w:color w:val="111111"/>
          <w:sz w:val="28"/>
          <w:szCs w:val="28"/>
          <w:rtl/>
        </w:rPr>
        <w:t xml:space="preserve">زيدي، اسماعيل بن محمّد - صنعاني :</w:t>
      </w:r>
    </w:p>
    <w:p>
      <w:pPr>
        <w:pStyle w:val="BookText"/>
      </w:pPr>
      <w:r>
        <w:rPr>
          <w:rFonts w:ascii="Amiri" w:hAnsi="Amiri" w:eastAsia="Amiri" w:cs="Amiri"/>
          <w:lang w:bidi="ar-SA"/>
          <w:color w:val="111111"/>
          <w:sz w:val="28"/>
          <w:szCs w:val="28"/>
          <w:rtl/>
        </w:rPr>
        <w:t xml:space="preserve">اسماعيل بن محمّد</w:t>
      </w:r>
    </w:p>
    <w:p>
      <w:pPr>
        <w:pStyle w:val="BookText"/>
      </w:pPr>
      <w:r>
        <w:rPr>
          <w:rFonts w:ascii="Amiri" w:hAnsi="Amiri" w:eastAsia="Amiri" w:cs="Amiri"/>
          <w:lang w:bidi="ar-SA"/>
          <w:color w:val="111111"/>
          <w:sz w:val="28"/>
          <w:szCs w:val="28"/>
          <w:rtl/>
        </w:rPr>
        <w:t xml:space="preserve">زيدي علوي ، قاسم بن محمّد- منصور</w:t>
      </w:r>
    </w:p>
    <w:p>
      <w:pPr>
        <w:pStyle w:val="BookText"/>
      </w:pPr>
      <w:r>
        <w:rPr>
          <w:rFonts w:ascii="IRNazanin" w:hAnsi="IRNazanin" w:eastAsia="IRNazanin" w:cs="IRNazanin"/>
          <w:lang w:bidi="fa-IR"/>
          <w:color w:val="111111"/>
          <w:sz w:val="28"/>
          <w:szCs w:val="28"/>
          <w:rtl/>
        </w:rPr>
        <w:t xml:space="preserve">بالله ، قاسم بن محمّد</w:t>
      </w:r>
    </w:p>
    <w:p>
      <w:pPr>
        <w:pStyle w:val="BookText"/>
      </w:pPr>
      <w:r>
        <w:rPr>
          <w:rFonts w:ascii="Amiri" w:hAnsi="Amiri" w:eastAsia="Amiri" w:cs="Amiri"/>
          <w:lang w:bidi="ar-SA"/>
          <w:color w:val="111111"/>
          <w:sz w:val="28"/>
          <w:szCs w:val="28"/>
          <w:rtl/>
        </w:rPr>
        <w:t xml:space="preserve">زيدي ، يحيى بن حمزه - مؤيد بالله</w:t>
      </w:r>
    </w:p>
    <w:p>
      <w:pPr>
        <w:pStyle w:val="BookText"/>
      </w:pPr>
      <w:r>
        <w:rPr>
          <w:rFonts w:ascii="Amiri" w:hAnsi="Amiri" w:eastAsia="Amiri" w:cs="Amiri"/>
          <w:lang w:bidi="ar-SA"/>
          <w:color w:val="111111"/>
          <w:sz w:val="28"/>
          <w:szCs w:val="28"/>
          <w:rtl/>
        </w:rPr>
        <w:t xml:space="preserve">يحيى بن حمزه</w:t>
      </w:r>
    </w:p>
    <w:p>
      <w:pPr>
        <w:pStyle w:val="Heading2"/>
      </w:pPr>
      <w:bookmarkStart w:id="4702" w:name="_Toc3804"/>
      <w:r>
        <w:t>زيرك محمّد</w:t>
      </w:r>
      <w:bookmarkEnd w:id="4702"/>
    </w:p>
    <w:p>
      <w:pPr>
        <w:pStyle w:val="BookText"/>
      </w:pPr>
      <w:r>
        <w:rPr>
          <w:rFonts w:ascii="Amiri" w:hAnsi="Amiri" w:eastAsia="Amiri" w:cs="Amiri"/>
          <w:lang w:bidi="ar-SA"/>
          <w:color w:val="111111"/>
          <w:sz w:val="28"/>
          <w:szCs w:val="28"/>
          <w:rtl/>
        </w:rPr>
        <w:t xml:space="preserve">اللغة (كتاب في)، ج 13، ص 588.</w:t>
      </w:r>
    </w:p>
    <w:p>
      <w:pPr>
        <w:pStyle w:val="BookText"/>
      </w:pPr>
      <w:r>
        <w:rPr>
          <w:rFonts w:ascii="Amiri" w:hAnsi="Amiri" w:eastAsia="Amiri" w:cs="Amiri"/>
          <w:lang w:bidi="ar-SA"/>
          <w:color w:val="111111"/>
          <w:sz w:val="28"/>
          <w:szCs w:val="28"/>
          <w:rtl/>
        </w:rPr>
        <w:t xml:space="preserve">زيلعي ، حسن بن ابراهيم- جبرتي ، حسن</w:t>
      </w:r>
    </w:p>
    <w:p>
      <w:pPr>
        <w:pStyle w:val="BookText"/>
      </w:pPr>
      <w:r>
        <w:rPr>
          <w:rFonts w:ascii="Amiri" w:hAnsi="Amiri" w:eastAsia="Amiri" w:cs="Amiri"/>
          <w:lang w:bidi="ar-SA"/>
          <w:color w:val="111111"/>
          <w:sz w:val="28"/>
          <w:szCs w:val="28"/>
          <w:rtl/>
        </w:rPr>
        <w:t xml:space="preserve">بن ابراهيم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3" w:name="pg7742_70481"/>
    <w:bookmarkEnd w:id="543"/>
    <w:p>
      <w:pPr>
        <w:pStyle w:val="Heading2"/>
      </w:pPr>
      <w:bookmarkStart w:id="4703" w:name="_Toc3805"/>
      <w:r>
        <w:t>زيلعي ، عثمان بن علي - 743 ه-</w:t>
      </w:r>
      <w:bookmarkEnd w:id="4703"/>
    </w:p>
    <w:p>
      <w:pPr>
        <w:pStyle w:val="BookText"/>
      </w:pPr>
      <w:r>
        <w:rPr>
          <w:rFonts w:ascii="Amiri" w:hAnsi="Amiri" w:eastAsia="Amiri" w:cs="Amiri"/>
          <w:lang w:bidi="ar-SA"/>
          <w:color w:val="111111"/>
          <w:sz w:val="28"/>
          <w:szCs w:val="28"/>
          <w:rtl/>
        </w:rPr>
        <w:t xml:space="preserve">1 .تبيين الحقائق في شرح كنز الدقائق، ج 3، ص 664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تخریج احاديث الهداية، جع،</w:t>
      </w:r>
    </w:p>
    <w:p>
      <w:pPr>
        <w:pStyle w:val="BookText"/>
      </w:pPr>
      <w:r>
        <w:rPr>
          <w:rFonts w:ascii="IRNazanin" w:hAnsi="IRNazanin" w:eastAsia="IRNazanin" w:cs="IRNazanin"/>
          <w:lang w:bidi="fa-IR"/>
          <w:color w:val="111111"/>
          <w:sz w:val="28"/>
          <w:szCs w:val="28"/>
          <w:rtl/>
        </w:rPr>
        <w:t xml:space="preserve">ص 96 .</w:t>
      </w:r>
    </w:p>
    <w:p>
      <w:pPr>
        <w:pStyle w:val="BookText"/>
      </w:pPr>
      <w:r>
        <w:rPr>
          <w:rFonts w:ascii="Amiri" w:hAnsi="Amiri" w:eastAsia="Amiri" w:cs="Amiri"/>
          <w:lang w:bidi="ar-SA"/>
          <w:color w:val="111111"/>
          <w:sz w:val="28"/>
          <w:szCs w:val="28"/>
          <w:rtl/>
        </w:rPr>
        <w:t xml:space="preserve">زيلي، احمد بن محمّد- سيواسي زيلي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4704" w:name="_Toc3806"/>
      <w:r>
        <w:t>زيلي، محرم بن محمّد - 1000 ه-</w:t>
      </w:r>
      <w:bookmarkEnd w:id="4704"/>
    </w:p>
    <w:p>
      <w:pPr>
        <w:pStyle w:val="BookText"/>
      </w:pPr>
      <w:r>
        <w:rPr>
          <w:rFonts w:ascii="Amiri" w:hAnsi="Amiri" w:eastAsia="Amiri" w:cs="Amiri"/>
          <w:lang w:bidi="ar-SA"/>
          <w:color w:val="111111"/>
          <w:sz w:val="28"/>
          <w:szCs w:val="28"/>
          <w:rtl/>
        </w:rPr>
        <w:t xml:space="preserve">مناقب الامام الاعظم ابي حنيفة، ج 15</w:t>
      </w:r>
    </w:p>
    <w:p>
      <w:pPr>
        <w:pStyle w:val="BookText"/>
      </w:pPr>
      <w:r>
        <w:rPr>
          <w:rFonts w:ascii="IRNazanin" w:hAnsi="IRNazanin" w:eastAsia="IRNazanin" w:cs="IRNazanin"/>
          <w:lang w:bidi="fa-IR"/>
          <w:color w:val="111111"/>
          <w:sz w:val="28"/>
          <w:szCs w:val="28"/>
          <w:rtl/>
        </w:rPr>
        <w:t xml:space="preserve">ص 538.</w:t>
      </w:r>
    </w:p>
    <w:p>
      <w:pPr>
        <w:pStyle w:val="BookText"/>
      </w:pPr>
      <w:r>
        <w:rPr>
          <w:rFonts w:ascii="Amiri" w:hAnsi="Amiri" w:eastAsia="Amiri" w:cs="Amiri"/>
          <w:lang w:bidi="ar-SA"/>
          <w:color w:val="111111"/>
          <w:sz w:val="28"/>
          <w:szCs w:val="28"/>
          <w:rtl/>
        </w:rPr>
        <w:t xml:space="preserve">زين الاسلام قشيري ، عبد الكريم بن هوازن- قشيري ، عبدالكريم بن هوازن</w:t>
      </w:r>
    </w:p>
    <w:p>
      <w:pPr>
        <w:pStyle w:val="Heading2"/>
      </w:pPr>
      <w:bookmarkStart w:id="4705" w:name="_Toc3807"/>
      <w:r>
        <w:t>زين الدين الرازي ، محمّد بن ابي بكر</w:t>
      </w:r>
      <w:bookmarkEnd w:id="4705"/>
    </w:p>
    <w:p>
      <w:pPr>
        <w:pStyle w:val="BookText"/>
      </w:pPr>
      <w:r>
        <w:rPr>
          <w:rFonts w:ascii="IRNazanin" w:hAnsi="IRNazanin" w:eastAsia="IRNazanin" w:cs="IRNazanin"/>
          <w:lang w:bidi="fa-IR"/>
          <w:color w:val="111111"/>
          <w:sz w:val="28"/>
          <w:szCs w:val="28"/>
          <w:rtl/>
        </w:rPr>
        <w:t xml:space="preserve">666؟ ه-</w:t>
      </w:r>
    </w:p>
    <w:p>
      <w:pPr>
        <w:pStyle w:val="BookText"/>
      </w:pPr>
      <w:r>
        <w:rPr>
          <w:rFonts w:ascii="Amiri" w:hAnsi="Amiri" w:eastAsia="Amiri" w:cs="Amiri"/>
          <w:lang w:bidi="ar-SA"/>
          <w:color w:val="111111"/>
          <w:sz w:val="28"/>
          <w:szCs w:val="28"/>
          <w:rtl/>
        </w:rPr>
        <w:t xml:space="preserve">1 .اسئلة القرآن و اجوبتها = انموذج</w:t>
      </w:r>
    </w:p>
    <w:p>
      <w:pPr>
        <w:pStyle w:val="BookText"/>
      </w:pPr>
      <w:r>
        <w:rPr>
          <w:rFonts w:ascii="Amiri" w:hAnsi="Amiri" w:eastAsia="Amiri" w:cs="Amiri"/>
          <w:lang w:bidi="ar-SA"/>
          <w:color w:val="111111"/>
          <w:sz w:val="28"/>
          <w:szCs w:val="28"/>
          <w:rtl/>
        </w:rPr>
        <w:t xml:space="preserve">جليل، ج 2، ص 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التحبير = مختار التحبير في علم التذكير في شرح اسماء الله تعالى</w:t>
      </w:r>
    </w:p>
    <w:p>
      <w:pPr>
        <w:pStyle w:val="BookText"/>
      </w:pPr>
      <w:r>
        <w:rPr>
          <w:rFonts w:ascii="IRNazanin" w:hAnsi="IRNazanin" w:eastAsia="IRNazanin" w:cs="IRNazanin"/>
          <w:lang w:bidi="fa-IR"/>
          <w:color w:val="111111"/>
          <w:sz w:val="28"/>
          <w:szCs w:val="28"/>
          <w:rtl/>
        </w:rPr>
        <w:t xml:space="preserve">ج 3، ص 719.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الملوك، ج4، ص28.</w:t>
      </w:r>
    </w:p>
    <w:p>
      <w:pPr>
        <w:pStyle w:val="BookText"/>
      </w:pPr>
      <w:r>
        <w:rPr>
          <w:rFonts w:ascii="Amiri" w:hAnsi="Amiri" w:eastAsia="Amiri" w:cs="Amiri"/>
          <w:lang w:bidi="ar-SA"/>
          <w:color w:val="111111"/>
          <w:sz w:val="28"/>
          <w:szCs w:val="28"/>
          <w:rtl/>
        </w:rPr>
        <w:t xml:space="preserve">4 .حدائق الحقايق، ج6، ص 513.</w:t>
      </w:r>
    </w:p>
    <w:p>
      <w:pPr>
        <w:pStyle w:val="BookText"/>
      </w:pPr>
      <w:r>
        <w:rPr>
          <w:rFonts w:ascii="Amiri" w:hAnsi="Amiri" w:eastAsia="Amiri" w:cs="Amiri"/>
          <w:lang w:bidi="ar-SA"/>
          <w:color w:val="111111"/>
          <w:sz w:val="28"/>
          <w:szCs w:val="28"/>
          <w:rtl/>
        </w:rPr>
        <w:t xml:space="preserve">5 .روضة الفصاحة في البديع، ج8،</w:t>
      </w:r>
    </w:p>
    <w:p>
      <w:pPr>
        <w:pStyle w:val="BookText"/>
      </w:pPr>
      <w:r>
        <w:rPr>
          <w:rFonts w:ascii="IRNazanin" w:hAnsi="IRNazanin" w:eastAsia="IRNazanin" w:cs="IRNazanin"/>
          <w:lang w:bidi="fa-IR"/>
          <w:color w:val="111111"/>
          <w:sz w:val="28"/>
          <w:szCs w:val="28"/>
          <w:rtl/>
        </w:rPr>
        <w:t xml:space="preserve">ص 447.</w:t>
      </w:r>
    </w:p>
    <w:p>
      <w:pPr>
        <w:pStyle w:val="BookText"/>
      </w:pPr>
      <w:r>
        <w:rPr>
          <w:rFonts w:ascii="Amiri" w:hAnsi="Amiri" w:eastAsia="Amiri" w:cs="Amiri"/>
          <w:lang w:bidi="ar-SA"/>
          <w:color w:val="111111"/>
          <w:sz w:val="28"/>
          <w:szCs w:val="28"/>
          <w:rtl/>
        </w:rPr>
        <w:t xml:space="preserve">6 .زهر الربيع، ج8، ص 625.</w:t>
      </w:r>
    </w:p>
    <w:p>
      <w:pPr>
        <w:pStyle w:val="BookText"/>
      </w:pPr>
      <w:r>
        <w:rPr>
          <w:rFonts w:ascii="Amiri" w:hAnsi="Amiri" w:eastAsia="Amiri" w:cs="Amiri"/>
          <w:lang w:bidi="ar-SA"/>
          <w:color w:val="111111"/>
          <w:sz w:val="28"/>
          <w:szCs w:val="28"/>
          <w:rtl/>
        </w:rPr>
        <w:t xml:space="preserve">7 .شرح الكليات (رسالة في)، ج 10،</w:t>
      </w:r>
    </w:p>
    <w:p>
      <w:pPr>
        <w:pStyle w:val="BookText"/>
      </w:pPr>
      <w:r>
        <w:rPr>
          <w:rFonts w:ascii="IRNazanin" w:hAnsi="IRNazanin" w:eastAsia="IRNazanin" w:cs="IRNazanin"/>
          <w:lang w:bidi="fa-IR"/>
          <w:color w:val="111111"/>
          <w:sz w:val="28"/>
          <w:szCs w:val="28"/>
          <w:rtl/>
        </w:rPr>
        <w:t xml:space="preserve">ص 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الكيات (رسالة في)، ج 10،</w:t>
      </w:r>
    </w:p>
    <w:p>
      <w:pPr>
        <w:pStyle w:val="BookText"/>
      </w:pPr>
      <w:r>
        <w:rPr>
          <w:rFonts w:ascii="IRNazanin" w:hAnsi="IRNazanin" w:eastAsia="IRNazanin" w:cs="IRNazanin"/>
          <w:lang w:bidi="fa-IR"/>
          <w:color w:val="111111"/>
          <w:sz w:val="28"/>
          <w:szCs w:val="28"/>
          <w:rtl/>
        </w:rPr>
        <w:t xml:space="preserve">ص 69 .</w:t>
      </w:r>
    </w:p>
    <w:p>
      <w:pPr>
        <w:pStyle w:val="BookText"/>
      </w:pPr>
      <w:r>
        <w:rPr>
          <w:rFonts w:ascii="Amiri" w:hAnsi="Amiri" w:eastAsia="Amiri" w:cs="Amiri"/>
          <w:lang w:bidi="ar-SA"/>
          <w:color w:val="111111"/>
          <w:sz w:val="28"/>
          <w:szCs w:val="28"/>
          <w:rtl/>
        </w:rPr>
        <w:t xml:space="preserve">9 .فوائد في شرح رسالة، ج 12، ص 259.</w:t>
      </w:r>
    </w:p>
    <w:p>
      <w:pPr>
        <w:pStyle w:val="BookText"/>
      </w:pPr>
      <w:r>
        <w:rPr>
          <w:rFonts w:ascii="Amiri" w:hAnsi="Amiri" w:eastAsia="Amiri" w:cs="Amiri"/>
          <w:lang w:bidi="ar-SA"/>
          <w:color w:val="111111"/>
          <w:sz w:val="28"/>
          <w:szCs w:val="28"/>
          <w:rtl/>
        </w:rPr>
        <w:t xml:space="preserve">10 .كنوز البراعة بلطائف رموز العبارة</w:t>
      </w:r>
    </w:p>
    <w:p>
      <w:pPr>
        <w:pStyle w:val="BookText"/>
      </w:pPr>
      <w:r>
        <w:rPr>
          <w:rFonts w:ascii="Amiri" w:hAnsi="Amiri" w:eastAsia="Amiri" w:cs="Amiri"/>
          <w:lang w:bidi="ar-SA"/>
          <w:color w:val="111111"/>
          <w:sz w:val="28"/>
          <w:szCs w:val="28"/>
          <w:rtl/>
        </w:rPr>
        <w:t xml:space="preserve">=شرح مقامات الحريري، ج 13،</w:t>
      </w:r>
    </w:p>
    <w:p>
      <w:pPr>
        <w:pStyle w:val="BookText"/>
      </w:pPr>
      <w:r>
        <w:rPr>
          <w:rFonts w:ascii="IRNazanin" w:hAnsi="IRNazanin" w:eastAsia="IRNazanin" w:cs="IRNazanin"/>
          <w:lang w:bidi="fa-IR"/>
          <w:color w:val="111111"/>
          <w:sz w:val="28"/>
          <w:szCs w:val="28"/>
          <w:rtl/>
        </w:rPr>
        <w:t xml:space="preserve">ص 442 .</w:t>
      </w:r>
    </w:p>
    <w:p>
      <w:pPr>
        <w:pStyle w:val="BookText"/>
      </w:pPr>
      <w:r>
        <w:rPr>
          <w:rFonts w:ascii="Amiri" w:hAnsi="Amiri" w:eastAsia="Amiri" w:cs="Amiri"/>
          <w:lang w:bidi="ar-SA"/>
          <w:color w:val="111111"/>
          <w:sz w:val="28"/>
          <w:szCs w:val="28"/>
          <w:rtl/>
        </w:rPr>
        <w:t xml:space="preserve">11 .مجمع الفوائد لجمع العوائد في شرح تحفة الملوك، ج 13، ص 860.</w:t>
      </w:r>
    </w:p>
    <w:p>
      <w:pPr>
        <w:pStyle w:val="BookText"/>
      </w:pPr>
      <w:r>
        <w:rPr>
          <w:rFonts w:ascii="IRNazanin" w:hAnsi="IRNazanin" w:eastAsia="IRNazanin" w:cs="IRNazanin"/>
          <w:lang w:bidi="fa-IR"/>
          <w:color w:val="111111"/>
          <w:sz w:val="28"/>
          <w:szCs w:val="28"/>
          <w:rtl/>
        </w:rPr>
        <w:t xml:space="preserve">12 .مختار الصحاح = مختصر الصحاح</w:t>
      </w:r>
    </w:p>
    <w:p>
      <w:pPr>
        <w:pStyle w:val="BookText"/>
      </w:pPr>
      <w:r>
        <w:rPr>
          <w:rFonts w:ascii="IRNazanin" w:hAnsi="IRNazanin" w:eastAsia="IRNazanin" w:cs="IRNazanin"/>
          <w:lang w:bidi="fa-IR"/>
          <w:color w:val="111111"/>
          <w:sz w:val="28"/>
          <w:szCs w:val="28"/>
          <w:rtl/>
        </w:rPr>
        <w:t xml:space="preserve">ج 14 ، ص 151.</w:t>
      </w:r>
    </w:p>
    <w:p>
      <w:pPr>
        <w:pStyle w:val="BookText"/>
      </w:pPr>
      <w:r>
        <w:rPr>
          <w:rFonts w:ascii="Amiri" w:hAnsi="Amiri" w:eastAsia="Amiri" w:cs="Amiri"/>
          <w:lang w:bidi="ar-SA"/>
          <w:color w:val="111111"/>
          <w:sz w:val="28"/>
          <w:szCs w:val="28"/>
          <w:rtl/>
        </w:rPr>
        <w:t xml:space="preserve">زين الدين بكري- بكري، زين الدين</w:t>
      </w:r>
    </w:p>
    <w:p>
      <w:pPr>
        <w:pStyle w:val="BookText"/>
      </w:pPr>
      <w:r>
        <w:rPr>
          <w:rFonts w:ascii="Amiri" w:hAnsi="Amiri" w:eastAsia="Amiri" w:cs="Amiri"/>
          <w:lang w:bidi="ar-SA"/>
          <w:color w:val="111111"/>
          <w:sz w:val="28"/>
          <w:szCs w:val="28"/>
          <w:rtl/>
        </w:rPr>
        <w:t xml:space="preserve">زين الدين بن ابراهيم ابن نجيم- ابن</w:t>
      </w:r>
    </w:p>
    <w:p>
      <w:pPr>
        <w:pStyle w:val="BookText"/>
      </w:pPr>
      <w:r>
        <w:rPr>
          <w:rFonts w:ascii="IRNazanin" w:hAnsi="IRNazanin" w:eastAsia="IRNazanin" w:cs="IRNazanin"/>
          <w:lang w:bidi="fa-IR"/>
          <w:color w:val="111111"/>
          <w:sz w:val="28"/>
          <w:szCs w:val="28"/>
          <w:rtl/>
        </w:rPr>
        <w:t xml:space="preserve">نجیم، زين الدين بن ابراهيم</w:t>
      </w:r>
    </w:p>
    <w:p>
      <w:pPr>
        <w:pStyle w:val="BookText"/>
      </w:pPr>
      <w:r>
        <w:rPr>
          <w:rFonts w:ascii="Amiri" w:hAnsi="Amiri" w:eastAsia="Amiri" w:cs="Amiri"/>
          <w:lang w:bidi="ar-SA"/>
          <w:color w:val="111111"/>
          <w:sz w:val="28"/>
          <w:szCs w:val="28"/>
          <w:rtl/>
        </w:rPr>
        <w:t xml:space="preserve">زين الدين بن احمد بن علي بن حسين حلبي شافعي- حلبي شافعي ، زين الدين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4706" w:name="_Toc3808"/>
      <w:r>
        <w:t>زين الدين بن علي</w:t>
      </w:r>
      <w:bookmarkEnd w:id="4706"/>
    </w:p>
    <w:p>
      <w:pPr>
        <w:pStyle w:val="BookText"/>
      </w:pPr>
      <w:r>
        <w:rPr>
          <w:rFonts w:ascii="Amiri" w:hAnsi="Amiri" w:eastAsia="Amiri" w:cs="Amiri"/>
          <w:lang w:bidi="ar-SA"/>
          <w:color w:val="111111"/>
          <w:sz w:val="28"/>
          <w:szCs w:val="28"/>
          <w:rtl/>
        </w:rPr>
        <w:t xml:space="preserve">مالك الافعام، ج13، ص 686 .</w:t>
      </w:r>
    </w:p>
    <w:p>
      <w:pPr>
        <w:pStyle w:val="BookText"/>
      </w:pPr>
      <w:r>
        <w:rPr>
          <w:rFonts w:ascii="Amiri" w:hAnsi="Amiri" w:eastAsia="Amiri" w:cs="Amiri"/>
          <w:lang w:bidi="ar-SA"/>
          <w:color w:val="111111"/>
          <w:sz w:val="28"/>
          <w:szCs w:val="28"/>
          <w:rtl/>
        </w:rPr>
        <w:t xml:space="preserve">زين الدين بن علي عاملي- شهيد ثاني ،</w:t>
      </w:r>
    </w:p>
    <w:p>
      <w:pPr>
        <w:pStyle w:val="BookText"/>
      </w:pPr>
      <w:r>
        <w:rPr>
          <w:rFonts w:ascii="Amiri" w:hAnsi="Amiri" w:eastAsia="Amiri" w:cs="Amiri"/>
          <w:lang w:bidi="ar-SA"/>
          <w:color w:val="111111"/>
          <w:sz w:val="28"/>
          <w:szCs w:val="28"/>
          <w:rtl/>
        </w:rPr>
        <w:t xml:space="preserve">زين الدين بن علي</w:t>
      </w:r>
    </w:p>
    <w:p>
      <w:pPr>
        <w:pStyle w:val="BookText"/>
      </w:pPr>
      <w:r>
        <w:rPr>
          <w:rFonts w:ascii="Amiri" w:hAnsi="Amiri" w:eastAsia="Amiri" w:cs="Amiri"/>
          <w:lang w:bidi="ar-SA"/>
          <w:color w:val="111111"/>
          <w:sz w:val="28"/>
          <w:szCs w:val="28"/>
          <w:rtl/>
        </w:rPr>
        <w:t xml:space="preserve">زين الدين بن محسن عاملي- عاملي ،</w:t>
      </w:r>
    </w:p>
    <w:p>
      <w:pPr>
        <w:pStyle w:val="BookText"/>
      </w:pPr>
      <w:r>
        <w:rPr>
          <w:rFonts w:ascii="Amiri" w:hAnsi="Amiri" w:eastAsia="Amiri" w:cs="Amiri"/>
          <w:lang w:bidi="ar-SA"/>
          <w:color w:val="111111"/>
          <w:sz w:val="28"/>
          <w:szCs w:val="28"/>
          <w:rtl/>
        </w:rPr>
        <w:t xml:space="preserve">زين الدين بن محسن</w:t>
      </w:r>
    </w:p>
    <w:p>
      <w:pPr>
        <w:pStyle w:val="Heading2"/>
      </w:pPr>
      <w:bookmarkStart w:id="4707" w:name="_Toc3809"/>
      <w:r>
        <w:t>زین الدین زکریا</w:t>
      </w:r>
      <w:bookmarkEnd w:id="4707"/>
    </w:p>
    <w:p>
      <w:pPr>
        <w:pStyle w:val="BookText"/>
      </w:pPr>
      <w:r>
        <w:rPr>
          <w:rFonts w:ascii="Amiri" w:hAnsi="Amiri" w:eastAsia="Amiri" w:cs="Amiri"/>
          <w:lang w:bidi="ar-SA"/>
          <w:color w:val="111111"/>
          <w:sz w:val="28"/>
          <w:szCs w:val="28"/>
          <w:rtl/>
        </w:rPr>
        <w:t xml:space="preserve">شرح قصيدة المنفرجة، ج 9، ص897</w:t>
      </w:r>
    </w:p>
    <w:p>
      <w:pPr>
        <w:pStyle w:val="Heading2"/>
      </w:pPr>
      <w:bookmarkStart w:id="4708" w:name="_Toc3810"/>
      <w:r>
        <w:t>زین الدین ، محمّد امین 1914 م</w:t>
      </w:r>
      <w:bookmarkEnd w:id="4708"/>
    </w:p>
    <w:p>
      <w:pPr>
        <w:pStyle w:val="BookText"/>
      </w:pPr>
      <w:r>
        <w:rPr>
          <w:rFonts w:ascii="Amiri" w:hAnsi="Amiri" w:eastAsia="Amiri" w:cs="Amiri"/>
          <w:lang w:bidi="ar-SA"/>
          <w:color w:val="111111"/>
          <w:sz w:val="28"/>
          <w:szCs w:val="28"/>
          <w:rtl/>
        </w:rPr>
        <w:t xml:space="preserve">1 .كلمة التقوى، ج 13، ص 373.</w:t>
      </w:r>
    </w:p>
    <w:p>
      <w:pPr>
        <w:pStyle w:val="BookText"/>
      </w:pPr>
      <w:r>
        <w:rPr>
          <w:rFonts w:ascii="Amiri" w:hAnsi="Amiri" w:eastAsia="Amiri" w:cs="Amiri"/>
          <w:lang w:bidi="ar-SA"/>
          <w:color w:val="111111"/>
          <w:sz w:val="28"/>
          <w:szCs w:val="28"/>
          <w:rtl/>
        </w:rPr>
        <w:t xml:space="preserve">2 .كنز الدقائق في تخصيص الوافي</w:t>
      </w:r>
    </w:p>
    <w:p>
      <w:pPr>
        <w:pStyle w:val="BookText"/>
      </w:pPr>
      <w:r>
        <w:rPr>
          <w:rFonts w:ascii="IRNazanin" w:hAnsi="IRNazanin" w:eastAsia="IRNazanin" w:cs="IRNazanin"/>
          <w:lang w:bidi="fa-IR"/>
          <w:color w:val="111111"/>
          <w:sz w:val="28"/>
          <w:szCs w:val="28"/>
          <w:rtl/>
        </w:rPr>
        <w:t xml:space="preserve">ج 13، ص 415.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4" w:name="pg7742_70483"/>
    <w:bookmarkEnd w:id="544"/>
    <w:p>
      <w:pPr>
        <w:pStyle w:val="BookText"/>
      </w:pPr>
      <w:r>
        <w:rPr>
          <w:rFonts w:ascii="Amiri" w:hAnsi="Amiri" w:eastAsia="Amiri" w:cs="Amiri"/>
          <w:lang w:bidi="ar-SA"/>
          <w:color w:val="111111"/>
          <w:sz w:val="28"/>
          <w:szCs w:val="28"/>
          <w:rtl/>
        </w:rPr>
        <w:t xml:space="preserve">زين العابدين- علي بن حسين (ع)</w:t>
      </w:r>
    </w:p>
    <w:p>
      <w:pPr>
        <w:pStyle w:val="BookText"/>
      </w:pPr>
      <w:r>
        <w:rPr>
          <w:rFonts w:ascii="Amiri" w:hAnsi="Amiri" w:eastAsia="Amiri" w:cs="Amiri"/>
          <w:lang w:bidi="ar-SA"/>
          <w:color w:val="111111"/>
          <w:sz w:val="28"/>
          <w:szCs w:val="28"/>
          <w:rtl/>
        </w:rPr>
        <w:t xml:space="preserve">زين العابدين ابراهيم آبادي -ابراهيم</w:t>
      </w:r>
    </w:p>
    <w:p>
      <w:pPr>
        <w:pStyle w:val="BookText"/>
      </w:pPr>
      <w:r>
        <w:rPr>
          <w:rFonts w:ascii="Amiri" w:hAnsi="Amiri" w:eastAsia="Amiri" w:cs="Amiri"/>
          <w:lang w:bidi="ar-SA"/>
          <w:color w:val="111111"/>
          <w:sz w:val="28"/>
          <w:szCs w:val="28"/>
          <w:rtl/>
        </w:rPr>
        <w:t xml:space="preserve">آبادي ، زين العابدين</w:t>
      </w:r>
    </w:p>
    <w:p>
      <w:pPr>
        <w:pStyle w:val="BookText"/>
      </w:pPr>
      <w:r>
        <w:rPr>
          <w:rFonts w:ascii="Amiri" w:hAnsi="Amiri" w:eastAsia="Amiri" w:cs="Amiri"/>
          <w:lang w:bidi="ar-SA"/>
          <w:color w:val="111111"/>
          <w:sz w:val="28"/>
          <w:szCs w:val="28"/>
          <w:rtl/>
        </w:rPr>
        <w:t xml:space="preserve">زين العابدين بن اسكندر</w:t>
      </w:r>
    </w:p>
    <w:p>
      <w:pPr>
        <w:pStyle w:val="BookText"/>
      </w:pPr>
      <w:r>
        <w:rPr>
          <w:rFonts w:ascii="Amiri" w:hAnsi="Amiri" w:eastAsia="Amiri" w:cs="Amiri"/>
          <w:lang w:bidi="ar-SA"/>
          <w:color w:val="111111"/>
          <w:sz w:val="28"/>
          <w:szCs w:val="28"/>
          <w:rtl/>
        </w:rPr>
        <w:t xml:space="preserve">شيرواني- شيرواني، زين العابدين بن اسكندر</w:t>
      </w:r>
    </w:p>
    <w:p>
      <w:pPr>
        <w:pStyle w:val="BookText"/>
      </w:pPr>
      <w:r>
        <w:rPr>
          <w:rFonts w:ascii="Amiri" w:hAnsi="Amiri" w:eastAsia="Amiri" w:cs="Amiri"/>
          <w:lang w:bidi="ar-SA"/>
          <w:color w:val="111111"/>
          <w:sz w:val="28"/>
          <w:szCs w:val="28"/>
          <w:rtl/>
        </w:rPr>
        <w:t xml:space="preserve">زين العابدين بن حسين طباطبائي- طباطبائي، زين العابدين بن حسين</w:t>
      </w:r>
    </w:p>
    <w:p>
      <w:pPr>
        <w:pStyle w:val="BookText"/>
      </w:pPr>
      <w:r>
        <w:rPr>
          <w:rFonts w:ascii="IRNazanin" w:hAnsi="IRNazanin" w:eastAsia="IRNazanin" w:cs="IRNazanin"/>
          <w:lang w:bidi="fa-IR"/>
          <w:color w:val="111111"/>
          <w:sz w:val="28"/>
          <w:szCs w:val="28"/>
          <w:rtl/>
        </w:rPr>
        <w:t xml:space="preserve">زين العابدين بن سید محمّد مجاهد طباطبائي- طباطبائي، زين العابدين بن محمّد</w:t>
      </w:r>
    </w:p>
    <w:p>
      <w:pPr>
        <w:pStyle w:val="BookText"/>
      </w:pPr>
      <w:r>
        <w:rPr>
          <w:rFonts w:ascii="Amiri" w:hAnsi="Amiri" w:eastAsia="Amiri" w:cs="Amiri"/>
          <w:lang w:bidi="ar-SA"/>
          <w:color w:val="111111"/>
          <w:sz w:val="28"/>
          <w:szCs w:val="28"/>
          <w:rtl/>
        </w:rPr>
        <w:t xml:space="preserve">زين العابدين بن قاسم -رمال اصفهاني ،</w:t>
      </w:r>
    </w:p>
    <w:p>
      <w:pPr>
        <w:pStyle w:val="BookText"/>
      </w:pPr>
      <w:r>
        <w:rPr>
          <w:rFonts w:ascii="Amiri" w:hAnsi="Amiri" w:eastAsia="Amiri" w:cs="Amiri"/>
          <w:lang w:bidi="ar-SA"/>
          <w:color w:val="111111"/>
          <w:sz w:val="28"/>
          <w:szCs w:val="28"/>
          <w:rtl/>
        </w:rPr>
        <w:t xml:space="preserve">زين العابدين بن قاسم</w:t>
      </w:r>
    </w:p>
    <w:p>
      <w:pPr>
        <w:pStyle w:val="BookText"/>
      </w:pPr>
      <w:r>
        <w:rPr>
          <w:rFonts w:ascii="Amiri" w:hAnsi="Amiri" w:eastAsia="Amiri" w:cs="Amiri"/>
          <w:lang w:bidi="ar-SA"/>
          <w:color w:val="111111"/>
          <w:sz w:val="28"/>
          <w:szCs w:val="28"/>
          <w:rtl/>
        </w:rPr>
        <w:t xml:space="preserve">زين العابدين بن قاسم رمال</w:t>
      </w:r>
    </w:p>
    <w:p>
      <w:pPr>
        <w:pStyle w:val="BookText"/>
      </w:pPr>
      <w:r>
        <w:rPr>
          <w:rFonts w:ascii="Amiri" w:hAnsi="Amiri" w:eastAsia="Amiri" w:cs="Amiri"/>
          <w:lang w:bidi="ar-SA"/>
          <w:color w:val="111111"/>
          <w:sz w:val="28"/>
          <w:szCs w:val="28"/>
          <w:rtl/>
        </w:rPr>
        <w:t xml:space="preserve">اصفهاني -رمال اصفهاني، زين العابدين بن</w:t>
      </w:r>
    </w:p>
    <w:p>
      <w:pPr>
        <w:pStyle w:val="BookText"/>
      </w:pPr>
      <w:r>
        <w:rPr>
          <w:rFonts w:ascii="IRNazanin" w:hAnsi="IRNazanin" w:eastAsia="IRNazanin" w:cs="IRNazanin"/>
          <w:lang w:bidi="fa-IR"/>
          <w:color w:val="111111"/>
          <w:sz w:val="28"/>
          <w:szCs w:val="28"/>
          <w:rtl/>
        </w:rPr>
        <w:t xml:space="preserve">قاسم</w:t>
      </w:r>
    </w:p>
    <w:p>
      <w:pPr>
        <w:pStyle w:val="Heading2"/>
      </w:pPr>
      <w:bookmarkStart w:id="4709" w:name="_Toc3811"/>
      <w:r>
        <w:t>زين العابدين بن محمّد علي</w:t>
      </w:r>
      <w:bookmarkEnd w:id="4709"/>
    </w:p>
    <w:p>
      <w:pPr>
        <w:pStyle w:val="BookText"/>
      </w:pPr>
      <w:r>
        <w:rPr>
          <w:rFonts w:ascii="Amiri" w:hAnsi="Amiri" w:eastAsia="Amiri" w:cs="Amiri"/>
          <w:lang w:bidi="ar-SA"/>
          <w:color w:val="111111"/>
          <w:sz w:val="28"/>
          <w:szCs w:val="28"/>
          <w:rtl/>
        </w:rPr>
        <w:t xml:space="preserve">شفاء المؤمنين، ج10، ص391.</w:t>
      </w:r>
    </w:p>
    <w:p>
      <w:pPr>
        <w:pStyle w:val="BookText"/>
      </w:pPr>
      <w:r>
        <w:rPr>
          <w:rFonts w:ascii="Amiri" w:hAnsi="Amiri" w:eastAsia="Amiri" w:cs="Amiri"/>
          <w:lang w:bidi="ar-SA"/>
          <w:color w:val="111111"/>
          <w:sz w:val="28"/>
          <w:szCs w:val="28"/>
          <w:rtl/>
        </w:rPr>
        <w:t xml:space="preserve">زين العابدين بن مسلم حائري مازندراني- حائري مازندراني ، زين العابدين</w:t>
      </w:r>
    </w:p>
    <w:p>
      <w:pPr>
        <w:pStyle w:val="BookText"/>
      </w:pPr>
      <w:r>
        <w:rPr>
          <w:rFonts w:ascii="IRNazanin" w:hAnsi="IRNazanin" w:eastAsia="IRNazanin" w:cs="IRNazanin"/>
          <w:lang w:bidi="fa-IR"/>
          <w:color w:val="111111"/>
          <w:sz w:val="28"/>
          <w:szCs w:val="28"/>
          <w:rtl/>
        </w:rPr>
        <w:t xml:space="preserve">بن مسلم</w:t>
      </w:r>
    </w:p>
    <w:p>
      <w:pPr>
        <w:pStyle w:val="BookText"/>
      </w:pPr>
      <w:r>
        <w:rPr>
          <w:rFonts w:ascii="Amiri" w:hAnsi="Amiri" w:eastAsia="Amiri" w:cs="Amiri"/>
          <w:lang w:bidi="ar-SA"/>
          <w:color w:val="111111"/>
          <w:sz w:val="28"/>
          <w:szCs w:val="28"/>
          <w:rtl/>
        </w:rPr>
        <w:t xml:space="preserve">زين العابدين بن نور الدين حسيني كاشاني- كاشاني، زين العابدين بن نور الدين</w:t>
      </w:r>
    </w:p>
    <w:p>
      <w:pPr>
        <w:pStyle w:val="BookText"/>
      </w:pPr>
      <w:r>
        <w:rPr>
          <w:rFonts w:ascii="Amiri" w:hAnsi="Amiri" w:eastAsia="Amiri" w:cs="Amiri"/>
          <w:lang w:bidi="ar-SA"/>
          <w:color w:val="111111"/>
          <w:sz w:val="28"/>
          <w:szCs w:val="28"/>
          <w:rtl/>
        </w:rPr>
        <w:t xml:space="preserve">زين العابدين حسيني- خادم حسيني</w:t>
      </w:r>
    </w:p>
    <w:p>
      <w:pPr>
        <w:pStyle w:val="BookText"/>
      </w:pPr>
      <w:r>
        <w:rPr>
          <w:rFonts w:ascii="Amiri" w:hAnsi="Amiri" w:eastAsia="Amiri" w:cs="Amiri"/>
          <w:lang w:bidi="ar-SA"/>
          <w:color w:val="111111"/>
          <w:sz w:val="28"/>
          <w:szCs w:val="28"/>
          <w:rtl/>
        </w:rPr>
        <w:t xml:space="preserve">زين العابدين</w:t>
      </w:r>
    </w:p>
    <w:p>
      <w:pPr>
        <w:pStyle w:val="BookText"/>
      </w:pPr>
      <w:r>
        <w:rPr>
          <w:rFonts w:ascii="Amiri" w:hAnsi="Amiri" w:eastAsia="Amiri" w:cs="Amiri"/>
          <w:lang w:bidi="ar-SA"/>
          <w:color w:val="111111"/>
          <w:sz w:val="28"/>
          <w:szCs w:val="28"/>
          <w:rtl/>
        </w:rPr>
        <w:t xml:space="preserve">زين العابدين حسيني خادم -خادم</w:t>
      </w:r>
    </w:p>
    <w:p>
      <w:pPr>
        <w:pStyle w:val="BookText"/>
      </w:pPr>
      <w:r>
        <w:rPr>
          <w:rFonts w:ascii="Amiri" w:hAnsi="Amiri" w:eastAsia="Amiri" w:cs="Amiri"/>
          <w:lang w:bidi="ar-SA"/>
          <w:color w:val="111111"/>
          <w:sz w:val="28"/>
          <w:szCs w:val="28"/>
          <w:rtl/>
        </w:rPr>
        <w:t xml:space="preserve">حسيني، زين العابدين</w:t>
      </w:r>
    </w:p>
    <w:p>
      <w:pPr>
        <w:pStyle w:val="Heading2"/>
      </w:pPr>
      <w:bookmarkStart w:id="4710" w:name="_Toc3812"/>
      <w:r>
        <w:t>زين العابدین عطار ، علي بن حسين</w:t>
      </w:r>
      <w:bookmarkEnd w:id="4710"/>
    </w:p>
    <w:p>
      <w:pPr>
        <w:pStyle w:val="BookText"/>
      </w:pPr>
      <w:r>
        <w:rPr>
          <w:rFonts w:ascii="IRNazanin" w:hAnsi="IRNazanin" w:eastAsia="IRNazanin" w:cs="IRNazanin"/>
          <w:lang w:bidi="fa-IR"/>
          <w:color w:val="111111"/>
          <w:sz w:val="28"/>
          <w:szCs w:val="28"/>
          <w:rtl/>
        </w:rPr>
        <w:t xml:space="preserve">4730 - 806 ه-</w:t>
      </w:r>
    </w:p>
    <w:p>
      <w:pPr>
        <w:pStyle w:val="BookText"/>
      </w:pPr>
      <w:r>
        <w:rPr>
          <w:rFonts w:ascii="Amiri" w:hAnsi="Amiri" w:eastAsia="Amiri" w:cs="Amiri"/>
          <w:lang w:bidi="ar-SA"/>
          <w:color w:val="111111"/>
          <w:sz w:val="28"/>
          <w:szCs w:val="28"/>
          <w:rtl/>
        </w:rPr>
        <w:t xml:space="preserve">1 .اختيارات بديعي، ج 1، ص 557.</w:t>
      </w:r>
    </w:p>
    <w:p>
      <w:pPr>
        <w:pStyle w:val="BookText"/>
      </w:pPr>
      <w:r>
        <w:rPr>
          <w:rFonts w:ascii="Amiri" w:hAnsi="Amiri" w:eastAsia="Amiri" w:cs="Amiri"/>
          <w:lang w:bidi="ar-SA"/>
          <w:color w:val="111111"/>
          <w:sz w:val="28"/>
          <w:szCs w:val="28"/>
          <w:rtl/>
        </w:rPr>
        <w:t xml:space="preserve">2 .اسرار النكاح = اسرار النساء، ج 2،</w:t>
      </w:r>
    </w:p>
    <w:p>
      <w:pPr>
        <w:pStyle w:val="BookText"/>
      </w:pPr>
      <w:r>
        <w:rPr>
          <w:rFonts w:ascii="IRNazanin" w:hAnsi="IRNazanin" w:eastAsia="IRNazanin" w:cs="IRNazanin"/>
          <w:lang w:bidi="fa-IR"/>
          <w:color w:val="111111"/>
          <w:sz w:val="28"/>
          <w:szCs w:val="28"/>
          <w:rtl/>
        </w:rPr>
        <w:t xml:space="preserve">ص 184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الخواتين، ج3، ص828.</w:t>
      </w:r>
    </w:p>
    <w:p>
      <w:pPr>
        <w:pStyle w:val="BookText"/>
      </w:pPr>
      <w:r>
        <w:rPr>
          <w:rFonts w:ascii="IRNazanin" w:hAnsi="IRNazanin" w:eastAsia="IRNazanin" w:cs="IRNazanin"/>
          <w:lang w:bidi="fa-IR"/>
          <w:color w:val="111111"/>
          <w:sz w:val="28"/>
          <w:szCs w:val="28"/>
          <w:rtl/>
        </w:rPr>
        <w:t xml:space="preserve">4 .مفتاح الخزائن، ج 15 ، ص 197.</w:t>
      </w:r>
    </w:p>
    <w:p>
      <w:pPr>
        <w:pStyle w:val="BookText"/>
      </w:pPr>
      <w:r>
        <w:rPr>
          <w:rFonts w:ascii="Amiri" w:hAnsi="Amiri" w:eastAsia="Amiri" w:cs="Amiri"/>
          <w:lang w:bidi="ar-SA"/>
          <w:color w:val="111111"/>
          <w:sz w:val="28"/>
          <w:szCs w:val="28"/>
          <w:rtl/>
        </w:rPr>
        <w:t xml:space="preserve">زين العابدين مرعشي شهرستاني- مرعشي</w:t>
      </w:r>
    </w:p>
    <w:p>
      <w:pPr>
        <w:pStyle w:val="BookText"/>
      </w:pPr>
      <w:r>
        <w:rPr>
          <w:rFonts w:ascii="Amiri" w:hAnsi="Amiri" w:eastAsia="Amiri" w:cs="Amiri"/>
          <w:lang w:bidi="ar-SA"/>
          <w:color w:val="111111"/>
          <w:sz w:val="28"/>
          <w:szCs w:val="28"/>
          <w:rtl/>
        </w:rPr>
        <w:t xml:space="preserve">شهرستاني ، زين العابدين</w:t>
      </w:r>
    </w:p>
    <w:p>
      <w:pPr>
        <w:pStyle w:val="Heading2"/>
      </w:pPr>
      <w:bookmarkStart w:id="4711" w:name="_Toc3813"/>
      <w:r>
        <w:t>زين العرب ، ابراهيم بن اسماعيل - 966</w:t>
      </w:r>
      <w:bookmarkEnd w:id="4711"/>
    </w:p>
    <w:p>
      <w:pPr>
        <w:pStyle w:val="BookText"/>
      </w:pPr>
      <w:r>
        <w:rPr>
          <w:rFonts w:ascii="IRNazanin" w:hAnsi="IRNazanin" w:eastAsia="IRNazanin" w:cs="IRNazanin"/>
          <w:lang w:bidi="fa-IR"/>
          <w:color w:val="111111"/>
          <w:sz w:val="28"/>
          <w:szCs w:val="28"/>
          <w:rtl/>
        </w:rPr>
        <w:t xml:space="preserve">؟ ه-</w:t>
      </w:r>
    </w:p>
    <w:p>
      <w:pPr>
        <w:pStyle w:val="BookText"/>
      </w:pPr>
      <w:r>
        <w:rPr>
          <w:rFonts w:ascii="Amiri" w:hAnsi="Amiri" w:eastAsia="Amiri" w:cs="Amiri"/>
          <w:lang w:bidi="ar-SA"/>
          <w:color w:val="111111"/>
          <w:sz w:val="28"/>
          <w:szCs w:val="28"/>
          <w:rtl/>
        </w:rPr>
        <w:t xml:space="preserve">شرح تعليم المتعلم في طريق التعلم</w:t>
      </w:r>
    </w:p>
    <w:p>
      <w:pPr>
        <w:pStyle w:val="BookText"/>
      </w:pPr>
      <w:r>
        <w:rPr>
          <w:rFonts w:ascii="IRNazanin" w:hAnsi="IRNazanin" w:eastAsia="IRNazanin" w:cs="IRNazanin"/>
          <w:lang w:bidi="fa-IR"/>
          <w:color w:val="111111"/>
          <w:sz w:val="28"/>
          <w:szCs w:val="28"/>
          <w:rtl/>
        </w:rPr>
        <w:t xml:space="preserve">ج 9، ص 339.</w:t>
      </w:r>
    </w:p>
    <w:p>
      <w:pPr>
        <w:pStyle w:val="BookText"/>
      </w:pPr>
      <w:r>
        <w:rPr>
          <w:rFonts w:ascii="Amiri" w:hAnsi="Amiri" w:eastAsia="Amiri" w:cs="Amiri"/>
          <w:lang w:bidi="ar-SA"/>
          <w:color w:val="111111"/>
          <w:sz w:val="28"/>
          <w:szCs w:val="28"/>
          <w:rtl/>
        </w:rPr>
        <w:t xml:space="preserve">زين العرب ، علي بن عبدالله -ابن زين</w:t>
      </w:r>
    </w:p>
    <w:p>
      <w:pPr>
        <w:pStyle w:val="BookText"/>
      </w:pPr>
      <w:r>
        <w:rPr>
          <w:rFonts w:ascii="Amiri" w:hAnsi="Amiri" w:eastAsia="Amiri" w:cs="Amiri"/>
          <w:lang w:bidi="ar-SA"/>
          <w:color w:val="111111"/>
          <w:sz w:val="28"/>
          <w:szCs w:val="28"/>
          <w:rtl/>
        </w:rPr>
        <w:t xml:space="preserve">العرب ، علي بن عبيدالله</w:t>
      </w:r>
    </w:p>
    <w:p>
      <w:pPr>
        <w:pStyle w:val="BookText"/>
      </w:pPr>
      <w:r>
        <w:rPr>
          <w:rFonts w:ascii="Amiri" w:hAnsi="Amiri" w:eastAsia="Amiri" w:cs="Amiri"/>
          <w:lang w:bidi="ar-SA"/>
          <w:color w:val="111111"/>
          <w:sz w:val="28"/>
          <w:szCs w:val="28"/>
          <w:rtl/>
        </w:rPr>
        <w:t xml:space="preserve">زين العطار ، علي بن حسين -زين</w:t>
      </w:r>
    </w:p>
    <w:p>
      <w:pPr>
        <w:pStyle w:val="BookText"/>
      </w:pPr>
      <w:r>
        <w:rPr>
          <w:rFonts w:ascii="Amiri" w:hAnsi="Amiri" w:eastAsia="Amiri" w:cs="Amiri"/>
          <w:lang w:bidi="ar-SA"/>
          <w:color w:val="111111"/>
          <w:sz w:val="28"/>
          <w:szCs w:val="28"/>
          <w:rtl/>
        </w:rPr>
        <w:t xml:space="preserve">العابدين عطار ، علي بن حسين</w:t>
      </w:r>
    </w:p>
    <w:p>
      <w:pPr>
        <w:pStyle w:val="BookText"/>
      </w:pPr>
      <w:r>
        <w:rPr>
          <w:rFonts w:ascii="Amiri" w:hAnsi="Amiri" w:eastAsia="Amiri" w:cs="Amiri"/>
          <w:lang w:bidi="ar-SA"/>
          <w:color w:val="111111"/>
          <w:sz w:val="28"/>
          <w:szCs w:val="28"/>
          <w:rtl/>
        </w:rPr>
        <w:t xml:space="preserve">زين بن حسين الزين القديحي- قديحي</w:t>
      </w:r>
    </w:p>
    <w:p>
      <w:pPr>
        <w:pStyle w:val="BookText"/>
      </w:pPr>
      <w:r>
        <w:rPr>
          <w:rFonts w:ascii="Amiri" w:hAnsi="Amiri" w:eastAsia="Amiri" w:cs="Amiri"/>
          <w:lang w:bidi="ar-SA"/>
          <w:color w:val="111111"/>
          <w:sz w:val="28"/>
          <w:szCs w:val="28"/>
          <w:rtl/>
        </w:rPr>
        <w:t xml:space="preserve">زين بن حسين الزين</w:t>
      </w:r>
    </w:p>
    <w:p>
      <w:pPr>
        <w:pStyle w:val="BookText"/>
      </w:pPr>
      <w:r>
        <w:rPr>
          <w:rFonts w:ascii="Amiri" w:hAnsi="Amiri" w:eastAsia="Amiri" w:cs="Amiri"/>
          <w:lang w:bidi="ar-SA"/>
          <w:color w:val="111111"/>
          <w:sz w:val="28"/>
          <w:szCs w:val="28"/>
          <w:rtl/>
        </w:rPr>
        <w:t xml:space="preserve">زين بن حسين الزين- قديحي ، زين بن</w:t>
      </w:r>
    </w:p>
    <w:p>
      <w:pPr>
        <w:pStyle w:val="BookText"/>
      </w:pPr>
      <w:r>
        <w:rPr>
          <w:rFonts w:ascii="Amiri" w:hAnsi="Amiri" w:eastAsia="Amiri" w:cs="Amiri"/>
          <w:lang w:bidi="ar-SA"/>
          <w:color w:val="111111"/>
          <w:sz w:val="28"/>
          <w:szCs w:val="28"/>
          <w:rtl/>
        </w:rPr>
        <w:t xml:space="preserve">حسين الزين</w:t>
      </w:r>
    </w:p>
    <w:p>
      <w:pPr>
        <w:pStyle w:val="BookText"/>
      </w:pPr>
      <w:r>
        <w:rPr>
          <w:rFonts w:ascii="Amiri" w:hAnsi="Amiri" w:eastAsia="Amiri" w:cs="Amiri"/>
          <w:lang w:bidi="ar-SA"/>
          <w:color w:val="111111"/>
          <w:sz w:val="28"/>
          <w:szCs w:val="28"/>
          <w:rtl/>
        </w:rPr>
        <w:t xml:space="preserve">زين بن علوي حبشي -حبشي ، زين بن</w:t>
      </w:r>
    </w:p>
    <w:p>
      <w:pPr>
        <w:pStyle w:val="BookText"/>
      </w:pPr>
      <w:r>
        <w:rPr>
          <w:rFonts w:ascii="Amiri" w:hAnsi="Amiri" w:eastAsia="Amiri" w:cs="Amiri"/>
          <w:lang w:bidi="ar-SA"/>
          <w:color w:val="111111"/>
          <w:sz w:val="28"/>
          <w:szCs w:val="28"/>
          <w:rtl/>
        </w:rPr>
        <w:t xml:space="preserve">علوي</w:t>
      </w:r>
    </w:p>
    <w:p>
      <w:pPr>
        <w:pStyle w:val="BookText"/>
      </w:pPr>
      <w:r>
        <w:rPr>
          <w:rFonts w:ascii="Amiri" w:hAnsi="Amiri" w:eastAsia="Amiri" w:cs="Amiri"/>
          <w:lang w:bidi="ar-SA"/>
          <w:color w:val="111111"/>
          <w:sz w:val="28"/>
          <w:szCs w:val="28"/>
          <w:rtl/>
        </w:rPr>
        <w:t xml:space="preserve">زين بن يغلب بيري - بيري، زين بن يغلب</w:t>
      </w:r>
    </w:p>
    <w:p>
      <w:pPr>
        <w:pStyle w:val="BookText"/>
      </w:pPr>
      <w:r>
        <w:rPr>
          <w:rFonts w:ascii="Amiri" w:hAnsi="Amiri" w:eastAsia="Amiri" w:cs="Amiri"/>
          <w:lang w:bidi="ar-SA"/>
          <w:color w:val="111111"/>
          <w:sz w:val="28"/>
          <w:szCs w:val="28"/>
          <w:rtl/>
        </w:rPr>
        <w:t xml:space="preserve">زين خوافي ، ابي بكر بن محمّد- خوافي</w:t>
      </w:r>
    </w:p>
    <w:p>
      <w:pPr>
        <w:pStyle w:val="BookText"/>
      </w:pPr>
      <w:r>
        <w:rPr>
          <w:rFonts w:ascii="Amiri" w:hAnsi="Amiri" w:eastAsia="Amiri" w:cs="Amiri"/>
          <w:lang w:bidi="ar-SA"/>
          <w:color w:val="111111"/>
          <w:sz w:val="28"/>
          <w:szCs w:val="28"/>
          <w:rtl/>
        </w:rPr>
        <w:t xml:space="preserve">برآبادي ، محمّد بن محمّد</w:t>
      </w:r>
    </w:p>
    <w:p>
      <w:pPr>
        <w:pStyle w:val="BookText"/>
      </w:pPr>
      <w:r>
        <w:rPr>
          <w:rFonts w:ascii="IRNazanin" w:hAnsi="IRNazanin" w:eastAsia="IRNazanin" w:cs="IRNazanin"/>
          <w:lang w:bidi="fa-IR"/>
          <w:color w:val="111111"/>
          <w:sz w:val="28"/>
          <w:szCs w:val="28"/>
          <w:rtl/>
        </w:rPr>
        <w:t xml:space="preserve">زین زاده، حسين بن احمد- زيني زاده ،</w:t>
      </w:r>
    </w:p>
    <w:p>
      <w:pPr>
        <w:pStyle w:val="BookText"/>
      </w:pPr>
      <w:r>
        <w:rPr>
          <w:rFonts w:ascii="Amiri" w:hAnsi="Amiri" w:eastAsia="Amiri" w:cs="Amiri"/>
          <w:lang w:bidi="ar-SA"/>
          <w:color w:val="111111"/>
          <w:sz w:val="28"/>
          <w:szCs w:val="28"/>
          <w:rtl/>
        </w:rPr>
        <w:t xml:space="preserve">حسين بن احمد</w:t>
      </w:r>
    </w:p>
    <w:p>
      <w:pPr>
        <w:pStyle w:val="BookText"/>
      </w:pPr>
      <w:r>
        <w:rPr>
          <w:rFonts w:ascii="Amiri" w:hAnsi="Amiri" w:eastAsia="Amiri" w:cs="Amiri"/>
          <w:lang w:bidi="ar-SA"/>
          <w:color w:val="111111"/>
          <w:sz w:val="28"/>
          <w:szCs w:val="28"/>
          <w:rtl/>
        </w:rPr>
        <w:t xml:space="preserve">زينب بنت احمد مقدسي -مقدسي ، زينب</w:t>
      </w:r>
    </w:p>
    <w:p>
      <w:pPr>
        <w:pStyle w:val="BookText"/>
      </w:pPr>
      <w:r>
        <w:rPr>
          <w:rFonts w:ascii="IRNazanin" w:hAnsi="IRNazanin" w:eastAsia="IRNazanin" w:cs="IRNazanin"/>
          <w:lang w:bidi="fa-IR"/>
          <w:color w:val="111111"/>
          <w:sz w:val="28"/>
          <w:szCs w:val="28"/>
          <w:rtl/>
        </w:rPr>
        <w:t xml:space="preserve">بنت احمد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5" w:name="pg7742_70486"/>
    <w:bookmarkEnd w:id="545"/>
    <w:p>
      <w:pPr>
        <w:pStyle w:val="Heading2"/>
      </w:pPr>
      <w:bookmarkStart w:id="4712" w:name="_Toc3814"/>
      <w:r>
        <w:t>زین ، محمّد حسين</w:t>
      </w:r>
      <w:bookmarkEnd w:id="4712"/>
    </w:p>
    <w:p>
      <w:pPr>
        <w:pStyle w:val="BookText"/>
      </w:pPr>
      <w:r>
        <w:rPr>
          <w:rFonts w:ascii="Amiri" w:hAnsi="Amiri" w:eastAsia="Amiri" w:cs="Amiri"/>
          <w:lang w:bidi="ar-SA"/>
          <w:color w:val="111111"/>
          <w:sz w:val="28"/>
          <w:szCs w:val="28"/>
          <w:rtl/>
        </w:rPr>
        <w:t xml:space="preserve">توضيح المنطق، ج 5، ص 183.</w:t>
      </w:r>
    </w:p>
    <w:p>
      <w:pPr>
        <w:pStyle w:val="Heading2"/>
      </w:pPr>
      <w:bookmarkStart w:id="4713" w:name="_Toc3815"/>
      <w:r>
        <w:t>زيني ، جواد</w:t>
      </w:r>
      <w:bookmarkEnd w:id="4713"/>
    </w:p>
    <w:p>
      <w:pPr>
        <w:pStyle w:val="BookText"/>
      </w:pPr>
      <w:r>
        <w:rPr>
          <w:rFonts w:ascii="Amiri" w:hAnsi="Amiri" w:eastAsia="Amiri" w:cs="Amiri"/>
          <w:lang w:bidi="ar-SA"/>
          <w:color w:val="111111"/>
          <w:sz w:val="28"/>
          <w:szCs w:val="28"/>
          <w:rtl/>
        </w:rPr>
        <w:t xml:space="preserve">لوحة الأنوار، ج13، ص 664 .</w:t>
      </w:r>
    </w:p>
    <w:p>
      <w:pPr>
        <w:pStyle w:val="Heading2"/>
      </w:pPr>
      <w:bookmarkStart w:id="4714" w:name="_Toc3816"/>
      <w:r>
        <w:t>زيني ، حسين بن اسماعيل</w:t>
      </w:r>
      <w:bookmarkEnd w:id="4714"/>
    </w:p>
    <w:p>
      <w:pPr>
        <w:pStyle w:val="BookText"/>
      </w:pPr>
      <w:r>
        <w:rPr>
          <w:rFonts w:ascii="Amiri" w:hAnsi="Amiri" w:eastAsia="Amiri" w:cs="Amiri"/>
          <w:lang w:bidi="ar-SA"/>
          <w:color w:val="111111"/>
          <w:sz w:val="28"/>
          <w:szCs w:val="28"/>
          <w:rtl/>
        </w:rPr>
        <w:t xml:space="preserve">العروة الوثقى في اصحاب اهل الكساء</w:t>
      </w:r>
    </w:p>
    <w:p>
      <w:pPr>
        <w:pStyle w:val="BookText"/>
      </w:pPr>
      <w:r>
        <w:rPr>
          <w:rFonts w:ascii="IRNazanin" w:hAnsi="IRNazanin" w:eastAsia="IRNazanin" w:cs="IRNazanin"/>
          <w:lang w:bidi="fa-IR"/>
          <w:color w:val="111111"/>
          <w:sz w:val="28"/>
          <w:szCs w:val="28"/>
          <w:rtl/>
        </w:rPr>
        <w:t xml:space="preserve">ج 11، ص 86.</w:t>
      </w:r>
    </w:p>
    <w:p>
      <w:pPr>
        <w:pStyle w:val="BookText"/>
      </w:pPr>
      <w:r>
        <w:rPr>
          <w:rFonts w:ascii="Amiri" w:hAnsi="Amiri" w:eastAsia="Amiri" w:cs="Amiri"/>
          <w:lang w:bidi="ar-SA"/>
          <w:color w:val="111111"/>
          <w:sz w:val="28"/>
          <w:szCs w:val="28"/>
          <w:rtl/>
        </w:rPr>
        <w:t xml:space="preserve">زيني دحلان ، احمد- ابن زيني دحلان ،</w:t>
      </w:r>
    </w:p>
    <w:p>
      <w:pPr>
        <w:pStyle w:val="BookText"/>
      </w:pPr>
      <w:r>
        <w:rPr>
          <w:rFonts w:ascii="Amiri" w:hAnsi="Amiri" w:eastAsia="Amiri" w:cs="Amiri"/>
          <w:lang w:bidi="ar-SA"/>
          <w:color w:val="111111"/>
          <w:sz w:val="28"/>
          <w:szCs w:val="28"/>
          <w:rtl/>
        </w:rPr>
        <w:t xml:space="preserve">احمد بن زيني دحلان</w:t>
      </w:r>
    </w:p>
    <w:p>
      <w:pPr>
        <w:pStyle w:val="Heading2"/>
      </w:pPr>
      <w:bookmarkStart w:id="4715" w:name="_Toc3817"/>
      <w:r>
        <w:t>زيني زاده، حسين بن احمد - 1168 ه-</w:t>
      </w:r>
      <w:bookmarkEnd w:id="4715"/>
    </w:p>
    <w:p>
      <w:pPr>
        <w:pStyle w:val="BookText"/>
      </w:pPr>
      <w:r>
        <w:rPr>
          <w:rFonts w:ascii="Amiri" w:hAnsi="Amiri" w:eastAsia="Amiri" w:cs="Amiri"/>
          <w:lang w:bidi="ar-SA"/>
          <w:color w:val="111111"/>
          <w:sz w:val="28"/>
          <w:szCs w:val="28"/>
          <w:rtl/>
        </w:rPr>
        <w:t xml:space="preserve">1.تعليق الفواضل على اعراب العوامل</w:t>
      </w:r>
    </w:p>
    <w:p>
      <w:pPr>
        <w:pStyle w:val="BookText"/>
      </w:pPr>
      <w:r>
        <w:rPr>
          <w:rFonts w:ascii="IRNazanin" w:hAnsi="IRNazanin" w:eastAsia="IRNazanin" w:cs="IRNazanin"/>
          <w:lang w:bidi="fa-IR"/>
          <w:color w:val="111111"/>
          <w:sz w:val="28"/>
          <w:szCs w:val="28"/>
          <w:rtl/>
        </w:rPr>
        <w:t xml:space="preserve">معرب العوامل، ج 4 ، ص 554.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حل اسرار الاخيار على اعراب اظهار</w:t>
      </w:r>
    </w:p>
    <w:p>
      <w:pPr>
        <w:pStyle w:val="BookText"/>
      </w:pPr>
      <w:r>
        <w:rPr>
          <w:rFonts w:ascii="IRNazanin" w:hAnsi="IRNazanin" w:eastAsia="IRNazanin" w:cs="IRNazanin"/>
          <w:lang w:bidi="fa-IR"/>
          <w:color w:val="111111"/>
          <w:sz w:val="28"/>
          <w:szCs w:val="28"/>
          <w:rtl/>
        </w:rPr>
        <w:t xml:space="preserve">الاسرار، ج 6 ، ص 771.</w:t>
      </w:r>
    </w:p>
    <w:p>
      <w:pPr>
        <w:pStyle w:val="BookText"/>
      </w:pPr>
      <w:r>
        <w:rPr>
          <w:rFonts w:ascii="Amiri" w:hAnsi="Amiri" w:eastAsia="Amiri" w:cs="Amiri"/>
          <w:lang w:bidi="ar-SA"/>
          <w:color w:val="111111"/>
          <w:sz w:val="28"/>
          <w:szCs w:val="28"/>
          <w:rtl/>
        </w:rPr>
        <w:t xml:space="preserve">3 .الفوائد الشافية على اعراب الكافية - شرح الكافية، ج 12، ص210.</w:t>
      </w:r>
    </w:p>
    <w:p>
      <w:pPr>
        <w:pStyle w:val="BookText"/>
      </w:pPr>
      <w:r>
        <w:rPr>
          <w:rFonts w:ascii="Amiri" w:hAnsi="Amiri" w:eastAsia="Amiri" w:cs="Amiri"/>
          <w:lang w:bidi="ar-SA"/>
          <w:color w:val="111111"/>
          <w:sz w:val="28"/>
          <w:szCs w:val="28"/>
          <w:rtl/>
        </w:rPr>
        <w:t xml:space="preserve">زيوري بغدادي ، عباس- زيوري بغدادي</w:t>
      </w:r>
    </w:p>
    <w:p>
      <w:pPr>
        <w:pStyle w:val="BookText"/>
      </w:pPr>
      <w:r>
        <w:rPr>
          <w:rFonts w:ascii="IRNazanin" w:hAnsi="IRNazanin" w:eastAsia="IRNazanin" w:cs="IRNazanin"/>
          <w:lang w:bidi="fa-IR"/>
          <w:color w:val="111111"/>
          <w:sz w:val="28"/>
          <w:szCs w:val="28"/>
          <w:rtl/>
        </w:rPr>
        <w:t xml:space="preserve">عباس بن جاسم</w:t>
      </w:r>
    </w:p>
    <w:p>
      <w:pPr>
        <w:pStyle w:val="Heading2"/>
      </w:pPr>
      <w:bookmarkStart w:id="4716" w:name="_Toc3818"/>
      <w:r>
        <w:t>زيوري بغدادي ، عباس بن جاسم</w:t>
      </w:r>
      <w:bookmarkEnd w:id="4716"/>
    </w:p>
    <w:p>
      <w:pPr>
        <w:pStyle w:val="BookText"/>
      </w:pPr>
      <w:r>
        <w:rPr>
          <w:rFonts w:ascii="IRNazanin" w:hAnsi="IRNazanin" w:eastAsia="IRNazanin" w:cs="IRNazanin"/>
          <w:lang w:bidi="fa-IR"/>
          <w:color w:val="111111"/>
          <w:sz w:val="28"/>
          <w:szCs w:val="28"/>
          <w:rtl/>
        </w:rPr>
        <w:t xml:space="preserve">1316ه-</w:t>
      </w:r>
    </w:p>
    <w:p>
      <w:pPr>
        <w:pStyle w:val="BookText"/>
      </w:pPr>
      <w:r>
        <w:rPr>
          <w:rFonts w:ascii="Amiri" w:hAnsi="Amiri" w:eastAsia="Amiri" w:cs="Amiri"/>
          <w:lang w:bidi="ar-SA"/>
          <w:color w:val="111111"/>
          <w:sz w:val="28"/>
          <w:szCs w:val="28"/>
          <w:rtl/>
        </w:rPr>
        <w:t xml:space="preserve">1 .الدر الثمين في مدائح الهاشمين</w:t>
      </w:r>
    </w:p>
    <w:p>
      <w:pPr>
        <w:pStyle w:val="BookText"/>
      </w:pPr>
      <w:r>
        <w:rPr>
          <w:rFonts w:ascii="IRNazanin" w:hAnsi="IRNazanin" w:eastAsia="IRNazanin" w:cs="IRNazanin"/>
          <w:lang w:bidi="fa-IR"/>
          <w:color w:val="111111"/>
          <w:sz w:val="28"/>
          <w:szCs w:val="28"/>
          <w:rtl/>
        </w:rPr>
        <w:t xml:space="preserve">ج 7، ص 276.</w:t>
      </w:r>
    </w:p>
    <w:p>
      <w:pPr>
        <w:pStyle w:val="BookText"/>
      </w:pPr>
      <w:r>
        <w:rPr>
          <w:rFonts w:ascii="Amiri" w:hAnsi="Amiri" w:eastAsia="Amiri" w:cs="Amiri"/>
          <w:lang w:bidi="ar-SA"/>
          <w:color w:val="111111"/>
          <w:sz w:val="28"/>
          <w:szCs w:val="28"/>
          <w:rtl/>
        </w:rPr>
        <w:t xml:space="preserve">2 .ديوان الزيوري، ج 7، ص 648.</w:t>
      </w:r>
    </w:p>
    <w:p>
      <w:pPr>
        <w:pStyle w:val="BookText"/>
      </w:pPr>
      <w:r>
        <w:rPr>
          <w:rFonts w:ascii="Amiri" w:hAnsi="Amiri" w:eastAsia="Amiri" w:cs="Amiri"/>
          <w:lang w:bidi="ar-SA"/>
          <w:color w:val="111111"/>
          <w:sz w:val="28"/>
          <w:szCs w:val="28"/>
          <w:rtl/>
        </w:rPr>
        <w:t xml:space="preserve">سائح، علي بن ابي بكر -هروي ، علي بن</w:t>
      </w:r>
    </w:p>
    <w:p>
      <w:pPr>
        <w:pStyle w:val="BookText"/>
      </w:pPr>
      <w:r>
        <w:rPr>
          <w:rFonts w:ascii="Amiri" w:hAnsi="Amiri" w:eastAsia="Amiri" w:cs="Amiri"/>
          <w:lang w:bidi="ar-SA"/>
          <w:color w:val="111111"/>
          <w:sz w:val="28"/>
          <w:szCs w:val="28"/>
          <w:rtl/>
        </w:rPr>
        <w:t xml:space="preserve">ابي بكر</w:t>
      </w:r>
    </w:p>
    <w:p>
      <w:pPr>
        <w:pStyle w:val="Heading2"/>
      </w:pPr>
      <w:bookmarkStart w:id="4717" w:name="_Toc3819"/>
      <w:r>
        <w:t>سابوري ، مرحب</w:t>
      </w:r>
      <w:bookmarkEnd w:id="4717"/>
    </w:p>
    <w:p>
      <w:pPr>
        <w:pStyle w:val="BookText"/>
      </w:pPr>
      <w:r>
        <w:rPr>
          <w:rFonts w:ascii="IRNazanin" w:hAnsi="IRNazanin" w:eastAsia="IRNazanin" w:cs="IRNazanin"/>
          <w:lang w:bidi="fa-IR"/>
          <w:color w:val="111111"/>
          <w:sz w:val="28"/>
          <w:szCs w:val="28"/>
          <w:rtl/>
        </w:rPr>
        <w:t xml:space="preserve">جامع الآداب، ج 5، ص 240.</w:t>
      </w:r>
    </w:p>
    <w:p>
      <w:pPr>
        <w:pStyle w:val="BookText"/>
      </w:pPr>
      <w:r>
        <w:rPr>
          <w:rFonts w:ascii="Amiri" w:hAnsi="Amiri" w:eastAsia="Amiri" w:cs="Amiri"/>
          <w:lang w:bidi="ar-SA"/>
          <w:color w:val="111111"/>
          <w:sz w:val="28"/>
          <w:szCs w:val="28"/>
          <w:rtl/>
        </w:rPr>
        <w:t xml:space="preserve">ساجقلي زاده -مرعشي ، محمّد بن واعظ</w:t>
      </w:r>
    </w:p>
    <w:p>
      <w:pPr>
        <w:pStyle w:val="Heading2"/>
      </w:pPr>
      <w:bookmarkStart w:id="4718" w:name="_Toc3820"/>
      <w:r>
        <w:t>ساجلو امیر قاضي روم</w:t>
      </w:r>
      <w:bookmarkEnd w:id="4718"/>
    </w:p>
    <w:p>
      <w:pPr>
        <w:pStyle w:val="BookText"/>
      </w:pPr>
      <w:r>
        <w:rPr>
          <w:rFonts w:ascii="Amiri" w:hAnsi="Amiri" w:eastAsia="Amiri" w:cs="Amiri"/>
          <w:lang w:bidi="ar-SA"/>
          <w:color w:val="111111"/>
          <w:sz w:val="28"/>
          <w:szCs w:val="28"/>
          <w:rtl/>
        </w:rPr>
        <w:t xml:space="preserve">الرسالة الزنديقية، ج8، ص208.</w:t>
      </w:r>
    </w:p>
    <w:p>
      <w:pPr>
        <w:pStyle w:val="BookText"/>
      </w:pPr>
      <w:r>
        <w:rPr>
          <w:rFonts w:ascii="IRNazanin" w:hAnsi="IRNazanin" w:eastAsia="IRNazanin" w:cs="IRNazanin"/>
          <w:lang w:bidi="fa-IR"/>
          <w:color w:val="111111"/>
          <w:sz w:val="28"/>
          <w:szCs w:val="28"/>
          <w:rtl/>
        </w:rPr>
        <w:t xml:space="preserve">ساچقلي زاده ، محمّد- ساچقلي زاده ،</w:t>
      </w:r>
    </w:p>
    <w:p>
      <w:pPr>
        <w:pStyle w:val="BookText"/>
      </w:pPr>
      <w:r>
        <w:rPr>
          <w:rFonts w:ascii="Amiri" w:hAnsi="Amiri" w:eastAsia="Amiri" w:cs="Amiri"/>
          <w:lang w:bidi="ar-SA"/>
          <w:color w:val="111111"/>
          <w:sz w:val="28"/>
          <w:szCs w:val="28"/>
          <w:rtl/>
        </w:rPr>
        <w:t xml:space="preserve">محمّد بن ابي بكر</w:t>
      </w:r>
    </w:p>
    <w:p>
      <w:pPr>
        <w:pStyle w:val="Heading2"/>
      </w:pPr>
      <w:bookmarkStart w:id="4719" w:name="_Toc3821"/>
      <w:r>
        <w:t>ساچقلي زاده ، محمّد بن ابي بكر</w:t>
      </w:r>
      <w:bookmarkEnd w:id="4719"/>
    </w:p>
    <w:p>
      <w:pPr>
        <w:pStyle w:val="BookText"/>
      </w:pPr>
      <w:r>
        <w:rPr>
          <w:rFonts w:ascii="IRNazanin" w:hAnsi="IRNazanin" w:eastAsia="IRNazanin" w:cs="IRNazanin"/>
          <w:lang w:bidi="fa-IR"/>
          <w:color w:val="111111"/>
          <w:sz w:val="28"/>
          <w:szCs w:val="28"/>
          <w:rtl/>
        </w:rPr>
        <w:t xml:space="preserve">1150 ه-</w:t>
      </w:r>
    </w:p>
    <w:p>
      <w:pPr>
        <w:pStyle w:val="BookText"/>
      </w:pPr>
      <w:r>
        <w:rPr>
          <w:rFonts w:ascii="Amiri" w:hAnsi="Amiri" w:eastAsia="Amiri" w:cs="Amiri"/>
          <w:lang w:bidi="ar-SA"/>
          <w:color w:val="111111"/>
          <w:sz w:val="28"/>
          <w:szCs w:val="28"/>
          <w:rtl/>
        </w:rPr>
        <w:t xml:space="preserve">1 .آداب البحث = الرسالة الولدية = آداب المناظرة - فن المناظرة، ج 1،</w:t>
      </w:r>
    </w:p>
    <w:p>
      <w:pPr>
        <w:pStyle w:val="BookText"/>
      </w:pPr>
      <w:r>
        <w:rPr>
          <w:rFonts w:ascii="IRNazanin" w:hAnsi="IRNazanin" w:eastAsia="IRNazanin" w:cs="IRNazanin"/>
          <w:lang w:bidi="fa-IR"/>
          <w:color w:val="111111"/>
          <w:sz w:val="28"/>
          <w:szCs w:val="28"/>
          <w:rtl/>
        </w:rPr>
        <w:t xml:space="preserve">ص21.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الايساغوجي في المنطق، ج3،</w:t>
      </w:r>
    </w:p>
    <w:p>
      <w:pPr>
        <w:pStyle w:val="BookText"/>
      </w:pPr>
      <w:r>
        <w:rPr>
          <w:rFonts w:ascii="IRNazanin" w:hAnsi="IRNazanin" w:eastAsia="IRNazanin" w:cs="IRNazanin"/>
          <w:lang w:bidi="fa-IR"/>
          <w:color w:val="111111"/>
          <w:sz w:val="28"/>
          <w:szCs w:val="28"/>
          <w:rtl/>
        </w:rPr>
        <w:t xml:space="preserve">ص 106.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بيان جهد المقل في شرح جهد المقل</w:t>
      </w:r>
    </w:p>
    <w:p>
      <w:pPr>
        <w:pStyle w:val="BookText"/>
      </w:pPr>
      <w:r>
        <w:rPr>
          <w:rFonts w:ascii="IRNazanin" w:hAnsi="IRNazanin" w:eastAsia="IRNazanin" w:cs="IRNazanin"/>
          <w:lang w:bidi="fa-IR"/>
          <w:color w:val="111111"/>
          <w:sz w:val="28"/>
          <w:szCs w:val="28"/>
          <w:rtl/>
        </w:rPr>
        <w:t xml:space="preserve">ج 3، ص 467.</w:t>
      </w:r>
    </w:p>
    <w:p>
      <w:pPr>
        <w:pStyle w:val="BookText"/>
      </w:pPr>
      <w:r>
        <w:rPr>
          <w:rFonts w:ascii="Amiri" w:hAnsi="Amiri" w:eastAsia="Amiri" w:cs="Amiri"/>
          <w:lang w:bidi="ar-SA"/>
          <w:color w:val="111111"/>
          <w:sz w:val="28"/>
          <w:szCs w:val="28"/>
          <w:rtl/>
        </w:rPr>
        <w:t xml:space="preserve">4 .التجويد (رسالة في)، ج3، ص703.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ترتيب العلوم، ج 4، ص 244.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تقرير القوانين المتداولة في علم</w:t>
      </w:r>
    </w:p>
    <w:p>
      <w:pPr>
        <w:pStyle w:val="BookText"/>
      </w:pPr>
      <w:r>
        <w:rPr>
          <w:rFonts w:ascii="Amiri" w:hAnsi="Amiri" w:eastAsia="Amiri" w:cs="Amiri"/>
          <w:lang w:bidi="ar-SA"/>
          <w:color w:val="111111"/>
          <w:sz w:val="28"/>
          <w:szCs w:val="28"/>
          <w:rtl/>
        </w:rPr>
        <w:t xml:space="preserve">المناظرة، ج 4، ص 776.</w:t>
      </w:r>
    </w:p>
    <w:p>
      <w:pPr>
        <w:pStyle w:val="BookText"/>
      </w:pPr>
      <w:r>
        <w:rPr>
          <w:rFonts w:ascii="IRNazanin" w:hAnsi="IRNazanin" w:eastAsia="IRNazanin" w:cs="IRNazanin"/>
          <w:lang w:bidi="fa-IR"/>
          <w:color w:val="111111"/>
          <w:sz w:val="28"/>
          <w:szCs w:val="28"/>
          <w:rtl/>
        </w:rPr>
        <w:t xml:space="preserve">7 .جهد المقل، ج 5، ص 486.</w:t>
      </w:r>
    </w:p>
    <w:p>
      <w:pPr>
        <w:pStyle w:val="BookText"/>
      </w:pPr>
      <w:r>
        <w:rPr>
          <w:rFonts w:ascii="Amiri" w:hAnsi="Amiri" w:eastAsia="Amiri" w:cs="Amiri"/>
          <w:lang w:bidi="ar-SA"/>
          <w:color w:val="111111"/>
          <w:sz w:val="28"/>
          <w:szCs w:val="28"/>
          <w:rtl/>
        </w:rPr>
        <w:t xml:space="preserve">8.جواب النقول أوردها المعلول أمير</w:t>
      </w:r>
    </w:p>
    <w:p>
      <w:pPr>
        <w:pStyle w:val="BookText"/>
      </w:pPr>
      <w:r>
        <w:rPr>
          <w:rFonts w:ascii="Amiri" w:hAnsi="Amiri" w:eastAsia="Amiri" w:cs="Amiri"/>
          <w:lang w:bidi="ar-SA"/>
          <w:color w:val="111111"/>
          <w:sz w:val="28"/>
          <w:szCs w:val="28"/>
          <w:rtl/>
        </w:rPr>
        <w:t xml:space="preserve">جلي (رسالة في)، ج 5، ص 512.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حاشية على حاشيتي الخيالي و قول</w:t>
      </w:r>
    </w:p>
    <w:p>
      <w:pPr>
        <w:pStyle w:val="BookText"/>
      </w:pPr>
      <w:r>
        <w:rPr>
          <w:rFonts w:ascii="Amiri" w:hAnsi="Amiri" w:eastAsia="Amiri" w:cs="Amiri"/>
          <w:lang w:bidi="ar-SA"/>
          <w:color w:val="111111"/>
          <w:sz w:val="28"/>
          <w:szCs w:val="28"/>
          <w:rtl/>
        </w:rPr>
        <w:t xml:space="preserve">أحمد = تسويدات على الحاشتين للخيالي و قول احمد = حاشية حاشية الخيالي على شرح عقائد النسفي، ج 6، ص 239.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6" w:name="pg7742_70487"/>
    <w:bookmarkEnd w:id="546"/>
    <w:p>
      <w:pPr>
        <w:pStyle w:val="BookText"/>
      </w:pPr>
      <w:r>
        <w:rPr>
          <w:rFonts w:ascii="Amiri" w:hAnsi="Amiri" w:eastAsia="Amiri" w:cs="Amiri"/>
          <w:lang w:bidi="ar-SA"/>
          <w:color w:val="111111"/>
          <w:sz w:val="28"/>
          <w:szCs w:val="28"/>
          <w:rtl/>
        </w:rPr>
        <w:t xml:space="preserve">10 .الرقص والدوران (رسالة في)، ج8،</w:t>
      </w:r>
    </w:p>
    <w:p>
      <w:pPr>
        <w:pStyle w:val="BookText"/>
      </w:pPr>
      <w:r>
        <w:rPr>
          <w:rFonts w:ascii="IRNazanin" w:hAnsi="IRNazanin" w:eastAsia="IRNazanin" w:cs="IRNazanin"/>
          <w:lang w:bidi="fa-IR"/>
          <w:color w:val="111111"/>
          <w:sz w:val="28"/>
          <w:szCs w:val="28"/>
          <w:rtl/>
        </w:rPr>
        <w:t xml:space="preserve">ص 351 .</w:t>
      </w:r>
    </w:p>
    <w:p>
      <w:pPr>
        <w:pStyle w:val="BookText"/>
      </w:pPr>
      <w:r>
        <w:rPr>
          <w:rFonts w:ascii="Amiri" w:hAnsi="Amiri" w:eastAsia="Amiri" w:cs="Amiri"/>
          <w:lang w:bidi="ar-SA"/>
          <w:color w:val="111111"/>
          <w:sz w:val="28"/>
          <w:szCs w:val="28"/>
          <w:rtl/>
        </w:rPr>
        <w:t xml:space="preserve">11 .السرور والفرح = ايمان والدي</w:t>
      </w:r>
    </w:p>
    <w:p>
      <w:pPr>
        <w:pStyle w:val="BookText"/>
      </w:pPr>
      <w:r>
        <w:rPr>
          <w:rFonts w:ascii="IRNazanin" w:hAnsi="IRNazanin" w:eastAsia="IRNazanin" w:cs="IRNazanin"/>
          <w:lang w:bidi="fa-IR"/>
          <w:color w:val="111111"/>
          <w:sz w:val="28"/>
          <w:szCs w:val="28"/>
          <w:rtl/>
        </w:rPr>
        <w:t xml:space="preserve">رسول الله، ج8، ص771</w:t>
      </w:r>
    </w:p>
    <w:p>
      <w:pPr>
        <w:pStyle w:val="BookText"/>
      </w:pPr>
      <w:r>
        <w:rPr>
          <w:rFonts w:ascii="Amiri" w:hAnsi="Amiri" w:eastAsia="Amiri" w:cs="Amiri"/>
          <w:lang w:bidi="ar-SA"/>
          <w:color w:val="111111"/>
          <w:sz w:val="28"/>
          <w:szCs w:val="28"/>
          <w:rtl/>
        </w:rPr>
        <w:t xml:space="preserve">12 .شرح رسالة الولدية - شرح رسالة</w:t>
      </w:r>
    </w:p>
    <w:p>
      <w:pPr>
        <w:pStyle w:val="BookText"/>
      </w:pPr>
      <w:r>
        <w:rPr>
          <w:rFonts w:ascii="Amiri" w:hAnsi="Amiri" w:eastAsia="Amiri" w:cs="Amiri"/>
          <w:lang w:bidi="ar-SA"/>
          <w:color w:val="111111"/>
          <w:sz w:val="28"/>
          <w:szCs w:val="28"/>
          <w:rtl/>
        </w:rPr>
        <w:t xml:space="preserve">المناظرة، ج 9، ص 569.</w:t>
      </w:r>
    </w:p>
    <w:p>
      <w:pPr>
        <w:pStyle w:val="BookText"/>
      </w:pPr>
      <w:r>
        <w:rPr>
          <w:rFonts w:ascii="Amiri" w:hAnsi="Amiri" w:eastAsia="Amiri" w:cs="Amiri"/>
          <w:lang w:bidi="ar-SA"/>
          <w:color w:val="111111"/>
          <w:sz w:val="28"/>
          <w:szCs w:val="28"/>
          <w:rtl/>
        </w:rPr>
        <w:t xml:space="preserve">13 .الشك في الايمان = تجديد الايمان</w:t>
      </w:r>
    </w:p>
    <w:p>
      <w:pPr>
        <w:pStyle w:val="BookText"/>
      </w:pPr>
      <w:r>
        <w:rPr>
          <w:rFonts w:ascii="IRNazanin" w:hAnsi="IRNazanin" w:eastAsia="IRNazanin" w:cs="IRNazanin"/>
          <w:lang w:bidi="fa-IR"/>
          <w:color w:val="111111"/>
          <w:sz w:val="28"/>
          <w:szCs w:val="28"/>
          <w:rtl/>
        </w:rPr>
        <w:t xml:space="preserve">ج 10 ، ص 402 .</w:t>
      </w:r>
    </w:p>
    <w:p>
      <w:pPr>
        <w:pStyle w:val="BookText"/>
      </w:pPr>
      <w:r>
        <w:rPr>
          <w:rFonts w:ascii="Amiri" w:hAnsi="Amiri" w:eastAsia="Amiri" w:cs="Amiri"/>
          <w:lang w:bidi="ar-SA"/>
          <w:color w:val="111111"/>
          <w:sz w:val="28"/>
          <w:szCs w:val="28"/>
          <w:rtl/>
        </w:rPr>
        <w:t xml:space="preserve">14 .الضاد المعجمة (رسالة في)، ج10،</w:t>
      </w:r>
    </w:p>
    <w:p>
      <w:pPr>
        <w:pStyle w:val="BookText"/>
      </w:pPr>
      <w:r>
        <w:rPr>
          <w:rFonts w:ascii="IRNazanin" w:hAnsi="IRNazanin" w:eastAsia="IRNazanin" w:cs="IRNazanin"/>
          <w:lang w:bidi="fa-IR"/>
          <w:color w:val="111111"/>
          <w:sz w:val="28"/>
          <w:szCs w:val="28"/>
          <w:rtl/>
        </w:rPr>
        <w:t xml:space="preserve">ص 687 .</w:t>
      </w:r>
    </w:p>
    <w:p>
      <w:pPr>
        <w:pStyle w:val="BookText"/>
      </w:pPr>
      <w:r>
        <w:rPr>
          <w:rFonts w:ascii="IRNazanin" w:hAnsi="IRNazanin" w:eastAsia="IRNazanin" w:cs="IRNazanin"/>
          <w:lang w:bidi="fa-IR"/>
          <w:color w:val="111111"/>
          <w:sz w:val="28"/>
          <w:szCs w:val="28"/>
          <w:rtl/>
        </w:rPr>
        <w:t xml:space="preserve">ساچقلي زاده ، محمّد بن واعظ -مرعشي</w:t>
      </w:r>
    </w:p>
    <w:p>
      <w:pPr>
        <w:pStyle w:val="BookText"/>
      </w:pPr>
      <w:r>
        <w:rPr>
          <w:rFonts w:ascii="Amiri" w:hAnsi="Amiri" w:eastAsia="Amiri" w:cs="Amiri"/>
          <w:lang w:bidi="ar-SA"/>
          <w:color w:val="111111"/>
          <w:sz w:val="28"/>
          <w:szCs w:val="28"/>
          <w:rtl/>
        </w:rPr>
        <w:t xml:space="preserve">محمّد بن واعظ ساروي مازندراني ، حسن بن</w:t>
      </w:r>
    </w:p>
    <w:p>
      <w:pPr>
        <w:pStyle w:val="BookText"/>
      </w:pPr>
      <w:r>
        <w:rPr>
          <w:rFonts w:ascii="Amiri" w:hAnsi="Amiri" w:eastAsia="Amiri" w:cs="Amiri"/>
          <w:lang w:bidi="ar-SA"/>
          <w:color w:val="111111"/>
          <w:sz w:val="28"/>
          <w:szCs w:val="28"/>
          <w:rtl/>
        </w:rPr>
        <w:t xml:space="preserve">محمّد -موسوي طباطبائي ، حسن بن محمّد</w:t>
      </w:r>
    </w:p>
    <w:p>
      <w:pPr>
        <w:pStyle w:val="BookText"/>
      </w:pPr>
      <w:r>
        <w:rPr>
          <w:rFonts w:ascii="Amiri" w:hAnsi="Amiri" w:eastAsia="Amiri" w:cs="Amiri"/>
          <w:lang w:bidi="ar-SA"/>
          <w:color w:val="111111"/>
          <w:sz w:val="28"/>
          <w:szCs w:val="28"/>
          <w:rtl/>
        </w:rPr>
        <w:t xml:space="preserve">ساروي مازندراني ، محمّد علي- ساروي</w:t>
      </w:r>
    </w:p>
    <w:p>
      <w:pPr>
        <w:pStyle w:val="BookText"/>
      </w:pPr>
      <w:r>
        <w:rPr>
          <w:rFonts w:ascii="Amiri" w:hAnsi="Amiri" w:eastAsia="Amiri" w:cs="Amiri"/>
          <w:lang w:bidi="ar-SA"/>
          <w:color w:val="111111"/>
          <w:sz w:val="28"/>
          <w:szCs w:val="28"/>
          <w:rtl/>
        </w:rPr>
        <w:t xml:space="preserve">محمّد علي بن محمّد رضا</w:t>
      </w:r>
    </w:p>
    <w:p>
      <w:pPr>
        <w:pStyle w:val="BookText"/>
      </w:pPr>
      <w:r>
        <w:rPr>
          <w:rFonts w:ascii="Amiri" w:hAnsi="Amiri" w:eastAsia="Amiri" w:cs="Amiri"/>
          <w:lang w:bidi="ar-SA"/>
          <w:color w:val="111111"/>
          <w:sz w:val="28"/>
          <w:szCs w:val="28"/>
          <w:rtl/>
        </w:rPr>
        <w:t xml:space="preserve">ساروي مازندراني ، محمّد مهدي بن محمّد</w:t>
      </w:r>
    </w:p>
    <w:p>
      <w:pPr>
        <w:pStyle w:val="BookText"/>
      </w:pPr>
      <w:r>
        <w:rPr>
          <w:rFonts w:ascii="IRNazanin" w:hAnsi="IRNazanin" w:eastAsia="IRNazanin" w:cs="IRNazanin"/>
          <w:lang w:bidi="fa-IR"/>
          <w:color w:val="111111"/>
          <w:sz w:val="28"/>
          <w:szCs w:val="28"/>
          <w:rtl/>
        </w:rPr>
        <w:t xml:space="preserve">جعفر قرن 13 ه-</w:t>
      </w:r>
    </w:p>
    <w:p>
      <w:pPr>
        <w:pStyle w:val="BookText"/>
      </w:pPr>
      <w:r>
        <w:rPr>
          <w:rFonts w:ascii="IRNazanin" w:hAnsi="IRNazanin" w:eastAsia="IRNazanin" w:cs="IRNazanin"/>
          <w:lang w:bidi="fa-IR"/>
          <w:color w:val="111111"/>
          <w:sz w:val="28"/>
          <w:szCs w:val="28"/>
          <w:rtl/>
        </w:rPr>
        <w:t xml:space="preserve">1 .دروس الاصول، ج 7، ص 369.</w:t>
      </w:r>
    </w:p>
    <w:p>
      <w:pPr>
        <w:pStyle w:val="BookText"/>
      </w:pPr>
      <w:r>
        <w:rPr>
          <w:rFonts w:ascii="Amiri" w:hAnsi="Amiri" w:eastAsia="Amiri" w:cs="Amiri"/>
          <w:lang w:bidi="ar-SA"/>
          <w:color w:val="111111"/>
          <w:sz w:val="28"/>
          <w:szCs w:val="28"/>
          <w:rtl/>
        </w:rPr>
        <w:t xml:space="preserve">2 .معادن الكلام، ج 14، ص 833.</w:t>
      </w:r>
    </w:p>
    <w:p>
      <w:pPr>
        <w:pStyle w:val="Heading2"/>
      </w:pPr>
      <w:bookmarkStart w:id="4720" w:name="_Toc3822"/>
      <w:r>
        <w:t>ساروي ، محمّد علي بن محمّد رضا</w:t>
      </w:r>
      <w:bookmarkEnd w:id="4720"/>
    </w:p>
    <w:p>
      <w:pPr>
        <w:pStyle w:val="BookText"/>
      </w:pPr>
      <w:r>
        <w:rPr>
          <w:rFonts w:ascii="IRNazanin" w:hAnsi="IRNazanin" w:eastAsia="IRNazanin" w:cs="IRNazanin"/>
          <w:lang w:bidi="fa-IR"/>
          <w:color w:val="111111"/>
          <w:sz w:val="28"/>
          <w:szCs w:val="28"/>
          <w:rtl/>
        </w:rPr>
        <w:t xml:space="preserve">1193ه-</w:t>
      </w:r>
    </w:p>
    <w:p>
      <w:pPr>
        <w:pStyle w:val="BookText"/>
      </w:pPr>
      <w:r>
        <w:rPr>
          <w:rFonts w:ascii="Amiri" w:hAnsi="Amiri" w:eastAsia="Amiri" w:cs="Amiri"/>
          <w:lang w:bidi="ar-SA"/>
          <w:color w:val="111111"/>
          <w:sz w:val="28"/>
          <w:szCs w:val="28"/>
          <w:rtl/>
        </w:rPr>
        <w:t xml:space="preserve">1 .توضيح الاشتباه و الاشكال في ضبط اسامي الرواة و القاب الرجال، ج5،</w:t>
      </w:r>
    </w:p>
    <w:p>
      <w:pPr>
        <w:pStyle w:val="BookText"/>
      </w:pPr>
      <w:r>
        <w:rPr>
          <w:rFonts w:ascii="IRNazanin" w:hAnsi="IRNazanin" w:eastAsia="IRNazanin" w:cs="IRNazanin"/>
          <w:lang w:bidi="fa-IR"/>
          <w:color w:val="111111"/>
          <w:sz w:val="28"/>
          <w:szCs w:val="28"/>
          <w:rtl/>
        </w:rPr>
        <w:t xml:space="preserve">ص 168.</w:t>
      </w:r>
    </w:p>
    <w:p>
      <w:pPr>
        <w:pStyle w:val="BookText"/>
      </w:pPr>
      <w:r>
        <w:rPr>
          <w:rFonts w:ascii="IRNazanin" w:hAnsi="IRNazanin" w:eastAsia="IRNazanin" w:cs="IRNazanin"/>
          <w:lang w:bidi="fa-IR"/>
          <w:color w:val="111111"/>
          <w:sz w:val="28"/>
          <w:szCs w:val="28"/>
          <w:rtl/>
        </w:rPr>
        <w:t xml:space="preserve">2 .مفجعه = المجالس، ج 15 ، ص 235.</w:t>
      </w:r>
    </w:p>
    <w:p>
      <w:pPr>
        <w:pStyle w:val="BookText"/>
      </w:pPr>
      <w:r>
        <w:rPr>
          <w:rFonts w:ascii="Amiri" w:hAnsi="Amiri" w:eastAsia="Amiri" w:cs="Amiri"/>
          <w:lang w:bidi="ar-SA"/>
          <w:color w:val="111111"/>
          <w:sz w:val="28"/>
          <w:szCs w:val="28"/>
          <w:rtl/>
        </w:rPr>
        <w:t xml:space="preserve">ساعاتي ، محي الدين بن حسن - ساعاتي</w:t>
      </w:r>
    </w:p>
    <w:p>
      <w:pPr>
        <w:pStyle w:val="BookText"/>
      </w:pPr>
      <w:r>
        <w:rPr>
          <w:rFonts w:ascii="IRNazanin" w:hAnsi="IRNazanin" w:eastAsia="IRNazanin" w:cs="IRNazanin"/>
          <w:lang w:bidi="fa-IR"/>
          <w:color w:val="111111"/>
          <w:sz w:val="28"/>
          <w:szCs w:val="28"/>
          <w:rtl/>
        </w:rPr>
        <w:t xml:space="preserve">مرتفع بن حسن</w:t>
      </w:r>
    </w:p>
    <w:p>
      <w:pPr>
        <w:pStyle w:val="Heading2"/>
      </w:pPr>
      <w:bookmarkStart w:id="4721" w:name="_Toc3823"/>
      <w:r>
        <w:t>ساعاتي ، مرتفع بن حسن</w:t>
      </w:r>
      <w:bookmarkEnd w:id="4721"/>
    </w:p>
    <w:p>
      <w:pPr>
        <w:pStyle w:val="BookText"/>
      </w:pPr>
      <w:r>
        <w:rPr>
          <w:rFonts w:ascii="Amiri" w:hAnsi="Amiri" w:eastAsia="Amiri" w:cs="Amiri"/>
          <w:lang w:bidi="ar-SA"/>
          <w:color w:val="111111"/>
          <w:sz w:val="28"/>
          <w:szCs w:val="28"/>
          <w:rtl/>
        </w:rPr>
        <w:t xml:space="preserve">معرفة العمل بالربع الأفاقي (رسالة</w:t>
      </w:r>
    </w:p>
    <w:p>
      <w:pPr>
        <w:pStyle w:val="BookText"/>
      </w:pPr>
      <w:r>
        <w:rPr>
          <w:rFonts w:ascii="Amiri" w:hAnsi="Amiri" w:eastAsia="Amiri" w:cs="Amiri"/>
          <w:lang w:bidi="ar-SA"/>
          <w:color w:val="111111"/>
          <w:sz w:val="28"/>
          <w:szCs w:val="28"/>
          <w:rtl/>
        </w:rPr>
        <w:t xml:space="preserve">في)، ج 15 ، ص 63.</w:t>
      </w:r>
    </w:p>
    <w:p>
      <w:pPr>
        <w:pStyle w:val="BookText"/>
      </w:pPr>
      <w:r>
        <w:rPr>
          <w:rFonts w:ascii="Amiri" w:hAnsi="Amiri" w:eastAsia="Amiri" w:cs="Amiri"/>
          <w:lang w:bidi="ar-SA"/>
          <w:color w:val="111111"/>
          <w:sz w:val="28"/>
          <w:szCs w:val="28"/>
          <w:rtl/>
        </w:rPr>
        <w:t xml:space="preserve">سافري ، صادق محمّد بن علي- ساقزي ،</w:t>
      </w:r>
    </w:p>
    <w:p>
      <w:pPr>
        <w:pStyle w:val="BookText"/>
      </w:pPr>
      <w:r>
        <w:rPr>
          <w:rFonts w:ascii="Amiri" w:hAnsi="Amiri" w:eastAsia="Amiri" w:cs="Amiri"/>
          <w:lang w:bidi="ar-SA"/>
          <w:color w:val="111111"/>
          <w:sz w:val="28"/>
          <w:szCs w:val="28"/>
          <w:rtl/>
        </w:rPr>
        <w:t xml:space="preserve">محمّد صادق بن علي</w:t>
      </w:r>
    </w:p>
    <w:p>
      <w:pPr>
        <w:pStyle w:val="BookText"/>
      </w:pPr>
      <w:r>
        <w:rPr>
          <w:rFonts w:ascii="Amiri" w:hAnsi="Amiri" w:eastAsia="Amiri" w:cs="Amiri"/>
          <w:lang w:bidi="ar-SA"/>
          <w:color w:val="111111"/>
          <w:sz w:val="28"/>
          <w:szCs w:val="28"/>
          <w:rtl/>
        </w:rPr>
        <w:t xml:space="preserve">سافيدس حكيم -اسفيدوس</w:t>
      </w:r>
    </w:p>
    <w:p>
      <w:pPr>
        <w:pStyle w:val="BookText"/>
      </w:pPr>
      <w:r>
        <w:rPr>
          <w:rFonts w:ascii="Amiri" w:hAnsi="Amiri" w:eastAsia="Amiri" w:cs="Amiri"/>
          <w:lang w:bidi="ar-SA"/>
          <w:color w:val="111111"/>
          <w:sz w:val="28"/>
          <w:szCs w:val="28"/>
          <w:rtl/>
        </w:rPr>
        <w:t xml:space="preserve">ساقزي، صادق بن محمّد بن علي -</w:t>
      </w:r>
    </w:p>
    <w:p>
      <w:pPr>
        <w:pStyle w:val="BookText"/>
      </w:pPr>
      <w:r>
        <w:rPr>
          <w:rFonts w:ascii="Amiri" w:hAnsi="Amiri" w:eastAsia="Amiri" w:cs="Amiri"/>
          <w:lang w:bidi="ar-SA"/>
          <w:color w:val="111111"/>
          <w:sz w:val="28"/>
          <w:szCs w:val="28"/>
          <w:rtl/>
        </w:rPr>
        <w:t xml:space="preserve">ساقزي ، محمّد صادق بن علي</w:t>
      </w:r>
    </w:p>
    <w:p>
      <w:pPr>
        <w:pStyle w:val="BookText"/>
      </w:pPr>
      <w:r>
        <w:rPr>
          <w:rFonts w:ascii="Amiri" w:hAnsi="Amiri" w:eastAsia="Amiri" w:cs="Amiri"/>
          <w:lang w:bidi="ar-SA"/>
          <w:color w:val="111111"/>
          <w:sz w:val="28"/>
          <w:szCs w:val="28"/>
          <w:rtl/>
        </w:rPr>
        <w:t xml:space="preserve">ساقزي ، محمّد بن علي- ساقزي ، محمّد صادق بن علي</w:t>
      </w:r>
    </w:p>
    <w:p>
      <w:pPr>
        <w:pStyle w:val="BookText"/>
      </w:pPr>
      <w:r>
        <w:rPr>
          <w:rFonts w:ascii="Amiri" w:hAnsi="Amiri" w:eastAsia="Amiri" w:cs="Amiri"/>
          <w:lang w:bidi="ar-SA"/>
          <w:color w:val="111111"/>
          <w:sz w:val="28"/>
          <w:szCs w:val="28"/>
          <w:rtl/>
        </w:rPr>
        <w:t xml:space="preserve">سالك كاشاني، حبيب الله- كاشاني ، حبيب الله بن علي مدد</w:t>
      </w:r>
    </w:p>
    <w:p>
      <w:pPr>
        <w:pStyle w:val="Heading2"/>
      </w:pPr>
      <w:bookmarkStart w:id="4722" w:name="_Toc3824"/>
      <w:r>
        <w:t>ساقزي ، محمّد صادق بن علي - 1099</w:t>
      </w:r>
      <w:bookmarkEnd w:id="4722"/>
    </w:p>
    <w:p>
      <w:pPr>
        <w:pStyle w:val="BookText"/>
      </w:pPr>
      <w:r>
        <w:rPr>
          <w:rFonts w:ascii="Amiri" w:hAnsi="Amiri" w:eastAsia="Amiri" w:cs="Amiri"/>
          <w:lang w:bidi="ar-SA"/>
          <w:color w:val="111111"/>
          <w:sz w:val="28"/>
          <w:szCs w:val="28"/>
          <w:rtl/>
        </w:rPr>
        <w:t xml:space="preserve">1 .بدائع الصكوك، ج 3، ص 259.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صرة الفتاوى = حيرة القاري، ج 10،</w:t>
      </w:r>
    </w:p>
    <w:p>
      <w:pPr>
        <w:pStyle w:val="BookText"/>
      </w:pPr>
      <w:r>
        <w:rPr>
          <w:rFonts w:ascii="IRNazanin" w:hAnsi="IRNazanin" w:eastAsia="IRNazanin" w:cs="IRNazanin"/>
          <w:lang w:bidi="fa-IR"/>
          <w:color w:val="111111"/>
          <w:sz w:val="28"/>
          <w:szCs w:val="28"/>
          <w:rtl/>
        </w:rPr>
        <w:t xml:space="preserve">ص 548 .</w:t>
      </w:r>
    </w:p>
    <w:p>
      <w:pPr>
        <w:pStyle w:val="Heading2"/>
      </w:pPr>
      <w:bookmarkStart w:id="4723" w:name="_Toc3825"/>
      <w:r>
        <w:t>سالم الحسيني ، شيخ</w:t>
      </w:r>
      <w:bookmarkEnd w:id="4723"/>
    </w:p>
    <w:p>
      <w:pPr>
        <w:pStyle w:val="BookText"/>
      </w:pPr>
      <w:r>
        <w:rPr>
          <w:rFonts w:ascii="Amiri" w:hAnsi="Amiri" w:eastAsia="Amiri" w:cs="Amiri"/>
          <w:lang w:bidi="ar-SA"/>
          <w:color w:val="111111"/>
          <w:sz w:val="28"/>
          <w:szCs w:val="28"/>
          <w:rtl/>
        </w:rPr>
        <w:t xml:space="preserve">الجعفرية في الصوم، ج 5، ص389.</w:t>
      </w:r>
    </w:p>
    <w:p>
      <w:pPr>
        <w:pStyle w:val="BookText"/>
      </w:pPr>
      <w:r>
        <w:rPr>
          <w:rFonts w:ascii="Amiri" w:hAnsi="Amiri" w:eastAsia="Amiri" w:cs="Amiri"/>
          <w:lang w:bidi="ar-SA"/>
          <w:color w:val="111111"/>
          <w:sz w:val="28"/>
          <w:szCs w:val="28"/>
          <w:rtl/>
        </w:rPr>
        <w:t xml:space="preserve">سالم بن بدران -مازني ، سالم بن بدران</w:t>
      </w:r>
    </w:p>
    <w:p>
      <w:pPr>
        <w:pStyle w:val="BookText"/>
      </w:pPr>
      <w:r>
        <w:rPr>
          <w:rFonts w:ascii="Amiri" w:hAnsi="Amiri" w:eastAsia="Amiri" w:cs="Amiri"/>
          <w:lang w:bidi="ar-SA"/>
          <w:color w:val="111111"/>
          <w:sz w:val="28"/>
          <w:szCs w:val="28"/>
          <w:rtl/>
        </w:rPr>
        <w:t xml:space="preserve">سالم بن عبد الرزاق الطائي- طائي ، سالم بن</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Amiri" w:hAnsi="Amiri" w:eastAsia="Amiri" w:cs="Amiri"/>
          <w:lang w:bidi="ar-SA"/>
          <w:color w:val="111111"/>
          <w:sz w:val="28"/>
          <w:szCs w:val="28"/>
          <w:rtl/>
        </w:rPr>
        <w:t xml:space="preserve">سالم بن عبدالله بدري بصري- بصري ، سالم</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بك</w:t>
      </w:r>
    </w:p>
    <w:p>
      <w:pPr>
        <w:pStyle w:val="BookText"/>
      </w:pPr>
      <w:r>
        <w:rPr>
          <w:rFonts w:ascii="Amiri" w:hAnsi="Amiri" w:eastAsia="Amiri" w:cs="Amiri"/>
          <w:lang w:bidi="ar-SA"/>
          <w:color w:val="111111"/>
          <w:sz w:val="28"/>
          <w:szCs w:val="28"/>
          <w:rtl/>
        </w:rPr>
        <w:t xml:space="preserve">سالم بن محمّد بك - عبدالرحمن بن محمّد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7" w:name="pg7742_70489"/>
    <w:bookmarkEnd w:id="547"/>
    <w:p>
      <w:pPr>
        <w:pStyle w:val="BookText"/>
      </w:pPr>
      <w:r>
        <w:rPr>
          <w:rFonts w:ascii="IRNazanin" w:hAnsi="IRNazanin" w:eastAsia="IRNazanin" w:cs="IRNazanin"/>
          <w:lang w:bidi="fa-IR"/>
          <w:color w:val="111111"/>
          <w:sz w:val="28"/>
          <w:szCs w:val="28"/>
          <w:rtl/>
        </w:rPr>
        <w:t xml:space="preserve">سالمي ، ابوشکور محمّد- كشي سالمي</w:t>
      </w:r>
    </w:p>
    <w:p>
      <w:pPr>
        <w:pStyle w:val="BookText"/>
      </w:pPr>
      <w:r>
        <w:rPr>
          <w:rFonts w:ascii="Amiri" w:hAnsi="Amiri" w:eastAsia="Amiri" w:cs="Amiri"/>
          <w:lang w:bidi="ar-SA"/>
          <w:color w:val="111111"/>
          <w:sz w:val="28"/>
          <w:szCs w:val="28"/>
          <w:rtl/>
        </w:rPr>
        <w:t xml:space="preserve">محمّد بن عبدالسيد</w:t>
      </w:r>
    </w:p>
    <w:p>
      <w:pPr>
        <w:pStyle w:val="BookText"/>
      </w:pPr>
      <w:r>
        <w:rPr>
          <w:rFonts w:ascii="Amiri" w:hAnsi="Amiri" w:eastAsia="Amiri" w:cs="Amiri"/>
          <w:lang w:bidi="ar-SA"/>
          <w:color w:val="111111"/>
          <w:sz w:val="28"/>
          <w:szCs w:val="28"/>
          <w:rtl/>
        </w:rPr>
        <w:t xml:space="preserve">سالمي ، محمّد بن احمد- بلوي</w:t>
      </w:r>
    </w:p>
    <w:p>
      <w:pPr>
        <w:pStyle w:val="BookText"/>
      </w:pPr>
      <w:r>
        <w:rPr>
          <w:rFonts w:ascii="IRNazanin" w:hAnsi="IRNazanin" w:eastAsia="IRNazanin" w:cs="IRNazanin"/>
          <w:lang w:bidi="fa-IR"/>
          <w:color w:val="111111"/>
          <w:sz w:val="28"/>
          <w:szCs w:val="28"/>
          <w:rtl/>
        </w:rPr>
        <w:t xml:space="preserve">، محمّد بن احمد</w:t>
      </w:r>
    </w:p>
    <w:p>
      <w:pPr>
        <w:pStyle w:val="Heading2"/>
      </w:pPr>
      <w:bookmarkStart w:id="4724" w:name="_Toc3826"/>
      <w:r>
        <w:t>سالمي ، محمّد بن احمد - 800 ه-</w:t>
      </w:r>
      <w:bookmarkEnd w:id="4724"/>
    </w:p>
    <w:p>
      <w:pPr>
        <w:pStyle w:val="BookText"/>
      </w:pPr>
      <w:r>
        <w:rPr>
          <w:rFonts w:ascii="Amiri" w:hAnsi="Amiri" w:eastAsia="Amiri" w:cs="Amiri"/>
          <w:lang w:bidi="ar-SA"/>
          <w:color w:val="111111"/>
          <w:sz w:val="28"/>
          <w:szCs w:val="28"/>
          <w:rtl/>
        </w:rPr>
        <w:t xml:space="preserve">الاشارة في علم العبارة، ج 2، ص 260.</w:t>
      </w:r>
    </w:p>
    <w:p>
      <w:pPr>
        <w:pStyle w:val="BookText"/>
      </w:pPr>
      <w:r>
        <w:rPr>
          <w:rFonts w:ascii="Amiri" w:hAnsi="Amiri" w:eastAsia="Amiri" w:cs="Amiri"/>
          <w:lang w:bidi="ar-SA"/>
          <w:color w:val="111111"/>
          <w:sz w:val="28"/>
          <w:szCs w:val="28"/>
          <w:rtl/>
        </w:rPr>
        <w:t xml:space="preserve">سالياني ، علي اكبر بن محمّد كريم -طبيب</w:t>
      </w:r>
    </w:p>
    <w:p>
      <w:pPr>
        <w:pStyle w:val="BookText"/>
      </w:pPr>
      <w:r>
        <w:rPr>
          <w:rFonts w:ascii="Amiri" w:hAnsi="Amiri" w:eastAsia="Amiri" w:cs="Amiri"/>
          <w:lang w:bidi="ar-SA"/>
          <w:color w:val="111111"/>
          <w:sz w:val="28"/>
          <w:szCs w:val="28"/>
          <w:rtl/>
        </w:rPr>
        <w:t xml:space="preserve">سالياني ، علي اكبر بن محمّد كريم</w:t>
      </w:r>
    </w:p>
    <w:p>
      <w:pPr>
        <w:pStyle w:val="BookText"/>
      </w:pPr>
      <w:r>
        <w:rPr>
          <w:rFonts w:ascii="IRNazanin" w:hAnsi="IRNazanin" w:eastAsia="IRNazanin" w:cs="IRNazanin"/>
          <w:lang w:bidi="fa-IR"/>
          <w:color w:val="111111"/>
          <w:sz w:val="28"/>
          <w:szCs w:val="28"/>
          <w:rtl/>
        </w:rPr>
        <w:t xml:space="preserve">سالياني گيلاني ، علي اكبر بن محمّد</w:t>
      </w:r>
    </w:p>
    <w:p>
      <w:pPr>
        <w:pStyle w:val="BookText"/>
      </w:pPr>
      <w:r>
        <w:rPr>
          <w:rFonts w:ascii="IRNazanin" w:hAnsi="IRNazanin" w:eastAsia="IRNazanin" w:cs="IRNazanin"/>
          <w:lang w:bidi="fa-IR"/>
          <w:color w:val="111111"/>
          <w:sz w:val="28"/>
          <w:szCs w:val="28"/>
          <w:rtl/>
        </w:rPr>
        <w:t xml:space="preserve">ساوجي شيررازي ، محمّد یحیی بن محمّد</w:t>
      </w:r>
    </w:p>
    <w:p>
      <w:pPr>
        <w:pStyle w:val="BookText"/>
      </w:pPr>
      <w:r>
        <w:rPr>
          <w:rFonts w:ascii="Amiri" w:hAnsi="Amiri" w:eastAsia="Amiri" w:cs="Amiri"/>
          <w:lang w:bidi="ar-SA"/>
          <w:color w:val="111111"/>
          <w:sz w:val="28"/>
          <w:szCs w:val="28"/>
          <w:rtl/>
        </w:rPr>
        <w:t xml:space="preserve">كريم -طبيب سالياني ، علي اكبر بن محمّد كريم</w:t>
      </w:r>
    </w:p>
    <w:p>
      <w:pPr>
        <w:pStyle w:val="Heading2"/>
      </w:pPr>
      <w:bookmarkStart w:id="4725" w:name="_Toc3827"/>
      <w:r>
        <w:t>سامري ، محمّد بن عبدالله بن حسين</w:t>
      </w:r>
      <w:bookmarkEnd w:id="4725"/>
    </w:p>
    <w:p>
      <w:pPr>
        <w:pStyle w:val="BookText"/>
      </w:pPr>
      <w:r>
        <w:rPr>
          <w:rFonts w:ascii="IRNazanin" w:hAnsi="IRNazanin" w:eastAsia="IRNazanin" w:cs="IRNazanin"/>
          <w:lang w:bidi="fa-IR"/>
          <w:color w:val="111111"/>
          <w:sz w:val="28"/>
          <w:szCs w:val="28"/>
          <w:rtl/>
        </w:rPr>
        <w:t xml:space="preserve">الفروق، ج 11، ص 815.</w:t>
      </w:r>
    </w:p>
    <w:p>
      <w:pPr>
        <w:pStyle w:val="Heading2"/>
      </w:pPr>
      <w:bookmarkStart w:id="4726" w:name="_Toc3828"/>
      <w:r>
        <w:t>سامسوني ، حسن بن عبدالصمد - 891</w:t>
      </w:r>
      <w:bookmarkEnd w:id="4726"/>
    </w:p>
    <w:p>
      <w:pPr>
        <w:pStyle w:val="BookText"/>
      </w:pPr>
      <w:r>
        <w:rPr>
          <w:rFonts w:ascii="Amiri" w:hAnsi="Amiri" w:eastAsia="Amiri" w:cs="Amiri"/>
          <w:lang w:bidi="ar-SA"/>
          <w:color w:val="111111"/>
          <w:sz w:val="28"/>
          <w:szCs w:val="28"/>
          <w:rtl/>
        </w:rPr>
        <w:t xml:space="preserve">حاشية شرح مختصر الاصول، ج 6،</w:t>
      </w:r>
    </w:p>
    <w:p>
      <w:pPr>
        <w:pStyle w:val="BookText"/>
      </w:pPr>
      <w:r>
        <w:rPr>
          <w:rFonts w:ascii="IRNazanin" w:hAnsi="IRNazanin" w:eastAsia="IRNazanin" w:cs="IRNazanin"/>
          <w:lang w:bidi="fa-IR"/>
          <w:color w:val="111111"/>
          <w:sz w:val="28"/>
          <w:szCs w:val="28"/>
          <w:rtl/>
        </w:rPr>
        <w:t xml:space="preserve">ص 175</w:t>
      </w:r>
    </w:p>
    <w:p>
      <w:pPr>
        <w:pStyle w:val="BookText"/>
      </w:pPr>
      <w:r>
        <w:rPr>
          <w:rFonts w:ascii="Amiri" w:hAnsi="Amiri" w:eastAsia="Amiri" w:cs="Amiri"/>
          <w:lang w:bidi="ar-SA"/>
          <w:color w:val="111111"/>
          <w:sz w:val="28"/>
          <w:szCs w:val="28"/>
          <w:rtl/>
        </w:rPr>
        <w:t xml:space="preserve">سامي موصلي ، علي- عمري سامي ، علي</w:t>
      </w:r>
    </w:p>
    <w:p>
      <w:pPr>
        <w:pStyle w:val="BookText"/>
      </w:pPr>
      <w:r>
        <w:rPr>
          <w:rFonts w:ascii="Amiri" w:hAnsi="Amiri" w:eastAsia="Amiri" w:cs="Amiri"/>
          <w:lang w:bidi="ar-SA"/>
          <w:color w:val="111111"/>
          <w:sz w:val="28"/>
          <w:szCs w:val="28"/>
          <w:rtl/>
        </w:rPr>
        <w:t xml:space="preserve">بن شريف</w:t>
      </w:r>
    </w:p>
    <w:p>
      <w:pPr>
        <w:pStyle w:val="BookText"/>
      </w:pPr>
      <w:r>
        <w:rPr>
          <w:rFonts w:ascii="Amiri" w:hAnsi="Amiri" w:eastAsia="Amiri" w:cs="Amiri"/>
          <w:lang w:bidi="ar-SA"/>
          <w:color w:val="111111"/>
          <w:sz w:val="28"/>
          <w:szCs w:val="28"/>
          <w:rtl/>
        </w:rPr>
        <w:t xml:space="preserve">ساوجبلاغي ، حسن بن ابراهيم- نجم</w:t>
      </w:r>
    </w:p>
    <w:p>
      <w:pPr>
        <w:pStyle w:val="BookText"/>
      </w:pPr>
      <w:r>
        <w:rPr>
          <w:rFonts w:ascii="Amiri" w:hAnsi="Amiri" w:eastAsia="Amiri" w:cs="Amiri"/>
          <w:lang w:bidi="ar-SA"/>
          <w:color w:val="111111"/>
          <w:sz w:val="28"/>
          <w:szCs w:val="28"/>
          <w:rtl/>
        </w:rPr>
        <w:t xml:space="preserve">آبادي ، حسن بن ابراهيم</w:t>
      </w:r>
    </w:p>
    <w:p>
      <w:pPr>
        <w:pStyle w:val="BookText"/>
      </w:pPr>
      <w:r>
        <w:rPr>
          <w:rFonts w:ascii="Amiri" w:hAnsi="Amiri" w:eastAsia="Amiri" w:cs="Amiri"/>
          <w:lang w:bidi="ar-SA"/>
          <w:color w:val="111111"/>
          <w:sz w:val="28"/>
          <w:szCs w:val="28"/>
          <w:rtl/>
        </w:rPr>
        <w:t xml:space="preserve">ساوجبلاغي، قريش بن محمّد -حسيني</w:t>
      </w:r>
    </w:p>
    <w:p>
      <w:pPr>
        <w:pStyle w:val="BookText"/>
      </w:pPr>
      <w:r>
        <w:rPr>
          <w:rFonts w:ascii="Amiri" w:hAnsi="Amiri" w:eastAsia="Amiri" w:cs="Amiri"/>
          <w:lang w:bidi="ar-SA"/>
          <w:color w:val="111111"/>
          <w:sz w:val="28"/>
          <w:szCs w:val="28"/>
          <w:rtl/>
        </w:rPr>
        <w:t xml:space="preserve">قزويني، قريش بن محمّد</w:t>
      </w:r>
    </w:p>
    <w:p>
      <w:pPr>
        <w:pStyle w:val="Heading2"/>
      </w:pPr>
      <w:bookmarkStart w:id="4727" w:name="_Toc3829"/>
      <w:r>
        <w:t>ساوجبلاغي، محمّد بن رسول 1181 -</w:t>
      </w:r>
      <w:bookmarkEnd w:id="4727"/>
    </w:p>
    <w:p>
      <w:pPr>
        <w:pStyle w:val="BookText"/>
      </w:pPr>
      <w:r>
        <w:rPr>
          <w:rFonts w:ascii="IRNazanin" w:hAnsi="IRNazanin" w:eastAsia="IRNazanin" w:cs="IRNazanin"/>
          <w:lang w:bidi="fa-IR"/>
          <w:color w:val="111111"/>
          <w:sz w:val="28"/>
          <w:szCs w:val="28"/>
          <w:rtl/>
        </w:rPr>
        <w:t xml:space="preserve">1246ه-</w:t>
      </w:r>
    </w:p>
    <w:p>
      <w:pPr>
        <w:pStyle w:val="BookText"/>
      </w:pPr>
      <w:r>
        <w:rPr>
          <w:rFonts w:ascii="Amiri" w:hAnsi="Amiri" w:eastAsia="Amiri" w:cs="Amiri"/>
          <w:lang w:bidi="ar-SA"/>
          <w:color w:val="111111"/>
          <w:sz w:val="28"/>
          <w:szCs w:val="28"/>
          <w:rtl/>
        </w:rPr>
        <w:t xml:space="preserve">1 .حاشية حاشية المطول، ج 5،</w:t>
      </w:r>
    </w:p>
    <w:p>
      <w:pPr>
        <w:pStyle w:val="BookText"/>
      </w:pPr>
      <w:r>
        <w:rPr>
          <w:rFonts w:ascii="IRNazanin" w:hAnsi="IRNazanin" w:eastAsia="IRNazanin" w:cs="IRNazanin"/>
          <w:lang w:bidi="fa-IR"/>
          <w:color w:val="111111"/>
          <w:sz w:val="28"/>
          <w:szCs w:val="28"/>
          <w:rtl/>
        </w:rPr>
        <w:t xml:space="preserve">ص 849</w:t>
      </w:r>
    </w:p>
    <w:p>
      <w:pPr>
        <w:pStyle w:val="BookText"/>
      </w:pPr>
      <w:r>
        <w:rPr>
          <w:rFonts w:ascii="Amiri" w:hAnsi="Amiri" w:eastAsia="Amiri" w:cs="Amiri"/>
          <w:lang w:bidi="ar-SA"/>
          <w:color w:val="111111"/>
          <w:sz w:val="28"/>
          <w:szCs w:val="28"/>
          <w:rtl/>
        </w:rPr>
        <w:t xml:space="preserve">2 .حاشية شرح العقائد النسفية، ج 6،</w:t>
      </w:r>
    </w:p>
    <w:p>
      <w:pPr>
        <w:pStyle w:val="BookText"/>
      </w:pPr>
      <w:r>
        <w:rPr>
          <w:rFonts w:ascii="IRNazanin" w:hAnsi="IRNazanin" w:eastAsia="IRNazanin" w:cs="IRNazanin"/>
          <w:lang w:bidi="fa-IR"/>
          <w:color w:val="111111"/>
          <w:sz w:val="28"/>
          <w:szCs w:val="28"/>
          <w:rtl/>
        </w:rPr>
        <w:t xml:space="preserve">ص 152 .</w:t>
      </w:r>
    </w:p>
    <w:p>
      <w:pPr>
        <w:pStyle w:val="BookText"/>
      </w:pPr>
      <w:r>
        <w:rPr>
          <w:rFonts w:ascii="Amiri" w:hAnsi="Amiri" w:eastAsia="Amiri" w:cs="Amiri"/>
          <w:lang w:bidi="ar-SA"/>
          <w:color w:val="111111"/>
          <w:sz w:val="28"/>
          <w:szCs w:val="28"/>
          <w:rtl/>
        </w:rPr>
        <w:t xml:space="preserve">ساوجي ، حبيب الله بن علي مدد -كاشاني</w:t>
      </w:r>
    </w:p>
    <w:p>
      <w:pPr>
        <w:pStyle w:val="BookText"/>
      </w:pPr>
      <w:r>
        <w:rPr>
          <w:rFonts w:ascii="Amiri" w:hAnsi="Amiri" w:eastAsia="Amiri" w:cs="Amiri"/>
          <w:lang w:bidi="ar-SA"/>
          <w:color w:val="111111"/>
          <w:sz w:val="28"/>
          <w:szCs w:val="28"/>
          <w:rtl/>
        </w:rPr>
        <w:t xml:space="preserve">حبيب الله بن علي مدد</w:t>
      </w:r>
    </w:p>
    <w:p>
      <w:pPr>
        <w:pStyle w:val="BookText"/>
      </w:pPr>
      <w:r>
        <w:rPr>
          <w:rFonts w:ascii="Amiri" w:hAnsi="Amiri" w:eastAsia="Amiri" w:cs="Amiri"/>
          <w:lang w:bidi="ar-SA"/>
          <w:color w:val="111111"/>
          <w:sz w:val="28"/>
          <w:szCs w:val="28"/>
          <w:rtl/>
        </w:rPr>
        <w:t xml:space="preserve">ساوجي ، سلمان -سلمان ساوجي ، سلمان بن محمّد</w:t>
      </w:r>
    </w:p>
    <w:p>
      <w:pPr>
        <w:pStyle w:val="BookText"/>
      </w:pPr>
      <w:r>
        <w:rPr>
          <w:rFonts w:ascii="IRNazanin" w:hAnsi="IRNazanin" w:eastAsia="IRNazanin" w:cs="IRNazanin"/>
          <w:lang w:bidi="fa-IR"/>
          <w:color w:val="111111"/>
          <w:sz w:val="28"/>
          <w:szCs w:val="28"/>
          <w:rtl/>
        </w:rPr>
        <w:t xml:space="preserve">شريف -ساوه اي ، محمّد یحیی بن محمّد شريف</w:t>
      </w:r>
    </w:p>
    <w:p>
      <w:pPr>
        <w:pStyle w:val="BookText"/>
      </w:pPr>
      <w:r>
        <w:rPr>
          <w:rFonts w:ascii="Amiri" w:hAnsi="Amiri" w:eastAsia="Amiri" w:cs="Amiri"/>
          <w:lang w:bidi="ar-SA"/>
          <w:color w:val="111111"/>
          <w:sz w:val="28"/>
          <w:szCs w:val="28"/>
          <w:rtl/>
        </w:rPr>
        <w:t xml:space="preserve">ساوجي ، علي بن ابراهيم- حسيني</w:t>
      </w:r>
    </w:p>
    <w:p>
      <w:pPr>
        <w:pStyle w:val="BookText"/>
      </w:pPr>
      <w:r>
        <w:rPr>
          <w:rFonts w:ascii="Amiri" w:hAnsi="Amiri" w:eastAsia="Amiri" w:cs="Amiri"/>
          <w:lang w:bidi="ar-SA"/>
          <w:color w:val="111111"/>
          <w:sz w:val="28"/>
          <w:szCs w:val="28"/>
          <w:rtl/>
        </w:rPr>
        <w:t xml:space="preserve">ساوجي ، علي بن ابراهيم</w:t>
      </w:r>
    </w:p>
    <w:p>
      <w:pPr>
        <w:pStyle w:val="BookText"/>
      </w:pPr>
      <w:r>
        <w:rPr>
          <w:rFonts w:ascii="Amiri" w:hAnsi="Amiri" w:eastAsia="Amiri" w:cs="Amiri"/>
          <w:lang w:bidi="ar-SA"/>
          <w:color w:val="111111"/>
          <w:sz w:val="28"/>
          <w:szCs w:val="28"/>
          <w:rtl/>
        </w:rPr>
        <w:t xml:space="preserve">ساوجي ، عمر بن سهلان -ابن سهلان</w:t>
      </w:r>
    </w:p>
    <w:p>
      <w:pPr>
        <w:pStyle w:val="BookText"/>
      </w:pPr>
      <w:r>
        <w:rPr>
          <w:rFonts w:ascii="Amiri" w:hAnsi="Amiri" w:eastAsia="Amiri" w:cs="Amiri"/>
          <w:lang w:bidi="ar-SA"/>
          <w:color w:val="111111"/>
          <w:sz w:val="28"/>
          <w:szCs w:val="28"/>
          <w:rtl/>
        </w:rPr>
        <w:t xml:space="preserve">ساوي ، عمر بن سهلان</w:t>
      </w:r>
    </w:p>
    <w:p>
      <w:pPr>
        <w:pStyle w:val="BookText"/>
      </w:pPr>
      <w:r>
        <w:rPr>
          <w:rFonts w:ascii="Amiri" w:hAnsi="Amiri" w:eastAsia="Amiri" w:cs="Amiri"/>
          <w:lang w:bidi="ar-SA"/>
          <w:color w:val="111111"/>
          <w:sz w:val="28"/>
          <w:szCs w:val="28"/>
          <w:rtl/>
        </w:rPr>
        <w:t xml:space="preserve">ساوجي كاشاني ، حبيب الله بن علي مدد -كاشاني، حبيب الله بن علي مدد</w:t>
      </w:r>
    </w:p>
    <w:p>
      <w:pPr>
        <w:pStyle w:val="BookText"/>
      </w:pPr>
      <w:r>
        <w:rPr>
          <w:rFonts w:ascii="Amiri" w:hAnsi="Amiri" w:eastAsia="Amiri" w:cs="Amiri"/>
          <w:lang w:bidi="ar-SA"/>
          <w:color w:val="111111"/>
          <w:sz w:val="28"/>
          <w:szCs w:val="28"/>
          <w:rtl/>
        </w:rPr>
        <w:t xml:space="preserve">ساوجي ، محمّد بن حسين -قرشي ساوجي محمّد بن حسين</w:t>
      </w:r>
    </w:p>
    <w:p>
      <w:pPr>
        <w:pStyle w:val="Heading2"/>
      </w:pPr>
      <w:bookmarkStart w:id="4728" w:name="_Toc3830"/>
      <w:r>
        <w:t>ساوجي ، محمّد قاسم قرن 11 ه-</w:t>
      </w:r>
      <w:bookmarkEnd w:id="4728"/>
    </w:p>
    <w:p>
      <w:pPr>
        <w:pStyle w:val="BookText"/>
      </w:pPr>
      <w:r>
        <w:rPr>
          <w:rFonts w:ascii="Amiri" w:hAnsi="Amiri" w:eastAsia="Amiri" w:cs="Amiri"/>
          <w:lang w:bidi="ar-SA"/>
          <w:color w:val="111111"/>
          <w:sz w:val="28"/>
          <w:szCs w:val="28"/>
          <w:rtl/>
        </w:rPr>
        <w:t xml:space="preserve">تحفه رفيعي = التحفة الرفيعية في</w:t>
      </w:r>
    </w:p>
    <w:p>
      <w:pPr>
        <w:pStyle w:val="BookText"/>
      </w:pPr>
      <w:r>
        <w:rPr>
          <w:rFonts w:ascii="Amiri" w:hAnsi="Amiri" w:eastAsia="Amiri" w:cs="Amiri"/>
          <w:lang w:bidi="ar-SA"/>
          <w:color w:val="111111"/>
          <w:sz w:val="28"/>
          <w:szCs w:val="28"/>
          <w:rtl/>
        </w:rPr>
        <w:t xml:space="preserve">مسائل الميراث، ج 3، ص838.</w:t>
      </w:r>
    </w:p>
    <w:p>
      <w:pPr>
        <w:pStyle w:val="BookText"/>
      </w:pPr>
      <w:r>
        <w:rPr>
          <w:rFonts w:ascii="Amiri" w:hAnsi="Amiri" w:eastAsia="Amiri" w:cs="Amiri"/>
          <w:lang w:bidi="ar-SA"/>
          <w:color w:val="111111"/>
          <w:sz w:val="28"/>
          <w:szCs w:val="28"/>
          <w:rtl/>
        </w:rPr>
        <w:t xml:space="preserve">ساوجي ، محّمد يحيى بن محمّد</w:t>
      </w:r>
    </w:p>
    <w:p>
      <w:pPr>
        <w:pStyle w:val="BookText"/>
      </w:pPr>
      <w:r>
        <w:rPr>
          <w:rFonts w:ascii="IRNazanin" w:hAnsi="IRNazanin" w:eastAsia="IRNazanin" w:cs="IRNazanin"/>
          <w:lang w:bidi="fa-IR"/>
          <w:color w:val="111111"/>
          <w:sz w:val="28"/>
          <w:szCs w:val="28"/>
          <w:rtl/>
        </w:rPr>
        <w:t xml:space="preserve">شريف -ساوه اي ، محمّد یحیی بن محمّد</w:t>
      </w:r>
    </w:p>
    <w:p>
      <w:pPr>
        <w:pStyle w:val="BookText"/>
      </w:pPr>
      <w:r>
        <w:rPr>
          <w:rFonts w:ascii="Amiri" w:hAnsi="Amiri" w:eastAsia="Amiri" w:cs="Amiri"/>
          <w:lang w:bidi="ar-SA"/>
          <w:color w:val="111111"/>
          <w:sz w:val="28"/>
          <w:szCs w:val="28"/>
          <w:rtl/>
        </w:rPr>
        <w:t xml:space="preserve">شريف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8" w:name="pg7742_70491"/>
    <w:bookmarkEnd w:id="548"/>
    <w:p>
      <w:pPr>
        <w:pStyle w:val="Heading2"/>
      </w:pPr>
      <w:bookmarkStart w:id="4729" w:name="_Toc3831"/>
      <w:r>
        <w:t>ساوجي، موسى بن عليرضا قرن 13 ه-</w:t>
      </w:r>
      <w:bookmarkEnd w:id="4729"/>
    </w:p>
    <w:p>
      <w:pPr>
        <w:pStyle w:val="BookText"/>
      </w:pPr>
      <w:r>
        <w:rPr>
          <w:rFonts w:ascii="Amiri" w:hAnsi="Amiri" w:eastAsia="Amiri" w:cs="Amiri"/>
          <w:lang w:bidi="ar-SA"/>
          <w:color w:val="111111"/>
          <w:sz w:val="28"/>
          <w:szCs w:val="28"/>
          <w:rtl/>
        </w:rPr>
        <w:t xml:space="preserve">حفظ الصحة، ج6، ص 678.</w:t>
      </w:r>
    </w:p>
    <w:p>
      <w:pPr>
        <w:pStyle w:val="BookText"/>
      </w:pPr>
      <w:r>
        <w:rPr>
          <w:rFonts w:ascii="Amiri" w:hAnsi="Amiri" w:eastAsia="Amiri" w:cs="Amiri"/>
          <w:lang w:bidi="ar-SA"/>
          <w:color w:val="111111"/>
          <w:sz w:val="28"/>
          <w:szCs w:val="28"/>
          <w:rtl/>
        </w:rPr>
        <w:t xml:space="preserve">ساوجي ، نظام الدين محمّد -قرشي</w:t>
      </w:r>
    </w:p>
    <w:p>
      <w:pPr>
        <w:pStyle w:val="BookText"/>
      </w:pPr>
      <w:r>
        <w:rPr>
          <w:rFonts w:ascii="Amiri" w:hAnsi="Amiri" w:eastAsia="Amiri" w:cs="Amiri"/>
          <w:lang w:bidi="ar-SA"/>
          <w:color w:val="111111"/>
          <w:sz w:val="28"/>
          <w:szCs w:val="28"/>
          <w:rtl/>
        </w:rPr>
        <w:t xml:space="preserve">ساوجي ، محمّد بن حسين</w:t>
      </w:r>
    </w:p>
    <w:p>
      <w:pPr>
        <w:pStyle w:val="BookText"/>
      </w:pPr>
      <w:r>
        <w:rPr>
          <w:rFonts w:ascii="IRNazanin" w:hAnsi="IRNazanin" w:eastAsia="IRNazanin" w:cs="IRNazanin"/>
          <w:lang w:bidi="fa-IR"/>
          <w:color w:val="111111"/>
          <w:sz w:val="28"/>
          <w:szCs w:val="28"/>
          <w:rtl/>
        </w:rPr>
        <w:t xml:space="preserve">ساوچی ، شمس الدين بن منصور- ابن</w:t>
      </w:r>
    </w:p>
    <w:p>
      <w:pPr>
        <w:pStyle w:val="BookText"/>
      </w:pPr>
      <w:r>
        <w:rPr>
          <w:rFonts w:ascii="Amiri" w:hAnsi="Amiri" w:eastAsia="Amiri" w:cs="Amiri"/>
          <w:lang w:bidi="ar-SA"/>
          <w:color w:val="111111"/>
          <w:sz w:val="28"/>
          <w:szCs w:val="28"/>
          <w:rtl/>
        </w:rPr>
        <w:t xml:space="preserve">صائغ ، شمس الدين بن منصور</w:t>
      </w:r>
    </w:p>
    <w:p>
      <w:pPr>
        <w:pStyle w:val="BookText"/>
      </w:pPr>
      <w:r>
        <w:rPr>
          <w:rFonts w:ascii="Amiri" w:hAnsi="Amiri" w:eastAsia="Amiri" w:cs="Amiri"/>
          <w:lang w:bidi="ar-SA"/>
          <w:color w:val="111111"/>
          <w:sz w:val="28"/>
          <w:szCs w:val="28"/>
          <w:rtl/>
        </w:rPr>
        <w:t xml:space="preserve">ساولي ، نصرت بن عمر- نصرة بن عمر</w:t>
      </w:r>
    </w:p>
    <w:p>
      <w:pPr>
        <w:pStyle w:val="Heading2"/>
      </w:pPr>
      <w:bookmarkStart w:id="4730" w:name="_Toc3832"/>
      <w:r>
        <w:t>ساوه اي ، محمّد يحيى بن محمّد شريف</w:t>
      </w:r>
      <w:bookmarkEnd w:id="4730"/>
    </w:p>
    <w:p>
      <w:pPr>
        <w:pStyle w:val="BookText"/>
      </w:pPr>
      <w:r>
        <w:rPr>
          <w:rFonts w:ascii="Amiri" w:hAnsi="Amiri" w:eastAsia="Amiri" w:cs="Amiri"/>
          <w:lang w:bidi="ar-SA"/>
          <w:color w:val="111111"/>
          <w:sz w:val="28"/>
          <w:szCs w:val="28"/>
          <w:rtl/>
        </w:rPr>
        <w:t xml:space="preserve">قرن 11 ه- عنوان القبلة = منهاج القبلة، ج11،</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Amiri" w:hAnsi="Amiri" w:eastAsia="Amiri" w:cs="Amiri"/>
          <w:lang w:bidi="ar-SA"/>
          <w:color w:val="111111"/>
          <w:sz w:val="28"/>
          <w:szCs w:val="28"/>
          <w:rtl/>
        </w:rPr>
        <w:t xml:space="preserve">ساوي، زين الدين محمّد بن</w:t>
      </w:r>
    </w:p>
    <w:p>
      <w:pPr>
        <w:pStyle w:val="BookText"/>
      </w:pPr>
      <w:r>
        <w:rPr>
          <w:rFonts w:ascii="Amiri" w:hAnsi="Amiri" w:eastAsia="Amiri" w:cs="Amiri"/>
          <w:lang w:bidi="ar-SA"/>
          <w:color w:val="111111"/>
          <w:sz w:val="28"/>
          <w:szCs w:val="28"/>
          <w:rtl/>
        </w:rPr>
        <w:t xml:space="preserve">محمّد -زركشي ، محمّد بن محمّد</w:t>
      </w:r>
    </w:p>
    <w:p>
      <w:pPr>
        <w:pStyle w:val="BookText"/>
      </w:pPr>
      <w:r>
        <w:rPr>
          <w:rFonts w:ascii="Amiri" w:hAnsi="Amiri" w:eastAsia="Amiri" w:cs="Amiri"/>
          <w:lang w:bidi="ar-SA"/>
          <w:color w:val="111111"/>
          <w:sz w:val="28"/>
          <w:szCs w:val="28"/>
          <w:rtl/>
        </w:rPr>
        <w:t xml:space="preserve">ساوي ، عمر بن سهلان- ابن سهلان ساوي</w:t>
      </w:r>
    </w:p>
    <w:p>
      <w:pPr>
        <w:pStyle w:val="BookText"/>
      </w:pPr>
      <w:r>
        <w:rPr>
          <w:rFonts w:ascii="IRNazanin" w:hAnsi="IRNazanin" w:eastAsia="IRNazanin" w:cs="IRNazanin"/>
          <w:lang w:bidi="fa-IR"/>
          <w:color w:val="111111"/>
          <w:sz w:val="28"/>
          <w:szCs w:val="28"/>
          <w:rtl/>
        </w:rPr>
        <w:t xml:space="preserve">، عمر بن سهلان</w:t>
      </w:r>
    </w:p>
    <w:p>
      <w:pPr>
        <w:pStyle w:val="BookText"/>
      </w:pPr>
      <w:r>
        <w:rPr>
          <w:rFonts w:ascii="Amiri" w:hAnsi="Amiri" w:eastAsia="Amiri" w:cs="Amiri"/>
          <w:lang w:bidi="ar-SA"/>
          <w:color w:val="111111"/>
          <w:sz w:val="28"/>
          <w:szCs w:val="28"/>
          <w:rtl/>
        </w:rPr>
        <w:t xml:space="preserve">ساوي ، محمّد بن محمّد بن</w:t>
      </w:r>
    </w:p>
    <w:p>
      <w:pPr>
        <w:pStyle w:val="BookText"/>
      </w:pPr>
      <w:r>
        <w:rPr>
          <w:rFonts w:ascii="IRNazanin" w:hAnsi="IRNazanin" w:eastAsia="IRNazanin" w:cs="IRNazanin"/>
          <w:lang w:bidi="fa-IR"/>
          <w:color w:val="111111"/>
          <w:sz w:val="28"/>
          <w:szCs w:val="28"/>
          <w:rtl/>
        </w:rPr>
        <w:t xml:space="preserve">زنگي -شعيبي اسفرايني ، محمّد بن زنگي</w:t>
      </w:r>
    </w:p>
    <w:p>
      <w:pPr>
        <w:pStyle w:val="BookText"/>
      </w:pPr>
      <w:r>
        <w:rPr>
          <w:rFonts w:ascii="Amiri" w:hAnsi="Amiri" w:eastAsia="Amiri" w:cs="Amiri"/>
          <w:lang w:bidi="ar-SA"/>
          <w:color w:val="111111"/>
          <w:sz w:val="28"/>
          <w:szCs w:val="28"/>
          <w:rtl/>
        </w:rPr>
        <w:t xml:space="preserve">ساوي ، محمّد بن محمّد- زركشي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ساوي ، محمّد قاسم- ساوجي ، محمّد</w:t>
      </w:r>
    </w:p>
    <w:p>
      <w:pPr>
        <w:pStyle w:val="BookText"/>
      </w:pPr>
      <w:r>
        <w:rPr>
          <w:rFonts w:ascii="IRNazanin" w:hAnsi="IRNazanin" w:eastAsia="IRNazanin" w:cs="IRNazanin"/>
          <w:lang w:bidi="fa-IR"/>
          <w:color w:val="111111"/>
          <w:sz w:val="28"/>
          <w:szCs w:val="28"/>
          <w:rtl/>
        </w:rPr>
        <w:t xml:space="preserve">قاسم</w:t>
      </w:r>
    </w:p>
    <w:p>
      <w:pPr>
        <w:pStyle w:val="BookText"/>
      </w:pPr>
      <w:r>
        <w:rPr>
          <w:rFonts w:ascii="IRNazanin" w:hAnsi="IRNazanin" w:eastAsia="IRNazanin" w:cs="IRNazanin"/>
          <w:lang w:bidi="fa-IR"/>
          <w:color w:val="111111"/>
          <w:sz w:val="28"/>
          <w:szCs w:val="28"/>
          <w:rtl/>
        </w:rPr>
        <w:t xml:space="preserve">ساوي ، محمّد یحیی بن محمّد شريف- ساوه اي ، محمّد یحیی بن محمّد</w:t>
      </w:r>
    </w:p>
    <w:p>
      <w:pPr>
        <w:pStyle w:val="BookText"/>
      </w:pPr>
      <w:r>
        <w:rPr>
          <w:rFonts w:ascii="IRNazanin" w:hAnsi="IRNazanin" w:eastAsia="IRNazanin" w:cs="IRNazanin"/>
          <w:lang w:bidi="fa-IR"/>
          <w:color w:val="111111"/>
          <w:sz w:val="28"/>
          <w:szCs w:val="28"/>
          <w:rtl/>
        </w:rPr>
        <w:t xml:space="preserve">شریف</w:t>
      </w:r>
    </w:p>
    <w:p>
      <w:pPr>
        <w:pStyle w:val="Heading2"/>
      </w:pPr>
      <w:bookmarkStart w:id="4731" w:name="_Toc3833"/>
      <w:r>
        <w:t>سباخي ، احمد بن عبد الحق</w:t>
      </w:r>
      <w:bookmarkEnd w:id="4731"/>
    </w:p>
    <w:p>
      <w:pPr>
        <w:pStyle w:val="BookText"/>
      </w:pPr>
      <w:r>
        <w:rPr>
          <w:rFonts w:ascii="Amiri" w:hAnsi="Amiri" w:eastAsia="Amiri" w:cs="Amiri"/>
          <w:lang w:bidi="ar-SA"/>
          <w:color w:val="111111"/>
          <w:sz w:val="28"/>
          <w:szCs w:val="28"/>
          <w:rtl/>
        </w:rPr>
        <w:t xml:space="preserve">شرح البسملة، ج9، ص 284.</w:t>
      </w:r>
    </w:p>
    <w:p>
      <w:pPr>
        <w:pStyle w:val="BookText"/>
      </w:pPr>
      <w:r>
        <w:rPr>
          <w:rFonts w:ascii="Amiri" w:hAnsi="Amiri" w:eastAsia="Amiri" w:cs="Amiri"/>
          <w:lang w:bidi="ar-SA"/>
          <w:color w:val="111111"/>
          <w:sz w:val="28"/>
          <w:szCs w:val="28"/>
          <w:rtl/>
        </w:rPr>
        <w:t xml:space="preserve">سباطي ، احمد بن عبدالحق- سباخي</w:t>
      </w:r>
    </w:p>
    <w:p>
      <w:pPr>
        <w:pStyle w:val="BookText"/>
      </w:pPr>
      <w:r>
        <w:rPr>
          <w:rFonts w:ascii="IRNazanin" w:hAnsi="IRNazanin" w:eastAsia="IRNazanin" w:cs="IRNazanin"/>
          <w:lang w:bidi="fa-IR"/>
          <w:color w:val="111111"/>
          <w:sz w:val="28"/>
          <w:szCs w:val="28"/>
          <w:rtl/>
        </w:rPr>
        <w:t xml:space="preserve">احمد بن عبدالحق</w:t>
      </w:r>
    </w:p>
    <w:p>
      <w:pPr>
        <w:pStyle w:val="Heading2"/>
      </w:pPr>
      <w:bookmarkStart w:id="4732" w:name="_Toc3834"/>
      <w:r>
        <w:t>سباعي، مصطفى، 1915 - 1964 م</w:t>
      </w:r>
      <w:bookmarkEnd w:id="4732"/>
    </w:p>
    <w:p>
      <w:pPr>
        <w:pStyle w:val="BookText"/>
      </w:pPr>
      <w:r>
        <w:rPr>
          <w:rFonts w:ascii="Amiri" w:hAnsi="Amiri" w:eastAsia="Amiri" w:cs="Amiri"/>
          <w:lang w:bidi="ar-SA"/>
          <w:color w:val="111111"/>
          <w:sz w:val="28"/>
          <w:szCs w:val="28"/>
          <w:rtl/>
        </w:rPr>
        <w:t xml:space="preserve">رسالة اليقين في معرفة انواع الخطوط</w:t>
      </w:r>
    </w:p>
    <w:p>
      <w:pPr>
        <w:pStyle w:val="BookText"/>
      </w:pPr>
      <w:r>
        <w:rPr>
          <w:rFonts w:ascii="Amiri" w:hAnsi="Amiri" w:eastAsia="Amiri" w:cs="Amiri"/>
          <w:lang w:bidi="ar-SA"/>
          <w:color w:val="111111"/>
          <w:sz w:val="28"/>
          <w:szCs w:val="28"/>
          <w:rtl/>
        </w:rPr>
        <w:t xml:space="preserve">و ذكر الخطاطين، ج8، ص298.</w:t>
      </w:r>
    </w:p>
    <w:p>
      <w:pPr>
        <w:pStyle w:val="Heading2"/>
      </w:pPr>
      <w:bookmarkStart w:id="4733" w:name="_Toc3835"/>
      <w:r>
        <w:t>سباعي ، موسى</w:t>
      </w:r>
      <w:bookmarkEnd w:id="4733"/>
    </w:p>
    <w:p>
      <w:pPr>
        <w:pStyle w:val="BookText"/>
      </w:pPr>
      <w:r>
        <w:rPr>
          <w:rFonts w:ascii="IRNazanin" w:hAnsi="IRNazanin" w:eastAsia="IRNazanin" w:cs="IRNazanin"/>
          <w:lang w:bidi="fa-IR"/>
          <w:color w:val="111111"/>
          <w:sz w:val="28"/>
          <w:szCs w:val="28"/>
          <w:rtl/>
        </w:rPr>
        <w:t xml:space="preserve">قصائد و موالیا و مقطعات ج 12</w:t>
      </w:r>
    </w:p>
    <w:p>
      <w:pPr>
        <w:pStyle w:val="BookText"/>
      </w:pPr>
      <w:r>
        <w:rPr>
          <w:rFonts w:ascii="IRNazanin" w:hAnsi="IRNazanin" w:eastAsia="IRNazanin" w:cs="IRNazanin"/>
          <w:lang w:bidi="fa-IR"/>
          <w:color w:val="111111"/>
          <w:sz w:val="28"/>
          <w:szCs w:val="28"/>
          <w:rtl/>
        </w:rPr>
        <w:t xml:space="preserve">ص 604.</w:t>
      </w:r>
    </w:p>
    <w:p>
      <w:pPr>
        <w:pStyle w:val="BookText"/>
      </w:pPr>
      <w:r>
        <w:rPr>
          <w:rFonts w:ascii="IRNazanin" w:hAnsi="IRNazanin" w:eastAsia="IRNazanin" w:cs="IRNazanin"/>
          <w:lang w:bidi="fa-IR"/>
          <w:color w:val="111111"/>
          <w:sz w:val="28"/>
          <w:szCs w:val="28"/>
          <w:rtl/>
        </w:rPr>
        <w:t xml:space="preserve">سباهي زاده، محمّد بن علي- سپاهي</w:t>
      </w:r>
    </w:p>
    <w:p>
      <w:pPr>
        <w:pStyle w:val="BookText"/>
      </w:pPr>
      <w:r>
        <w:rPr>
          <w:rFonts w:ascii="Amiri" w:hAnsi="Amiri" w:eastAsia="Amiri" w:cs="Amiri"/>
          <w:lang w:bidi="ar-SA"/>
          <w:color w:val="111111"/>
          <w:sz w:val="28"/>
          <w:szCs w:val="28"/>
          <w:rtl/>
        </w:rPr>
        <w:t xml:space="preserve">زاده ، محمّد بن علي</w:t>
      </w:r>
    </w:p>
    <w:p>
      <w:pPr>
        <w:pStyle w:val="BookText"/>
      </w:pPr>
      <w:r>
        <w:rPr>
          <w:rFonts w:ascii="Amiri" w:hAnsi="Amiri" w:eastAsia="Amiri" w:cs="Amiri"/>
          <w:lang w:bidi="ar-SA"/>
          <w:color w:val="111111"/>
          <w:sz w:val="28"/>
          <w:szCs w:val="28"/>
          <w:rtl/>
        </w:rPr>
        <w:t xml:space="preserve">سبتي ، حسن بن كاظم- سبتي نجفي ، حسن بن كاظم</w:t>
      </w:r>
    </w:p>
    <w:p>
      <w:pPr>
        <w:pStyle w:val="Heading2"/>
      </w:pPr>
      <w:bookmarkStart w:id="4734" w:name="_Toc3836"/>
      <w:r>
        <w:t>سبتي دار المالقي ، مالك بن مرحل</w:t>
      </w:r>
      <w:bookmarkEnd w:id="4734"/>
    </w:p>
    <w:p>
      <w:pPr>
        <w:pStyle w:val="BookText"/>
      </w:pPr>
      <w:r>
        <w:rPr>
          <w:rFonts w:ascii="Amiri" w:hAnsi="Amiri" w:eastAsia="Amiri" w:cs="Amiri"/>
          <w:lang w:bidi="ar-SA"/>
          <w:color w:val="111111"/>
          <w:sz w:val="28"/>
          <w:szCs w:val="28"/>
          <w:rtl/>
        </w:rPr>
        <w:t xml:space="preserve">اللغة (منظومة في)، ج13، ص 589.</w:t>
      </w:r>
    </w:p>
    <w:p>
      <w:pPr>
        <w:pStyle w:val="BookText"/>
      </w:pPr>
      <w:r>
        <w:rPr>
          <w:rFonts w:ascii="Amiri" w:hAnsi="Amiri" w:eastAsia="Amiri" w:cs="Amiri"/>
          <w:lang w:bidi="ar-SA"/>
          <w:color w:val="111111"/>
          <w:sz w:val="28"/>
          <w:szCs w:val="28"/>
          <w:rtl/>
        </w:rPr>
        <w:t xml:space="preserve">سبتي ، عبدالملك بن عبدالله -ابن بدرون ،</w:t>
      </w:r>
    </w:p>
    <w:p>
      <w:pPr>
        <w:pStyle w:val="BookText"/>
      </w:pPr>
      <w:r>
        <w:rPr>
          <w:rFonts w:ascii="Amiri" w:hAnsi="Amiri" w:eastAsia="Amiri" w:cs="Amiri"/>
          <w:lang w:bidi="ar-SA"/>
          <w:color w:val="111111"/>
          <w:sz w:val="28"/>
          <w:szCs w:val="28"/>
          <w:rtl/>
        </w:rPr>
        <w:t xml:space="preserve">عبدالملك بن عبدالله</w:t>
      </w:r>
    </w:p>
    <w:p>
      <w:pPr>
        <w:pStyle w:val="BookText"/>
      </w:pPr>
      <w:r>
        <w:rPr>
          <w:rFonts w:ascii="Amiri" w:hAnsi="Amiri" w:eastAsia="Amiri" w:cs="Amiri"/>
          <w:lang w:bidi="ar-SA"/>
          <w:color w:val="111111"/>
          <w:sz w:val="28"/>
          <w:szCs w:val="28"/>
          <w:rtl/>
        </w:rPr>
        <w:t xml:space="preserve">سبتي ، عياض بن موسى- قاضي عياض ،</w:t>
      </w:r>
    </w:p>
    <w:p>
      <w:pPr>
        <w:pStyle w:val="BookText"/>
      </w:pPr>
      <w:r>
        <w:rPr>
          <w:rFonts w:ascii="IRNazanin" w:hAnsi="IRNazanin" w:eastAsia="IRNazanin" w:cs="IRNazanin"/>
          <w:lang w:bidi="fa-IR"/>
          <w:color w:val="111111"/>
          <w:sz w:val="28"/>
          <w:szCs w:val="28"/>
          <w:rtl/>
        </w:rPr>
        <w:t xml:space="preserve">عیاض بن موسى</w:t>
      </w:r>
    </w:p>
    <w:p>
      <w:pPr>
        <w:pStyle w:val="BookText"/>
      </w:pPr>
      <w:r>
        <w:rPr>
          <w:rFonts w:ascii="Amiri" w:hAnsi="Amiri" w:eastAsia="Amiri" w:cs="Amiri"/>
          <w:lang w:bidi="ar-SA"/>
          <w:color w:val="111111"/>
          <w:sz w:val="28"/>
          <w:szCs w:val="28"/>
          <w:rtl/>
        </w:rPr>
        <w:t xml:space="preserve">سبتي ، محمّد بن احمد -غرناطي ، محمّد</w:t>
      </w:r>
    </w:p>
    <w:p>
      <w:pPr>
        <w:pStyle w:val="BookText"/>
      </w:pPr>
      <w:r>
        <w:rPr>
          <w:rFonts w:ascii="IRNazanin" w:hAnsi="IRNazanin" w:eastAsia="IRNazanin" w:cs="IRNazanin"/>
          <w:lang w:bidi="fa-IR"/>
          <w:color w:val="111111"/>
          <w:sz w:val="28"/>
          <w:szCs w:val="28"/>
          <w:rtl/>
        </w:rPr>
        <w:t xml:space="preserve">بن احمد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9" w:name="pg7742_70493"/>
    <w:bookmarkEnd w:id="549"/>
    <w:p>
      <w:pPr>
        <w:pStyle w:val="BookText"/>
      </w:pPr>
      <w:r>
        <w:rPr>
          <w:rFonts w:ascii="Amiri" w:hAnsi="Amiri" w:eastAsia="Amiri" w:cs="Amiri"/>
          <w:lang w:bidi="ar-SA"/>
          <w:color w:val="111111"/>
          <w:sz w:val="28"/>
          <w:szCs w:val="28"/>
          <w:rtl/>
        </w:rPr>
        <w:t xml:space="preserve">سبتي ، محمّد بن احمد- الخمي، محمّد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4735" w:name="_Toc3837"/>
      <w:r>
        <w:t>سبتي نجفي ، حسن بن كاظم - 1374 ه-</w:t>
      </w:r>
      <w:bookmarkEnd w:id="4735"/>
    </w:p>
    <w:p>
      <w:pPr>
        <w:pStyle w:val="BookText"/>
      </w:pPr>
      <w:r>
        <w:rPr>
          <w:rFonts w:ascii="Amiri" w:hAnsi="Amiri" w:eastAsia="Amiri" w:cs="Amiri"/>
          <w:lang w:bidi="ar-SA"/>
          <w:color w:val="111111"/>
          <w:sz w:val="28"/>
          <w:szCs w:val="28"/>
          <w:rtl/>
        </w:rPr>
        <w:t xml:space="preserve">الكلم الطيب، ج13، ص378.</w:t>
      </w:r>
    </w:p>
    <w:p>
      <w:pPr>
        <w:pStyle w:val="Heading2"/>
      </w:pPr>
      <w:bookmarkStart w:id="4736" w:name="_Toc3838"/>
      <w:r>
        <w:t>سبروزي، شمس الدين محمّد</w:t>
      </w:r>
      <w:bookmarkEnd w:id="4736"/>
    </w:p>
    <w:p>
      <w:pPr>
        <w:pStyle w:val="BookText"/>
      </w:pPr>
      <w:r>
        <w:rPr>
          <w:rFonts w:ascii="Amiri" w:hAnsi="Amiri" w:eastAsia="Amiri" w:cs="Amiri"/>
          <w:lang w:bidi="ar-SA"/>
          <w:color w:val="111111"/>
          <w:sz w:val="28"/>
          <w:szCs w:val="28"/>
          <w:rtl/>
        </w:rPr>
        <w:t xml:space="preserve">شرح القصيدة الروحانية، ج 9، ص 868.</w:t>
      </w:r>
    </w:p>
    <w:p>
      <w:pPr>
        <w:pStyle w:val="BookText"/>
      </w:pPr>
      <w:r>
        <w:rPr>
          <w:rFonts w:ascii="Amiri" w:hAnsi="Amiri" w:eastAsia="Amiri" w:cs="Amiri"/>
          <w:lang w:bidi="ar-SA"/>
          <w:color w:val="111111"/>
          <w:sz w:val="28"/>
          <w:szCs w:val="28"/>
          <w:rtl/>
        </w:rPr>
        <w:t xml:space="preserve">سبروي ، عيسى افندي- بستان زاده</w:t>
      </w:r>
    </w:p>
    <w:p>
      <w:pPr>
        <w:pStyle w:val="BookText"/>
      </w:pPr>
      <w:r>
        <w:rPr>
          <w:rFonts w:ascii="IRNazanin" w:hAnsi="IRNazanin" w:eastAsia="IRNazanin" w:cs="IRNazanin"/>
          <w:lang w:bidi="fa-IR"/>
          <w:color w:val="111111"/>
          <w:sz w:val="28"/>
          <w:szCs w:val="28"/>
          <w:rtl/>
        </w:rPr>
        <w:t xml:space="preserve">محمّد بن مصطفى</w:t>
      </w:r>
    </w:p>
    <w:p>
      <w:pPr>
        <w:pStyle w:val="BookText"/>
      </w:pPr>
      <w:r>
        <w:rPr>
          <w:rFonts w:ascii="Amiri" w:hAnsi="Amiri" w:eastAsia="Amiri" w:cs="Amiri"/>
          <w:lang w:bidi="ar-SA"/>
          <w:color w:val="111111"/>
          <w:sz w:val="28"/>
          <w:szCs w:val="28"/>
          <w:rtl/>
        </w:rPr>
        <w:t xml:space="preserve">سبزواري بيهقي ، حسن بن حسين- شيعي</w:t>
      </w:r>
    </w:p>
    <w:p>
      <w:pPr>
        <w:pStyle w:val="BookText"/>
      </w:pPr>
      <w:r>
        <w:rPr>
          <w:rFonts w:ascii="Amiri" w:hAnsi="Amiri" w:eastAsia="Amiri" w:cs="Amiri"/>
          <w:lang w:bidi="ar-SA"/>
          <w:color w:val="111111"/>
          <w:sz w:val="28"/>
          <w:szCs w:val="28"/>
          <w:rtl/>
        </w:rPr>
        <w:t xml:space="preserve">سبزواري ، حسن بن حسين</w:t>
      </w:r>
    </w:p>
    <w:p>
      <w:pPr>
        <w:pStyle w:val="Heading2"/>
      </w:pPr>
      <w:bookmarkStart w:id="4737" w:name="_Toc3839"/>
      <w:r>
        <w:t>سبزواري، جعفر علي</w:t>
      </w:r>
      <w:bookmarkEnd w:id="4737"/>
    </w:p>
    <w:p>
      <w:pPr>
        <w:pStyle w:val="BookText"/>
      </w:pPr>
      <w:r>
        <w:rPr>
          <w:rFonts w:ascii="Amiri" w:hAnsi="Amiri" w:eastAsia="Amiri" w:cs="Amiri"/>
          <w:lang w:bidi="ar-SA"/>
          <w:color w:val="111111"/>
          <w:sz w:val="28"/>
          <w:szCs w:val="28"/>
          <w:rtl/>
        </w:rPr>
        <w:t xml:space="preserve">حاشية الشيخ جعفر علي السبزواري</w:t>
      </w:r>
    </w:p>
    <w:p>
      <w:pPr>
        <w:pStyle w:val="BookText"/>
      </w:pPr>
      <w:r>
        <w:rPr>
          <w:rFonts w:ascii="IRNazanin" w:hAnsi="IRNazanin" w:eastAsia="IRNazanin" w:cs="IRNazanin"/>
          <w:lang w:bidi="fa-IR"/>
          <w:color w:val="111111"/>
          <w:sz w:val="28"/>
          <w:szCs w:val="28"/>
          <w:rtl/>
        </w:rPr>
        <w:t xml:space="preserve">ج 6 ، ص 222.</w:t>
      </w:r>
    </w:p>
    <w:p>
      <w:pPr>
        <w:pStyle w:val="BookText"/>
      </w:pPr>
      <w:r>
        <w:rPr>
          <w:rFonts w:ascii="Amiri" w:hAnsi="Amiri" w:eastAsia="Amiri" w:cs="Amiri"/>
          <w:lang w:bidi="ar-SA"/>
          <w:color w:val="111111"/>
          <w:sz w:val="28"/>
          <w:szCs w:val="28"/>
          <w:rtl/>
        </w:rPr>
        <w:t xml:space="preserve">سبزواري، حسن بن حسين- شيعي</w:t>
      </w:r>
    </w:p>
    <w:p>
      <w:pPr>
        <w:pStyle w:val="BookText"/>
      </w:pPr>
      <w:r>
        <w:rPr>
          <w:rFonts w:ascii="Amiri" w:hAnsi="Amiri" w:eastAsia="Amiri" w:cs="Amiri"/>
          <w:lang w:bidi="ar-SA"/>
          <w:color w:val="111111"/>
          <w:sz w:val="28"/>
          <w:szCs w:val="28"/>
          <w:rtl/>
        </w:rPr>
        <w:t xml:space="preserve">سبزواري ، حسن بن حسين</w:t>
      </w:r>
    </w:p>
    <w:p>
      <w:pPr>
        <w:pStyle w:val="Heading2"/>
      </w:pPr>
      <w:bookmarkStart w:id="4738" w:name="_Toc3840"/>
      <w:r>
        <w:t>سبزواري، زين العابدين بن محمّد علي قرن 11 ه-</w:t>
      </w:r>
      <w:bookmarkEnd w:id="4738"/>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اعتصام المريد في توضيح معضلات</w:t>
      </w:r>
    </w:p>
    <w:p>
      <w:pPr>
        <w:pStyle w:val="BookText"/>
      </w:pPr>
      <w:r>
        <w:rPr>
          <w:rFonts w:ascii="Amiri" w:hAnsi="Amiri" w:eastAsia="Amiri" w:cs="Amiri"/>
          <w:lang w:bidi="ar-SA"/>
          <w:color w:val="111111"/>
          <w:sz w:val="28"/>
          <w:szCs w:val="28"/>
          <w:rtl/>
        </w:rPr>
        <w:t xml:space="preserve">كلام الله المجيد، ج 2، ص 498.</w:t>
      </w:r>
    </w:p>
    <w:p>
      <w:pPr>
        <w:pStyle w:val="BookText"/>
      </w:pPr>
      <w:r>
        <w:rPr>
          <w:rFonts w:ascii="Amiri" w:hAnsi="Amiri" w:eastAsia="Amiri" w:cs="Amiri"/>
          <w:lang w:bidi="ar-SA"/>
          <w:color w:val="111111"/>
          <w:sz w:val="28"/>
          <w:szCs w:val="28"/>
          <w:rtl/>
        </w:rPr>
        <w:t xml:space="preserve">سبزواري ، فتح الله بن احمد- شهرستاني</w:t>
      </w:r>
    </w:p>
    <w:p>
      <w:pPr>
        <w:pStyle w:val="BookText"/>
      </w:pPr>
      <w:r>
        <w:rPr>
          <w:rFonts w:ascii="IRNazanin" w:hAnsi="IRNazanin" w:eastAsia="IRNazanin" w:cs="IRNazanin"/>
          <w:lang w:bidi="fa-IR"/>
          <w:color w:val="111111"/>
          <w:sz w:val="28"/>
          <w:szCs w:val="28"/>
          <w:rtl/>
        </w:rPr>
        <w:t xml:space="preserve">فتح الله بن احمد</w:t>
      </w:r>
    </w:p>
    <w:p>
      <w:pPr>
        <w:pStyle w:val="BookText"/>
      </w:pPr>
      <w:r>
        <w:rPr>
          <w:rFonts w:ascii="Amiri" w:hAnsi="Amiri" w:eastAsia="Amiri" w:cs="Amiri"/>
          <w:lang w:bidi="ar-SA"/>
          <w:color w:val="111111"/>
          <w:sz w:val="28"/>
          <w:szCs w:val="28"/>
          <w:rtl/>
        </w:rPr>
        <w:t xml:space="preserve">سبزواري ، قطب الدين- قطب الدين</w:t>
      </w:r>
    </w:p>
    <w:p>
      <w:pPr>
        <w:pStyle w:val="BookText"/>
      </w:pPr>
      <w:r>
        <w:rPr>
          <w:rFonts w:ascii="Amiri" w:hAnsi="Amiri" w:eastAsia="Amiri" w:cs="Amiri"/>
          <w:lang w:bidi="ar-SA"/>
          <w:color w:val="111111"/>
          <w:sz w:val="28"/>
          <w:szCs w:val="28"/>
          <w:rtl/>
        </w:rPr>
        <w:t xml:space="preserve">سبزواري</w:t>
      </w:r>
    </w:p>
    <w:p>
      <w:pPr>
        <w:pStyle w:val="BookText"/>
      </w:pPr>
      <w:r>
        <w:rPr>
          <w:rFonts w:ascii="Amiri" w:hAnsi="Amiri" w:eastAsia="Amiri" w:cs="Amiri"/>
          <w:lang w:bidi="ar-SA"/>
          <w:color w:val="111111"/>
          <w:sz w:val="28"/>
          <w:szCs w:val="28"/>
          <w:rtl/>
        </w:rPr>
        <w:t xml:space="preserve">سبزواري، محمّد باقر بن محمّد</w:t>
      </w:r>
    </w:p>
    <w:p>
      <w:pPr>
        <w:pStyle w:val="BookText"/>
      </w:pPr>
      <w:r>
        <w:rPr>
          <w:rFonts w:ascii="Amiri" w:hAnsi="Amiri" w:eastAsia="Amiri" w:cs="Amiri"/>
          <w:lang w:bidi="ar-SA"/>
          <w:color w:val="111111"/>
          <w:sz w:val="28"/>
          <w:szCs w:val="28"/>
          <w:rtl/>
        </w:rPr>
        <w:t xml:space="preserve">جعفر -همداني شيخي ، محمّد باقر بن</w:t>
      </w:r>
    </w:p>
    <w:p>
      <w:pPr>
        <w:pStyle w:val="BookText"/>
      </w:pPr>
      <w:r>
        <w:rPr>
          <w:rFonts w:ascii="Amiri" w:hAnsi="Amiri" w:eastAsia="Amiri" w:cs="Amiri"/>
          <w:lang w:bidi="ar-SA"/>
          <w:color w:val="111111"/>
          <w:sz w:val="28"/>
          <w:szCs w:val="28"/>
          <w:rtl/>
        </w:rPr>
        <w:t xml:space="preserve">محمّد جعفر</w:t>
      </w:r>
    </w:p>
    <w:p>
      <w:pPr>
        <w:pStyle w:val="BookText"/>
      </w:pPr>
      <w:r>
        <w:rPr>
          <w:rFonts w:ascii="Amiri" w:hAnsi="Amiri" w:eastAsia="Amiri" w:cs="Amiri"/>
          <w:lang w:bidi="ar-SA"/>
          <w:color w:val="111111"/>
          <w:sz w:val="28"/>
          <w:szCs w:val="28"/>
          <w:rtl/>
        </w:rPr>
        <w:t xml:space="preserve">سبزواري ، محمّد باقر بن محمّد علي- علوي سبزواري ، محمّد باقر بن محمّد</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سبزواري ، محمّد باقر بن محمّد</w:t>
      </w:r>
    </w:p>
    <w:p>
      <w:pPr>
        <w:pStyle w:val="BookText"/>
      </w:pPr>
      <w:r>
        <w:rPr>
          <w:rFonts w:ascii="Amiri" w:hAnsi="Amiri" w:eastAsia="Amiri" w:cs="Amiri"/>
          <w:lang w:bidi="ar-SA"/>
          <w:color w:val="111111"/>
          <w:sz w:val="28"/>
          <w:szCs w:val="28"/>
          <w:rtl/>
        </w:rPr>
        <w:t xml:space="preserve">مؤمن- محقق سبزواري ، محمّد باقر بن</w:t>
      </w:r>
    </w:p>
    <w:p>
      <w:pPr>
        <w:pStyle w:val="BookText"/>
      </w:pPr>
      <w:r>
        <w:rPr>
          <w:rFonts w:ascii="Amiri" w:hAnsi="Amiri" w:eastAsia="Amiri" w:cs="Amiri"/>
          <w:lang w:bidi="ar-SA"/>
          <w:color w:val="111111"/>
          <w:sz w:val="28"/>
          <w:szCs w:val="28"/>
          <w:rtl/>
        </w:rPr>
        <w:t xml:space="preserve">محمّد مؤمن</w:t>
      </w:r>
    </w:p>
    <w:p>
      <w:pPr>
        <w:pStyle w:val="Heading2"/>
      </w:pPr>
      <w:bookmarkStart w:id="4739" w:name="_Toc3841"/>
      <w:r>
        <w:t>سبزواري، محمّد بن علاء الدین قرن 9 ه-</w:t>
      </w:r>
      <w:bookmarkEnd w:id="4739"/>
    </w:p>
    <w:p>
      <w:pPr>
        <w:pStyle w:val="BookText"/>
      </w:pPr>
      <w:r>
        <w:rPr>
          <w:rFonts w:ascii="Amiri" w:hAnsi="Amiri" w:eastAsia="Amiri" w:cs="Amiri"/>
          <w:lang w:bidi="ar-SA"/>
          <w:color w:val="111111"/>
          <w:sz w:val="28"/>
          <w:szCs w:val="28"/>
          <w:rtl/>
        </w:rPr>
        <w:t xml:space="preserve">زبدة قوانين العلاج في جميع الامراض</w:t>
      </w:r>
    </w:p>
    <w:p>
      <w:pPr>
        <w:pStyle w:val="BookText"/>
      </w:pPr>
      <w:r>
        <w:rPr>
          <w:rFonts w:ascii="IRNazanin" w:hAnsi="IRNazanin" w:eastAsia="IRNazanin" w:cs="IRNazanin"/>
          <w:lang w:bidi="fa-IR"/>
          <w:color w:val="111111"/>
          <w:sz w:val="28"/>
          <w:szCs w:val="28"/>
          <w:rtl/>
        </w:rPr>
        <w:t xml:space="preserve">شفاء الامراض، ج8، ص589</w:t>
      </w:r>
    </w:p>
    <w:p>
      <w:pPr>
        <w:pStyle w:val="BookText"/>
      </w:pPr>
      <w:r>
        <w:rPr>
          <w:rFonts w:ascii="Amiri" w:hAnsi="Amiri" w:eastAsia="Amiri" w:cs="Amiri"/>
          <w:lang w:bidi="ar-SA"/>
          <w:color w:val="111111"/>
          <w:sz w:val="28"/>
          <w:szCs w:val="28"/>
          <w:rtl/>
        </w:rPr>
        <w:t xml:space="preserve">سبزواري ، محمّد بن محمّد -شعيري</w:t>
      </w:r>
    </w:p>
    <w:p>
      <w:pPr>
        <w:pStyle w:val="BookText"/>
      </w:pPr>
      <w:r>
        <w:rPr>
          <w:rFonts w:ascii="Amiri" w:hAnsi="Amiri" w:eastAsia="Amiri" w:cs="Amiri"/>
          <w:lang w:bidi="ar-SA"/>
          <w:color w:val="111111"/>
          <w:sz w:val="28"/>
          <w:szCs w:val="28"/>
          <w:rtl/>
        </w:rPr>
        <w:t xml:space="preserve">سبزواري، محمّد بن محمّد</w:t>
      </w:r>
    </w:p>
    <w:p>
      <w:pPr>
        <w:pStyle w:val="BookText"/>
      </w:pPr>
      <w:r>
        <w:rPr>
          <w:rFonts w:ascii="Amiri" w:hAnsi="Amiri" w:eastAsia="Amiri" w:cs="Amiri"/>
          <w:lang w:bidi="ar-SA"/>
          <w:color w:val="111111"/>
          <w:sz w:val="28"/>
          <w:szCs w:val="28"/>
          <w:rtl/>
        </w:rPr>
        <w:t xml:space="preserve">سبزواري ، محمّد بن هبة الله - سبزواري ،</w:t>
      </w:r>
    </w:p>
    <w:p>
      <w:pPr>
        <w:pStyle w:val="BookText"/>
      </w:pPr>
      <w:r>
        <w:rPr>
          <w:rFonts w:ascii="IRNazanin" w:hAnsi="IRNazanin" w:eastAsia="IRNazanin" w:cs="IRNazanin"/>
          <w:lang w:bidi="fa-IR"/>
          <w:color w:val="111111"/>
          <w:sz w:val="28"/>
          <w:szCs w:val="28"/>
          <w:rtl/>
        </w:rPr>
        <w:t xml:space="preserve">محمّد بن علاءالدین</w:t>
      </w:r>
    </w:p>
    <w:p>
      <w:pPr>
        <w:pStyle w:val="Heading2"/>
      </w:pPr>
      <w:bookmarkStart w:id="4740" w:name="_Toc3842"/>
      <w:r>
        <w:t>سبزواري، محمّد حسين بن كمال الدين</w:t>
      </w:r>
      <w:bookmarkEnd w:id="4740"/>
    </w:p>
    <w:p>
      <w:pPr>
        <w:pStyle w:val="BookText"/>
      </w:pPr>
      <w:r>
        <w:rPr>
          <w:rFonts w:ascii="Amiri" w:hAnsi="Amiri" w:eastAsia="Amiri" w:cs="Amiri"/>
          <w:lang w:bidi="ar-SA"/>
          <w:color w:val="111111"/>
          <w:sz w:val="28"/>
          <w:szCs w:val="28"/>
          <w:rtl/>
        </w:rPr>
        <w:t xml:space="preserve">زبدة الاخبار، ج8، ص 550.</w:t>
      </w:r>
    </w:p>
    <w:p>
      <w:pPr>
        <w:pStyle w:val="BookText"/>
      </w:pPr>
      <w:r>
        <w:rPr>
          <w:rFonts w:ascii="Amiri" w:hAnsi="Amiri" w:eastAsia="Amiri" w:cs="Amiri"/>
          <w:lang w:bidi="ar-SA"/>
          <w:color w:val="111111"/>
          <w:sz w:val="28"/>
          <w:szCs w:val="28"/>
          <w:rtl/>
        </w:rPr>
        <w:t xml:space="preserve">سبزواري ، محمّد رضا بن محمّد مهدي -شريف سبزواري ، محمّد رضا بن</w:t>
      </w:r>
    </w:p>
    <w:p>
      <w:pPr>
        <w:pStyle w:val="BookText"/>
      </w:pPr>
      <w:r>
        <w:rPr>
          <w:rFonts w:ascii="Amiri" w:hAnsi="Amiri" w:eastAsia="Amiri" w:cs="Amiri"/>
          <w:lang w:bidi="ar-SA"/>
          <w:color w:val="111111"/>
          <w:sz w:val="28"/>
          <w:szCs w:val="28"/>
          <w:rtl/>
        </w:rPr>
        <w:t xml:space="preserve">محمّد مهدي</w:t>
      </w:r>
    </w:p>
    <w:p>
      <w:pPr>
        <w:pStyle w:val="BookText"/>
      </w:pPr>
      <w:r>
        <w:rPr>
          <w:rFonts w:ascii="Amiri" w:hAnsi="Amiri" w:eastAsia="Amiri" w:cs="Amiri"/>
          <w:lang w:bidi="ar-SA"/>
          <w:color w:val="111111"/>
          <w:sz w:val="28"/>
          <w:szCs w:val="28"/>
          <w:rtl/>
        </w:rPr>
        <w:t xml:space="preserve">سبزواري ، محمّد علاء الدين بن هبة</w:t>
      </w:r>
    </w:p>
    <w:p>
      <w:pPr>
        <w:pStyle w:val="BookText"/>
      </w:pPr>
      <w:r>
        <w:rPr>
          <w:rFonts w:ascii="Amiri" w:hAnsi="Amiri" w:eastAsia="Amiri" w:cs="Amiri"/>
          <w:lang w:bidi="ar-SA"/>
          <w:color w:val="111111"/>
          <w:sz w:val="28"/>
          <w:szCs w:val="28"/>
          <w:rtl/>
        </w:rPr>
        <w:t xml:space="preserve">الله -سبزواري، محمّد بن علاء الدين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0" w:name="pg7742_70495"/>
    <w:bookmarkEnd w:id="550"/>
    <w:p>
      <w:pPr>
        <w:pStyle w:val="Heading2"/>
      </w:pPr>
      <w:bookmarkStart w:id="4741" w:name="_Toc3843"/>
      <w:r>
        <w:t>سبزواري، هادي بن مهدي، 1212 -</w:t>
      </w:r>
      <w:bookmarkEnd w:id="4741"/>
    </w:p>
    <w:p>
      <w:pPr>
        <w:pStyle w:val="BookText"/>
      </w:pPr>
      <w:r>
        <w:rPr>
          <w:rFonts w:ascii="IRNazanin" w:hAnsi="IRNazanin" w:eastAsia="IRNazanin" w:cs="IRNazanin"/>
          <w:lang w:bidi="fa-IR"/>
          <w:color w:val="111111"/>
          <w:sz w:val="28"/>
          <w:szCs w:val="28"/>
          <w:rtl/>
        </w:rPr>
        <w:t xml:space="preserve">1289 ه-</w:t>
      </w:r>
    </w:p>
    <w:p>
      <w:pPr>
        <w:pStyle w:val="BookText"/>
      </w:pPr>
      <w:r>
        <w:rPr>
          <w:rFonts w:ascii="Amiri" w:hAnsi="Amiri" w:eastAsia="Amiri" w:cs="Amiri"/>
          <w:lang w:bidi="ar-SA"/>
          <w:color w:val="111111"/>
          <w:sz w:val="28"/>
          <w:szCs w:val="28"/>
          <w:rtl/>
        </w:rPr>
        <w:t xml:space="preserve">1 .اجوبة المسائل الخلخالية = اسئلة</w:t>
      </w:r>
    </w:p>
    <w:p>
      <w:pPr>
        <w:pStyle w:val="BookText"/>
      </w:pPr>
      <w:r>
        <w:rPr>
          <w:rFonts w:ascii="Amiri" w:hAnsi="Amiri" w:eastAsia="Amiri" w:cs="Amiri"/>
          <w:lang w:bidi="ar-SA"/>
          <w:color w:val="111111"/>
          <w:sz w:val="28"/>
          <w:szCs w:val="28"/>
          <w:rtl/>
        </w:rPr>
        <w:t xml:space="preserve">سميعية و اجوبة اسرارية، ج 1،</w:t>
      </w:r>
    </w:p>
    <w:p>
      <w:pPr>
        <w:pStyle w:val="BookText"/>
      </w:pPr>
      <w:r>
        <w:rPr>
          <w:rFonts w:ascii="IRNazanin" w:hAnsi="IRNazanin" w:eastAsia="IRNazanin" w:cs="IRNazanin"/>
          <w:lang w:bidi="fa-IR"/>
          <w:color w:val="111111"/>
          <w:sz w:val="28"/>
          <w:szCs w:val="28"/>
          <w:rtl/>
        </w:rPr>
        <w:t xml:space="preserve">ص 347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 على السفر الأول من الأسفار</w:t>
      </w:r>
    </w:p>
    <w:p>
      <w:pPr>
        <w:pStyle w:val="BookText"/>
      </w:pPr>
      <w:r>
        <w:rPr>
          <w:rFonts w:ascii="Amiri" w:hAnsi="Amiri" w:eastAsia="Amiri" w:cs="Amiri"/>
          <w:lang w:bidi="ar-SA"/>
          <w:color w:val="111111"/>
          <w:sz w:val="28"/>
          <w:szCs w:val="28"/>
          <w:rtl/>
        </w:rPr>
        <w:t xml:space="preserve">الأربعة، ج 4، ص 547.</w:t>
      </w:r>
    </w:p>
    <w:p>
      <w:pPr>
        <w:pStyle w:val="BookText"/>
      </w:pPr>
      <w:r>
        <w:rPr>
          <w:rFonts w:ascii="Amiri" w:hAnsi="Amiri" w:eastAsia="Amiri" w:cs="Amiri"/>
          <w:lang w:bidi="ar-SA"/>
          <w:color w:val="111111"/>
          <w:sz w:val="28"/>
          <w:szCs w:val="28"/>
          <w:rtl/>
        </w:rPr>
        <w:t xml:space="preserve">3 .حاشية الاسفار الاربعة = حاشية الحكمة المتعالية، ج 5، ص 663 .</w:t>
      </w:r>
    </w:p>
    <w:p>
      <w:pPr>
        <w:pStyle w:val="BookText"/>
      </w:pPr>
      <w:r>
        <w:rPr>
          <w:rFonts w:ascii="Amiri" w:hAnsi="Amiri" w:eastAsia="Amiri" w:cs="Amiri"/>
          <w:lang w:bidi="ar-SA"/>
          <w:color w:val="111111"/>
          <w:sz w:val="28"/>
          <w:szCs w:val="28"/>
          <w:rtl/>
        </w:rPr>
        <w:t xml:space="preserve">4 .حاشية الشواهد الربوبية، ج6،</w:t>
      </w:r>
    </w:p>
    <w:p>
      <w:pPr>
        <w:pStyle w:val="BookText"/>
      </w:pPr>
      <w:r>
        <w:rPr>
          <w:rFonts w:ascii="IRNazanin" w:hAnsi="IRNazanin" w:eastAsia="IRNazanin" w:cs="IRNazanin"/>
          <w:lang w:bidi="fa-IR"/>
          <w:color w:val="111111"/>
          <w:sz w:val="28"/>
          <w:szCs w:val="28"/>
          <w:rtl/>
        </w:rPr>
        <w:t xml:space="preserve">ص 222.</w:t>
      </w:r>
    </w:p>
    <w:p>
      <w:pPr>
        <w:pStyle w:val="BookText"/>
      </w:pPr>
      <w:r>
        <w:rPr>
          <w:rFonts w:ascii="IRNazanin" w:hAnsi="IRNazanin" w:eastAsia="IRNazanin" w:cs="IRNazanin"/>
          <w:lang w:bidi="fa-IR"/>
          <w:color w:val="111111"/>
          <w:sz w:val="28"/>
          <w:szCs w:val="28"/>
          <w:rtl/>
        </w:rPr>
        <w:t xml:space="preserve">5 .دیوان اسرار سبزواري، ج7، ص574</w:t>
      </w:r>
    </w:p>
    <w:p>
      <w:pPr>
        <w:pStyle w:val="BookText"/>
      </w:pPr>
      <w:r>
        <w:rPr>
          <w:rFonts w:ascii="Amiri" w:hAnsi="Amiri" w:eastAsia="Amiri" w:cs="Amiri"/>
          <w:lang w:bidi="ar-SA"/>
          <w:color w:val="111111"/>
          <w:sz w:val="28"/>
          <w:szCs w:val="28"/>
          <w:rtl/>
        </w:rPr>
        <w:t xml:space="preserve">6 .الرحيق، ج8، ص80.</w:t>
      </w:r>
    </w:p>
    <w:p>
      <w:pPr>
        <w:pStyle w:val="BookText"/>
      </w:pPr>
      <w:r>
        <w:rPr>
          <w:rFonts w:ascii="Amiri" w:hAnsi="Amiri" w:eastAsia="Amiri" w:cs="Amiri"/>
          <w:lang w:bidi="ar-SA"/>
          <w:color w:val="111111"/>
          <w:sz w:val="28"/>
          <w:szCs w:val="28"/>
          <w:rtl/>
        </w:rPr>
        <w:t xml:space="preserve">7 شرح دعاء الجوشن الكبير = شرح</w:t>
      </w:r>
    </w:p>
    <w:p>
      <w:pPr>
        <w:pStyle w:val="BookText"/>
      </w:pPr>
      <w:r>
        <w:rPr>
          <w:rFonts w:ascii="IRNazanin" w:hAnsi="IRNazanin" w:eastAsia="IRNazanin" w:cs="IRNazanin"/>
          <w:lang w:bidi="fa-IR"/>
          <w:color w:val="111111"/>
          <w:sz w:val="28"/>
          <w:szCs w:val="28"/>
          <w:rtl/>
        </w:rPr>
        <w:t xml:space="preserve">الاسماء الحسنى، ج 9، ص 460.</w:t>
      </w:r>
    </w:p>
    <w:p>
      <w:pPr>
        <w:pStyle w:val="BookText"/>
      </w:pPr>
      <w:r>
        <w:rPr>
          <w:rFonts w:ascii="Amiri" w:hAnsi="Amiri" w:eastAsia="Amiri" w:cs="Amiri"/>
          <w:lang w:bidi="ar-SA"/>
          <w:color w:val="111111"/>
          <w:sz w:val="28"/>
          <w:szCs w:val="28"/>
          <w:rtl/>
        </w:rPr>
        <w:t xml:space="preserve">8 .شرح دعاء الصباح = شرح مفتاح الفلاح و مصباح النجاة، ج 9،</w:t>
      </w:r>
    </w:p>
    <w:p>
      <w:pPr>
        <w:pStyle w:val="BookText"/>
      </w:pPr>
      <w:r>
        <w:rPr>
          <w:rFonts w:ascii="IRNazanin" w:hAnsi="IRNazanin" w:eastAsia="IRNazanin" w:cs="IRNazanin"/>
          <w:lang w:bidi="fa-IR"/>
          <w:color w:val="111111"/>
          <w:sz w:val="28"/>
          <w:szCs w:val="28"/>
          <w:rtl/>
        </w:rPr>
        <w:t xml:space="preserve">ص 465.</w:t>
      </w:r>
    </w:p>
    <w:p>
      <w:pPr>
        <w:pStyle w:val="BookText"/>
      </w:pPr>
      <w:r>
        <w:rPr>
          <w:rFonts w:ascii="IRNazanin" w:hAnsi="IRNazanin" w:eastAsia="IRNazanin" w:cs="IRNazanin"/>
          <w:lang w:bidi="fa-IR"/>
          <w:color w:val="111111"/>
          <w:sz w:val="28"/>
          <w:szCs w:val="28"/>
          <w:rtl/>
        </w:rPr>
        <w:t xml:space="preserve">9 .شرح غرر الفرائد = شرح منظومه</w:t>
      </w:r>
    </w:p>
    <w:p>
      <w:pPr>
        <w:pStyle w:val="BookText"/>
      </w:pPr>
      <w:r>
        <w:rPr>
          <w:rFonts w:ascii="IRNazanin" w:hAnsi="IRNazanin" w:eastAsia="IRNazanin" w:cs="IRNazanin"/>
          <w:lang w:bidi="fa-IR"/>
          <w:color w:val="111111"/>
          <w:sz w:val="28"/>
          <w:szCs w:val="28"/>
          <w:rtl/>
        </w:rPr>
        <w:t xml:space="preserve">ج 9، ص 769 .</w:t>
      </w:r>
    </w:p>
    <w:p>
      <w:pPr>
        <w:pStyle w:val="BookText"/>
      </w:pPr>
      <w:r>
        <w:rPr>
          <w:rFonts w:ascii="Amiri" w:hAnsi="Amiri" w:eastAsia="Amiri" w:cs="Amiri"/>
          <w:lang w:bidi="ar-SA"/>
          <w:color w:val="111111"/>
          <w:sz w:val="28"/>
          <w:szCs w:val="28"/>
          <w:rtl/>
        </w:rPr>
        <w:t xml:space="preserve">10 .غرر الفرائد = منظومه سبزواري</w:t>
      </w:r>
    </w:p>
    <w:p>
      <w:pPr>
        <w:pStyle w:val="BookText"/>
      </w:pPr>
      <w:r>
        <w:rPr>
          <w:rFonts w:ascii="IRNazanin" w:hAnsi="IRNazanin" w:eastAsia="IRNazanin" w:cs="IRNazanin"/>
          <w:lang w:bidi="fa-IR"/>
          <w:color w:val="111111"/>
          <w:sz w:val="28"/>
          <w:szCs w:val="28"/>
          <w:rtl/>
        </w:rPr>
        <w:t xml:space="preserve">ج 11، ص 482.</w:t>
      </w:r>
    </w:p>
    <w:p>
      <w:pPr>
        <w:pStyle w:val="BookText"/>
      </w:pPr>
      <w:r>
        <w:rPr>
          <w:rFonts w:ascii="Amiri" w:hAnsi="Amiri" w:eastAsia="Amiri" w:cs="Amiri"/>
          <w:lang w:bidi="ar-SA"/>
          <w:color w:val="111111"/>
          <w:sz w:val="28"/>
          <w:szCs w:val="28"/>
          <w:rtl/>
        </w:rPr>
        <w:t xml:space="preserve">11 .هادي المضلين، ج 16، ص 587.</w:t>
      </w:r>
    </w:p>
    <w:p>
      <w:pPr>
        <w:pStyle w:val="BookText"/>
      </w:pPr>
      <w:r>
        <w:rPr>
          <w:rFonts w:ascii="Amiri" w:hAnsi="Amiri" w:eastAsia="Amiri" w:cs="Amiri"/>
          <w:lang w:bidi="ar-SA"/>
          <w:color w:val="111111"/>
          <w:sz w:val="28"/>
          <w:szCs w:val="28"/>
          <w:rtl/>
        </w:rPr>
        <w:t xml:space="preserve">12 .هداية الطالبين في معرفة الانبياء المعصومين و الائمة الهادين، ج 16،</w:t>
      </w:r>
    </w:p>
    <w:p>
      <w:pPr>
        <w:pStyle w:val="BookText"/>
      </w:pPr>
      <w:r>
        <w:rPr>
          <w:rFonts w:ascii="IRNazanin" w:hAnsi="IRNazanin" w:eastAsia="IRNazanin" w:cs="IRNazanin"/>
          <w:lang w:bidi="fa-IR"/>
          <w:color w:val="111111"/>
          <w:sz w:val="28"/>
          <w:szCs w:val="28"/>
          <w:rtl/>
        </w:rPr>
        <w:t xml:space="preserve">ص 613.</w:t>
      </w:r>
    </w:p>
    <w:p>
      <w:pPr>
        <w:pStyle w:val="Heading2"/>
      </w:pPr>
      <w:bookmarkStart w:id="4742" w:name="_Toc3844"/>
      <w:r>
        <w:t>سبزواري هاشم بن محمّد علي قرن 14ه-</w:t>
      </w:r>
      <w:bookmarkEnd w:id="4742"/>
    </w:p>
    <w:p>
      <w:pPr>
        <w:pStyle w:val="BookText"/>
      </w:pPr>
      <w:r>
        <w:rPr>
          <w:rFonts w:ascii="IRNazanin" w:hAnsi="IRNazanin" w:eastAsia="IRNazanin" w:cs="IRNazanin"/>
          <w:lang w:bidi="fa-IR"/>
          <w:color w:val="111111"/>
          <w:sz w:val="28"/>
          <w:szCs w:val="28"/>
          <w:rtl/>
        </w:rPr>
        <w:t xml:space="preserve">انتخاب الأمجاد من تاریخ بغداد، ج 2،</w:t>
      </w:r>
    </w:p>
    <w:p>
      <w:pPr>
        <w:pStyle w:val="BookText"/>
      </w:pPr>
      <w:r>
        <w:rPr>
          <w:rFonts w:ascii="IRNazanin" w:hAnsi="IRNazanin" w:eastAsia="IRNazanin" w:cs="IRNazanin"/>
          <w:lang w:bidi="fa-IR"/>
          <w:color w:val="111111"/>
          <w:sz w:val="28"/>
          <w:szCs w:val="28"/>
          <w:rtl/>
        </w:rPr>
        <w:t xml:space="preserve">ص 783.</w:t>
      </w:r>
    </w:p>
    <w:p>
      <w:pPr>
        <w:pStyle w:val="BookText"/>
      </w:pPr>
      <w:r>
        <w:rPr>
          <w:rFonts w:ascii="Amiri" w:hAnsi="Amiri" w:eastAsia="Amiri" w:cs="Amiri"/>
          <w:lang w:bidi="ar-SA"/>
          <w:color w:val="111111"/>
          <w:sz w:val="28"/>
          <w:szCs w:val="28"/>
          <w:rtl/>
        </w:rPr>
        <w:t xml:space="preserve">سبزي فروش ، ملا حسين -رفيق اصفهاني ،</w:t>
      </w:r>
    </w:p>
    <w:p>
      <w:pPr>
        <w:pStyle w:val="BookText"/>
      </w:pPr>
      <w:r>
        <w:rPr>
          <w:rFonts w:ascii="Amiri" w:hAnsi="Amiri" w:eastAsia="Amiri" w:cs="Amiri"/>
          <w:lang w:bidi="ar-SA"/>
          <w:color w:val="111111"/>
          <w:sz w:val="28"/>
          <w:szCs w:val="28"/>
          <w:rtl/>
        </w:rPr>
        <w:t xml:space="preserve">محمّد حسين</w:t>
      </w:r>
    </w:p>
    <w:p>
      <w:pPr>
        <w:pStyle w:val="BookText"/>
      </w:pPr>
      <w:r>
        <w:rPr>
          <w:rFonts w:ascii="IRNazanin" w:hAnsi="IRNazanin" w:eastAsia="IRNazanin" w:cs="IRNazanin"/>
          <w:lang w:bidi="fa-IR"/>
          <w:color w:val="111111"/>
          <w:sz w:val="28"/>
          <w:szCs w:val="28"/>
          <w:rtl/>
        </w:rPr>
        <w:t xml:space="preserve">سبط آل حسن ، محمّد بن</w:t>
      </w:r>
    </w:p>
    <w:p>
      <w:pPr>
        <w:pStyle w:val="BookText"/>
      </w:pPr>
      <w:r>
        <w:rPr>
          <w:rFonts w:ascii="Amiri" w:hAnsi="Amiri" w:eastAsia="Amiri" w:cs="Amiri"/>
          <w:lang w:bidi="ar-SA"/>
          <w:color w:val="111111"/>
          <w:sz w:val="28"/>
          <w:szCs w:val="28"/>
          <w:rtl/>
        </w:rPr>
        <w:t xml:space="preserve">محمّد- صديقي بكري ، محمّد بن محمّد</w:t>
      </w:r>
    </w:p>
    <w:p>
      <w:pPr>
        <w:pStyle w:val="Heading2"/>
      </w:pPr>
      <w:bookmarkStart w:id="4743" w:name="_Toc3845"/>
      <w:r>
        <w:t>سبط ابن الفارض ، علي</w:t>
      </w:r>
      <w:bookmarkEnd w:id="4743"/>
    </w:p>
    <w:p>
      <w:pPr>
        <w:pStyle w:val="BookText"/>
      </w:pPr>
      <w:r>
        <w:rPr>
          <w:rFonts w:ascii="Amiri" w:hAnsi="Amiri" w:eastAsia="Amiri" w:cs="Amiri"/>
          <w:lang w:bidi="ar-SA"/>
          <w:color w:val="111111"/>
          <w:sz w:val="28"/>
          <w:szCs w:val="28"/>
          <w:rtl/>
        </w:rPr>
        <w:t xml:space="preserve">شرح ديوان ابن الفارض، ج 9، ص 480 .</w:t>
      </w:r>
    </w:p>
    <w:p>
      <w:pPr>
        <w:pStyle w:val="BookText"/>
      </w:pPr>
      <w:r>
        <w:rPr>
          <w:rFonts w:ascii="Amiri" w:hAnsi="Amiri" w:eastAsia="Amiri" w:cs="Amiri"/>
          <w:lang w:bidi="ar-SA"/>
          <w:color w:val="111111"/>
          <w:sz w:val="28"/>
          <w:szCs w:val="28"/>
          <w:rtl/>
        </w:rPr>
        <w:t xml:space="preserve">سبط ابن تعاويذي، محمّد بن عبيد الله -ابن تعاويذي ، محمّد بن عبيد الله</w:t>
      </w:r>
    </w:p>
    <w:p>
      <w:pPr>
        <w:pStyle w:val="Heading2"/>
      </w:pPr>
      <w:bookmarkStart w:id="4744" w:name="_Toc3846"/>
      <w:r>
        <w:t>سبط ابن عجمي ، ابراهيم بن محمّد</w:t>
      </w:r>
      <w:bookmarkEnd w:id="4744"/>
    </w:p>
    <w:p>
      <w:pPr>
        <w:pStyle w:val="BookText"/>
      </w:pPr>
      <w:r>
        <w:rPr>
          <w:rFonts w:ascii="IRNazanin" w:hAnsi="IRNazanin" w:eastAsia="IRNazanin" w:cs="IRNazanin"/>
          <w:lang w:bidi="fa-IR"/>
          <w:color w:val="111111"/>
          <w:sz w:val="28"/>
          <w:szCs w:val="28"/>
          <w:rtl/>
        </w:rPr>
        <w:t xml:space="preserve">753 - 841 ه-</w:t>
      </w:r>
    </w:p>
    <w:p>
      <w:pPr>
        <w:pStyle w:val="BookText"/>
      </w:pPr>
      <w:r>
        <w:rPr>
          <w:rFonts w:ascii="Amiri" w:hAnsi="Amiri" w:eastAsia="Amiri" w:cs="Amiri"/>
          <w:lang w:bidi="ar-SA"/>
          <w:color w:val="111111"/>
          <w:sz w:val="28"/>
          <w:szCs w:val="28"/>
          <w:rtl/>
        </w:rPr>
        <w:t xml:space="preserve">1 .الاغتباط بمعرفة من رمي</w:t>
      </w:r>
    </w:p>
    <w:p>
      <w:pPr>
        <w:pStyle w:val="BookText"/>
      </w:pPr>
      <w:r>
        <w:rPr>
          <w:rFonts w:ascii="IRNazanin" w:hAnsi="IRNazanin" w:eastAsia="IRNazanin" w:cs="IRNazanin"/>
          <w:lang w:bidi="fa-IR"/>
          <w:color w:val="111111"/>
          <w:sz w:val="28"/>
          <w:szCs w:val="28"/>
          <w:rtl/>
        </w:rPr>
        <w:t xml:space="preserve">بالاختلاط، ج 2، ص 580.</w:t>
      </w:r>
    </w:p>
    <w:p>
      <w:pPr>
        <w:pStyle w:val="BookText"/>
      </w:pPr>
      <w:r>
        <w:rPr>
          <w:rFonts w:ascii="Amiri" w:hAnsi="Amiri" w:eastAsia="Amiri" w:cs="Amiri"/>
          <w:lang w:bidi="ar-SA"/>
          <w:color w:val="111111"/>
          <w:sz w:val="28"/>
          <w:szCs w:val="28"/>
          <w:rtl/>
        </w:rPr>
        <w:t xml:space="preserve">2 .التبيين لاسماء المدلسين، ج3،</w:t>
      </w:r>
    </w:p>
    <w:p>
      <w:pPr>
        <w:pStyle w:val="BookText"/>
      </w:pPr>
      <w:r>
        <w:rPr>
          <w:rFonts w:ascii="IRNazanin" w:hAnsi="IRNazanin" w:eastAsia="IRNazanin" w:cs="IRNazanin"/>
          <w:lang w:bidi="fa-IR"/>
          <w:color w:val="111111"/>
          <w:sz w:val="28"/>
          <w:szCs w:val="28"/>
          <w:rtl/>
        </w:rPr>
        <w:t xml:space="preserve">ص 670.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تذكرة الطالب المعلم بمن يقال انه</w:t>
      </w:r>
    </w:p>
    <w:p>
      <w:pPr>
        <w:pStyle w:val="BookText"/>
      </w:pPr>
      <w:r>
        <w:rPr>
          <w:rFonts w:ascii="IRNazanin" w:hAnsi="IRNazanin" w:eastAsia="IRNazanin" w:cs="IRNazanin"/>
          <w:lang w:bidi="fa-IR"/>
          <w:color w:val="111111"/>
          <w:sz w:val="28"/>
          <w:szCs w:val="28"/>
          <w:rtl/>
        </w:rPr>
        <w:t xml:space="preserve">مخضرم، ج 4، ص 194.</w:t>
      </w:r>
    </w:p>
    <w:p>
      <w:pPr>
        <w:pStyle w:val="Heading2"/>
      </w:pPr>
      <w:bookmarkStart w:id="4745" w:name="_Toc3847"/>
      <w:r>
        <w:t>سبط ابن عجمي ، ابراهيم بن محمّد -</w:t>
      </w:r>
      <w:bookmarkEnd w:id="4745"/>
    </w:p>
    <w:p>
      <w:pPr>
        <w:pStyle w:val="BookText"/>
      </w:pPr>
      <w:r>
        <w:rPr>
          <w:rFonts w:ascii="IRNazanin" w:hAnsi="IRNazanin" w:eastAsia="IRNazanin" w:cs="IRNazanin"/>
          <w:lang w:bidi="fa-IR"/>
          <w:color w:val="111111"/>
          <w:sz w:val="28"/>
          <w:szCs w:val="28"/>
          <w:rtl/>
        </w:rPr>
        <w:t xml:space="preserve">841 ه-</w:t>
      </w:r>
    </w:p>
    <w:p>
      <w:pPr>
        <w:pStyle w:val="BookText"/>
      </w:pPr>
      <w:r>
        <w:rPr>
          <w:rFonts w:ascii="Amiri" w:hAnsi="Amiri" w:eastAsia="Amiri" w:cs="Amiri"/>
          <w:lang w:bidi="ar-SA"/>
          <w:color w:val="111111"/>
          <w:sz w:val="28"/>
          <w:szCs w:val="28"/>
          <w:rtl/>
        </w:rPr>
        <w:t xml:space="preserve">ثبت سبط ابن العجمي، ج 5، ص 211</w:t>
      </w:r>
    </w:p>
    <w:p>
      <w:pPr>
        <w:pStyle w:val="Heading2"/>
      </w:pPr>
      <w:bookmarkStart w:id="4746" w:name="_Toc3848"/>
      <w:r>
        <w:t>سبط ابن عجمي ، ابراهيم بن محمد</w:t>
      </w:r>
      <w:bookmarkEnd w:id="4746"/>
    </w:p>
    <w:p>
      <w:pPr>
        <w:pStyle w:val="BookText"/>
      </w:pPr>
      <w:r>
        <w:rPr>
          <w:rFonts w:ascii="IRNazanin" w:hAnsi="IRNazanin" w:eastAsia="IRNazanin" w:cs="IRNazanin"/>
          <w:lang w:bidi="fa-IR"/>
          <w:color w:val="111111"/>
          <w:sz w:val="28"/>
          <w:szCs w:val="28"/>
          <w:rtl/>
        </w:rPr>
        <w:t xml:space="preserve">753 - 841 ه-</w:t>
      </w:r>
    </w:p>
    <w:p>
      <w:pPr>
        <w:pStyle w:val="BookText"/>
      </w:pPr>
      <w:r>
        <w:rPr>
          <w:rFonts w:ascii="Amiri" w:hAnsi="Amiri" w:eastAsia="Amiri" w:cs="Amiri"/>
          <w:lang w:bidi="ar-SA"/>
          <w:color w:val="111111"/>
          <w:sz w:val="28"/>
          <w:szCs w:val="28"/>
          <w:rtl/>
        </w:rPr>
        <w:t xml:space="preserve">1 .المقتفي في حل الفاظ الشفاء للقاضي عياض، ج 15، ص 333 .</w:t>
      </w:r>
    </w:p>
    <w:p>
      <w:pPr>
        <w:pStyle w:val="BookText"/>
      </w:pPr>
      <w:r>
        <w:rPr>
          <w:rFonts w:ascii="Amiri" w:hAnsi="Amiri" w:eastAsia="Amiri" w:cs="Amiri"/>
          <w:lang w:bidi="ar-SA"/>
          <w:color w:val="111111"/>
          <w:sz w:val="28"/>
          <w:szCs w:val="28"/>
          <w:rtl/>
        </w:rPr>
        <w:t xml:space="preserve">2 .نور النبراس في شرح سيرة ابن سيد</w:t>
      </w:r>
    </w:p>
    <w:p>
      <w:pPr>
        <w:pStyle w:val="BookText"/>
      </w:pPr>
      <w:r>
        <w:rPr>
          <w:rFonts w:ascii="IRNazanin" w:hAnsi="IRNazanin" w:eastAsia="IRNazanin" w:cs="IRNazanin"/>
          <w:lang w:bidi="fa-IR"/>
          <w:color w:val="111111"/>
          <w:sz w:val="28"/>
          <w:szCs w:val="28"/>
          <w:rtl/>
        </w:rPr>
        <w:t xml:space="preserve">الناس، ج 16، ص 569.</w:t>
      </w:r>
    </w:p>
    <w:p>
      <w:pPr>
        <w:pStyle w:val="Heading2"/>
      </w:pPr>
      <w:bookmarkStart w:id="4747" w:name="_Toc3849"/>
      <w:r>
        <w:t>سبط الخياط، عبد الله بن علي - 551 ه-</w:t>
      </w:r>
      <w:bookmarkEnd w:id="4747"/>
    </w:p>
    <w:p>
      <w:pPr>
        <w:pStyle w:val="BookText"/>
      </w:pPr>
      <w:r>
        <w:rPr>
          <w:rFonts w:ascii="Amiri" w:hAnsi="Amiri" w:eastAsia="Amiri" w:cs="Amiri"/>
          <w:lang w:bidi="ar-SA"/>
          <w:color w:val="111111"/>
          <w:sz w:val="28"/>
          <w:szCs w:val="28"/>
          <w:rtl/>
        </w:rPr>
        <w:t xml:space="preserve">الإيجاز في القراءات السبع، ج 3،</w:t>
      </w:r>
    </w:p>
    <w:p>
      <w:pPr>
        <w:pStyle w:val="BookText"/>
      </w:pPr>
      <w:r>
        <w:rPr>
          <w:rFonts w:ascii="IRNazanin" w:hAnsi="IRNazanin" w:eastAsia="IRNazanin" w:cs="IRNazanin"/>
          <w:lang w:bidi="fa-IR"/>
          <w:color w:val="111111"/>
          <w:sz w:val="28"/>
          <w:szCs w:val="28"/>
          <w:rtl/>
        </w:rPr>
        <w:t xml:space="preserve">ص 96 .</w:t>
      </w:r>
    </w:p>
    <w:p>
      <w:pPr>
        <w:pStyle w:val="BookText"/>
      </w:pPr>
      <w:r>
        <w:rPr>
          <w:rFonts w:ascii="Amiri" w:hAnsi="Amiri" w:eastAsia="Amiri" w:cs="Amiri"/>
          <w:lang w:bidi="ar-SA"/>
          <w:color w:val="111111"/>
          <w:sz w:val="28"/>
          <w:szCs w:val="28"/>
          <w:rtl/>
        </w:rPr>
        <w:t xml:space="preserve">سبط الرهاوي- فاضل رهاوي ، يحيى</w:t>
      </w:r>
    </w:p>
    <w:p>
      <w:pPr>
        <w:pStyle w:val="BookText"/>
      </w:pPr>
      <w:r>
        <w:rPr>
          <w:rFonts w:ascii="Amiri" w:hAnsi="Amiri" w:eastAsia="Amiri" w:cs="Amiri"/>
          <w:lang w:bidi="ar-SA"/>
          <w:color w:val="111111"/>
          <w:sz w:val="28"/>
          <w:szCs w:val="28"/>
          <w:rtl/>
        </w:rPr>
        <w:t xml:space="preserve">سبط الشهيد ، علي بن محمّد- عاملي</w:t>
      </w:r>
    </w:p>
    <w:p>
      <w:pPr>
        <w:pStyle w:val="BookText"/>
      </w:pPr>
      <w:r>
        <w:rPr>
          <w:rFonts w:ascii="Amiri" w:hAnsi="Amiri" w:eastAsia="Amiri" w:cs="Amiri"/>
          <w:lang w:bidi="ar-SA"/>
          <w:color w:val="111111"/>
          <w:sz w:val="28"/>
          <w:szCs w:val="28"/>
          <w:rtl/>
        </w:rPr>
        <w:t xml:space="preserve">علي بن محمّد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1" w:name="pg7742_70497"/>
    <w:bookmarkEnd w:id="551"/>
    <w:p>
      <w:pPr>
        <w:pStyle w:val="Heading2"/>
      </w:pPr>
      <w:bookmarkStart w:id="4748" w:name="_Toc3850"/>
      <w:r>
        <w:t>سبط الشهيد ، محمّد بن حسن، 980</w:t>
      </w:r>
      <w:bookmarkEnd w:id="4748"/>
    </w:p>
    <w:p>
      <w:pPr>
        <w:pStyle w:val="BookText"/>
      </w:pPr>
      <w:r>
        <w:rPr>
          <w:rFonts w:ascii="IRNazanin" w:hAnsi="IRNazanin" w:eastAsia="IRNazanin" w:cs="IRNazanin"/>
          <w:lang w:bidi="fa-IR"/>
          <w:color w:val="111111"/>
          <w:sz w:val="28"/>
          <w:szCs w:val="28"/>
          <w:rtl/>
        </w:rPr>
        <w:t xml:space="preserve">1030ه-</w:t>
      </w:r>
    </w:p>
    <w:p>
      <w:pPr>
        <w:pStyle w:val="BookText"/>
      </w:pPr>
      <w:r>
        <w:rPr>
          <w:rFonts w:ascii="Amiri" w:hAnsi="Amiri" w:eastAsia="Amiri" w:cs="Amiri"/>
          <w:lang w:bidi="ar-SA"/>
          <w:color w:val="111111"/>
          <w:sz w:val="28"/>
          <w:szCs w:val="28"/>
          <w:rtl/>
        </w:rPr>
        <w:t xml:space="preserve">1 .استقصاء الاعتبار في شرح</w:t>
      </w:r>
    </w:p>
    <w:p>
      <w:pPr>
        <w:pStyle w:val="BookText"/>
      </w:pPr>
      <w:r>
        <w:rPr>
          <w:rFonts w:ascii="IRNazanin" w:hAnsi="IRNazanin" w:eastAsia="IRNazanin" w:cs="IRNazanin"/>
          <w:lang w:bidi="fa-IR"/>
          <w:color w:val="111111"/>
          <w:sz w:val="28"/>
          <w:szCs w:val="28"/>
          <w:rtl/>
        </w:rPr>
        <w:t xml:space="preserve">الاستبصار، ج 2، ص 151.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تزكية الراوي، ج 4، ص 320.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الاثنى عشرية، ج 9، ص 157 .</w:t>
      </w:r>
    </w:p>
    <w:p>
      <w:pPr>
        <w:pStyle w:val="BookText"/>
      </w:pPr>
      <w:r>
        <w:rPr>
          <w:rFonts w:ascii="Amiri" w:hAnsi="Amiri" w:eastAsia="Amiri" w:cs="Amiri"/>
          <w:lang w:bidi="ar-SA"/>
          <w:color w:val="111111"/>
          <w:sz w:val="28"/>
          <w:szCs w:val="28"/>
          <w:rtl/>
        </w:rPr>
        <w:t xml:space="preserve">4 .نجاسة ذبيحة الكفار (رسالة في)</w:t>
      </w:r>
    </w:p>
    <w:p>
      <w:pPr>
        <w:pStyle w:val="BookText"/>
      </w:pPr>
      <w:r>
        <w:rPr>
          <w:rFonts w:ascii="IRNazanin" w:hAnsi="IRNazanin" w:eastAsia="IRNazanin" w:cs="IRNazanin"/>
          <w:lang w:bidi="fa-IR"/>
          <w:color w:val="111111"/>
          <w:sz w:val="28"/>
          <w:szCs w:val="28"/>
          <w:rtl/>
        </w:rPr>
        <w:t xml:space="preserve">ج 16، ص 155.</w:t>
      </w:r>
    </w:p>
    <w:p>
      <w:pPr>
        <w:pStyle w:val="BookText"/>
      </w:pPr>
      <w:r>
        <w:rPr>
          <w:rFonts w:ascii="Amiri" w:hAnsi="Amiri" w:eastAsia="Amiri" w:cs="Amiri"/>
          <w:lang w:bidi="ar-SA"/>
          <w:color w:val="111111"/>
          <w:sz w:val="28"/>
          <w:szCs w:val="28"/>
          <w:rtl/>
        </w:rPr>
        <w:t xml:space="preserve">سبط المارديني ، محمّد بن محمّد- سبط</w:t>
      </w:r>
    </w:p>
    <w:p>
      <w:pPr>
        <w:pStyle w:val="BookText"/>
      </w:pPr>
      <w:r>
        <w:rPr>
          <w:rFonts w:ascii="Amiri" w:hAnsi="Amiri" w:eastAsia="Amiri" w:cs="Amiri"/>
          <w:lang w:bidi="ar-SA"/>
          <w:color w:val="111111"/>
          <w:sz w:val="28"/>
          <w:szCs w:val="28"/>
          <w:rtl/>
        </w:rPr>
        <w:t xml:space="preserve">مارديني ، محّمد بن محمّد</w:t>
      </w:r>
    </w:p>
    <w:p>
      <w:pPr>
        <w:pStyle w:val="Heading2"/>
      </w:pPr>
      <w:bookmarkStart w:id="4749" w:name="_Toc3851"/>
      <w:r>
        <w:t>سبط المرصفي، محمّد بن محمّد - 965</w:t>
      </w:r>
      <w:bookmarkEnd w:id="4749"/>
    </w:p>
    <w:p>
      <w:pPr>
        <w:pStyle w:val="BookText"/>
      </w:pPr>
      <w:r>
        <w:rPr>
          <w:rFonts w:ascii="Amiri" w:hAnsi="Amiri" w:eastAsia="Amiri" w:cs="Amiri"/>
          <w:lang w:bidi="ar-SA"/>
          <w:color w:val="111111"/>
          <w:sz w:val="28"/>
          <w:szCs w:val="28"/>
          <w:rtl/>
        </w:rPr>
        <w:t xml:space="preserve">1 .تنزيه الكون عن اعتقاد اسلام</w:t>
      </w:r>
    </w:p>
    <w:p>
      <w:pPr>
        <w:pStyle w:val="BookText"/>
      </w:pPr>
      <w:r>
        <w:rPr>
          <w:rFonts w:ascii="IRNazanin" w:hAnsi="IRNazanin" w:eastAsia="IRNazanin" w:cs="IRNazanin"/>
          <w:lang w:bidi="fa-IR"/>
          <w:color w:val="111111"/>
          <w:sz w:val="28"/>
          <w:szCs w:val="28"/>
          <w:rtl/>
        </w:rPr>
        <w:t xml:space="preserve">فرعون، ج 5 ، ص 56.</w:t>
      </w:r>
    </w:p>
    <w:p>
      <w:pPr>
        <w:pStyle w:val="BookText"/>
      </w:pPr>
      <w:r>
        <w:rPr>
          <w:rFonts w:ascii="Amiri" w:hAnsi="Amiri" w:eastAsia="Amiri" w:cs="Amiri"/>
          <w:lang w:bidi="ar-SA"/>
          <w:color w:val="111111"/>
          <w:sz w:val="28"/>
          <w:szCs w:val="28"/>
          <w:rtl/>
        </w:rPr>
        <w:t xml:space="preserve">2 .الجوهر الخاص في اجوبة مسائل</w:t>
      </w:r>
    </w:p>
    <w:p>
      <w:pPr>
        <w:pStyle w:val="BookText"/>
      </w:pPr>
      <w:r>
        <w:rPr>
          <w:rFonts w:ascii="Amiri" w:hAnsi="Amiri" w:eastAsia="Amiri" w:cs="Amiri"/>
          <w:lang w:bidi="ar-SA"/>
          <w:color w:val="111111"/>
          <w:sz w:val="28"/>
          <w:szCs w:val="28"/>
          <w:rtl/>
        </w:rPr>
        <w:t xml:space="preserve">كلمة الاخلاص، ج 5، ص 621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الفتح المكي الفائض بشرح يائية ابن</w:t>
      </w:r>
    </w:p>
    <w:p>
      <w:pPr>
        <w:pStyle w:val="BookText"/>
      </w:pPr>
      <w:r>
        <w:rPr>
          <w:rFonts w:ascii="IRNazanin" w:hAnsi="IRNazanin" w:eastAsia="IRNazanin" w:cs="IRNazanin"/>
          <w:lang w:bidi="fa-IR"/>
          <w:color w:val="111111"/>
          <w:sz w:val="28"/>
          <w:szCs w:val="28"/>
          <w:rtl/>
        </w:rPr>
        <w:t xml:space="preserve">الفارض، ج11، ص 685 .</w:t>
      </w:r>
    </w:p>
    <w:p>
      <w:pPr>
        <w:pStyle w:val="BookText"/>
      </w:pPr>
      <w:r>
        <w:rPr>
          <w:rFonts w:ascii="Amiri" w:hAnsi="Amiri" w:eastAsia="Amiri" w:cs="Amiri"/>
          <w:lang w:bidi="ar-SA"/>
          <w:color w:val="111111"/>
          <w:sz w:val="28"/>
          <w:szCs w:val="28"/>
          <w:rtl/>
        </w:rPr>
        <w:t xml:space="preserve">4 .لفظ الدر بانامل الكف مختصر كتابي الاعلام و الكشف، ج 13،</w:t>
      </w:r>
    </w:p>
    <w:p>
      <w:pPr>
        <w:pStyle w:val="BookText"/>
      </w:pPr>
      <w:r>
        <w:rPr>
          <w:rFonts w:ascii="IRNazanin" w:hAnsi="IRNazanin" w:eastAsia="IRNazanin" w:cs="IRNazanin"/>
          <w:lang w:bidi="fa-IR"/>
          <w:color w:val="111111"/>
          <w:sz w:val="28"/>
          <w:szCs w:val="28"/>
          <w:rtl/>
        </w:rPr>
        <w:t xml:space="preserve">ص 602.</w:t>
      </w:r>
    </w:p>
    <w:p>
      <w:pPr>
        <w:pStyle w:val="BookText"/>
      </w:pPr>
      <w:r>
        <w:rPr>
          <w:rFonts w:ascii="Amiri" w:hAnsi="Amiri" w:eastAsia="Amiri" w:cs="Amiri"/>
          <w:lang w:bidi="ar-SA"/>
          <w:color w:val="111111"/>
          <w:sz w:val="28"/>
          <w:szCs w:val="28"/>
          <w:rtl/>
        </w:rPr>
        <w:t xml:space="preserve">سبط شهيد ثاني - سبط الشهيد ، محمّد بن</w:t>
      </w:r>
    </w:p>
    <w:p>
      <w:pPr>
        <w:pStyle w:val="BookText"/>
      </w:pPr>
      <w:r>
        <w:rPr>
          <w:rFonts w:ascii="IRNazanin" w:hAnsi="IRNazanin" w:eastAsia="IRNazanin" w:cs="IRNazanin"/>
          <w:lang w:bidi="fa-IR"/>
          <w:color w:val="111111"/>
          <w:sz w:val="28"/>
          <w:szCs w:val="28"/>
          <w:rtl/>
        </w:rPr>
        <w:t xml:space="preserve">حسن</w:t>
      </w:r>
    </w:p>
    <w:p>
      <w:pPr>
        <w:pStyle w:val="Heading2"/>
      </w:pPr>
      <w:bookmarkStart w:id="4750" w:name="_Toc3852"/>
      <w:r>
        <w:t>سبط مارديني ، محمّد بن محمّد، 826 -</w:t>
      </w:r>
      <w:bookmarkEnd w:id="4750"/>
    </w:p>
    <w:p>
      <w:pPr>
        <w:pStyle w:val="BookText"/>
      </w:pPr>
      <w:r>
        <w:rPr>
          <w:rFonts w:ascii="IRNazanin" w:hAnsi="IRNazanin" w:eastAsia="IRNazanin" w:cs="IRNazanin"/>
          <w:lang w:bidi="fa-IR"/>
          <w:color w:val="111111"/>
          <w:sz w:val="28"/>
          <w:szCs w:val="28"/>
          <w:rtl/>
        </w:rPr>
        <w:t xml:space="preserve">907 ه-</w:t>
      </w:r>
    </w:p>
    <w:p>
      <w:pPr>
        <w:pStyle w:val="BookText"/>
      </w:pPr>
      <w:r>
        <w:rPr>
          <w:rFonts w:ascii="Amiri" w:hAnsi="Amiri" w:eastAsia="Amiri" w:cs="Amiri"/>
          <w:lang w:bidi="ar-SA"/>
          <w:color w:val="111111"/>
          <w:sz w:val="28"/>
          <w:szCs w:val="28"/>
          <w:rtl/>
        </w:rPr>
        <w:t xml:space="preserve">1 .ارشاد الطلاب إلى وسيلة الحساب</w:t>
      </w:r>
    </w:p>
    <w:p>
      <w:pPr>
        <w:pStyle w:val="BookText"/>
      </w:pPr>
      <w:r>
        <w:rPr>
          <w:rFonts w:ascii="IRNazanin" w:hAnsi="IRNazanin" w:eastAsia="IRNazanin" w:cs="IRNazanin"/>
          <w:lang w:bidi="fa-IR"/>
          <w:color w:val="111111"/>
          <w:sz w:val="28"/>
          <w:szCs w:val="28"/>
          <w:rtl/>
        </w:rPr>
        <w:t xml:space="preserve">ج 2، ص30.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ارشاد الفارض إلى كشف الغوامض</w:t>
      </w:r>
    </w:p>
    <w:p>
      <w:pPr>
        <w:pStyle w:val="BookText"/>
      </w:pPr>
      <w:r>
        <w:rPr>
          <w:rFonts w:ascii="IRNazanin" w:hAnsi="IRNazanin" w:eastAsia="IRNazanin" w:cs="IRNazanin"/>
          <w:lang w:bidi="fa-IR"/>
          <w:color w:val="111111"/>
          <w:sz w:val="28"/>
          <w:szCs w:val="28"/>
          <w:rtl/>
        </w:rPr>
        <w:t xml:space="preserve">ج 2، ص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استخراج الدوائر (رسالة في)، ج2،</w:t>
      </w:r>
    </w:p>
    <w:p>
      <w:pPr>
        <w:pStyle w:val="BookText"/>
      </w:pPr>
      <w:r>
        <w:rPr>
          <w:rFonts w:ascii="IRNazanin" w:hAnsi="IRNazanin" w:eastAsia="IRNazanin" w:cs="IRNazanin"/>
          <w:lang w:bidi="fa-IR"/>
          <w:color w:val="111111"/>
          <w:sz w:val="28"/>
          <w:szCs w:val="28"/>
          <w:rtl/>
        </w:rPr>
        <w:t xml:space="preserve">ص 122 .</w:t>
      </w:r>
    </w:p>
    <w:p>
      <w:pPr>
        <w:pStyle w:val="BookText"/>
      </w:pPr>
      <w:r>
        <w:rPr>
          <w:rFonts w:ascii="Amiri" w:hAnsi="Amiri" w:eastAsia="Amiri" w:cs="Amiri"/>
          <w:lang w:bidi="ar-SA"/>
          <w:color w:val="111111"/>
          <w:sz w:val="28"/>
          <w:szCs w:val="28"/>
          <w:rtl/>
        </w:rPr>
        <w:t xml:space="preserve">4 .ايضاح الاشارات في العمل بربع</w:t>
      </w:r>
    </w:p>
    <w:p>
      <w:pPr>
        <w:pStyle w:val="BookText"/>
      </w:pPr>
      <w:r>
        <w:rPr>
          <w:rFonts w:ascii="IRNazanin" w:hAnsi="IRNazanin" w:eastAsia="IRNazanin" w:cs="IRNazanin"/>
          <w:lang w:bidi="fa-IR"/>
          <w:color w:val="111111"/>
          <w:sz w:val="28"/>
          <w:szCs w:val="28"/>
          <w:rtl/>
        </w:rPr>
        <w:t xml:space="preserve">المقنطرات، ج3، ص108.</w:t>
      </w:r>
    </w:p>
    <w:p>
      <w:pPr>
        <w:pStyle w:val="BookText"/>
      </w:pPr>
      <w:r>
        <w:rPr>
          <w:rFonts w:ascii="Amiri" w:hAnsi="Amiri" w:eastAsia="Amiri" w:cs="Amiri"/>
          <w:lang w:bidi="ar-SA"/>
          <w:color w:val="111111"/>
          <w:sz w:val="28"/>
          <w:szCs w:val="28"/>
          <w:rtl/>
        </w:rPr>
        <w:t xml:space="preserve">5 .تحفة الاحباب في علم الحساب</w:t>
      </w:r>
    </w:p>
    <w:p>
      <w:pPr>
        <w:pStyle w:val="BookText"/>
      </w:pPr>
      <w:r>
        <w:rPr>
          <w:rFonts w:ascii="IRNazanin" w:hAnsi="IRNazanin" w:eastAsia="IRNazanin" w:cs="IRNazanin"/>
          <w:lang w:bidi="fa-IR"/>
          <w:color w:val="111111"/>
          <w:sz w:val="28"/>
          <w:szCs w:val="28"/>
          <w:rtl/>
        </w:rPr>
        <w:t xml:space="preserve">ج 3، ص 782.</w:t>
      </w:r>
    </w:p>
    <w:p>
      <w:pPr>
        <w:pStyle w:val="BookText"/>
      </w:pPr>
      <w:r>
        <w:rPr>
          <w:rFonts w:ascii="Amiri" w:hAnsi="Amiri" w:eastAsia="Amiri" w:cs="Amiri"/>
          <w:lang w:bidi="ar-SA"/>
          <w:color w:val="111111"/>
          <w:sz w:val="28"/>
          <w:szCs w:val="28"/>
          <w:rtl/>
        </w:rPr>
        <w:t xml:space="preserve">6 .التحفة الماردينية في شرح الارجوزة</w:t>
      </w:r>
    </w:p>
    <w:p>
      <w:pPr>
        <w:pStyle w:val="BookText"/>
      </w:pPr>
      <w:r>
        <w:rPr>
          <w:rFonts w:ascii="Amiri" w:hAnsi="Amiri" w:eastAsia="Amiri" w:cs="Amiri"/>
          <w:lang w:bidi="ar-SA"/>
          <w:color w:val="111111"/>
          <w:sz w:val="28"/>
          <w:szCs w:val="28"/>
          <w:rtl/>
        </w:rPr>
        <w:t xml:space="preserve">الياسمنية = شرح الياسمينية في علم الجبر والمقابلة، ج 4، ص 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تدريب العامل في العمل بالربع</w:t>
      </w:r>
    </w:p>
    <w:p>
      <w:pPr>
        <w:pStyle w:val="BookText"/>
      </w:pPr>
      <w:r>
        <w:rPr>
          <w:rFonts w:ascii="Amiri" w:hAnsi="Amiri" w:eastAsia="Amiri" w:cs="Amiri"/>
          <w:lang w:bidi="ar-SA"/>
          <w:color w:val="111111"/>
          <w:sz w:val="28"/>
          <w:szCs w:val="28"/>
          <w:rtl/>
        </w:rPr>
        <w:t xml:space="preserve">الكامل، ج4، ص 170.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تكملة شرح الياسمينية، ج 4،</w:t>
      </w:r>
    </w:p>
    <w:p>
      <w:pPr>
        <w:pStyle w:val="BookText"/>
      </w:pPr>
      <w:r>
        <w:rPr>
          <w:rFonts w:ascii="IRNazanin" w:hAnsi="IRNazanin" w:eastAsia="IRNazanin" w:cs="IRNazanin"/>
          <w:lang w:bidi="fa-IR"/>
          <w:color w:val="111111"/>
          <w:sz w:val="28"/>
          <w:szCs w:val="28"/>
          <w:rtl/>
        </w:rPr>
        <w:t xml:space="preserve">ص 818.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حاشية الورقات، ج 6، ص 451.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حاوي المختصرات في العمل بربع</w:t>
      </w:r>
    </w:p>
    <w:p>
      <w:pPr>
        <w:pStyle w:val="BookText"/>
      </w:pPr>
      <w:r>
        <w:rPr>
          <w:rFonts w:ascii="IRNazanin" w:hAnsi="IRNazanin" w:eastAsia="IRNazanin" w:cs="IRNazanin"/>
          <w:lang w:bidi="fa-IR"/>
          <w:color w:val="111111"/>
          <w:sz w:val="28"/>
          <w:szCs w:val="28"/>
          <w:rtl/>
        </w:rPr>
        <w:t xml:space="preserve">المقنطرات، ج 6، ص 465.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الدر المنثور في العمل بربع</w:t>
      </w:r>
    </w:p>
    <w:p>
      <w:pPr>
        <w:pStyle w:val="BookText"/>
      </w:pPr>
      <w:r>
        <w:rPr>
          <w:rFonts w:ascii="IRNazanin" w:hAnsi="IRNazanin" w:eastAsia="IRNazanin" w:cs="IRNazanin"/>
          <w:lang w:bidi="fa-IR"/>
          <w:color w:val="111111"/>
          <w:sz w:val="28"/>
          <w:szCs w:val="28"/>
          <w:rtl/>
        </w:rPr>
        <w:t xml:space="preserve">الدستور، ج 7، ص 345.</w:t>
      </w:r>
    </w:p>
    <w:p>
      <w:pPr>
        <w:pStyle w:val="BookText"/>
      </w:pPr>
      <w:r>
        <w:rPr>
          <w:rFonts w:ascii="Amiri" w:hAnsi="Amiri" w:eastAsia="Amiri" w:cs="Amiri"/>
          <w:lang w:bidi="ar-SA"/>
          <w:color w:val="111111"/>
          <w:sz w:val="28"/>
          <w:szCs w:val="28"/>
          <w:rtl/>
        </w:rPr>
        <w:t xml:space="preserve">12 .الربع المجيب = الفتحية في الاعمال الجيبية = العمل بالربع المجيب (رسالة في)، ج8، ص22.</w:t>
      </w:r>
    </w:p>
    <w:p>
      <w:pPr>
        <w:pStyle w:val="BookText"/>
      </w:pPr>
      <w:r>
        <w:rPr>
          <w:rFonts w:ascii="IRNazanin" w:hAnsi="IRNazanin" w:eastAsia="IRNazanin" w:cs="IRNazanin"/>
          <w:lang w:bidi="fa-IR"/>
          <w:color w:val="111111"/>
          <w:sz w:val="28"/>
          <w:szCs w:val="28"/>
          <w:rtl/>
        </w:rPr>
        <w:t xml:space="preserve">13 .رسم المنحرفات على</w:t>
      </w:r>
    </w:p>
    <w:p>
      <w:pPr>
        <w:pStyle w:val="BookText"/>
      </w:pPr>
      <w:r>
        <w:rPr>
          <w:rFonts w:ascii="Amiri" w:hAnsi="Amiri" w:eastAsia="Amiri" w:cs="Amiri"/>
          <w:lang w:bidi="ar-SA"/>
          <w:color w:val="111111"/>
          <w:sz w:val="28"/>
          <w:szCs w:val="28"/>
          <w:rtl/>
        </w:rPr>
        <w:t xml:space="preserve">الحيطان (جداول)، ج8، ص302.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رقائق الحقايق في حساب الدرج و</w:t>
      </w:r>
    </w:p>
    <w:p>
      <w:pPr>
        <w:pStyle w:val="BookText"/>
      </w:pPr>
      <w:r>
        <w:rPr>
          <w:rFonts w:ascii="IRNazanin" w:hAnsi="IRNazanin" w:eastAsia="IRNazanin" w:cs="IRNazanin"/>
          <w:lang w:bidi="fa-IR"/>
          <w:color w:val="111111"/>
          <w:sz w:val="28"/>
          <w:szCs w:val="28"/>
          <w:rtl/>
        </w:rPr>
        <w:t xml:space="preserve">الدقائق، ج8، ص 349.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شرح الرحبية = شرح المنظومة الرحبية = شرح بغية الباحث عن</w:t>
      </w:r>
    </w:p>
    <w:p>
      <w:pPr>
        <w:pStyle w:val="BookText"/>
      </w:pPr>
      <w:r>
        <w:rPr>
          <w:rFonts w:ascii="IRNazanin" w:hAnsi="IRNazanin" w:eastAsia="IRNazanin" w:cs="IRNazanin"/>
          <w:lang w:bidi="fa-IR"/>
          <w:color w:val="111111"/>
          <w:sz w:val="28"/>
          <w:szCs w:val="28"/>
          <w:rtl/>
        </w:rPr>
        <w:t xml:space="preserve">جمل الموارث، ج 9، ص 500.</w:t>
      </w:r>
    </w:p>
    <w:p>
      <w:pPr>
        <w:pStyle w:val="BookText"/>
      </w:pPr>
      <w:r>
        <w:rPr>
          <w:rFonts w:ascii="Amiri" w:hAnsi="Amiri" w:eastAsia="Amiri" w:cs="Amiri"/>
          <w:lang w:bidi="ar-SA"/>
          <w:color w:val="111111"/>
          <w:sz w:val="28"/>
          <w:szCs w:val="28"/>
          <w:rtl/>
        </w:rPr>
        <w:t xml:space="preserve">16 . شرح اللمع في الحساب = تعليق</w:t>
      </w:r>
    </w:p>
    <w:p>
      <w:pPr>
        <w:pStyle w:val="BookText"/>
      </w:pPr>
      <w:r>
        <w:rPr>
          <w:rFonts w:ascii="IRNazanin" w:hAnsi="IRNazanin" w:eastAsia="IRNazanin" w:cs="IRNazanin"/>
          <w:lang w:bidi="fa-IR"/>
          <w:color w:val="111111"/>
          <w:sz w:val="28"/>
          <w:szCs w:val="28"/>
          <w:rtl/>
        </w:rPr>
        <w:t xml:space="preserve">على اللمع، ج 10، ص 91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المجموع في الفرائض، ج 10،</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Amiri" w:hAnsi="Amiri" w:eastAsia="Amiri" w:cs="Amiri"/>
          <w:lang w:bidi="ar-SA"/>
          <w:color w:val="111111"/>
          <w:sz w:val="28"/>
          <w:szCs w:val="28"/>
          <w:rtl/>
        </w:rPr>
        <w:t xml:space="preserve">18 .شرح قصيدة المقنع في علم الجبر و</w:t>
      </w:r>
    </w:p>
    <w:p>
      <w:pPr>
        <w:pStyle w:val="BookText"/>
      </w:pPr>
      <w:r>
        <w:rPr>
          <w:rFonts w:ascii="Amiri" w:hAnsi="Amiri" w:eastAsia="Amiri" w:cs="Amiri"/>
          <w:lang w:bidi="ar-SA"/>
          <w:color w:val="111111"/>
          <w:sz w:val="28"/>
          <w:szCs w:val="28"/>
          <w:rtl/>
        </w:rPr>
        <w:t xml:space="preserve">مقابلة، ج 9، ص 894.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2" w:name="pg7742_70499"/>
    <w:bookmarkEnd w:id="552"/>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مختصر المقدمة الرحبية</w:t>
      </w:r>
    </w:p>
    <w:p>
      <w:pPr>
        <w:pStyle w:val="BookText"/>
      </w:pPr>
      <w:r>
        <w:rPr>
          <w:rFonts w:ascii="IRNazanin" w:hAnsi="IRNazanin" w:eastAsia="IRNazanin" w:cs="IRNazanin"/>
          <w:lang w:bidi="fa-IR"/>
          <w:color w:val="111111"/>
          <w:sz w:val="28"/>
          <w:szCs w:val="28"/>
          <w:rtl/>
        </w:rPr>
        <w:t xml:space="preserve">ج 10، ص 122 .</w:t>
      </w:r>
    </w:p>
    <w:p>
      <w:pPr>
        <w:pStyle w:val="BookText"/>
      </w:pPr>
      <w:r>
        <w:rPr>
          <w:rFonts w:ascii="Amiri" w:hAnsi="Amiri" w:eastAsia="Amiri" w:cs="Amiri"/>
          <w:lang w:bidi="ar-SA"/>
          <w:color w:val="111111"/>
          <w:sz w:val="28"/>
          <w:szCs w:val="28"/>
          <w:rtl/>
        </w:rPr>
        <w:t xml:space="preserve">20 .شرح منظومة ابن الهائم، ج 10،</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21 .شرح منظومة ابن رشد، ج 10،</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Amiri" w:hAnsi="Amiri" w:eastAsia="Amiri" w:cs="Amiri"/>
          <w:lang w:bidi="ar-SA"/>
          <w:color w:val="111111"/>
          <w:sz w:val="28"/>
          <w:szCs w:val="28"/>
          <w:rtl/>
        </w:rPr>
        <w:t xml:space="preserve">22 .شرح نظم اللآلي، ج 10، ص 291.</w:t>
      </w:r>
    </w:p>
    <w:p>
      <w:pPr>
        <w:pStyle w:val="BookText"/>
      </w:pPr>
      <w:r>
        <w:rPr>
          <w:rFonts w:ascii="Amiri" w:hAnsi="Amiri" w:eastAsia="Amiri" w:cs="Amiri"/>
          <w:lang w:bidi="ar-SA"/>
          <w:color w:val="111111"/>
          <w:sz w:val="28"/>
          <w:szCs w:val="28"/>
          <w:rtl/>
        </w:rPr>
        <w:t xml:space="preserve">23 .فصول في علم الأرثماطيقي، ج11،</w:t>
      </w:r>
    </w:p>
    <w:p>
      <w:pPr>
        <w:pStyle w:val="BookText"/>
      </w:pPr>
      <w:r>
        <w:rPr>
          <w:rFonts w:ascii="IRNazanin" w:hAnsi="IRNazanin" w:eastAsia="IRNazanin" w:cs="IRNazanin"/>
          <w:lang w:bidi="fa-IR"/>
          <w:color w:val="111111"/>
          <w:sz w:val="28"/>
          <w:szCs w:val="28"/>
          <w:rtl/>
        </w:rPr>
        <w:t xml:space="preserve">ص 858</w:t>
      </w:r>
    </w:p>
    <w:p>
      <w:pPr>
        <w:pStyle w:val="BookText"/>
      </w:pPr>
      <w:r>
        <w:rPr>
          <w:rFonts w:ascii="Amiri" w:hAnsi="Amiri" w:eastAsia="Amiri" w:cs="Amiri"/>
          <w:lang w:bidi="ar-SA"/>
          <w:color w:val="111111"/>
          <w:sz w:val="28"/>
          <w:szCs w:val="28"/>
          <w:rtl/>
        </w:rPr>
        <w:t xml:space="preserve">24 .القول المبدع في شرح المقنع، ج 12،</w:t>
      </w:r>
    </w:p>
    <w:p>
      <w:pPr>
        <w:pStyle w:val="BookText"/>
      </w:pPr>
      <w:r>
        <w:rPr>
          <w:rFonts w:ascii="IRNazanin" w:hAnsi="IRNazanin" w:eastAsia="IRNazanin" w:cs="IRNazanin"/>
          <w:lang w:bidi="fa-IR"/>
          <w:color w:val="111111"/>
          <w:sz w:val="28"/>
          <w:szCs w:val="28"/>
          <w:rtl/>
        </w:rPr>
        <w:t xml:space="preserve">ص 854.</w:t>
      </w:r>
    </w:p>
    <w:p>
      <w:pPr>
        <w:pStyle w:val="BookText"/>
      </w:pPr>
      <w:r>
        <w:rPr>
          <w:rFonts w:ascii="Amiri" w:hAnsi="Amiri" w:eastAsia="Amiri" w:cs="Amiri"/>
          <w:lang w:bidi="ar-SA"/>
          <w:color w:val="111111"/>
          <w:sz w:val="28"/>
          <w:szCs w:val="28"/>
          <w:rtl/>
        </w:rPr>
        <w:t xml:space="preserve">25 .كشف الغوامض في الفرائض، ج 13،</w:t>
      </w:r>
    </w:p>
    <w:p>
      <w:pPr>
        <w:pStyle w:val="BookText"/>
      </w:pPr>
      <w:r>
        <w:rPr>
          <w:rFonts w:ascii="IRNazanin" w:hAnsi="IRNazanin" w:eastAsia="IRNazanin" w:cs="IRNazanin"/>
          <w:lang w:bidi="fa-IR"/>
          <w:color w:val="111111"/>
          <w:sz w:val="28"/>
          <w:szCs w:val="28"/>
          <w:rtl/>
        </w:rPr>
        <w:t xml:space="preserve">ص 243 .</w:t>
      </w:r>
    </w:p>
    <w:p>
      <w:pPr>
        <w:pStyle w:val="BookText"/>
      </w:pPr>
      <w:r>
        <w:rPr>
          <w:rFonts w:ascii="Amiri" w:hAnsi="Amiri" w:eastAsia="Amiri" w:cs="Amiri"/>
          <w:lang w:bidi="ar-SA"/>
          <w:color w:val="111111"/>
          <w:sz w:val="28"/>
          <w:szCs w:val="28"/>
          <w:rtl/>
        </w:rPr>
        <w:t xml:space="preserve">26 .كفاية القنوع في العمل بالربع</w:t>
      </w:r>
    </w:p>
    <w:p>
      <w:pPr>
        <w:pStyle w:val="BookText"/>
      </w:pPr>
      <w:r>
        <w:rPr>
          <w:rFonts w:ascii="IRNazanin" w:hAnsi="IRNazanin" w:eastAsia="IRNazanin" w:cs="IRNazanin"/>
          <w:lang w:bidi="fa-IR"/>
          <w:color w:val="111111"/>
          <w:sz w:val="28"/>
          <w:szCs w:val="28"/>
          <w:rtl/>
        </w:rPr>
        <w:t xml:space="preserve">المقطوع، ج 13، ص329.</w:t>
      </w:r>
    </w:p>
    <w:p>
      <w:pPr>
        <w:pStyle w:val="BookText"/>
      </w:pPr>
      <w:r>
        <w:rPr>
          <w:rFonts w:ascii="Amiri" w:hAnsi="Amiri" w:eastAsia="Amiri" w:cs="Amiri"/>
          <w:lang w:bidi="ar-SA"/>
          <w:color w:val="111111"/>
          <w:sz w:val="28"/>
          <w:szCs w:val="28"/>
          <w:rtl/>
        </w:rPr>
        <w:t xml:space="preserve">27 .لقط الجواهر في معرفة الدوائر</w:t>
      </w:r>
    </w:p>
    <w:p>
      <w:pPr>
        <w:pStyle w:val="BookText"/>
      </w:pPr>
      <w:r>
        <w:rPr>
          <w:rFonts w:ascii="IRNazanin" w:hAnsi="IRNazanin" w:eastAsia="IRNazanin" w:cs="IRNazanin"/>
          <w:lang w:bidi="fa-IR"/>
          <w:color w:val="111111"/>
          <w:sz w:val="28"/>
          <w:szCs w:val="28"/>
          <w:rtl/>
        </w:rPr>
        <w:t xml:space="preserve">ج 13 ، ص 605.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اللمعة الماردينية في شرح الياسمينية، ج 13، ص 624.</w:t>
      </w:r>
    </w:p>
    <w:p>
      <w:pPr>
        <w:pStyle w:val="BookText"/>
      </w:pPr>
      <w:r>
        <w:rPr>
          <w:rFonts w:ascii="Amiri" w:hAnsi="Amiri" w:eastAsia="Amiri" w:cs="Amiri"/>
          <w:lang w:bidi="ar-SA"/>
          <w:color w:val="111111"/>
          <w:sz w:val="28"/>
          <w:szCs w:val="28"/>
          <w:rtl/>
        </w:rPr>
        <w:t xml:space="preserve">29 .مقدمة في علم الميقات، ج 15</w:t>
      </w:r>
    </w:p>
    <w:p>
      <w:pPr>
        <w:pStyle w:val="BookText"/>
      </w:pPr>
      <w:r>
        <w:rPr>
          <w:rFonts w:ascii="IRNazanin" w:hAnsi="IRNazanin" w:eastAsia="IRNazanin" w:cs="IRNazanin"/>
          <w:lang w:bidi="fa-IR"/>
          <w:color w:val="111111"/>
          <w:sz w:val="28"/>
          <w:szCs w:val="28"/>
          <w:rtl/>
        </w:rPr>
        <w:t xml:space="preserve">ص 367.</w:t>
      </w:r>
    </w:p>
    <w:p>
      <w:pPr>
        <w:pStyle w:val="BookText"/>
      </w:pPr>
      <w:r>
        <w:rPr>
          <w:rFonts w:ascii="Amiri" w:hAnsi="Amiri" w:eastAsia="Amiri" w:cs="Amiri"/>
          <w:lang w:bidi="ar-SA"/>
          <w:color w:val="111111"/>
          <w:sz w:val="28"/>
          <w:szCs w:val="28"/>
          <w:rtl/>
        </w:rPr>
        <w:t xml:space="preserve">30 .هداية السائل إلى العمل بالربع</w:t>
      </w:r>
    </w:p>
    <w:p>
      <w:pPr>
        <w:pStyle w:val="BookText"/>
      </w:pPr>
      <w:r>
        <w:rPr>
          <w:rFonts w:ascii="Amiri" w:hAnsi="Amiri" w:eastAsia="Amiri" w:cs="Amiri"/>
          <w:lang w:bidi="ar-SA"/>
          <w:color w:val="111111"/>
          <w:sz w:val="28"/>
          <w:szCs w:val="28"/>
          <w:rtl/>
        </w:rPr>
        <w:t xml:space="preserve">الكامل، ج 16، ص 610.</w:t>
      </w:r>
    </w:p>
    <w:p>
      <w:pPr>
        <w:pStyle w:val="BookText"/>
      </w:pPr>
      <w:r>
        <w:rPr>
          <w:rFonts w:ascii="Amiri" w:hAnsi="Amiri" w:eastAsia="Amiri" w:cs="Amiri"/>
          <w:lang w:bidi="ar-SA"/>
          <w:color w:val="111111"/>
          <w:sz w:val="28"/>
          <w:szCs w:val="28"/>
          <w:rtl/>
        </w:rPr>
        <w:t xml:space="preserve">31 .هداية العامل بالربع الكامل : المقنطرات - الربع الكامل = هدية العامل، ج 16، ص 614 .</w:t>
      </w:r>
    </w:p>
    <w:p>
      <w:pPr>
        <w:pStyle w:val="BookText"/>
      </w:pPr>
      <w:r>
        <w:rPr>
          <w:rFonts w:ascii="Amiri" w:hAnsi="Amiri" w:eastAsia="Amiri" w:cs="Amiri"/>
          <w:lang w:bidi="ar-SA"/>
          <w:color w:val="111111"/>
          <w:sz w:val="28"/>
          <w:szCs w:val="28"/>
          <w:rtl/>
        </w:rPr>
        <w:t xml:space="preserve">32 .وسيلة الطلاب إلى معرفة الاوقات</w:t>
      </w:r>
    </w:p>
    <w:p>
      <w:pPr>
        <w:pStyle w:val="BookText"/>
      </w:pPr>
      <w:r>
        <w:rPr>
          <w:rFonts w:ascii="IRNazanin" w:hAnsi="IRNazanin" w:eastAsia="IRNazanin" w:cs="IRNazanin"/>
          <w:lang w:bidi="fa-IR"/>
          <w:color w:val="111111"/>
          <w:sz w:val="28"/>
          <w:szCs w:val="28"/>
          <w:rtl/>
        </w:rPr>
        <w:t xml:space="preserve">بالحساب، ج 16، ص 785.</w:t>
      </w:r>
    </w:p>
    <w:p>
      <w:pPr>
        <w:pStyle w:val="BookText"/>
      </w:pPr>
      <w:r>
        <w:rPr>
          <w:rFonts w:ascii="Amiri" w:hAnsi="Amiri" w:eastAsia="Amiri" w:cs="Amiri"/>
          <w:lang w:bidi="ar-SA"/>
          <w:color w:val="111111"/>
          <w:sz w:val="28"/>
          <w:szCs w:val="28"/>
          <w:rtl/>
        </w:rPr>
        <w:t xml:space="preserve">سبط مرصفي ، محمّد بن محمّد -سبط</w:t>
      </w:r>
    </w:p>
    <w:p>
      <w:pPr>
        <w:pStyle w:val="BookText"/>
      </w:pPr>
      <w:r>
        <w:rPr>
          <w:rFonts w:ascii="Amiri" w:hAnsi="Amiri" w:eastAsia="Amiri" w:cs="Amiri"/>
          <w:lang w:bidi="ar-SA"/>
          <w:color w:val="111111"/>
          <w:sz w:val="28"/>
          <w:szCs w:val="28"/>
          <w:rtl/>
        </w:rPr>
        <w:t xml:space="preserve">المرصفي ، محمّد بن محمّد</w:t>
      </w:r>
    </w:p>
    <w:p>
      <w:pPr>
        <w:pStyle w:val="BookText"/>
      </w:pPr>
      <w:r>
        <w:rPr>
          <w:rFonts w:ascii="IRNazanin" w:hAnsi="IRNazanin" w:eastAsia="IRNazanin" w:cs="IRNazanin"/>
          <w:lang w:bidi="fa-IR"/>
          <w:color w:val="111111"/>
          <w:sz w:val="28"/>
          <w:szCs w:val="28"/>
          <w:rtl/>
        </w:rPr>
        <w:t xml:space="preserve">سبط ناصر الدین منصور</w:t>
      </w:r>
    </w:p>
    <w:p>
      <w:pPr>
        <w:pStyle w:val="BookText"/>
      </w:pPr>
      <w:r>
        <w:rPr>
          <w:rFonts w:ascii="Amiri" w:hAnsi="Amiri" w:eastAsia="Amiri" w:cs="Amiri"/>
          <w:lang w:bidi="ar-SA"/>
          <w:color w:val="111111"/>
          <w:sz w:val="28"/>
          <w:szCs w:val="28"/>
          <w:rtl/>
        </w:rPr>
        <w:t xml:space="preserve">الطبلاوي - طبلاوي ، منصور سبط ناصر الدين</w:t>
      </w:r>
    </w:p>
    <w:p>
      <w:pPr>
        <w:pStyle w:val="BookText"/>
      </w:pPr>
      <w:r>
        <w:rPr>
          <w:rFonts w:ascii="IRNazanin" w:hAnsi="IRNazanin" w:eastAsia="IRNazanin" w:cs="IRNazanin"/>
          <w:lang w:bidi="fa-IR"/>
          <w:color w:val="111111"/>
          <w:sz w:val="28"/>
          <w:szCs w:val="28"/>
          <w:rtl/>
        </w:rPr>
        <w:t xml:space="preserve">محمّد بن سالم</w:t>
      </w:r>
    </w:p>
    <w:p>
      <w:pPr>
        <w:pStyle w:val="Heading2"/>
      </w:pPr>
      <w:bookmarkStart w:id="4751" w:name="_Toc3853"/>
      <w:r>
        <w:t>سبعي ، احمد بن محمّد - 960 ه-</w:t>
      </w:r>
      <w:bookmarkEnd w:id="4751"/>
    </w:p>
    <w:p>
      <w:pPr>
        <w:pStyle w:val="BookText"/>
      </w:pPr>
      <w:r>
        <w:rPr>
          <w:rFonts w:ascii="Amiri" w:hAnsi="Amiri" w:eastAsia="Amiri" w:cs="Amiri"/>
          <w:lang w:bidi="ar-SA"/>
          <w:color w:val="111111"/>
          <w:sz w:val="28"/>
          <w:szCs w:val="28"/>
          <w:rtl/>
        </w:rPr>
        <w:t xml:space="preserve">الدرة الدرية في شرح المسألة النصيرية</w:t>
      </w:r>
    </w:p>
    <w:p>
      <w:pPr>
        <w:pStyle w:val="BookText"/>
      </w:pPr>
      <w:r>
        <w:rPr>
          <w:rFonts w:ascii="IRNazanin" w:hAnsi="IRNazanin" w:eastAsia="IRNazanin" w:cs="IRNazanin"/>
          <w:lang w:bidi="fa-IR"/>
          <w:color w:val="111111"/>
          <w:sz w:val="28"/>
          <w:szCs w:val="28"/>
          <w:rtl/>
        </w:rPr>
        <w:t xml:space="preserve">ج 7، ص 237.</w:t>
      </w:r>
    </w:p>
    <w:p>
      <w:pPr>
        <w:pStyle w:val="Heading2"/>
      </w:pPr>
      <w:bookmarkStart w:id="4752" w:name="_Toc3854"/>
      <w:r>
        <w:t>سبكي</w:t>
      </w:r>
      <w:bookmarkEnd w:id="4752"/>
    </w:p>
    <w:p>
      <w:pPr>
        <w:pStyle w:val="BookText"/>
      </w:pPr>
      <w:r>
        <w:rPr>
          <w:rFonts w:ascii="Amiri" w:hAnsi="Amiri" w:eastAsia="Amiri" w:cs="Amiri"/>
          <w:lang w:bidi="ar-SA"/>
          <w:color w:val="111111"/>
          <w:sz w:val="28"/>
          <w:szCs w:val="28"/>
          <w:rtl/>
        </w:rPr>
        <w:t xml:space="preserve">ديوان السبكي، ج 7، ص 650.</w:t>
      </w:r>
    </w:p>
    <w:p>
      <w:pPr>
        <w:pStyle w:val="Heading2"/>
      </w:pPr>
      <w:bookmarkStart w:id="4753" w:name="_Toc3855"/>
      <w:r>
        <w:t>سبكي ، احمد بن خلیل 939 - 1037 ه-</w:t>
      </w:r>
      <w:bookmarkEnd w:id="4753"/>
    </w:p>
    <w:p>
      <w:pPr>
        <w:pStyle w:val="BookText"/>
      </w:pPr>
      <w:r>
        <w:rPr>
          <w:rFonts w:ascii="Amiri" w:hAnsi="Amiri" w:eastAsia="Amiri" w:cs="Amiri"/>
          <w:lang w:bidi="ar-SA"/>
          <w:color w:val="111111"/>
          <w:sz w:val="28"/>
          <w:szCs w:val="28"/>
          <w:rtl/>
        </w:rPr>
        <w:t xml:space="preserve">فتح الغفور في شرح منظومة القبور -</w:t>
      </w:r>
    </w:p>
    <w:p>
      <w:pPr>
        <w:pStyle w:val="BookText"/>
      </w:pPr>
      <w:r>
        <w:rPr>
          <w:rFonts w:ascii="Amiri" w:hAnsi="Amiri" w:eastAsia="Amiri" w:cs="Amiri"/>
          <w:lang w:bidi="ar-SA"/>
          <w:color w:val="111111"/>
          <w:sz w:val="28"/>
          <w:szCs w:val="28"/>
          <w:rtl/>
        </w:rPr>
        <w:t xml:space="preserve">شرح منظومة التثبيت عند التببييت ج 11 ، ص 661 .</w:t>
      </w:r>
    </w:p>
    <w:p>
      <w:pPr>
        <w:pStyle w:val="BookText"/>
      </w:pPr>
      <w:r>
        <w:rPr>
          <w:rFonts w:ascii="Amiri" w:hAnsi="Amiri" w:eastAsia="Amiri" w:cs="Amiri"/>
          <w:lang w:bidi="ar-SA"/>
          <w:color w:val="111111"/>
          <w:sz w:val="28"/>
          <w:szCs w:val="28"/>
          <w:rtl/>
        </w:rPr>
        <w:t xml:space="preserve">سبكي ، احمد بن عبد الكافي- سبكي ، احمد</w:t>
      </w:r>
    </w:p>
    <w:p>
      <w:pPr>
        <w:pStyle w:val="BookText"/>
      </w:pPr>
      <w:r>
        <w:rPr>
          <w:rFonts w:ascii="Amiri" w:hAnsi="Amiri" w:eastAsia="Amiri" w:cs="Amiri"/>
          <w:lang w:bidi="ar-SA"/>
          <w:color w:val="111111"/>
          <w:sz w:val="28"/>
          <w:szCs w:val="28"/>
          <w:rtl/>
        </w:rPr>
        <w:t xml:space="preserve">بن علي</w:t>
      </w:r>
    </w:p>
    <w:p>
      <w:pPr>
        <w:pStyle w:val="Heading2"/>
      </w:pPr>
      <w:bookmarkStart w:id="4754" w:name="_Toc3856"/>
      <w:r>
        <w:t>سبكي ، احمد بن علي، 719 - 763 ه-</w:t>
      </w:r>
      <w:bookmarkEnd w:id="4754"/>
    </w:p>
    <w:p>
      <w:pPr>
        <w:pStyle w:val="BookText"/>
      </w:pPr>
      <w:r>
        <w:rPr>
          <w:rFonts w:ascii="Amiri" w:hAnsi="Amiri" w:eastAsia="Amiri" w:cs="Amiri"/>
          <w:lang w:bidi="ar-SA"/>
          <w:color w:val="111111"/>
          <w:sz w:val="28"/>
          <w:szCs w:val="28"/>
          <w:rtl/>
        </w:rPr>
        <w:t xml:space="preserve">1 .تائية السبك، ج 3، ص 528.</w:t>
      </w:r>
    </w:p>
    <w:p>
      <w:pPr>
        <w:pStyle w:val="BookText"/>
      </w:pPr>
      <w:r>
        <w:rPr>
          <w:rFonts w:ascii="IRNazanin" w:hAnsi="IRNazanin" w:eastAsia="IRNazanin" w:cs="IRNazanin"/>
          <w:lang w:bidi="fa-IR"/>
          <w:color w:val="111111"/>
          <w:sz w:val="28"/>
          <w:szCs w:val="28"/>
          <w:rtl/>
        </w:rPr>
        <w:t xml:space="preserve">2 .دیوان سبكي، ج 7، ص 650.</w:t>
      </w:r>
    </w:p>
    <w:p>
      <w:pPr>
        <w:pStyle w:val="BookText"/>
      </w:pPr>
      <w:r>
        <w:rPr>
          <w:rFonts w:ascii="Amiri" w:hAnsi="Amiri" w:eastAsia="Amiri" w:cs="Amiri"/>
          <w:lang w:bidi="ar-SA"/>
          <w:color w:val="111111"/>
          <w:sz w:val="28"/>
          <w:szCs w:val="28"/>
          <w:rtl/>
        </w:rPr>
        <w:t xml:space="preserve">3.عروس الأفراح في شرح تلخيص</w:t>
      </w:r>
    </w:p>
    <w:p>
      <w:pPr>
        <w:pStyle w:val="BookText"/>
      </w:pPr>
      <w:r>
        <w:rPr>
          <w:rFonts w:ascii="IRNazanin" w:hAnsi="IRNazanin" w:eastAsia="IRNazanin" w:cs="IRNazanin"/>
          <w:lang w:bidi="fa-IR"/>
          <w:color w:val="111111"/>
          <w:sz w:val="28"/>
          <w:szCs w:val="28"/>
          <w:rtl/>
        </w:rPr>
        <w:t xml:space="preserve">المفتاح، ج 11، ص88.</w:t>
      </w:r>
    </w:p>
    <w:p>
      <w:pPr>
        <w:pStyle w:val="BookText"/>
      </w:pPr>
      <w:r>
        <w:rPr>
          <w:rFonts w:ascii="Amiri" w:hAnsi="Amiri" w:eastAsia="Amiri" w:cs="Amiri"/>
          <w:lang w:bidi="ar-SA"/>
          <w:color w:val="111111"/>
          <w:sz w:val="28"/>
          <w:szCs w:val="28"/>
          <w:rtl/>
        </w:rPr>
        <w:t xml:space="preserve">4 .هدية المسافر إلى النور السافر</w:t>
      </w:r>
    </w:p>
    <w:p>
      <w:pPr>
        <w:pStyle w:val="BookText"/>
      </w:pPr>
      <w:r>
        <w:rPr>
          <w:rFonts w:ascii="IRNazanin" w:hAnsi="IRNazanin" w:eastAsia="IRNazanin" w:cs="IRNazanin"/>
          <w:lang w:bidi="fa-IR"/>
          <w:color w:val="111111"/>
          <w:sz w:val="28"/>
          <w:szCs w:val="28"/>
          <w:rtl/>
        </w:rPr>
        <w:t xml:space="preserve">ج 16 ، ص 643 .</w:t>
      </w:r>
    </w:p>
    <w:p>
      <w:pPr>
        <w:pStyle w:val="BookText"/>
      </w:pPr>
      <w:r>
        <w:rPr>
          <w:rFonts w:ascii="Amiri" w:hAnsi="Amiri" w:eastAsia="Amiri" w:cs="Amiri"/>
          <w:lang w:bidi="ar-SA"/>
          <w:color w:val="111111"/>
          <w:sz w:val="28"/>
          <w:szCs w:val="28"/>
          <w:rtl/>
        </w:rPr>
        <w:t xml:space="preserve">سبكي ، تاج الدين ابونصر عبدالوهاب بن</w:t>
      </w:r>
    </w:p>
    <w:p>
      <w:pPr>
        <w:pStyle w:val="BookText"/>
      </w:pPr>
      <w:r>
        <w:rPr>
          <w:rFonts w:ascii="Amiri" w:hAnsi="Amiri" w:eastAsia="Amiri" w:cs="Amiri"/>
          <w:lang w:bidi="ar-SA"/>
          <w:color w:val="111111"/>
          <w:sz w:val="28"/>
          <w:szCs w:val="28"/>
          <w:rtl/>
        </w:rPr>
        <w:t xml:space="preserve">علي- سبكي ، عبدالوهاب بن علي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3" w:name="pg7742_70501"/>
    <w:bookmarkEnd w:id="553"/>
    <w:p>
      <w:pPr>
        <w:pStyle w:val="Heading2"/>
      </w:pPr>
      <w:bookmarkStart w:id="4755" w:name="_Toc3857"/>
      <w:r>
        <w:t>سبكي عبدالوهاب بن علي، 727-771؟ه-</w:t>
      </w:r>
      <w:bookmarkEnd w:id="4755"/>
    </w:p>
    <w:p>
      <w:pPr>
        <w:pStyle w:val="BookText"/>
      </w:pPr>
      <w:r>
        <w:rPr>
          <w:rFonts w:ascii="IRNazanin" w:hAnsi="IRNazanin" w:eastAsia="IRNazanin" w:cs="IRNazanin"/>
          <w:lang w:bidi="fa-IR"/>
          <w:color w:val="111111"/>
          <w:sz w:val="28"/>
          <w:szCs w:val="28"/>
          <w:rtl/>
        </w:rPr>
        <w:t xml:space="preserve">1 الاشباه والنظائر، ج 2، ص 264.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ترشيح التواشيح و ترجيح التصحيح</w:t>
      </w:r>
    </w:p>
    <w:p>
      <w:pPr>
        <w:pStyle w:val="BookText"/>
      </w:pPr>
      <w:r>
        <w:rPr>
          <w:rFonts w:ascii="IRNazanin" w:hAnsi="IRNazanin" w:eastAsia="IRNazanin" w:cs="IRNazanin"/>
          <w:lang w:bidi="fa-IR"/>
          <w:color w:val="111111"/>
          <w:sz w:val="28"/>
          <w:szCs w:val="28"/>
          <w:rtl/>
        </w:rPr>
        <w:t xml:space="preserve">ج 4، ص 306.</w:t>
      </w:r>
    </w:p>
    <w:p>
      <w:pPr>
        <w:pStyle w:val="BookText"/>
      </w:pPr>
      <w:r>
        <w:rPr>
          <w:rFonts w:ascii="Amiri" w:hAnsi="Amiri" w:eastAsia="Amiri" w:cs="Amiri"/>
          <w:lang w:bidi="ar-SA"/>
          <w:color w:val="111111"/>
          <w:sz w:val="28"/>
          <w:szCs w:val="28"/>
          <w:rtl/>
        </w:rPr>
        <w:t xml:space="preserve">3 .توشيح التصحيح، ج 5، ص 162.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جمع الجوامع في اصول الفقه، ج5،</w:t>
      </w:r>
    </w:p>
    <w:p>
      <w:pPr>
        <w:pStyle w:val="BookText"/>
      </w:pPr>
      <w:r>
        <w:rPr>
          <w:rFonts w:ascii="IRNazanin" w:hAnsi="IRNazanin" w:eastAsia="IRNazanin" w:cs="IRNazanin"/>
          <w:lang w:bidi="fa-IR"/>
          <w:color w:val="111111"/>
          <w:sz w:val="28"/>
          <w:szCs w:val="28"/>
          <w:rtl/>
        </w:rPr>
        <w:t xml:space="preserve">ص 435 .</w:t>
      </w:r>
    </w:p>
    <w:p>
      <w:pPr>
        <w:pStyle w:val="BookText"/>
      </w:pPr>
      <w:r>
        <w:rPr>
          <w:rFonts w:ascii="Amiri" w:hAnsi="Amiri" w:eastAsia="Amiri" w:cs="Amiri"/>
          <w:lang w:bidi="ar-SA"/>
          <w:color w:val="111111"/>
          <w:sz w:val="28"/>
          <w:szCs w:val="28"/>
          <w:rtl/>
        </w:rPr>
        <w:t xml:space="preserve">5 .طبقات السبكي، ج 10، ص 775.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طبقات الشافعية الكبرى، ج 10،</w:t>
      </w:r>
    </w:p>
    <w:p>
      <w:pPr>
        <w:pStyle w:val="BookText"/>
      </w:pPr>
      <w:r>
        <w:rPr>
          <w:rFonts w:ascii="IRNazanin" w:hAnsi="IRNazanin" w:eastAsia="IRNazanin" w:cs="IRNazanin"/>
          <w:lang w:bidi="fa-IR"/>
          <w:color w:val="111111"/>
          <w:sz w:val="28"/>
          <w:szCs w:val="28"/>
          <w:rtl/>
        </w:rPr>
        <w:t xml:space="preserve">ص 778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الطبقات الشافعية الوسطى، ج 10،</w:t>
      </w:r>
    </w:p>
    <w:p>
      <w:pPr>
        <w:pStyle w:val="BookText"/>
      </w:pPr>
      <w:r>
        <w:rPr>
          <w:rFonts w:ascii="IRNazanin" w:hAnsi="IRNazanin" w:eastAsia="IRNazanin" w:cs="IRNazanin"/>
          <w:lang w:bidi="fa-IR"/>
          <w:color w:val="111111"/>
          <w:sz w:val="28"/>
          <w:szCs w:val="28"/>
          <w:rtl/>
        </w:rPr>
        <w:t xml:space="preserve">ص 778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قصيدة تشتمل على الخلاف بين الأشعرية و الحنفية، ج 12، ص 662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معيد النعم و مبيد النقم، ج 15 ،</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Amiri" w:hAnsi="Amiri" w:eastAsia="Amiri" w:cs="Amiri"/>
          <w:lang w:bidi="ar-SA"/>
          <w:color w:val="111111"/>
          <w:sz w:val="28"/>
          <w:szCs w:val="28"/>
          <w:rtl/>
        </w:rPr>
        <w:t xml:space="preserve">10 .منظومة ابن سبكي، ج 15 ، ص 716.</w:t>
      </w:r>
    </w:p>
    <w:p>
      <w:pPr>
        <w:pStyle w:val="BookText"/>
      </w:pPr>
      <w:r>
        <w:rPr>
          <w:rFonts w:ascii="Amiri" w:hAnsi="Amiri" w:eastAsia="Amiri" w:cs="Amiri"/>
          <w:lang w:bidi="ar-SA"/>
          <w:color w:val="111111"/>
          <w:sz w:val="28"/>
          <w:szCs w:val="28"/>
          <w:rtl/>
        </w:rPr>
        <w:t xml:space="preserve">11 .منع الموانع عن اكمال جمع</w:t>
      </w:r>
    </w:p>
    <w:p>
      <w:pPr>
        <w:pStyle w:val="BookText"/>
      </w:pPr>
      <w:r>
        <w:rPr>
          <w:rFonts w:ascii="IRNazanin" w:hAnsi="IRNazanin" w:eastAsia="IRNazanin" w:cs="IRNazanin"/>
          <w:lang w:bidi="fa-IR"/>
          <w:color w:val="111111"/>
          <w:sz w:val="28"/>
          <w:szCs w:val="28"/>
          <w:rtl/>
        </w:rPr>
        <w:t xml:space="preserve">الجوامع، ج 15 ، ص 731.</w:t>
      </w:r>
    </w:p>
    <w:p>
      <w:pPr>
        <w:pStyle w:val="BookText"/>
      </w:pPr>
      <w:r>
        <w:rPr>
          <w:rFonts w:ascii="Amiri" w:hAnsi="Amiri" w:eastAsia="Amiri" w:cs="Amiri"/>
          <w:lang w:bidi="ar-SA"/>
          <w:color w:val="111111"/>
          <w:sz w:val="28"/>
          <w:szCs w:val="28"/>
          <w:rtl/>
        </w:rPr>
        <w:t xml:space="preserve">12 .همع الهوامع في منع الموانع</w:t>
      </w:r>
    </w:p>
    <w:p>
      <w:pPr>
        <w:pStyle w:val="BookText"/>
      </w:pPr>
      <w:r>
        <w:rPr>
          <w:rFonts w:ascii="IRNazanin" w:hAnsi="IRNazanin" w:eastAsia="IRNazanin" w:cs="IRNazanin"/>
          <w:lang w:bidi="fa-IR"/>
          <w:color w:val="111111"/>
          <w:sz w:val="28"/>
          <w:szCs w:val="28"/>
          <w:rtl/>
        </w:rPr>
        <w:t xml:space="preserve">ج 16، ص 653 .</w:t>
      </w:r>
    </w:p>
    <w:p>
      <w:pPr>
        <w:pStyle w:val="Heading2"/>
      </w:pPr>
      <w:bookmarkStart w:id="4756" w:name="_Toc3858"/>
      <w:r>
        <w:t>سبكي ، علي بن عبد الكافي، 683 - 756 ه-</w:t>
      </w:r>
      <w:bookmarkEnd w:id="4756"/>
    </w:p>
    <w:p>
      <w:pPr>
        <w:pStyle w:val="BookText"/>
      </w:pPr>
      <w:r>
        <w:rPr>
          <w:rFonts w:ascii="Amiri" w:hAnsi="Amiri" w:eastAsia="Amiri" w:cs="Amiri"/>
          <w:lang w:bidi="ar-SA"/>
          <w:color w:val="111111"/>
          <w:sz w:val="28"/>
          <w:szCs w:val="28"/>
          <w:rtl/>
        </w:rPr>
        <w:t xml:space="preserve">1 .الابتهاج في شرح المنهاج، ج 1،</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Amiri" w:hAnsi="Amiri" w:eastAsia="Amiri" w:cs="Amiri"/>
          <w:lang w:bidi="ar-SA"/>
          <w:color w:val="111111"/>
          <w:sz w:val="28"/>
          <w:szCs w:val="28"/>
          <w:rtl/>
        </w:rPr>
        <w:t xml:space="preserve">2 .بذل الهمة في افراد العم و جمع - 1297 ه-</w:t>
      </w:r>
    </w:p>
    <w:p>
      <w:pPr>
        <w:pStyle w:val="BookText"/>
      </w:pPr>
      <w:r>
        <w:rPr>
          <w:rFonts w:ascii="Amiri" w:hAnsi="Amiri" w:eastAsia="Amiri" w:cs="Amiri"/>
          <w:lang w:bidi="ar-SA"/>
          <w:color w:val="111111"/>
          <w:sz w:val="28"/>
          <w:szCs w:val="28"/>
          <w:rtl/>
        </w:rPr>
        <w:t xml:space="preserve">العمة، ج3، ص292.</w:t>
      </w:r>
    </w:p>
    <w:p>
      <w:pPr>
        <w:pStyle w:val="BookText"/>
      </w:pPr>
      <w:r>
        <w:rPr>
          <w:rFonts w:ascii="Amiri" w:hAnsi="Amiri" w:eastAsia="Amiri" w:cs="Amiri"/>
          <w:lang w:bidi="ar-SA"/>
          <w:color w:val="111111"/>
          <w:sz w:val="28"/>
          <w:szCs w:val="28"/>
          <w:rtl/>
        </w:rPr>
        <w:t xml:space="preserve">3 .بيان لفظة «كل» (رسالة في)، ج3،</w:t>
      </w:r>
    </w:p>
    <w:p>
      <w:pPr>
        <w:pStyle w:val="BookText"/>
      </w:pPr>
      <w:r>
        <w:rPr>
          <w:rFonts w:ascii="IRNazanin" w:hAnsi="IRNazanin" w:eastAsia="IRNazanin" w:cs="IRNazanin"/>
          <w:lang w:bidi="fa-IR"/>
          <w:color w:val="111111"/>
          <w:sz w:val="28"/>
          <w:szCs w:val="28"/>
          <w:rtl/>
        </w:rPr>
        <w:t xml:space="preserve">ص 485 .</w:t>
      </w:r>
    </w:p>
    <w:p>
      <w:pPr>
        <w:pStyle w:val="BookText"/>
      </w:pPr>
      <w:r>
        <w:rPr>
          <w:rFonts w:ascii="Amiri" w:hAnsi="Amiri" w:eastAsia="Amiri" w:cs="Amiri"/>
          <w:lang w:bidi="ar-SA"/>
          <w:color w:val="111111"/>
          <w:sz w:val="28"/>
          <w:szCs w:val="28"/>
          <w:rtl/>
        </w:rPr>
        <w:t xml:space="preserve">4 .تائية ابن السبكي، ج 3، ص 527.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تعليقة في قراءة القرآن، جع،</w:t>
      </w:r>
    </w:p>
    <w:p>
      <w:pPr>
        <w:pStyle w:val="BookText"/>
      </w:pPr>
      <w:r>
        <w:rPr>
          <w:rFonts w:ascii="IRNazanin" w:hAnsi="IRNazanin" w:eastAsia="IRNazanin" w:cs="IRNazanin"/>
          <w:lang w:bidi="fa-IR"/>
          <w:color w:val="111111"/>
          <w:sz w:val="28"/>
          <w:szCs w:val="28"/>
          <w:rtl/>
        </w:rPr>
        <w:t xml:space="preserve">ص 537.</w:t>
      </w:r>
    </w:p>
    <w:p>
      <w:pPr>
        <w:pStyle w:val="BookText"/>
      </w:pPr>
      <w:r>
        <w:rPr>
          <w:rFonts w:ascii="Amiri" w:hAnsi="Amiri" w:eastAsia="Amiri" w:cs="Amiri"/>
          <w:lang w:bidi="ar-SA"/>
          <w:color w:val="111111"/>
          <w:sz w:val="28"/>
          <w:szCs w:val="28"/>
          <w:rtl/>
        </w:rPr>
        <w:t xml:space="preserve">6 .الرفدة في معنى الوحدة، ج8،</w:t>
      </w:r>
    </w:p>
    <w:p>
      <w:pPr>
        <w:pStyle w:val="BookText"/>
      </w:pPr>
      <w:r>
        <w:rPr>
          <w:rFonts w:ascii="IRNazanin" w:hAnsi="IRNazanin" w:eastAsia="IRNazanin" w:cs="IRNazanin"/>
          <w:lang w:bidi="fa-IR"/>
          <w:color w:val="111111"/>
          <w:sz w:val="28"/>
          <w:szCs w:val="28"/>
          <w:rtl/>
        </w:rPr>
        <w:t xml:space="preserve">ص 334.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السريجية، ج8، ص772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السيف المسلول على من سب</w:t>
      </w:r>
    </w:p>
    <w:p>
      <w:pPr>
        <w:pStyle w:val="BookText"/>
      </w:pPr>
      <w:r>
        <w:rPr>
          <w:rFonts w:ascii="IRNazanin" w:hAnsi="IRNazanin" w:eastAsia="IRNazanin" w:cs="IRNazanin"/>
          <w:lang w:bidi="fa-IR"/>
          <w:color w:val="111111"/>
          <w:sz w:val="28"/>
          <w:szCs w:val="28"/>
          <w:rtl/>
        </w:rPr>
        <w:t xml:space="preserve">الرسول، ج 9، ص 42 .</w:t>
      </w:r>
    </w:p>
    <w:p>
      <w:pPr>
        <w:pStyle w:val="BookText"/>
      </w:pPr>
      <w:r>
        <w:rPr>
          <w:rFonts w:ascii="Amiri" w:hAnsi="Amiri" w:eastAsia="Amiri" w:cs="Amiri"/>
          <w:lang w:bidi="ar-SA"/>
          <w:color w:val="111111"/>
          <w:sz w:val="28"/>
          <w:szCs w:val="28"/>
          <w:rtl/>
        </w:rPr>
        <w:t xml:space="preserve">9.عقود الجمان في عقود الرهن و</w:t>
      </w:r>
    </w:p>
    <w:p>
      <w:pPr>
        <w:pStyle w:val="BookText"/>
      </w:pPr>
      <w:r>
        <w:rPr>
          <w:rFonts w:ascii="IRNazanin" w:hAnsi="IRNazanin" w:eastAsia="IRNazanin" w:cs="IRNazanin"/>
          <w:lang w:bidi="fa-IR"/>
          <w:color w:val="111111"/>
          <w:sz w:val="28"/>
          <w:szCs w:val="28"/>
          <w:rtl/>
        </w:rPr>
        <w:t xml:space="preserve">الضمان، ج11، ص 184.</w:t>
      </w:r>
    </w:p>
    <w:p>
      <w:pPr>
        <w:pStyle w:val="BookText"/>
      </w:pPr>
      <w:r>
        <w:rPr>
          <w:rFonts w:ascii="Amiri" w:hAnsi="Amiri" w:eastAsia="Amiri" w:cs="Amiri"/>
          <w:lang w:bidi="ar-SA"/>
          <w:color w:val="111111"/>
          <w:sz w:val="28"/>
          <w:szCs w:val="28"/>
          <w:rtl/>
        </w:rPr>
        <w:t xml:space="preserve">10 .قضاء الارب في أسئلة حلب، ج 12،</w:t>
      </w:r>
    </w:p>
    <w:p>
      <w:pPr>
        <w:pStyle w:val="BookText"/>
      </w:pPr>
      <w:r>
        <w:rPr>
          <w:rFonts w:ascii="IRNazanin" w:hAnsi="IRNazanin" w:eastAsia="IRNazanin" w:cs="IRNazanin"/>
          <w:lang w:bidi="fa-IR"/>
          <w:color w:val="111111"/>
          <w:sz w:val="28"/>
          <w:szCs w:val="28"/>
          <w:rtl/>
        </w:rPr>
        <w:t xml:space="preserve">ص 734.</w:t>
      </w:r>
    </w:p>
    <w:p>
      <w:pPr>
        <w:pStyle w:val="BookText"/>
      </w:pPr>
      <w:r>
        <w:rPr>
          <w:rFonts w:ascii="Amiri" w:hAnsi="Amiri" w:eastAsia="Amiri" w:cs="Amiri"/>
          <w:lang w:bidi="ar-SA"/>
          <w:color w:val="111111"/>
          <w:sz w:val="28"/>
          <w:szCs w:val="28"/>
          <w:rtl/>
        </w:rPr>
        <w:t xml:space="preserve">11 .نيل العلا في العطف بلا، ج 16،</w:t>
      </w:r>
    </w:p>
    <w:p>
      <w:pPr>
        <w:pStyle w:val="BookText"/>
      </w:pPr>
      <w:r>
        <w:rPr>
          <w:rFonts w:ascii="IRNazanin" w:hAnsi="IRNazanin" w:eastAsia="IRNazanin" w:cs="IRNazanin"/>
          <w:lang w:bidi="fa-IR"/>
          <w:color w:val="111111"/>
          <w:sz w:val="28"/>
          <w:szCs w:val="28"/>
          <w:rtl/>
        </w:rPr>
        <w:t xml:space="preserve">ص 579 .</w:t>
      </w:r>
    </w:p>
    <w:p>
      <w:pPr>
        <w:pStyle w:val="Heading2"/>
      </w:pPr>
      <w:bookmarkStart w:id="4757" w:name="_Toc3859"/>
      <w:r>
        <w:t>سبيتي ، كاظم، ه-</w:t>
      </w:r>
      <w:bookmarkEnd w:id="4757"/>
    </w:p>
    <w:p>
      <w:pPr>
        <w:pStyle w:val="BookText"/>
      </w:pPr>
      <w:r>
        <w:rPr>
          <w:rFonts w:ascii="IRNazanin" w:hAnsi="IRNazanin" w:eastAsia="IRNazanin" w:cs="IRNazanin"/>
          <w:lang w:bidi="fa-IR"/>
          <w:color w:val="111111"/>
          <w:sz w:val="28"/>
          <w:szCs w:val="28"/>
          <w:rtl/>
        </w:rPr>
        <w:t xml:space="preserve">دیوان سبيتي، ج 7، ص 650.</w:t>
      </w:r>
    </w:p>
    <w:p>
      <w:pPr>
        <w:pStyle w:val="BookText"/>
      </w:pPr>
      <w:r>
        <w:rPr>
          <w:rFonts w:ascii="Amiri" w:hAnsi="Amiri" w:eastAsia="Amiri" w:cs="Amiri"/>
          <w:lang w:bidi="ar-SA"/>
          <w:color w:val="111111"/>
          <w:sz w:val="28"/>
          <w:szCs w:val="28"/>
          <w:rtl/>
        </w:rPr>
        <w:t xml:space="preserve">سبيعي ، احمد بن محمّد -سبعي ، احمد بن محمّد</w:t>
      </w:r>
    </w:p>
    <w:p>
      <w:pPr>
        <w:pStyle w:val="BookText"/>
      </w:pPr>
      <w:r>
        <w:rPr>
          <w:rFonts w:ascii="Amiri" w:hAnsi="Amiri" w:eastAsia="Amiri" w:cs="Amiri"/>
          <w:lang w:bidi="ar-SA"/>
          <w:color w:val="111111"/>
          <w:sz w:val="28"/>
          <w:szCs w:val="28"/>
          <w:rtl/>
        </w:rPr>
        <w:t xml:space="preserve">سبيني ، ابراهيم بن عمر- سوبيني ،</w:t>
      </w:r>
    </w:p>
    <w:p>
      <w:pPr>
        <w:pStyle w:val="BookText"/>
      </w:pPr>
      <w:r>
        <w:rPr>
          <w:rFonts w:ascii="Amiri" w:hAnsi="Amiri" w:eastAsia="Amiri" w:cs="Amiri"/>
          <w:lang w:bidi="ar-SA"/>
          <w:color w:val="111111"/>
          <w:sz w:val="28"/>
          <w:szCs w:val="28"/>
          <w:rtl/>
        </w:rPr>
        <w:t xml:space="preserve">ابراهيم بن عمر</w:t>
      </w:r>
    </w:p>
    <w:p>
      <w:pPr>
        <w:pStyle w:val="Heading2"/>
      </w:pPr>
      <w:bookmarkStart w:id="4758" w:name="_Toc3860"/>
      <w:r>
        <w:t>سپاهي زاده، محمّد بن علي - 997 ه-</w:t>
      </w:r>
      <w:bookmarkEnd w:id="4758"/>
    </w:p>
    <w:p>
      <w:pPr>
        <w:pStyle w:val="BookText"/>
      </w:pPr>
      <w:r>
        <w:rPr>
          <w:rFonts w:ascii="Amiri" w:hAnsi="Amiri" w:eastAsia="Amiri" w:cs="Amiri"/>
          <w:lang w:bidi="ar-SA"/>
          <w:color w:val="111111"/>
          <w:sz w:val="28"/>
          <w:szCs w:val="28"/>
          <w:rtl/>
        </w:rPr>
        <w:t xml:space="preserve">اوضح المسالك إلى معرفة البلدان و الممالك، ج 3، ص 82.</w:t>
      </w:r>
    </w:p>
    <w:p>
      <w:pPr>
        <w:pStyle w:val="Heading2"/>
      </w:pPr>
      <w:bookmarkStart w:id="4759" w:name="_Toc3861"/>
      <w:r>
        <w:t>سپهر ، محمّد تقي بن محمّد علي 1216</w:t>
      </w:r>
      <w:bookmarkEnd w:id="4759"/>
    </w:p>
    <w:p>
      <w:pPr>
        <w:pStyle w:val="BookText"/>
      </w:pPr>
      <w:r>
        <w:rPr>
          <w:rFonts w:ascii="Amiri" w:hAnsi="Amiri" w:eastAsia="Amiri" w:cs="Amiri"/>
          <w:lang w:bidi="ar-SA"/>
          <w:color w:val="111111"/>
          <w:sz w:val="28"/>
          <w:szCs w:val="28"/>
          <w:rtl/>
        </w:rPr>
        <w:t xml:space="preserve">ناسخ التواريخ، ج 16، ص 81.</w:t>
      </w:r>
    </w:p>
    <w:p>
      <w:pPr>
        <w:pStyle w:val="Heading2"/>
      </w:pPr>
      <w:bookmarkStart w:id="4760" w:name="_Toc3862"/>
      <w:r>
        <w:t>ستاري ، علي بن ملاصالح</w:t>
      </w:r>
      <w:bookmarkEnd w:id="4760"/>
    </w:p>
    <w:p>
      <w:pPr>
        <w:pStyle w:val="BookText"/>
      </w:pPr>
      <w:r>
        <w:rPr>
          <w:rFonts w:ascii="Amiri" w:hAnsi="Amiri" w:eastAsia="Amiri" w:cs="Amiri"/>
          <w:lang w:bidi="ar-SA"/>
          <w:color w:val="111111"/>
          <w:sz w:val="28"/>
          <w:szCs w:val="28"/>
          <w:rtl/>
        </w:rPr>
        <w:t xml:space="preserve">مختصر في العبادات، ج 14، ص 216.</w:t>
      </w:r>
    </w:p>
    <w:p>
      <w:pPr>
        <w:pStyle w:val="BookText"/>
      </w:pPr>
      <w:r>
        <w:rPr>
          <w:rFonts w:ascii="Amiri" w:hAnsi="Amiri" w:eastAsia="Amiri" w:cs="Amiri"/>
          <w:lang w:bidi="ar-SA"/>
          <w:color w:val="111111"/>
          <w:sz w:val="28"/>
          <w:szCs w:val="28"/>
          <w:rtl/>
        </w:rPr>
        <w:t xml:space="preserve">ستري بحراني ، سليمان بن عبدالله- بحراني</w:t>
      </w:r>
    </w:p>
    <w:p>
      <w:pPr>
        <w:pStyle w:val="BookText"/>
      </w:pPr>
      <w:r>
        <w:rPr>
          <w:rFonts w:ascii="Amiri" w:hAnsi="Amiri" w:eastAsia="Amiri" w:cs="Amiri"/>
          <w:lang w:bidi="ar-SA"/>
          <w:color w:val="111111"/>
          <w:sz w:val="28"/>
          <w:szCs w:val="28"/>
          <w:rtl/>
        </w:rPr>
        <w:t xml:space="preserve">، سليمان بن عبدالله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4" w:name="pg7742_70503"/>
    <w:bookmarkEnd w:id="554"/>
    <w:p>
      <w:pPr>
        <w:pStyle w:val="Heading2"/>
      </w:pPr>
      <w:bookmarkStart w:id="4761" w:name="_Toc3863"/>
      <w:r>
        <w:t>ستري بحراني ، شبر علي بن مشعل</w:t>
      </w:r>
      <w:bookmarkEnd w:id="4761"/>
    </w:p>
    <w:p>
      <w:pPr>
        <w:pStyle w:val="BookText"/>
      </w:pPr>
      <w:r>
        <w:rPr>
          <w:rFonts w:ascii="Amiri" w:hAnsi="Amiri" w:eastAsia="Amiri" w:cs="Amiri"/>
          <w:lang w:bidi="ar-SA"/>
          <w:color w:val="111111"/>
          <w:sz w:val="28"/>
          <w:szCs w:val="28"/>
          <w:rtl/>
        </w:rPr>
        <w:t xml:space="preserve">مهذب الافهام في مدارك الاحكام</w:t>
      </w:r>
    </w:p>
    <w:p>
      <w:pPr>
        <w:pStyle w:val="BookText"/>
      </w:pPr>
      <w:r>
        <w:rPr>
          <w:rFonts w:ascii="IRNazanin" w:hAnsi="IRNazanin" w:eastAsia="IRNazanin" w:cs="IRNazanin"/>
          <w:lang w:bidi="fa-IR"/>
          <w:color w:val="111111"/>
          <w:sz w:val="28"/>
          <w:szCs w:val="28"/>
          <w:rtl/>
        </w:rPr>
        <w:t xml:space="preserve">ج 15 ، ص 844.</w:t>
      </w:r>
    </w:p>
    <w:p>
      <w:pPr>
        <w:pStyle w:val="Heading2"/>
      </w:pPr>
      <w:bookmarkStart w:id="4762" w:name="_Toc3864"/>
      <w:r>
        <w:t>ستري بحراني ، عبد الله بن احمد قرن 13</w:t>
      </w:r>
      <w:bookmarkEnd w:id="4762"/>
    </w:p>
    <w:p>
      <w:pPr>
        <w:pStyle w:val="BookText"/>
      </w:pPr>
      <w:r>
        <w:rPr>
          <w:rFonts w:ascii="Amiri" w:hAnsi="Amiri" w:eastAsia="Amiri" w:cs="Amiri"/>
          <w:lang w:bidi="ar-SA"/>
          <w:color w:val="111111"/>
          <w:sz w:val="28"/>
          <w:szCs w:val="28"/>
          <w:rtl/>
        </w:rPr>
        <w:t xml:space="preserve">التحف النحوية في شرح الآجرومية</w:t>
      </w:r>
    </w:p>
    <w:p>
      <w:pPr>
        <w:pStyle w:val="BookText"/>
      </w:pPr>
      <w:r>
        <w:rPr>
          <w:rFonts w:ascii="IRNazanin" w:hAnsi="IRNazanin" w:eastAsia="IRNazanin" w:cs="IRNazanin"/>
          <w:lang w:bidi="fa-IR"/>
          <w:color w:val="111111"/>
          <w:sz w:val="28"/>
          <w:szCs w:val="28"/>
          <w:rtl/>
        </w:rPr>
        <w:t xml:space="preserve">ج 4، ص 42.</w:t>
      </w:r>
    </w:p>
    <w:p>
      <w:pPr>
        <w:pStyle w:val="Heading2"/>
      </w:pPr>
      <w:bookmarkStart w:id="4763" w:name="_Toc3865"/>
      <w:r>
        <w:t>ستري بحراني ، عبدالله بن عباس - 1270</w:t>
      </w:r>
      <w:bookmarkEnd w:id="4763"/>
    </w:p>
    <w:p>
      <w:pPr>
        <w:pStyle w:val="BookText"/>
      </w:pPr>
      <w:r>
        <w:rPr>
          <w:rFonts w:ascii="Amiri" w:hAnsi="Amiri" w:eastAsia="Amiri" w:cs="Amiri"/>
          <w:lang w:bidi="ar-SA"/>
          <w:color w:val="111111"/>
          <w:sz w:val="28"/>
          <w:szCs w:val="28"/>
          <w:rtl/>
        </w:rPr>
        <w:t xml:space="preserve">1 .اجوبة مسائل، ج 1، ص338</w:t>
      </w:r>
    </w:p>
    <w:p>
      <w:pPr>
        <w:pStyle w:val="BookText"/>
      </w:pPr>
      <w:r>
        <w:rPr>
          <w:rFonts w:ascii="Amiri" w:hAnsi="Amiri" w:eastAsia="Amiri" w:cs="Amiri"/>
          <w:lang w:bidi="ar-SA"/>
          <w:color w:val="111111"/>
          <w:sz w:val="28"/>
          <w:szCs w:val="28"/>
          <w:rtl/>
        </w:rPr>
        <w:t xml:space="preserve">2 .الجهر والاخفات في الاخيرتين بالتسبيح، ج 5، ص 488.</w:t>
      </w:r>
    </w:p>
    <w:p>
      <w:pPr>
        <w:pStyle w:val="BookText"/>
      </w:pPr>
      <w:r>
        <w:rPr>
          <w:rFonts w:ascii="Amiri" w:hAnsi="Amiri" w:eastAsia="Amiri" w:cs="Amiri"/>
          <w:lang w:bidi="ar-SA"/>
          <w:color w:val="111111"/>
          <w:sz w:val="28"/>
          <w:szCs w:val="28"/>
          <w:rtl/>
        </w:rPr>
        <w:t xml:space="preserve">3 .منية الراغبين ج 15 ، ص 822.</w:t>
      </w:r>
    </w:p>
    <w:p>
      <w:pPr>
        <w:pStyle w:val="BookText"/>
      </w:pPr>
      <w:r>
        <w:rPr>
          <w:rFonts w:ascii="Amiri" w:hAnsi="Amiri" w:eastAsia="Amiri" w:cs="Amiri"/>
          <w:lang w:bidi="ar-SA"/>
          <w:color w:val="111111"/>
          <w:sz w:val="28"/>
          <w:szCs w:val="28"/>
          <w:rtl/>
        </w:rPr>
        <w:t xml:space="preserve">ستري بحراني ، علي بن سليمان -بحراني</w:t>
      </w:r>
    </w:p>
    <w:p>
      <w:pPr>
        <w:pStyle w:val="BookText"/>
      </w:pPr>
      <w:r>
        <w:rPr>
          <w:rFonts w:ascii="Amiri" w:hAnsi="Amiri" w:eastAsia="Amiri" w:cs="Amiri"/>
          <w:lang w:bidi="ar-SA"/>
          <w:color w:val="111111"/>
          <w:sz w:val="28"/>
          <w:szCs w:val="28"/>
          <w:rtl/>
        </w:rPr>
        <w:t xml:space="preserve">علي بن سليمان</w:t>
      </w:r>
    </w:p>
    <w:p>
      <w:pPr>
        <w:pStyle w:val="Heading2"/>
      </w:pPr>
      <w:bookmarkStart w:id="4764" w:name="_Toc3866"/>
      <w:r>
        <w:t>ستري بحراني ، علي بن عبدالله - 1319</w:t>
      </w:r>
      <w:bookmarkEnd w:id="4764"/>
    </w:p>
    <w:p>
      <w:pPr>
        <w:pStyle w:val="BookText"/>
      </w:pPr>
      <w:r>
        <w:rPr>
          <w:rFonts w:ascii="IRNazanin" w:hAnsi="IRNazanin" w:eastAsia="IRNazanin" w:cs="IRNazanin"/>
          <w:lang w:bidi="fa-IR"/>
          <w:color w:val="111111"/>
          <w:sz w:val="28"/>
          <w:szCs w:val="28"/>
          <w:rtl/>
        </w:rPr>
        <w:t xml:space="preserve">رسائل، ج8، ص 126.</w:t>
      </w:r>
    </w:p>
    <w:p>
      <w:pPr>
        <w:pStyle w:val="BookText"/>
      </w:pPr>
      <w:r>
        <w:rPr>
          <w:rFonts w:ascii="Amiri" w:hAnsi="Amiri" w:eastAsia="Amiri" w:cs="Amiri"/>
          <w:lang w:bidi="ar-SA"/>
          <w:color w:val="111111"/>
          <w:sz w:val="28"/>
          <w:szCs w:val="28"/>
          <w:rtl/>
        </w:rPr>
        <w:t xml:space="preserve">ستري ، جعفر بن محمّد- بحراني ، جعفر بن محمّد</w:t>
      </w:r>
    </w:p>
    <w:p>
      <w:pPr>
        <w:pStyle w:val="BookText"/>
      </w:pPr>
      <w:r>
        <w:rPr>
          <w:rFonts w:ascii="Amiri" w:hAnsi="Amiri" w:eastAsia="Amiri" w:cs="Amiri"/>
          <w:lang w:bidi="ar-SA"/>
          <w:color w:val="111111"/>
          <w:sz w:val="28"/>
          <w:szCs w:val="28"/>
          <w:rtl/>
        </w:rPr>
        <w:t xml:space="preserve">ستري ، علي بن عبدالله- ستري بحراني ،</w:t>
      </w:r>
    </w:p>
    <w:p>
      <w:pPr>
        <w:pStyle w:val="BookText"/>
      </w:pPr>
      <w:r>
        <w:rPr>
          <w:rFonts w:ascii="Amiri" w:hAnsi="Amiri" w:eastAsia="Amiri" w:cs="Amiri"/>
          <w:lang w:bidi="ar-SA"/>
          <w:color w:val="111111"/>
          <w:sz w:val="28"/>
          <w:szCs w:val="28"/>
          <w:rtl/>
        </w:rPr>
        <w:t xml:space="preserve">علي بن عبدالله</w:t>
      </w:r>
    </w:p>
    <w:p>
      <w:pPr>
        <w:pStyle w:val="Heading2"/>
      </w:pPr>
      <w:bookmarkStart w:id="4765" w:name="_Toc3867"/>
      <w:r>
        <w:t>ستري ، محمّد بن خلف</w:t>
      </w:r>
      <w:bookmarkEnd w:id="4765"/>
    </w:p>
    <w:p>
      <w:pPr>
        <w:pStyle w:val="BookText"/>
      </w:pPr>
      <w:r>
        <w:rPr>
          <w:rFonts w:ascii="Amiri" w:hAnsi="Amiri" w:eastAsia="Amiri" w:cs="Amiri"/>
          <w:lang w:bidi="ar-SA"/>
          <w:color w:val="111111"/>
          <w:sz w:val="28"/>
          <w:szCs w:val="28"/>
          <w:rtl/>
        </w:rPr>
        <w:t xml:space="preserve">1 .اجوبة ثلاثة اسئلة، ج1، ص321.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شكوك الصلاة، ج 10، ص 404.</w:t>
      </w:r>
    </w:p>
    <w:p>
      <w:pPr>
        <w:pStyle w:val="BookText"/>
      </w:pPr>
      <w:r>
        <w:rPr>
          <w:rFonts w:ascii="Amiri" w:hAnsi="Amiri" w:eastAsia="Amiri" w:cs="Amiri"/>
          <w:lang w:bidi="ar-SA"/>
          <w:color w:val="111111"/>
          <w:sz w:val="28"/>
          <w:szCs w:val="28"/>
          <w:rtl/>
        </w:rPr>
        <w:t xml:space="preserve">ستيسيني ، سليمان بن داود -سقسيني ،</w:t>
      </w:r>
    </w:p>
    <w:p>
      <w:pPr>
        <w:pStyle w:val="BookText"/>
      </w:pPr>
      <w:r>
        <w:rPr>
          <w:rFonts w:ascii="IRNazanin" w:hAnsi="IRNazanin" w:eastAsia="IRNazanin" w:cs="IRNazanin"/>
          <w:lang w:bidi="fa-IR"/>
          <w:color w:val="111111"/>
          <w:sz w:val="28"/>
          <w:szCs w:val="28"/>
          <w:rtl/>
        </w:rPr>
        <w:t xml:space="preserve">سلیمان بن داود</w:t>
      </w:r>
    </w:p>
    <w:p>
      <w:pPr>
        <w:pStyle w:val="BookText"/>
      </w:pPr>
      <w:r>
        <w:rPr>
          <w:rFonts w:ascii="Amiri" w:hAnsi="Amiri" w:eastAsia="Amiri" w:cs="Amiri"/>
          <w:lang w:bidi="ar-SA"/>
          <w:color w:val="111111"/>
          <w:sz w:val="28"/>
          <w:szCs w:val="28"/>
          <w:rtl/>
        </w:rPr>
        <w:t xml:space="preserve">سجاد رضوي- رضوي ، سجاد</w:t>
      </w:r>
    </w:p>
    <w:p>
      <w:pPr>
        <w:pStyle w:val="Heading2"/>
      </w:pPr>
      <w:bookmarkStart w:id="4766" w:name="_Toc3868"/>
      <w:r>
        <w:t>سجاعي ، احمد بن احمد - 1197 ه-</w:t>
      </w:r>
      <w:bookmarkEnd w:id="4766"/>
    </w:p>
    <w:p>
      <w:pPr>
        <w:pStyle w:val="BookText"/>
      </w:pPr>
      <w:r>
        <w:rPr>
          <w:rFonts w:ascii="Amiri" w:hAnsi="Amiri" w:eastAsia="Amiri" w:cs="Amiri"/>
          <w:lang w:bidi="ar-SA"/>
          <w:color w:val="111111"/>
          <w:sz w:val="28"/>
          <w:szCs w:val="28"/>
          <w:rtl/>
        </w:rPr>
        <w:t xml:space="preserve">1 .شرح بيتي المقولات، ج 9، ص 295.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فتح الجليل على شرح شواهد لإبن</w:t>
      </w:r>
    </w:p>
    <w:p>
      <w:pPr>
        <w:pStyle w:val="BookText"/>
      </w:pPr>
      <w:r>
        <w:rPr>
          <w:rFonts w:ascii="Amiri" w:hAnsi="Amiri" w:eastAsia="Amiri" w:cs="Amiri"/>
          <w:lang w:bidi="ar-SA"/>
          <w:color w:val="111111"/>
          <w:sz w:val="28"/>
          <w:szCs w:val="28"/>
          <w:rtl/>
        </w:rPr>
        <w:t xml:space="preserve">عقيل، ج 11 ، ص 642 .</w:t>
      </w:r>
    </w:p>
    <w:p>
      <w:pPr>
        <w:pStyle w:val="BookText"/>
      </w:pPr>
      <w:r>
        <w:rPr>
          <w:rFonts w:ascii="Amiri" w:hAnsi="Amiri" w:eastAsia="Amiri" w:cs="Amiri"/>
          <w:lang w:bidi="ar-SA"/>
          <w:color w:val="111111"/>
          <w:sz w:val="28"/>
          <w:szCs w:val="28"/>
          <w:rtl/>
        </w:rPr>
        <w:t xml:space="preserve">سجاوندي ، سراج الدين ابوطاهر محمّد بن</w:t>
      </w:r>
    </w:p>
    <w:p>
      <w:pPr>
        <w:pStyle w:val="BookText"/>
      </w:pPr>
      <w:r>
        <w:rPr>
          <w:rFonts w:ascii="Amiri" w:hAnsi="Amiri" w:eastAsia="Amiri" w:cs="Amiri"/>
          <w:lang w:bidi="ar-SA"/>
          <w:color w:val="111111"/>
          <w:sz w:val="28"/>
          <w:szCs w:val="28"/>
          <w:rtl/>
        </w:rPr>
        <w:t xml:space="preserve">محمّد -سجاوندي، محمّد بن محمّد</w:t>
      </w:r>
    </w:p>
    <w:p>
      <w:pPr>
        <w:pStyle w:val="BookText"/>
      </w:pPr>
      <w:r>
        <w:rPr>
          <w:rFonts w:ascii="Amiri" w:hAnsi="Amiri" w:eastAsia="Amiri" w:cs="Amiri"/>
          <w:lang w:bidi="ar-SA"/>
          <w:color w:val="111111"/>
          <w:sz w:val="28"/>
          <w:szCs w:val="28"/>
          <w:rtl/>
        </w:rPr>
        <w:t xml:space="preserve">سجاوندي غزنوي سمرقندي ، ابوعبدالله (ابوجعفر) خواجه محمّد -سجاوندي ، محمّد بن طيفور</w:t>
      </w:r>
    </w:p>
    <w:p>
      <w:pPr>
        <w:pStyle w:val="Heading2"/>
      </w:pPr>
      <w:bookmarkStart w:id="4767" w:name="_Toc3869"/>
      <w:r>
        <w:t>سجاوندي، محمّد بن طيفور - 560 ه-</w:t>
      </w:r>
      <w:bookmarkEnd w:id="4767"/>
    </w:p>
    <w:p>
      <w:pPr>
        <w:pStyle w:val="BookText"/>
      </w:pPr>
      <w:r>
        <w:rPr>
          <w:rFonts w:ascii="IRNazanin" w:hAnsi="IRNazanin" w:eastAsia="IRNazanin" w:cs="IRNazanin"/>
          <w:lang w:bidi="fa-IR"/>
          <w:color w:val="111111"/>
          <w:sz w:val="28"/>
          <w:szCs w:val="28"/>
          <w:rtl/>
        </w:rPr>
        <w:t xml:space="preserve">1 .أوقاف القرآن، ج 3، ص 86.</w:t>
      </w:r>
    </w:p>
    <w:p>
      <w:pPr>
        <w:pStyle w:val="BookText"/>
      </w:pPr>
      <w:r>
        <w:rPr>
          <w:rFonts w:ascii="Amiri" w:hAnsi="Amiri" w:eastAsia="Amiri" w:cs="Amiri"/>
          <w:lang w:bidi="ar-SA"/>
          <w:color w:val="111111"/>
          <w:sz w:val="28"/>
          <w:szCs w:val="28"/>
          <w:rtl/>
        </w:rPr>
        <w:t xml:space="preserve">2 .الايضاح في الوقف والابتداء، ج 3،</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Amiri" w:hAnsi="Amiri" w:eastAsia="Amiri" w:cs="Amiri"/>
          <w:lang w:bidi="ar-SA"/>
          <w:color w:val="111111"/>
          <w:sz w:val="28"/>
          <w:szCs w:val="28"/>
          <w:rtl/>
        </w:rPr>
        <w:t xml:space="preserve">3 .جامع الوقف و الآي، ج 5، ص 353.</w:t>
      </w:r>
    </w:p>
    <w:p>
      <w:pPr>
        <w:pStyle w:val="BookText"/>
      </w:pPr>
      <w:r>
        <w:rPr>
          <w:rFonts w:ascii="Amiri" w:hAnsi="Amiri" w:eastAsia="Amiri" w:cs="Amiri"/>
          <w:lang w:bidi="ar-SA"/>
          <w:color w:val="111111"/>
          <w:sz w:val="28"/>
          <w:szCs w:val="28"/>
          <w:rtl/>
        </w:rPr>
        <w:t xml:space="preserve">4 .عين المعاني بتفسير القرآن الرباني</w:t>
      </w:r>
    </w:p>
    <w:p>
      <w:pPr>
        <w:pStyle w:val="BookText"/>
      </w:pPr>
      <w:r>
        <w:rPr>
          <w:rFonts w:ascii="IRNazanin" w:hAnsi="IRNazanin" w:eastAsia="IRNazanin" w:cs="IRNazanin"/>
          <w:lang w:bidi="fa-IR"/>
          <w:color w:val="111111"/>
          <w:sz w:val="28"/>
          <w:szCs w:val="28"/>
          <w:rtl/>
        </w:rPr>
        <w:t xml:space="preserve">ج 11، ص 381.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مواقف الآيات، ج 15، ص 879.</w:t>
      </w:r>
    </w:p>
    <w:p>
      <w:pPr>
        <w:pStyle w:val="BookText"/>
      </w:pPr>
      <w:r>
        <w:rPr>
          <w:rFonts w:ascii="Amiri" w:hAnsi="Amiri" w:eastAsia="Amiri" w:cs="Amiri"/>
          <w:lang w:bidi="ar-SA"/>
          <w:color w:val="111111"/>
          <w:sz w:val="28"/>
          <w:szCs w:val="28"/>
          <w:rtl/>
        </w:rPr>
        <w:t xml:space="preserve">6 .الوقف والابتداء = الوقوف السجاوندي = الوقف والابتداء</w:t>
      </w:r>
    </w:p>
    <w:p>
      <w:pPr>
        <w:pStyle w:val="BookText"/>
      </w:pPr>
      <w:r>
        <w:rPr>
          <w:rFonts w:ascii="Amiri" w:hAnsi="Amiri" w:eastAsia="Amiri" w:cs="Amiri"/>
          <w:lang w:bidi="ar-SA"/>
          <w:color w:val="111111"/>
          <w:sz w:val="28"/>
          <w:szCs w:val="28"/>
          <w:rtl/>
        </w:rPr>
        <w:t xml:space="preserve">الكبير، ج 16، ص 872.</w:t>
      </w:r>
    </w:p>
    <w:p>
      <w:pPr>
        <w:pStyle w:val="BookText"/>
      </w:pPr>
      <w:r>
        <w:rPr>
          <w:rFonts w:ascii="Amiri" w:hAnsi="Amiri" w:eastAsia="Amiri" w:cs="Amiri"/>
          <w:lang w:bidi="ar-SA"/>
          <w:color w:val="111111"/>
          <w:sz w:val="28"/>
          <w:szCs w:val="28"/>
          <w:rtl/>
        </w:rPr>
        <w:t xml:space="preserve">7 .وقوف القرآن = الموجز = الوقف و الابتداء الصغير، ج 16، ص 878.</w:t>
      </w:r>
    </w:p>
    <w:p>
      <w:pPr>
        <w:pStyle w:val="Heading2"/>
      </w:pPr>
      <w:bookmarkStart w:id="4768" w:name="_Toc3870"/>
      <w:r>
        <w:t>سجاوندي ، محمّد بن محمّد قرن 6 ه-</w:t>
      </w:r>
      <w:bookmarkEnd w:id="4768"/>
    </w:p>
    <w:p>
      <w:pPr>
        <w:pStyle w:val="BookText"/>
      </w:pPr>
      <w:r>
        <w:rPr>
          <w:rFonts w:ascii="IRNazanin" w:hAnsi="IRNazanin" w:eastAsia="IRNazanin" w:cs="IRNazanin"/>
          <w:lang w:bidi="fa-IR"/>
          <w:color w:val="111111"/>
          <w:sz w:val="28"/>
          <w:szCs w:val="28"/>
          <w:rtl/>
        </w:rPr>
        <w:t xml:space="preserve">1 .شرح الفرائض، ج 9، ص 774.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فرائض السجاوندي = الفرائض السراجية، ج 11، ص 763.</w:t>
      </w:r>
    </w:p>
    <w:p>
      <w:pPr>
        <w:pStyle w:val="BookText"/>
      </w:pPr>
      <w:r>
        <w:rPr>
          <w:rFonts w:ascii="IRNazanin" w:hAnsi="IRNazanin" w:eastAsia="IRNazanin" w:cs="IRNazanin"/>
          <w:lang w:bidi="fa-IR"/>
          <w:color w:val="111111"/>
          <w:sz w:val="28"/>
          <w:szCs w:val="28"/>
          <w:rtl/>
        </w:rPr>
        <w:t xml:space="preserve">سجزي ، ابویعقوب اسحاق بن</w:t>
      </w:r>
    </w:p>
    <w:p>
      <w:pPr>
        <w:pStyle w:val="BookText"/>
      </w:pPr>
      <w:r>
        <w:rPr>
          <w:rFonts w:ascii="IRNazanin" w:hAnsi="IRNazanin" w:eastAsia="IRNazanin" w:cs="IRNazanin"/>
          <w:lang w:bidi="fa-IR"/>
          <w:color w:val="111111"/>
          <w:sz w:val="28"/>
          <w:szCs w:val="28"/>
          <w:rtl/>
        </w:rPr>
        <w:t xml:space="preserve">احمد- ابویعقوب سجستاني ، اسحاق بن</w:t>
      </w:r>
    </w:p>
    <w:p>
      <w:pPr>
        <w:pStyle w:val="BookText"/>
      </w:pPr>
      <w:r>
        <w:rPr>
          <w:rFonts w:ascii="IRNazanin" w:hAnsi="IRNazanin" w:eastAsia="IRNazanin" w:cs="IRNazanin"/>
          <w:lang w:bidi="fa-IR"/>
          <w:color w:val="111111"/>
          <w:sz w:val="28"/>
          <w:szCs w:val="28"/>
          <w:rtl/>
        </w:rPr>
        <w:t xml:space="preserve">احمد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5" w:name="pg7742_70506"/>
    <w:bookmarkEnd w:id="555"/>
    <w:p>
      <w:pPr>
        <w:pStyle w:val="BookText"/>
      </w:pPr>
      <w:r>
        <w:rPr>
          <w:rFonts w:ascii="Amiri" w:hAnsi="Amiri" w:eastAsia="Amiri" w:cs="Amiri"/>
          <w:lang w:bidi="ar-SA"/>
          <w:color w:val="111111"/>
          <w:sz w:val="28"/>
          <w:szCs w:val="28"/>
          <w:rtl/>
        </w:rPr>
        <w:t xml:space="preserve">سجزي ، احمد بن عبد الجليل -سجزي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4769" w:name="_Toc3871"/>
      <w:r>
        <w:t>سجزي ، احمد بن محمّد 330 - 415ه-</w:t>
      </w:r>
      <w:bookmarkEnd w:id="4769"/>
    </w:p>
    <w:p>
      <w:pPr>
        <w:pStyle w:val="BookText"/>
      </w:pPr>
      <w:r>
        <w:rPr>
          <w:rFonts w:ascii="IRNazanin" w:hAnsi="IRNazanin" w:eastAsia="IRNazanin" w:cs="IRNazanin"/>
          <w:lang w:bidi="fa-IR"/>
          <w:color w:val="111111"/>
          <w:sz w:val="28"/>
          <w:szCs w:val="28"/>
          <w:rtl/>
        </w:rPr>
        <w:t xml:space="preserve">1 الاسعار، ج 2، ص197.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الالوف( منتخب)، ج2، ص698.</w:t>
      </w:r>
    </w:p>
    <w:p>
      <w:pPr>
        <w:pStyle w:val="BookText"/>
      </w:pPr>
      <w:r>
        <w:rPr>
          <w:rFonts w:ascii="Amiri" w:hAnsi="Amiri" w:eastAsia="Amiri" w:cs="Amiri"/>
          <w:lang w:bidi="ar-SA"/>
          <w:color w:val="111111"/>
          <w:sz w:val="28"/>
          <w:szCs w:val="28"/>
          <w:rtl/>
        </w:rPr>
        <w:t xml:space="preserve">3.برهان الكفاية، ج 3، ص 317.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المزاجات، ج 14، ص 414.</w:t>
      </w:r>
    </w:p>
    <w:p>
      <w:pPr>
        <w:pStyle w:val="BookText"/>
      </w:pPr>
      <w:r>
        <w:rPr>
          <w:rFonts w:ascii="Amiri" w:hAnsi="Amiri" w:eastAsia="Amiri" w:cs="Amiri"/>
          <w:lang w:bidi="ar-SA"/>
          <w:color w:val="111111"/>
          <w:sz w:val="28"/>
          <w:szCs w:val="28"/>
          <w:rtl/>
        </w:rPr>
        <w:t xml:space="preserve">سجزي ، احمد بن محمّد بن عبد الجليل- سجزي ، احمد بن محمّد</w:t>
      </w:r>
    </w:p>
    <w:p>
      <w:pPr>
        <w:pStyle w:val="BookText"/>
      </w:pPr>
      <w:r>
        <w:rPr>
          <w:rFonts w:ascii="Amiri" w:hAnsi="Amiri" w:eastAsia="Amiri" w:cs="Amiri"/>
          <w:lang w:bidi="ar-SA"/>
          <w:color w:val="111111"/>
          <w:sz w:val="28"/>
          <w:szCs w:val="28"/>
          <w:rtl/>
        </w:rPr>
        <w:t xml:space="preserve">سجزي بغدادي ، احمد بن محمّد- ابن</w:t>
      </w:r>
    </w:p>
    <w:p>
      <w:pPr>
        <w:pStyle w:val="BookText"/>
      </w:pPr>
      <w:r>
        <w:rPr>
          <w:rFonts w:ascii="IRNazanin" w:hAnsi="IRNazanin" w:eastAsia="IRNazanin" w:cs="IRNazanin"/>
          <w:lang w:bidi="fa-IR"/>
          <w:color w:val="111111"/>
          <w:sz w:val="28"/>
          <w:szCs w:val="28"/>
          <w:rtl/>
        </w:rPr>
        <w:t xml:space="preserve">علوجه ، احمد بن محمّد</w:t>
      </w:r>
    </w:p>
    <w:p>
      <w:pPr>
        <w:pStyle w:val="Heading2"/>
      </w:pPr>
      <w:bookmarkStart w:id="4770" w:name="_Toc3872"/>
      <w:r>
        <w:t>سجزي ، حسين بن غواص</w:t>
      </w:r>
      <w:bookmarkEnd w:id="4770"/>
    </w:p>
    <w:p>
      <w:pPr>
        <w:pStyle w:val="BookText"/>
      </w:pPr>
      <w:r>
        <w:rPr>
          <w:rFonts w:ascii="Amiri" w:hAnsi="Amiri" w:eastAsia="Amiri" w:cs="Amiri"/>
          <w:lang w:bidi="ar-SA"/>
          <w:color w:val="111111"/>
          <w:sz w:val="28"/>
          <w:szCs w:val="28"/>
          <w:rtl/>
        </w:rPr>
        <w:t xml:space="preserve">عيون التفاسير، ج 11، ص 397</w:t>
      </w:r>
    </w:p>
    <w:p>
      <w:pPr>
        <w:pStyle w:val="BookText"/>
      </w:pPr>
      <w:r>
        <w:rPr>
          <w:rFonts w:ascii="Amiri" w:hAnsi="Amiri" w:eastAsia="Amiri" w:cs="Amiri"/>
          <w:lang w:bidi="ar-SA"/>
          <w:color w:val="111111"/>
          <w:sz w:val="28"/>
          <w:szCs w:val="28"/>
          <w:rtl/>
        </w:rPr>
        <w:t xml:space="preserve">سجزي ، محمّد بن طاهر - سجستاني</w:t>
      </w:r>
    </w:p>
    <w:p>
      <w:pPr>
        <w:pStyle w:val="BookText"/>
      </w:pPr>
      <w:r>
        <w:rPr>
          <w:rFonts w:ascii="IRNazanin" w:hAnsi="IRNazanin" w:eastAsia="IRNazanin" w:cs="IRNazanin"/>
          <w:lang w:bidi="fa-IR"/>
          <w:color w:val="111111"/>
          <w:sz w:val="28"/>
          <w:szCs w:val="28"/>
          <w:rtl/>
        </w:rPr>
        <w:t xml:space="preserve">محمّد بن طاهر</w:t>
      </w:r>
    </w:p>
    <w:p>
      <w:pPr>
        <w:pStyle w:val="BookText"/>
      </w:pPr>
      <w:r>
        <w:rPr>
          <w:rFonts w:ascii="Amiri" w:hAnsi="Amiri" w:eastAsia="Amiri" w:cs="Amiri"/>
          <w:lang w:bidi="ar-SA"/>
          <w:color w:val="111111"/>
          <w:sz w:val="28"/>
          <w:szCs w:val="28"/>
          <w:rtl/>
        </w:rPr>
        <w:t xml:space="preserve">سجزي ، محمود بن طاهر- سكزي ،</w:t>
      </w:r>
    </w:p>
    <w:p>
      <w:pPr>
        <w:pStyle w:val="BookText"/>
      </w:pPr>
      <w:r>
        <w:rPr>
          <w:rFonts w:ascii="IRNazanin" w:hAnsi="IRNazanin" w:eastAsia="IRNazanin" w:cs="IRNazanin"/>
          <w:lang w:bidi="fa-IR"/>
          <w:color w:val="111111"/>
          <w:sz w:val="28"/>
          <w:szCs w:val="28"/>
          <w:rtl/>
        </w:rPr>
        <w:t xml:space="preserve">محمود بن طاهر</w:t>
      </w:r>
    </w:p>
    <w:p>
      <w:pPr>
        <w:pStyle w:val="Heading2"/>
      </w:pPr>
      <w:bookmarkStart w:id="4771" w:name="_Toc3873"/>
      <w:r>
        <w:t>سجزي ، محمود بن عمر قرن 6 ه-</w:t>
      </w:r>
      <w:bookmarkEnd w:id="4771"/>
    </w:p>
    <w:p>
      <w:pPr>
        <w:pStyle w:val="BookText"/>
      </w:pPr>
      <w:r>
        <w:rPr>
          <w:rFonts w:ascii="Amiri" w:hAnsi="Amiri" w:eastAsia="Amiri" w:cs="Amiri"/>
          <w:lang w:bidi="ar-SA"/>
          <w:color w:val="111111"/>
          <w:sz w:val="28"/>
          <w:szCs w:val="28"/>
          <w:rtl/>
        </w:rPr>
        <w:t xml:space="preserve">مهذب الاسماء في مراتب الحروف (و)</w:t>
      </w:r>
    </w:p>
    <w:p>
      <w:pPr>
        <w:pStyle w:val="BookText"/>
      </w:pPr>
      <w:r>
        <w:rPr>
          <w:rFonts w:ascii="Amiri" w:hAnsi="Amiri" w:eastAsia="Amiri" w:cs="Amiri"/>
          <w:lang w:bidi="ar-SA"/>
          <w:color w:val="111111"/>
          <w:sz w:val="28"/>
          <w:szCs w:val="28"/>
          <w:rtl/>
        </w:rPr>
        <w:t xml:space="preserve">الاشياء، ج 15، ص 843.</w:t>
      </w:r>
    </w:p>
    <w:p>
      <w:pPr>
        <w:pStyle w:val="BookText"/>
      </w:pPr>
      <w:r>
        <w:rPr>
          <w:rFonts w:ascii="Amiri" w:hAnsi="Amiri" w:eastAsia="Amiri" w:cs="Amiri"/>
          <w:lang w:bidi="ar-SA"/>
          <w:color w:val="111111"/>
          <w:sz w:val="28"/>
          <w:szCs w:val="28"/>
          <w:rtl/>
        </w:rPr>
        <w:t xml:space="preserve">سجزي ، مسعود بن محمّد -سنجري</w:t>
      </w:r>
    </w:p>
    <w:p>
      <w:pPr>
        <w:pStyle w:val="BookText"/>
      </w:pPr>
      <w:r>
        <w:rPr>
          <w:rFonts w:ascii="IRNazanin" w:hAnsi="IRNazanin" w:eastAsia="IRNazanin" w:cs="IRNazanin"/>
          <w:lang w:bidi="fa-IR"/>
          <w:color w:val="111111"/>
          <w:sz w:val="28"/>
          <w:szCs w:val="28"/>
          <w:rtl/>
        </w:rPr>
        <w:t xml:space="preserve">مسعود بن محمّد</w:t>
      </w:r>
    </w:p>
    <w:p>
      <w:pPr>
        <w:pStyle w:val="BookText"/>
      </w:pPr>
      <w:r>
        <w:rPr>
          <w:rFonts w:ascii="Amiri" w:hAnsi="Amiri" w:eastAsia="Amiri" w:cs="Amiri"/>
          <w:lang w:bidi="ar-SA"/>
          <w:color w:val="111111"/>
          <w:sz w:val="28"/>
          <w:szCs w:val="28"/>
          <w:rtl/>
        </w:rPr>
        <w:t xml:space="preserve">سجستاني ، ابوبكر محمّد بن</w:t>
      </w:r>
    </w:p>
    <w:p>
      <w:pPr>
        <w:pStyle w:val="BookText"/>
      </w:pPr>
      <w:r>
        <w:rPr>
          <w:rFonts w:ascii="Amiri" w:hAnsi="Amiri" w:eastAsia="Amiri" w:cs="Amiri"/>
          <w:lang w:bidi="ar-SA"/>
          <w:color w:val="111111"/>
          <w:sz w:val="28"/>
          <w:szCs w:val="28"/>
          <w:rtl/>
        </w:rPr>
        <w:t xml:space="preserve">عبد العزيز- سجستاني ، محمّد بن عزير</w:t>
      </w:r>
    </w:p>
    <w:p>
      <w:pPr>
        <w:pStyle w:val="BookText"/>
      </w:pPr>
      <w:r>
        <w:rPr>
          <w:rFonts w:ascii="Amiri" w:hAnsi="Amiri" w:eastAsia="Amiri" w:cs="Amiri"/>
          <w:lang w:bidi="ar-SA"/>
          <w:color w:val="111111"/>
          <w:sz w:val="28"/>
          <w:szCs w:val="28"/>
          <w:rtl/>
        </w:rPr>
        <w:t xml:space="preserve">سجستاني ، ابوحاتم ابوحاتم سجستاني سهل بن محمّد</w:t>
      </w:r>
    </w:p>
    <w:p>
      <w:pPr>
        <w:pStyle w:val="BookText"/>
      </w:pPr>
      <w:r>
        <w:rPr>
          <w:rFonts w:ascii="IRNazanin" w:hAnsi="IRNazanin" w:eastAsia="IRNazanin" w:cs="IRNazanin"/>
          <w:lang w:bidi="fa-IR"/>
          <w:color w:val="111111"/>
          <w:sz w:val="28"/>
          <w:szCs w:val="28"/>
          <w:rtl/>
        </w:rPr>
        <w:t xml:space="preserve">سجستاني ، ابوداود- ابوداود ، سلیمان بن اشعث</w:t>
      </w:r>
    </w:p>
    <w:p>
      <w:pPr>
        <w:pStyle w:val="BookText"/>
      </w:pPr>
      <w:r>
        <w:rPr>
          <w:rFonts w:ascii="IRNazanin" w:hAnsi="IRNazanin" w:eastAsia="IRNazanin" w:cs="IRNazanin"/>
          <w:lang w:bidi="fa-IR"/>
          <w:color w:val="111111"/>
          <w:sz w:val="28"/>
          <w:szCs w:val="28"/>
          <w:rtl/>
        </w:rPr>
        <w:t xml:space="preserve">سجستاني ، ابویعقوب اسحاق بن احمد -ابویعقوب سجستاني ، اسحاق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سجستاني العزيزي ، محمّد -سجستاني ،</w:t>
      </w:r>
    </w:p>
    <w:p>
      <w:pPr>
        <w:pStyle w:val="BookText"/>
      </w:pPr>
      <w:r>
        <w:rPr>
          <w:rFonts w:ascii="Amiri" w:hAnsi="Amiri" w:eastAsia="Amiri" w:cs="Amiri"/>
          <w:lang w:bidi="ar-SA"/>
          <w:color w:val="111111"/>
          <w:sz w:val="28"/>
          <w:szCs w:val="28"/>
          <w:rtl/>
        </w:rPr>
        <w:t xml:space="preserve">محمّد بن عزير</w:t>
      </w:r>
    </w:p>
    <w:p>
      <w:pPr>
        <w:pStyle w:val="BookText"/>
      </w:pPr>
      <w:r>
        <w:rPr>
          <w:rFonts w:ascii="Amiri" w:hAnsi="Amiri" w:eastAsia="Amiri" w:cs="Amiri"/>
          <w:lang w:bidi="ar-SA"/>
          <w:color w:val="111111"/>
          <w:sz w:val="28"/>
          <w:szCs w:val="28"/>
          <w:rtl/>
        </w:rPr>
        <w:t xml:space="preserve">سجستاني ، بدر الدين- ابونصر فراهي ،</w:t>
      </w:r>
    </w:p>
    <w:p>
      <w:pPr>
        <w:pStyle w:val="BookText"/>
      </w:pPr>
      <w:r>
        <w:rPr>
          <w:rFonts w:ascii="Amiri" w:hAnsi="Amiri" w:eastAsia="Amiri" w:cs="Amiri"/>
          <w:lang w:bidi="ar-SA"/>
          <w:color w:val="111111"/>
          <w:sz w:val="28"/>
          <w:szCs w:val="28"/>
          <w:rtl/>
        </w:rPr>
        <w:t xml:space="preserve">مسعود بن ابي بكر</w:t>
      </w:r>
    </w:p>
    <w:p>
      <w:pPr>
        <w:pStyle w:val="BookText"/>
      </w:pPr>
      <w:r>
        <w:rPr>
          <w:rFonts w:ascii="Amiri" w:hAnsi="Amiri" w:eastAsia="Amiri" w:cs="Amiri"/>
          <w:lang w:bidi="ar-SA"/>
          <w:color w:val="111111"/>
          <w:sz w:val="28"/>
          <w:szCs w:val="28"/>
          <w:rtl/>
        </w:rPr>
        <w:t xml:space="preserve">سجستاني ، سليمان بن اشعث- ابوداود</w:t>
      </w:r>
    </w:p>
    <w:p>
      <w:pPr>
        <w:pStyle w:val="BookText"/>
      </w:pPr>
      <w:r>
        <w:rPr>
          <w:rFonts w:ascii="IRNazanin" w:hAnsi="IRNazanin" w:eastAsia="IRNazanin" w:cs="IRNazanin"/>
          <w:lang w:bidi="fa-IR"/>
          <w:color w:val="111111"/>
          <w:sz w:val="28"/>
          <w:szCs w:val="28"/>
          <w:rtl/>
        </w:rPr>
        <w:t xml:space="preserve">سلیمان بن اشعث</w:t>
      </w:r>
    </w:p>
    <w:p>
      <w:pPr>
        <w:pStyle w:val="Heading2"/>
      </w:pPr>
      <w:bookmarkStart w:id="4772" w:name="_Toc3874"/>
      <w:r>
        <w:t>سجستاني ، سهل بن محمّد - 255 ه-</w:t>
      </w:r>
      <w:bookmarkEnd w:id="4772"/>
    </w:p>
    <w:p>
      <w:pPr>
        <w:pStyle w:val="BookText"/>
      </w:pPr>
      <w:r>
        <w:rPr>
          <w:rFonts w:ascii="IRNazanin" w:hAnsi="IRNazanin" w:eastAsia="IRNazanin" w:cs="IRNazanin"/>
          <w:lang w:bidi="fa-IR"/>
          <w:color w:val="111111"/>
          <w:sz w:val="28"/>
          <w:szCs w:val="28"/>
          <w:rtl/>
        </w:rPr>
        <w:t xml:space="preserve">1 .فعلت و أفعلت، ج 12،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النخلة = كتاب النخل، ج 16،</w:t>
      </w:r>
    </w:p>
    <w:p>
      <w:pPr>
        <w:pStyle w:val="BookText"/>
      </w:pPr>
      <w:r>
        <w:rPr>
          <w:rFonts w:ascii="IRNazanin" w:hAnsi="IRNazanin" w:eastAsia="IRNazanin" w:cs="IRNazanin"/>
          <w:lang w:bidi="fa-IR"/>
          <w:color w:val="111111"/>
          <w:sz w:val="28"/>
          <w:szCs w:val="28"/>
          <w:rtl/>
        </w:rPr>
        <w:t xml:space="preserve">ص 212.</w:t>
      </w:r>
    </w:p>
    <w:p>
      <w:pPr>
        <w:pStyle w:val="Heading2"/>
      </w:pPr>
      <w:bookmarkStart w:id="4773" w:name="_Toc3875"/>
      <w:r>
        <w:t>سجستاني ، عبد الله بن سليمان 230 -</w:t>
      </w:r>
      <w:bookmarkEnd w:id="4773"/>
    </w:p>
    <w:p>
      <w:pPr>
        <w:pStyle w:val="BookText"/>
      </w:pPr>
      <w:r>
        <w:rPr>
          <w:rFonts w:ascii="IRNazanin" w:hAnsi="IRNazanin" w:eastAsia="IRNazanin" w:cs="IRNazanin"/>
          <w:lang w:bidi="fa-IR"/>
          <w:color w:val="111111"/>
          <w:sz w:val="28"/>
          <w:szCs w:val="28"/>
          <w:rtl/>
        </w:rPr>
        <w:t xml:space="preserve">316ه-</w:t>
      </w:r>
    </w:p>
    <w:p>
      <w:pPr>
        <w:pStyle w:val="BookText"/>
      </w:pPr>
      <w:r>
        <w:rPr>
          <w:rFonts w:ascii="Amiri" w:hAnsi="Amiri" w:eastAsia="Amiri" w:cs="Amiri"/>
          <w:lang w:bidi="ar-SA"/>
          <w:color w:val="111111"/>
          <w:sz w:val="28"/>
          <w:szCs w:val="28"/>
          <w:rtl/>
        </w:rPr>
        <w:t xml:space="preserve">البعث = كتاب البعث، ج 3، ص 354 .</w:t>
      </w:r>
    </w:p>
    <w:p>
      <w:pPr>
        <w:pStyle w:val="Heading2"/>
      </w:pPr>
      <w:bookmarkStart w:id="4774" w:name="_Toc3876"/>
      <w:r>
        <w:t>سجستاني ، محمّد بن طاهر، 300 - 372</w:t>
      </w:r>
      <w:bookmarkEnd w:id="4774"/>
    </w:p>
    <w:p>
      <w:pPr>
        <w:pStyle w:val="BookText"/>
      </w:pPr>
      <w:r>
        <w:rPr>
          <w:rFonts w:ascii="Amiri" w:hAnsi="Amiri" w:eastAsia="Amiri" w:cs="Amiri"/>
          <w:lang w:bidi="ar-SA"/>
          <w:color w:val="111111"/>
          <w:sz w:val="28"/>
          <w:szCs w:val="28"/>
          <w:rtl/>
        </w:rPr>
        <w:t xml:space="preserve">الكمال الخاص بنوع الانسان (مقالة</w:t>
      </w:r>
    </w:p>
    <w:p>
      <w:pPr>
        <w:pStyle w:val="BookText"/>
      </w:pPr>
      <w:r>
        <w:rPr>
          <w:rFonts w:ascii="Amiri" w:hAnsi="Amiri" w:eastAsia="Amiri" w:cs="Amiri"/>
          <w:lang w:bidi="ar-SA"/>
          <w:color w:val="111111"/>
          <w:sz w:val="28"/>
          <w:szCs w:val="28"/>
          <w:rtl/>
        </w:rPr>
        <w:t xml:space="preserve">في)، ج 13، ص390.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6" w:name="pg7742_70507"/>
    <w:bookmarkEnd w:id="556"/>
    <w:p>
      <w:pPr>
        <w:pStyle w:val="BookText"/>
      </w:pPr>
      <w:r>
        <w:rPr>
          <w:rFonts w:ascii="Amiri" w:hAnsi="Amiri" w:eastAsia="Amiri" w:cs="Amiri"/>
          <w:lang w:bidi="ar-SA"/>
          <w:color w:val="111111"/>
          <w:sz w:val="28"/>
          <w:szCs w:val="28"/>
          <w:rtl/>
        </w:rPr>
        <w:t xml:space="preserve">سجستاني ، محمّد بن</w:t>
      </w:r>
    </w:p>
    <w:p>
      <w:pPr>
        <w:pStyle w:val="BookText"/>
      </w:pPr>
      <w:r>
        <w:rPr>
          <w:rFonts w:ascii="Amiri" w:hAnsi="Amiri" w:eastAsia="Amiri" w:cs="Amiri"/>
          <w:lang w:bidi="ar-SA"/>
          <w:color w:val="111111"/>
          <w:sz w:val="28"/>
          <w:szCs w:val="28"/>
          <w:rtl/>
        </w:rPr>
        <w:t xml:space="preserve">عبد العزيز -سجستاني ، محمّد بن عزير</w:t>
      </w:r>
    </w:p>
    <w:p>
      <w:pPr>
        <w:pStyle w:val="Heading2"/>
      </w:pPr>
      <w:bookmarkStart w:id="4775" w:name="_Toc3877"/>
      <w:r>
        <w:t>سجستاني ، محمّد بن عزير، - 330 ه-</w:t>
      </w:r>
      <w:bookmarkEnd w:id="4775"/>
    </w:p>
    <w:p>
      <w:pPr>
        <w:pStyle w:val="BookText"/>
      </w:pPr>
      <w:r>
        <w:rPr>
          <w:rFonts w:ascii="Amiri" w:hAnsi="Amiri" w:eastAsia="Amiri" w:cs="Amiri"/>
          <w:lang w:bidi="ar-SA"/>
          <w:color w:val="111111"/>
          <w:sz w:val="28"/>
          <w:szCs w:val="28"/>
          <w:rtl/>
        </w:rPr>
        <w:t xml:space="preserve">غريب القرآن - نزهة القلوب و فرحة</w:t>
      </w:r>
    </w:p>
    <w:p>
      <w:pPr>
        <w:pStyle w:val="BookText"/>
      </w:pPr>
      <w:r>
        <w:rPr>
          <w:rFonts w:ascii="Amiri" w:hAnsi="Amiri" w:eastAsia="Amiri" w:cs="Amiri"/>
          <w:lang w:bidi="ar-SA"/>
          <w:color w:val="111111"/>
          <w:sz w:val="28"/>
          <w:szCs w:val="28"/>
          <w:rtl/>
        </w:rPr>
        <w:t xml:space="preserve">المكروب في تفسير غرائب القرآن - غرائب القرآن، ج 11، ص 493.</w:t>
      </w:r>
    </w:p>
    <w:p>
      <w:pPr>
        <w:pStyle w:val="Heading2"/>
      </w:pPr>
      <w:bookmarkStart w:id="4776" w:name="_Toc3878"/>
      <w:r>
        <w:t>سجستاني ، يوسف بن احمد - 638 ه-</w:t>
      </w:r>
      <w:bookmarkEnd w:id="4776"/>
    </w:p>
    <w:p>
      <w:pPr>
        <w:pStyle w:val="BookText"/>
      </w:pPr>
      <w:r>
        <w:rPr>
          <w:rFonts w:ascii="Amiri" w:hAnsi="Amiri" w:eastAsia="Amiri" w:cs="Amiri"/>
          <w:lang w:bidi="ar-SA"/>
          <w:color w:val="111111"/>
          <w:sz w:val="28"/>
          <w:szCs w:val="28"/>
          <w:rtl/>
        </w:rPr>
        <w:t xml:space="preserve">منية المفتي في فروع الحنفية، ج 15،</w:t>
      </w:r>
    </w:p>
    <w:p>
      <w:pPr>
        <w:pStyle w:val="BookText"/>
      </w:pPr>
      <w:r>
        <w:rPr>
          <w:rFonts w:ascii="IRNazanin" w:hAnsi="IRNazanin" w:eastAsia="IRNazanin" w:cs="IRNazanin"/>
          <w:lang w:bidi="fa-IR"/>
          <w:color w:val="111111"/>
          <w:sz w:val="28"/>
          <w:szCs w:val="28"/>
          <w:rtl/>
        </w:rPr>
        <w:t xml:space="preserve">ص 835</w:t>
      </w:r>
    </w:p>
    <w:p>
      <w:pPr>
        <w:pStyle w:val="Heading2"/>
      </w:pPr>
      <w:bookmarkStart w:id="4777" w:name="_Toc3879"/>
      <w:r>
        <w:t>سجلماسي ، احمد بن مبارك، 1090 -</w:t>
      </w:r>
      <w:bookmarkEnd w:id="4777"/>
    </w:p>
    <w:p>
      <w:pPr>
        <w:pStyle w:val="BookText"/>
      </w:pPr>
      <w:r>
        <w:rPr>
          <w:rFonts w:ascii="IRNazanin" w:hAnsi="IRNazanin" w:eastAsia="IRNazanin" w:cs="IRNazanin"/>
          <w:lang w:bidi="fa-IR"/>
          <w:color w:val="111111"/>
          <w:sz w:val="28"/>
          <w:szCs w:val="28"/>
          <w:rtl/>
        </w:rPr>
        <w:t xml:space="preserve">1155 ه-</w:t>
      </w:r>
    </w:p>
    <w:p>
      <w:pPr>
        <w:pStyle w:val="BookText"/>
      </w:pPr>
      <w:r>
        <w:rPr>
          <w:rFonts w:ascii="Times New Roman" w:hAnsi="Times New Roman" w:eastAsia="Times New Roman" w:cs="Times New Roman"/>
          <w:lang w:val="en-US" w:bidi="en-US"/>
          <w:color w:val="111111"/>
          <w:sz w:val="28"/>
          <w:szCs w:val="28"/>
          <w:rtl/>
        </w:rPr>
        <w:t xml:space="preserve">1100</w:t>
      </w:r>
    </w:p>
    <w:p>
      <w:pPr>
        <w:pStyle w:val="BookText"/>
      </w:pPr>
      <w:r>
        <w:rPr>
          <w:rFonts w:ascii="Amiri" w:hAnsi="Amiri" w:eastAsia="Amiri" w:cs="Amiri"/>
          <w:lang w:bidi="ar-SA"/>
          <w:color w:val="111111"/>
          <w:sz w:val="28"/>
          <w:szCs w:val="28"/>
          <w:rtl/>
        </w:rPr>
        <w:t xml:space="preserve">مسائل في الوضع، ج 14، ص 479.</w:t>
      </w:r>
    </w:p>
    <w:p>
      <w:pPr>
        <w:pStyle w:val="BookText"/>
      </w:pPr>
      <w:r>
        <w:rPr>
          <w:rFonts w:ascii="Amiri" w:hAnsi="Amiri" w:eastAsia="Amiri" w:cs="Amiri"/>
          <w:lang w:bidi="ar-SA"/>
          <w:color w:val="111111"/>
          <w:sz w:val="28"/>
          <w:szCs w:val="28"/>
          <w:rtl/>
        </w:rPr>
        <w:t xml:space="preserve">سجوي ، محمود بن طاهر -سكزي ،</w:t>
      </w:r>
    </w:p>
    <w:p>
      <w:pPr>
        <w:pStyle w:val="BookText"/>
      </w:pPr>
      <w:r>
        <w:rPr>
          <w:rFonts w:ascii="IRNazanin" w:hAnsi="IRNazanin" w:eastAsia="IRNazanin" w:cs="IRNazanin"/>
          <w:lang w:bidi="fa-IR"/>
          <w:color w:val="111111"/>
          <w:sz w:val="28"/>
          <w:szCs w:val="28"/>
          <w:rtl/>
        </w:rPr>
        <w:t xml:space="preserve">محمود بن طاهر</w:t>
      </w:r>
    </w:p>
    <w:p>
      <w:pPr>
        <w:pStyle w:val="Heading2"/>
      </w:pPr>
      <w:bookmarkStart w:id="4778" w:name="_Toc3880"/>
      <w:r>
        <w:t>سحامي، زاهر بن طاهر، 446 - 533 ه-</w:t>
      </w:r>
      <w:bookmarkEnd w:id="4778"/>
    </w:p>
    <w:p>
      <w:pPr>
        <w:pStyle w:val="BookText"/>
      </w:pPr>
      <w:r>
        <w:rPr>
          <w:rFonts w:ascii="Amiri" w:hAnsi="Amiri" w:eastAsia="Amiri" w:cs="Amiri"/>
          <w:lang w:bidi="ar-SA"/>
          <w:color w:val="111111"/>
          <w:sz w:val="28"/>
          <w:szCs w:val="28"/>
          <w:rtl/>
        </w:rPr>
        <w:t xml:space="preserve">الاحاديث الألف السباعيات، ج1،</w:t>
      </w:r>
    </w:p>
    <w:p>
      <w:pPr>
        <w:pStyle w:val="BookText"/>
      </w:pPr>
      <w:r>
        <w:rPr>
          <w:rFonts w:ascii="IRNazanin" w:hAnsi="IRNazanin" w:eastAsia="IRNazanin" w:cs="IRNazanin"/>
          <w:lang w:bidi="fa-IR"/>
          <w:color w:val="111111"/>
          <w:sz w:val="28"/>
          <w:szCs w:val="28"/>
          <w:rtl/>
        </w:rPr>
        <w:t xml:space="preserve">ص 405.</w:t>
      </w:r>
    </w:p>
    <w:p>
      <w:pPr>
        <w:pStyle w:val="BookText"/>
      </w:pPr>
      <w:r>
        <w:rPr>
          <w:rFonts w:ascii="Amiri" w:hAnsi="Amiri" w:eastAsia="Amiri" w:cs="Amiri"/>
          <w:lang w:bidi="ar-SA"/>
          <w:color w:val="111111"/>
          <w:sz w:val="28"/>
          <w:szCs w:val="28"/>
          <w:rtl/>
        </w:rPr>
        <w:t xml:space="preserve">سحنون بن عثمان ميدوي - ميدوي ،</w:t>
      </w:r>
    </w:p>
    <w:p>
      <w:pPr>
        <w:pStyle w:val="BookText"/>
      </w:pPr>
      <w:r>
        <w:rPr>
          <w:rFonts w:ascii="IRNazanin" w:hAnsi="IRNazanin" w:eastAsia="IRNazanin" w:cs="IRNazanin"/>
          <w:lang w:bidi="fa-IR"/>
          <w:color w:val="111111"/>
          <w:sz w:val="28"/>
          <w:szCs w:val="28"/>
          <w:rtl/>
        </w:rPr>
        <w:t xml:space="preserve">سحنون بن عثمان</w:t>
      </w:r>
    </w:p>
    <w:p>
      <w:pPr>
        <w:pStyle w:val="Heading2"/>
      </w:pPr>
      <w:bookmarkStart w:id="4779" w:name="_Toc3881"/>
      <w:r>
        <w:t>سحولي ، ابراهيم بن يحيى 987 - 1060</w:t>
      </w:r>
      <w:bookmarkEnd w:id="4779"/>
    </w:p>
    <w:p>
      <w:pPr>
        <w:pStyle w:val="BookText"/>
      </w:pPr>
      <w:r>
        <w:rPr>
          <w:rFonts w:ascii="Amiri" w:hAnsi="Amiri" w:eastAsia="Amiri" w:cs="Amiri"/>
          <w:lang w:bidi="ar-SA"/>
          <w:color w:val="111111"/>
          <w:sz w:val="28"/>
          <w:szCs w:val="28"/>
          <w:rtl/>
        </w:rPr>
        <w:t xml:space="preserve">مصباح العلوم في معرفة الحي القيوم = شرح ثلاثين مسألة في اصول الدين - الدر المنظوم في معرفة الحي القيوم ج 14، ص 716 .</w:t>
      </w:r>
    </w:p>
    <w:p>
      <w:pPr>
        <w:pStyle w:val="Heading2"/>
      </w:pPr>
      <w:bookmarkStart w:id="4780" w:name="_Toc3882"/>
      <w:r>
        <w:t>سحيم، - 40 ؟ ه-</w:t>
      </w:r>
      <w:bookmarkEnd w:id="4780"/>
    </w:p>
    <w:p>
      <w:pPr>
        <w:pStyle w:val="BookText"/>
      </w:pPr>
      <w:r>
        <w:rPr>
          <w:rFonts w:ascii="IRNazanin" w:hAnsi="IRNazanin" w:eastAsia="IRNazanin" w:cs="IRNazanin"/>
          <w:lang w:bidi="fa-IR"/>
          <w:color w:val="111111"/>
          <w:sz w:val="28"/>
          <w:szCs w:val="28"/>
          <w:rtl/>
        </w:rPr>
        <w:t xml:space="preserve">دیوان سحيم، ج7، ص 651.</w:t>
      </w:r>
    </w:p>
    <w:p>
      <w:pPr>
        <w:pStyle w:val="Heading2"/>
      </w:pPr>
      <w:bookmarkStart w:id="4781" w:name="_Toc3883"/>
      <w:r>
        <w:t>سحيمي ، احمد بن محمّد - 1178 ه-</w:t>
      </w:r>
      <w:bookmarkEnd w:id="4781"/>
    </w:p>
    <w:p>
      <w:pPr>
        <w:pStyle w:val="BookText"/>
      </w:pPr>
      <w:r>
        <w:rPr>
          <w:rFonts w:ascii="Amiri" w:hAnsi="Amiri" w:eastAsia="Amiri" w:cs="Amiri"/>
          <w:lang w:bidi="ar-SA"/>
          <w:color w:val="111111"/>
          <w:sz w:val="28"/>
          <w:szCs w:val="28"/>
          <w:rtl/>
        </w:rPr>
        <w:t xml:space="preserve">حاشية شرح الاستعارة = الاعتصام</w:t>
      </w:r>
    </w:p>
    <w:p>
      <w:pPr>
        <w:pStyle w:val="BookText"/>
      </w:pPr>
      <w:r>
        <w:rPr>
          <w:rFonts w:ascii="IRNazanin" w:hAnsi="IRNazanin" w:eastAsia="IRNazanin" w:cs="IRNazanin"/>
          <w:lang w:bidi="fa-IR"/>
          <w:color w:val="111111"/>
          <w:sz w:val="28"/>
          <w:szCs w:val="28"/>
          <w:rtl/>
        </w:rPr>
        <w:t xml:space="preserve">بالعصام، ج 6، ص33.</w:t>
      </w:r>
    </w:p>
    <w:p>
      <w:pPr>
        <w:pStyle w:val="BookText"/>
      </w:pPr>
      <w:r>
        <w:rPr>
          <w:rFonts w:ascii="Amiri" w:hAnsi="Amiri" w:eastAsia="Amiri" w:cs="Amiri"/>
          <w:lang w:bidi="ar-SA"/>
          <w:color w:val="111111"/>
          <w:sz w:val="28"/>
          <w:szCs w:val="28"/>
          <w:rtl/>
        </w:rPr>
        <w:t xml:space="preserve">سخاوي شافعي ، عبد القادر بن علي- سخاوي ، عبد القادر بن علي</w:t>
      </w:r>
    </w:p>
    <w:p>
      <w:pPr>
        <w:pStyle w:val="BookText"/>
      </w:pPr>
      <w:r>
        <w:rPr>
          <w:rFonts w:ascii="Amiri" w:hAnsi="Amiri" w:eastAsia="Amiri" w:cs="Amiri"/>
          <w:lang w:bidi="ar-SA"/>
          <w:color w:val="111111"/>
          <w:sz w:val="28"/>
          <w:szCs w:val="28"/>
          <w:rtl/>
        </w:rPr>
        <w:t xml:space="preserve">سخاوي ، شمس الدين محمّد -سخاوي ،</w:t>
      </w:r>
    </w:p>
    <w:p>
      <w:pPr>
        <w:pStyle w:val="BookText"/>
      </w:pPr>
      <w:r>
        <w:rPr>
          <w:rFonts w:ascii="IRNazanin" w:hAnsi="IRNazanin" w:eastAsia="IRNazanin" w:cs="IRNazanin"/>
          <w:lang w:bidi="fa-IR"/>
          <w:color w:val="111111"/>
          <w:sz w:val="28"/>
          <w:szCs w:val="28"/>
          <w:rtl/>
        </w:rPr>
        <w:t xml:space="preserve">محمّد بن عبدالرحمن</w:t>
      </w:r>
    </w:p>
    <w:p>
      <w:pPr>
        <w:pStyle w:val="BookText"/>
      </w:pPr>
      <w:r>
        <w:rPr>
          <w:rFonts w:ascii="Amiri" w:hAnsi="Amiri" w:eastAsia="Amiri" w:cs="Amiri"/>
          <w:lang w:bidi="ar-SA"/>
          <w:color w:val="111111"/>
          <w:sz w:val="28"/>
          <w:szCs w:val="28"/>
          <w:rtl/>
        </w:rPr>
        <w:t xml:space="preserve">سخاوي ، عبد الرحمن بن احمد- ابن</w:t>
      </w:r>
    </w:p>
    <w:p>
      <w:pPr>
        <w:pStyle w:val="BookText"/>
      </w:pPr>
      <w:r>
        <w:rPr>
          <w:rFonts w:ascii="Amiri" w:hAnsi="Amiri" w:eastAsia="Amiri" w:cs="Amiri"/>
          <w:lang w:bidi="ar-SA"/>
          <w:color w:val="111111"/>
          <w:sz w:val="28"/>
          <w:szCs w:val="28"/>
          <w:rtl/>
        </w:rPr>
        <w:t xml:space="preserve">مسك ، عبدالرحمن بن احمد</w:t>
      </w:r>
    </w:p>
    <w:p>
      <w:pPr>
        <w:pStyle w:val="Heading2"/>
      </w:pPr>
      <w:bookmarkStart w:id="4782" w:name="_Toc3884"/>
      <w:r>
        <w:t>سخاوي ، عبد القادر بن علي قرن 10 ه-</w:t>
      </w:r>
      <w:bookmarkEnd w:id="4782"/>
    </w:p>
    <w:p>
      <w:pPr>
        <w:pStyle w:val="BookText"/>
      </w:pPr>
      <w:r>
        <w:rPr>
          <w:rFonts w:ascii="Amiri" w:hAnsi="Amiri" w:eastAsia="Amiri" w:cs="Amiri"/>
          <w:lang w:bidi="ar-SA"/>
          <w:color w:val="111111"/>
          <w:sz w:val="28"/>
          <w:szCs w:val="28"/>
          <w:rtl/>
        </w:rPr>
        <w:t xml:space="preserve">الحساب = الرسالة العثمانية السخاوية، ج6، ص 637.</w:t>
      </w:r>
    </w:p>
    <w:p>
      <w:pPr>
        <w:pStyle w:val="BookText"/>
      </w:pPr>
      <w:r>
        <w:rPr>
          <w:rFonts w:ascii="Amiri" w:hAnsi="Amiri" w:eastAsia="Amiri" w:cs="Amiri"/>
          <w:lang w:bidi="ar-SA"/>
          <w:color w:val="111111"/>
          <w:sz w:val="28"/>
          <w:szCs w:val="28"/>
          <w:rtl/>
        </w:rPr>
        <w:t xml:space="preserve">سخاوي ، علي بن عبد الصمد - سخاوي ، علي بن محمّد</w:t>
      </w:r>
    </w:p>
    <w:p>
      <w:pPr>
        <w:pStyle w:val="Heading2"/>
      </w:pPr>
      <w:bookmarkStart w:id="4783" w:name="_Toc3885"/>
      <w:r>
        <w:t>سخاوي ، علي بن محمّد، 558 - 143 ه-</w:t>
      </w:r>
      <w:bookmarkEnd w:id="4783"/>
    </w:p>
    <w:p>
      <w:pPr>
        <w:pStyle w:val="BookText"/>
      </w:pPr>
      <w:r>
        <w:rPr>
          <w:rFonts w:ascii="Amiri" w:hAnsi="Amiri" w:eastAsia="Amiri" w:cs="Amiri"/>
          <w:lang w:bidi="ar-SA"/>
          <w:color w:val="111111"/>
          <w:sz w:val="28"/>
          <w:szCs w:val="28"/>
          <w:rtl/>
        </w:rPr>
        <w:t xml:space="preserve">1 .جمال القراء و كمال الاقراء، ج 5،</w:t>
      </w:r>
    </w:p>
    <w:p>
      <w:pPr>
        <w:pStyle w:val="BookText"/>
      </w:pPr>
      <w:r>
        <w:rPr>
          <w:rFonts w:ascii="IRNazanin" w:hAnsi="IRNazanin" w:eastAsia="IRNazanin" w:cs="IRNazanin"/>
          <w:lang w:bidi="fa-IR"/>
          <w:color w:val="111111"/>
          <w:sz w:val="28"/>
          <w:szCs w:val="28"/>
          <w:rtl/>
        </w:rPr>
        <w:t xml:space="preserve">ص 421.</w:t>
      </w:r>
    </w:p>
    <w:p>
      <w:pPr>
        <w:pStyle w:val="BookText"/>
      </w:pPr>
      <w:r>
        <w:rPr>
          <w:rFonts w:ascii="Amiri" w:hAnsi="Amiri" w:eastAsia="Amiri" w:cs="Amiri"/>
          <w:lang w:bidi="ar-SA"/>
          <w:color w:val="111111"/>
          <w:sz w:val="28"/>
          <w:szCs w:val="28"/>
          <w:rtl/>
        </w:rPr>
        <w:t xml:space="preserve">2 .عمدة المفيد وعدة المجيد في معرفة لفظ التجويد القصيدة</w:t>
      </w:r>
    </w:p>
    <w:p>
      <w:pPr>
        <w:pStyle w:val="BookText"/>
      </w:pPr>
      <w:r>
        <w:rPr>
          <w:rFonts w:ascii="Amiri" w:hAnsi="Amiri" w:eastAsia="Amiri" w:cs="Amiri"/>
          <w:lang w:bidi="ar-SA"/>
          <w:color w:val="111111"/>
          <w:sz w:val="28"/>
          <w:szCs w:val="28"/>
          <w:rtl/>
        </w:rPr>
        <w:t xml:space="preserve">النونية، ج 11، ص308.</w:t>
      </w:r>
    </w:p>
    <w:p>
      <w:pPr>
        <w:pStyle w:val="BookText"/>
      </w:pPr>
      <w:r>
        <w:rPr>
          <w:rFonts w:ascii="Amiri" w:hAnsi="Amiri" w:eastAsia="Amiri" w:cs="Amiri"/>
          <w:lang w:bidi="ar-SA"/>
          <w:color w:val="111111"/>
          <w:sz w:val="28"/>
          <w:szCs w:val="28"/>
          <w:rtl/>
        </w:rPr>
        <w:t xml:space="preserve">3 .هداية المرتاب وغاية الحفاظ</w:t>
      </w:r>
    </w:p>
    <w:p>
      <w:pPr>
        <w:pStyle w:val="BookText"/>
      </w:pPr>
      <w:r>
        <w:rPr>
          <w:rFonts w:ascii="Amiri" w:hAnsi="Amiri" w:eastAsia="Amiri" w:cs="Amiri"/>
          <w:lang w:bidi="ar-SA"/>
          <w:color w:val="111111"/>
          <w:sz w:val="28"/>
          <w:szCs w:val="28"/>
          <w:rtl/>
        </w:rPr>
        <w:t xml:space="preserve">الطلاب = السخاوية = متشابهات</w:t>
      </w:r>
    </w:p>
    <w:p>
      <w:pPr>
        <w:pStyle w:val="BookText"/>
      </w:pPr>
      <w:r>
        <w:rPr>
          <w:rFonts w:ascii="IRNazanin" w:hAnsi="IRNazanin" w:eastAsia="IRNazanin" w:cs="IRNazanin"/>
          <w:lang w:bidi="fa-IR"/>
          <w:color w:val="111111"/>
          <w:sz w:val="28"/>
          <w:szCs w:val="28"/>
          <w:rtl/>
        </w:rPr>
        <w:t xml:space="preserve">القرآن، ج 16، ص 629 .</w:t>
      </w:r>
    </w:p>
    <w:p>
      <w:pPr>
        <w:pStyle w:val="BookText"/>
      </w:pPr>
      <w:r>
        <w:rPr>
          <w:rFonts w:ascii="Amiri" w:hAnsi="Amiri" w:eastAsia="Amiri" w:cs="Amiri"/>
          <w:lang w:bidi="ar-SA"/>
          <w:color w:val="111111"/>
          <w:sz w:val="28"/>
          <w:szCs w:val="28"/>
          <w:rtl/>
        </w:rPr>
        <w:t xml:space="preserve">4 .الوسيلة في كشف العقيلة، ج 16،</w:t>
      </w:r>
    </w:p>
    <w:p>
      <w:pPr>
        <w:pStyle w:val="BookText"/>
      </w:pPr>
      <w:r>
        <w:rPr>
          <w:rFonts w:ascii="IRNazanin" w:hAnsi="IRNazanin" w:eastAsia="IRNazanin" w:cs="IRNazanin"/>
          <w:lang w:bidi="fa-IR"/>
          <w:color w:val="111111"/>
          <w:sz w:val="28"/>
          <w:szCs w:val="28"/>
          <w:rtl/>
        </w:rPr>
        <w:t xml:space="preserve">ص 786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7" w:name="pg7742_70509"/>
    <w:bookmarkEnd w:id="557"/>
    <w:p>
      <w:pPr>
        <w:pStyle w:val="Heading2"/>
      </w:pPr>
      <w:bookmarkStart w:id="4784" w:name="_Toc3886"/>
      <w:r>
        <w:t>سخاوي ، محمّد بن عبدالرحمن، 831 -</w:t>
      </w:r>
      <w:bookmarkEnd w:id="4784"/>
    </w:p>
    <w:p>
      <w:pPr>
        <w:pStyle w:val="BookText"/>
      </w:pPr>
      <w:r>
        <w:rPr>
          <w:rFonts w:ascii="IRNazanin" w:hAnsi="IRNazanin" w:eastAsia="IRNazanin" w:cs="IRNazanin"/>
          <w:lang w:bidi="fa-IR"/>
          <w:color w:val="111111"/>
          <w:sz w:val="28"/>
          <w:szCs w:val="28"/>
          <w:rtl/>
        </w:rPr>
        <w:t xml:space="preserve">902ه-</w:t>
      </w:r>
    </w:p>
    <w:p>
      <w:pPr>
        <w:pStyle w:val="BookText"/>
      </w:pPr>
      <w:r>
        <w:rPr>
          <w:rFonts w:ascii="Amiri" w:hAnsi="Amiri" w:eastAsia="Amiri" w:cs="Amiri"/>
          <w:lang w:bidi="ar-SA"/>
          <w:color w:val="111111"/>
          <w:sz w:val="28"/>
          <w:szCs w:val="28"/>
          <w:rtl/>
        </w:rPr>
        <w:t xml:space="preserve">1 .الجواهر المجموعة و النوادر</w:t>
      </w:r>
    </w:p>
    <w:p>
      <w:pPr>
        <w:pStyle w:val="BookText"/>
      </w:pPr>
      <w:r>
        <w:rPr>
          <w:rFonts w:ascii="Amiri" w:hAnsi="Amiri" w:eastAsia="Amiri" w:cs="Amiri"/>
          <w:lang w:bidi="ar-SA"/>
          <w:color w:val="111111"/>
          <w:sz w:val="28"/>
          <w:szCs w:val="28"/>
          <w:rtl/>
        </w:rPr>
        <w:t xml:space="preserve">المسموعة، ج 5، ص 596.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خدام الرسول ومواليه، ج 6،</w:t>
      </w:r>
    </w:p>
    <w:p>
      <w:pPr>
        <w:pStyle w:val="BookText"/>
      </w:pPr>
      <w:r>
        <w:rPr>
          <w:rFonts w:ascii="IRNazanin" w:hAnsi="IRNazanin" w:eastAsia="IRNazanin" w:cs="IRNazanin"/>
          <w:lang w:bidi="fa-IR"/>
          <w:color w:val="111111"/>
          <w:sz w:val="28"/>
          <w:szCs w:val="28"/>
          <w:rtl/>
        </w:rPr>
        <w:t xml:space="preserve">ص 889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الخصال الموجبة للضلال، ج 7،</w:t>
      </w:r>
    </w:p>
    <w:p>
      <w:pPr>
        <w:pStyle w:val="BookText"/>
      </w:pPr>
      <w:r>
        <w:rPr>
          <w:rFonts w:ascii="IRNazanin" w:hAnsi="IRNazanin" w:eastAsia="IRNazanin" w:cs="IRNazanin"/>
          <w:lang w:bidi="fa-IR"/>
          <w:color w:val="111111"/>
          <w:sz w:val="28"/>
          <w:szCs w:val="28"/>
          <w:rtl/>
        </w:rPr>
        <w:t xml:space="preserve">ص 40.</w:t>
      </w:r>
    </w:p>
    <w:p>
      <w:pPr>
        <w:pStyle w:val="BookText"/>
      </w:pPr>
      <w:r>
        <w:rPr>
          <w:rFonts w:ascii="IRNazanin" w:hAnsi="IRNazanin" w:eastAsia="IRNazanin" w:cs="IRNazanin"/>
          <w:lang w:bidi="fa-IR"/>
          <w:color w:val="111111"/>
          <w:sz w:val="28"/>
          <w:szCs w:val="28"/>
          <w:rtl/>
        </w:rPr>
        <w:t xml:space="preserve">4 .الضوء اللامع لاهل القرن التاسع</w:t>
      </w:r>
    </w:p>
    <w:p>
      <w:pPr>
        <w:pStyle w:val="BookText"/>
      </w:pPr>
      <w:r>
        <w:rPr>
          <w:rFonts w:ascii="IRNazanin" w:hAnsi="IRNazanin" w:eastAsia="IRNazanin" w:cs="IRNazanin"/>
          <w:lang w:bidi="fa-IR"/>
          <w:color w:val="111111"/>
          <w:sz w:val="28"/>
          <w:szCs w:val="28"/>
          <w:rtl/>
        </w:rPr>
        <w:t xml:space="preserve">ج 10، ص 699.</w:t>
      </w:r>
    </w:p>
    <w:p>
      <w:pPr>
        <w:pStyle w:val="BookText"/>
      </w:pPr>
      <w:r>
        <w:rPr>
          <w:rFonts w:ascii="Amiri" w:hAnsi="Amiri" w:eastAsia="Amiri" w:cs="Amiri"/>
          <w:lang w:bidi="ar-SA"/>
          <w:color w:val="111111"/>
          <w:sz w:val="28"/>
          <w:szCs w:val="28"/>
          <w:rtl/>
        </w:rPr>
        <w:t xml:space="preserve">5 .فصلاة الصلاة على النبي، ج 11،</w:t>
      </w:r>
    </w:p>
    <w:p>
      <w:pPr>
        <w:pStyle w:val="BookText"/>
      </w:pPr>
      <w:r>
        <w:rPr>
          <w:rFonts w:ascii="IRNazanin" w:hAnsi="IRNazanin" w:eastAsia="IRNazanin" w:cs="IRNazanin"/>
          <w:lang w:bidi="fa-IR"/>
          <w:color w:val="111111"/>
          <w:sz w:val="28"/>
          <w:szCs w:val="28"/>
          <w:rtl/>
        </w:rPr>
        <w:t xml:space="preserve">ص 830.</w:t>
      </w:r>
    </w:p>
    <w:p>
      <w:pPr>
        <w:pStyle w:val="BookText"/>
      </w:pPr>
      <w:r>
        <w:rPr>
          <w:rFonts w:ascii="Amiri" w:hAnsi="Amiri" w:eastAsia="Amiri" w:cs="Amiri"/>
          <w:lang w:bidi="ar-SA"/>
          <w:color w:val="111111"/>
          <w:sz w:val="28"/>
          <w:szCs w:val="28"/>
          <w:rtl/>
        </w:rPr>
        <w:t xml:space="preserve">6 .القول البديع في الصلاة على الحبيب الشفيع، ج 12، ص 839.</w:t>
      </w:r>
    </w:p>
    <w:p>
      <w:pPr>
        <w:pStyle w:val="BookText"/>
      </w:pPr>
      <w:r>
        <w:rPr>
          <w:rFonts w:ascii="Amiri" w:hAnsi="Amiri" w:eastAsia="Amiri" w:cs="Amiri"/>
          <w:lang w:bidi="ar-SA"/>
          <w:color w:val="111111"/>
          <w:sz w:val="28"/>
          <w:szCs w:val="28"/>
          <w:rtl/>
        </w:rPr>
        <w:t xml:space="preserve">7 .المقاصد الحسنة في بيان كثير من الاحاديث المشتهرة على الالسنة ج 15، ص 269 .</w:t>
      </w:r>
    </w:p>
    <w:p>
      <w:pPr>
        <w:pStyle w:val="BookText"/>
      </w:pPr>
      <w:r>
        <w:rPr>
          <w:rFonts w:ascii="Amiri" w:hAnsi="Amiri" w:eastAsia="Amiri" w:cs="Amiri"/>
          <w:lang w:bidi="ar-SA"/>
          <w:color w:val="111111"/>
          <w:sz w:val="28"/>
          <w:szCs w:val="28"/>
          <w:rtl/>
        </w:rPr>
        <w:t xml:space="preserve">سخنون بن عثمان الونشريشي- ونشريسي ،سخنون بن عثمان</w:t>
      </w:r>
    </w:p>
    <w:p>
      <w:pPr>
        <w:pStyle w:val="Heading2"/>
      </w:pPr>
      <w:bookmarkStart w:id="4785" w:name="_Toc3887"/>
      <w:r>
        <w:t>سخوف بن عثمان</w:t>
      </w:r>
      <w:bookmarkEnd w:id="4785"/>
    </w:p>
    <w:p>
      <w:pPr>
        <w:pStyle w:val="BookText"/>
      </w:pPr>
      <w:r>
        <w:rPr>
          <w:rFonts w:ascii="Amiri" w:hAnsi="Amiri" w:eastAsia="Amiri" w:cs="Amiri"/>
          <w:lang w:bidi="ar-SA"/>
          <w:color w:val="111111"/>
          <w:sz w:val="28"/>
          <w:szCs w:val="28"/>
          <w:rtl/>
        </w:rPr>
        <w:t xml:space="preserve">بسمار الربط في المخمس الخالي الوسط، ج 3، ص 330.</w:t>
      </w:r>
    </w:p>
    <w:p>
      <w:pPr>
        <w:pStyle w:val="Heading2"/>
      </w:pPr>
      <w:bookmarkStart w:id="4786" w:name="_Toc3888"/>
      <w:r>
        <w:t>سخومي ، علي بن صلاح الدين قرن 8 ه- 194 - 682 ه-</w:t>
      </w:r>
      <w:bookmarkEnd w:id="4786"/>
    </w:p>
    <w:p>
      <w:pPr>
        <w:pStyle w:val="BookText"/>
      </w:pPr>
      <w:r>
        <w:rPr>
          <w:rFonts w:ascii="Amiri" w:hAnsi="Amiri" w:eastAsia="Amiri" w:cs="Amiri"/>
          <w:lang w:bidi="ar-SA"/>
          <w:color w:val="111111"/>
          <w:sz w:val="28"/>
          <w:szCs w:val="28"/>
          <w:rtl/>
        </w:rPr>
        <w:t xml:space="preserve">منهل الينابيع في شرح المصابيح، ج 15 ،</w:t>
      </w:r>
    </w:p>
    <w:p>
      <w:pPr>
        <w:pStyle w:val="BookText"/>
      </w:pPr>
      <w:r>
        <w:rPr>
          <w:rFonts w:ascii="IRNazanin" w:hAnsi="IRNazanin" w:eastAsia="IRNazanin" w:cs="IRNazanin"/>
          <w:lang w:bidi="fa-IR"/>
          <w:color w:val="111111"/>
          <w:sz w:val="28"/>
          <w:szCs w:val="28"/>
          <w:rtl/>
        </w:rPr>
        <w:t xml:space="preserve">ص 817.</w:t>
      </w:r>
    </w:p>
    <w:p>
      <w:pPr>
        <w:pStyle w:val="BookText"/>
      </w:pPr>
      <w:r>
        <w:rPr>
          <w:rFonts w:ascii="IRNazanin" w:hAnsi="IRNazanin" w:eastAsia="IRNazanin" w:cs="IRNazanin"/>
          <w:lang w:bidi="fa-IR"/>
          <w:color w:val="111111"/>
          <w:sz w:val="28"/>
          <w:szCs w:val="28"/>
          <w:rtl/>
        </w:rPr>
        <w:t xml:space="preserve">سدالدین محمّد بن عمر نسفي -نسفي ،</w:t>
      </w:r>
    </w:p>
    <w:p>
      <w:pPr>
        <w:pStyle w:val="BookText"/>
      </w:pPr>
      <w:r>
        <w:rPr>
          <w:rFonts w:ascii="Amiri" w:hAnsi="Amiri" w:eastAsia="Amiri" w:cs="Amiri"/>
          <w:lang w:bidi="ar-SA"/>
          <w:color w:val="111111"/>
          <w:sz w:val="28"/>
          <w:szCs w:val="28"/>
          <w:rtl/>
        </w:rPr>
        <w:t xml:space="preserve">محمّد بن عمر</w:t>
      </w:r>
    </w:p>
    <w:p>
      <w:pPr>
        <w:pStyle w:val="BookText"/>
      </w:pPr>
      <w:r>
        <w:rPr>
          <w:rFonts w:ascii="Amiri" w:hAnsi="Amiri" w:eastAsia="Amiri" w:cs="Amiri"/>
          <w:lang w:bidi="ar-SA"/>
          <w:color w:val="111111"/>
          <w:sz w:val="28"/>
          <w:szCs w:val="28"/>
          <w:rtl/>
        </w:rPr>
        <w:t xml:space="preserve">سدهي ، محمّد جعفر بن محمّد علي -حسيني اصفهاني ، محمّد جعفر بن محمّد علي</w:t>
      </w:r>
    </w:p>
    <w:p>
      <w:pPr>
        <w:pStyle w:val="Heading2"/>
      </w:pPr>
      <w:bookmarkStart w:id="4787" w:name="_Toc3889"/>
      <w:r>
        <w:t>سدوسي ، مؤرج بن عمرو - 195 ه-</w:t>
      </w:r>
      <w:bookmarkEnd w:id="4787"/>
    </w:p>
    <w:p>
      <w:pPr>
        <w:pStyle w:val="BookText"/>
      </w:pPr>
      <w:r>
        <w:rPr>
          <w:rFonts w:ascii="Amiri" w:hAnsi="Amiri" w:eastAsia="Amiri" w:cs="Amiri"/>
          <w:lang w:bidi="ar-SA"/>
          <w:color w:val="111111"/>
          <w:sz w:val="28"/>
          <w:szCs w:val="28"/>
          <w:rtl/>
        </w:rPr>
        <w:t xml:space="preserve">الامثال = كتاب الامثال، ج2، ص 743.</w:t>
      </w:r>
    </w:p>
    <w:p>
      <w:pPr>
        <w:pStyle w:val="Heading2"/>
      </w:pPr>
      <w:bookmarkStart w:id="4788" w:name="_Toc3890"/>
      <w:r>
        <w:t>سديد السلطنه ، محمّد علي بن احمد</w:t>
      </w:r>
      <w:bookmarkEnd w:id="4788"/>
    </w:p>
    <w:p>
      <w:pPr>
        <w:pStyle w:val="BookText"/>
      </w:pPr>
      <w:r>
        <w:rPr>
          <w:rFonts w:ascii="IRNazanin" w:hAnsi="IRNazanin" w:eastAsia="IRNazanin" w:cs="IRNazanin"/>
          <w:lang w:bidi="fa-IR"/>
          <w:color w:val="111111"/>
          <w:sz w:val="28"/>
          <w:szCs w:val="28"/>
          <w:rtl/>
        </w:rPr>
        <w:t xml:space="preserve">1291 - 1362 ه-</w:t>
      </w:r>
    </w:p>
    <w:p>
      <w:pPr>
        <w:pStyle w:val="BookText"/>
      </w:pPr>
      <w:r>
        <w:rPr>
          <w:rFonts w:ascii="Amiri" w:hAnsi="Amiri" w:eastAsia="Amiri" w:cs="Amiri"/>
          <w:lang w:bidi="ar-SA"/>
          <w:color w:val="111111"/>
          <w:sz w:val="28"/>
          <w:szCs w:val="28"/>
          <w:rtl/>
        </w:rPr>
        <w:t xml:space="preserve">المناص في احوال الغوص = صيد</w:t>
      </w:r>
    </w:p>
    <w:p>
      <w:pPr>
        <w:pStyle w:val="BookText"/>
      </w:pPr>
      <w:r>
        <w:rPr>
          <w:rFonts w:ascii="IRNazanin" w:hAnsi="IRNazanin" w:eastAsia="IRNazanin" w:cs="IRNazanin"/>
          <w:lang w:bidi="fa-IR"/>
          <w:color w:val="111111"/>
          <w:sz w:val="28"/>
          <w:szCs w:val="28"/>
          <w:rtl/>
        </w:rPr>
        <w:t xml:space="preserve">مروارید ،ج 15، ص 510</w:t>
      </w:r>
    </w:p>
    <w:p>
      <w:pPr>
        <w:pStyle w:val="BookText"/>
      </w:pPr>
      <w:r>
        <w:rPr>
          <w:rFonts w:ascii="Amiri" w:hAnsi="Amiri" w:eastAsia="Amiri" w:cs="Amiri"/>
          <w:lang w:bidi="ar-SA"/>
          <w:color w:val="111111"/>
          <w:sz w:val="28"/>
          <w:szCs w:val="28"/>
          <w:rtl/>
        </w:rPr>
        <w:t xml:space="preserve">سديد الدين سمناني- سمناني ، سديد الدين</w:t>
      </w:r>
    </w:p>
    <w:p>
      <w:pPr>
        <w:pStyle w:val="BookText"/>
      </w:pPr>
      <w:r>
        <w:rPr>
          <w:rFonts w:ascii="Amiri" w:hAnsi="Amiri" w:eastAsia="Amiri" w:cs="Amiri"/>
          <w:lang w:bidi="ar-SA"/>
          <w:color w:val="111111"/>
          <w:sz w:val="28"/>
          <w:szCs w:val="28"/>
          <w:rtl/>
        </w:rPr>
        <w:t xml:space="preserve">سديدي كازروني ، محمّد بن مسعود- كازروني ، محمّد بن مسعود</w:t>
      </w:r>
    </w:p>
    <w:p>
      <w:pPr>
        <w:pStyle w:val="BookText"/>
      </w:pPr>
      <w:r>
        <w:rPr>
          <w:rFonts w:ascii="Amiri" w:hAnsi="Amiri" w:eastAsia="Amiri" w:cs="Amiri"/>
          <w:lang w:bidi="ar-SA"/>
          <w:color w:val="111111"/>
          <w:sz w:val="28"/>
          <w:szCs w:val="28"/>
          <w:rtl/>
        </w:rPr>
        <w:t xml:space="preserve">سديدي ، محمّد علي -سديد السلطنه</w:t>
      </w:r>
    </w:p>
    <w:p>
      <w:pPr>
        <w:pStyle w:val="BookText"/>
      </w:pPr>
      <w:r>
        <w:rPr>
          <w:rFonts w:ascii="Amiri" w:hAnsi="Amiri" w:eastAsia="Amiri" w:cs="Amiri"/>
          <w:lang w:bidi="ar-SA"/>
          <w:color w:val="111111"/>
          <w:sz w:val="28"/>
          <w:szCs w:val="28"/>
          <w:rtl/>
        </w:rPr>
        <w:t xml:space="preserve">محمّد علي بن احمد</w:t>
      </w:r>
    </w:p>
    <w:p>
      <w:pPr>
        <w:pStyle w:val="BookText"/>
      </w:pPr>
      <w:r>
        <w:rPr>
          <w:rFonts w:ascii="Amiri" w:hAnsi="Amiri" w:eastAsia="Amiri" w:cs="Amiri"/>
          <w:lang w:bidi="ar-SA"/>
          <w:color w:val="111111"/>
          <w:sz w:val="28"/>
          <w:szCs w:val="28"/>
          <w:rtl/>
        </w:rPr>
        <w:t xml:space="preserve">سراب ، محمّد بن عبد الفتاح - تنكابني ،</w:t>
      </w:r>
    </w:p>
    <w:p>
      <w:pPr>
        <w:pStyle w:val="BookText"/>
      </w:pPr>
      <w:r>
        <w:rPr>
          <w:rFonts w:ascii="IRNazanin" w:hAnsi="IRNazanin" w:eastAsia="IRNazanin" w:cs="IRNazanin"/>
          <w:lang w:bidi="fa-IR"/>
          <w:color w:val="111111"/>
          <w:sz w:val="28"/>
          <w:szCs w:val="28"/>
          <w:rtl/>
        </w:rPr>
        <w:t xml:space="preserve">محمّد بن عبدالفتاح</w:t>
      </w:r>
    </w:p>
    <w:p>
      <w:pPr>
        <w:pStyle w:val="BookText"/>
      </w:pPr>
      <w:r>
        <w:rPr>
          <w:rFonts w:ascii="IRNazanin" w:hAnsi="IRNazanin" w:eastAsia="IRNazanin" w:cs="IRNazanin"/>
          <w:lang w:bidi="fa-IR"/>
          <w:color w:val="111111"/>
          <w:sz w:val="28"/>
          <w:szCs w:val="28"/>
          <w:rtl/>
        </w:rPr>
        <w:t xml:space="preserve">سراب تنکابني ، محمّد بن عبد الفتاح -تنكابني ، محمّد بن عبد الفتاح</w:t>
      </w:r>
    </w:p>
    <w:p>
      <w:pPr>
        <w:pStyle w:val="BookText"/>
      </w:pPr>
      <w:r>
        <w:rPr>
          <w:rFonts w:ascii="IRNazanin" w:hAnsi="IRNazanin" w:eastAsia="IRNazanin" w:cs="IRNazanin"/>
          <w:lang w:bidi="fa-IR"/>
          <w:color w:val="111111"/>
          <w:sz w:val="28"/>
          <w:szCs w:val="28"/>
          <w:rtl/>
        </w:rPr>
        <w:t xml:space="preserve">سراب گيلاني ، محمّد سپهر -تنكابني</w:t>
      </w:r>
    </w:p>
    <w:p>
      <w:pPr>
        <w:pStyle w:val="BookText"/>
      </w:pPr>
      <w:r>
        <w:rPr>
          <w:rFonts w:ascii="IRNazanin" w:hAnsi="IRNazanin" w:eastAsia="IRNazanin" w:cs="IRNazanin"/>
          <w:lang w:bidi="fa-IR"/>
          <w:color w:val="111111"/>
          <w:sz w:val="28"/>
          <w:szCs w:val="28"/>
          <w:rtl/>
        </w:rPr>
        <w:t xml:space="preserve">محمّد بن عبدالفتاح</w:t>
      </w:r>
    </w:p>
    <w:p>
      <w:pPr>
        <w:pStyle w:val="BookText"/>
      </w:pPr>
      <w:r>
        <w:rPr>
          <w:rFonts w:ascii="Amiri" w:hAnsi="Amiri" w:eastAsia="Amiri" w:cs="Amiri"/>
          <w:lang w:bidi="ar-SA"/>
          <w:color w:val="111111"/>
          <w:sz w:val="28"/>
          <w:szCs w:val="28"/>
          <w:rtl/>
        </w:rPr>
        <w:t xml:space="preserve">سراج ارموي ، محمود بن ابي بكر- سراج</w:t>
      </w:r>
    </w:p>
    <w:p>
      <w:pPr>
        <w:pStyle w:val="BookText"/>
      </w:pPr>
      <w:r>
        <w:rPr>
          <w:rFonts w:ascii="IRNazanin" w:hAnsi="IRNazanin" w:eastAsia="IRNazanin" w:cs="IRNazanin"/>
          <w:lang w:bidi="fa-IR"/>
          <w:color w:val="111111"/>
          <w:sz w:val="28"/>
          <w:szCs w:val="28"/>
          <w:rtl/>
        </w:rPr>
        <w:t xml:space="preserve">الدین ارموي، محمود بن ابي بكر</w:t>
      </w:r>
    </w:p>
    <w:p>
      <w:pPr>
        <w:pStyle w:val="Heading2"/>
      </w:pPr>
      <w:bookmarkStart w:id="4789" w:name="_Toc3891"/>
      <w:r>
        <w:t>سراج الدين ارموي ، محمود بن ابي بكر</w:t>
      </w:r>
      <w:bookmarkEnd w:id="4789"/>
    </w:p>
    <w:p>
      <w:pPr>
        <w:pStyle w:val="BookText"/>
      </w:pPr>
      <w:r>
        <w:rPr>
          <w:rFonts w:ascii="Amiri" w:hAnsi="Amiri" w:eastAsia="Amiri" w:cs="Amiri"/>
          <w:lang w:bidi="ar-SA"/>
          <w:color w:val="111111"/>
          <w:sz w:val="28"/>
          <w:szCs w:val="28"/>
          <w:rtl/>
        </w:rPr>
        <w:t xml:space="preserve">1 .تلخيص المحصول لتنقيح الأصول (مختصر) - تحصيل الاصول من كتاب المحصول، ج 4، ص 856.</w:t>
      </w:r>
    </w:p>
    <w:p>
      <w:pPr>
        <w:pStyle w:val="BookText"/>
      </w:pPr>
      <w:r>
        <w:rPr>
          <w:rFonts w:ascii="Amiri" w:hAnsi="Amiri" w:eastAsia="Amiri" w:cs="Amiri"/>
          <w:lang w:bidi="ar-SA"/>
          <w:color w:val="111111"/>
          <w:sz w:val="28"/>
          <w:szCs w:val="28"/>
          <w:rtl/>
        </w:rPr>
        <w:t xml:space="preserve">2 .شرح الاشارات و التنبيهات، ج 9،</w:t>
      </w:r>
    </w:p>
    <w:p>
      <w:pPr>
        <w:pStyle w:val="BookText"/>
      </w:pPr>
      <w:r>
        <w:rPr>
          <w:rFonts w:ascii="IRNazanin" w:hAnsi="IRNazanin" w:eastAsia="IRNazanin" w:cs="IRNazanin"/>
          <w:lang w:bidi="fa-IR"/>
          <w:color w:val="111111"/>
          <w:sz w:val="28"/>
          <w:szCs w:val="28"/>
          <w:rtl/>
        </w:rPr>
        <w:t xml:space="preserve">ص 202.</w:t>
      </w:r>
    </w:p>
    <w:p>
      <w:pPr>
        <w:pStyle w:val="BookText"/>
      </w:pPr>
      <w:r>
        <w:rPr>
          <w:rFonts w:ascii="Amiri" w:hAnsi="Amiri" w:eastAsia="Amiri" w:cs="Amiri"/>
          <w:lang w:bidi="ar-SA"/>
          <w:color w:val="111111"/>
          <w:sz w:val="28"/>
          <w:szCs w:val="28"/>
          <w:rtl/>
        </w:rPr>
        <w:t xml:space="preserve">3 .الفرق بين موضوعي العلم الإلهي و</w:t>
      </w:r>
    </w:p>
    <w:p>
      <w:pPr>
        <w:pStyle w:val="BookText"/>
      </w:pPr>
      <w:r>
        <w:rPr>
          <w:rFonts w:ascii="Amiri" w:hAnsi="Amiri" w:eastAsia="Amiri" w:cs="Amiri"/>
          <w:lang w:bidi="ar-SA"/>
          <w:color w:val="111111"/>
          <w:sz w:val="28"/>
          <w:szCs w:val="28"/>
          <w:rtl/>
        </w:rPr>
        <w:t xml:space="preserve">الكلام (رسالة في)، ج 11، ص 797.</w:t>
      </w:r>
    </w:p>
    <w:p>
      <w:pPr>
        <w:pStyle w:val="BookText"/>
      </w:pPr>
      <w:r>
        <w:rPr>
          <w:rFonts w:ascii="IRNazanin" w:hAnsi="IRNazanin" w:eastAsia="IRNazanin" w:cs="IRNazanin"/>
          <w:lang w:bidi="fa-IR"/>
          <w:color w:val="111111"/>
          <w:sz w:val="28"/>
          <w:szCs w:val="28"/>
          <w:rtl/>
        </w:rPr>
        <w:t xml:space="preserve">4 .مطالع الانوار، ج 14 ، ص 770.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8" w:name="pg7742_70511"/>
    <w:bookmarkEnd w:id="558"/>
    <w:p>
      <w:pPr>
        <w:pStyle w:val="Heading2"/>
      </w:pPr>
      <w:bookmarkStart w:id="4790" w:name="_Toc3892"/>
      <w:r>
        <w:t>سراج الدین اوشي ، علي بن عثمان</w:t>
      </w:r>
      <w:bookmarkEnd w:id="4790"/>
    </w:p>
    <w:p>
      <w:pPr>
        <w:pStyle w:val="BookText"/>
      </w:pPr>
      <w:r>
        <w:rPr>
          <w:rFonts w:ascii="IRNazanin" w:hAnsi="IRNazanin" w:eastAsia="IRNazanin" w:cs="IRNazanin"/>
          <w:lang w:bidi="fa-IR"/>
          <w:color w:val="111111"/>
          <w:sz w:val="28"/>
          <w:szCs w:val="28"/>
          <w:rtl/>
        </w:rPr>
        <w:t xml:space="preserve">575؟ ه-</w:t>
      </w:r>
    </w:p>
    <w:p>
      <w:pPr>
        <w:pStyle w:val="BookText"/>
      </w:pPr>
      <w:r>
        <w:rPr>
          <w:rFonts w:ascii="Amiri" w:hAnsi="Amiri" w:eastAsia="Amiri" w:cs="Amiri"/>
          <w:lang w:bidi="ar-SA"/>
          <w:color w:val="111111"/>
          <w:sz w:val="28"/>
          <w:szCs w:val="28"/>
          <w:rtl/>
        </w:rPr>
        <w:t xml:space="preserve">1 .بدء الامالي = قصيدة يقول العبد</w:t>
      </w:r>
    </w:p>
    <w:p>
      <w:pPr>
        <w:pStyle w:val="BookText"/>
      </w:pPr>
      <w:r>
        <w:rPr>
          <w:rFonts w:ascii="Amiri" w:hAnsi="Amiri" w:eastAsia="Amiri" w:cs="Amiri"/>
          <w:lang w:bidi="ar-SA"/>
          <w:color w:val="111111"/>
          <w:sz w:val="28"/>
          <w:szCs w:val="28"/>
          <w:rtl/>
        </w:rPr>
        <w:t xml:space="preserve">قصيدة الامالي، ج 3، ص 262.</w:t>
      </w:r>
    </w:p>
    <w:p>
      <w:pPr>
        <w:pStyle w:val="BookText"/>
      </w:pPr>
      <w:r>
        <w:rPr>
          <w:rFonts w:ascii="Amiri" w:hAnsi="Amiri" w:eastAsia="Amiri" w:cs="Amiri"/>
          <w:lang w:bidi="ar-SA"/>
          <w:color w:val="111111"/>
          <w:sz w:val="28"/>
          <w:szCs w:val="28"/>
          <w:rtl/>
        </w:rPr>
        <w:t xml:space="preserve">2 .الفتاوى السراجية، ج 11، ص 614.</w:t>
      </w:r>
    </w:p>
    <w:p>
      <w:pPr>
        <w:pStyle w:val="BookText"/>
      </w:pPr>
      <w:r>
        <w:rPr>
          <w:rFonts w:ascii="Amiri" w:hAnsi="Amiri" w:eastAsia="Amiri" w:cs="Amiri"/>
          <w:lang w:bidi="ar-SA"/>
          <w:color w:val="111111"/>
          <w:sz w:val="28"/>
          <w:szCs w:val="28"/>
          <w:rtl/>
        </w:rPr>
        <w:t xml:space="preserve">3 .نصاب الاخبار لتذكرة الاخيار، ج 16</w:t>
      </w:r>
    </w:p>
    <w:p>
      <w:pPr>
        <w:pStyle w:val="BookText"/>
      </w:pPr>
      <w:r>
        <w:rPr>
          <w:rFonts w:ascii="IRNazanin" w:hAnsi="IRNazanin" w:eastAsia="IRNazanin" w:cs="IRNazanin"/>
          <w:lang w:bidi="fa-IR"/>
          <w:color w:val="111111"/>
          <w:sz w:val="28"/>
          <w:szCs w:val="28"/>
          <w:rtl/>
        </w:rPr>
        <w:t xml:space="preserve">ص 295 .</w:t>
      </w:r>
    </w:p>
    <w:p>
      <w:pPr>
        <w:pStyle w:val="BookText"/>
      </w:pPr>
      <w:r>
        <w:rPr>
          <w:rFonts w:ascii="Amiri" w:hAnsi="Amiri" w:eastAsia="Amiri" w:cs="Amiri"/>
          <w:lang w:bidi="ar-SA"/>
          <w:color w:val="111111"/>
          <w:sz w:val="28"/>
          <w:szCs w:val="28"/>
          <w:rtl/>
        </w:rPr>
        <w:t xml:space="preserve">سراج الدين بلقيني- بلقيني ، سراج الدين</w:t>
      </w:r>
    </w:p>
    <w:p>
      <w:pPr>
        <w:pStyle w:val="Heading2"/>
      </w:pPr>
      <w:bookmarkStart w:id="4791" w:name="_Toc3893"/>
      <w:r>
        <w:t>سراج الدين بن علي خان - 1232 ه-</w:t>
      </w:r>
      <w:bookmarkEnd w:id="4791"/>
    </w:p>
    <w:p>
      <w:pPr>
        <w:pStyle w:val="BookText"/>
      </w:pPr>
      <w:r>
        <w:rPr>
          <w:rFonts w:ascii="Amiri" w:hAnsi="Amiri" w:eastAsia="Amiri" w:cs="Amiri"/>
          <w:lang w:bidi="ar-SA"/>
          <w:color w:val="111111"/>
          <w:sz w:val="28"/>
          <w:szCs w:val="28"/>
          <w:rtl/>
        </w:rPr>
        <w:t xml:space="preserve">جامع التعزيرات، ج5، ص258.</w:t>
      </w:r>
    </w:p>
    <w:p>
      <w:pPr>
        <w:pStyle w:val="BookText"/>
      </w:pPr>
      <w:r>
        <w:rPr>
          <w:rFonts w:ascii="Amiri" w:hAnsi="Amiri" w:eastAsia="Amiri" w:cs="Amiri"/>
          <w:lang w:bidi="ar-SA"/>
          <w:color w:val="111111"/>
          <w:sz w:val="28"/>
          <w:szCs w:val="28"/>
          <w:rtl/>
        </w:rPr>
        <w:t xml:space="preserve">سراج الدين سجاوندي -سجاوندي، محمّد</w:t>
      </w:r>
    </w:p>
    <w:p>
      <w:pPr>
        <w:pStyle w:val="BookText"/>
      </w:pPr>
      <w:r>
        <w:rPr>
          <w:rFonts w:ascii="Amiri" w:hAnsi="Amiri" w:eastAsia="Amiri" w:cs="Amiri"/>
          <w:lang w:bidi="ar-SA"/>
          <w:color w:val="111111"/>
          <w:sz w:val="28"/>
          <w:szCs w:val="28"/>
          <w:rtl/>
        </w:rPr>
        <w:t xml:space="preserve">بن محمّد</w:t>
      </w:r>
    </w:p>
    <w:p>
      <w:pPr>
        <w:pStyle w:val="Heading2"/>
      </w:pPr>
      <w:bookmarkStart w:id="4792" w:name="_Toc3894"/>
      <w:r>
        <w:t>سراج الدين عمر</w:t>
      </w:r>
      <w:bookmarkEnd w:id="4792"/>
    </w:p>
    <w:p>
      <w:pPr>
        <w:pStyle w:val="BookText"/>
      </w:pPr>
      <w:r>
        <w:rPr>
          <w:rFonts w:ascii="Amiri" w:hAnsi="Amiri" w:eastAsia="Amiri" w:cs="Amiri"/>
          <w:lang w:bidi="ar-SA"/>
          <w:color w:val="111111"/>
          <w:sz w:val="28"/>
          <w:szCs w:val="28"/>
          <w:rtl/>
        </w:rPr>
        <w:t xml:space="preserve">مختصر مهمة المهمات، ج 14 ، ص 266.</w:t>
      </w:r>
    </w:p>
    <w:p>
      <w:pPr>
        <w:pStyle w:val="BookText"/>
      </w:pPr>
      <w:r>
        <w:rPr>
          <w:rFonts w:ascii="IRNazanin" w:hAnsi="IRNazanin" w:eastAsia="IRNazanin" w:cs="IRNazanin"/>
          <w:lang w:bidi="fa-IR"/>
          <w:color w:val="111111"/>
          <w:sz w:val="28"/>
          <w:szCs w:val="28"/>
          <w:rtl/>
        </w:rPr>
        <w:t xml:space="preserve">سراج ، جعفر بن احمد- ابن سراج ،</w:t>
      </w:r>
    </w:p>
    <w:p>
      <w:pPr>
        <w:pStyle w:val="BookText"/>
      </w:pPr>
      <w:r>
        <w:rPr>
          <w:rFonts w:ascii="IRNazanin" w:hAnsi="IRNazanin" w:eastAsia="IRNazanin" w:cs="IRNazanin"/>
          <w:lang w:bidi="fa-IR"/>
          <w:color w:val="111111"/>
          <w:sz w:val="28"/>
          <w:szCs w:val="28"/>
          <w:rtl/>
        </w:rPr>
        <w:t xml:space="preserve">جعفر بن احمد</w:t>
      </w:r>
    </w:p>
    <w:p>
      <w:pPr>
        <w:pStyle w:val="BookText"/>
      </w:pPr>
      <w:r>
        <w:rPr>
          <w:rFonts w:ascii="IRNazanin" w:hAnsi="IRNazanin" w:eastAsia="IRNazanin" w:cs="IRNazanin"/>
          <w:lang w:bidi="fa-IR"/>
          <w:color w:val="111111"/>
          <w:sz w:val="28"/>
          <w:szCs w:val="28"/>
          <w:rtl/>
        </w:rPr>
        <w:t xml:space="preserve">سرخسي ، ابوبکر محمّد شمس الائمه</w:t>
      </w:r>
    </w:p>
    <w:p>
      <w:pPr>
        <w:pStyle w:val="Heading2"/>
      </w:pPr>
      <w:bookmarkStart w:id="4793" w:name="_Toc3895"/>
      <w:r>
        <w:t>سراج ، حسين بن احمد</w:t>
      </w:r>
      <w:bookmarkEnd w:id="4793"/>
    </w:p>
    <w:p>
      <w:pPr>
        <w:pStyle w:val="BookText"/>
      </w:pPr>
      <w:r>
        <w:rPr>
          <w:rFonts w:ascii="Amiri" w:hAnsi="Amiri" w:eastAsia="Amiri" w:cs="Amiri"/>
          <w:lang w:bidi="ar-SA"/>
          <w:color w:val="111111"/>
          <w:sz w:val="28"/>
          <w:szCs w:val="28"/>
          <w:rtl/>
        </w:rPr>
        <w:t xml:space="preserve">تقريض، ج 4، ص 780.</w:t>
      </w:r>
    </w:p>
    <w:p>
      <w:pPr>
        <w:pStyle w:val="BookText"/>
      </w:pPr>
      <w:r>
        <w:rPr>
          <w:rFonts w:ascii="Amiri" w:hAnsi="Amiri" w:eastAsia="Amiri" w:cs="Amiri"/>
          <w:lang w:bidi="ar-SA"/>
          <w:color w:val="111111"/>
          <w:sz w:val="28"/>
          <w:szCs w:val="28"/>
          <w:rtl/>
        </w:rPr>
        <w:t xml:space="preserve">سراج زاده ، علي -قره فضلي ، علي</w:t>
      </w:r>
    </w:p>
    <w:p>
      <w:pPr>
        <w:pStyle w:val="BookText"/>
      </w:pPr>
      <w:r>
        <w:rPr>
          <w:rFonts w:ascii="Amiri" w:hAnsi="Amiri" w:eastAsia="Amiri" w:cs="Amiri"/>
          <w:lang w:bidi="ar-SA"/>
          <w:color w:val="111111"/>
          <w:sz w:val="28"/>
          <w:szCs w:val="28"/>
          <w:rtl/>
        </w:rPr>
        <w:t xml:space="preserve">سراج ، صديق محمّد بن صديق - سراج ،</w:t>
      </w:r>
    </w:p>
    <w:p>
      <w:pPr>
        <w:pStyle w:val="BookText"/>
      </w:pPr>
      <w:r>
        <w:rPr>
          <w:rFonts w:ascii="Amiri" w:hAnsi="Amiri" w:eastAsia="Amiri" w:cs="Amiri"/>
          <w:lang w:bidi="ar-SA"/>
          <w:color w:val="111111"/>
          <w:sz w:val="28"/>
          <w:szCs w:val="28"/>
          <w:rtl/>
        </w:rPr>
        <w:t xml:space="preserve">محمّد بن صديق</w:t>
      </w:r>
    </w:p>
    <w:p>
      <w:pPr>
        <w:pStyle w:val="Heading2"/>
      </w:pPr>
      <w:bookmarkStart w:id="4794" w:name="_Toc3896"/>
      <w:r>
        <w:t>سراج ، عباس آل حاجي قرن 14 ه-</w:t>
      </w:r>
      <w:bookmarkEnd w:id="4794"/>
    </w:p>
    <w:p>
      <w:pPr>
        <w:pStyle w:val="BookText"/>
      </w:pPr>
      <w:r>
        <w:rPr>
          <w:rFonts w:ascii="Amiri" w:hAnsi="Amiri" w:eastAsia="Amiri" w:cs="Amiri"/>
          <w:lang w:bidi="ar-SA"/>
          <w:color w:val="111111"/>
          <w:sz w:val="28"/>
          <w:szCs w:val="28"/>
          <w:rtl/>
        </w:rPr>
        <w:t xml:space="preserve">المجالس الحسينية، ج13، ص790.</w:t>
      </w:r>
    </w:p>
    <w:p>
      <w:pPr>
        <w:pStyle w:val="BookText"/>
      </w:pPr>
      <w:r>
        <w:rPr>
          <w:rFonts w:ascii="Amiri" w:hAnsi="Amiri" w:eastAsia="Amiri" w:cs="Amiri"/>
          <w:lang w:bidi="ar-SA"/>
          <w:color w:val="111111"/>
          <w:sz w:val="28"/>
          <w:szCs w:val="28"/>
          <w:rtl/>
        </w:rPr>
        <w:t xml:space="preserve">سراج ، عمر بن عبدالرحمن - قزويني ،</w:t>
      </w:r>
    </w:p>
    <w:p>
      <w:pPr>
        <w:pStyle w:val="BookText"/>
      </w:pPr>
      <w:r>
        <w:rPr>
          <w:rFonts w:ascii="IRNazanin" w:hAnsi="IRNazanin" w:eastAsia="IRNazanin" w:cs="IRNazanin"/>
          <w:lang w:bidi="fa-IR"/>
          <w:color w:val="111111"/>
          <w:sz w:val="28"/>
          <w:szCs w:val="28"/>
          <w:rtl/>
        </w:rPr>
        <w:t xml:space="preserve">عمر بن عبدالرحمن</w:t>
      </w:r>
    </w:p>
    <w:p>
      <w:pPr>
        <w:pStyle w:val="Heading2"/>
      </w:pPr>
      <w:bookmarkStart w:id="4795" w:name="_Toc3897"/>
      <w:r>
        <w:t>سراج ، محمّد بن صديق قرن 10 ه-</w:t>
      </w:r>
      <w:bookmarkEnd w:id="4795"/>
    </w:p>
    <w:p>
      <w:pPr>
        <w:pStyle w:val="BookText"/>
      </w:pPr>
      <w:r>
        <w:rPr>
          <w:rFonts w:ascii="Amiri" w:hAnsi="Amiri" w:eastAsia="Amiri" w:cs="Amiri"/>
          <w:lang w:bidi="ar-SA"/>
          <w:color w:val="111111"/>
          <w:sz w:val="28"/>
          <w:szCs w:val="28"/>
          <w:rtl/>
        </w:rPr>
        <w:t xml:space="preserve">النكت الجياد شرح بانت سعاد، ج 16</w:t>
      </w:r>
    </w:p>
    <w:p>
      <w:pPr>
        <w:pStyle w:val="BookText"/>
      </w:pPr>
      <w:r>
        <w:rPr>
          <w:rFonts w:ascii="IRNazanin" w:hAnsi="IRNazanin" w:eastAsia="IRNazanin" w:cs="IRNazanin"/>
          <w:lang w:bidi="fa-IR"/>
          <w:color w:val="111111"/>
          <w:sz w:val="28"/>
          <w:szCs w:val="28"/>
          <w:rtl/>
        </w:rPr>
        <w:t xml:space="preserve">ص 463 .</w:t>
      </w:r>
    </w:p>
    <w:p>
      <w:pPr>
        <w:pStyle w:val="Heading2"/>
      </w:pPr>
      <w:bookmarkStart w:id="4796" w:name="_Toc3898"/>
      <w:r>
        <w:t>سراجي ، احمد بن عماد قرن 9 ه-</w:t>
      </w:r>
      <w:bookmarkEnd w:id="4796"/>
    </w:p>
    <w:p>
      <w:pPr>
        <w:pStyle w:val="BookText"/>
      </w:pPr>
      <w:r>
        <w:rPr>
          <w:rFonts w:ascii="Amiri" w:hAnsi="Amiri" w:eastAsia="Amiri" w:cs="Amiri"/>
          <w:lang w:bidi="ar-SA"/>
          <w:color w:val="111111"/>
          <w:sz w:val="28"/>
          <w:szCs w:val="28"/>
          <w:rtl/>
        </w:rPr>
        <w:t xml:space="preserve">الشكرية في شرح المقصود، ج 10،</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Amiri" w:hAnsi="Amiri" w:eastAsia="Amiri" w:cs="Amiri"/>
          <w:lang w:bidi="ar-SA"/>
          <w:color w:val="111111"/>
          <w:sz w:val="28"/>
          <w:szCs w:val="28"/>
          <w:rtl/>
        </w:rPr>
        <w:t xml:space="preserve">سرايا بن حماد بن مزيد اسدي حلي- اسدي حلي ، سرايا بن حماد</w:t>
      </w:r>
    </w:p>
    <w:p>
      <w:pPr>
        <w:pStyle w:val="BookText"/>
      </w:pPr>
      <w:r>
        <w:rPr>
          <w:rFonts w:ascii="Amiri" w:hAnsi="Amiri" w:eastAsia="Amiri" w:cs="Amiri"/>
          <w:lang w:bidi="ar-SA"/>
          <w:color w:val="111111"/>
          <w:sz w:val="28"/>
          <w:szCs w:val="28"/>
          <w:rtl/>
        </w:rPr>
        <w:t xml:space="preserve">سربندي ، علي -روزدري ، علي</w:t>
      </w:r>
    </w:p>
    <w:p>
      <w:pPr>
        <w:pStyle w:val="BookText"/>
      </w:pPr>
      <w:r>
        <w:rPr>
          <w:rFonts w:ascii="Amiri" w:hAnsi="Amiri" w:eastAsia="Amiri" w:cs="Amiri"/>
          <w:lang w:bidi="ar-SA"/>
          <w:color w:val="111111"/>
          <w:sz w:val="28"/>
          <w:szCs w:val="28"/>
          <w:rtl/>
        </w:rPr>
        <w:t xml:space="preserve">سرجستاني ، محمّد بن طاهر-سجستاني ،</w:t>
      </w:r>
    </w:p>
    <w:p>
      <w:pPr>
        <w:pStyle w:val="BookText"/>
      </w:pPr>
      <w:r>
        <w:rPr>
          <w:rFonts w:ascii="IRNazanin" w:hAnsi="IRNazanin" w:eastAsia="IRNazanin" w:cs="IRNazanin"/>
          <w:lang w:bidi="fa-IR"/>
          <w:color w:val="111111"/>
          <w:sz w:val="28"/>
          <w:szCs w:val="28"/>
          <w:rtl/>
        </w:rPr>
        <w:t xml:space="preserve">محمّد بن طاهر</w:t>
      </w:r>
    </w:p>
    <w:p>
      <w:pPr>
        <w:pStyle w:val="BookText"/>
      </w:pPr>
      <w:r>
        <w:rPr>
          <w:rFonts w:ascii="Amiri" w:hAnsi="Amiri" w:eastAsia="Amiri" w:cs="Amiri"/>
          <w:lang w:bidi="ar-SA"/>
          <w:color w:val="111111"/>
          <w:sz w:val="28"/>
          <w:szCs w:val="28"/>
          <w:rtl/>
        </w:rPr>
        <w:t xml:space="preserve">سرجي ، عبد الله بن مثنى -شرجي ، عبدالله بن عبدالله</w:t>
      </w:r>
    </w:p>
    <w:p>
      <w:pPr>
        <w:pStyle w:val="BookText"/>
      </w:pPr>
      <w:r>
        <w:rPr>
          <w:rFonts w:ascii="Amiri" w:hAnsi="Amiri" w:eastAsia="Amiri" w:cs="Amiri"/>
          <w:lang w:bidi="ar-SA"/>
          <w:color w:val="111111"/>
          <w:sz w:val="28"/>
          <w:szCs w:val="28"/>
          <w:rtl/>
        </w:rPr>
        <w:t xml:space="preserve">سرجي ، عبد الله مثنى بن عبد الله - شرجي ،</w:t>
      </w:r>
    </w:p>
    <w:p>
      <w:pPr>
        <w:pStyle w:val="BookText"/>
      </w:pPr>
      <w:r>
        <w:rPr>
          <w:rFonts w:ascii="IRNazanin" w:hAnsi="IRNazanin" w:eastAsia="IRNazanin" w:cs="IRNazanin"/>
          <w:lang w:bidi="fa-IR"/>
          <w:color w:val="111111"/>
          <w:sz w:val="28"/>
          <w:szCs w:val="28"/>
          <w:rtl/>
        </w:rPr>
        <w:t xml:space="preserve">عبدالله بن عبدالله</w:t>
      </w:r>
    </w:p>
    <w:p>
      <w:pPr>
        <w:pStyle w:val="BookText"/>
      </w:pPr>
      <w:r>
        <w:rPr>
          <w:rFonts w:ascii="Amiri" w:hAnsi="Amiri" w:eastAsia="Amiri" w:cs="Amiri"/>
          <w:lang w:bidi="ar-SA"/>
          <w:color w:val="111111"/>
          <w:sz w:val="28"/>
          <w:szCs w:val="28"/>
          <w:rtl/>
        </w:rPr>
        <w:t xml:space="preserve">سرخسي ، محمّد بن احمد</w:t>
      </w:r>
    </w:p>
    <w:p>
      <w:pPr>
        <w:pStyle w:val="BookText"/>
      </w:pPr>
      <w:r>
        <w:rPr>
          <w:rFonts w:ascii="IRNazanin" w:hAnsi="IRNazanin" w:eastAsia="IRNazanin" w:cs="IRNazanin"/>
          <w:lang w:bidi="fa-IR"/>
          <w:color w:val="111111"/>
          <w:sz w:val="28"/>
          <w:szCs w:val="28"/>
          <w:rtl/>
        </w:rPr>
        <w:t xml:space="preserve">سرخسي ، اسحاق بن ابراهیم- قراب</w:t>
      </w:r>
    </w:p>
    <w:p>
      <w:pPr>
        <w:pStyle w:val="BookText"/>
      </w:pPr>
      <w:r>
        <w:rPr>
          <w:rFonts w:ascii="Amiri" w:hAnsi="Amiri" w:eastAsia="Amiri" w:cs="Amiri"/>
          <w:lang w:bidi="ar-SA"/>
          <w:color w:val="111111"/>
          <w:sz w:val="28"/>
          <w:szCs w:val="28"/>
          <w:rtl/>
        </w:rPr>
        <w:t xml:space="preserve">اسحاق بن ابراهيم</w:t>
      </w:r>
    </w:p>
    <w:p>
      <w:pPr>
        <w:pStyle w:val="BookText"/>
      </w:pPr>
      <w:r>
        <w:rPr>
          <w:rFonts w:ascii="Amiri" w:hAnsi="Amiri" w:eastAsia="Amiri" w:cs="Amiri"/>
          <w:lang w:bidi="ar-SA"/>
          <w:color w:val="111111"/>
          <w:sz w:val="28"/>
          <w:szCs w:val="28"/>
          <w:rtl/>
        </w:rPr>
        <w:t xml:space="preserve">سرخسي، شمس الدين- شمس الائمه</w:t>
      </w:r>
    </w:p>
    <w:p>
      <w:pPr>
        <w:pStyle w:val="BookText"/>
      </w:pPr>
      <w:r>
        <w:rPr>
          <w:rFonts w:ascii="Amiri" w:hAnsi="Amiri" w:eastAsia="Amiri" w:cs="Amiri"/>
          <w:lang w:bidi="ar-SA"/>
          <w:color w:val="111111"/>
          <w:sz w:val="28"/>
          <w:szCs w:val="28"/>
          <w:rtl/>
        </w:rPr>
        <w:t xml:space="preserve">سرخسي ، محمّد بن احمد</w:t>
      </w:r>
    </w:p>
    <w:p>
      <w:pPr>
        <w:pStyle w:val="BookText"/>
      </w:pPr>
      <w:r>
        <w:rPr>
          <w:rFonts w:ascii="Amiri" w:hAnsi="Amiri" w:eastAsia="Amiri" w:cs="Amiri"/>
          <w:lang w:bidi="ar-SA"/>
          <w:color w:val="111111"/>
          <w:sz w:val="28"/>
          <w:szCs w:val="28"/>
          <w:rtl/>
        </w:rPr>
        <w:t xml:space="preserve">سرخسي ، علي بن محمّد -عمراني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سرخسي ، محمّد بن احمد -شمس الائمه</w:t>
      </w:r>
    </w:p>
    <w:p>
      <w:pPr>
        <w:pStyle w:val="BookText"/>
      </w:pPr>
      <w:r>
        <w:rPr>
          <w:rFonts w:ascii="Amiri" w:hAnsi="Amiri" w:eastAsia="Amiri" w:cs="Amiri"/>
          <w:lang w:bidi="ar-SA"/>
          <w:color w:val="111111"/>
          <w:sz w:val="28"/>
          <w:szCs w:val="28"/>
          <w:rtl/>
        </w:rPr>
        <w:t xml:space="preserve">سرخسي ، محمّد بن احمد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59" w:name="pg7742_70514"/>
    <w:bookmarkEnd w:id="559"/>
    <w:p>
      <w:pPr>
        <w:pStyle w:val="Heading2"/>
      </w:pPr>
      <w:bookmarkStart w:id="4797" w:name="_Toc3899"/>
      <w:r>
        <w:t>سرخسي ، محمّد بن محمّد - 544 ه-</w:t>
      </w:r>
      <w:bookmarkEnd w:id="4797"/>
    </w:p>
    <w:p>
      <w:pPr>
        <w:pStyle w:val="BookText"/>
      </w:pPr>
      <w:r>
        <w:rPr>
          <w:rFonts w:ascii="Amiri" w:hAnsi="Amiri" w:eastAsia="Amiri" w:cs="Amiri"/>
          <w:lang w:bidi="ar-SA"/>
          <w:color w:val="111111"/>
          <w:sz w:val="28"/>
          <w:szCs w:val="28"/>
          <w:rtl/>
        </w:rPr>
        <w:t xml:space="preserve">وجيز المحيط، ج 16 ، ص 755.</w:t>
      </w:r>
    </w:p>
    <w:p>
      <w:pPr>
        <w:pStyle w:val="BookText"/>
      </w:pPr>
      <w:r>
        <w:rPr>
          <w:rFonts w:ascii="Amiri" w:hAnsi="Amiri" w:eastAsia="Amiri" w:cs="Amiri"/>
          <w:lang w:bidi="ar-SA"/>
          <w:color w:val="111111"/>
          <w:sz w:val="28"/>
          <w:szCs w:val="28"/>
          <w:rtl/>
        </w:rPr>
        <w:t xml:space="preserve">سرخوش كشميري - سرخوش لاهوري ،</w:t>
      </w:r>
    </w:p>
    <w:p>
      <w:pPr>
        <w:pStyle w:val="BookText"/>
      </w:pPr>
      <w:r>
        <w:rPr>
          <w:rFonts w:ascii="IRNazanin" w:hAnsi="IRNazanin" w:eastAsia="IRNazanin" w:cs="IRNazanin"/>
          <w:lang w:bidi="fa-IR"/>
          <w:color w:val="111111"/>
          <w:sz w:val="28"/>
          <w:szCs w:val="28"/>
          <w:rtl/>
        </w:rPr>
        <w:t xml:space="preserve">محمّد افضل بن محمّد معصوم</w:t>
      </w:r>
    </w:p>
    <w:p>
      <w:pPr>
        <w:pStyle w:val="Heading2"/>
      </w:pPr>
      <w:bookmarkStart w:id="4798" w:name="_Toc3900"/>
      <w:r>
        <w:t>سرخوش لاهوري، محمّد افضل بن محمّد</w:t>
      </w:r>
      <w:bookmarkEnd w:id="4798"/>
    </w:p>
    <w:p>
      <w:pPr>
        <w:pStyle w:val="BookText"/>
      </w:pPr>
      <w:r>
        <w:rPr>
          <w:rFonts w:ascii="IRNazanin" w:hAnsi="IRNazanin" w:eastAsia="IRNazanin" w:cs="IRNazanin"/>
          <w:lang w:bidi="fa-IR"/>
          <w:color w:val="111111"/>
          <w:sz w:val="28"/>
          <w:szCs w:val="28"/>
          <w:rtl/>
        </w:rPr>
        <w:t xml:space="preserve">معصوم، 1050 - 1127 ه-</w:t>
      </w:r>
    </w:p>
    <w:p>
      <w:pPr>
        <w:pStyle w:val="BookText"/>
      </w:pPr>
      <w:r>
        <w:rPr>
          <w:rFonts w:ascii="Amiri" w:hAnsi="Amiri" w:eastAsia="Amiri" w:cs="Amiri"/>
          <w:lang w:bidi="ar-SA"/>
          <w:color w:val="111111"/>
          <w:sz w:val="28"/>
          <w:szCs w:val="28"/>
          <w:rtl/>
        </w:rPr>
        <w:t xml:space="preserve">كلمات الشعراء = تذكره شعرا، ج 13،</w:t>
      </w:r>
    </w:p>
    <w:p>
      <w:pPr>
        <w:pStyle w:val="BookText"/>
      </w:pPr>
      <w:r>
        <w:rPr>
          <w:rFonts w:ascii="IRNazanin" w:hAnsi="IRNazanin" w:eastAsia="IRNazanin" w:cs="IRNazanin"/>
          <w:lang w:bidi="fa-IR"/>
          <w:color w:val="111111"/>
          <w:sz w:val="28"/>
          <w:szCs w:val="28"/>
          <w:rtl/>
        </w:rPr>
        <w:t xml:space="preserve">ص 365 .</w:t>
      </w:r>
    </w:p>
    <w:p>
      <w:pPr>
        <w:pStyle w:val="BookText"/>
      </w:pPr>
      <w:r>
        <w:rPr>
          <w:rFonts w:ascii="Amiri" w:hAnsi="Amiri" w:eastAsia="Amiri" w:cs="Amiri"/>
          <w:lang w:bidi="ar-SA"/>
          <w:color w:val="111111"/>
          <w:sz w:val="28"/>
          <w:szCs w:val="28"/>
          <w:rtl/>
        </w:rPr>
        <w:t xml:space="preserve">سرخوش ، محمّد افضل - سرخوش لاهوري</w:t>
      </w:r>
    </w:p>
    <w:p>
      <w:pPr>
        <w:pStyle w:val="BookText"/>
      </w:pPr>
      <w:r>
        <w:rPr>
          <w:rFonts w:ascii="IRNazanin" w:hAnsi="IRNazanin" w:eastAsia="IRNazanin" w:cs="IRNazanin"/>
          <w:lang w:bidi="fa-IR"/>
          <w:color w:val="111111"/>
          <w:sz w:val="28"/>
          <w:szCs w:val="28"/>
          <w:rtl/>
        </w:rPr>
        <w:t xml:space="preserve">محمّد افضل بن محمّد معصوم</w:t>
      </w:r>
    </w:p>
    <w:p>
      <w:pPr>
        <w:pStyle w:val="BookText"/>
      </w:pPr>
      <w:r>
        <w:rPr>
          <w:rFonts w:ascii="Amiri" w:hAnsi="Amiri" w:eastAsia="Amiri" w:cs="Amiri"/>
          <w:lang w:bidi="ar-SA"/>
          <w:color w:val="111111"/>
          <w:sz w:val="28"/>
          <w:szCs w:val="28"/>
          <w:rtl/>
        </w:rPr>
        <w:t xml:space="preserve">سرداد قرشي ، احمد بن ابي بكر -رداد ،</w:t>
      </w:r>
    </w:p>
    <w:p>
      <w:pPr>
        <w:pStyle w:val="BookText"/>
      </w:pPr>
      <w:r>
        <w:rPr>
          <w:rFonts w:ascii="Amiri" w:hAnsi="Amiri" w:eastAsia="Amiri" w:cs="Amiri"/>
          <w:lang w:bidi="ar-SA"/>
          <w:color w:val="111111"/>
          <w:sz w:val="28"/>
          <w:szCs w:val="28"/>
          <w:rtl/>
        </w:rPr>
        <w:t xml:space="preserve">احمد بن ابي بكر</w:t>
      </w:r>
    </w:p>
    <w:p>
      <w:pPr>
        <w:pStyle w:val="Heading2"/>
      </w:pPr>
      <w:bookmarkStart w:id="4799" w:name="_Toc3901"/>
      <w:r>
        <w:t>سردار کابلي ، حيدر قلي، 1293 - 1368</w:t>
      </w:r>
      <w:bookmarkEnd w:id="4799"/>
    </w:p>
    <w:p>
      <w:pPr>
        <w:pStyle w:val="BookText"/>
      </w:pPr>
      <w:r>
        <w:rPr>
          <w:rFonts w:ascii="Amiri" w:hAnsi="Amiri" w:eastAsia="Amiri" w:cs="Amiri"/>
          <w:lang w:bidi="ar-SA"/>
          <w:color w:val="111111"/>
          <w:sz w:val="28"/>
          <w:szCs w:val="28"/>
          <w:rtl/>
        </w:rPr>
        <w:t xml:space="preserve">تعليقات على نهج البلاغة، ج 4،</w:t>
      </w:r>
    </w:p>
    <w:p>
      <w:pPr>
        <w:pStyle w:val="BookText"/>
      </w:pPr>
      <w:r>
        <w:rPr>
          <w:rFonts w:ascii="IRNazanin" w:hAnsi="IRNazanin" w:eastAsia="IRNazanin" w:cs="IRNazanin"/>
          <w:lang w:bidi="fa-IR"/>
          <w:color w:val="111111"/>
          <w:sz w:val="28"/>
          <w:szCs w:val="28"/>
          <w:rtl/>
        </w:rPr>
        <w:t xml:space="preserve">ص 505</w:t>
      </w:r>
    </w:p>
    <w:p>
      <w:pPr>
        <w:pStyle w:val="BookText"/>
      </w:pPr>
      <w:r>
        <w:rPr>
          <w:rFonts w:ascii="IRNazanin" w:hAnsi="IRNazanin" w:eastAsia="IRNazanin" w:cs="IRNazanin"/>
          <w:lang w:bidi="fa-IR"/>
          <w:color w:val="111111"/>
          <w:sz w:val="28"/>
          <w:szCs w:val="28"/>
          <w:rtl/>
        </w:rPr>
        <w:t xml:space="preserve">سررزي ، يعقوب بن عثمان - چرخي ،</w:t>
      </w:r>
    </w:p>
    <w:p>
      <w:pPr>
        <w:pStyle w:val="BookText"/>
      </w:pPr>
      <w:r>
        <w:rPr>
          <w:rFonts w:ascii="Amiri" w:hAnsi="Amiri" w:eastAsia="Amiri" w:cs="Amiri"/>
          <w:lang w:bidi="ar-SA"/>
          <w:color w:val="111111"/>
          <w:sz w:val="28"/>
          <w:szCs w:val="28"/>
          <w:rtl/>
        </w:rPr>
        <w:t xml:space="preserve">يعقوب بن عثمان</w:t>
      </w:r>
    </w:p>
    <w:p>
      <w:pPr>
        <w:pStyle w:val="Heading2"/>
      </w:pPr>
      <w:bookmarkStart w:id="4800" w:name="_Toc3902"/>
      <w:r>
        <w:t>سرقسطي ، اسماعيل بن خلف - 455 ه-</w:t>
      </w:r>
      <w:bookmarkEnd w:id="4800"/>
    </w:p>
    <w:p>
      <w:pPr>
        <w:pStyle w:val="BookText"/>
      </w:pPr>
      <w:r>
        <w:rPr>
          <w:rFonts w:ascii="Amiri" w:hAnsi="Amiri" w:eastAsia="Amiri" w:cs="Amiri"/>
          <w:lang w:bidi="ar-SA"/>
          <w:color w:val="111111"/>
          <w:sz w:val="28"/>
          <w:szCs w:val="28"/>
          <w:rtl/>
        </w:rPr>
        <w:t xml:space="preserve">العنوان في القرآت السبع، ج11،</w:t>
      </w:r>
    </w:p>
    <w:p>
      <w:pPr>
        <w:pStyle w:val="BookText"/>
      </w:pPr>
      <w:r>
        <w:rPr>
          <w:rFonts w:ascii="IRNazanin" w:hAnsi="IRNazanin" w:eastAsia="IRNazanin" w:cs="IRNazanin"/>
          <w:lang w:bidi="fa-IR"/>
          <w:color w:val="111111"/>
          <w:sz w:val="28"/>
          <w:szCs w:val="28"/>
          <w:rtl/>
        </w:rPr>
        <w:t xml:space="preserve">ص 339.</w:t>
      </w:r>
    </w:p>
    <w:p>
      <w:pPr>
        <w:pStyle w:val="Heading2"/>
      </w:pPr>
      <w:bookmarkStart w:id="4801" w:name="_Toc3903"/>
      <w:r>
        <w:t>سرقسطي ، قاسم بن ثابت، 255 - 302</w:t>
      </w:r>
      <w:bookmarkEnd w:id="4801"/>
    </w:p>
    <w:p>
      <w:pPr>
        <w:pStyle w:val="BookText"/>
      </w:pPr>
      <w:r>
        <w:rPr>
          <w:rFonts w:ascii="Amiri" w:hAnsi="Amiri" w:eastAsia="Amiri" w:cs="Amiri"/>
          <w:lang w:bidi="ar-SA"/>
          <w:color w:val="111111"/>
          <w:sz w:val="28"/>
          <w:szCs w:val="28"/>
          <w:rtl/>
        </w:rPr>
        <w:t xml:space="preserve">الدلائل على معاني الحديث بالشاهد</w:t>
      </w:r>
    </w:p>
    <w:p>
      <w:pPr>
        <w:pStyle w:val="BookText"/>
      </w:pPr>
      <w:r>
        <w:rPr>
          <w:rFonts w:ascii="IRNazanin" w:hAnsi="IRNazanin" w:eastAsia="IRNazanin" w:cs="IRNazanin"/>
          <w:lang w:bidi="fa-IR"/>
          <w:color w:val="111111"/>
          <w:sz w:val="28"/>
          <w:szCs w:val="28"/>
          <w:rtl/>
        </w:rPr>
        <w:t xml:space="preserve">و المثل، ج 7، ص 458.</w:t>
      </w:r>
    </w:p>
    <w:p>
      <w:pPr>
        <w:pStyle w:val="BookText"/>
      </w:pPr>
      <w:r>
        <w:rPr>
          <w:rFonts w:ascii="Amiri" w:hAnsi="Amiri" w:eastAsia="Amiri" w:cs="Amiri"/>
          <w:lang w:bidi="ar-SA"/>
          <w:color w:val="111111"/>
          <w:sz w:val="28"/>
          <w:szCs w:val="28"/>
          <w:rtl/>
        </w:rPr>
        <w:t xml:space="preserve">سرقسطي ، محمّد بن يوسف- ابن</w:t>
      </w:r>
    </w:p>
    <w:p>
      <w:pPr>
        <w:pStyle w:val="BookText"/>
      </w:pPr>
      <w:r>
        <w:rPr>
          <w:rFonts w:ascii="Amiri" w:hAnsi="Amiri" w:eastAsia="Amiri" w:cs="Amiri"/>
          <w:lang w:bidi="ar-SA"/>
          <w:color w:val="111111"/>
          <w:sz w:val="28"/>
          <w:szCs w:val="28"/>
          <w:rtl/>
        </w:rPr>
        <w:t xml:space="preserve">اشتركوني ، محمّد بن يوسف</w:t>
      </w:r>
    </w:p>
    <w:p>
      <w:pPr>
        <w:pStyle w:val="BookText"/>
      </w:pPr>
      <w:r>
        <w:rPr>
          <w:rFonts w:ascii="Amiri" w:hAnsi="Amiri" w:eastAsia="Amiri" w:cs="Amiri"/>
          <w:lang w:bidi="ar-SA"/>
          <w:color w:val="111111"/>
          <w:sz w:val="28"/>
          <w:szCs w:val="28"/>
          <w:rtl/>
        </w:rPr>
        <w:t xml:space="preserve">سرقوسي ، عبد الجبار بن ابي بكر- ابن</w:t>
      </w:r>
    </w:p>
    <w:p>
      <w:pPr>
        <w:pStyle w:val="BookText"/>
      </w:pPr>
      <w:r>
        <w:rPr>
          <w:rFonts w:ascii="Amiri" w:hAnsi="Amiri" w:eastAsia="Amiri" w:cs="Amiri"/>
          <w:lang w:bidi="ar-SA"/>
          <w:color w:val="111111"/>
          <w:sz w:val="28"/>
          <w:szCs w:val="28"/>
          <w:rtl/>
        </w:rPr>
        <w:t xml:space="preserve">حمديس ، عبدالجبار بن ابي بكر</w:t>
      </w:r>
    </w:p>
    <w:p>
      <w:pPr>
        <w:pStyle w:val="BookText"/>
      </w:pPr>
      <w:r>
        <w:rPr>
          <w:rFonts w:ascii="Amiri" w:hAnsi="Amiri" w:eastAsia="Amiri" w:cs="Amiri"/>
          <w:lang w:bidi="ar-SA"/>
          <w:color w:val="111111"/>
          <w:sz w:val="28"/>
          <w:szCs w:val="28"/>
          <w:rtl/>
        </w:rPr>
        <w:t xml:space="preserve">سرقي ، فرحان بن عمر</w:t>
      </w:r>
    </w:p>
    <w:p>
      <w:pPr>
        <w:pStyle w:val="BookText"/>
      </w:pPr>
      <w:r>
        <w:rPr>
          <w:rFonts w:ascii="Amiri" w:hAnsi="Amiri" w:eastAsia="Amiri" w:cs="Amiri"/>
          <w:lang w:bidi="ar-SA"/>
          <w:color w:val="111111"/>
          <w:sz w:val="28"/>
          <w:szCs w:val="28"/>
          <w:rtl/>
        </w:rPr>
        <w:t xml:space="preserve">كشف الغمة افتراق الامة، ج13،</w:t>
      </w:r>
    </w:p>
    <w:p>
      <w:pPr>
        <w:pStyle w:val="BookText"/>
      </w:pPr>
      <w:r>
        <w:rPr>
          <w:rFonts w:ascii="IRNazanin" w:hAnsi="IRNazanin" w:eastAsia="IRNazanin" w:cs="IRNazanin"/>
          <w:lang w:bidi="fa-IR"/>
          <w:color w:val="111111"/>
          <w:sz w:val="28"/>
          <w:szCs w:val="28"/>
          <w:rtl/>
        </w:rPr>
        <w:t xml:space="preserve">ص 240.</w:t>
      </w:r>
    </w:p>
    <w:p>
      <w:pPr>
        <w:pStyle w:val="Heading2"/>
      </w:pPr>
      <w:bookmarkStart w:id="4802" w:name="_Toc3904"/>
      <w:r>
        <w:t>سركاني ، محمّد صادق بن محمّد علي، قرن</w:t>
      </w:r>
      <w:bookmarkEnd w:id="4802"/>
    </w:p>
    <w:p>
      <w:pPr>
        <w:pStyle w:val="BookText"/>
      </w:pPr>
      <w:r>
        <w:rPr>
          <w:rFonts w:ascii="IRNazanin" w:hAnsi="IRNazanin" w:eastAsia="IRNazanin" w:cs="IRNazanin"/>
          <w:lang w:bidi="fa-IR"/>
          <w:color w:val="111111"/>
          <w:sz w:val="28"/>
          <w:szCs w:val="28"/>
          <w:rtl/>
        </w:rPr>
        <w:t xml:space="preserve">11ه-</w:t>
      </w:r>
    </w:p>
    <w:p>
      <w:pPr>
        <w:pStyle w:val="BookText"/>
      </w:pPr>
      <w:r>
        <w:rPr>
          <w:rFonts w:ascii="Amiri" w:hAnsi="Amiri" w:eastAsia="Amiri" w:cs="Amiri"/>
          <w:lang w:bidi="ar-SA"/>
          <w:color w:val="111111"/>
          <w:sz w:val="28"/>
          <w:szCs w:val="28"/>
          <w:rtl/>
        </w:rPr>
        <w:t xml:space="preserve">زهر الحديقة = شرح لغز النحو، ج8،</w:t>
      </w:r>
    </w:p>
    <w:p>
      <w:pPr>
        <w:pStyle w:val="BookText"/>
      </w:pPr>
      <w:r>
        <w:rPr>
          <w:rFonts w:ascii="IRNazanin" w:hAnsi="IRNazanin" w:eastAsia="IRNazanin" w:cs="IRNazanin"/>
          <w:lang w:bidi="fa-IR"/>
          <w:color w:val="111111"/>
          <w:sz w:val="28"/>
          <w:szCs w:val="28"/>
          <w:rtl/>
        </w:rPr>
        <w:t xml:space="preserve">ص 623.</w:t>
      </w:r>
    </w:p>
    <w:p>
      <w:pPr>
        <w:pStyle w:val="Heading2"/>
      </w:pPr>
      <w:bookmarkStart w:id="4803" w:name="_Toc3905"/>
      <w:r>
        <w:t>سركيس ، يعقوب، 1876 - 1959 م</w:t>
      </w:r>
      <w:bookmarkEnd w:id="4803"/>
    </w:p>
    <w:p>
      <w:pPr>
        <w:pStyle w:val="BookText"/>
      </w:pPr>
      <w:r>
        <w:rPr>
          <w:rFonts w:ascii="Amiri" w:hAnsi="Amiri" w:eastAsia="Amiri" w:cs="Amiri"/>
          <w:lang w:bidi="ar-SA"/>
          <w:color w:val="111111"/>
          <w:sz w:val="28"/>
          <w:szCs w:val="28"/>
          <w:rtl/>
        </w:rPr>
        <w:t xml:space="preserve">1 .تعريف الانجيل الشريف في العصر</w:t>
      </w:r>
    </w:p>
    <w:p>
      <w:pPr>
        <w:pStyle w:val="BookText"/>
      </w:pPr>
      <w:r>
        <w:rPr>
          <w:rFonts w:ascii="Amiri" w:hAnsi="Amiri" w:eastAsia="Amiri" w:cs="Amiri"/>
          <w:lang w:bidi="ar-SA"/>
          <w:color w:val="111111"/>
          <w:sz w:val="28"/>
          <w:szCs w:val="28"/>
          <w:rtl/>
        </w:rPr>
        <w:t xml:space="preserve">العباسي، ج4، ص 474.</w:t>
      </w:r>
    </w:p>
    <w:p>
      <w:pPr>
        <w:pStyle w:val="BookText"/>
      </w:pPr>
      <w:r>
        <w:rPr>
          <w:rFonts w:ascii="Amiri" w:hAnsi="Amiri" w:eastAsia="Amiri" w:cs="Amiri"/>
          <w:lang w:bidi="ar-SA"/>
          <w:color w:val="111111"/>
          <w:sz w:val="28"/>
          <w:szCs w:val="28"/>
          <w:rtl/>
        </w:rPr>
        <w:t xml:space="preserve">2 .دير قني و دير ماري و ضريحه</w:t>
      </w:r>
    </w:p>
    <w:p>
      <w:pPr>
        <w:pStyle w:val="BookText"/>
      </w:pPr>
      <w:r>
        <w:rPr>
          <w:rFonts w:ascii="IRNazanin" w:hAnsi="IRNazanin" w:eastAsia="IRNazanin" w:cs="IRNazanin"/>
          <w:lang w:bidi="fa-IR"/>
          <w:color w:val="111111"/>
          <w:sz w:val="28"/>
          <w:szCs w:val="28"/>
          <w:rtl/>
        </w:rPr>
        <w:t xml:space="preserve">ج 7، ص 501.</w:t>
      </w:r>
    </w:p>
    <w:p>
      <w:pPr>
        <w:pStyle w:val="BookText"/>
      </w:pPr>
      <w:r>
        <w:rPr>
          <w:rFonts w:ascii="Amiri" w:hAnsi="Amiri" w:eastAsia="Amiri" w:cs="Amiri"/>
          <w:lang w:bidi="ar-SA"/>
          <w:color w:val="111111"/>
          <w:sz w:val="28"/>
          <w:szCs w:val="28"/>
          <w:rtl/>
        </w:rPr>
        <w:t xml:space="preserve">3 .فصول من انجيل ترجمة قديمة</w:t>
      </w:r>
    </w:p>
    <w:p>
      <w:pPr>
        <w:pStyle w:val="BookText"/>
      </w:pPr>
      <w:r>
        <w:rPr>
          <w:rFonts w:ascii="IRNazanin" w:hAnsi="IRNazanin" w:eastAsia="IRNazanin" w:cs="IRNazanin"/>
          <w:lang w:bidi="fa-IR"/>
          <w:color w:val="111111"/>
          <w:sz w:val="28"/>
          <w:szCs w:val="28"/>
          <w:rtl/>
        </w:rPr>
        <w:t xml:space="preserve">ج 11، ص 864.</w:t>
      </w:r>
    </w:p>
    <w:p>
      <w:pPr>
        <w:pStyle w:val="Heading2"/>
      </w:pPr>
      <w:bookmarkStart w:id="4804" w:name="_Toc3906"/>
      <w:r>
        <w:t>سرماري، احمد بن عبدالله - 219 ه-</w:t>
      </w:r>
      <w:bookmarkEnd w:id="4804"/>
    </w:p>
    <w:p>
      <w:pPr>
        <w:pStyle w:val="BookText"/>
      </w:pPr>
      <w:r>
        <w:rPr>
          <w:rFonts w:ascii="Amiri" w:hAnsi="Amiri" w:eastAsia="Amiri" w:cs="Amiri"/>
          <w:lang w:bidi="ar-SA"/>
          <w:color w:val="111111"/>
          <w:sz w:val="28"/>
          <w:szCs w:val="28"/>
          <w:rtl/>
        </w:rPr>
        <w:t xml:space="preserve">الابانة في رد من شنع أبي حنيفة، ج1،</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Amiri" w:hAnsi="Amiri" w:eastAsia="Amiri" w:cs="Amiri"/>
          <w:lang w:bidi="ar-SA"/>
          <w:color w:val="111111"/>
          <w:sz w:val="28"/>
          <w:szCs w:val="28"/>
          <w:rtl/>
        </w:rPr>
        <w:t xml:space="preserve">سرمدي ، محمّد ابراهيم بن</w:t>
      </w:r>
    </w:p>
    <w:p>
      <w:pPr>
        <w:pStyle w:val="BookText"/>
      </w:pPr>
      <w:r>
        <w:rPr>
          <w:rFonts w:ascii="Amiri" w:hAnsi="Amiri" w:eastAsia="Amiri" w:cs="Amiri"/>
          <w:lang w:bidi="ar-SA"/>
          <w:color w:val="111111"/>
          <w:sz w:val="28"/>
          <w:szCs w:val="28"/>
          <w:rtl/>
        </w:rPr>
        <w:t xml:space="preserve">محمّد -ترمدي ، محمّد ابراهيم بن محمّد</w:t>
      </w:r>
    </w:p>
    <w:p>
      <w:pPr>
        <w:pStyle w:val="Heading2"/>
      </w:pPr>
      <w:bookmarkStart w:id="4805" w:name="_Toc3907"/>
      <w:r>
        <w:t>سرمدي ، يوسف بن محمّد</w:t>
      </w:r>
      <w:bookmarkEnd w:id="4805"/>
    </w:p>
    <w:p>
      <w:pPr>
        <w:pStyle w:val="BookText"/>
      </w:pPr>
      <w:r>
        <w:rPr>
          <w:rFonts w:ascii="Amiri" w:hAnsi="Amiri" w:eastAsia="Amiri" w:cs="Amiri"/>
          <w:lang w:bidi="ar-SA"/>
          <w:color w:val="111111"/>
          <w:sz w:val="28"/>
          <w:szCs w:val="28"/>
          <w:rtl/>
        </w:rPr>
        <w:t xml:space="preserve">شرح اللؤلؤة في علم العربية، ج 10،</w:t>
      </w:r>
    </w:p>
    <w:p>
      <w:pPr>
        <w:pStyle w:val="BookText"/>
      </w:pPr>
      <w:r>
        <w:rPr>
          <w:rFonts w:ascii="IRNazanin" w:hAnsi="IRNazanin" w:eastAsia="IRNazanin" w:cs="IRNazanin"/>
          <w:lang w:bidi="fa-IR"/>
          <w:color w:val="111111"/>
          <w:sz w:val="28"/>
          <w:szCs w:val="28"/>
          <w:rtl/>
        </w:rPr>
        <w:t xml:space="preserve">ص 77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0" w:name="pg7742_70515"/>
    <w:bookmarkEnd w:id="560"/>
    <w:p>
      <w:pPr>
        <w:pStyle w:val="Heading2"/>
      </w:pPr>
      <w:bookmarkStart w:id="4806" w:name="_Toc3908"/>
      <w:r>
        <w:t>سرمري ، يوسف بن محمّد 696 - 776</w:t>
      </w:r>
      <w:bookmarkEnd w:id="4806"/>
    </w:p>
    <w:p>
      <w:pPr>
        <w:pStyle w:val="BookText"/>
      </w:pPr>
      <w:r>
        <w:rPr>
          <w:rFonts w:ascii="Amiri" w:hAnsi="Amiri" w:eastAsia="Amiri" w:cs="Amiri"/>
          <w:lang w:bidi="ar-SA"/>
          <w:color w:val="111111"/>
          <w:sz w:val="28"/>
          <w:szCs w:val="28"/>
          <w:rtl/>
        </w:rPr>
        <w:t xml:space="preserve">1 .شفاء الآلام في طب اهل الاسلام</w:t>
      </w:r>
    </w:p>
    <w:p>
      <w:pPr>
        <w:pStyle w:val="BookText"/>
      </w:pPr>
      <w:r>
        <w:rPr>
          <w:rFonts w:ascii="IRNazanin" w:hAnsi="IRNazanin" w:eastAsia="IRNazanin" w:cs="IRNazanin"/>
          <w:lang w:bidi="fa-IR"/>
          <w:color w:val="111111"/>
          <w:sz w:val="28"/>
          <w:szCs w:val="28"/>
          <w:rtl/>
        </w:rPr>
        <w:t xml:space="preserve">ج 10، ص 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عقود اللالي في شرح الأمالي، ج11،</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Amiri" w:hAnsi="Amiri" w:eastAsia="Amiri" w:cs="Amiri"/>
          <w:lang w:bidi="ar-SA"/>
          <w:color w:val="111111"/>
          <w:sz w:val="28"/>
          <w:szCs w:val="28"/>
          <w:rtl/>
        </w:rPr>
        <w:t xml:space="preserve">سرميني ، عبدالله- سرميني ، عبدالله بن حسن</w:t>
      </w:r>
    </w:p>
    <w:p>
      <w:pPr>
        <w:pStyle w:val="Heading2"/>
      </w:pPr>
      <w:bookmarkStart w:id="4807" w:name="_Toc3909"/>
      <w:r>
        <w:t>سرميني ، عبدالله بن حسن</w:t>
      </w:r>
      <w:bookmarkEnd w:id="4807"/>
    </w:p>
    <w:p>
      <w:pPr>
        <w:pStyle w:val="BookText"/>
      </w:pPr>
      <w:r>
        <w:rPr>
          <w:rFonts w:ascii="Amiri" w:hAnsi="Amiri" w:eastAsia="Amiri" w:cs="Amiri"/>
          <w:lang w:bidi="ar-SA"/>
          <w:color w:val="111111"/>
          <w:sz w:val="28"/>
          <w:szCs w:val="28"/>
          <w:rtl/>
        </w:rPr>
        <w:t xml:space="preserve">فتح أقفال المباحث بشرح غنية الباحث، ج 11، ص 631 .</w:t>
      </w:r>
    </w:p>
    <w:p>
      <w:pPr>
        <w:pStyle w:val="Heading2"/>
      </w:pPr>
      <w:bookmarkStart w:id="4808" w:name="_Toc3910"/>
      <w:r>
        <w:t>سرميني ، علي بن صدقة قرن 9 ه-</w:t>
      </w:r>
      <w:bookmarkEnd w:id="4808"/>
    </w:p>
    <w:p>
      <w:pPr>
        <w:pStyle w:val="BookText"/>
      </w:pPr>
      <w:r>
        <w:rPr>
          <w:rFonts w:ascii="Amiri" w:hAnsi="Amiri" w:eastAsia="Amiri" w:cs="Amiri"/>
          <w:lang w:bidi="ar-SA"/>
          <w:color w:val="111111"/>
          <w:sz w:val="28"/>
          <w:szCs w:val="28"/>
          <w:rtl/>
        </w:rPr>
        <w:t xml:space="preserve">درر الابكار في وصف الصفوة الاخيار</w:t>
      </w:r>
    </w:p>
    <w:p>
      <w:pPr>
        <w:pStyle w:val="BookText"/>
      </w:pPr>
      <w:r>
        <w:rPr>
          <w:rFonts w:ascii="IRNazanin" w:hAnsi="IRNazanin" w:eastAsia="IRNazanin" w:cs="IRNazanin"/>
          <w:lang w:bidi="fa-IR"/>
          <w:color w:val="111111"/>
          <w:sz w:val="28"/>
          <w:szCs w:val="28"/>
          <w:rtl/>
        </w:rPr>
        <w:t xml:space="preserve">ج 7، ص281</w:t>
      </w:r>
    </w:p>
    <w:p>
      <w:pPr>
        <w:pStyle w:val="Heading2"/>
      </w:pPr>
      <w:bookmarkStart w:id="4809" w:name="_Toc3911"/>
      <w:r>
        <w:t>سرميني ، محمّد بن احمد</w:t>
      </w:r>
      <w:bookmarkEnd w:id="4809"/>
    </w:p>
    <w:p>
      <w:pPr>
        <w:pStyle w:val="BookText"/>
      </w:pPr>
      <w:r>
        <w:rPr>
          <w:rFonts w:ascii="Amiri" w:hAnsi="Amiri" w:eastAsia="Amiri" w:cs="Amiri"/>
          <w:lang w:bidi="ar-SA"/>
          <w:color w:val="111111"/>
          <w:sz w:val="28"/>
          <w:szCs w:val="28"/>
          <w:rtl/>
        </w:rPr>
        <w:t xml:space="preserve">تذكرة جوامع الادوات، ج4، ص 187.</w:t>
      </w:r>
    </w:p>
    <w:p>
      <w:pPr>
        <w:pStyle w:val="BookText"/>
      </w:pPr>
      <w:r>
        <w:rPr>
          <w:rFonts w:ascii="Amiri" w:hAnsi="Amiri" w:eastAsia="Amiri" w:cs="Amiri"/>
          <w:lang w:bidi="ar-SA"/>
          <w:color w:val="111111"/>
          <w:sz w:val="28"/>
          <w:szCs w:val="28"/>
          <w:rtl/>
        </w:rPr>
        <w:t xml:space="preserve">سرهندي، محمّد معصوم بن احمد -فاروقي ، محمّد معصوم بن احمد</w:t>
      </w:r>
    </w:p>
    <w:p>
      <w:pPr>
        <w:pStyle w:val="Heading2"/>
      </w:pPr>
      <w:bookmarkStart w:id="4810" w:name="_Toc3912"/>
      <w:r>
        <w:t>سروجي، احمد بن ابراهيم 639 - 710</w:t>
      </w:r>
      <w:bookmarkEnd w:id="4810"/>
    </w:p>
    <w:p>
      <w:pPr>
        <w:pStyle w:val="BookText"/>
      </w:pPr>
      <w:r>
        <w:rPr>
          <w:rFonts w:ascii="IRNazanin" w:hAnsi="IRNazanin" w:eastAsia="IRNazanin" w:cs="IRNazanin"/>
          <w:lang w:bidi="fa-IR"/>
          <w:color w:val="111111"/>
          <w:sz w:val="28"/>
          <w:szCs w:val="28"/>
          <w:rtl/>
        </w:rPr>
        <w:t xml:space="preserve">1.ادب القضاء، ج1، ص592.</w:t>
      </w:r>
    </w:p>
    <w:p>
      <w:pPr>
        <w:pStyle w:val="BookText"/>
      </w:pPr>
      <w:r>
        <w:rPr>
          <w:rFonts w:ascii="Amiri" w:hAnsi="Amiri" w:eastAsia="Amiri" w:cs="Amiri"/>
          <w:lang w:bidi="ar-SA"/>
          <w:color w:val="111111"/>
          <w:sz w:val="28"/>
          <w:szCs w:val="28"/>
          <w:rtl/>
        </w:rPr>
        <w:t xml:space="preserve">2 .تحفة الأصحاب و نزهة ذوي</w:t>
      </w:r>
    </w:p>
    <w:p>
      <w:pPr>
        <w:pStyle w:val="BookText"/>
      </w:pPr>
      <w:r>
        <w:rPr>
          <w:rFonts w:ascii="IRNazanin" w:hAnsi="IRNazanin" w:eastAsia="IRNazanin" w:cs="IRNazanin"/>
          <w:lang w:bidi="fa-IR"/>
          <w:color w:val="111111"/>
          <w:sz w:val="28"/>
          <w:szCs w:val="28"/>
          <w:rtl/>
        </w:rPr>
        <w:t xml:space="preserve">الألباب، ج 3، ص803.</w:t>
      </w:r>
    </w:p>
    <w:p>
      <w:pPr>
        <w:pStyle w:val="BookText"/>
      </w:pPr>
      <w:r>
        <w:rPr>
          <w:rFonts w:ascii="Amiri" w:hAnsi="Amiri" w:eastAsia="Amiri" w:cs="Amiri"/>
          <w:lang w:bidi="ar-SA"/>
          <w:color w:val="111111"/>
          <w:sz w:val="28"/>
          <w:szCs w:val="28"/>
          <w:rtl/>
        </w:rPr>
        <w:t xml:space="preserve">سروجي، احمد بن احمد -سروجي ،</w:t>
      </w:r>
    </w:p>
    <w:p>
      <w:pPr>
        <w:pStyle w:val="BookText"/>
      </w:pPr>
      <w:r>
        <w:rPr>
          <w:rFonts w:ascii="Amiri" w:hAnsi="Amiri" w:eastAsia="Amiri" w:cs="Amiri"/>
          <w:lang w:bidi="ar-SA"/>
          <w:color w:val="111111"/>
          <w:sz w:val="28"/>
          <w:szCs w:val="28"/>
          <w:rtl/>
        </w:rPr>
        <w:t xml:space="preserve">احمد بن ابراهيم</w:t>
      </w:r>
    </w:p>
    <w:p>
      <w:pPr>
        <w:pStyle w:val="Heading2"/>
      </w:pPr>
      <w:bookmarkStart w:id="4811" w:name="_Toc3913"/>
      <w:r>
        <w:t>سروجي زاده، علیرضا</w:t>
      </w:r>
      <w:bookmarkEnd w:id="4811"/>
    </w:p>
    <w:p>
      <w:pPr>
        <w:pStyle w:val="BookText"/>
      </w:pPr>
      <w:r>
        <w:rPr>
          <w:rFonts w:ascii="Amiri" w:hAnsi="Amiri" w:eastAsia="Amiri" w:cs="Amiri"/>
          <w:lang w:bidi="ar-SA"/>
          <w:color w:val="111111"/>
          <w:sz w:val="28"/>
          <w:szCs w:val="28"/>
          <w:rtl/>
        </w:rPr>
        <w:t xml:space="preserve">لجة القصائد، ج 13، ص 564.</w:t>
      </w:r>
    </w:p>
    <w:p>
      <w:pPr>
        <w:pStyle w:val="BookText"/>
      </w:pPr>
      <w:r>
        <w:rPr>
          <w:rFonts w:ascii="Amiri" w:hAnsi="Amiri" w:eastAsia="Amiri" w:cs="Amiri"/>
          <w:lang w:bidi="ar-SA"/>
          <w:color w:val="111111"/>
          <w:sz w:val="28"/>
          <w:szCs w:val="28"/>
          <w:rtl/>
        </w:rPr>
        <w:t xml:space="preserve">سرور زواوي دمنهوري - زواوي ، سرور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سروري كاشاني- سروري ، محمّد قاسم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سروري کالیوپوني- سروري ، مصطفى بن</w:t>
      </w:r>
    </w:p>
    <w:p>
      <w:pPr>
        <w:pStyle w:val="BookText"/>
      </w:pPr>
      <w:r>
        <w:rPr>
          <w:rFonts w:ascii="IRNazanin" w:hAnsi="IRNazanin" w:eastAsia="IRNazanin" w:cs="IRNazanin"/>
          <w:lang w:bidi="fa-IR"/>
          <w:color w:val="111111"/>
          <w:sz w:val="28"/>
          <w:szCs w:val="28"/>
          <w:rtl/>
        </w:rPr>
        <w:t xml:space="preserve">شعبان</w:t>
      </w:r>
    </w:p>
    <w:p>
      <w:pPr>
        <w:pStyle w:val="BookText"/>
      </w:pPr>
      <w:r>
        <w:rPr>
          <w:rFonts w:ascii="Amiri" w:hAnsi="Amiri" w:eastAsia="Amiri" w:cs="Amiri"/>
          <w:lang w:bidi="ar-SA"/>
          <w:color w:val="111111"/>
          <w:sz w:val="28"/>
          <w:szCs w:val="28"/>
          <w:rtl/>
        </w:rPr>
        <w:t xml:space="preserve">سروري ، محّمد قاسم بن حاجي محمّد -سروري ، محمّد قاسم بن محمّد</w:t>
      </w:r>
    </w:p>
    <w:p>
      <w:pPr>
        <w:pStyle w:val="Heading2"/>
      </w:pPr>
      <w:bookmarkStart w:id="4812" w:name="_Toc3914"/>
      <w:r>
        <w:t>سروري ، مع ، محمّد قاسم بن محمّد قرن 11 ه-</w:t>
      </w:r>
      <w:bookmarkEnd w:id="4812"/>
    </w:p>
    <w:p>
      <w:pPr>
        <w:pStyle w:val="BookText"/>
      </w:pPr>
      <w:r>
        <w:rPr>
          <w:rFonts w:ascii="Amiri" w:hAnsi="Amiri" w:eastAsia="Amiri" w:cs="Amiri"/>
          <w:lang w:bidi="ar-SA"/>
          <w:color w:val="111111"/>
          <w:sz w:val="28"/>
          <w:szCs w:val="28"/>
          <w:rtl/>
        </w:rPr>
        <w:t xml:space="preserve">1 .ادبيات (كتاب در)، ج 1، ص 596.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فرهنگ سروري = مجمع الفرس،</w:t>
      </w:r>
    </w:p>
    <w:p>
      <w:pPr>
        <w:pStyle w:val="BookText"/>
      </w:pPr>
      <w:r>
        <w:rPr>
          <w:rFonts w:ascii="IRNazanin" w:hAnsi="IRNazanin" w:eastAsia="IRNazanin" w:cs="IRNazanin"/>
          <w:lang w:bidi="fa-IR"/>
          <w:color w:val="111111"/>
          <w:sz w:val="28"/>
          <w:szCs w:val="28"/>
          <w:rtl/>
        </w:rPr>
        <w:t xml:space="preserve">ج 11، ص 811</w:t>
      </w:r>
    </w:p>
    <w:p>
      <w:pPr>
        <w:pStyle w:val="Heading2"/>
      </w:pPr>
      <w:bookmarkStart w:id="4813" w:name="_Toc3915"/>
      <w:r>
        <w:t>سروري، مصطفى بن شعبان 897 - 969</w:t>
      </w:r>
      <w:bookmarkEnd w:id="4813"/>
    </w:p>
    <w:p>
      <w:pPr>
        <w:pStyle w:val="BookText"/>
      </w:pPr>
      <w:r>
        <w:rPr>
          <w:rFonts w:ascii="Amiri" w:hAnsi="Amiri" w:eastAsia="Amiri" w:cs="Amiri"/>
          <w:lang w:bidi="ar-SA"/>
          <w:color w:val="111111"/>
          <w:sz w:val="28"/>
          <w:szCs w:val="28"/>
          <w:rtl/>
        </w:rPr>
        <w:t xml:space="preserve">1 .شرح الأمثلة، ج 9، ص 235.</w:t>
      </w:r>
    </w:p>
    <w:p>
      <w:pPr>
        <w:pStyle w:val="BookText"/>
      </w:pPr>
      <w:r>
        <w:rPr>
          <w:rFonts w:ascii="IRNazanin" w:hAnsi="IRNazanin" w:eastAsia="IRNazanin" w:cs="IRNazanin"/>
          <w:lang w:bidi="fa-IR"/>
          <w:color w:val="111111"/>
          <w:sz w:val="28"/>
          <w:szCs w:val="28"/>
          <w:rtl/>
        </w:rPr>
        <w:t xml:space="preserve">2 .شرح دیوان حافظ، ج 9، ص 486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گلستان السعدي، ج10،</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IRNazanin" w:hAnsi="IRNazanin" w:eastAsia="IRNazanin" w:cs="IRNazanin"/>
          <w:lang w:bidi="fa-IR"/>
          <w:color w:val="111111"/>
          <w:sz w:val="28"/>
          <w:szCs w:val="28"/>
          <w:rtl/>
        </w:rPr>
        <w:t xml:space="preserve">سروشني ، مجدالدین ابوالفتح محمّد بن</w:t>
      </w:r>
    </w:p>
    <w:p>
      <w:pPr>
        <w:pStyle w:val="BookText"/>
      </w:pPr>
      <w:r>
        <w:rPr>
          <w:rFonts w:ascii="Amiri" w:hAnsi="Amiri" w:eastAsia="Amiri" w:cs="Amiri"/>
          <w:lang w:bidi="ar-SA"/>
          <w:color w:val="111111"/>
          <w:sz w:val="28"/>
          <w:szCs w:val="28"/>
          <w:rtl/>
        </w:rPr>
        <w:t xml:space="preserve">محمود- اسروشني ، محمّد بن محمود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1" w:name="pg7742_70517"/>
    <w:bookmarkEnd w:id="561"/>
    <w:p>
      <w:pPr>
        <w:pStyle w:val="BookText"/>
      </w:pPr>
      <w:r>
        <w:rPr>
          <w:rFonts w:ascii="Amiri" w:hAnsi="Amiri" w:eastAsia="Amiri" w:cs="Amiri"/>
          <w:lang w:bidi="ar-SA"/>
          <w:color w:val="111111"/>
          <w:sz w:val="28"/>
          <w:szCs w:val="28"/>
          <w:rtl/>
        </w:rPr>
        <w:t xml:space="preserve">سروي مازندراني ، محمّد بن علي- ابن</w:t>
      </w:r>
    </w:p>
    <w:p>
      <w:pPr>
        <w:pStyle w:val="BookText"/>
      </w:pPr>
      <w:r>
        <w:rPr>
          <w:rFonts w:ascii="Amiri" w:hAnsi="Amiri" w:eastAsia="Amiri" w:cs="Amiri"/>
          <w:lang w:bidi="ar-SA"/>
          <w:color w:val="111111"/>
          <w:sz w:val="28"/>
          <w:szCs w:val="28"/>
          <w:rtl/>
        </w:rPr>
        <w:t xml:space="preserve">شهر آشوب ، محمّد بن علي</w:t>
      </w:r>
    </w:p>
    <w:p>
      <w:pPr>
        <w:pStyle w:val="BookText"/>
      </w:pPr>
      <w:r>
        <w:rPr>
          <w:rFonts w:ascii="Amiri" w:hAnsi="Amiri" w:eastAsia="Amiri" w:cs="Amiri"/>
          <w:lang w:bidi="ar-SA"/>
          <w:color w:val="111111"/>
          <w:sz w:val="28"/>
          <w:szCs w:val="28"/>
          <w:rtl/>
        </w:rPr>
        <w:t xml:space="preserve">سروي مازندراني ، محمّد صالح- مازندراني</w:t>
      </w:r>
    </w:p>
    <w:p>
      <w:pPr>
        <w:pStyle w:val="BookText"/>
      </w:pPr>
      <w:r>
        <w:rPr>
          <w:rFonts w:ascii="IRNazanin" w:hAnsi="IRNazanin" w:eastAsia="IRNazanin" w:cs="IRNazanin"/>
          <w:lang w:bidi="fa-IR"/>
          <w:color w:val="111111"/>
          <w:sz w:val="28"/>
          <w:szCs w:val="28"/>
          <w:rtl/>
        </w:rPr>
        <w:t xml:space="preserve">، محمّد صالح بن احمد</w:t>
      </w:r>
    </w:p>
    <w:p>
      <w:pPr>
        <w:pStyle w:val="BookText"/>
      </w:pPr>
      <w:r>
        <w:rPr>
          <w:rFonts w:ascii="Amiri" w:hAnsi="Amiri" w:eastAsia="Amiri" w:cs="Amiri"/>
          <w:lang w:bidi="ar-SA"/>
          <w:color w:val="111111"/>
          <w:sz w:val="28"/>
          <w:szCs w:val="28"/>
          <w:rtl/>
        </w:rPr>
        <w:t xml:space="preserve">سروي مازندراني ، محمّد هادي بن محمّد صالح -مازندراني ، محمّد هادي بن محمّد صالح</w:t>
      </w:r>
    </w:p>
    <w:p>
      <w:pPr>
        <w:pStyle w:val="Heading2"/>
      </w:pPr>
      <w:bookmarkStart w:id="4814" w:name="_Toc3916"/>
      <w:r>
        <w:t>سروي ، مجدالدين</w:t>
      </w:r>
      <w:bookmarkEnd w:id="4814"/>
    </w:p>
    <w:p>
      <w:pPr>
        <w:pStyle w:val="BookText"/>
      </w:pPr>
      <w:r>
        <w:rPr>
          <w:rFonts w:ascii="Amiri" w:hAnsi="Amiri" w:eastAsia="Amiri" w:cs="Amiri"/>
          <w:lang w:bidi="ar-SA"/>
          <w:color w:val="111111"/>
          <w:sz w:val="28"/>
          <w:szCs w:val="28"/>
          <w:rtl/>
        </w:rPr>
        <w:t xml:space="preserve">عصير الزبيب (رسالة في)، ج11،</w:t>
      </w:r>
    </w:p>
    <w:p>
      <w:pPr>
        <w:pStyle w:val="BookText"/>
      </w:pPr>
      <w:r>
        <w:rPr>
          <w:rFonts w:ascii="IRNazanin" w:hAnsi="IRNazanin" w:eastAsia="IRNazanin" w:cs="IRNazanin"/>
          <w:lang w:bidi="fa-IR"/>
          <w:color w:val="111111"/>
          <w:sz w:val="28"/>
          <w:szCs w:val="28"/>
          <w:rtl/>
        </w:rPr>
        <w:t xml:space="preserve">ص 126 .</w:t>
      </w:r>
    </w:p>
    <w:p>
      <w:pPr>
        <w:pStyle w:val="BookText"/>
      </w:pPr>
      <w:r>
        <w:rPr>
          <w:rFonts w:ascii="IRNazanin" w:hAnsi="IRNazanin" w:eastAsia="IRNazanin" w:cs="IRNazanin"/>
          <w:lang w:bidi="fa-IR"/>
          <w:color w:val="111111"/>
          <w:sz w:val="28"/>
          <w:szCs w:val="28"/>
          <w:rtl/>
        </w:rPr>
        <w:t xml:space="preserve">سري ، ابراهيم بن محمّد- زجاج ، ابراهیم بن سري</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4815" w:name="_Toc3917"/>
      <w:r>
        <w:t>سري الدين طبيب ، احمد بن محمّد</w:t>
      </w:r>
      <w:bookmarkEnd w:id="4815"/>
    </w:p>
    <w:p>
      <w:pPr>
        <w:pStyle w:val="BookText"/>
      </w:pPr>
      <w:r>
        <w:rPr>
          <w:rFonts w:ascii="IRNazanin" w:hAnsi="IRNazanin" w:eastAsia="IRNazanin" w:cs="IRNazanin"/>
          <w:lang w:bidi="fa-IR"/>
          <w:color w:val="111111"/>
          <w:sz w:val="28"/>
          <w:szCs w:val="28"/>
          <w:rtl/>
        </w:rPr>
        <w:t xml:space="preserve">987 ه-</w:t>
      </w:r>
    </w:p>
    <w:p>
      <w:pPr>
        <w:pStyle w:val="BookText"/>
      </w:pPr>
      <w:r>
        <w:rPr>
          <w:rFonts w:ascii="Amiri" w:hAnsi="Amiri" w:eastAsia="Amiri" w:cs="Amiri"/>
          <w:lang w:bidi="ar-SA"/>
          <w:color w:val="111111"/>
          <w:sz w:val="28"/>
          <w:szCs w:val="28"/>
          <w:rtl/>
        </w:rPr>
        <w:t xml:space="preserve">كفاية الأريب عن مشاورة الطبيب</w:t>
      </w:r>
    </w:p>
    <w:p>
      <w:pPr>
        <w:pStyle w:val="BookText"/>
      </w:pPr>
      <w:r>
        <w:rPr>
          <w:rFonts w:ascii="IRNazanin" w:hAnsi="IRNazanin" w:eastAsia="IRNazanin" w:cs="IRNazanin"/>
          <w:lang w:bidi="fa-IR"/>
          <w:color w:val="111111"/>
          <w:sz w:val="28"/>
          <w:szCs w:val="28"/>
          <w:rtl/>
        </w:rPr>
        <w:t xml:space="preserve">ج 13، ص310.</w:t>
      </w:r>
    </w:p>
    <w:p>
      <w:pPr>
        <w:pStyle w:val="BookText"/>
      </w:pPr>
      <w:r>
        <w:rPr>
          <w:rFonts w:ascii="Amiri" w:hAnsi="Amiri" w:eastAsia="Amiri" w:cs="Amiri"/>
          <w:lang w:bidi="ar-SA"/>
          <w:color w:val="111111"/>
          <w:sz w:val="28"/>
          <w:szCs w:val="28"/>
          <w:rtl/>
        </w:rPr>
        <w:t xml:space="preserve">سرياني المارديني -بطرس بوصيك</w:t>
      </w:r>
    </w:p>
    <w:p>
      <w:pPr>
        <w:pStyle w:val="BookText"/>
      </w:pPr>
      <w:r>
        <w:rPr>
          <w:rFonts w:ascii="Amiri" w:hAnsi="Amiri" w:eastAsia="Amiri" w:cs="Amiri"/>
          <w:lang w:bidi="ar-SA"/>
          <w:color w:val="111111"/>
          <w:sz w:val="28"/>
          <w:szCs w:val="28"/>
          <w:rtl/>
        </w:rPr>
        <w:t xml:space="preserve">سري بن احمد رفاء كندي موصلي- رفاء</w:t>
      </w:r>
    </w:p>
    <w:p>
      <w:pPr>
        <w:pStyle w:val="BookText"/>
      </w:pPr>
      <w:r>
        <w:rPr>
          <w:rFonts w:ascii="Amiri" w:hAnsi="Amiri" w:eastAsia="Amiri" w:cs="Amiri"/>
          <w:lang w:bidi="ar-SA"/>
          <w:color w:val="111111"/>
          <w:sz w:val="28"/>
          <w:szCs w:val="28"/>
          <w:rtl/>
        </w:rPr>
        <w:t xml:space="preserve">كندي ، سري بن احمد</w:t>
      </w:r>
    </w:p>
    <w:p>
      <w:pPr>
        <w:pStyle w:val="Heading2"/>
      </w:pPr>
      <w:bookmarkStart w:id="4816" w:name="_Toc3918"/>
      <w:r>
        <w:t>سرياني ، يوسف داود</w:t>
      </w:r>
      <w:bookmarkEnd w:id="4816"/>
    </w:p>
    <w:p>
      <w:pPr>
        <w:pStyle w:val="BookText"/>
      </w:pPr>
      <w:r>
        <w:rPr>
          <w:rFonts w:ascii="Amiri" w:hAnsi="Amiri" w:eastAsia="Amiri" w:cs="Amiri"/>
          <w:lang w:bidi="ar-SA"/>
          <w:color w:val="111111"/>
          <w:sz w:val="28"/>
          <w:szCs w:val="28"/>
          <w:rtl/>
        </w:rPr>
        <w:t xml:space="preserve">تنزيه الالباب في حدائق الآداب، ج5،</w:t>
      </w:r>
    </w:p>
    <w:p>
      <w:pPr>
        <w:pStyle w:val="BookText"/>
      </w:pPr>
      <w:r>
        <w:rPr>
          <w:rFonts w:ascii="IRNazanin" w:hAnsi="IRNazanin" w:eastAsia="IRNazanin" w:cs="IRNazanin"/>
          <w:lang w:bidi="fa-IR"/>
          <w:color w:val="111111"/>
          <w:sz w:val="28"/>
          <w:szCs w:val="28"/>
          <w:rtl/>
        </w:rPr>
        <w:t xml:space="preserve">ص 52.</w:t>
      </w:r>
    </w:p>
    <w:p>
      <w:pPr>
        <w:pStyle w:val="BookText"/>
      </w:pPr>
      <w:r>
        <w:rPr>
          <w:rFonts w:ascii="Amiri" w:hAnsi="Amiri" w:eastAsia="Amiri" w:cs="Amiri"/>
          <w:lang w:bidi="ar-SA"/>
          <w:color w:val="111111"/>
          <w:sz w:val="28"/>
          <w:szCs w:val="28"/>
          <w:rtl/>
        </w:rPr>
        <w:t xml:space="preserve">سريج بن يونس مروزي -مروزي، سريج</w:t>
      </w:r>
    </w:p>
    <w:p>
      <w:pPr>
        <w:pStyle w:val="BookText"/>
      </w:pPr>
      <w:r>
        <w:rPr>
          <w:rFonts w:ascii="Amiri" w:hAnsi="Amiri" w:eastAsia="Amiri" w:cs="Amiri"/>
          <w:lang w:bidi="ar-SA"/>
          <w:color w:val="111111"/>
          <w:sz w:val="28"/>
          <w:szCs w:val="28"/>
          <w:rtl/>
        </w:rPr>
        <w:t xml:space="preserve">بن يونس</w:t>
      </w:r>
    </w:p>
    <w:p>
      <w:pPr>
        <w:pStyle w:val="Heading2"/>
      </w:pPr>
      <w:bookmarkStart w:id="4817" w:name="_Toc3919"/>
      <w:r>
        <w:t>سرير الدين ، ابو علي طاهر</w:t>
      </w:r>
      <w:bookmarkEnd w:id="4817"/>
    </w:p>
    <w:p>
      <w:pPr>
        <w:pStyle w:val="BookText"/>
      </w:pPr>
      <w:r>
        <w:rPr>
          <w:rFonts w:ascii="Amiri" w:hAnsi="Amiri" w:eastAsia="Amiri" w:cs="Amiri"/>
          <w:lang w:bidi="ar-SA"/>
          <w:color w:val="111111"/>
          <w:sz w:val="28"/>
          <w:szCs w:val="28"/>
          <w:rtl/>
        </w:rPr>
        <w:t xml:space="preserve">قضاء صفوف المؤمنين، ج 12، ص 735.</w:t>
      </w:r>
    </w:p>
    <w:p>
      <w:pPr>
        <w:pStyle w:val="BookText"/>
      </w:pPr>
      <w:r>
        <w:rPr>
          <w:rFonts w:ascii="Amiri" w:hAnsi="Amiri" w:eastAsia="Amiri" w:cs="Amiri"/>
          <w:lang w:bidi="ar-SA"/>
          <w:color w:val="111111"/>
          <w:sz w:val="28"/>
          <w:szCs w:val="28"/>
          <w:rtl/>
        </w:rPr>
        <w:t xml:space="preserve">سطوحي ، عبد الرحمن بن حجي- بلقاوي</w:t>
      </w:r>
    </w:p>
    <w:p>
      <w:pPr>
        <w:pStyle w:val="BookText"/>
      </w:pPr>
      <w:r>
        <w:rPr>
          <w:rFonts w:ascii="Amiri" w:hAnsi="Amiri" w:eastAsia="Amiri" w:cs="Amiri"/>
          <w:lang w:bidi="ar-SA"/>
          <w:color w:val="111111"/>
          <w:sz w:val="28"/>
          <w:szCs w:val="28"/>
          <w:rtl/>
        </w:rPr>
        <w:t xml:space="preserve">، عبدالرحمن بن حجي</w:t>
      </w:r>
    </w:p>
    <w:p>
      <w:pPr>
        <w:pStyle w:val="Heading2"/>
      </w:pPr>
      <w:bookmarkStart w:id="4818" w:name="_Toc3920"/>
      <w:r>
        <w:t>سعادت ، حسين</w:t>
      </w:r>
      <w:bookmarkEnd w:id="4818"/>
    </w:p>
    <w:p>
      <w:pPr>
        <w:pStyle w:val="BookText"/>
      </w:pPr>
      <w:r>
        <w:rPr>
          <w:rFonts w:ascii="Amiri" w:hAnsi="Amiri" w:eastAsia="Amiri" w:cs="Amiri"/>
          <w:lang w:bidi="ar-SA"/>
          <w:color w:val="111111"/>
          <w:sz w:val="28"/>
          <w:szCs w:val="28"/>
          <w:rtl/>
        </w:rPr>
        <w:t xml:space="preserve">نظم شرح العوامل للجرجاني، ج 16، ص 345 .</w:t>
      </w:r>
    </w:p>
    <w:p>
      <w:pPr>
        <w:pStyle w:val="Heading2"/>
      </w:pPr>
      <w:bookmarkStart w:id="4819" w:name="_Toc3921"/>
      <w:r>
        <w:t>سعاوي ، علي بن حسين قرن 13 ه-</w:t>
      </w:r>
      <w:bookmarkEnd w:id="4819"/>
    </w:p>
    <w:p>
      <w:pPr>
        <w:pStyle w:val="BookText"/>
      </w:pPr>
      <w:r>
        <w:rPr>
          <w:rFonts w:ascii="Amiri" w:hAnsi="Amiri" w:eastAsia="Amiri" w:cs="Amiri"/>
          <w:lang w:bidi="ar-SA"/>
          <w:color w:val="111111"/>
          <w:sz w:val="28"/>
          <w:szCs w:val="28"/>
          <w:rtl/>
        </w:rPr>
        <w:t xml:space="preserve">الغرر العلية في شرح الدرر السنية في</w:t>
      </w:r>
    </w:p>
    <w:p>
      <w:pPr>
        <w:pStyle w:val="BookText"/>
      </w:pPr>
      <w:r>
        <w:rPr>
          <w:rFonts w:ascii="Amiri" w:hAnsi="Amiri" w:eastAsia="Amiri" w:cs="Amiri"/>
          <w:lang w:bidi="ar-SA"/>
          <w:color w:val="111111"/>
          <w:sz w:val="28"/>
          <w:szCs w:val="28"/>
          <w:rtl/>
        </w:rPr>
        <w:t xml:space="preserve">السيرة النبوية، ج 11، ص 481</w:t>
      </w:r>
    </w:p>
    <w:p>
      <w:pPr>
        <w:pStyle w:val="Heading2"/>
      </w:pPr>
      <w:bookmarkStart w:id="4820" w:name="_Toc3922"/>
      <w:r>
        <w:t>سعد آبادي عبيد الله بن عبدالله قرن 5ه-</w:t>
      </w:r>
      <w:bookmarkEnd w:id="4820"/>
    </w:p>
    <w:p>
      <w:pPr>
        <w:pStyle w:val="BookText"/>
      </w:pPr>
      <w:r>
        <w:rPr>
          <w:rFonts w:ascii="Amiri" w:hAnsi="Amiri" w:eastAsia="Amiri" w:cs="Amiri"/>
          <w:lang w:bidi="ar-SA"/>
          <w:color w:val="111111"/>
          <w:sz w:val="28"/>
          <w:szCs w:val="28"/>
          <w:rtl/>
        </w:rPr>
        <w:t xml:space="preserve">المقنع في الامامة، ج 15 ، ص 394.</w:t>
      </w:r>
    </w:p>
    <w:p>
      <w:pPr>
        <w:pStyle w:val="Heading2"/>
      </w:pPr>
      <w:bookmarkStart w:id="4821" w:name="_Toc3923"/>
      <w:r>
        <w:t>سعد الدين</w:t>
      </w:r>
      <w:bookmarkEnd w:id="4821"/>
    </w:p>
    <w:p>
      <w:pPr>
        <w:pStyle w:val="BookText"/>
      </w:pPr>
      <w:r>
        <w:rPr>
          <w:rFonts w:ascii="Amiri" w:hAnsi="Amiri" w:eastAsia="Amiri" w:cs="Amiri"/>
          <w:lang w:bidi="ar-SA"/>
          <w:color w:val="111111"/>
          <w:sz w:val="28"/>
          <w:szCs w:val="28"/>
          <w:rtl/>
        </w:rPr>
        <w:t xml:space="preserve">1 .البديع (رسالة في)، ج3، ص273.</w:t>
      </w:r>
    </w:p>
    <w:p>
      <w:pPr>
        <w:pStyle w:val="BookText"/>
      </w:pPr>
      <w:r>
        <w:rPr>
          <w:rFonts w:ascii="IRNazanin" w:hAnsi="IRNazanin" w:eastAsia="IRNazanin" w:cs="IRNazanin"/>
          <w:lang w:bidi="fa-IR"/>
          <w:color w:val="111111"/>
          <w:sz w:val="28"/>
          <w:szCs w:val="28"/>
          <w:rtl/>
        </w:rPr>
        <w:t xml:space="preserve">2 .جامع المحسنات لحل الغوامض و</w:t>
      </w:r>
    </w:p>
    <w:p>
      <w:pPr>
        <w:pStyle w:val="BookText"/>
      </w:pPr>
      <w:r>
        <w:rPr>
          <w:rFonts w:ascii="Amiri" w:hAnsi="Amiri" w:eastAsia="Amiri" w:cs="Amiri"/>
          <w:lang w:bidi="ar-SA"/>
          <w:color w:val="111111"/>
          <w:sz w:val="28"/>
          <w:szCs w:val="28"/>
          <w:rtl/>
        </w:rPr>
        <w:t xml:space="preserve">المشكلات، ج 5، ص 326 .</w:t>
      </w:r>
    </w:p>
    <w:p>
      <w:pPr>
        <w:pStyle w:val="Heading2"/>
      </w:pPr>
      <w:bookmarkStart w:id="4822" w:name="_Toc3924"/>
      <w:r>
        <w:t>سعد الدين ، مسعود بن احمد قرن 10 ه-</w:t>
      </w:r>
      <w:bookmarkEnd w:id="4822"/>
    </w:p>
    <w:p>
      <w:pPr>
        <w:pStyle w:val="BookText"/>
      </w:pPr>
      <w:r>
        <w:rPr>
          <w:rFonts w:ascii="IRNazanin" w:hAnsi="IRNazanin" w:eastAsia="IRNazanin" w:cs="IRNazanin"/>
          <w:lang w:bidi="fa-IR"/>
          <w:color w:val="111111"/>
          <w:sz w:val="28"/>
          <w:szCs w:val="28"/>
          <w:rtl/>
        </w:rPr>
        <w:t xml:space="preserve">الاشارات = تحقیق علم توحید و تطابق آفاق و انفس، ج 2، ص 247.</w:t>
      </w:r>
    </w:p>
    <w:p>
      <w:pPr>
        <w:pStyle w:val="Heading2"/>
      </w:pPr>
      <w:bookmarkStart w:id="4823" w:name="_Toc3925"/>
      <w:r>
        <w:t>سعد الله بن اسماعيل</w:t>
      </w:r>
      <w:bookmarkEnd w:id="4823"/>
    </w:p>
    <w:p>
      <w:pPr>
        <w:pStyle w:val="BookText"/>
      </w:pPr>
      <w:r>
        <w:rPr>
          <w:rFonts w:ascii="Amiri" w:hAnsi="Amiri" w:eastAsia="Amiri" w:cs="Amiri"/>
          <w:lang w:bidi="ar-SA"/>
          <w:color w:val="111111"/>
          <w:sz w:val="28"/>
          <w:szCs w:val="28"/>
          <w:rtl/>
        </w:rPr>
        <w:t xml:space="preserve">تكملة الحاشية الشاهية، ج4، ص816.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2" w:name="pg7742_70519"/>
    <w:bookmarkEnd w:id="562"/>
    <w:p>
      <w:pPr>
        <w:pStyle w:val="BookText"/>
      </w:pPr>
      <w:r>
        <w:rPr>
          <w:rFonts w:ascii="IRNazanin" w:hAnsi="IRNazanin" w:eastAsia="IRNazanin" w:cs="IRNazanin"/>
          <w:lang w:bidi="fa-IR"/>
          <w:color w:val="111111"/>
          <w:sz w:val="28"/>
          <w:szCs w:val="28"/>
          <w:rtl/>
        </w:rPr>
        <w:t xml:space="preserve">سعد الله بن عيسى- سعدي چلپي ،</w:t>
      </w:r>
    </w:p>
    <w:p>
      <w:pPr>
        <w:pStyle w:val="BookText"/>
      </w:pPr>
      <w:r>
        <w:rPr>
          <w:rFonts w:ascii="Amiri" w:hAnsi="Amiri" w:eastAsia="Amiri" w:cs="Amiri"/>
          <w:lang w:bidi="ar-SA"/>
          <w:color w:val="111111"/>
          <w:sz w:val="28"/>
          <w:szCs w:val="28"/>
          <w:rtl/>
        </w:rPr>
        <w:t xml:space="preserve">سعد الله بن عيسى</w:t>
      </w:r>
    </w:p>
    <w:p>
      <w:pPr>
        <w:pStyle w:val="BookText"/>
      </w:pPr>
      <w:r>
        <w:rPr>
          <w:rFonts w:ascii="IRNazanin" w:hAnsi="IRNazanin" w:eastAsia="IRNazanin" w:cs="IRNazanin"/>
          <w:lang w:bidi="fa-IR"/>
          <w:color w:val="111111"/>
          <w:sz w:val="28"/>
          <w:szCs w:val="28"/>
          <w:rtl/>
        </w:rPr>
        <w:t xml:space="preserve">سعد الله بن عیسی -امیرخان</w:t>
      </w:r>
    </w:p>
    <w:p>
      <w:pPr>
        <w:pStyle w:val="BookText"/>
      </w:pPr>
      <w:r>
        <w:rPr>
          <w:rFonts w:ascii="IRNazanin" w:hAnsi="IRNazanin" w:eastAsia="IRNazanin" w:cs="IRNazanin"/>
          <w:lang w:bidi="fa-IR"/>
          <w:color w:val="111111"/>
          <w:sz w:val="28"/>
          <w:szCs w:val="28"/>
          <w:rtl/>
        </w:rPr>
        <w:t xml:space="preserve">سعدي -سعدي چلپي ، سعد الله بن عيسى</w:t>
      </w:r>
    </w:p>
    <w:p>
      <w:pPr>
        <w:pStyle w:val="BookText"/>
      </w:pPr>
      <w:r>
        <w:rPr>
          <w:rFonts w:ascii="IRNazanin" w:hAnsi="IRNazanin" w:eastAsia="IRNazanin" w:cs="IRNazanin"/>
          <w:lang w:bidi="fa-IR"/>
          <w:color w:val="111111"/>
          <w:sz w:val="28"/>
          <w:szCs w:val="28"/>
          <w:rtl/>
        </w:rPr>
        <w:t xml:space="preserve">سعد الله بن نظام الدین مراد آبادي- مراد</w:t>
      </w:r>
    </w:p>
    <w:p>
      <w:pPr>
        <w:pStyle w:val="BookText"/>
      </w:pPr>
      <w:r>
        <w:rPr>
          <w:rFonts w:ascii="IRNazanin" w:hAnsi="IRNazanin" w:eastAsia="IRNazanin" w:cs="IRNazanin"/>
          <w:lang w:bidi="fa-IR"/>
          <w:color w:val="111111"/>
          <w:sz w:val="28"/>
          <w:szCs w:val="28"/>
          <w:rtl/>
        </w:rPr>
        <w:t xml:space="preserve">آبادي ، محمّد سعد الله بن نظام الدین-</w:t>
      </w:r>
    </w:p>
    <w:p>
      <w:pPr>
        <w:pStyle w:val="BookText"/>
      </w:pPr>
      <w:r>
        <w:rPr>
          <w:rFonts w:ascii="Amiri" w:hAnsi="Amiri" w:eastAsia="Amiri" w:cs="Amiri"/>
          <w:lang w:bidi="ar-SA"/>
          <w:color w:val="111111"/>
          <w:sz w:val="28"/>
          <w:szCs w:val="28"/>
          <w:rtl/>
        </w:rPr>
        <w:t xml:space="preserve">سعد الله صغير- بردعي ، محمّد بن</w:t>
      </w:r>
    </w:p>
    <w:p>
      <w:pPr>
        <w:pStyle w:val="BookText"/>
      </w:pPr>
      <w:r>
        <w:rPr>
          <w:rFonts w:ascii="IRNazanin" w:hAnsi="IRNazanin" w:eastAsia="IRNazanin" w:cs="IRNazanin"/>
          <w:lang w:bidi="fa-IR"/>
          <w:color w:val="111111"/>
          <w:sz w:val="28"/>
          <w:szCs w:val="28"/>
          <w:rtl/>
        </w:rPr>
        <w:t xml:space="preserve">سعد الله</w:t>
      </w:r>
    </w:p>
    <w:p>
      <w:pPr>
        <w:pStyle w:val="BookText"/>
      </w:pPr>
      <w:r>
        <w:rPr>
          <w:rFonts w:ascii="Amiri" w:hAnsi="Amiri" w:eastAsia="Amiri" w:cs="Amiri"/>
          <w:lang w:bidi="ar-SA"/>
          <w:color w:val="111111"/>
          <w:sz w:val="28"/>
          <w:szCs w:val="28"/>
          <w:rtl/>
        </w:rPr>
        <w:t xml:space="preserve">سعد الملك ، علي بن هبة الله -ابن ماكولا</w:t>
      </w:r>
    </w:p>
    <w:p>
      <w:pPr>
        <w:pStyle w:val="BookText"/>
      </w:pPr>
      <w:r>
        <w:rPr>
          <w:rFonts w:ascii="Amiri" w:hAnsi="Amiri" w:eastAsia="Amiri" w:cs="Amiri"/>
          <w:lang w:bidi="ar-SA"/>
          <w:color w:val="111111"/>
          <w:sz w:val="28"/>
          <w:szCs w:val="28"/>
          <w:rtl/>
        </w:rPr>
        <w:t xml:space="preserve">علي بن هبة الله</w:t>
      </w:r>
    </w:p>
    <w:p>
      <w:pPr>
        <w:pStyle w:val="BookText"/>
      </w:pPr>
      <w:r>
        <w:rPr>
          <w:rFonts w:ascii="Amiri" w:hAnsi="Amiri" w:eastAsia="Amiri" w:cs="Amiri"/>
          <w:lang w:bidi="ar-SA"/>
          <w:color w:val="111111"/>
          <w:sz w:val="28"/>
          <w:szCs w:val="28"/>
          <w:rtl/>
        </w:rPr>
        <w:t xml:space="preserve">سعداني حسيني ، حسين -حسيني برزنجي حسين</w:t>
      </w:r>
    </w:p>
    <w:p>
      <w:pPr>
        <w:pStyle w:val="Heading2"/>
      </w:pPr>
      <w:bookmarkStart w:id="4824" w:name="_Toc3926"/>
      <w:r>
        <w:t>سعداني ، محيي الدين بن احمد</w:t>
      </w:r>
      <w:bookmarkEnd w:id="4824"/>
    </w:p>
    <w:p>
      <w:pPr>
        <w:pStyle w:val="BookText"/>
      </w:pPr>
      <w:r>
        <w:rPr>
          <w:rFonts w:ascii="Amiri" w:hAnsi="Amiri" w:eastAsia="Amiri" w:cs="Amiri"/>
          <w:lang w:bidi="ar-SA"/>
          <w:color w:val="111111"/>
          <w:sz w:val="28"/>
          <w:szCs w:val="28"/>
          <w:rtl/>
        </w:rPr>
        <w:t xml:space="preserve">جامع الحكمه، ج 5، ص 264 .</w:t>
      </w:r>
    </w:p>
    <w:p>
      <w:pPr>
        <w:pStyle w:val="Heading2"/>
      </w:pPr>
      <w:bookmarkStart w:id="4825" w:name="_Toc3927"/>
      <w:r>
        <w:t>سعداوي ، محمّد</w:t>
      </w:r>
      <w:bookmarkEnd w:id="4825"/>
    </w:p>
    <w:p>
      <w:pPr>
        <w:pStyle w:val="BookText"/>
      </w:pPr>
      <w:r>
        <w:rPr>
          <w:rFonts w:ascii="Amiri" w:hAnsi="Amiri" w:eastAsia="Amiri" w:cs="Amiri"/>
          <w:lang w:bidi="ar-SA"/>
          <w:color w:val="111111"/>
          <w:sz w:val="28"/>
          <w:szCs w:val="28"/>
          <w:rtl/>
        </w:rPr>
        <w:t xml:space="preserve">الحصن الحصين، ج 6 ، ص 661.</w:t>
      </w:r>
    </w:p>
    <w:p>
      <w:pPr>
        <w:pStyle w:val="BookText"/>
      </w:pPr>
      <w:r>
        <w:rPr>
          <w:rFonts w:ascii="IRNazanin" w:hAnsi="IRNazanin" w:eastAsia="IRNazanin" w:cs="IRNazanin"/>
          <w:lang w:bidi="fa-IR"/>
          <w:color w:val="111111"/>
          <w:sz w:val="28"/>
          <w:szCs w:val="28"/>
          <w:rtl/>
        </w:rPr>
        <w:t xml:space="preserve">سعد بن اسماعیل آقسرائي- آقسرائي ، سعد</w:t>
      </w:r>
    </w:p>
    <w:p>
      <w:pPr>
        <w:pStyle w:val="BookText"/>
      </w:pPr>
      <w:r>
        <w:rPr>
          <w:rFonts w:ascii="Amiri" w:hAnsi="Amiri" w:eastAsia="Amiri" w:cs="Amiri"/>
          <w:lang w:bidi="ar-SA"/>
          <w:color w:val="111111"/>
          <w:sz w:val="28"/>
          <w:szCs w:val="28"/>
          <w:rtl/>
        </w:rPr>
        <w:t xml:space="preserve">بن اسماعيل</w:t>
      </w:r>
    </w:p>
    <w:p>
      <w:pPr>
        <w:pStyle w:val="BookText"/>
      </w:pPr>
      <w:r>
        <w:rPr>
          <w:rFonts w:ascii="Amiri" w:hAnsi="Amiri" w:eastAsia="Amiri" w:cs="Amiri"/>
          <w:lang w:bidi="ar-SA"/>
          <w:color w:val="111111"/>
          <w:sz w:val="28"/>
          <w:szCs w:val="28"/>
          <w:rtl/>
        </w:rPr>
        <w:t xml:space="preserve">سعد بن اسماعيل بن عمر اقسرائي- أقسرائي ، سعد بن اسماعيل</w:t>
      </w:r>
    </w:p>
    <w:p>
      <w:pPr>
        <w:pStyle w:val="BookText"/>
      </w:pPr>
      <w:r>
        <w:rPr>
          <w:rFonts w:ascii="Amiri" w:hAnsi="Amiri" w:eastAsia="Amiri" w:cs="Amiri"/>
          <w:lang w:bidi="ar-SA"/>
          <w:color w:val="111111"/>
          <w:sz w:val="28"/>
          <w:szCs w:val="28"/>
          <w:rtl/>
        </w:rPr>
        <w:t xml:space="preserve">سعد بن علي انصاري خزرجي- انصاري</w:t>
      </w:r>
    </w:p>
    <w:p>
      <w:pPr>
        <w:pStyle w:val="BookText"/>
      </w:pPr>
      <w:r>
        <w:rPr>
          <w:rFonts w:ascii="Amiri" w:hAnsi="Amiri" w:eastAsia="Amiri" w:cs="Amiri"/>
          <w:lang w:bidi="ar-SA"/>
          <w:color w:val="111111"/>
          <w:sz w:val="28"/>
          <w:szCs w:val="28"/>
          <w:rtl/>
        </w:rPr>
        <w:t xml:space="preserve">خزرجي ، سعد بن علي</w:t>
      </w:r>
    </w:p>
    <w:p>
      <w:pPr>
        <w:pStyle w:val="BookText"/>
      </w:pPr>
      <w:r>
        <w:rPr>
          <w:rFonts w:ascii="Amiri" w:hAnsi="Amiri" w:eastAsia="Amiri" w:cs="Amiri"/>
          <w:lang w:bidi="ar-SA"/>
          <w:color w:val="111111"/>
          <w:sz w:val="28"/>
          <w:szCs w:val="28"/>
          <w:rtl/>
        </w:rPr>
        <w:t xml:space="preserve">سعد بن علي حظيري- حضيري ، سعيد بن علي</w:t>
      </w:r>
    </w:p>
    <w:p>
      <w:pPr>
        <w:pStyle w:val="BookText"/>
      </w:pPr>
      <w:r>
        <w:rPr>
          <w:rFonts w:ascii="Amiri" w:hAnsi="Amiri" w:eastAsia="Amiri" w:cs="Amiri"/>
          <w:lang w:bidi="ar-SA"/>
          <w:color w:val="111111"/>
          <w:sz w:val="28"/>
          <w:szCs w:val="28"/>
          <w:rtl/>
        </w:rPr>
        <w:t xml:space="preserve">سعد بن علي همداني- همداني ، سعد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سعد بن محمّد انصاري- صفاري ، سعد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سعد بن محمّد بن ديري- ابن ديري ،</w:t>
      </w:r>
    </w:p>
    <w:p>
      <w:pPr>
        <w:pStyle w:val="BookText"/>
      </w:pPr>
      <w:r>
        <w:rPr>
          <w:rFonts w:ascii="Amiri" w:hAnsi="Amiri" w:eastAsia="Amiri" w:cs="Amiri"/>
          <w:lang w:bidi="ar-SA"/>
          <w:color w:val="111111"/>
          <w:sz w:val="28"/>
          <w:szCs w:val="28"/>
          <w:rtl/>
        </w:rPr>
        <w:t xml:space="preserve">سعد بن محمّد</w:t>
      </w:r>
    </w:p>
    <w:p>
      <w:pPr>
        <w:pStyle w:val="BookText"/>
      </w:pPr>
      <w:r>
        <w:rPr>
          <w:rFonts w:ascii="Amiri" w:hAnsi="Amiri" w:eastAsia="Amiri" w:cs="Amiri"/>
          <w:lang w:bidi="ar-SA"/>
          <w:color w:val="111111"/>
          <w:sz w:val="28"/>
          <w:szCs w:val="28"/>
          <w:rtl/>
        </w:rPr>
        <w:t xml:space="preserve">سعد بن محمّد تميمي- ابن صيفي ، سعد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سعد بن محمّد صفاري -صفاري ، سعد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سعد بن منصور بغدادي- ابن كمونه</w:t>
      </w:r>
    </w:p>
    <w:p>
      <w:pPr>
        <w:pStyle w:val="BookText"/>
      </w:pPr>
      <w:r>
        <w:rPr>
          <w:rFonts w:ascii="IRNazanin" w:hAnsi="IRNazanin" w:eastAsia="IRNazanin" w:cs="IRNazanin"/>
          <w:lang w:bidi="fa-IR"/>
          <w:color w:val="111111"/>
          <w:sz w:val="28"/>
          <w:szCs w:val="28"/>
          <w:rtl/>
        </w:rPr>
        <w:t xml:space="preserve">سعد بن منصور</w:t>
      </w:r>
    </w:p>
    <w:p>
      <w:pPr>
        <w:pStyle w:val="BookText"/>
      </w:pPr>
      <w:r>
        <w:rPr>
          <w:rFonts w:ascii="Amiri" w:hAnsi="Amiri" w:eastAsia="Amiri" w:cs="Amiri"/>
          <w:lang w:bidi="ar-SA"/>
          <w:color w:val="111111"/>
          <w:sz w:val="28"/>
          <w:szCs w:val="28"/>
          <w:rtl/>
        </w:rPr>
        <w:t xml:space="preserve">سعد بيهقي ، حمزة بن علي- آذري</w:t>
      </w:r>
    </w:p>
    <w:p>
      <w:pPr>
        <w:pStyle w:val="BookText"/>
      </w:pPr>
      <w:r>
        <w:rPr>
          <w:rFonts w:ascii="Amiri" w:hAnsi="Amiri" w:eastAsia="Amiri" w:cs="Amiri"/>
          <w:lang w:bidi="ar-SA"/>
          <w:color w:val="111111"/>
          <w:sz w:val="28"/>
          <w:szCs w:val="28"/>
          <w:rtl/>
        </w:rPr>
        <w:t xml:space="preserve">طوسي ، حمزة بن علي</w:t>
      </w:r>
    </w:p>
    <w:p>
      <w:pPr>
        <w:pStyle w:val="BookText"/>
      </w:pPr>
      <w:r>
        <w:rPr>
          <w:rFonts w:ascii="Amiri" w:hAnsi="Amiri" w:eastAsia="Amiri" w:cs="Amiri"/>
          <w:lang w:bidi="ar-SA"/>
          <w:color w:val="111111"/>
          <w:sz w:val="28"/>
          <w:szCs w:val="28"/>
          <w:rtl/>
        </w:rPr>
        <w:t xml:space="preserve">سعدثي ، احمد بن محمّد- شرعي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سعد سلمان ، مسعود -مسعود سعد</w:t>
      </w:r>
    </w:p>
    <w:p>
      <w:pPr>
        <w:pStyle w:val="BookText"/>
      </w:pPr>
      <w:r>
        <w:rPr>
          <w:rFonts w:ascii="IRNazanin" w:hAnsi="IRNazanin" w:eastAsia="IRNazanin" w:cs="IRNazanin"/>
          <w:lang w:bidi="fa-IR"/>
          <w:color w:val="111111"/>
          <w:sz w:val="28"/>
          <w:szCs w:val="28"/>
          <w:rtl/>
        </w:rPr>
        <w:t xml:space="preserve">سلمان</w:t>
      </w:r>
    </w:p>
    <w:p>
      <w:pPr>
        <w:pStyle w:val="BookText"/>
      </w:pPr>
      <w:r>
        <w:rPr>
          <w:rFonts w:ascii="Amiri" w:hAnsi="Amiri" w:eastAsia="Amiri" w:cs="Amiri"/>
          <w:lang w:bidi="ar-SA"/>
          <w:color w:val="111111"/>
          <w:sz w:val="28"/>
          <w:szCs w:val="28"/>
          <w:rtl/>
        </w:rPr>
        <w:t xml:space="preserve">سعد ، عامر- معمري ، عامر سعيد</w:t>
      </w:r>
    </w:p>
    <w:p>
      <w:pPr>
        <w:pStyle w:val="BookText"/>
      </w:pPr>
      <w:r>
        <w:rPr>
          <w:rFonts w:ascii="Amiri" w:hAnsi="Amiri" w:eastAsia="Amiri" w:cs="Amiri"/>
          <w:lang w:bidi="ar-SA"/>
          <w:color w:val="111111"/>
          <w:sz w:val="28"/>
          <w:szCs w:val="28"/>
          <w:rtl/>
        </w:rPr>
        <w:t xml:space="preserve">سعد ، عامر افندي -معمري ، عامر سعيد</w:t>
      </w:r>
    </w:p>
    <w:p>
      <w:pPr>
        <w:pStyle w:val="BookText"/>
      </w:pPr>
      <w:r>
        <w:rPr>
          <w:rFonts w:ascii="Amiri" w:hAnsi="Amiri" w:eastAsia="Amiri" w:cs="Amiri"/>
          <w:lang w:bidi="ar-SA"/>
          <w:color w:val="111111"/>
          <w:sz w:val="28"/>
          <w:szCs w:val="28"/>
          <w:rtl/>
        </w:rPr>
        <w:t xml:space="preserve">سعدي ، احمد بن ماجد -ابن ماجد</w:t>
      </w:r>
    </w:p>
    <w:p>
      <w:pPr>
        <w:pStyle w:val="BookText"/>
      </w:pPr>
      <w:r>
        <w:rPr>
          <w:rFonts w:ascii="IRNazanin" w:hAnsi="IRNazanin" w:eastAsia="IRNazanin" w:cs="IRNazanin"/>
          <w:lang w:bidi="fa-IR"/>
          <w:color w:val="111111"/>
          <w:sz w:val="28"/>
          <w:szCs w:val="28"/>
          <w:rtl/>
        </w:rPr>
        <w:t xml:space="preserve">احمد بن ماجد</w:t>
      </w:r>
    </w:p>
    <w:p>
      <w:pPr>
        <w:pStyle w:val="BookText"/>
      </w:pPr>
      <w:r>
        <w:rPr>
          <w:rFonts w:ascii="Amiri" w:hAnsi="Amiri" w:eastAsia="Amiri" w:cs="Amiri"/>
          <w:lang w:bidi="ar-SA"/>
          <w:color w:val="111111"/>
          <w:sz w:val="28"/>
          <w:szCs w:val="28"/>
          <w:rtl/>
        </w:rPr>
        <w:t xml:space="preserve">سعدي بن امين حنفي قادري -حنفي</w:t>
      </w:r>
    </w:p>
    <w:p>
      <w:pPr>
        <w:pStyle w:val="BookText"/>
      </w:pPr>
      <w:r>
        <w:rPr>
          <w:rFonts w:ascii="Amiri" w:hAnsi="Amiri" w:eastAsia="Amiri" w:cs="Amiri"/>
          <w:lang w:bidi="ar-SA"/>
          <w:color w:val="111111"/>
          <w:sz w:val="28"/>
          <w:szCs w:val="28"/>
          <w:rtl/>
        </w:rPr>
        <w:t xml:space="preserve">سعدي بن امين</w:t>
      </w:r>
    </w:p>
    <w:p>
      <w:pPr>
        <w:pStyle w:val="BookText"/>
      </w:pPr>
      <w:r>
        <w:rPr>
          <w:rFonts w:ascii="Amiri" w:hAnsi="Amiri" w:eastAsia="Amiri" w:cs="Amiri"/>
          <w:lang w:bidi="ar-SA"/>
          <w:color w:val="111111"/>
          <w:sz w:val="28"/>
          <w:szCs w:val="28"/>
          <w:rtl/>
        </w:rPr>
        <w:t xml:space="preserve">سعدي بن سعدي موصلي -ابن سعدي ،</w:t>
      </w:r>
    </w:p>
    <w:p>
      <w:pPr>
        <w:pStyle w:val="BookText"/>
      </w:pPr>
      <w:r>
        <w:rPr>
          <w:rFonts w:ascii="Amiri" w:hAnsi="Amiri" w:eastAsia="Amiri" w:cs="Amiri"/>
          <w:lang w:bidi="ar-SA"/>
          <w:color w:val="111111"/>
          <w:sz w:val="28"/>
          <w:szCs w:val="28"/>
          <w:rtl/>
        </w:rPr>
        <w:t xml:space="preserve">سعدي بن محمّد امين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3" w:name="pg7742_70521"/>
    <w:bookmarkEnd w:id="563"/>
    <w:p>
      <w:pPr>
        <w:pStyle w:val="BookText"/>
      </w:pPr>
      <w:r>
        <w:rPr>
          <w:rFonts w:ascii="IRNazanin" w:hAnsi="IRNazanin" w:eastAsia="IRNazanin" w:cs="IRNazanin"/>
          <w:lang w:bidi="fa-IR"/>
          <w:color w:val="111111"/>
          <w:sz w:val="28"/>
          <w:szCs w:val="28"/>
          <w:rtl/>
        </w:rPr>
        <w:t xml:space="preserve">سعدي بن محمّد امین موصلي- ابن</w:t>
      </w:r>
    </w:p>
    <w:p>
      <w:pPr>
        <w:pStyle w:val="BookText"/>
      </w:pPr>
      <w:r>
        <w:rPr>
          <w:rFonts w:ascii="Amiri" w:hAnsi="Amiri" w:eastAsia="Amiri" w:cs="Amiri"/>
          <w:lang w:bidi="ar-SA"/>
          <w:color w:val="111111"/>
          <w:sz w:val="28"/>
          <w:szCs w:val="28"/>
          <w:rtl/>
        </w:rPr>
        <w:t xml:space="preserve">سعدي ، سعدي بن محمّد امين</w:t>
      </w:r>
    </w:p>
    <w:p>
      <w:pPr>
        <w:pStyle w:val="BookText"/>
      </w:pPr>
      <w:r>
        <w:rPr>
          <w:rFonts w:ascii="IRNazanin" w:hAnsi="IRNazanin" w:eastAsia="IRNazanin" w:cs="IRNazanin"/>
          <w:lang w:bidi="fa-IR"/>
          <w:color w:val="111111"/>
          <w:sz w:val="28"/>
          <w:szCs w:val="28"/>
          <w:rtl/>
        </w:rPr>
        <w:t xml:space="preserve">سعدي بندر کنگي ، شهاب احمد بن</w:t>
      </w:r>
    </w:p>
    <w:p>
      <w:pPr>
        <w:pStyle w:val="BookText"/>
      </w:pPr>
      <w:r>
        <w:rPr>
          <w:rFonts w:ascii="IRNazanin" w:hAnsi="IRNazanin" w:eastAsia="IRNazanin" w:cs="IRNazanin"/>
          <w:lang w:bidi="fa-IR"/>
          <w:color w:val="111111"/>
          <w:sz w:val="28"/>
          <w:szCs w:val="28"/>
          <w:rtl/>
        </w:rPr>
        <w:t xml:space="preserve">ماجد -ابن ماجد ، احمد بن ماجد</w:t>
      </w:r>
    </w:p>
    <w:p>
      <w:pPr>
        <w:pStyle w:val="BookText"/>
      </w:pPr>
      <w:r>
        <w:rPr>
          <w:rFonts w:ascii="Amiri" w:hAnsi="Amiri" w:eastAsia="Amiri" w:cs="Amiri"/>
          <w:lang w:bidi="ar-SA"/>
          <w:color w:val="111111"/>
          <w:sz w:val="28"/>
          <w:szCs w:val="28"/>
          <w:rtl/>
        </w:rPr>
        <w:t xml:space="preserve">سعدي تميمي، رؤبة بن عبد الله- ابن</w:t>
      </w:r>
    </w:p>
    <w:p>
      <w:pPr>
        <w:pStyle w:val="BookText"/>
      </w:pPr>
      <w:r>
        <w:rPr>
          <w:rFonts w:ascii="Amiri" w:hAnsi="Amiri" w:eastAsia="Amiri" w:cs="Amiri"/>
          <w:lang w:bidi="ar-SA"/>
          <w:color w:val="111111"/>
          <w:sz w:val="28"/>
          <w:szCs w:val="28"/>
          <w:rtl/>
        </w:rPr>
        <w:t xml:space="preserve">عجاج ، رؤبة بن عبدالله</w:t>
      </w:r>
    </w:p>
    <w:p>
      <w:pPr>
        <w:pStyle w:val="Heading2"/>
      </w:pPr>
      <w:bookmarkStart w:id="4826" w:name="_Toc3928"/>
      <w:r>
        <w:t>سعدي چلپي ، سعد الله بن عيسى - 945 ه-</w:t>
      </w:r>
      <w:bookmarkEnd w:id="4826"/>
    </w:p>
    <w:p>
      <w:pPr>
        <w:pStyle w:val="BookText"/>
      </w:pPr>
      <w:r>
        <w:rPr>
          <w:rFonts w:ascii="Amiri" w:hAnsi="Amiri" w:eastAsia="Amiri" w:cs="Amiri"/>
          <w:lang w:bidi="ar-SA"/>
          <w:color w:val="111111"/>
          <w:sz w:val="28"/>
          <w:szCs w:val="28"/>
          <w:rtl/>
        </w:rPr>
        <w:t xml:space="preserve">1 .حاشية العناية في شرح الهداية</w:t>
      </w:r>
    </w:p>
    <w:p>
      <w:pPr>
        <w:pStyle w:val="BookText"/>
      </w:pPr>
      <w:r>
        <w:rPr>
          <w:rFonts w:ascii="IRNazanin" w:hAnsi="IRNazanin" w:eastAsia="IRNazanin" w:cs="IRNazanin"/>
          <w:lang w:bidi="fa-IR"/>
          <w:color w:val="111111"/>
          <w:sz w:val="28"/>
          <w:szCs w:val="28"/>
          <w:rtl/>
        </w:rPr>
        <w:t xml:space="preserve">ج 6 ، ص 257 .</w:t>
      </w:r>
    </w:p>
    <w:p>
      <w:pPr>
        <w:pStyle w:val="BookText"/>
      </w:pPr>
      <w:r>
        <w:rPr>
          <w:rFonts w:ascii="Amiri" w:hAnsi="Amiri" w:eastAsia="Amiri" w:cs="Amiri"/>
          <w:lang w:bidi="ar-SA"/>
          <w:color w:val="111111"/>
          <w:sz w:val="28"/>
          <w:szCs w:val="28"/>
          <w:rtl/>
        </w:rPr>
        <w:t xml:space="preserve">2 .حاشية انوار التنزيل = حاشيه تفسير بيضاوي، ج 5، ص 676.</w:t>
      </w:r>
    </w:p>
    <w:p>
      <w:pPr>
        <w:pStyle w:val="BookText"/>
      </w:pPr>
      <w:r>
        <w:rPr>
          <w:rFonts w:ascii="Amiri" w:hAnsi="Amiri" w:eastAsia="Amiri" w:cs="Amiri"/>
          <w:lang w:bidi="ar-SA"/>
          <w:color w:val="111111"/>
          <w:sz w:val="28"/>
          <w:szCs w:val="28"/>
          <w:rtl/>
        </w:rPr>
        <w:t xml:space="preserve">3 .حاشية في التفسير، ج 6، ص293. .</w:t>
      </w:r>
    </w:p>
    <w:p>
      <w:pPr>
        <w:pStyle w:val="BookText"/>
      </w:pPr>
      <w:r>
        <w:rPr>
          <w:rFonts w:ascii="Amiri" w:hAnsi="Amiri" w:eastAsia="Amiri" w:cs="Amiri"/>
          <w:lang w:bidi="ar-SA"/>
          <w:color w:val="111111"/>
          <w:sz w:val="28"/>
          <w:szCs w:val="28"/>
          <w:rtl/>
        </w:rPr>
        <w:t xml:space="preserve">4.صورة فتوى شيخ الاسلام سعدي جلبي في حق فصوص ابن عربي ج 10، ص 655.</w:t>
      </w:r>
    </w:p>
    <w:p>
      <w:pPr>
        <w:pStyle w:val="BookText"/>
      </w:pPr>
      <w:r>
        <w:rPr>
          <w:rFonts w:ascii="Amiri" w:hAnsi="Amiri" w:eastAsia="Amiri" w:cs="Amiri"/>
          <w:lang w:bidi="ar-SA"/>
          <w:color w:val="111111"/>
          <w:sz w:val="28"/>
          <w:szCs w:val="28"/>
          <w:rtl/>
        </w:rPr>
        <w:t xml:space="preserve">5 .كشف المشكلات، ج13، ص 269.</w:t>
      </w:r>
    </w:p>
    <w:p>
      <w:pPr>
        <w:pStyle w:val="BookText"/>
      </w:pPr>
      <w:r>
        <w:rPr>
          <w:rFonts w:ascii="Amiri" w:hAnsi="Amiri" w:eastAsia="Amiri" w:cs="Amiri"/>
          <w:lang w:bidi="ar-SA"/>
          <w:color w:val="111111"/>
          <w:sz w:val="28"/>
          <w:szCs w:val="28"/>
          <w:rtl/>
        </w:rPr>
        <w:t xml:space="preserve">6 .نظم لسعدي افندي، ج 16، ص 361.</w:t>
      </w:r>
    </w:p>
    <w:p>
      <w:pPr>
        <w:pStyle w:val="Heading2"/>
      </w:pPr>
      <w:bookmarkStart w:id="4827" w:name="_Toc3929"/>
      <w:r>
        <w:t>سعدي زاده ، عبدالله</w:t>
      </w:r>
      <w:bookmarkEnd w:id="4827"/>
    </w:p>
    <w:p>
      <w:pPr>
        <w:pStyle w:val="BookText"/>
      </w:pPr>
      <w:r>
        <w:rPr>
          <w:rFonts w:ascii="Amiri" w:hAnsi="Amiri" w:eastAsia="Amiri" w:cs="Amiri"/>
          <w:lang w:bidi="ar-SA"/>
          <w:color w:val="111111"/>
          <w:sz w:val="28"/>
          <w:szCs w:val="28"/>
          <w:rtl/>
        </w:rPr>
        <w:t xml:space="preserve">مختصر الفكاهات و النزه، ج 14، ص 209.</w:t>
      </w:r>
    </w:p>
    <w:p>
      <w:pPr>
        <w:pStyle w:val="BookText"/>
      </w:pPr>
      <w:r>
        <w:rPr>
          <w:rFonts w:ascii="IRNazanin" w:hAnsi="IRNazanin" w:eastAsia="IRNazanin" w:cs="IRNazanin"/>
          <w:lang w:bidi="fa-IR"/>
          <w:color w:val="111111"/>
          <w:sz w:val="28"/>
          <w:szCs w:val="28"/>
          <w:rtl/>
        </w:rPr>
        <w:t xml:space="preserve">سعدي ، سعد الله بن عيسى -سعدي چلپي ، سعد الله بن عيسى</w:t>
      </w:r>
    </w:p>
    <w:p>
      <w:pPr>
        <w:pStyle w:val="BookText"/>
      </w:pPr>
      <w:r>
        <w:rPr>
          <w:rFonts w:ascii="Amiri" w:hAnsi="Amiri" w:eastAsia="Amiri" w:cs="Amiri"/>
          <w:lang w:bidi="ar-SA"/>
          <w:color w:val="111111"/>
          <w:sz w:val="28"/>
          <w:szCs w:val="28"/>
          <w:rtl/>
        </w:rPr>
        <w:t xml:space="preserve">سعدي شيرازي ، عبدالله بن محمّد- قطبالدين شيرازي ، عبدالله بن محيي الدين محمّد</w:t>
      </w:r>
    </w:p>
    <w:p>
      <w:pPr>
        <w:pStyle w:val="BookText"/>
      </w:pPr>
      <w:r>
        <w:rPr>
          <w:rFonts w:ascii="Amiri" w:hAnsi="Amiri" w:eastAsia="Amiri" w:cs="Amiri"/>
          <w:lang w:bidi="ar-SA"/>
          <w:color w:val="111111"/>
          <w:sz w:val="28"/>
          <w:szCs w:val="28"/>
          <w:rtl/>
        </w:rPr>
        <w:t xml:space="preserve">سعدي شيرازي ، مشرف الدين</w:t>
      </w:r>
    </w:p>
    <w:p>
      <w:pPr>
        <w:pStyle w:val="BookText"/>
      </w:pPr>
      <w:r>
        <w:rPr>
          <w:rFonts w:ascii="Amiri" w:hAnsi="Amiri" w:eastAsia="Amiri" w:cs="Amiri"/>
          <w:lang w:bidi="ar-SA"/>
          <w:color w:val="111111"/>
          <w:sz w:val="28"/>
          <w:szCs w:val="28"/>
          <w:rtl/>
        </w:rPr>
        <w:t xml:space="preserve">مصلح -سعدي ، مصلح بن عبدالله</w:t>
      </w:r>
    </w:p>
    <w:p>
      <w:pPr>
        <w:pStyle w:val="Heading2"/>
      </w:pPr>
      <w:bookmarkStart w:id="4828" w:name="_Toc3930"/>
      <w:r>
        <w:t>سعدي ، صالح بن يحيى 1192 - 1245</w:t>
      </w:r>
      <w:bookmarkEnd w:id="4828"/>
    </w:p>
    <w:p>
      <w:pPr>
        <w:pStyle w:val="BookText"/>
      </w:pPr>
      <w:r>
        <w:rPr>
          <w:rFonts w:ascii="Amiri" w:hAnsi="Amiri" w:eastAsia="Amiri" w:cs="Amiri"/>
          <w:lang w:bidi="ar-SA"/>
          <w:color w:val="111111"/>
          <w:sz w:val="28"/>
          <w:szCs w:val="28"/>
          <w:rtl/>
        </w:rPr>
        <w:t xml:space="preserve">1 .اسم الجنس( رسالة في)، ج2،</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بيان ما تمس الحاجة إلى معرفته من اسم الجنس و علمه (رسالة في)، ج 3، ص 485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تخمیس، ج4، ص102.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الرسالة الوضعية العضدية = حاشية على شرح العصام الاسفرايني على الرسالة</w:t>
      </w:r>
    </w:p>
    <w:p>
      <w:pPr>
        <w:pStyle w:val="BookText"/>
      </w:pPr>
      <w:r>
        <w:rPr>
          <w:rFonts w:ascii="Amiri" w:hAnsi="Amiri" w:eastAsia="Amiri" w:cs="Amiri"/>
          <w:lang w:bidi="ar-SA"/>
          <w:color w:val="111111"/>
          <w:sz w:val="28"/>
          <w:szCs w:val="28"/>
          <w:rtl/>
        </w:rPr>
        <w:t xml:space="preserve">الوضعية، ج 6 ، ص 122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عقد الدرر في مصطلح أهل</w:t>
      </w:r>
    </w:p>
    <w:p>
      <w:pPr>
        <w:pStyle w:val="BookText"/>
      </w:pPr>
      <w:r>
        <w:rPr>
          <w:rFonts w:ascii="IRNazanin" w:hAnsi="IRNazanin" w:eastAsia="IRNazanin" w:cs="IRNazanin"/>
          <w:lang w:bidi="fa-IR"/>
          <w:color w:val="111111"/>
          <w:sz w:val="28"/>
          <w:szCs w:val="28"/>
          <w:rtl/>
        </w:rPr>
        <w:t xml:space="preserve">الأثر، ج 9، ص738.</w:t>
      </w:r>
    </w:p>
    <w:p>
      <w:pPr>
        <w:pStyle w:val="BookText"/>
      </w:pPr>
      <w:r>
        <w:rPr>
          <w:rFonts w:ascii="Amiri" w:hAnsi="Amiri" w:eastAsia="Amiri" w:cs="Amiri"/>
          <w:lang w:bidi="ar-SA"/>
          <w:color w:val="111111"/>
          <w:sz w:val="28"/>
          <w:szCs w:val="28"/>
          <w:rtl/>
        </w:rPr>
        <w:t xml:space="preserve">6 .شرح منظومة في الخط، ج10،</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عقد الدرر في مصطلح اهل الاثر</w:t>
      </w:r>
    </w:p>
    <w:p>
      <w:pPr>
        <w:pStyle w:val="BookText"/>
      </w:pPr>
      <w:r>
        <w:rPr>
          <w:rFonts w:ascii="IRNazanin" w:hAnsi="IRNazanin" w:eastAsia="IRNazanin" w:cs="IRNazanin"/>
          <w:lang w:bidi="fa-IR"/>
          <w:color w:val="111111"/>
          <w:sz w:val="28"/>
          <w:szCs w:val="28"/>
          <w:rtl/>
        </w:rPr>
        <w:t xml:space="preserve">ج 11، ص 166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علم الخط (ارجوزة في) = الخط</w:t>
      </w:r>
    </w:p>
    <w:p>
      <w:pPr>
        <w:pStyle w:val="BookText"/>
      </w:pPr>
      <w:r>
        <w:rPr>
          <w:rFonts w:ascii="Amiri" w:hAnsi="Amiri" w:eastAsia="Amiri" w:cs="Amiri"/>
          <w:lang w:bidi="ar-SA"/>
          <w:color w:val="111111"/>
          <w:sz w:val="28"/>
          <w:szCs w:val="28"/>
          <w:rtl/>
        </w:rPr>
        <w:t xml:space="preserve">(منظومة في)، ج 11، ص 244.</w:t>
      </w:r>
    </w:p>
    <w:p>
      <w:pPr>
        <w:pStyle w:val="BookText"/>
      </w:pPr>
      <w:r>
        <w:rPr>
          <w:rFonts w:ascii="Amiri" w:hAnsi="Amiri" w:eastAsia="Amiri" w:cs="Amiri"/>
          <w:lang w:bidi="ar-SA"/>
          <w:color w:val="111111"/>
          <w:sz w:val="28"/>
          <w:szCs w:val="28"/>
          <w:rtl/>
        </w:rPr>
        <w:t xml:space="preserve">9 .مجموعة السعدي، ج 14، ص37.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النحو (منظومة في)، ج 16،</w:t>
      </w:r>
    </w:p>
    <w:p>
      <w:pPr>
        <w:pStyle w:val="BookText"/>
      </w:pPr>
      <w:r>
        <w:rPr>
          <w:rFonts w:ascii="IRNazanin" w:hAnsi="IRNazanin" w:eastAsia="IRNazanin" w:cs="IRNazanin"/>
          <w:lang w:bidi="fa-IR"/>
          <w:color w:val="111111"/>
          <w:sz w:val="28"/>
          <w:szCs w:val="28"/>
          <w:rtl/>
        </w:rPr>
        <w:t xml:space="preserve">ص 172 .</w:t>
      </w:r>
    </w:p>
    <w:p>
      <w:pPr>
        <w:pStyle w:val="BookText"/>
      </w:pPr>
      <w:r>
        <w:rPr>
          <w:rFonts w:ascii="Amiri" w:hAnsi="Amiri" w:eastAsia="Amiri" w:cs="Amiri"/>
          <w:lang w:bidi="ar-SA"/>
          <w:color w:val="111111"/>
          <w:sz w:val="28"/>
          <w:szCs w:val="28"/>
          <w:rtl/>
        </w:rPr>
        <w:t xml:space="preserve">11 .نماذج خطية مختلفة، ج 16،</w:t>
      </w:r>
    </w:p>
    <w:p>
      <w:pPr>
        <w:pStyle w:val="BookText"/>
      </w:pPr>
      <w:r>
        <w:rPr>
          <w:rFonts w:ascii="IRNazanin" w:hAnsi="IRNazanin" w:eastAsia="IRNazanin" w:cs="IRNazanin"/>
          <w:lang w:bidi="fa-IR"/>
          <w:color w:val="111111"/>
          <w:sz w:val="28"/>
          <w:szCs w:val="28"/>
          <w:rtl/>
        </w:rPr>
        <w:t xml:space="preserve">ص 476 .</w:t>
      </w:r>
    </w:p>
    <w:p>
      <w:pPr>
        <w:pStyle w:val="BookText"/>
      </w:pPr>
      <w:r>
        <w:rPr>
          <w:rFonts w:ascii="Amiri" w:hAnsi="Amiri" w:eastAsia="Amiri" w:cs="Amiri"/>
          <w:lang w:bidi="ar-SA"/>
          <w:color w:val="111111"/>
          <w:sz w:val="28"/>
          <w:szCs w:val="28"/>
          <w:rtl/>
        </w:rPr>
        <w:t xml:space="preserve">سعدي ، عبد اللطيف بن عبدالرحمن- ابن</w:t>
      </w:r>
    </w:p>
    <w:p>
      <w:pPr>
        <w:pStyle w:val="BookText"/>
      </w:pPr>
      <w:r>
        <w:rPr>
          <w:rFonts w:ascii="Amiri" w:hAnsi="Amiri" w:eastAsia="Amiri" w:cs="Amiri"/>
          <w:lang w:bidi="ar-SA"/>
          <w:color w:val="111111"/>
          <w:sz w:val="28"/>
          <w:szCs w:val="28"/>
          <w:rtl/>
        </w:rPr>
        <w:t xml:space="preserve">غانم ، عبد اللطيف بن عبدالرحمن</w:t>
      </w:r>
    </w:p>
    <w:p>
      <w:pPr>
        <w:pStyle w:val="BookText"/>
      </w:pPr>
      <w:r>
        <w:rPr>
          <w:rFonts w:ascii="Amiri" w:hAnsi="Amiri" w:eastAsia="Amiri" w:cs="Amiri"/>
          <w:lang w:bidi="ar-SA"/>
          <w:color w:val="111111"/>
          <w:sz w:val="28"/>
          <w:szCs w:val="28"/>
          <w:rtl/>
        </w:rPr>
        <w:t xml:space="preserve">سعدي ، عبد الله بن عبدالرحمن- بافضل ،</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سعدي، عبدالله بن نجم -خلال ، عبدالله</w:t>
      </w:r>
    </w:p>
    <w:p>
      <w:pPr>
        <w:pStyle w:val="BookText"/>
      </w:pPr>
      <w:r>
        <w:rPr>
          <w:rFonts w:ascii="IRNazanin" w:hAnsi="IRNazanin" w:eastAsia="IRNazanin" w:cs="IRNazanin"/>
          <w:lang w:bidi="fa-IR"/>
          <w:color w:val="111111"/>
          <w:sz w:val="28"/>
          <w:szCs w:val="28"/>
          <w:rtl/>
        </w:rPr>
        <w:t xml:space="preserve">بن نجم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4" w:name="pg7742_70523"/>
    <w:bookmarkEnd w:id="564"/>
    <w:p>
      <w:pPr>
        <w:pStyle w:val="BookText"/>
      </w:pPr>
      <w:r>
        <w:rPr>
          <w:rFonts w:ascii="Amiri" w:hAnsi="Amiri" w:eastAsia="Amiri" w:cs="Amiri"/>
          <w:lang w:bidi="ar-SA"/>
          <w:color w:val="111111"/>
          <w:sz w:val="28"/>
          <w:szCs w:val="28"/>
          <w:rtl/>
        </w:rPr>
        <w:t xml:space="preserve">سعدي ، علي بن جعفر -ابن قطاع ، علي</w:t>
      </w:r>
    </w:p>
    <w:p>
      <w:pPr>
        <w:pStyle w:val="BookText"/>
      </w:pPr>
      <w:r>
        <w:rPr>
          <w:rFonts w:ascii="IRNazanin" w:hAnsi="IRNazanin" w:eastAsia="IRNazanin" w:cs="IRNazanin"/>
          <w:lang w:bidi="fa-IR"/>
          <w:color w:val="111111"/>
          <w:sz w:val="28"/>
          <w:szCs w:val="28"/>
          <w:rtl/>
        </w:rPr>
        <w:t xml:space="preserve">بن جعفر</w:t>
      </w:r>
    </w:p>
    <w:p>
      <w:pPr>
        <w:pStyle w:val="BookText"/>
      </w:pPr>
      <w:r>
        <w:rPr>
          <w:rFonts w:ascii="Amiri" w:hAnsi="Amiri" w:eastAsia="Amiri" w:cs="Amiri"/>
          <w:lang w:bidi="ar-SA"/>
          <w:color w:val="111111"/>
          <w:sz w:val="28"/>
          <w:szCs w:val="28"/>
          <w:rtl/>
        </w:rPr>
        <w:t xml:space="preserve">سعدي ، علي بن سليمان -مرداوي ، علي</w:t>
      </w:r>
    </w:p>
    <w:p>
      <w:pPr>
        <w:pStyle w:val="BookText"/>
      </w:pPr>
      <w:r>
        <w:rPr>
          <w:rFonts w:ascii="Amiri" w:hAnsi="Amiri" w:eastAsia="Amiri" w:cs="Amiri"/>
          <w:lang w:bidi="ar-SA"/>
          <w:color w:val="111111"/>
          <w:sz w:val="28"/>
          <w:szCs w:val="28"/>
          <w:rtl/>
        </w:rPr>
        <w:t xml:space="preserve">بن سليمان</w:t>
      </w:r>
    </w:p>
    <w:p>
      <w:pPr>
        <w:pStyle w:val="Heading2"/>
      </w:pPr>
      <w:bookmarkStart w:id="4829" w:name="_Toc3931"/>
      <w:r>
        <w:t>سعدي ، علي بن صخر</w:t>
      </w:r>
      <w:bookmarkEnd w:id="4829"/>
    </w:p>
    <w:p>
      <w:pPr>
        <w:pStyle w:val="BookText"/>
      </w:pPr>
      <w:r>
        <w:rPr>
          <w:rFonts w:ascii="Amiri" w:hAnsi="Amiri" w:eastAsia="Amiri" w:cs="Amiri"/>
          <w:lang w:bidi="ar-SA"/>
          <w:color w:val="111111"/>
          <w:sz w:val="28"/>
          <w:szCs w:val="28"/>
          <w:rtl/>
        </w:rPr>
        <w:t xml:space="preserve">مستند أبي صخر، ج 14، ص 567.</w:t>
      </w:r>
    </w:p>
    <w:p>
      <w:pPr>
        <w:pStyle w:val="BookText"/>
      </w:pPr>
      <w:r>
        <w:rPr>
          <w:rFonts w:ascii="Amiri" w:hAnsi="Amiri" w:eastAsia="Amiri" w:cs="Amiri"/>
          <w:lang w:bidi="ar-SA"/>
          <w:color w:val="111111"/>
          <w:sz w:val="28"/>
          <w:szCs w:val="28"/>
          <w:rtl/>
        </w:rPr>
        <w:t xml:space="preserve">سعدي ، علي بن عبدالله -ابن مديني ، علي بن عبدالله</w:t>
      </w:r>
    </w:p>
    <w:p>
      <w:pPr>
        <w:pStyle w:val="BookText"/>
      </w:pPr>
      <w:r>
        <w:rPr>
          <w:rFonts w:ascii="Amiri" w:hAnsi="Amiri" w:eastAsia="Amiri" w:cs="Amiri"/>
          <w:lang w:bidi="ar-SA"/>
          <w:color w:val="111111"/>
          <w:sz w:val="28"/>
          <w:szCs w:val="28"/>
          <w:rtl/>
        </w:rPr>
        <w:t xml:space="preserve">سعدي ، عمر بن علي -ابن فارض ، عمر بن علي</w:t>
      </w:r>
    </w:p>
    <w:p>
      <w:pPr>
        <w:pStyle w:val="BookText"/>
      </w:pPr>
      <w:r>
        <w:rPr>
          <w:rFonts w:ascii="Amiri" w:hAnsi="Amiri" w:eastAsia="Amiri" w:cs="Amiri"/>
          <w:lang w:bidi="ar-SA"/>
          <w:color w:val="111111"/>
          <w:sz w:val="28"/>
          <w:szCs w:val="28"/>
          <w:rtl/>
        </w:rPr>
        <w:t xml:space="preserve">سعدي ، محمّد بن صلاح- لاري انصاري ،</w:t>
      </w:r>
    </w:p>
    <w:p>
      <w:pPr>
        <w:pStyle w:val="BookText"/>
      </w:pPr>
      <w:r>
        <w:rPr>
          <w:rFonts w:ascii="IRNazanin" w:hAnsi="IRNazanin" w:eastAsia="IRNazanin" w:cs="IRNazanin"/>
          <w:lang w:bidi="fa-IR"/>
          <w:color w:val="111111"/>
          <w:sz w:val="28"/>
          <w:szCs w:val="28"/>
          <w:rtl/>
        </w:rPr>
        <w:t xml:space="preserve">محمّد بن صلاح</w:t>
      </w:r>
    </w:p>
    <w:p>
      <w:pPr>
        <w:pStyle w:val="BookText"/>
      </w:pPr>
      <w:r>
        <w:rPr>
          <w:rFonts w:ascii="Amiri" w:hAnsi="Amiri" w:eastAsia="Amiri" w:cs="Amiri"/>
          <w:lang w:bidi="ar-SA"/>
          <w:color w:val="111111"/>
          <w:sz w:val="28"/>
          <w:szCs w:val="28"/>
          <w:rtl/>
        </w:rPr>
        <w:t xml:space="preserve">سعدي ، محمّد بن عبدالله -حسني ،</w:t>
      </w:r>
    </w:p>
    <w:p>
      <w:pPr>
        <w:pStyle w:val="BookText"/>
      </w:pPr>
      <w:r>
        <w:rPr>
          <w:rFonts w:ascii="IRNazanin" w:hAnsi="IRNazanin" w:eastAsia="IRNazanin" w:cs="IRNazanin"/>
          <w:lang w:bidi="fa-IR"/>
          <w:color w:val="111111"/>
          <w:sz w:val="28"/>
          <w:szCs w:val="28"/>
          <w:rtl/>
        </w:rPr>
        <w:t xml:space="preserve">محمّد بن عبدالله</w:t>
      </w:r>
    </w:p>
    <w:p>
      <w:pPr>
        <w:pStyle w:val="Heading2"/>
      </w:pPr>
      <w:bookmarkStart w:id="4830" w:name="_Toc3932"/>
      <w:r>
        <w:t>سعدي ، محمّد بن محمّد</w:t>
      </w:r>
      <w:bookmarkEnd w:id="4830"/>
    </w:p>
    <w:p>
      <w:pPr>
        <w:pStyle w:val="BookText"/>
      </w:pPr>
      <w:r>
        <w:rPr>
          <w:rFonts w:ascii="Amiri" w:hAnsi="Amiri" w:eastAsia="Amiri" w:cs="Amiri"/>
          <w:lang w:bidi="ar-SA"/>
          <w:color w:val="111111"/>
          <w:sz w:val="28"/>
          <w:szCs w:val="28"/>
          <w:rtl/>
        </w:rPr>
        <w:t xml:space="preserve">مقاصد القصائد في شرح قصيدة البردة، ج 15 ، ص 276.</w:t>
      </w:r>
    </w:p>
    <w:p>
      <w:pPr>
        <w:pStyle w:val="Heading2"/>
      </w:pPr>
      <w:bookmarkStart w:id="4831" w:name="_Toc3933"/>
      <w:r>
        <w:t>سعدي ، محمّد بن يوسف، قرن 10 ه-</w:t>
      </w:r>
      <w:bookmarkEnd w:id="4831"/>
    </w:p>
    <w:p>
      <w:pPr>
        <w:pStyle w:val="BookText"/>
      </w:pPr>
      <w:r>
        <w:rPr>
          <w:rFonts w:ascii="Amiri" w:hAnsi="Amiri" w:eastAsia="Amiri" w:cs="Amiri"/>
          <w:lang w:bidi="ar-SA"/>
          <w:color w:val="111111"/>
          <w:sz w:val="28"/>
          <w:szCs w:val="28"/>
          <w:rtl/>
        </w:rPr>
        <w:t xml:space="preserve">وسيلة الوصول إلى حضرة الرسول</w:t>
      </w:r>
    </w:p>
    <w:p>
      <w:pPr>
        <w:pStyle w:val="BookText"/>
      </w:pPr>
      <w:r>
        <w:rPr>
          <w:rFonts w:ascii="IRNazanin" w:hAnsi="IRNazanin" w:eastAsia="IRNazanin" w:cs="IRNazanin"/>
          <w:lang w:bidi="fa-IR"/>
          <w:color w:val="111111"/>
          <w:sz w:val="28"/>
          <w:szCs w:val="28"/>
          <w:rtl/>
        </w:rPr>
        <w:t xml:space="preserve">ج 16، ص 792.</w:t>
      </w:r>
    </w:p>
    <w:p>
      <w:pPr>
        <w:pStyle w:val="BookText"/>
      </w:pPr>
      <w:r>
        <w:rPr>
          <w:rFonts w:ascii="Amiri" w:hAnsi="Amiri" w:eastAsia="Amiri" w:cs="Amiri"/>
          <w:lang w:bidi="ar-SA"/>
          <w:color w:val="111111"/>
          <w:sz w:val="28"/>
          <w:szCs w:val="28"/>
          <w:rtl/>
        </w:rPr>
        <w:t xml:space="preserve">سعدي ، محمّد صادق بن محمّد صالح -وراميني سعدي ، محمّد صادق بن</w:t>
      </w:r>
    </w:p>
    <w:p>
      <w:pPr>
        <w:pStyle w:val="BookText"/>
      </w:pPr>
      <w:r>
        <w:rPr>
          <w:rFonts w:ascii="Amiri" w:hAnsi="Amiri" w:eastAsia="Amiri" w:cs="Amiri"/>
          <w:lang w:bidi="ar-SA"/>
          <w:color w:val="111111"/>
          <w:sz w:val="28"/>
          <w:szCs w:val="28"/>
          <w:rtl/>
        </w:rPr>
        <w:t xml:space="preserve">محمّد صالح</w:t>
      </w:r>
    </w:p>
    <w:p>
      <w:pPr>
        <w:pStyle w:val="BookText"/>
      </w:pPr>
      <w:r>
        <w:rPr>
          <w:rFonts w:ascii="Amiri" w:hAnsi="Amiri" w:eastAsia="Amiri" w:cs="Amiri"/>
          <w:lang w:bidi="ar-SA"/>
          <w:color w:val="111111"/>
          <w:sz w:val="28"/>
          <w:szCs w:val="28"/>
          <w:rtl/>
        </w:rPr>
        <w:t xml:space="preserve">سعدي ، مشرف الدين مصلح -سعدي ،</w:t>
      </w:r>
    </w:p>
    <w:p>
      <w:pPr>
        <w:pStyle w:val="BookText"/>
      </w:pPr>
      <w:r>
        <w:rPr>
          <w:rFonts w:ascii="IRNazanin" w:hAnsi="IRNazanin" w:eastAsia="IRNazanin" w:cs="IRNazanin"/>
          <w:lang w:bidi="fa-IR"/>
          <w:color w:val="111111"/>
          <w:sz w:val="28"/>
          <w:szCs w:val="28"/>
          <w:rtl/>
        </w:rPr>
        <w:t xml:space="preserve">مصلح بن عبدالله</w:t>
      </w:r>
    </w:p>
    <w:p>
      <w:pPr>
        <w:pStyle w:val="Heading2"/>
      </w:pPr>
      <w:bookmarkStart w:id="4832" w:name="_Toc3934"/>
      <w:r>
        <w:t>१ سعدي ، مصلح بن عبدالله - 691؟ ه-</w:t>
      </w:r>
      <w:bookmarkEnd w:id="4832"/>
    </w:p>
    <w:p>
      <w:pPr>
        <w:pStyle w:val="BookText"/>
      </w:pPr>
      <w:r>
        <w:rPr>
          <w:rFonts w:ascii="IRNazanin" w:hAnsi="IRNazanin" w:eastAsia="IRNazanin" w:cs="IRNazanin"/>
          <w:lang w:bidi="fa-IR"/>
          <w:color w:val="111111"/>
          <w:sz w:val="28"/>
          <w:szCs w:val="28"/>
          <w:rtl/>
        </w:rPr>
        <w:t xml:space="preserve">1 .استغفار نامه، ج 2، ص 150</w:t>
      </w:r>
    </w:p>
    <w:p>
      <w:pPr>
        <w:pStyle w:val="BookText"/>
      </w:pPr>
      <w:r>
        <w:rPr>
          <w:rFonts w:ascii="Amiri" w:hAnsi="Amiri" w:eastAsia="Amiri" w:cs="Amiri"/>
          <w:lang w:bidi="ar-SA"/>
          <w:color w:val="111111"/>
          <w:sz w:val="28"/>
          <w:szCs w:val="28"/>
          <w:rtl/>
        </w:rPr>
        <w:t xml:space="preserve">2 .بوستان سعدي، ج 3، ص 447.</w:t>
      </w:r>
    </w:p>
    <w:p>
      <w:pPr>
        <w:pStyle w:val="BookText"/>
      </w:pPr>
      <w:r>
        <w:rPr>
          <w:rFonts w:ascii="Amiri" w:hAnsi="Amiri" w:eastAsia="Amiri" w:cs="Amiri"/>
          <w:lang w:bidi="ar-SA"/>
          <w:color w:val="111111"/>
          <w:sz w:val="28"/>
          <w:szCs w:val="28"/>
          <w:rtl/>
        </w:rPr>
        <w:t xml:space="preserve">3 .ديوان سعدي شيرازي، ج 7، ص 652.</w:t>
      </w:r>
    </w:p>
    <w:p>
      <w:pPr>
        <w:pStyle w:val="BookText"/>
      </w:pPr>
      <w:r>
        <w:rPr>
          <w:rFonts w:ascii="Amiri" w:hAnsi="Amiri" w:eastAsia="Amiri" w:cs="Amiri"/>
          <w:lang w:bidi="ar-SA"/>
          <w:color w:val="111111"/>
          <w:sz w:val="28"/>
          <w:szCs w:val="28"/>
          <w:rtl/>
        </w:rPr>
        <w:t xml:space="preserve">4 .قصائد و رباعيات، ج 12، ص 604.</w:t>
      </w:r>
    </w:p>
    <w:p>
      <w:pPr>
        <w:pStyle w:val="BookText"/>
      </w:pPr>
      <w:r>
        <w:rPr>
          <w:rFonts w:ascii="Amiri" w:hAnsi="Amiri" w:eastAsia="Amiri" w:cs="Amiri"/>
          <w:lang w:bidi="ar-SA"/>
          <w:color w:val="111111"/>
          <w:sz w:val="28"/>
          <w:szCs w:val="28"/>
          <w:rtl/>
        </w:rPr>
        <w:t xml:space="preserve">5 .كليات سعدي، ج13، ص 384.</w:t>
      </w:r>
    </w:p>
    <w:p>
      <w:pPr>
        <w:pStyle w:val="BookText"/>
      </w:pPr>
      <w:r>
        <w:rPr>
          <w:rFonts w:ascii="IRNazanin" w:hAnsi="IRNazanin" w:eastAsia="IRNazanin" w:cs="IRNazanin"/>
          <w:lang w:bidi="fa-IR"/>
          <w:color w:val="111111"/>
          <w:sz w:val="28"/>
          <w:szCs w:val="28"/>
          <w:rtl/>
        </w:rPr>
        <w:t xml:space="preserve">6 .گلستان سعدي، ج13، ص 499.</w:t>
      </w:r>
    </w:p>
    <w:p>
      <w:pPr>
        <w:pStyle w:val="Heading2"/>
      </w:pPr>
      <w:bookmarkStart w:id="4833" w:name="_Toc3935"/>
      <w:r>
        <w:t>سعدي نجفي ، احمد بن حسن - 1293</w:t>
      </w:r>
      <w:bookmarkEnd w:id="4833"/>
    </w:p>
    <w:p>
      <w:pPr>
        <w:pStyle w:val="BookText"/>
      </w:pPr>
      <w:r>
        <w:rPr>
          <w:rFonts w:ascii="Amiri" w:hAnsi="Amiri" w:eastAsia="Amiri" w:cs="Amiri"/>
          <w:lang w:bidi="ar-SA"/>
          <w:color w:val="111111"/>
          <w:sz w:val="28"/>
          <w:szCs w:val="28"/>
          <w:rtl/>
        </w:rPr>
        <w:t xml:space="preserve">المدائح الشبلية و السنائح البابلية</w:t>
      </w:r>
    </w:p>
    <w:p>
      <w:pPr>
        <w:pStyle w:val="BookText"/>
      </w:pPr>
      <w:r>
        <w:rPr>
          <w:rFonts w:ascii="IRNazanin" w:hAnsi="IRNazanin" w:eastAsia="IRNazanin" w:cs="IRNazanin"/>
          <w:lang w:bidi="fa-IR"/>
          <w:color w:val="111111"/>
          <w:sz w:val="28"/>
          <w:szCs w:val="28"/>
          <w:rtl/>
        </w:rPr>
        <w:t xml:space="preserve">ج 14، ص 299.</w:t>
      </w:r>
    </w:p>
    <w:p>
      <w:pPr>
        <w:pStyle w:val="BookText"/>
      </w:pPr>
      <w:r>
        <w:rPr>
          <w:rFonts w:ascii="Amiri" w:hAnsi="Amiri" w:eastAsia="Amiri" w:cs="Amiri"/>
          <w:lang w:bidi="ar-SA"/>
          <w:color w:val="111111"/>
          <w:sz w:val="28"/>
          <w:szCs w:val="28"/>
          <w:rtl/>
        </w:rPr>
        <w:t xml:space="preserve">سعدي ، هبة الله بن جعفر -ابن سناء</w:t>
      </w:r>
    </w:p>
    <w:p>
      <w:pPr>
        <w:pStyle w:val="BookText"/>
      </w:pPr>
      <w:r>
        <w:rPr>
          <w:rFonts w:ascii="Amiri" w:hAnsi="Amiri" w:eastAsia="Amiri" w:cs="Amiri"/>
          <w:lang w:bidi="ar-SA"/>
          <w:color w:val="111111"/>
          <w:sz w:val="28"/>
          <w:szCs w:val="28"/>
          <w:rtl/>
        </w:rPr>
        <w:t xml:space="preserve">الملك ، هبة الله بن جعفر</w:t>
      </w:r>
    </w:p>
    <w:p>
      <w:pPr>
        <w:pStyle w:val="BookText"/>
      </w:pPr>
      <w:r>
        <w:rPr>
          <w:rFonts w:ascii="Amiri" w:hAnsi="Amiri" w:eastAsia="Amiri" w:cs="Amiri"/>
          <w:lang w:bidi="ar-SA"/>
          <w:color w:val="111111"/>
          <w:sz w:val="28"/>
          <w:szCs w:val="28"/>
          <w:rtl/>
        </w:rPr>
        <w:t xml:space="preserve">سعرتي ، خليل بن حسين- اسعردي ، خليل</w:t>
      </w:r>
    </w:p>
    <w:p>
      <w:pPr>
        <w:pStyle w:val="BookText"/>
      </w:pPr>
      <w:r>
        <w:rPr>
          <w:rFonts w:ascii="Amiri" w:hAnsi="Amiri" w:eastAsia="Amiri" w:cs="Amiri"/>
          <w:lang w:bidi="ar-SA"/>
          <w:color w:val="111111"/>
          <w:sz w:val="28"/>
          <w:szCs w:val="28"/>
          <w:rtl/>
        </w:rPr>
        <w:t xml:space="preserve">بن حسين</w:t>
      </w:r>
    </w:p>
    <w:p>
      <w:pPr>
        <w:pStyle w:val="Heading2"/>
      </w:pPr>
      <w:bookmarkStart w:id="4834" w:name="_Toc3936"/>
      <w:r>
        <w:t>سعودي، احمد بن محمّد بن يونس - 1021ه-</w:t>
      </w:r>
      <w:bookmarkEnd w:id="4834"/>
    </w:p>
    <w:p>
      <w:pPr>
        <w:pStyle w:val="BookText"/>
      </w:pPr>
      <w:r>
        <w:rPr>
          <w:rFonts w:ascii="IRNazanin" w:hAnsi="IRNazanin" w:eastAsia="IRNazanin" w:cs="IRNazanin"/>
          <w:lang w:bidi="fa-IR"/>
          <w:color w:val="111111"/>
          <w:sz w:val="28"/>
          <w:szCs w:val="28"/>
          <w:rtl/>
        </w:rPr>
        <w:t xml:space="preserve">مجمع الفتاوى، ج 13، ص858 ص858.</w:t>
      </w:r>
    </w:p>
    <w:p>
      <w:pPr>
        <w:pStyle w:val="Heading2"/>
      </w:pPr>
      <w:bookmarkStart w:id="4835" w:name="_Toc3937"/>
      <w:r>
        <w:t>سعودي ، محمّد بن محمّد</w:t>
      </w:r>
      <w:bookmarkEnd w:id="4835"/>
    </w:p>
    <w:p>
      <w:pPr>
        <w:pStyle w:val="BookText"/>
      </w:pPr>
      <w:r>
        <w:rPr>
          <w:rFonts w:ascii="Amiri" w:hAnsi="Amiri" w:eastAsia="Amiri" w:cs="Amiri"/>
          <w:lang w:bidi="ar-SA"/>
          <w:color w:val="111111"/>
          <w:sz w:val="28"/>
          <w:szCs w:val="28"/>
          <w:rtl/>
        </w:rPr>
        <w:t xml:space="preserve">المواهب الانسية في صواب المسائل</w:t>
      </w:r>
    </w:p>
    <w:p>
      <w:pPr>
        <w:pStyle w:val="BookText"/>
      </w:pPr>
      <w:r>
        <w:rPr>
          <w:rFonts w:ascii="Amiri" w:hAnsi="Amiri" w:eastAsia="Amiri" w:cs="Amiri"/>
          <w:lang w:bidi="ar-SA"/>
          <w:color w:val="111111"/>
          <w:sz w:val="28"/>
          <w:szCs w:val="28"/>
          <w:rtl/>
        </w:rPr>
        <w:t xml:space="preserve">الشمسية، ج 15، ص 886.</w:t>
      </w:r>
    </w:p>
    <w:p>
      <w:pPr>
        <w:pStyle w:val="Heading2"/>
      </w:pPr>
      <w:bookmarkStart w:id="4836" w:name="_Toc3938"/>
      <w:r>
        <w:t>سعودي محمّد بن يحيى قرن 11 ه-</w:t>
      </w:r>
      <w:bookmarkEnd w:id="4836"/>
    </w:p>
    <w:p>
      <w:pPr>
        <w:pStyle w:val="BookText"/>
      </w:pPr>
      <w:r>
        <w:rPr>
          <w:rFonts w:ascii="Amiri" w:hAnsi="Amiri" w:eastAsia="Amiri" w:cs="Amiri"/>
          <w:lang w:bidi="ar-SA"/>
          <w:color w:val="111111"/>
          <w:sz w:val="28"/>
          <w:szCs w:val="28"/>
          <w:rtl/>
        </w:rPr>
        <w:t xml:space="preserve">العرفان لاهل الايمان، ج11، ص80</w:t>
      </w:r>
    </w:p>
    <w:p>
      <w:pPr>
        <w:pStyle w:val="BookText"/>
      </w:pPr>
      <w:r>
        <w:rPr>
          <w:rFonts w:ascii="Amiri" w:hAnsi="Amiri" w:eastAsia="Amiri" w:cs="Amiri"/>
          <w:lang w:bidi="ar-SA"/>
          <w:color w:val="111111"/>
          <w:sz w:val="28"/>
          <w:szCs w:val="28"/>
          <w:rtl/>
        </w:rPr>
        <w:t xml:space="preserve">سعودي مرحومي محمّد بن</w:t>
      </w:r>
    </w:p>
    <w:p>
      <w:pPr>
        <w:pStyle w:val="BookText"/>
      </w:pPr>
      <w:r>
        <w:rPr>
          <w:rFonts w:ascii="Amiri" w:hAnsi="Amiri" w:eastAsia="Amiri" w:cs="Amiri"/>
          <w:lang w:bidi="ar-SA"/>
          <w:color w:val="111111"/>
          <w:sz w:val="28"/>
          <w:szCs w:val="28"/>
          <w:rtl/>
        </w:rPr>
        <w:t xml:space="preserve">محمّد- سعودي ، محمّد بن محمّد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5" w:name="pg7742_70526"/>
    <w:bookmarkEnd w:id="565"/>
    <w:p>
      <w:pPr>
        <w:pStyle w:val="BookText"/>
      </w:pPr>
      <w:r>
        <w:rPr>
          <w:rFonts w:ascii="Amiri" w:hAnsi="Amiri" w:eastAsia="Amiri" w:cs="Amiri"/>
          <w:lang w:bidi="ar-SA"/>
          <w:color w:val="111111"/>
          <w:sz w:val="28"/>
          <w:szCs w:val="28"/>
          <w:rtl/>
        </w:rPr>
        <w:t xml:space="preserve">سعيد افندي انطاكي -انطاكي ، سعيد</w:t>
      </w:r>
    </w:p>
    <w:p>
      <w:pPr>
        <w:pStyle w:val="BookText"/>
      </w:pPr>
      <w:r>
        <w:rPr>
          <w:rFonts w:ascii="Amiri" w:hAnsi="Amiri" w:eastAsia="Amiri" w:cs="Amiri"/>
          <w:lang w:bidi="ar-SA"/>
          <w:color w:val="111111"/>
          <w:sz w:val="28"/>
          <w:szCs w:val="28"/>
          <w:rtl/>
        </w:rPr>
        <w:t xml:space="preserve">افندي</w:t>
      </w:r>
    </w:p>
    <w:p>
      <w:pPr>
        <w:pStyle w:val="BookText"/>
      </w:pPr>
      <w:r>
        <w:rPr>
          <w:rFonts w:ascii="Amiri" w:hAnsi="Amiri" w:eastAsia="Amiri" w:cs="Amiri"/>
          <w:lang w:bidi="ar-SA"/>
          <w:color w:val="111111"/>
          <w:sz w:val="28"/>
          <w:szCs w:val="28"/>
          <w:rtl/>
        </w:rPr>
        <w:t xml:space="preserve">سعيد الدين كاشاني ، سعيد بن محمّد- فرغاني كاشغري ، سعيد بن محمّد</w:t>
      </w:r>
    </w:p>
    <w:p>
      <w:pPr>
        <w:pStyle w:val="BookText"/>
      </w:pPr>
      <w:r>
        <w:rPr>
          <w:rFonts w:ascii="IRNazanin" w:hAnsi="IRNazanin" w:eastAsia="IRNazanin" w:cs="IRNazanin"/>
          <w:lang w:bidi="fa-IR"/>
          <w:color w:val="111111"/>
          <w:sz w:val="28"/>
          <w:szCs w:val="28"/>
          <w:rtl/>
        </w:rPr>
        <w:t xml:space="preserve">سعیدالدین هروي -سعيد هروي</w:t>
      </w:r>
    </w:p>
    <w:p>
      <w:pPr>
        <w:pStyle w:val="BookText"/>
      </w:pPr>
      <w:r>
        <w:rPr>
          <w:rFonts w:ascii="Amiri" w:hAnsi="Amiri" w:eastAsia="Amiri" w:cs="Amiri"/>
          <w:lang w:bidi="ar-SA"/>
          <w:color w:val="111111"/>
          <w:sz w:val="28"/>
          <w:szCs w:val="28"/>
          <w:rtl/>
        </w:rPr>
        <w:t xml:space="preserve">سعيد بن ابي الخير بن عيسى- ابن</w:t>
      </w:r>
    </w:p>
    <w:p>
      <w:pPr>
        <w:pStyle w:val="BookText"/>
      </w:pPr>
      <w:r>
        <w:rPr>
          <w:rFonts w:ascii="Amiri" w:hAnsi="Amiri" w:eastAsia="Amiri" w:cs="Amiri"/>
          <w:lang w:bidi="ar-SA"/>
          <w:color w:val="111111"/>
          <w:sz w:val="28"/>
          <w:szCs w:val="28"/>
          <w:rtl/>
        </w:rPr>
        <w:t xml:space="preserve">مسيحي ، سعيد بن ابي الخير</w:t>
      </w:r>
    </w:p>
    <w:p>
      <w:pPr>
        <w:pStyle w:val="BookText"/>
      </w:pPr>
      <w:r>
        <w:rPr>
          <w:rFonts w:ascii="Amiri" w:hAnsi="Amiri" w:eastAsia="Amiri" w:cs="Amiri"/>
          <w:lang w:bidi="ar-SA"/>
          <w:color w:val="111111"/>
          <w:sz w:val="28"/>
          <w:szCs w:val="28"/>
          <w:rtl/>
        </w:rPr>
        <w:t xml:space="preserve">سعيد بن منصور- مروزي ، سعيد بن</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Amiri" w:hAnsi="Amiri" w:eastAsia="Amiri" w:cs="Amiri"/>
          <w:lang w:bidi="ar-SA"/>
          <w:color w:val="111111"/>
          <w:sz w:val="28"/>
          <w:szCs w:val="28"/>
          <w:rtl/>
        </w:rPr>
        <w:t xml:space="preserve">سعيد بن عبدالعزيز نيلي نيشابوري -نيلي</w:t>
      </w:r>
    </w:p>
    <w:p>
      <w:pPr>
        <w:pStyle w:val="BookText"/>
      </w:pPr>
      <w:r>
        <w:rPr>
          <w:rFonts w:ascii="Amiri" w:hAnsi="Amiri" w:eastAsia="Amiri" w:cs="Amiri"/>
          <w:lang w:bidi="ar-SA"/>
          <w:color w:val="111111"/>
          <w:sz w:val="28"/>
          <w:szCs w:val="28"/>
          <w:rtl/>
        </w:rPr>
        <w:t xml:space="preserve">، سعيد بن عبدالعزيز</w:t>
      </w:r>
    </w:p>
    <w:p>
      <w:pPr>
        <w:pStyle w:val="BookText"/>
      </w:pPr>
      <w:r>
        <w:rPr>
          <w:rFonts w:ascii="Amiri" w:hAnsi="Amiri" w:eastAsia="Amiri" w:cs="Amiri"/>
          <w:lang w:bidi="ar-SA"/>
          <w:color w:val="111111"/>
          <w:sz w:val="28"/>
          <w:szCs w:val="28"/>
          <w:rtl/>
        </w:rPr>
        <w:t xml:space="preserve">سعيد بن عبد الله عرب- عرب ، سعيد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سعيد بن علي حضيري - حضيري ، سعيد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سعيد بن علي سمرقندي</w:t>
      </w:r>
    </w:p>
    <w:p>
      <w:pPr>
        <w:pStyle w:val="BookText"/>
      </w:pPr>
      <w:r>
        <w:rPr>
          <w:rFonts w:ascii="Amiri" w:hAnsi="Amiri" w:eastAsia="Amiri" w:cs="Amiri"/>
          <w:lang w:bidi="ar-SA"/>
          <w:color w:val="111111"/>
          <w:sz w:val="28"/>
          <w:szCs w:val="28"/>
          <w:rtl/>
        </w:rPr>
        <w:t xml:space="preserve">حنفي- سمرقندي ، سعيد بن علي</w:t>
      </w:r>
    </w:p>
    <w:p>
      <w:pPr>
        <w:pStyle w:val="BookText"/>
      </w:pPr>
      <w:r>
        <w:rPr>
          <w:rFonts w:ascii="Amiri" w:hAnsi="Amiri" w:eastAsia="Amiri" w:cs="Amiri"/>
          <w:lang w:bidi="ar-SA"/>
          <w:color w:val="111111"/>
          <w:sz w:val="28"/>
          <w:szCs w:val="28"/>
          <w:rtl/>
        </w:rPr>
        <w:t xml:space="preserve">سعيد بن قابل شافعي -شافعي ، سعيد</w:t>
      </w:r>
    </w:p>
    <w:p>
      <w:pPr>
        <w:pStyle w:val="BookText"/>
      </w:pPr>
      <w:r>
        <w:rPr>
          <w:rFonts w:ascii="IRNazanin" w:hAnsi="IRNazanin" w:eastAsia="IRNazanin" w:cs="IRNazanin"/>
          <w:lang w:bidi="fa-IR"/>
          <w:color w:val="111111"/>
          <w:sz w:val="28"/>
          <w:szCs w:val="28"/>
          <w:rtl/>
        </w:rPr>
        <w:t xml:space="preserve">بن قابل</w:t>
      </w:r>
    </w:p>
    <w:p>
      <w:pPr>
        <w:pStyle w:val="BookText"/>
      </w:pPr>
      <w:r>
        <w:rPr>
          <w:rFonts w:ascii="Amiri" w:hAnsi="Amiri" w:eastAsia="Amiri" w:cs="Amiri"/>
          <w:lang w:bidi="ar-SA"/>
          <w:color w:val="111111"/>
          <w:sz w:val="28"/>
          <w:szCs w:val="28"/>
          <w:rtl/>
        </w:rPr>
        <w:t xml:space="preserve">سعيد بن مبارك انصاري- ابن دهان</w:t>
      </w:r>
    </w:p>
    <w:p>
      <w:pPr>
        <w:pStyle w:val="BookText"/>
      </w:pPr>
      <w:r>
        <w:rPr>
          <w:rFonts w:ascii="Amiri" w:hAnsi="Amiri" w:eastAsia="Amiri" w:cs="Amiri"/>
          <w:lang w:bidi="ar-SA"/>
          <w:color w:val="111111"/>
          <w:sz w:val="28"/>
          <w:szCs w:val="28"/>
          <w:rtl/>
        </w:rPr>
        <w:t xml:space="preserve">سعيد بن مبارك</w:t>
      </w:r>
    </w:p>
    <w:p>
      <w:pPr>
        <w:pStyle w:val="BookText"/>
      </w:pPr>
      <w:r>
        <w:rPr>
          <w:rFonts w:ascii="Amiri" w:hAnsi="Amiri" w:eastAsia="Amiri" w:cs="Amiri"/>
          <w:lang w:bidi="ar-SA"/>
          <w:color w:val="111111"/>
          <w:sz w:val="28"/>
          <w:szCs w:val="28"/>
          <w:rtl/>
        </w:rPr>
        <w:t xml:space="preserve">سعيد بن محمّد بن احمد فرغاني كاشغري- فرغاني كاشغري ، سعيد بن محمّد</w:t>
      </w:r>
    </w:p>
    <w:p>
      <w:pPr>
        <w:pStyle w:val="BookText"/>
      </w:pPr>
      <w:r>
        <w:rPr>
          <w:rFonts w:ascii="Amiri" w:hAnsi="Amiri" w:eastAsia="Amiri" w:cs="Amiri"/>
          <w:lang w:bidi="ar-SA"/>
          <w:color w:val="111111"/>
          <w:sz w:val="28"/>
          <w:szCs w:val="28"/>
          <w:rtl/>
        </w:rPr>
        <w:t xml:space="preserve">سعيد بن محمّد خلخالي -خلخالي ، سعيد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سعيد بن مسعده اخفش -اخفش ، سعيد</w:t>
      </w:r>
    </w:p>
    <w:p>
      <w:pPr>
        <w:pStyle w:val="BookText"/>
      </w:pPr>
      <w:r>
        <w:rPr>
          <w:rFonts w:ascii="IRNazanin" w:hAnsi="IRNazanin" w:eastAsia="IRNazanin" w:cs="IRNazanin"/>
          <w:lang w:bidi="fa-IR"/>
          <w:color w:val="111111"/>
          <w:sz w:val="28"/>
          <w:szCs w:val="28"/>
          <w:rtl/>
        </w:rPr>
        <w:t xml:space="preserve">بن مسعده</w:t>
      </w:r>
    </w:p>
    <w:p>
      <w:pPr>
        <w:pStyle w:val="BookText"/>
      </w:pPr>
      <w:r>
        <w:rPr>
          <w:rFonts w:ascii="Amiri" w:hAnsi="Amiri" w:eastAsia="Amiri" w:cs="Amiri"/>
          <w:lang w:bidi="ar-SA"/>
          <w:color w:val="111111"/>
          <w:sz w:val="28"/>
          <w:szCs w:val="28"/>
          <w:rtl/>
        </w:rPr>
        <w:t xml:space="preserve">سعيد بن موسى حلبي- حلبي ، سعيد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سعيد بن هبة الله راوندي- قطب راوندي</w:t>
      </w:r>
    </w:p>
    <w:p>
      <w:pPr>
        <w:pStyle w:val="BookText"/>
      </w:pPr>
      <w:r>
        <w:rPr>
          <w:rFonts w:ascii="Amiri" w:hAnsi="Amiri" w:eastAsia="Amiri" w:cs="Amiri"/>
          <w:lang w:bidi="ar-SA"/>
          <w:color w:val="111111"/>
          <w:sz w:val="28"/>
          <w:szCs w:val="28"/>
          <w:rtl/>
        </w:rPr>
        <w:t xml:space="preserve">، سعيد بن هبة الله</w:t>
      </w:r>
    </w:p>
    <w:p>
      <w:pPr>
        <w:pStyle w:val="BookText"/>
      </w:pPr>
      <w:r>
        <w:rPr>
          <w:rFonts w:ascii="Amiri" w:hAnsi="Amiri" w:eastAsia="Amiri" w:cs="Amiri"/>
          <w:lang w:bidi="ar-SA"/>
          <w:color w:val="111111"/>
          <w:sz w:val="28"/>
          <w:szCs w:val="28"/>
          <w:rtl/>
        </w:rPr>
        <w:t xml:space="preserve">سعيد بن هبة الله طبيب-ابن هبة الله سعيد بن هبة الله</w:t>
      </w:r>
    </w:p>
    <w:p>
      <w:pPr>
        <w:pStyle w:val="BookText"/>
      </w:pPr>
      <w:r>
        <w:rPr>
          <w:rFonts w:ascii="Amiri" w:hAnsi="Amiri" w:eastAsia="Amiri" w:cs="Amiri"/>
          <w:lang w:bidi="ar-SA"/>
          <w:color w:val="111111"/>
          <w:sz w:val="28"/>
          <w:szCs w:val="28"/>
          <w:rtl/>
        </w:rPr>
        <w:t xml:space="preserve">سعيد بن اوس انصاري انصاري ، سعيد سعيد بن هبة الله</w:t>
      </w:r>
    </w:p>
    <w:p>
      <w:pPr>
        <w:pStyle w:val="Heading2"/>
      </w:pPr>
      <w:bookmarkStart w:id="4837" w:name="_Toc3939"/>
      <w:r>
        <w:t>سعید پاشا ، محمّد سعید بن سليمان</w:t>
      </w:r>
      <w:bookmarkEnd w:id="4837"/>
    </w:p>
    <w:p>
      <w:pPr>
        <w:pStyle w:val="BookText"/>
      </w:pPr>
      <w:r>
        <w:rPr>
          <w:rFonts w:ascii="Amiri" w:hAnsi="Amiri" w:eastAsia="Amiri" w:cs="Amiri"/>
          <w:lang w:bidi="ar-SA"/>
          <w:color w:val="111111"/>
          <w:sz w:val="28"/>
          <w:szCs w:val="28"/>
          <w:rtl/>
        </w:rPr>
        <w:t xml:space="preserve">نظيف، 1838 - 1914 م</w:t>
      </w:r>
    </w:p>
    <w:p>
      <w:pPr>
        <w:pStyle w:val="BookText"/>
      </w:pPr>
      <w:r>
        <w:rPr>
          <w:rFonts w:ascii="Amiri" w:hAnsi="Amiri" w:eastAsia="Amiri" w:cs="Amiri"/>
          <w:lang w:bidi="ar-SA"/>
          <w:color w:val="111111"/>
          <w:sz w:val="28"/>
          <w:szCs w:val="28"/>
          <w:rtl/>
        </w:rPr>
        <w:t xml:space="preserve">التوحيد (رسالة في)، ج 5 ، ص 156 .</w:t>
      </w:r>
    </w:p>
    <w:p>
      <w:pPr>
        <w:pStyle w:val="BookText"/>
      </w:pPr>
      <w:r>
        <w:rPr>
          <w:rFonts w:ascii="Amiri" w:hAnsi="Amiri" w:eastAsia="Amiri" w:cs="Amiri"/>
          <w:lang w:bidi="ar-SA"/>
          <w:color w:val="111111"/>
          <w:sz w:val="28"/>
          <w:szCs w:val="28"/>
          <w:rtl/>
        </w:rPr>
        <w:t xml:space="preserve">سعيد شريف قمي -قاضي سعيد قمي ، محمّد سعيد بن محمّد مفيد</w:t>
      </w:r>
    </w:p>
    <w:p>
      <w:pPr>
        <w:pStyle w:val="BookText"/>
      </w:pPr>
      <w:r>
        <w:rPr>
          <w:rFonts w:ascii="Amiri" w:hAnsi="Amiri" w:eastAsia="Amiri" w:cs="Amiri"/>
          <w:lang w:bidi="ar-SA"/>
          <w:color w:val="111111"/>
          <w:sz w:val="28"/>
          <w:szCs w:val="28"/>
          <w:rtl/>
        </w:rPr>
        <w:t xml:space="preserve">سعيد عجمي -عجمي ، نجم الدين سعيد</w:t>
      </w:r>
    </w:p>
    <w:p>
      <w:pPr>
        <w:pStyle w:val="BookText"/>
      </w:pPr>
      <w:r>
        <w:rPr>
          <w:rFonts w:ascii="IRNazanin" w:hAnsi="IRNazanin" w:eastAsia="IRNazanin" w:cs="IRNazanin"/>
          <w:lang w:bidi="fa-IR"/>
          <w:color w:val="111111"/>
          <w:sz w:val="28"/>
          <w:szCs w:val="28"/>
          <w:rtl/>
        </w:rPr>
        <w:t xml:space="preserve">سعید فرغانه اي ، محمّد بن</w:t>
      </w:r>
    </w:p>
    <w:p>
      <w:pPr>
        <w:pStyle w:val="BookText"/>
      </w:pPr>
      <w:r>
        <w:rPr>
          <w:rFonts w:ascii="Amiri" w:hAnsi="Amiri" w:eastAsia="Amiri" w:cs="Amiri"/>
          <w:lang w:bidi="ar-SA"/>
          <w:color w:val="111111"/>
          <w:sz w:val="28"/>
          <w:szCs w:val="28"/>
          <w:rtl/>
        </w:rPr>
        <w:t xml:space="preserve">احمد -فرغاني كاشغري ، سعيد بن محمّد</w:t>
      </w:r>
    </w:p>
    <w:p>
      <w:pPr>
        <w:pStyle w:val="BookText"/>
      </w:pPr>
      <w:r>
        <w:rPr>
          <w:rFonts w:ascii="Amiri" w:hAnsi="Amiri" w:eastAsia="Amiri" w:cs="Amiri"/>
          <w:lang w:bidi="ar-SA"/>
          <w:color w:val="111111"/>
          <w:sz w:val="28"/>
          <w:szCs w:val="28"/>
          <w:rtl/>
        </w:rPr>
        <w:t xml:space="preserve">سعيد قمي ، محمّد قاضي- سعيد قمي ،</w:t>
      </w:r>
    </w:p>
    <w:p>
      <w:pPr>
        <w:pStyle w:val="BookText"/>
      </w:pPr>
      <w:r>
        <w:rPr>
          <w:rFonts w:ascii="Amiri" w:hAnsi="Amiri" w:eastAsia="Amiri" w:cs="Amiri"/>
          <w:lang w:bidi="ar-SA"/>
          <w:color w:val="111111"/>
          <w:sz w:val="28"/>
          <w:szCs w:val="28"/>
          <w:rtl/>
        </w:rPr>
        <w:t xml:space="preserve">محمّد سعيد بن محمّد مفيد</w:t>
      </w:r>
    </w:p>
    <w:p>
      <w:pPr>
        <w:pStyle w:val="BookText"/>
      </w:pPr>
      <w:r>
        <w:rPr>
          <w:rFonts w:ascii="IRNazanin" w:hAnsi="IRNazanin" w:eastAsia="IRNazanin" w:cs="IRNazanin"/>
          <w:lang w:bidi="fa-IR"/>
          <w:color w:val="111111"/>
          <w:sz w:val="28"/>
          <w:szCs w:val="28"/>
          <w:rtl/>
        </w:rPr>
        <w:t xml:space="preserve">سعید مدني- مدني ، سعيد</w:t>
      </w:r>
    </w:p>
    <w:p>
      <w:pPr>
        <w:pStyle w:val="BookText"/>
      </w:pPr>
      <w:r>
        <w:rPr>
          <w:rFonts w:ascii="IRNazanin" w:hAnsi="IRNazanin" w:eastAsia="IRNazanin" w:cs="IRNazanin"/>
          <w:lang w:bidi="fa-IR"/>
          <w:color w:val="111111"/>
          <w:sz w:val="28"/>
          <w:szCs w:val="28"/>
          <w:rtl/>
        </w:rPr>
        <w:t xml:space="preserve">سعید نمدپوش -انصاري ، طاهر بن سلام</w:t>
      </w:r>
    </w:p>
    <w:p>
      <w:pPr>
        <w:pStyle w:val="Heading2"/>
      </w:pPr>
      <w:bookmarkStart w:id="4838" w:name="_Toc3940"/>
      <w:r>
        <w:t>سعيد هروي، - 741؟ ه-</w:t>
      </w:r>
      <w:bookmarkEnd w:id="4838"/>
    </w:p>
    <w:p>
      <w:pPr>
        <w:pStyle w:val="BookText"/>
      </w:pPr>
      <w:r>
        <w:rPr>
          <w:rFonts w:ascii="Amiri" w:hAnsi="Amiri" w:eastAsia="Amiri" w:cs="Amiri"/>
          <w:lang w:bidi="ar-SA"/>
          <w:color w:val="111111"/>
          <w:sz w:val="28"/>
          <w:szCs w:val="28"/>
          <w:rtl/>
        </w:rPr>
        <w:t xml:space="preserve">قصيدة في بيان الاسماء إلى تأنيثها</w:t>
      </w:r>
    </w:p>
    <w:p>
      <w:pPr>
        <w:pStyle w:val="BookText"/>
      </w:pPr>
      <w:r>
        <w:rPr>
          <w:rFonts w:ascii="Amiri" w:hAnsi="Amiri" w:eastAsia="Amiri" w:cs="Amiri"/>
          <w:lang w:bidi="ar-SA"/>
          <w:color w:val="111111"/>
          <w:sz w:val="28"/>
          <w:szCs w:val="28"/>
          <w:rtl/>
        </w:rPr>
        <w:t xml:space="preserve">سماعي، ج 12 ، ص 690.</w:t>
      </w:r>
    </w:p>
    <w:p>
      <w:pPr>
        <w:pStyle w:val="BookText"/>
      </w:pPr>
      <w:r>
        <w:rPr>
          <w:rFonts w:ascii="Amiri" w:hAnsi="Amiri" w:eastAsia="Amiri" w:cs="Amiri"/>
          <w:lang w:bidi="ar-SA"/>
          <w:color w:val="111111"/>
          <w:sz w:val="28"/>
          <w:szCs w:val="28"/>
          <w:rtl/>
        </w:rPr>
        <w:t xml:space="preserve">سعيدي ، جعفر -محتضر سعيدي ، جعفر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6" w:name="pg7742_70528"/>
    <w:bookmarkEnd w:id="566"/>
    <w:p>
      <w:pPr>
        <w:pStyle w:val="BookText"/>
      </w:pPr>
      <w:r>
        <w:rPr>
          <w:rFonts w:ascii="Amiri" w:hAnsi="Amiri" w:eastAsia="Amiri" w:cs="Amiri"/>
          <w:lang w:bidi="ar-SA"/>
          <w:color w:val="111111"/>
          <w:sz w:val="28"/>
          <w:szCs w:val="28"/>
          <w:rtl/>
        </w:rPr>
        <w:t xml:space="preserve">سعيدي ، علي بن جعفر -حذاء ، علي بن</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سعيدي سلماسي ، محمّد بن سعيد-سلماسي ابو سعيد محمّد بن سعيد</w:t>
      </w:r>
    </w:p>
    <w:p>
      <w:pPr>
        <w:pStyle w:val="BookText"/>
      </w:pPr>
      <w:r>
        <w:rPr>
          <w:rFonts w:ascii="Amiri" w:hAnsi="Amiri" w:eastAsia="Amiri" w:cs="Amiri"/>
          <w:lang w:bidi="ar-SA"/>
          <w:color w:val="111111"/>
          <w:sz w:val="28"/>
          <w:szCs w:val="28"/>
          <w:rtl/>
        </w:rPr>
        <w:t xml:space="preserve">سعيدي ، علي- اشموني سعيدي ، علي</w:t>
      </w:r>
    </w:p>
    <w:p>
      <w:pPr>
        <w:pStyle w:val="BookText"/>
      </w:pPr>
      <w:r>
        <w:rPr>
          <w:rFonts w:ascii="Amiri" w:hAnsi="Amiri" w:eastAsia="Amiri" w:cs="Amiri"/>
          <w:lang w:bidi="ar-SA"/>
          <w:color w:val="111111"/>
          <w:sz w:val="28"/>
          <w:szCs w:val="28"/>
          <w:rtl/>
        </w:rPr>
        <w:t xml:space="preserve">سعيدي ، محمّد بن امين -تاج السعيدي ،</w:t>
      </w:r>
    </w:p>
    <w:p>
      <w:pPr>
        <w:pStyle w:val="BookText"/>
      </w:pPr>
      <w:r>
        <w:rPr>
          <w:rFonts w:ascii="Amiri" w:hAnsi="Amiri" w:eastAsia="Amiri" w:cs="Amiri"/>
          <w:lang w:bidi="ar-SA"/>
          <w:color w:val="111111"/>
          <w:sz w:val="28"/>
          <w:szCs w:val="28"/>
          <w:rtl/>
        </w:rPr>
        <w:t xml:space="preserve">محمّد بن ابي سعيد</w:t>
      </w:r>
    </w:p>
    <w:p>
      <w:pPr>
        <w:pStyle w:val="BookText"/>
      </w:pPr>
      <w:r>
        <w:rPr>
          <w:rFonts w:ascii="Amiri" w:hAnsi="Amiri" w:eastAsia="Amiri" w:cs="Amiri"/>
          <w:lang w:bidi="ar-SA"/>
          <w:color w:val="111111"/>
          <w:sz w:val="28"/>
          <w:szCs w:val="28"/>
          <w:rtl/>
        </w:rPr>
        <w:t xml:space="preserve">سعيدي ، مير ابوالفتح محمّد- تاج</w:t>
      </w:r>
    </w:p>
    <w:p>
      <w:pPr>
        <w:pStyle w:val="BookText"/>
      </w:pPr>
      <w:r>
        <w:rPr>
          <w:rFonts w:ascii="Amiri" w:hAnsi="Amiri" w:eastAsia="Amiri" w:cs="Amiri"/>
          <w:lang w:bidi="ar-SA"/>
          <w:color w:val="111111"/>
          <w:sz w:val="28"/>
          <w:szCs w:val="28"/>
          <w:rtl/>
        </w:rPr>
        <w:t xml:space="preserve">السعيدي ، محمّد بن ابي سعيد</w:t>
      </w:r>
    </w:p>
    <w:p>
      <w:pPr>
        <w:pStyle w:val="BookText"/>
      </w:pPr>
      <w:r>
        <w:rPr>
          <w:rFonts w:ascii="Amiri" w:hAnsi="Amiri" w:eastAsia="Amiri" w:cs="Amiri"/>
          <w:lang w:bidi="ar-SA"/>
          <w:color w:val="111111"/>
          <w:sz w:val="28"/>
          <w:szCs w:val="28"/>
          <w:rtl/>
        </w:rPr>
        <w:t xml:space="preserve">سعيدي هيثمي ، احمد بن محمّد- ابن</w:t>
      </w:r>
    </w:p>
    <w:p>
      <w:pPr>
        <w:pStyle w:val="BookText"/>
      </w:pPr>
      <w:r>
        <w:rPr>
          <w:rFonts w:ascii="Amiri" w:hAnsi="Amiri" w:eastAsia="Amiri" w:cs="Amiri"/>
          <w:lang w:bidi="ar-SA"/>
          <w:color w:val="111111"/>
          <w:sz w:val="28"/>
          <w:szCs w:val="28"/>
          <w:rtl/>
        </w:rPr>
        <w:t xml:space="preserve">حجر هيثمي ، احمد بن محمّد</w:t>
      </w:r>
    </w:p>
    <w:p>
      <w:pPr>
        <w:pStyle w:val="BookText"/>
      </w:pPr>
      <w:r>
        <w:rPr>
          <w:rFonts w:ascii="Amiri" w:hAnsi="Amiri" w:eastAsia="Amiri" w:cs="Amiri"/>
          <w:lang w:bidi="ar-SA"/>
          <w:color w:val="111111"/>
          <w:sz w:val="28"/>
          <w:szCs w:val="28"/>
          <w:rtl/>
        </w:rPr>
        <w:t xml:space="preserve">سعيدي ، يحيى بن محمّد- ابن الكرماني ،</w:t>
      </w:r>
    </w:p>
    <w:p>
      <w:pPr>
        <w:pStyle w:val="BookText"/>
      </w:pPr>
      <w:r>
        <w:rPr>
          <w:rFonts w:ascii="Amiri" w:hAnsi="Amiri" w:eastAsia="Amiri" w:cs="Amiri"/>
          <w:lang w:bidi="ar-SA"/>
          <w:color w:val="111111"/>
          <w:sz w:val="28"/>
          <w:szCs w:val="28"/>
          <w:rtl/>
        </w:rPr>
        <w:t xml:space="preserve">يحيى بن محمّد</w:t>
      </w:r>
    </w:p>
    <w:p>
      <w:pPr>
        <w:pStyle w:val="BookText"/>
      </w:pPr>
      <w:r>
        <w:rPr>
          <w:rFonts w:ascii="Amiri" w:hAnsi="Amiri" w:eastAsia="Amiri" w:cs="Amiri"/>
          <w:lang w:bidi="ar-SA"/>
          <w:color w:val="111111"/>
          <w:sz w:val="28"/>
          <w:szCs w:val="28"/>
          <w:rtl/>
        </w:rPr>
        <w:t xml:space="preserve">سغدي سمرقندي ، علي بن</w:t>
      </w:r>
    </w:p>
    <w:p>
      <w:pPr>
        <w:pStyle w:val="BookText"/>
      </w:pPr>
      <w:r>
        <w:rPr>
          <w:rFonts w:ascii="Amiri" w:hAnsi="Amiri" w:eastAsia="Amiri" w:cs="Amiri"/>
          <w:lang w:bidi="ar-SA"/>
          <w:color w:val="111111"/>
          <w:sz w:val="28"/>
          <w:szCs w:val="28"/>
          <w:rtl/>
        </w:rPr>
        <w:t xml:space="preserve">حسين- سغدي ، علي بن حسين</w:t>
      </w:r>
    </w:p>
    <w:p>
      <w:pPr>
        <w:pStyle w:val="Heading2"/>
      </w:pPr>
      <w:bookmarkStart w:id="4839" w:name="_Toc3941"/>
      <w:r>
        <w:t>سغدي ، علي بن حسين - 461 ه-</w:t>
      </w:r>
      <w:bookmarkEnd w:id="4839"/>
    </w:p>
    <w:p>
      <w:pPr>
        <w:pStyle w:val="BookText"/>
      </w:pPr>
      <w:r>
        <w:rPr>
          <w:rFonts w:ascii="IRNazanin" w:hAnsi="IRNazanin" w:eastAsia="IRNazanin" w:cs="IRNazanin"/>
          <w:lang w:bidi="fa-IR"/>
          <w:color w:val="111111"/>
          <w:sz w:val="28"/>
          <w:szCs w:val="28"/>
          <w:rtl/>
        </w:rPr>
        <w:t xml:space="preserve">النتف، ج 16، ص 133.</w:t>
      </w:r>
    </w:p>
    <w:p>
      <w:pPr>
        <w:pStyle w:val="BookText"/>
      </w:pPr>
      <w:r>
        <w:rPr>
          <w:rFonts w:ascii="Amiri" w:hAnsi="Amiri" w:eastAsia="Amiri" w:cs="Amiri"/>
          <w:lang w:bidi="ar-SA"/>
          <w:color w:val="111111"/>
          <w:sz w:val="28"/>
          <w:szCs w:val="28"/>
          <w:rtl/>
        </w:rPr>
        <w:t xml:space="preserve">سغناقي ، حسين بن علي صغناقي ، حسين بن علي</w:t>
      </w:r>
    </w:p>
    <w:p>
      <w:pPr>
        <w:pStyle w:val="BookText"/>
      </w:pPr>
      <w:r>
        <w:rPr>
          <w:rFonts w:ascii="Amiri" w:hAnsi="Amiri" w:eastAsia="Amiri" w:cs="Amiri"/>
          <w:lang w:bidi="ar-SA"/>
          <w:color w:val="111111"/>
          <w:sz w:val="28"/>
          <w:szCs w:val="28"/>
          <w:rtl/>
        </w:rPr>
        <w:t xml:space="preserve">سفاريني ، محمّد بن احمد 1114 -</w:t>
      </w:r>
    </w:p>
    <w:p>
      <w:pPr>
        <w:pStyle w:val="BookText"/>
      </w:pPr>
      <w:r>
        <w:rPr>
          <w:rFonts w:ascii="IRNazanin" w:hAnsi="IRNazanin" w:eastAsia="IRNazanin" w:cs="IRNazanin"/>
          <w:lang w:bidi="fa-IR"/>
          <w:color w:val="111111"/>
          <w:sz w:val="28"/>
          <w:szCs w:val="28"/>
          <w:rtl/>
        </w:rPr>
        <w:t xml:space="preserve">1188 ه-</w:t>
      </w:r>
    </w:p>
    <w:p>
      <w:pPr>
        <w:pStyle w:val="BookText"/>
      </w:pPr>
      <w:r>
        <w:rPr>
          <w:rFonts w:ascii="Amiri" w:hAnsi="Amiri" w:eastAsia="Amiri" w:cs="Amiri"/>
          <w:lang w:bidi="ar-SA"/>
          <w:color w:val="111111"/>
          <w:sz w:val="28"/>
          <w:szCs w:val="28"/>
          <w:rtl/>
        </w:rPr>
        <w:t xml:space="preserve">1 .البحور الزاخرة في احوال (علوم)</w:t>
      </w:r>
    </w:p>
    <w:p>
      <w:pPr>
        <w:pStyle w:val="BookText"/>
      </w:pPr>
      <w:r>
        <w:rPr>
          <w:rFonts w:ascii="Amiri" w:hAnsi="Amiri" w:eastAsia="Amiri" w:cs="Amiri"/>
          <w:lang w:bidi="ar-SA"/>
          <w:color w:val="111111"/>
          <w:sz w:val="28"/>
          <w:szCs w:val="28"/>
          <w:rtl/>
        </w:rPr>
        <w:t xml:space="preserve">الآخرة، ج 3، ص 236.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الدرة المضيئة في عقيدة اهل الفرقة</w:t>
      </w:r>
    </w:p>
    <w:p>
      <w:pPr>
        <w:pStyle w:val="BookText"/>
      </w:pPr>
      <w:r>
        <w:rPr>
          <w:rFonts w:ascii="Amiri" w:hAnsi="Amiri" w:eastAsia="Amiri" w:cs="Amiri"/>
          <w:lang w:bidi="ar-SA"/>
          <w:color w:val="111111"/>
          <w:sz w:val="28"/>
          <w:szCs w:val="28"/>
          <w:rtl/>
        </w:rPr>
        <w:t xml:space="preserve">المرضية، ج 7، ص 266.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لوامع الانوار البهية وسواطع الاسرار الاثرية - شرح الدرة المضيئة في عقيدة اهل الفرقة</w:t>
      </w:r>
    </w:p>
    <w:p>
      <w:pPr>
        <w:pStyle w:val="BookText"/>
      </w:pPr>
      <w:r>
        <w:rPr>
          <w:rFonts w:ascii="Amiri" w:hAnsi="Amiri" w:eastAsia="Amiri" w:cs="Amiri"/>
          <w:lang w:bidi="ar-SA"/>
          <w:color w:val="111111"/>
          <w:sz w:val="28"/>
          <w:szCs w:val="28"/>
          <w:rtl/>
        </w:rPr>
        <w:t xml:space="preserve">الناجية، ج 13، ص 645.</w:t>
      </w:r>
    </w:p>
    <w:p>
      <w:pPr>
        <w:pStyle w:val="BookText"/>
      </w:pPr>
      <w:r>
        <w:rPr>
          <w:rFonts w:ascii="Amiri" w:hAnsi="Amiri" w:eastAsia="Amiri" w:cs="Amiri"/>
          <w:lang w:bidi="ar-SA"/>
          <w:color w:val="111111"/>
          <w:sz w:val="28"/>
          <w:szCs w:val="28"/>
          <w:rtl/>
        </w:rPr>
        <w:t xml:space="preserve">سفاقسي ، ابراهيم بن محمّد- قيسي</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سفاقسي ، ابوالحسن علي بن</w:t>
      </w:r>
    </w:p>
    <w:p>
      <w:pPr>
        <w:pStyle w:val="BookText"/>
      </w:pPr>
      <w:r>
        <w:rPr>
          <w:rFonts w:ascii="Amiri" w:hAnsi="Amiri" w:eastAsia="Amiri" w:cs="Amiri"/>
          <w:lang w:bidi="ar-SA"/>
          <w:color w:val="111111"/>
          <w:sz w:val="28"/>
          <w:szCs w:val="28"/>
          <w:rtl/>
        </w:rPr>
        <w:t xml:space="preserve">محمّد- سفاقسي ، علي بن محمّد</w:t>
      </w:r>
    </w:p>
    <w:p>
      <w:pPr>
        <w:pStyle w:val="Heading2"/>
      </w:pPr>
      <w:bookmarkStart w:id="4840" w:name="_Toc3942"/>
      <w:r>
        <w:t>سفاقسي ، احمد بن عبدالعزیز قرن 11</w:t>
      </w:r>
      <w:bookmarkEnd w:id="4840"/>
    </w:p>
    <w:p>
      <w:pPr>
        <w:pStyle w:val="BookText"/>
      </w:pPr>
      <w:r>
        <w:rPr>
          <w:rFonts w:ascii="Amiri" w:hAnsi="Amiri" w:eastAsia="Amiri" w:cs="Amiri"/>
          <w:lang w:bidi="ar-SA"/>
          <w:color w:val="111111"/>
          <w:sz w:val="28"/>
          <w:szCs w:val="28"/>
          <w:rtl/>
        </w:rPr>
        <w:t xml:space="preserve">الدرر الفاخرات في العمل بربع المقنطرات، ج 7، ص303.</w:t>
      </w:r>
    </w:p>
    <w:p>
      <w:pPr>
        <w:pStyle w:val="BookText"/>
      </w:pPr>
      <w:r>
        <w:rPr>
          <w:rFonts w:ascii="Amiri" w:hAnsi="Amiri" w:eastAsia="Amiri" w:cs="Amiri"/>
          <w:lang w:bidi="ar-SA"/>
          <w:color w:val="111111"/>
          <w:sz w:val="28"/>
          <w:szCs w:val="28"/>
          <w:rtl/>
        </w:rPr>
        <w:t xml:space="preserve">سفاقسي علي بن محمّد -ابن صباغ ، علي بن محمّد</w:t>
      </w:r>
    </w:p>
    <w:p>
      <w:pPr>
        <w:pStyle w:val="Heading2"/>
      </w:pPr>
      <w:bookmarkStart w:id="4841" w:name="_Toc3943"/>
      <w:r>
        <w:t>१ سفاقسي ، علي بن محمّد، 1040 - 1118</w:t>
      </w:r>
      <w:bookmarkEnd w:id="4841"/>
    </w:p>
    <w:p>
      <w:pPr>
        <w:pStyle w:val="BookText"/>
      </w:pPr>
      <w:r>
        <w:rPr>
          <w:rFonts w:ascii="Amiri" w:hAnsi="Amiri" w:eastAsia="Amiri" w:cs="Amiri"/>
          <w:lang w:bidi="ar-SA"/>
          <w:color w:val="111111"/>
          <w:sz w:val="28"/>
          <w:szCs w:val="28"/>
          <w:rtl/>
        </w:rPr>
        <w:t xml:space="preserve">غيث النفع في القراآت السبع، ج11،</w:t>
      </w:r>
    </w:p>
    <w:p>
      <w:pPr>
        <w:pStyle w:val="BookText"/>
      </w:pPr>
      <w:r>
        <w:rPr>
          <w:rFonts w:ascii="IRNazanin" w:hAnsi="IRNazanin" w:eastAsia="IRNazanin" w:cs="IRNazanin"/>
          <w:lang w:bidi="fa-IR"/>
          <w:color w:val="111111"/>
          <w:sz w:val="28"/>
          <w:szCs w:val="28"/>
          <w:rtl/>
        </w:rPr>
        <w:t xml:space="preserve">ص 562 .</w:t>
      </w:r>
    </w:p>
    <w:p>
      <w:pPr>
        <w:pStyle w:val="BookText"/>
      </w:pPr>
      <w:r>
        <w:rPr>
          <w:rFonts w:ascii="Amiri" w:hAnsi="Amiri" w:eastAsia="Amiri" w:cs="Amiri"/>
          <w:lang w:bidi="ar-SA"/>
          <w:color w:val="111111"/>
          <w:sz w:val="28"/>
          <w:szCs w:val="28"/>
          <w:rtl/>
        </w:rPr>
        <w:t xml:space="preserve">سفاقيسي، ابراهيم بن محمّد- قيسي ابراهيم بن محمّد</w:t>
      </w:r>
    </w:p>
    <w:p>
      <w:pPr>
        <w:pStyle w:val="Heading2"/>
      </w:pPr>
      <w:bookmarkStart w:id="4842" w:name="_Toc3944"/>
      <w:r>
        <w:t>سفرجلاني، ابراهيم بن محمّد 1055 -</w:t>
      </w:r>
      <w:bookmarkEnd w:id="4842"/>
    </w:p>
    <w:p>
      <w:pPr>
        <w:pStyle w:val="BookText"/>
      </w:pPr>
      <w:r>
        <w:rPr>
          <w:rFonts w:ascii="IRNazanin" w:hAnsi="IRNazanin" w:eastAsia="IRNazanin" w:cs="IRNazanin"/>
          <w:lang w:bidi="fa-IR"/>
          <w:color w:val="111111"/>
          <w:sz w:val="28"/>
          <w:szCs w:val="28"/>
          <w:rtl/>
        </w:rPr>
        <w:t xml:space="preserve">1112 ؟ ه-</w:t>
      </w:r>
    </w:p>
    <w:p>
      <w:pPr>
        <w:pStyle w:val="BookText"/>
      </w:pPr>
      <w:r>
        <w:rPr>
          <w:rFonts w:ascii="IRNazanin" w:hAnsi="IRNazanin" w:eastAsia="IRNazanin" w:cs="IRNazanin"/>
          <w:lang w:bidi="fa-IR"/>
          <w:color w:val="111111"/>
          <w:sz w:val="28"/>
          <w:szCs w:val="28"/>
          <w:rtl/>
        </w:rPr>
        <w:t xml:space="preserve">دیوان سفرجلاني، ج 7، ص 652.</w:t>
      </w:r>
    </w:p>
    <w:p>
      <w:pPr>
        <w:pStyle w:val="Heading2"/>
      </w:pPr>
      <w:bookmarkStart w:id="4843" w:name="_Toc3945"/>
      <w:r>
        <w:t>سفطي، رمضان بن صالح - 1158 ه-</w:t>
      </w:r>
      <w:bookmarkEnd w:id="4843"/>
    </w:p>
    <w:p>
      <w:pPr>
        <w:pStyle w:val="BookText"/>
      </w:pPr>
      <w:r>
        <w:rPr>
          <w:rFonts w:ascii="Amiri" w:hAnsi="Amiri" w:eastAsia="Amiri" w:cs="Amiri"/>
          <w:lang w:bidi="ar-SA"/>
          <w:color w:val="111111"/>
          <w:sz w:val="28"/>
          <w:szCs w:val="28"/>
          <w:rtl/>
        </w:rPr>
        <w:t xml:space="preserve">رشف الزلال في معرفة استخراج قوس</w:t>
      </w:r>
    </w:p>
    <w:p>
      <w:pPr>
        <w:pStyle w:val="BookText"/>
      </w:pPr>
      <w:r>
        <w:rPr>
          <w:rFonts w:ascii="Amiri" w:hAnsi="Amiri" w:eastAsia="Amiri" w:cs="Amiri"/>
          <w:lang w:bidi="ar-SA"/>
          <w:color w:val="111111"/>
          <w:sz w:val="28"/>
          <w:szCs w:val="28"/>
          <w:rtl/>
        </w:rPr>
        <w:t xml:space="preserve">مكث الهلال، ج8، ص311.</w:t>
      </w:r>
    </w:p>
    <w:p>
      <w:pPr>
        <w:pStyle w:val="BookText"/>
      </w:pPr>
      <w:r>
        <w:rPr>
          <w:rFonts w:ascii="Amiri" w:hAnsi="Amiri" w:eastAsia="Amiri" w:cs="Amiri"/>
          <w:lang w:bidi="ar-SA"/>
          <w:color w:val="111111"/>
          <w:sz w:val="28"/>
          <w:szCs w:val="28"/>
          <w:rtl/>
        </w:rPr>
        <w:t xml:space="preserve">سفطي ، عيسى بن عيسى - صفتي ،</w:t>
      </w:r>
    </w:p>
    <w:p>
      <w:pPr>
        <w:pStyle w:val="BookText"/>
      </w:pPr>
      <w:r>
        <w:rPr>
          <w:rFonts w:ascii="Amiri" w:hAnsi="Amiri" w:eastAsia="Amiri" w:cs="Amiri"/>
          <w:lang w:bidi="ar-SA"/>
          <w:color w:val="111111"/>
          <w:sz w:val="28"/>
          <w:szCs w:val="28"/>
          <w:rtl/>
        </w:rPr>
        <w:t xml:space="preserve">عيسى بن عيسى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7" w:name="pg7742_70529"/>
    <w:bookmarkEnd w:id="567"/>
    <w:p>
      <w:pPr>
        <w:pStyle w:val="Heading2"/>
      </w:pPr>
      <w:bookmarkStart w:id="4844" w:name="_Toc3946"/>
      <w:r>
        <w:t>-سفطي، مصطفى</w:t>
      </w:r>
      <w:bookmarkEnd w:id="4844"/>
    </w:p>
    <w:p>
      <w:pPr>
        <w:pStyle w:val="BookText"/>
      </w:pPr>
      <w:r>
        <w:rPr>
          <w:rFonts w:ascii="Amiri" w:hAnsi="Amiri" w:eastAsia="Amiri" w:cs="Amiri"/>
          <w:lang w:bidi="ar-SA"/>
          <w:color w:val="111111"/>
          <w:sz w:val="28"/>
          <w:szCs w:val="28"/>
          <w:rtl/>
        </w:rPr>
        <w:t xml:space="preserve">النجابة في قواعد الكتابة، ج 16،</w:t>
      </w:r>
    </w:p>
    <w:p>
      <w:pPr>
        <w:pStyle w:val="BookText"/>
      </w:pPr>
      <w:r>
        <w:rPr>
          <w:rFonts w:ascii="IRNazanin" w:hAnsi="IRNazanin" w:eastAsia="IRNazanin" w:cs="IRNazanin"/>
          <w:lang w:bidi="fa-IR"/>
          <w:color w:val="111111"/>
          <w:sz w:val="28"/>
          <w:szCs w:val="28"/>
          <w:rtl/>
        </w:rPr>
        <w:t xml:space="preserve">ص 143 .</w:t>
      </w:r>
    </w:p>
    <w:p>
      <w:pPr>
        <w:pStyle w:val="BookText"/>
      </w:pPr>
      <w:r>
        <w:rPr>
          <w:rFonts w:ascii="Amiri" w:hAnsi="Amiri" w:eastAsia="Amiri" w:cs="Amiri"/>
          <w:lang w:bidi="ar-SA"/>
          <w:color w:val="111111"/>
          <w:sz w:val="28"/>
          <w:szCs w:val="28"/>
          <w:rtl/>
        </w:rPr>
        <w:t xml:space="preserve">سفندني ، محمّد فاضل بن محمّد</w:t>
      </w:r>
    </w:p>
    <w:p>
      <w:pPr>
        <w:pStyle w:val="BookText"/>
      </w:pPr>
      <w:r>
        <w:rPr>
          <w:rFonts w:ascii="Amiri" w:hAnsi="Amiri" w:eastAsia="Amiri" w:cs="Amiri"/>
          <w:lang w:bidi="ar-SA"/>
          <w:color w:val="111111"/>
          <w:sz w:val="28"/>
          <w:szCs w:val="28"/>
          <w:rtl/>
        </w:rPr>
        <w:t xml:space="preserve">عارف دهلوي ، محمّد فاضل بن محمّد</w:t>
      </w:r>
    </w:p>
    <w:p>
      <w:pPr>
        <w:pStyle w:val="BookText"/>
      </w:pPr>
      <w:r>
        <w:rPr>
          <w:rFonts w:ascii="IRNazanin" w:hAnsi="IRNazanin" w:eastAsia="IRNazanin" w:cs="IRNazanin"/>
          <w:lang w:bidi="fa-IR"/>
          <w:color w:val="111111"/>
          <w:sz w:val="28"/>
          <w:szCs w:val="28"/>
          <w:rtl/>
        </w:rPr>
        <w:t xml:space="preserve">عارف</w:t>
      </w:r>
    </w:p>
    <w:p>
      <w:pPr>
        <w:pStyle w:val="BookText"/>
      </w:pPr>
      <w:r>
        <w:rPr>
          <w:rFonts w:ascii="Amiri" w:hAnsi="Amiri" w:eastAsia="Amiri" w:cs="Amiri"/>
          <w:lang w:bidi="ar-SA"/>
          <w:color w:val="111111"/>
          <w:sz w:val="28"/>
          <w:szCs w:val="28"/>
          <w:rtl/>
        </w:rPr>
        <w:t xml:space="preserve">سفيان بن عيينه هلالي- ابن عيينه ،</w:t>
      </w:r>
    </w:p>
    <w:p>
      <w:pPr>
        <w:pStyle w:val="BookText"/>
      </w:pPr>
      <w:r>
        <w:rPr>
          <w:rFonts w:ascii="Amiri" w:hAnsi="Amiri" w:eastAsia="Amiri" w:cs="Amiri"/>
          <w:lang w:bidi="ar-SA"/>
          <w:color w:val="111111"/>
          <w:sz w:val="28"/>
          <w:szCs w:val="28"/>
          <w:rtl/>
        </w:rPr>
        <w:t xml:space="preserve">سفيان بن عيينه</w:t>
      </w:r>
    </w:p>
    <w:p>
      <w:pPr>
        <w:pStyle w:val="BookText"/>
      </w:pPr>
      <w:r>
        <w:rPr>
          <w:rFonts w:ascii="Amiri" w:hAnsi="Amiri" w:eastAsia="Amiri" w:cs="Amiri"/>
          <w:lang w:bidi="ar-SA"/>
          <w:color w:val="111111"/>
          <w:sz w:val="28"/>
          <w:szCs w:val="28"/>
          <w:rtl/>
        </w:rPr>
        <w:t xml:space="preserve">سفياني حميري، علي بن حسن- سفياني ،</w:t>
      </w:r>
    </w:p>
    <w:p>
      <w:pPr>
        <w:pStyle w:val="BookText"/>
      </w:pPr>
      <w:r>
        <w:rPr>
          <w:rFonts w:ascii="Amiri" w:hAnsi="Amiri" w:eastAsia="Amiri" w:cs="Amiri"/>
          <w:lang w:bidi="ar-SA"/>
          <w:color w:val="111111"/>
          <w:sz w:val="28"/>
          <w:szCs w:val="28"/>
          <w:rtl/>
        </w:rPr>
        <w:t xml:space="preserve">علي بن حسن</w:t>
      </w:r>
    </w:p>
    <w:p>
      <w:pPr>
        <w:pStyle w:val="Heading2"/>
      </w:pPr>
      <w:bookmarkStart w:id="4845" w:name="_Toc3947"/>
      <w:r>
        <w:t>سفياني ، علي بن حسن قرن 10 ه-</w:t>
      </w:r>
      <w:bookmarkEnd w:id="4845"/>
    </w:p>
    <w:p>
      <w:pPr>
        <w:pStyle w:val="BookText"/>
      </w:pPr>
      <w:r>
        <w:rPr>
          <w:rFonts w:ascii="Amiri" w:hAnsi="Amiri" w:eastAsia="Amiri" w:cs="Amiri"/>
          <w:lang w:bidi="ar-SA"/>
          <w:color w:val="111111"/>
          <w:sz w:val="28"/>
          <w:szCs w:val="28"/>
          <w:rtl/>
        </w:rPr>
        <w:t xml:space="preserve">بغية المفيد و بلغة المستفيد في شرح القصيد، ج 3، ص 377.</w:t>
      </w:r>
    </w:p>
    <w:p>
      <w:pPr>
        <w:pStyle w:val="BookText"/>
      </w:pPr>
      <w:r>
        <w:rPr>
          <w:rFonts w:ascii="IRNazanin" w:hAnsi="IRNazanin" w:eastAsia="IRNazanin" w:cs="IRNazanin"/>
          <w:lang w:bidi="fa-IR"/>
          <w:color w:val="111111"/>
          <w:sz w:val="28"/>
          <w:szCs w:val="28"/>
          <w:rtl/>
        </w:rPr>
        <w:t xml:space="preserve">سفیدس- اسفیدوس</w:t>
      </w:r>
    </w:p>
    <w:p>
      <w:pPr>
        <w:pStyle w:val="BookText"/>
      </w:pPr>
      <w:r>
        <w:rPr>
          <w:rFonts w:ascii="Amiri" w:hAnsi="Amiri" w:eastAsia="Amiri" w:cs="Amiri"/>
          <w:lang w:bidi="ar-SA"/>
          <w:color w:val="111111"/>
          <w:sz w:val="28"/>
          <w:szCs w:val="28"/>
          <w:rtl/>
        </w:rPr>
        <w:t xml:space="preserve">سفيدني دهلوي ، محمّد فاضل بن محمّد</w:t>
      </w:r>
    </w:p>
    <w:p>
      <w:pPr>
        <w:pStyle w:val="BookText"/>
      </w:pPr>
      <w:r>
        <w:rPr>
          <w:rFonts w:ascii="Amiri" w:hAnsi="Amiri" w:eastAsia="Amiri" w:cs="Amiri"/>
          <w:lang w:bidi="ar-SA"/>
          <w:color w:val="111111"/>
          <w:sz w:val="28"/>
          <w:szCs w:val="28"/>
          <w:rtl/>
        </w:rPr>
        <w:t xml:space="preserve">عارف- دهلوي ، محمّد فاضل بن محمّد</w:t>
      </w:r>
    </w:p>
    <w:p>
      <w:pPr>
        <w:pStyle w:val="BookText"/>
      </w:pPr>
      <w:r>
        <w:rPr>
          <w:rFonts w:ascii="IRNazanin" w:hAnsi="IRNazanin" w:eastAsia="IRNazanin" w:cs="IRNazanin"/>
          <w:lang w:bidi="fa-IR"/>
          <w:color w:val="111111"/>
          <w:sz w:val="28"/>
          <w:szCs w:val="28"/>
          <w:rtl/>
        </w:rPr>
        <w:t xml:space="preserve">عارف</w:t>
      </w:r>
    </w:p>
    <w:p>
      <w:pPr>
        <w:pStyle w:val="BookText"/>
      </w:pPr>
      <w:r>
        <w:rPr>
          <w:rFonts w:ascii="Amiri" w:hAnsi="Amiri" w:eastAsia="Amiri" w:cs="Amiri"/>
          <w:lang w:bidi="ar-SA"/>
          <w:color w:val="111111"/>
          <w:sz w:val="28"/>
          <w:szCs w:val="28"/>
          <w:rtl/>
        </w:rPr>
        <w:t xml:space="preserve">سفيدني ، محمّد فاضل بن محمّد عارف- دهلوي ، محمّد فاضل بن محمّد</w:t>
      </w:r>
    </w:p>
    <w:p>
      <w:pPr>
        <w:pStyle w:val="BookText"/>
      </w:pPr>
      <w:r>
        <w:rPr>
          <w:rFonts w:ascii="Amiri" w:hAnsi="Amiri" w:eastAsia="Amiri" w:cs="Amiri"/>
          <w:lang w:bidi="ar-SA"/>
          <w:color w:val="111111"/>
          <w:sz w:val="28"/>
          <w:szCs w:val="28"/>
          <w:rtl/>
        </w:rPr>
        <w:t xml:space="preserve">عارف سفيري حلبي ، محمّد بن عمر -سفيري ، محمّد بن عمر</w:t>
      </w:r>
    </w:p>
    <w:p>
      <w:pPr>
        <w:pStyle w:val="BookText"/>
      </w:pPr>
      <w:r>
        <w:rPr>
          <w:rFonts w:ascii="Amiri" w:hAnsi="Amiri" w:eastAsia="Amiri" w:cs="Amiri"/>
          <w:lang w:bidi="ar-SA"/>
          <w:color w:val="111111"/>
          <w:sz w:val="28"/>
          <w:szCs w:val="28"/>
          <w:rtl/>
        </w:rPr>
        <w:t xml:space="preserve">سفيري ، شمس الدين -سفيري ، محمّد بن عمر</w:t>
      </w:r>
    </w:p>
    <w:p>
      <w:pPr>
        <w:pStyle w:val="Heading2"/>
      </w:pPr>
      <w:bookmarkStart w:id="4846" w:name="_Toc3948"/>
      <w:r>
        <w:t>سفيري ، محمّد بن عمر - 956 ه-</w:t>
      </w:r>
      <w:bookmarkEnd w:id="4846"/>
    </w:p>
    <w:p>
      <w:pPr>
        <w:pStyle w:val="BookText"/>
      </w:pPr>
      <w:r>
        <w:rPr>
          <w:rFonts w:ascii="Amiri" w:hAnsi="Amiri" w:eastAsia="Amiri" w:cs="Amiri"/>
          <w:lang w:bidi="ar-SA"/>
          <w:color w:val="111111"/>
          <w:sz w:val="28"/>
          <w:szCs w:val="28"/>
          <w:rtl/>
        </w:rPr>
        <w:t xml:space="preserve">1 .شرح السيرة النبوية، ج 9، ص 592.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صحيح البخاري، ج 9، ص 666 .</w:t>
      </w:r>
    </w:p>
    <w:p>
      <w:pPr>
        <w:pStyle w:val="Heading2"/>
      </w:pPr>
      <w:bookmarkStart w:id="4847" w:name="_Toc3949"/>
      <w:r>
        <w:t>سقاف ، علي بن ابي بكر، 818 - 898 ه-</w:t>
      </w:r>
      <w:bookmarkEnd w:id="4847"/>
    </w:p>
    <w:p>
      <w:pPr>
        <w:pStyle w:val="BookText"/>
      </w:pPr>
      <w:r>
        <w:rPr>
          <w:rFonts w:ascii="Amiri" w:hAnsi="Amiri" w:eastAsia="Amiri" w:cs="Amiri"/>
          <w:lang w:bidi="ar-SA"/>
          <w:color w:val="111111"/>
          <w:sz w:val="28"/>
          <w:szCs w:val="28"/>
          <w:rtl/>
        </w:rPr>
        <w:t xml:space="preserve">عقد النكاح (رسالة في)، ج 11، ص179.</w:t>
      </w:r>
    </w:p>
    <w:p>
      <w:pPr>
        <w:pStyle w:val="BookText"/>
      </w:pPr>
      <w:r>
        <w:rPr>
          <w:rFonts w:ascii="Amiri" w:hAnsi="Amiri" w:eastAsia="Amiri" w:cs="Amiri"/>
          <w:lang w:bidi="ar-SA"/>
          <w:color w:val="111111"/>
          <w:sz w:val="28"/>
          <w:szCs w:val="28"/>
          <w:rtl/>
        </w:rPr>
        <w:t xml:space="preserve">سقافي ، جعفر بن محمّد -بيتي سقافي ،</w:t>
      </w:r>
    </w:p>
    <w:p>
      <w:pPr>
        <w:pStyle w:val="BookText"/>
      </w:pPr>
      <w:r>
        <w:rPr>
          <w:rFonts w:ascii="IRNazanin" w:hAnsi="IRNazanin" w:eastAsia="IRNazanin" w:cs="IRNazanin"/>
          <w:lang w:bidi="fa-IR"/>
          <w:color w:val="111111"/>
          <w:sz w:val="28"/>
          <w:szCs w:val="28"/>
          <w:rtl/>
        </w:rPr>
        <w:t xml:space="preserve">جعفر بن محمّد</w:t>
      </w:r>
    </w:p>
    <w:p>
      <w:pPr>
        <w:pStyle w:val="Heading2"/>
      </w:pPr>
      <w:bookmarkStart w:id="4848" w:name="_Toc3950"/>
      <w:r>
        <w:t>سقسيني، سليمان بن داود قرن 6 ه-</w:t>
      </w:r>
      <w:bookmarkEnd w:id="4848"/>
    </w:p>
    <w:p>
      <w:pPr>
        <w:pStyle w:val="BookText"/>
      </w:pPr>
      <w:r>
        <w:rPr>
          <w:rFonts w:ascii="Amiri" w:hAnsi="Amiri" w:eastAsia="Amiri" w:cs="Amiri"/>
          <w:lang w:bidi="ar-SA"/>
          <w:color w:val="111111"/>
          <w:sz w:val="28"/>
          <w:szCs w:val="28"/>
          <w:rtl/>
        </w:rPr>
        <w:t xml:space="preserve">1 .زهرة الرياض و نزهة القلوب</w:t>
      </w:r>
    </w:p>
    <w:p>
      <w:pPr>
        <w:pStyle w:val="BookText"/>
      </w:pPr>
      <w:r>
        <w:rPr>
          <w:rFonts w:ascii="IRNazanin" w:hAnsi="IRNazanin" w:eastAsia="IRNazanin" w:cs="IRNazanin"/>
          <w:lang w:bidi="fa-IR"/>
          <w:color w:val="111111"/>
          <w:sz w:val="28"/>
          <w:szCs w:val="28"/>
          <w:rtl/>
        </w:rPr>
        <w:t xml:space="preserve">المراض، ج 8، ص 621 .</w:t>
      </w:r>
    </w:p>
    <w:p>
      <w:pPr>
        <w:pStyle w:val="BookText"/>
      </w:pPr>
      <w:r>
        <w:rPr>
          <w:rFonts w:ascii="Amiri" w:hAnsi="Amiri" w:eastAsia="Amiri" w:cs="Amiri"/>
          <w:lang w:bidi="ar-SA"/>
          <w:color w:val="111111"/>
          <w:sz w:val="28"/>
          <w:szCs w:val="28"/>
          <w:rtl/>
        </w:rPr>
        <w:t xml:space="preserve">2 .المختصر من خصائص النبي و ما خص الله به دون سائر البشر، ج 14،</w:t>
      </w:r>
    </w:p>
    <w:p>
      <w:pPr>
        <w:pStyle w:val="BookText"/>
      </w:pPr>
      <w:r>
        <w:rPr>
          <w:rFonts w:ascii="IRNazanin" w:hAnsi="IRNazanin" w:eastAsia="IRNazanin" w:cs="IRNazanin"/>
          <w:lang w:bidi="fa-IR"/>
          <w:color w:val="111111"/>
          <w:sz w:val="28"/>
          <w:szCs w:val="28"/>
          <w:rtl/>
        </w:rPr>
        <w:t xml:space="preserve">ص 264 .</w:t>
      </w:r>
    </w:p>
    <w:p>
      <w:pPr>
        <w:pStyle w:val="BookText"/>
      </w:pPr>
      <w:r>
        <w:rPr>
          <w:rFonts w:ascii="Amiri" w:hAnsi="Amiri" w:eastAsia="Amiri" w:cs="Amiri"/>
          <w:lang w:bidi="ar-SA"/>
          <w:color w:val="111111"/>
          <w:sz w:val="28"/>
          <w:szCs w:val="28"/>
          <w:rtl/>
        </w:rPr>
        <w:t xml:space="preserve">سقطي يوسف بن احمد -حاسفطي يوسف بن احمد</w:t>
      </w:r>
    </w:p>
    <w:p>
      <w:pPr>
        <w:pStyle w:val="Heading2"/>
      </w:pPr>
      <w:bookmarkStart w:id="4849" w:name="_Toc3951"/>
      <w:r>
        <w:t>سكاكي ، احمد بن محمّد، قرن 10 ه-</w:t>
      </w:r>
      <w:bookmarkEnd w:id="4849"/>
    </w:p>
    <w:p>
      <w:pPr>
        <w:pStyle w:val="BookText"/>
      </w:pPr>
      <w:r>
        <w:rPr>
          <w:rFonts w:ascii="Amiri" w:hAnsi="Amiri" w:eastAsia="Amiri" w:cs="Amiri"/>
          <w:lang w:bidi="ar-SA"/>
          <w:color w:val="111111"/>
          <w:sz w:val="28"/>
          <w:szCs w:val="28"/>
          <w:rtl/>
        </w:rPr>
        <w:t xml:space="preserve">الدر النظيم في خواص القرآن العظيم</w:t>
      </w:r>
    </w:p>
    <w:p>
      <w:pPr>
        <w:pStyle w:val="BookText"/>
      </w:pPr>
      <w:r>
        <w:rPr>
          <w:rFonts w:ascii="Amiri" w:hAnsi="Amiri" w:eastAsia="Amiri" w:cs="Amiri"/>
          <w:lang w:bidi="ar-SA"/>
          <w:color w:val="111111"/>
          <w:sz w:val="28"/>
          <w:szCs w:val="28"/>
          <w:rtl/>
        </w:rPr>
        <w:t xml:space="preserve">(ترجمه) = اسرار التنزيل = خواص القرآن، ج 7، ص 360.</w:t>
      </w:r>
    </w:p>
    <w:p>
      <w:pPr>
        <w:pStyle w:val="Heading2"/>
      </w:pPr>
      <w:bookmarkStart w:id="4850" w:name="_Toc3952"/>
      <w:r>
        <w:t>سكاكي ، امير محمود</w:t>
      </w:r>
      <w:bookmarkEnd w:id="4850"/>
    </w:p>
    <w:p>
      <w:pPr>
        <w:pStyle w:val="BookText"/>
      </w:pPr>
      <w:r>
        <w:rPr>
          <w:rFonts w:ascii="Amiri" w:hAnsi="Amiri" w:eastAsia="Amiri" w:cs="Amiri"/>
          <w:lang w:bidi="ar-SA"/>
          <w:color w:val="111111"/>
          <w:sz w:val="28"/>
          <w:szCs w:val="28"/>
          <w:rtl/>
        </w:rPr>
        <w:t xml:space="preserve">اهل السنة و الجماعة = اصول المحمود، ج 3، ص 51.</w:t>
      </w:r>
    </w:p>
    <w:p>
      <w:pPr>
        <w:pStyle w:val="Heading2"/>
      </w:pPr>
      <w:bookmarkStart w:id="4851" w:name="_Toc3953"/>
      <w:r>
        <w:t>سكاكي ، محمّد بن سراج الدين قرن 8 ه-</w:t>
      </w:r>
      <w:bookmarkEnd w:id="4851"/>
    </w:p>
    <w:p>
      <w:pPr>
        <w:pStyle w:val="BookText"/>
      </w:pPr>
      <w:r>
        <w:rPr>
          <w:rFonts w:ascii="Amiri" w:hAnsi="Amiri" w:eastAsia="Amiri" w:cs="Amiri"/>
          <w:lang w:bidi="ar-SA"/>
          <w:color w:val="111111"/>
          <w:sz w:val="28"/>
          <w:szCs w:val="28"/>
          <w:rtl/>
        </w:rPr>
        <w:t xml:space="preserve">تسخيرات = تسخير اجنه وكواكب =</w:t>
      </w:r>
    </w:p>
    <w:p>
      <w:pPr>
        <w:pStyle w:val="BookText"/>
      </w:pPr>
      <w:r>
        <w:rPr>
          <w:rFonts w:ascii="Amiri" w:hAnsi="Amiri" w:eastAsia="Amiri" w:cs="Amiri"/>
          <w:lang w:bidi="ar-SA"/>
          <w:color w:val="111111"/>
          <w:sz w:val="28"/>
          <w:szCs w:val="28"/>
          <w:rtl/>
        </w:rPr>
        <w:t xml:space="preserve">شرح دعاي تمخيشا ج4، ص 334.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8" w:name="pg7742_70531"/>
    <w:bookmarkEnd w:id="568"/>
    <w:p>
      <w:pPr>
        <w:pStyle w:val="Heading2"/>
      </w:pPr>
      <w:bookmarkStart w:id="4852" w:name="_Toc3954"/>
      <w:r>
        <w:t>سكاكي ، يوسف بن ابي بكر 555 - 626</w:t>
      </w:r>
      <w:bookmarkEnd w:id="4852"/>
    </w:p>
    <w:p>
      <w:pPr>
        <w:pStyle w:val="BookText"/>
      </w:pPr>
      <w:r>
        <w:rPr>
          <w:rFonts w:ascii="IRNazanin" w:hAnsi="IRNazanin" w:eastAsia="IRNazanin" w:cs="IRNazanin"/>
          <w:lang w:bidi="fa-IR"/>
          <w:color w:val="111111"/>
          <w:sz w:val="28"/>
          <w:szCs w:val="28"/>
          <w:rtl/>
        </w:rPr>
        <w:t xml:space="preserve">مفتاح العلوم، ج 15 ، ص 204.</w:t>
      </w:r>
    </w:p>
    <w:p>
      <w:pPr>
        <w:pStyle w:val="BookText"/>
      </w:pPr>
      <w:r>
        <w:rPr>
          <w:rFonts w:ascii="Amiri" w:hAnsi="Amiri" w:eastAsia="Amiri" w:cs="Amiri"/>
          <w:lang w:bidi="ar-SA"/>
          <w:color w:val="111111"/>
          <w:sz w:val="28"/>
          <w:szCs w:val="28"/>
          <w:rtl/>
        </w:rPr>
        <w:t xml:space="preserve">سكتواري، علي دده بن</w:t>
      </w:r>
    </w:p>
    <w:p>
      <w:pPr>
        <w:pStyle w:val="BookText"/>
      </w:pPr>
      <w:r>
        <w:rPr>
          <w:rFonts w:ascii="Amiri" w:hAnsi="Amiri" w:eastAsia="Amiri" w:cs="Amiri"/>
          <w:lang w:bidi="ar-SA"/>
          <w:color w:val="111111"/>
          <w:sz w:val="28"/>
          <w:szCs w:val="28"/>
          <w:rtl/>
        </w:rPr>
        <w:t xml:space="preserve">مصطفى -موستاري ، علي دده بن مصطفى</w:t>
      </w:r>
    </w:p>
    <w:p>
      <w:pPr>
        <w:pStyle w:val="Heading2"/>
      </w:pPr>
      <w:bookmarkStart w:id="4853" w:name="_Toc3955"/>
      <w:r>
        <w:t>سكري ، علي بن جوهر</w:t>
      </w:r>
      <w:bookmarkEnd w:id="4853"/>
    </w:p>
    <w:p>
      <w:pPr>
        <w:pStyle w:val="BookText"/>
      </w:pPr>
      <w:r>
        <w:rPr>
          <w:rFonts w:ascii="Amiri" w:hAnsi="Amiri" w:eastAsia="Amiri" w:cs="Amiri"/>
          <w:lang w:bidi="ar-SA"/>
          <w:color w:val="111111"/>
          <w:sz w:val="28"/>
          <w:szCs w:val="28"/>
          <w:rtl/>
        </w:rPr>
        <w:t xml:space="preserve">الكوكب السيار إلى قبور الأبرار، ج13،</w:t>
      </w:r>
    </w:p>
    <w:p>
      <w:pPr>
        <w:pStyle w:val="BookText"/>
      </w:pPr>
      <w:r>
        <w:rPr>
          <w:rFonts w:ascii="IRNazanin" w:hAnsi="IRNazanin" w:eastAsia="IRNazanin" w:cs="IRNazanin"/>
          <w:lang w:bidi="fa-IR"/>
          <w:color w:val="111111"/>
          <w:sz w:val="28"/>
          <w:szCs w:val="28"/>
          <w:rtl/>
        </w:rPr>
        <w:t xml:space="preserve">ص 472 .</w:t>
      </w:r>
    </w:p>
    <w:p>
      <w:pPr>
        <w:pStyle w:val="BookText"/>
      </w:pPr>
      <w:r>
        <w:rPr>
          <w:rFonts w:ascii="Amiri" w:hAnsi="Amiri" w:eastAsia="Amiri" w:cs="Amiri"/>
          <w:lang w:bidi="ar-SA"/>
          <w:color w:val="111111"/>
          <w:sz w:val="28"/>
          <w:szCs w:val="28"/>
          <w:rtl/>
        </w:rPr>
        <w:t xml:space="preserve">سكري ، علي بن عمر -كيال ، علي بن عمر سكري</w:t>
      </w:r>
    </w:p>
    <w:p>
      <w:pPr>
        <w:pStyle w:val="BookText"/>
      </w:pPr>
      <w:r>
        <w:rPr>
          <w:rFonts w:ascii="Amiri" w:hAnsi="Amiri" w:eastAsia="Amiri" w:cs="Amiri"/>
          <w:lang w:bidi="ar-SA"/>
          <w:color w:val="111111"/>
          <w:sz w:val="28"/>
          <w:szCs w:val="28"/>
          <w:rtl/>
        </w:rPr>
        <w:t xml:space="preserve">، محمّد بن جمال الدين- شرواني ،</w:t>
      </w:r>
    </w:p>
    <w:p>
      <w:pPr>
        <w:pStyle w:val="BookText"/>
      </w:pPr>
      <w:r>
        <w:rPr>
          <w:rFonts w:ascii="Amiri" w:hAnsi="Amiri" w:eastAsia="Amiri" w:cs="Amiri"/>
          <w:lang w:bidi="ar-SA"/>
          <w:color w:val="111111"/>
          <w:sz w:val="28"/>
          <w:szCs w:val="28"/>
          <w:rtl/>
        </w:rPr>
        <w:t xml:space="preserve">محمّد بن جمال الدين</w:t>
      </w:r>
    </w:p>
    <w:p>
      <w:pPr>
        <w:pStyle w:val="BookText"/>
      </w:pPr>
      <w:r>
        <w:rPr>
          <w:rFonts w:ascii="Amiri" w:hAnsi="Amiri" w:eastAsia="Amiri" w:cs="Amiri"/>
          <w:lang w:bidi="ar-SA"/>
          <w:color w:val="111111"/>
          <w:sz w:val="28"/>
          <w:szCs w:val="28"/>
          <w:rtl/>
        </w:rPr>
        <w:t xml:space="preserve">سكري ، مصطفى -صديقي سكري ،</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سكزي ، محمّد بن طاهر -سجستاني ، محمّد بن طاهر</w:t>
      </w:r>
    </w:p>
    <w:p>
      <w:pPr>
        <w:pStyle w:val="BookText"/>
      </w:pPr>
      <w:r>
        <w:rPr>
          <w:rFonts w:ascii="Amiri" w:hAnsi="Amiri" w:eastAsia="Amiri" w:cs="Amiri"/>
          <w:lang w:bidi="ar-SA"/>
          <w:color w:val="111111"/>
          <w:sz w:val="28"/>
          <w:szCs w:val="28"/>
          <w:rtl/>
        </w:rPr>
        <w:t xml:space="preserve">سكندري ، عبد الكريم بن محمّد- دري ،</w:t>
      </w:r>
    </w:p>
    <w:p>
      <w:pPr>
        <w:pStyle w:val="BookText"/>
      </w:pPr>
      <w:r>
        <w:rPr>
          <w:rFonts w:ascii="Amiri" w:hAnsi="Amiri" w:eastAsia="Amiri" w:cs="Amiri"/>
          <w:lang w:bidi="ar-SA"/>
          <w:color w:val="111111"/>
          <w:sz w:val="28"/>
          <w:szCs w:val="28"/>
          <w:rtl/>
        </w:rPr>
        <w:t xml:space="preserve">عبدالكريم بن محمّد</w:t>
      </w:r>
    </w:p>
    <w:p>
      <w:pPr>
        <w:pStyle w:val="Heading2"/>
      </w:pPr>
      <w:bookmarkStart w:id="4854" w:name="_Toc3956"/>
      <w:r>
        <w:t>سكوتي زاده، محمّد شريف بن ابراهيم</w:t>
      </w:r>
      <w:bookmarkEnd w:id="4854"/>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ثبت سكوتي زاده، ج5، ص212</w:t>
      </w:r>
    </w:p>
    <w:p>
      <w:pPr>
        <w:pStyle w:val="Heading2"/>
      </w:pPr>
      <w:bookmarkStart w:id="4855" w:name="_Toc3957"/>
      <w:r>
        <w:t>سكوني ، عمر بن محمّد - 717 ه-</w:t>
      </w:r>
      <w:bookmarkEnd w:id="4855"/>
    </w:p>
    <w:p>
      <w:pPr>
        <w:pStyle w:val="BookText"/>
      </w:pPr>
      <w:r>
        <w:rPr>
          <w:rFonts w:ascii="Amiri" w:hAnsi="Amiri" w:eastAsia="Amiri" w:cs="Amiri"/>
          <w:lang w:bidi="ar-SA"/>
          <w:color w:val="111111"/>
          <w:sz w:val="28"/>
          <w:szCs w:val="28"/>
          <w:rtl/>
        </w:rPr>
        <w:t xml:space="preserve">الرد لما اودعه الزمخشري في الاعتزال</w:t>
      </w:r>
    </w:p>
    <w:p>
      <w:pPr>
        <w:pStyle w:val="BookText"/>
      </w:pPr>
      <w:r>
        <w:rPr>
          <w:rFonts w:ascii="Amiri" w:hAnsi="Amiri" w:eastAsia="Amiri" w:cs="Amiri"/>
          <w:lang w:bidi="ar-SA"/>
          <w:color w:val="111111"/>
          <w:sz w:val="28"/>
          <w:szCs w:val="28"/>
          <w:rtl/>
        </w:rPr>
        <w:t xml:space="preserve">في الكشاف، ج8، ص110.</w:t>
      </w:r>
    </w:p>
    <w:p>
      <w:pPr>
        <w:pStyle w:val="BookText"/>
      </w:pPr>
      <w:r>
        <w:rPr>
          <w:rFonts w:ascii="IRNazanin" w:hAnsi="IRNazanin" w:eastAsia="IRNazanin" w:cs="IRNazanin"/>
          <w:lang w:bidi="fa-IR"/>
          <w:color w:val="111111"/>
          <w:sz w:val="28"/>
          <w:szCs w:val="28"/>
          <w:rtl/>
        </w:rPr>
        <w:t xml:space="preserve">سگزي ، ابويعقوب اسحاق بن احمد ا-بويعقوب سجستاني ، اسحاق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4856" w:name="_Toc3958"/>
      <w:r>
        <w:t>سكزي ، محمود بن طاهر، قرن 6 ه-</w:t>
      </w:r>
      <w:bookmarkEnd w:id="4856"/>
    </w:p>
    <w:p>
      <w:pPr>
        <w:pStyle w:val="BookText"/>
      </w:pPr>
      <w:r>
        <w:rPr>
          <w:rFonts w:ascii="Amiri" w:hAnsi="Amiri" w:eastAsia="Amiri" w:cs="Amiri"/>
          <w:lang w:bidi="ar-SA"/>
          <w:color w:val="111111"/>
          <w:sz w:val="28"/>
          <w:szCs w:val="28"/>
          <w:rtl/>
        </w:rPr>
        <w:t xml:space="preserve">شرح مقامات الحريري، ج 10، ص 176.</w:t>
      </w:r>
    </w:p>
    <w:p>
      <w:pPr>
        <w:pStyle w:val="BookText"/>
      </w:pPr>
      <w:r>
        <w:rPr>
          <w:rFonts w:ascii="IRNazanin" w:hAnsi="IRNazanin" w:eastAsia="IRNazanin" w:cs="IRNazanin"/>
          <w:lang w:bidi="fa-IR"/>
          <w:color w:val="111111"/>
          <w:sz w:val="28"/>
          <w:szCs w:val="28"/>
          <w:rtl/>
        </w:rPr>
        <w:t xml:space="preserve">سلار الديلمي ، حمزه بن عبدالعزیز -سلار</w:t>
      </w:r>
    </w:p>
    <w:p>
      <w:pPr>
        <w:pStyle w:val="BookText"/>
      </w:pPr>
      <w:r>
        <w:rPr>
          <w:rFonts w:ascii="Amiri" w:hAnsi="Amiri" w:eastAsia="Amiri" w:cs="Amiri"/>
          <w:lang w:bidi="ar-SA"/>
          <w:color w:val="111111"/>
          <w:sz w:val="28"/>
          <w:szCs w:val="28"/>
          <w:rtl/>
        </w:rPr>
        <w:t xml:space="preserve">ديلمي ، حمزه بن عبدالعزيز</w:t>
      </w:r>
    </w:p>
    <w:p>
      <w:pPr>
        <w:pStyle w:val="BookText"/>
      </w:pPr>
      <w:r>
        <w:rPr>
          <w:rFonts w:ascii="Amiri" w:hAnsi="Amiri" w:eastAsia="Amiri" w:cs="Amiri"/>
          <w:lang w:bidi="ar-SA"/>
          <w:color w:val="111111"/>
          <w:sz w:val="28"/>
          <w:szCs w:val="28"/>
          <w:rtl/>
        </w:rPr>
        <w:t xml:space="preserve">سلار ، حمزه بن عبدالعزيز- سلار ديلمي</w:t>
      </w:r>
    </w:p>
    <w:p>
      <w:pPr>
        <w:pStyle w:val="BookText"/>
      </w:pPr>
      <w:r>
        <w:rPr>
          <w:rFonts w:ascii="Amiri" w:hAnsi="Amiri" w:eastAsia="Amiri" w:cs="Amiri"/>
          <w:lang w:bidi="ar-SA"/>
          <w:color w:val="111111"/>
          <w:sz w:val="28"/>
          <w:szCs w:val="28"/>
          <w:rtl/>
        </w:rPr>
        <w:t xml:space="preserve">حمزه بن عبدالعزيز</w:t>
      </w:r>
    </w:p>
    <w:p>
      <w:pPr>
        <w:pStyle w:val="BookText"/>
      </w:pPr>
      <w:r>
        <w:rPr>
          <w:rFonts w:ascii="Amiri" w:hAnsi="Amiri" w:eastAsia="Amiri" w:cs="Amiri"/>
          <w:lang w:bidi="ar-SA"/>
          <w:color w:val="111111"/>
          <w:sz w:val="28"/>
          <w:szCs w:val="28"/>
          <w:rtl/>
        </w:rPr>
        <w:t xml:space="preserve">سلار ديلمي ، ابويعلي حمزه بن عبد العزيز- سلار ديلمي ، حمزه بن</w:t>
      </w:r>
    </w:p>
    <w:p>
      <w:pPr>
        <w:pStyle w:val="BookText"/>
      </w:pPr>
      <w:r>
        <w:rPr>
          <w:rFonts w:ascii="Amiri" w:hAnsi="Amiri" w:eastAsia="Amiri" w:cs="Amiri"/>
          <w:lang w:bidi="ar-SA"/>
          <w:color w:val="111111"/>
          <w:sz w:val="28"/>
          <w:szCs w:val="28"/>
          <w:rtl/>
        </w:rPr>
        <w:t xml:space="preserve">عبدالعزيز</w:t>
      </w:r>
    </w:p>
    <w:p>
      <w:pPr>
        <w:pStyle w:val="Heading2"/>
      </w:pPr>
      <w:bookmarkStart w:id="4857" w:name="_Toc3959"/>
      <w:r>
        <w:t>سلار ديلمي ، حمزه بن عبدالعزيز 4463 ه-</w:t>
      </w:r>
      <w:bookmarkEnd w:id="4857"/>
    </w:p>
    <w:p>
      <w:pPr>
        <w:pStyle w:val="BookText"/>
      </w:pPr>
      <w:r>
        <w:rPr>
          <w:rFonts w:ascii="Amiri" w:hAnsi="Amiri" w:eastAsia="Amiri" w:cs="Amiri"/>
          <w:lang w:bidi="ar-SA"/>
          <w:color w:val="111111"/>
          <w:sz w:val="28"/>
          <w:szCs w:val="28"/>
          <w:rtl/>
        </w:rPr>
        <w:t xml:space="preserve">المراسم العلوية في الاحكام النبوية</w:t>
      </w:r>
    </w:p>
    <w:p>
      <w:pPr>
        <w:pStyle w:val="BookText"/>
      </w:pPr>
      <w:r>
        <w:rPr>
          <w:rFonts w:ascii="IRNazanin" w:hAnsi="IRNazanin" w:eastAsia="IRNazanin" w:cs="IRNazanin"/>
          <w:lang w:bidi="fa-IR"/>
          <w:color w:val="111111"/>
          <w:sz w:val="28"/>
          <w:szCs w:val="28"/>
          <w:rtl/>
        </w:rPr>
        <w:t xml:space="preserve">مراسم سلار، ج 14، ص 384.</w:t>
      </w:r>
    </w:p>
    <w:p>
      <w:pPr>
        <w:pStyle w:val="BookText"/>
      </w:pPr>
      <w:r>
        <w:rPr>
          <w:rFonts w:ascii="Amiri" w:hAnsi="Amiri" w:eastAsia="Amiri" w:cs="Amiri"/>
          <w:lang w:bidi="ar-SA"/>
          <w:color w:val="111111"/>
          <w:sz w:val="28"/>
          <w:szCs w:val="28"/>
          <w:rtl/>
        </w:rPr>
        <w:t xml:space="preserve">سلام بن ابي عمرة الخراساني الكوفي -خراساني كوفي ، سلام بن ابي عمره</w:t>
      </w:r>
    </w:p>
    <w:p>
      <w:pPr>
        <w:pStyle w:val="BookText"/>
      </w:pPr>
      <w:r>
        <w:rPr>
          <w:rFonts w:ascii="Amiri" w:hAnsi="Amiri" w:eastAsia="Amiri" w:cs="Amiri"/>
          <w:lang w:bidi="ar-SA"/>
          <w:color w:val="111111"/>
          <w:sz w:val="28"/>
          <w:szCs w:val="28"/>
          <w:rtl/>
        </w:rPr>
        <w:t xml:space="preserve">سلامي ، ابوالمعالي محمّد- سلامي ، محمّد بن رافع</w:t>
      </w:r>
    </w:p>
    <w:p>
      <w:pPr>
        <w:pStyle w:val="BookText"/>
      </w:pPr>
      <w:r>
        <w:rPr>
          <w:rFonts w:ascii="Amiri" w:hAnsi="Amiri" w:eastAsia="Amiri" w:cs="Amiri"/>
          <w:lang w:bidi="ar-SA"/>
          <w:color w:val="111111"/>
          <w:sz w:val="28"/>
          <w:szCs w:val="28"/>
          <w:rtl/>
        </w:rPr>
        <w:t xml:space="preserve">بن رافع سلامي ، تقي الدين محمّد -سلامي</w:t>
      </w:r>
    </w:p>
    <w:p>
      <w:pPr>
        <w:pStyle w:val="BookText"/>
      </w:pPr>
      <w:r>
        <w:rPr>
          <w:rFonts w:ascii="IRNazanin" w:hAnsi="IRNazanin" w:eastAsia="IRNazanin" w:cs="IRNazanin"/>
          <w:lang w:bidi="fa-IR"/>
          <w:color w:val="111111"/>
          <w:sz w:val="28"/>
          <w:szCs w:val="28"/>
          <w:rtl/>
        </w:rPr>
        <w:t xml:space="preserve">محمّد بن رافع</w:t>
      </w:r>
    </w:p>
    <w:p>
      <w:pPr>
        <w:pStyle w:val="BookText"/>
      </w:pPr>
      <w:r>
        <w:rPr>
          <w:rFonts w:ascii="Amiri" w:hAnsi="Amiri" w:eastAsia="Amiri" w:cs="Amiri"/>
          <w:lang w:bidi="ar-SA"/>
          <w:color w:val="111111"/>
          <w:sz w:val="28"/>
          <w:szCs w:val="28"/>
          <w:rtl/>
        </w:rPr>
        <w:t xml:space="preserve">سلامي ، عبدالرحمن بن احمد- ابن رجب ، عبدالرحمن بن احمد</w:t>
      </w:r>
    </w:p>
    <w:p>
      <w:pPr>
        <w:pStyle w:val="Heading2"/>
      </w:pPr>
      <w:bookmarkStart w:id="4858" w:name="_Toc3960"/>
      <w:r>
        <w:t>سلامي ، محمّد بن ابراهیم 811 - 879</w:t>
      </w:r>
      <w:bookmarkEnd w:id="4858"/>
    </w:p>
    <w:p>
      <w:pPr>
        <w:pStyle w:val="BookText"/>
      </w:pPr>
      <w:r>
        <w:rPr>
          <w:rFonts w:ascii="Amiri" w:hAnsi="Amiri" w:eastAsia="Amiri" w:cs="Amiri"/>
          <w:lang w:bidi="ar-SA"/>
          <w:color w:val="111111"/>
          <w:sz w:val="28"/>
          <w:szCs w:val="28"/>
          <w:rtl/>
        </w:rPr>
        <w:t xml:space="preserve">الأنوار الالهية في شرح فرائض الرحبية</w:t>
      </w:r>
    </w:p>
    <w:p>
      <w:pPr>
        <w:pStyle w:val="BookText"/>
      </w:pPr>
      <w:r>
        <w:rPr>
          <w:rFonts w:ascii="IRNazanin" w:hAnsi="IRNazanin" w:eastAsia="IRNazanin" w:cs="IRNazanin"/>
          <w:lang w:bidi="fa-IR"/>
          <w:color w:val="111111"/>
          <w:sz w:val="28"/>
          <w:szCs w:val="28"/>
          <w:rtl/>
        </w:rPr>
        <w:t xml:space="preserve">ج 2، ص 841.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69" w:name="pg7742_70533"/>
    <w:bookmarkEnd w:id="569"/>
    <w:p>
      <w:pPr>
        <w:pStyle w:val="Heading2"/>
      </w:pPr>
      <w:bookmarkStart w:id="4859" w:name="_Toc3961"/>
      <w:r>
        <w:t>سلامي ، محمّد بن رافع، 704 - 774 ه-</w:t>
      </w:r>
      <w:bookmarkEnd w:id="4859"/>
    </w:p>
    <w:p>
      <w:pPr>
        <w:pStyle w:val="BookText"/>
      </w:pPr>
      <w:r>
        <w:rPr>
          <w:rFonts w:ascii="IRNazanin" w:hAnsi="IRNazanin" w:eastAsia="IRNazanin" w:cs="IRNazanin"/>
          <w:lang w:bidi="fa-IR"/>
          <w:color w:val="111111"/>
          <w:sz w:val="28"/>
          <w:szCs w:val="28"/>
          <w:rtl/>
        </w:rPr>
        <w:t xml:space="preserve">1 .منتخب المختار ج 15، ص 614.</w:t>
      </w:r>
    </w:p>
    <w:p>
      <w:pPr>
        <w:pStyle w:val="BookText"/>
      </w:pPr>
      <w:r>
        <w:rPr>
          <w:rFonts w:ascii="Amiri" w:hAnsi="Amiri" w:eastAsia="Amiri" w:cs="Amiri"/>
          <w:lang w:bidi="ar-SA"/>
          <w:color w:val="111111"/>
          <w:sz w:val="28"/>
          <w:szCs w:val="28"/>
          <w:rtl/>
        </w:rPr>
        <w:t xml:space="preserve">2 .الوفيات «ذيل على تاريخ البرزالي»</w:t>
      </w:r>
    </w:p>
    <w:p>
      <w:pPr>
        <w:pStyle w:val="BookText"/>
      </w:pPr>
      <w:r>
        <w:rPr>
          <w:rFonts w:ascii="IRNazanin" w:hAnsi="IRNazanin" w:eastAsia="IRNazanin" w:cs="IRNazanin"/>
          <w:lang w:bidi="fa-IR"/>
          <w:color w:val="111111"/>
          <w:sz w:val="28"/>
          <w:szCs w:val="28"/>
          <w:rtl/>
        </w:rPr>
        <w:t xml:space="preserve">ج 16، ص 857.</w:t>
      </w:r>
    </w:p>
    <w:p>
      <w:pPr>
        <w:pStyle w:val="Heading2"/>
      </w:pPr>
      <w:bookmarkStart w:id="4860" w:name="_Toc3962"/>
      <w:r>
        <w:t>سلامي، محمّد بن ناصر، 467 - 550 ه-</w:t>
      </w:r>
      <w:bookmarkEnd w:id="4860"/>
    </w:p>
    <w:p>
      <w:pPr>
        <w:pStyle w:val="BookText"/>
      </w:pPr>
      <w:r>
        <w:rPr>
          <w:rFonts w:ascii="Amiri" w:hAnsi="Amiri" w:eastAsia="Amiri" w:cs="Amiri"/>
          <w:lang w:bidi="ar-SA"/>
          <w:color w:val="111111"/>
          <w:sz w:val="28"/>
          <w:szCs w:val="28"/>
          <w:rtl/>
        </w:rPr>
        <w:t xml:space="preserve">التنبيه على الفاظ الغريبين، ج 5، ص 29.</w:t>
      </w:r>
    </w:p>
    <w:p>
      <w:pPr>
        <w:pStyle w:val="BookText"/>
      </w:pPr>
      <w:r>
        <w:rPr>
          <w:rFonts w:ascii="Amiri" w:hAnsi="Amiri" w:eastAsia="Amiri" w:cs="Amiri"/>
          <w:lang w:bidi="ar-SA"/>
          <w:color w:val="111111"/>
          <w:sz w:val="28"/>
          <w:szCs w:val="28"/>
          <w:rtl/>
        </w:rPr>
        <w:t xml:space="preserve">سلانيكي ، احمد بن لطف الله- منجم</w:t>
      </w:r>
    </w:p>
    <w:p>
      <w:pPr>
        <w:pStyle w:val="BookText"/>
      </w:pPr>
      <w:r>
        <w:rPr>
          <w:rFonts w:ascii="IRNazanin" w:hAnsi="IRNazanin" w:eastAsia="IRNazanin" w:cs="IRNazanin"/>
          <w:lang w:bidi="fa-IR"/>
          <w:color w:val="111111"/>
          <w:sz w:val="28"/>
          <w:szCs w:val="28"/>
          <w:rtl/>
        </w:rPr>
        <w:t xml:space="preserve">، احمد بن لطف الله</w:t>
      </w:r>
    </w:p>
    <w:p>
      <w:pPr>
        <w:pStyle w:val="BookText"/>
      </w:pPr>
      <w:r>
        <w:rPr>
          <w:rFonts w:ascii="Amiri" w:hAnsi="Amiri" w:eastAsia="Amiri" w:cs="Amiri"/>
          <w:lang w:bidi="ar-SA"/>
          <w:color w:val="111111"/>
          <w:sz w:val="28"/>
          <w:szCs w:val="28"/>
          <w:rtl/>
        </w:rPr>
        <w:t xml:space="preserve">باشي</w:t>
      </w:r>
    </w:p>
    <w:p>
      <w:pPr>
        <w:pStyle w:val="BookText"/>
      </w:pPr>
      <w:r>
        <w:rPr>
          <w:rFonts w:ascii="Amiri" w:hAnsi="Amiri" w:eastAsia="Amiri" w:cs="Amiri"/>
          <w:lang w:bidi="ar-SA"/>
          <w:color w:val="111111"/>
          <w:sz w:val="28"/>
          <w:szCs w:val="28"/>
          <w:rtl/>
        </w:rPr>
        <w:t xml:space="preserve">سلانيكي ، علي بن عبدالله -عرفي ، علي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سلطان آبادي ، محمّد حسین بن محمّد مهدي -كرهرودي، محمّد حسین بن محمّد</w:t>
      </w:r>
    </w:p>
    <w:p>
      <w:pPr>
        <w:pStyle w:val="BookText"/>
      </w:pPr>
      <w:r>
        <w:rPr>
          <w:rFonts w:ascii="Amiri" w:hAnsi="Amiri" w:eastAsia="Amiri" w:cs="Amiri"/>
          <w:lang w:bidi="ar-SA"/>
          <w:color w:val="111111"/>
          <w:sz w:val="28"/>
          <w:szCs w:val="28"/>
          <w:rtl/>
        </w:rPr>
        <w:t xml:space="preserve">مهدي</w:t>
      </w:r>
    </w:p>
    <w:p>
      <w:pPr>
        <w:pStyle w:val="BookText"/>
      </w:pPr>
      <w:r>
        <w:rPr>
          <w:rFonts w:ascii="Amiri" w:hAnsi="Amiri" w:eastAsia="Amiri" w:cs="Amiri"/>
          <w:lang w:bidi="ar-SA"/>
          <w:color w:val="111111"/>
          <w:sz w:val="28"/>
          <w:szCs w:val="28"/>
          <w:rtl/>
        </w:rPr>
        <w:t xml:space="preserve">سلطان آبادي ، ملاعلي- روزدري ، علي</w:t>
      </w:r>
    </w:p>
    <w:p>
      <w:pPr>
        <w:pStyle w:val="Heading2"/>
      </w:pPr>
      <w:bookmarkStart w:id="4861" w:name="_Toc3963"/>
      <w:r>
        <w:t>سلطان الشعراء ، محمود بن محمّد 933 - 1008ه-</w:t>
      </w:r>
      <w:bookmarkEnd w:id="4861"/>
    </w:p>
    <w:p>
      <w:pPr>
        <w:pStyle w:val="BookText"/>
      </w:pPr>
      <w:r>
        <w:rPr>
          <w:rFonts w:ascii="IRNazanin" w:hAnsi="IRNazanin" w:eastAsia="IRNazanin" w:cs="IRNazanin"/>
          <w:lang w:bidi="fa-IR"/>
          <w:color w:val="111111"/>
          <w:sz w:val="28"/>
          <w:szCs w:val="28"/>
          <w:rtl/>
        </w:rPr>
        <w:t xml:space="preserve">دیوان باقي، ج7، ص 584.</w:t>
      </w:r>
    </w:p>
    <w:p>
      <w:pPr>
        <w:pStyle w:val="Heading2"/>
      </w:pPr>
      <w:bookmarkStart w:id="4862" w:name="_Toc3964"/>
      <w:r>
        <w:t>سلطان العلماء ، حسين بن محمّد 1001</w:t>
      </w:r>
      <w:bookmarkEnd w:id="486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1064ه-</w:t>
      </w:r>
    </w:p>
    <w:p>
      <w:pPr>
        <w:pStyle w:val="BookText"/>
      </w:pPr>
      <w:r>
        <w:rPr>
          <w:rFonts w:ascii="Amiri" w:hAnsi="Amiri" w:eastAsia="Amiri" w:cs="Amiri"/>
          <w:lang w:bidi="ar-SA"/>
          <w:color w:val="111111"/>
          <w:sz w:val="28"/>
          <w:szCs w:val="28"/>
          <w:rtl/>
        </w:rPr>
        <w:t xml:space="preserve">1 .توضيح الاخلاق = شرح اخلاق ناصري - تصفيه اخلاق ناصري ج 5، ص 167.</w:t>
      </w:r>
    </w:p>
    <w:p>
      <w:pPr>
        <w:pStyle w:val="BookText"/>
      </w:pPr>
      <w:r>
        <w:rPr>
          <w:rFonts w:ascii="Amiri" w:hAnsi="Amiri" w:eastAsia="Amiri" w:cs="Amiri"/>
          <w:lang w:bidi="ar-SA"/>
          <w:color w:val="111111"/>
          <w:sz w:val="28"/>
          <w:szCs w:val="28"/>
          <w:rtl/>
        </w:rPr>
        <w:t xml:space="preserve">2.حاشية الروضة البهية في شرح اللمعة الدمشقية، ج 5، ص 876.</w:t>
      </w:r>
    </w:p>
    <w:p>
      <w:pPr>
        <w:pStyle w:val="BookText"/>
      </w:pPr>
      <w:r>
        <w:rPr>
          <w:rFonts w:ascii="Amiri" w:hAnsi="Amiri" w:eastAsia="Amiri" w:cs="Amiri"/>
          <w:lang w:bidi="ar-SA"/>
          <w:color w:val="111111"/>
          <w:sz w:val="28"/>
          <w:szCs w:val="28"/>
          <w:rtl/>
        </w:rPr>
        <w:t xml:space="preserve">3 .حاشية حاشية الخفري على شرح</w:t>
      </w:r>
    </w:p>
    <w:p>
      <w:pPr>
        <w:pStyle w:val="BookText"/>
      </w:pPr>
      <w:r>
        <w:rPr>
          <w:rFonts w:ascii="Amiri" w:hAnsi="Amiri" w:eastAsia="Amiri" w:cs="Amiri"/>
          <w:lang w:bidi="ar-SA"/>
          <w:color w:val="111111"/>
          <w:sz w:val="28"/>
          <w:szCs w:val="28"/>
          <w:rtl/>
        </w:rPr>
        <w:t xml:space="preserve">التجريد = حاشية حاشية شرح</w:t>
      </w:r>
    </w:p>
    <w:p>
      <w:pPr>
        <w:pStyle w:val="BookText"/>
      </w:pPr>
      <w:r>
        <w:rPr>
          <w:rFonts w:ascii="Amiri" w:hAnsi="Amiri" w:eastAsia="Amiri" w:cs="Amiri"/>
          <w:lang w:bidi="ar-SA"/>
          <w:color w:val="111111"/>
          <w:sz w:val="28"/>
          <w:szCs w:val="28"/>
          <w:rtl/>
        </w:rPr>
        <w:t xml:space="preserve">تجريد العقائد، ج 5، ص 796 .</w:t>
      </w:r>
    </w:p>
    <w:p>
      <w:pPr>
        <w:pStyle w:val="BookText"/>
      </w:pPr>
      <w:r>
        <w:rPr>
          <w:rFonts w:ascii="Amiri" w:hAnsi="Amiri" w:eastAsia="Amiri" w:cs="Amiri"/>
          <w:lang w:bidi="ar-SA"/>
          <w:color w:val="111111"/>
          <w:sz w:val="28"/>
          <w:szCs w:val="28"/>
          <w:rtl/>
        </w:rPr>
        <w:t xml:space="preserve">4 .حاشية شرح العضدي على مختصر</w:t>
      </w:r>
    </w:p>
    <w:p>
      <w:pPr>
        <w:pStyle w:val="BookText"/>
      </w:pPr>
      <w:r>
        <w:rPr>
          <w:rFonts w:ascii="Amiri" w:hAnsi="Amiri" w:eastAsia="Amiri" w:cs="Amiri"/>
          <w:lang w:bidi="ar-SA"/>
          <w:color w:val="111111"/>
          <w:sz w:val="28"/>
          <w:szCs w:val="28"/>
          <w:rtl/>
        </w:rPr>
        <w:t xml:space="preserve">المنتهي، ج 6، ص 134.</w:t>
      </w:r>
    </w:p>
    <w:p>
      <w:pPr>
        <w:pStyle w:val="BookText"/>
      </w:pPr>
      <w:r>
        <w:rPr>
          <w:rFonts w:ascii="Amiri" w:hAnsi="Amiri" w:eastAsia="Amiri" w:cs="Amiri"/>
          <w:lang w:bidi="ar-SA"/>
          <w:color w:val="111111"/>
          <w:sz w:val="28"/>
          <w:szCs w:val="28"/>
          <w:rtl/>
        </w:rPr>
        <w:t xml:space="preserve">5 .حاشية معالم الاصول = حاشية</w:t>
      </w:r>
    </w:p>
    <w:p>
      <w:pPr>
        <w:pStyle w:val="BookText"/>
      </w:pPr>
      <w:r>
        <w:rPr>
          <w:rFonts w:ascii="IRNazanin" w:hAnsi="IRNazanin" w:eastAsia="IRNazanin" w:cs="IRNazanin"/>
          <w:lang w:bidi="fa-IR"/>
          <w:color w:val="111111"/>
          <w:sz w:val="28"/>
          <w:szCs w:val="28"/>
          <w:rtl/>
        </w:rPr>
        <w:t xml:space="preserve">المعالم، ج1، ص391.</w:t>
      </w:r>
    </w:p>
    <w:p>
      <w:pPr>
        <w:pStyle w:val="BookText"/>
      </w:pPr>
      <w:r>
        <w:rPr>
          <w:rFonts w:ascii="Amiri" w:hAnsi="Amiri" w:eastAsia="Amiri" w:cs="Amiri"/>
          <w:lang w:bidi="ar-SA"/>
          <w:color w:val="111111"/>
          <w:sz w:val="28"/>
          <w:szCs w:val="28"/>
          <w:rtl/>
        </w:rPr>
        <w:t xml:space="preserve">6 .الرجل (رسالة في)، ج8، ص 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اصول الكافي، ج 9، ص207.</w:t>
      </w:r>
    </w:p>
    <w:p>
      <w:pPr>
        <w:pStyle w:val="Heading2"/>
      </w:pPr>
      <w:bookmarkStart w:id="4863" w:name="_Toc3965"/>
      <w:r>
        <w:t>سلطان العلماء ، محمّد بن دلدار علي</w:t>
      </w:r>
      <w:bookmarkEnd w:id="4863"/>
    </w:p>
    <w:p>
      <w:pPr>
        <w:pStyle w:val="BookText"/>
      </w:pPr>
      <w:r>
        <w:rPr>
          <w:rFonts w:ascii="IRNazanin" w:hAnsi="IRNazanin" w:eastAsia="IRNazanin" w:cs="IRNazanin"/>
          <w:lang w:bidi="fa-IR"/>
          <w:color w:val="111111"/>
          <w:sz w:val="28"/>
          <w:szCs w:val="28"/>
          <w:rtl/>
        </w:rPr>
        <w:t xml:space="preserve">1199 - 1284 ه-</w:t>
      </w:r>
    </w:p>
    <w:p>
      <w:pPr>
        <w:pStyle w:val="BookText"/>
      </w:pPr>
      <w:r>
        <w:rPr>
          <w:rFonts w:ascii="Amiri" w:hAnsi="Amiri" w:eastAsia="Amiri" w:cs="Amiri"/>
          <w:lang w:bidi="ar-SA"/>
          <w:color w:val="111111"/>
          <w:sz w:val="28"/>
          <w:szCs w:val="28"/>
          <w:rtl/>
        </w:rPr>
        <w:t xml:space="preserve">1 .السبع المثاني، ج8، ص700.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السيف الماسح ، ج 9، ص 41 .</w:t>
      </w:r>
    </w:p>
    <w:p>
      <w:pPr>
        <w:pStyle w:val="Heading2"/>
      </w:pPr>
      <w:bookmarkStart w:id="4864" w:name="_Toc3966"/>
      <w:r>
        <w:t>سلطان العلما اصفهاني ، ميرزا حسن</w:t>
      </w:r>
      <w:bookmarkEnd w:id="4864"/>
    </w:p>
    <w:p>
      <w:pPr>
        <w:pStyle w:val="BookText"/>
      </w:pPr>
      <w:r>
        <w:rPr>
          <w:rFonts w:ascii="IRNazanin" w:hAnsi="IRNazanin" w:eastAsia="IRNazanin" w:cs="IRNazanin"/>
          <w:lang w:bidi="fa-IR"/>
          <w:color w:val="111111"/>
          <w:sz w:val="28"/>
          <w:szCs w:val="28"/>
          <w:rtl/>
        </w:rPr>
        <w:t xml:space="preserve">درة الخاقان در تفسیر قرآن، ج7،</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Amiri" w:hAnsi="Amiri" w:eastAsia="Amiri" w:cs="Amiri"/>
          <w:lang w:bidi="ar-SA"/>
          <w:color w:val="111111"/>
          <w:sz w:val="28"/>
          <w:szCs w:val="28"/>
          <w:rtl/>
        </w:rPr>
        <w:t xml:space="preserve">سلطان بن احمد بن سلامة المزاحي- مزاحي ، سلطان بن احمد</w:t>
      </w:r>
    </w:p>
    <w:p>
      <w:pPr>
        <w:pStyle w:val="BookText"/>
      </w:pPr>
      <w:r>
        <w:rPr>
          <w:rFonts w:ascii="Amiri" w:hAnsi="Amiri" w:eastAsia="Amiri" w:cs="Amiri"/>
          <w:lang w:bidi="ar-SA"/>
          <w:color w:val="111111"/>
          <w:sz w:val="28"/>
          <w:szCs w:val="28"/>
          <w:rtl/>
        </w:rPr>
        <w:t xml:space="preserve">سلطان بن حسن موصلي- موصلي</w:t>
      </w:r>
    </w:p>
    <w:p>
      <w:pPr>
        <w:pStyle w:val="BookText"/>
      </w:pPr>
      <w:r>
        <w:rPr>
          <w:rFonts w:ascii="IRNazanin" w:hAnsi="IRNazanin" w:eastAsia="IRNazanin" w:cs="IRNazanin"/>
          <w:lang w:bidi="fa-IR"/>
          <w:color w:val="111111"/>
          <w:sz w:val="28"/>
          <w:szCs w:val="28"/>
          <w:rtl/>
        </w:rPr>
        <w:t xml:space="preserve">سلطان بن حسن</w:t>
      </w:r>
    </w:p>
    <w:p>
      <w:pPr>
        <w:pStyle w:val="BookText"/>
      </w:pPr>
      <w:r>
        <w:rPr>
          <w:rFonts w:ascii="Amiri" w:hAnsi="Amiri" w:eastAsia="Amiri" w:cs="Amiri"/>
          <w:lang w:bidi="ar-SA"/>
          <w:color w:val="111111"/>
          <w:sz w:val="28"/>
          <w:szCs w:val="28"/>
          <w:rtl/>
        </w:rPr>
        <w:t xml:space="preserve">سلطان بن ناصر بن احمد جيودي</w:t>
      </w:r>
    </w:p>
    <w:p>
      <w:pPr>
        <w:pStyle w:val="BookText"/>
      </w:pPr>
      <w:r>
        <w:rPr>
          <w:rFonts w:ascii="Amiri" w:hAnsi="Amiri" w:eastAsia="Amiri" w:cs="Amiri"/>
          <w:lang w:bidi="ar-SA"/>
          <w:color w:val="111111"/>
          <w:sz w:val="28"/>
          <w:szCs w:val="28"/>
          <w:rtl/>
        </w:rPr>
        <w:t xml:space="preserve">شافعي- جبوري ، سلطان بن ناصر</w:t>
      </w:r>
    </w:p>
    <w:p>
      <w:pPr>
        <w:pStyle w:val="BookText"/>
      </w:pPr>
      <w:r>
        <w:rPr>
          <w:rFonts w:ascii="IRNazanin" w:hAnsi="IRNazanin" w:eastAsia="IRNazanin" w:cs="IRNazanin"/>
          <w:lang w:bidi="fa-IR"/>
          <w:color w:val="111111"/>
          <w:sz w:val="28"/>
          <w:szCs w:val="28"/>
          <w:rtl/>
        </w:rPr>
        <w:t xml:space="preserve">سلطانعلي خراساني - طبيب گنابادي ، سلطان علي</w:t>
      </w:r>
    </w:p>
    <w:p>
      <w:pPr>
        <w:pStyle w:val="BookText"/>
      </w:pPr>
      <w:r>
        <w:rPr>
          <w:rFonts w:ascii="IRNazanin" w:hAnsi="IRNazanin" w:eastAsia="IRNazanin" w:cs="IRNazanin"/>
          <w:lang w:bidi="fa-IR"/>
          <w:color w:val="111111"/>
          <w:sz w:val="28"/>
          <w:szCs w:val="28"/>
          <w:rtl/>
        </w:rPr>
        <w:t xml:space="preserve">سلطانعلي طبيب گنابادي -طبيب گنابادي</w:t>
      </w:r>
    </w:p>
    <w:p>
      <w:pPr>
        <w:pStyle w:val="BookText"/>
      </w:pPr>
      <w:r>
        <w:rPr>
          <w:rFonts w:ascii="Amiri" w:hAnsi="Amiri" w:eastAsia="Amiri" w:cs="Amiri"/>
          <w:lang w:bidi="ar-SA"/>
          <w:color w:val="111111"/>
          <w:sz w:val="28"/>
          <w:szCs w:val="28"/>
          <w:rtl/>
        </w:rPr>
        <w:t xml:space="preserve">، سلطان علي</w:t>
      </w:r>
    </w:p>
    <w:p>
      <w:pPr>
        <w:pStyle w:val="Heading2"/>
      </w:pPr>
      <w:bookmarkStart w:id="4865" w:name="_Toc3967"/>
      <w:r>
        <w:t>سلطان محمّد قرن 10 ه-</w:t>
      </w:r>
      <w:bookmarkEnd w:id="4865"/>
    </w:p>
    <w:p>
      <w:pPr>
        <w:pStyle w:val="BookText"/>
      </w:pPr>
      <w:r>
        <w:rPr>
          <w:rFonts w:ascii="Amiri" w:hAnsi="Amiri" w:eastAsia="Amiri" w:cs="Amiri"/>
          <w:lang w:bidi="ar-SA"/>
          <w:color w:val="111111"/>
          <w:sz w:val="28"/>
          <w:szCs w:val="28"/>
          <w:rtl/>
        </w:rPr>
        <w:t xml:space="preserve">معرفة التقويم (مختصر)، ج 15،</w:t>
      </w:r>
    </w:p>
    <w:p>
      <w:pPr>
        <w:pStyle w:val="BookText"/>
      </w:pPr>
      <w:r>
        <w:rPr>
          <w:rFonts w:ascii="IRNazanin" w:hAnsi="IRNazanin" w:eastAsia="IRNazanin" w:cs="IRNazanin"/>
          <w:lang w:bidi="fa-IR"/>
          <w:color w:val="111111"/>
          <w:sz w:val="28"/>
          <w:szCs w:val="28"/>
          <w:rtl/>
        </w:rPr>
        <w:t xml:space="preserve">ص 51.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0" w:name="pg7742_70535"/>
    <w:bookmarkEnd w:id="570"/>
    <w:p>
      <w:pPr>
        <w:pStyle w:val="Heading2"/>
      </w:pPr>
      <w:bookmarkStart w:id="4866" w:name="_Toc3968"/>
      <w:r>
        <w:t>سلطان محمّد میرزا قاجار 1227</w:t>
      </w:r>
      <w:bookmarkEnd w:id="4866"/>
    </w:p>
    <w:p>
      <w:pPr>
        <w:pStyle w:val="BookText"/>
      </w:pPr>
      <w:r>
        <w:rPr>
          <w:rFonts w:ascii="IRNazanin" w:hAnsi="IRNazanin" w:eastAsia="IRNazanin" w:cs="IRNazanin"/>
          <w:lang w:bidi="fa-IR"/>
          <w:color w:val="111111"/>
          <w:sz w:val="28"/>
          <w:szCs w:val="28"/>
          <w:rtl/>
        </w:rPr>
        <w:t xml:space="preserve">1292 ؟ ه-</w:t>
      </w:r>
    </w:p>
    <w:p>
      <w:pPr>
        <w:pStyle w:val="BookText"/>
      </w:pPr>
      <w:r>
        <w:rPr>
          <w:rFonts w:ascii="Amiri" w:hAnsi="Amiri" w:eastAsia="Amiri" w:cs="Amiri"/>
          <w:lang w:bidi="ar-SA"/>
          <w:color w:val="111111"/>
          <w:sz w:val="28"/>
          <w:szCs w:val="28"/>
          <w:rtl/>
        </w:rPr>
        <w:t xml:space="preserve">وسيلة النجاة، ج 16، ص 790.</w:t>
      </w:r>
    </w:p>
    <w:p>
      <w:pPr>
        <w:pStyle w:val="Heading2"/>
      </w:pPr>
      <w:bookmarkStart w:id="4867" w:name="_Toc3969"/>
      <w:r>
        <w:t>سلطان ولد ، احمد بن محمّد 623 - 712</w:t>
      </w:r>
      <w:bookmarkEnd w:id="4867"/>
    </w:p>
    <w:p>
      <w:pPr>
        <w:pStyle w:val="BookText"/>
      </w:pPr>
      <w:r>
        <w:rPr>
          <w:rFonts w:ascii="IRNazanin" w:hAnsi="IRNazanin" w:eastAsia="IRNazanin" w:cs="IRNazanin"/>
          <w:lang w:bidi="fa-IR"/>
          <w:color w:val="111111"/>
          <w:sz w:val="28"/>
          <w:szCs w:val="28"/>
          <w:rtl/>
        </w:rPr>
        <w:t xml:space="preserve">رباب نامه ج8، ص18.</w:t>
      </w:r>
    </w:p>
    <w:p>
      <w:pPr>
        <w:pStyle w:val="BookText"/>
      </w:pPr>
      <w:r>
        <w:rPr>
          <w:rFonts w:ascii="Amiri" w:hAnsi="Amiri" w:eastAsia="Amiri" w:cs="Amiri"/>
          <w:lang w:bidi="ar-SA"/>
          <w:color w:val="111111"/>
          <w:sz w:val="28"/>
          <w:szCs w:val="28"/>
          <w:rtl/>
        </w:rPr>
        <w:t xml:space="preserve">سلطان ولد ، بهاء الدين -سلطان ولد</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IRNazanin" w:hAnsi="IRNazanin" w:eastAsia="IRNazanin" w:cs="IRNazanin"/>
          <w:lang w:bidi="fa-IR"/>
          <w:color w:val="111111"/>
          <w:sz w:val="28"/>
          <w:szCs w:val="28"/>
          <w:rtl/>
        </w:rPr>
        <w:t xml:space="preserve">سلطان ولد ، بهاء الدین احمد بن جلال</w:t>
      </w:r>
    </w:p>
    <w:p>
      <w:pPr>
        <w:pStyle w:val="BookText"/>
      </w:pPr>
      <w:r>
        <w:rPr>
          <w:rFonts w:ascii="Amiri" w:hAnsi="Amiri" w:eastAsia="Amiri" w:cs="Amiri"/>
          <w:lang w:bidi="ar-SA"/>
          <w:color w:val="111111"/>
          <w:sz w:val="28"/>
          <w:szCs w:val="28"/>
          <w:rtl/>
        </w:rPr>
        <w:t xml:space="preserve">الدين محمّد مولوي بلخي- سلطان ولد</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IRNazanin" w:hAnsi="IRNazanin" w:eastAsia="IRNazanin" w:cs="IRNazanin"/>
          <w:lang w:bidi="fa-IR"/>
          <w:color w:val="111111"/>
          <w:sz w:val="28"/>
          <w:szCs w:val="28"/>
          <w:rtl/>
        </w:rPr>
        <w:t xml:space="preserve">سلطان ولد ، محمّد بن محمّد -سلطان</w:t>
      </w:r>
    </w:p>
    <w:p>
      <w:pPr>
        <w:pStyle w:val="BookText"/>
      </w:pPr>
      <w:r>
        <w:rPr>
          <w:rFonts w:ascii="IRNazanin" w:hAnsi="IRNazanin" w:eastAsia="IRNazanin" w:cs="IRNazanin"/>
          <w:lang w:bidi="fa-IR"/>
          <w:color w:val="111111"/>
          <w:sz w:val="28"/>
          <w:szCs w:val="28"/>
          <w:rtl/>
        </w:rPr>
        <w:t xml:space="preserve">ولد ، احمد بن محمّد</w:t>
      </w:r>
    </w:p>
    <w:p>
      <w:pPr>
        <w:pStyle w:val="Heading2"/>
      </w:pPr>
      <w:bookmarkStart w:id="4868" w:name="_Toc3970"/>
      <w:r>
        <w:t>سلطي ، ابو بكر بن تقي الدين - 1103 ه-</w:t>
      </w:r>
      <w:bookmarkEnd w:id="4868"/>
    </w:p>
    <w:p>
      <w:pPr>
        <w:pStyle w:val="BookText"/>
      </w:pPr>
      <w:r>
        <w:rPr>
          <w:rFonts w:ascii="Amiri" w:hAnsi="Amiri" w:eastAsia="Amiri" w:cs="Amiri"/>
          <w:lang w:bidi="ar-SA"/>
          <w:color w:val="111111"/>
          <w:sz w:val="28"/>
          <w:szCs w:val="28"/>
          <w:rtl/>
        </w:rPr>
        <w:t xml:space="preserve">المختار مع انيس الفريد وجليس الوحيد، ج 14، ص 162.</w:t>
      </w:r>
    </w:p>
    <w:p>
      <w:pPr>
        <w:pStyle w:val="BookText"/>
      </w:pPr>
      <w:r>
        <w:rPr>
          <w:rFonts w:ascii="Amiri" w:hAnsi="Amiri" w:eastAsia="Amiri" w:cs="Amiri"/>
          <w:lang w:bidi="ar-SA"/>
          <w:color w:val="111111"/>
          <w:sz w:val="28"/>
          <w:szCs w:val="28"/>
          <w:rtl/>
        </w:rPr>
        <w:t xml:space="preserve">سلفي ، احمد بن محمّد -سلفي حرواني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4869" w:name="_Toc3971"/>
      <w:r>
        <w:t>سلفي حرواني، احمد بن محمّد 475 -</w:t>
      </w:r>
      <w:bookmarkEnd w:id="4869"/>
    </w:p>
    <w:p>
      <w:pPr>
        <w:pStyle w:val="BookText"/>
      </w:pPr>
      <w:r>
        <w:rPr>
          <w:rFonts w:ascii="IRNazanin" w:hAnsi="IRNazanin" w:eastAsia="IRNazanin" w:cs="IRNazanin"/>
          <w:lang w:bidi="fa-IR"/>
          <w:color w:val="111111"/>
          <w:sz w:val="28"/>
          <w:szCs w:val="28"/>
          <w:rtl/>
        </w:rPr>
        <w:t xml:space="preserve">576؟ ه-</w:t>
      </w:r>
    </w:p>
    <w:p>
      <w:pPr>
        <w:pStyle w:val="BookText"/>
      </w:pPr>
      <w:r>
        <w:rPr>
          <w:rFonts w:ascii="Amiri" w:hAnsi="Amiri" w:eastAsia="Amiri" w:cs="Amiri"/>
          <w:lang w:bidi="ar-SA"/>
          <w:color w:val="111111"/>
          <w:sz w:val="28"/>
          <w:szCs w:val="28"/>
          <w:rtl/>
        </w:rPr>
        <w:t xml:space="preserve">1 .الاربعين المستغني بتعيين ما فيه</w:t>
      </w:r>
    </w:p>
    <w:p>
      <w:pPr>
        <w:pStyle w:val="BookText"/>
      </w:pPr>
      <w:r>
        <w:rPr>
          <w:rFonts w:ascii="Amiri" w:hAnsi="Amiri" w:eastAsia="Amiri" w:cs="Amiri"/>
          <w:lang w:bidi="ar-SA"/>
          <w:color w:val="111111"/>
          <w:sz w:val="28"/>
          <w:szCs w:val="28"/>
          <w:rtl/>
        </w:rPr>
        <w:t xml:space="preserve">عن المعين، ج1، ص739.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الجزء الثاني من انتخاب الحافظ أبي</w:t>
      </w:r>
    </w:p>
    <w:p>
      <w:pPr>
        <w:pStyle w:val="BookText"/>
      </w:pPr>
      <w:r>
        <w:rPr>
          <w:rFonts w:ascii="Amiri" w:hAnsi="Amiri" w:eastAsia="Amiri" w:cs="Amiri"/>
          <w:lang w:bidi="ar-SA"/>
          <w:color w:val="111111"/>
          <w:sz w:val="28"/>
          <w:szCs w:val="28"/>
          <w:rtl/>
        </w:rPr>
        <w:t xml:space="preserve">طاهر السلفي، ج 5، ص380.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الاربعين الودعانية، ج 9،</w:t>
      </w:r>
    </w:p>
    <w:p>
      <w:pPr>
        <w:pStyle w:val="BookText"/>
      </w:pPr>
      <w:r>
        <w:rPr>
          <w:rFonts w:ascii="IRNazanin" w:hAnsi="IRNazanin" w:eastAsia="IRNazanin" w:cs="IRNazanin"/>
          <w:lang w:bidi="fa-IR"/>
          <w:color w:val="111111"/>
          <w:sz w:val="28"/>
          <w:szCs w:val="28"/>
          <w:rtl/>
        </w:rPr>
        <w:t xml:space="preserve">ص 176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قصيدة بانت سعاد، ج 9،</w:t>
      </w:r>
    </w:p>
    <w:p>
      <w:pPr>
        <w:pStyle w:val="BookText"/>
      </w:pPr>
      <w:r>
        <w:rPr>
          <w:rFonts w:ascii="IRNazanin" w:hAnsi="IRNazanin" w:eastAsia="IRNazanin" w:cs="IRNazanin"/>
          <w:lang w:bidi="fa-IR"/>
          <w:color w:val="111111"/>
          <w:sz w:val="28"/>
          <w:szCs w:val="28"/>
          <w:rtl/>
        </w:rPr>
        <w:t xml:space="preserve">ص 836.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قصيدة في السنة، ج 12، ص 693.</w:t>
      </w:r>
    </w:p>
    <w:p>
      <w:pPr>
        <w:pStyle w:val="BookText"/>
      </w:pPr>
      <w:r>
        <w:rPr>
          <w:rFonts w:ascii="Amiri" w:hAnsi="Amiri" w:eastAsia="Amiri" w:cs="Amiri"/>
          <w:lang w:bidi="ar-SA"/>
          <w:color w:val="111111"/>
          <w:sz w:val="28"/>
          <w:szCs w:val="28"/>
          <w:rtl/>
        </w:rPr>
        <w:t xml:space="preserve">6 .المشيخة البغدادية، ج 14 ، ص 651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منتخبات الحافظ السلفي، ج 15</w:t>
      </w:r>
    </w:p>
    <w:p>
      <w:pPr>
        <w:pStyle w:val="BookText"/>
      </w:pPr>
      <w:r>
        <w:rPr>
          <w:rFonts w:ascii="IRNazanin" w:hAnsi="IRNazanin" w:eastAsia="IRNazanin" w:cs="IRNazanin"/>
          <w:lang w:bidi="fa-IR"/>
          <w:color w:val="111111"/>
          <w:sz w:val="28"/>
          <w:szCs w:val="28"/>
          <w:rtl/>
        </w:rPr>
        <w:t xml:space="preserve">ص 593 .</w:t>
      </w:r>
    </w:p>
    <w:p>
      <w:pPr>
        <w:pStyle w:val="BookText"/>
      </w:pPr>
      <w:r>
        <w:rPr>
          <w:rFonts w:ascii="Amiri" w:hAnsi="Amiri" w:eastAsia="Amiri" w:cs="Amiri"/>
          <w:lang w:bidi="ar-SA"/>
          <w:color w:val="111111"/>
          <w:sz w:val="28"/>
          <w:szCs w:val="28"/>
          <w:rtl/>
        </w:rPr>
        <w:t xml:space="preserve">سلمابادي ، يحيى بن حسين- بحراني</w:t>
      </w:r>
    </w:p>
    <w:p>
      <w:pPr>
        <w:pStyle w:val="BookText"/>
      </w:pPr>
      <w:r>
        <w:rPr>
          <w:rFonts w:ascii="Amiri" w:hAnsi="Amiri" w:eastAsia="Amiri" w:cs="Amiri"/>
          <w:lang w:bidi="ar-SA"/>
          <w:color w:val="111111"/>
          <w:sz w:val="28"/>
          <w:szCs w:val="28"/>
          <w:rtl/>
        </w:rPr>
        <w:t xml:space="preserve">يحيى بن حسين</w:t>
      </w:r>
    </w:p>
    <w:p>
      <w:pPr>
        <w:pStyle w:val="BookText"/>
      </w:pPr>
      <w:r>
        <w:rPr>
          <w:rFonts w:ascii="Amiri" w:hAnsi="Amiri" w:eastAsia="Amiri" w:cs="Amiri"/>
          <w:lang w:bidi="ar-SA"/>
          <w:color w:val="111111"/>
          <w:sz w:val="28"/>
          <w:szCs w:val="28"/>
          <w:rtl/>
        </w:rPr>
        <w:t xml:space="preserve">سلمابادي ، يحيى بن حسين بن حسن بن</w:t>
      </w:r>
    </w:p>
    <w:p>
      <w:pPr>
        <w:pStyle w:val="BookText"/>
      </w:pPr>
      <w:r>
        <w:rPr>
          <w:rFonts w:ascii="Amiri" w:hAnsi="Amiri" w:eastAsia="Amiri" w:cs="Amiri"/>
          <w:lang w:bidi="ar-SA"/>
          <w:color w:val="111111"/>
          <w:sz w:val="28"/>
          <w:szCs w:val="28"/>
          <w:rtl/>
        </w:rPr>
        <w:t xml:space="preserve">ناصر -بحراني ، يحيى بن حسين</w:t>
      </w:r>
    </w:p>
    <w:p>
      <w:pPr>
        <w:pStyle w:val="Heading2"/>
      </w:pPr>
      <w:bookmarkStart w:id="4870" w:name="_Toc3972"/>
      <w:r>
        <w:t>سلماسي ، ابوسعید محمّد بن سعيد</w:t>
      </w:r>
      <w:bookmarkEnd w:id="4870"/>
    </w:p>
    <w:p>
      <w:pPr>
        <w:pStyle w:val="BookText"/>
      </w:pPr>
      <w:r>
        <w:rPr>
          <w:rFonts w:ascii="IRNazanin" w:hAnsi="IRNazanin" w:eastAsia="IRNazanin" w:cs="IRNazanin"/>
          <w:lang w:bidi="fa-IR"/>
          <w:color w:val="111111"/>
          <w:sz w:val="28"/>
          <w:szCs w:val="28"/>
          <w:rtl/>
        </w:rPr>
        <w:t xml:space="preserve">32 ه-</w:t>
      </w:r>
    </w:p>
    <w:p>
      <w:pPr>
        <w:pStyle w:val="BookText"/>
      </w:pPr>
      <w:r>
        <w:rPr>
          <w:rFonts w:ascii="Amiri" w:hAnsi="Amiri" w:eastAsia="Amiri" w:cs="Amiri"/>
          <w:lang w:bidi="ar-SA"/>
          <w:color w:val="111111"/>
          <w:sz w:val="28"/>
          <w:szCs w:val="28"/>
          <w:rtl/>
        </w:rPr>
        <w:t xml:space="preserve">درر المعاني في حقائق مفتتح السبع الثاني - كشف اسرار بسم الله الرحمن</w:t>
      </w:r>
    </w:p>
    <w:p>
      <w:pPr>
        <w:pStyle w:val="BookText"/>
      </w:pPr>
      <w:r>
        <w:rPr>
          <w:rFonts w:ascii="Amiri" w:hAnsi="Amiri" w:eastAsia="Amiri" w:cs="Amiri"/>
          <w:lang w:bidi="ar-SA"/>
          <w:color w:val="111111"/>
          <w:sz w:val="28"/>
          <w:szCs w:val="28"/>
          <w:rtl/>
        </w:rPr>
        <w:t xml:space="preserve">الرحيم، ج7، ص313.</w:t>
      </w:r>
    </w:p>
    <w:p>
      <w:pPr>
        <w:pStyle w:val="BookText"/>
      </w:pPr>
      <w:r>
        <w:rPr>
          <w:rFonts w:ascii="Amiri" w:hAnsi="Amiri" w:eastAsia="Amiri" w:cs="Amiri"/>
          <w:lang w:bidi="ar-SA"/>
          <w:color w:val="111111"/>
          <w:sz w:val="28"/>
          <w:szCs w:val="28"/>
          <w:rtl/>
        </w:rPr>
        <w:t xml:space="preserve">سلماسي ، الله قلي محزون- محزون</w:t>
      </w:r>
    </w:p>
    <w:p>
      <w:pPr>
        <w:pStyle w:val="BookText"/>
      </w:pPr>
      <w:r>
        <w:rPr>
          <w:rFonts w:ascii="IRNazanin" w:hAnsi="IRNazanin" w:eastAsia="IRNazanin" w:cs="IRNazanin"/>
          <w:lang w:bidi="fa-IR"/>
          <w:color w:val="111111"/>
          <w:sz w:val="28"/>
          <w:szCs w:val="28"/>
          <w:rtl/>
        </w:rPr>
        <w:t xml:space="preserve">سلماسي ، الله قلي بن شاه میرزا</w:t>
      </w:r>
    </w:p>
    <w:p>
      <w:pPr>
        <w:pStyle w:val="BookText"/>
      </w:pPr>
      <w:r>
        <w:rPr>
          <w:rFonts w:ascii="Amiri" w:hAnsi="Amiri" w:eastAsia="Amiri" w:cs="Amiri"/>
          <w:lang w:bidi="ar-SA"/>
          <w:color w:val="111111"/>
          <w:sz w:val="28"/>
          <w:szCs w:val="28"/>
          <w:rtl/>
        </w:rPr>
        <w:t xml:space="preserve">سلماسي ، محمّد بن سعيد-سلماسي،ابوسعيد محمّد بن سعيد</w:t>
      </w:r>
    </w:p>
    <w:p>
      <w:pPr>
        <w:pStyle w:val="Heading2"/>
      </w:pPr>
      <w:bookmarkStart w:id="4871" w:name="_Toc3973"/>
      <w:r>
        <w:t>سلمان ساوجي ، سلمان بن محمّد، 709 -</w:t>
      </w:r>
      <w:bookmarkEnd w:id="4871"/>
    </w:p>
    <w:p>
      <w:pPr>
        <w:pStyle w:val="BookText"/>
      </w:pPr>
      <w:r>
        <w:rPr>
          <w:rFonts w:ascii="IRNazanin" w:hAnsi="IRNazanin" w:eastAsia="IRNazanin" w:cs="IRNazanin"/>
          <w:lang w:bidi="fa-IR"/>
          <w:color w:val="111111"/>
          <w:sz w:val="28"/>
          <w:szCs w:val="28"/>
          <w:rtl/>
        </w:rPr>
        <w:t xml:space="preserve">778 ه-</w:t>
      </w:r>
    </w:p>
    <w:p>
      <w:pPr>
        <w:pStyle w:val="BookText"/>
      </w:pPr>
      <w:r>
        <w:rPr>
          <w:rFonts w:ascii="IRNazanin" w:hAnsi="IRNazanin" w:eastAsia="IRNazanin" w:cs="IRNazanin"/>
          <w:lang w:bidi="fa-IR"/>
          <w:color w:val="111111"/>
          <w:sz w:val="28"/>
          <w:szCs w:val="28"/>
          <w:rtl/>
        </w:rPr>
        <w:t xml:space="preserve">دیوان سلمان ساوجي = كليات سلمان</w:t>
      </w:r>
    </w:p>
    <w:p>
      <w:pPr>
        <w:pStyle w:val="BookText"/>
      </w:pPr>
      <w:r>
        <w:rPr>
          <w:rFonts w:ascii="Amiri" w:hAnsi="Amiri" w:eastAsia="Amiri" w:cs="Amiri"/>
          <w:lang w:bidi="ar-SA"/>
          <w:color w:val="111111"/>
          <w:sz w:val="28"/>
          <w:szCs w:val="28"/>
          <w:rtl/>
        </w:rPr>
        <w:t xml:space="preserve">ساوجي، ج7، ص 652.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1" w:name="pg7742_70537"/>
    <w:bookmarkEnd w:id="571"/>
    <w:p>
      <w:pPr>
        <w:pStyle w:val="Heading2"/>
      </w:pPr>
      <w:bookmarkStart w:id="4872" w:name="_Toc3974"/>
      <w:r>
        <w:t>سلمان فارسي، - 36 ه-</w:t>
      </w:r>
      <w:bookmarkEnd w:id="4872"/>
    </w:p>
    <w:p>
      <w:pPr>
        <w:pStyle w:val="BookText"/>
      </w:pPr>
      <w:r>
        <w:rPr>
          <w:rFonts w:ascii="Amiri" w:hAnsi="Amiri" w:eastAsia="Amiri" w:cs="Amiri"/>
          <w:lang w:bidi="ar-SA"/>
          <w:color w:val="111111"/>
          <w:sz w:val="28"/>
          <w:szCs w:val="28"/>
          <w:rtl/>
        </w:rPr>
        <w:t xml:space="preserve">حديث الغمامة = حديث البساط = سلمي</w:t>
      </w:r>
    </w:p>
    <w:p>
      <w:pPr>
        <w:pStyle w:val="BookText"/>
      </w:pPr>
      <w:r>
        <w:rPr>
          <w:rFonts w:ascii="Amiri" w:hAnsi="Amiri" w:eastAsia="Amiri" w:cs="Amiri"/>
          <w:lang w:bidi="ar-SA"/>
          <w:color w:val="111111"/>
          <w:sz w:val="28"/>
          <w:szCs w:val="28"/>
          <w:rtl/>
        </w:rPr>
        <w:t xml:space="preserve">حديث السحابة، ج 1، ص 571</w:t>
      </w:r>
    </w:p>
    <w:p>
      <w:pPr>
        <w:pStyle w:val="BookText"/>
      </w:pPr>
      <w:r>
        <w:rPr>
          <w:rFonts w:ascii="Amiri" w:hAnsi="Amiri" w:eastAsia="Amiri" w:cs="Amiri"/>
          <w:lang w:bidi="ar-SA"/>
          <w:color w:val="111111"/>
          <w:sz w:val="28"/>
          <w:szCs w:val="28"/>
          <w:rtl/>
        </w:rPr>
        <w:t xml:space="preserve">سلمان قادري- قادري نقيب الاشراف</w:t>
      </w:r>
    </w:p>
    <w:p>
      <w:pPr>
        <w:pStyle w:val="BookText"/>
      </w:pPr>
      <w:r>
        <w:rPr>
          <w:rFonts w:ascii="IRNazanin" w:hAnsi="IRNazanin" w:eastAsia="IRNazanin" w:cs="IRNazanin"/>
          <w:lang w:bidi="fa-IR"/>
          <w:color w:val="111111"/>
          <w:sz w:val="28"/>
          <w:szCs w:val="28"/>
          <w:rtl/>
        </w:rPr>
        <w:t xml:space="preserve">سلمان بن سلمان</w:t>
      </w:r>
    </w:p>
    <w:p>
      <w:pPr>
        <w:pStyle w:val="BookText"/>
      </w:pPr>
      <w:r>
        <w:rPr>
          <w:rFonts w:ascii="Amiri" w:hAnsi="Amiri" w:eastAsia="Amiri" w:cs="Amiri"/>
          <w:lang w:bidi="ar-SA"/>
          <w:color w:val="111111"/>
          <w:sz w:val="28"/>
          <w:szCs w:val="28"/>
          <w:rtl/>
        </w:rPr>
        <w:t xml:space="preserve">سلماني ، عبد السلام بن رغبان- ديك الجن</w:t>
      </w:r>
    </w:p>
    <w:p>
      <w:pPr>
        <w:pStyle w:val="BookText"/>
      </w:pPr>
      <w:r>
        <w:rPr>
          <w:rFonts w:ascii="IRNazanin" w:hAnsi="IRNazanin" w:eastAsia="IRNazanin" w:cs="IRNazanin"/>
          <w:lang w:bidi="fa-IR"/>
          <w:color w:val="111111"/>
          <w:sz w:val="28"/>
          <w:szCs w:val="28"/>
          <w:rtl/>
        </w:rPr>
        <w:t xml:space="preserve">، عبدالسلام بن رغبان</w:t>
      </w:r>
    </w:p>
    <w:p>
      <w:pPr>
        <w:pStyle w:val="BookText"/>
      </w:pPr>
      <w:r>
        <w:rPr>
          <w:rFonts w:ascii="Amiri" w:hAnsi="Amiri" w:eastAsia="Amiri" w:cs="Amiri"/>
          <w:lang w:bidi="ar-SA"/>
          <w:color w:val="111111"/>
          <w:sz w:val="28"/>
          <w:szCs w:val="28"/>
          <w:rtl/>
        </w:rPr>
        <w:t xml:space="preserve">سلماني ، محمّد بن عبدالله -ابن خطيب</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سلمة بن مسلم عويني صحاري -عويني ،</w:t>
      </w:r>
    </w:p>
    <w:p>
      <w:pPr>
        <w:pStyle w:val="BookText"/>
      </w:pPr>
      <w:r>
        <w:rPr>
          <w:rFonts w:ascii="Amiri" w:hAnsi="Amiri" w:eastAsia="Amiri" w:cs="Amiri"/>
          <w:lang w:bidi="ar-SA"/>
          <w:color w:val="111111"/>
          <w:sz w:val="28"/>
          <w:szCs w:val="28"/>
          <w:rtl/>
        </w:rPr>
        <w:t xml:space="preserve">سلمة بن مسلم</w:t>
      </w:r>
    </w:p>
    <w:p>
      <w:pPr>
        <w:pStyle w:val="BookText"/>
      </w:pPr>
      <w:r>
        <w:rPr>
          <w:rFonts w:ascii="Amiri" w:hAnsi="Amiri" w:eastAsia="Amiri" w:cs="Amiri"/>
          <w:lang w:bidi="ar-SA"/>
          <w:color w:val="111111"/>
          <w:sz w:val="28"/>
          <w:szCs w:val="28"/>
          <w:rtl/>
        </w:rPr>
        <w:t xml:space="preserve">سلمي ، ابوعبدالرحمن محمّد بن</w:t>
      </w:r>
    </w:p>
    <w:p>
      <w:pPr>
        <w:pStyle w:val="BookText"/>
      </w:pPr>
      <w:r>
        <w:rPr>
          <w:rFonts w:ascii="Amiri" w:hAnsi="Amiri" w:eastAsia="Amiri" w:cs="Amiri"/>
          <w:lang w:bidi="ar-SA"/>
          <w:color w:val="111111"/>
          <w:sz w:val="28"/>
          <w:szCs w:val="28"/>
          <w:rtl/>
        </w:rPr>
        <w:t xml:space="preserve">حسين -سلمي ، محمّد بن حسين</w:t>
      </w:r>
    </w:p>
    <w:p>
      <w:pPr>
        <w:pStyle w:val="BookText"/>
      </w:pPr>
      <w:r>
        <w:rPr>
          <w:rFonts w:ascii="Amiri" w:hAnsi="Amiri" w:eastAsia="Amiri" w:cs="Amiri"/>
          <w:lang w:bidi="ar-SA"/>
          <w:color w:val="111111"/>
          <w:sz w:val="28"/>
          <w:szCs w:val="28"/>
          <w:rtl/>
        </w:rPr>
        <w:t xml:space="preserve">سلمي ، بهرام بن عبدالله -دميري ، بهرام</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سلمي ، عبد العزيز بن عبد السلام -ابن</w:t>
      </w:r>
    </w:p>
    <w:p>
      <w:pPr>
        <w:pStyle w:val="BookText"/>
      </w:pPr>
      <w:r>
        <w:rPr>
          <w:rFonts w:ascii="IRNazanin" w:hAnsi="IRNazanin" w:eastAsia="IRNazanin" w:cs="IRNazanin"/>
          <w:lang w:bidi="fa-IR"/>
          <w:color w:val="111111"/>
          <w:sz w:val="28"/>
          <w:szCs w:val="28"/>
          <w:rtl/>
        </w:rPr>
        <w:t xml:space="preserve">عبد السلام ، عبدالعزیز بن عبدالسلام</w:t>
      </w:r>
    </w:p>
    <w:p>
      <w:pPr>
        <w:pStyle w:val="BookText"/>
      </w:pPr>
      <w:r>
        <w:rPr>
          <w:rFonts w:ascii="Amiri" w:hAnsi="Amiri" w:eastAsia="Amiri" w:cs="Amiri"/>
          <w:lang w:bidi="ar-SA"/>
          <w:color w:val="111111"/>
          <w:sz w:val="28"/>
          <w:szCs w:val="28"/>
          <w:rtl/>
        </w:rPr>
        <w:t xml:space="preserve">سلمي ، قطب الدين ابراهيم بن علي- قطب مصري ، ابراهيم بن علي</w:t>
      </w:r>
    </w:p>
    <w:p>
      <w:pPr>
        <w:pStyle w:val="BookText"/>
      </w:pPr>
      <w:r>
        <w:rPr>
          <w:rFonts w:ascii="Amiri" w:hAnsi="Amiri" w:eastAsia="Amiri" w:cs="Amiri"/>
          <w:lang w:bidi="ar-SA"/>
          <w:color w:val="111111"/>
          <w:sz w:val="28"/>
          <w:szCs w:val="28"/>
          <w:rtl/>
        </w:rPr>
        <w:t xml:space="preserve">سلمي ، محمّد بن اسحاق- ابن خزيمه</w:t>
      </w:r>
    </w:p>
    <w:p>
      <w:pPr>
        <w:pStyle w:val="BookText"/>
      </w:pPr>
      <w:r>
        <w:rPr>
          <w:rFonts w:ascii="IRNazanin" w:hAnsi="IRNazanin" w:eastAsia="IRNazanin" w:cs="IRNazanin"/>
          <w:lang w:bidi="fa-IR"/>
          <w:color w:val="111111"/>
          <w:sz w:val="28"/>
          <w:szCs w:val="28"/>
          <w:rtl/>
        </w:rPr>
        <w:t xml:space="preserve">محمّد بن اسحاق</w:t>
      </w:r>
    </w:p>
    <w:p>
      <w:pPr>
        <w:pStyle w:val="Heading2"/>
      </w:pPr>
      <w:bookmarkStart w:id="4873" w:name="_Toc3975"/>
      <w:r>
        <w:t>سلمي ، محمّد بن حسين، 325 - 412 ه-</w:t>
      </w:r>
      <w:bookmarkEnd w:id="4873"/>
    </w:p>
    <w:p>
      <w:pPr>
        <w:pStyle w:val="BookText"/>
      </w:pPr>
      <w:r>
        <w:rPr>
          <w:rFonts w:ascii="Amiri" w:hAnsi="Amiri" w:eastAsia="Amiri" w:cs="Amiri"/>
          <w:lang w:bidi="ar-SA"/>
          <w:color w:val="111111"/>
          <w:sz w:val="28"/>
          <w:szCs w:val="28"/>
          <w:rtl/>
        </w:rPr>
        <w:t xml:space="preserve">1 .احكام السياسة، ج1، ص 473.</w:t>
      </w:r>
    </w:p>
    <w:p>
      <w:pPr>
        <w:pStyle w:val="BookText"/>
      </w:pPr>
      <w:r>
        <w:rPr>
          <w:rFonts w:ascii="Amiri" w:hAnsi="Amiri" w:eastAsia="Amiri" w:cs="Amiri"/>
          <w:lang w:bidi="ar-SA"/>
          <w:color w:val="111111"/>
          <w:sz w:val="28"/>
          <w:szCs w:val="28"/>
          <w:rtl/>
        </w:rPr>
        <w:t xml:space="preserve">2 .الحقايق في التفسير = حقايق</w:t>
      </w:r>
    </w:p>
    <w:p>
      <w:pPr>
        <w:pStyle w:val="BookText"/>
      </w:pPr>
      <w:r>
        <w:rPr>
          <w:rFonts w:ascii="Amiri" w:hAnsi="Amiri" w:eastAsia="Amiri" w:cs="Amiri"/>
          <w:lang w:bidi="ar-SA"/>
          <w:color w:val="111111"/>
          <w:sz w:val="28"/>
          <w:szCs w:val="28"/>
          <w:rtl/>
        </w:rPr>
        <w:t xml:space="preserve">التفسير، ج 6، ص 689.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طبقات الصوفية، ج 10، ص781.</w:t>
      </w:r>
    </w:p>
    <w:p>
      <w:pPr>
        <w:pStyle w:val="BookText"/>
      </w:pPr>
      <w:r>
        <w:rPr>
          <w:rFonts w:ascii="Amiri" w:hAnsi="Amiri" w:eastAsia="Amiri" w:cs="Amiri"/>
          <w:lang w:bidi="ar-SA"/>
          <w:color w:val="111111"/>
          <w:sz w:val="28"/>
          <w:szCs w:val="28"/>
          <w:rtl/>
        </w:rPr>
        <w:t xml:space="preserve">4 .عيوب النفس و مداواتها، ج 11،</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Amiri" w:hAnsi="Amiri" w:eastAsia="Amiri" w:cs="Amiri"/>
          <w:lang w:bidi="ar-SA"/>
          <w:color w:val="111111"/>
          <w:sz w:val="28"/>
          <w:szCs w:val="28"/>
          <w:rtl/>
        </w:rPr>
        <w:t xml:space="preserve">سلمي ، محمّد بن حمدون- ابن الحاج ، محمّد بن حمدون</w:t>
      </w:r>
    </w:p>
    <w:p>
      <w:pPr>
        <w:pStyle w:val="BookText"/>
      </w:pPr>
      <w:r>
        <w:rPr>
          <w:rFonts w:ascii="Amiri" w:hAnsi="Amiri" w:eastAsia="Amiri" w:cs="Amiri"/>
          <w:lang w:bidi="ar-SA"/>
          <w:color w:val="111111"/>
          <w:sz w:val="28"/>
          <w:szCs w:val="28"/>
          <w:rtl/>
        </w:rPr>
        <w:t xml:space="preserve">سلمي مغربي ، ابو اسحاق ابراهيم بن</w:t>
      </w:r>
    </w:p>
    <w:p>
      <w:pPr>
        <w:pStyle w:val="BookText"/>
      </w:pPr>
      <w:r>
        <w:rPr>
          <w:rFonts w:ascii="Amiri" w:hAnsi="Amiri" w:eastAsia="Amiri" w:cs="Amiri"/>
          <w:lang w:bidi="ar-SA"/>
          <w:color w:val="111111"/>
          <w:sz w:val="28"/>
          <w:szCs w:val="28"/>
          <w:rtl/>
        </w:rPr>
        <w:t xml:space="preserve">علي- قطب مصري ، ابراهيم بن علي</w:t>
      </w:r>
    </w:p>
    <w:p>
      <w:pPr>
        <w:pStyle w:val="BookText"/>
      </w:pPr>
      <w:r>
        <w:rPr>
          <w:rFonts w:ascii="Amiri" w:hAnsi="Amiri" w:eastAsia="Amiri" w:cs="Amiri"/>
          <w:lang w:bidi="ar-SA"/>
          <w:color w:val="111111"/>
          <w:sz w:val="28"/>
          <w:szCs w:val="28"/>
          <w:rtl/>
        </w:rPr>
        <w:t xml:space="preserve">سلمي نيشابوري ، ابي عبدالرحمن محمّد</w:t>
      </w:r>
    </w:p>
    <w:p>
      <w:pPr>
        <w:pStyle w:val="BookText"/>
      </w:pPr>
      <w:r>
        <w:rPr>
          <w:rFonts w:ascii="Amiri" w:hAnsi="Amiri" w:eastAsia="Amiri" w:cs="Amiri"/>
          <w:lang w:bidi="ar-SA"/>
          <w:color w:val="111111"/>
          <w:sz w:val="28"/>
          <w:szCs w:val="28"/>
          <w:rtl/>
        </w:rPr>
        <w:t xml:space="preserve">بن حسين -سلمي ، محمّد بن حسين</w:t>
      </w:r>
    </w:p>
    <w:p>
      <w:pPr>
        <w:pStyle w:val="BookText"/>
      </w:pPr>
      <w:r>
        <w:rPr>
          <w:rFonts w:ascii="Amiri" w:hAnsi="Amiri" w:eastAsia="Amiri" w:cs="Amiri"/>
          <w:lang w:bidi="ar-SA"/>
          <w:color w:val="111111"/>
          <w:sz w:val="28"/>
          <w:szCs w:val="28"/>
          <w:rtl/>
        </w:rPr>
        <w:t xml:space="preserve">سلمي نيشابوري ، محمّد بن اسحاق- ابن</w:t>
      </w:r>
    </w:p>
    <w:p>
      <w:pPr>
        <w:pStyle w:val="BookText"/>
      </w:pPr>
      <w:r>
        <w:rPr>
          <w:rFonts w:ascii="IRNazanin" w:hAnsi="IRNazanin" w:eastAsia="IRNazanin" w:cs="IRNazanin"/>
          <w:lang w:bidi="fa-IR"/>
          <w:color w:val="111111"/>
          <w:sz w:val="28"/>
          <w:szCs w:val="28"/>
          <w:rtl/>
        </w:rPr>
        <w:t xml:space="preserve">خزیمه ، محمّد بن اسحاق</w:t>
      </w:r>
    </w:p>
    <w:p>
      <w:pPr>
        <w:pStyle w:val="Heading2"/>
      </w:pPr>
      <w:bookmarkStart w:id="4874" w:name="_Toc3976"/>
      <w:r>
        <w:t>سلمي ، يوسف بن يحيى - 685 ه-</w:t>
      </w:r>
      <w:bookmarkEnd w:id="4874"/>
    </w:p>
    <w:p>
      <w:pPr>
        <w:pStyle w:val="BookText"/>
      </w:pPr>
      <w:r>
        <w:rPr>
          <w:rFonts w:ascii="Amiri" w:hAnsi="Amiri" w:eastAsia="Amiri" w:cs="Amiri"/>
          <w:lang w:bidi="ar-SA"/>
          <w:color w:val="111111"/>
          <w:sz w:val="28"/>
          <w:szCs w:val="28"/>
          <w:rtl/>
        </w:rPr>
        <w:t xml:space="preserve">عقد الدرر في اخبار الامام المنتظر</w:t>
      </w:r>
    </w:p>
    <w:p>
      <w:pPr>
        <w:pStyle w:val="BookText"/>
      </w:pPr>
      <w:r>
        <w:rPr>
          <w:rFonts w:ascii="IRNazanin" w:hAnsi="IRNazanin" w:eastAsia="IRNazanin" w:cs="IRNazanin"/>
          <w:lang w:bidi="fa-IR"/>
          <w:color w:val="111111"/>
          <w:sz w:val="28"/>
          <w:szCs w:val="28"/>
          <w:rtl/>
        </w:rPr>
        <w:t xml:space="preserve">ج 11، ص 164.</w:t>
      </w:r>
    </w:p>
    <w:p>
      <w:pPr>
        <w:pStyle w:val="Heading2"/>
      </w:pPr>
      <w:bookmarkStart w:id="4875" w:name="_Toc3977"/>
      <w:r>
        <w:t>سليمان</w:t>
      </w:r>
      <w:bookmarkEnd w:id="48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شواهد الحسنات في افضل الصلاة على اشرف المخلوقات، ج 10،</w:t>
      </w:r>
    </w:p>
    <w:p>
      <w:pPr>
        <w:pStyle w:val="BookText"/>
      </w:pPr>
      <w:r>
        <w:rPr>
          <w:rFonts w:ascii="IRNazanin" w:hAnsi="IRNazanin" w:eastAsia="IRNazanin" w:cs="IRNazanin"/>
          <w:lang w:bidi="fa-IR"/>
          <w:color w:val="111111"/>
          <w:sz w:val="28"/>
          <w:szCs w:val="28"/>
          <w:rtl/>
        </w:rPr>
        <w:t xml:space="preserve">ص 449.</w:t>
      </w:r>
    </w:p>
    <w:p>
      <w:pPr>
        <w:pStyle w:val="BookText"/>
      </w:pPr>
      <w:r>
        <w:rPr>
          <w:rFonts w:ascii="IRNazanin" w:hAnsi="IRNazanin" w:eastAsia="IRNazanin" w:cs="IRNazanin"/>
          <w:lang w:bidi="fa-IR"/>
          <w:color w:val="111111"/>
          <w:sz w:val="28"/>
          <w:szCs w:val="28"/>
          <w:rtl/>
        </w:rPr>
        <w:t xml:space="preserve">2 .کشکول، ج13، ص 293.</w:t>
      </w:r>
    </w:p>
    <w:p>
      <w:pPr>
        <w:pStyle w:val="BookText"/>
      </w:pPr>
      <w:r>
        <w:rPr>
          <w:rFonts w:ascii="Amiri" w:hAnsi="Amiri" w:eastAsia="Amiri" w:cs="Amiri"/>
          <w:lang w:bidi="ar-SA"/>
          <w:color w:val="111111"/>
          <w:sz w:val="28"/>
          <w:szCs w:val="28"/>
          <w:rtl/>
        </w:rPr>
        <w:t xml:space="preserve">سليمان ابراهيم وهبي- وهبي ، سليمان</w:t>
      </w:r>
    </w:p>
    <w:p>
      <w:pPr>
        <w:pStyle w:val="BookText"/>
      </w:pPr>
      <w:r>
        <w:rPr>
          <w:rFonts w:ascii="Amiri" w:hAnsi="Amiri" w:eastAsia="Amiri" w:cs="Amiri"/>
          <w:lang w:bidi="ar-SA"/>
          <w:color w:val="111111"/>
          <w:sz w:val="28"/>
          <w:szCs w:val="28"/>
          <w:rtl/>
        </w:rPr>
        <w:t xml:space="preserve">ابراهيم</w:t>
      </w:r>
    </w:p>
    <w:p>
      <w:pPr>
        <w:pStyle w:val="BookText"/>
      </w:pPr>
      <w:r>
        <w:rPr>
          <w:rFonts w:ascii="Amiri" w:hAnsi="Amiri" w:eastAsia="Amiri" w:cs="Amiri"/>
          <w:lang w:bidi="ar-SA"/>
          <w:color w:val="111111"/>
          <w:sz w:val="28"/>
          <w:szCs w:val="28"/>
          <w:rtl/>
        </w:rPr>
        <w:t xml:space="preserve">سليمان اذني مسيحي- اذني مسيحي ،</w:t>
      </w:r>
    </w:p>
    <w:p>
      <w:pPr>
        <w:pStyle w:val="BookText"/>
      </w:pPr>
      <w:r>
        <w:rPr>
          <w:rFonts w:ascii="IRNazanin" w:hAnsi="IRNazanin" w:eastAsia="IRNazanin" w:cs="IRNazanin"/>
          <w:lang w:bidi="fa-IR"/>
          <w:color w:val="111111"/>
          <w:sz w:val="28"/>
          <w:szCs w:val="28"/>
          <w:rtl/>
        </w:rPr>
        <w:t xml:space="preserve">سلیمان</w:t>
      </w:r>
    </w:p>
    <w:p>
      <w:pPr>
        <w:pStyle w:val="BookText"/>
      </w:pPr>
      <w:r>
        <w:rPr>
          <w:rFonts w:ascii="Amiri" w:hAnsi="Amiri" w:eastAsia="Amiri" w:cs="Amiri"/>
          <w:lang w:bidi="ar-SA"/>
          <w:color w:val="111111"/>
          <w:sz w:val="28"/>
          <w:szCs w:val="28"/>
          <w:rtl/>
        </w:rPr>
        <w:t xml:space="preserve">سليمان افندي العمري- افندي ، سليمان</w:t>
      </w:r>
    </w:p>
    <w:p>
      <w:pPr>
        <w:pStyle w:val="BookText"/>
      </w:pPr>
      <w:r>
        <w:rPr>
          <w:rFonts w:ascii="Amiri" w:hAnsi="Amiri" w:eastAsia="Amiri" w:cs="Amiri"/>
          <w:lang w:bidi="ar-SA"/>
          <w:color w:val="111111"/>
          <w:sz w:val="28"/>
          <w:szCs w:val="28"/>
          <w:rtl/>
        </w:rPr>
        <w:t xml:space="preserve">سليمان بصري نحوي- بصري ، سليمان</w:t>
      </w:r>
    </w:p>
    <w:p>
      <w:pPr>
        <w:pStyle w:val="BookText"/>
      </w:pPr>
      <w:r>
        <w:rPr>
          <w:rFonts w:ascii="Amiri" w:hAnsi="Amiri" w:eastAsia="Amiri" w:cs="Amiri"/>
          <w:lang w:bidi="ar-SA"/>
          <w:color w:val="111111"/>
          <w:sz w:val="28"/>
          <w:szCs w:val="28"/>
          <w:rtl/>
        </w:rPr>
        <w:t xml:space="preserve">سليمان بن احمد طبراني الخمي- طبراني ،</w:t>
      </w:r>
    </w:p>
    <w:p>
      <w:pPr>
        <w:pStyle w:val="BookText"/>
      </w:pPr>
      <w:r>
        <w:rPr>
          <w:rFonts w:ascii="IRNazanin" w:hAnsi="IRNazanin" w:eastAsia="IRNazanin" w:cs="IRNazanin"/>
          <w:lang w:bidi="fa-IR"/>
          <w:color w:val="111111"/>
          <w:sz w:val="28"/>
          <w:szCs w:val="28"/>
          <w:rtl/>
        </w:rPr>
        <w:t xml:space="preserve">سلیمان بن احمد</w:t>
      </w:r>
    </w:p>
    <w:p>
      <w:pPr>
        <w:pStyle w:val="BookText"/>
      </w:pPr>
      <w:r>
        <w:rPr>
          <w:rFonts w:ascii="IRNazanin" w:hAnsi="IRNazanin" w:eastAsia="IRNazanin" w:cs="IRNazanin"/>
          <w:lang w:bidi="fa-IR"/>
          <w:color w:val="111111"/>
          <w:sz w:val="28"/>
          <w:szCs w:val="28"/>
          <w:rtl/>
        </w:rPr>
        <w:t xml:space="preserve">سلیمان بن احمد قطيفي- قطيفي ،</w:t>
      </w:r>
    </w:p>
    <w:p>
      <w:pPr>
        <w:pStyle w:val="BookText"/>
      </w:pPr>
      <w:r>
        <w:rPr>
          <w:rFonts w:ascii="IRNazanin" w:hAnsi="IRNazanin" w:eastAsia="IRNazanin" w:cs="IRNazanin"/>
          <w:lang w:bidi="fa-IR"/>
          <w:color w:val="111111"/>
          <w:sz w:val="28"/>
          <w:szCs w:val="28"/>
          <w:rtl/>
        </w:rPr>
        <w:t xml:space="preserve">سلیمان بن احمد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2" w:name="pg7742_70539"/>
    <w:bookmarkEnd w:id="572"/>
    <w:p>
      <w:pPr>
        <w:pStyle w:val="BookText"/>
      </w:pPr>
      <w:r>
        <w:rPr>
          <w:rFonts w:ascii="Amiri" w:hAnsi="Amiri" w:eastAsia="Amiri" w:cs="Amiri"/>
          <w:lang w:bidi="ar-SA"/>
          <w:color w:val="111111"/>
          <w:sz w:val="28"/>
          <w:szCs w:val="28"/>
          <w:rtl/>
        </w:rPr>
        <w:t xml:space="preserve">سلمان فارسي - سليمان بن محمّد جمزوري</w:t>
      </w:r>
    </w:p>
    <w:p>
      <w:pPr>
        <w:pStyle w:val="BookText"/>
      </w:pPr>
      <w:r>
        <w:rPr>
          <w:rFonts w:ascii="Amiri" w:hAnsi="Amiri" w:eastAsia="Amiri" w:cs="Amiri"/>
          <w:lang w:bidi="ar-SA"/>
          <w:color w:val="111111"/>
          <w:sz w:val="28"/>
          <w:szCs w:val="28"/>
          <w:rtl/>
        </w:rPr>
        <w:t xml:space="preserve">سليمان بن احمد كليسي- كليسي ، سليمان بن احمد</w:t>
      </w:r>
    </w:p>
    <w:p>
      <w:pPr>
        <w:pStyle w:val="BookText"/>
      </w:pPr>
      <w:r>
        <w:rPr>
          <w:rFonts w:ascii="Amiri" w:hAnsi="Amiri" w:eastAsia="Amiri" w:cs="Amiri"/>
          <w:lang w:bidi="ar-SA"/>
          <w:color w:val="111111"/>
          <w:sz w:val="28"/>
          <w:szCs w:val="28"/>
          <w:rtl/>
        </w:rPr>
        <w:t xml:space="preserve">سليمان بن اشعث سجستاني- ابوداود ،</w:t>
      </w:r>
    </w:p>
    <w:p>
      <w:pPr>
        <w:pStyle w:val="BookText"/>
      </w:pPr>
      <w:r>
        <w:rPr>
          <w:rFonts w:ascii="IRNazanin" w:hAnsi="IRNazanin" w:eastAsia="IRNazanin" w:cs="IRNazanin"/>
          <w:lang w:bidi="fa-IR"/>
          <w:color w:val="111111"/>
          <w:sz w:val="28"/>
          <w:szCs w:val="28"/>
          <w:rtl/>
        </w:rPr>
        <w:t xml:space="preserve">سلیمان بن اشعث</w:t>
      </w:r>
    </w:p>
    <w:p>
      <w:pPr>
        <w:pStyle w:val="BookText"/>
      </w:pPr>
      <w:r>
        <w:rPr>
          <w:rFonts w:ascii="Amiri" w:hAnsi="Amiri" w:eastAsia="Amiri" w:cs="Amiri"/>
          <w:lang w:bidi="ar-SA"/>
          <w:color w:val="111111"/>
          <w:sz w:val="28"/>
          <w:szCs w:val="28"/>
          <w:rtl/>
        </w:rPr>
        <w:t xml:space="preserve">سليمان بن بنين دقيقي -دقيقي ، سليمان بن بنين</w:t>
      </w:r>
    </w:p>
    <w:p>
      <w:pPr>
        <w:pStyle w:val="BookText"/>
      </w:pPr>
      <w:r>
        <w:rPr>
          <w:rFonts w:ascii="IRNazanin" w:hAnsi="IRNazanin" w:eastAsia="IRNazanin" w:cs="IRNazanin"/>
          <w:lang w:bidi="fa-IR"/>
          <w:color w:val="111111"/>
          <w:sz w:val="28"/>
          <w:szCs w:val="28"/>
          <w:rtl/>
        </w:rPr>
        <w:t xml:space="preserve">سلیمان بن حسن الغزي</w:t>
      </w:r>
    </w:p>
    <w:p>
      <w:pPr>
        <w:pStyle w:val="BookText"/>
      </w:pPr>
      <w:r>
        <w:rPr>
          <w:rFonts w:ascii="Amiri" w:hAnsi="Amiri" w:eastAsia="Amiri" w:cs="Amiri"/>
          <w:lang w:bidi="ar-SA"/>
          <w:color w:val="111111"/>
          <w:sz w:val="28"/>
          <w:szCs w:val="28"/>
          <w:rtl/>
        </w:rPr>
        <w:t xml:space="preserve">الارثذوكسي - غزي ، سليمان بن حسن</w:t>
      </w:r>
    </w:p>
    <w:p>
      <w:pPr>
        <w:pStyle w:val="BookText"/>
      </w:pPr>
      <w:r>
        <w:rPr>
          <w:rFonts w:ascii="Amiri" w:hAnsi="Amiri" w:eastAsia="Amiri" w:cs="Amiri"/>
          <w:lang w:bidi="ar-SA"/>
          <w:color w:val="111111"/>
          <w:sz w:val="28"/>
          <w:szCs w:val="28"/>
          <w:rtl/>
        </w:rPr>
        <w:t xml:space="preserve">سليمان بن حسن صهرشتي- صهرشتي ،</w:t>
      </w:r>
    </w:p>
    <w:p>
      <w:pPr>
        <w:pStyle w:val="BookText"/>
      </w:pPr>
      <w:r>
        <w:rPr>
          <w:rFonts w:ascii="Amiri" w:hAnsi="Amiri" w:eastAsia="Amiri" w:cs="Amiri"/>
          <w:lang w:bidi="ar-SA"/>
          <w:color w:val="111111"/>
          <w:sz w:val="28"/>
          <w:szCs w:val="28"/>
          <w:rtl/>
        </w:rPr>
        <w:t xml:space="preserve">سليمان بن حسن</w:t>
      </w:r>
    </w:p>
    <w:p>
      <w:pPr>
        <w:pStyle w:val="Heading2"/>
      </w:pPr>
      <w:bookmarkStart w:id="4876" w:name="_Toc3978"/>
      <w:r>
        <w:t>سليمان بن حسين بن سليمان بن نصر</w:t>
      </w:r>
      <w:bookmarkEnd w:id="4876"/>
    </w:p>
    <w:p>
      <w:pPr>
        <w:pStyle w:val="BookText"/>
      </w:pPr>
      <w:r>
        <w:rPr>
          <w:rFonts w:ascii="Amiri" w:hAnsi="Amiri" w:eastAsia="Amiri" w:cs="Amiri"/>
          <w:lang w:bidi="ar-SA"/>
          <w:color w:val="111111"/>
          <w:sz w:val="28"/>
          <w:szCs w:val="28"/>
          <w:rtl/>
        </w:rPr>
        <w:t xml:space="preserve">درة التاج و سلم المعراج، ج 7، ص233</w:t>
      </w:r>
    </w:p>
    <w:p>
      <w:pPr>
        <w:pStyle w:val="BookText"/>
      </w:pPr>
      <w:r>
        <w:rPr>
          <w:rFonts w:ascii="Amiri" w:hAnsi="Amiri" w:eastAsia="Amiri" w:cs="Amiri"/>
          <w:lang w:bidi="ar-SA"/>
          <w:color w:val="111111"/>
          <w:sz w:val="28"/>
          <w:szCs w:val="28"/>
          <w:rtl/>
        </w:rPr>
        <w:t xml:space="preserve">سليمان بن خالد قادري- قادري ، سليمان</w:t>
      </w:r>
    </w:p>
    <w:p>
      <w:pPr>
        <w:pStyle w:val="BookText"/>
      </w:pPr>
      <w:r>
        <w:rPr>
          <w:rFonts w:ascii="IRNazanin" w:hAnsi="IRNazanin" w:eastAsia="IRNazanin" w:cs="IRNazanin"/>
          <w:lang w:bidi="fa-IR"/>
          <w:color w:val="111111"/>
          <w:sz w:val="28"/>
          <w:szCs w:val="28"/>
          <w:rtl/>
        </w:rPr>
        <w:t xml:space="preserve">بن خالد</w:t>
      </w:r>
    </w:p>
    <w:p>
      <w:pPr>
        <w:pStyle w:val="BookText"/>
      </w:pPr>
      <w:r>
        <w:rPr>
          <w:rFonts w:ascii="Amiri" w:hAnsi="Amiri" w:eastAsia="Amiri" w:cs="Amiri"/>
          <w:lang w:bidi="ar-SA"/>
          <w:color w:val="111111"/>
          <w:sz w:val="28"/>
          <w:szCs w:val="28"/>
          <w:rtl/>
        </w:rPr>
        <w:t xml:space="preserve">سليمان بن خلف تجيبي قرطبي- باجي ،</w:t>
      </w:r>
    </w:p>
    <w:p>
      <w:pPr>
        <w:pStyle w:val="BookText"/>
      </w:pPr>
      <w:r>
        <w:rPr>
          <w:rFonts w:ascii="Amiri" w:hAnsi="Amiri" w:eastAsia="Amiri" w:cs="Amiri"/>
          <w:lang w:bidi="ar-SA"/>
          <w:color w:val="111111"/>
          <w:sz w:val="28"/>
          <w:szCs w:val="28"/>
          <w:rtl/>
        </w:rPr>
        <w:t xml:space="preserve">سليمان بن خلف</w:t>
      </w:r>
    </w:p>
    <w:p>
      <w:pPr>
        <w:pStyle w:val="BookText"/>
      </w:pPr>
      <w:r>
        <w:rPr>
          <w:rFonts w:ascii="Amiri" w:hAnsi="Amiri" w:eastAsia="Amiri" w:cs="Amiri"/>
          <w:lang w:bidi="ar-SA"/>
          <w:color w:val="111111"/>
          <w:sz w:val="28"/>
          <w:szCs w:val="28"/>
          <w:rtl/>
        </w:rPr>
        <w:t xml:space="preserve">سليمان بن داود حلي -حلي ، سليمان بن</w:t>
      </w:r>
    </w:p>
    <w:p>
      <w:pPr>
        <w:pStyle w:val="BookText"/>
      </w:pPr>
      <w:r>
        <w:rPr>
          <w:rFonts w:ascii="IRNazanin" w:hAnsi="IRNazanin" w:eastAsia="IRNazanin" w:cs="IRNazanin"/>
          <w:lang w:bidi="fa-IR"/>
          <w:color w:val="111111"/>
          <w:sz w:val="28"/>
          <w:szCs w:val="28"/>
          <w:rtl/>
        </w:rPr>
        <w:t xml:space="preserve">داود</w:t>
      </w:r>
    </w:p>
    <w:p>
      <w:pPr>
        <w:pStyle w:val="BookText"/>
      </w:pPr>
      <w:r>
        <w:rPr>
          <w:rFonts w:ascii="IRNazanin" w:hAnsi="IRNazanin" w:eastAsia="IRNazanin" w:cs="IRNazanin"/>
          <w:lang w:bidi="fa-IR"/>
          <w:color w:val="111111"/>
          <w:sz w:val="28"/>
          <w:szCs w:val="28"/>
          <w:rtl/>
        </w:rPr>
        <w:t xml:space="preserve">سلیمان بن داود سقسيني - سقسيني ،</w:t>
      </w:r>
    </w:p>
    <w:p>
      <w:pPr>
        <w:pStyle w:val="BookText"/>
      </w:pPr>
      <w:r>
        <w:rPr>
          <w:rFonts w:ascii="IRNazanin" w:hAnsi="IRNazanin" w:eastAsia="IRNazanin" w:cs="IRNazanin"/>
          <w:lang w:bidi="fa-IR"/>
          <w:color w:val="111111"/>
          <w:sz w:val="28"/>
          <w:szCs w:val="28"/>
          <w:rtl/>
        </w:rPr>
        <w:t xml:space="preserve">سلیمان بن داود</w:t>
      </w:r>
    </w:p>
    <w:p>
      <w:pPr>
        <w:pStyle w:val="BookText"/>
      </w:pPr>
      <w:r>
        <w:rPr>
          <w:rFonts w:ascii="IRNazanin" w:hAnsi="IRNazanin" w:eastAsia="IRNazanin" w:cs="IRNazanin"/>
          <w:lang w:bidi="fa-IR"/>
          <w:color w:val="111111"/>
          <w:sz w:val="28"/>
          <w:szCs w:val="28"/>
          <w:rtl/>
        </w:rPr>
        <w:t xml:space="preserve">سلیمان بن داود طيالسي-طيالسي ،</w:t>
      </w:r>
    </w:p>
    <w:p>
      <w:pPr>
        <w:pStyle w:val="BookText"/>
      </w:pPr>
      <w:r>
        <w:rPr>
          <w:rFonts w:ascii="Amiri" w:hAnsi="Amiri" w:eastAsia="Amiri" w:cs="Amiri"/>
          <w:lang w:bidi="ar-SA"/>
          <w:color w:val="111111"/>
          <w:sz w:val="28"/>
          <w:szCs w:val="28"/>
          <w:rtl/>
        </w:rPr>
        <w:t xml:space="preserve">سليمان بن داود</w:t>
      </w:r>
    </w:p>
    <w:p>
      <w:pPr>
        <w:pStyle w:val="BookText"/>
      </w:pPr>
      <w:r>
        <w:rPr>
          <w:rFonts w:ascii="Amiri" w:hAnsi="Amiri" w:eastAsia="Amiri" w:cs="Amiri"/>
          <w:lang w:bidi="ar-SA"/>
          <w:color w:val="111111"/>
          <w:sz w:val="28"/>
          <w:szCs w:val="28"/>
          <w:rtl/>
        </w:rPr>
        <w:t xml:space="preserve">سليمان بن سليمان قرق اغاجي- قرق</w:t>
      </w:r>
    </w:p>
    <w:p>
      <w:pPr>
        <w:pStyle w:val="BookText"/>
      </w:pPr>
      <w:r>
        <w:rPr>
          <w:rFonts w:ascii="Amiri" w:hAnsi="Amiri" w:eastAsia="Amiri" w:cs="Amiri"/>
          <w:lang w:bidi="ar-SA"/>
          <w:color w:val="111111"/>
          <w:sz w:val="28"/>
          <w:szCs w:val="28"/>
          <w:rtl/>
        </w:rPr>
        <w:t xml:space="preserve">اغاجي ، سليمان بن سليمان</w:t>
      </w:r>
    </w:p>
    <w:p>
      <w:pPr>
        <w:pStyle w:val="BookText"/>
      </w:pPr>
      <w:r>
        <w:rPr>
          <w:rFonts w:ascii="IRNazanin" w:hAnsi="IRNazanin" w:eastAsia="IRNazanin" w:cs="IRNazanin"/>
          <w:lang w:bidi="fa-IR"/>
          <w:color w:val="111111"/>
          <w:sz w:val="28"/>
          <w:szCs w:val="28"/>
          <w:rtl/>
        </w:rPr>
        <w:t xml:space="preserve">سليمان بن شيخ حسام الدین -ابن مهاون</w:t>
      </w:r>
    </w:p>
    <w:p>
      <w:pPr>
        <w:pStyle w:val="BookText"/>
      </w:pPr>
      <w:r>
        <w:rPr>
          <w:rFonts w:ascii="Amiri" w:hAnsi="Amiri" w:eastAsia="Amiri" w:cs="Amiri"/>
          <w:lang w:bidi="ar-SA"/>
          <w:color w:val="111111"/>
          <w:sz w:val="28"/>
          <w:szCs w:val="28"/>
          <w:rtl/>
        </w:rPr>
        <w:t xml:space="preserve">شاه قادري، سليمان بن عبدالشكور</w:t>
      </w:r>
    </w:p>
    <w:p>
      <w:pPr>
        <w:pStyle w:val="BookText"/>
      </w:pPr>
      <w:r>
        <w:rPr>
          <w:rFonts w:ascii="Amiri" w:hAnsi="Amiri" w:eastAsia="Amiri" w:cs="Amiri"/>
          <w:lang w:bidi="ar-SA"/>
          <w:color w:val="111111"/>
          <w:sz w:val="28"/>
          <w:szCs w:val="28"/>
          <w:rtl/>
        </w:rPr>
        <w:t xml:space="preserve">سليمان بن صالح دخيل نجدي- دخيل نجدي، سليمان بن صالح</w:t>
      </w:r>
    </w:p>
    <w:p>
      <w:pPr>
        <w:pStyle w:val="BookText"/>
      </w:pPr>
      <w:r>
        <w:rPr>
          <w:rFonts w:ascii="IRNazanin" w:hAnsi="IRNazanin" w:eastAsia="IRNazanin" w:cs="IRNazanin"/>
          <w:lang w:bidi="fa-IR"/>
          <w:color w:val="111111"/>
          <w:sz w:val="28"/>
          <w:szCs w:val="28"/>
          <w:rtl/>
        </w:rPr>
        <w:t xml:space="preserve">سليمان بن عامر -ابن عامر ، سلیمان بن</w:t>
      </w:r>
    </w:p>
    <w:p>
      <w:pPr>
        <w:pStyle w:val="BookText"/>
      </w:pPr>
      <w:r>
        <w:rPr>
          <w:rFonts w:ascii="IRNazanin" w:hAnsi="IRNazanin" w:eastAsia="IRNazanin" w:cs="IRNazanin"/>
          <w:lang w:bidi="fa-IR"/>
          <w:color w:val="111111"/>
          <w:sz w:val="28"/>
          <w:szCs w:val="28"/>
          <w:rtl/>
        </w:rPr>
        <w:t xml:space="preserve">عامر</w:t>
      </w:r>
    </w:p>
    <w:p>
      <w:pPr>
        <w:pStyle w:val="BookText"/>
      </w:pPr>
      <w:r>
        <w:rPr>
          <w:rFonts w:ascii="Amiri" w:hAnsi="Amiri" w:eastAsia="Amiri" w:cs="Amiri"/>
          <w:lang w:bidi="ar-SA"/>
          <w:color w:val="111111"/>
          <w:sz w:val="28"/>
          <w:szCs w:val="28"/>
          <w:rtl/>
        </w:rPr>
        <w:t xml:space="preserve">سليمان بن عبد الحق الدهلوي- دهلوي ، سليمان بن عبدالحق</w:t>
      </w:r>
    </w:p>
    <w:p>
      <w:pPr>
        <w:pStyle w:val="Heading2"/>
      </w:pPr>
      <w:bookmarkStart w:id="4877" w:name="_Toc3979"/>
      <w:r>
        <w:t>سلیمان بن عبدالرحمن</w:t>
      </w:r>
      <w:bookmarkEnd w:id="4877"/>
    </w:p>
    <w:p>
      <w:pPr>
        <w:pStyle w:val="BookText"/>
      </w:pPr>
      <w:r>
        <w:rPr>
          <w:rFonts w:ascii="Amiri" w:hAnsi="Amiri" w:eastAsia="Amiri" w:cs="Amiri"/>
          <w:lang w:bidi="ar-SA"/>
          <w:color w:val="111111"/>
          <w:sz w:val="28"/>
          <w:szCs w:val="28"/>
          <w:rtl/>
        </w:rPr>
        <w:t xml:space="preserve">اجازة لبس الخرقه للشيخ محمّد</w:t>
      </w:r>
    </w:p>
    <w:p>
      <w:pPr>
        <w:pStyle w:val="BookText"/>
      </w:pPr>
      <w:r>
        <w:rPr>
          <w:rFonts w:ascii="IRNazanin" w:hAnsi="IRNazanin" w:eastAsia="IRNazanin" w:cs="IRNazanin"/>
          <w:lang w:bidi="fa-IR"/>
          <w:color w:val="111111"/>
          <w:sz w:val="28"/>
          <w:szCs w:val="28"/>
          <w:rtl/>
        </w:rPr>
        <w:t xml:space="preserve">طاهر، ج 1، ص 232.</w:t>
      </w:r>
    </w:p>
    <w:p>
      <w:pPr>
        <w:pStyle w:val="BookText"/>
      </w:pPr>
      <w:r>
        <w:rPr>
          <w:rFonts w:ascii="Amiri" w:hAnsi="Amiri" w:eastAsia="Amiri" w:cs="Amiri"/>
          <w:lang w:bidi="ar-SA"/>
          <w:color w:val="111111"/>
          <w:sz w:val="28"/>
          <w:szCs w:val="28"/>
          <w:rtl/>
        </w:rPr>
        <w:t xml:space="preserve">سليمان بن عبد الرحمن بن سليمان المغربي - مغربي ، سليمان بن عبدالرحمن</w:t>
      </w:r>
    </w:p>
    <w:p>
      <w:pPr>
        <w:pStyle w:val="BookText"/>
      </w:pPr>
      <w:r>
        <w:rPr>
          <w:rFonts w:ascii="Amiri" w:hAnsi="Amiri" w:eastAsia="Amiri" w:cs="Amiri"/>
          <w:lang w:bidi="ar-SA"/>
          <w:color w:val="111111"/>
          <w:sz w:val="28"/>
          <w:szCs w:val="28"/>
          <w:rtl/>
        </w:rPr>
        <w:t xml:space="preserve">سليمان بن عبد الشكور- ابن مهاون شاه</w:t>
      </w:r>
    </w:p>
    <w:p>
      <w:pPr>
        <w:pStyle w:val="BookText"/>
      </w:pPr>
      <w:r>
        <w:rPr>
          <w:rFonts w:ascii="Amiri" w:hAnsi="Amiri" w:eastAsia="Amiri" w:cs="Amiri"/>
          <w:lang w:bidi="ar-SA"/>
          <w:color w:val="111111"/>
          <w:sz w:val="28"/>
          <w:szCs w:val="28"/>
          <w:rtl/>
        </w:rPr>
        <w:t xml:space="preserve">قادري، سليمان بن عبدالشكور</w:t>
      </w:r>
    </w:p>
    <w:p>
      <w:pPr>
        <w:pStyle w:val="BookText"/>
      </w:pPr>
      <w:r>
        <w:rPr>
          <w:rFonts w:ascii="Amiri" w:hAnsi="Amiri" w:eastAsia="Amiri" w:cs="Amiri"/>
          <w:lang w:bidi="ar-SA"/>
          <w:color w:val="111111"/>
          <w:sz w:val="28"/>
          <w:szCs w:val="28"/>
          <w:rtl/>
        </w:rPr>
        <w:t xml:space="preserve">سليمان بن عبدالله حميري - حميري</w:t>
      </w:r>
    </w:p>
    <w:p>
      <w:pPr>
        <w:pStyle w:val="BookText"/>
      </w:pPr>
      <w:r>
        <w:rPr>
          <w:rFonts w:ascii="Amiri" w:hAnsi="Amiri" w:eastAsia="Amiri" w:cs="Amiri"/>
          <w:lang w:bidi="ar-SA"/>
          <w:color w:val="111111"/>
          <w:sz w:val="28"/>
          <w:szCs w:val="28"/>
          <w:rtl/>
        </w:rPr>
        <w:t xml:space="preserve">سليمان بن عبدالله</w:t>
      </w:r>
    </w:p>
    <w:p>
      <w:pPr>
        <w:pStyle w:val="BookText"/>
      </w:pPr>
      <w:r>
        <w:rPr>
          <w:rFonts w:ascii="IRNazanin" w:hAnsi="IRNazanin" w:eastAsia="IRNazanin" w:cs="IRNazanin"/>
          <w:lang w:bidi="fa-IR"/>
          <w:color w:val="111111"/>
          <w:sz w:val="28"/>
          <w:szCs w:val="28"/>
          <w:rtl/>
        </w:rPr>
        <w:t xml:space="preserve">سلیمان بن عبدالله ماحوزي بحراني- بحراني ، سليمان بن عبدالله</w:t>
      </w:r>
    </w:p>
    <w:p>
      <w:pPr>
        <w:pStyle w:val="BookText"/>
      </w:pPr>
      <w:r>
        <w:rPr>
          <w:rFonts w:ascii="Amiri" w:hAnsi="Amiri" w:eastAsia="Amiri" w:cs="Amiri"/>
          <w:lang w:bidi="ar-SA"/>
          <w:color w:val="111111"/>
          <w:sz w:val="28"/>
          <w:szCs w:val="28"/>
          <w:rtl/>
        </w:rPr>
        <w:t xml:space="preserve">سليمان بن عبدالله نجدي -نجدي ،</w:t>
      </w:r>
    </w:p>
    <w:p>
      <w:pPr>
        <w:pStyle w:val="BookText"/>
      </w:pPr>
      <w:r>
        <w:rPr>
          <w:rFonts w:ascii="IRNazanin" w:hAnsi="IRNazanin" w:eastAsia="IRNazanin" w:cs="IRNazanin"/>
          <w:lang w:bidi="fa-IR"/>
          <w:color w:val="111111"/>
          <w:sz w:val="28"/>
          <w:szCs w:val="28"/>
          <w:rtl/>
        </w:rPr>
        <w:t xml:space="preserve">سلیمان بن عبدالله</w:t>
      </w:r>
    </w:p>
    <w:p>
      <w:pPr>
        <w:pStyle w:val="BookText"/>
      </w:pPr>
      <w:r>
        <w:rPr>
          <w:rFonts w:ascii="Amiri" w:hAnsi="Amiri" w:eastAsia="Amiri" w:cs="Amiri"/>
          <w:lang w:bidi="ar-SA"/>
          <w:color w:val="111111"/>
          <w:sz w:val="28"/>
          <w:szCs w:val="28"/>
          <w:rtl/>
        </w:rPr>
        <w:t xml:space="preserve">سليمان بن عبدالوهاب تميمي- تميمي</w:t>
      </w:r>
    </w:p>
    <w:p>
      <w:pPr>
        <w:pStyle w:val="BookText"/>
      </w:pPr>
      <w:r>
        <w:rPr>
          <w:rFonts w:ascii="IRNazanin" w:hAnsi="IRNazanin" w:eastAsia="IRNazanin" w:cs="IRNazanin"/>
          <w:lang w:bidi="fa-IR"/>
          <w:color w:val="111111"/>
          <w:sz w:val="28"/>
          <w:szCs w:val="28"/>
          <w:rtl/>
        </w:rPr>
        <w:t xml:space="preserve">سلیمان بن عبدالوهاب</w:t>
      </w:r>
    </w:p>
    <w:p>
      <w:pPr>
        <w:pStyle w:val="BookText"/>
      </w:pPr>
      <w:r>
        <w:rPr>
          <w:rFonts w:ascii="Amiri" w:hAnsi="Amiri" w:eastAsia="Amiri" w:cs="Amiri"/>
          <w:lang w:bidi="ar-SA"/>
          <w:color w:val="111111"/>
          <w:sz w:val="28"/>
          <w:szCs w:val="28"/>
          <w:rtl/>
        </w:rPr>
        <w:t xml:space="preserve">سليمان بن عبد الله نحوي- نحوي ، سليمان</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سليمان بن علي تلمساني- تلمساني ،</w:t>
      </w:r>
    </w:p>
    <w:p>
      <w:pPr>
        <w:pStyle w:val="BookText"/>
      </w:pPr>
      <w:r>
        <w:rPr>
          <w:rFonts w:ascii="Amiri" w:hAnsi="Amiri" w:eastAsia="Amiri" w:cs="Amiri"/>
          <w:lang w:bidi="ar-SA"/>
          <w:color w:val="111111"/>
          <w:sz w:val="28"/>
          <w:szCs w:val="28"/>
          <w:rtl/>
        </w:rPr>
        <w:t xml:space="preserve">سليمان بن علي</w:t>
      </w:r>
    </w:p>
    <w:p>
      <w:pPr>
        <w:pStyle w:val="BookText"/>
      </w:pPr>
      <w:r>
        <w:rPr>
          <w:rFonts w:ascii="IRNazanin" w:hAnsi="IRNazanin" w:eastAsia="IRNazanin" w:cs="IRNazanin"/>
          <w:lang w:bidi="fa-IR"/>
          <w:color w:val="111111"/>
          <w:sz w:val="28"/>
          <w:szCs w:val="28"/>
          <w:rtl/>
        </w:rPr>
        <w:t xml:space="preserve">سلیمان بن محمّد بغدادي شافعي- سويدي، سليمان بن محمّد</w:t>
      </w:r>
    </w:p>
    <w:p>
      <w:pPr>
        <w:pStyle w:val="BookText"/>
      </w:pPr>
      <w:r>
        <w:rPr>
          <w:rFonts w:ascii="IRNazanin" w:hAnsi="IRNazanin" w:eastAsia="IRNazanin" w:cs="IRNazanin"/>
          <w:lang w:bidi="fa-IR"/>
          <w:color w:val="111111"/>
          <w:sz w:val="28"/>
          <w:szCs w:val="28"/>
          <w:rtl/>
        </w:rPr>
        <w:t xml:space="preserve">سلیمان بن محمّد جمزوري - جمزوري ،</w:t>
      </w:r>
    </w:p>
    <w:p>
      <w:pPr>
        <w:pStyle w:val="BookText"/>
      </w:pPr>
      <w:r>
        <w:rPr>
          <w:rFonts w:ascii="IRNazanin" w:hAnsi="IRNazanin" w:eastAsia="IRNazanin" w:cs="IRNazanin"/>
          <w:lang w:bidi="fa-IR"/>
          <w:color w:val="111111"/>
          <w:sz w:val="28"/>
          <w:szCs w:val="28"/>
          <w:rtl/>
        </w:rPr>
        <w:t xml:space="preserve">سلیمان بن محمّد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3" w:name="pg7742_70541"/>
    <w:bookmarkEnd w:id="573"/>
    <w:p>
      <w:pPr>
        <w:pStyle w:val="BookText"/>
      </w:pPr>
      <w:r>
        <w:rPr>
          <w:rFonts w:ascii="Amiri" w:hAnsi="Amiri" w:eastAsia="Amiri" w:cs="Amiri"/>
          <w:lang w:bidi="ar-SA"/>
          <w:color w:val="111111"/>
          <w:sz w:val="28"/>
          <w:szCs w:val="28"/>
          <w:rtl/>
        </w:rPr>
        <w:t xml:space="preserve">سليمان بن محمّد حامض -حامض ،</w:t>
      </w:r>
    </w:p>
    <w:p>
      <w:pPr>
        <w:pStyle w:val="BookText"/>
      </w:pPr>
      <w:r>
        <w:rPr>
          <w:rFonts w:ascii="Amiri" w:hAnsi="Amiri" w:eastAsia="Amiri" w:cs="Amiri"/>
          <w:lang w:bidi="ar-SA"/>
          <w:color w:val="111111"/>
          <w:sz w:val="28"/>
          <w:szCs w:val="28"/>
          <w:rtl/>
        </w:rPr>
        <w:t xml:space="preserve">سليمان بن محمّد</w:t>
      </w:r>
    </w:p>
    <w:p>
      <w:pPr>
        <w:pStyle w:val="BookText"/>
      </w:pPr>
      <w:r>
        <w:rPr>
          <w:rFonts w:ascii="IRNazanin" w:hAnsi="IRNazanin" w:eastAsia="IRNazanin" w:cs="IRNazanin"/>
          <w:lang w:bidi="fa-IR"/>
          <w:color w:val="111111"/>
          <w:sz w:val="28"/>
          <w:szCs w:val="28"/>
          <w:rtl/>
        </w:rPr>
        <w:t xml:space="preserve">سلیمان بن محمّد داقوقي- داقوقي ،</w:t>
      </w:r>
    </w:p>
    <w:p>
      <w:pPr>
        <w:pStyle w:val="BookText"/>
      </w:pPr>
      <w:r>
        <w:rPr>
          <w:rFonts w:ascii="IRNazanin" w:hAnsi="IRNazanin" w:eastAsia="IRNazanin" w:cs="IRNazanin"/>
          <w:lang w:bidi="fa-IR"/>
          <w:color w:val="111111"/>
          <w:sz w:val="28"/>
          <w:szCs w:val="28"/>
          <w:rtl/>
        </w:rPr>
        <w:t xml:space="preserve">سلیمان بن محمّد</w:t>
      </w:r>
    </w:p>
    <w:p>
      <w:pPr>
        <w:pStyle w:val="BookText"/>
      </w:pPr>
      <w:r>
        <w:rPr>
          <w:rFonts w:ascii="IRNazanin" w:hAnsi="IRNazanin" w:eastAsia="IRNazanin" w:cs="IRNazanin"/>
          <w:lang w:bidi="fa-IR"/>
          <w:color w:val="111111"/>
          <w:sz w:val="28"/>
          <w:szCs w:val="28"/>
          <w:rtl/>
        </w:rPr>
        <w:t xml:space="preserve">سلیمان بن محمّد سويدي -سويدي</w:t>
      </w:r>
    </w:p>
    <w:p>
      <w:pPr>
        <w:pStyle w:val="BookText"/>
      </w:pPr>
      <w:r>
        <w:rPr>
          <w:rFonts w:ascii="Amiri" w:hAnsi="Amiri" w:eastAsia="Amiri" w:cs="Amiri"/>
          <w:lang w:bidi="ar-SA"/>
          <w:color w:val="111111"/>
          <w:sz w:val="28"/>
          <w:szCs w:val="28"/>
          <w:rtl/>
        </w:rPr>
        <w:t xml:space="preserve">سليمان بن محمّد</w:t>
      </w:r>
    </w:p>
    <w:p>
      <w:pPr>
        <w:pStyle w:val="BookText"/>
      </w:pPr>
      <w:r>
        <w:rPr>
          <w:rFonts w:ascii="IRNazanin" w:hAnsi="IRNazanin" w:eastAsia="IRNazanin" w:cs="IRNazanin"/>
          <w:lang w:bidi="fa-IR"/>
          <w:color w:val="111111"/>
          <w:sz w:val="28"/>
          <w:szCs w:val="28"/>
          <w:rtl/>
        </w:rPr>
        <w:t xml:space="preserve">سلیمان بن موسى كلاعي- كلاعي ،</w:t>
      </w:r>
    </w:p>
    <w:p>
      <w:pPr>
        <w:pStyle w:val="BookText"/>
      </w:pPr>
      <w:r>
        <w:rPr>
          <w:rFonts w:ascii="IRNazanin" w:hAnsi="IRNazanin" w:eastAsia="IRNazanin" w:cs="IRNazanin"/>
          <w:lang w:bidi="fa-IR"/>
          <w:color w:val="111111"/>
          <w:sz w:val="28"/>
          <w:szCs w:val="28"/>
          <w:rtl/>
        </w:rPr>
        <w:t xml:space="preserve">سلیمان بن موسى</w:t>
      </w:r>
    </w:p>
    <w:p>
      <w:pPr>
        <w:pStyle w:val="BookText"/>
      </w:pPr>
      <w:r>
        <w:rPr>
          <w:rFonts w:ascii="Amiri" w:hAnsi="Amiri" w:eastAsia="Amiri" w:cs="Amiri"/>
          <w:lang w:bidi="ar-SA"/>
          <w:color w:val="111111"/>
          <w:sz w:val="28"/>
          <w:szCs w:val="28"/>
          <w:rtl/>
        </w:rPr>
        <w:t xml:space="preserve">سليمان جمزوري - جمزوري ، سليمان بن محمّد</w:t>
      </w:r>
    </w:p>
    <w:p>
      <w:pPr>
        <w:pStyle w:val="BookText"/>
      </w:pPr>
      <w:r>
        <w:rPr>
          <w:rFonts w:ascii="Amiri" w:hAnsi="Amiri" w:eastAsia="Amiri" w:cs="Amiri"/>
          <w:lang w:bidi="ar-SA"/>
          <w:color w:val="111111"/>
          <w:sz w:val="28"/>
          <w:szCs w:val="28"/>
          <w:rtl/>
        </w:rPr>
        <w:t xml:space="preserve">سليمان حنائي- حنائي ، سليمان</w:t>
      </w:r>
    </w:p>
    <w:p>
      <w:pPr>
        <w:pStyle w:val="BookText"/>
      </w:pPr>
      <w:r>
        <w:rPr>
          <w:rFonts w:ascii="Amiri" w:hAnsi="Amiri" w:eastAsia="Amiri" w:cs="Amiri"/>
          <w:lang w:bidi="ar-SA"/>
          <w:color w:val="111111"/>
          <w:sz w:val="28"/>
          <w:szCs w:val="28"/>
          <w:rtl/>
        </w:rPr>
        <w:t xml:space="preserve">سليمان شاوي -شاوي ، سليمان بن عبدالله</w:t>
      </w:r>
    </w:p>
    <w:p>
      <w:pPr>
        <w:pStyle w:val="BookText"/>
      </w:pPr>
      <w:r>
        <w:rPr>
          <w:rFonts w:ascii="Amiri" w:hAnsi="Amiri" w:eastAsia="Amiri" w:cs="Amiri"/>
          <w:lang w:bidi="ar-SA"/>
          <w:color w:val="111111"/>
          <w:sz w:val="28"/>
          <w:szCs w:val="28"/>
          <w:rtl/>
        </w:rPr>
        <w:t xml:space="preserve">سليمان فائق بك -فائق بيك ، سليمان بن ،</w:t>
      </w:r>
    </w:p>
    <w:p>
      <w:pPr>
        <w:pStyle w:val="BookText"/>
      </w:pPr>
      <w:r>
        <w:rPr>
          <w:rFonts w:ascii="IRNazanin" w:hAnsi="IRNazanin" w:eastAsia="IRNazanin" w:cs="IRNazanin"/>
          <w:lang w:bidi="fa-IR"/>
          <w:color w:val="111111"/>
          <w:sz w:val="28"/>
          <w:szCs w:val="28"/>
          <w:rtl/>
        </w:rPr>
        <w:t xml:space="preserve">طالب اغا</w:t>
      </w:r>
    </w:p>
    <w:p>
      <w:pPr>
        <w:pStyle w:val="BookText"/>
      </w:pPr>
      <w:r>
        <w:rPr>
          <w:rFonts w:ascii="Amiri" w:hAnsi="Amiri" w:eastAsia="Amiri" w:cs="Amiri"/>
          <w:lang w:bidi="ar-SA"/>
          <w:color w:val="111111"/>
          <w:sz w:val="28"/>
          <w:szCs w:val="28"/>
          <w:rtl/>
        </w:rPr>
        <w:t xml:space="preserve">سليمان فائق- فائق بيك ، سليمان بن</w:t>
      </w:r>
    </w:p>
    <w:p>
      <w:pPr>
        <w:pStyle w:val="BookText"/>
      </w:pPr>
      <w:r>
        <w:rPr>
          <w:rFonts w:ascii="IRNazanin" w:hAnsi="IRNazanin" w:eastAsia="IRNazanin" w:cs="IRNazanin"/>
          <w:lang w:bidi="fa-IR"/>
          <w:color w:val="111111"/>
          <w:sz w:val="28"/>
          <w:szCs w:val="28"/>
          <w:rtl/>
        </w:rPr>
        <w:t xml:space="preserve">طالب اغا</w:t>
      </w:r>
    </w:p>
    <w:p>
      <w:pPr>
        <w:pStyle w:val="Heading2"/>
      </w:pPr>
      <w:bookmarkStart w:id="4878" w:name="_Toc3980"/>
      <w:r>
        <w:t>سلیمان ، محمّد صالح</w:t>
      </w:r>
      <w:bookmarkEnd w:id="4878"/>
    </w:p>
    <w:p>
      <w:pPr>
        <w:pStyle w:val="BookText"/>
      </w:pPr>
      <w:r>
        <w:rPr>
          <w:rFonts w:ascii="Amiri" w:hAnsi="Amiri" w:eastAsia="Amiri" w:cs="Amiri"/>
          <w:lang w:bidi="ar-SA"/>
          <w:color w:val="111111"/>
          <w:sz w:val="28"/>
          <w:szCs w:val="28"/>
          <w:rtl/>
        </w:rPr>
        <w:t xml:space="preserve">المقاصد العلية في شرح الرسالة الألفية</w:t>
      </w:r>
    </w:p>
    <w:p>
      <w:pPr>
        <w:pStyle w:val="BookText"/>
      </w:pPr>
      <w:r>
        <w:rPr>
          <w:rFonts w:ascii="IRNazanin" w:hAnsi="IRNazanin" w:eastAsia="IRNazanin" w:cs="IRNazanin"/>
          <w:lang w:bidi="fa-IR"/>
          <w:color w:val="111111"/>
          <w:sz w:val="28"/>
          <w:szCs w:val="28"/>
          <w:rtl/>
        </w:rPr>
        <w:t xml:space="preserve">ج 15، ص 274.</w:t>
      </w:r>
    </w:p>
    <w:p>
      <w:pPr>
        <w:pStyle w:val="BookText"/>
      </w:pPr>
      <w:r>
        <w:rPr>
          <w:rFonts w:ascii="Amiri" w:hAnsi="Amiri" w:eastAsia="Amiri" w:cs="Amiri"/>
          <w:lang w:bidi="ar-SA"/>
          <w:color w:val="111111"/>
          <w:sz w:val="28"/>
          <w:szCs w:val="28"/>
          <w:rtl/>
        </w:rPr>
        <w:t xml:space="preserve">سليماني ، احمد بن محمّد صالح- احمد</w:t>
      </w:r>
    </w:p>
    <w:p>
      <w:pPr>
        <w:pStyle w:val="BookText"/>
      </w:pPr>
      <w:r>
        <w:rPr>
          <w:rFonts w:ascii="Amiri" w:hAnsi="Amiri" w:eastAsia="Amiri" w:cs="Amiri"/>
          <w:lang w:bidi="ar-SA"/>
          <w:color w:val="111111"/>
          <w:sz w:val="28"/>
          <w:szCs w:val="28"/>
          <w:rtl/>
        </w:rPr>
        <w:t xml:space="preserve">آبادي ، احمد بن محمّد صالح</w:t>
      </w:r>
    </w:p>
    <w:p>
      <w:pPr>
        <w:pStyle w:val="Heading2"/>
      </w:pPr>
      <w:bookmarkStart w:id="4879" w:name="_Toc3981"/>
      <w:r>
        <w:t>سليماني اوغاني، اسماعيل - 892 ه-</w:t>
      </w:r>
      <w:bookmarkEnd w:id="4879"/>
    </w:p>
    <w:p>
      <w:pPr>
        <w:pStyle w:val="BookText"/>
      </w:pPr>
      <w:r>
        <w:rPr>
          <w:rFonts w:ascii="Amiri" w:hAnsi="Amiri" w:eastAsia="Amiri" w:cs="Amiri"/>
          <w:lang w:bidi="ar-SA"/>
          <w:color w:val="111111"/>
          <w:sz w:val="28"/>
          <w:szCs w:val="28"/>
          <w:rtl/>
        </w:rPr>
        <w:t xml:space="preserve">تحفة ايضاح المسالك إلى معرفة</w:t>
      </w:r>
    </w:p>
    <w:p>
      <w:pPr>
        <w:pStyle w:val="BookText"/>
      </w:pPr>
      <w:r>
        <w:rPr>
          <w:rFonts w:ascii="Amiri" w:hAnsi="Amiri" w:eastAsia="Amiri" w:cs="Amiri"/>
          <w:lang w:bidi="ar-SA"/>
          <w:color w:val="111111"/>
          <w:sz w:val="28"/>
          <w:szCs w:val="28"/>
          <w:rtl/>
        </w:rPr>
        <w:t xml:space="preserve">مسائل المناسك على مذهب الامام</w:t>
      </w:r>
    </w:p>
    <w:p>
      <w:pPr>
        <w:pStyle w:val="BookText"/>
      </w:pPr>
      <w:r>
        <w:rPr>
          <w:rFonts w:ascii="Amiri" w:hAnsi="Amiri" w:eastAsia="Amiri" w:cs="Amiri"/>
          <w:lang w:bidi="ar-SA"/>
          <w:color w:val="111111"/>
          <w:sz w:val="28"/>
          <w:szCs w:val="28"/>
          <w:rtl/>
        </w:rPr>
        <w:t xml:space="preserve">الاعظم ابي حنيفة النعمان، ج3، ص814.</w:t>
      </w:r>
    </w:p>
    <w:p>
      <w:pPr>
        <w:pStyle w:val="BookText"/>
      </w:pPr>
      <w:r>
        <w:rPr>
          <w:rFonts w:ascii="Amiri" w:hAnsi="Amiri" w:eastAsia="Amiri" w:cs="Amiri"/>
          <w:lang w:bidi="ar-SA"/>
          <w:color w:val="111111"/>
          <w:sz w:val="28"/>
          <w:szCs w:val="28"/>
          <w:rtl/>
        </w:rPr>
        <w:t xml:space="preserve">سليماني ، محمّد يوسف -محجر ، محمّد يوسف</w:t>
      </w:r>
    </w:p>
    <w:p>
      <w:pPr>
        <w:pStyle w:val="Heading2"/>
      </w:pPr>
      <w:bookmarkStart w:id="4880" w:name="_Toc3982"/>
      <w:r>
        <w:t>سليماني ، مقصود بن شاه</w:t>
      </w:r>
      <w:bookmarkEnd w:id="4880"/>
    </w:p>
    <w:p>
      <w:pPr>
        <w:pStyle w:val="BookText"/>
      </w:pPr>
      <w:r>
        <w:rPr>
          <w:rFonts w:ascii="Amiri" w:hAnsi="Amiri" w:eastAsia="Amiri" w:cs="Amiri"/>
          <w:lang w:bidi="ar-SA"/>
          <w:color w:val="111111"/>
          <w:sz w:val="28"/>
          <w:szCs w:val="28"/>
          <w:rtl/>
        </w:rPr>
        <w:t xml:space="preserve">ولي القضاء والقدر (رسالة في)، ج12،</w:t>
      </w:r>
    </w:p>
    <w:p>
      <w:pPr>
        <w:pStyle w:val="BookText"/>
      </w:pPr>
      <w:r>
        <w:rPr>
          <w:rFonts w:ascii="IRNazanin" w:hAnsi="IRNazanin" w:eastAsia="IRNazanin" w:cs="IRNazanin"/>
          <w:lang w:bidi="fa-IR"/>
          <w:color w:val="111111"/>
          <w:sz w:val="28"/>
          <w:szCs w:val="28"/>
          <w:rtl/>
        </w:rPr>
        <w:t xml:space="preserve">ص 740.</w:t>
      </w:r>
    </w:p>
    <w:p>
      <w:pPr>
        <w:pStyle w:val="BookText"/>
      </w:pPr>
      <w:r>
        <w:rPr>
          <w:rFonts w:ascii="Amiri" w:hAnsi="Amiri" w:eastAsia="Amiri" w:cs="Amiri"/>
          <w:lang w:bidi="ar-SA"/>
          <w:color w:val="111111"/>
          <w:sz w:val="28"/>
          <w:szCs w:val="28"/>
          <w:rtl/>
        </w:rPr>
        <w:t xml:space="preserve">سليم بن ايوب رازي -رازي ، سليم بن</w:t>
      </w:r>
    </w:p>
    <w:p>
      <w:pPr>
        <w:pStyle w:val="BookText"/>
      </w:pPr>
      <w:r>
        <w:rPr>
          <w:rFonts w:ascii="IRNazanin" w:hAnsi="IRNazanin" w:eastAsia="IRNazanin" w:cs="IRNazanin"/>
          <w:lang w:bidi="fa-IR"/>
          <w:color w:val="111111"/>
          <w:sz w:val="28"/>
          <w:szCs w:val="28"/>
          <w:rtl/>
        </w:rPr>
        <w:t xml:space="preserve">ایوب</w:t>
      </w:r>
    </w:p>
    <w:p>
      <w:pPr>
        <w:pStyle w:val="BookText"/>
      </w:pPr>
      <w:r>
        <w:rPr>
          <w:rFonts w:ascii="Amiri" w:hAnsi="Amiri" w:eastAsia="Amiri" w:cs="Amiri"/>
          <w:lang w:bidi="ar-SA"/>
          <w:color w:val="111111"/>
          <w:sz w:val="28"/>
          <w:szCs w:val="28"/>
          <w:rtl/>
        </w:rPr>
        <w:t xml:space="preserve">سليم بن صالح معماري موصلي- معماري سليم بن صالح</w:t>
      </w:r>
    </w:p>
    <w:p>
      <w:pPr>
        <w:pStyle w:val="BookText"/>
      </w:pPr>
      <w:r>
        <w:rPr>
          <w:rFonts w:ascii="Amiri" w:hAnsi="Amiri" w:eastAsia="Amiri" w:cs="Amiri"/>
          <w:lang w:bidi="ar-SA"/>
          <w:color w:val="111111"/>
          <w:sz w:val="28"/>
          <w:szCs w:val="28"/>
          <w:rtl/>
        </w:rPr>
        <w:t xml:space="preserve">سليم بن بطرس جاووش -جاووش ، سليم</w:t>
      </w:r>
    </w:p>
    <w:p>
      <w:pPr>
        <w:pStyle w:val="BookText"/>
      </w:pPr>
      <w:r>
        <w:rPr>
          <w:rFonts w:ascii="IRNazanin" w:hAnsi="IRNazanin" w:eastAsia="IRNazanin" w:cs="IRNazanin"/>
          <w:lang w:bidi="fa-IR"/>
          <w:color w:val="111111"/>
          <w:sz w:val="28"/>
          <w:szCs w:val="28"/>
          <w:rtl/>
        </w:rPr>
        <w:t xml:space="preserve">بن بطرس</w:t>
      </w:r>
    </w:p>
    <w:p>
      <w:pPr>
        <w:pStyle w:val="BookText"/>
      </w:pPr>
      <w:r>
        <w:rPr>
          <w:rFonts w:ascii="Amiri" w:hAnsi="Amiri" w:eastAsia="Amiri" w:cs="Amiri"/>
          <w:lang w:bidi="ar-SA"/>
          <w:color w:val="111111"/>
          <w:sz w:val="28"/>
          <w:szCs w:val="28"/>
          <w:rtl/>
        </w:rPr>
        <w:t xml:space="preserve">سليم بن حافظ صالح معماري- معماري ،</w:t>
      </w:r>
    </w:p>
    <w:p>
      <w:pPr>
        <w:pStyle w:val="BookText"/>
      </w:pPr>
      <w:r>
        <w:rPr>
          <w:rFonts w:ascii="Amiri" w:hAnsi="Amiri" w:eastAsia="Amiri" w:cs="Amiri"/>
          <w:lang w:bidi="ar-SA"/>
          <w:color w:val="111111"/>
          <w:sz w:val="28"/>
          <w:szCs w:val="28"/>
          <w:rtl/>
        </w:rPr>
        <w:t xml:space="preserve">سليم بن صالح</w:t>
      </w:r>
    </w:p>
    <w:p>
      <w:pPr>
        <w:pStyle w:val="BookText"/>
      </w:pPr>
      <w:r>
        <w:rPr>
          <w:rFonts w:ascii="Amiri" w:hAnsi="Amiri" w:eastAsia="Amiri" w:cs="Amiri"/>
          <w:lang w:bidi="ar-SA"/>
          <w:color w:val="111111"/>
          <w:sz w:val="28"/>
          <w:szCs w:val="28"/>
          <w:rtl/>
        </w:rPr>
        <w:t xml:space="preserve">سليم بن قيس الهلالي سليم بن قيس هلالي</w:t>
      </w:r>
    </w:p>
    <w:p>
      <w:pPr>
        <w:pStyle w:val="Heading2"/>
      </w:pPr>
      <w:bookmarkStart w:id="4881" w:name="_Toc3983"/>
      <w:r>
        <w:t>سليم بن قيس هلالي - 76؟ ه-</w:t>
      </w:r>
      <w:bookmarkEnd w:id="4881"/>
    </w:p>
    <w:p>
      <w:pPr>
        <w:pStyle w:val="BookText"/>
      </w:pPr>
      <w:r>
        <w:rPr>
          <w:rFonts w:ascii="Amiri" w:hAnsi="Amiri" w:eastAsia="Amiri" w:cs="Amiri"/>
          <w:lang w:bidi="ar-SA"/>
          <w:color w:val="111111"/>
          <w:sz w:val="28"/>
          <w:szCs w:val="28"/>
          <w:rtl/>
        </w:rPr>
        <w:t xml:space="preserve">كتاب سليم بن قيس هلالي = اصل</w:t>
      </w:r>
    </w:p>
    <w:p>
      <w:pPr>
        <w:pStyle w:val="BookText"/>
      </w:pPr>
      <w:r>
        <w:rPr>
          <w:rFonts w:ascii="Amiri" w:hAnsi="Amiri" w:eastAsia="Amiri" w:cs="Amiri"/>
          <w:lang w:bidi="ar-SA"/>
          <w:color w:val="111111"/>
          <w:sz w:val="28"/>
          <w:szCs w:val="28"/>
          <w:rtl/>
        </w:rPr>
        <w:t xml:space="preserve">سليم، ج13، ص103.</w:t>
      </w:r>
    </w:p>
    <w:p>
      <w:pPr>
        <w:pStyle w:val="Heading2"/>
      </w:pPr>
      <w:bookmarkStart w:id="4882" w:name="_Toc3984"/>
      <w:r>
        <w:t>سليم تهراني ، محمّد قلي - 1057 ه-</w:t>
      </w:r>
      <w:bookmarkEnd w:id="4882"/>
    </w:p>
    <w:p>
      <w:pPr>
        <w:pStyle w:val="BookText"/>
      </w:pPr>
      <w:r>
        <w:rPr>
          <w:rFonts w:ascii="IRNazanin" w:hAnsi="IRNazanin" w:eastAsia="IRNazanin" w:cs="IRNazanin"/>
          <w:lang w:bidi="fa-IR"/>
          <w:color w:val="111111"/>
          <w:sz w:val="28"/>
          <w:szCs w:val="28"/>
          <w:rtl/>
        </w:rPr>
        <w:t xml:space="preserve">ساده دل = حمار نامه ج8، ص 670.</w:t>
      </w:r>
    </w:p>
    <w:p>
      <w:pPr>
        <w:pStyle w:val="BookText"/>
      </w:pPr>
      <w:r>
        <w:rPr>
          <w:rFonts w:ascii="Amiri" w:hAnsi="Amiri" w:eastAsia="Amiri" w:cs="Amiri"/>
          <w:lang w:bidi="ar-SA"/>
          <w:color w:val="111111"/>
          <w:sz w:val="28"/>
          <w:szCs w:val="28"/>
          <w:rtl/>
        </w:rPr>
        <w:t xml:space="preserve">سليم حنفي موصلي- واعظ موصلي</w:t>
      </w:r>
    </w:p>
    <w:p>
      <w:pPr>
        <w:pStyle w:val="BookText"/>
      </w:pPr>
      <w:r>
        <w:rPr>
          <w:rFonts w:ascii="IRNazanin" w:hAnsi="IRNazanin" w:eastAsia="IRNazanin" w:cs="IRNazanin"/>
          <w:lang w:bidi="fa-IR"/>
          <w:color w:val="111111"/>
          <w:sz w:val="28"/>
          <w:szCs w:val="28"/>
          <w:rtl/>
        </w:rPr>
        <w:t xml:space="preserve">سلیم</w:t>
      </w:r>
    </w:p>
    <w:p>
      <w:pPr>
        <w:pStyle w:val="BookText"/>
      </w:pPr>
      <w:r>
        <w:rPr>
          <w:rFonts w:ascii="Amiri" w:hAnsi="Amiri" w:eastAsia="Amiri" w:cs="Amiri"/>
          <w:lang w:bidi="ar-SA"/>
          <w:color w:val="111111"/>
          <w:sz w:val="28"/>
          <w:szCs w:val="28"/>
          <w:rtl/>
        </w:rPr>
        <w:t xml:space="preserve">قلي</w:t>
      </w:r>
    </w:p>
    <w:p>
      <w:pPr>
        <w:pStyle w:val="BookText"/>
      </w:pPr>
      <w:r>
        <w:rPr>
          <w:rFonts w:ascii="IRNazanin" w:hAnsi="IRNazanin" w:eastAsia="IRNazanin" w:cs="IRNazanin"/>
          <w:lang w:bidi="fa-IR"/>
          <w:color w:val="111111"/>
          <w:sz w:val="28"/>
          <w:szCs w:val="28"/>
          <w:rtl/>
        </w:rPr>
        <w:t xml:space="preserve">سلیم رشدي -رشدي ، سليم</w:t>
      </w:r>
    </w:p>
    <w:p>
      <w:pPr>
        <w:pStyle w:val="BookText"/>
      </w:pPr>
      <w:r>
        <w:rPr>
          <w:rFonts w:ascii="Amiri" w:hAnsi="Amiri" w:eastAsia="Amiri" w:cs="Amiri"/>
          <w:lang w:bidi="ar-SA"/>
          <w:color w:val="111111"/>
          <w:sz w:val="28"/>
          <w:szCs w:val="28"/>
          <w:rtl/>
        </w:rPr>
        <w:t xml:space="preserve">سليم طرشتي تهراني- سليم تهراني ، محمّد</w:t>
      </w:r>
    </w:p>
    <w:p>
      <w:pPr>
        <w:pStyle w:val="BookText"/>
      </w:pPr>
      <w:r>
        <w:rPr>
          <w:rFonts w:ascii="Amiri" w:hAnsi="Amiri" w:eastAsia="Amiri" w:cs="Amiri"/>
          <w:lang w:bidi="ar-SA"/>
          <w:color w:val="111111"/>
          <w:sz w:val="28"/>
          <w:szCs w:val="28"/>
          <w:rtl/>
        </w:rPr>
        <w:t xml:space="preserve">سليم طهراني ، محمّد قلي- سليم تهراني ،</w:t>
      </w:r>
    </w:p>
    <w:p>
      <w:pPr>
        <w:pStyle w:val="BookText"/>
      </w:pPr>
      <w:r>
        <w:rPr>
          <w:rFonts w:ascii="Amiri" w:hAnsi="Amiri" w:eastAsia="Amiri" w:cs="Amiri"/>
          <w:lang w:bidi="ar-SA"/>
          <w:color w:val="111111"/>
          <w:sz w:val="28"/>
          <w:szCs w:val="28"/>
          <w:rtl/>
        </w:rPr>
        <w:t xml:space="preserve">محمّد قلي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4" w:name="pg7742_70543"/>
    <w:bookmarkEnd w:id="574"/>
    <w:p>
      <w:pPr>
        <w:pStyle w:val="BookText"/>
      </w:pPr>
      <w:r>
        <w:rPr>
          <w:rFonts w:ascii="Amiri" w:hAnsi="Amiri" w:eastAsia="Amiri" w:cs="Amiri"/>
          <w:lang w:bidi="ar-SA"/>
          <w:color w:val="111111"/>
          <w:sz w:val="28"/>
          <w:szCs w:val="28"/>
          <w:rtl/>
        </w:rPr>
        <w:t xml:space="preserve">سليم قلي ، محمّد قلي -سليم تهراني ،</w:t>
      </w:r>
    </w:p>
    <w:p>
      <w:pPr>
        <w:pStyle w:val="BookText"/>
      </w:pPr>
      <w:r>
        <w:rPr>
          <w:rFonts w:ascii="Amiri" w:hAnsi="Amiri" w:eastAsia="Amiri" w:cs="Amiri"/>
          <w:lang w:bidi="ar-SA"/>
          <w:color w:val="111111"/>
          <w:sz w:val="28"/>
          <w:szCs w:val="28"/>
          <w:rtl/>
        </w:rPr>
        <w:t xml:space="preserve">محمّد قلي</w:t>
      </w:r>
    </w:p>
    <w:p>
      <w:pPr>
        <w:pStyle w:val="BookText"/>
      </w:pPr>
      <w:r>
        <w:rPr>
          <w:rFonts w:ascii="Amiri" w:hAnsi="Amiri" w:eastAsia="Amiri" w:cs="Amiri"/>
          <w:lang w:bidi="ar-SA"/>
          <w:color w:val="111111"/>
          <w:sz w:val="28"/>
          <w:szCs w:val="28"/>
          <w:rtl/>
        </w:rPr>
        <w:t xml:space="preserve">سليم ، محمّد قلي- سليم تهراني ، محمّد</w:t>
      </w:r>
    </w:p>
    <w:p>
      <w:pPr>
        <w:pStyle w:val="BookText"/>
      </w:pPr>
      <w:r>
        <w:rPr>
          <w:rFonts w:ascii="Amiri" w:hAnsi="Amiri" w:eastAsia="Amiri" w:cs="Amiri"/>
          <w:lang w:bidi="ar-SA"/>
          <w:color w:val="111111"/>
          <w:sz w:val="28"/>
          <w:szCs w:val="28"/>
          <w:rtl/>
        </w:rPr>
        <w:t xml:space="preserve">قلي</w:t>
      </w:r>
    </w:p>
    <w:p>
      <w:pPr>
        <w:pStyle w:val="Heading2"/>
      </w:pPr>
      <w:bookmarkStart w:id="4883" w:name="_Toc3985"/>
      <w:r>
        <w:t>سليمي ، احمد</w:t>
      </w:r>
      <w:bookmarkEnd w:id="4883"/>
    </w:p>
    <w:p>
      <w:pPr>
        <w:pStyle w:val="BookText"/>
      </w:pPr>
      <w:r>
        <w:rPr>
          <w:rFonts w:ascii="IRNazanin" w:hAnsi="IRNazanin" w:eastAsia="IRNazanin" w:cs="IRNazanin"/>
          <w:lang w:bidi="fa-IR"/>
          <w:color w:val="111111"/>
          <w:sz w:val="28"/>
          <w:szCs w:val="28"/>
          <w:rtl/>
        </w:rPr>
        <w:t xml:space="preserve">یوسف و زلیخا ج 16، ص 909</w:t>
      </w:r>
    </w:p>
    <w:p>
      <w:pPr>
        <w:pStyle w:val="Heading2"/>
      </w:pPr>
      <w:bookmarkStart w:id="4884" w:name="_Toc3986"/>
      <w:r>
        <w:t>سليمي، عبد الحي بن ابي بكر قرن 11 ه-</w:t>
      </w:r>
      <w:bookmarkEnd w:id="4884"/>
    </w:p>
    <w:p>
      <w:pPr>
        <w:pStyle w:val="BookText"/>
      </w:pPr>
      <w:r>
        <w:rPr>
          <w:rFonts w:ascii="Amiri" w:hAnsi="Amiri" w:eastAsia="Amiri" w:cs="Amiri"/>
          <w:lang w:bidi="ar-SA"/>
          <w:color w:val="111111"/>
          <w:sz w:val="28"/>
          <w:szCs w:val="28"/>
          <w:rtl/>
        </w:rPr>
        <w:t xml:space="preserve">صادحة الغيب و صادعة أهل العيب</w:t>
      </w:r>
    </w:p>
    <w:p>
      <w:pPr>
        <w:pStyle w:val="BookText"/>
      </w:pPr>
      <w:r>
        <w:rPr>
          <w:rFonts w:ascii="IRNazanin" w:hAnsi="IRNazanin" w:eastAsia="IRNazanin" w:cs="IRNazanin"/>
          <w:lang w:bidi="fa-IR"/>
          <w:color w:val="111111"/>
          <w:sz w:val="28"/>
          <w:szCs w:val="28"/>
          <w:rtl/>
        </w:rPr>
        <w:t xml:space="preserve">ج 10، ص 464.</w:t>
      </w:r>
    </w:p>
    <w:p>
      <w:pPr>
        <w:pStyle w:val="Heading2"/>
      </w:pPr>
      <w:bookmarkStart w:id="4885" w:name="_Toc3987"/>
      <w:r>
        <w:t>سماتي مدني ، محمّد بن عبدالكريم</w:t>
      </w:r>
      <w:bookmarkEnd w:id="4885"/>
    </w:p>
    <w:p>
      <w:pPr>
        <w:pStyle w:val="BookText"/>
      </w:pPr>
      <w:r>
        <w:rPr>
          <w:rFonts w:ascii="Amiri" w:hAnsi="Amiri" w:eastAsia="Amiri" w:cs="Amiri"/>
          <w:lang w:bidi="ar-SA"/>
          <w:color w:val="111111"/>
          <w:sz w:val="28"/>
          <w:szCs w:val="28"/>
          <w:rtl/>
        </w:rPr>
        <w:t xml:space="preserve">المولد الشريف، ج 16، ص 45.</w:t>
      </w:r>
    </w:p>
    <w:p>
      <w:pPr>
        <w:pStyle w:val="Heading2"/>
      </w:pPr>
      <w:bookmarkStart w:id="4886" w:name="_Toc3988"/>
      <w:r>
        <w:t>سماسي ، محمّد بن سعيد</w:t>
      </w:r>
      <w:bookmarkEnd w:id="4886"/>
    </w:p>
    <w:p>
      <w:pPr>
        <w:pStyle w:val="BookText"/>
      </w:pPr>
      <w:r>
        <w:rPr>
          <w:rFonts w:ascii="Amiri" w:hAnsi="Amiri" w:eastAsia="Amiri" w:cs="Amiri"/>
          <w:lang w:bidi="ar-SA"/>
          <w:color w:val="111111"/>
          <w:sz w:val="28"/>
          <w:szCs w:val="28"/>
          <w:rtl/>
        </w:rPr>
        <w:t xml:space="preserve">العقائد والكلام، ج 11، ص 154 .</w:t>
      </w:r>
    </w:p>
    <w:p>
      <w:pPr>
        <w:pStyle w:val="BookText"/>
      </w:pPr>
      <w:r>
        <w:rPr>
          <w:rFonts w:ascii="IRNazanin" w:hAnsi="IRNazanin" w:eastAsia="IRNazanin" w:cs="IRNazanin"/>
          <w:lang w:bidi="fa-IR"/>
          <w:color w:val="111111"/>
          <w:sz w:val="28"/>
          <w:szCs w:val="28"/>
          <w:rtl/>
        </w:rPr>
        <w:t xml:space="preserve">سماكي استرآبادي، فخرالدین- فخرالدين حسيني ، محمّد بن حسين</w:t>
      </w:r>
    </w:p>
    <w:p>
      <w:pPr>
        <w:pStyle w:val="BookText"/>
      </w:pPr>
      <w:r>
        <w:rPr>
          <w:rFonts w:ascii="Amiri" w:hAnsi="Amiri" w:eastAsia="Amiri" w:cs="Amiri"/>
          <w:lang w:bidi="ar-SA"/>
          <w:color w:val="111111"/>
          <w:sz w:val="28"/>
          <w:szCs w:val="28"/>
          <w:rtl/>
        </w:rPr>
        <w:t xml:space="preserve">سماكي انصاري ، محمّد بن علي- ابن</w:t>
      </w:r>
    </w:p>
    <w:p>
      <w:pPr>
        <w:pStyle w:val="BookText"/>
      </w:pPr>
      <w:r>
        <w:rPr>
          <w:rFonts w:ascii="Amiri" w:hAnsi="Amiri" w:eastAsia="Amiri" w:cs="Amiri"/>
          <w:lang w:bidi="ar-SA"/>
          <w:color w:val="111111"/>
          <w:sz w:val="28"/>
          <w:szCs w:val="28"/>
          <w:rtl/>
        </w:rPr>
        <w:t xml:space="preserve">زملكاني ، محمّد بن علي</w:t>
      </w:r>
    </w:p>
    <w:p>
      <w:pPr>
        <w:pStyle w:val="BookText"/>
      </w:pPr>
      <w:r>
        <w:rPr>
          <w:rFonts w:ascii="Amiri" w:hAnsi="Amiri" w:eastAsia="Amiri" w:cs="Amiri"/>
          <w:lang w:bidi="ar-SA"/>
          <w:color w:val="111111"/>
          <w:sz w:val="28"/>
          <w:szCs w:val="28"/>
          <w:rtl/>
        </w:rPr>
        <w:t xml:space="preserve">سماكي اوّل - فخر الدين حسيني ، محمّد بن</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سماكي ، فخرالدین محمّد -فخرالدین حسيني ، محمّد بن حسين</w:t>
      </w:r>
    </w:p>
    <w:p>
      <w:pPr>
        <w:pStyle w:val="BookText"/>
      </w:pPr>
      <w:r>
        <w:rPr>
          <w:rFonts w:ascii="Amiri" w:hAnsi="Amiri" w:eastAsia="Amiri" w:cs="Amiri"/>
          <w:lang w:bidi="ar-SA"/>
          <w:color w:val="111111"/>
          <w:sz w:val="28"/>
          <w:szCs w:val="28"/>
          <w:rtl/>
        </w:rPr>
        <w:t xml:space="preserve">سمان ، محمّد بن عبد الكريم- قادري</w:t>
      </w:r>
    </w:p>
    <w:p>
      <w:pPr>
        <w:pStyle w:val="BookText"/>
      </w:pPr>
      <w:r>
        <w:rPr>
          <w:rFonts w:ascii="Amiri" w:hAnsi="Amiri" w:eastAsia="Amiri" w:cs="Amiri"/>
          <w:lang w:bidi="ar-SA"/>
          <w:color w:val="111111"/>
          <w:sz w:val="28"/>
          <w:szCs w:val="28"/>
          <w:rtl/>
        </w:rPr>
        <w:t xml:space="preserve">مدني ، محمّد بن عبدالكريم</w:t>
      </w:r>
    </w:p>
    <w:p>
      <w:pPr>
        <w:pStyle w:val="Heading2"/>
      </w:pPr>
      <w:bookmarkStart w:id="4887" w:name="_Toc3989"/>
      <w:r>
        <w:t>سمانودي ، منصور بن عيسى قرن 11 ه-</w:t>
      </w:r>
      <w:bookmarkEnd w:id="4887"/>
    </w:p>
    <w:p>
      <w:pPr>
        <w:pStyle w:val="BookText"/>
      </w:pPr>
      <w:r>
        <w:rPr>
          <w:rFonts w:ascii="Amiri" w:hAnsi="Amiri" w:eastAsia="Amiri" w:cs="Amiri"/>
          <w:lang w:bidi="ar-SA"/>
          <w:color w:val="111111"/>
          <w:sz w:val="28"/>
          <w:szCs w:val="28"/>
          <w:rtl/>
        </w:rPr>
        <w:t xml:space="preserve">تحفة الطالبين في تجويد كتاب رب</w:t>
      </w:r>
    </w:p>
    <w:p>
      <w:pPr>
        <w:pStyle w:val="BookText"/>
      </w:pPr>
      <w:r>
        <w:rPr>
          <w:rFonts w:ascii="Amiri" w:hAnsi="Amiri" w:eastAsia="Amiri" w:cs="Amiri"/>
          <w:lang w:bidi="ar-SA"/>
          <w:color w:val="111111"/>
          <w:sz w:val="28"/>
          <w:szCs w:val="28"/>
          <w:rtl/>
        </w:rPr>
        <w:t xml:space="preserve">العالمين، ج 3، ص 859.</w:t>
      </w:r>
    </w:p>
    <w:p>
      <w:pPr>
        <w:pStyle w:val="BookText"/>
      </w:pPr>
      <w:r>
        <w:rPr>
          <w:rFonts w:ascii="Amiri" w:hAnsi="Amiri" w:eastAsia="Amiri" w:cs="Amiri"/>
          <w:lang w:bidi="ar-SA"/>
          <w:color w:val="111111"/>
          <w:sz w:val="28"/>
          <w:szCs w:val="28"/>
          <w:rtl/>
        </w:rPr>
        <w:t xml:space="preserve">سماهيجي بحراني ، عبدالله بن</w:t>
      </w:r>
    </w:p>
    <w:p>
      <w:pPr>
        <w:pStyle w:val="BookText"/>
      </w:pPr>
      <w:r>
        <w:rPr>
          <w:rFonts w:ascii="Amiri" w:hAnsi="Amiri" w:eastAsia="Amiri" w:cs="Amiri"/>
          <w:lang w:bidi="ar-SA"/>
          <w:color w:val="111111"/>
          <w:sz w:val="28"/>
          <w:szCs w:val="28"/>
          <w:rtl/>
        </w:rPr>
        <w:t xml:space="preserve">صالح -سماهيجي ، عبدالله بن صالح</w:t>
      </w:r>
    </w:p>
    <w:p>
      <w:pPr>
        <w:pStyle w:val="Heading2"/>
      </w:pPr>
      <w:bookmarkStart w:id="4888" w:name="_Toc3990"/>
      <w:r>
        <w:t>سماهيجي ، عبدالله بن صالح، 1076؟ -</w:t>
      </w:r>
      <w:bookmarkEnd w:id="4888"/>
    </w:p>
    <w:p>
      <w:pPr>
        <w:pStyle w:val="BookText"/>
      </w:pPr>
      <w:r>
        <w:rPr>
          <w:rFonts w:ascii="IRNazanin" w:hAnsi="IRNazanin" w:eastAsia="IRNazanin" w:cs="IRNazanin"/>
          <w:lang w:bidi="fa-IR"/>
          <w:color w:val="111111"/>
          <w:sz w:val="28"/>
          <w:szCs w:val="28"/>
          <w:rtl/>
        </w:rPr>
        <w:t xml:space="preserve">1435 ه-</w:t>
      </w:r>
    </w:p>
    <w:p>
      <w:pPr>
        <w:pStyle w:val="BookText"/>
      </w:pPr>
      <w:r>
        <w:rPr>
          <w:rFonts w:ascii="Amiri" w:hAnsi="Amiri" w:eastAsia="Amiri" w:cs="Amiri"/>
          <w:lang w:bidi="ar-SA"/>
          <w:color w:val="111111"/>
          <w:sz w:val="28"/>
          <w:szCs w:val="28"/>
          <w:rtl/>
        </w:rPr>
        <w:t xml:space="preserve">1 .الاثنى عشرية في جوابات المسائل</w:t>
      </w:r>
    </w:p>
    <w:p>
      <w:pPr>
        <w:pStyle w:val="BookText"/>
      </w:pPr>
      <w:r>
        <w:rPr>
          <w:rFonts w:ascii="Amiri" w:hAnsi="Amiri" w:eastAsia="Amiri" w:cs="Amiri"/>
          <w:lang w:bidi="ar-SA"/>
          <w:color w:val="111111"/>
          <w:sz w:val="28"/>
          <w:szCs w:val="28"/>
          <w:rtl/>
        </w:rPr>
        <w:t xml:space="preserve">الدورقية، ج1، ص193.</w:t>
      </w:r>
    </w:p>
    <w:p>
      <w:pPr>
        <w:pStyle w:val="BookText"/>
      </w:pPr>
      <w:r>
        <w:rPr>
          <w:rFonts w:ascii="Amiri" w:hAnsi="Amiri" w:eastAsia="Amiri" w:cs="Amiri"/>
          <w:lang w:bidi="ar-SA"/>
          <w:color w:val="111111"/>
          <w:sz w:val="28"/>
          <w:szCs w:val="28"/>
          <w:rtl/>
        </w:rPr>
        <w:t xml:space="preserve">2 .الاجازة الكبيرة لناصر بن محمّد</w:t>
      </w:r>
    </w:p>
    <w:p>
      <w:pPr>
        <w:pStyle w:val="BookText"/>
      </w:pPr>
      <w:r>
        <w:rPr>
          <w:rFonts w:ascii="Amiri" w:hAnsi="Amiri" w:eastAsia="Amiri" w:cs="Amiri"/>
          <w:lang w:bidi="ar-SA"/>
          <w:color w:val="111111"/>
          <w:sz w:val="28"/>
          <w:szCs w:val="28"/>
          <w:rtl/>
        </w:rPr>
        <w:t xml:space="preserve">الجارودي، ج 1، ص227.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اجازة للخطي، ج 1، ص 242.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إجازة للشيخ ياسين البلادي البحراني</w:t>
      </w:r>
    </w:p>
    <w:p>
      <w:pPr>
        <w:pStyle w:val="BookText"/>
      </w:pPr>
      <w:r>
        <w:rPr>
          <w:rFonts w:ascii="IRNazanin" w:hAnsi="IRNazanin" w:eastAsia="IRNazanin" w:cs="IRNazanin"/>
          <w:lang w:bidi="fa-IR"/>
          <w:color w:val="111111"/>
          <w:sz w:val="28"/>
          <w:szCs w:val="28"/>
          <w:rtl/>
        </w:rPr>
        <w:t xml:space="preserve">ج 1، ص 275 .</w:t>
      </w:r>
    </w:p>
    <w:p>
      <w:pPr>
        <w:pStyle w:val="BookText"/>
      </w:pPr>
      <w:r>
        <w:rPr>
          <w:rFonts w:ascii="Amiri" w:hAnsi="Amiri" w:eastAsia="Amiri" w:cs="Amiri"/>
          <w:lang w:bidi="ar-SA"/>
          <w:color w:val="111111"/>
          <w:sz w:val="28"/>
          <w:szCs w:val="28"/>
          <w:rtl/>
        </w:rPr>
        <w:t xml:space="preserve">5 .اجازة لناصر بن محمد جارودي</w:t>
      </w:r>
    </w:p>
    <w:p>
      <w:pPr>
        <w:pStyle w:val="BookText"/>
      </w:pPr>
      <w:r>
        <w:rPr>
          <w:rFonts w:ascii="IRNazanin" w:hAnsi="IRNazanin" w:eastAsia="IRNazanin" w:cs="IRNazanin"/>
          <w:lang w:bidi="fa-IR"/>
          <w:color w:val="111111"/>
          <w:sz w:val="28"/>
          <w:szCs w:val="28"/>
          <w:rtl/>
        </w:rPr>
        <w:t xml:space="preserve">ج 1، ص 291.</w:t>
      </w:r>
    </w:p>
    <w:p>
      <w:pPr>
        <w:pStyle w:val="BookText"/>
      </w:pPr>
      <w:r>
        <w:rPr>
          <w:rFonts w:ascii="Amiri" w:hAnsi="Amiri" w:eastAsia="Amiri" w:cs="Amiri"/>
          <w:lang w:bidi="ar-SA"/>
          <w:color w:val="111111"/>
          <w:sz w:val="28"/>
          <w:szCs w:val="28"/>
          <w:rtl/>
        </w:rPr>
        <w:t xml:space="preserve">6 .احكام النواصب، ج 1، ص 493 .</w:t>
      </w:r>
    </w:p>
    <w:p>
      <w:pPr>
        <w:pStyle w:val="BookText"/>
      </w:pPr>
      <w:r>
        <w:rPr>
          <w:rFonts w:ascii="Amiri" w:hAnsi="Amiri" w:eastAsia="Amiri" w:cs="Amiri"/>
          <w:lang w:bidi="ar-SA"/>
          <w:color w:val="111111"/>
          <w:sz w:val="28"/>
          <w:szCs w:val="28"/>
          <w:rtl/>
        </w:rPr>
        <w:t xml:space="preserve">7 .التحرير المسائل الديباج والحرير</w:t>
      </w:r>
    </w:p>
    <w:p>
      <w:pPr>
        <w:pStyle w:val="BookText"/>
      </w:pPr>
      <w:r>
        <w:rPr>
          <w:rFonts w:ascii="IRNazanin" w:hAnsi="IRNazanin" w:eastAsia="IRNazanin" w:cs="IRNazanin"/>
          <w:lang w:bidi="fa-IR"/>
          <w:color w:val="111111"/>
          <w:sz w:val="28"/>
          <w:szCs w:val="28"/>
          <w:rtl/>
        </w:rPr>
        <w:t xml:space="preserve">ج 3، ص 755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تحفة الرجال و زبدة الزبدة في</w:t>
      </w:r>
    </w:p>
    <w:p>
      <w:pPr>
        <w:pStyle w:val="BookText"/>
      </w:pPr>
      <w:r>
        <w:rPr>
          <w:rFonts w:ascii="IRNazanin" w:hAnsi="IRNazanin" w:eastAsia="IRNazanin" w:cs="IRNazanin"/>
          <w:lang w:bidi="fa-IR"/>
          <w:color w:val="111111"/>
          <w:sz w:val="28"/>
          <w:szCs w:val="28"/>
          <w:rtl/>
        </w:rPr>
        <w:t xml:space="preserve">المقال، ج 3، ص 834.</w:t>
      </w:r>
    </w:p>
    <w:p>
      <w:pPr>
        <w:pStyle w:val="BookText"/>
      </w:pPr>
      <w:r>
        <w:rPr>
          <w:rFonts w:ascii="IRNazanin" w:hAnsi="IRNazanin" w:eastAsia="IRNazanin" w:cs="IRNazanin"/>
          <w:lang w:bidi="fa-IR"/>
          <w:color w:val="111111"/>
          <w:sz w:val="28"/>
          <w:szCs w:val="28"/>
          <w:rtl/>
        </w:rPr>
        <w:t xml:space="preserve">9 .ثبات قلب السائل، ج 5، ص 208.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جواب المسائل، ج 5، ص 508.</w:t>
      </w:r>
    </w:p>
    <w:p>
      <w:pPr>
        <w:pStyle w:val="BookText"/>
      </w:pPr>
      <w:r>
        <w:rPr>
          <w:rFonts w:ascii="Amiri" w:hAnsi="Amiri" w:eastAsia="Amiri" w:cs="Amiri"/>
          <w:lang w:bidi="ar-SA"/>
          <w:color w:val="111111"/>
          <w:sz w:val="28"/>
          <w:szCs w:val="28"/>
          <w:rtl/>
        </w:rPr>
        <w:t xml:space="preserve">11 . الدرة السنية في جوابات المسائل</w:t>
      </w:r>
    </w:p>
    <w:p>
      <w:pPr>
        <w:pStyle w:val="BookText"/>
      </w:pPr>
      <w:r>
        <w:rPr>
          <w:rFonts w:ascii="Amiri" w:hAnsi="Amiri" w:eastAsia="Amiri" w:cs="Amiri"/>
          <w:lang w:bidi="ar-SA"/>
          <w:color w:val="111111"/>
          <w:sz w:val="28"/>
          <w:szCs w:val="28"/>
          <w:rtl/>
        </w:rPr>
        <w:t xml:space="preserve">الدشتستانية، ج 7، ص239</w:t>
      </w:r>
    </w:p>
    <w:p>
      <w:pPr>
        <w:pStyle w:val="BookText"/>
      </w:pPr>
      <w:r>
        <w:rPr>
          <w:rFonts w:ascii="Amiri" w:hAnsi="Amiri" w:eastAsia="Amiri" w:cs="Amiri"/>
          <w:lang w:bidi="ar-SA"/>
          <w:color w:val="111111"/>
          <w:sz w:val="28"/>
          <w:szCs w:val="28"/>
          <w:rtl/>
        </w:rPr>
        <w:t xml:space="preserve">12 .ذخيرة العباد في تعريب زاد المعاد</w:t>
      </w:r>
    </w:p>
    <w:p>
      <w:pPr>
        <w:pStyle w:val="BookText"/>
      </w:pPr>
      <w:r>
        <w:rPr>
          <w:rFonts w:ascii="IRNazanin" w:hAnsi="IRNazanin" w:eastAsia="IRNazanin" w:cs="IRNazanin"/>
          <w:lang w:bidi="fa-IR"/>
          <w:color w:val="111111"/>
          <w:sz w:val="28"/>
          <w:szCs w:val="28"/>
          <w:rtl/>
        </w:rPr>
        <w:t xml:space="preserve">ج 7، ص 826.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زاد المسافر و سلاح کل ظافر، ج8،</w:t>
      </w:r>
    </w:p>
    <w:p>
      <w:pPr>
        <w:pStyle w:val="BookText"/>
      </w:pPr>
      <w:r>
        <w:rPr>
          <w:rFonts w:ascii="IRNazanin" w:hAnsi="IRNazanin" w:eastAsia="IRNazanin" w:cs="IRNazanin"/>
          <w:lang w:bidi="fa-IR"/>
          <w:color w:val="111111"/>
          <w:sz w:val="28"/>
          <w:szCs w:val="28"/>
          <w:rtl/>
        </w:rPr>
        <w:t xml:space="preserve">ص 528.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حديث من سأل عن</w:t>
      </w:r>
    </w:p>
    <w:p>
      <w:pPr>
        <w:pStyle w:val="BookText"/>
      </w:pPr>
      <w:r>
        <w:rPr>
          <w:rFonts w:ascii="Amiri" w:hAnsi="Amiri" w:eastAsia="Amiri" w:cs="Amiri"/>
          <w:lang w:bidi="ar-SA"/>
          <w:color w:val="111111"/>
          <w:sz w:val="28"/>
          <w:szCs w:val="28"/>
          <w:rtl/>
        </w:rPr>
        <w:t xml:space="preserve">التوحيد فهو جاهل»، ج 9، ص 402.</w:t>
      </w:r>
    </w:p>
    <w:p>
      <w:pPr>
        <w:pStyle w:val="BookText"/>
      </w:pPr>
      <w:r>
        <w:rPr>
          <w:rFonts w:ascii="Amiri" w:hAnsi="Amiri" w:eastAsia="Amiri" w:cs="Amiri"/>
          <w:lang w:bidi="ar-SA"/>
          <w:color w:val="111111"/>
          <w:sz w:val="28"/>
          <w:szCs w:val="28"/>
          <w:rtl/>
        </w:rPr>
        <w:t xml:space="preserve">15 .الصحيفة العلوية و التحفة</w:t>
      </w:r>
    </w:p>
    <w:p>
      <w:pPr>
        <w:pStyle w:val="BookText"/>
      </w:pPr>
      <w:r>
        <w:rPr>
          <w:rFonts w:ascii="Amiri" w:hAnsi="Amiri" w:eastAsia="Amiri" w:cs="Amiri"/>
          <w:lang w:bidi="ar-SA"/>
          <w:color w:val="111111"/>
          <w:sz w:val="28"/>
          <w:szCs w:val="28"/>
          <w:rtl/>
        </w:rPr>
        <w:t xml:space="preserve">المرتضوية، ج 10، ص 519.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5" w:name="pg7742_70545"/>
    <w:bookmarkEnd w:id="575"/>
    <w:p>
      <w:pPr>
        <w:pStyle w:val="BookText"/>
      </w:pPr>
      <w:r>
        <w:rPr>
          <w:rFonts w:ascii="Amiri" w:hAnsi="Amiri" w:eastAsia="Amiri" w:cs="Amiri"/>
          <w:lang w:bidi="ar-SA"/>
          <w:color w:val="111111"/>
          <w:sz w:val="28"/>
          <w:szCs w:val="28"/>
          <w:rtl/>
        </w:rPr>
        <w:t xml:space="preserve">16 . الفاكهة الكاظمية للفرقة الامامية</w:t>
      </w:r>
    </w:p>
    <w:p>
      <w:pPr>
        <w:pStyle w:val="BookText"/>
      </w:pPr>
      <w:r>
        <w:rPr>
          <w:rFonts w:ascii="IRNazanin" w:hAnsi="IRNazanin" w:eastAsia="IRNazanin" w:cs="IRNazanin"/>
          <w:lang w:bidi="fa-IR"/>
          <w:color w:val="111111"/>
          <w:sz w:val="28"/>
          <w:szCs w:val="28"/>
          <w:rtl/>
        </w:rPr>
        <w:t xml:space="preserve">ج 11، ص 587.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الفقه، ج 12، ص 43.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القامعة للبدعة في ترك صلاة</w:t>
      </w:r>
    </w:p>
    <w:p>
      <w:pPr>
        <w:pStyle w:val="BookText"/>
      </w:pPr>
      <w:r>
        <w:rPr>
          <w:rFonts w:ascii="Amiri" w:hAnsi="Amiri" w:eastAsia="Amiri" w:cs="Amiri"/>
          <w:lang w:bidi="ar-SA"/>
          <w:color w:val="111111"/>
          <w:sz w:val="28"/>
          <w:szCs w:val="28"/>
          <w:rtl/>
        </w:rPr>
        <w:t xml:space="preserve">الجمعة، ج 12، ص 341.</w:t>
      </w:r>
    </w:p>
    <w:p>
      <w:pPr>
        <w:pStyle w:val="BookText"/>
      </w:pPr>
      <w:r>
        <w:rPr>
          <w:rFonts w:ascii="Amiri" w:hAnsi="Amiri" w:eastAsia="Amiri" w:cs="Amiri"/>
          <w:lang w:bidi="ar-SA"/>
          <w:color w:val="111111"/>
          <w:sz w:val="28"/>
          <w:szCs w:val="28"/>
          <w:rtl/>
        </w:rPr>
        <w:t xml:space="preserve">19 .اللمعة الجلية في تحقيق المسائل</w:t>
      </w:r>
    </w:p>
    <w:p>
      <w:pPr>
        <w:pStyle w:val="BookText"/>
      </w:pPr>
      <w:r>
        <w:rPr>
          <w:rFonts w:ascii="Amiri" w:hAnsi="Amiri" w:eastAsia="Amiri" w:cs="Amiri"/>
          <w:lang w:bidi="ar-SA"/>
          <w:color w:val="111111"/>
          <w:sz w:val="28"/>
          <w:szCs w:val="28"/>
          <w:rtl/>
        </w:rPr>
        <w:t xml:space="preserve">الاسماعيلية، ج 13، ص 618 .</w:t>
      </w:r>
    </w:p>
    <w:p>
      <w:pPr>
        <w:pStyle w:val="BookText"/>
      </w:pPr>
      <w:r>
        <w:rPr>
          <w:rFonts w:ascii="Amiri" w:hAnsi="Amiri" w:eastAsia="Amiri" w:cs="Amiri"/>
          <w:lang w:bidi="ar-SA"/>
          <w:color w:val="111111"/>
          <w:sz w:val="28"/>
          <w:szCs w:val="28"/>
          <w:rtl/>
        </w:rPr>
        <w:t xml:space="preserve">20 .لؤلؤة الصدف في مسائل الشيخ</w:t>
      </w:r>
    </w:p>
    <w:p>
      <w:pPr>
        <w:pStyle w:val="BookText"/>
      </w:pPr>
      <w:r>
        <w:rPr>
          <w:rFonts w:ascii="IRNazanin" w:hAnsi="IRNazanin" w:eastAsia="IRNazanin" w:cs="IRNazanin"/>
          <w:lang w:bidi="fa-IR"/>
          <w:color w:val="111111"/>
          <w:sz w:val="28"/>
          <w:szCs w:val="28"/>
          <w:rtl/>
        </w:rPr>
        <w:t xml:space="preserve">خلف، ج13، ص 535.</w:t>
      </w:r>
    </w:p>
    <w:p>
      <w:pPr>
        <w:pStyle w:val="BookText"/>
      </w:pPr>
      <w:r>
        <w:rPr>
          <w:rFonts w:ascii="Amiri" w:hAnsi="Amiri" w:eastAsia="Amiri" w:cs="Amiri"/>
          <w:lang w:bidi="ar-SA"/>
          <w:color w:val="111111"/>
          <w:sz w:val="28"/>
          <w:szCs w:val="28"/>
          <w:rtl/>
        </w:rPr>
        <w:t xml:space="preserve">21 .متن و ترجمة المناجاة الخمسة</w:t>
      </w:r>
    </w:p>
    <w:p>
      <w:pPr>
        <w:pStyle w:val="BookText"/>
      </w:pPr>
      <w:r>
        <w:rPr>
          <w:rFonts w:ascii="IRNazanin" w:hAnsi="IRNazanin" w:eastAsia="IRNazanin" w:cs="IRNazanin"/>
          <w:lang w:bidi="fa-IR"/>
          <w:color w:val="111111"/>
          <w:sz w:val="28"/>
          <w:szCs w:val="28"/>
          <w:rtl/>
        </w:rPr>
        <w:t xml:space="preserve">عشر، ج 13، ص 764 .</w:t>
      </w:r>
    </w:p>
    <w:p>
      <w:pPr>
        <w:pStyle w:val="BookText"/>
      </w:pPr>
      <w:r>
        <w:rPr>
          <w:rFonts w:ascii="Amiri" w:hAnsi="Amiri" w:eastAsia="Amiri" w:cs="Amiri"/>
          <w:lang w:bidi="ar-SA"/>
          <w:color w:val="111111"/>
          <w:sz w:val="28"/>
          <w:szCs w:val="28"/>
          <w:rtl/>
        </w:rPr>
        <w:t xml:space="preserve">22 .المسائل البهبهانية في بعض الاحكام البيانية، ج 14، ص 439.</w:t>
      </w:r>
    </w:p>
    <w:p>
      <w:pPr>
        <w:pStyle w:val="BookText"/>
      </w:pPr>
      <w:r>
        <w:rPr>
          <w:rFonts w:ascii="Amiri" w:hAnsi="Amiri" w:eastAsia="Amiri" w:cs="Amiri"/>
          <w:lang w:bidi="ar-SA"/>
          <w:color w:val="111111"/>
          <w:sz w:val="28"/>
          <w:szCs w:val="28"/>
          <w:rtl/>
        </w:rPr>
        <w:t xml:space="preserve">23 .المسائل الحسينية في بعض المسائل</w:t>
      </w:r>
    </w:p>
    <w:p>
      <w:pPr>
        <w:pStyle w:val="BookText"/>
      </w:pPr>
      <w:r>
        <w:rPr>
          <w:rFonts w:ascii="Amiri" w:hAnsi="Amiri" w:eastAsia="Amiri" w:cs="Amiri"/>
          <w:lang w:bidi="ar-SA"/>
          <w:color w:val="111111"/>
          <w:sz w:val="28"/>
          <w:szCs w:val="28"/>
          <w:rtl/>
        </w:rPr>
        <w:t xml:space="preserve">الدينية، ج 14، ص 443.</w:t>
      </w:r>
    </w:p>
    <w:p>
      <w:pPr>
        <w:pStyle w:val="BookText"/>
      </w:pPr>
      <w:r>
        <w:rPr>
          <w:rFonts w:ascii="Amiri" w:hAnsi="Amiri" w:eastAsia="Amiri" w:cs="Amiri"/>
          <w:lang w:bidi="ar-SA"/>
          <w:color w:val="111111"/>
          <w:sz w:val="28"/>
          <w:szCs w:val="28"/>
          <w:rtl/>
        </w:rPr>
        <w:t xml:space="preserve">24 .مسائل السيد عبدالله بن علوي</w:t>
      </w:r>
    </w:p>
    <w:p>
      <w:pPr>
        <w:pStyle w:val="BookText"/>
      </w:pPr>
      <w:r>
        <w:rPr>
          <w:rFonts w:ascii="Amiri" w:hAnsi="Amiri" w:eastAsia="Amiri" w:cs="Amiri"/>
          <w:lang w:bidi="ar-SA"/>
          <w:color w:val="111111"/>
          <w:sz w:val="28"/>
          <w:szCs w:val="28"/>
          <w:rtl/>
        </w:rPr>
        <w:t xml:space="preserve">الملقب بعشيق الحسين، ج 14 ص 454 .</w:t>
      </w:r>
    </w:p>
    <w:p>
      <w:pPr>
        <w:pStyle w:val="BookText"/>
      </w:pPr>
      <w:r>
        <w:rPr>
          <w:rFonts w:ascii="Amiri" w:hAnsi="Amiri" w:eastAsia="Amiri" w:cs="Amiri"/>
          <w:lang w:bidi="ar-SA"/>
          <w:color w:val="111111"/>
          <w:sz w:val="28"/>
          <w:szCs w:val="28"/>
          <w:rtl/>
        </w:rPr>
        <w:t xml:space="preserve">25 .المسائل المحمدية فيما لابد منه من المسائل الدينية، ج 14 ، ص 485.</w:t>
      </w:r>
    </w:p>
    <w:p>
      <w:pPr>
        <w:pStyle w:val="BookText"/>
      </w:pPr>
      <w:r>
        <w:rPr>
          <w:rFonts w:ascii="IRNazanin" w:hAnsi="IRNazanin" w:eastAsia="IRNazanin" w:cs="IRNazanin"/>
          <w:lang w:bidi="fa-IR"/>
          <w:color w:val="111111"/>
          <w:sz w:val="28"/>
          <w:szCs w:val="28"/>
          <w:rtl/>
        </w:rPr>
        <w:t xml:space="preserve">26 .مسائل و ردود، ج 14، ص 497</w:t>
      </w:r>
    </w:p>
    <w:p>
      <w:pPr>
        <w:pStyle w:val="BookText"/>
      </w:pPr>
      <w:r>
        <w:rPr>
          <w:rFonts w:ascii="Amiri" w:hAnsi="Amiri" w:eastAsia="Amiri" w:cs="Amiri"/>
          <w:lang w:bidi="ar-SA"/>
          <w:color w:val="111111"/>
          <w:sz w:val="28"/>
          <w:szCs w:val="28"/>
          <w:rtl/>
        </w:rPr>
        <w:t xml:space="preserve">27 .منية الممارسين في اجوبة مسائل الشيخ ياسين، ج 15 ، ص 835.</w:t>
      </w:r>
    </w:p>
    <w:p>
      <w:pPr>
        <w:pStyle w:val="BookText"/>
      </w:pPr>
      <w:r>
        <w:rPr>
          <w:rFonts w:ascii="Amiri" w:hAnsi="Amiri" w:eastAsia="Amiri" w:cs="Amiri"/>
          <w:lang w:bidi="ar-SA"/>
          <w:color w:val="111111"/>
          <w:sz w:val="28"/>
          <w:szCs w:val="28"/>
          <w:rtl/>
        </w:rPr>
        <w:t xml:space="preserve">28 .نخبة الواجبات في مسائل</w:t>
      </w:r>
    </w:p>
    <w:p>
      <w:pPr>
        <w:pStyle w:val="BookText"/>
      </w:pPr>
      <w:r>
        <w:rPr>
          <w:rFonts w:ascii="IRNazanin" w:hAnsi="IRNazanin" w:eastAsia="IRNazanin" w:cs="IRNazanin"/>
          <w:lang w:bidi="fa-IR"/>
          <w:color w:val="111111"/>
          <w:sz w:val="28"/>
          <w:szCs w:val="28"/>
          <w:rtl/>
        </w:rPr>
        <w:t xml:space="preserve">الصلوات، ج 16، ص208</w:t>
      </w:r>
    </w:p>
    <w:p>
      <w:pPr>
        <w:pStyle w:val="BookText"/>
      </w:pPr>
      <w:r>
        <w:rPr>
          <w:rFonts w:ascii="Amiri" w:hAnsi="Amiri" w:eastAsia="Amiri" w:cs="Amiri"/>
          <w:lang w:bidi="ar-SA"/>
          <w:color w:val="111111"/>
          <w:sz w:val="28"/>
          <w:szCs w:val="28"/>
          <w:rtl/>
        </w:rPr>
        <w:t xml:space="preserve">29 .النفحة العنبرية في جوابات المسائل الشوشترية، ج 16، ص 391.</w:t>
      </w:r>
    </w:p>
    <w:p>
      <w:pPr>
        <w:pStyle w:val="BookText"/>
      </w:pPr>
      <w:r>
        <w:rPr>
          <w:rFonts w:ascii="Amiri" w:hAnsi="Amiri" w:eastAsia="Amiri" w:cs="Amiri"/>
          <w:lang w:bidi="ar-SA"/>
          <w:color w:val="111111"/>
          <w:sz w:val="28"/>
          <w:szCs w:val="28"/>
          <w:rtl/>
        </w:rPr>
        <w:t xml:space="preserve">30 .هداية السائل إلى نفائس المسائل</w:t>
      </w:r>
    </w:p>
    <w:p>
      <w:pPr>
        <w:pStyle w:val="BookText"/>
      </w:pPr>
      <w:r>
        <w:rPr>
          <w:rFonts w:ascii="IRNazanin" w:hAnsi="IRNazanin" w:eastAsia="IRNazanin" w:cs="IRNazanin"/>
          <w:lang w:bidi="fa-IR"/>
          <w:color w:val="111111"/>
          <w:sz w:val="28"/>
          <w:szCs w:val="28"/>
          <w:rtl/>
        </w:rPr>
        <w:t xml:space="preserve">ج 16 ، ص 611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هداية الصراط في منع تاتي</w:t>
      </w:r>
    </w:p>
    <w:p>
      <w:pPr>
        <w:pStyle w:val="BookText"/>
      </w:pPr>
      <w:r>
        <w:rPr>
          <w:rFonts w:ascii="Amiri" w:hAnsi="Amiri" w:eastAsia="Amiri" w:cs="Amiri"/>
          <w:lang w:bidi="ar-SA"/>
          <w:color w:val="111111"/>
          <w:sz w:val="28"/>
          <w:szCs w:val="28"/>
          <w:rtl/>
        </w:rPr>
        <w:t xml:space="preserve">الاحتياط، ج 16، ص 613.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الوسيلة إلى تحصيل الاماني في ضبط ايام التعازي و التهاني ج 16،</w:t>
      </w:r>
    </w:p>
    <w:p>
      <w:pPr>
        <w:pStyle w:val="BookText"/>
      </w:pPr>
      <w:r>
        <w:rPr>
          <w:rFonts w:ascii="IRNazanin" w:hAnsi="IRNazanin" w:eastAsia="IRNazanin" w:cs="IRNazanin"/>
          <w:lang w:bidi="fa-IR"/>
          <w:color w:val="111111"/>
          <w:sz w:val="28"/>
          <w:szCs w:val="28"/>
          <w:rtl/>
        </w:rPr>
        <w:t xml:space="preserve">ص 782</w:t>
      </w:r>
    </w:p>
    <w:p>
      <w:pPr>
        <w:pStyle w:val="BookText"/>
      </w:pPr>
      <w:r>
        <w:rPr>
          <w:rFonts w:ascii="Amiri" w:hAnsi="Amiri" w:eastAsia="Amiri" w:cs="Amiri"/>
          <w:lang w:bidi="ar-SA"/>
          <w:color w:val="111111"/>
          <w:sz w:val="28"/>
          <w:szCs w:val="28"/>
          <w:rtl/>
        </w:rPr>
        <w:t xml:space="preserve">سماوي عراقي ، محمّد بن احمد -عراقي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4889" w:name="_Toc3991"/>
      <w:r>
        <w:t>سماوي ، محمّد بن محمّد طاهر، 1292 -</w:t>
      </w:r>
      <w:bookmarkEnd w:id="4889"/>
    </w:p>
    <w:p>
      <w:pPr>
        <w:pStyle w:val="BookText"/>
      </w:pPr>
      <w:r>
        <w:rPr>
          <w:rFonts w:ascii="IRNazanin" w:hAnsi="IRNazanin" w:eastAsia="IRNazanin" w:cs="IRNazanin"/>
          <w:lang w:bidi="fa-IR"/>
          <w:color w:val="111111"/>
          <w:sz w:val="28"/>
          <w:szCs w:val="28"/>
          <w:rtl/>
        </w:rPr>
        <w:t xml:space="preserve">1370 ه-</w:t>
      </w:r>
    </w:p>
    <w:p>
      <w:pPr>
        <w:pStyle w:val="BookText"/>
      </w:pPr>
      <w:r>
        <w:rPr>
          <w:rFonts w:ascii="Amiri" w:hAnsi="Amiri" w:eastAsia="Amiri" w:cs="Amiri"/>
          <w:lang w:bidi="ar-SA"/>
          <w:color w:val="111111"/>
          <w:sz w:val="28"/>
          <w:szCs w:val="28"/>
          <w:rtl/>
        </w:rPr>
        <w:t xml:space="preserve">1 .الانثلاج في الاختلاج، ج 2، ص792.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الايام التي يصح أو لا يصح فيها المنام (منظومة في)، ج 3، ص91.</w:t>
      </w:r>
    </w:p>
    <w:p>
      <w:pPr>
        <w:pStyle w:val="BookText"/>
      </w:pPr>
      <w:r>
        <w:rPr>
          <w:rFonts w:ascii="Amiri" w:hAnsi="Amiri" w:eastAsia="Amiri" w:cs="Amiri"/>
          <w:lang w:bidi="ar-SA"/>
          <w:color w:val="111111"/>
          <w:sz w:val="28"/>
          <w:szCs w:val="28"/>
          <w:rtl/>
        </w:rPr>
        <w:t xml:space="preserve">3.تخميس القصائد العلويات السبع</w:t>
      </w:r>
    </w:p>
    <w:p>
      <w:pPr>
        <w:pStyle w:val="BookText"/>
      </w:pPr>
      <w:r>
        <w:rPr>
          <w:rFonts w:ascii="IRNazanin" w:hAnsi="IRNazanin" w:eastAsia="IRNazanin" w:cs="IRNazanin"/>
          <w:lang w:bidi="fa-IR"/>
          <w:color w:val="111111"/>
          <w:sz w:val="28"/>
          <w:szCs w:val="28"/>
          <w:rtl/>
        </w:rPr>
        <w:t xml:space="preserve">ج 4، ص 110.</w:t>
      </w:r>
    </w:p>
    <w:p>
      <w:pPr>
        <w:pStyle w:val="BookText"/>
      </w:pPr>
      <w:r>
        <w:rPr>
          <w:rFonts w:ascii="Amiri" w:hAnsi="Amiri" w:eastAsia="Amiri" w:cs="Amiri"/>
          <w:lang w:bidi="ar-SA"/>
          <w:color w:val="111111"/>
          <w:sz w:val="28"/>
          <w:szCs w:val="28"/>
          <w:rtl/>
        </w:rPr>
        <w:t xml:space="preserve">4 .تخميس القصيدة المحبرة، ج 4،</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Amiri" w:hAnsi="Amiri" w:eastAsia="Amiri" w:cs="Amiri"/>
          <w:lang w:bidi="ar-SA"/>
          <w:color w:val="111111"/>
          <w:sz w:val="28"/>
          <w:szCs w:val="28"/>
          <w:rtl/>
        </w:rPr>
        <w:t xml:space="preserve">5 .ترجمة الشيخ علي الزيني، ج 4،</w:t>
      </w:r>
    </w:p>
    <w:p>
      <w:pPr>
        <w:pStyle w:val="BookText"/>
      </w:pPr>
      <w:r>
        <w:rPr>
          <w:rFonts w:ascii="IRNazanin" w:hAnsi="IRNazanin" w:eastAsia="IRNazanin" w:cs="IRNazanin"/>
          <w:lang w:bidi="fa-IR"/>
          <w:color w:val="111111"/>
          <w:sz w:val="28"/>
          <w:szCs w:val="28"/>
          <w:rtl/>
        </w:rPr>
        <w:t xml:space="preserve">ص 282.</w:t>
      </w:r>
    </w:p>
    <w:p>
      <w:pPr>
        <w:pStyle w:val="BookText"/>
      </w:pPr>
      <w:r>
        <w:rPr>
          <w:rFonts w:ascii="Amiri" w:hAnsi="Amiri" w:eastAsia="Amiri" w:cs="Amiri"/>
          <w:lang w:bidi="ar-SA"/>
          <w:color w:val="111111"/>
          <w:sz w:val="28"/>
          <w:szCs w:val="28"/>
          <w:rtl/>
        </w:rPr>
        <w:t xml:space="preserve">6 .تسديد المتحيرة في تخميس المحيرة</w:t>
      </w:r>
    </w:p>
    <w:p>
      <w:pPr>
        <w:pStyle w:val="BookText"/>
      </w:pPr>
      <w:r>
        <w:rPr>
          <w:rFonts w:ascii="Amiri" w:hAnsi="Amiri" w:eastAsia="Amiri" w:cs="Amiri"/>
          <w:lang w:bidi="ar-SA"/>
          <w:color w:val="111111"/>
          <w:sz w:val="28"/>
          <w:szCs w:val="28"/>
          <w:rtl/>
        </w:rPr>
        <w:t xml:space="preserve">الأحمد بن علوية الأصفهاني، جع،</w:t>
      </w:r>
    </w:p>
    <w:p>
      <w:pPr>
        <w:pStyle w:val="BookText"/>
      </w:pPr>
      <w:r>
        <w:rPr>
          <w:rFonts w:ascii="IRNazanin" w:hAnsi="IRNazanin" w:eastAsia="IRNazanin" w:cs="IRNazanin"/>
          <w:lang w:bidi="fa-IR"/>
          <w:color w:val="111111"/>
          <w:sz w:val="28"/>
          <w:szCs w:val="28"/>
          <w:rtl/>
        </w:rPr>
        <w:t xml:space="preserve">ص 337.</w:t>
      </w:r>
    </w:p>
    <w:p>
      <w:pPr>
        <w:pStyle w:val="BookText"/>
      </w:pPr>
      <w:r>
        <w:rPr>
          <w:rFonts w:ascii="Amiri" w:hAnsi="Amiri" w:eastAsia="Amiri" w:cs="Amiri"/>
          <w:lang w:bidi="ar-SA"/>
          <w:color w:val="111111"/>
          <w:sz w:val="28"/>
          <w:szCs w:val="28"/>
          <w:rtl/>
        </w:rPr>
        <w:t xml:space="preserve">7 .تعليقة على كتاب إبصار العين في</w:t>
      </w:r>
    </w:p>
    <w:p>
      <w:pPr>
        <w:pStyle w:val="BookText"/>
      </w:pPr>
      <w:r>
        <w:rPr>
          <w:rFonts w:ascii="Amiri" w:hAnsi="Amiri" w:eastAsia="Amiri" w:cs="Amiri"/>
          <w:lang w:bidi="ar-SA"/>
          <w:color w:val="111111"/>
          <w:sz w:val="28"/>
          <w:szCs w:val="28"/>
          <w:rtl/>
        </w:rPr>
        <w:t xml:space="preserve">أنصار الحسين عليه وعليهم السلام)، ج 4، ص 526.</w:t>
      </w:r>
    </w:p>
    <w:p>
      <w:pPr>
        <w:pStyle w:val="BookText"/>
      </w:pPr>
      <w:r>
        <w:rPr>
          <w:rFonts w:ascii="Amiri" w:hAnsi="Amiri" w:eastAsia="Amiri" w:cs="Amiri"/>
          <w:lang w:bidi="ar-SA"/>
          <w:color w:val="111111"/>
          <w:sz w:val="28"/>
          <w:szCs w:val="28"/>
          <w:rtl/>
        </w:rPr>
        <w:t xml:space="preserve">8 .جداول في معرفة التاريخ العربي و</w:t>
      </w:r>
    </w:p>
    <w:p>
      <w:pPr>
        <w:pStyle w:val="BookText"/>
      </w:pPr>
      <w:r>
        <w:rPr>
          <w:rFonts w:ascii="Amiri" w:hAnsi="Amiri" w:eastAsia="Amiri" w:cs="Amiri"/>
          <w:lang w:bidi="ar-SA"/>
          <w:color w:val="111111"/>
          <w:sz w:val="28"/>
          <w:szCs w:val="28"/>
          <w:rtl/>
        </w:rPr>
        <w:t xml:space="preserve">الروحي، ج 5، ص 369.</w:t>
      </w:r>
    </w:p>
    <w:p>
      <w:pPr>
        <w:pStyle w:val="BookText"/>
      </w:pPr>
      <w:r>
        <w:rPr>
          <w:rFonts w:ascii="Amiri" w:hAnsi="Amiri" w:eastAsia="Amiri" w:cs="Amiri"/>
          <w:lang w:bidi="ar-SA"/>
          <w:color w:val="111111"/>
          <w:sz w:val="28"/>
          <w:szCs w:val="28"/>
          <w:rtl/>
        </w:rPr>
        <w:t xml:space="preserve">9 .جذوة السلام في مسائل الكلام، جه ،</w:t>
      </w:r>
    </w:p>
    <w:p>
      <w:pPr>
        <w:pStyle w:val="BookText"/>
      </w:pPr>
      <w:r>
        <w:rPr>
          <w:rFonts w:ascii="IRNazanin" w:hAnsi="IRNazanin" w:eastAsia="IRNazanin" w:cs="IRNazanin"/>
          <w:lang w:bidi="fa-IR"/>
          <w:color w:val="111111"/>
          <w:sz w:val="28"/>
          <w:szCs w:val="28"/>
          <w:rtl/>
        </w:rPr>
        <w:t xml:space="preserve">ص 376 .</w:t>
      </w:r>
    </w:p>
    <w:p>
      <w:pPr>
        <w:pStyle w:val="BookText"/>
      </w:pPr>
      <w:r>
        <w:rPr>
          <w:rFonts w:ascii="Amiri" w:hAnsi="Amiri" w:eastAsia="Amiri" w:cs="Amiri"/>
          <w:lang w:bidi="ar-SA"/>
          <w:color w:val="111111"/>
          <w:sz w:val="28"/>
          <w:szCs w:val="28"/>
          <w:rtl/>
        </w:rPr>
        <w:t xml:space="preserve">10 .جمل الآداب في نظم كتاب عيسى</w:t>
      </w:r>
    </w:p>
    <w:p>
      <w:pPr>
        <w:pStyle w:val="BookText"/>
      </w:pPr>
      <w:r>
        <w:rPr>
          <w:rFonts w:ascii="IRNazanin" w:hAnsi="IRNazanin" w:eastAsia="IRNazanin" w:cs="IRNazanin"/>
          <w:lang w:bidi="fa-IR"/>
          <w:color w:val="111111"/>
          <w:sz w:val="28"/>
          <w:szCs w:val="28"/>
          <w:rtl/>
        </w:rPr>
        <w:t xml:space="preserve">بن دأب، ج 5، ص 441.</w:t>
      </w:r>
    </w:p>
    <w:p>
      <w:pPr>
        <w:pStyle w:val="BookText"/>
      </w:pPr>
      <w:r>
        <w:rPr>
          <w:rFonts w:ascii="Amiri" w:hAnsi="Amiri" w:eastAsia="Amiri" w:cs="Amiri"/>
          <w:lang w:bidi="ar-SA"/>
          <w:color w:val="111111"/>
          <w:sz w:val="28"/>
          <w:szCs w:val="28"/>
          <w:rtl/>
        </w:rPr>
        <w:t xml:space="preserve">11 .حياة السيد سليمان الحلي (رسالة</w:t>
      </w:r>
    </w:p>
    <w:p>
      <w:pPr>
        <w:pStyle w:val="BookText"/>
      </w:pPr>
      <w:r>
        <w:rPr>
          <w:rFonts w:ascii="Amiri" w:hAnsi="Amiri" w:eastAsia="Amiri" w:cs="Amiri"/>
          <w:lang w:bidi="ar-SA"/>
          <w:color w:val="111111"/>
          <w:sz w:val="28"/>
          <w:szCs w:val="28"/>
          <w:rtl/>
        </w:rPr>
        <w:t xml:space="preserve">في)، ج 6، ص 858.</w:t>
      </w:r>
    </w:p>
    <w:p>
      <w:pPr>
        <w:pStyle w:val="BookText"/>
      </w:pPr>
      <w:r>
        <w:rPr>
          <w:rFonts w:ascii="Amiri" w:hAnsi="Amiri" w:eastAsia="Amiri" w:cs="Amiri"/>
          <w:lang w:bidi="ar-SA"/>
          <w:color w:val="111111"/>
          <w:sz w:val="28"/>
          <w:szCs w:val="28"/>
          <w:rtl/>
        </w:rPr>
        <w:t xml:space="preserve">12 .روضة الامان في مدح صاحب</w:t>
      </w:r>
    </w:p>
    <w:p>
      <w:pPr>
        <w:pStyle w:val="BookText"/>
      </w:pPr>
      <w:r>
        <w:rPr>
          <w:rFonts w:ascii="IRNazanin" w:hAnsi="IRNazanin" w:eastAsia="IRNazanin" w:cs="IRNazanin"/>
          <w:lang w:bidi="fa-IR"/>
          <w:color w:val="111111"/>
          <w:sz w:val="28"/>
          <w:szCs w:val="28"/>
          <w:rtl/>
        </w:rPr>
        <w:t xml:space="preserve">الزمان، ج8، ص 404.</w:t>
      </w:r>
    </w:p>
    <w:p>
      <w:pPr>
        <w:pStyle w:val="BookText"/>
      </w:pPr>
      <w:r>
        <w:rPr>
          <w:rFonts w:ascii="Amiri" w:hAnsi="Amiri" w:eastAsia="Amiri" w:cs="Amiri"/>
          <w:lang w:bidi="ar-SA"/>
          <w:color w:val="111111"/>
          <w:sz w:val="28"/>
          <w:szCs w:val="28"/>
          <w:rtl/>
        </w:rPr>
        <w:t xml:space="preserve">13 .الطليعة في شعراء الشيعة، ج 10،</w:t>
      </w:r>
    </w:p>
    <w:p>
      <w:pPr>
        <w:pStyle w:val="BookText"/>
      </w:pPr>
      <w:r>
        <w:rPr>
          <w:rFonts w:ascii="IRNazanin" w:hAnsi="IRNazanin" w:eastAsia="IRNazanin" w:cs="IRNazanin"/>
          <w:lang w:bidi="fa-IR"/>
          <w:color w:val="111111"/>
          <w:sz w:val="28"/>
          <w:szCs w:val="28"/>
          <w:rtl/>
        </w:rPr>
        <w:t xml:space="preserve">ص 853.</w:t>
      </w:r>
    </w:p>
    <w:p>
      <w:pPr>
        <w:pStyle w:val="BookText"/>
      </w:pPr>
      <w:r>
        <w:rPr>
          <w:rFonts w:ascii="Amiri" w:hAnsi="Amiri" w:eastAsia="Amiri" w:cs="Amiri"/>
          <w:lang w:bidi="ar-SA"/>
          <w:color w:val="111111"/>
          <w:sz w:val="28"/>
          <w:szCs w:val="28"/>
          <w:rtl/>
        </w:rPr>
        <w:t xml:space="preserve">14 .الفوائد الرجالية، ج 12، ص 205.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ماجمع من الشعر الاديب الشيخ</w:t>
      </w:r>
    </w:p>
    <w:p>
      <w:pPr>
        <w:pStyle w:val="BookText"/>
      </w:pPr>
      <w:r>
        <w:rPr>
          <w:rFonts w:ascii="Amiri" w:hAnsi="Amiri" w:eastAsia="Amiri" w:cs="Amiri"/>
          <w:lang w:bidi="ar-SA"/>
          <w:color w:val="111111"/>
          <w:sz w:val="28"/>
          <w:szCs w:val="28"/>
          <w:rtl/>
        </w:rPr>
        <w:t xml:space="preserve">علي الزيني، ج 13، ص 678.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الملتقط، ج 15، ص 435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6" w:name="pg7742_70547"/>
    <w:bookmarkEnd w:id="576"/>
    <w:p>
      <w:pPr>
        <w:pStyle w:val="Heading2"/>
      </w:pPr>
      <w:bookmarkStart w:id="4890" w:name="_Toc3992"/>
      <w:r>
        <w:t>سماوي ، محمّد طاهر</w:t>
      </w:r>
      <w:bookmarkEnd w:id="4890"/>
    </w:p>
    <w:p>
      <w:pPr>
        <w:pStyle w:val="BookText"/>
      </w:pPr>
      <w:r>
        <w:rPr>
          <w:rFonts w:ascii="Amiri" w:hAnsi="Amiri" w:eastAsia="Amiri" w:cs="Amiri"/>
          <w:lang w:bidi="ar-SA"/>
          <w:color w:val="111111"/>
          <w:sz w:val="28"/>
          <w:szCs w:val="28"/>
          <w:rtl/>
        </w:rPr>
        <w:t xml:space="preserve">الكوكب السماوي، ج 13، ص 472.</w:t>
      </w:r>
    </w:p>
    <w:p>
      <w:pPr>
        <w:pStyle w:val="Heading2"/>
      </w:pPr>
      <w:bookmarkStart w:id="4891" w:name="_Toc3993"/>
      <w:r>
        <w:t>سمتي ، يوسف بن خالد قرن 2 ه-</w:t>
      </w:r>
      <w:bookmarkEnd w:id="4891"/>
    </w:p>
    <w:p>
      <w:pPr>
        <w:pStyle w:val="BookText"/>
      </w:pPr>
      <w:r>
        <w:rPr>
          <w:rFonts w:ascii="Amiri" w:hAnsi="Amiri" w:eastAsia="Amiri" w:cs="Amiri"/>
          <w:lang w:bidi="ar-SA"/>
          <w:color w:val="111111"/>
          <w:sz w:val="28"/>
          <w:szCs w:val="28"/>
          <w:rtl/>
        </w:rPr>
        <w:t xml:space="preserve">شرح وصية ابي حنيفة، ج 10، ص330.</w:t>
      </w:r>
    </w:p>
    <w:p>
      <w:pPr>
        <w:pStyle w:val="BookText"/>
      </w:pPr>
      <w:r>
        <w:rPr>
          <w:rFonts w:ascii="Amiri" w:hAnsi="Amiri" w:eastAsia="Amiri" w:cs="Amiri"/>
          <w:lang w:bidi="ar-SA"/>
          <w:color w:val="111111"/>
          <w:sz w:val="28"/>
          <w:szCs w:val="28"/>
          <w:rtl/>
        </w:rPr>
        <w:t xml:space="preserve">سمرقندي، ابراهيم بن محمّد- قاري</w:t>
      </w:r>
    </w:p>
    <w:p>
      <w:pPr>
        <w:pStyle w:val="BookText"/>
      </w:pPr>
      <w:r>
        <w:rPr>
          <w:rFonts w:ascii="Amiri" w:hAnsi="Amiri" w:eastAsia="Amiri" w:cs="Amiri"/>
          <w:lang w:bidi="ar-SA"/>
          <w:color w:val="111111"/>
          <w:sz w:val="28"/>
          <w:szCs w:val="28"/>
          <w:rtl/>
        </w:rPr>
        <w:t xml:space="preserve">حنفي، ابراهيم بن محمّد</w:t>
      </w:r>
    </w:p>
    <w:p>
      <w:pPr>
        <w:pStyle w:val="BookText"/>
      </w:pPr>
      <w:r>
        <w:rPr>
          <w:rFonts w:ascii="Amiri" w:hAnsi="Amiri" w:eastAsia="Amiri" w:cs="Amiri"/>
          <w:lang w:bidi="ar-SA"/>
          <w:color w:val="111111"/>
          <w:sz w:val="28"/>
          <w:szCs w:val="28"/>
          <w:rtl/>
        </w:rPr>
        <w:t xml:space="preserve">سمرقندي، ابراهيم بن محمّد -ليثي</w:t>
      </w:r>
    </w:p>
    <w:p>
      <w:pPr>
        <w:pStyle w:val="BookText"/>
      </w:pPr>
      <w:r>
        <w:rPr>
          <w:rFonts w:ascii="Amiri" w:hAnsi="Amiri" w:eastAsia="Amiri" w:cs="Amiri"/>
          <w:lang w:bidi="ar-SA"/>
          <w:color w:val="111111"/>
          <w:sz w:val="28"/>
          <w:szCs w:val="28"/>
          <w:rtl/>
        </w:rPr>
        <w:t xml:space="preserve">سمرقندي، ابوالقاسم بن ابي بكر</w:t>
      </w:r>
    </w:p>
    <w:p>
      <w:pPr>
        <w:pStyle w:val="BookText"/>
      </w:pPr>
      <w:r>
        <w:rPr>
          <w:rFonts w:ascii="Amiri" w:hAnsi="Amiri" w:eastAsia="Amiri" w:cs="Amiri"/>
          <w:lang w:bidi="ar-SA"/>
          <w:color w:val="111111"/>
          <w:sz w:val="28"/>
          <w:szCs w:val="28"/>
          <w:rtl/>
        </w:rPr>
        <w:t xml:space="preserve">سمرقندي ، ابو القاسم بن ابي بك-ر ليثي</w:t>
      </w:r>
    </w:p>
    <w:p>
      <w:pPr>
        <w:pStyle w:val="BookText"/>
      </w:pPr>
      <w:r>
        <w:rPr>
          <w:rFonts w:ascii="Amiri" w:hAnsi="Amiri" w:eastAsia="Amiri" w:cs="Amiri"/>
          <w:lang w:bidi="ar-SA"/>
          <w:color w:val="111111"/>
          <w:sz w:val="28"/>
          <w:szCs w:val="28"/>
          <w:rtl/>
        </w:rPr>
        <w:t xml:space="preserve">سمرقندي، ابو القاسم بن ابي بكر</w:t>
      </w:r>
    </w:p>
    <w:p>
      <w:pPr>
        <w:pStyle w:val="BookText"/>
      </w:pPr>
      <w:r>
        <w:rPr>
          <w:rFonts w:ascii="IRNazanin" w:hAnsi="IRNazanin" w:eastAsia="IRNazanin" w:cs="IRNazanin"/>
          <w:lang w:bidi="fa-IR"/>
          <w:color w:val="111111"/>
          <w:sz w:val="28"/>
          <w:szCs w:val="28"/>
          <w:rtl/>
        </w:rPr>
        <w:t xml:space="preserve">سمرقندي ، ابواللیث -سمرقندي ، نصر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سمرقندي ، ابو حفص عمر بن</w:t>
      </w:r>
    </w:p>
    <w:p>
      <w:pPr>
        <w:pStyle w:val="BookText"/>
      </w:pPr>
      <w:r>
        <w:rPr>
          <w:rFonts w:ascii="Amiri" w:hAnsi="Amiri" w:eastAsia="Amiri" w:cs="Amiri"/>
          <w:lang w:bidi="ar-SA"/>
          <w:color w:val="111111"/>
          <w:sz w:val="28"/>
          <w:szCs w:val="28"/>
          <w:rtl/>
        </w:rPr>
        <w:t xml:space="preserve">محمّد -نسفي ، عمر بن محمّد</w:t>
      </w:r>
    </w:p>
    <w:p>
      <w:pPr>
        <w:pStyle w:val="BookText"/>
      </w:pPr>
      <w:r>
        <w:rPr>
          <w:rFonts w:ascii="Amiri" w:hAnsi="Amiri" w:eastAsia="Amiri" w:cs="Amiri"/>
          <w:lang w:bidi="ar-SA"/>
          <w:color w:val="111111"/>
          <w:sz w:val="28"/>
          <w:szCs w:val="28"/>
          <w:rtl/>
        </w:rPr>
        <w:t xml:space="preserve">سمرقندي، ابو منصور محمّد -سمرقندي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سمرقندي ، اثير الدين مفضل بن</w:t>
      </w:r>
    </w:p>
    <w:p>
      <w:pPr>
        <w:pStyle w:val="BookText"/>
      </w:pPr>
      <w:r>
        <w:rPr>
          <w:rFonts w:ascii="Amiri" w:hAnsi="Amiri" w:eastAsia="Amiri" w:cs="Amiri"/>
          <w:lang w:bidi="ar-SA"/>
          <w:color w:val="111111"/>
          <w:sz w:val="28"/>
          <w:szCs w:val="28"/>
          <w:rtl/>
        </w:rPr>
        <w:t xml:space="preserve">عمر -اثيرالدين ابهري ، مفضل بن عمر</w:t>
      </w:r>
    </w:p>
    <w:p>
      <w:pPr>
        <w:pStyle w:val="BookText"/>
      </w:pPr>
      <w:r>
        <w:rPr>
          <w:rFonts w:ascii="Amiri" w:hAnsi="Amiri" w:eastAsia="Amiri" w:cs="Amiri"/>
          <w:lang w:bidi="ar-SA"/>
          <w:color w:val="111111"/>
          <w:sz w:val="28"/>
          <w:szCs w:val="28"/>
          <w:rtl/>
        </w:rPr>
        <w:t xml:space="preserve">سمرقندي ، احمد بن علي- نظام</w:t>
      </w:r>
    </w:p>
    <w:p>
      <w:pPr>
        <w:pStyle w:val="BookText"/>
      </w:pPr>
      <w:r>
        <w:rPr>
          <w:rFonts w:ascii="Amiri" w:hAnsi="Amiri" w:eastAsia="Amiri" w:cs="Amiri"/>
          <w:lang w:bidi="ar-SA"/>
          <w:color w:val="111111"/>
          <w:sz w:val="28"/>
          <w:szCs w:val="28"/>
          <w:rtl/>
        </w:rPr>
        <w:t xml:space="preserve">سمرقندي، احمد بن علي</w:t>
      </w:r>
    </w:p>
    <w:p>
      <w:pPr>
        <w:pStyle w:val="BookText"/>
      </w:pPr>
      <w:r>
        <w:rPr>
          <w:rFonts w:ascii="Amiri" w:hAnsi="Amiri" w:eastAsia="Amiri" w:cs="Amiri"/>
          <w:lang w:bidi="ar-SA"/>
          <w:color w:val="111111"/>
          <w:sz w:val="28"/>
          <w:szCs w:val="28"/>
          <w:rtl/>
        </w:rPr>
        <w:t xml:space="preserve">سمرقندي ، احمد بن عمر -نظامي ،</w:t>
      </w:r>
    </w:p>
    <w:p>
      <w:pPr>
        <w:pStyle w:val="BookText"/>
      </w:pPr>
      <w:r>
        <w:rPr>
          <w:rFonts w:ascii="IRNazanin" w:hAnsi="IRNazanin" w:eastAsia="IRNazanin" w:cs="IRNazanin"/>
          <w:lang w:bidi="fa-IR"/>
          <w:color w:val="111111"/>
          <w:sz w:val="28"/>
          <w:szCs w:val="28"/>
          <w:rtl/>
        </w:rPr>
        <w:t xml:space="preserve">احمد بن عمر</w:t>
      </w:r>
    </w:p>
    <w:p>
      <w:pPr>
        <w:pStyle w:val="Heading2"/>
      </w:pPr>
      <w:bookmarkStart w:id="4892" w:name="_Toc3994"/>
      <w:r>
        <w:t>سمرقندي ، احمد بن محمّد - 550 ه-</w:t>
      </w:r>
      <w:bookmarkEnd w:id="4892"/>
    </w:p>
    <w:p>
      <w:pPr>
        <w:pStyle w:val="BookText"/>
      </w:pPr>
      <w:r>
        <w:rPr>
          <w:rFonts w:ascii="Amiri" w:hAnsi="Amiri" w:eastAsia="Amiri" w:cs="Amiri"/>
          <w:lang w:bidi="ar-SA"/>
          <w:color w:val="111111"/>
          <w:sz w:val="28"/>
          <w:szCs w:val="28"/>
          <w:rtl/>
        </w:rPr>
        <w:t xml:space="preserve">رسوم القضاة و كتاب الشروط، ج 8، ص 302.</w:t>
      </w:r>
    </w:p>
    <w:p>
      <w:pPr>
        <w:pStyle w:val="Heading2"/>
      </w:pPr>
      <w:bookmarkStart w:id="4893" w:name="_Toc3995"/>
      <w:r>
        <w:t>سمرقندي ، اسحاق بن محمّد، - 342 ه-</w:t>
      </w:r>
      <w:bookmarkEnd w:id="4893"/>
    </w:p>
    <w:p>
      <w:pPr>
        <w:pStyle w:val="BookText"/>
      </w:pPr>
      <w:r>
        <w:rPr>
          <w:rFonts w:ascii="IRNazanin" w:hAnsi="IRNazanin" w:eastAsia="IRNazanin" w:cs="IRNazanin"/>
          <w:lang w:bidi="fa-IR"/>
          <w:color w:val="111111"/>
          <w:sz w:val="28"/>
          <w:szCs w:val="28"/>
          <w:rtl/>
        </w:rPr>
        <w:t xml:space="preserve">1 .السواد الاعظم، ج8، ص 856.</w:t>
      </w:r>
    </w:p>
    <w:p>
      <w:pPr>
        <w:pStyle w:val="BookText"/>
      </w:pPr>
      <w:r>
        <w:rPr>
          <w:rFonts w:ascii="IRNazanin" w:hAnsi="IRNazanin" w:eastAsia="IRNazanin" w:cs="IRNazanin"/>
          <w:lang w:bidi="fa-IR"/>
          <w:color w:val="111111"/>
          <w:sz w:val="28"/>
          <w:szCs w:val="28"/>
          <w:rtl/>
        </w:rPr>
        <w:t xml:space="preserve">2 .الصحائف، ج 10، ص 483.</w:t>
      </w:r>
    </w:p>
    <w:p>
      <w:pPr>
        <w:pStyle w:val="BookText"/>
      </w:pPr>
      <w:r>
        <w:rPr>
          <w:rFonts w:ascii="Amiri" w:hAnsi="Amiri" w:eastAsia="Amiri" w:cs="Amiri"/>
          <w:lang w:bidi="ar-SA"/>
          <w:color w:val="111111"/>
          <w:sz w:val="28"/>
          <w:szCs w:val="28"/>
          <w:rtl/>
        </w:rPr>
        <w:t xml:space="preserve">3 .مختصر الحكمة النبوية، ج 14،</w:t>
      </w:r>
    </w:p>
    <w:p>
      <w:pPr>
        <w:pStyle w:val="BookText"/>
      </w:pPr>
      <w:r>
        <w:rPr>
          <w:rFonts w:ascii="IRNazanin" w:hAnsi="IRNazanin" w:eastAsia="IRNazanin" w:cs="IRNazanin"/>
          <w:lang w:bidi="fa-IR"/>
          <w:color w:val="111111"/>
          <w:sz w:val="28"/>
          <w:szCs w:val="28"/>
          <w:rtl/>
        </w:rPr>
        <w:t xml:space="preserve">ص 187</w:t>
      </w:r>
    </w:p>
    <w:p>
      <w:pPr>
        <w:pStyle w:val="Heading2"/>
      </w:pPr>
      <w:bookmarkStart w:id="4894" w:name="_Toc3996"/>
      <w:r>
        <w:t>سمرقندي، اسماعيل بن احمد - 536 ه-</w:t>
      </w:r>
      <w:bookmarkEnd w:id="4894"/>
    </w:p>
    <w:p>
      <w:pPr>
        <w:pStyle w:val="BookText"/>
      </w:pPr>
      <w:r>
        <w:rPr>
          <w:rFonts w:ascii="IRNazanin" w:hAnsi="IRNazanin" w:eastAsia="IRNazanin" w:cs="IRNazanin"/>
          <w:lang w:bidi="fa-IR"/>
          <w:color w:val="111111"/>
          <w:sz w:val="28"/>
          <w:szCs w:val="28"/>
          <w:rtl/>
        </w:rPr>
        <w:t xml:space="preserve">1 .فضائل العباس بن عبدالمطلب</w:t>
      </w:r>
    </w:p>
    <w:p>
      <w:pPr>
        <w:pStyle w:val="BookText"/>
      </w:pPr>
      <w:r>
        <w:rPr>
          <w:rFonts w:ascii="IRNazanin" w:hAnsi="IRNazanin" w:eastAsia="IRNazanin" w:cs="IRNazanin"/>
          <w:lang w:bidi="fa-IR"/>
          <w:color w:val="111111"/>
          <w:sz w:val="28"/>
          <w:szCs w:val="28"/>
          <w:rtl/>
        </w:rPr>
        <w:t xml:space="preserve">ج 12، ص 12.</w:t>
      </w:r>
    </w:p>
    <w:p>
      <w:pPr>
        <w:pStyle w:val="BookText"/>
      </w:pPr>
      <w:r>
        <w:rPr>
          <w:rFonts w:ascii="IRNazanin" w:hAnsi="IRNazanin" w:eastAsia="IRNazanin" w:cs="IRNazanin"/>
          <w:lang w:bidi="fa-IR"/>
          <w:color w:val="111111"/>
          <w:sz w:val="28"/>
          <w:szCs w:val="28"/>
          <w:rtl/>
        </w:rPr>
        <w:t xml:space="preserve">2 .ما قرب سنده = قرب الاسناد، ج13،</w:t>
      </w:r>
    </w:p>
    <w:p>
      <w:pPr>
        <w:pStyle w:val="BookText"/>
      </w:pPr>
      <w:r>
        <w:rPr>
          <w:rFonts w:ascii="IRNazanin" w:hAnsi="IRNazanin" w:eastAsia="IRNazanin" w:cs="IRNazanin"/>
          <w:lang w:bidi="fa-IR"/>
          <w:color w:val="111111"/>
          <w:sz w:val="28"/>
          <w:szCs w:val="28"/>
          <w:rtl/>
        </w:rPr>
        <w:t xml:space="preserve">ص 682 .</w:t>
      </w:r>
    </w:p>
    <w:p>
      <w:pPr>
        <w:pStyle w:val="BookText"/>
      </w:pPr>
      <w:r>
        <w:rPr>
          <w:rFonts w:ascii="Amiri" w:hAnsi="Amiri" w:eastAsia="Amiri" w:cs="Amiri"/>
          <w:lang w:bidi="ar-SA"/>
          <w:color w:val="111111"/>
          <w:sz w:val="28"/>
          <w:szCs w:val="28"/>
          <w:rtl/>
        </w:rPr>
        <w:t xml:space="preserve">سمرقندي ، بدرالدين محمّد بن</w:t>
      </w:r>
    </w:p>
    <w:p>
      <w:pPr>
        <w:pStyle w:val="BookText"/>
      </w:pPr>
      <w:r>
        <w:rPr>
          <w:rFonts w:ascii="Amiri" w:hAnsi="Amiri" w:eastAsia="Amiri" w:cs="Amiri"/>
          <w:lang w:bidi="ar-SA"/>
          <w:color w:val="111111"/>
          <w:sz w:val="28"/>
          <w:szCs w:val="28"/>
          <w:rtl/>
        </w:rPr>
        <w:t xml:space="preserve">بهرام -قلانسي ، محمّد بن بهرام</w:t>
      </w:r>
    </w:p>
    <w:p>
      <w:pPr>
        <w:pStyle w:val="Heading2"/>
      </w:pPr>
      <w:bookmarkStart w:id="4895" w:name="_Toc3997"/>
      <w:r>
        <w:t>سمرقندي ، حسن بن احمد، 409 - 491 ؟</w:t>
      </w:r>
      <w:bookmarkEnd w:id="4895"/>
    </w:p>
    <w:p>
      <w:pPr>
        <w:pStyle w:val="BookText"/>
      </w:pPr>
      <w:r>
        <w:rPr>
          <w:rFonts w:ascii="IRNazanin" w:hAnsi="IRNazanin" w:eastAsia="IRNazanin" w:cs="IRNazanin"/>
          <w:lang w:bidi="fa-IR"/>
          <w:color w:val="111111"/>
          <w:sz w:val="28"/>
          <w:szCs w:val="28"/>
          <w:rtl/>
        </w:rPr>
        <w:t xml:space="preserve">فوائد، ج 12، ص 171</w:t>
      </w:r>
    </w:p>
    <w:p>
      <w:pPr>
        <w:pStyle w:val="BookText"/>
      </w:pPr>
      <w:r>
        <w:rPr>
          <w:rFonts w:ascii="Amiri" w:hAnsi="Amiri" w:eastAsia="Amiri" w:cs="Amiri"/>
          <w:lang w:bidi="ar-SA"/>
          <w:color w:val="111111"/>
          <w:sz w:val="28"/>
          <w:szCs w:val="28"/>
          <w:rtl/>
        </w:rPr>
        <w:t xml:space="preserve">سمرقندي ، دولتشاه بن</w:t>
      </w:r>
    </w:p>
    <w:p>
      <w:pPr>
        <w:pStyle w:val="BookText"/>
      </w:pPr>
      <w:r>
        <w:rPr>
          <w:rFonts w:ascii="IRNazanin" w:hAnsi="IRNazanin" w:eastAsia="IRNazanin" w:cs="IRNazanin"/>
          <w:lang w:bidi="fa-IR"/>
          <w:color w:val="111111"/>
          <w:sz w:val="28"/>
          <w:szCs w:val="28"/>
          <w:rtl/>
        </w:rPr>
        <w:t xml:space="preserve">علاء الدوله -دولتشاه ، دولتشاه بن بختیشاه</w:t>
      </w:r>
    </w:p>
    <w:p>
      <w:pPr>
        <w:pStyle w:val="BookText"/>
      </w:pPr>
      <w:r>
        <w:rPr>
          <w:rFonts w:ascii="Amiri" w:hAnsi="Amiri" w:eastAsia="Amiri" w:cs="Amiri"/>
          <w:lang w:bidi="ar-SA"/>
          <w:color w:val="111111"/>
          <w:sz w:val="28"/>
          <w:szCs w:val="28"/>
          <w:rtl/>
        </w:rPr>
        <w:t xml:space="preserve">سمرقندي ، ركن الدين محمّد -عميدي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4896" w:name="_Toc3998"/>
      <w:r>
        <w:t>سمرقندي ، سعيد بن علي</w:t>
      </w:r>
      <w:bookmarkEnd w:id="4896"/>
    </w:p>
    <w:p>
      <w:pPr>
        <w:pStyle w:val="BookText"/>
      </w:pPr>
      <w:r>
        <w:rPr>
          <w:rFonts w:ascii="Amiri" w:hAnsi="Amiri" w:eastAsia="Amiri" w:cs="Amiri"/>
          <w:lang w:bidi="ar-SA"/>
          <w:color w:val="111111"/>
          <w:sz w:val="28"/>
          <w:szCs w:val="28"/>
          <w:rtl/>
        </w:rPr>
        <w:t xml:space="preserve">جنة الحكام و جنة الخصام، ج 5،</w:t>
      </w:r>
    </w:p>
    <w:p>
      <w:pPr>
        <w:pStyle w:val="BookText"/>
      </w:pPr>
      <w:r>
        <w:rPr>
          <w:rFonts w:ascii="IRNazanin" w:hAnsi="IRNazanin" w:eastAsia="IRNazanin" w:cs="IRNazanin"/>
          <w:lang w:bidi="fa-IR"/>
          <w:color w:val="111111"/>
          <w:sz w:val="28"/>
          <w:szCs w:val="28"/>
          <w:rtl/>
        </w:rPr>
        <w:t xml:space="preserve">ص 464 .</w:t>
      </w:r>
    </w:p>
    <w:p>
      <w:pPr>
        <w:pStyle w:val="BookText"/>
      </w:pPr>
      <w:r>
        <w:rPr>
          <w:rFonts w:ascii="Amiri" w:hAnsi="Amiri" w:eastAsia="Amiri" w:cs="Amiri"/>
          <w:lang w:bidi="ar-SA"/>
          <w:color w:val="111111"/>
          <w:sz w:val="28"/>
          <w:szCs w:val="28"/>
          <w:rtl/>
        </w:rPr>
        <w:t xml:space="preserve">سمرقندي، شمس الدين محمّد -سمرقندي ، محمّد بن اشرف</w:t>
      </w:r>
    </w:p>
    <w:p>
      <w:pPr>
        <w:pStyle w:val="BookText"/>
      </w:pPr>
      <w:r>
        <w:rPr>
          <w:rFonts w:ascii="Amiri" w:hAnsi="Amiri" w:eastAsia="Amiri" w:cs="Amiri"/>
          <w:lang w:bidi="ar-SA"/>
          <w:color w:val="111111"/>
          <w:sz w:val="28"/>
          <w:szCs w:val="28"/>
          <w:rtl/>
        </w:rPr>
        <w:t xml:space="preserve">سمرقندي ، عبدالرحيم بن ابي</w:t>
      </w:r>
    </w:p>
    <w:p>
      <w:pPr>
        <w:pStyle w:val="BookText"/>
      </w:pPr>
      <w:r>
        <w:rPr>
          <w:rFonts w:ascii="Amiri" w:hAnsi="Amiri" w:eastAsia="Amiri" w:cs="Amiri"/>
          <w:lang w:bidi="ar-SA"/>
          <w:color w:val="111111"/>
          <w:sz w:val="28"/>
          <w:szCs w:val="28"/>
          <w:rtl/>
        </w:rPr>
        <w:t xml:space="preserve">بكر -مرغيناني ، عبد الرحيم بن ابي بكر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7" w:name="pg7742_70549"/>
    <w:bookmarkEnd w:id="577"/>
    <w:p>
      <w:pPr>
        <w:pStyle w:val="BookText"/>
      </w:pPr>
      <w:r>
        <w:rPr>
          <w:rFonts w:ascii="Amiri" w:hAnsi="Amiri" w:eastAsia="Amiri" w:cs="Amiri"/>
          <w:lang w:bidi="ar-SA"/>
          <w:color w:val="111111"/>
          <w:sz w:val="28"/>
          <w:szCs w:val="28"/>
          <w:rtl/>
        </w:rPr>
        <w:t xml:space="preserve">سمرقندي ، عبد الرزاق بن جلال</w:t>
      </w:r>
    </w:p>
    <w:p>
      <w:pPr>
        <w:pStyle w:val="BookText"/>
      </w:pPr>
      <w:r>
        <w:rPr>
          <w:rFonts w:ascii="Amiri" w:hAnsi="Amiri" w:eastAsia="Amiri" w:cs="Amiri"/>
          <w:lang w:bidi="ar-SA"/>
          <w:color w:val="111111"/>
          <w:sz w:val="28"/>
          <w:szCs w:val="28"/>
          <w:rtl/>
        </w:rPr>
        <w:t xml:space="preserve">الدين -عبد الرزاق كاشي ، عبدالرزاق بن احمد</w:t>
      </w:r>
    </w:p>
    <w:p>
      <w:pPr>
        <w:pStyle w:val="BookText"/>
      </w:pPr>
      <w:r>
        <w:rPr>
          <w:rFonts w:ascii="Amiri" w:hAnsi="Amiri" w:eastAsia="Amiri" w:cs="Amiri"/>
          <w:lang w:bidi="ar-SA"/>
          <w:color w:val="111111"/>
          <w:sz w:val="28"/>
          <w:szCs w:val="28"/>
          <w:rtl/>
        </w:rPr>
        <w:t xml:space="preserve">سمرقندي ، عبد الله بن عمر- دبوسي ، عبدالله بن عمر</w:t>
      </w:r>
    </w:p>
    <w:p>
      <w:pPr>
        <w:pStyle w:val="Heading2"/>
      </w:pPr>
      <w:bookmarkStart w:id="4897" w:name="_Toc3999"/>
      <w:r>
        <w:t>سمرقندي ، عبدالله بن محمّد</w:t>
      </w:r>
      <w:bookmarkEnd w:id="4897"/>
    </w:p>
    <w:p>
      <w:pPr>
        <w:pStyle w:val="BookText"/>
      </w:pPr>
      <w:r>
        <w:rPr>
          <w:rFonts w:ascii="Amiri" w:hAnsi="Amiri" w:eastAsia="Amiri" w:cs="Amiri"/>
          <w:lang w:bidi="ar-SA"/>
          <w:color w:val="111111"/>
          <w:sz w:val="28"/>
          <w:szCs w:val="28"/>
          <w:rtl/>
        </w:rPr>
        <w:t xml:space="preserve">الاعتقادات الاسلامية، ج 2، ص 512.</w:t>
      </w:r>
    </w:p>
    <w:p>
      <w:pPr>
        <w:pStyle w:val="Heading2"/>
      </w:pPr>
      <w:bookmarkStart w:id="4898" w:name="_Toc4000"/>
      <w:r>
        <w:t>سمرقندي، عبيد الله بن محمّد - 701</w:t>
      </w:r>
      <w:bookmarkEnd w:id="4898"/>
    </w:p>
    <w:p>
      <w:pPr>
        <w:pStyle w:val="BookText"/>
      </w:pPr>
      <w:r>
        <w:rPr>
          <w:rFonts w:ascii="IRNazanin" w:hAnsi="IRNazanin" w:eastAsia="IRNazanin" w:cs="IRNazanin"/>
          <w:lang w:bidi="fa-IR"/>
          <w:color w:val="111111"/>
          <w:sz w:val="28"/>
          <w:szCs w:val="28"/>
          <w:rtl/>
        </w:rPr>
        <w:t xml:space="preserve">1 .الاعتقادات، ج 2، ص 505.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شهادة = شرح كلمتي الشهادة، ج 9، ص 649.</w:t>
      </w:r>
    </w:p>
    <w:p>
      <w:pPr>
        <w:pStyle w:val="Heading2"/>
      </w:pPr>
      <w:bookmarkStart w:id="4899" w:name="_Toc4001"/>
      <w:r>
        <w:t>سمرقندي، عثمان بن احمد قرن 4 ه-</w:t>
      </w:r>
      <w:bookmarkEnd w:id="4899"/>
    </w:p>
    <w:p>
      <w:pPr>
        <w:pStyle w:val="BookText"/>
      </w:pPr>
      <w:r>
        <w:rPr>
          <w:rFonts w:ascii="Amiri" w:hAnsi="Amiri" w:eastAsia="Amiri" w:cs="Amiri"/>
          <w:lang w:bidi="ar-SA"/>
          <w:color w:val="111111"/>
          <w:sz w:val="28"/>
          <w:szCs w:val="28"/>
          <w:rtl/>
        </w:rPr>
        <w:t xml:space="preserve">الفوائد المنتقاة الحسان العوالي، ج 12،</w:t>
      </w:r>
    </w:p>
    <w:p>
      <w:pPr>
        <w:pStyle w:val="BookText"/>
      </w:pPr>
      <w:r>
        <w:rPr>
          <w:rFonts w:ascii="IRNazanin" w:hAnsi="IRNazanin" w:eastAsia="IRNazanin" w:cs="IRNazanin"/>
          <w:lang w:bidi="fa-IR"/>
          <w:color w:val="111111"/>
          <w:sz w:val="28"/>
          <w:szCs w:val="28"/>
          <w:rtl/>
        </w:rPr>
        <w:t xml:space="preserve">ص 279.</w:t>
      </w:r>
    </w:p>
    <w:p>
      <w:pPr>
        <w:pStyle w:val="BookText"/>
      </w:pPr>
      <w:r>
        <w:rPr>
          <w:rFonts w:ascii="Amiri" w:hAnsi="Amiri" w:eastAsia="Amiri" w:cs="Amiri"/>
          <w:lang w:bidi="ar-SA"/>
          <w:color w:val="111111"/>
          <w:sz w:val="28"/>
          <w:szCs w:val="28"/>
          <w:rtl/>
        </w:rPr>
        <w:t xml:space="preserve">سمرقندي، علاء الدين محمّد- سمرقندي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4900" w:name="_Toc4002"/>
      <w:r>
        <w:t>سمرقندي ، علي قرن 11 ه-</w:t>
      </w:r>
      <w:bookmarkEnd w:id="4900"/>
    </w:p>
    <w:p>
      <w:pPr>
        <w:pStyle w:val="BookText"/>
      </w:pPr>
      <w:r>
        <w:rPr>
          <w:rFonts w:ascii="Amiri" w:hAnsi="Amiri" w:eastAsia="Amiri" w:cs="Amiri"/>
          <w:lang w:bidi="ar-SA"/>
          <w:color w:val="111111"/>
          <w:sz w:val="28"/>
          <w:szCs w:val="28"/>
          <w:rtl/>
        </w:rPr>
        <w:t xml:space="preserve">1 .شرح الرسالة العضدية، ج 9،</w:t>
      </w:r>
    </w:p>
    <w:p>
      <w:pPr>
        <w:pStyle w:val="BookText"/>
      </w:pPr>
      <w:r>
        <w:rPr>
          <w:rFonts w:ascii="IRNazanin" w:hAnsi="IRNazanin" w:eastAsia="IRNazanin" w:cs="IRNazanin"/>
          <w:lang w:bidi="fa-IR"/>
          <w:color w:val="111111"/>
          <w:sz w:val="28"/>
          <w:szCs w:val="28"/>
          <w:rtl/>
        </w:rPr>
        <w:t xml:space="preserve">ص 536.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كشف الاسرار، ج13، ص 184.</w:t>
      </w:r>
    </w:p>
    <w:p>
      <w:pPr>
        <w:pStyle w:val="BookText"/>
      </w:pPr>
      <w:r>
        <w:rPr>
          <w:rFonts w:ascii="Amiri" w:hAnsi="Amiri" w:eastAsia="Amiri" w:cs="Amiri"/>
          <w:lang w:bidi="ar-SA"/>
          <w:color w:val="111111"/>
          <w:sz w:val="28"/>
          <w:szCs w:val="28"/>
          <w:rtl/>
        </w:rPr>
        <w:t xml:space="preserve">سمرقندي ، علي بن حسين- سغدي ، علي</w:t>
      </w:r>
    </w:p>
    <w:p>
      <w:pPr>
        <w:pStyle w:val="BookText"/>
      </w:pPr>
      <w:r>
        <w:rPr>
          <w:rFonts w:ascii="Amiri" w:hAnsi="Amiri" w:eastAsia="Amiri" w:cs="Amiri"/>
          <w:lang w:bidi="ar-SA"/>
          <w:color w:val="111111"/>
          <w:sz w:val="28"/>
          <w:szCs w:val="28"/>
          <w:rtl/>
        </w:rPr>
        <w:t xml:space="preserve">بن حسين</w:t>
      </w:r>
    </w:p>
    <w:p>
      <w:pPr>
        <w:pStyle w:val="Heading2"/>
      </w:pPr>
      <w:bookmarkStart w:id="4901" w:name="_Toc4003"/>
      <w:r>
        <w:t>سمرقندي ، علي بن صدرالدين قرن 11</w:t>
      </w:r>
      <w:bookmarkEnd w:id="4901"/>
    </w:p>
    <w:p>
      <w:pPr>
        <w:pStyle w:val="BookText"/>
      </w:pPr>
      <w:r>
        <w:rPr>
          <w:rFonts w:ascii="Amiri" w:hAnsi="Amiri" w:eastAsia="Amiri" w:cs="Amiri"/>
          <w:lang w:bidi="ar-SA"/>
          <w:color w:val="111111"/>
          <w:sz w:val="28"/>
          <w:szCs w:val="28"/>
          <w:rtl/>
        </w:rPr>
        <w:t xml:space="preserve">حاشية شرح رسالة الاستعارة، ج 6،</w:t>
      </w:r>
    </w:p>
    <w:p>
      <w:pPr>
        <w:pStyle w:val="BookText"/>
      </w:pPr>
      <w:r>
        <w:rPr>
          <w:rFonts w:ascii="IRNazanin" w:hAnsi="IRNazanin" w:eastAsia="IRNazanin" w:cs="IRNazanin"/>
          <w:lang w:bidi="fa-IR"/>
          <w:color w:val="111111"/>
          <w:sz w:val="28"/>
          <w:szCs w:val="28"/>
          <w:rtl/>
        </w:rPr>
        <w:t xml:space="preserve">ص 104.</w:t>
      </w:r>
    </w:p>
    <w:p>
      <w:pPr>
        <w:pStyle w:val="Heading2"/>
      </w:pPr>
      <w:bookmarkStart w:id="4902" w:name="_Toc4004"/>
      <w:r>
        <w:t>سمرقندي، عمر بن حسن قرن 9 ه-</w:t>
      </w:r>
      <w:bookmarkEnd w:id="4902"/>
    </w:p>
    <w:p>
      <w:pPr>
        <w:pStyle w:val="BookText"/>
      </w:pPr>
      <w:r>
        <w:rPr>
          <w:rFonts w:ascii="IRNazanin" w:hAnsi="IRNazanin" w:eastAsia="IRNazanin" w:cs="IRNazanin"/>
          <w:lang w:bidi="fa-IR"/>
          <w:color w:val="111111"/>
          <w:sz w:val="28"/>
          <w:szCs w:val="28"/>
          <w:rtl/>
        </w:rPr>
        <w:t xml:space="preserve">رونق المجالس، ج 8، ص 474 .</w:t>
      </w:r>
    </w:p>
    <w:p>
      <w:pPr>
        <w:pStyle w:val="BookText"/>
      </w:pPr>
      <w:r>
        <w:rPr>
          <w:rFonts w:ascii="Amiri" w:hAnsi="Amiri" w:eastAsia="Amiri" w:cs="Amiri"/>
          <w:lang w:bidi="ar-SA"/>
          <w:color w:val="111111"/>
          <w:sz w:val="28"/>
          <w:szCs w:val="28"/>
          <w:rtl/>
        </w:rPr>
        <w:t xml:space="preserve">سمرقندي ، علي بن محمّد- اسبيجابي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IRNazanin" w:hAnsi="IRNazanin" w:eastAsia="IRNazanin" w:cs="IRNazanin"/>
          <w:lang w:bidi="fa-IR"/>
          <w:color w:val="111111"/>
          <w:sz w:val="28"/>
          <w:szCs w:val="28"/>
          <w:rtl/>
        </w:rPr>
        <w:t xml:space="preserve">سمرقندي ، علي بن محمّد -قوشچي ، علي بن محمّد</w:t>
      </w:r>
    </w:p>
    <w:p>
      <w:pPr>
        <w:pStyle w:val="BookText"/>
      </w:pPr>
      <w:r>
        <w:rPr>
          <w:rFonts w:ascii="Amiri" w:hAnsi="Amiri" w:eastAsia="Amiri" w:cs="Amiri"/>
          <w:lang w:bidi="ar-SA"/>
          <w:color w:val="111111"/>
          <w:sz w:val="28"/>
          <w:szCs w:val="28"/>
          <w:rtl/>
        </w:rPr>
        <w:t xml:space="preserve">१ سمرقندي ، لطف الله بن محمّد قرن 8</w:t>
      </w:r>
    </w:p>
    <w:p>
      <w:pPr>
        <w:pStyle w:val="BookText"/>
      </w:pPr>
      <w:r>
        <w:rPr>
          <w:rFonts w:ascii="IRNazanin" w:hAnsi="IRNazanin" w:eastAsia="IRNazanin" w:cs="IRNazanin"/>
          <w:lang w:bidi="fa-IR"/>
          <w:color w:val="111111"/>
          <w:sz w:val="28"/>
          <w:szCs w:val="28"/>
          <w:rtl/>
        </w:rPr>
        <w:t xml:space="preserve">شرح الادوار، ج 9، ص 167.</w:t>
      </w:r>
    </w:p>
    <w:p>
      <w:pPr>
        <w:pStyle w:val="BookText"/>
      </w:pPr>
      <w:r>
        <w:rPr>
          <w:rFonts w:ascii="IRNazanin" w:hAnsi="IRNazanin" w:eastAsia="IRNazanin" w:cs="IRNazanin"/>
          <w:lang w:bidi="fa-IR"/>
          <w:color w:val="111111"/>
          <w:sz w:val="28"/>
          <w:szCs w:val="28"/>
          <w:rtl/>
        </w:rPr>
        <w:t xml:space="preserve">سمرقندي، محمّد ابراهيم بن محمّد -ترمدي ، محمّد ابراهیم بن محمّد</w:t>
      </w:r>
    </w:p>
    <w:p>
      <w:pPr>
        <w:pStyle w:val="Heading2"/>
      </w:pPr>
      <w:bookmarkStart w:id="4903" w:name="_Toc4005"/>
      <w:r>
        <w:t>سمرقندي ، محمّد بن أحمد - 553 ه-</w:t>
      </w:r>
      <w:bookmarkEnd w:id="4903"/>
    </w:p>
    <w:p>
      <w:pPr>
        <w:pStyle w:val="BookText"/>
      </w:pPr>
      <w:r>
        <w:rPr>
          <w:rFonts w:ascii="Amiri" w:hAnsi="Amiri" w:eastAsia="Amiri" w:cs="Amiri"/>
          <w:lang w:bidi="ar-SA"/>
          <w:color w:val="111111"/>
          <w:sz w:val="28"/>
          <w:szCs w:val="28"/>
          <w:rtl/>
        </w:rPr>
        <w:t xml:space="preserve">1 .تعداد الكبائر (منظومة في)، ج 4،</w:t>
      </w:r>
    </w:p>
    <w:p>
      <w:pPr>
        <w:pStyle w:val="BookText"/>
      </w:pPr>
      <w:r>
        <w:rPr>
          <w:rFonts w:ascii="IRNazanin" w:hAnsi="IRNazanin" w:eastAsia="IRNazanin" w:cs="IRNazanin"/>
          <w:lang w:bidi="fa-IR"/>
          <w:color w:val="111111"/>
          <w:sz w:val="28"/>
          <w:szCs w:val="28"/>
          <w:rtl/>
        </w:rPr>
        <w:t xml:space="preserve">ص 461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حصر المسائل و قصر الدلائل، ج 6،</w:t>
      </w:r>
    </w:p>
    <w:p>
      <w:pPr>
        <w:pStyle w:val="BookText"/>
      </w:pPr>
      <w:r>
        <w:rPr>
          <w:rFonts w:ascii="IRNazanin" w:hAnsi="IRNazanin" w:eastAsia="IRNazanin" w:cs="IRNazanin"/>
          <w:lang w:bidi="fa-IR"/>
          <w:color w:val="111111"/>
          <w:sz w:val="28"/>
          <w:szCs w:val="28"/>
          <w:rtl/>
        </w:rPr>
        <w:t xml:space="preserve">ص660.</w:t>
      </w:r>
    </w:p>
    <w:p>
      <w:pPr>
        <w:pStyle w:val="Heading2"/>
      </w:pPr>
      <w:bookmarkStart w:id="4904" w:name="_Toc4006"/>
      <w:r>
        <w:t>سمرقندي، محمّد بن اشرف - 700 ه-</w:t>
      </w:r>
      <w:bookmarkEnd w:id="4904"/>
    </w:p>
    <w:p>
      <w:pPr>
        <w:pStyle w:val="BookText"/>
      </w:pPr>
      <w:r>
        <w:rPr>
          <w:rFonts w:ascii="Amiri" w:hAnsi="Amiri" w:eastAsia="Amiri" w:cs="Amiri"/>
          <w:lang w:bidi="ar-SA"/>
          <w:color w:val="111111"/>
          <w:sz w:val="28"/>
          <w:szCs w:val="28"/>
          <w:rtl/>
        </w:rPr>
        <w:t xml:space="preserve">1 .آداب البحث والمناظرة = آداب مسعودي = الرسالة السمرقندية في آداب البحث، ج 1، ص 24.</w:t>
      </w:r>
    </w:p>
    <w:p>
      <w:pPr>
        <w:pStyle w:val="BookText"/>
      </w:pPr>
      <w:r>
        <w:rPr>
          <w:rFonts w:ascii="Amiri" w:hAnsi="Amiri" w:eastAsia="Amiri" w:cs="Amiri"/>
          <w:lang w:bidi="ar-SA"/>
          <w:color w:val="111111"/>
          <w:sz w:val="28"/>
          <w:szCs w:val="28"/>
          <w:rtl/>
        </w:rPr>
        <w:t xml:space="preserve">2 .اشكال التأسيس، ج2، ص 345.</w:t>
      </w:r>
    </w:p>
    <w:p>
      <w:pPr>
        <w:pStyle w:val="BookText"/>
      </w:pPr>
      <w:r>
        <w:rPr>
          <w:rFonts w:ascii="IRNazanin" w:hAnsi="IRNazanin" w:eastAsia="IRNazanin" w:cs="IRNazanin"/>
          <w:lang w:bidi="fa-IR"/>
          <w:color w:val="111111"/>
          <w:sz w:val="28"/>
          <w:szCs w:val="28"/>
          <w:rtl/>
        </w:rPr>
        <w:t xml:space="preserve">3 .بشارات الاشارات - شرح الاشارات</w:t>
      </w:r>
    </w:p>
    <w:p>
      <w:pPr>
        <w:pStyle w:val="BookText"/>
      </w:pPr>
      <w:r>
        <w:rPr>
          <w:rFonts w:ascii="IRNazanin" w:hAnsi="IRNazanin" w:eastAsia="IRNazanin" w:cs="IRNazanin"/>
          <w:lang w:bidi="fa-IR"/>
          <w:color w:val="111111"/>
          <w:sz w:val="28"/>
          <w:szCs w:val="28"/>
          <w:rtl/>
        </w:rPr>
        <w:t xml:space="preserve">ج3، ص333.</w:t>
      </w:r>
    </w:p>
    <w:p>
      <w:pPr>
        <w:pStyle w:val="BookText"/>
      </w:pPr>
      <w:r>
        <w:rPr>
          <w:rFonts w:ascii="Amiri" w:hAnsi="Amiri" w:eastAsia="Amiri" w:cs="Amiri"/>
          <w:lang w:bidi="ar-SA"/>
          <w:color w:val="111111"/>
          <w:sz w:val="28"/>
          <w:szCs w:val="28"/>
          <w:rtl/>
        </w:rPr>
        <w:t xml:space="preserve">4 .حل الهداية = حاشية على هداية</w:t>
      </w:r>
    </w:p>
    <w:p>
      <w:pPr>
        <w:pStyle w:val="BookText"/>
      </w:pPr>
      <w:r>
        <w:rPr>
          <w:rFonts w:ascii="Amiri" w:hAnsi="Amiri" w:eastAsia="Amiri" w:cs="Amiri"/>
          <w:lang w:bidi="ar-SA"/>
          <w:color w:val="111111"/>
          <w:sz w:val="28"/>
          <w:szCs w:val="28"/>
          <w:rtl/>
        </w:rPr>
        <w:t xml:space="preserve">الحكمة، ج 6، ص 805.</w:t>
      </w:r>
    </w:p>
    <w:p>
      <w:pPr>
        <w:pStyle w:val="BookText"/>
      </w:pPr>
      <w:r>
        <w:rPr>
          <w:rFonts w:ascii="Amiri" w:hAnsi="Amiri" w:eastAsia="Amiri" w:cs="Amiri"/>
          <w:lang w:bidi="ar-SA"/>
          <w:color w:val="111111"/>
          <w:sz w:val="28"/>
          <w:szCs w:val="28"/>
          <w:rtl/>
        </w:rPr>
        <w:t xml:space="preserve">5 .شرح القصيدة العينية = الروحية في</w:t>
      </w:r>
    </w:p>
    <w:p>
      <w:pPr>
        <w:pStyle w:val="BookText"/>
      </w:pPr>
      <w:r>
        <w:rPr>
          <w:rFonts w:ascii="IRNazanin" w:hAnsi="IRNazanin" w:eastAsia="IRNazanin" w:cs="IRNazanin"/>
          <w:lang w:bidi="fa-IR"/>
          <w:color w:val="111111"/>
          <w:sz w:val="28"/>
          <w:szCs w:val="28"/>
          <w:rtl/>
        </w:rPr>
        <w:t xml:space="preserve">النفس، ج 9، ص 880.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8" w:name="pg7742_70552"/>
    <w:bookmarkEnd w:id="57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الصحائف الالهية، ج 10، ص 484.</w:t>
      </w:r>
    </w:p>
    <w:p>
      <w:pPr>
        <w:pStyle w:val="BookText"/>
      </w:pPr>
      <w:r>
        <w:rPr>
          <w:rFonts w:ascii="Amiri" w:hAnsi="Amiri" w:eastAsia="Amiri" w:cs="Amiri"/>
          <w:lang w:bidi="ar-SA"/>
          <w:color w:val="111111"/>
          <w:sz w:val="28"/>
          <w:szCs w:val="28"/>
          <w:rtl/>
        </w:rPr>
        <w:t xml:space="preserve">7 .المعارف في شرح الصحايف الالهية</w:t>
      </w:r>
    </w:p>
    <w:p>
      <w:pPr>
        <w:pStyle w:val="BookText"/>
      </w:pPr>
      <w:r>
        <w:rPr>
          <w:rFonts w:ascii="Amiri" w:hAnsi="Amiri" w:eastAsia="Amiri" w:cs="Amiri"/>
          <w:lang w:bidi="ar-SA"/>
          <w:color w:val="111111"/>
          <w:sz w:val="28"/>
          <w:szCs w:val="28"/>
          <w:rtl/>
        </w:rPr>
        <w:t xml:space="preserve">العوارف في شرح الصحائف</w:t>
      </w:r>
    </w:p>
    <w:p>
      <w:pPr>
        <w:pStyle w:val="BookText"/>
      </w:pPr>
      <w:r>
        <w:rPr>
          <w:rFonts w:ascii="IRNazanin" w:hAnsi="IRNazanin" w:eastAsia="IRNazanin" w:cs="IRNazanin"/>
          <w:lang w:bidi="fa-IR"/>
          <w:color w:val="111111"/>
          <w:sz w:val="28"/>
          <w:szCs w:val="28"/>
          <w:rtl/>
        </w:rPr>
        <w:t xml:space="preserve">ج 14 ، ص 847.</w:t>
      </w:r>
    </w:p>
    <w:p>
      <w:pPr>
        <w:pStyle w:val="BookText"/>
      </w:pPr>
      <w:r>
        <w:rPr>
          <w:rFonts w:ascii="Amiri" w:hAnsi="Amiri" w:eastAsia="Amiri" w:cs="Amiri"/>
          <w:lang w:bidi="ar-SA"/>
          <w:color w:val="111111"/>
          <w:sz w:val="28"/>
          <w:szCs w:val="28"/>
          <w:rtl/>
        </w:rPr>
        <w:t xml:space="preserve">سمرقندي ، محمّد بن حبان- ابن حبان</w:t>
      </w:r>
    </w:p>
    <w:p>
      <w:pPr>
        <w:pStyle w:val="BookText"/>
      </w:pPr>
      <w:r>
        <w:rPr>
          <w:rFonts w:ascii="IRNazanin" w:hAnsi="IRNazanin" w:eastAsia="IRNazanin" w:cs="IRNazanin"/>
          <w:lang w:bidi="fa-IR"/>
          <w:color w:val="111111"/>
          <w:sz w:val="28"/>
          <w:szCs w:val="28"/>
          <w:rtl/>
        </w:rPr>
        <w:t xml:space="preserve">محمّد بن حبان</w:t>
      </w:r>
    </w:p>
    <w:p>
      <w:pPr>
        <w:pStyle w:val="BookText"/>
      </w:pPr>
      <w:r>
        <w:rPr>
          <w:rFonts w:ascii="Amiri" w:hAnsi="Amiri" w:eastAsia="Amiri" w:cs="Amiri"/>
          <w:lang w:bidi="ar-SA"/>
          <w:color w:val="111111"/>
          <w:sz w:val="28"/>
          <w:szCs w:val="28"/>
          <w:rtl/>
        </w:rPr>
        <w:t xml:space="preserve">سمرقندي ، محمّد بن</w:t>
      </w:r>
    </w:p>
    <w:p>
      <w:pPr>
        <w:pStyle w:val="BookText"/>
      </w:pPr>
      <w:r>
        <w:rPr>
          <w:rFonts w:ascii="Amiri" w:hAnsi="Amiri" w:eastAsia="Amiri" w:cs="Amiri"/>
          <w:lang w:bidi="ar-SA"/>
          <w:color w:val="111111"/>
          <w:sz w:val="28"/>
          <w:szCs w:val="28"/>
          <w:rtl/>
        </w:rPr>
        <w:t xml:space="preserve">عبد الحميد- اسمندي ، محمّد بن عبدالحميد</w:t>
      </w:r>
    </w:p>
    <w:p>
      <w:pPr>
        <w:pStyle w:val="BookText"/>
      </w:pPr>
      <w:r>
        <w:rPr>
          <w:rFonts w:ascii="Amiri" w:hAnsi="Amiri" w:eastAsia="Amiri" w:cs="Amiri"/>
          <w:lang w:bidi="ar-SA"/>
          <w:color w:val="111111"/>
          <w:sz w:val="28"/>
          <w:szCs w:val="28"/>
          <w:rtl/>
        </w:rPr>
        <w:t xml:space="preserve">سمرقندي ، محمّد بن عبد الملك- امير</w:t>
      </w:r>
    </w:p>
    <w:p>
      <w:pPr>
        <w:pStyle w:val="BookText"/>
      </w:pPr>
      <w:r>
        <w:rPr>
          <w:rFonts w:ascii="Amiri" w:hAnsi="Amiri" w:eastAsia="Amiri" w:cs="Amiri"/>
          <w:lang w:bidi="ar-SA"/>
          <w:color w:val="111111"/>
          <w:sz w:val="28"/>
          <w:szCs w:val="28"/>
          <w:rtl/>
        </w:rPr>
        <w:t xml:space="preserve">معزي ، محمّد بن عبدالملك</w:t>
      </w:r>
    </w:p>
    <w:p>
      <w:pPr>
        <w:pStyle w:val="Heading2"/>
      </w:pPr>
      <w:bookmarkStart w:id="4905" w:name="_Toc4007"/>
      <w:r>
        <w:t>سمرقندي ، محمّد بن علي - 619 ه-</w:t>
      </w:r>
      <w:bookmarkEnd w:id="4905"/>
    </w:p>
    <w:p>
      <w:pPr>
        <w:pStyle w:val="BookText"/>
      </w:pPr>
      <w:r>
        <w:rPr>
          <w:rFonts w:ascii="Amiri" w:hAnsi="Amiri" w:eastAsia="Amiri" w:cs="Amiri"/>
          <w:lang w:bidi="ar-SA"/>
          <w:color w:val="111111"/>
          <w:sz w:val="28"/>
          <w:szCs w:val="28"/>
          <w:rtl/>
        </w:rPr>
        <w:t xml:space="preserve">1 .اتخاذ ماء الجبن ومنافعه (رسالة</w:t>
      </w:r>
    </w:p>
    <w:p>
      <w:pPr>
        <w:pStyle w:val="BookText"/>
      </w:pPr>
      <w:r>
        <w:rPr>
          <w:rFonts w:ascii="Amiri" w:hAnsi="Amiri" w:eastAsia="Amiri" w:cs="Amiri"/>
          <w:lang w:bidi="ar-SA"/>
          <w:color w:val="111111"/>
          <w:sz w:val="28"/>
          <w:szCs w:val="28"/>
          <w:rtl/>
        </w:rPr>
        <w:t xml:space="preserve">في)، ج 1، ص 135 .</w:t>
      </w:r>
    </w:p>
    <w:p>
      <w:pPr>
        <w:pStyle w:val="BookText"/>
      </w:pPr>
      <w:r>
        <w:rPr>
          <w:rFonts w:ascii="Amiri" w:hAnsi="Amiri" w:eastAsia="Amiri" w:cs="Amiri"/>
          <w:lang w:bidi="ar-SA"/>
          <w:color w:val="111111"/>
          <w:sz w:val="28"/>
          <w:szCs w:val="28"/>
          <w:rtl/>
        </w:rPr>
        <w:t xml:space="preserve">2 .الادوية القلبية، ج 1، ص 669.</w:t>
      </w:r>
    </w:p>
    <w:p>
      <w:pPr>
        <w:pStyle w:val="BookText"/>
      </w:pPr>
      <w:r>
        <w:rPr>
          <w:rFonts w:ascii="IRNazanin" w:hAnsi="IRNazanin" w:eastAsia="IRNazanin" w:cs="IRNazanin"/>
          <w:lang w:bidi="fa-IR"/>
          <w:color w:val="111111"/>
          <w:sz w:val="28"/>
          <w:szCs w:val="28"/>
          <w:rtl/>
        </w:rPr>
        <w:t xml:space="preserve">3.الاسباب والعلامات - اسباب العلل</w:t>
      </w:r>
    </w:p>
    <w:p>
      <w:pPr>
        <w:pStyle w:val="BookText"/>
      </w:pPr>
      <w:r>
        <w:rPr>
          <w:rFonts w:ascii="IRNazanin" w:hAnsi="IRNazanin" w:eastAsia="IRNazanin" w:cs="IRNazanin"/>
          <w:lang w:bidi="fa-IR"/>
          <w:color w:val="111111"/>
          <w:sz w:val="28"/>
          <w:szCs w:val="28"/>
          <w:rtl/>
        </w:rPr>
        <w:t xml:space="preserve">و علاجها و علاماتها، ج 2، ص 100.</w:t>
      </w:r>
    </w:p>
    <w:p>
      <w:pPr>
        <w:pStyle w:val="BookText"/>
      </w:pPr>
      <w:r>
        <w:rPr>
          <w:rFonts w:ascii="Amiri" w:hAnsi="Amiri" w:eastAsia="Amiri" w:cs="Amiri"/>
          <w:lang w:bidi="ar-SA"/>
          <w:color w:val="111111"/>
          <w:sz w:val="28"/>
          <w:szCs w:val="28"/>
          <w:rtl/>
        </w:rPr>
        <w:t xml:space="preserve">4 .اصول تركيب الادوية = اصول</w:t>
      </w:r>
    </w:p>
    <w:p>
      <w:pPr>
        <w:pStyle w:val="BookText"/>
      </w:pPr>
      <w:r>
        <w:rPr>
          <w:rFonts w:ascii="Amiri" w:hAnsi="Amiri" w:eastAsia="Amiri" w:cs="Amiri"/>
          <w:lang w:bidi="ar-SA"/>
          <w:color w:val="111111"/>
          <w:sz w:val="28"/>
          <w:szCs w:val="28"/>
          <w:rtl/>
        </w:rPr>
        <w:t xml:space="preserve">التراكيب، ج 2، ص 406.</w:t>
      </w:r>
    </w:p>
    <w:p>
      <w:pPr>
        <w:pStyle w:val="BookText"/>
      </w:pPr>
      <w:r>
        <w:rPr>
          <w:rFonts w:ascii="Amiri" w:hAnsi="Amiri" w:eastAsia="Amiri" w:cs="Amiri"/>
          <w:lang w:bidi="ar-SA"/>
          <w:color w:val="111111"/>
          <w:sz w:val="28"/>
          <w:szCs w:val="28"/>
          <w:rtl/>
        </w:rPr>
        <w:t xml:space="preserve">5 .اطعمة المرضى = اغذية المرضى =</w:t>
      </w:r>
    </w:p>
    <w:p>
      <w:pPr>
        <w:pStyle w:val="BookText"/>
      </w:pPr>
      <w:r>
        <w:rPr>
          <w:rFonts w:ascii="Amiri" w:hAnsi="Amiri" w:eastAsia="Amiri" w:cs="Amiri"/>
          <w:lang w:bidi="ar-SA"/>
          <w:color w:val="111111"/>
          <w:sz w:val="28"/>
          <w:szCs w:val="28"/>
          <w:rtl/>
        </w:rPr>
        <w:t xml:space="preserve">النجيبيات، ج2، ص 481</w:t>
      </w:r>
    </w:p>
    <w:p>
      <w:pPr>
        <w:pStyle w:val="BookText"/>
      </w:pPr>
      <w:r>
        <w:rPr>
          <w:rFonts w:ascii="Amiri" w:hAnsi="Amiri" w:eastAsia="Amiri" w:cs="Amiri"/>
          <w:lang w:bidi="ar-SA"/>
          <w:color w:val="111111"/>
          <w:sz w:val="28"/>
          <w:szCs w:val="28"/>
          <w:rtl/>
        </w:rPr>
        <w:t xml:space="preserve">6 .الاغذية و الاشربة، ج 2، ص 582.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تشريح العين = كيفية تركيب طبقات العين، ج 4، ص378.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العلاجات (رسالة في)، ج11،</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Amiri" w:hAnsi="Amiri" w:eastAsia="Amiri" w:cs="Amiri"/>
          <w:lang w:bidi="ar-SA"/>
          <w:color w:val="111111"/>
          <w:sz w:val="28"/>
          <w:szCs w:val="28"/>
          <w:rtl/>
        </w:rPr>
        <w:t xml:space="preserve">9 .القرابادين على ترتيب العلل، ج 12،</w:t>
      </w:r>
    </w:p>
    <w:p>
      <w:pPr>
        <w:pStyle w:val="BookText"/>
      </w:pPr>
      <w:r>
        <w:rPr>
          <w:rFonts w:ascii="IRNazanin" w:hAnsi="IRNazanin" w:eastAsia="IRNazanin" w:cs="IRNazanin"/>
          <w:lang w:bidi="fa-IR"/>
          <w:color w:val="111111"/>
          <w:sz w:val="28"/>
          <w:szCs w:val="28"/>
          <w:rtl/>
        </w:rPr>
        <w:t xml:space="preserve">ص 558 .</w:t>
      </w:r>
    </w:p>
    <w:p>
      <w:pPr>
        <w:pStyle w:val="BookText"/>
      </w:pPr>
      <w:r>
        <w:rPr>
          <w:rFonts w:ascii="Amiri" w:hAnsi="Amiri" w:eastAsia="Amiri" w:cs="Amiri"/>
          <w:lang w:bidi="ar-SA"/>
          <w:color w:val="111111"/>
          <w:sz w:val="28"/>
          <w:szCs w:val="28"/>
          <w:rtl/>
        </w:rPr>
        <w:t xml:space="preserve">10 .النجيبيات - الخمسة النجيبية</w:t>
      </w:r>
    </w:p>
    <w:p>
      <w:pPr>
        <w:pStyle w:val="BookText"/>
      </w:pPr>
      <w:r>
        <w:rPr>
          <w:rFonts w:ascii="IRNazanin" w:hAnsi="IRNazanin" w:eastAsia="IRNazanin" w:cs="IRNazanin"/>
          <w:lang w:bidi="fa-IR"/>
          <w:color w:val="111111"/>
          <w:sz w:val="28"/>
          <w:szCs w:val="28"/>
          <w:rtl/>
        </w:rPr>
        <w:t xml:space="preserve">ج 16، ص 168.</w:t>
      </w:r>
    </w:p>
    <w:p>
      <w:pPr>
        <w:pStyle w:val="BookText"/>
      </w:pPr>
      <w:r>
        <w:rPr>
          <w:rFonts w:ascii="Amiri" w:hAnsi="Amiri" w:eastAsia="Amiri" w:cs="Amiri"/>
          <w:lang w:bidi="ar-SA"/>
          <w:color w:val="111111"/>
          <w:sz w:val="28"/>
          <w:szCs w:val="28"/>
          <w:rtl/>
        </w:rPr>
        <w:t xml:space="preserve">سمرقندي، محمّد بن محمّد -سمرقندي محمّد بن محمود</w:t>
      </w:r>
    </w:p>
    <w:p>
      <w:pPr>
        <w:pStyle w:val="BookText"/>
      </w:pPr>
      <w:r>
        <w:rPr>
          <w:rFonts w:ascii="Amiri" w:hAnsi="Amiri" w:eastAsia="Amiri" w:cs="Amiri"/>
          <w:lang w:bidi="ar-SA"/>
          <w:color w:val="111111"/>
          <w:sz w:val="28"/>
          <w:szCs w:val="28"/>
          <w:rtl/>
        </w:rPr>
        <w:t xml:space="preserve">سمرقندي ، محمّد بن محمّد -عميدي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4906" w:name="_Toc4008"/>
      <w:r>
        <w:t>سمرقندي، محمّد بن محمود - 780 ه-</w:t>
      </w:r>
      <w:bookmarkEnd w:id="4906"/>
    </w:p>
    <w:p>
      <w:pPr>
        <w:pStyle w:val="BookText"/>
      </w:pPr>
      <w:r>
        <w:rPr>
          <w:rFonts w:ascii="Amiri" w:hAnsi="Amiri" w:eastAsia="Amiri" w:cs="Amiri"/>
          <w:lang w:bidi="ar-SA"/>
          <w:color w:val="111111"/>
          <w:sz w:val="28"/>
          <w:szCs w:val="28"/>
          <w:rtl/>
        </w:rPr>
        <w:t xml:space="preserve">1 .روح المريد في شرح عقد الفريد</w:t>
      </w:r>
    </w:p>
    <w:p>
      <w:pPr>
        <w:pStyle w:val="BookText"/>
      </w:pPr>
      <w:r>
        <w:rPr>
          <w:rFonts w:ascii="IRNazanin" w:hAnsi="IRNazanin" w:eastAsia="IRNazanin" w:cs="IRNazanin"/>
          <w:lang w:bidi="fa-IR"/>
          <w:color w:val="111111"/>
          <w:sz w:val="28"/>
          <w:szCs w:val="28"/>
          <w:rtl/>
        </w:rPr>
        <w:t xml:space="preserve">ج 8، ص 384.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العقد الفريد في نظم التجويد - العقد الفريد في علم التجويد : القرائة و التجويد، ج 11، ص170.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الاسرار في رسم مصاحف</w:t>
      </w:r>
    </w:p>
    <w:p>
      <w:pPr>
        <w:pStyle w:val="BookText"/>
      </w:pPr>
      <w:r>
        <w:rPr>
          <w:rFonts w:ascii="IRNazanin" w:hAnsi="IRNazanin" w:eastAsia="IRNazanin" w:cs="IRNazanin"/>
          <w:lang w:bidi="fa-IR"/>
          <w:color w:val="111111"/>
          <w:sz w:val="28"/>
          <w:szCs w:val="28"/>
          <w:rtl/>
        </w:rPr>
        <w:t xml:space="preserve">الامصار، ج13، ص 189.</w:t>
      </w:r>
    </w:p>
    <w:p>
      <w:pPr>
        <w:pStyle w:val="BookText"/>
      </w:pPr>
      <w:r>
        <w:rPr>
          <w:rFonts w:ascii="Amiri" w:hAnsi="Amiri" w:eastAsia="Amiri" w:cs="Amiri"/>
          <w:lang w:bidi="ar-SA"/>
          <w:color w:val="111111"/>
          <w:sz w:val="28"/>
          <w:szCs w:val="28"/>
          <w:rtl/>
        </w:rPr>
        <w:t xml:space="preserve">4 .المبسوط في القراءت السبع و</w:t>
      </w:r>
    </w:p>
    <w:p>
      <w:pPr>
        <w:pStyle w:val="BookText"/>
      </w:pPr>
      <w:r>
        <w:rPr>
          <w:rFonts w:ascii="Amiri" w:hAnsi="Amiri" w:eastAsia="Amiri" w:cs="Amiri"/>
          <w:lang w:bidi="ar-SA"/>
          <w:color w:val="111111"/>
          <w:sz w:val="28"/>
          <w:szCs w:val="28"/>
          <w:rtl/>
        </w:rPr>
        <w:t xml:space="preserve">المضبوط من اضائة الطبع</w:t>
      </w:r>
    </w:p>
    <w:p>
      <w:pPr>
        <w:pStyle w:val="BookText"/>
      </w:pPr>
      <w:r>
        <w:rPr>
          <w:rFonts w:ascii="IRNazanin" w:hAnsi="IRNazanin" w:eastAsia="IRNazanin" w:cs="IRNazanin"/>
          <w:lang w:bidi="fa-IR"/>
          <w:color w:val="111111"/>
          <w:sz w:val="28"/>
          <w:szCs w:val="28"/>
          <w:rtl/>
        </w:rPr>
        <w:t xml:space="preserve">مبسوط اوسط، ج 13، ص 740.</w:t>
      </w:r>
    </w:p>
    <w:p>
      <w:pPr>
        <w:pStyle w:val="Heading2"/>
      </w:pPr>
      <w:bookmarkStart w:id="4907" w:name="_Toc4009"/>
      <w:r>
        <w:t>سمرقندي ، محمّد بن يوسف - 556ه-</w:t>
      </w:r>
      <w:bookmarkEnd w:id="4907"/>
    </w:p>
    <w:p>
      <w:pPr>
        <w:pStyle w:val="BookText"/>
      </w:pPr>
      <w:r>
        <w:rPr>
          <w:rFonts w:ascii="IRNazanin" w:hAnsi="IRNazanin" w:eastAsia="IRNazanin" w:cs="IRNazanin"/>
          <w:lang w:bidi="fa-IR"/>
          <w:color w:val="111111"/>
          <w:sz w:val="28"/>
          <w:szCs w:val="28"/>
          <w:rtl/>
        </w:rPr>
        <w:t xml:space="preserve">1 .الفقه النافع، ج 12، ص 113.</w:t>
      </w:r>
    </w:p>
    <w:p>
      <w:pPr>
        <w:pStyle w:val="BookText"/>
      </w:pPr>
      <w:r>
        <w:rPr>
          <w:rFonts w:ascii="Amiri" w:hAnsi="Amiri" w:eastAsia="Amiri" w:cs="Amiri"/>
          <w:lang w:bidi="ar-SA"/>
          <w:color w:val="111111"/>
          <w:sz w:val="28"/>
          <w:szCs w:val="28"/>
          <w:rtl/>
        </w:rPr>
        <w:t xml:space="preserve">2 .الملتقط في الفتاوى، ج 15، ص 438 .</w:t>
      </w:r>
    </w:p>
    <w:p>
      <w:pPr>
        <w:pStyle w:val="BookText"/>
      </w:pPr>
      <w:r>
        <w:rPr>
          <w:rFonts w:ascii="Amiri" w:hAnsi="Amiri" w:eastAsia="Amiri" w:cs="Amiri"/>
          <w:lang w:bidi="ar-SA"/>
          <w:color w:val="111111"/>
          <w:sz w:val="28"/>
          <w:szCs w:val="28"/>
          <w:rtl/>
        </w:rPr>
        <w:t xml:space="preserve">سمرقندي ، محمود -سمرقندي ، محمّد</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سمرقندي ، نجيب الدين- سمرقندي ،</w:t>
      </w:r>
    </w:p>
    <w:p>
      <w:pPr>
        <w:pStyle w:val="BookText"/>
      </w:pPr>
      <w:r>
        <w:rPr>
          <w:rFonts w:ascii="Amiri" w:hAnsi="Amiri" w:eastAsia="Amiri" w:cs="Amiri"/>
          <w:lang w:bidi="ar-SA"/>
          <w:color w:val="111111"/>
          <w:sz w:val="28"/>
          <w:szCs w:val="28"/>
          <w:rtl/>
        </w:rPr>
        <w:t xml:space="preserve">محمّد بن علي</w:t>
      </w:r>
    </w:p>
    <w:p>
      <w:pPr>
        <w:pStyle w:val="Heading2"/>
      </w:pPr>
      <w:bookmarkStart w:id="4908" w:name="_Toc4010"/>
      <w:r>
        <w:t>سمرقندي ، نصر بن محمّد - 375 ؟ ه-</w:t>
      </w:r>
      <w:bookmarkEnd w:id="4908"/>
    </w:p>
    <w:p>
      <w:pPr>
        <w:pStyle w:val="BookText"/>
      </w:pPr>
      <w:r>
        <w:rPr>
          <w:rFonts w:ascii="Amiri" w:hAnsi="Amiri" w:eastAsia="Amiri" w:cs="Amiri"/>
          <w:lang w:bidi="ar-SA"/>
          <w:color w:val="111111"/>
          <w:sz w:val="28"/>
          <w:szCs w:val="28"/>
          <w:rtl/>
        </w:rPr>
        <w:t xml:space="preserve">1 .اصول الدين، ج 2، ص 411.</w:t>
      </w:r>
    </w:p>
    <w:p>
      <w:pPr>
        <w:pStyle w:val="BookText"/>
      </w:pPr>
      <w:r>
        <w:rPr>
          <w:rFonts w:ascii="Amiri" w:hAnsi="Amiri" w:eastAsia="Amiri" w:cs="Amiri"/>
          <w:lang w:bidi="ar-SA"/>
          <w:color w:val="111111"/>
          <w:sz w:val="28"/>
          <w:szCs w:val="28"/>
          <w:rtl/>
        </w:rPr>
        <w:t xml:space="preserve">الايمان، ج3، ص 153.</w:t>
      </w:r>
    </w:p>
    <w:p>
      <w:pPr>
        <w:pStyle w:val="BookText"/>
      </w:pPr>
      <w:r>
        <w:rPr>
          <w:rFonts w:ascii="Amiri" w:hAnsi="Amiri" w:eastAsia="Amiri" w:cs="Amiri"/>
          <w:lang w:bidi="ar-SA"/>
          <w:color w:val="111111"/>
          <w:sz w:val="28"/>
          <w:szCs w:val="28"/>
          <w:rtl/>
        </w:rPr>
        <w:t xml:space="preserve">3 .بستان العارفين = كتاب البستان</w:t>
      </w:r>
    </w:p>
    <w:p>
      <w:pPr>
        <w:pStyle w:val="BookText"/>
      </w:pPr>
      <w:r>
        <w:rPr>
          <w:rFonts w:ascii="IRNazanin" w:hAnsi="IRNazanin" w:eastAsia="IRNazanin" w:cs="IRNazanin"/>
          <w:lang w:bidi="fa-IR"/>
          <w:color w:val="111111"/>
          <w:sz w:val="28"/>
          <w:szCs w:val="28"/>
          <w:rtl/>
        </w:rPr>
        <w:t xml:space="preserve">ج 3، ص 325.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79" w:name="pg7742_70554"/>
    <w:bookmarkEnd w:id="579"/>
    <w:p>
      <w:pPr>
        <w:pStyle w:val="BookText"/>
      </w:pPr>
      <w:r>
        <w:rPr>
          <w:rFonts w:ascii="Amiri" w:hAnsi="Amiri" w:eastAsia="Amiri" w:cs="Amiri"/>
          <w:lang w:bidi="ar-SA"/>
          <w:color w:val="111111"/>
          <w:sz w:val="28"/>
          <w:szCs w:val="28"/>
          <w:rtl/>
        </w:rPr>
        <w:t xml:space="preserve">4 .بستان العارفين (منتخب)، ج3،</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Amiri" w:hAnsi="Amiri" w:eastAsia="Amiri" w:cs="Amiri"/>
          <w:lang w:bidi="ar-SA"/>
          <w:color w:val="111111"/>
          <w:sz w:val="28"/>
          <w:szCs w:val="28"/>
          <w:rtl/>
        </w:rPr>
        <w:t xml:space="preserve">5 .تفسير القرآن الكريم - تفسير السمرقندي - تفسير سمرقندي</w:t>
      </w:r>
    </w:p>
    <w:p>
      <w:pPr>
        <w:pStyle w:val="BookText"/>
      </w:pPr>
      <w:r>
        <w:rPr>
          <w:rFonts w:ascii="IRNazanin" w:hAnsi="IRNazanin" w:eastAsia="IRNazanin" w:cs="IRNazanin"/>
          <w:lang w:bidi="fa-IR"/>
          <w:color w:val="111111"/>
          <w:sz w:val="28"/>
          <w:szCs w:val="28"/>
          <w:rtl/>
        </w:rPr>
        <w:t xml:space="preserve">ج 4، ص 658.</w:t>
      </w:r>
    </w:p>
    <w:p>
      <w:pPr>
        <w:pStyle w:val="BookText"/>
      </w:pPr>
      <w:r>
        <w:rPr>
          <w:rFonts w:ascii="Amiri" w:hAnsi="Amiri" w:eastAsia="Amiri" w:cs="Amiri"/>
          <w:lang w:bidi="ar-SA"/>
          <w:color w:val="111111"/>
          <w:sz w:val="28"/>
          <w:szCs w:val="28"/>
          <w:rtl/>
        </w:rPr>
        <w:t xml:space="preserve">6 .تنبيه الغافلين، ج 5، ص 32.</w:t>
      </w:r>
    </w:p>
    <w:p>
      <w:pPr>
        <w:pStyle w:val="BookText"/>
      </w:pPr>
      <w:r>
        <w:rPr>
          <w:rFonts w:ascii="Amiri" w:hAnsi="Amiri" w:eastAsia="Amiri" w:cs="Amiri"/>
          <w:lang w:bidi="ar-SA"/>
          <w:color w:val="111111"/>
          <w:sz w:val="28"/>
          <w:szCs w:val="28"/>
          <w:rtl/>
        </w:rPr>
        <w:t xml:space="preserve">7 .خزانة الفقه، ج 7، ص21.</w:t>
      </w:r>
    </w:p>
    <w:p>
      <w:pPr>
        <w:pStyle w:val="BookText"/>
      </w:pPr>
      <w:r>
        <w:rPr>
          <w:rFonts w:ascii="Amiri" w:hAnsi="Amiri" w:eastAsia="Amiri" w:cs="Amiri"/>
          <w:lang w:bidi="ar-SA"/>
          <w:color w:val="111111"/>
          <w:sz w:val="28"/>
          <w:szCs w:val="28"/>
          <w:rtl/>
        </w:rPr>
        <w:t xml:space="preserve">8.دقائق الاخبار في ذكر الجنة والنار</w:t>
      </w:r>
    </w:p>
    <w:p>
      <w:pPr>
        <w:pStyle w:val="BookText"/>
      </w:pPr>
      <w:r>
        <w:rPr>
          <w:rFonts w:ascii="IRNazanin" w:hAnsi="IRNazanin" w:eastAsia="IRNazanin" w:cs="IRNazanin"/>
          <w:lang w:bidi="fa-IR"/>
          <w:color w:val="111111"/>
          <w:sz w:val="28"/>
          <w:szCs w:val="28"/>
          <w:rtl/>
        </w:rPr>
        <w:t xml:space="preserve">ج 7، ص 427.</w:t>
      </w:r>
    </w:p>
    <w:p>
      <w:pPr>
        <w:pStyle w:val="BookText"/>
      </w:pPr>
      <w:r>
        <w:rPr>
          <w:rFonts w:ascii="Amiri" w:hAnsi="Amiri" w:eastAsia="Amiri" w:cs="Amiri"/>
          <w:lang w:bidi="ar-SA"/>
          <w:color w:val="111111"/>
          <w:sz w:val="28"/>
          <w:szCs w:val="28"/>
          <w:rtl/>
        </w:rPr>
        <w:t xml:space="preserve">9 .شرح الفقه الأكبر، ج 9، ص799.</w:t>
      </w:r>
    </w:p>
    <w:p>
      <w:pPr>
        <w:pStyle w:val="BookText"/>
      </w:pPr>
      <w:r>
        <w:rPr>
          <w:rFonts w:ascii="Amiri" w:hAnsi="Amiri" w:eastAsia="Amiri" w:cs="Amiri"/>
          <w:lang w:bidi="ar-SA"/>
          <w:color w:val="111111"/>
          <w:sz w:val="28"/>
          <w:szCs w:val="28"/>
          <w:rtl/>
        </w:rPr>
        <w:t xml:space="preserve">10 .عيون المسائل، ج 11، ص 409.</w:t>
      </w:r>
    </w:p>
    <w:p>
      <w:pPr>
        <w:pStyle w:val="BookText"/>
      </w:pPr>
      <w:r>
        <w:rPr>
          <w:rFonts w:ascii="IRNazanin" w:hAnsi="IRNazanin" w:eastAsia="IRNazanin" w:cs="IRNazanin"/>
          <w:lang w:bidi="fa-IR"/>
          <w:color w:val="111111"/>
          <w:sz w:val="28"/>
          <w:szCs w:val="28"/>
          <w:rtl/>
        </w:rPr>
        <w:t xml:space="preserve">11.فوائد، ج 12، ص 168 .</w:t>
      </w:r>
    </w:p>
    <w:p>
      <w:pPr>
        <w:pStyle w:val="BookText"/>
      </w:pPr>
      <w:r>
        <w:rPr>
          <w:rFonts w:ascii="Amiri" w:hAnsi="Amiri" w:eastAsia="Amiri" w:cs="Amiri"/>
          <w:lang w:bidi="ar-SA"/>
          <w:color w:val="111111"/>
          <w:sz w:val="28"/>
          <w:szCs w:val="28"/>
          <w:rtl/>
        </w:rPr>
        <w:t xml:space="preserve">12 .مقدمة في الصلاة = الصلاة، ج 15، 562 ه-</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Amiri" w:hAnsi="Amiri" w:eastAsia="Amiri" w:cs="Amiri"/>
          <w:lang w:bidi="ar-SA"/>
          <w:color w:val="111111"/>
          <w:sz w:val="28"/>
          <w:szCs w:val="28"/>
          <w:rtl/>
        </w:rPr>
        <w:t xml:space="preserve">سمرقندي نوربخشي ، محمّد بن</w:t>
      </w:r>
    </w:p>
    <w:p>
      <w:pPr>
        <w:pStyle w:val="BookText"/>
      </w:pPr>
      <w:r>
        <w:rPr>
          <w:rFonts w:ascii="Amiri" w:hAnsi="Amiri" w:eastAsia="Amiri" w:cs="Amiri"/>
          <w:lang w:bidi="ar-SA"/>
          <w:color w:val="111111"/>
          <w:sz w:val="28"/>
          <w:szCs w:val="28"/>
          <w:rtl/>
        </w:rPr>
        <w:t xml:space="preserve">محمّد -نوربخش خراساني ، محمّد بن محمّد</w:t>
      </w:r>
    </w:p>
    <w:p>
      <w:pPr>
        <w:pStyle w:val="BookText"/>
      </w:pPr>
      <w:r>
        <w:rPr>
          <w:rFonts w:ascii="Amiri" w:hAnsi="Amiri" w:eastAsia="Amiri" w:cs="Amiri"/>
          <w:lang w:bidi="ar-SA"/>
          <w:color w:val="111111"/>
          <w:sz w:val="28"/>
          <w:szCs w:val="28"/>
          <w:rtl/>
        </w:rPr>
        <w:t xml:space="preserve">سمرقندي همداني ، محمّد بن</w:t>
      </w:r>
    </w:p>
    <w:p>
      <w:pPr>
        <w:pStyle w:val="BookText"/>
      </w:pPr>
      <w:r>
        <w:rPr>
          <w:rFonts w:ascii="Amiri" w:hAnsi="Amiri" w:eastAsia="Amiri" w:cs="Amiri"/>
          <w:lang w:bidi="ar-SA"/>
          <w:color w:val="111111"/>
          <w:sz w:val="28"/>
          <w:szCs w:val="28"/>
          <w:rtl/>
        </w:rPr>
        <w:t xml:space="preserve">محمود- سمرقندي ، محمّد بن محمود</w:t>
      </w:r>
    </w:p>
    <w:p>
      <w:pPr>
        <w:pStyle w:val="Heading2"/>
      </w:pPr>
      <w:bookmarkStart w:id="4909" w:name="_Toc4011"/>
      <w:r>
        <w:t>سمرقندي ، يار محمّد بن خداداد قرن 10 ه-</w:t>
      </w:r>
      <w:bookmarkEnd w:id="4909"/>
    </w:p>
    <w:p>
      <w:pPr>
        <w:pStyle w:val="BookText"/>
      </w:pPr>
      <w:r>
        <w:rPr>
          <w:rFonts w:ascii="IRNazanin" w:hAnsi="IRNazanin" w:eastAsia="IRNazanin" w:cs="IRNazanin"/>
          <w:lang w:bidi="fa-IR"/>
          <w:color w:val="111111"/>
          <w:sz w:val="28"/>
          <w:szCs w:val="28"/>
          <w:rtl/>
        </w:rPr>
        <w:t xml:space="preserve">قواعد القرآن - قواعد قرآن، ج12،</w:t>
      </w:r>
    </w:p>
    <w:p>
      <w:pPr>
        <w:pStyle w:val="BookText"/>
      </w:pPr>
      <w:r>
        <w:rPr>
          <w:rFonts w:ascii="IRNazanin" w:hAnsi="IRNazanin" w:eastAsia="IRNazanin" w:cs="IRNazanin"/>
          <w:lang w:bidi="fa-IR"/>
          <w:color w:val="111111"/>
          <w:sz w:val="28"/>
          <w:szCs w:val="28"/>
          <w:rtl/>
        </w:rPr>
        <w:t xml:space="preserve">ص 800.</w:t>
      </w:r>
    </w:p>
    <w:p>
      <w:pPr>
        <w:pStyle w:val="BookText"/>
      </w:pPr>
      <w:r>
        <w:rPr>
          <w:rFonts w:ascii="IRNazanin" w:hAnsi="IRNazanin" w:eastAsia="IRNazanin" w:cs="IRNazanin"/>
          <w:lang w:bidi="fa-IR"/>
          <w:color w:val="111111"/>
          <w:sz w:val="28"/>
          <w:szCs w:val="28"/>
          <w:rtl/>
        </w:rPr>
        <w:t xml:space="preserve">سمسار ، ابراهیم بن حرب -عسكري</w:t>
      </w:r>
    </w:p>
    <w:p>
      <w:pPr>
        <w:pStyle w:val="BookText"/>
      </w:pPr>
      <w:r>
        <w:rPr>
          <w:rFonts w:ascii="Amiri" w:hAnsi="Amiri" w:eastAsia="Amiri" w:cs="Amiri"/>
          <w:lang w:bidi="ar-SA"/>
          <w:color w:val="111111"/>
          <w:sz w:val="28"/>
          <w:szCs w:val="28"/>
          <w:rtl/>
        </w:rPr>
        <w:t xml:space="preserve">ابراهيم بن حرب</w:t>
      </w:r>
    </w:p>
    <w:p>
      <w:pPr>
        <w:pStyle w:val="BookText"/>
      </w:pPr>
      <w:r>
        <w:rPr>
          <w:rFonts w:ascii="Amiri" w:hAnsi="Amiri" w:eastAsia="Amiri" w:cs="Amiri"/>
          <w:lang w:bidi="ar-SA"/>
          <w:color w:val="111111"/>
          <w:sz w:val="28"/>
          <w:szCs w:val="28"/>
          <w:rtl/>
        </w:rPr>
        <w:t xml:space="preserve">سمسار ، عبدالرحمن بن عبيد الله -حرفي ،</w:t>
      </w:r>
    </w:p>
    <w:p>
      <w:pPr>
        <w:pStyle w:val="BookText"/>
      </w:pPr>
      <w:r>
        <w:rPr>
          <w:rFonts w:ascii="IRNazanin" w:hAnsi="IRNazanin" w:eastAsia="IRNazanin" w:cs="IRNazanin"/>
          <w:lang w:bidi="fa-IR"/>
          <w:color w:val="111111"/>
          <w:sz w:val="28"/>
          <w:szCs w:val="28"/>
          <w:rtl/>
        </w:rPr>
        <w:t xml:space="preserve">عبد الرحمن بن عبیدالله</w:t>
      </w:r>
    </w:p>
    <w:p>
      <w:pPr>
        <w:pStyle w:val="BookText"/>
      </w:pPr>
      <w:r>
        <w:rPr>
          <w:rFonts w:ascii="Amiri" w:hAnsi="Amiri" w:eastAsia="Amiri" w:cs="Amiri"/>
          <w:lang w:bidi="ar-SA"/>
          <w:color w:val="111111"/>
          <w:sz w:val="28"/>
          <w:szCs w:val="28"/>
          <w:rtl/>
        </w:rPr>
        <w:t xml:space="preserve">سمعاني ، ابوسعيد- سمعاني ، عبدالكريم</w:t>
      </w:r>
    </w:p>
    <w:p>
      <w:pPr>
        <w:pStyle w:val="BookText"/>
      </w:pPr>
      <w:r>
        <w:rPr>
          <w:rFonts w:ascii="Amiri" w:hAnsi="Amiri" w:eastAsia="Amiri" w:cs="Amiri"/>
          <w:lang w:bidi="ar-SA"/>
          <w:color w:val="111111"/>
          <w:sz w:val="28"/>
          <w:szCs w:val="28"/>
          <w:rtl/>
        </w:rPr>
        <w:t xml:space="preserve">بن محمّد</w:t>
      </w:r>
    </w:p>
    <w:p>
      <w:pPr>
        <w:pStyle w:val="Heading2"/>
      </w:pPr>
      <w:bookmarkStart w:id="4910" w:name="_Toc4012"/>
      <w:r>
        <w:t>سمعاني ، احمد بن عمر</w:t>
      </w:r>
      <w:bookmarkEnd w:id="4910"/>
    </w:p>
    <w:p>
      <w:pPr>
        <w:pStyle w:val="BookText"/>
      </w:pPr>
      <w:r>
        <w:rPr>
          <w:rFonts w:ascii="Amiri" w:hAnsi="Amiri" w:eastAsia="Amiri" w:cs="Amiri"/>
          <w:lang w:bidi="ar-SA"/>
          <w:color w:val="111111"/>
          <w:sz w:val="28"/>
          <w:szCs w:val="28"/>
          <w:rtl/>
        </w:rPr>
        <w:t xml:space="preserve">-1. الامالي، ج 2، ص 725.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مجلس من امالي ،الشيخ، ج13</w:t>
      </w:r>
    </w:p>
    <w:p>
      <w:pPr>
        <w:pStyle w:val="BookText"/>
      </w:pPr>
      <w:r>
        <w:rPr>
          <w:rFonts w:ascii="IRNazanin" w:hAnsi="IRNazanin" w:eastAsia="IRNazanin" w:cs="IRNazanin"/>
          <w:lang w:bidi="fa-IR"/>
          <w:color w:val="111111"/>
          <w:sz w:val="28"/>
          <w:szCs w:val="28"/>
          <w:rtl/>
        </w:rPr>
        <w:t xml:space="preserve">ص 820.</w:t>
      </w:r>
    </w:p>
    <w:p>
      <w:pPr>
        <w:pStyle w:val="BookText"/>
      </w:pPr>
      <w:r>
        <w:rPr>
          <w:rFonts w:ascii="Amiri" w:hAnsi="Amiri" w:eastAsia="Amiri" w:cs="Amiri"/>
          <w:lang w:bidi="ar-SA"/>
          <w:color w:val="111111"/>
          <w:sz w:val="28"/>
          <w:szCs w:val="28"/>
          <w:rtl/>
        </w:rPr>
        <w:t xml:space="preserve">سمعاني ، تاج الدين- سمعاني ، عبد الكريم</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سمعاني ، حسين بن محمّد -سمنقاني ،</w:t>
      </w:r>
    </w:p>
    <w:p>
      <w:pPr>
        <w:pStyle w:val="BookText"/>
      </w:pPr>
      <w:r>
        <w:rPr>
          <w:rFonts w:ascii="Amiri" w:hAnsi="Amiri" w:eastAsia="Amiri" w:cs="Amiri"/>
          <w:lang w:bidi="ar-SA"/>
          <w:color w:val="111111"/>
          <w:sz w:val="28"/>
          <w:szCs w:val="28"/>
          <w:rtl/>
        </w:rPr>
        <w:t xml:space="preserve">حسين بن محّمد</w:t>
      </w:r>
    </w:p>
    <w:p>
      <w:pPr>
        <w:pStyle w:val="Heading2"/>
      </w:pPr>
      <w:bookmarkStart w:id="4911" w:name="_Toc4013"/>
      <w:r>
        <w:t>سمعاني ، عبدالكريم بن محمّد 506 -</w:t>
      </w:r>
      <w:bookmarkEnd w:id="49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الامالي، ج 2، ص 723.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الانساب، ج2، ص797.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التحبير في المعجم الكبير = التجبير</w:t>
      </w:r>
    </w:p>
    <w:p>
      <w:pPr>
        <w:pStyle w:val="BookText"/>
      </w:pPr>
      <w:r>
        <w:rPr>
          <w:rFonts w:ascii="Amiri" w:hAnsi="Amiri" w:eastAsia="Amiri" w:cs="Amiri"/>
          <w:lang w:bidi="ar-SA"/>
          <w:color w:val="111111"/>
          <w:sz w:val="28"/>
          <w:szCs w:val="28"/>
          <w:rtl/>
        </w:rPr>
        <w:t xml:space="preserve">في المعجم الكبير، ج 3، ص 720.</w:t>
      </w:r>
    </w:p>
    <w:p>
      <w:pPr>
        <w:pStyle w:val="BookText"/>
      </w:pPr>
      <w:r>
        <w:rPr>
          <w:rFonts w:ascii="Amiri" w:hAnsi="Amiri" w:eastAsia="Amiri" w:cs="Amiri"/>
          <w:lang w:bidi="ar-SA"/>
          <w:color w:val="111111"/>
          <w:sz w:val="28"/>
          <w:szCs w:val="28"/>
          <w:rtl/>
        </w:rPr>
        <w:t xml:space="preserve">سمعاني مروزي- سمعاني ، عبد الكريم بن</w:t>
      </w:r>
    </w:p>
    <w:p>
      <w:pPr>
        <w:pStyle w:val="BookText"/>
      </w:pPr>
      <w:r>
        <w:rPr>
          <w:rFonts w:ascii="Amiri" w:hAnsi="Amiri" w:eastAsia="Amiri" w:cs="Amiri"/>
          <w:lang w:bidi="ar-SA"/>
          <w:color w:val="111111"/>
          <w:sz w:val="28"/>
          <w:szCs w:val="28"/>
          <w:rtl/>
        </w:rPr>
        <w:t xml:space="preserve">محمّد</w:t>
      </w:r>
    </w:p>
    <w:p>
      <w:pPr>
        <w:pStyle w:val="Heading2"/>
      </w:pPr>
      <w:bookmarkStart w:id="4912" w:name="_Toc4014"/>
      <w:r>
        <w:t>سملاوي ، عبد المعطي بن سالم - 1127</w:t>
      </w:r>
      <w:bookmarkEnd w:id="4912"/>
    </w:p>
    <w:p>
      <w:pPr>
        <w:pStyle w:val="BookText"/>
      </w:pPr>
      <w:r>
        <w:rPr>
          <w:rFonts w:ascii="Amiri" w:hAnsi="Amiri" w:eastAsia="Amiri" w:cs="Amiri"/>
          <w:lang w:bidi="ar-SA"/>
          <w:color w:val="111111"/>
          <w:sz w:val="28"/>
          <w:szCs w:val="28"/>
          <w:rtl/>
        </w:rPr>
        <w:t xml:space="preserve">1 .تفريج الكرب و المهمات جع،</w:t>
      </w:r>
    </w:p>
    <w:p>
      <w:pPr>
        <w:pStyle w:val="BookText"/>
      </w:pPr>
      <w:r>
        <w:rPr>
          <w:rFonts w:ascii="IRNazanin" w:hAnsi="IRNazanin" w:eastAsia="IRNazanin" w:cs="IRNazanin"/>
          <w:lang w:bidi="fa-IR"/>
          <w:color w:val="111111"/>
          <w:sz w:val="28"/>
          <w:szCs w:val="28"/>
          <w:rtl/>
        </w:rPr>
        <w:t xml:space="preserve">ص 569.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المشتاقين فيمن تسمي باسم</w:t>
      </w:r>
    </w:p>
    <w:p>
      <w:pPr>
        <w:pStyle w:val="BookText"/>
      </w:pPr>
      <w:r>
        <w:rPr>
          <w:rFonts w:ascii="Amiri" w:hAnsi="Amiri" w:eastAsia="Amiri" w:cs="Amiri"/>
          <w:lang w:bidi="ar-SA"/>
          <w:color w:val="111111"/>
          <w:sz w:val="28"/>
          <w:szCs w:val="28"/>
          <w:rtl/>
        </w:rPr>
        <w:t xml:space="preserve">نبيه الامين، ج8، ص271</w:t>
      </w:r>
    </w:p>
    <w:p>
      <w:pPr>
        <w:pStyle w:val="BookText"/>
      </w:pPr>
      <w:r>
        <w:rPr>
          <w:rFonts w:ascii="Amiri" w:hAnsi="Amiri" w:eastAsia="Amiri" w:cs="Amiri"/>
          <w:lang w:bidi="ar-SA"/>
          <w:color w:val="111111"/>
          <w:sz w:val="28"/>
          <w:szCs w:val="28"/>
          <w:rtl/>
        </w:rPr>
        <w:t xml:space="preserve">3 .المربع في حكم العقد على المذاهب</w:t>
      </w:r>
    </w:p>
    <w:p>
      <w:pPr>
        <w:pStyle w:val="BookText"/>
      </w:pPr>
      <w:r>
        <w:rPr>
          <w:rFonts w:ascii="IRNazanin" w:hAnsi="IRNazanin" w:eastAsia="IRNazanin" w:cs="IRNazanin"/>
          <w:lang w:bidi="fa-IR"/>
          <w:color w:val="111111"/>
          <w:sz w:val="28"/>
          <w:szCs w:val="28"/>
          <w:rtl/>
        </w:rPr>
        <w:t xml:space="preserve">الاربع، ج 14، ص390.</w:t>
      </w:r>
    </w:p>
    <w:p>
      <w:pPr>
        <w:pStyle w:val="Heading2"/>
      </w:pPr>
      <w:bookmarkStart w:id="4913" w:name="_Toc4015"/>
      <w:r>
        <w:t>سمناني ، ابوسعيد بن مهدي</w:t>
      </w:r>
      <w:bookmarkEnd w:id="4913"/>
    </w:p>
    <w:p>
      <w:pPr>
        <w:pStyle w:val="BookText"/>
      </w:pPr>
      <w:r>
        <w:rPr>
          <w:rFonts w:ascii="IRNazanin" w:hAnsi="IRNazanin" w:eastAsia="IRNazanin" w:cs="IRNazanin"/>
          <w:lang w:bidi="fa-IR"/>
          <w:color w:val="111111"/>
          <w:sz w:val="28"/>
          <w:szCs w:val="28"/>
          <w:rtl/>
        </w:rPr>
        <w:t xml:space="preserve">شمس الأدب، ج 10، ص 412.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0" w:name="pg7742_70556"/>
    <w:bookmarkEnd w:id="580"/>
    <w:p>
      <w:pPr>
        <w:pStyle w:val="Heading2"/>
      </w:pPr>
      <w:bookmarkStart w:id="4914" w:name="_Toc4016"/>
      <w:r>
        <w:t>سمناني ، احمد بن ابراهيم</w:t>
      </w:r>
      <w:bookmarkEnd w:id="4914"/>
    </w:p>
    <w:p>
      <w:pPr>
        <w:pStyle w:val="BookText"/>
      </w:pPr>
      <w:r>
        <w:rPr>
          <w:rFonts w:ascii="Amiri" w:hAnsi="Amiri" w:eastAsia="Amiri" w:cs="Amiri"/>
          <w:lang w:bidi="ar-SA"/>
          <w:color w:val="111111"/>
          <w:sz w:val="28"/>
          <w:szCs w:val="28"/>
          <w:rtl/>
        </w:rPr>
        <w:t xml:space="preserve">مفتاح البكاء بمصيبة ائمة الهدى، ج 15 ،</w:t>
      </w:r>
    </w:p>
    <w:p>
      <w:pPr>
        <w:pStyle w:val="BookText"/>
      </w:pPr>
      <w:r>
        <w:rPr>
          <w:rFonts w:ascii="IRNazanin" w:hAnsi="IRNazanin" w:eastAsia="IRNazanin" w:cs="IRNazanin"/>
          <w:lang w:bidi="fa-IR"/>
          <w:color w:val="111111"/>
          <w:sz w:val="28"/>
          <w:szCs w:val="28"/>
          <w:rtl/>
        </w:rPr>
        <w:t xml:space="preserve">ص 187 .</w:t>
      </w:r>
    </w:p>
    <w:p>
      <w:pPr>
        <w:pStyle w:val="BookText"/>
      </w:pPr>
      <w:r>
        <w:rPr>
          <w:rFonts w:ascii="Amiri" w:hAnsi="Amiri" w:eastAsia="Amiri" w:cs="Amiri"/>
          <w:lang w:bidi="ar-SA"/>
          <w:color w:val="111111"/>
          <w:sz w:val="28"/>
          <w:szCs w:val="28"/>
          <w:rtl/>
        </w:rPr>
        <w:t xml:space="preserve">سمناني ، احمد بن محمّد -علاء الدوله</w:t>
      </w:r>
    </w:p>
    <w:p>
      <w:pPr>
        <w:pStyle w:val="BookText"/>
      </w:pPr>
      <w:r>
        <w:rPr>
          <w:rFonts w:ascii="Amiri" w:hAnsi="Amiri" w:eastAsia="Amiri" w:cs="Amiri"/>
          <w:lang w:bidi="ar-SA"/>
          <w:color w:val="111111"/>
          <w:sz w:val="28"/>
          <w:szCs w:val="28"/>
          <w:rtl/>
        </w:rPr>
        <w:t xml:space="preserve">سمناني ، احمد بن محمّد</w:t>
      </w:r>
    </w:p>
    <w:p>
      <w:pPr>
        <w:pStyle w:val="Heading2"/>
      </w:pPr>
      <w:bookmarkStart w:id="4915" w:name="_Toc4017"/>
      <w:r>
        <w:t>سمناني ، احمد بن محمّد - 466 ه-</w:t>
      </w:r>
      <w:bookmarkEnd w:id="4915"/>
    </w:p>
    <w:p>
      <w:pPr>
        <w:pStyle w:val="BookText"/>
      </w:pPr>
      <w:r>
        <w:rPr>
          <w:rFonts w:ascii="Amiri" w:hAnsi="Amiri" w:eastAsia="Amiri" w:cs="Amiri"/>
          <w:lang w:bidi="ar-SA"/>
          <w:color w:val="111111"/>
          <w:sz w:val="28"/>
          <w:szCs w:val="28"/>
          <w:rtl/>
        </w:rPr>
        <w:t xml:space="preserve">فوائد منتقاة من رواية ابي الحسن</w:t>
      </w:r>
    </w:p>
    <w:p>
      <w:pPr>
        <w:pStyle w:val="BookText"/>
      </w:pPr>
      <w:r>
        <w:rPr>
          <w:rFonts w:ascii="Amiri" w:hAnsi="Amiri" w:eastAsia="Amiri" w:cs="Amiri"/>
          <w:lang w:bidi="ar-SA"/>
          <w:color w:val="111111"/>
          <w:sz w:val="28"/>
          <w:szCs w:val="28"/>
          <w:rtl/>
        </w:rPr>
        <w:t xml:space="preserve">احمد بن الصلت و ابي احمد عبيد الله</w:t>
      </w:r>
    </w:p>
    <w:p>
      <w:pPr>
        <w:pStyle w:val="BookText"/>
      </w:pPr>
      <w:r>
        <w:rPr>
          <w:rFonts w:ascii="Amiri" w:hAnsi="Amiri" w:eastAsia="Amiri" w:cs="Amiri"/>
          <w:lang w:bidi="ar-SA"/>
          <w:color w:val="111111"/>
          <w:sz w:val="28"/>
          <w:szCs w:val="28"/>
          <w:rtl/>
        </w:rPr>
        <w:t xml:space="preserve">العرجي، ج 12، ص 280 .</w:t>
      </w:r>
    </w:p>
    <w:p>
      <w:pPr>
        <w:pStyle w:val="Heading2"/>
      </w:pPr>
      <w:bookmarkStart w:id="4916" w:name="_Toc4018"/>
      <w:r>
        <w:t>سمناني ، سديدالدين</w:t>
      </w:r>
      <w:bookmarkEnd w:id="4916"/>
    </w:p>
    <w:p>
      <w:pPr>
        <w:pStyle w:val="BookText"/>
      </w:pPr>
      <w:r>
        <w:rPr>
          <w:rFonts w:ascii="Amiri" w:hAnsi="Amiri" w:eastAsia="Amiri" w:cs="Amiri"/>
          <w:lang w:bidi="ar-SA"/>
          <w:color w:val="111111"/>
          <w:sz w:val="28"/>
          <w:szCs w:val="28"/>
          <w:rtl/>
        </w:rPr>
        <w:t xml:space="preserve">شرح القصيدة العينية = الروحية في النفس، ج9، ص881</w:t>
      </w:r>
    </w:p>
    <w:p>
      <w:pPr>
        <w:pStyle w:val="BookText"/>
      </w:pPr>
      <w:r>
        <w:rPr>
          <w:rFonts w:ascii="Amiri" w:hAnsi="Amiri" w:eastAsia="Amiri" w:cs="Amiri"/>
          <w:lang w:bidi="ar-SA"/>
          <w:color w:val="111111"/>
          <w:sz w:val="28"/>
          <w:szCs w:val="28"/>
          <w:rtl/>
        </w:rPr>
        <w:t xml:space="preserve">سمناني ، علاء الدوله -علاء الدوله سمناني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4917" w:name="_Toc4019"/>
      <w:r>
        <w:t>سمناني ، علي بن عبدالله</w:t>
      </w:r>
      <w:bookmarkEnd w:id="4917"/>
    </w:p>
    <w:p>
      <w:pPr>
        <w:pStyle w:val="BookText"/>
      </w:pPr>
      <w:r>
        <w:rPr>
          <w:rFonts w:ascii="Amiri" w:hAnsi="Amiri" w:eastAsia="Amiri" w:cs="Amiri"/>
          <w:lang w:bidi="ar-SA"/>
          <w:color w:val="111111"/>
          <w:sz w:val="28"/>
          <w:szCs w:val="28"/>
          <w:rtl/>
        </w:rPr>
        <w:t xml:space="preserve">مناهج الحسينية، ج 15 ، ص 567.</w:t>
      </w:r>
    </w:p>
    <w:p>
      <w:pPr>
        <w:pStyle w:val="BookText"/>
      </w:pPr>
      <w:r>
        <w:rPr>
          <w:rFonts w:ascii="Amiri" w:hAnsi="Amiri" w:eastAsia="Amiri" w:cs="Amiri"/>
          <w:lang w:bidi="ar-SA"/>
          <w:color w:val="111111"/>
          <w:sz w:val="28"/>
          <w:szCs w:val="28"/>
          <w:rtl/>
        </w:rPr>
        <w:t xml:space="preserve">سمناني ، علي بن محمّد -طبيب سمناني ،</w:t>
      </w:r>
    </w:p>
    <w:p>
      <w:pPr>
        <w:pStyle w:val="BookText"/>
      </w:pPr>
      <w:r>
        <w:rPr>
          <w:rFonts w:ascii="Amiri" w:hAnsi="Amiri" w:eastAsia="Amiri" w:cs="Amiri"/>
          <w:lang w:bidi="ar-SA"/>
          <w:color w:val="111111"/>
          <w:sz w:val="28"/>
          <w:szCs w:val="28"/>
          <w:rtl/>
        </w:rPr>
        <w:t xml:space="preserve">علي بن محمّد</w:t>
      </w:r>
    </w:p>
    <w:p>
      <w:pPr>
        <w:pStyle w:val="Heading2"/>
      </w:pPr>
      <w:bookmarkStart w:id="4918" w:name="_Toc4020"/>
      <w:r>
        <w:t>سمناني ، علي بن محمّد - 499 ه-</w:t>
      </w:r>
      <w:bookmarkEnd w:id="4918"/>
    </w:p>
    <w:p>
      <w:pPr>
        <w:pStyle w:val="BookText"/>
      </w:pPr>
      <w:r>
        <w:rPr>
          <w:rFonts w:ascii="Amiri" w:hAnsi="Amiri" w:eastAsia="Amiri" w:cs="Amiri"/>
          <w:lang w:bidi="ar-SA"/>
          <w:color w:val="111111"/>
          <w:sz w:val="28"/>
          <w:szCs w:val="28"/>
          <w:rtl/>
        </w:rPr>
        <w:t xml:space="preserve">1 .حاشية مقامات الحريري، ج 6،</w:t>
      </w:r>
    </w:p>
    <w:p>
      <w:pPr>
        <w:pStyle w:val="BookText"/>
      </w:pPr>
      <w:r>
        <w:rPr>
          <w:rFonts w:ascii="IRNazanin" w:hAnsi="IRNazanin" w:eastAsia="IRNazanin" w:cs="IRNazanin"/>
          <w:lang w:bidi="fa-IR"/>
          <w:color w:val="111111"/>
          <w:sz w:val="28"/>
          <w:szCs w:val="28"/>
          <w:rtl/>
        </w:rPr>
        <w:t xml:space="preserve">ص 415.</w:t>
      </w:r>
    </w:p>
    <w:p>
      <w:pPr>
        <w:pStyle w:val="BookText"/>
      </w:pPr>
      <w:r>
        <w:rPr>
          <w:rFonts w:ascii="Amiri" w:hAnsi="Amiri" w:eastAsia="Amiri" w:cs="Amiri"/>
          <w:lang w:bidi="ar-SA"/>
          <w:color w:val="111111"/>
          <w:sz w:val="28"/>
          <w:szCs w:val="28"/>
          <w:rtl/>
        </w:rPr>
        <w:t xml:space="preserve">2 .روضة القضاة وطريق النجاة في ادب القضاء، ج8، ص 450.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سراج المصلي و بدر المبتدي و</w:t>
      </w:r>
    </w:p>
    <w:p>
      <w:pPr>
        <w:pStyle w:val="BookText"/>
      </w:pPr>
      <w:r>
        <w:rPr>
          <w:rFonts w:ascii="Amiri" w:hAnsi="Amiri" w:eastAsia="Amiri" w:cs="Amiri"/>
          <w:lang w:bidi="ar-SA"/>
          <w:color w:val="111111"/>
          <w:sz w:val="28"/>
          <w:szCs w:val="28"/>
          <w:rtl/>
        </w:rPr>
        <w:t xml:space="preserve">المنتهي، ج8، ص737.</w:t>
      </w:r>
    </w:p>
    <w:p>
      <w:pPr>
        <w:pStyle w:val="BookText"/>
      </w:pPr>
      <w:r>
        <w:rPr>
          <w:rFonts w:ascii="Amiri" w:hAnsi="Amiri" w:eastAsia="Amiri" w:cs="Amiri"/>
          <w:lang w:bidi="ar-SA"/>
          <w:color w:val="111111"/>
          <w:sz w:val="28"/>
          <w:szCs w:val="28"/>
          <w:rtl/>
        </w:rPr>
        <w:t xml:space="preserve">سمناني ، علي ناصح بن محمّد -طبيب سمناني ، علي بن محمّد</w:t>
      </w:r>
    </w:p>
    <w:p>
      <w:pPr>
        <w:pStyle w:val="Heading2"/>
      </w:pPr>
      <w:bookmarkStart w:id="4919" w:name="_Toc4021"/>
      <w:r>
        <w:t>سمنقاني ، حسين بن محمّد - 746 ه-</w:t>
      </w:r>
      <w:bookmarkEnd w:id="4919"/>
    </w:p>
    <w:p>
      <w:pPr>
        <w:pStyle w:val="BookText"/>
      </w:pPr>
      <w:r>
        <w:rPr>
          <w:rFonts w:ascii="Amiri" w:hAnsi="Amiri" w:eastAsia="Amiri" w:cs="Amiri"/>
          <w:lang w:bidi="ar-SA"/>
          <w:color w:val="111111"/>
          <w:sz w:val="28"/>
          <w:szCs w:val="28"/>
          <w:rtl/>
        </w:rPr>
        <w:t xml:space="preserve">خزانة المفتين في فروع الفقه الحنفي</w:t>
      </w:r>
    </w:p>
    <w:p>
      <w:pPr>
        <w:pStyle w:val="BookText"/>
      </w:pPr>
      <w:r>
        <w:rPr>
          <w:rFonts w:ascii="IRNazanin" w:hAnsi="IRNazanin" w:eastAsia="IRNazanin" w:cs="IRNazanin"/>
          <w:lang w:bidi="fa-IR"/>
          <w:color w:val="111111"/>
          <w:sz w:val="28"/>
          <w:szCs w:val="28"/>
          <w:rtl/>
        </w:rPr>
        <w:t xml:space="preserve">ج 7، ص 25.</w:t>
      </w:r>
    </w:p>
    <w:p>
      <w:pPr>
        <w:pStyle w:val="BookText"/>
      </w:pPr>
      <w:r>
        <w:rPr>
          <w:rFonts w:ascii="Amiri" w:hAnsi="Amiri" w:eastAsia="Amiri" w:cs="Amiri"/>
          <w:lang w:bidi="ar-SA"/>
          <w:color w:val="111111"/>
          <w:sz w:val="28"/>
          <w:szCs w:val="28"/>
          <w:rtl/>
        </w:rPr>
        <w:t xml:space="preserve">سمنودي ، محمّد بن حسن- منير</w:t>
      </w:r>
    </w:p>
    <w:p>
      <w:pPr>
        <w:pStyle w:val="BookText"/>
      </w:pPr>
      <w:r>
        <w:rPr>
          <w:rFonts w:ascii="Amiri" w:hAnsi="Amiri" w:eastAsia="Amiri" w:cs="Amiri"/>
          <w:lang w:bidi="ar-SA"/>
          <w:color w:val="111111"/>
          <w:sz w:val="28"/>
          <w:szCs w:val="28"/>
          <w:rtl/>
        </w:rPr>
        <w:t xml:space="preserve">سمانودي ، محمّد بن حسن</w:t>
      </w:r>
    </w:p>
    <w:p>
      <w:pPr>
        <w:pStyle w:val="BookText"/>
      </w:pPr>
      <w:r>
        <w:rPr>
          <w:rFonts w:ascii="Amiri" w:hAnsi="Amiri" w:eastAsia="Amiri" w:cs="Amiri"/>
          <w:lang w:bidi="ar-SA"/>
          <w:color w:val="111111"/>
          <w:sz w:val="28"/>
          <w:szCs w:val="28"/>
          <w:rtl/>
        </w:rPr>
        <w:t xml:space="preserve">سمنودي ، منصور بن عيسى -سمانودي</w:t>
      </w:r>
    </w:p>
    <w:p>
      <w:pPr>
        <w:pStyle w:val="BookText"/>
      </w:pPr>
      <w:r>
        <w:rPr>
          <w:rFonts w:ascii="Amiri" w:hAnsi="Amiri" w:eastAsia="Amiri" w:cs="Amiri"/>
          <w:lang w:bidi="ar-SA"/>
          <w:color w:val="111111"/>
          <w:sz w:val="28"/>
          <w:szCs w:val="28"/>
          <w:rtl/>
        </w:rPr>
        <w:t xml:space="preserve">منصور بن عيسى</w:t>
      </w:r>
    </w:p>
    <w:p>
      <w:pPr>
        <w:pStyle w:val="BookText"/>
      </w:pPr>
      <w:r>
        <w:rPr>
          <w:rFonts w:ascii="Amiri" w:hAnsi="Amiri" w:eastAsia="Amiri" w:cs="Amiri"/>
          <w:lang w:bidi="ar-SA"/>
          <w:color w:val="111111"/>
          <w:sz w:val="28"/>
          <w:szCs w:val="28"/>
          <w:rtl/>
        </w:rPr>
        <w:t xml:space="preserve">سمهودي ، ابوالحسن علي- سمهودي ، علي بن عبدالله</w:t>
      </w:r>
    </w:p>
    <w:p>
      <w:pPr>
        <w:pStyle w:val="Heading2"/>
      </w:pPr>
      <w:bookmarkStart w:id="4920" w:name="_Toc4022"/>
      <w:r>
        <w:t>سمهودي ، جلال الدين - 950 ه-</w:t>
      </w:r>
      <w:bookmarkEnd w:id="4920"/>
    </w:p>
    <w:p>
      <w:pPr>
        <w:pStyle w:val="BookText"/>
      </w:pPr>
      <w:r>
        <w:rPr>
          <w:rFonts w:ascii="Amiri" w:hAnsi="Amiri" w:eastAsia="Amiri" w:cs="Amiri"/>
          <w:lang w:bidi="ar-SA"/>
          <w:color w:val="111111"/>
          <w:sz w:val="28"/>
          <w:szCs w:val="28"/>
          <w:rtl/>
        </w:rPr>
        <w:t xml:space="preserve">الغماز على اللماز في الاحاديث</w:t>
      </w:r>
    </w:p>
    <w:p>
      <w:pPr>
        <w:pStyle w:val="BookText"/>
      </w:pPr>
      <w:r>
        <w:rPr>
          <w:rFonts w:ascii="Amiri" w:hAnsi="Amiri" w:eastAsia="Amiri" w:cs="Amiri"/>
          <w:lang w:bidi="ar-SA"/>
          <w:color w:val="111111"/>
          <w:sz w:val="28"/>
          <w:szCs w:val="28"/>
          <w:rtl/>
        </w:rPr>
        <w:t xml:space="preserve">الضعيفة والموضوعة، ج 11، ص 507.</w:t>
      </w:r>
    </w:p>
    <w:p>
      <w:pPr>
        <w:pStyle w:val="Heading2"/>
      </w:pPr>
      <w:bookmarkStart w:id="4921" w:name="_Toc4023"/>
      <w:r>
        <w:t>سمهودي ، علي بن عبدالله، 844 - 911 ه-</w:t>
      </w:r>
      <w:bookmarkEnd w:id="49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الاقوال المسفرة عن دلائل المغفرة</w:t>
      </w:r>
    </w:p>
    <w:p>
      <w:pPr>
        <w:pStyle w:val="BookText"/>
      </w:pPr>
      <w:r>
        <w:rPr>
          <w:rFonts w:ascii="IRNazanin" w:hAnsi="IRNazanin" w:eastAsia="IRNazanin" w:cs="IRNazanin"/>
          <w:lang w:bidi="fa-IR"/>
          <w:color w:val="111111"/>
          <w:sz w:val="28"/>
          <w:szCs w:val="28"/>
          <w:rtl/>
        </w:rPr>
        <w:t xml:space="preserve">ج 2، ص 637 .</w:t>
      </w:r>
    </w:p>
    <w:p>
      <w:pPr>
        <w:pStyle w:val="BookText"/>
      </w:pPr>
      <w:r>
        <w:rPr>
          <w:rFonts w:ascii="Amiri" w:hAnsi="Amiri" w:eastAsia="Amiri" w:cs="Amiri"/>
          <w:lang w:bidi="ar-SA"/>
          <w:color w:val="111111"/>
          <w:sz w:val="28"/>
          <w:szCs w:val="28"/>
          <w:rtl/>
        </w:rPr>
        <w:t xml:space="preserve">2 .إيضاح البيان لما أراد الحجة من ليس في الامكان أبدع مما كان و ما</w:t>
      </w:r>
    </w:p>
    <w:p>
      <w:pPr>
        <w:pStyle w:val="BookText"/>
      </w:pPr>
      <w:r>
        <w:rPr>
          <w:rFonts w:ascii="Amiri" w:hAnsi="Amiri" w:eastAsia="Amiri" w:cs="Amiri"/>
          <w:lang w:bidi="ar-SA"/>
          <w:color w:val="111111"/>
          <w:sz w:val="28"/>
          <w:szCs w:val="28"/>
          <w:rtl/>
        </w:rPr>
        <w:t xml:space="preserve">عناه مما اقامه على ذلك من</w:t>
      </w:r>
    </w:p>
    <w:p>
      <w:pPr>
        <w:pStyle w:val="BookText"/>
      </w:pPr>
      <w:r>
        <w:rPr>
          <w:rFonts w:ascii="IRNazanin" w:hAnsi="IRNazanin" w:eastAsia="IRNazanin" w:cs="IRNazanin"/>
          <w:lang w:bidi="fa-IR"/>
          <w:color w:val="111111"/>
          <w:sz w:val="28"/>
          <w:szCs w:val="28"/>
          <w:rtl/>
        </w:rPr>
        <w:t xml:space="preserve">البرهان، ج 3، ص 114.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جواهر العقدين في فضل الشرفين شرف العلم الجلي و النسب العلي</w:t>
      </w:r>
    </w:p>
    <w:p>
      <w:pPr>
        <w:pStyle w:val="BookText"/>
      </w:pPr>
      <w:r>
        <w:rPr>
          <w:rFonts w:ascii="Times New Roman" w:hAnsi="Times New Roman" w:eastAsia="Times New Roman" w:cs="Times New Roman"/>
          <w:lang w:val="en-US" w:bidi="en-US"/>
          <w:color w:val="111111"/>
          <w:sz w:val="28"/>
          <w:szCs w:val="28"/>
          <w:rtl/>
        </w:rPr>
        <w:t xml:space="preserve">.00.00.0%</w:t>
      </w:r>
    </w:p>
    <w:p>
      <w:pPr>
        <w:pStyle w:val="BookText"/>
      </w:pPr>
      <w:r>
        <w:rPr>
          <w:rFonts w:ascii="Amiri" w:hAnsi="Amiri" w:eastAsia="Amiri" w:cs="Amiri"/>
          <w:lang w:bidi="ar-SA"/>
          <w:color w:val="111111"/>
          <w:sz w:val="28"/>
          <w:szCs w:val="28"/>
          <w:rtl/>
        </w:rPr>
        <w:t xml:space="preserve">4 .خلاصة الوفاء بأخبار دار المصطفى</w:t>
      </w:r>
    </w:p>
    <w:p>
      <w:pPr>
        <w:pStyle w:val="BookText"/>
      </w:pPr>
      <w:r>
        <w:rPr>
          <w:rFonts w:ascii="IRNazanin" w:hAnsi="IRNazanin" w:eastAsia="IRNazanin" w:cs="IRNazanin"/>
          <w:lang w:bidi="fa-IR"/>
          <w:color w:val="111111"/>
          <w:sz w:val="28"/>
          <w:szCs w:val="28"/>
          <w:rtl/>
        </w:rPr>
        <w:t xml:space="preserve">ج 7، ص 142 .</w:t>
      </w:r>
    </w:p>
    <w:p>
      <w:pPr>
        <w:pStyle w:val="BookText"/>
      </w:pPr>
      <w:r>
        <w:rPr>
          <w:rFonts w:ascii="Amiri" w:hAnsi="Amiri" w:eastAsia="Amiri" w:cs="Amiri"/>
          <w:lang w:bidi="ar-SA"/>
          <w:color w:val="111111"/>
          <w:sz w:val="28"/>
          <w:szCs w:val="28"/>
          <w:rtl/>
        </w:rPr>
        <w:t xml:space="preserve">5 .العقد الفريد في أحكام التقليد</w:t>
      </w:r>
    </w:p>
    <w:p>
      <w:pPr>
        <w:pStyle w:val="BookText"/>
      </w:pPr>
      <w:r>
        <w:rPr>
          <w:rFonts w:ascii="IRNazanin" w:hAnsi="IRNazanin" w:eastAsia="IRNazanin" w:cs="IRNazanin"/>
          <w:lang w:bidi="fa-IR"/>
          <w:color w:val="111111"/>
          <w:sz w:val="28"/>
          <w:szCs w:val="28"/>
          <w:rtl/>
        </w:rPr>
        <w:t xml:space="preserve">ج 11، ص 169.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1" w:name="pg7742_70558"/>
    <w:bookmarkEnd w:id="581"/>
    <w:p>
      <w:pPr>
        <w:pStyle w:val="BookText"/>
      </w:pPr>
      <w:r>
        <w:rPr>
          <w:rFonts w:ascii="Amiri" w:hAnsi="Amiri" w:eastAsia="Amiri" w:cs="Amiri"/>
          <w:lang w:bidi="ar-SA"/>
          <w:color w:val="111111"/>
          <w:sz w:val="28"/>
          <w:szCs w:val="28"/>
          <w:rtl/>
        </w:rPr>
        <w:t xml:space="preserve">6 .اللؤلؤ المنثور في نصيحة ولاة الامور</w:t>
      </w:r>
    </w:p>
    <w:p>
      <w:pPr>
        <w:pStyle w:val="BookText"/>
      </w:pPr>
      <w:r>
        <w:rPr>
          <w:rFonts w:ascii="IRNazanin" w:hAnsi="IRNazanin" w:eastAsia="IRNazanin" w:cs="IRNazanin"/>
          <w:lang w:bidi="fa-IR"/>
          <w:color w:val="111111"/>
          <w:sz w:val="28"/>
          <w:szCs w:val="28"/>
          <w:rtl/>
        </w:rPr>
        <w:t xml:space="preserve">ج 13، ص 537.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وفاء الوفاء بتاريخ المصطفى = وفاء</w:t>
      </w:r>
    </w:p>
    <w:p>
      <w:pPr>
        <w:pStyle w:val="BookText"/>
      </w:pPr>
      <w:r>
        <w:rPr>
          <w:rFonts w:ascii="IRNazanin" w:hAnsi="IRNazanin" w:eastAsia="IRNazanin" w:cs="IRNazanin"/>
          <w:lang w:bidi="fa-IR"/>
          <w:color w:val="111111"/>
          <w:sz w:val="28"/>
          <w:szCs w:val="28"/>
          <w:rtl/>
        </w:rPr>
        <w:t xml:space="preserve">الوفاء باخبار دار المصطفى، ج 16،</w:t>
      </w:r>
    </w:p>
    <w:p>
      <w:pPr>
        <w:pStyle w:val="BookText"/>
      </w:pPr>
      <w:r>
        <w:rPr>
          <w:rFonts w:ascii="IRNazanin" w:hAnsi="IRNazanin" w:eastAsia="IRNazanin" w:cs="IRNazanin"/>
          <w:lang w:bidi="fa-IR"/>
          <w:color w:val="111111"/>
          <w:sz w:val="28"/>
          <w:szCs w:val="28"/>
          <w:rtl/>
        </w:rPr>
        <w:t xml:space="preserve">ص 843.</w:t>
      </w:r>
    </w:p>
    <w:p>
      <w:pPr>
        <w:pStyle w:val="BookText"/>
      </w:pPr>
      <w:r>
        <w:rPr>
          <w:rFonts w:ascii="Amiri" w:hAnsi="Amiri" w:eastAsia="Amiri" w:cs="Amiri"/>
          <w:lang w:bidi="ar-SA"/>
          <w:color w:val="111111"/>
          <w:sz w:val="28"/>
          <w:szCs w:val="28"/>
          <w:rtl/>
        </w:rPr>
        <w:t xml:space="preserve">سمهودي ، نورالدين علي- سمهودي ، علي</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4922" w:name="_Toc4024"/>
      <w:r>
        <w:t>سموئل بن عاديا - 65 ؟ قبل هجرت</w:t>
      </w:r>
      <w:bookmarkEnd w:id="4922"/>
    </w:p>
    <w:p>
      <w:pPr>
        <w:pStyle w:val="BookText"/>
      </w:pPr>
      <w:r>
        <w:rPr>
          <w:rFonts w:ascii="Amiri" w:hAnsi="Amiri" w:eastAsia="Amiri" w:cs="Amiri"/>
          <w:lang w:bidi="ar-SA"/>
          <w:color w:val="111111"/>
          <w:sz w:val="28"/>
          <w:szCs w:val="28"/>
          <w:rtl/>
        </w:rPr>
        <w:t xml:space="preserve">ديوان سموئل بن عاديا، ج7، ص 653.</w:t>
      </w:r>
    </w:p>
    <w:p>
      <w:pPr>
        <w:pStyle w:val="BookText"/>
      </w:pPr>
      <w:r>
        <w:rPr>
          <w:rFonts w:ascii="Amiri" w:hAnsi="Amiri" w:eastAsia="Amiri" w:cs="Amiri"/>
          <w:lang w:bidi="ar-SA"/>
          <w:color w:val="111111"/>
          <w:sz w:val="28"/>
          <w:szCs w:val="28"/>
          <w:rtl/>
        </w:rPr>
        <w:t xml:space="preserve">سموئل بن يحيى -مغربي ، سموئل بن يحيى</w:t>
      </w:r>
    </w:p>
    <w:p>
      <w:pPr>
        <w:pStyle w:val="BookText"/>
      </w:pPr>
      <w:r>
        <w:rPr>
          <w:rFonts w:ascii="IRNazanin" w:hAnsi="IRNazanin" w:eastAsia="IRNazanin" w:cs="IRNazanin"/>
          <w:lang w:bidi="fa-IR"/>
          <w:color w:val="111111"/>
          <w:sz w:val="28"/>
          <w:szCs w:val="28"/>
          <w:rtl/>
        </w:rPr>
        <w:t xml:space="preserve">سميسم ، محمّد حسین بن محمّد- آل</w:t>
      </w:r>
    </w:p>
    <w:p>
      <w:pPr>
        <w:pStyle w:val="BookText"/>
      </w:pPr>
      <w:r>
        <w:rPr>
          <w:rFonts w:ascii="IRNazanin" w:hAnsi="IRNazanin" w:eastAsia="IRNazanin" w:cs="IRNazanin"/>
          <w:lang w:bidi="fa-IR"/>
          <w:color w:val="111111"/>
          <w:sz w:val="28"/>
          <w:szCs w:val="28"/>
          <w:rtl/>
        </w:rPr>
        <w:t xml:space="preserve">سميسم ، محمّد حسین</w:t>
      </w:r>
    </w:p>
    <w:p>
      <w:pPr>
        <w:pStyle w:val="Heading2"/>
      </w:pPr>
      <w:bookmarkStart w:id="4923" w:name="_Toc4025"/>
      <w:r>
        <w:t>سميعي ، حسين، 1254 - 1332 ش</w:t>
      </w:r>
      <w:bookmarkEnd w:id="49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حقوق الجزاء، ج 6 ، ص 699.</w:t>
      </w:r>
    </w:p>
    <w:p>
      <w:pPr>
        <w:pStyle w:val="BookText"/>
      </w:pPr>
      <w:r>
        <w:rPr>
          <w:rFonts w:ascii="Amiri" w:hAnsi="Amiri" w:eastAsia="Amiri" w:cs="Amiri"/>
          <w:lang w:bidi="ar-SA"/>
          <w:color w:val="111111"/>
          <w:sz w:val="28"/>
          <w:szCs w:val="28"/>
          <w:rtl/>
        </w:rPr>
        <w:t xml:space="preserve">2 .شرح حال حسين سميعي، ج9،</w:t>
      </w:r>
    </w:p>
    <w:p>
      <w:pPr>
        <w:pStyle w:val="BookText"/>
      </w:pPr>
      <w:r>
        <w:rPr>
          <w:rFonts w:ascii="IRNazanin" w:hAnsi="IRNazanin" w:eastAsia="IRNazanin" w:cs="IRNazanin"/>
          <w:lang w:bidi="fa-IR"/>
          <w:color w:val="111111"/>
          <w:sz w:val="28"/>
          <w:szCs w:val="28"/>
          <w:rtl/>
        </w:rPr>
        <w:t xml:space="preserve">ص 377</w:t>
      </w:r>
    </w:p>
    <w:p>
      <w:pPr>
        <w:pStyle w:val="Heading2"/>
      </w:pPr>
      <w:bookmarkStart w:id="4924" w:name="_Toc4026"/>
      <w:r>
        <w:t>سمين ، احمد بن يوسف - 756 ه-</w:t>
      </w:r>
      <w:bookmarkEnd w:id="4924"/>
    </w:p>
    <w:p>
      <w:pPr>
        <w:pStyle w:val="BookText"/>
      </w:pPr>
      <w:r>
        <w:rPr>
          <w:rFonts w:ascii="Amiri" w:hAnsi="Amiri" w:eastAsia="Amiri" w:cs="Amiri"/>
          <w:lang w:bidi="ar-SA"/>
          <w:color w:val="111111"/>
          <w:sz w:val="28"/>
          <w:szCs w:val="28"/>
          <w:rtl/>
        </w:rPr>
        <w:t xml:space="preserve">1 .الدر المصون في علم الكتاب</w:t>
      </w:r>
    </w:p>
    <w:p>
      <w:pPr>
        <w:pStyle w:val="BookText"/>
      </w:pPr>
      <w:r>
        <w:rPr>
          <w:rFonts w:ascii="Amiri" w:hAnsi="Amiri" w:eastAsia="Amiri" w:cs="Amiri"/>
          <w:lang w:bidi="ar-SA"/>
          <w:color w:val="111111"/>
          <w:sz w:val="28"/>
          <w:szCs w:val="28"/>
          <w:rtl/>
        </w:rPr>
        <w:t xml:space="preserve">المكنون، ج 7، ص 334.</w:t>
      </w:r>
    </w:p>
    <w:p>
      <w:pPr>
        <w:pStyle w:val="BookText"/>
      </w:pPr>
      <w:r>
        <w:rPr>
          <w:rFonts w:ascii="Amiri" w:hAnsi="Amiri" w:eastAsia="Amiri" w:cs="Amiri"/>
          <w:lang w:bidi="ar-SA"/>
          <w:color w:val="111111"/>
          <w:sz w:val="28"/>
          <w:szCs w:val="28"/>
          <w:rtl/>
        </w:rPr>
        <w:t xml:space="preserve">2 .عمدة الحفاظ في تفسير اشرف</w:t>
      </w:r>
    </w:p>
    <w:p>
      <w:pPr>
        <w:pStyle w:val="BookText"/>
      </w:pPr>
      <w:r>
        <w:rPr>
          <w:rFonts w:ascii="IRNazanin" w:hAnsi="IRNazanin" w:eastAsia="IRNazanin" w:cs="IRNazanin"/>
          <w:lang w:bidi="fa-IR"/>
          <w:color w:val="111111"/>
          <w:sz w:val="28"/>
          <w:szCs w:val="28"/>
          <w:rtl/>
        </w:rPr>
        <w:t xml:space="preserve">الالفاظ، ج 11، ص290.</w:t>
      </w:r>
    </w:p>
    <w:p>
      <w:pPr>
        <w:pStyle w:val="BookText"/>
      </w:pPr>
      <w:r>
        <w:rPr>
          <w:rFonts w:ascii="Amiri" w:hAnsi="Amiri" w:eastAsia="Amiri" w:cs="Amiri"/>
          <w:lang w:bidi="ar-SA"/>
          <w:color w:val="111111"/>
          <w:sz w:val="28"/>
          <w:szCs w:val="28"/>
          <w:rtl/>
        </w:rPr>
        <w:t xml:space="preserve">سنائي غزنوي- سنايي ، مجدود بن آدم سنائي ، مجدود بن آدم</w:t>
      </w:r>
    </w:p>
    <w:p>
      <w:pPr>
        <w:pStyle w:val="Heading2"/>
      </w:pPr>
      <w:bookmarkStart w:id="4925" w:name="_Toc4027"/>
      <w:r>
        <w:t>سناري ، عبدالله بن ابراهيم</w:t>
      </w:r>
      <w:bookmarkEnd w:id="4925"/>
    </w:p>
    <w:p>
      <w:pPr>
        <w:pStyle w:val="BookText"/>
      </w:pPr>
      <w:r>
        <w:rPr>
          <w:rFonts w:ascii="Amiri" w:hAnsi="Amiri" w:eastAsia="Amiri" w:cs="Amiri"/>
          <w:lang w:bidi="ar-SA"/>
          <w:color w:val="111111"/>
          <w:sz w:val="28"/>
          <w:szCs w:val="28"/>
          <w:rtl/>
        </w:rPr>
        <w:t xml:space="preserve">مفتاح التجويد للمتعلم و المستفيد</w:t>
      </w:r>
    </w:p>
    <w:p>
      <w:pPr>
        <w:pStyle w:val="BookText"/>
      </w:pPr>
      <w:r>
        <w:rPr>
          <w:rFonts w:ascii="IRNazanin" w:hAnsi="IRNazanin" w:eastAsia="IRNazanin" w:cs="IRNazanin"/>
          <w:lang w:bidi="fa-IR"/>
          <w:color w:val="111111"/>
          <w:sz w:val="28"/>
          <w:szCs w:val="28"/>
          <w:rtl/>
        </w:rPr>
        <w:t xml:space="preserve">ج 15 ، ص 188.</w:t>
      </w:r>
    </w:p>
    <w:p>
      <w:pPr>
        <w:pStyle w:val="BookText"/>
      </w:pPr>
      <w:r>
        <w:rPr>
          <w:rFonts w:ascii="Amiri" w:hAnsi="Amiri" w:eastAsia="Amiri" w:cs="Amiri"/>
          <w:lang w:bidi="ar-SA"/>
          <w:color w:val="111111"/>
          <w:sz w:val="28"/>
          <w:szCs w:val="28"/>
          <w:rtl/>
        </w:rPr>
        <w:t xml:space="preserve">سناعي ، جعفر بن احمد- بهلولي يماني ، جعفر بن احمد</w:t>
      </w:r>
    </w:p>
    <w:p>
      <w:pPr>
        <w:pStyle w:val="BookText"/>
      </w:pPr>
      <w:r>
        <w:rPr>
          <w:rFonts w:ascii="Amiri" w:hAnsi="Amiri" w:eastAsia="Amiri" w:cs="Amiri"/>
          <w:lang w:bidi="ar-SA"/>
          <w:color w:val="111111"/>
          <w:sz w:val="28"/>
          <w:szCs w:val="28"/>
          <w:rtl/>
        </w:rPr>
        <w:t xml:space="preserve">سنامي ، ابوحفص- ابن عوض ، عمر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سنامي ، عمر بن محمّد- ابن عوض ، عمر بن محمّد</w:t>
      </w:r>
    </w:p>
    <w:p>
      <w:pPr>
        <w:pStyle w:val="BookText"/>
      </w:pPr>
      <w:r>
        <w:rPr>
          <w:rFonts w:ascii="Amiri" w:hAnsi="Amiri" w:eastAsia="Amiri" w:cs="Amiri"/>
          <w:lang w:bidi="ar-SA"/>
          <w:color w:val="111111"/>
          <w:sz w:val="28"/>
          <w:szCs w:val="28"/>
          <w:rtl/>
        </w:rPr>
        <w:t xml:space="preserve">الدين آماسي ، يوسف بن عبدالله -سنان</w:t>
      </w:r>
    </w:p>
    <w:p>
      <w:pPr>
        <w:pStyle w:val="BookText"/>
      </w:pPr>
      <w:r>
        <w:rPr>
          <w:rFonts w:ascii="Amiri" w:hAnsi="Amiri" w:eastAsia="Amiri" w:cs="Amiri"/>
          <w:lang w:bidi="ar-SA"/>
          <w:color w:val="111111"/>
          <w:sz w:val="28"/>
          <w:szCs w:val="28"/>
          <w:rtl/>
        </w:rPr>
        <w:t xml:space="preserve">الدين آماسي ، يوسف بن عبدالله</w:t>
      </w:r>
    </w:p>
    <w:p>
      <w:pPr>
        <w:pStyle w:val="BookText"/>
      </w:pPr>
      <w:r>
        <w:rPr>
          <w:rFonts w:ascii="Amiri" w:hAnsi="Amiri" w:eastAsia="Amiri" w:cs="Amiri"/>
          <w:lang w:bidi="ar-SA"/>
          <w:color w:val="111111"/>
          <w:sz w:val="28"/>
          <w:szCs w:val="28"/>
          <w:rtl/>
        </w:rPr>
        <w:t xml:space="preserve">سنان الدين آماسي ، يوسف بن عبدالله 1000؟ه-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امر القبلة (رسالة في)، ج 2، ص 763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تبيين المحارم، ج 3، ص 670.</w:t>
      </w:r>
    </w:p>
    <w:p>
      <w:pPr>
        <w:pStyle w:val="BookText"/>
      </w:pPr>
      <w:r>
        <w:rPr>
          <w:rFonts w:ascii="Amiri" w:hAnsi="Amiri" w:eastAsia="Amiri" w:cs="Amiri"/>
          <w:lang w:bidi="ar-SA"/>
          <w:color w:val="111111"/>
          <w:sz w:val="28"/>
          <w:szCs w:val="28"/>
          <w:rtl/>
        </w:rPr>
        <w:t xml:space="preserve">سنان الدين رومي ، يوسف بن يعقوب -سنان المحشي ، يوسف بن حسام الدين</w:t>
      </w:r>
    </w:p>
    <w:p>
      <w:pPr>
        <w:pStyle w:val="Heading2"/>
      </w:pPr>
      <w:bookmarkStart w:id="4926" w:name="_Toc4028"/>
      <w:r>
        <w:t>سنان المحشي ، يوسف بن حسام الدين</w:t>
      </w:r>
      <w:bookmarkEnd w:id="4926"/>
    </w:p>
    <w:p>
      <w:pPr>
        <w:pStyle w:val="BookText"/>
      </w:pPr>
      <w:r>
        <w:rPr>
          <w:rFonts w:ascii="IRNazanin" w:hAnsi="IRNazanin" w:eastAsia="IRNazanin" w:cs="IRNazanin"/>
          <w:lang w:bidi="fa-IR"/>
          <w:color w:val="111111"/>
          <w:sz w:val="28"/>
          <w:szCs w:val="28"/>
          <w:rtl/>
        </w:rPr>
        <w:t xml:space="preserve">986ه-</w:t>
      </w:r>
    </w:p>
    <w:p>
      <w:pPr>
        <w:pStyle w:val="BookText"/>
      </w:pPr>
      <w:r>
        <w:rPr>
          <w:rFonts w:ascii="Amiri" w:hAnsi="Amiri" w:eastAsia="Amiri" w:cs="Amiri"/>
          <w:lang w:bidi="ar-SA"/>
          <w:color w:val="111111"/>
          <w:sz w:val="28"/>
          <w:szCs w:val="28"/>
          <w:rtl/>
        </w:rPr>
        <w:t xml:space="preserve">حاشية انوار التنزيل = حاشيه تفسير</w:t>
      </w:r>
    </w:p>
    <w:p>
      <w:pPr>
        <w:pStyle w:val="BookText"/>
      </w:pPr>
      <w:r>
        <w:rPr>
          <w:rFonts w:ascii="Amiri" w:hAnsi="Amiri" w:eastAsia="Amiri" w:cs="Amiri"/>
          <w:lang w:bidi="ar-SA"/>
          <w:color w:val="111111"/>
          <w:sz w:val="28"/>
          <w:szCs w:val="28"/>
          <w:rtl/>
        </w:rPr>
        <w:t xml:space="preserve">بيضاوي - تعليقة على انوار التنزيل</w:t>
      </w:r>
    </w:p>
    <w:p>
      <w:pPr>
        <w:pStyle w:val="BookText"/>
      </w:pPr>
      <w:r>
        <w:rPr>
          <w:rFonts w:ascii="IRNazanin" w:hAnsi="IRNazanin" w:eastAsia="IRNazanin" w:cs="IRNazanin"/>
          <w:lang w:bidi="fa-IR"/>
          <w:color w:val="111111"/>
          <w:sz w:val="28"/>
          <w:szCs w:val="28"/>
          <w:rtl/>
        </w:rPr>
        <w:t xml:space="preserve">ج 5، ص 688.</w:t>
      </w:r>
    </w:p>
    <w:p>
      <w:pPr>
        <w:pStyle w:val="BookText"/>
      </w:pPr>
      <w:r>
        <w:rPr>
          <w:rFonts w:ascii="IRNazanin" w:hAnsi="IRNazanin" w:eastAsia="IRNazanin" w:cs="IRNazanin"/>
          <w:lang w:bidi="fa-IR"/>
          <w:color w:val="111111"/>
          <w:sz w:val="28"/>
          <w:szCs w:val="28"/>
          <w:rtl/>
        </w:rPr>
        <w:t xml:space="preserve">سنان پاشا ، یوسف بن خضر -خوجه پاشا</w:t>
      </w:r>
    </w:p>
    <w:p>
      <w:pPr>
        <w:pStyle w:val="BookText"/>
      </w:pPr>
      <w:r>
        <w:rPr>
          <w:rFonts w:ascii="Amiri" w:hAnsi="Amiri" w:eastAsia="Amiri" w:cs="Amiri"/>
          <w:lang w:bidi="ar-SA"/>
          <w:color w:val="111111"/>
          <w:sz w:val="28"/>
          <w:szCs w:val="28"/>
          <w:rtl/>
        </w:rPr>
        <w:t xml:space="preserve">بن آدم ، يوسف بن خضر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2" w:name="pg7742_70560"/>
    <w:bookmarkEnd w:id="582"/>
    <w:p>
      <w:pPr>
        <w:pStyle w:val="BookText"/>
      </w:pPr>
      <w:r>
        <w:rPr>
          <w:rFonts w:ascii="Amiri" w:hAnsi="Amiri" w:eastAsia="Amiri" w:cs="Amiri"/>
          <w:lang w:bidi="ar-SA"/>
          <w:color w:val="111111"/>
          <w:sz w:val="28"/>
          <w:szCs w:val="28"/>
          <w:rtl/>
        </w:rPr>
        <w:t xml:space="preserve">سنان ، محمّد بن كاتب -ابن سنان</w:t>
      </w:r>
    </w:p>
    <w:p>
      <w:pPr>
        <w:pStyle w:val="BookText"/>
      </w:pPr>
      <w:r>
        <w:rPr>
          <w:rFonts w:ascii="Amiri" w:hAnsi="Amiri" w:eastAsia="Amiri" w:cs="Amiri"/>
          <w:lang w:bidi="ar-SA"/>
          <w:color w:val="111111"/>
          <w:sz w:val="28"/>
          <w:szCs w:val="28"/>
          <w:rtl/>
        </w:rPr>
        <w:t xml:space="preserve">محمّد بن كاتب سنان</w:t>
      </w:r>
    </w:p>
    <w:p>
      <w:pPr>
        <w:pStyle w:val="BookText"/>
      </w:pPr>
      <w:r>
        <w:rPr>
          <w:rFonts w:ascii="IRNazanin" w:hAnsi="IRNazanin" w:eastAsia="IRNazanin" w:cs="IRNazanin"/>
          <w:lang w:bidi="fa-IR"/>
          <w:color w:val="111111"/>
          <w:sz w:val="28"/>
          <w:szCs w:val="28"/>
          <w:rtl/>
        </w:rPr>
        <w:t xml:space="preserve">سنان ، یوسف بن حسام الدین- سنان</w:t>
      </w:r>
    </w:p>
    <w:p>
      <w:pPr>
        <w:pStyle w:val="BookText"/>
      </w:pPr>
      <w:r>
        <w:rPr>
          <w:rFonts w:ascii="Amiri" w:hAnsi="Amiri" w:eastAsia="Amiri" w:cs="Amiri"/>
          <w:lang w:bidi="ar-SA"/>
          <w:color w:val="111111"/>
          <w:sz w:val="28"/>
          <w:szCs w:val="28"/>
          <w:rtl/>
        </w:rPr>
        <w:t xml:space="preserve">المحشي ، يوسف بن حسام الدين</w:t>
      </w:r>
    </w:p>
    <w:p>
      <w:pPr>
        <w:pStyle w:val="BookText"/>
      </w:pPr>
      <w:r>
        <w:rPr>
          <w:rFonts w:ascii="Amiri" w:hAnsi="Amiri" w:eastAsia="Amiri" w:cs="Amiri"/>
          <w:lang w:bidi="ar-SA"/>
          <w:color w:val="111111"/>
          <w:sz w:val="28"/>
          <w:szCs w:val="28"/>
          <w:rtl/>
        </w:rPr>
        <w:t xml:space="preserve">سنايي غزنوي -سنايي ، مجدود بن آدم</w:t>
      </w:r>
    </w:p>
    <w:p>
      <w:pPr>
        <w:pStyle w:val="Heading2"/>
      </w:pPr>
      <w:bookmarkStart w:id="4927" w:name="_Toc4029"/>
      <w:r>
        <w:t>سنايي ، مجدود بن آدم، 473 - 525 ؟</w:t>
      </w:r>
      <w:bookmarkEnd w:id="4927"/>
    </w:p>
    <w:p>
      <w:pPr>
        <w:pStyle w:val="BookText"/>
      </w:pPr>
      <w:r>
        <w:rPr>
          <w:rFonts w:ascii="Amiri" w:hAnsi="Amiri" w:eastAsia="Amiri" w:cs="Amiri"/>
          <w:lang w:bidi="ar-SA"/>
          <w:color w:val="111111"/>
          <w:sz w:val="28"/>
          <w:szCs w:val="28"/>
          <w:rtl/>
        </w:rPr>
        <w:t xml:space="preserve">1 .حديقة الحقيقة وشريعة الطريقة = فخري نامه = الهي نامه ج6</w:t>
      </w:r>
    </w:p>
    <w:p>
      <w:pPr>
        <w:pStyle w:val="BookText"/>
      </w:pPr>
      <w:r>
        <w:rPr>
          <w:rFonts w:ascii="IRNazanin" w:hAnsi="IRNazanin" w:eastAsia="IRNazanin" w:cs="IRNazanin"/>
          <w:lang w:bidi="fa-IR"/>
          <w:color w:val="111111"/>
          <w:sz w:val="28"/>
          <w:szCs w:val="28"/>
          <w:rtl/>
        </w:rPr>
        <w:t xml:space="preserve">ص 583.</w:t>
      </w:r>
    </w:p>
    <w:p>
      <w:pPr>
        <w:pStyle w:val="BookText"/>
      </w:pPr>
      <w:r>
        <w:rPr>
          <w:rFonts w:ascii="IRNazanin" w:hAnsi="IRNazanin" w:eastAsia="IRNazanin" w:cs="IRNazanin"/>
          <w:lang w:bidi="fa-IR"/>
          <w:color w:val="111111"/>
          <w:sz w:val="28"/>
          <w:szCs w:val="28"/>
          <w:rtl/>
        </w:rPr>
        <w:t xml:space="preserve">2 .دیوان سنائي، ج 7، ص 654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سير العباد إلى المعاد، ج 9، ص27.</w:t>
      </w:r>
    </w:p>
    <w:p>
      <w:pPr>
        <w:pStyle w:val="Heading2"/>
      </w:pPr>
      <w:bookmarkStart w:id="4928" w:name="_Toc4030"/>
      <w:r>
        <w:t>سنباطي ، احمد بن احمد - 995؟ ه-</w:t>
      </w:r>
      <w:bookmarkEnd w:id="4928"/>
    </w:p>
    <w:p>
      <w:pPr>
        <w:pStyle w:val="BookText"/>
      </w:pPr>
      <w:r>
        <w:rPr>
          <w:rFonts w:ascii="Amiri" w:hAnsi="Amiri" w:eastAsia="Amiri" w:cs="Amiri"/>
          <w:lang w:bidi="ar-SA"/>
          <w:color w:val="111111"/>
          <w:sz w:val="28"/>
          <w:szCs w:val="28"/>
          <w:rtl/>
        </w:rPr>
        <w:t xml:space="preserve">1 .اظهار الاسرار الخفية في حل الفاظ الرسائل الجيبية، ج 2، ص 488 .</w:t>
      </w:r>
    </w:p>
    <w:p>
      <w:pPr>
        <w:pStyle w:val="BookText"/>
      </w:pPr>
      <w:r>
        <w:rPr>
          <w:rFonts w:ascii="Amiri" w:hAnsi="Amiri" w:eastAsia="Amiri" w:cs="Amiri"/>
          <w:lang w:bidi="ar-SA"/>
          <w:color w:val="111111"/>
          <w:sz w:val="28"/>
          <w:szCs w:val="28"/>
          <w:rtl/>
        </w:rPr>
        <w:t xml:space="preserve">2 .حاشية على حاشية الجلال المحلي</w:t>
      </w:r>
    </w:p>
    <w:p>
      <w:pPr>
        <w:pStyle w:val="BookText"/>
      </w:pPr>
      <w:r>
        <w:rPr>
          <w:rFonts w:ascii="IRNazanin" w:hAnsi="IRNazanin" w:eastAsia="IRNazanin" w:cs="IRNazanin"/>
          <w:lang w:bidi="fa-IR"/>
          <w:color w:val="111111"/>
          <w:sz w:val="28"/>
          <w:szCs w:val="28"/>
          <w:rtl/>
        </w:rPr>
        <w:t xml:space="preserve">ج 6، ص 239.</w:t>
      </w:r>
    </w:p>
    <w:p>
      <w:pPr>
        <w:pStyle w:val="BookText"/>
      </w:pPr>
      <w:r>
        <w:rPr>
          <w:rFonts w:ascii="Amiri" w:hAnsi="Amiri" w:eastAsia="Amiri" w:cs="Amiri"/>
          <w:lang w:bidi="ar-SA"/>
          <w:color w:val="111111"/>
          <w:sz w:val="28"/>
          <w:szCs w:val="28"/>
          <w:rtl/>
        </w:rPr>
        <w:t xml:space="preserve">3 .روضة الفهوم بنظم نقاية العلوم</w:t>
      </w:r>
    </w:p>
    <w:p>
      <w:pPr>
        <w:pStyle w:val="BookText"/>
      </w:pPr>
      <w:r>
        <w:rPr>
          <w:rFonts w:ascii="Amiri" w:hAnsi="Amiri" w:eastAsia="Amiri" w:cs="Amiri"/>
          <w:lang w:bidi="ar-SA"/>
          <w:color w:val="111111"/>
          <w:sz w:val="28"/>
          <w:szCs w:val="28"/>
          <w:rtl/>
        </w:rPr>
        <w:t xml:space="preserve">للسيوطي ، ج 8، ص 447.</w:t>
      </w:r>
    </w:p>
    <w:p>
      <w:pPr>
        <w:pStyle w:val="BookText"/>
      </w:pPr>
      <w:r>
        <w:rPr>
          <w:rFonts w:ascii="Amiri" w:hAnsi="Amiri" w:eastAsia="Amiri" w:cs="Amiri"/>
          <w:lang w:bidi="ar-SA"/>
          <w:color w:val="111111"/>
          <w:sz w:val="28"/>
          <w:szCs w:val="28"/>
          <w:rtl/>
        </w:rPr>
        <w:t xml:space="preserve">4 .شرح الربع المجيب = شرح رسالة</w:t>
      </w:r>
    </w:p>
    <w:p>
      <w:pPr>
        <w:pStyle w:val="BookText"/>
      </w:pPr>
      <w:r>
        <w:rPr>
          <w:rFonts w:ascii="Amiri" w:hAnsi="Amiri" w:eastAsia="Amiri" w:cs="Amiri"/>
          <w:lang w:bidi="ar-SA"/>
          <w:color w:val="111111"/>
          <w:sz w:val="28"/>
          <w:szCs w:val="28"/>
          <w:rtl/>
        </w:rPr>
        <w:t xml:space="preserve">الجيب = شرح رسالة في العمل</w:t>
      </w:r>
    </w:p>
    <w:p>
      <w:pPr>
        <w:pStyle w:val="BookText"/>
      </w:pPr>
      <w:r>
        <w:rPr>
          <w:rFonts w:ascii="Amiri" w:hAnsi="Amiri" w:eastAsia="Amiri" w:cs="Amiri"/>
          <w:lang w:bidi="ar-SA"/>
          <w:color w:val="111111"/>
          <w:sz w:val="28"/>
          <w:szCs w:val="28"/>
          <w:rtl/>
        </w:rPr>
        <w:t xml:space="preserve">بالربع المجيب، ج 9، ص 499.</w:t>
      </w:r>
    </w:p>
    <w:p>
      <w:pPr>
        <w:pStyle w:val="BookText"/>
      </w:pPr>
      <w:r>
        <w:rPr>
          <w:rFonts w:ascii="Amiri" w:hAnsi="Amiri" w:eastAsia="Amiri" w:cs="Amiri"/>
          <w:lang w:bidi="ar-SA"/>
          <w:color w:val="111111"/>
          <w:sz w:val="28"/>
          <w:szCs w:val="28"/>
          <w:rtl/>
        </w:rPr>
        <w:t xml:space="preserve">5 .شرح القصيدة الهمزية في المدايح</w:t>
      </w:r>
    </w:p>
    <w:p>
      <w:pPr>
        <w:pStyle w:val="BookText"/>
      </w:pPr>
      <w:r>
        <w:rPr>
          <w:rFonts w:ascii="Amiri" w:hAnsi="Amiri" w:eastAsia="Amiri" w:cs="Amiri"/>
          <w:lang w:bidi="ar-SA"/>
          <w:color w:val="111111"/>
          <w:sz w:val="28"/>
          <w:szCs w:val="28"/>
          <w:rtl/>
        </w:rPr>
        <w:t xml:space="preserve">النبوية، ج 9، ص 904.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شرح قصيدة البردة، ج 9، ص 850.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فتوى شهابي = فناوي السنباطي</w:t>
      </w:r>
    </w:p>
    <w:p>
      <w:pPr>
        <w:pStyle w:val="BookText"/>
      </w:pPr>
      <w:r>
        <w:rPr>
          <w:rFonts w:ascii="IRNazanin" w:hAnsi="IRNazanin" w:eastAsia="IRNazanin" w:cs="IRNazanin"/>
          <w:lang w:bidi="fa-IR"/>
          <w:color w:val="111111"/>
          <w:sz w:val="28"/>
          <w:szCs w:val="28"/>
          <w:rtl/>
        </w:rPr>
        <w:t xml:space="preserve">ج 11، ص 718.</w:t>
      </w:r>
    </w:p>
    <w:p>
      <w:pPr>
        <w:pStyle w:val="BookText"/>
      </w:pPr>
      <w:r>
        <w:rPr>
          <w:rFonts w:ascii="Amiri" w:hAnsi="Amiri" w:eastAsia="Amiri" w:cs="Amiri"/>
          <w:lang w:bidi="ar-SA"/>
          <w:color w:val="111111"/>
          <w:sz w:val="28"/>
          <w:szCs w:val="28"/>
          <w:rtl/>
        </w:rPr>
        <w:t xml:space="preserve">8 .الهيئة (رسالة في)، ج 16، ص 659.</w:t>
      </w:r>
    </w:p>
    <w:p>
      <w:pPr>
        <w:pStyle w:val="BookText"/>
      </w:pPr>
      <w:r>
        <w:rPr>
          <w:rFonts w:ascii="Amiri" w:hAnsi="Amiri" w:eastAsia="Amiri" w:cs="Amiri"/>
          <w:lang w:bidi="ar-SA"/>
          <w:color w:val="111111"/>
          <w:sz w:val="28"/>
          <w:szCs w:val="28"/>
          <w:rtl/>
        </w:rPr>
        <w:t xml:space="preserve">سنباطي ، سيف الدين -فضالي ، سيف</w:t>
      </w:r>
    </w:p>
    <w:p>
      <w:pPr>
        <w:pStyle w:val="BookText"/>
      </w:pPr>
      <w:r>
        <w:rPr>
          <w:rFonts w:ascii="Amiri" w:hAnsi="Amiri" w:eastAsia="Amiri" w:cs="Amiri"/>
          <w:lang w:bidi="ar-SA"/>
          <w:color w:val="111111"/>
          <w:sz w:val="28"/>
          <w:szCs w:val="28"/>
          <w:rtl/>
        </w:rPr>
        <w:t xml:space="preserve">الدين بن عطاء الله</w:t>
      </w:r>
    </w:p>
    <w:p>
      <w:pPr>
        <w:pStyle w:val="Heading2"/>
      </w:pPr>
      <w:bookmarkStart w:id="4929" w:name="_Toc4031"/>
      <w:r>
        <w:t>سنباوي، محمّد بن احمد - 1346 ه-</w:t>
      </w:r>
      <w:bookmarkEnd w:id="4929"/>
    </w:p>
    <w:p>
      <w:pPr>
        <w:pStyle w:val="BookText"/>
      </w:pPr>
      <w:r>
        <w:rPr>
          <w:rFonts w:ascii="Amiri" w:hAnsi="Amiri" w:eastAsia="Amiri" w:cs="Amiri"/>
          <w:lang w:bidi="ar-SA"/>
          <w:color w:val="111111"/>
          <w:sz w:val="28"/>
          <w:szCs w:val="28"/>
          <w:rtl/>
        </w:rPr>
        <w:t xml:space="preserve">مطلع النيرين فيما يتعلق بالقدرتين</w:t>
      </w:r>
    </w:p>
    <w:p>
      <w:pPr>
        <w:pStyle w:val="BookText"/>
      </w:pPr>
      <w:r>
        <w:rPr>
          <w:rFonts w:ascii="IRNazanin" w:hAnsi="IRNazanin" w:eastAsia="IRNazanin" w:cs="IRNazanin"/>
          <w:lang w:bidi="fa-IR"/>
          <w:color w:val="111111"/>
          <w:sz w:val="28"/>
          <w:szCs w:val="28"/>
          <w:rtl/>
        </w:rPr>
        <w:t xml:space="preserve">ج 14، ص 800.</w:t>
      </w:r>
    </w:p>
    <w:p>
      <w:pPr>
        <w:pStyle w:val="BookText"/>
      </w:pPr>
      <w:r>
        <w:rPr>
          <w:rFonts w:ascii="Amiri" w:hAnsi="Amiri" w:eastAsia="Amiri" w:cs="Amiri"/>
          <w:lang w:bidi="ar-SA"/>
          <w:color w:val="111111"/>
          <w:sz w:val="28"/>
          <w:szCs w:val="28"/>
          <w:rtl/>
        </w:rPr>
        <w:t xml:space="preserve">سنباوي، محمّد بن محمّد -سنباوي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4930" w:name="_Toc4032"/>
      <w:r>
        <w:t>سنباوي ، محمّد بن محمّد، 1154 - 1232</w:t>
      </w:r>
      <w:bookmarkEnd w:id="4930"/>
    </w:p>
    <w:p>
      <w:pPr>
        <w:pStyle w:val="BookText"/>
      </w:pPr>
      <w:r>
        <w:rPr>
          <w:rFonts w:ascii="Amiri" w:hAnsi="Amiri" w:eastAsia="Amiri" w:cs="Amiri"/>
          <w:lang w:bidi="ar-SA"/>
          <w:color w:val="111111"/>
          <w:sz w:val="28"/>
          <w:szCs w:val="28"/>
          <w:rtl/>
        </w:rPr>
        <w:t xml:space="preserve">1 .إتحاف الإنس في الكلام على العلمين و اسم الجنس، ج 1،</w:t>
      </w:r>
    </w:p>
    <w:p>
      <w:pPr>
        <w:pStyle w:val="BookText"/>
      </w:pPr>
      <w:r>
        <w:rPr>
          <w:rFonts w:ascii="IRNazanin" w:hAnsi="IRNazanin" w:eastAsia="IRNazanin" w:cs="IRNazanin"/>
          <w:lang w:bidi="fa-IR"/>
          <w:color w:val="111111"/>
          <w:sz w:val="28"/>
          <w:szCs w:val="28"/>
          <w:rtl/>
        </w:rPr>
        <w:t xml:space="preserve">ص 126 .</w:t>
      </w:r>
    </w:p>
    <w:p>
      <w:pPr>
        <w:pStyle w:val="BookText"/>
      </w:pPr>
      <w:r>
        <w:rPr>
          <w:rFonts w:ascii="Amiri" w:hAnsi="Amiri" w:eastAsia="Amiri" w:cs="Amiri"/>
          <w:lang w:bidi="ar-SA"/>
          <w:color w:val="111111"/>
          <w:sz w:val="28"/>
          <w:szCs w:val="28"/>
          <w:rtl/>
        </w:rPr>
        <w:t xml:space="preserve">2 .الإكليل في شرح مختصر الشيخ</w:t>
      </w:r>
    </w:p>
    <w:p>
      <w:pPr>
        <w:pStyle w:val="BookText"/>
      </w:pPr>
      <w:r>
        <w:rPr>
          <w:rFonts w:ascii="Amiri" w:hAnsi="Amiri" w:eastAsia="Amiri" w:cs="Amiri"/>
          <w:lang w:bidi="ar-SA"/>
          <w:color w:val="111111"/>
          <w:sz w:val="28"/>
          <w:szCs w:val="28"/>
          <w:rtl/>
        </w:rPr>
        <w:t xml:space="preserve">خليل، ج 2، ص 649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ثبت الامير = ثبت الاسانيد و الايجاز للامير الكبير، ج 5، ص 209.</w:t>
      </w:r>
    </w:p>
    <w:p>
      <w:pPr>
        <w:pStyle w:val="BookText"/>
      </w:pPr>
      <w:r>
        <w:rPr>
          <w:rFonts w:ascii="Amiri" w:hAnsi="Amiri" w:eastAsia="Amiri" w:cs="Amiri"/>
          <w:lang w:bidi="ar-SA"/>
          <w:color w:val="111111"/>
          <w:sz w:val="28"/>
          <w:szCs w:val="28"/>
          <w:rtl/>
        </w:rPr>
        <w:t xml:space="preserve">4 .حاشية شرح رسالة الاستعارة، ج 6،</w:t>
      </w:r>
    </w:p>
    <w:p>
      <w:pPr>
        <w:pStyle w:val="BookText"/>
      </w:pPr>
      <w:r>
        <w:rPr>
          <w:rFonts w:ascii="IRNazanin" w:hAnsi="IRNazanin" w:eastAsia="IRNazanin" w:cs="IRNazanin"/>
          <w:lang w:bidi="fa-IR"/>
          <w:color w:val="111111"/>
          <w:sz w:val="28"/>
          <w:szCs w:val="28"/>
          <w:rtl/>
        </w:rPr>
        <w:t xml:space="preserve">ص108.</w:t>
      </w:r>
    </w:p>
    <w:p>
      <w:pPr>
        <w:pStyle w:val="BookText"/>
      </w:pPr>
      <w:r>
        <w:rPr>
          <w:rFonts w:ascii="IRNazanin" w:hAnsi="IRNazanin" w:eastAsia="IRNazanin" w:cs="IRNazanin"/>
          <w:lang w:bidi="fa-IR"/>
          <w:color w:val="111111"/>
          <w:sz w:val="28"/>
          <w:szCs w:val="28"/>
          <w:rtl/>
        </w:rPr>
        <w:t xml:space="preserve">5 .شرح قلائد النحور، ج 10، ص 14.</w:t>
      </w:r>
    </w:p>
    <w:p>
      <w:pPr>
        <w:pStyle w:val="Heading2"/>
      </w:pPr>
      <w:bookmarkStart w:id="4931" w:name="_Toc4033"/>
      <w:r>
        <w:t>سنبل زاده وهبي ، محمّد بن راشد</w:t>
      </w:r>
      <w:bookmarkEnd w:id="4931"/>
    </w:p>
    <w:p>
      <w:pPr>
        <w:pStyle w:val="BookText"/>
      </w:pPr>
      <w:r>
        <w:rPr>
          <w:rFonts w:ascii="IRNazanin" w:hAnsi="IRNazanin" w:eastAsia="IRNazanin" w:cs="IRNazanin"/>
          <w:lang w:bidi="fa-IR"/>
          <w:color w:val="111111"/>
          <w:sz w:val="28"/>
          <w:szCs w:val="28"/>
          <w:rtl/>
        </w:rPr>
        <w:t xml:space="preserve">1224ه-</w:t>
      </w:r>
    </w:p>
    <w:p>
      <w:pPr>
        <w:pStyle w:val="BookText"/>
      </w:pPr>
      <w:r>
        <w:rPr>
          <w:rFonts w:ascii="Amiri" w:hAnsi="Amiri" w:eastAsia="Amiri" w:cs="Amiri"/>
          <w:lang w:bidi="ar-SA"/>
          <w:color w:val="111111"/>
          <w:sz w:val="28"/>
          <w:szCs w:val="28"/>
          <w:rtl/>
        </w:rPr>
        <w:t xml:space="preserve">توفيق الاله بشرح فن الاشباه جه،</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Amiri" w:hAnsi="Amiri" w:eastAsia="Amiri" w:cs="Amiri"/>
          <w:lang w:bidi="ar-SA"/>
          <w:color w:val="111111"/>
          <w:sz w:val="28"/>
          <w:szCs w:val="28"/>
          <w:rtl/>
        </w:rPr>
        <w:t xml:space="preserve">سنبل سنان ، يوسف بن حسام الدين - سنان المحشي ، يوسف بن حسام الدين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3" w:name="pg7742_70561"/>
    <w:bookmarkEnd w:id="583"/>
    <w:p>
      <w:pPr>
        <w:pStyle w:val="BookText"/>
      </w:pPr>
      <w:r>
        <w:rPr>
          <w:rFonts w:ascii="Amiri" w:hAnsi="Amiri" w:eastAsia="Amiri" w:cs="Amiri"/>
          <w:lang w:bidi="ar-SA"/>
          <w:color w:val="111111"/>
          <w:sz w:val="28"/>
          <w:szCs w:val="28"/>
          <w:rtl/>
        </w:rPr>
        <w:t xml:space="preserve">سنبل محلاتي ، محمّد سعيد بن محمّد- سنبل مجلائي ، محمّد بن سعيد</w:t>
      </w:r>
    </w:p>
    <w:p>
      <w:pPr>
        <w:pStyle w:val="Heading2"/>
      </w:pPr>
      <w:bookmarkStart w:id="4932" w:name="_Toc4034"/>
      <w:r>
        <w:t>سنبل محلاتي ، محمّد سعید بن محمّد،</w:t>
      </w:r>
      <w:bookmarkEnd w:id="4932"/>
    </w:p>
    <w:p>
      <w:pPr>
        <w:pStyle w:val="BookText"/>
      </w:pPr>
      <w:r>
        <w:rPr>
          <w:rFonts w:ascii="IRNazanin" w:hAnsi="IRNazanin" w:eastAsia="IRNazanin" w:cs="IRNazanin"/>
          <w:lang w:bidi="fa-IR"/>
          <w:color w:val="111111"/>
          <w:sz w:val="28"/>
          <w:szCs w:val="28"/>
          <w:rtl/>
        </w:rPr>
        <w:t xml:space="preserve">1175ه-</w:t>
      </w:r>
    </w:p>
    <w:p>
      <w:pPr>
        <w:pStyle w:val="BookText"/>
      </w:pPr>
      <w:r>
        <w:rPr>
          <w:rFonts w:ascii="Amiri" w:hAnsi="Amiri" w:eastAsia="Amiri" w:cs="Amiri"/>
          <w:lang w:bidi="ar-SA"/>
          <w:color w:val="111111"/>
          <w:sz w:val="28"/>
          <w:szCs w:val="28"/>
          <w:rtl/>
        </w:rPr>
        <w:t xml:space="preserve">1 .اجازات للسيد الحاج علي علاء</w:t>
      </w:r>
    </w:p>
    <w:p>
      <w:pPr>
        <w:pStyle w:val="BookText"/>
      </w:pPr>
      <w:r>
        <w:rPr>
          <w:rFonts w:ascii="Amiri" w:hAnsi="Amiri" w:eastAsia="Amiri" w:cs="Amiri"/>
          <w:lang w:bidi="ar-SA"/>
          <w:color w:val="111111"/>
          <w:sz w:val="28"/>
          <w:szCs w:val="28"/>
          <w:rtl/>
        </w:rPr>
        <w:t xml:space="preserve">الدين الآلوسي، ج 1، ص 206.</w:t>
      </w:r>
    </w:p>
    <w:p>
      <w:pPr>
        <w:pStyle w:val="BookText"/>
      </w:pPr>
      <w:r>
        <w:rPr>
          <w:rFonts w:ascii="Amiri" w:hAnsi="Amiri" w:eastAsia="Amiri" w:cs="Amiri"/>
          <w:lang w:bidi="ar-SA"/>
          <w:color w:val="111111"/>
          <w:sz w:val="28"/>
          <w:szCs w:val="28"/>
          <w:rtl/>
        </w:rPr>
        <w:t xml:space="preserve">2 .اوائل كتب الحديث، ج 3، ص 58.</w:t>
      </w:r>
    </w:p>
    <w:p>
      <w:pPr>
        <w:pStyle w:val="BookText"/>
      </w:pPr>
      <w:r>
        <w:rPr>
          <w:rFonts w:ascii="Amiri" w:hAnsi="Amiri" w:eastAsia="Amiri" w:cs="Amiri"/>
          <w:lang w:bidi="ar-SA"/>
          <w:color w:val="111111"/>
          <w:sz w:val="28"/>
          <w:szCs w:val="28"/>
          <w:rtl/>
        </w:rPr>
        <w:t xml:space="preserve">سنبهلي ، تاج الدين -عثماني ، تاج الدين</w:t>
      </w:r>
    </w:p>
    <w:p>
      <w:pPr>
        <w:pStyle w:val="BookText"/>
      </w:pPr>
      <w:r>
        <w:rPr>
          <w:rFonts w:ascii="Amiri" w:hAnsi="Amiri" w:eastAsia="Amiri" w:cs="Amiri"/>
          <w:lang w:bidi="ar-SA"/>
          <w:color w:val="111111"/>
          <w:sz w:val="28"/>
          <w:szCs w:val="28"/>
          <w:rtl/>
        </w:rPr>
        <w:t xml:space="preserve">بن زكريا</w:t>
      </w:r>
    </w:p>
    <w:p>
      <w:pPr>
        <w:pStyle w:val="Heading2"/>
      </w:pPr>
      <w:bookmarkStart w:id="4933" w:name="_Toc4035"/>
      <w:r>
        <w:t>سنجاري ، اسعد بن يحيى 533 - 622 ه</w:t>
      </w:r>
      <w:bookmarkEnd w:id="4933"/>
    </w:p>
    <w:p>
      <w:pPr>
        <w:pStyle w:val="BookText"/>
      </w:pPr>
      <w:r>
        <w:rPr>
          <w:rFonts w:ascii="Amiri" w:hAnsi="Amiri" w:eastAsia="Amiri" w:cs="Amiri"/>
          <w:lang w:bidi="ar-SA"/>
          <w:color w:val="111111"/>
          <w:sz w:val="28"/>
          <w:szCs w:val="28"/>
          <w:rtl/>
        </w:rPr>
        <w:t xml:space="preserve">لغز في الشعر، ج13، ص 599.</w:t>
      </w:r>
    </w:p>
    <w:p>
      <w:pPr>
        <w:pStyle w:val="Heading2"/>
      </w:pPr>
      <w:bookmarkStart w:id="4934" w:name="_Toc4036"/>
      <w:r>
        <w:t>سنجاري، علي بن تاج الدين قرن 12 ه-</w:t>
      </w:r>
      <w:bookmarkEnd w:id="4934"/>
    </w:p>
    <w:p>
      <w:pPr>
        <w:pStyle w:val="BookText"/>
      </w:pPr>
      <w:r>
        <w:rPr>
          <w:rFonts w:ascii="Amiri" w:hAnsi="Amiri" w:eastAsia="Amiri" w:cs="Amiri"/>
          <w:lang w:bidi="ar-SA"/>
          <w:color w:val="111111"/>
          <w:sz w:val="28"/>
          <w:szCs w:val="28"/>
          <w:rtl/>
        </w:rPr>
        <w:t xml:space="preserve">منائح الكرم في أخبار البيت و الحرم</w:t>
      </w:r>
    </w:p>
    <w:p>
      <w:pPr>
        <w:pStyle w:val="BookText"/>
      </w:pPr>
      <w:r>
        <w:rPr>
          <w:rFonts w:ascii="IRNazanin" w:hAnsi="IRNazanin" w:eastAsia="IRNazanin" w:cs="IRNazanin"/>
          <w:lang w:bidi="fa-IR"/>
          <w:color w:val="111111"/>
          <w:sz w:val="28"/>
          <w:szCs w:val="28"/>
          <w:rtl/>
        </w:rPr>
        <w:t xml:space="preserve">ج 15 ، ص 471.</w:t>
      </w:r>
    </w:p>
    <w:p>
      <w:pPr>
        <w:pStyle w:val="BookText"/>
      </w:pPr>
      <w:r>
        <w:rPr>
          <w:rFonts w:ascii="Amiri" w:hAnsi="Amiri" w:eastAsia="Amiri" w:cs="Amiri"/>
          <w:lang w:bidi="ar-SA"/>
          <w:color w:val="111111"/>
          <w:sz w:val="28"/>
          <w:szCs w:val="28"/>
          <w:rtl/>
        </w:rPr>
        <w:t xml:space="preserve">سنجاري ، محمّد بن ابراهيم- انصاري</w:t>
      </w:r>
    </w:p>
    <w:p>
      <w:pPr>
        <w:pStyle w:val="BookText"/>
      </w:pPr>
      <w:r>
        <w:rPr>
          <w:rFonts w:ascii="Amiri" w:hAnsi="Amiri" w:eastAsia="Amiri" w:cs="Amiri"/>
          <w:lang w:bidi="ar-SA"/>
          <w:color w:val="111111"/>
          <w:sz w:val="28"/>
          <w:szCs w:val="28"/>
          <w:rtl/>
        </w:rPr>
        <w:t xml:space="preserve">محمّد بن ابراهيم</w:t>
      </w:r>
    </w:p>
    <w:p>
      <w:pPr>
        <w:pStyle w:val="BookText"/>
      </w:pPr>
      <w:r>
        <w:rPr>
          <w:rFonts w:ascii="Amiri" w:hAnsi="Amiri" w:eastAsia="Amiri" w:cs="Amiri"/>
          <w:lang w:bidi="ar-SA"/>
          <w:color w:val="111111"/>
          <w:sz w:val="28"/>
          <w:szCs w:val="28"/>
          <w:rtl/>
        </w:rPr>
        <w:t xml:space="preserve">سنجاري ، محمّد بن محمّد -كاكي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سنجري طبيب، مسعود بن</w:t>
      </w:r>
    </w:p>
    <w:p>
      <w:pPr>
        <w:pStyle w:val="BookText"/>
      </w:pPr>
      <w:r>
        <w:rPr>
          <w:rFonts w:ascii="Amiri" w:hAnsi="Amiri" w:eastAsia="Amiri" w:cs="Amiri"/>
          <w:lang w:bidi="ar-SA"/>
          <w:color w:val="111111"/>
          <w:sz w:val="28"/>
          <w:szCs w:val="28"/>
          <w:rtl/>
        </w:rPr>
        <w:t xml:space="preserve">محمّد- سنجري ، مسعود بن محمّد</w:t>
      </w:r>
    </w:p>
    <w:p>
      <w:pPr>
        <w:pStyle w:val="BookText"/>
      </w:pPr>
      <w:r>
        <w:rPr>
          <w:rFonts w:ascii="Amiri" w:hAnsi="Amiri" w:eastAsia="Amiri" w:cs="Amiri"/>
          <w:lang w:bidi="ar-SA"/>
          <w:color w:val="111111"/>
          <w:sz w:val="28"/>
          <w:szCs w:val="28"/>
          <w:rtl/>
        </w:rPr>
        <w:t xml:space="preserve">سنجري ، محمود بن عمر -سجزي</w:t>
      </w:r>
    </w:p>
    <w:p>
      <w:pPr>
        <w:pStyle w:val="BookText"/>
      </w:pPr>
      <w:r>
        <w:rPr>
          <w:rFonts w:ascii="IRNazanin" w:hAnsi="IRNazanin" w:eastAsia="IRNazanin" w:cs="IRNazanin"/>
          <w:lang w:bidi="fa-IR"/>
          <w:color w:val="111111"/>
          <w:sz w:val="28"/>
          <w:szCs w:val="28"/>
          <w:rtl/>
        </w:rPr>
        <w:t xml:space="preserve">محمود بن عمر</w:t>
      </w:r>
    </w:p>
    <w:p>
      <w:pPr>
        <w:pStyle w:val="Heading2"/>
      </w:pPr>
      <w:bookmarkStart w:id="4935" w:name="_Toc4037"/>
      <w:r>
        <w:t>سنجري ، مسعود بن محمّد قرن 8 ه-</w:t>
      </w:r>
      <w:bookmarkEnd w:id="4935"/>
    </w:p>
    <w:p>
      <w:pPr>
        <w:pStyle w:val="BookText"/>
      </w:pPr>
      <w:r>
        <w:rPr>
          <w:rFonts w:ascii="Amiri" w:hAnsi="Amiri" w:eastAsia="Amiri" w:cs="Amiri"/>
          <w:lang w:bidi="ar-SA"/>
          <w:color w:val="111111"/>
          <w:sz w:val="28"/>
          <w:szCs w:val="28"/>
          <w:rtl/>
        </w:rPr>
        <w:t xml:space="preserve">حقايق اسرار الطب = الحدود، ج6،</w:t>
      </w:r>
    </w:p>
    <w:p>
      <w:pPr>
        <w:pStyle w:val="BookText"/>
      </w:pPr>
      <w:r>
        <w:rPr>
          <w:rFonts w:ascii="IRNazanin" w:hAnsi="IRNazanin" w:eastAsia="IRNazanin" w:cs="IRNazanin"/>
          <w:lang w:bidi="fa-IR"/>
          <w:color w:val="111111"/>
          <w:sz w:val="28"/>
          <w:szCs w:val="28"/>
          <w:rtl/>
        </w:rPr>
        <w:t xml:space="preserve">ص 683 .</w:t>
      </w:r>
    </w:p>
    <w:p>
      <w:pPr>
        <w:pStyle w:val="BookText"/>
      </w:pPr>
      <w:r>
        <w:rPr>
          <w:rFonts w:ascii="Amiri" w:hAnsi="Amiri" w:eastAsia="Amiri" w:cs="Amiri"/>
          <w:lang w:bidi="ar-SA"/>
          <w:color w:val="111111"/>
          <w:sz w:val="28"/>
          <w:szCs w:val="28"/>
          <w:rtl/>
        </w:rPr>
        <w:t xml:space="preserve">سنجوئي ، محمّد بن حسن- ابن الحاج ،</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سند الاولياء -بلياني ، عبدالله بن مسعود</w:t>
      </w:r>
    </w:p>
    <w:p>
      <w:pPr>
        <w:pStyle w:val="Heading2"/>
      </w:pPr>
      <w:bookmarkStart w:id="4936" w:name="_Toc4038"/>
      <w:r>
        <w:t>سندروسي ، محمّد بن محمّد - 1177 ه-</w:t>
      </w:r>
      <w:bookmarkEnd w:id="4936"/>
    </w:p>
    <w:p>
      <w:pPr>
        <w:pStyle w:val="BookText"/>
      </w:pPr>
      <w:r>
        <w:rPr>
          <w:rFonts w:ascii="Amiri" w:hAnsi="Amiri" w:eastAsia="Amiri" w:cs="Amiri"/>
          <w:lang w:bidi="ar-SA"/>
          <w:color w:val="111111"/>
          <w:sz w:val="28"/>
          <w:szCs w:val="28"/>
          <w:rtl/>
        </w:rPr>
        <w:t xml:space="preserve">الشموس المضيئة، ج 10، ص 424.</w:t>
      </w:r>
    </w:p>
    <w:p>
      <w:pPr>
        <w:pStyle w:val="BookText"/>
      </w:pPr>
      <w:r>
        <w:rPr>
          <w:rFonts w:ascii="Amiri" w:hAnsi="Amiri" w:eastAsia="Amiri" w:cs="Amiri"/>
          <w:lang w:bidi="ar-SA"/>
          <w:color w:val="111111"/>
          <w:sz w:val="28"/>
          <w:szCs w:val="28"/>
          <w:rtl/>
        </w:rPr>
        <w:t xml:space="preserve">سندلوي ، حمد الله بن فضل الله- سنديلوي</w:t>
      </w:r>
    </w:p>
    <w:p>
      <w:pPr>
        <w:pStyle w:val="BookText"/>
      </w:pPr>
      <w:r>
        <w:rPr>
          <w:rFonts w:ascii="IRNazanin" w:hAnsi="IRNazanin" w:eastAsia="IRNazanin" w:cs="IRNazanin"/>
          <w:lang w:bidi="fa-IR"/>
          <w:color w:val="111111"/>
          <w:sz w:val="28"/>
          <w:szCs w:val="28"/>
          <w:rtl/>
        </w:rPr>
        <w:t xml:space="preserve">، حمد الله بن فضل الله</w:t>
      </w:r>
    </w:p>
    <w:p>
      <w:pPr>
        <w:pStyle w:val="BookText"/>
      </w:pPr>
      <w:r>
        <w:rPr>
          <w:rFonts w:ascii="Amiri" w:hAnsi="Amiri" w:eastAsia="Amiri" w:cs="Amiri"/>
          <w:lang w:bidi="ar-SA"/>
          <w:color w:val="111111"/>
          <w:sz w:val="28"/>
          <w:szCs w:val="28"/>
          <w:rtl/>
        </w:rPr>
        <w:t xml:space="preserve">سندهي ، ابوالحسن- سندي مدني ،</w:t>
      </w:r>
    </w:p>
    <w:p>
      <w:pPr>
        <w:pStyle w:val="BookText"/>
      </w:pPr>
      <w:r>
        <w:rPr>
          <w:rFonts w:ascii="IRNazanin" w:hAnsi="IRNazanin" w:eastAsia="IRNazanin" w:cs="IRNazanin"/>
          <w:lang w:bidi="fa-IR"/>
          <w:color w:val="111111"/>
          <w:sz w:val="28"/>
          <w:szCs w:val="28"/>
          <w:rtl/>
        </w:rPr>
        <w:t xml:space="preserve">ابوالحسن بن محمّد صادق</w:t>
      </w:r>
    </w:p>
    <w:p>
      <w:pPr>
        <w:pStyle w:val="BookText"/>
      </w:pPr>
      <w:r>
        <w:rPr>
          <w:rFonts w:ascii="Amiri" w:hAnsi="Amiri" w:eastAsia="Amiri" w:cs="Amiri"/>
          <w:lang w:bidi="ar-SA"/>
          <w:color w:val="111111"/>
          <w:sz w:val="28"/>
          <w:szCs w:val="28"/>
          <w:rtl/>
        </w:rPr>
        <w:t xml:space="preserve">سندوبي، احمد بن احمد بن</w:t>
      </w:r>
    </w:p>
    <w:p>
      <w:pPr>
        <w:pStyle w:val="BookText"/>
      </w:pPr>
      <w:r>
        <w:rPr>
          <w:rFonts w:ascii="Amiri" w:hAnsi="Amiri" w:eastAsia="Amiri" w:cs="Amiri"/>
          <w:lang w:bidi="ar-SA"/>
          <w:color w:val="111111"/>
          <w:sz w:val="28"/>
          <w:szCs w:val="28"/>
          <w:rtl/>
        </w:rPr>
        <w:t xml:space="preserve">علي- سندوبي ، احمد بن علي</w:t>
      </w:r>
    </w:p>
    <w:p>
      <w:pPr>
        <w:pStyle w:val="Heading2"/>
      </w:pPr>
      <w:bookmarkStart w:id="4937" w:name="_Toc4039"/>
      <w:r>
        <w:t>سندوبي، احمد بن علي، 1029 - 1097 ه-</w:t>
      </w:r>
      <w:bookmarkEnd w:id="4937"/>
    </w:p>
    <w:p>
      <w:pPr>
        <w:pStyle w:val="BookText"/>
      </w:pPr>
      <w:r>
        <w:rPr>
          <w:rFonts w:ascii="Amiri" w:hAnsi="Amiri" w:eastAsia="Amiri" w:cs="Amiri"/>
          <w:lang w:bidi="ar-SA"/>
          <w:color w:val="111111"/>
          <w:sz w:val="28"/>
          <w:szCs w:val="28"/>
          <w:rtl/>
        </w:rPr>
        <w:t xml:space="preserve">1 .فتح رب البرية بشرح القصيدة</w:t>
      </w:r>
    </w:p>
    <w:p>
      <w:pPr>
        <w:pStyle w:val="BookText"/>
      </w:pPr>
      <w:r>
        <w:rPr>
          <w:rFonts w:ascii="Amiri" w:hAnsi="Amiri" w:eastAsia="Amiri" w:cs="Amiri"/>
          <w:lang w:bidi="ar-SA"/>
          <w:color w:val="111111"/>
          <w:sz w:val="28"/>
          <w:szCs w:val="28"/>
          <w:rtl/>
        </w:rPr>
        <w:t xml:space="preserve">المقرية، ج 11، ص 650.</w:t>
      </w:r>
    </w:p>
    <w:p>
      <w:pPr>
        <w:pStyle w:val="BookText"/>
      </w:pPr>
      <w:r>
        <w:rPr>
          <w:rFonts w:ascii="Amiri" w:hAnsi="Amiri" w:eastAsia="Amiri" w:cs="Amiri"/>
          <w:lang w:bidi="ar-SA"/>
          <w:color w:val="111111"/>
          <w:sz w:val="28"/>
          <w:szCs w:val="28"/>
          <w:rtl/>
        </w:rPr>
        <w:t xml:space="preserve">2 .المنح الوفية شرح الخلاصة الألفية</w:t>
      </w:r>
    </w:p>
    <w:p>
      <w:pPr>
        <w:pStyle w:val="BookText"/>
      </w:pPr>
      <w:r>
        <w:rPr>
          <w:rFonts w:ascii="IRNazanin" w:hAnsi="IRNazanin" w:eastAsia="IRNazanin" w:cs="IRNazanin"/>
          <w:lang w:bidi="fa-IR"/>
          <w:color w:val="111111"/>
          <w:sz w:val="28"/>
          <w:szCs w:val="28"/>
          <w:rtl/>
        </w:rPr>
        <w:t xml:space="preserve">ج 15، ص 682.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المنهج الوفية بشرح الخلاصة الالفية، ج 15، ص 811</w:t>
      </w:r>
    </w:p>
    <w:p>
      <w:pPr>
        <w:pStyle w:val="BookText"/>
      </w:pPr>
      <w:r>
        <w:rPr>
          <w:rFonts w:ascii="Amiri" w:hAnsi="Amiri" w:eastAsia="Amiri" w:cs="Amiri"/>
          <w:lang w:bidi="ar-SA"/>
          <w:color w:val="111111"/>
          <w:sz w:val="28"/>
          <w:szCs w:val="28"/>
          <w:rtl/>
        </w:rPr>
        <w:t xml:space="preserve">سندي ، ابوالحسن بن محمّد صادق -سندي مدني ، ابوالحسن بن محمّد</w:t>
      </w:r>
    </w:p>
    <w:p>
      <w:pPr>
        <w:pStyle w:val="BookText"/>
      </w:pPr>
      <w:r>
        <w:rPr>
          <w:rFonts w:ascii="IRNazanin" w:hAnsi="IRNazanin" w:eastAsia="IRNazanin" w:cs="IRNazanin"/>
          <w:lang w:bidi="fa-IR"/>
          <w:color w:val="111111"/>
          <w:sz w:val="28"/>
          <w:szCs w:val="28"/>
          <w:rtl/>
        </w:rPr>
        <w:t xml:space="preserve">صادق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4" w:name="pg7742_70562"/>
    <w:bookmarkEnd w:id="584"/>
    <w:p>
      <w:pPr>
        <w:pStyle w:val="BookText"/>
      </w:pPr>
      <w:r>
        <w:rPr>
          <w:rFonts w:ascii="Amiri" w:hAnsi="Amiri" w:eastAsia="Amiri" w:cs="Amiri"/>
          <w:lang w:bidi="ar-SA"/>
          <w:color w:val="111111"/>
          <w:sz w:val="28"/>
          <w:szCs w:val="28"/>
          <w:rtl/>
        </w:rPr>
        <w:t xml:space="preserve">سندي تتوي ، احمد بن نصر الله- تتوي</w:t>
      </w:r>
    </w:p>
    <w:p>
      <w:pPr>
        <w:pStyle w:val="BookText"/>
      </w:pPr>
      <w:r>
        <w:rPr>
          <w:rFonts w:ascii="IRNazanin" w:hAnsi="IRNazanin" w:eastAsia="IRNazanin" w:cs="IRNazanin"/>
          <w:lang w:bidi="fa-IR"/>
          <w:color w:val="111111"/>
          <w:sz w:val="28"/>
          <w:szCs w:val="28"/>
          <w:rtl/>
        </w:rPr>
        <w:t xml:space="preserve">احمد بن نصر الله</w:t>
      </w:r>
    </w:p>
    <w:p>
      <w:pPr>
        <w:pStyle w:val="Heading2"/>
      </w:pPr>
      <w:bookmarkStart w:id="4938" w:name="_Toc4040"/>
      <w:r>
        <w:t>سندي ، خلاد قرن 2 ه-</w:t>
      </w:r>
      <w:bookmarkEnd w:id="4938"/>
    </w:p>
    <w:p>
      <w:pPr>
        <w:pStyle w:val="BookText"/>
      </w:pPr>
      <w:r>
        <w:rPr>
          <w:rFonts w:ascii="Amiri" w:hAnsi="Amiri" w:eastAsia="Amiri" w:cs="Amiri"/>
          <w:lang w:bidi="ar-SA"/>
          <w:color w:val="111111"/>
          <w:sz w:val="28"/>
          <w:szCs w:val="28"/>
          <w:rtl/>
        </w:rPr>
        <w:t xml:space="preserve">اصل خلاد السندي = كتاب الخلاد السندي، ج 2، ص 384.</w:t>
      </w:r>
    </w:p>
    <w:p>
      <w:pPr>
        <w:pStyle w:val="Heading2"/>
      </w:pPr>
      <w:bookmarkStart w:id="4939" w:name="_Toc4041"/>
      <w:r>
        <w:t>سندي ، رحمة الله بن عبدالله - 990 ه-</w:t>
      </w:r>
      <w:bookmarkEnd w:id="4939"/>
    </w:p>
    <w:p>
      <w:pPr>
        <w:pStyle w:val="BookText"/>
      </w:pPr>
      <w:r>
        <w:rPr>
          <w:rFonts w:ascii="Amiri" w:hAnsi="Amiri" w:eastAsia="Amiri" w:cs="Amiri"/>
          <w:lang w:bidi="ar-SA"/>
          <w:color w:val="111111"/>
          <w:sz w:val="28"/>
          <w:szCs w:val="28"/>
          <w:rtl/>
        </w:rPr>
        <w:t xml:space="preserve">1 .حكم الاشارة بالمسبحة في الصلاة حال التشهد( رسالة في)، ج 6،</w:t>
      </w:r>
    </w:p>
    <w:p>
      <w:pPr>
        <w:pStyle w:val="BookText"/>
      </w:pPr>
      <w:r>
        <w:rPr>
          <w:rFonts w:ascii="IRNazanin" w:hAnsi="IRNazanin" w:eastAsia="IRNazanin" w:cs="IRNazanin"/>
          <w:lang w:bidi="fa-IR"/>
          <w:color w:val="111111"/>
          <w:sz w:val="28"/>
          <w:szCs w:val="28"/>
          <w:rtl/>
        </w:rPr>
        <w:t xml:space="preserve">ص 734 .</w:t>
      </w:r>
    </w:p>
    <w:p>
      <w:pPr>
        <w:pStyle w:val="BookText"/>
      </w:pPr>
      <w:r>
        <w:rPr>
          <w:rFonts w:ascii="Amiri" w:hAnsi="Amiri" w:eastAsia="Amiri" w:cs="Amiri"/>
          <w:lang w:bidi="ar-SA"/>
          <w:color w:val="111111"/>
          <w:sz w:val="28"/>
          <w:szCs w:val="28"/>
          <w:rtl/>
        </w:rPr>
        <w:t xml:space="preserve">2 .لباب المناسك و عباب المسالك</w:t>
      </w:r>
    </w:p>
    <w:p>
      <w:pPr>
        <w:pStyle w:val="BookText"/>
      </w:pPr>
      <w:r>
        <w:rPr>
          <w:rFonts w:ascii="IRNazanin" w:hAnsi="IRNazanin" w:eastAsia="IRNazanin" w:cs="IRNazanin"/>
          <w:lang w:bidi="fa-IR"/>
          <w:color w:val="111111"/>
          <w:sz w:val="28"/>
          <w:szCs w:val="28"/>
          <w:rtl/>
        </w:rPr>
        <w:t xml:space="preserve">ج 13، ص 551 .</w:t>
      </w:r>
    </w:p>
    <w:p>
      <w:pPr>
        <w:pStyle w:val="Heading2"/>
      </w:pPr>
      <w:bookmarkStart w:id="4940" w:name="_Toc4042"/>
      <w:r>
        <w:t>سنديلوي ، حمد الله بن فضل الله</w:t>
      </w:r>
      <w:bookmarkEnd w:id="4940"/>
    </w:p>
    <w:p>
      <w:pPr>
        <w:pStyle w:val="BookText"/>
      </w:pPr>
      <w:r>
        <w:rPr>
          <w:rFonts w:ascii="IRNazanin" w:hAnsi="IRNazanin" w:eastAsia="IRNazanin" w:cs="IRNazanin"/>
          <w:lang w:bidi="fa-IR"/>
          <w:color w:val="111111"/>
          <w:sz w:val="28"/>
          <w:szCs w:val="28"/>
          <w:rtl/>
        </w:rPr>
        <w:t xml:space="preserve">شرح سلم العلوم = حمد الله، ج 9،</w:t>
      </w:r>
    </w:p>
    <w:p>
      <w:pPr>
        <w:pStyle w:val="BookText"/>
      </w:pPr>
      <w:r>
        <w:rPr>
          <w:rFonts w:ascii="IRNazanin" w:hAnsi="IRNazanin" w:eastAsia="IRNazanin" w:cs="IRNazanin"/>
          <w:lang w:bidi="fa-IR"/>
          <w:color w:val="111111"/>
          <w:sz w:val="28"/>
          <w:szCs w:val="28"/>
          <w:rtl/>
        </w:rPr>
        <w:t xml:space="preserve">ص 587.</w:t>
      </w:r>
    </w:p>
    <w:p>
      <w:pPr>
        <w:pStyle w:val="BookText"/>
      </w:pPr>
      <w:r>
        <w:rPr>
          <w:rFonts w:ascii="Amiri" w:hAnsi="Amiri" w:eastAsia="Amiri" w:cs="Amiri"/>
          <w:lang w:bidi="ar-SA"/>
          <w:color w:val="111111"/>
          <w:sz w:val="28"/>
          <w:szCs w:val="28"/>
          <w:rtl/>
        </w:rPr>
        <w:t xml:space="preserve">سندي ، محمّد بن صادق -سندي مدني ،</w:t>
      </w:r>
    </w:p>
    <w:p>
      <w:pPr>
        <w:pStyle w:val="BookText"/>
      </w:pPr>
      <w:r>
        <w:rPr>
          <w:rFonts w:ascii="IRNazanin" w:hAnsi="IRNazanin" w:eastAsia="IRNazanin" w:cs="IRNazanin"/>
          <w:lang w:bidi="fa-IR"/>
          <w:color w:val="111111"/>
          <w:sz w:val="28"/>
          <w:szCs w:val="28"/>
          <w:rtl/>
        </w:rPr>
        <w:t xml:space="preserve">ابوالحسن بن محمّد صادق</w:t>
      </w:r>
    </w:p>
    <w:p>
      <w:pPr>
        <w:pStyle w:val="Heading2"/>
      </w:pPr>
      <w:bookmarkStart w:id="4941" w:name="_Toc4043"/>
      <w:r>
        <w:t>سندي ، محمّد بن هاشم قرن 12 ه-</w:t>
      </w:r>
      <w:bookmarkEnd w:id="4941"/>
    </w:p>
    <w:p>
      <w:pPr>
        <w:pStyle w:val="BookText"/>
      </w:pPr>
      <w:r>
        <w:rPr>
          <w:rFonts w:ascii="Amiri" w:hAnsi="Amiri" w:eastAsia="Amiri" w:cs="Amiri"/>
          <w:lang w:bidi="ar-SA"/>
          <w:color w:val="111111"/>
          <w:sz w:val="28"/>
          <w:szCs w:val="28"/>
          <w:rtl/>
        </w:rPr>
        <w:t xml:space="preserve">الرحيق المختوم في وصف اسانيد العلوم = غاية النيل في اختصار</w:t>
      </w:r>
    </w:p>
    <w:p>
      <w:pPr>
        <w:pStyle w:val="BookText"/>
      </w:pPr>
      <w:r>
        <w:rPr>
          <w:rFonts w:ascii="Amiri" w:hAnsi="Amiri" w:eastAsia="Amiri" w:cs="Amiri"/>
          <w:lang w:bidi="ar-SA"/>
          <w:color w:val="111111"/>
          <w:sz w:val="28"/>
          <w:szCs w:val="28"/>
          <w:rtl/>
        </w:rPr>
        <w:t xml:space="preserve">الاتحاف و الذيل، ج8، ص81</w:t>
      </w:r>
    </w:p>
    <w:p>
      <w:pPr>
        <w:pStyle w:val="BookText"/>
      </w:pPr>
      <w:r>
        <w:rPr>
          <w:rFonts w:ascii="Amiri" w:hAnsi="Amiri" w:eastAsia="Amiri" w:cs="Amiri"/>
          <w:lang w:bidi="ar-SA"/>
          <w:color w:val="111111"/>
          <w:sz w:val="28"/>
          <w:szCs w:val="28"/>
          <w:rtl/>
        </w:rPr>
        <w:t xml:space="preserve">سندي ، محمّد حيات -سندي مدني</w:t>
      </w:r>
    </w:p>
    <w:p>
      <w:pPr>
        <w:pStyle w:val="BookText"/>
      </w:pPr>
      <w:r>
        <w:rPr>
          <w:rFonts w:ascii="IRNazanin" w:hAnsi="IRNazanin" w:eastAsia="IRNazanin" w:cs="IRNazanin"/>
          <w:lang w:bidi="fa-IR"/>
          <w:color w:val="111111"/>
          <w:sz w:val="28"/>
          <w:szCs w:val="28"/>
          <w:rtl/>
        </w:rPr>
        <w:t xml:space="preserve">محمّد حیات بن ابراهيم</w:t>
      </w:r>
    </w:p>
    <w:p>
      <w:pPr>
        <w:pStyle w:val="BookText"/>
      </w:pPr>
      <w:r>
        <w:rPr>
          <w:rFonts w:ascii="Amiri" w:hAnsi="Amiri" w:eastAsia="Amiri" w:cs="Amiri"/>
          <w:lang w:bidi="ar-SA"/>
          <w:color w:val="111111"/>
          <w:sz w:val="28"/>
          <w:szCs w:val="28"/>
          <w:rtl/>
        </w:rPr>
        <w:t xml:space="preserve">سندي ، محمود بن الحسين- كشاجم ،</w:t>
      </w:r>
    </w:p>
    <w:p>
      <w:pPr>
        <w:pStyle w:val="BookText"/>
      </w:pPr>
      <w:r>
        <w:rPr>
          <w:rFonts w:ascii="Amiri" w:hAnsi="Amiri" w:eastAsia="Amiri" w:cs="Amiri"/>
          <w:lang w:bidi="ar-SA"/>
          <w:color w:val="111111"/>
          <w:sz w:val="28"/>
          <w:szCs w:val="28"/>
          <w:rtl/>
        </w:rPr>
        <w:t xml:space="preserve">محمود بن حسين</w:t>
      </w:r>
    </w:p>
    <w:p>
      <w:pPr>
        <w:pStyle w:val="Heading2"/>
      </w:pPr>
      <w:bookmarkStart w:id="4942" w:name="_Toc4044"/>
      <w:r>
        <w:t>سندي مدني، ابوالحسن بن محمّد صادق</w:t>
      </w:r>
      <w:bookmarkEnd w:id="4942"/>
    </w:p>
    <w:p>
      <w:pPr>
        <w:pStyle w:val="BookText"/>
      </w:pPr>
      <w:r>
        <w:rPr>
          <w:rFonts w:ascii="IRNazanin" w:hAnsi="IRNazanin" w:eastAsia="IRNazanin" w:cs="IRNazanin"/>
          <w:lang w:bidi="fa-IR"/>
          <w:color w:val="111111"/>
          <w:sz w:val="28"/>
          <w:szCs w:val="28"/>
          <w:rtl/>
        </w:rPr>
        <w:t xml:space="preserve">1116؟ - 1181 ه-</w:t>
      </w:r>
    </w:p>
    <w:p>
      <w:pPr>
        <w:pStyle w:val="BookText"/>
      </w:pPr>
      <w:r>
        <w:rPr>
          <w:rFonts w:ascii="Amiri" w:hAnsi="Amiri" w:eastAsia="Amiri" w:cs="Amiri"/>
          <w:lang w:bidi="ar-SA"/>
          <w:color w:val="111111"/>
          <w:sz w:val="28"/>
          <w:szCs w:val="28"/>
          <w:rtl/>
        </w:rPr>
        <w:t xml:space="preserve">1 .امعان النظر في توضيح نخبة</w:t>
      </w:r>
    </w:p>
    <w:p>
      <w:pPr>
        <w:pStyle w:val="BookText"/>
      </w:pPr>
      <w:r>
        <w:rPr>
          <w:rFonts w:ascii="Amiri" w:hAnsi="Amiri" w:eastAsia="Amiri" w:cs="Amiri"/>
          <w:lang w:bidi="ar-SA"/>
          <w:color w:val="111111"/>
          <w:sz w:val="28"/>
          <w:szCs w:val="28"/>
          <w:rtl/>
        </w:rPr>
        <w:t xml:space="preserve">الفكر، ج 2، ص 766 .</w:t>
      </w:r>
    </w:p>
    <w:p>
      <w:pPr>
        <w:pStyle w:val="BookText"/>
      </w:pPr>
      <w:r>
        <w:rPr>
          <w:rFonts w:ascii="Amiri" w:hAnsi="Amiri" w:eastAsia="Amiri" w:cs="Amiri"/>
          <w:lang w:bidi="ar-SA"/>
          <w:color w:val="111111"/>
          <w:sz w:val="28"/>
          <w:szCs w:val="28"/>
          <w:rtl/>
        </w:rPr>
        <w:t xml:space="preserve">2 .بهجة النظر على شرح نخبة الفكر</w:t>
      </w:r>
    </w:p>
    <w:p>
      <w:pPr>
        <w:pStyle w:val="BookText"/>
      </w:pPr>
      <w:r>
        <w:rPr>
          <w:rFonts w:ascii="IRNazanin" w:hAnsi="IRNazanin" w:eastAsia="IRNazanin" w:cs="IRNazanin"/>
          <w:lang w:bidi="fa-IR"/>
          <w:color w:val="111111"/>
          <w:sz w:val="28"/>
          <w:szCs w:val="28"/>
          <w:rtl/>
        </w:rPr>
        <w:t xml:space="preserve">ج 3، ص 441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مختار الاطوار في اطوار المختار</w:t>
      </w:r>
    </w:p>
    <w:p>
      <w:pPr>
        <w:pStyle w:val="BookText"/>
      </w:pPr>
      <w:r>
        <w:rPr>
          <w:rFonts w:ascii="IRNazanin" w:hAnsi="IRNazanin" w:eastAsia="IRNazanin" w:cs="IRNazanin"/>
          <w:lang w:bidi="fa-IR"/>
          <w:color w:val="111111"/>
          <w:sz w:val="28"/>
          <w:szCs w:val="28"/>
          <w:rtl/>
        </w:rPr>
        <w:t xml:space="preserve">ج 14، ص 149.</w:t>
      </w:r>
    </w:p>
    <w:p>
      <w:pPr>
        <w:pStyle w:val="Heading2"/>
      </w:pPr>
      <w:bookmarkStart w:id="4943" w:name="_Toc4045"/>
      <w:r>
        <w:t>سندي مدني ، محمّد حیات بن ابراهيم</w:t>
      </w:r>
      <w:bookmarkEnd w:id="4943"/>
    </w:p>
    <w:p>
      <w:pPr>
        <w:pStyle w:val="BookText"/>
      </w:pPr>
      <w:r>
        <w:rPr>
          <w:rFonts w:ascii="IRNazanin" w:hAnsi="IRNazanin" w:eastAsia="IRNazanin" w:cs="IRNazanin"/>
          <w:lang w:bidi="fa-IR"/>
          <w:color w:val="111111"/>
          <w:sz w:val="28"/>
          <w:szCs w:val="28"/>
          <w:rtl/>
        </w:rPr>
        <w:t xml:space="preserve">1163ه-</w:t>
      </w:r>
    </w:p>
    <w:p>
      <w:pPr>
        <w:pStyle w:val="BookText"/>
      </w:pPr>
      <w:r>
        <w:rPr>
          <w:rFonts w:ascii="Amiri" w:hAnsi="Amiri" w:eastAsia="Amiri" w:cs="Amiri"/>
          <w:lang w:bidi="ar-SA"/>
          <w:color w:val="111111"/>
          <w:sz w:val="28"/>
          <w:szCs w:val="28"/>
          <w:rtl/>
        </w:rPr>
        <w:t xml:space="preserve">1 .اجوبة و فتاوى فقهية = اجوبة</w:t>
      </w:r>
    </w:p>
    <w:p>
      <w:pPr>
        <w:pStyle w:val="BookText"/>
      </w:pPr>
      <w:r>
        <w:rPr>
          <w:rFonts w:ascii="Amiri" w:hAnsi="Amiri" w:eastAsia="Amiri" w:cs="Amiri"/>
          <w:lang w:bidi="ar-SA"/>
          <w:color w:val="111111"/>
          <w:sz w:val="28"/>
          <w:szCs w:val="28"/>
          <w:rtl/>
        </w:rPr>
        <w:t xml:space="preserve">الشيخ محمّد حيوة السندي بشبهات ابي سعيد محمّد الخادمي</w:t>
      </w:r>
    </w:p>
    <w:p>
      <w:pPr>
        <w:pStyle w:val="BookText"/>
      </w:pPr>
      <w:r>
        <w:rPr>
          <w:rFonts w:ascii="IRNazanin" w:hAnsi="IRNazanin" w:eastAsia="IRNazanin" w:cs="IRNazanin"/>
          <w:lang w:bidi="fa-IR"/>
          <w:color w:val="111111"/>
          <w:sz w:val="28"/>
          <w:szCs w:val="28"/>
          <w:rtl/>
        </w:rPr>
        <w:t xml:space="preserve">ج 1، ص 384 .</w:t>
      </w:r>
    </w:p>
    <w:p>
      <w:pPr>
        <w:pStyle w:val="BookText"/>
      </w:pPr>
      <w:r>
        <w:rPr>
          <w:rFonts w:ascii="Amiri" w:hAnsi="Amiri" w:eastAsia="Amiri" w:cs="Amiri"/>
          <w:lang w:bidi="ar-SA"/>
          <w:color w:val="111111"/>
          <w:sz w:val="28"/>
          <w:szCs w:val="28"/>
          <w:rtl/>
        </w:rPr>
        <w:t xml:space="preserve">2 .تحفة المحبين شرح الاربعين النووية</w:t>
      </w:r>
    </w:p>
    <w:p>
      <w:pPr>
        <w:pStyle w:val="BookText"/>
      </w:pPr>
      <w:r>
        <w:rPr>
          <w:rFonts w:ascii="IRNazanin" w:hAnsi="IRNazanin" w:eastAsia="IRNazanin" w:cs="IRNazanin"/>
          <w:lang w:bidi="fa-IR"/>
          <w:color w:val="111111"/>
          <w:sz w:val="28"/>
          <w:szCs w:val="28"/>
          <w:rtl/>
        </w:rPr>
        <w:t xml:space="preserve">ج4، ص 10.</w:t>
      </w:r>
    </w:p>
    <w:p>
      <w:pPr>
        <w:pStyle w:val="Heading2"/>
      </w:pPr>
      <w:bookmarkStart w:id="4944" w:name="_Toc4046"/>
      <w:r>
        <w:t>سنفي ، شهاب الدین احمد</w:t>
      </w:r>
      <w:bookmarkEnd w:id="4944"/>
    </w:p>
    <w:p>
      <w:pPr>
        <w:pStyle w:val="BookText"/>
      </w:pPr>
      <w:r>
        <w:rPr>
          <w:rFonts w:ascii="Amiri" w:hAnsi="Amiri" w:eastAsia="Amiri" w:cs="Amiri"/>
          <w:lang w:bidi="ar-SA"/>
          <w:color w:val="111111"/>
          <w:sz w:val="28"/>
          <w:szCs w:val="28"/>
          <w:rtl/>
        </w:rPr>
        <w:t xml:space="preserve">الزحاف و العلل (ارجوزة في) = أرجوزة في الزحاف و العلل، ج8،</w:t>
      </w:r>
    </w:p>
    <w:p>
      <w:pPr>
        <w:pStyle w:val="BookText"/>
      </w:pPr>
      <w:r>
        <w:rPr>
          <w:rFonts w:ascii="IRNazanin" w:hAnsi="IRNazanin" w:eastAsia="IRNazanin" w:cs="IRNazanin"/>
          <w:lang w:bidi="fa-IR"/>
          <w:color w:val="111111"/>
          <w:sz w:val="28"/>
          <w:szCs w:val="28"/>
          <w:rtl/>
        </w:rPr>
        <w:t xml:space="preserve">ص 601 .</w:t>
      </w:r>
    </w:p>
    <w:p>
      <w:pPr>
        <w:pStyle w:val="BookText"/>
      </w:pPr>
      <w:r>
        <w:rPr>
          <w:rFonts w:ascii="Amiri" w:hAnsi="Amiri" w:eastAsia="Amiri" w:cs="Amiri"/>
          <w:lang w:bidi="ar-SA"/>
          <w:color w:val="111111"/>
          <w:sz w:val="28"/>
          <w:szCs w:val="28"/>
          <w:rtl/>
        </w:rPr>
        <w:t xml:space="preserve">سنقاري ، محمّد -عقيلي ، محمّد</w:t>
      </w:r>
    </w:p>
    <w:p>
      <w:pPr>
        <w:pStyle w:val="BookText"/>
      </w:pPr>
      <w:r>
        <w:rPr>
          <w:rFonts w:ascii="Amiri" w:hAnsi="Amiri" w:eastAsia="Amiri" w:cs="Amiri"/>
          <w:lang w:bidi="ar-SA"/>
          <w:color w:val="111111"/>
          <w:sz w:val="28"/>
          <w:szCs w:val="28"/>
          <w:rtl/>
        </w:rPr>
        <w:t xml:space="preserve">سنقري ، محمّد علي بن حسن</w:t>
      </w:r>
    </w:p>
    <w:p>
      <w:pPr>
        <w:pStyle w:val="BookText"/>
      </w:pPr>
      <w:r>
        <w:rPr>
          <w:rFonts w:ascii="Amiri" w:hAnsi="Amiri" w:eastAsia="Amiri" w:cs="Amiri"/>
          <w:lang w:bidi="ar-SA"/>
          <w:color w:val="111111"/>
          <w:sz w:val="28"/>
          <w:szCs w:val="28"/>
          <w:rtl/>
        </w:rPr>
        <w:t xml:space="preserve">علي- حائري سنقري، محمد علي بن حسن علي</w:t>
      </w:r>
    </w:p>
    <w:p>
      <w:pPr>
        <w:pStyle w:val="BookText"/>
      </w:pPr>
      <w:r>
        <w:rPr>
          <w:rFonts w:ascii="Amiri" w:hAnsi="Amiri" w:eastAsia="Amiri" w:cs="Amiri"/>
          <w:lang w:bidi="ar-SA"/>
          <w:color w:val="111111"/>
          <w:sz w:val="28"/>
          <w:szCs w:val="28"/>
          <w:rtl/>
        </w:rPr>
        <w:t xml:space="preserve">سنقري همداني ، محمّد علي بن</w:t>
      </w:r>
    </w:p>
    <w:p>
      <w:pPr>
        <w:pStyle w:val="BookText"/>
      </w:pPr>
      <w:r>
        <w:rPr>
          <w:rFonts w:ascii="Amiri" w:hAnsi="Amiri" w:eastAsia="Amiri" w:cs="Amiri"/>
          <w:lang w:bidi="ar-SA"/>
          <w:color w:val="111111"/>
          <w:sz w:val="28"/>
          <w:szCs w:val="28"/>
          <w:rtl/>
        </w:rPr>
        <w:t xml:space="preserve">حسنعلي- حائري سنقري ، محمّد علي بن حسن علي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5" w:name="pg7742_70563"/>
    <w:bookmarkEnd w:id="585"/>
    <w:p>
      <w:pPr>
        <w:pStyle w:val="Heading2"/>
      </w:pPr>
      <w:bookmarkStart w:id="4945" w:name="_Toc4047"/>
      <w:r>
        <w:t>سنندجي ، احمد بن محمّد قسيم</w:t>
      </w:r>
      <w:bookmarkEnd w:id="4945"/>
    </w:p>
    <w:p>
      <w:pPr>
        <w:pStyle w:val="BookText"/>
      </w:pPr>
      <w:r>
        <w:rPr>
          <w:rFonts w:ascii="IRNazanin" w:hAnsi="IRNazanin" w:eastAsia="IRNazanin" w:cs="IRNazanin"/>
          <w:lang w:bidi="fa-IR"/>
          <w:color w:val="111111"/>
          <w:sz w:val="28"/>
          <w:szCs w:val="28"/>
          <w:rtl/>
        </w:rPr>
        <w:t xml:space="preserve">1374ه-</w:t>
      </w:r>
    </w:p>
    <w:p>
      <w:pPr>
        <w:pStyle w:val="BookText"/>
      </w:pPr>
      <w:r>
        <w:rPr>
          <w:rFonts w:ascii="Amiri" w:hAnsi="Amiri" w:eastAsia="Amiri" w:cs="Amiri"/>
          <w:lang w:bidi="ar-SA"/>
          <w:color w:val="111111"/>
          <w:sz w:val="28"/>
          <w:szCs w:val="28"/>
          <w:rtl/>
        </w:rPr>
        <w:t xml:space="preserve">رسالة على بعض ما جاء في تفسير البيضاوي، ج8، ص223.</w:t>
      </w:r>
    </w:p>
    <w:p>
      <w:pPr>
        <w:pStyle w:val="BookText"/>
      </w:pPr>
      <w:r>
        <w:rPr>
          <w:rFonts w:ascii="Amiri" w:hAnsi="Amiri" w:eastAsia="Amiri" w:cs="Amiri"/>
          <w:lang w:bidi="ar-SA"/>
          <w:color w:val="111111"/>
          <w:sz w:val="28"/>
          <w:szCs w:val="28"/>
          <w:rtl/>
        </w:rPr>
        <w:t xml:space="preserve">سنندجي ، عبد القادر بن محمّد سعيد -كردي ، عبد القادر بن محمّد سعيد</w:t>
      </w:r>
    </w:p>
    <w:p>
      <w:pPr>
        <w:pStyle w:val="Heading2"/>
      </w:pPr>
      <w:bookmarkStart w:id="4946" w:name="_Toc4048"/>
      <w:r>
        <w:t>سنندجي ، محمّد بن عبدالرحيم</w:t>
      </w:r>
      <w:bookmarkEnd w:id="4946"/>
    </w:p>
    <w:p>
      <w:pPr>
        <w:pStyle w:val="BookText"/>
      </w:pPr>
      <w:r>
        <w:rPr>
          <w:rFonts w:ascii="Amiri" w:hAnsi="Amiri" w:eastAsia="Amiri" w:cs="Amiri"/>
          <w:lang w:bidi="ar-SA"/>
          <w:color w:val="111111"/>
          <w:sz w:val="28"/>
          <w:szCs w:val="28"/>
          <w:rtl/>
        </w:rPr>
        <w:t xml:space="preserve">مختصر تحفة المحتاج، ج 14، ص 179.</w:t>
      </w:r>
    </w:p>
    <w:p>
      <w:pPr>
        <w:pStyle w:val="BookText"/>
      </w:pPr>
      <w:r>
        <w:rPr>
          <w:rFonts w:ascii="IRNazanin" w:hAnsi="IRNazanin" w:eastAsia="IRNazanin" w:cs="IRNazanin"/>
          <w:lang w:bidi="fa-IR"/>
          <w:color w:val="111111"/>
          <w:sz w:val="28"/>
          <w:szCs w:val="28"/>
          <w:rtl/>
        </w:rPr>
        <w:t xml:space="preserve">سنندجي ، محمّد وسیم بن محمّد</w:t>
      </w:r>
    </w:p>
    <w:p>
      <w:pPr>
        <w:pStyle w:val="BookText"/>
      </w:pPr>
      <w:r>
        <w:rPr>
          <w:rFonts w:ascii="Amiri" w:hAnsi="Amiri" w:eastAsia="Amiri" w:cs="Amiri"/>
          <w:lang w:bidi="ar-SA"/>
          <w:color w:val="111111"/>
          <w:sz w:val="28"/>
          <w:szCs w:val="28"/>
          <w:rtl/>
        </w:rPr>
        <w:t xml:space="preserve">سعيد -محمّد وسيم ثاني</w:t>
      </w:r>
    </w:p>
    <w:p>
      <w:pPr>
        <w:pStyle w:val="Heading2"/>
      </w:pPr>
      <w:bookmarkStart w:id="4947" w:name="_Toc4049"/>
      <w:r>
        <w:t>سنهوري، علي بن عبد الله، 814 - 889 ه-</w:t>
      </w:r>
      <w:bookmarkEnd w:id="4947"/>
    </w:p>
    <w:p>
      <w:pPr>
        <w:pStyle w:val="BookText"/>
      </w:pPr>
      <w:r>
        <w:rPr>
          <w:rFonts w:ascii="Amiri" w:hAnsi="Amiri" w:eastAsia="Amiri" w:cs="Amiri"/>
          <w:lang w:bidi="ar-SA"/>
          <w:color w:val="111111"/>
          <w:sz w:val="28"/>
          <w:szCs w:val="28"/>
          <w:rtl/>
        </w:rPr>
        <w:t xml:space="preserve">شرح الآجرومية، ج9، ص117.</w:t>
      </w:r>
    </w:p>
    <w:p>
      <w:pPr>
        <w:pStyle w:val="BookText"/>
      </w:pPr>
      <w:r>
        <w:rPr>
          <w:rFonts w:ascii="Amiri" w:hAnsi="Amiri" w:eastAsia="Amiri" w:cs="Amiri"/>
          <w:lang w:bidi="ar-SA"/>
          <w:color w:val="111111"/>
          <w:sz w:val="28"/>
          <w:szCs w:val="28"/>
          <w:rtl/>
        </w:rPr>
        <w:t xml:space="preserve">سنوسي ، ابو عبدالله محمّد- سنوسي ،</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Amiri" w:hAnsi="Amiri" w:eastAsia="Amiri" w:cs="Amiri"/>
          <w:lang w:bidi="ar-SA"/>
          <w:color w:val="111111"/>
          <w:sz w:val="28"/>
          <w:szCs w:val="28"/>
          <w:rtl/>
        </w:rPr>
        <w:t xml:space="preserve">سنوسي ، محمّد بن احمد -ابن زغدان</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سنوي ، محمّد بن يوسف- سنوسي ،</w:t>
      </w:r>
    </w:p>
    <w:p>
      <w:pPr>
        <w:pStyle w:val="BookText"/>
      </w:pPr>
      <w:r>
        <w:rPr>
          <w:rFonts w:ascii="Amiri" w:hAnsi="Amiri" w:eastAsia="Amiri" w:cs="Amiri"/>
          <w:lang w:bidi="ar-SA"/>
          <w:color w:val="111111"/>
          <w:sz w:val="28"/>
          <w:szCs w:val="28"/>
          <w:rtl/>
        </w:rPr>
        <w:t xml:space="preserve">محمّد بن يوسف</w:t>
      </w:r>
    </w:p>
    <w:p>
      <w:pPr>
        <w:pStyle w:val="Heading2"/>
      </w:pPr>
      <w:bookmarkStart w:id="4948" w:name="_Toc4050"/>
      <w:r>
        <w:t>سنوسي ، محمّد بن يوسف، 832 - 895</w:t>
      </w:r>
      <w:bookmarkEnd w:id="4948"/>
    </w:p>
    <w:p>
      <w:pPr>
        <w:pStyle w:val="BookText"/>
      </w:pPr>
      <w:r>
        <w:rPr>
          <w:rFonts w:ascii="Amiri" w:hAnsi="Amiri" w:eastAsia="Amiri" w:cs="Amiri"/>
          <w:lang w:bidi="ar-SA"/>
          <w:color w:val="111111"/>
          <w:sz w:val="28"/>
          <w:szCs w:val="28"/>
          <w:rtl/>
        </w:rPr>
        <w:t xml:space="preserve">1 .ام البراهين = العقيدة الصغرى =</w:t>
      </w:r>
    </w:p>
    <w:p>
      <w:pPr>
        <w:pStyle w:val="BookText"/>
      </w:pPr>
      <w:r>
        <w:rPr>
          <w:rFonts w:ascii="Amiri" w:hAnsi="Amiri" w:eastAsia="Amiri" w:cs="Amiri"/>
          <w:lang w:bidi="ar-SA"/>
          <w:color w:val="111111"/>
          <w:sz w:val="28"/>
          <w:szCs w:val="28"/>
          <w:rtl/>
        </w:rPr>
        <w:t xml:space="preserve">السنوسية = العقيدة السنوسية =</w:t>
      </w:r>
    </w:p>
    <w:p>
      <w:pPr>
        <w:pStyle w:val="BookText"/>
      </w:pPr>
      <w:r>
        <w:rPr>
          <w:rFonts w:ascii="Amiri" w:hAnsi="Amiri" w:eastAsia="Amiri" w:cs="Amiri"/>
          <w:lang w:bidi="ar-SA"/>
          <w:color w:val="111111"/>
          <w:sz w:val="28"/>
          <w:szCs w:val="28"/>
          <w:rtl/>
        </w:rPr>
        <w:t xml:space="preserve">السنوسية الصغرى، ج 2، ص 705.</w:t>
      </w:r>
    </w:p>
    <w:p>
      <w:pPr>
        <w:pStyle w:val="BookText"/>
      </w:pPr>
      <w:r>
        <w:rPr>
          <w:rFonts w:ascii="IRNazanin" w:hAnsi="IRNazanin" w:eastAsia="IRNazanin" w:cs="IRNazanin"/>
          <w:lang w:bidi="fa-IR"/>
          <w:color w:val="111111"/>
          <w:sz w:val="28"/>
          <w:szCs w:val="28"/>
          <w:rtl/>
        </w:rPr>
        <w:t xml:space="preserve">2 .حقائق الإرشاد، ج 1، ص 683.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العقيدة = شرح جمل مختصر</w:t>
      </w:r>
    </w:p>
    <w:p>
      <w:pPr>
        <w:pStyle w:val="BookText"/>
      </w:pPr>
      <w:r>
        <w:rPr>
          <w:rFonts w:ascii="Amiri" w:hAnsi="Amiri" w:eastAsia="Amiri" w:cs="Amiri"/>
          <w:lang w:bidi="ar-SA"/>
          <w:color w:val="111111"/>
          <w:sz w:val="28"/>
          <w:szCs w:val="28"/>
          <w:rtl/>
        </w:rPr>
        <w:t xml:space="preserve">يخرج المكلف بفهمها من التقليد</w:t>
      </w:r>
    </w:p>
    <w:p>
      <w:pPr>
        <w:pStyle w:val="BookText"/>
      </w:pPr>
      <w:r>
        <w:rPr>
          <w:rFonts w:ascii="IRNazanin" w:hAnsi="IRNazanin" w:eastAsia="IRNazanin" w:cs="IRNazanin"/>
          <w:lang w:bidi="fa-IR"/>
          <w:color w:val="111111"/>
          <w:sz w:val="28"/>
          <w:szCs w:val="28"/>
          <w:rtl/>
        </w:rPr>
        <w:t xml:space="preserve">ج 9، ص 740.</w:t>
      </w:r>
    </w:p>
    <w:p>
      <w:pPr>
        <w:pStyle w:val="BookText"/>
      </w:pPr>
      <w:r>
        <w:rPr>
          <w:rFonts w:ascii="Amiri" w:hAnsi="Amiri" w:eastAsia="Amiri" w:cs="Amiri"/>
          <w:lang w:bidi="ar-SA"/>
          <w:color w:val="111111"/>
          <w:sz w:val="28"/>
          <w:szCs w:val="28"/>
          <w:rtl/>
        </w:rPr>
        <w:t xml:space="preserve">4 .شرح المختصر في علم المنطق، ج 10،</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IRNazanin" w:hAnsi="IRNazanin" w:eastAsia="IRNazanin" w:cs="IRNazanin"/>
          <w:lang w:bidi="fa-IR"/>
          <w:color w:val="111111"/>
          <w:sz w:val="28"/>
          <w:szCs w:val="28"/>
          <w:rtl/>
        </w:rPr>
        <w:t xml:space="preserve">5 .شرح المقدمات، ج 10، ص 182.</w:t>
      </w:r>
    </w:p>
    <w:p>
      <w:pPr>
        <w:pStyle w:val="BookText"/>
      </w:pPr>
      <w:r>
        <w:rPr>
          <w:rFonts w:ascii="Amiri" w:hAnsi="Amiri" w:eastAsia="Amiri" w:cs="Amiri"/>
          <w:lang w:bidi="ar-SA"/>
          <w:color w:val="111111"/>
          <w:sz w:val="28"/>
          <w:szCs w:val="28"/>
          <w:rtl/>
        </w:rPr>
        <w:t xml:space="preserve">6 .شرح المقدمة الصغرى، ج 10،</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Amiri" w:hAnsi="Amiri" w:eastAsia="Amiri" w:cs="Amiri"/>
          <w:lang w:bidi="ar-SA"/>
          <w:color w:val="111111"/>
          <w:sz w:val="28"/>
          <w:szCs w:val="28"/>
          <w:rtl/>
        </w:rPr>
        <w:t xml:space="preserve">7 .شرح ام البراهين = شرح العقيدة الصغرى = شرح كلمتي الشهادة</w:t>
      </w:r>
    </w:p>
    <w:p>
      <w:pPr>
        <w:pStyle w:val="BookText"/>
      </w:pPr>
      <w:r>
        <w:rPr>
          <w:rFonts w:ascii="IRNazanin" w:hAnsi="IRNazanin" w:eastAsia="IRNazanin" w:cs="IRNazanin"/>
          <w:lang w:bidi="fa-IR"/>
          <w:color w:val="111111"/>
          <w:sz w:val="28"/>
          <w:szCs w:val="28"/>
          <w:rtl/>
        </w:rPr>
        <w:t xml:space="preserve">ج 9، ص230.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حديث المعدة بيت كل داء» بیان ما تضمنته كلمة خير البرية</w:t>
      </w:r>
    </w:p>
    <w:p>
      <w:pPr>
        <w:pStyle w:val="BookText"/>
      </w:pPr>
      <w:r>
        <w:rPr>
          <w:rFonts w:ascii="Amiri" w:hAnsi="Amiri" w:eastAsia="Amiri" w:cs="Amiri"/>
          <w:lang w:bidi="ar-SA"/>
          <w:color w:val="111111"/>
          <w:sz w:val="28"/>
          <w:szCs w:val="28"/>
          <w:rtl/>
        </w:rPr>
        <w:t xml:space="preserve">من غامض أسرار الصناعة الطبية،</w:t>
      </w:r>
    </w:p>
    <w:p>
      <w:pPr>
        <w:pStyle w:val="BookText"/>
      </w:pPr>
      <w:r>
        <w:rPr>
          <w:rFonts w:ascii="IRNazanin" w:hAnsi="IRNazanin" w:eastAsia="IRNazanin" w:cs="IRNazanin"/>
          <w:lang w:bidi="fa-IR"/>
          <w:color w:val="111111"/>
          <w:sz w:val="28"/>
          <w:szCs w:val="28"/>
          <w:rtl/>
        </w:rPr>
        <w:t xml:space="preserve">ج 9، ص 400 .</w:t>
      </w:r>
    </w:p>
    <w:p>
      <w:pPr>
        <w:pStyle w:val="BookText"/>
      </w:pPr>
      <w:r>
        <w:rPr>
          <w:rFonts w:ascii="Amiri" w:hAnsi="Amiri" w:eastAsia="Amiri" w:cs="Amiri"/>
          <w:lang w:bidi="ar-SA"/>
          <w:color w:val="111111"/>
          <w:sz w:val="28"/>
          <w:szCs w:val="28"/>
          <w:rtl/>
        </w:rPr>
        <w:t xml:space="preserve">9 .شرح عقيدة التوحيد الوسطى، ج 9،</w:t>
      </w:r>
    </w:p>
    <w:p>
      <w:pPr>
        <w:pStyle w:val="BookText"/>
      </w:pPr>
      <w:r>
        <w:rPr>
          <w:rFonts w:ascii="IRNazanin" w:hAnsi="IRNazanin" w:eastAsia="IRNazanin" w:cs="IRNazanin"/>
          <w:lang w:bidi="fa-IR"/>
          <w:color w:val="111111"/>
          <w:sz w:val="28"/>
          <w:szCs w:val="28"/>
          <w:rtl/>
        </w:rPr>
        <w:t xml:space="preserve">ص 742 .</w:t>
      </w:r>
    </w:p>
    <w:p>
      <w:pPr>
        <w:pStyle w:val="BookText"/>
      </w:pPr>
      <w:r>
        <w:rPr>
          <w:rFonts w:ascii="Amiri" w:hAnsi="Amiri" w:eastAsia="Amiri" w:cs="Amiri"/>
          <w:lang w:bidi="ar-SA"/>
          <w:color w:val="111111"/>
          <w:sz w:val="28"/>
          <w:szCs w:val="28"/>
          <w:rtl/>
        </w:rPr>
        <w:t xml:space="preserve">10 .عقائد السنوسي، ج 11، ص 149.</w:t>
      </w:r>
    </w:p>
    <w:p>
      <w:pPr>
        <w:pStyle w:val="BookText"/>
      </w:pPr>
      <w:r>
        <w:rPr>
          <w:rFonts w:ascii="Amiri" w:hAnsi="Amiri" w:eastAsia="Amiri" w:cs="Amiri"/>
          <w:lang w:bidi="ar-SA"/>
          <w:color w:val="111111"/>
          <w:sz w:val="28"/>
          <w:szCs w:val="28"/>
          <w:rtl/>
        </w:rPr>
        <w:t xml:space="preserve">11 .عقيدة الشيخ محمّد السنوسي</w:t>
      </w:r>
    </w:p>
    <w:p>
      <w:pPr>
        <w:pStyle w:val="BookText"/>
      </w:pPr>
      <w:r>
        <w:rPr>
          <w:rFonts w:ascii="IRNazanin" w:hAnsi="IRNazanin" w:eastAsia="IRNazanin" w:cs="IRNazanin"/>
          <w:lang w:bidi="fa-IR"/>
          <w:color w:val="111111"/>
          <w:sz w:val="28"/>
          <w:szCs w:val="28"/>
          <w:rtl/>
        </w:rPr>
        <w:t xml:space="preserve">ج 11، ص 202.</w:t>
      </w:r>
    </w:p>
    <w:p>
      <w:pPr>
        <w:pStyle w:val="BookText"/>
      </w:pPr>
      <w:r>
        <w:rPr>
          <w:rFonts w:ascii="Amiri" w:hAnsi="Amiri" w:eastAsia="Amiri" w:cs="Amiri"/>
          <w:lang w:bidi="ar-SA"/>
          <w:color w:val="111111"/>
          <w:sz w:val="28"/>
          <w:szCs w:val="28"/>
          <w:rtl/>
        </w:rPr>
        <w:t xml:space="preserve">12 .العقيدة الكبرى - عقيدة أهل</w:t>
      </w:r>
    </w:p>
    <w:p>
      <w:pPr>
        <w:pStyle w:val="BookText"/>
      </w:pPr>
      <w:r>
        <w:rPr>
          <w:rFonts w:ascii="Amiri" w:hAnsi="Amiri" w:eastAsia="Amiri" w:cs="Amiri"/>
          <w:lang w:bidi="ar-SA"/>
          <w:color w:val="111111"/>
          <w:sz w:val="28"/>
          <w:szCs w:val="28"/>
          <w:rtl/>
        </w:rPr>
        <w:t xml:space="preserve">التوحيد، ج 11، ص 205.</w:t>
      </w:r>
    </w:p>
    <w:p>
      <w:pPr>
        <w:pStyle w:val="BookText"/>
      </w:pPr>
      <w:r>
        <w:rPr>
          <w:rFonts w:ascii="Amiri" w:hAnsi="Amiri" w:eastAsia="Amiri" w:cs="Amiri"/>
          <w:lang w:bidi="ar-SA"/>
          <w:color w:val="111111"/>
          <w:sz w:val="28"/>
          <w:szCs w:val="28"/>
          <w:rtl/>
        </w:rPr>
        <w:t xml:space="preserve">13 .عمدة اهل التوفيق و التسديد في</w:t>
      </w:r>
    </w:p>
    <w:p>
      <w:pPr>
        <w:pStyle w:val="BookText"/>
      </w:pPr>
      <w:r>
        <w:rPr>
          <w:rFonts w:ascii="Amiri" w:hAnsi="Amiri" w:eastAsia="Amiri" w:cs="Amiri"/>
          <w:lang w:bidi="ar-SA"/>
          <w:color w:val="111111"/>
          <w:sz w:val="28"/>
          <w:szCs w:val="28"/>
          <w:rtl/>
        </w:rPr>
        <w:t xml:space="preserve">شرح عقيدة اهل التوحيد، ج11،</w:t>
      </w:r>
    </w:p>
    <w:p>
      <w:pPr>
        <w:pStyle w:val="BookText"/>
      </w:pPr>
      <w:r>
        <w:rPr>
          <w:rFonts w:ascii="IRNazanin" w:hAnsi="IRNazanin" w:eastAsia="IRNazanin" w:cs="IRNazanin"/>
          <w:lang w:bidi="fa-IR"/>
          <w:color w:val="111111"/>
          <w:sz w:val="28"/>
          <w:szCs w:val="28"/>
          <w:rtl/>
        </w:rPr>
        <w:t xml:space="preserve">ص 287</w:t>
      </w:r>
    </w:p>
    <w:p>
      <w:pPr>
        <w:pStyle w:val="BookText"/>
      </w:pPr>
      <w:r>
        <w:rPr>
          <w:rFonts w:ascii="IRNazanin" w:hAnsi="IRNazanin" w:eastAsia="IRNazanin" w:cs="IRNazanin"/>
          <w:lang w:bidi="fa-IR"/>
          <w:color w:val="111111"/>
          <w:sz w:val="28"/>
          <w:szCs w:val="28"/>
          <w:rtl/>
        </w:rPr>
        <w:t xml:space="preserve">14 .قواطع البرهان، ج 12، ص 774.</w:t>
      </w:r>
    </w:p>
    <w:p>
      <w:pPr>
        <w:pStyle w:val="BookText"/>
      </w:pPr>
      <w:r>
        <w:rPr>
          <w:rFonts w:ascii="IRNazanin" w:hAnsi="IRNazanin" w:eastAsia="IRNazanin" w:cs="IRNazanin"/>
          <w:lang w:bidi="fa-IR"/>
          <w:color w:val="111111"/>
          <w:sz w:val="28"/>
          <w:szCs w:val="28"/>
          <w:rtl/>
        </w:rPr>
        <w:t xml:space="preserve">15 .مجربات، ج13، ص811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مختصر شرح السنوسي على منظومة الجزائري، ج 14، ص 200.</w:t>
      </w:r>
    </w:p>
    <w:p>
      <w:pPr>
        <w:pStyle w:val="BookText"/>
      </w:pPr>
      <w:r>
        <w:rPr>
          <w:rFonts w:ascii="Amiri" w:hAnsi="Amiri" w:eastAsia="Amiri" w:cs="Amiri"/>
          <w:lang w:bidi="ar-SA"/>
          <w:color w:val="111111"/>
          <w:sz w:val="28"/>
          <w:szCs w:val="28"/>
          <w:rtl/>
        </w:rPr>
        <w:t xml:space="preserve">17 .المنطق (رسالة في)، ج 15 ، ص 695.</w:t>
      </w:r>
    </w:p>
    <w:p>
      <w:pPr>
        <w:pStyle w:val="BookText"/>
      </w:pPr>
      <w:r>
        <w:rPr>
          <w:rFonts w:ascii="IRNazanin" w:hAnsi="IRNazanin" w:eastAsia="IRNazanin" w:cs="IRNazanin"/>
          <w:lang w:bidi="fa-IR"/>
          <w:color w:val="111111"/>
          <w:sz w:val="28"/>
          <w:szCs w:val="28"/>
          <w:rtl/>
        </w:rPr>
        <w:t xml:space="preserve">سنوي - سنندجي ، احمد بن محمّد قسیم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6" w:name="pg7742_70564"/>
    <w:bookmarkEnd w:id="586"/>
    <w:p>
      <w:pPr>
        <w:pStyle w:val="Heading2"/>
      </w:pPr>
      <w:bookmarkStart w:id="4949" w:name="_Toc4051"/>
      <w:r>
        <w:t>سنوي ، سید عابد</w:t>
      </w:r>
      <w:bookmarkEnd w:id="4949"/>
    </w:p>
    <w:p>
      <w:pPr>
        <w:pStyle w:val="BookText"/>
      </w:pPr>
      <w:r>
        <w:rPr>
          <w:rFonts w:ascii="Amiri" w:hAnsi="Amiri" w:eastAsia="Amiri" w:cs="Amiri"/>
          <w:lang w:bidi="ar-SA"/>
          <w:color w:val="111111"/>
          <w:sz w:val="28"/>
          <w:szCs w:val="28"/>
          <w:rtl/>
        </w:rPr>
        <w:t xml:space="preserve">حكم الاستغاثة و النداء، ج 6، ص734.</w:t>
      </w:r>
    </w:p>
    <w:p>
      <w:pPr>
        <w:pStyle w:val="Heading2"/>
      </w:pPr>
      <w:bookmarkStart w:id="4950" w:name="_Toc4052"/>
      <w:r>
        <w:t>سنوي ، طه بن احمد - 1300 ه-</w:t>
      </w:r>
      <w:bookmarkEnd w:id="4950"/>
    </w:p>
    <w:p>
      <w:pPr>
        <w:pStyle w:val="BookText"/>
      </w:pPr>
      <w:r>
        <w:rPr>
          <w:rFonts w:ascii="Amiri" w:hAnsi="Amiri" w:eastAsia="Amiri" w:cs="Amiri"/>
          <w:lang w:bidi="ar-SA"/>
          <w:color w:val="111111"/>
          <w:sz w:val="28"/>
          <w:szCs w:val="28"/>
          <w:rtl/>
        </w:rPr>
        <w:t xml:space="preserve">1 .حاشية على المسألة الشعيرية للجغميني، ج 6 ، ص 253.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رد النصارى (مجموعة في)، ج8،</w:t>
      </w:r>
    </w:p>
    <w:p>
      <w:pPr>
        <w:pStyle w:val="BookText"/>
      </w:pPr>
      <w:r>
        <w:rPr>
          <w:rFonts w:ascii="IRNazanin" w:hAnsi="IRNazanin" w:eastAsia="IRNazanin" w:cs="IRNazanin"/>
          <w:lang w:bidi="fa-IR"/>
          <w:color w:val="111111"/>
          <w:sz w:val="28"/>
          <w:szCs w:val="28"/>
          <w:rtl/>
        </w:rPr>
        <w:t xml:space="preserve">ص 116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منظومة مختصر المنار</w:t>
      </w:r>
    </w:p>
    <w:p>
      <w:pPr>
        <w:pStyle w:val="BookText"/>
      </w:pPr>
      <w:r>
        <w:rPr>
          <w:rFonts w:ascii="Amiri" w:hAnsi="Amiri" w:eastAsia="Amiri" w:cs="Amiri"/>
          <w:lang w:bidi="ar-SA"/>
          <w:color w:val="111111"/>
          <w:sz w:val="28"/>
          <w:szCs w:val="28"/>
          <w:rtl/>
        </w:rPr>
        <w:t xml:space="preserve">للنسفي، ج 10، ص 256.</w:t>
      </w:r>
    </w:p>
    <w:p>
      <w:pPr>
        <w:pStyle w:val="BookText"/>
      </w:pPr>
      <w:r>
        <w:rPr>
          <w:rFonts w:ascii="Amiri" w:hAnsi="Amiri" w:eastAsia="Amiri" w:cs="Amiri"/>
          <w:lang w:bidi="ar-SA"/>
          <w:color w:val="111111"/>
          <w:sz w:val="28"/>
          <w:szCs w:val="28"/>
          <w:rtl/>
        </w:rPr>
        <w:t xml:space="preserve">4 .الصلوات المباركة، ج 10، ص 630.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مجموعة السنوي، ج 14، ص38.</w:t>
      </w:r>
    </w:p>
    <w:p>
      <w:pPr>
        <w:pStyle w:val="BookText"/>
      </w:pPr>
      <w:r>
        <w:rPr>
          <w:rFonts w:ascii="IRNazanin" w:hAnsi="IRNazanin" w:eastAsia="IRNazanin" w:cs="IRNazanin"/>
          <w:lang w:bidi="fa-IR"/>
          <w:color w:val="111111"/>
          <w:sz w:val="28"/>
          <w:szCs w:val="28"/>
          <w:rtl/>
        </w:rPr>
        <w:t xml:space="preserve">6 .مراسلات و أشعار، ج 14، ص 382.</w:t>
      </w:r>
    </w:p>
    <w:p>
      <w:pPr>
        <w:pStyle w:val="BookText"/>
      </w:pPr>
      <w:r>
        <w:rPr>
          <w:rFonts w:ascii="Amiri" w:hAnsi="Amiri" w:eastAsia="Amiri" w:cs="Amiri"/>
          <w:lang w:bidi="ar-SA"/>
          <w:color w:val="111111"/>
          <w:sz w:val="28"/>
          <w:szCs w:val="28"/>
          <w:rtl/>
        </w:rPr>
        <w:t xml:space="preserve">7 .مقامة السنوي، ج 15، ص318.</w:t>
      </w:r>
    </w:p>
    <w:p>
      <w:pPr>
        <w:pStyle w:val="BookText"/>
      </w:pPr>
      <w:r>
        <w:rPr>
          <w:rFonts w:ascii="IRNazanin" w:hAnsi="IRNazanin" w:eastAsia="IRNazanin" w:cs="IRNazanin"/>
          <w:lang w:bidi="fa-IR"/>
          <w:color w:val="111111"/>
          <w:sz w:val="28"/>
          <w:szCs w:val="28"/>
          <w:rtl/>
        </w:rPr>
        <w:t xml:space="preserve">8 ن.ظم الاصول، ج 16، ص 331.</w:t>
      </w:r>
    </w:p>
    <w:p>
      <w:pPr>
        <w:pStyle w:val="BookText"/>
      </w:pPr>
      <w:r>
        <w:rPr>
          <w:rFonts w:ascii="Amiri" w:hAnsi="Amiri" w:eastAsia="Amiri" w:cs="Amiri"/>
          <w:lang w:bidi="ar-SA"/>
          <w:color w:val="111111"/>
          <w:sz w:val="28"/>
          <w:szCs w:val="28"/>
          <w:rtl/>
        </w:rPr>
        <w:t xml:space="preserve">9 .هدي الناظرين = شرح تهذيب</w:t>
      </w:r>
    </w:p>
    <w:p>
      <w:pPr>
        <w:pStyle w:val="BookText"/>
      </w:pPr>
      <w:r>
        <w:rPr>
          <w:rFonts w:ascii="Amiri" w:hAnsi="Amiri" w:eastAsia="Amiri" w:cs="Amiri"/>
          <w:lang w:bidi="ar-SA"/>
          <w:color w:val="111111"/>
          <w:sz w:val="28"/>
          <w:szCs w:val="28"/>
          <w:rtl/>
        </w:rPr>
        <w:t xml:space="preserve">الكلام، ج 16، ص 646 .</w:t>
      </w:r>
    </w:p>
    <w:p>
      <w:pPr>
        <w:pStyle w:val="Heading2"/>
      </w:pPr>
      <w:bookmarkStart w:id="4951" w:name="_Toc4053"/>
      <w:r>
        <w:t>سنوي كوراني ، احمد، قرن 13 ه-</w:t>
      </w:r>
      <w:bookmarkEnd w:id="4951"/>
    </w:p>
    <w:p>
      <w:pPr>
        <w:pStyle w:val="BookText"/>
      </w:pPr>
      <w:r>
        <w:rPr>
          <w:rFonts w:ascii="Amiri" w:hAnsi="Amiri" w:eastAsia="Amiri" w:cs="Amiri"/>
          <w:lang w:bidi="ar-SA"/>
          <w:color w:val="111111"/>
          <w:sz w:val="28"/>
          <w:szCs w:val="28"/>
          <w:rtl/>
        </w:rPr>
        <w:t xml:space="preserve">الترجيح بين كلام البيضاوي و ابي السعود، ج4، ص303.</w:t>
      </w:r>
    </w:p>
    <w:p>
      <w:pPr>
        <w:pStyle w:val="BookText"/>
      </w:pPr>
      <w:r>
        <w:rPr>
          <w:rFonts w:ascii="Amiri" w:hAnsi="Amiri" w:eastAsia="Amiri" w:cs="Amiri"/>
          <w:lang w:bidi="ar-SA"/>
          <w:color w:val="111111"/>
          <w:sz w:val="28"/>
          <w:szCs w:val="28"/>
          <w:rtl/>
        </w:rPr>
        <w:t xml:space="preserve">سنيكي ، زكريا بن محمّد- انصاري ، زكريا</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سهارنپوری ، احمد بن علي - سهارنفوري ،</w:t>
      </w:r>
    </w:p>
    <w:p>
      <w:pPr>
        <w:pStyle w:val="BookText"/>
      </w:pPr>
      <w:r>
        <w:rPr>
          <w:rFonts w:ascii="Amiri" w:hAnsi="Amiri" w:eastAsia="Amiri" w:cs="Amiri"/>
          <w:lang w:bidi="ar-SA"/>
          <w:color w:val="111111"/>
          <w:sz w:val="28"/>
          <w:szCs w:val="28"/>
          <w:rtl/>
        </w:rPr>
        <w:t xml:space="preserve">احمد بن علي</w:t>
      </w:r>
    </w:p>
    <w:p>
      <w:pPr>
        <w:pStyle w:val="Heading2"/>
      </w:pPr>
      <w:bookmarkStart w:id="4952" w:name="_Toc4054"/>
      <w:r>
        <w:t>سهارنپوري، عابد حسین بن بخش حسین</w:t>
      </w:r>
      <w:bookmarkEnd w:id="4952"/>
    </w:p>
    <w:p>
      <w:pPr>
        <w:pStyle w:val="BookText"/>
      </w:pPr>
      <w:r>
        <w:rPr>
          <w:rFonts w:ascii="Amiri" w:hAnsi="Amiri" w:eastAsia="Amiri" w:cs="Amiri"/>
          <w:lang w:bidi="ar-SA"/>
          <w:color w:val="111111"/>
          <w:sz w:val="28"/>
          <w:szCs w:val="28"/>
          <w:rtl/>
        </w:rPr>
        <w:t xml:space="preserve">انذار الناذرين، ج2، ص 796 .</w:t>
      </w:r>
    </w:p>
    <w:p>
      <w:pPr>
        <w:pStyle w:val="Heading2"/>
      </w:pPr>
      <w:bookmarkStart w:id="4953" w:name="_Toc4055"/>
      <w:r>
        <w:t>سهارنپوري ، عصمة الله بن اعظم</w:t>
      </w:r>
      <w:bookmarkEnd w:id="4953"/>
    </w:p>
    <w:p>
      <w:pPr>
        <w:pStyle w:val="BookText"/>
      </w:pPr>
      <w:r>
        <w:rPr>
          <w:rFonts w:ascii="Amiri" w:hAnsi="Amiri" w:eastAsia="Amiri" w:cs="Amiri"/>
          <w:lang w:bidi="ar-SA"/>
          <w:color w:val="111111"/>
          <w:sz w:val="28"/>
          <w:szCs w:val="28"/>
          <w:rtl/>
        </w:rPr>
        <w:t xml:space="preserve">انوار خلاصة الحساب في شرح خلاصة</w:t>
      </w:r>
    </w:p>
    <w:p>
      <w:pPr>
        <w:pStyle w:val="BookText"/>
      </w:pPr>
      <w:r>
        <w:rPr>
          <w:rFonts w:ascii="IRNazanin" w:hAnsi="IRNazanin" w:eastAsia="IRNazanin" w:cs="IRNazanin"/>
          <w:lang w:bidi="fa-IR"/>
          <w:color w:val="111111"/>
          <w:sz w:val="28"/>
          <w:szCs w:val="28"/>
          <w:rtl/>
        </w:rPr>
        <w:t xml:space="preserve">الحساب، ج 2، ص 883</w:t>
      </w:r>
    </w:p>
    <w:p>
      <w:pPr>
        <w:pStyle w:val="Heading2"/>
      </w:pPr>
      <w:bookmarkStart w:id="4954" w:name="_Toc4056"/>
      <w:r>
        <w:t>سهارنفوري ، احمد بن علي قرن 12 ه-</w:t>
      </w:r>
      <w:bookmarkEnd w:id="4954"/>
    </w:p>
    <w:p>
      <w:pPr>
        <w:pStyle w:val="BookText"/>
      </w:pPr>
      <w:r>
        <w:rPr>
          <w:rFonts w:ascii="Amiri" w:hAnsi="Amiri" w:eastAsia="Amiri" w:cs="Amiri"/>
          <w:lang w:bidi="ar-SA"/>
          <w:color w:val="111111"/>
          <w:sz w:val="28"/>
          <w:szCs w:val="28"/>
          <w:rtl/>
        </w:rPr>
        <w:t xml:space="preserve">الأمور التي يحتاج اليها من يشتغل بصحيح البخاري (رسالة في)، ج2،</w:t>
      </w:r>
    </w:p>
    <w:p>
      <w:pPr>
        <w:pStyle w:val="BookText"/>
      </w:pPr>
      <w:r>
        <w:rPr>
          <w:rFonts w:ascii="IRNazanin" w:hAnsi="IRNazanin" w:eastAsia="IRNazanin" w:cs="IRNazanin"/>
          <w:lang w:bidi="fa-IR"/>
          <w:color w:val="111111"/>
          <w:sz w:val="28"/>
          <w:szCs w:val="28"/>
          <w:rtl/>
        </w:rPr>
        <w:t xml:space="preserve">ص 770 .</w:t>
      </w:r>
    </w:p>
    <w:p>
      <w:pPr>
        <w:pStyle w:val="BookText"/>
      </w:pPr>
      <w:r>
        <w:rPr>
          <w:rFonts w:ascii="Amiri" w:hAnsi="Amiri" w:eastAsia="Amiri" w:cs="Amiri"/>
          <w:lang w:bidi="ar-SA"/>
          <w:color w:val="111111"/>
          <w:sz w:val="28"/>
          <w:szCs w:val="28"/>
          <w:rtl/>
        </w:rPr>
        <w:t xml:space="preserve">سهارنفوري، عصمة الله بن</w:t>
      </w:r>
    </w:p>
    <w:p>
      <w:pPr>
        <w:pStyle w:val="BookText"/>
      </w:pPr>
      <w:r>
        <w:rPr>
          <w:rFonts w:ascii="IRNazanin" w:hAnsi="IRNazanin" w:eastAsia="IRNazanin" w:cs="IRNazanin"/>
          <w:lang w:bidi="fa-IR"/>
          <w:color w:val="111111"/>
          <w:sz w:val="28"/>
          <w:szCs w:val="28"/>
          <w:rtl/>
        </w:rPr>
        <w:t xml:space="preserve">اعظم -سهارنپوری ، عصمة الله بن اعظم</w:t>
      </w:r>
    </w:p>
    <w:p>
      <w:pPr>
        <w:pStyle w:val="BookText"/>
      </w:pPr>
      <w:r>
        <w:rPr>
          <w:rFonts w:ascii="Amiri" w:hAnsi="Amiri" w:eastAsia="Amiri" w:cs="Amiri"/>
          <w:lang w:bidi="ar-SA"/>
          <w:color w:val="111111"/>
          <w:sz w:val="28"/>
          <w:szCs w:val="28"/>
          <w:rtl/>
        </w:rPr>
        <w:t xml:space="preserve">سهالوي ، كمال الدين بن نظام</w:t>
      </w:r>
    </w:p>
    <w:p>
      <w:pPr>
        <w:pStyle w:val="BookText"/>
      </w:pPr>
      <w:r>
        <w:rPr>
          <w:rFonts w:ascii="Amiri" w:hAnsi="Amiri" w:eastAsia="Amiri" w:cs="Amiri"/>
          <w:lang w:bidi="ar-SA"/>
          <w:color w:val="111111"/>
          <w:sz w:val="28"/>
          <w:szCs w:val="28"/>
          <w:rtl/>
        </w:rPr>
        <w:t xml:space="preserve">الدين -سهسلوي ، كمال الدين بن نظام الدين</w:t>
      </w:r>
    </w:p>
    <w:p>
      <w:pPr>
        <w:pStyle w:val="BookText"/>
      </w:pPr>
      <w:r>
        <w:rPr>
          <w:rFonts w:ascii="Amiri" w:hAnsi="Amiri" w:eastAsia="Amiri" w:cs="Amiri"/>
          <w:lang w:bidi="ar-SA"/>
          <w:color w:val="111111"/>
          <w:sz w:val="28"/>
          <w:szCs w:val="28"/>
          <w:rtl/>
        </w:rPr>
        <w:t xml:space="preserve">سهالي فومي، كمال الدين- سهسلوي ، كمال الدين بن نظام الدين</w:t>
      </w:r>
    </w:p>
    <w:p>
      <w:pPr>
        <w:pStyle w:val="BookText"/>
      </w:pPr>
      <w:r>
        <w:rPr>
          <w:rFonts w:ascii="Amiri" w:hAnsi="Amiri" w:eastAsia="Amiri" w:cs="Amiri"/>
          <w:lang w:bidi="ar-SA"/>
          <w:color w:val="111111"/>
          <w:sz w:val="28"/>
          <w:szCs w:val="28"/>
          <w:rtl/>
        </w:rPr>
        <w:t xml:space="preserve">سهانفوري ، عصمة الله بن</w:t>
      </w:r>
    </w:p>
    <w:p>
      <w:pPr>
        <w:pStyle w:val="BookText"/>
      </w:pPr>
      <w:r>
        <w:rPr>
          <w:rFonts w:ascii="IRNazanin" w:hAnsi="IRNazanin" w:eastAsia="IRNazanin" w:cs="IRNazanin"/>
          <w:lang w:bidi="fa-IR"/>
          <w:color w:val="111111"/>
          <w:sz w:val="28"/>
          <w:szCs w:val="28"/>
          <w:rtl/>
        </w:rPr>
        <w:t xml:space="preserve">اعظم- سهارنپوري، عصمة الله بن اعظم</w:t>
      </w:r>
    </w:p>
    <w:p>
      <w:pPr>
        <w:pStyle w:val="Heading2"/>
      </w:pPr>
      <w:bookmarkStart w:id="4955" w:name="_Toc4057"/>
      <w:r>
        <w:t>سهراني حسين آبادي ، علي بن عبدالله</w:t>
      </w:r>
      <w:bookmarkEnd w:id="4955"/>
    </w:p>
    <w:p>
      <w:pPr>
        <w:pStyle w:val="BookText"/>
      </w:pPr>
      <w:r>
        <w:rPr>
          <w:rFonts w:ascii="IRNazanin" w:hAnsi="IRNazanin" w:eastAsia="IRNazanin" w:cs="IRNazanin"/>
          <w:lang w:bidi="fa-IR"/>
          <w:color w:val="111111"/>
          <w:sz w:val="28"/>
          <w:szCs w:val="28"/>
          <w:rtl/>
        </w:rPr>
        <w:t xml:space="preserve">تعليق على انوار التنزیل و اسرار التاويل، ج4، ص 543.</w:t>
      </w:r>
    </w:p>
    <w:p>
      <w:pPr>
        <w:pStyle w:val="Heading2"/>
      </w:pPr>
      <w:bookmarkStart w:id="4956" w:name="_Toc4058"/>
      <w:r>
        <w:t>سهراني ، عبدالله بن حيدر</w:t>
      </w:r>
      <w:bookmarkEnd w:id="4956"/>
    </w:p>
    <w:p>
      <w:pPr>
        <w:pStyle w:val="BookText"/>
      </w:pPr>
      <w:r>
        <w:rPr>
          <w:rFonts w:ascii="Amiri" w:hAnsi="Amiri" w:eastAsia="Amiri" w:cs="Amiri"/>
          <w:lang w:bidi="ar-SA"/>
          <w:color w:val="111111"/>
          <w:sz w:val="28"/>
          <w:szCs w:val="28"/>
          <w:rtl/>
        </w:rPr>
        <w:t xml:space="preserve">حاشية حاشية مير أبي الفتح على الرسالة العضدية في الآداب، جه،</w:t>
      </w:r>
    </w:p>
    <w:p>
      <w:pPr>
        <w:pStyle w:val="BookText"/>
      </w:pPr>
      <w:r>
        <w:rPr>
          <w:rFonts w:ascii="IRNazanin" w:hAnsi="IRNazanin" w:eastAsia="IRNazanin" w:cs="IRNazanin"/>
          <w:lang w:bidi="fa-IR"/>
          <w:color w:val="111111"/>
          <w:sz w:val="28"/>
          <w:szCs w:val="28"/>
          <w:rtl/>
        </w:rPr>
        <w:t xml:space="preserve">ص 853.</w:t>
      </w:r>
    </w:p>
    <w:p>
      <w:pPr>
        <w:pStyle w:val="Heading2"/>
      </w:pPr>
      <w:bookmarkStart w:id="4957" w:name="_Toc4059"/>
      <w:r>
        <w:t>سهراني ، محمّد بن ابي بكر قرن 11 ه-</w:t>
      </w:r>
      <w:bookmarkEnd w:id="4957"/>
    </w:p>
    <w:p>
      <w:pPr>
        <w:pStyle w:val="BookText"/>
      </w:pPr>
      <w:r>
        <w:rPr>
          <w:rFonts w:ascii="Amiri" w:hAnsi="Amiri" w:eastAsia="Amiri" w:cs="Amiri"/>
          <w:lang w:bidi="ar-SA"/>
          <w:color w:val="111111"/>
          <w:sz w:val="28"/>
          <w:szCs w:val="28"/>
          <w:rtl/>
        </w:rPr>
        <w:t xml:space="preserve">1 .حاشية شرح الهمزية، ج 6 ، ص 215 .</w:t>
      </w:r>
    </w:p>
    <w:p>
      <w:pPr>
        <w:pStyle w:val="BookText"/>
      </w:pPr>
      <w:r>
        <w:rPr>
          <w:rFonts w:ascii="Amiri" w:hAnsi="Amiri" w:eastAsia="Amiri" w:cs="Amiri"/>
          <w:lang w:bidi="ar-SA"/>
          <w:color w:val="111111"/>
          <w:sz w:val="28"/>
          <w:szCs w:val="28"/>
          <w:rtl/>
        </w:rPr>
        <w:t xml:space="preserve">2 .الدرة المضيئة في شرح الكواكب الدرية = شرح قصيدة البردة، ج7،</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Amiri" w:hAnsi="Amiri" w:eastAsia="Amiri" w:cs="Amiri"/>
          <w:lang w:bidi="ar-SA"/>
          <w:color w:val="111111"/>
          <w:sz w:val="28"/>
          <w:szCs w:val="28"/>
          <w:rtl/>
        </w:rPr>
        <w:t xml:space="preserve">سهرندي ، احمد بن عبد الاحد- سرهندي</w:t>
      </w:r>
    </w:p>
    <w:p>
      <w:pPr>
        <w:pStyle w:val="BookText"/>
      </w:pPr>
      <w:r>
        <w:rPr>
          <w:rFonts w:ascii="IRNazanin" w:hAnsi="IRNazanin" w:eastAsia="IRNazanin" w:cs="IRNazanin"/>
          <w:lang w:bidi="fa-IR"/>
          <w:color w:val="111111"/>
          <w:sz w:val="28"/>
          <w:szCs w:val="28"/>
          <w:rtl/>
        </w:rPr>
        <w:t xml:space="preserve">، احمد بن عبدالاحد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7" w:name="pg7742_70565"/>
    <w:bookmarkEnd w:id="587"/>
    <w:p>
      <w:pPr>
        <w:pStyle w:val="BookText"/>
      </w:pPr>
      <w:r>
        <w:rPr>
          <w:rFonts w:ascii="Amiri" w:hAnsi="Amiri" w:eastAsia="Amiri" w:cs="Amiri"/>
          <w:lang w:bidi="ar-SA"/>
          <w:color w:val="111111"/>
          <w:sz w:val="28"/>
          <w:szCs w:val="28"/>
          <w:rtl/>
        </w:rPr>
        <w:t xml:space="preserve">سهروردي ، شهاب الدين- سهروردي ،</w:t>
      </w:r>
    </w:p>
    <w:p>
      <w:pPr>
        <w:pStyle w:val="BookText"/>
      </w:pPr>
      <w:r>
        <w:rPr>
          <w:rFonts w:ascii="Amiri" w:hAnsi="Amiri" w:eastAsia="Amiri" w:cs="Amiri"/>
          <w:lang w:bidi="ar-SA"/>
          <w:color w:val="111111"/>
          <w:sz w:val="28"/>
          <w:szCs w:val="28"/>
          <w:rtl/>
        </w:rPr>
        <w:t xml:space="preserve">عمر بن محمّد</w:t>
      </w:r>
    </w:p>
    <w:p>
      <w:pPr>
        <w:pStyle w:val="BookText"/>
      </w:pPr>
      <w:r>
        <w:rPr>
          <w:rFonts w:ascii="Amiri" w:hAnsi="Amiri" w:eastAsia="Amiri" w:cs="Amiri"/>
          <w:lang w:bidi="ar-SA"/>
          <w:color w:val="111111"/>
          <w:sz w:val="28"/>
          <w:szCs w:val="28"/>
          <w:rtl/>
        </w:rPr>
        <w:t xml:space="preserve">سهروردي ، شهاب الدين -سهروردي ،</w:t>
      </w:r>
    </w:p>
    <w:p>
      <w:pPr>
        <w:pStyle w:val="BookText"/>
      </w:pPr>
      <w:r>
        <w:rPr>
          <w:rFonts w:ascii="Amiri" w:hAnsi="Amiri" w:eastAsia="Amiri" w:cs="Amiri"/>
          <w:lang w:bidi="ar-SA"/>
          <w:color w:val="111111"/>
          <w:sz w:val="28"/>
          <w:szCs w:val="28"/>
          <w:rtl/>
        </w:rPr>
        <w:t xml:space="preserve">يحيى بن حبش</w:t>
      </w:r>
    </w:p>
    <w:p>
      <w:pPr>
        <w:pStyle w:val="Heading2"/>
      </w:pPr>
      <w:bookmarkStart w:id="4958" w:name="_Toc4060"/>
      <w:r>
        <w:t>سهروردي ، عبد الرحمن بن محمّد -</w:t>
      </w:r>
      <w:bookmarkEnd w:id="4958"/>
    </w:p>
    <w:p>
      <w:pPr>
        <w:pStyle w:val="BookText"/>
      </w:pPr>
      <w:r>
        <w:rPr>
          <w:rFonts w:ascii="IRNazanin" w:hAnsi="IRNazanin" w:eastAsia="IRNazanin" w:cs="IRNazanin"/>
          <w:lang w:bidi="fa-IR"/>
          <w:color w:val="111111"/>
          <w:sz w:val="28"/>
          <w:szCs w:val="28"/>
          <w:rtl/>
        </w:rPr>
        <w:t xml:space="preserve">1287 ه-</w:t>
      </w:r>
    </w:p>
    <w:p>
      <w:pPr>
        <w:pStyle w:val="BookText"/>
      </w:pPr>
      <w:r>
        <w:rPr>
          <w:rFonts w:ascii="Amiri" w:hAnsi="Amiri" w:eastAsia="Amiri" w:cs="Amiri"/>
          <w:lang w:bidi="ar-SA"/>
          <w:color w:val="111111"/>
          <w:sz w:val="28"/>
          <w:szCs w:val="28"/>
          <w:rtl/>
        </w:rPr>
        <w:t xml:space="preserve">تاريخ بيوتات بغداد، ج 3، ص 564.</w:t>
      </w:r>
    </w:p>
    <w:p>
      <w:pPr>
        <w:pStyle w:val="Heading2"/>
      </w:pPr>
      <w:bookmarkStart w:id="4959" w:name="_Toc4061"/>
      <w:r>
        <w:t>سهروردي ، عبد القاهر بن عبدالله 490 -</w:t>
      </w:r>
      <w:bookmarkEnd w:id="4959"/>
    </w:p>
    <w:p>
      <w:pPr>
        <w:pStyle w:val="BookText"/>
      </w:pPr>
      <w:r>
        <w:rPr>
          <w:rFonts w:ascii="IRNazanin" w:hAnsi="IRNazanin" w:eastAsia="IRNazanin" w:cs="IRNazanin"/>
          <w:lang w:bidi="fa-IR"/>
          <w:color w:val="111111"/>
          <w:sz w:val="28"/>
          <w:szCs w:val="28"/>
          <w:rtl/>
        </w:rPr>
        <w:t xml:space="preserve">563 ه-</w:t>
      </w:r>
    </w:p>
    <w:p>
      <w:pPr>
        <w:pStyle w:val="BookText"/>
      </w:pPr>
      <w:r>
        <w:rPr>
          <w:rFonts w:ascii="Amiri" w:hAnsi="Amiri" w:eastAsia="Amiri" w:cs="Amiri"/>
          <w:lang w:bidi="ar-SA"/>
          <w:color w:val="111111"/>
          <w:sz w:val="28"/>
          <w:szCs w:val="28"/>
          <w:rtl/>
        </w:rPr>
        <w:t xml:space="preserve">آداب المريدين، ج 1، ص 55</w:t>
      </w:r>
    </w:p>
    <w:p>
      <w:pPr>
        <w:pStyle w:val="Heading2"/>
      </w:pPr>
      <w:bookmarkStart w:id="4960" w:name="_Toc4062"/>
      <w:r>
        <w:t>سهروردي ، عمر بن محمّد، 542 - 622 ؟</w:t>
      </w:r>
      <w:bookmarkEnd w:id="4960"/>
    </w:p>
    <w:p>
      <w:pPr>
        <w:pStyle w:val="BookText"/>
      </w:pPr>
      <w:r>
        <w:rPr>
          <w:rFonts w:ascii="Amiri" w:hAnsi="Amiri" w:eastAsia="Amiri" w:cs="Amiri"/>
          <w:lang w:bidi="ar-SA"/>
          <w:color w:val="111111"/>
          <w:sz w:val="28"/>
          <w:szCs w:val="28"/>
          <w:rtl/>
        </w:rPr>
        <w:t xml:space="preserve">1 .ارشاد المريدين و انجاد الطالبين</w:t>
      </w:r>
    </w:p>
    <w:p>
      <w:pPr>
        <w:pStyle w:val="BookText"/>
      </w:pPr>
      <w:r>
        <w:rPr>
          <w:rFonts w:ascii="Amiri" w:hAnsi="Amiri" w:eastAsia="Amiri" w:cs="Amiri"/>
          <w:lang w:bidi="ar-SA"/>
          <w:color w:val="111111"/>
          <w:sz w:val="28"/>
          <w:szCs w:val="28"/>
          <w:rtl/>
        </w:rPr>
        <w:t xml:space="preserve">ج 2، ص 50. .2 .اعلام الهدى و عقيدة ارباب التقى</w:t>
      </w:r>
    </w:p>
    <w:p>
      <w:pPr>
        <w:pStyle w:val="BookText"/>
      </w:pPr>
      <w:r>
        <w:rPr>
          <w:rFonts w:ascii="IRNazanin" w:hAnsi="IRNazanin" w:eastAsia="IRNazanin" w:cs="IRNazanin"/>
          <w:lang w:bidi="fa-IR"/>
          <w:color w:val="111111"/>
          <w:sz w:val="28"/>
          <w:szCs w:val="28"/>
          <w:rtl/>
        </w:rPr>
        <w:t xml:space="preserve">ج 2، ص 568.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املاء الشيخ شهاب الدين السهروردي، ج 2، ص 766.</w:t>
      </w:r>
    </w:p>
    <w:p>
      <w:pPr>
        <w:pStyle w:val="BookText"/>
      </w:pPr>
      <w:r>
        <w:rPr>
          <w:rFonts w:ascii="Amiri" w:hAnsi="Amiri" w:eastAsia="Amiri" w:cs="Amiri"/>
          <w:lang w:bidi="ar-SA"/>
          <w:color w:val="111111"/>
          <w:sz w:val="28"/>
          <w:szCs w:val="28"/>
          <w:rtl/>
        </w:rPr>
        <w:t xml:space="preserve">4 .حلية الفقير الصادق (رسالة في)، ج6،</w:t>
      </w:r>
    </w:p>
    <w:p>
      <w:pPr>
        <w:pStyle w:val="BookText"/>
      </w:pPr>
      <w:r>
        <w:rPr>
          <w:rFonts w:ascii="IRNazanin" w:hAnsi="IRNazanin" w:eastAsia="IRNazanin" w:cs="IRNazanin"/>
          <w:lang w:bidi="fa-IR"/>
          <w:color w:val="111111"/>
          <w:sz w:val="28"/>
          <w:szCs w:val="28"/>
          <w:rtl/>
        </w:rPr>
        <w:t xml:space="preserve">ص 815.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الرحيق المختوم لذوي الفهوم، ج8،</w:t>
      </w:r>
    </w:p>
    <w:p>
      <w:pPr>
        <w:pStyle w:val="BookText"/>
      </w:pPr>
      <w:r>
        <w:rPr>
          <w:rFonts w:ascii="IRNazanin" w:hAnsi="IRNazanin" w:eastAsia="IRNazanin" w:cs="IRNazanin"/>
          <w:lang w:bidi="fa-IR"/>
          <w:color w:val="111111"/>
          <w:sz w:val="28"/>
          <w:szCs w:val="28"/>
          <w:rtl/>
        </w:rPr>
        <w:t xml:space="preserve">ص 81</w:t>
      </w:r>
    </w:p>
    <w:p>
      <w:pPr>
        <w:pStyle w:val="BookText"/>
      </w:pPr>
      <w:r>
        <w:rPr>
          <w:rFonts w:ascii="Amiri" w:hAnsi="Amiri" w:eastAsia="Amiri" w:cs="Amiri"/>
          <w:lang w:bidi="ar-SA"/>
          <w:color w:val="111111"/>
          <w:sz w:val="28"/>
          <w:szCs w:val="28"/>
          <w:rtl/>
        </w:rPr>
        <w:t xml:space="preserve">6 .رشف النصائح الايمانية وكشف الفضائح اليونانية، ج8، ص 314.</w:t>
      </w:r>
    </w:p>
    <w:p>
      <w:pPr>
        <w:pStyle w:val="BookText"/>
      </w:pPr>
      <w:r>
        <w:rPr>
          <w:rFonts w:ascii="Amiri" w:hAnsi="Amiri" w:eastAsia="Amiri" w:cs="Amiri"/>
          <w:lang w:bidi="ar-SA"/>
          <w:color w:val="111111"/>
          <w:sz w:val="28"/>
          <w:szCs w:val="28"/>
          <w:rtl/>
        </w:rPr>
        <w:t xml:space="preserve">7 .السير و الطير، ج 9، ص 36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عوارف المعارف، ج 11، ص 347.</w:t>
      </w:r>
    </w:p>
    <w:p>
      <w:pPr>
        <w:pStyle w:val="BookText"/>
      </w:pPr>
      <w:r>
        <w:rPr>
          <w:rFonts w:ascii="Amiri" w:hAnsi="Amiri" w:eastAsia="Amiri" w:cs="Amiri"/>
          <w:lang w:bidi="ar-SA"/>
          <w:color w:val="111111"/>
          <w:sz w:val="28"/>
          <w:szCs w:val="28"/>
          <w:rtl/>
        </w:rPr>
        <w:t xml:space="preserve">9 .غربة المغربية، ج11، ص 470.</w:t>
      </w:r>
    </w:p>
    <w:p>
      <w:pPr>
        <w:pStyle w:val="BookText"/>
      </w:pPr>
      <w:r>
        <w:rPr>
          <w:rFonts w:ascii="Amiri" w:hAnsi="Amiri" w:eastAsia="Amiri" w:cs="Amiri"/>
          <w:lang w:bidi="ar-SA"/>
          <w:color w:val="111111"/>
          <w:sz w:val="28"/>
          <w:szCs w:val="28"/>
          <w:rtl/>
        </w:rPr>
        <w:t xml:space="preserve">10 .قصيدة، ج 12، ص 635.</w:t>
      </w:r>
    </w:p>
    <w:p>
      <w:pPr>
        <w:pStyle w:val="BookText"/>
      </w:pPr>
      <w:r>
        <w:rPr>
          <w:rFonts w:ascii="Amiri" w:hAnsi="Amiri" w:eastAsia="Amiri" w:cs="Amiri"/>
          <w:lang w:bidi="ar-SA"/>
          <w:color w:val="111111"/>
          <w:sz w:val="28"/>
          <w:szCs w:val="28"/>
          <w:rtl/>
        </w:rPr>
        <w:t xml:space="preserve">11 .وصية السهروردي - الوصية = وصية شهاب الدين أبي حفص عمربن محمّد السهروردي ، ج 16،</w:t>
      </w:r>
    </w:p>
    <w:p>
      <w:pPr>
        <w:pStyle w:val="BookText"/>
      </w:pPr>
      <w:r>
        <w:rPr>
          <w:rFonts w:ascii="IRNazanin" w:hAnsi="IRNazanin" w:eastAsia="IRNazanin" w:cs="IRNazanin"/>
          <w:lang w:bidi="fa-IR"/>
          <w:color w:val="111111"/>
          <w:sz w:val="28"/>
          <w:szCs w:val="28"/>
          <w:rtl/>
        </w:rPr>
        <w:t xml:space="preserve">ص 816.</w:t>
      </w:r>
    </w:p>
    <w:p>
      <w:pPr>
        <w:pStyle w:val="Heading2"/>
      </w:pPr>
      <w:bookmarkStart w:id="4961" w:name="_Toc4063"/>
      <w:r>
        <w:t>سهروردي ، محمّد امین بن عبدالرحمن</w:t>
      </w:r>
      <w:bookmarkEnd w:id="4961"/>
    </w:p>
    <w:p>
      <w:pPr>
        <w:pStyle w:val="BookText"/>
      </w:pPr>
      <w:r>
        <w:rPr>
          <w:rFonts w:ascii="IRNazanin" w:hAnsi="IRNazanin" w:eastAsia="IRNazanin" w:cs="IRNazanin"/>
          <w:lang w:bidi="fa-IR"/>
          <w:color w:val="111111"/>
          <w:sz w:val="28"/>
          <w:szCs w:val="28"/>
          <w:rtl/>
        </w:rPr>
        <w:t xml:space="preserve">1252 - 1320 ه-</w:t>
      </w:r>
    </w:p>
    <w:p>
      <w:pPr>
        <w:pStyle w:val="BookText"/>
      </w:pPr>
      <w:r>
        <w:rPr>
          <w:rFonts w:ascii="Amiri" w:hAnsi="Amiri" w:eastAsia="Amiri" w:cs="Amiri"/>
          <w:lang w:bidi="ar-SA"/>
          <w:color w:val="111111"/>
          <w:sz w:val="28"/>
          <w:szCs w:val="28"/>
          <w:rtl/>
        </w:rPr>
        <w:t xml:space="preserve">1 .حاشية شرح المغني في النحو، ج6،</w:t>
      </w:r>
    </w:p>
    <w:p>
      <w:pPr>
        <w:pStyle w:val="BookText"/>
      </w:pPr>
      <w:r>
        <w:rPr>
          <w:rFonts w:ascii="IRNazanin" w:hAnsi="IRNazanin" w:eastAsia="IRNazanin" w:cs="IRNazanin"/>
          <w:lang w:bidi="fa-IR"/>
          <w:color w:val="111111"/>
          <w:sz w:val="28"/>
          <w:szCs w:val="28"/>
          <w:rtl/>
        </w:rPr>
        <w:t xml:space="preserve">ص 184.</w:t>
      </w:r>
    </w:p>
    <w:p>
      <w:pPr>
        <w:pStyle w:val="BookText"/>
      </w:pPr>
      <w:r>
        <w:rPr>
          <w:rFonts w:ascii="Amiri" w:hAnsi="Amiri" w:eastAsia="Amiri" w:cs="Amiri"/>
          <w:lang w:bidi="ar-SA"/>
          <w:color w:val="111111"/>
          <w:sz w:val="28"/>
          <w:szCs w:val="28"/>
          <w:rtl/>
        </w:rPr>
        <w:t xml:space="preserve">2 .شرح المغني في النحو (مختصر)</w:t>
      </w:r>
    </w:p>
    <w:p>
      <w:pPr>
        <w:pStyle w:val="BookText"/>
      </w:pPr>
      <w:r>
        <w:rPr>
          <w:rFonts w:ascii="IRNazanin" w:hAnsi="IRNazanin" w:eastAsia="IRNazanin" w:cs="IRNazanin"/>
          <w:lang w:bidi="fa-IR"/>
          <w:color w:val="111111"/>
          <w:sz w:val="28"/>
          <w:szCs w:val="28"/>
          <w:rtl/>
        </w:rPr>
        <w:t xml:space="preserve">ج 10 ، ص 162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منتخب تأهيل الغريب، ج 15</w:t>
      </w:r>
    </w:p>
    <w:p>
      <w:pPr>
        <w:pStyle w:val="BookText"/>
      </w:pPr>
      <w:r>
        <w:rPr>
          <w:rFonts w:ascii="IRNazanin" w:hAnsi="IRNazanin" w:eastAsia="IRNazanin" w:cs="IRNazanin"/>
          <w:lang w:bidi="fa-IR"/>
          <w:color w:val="111111"/>
          <w:sz w:val="28"/>
          <w:szCs w:val="28"/>
          <w:rtl/>
        </w:rPr>
        <w:t xml:space="preserve">ص 601 .</w:t>
      </w:r>
    </w:p>
    <w:p>
      <w:pPr>
        <w:pStyle w:val="Heading2"/>
      </w:pPr>
      <w:bookmarkStart w:id="4962" w:name="_Toc4064"/>
      <w:r>
        <w:t>سهروردي ، يحيى بن حبش 549 - 587</w:t>
      </w:r>
      <w:bookmarkEnd w:id="4962"/>
    </w:p>
    <w:p>
      <w:pPr>
        <w:pStyle w:val="BookText"/>
      </w:pPr>
      <w:r>
        <w:rPr>
          <w:rFonts w:ascii="IRNazanin" w:hAnsi="IRNazanin" w:eastAsia="IRNazanin" w:cs="IRNazanin"/>
          <w:lang w:bidi="fa-IR"/>
          <w:color w:val="111111"/>
          <w:sz w:val="28"/>
          <w:szCs w:val="28"/>
          <w:rtl/>
        </w:rPr>
        <w:t xml:space="preserve">1 .الاربعون اسماء و شرحها، ج1،</w:t>
      </w:r>
    </w:p>
    <w:p>
      <w:pPr>
        <w:pStyle w:val="BookText"/>
      </w:pPr>
      <w:r>
        <w:rPr>
          <w:rFonts w:ascii="IRNazanin" w:hAnsi="IRNazanin" w:eastAsia="IRNazanin" w:cs="IRNazanin"/>
          <w:lang w:bidi="fa-IR"/>
          <w:color w:val="111111"/>
          <w:sz w:val="28"/>
          <w:szCs w:val="28"/>
          <w:rtl/>
        </w:rPr>
        <w:t xml:space="preserve">ص 679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الالواح العمادية، ج 2، ص 697.</w:t>
      </w:r>
    </w:p>
    <w:p>
      <w:pPr>
        <w:pStyle w:val="BookText"/>
      </w:pPr>
      <w:r>
        <w:rPr>
          <w:rFonts w:ascii="Amiri" w:hAnsi="Amiri" w:eastAsia="Amiri" w:cs="Amiri"/>
          <w:lang w:bidi="ar-SA"/>
          <w:color w:val="111111"/>
          <w:sz w:val="28"/>
          <w:szCs w:val="28"/>
          <w:rtl/>
        </w:rPr>
        <w:t xml:space="preserve">3 .التصوف (رسالة في)، ج4، ص 426.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دعوات الاسماء (دعوات صغير) = الاوراد = شرح اسماء الله = اسماء</w:t>
      </w:r>
    </w:p>
    <w:p>
      <w:pPr>
        <w:pStyle w:val="BookText"/>
      </w:pPr>
      <w:r>
        <w:rPr>
          <w:rFonts w:ascii="Amiri" w:hAnsi="Amiri" w:eastAsia="Amiri" w:cs="Amiri"/>
          <w:lang w:bidi="ar-SA"/>
          <w:color w:val="111111"/>
          <w:sz w:val="28"/>
          <w:szCs w:val="28"/>
          <w:rtl/>
        </w:rPr>
        <w:t xml:space="preserve">الادريسية، ج 7، ص 415.</w:t>
      </w:r>
    </w:p>
    <w:p>
      <w:pPr>
        <w:pStyle w:val="BookText"/>
      </w:pPr>
      <w:r>
        <w:rPr>
          <w:rFonts w:ascii="IRNazanin" w:hAnsi="IRNazanin" w:eastAsia="IRNazanin" w:cs="IRNazanin"/>
          <w:lang w:bidi="fa-IR"/>
          <w:color w:val="111111"/>
          <w:sz w:val="28"/>
          <w:szCs w:val="28"/>
          <w:rtl/>
        </w:rPr>
        <w:t xml:space="preserve">5 .دیوان سهروردي، ج 7، ص 654.</w:t>
      </w:r>
    </w:p>
    <w:p>
      <w:pPr>
        <w:pStyle w:val="BookText"/>
      </w:pPr>
      <w:r>
        <w:rPr>
          <w:rFonts w:ascii="Amiri" w:hAnsi="Amiri" w:eastAsia="Amiri" w:cs="Amiri"/>
          <w:lang w:bidi="ar-SA"/>
          <w:color w:val="111111"/>
          <w:sz w:val="28"/>
          <w:szCs w:val="28"/>
          <w:rtl/>
        </w:rPr>
        <w:t xml:space="preserve">6 .كلمة التصوف في شرح مقامات الصوفية و اصطلاحاتهم، ج13،</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IRNazanin" w:hAnsi="IRNazanin" w:eastAsia="IRNazanin" w:cs="IRNazanin"/>
          <w:lang w:bidi="fa-IR"/>
          <w:color w:val="111111"/>
          <w:sz w:val="28"/>
          <w:szCs w:val="28"/>
          <w:rtl/>
        </w:rPr>
        <w:t xml:space="preserve">7.المشارع و المطارحات، ج 14،</w:t>
      </w:r>
    </w:p>
    <w:p>
      <w:pPr>
        <w:pStyle w:val="BookText"/>
      </w:pPr>
      <w:r>
        <w:rPr>
          <w:rFonts w:ascii="IRNazanin" w:hAnsi="IRNazanin" w:eastAsia="IRNazanin" w:cs="IRNazanin"/>
          <w:lang w:bidi="fa-IR"/>
          <w:color w:val="111111"/>
          <w:sz w:val="28"/>
          <w:szCs w:val="28"/>
          <w:rtl/>
        </w:rPr>
        <w:t xml:space="preserve">ص 605.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هياكل النور، ج 16 ، ص 659.</w:t>
      </w:r>
    </w:p>
    <w:p>
      <w:pPr>
        <w:pStyle w:val="Heading2"/>
      </w:pPr>
      <w:bookmarkStart w:id="4963" w:name="_Toc4065"/>
      <w:r>
        <w:t>سهسلوي ، كمال الدين بن نظام الدين</w:t>
      </w:r>
      <w:bookmarkEnd w:id="4963"/>
    </w:p>
    <w:p>
      <w:pPr>
        <w:pStyle w:val="BookText"/>
      </w:pPr>
      <w:r>
        <w:rPr>
          <w:rFonts w:ascii="IRNazanin" w:hAnsi="IRNazanin" w:eastAsia="IRNazanin" w:cs="IRNazanin"/>
          <w:lang w:bidi="fa-IR"/>
          <w:color w:val="111111"/>
          <w:sz w:val="28"/>
          <w:szCs w:val="28"/>
          <w:rtl/>
        </w:rPr>
        <w:t xml:space="preserve">1175 ه-</w:t>
      </w:r>
    </w:p>
    <w:p>
      <w:pPr>
        <w:pStyle w:val="BookText"/>
      </w:pPr>
      <w:r>
        <w:rPr>
          <w:rFonts w:ascii="Amiri" w:hAnsi="Amiri" w:eastAsia="Amiri" w:cs="Amiri"/>
          <w:lang w:bidi="ar-SA"/>
          <w:color w:val="111111"/>
          <w:sz w:val="28"/>
          <w:szCs w:val="28"/>
          <w:rtl/>
        </w:rPr>
        <w:t xml:space="preserve">الرسالة المنوية، ج8، ص282.</w:t>
      </w:r>
    </w:p>
    <w:p>
      <w:pPr>
        <w:pStyle w:val="BookText"/>
      </w:pPr>
      <w:r>
        <w:rPr>
          <w:rFonts w:ascii="Amiri" w:hAnsi="Amiri" w:eastAsia="Amiri" w:cs="Amiri"/>
          <w:lang w:bidi="ar-SA"/>
          <w:color w:val="111111"/>
          <w:sz w:val="28"/>
          <w:szCs w:val="28"/>
          <w:rtl/>
        </w:rPr>
        <w:t xml:space="preserve">سهل بن بشر اسرائيلي- اسرائيلي ، سهل بن بشر</w:t>
      </w:r>
    </w:p>
    <w:p>
      <w:pPr>
        <w:pStyle w:val="BookText"/>
      </w:pPr>
      <w:r>
        <w:rPr>
          <w:rFonts w:ascii="Amiri" w:hAnsi="Amiri" w:eastAsia="Amiri" w:cs="Amiri"/>
          <w:lang w:bidi="ar-SA"/>
          <w:color w:val="111111"/>
          <w:sz w:val="28"/>
          <w:szCs w:val="28"/>
          <w:rtl/>
        </w:rPr>
        <w:t xml:space="preserve">سهل بن عبدالله تستري- تستري ، سهل بن</w:t>
      </w:r>
    </w:p>
    <w:p>
      <w:pPr>
        <w:pStyle w:val="BookText"/>
      </w:pPr>
      <w:r>
        <w:rPr>
          <w:rFonts w:ascii="IRNazanin" w:hAnsi="IRNazanin" w:eastAsia="IRNazanin" w:cs="IRNazanin"/>
          <w:lang w:bidi="fa-IR"/>
          <w:color w:val="111111"/>
          <w:sz w:val="28"/>
          <w:szCs w:val="28"/>
          <w:rtl/>
        </w:rPr>
        <w:t xml:space="preserve">عبدالله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8" w:name="pg7742_70566"/>
    <w:bookmarkEnd w:id="588"/>
    <w:p>
      <w:pPr>
        <w:pStyle w:val="BookText"/>
      </w:pPr>
      <w:r>
        <w:rPr>
          <w:rFonts w:ascii="Amiri" w:hAnsi="Amiri" w:eastAsia="Amiri" w:cs="Amiri"/>
          <w:lang w:bidi="ar-SA"/>
          <w:color w:val="111111"/>
          <w:sz w:val="28"/>
          <w:szCs w:val="28"/>
          <w:rtl/>
        </w:rPr>
        <w:t xml:space="preserve">سهل بن عبد الله نجاري- بخاري ، سهل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سهل بن محمّد سجستاني- سجستاني ،</w:t>
      </w:r>
    </w:p>
    <w:p>
      <w:pPr>
        <w:pStyle w:val="BookText"/>
      </w:pPr>
      <w:r>
        <w:rPr>
          <w:rFonts w:ascii="Amiri" w:hAnsi="Amiri" w:eastAsia="Amiri" w:cs="Amiri"/>
          <w:lang w:bidi="ar-SA"/>
          <w:color w:val="111111"/>
          <w:sz w:val="28"/>
          <w:szCs w:val="28"/>
          <w:rtl/>
        </w:rPr>
        <w:t xml:space="preserve">سهل بن محمّد</w:t>
      </w:r>
    </w:p>
    <w:p>
      <w:pPr>
        <w:pStyle w:val="BookText"/>
      </w:pPr>
      <w:r>
        <w:rPr>
          <w:rFonts w:ascii="Amiri" w:hAnsi="Amiri" w:eastAsia="Amiri" w:cs="Amiri"/>
          <w:lang w:bidi="ar-SA"/>
          <w:color w:val="111111"/>
          <w:sz w:val="28"/>
          <w:szCs w:val="28"/>
          <w:rtl/>
        </w:rPr>
        <w:t xml:space="preserve">سهل تستري - تستري ، سهل بن عبد الله</w:t>
      </w:r>
    </w:p>
    <w:p>
      <w:pPr>
        <w:pStyle w:val="BookText"/>
      </w:pPr>
      <w:r>
        <w:rPr>
          <w:rFonts w:ascii="Amiri" w:hAnsi="Amiri" w:eastAsia="Amiri" w:cs="Amiri"/>
          <w:lang w:bidi="ar-SA"/>
          <w:color w:val="111111"/>
          <w:sz w:val="28"/>
          <w:szCs w:val="28"/>
          <w:rtl/>
        </w:rPr>
        <w:t xml:space="preserve">سهل شوشتري- تستري ، سهل بن عبدالله</w:t>
      </w:r>
    </w:p>
    <w:p>
      <w:pPr>
        <w:pStyle w:val="Heading2"/>
      </w:pPr>
      <w:bookmarkStart w:id="4964" w:name="_Toc4066"/>
      <w:r>
        <w:t>سهمي ، حمزه بن ،یوسف، 340 - 427 ه-</w:t>
      </w:r>
      <w:bookmarkEnd w:id="4964"/>
    </w:p>
    <w:p>
      <w:pPr>
        <w:pStyle w:val="BookText"/>
      </w:pPr>
      <w:r>
        <w:rPr>
          <w:rFonts w:ascii="Amiri" w:hAnsi="Amiri" w:eastAsia="Amiri" w:cs="Amiri"/>
          <w:lang w:bidi="ar-SA"/>
          <w:color w:val="111111"/>
          <w:sz w:val="28"/>
          <w:szCs w:val="28"/>
          <w:rtl/>
        </w:rPr>
        <w:t xml:space="preserve">سؤالات في الرجال، ج8، ص 675.</w:t>
      </w:r>
    </w:p>
    <w:p>
      <w:pPr>
        <w:pStyle w:val="BookText"/>
      </w:pPr>
      <w:r>
        <w:rPr>
          <w:rFonts w:ascii="Amiri" w:hAnsi="Amiri" w:eastAsia="Amiri" w:cs="Amiri"/>
          <w:lang w:bidi="ar-SA"/>
          <w:color w:val="111111"/>
          <w:sz w:val="28"/>
          <w:szCs w:val="28"/>
          <w:rtl/>
        </w:rPr>
        <w:t xml:space="preserve">سهولي ، محمّد ولي بن محمّد -شهابي ،</w:t>
      </w:r>
    </w:p>
    <w:p>
      <w:pPr>
        <w:pStyle w:val="BookText"/>
      </w:pPr>
      <w:r>
        <w:rPr>
          <w:rFonts w:ascii="Amiri" w:hAnsi="Amiri" w:eastAsia="Amiri" w:cs="Amiri"/>
          <w:lang w:bidi="ar-SA"/>
          <w:color w:val="111111"/>
          <w:sz w:val="28"/>
          <w:szCs w:val="28"/>
          <w:rtl/>
        </w:rPr>
        <w:t xml:space="preserve">محمّد ولي بن مير محمّد</w:t>
      </w:r>
    </w:p>
    <w:p>
      <w:pPr>
        <w:pStyle w:val="Heading2"/>
      </w:pPr>
      <w:bookmarkStart w:id="4965" w:name="_Toc4067"/>
      <w:r>
        <w:t>سهيلي ، عبدالرحمن بن عبدالله 508 -</w:t>
      </w:r>
      <w:bookmarkEnd w:id="4965"/>
    </w:p>
    <w:p>
      <w:pPr>
        <w:pStyle w:val="BookText"/>
      </w:pPr>
      <w:r>
        <w:rPr>
          <w:rFonts w:ascii="IRNazanin" w:hAnsi="IRNazanin" w:eastAsia="IRNazanin" w:cs="IRNazanin"/>
          <w:lang w:bidi="fa-IR"/>
          <w:color w:val="111111"/>
          <w:sz w:val="28"/>
          <w:szCs w:val="28"/>
          <w:rtl/>
        </w:rPr>
        <w:t xml:space="preserve">581 ه-</w:t>
      </w:r>
    </w:p>
    <w:p>
      <w:pPr>
        <w:pStyle w:val="BookText"/>
      </w:pPr>
      <w:r>
        <w:rPr>
          <w:rFonts w:ascii="Amiri" w:hAnsi="Amiri" w:eastAsia="Amiri" w:cs="Amiri"/>
          <w:lang w:bidi="ar-SA"/>
          <w:color w:val="111111"/>
          <w:sz w:val="28"/>
          <w:szCs w:val="28"/>
          <w:rtl/>
        </w:rPr>
        <w:t xml:space="preserve">1 .التعريف و الأعلام في ما أبهم في</w:t>
      </w:r>
    </w:p>
    <w:p>
      <w:pPr>
        <w:pStyle w:val="BookText"/>
      </w:pPr>
      <w:r>
        <w:rPr>
          <w:rFonts w:ascii="IRNazanin" w:hAnsi="IRNazanin" w:eastAsia="IRNazanin" w:cs="IRNazanin"/>
          <w:lang w:bidi="fa-IR"/>
          <w:color w:val="111111"/>
          <w:sz w:val="28"/>
          <w:szCs w:val="28"/>
          <w:rtl/>
        </w:rPr>
        <w:t xml:space="preserve">القرآن من الأسماء الأعلام، جع،</w:t>
      </w:r>
    </w:p>
    <w:p>
      <w:pPr>
        <w:pStyle w:val="BookText"/>
      </w:pPr>
      <w:r>
        <w:rPr>
          <w:rFonts w:ascii="IRNazanin" w:hAnsi="IRNazanin" w:eastAsia="IRNazanin" w:cs="IRNazanin"/>
          <w:lang w:bidi="fa-IR"/>
          <w:color w:val="111111"/>
          <w:sz w:val="28"/>
          <w:szCs w:val="28"/>
          <w:rtl/>
        </w:rPr>
        <w:t xml:space="preserve">ص 480</w:t>
      </w:r>
    </w:p>
    <w:p>
      <w:pPr>
        <w:pStyle w:val="BookText"/>
      </w:pPr>
      <w:r>
        <w:rPr>
          <w:rFonts w:ascii="Amiri" w:hAnsi="Amiri" w:eastAsia="Amiri" w:cs="Amiri"/>
          <w:lang w:bidi="ar-SA"/>
          <w:color w:val="111111"/>
          <w:sz w:val="28"/>
          <w:szCs w:val="28"/>
          <w:rtl/>
        </w:rPr>
        <w:t xml:space="preserve">2 .الروض الانف في شرح غريب السير</w:t>
      </w:r>
    </w:p>
    <w:p>
      <w:pPr>
        <w:pStyle w:val="BookText"/>
      </w:pPr>
      <w:r>
        <w:rPr>
          <w:rFonts w:ascii="IRNazanin" w:hAnsi="IRNazanin" w:eastAsia="IRNazanin" w:cs="IRNazanin"/>
          <w:lang w:bidi="fa-IR"/>
          <w:color w:val="111111"/>
          <w:sz w:val="28"/>
          <w:szCs w:val="28"/>
          <w:rtl/>
        </w:rPr>
        <w:t xml:space="preserve">ج 8، ص 397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الغارة المباركة، ج 11، ص 421.</w:t>
      </w:r>
    </w:p>
    <w:p>
      <w:pPr>
        <w:pStyle w:val="BookText"/>
      </w:pPr>
      <w:r>
        <w:rPr>
          <w:rFonts w:ascii="Amiri" w:hAnsi="Amiri" w:eastAsia="Amiri" w:cs="Amiri"/>
          <w:lang w:bidi="ar-SA"/>
          <w:color w:val="111111"/>
          <w:sz w:val="28"/>
          <w:szCs w:val="28"/>
          <w:rtl/>
        </w:rPr>
        <w:t xml:space="preserve">4 .القصيدة العينية، ج 12، ص 684.</w:t>
      </w:r>
    </w:p>
    <w:p>
      <w:pPr>
        <w:pStyle w:val="Heading2"/>
      </w:pPr>
      <w:bookmarkStart w:id="4966" w:name="_Toc4068"/>
      <w:r>
        <w:t>سوبيني، ابراهيم بن عمر 800 - 858 ه-</w:t>
      </w:r>
      <w:bookmarkEnd w:id="4966"/>
    </w:p>
    <w:p>
      <w:pPr>
        <w:pStyle w:val="BookText"/>
      </w:pPr>
      <w:r>
        <w:rPr>
          <w:rFonts w:ascii="Amiri" w:hAnsi="Amiri" w:eastAsia="Amiri" w:cs="Amiri"/>
          <w:lang w:bidi="ar-SA"/>
          <w:color w:val="111111"/>
          <w:sz w:val="28"/>
          <w:szCs w:val="28"/>
          <w:rtl/>
        </w:rPr>
        <w:t xml:space="preserve">1 .محاسن الوسائل إلى معرفة الأوائل</w:t>
      </w:r>
    </w:p>
    <w:p>
      <w:pPr>
        <w:pStyle w:val="BookText"/>
      </w:pPr>
      <w:r>
        <w:rPr>
          <w:rFonts w:ascii="IRNazanin" w:hAnsi="IRNazanin" w:eastAsia="IRNazanin" w:cs="IRNazanin"/>
          <w:lang w:bidi="fa-IR"/>
          <w:color w:val="111111"/>
          <w:sz w:val="28"/>
          <w:szCs w:val="28"/>
          <w:rtl/>
        </w:rPr>
        <w:t xml:space="preserve">(مختصر)، ج 14، ص 97.</w:t>
      </w:r>
    </w:p>
    <w:p>
      <w:pPr>
        <w:pStyle w:val="BookText"/>
      </w:pPr>
      <w:r>
        <w:rPr>
          <w:rFonts w:ascii="Amiri" w:hAnsi="Amiri" w:eastAsia="Amiri" w:cs="Amiri"/>
          <w:lang w:bidi="ar-SA"/>
          <w:color w:val="111111"/>
          <w:sz w:val="28"/>
          <w:szCs w:val="28"/>
          <w:rtl/>
        </w:rPr>
        <w:t xml:space="preserve">2 .مسألة الساكت (رسالة في)، ج 14،</w:t>
      </w:r>
    </w:p>
    <w:p>
      <w:pPr>
        <w:pStyle w:val="BookText"/>
      </w:pPr>
      <w:r>
        <w:rPr>
          <w:rFonts w:ascii="IRNazanin" w:hAnsi="IRNazanin" w:eastAsia="IRNazanin" w:cs="IRNazanin"/>
          <w:lang w:bidi="fa-IR"/>
          <w:color w:val="111111"/>
          <w:sz w:val="28"/>
          <w:szCs w:val="28"/>
          <w:rtl/>
        </w:rPr>
        <w:t xml:space="preserve">ص 539.</w:t>
      </w:r>
    </w:p>
    <w:p>
      <w:pPr>
        <w:pStyle w:val="Heading2"/>
      </w:pPr>
      <w:bookmarkStart w:id="4967" w:name="_Toc4069"/>
      <w:r>
        <w:t>سوداني ، عبدالرحيم</w:t>
      </w:r>
      <w:bookmarkEnd w:id="4967"/>
    </w:p>
    <w:p>
      <w:pPr>
        <w:pStyle w:val="BookText"/>
      </w:pPr>
      <w:r>
        <w:rPr>
          <w:rFonts w:ascii="Amiri" w:hAnsi="Amiri" w:eastAsia="Amiri" w:cs="Amiri"/>
          <w:lang w:bidi="ar-SA"/>
          <w:color w:val="111111"/>
          <w:sz w:val="28"/>
          <w:szCs w:val="28"/>
          <w:rtl/>
        </w:rPr>
        <w:t xml:space="preserve">حاشية الغيبة ابن مالك، ج 6، ص 258.</w:t>
      </w:r>
    </w:p>
    <w:p>
      <w:pPr>
        <w:pStyle w:val="Heading2"/>
      </w:pPr>
      <w:bookmarkStart w:id="4968" w:name="_Toc4070"/>
      <w:r>
        <w:t>سودي ، محمّد بن علي - 932 ه-</w:t>
      </w:r>
      <w:bookmarkEnd w:id="4968"/>
    </w:p>
    <w:p>
      <w:pPr>
        <w:pStyle w:val="BookText"/>
      </w:pPr>
      <w:r>
        <w:rPr>
          <w:rFonts w:ascii="Amiri" w:hAnsi="Amiri" w:eastAsia="Amiri" w:cs="Amiri"/>
          <w:lang w:bidi="ar-SA"/>
          <w:color w:val="111111"/>
          <w:sz w:val="28"/>
          <w:szCs w:val="28"/>
          <w:rtl/>
        </w:rPr>
        <w:t xml:space="preserve">1 .بلبل الافراح و راحة الارواح، ج 3،</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Amiri" w:hAnsi="Amiri" w:eastAsia="Amiri" w:cs="Amiri"/>
          <w:lang w:bidi="ar-SA"/>
          <w:color w:val="111111"/>
          <w:sz w:val="28"/>
          <w:szCs w:val="28"/>
          <w:rtl/>
        </w:rPr>
        <w:t xml:space="preserve">2 .ديوان السودي، ج 7، ص 654.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الذخيرة وكشف التوقيع لاهل</w:t>
      </w:r>
    </w:p>
    <w:p>
      <w:pPr>
        <w:pStyle w:val="BookText"/>
      </w:pPr>
      <w:r>
        <w:rPr>
          <w:rFonts w:ascii="Amiri" w:hAnsi="Amiri" w:eastAsia="Amiri" w:cs="Amiri"/>
          <w:lang w:bidi="ar-SA"/>
          <w:color w:val="111111"/>
          <w:sz w:val="28"/>
          <w:szCs w:val="28"/>
          <w:rtl/>
        </w:rPr>
        <w:t xml:space="preserve">البصيرة، ج 7، ص 841.</w:t>
      </w:r>
    </w:p>
    <w:p>
      <w:pPr>
        <w:pStyle w:val="BookText"/>
      </w:pPr>
      <w:r>
        <w:rPr>
          <w:rFonts w:ascii="IRNazanin" w:hAnsi="IRNazanin" w:eastAsia="IRNazanin" w:cs="IRNazanin"/>
          <w:lang w:bidi="fa-IR"/>
          <w:color w:val="111111"/>
          <w:sz w:val="28"/>
          <w:szCs w:val="28"/>
          <w:rtl/>
        </w:rPr>
        <w:t xml:space="preserve">4 .نسمات السحر و نفحات الدهر</w:t>
      </w:r>
    </w:p>
    <w:p>
      <w:pPr>
        <w:pStyle w:val="BookText"/>
      </w:pPr>
      <w:r>
        <w:rPr>
          <w:rFonts w:ascii="IRNazanin" w:hAnsi="IRNazanin" w:eastAsia="IRNazanin" w:cs="IRNazanin"/>
          <w:lang w:bidi="fa-IR"/>
          <w:color w:val="111111"/>
          <w:sz w:val="28"/>
          <w:szCs w:val="28"/>
          <w:rtl/>
        </w:rPr>
        <w:t xml:space="preserve">ج 16 ، ص 278.</w:t>
      </w:r>
    </w:p>
    <w:p>
      <w:pPr>
        <w:pStyle w:val="Heading2"/>
      </w:pPr>
      <w:bookmarkStart w:id="4969" w:name="_Toc4071"/>
      <w:r>
        <w:t>سوربهاري، عبد الرحيم بن احمد قرن 10</w:t>
      </w:r>
      <w:bookmarkEnd w:id="4969"/>
    </w:p>
    <w:p>
      <w:pPr>
        <w:pStyle w:val="BookText"/>
      </w:pPr>
      <w:r>
        <w:rPr>
          <w:rFonts w:ascii="Amiri" w:hAnsi="Amiri" w:eastAsia="Amiri" w:cs="Amiri"/>
          <w:lang w:bidi="ar-SA"/>
          <w:color w:val="111111"/>
          <w:sz w:val="28"/>
          <w:szCs w:val="28"/>
          <w:rtl/>
        </w:rPr>
        <w:t xml:space="preserve">كشف اللغات والاصطلاحات، ج13،</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Amiri" w:hAnsi="Amiri" w:eastAsia="Amiri" w:cs="Amiri"/>
          <w:lang w:bidi="ar-SA"/>
          <w:color w:val="111111"/>
          <w:sz w:val="28"/>
          <w:szCs w:val="28"/>
          <w:rtl/>
        </w:rPr>
        <w:t xml:space="preserve">سور ، عبد الرحيم بن احمد -سوربهاري</w:t>
      </w:r>
    </w:p>
    <w:p>
      <w:pPr>
        <w:pStyle w:val="BookText"/>
      </w:pPr>
      <w:r>
        <w:rPr>
          <w:rFonts w:ascii="Amiri" w:hAnsi="Amiri" w:eastAsia="Amiri" w:cs="Amiri"/>
          <w:lang w:bidi="ar-SA"/>
          <w:color w:val="111111"/>
          <w:sz w:val="28"/>
          <w:szCs w:val="28"/>
          <w:rtl/>
        </w:rPr>
        <w:t xml:space="preserve">عبد الرحيم بن احمد</w:t>
      </w:r>
    </w:p>
    <w:p>
      <w:pPr>
        <w:pStyle w:val="BookText"/>
      </w:pPr>
      <w:r>
        <w:rPr>
          <w:rFonts w:ascii="Amiri" w:hAnsi="Amiri" w:eastAsia="Amiri" w:cs="Amiri"/>
          <w:lang w:bidi="ar-SA"/>
          <w:color w:val="111111"/>
          <w:sz w:val="28"/>
          <w:szCs w:val="28"/>
          <w:rtl/>
        </w:rPr>
        <w:t xml:space="preserve">سوري تفرشي -دانش تفرشي ، محمّد تقي</w:t>
      </w:r>
    </w:p>
    <w:p>
      <w:pPr>
        <w:pStyle w:val="BookText"/>
      </w:pPr>
      <w:r>
        <w:rPr>
          <w:rFonts w:ascii="Amiri" w:hAnsi="Amiri" w:eastAsia="Amiri" w:cs="Amiri"/>
          <w:lang w:bidi="ar-SA"/>
          <w:color w:val="111111"/>
          <w:sz w:val="28"/>
          <w:szCs w:val="28"/>
          <w:rtl/>
        </w:rPr>
        <w:t xml:space="preserve">بن حسين</w:t>
      </w:r>
    </w:p>
    <w:p>
      <w:pPr>
        <w:pStyle w:val="Heading2"/>
      </w:pPr>
      <w:bookmarkStart w:id="4970" w:name="_Toc4072"/>
      <w:r>
        <w:t>سوري يماني، هادي بن علي</w:t>
      </w:r>
      <w:bookmarkEnd w:id="4970"/>
    </w:p>
    <w:p>
      <w:pPr>
        <w:pStyle w:val="BookText"/>
      </w:pPr>
      <w:r>
        <w:rPr>
          <w:rFonts w:ascii="Amiri" w:hAnsi="Amiri" w:eastAsia="Amiri" w:cs="Amiri"/>
          <w:lang w:bidi="ar-SA"/>
          <w:color w:val="111111"/>
          <w:sz w:val="28"/>
          <w:szCs w:val="28"/>
          <w:rtl/>
        </w:rPr>
        <w:t xml:space="preserve">ديوان الهادي، ج 7، ص791.</w:t>
      </w:r>
    </w:p>
    <w:p>
      <w:pPr>
        <w:pStyle w:val="BookText"/>
      </w:pPr>
      <w:r>
        <w:rPr>
          <w:rFonts w:ascii="Amiri" w:hAnsi="Amiri" w:eastAsia="Amiri" w:cs="Amiri"/>
          <w:lang w:bidi="ar-SA"/>
          <w:color w:val="111111"/>
          <w:sz w:val="28"/>
          <w:szCs w:val="28"/>
          <w:rtl/>
        </w:rPr>
        <w:t xml:space="preserve">سوسني ، محمّد سليم بن رسول- كردي</w:t>
      </w:r>
    </w:p>
    <w:p>
      <w:pPr>
        <w:pStyle w:val="BookText"/>
      </w:pPr>
      <w:r>
        <w:rPr>
          <w:rFonts w:ascii="IRNazanin" w:hAnsi="IRNazanin" w:eastAsia="IRNazanin" w:cs="IRNazanin"/>
          <w:lang w:bidi="fa-IR"/>
          <w:color w:val="111111"/>
          <w:sz w:val="28"/>
          <w:szCs w:val="28"/>
          <w:rtl/>
        </w:rPr>
        <w:t xml:space="preserve">سوسني ، محمّد سلیم بن رسول</w:t>
      </w:r>
    </w:p>
    <w:p>
      <w:pPr>
        <w:pStyle w:val="BookText"/>
      </w:pPr>
      <w:r>
        <w:rPr>
          <w:rFonts w:ascii="Amiri" w:hAnsi="Amiri" w:eastAsia="Amiri" w:cs="Amiri"/>
          <w:lang w:bidi="ar-SA"/>
          <w:color w:val="111111"/>
          <w:sz w:val="28"/>
          <w:szCs w:val="28"/>
          <w:rtl/>
        </w:rPr>
        <w:t xml:space="preserve">سوسي الروداني ، محمّد بن محمّد -سوسي ، محمّد بن محمّد</w:t>
      </w:r>
    </w:p>
    <w:p>
      <w:pPr>
        <w:pStyle w:val="BookText"/>
      </w:pPr>
      <w:r>
        <w:rPr>
          <w:rFonts w:ascii="Amiri" w:hAnsi="Amiri" w:eastAsia="Amiri" w:cs="Amiri"/>
          <w:lang w:bidi="ar-SA"/>
          <w:color w:val="111111"/>
          <w:sz w:val="28"/>
          <w:szCs w:val="28"/>
          <w:rtl/>
        </w:rPr>
        <w:t xml:space="preserve">سوسي ، حامد بن عمر -حامد بن عمر</w:t>
      </w:r>
    </w:p>
    <w:p>
      <w:pPr>
        <w:pStyle w:val="Heading2"/>
      </w:pPr>
      <w:bookmarkStart w:id="4971" w:name="_Toc4073"/>
      <w:r>
        <w:t>سوسي ، علي بن رسول قرن 12 ه-</w:t>
      </w:r>
      <w:bookmarkEnd w:id="4971"/>
    </w:p>
    <w:p>
      <w:pPr>
        <w:pStyle w:val="BookText"/>
      </w:pPr>
      <w:r>
        <w:rPr>
          <w:rFonts w:ascii="Amiri" w:hAnsi="Amiri" w:eastAsia="Amiri" w:cs="Amiri"/>
          <w:lang w:bidi="ar-SA"/>
          <w:color w:val="111111"/>
          <w:sz w:val="28"/>
          <w:szCs w:val="28"/>
          <w:rtl/>
        </w:rPr>
        <w:t xml:space="preserve">شرح قصيدة البردة، ج9، ص 853.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89" w:name="pg7742_70567"/>
    <w:bookmarkEnd w:id="589"/>
    <w:p>
      <w:pPr>
        <w:pStyle w:val="Heading2"/>
      </w:pPr>
      <w:bookmarkStart w:id="4972" w:name="_Toc4074"/>
      <w:r>
        <w:t>سوسي ، محمّد بن سعيد، 1007 - 1089</w:t>
      </w:r>
      <w:bookmarkEnd w:id="4972"/>
    </w:p>
    <w:p>
      <w:pPr>
        <w:pStyle w:val="BookText"/>
      </w:pPr>
      <w:r>
        <w:rPr>
          <w:rFonts w:ascii="IRNazanin" w:hAnsi="IRNazanin" w:eastAsia="IRNazanin" w:cs="IRNazanin"/>
          <w:lang w:bidi="fa-IR"/>
          <w:color w:val="111111"/>
          <w:sz w:val="28"/>
          <w:szCs w:val="28"/>
          <w:rtl/>
        </w:rPr>
        <w:t xml:space="preserve">1 .المطلع على مسائل المقنع، ج 14،</w:t>
      </w:r>
    </w:p>
    <w:p>
      <w:pPr>
        <w:pStyle w:val="BookText"/>
      </w:pPr>
      <w:r>
        <w:rPr>
          <w:rFonts w:ascii="IRNazanin" w:hAnsi="IRNazanin" w:eastAsia="IRNazanin" w:cs="IRNazanin"/>
          <w:lang w:bidi="fa-IR"/>
          <w:color w:val="111111"/>
          <w:sz w:val="28"/>
          <w:szCs w:val="28"/>
          <w:rtl/>
        </w:rPr>
        <w:t xml:space="preserve">ص 799.</w:t>
      </w:r>
    </w:p>
    <w:p>
      <w:pPr>
        <w:pStyle w:val="BookText"/>
      </w:pPr>
      <w:r>
        <w:rPr>
          <w:rFonts w:ascii="Amiri" w:hAnsi="Amiri" w:eastAsia="Amiri" w:cs="Amiri"/>
          <w:lang w:bidi="ar-SA"/>
          <w:color w:val="111111"/>
          <w:sz w:val="28"/>
          <w:szCs w:val="28"/>
          <w:rtl/>
        </w:rPr>
        <w:t xml:space="preserve">2 .المقنع في علم المقرع، ج 15،</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Amiri" w:hAnsi="Amiri" w:eastAsia="Amiri" w:cs="Amiri"/>
          <w:lang w:bidi="ar-SA"/>
          <w:color w:val="111111"/>
          <w:sz w:val="28"/>
          <w:szCs w:val="28"/>
          <w:rtl/>
        </w:rPr>
        <w:t xml:space="preserve">3 .الممتع في شرح المقنع، ج15،</w:t>
      </w:r>
    </w:p>
    <w:p>
      <w:pPr>
        <w:pStyle w:val="BookText"/>
      </w:pPr>
      <w:r>
        <w:rPr>
          <w:rFonts w:ascii="IRNazanin" w:hAnsi="IRNazanin" w:eastAsia="IRNazanin" w:cs="IRNazanin"/>
          <w:lang w:bidi="fa-IR"/>
          <w:color w:val="111111"/>
          <w:sz w:val="28"/>
          <w:szCs w:val="28"/>
          <w:rtl/>
        </w:rPr>
        <w:t xml:space="preserve">ص 470 .</w:t>
      </w:r>
    </w:p>
    <w:p>
      <w:pPr>
        <w:pStyle w:val="BookText"/>
      </w:pPr>
      <w:r>
        <w:rPr>
          <w:rFonts w:ascii="Amiri" w:hAnsi="Amiri" w:eastAsia="Amiri" w:cs="Amiri"/>
          <w:lang w:bidi="ar-SA"/>
          <w:color w:val="111111"/>
          <w:sz w:val="28"/>
          <w:szCs w:val="28"/>
          <w:rtl/>
        </w:rPr>
        <w:t xml:space="preserve">4 .الوفق المخمس الخالي الوسط (منظومة في)، ج 16، ص 850.</w:t>
      </w:r>
    </w:p>
    <w:p>
      <w:pPr>
        <w:pStyle w:val="Heading2"/>
      </w:pPr>
      <w:bookmarkStart w:id="4973" w:name="_Toc4075"/>
      <w:r>
        <w:t>سوسي ، محمّد بن محمّد، 1037 - 1094</w:t>
      </w:r>
      <w:bookmarkEnd w:id="4973"/>
    </w:p>
    <w:p>
      <w:pPr>
        <w:pStyle w:val="BookText"/>
      </w:pPr>
      <w:r>
        <w:rPr>
          <w:rFonts w:ascii="IRNazanin" w:hAnsi="IRNazanin" w:eastAsia="IRNazanin" w:cs="IRNazanin"/>
          <w:lang w:bidi="fa-IR"/>
          <w:color w:val="111111"/>
          <w:sz w:val="28"/>
          <w:szCs w:val="28"/>
          <w:rtl/>
        </w:rPr>
        <w:t xml:space="preserve">1 .اسطرلاب، ج 2، ص188.</w:t>
      </w:r>
    </w:p>
    <w:p>
      <w:pPr>
        <w:pStyle w:val="BookText"/>
      </w:pPr>
      <w:r>
        <w:rPr>
          <w:rFonts w:ascii="Amiri" w:hAnsi="Amiri" w:eastAsia="Amiri" w:cs="Amiri"/>
          <w:lang w:bidi="ar-SA"/>
          <w:color w:val="111111"/>
          <w:sz w:val="28"/>
          <w:szCs w:val="28"/>
          <w:rtl/>
        </w:rPr>
        <w:t xml:space="preserve">2 .بهجة الطلاب في العمل بالاسطرلاب</w:t>
      </w:r>
    </w:p>
    <w:p>
      <w:pPr>
        <w:pStyle w:val="BookText"/>
      </w:pPr>
      <w:r>
        <w:rPr>
          <w:rFonts w:ascii="IRNazanin" w:hAnsi="IRNazanin" w:eastAsia="IRNazanin" w:cs="IRNazanin"/>
          <w:lang w:bidi="fa-IR"/>
          <w:color w:val="111111"/>
          <w:sz w:val="28"/>
          <w:szCs w:val="28"/>
          <w:rtl/>
        </w:rPr>
        <w:t xml:space="preserve">ج 3، ص 421.</w:t>
      </w:r>
    </w:p>
    <w:p>
      <w:pPr>
        <w:pStyle w:val="BookText"/>
      </w:pPr>
      <w:r>
        <w:rPr>
          <w:rFonts w:ascii="Amiri" w:hAnsi="Amiri" w:eastAsia="Amiri" w:cs="Amiri"/>
          <w:lang w:bidi="ar-SA"/>
          <w:color w:val="111111"/>
          <w:sz w:val="28"/>
          <w:szCs w:val="28"/>
          <w:rtl/>
        </w:rPr>
        <w:t xml:space="preserve">3.تحفة اولي الالباب في العمل بالاسطرلاب، ج3، ص 813.</w:t>
      </w:r>
    </w:p>
    <w:p>
      <w:pPr>
        <w:pStyle w:val="BookText"/>
      </w:pPr>
      <w:r>
        <w:rPr>
          <w:rFonts w:ascii="Amiri" w:hAnsi="Amiri" w:eastAsia="Amiri" w:cs="Amiri"/>
          <w:lang w:bidi="ar-SA"/>
          <w:color w:val="111111"/>
          <w:sz w:val="28"/>
          <w:szCs w:val="28"/>
          <w:rtl/>
        </w:rPr>
        <w:t xml:space="preserve">4 .ربع المجيب للسبط المارديني، ج8،</w:t>
      </w:r>
    </w:p>
    <w:p>
      <w:pPr>
        <w:pStyle w:val="BookText"/>
      </w:pPr>
      <w:r>
        <w:rPr>
          <w:rFonts w:ascii="IRNazanin" w:hAnsi="IRNazanin" w:eastAsia="IRNazanin" w:cs="IRNazanin"/>
          <w:lang w:bidi="fa-IR"/>
          <w:color w:val="111111"/>
          <w:sz w:val="28"/>
          <w:szCs w:val="28"/>
          <w:rtl/>
        </w:rPr>
        <w:t xml:space="preserve">ص 28.</w:t>
      </w:r>
    </w:p>
    <w:p>
      <w:pPr>
        <w:pStyle w:val="BookText"/>
      </w:pPr>
      <w:r>
        <w:rPr>
          <w:rFonts w:ascii="Amiri" w:hAnsi="Amiri" w:eastAsia="Amiri" w:cs="Amiri"/>
          <w:lang w:bidi="ar-SA"/>
          <w:color w:val="111111"/>
          <w:sz w:val="28"/>
          <w:szCs w:val="28"/>
          <w:rtl/>
        </w:rPr>
        <w:t xml:space="preserve">5 .صلة الخلف بالاتصال بالسلف صلة الخلف بموصل السلف، ج10، ص 621 .</w:t>
      </w:r>
    </w:p>
    <w:p>
      <w:pPr>
        <w:pStyle w:val="BookText"/>
      </w:pPr>
      <w:r>
        <w:rPr>
          <w:rFonts w:ascii="Amiri" w:hAnsi="Amiri" w:eastAsia="Amiri" w:cs="Amiri"/>
          <w:lang w:bidi="ar-SA"/>
          <w:color w:val="111111"/>
          <w:sz w:val="28"/>
          <w:szCs w:val="28"/>
          <w:rtl/>
        </w:rPr>
        <w:t xml:space="preserve">6 .مقاصد العوالي بقلائد اللثالي، ج 15</w:t>
      </w:r>
    </w:p>
    <w:p>
      <w:pPr>
        <w:pStyle w:val="BookText"/>
      </w:pPr>
      <w:r>
        <w:rPr>
          <w:rFonts w:ascii="IRNazanin" w:hAnsi="IRNazanin" w:eastAsia="IRNazanin" w:cs="IRNazanin"/>
          <w:lang w:bidi="fa-IR"/>
          <w:color w:val="111111"/>
          <w:sz w:val="28"/>
          <w:szCs w:val="28"/>
          <w:rtl/>
        </w:rPr>
        <w:t xml:space="preserve">ص 275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الهداية في علم الحكمة، ج 16،</w:t>
      </w:r>
    </w:p>
    <w:p>
      <w:pPr>
        <w:pStyle w:val="BookText"/>
      </w:pPr>
      <w:r>
        <w:rPr>
          <w:rFonts w:ascii="IRNazanin" w:hAnsi="IRNazanin" w:eastAsia="IRNazanin" w:cs="IRNazanin"/>
          <w:lang w:bidi="fa-IR"/>
          <w:color w:val="111111"/>
          <w:sz w:val="28"/>
          <w:szCs w:val="28"/>
          <w:rtl/>
        </w:rPr>
        <w:t xml:space="preserve">ص 623 .</w:t>
      </w:r>
    </w:p>
    <w:p>
      <w:pPr>
        <w:pStyle w:val="BookText"/>
      </w:pPr>
      <w:r>
        <w:rPr>
          <w:rFonts w:ascii="Amiri" w:hAnsi="Amiri" w:eastAsia="Amiri" w:cs="Amiri"/>
          <w:lang w:bidi="ar-SA"/>
          <w:color w:val="111111"/>
          <w:sz w:val="28"/>
          <w:szCs w:val="28"/>
          <w:rtl/>
        </w:rPr>
        <w:t xml:space="preserve">8 .الهيئة = علم الهيئة، ج 16 ، ص 660.</w:t>
      </w:r>
    </w:p>
    <w:p>
      <w:pPr>
        <w:pStyle w:val="Heading2"/>
      </w:pPr>
      <w:bookmarkStart w:id="4974" w:name="_Toc4076"/>
      <w:r>
        <w:t>سوهائي ، ابراهيم بن محمّد - 1080 ه-</w:t>
      </w:r>
      <w:bookmarkEnd w:id="4974"/>
    </w:p>
    <w:p>
      <w:pPr>
        <w:pStyle w:val="BookText"/>
      </w:pPr>
      <w:r>
        <w:rPr>
          <w:rFonts w:ascii="Amiri" w:hAnsi="Amiri" w:eastAsia="Amiri" w:cs="Amiri"/>
          <w:lang w:bidi="ar-SA"/>
          <w:color w:val="111111"/>
          <w:sz w:val="28"/>
          <w:szCs w:val="28"/>
          <w:rtl/>
        </w:rPr>
        <w:t xml:space="preserve">مختصر نزهة المجالس و مختصر</w:t>
      </w:r>
    </w:p>
    <w:p>
      <w:pPr>
        <w:pStyle w:val="BookText"/>
      </w:pPr>
      <w:r>
        <w:rPr>
          <w:rFonts w:ascii="IRNazanin" w:hAnsi="IRNazanin" w:eastAsia="IRNazanin" w:cs="IRNazanin"/>
          <w:lang w:bidi="fa-IR"/>
          <w:color w:val="111111"/>
          <w:sz w:val="28"/>
          <w:szCs w:val="28"/>
          <w:rtl/>
        </w:rPr>
        <w:t xml:space="preserve">النفائس، ج 14، ص 277.</w:t>
      </w:r>
    </w:p>
    <w:p>
      <w:pPr>
        <w:pStyle w:val="BookText"/>
      </w:pPr>
      <w:r>
        <w:rPr>
          <w:rFonts w:ascii="Amiri" w:hAnsi="Amiri" w:eastAsia="Amiri" w:cs="Amiri"/>
          <w:lang w:bidi="ar-SA"/>
          <w:color w:val="111111"/>
          <w:sz w:val="28"/>
          <w:szCs w:val="28"/>
          <w:rtl/>
        </w:rPr>
        <w:t xml:space="preserve">سوهاني ، ابراهيم بن محمّد- سوهائي ابراهيم بن محمّد</w:t>
      </w:r>
    </w:p>
    <w:p>
      <w:pPr>
        <w:pStyle w:val="Heading2"/>
      </w:pPr>
      <w:bookmarkStart w:id="4975" w:name="_Toc4077"/>
      <w:r>
        <w:t>سويدي، ابراهيم بن محمّد، 600 - 690</w:t>
      </w:r>
      <w:bookmarkEnd w:id="4975"/>
    </w:p>
    <w:p>
      <w:pPr>
        <w:pStyle w:val="BookText"/>
      </w:pPr>
      <w:r>
        <w:rPr>
          <w:rFonts w:ascii="Amiri" w:hAnsi="Amiri" w:eastAsia="Amiri" w:cs="Amiri"/>
          <w:lang w:bidi="ar-SA"/>
          <w:color w:val="111111"/>
          <w:sz w:val="28"/>
          <w:szCs w:val="28"/>
          <w:rtl/>
        </w:rPr>
        <w:t xml:space="preserve">التذكرة المفيدة و الذخيرة الحميدة</w:t>
      </w:r>
    </w:p>
    <w:p>
      <w:pPr>
        <w:pStyle w:val="BookText"/>
      </w:pPr>
      <w:r>
        <w:rPr>
          <w:rFonts w:ascii="Amiri" w:hAnsi="Amiri" w:eastAsia="Amiri" w:cs="Amiri"/>
          <w:lang w:bidi="ar-SA"/>
          <w:color w:val="111111"/>
          <w:sz w:val="28"/>
          <w:szCs w:val="28"/>
          <w:rtl/>
        </w:rPr>
        <w:t xml:space="preserve">التذكرة الهادية والذخيرة الكافيه</w:t>
      </w:r>
    </w:p>
    <w:p>
      <w:pPr>
        <w:pStyle w:val="BookText"/>
      </w:pPr>
      <w:r>
        <w:rPr>
          <w:rFonts w:ascii="IRNazanin" w:hAnsi="IRNazanin" w:eastAsia="IRNazanin" w:cs="IRNazanin"/>
          <w:lang w:bidi="fa-IR"/>
          <w:color w:val="111111"/>
          <w:sz w:val="28"/>
          <w:szCs w:val="28"/>
          <w:rtl/>
        </w:rPr>
        <w:t xml:space="preserve">تذکره سويدي، ج4، ص211</w:t>
      </w:r>
    </w:p>
    <w:p>
      <w:pPr>
        <w:pStyle w:val="BookText"/>
      </w:pPr>
      <w:r>
        <w:rPr>
          <w:rFonts w:ascii="IRNazanin" w:hAnsi="IRNazanin" w:eastAsia="IRNazanin" w:cs="IRNazanin"/>
          <w:lang w:bidi="fa-IR"/>
          <w:color w:val="111111"/>
          <w:sz w:val="28"/>
          <w:szCs w:val="28"/>
          <w:rtl/>
        </w:rPr>
        <w:t xml:space="preserve">سويدي ، ابواسحق عزالدین ابراهیم بن</w:t>
      </w:r>
    </w:p>
    <w:p>
      <w:pPr>
        <w:pStyle w:val="BookText"/>
      </w:pPr>
      <w:r>
        <w:rPr>
          <w:rFonts w:ascii="Amiri" w:hAnsi="Amiri" w:eastAsia="Amiri" w:cs="Amiri"/>
          <w:lang w:bidi="ar-SA"/>
          <w:color w:val="111111"/>
          <w:sz w:val="28"/>
          <w:szCs w:val="28"/>
          <w:rtl/>
        </w:rPr>
        <w:t xml:space="preserve">محمّد- سويدي ، ابراهيم بن محمّد</w:t>
      </w:r>
    </w:p>
    <w:p>
      <w:pPr>
        <w:pStyle w:val="Heading2"/>
      </w:pPr>
      <w:bookmarkStart w:id="4976" w:name="_Toc4078"/>
      <w:r>
        <w:t>سويدي ، احمد بن عبدالله 1153 - 1210</w:t>
      </w:r>
      <w:bookmarkEnd w:id="49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إفحام المناوي في فضائل آل الشاوي، ج 2، ص 593.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دیوان سويدي، ج 7، ص 655.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مقامات السويدي، ج 15، ص 305.</w:t>
      </w:r>
    </w:p>
    <w:p>
      <w:pPr>
        <w:pStyle w:val="BookText"/>
      </w:pPr>
      <w:r>
        <w:rPr>
          <w:rFonts w:ascii="IRNazanin" w:hAnsi="IRNazanin" w:eastAsia="IRNazanin" w:cs="IRNazanin"/>
          <w:lang w:bidi="fa-IR"/>
          <w:color w:val="111111"/>
          <w:sz w:val="28"/>
          <w:szCs w:val="28"/>
          <w:rtl/>
        </w:rPr>
        <w:t xml:space="preserve">سويدي بغدادي ، محمّد سعيد بن احمد- سويدي ، محمّد سعید بن احمد</w:t>
      </w:r>
    </w:p>
    <w:p>
      <w:pPr>
        <w:pStyle w:val="Heading2"/>
      </w:pPr>
      <w:bookmarkStart w:id="4977" w:name="_Toc4079"/>
      <w:r>
        <w:t>سويدي، سليمان بن محمّد - 1245 ه-</w:t>
      </w:r>
      <w:bookmarkEnd w:id="4977"/>
    </w:p>
    <w:p>
      <w:pPr>
        <w:pStyle w:val="BookText"/>
      </w:pPr>
      <w:r>
        <w:rPr>
          <w:rFonts w:ascii="Amiri" w:hAnsi="Amiri" w:eastAsia="Amiri" w:cs="Amiri"/>
          <w:lang w:bidi="ar-SA"/>
          <w:color w:val="111111"/>
          <w:sz w:val="28"/>
          <w:szCs w:val="28"/>
          <w:rtl/>
        </w:rPr>
        <w:t xml:space="preserve">الفوائد السنية في شرح مختلطات</w:t>
      </w:r>
    </w:p>
    <w:p>
      <w:pPr>
        <w:pStyle w:val="BookText"/>
      </w:pPr>
      <w:r>
        <w:rPr>
          <w:rFonts w:ascii="Amiri" w:hAnsi="Amiri" w:eastAsia="Amiri" w:cs="Amiri"/>
          <w:lang w:bidi="ar-SA"/>
          <w:color w:val="111111"/>
          <w:sz w:val="28"/>
          <w:szCs w:val="28"/>
          <w:rtl/>
        </w:rPr>
        <w:t xml:space="preserve">اشكال الشمسية، ج 12، ص208.</w:t>
      </w:r>
    </w:p>
    <w:p>
      <w:pPr>
        <w:pStyle w:val="Heading2"/>
      </w:pPr>
      <w:bookmarkStart w:id="4978" w:name="_Toc4080"/>
      <w:r>
        <w:t>سويدي ، عبدالرحمن بن عبدالله، 1134 -</w:t>
      </w:r>
      <w:bookmarkEnd w:id="4978"/>
    </w:p>
    <w:p>
      <w:pPr>
        <w:pStyle w:val="BookText"/>
      </w:pPr>
      <w:r>
        <w:rPr>
          <w:rFonts w:ascii="IRNazanin" w:hAnsi="IRNazanin" w:eastAsia="IRNazanin" w:cs="IRNazanin"/>
          <w:lang w:bidi="fa-IR"/>
          <w:color w:val="111111"/>
          <w:sz w:val="28"/>
          <w:szCs w:val="28"/>
          <w:rtl/>
        </w:rPr>
        <w:t xml:space="preserve">1200ه-</w:t>
      </w:r>
    </w:p>
    <w:p>
      <w:pPr>
        <w:pStyle w:val="BookText"/>
      </w:pPr>
      <w:r>
        <w:rPr>
          <w:rFonts w:ascii="IRNazanin" w:hAnsi="IRNazanin" w:eastAsia="IRNazanin" w:cs="IRNazanin"/>
          <w:lang w:bidi="fa-IR"/>
          <w:color w:val="111111"/>
          <w:sz w:val="28"/>
          <w:szCs w:val="28"/>
          <w:rtl/>
        </w:rPr>
        <w:t xml:space="preserve">1 .تاریخ بغداد والبصرة (كتاب في)،</w:t>
      </w:r>
    </w:p>
    <w:p>
      <w:pPr>
        <w:pStyle w:val="BookText"/>
      </w:pPr>
      <w:r>
        <w:rPr>
          <w:rFonts w:ascii="IRNazanin" w:hAnsi="IRNazanin" w:eastAsia="IRNazanin" w:cs="IRNazanin"/>
          <w:lang w:bidi="fa-IR"/>
          <w:color w:val="111111"/>
          <w:sz w:val="28"/>
          <w:szCs w:val="28"/>
          <w:rtl/>
        </w:rPr>
        <w:t xml:space="preserve">ج 3، ص 562.</w:t>
      </w:r>
    </w:p>
    <w:p>
      <w:pPr>
        <w:pStyle w:val="BookText"/>
      </w:pPr>
      <w:r>
        <w:rPr>
          <w:rFonts w:ascii="Amiri" w:hAnsi="Amiri" w:eastAsia="Amiri" w:cs="Amiri"/>
          <w:lang w:bidi="ar-SA"/>
          <w:color w:val="111111"/>
          <w:sz w:val="28"/>
          <w:szCs w:val="28"/>
          <w:rtl/>
        </w:rPr>
        <w:t xml:space="preserve">2 .التبيان في شرح الجمان، ج3،</w:t>
      </w:r>
    </w:p>
    <w:p>
      <w:pPr>
        <w:pStyle w:val="BookText"/>
      </w:pPr>
      <w:r>
        <w:rPr>
          <w:rFonts w:ascii="Times New Roman" w:hAnsi="Times New Roman" w:eastAsia="Times New Roman" w:cs="Times New Roman"/>
          <w:lang w:val="en-US" w:bidi="en-US"/>
          <w:color w:val="111111"/>
          <w:sz w:val="28"/>
          <w:szCs w:val="28"/>
          <w:rtl/>
        </w:rPr>
        <w:t xml:space="preserve">.77.00</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تعليقات على المسألة الشعيرية</w:t>
      </w:r>
    </w:p>
    <w:p>
      <w:pPr>
        <w:pStyle w:val="BookText"/>
      </w:pPr>
      <w:r>
        <w:rPr>
          <w:rFonts w:ascii="Amiri" w:hAnsi="Amiri" w:eastAsia="Amiri" w:cs="Amiri"/>
          <w:lang w:bidi="ar-SA"/>
          <w:color w:val="111111"/>
          <w:sz w:val="28"/>
          <w:szCs w:val="28"/>
          <w:rtl/>
        </w:rPr>
        <w:t xml:space="preserve">للجغميني، ج4، ص 503.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0" w:name="pg7742_70568"/>
    <w:bookmarkEnd w:id="590"/>
    <w:p>
      <w:pPr>
        <w:pStyle w:val="BookText"/>
      </w:pPr>
      <w:r>
        <w:rPr>
          <w:rFonts w:ascii="Amiri" w:hAnsi="Amiri" w:eastAsia="Amiri" w:cs="Amiri"/>
          <w:lang w:bidi="ar-SA"/>
          <w:color w:val="111111"/>
          <w:sz w:val="28"/>
          <w:szCs w:val="28"/>
          <w:rtl/>
        </w:rPr>
        <w:t xml:space="preserve">4 .حاشية شرح مسألة التضاريس، ج 6،</w:t>
      </w:r>
    </w:p>
    <w:p>
      <w:pPr>
        <w:pStyle w:val="BookText"/>
      </w:pPr>
      <w:r>
        <w:rPr>
          <w:rFonts w:ascii="IRNazanin" w:hAnsi="IRNazanin" w:eastAsia="IRNazanin" w:cs="IRNazanin"/>
          <w:lang w:bidi="fa-IR"/>
          <w:color w:val="111111"/>
          <w:sz w:val="28"/>
          <w:szCs w:val="28"/>
          <w:rtl/>
        </w:rPr>
        <w:t xml:space="preserve">ص 181</w:t>
      </w:r>
    </w:p>
    <w:p>
      <w:pPr>
        <w:pStyle w:val="BookText"/>
      </w:pPr>
      <w:r>
        <w:rPr>
          <w:rFonts w:ascii="Amiri" w:hAnsi="Amiri" w:eastAsia="Amiri" w:cs="Amiri"/>
          <w:lang w:bidi="ar-SA"/>
          <w:color w:val="111111"/>
          <w:sz w:val="28"/>
          <w:szCs w:val="28"/>
          <w:rtl/>
        </w:rPr>
        <w:t xml:space="preserve">5 .حديقة الجاني في حل قصيدة</w:t>
      </w:r>
    </w:p>
    <w:p>
      <w:pPr>
        <w:pStyle w:val="BookText"/>
      </w:pPr>
      <w:r>
        <w:rPr>
          <w:rFonts w:ascii="Amiri" w:hAnsi="Amiri" w:eastAsia="Amiri" w:cs="Amiri"/>
          <w:lang w:bidi="ar-SA"/>
          <w:color w:val="111111"/>
          <w:sz w:val="28"/>
          <w:szCs w:val="28"/>
          <w:rtl/>
        </w:rPr>
        <w:t xml:space="preserve">الشيباني، ج 6، ص 583.</w:t>
      </w:r>
    </w:p>
    <w:p>
      <w:pPr>
        <w:pStyle w:val="BookText"/>
      </w:pPr>
      <w:r>
        <w:rPr>
          <w:rFonts w:ascii="Amiri" w:hAnsi="Amiri" w:eastAsia="Amiri" w:cs="Amiri"/>
          <w:lang w:bidi="ar-SA"/>
          <w:color w:val="111111"/>
          <w:sz w:val="28"/>
          <w:szCs w:val="28"/>
          <w:rtl/>
        </w:rPr>
        <w:t xml:space="preserve">6 .حديقة الزوراء في سيرة الوزراء، ج 6،</w:t>
      </w:r>
    </w:p>
    <w:p>
      <w:pPr>
        <w:pStyle w:val="BookText"/>
      </w:pPr>
      <w:r>
        <w:rPr>
          <w:rFonts w:ascii="IRNazanin" w:hAnsi="IRNazanin" w:eastAsia="IRNazanin" w:cs="IRNazanin"/>
          <w:lang w:bidi="fa-IR"/>
          <w:color w:val="111111"/>
          <w:sz w:val="28"/>
          <w:szCs w:val="28"/>
          <w:rtl/>
        </w:rPr>
        <w:t xml:space="preserve">ص 585.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حديقة الزوراء في سيرة الوزراء (مختصر)، ج 6 ، ص 586 .</w:t>
      </w:r>
    </w:p>
    <w:p>
      <w:pPr>
        <w:pStyle w:val="BookText"/>
      </w:pPr>
      <w:r>
        <w:rPr>
          <w:rFonts w:ascii="Amiri" w:hAnsi="Amiri" w:eastAsia="Amiri" w:cs="Amiri"/>
          <w:lang w:bidi="ar-SA"/>
          <w:color w:val="111111"/>
          <w:sz w:val="28"/>
          <w:szCs w:val="28"/>
          <w:rtl/>
        </w:rPr>
        <w:t xml:space="preserve">8 .الدراويش (رسالة في)، ج 7، ص217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الدرة السنية على شرح الحضرمية</w:t>
      </w:r>
    </w:p>
    <w:p>
      <w:pPr>
        <w:pStyle w:val="BookText"/>
      </w:pPr>
      <w:r>
        <w:rPr>
          <w:rFonts w:ascii="IRNazanin" w:hAnsi="IRNazanin" w:eastAsia="IRNazanin" w:cs="IRNazanin"/>
          <w:lang w:bidi="fa-IR"/>
          <w:color w:val="111111"/>
          <w:sz w:val="28"/>
          <w:szCs w:val="28"/>
          <w:rtl/>
        </w:rPr>
        <w:t xml:space="preserve">ج 7، ص 239.</w:t>
      </w:r>
    </w:p>
    <w:p>
      <w:pPr>
        <w:pStyle w:val="BookText"/>
      </w:pPr>
      <w:r>
        <w:rPr>
          <w:rFonts w:ascii="Amiri" w:hAnsi="Amiri" w:eastAsia="Amiri" w:cs="Amiri"/>
          <w:lang w:bidi="ar-SA"/>
          <w:color w:val="111111"/>
          <w:sz w:val="28"/>
          <w:szCs w:val="28"/>
          <w:rtl/>
        </w:rPr>
        <w:t xml:space="preserve">10 .ديوان السويدي، ج 7، ص 655.</w:t>
      </w:r>
    </w:p>
    <w:p>
      <w:pPr>
        <w:pStyle w:val="BookText"/>
      </w:pPr>
      <w:r>
        <w:rPr>
          <w:rFonts w:ascii="Amiri" w:hAnsi="Amiri" w:eastAsia="Amiri" w:cs="Amiri"/>
          <w:lang w:bidi="ar-SA"/>
          <w:color w:val="111111"/>
          <w:sz w:val="28"/>
          <w:szCs w:val="28"/>
          <w:rtl/>
        </w:rPr>
        <w:t xml:space="preserve">11.زينة الأملاك في شرح تشريح</w:t>
      </w:r>
    </w:p>
    <w:p>
      <w:pPr>
        <w:pStyle w:val="BookText"/>
      </w:pPr>
      <w:r>
        <w:rPr>
          <w:rFonts w:ascii="Amiri" w:hAnsi="Amiri" w:eastAsia="Amiri" w:cs="Amiri"/>
          <w:lang w:bidi="ar-SA"/>
          <w:color w:val="111111"/>
          <w:sz w:val="28"/>
          <w:szCs w:val="28"/>
          <w:rtl/>
        </w:rPr>
        <w:t xml:space="preserve">الافلاك، ج8، ص 661 .</w:t>
      </w:r>
    </w:p>
    <w:p>
      <w:pPr>
        <w:pStyle w:val="BookText"/>
      </w:pPr>
      <w:r>
        <w:rPr>
          <w:rFonts w:ascii="Amiri" w:hAnsi="Amiri" w:eastAsia="Amiri" w:cs="Amiri"/>
          <w:lang w:bidi="ar-SA"/>
          <w:color w:val="111111"/>
          <w:sz w:val="28"/>
          <w:szCs w:val="28"/>
          <w:rtl/>
        </w:rPr>
        <w:t xml:space="preserve">12 .شرح رسالة الاستعارة، ج 9،</w:t>
      </w:r>
    </w:p>
    <w:p>
      <w:pPr>
        <w:pStyle w:val="BookText"/>
      </w:pPr>
      <w:r>
        <w:rPr>
          <w:rFonts w:ascii="IRNazanin" w:hAnsi="IRNazanin" w:eastAsia="IRNazanin" w:cs="IRNazanin"/>
          <w:lang w:bidi="fa-IR"/>
          <w:color w:val="111111"/>
          <w:sz w:val="28"/>
          <w:szCs w:val="28"/>
          <w:rtl/>
        </w:rPr>
        <w:t xml:space="preserve">ص 525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همزية عبدالله بيك العبيدي</w:t>
      </w:r>
    </w:p>
    <w:p>
      <w:pPr>
        <w:pStyle w:val="BookText"/>
      </w:pPr>
      <w:r>
        <w:rPr>
          <w:rFonts w:ascii="IRNazanin" w:hAnsi="IRNazanin" w:eastAsia="IRNazanin" w:cs="IRNazanin"/>
          <w:lang w:bidi="fa-IR"/>
          <w:color w:val="111111"/>
          <w:sz w:val="28"/>
          <w:szCs w:val="28"/>
          <w:rtl/>
        </w:rPr>
        <w:t xml:space="preserve">ج 10، ص 317.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الغيث الهامي على شرح قطر الندى للعصامي، ج 11، ص 564.</w:t>
      </w:r>
    </w:p>
    <w:p>
      <w:pPr>
        <w:pStyle w:val="BookText"/>
      </w:pPr>
      <w:r>
        <w:rPr>
          <w:rFonts w:ascii="Amiri" w:hAnsi="Amiri" w:eastAsia="Amiri" w:cs="Amiri"/>
          <w:lang w:bidi="ar-SA"/>
          <w:color w:val="111111"/>
          <w:sz w:val="28"/>
          <w:szCs w:val="28"/>
          <w:rtl/>
        </w:rPr>
        <w:t xml:space="preserve">15 .منشآت السويدي، ج 15، ص 689.</w:t>
      </w:r>
    </w:p>
    <w:p>
      <w:pPr>
        <w:pStyle w:val="Heading2"/>
      </w:pPr>
      <w:bookmarkStart w:id="4979" w:name="_Toc4081"/>
      <w:r>
        <w:t>سويدي ، عبد الرحيم بن محمّد سعيد</w:t>
      </w:r>
      <w:bookmarkEnd w:id="4979"/>
    </w:p>
    <w:p>
      <w:pPr>
        <w:pStyle w:val="BookText"/>
      </w:pPr>
      <w:r>
        <w:rPr>
          <w:rFonts w:ascii="IRNazanin" w:hAnsi="IRNazanin" w:eastAsia="IRNazanin" w:cs="IRNazanin"/>
          <w:lang w:bidi="fa-IR"/>
          <w:color w:val="111111"/>
          <w:sz w:val="28"/>
          <w:szCs w:val="28"/>
          <w:rtl/>
        </w:rPr>
        <w:t xml:space="preserve">1175 - 137 ه-</w:t>
      </w:r>
    </w:p>
    <w:p>
      <w:pPr>
        <w:pStyle w:val="BookText"/>
      </w:pPr>
      <w:r>
        <w:rPr>
          <w:rFonts w:ascii="Amiri" w:hAnsi="Amiri" w:eastAsia="Amiri" w:cs="Amiri"/>
          <w:lang w:bidi="ar-SA"/>
          <w:color w:val="111111"/>
          <w:sz w:val="28"/>
          <w:szCs w:val="28"/>
          <w:rtl/>
        </w:rPr>
        <w:t xml:space="preserve">1 .حاشية شرح قطر الندى و بل</w:t>
      </w:r>
    </w:p>
    <w:p>
      <w:pPr>
        <w:pStyle w:val="BookText"/>
      </w:pPr>
      <w:r>
        <w:rPr>
          <w:rFonts w:ascii="IRNazanin" w:hAnsi="IRNazanin" w:eastAsia="IRNazanin" w:cs="IRNazanin"/>
          <w:lang w:bidi="fa-IR"/>
          <w:color w:val="111111"/>
          <w:sz w:val="28"/>
          <w:szCs w:val="28"/>
          <w:rtl/>
        </w:rPr>
        <w:t xml:space="preserve">الصدى، ج 6، ص 156 .</w:t>
      </w:r>
    </w:p>
    <w:p>
      <w:pPr>
        <w:pStyle w:val="BookText"/>
      </w:pPr>
      <w:r>
        <w:rPr>
          <w:rFonts w:ascii="Amiri" w:hAnsi="Amiri" w:eastAsia="Amiri" w:cs="Amiri"/>
          <w:lang w:bidi="ar-SA"/>
          <w:color w:val="111111"/>
          <w:sz w:val="28"/>
          <w:szCs w:val="28"/>
          <w:rtl/>
        </w:rPr>
        <w:t xml:space="preserve">2 .شرح قطر الندي وبل الصدى، ج 10،</w:t>
      </w:r>
    </w:p>
    <w:p>
      <w:pPr>
        <w:pStyle w:val="BookText"/>
      </w:pPr>
      <w:r>
        <w:rPr>
          <w:rFonts w:ascii="IRNazanin" w:hAnsi="IRNazanin" w:eastAsia="IRNazanin" w:cs="IRNazanin"/>
          <w:lang w:bidi="fa-IR"/>
          <w:color w:val="111111"/>
          <w:sz w:val="28"/>
          <w:szCs w:val="28"/>
          <w:rtl/>
        </w:rPr>
        <w:t xml:space="preserve">ص 13.</w:t>
      </w:r>
    </w:p>
    <w:p>
      <w:pPr>
        <w:pStyle w:val="Heading2"/>
      </w:pPr>
      <w:bookmarkStart w:id="4980" w:name="_Toc4082"/>
      <w:r>
        <w:t>سويدي ، عبدالله بن حسين 1104 -</w:t>
      </w:r>
      <w:bookmarkEnd w:id="4980"/>
    </w:p>
    <w:p>
      <w:pPr>
        <w:pStyle w:val="BookText"/>
      </w:pPr>
      <w:r>
        <w:rPr>
          <w:rFonts w:ascii="IRNazanin" w:hAnsi="IRNazanin" w:eastAsia="IRNazanin" w:cs="IRNazanin"/>
          <w:lang w:bidi="fa-IR"/>
          <w:color w:val="111111"/>
          <w:sz w:val="28"/>
          <w:szCs w:val="28"/>
          <w:rtl/>
        </w:rPr>
        <w:t xml:space="preserve">1174 ه-</w:t>
      </w:r>
    </w:p>
    <w:p>
      <w:pPr>
        <w:pStyle w:val="BookText"/>
      </w:pPr>
      <w:r>
        <w:rPr>
          <w:rFonts w:ascii="IRNazanin" w:hAnsi="IRNazanin" w:eastAsia="IRNazanin" w:cs="IRNazanin"/>
          <w:lang w:bidi="fa-IR"/>
          <w:color w:val="111111"/>
          <w:sz w:val="28"/>
          <w:szCs w:val="28"/>
          <w:rtl/>
        </w:rPr>
        <w:t xml:space="preserve">1 .اسماء اهل بدر، ج 2، ص 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تعليقات على المقدمة الجزرية،</w:t>
      </w:r>
    </w:p>
    <w:p>
      <w:pPr>
        <w:pStyle w:val="BookText"/>
      </w:pPr>
      <w:r>
        <w:rPr>
          <w:rFonts w:ascii="IRNazanin" w:hAnsi="IRNazanin" w:eastAsia="IRNazanin" w:cs="IRNazanin"/>
          <w:lang w:bidi="fa-IR"/>
          <w:color w:val="111111"/>
          <w:sz w:val="28"/>
          <w:szCs w:val="28"/>
          <w:rtl/>
        </w:rPr>
        <w:t xml:space="preserve">ج 4، ص 504.</w:t>
      </w:r>
    </w:p>
    <w:p>
      <w:pPr>
        <w:pStyle w:val="BookText"/>
      </w:pPr>
      <w:r>
        <w:rPr>
          <w:rFonts w:ascii="Amiri" w:hAnsi="Amiri" w:eastAsia="Amiri" w:cs="Amiri"/>
          <w:lang w:bidi="ar-SA"/>
          <w:color w:val="111111"/>
          <w:sz w:val="28"/>
          <w:szCs w:val="28"/>
          <w:rtl/>
        </w:rPr>
        <w:t xml:space="preserve">3 .تفسير و اعراب بعض الآيات القرآنية، ج 4، ص 696.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خصائص اهل البدر، ج 7، ص33.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الرد على الشيعة في غسل الرجلين منقولة من النفحة المسكية)، ج8،</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Amiri" w:hAnsi="Amiri" w:eastAsia="Amiri" w:cs="Amiri"/>
          <w:lang w:bidi="ar-SA"/>
          <w:color w:val="111111"/>
          <w:sz w:val="28"/>
          <w:szCs w:val="28"/>
          <w:rtl/>
        </w:rPr>
        <w:t xml:space="preserve">6 .رسائل السويدي، ج8، ص 142.</w:t>
      </w:r>
    </w:p>
    <w:p>
      <w:pPr>
        <w:pStyle w:val="BookText"/>
      </w:pPr>
      <w:r>
        <w:rPr>
          <w:rFonts w:ascii="Amiri" w:hAnsi="Amiri" w:eastAsia="Amiri" w:cs="Amiri"/>
          <w:lang w:bidi="ar-SA"/>
          <w:color w:val="111111"/>
          <w:sz w:val="28"/>
          <w:szCs w:val="28"/>
          <w:rtl/>
        </w:rPr>
        <w:t xml:space="preserve">7 .الرسالة النادرية، ج8، ص287.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رشف الضرب في شرح لامية العرب</w:t>
      </w:r>
    </w:p>
    <w:p>
      <w:pPr>
        <w:pStyle w:val="BookText"/>
      </w:pPr>
      <w:r>
        <w:rPr>
          <w:rFonts w:ascii="IRNazanin" w:hAnsi="IRNazanin" w:eastAsia="IRNazanin" w:cs="IRNazanin"/>
          <w:lang w:bidi="fa-IR"/>
          <w:color w:val="111111"/>
          <w:sz w:val="28"/>
          <w:szCs w:val="28"/>
          <w:rtl/>
        </w:rPr>
        <w:t xml:space="preserve">ج 8، ص312.</w:t>
      </w:r>
    </w:p>
    <w:p>
      <w:pPr>
        <w:pStyle w:val="BookText"/>
      </w:pPr>
      <w:r>
        <w:rPr>
          <w:rFonts w:ascii="Amiri" w:hAnsi="Amiri" w:eastAsia="Amiri" w:cs="Amiri"/>
          <w:lang w:bidi="ar-SA"/>
          <w:color w:val="111111"/>
          <w:sz w:val="28"/>
          <w:szCs w:val="28"/>
          <w:rtl/>
        </w:rPr>
        <w:t xml:space="preserve">9 .شرح قصيدة الشيخ عثمان بن</w:t>
      </w:r>
    </w:p>
    <w:p>
      <w:pPr>
        <w:pStyle w:val="BookText"/>
      </w:pPr>
      <w:r>
        <w:rPr>
          <w:rFonts w:ascii="Amiri" w:hAnsi="Amiri" w:eastAsia="Amiri" w:cs="Amiri"/>
          <w:lang w:bidi="ar-SA"/>
          <w:color w:val="111111"/>
          <w:sz w:val="28"/>
          <w:szCs w:val="28"/>
          <w:rtl/>
        </w:rPr>
        <w:t xml:space="preserve">يوسف، ج 9، ص 871</w:t>
      </w:r>
    </w:p>
    <w:p>
      <w:pPr>
        <w:pStyle w:val="BookText"/>
      </w:pPr>
      <w:r>
        <w:rPr>
          <w:rFonts w:ascii="IRNazanin" w:hAnsi="IRNazanin" w:eastAsia="IRNazanin" w:cs="IRNazanin"/>
          <w:lang w:bidi="fa-IR"/>
          <w:color w:val="111111"/>
          <w:sz w:val="28"/>
          <w:szCs w:val="28"/>
          <w:rtl/>
        </w:rPr>
        <w:t xml:space="preserve">10 . فضائل أهل بدر رضوان الله</w:t>
      </w:r>
    </w:p>
    <w:p>
      <w:pPr>
        <w:pStyle w:val="BookText"/>
      </w:pPr>
      <w:r>
        <w:rPr>
          <w:rFonts w:ascii="Amiri" w:hAnsi="Amiri" w:eastAsia="Amiri" w:cs="Amiri"/>
          <w:lang w:bidi="ar-SA"/>
          <w:color w:val="111111"/>
          <w:sz w:val="28"/>
          <w:szCs w:val="28"/>
          <w:rtl/>
        </w:rPr>
        <w:t xml:space="preserve">عليهم، ج 12، ص 5 .</w:t>
      </w:r>
    </w:p>
    <w:p>
      <w:pPr>
        <w:pStyle w:val="BookText"/>
      </w:pPr>
      <w:r>
        <w:rPr>
          <w:rFonts w:ascii="Amiri" w:hAnsi="Amiri" w:eastAsia="Amiri" w:cs="Amiri"/>
          <w:lang w:bidi="ar-SA"/>
          <w:color w:val="111111"/>
          <w:sz w:val="28"/>
          <w:szCs w:val="28"/>
          <w:rtl/>
        </w:rPr>
        <w:t xml:space="preserve">11 .مباحثة عبدالله السويدي مع علماء</w:t>
      </w:r>
    </w:p>
    <w:p>
      <w:pPr>
        <w:pStyle w:val="BookText"/>
      </w:pPr>
      <w:r>
        <w:rPr>
          <w:rFonts w:ascii="IRNazanin" w:hAnsi="IRNazanin" w:eastAsia="IRNazanin" w:cs="IRNazanin"/>
          <w:lang w:bidi="fa-IR"/>
          <w:color w:val="111111"/>
          <w:sz w:val="28"/>
          <w:szCs w:val="28"/>
          <w:rtl/>
        </w:rPr>
        <w:t xml:space="preserve">ایران = مناظرة السويدي مع علماء العجم، ج13، ص712.</w:t>
      </w:r>
    </w:p>
    <w:p>
      <w:pPr>
        <w:pStyle w:val="BookText"/>
      </w:pPr>
      <w:r>
        <w:rPr>
          <w:rFonts w:ascii="Amiri" w:hAnsi="Amiri" w:eastAsia="Amiri" w:cs="Amiri"/>
          <w:lang w:bidi="ar-SA"/>
          <w:color w:val="111111"/>
          <w:sz w:val="28"/>
          <w:szCs w:val="28"/>
          <w:rtl/>
        </w:rPr>
        <w:t xml:space="preserve">12 .مقامة الامثال الناصعة السائرة في</w:t>
      </w:r>
    </w:p>
    <w:p>
      <w:pPr>
        <w:pStyle w:val="BookText"/>
      </w:pPr>
      <w:r>
        <w:rPr>
          <w:rFonts w:ascii="IRNazanin" w:hAnsi="IRNazanin" w:eastAsia="IRNazanin" w:cs="IRNazanin"/>
          <w:lang w:bidi="fa-IR"/>
          <w:color w:val="111111"/>
          <w:sz w:val="28"/>
          <w:szCs w:val="28"/>
          <w:rtl/>
        </w:rPr>
        <w:t xml:space="preserve">غابر الازمان، ج15، ص313.</w:t>
      </w:r>
    </w:p>
    <w:p>
      <w:pPr>
        <w:pStyle w:val="BookText"/>
      </w:pPr>
      <w:r>
        <w:rPr>
          <w:rFonts w:ascii="Amiri" w:hAnsi="Amiri" w:eastAsia="Amiri" w:cs="Amiri"/>
          <w:lang w:bidi="ar-SA"/>
          <w:color w:val="111111"/>
          <w:sz w:val="28"/>
          <w:szCs w:val="28"/>
          <w:rtl/>
        </w:rPr>
        <w:t xml:space="preserve">13 .مقامة عبدالله السويدي، ج 15</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Amiri" w:hAnsi="Amiri" w:eastAsia="Amiri" w:cs="Amiri"/>
          <w:lang w:bidi="ar-SA"/>
          <w:color w:val="111111"/>
          <w:sz w:val="28"/>
          <w:szCs w:val="28"/>
          <w:rtl/>
        </w:rPr>
        <w:t xml:space="preserve">14 .النفحة المسكية في الرحلة المكية</w:t>
      </w:r>
    </w:p>
    <w:p>
      <w:pPr>
        <w:pStyle w:val="BookText"/>
      </w:pPr>
      <w:r>
        <w:rPr>
          <w:rFonts w:ascii="IRNazanin" w:hAnsi="IRNazanin" w:eastAsia="IRNazanin" w:cs="IRNazanin"/>
          <w:lang w:bidi="fa-IR"/>
          <w:color w:val="111111"/>
          <w:sz w:val="28"/>
          <w:szCs w:val="28"/>
          <w:rtl/>
        </w:rPr>
        <w:t xml:space="preserve">ج 16، ص 394.</w:t>
      </w:r>
    </w:p>
    <w:p>
      <w:pPr>
        <w:pStyle w:val="BookText"/>
      </w:pPr>
      <w:r>
        <w:rPr>
          <w:rFonts w:ascii="Amiri" w:hAnsi="Amiri" w:eastAsia="Amiri" w:cs="Amiri"/>
          <w:lang w:bidi="ar-SA"/>
          <w:color w:val="111111"/>
          <w:sz w:val="28"/>
          <w:szCs w:val="28"/>
          <w:rtl/>
        </w:rPr>
        <w:t xml:space="preserve">15 .نقض عقائد الشيعة، ج 16،</w:t>
      </w:r>
    </w:p>
    <w:p>
      <w:pPr>
        <w:pStyle w:val="BookText"/>
      </w:pPr>
      <w:r>
        <w:rPr>
          <w:rFonts w:ascii="IRNazanin" w:hAnsi="IRNazanin" w:eastAsia="IRNazanin" w:cs="IRNazanin"/>
          <w:lang w:bidi="fa-IR"/>
          <w:color w:val="111111"/>
          <w:sz w:val="28"/>
          <w:szCs w:val="28"/>
          <w:rtl/>
        </w:rPr>
        <w:t xml:space="preserve">ص 423 .</w:t>
      </w:r>
    </w:p>
    <w:p>
      <w:pPr>
        <w:pStyle w:val="BookText"/>
      </w:pPr>
      <w:r>
        <w:rPr>
          <w:rFonts w:ascii="IRNazanin" w:hAnsi="IRNazanin" w:eastAsia="IRNazanin" w:cs="IRNazanin"/>
          <w:lang w:bidi="fa-IR"/>
          <w:color w:val="111111"/>
          <w:sz w:val="28"/>
          <w:szCs w:val="28"/>
          <w:rtl/>
        </w:rPr>
        <w:t xml:space="preserve">16 .واقعات العجم، ج 16 ، ص 721.</w:t>
      </w:r>
    </w:p>
    <w:p>
      <w:pPr>
        <w:pStyle w:val="Heading2"/>
      </w:pPr>
      <w:bookmarkStart w:id="4981" w:name="_Toc4083"/>
      <w:r>
        <w:t>سويدي ، علي بن محمّد سعيد - 1237</w:t>
      </w:r>
      <w:bookmarkEnd w:id="4981"/>
    </w:p>
    <w:p>
      <w:pPr>
        <w:pStyle w:val="BookText"/>
      </w:pPr>
      <w:r>
        <w:rPr>
          <w:rFonts w:ascii="Amiri" w:hAnsi="Amiri" w:eastAsia="Amiri" w:cs="Amiri"/>
          <w:lang w:bidi="ar-SA"/>
          <w:color w:val="111111"/>
          <w:sz w:val="28"/>
          <w:szCs w:val="28"/>
          <w:rtl/>
        </w:rPr>
        <w:t xml:space="preserve">1 .تخميس لامية البوصيري، ج 4،</w:t>
      </w:r>
    </w:p>
    <w:p>
      <w:pPr>
        <w:pStyle w:val="BookText"/>
      </w:pPr>
      <w:r>
        <w:rPr>
          <w:rFonts w:ascii="IRNazanin" w:hAnsi="IRNazanin" w:eastAsia="IRNazanin" w:cs="IRNazanin"/>
          <w:lang w:bidi="fa-IR"/>
          <w:color w:val="111111"/>
          <w:sz w:val="28"/>
          <w:szCs w:val="28"/>
          <w:rtl/>
        </w:rPr>
        <w:t xml:space="preserve">ص 154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حكم الخضاب( رسالة في)، ج 6،</w:t>
      </w:r>
    </w:p>
    <w:p>
      <w:pPr>
        <w:pStyle w:val="BookText"/>
      </w:pPr>
      <w:r>
        <w:rPr>
          <w:rFonts w:ascii="IRNazanin" w:hAnsi="IRNazanin" w:eastAsia="IRNazanin" w:cs="IRNazanin"/>
          <w:lang w:bidi="fa-IR"/>
          <w:color w:val="111111"/>
          <w:sz w:val="28"/>
          <w:szCs w:val="28"/>
          <w:rtl/>
        </w:rPr>
        <w:t xml:space="preserve">ص 755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1" w:name="pg7742_70569"/>
    <w:bookmarkEnd w:id="591"/>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ذخر المعاد في معارض قصيدة بانت</w:t>
      </w:r>
    </w:p>
    <w:p>
      <w:pPr>
        <w:pStyle w:val="BookText"/>
      </w:pPr>
      <w:r>
        <w:rPr>
          <w:rFonts w:ascii="IRNazanin" w:hAnsi="IRNazanin" w:eastAsia="IRNazanin" w:cs="IRNazanin"/>
          <w:lang w:bidi="fa-IR"/>
          <w:color w:val="111111"/>
          <w:sz w:val="28"/>
          <w:szCs w:val="28"/>
          <w:rtl/>
        </w:rPr>
        <w:t xml:space="preserve">سعاد، ج 7، ص818.</w:t>
      </w:r>
    </w:p>
    <w:p>
      <w:pPr>
        <w:pStyle w:val="BookText"/>
      </w:pPr>
      <w:r>
        <w:rPr>
          <w:rFonts w:ascii="Amiri" w:hAnsi="Amiri" w:eastAsia="Amiri" w:cs="Amiri"/>
          <w:lang w:bidi="ar-SA"/>
          <w:color w:val="111111"/>
          <w:sz w:val="28"/>
          <w:szCs w:val="28"/>
          <w:rtl/>
        </w:rPr>
        <w:t xml:space="preserve">4 .العقد الثمين في بيان مسائل الدين</w:t>
      </w:r>
    </w:p>
    <w:p>
      <w:pPr>
        <w:pStyle w:val="BookText"/>
      </w:pPr>
      <w:r>
        <w:rPr>
          <w:rFonts w:ascii="IRNazanin" w:hAnsi="IRNazanin" w:eastAsia="IRNazanin" w:cs="IRNazanin"/>
          <w:lang w:bidi="fa-IR"/>
          <w:color w:val="111111"/>
          <w:sz w:val="28"/>
          <w:szCs w:val="28"/>
          <w:rtl/>
        </w:rPr>
        <w:t xml:space="preserve">ج 11، ص 157.</w:t>
      </w:r>
    </w:p>
    <w:p>
      <w:pPr>
        <w:pStyle w:val="BookText"/>
      </w:pPr>
      <w:r>
        <w:rPr>
          <w:rFonts w:ascii="Amiri" w:hAnsi="Amiri" w:eastAsia="Amiri" w:cs="Amiri"/>
          <w:lang w:bidi="ar-SA"/>
          <w:color w:val="111111"/>
          <w:sz w:val="28"/>
          <w:szCs w:val="28"/>
          <w:rtl/>
        </w:rPr>
        <w:t xml:space="preserve">5 .مقامة، ج 15، ص 311.</w:t>
      </w:r>
    </w:p>
    <w:p>
      <w:pPr>
        <w:pStyle w:val="Heading2"/>
      </w:pPr>
      <w:bookmarkStart w:id="4982" w:name="_Toc4084"/>
      <w:r>
        <w:t>سويدي ، محمّد امين بن علي، 1200 -</w:t>
      </w:r>
      <w:bookmarkEnd w:id="4982"/>
    </w:p>
    <w:p>
      <w:pPr>
        <w:pStyle w:val="BookText"/>
      </w:pPr>
      <w:r>
        <w:rPr>
          <w:rFonts w:ascii="IRNazanin" w:hAnsi="IRNazanin" w:eastAsia="IRNazanin" w:cs="IRNazanin"/>
          <w:lang w:bidi="fa-IR"/>
          <w:color w:val="111111"/>
          <w:sz w:val="28"/>
          <w:szCs w:val="28"/>
          <w:rtl/>
        </w:rPr>
        <w:t xml:space="preserve">1246 ؟ ه-</w:t>
      </w:r>
    </w:p>
    <w:p>
      <w:pPr>
        <w:pStyle w:val="BookText"/>
      </w:pPr>
      <w:r>
        <w:rPr>
          <w:rFonts w:ascii="Amiri" w:hAnsi="Amiri" w:eastAsia="Amiri" w:cs="Amiri"/>
          <w:lang w:bidi="ar-SA"/>
          <w:color w:val="111111"/>
          <w:sz w:val="28"/>
          <w:szCs w:val="28"/>
          <w:rtl/>
        </w:rPr>
        <w:t xml:space="preserve">1 .اسئلة ثلاثة و اجوبتها في المنطق و النحو (رسالة في)، ج2، ص83.</w:t>
      </w:r>
    </w:p>
    <w:p>
      <w:pPr>
        <w:pStyle w:val="BookText"/>
      </w:pPr>
      <w:r>
        <w:rPr>
          <w:rFonts w:ascii="Amiri" w:hAnsi="Amiri" w:eastAsia="Amiri" w:cs="Amiri"/>
          <w:lang w:bidi="ar-SA"/>
          <w:color w:val="111111"/>
          <w:sz w:val="28"/>
          <w:szCs w:val="28"/>
          <w:rtl/>
        </w:rPr>
        <w:t xml:space="preserve">2 .الاعتبار في حمل الأسفار، ج 2،</w:t>
      </w:r>
    </w:p>
    <w:p>
      <w:pPr>
        <w:pStyle w:val="BookText"/>
      </w:pPr>
      <w:r>
        <w:rPr>
          <w:rFonts w:ascii="IRNazanin" w:hAnsi="IRNazanin" w:eastAsia="IRNazanin" w:cs="IRNazanin"/>
          <w:lang w:bidi="fa-IR"/>
          <w:color w:val="111111"/>
          <w:sz w:val="28"/>
          <w:szCs w:val="28"/>
          <w:rtl/>
        </w:rPr>
        <w:t xml:space="preserve">ص 496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ايجار أرض الوقف، ج 3، ص 93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البهجة المرضية مختصر الترجمة</w:t>
      </w:r>
    </w:p>
    <w:p>
      <w:pPr>
        <w:pStyle w:val="BookText"/>
      </w:pPr>
      <w:r>
        <w:rPr>
          <w:rFonts w:ascii="Amiri" w:hAnsi="Amiri" w:eastAsia="Amiri" w:cs="Amiri"/>
          <w:lang w:bidi="ar-SA"/>
          <w:color w:val="111111"/>
          <w:sz w:val="28"/>
          <w:szCs w:val="28"/>
          <w:rtl/>
        </w:rPr>
        <w:t xml:space="preserve">العبقرية، ج 3، ص 438.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التوضيح و التبيين في شرح العقد الثمين في مسائل الدين جه، ص 184.</w:t>
      </w:r>
    </w:p>
    <w:p>
      <w:pPr>
        <w:pStyle w:val="BookText"/>
      </w:pPr>
      <w:r>
        <w:rPr>
          <w:rFonts w:ascii="Amiri" w:hAnsi="Amiri" w:eastAsia="Amiri" w:cs="Amiri"/>
          <w:lang w:bidi="ar-SA"/>
          <w:color w:val="111111"/>
          <w:sz w:val="28"/>
          <w:szCs w:val="28"/>
          <w:rtl/>
        </w:rPr>
        <w:t xml:space="preserve">6 .ثبت الشيخ محمّد امين السويدي</w:t>
      </w:r>
    </w:p>
    <w:p>
      <w:pPr>
        <w:pStyle w:val="BookText"/>
      </w:pPr>
      <w:r>
        <w:rPr>
          <w:rFonts w:ascii="IRNazanin" w:hAnsi="IRNazanin" w:eastAsia="IRNazanin" w:cs="IRNazanin"/>
          <w:lang w:bidi="fa-IR"/>
          <w:color w:val="111111"/>
          <w:sz w:val="28"/>
          <w:szCs w:val="28"/>
          <w:rtl/>
        </w:rPr>
        <w:t xml:space="preserve">ج 5، ص 213.</w:t>
      </w:r>
    </w:p>
    <w:p>
      <w:pPr>
        <w:pStyle w:val="BookText"/>
      </w:pPr>
      <w:r>
        <w:rPr>
          <w:rFonts w:ascii="Amiri" w:hAnsi="Amiri" w:eastAsia="Amiri" w:cs="Amiri"/>
          <w:lang w:bidi="ar-SA"/>
          <w:color w:val="111111"/>
          <w:sz w:val="28"/>
          <w:szCs w:val="28"/>
          <w:rtl/>
        </w:rPr>
        <w:t xml:space="preserve">7.جواب عن سؤال صوفي: أي شخص ليس بأنثي و لا خنثي (رسالة في)، ج 5، ص 503.</w:t>
      </w:r>
    </w:p>
    <w:p>
      <w:pPr>
        <w:pStyle w:val="BookText"/>
      </w:pPr>
      <w:r>
        <w:rPr>
          <w:rFonts w:ascii="Amiri" w:hAnsi="Amiri" w:eastAsia="Amiri" w:cs="Amiri"/>
          <w:lang w:bidi="ar-SA"/>
          <w:color w:val="111111"/>
          <w:sz w:val="28"/>
          <w:szCs w:val="28"/>
          <w:rtl/>
        </w:rPr>
        <w:t xml:space="preserve">8 .جواب عن سؤال في عبارة وردت في الدر المختار»، ج 5، ص 504.</w:t>
      </w:r>
    </w:p>
    <w:p>
      <w:pPr>
        <w:pStyle w:val="BookText"/>
      </w:pPr>
      <w:r>
        <w:rPr>
          <w:rFonts w:ascii="Amiri" w:hAnsi="Amiri" w:eastAsia="Amiri" w:cs="Amiri"/>
          <w:lang w:bidi="ar-SA"/>
          <w:color w:val="111111"/>
          <w:sz w:val="28"/>
          <w:szCs w:val="28"/>
          <w:rtl/>
        </w:rPr>
        <w:t xml:space="preserve">9 .جواب عن سوال ورد في تفسير معالم التنزيل»، ج 5، ص 504.</w:t>
      </w:r>
    </w:p>
    <w:p>
      <w:pPr>
        <w:pStyle w:val="BookText"/>
      </w:pPr>
      <w:r>
        <w:rPr>
          <w:rFonts w:ascii="Amiri" w:hAnsi="Amiri" w:eastAsia="Amiri" w:cs="Amiri"/>
          <w:lang w:bidi="ar-SA"/>
          <w:color w:val="111111"/>
          <w:sz w:val="28"/>
          <w:szCs w:val="28"/>
          <w:rtl/>
        </w:rPr>
        <w:t xml:space="preserve">10 .الجواهر و اليواقيت في معرفة القبلة والمواقيت، ج 5، ص 607.</w:t>
      </w:r>
    </w:p>
    <w:p>
      <w:pPr>
        <w:pStyle w:val="BookText"/>
      </w:pPr>
      <w:r>
        <w:rPr>
          <w:rFonts w:ascii="Amiri" w:hAnsi="Amiri" w:eastAsia="Amiri" w:cs="Amiri"/>
          <w:lang w:bidi="ar-SA"/>
          <w:color w:val="111111"/>
          <w:sz w:val="28"/>
          <w:szCs w:val="28"/>
          <w:rtl/>
        </w:rPr>
        <w:t xml:space="preserve">11 .دفع الظلوم عن الوقوع في عرض</w:t>
      </w:r>
    </w:p>
    <w:p>
      <w:pPr>
        <w:pStyle w:val="BookText"/>
      </w:pPr>
      <w:r>
        <w:rPr>
          <w:rFonts w:ascii="IRNazanin" w:hAnsi="IRNazanin" w:eastAsia="IRNazanin" w:cs="IRNazanin"/>
          <w:lang w:bidi="fa-IR"/>
          <w:color w:val="111111"/>
          <w:sz w:val="28"/>
          <w:szCs w:val="28"/>
          <w:rtl/>
        </w:rPr>
        <w:t xml:space="preserve">المظلوم، ج 7، ص 423.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سبائك الذهب في معرفة قبائل</w:t>
      </w:r>
    </w:p>
    <w:p>
      <w:pPr>
        <w:pStyle w:val="BookText"/>
      </w:pPr>
      <w:r>
        <w:rPr>
          <w:rFonts w:ascii="IRNazanin" w:hAnsi="IRNazanin" w:eastAsia="IRNazanin" w:cs="IRNazanin"/>
          <w:lang w:bidi="fa-IR"/>
          <w:color w:val="111111"/>
          <w:sz w:val="28"/>
          <w:szCs w:val="28"/>
          <w:rtl/>
        </w:rPr>
        <w:t xml:space="preserve">العرب، ج8، ص 688.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شرح العقد الثمين، ج 9، ص738.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القاموس المحيط، ج 9،</w:t>
      </w:r>
    </w:p>
    <w:p>
      <w:pPr>
        <w:pStyle w:val="BookText"/>
      </w:pPr>
      <w:r>
        <w:rPr>
          <w:rFonts w:ascii="IRNazanin" w:hAnsi="IRNazanin" w:eastAsia="IRNazanin" w:cs="IRNazanin"/>
          <w:lang w:bidi="fa-IR"/>
          <w:color w:val="111111"/>
          <w:sz w:val="28"/>
          <w:szCs w:val="28"/>
          <w:rtl/>
        </w:rPr>
        <w:t xml:space="preserve">ص 812.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شرح المقاصد النووية، ج10،</w:t>
      </w:r>
    </w:p>
    <w:p>
      <w:pPr>
        <w:pStyle w:val="BookText"/>
      </w:pPr>
      <w:r>
        <w:rPr>
          <w:rFonts w:ascii="IRNazanin" w:hAnsi="IRNazanin" w:eastAsia="IRNazanin" w:cs="IRNazanin"/>
          <w:lang w:bidi="fa-IR"/>
          <w:color w:val="111111"/>
          <w:sz w:val="28"/>
          <w:szCs w:val="28"/>
          <w:rtl/>
        </w:rPr>
        <w:t xml:space="preserve">ص 174 .</w:t>
      </w:r>
    </w:p>
    <w:p>
      <w:pPr>
        <w:pStyle w:val="BookText"/>
      </w:pPr>
      <w:r>
        <w:rPr>
          <w:rFonts w:ascii="Amiri" w:hAnsi="Amiri" w:eastAsia="Amiri" w:cs="Amiri"/>
          <w:lang w:bidi="ar-SA"/>
          <w:color w:val="111111"/>
          <w:sz w:val="28"/>
          <w:szCs w:val="28"/>
          <w:rtl/>
        </w:rPr>
        <w:t xml:space="preserve">16 .شرح عبارة في التاريخ، ج 9،</w:t>
      </w:r>
    </w:p>
    <w:p>
      <w:pPr>
        <w:pStyle w:val="BookText"/>
      </w:pPr>
      <w:r>
        <w:rPr>
          <w:rFonts w:ascii="IRNazanin" w:hAnsi="IRNazanin" w:eastAsia="IRNazanin" w:cs="IRNazanin"/>
          <w:lang w:bidi="fa-IR"/>
          <w:color w:val="111111"/>
          <w:sz w:val="28"/>
          <w:szCs w:val="28"/>
          <w:rtl/>
        </w:rPr>
        <w:t xml:space="preserve">ص 687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عبارتين من الدر المختار، ج9،</w:t>
      </w:r>
    </w:p>
    <w:p>
      <w:pPr>
        <w:pStyle w:val="BookText"/>
      </w:pPr>
      <w:r>
        <w:rPr>
          <w:rFonts w:ascii="IRNazanin" w:hAnsi="IRNazanin" w:eastAsia="IRNazanin" w:cs="IRNazanin"/>
          <w:lang w:bidi="fa-IR"/>
          <w:color w:val="111111"/>
          <w:sz w:val="28"/>
          <w:szCs w:val="28"/>
          <w:rtl/>
        </w:rPr>
        <w:t xml:space="preserve">ص 688.</w:t>
      </w:r>
    </w:p>
    <w:p>
      <w:pPr>
        <w:pStyle w:val="BookText"/>
      </w:pPr>
      <w:r>
        <w:rPr>
          <w:rFonts w:ascii="Amiri" w:hAnsi="Amiri" w:eastAsia="Amiri" w:cs="Amiri"/>
          <w:lang w:bidi="ar-SA"/>
          <w:color w:val="111111"/>
          <w:sz w:val="28"/>
          <w:szCs w:val="28"/>
          <w:rtl/>
        </w:rPr>
        <w:t xml:space="preserve">18 .شرح لغز «بهاء الدين» (رسالة</w:t>
      </w:r>
    </w:p>
    <w:p>
      <w:pPr>
        <w:pStyle w:val="BookText"/>
      </w:pPr>
      <w:r>
        <w:rPr>
          <w:rFonts w:ascii="Amiri" w:hAnsi="Amiri" w:eastAsia="Amiri" w:cs="Amiri"/>
          <w:lang w:bidi="ar-SA"/>
          <w:color w:val="111111"/>
          <w:sz w:val="28"/>
          <w:szCs w:val="28"/>
          <w:rtl/>
        </w:rPr>
        <w:t xml:space="preserve">في)، ج 10، ص 81.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شرح لغز (رسالة في)، ج 10، ص80.</w:t>
      </w:r>
    </w:p>
    <w:p>
      <w:pPr>
        <w:pStyle w:val="BookText"/>
      </w:pPr>
      <w:r>
        <w:rPr>
          <w:rFonts w:ascii="Amiri" w:hAnsi="Amiri" w:eastAsia="Amiri" w:cs="Amiri"/>
          <w:lang w:bidi="ar-SA"/>
          <w:color w:val="111111"/>
          <w:sz w:val="28"/>
          <w:szCs w:val="28"/>
          <w:rtl/>
        </w:rPr>
        <w:t xml:space="preserve">20 .شرح لفظة «الحمد» رسالة في)،</w:t>
      </w:r>
    </w:p>
    <w:p>
      <w:pPr>
        <w:pStyle w:val="BookText"/>
      </w:pPr>
      <w:r>
        <w:rPr>
          <w:rFonts w:ascii="IRNazanin" w:hAnsi="IRNazanin" w:eastAsia="IRNazanin" w:cs="IRNazanin"/>
          <w:lang w:bidi="fa-IR"/>
          <w:color w:val="111111"/>
          <w:sz w:val="28"/>
          <w:szCs w:val="28"/>
          <w:rtl/>
        </w:rPr>
        <w:t xml:space="preserve">ج 10، ص 82.</w:t>
      </w:r>
    </w:p>
    <w:p>
      <w:pPr>
        <w:pStyle w:val="BookText"/>
      </w:pPr>
      <w:r>
        <w:rPr>
          <w:rFonts w:ascii="Amiri" w:hAnsi="Amiri" w:eastAsia="Amiri" w:cs="Amiri"/>
          <w:lang w:bidi="ar-SA"/>
          <w:color w:val="111111"/>
          <w:sz w:val="28"/>
          <w:szCs w:val="28"/>
          <w:rtl/>
        </w:rPr>
        <w:t xml:space="preserve">21.الصارم الحديد في عنق صاحب سلاسل الحديد في تقييد ابن ابي</w:t>
      </w:r>
    </w:p>
    <w:p>
      <w:pPr>
        <w:pStyle w:val="BookText"/>
      </w:pPr>
      <w:r>
        <w:rPr>
          <w:rFonts w:ascii="Amiri" w:hAnsi="Amiri" w:eastAsia="Amiri" w:cs="Amiri"/>
          <w:lang w:bidi="ar-SA"/>
          <w:color w:val="111111"/>
          <w:sz w:val="28"/>
          <w:szCs w:val="28"/>
          <w:rtl/>
        </w:rPr>
        <w:t xml:space="preserve">الحديد، ج 10، ص 466.</w:t>
      </w:r>
    </w:p>
    <w:p>
      <w:pPr>
        <w:pStyle w:val="BookText"/>
      </w:pPr>
      <w:r>
        <w:rPr>
          <w:rFonts w:ascii="Amiri" w:hAnsi="Amiri" w:eastAsia="Amiri" w:cs="Amiri"/>
          <w:lang w:bidi="ar-SA"/>
          <w:color w:val="111111"/>
          <w:sz w:val="28"/>
          <w:szCs w:val="28"/>
          <w:rtl/>
        </w:rPr>
        <w:t xml:space="preserve">22 .فتح الرحمن في مواعظ شهر</w:t>
      </w:r>
    </w:p>
    <w:p>
      <w:pPr>
        <w:pStyle w:val="BookText"/>
      </w:pPr>
      <w:r>
        <w:rPr>
          <w:rFonts w:ascii="IRNazanin" w:hAnsi="IRNazanin" w:eastAsia="IRNazanin" w:cs="IRNazanin"/>
          <w:lang w:bidi="fa-IR"/>
          <w:color w:val="111111"/>
          <w:sz w:val="28"/>
          <w:szCs w:val="28"/>
          <w:rtl/>
        </w:rPr>
        <w:t xml:space="preserve">رمضان، ج 11، ص 655.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الفقه الحنفي (مسألة في)، ج12،</w:t>
      </w:r>
    </w:p>
    <w:p>
      <w:pPr>
        <w:pStyle w:val="BookText"/>
      </w:pPr>
      <w:r>
        <w:rPr>
          <w:rFonts w:ascii="IRNazanin" w:hAnsi="IRNazanin" w:eastAsia="IRNazanin" w:cs="IRNazanin"/>
          <w:lang w:bidi="fa-IR"/>
          <w:color w:val="111111"/>
          <w:sz w:val="28"/>
          <w:szCs w:val="28"/>
          <w:rtl/>
        </w:rPr>
        <w:t xml:space="preserve">ص 98.</w:t>
      </w:r>
    </w:p>
    <w:p>
      <w:pPr>
        <w:pStyle w:val="BookText"/>
      </w:pPr>
      <w:r>
        <w:rPr>
          <w:rFonts w:ascii="Amiri" w:hAnsi="Amiri" w:eastAsia="Amiri" w:cs="Amiri"/>
          <w:lang w:bidi="ar-SA"/>
          <w:color w:val="111111"/>
          <w:sz w:val="28"/>
          <w:szCs w:val="28"/>
          <w:rtl/>
        </w:rPr>
        <w:t xml:space="preserve">24 .قلائد الدرر في شرح رسالة ابن حجر = شرح التعرف في الاصلين و</w:t>
      </w:r>
    </w:p>
    <w:p>
      <w:pPr>
        <w:pStyle w:val="BookText"/>
      </w:pPr>
      <w:r>
        <w:rPr>
          <w:rFonts w:ascii="IRNazanin" w:hAnsi="IRNazanin" w:eastAsia="IRNazanin" w:cs="IRNazanin"/>
          <w:lang w:bidi="fa-IR"/>
          <w:color w:val="111111"/>
          <w:sz w:val="28"/>
          <w:szCs w:val="28"/>
          <w:rtl/>
        </w:rPr>
        <w:t xml:space="preserve">التصوف، ج 12، ص 757 .</w:t>
      </w:r>
    </w:p>
    <w:p>
      <w:pPr>
        <w:pStyle w:val="BookText"/>
      </w:pPr>
      <w:r>
        <w:rPr>
          <w:rFonts w:ascii="Amiri" w:hAnsi="Amiri" w:eastAsia="Amiri" w:cs="Amiri"/>
          <w:lang w:bidi="ar-SA"/>
          <w:color w:val="111111"/>
          <w:sz w:val="28"/>
          <w:szCs w:val="28"/>
          <w:rtl/>
        </w:rPr>
        <w:t xml:space="preserve">25 .الكلام عن أحاديث احياء العلوم</w:t>
      </w:r>
    </w:p>
    <w:p>
      <w:pPr>
        <w:pStyle w:val="BookText"/>
      </w:pPr>
      <w:r>
        <w:rPr>
          <w:rFonts w:ascii="Amiri" w:hAnsi="Amiri" w:eastAsia="Amiri" w:cs="Amiri"/>
          <w:lang w:bidi="ar-SA"/>
          <w:color w:val="111111"/>
          <w:sz w:val="28"/>
          <w:szCs w:val="28"/>
          <w:rtl/>
        </w:rPr>
        <w:t xml:space="preserve">للغزالي، ج13، ص 358.</w:t>
      </w:r>
    </w:p>
    <w:p>
      <w:pPr>
        <w:pStyle w:val="BookText"/>
      </w:pPr>
      <w:r>
        <w:rPr>
          <w:rFonts w:ascii="Amiri" w:hAnsi="Amiri" w:eastAsia="Amiri" w:cs="Amiri"/>
          <w:lang w:bidi="ar-SA"/>
          <w:color w:val="111111"/>
          <w:sz w:val="28"/>
          <w:szCs w:val="28"/>
          <w:rtl/>
        </w:rPr>
        <w:t xml:space="preserve">26 .الكواكب الساطعة في بيان المقاصد</w:t>
      </w:r>
    </w:p>
    <w:p>
      <w:pPr>
        <w:pStyle w:val="BookText"/>
      </w:pPr>
      <w:r>
        <w:rPr>
          <w:rFonts w:ascii="Amiri" w:hAnsi="Amiri" w:eastAsia="Amiri" w:cs="Amiri"/>
          <w:lang w:bidi="ar-SA"/>
          <w:color w:val="111111"/>
          <w:sz w:val="28"/>
          <w:szCs w:val="28"/>
          <w:rtl/>
        </w:rPr>
        <w:t xml:space="preserve">النافعة، ج 13، ص 466.</w:t>
      </w:r>
    </w:p>
    <w:p>
      <w:pPr>
        <w:pStyle w:val="BookText"/>
      </w:pPr>
      <w:r>
        <w:rPr>
          <w:rFonts w:ascii="Amiri" w:hAnsi="Amiri" w:eastAsia="Amiri" w:cs="Amiri"/>
          <w:lang w:bidi="ar-SA"/>
          <w:color w:val="111111"/>
          <w:sz w:val="28"/>
          <w:szCs w:val="28"/>
          <w:rtl/>
        </w:rPr>
        <w:t xml:space="preserve">27 .الكوكب الزاهر في الفرق بين علمي الباطن و الظاهر، ج13،</w:t>
      </w:r>
    </w:p>
    <w:p>
      <w:pPr>
        <w:pStyle w:val="BookText"/>
      </w:pPr>
      <w:r>
        <w:rPr>
          <w:rFonts w:ascii="IRNazanin" w:hAnsi="IRNazanin" w:eastAsia="IRNazanin" w:cs="IRNazanin"/>
          <w:lang w:bidi="fa-IR"/>
          <w:color w:val="111111"/>
          <w:sz w:val="28"/>
          <w:szCs w:val="28"/>
          <w:rtl/>
        </w:rPr>
        <w:t xml:space="preserve">ص 471 .</w:t>
      </w:r>
    </w:p>
    <w:p>
      <w:pPr>
        <w:pStyle w:val="BookText"/>
      </w:pPr>
      <w:r>
        <w:rPr>
          <w:rFonts w:ascii="Amiri" w:hAnsi="Amiri" w:eastAsia="Amiri" w:cs="Amiri"/>
          <w:lang w:bidi="ar-SA"/>
          <w:color w:val="111111"/>
          <w:sz w:val="28"/>
          <w:szCs w:val="28"/>
          <w:rtl/>
        </w:rPr>
        <w:t xml:space="preserve">28 .لغز اسم «موم»( رسالة في)، ج 13،</w:t>
      </w:r>
    </w:p>
    <w:p>
      <w:pPr>
        <w:pStyle w:val="BookText"/>
      </w:pPr>
      <w:r>
        <w:rPr>
          <w:rFonts w:ascii="IRNazanin" w:hAnsi="IRNazanin" w:eastAsia="IRNazanin" w:cs="IRNazanin"/>
          <w:lang w:bidi="fa-IR"/>
          <w:color w:val="111111"/>
          <w:sz w:val="28"/>
          <w:szCs w:val="28"/>
          <w:rtl/>
        </w:rPr>
        <w:t xml:space="preserve">ص 597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2" w:name="pg7742_70570"/>
    <w:bookmarkEnd w:id="592"/>
    <w:p>
      <w:pPr>
        <w:pStyle w:val="BookText"/>
      </w:pPr>
      <w:r>
        <w:rPr>
          <w:rFonts w:ascii="Amiri" w:hAnsi="Amiri" w:eastAsia="Amiri" w:cs="Amiri"/>
          <w:lang w:bidi="ar-SA"/>
          <w:color w:val="111111"/>
          <w:sz w:val="28"/>
          <w:szCs w:val="28"/>
          <w:rtl/>
        </w:rPr>
        <w:t xml:space="preserve">29 .لغز «ماشه» (رسالة في)، ج 13،</w:t>
      </w:r>
    </w:p>
    <w:p>
      <w:pPr>
        <w:pStyle w:val="BookText"/>
      </w:pPr>
      <w:r>
        <w:rPr>
          <w:rFonts w:ascii="IRNazanin" w:hAnsi="IRNazanin" w:eastAsia="IRNazanin" w:cs="IRNazanin"/>
          <w:lang w:bidi="fa-IR"/>
          <w:color w:val="111111"/>
          <w:sz w:val="28"/>
          <w:szCs w:val="28"/>
          <w:rtl/>
        </w:rPr>
        <w:t xml:space="preserve">ص 601.</w:t>
      </w:r>
    </w:p>
    <w:p>
      <w:pPr>
        <w:pStyle w:val="BookText"/>
      </w:pPr>
      <w:r>
        <w:rPr>
          <w:rFonts w:ascii="Amiri" w:hAnsi="Amiri" w:eastAsia="Amiri" w:cs="Amiri"/>
          <w:lang w:bidi="ar-SA"/>
          <w:color w:val="111111"/>
          <w:sz w:val="28"/>
          <w:szCs w:val="28"/>
          <w:rtl/>
        </w:rPr>
        <w:t xml:space="preserve">30 .المعمى (رسالة في)، ج 15 ، ص 86.</w:t>
      </w:r>
    </w:p>
    <w:p>
      <w:pPr>
        <w:pStyle w:val="BookText"/>
      </w:pPr>
      <w:r>
        <w:rPr>
          <w:rFonts w:ascii="Amiri" w:hAnsi="Amiri" w:eastAsia="Amiri" w:cs="Amiri"/>
          <w:lang w:bidi="ar-SA"/>
          <w:color w:val="111111"/>
          <w:sz w:val="28"/>
          <w:szCs w:val="28"/>
          <w:rtl/>
        </w:rPr>
        <w:t xml:space="preserve">31 .المناسخات في الفرائض، ج 15،</w:t>
      </w:r>
    </w:p>
    <w:p>
      <w:pPr>
        <w:pStyle w:val="BookText"/>
      </w:pPr>
      <w:r>
        <w:rPr>
          <w:rFonts w:ascii="IRNazanin" w:hAnsi="IRNazanin" w:eastAsia="IRNazanin" w:cs="IRNazanin"/>
          <w:lang w:bidi="fa-IR"/>
          <w:color w:val="111111"/>
          <w:sz w:val="28"/>
          <w:szCs w:val="28"/>
          <w:rtl/>
        </w:rPr>
        <w:t xml:space="preserve">ص 494.</w:t>
      </w:r>
    </w:p>
    <w:p>
      <w:pPr>
        <w:pStyle w:val="BookText"/>
      </w:pPr>
      <w:r>
        <w:rPr>
          <w:rFonts w:ascii="Amiri" w:hAnsi="Amiri" w:eastAsia="Amiri" w:cs="Amiri"/>
          <w:lang w:bidi="ar-SA"/>
          <w:color w:val="111111"/>
          <w:sz w:val="28"/>
          <w:szCs w:val="28"/>
          <w:rtl/>
        </w:rPr>
        <w:t xml:space="preserve">32 .مناسك الحج، ج 15 ، ص 501.</w:t>
      </w:r>
    </w:p>
    <w:p>
      <w:pPr>
        <w:pStyle w:val="BookText"/>
      </w:pPr>
      <w:r>
        <w:rPr>
          <w:rFonts w:ascii="Amiri" w:hAnsi="Amiri" w:eastAsia="Amiri" w:cs="Amiri"/>
          <w:lang w:bidi="ar-SA"/>
          <w:color w:val="111111"/>
          <w:sz w:val="28"/>
          <w:szCs w:val="28"/>
          <w:rtl/>
        </w:rPr>
        <w:t xml:space="preserve">33 .المنح الإلهية في شرح البوصيري</w:t>
      </w:r>
    </w:p>
    <w:p>
      <w:pPr>
        <w:pStyle w:val="BookText"/>
      </w:pPr>
      <w:r>
        <w:rPr>
          <w:rFonts w:ascii="IRNazanin" w:hAnsi="IRNazanin" w:eastAsia="IRNazanin" w:cs="IRNazanin"/>
          <w:lang w:bidi="fa-IR"/>
          <w:color w:val="111111"/>
          <w:sz w:val="28"/>
          <w:szCs w:val="28"/>
          <w:rtl/>
        </w:rPr>
        <w:t xml:space="preserve">ج 15 ، ص 660 .</w:t>
      </w:r>
    </w:p>
    <w:p>
      <w:pPr>
        <w:pStyle w:val="BookText"/>
      </w:pPr>
      <w:r>
        <w:rPr>
          <w:rFonts w:ascii="Amiri" w:hAnsi="Amiri" w:eastAsia="Amiri" w:cs="Amiri"/>
          <w:lang w:bidi="ar-SA"/>
          <w:color w:val="111111"/>
          <w:sz w:val="28"/>
          <w:szCs w:val="28"/>
          <w:rtl/>
        </w:rPr>
        <w:t xml:space="preserve">34 .مولد النبي (ص) = المولد النبوي</w:t>
      </w:r>
    </w:p>
    <w:p>
      <w:pPr>
        <w:pStyle w:val="BookText"/>
      </w:pPr>
      <w:r>
        <w:rPr>
          <w:rFonts w:ascii="IRNazanin" w:hAnsi="IRNazanin" w:eastAsia="IRNazanin" w:cs="IRNazanin"/>
          <w:lang w:bidi="fa-IR"/>
          <w:color w:val="111111"/>
          <w:sz w:val="28"/>
          <w:szCs w:val="28"/>
          <w:rtl/>
        </w:rPr>
        <w:t xml:space="preserve">مولد الرسول، ج 16، ص 49.</w:t>
      </w:r>
    </w:p>
    <w:p>
      <w:pPr>
        <w:pStyle w:val="Heading2"/>
      </w:pPr>
      <w:bookmarkStart w:id="4983" w:name="_Toc4085"/>
      <w:r>
        <w:t>سويدي ، محمّد سعيد - 1223 ه-</w:t>
      </w:r>
      <w:bookmarkEnd w:id="4983"/>
    </w:p>
    <w:p>
      <w:pPr>
        <w:pStyle w:val="BookText"/>
      </w:pPr>
      <w:r>
        <w:rPr>
          <w:rFonts w:ascii="Amiri" w:hAnsi="Amiri" w:eastAsia="Amiri" w:cs="Amiri"/>
          <w:lang w:bidi="ar-SA"/>
          <w:color w:val="111111"/>
          <w:sz w:val="28"/>
          <w:szCs w:val="28"/>
          <w:rtl/>
        </w:rPr>
        <w:t xml:space="preserve">ديوان السويدي، ج 7، ص 655.</w:t>
      </w:r>
    </w:p>
    <w:p>
      <w:pPr>
        <w:pStyle w:val="Heading2"/>
      </w:pPr>
      <w:bookmarkStart w:id="4984" w:name="_Toc4086"/>
      <w:r>
        <w:t>سويدي ، محمّد سعيد بن احمد 1180 - 1246ه-</w:t>
      </w:r>
      <w:bookmarkEnd w:id="4984"/>
    </w:p>
    <w:p>
      <w:pPr>
        <w:pStyle w:val="BookText"/>
      </w:pPr>
      <w:r>
        <w:rPr>
          <w:rFonts w:ascii="Amiri" w:hAnsi="Amiri" w:eastAsia="Amiri" w:cs="Amiri"/>
          <w:lang w:bidi="ar-SA"/>
          <w:color w:val="111111"/>
          <w:sz w:val="28"/>
          <w:szCs w:val="28"/>
          <w:rtl/>
        </w:rPr>
        <w:t xml:space="preserve">1 .التقليد في احكام التقليد ج4،</w:t>
      </w:r>
    </w:p>
    <w:p>
      <w:pPr>
        <w:pStyle w:val="BookText"/>
      </w:pPr>
      <w:r>
        <w:rPr>
          <w:rFonts w:ascii="IRNazanin" w:hAnsi="IRNazanin" w:eastAsia="IRNazanin" w:cs="IRNazanin"/>
          <w:lang w:bidi="fa-IR"/>
          <w:color w:val="111111"/>
          <w:sz w:val="28"/>
          <w:szCs w:val="28"/>
          <w:rtl/>
        </w:rPr>
        <w:t xml:space="preserve">ص 790.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مقامة، ج 15، ص 311.</w:t>
      </w:r>
    </w:p>
    <w:p>
      <w:pPr>
        <w:pStyle w:val="Heading2"/>
      </w:pPr>
      <w:bookmarkStart w:id="4985" w:name="_Toc4087"/>
      <w:r>
        <w:t>سويكت خطي ، احمد بن مهدي قرن 14</w:t>
      </w:r>
      <w:bookmarkEnd w:id="4985"/>
    </w:p>
    <w:p>
      <w:pPr>
        <w:pStyle w:val="BookText"/>
      </w:pPr>
      <w:r>
        <w:rPr>
          <w:rFonts w:ascii="Amiri" w:hAnsi="Amiri" w:eastAsia="Amiri" w:cs="Amiri"/>
          <w:lang w:bidi="ar-SA"/>
          <w:color w:val="111111"/>
          <w:sz w:val="28"/>
          <w:szCs w:val="28"/>
          <w:rtl/>
        </w:rPr>
        <w:t xml:space="preserve">الصوارم الحاصدة لاعناق الملاحدة</w:t>
      </w:r>
    </w:p>
    <w:p>
      <w:pPr>
        <w:pStyle w:val="BookText"/>
      </w:pPr>
      <w:r>
        <w:rPr>
          <w:rFonts w:ascii="IRNazanin" w:hAnsi="IRNazanin" w:eastAsia="IRNazanin" w:cs="IRNazanin"/>
          <w:lang w:bidi="fa-IR"/>
          <w:color w:val="111111"/>
          <w:sz w:val="28"/>
          <w:szCs w:val="28"/>
          <w:rtl/>
        </w:rPr>
        <w:t xml:space="preserve">ج 10 ، ص 642 .</w:t>
      </w:r>
    </w:p>
    <w:p>
      <w:pPr>
        <w:pStyle w:val="BookText"/>
      </w:pPr>
      <w:r>
        <w:rPr>
          <w:rFonts w:ascii="IRNazanin" w:hAnsi="IRNazanin" w:eastAsia="IRNazanin" w:cs="IRNazanin"/>
          <w:lang w:bidi="fa-IR"/>
          <w:color w:val="111111"/>
          <w:sz w:val="28"/>
          <w:szCs w:val="28"/>
          <w:rtl/>
        </w:rPr>
        <w:t xml:space="preserve">سویلمز زاده- قيصري ، عبد الحليم بن</w:t>
      </w:r>
    </w:p>
    <w:p>
      <w:pPr>
        <w:pStyle w:val="BookText"/>
      </w:pPr>
      <w:r>
        <w:rPr>
          <w:rFonts w:ascii="Amiri" w:hAnsi="Amiri" w:eastAsia="Amiri" w:cs="Amiri"/>
          <w:lang w:bidi="ar-SA"/>
          <w:color w:val="111111"/>
          <w:sz w:val="28"/>
          <w:szCs w:val="28"/>
          <w:rtl/>
        </w:rPr>
        <w:t xml:space="preserve">محمّد</w:t>
      </w:r>
    </w:p>
    <w:p>
      <w:pPr>
        <w:pStyle w:val="Heading2"/>
      </w:pPr>
      <w:bookmarkStart w:id="4986" w:name="_Toc4088"/>
      <w:r>
        <w:t>سيادت ، عبد الرحيم</w:t>
      </w:r>
      <w:bookmarkEnd w:id="4986"/>
    </w:p>
    <w:p>
      <w:pPr>
        <w:pStyle w:val="BookText"/>
      </w:pPr>
      <w:r>
        <w:rPr>
          <w:rFonts w:ascii="IRNazanin" w:hAnsi="IRNazanin" w:eastAsia="IRNazanin" w:cs="IRNazanin"/>
          <w:lang w:bidi="fa-IR"/>
          <w:color w:val="111111"/>
          <w:sz w:val="28"/>
          <w:szCs w:val="28"/>
          <w:rtl/>
        </w:rPr>
        <w:t xml:space="preserve">کشکول، ج13، ص 294.</w:t>
      </w:r>
    </w:p>
    <w:p>
      <w:pPr>
        <w:pStyle w:val="Heading2"/>
      </w:pPr>
      <w:bookmarkStart w:id="4987" w:name="_Toc4089"/>
      <w:r>
        <w:t>سياري ، احمد بن محمّد - 368 ه-</w:t>
      </w:r>
      <w:bookmarkEnd w:id="4987"/>
    </w:p>
    <w:p>
      <w:pPr>
        <w:pStyle w:val="BookText"/>
      </w:pPr>
      <w:r>
        <w:rPr>
          <w:rFonts w:ascii="Amiri" w:hAnsi="Amiri" w:eastAsia="Amiri" w:cs="Amiri"/>
          <w:lang w:bidi="ar-SA"/>
          <w:color w:val="111111"/>
          <w:sz w:val="28"/>
          <w:szCs w:val="28"/>
          <w:rtl/>
        </w:rPr>
        <w:t xml:space="preserve">التنزيل والتحريف - القرائات، جه ،</w:t>
      </w:r>
    </w:p>
    <w:p>
      <w:pPr>
        <w:pStyle w:val="BookText"/>
      </w:pPr>
      <w:r>
        <w:rPr>
          <w:rFonts w:ascii="IRNazanin" w:hAnsi="IRNazanin" w:eastAsia="IRNazanin" w:cs="IRNazanin"/>
          <w:lang w:bidi="fa-IR"/>
          <w:color w:val="111111"/>
          <w:sz w:val="28"/>
          <w:szCs w:val="28"/>
          <w:rtl/>
        </w:rPr>
        <w:t xml:space="preserve">ص 51.</w:t>
      </w:r>
    </w:p>
    <w:p>
      <w:pPr>
        <w:pStyle w:val="Heading2"/>
      </w:pPr>
      <w:bookmarkStart w:id="4988" w:name="_Toc4090"/>
      <w:r>
        <w:t>سيالكوتي رشتي ، محمد باقر</w:t>
      </w:r>
      <w:bookmarkEnd w:id="4988"/>
    </w:p>
    <w:p>
      <w:pPr>
        <w:pStyle w:val="BookText"/>
      </w:pPr>
      <w:r>
        <w:rPr>
          <w:rFonts w:ascii="IRNazanin" w:hAnsi="IRNazanin" w:eastAsia="IRNazanin" w:cs="IRNazanin"/>
          <w:lang w:bidi="fa-IR"/>
          <w:color w:val="111111"/>
          <w:sz w:val="28"/>
          <w:szCs w:val="28"/>
          <w:rtl/>
        </w:rPr>
        <w:t xml:space="preserve">اصول الفقه، ج 2، ص 441.</w:t>
      </w:r>
    </w:p>
    <w:p>
      <w:pPr>
        <w:pStyle w:val="Heading2"/>
      </w:pPr>
      <w:bookmarkStart w:id="4989" w:name="_Toc4091"/>
      <w:r>
        <w:t>سيالكوتي ، عبد الحكيم بن شمس الدین،</w:t>
      </w:r>
      <w:bookmarkEnd w:id="4989"/>
    </w:p>
    <w:p>
      <w:pPr>
        <w:pStyle w:val="BookText"/>
      </w:pPr>
      <w:r>
        <w:rPr>
          <w:rFonts w:ascii="IRNazanin" w:hAnsi="IRNazanin" w:eastAsia="IRNazanin" w:cs="IRNazanin"/>
          <w:lang w:bidi="fa-IR"/>
          <w:color w:val="111111"/>
          <w:sz w:val="28"/>
          <w:szCs w:val="28"/>
          <w:rtl/>
        </w:rPr>
        <w:t xml:space="preserve">988 - 1067ه-</w:t>
      </w:r>
    </w:p>
    <w:p>
      <w:pPr>
        <w:pStyle w:val="BookText"/>
      </w:pPr>
      <w:r>
        <w:rPr>
          <w:rFonts w:ascii="Amiri" w:hAnsi="Amiri" w:eastAsia="Amiri" w:cs="Amiri"/>
          <w:lang w:bidi="ar-SA"/>
          <w:color w:val="111111"/>
          <w:sz w:val="28"/>
          <w:szCs w:val="28"/>
          <w:rtl/>
        </w:rPr>
        <w:t xml:space="preserve">1 .تعليقات على تحرير القواعد المنطقية - تعليقات على شرح</w:t>
      </w:r>
    </w:p>
    <w:p>
      <w:pPr>
        <w:pStyle w:val="BookText"/>
      </w:pPr>
      <w:r>
        <w:rPr>
          <w:rFonts w:ascii="Amiri" w:hAnsi="Amiri" w:eastAsia="Amiri" w:cs="Amiri"/>
          <w:lang w:bidi="ar-SA"/>
          <w:color w:val="111111"/>
          <w:sz w:val="28"/>
          <w:szCs w:val="28"/>
          <w:rtl/>
        </w:rPr>
        <w:t xml:space="preserve">الشمسية، ج4، ص 491.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تعليقات على حاشية شرح الشمسية للكلنبوي، ج4، ص 495.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تعليقات على شرح عوامل</w:t>
      </w:r>
    </w:p>
    <w:p>
      <w:pPr>
        <w:pStyle w:val="BookText"/>
      </w:pPr>
      <w:r>
        <w:rPr>
          <w:rFonts w:ascii="Amiri" w:hAnsi="Amiri" w:eastAsia="Amiri" w:cs="Amiri"/>
          <w:lang w:bidi="ar-SA"/>
          <w:color w:val="111111"/>
          <w:sz w:val="28"/>
          <w:szCs w:val="28"/>
          <w:rtl/>
        </w:rPr>
        <w:t xml:space="preserve">الجرجاني، ج 4، ص 501.</w:t>
      </w:r>
    </w:p>
    <w:p>
      <w:pPr>
        <w:pStyle w:val="BookText"/>
      </w:pPr>
      <w:r>
        <w:rPr>
          <w:rFonts w:ascii="Amiri" w:hAnsi="Amiri" w:eastAsia="Amiri" w:cs="Amiri"/>
          <w:lang w:bidi="ar-SA"/>
          <w:color w:val="111111"/>
          <w:sz w:val="28"/>
          <w:szCs w:val="28"/>
          <w:rtl/>
        </w:rPr>
        <w:t xml:space="preserve">4 .تكملة حاشية عبدالغفور على الفوائد الضيائية = تكملة عبد الغفور، ج4، ص816.</w:t>
      </w:r>
    </w:p>
    <w:p>
      <w:pPr>
        <w:pStyle w:val="BookText"/>
      </w:pPr>
      <w:r>
        <w:rPr>
          <w:rFonts w:ascii="Amiri" w:hAnsi="Amiri" w:eastAsia="Amiri" w:cs="Amiri"/>
          <w:lang w:bidi="ar-SA"/>
          <w:color w:val="111111"/>
          <w:sz w:val="28"/>
          <w:szCs w:val="28"/>
          <w:rtl/>
        </w:rPr>
        <w:t xml:space="preserve">5.حاشية المطول، ج 6، ص 387.</w:t>
      </w:r>
    </w:p>
    <w:p>
      <w:pPr>
        <w:pStyle w:val="BookText"/>
      </w:pPr>
      <w:r>
        <w:rPr>
          <w:rFonts w:ascii="Amiri" w:hAnsi="Amiri" w:eastAsia="Amiri" w:cs="Amiri"/>
          <w:lang w:bidi="ar-SA"/>
          <w:color w:val="111111"/>
          <w:sz w:val="28"/>
          <w:szCs w:val="28"/>
          <w:rtl/>
        </w:rPr>
        <w:t xml:space="preserve">6 .حاشية انوار التنزيل = حاشيه تفسير بيضاوي، ج 5 ، ص 694 .</w:t>
      </w:r>
    </w:p>
    <w:p>
      <w:pPr>
        <w:pStyle w:val="BookText"/>
      </w:pPr>
      <w:r>
        <w:rPr>
          <w:rFonts w:ascii="Amiri" w:hAnsi="Amiri" w:eastAsia="Amiri" w:cs="Amiri"/>
          <w:lang w:bidi="ar-SA"/>
          <w:color w:val="111111"/>
          <w:sz w:val="28"/>
          <w:szCs w:val="28"/>
          <w:rtl/>
        </w:rPr>
        <w:t xml:space="preserve">7 .حاشية تحرير القواعد المنطقية في</w:t>
      </w:r>
    </w:p>
    <w:p>
      <w:pPr>
        <w:pStyle w:val="BookText"/>
      </w:pPr>
      <w:r>
        <w:rPr>
          <w:rFonts w:ascii="Amiri" w:hAnsi="Amiri" w:eastAsia="Amiri" w:cs="Amiri"/>
          <w:lang w:bidi="ar-SA"/>
          <w:color w:val="111111"/>
          <w:sz w:val="28"/>
          <w:szCs w:val="28"/>
          <w:rtl/>
        </w:rPr>
        <w:t xml:space="preserve">شرح الشمسية = حاشية شرح الشمسية حاشية السيالكوتي، ج5،</w:t>
      </w:r>
    </w:p>
    <w:p>
      <w:pPr>
        <w:pStyle w:val="BookText"/>
      </w:pPr>
      <w:r>
        <w:rPr>
          <w:rFonts w:ascii="IRNazanin" w:hAnsi="IRNazanin" w:eastAsia="IRNazanin" w:cs="IRNazanin"/>
          <w:lang w:bidi="fa-IR"/>
          <w:color w:val="111111"/>
          <w:sz w:val="28"/>
          <w:szCs w:val="28"/>
          <w:rtl/>
        </w:rPr>
        <w:t xml:space="preserve">ص 728.</w:t>
      </w:r>
    </w:p>
    <w:p>
      <w:pPr>
        <w:pStyle w:val="BookText"/>
      </w:pPr>
      <w:r>
        <w:rPr>
          <w:rFonts w:ascii="Amiri" w:hAnsi="Amiri" w:eastAsia="Amiri" w:cs="Amiri"/>
          <w:lang w:bidi="ar-SA"/>
          <w:color w:val="111111"/>
          <w:sz w:val="28"/>
          <w:szCs w:val="28"/>
          <w:rtl/>
        </w:rPr>
        <w:t xml:space="preserve">8 .حاشية حاشية الفوائد الضيائية</w:t>
      </w:r>
    </w:p>
    <w:p>
      <w:pPr>
        <w:pStyle w:val="BookText"/>
      </w:pPr>
      <w:r>
        <w:rPr>
          <w:rFonts w:ascii="IRNazanin" w:hAnsi="IRNazanin" w:eastAsia="IRNazanin" w:cs="IRNazanin"/>
          <w:lang w:bidi="fa-IR"/>
          <w:color w:val="111111"/>
          <w:sz w:val="28"/>
          <w:szCs w:val="28"/>
          <w:rtl/>
        </w:rPr>
        <w:t xml:space="preserve">ج 5، ص 836.</w:t>
      </w:r>
    </w:p>
    <w:p>
      <w:pPr>
        <w:pStyle w:val="BookText"/>
      </w:pPr>
      <w:r>
        <w:rPr>
          <w:rFonts w:ascii="Amiri" w:hAnsi="Amiri" w:eastAsia="Amiri" w:cs="Amiri"/>
          <w:lang w:bidi="ar-SA"/>
          <w:color w:val="111111"/>
          <w:sz w:val="28"/>
          <w:szCs w:val="28"/>
          <w:rtl/>
        </w:rPr>
        <w:t xml:space="preserve">9 .حاشية شرح العقائد العضدية، ج6،</w:t>
      </w:r>
    </w:p>
    <w:p>
      <w:pPr>
        <w:pStyle w:val="BookText"/>
      </w:pPr>
      <w:r>
        <w:rPr>
          <w:rFonts w:ascii="IRNazanin" w:hAnsi="IRNazanin" w:eastAsia="IRNazanin" w:cs="IRNazanin"/>
          <w:lang w:bidi="fa-IR"/>
          <w:color w:val="111111"/>
          <w:sz w:val="28"/>
          <w:szCs w:val="28"/>
          <w:rtl/>
        </w:rPr>
        <w:t xml:space="preserve">ص 140.</w:t>
      </w:r>
    </w:p>
    <w:p>
      <w:pPr>
        <w:pStyle w:val="BookText"/>
      </w:pPr>
      <w:r>
        <w:rPr>
          <w:rFonts w:ascii="Amiri" w:hAnsi="Amiri" w:eastAsia="Amiri" w:cs="Amiri"/>
          <w:lang w:bidi="ar-SA"/>
          <w:color w:val="111111"/>
          <w:sz w:val="28"/>
          <w:szCs w:val="28"/>
          <w:rtl/>
        </w:rPr>
        <w:t xml:space="preserve">10 حاشية شرح المواقف، ج 6،</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Amiri" w:hAnsi="Amiri" w:eastAsia="Amiri" w:cs="Amiri"/>
          <w:lang w:bidi="ar-SA"/>
          <w:color w:val="111111"/>
          <w:sz w:val="28"/>
          <w:szCs w:val="28"/>
          <w:rtl/>
        </w:rPr>
        <w:t xml:space="preserve">11 .حاشية عبد الحكيم، ج 6، ص 226.</w:t>
      </w:r>
    </w:p>
    <w:p>
      <w:pPr>
        <w:pStyle w:val="BookText"/>
      </w:pPr>
      <w:r>
        <w:rPr>
          <w:rFonts w:ascii="Amiri" w:hAnsi="Amiri" w:eastAsia="Amiri" w:cs="Amiri"/>
          <w:lang w:bidi="ar-SA"/>
          <w:color w:val="111111"/>
          <w:sz w:val="28"/>
          <w:szCs w:val="28"/>
          <w:rtl/>
        </w:rPr>
        <w:t xml:space="preserve">12 .رسالة الخاقانية = علم الالهي :</w:t>
      </w:r>
    </w:p>
    <w:p>
      <w:pPr>
        <w:pStyle w:val="BookText"/>
      </w:pPr>
      <w:r>
        <w:rPr>
          <w:rFonts w:ascii="IRNazanin" w:hAnsi="IRNazanin" w:eastAsia="IRNazanin" w:cs="IRNazanin"/>
          <w:lang w:bidi="fa-IR"/>
          <w:color w:val="111111"/>
          <w:sz w:val="28"/>
          <w:szCs w:val="28"/>
          <w:rtl/>
        </w:rPr>
        <w:t xml:space="preserve">علم الله تعالى، ج8، ص199.</w:t>
      </w:r>
    </w:p>
    <w:p>
      <w:pPr>
        <w:pStyle w:val="BookText"/>
      </w:pPr>
      <w:r>
        <w:rPr>
          <w:rFonts w:ascii="Amiri" w:hAnsi="Amiri" w:eastAsia="Amiri" w:cs="Amiri"/>
          <w:lang w:bidi="ar-SA"/>
          <w:color w:val="111111"/>
          <w:sz w:val="28"/>
          <w:szCs w:val="28"/>
          <w:rtl/>
        </w:rPr>
        <w:t xml:space="preserve">13 .زبدة الافكار - تعليقات على</w:t>
      </w:r>
    </w:p>
    <w:p>
      <w:pPr>
        <w:pStyle w:val="BookText"/>
      </w:pPr>
      <w:r>
        <w:rPr>
          <w:rFonts w:ascii="Amiri" w:hAnsi="Amiri" w:eastAsia="Amiri" w:cs="Amiri"/>
          <w:lang w:bidi="ar-SA"/>
          <w:color w:val="111111"/>
          <w:sz w:val="28"/>
          <w:szCs w:val="28"/>
          <w:rtl/>
        </w:rPr>
        <w:t xml:space="preserve">حاشية الخيالي = حاشية حاشية</w:t>
      </w:r>
    </w:p>
    <w:p>
      <w:pPr>
        <w:pStyle w:val="BookText"/>
      </w:pPr>
      <w:r>
        <w:rPr>
          <w:rFonts w:ascii="Amiri" w:hAnsi="Amiri" w:eastAsia="Amiri" w:cs="Amiri"/>
          <w:lang w:bidi="ar-SA"/>
          <w:color w:val="111111"/>
          <w:sz w:val="28"/>
          <w:szCs w:val="28"/>
          <w:rtl/>
        </w:rPr>
        <w:t xml:space="preserve">شرح العقائد النسفية، ج8،</w:t>
      </w:r>
    </w:p>
    <w:p>
      <w:pPr>
        <w:pStyle w:val="BookText"/>
      </w:pPr>
      <w:r>
        <w:rPr>
          <w:rFonts w:ascii="IRNazanin" w:hAnsi="IRNazanin" w:eastAsia="IRNazanin" w:cs="IRNazanin"/>
          <w:lang w:bidi="fa-IR"/>
          <w:color w:val="111111"/>
          <w:sz w:val="28"/>
          <w:szCs w:val="28"/>
          <w:rtl/>
        </w:rPr>
        <w:t xml:space="preserve">ص 561.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3" w:name="pg7742_70571"/>
    <w:bookmarkEnd w:id="593"/>
    <w:p>
      <w:pPr>
        <w:pStyle w:val="BookText"/>
      </w:pPr>
      <w:r>
        <w:rPr>
          <w:rFonts w:ascii="Amiri" w:hAnsi="Amiri" w:eastAsia="Amiri" w:cs="Amiri"/>
          <w:lang w:bidi="ar-SA"/>
          <w:color w:val="111111"/>
          <w:sz w:val="28"/>
          <w:szCs w:val="28"/>
          <w:rtl/>
        </w:rPr>
        <w:t xml:space="preserve">سيالكوتي ، عبدالكريم بن شمس</w:t>
      </w:r>
    </w:p>
    <w:p>
      <w:pPr>
        <w:pStyle w:val="BookText"/>
      </w:pPr>
      <w:r>
        <w:rPr>
          <w:rFonts w:ascii="Amiri" w:hAnsi="Amiri" w:eastAsia="Amiri" w:cs="Amiri"/>
          <w:lang w:bidi="ar-SA"/>
          <w:color w:val="111111"/>
          <w:sz w:val="28"/>
          <w:szCs w:val="28"/>
          <w:rtl/>
        </w:rPr>
        <w:t xml:space="preserve">الدين -سيالكوتي ، عبدالحكيم بن شمس</w:t>
      </w:r>
    </w:p>
    <w:p>
      <w:pPr>
        <w:pStyle w:val="BookText"/>
      </w:pPr>
      <w:r>
        <w:rPr>
          <w:rFonts w:ascii="Amiri" w:hAnsi="Amiri" w:eastAsia="Amiri" w:cs="Amiri"/>
          <w:lang w:bidi="ar-SA"/>
          <w:color w:val="111111"/>
          <w:sz w:val="28"/>
          <w:szCs w:val="28"/>
          <w:rtl/>
        </w:rPr>
        <w:t xml:space="preserve">الدين</w:t>
      </w:r>
    </w:p>
    <w:p>
      <w:pPr>
        <w:pStyle w:val="Heading2"/>
      </w:pPr>
      <w:bookmarkStart w:id="4990" w:name="_Toc4092"/>
      <w:r>
        <w:t>سیاهپوش ، جواد بن محمّد - 1247 ه-</w:t>
      </w:r>
      <w:bookmarkEnd w:id="4990"/>
    </w:p>
    <w:p>
      <w:pPr>
        <w:pStyle w:val="BookText"/>
      </w:pPr>
      <w:r>
        <w:rPr>
          <w:rFonts w:ascii="Amiri" w:hAnsi="Amiri" w:eastAsia="Amiri" w:cs="Amiri"/>
          <w:lang w:bidi="ar-SA"/>
          <w:color w:val="111111"/>
          <w:sz w:val="28"/>
          <w:szCs w:val="28"/>
          <w:rtl/>
        </w:rPr>
        <w:t xml:space="preserve">1 .دوحة الانوار في الرائق من الاشعار سيّد الشهداء حسين بن علي (ع)</w:t>
      </w:r>
    </w:p>
    <w:p>
      <w:pPr>
        <w:pStyle w:val="BookText"/>
      </w:pPr>
      <w:r>
        <w:rPr>
          <w:rFonts w:ascii="IRNazanin" w:hAnsi="IRNazanin" w:eastAsia="IRNazanin" w:cs="IRNazanin"/>
          <w:lang w:bidi="fa-IR"/>
          <w:color w:val="111111"/>
          <w:sz w:val="28"/>
          <w:szCs w:val="28"/>
          <w:rtl/>
        </w:rPr>
        <w:t xml:space="preserve">سيد الطائفه ، جنید بن محمّد جنید</w:t>
      </w:r>
    </w:p>
    <w:p>
      <w:pPr>
        <w:pStyle w:val="BookText"/>
      </w:pPr>
      <w:r>
        <w:rPr>
          <w:rFonts w:ascii="IRNazanin" w:hAnsi="IRNazanin" w:eastAsia="IRNazanin" w:cs="IRNazanin"/>
          <w:lang w:bidi="fa-IR"/>
          <w:color w:val="111111"/>
          <w:sz w:val="28"/>
          <w:szCs w:val="28"/>
          <w:rtl/>
        </w:rPr>
        <w:t xml:space="preserve">ج 7، ص 488.</w:t>
      </w:r>
    </w:p>
    <w:p>
      <w:pPr>
        <w:pStyle w:val="BookText"/>
      </w:pPr>
      <w:r>
        <w:rPr>
          <w:rFonts w:ascii="IRNazanin" w:hAnsi="IRNazanin" w:eastAsia="IRNazanin" w:cs="IRNazanin"/>
          <w:lang w:bidi="fa-IR"/>
          <w:color w:val="111111"/>
          <w:sz w:val="28"/>
          <w:szCs w:val="28"/>
          <w:rtl/>
        </w:rPr>
        <w:t xml:space="preserve">2 .دیوان سیاهپوش، ج7، ص 656.</w:t>
      </w:r>
    </w:p>
    <w:p>
      <w:pPr>
        <w:pStyle w:val="BookText"/>
      </w:pPr>
      <w:r>
        <w:rPr>
          <w:rFonts w:ascii="IRNazanin" w:hAnsi="IRNazanin" w:eastAsia="IRNazanin" w:cs="IRNazanin"/>
          <w:lang w:bidi="fa-IR"/>
          <w:color w:val="111111"/>
          <w:sz w:val="28"/>
          <w:szCs w:val="28"/>
          <w:rtl/>
        </w:rPr>
        <w:t xml:space="preserve">سیاه پوش همداني ، علي بن شهاب الدين محمّد همداني ، علي بن محمّد</w:t>
      </w:r>
    </w:p>
    <w:p>
      <w:pPr>
        <w:pStyle w:val="BookText"/>
      </w:pPr>
      <w:r>
        <w:rPr>
          <w:rFonts w:ascii="Amiri" w:hAnsi="Amiri" w:eastAsia="Amiri" w:cs="Amiri"/>
          <w:lang w:bidi="ar-SA"/>
          <w:color w:val="111111"/>
          <w:sz w:val="28"/>
          <w:szCs w:val="28"/>
          <w:rtl/>
        </w:rPr>
        <w:t xml:space="preserve">سياهي -جريدي ، حسن</w:t>
      </w:r>
    </w:p>
    <w:p>
      <w:pPr>
        <w:pStyle w:val="BookText"/>
      </w:pPr>
      <w:r>
        <w:rPr>
          <w:rFonts w:ascii="Amiri" w:hAnsi="Amiri" w:eastAsia="Amiri" w:cs="Amiri"/>
          <w:lang w:bidi="ar-SA"/>
          <w:color w:val="111111"/>
          <w:sz w:val="28"/>
          <w:szCs w:val="28"/>
          <w:rtl/>
        </w:rPr>
        <w:t xml:space="preserve">سياهي ، حسن - جريدي ، حسن</w:t>
      </w:r>
    </w:p>
    <w:p>
      <w:pPr>
        <w:pStyle w:val="BookText"/>
      </w:pPr>
      <w:r>
        <w:rPr>
          <w:rFonts w:ascii="Amiri" w:hAnsi="Amiri" w:eastAsia="Amiri" w:cs="Amiri"/>
          <w:lang w:bidi="ar-SA"/>
          <w:color w:val="111111"/>
          <w:sz w:val="28"/>
          <w:szCs w:val="28"/>
          <w:rtl/>
        </w:rPr>
        <w:t xml:space="preserve">سيبك ، يحيى- نيشابوري ، يحيى سيبك</w:t>
      </w:r>
    </w:p>
    <w:p>
      <w:pPr>
        <w:pStyle w:val="BookText"/>
      </w:pPr>
      <w:r>
        <w:rPr>
          <w:rFonts w:ascii="Amiri" w:hAnsi="Amiri" w:eastAsia="Amiri" w:cs="Amiri"/>
          <w:lang w:bidi="ar-SA"/>
          <w:color w:val="111111"/>
          <w:sz w:val="28"/>
          <w:szCs w:val="28"/>
          <w:rtl/>
        </w:rPr>
        <w:t xml:space="preserve">سيبويه ، ابوبشر -سيبويه ، عمرو بن</w:t>
      </w:r>
    </w:p>
    <w:p>
      <w:pPr>
        <w:pStyle w:val="BookText"/>
      </w:pPr>
      <w:r>
        <w:rPr>
          <w:rFonts w:ascii="IRNazanin" w:hAnsi="IRNazanin" w:eastAsia="IRNazanin" w:cs="IRNazanin"/>
          <w:lang w:bidi="fa-IR"/>
          <w:color w:val="111111"/>
          <w:sz w:val="28"/>
          <w:szCs w:val="28"/>
          <w:rtl/>
        </w:rPr>
        <w:t xml:space="preserve">عثمان</w:t>
      </w:r>
    </w:p>
    <w:p>
      <w:pPr>
        <w:pStyle w:val="Heading2"/>
      </w:pPr>
      <w:bookmarkStart w:id="4991" w:name="_Toc4093"/>
      <w:r>
        <w:t>سيبويه ثاني ، ابراهيم بن حسن - 915</w:t>
      </w:r>
      <w:bookmarkEnd w:id="4991"/>
    </w:p>
    <w:p>
      <w:pPr>
        <w:pStyle w:val="BookText"/>
      </w:pPr>
      <w:r>
        <w:rPr>
          <w:rFonts w:ascii="Amiri" w:hAnsi="Amiri" w:eastAsia="Amiri" w:cs="Amiri"/>
          <w:lang w:bidi="ar-SA"/>
          <w:color w:val="111111"/>
          <w:sz w:val="28"/>
          <w:szCs w:val="28"/>
          <w:rtl/>
        </w:rPr>
        <w:t xml:space="preserve">1 .معيار الادب في شرح نهاية البهجة علي بن حسين</w:t>
      </w:r>
    </w:p>
    <w:p>
      <w:pPr>
        <w:pStyle w:val="BookText"/>
      </w:pPr>
      <w:r>
        <w:rPr>
          <w:rFonts w:ascii="IRNazanin" w:hAnsi="IRNazanin" w:eastAsia="IRNazanin" w:cs="IRNazanin"/>
          <w:lang w:bidi="fa-IR"/>
          <w:color w:val="111111"/>
          <w:sz w:val="28"/>
          <w:szCs w:val="28"/>
          <w:rtl/>
        </w:rPr>
        <w:t xml:space="preserve">ج 15، ص 99.</w:t>
      </w:r>
    </w:p>
    <w:p>
      <w:pPr>
        <w:pStyle w:val="BookText"/>
      </w:pPr>
      <w:r>
        <w:rPr>
          <w:rFonts w:ascii="Amiri" w:hAnsi="Amiri" w:eastAsia="Amiri" w:cs="Amiri"/>
          <w:lang w:bidi="ar-SA"/>
          <w:color w:val="111111"/>
          <w:sz w:val="28"/>
          <w:szCs w:val="28"/>
          <w:rtl/>
        </w:rPr>
        <w:t xml:space="preserve">2 .النحو (رسالة في)، ج 16، ص 170.</w:t>
      </w:r>
    </w:p>
    <w:p>
      <w:pPr>
        <w:pStyle w:val="Heading2"/>
      </w:pPr>
      <w:bookmarkStart w:id="4992" w:name="_Toc4094"/>
      <w:r>
        <w:t>سیبویه ، عمرو بن عثمان، 148 - 180 ؟</w:t>
      </w:r>
      <w:bookmarkEnd w:id="4992"/>
    </w:p>
    <w:p>
      <w:pPr>
        <w:pStyle w:val="BookText"/>
      </w:pPr>
      <w:r>
        <w:rPr>
          <w:rFonts w:ascii="Amiri" w:hAnsi="Amiri" w:eastAsia="Amiri" w:cs="Amiri"/>
          <w:lang w:bidi="ar-SA"/>
          <w:color w:val="111111"/>
          <w:sz w:val="28"/>
          <w:szCs w:val="28"/>
          <w:rtl/>
        </w:rPr>
        <w:t xml:space="preserve">الكتاب، ج13، ص 84.</w:t>
      </w:r>
    </w:p>
    <w:p>
      <w:pPr>
        <w:pStyle w:val="BookText"/>
      </w:pPr>
      <w:r>
        <w:rPr>
          <w:rFonts w:ascii="Amiri" w:hAnsi="Amiri" w:eastAsia="Amiri" w:cs="Amiri"/>
          <w:lang w:bidi="ar-SA"/>
          <w:color w:val="111111"/>
          <w:sz w:val="28"/>
          <w:szCs w:val="28"/>
          <w:rtl/>
        </w:rPr>
        <w:t xml:space="preserve">سيبويه فارسي- سيبويه ، عمرو بن عثمان</w:t>
      </w:r>
    </w:p>
    <w:p>
      <w:pPr>
        <w:pStyle w:val="BookText"/>
      </w:pPr>
      <w:r>
        <w:rPr>
          <w:rFonts w:ascii="Amiri" w:hAnsi="Amiri" w:eastAsia="Amiri" w:cs="Amiri"/>
          <w:lang w:bidi="ar-SA"/>
          <w:color w:val="111111"/>
          <w:sz w:val="28"/>
          <w:szCs w:val="28"/>
          <w:rtl/>
        </w:rPr>
        <w:t xml:space="preserve">سيبويه نحوي- سيبويه ، عمرو بن عثمان</w:t>
      </w:r>
    </w:p>
    <w:p>
      <w:pPr>
        <w:pStyle w:val="BookText"/>
      </w:pPr>
      <w:r>
        <w:rPr>
          <w:rFonts w:ascii="IRNazanin" w:hAnsi="IRNazanin" w:eastAsia="IRNazanin" w:cs="IRNazanin"/>
          <w:lang w:bidi="fa-IR"/>
          <w:color w:val="111111"/>
          <w:sz w:val="28"/>
          <w:szCs w:val="28"/>
          <w:rtl/>
        </w:rPr>
        <w:t xml:space="preserve">سید آقا ، احمد بن حسين- موسوي</w:t>
      </w:r>
    </w:p>
    <w:p>
      <w:pPr>
        <w:pStyle w:val="BookText"/>
      </w:pPr>
      <w:r>
        <w:rPr>
          <w:rFonts w:ascii="Amiri" w:hAnsi="Amiri" w:eastAsia="Amiri" w:cs="Amiri"/>
          <w:lang w:bidi="ar-SA"/>
          <w:color w:val="111111"/>
          <w:sz w:val="28"/>
          <w:szCs w:val="28"/>
          <w:rtl/>
        </w:rPr>
        <w:t xml:space="preserve">جزائري ، احمد بن حسين</w:t>
      </w:r>
    </w:p>
    <w:p>
      <w:pPr>
        <w:pStyle w:val="BookText"/>
      </w:pPr>
      <w:r>
        <w:rPr>
          <w:rFonts w:ascii="IRNazanin" w:hAnsi="IRNazanin" w:eastAsia="IRNazanin" w:cs="IRNazanin"/>
          <w:lang w:bidi="fa-IR"/>
          <w:color w:val="111111"/>
          <w:sz w:val="28"/>
          <w:szCs w:val="28"/>
          <w:rtl/>
        </w:rPr>
        <w:t xml:space="preserve">سيد ابراهيم عطار -عطار ، سید ابراهیم</w:t>
      </w:r>
    </w:p>
    <w:p>
      <w:pPr>
        <w:pStyle w:val="BookText"/>
      </w:pPr>
      <w:r>
        <w:rPr>
          <w:rFonts w:ascii="Amiri" w:hAnsi="Amiri" w:eastAsia="Amiri" w:cs="Amiri"/>
          <w:lang w:bidi="ar-SA"/>
          <w:color w:val="111111"/>
          <w:sz w:val="28"/>
          <w:szCs w:val="28"/>
          <w:rtl/>
        </w:rPr>
        <w:t xml:space="preserve">سيد الحكماء -دشتكي شيرازي ، مير</w:t>
      </w:r>
    </w:p>
    <w:p>
      <w:pPr>
        <w:pStyle w:val="BookText"/>
      </w:pPr>
      <w:r>
        <w:rPr>
          <w:rFonts w:ascii="IRNazanin" w:hAnsi="IRNazanin" w:eastAsia="IRNazanin" w:cs="IRNazanin"/>
          <w:lang w:bidi="fa-IR"/>
          <w:color w:val="111111"/>
          <w:sz w:val="28"/>
          <w:szCs w:val="28"/>
          <w:rtl/>
        </w:rPr>
        <w:t xml:space="preserve">صدرالدین محمّد</w:t>
      </w:r>
    </w:p>
    <w:p>
      <w:pPr>
        <w:pStyle w:val="BookText"/>
      </w:pPr>
      <w:r>
        <w:rPr>
          <w:rFonts w:ascii="Amiri" w:hAnsi="Amiri" w:eastAsia="Amiri" w:cs="Amiri"/>
          <w:lang w:bidi="ar-SA"/>
          <w:color w:val="111111"/>
          <w:sz w:val="28"/>
          <w:szCs w:val="28"/>
          <w:rtl/>
        </w:rPr>
        <w:t xml:space="preserve">سيد الحكما دشتكي ، احمد بن</w:t>
      </w:r>
    </w:p>
    <w:p>
      <w:pPr>
        <w:pStyle w:val="BookText"/>
      </w:pPr>
      <w:r>
        <w:rPr>
          <w:rFonts w:ascii="Amiri" w:hAnsi="Amiri" w:eastAsia="Amiri" w:cs="Amiri"/>
          <w:lang w:bidi="ar-SA"/>
          <w:color w:val="111111"/>
          <w:sz w:val="28"/>
          <w:szCs w:val="28"/>
          <w:rtl/>
        </w:rPr>
        <w:t xml:space="preserve">ابراهيم -حسيني دشتكي ، احمد بن ابراهيم</w:t>
      </w:r>
    </w:p>
    <w:p>
      <w:pPr>
        <w:pStyle w:val="BookText"/>
      </w:pPr>
      <w:r>
        <w:rPr>
          <w:rFonts w:ascii="Amiri" w:hAnsi="Amiri" w:eastAsia="Amiri" w:cs="Amiri"/>
          <w:lang w:bidi="ar-SA"/>
          <w:color w:val="111111"/>
          <w:sz w:val="28"/>
          <w:szCs w:val="28"/>
          <w:rtl/>
        </w:rPr>
        <w:t xml:space="preserve">بغدادي</w:t>
      </w:r>
    </w:p>
    <w:p>
      <w:pPr>
        <w:pStyle w:val="BookText"/>
      </w:pPr>
      <w:r>
        <w:rPr>
          <w:rFonts w:ascii="IRNazanin" w:hAnsi="IRNazanin" w:eastAsia="IRNazanin" w:cs="IRNazanin"/>
          <w:lang w:bidi="fa-IR"/>
          <w:color w:val="111111"/>
          <w:sz w:val="28"/>
          <w:szCs w:val="28"/>
          <w:rtl/>
        </w:rPr>
        <w:t xml:space="preserve">سید العلماء دشتكي ، احمد بن ابراهيم -حسيني دشتكي ، احمد بن ابراهيم</w:t>
      </w:r>
    </w:p>
    <w:p>
      <w:pPr>
        <w:pStyle w:val="BookText"/>
      </w:pPr>
      <w:r>
        <w:rPr>
          <w:rFonts w:ascii="Amiri" w:hAnsi="Amiri" w:eastAsia="Amiri" w:cs="Amiri"/>
          <w:lang w:bidi="ar-SA"/>
          <w:color w:val="111111"/>
          <w:sz w:val="28"/>
          <w:szCs w:val="28"/>
          <w:rtl/>
        </w:rPr>
        <w:t xml:space="preserve">سيد العلماء نقوي ، حسين بن دلدار علي -نقوي لكهنوي ، حسين بن دلدار علي</w:t>
      </w:r>
    </w:p>
    <w:p>
      <w:pPr>
        <w:pStyle w:val="Heading2"/>
      </w:pPr>
      <w:bookmarkStart w:id="4993" w:name="_Toc4095"/>
      <w:r>
        <w:t>سيد باعلوي</w:t>
      </w:r>
      <w:bookmarkEnd w:id="4993"/>
    </w:p>
    <w:p>
      <w:pPr>
        <w:pStyle w:val="BookText"/>
      </w:pPr>
      <w:r>
        <w:rPr>
          <w:rFonts w:ascii="Amiri" w:hAnsi="Amiri" w:eastAsia="Amiri" w:cs="Amiri"/>
          <w:lang w:bidi="ar-SA"/>
          <w:color w:val="111111"/>
          <w:sz w:val="28"/>
          <w:szCs w:val="28"/>
          <w:rtl/>
        </w:rPr>
        <w:t xml:space="preserve">الايمان (رسالة في)، ج 3، ص 154</w:t>
      </w:r>
    </w:p>
    <w:p>
      <w:pPr>
        <w:pStyle w:val="BookText"/>
      </w:pPr>
      <w:r>
        <w:rPr>
          <w:rFonts w:ascii="IRNazanin" w:hAnsi="IRNazanin" w:eastAsia="IRNazanin" w:cs="IRNazanin"/>
          <w:lang w:bidi="fa-IR"/>
          <w:color w:val="111111"/>
          <w:sz w:val="28"/>
          <w:szCs w:val="28"/>
          <w:rtl/>
        </w:rPr>
        <w:t xml:space="preserve">سید بحرالعلوم ، محمّد مهدي بن مرتضى-بحر العلوم ، محمّد مهدي بن مرتضى</w:t>
      </w:r>
    </w:p>
    <w:p>
      <w:pPr>
        <w:pStyle w:val="BookText"/>
      </w:pPr>
      <w:r>
        <w:rPr>
          <w:rFonts w:ascii="Amiri" w:hAnsi="Amiri" w:eastAsia="Amiri" w:cs="Amiri"/>
          <w:lang w:bidi="ar-SA"/>
          <w:color w:val="111111"/>
          <w:sz w:val="28"/>
          <w:szCs w:val="28"/>
          <w:rtl/>
        </w:rPr>
        <w:t xml:space="preserve">سيد بن باقي ، علي بن حسين -ابن باقي</w:t>
      </w:r>
    </w:p>
    <w:p>
      <w:pPr>
        <w:pStyle w:val="BookText"/>
      </w:pPr>
      <w:r>
        <w:rPr>
          <w:rFonts w:ascii="Amiri" w:hAnsi="Amiri" w:eastAsia="Amiri" w:cs="Amiri"/>
          <w:lang w:bidi="ar-SA"/>
          <w:color w:val="111111"/>
          <w:sz w:val="28"/>
          <w:szCs w:val="28"/>
          <w:rtl/>
        </w:rPr>
        <w:t xml:space="preserve">سيّد بن طاوس- ابن طاوس ، علي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سيّد جزائري - جزايري ، نعمة الله بن</w:t>
      </w:r>
    </w:p>
    <w:p>
      <w:pPr>
        <w:pStyle w:val="BookText"/>
      </w:pPr>
      <w:r>
        <w:rPr>
          <w:rFonts w:ascii="IRNazanin" w:hAnsi="IRNazanin" w:eastAsia="IRNazanin" w:cs="IRNazanin"/>
          <w:lang w:bidi="fa-IR"/>
          <w:color w:val="111111"/>
          <w:sz w:val="28"/>
          <w:szCs w:val="28"/>
          <w:rtl/>
        </w:rPr>
        <w:t xml:space="preserve">عبدالله سید جمال الدین اسد آبادي- جمال الدين</w:t>
      </w:r>
    </w:p>
    <w:p>
      <w:pPr>
        <w:pStyle w:val="BookText"/>
      </w:pPr>
      <w:r>
        <w:rPr>
          <w:rFonts w:ascii="Amiri" w:hAnsi="Amiri" w:eastAsia="Amiri" w:cs="Amiri"/>
          <w:lang w:bidi="ar-SA"/>
          <w:color w:val="111111"/>
          <w:sz w:val="28"/>
          <w:szCs w:val="28"/>
          <w:rtl/>
        </w:rPr>
        <w:t xml:space="preserve">اسد آبادي</w:t>
      </w:r>
    </w:p>
    <w:p>
      <w:pPr>
        <w:pStyle w:val="Heading2"/>
      </w:pPr>
      <w:bookmarkStart w:id="4994" w:name="_Toc4096"/>
      <w:r>
        <w:t>سیّد حسین بن رشيد</w:t>
      </w:r>
      <w:bookmarkEnd w:id="4994"/>
    </w:p>
    <w:p>
      <w:pPr>
        <w:pStyle w:val="BookText"/>
      </w:pPr>
      <w:r>
        <w:rPr>
          <w:rFonts w:ascii="IRNazanin" w:hAnsi="IRNazanin" w:eastAsia="IRNazanin" w:cs="IRNazanin"/>
          <w:lang w:bidi="fa-IR"/>
          <w:color w:val="111111"/>
          <w:sz w:val="28"/>
          <w:szCs w:val="28"/>
          <w:rtl/>
        </w:rPr>
        <w:t xml:space="preserve">دیوان سیّد حسين، ج 7، ص 658.</w:t>
      </w:r>
    </w:p>
    <w:p>
      <w:pPr>
        <w:pStyle w:val="BookText"/>
      </w:pPr>
      <w:r>
        <w:rPr>
          <w:rFonts w:ascii="IRNazanin" w:hAnsi="IRNazanin" w:eastAsia="IRNazanin" w:cs="IRNazanin"/>
          <w:lang w:bidi="fa-IR"/>
          <w:color w:val="111111"/>
          <w:sz w:val="28"/>
          <w:szCs w:val="28"/>
          <w:rtl/>
        </w:rPr>
        <w:t xml:space="preserve">سیّد حیدر آملي- آملي ، حيدر بن علي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4" w:name="pg7742_70572"/>
    <w:bookmarkEnd w:id="594"/>
    <w:p>
      <w:pPr>
        <w:pStyle w:val="Heading2"/>
      </w:pPr>
      <w:bookmarkStart w:id="4995" w:name="_Toc4097"/>
      <w:r>
        <w:t>سيّد حميري، اسماعيل بن محمّد 105 - 173ه-</w:t>
      </w:r>
      <w:bookmarkEnd w:id="4995"/>
    </w:p>
    <w:p>
      <w:pPr>
        <w:pStyle w:val="BookText"/>
      </w:pPr>
      <w:r>
        <w:rPr>
          <w:rFonts w:ascii="Amiri" w:hAnsi="Amiri" w:eastAsia="Amiri" w:cs="Amiri"/>
          <w:lang w:bidi="ar-SA"/>
          <w:color w:val="111111"/>
          <w:sz w:val="28"/>
          <w:szCs w:val="28"/>
          <w:rtl/>
        </w:rPr>
        <w:t xml:space="preserve">1 .القصيدة العينية الحميرية، ج 12،</w:t>
      </w:r>
    </w:p>
    <w:p>
      <w:pPr>
        <w:pStyle w:val="BookText"/>
      </w:pPr>
      <w:r>
        <w:rPr>
          <w:rFonts w:ascii="IRNazanin" w:hAnsi="IRNazanin" w:eastAsia="IRNazanin" w:cs="IRNazanin"/>
          <w:lang w:bidi="fa-IR"/>
          <w:color w:val="111111"/>
          <w:sz w:val="28"/>
          <w:szCs w:val="28"/>
          <w:rtl/>
        </w:rPr>
        <w:t xml:space="preserve">ص 685 .</w:t>
      </w:r>
    </w:p>
    <w:p>
      <w:pPr>
        <w:pStyle w:val="BookText"/>
      </w:pPr>
      <w:r>
        <w:rPr>
          <w:rFonts w:ascii="Amiri" w:hAnsi="Amiri" w:eastAsia="Amiri" w:cs="Amiri"/>
          <w:lang w:bidi="ar-SA"/>
          <w:color w:val="111111"/>
          <w:sz w:val="28"/>
          <w:szCs w:val="28"/>
          <w:rtl/>
        </w:rPr>
        <w:t xml:space="preserve">2 .القصيدة العينية الحميرية (مترجم)،</w:t>
      </w:r>
    </w:p>
    <w:p>
      <w:pPr>
        <w:pStyle w:val="BookText"/>
      </w:pPr>
      <w:r>
        <w:rPr>
          <w:rFonts w:ascii="IRNazanin" w:hAnsi="IRNazanin" w:eastAsia="IRNazanin" w:cs="IRNazanin"/>
          <w:lang w:bidi="fa-IR"/>
          <w:color w:val="111111"/>
          <w:sz w:val="28"/>
          <w:szCs w:val="28"/>
          <w:rtl/>
        </w:rPr>
        <w:t xml:space="preserve">ج 12، ص 686 .</w:t>
      </w:r>
    </w:p>
    <w:p>
      <w:pPr>
        <w:pStyle w:val="Heading2"/>
      </w:pPr>
      <w:bookmarkStart w:id="4996" w:name="_Toc4098"/>
      <w:r>
        <w:t>سیّد خطیب بغدادي قرن 12 ه-</w:t>
      </w:r>
      <w:bookmarkEnd w:id="4996"/>
    </w:p>
    <w:p>
      <w:pPr>
        <w:pStyle w:val="BookText"/>
      </w:pPr>
      <w:r>
        <w:rPr>
          <w:rFonts w:ascii="IRNazanin" w:hAnsi="IRNazanin" w:eastAsia="IRNazanin" w:cs="IRNazanin"/>
          <w:lang w:bidi="fa-IR"/>
          <w:color w:val="111111"/>
          <w:sz w:val="28"/>
          <w:szCs w:val="28"/>
          <w:rtl/>
        </w:rPr>
        <w:t xml:space="preserve">الاجازات، ج1، ص199.</w:t>
      </w:r>
    </w:p>
    <w:p>
      <w:pPr>
        <w:pStyle w:val="BookText"/>
      </w:pPr>
      <w:r>
        <w:rPr>
          <w:rFonts w:ascii="Amiri" w:hAnsi="Amiri" w:eastAsia="Amiri" w:cs="Amiri"/>
          <w:lang w:bidi="ar-SA"/>
          <w:color w:val="111111"/>
          <w:sz w:val="28"/>
          <w:szCs w:val="28"/>
          <w:rtl/>
        </w:rPr>
        <w:t xml:space="preserve">سيّد خلف موسوي -موسوي ، سيّد خلف</w:t>
      </w:r>
    </w:p>
    <w:p>
      <w:pPr>
        <w:pStyle w:val="BookText"/>
      </w:pPr>
      <w:r>
        <w:rPr>
          <w:rFonts w:ascii="Amiri" w:hAnsi="Amiri" w:eastAsia="Amiri" w:cs="Amiri"/>
          <w:lang w:bidi="ar-SA"/>
          <w:color w:val="111111"/>
          <w:sz w:val="28"/>
          <w:szCs w:val="28"/>
          <w:rtl/>
        </w:rPr>
        <w:t xml:space="preserve">سيّد دلدار علي- نقوي نصير آبادي ، دلدار</w:t>
      </w:r>
    </w:p>
    <w:p>
      <w:pPr>
        <w:pStyle w:val="BookText"/>
      </w:pPr>
      <w:r>
        <w:rPr>
          <w:rFonts w:ascii="Amiri" w:hAnsi="Amiri" w:eastAsia="Amiri" w:cs="Amiri"/>
          <w:lang w:bidi="ar-SA"/>
          <w:color w:val="111111"/>
          <w:sz w:val="28"/>
          <w:szCs w:val="28"/>
          <w:rtl/>
        </w:rPr>
        <w:t xml:space="preserve">علي بن محمّد معين</w:t>
      </w:r>
    </w:p>
    <w:p>
      <w:pPr>
        <w:pStyle w:val="BookText"/>
      </w:pPr>
      <w:r>
        <w:rPr>
          <w:rFonts w:ascii="Amiri" w:hAnsi="Amiri" w:eastAsia="Amiri" w:cs="Amiri"/>
          <w:lang w:bidi="ar-SA"/>
          <w:color w:val="111111"/>
          <w:sz w:val="28"/>
          <w:szCs w:val="28"/>
          <w:rtl/>
        </w:rPr>
        <w:t xml:space="preserve">سيد رشتي ، كاظم بن قاسم- رشتي،</w:t>
      </w:r>
    </w:p>
    <w:p>
      <w:pPr>
        <w:pStyle w:val="BookText"/>
      </w:pPr>
      <w:r>
        <w:rPr>
          <w:rFonts w:ascii="IRNazanin" w:hAnsi="IRNazanin" w:eastAsia="IRNazanin" w:cs="IRNazanin"/>
          <w:lang w:bidi="fa-IR"/>
          <w:color w:val="111111"/>
          <w:sz w:val="28"/>
          <w:szCs w:val="28"/>
          <w:rtl/>
        </w:rPr>
        <w:t xml:space="preserve">کاظم بن قاسم</w:t>
      </w:r>
    </w:p>
    <w:p>
      <w:pPr>
        <w:pStyle w:val="BookText"/>
      </w:pPr>
      <w:r>
        <w:rPr>
          <w:rFonts w:ascii="Amiri" w:hAnsi="Amiri" w:eastAsia="Amiri" w:cs="Amiri"/>
          <w:lang w:bidi="ar-SA"/>
          <w:color w:val="111111"/>
          <w:sz w:val="28"/>
          <w:szCs w:val="28"/>
          <w:rtl/>
        </w:rPr>
        <w:t xml:space="preserve">سيد رضي ، محمّد بن حسين -شريف</w:t>
      </w:r>
    </w:p>
    <w:p>
      <w:pPr>
        <w:pStyle w:val="BookText"/>
      </w:pPr>
      <w:r>
        <w:rPr>
          <w:rFonts w:ascii="Amiri" w:hAnsi="Amiri" w:eastAsia="Amiri" w:cs="Amiri"/>
          <w:lang w:bidi="ar-SA"/>
          <w:color w:val="111111"/>
          <w:sz w:val="28"/>
          <w:szCs w:val="28"/>
          <w:rtl/>
        </w:rPr>
        <w:t xml:space="preserve">الرضي ، محمّد بن حسين</w:t>
      </w:r>
    </w:p>
    <w:p>
      <w:pPr>
        <w:pStyle w:val="Heading2"/>
      </w:pPr>
      <w:bookmarkStart w:id="4997" w:name="_Toc4099"/>
      <w:r>
        <w:t>سيد شرف الدين</w:t>
      </w:r>
      <w:bookmarkEnd w:id="4997"/>
    </w:p>
    <w:p>
      <w:pPr>
        <w:pStyle w:val="BookText"/>
      </w:pPr>
      <w:r>
        <w:rPr>
          <w:rFonts w:ascii="Amiri" w:hAnsi="Amiri" w:eastAsia="Amiri" w:cs="Amiri"/>
          <w:lang w:bidi="ar-SA"/>
          <w:color w:val="111111"/>
          <w:sz w:val="28"/>
          <w:szCs w:val="28"/>
          <w:rtl/>
        </w:rPr>
        <w:t xml:space="preserve">حاشية قصيدة المنسوبة لابن سينا</w:t>
      </w:r>
    </w:p>
    <w:p>
      <w:pPr>
        <w:pStyle w:val="BookText"/>
      </w:pPr>
      <w:r>
        <w:rPr>
          <w:rFonts w:ascii="IRNazanin" w:hAnsi="IRNazanin" w:eastAsia="IRNazanin" w:cs="IRNazanin"/>
          <w:lang w:bidi="fa-IR"/>
          <w:color w:val="111111"/>
          <w:sz w:val="28"/>
          <w:szCs w:val="28"/>
          <w:rtl/>
        </w:rPr>
        <w:t xml:space="preserve">ج 6 ، ص 309.</w:t>
      </w:r>
    </w:p>
    <w:p>
      <w:pPr>
        <w:pStyle w:val="BookText"/>
      </w:pPr>
      <w:r>
        <w:rPr>
          <w:rFonts w:ascii="Amiri" w:hAnsi="Amiri" w:eastAsia="Amiri" w:cs="Amiri"/>
          <w:lang w:bidi="ar-SA"/>
          <w:color w:val="111111"/>
          <w:sz w:val="28"/>
          <w:szCs w:val="28"/>
          <w:rtl/>
        </w:rPr>
        <w:t xml:space="preserve">سيّد شريف جرجاني - جرجاني ، علي بن محمّد</w:t>
      </w:r>
    </w:p>
    <w:p>
      <w:pPr>
        <w:pStyle w:val="Heading2"/>
      </w:pPr>
      <w:bookmarkStart w:id="4998" w:name="_Toc4100"/>
      <w:r>
        <w:t>سید شريف ، ملك مراكش</w:t>
      </w:r>
      <w:bookmarkEnd w:id="4998"/>
    </w:p>
    <w:p>
      <w:pPr>
        <w:pStyle w:val="BookText"/>
      </w:pPr>
      <w:r>
        <w:rPr>
          <w:rFonts w:ascii="Amiri" w:hAnsi="Amiri" w:eastAsia="Amiri" w:cs="Amiri"/>
          <w:lang w:bidi="ar-SA"/>
          <w:color w:val="111111"/>
          <w:sz w:val="28"/>
          <w:szCs w:val="28"/>
          <w:rtl/>
        </w:rPr>
        <w:t xml:space="preserve">صورة مكتوب ورد من ملك مراكش ج 10، ص 658.</w:t>
      </w:r>
    </w:p>
    <w:p>
      <w:pPr>
        <w:pStyle w:val="Heading2"/>
      </w:pPr>
      <w:bookmarkStart w:id="4999" w:name="_Toc4101"/>
      <w:r>
        <w:t>سید صدرالدین ، يعقوب بن علي</w:t>
      </w:r>
      <w:bookmarkEnd w:id="4999"/>
    </w:p>
    <w:p>
      <w:pPr>
        <w:pStyle w:val="BookText"/>
      </w:pPr>
      <w:r>
        <w:rPr>
          <w:rFonts w:ascii="IRNazanin" w:hAnsi="IRNazanin" w:eastAsia="IRNazanin" w:cs="IRNazanin"/>
          <w:lang w:bidi="fa-IR"/>
          <w:color w:val="111111"/>
          <w:sz w:val="28"/>
          <w:szCs w:val="28"/>
          <w:rtl/>
        </w:rPr>
        <w:t xml:space="preserve">الحقوق، ج 6، ص 698.</w:t>
      </w:r>
    </w:p>
    <w:p>
      <w:pPr>
        <w:pStyle w:val="Heading2"/>
      </w:pPr>
      <w:bookmarkStart w:id="5000" w:name="_Toc4102"/>
      <w:r>
        <w:t>سیّد عبدالحلیم</w:t>
      </w:r>
      <w:bookmarkEnd w:id="5000"/>
    </w:p>
    <w:p>
      <w:pPr>
        <w:pStyle w:val="BookText"/>
      </w:pPr>
      <w:r>
        <w:rPr>
          <w:rFonts w:ascii="Amiri" w:hAnsi="Amiri" w:eastAsia="Amiri" w:cs="Amiri"/>
          <w:lang w:bidi="ar-SA"/>
          <w:color w:val="111111"/>
          <w:sz w:val="28"/>
          <w:szCs w:val="28"/>
          <w:rtl/>
        </w:rPr>
        <w:t xml:space="preserve">تحفة الاريب في الرد على اهل</w:t>
      </w:r>
    </w:p>
    <w:p>
      <w:pPr>
        <w:pStyle w:val="BookText"/>
      </w:pPr>
      <w:r>
        <w:rPr>
          <w:rFonts w:ascii="Amiri" w:hAnsi="Amiri" w:eastAsia="Amiri" w:cs="Amiri"/>
          <w:lang w:bidi="ar-SA"/>
          <w:color w:val="111111"/>
          <w:sz w:val="28"/>
          <w:szCs w:val="28"/>
          <w:rtl/>
        </w:rPr>
        <w:t xml:space="preserve">الصليب (مختصر)، ج 3، ص 795.</w:t>
      </w:r>
    </w:p>
    <w:p>
      <w:pPr>
        <w:pStyle w:val="BookText"/>
      </w:pPr>
      <w:r>
        <w:rPr>
          <w:rFonts w:ascii="Amiri" w:hAnsi="Amiri" w:eastAsia="Amiri" w:cs="Amiri"/>
          <w:lang w:bidi="ar-SA"/>
          <w:color w:val="111111"/>
          <w:sz w:val="28"/>
          <w:szCs w:val="28"/>
          <w:rtl/>
        </w:rPr>
        <w:t xml:space="preserve">سيد علي خان مدني- مدني ، علي خان بن احمد</w:t>
      </w:r>
    </w:p>
    <w:p>
      <w:pPr>
        <w:pStyle w:val="BookText"/>
      </w:pPr>
      <w:r>
        <w:rPr>
          <w:rFonts w:ascii="Amiri" w:hAnsi="Amiri" w:eastAsia="Amiri" w:cs="Amiri"/>
          <w:lang w:bidi="ar-SA"/>
          <w:color w:val="111111"/>
          <w:sz w:val="28"/>
          <w:szCs w:val="28"/>
          <w:rtl/>
        </w:rPr>
        <w:t xml:space="preserve">سيد علي همداني- همداني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سيّد كاظم رشتي -رشتي ، كاظم بن قاسم</w:t>
      </w:r>
    </w:p>
    <w:p>
      <w:pPr>
        <w:pStyle w:val="BookText"/>
      </w:pPr>
      <w:r>
        <w:rPr>
          <w:rFonts w:ascii="Amiri" w:hAnsi="Amiri" w:eastAsia="Amiri" w:cs="Amiri"/>
          <w:lang w:bidi="ar-SA"/>
          <w:color w:val="111111"/>
          <w:sz w:val="28"/>
          <w:szCs w:val="28"/>
          <w:rtl/>
        </w:rPr>
        <w:t xml:space="preserve">سيّد كاظم يزدي- يزدي ، محمّد كاظم بن</w:t>
      </w:r>
    </w:p>
    <w:p>
      <w:pPr>
        <w:pStyle w:val="BookText"/>
      </w:pPr>
      <w:r>
        <w:rPr>
          <w:rFonts w:ascii="Amiri" w:hAnsi="Amiri" w:eastAsia="Amiri" w:cs="Amiri"/>
          <w:lang w:bidi="ar-SA"/>
          <w:color w:val="111111"/>
          <w:sz w:val="28"/>
          <w:szCs w:val="28"/>
          <w:rtl/>
        </w:rPr>
        <w:t xml:space="preserve">عبد العظيم</w:t>
      </w:r>
    </w:p>
    <w:p>
      <w:pPr>
        <w:pStyle w:val="Heading2"/>
      </w:pPr>
      <w:bookmarkStart w:id="5001" w:name="_Toc4103"/>
      <w:r>
        <w:t>سید محمّد</w:t>
      </w:r>
      <w:bookmarkEnd w:id="5001"/>
    </w:p>
    <w:p>
      <w:pPr>
        <w:pStyle w:val="BookText"/>
      </w:pPr>
      <w:r>
        <w:rPr>
          <w:rFonts w:ascii="Amiri" w:hAnsi="Amiri" w:eastAsia="Amiri" w:cs="Amiri"/>
          <w:lang w:bidi="ar-SA"/>
          <w:color w:val="111111"/>
          <w:sz w:val="28"/>
          <w:szCs w:val="28"/>
          <w:rtl/>
        </w:rPr>
        <w:t xml:space="preserve">حجية الظن، ج 6 ، ص 501.</w:t>
      </w:r>
    </w:p>
    <w:p>
      <w:pPr>
        <w:pStyle w:val="BookText"/>
      </w:pPr>
      <w:r>
        <w:rPr>
          <w:rFonts w:ascii="Amiri" w:hAnsi="Amiri" w:eastAsia="Amiri" w:cs="Amiri"/>
          <w:lang w:bidi="ar-SA"/>
          <w:color w:val="111111"/>
          <w:sz w:val="28"/>
          <w:szCs w:val="28"/>
          <w:rtl/>
        </w:rPr>
        <w:t xml:space="preserve">سيد مرتضى - علم الهدى ، علي بن حسين</w:t>
      </w:r>
    </w:p>
    <w:p>
      <w:pPr>
        <w:pStyle w:val="Heading2"/>
      </w:pPr>
      <w:bookmarkStart w:id="5002" w:name="_Toc4104"/>
      <w:r>
        <w:t>سید منجم ، محمّد حسین بن محمد قرن</w:t>
      </w:r>
      <w:bookmarkEnd w:id="5002"/>
    </w:p>
    <w:p>
      <w:pPr>
        <w:pStyle w:val="BookText"/>
      </w:pPr>
      <w:r>
        <w:rPr>
          <w:rFonts w:ascii="Amiri" w:hAnsi="Amiri" w:eastAsia="Amiri" w:cs="Amiri"/>
          <w:lang w:bidi="ar-SA"/>
          <w:color w:val="111111"/>
          <w:sz w:val="28"/>
          <w:szCs w:val="28"/>
          <w:rtl/>
        </w:rPr>
        <w:t xml:space="preserve">لطائف الكلام في احكام الاعوام = لطائف الكرام في أحكام الاجرام، ج13</w:t>
      </w:r>
    </w:p>
    <w:p>
      <w:pPr>
        <w:pStyle w:val="BookText"/>
      </w:pPr>
      <w:r>
        <w:rPr>
          <w:rFonts w:ascii="IRNazanin" w:hAnsi="IRNazanin" w:eastAsia="IRNazanin" w:cs="IRNazanin"/>
          <w:lang w:bidi="fa-IR"/>
          <w:color w:val="111111"/>
          <w:sz w:val="28"/>
          <w:szCs w:val="28"/>
          <w:rtl/>
        </w:rPr>
        <w:t xml:space="preserve">ص 580 .</w:t>
      </w:r>
    </w:p>
    <w:p>
      <w:pPr>
        <w:pStyle w:val="BookText"/>
      </w:pPr>
      <w:r>
        <w:rPr>
          <w:rFonts w:ascii="IRNazanin" w:hAnsi="IRNazanin" w:eastAsia="IRNazanin" w:cs="IRNazanin"/>
          <w:lang w:bidi="fa-IR"/>
          <w:color w:val="111111"/>
          <w:sz w:val="28"/>
          <w:szCs w:val="28"/>
          <w:rtl/>
        </w:rPr>
        <w:t xml:space="preserve">سید نجم ، محمّد بن علي- ابن نجم ،</w:t>
      </w:r>
    </w:p>
    <w:p>
      <w:pPr>
        <w:pStyle w:val="BookText"/>
      </w:pPr>
      <w:r>
        <w:rPr>
          <w:rFonts w:ascii="Amiri" w:hAnsi="Amiri" w:eastAsia="Amiri" w:cs="Amiri"/>
          <w:lang w:bidi="ar-SA"/>
          <w:color w:val="111111"/>
          <w:sz w:val="28"/>
          <w:szCs w:val="28"/>
          <w:rtl/>
        </w:rPr>
        <w:t xml:space="preserve">محمّد بن علي</w:t>
      </w:r>
    </w:p>
    <w:p>
      <w:pPr>
        <w:pStyle w:val="Heading2"/>
      </w:pPr>
      <w:bookmarkStart w:id="5003" w:name="_Toc4105"/>
      <w:r>
        <w:t>سيدي زاده، محمّد</w:t>
      </w:r>
      <w:bookmarkEnd w:id="5003"/>
    </w:p>
    <w:p>
      <w:pPr>
        <w:pStyle w:val="BookText"/>
      </w:pPr>
      <w:r>
        <w:rPr>
          <w:rFonts w:ascii="Amiri" w:hAnsi="Amiri" w:eastAsia="Amiri" w:cs="Amiri"/>
          <w:lang w:bidi="ar-SA"/>
          <w:color w:val="111111"/>
          <w:sz w:val="28"/>
          <w:szCs w:val="28"/>
          <w:rtl/>
        </w:rPr>
        <w:t xml:space="preserve">اجازة بقراءة القرآن على قراءة عاصم</w:t>
      </w:r>
    </w:p>
    <w:p>
      <w:pPr>
        <w:pStyle w:val="BookText"/>
      </w:pPr>
      <w:r>
        <w:rPr>
          <w:rFonts w:ascii="IRNazanin" w:hAnsi="IRNazanin" w:eastAsia="IRNazanin" w:cs="IRNazanin"/>
          <w:lang w:bidi="fa-IR"/>
          <w:color w:val="111111"/>
          <w:sz w:val="28"/>
          <w:szCs w:val="28"/>
          <w:rtl/>
        </w:rPr>
        <w:t xml:space="preserve">ج 1، ص 216.</w:t>
      </w:r>
    </w:p>
    <w:p>
      <w:pPr>
        <w:pStyle w:val="BookText"/>
      </w:pPr>
      <w:r>
        <w:rPr>
          <w:rFonts w:ascii="Amiri" w:hAnsi="Amiri" w:eastAsia="Amiri" w:cs="Amiri"/>
          <w:lang w:bidi="ar-SA"/>
          <w:color w:val="111111"/>
          <w:sz w:val="28"/>
          <w:szCs w:val="28"/>
          <w:rtl/>
        </w:rPr>
        <w:t xml:space="preserve">سيدي علي زاده ، يعقوب بن علي- بلخي</w:t>
      </w:r>
    </w:p>
    <w:p>
      <w:pPr>
        <w:pStyle w:val="BookText"/>
      </w:pPr>
      <w:r>
        <w:rPr>
          <w:rFonts w:ascii="Amiri" w:hAnsi="Amiri" w:eastAsia="Amiri" w:cs="Amiri"/>
          <w:lang w:bidi="ar-SA"/>
          <w:color w:val="111111"/>
          <w:sz w:val="28"/>
          <w:szCs w:val="28"/>
          <w:rtl/>
        </w:rPr>
        <w:t xml:space="preserve">سيدي علي عجمي-عجمي ، سيد علي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5" w:name="pg7742_70573"/>
    <w:bookmarkEnd w:id="595"/>
    <w:p>
      <w:pPr>
        <w:pStyle w:val="Heading2"/>
      </w:pPr>
      <w:bookmarkStart w:id="5004" w:name="_Toc4106"/>
      <w:r>
        <w:t>سيرافي فالي ، محمّد بن مسعود - 721 ه-</w:t>
      </w:r>
      <w:bookmarkEnd w:id="5004"/>
    </w:p>
    <w:p>
      <w:pPr>
        <w:pStyle w:val="BookText"/>
      </w:pPr>
      <w:r>
        <w:rPr>
          <w:rFonts w:ascii="Amiri" w:hAnsi="Amiri" w:eastAsia="Amiri" w:cs="Amiri"/>
          <w:lang w:bidi="ar-SA"/>
          <w:color w:val="111111"/>
          <w:sz w:val="28"/>
          <w:szCs w:val="28"/>
          <w:rtl/>
        </w:rPr>
        <w:t xml:space="preserve">شرح اللباب في علم الاعراب، ج 10،</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Amiri" w:hAnsi="Amiri" w:eastAsia="Amiri" w:cs="Amiri"/>
          <w:lang w:bidi="ar-SA"/>
          <w:color w:val="111111"/>
          <w:sz w:val="28"/>
          <w:szCs w:val="28"/>
          <w:rtl/>
        </w:rPr>
        <w:t xml:space="preserve">سيرافي ، محمّد بن مسعود -سيرافي فالي</w:t>
      </w:r>
    </w:p>
    <w:p>
      <w:pPr>
        <w:pStyle w:val="BookText"/>
      </w:pPr>
      <w:r>
        <w:rPr>
          <w:rFonts w:ascii="IRNazanin" w:hAnsi="IRNazanin" w:eastAsia="IRNazanin" w:cs="IRNazanin"/>
          <w:lang w:bidi="fa-IR"/>
          <w:color w:val="111111"/>
          <w:sz w:val="28"/>
          <w:szCs w:val="28"/>
          <w:rtl/>
        </w:rPr>
        <w:t xml:space="preserve">محمد بن مسعود</w:t>
      </w:r>
    </w:p>
    <w:p>
      <w:pPr>
        <w:pStyle w:val="Heading2"/>
      </w:pPr>
      <w:bookmarkStart w:id="5005" w:name="_Toc4107"/>
      <w:r>
        <w:t>سيرامي، يحيى بن سيف - 833 ه-</w:t>
      </w:r>
      <w:bookmarkEnd w:id="5005"/>
    </w:p>
    <w:p>
      <w:pPr>
        <w:pStyle w:val="BookText"/>
      </w:pPr>
      <w:r>
        <w:rPr>
          <w:rFonts w:ascii="Amiri" w:hAnsi="Amiri" w:eastAsia="Amiri" w:cs="Amiri"/>
          <w:lang w:bidi="ar-SA"/>
          <w:color w:val="111111"/>
          <w:sz w:val="28"/>
          <w:szCs w:val="28"/>
          <w:rtl/>
        </w:rPr>
        <w:t xml:space="preserve">1 .حاشية مطالع الانظار في شرح</w:t>
      </w:r>
    </w:p>
    <w:p>
      <w:pPr>
        <w:pStyle w:val="BookText"/>
      </w:pPr>
      <w:r>
        <w:rPr>
          <w:rFonts w:ascii="IRNazanin" w:hAnsi="IRNazanin" w:eastAsia="IRNazanin" w:cs="IRNazanin"/>
          <w:lang w:bidi="fa-IR"/>
          <w:color w:val="111111"/>
          <w:sz w:val="28"/>
          <w:szCs w:val="28"/>
          <w:rtl/>
        </w:rPr>
        <w:t xml:space="preserve">طوالع الانوار، ج 6 ، ص370.</w:t>
      </w:r>
    </w:p>
    <w:p>
      <w:pPr>
        <w:pStyle w:val="BookText"/>
      </w:pPr>
      <w:r>
        <w:rPr>
          <w:rFonts w:ascii="Amiri" w:hAnsi="Amiri" w:eastAsia="Amiri" w:cs="Amiri"/>
          <w:lang w:bidi="ar-SA"/>
          <w:color w:val="111111"/>
          <w:sz w:val="28"/>
          <w:szCs w:val="28"/>
          <w:rtl/>
        </w:rPr>
        <w:t xml:space="preserve">2 .شرح تلخيص المفتاح المطول، ج9،</w:t>
      </w:r>
    </w:p>
    <w:p>
      <w:pPr>
        <w:pStyle w:val="BookText"/>
      </w:pPr>
      <w:r>
        <w:rPr>
          <w:rFonts w:ascii="IRNazanin" w:hAnsi="IRNazanin" w:eastAsia="IRNazanin" w:cs="IRNazanin"/>
          <w:lang w:bidi="fa-IR"/>
          <w:color w:val="111111"/>
          <w:sz w:val="28"/>
          <w:szCs w:val="28"/>
          <w:rtl/>
        </w:rPr>
        <w:t xml:space="preserve">ص 343.</w:t>
      </w:r>
    </w:p>
    <w:p>
      <w:pPr>
        <w:pStyle w:val="BookText"/>
      </w:pPr>
      <w:r>
        <w:rPr>
          <w:rFonts w:ascii="Amiri" w:hAnsi="Amiri" w:eastAsia="Amiri" w:cs="Amiri"/>
          <w:lang w:bidi="ar-SA"/>
          <w:color w:val="111111"/>
          <w:sz w:val="28"/>
          <w:szCs w:val="28"/>
          <w:rtl/>
        </w:rPr>
        <w:t xml:space="preserve">سيرامي، يحيى بن يوسف - سيرامي،</w:t>
      </w:r>
    </w:p>
    <w:p>
      <w:pPr>
        <w:pStyle w:val="BookText"/>
      </w:pPr>
      <w:r>
        <w:rPr>
          <w:rFonts w:ascii="Amiri" w:hAnsi="Amiri" w:eastAsia="Amiri" w:cs="Amiri"/>
          <w:lang w:bidi="ar-SA"/>
          <w:color w:val="111111"/>
          <w:sz w:val="28"/>
          <w:szCs w:val="28"/>
          <w:rtl/>
        </w:rPr>
        <w:t xml:space="preserve">يحيى بن سيف</w:t>
      </w:r>
    </w:p>
    <w:p>
      <w:pPr>
        <w:pStyle w:val="BookText"/>
      </w:pPr>
      <w:r>
        <w:rPr>
          <w:rFonts w:ascii="Amiri" w:hAnsi="Amiri" w:eastAsia="Amiri" w:cs="Amiri"/>
          <w:lang w:bidi="ar-SA"/>
          <w:color w:val="111111"/>
          <w:sz w:val="28"/>
          <w:szCs w:val="28"/>
          <w:rtl/>
        </w:rPr>
        <w:t xml:space="preserve">سيرجاني ، محمّد بن عبد الباقي- كرماني</w:t>
      </w:r>
    </w:p>
    <w:p>
      <w:pPr>
        <w:pStyle w:val="BookText"/>
      </w:pPr>
      <w:r>
        <w:rPr>
          <w:rFonts w:ascii="Amiri" w:hAnsi="Amiri" w:eastAsia="Amiri" w:cs="Amiri"/>
          <w:lang w:bidi="ar-SA"/>
          <w:color w:val="111111"/>
          <w:sz w:val="28"/>
          <w:szCs w:val="28"/>
          <w:rtl/>
        </w:rPr>
        <w:t xml:space="preserve">سيرجاني ، محمّد بن عبدالباقي</w:t>
      </w:r>
    </w:p>
    <w:p>
      <w:pPr>
        <w:pStyle w:val="Heading2"/>
      </w:pPr>
      <w:bookmarkStart w:id="5006" w:name="_Toc4108"/>
      <w:r>
        <w:t>سيرجي ، احمد بن يوسف - 862 ه-</w:t>
      </w:r>
      <w:bookmarkEnd w:id="5006"/>
    </w:p>
    <w:p>
      <w:pPr>
        <w:pStyle w:val="BookText"/>
      </w:pPr>
      <w:r>
        <w:rPr>
          <w:rFonts w:ascii="Amiri" w:hAnsi="Amiri" w:eastAsia="Amiri" w:cs="Amiri"/>
          <w:lang w:bidi="ar-SA"/>
          <w:color w:val="111111"/>
          <w:sz w:val="28"/>
          <w:szCs w:val="28"/>
          <w:rtl/>
        </w:rPr>
        <w:t xml:space="preserve">الطراز المذهب في احكام المذهب</w:t>
      </w:r>
    </w:p>
    <w:p>
      <w:pPr>
        <w:pStyle w:val="BookText"/>
      </w:pPr>
      <w:r>
        <w:rPr>
          <w:rFonts w:ascii="IRNazanin" w:hAnsi="IRNazanin" w:eastAsia="IRNazanin" w:cs="IRNazanin"/>
          <w:lang w:bidi="fa-IR"/>
          <w:color w:val="111111"/>
          <w:sz w:val="28"/>
          <w:szCs w:val="28"/>
          <w:rtl/>
        </w:rPr>
        <w:t xml:space="preserve">ج 10، ص 810.</w:t>
      </w:r>
    </w:p>
    <w:p>
      <w:pPr>
        <w:pStyle w:val="BookText"/>
      </w:pPr>
      <w:r>
        <w:rPr>
          <w:rFonts w:ascii="Amiri" w:hAnsi="Amiri" w:eastAsia="Amiri" w:cs="Amiri"/>
          <w:lang w:bidi="ar-SA"/>
          <w:color w:val="111111"/>
          <w:sz w:val="28"/>
          <w:szCs w:val="28"/>
          <w:rtl/>
        </w:rPr>
        <w:t xml:space="preserve">سيروزي، مصطفى بن ميرزا محمّد- ضحكي ، مصطفى بن ميرزا محمّد</w:t>
      </w:r>
    </w:p>
    <w:p>
      <w:pPr>
        <w:pStyle w:val="BookText"/>
      </w:pPr>
      <w:r>
        <w:rPr>
          <w:rFonts w:ascii="Amiri" w:hAnsi="Amiri" w:eastAsia="Amiri" w:cs="Amiri"/>
          <w:lang w:bidi="ar-SA"/>
          <w:color w:val="111111"/>
          <w:sz w:val="28"/>
          <w:szCs w:val="28"/>
          <w:rtl/>
        </w:rPr>
        <w:t xml:space="preserve">سيف الدين فضالي- فضالي ، سيف الدين</w:t>
      </w:r>
    </w:p>
    <w:p>
      <w:pPr>
        <w:pStyle w:val="BookText"/>
      </w:pPr>
      <w:r>
        <w:rPr>
          <w:rFonts w:ascii="IRNazanin" w:hAnsi="IRNazanin" w:eastAsia="IRNazanin" w:cs="IRNazanin"/>
          <w:lang w:bidi="fa-IR"/>
          <w:color w:val="111111"/>
          <w:sz w:val="28"/>
          <w:szCs w:val="28"/>
          <w:rtl/>
        </w:rPr>
        <w:t xml:space="preserve">بن عطاء الله</w:t>
      </w:r>
    </w:p>
    <w:p>
      <w:pPr>
        <w:pStyle w:val="BookText"/>
      </w:pPr>
      <w:r>
        <w:rPr>
          <w:rFonts w:ascii="Amiri" w:hAnsi="Amiri" w:eastAsia="Amiri" w:cs="Amiri"/>
          <w:lang w:bidi="ar-SA"/>
          <w:color w:val="111111"/>
          <w:sz w:val="28"/>
          <w:szCs w:val="28"/>
          <w:rtl/>
        </w:rPr>
        <w:t xml:space="preserve">سيف الدين هروي ، احمد بن يحيى- حفيد تفتازاني ، احمد بن يحيى</w:t>
      </w:r>
    </w:p>
    <w:p>
      <w:pPr>
        <w:pStyle w:val="BookText"/>
      </w:pPr>
      <w:r>
        <w:rPr>
          <w:rFonts w:ascii="Amiri" w:hAnsi="Amiri" w:eastAsia="Amiri" w:cs="Amiri"/>
          <w:lang w:bidi="ar-SA"/>
          <w:color w:val="111111"/>
          <w:sz w:val="28"/>
          <w:szCs w:val="28"/>
          <w:rtl/>
        </w:rPr>
        <w:t xml:space="preserve">سيف بن عمير بن ناصر- سيف بن ناصر</w:t>
      </w:r>
    </w:p>
    <w:p>
      <w:pPr>
        <w:pStyle w:val="Heading2"/>
      </w:pPr>
      <w:bookmarkStart w:id="5007" w:name="_Toc4109"/>
      <w:r>
        <w:t>سيف بن ناصر</w:t>
      </w:r>
      <w:bookmarkEnd w:id="5007"/>
    </w:p>
    <w:p>
      <w:pPr>
        <w:pStyle w:val="BookText"/>
      </w:pPr>
      <w:r>
        <w:rPr>
          <w:rFonts w:ascii="Amiri" w:hAnsi="Amiri" w:eastAsia="Amiri" w:cs="Amiri"/>
          <w:lang w:bidi="ar-SA"/>
          <w:color w:val="111111"/>
          <w:sz w:val="28"/>
          <w:szCs w:val="28"/>
          <w:rtl/>
        </w:rPr>
        <w:t xml:space="preserve">النيل، ج 16، ص 578.</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سيفدوس- اسفيدوس</w:t>
      </w:r>
    </w:p>
    <w:p>
      <w:pPr>
        <w:pStyle w:val="Heading2"/>
      </w:pPr>
      <w:bookmarkStart w:id="5008" w:name="_Toc4110"/>
      <w:r>
        <w:t>سيفي ، ابوبكر بن محمّد قرن 10 ه-</w:t>
      </w:r>
      <w:bookmarkEnd w:id="5008"/>
    </w:p>
    <w:p>
      <w:pPr>
        <w:pStyle w:val="BookText"/>
      </w:pPr>
      <w:r>
        <w:rPr>
          <w:rFonts w:ascii="Amiri" w:hAnsi="Amiri" w:eastAsia="Amiri" w:cs="Amiri"/>
          <w:lang w:bidi="ar-SA"/>
          <w:color w:val="111111"/>
          <w:sz w:val="28"/>
          <w:szCs w:val="28"/>
          <w:rtl/>
        </w:rPr>
        <w:t xml:space="preserve">نفائس الدرر في ترجمة شيخ الاسلام</w:t>
      </w:r>
    </w:p>
    <w:p>
      <w:pPr>
        <w:pStyle w:val="BookText"/>
      </w:pPr>
      <w:r>
        <w:rPr>
          <w:rFonts w:ascii="IRNazanin" w:hAnsi="IRNazanin" w:eastAsia="IRNazanin" w:cs="IRNazanin"/>
          <w:lang w:bidi="fa-IR"/>
          <w:color w:val="111111"/>
          <w:sz w:val="28"/>
          <w:szCs w:val="28"/>
          <w:rtl/>
        </w:rPr>
        <w:t xml:space="preserve">ابن حجر، ج 16، ص 375</w:t>
      </w:r>
    </w:p>
    <w:p>
      <w:pPr>
        <w:pStyle w:val="BookText"/>
      </w:pPr>
      <w:r>
        <w:rPr>
          <w:rFonts w:ascii="Amiri" w:hAnsi="Amiri" w:eastAsia="Amiri" w:cs="Amiri"/>
          <w:lang w:bidi="ar-SA"/>
          <w:color w:val="111111"/>
          <w:sz w:val="28"/>
          <w:szCs w:val="28"/>
          <w:rtl/>
        </w:rPr>
        <w:t xml:space="preserve">سيفي ، احمد بن عمر -زبيدي ، احمد بن</w:t>
      </w:r>
    </w:p>
    <w:p>
      <w:pPr>
        <w:pStyle w:val="Heading2"/>
      </w:pPr>
      <w:bookmarkStart w:id="5009" w:name="_Toc4111"/>
      <w:r>
        <w:t>سيفي ،بخاراتي - 909 ه-</w:t>
      </w:r>
      <w:bookmarkEnd w:id="5009"/>
    </w:p>
    <w:p>
      <w:pPr>
        <w:pStyle w:val="BookText"/>
      </w:pPr>
      <w:r>
        <w:rPr>
          <w:rFonts w:ascii="Amiri" w:hAnsi="Amiri" w:eastAsia="Amiri" w:cs="Amiri"/>
          <w:lang w:bidi="ar-SA"/>
          <w:color w:val="111111"/>
          <w:sz w:val="28"/>
          <w:szCs w:val="28"/>
          <w:rtl/>
        </w:rPr>
        <w:t xml:space="preserve">عروض سيفي = ميزان الاشعار، ج11،</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Amiri" w:hAnsi="Amiri" w:eastAsia="Amiri" w:cs="Amiri"/>
          <w:lang w:bidi="ar-SA"/>
          <w:color w:val="111111"/>
          <w:sz w:val="28"/>
          <w:szCs w:val="28"/>
          <w:rtl/>
        </w:rPr>
        <w:t xml:space="preserve">سيفي بخاري -سيفي بخارائي</w:t>
      </w:r>
    </w:p>
    <w:p>
      <w:pPr>
        <w:pStyle w:val="BookText"/>
      </w:pPr>
      <w:r>
        <w:rPr>
          <w:rFonts w:ascii="Amiri" w:hAnsi="Amiri" w:eastAsia="Amiri" w:cs="Amiri"/>
          <w:lang w:bidi="ar-SA"/>
          <w:color w:val="111111"/>
          <w:sz w:val="28"/>
          <w:szCs w:val="28"/>
          <w:rtl/>
        </w:rPr>
        <w:t xml:space="preserve">سيفي ، محمّد بن محمّد مهدي -حسيني</w:t>
      </w:r>
    </w:p>
    <w:p>
      <w:pPr>
        <w:pStyle w:val="BookText"/>
      </w:pPr>
      <w:r>
        <w:rPr>
          <w:rFonts w:ascii="Amiri" w:hAnsi="Amiri" w:eastAsia="Amiri" w:cs="Amiri"/>
          <w:lang w:bidi="ar-SA"/>
          <w:color w:val="111111"/>
          <w:sz w:val="28"/>
          <w:szCs w:val="28"/>
          <w:rtl/>
        </w:rPr>
        <w:t xml:space="preserve">سيفي ، محمّد ، محمّد بن محمّد مهدي</w:t>
      </w:r>
    </w:p>
    <w:p>
      <w:pPr>
        <w:pStyle w:val="BookText"/>
      </w:pPr>
      <w:r>
        <w:rPr>
          <w:rFonts w:ascii="Amiri" w:hAnsi="Amiri" w:eastAsia="Amiri" w:cs="Amiri"/>
          <w:lang w:bidi="ar-SA"/>
          <w:color w:val="111111"/>
          <w:sz w:val="28"/>
          <w:szCs w:val="28"/>
          <w:rtl/>
        </w:rPr>
        <w:t xml:space="preserve">سيفي عروضي- سيفي بخاراتي</w:t>
      </w:r>
    </w:p>
    <w:p>
      <w:pPr>
        <w:pStyle w:val="BookText"/>
      </w:pPr>
      <w:r>
        <w:rPr>
          <w:rFonts w:ascii="Amiri" w:hAnsi="Amiri" w:eastAsia="Amiri" w:cs="Amiri"/>
          <w:lang w:bidi="ar-SA"/>
          <w:color w:val="111111"/>
          <w:sz w:val="28"/>
          <w:szCs w:val="28"/>
          <w:rtl/>
        </w:rPr>
        <w:t xml:space="preserve">سيفي عروضي بخارائي-سيفي بخارائي</w:t>
      </w:r>
    </w:p>
    <w:p>
      <w:pPr>
        <w:pStyle w:val="BookText"/>
      </w:pPr>
      <w:r>
        <w:rPr>
          <w:rFonts w:ascii="Amiri" w:hAnsi="Amiri" w:eastAsia="Amiri" w:cs="Amiri"/>
          <w:lang w:bidi="ar-SA"/>
          <w:color w:val="111111"/>
          <w:sz w:val="28"/>
          <w:szCs w:val="28"/>
          <w:rtl/>
        </w:rPr>
        <w:t xml:space="preserve">سيفي قزويني ، محمّد بن محمّد مهدي -حسيني</w:t>
      </w:r>
    </w:p>
    <w:p>
      <w:pPr>
        <w:pStyle w:val="BookText"/>
      </w:pPr>
      <w:r>
        <w:rPr>
          <w:rFonts w:ascii="Amiri" w:hAnsi="Amiri" w:eastAsia="Amiri" w:cs="Amiri"/>
          <w:lang w:bidi="ar-SA"/>
          <w:color w:val="111111"/>
          <w:sz w:val="28"/>
          <w:szCs w:val="28"/>
          <w:rtl/>
        </w:rPr>
        <w:t xml:space="preserve">سيفي ، محمّد بن محمّد مهدي</w:t>
      </w:r>
    </w:p>
    <w:p>
      <w:pPr>
        <w:pStyle w:val="BookText"/>
      </w:pPr>
      <w:r>
        <w:rPr>
          <w:rFonts w:ascii="Amiri" w:hAnsi="Amiri" w:eastAsia="Amiri" w:cs="Amiri"/>
          <w:lang w:bidi="ar-SA"/>
          <w:color w:val="111111"/>
          <w:sz w:val="28"/>
          <w:szCs w:val="28"/>
          <w:rtl/>
        </w:rPr>
        <w:t xml:space="preserve">سيفي قزويني ، مير عماد بن</w:t>
      </w:r>
    </w:p>
    <w:p>
      <w:pPr>
        <w:pStyle w:val="BookText"/>
      </w:pPr>
      <w:r>
        <w:rPr>
          <w:rFonts w:ascii="IRNazanin" w:hAnsi="IRNazanin" w:eastAsia="IRNazanin" w:cs="IRNazanin"/>
          <w:lang w:bidi="fa-IR"/>
          <w:color w:val="111111"/>
          <w:sz w:val="28"/>
          <w:szCs w:val="28"/>
          <w:rtl/>
        </w:rPr>
        <w:t xml:space="preserve">ابراهیم -میرعماد</w:t>
      </w:r>
    </w:p>
    <w:p>
      <w:pPr>
        <w:pStyle w:val="BookText"/>
      </w:pPr>
      <w:r>
        <w:rPr>
          <w:rFonts w:ascii="Amiri" w:hAnsi="Amiri" w:eastAsia="Amiri" w:cs="Amiri"/>
          <w:lang w:bidi="ar-SA"/>
          <w:color w:val="111111"/>
          <w:sz w:val="28"/>
          <w:szCs w:val="28"/>
          <w:rtl/>
        </w:rPr>
        <w:t xml:space="preserve">سيفي قزويني ، يحيى بن</w:t>
      </w:r>
    </w:p>
    <w:p>
      <w:pPr>
        <w:pStyle w:val="BookText"/>
      </w:pPr>
      <w:r>
        <w:rPr>
          <w:rFonts w:ascii="Amiri" w:hAnsi="Amiri" w:eastAsia="Amiri" w:cs="Amiri"/>
          <w:lang w:bidi="ar-SA"/>
          <w:color w:val="111111"/>
          <w:sz w:val="28"/>
          <w:szCs w:val="28"/>
          <w:rtl/>
        </w:rPr>
        <w:t xml:space="preserve">عبد اللطيف- قزويني ، يحيى بن عبداللطيف</w:t>
      </w:r>
    </w:p>
    <w:p>
      <w:pPr>
        <w:pStyle w:val="Heading2"/>
      </w:pPr>
      <w:bookmarkStart w:id="5010" w:name="_Toc4112"/>
      <w:r>
        <w:t>سيلاني ، ابوبكر بن محمّد</w:t>
      </w:r>
      <w:bookmarkEnd w:id="5010"/>
    </w:p>
    <w:p>
      <w:pPr>
        <w:pStyle w:val="BookText"/>
      </w:pPr>
      <w:r>
        <w:rPr>
          <w:rFonts w:ascii="Amiri" w:hAnsi="Amiri" w:eastAsia="Amiri" w:cs="Amiri"/>
          <w:lang w:bidi="ar-SA"/>
          <w:color w:val="111111"/>
          <w:sz w:val="28"/>
          <w:szCs w:val="28"/>
          <w:rtl/>
        </w:rPr>
        <w:t xml:space="preserve">نجاة الزاكين، ج 16 ، ص 145.</w:t>
      </w:r>
    </w:p>
    <w:p>
      <w:pPr>
        <w:pStyle w:val="Heading2"/>
      </w:pPr>
      <w:bookmarkStart w:id="5011" w:name="_Toc4113"/>
      <w:r>
        <w:t>سیما نشاه سوار</w:t>
      </w:r>
      <w:bookmarkEnd w:id="5011"/>
    </w:p>
    <w:p>
      <w:pPr>
        <w:pStyle w:val="BookText"/>
      </w:pPr>
      <w:r>
        <w:rPr>
          <w:rFonts w:ascii="Amiri" w:hAnsi="Amiri" w:eastAsia="Amiri" w:cs="Amiri"/>
          <w:lang w:bidi="ar-SA"/>
          <w:color w:val="111111"/>
          <w:sz w:val="28"/>
          <w:szCs w:val="28"/>
          <w:rtl/>
        </w:rPr>
        <w:t xml:space="preserve">البيطرة ، ج 3، ص 503.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6" w:name="pg7742_70574"/>
    <w:bookmarkEnd w:id="596"/>
    <w:p>
      <w:pPr>
        <w:pStyle w:val="BookText"/>
      </w:pPr>
      <w:r>
        <w:rPr>
          <w:rFonts w:ascii="Amiri" w:hAnsi="Amiri" w:eastAsia="Amiri" w:cs="Amiri"/>
          <w:lang w:bidi="ar-SA"/>
          <w:color w:val="111111"/>
          <w:sz w:val="28"/>
          <w:szCs w:val="28"/>
          <w:rtl/>
        </w:rPr>
        <w:t xml:space="preserve">سيماوي ، احمد بن محمّد -عراقي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سيماوي عراقي ، محمّد بن احمد- عراقي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سيماوي ، محمود بن اسرائيل- ابن قاضي</w:t>
      </w:r>
    </w:p>
    <w:p>
      <w:pPr>
        <w:pStyle w:val="BookText"/>
      </w:pPr>
      <w:r>
        <w:rPr>
          <w:rFonts w:ascii="IRNazanin" w:hAnsi="IRNazanin" w:eastAsia="IRNazanin" w:cs="IRNazanin"/>
          <w:lang w:bidi="fa-IR"/>
          <w:color w:val="111111"/>
          <w:sz w:val="28"/>
          <w:szCs w:val="28"/>
          <w:rtl/>
        </w:rPr>
        <w:t xml:space="preserve">سماونه ، محمود بن اسرائیل</w:t>
      </w:r>
    </w:p>
    <w:p>
      <w:pPr>
        <w:pStyle w:val="Heading2"/>
      </w:pPr>
      <w:bookmarkStart w:id="5012" w:name="_Toc4114"/>
      <w:r>
        <w:t>سيماوي ، سنان الدين يوسف - 1006</w:t>
      </w:r>
      <w:bookmarkEnd w:id="5012"/>
    </w:p>
    <w:p>
      <w:pPr>
        <w:pStyle w:val="BookText"/>
      </w:pPr>
      <w:r>
        <w:rPr>
          <w:rFonts w:ascii="Amiri" w:hAnsi="Amiri" w:eastAsia="Amiri" w:cs="Amiri"/>
          <w:lang w:bidi="ar-SA"/>
          <w:color w:val="111111"/>
          <w:sz w:val="28"/>
          <w:szCs w:val="28"/>
          <w:rtl/>
        </w:rPr>
        <w:t xml:space="preserve">حاشية شرح آداب البحث</w:t>
      </w:r>
    </w:p>
    <w:p>
      <w:pPr>
        <w:pStyle w:val="BookText"/>
      </w:pPr>
      <w:r>
        <w:rPr>
          <w:rFonts w:ascii="Amiri" w:hAnsi="Amiri" w:eastAsia="Amiri" w:cs="Amiri"/>
          <w:lang w:bidi="ar-SA"/>
          <w:color w:val="111111"/>
          <w:sz w:val="28"/>
          <w:szCs w:val="28"/>
          <w:rtl/>
        </w:rPr>
        <w:t xml:space="preserve">السمرقندية، ج 6، ص 17.</w:t>
      </w:r>
    </w:p>
    <w:p>
      <w:pPr>
        <w:pStyle w:val="BookText"/>
      </w:pPr>
      <w:r>
        <w:rPr>
          <w:rFonts w:ascii="Amiri" w:hAnsi="Amiri" w:eastAsia="Amiri" w:cs="Amiri"/>
          <w:lang w:bidi="ar-SA"/>
          <w:color w:val="111111"/>
          <w:sz w:val="28"/>
          <w:szCs w:val="28"/>
          <w:rtl/>
        </w:rPr>
        <w:t xml:space="preserve">سينائي، انطاسبوس - قديس سينائي :</w:t>
      </w:r>
    </w:p>
    <w:p>
      <w:pPr>
        <w:pStyle w:val="BookText"/>
      </w:pPr>
      <w:r>
        <w:rPr>
          <w:rFonts w:ascii="IRNazanin" w:hAnsi="IRNazanin" w:eastAsia="IRNazanin" w:cs="IRNazanin"/>
          <w:lang w:bidi="fa-IR"/>
          <w:color w:val="111111"/>
          <w:sz w:val="28"/>
          <w:szCs w:val="28"/>
          <w:rtl/>
        </w:rPr>
        <w:t xml:space="preserve">انطاسبوس</w:t>
      </w:r>
    </w:p>
    <w:p>
      <w:pPr>
        <w:pStyle w:val="BookText"/>
      </w:pPr>
      <w:r>
        <w:rPr>
          <w:rFonts w:ascii="Amiri" w:hAnsi="Amiri" w:eastAsia="Amiri" w:cs="Amiri"/>
          <w:lang w:bidi="ar-SA"/>
          <w:color w:val="111111"/>
          <w:sz w:val="28"/>
          <w:szCs w:val="28"/>
          <w:rtl/>
        </w:rPr>
        <w:t xml:space="preserve">سينائي ، محمّد بن اسماعيل - مازندراني</w:t>
      </w:r>
    </w:p>
    <w:p>
      <w:pPr>
        <w:pStyle w:val="BookText"/>
      </w:pPr>
      <w:r>
        <w:rPr>
          <w:rFonts w:ascii="Amiri" w:hAnsi="Amiri" w:eastAsia="Amiri" w:cs="Amiri"/>
          <w:lang w:bidi="ar-SA"/>
          <w:color w:val="111111"/>
          <w:sz w:val="28"/>
          <w:szCs w:val="28"/>
          <w:rtl/>
        </w:rPr>
        <w:t xml:space="preserve">حائري، محمّد بن اسماعيل</w:t>
      </w:r>
    </w:p>
    <w:p>
      <w:pPr>
        <w:pStyle w:val="Heading2"/>
      </w:pPr>
      <w:bookmarkStart w:id="5013" w:name="_Toc4115"/>
      <w:r>
        <w:t>سيناني ، ابو عبدالله محمّد</w:t>
      </w:r>
      <w:bookmarkEnd w:id="5013"/>
    </w:p>
    <w:p>
      <w:pPr>
        <w:pStyle w:val="BookText"/>
      </w:pPr>
      <w:r>
        <w:rPr>
          <w:rFonts w:ascii="Amiri" w:hAnsi="Amiri" w:eastAsia="Amiri" w:cs="Amiri"/>
          <w:lang w:bidi="ar-SA"/>
          <w:color w:val="111111"/>
          <w:sz w:val="28"/>
          <w:szCs w:val="28"/>
          <w:rtl/>
        </w:rPr>
        <w:t xml:space="preserve">شرح لامية الافعال، ج 10، ص 74.</w:t>
      </w:r>
    </w:p>
    <w:p>
      <w:pPr>
        <w:pStyle w:val="BookText"/>
      </w:pPr>
      <w:r>
        <w:rPr>
          <w:rFonts w:ascii="Amiri" w:hAnsi="Amiri" w:eastAsia="Amiri" w:cs="Amiri"/>
          <w:lang w:bidi="ar-SA"/>
          <w:color w:val="111111"/>
          <w:sz w:val="28"/>
          <w:szCs w:val="28"/>
          <w:rtl/>
        </w:rPr>
        <w:t xml:space="preserve">سينكي ، ابويحيى زكريا بن محمّد- انصاري ، زكريا بن محمّد</w:t>
      </w:r>
    </w:p>
    <w:p>
      <w:pPr>
        <w:pStyle w:val="BookText"/>
      </w:pPr>
      <w:r>
        <w:rPr>
          <w:rFonts w:ascii="Amiri" w:hAnsi="Amiri" w:eastAsia="Amiri" w:cs="Amiri"/>
          <w:lang w:bidi="ar-SA"/>
          <w:color w:val="111111"/>
          <w:sz w:val="28"/>
          <w:szCs w:val="28"/>
          <w:rtl/>
        </w:rPr>
        <w:t xml:space="preserve">سينكي ، ميرزا محمّد خان- مجد الملك</w:t>
      </w:r>
    </w:p>
    <w:p>
      <w:pPr>
        <w:pStyle w:val="BookText"/>
      </w:pPr>
      <w:r>
        <w:rPr>
          <w:rFonts w:ascii="Amiri" w:hAnsi="Amiri" w:eastAsia="Amiri" w:cs="Amiri"/>
          <w:lang w:bidi="ar-SA"/>
          <w:color w:val="111111"/>
          <w:sz w:val="28"/>
          <w:szCs w:val="28"/>
          <w:rtl/>
        </w:rPr>
        <w:t xml:space="preserve">سينكي ، محمّد</w:t>
      </w:r>
    </w:p>
    <w:p>
      <w:pPr>
        <w:pStyle w:val="Heading2"/>
      </w:pPr>
      <w:bookmarkStart w:id="5014" w:name="_Toc4116"/>
      <w:r>
        <w:t>سينوبي ، الياس بن ابراهيم - 891 ه-</w:t>
      </w:r>
      <w:bookmarkEnd w:id="5014"/>
    </w:p>
    <w:p>
      <w:pPr>
        <w:pStyle w:val="BookText"/>
      </w:pPr>
      <w:r>
        <w:rPr>
          <w:rFonts w:ascii="Amiri" w:hAnsi="Amiri" w:eastAsia="Amiri" w:cs="Amiri"/>
          <w:lang w:bidi="ar-SA"/>
          <w:color w:val="111111"/>
          <w:sz w:val="28"/>
          <w:szCs w:val="28"/>
          <w:rtl/>
        </w:rPr>
        <w:t xml:space="preserve">حاشية شرح المقاصد = حاشية على شرح مقاصد الطالبين في اصول الدين ج 6 ، ص 184 .</w:t>
      </w:r>
    </w:p>
    <w:p>
      <w:pPr>
        <w:pStyle w:val="Heading2"/>
      </w:pPr>
      <w:bookmarkStart w:id="5015" w:name="_Toc4117"/>
      <w:r>
        <w:t>سيواسي ، ابراهيم بن فضل الله، قرن 12</w:t>
      </w:r>
      <w:bookmarkEnd w:id="5015"/>
    </w:p>
    <w:p>
      <w:pPr>
        <w:pStyle w:val="BookText"/>
      </w:pPr>
      <w:r>
        <w:rPr>
          <w:rFonts w:ascii="Amiri" w:hAnsi="Amiri" w:eastAsia="Amiri" w:cs="Amiri"/>
          <w:lang w:bidi="ar-SA"/>
          <w:color w:val="111111"/>
          <w:sz w:val="28"/>
          <w:szCs w:val="28"/>
          <w:rtl/>
        </w:rPr>
        <w:t xml:space="preserve">حاشية شرح آداب البحث، ج6، ص 11.</w:t>
      </w:r>
    </w:p>
    <w:p>
      <w:pPr>
        <w:pStyle w:val="BookText"/>
      </w:pPr>
      <w:r>
        <w:rPr>
          <w:rFonts w:ascii="Amiri" w:hAnsi="Amiri" w:eastAsia="Amiri" w:cs="Amiri"/>
          <w:lang w:bidi="ar-SA"/>
          <w:color w:val="111111"/>
          <w:sz w:val="28"/>
          <w:szCs w:val="28"/>
          <w:rtl/>
        </w:rPr>
        <w:t xml:space="preserve">سيواسي ، احمد بن محمّد- سيواسي</w:t>
      </w:r>
    </w:p>
    <w:p>
      <w:pPr>
        <w:pStyle w:val="BookText"/>
      </w:pPr>
      <w:r>
        <w:rPr>
          <w:rFonts w:ascii="IRNazanin" w:hAnsi="IRNazanin" w:eastAsia="IRNazanin" w:cs="IRNazanin"/>
          <w:lang w:bidi="fa-IR"/>
          <w:color w:val="111111"/>
          <w:sz w:val="28"/>
          <w:szCs w:val="28"/>
          <w:rtl/>
        </w:rPr>
        <w:t xml:space="preserve">احمد بن محمود</w:t>
      </w:r>
    </w:p>
    <w:p>
      <w:pPr>
        <w:pStyle w:val="BookText"/>
      </w:pPr>
      <w:r>
        <w:rPr>
          <w:rFonts w:ascii="Amiri" w:hAnsi="Amiri" w:eastAsia="Amiri" w:cs="Amiri"/>
          <w:lang w:bidi="ar-SA"/>
          <w:color w:val="111111"/>
          <w:sz w:val="28"/>
          <w:szCs w:val="28"/>
          <w:rtl/>
        </w:rPr>
        <w:t xml:space="preserve">سيواسي ، احمد بن محمّد -سيواسي زيلي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5016" w:name="_Toc4118"/>
      <w:r>
        <w:t>سيواسي ، احمد بن محمود - 803</w:t>
      </w:r>
      <w:bookmarkEnd w:id="5016"/>
    </w:p>
    <w:p>
      <w:pPr>
        <w:pStyle w:val="BookText"/>
      </w:pPr>
      <w:r>
        <w:rPr>
          <w:rFonts w:ascii="Amiri" w:hAnsi="Amiri" w:eastAsia="Amiri" w:cs="Amiri"/>
          <w:lang w:bidi="ar-SA"/>
          <w:color w:val="111111"/>
          <w:sz w:val="28"/>
          <w:szCs w:val="28"/>
          <w:rtl/>
        </w:rPr>
        <w:t xml:space="preserve">1 .عيون التفاسير للفضلاء السماسير</w:t>
      </w:r>
    </w:p>
    <w:p>
      <w:pPr>
        <w:pStyle w:val="BookText"/>
      </w:pPr>
      <w:r>
        <w:rPr>
          <w:rFonts w:ascii="IRNazanin" w:hAnsi="IRNazanin" w:eastAsia="IRNazanin" w:cs="IRNazanin"/>
          <w:lang w:bidi="fa-IR"/>
          <w:color w:val="111111"/>
          <w:sz w:val="28"/>
          <w:szCs w:val="28"/>
          <w:rtl/>
        </w:rPr>
        <w:t xml:space="preserve">ج 11، ص 397.</w:t>
      </w:r>
    </w:p>
    <w:p>
      <w:pPr>
        <w:pStyle w:val="BookText"/>
      </w:pPr>
      <w:r>
        <w:rPr>
          <w:rFonts w:ascii="Amiri" w:hAnsi="Amiri" w:eastAsia="Amiri" w:cs="Amiri"/>
          <w:lang w:bidi="ar-SA"/>
          <w:color w:val="111111"/>
          <w:sz w:val="28"/>
          <w:szCs w:val="28"/>
          <w:rtl/>
        </w:rPr>
        <w:t xml:space="preserve">2 .الفرائض الشهابية - جواهر الفرائض = فرائض شهاب الدين</w:t>
      </w:r>
    </w:p>
    <w:p>
      <w:pPr>
        <w:pStyle w:val="BookText"/>
      </w:pPr>
      <w:r>
        <w:rPr>
          <w:rFonts w:ascii="IRNazanin" w:hAnsi="IRNazanin" w:eastAsia="IRNazanin" w:cs="IRNazanin"/>
          <w:lang w:bidi="fa-IR"/>
          <w:color w:val="111111"/>
          <w:sz w:val="28"/>
          <w:szCs w:val="28"/>
          <w:rtl/>
        </w:rPr>
        <w:t xml:space="preserve">ج 11 ، ص 767 .</w:t>
      </w:r>
    </w:p>
    <w:p>
      <w:pPr>
        <w:pStyle w:val="Heading2"/>
      </w:pPr>
      <w:bookmarkStart w:id="5017" w:name="_Toc4119"/>
      <w:r>
        <w:t>سيواسي، اسماعيل بن سنان - 1048 ه-</w:t>
      </w:r>
      <w:bookmarkEnd w:id="5017"/>
    </w:p>
    <w:p>
      <w:pPr>
        <w:pStyle w:val="BookText"/>
      </w:pPr>
      <w:r>
        <w:rPr>
          <w:rFonts w:ascii="Amiri" w:hAnsi="Amiri" w:eastAsia="Amiri" w:cs="Amiri"/>
          <w:lang w:bidi="ar-SA"/>
          <w:color w:val="111111"/>
          <w:sz w:val="28"/>
          <w:szCs w:val="28"/>
          <w:rtl/>
        </w:rPr>
        <w:t xml:space="preserve">1 .حاشية شرح رسالة الاستعارة، ج 6،</w:t>
      </w:r>
    </w:p>
    <w:p>
      <w:pPr>
        <w:pStyle w:val="BookText"/>
      </w:pPr>
      <w:r>
        <w:rPr>
          <w:rFonts w:ascii="IRNazanin" w:hAnsi="IRNazanin" w:eastAsia="IRNazanin" w:cs="IRNazanin"/>
          <w:lang w:bidi="fa-IR"/>
          <w:color w:val="111111"/>
          <w:sz w:val="28"/>
          <w:szCs w:val="28"/>
          <w:rtl/>
        </w:rPr>
        <w:t xml:space="preserve">ص 95 .</w:t>
      </w:r>
    </w:p>
    <w:p>
      <w:pPr>
        <w:pStyle w:val="BookText"/>
      </w:pPr>
      <w:r>
        <w:rPr>
          <w:rFonts w:ascii="Amiri" w:hAnsi="Amiri" w:eastAsia="Amiri" w:cs="Amiri"/>
          <w:lang w:bidi="ar-SA"/>
          <w:color w:val="111111"/>
          <w:sz w:val="28"/>
          <w:szCs w:val="28"/>
          <w:rtl/>
        </w:rPr>
        <w:t xml:space="preserve">2 .فرائد ملتقى الابحر = الفرائد في</w:t>
      </w:r>
    </w:p>
    <w:p>
      <w:pPr>
        <w:pStyle w:val="BookText"/>
      </w:pPr>
      <w:r>
        <w:rPr>
          <w:rFonts w:ascii="IRNazanin" w:hAnsi="IRNazanin" w:eastAsia="IRNazanin" w:cs="IRNazanin"/>
          <w:lang w:bidi="fa-IR"/>
          <w:color w:val="111111"/>
          <w:sz w:val="28"/>
          <w:szCs w:val="28"/>
          <w:rtl/>
        </w:rPr>
        <w:t xml:space="preserve">شرح ملتقى الابحر، ج 11، ص 746.</w:t>
      </w:r>
    </w:p>
    <w:p>
      <w:pPr>
        <w:pStyle w:val="BookText"/>
      </w:pPr>
      <w:r>
        <w:rPr>
          <w:rFonts w:ascii="Amiri" w:hAnsi="Amiri" w:eastAsia="Amiri" w:cs="Amiri"/>
          <w:lang w:bidi="ar-SA"/>
          <w:color w:val="111111"/>
          <w:sz w:val="28"/>
          <w:szCs w:val="28"/>
          <w:rtl/>
        </w:rPr>
        <w:t xml:space="preserve">سيواسي ، حسين بن علي- قومناتي ، حسين</w:t>
      </w:r>
    </w:p>
    <w:p>
      <w:pPr>
        <w:pStyle w:val="BookText"/>
      </w:pPr>
      <w:r>
        <w:rPr>
          <w:rFonts w:ascii="Amiri" w:hAnsi="Amiri" w:eastAsia="Amiri" w:cs="Amiri"/>
          <w:lang w:bidi="ar-SA"/>
          <w:color w:val="111111"/>
          <w:sz w:val="28"/>
          <w:szCs w:val="28"/>
          <w:rtl/>
        </w:rPr>
        <w:t xml:space="preserve">بن علي</w:t>
      </w:r>
    </w:p>
    <w:p>
      <w:pPr>
        <w:pStyle w:val="Heading2"/>
      </w:pPr>
      <w:bookmarkStart w:id="5018" w:name="_Toc4120"/>
      <w:r>
        <w:t>سيواسي ، حسين بن محمّد، 976 - 1008</w:t>
      </w:r>
      <w:bookmarkEnd w:id="5018"/>
    </w:p>
    <w:p>
      <w:pPr>
        <w:pStyle w:val="BookText"/>
      </w:pPr>
      <w:r>
        <w:rPr>
          <w:rFonts w:ascii="IRNazanin" w:hAnsi="IRNazanin" w:eastAsia="IRNazanin" w:cs="IRNazanin"/>
          <w:lang w:bidi="fa-IR"/>
          <w:color w:val="111111"/>
          <w:sz w:val="28"/>
          <w:szCs w:val="28"/>
          <w:rtl/>
        </w:rPr>
        <w:t xml:space="preserve">1 .شرح اعراب العوامل، ج9، ص212</w:t>
      </w:r>
    </w:p>
    <w:p>
      <w:pPr>
        <w:pStyle w:val="BookText"/>
      </w:pPr>
      <w:r>
        <w:rPr>
          <w:rFonts w:ascii="IRNazanin" w:hAnsi="IRNazanin" w:eastAsia="IRNazanin" w:cs="IRNazanin"/>
          <w:lang w:bidi="fa-IR"/>
          <w:color w:val="111111"/>
          <w:sz w:val="28"/>
          <w:szCs w:val="28"/>
          <w:rtl/>
        </w:rPr>
        <w:t xml:space="preserve">2 .الوقوف و الفوائد = احکام آیات قرآن مجید و فرقان حمید ج 16</w:t>
      </w:r>
    </w:p>
    <w:p>
      <w:pPr>
        <w:pStyle w:val="BookText"/>
      </w:pPr>
      <w:r>
        <w:rPr>
          <w:rFonts w:ascii="IRNazanin" w:hAnsi="IRNazanin" w:eastAsia="IRNazanin" w:cs="IRNazanin"/>
          <w:lang w:bidi="fa-IR"/>
          <w:color w:val="111111"/>
          <w:sz w:val="28"/>
          <w:szCs w:val="28"/>
          <w:rtl/>
        </w:rPr>
        <w:t xml:space="preserve">ص 880.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7" w:name="pg7742_70575"/>
    <w:bookmarkEnd w:id="597"/>
    <w:p>
      <w:pPr>
        <w:pStyle w:val="Heading2"/>
      </w:pPr>
      <w:bookmarkStart w:id="5019" w:name="_Toc4121"/>
      <w:r>
        <w:t>سيواسي زيلي، احمد بن محمّد - 1009</w:t>
      </w:r>
      <w:bookmarkEnd w:id="5019"/>
    </w:p>
    <w:p>
      <w:pPr>
        <w:pStyle w:val="BookText"/>
      </w:pPr>
      <w:r>
        <w:rPr>
          <w:rFonts w:ascii="IRNazanin" w:hAnsi="IRNazanin" w:eastAsia="IRNazanin" w:cs="IRNazanin"/>
          <w:lang w:bidi="fa-IR"/>
          <w:color w:val="111111"/>
          <w:sz w:val="28"/>
          <w:szCs w:val="28"/>
          <w:rtl/>
        </w:rPr>
        <w:t xml:space="preserve">؟ ه-</w:t>
      </w:r>
    </w:p>
    <w:p>
      <w:pPr>
        <w:pStyle w:val="BookText"/>
      </w:pPr>
      <w:r>
        <w:rPr>
          <w:rFonts w:ascii="Amiri" w:hAnsi="Amiri" w:eastAsia="Amiri" w:cs="Amiri"/>
          <w:lang w:bidi="ar-SA"/>
          <w:color w:val="111111"/>
          <w:sz w:val="28"/>
          <w:szCs w:val="28"/>
          <w:rtl/>
        </w:rPr>
        <w:t xml:space="preserve">1 .حل معاقد القواعد = حل المعاقد في القواعد اللآلي، ج 6، ص 802</w:t>
      </w:r>
    </w:p>
    <w:p>
      <w:pPr>
        <w:pStyle w:val="BookText"/>
      </w:pPr>
      <w:r>
        <w:rPr>
          <w:rFonts w:ascii="Amiri" w:hAnsi="Amiri" w:eastAsia="Amiri" w:cs="Amiri"/>
          <w:lang w:bidi="ar-SA"/>
          <w:color w:val="111111"/>
          <w:sz w:val="28"/>
          <w:szCs w:val="28"/>
          <w:rtl/>
        </w:rPr>
        <w:t xml:space="preserve">2 .زبدة الاسرار في شرح مختصر المنار شرح مختصر على مختصر المنار 911 ه-</w:t>
      </w:r>
    </w:p>
    <w:p>
      <w:pPr>
        <w:pStyle w:val="BookText"/>
      </w:pPr>
      <w:r>
        <w:rPr>
          <w:rFonts w:ascii="IRNazanin" w:hAnsi="IRNazanin" w:eastAsia="IRNazanin" w:cs="IRNazanin"/>
          <w:lang w:bidi="fa-IR"/>
          <w:color w:val="111111"/>
          <w:sz w:val="28"/>
          <w:szCs w:val="28"/>
          <w:rtl/>
        </w:rPr>
        <w:t xml:space="preserve">ج 8، ص 552.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مجالس في الموعظة، ج13، ص799.</w:t>
      </w:r>
    </w:p>
    <w:p>
      <w:pPr>
        <w:pStyle w:val="Heading2"/>
      </w:pPr>
      <w:bookmarkStart w:id="5020" w:name="_Toc4122"/>
      <w:r>
        <w:t>سيواسي ، عبدالقادر بن نور الله - 1303</w:t>
      </w:r>
      <w:bookmarkEnd w:id="5020"/>
    </w:p>
    <w:p>
      <w:pPr>
        <w:pStyle w:val="BookText"/>
      </w:pPr>
      <w:r>
        <w:rPr>
          <w:rFonts w:ascii="Amiri" w:hAnsi="Amiri" w:eastAsia="Amiri" w:cs="Amiri"/>
          <w:lang w:bidi="ar-SA"/>
          <w:color w:val="111111"/>
          <w:sz w:val="28"/>
          <w:szCs w:val="28"/>
          <w:rtl/>
        </w:rPr>
        <w:t xml:space="preserve">رسالة بالتركية، ج8، ص173.</w:t>
      </w:r>
    </w:p>
    <w:p>
      <w:pPr>
        <w:pStyle w:val="Heading2"/>
      </w:pPr>
      <w:bookmarkStart w:id="5021" w:name="_Toc4123"/>
      <w:r>
        <w:t>سيواسي ، عبد المجيد بن محرم - 1049</w:t>
      </w:r>
      <w:bookmarkEnd w:id="5021"/>
    </w:p>
    <w:p>
      <w:pPr>
        <w:pStyle w:val="BookText"/>
      </w:pPr>
      <w:r>
        <w:rPr>
          <w:rFonts w:ascii="Amiri" w:hAnsi="Amiri" w:eastAsia="Amiri" w:cs="Amiri"/>
          <w:lang w:bidi="ar-SA"/>
          <w:color w:val="111111"/>
          <w:sz w:val="28"/>
          <w:szCs w:val="28"/>
          <w:rtl/>
        </w:rPr>
        <w:t xml:space="preserve">حل مشكلات الهداية، ج6، ص 801.</w:t>
      </w:r>
    </w:p>
    <w:p>
      <w:pPr>
        <w:pStyle w:val="BookText"/>
      </w:pPr>
      <w:r>
        <w:rPr>
          <w:rFonts w:ascii="Amiri" w:hAnsi="Amiri" w:eastAsia="Amiri" w:cs="Amiri"/>
          <w:lang w:bidi="ar-SA"/>
          <w:color w:val="111111"/>
          <w:sz w:val="28"/>
          <w:szCs w:val="28"/>
          <w:rtl/>
        </w:rPr>
        <w:t xml:space="preserve">سيواسي ، محرم بن محمّد -زيلي ، محرم</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سیواسی ، محمّد بن عبد الواحد- ابن همام</w:t>
      </w:r>
    </w:p>
    <w:p>
      <w:pPr>
        <w:pStyle w:val="BookText"/>
      </w:pPr>
      <w:r>
        <w:rPr>
          <w:rFonts w:ascii="IRNazanin" w:hAnsi="IRNazanin" w:eastAsia="IRNazanin" w:cs="IRNazanin"/>
          <w:lang w:bidi="fa-IR"/>
          <w:color w:val="111111"/>
          <w:sz w:val="28"/>
          <w:szCs w:val="28"/>
          <w:rtl/>
        </w:rPr>
        <w:t xml:space="preserve">، محمّد بن عبد الواحد</w:t>
      </w:r>
    </w:p>
    <w:p>
      <w:pPr>
        <w:pStyle w:val="BookText"/>
      </w:pPr>
      <w:r>
        <w:rPr>
          <w:rFonts w:ascii="Amiri" w:hAnsi="Amiri" w:eastAsia="Amiri" w:cs="Amiri"/>
          <w:lang w:bidi="ar-SA"/>
          <w:color w:val="111111"/>
          <w:sz w:val="28"/>
          <w:szCs w:val="28"/>
          <w:rtl/>
        </w:rPr>
        <w:t xml:space="preserve">سيواسي محمّد بن محمود -دباغ زاده</w:t>
      </w:r>
    </w:p>
    <w:p>
      <w:pPr>
        <w:pStyle w:val="BookText"/>
      </w:pPr>
      <w:r>
        <w:rPr>
          <w:rFonts w:ascii="IRNazanin" w:hAnsi="IRNazanin" w:eastAsia="IRNazanin" w:cs="IRNazanin"/>
          <w:lang w:bidi="fa-IR"/>
          <w:color w:val="111111"/>
          <w:sz w:val="28"/>
          <w:szCs w:val="28"/>
          <w:rtl/>
        </w:rPr>
        <w:t xml:space="preserve">محمّد بن محمود</w:t>
      </w:r>
    </w:p>
    <w:p>
      <w:pPr>
        <w:pStyle w:val="Heading2"/>
      </w:pPr>
      <w:bookmarkStart w:id="5022" w:name="_Toc4124"/>
      <w:r>
        <w:t>سيواسي، مصطفى بن ابي بكر - 1240</w:t>
      </w:r>
      <w:bookmarkEnd w:id="5022"/>
    </w:p>
    <w:p>
      <w:pPr>
        <w:pStyle w:val="BookText"/>
      </w:pPr>
      <w:r>
        <w:rPr>
          <w:rFonts w:ascii="Amiri" w:hAnsi="Amiri" w:eastAsia="Amiri" w:cs="Amiri"/>
          <w:lang w:bidi="ar-SA"/>
          <w:color w:val="111111"/>
          <w:sz w:val="28"/>
          <w:szCs w:val="28"/>
          <w:rtl/>
        </w:rPr>
        <w:t xml:space="preserve">1 .امثلة الفرس، ج 2، ص 753 .</w:t>
      </w:r>
    </w:p>
    <w:p>
      <w:pPr>
        <w:pStyle w:val="BookText"/>
      </w:pPr>
      <w:r>
        <w:rPr>
          <w:rFonts w:ascii="Amiri" w:hAnsi="Amiri" w:eastAsia="Amiri" w:cs="Amiri"/>
          <w:lang w:bidi="ar-SA"/>
          <w:color w:val="111111"/>
          <w:sz w:val="28"/>
          <w:szCs w:val="28"/>
          <w:rtl/>
        </w:rPr>
        <w:t xml:space="preserve">2 .المفاتيح الدرية في اثبات القوانين</w:t>
      </w:r>
    </w:p>
    <w:p>
      <w:pPr>
        <w:pStyle w:val="BookText"/>
      </w:pPr>
      <w:r>
        <w:rPr>
          <w:rFonts w:ascii="Amiri" w:hAnsi="Amiri" w:eastAsia="Amiri" w:cs="Amiri"/>
          <w:lang w:bidi="ar-SA"/>
          <w:color w:val="111111"/>
          <w:sz w:val="28"/>
          <w:szCs w:val="28"/>
          <w:rtl/>
        </w:rPr>
        <w:t xml:space="preserve">الدرية = مفاتيح الفرس، ج 15 ص 152.</w:t>
      </w:r>
    </w:p>
    <w:p>
      <w:pPr>
        <w:pStyle w:val="BookText"/>
      </w:pPr>
      <w:r>
        <w:rPr>
          <w:rFonts w:ascii="Amiri" w:hAnsi="Amiri" w:eastAsia="Amiri" w:cs="Amiri"/>
          <w:lang w:bidi="ar-SA"/>
          <w:color w:val="111111"/>
          <w:sz w:val="28"/>
          <w:szCs w:val="28"/>
          <w:rtl/>
        </w:rPr>
        <w:t xml:space="preserve">سيوري حلي ، مقداد بن عبدالله -فاضل</w:t>
      </w:r>
    </w:p>
    <w:p>
      <w:pPr>
        <w:pStyle w:val="BookText"/>
      </w:pPr>
      <w:r>
        <w:rPr>
          <w:rFonts w:ascii="IRNazanin" w:hAnsi="IRNazanin" w:eastAsia="IRNazanin" w:cs="IRNazanin"/>
          <w:lang w:bidi="fa-IR"/>
          <w:color w:val="111111"/>
          <w:sz w:val="28"/>
          <w:szCs w:val="28"/>
          <w:rtl/>
        </w:rPr>
        <w:t xml:space="preserve">مقداد ، مقداد بن عبدالله</w:t>
      </w:r>
    </w:p>
    <w:p>
      <w:pPr>
        <w:pStyle w:val="BookText"/>
      </w:pPr>
      <w:r>
        <w:rPr>
          <w:rFonts w:ascii="Amiri" w:hAnsi="Amiri" w:eastAsia="Amiri" w:cs="Amiri"/>
          <w:lang w:bidi="ar-SA"/>
          <w:color w:val="111111"/>
          <w:sz w:val="28"/>
          <w:szCs w:val="28"/>
          <w:rtl/>
        </w:rPr>
        <w:t xml:space="preserve">سيوطي ، جلال الدين</w:t>
      </w:r>
    </w:p>
    <w:p>
      <w:pPr>
        <w:pStyle w:val="BookText"/>
      </w:pPr>
      <w:r>
        <w:rPr>
          <w:rFonts w:ascii="Amiri" w:hAnsi="Amiri" w:eastAsia="Amiri" w:cs="Amiri"/>
          <w:lang w:bidi="ar-SA"/>
          <w:color w:val="111111"/>
          <w:sz w:val="28"/>
          <w:szCs w:val="28"/>
          <w:rtl/>
        </w:rPr>
        <w:t xml:space="preserve">عبد الرحمن-سيوطي ، عبدالرحمن بن ابي بكر</w:t>
      </w:r>
    </w:p>
    <w:p>
      <w:pPr>
        <w:pStyle w:val="Heading2"/>
      </w:pPr>
      <w:bookmarkStart w:id="5023" w:name="_Toc4125"/>
      <w:r>
        <w:t>سيوطي ، عبد الرحمن بن ابي بكر، 849 -</w:t>
      </w:r>
      <w:bookmarkEnd w:id="5023"/>
    </w:p>
    <w:p>
      <w:pPr>
        <w:pStyle w:val="BookText"/>
      </w:pPr>
      <w:r>
        <w:rPr>
          <w:rFonts w:ascii="Amiri" w:hAnsi="Amiri" w:eastAsia="Amiri" w:cs="Amiri"/>
          <w:lang w:bidi="ar-SA"/>
          <w:color w:val="111111"/>
          <w:sz w:val="28"/>
          <w:szCs w:val="28"/>
          <w:rtl/>
        </w:rPr>
        <w:t xml:space="preserve">1 .الآية الكبرى في شرح قصة الأسرى،</w:t>
      </w:r>
    </w:p>
    <w:p>
      <w:pPr>
        <w:pStyle w:val="BookText"/>
      </w:pPr>
      <w:r>
        <w:rPr>
          <w:rFonts w:ascii="IRNazanin" w:hAnsi="IRNazanin" w:eastAsia="IRNazanin" w:cs="IRNazanin"/>
          <w:lang w:bidi="fa-IR"/>
          <w:color w:val="111111"/>
          <w:sz w:val="28"/>
          <w:szCs w:val="28"/>
          <w:rtl/>
        </w:rPr>
        <w:t xml:space="preserve">ج 1، ص79.</w:t>
      </w:r>
    </w:p>
    <w:p>
      <w:pPr>
        <w:pStyle w:val="BookText"/>
      </w:pPr>
      <w:r>
        <w:rPr>
          <w:rFonts w:ascii="Amiri" w:hAnsi="Amiri" w:eastAsia="Amiri" w:cs="Amiri"/>
          <w:lang w:bidi="ar-SA"/>
          <w:color w:val="111111"/>
          <w:sz w:val="28"/>
          <w:szCs w:val="28"/>
          <w:rtl/>
        </w:rPr>
        <w:t xml:space="preserve">2 .ابواب السعادة في اسباب الشهادة</w:t>
      </w:r>
    </w:p>
    <w:p>
      <w:pPr>
        <w:pStyle w:val="BookText"/>
      </w:pPr>
      <w:r>
        <w:rPr>
          <w:rFonts w:ascii="IRNazanin" w:hAnsi="IRNazanin" w:eastAsia="IRNazanin" w:cs="IRNazanin"/>
          <w:lang w:bidi="fa-IR"/>
          <w:color w:val="111111"/>
          <w:sz w:val="28"/>
          <w:szCs w:val="28"/>
          <w:rtl/>
        </w:rPr>
        <w:t xml:space="preserve">ج 1، ص 115.</w:t>
      </w:r>
    </w:p>
    <w:p>
      <w:pPr>
        <w:pStyle w:val="BookText"/>
      </w:pPr>
      <w:r>
        <w:rPr>
          <w:rFonts w:ascii="Amiri" w:hAnsi="Amiri" w:eastAsia="Amiri" w:cs="Amiri"/>
          <w:lang w:bidi="ar-SA"/>
          <w:color w:val="111111"/>
          <w:sz w:val="28"/>
          <w:szCs w:val="28"/>
          <w:rtl/>
        </w:rPr>
        <w:t xml:space="preserve">3 .اتحاف الفرقة برفو الخرقة، ج 1،</w:t>
      </w:r>
    </w:p>
    <w:p>
      <w:pPr>
        <w:pStyle w:val="BookText"/>
      </w:pPr>
      <w:r>
        <w:rPr>
          <w:rFonts w:ascii="IRNazanin" w:hAnsi="IRNazanin" w:eastAsia="IRNazanin" w:cs="IRNazanin"/>
          <w:lang w:bidi="fa-IR"/>
          <w:color w:val="111111"/>
          <w:sz w:val="28"/>
          <w:szCs w:val="28"/>
          <w:rtl/>
        </w:rPr>
        <w:t xml:space="preserve">ص 131.</w:t>
      </w:r>
    </w:p>
    <w:p>
      <w:pPr>
        <w:pStyle w:val="BookText"/>
      </w:pPr>
      <w:r>
        <w:rPr>
          <w:rFonts w:ascii="IRNazanin" w:hAnsi="IRNazanin" w:eastAsia="IRNazanin" w:cs="IRNazanin"/>
          <w:lang w:bidi="fa-IR"/>
          <w:color w:val="111111"/>
          <w:sz w:val="28"/>
          <w:szCs w:val="28"/>
          <w:rtl/>
        </w:rPr>
        <w:t xml:space="preserve">4 .اتحاف النبلاء باخبار الثقلاء، ج1،</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الاتقان في علوم القرآن، ج 1،</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Amiri" w:hAnsi="Amiri" w:eastAsia="Amiri" w:cs="Amiri"/>
          <w:lang w:bidi="ar-SA"/>
          <w:color w:val="111111"/>
          <w:sz w:val="28"/>
          <w:szCs w:val="28"/>
          <w:rtl/>
        </w:rPr>
        <w:t xml:space="preserve">6 .اتمام الدراية لقراء النقاية، ج1،</w:t>
      </w:r>
    </w:p>
    <w:p>
      <w:pPr>
        <w:pStyle w:val="BookText"/>
      </w:pPr>
      <w:r>
        <w:rPr>
          <w:rFonts w:ascii="IRNazanin" w:hAnsi="IRNazanin" w:eastAsia="IRNazanin" w:cs="IRNazanin"/>
          <w:lang w:bidi="fa-IR"/>
          <w:color w:val="111111"/>
          <w:sz w:val="28"/>
          <w:szCs w:val="28"/>
          <w:rtl/>
        </w:rPr>
        <w:t xml:space="preserve">ص 144.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الاجر الجزل في الغزل، ج 1، ص 306.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الأحاديث الحسان في فضل</w:t>
      </w:r>
    </w:p>
    <w:p>
      <w:pPr>
        <w:pStyle w:val="BookText"/>
      </w:pPr>
      <w:r>
        <w:rPr>
          <w:rFonts w:ascii="Amiri" w:hAnsi="Amiri" w:eastAsia="Amiri" w:cs="Amiri"/>
          <w:lang w:bidi="ar-SA"/>
          <w:color w:val="111111"/>
          <w:sz w:val="28"/>
          <w:szCs w:val="28"/>
          <w:rtl/>
        </w:rPr>
        <w:t xml:space="preserve">الطيلسان، ج 1، ص 407 .</w:t>
      </w:r>
    </w:p>
    <w:p>
      <w:pPr>
        <w:pStyle w:val="BookText"/>
      </w:pPr>
      <w:r>
        <w:rPr>
          <w:rFonts w:ascii="Amiri" w:hAnsi="Amiri" w:eastAsia="Amiri" w:cs="Amiri"/>
          <w:lang w:bidi="ar-SA"/>
          <w:color w:val="111111"/>
          <w:sz w:val="28"/>
          <w:szCs w:val="28"/>
          <w:rtl/>
        </w:rPr>
        <w:t xml:space="preserve">9 .الاحتفال في سؤال الاطفال، ج1،</w:t>
      </w:r>
    </w:p>
    <w:p>
      <w:pPr>
        <w:pStyle w:val="BookText"/>
      </w:pPr>
      <w:r>
        <w:rPr>
          <w:rFonts w:ascii="IRNazanin" w:hAnsi="IRNazanin" w:eastAsia="IRNazanin" w:cs="IRNazanin"/>
          <w:lang w:bidi="fa-IR"/>
          <w:color w:val="111111"/>
          <w:sz w:val="28"/>
          <w:szCs w:val="28"/>
          <w:rtl/>
        </w:rPr>
        <w:t xml:space="preserve">ص 438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أحكام اطفال المسلمين (رسالة في)</w:t>
      </w:r>
    </w:p>
    <w:p>
      <w:pPr>
        <w:pStyle w:val="BookText"/>
      </w:pPr>
      <w:r>
        <w:rPr>
          <w:rFonts w:ascii="IRNazanin" w:hAnsi="IRNazanin" w:eastAsia="IRNazanin" w:cs="IRNazanin"/>
          <w:lang w:bidi="fa-IR"/>
          <w:color w:val="111111"/>
          <w:sz w:val="28"/>
          <w:szCs w:val="28"/>
          <w:rtl/>
        </w:rPr>
        <w:t xml:space="preserve">ج 1، ص 455.</w:t>
      </w:r>
    </w:p>
    <w:p>
      <w:pPr>
        <w:pStyle w:val="BookText"/>
      </w:pPr>
      <w:r>
        <w:rPr>
          <w:rFonts w:ascii="Amiri" w:hAnsi="Amiri" w:eastAsia="Amiri" w:cs="Amiri"/>
          <w:lang w:bidi="ar-SA"/>
          <w:color w:val="111111"/>
          <w:sz w:val="28"/>
          <w:szCs w:val="28"/>
          <w:rtl/>
        </w:rPr>
        <w:t xml:space="preserve">11 .احياء الميت بفضائل اهل البيت</w:t>
      </w:r>
    </w:p>
    <w:p>
      <w:pPr>
        <w:pStyle w:val="BookText"/>
      </w:pPr>
      <w:r>
        <w:rPr>
          <w:rFonts w:ascii="IRNazanin" w:hAnsi="IRNazanin" w:eastAsia="IRNazanin" w:cs="IRNazanin"/>
          <w:lang w:bidi="fa-IR"/>
          <w:color w:val="111111"/>
          <w:sz w:val="28"/>
          <w:szCs w:val="28"/>
          <w:rtl/>
        </w:rPr>
        <w:t xml:space="preserve">ج 1، ص 519.</w:t>
      </w:r>
    </w:p>
    <w:p>
      <w:pPr>
        <w:pStyle w:val="BookText"/>
      </w:pPr>
      <w:r>
        <w:rPr>
          <w:rFonts w:ascii="Amiri" w:hAnsi="Amiri" w:eastAsia="Amiri" w:cs="Amiri"/>
          <w:lang w:bidi="ar-SA"/>
          <w:color w:val="111111"/>
          <w:sz w:val="28"/>
          <w:szCs w:val="28"/>
          <w:rtl/>
        </w:rPr>
        <w:t xml:space="preserve">12 .الأخبار المأثورة في الإطلاء النورة</w:t>
      </w:r>
    </w:p>
    <w:p>
      <w:pPr>
        <w:pStyle w:val="BookText"/>
      </w:pPr>
      <w:r>
        <w:rPr>
          <w:rFonts w:ascii="IRNazanin" w:hAnsi="IRNazanin" w:eastAsia="IRNazanin" w:cs="IRNazanin"/>
          <w:lang w:bidi="fa-IR"/>
          <w:color w:val="111111"/>
          <w:sz w:val="28"/>
          <w:szCs w:val="28"/>
          <w:rtl/>
        </w:rPr>
        <w:t xml:space="preserve">ج 1، ص 535.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الاخبار المروية في سبب وضع</w:t>
      </w:r>
    </w:p>
    <w:p>
      <w:pPr>
        <w:pStyle w:val="BookText"/>
      </w:pPr>
      <w:r>
        <w:rPr>
          <w:rFonts w:ascii="Amiri" w:hAnsi="Amiri" w:eastAsia="Amiri" w:cs="Amiri"/>
          <w:lang w:bidi="ar-SA"/>
          <w:color w:val="111111"/>
          <w:sz w:val="28"/>
          <w:szCs w:val="28"/>
          <w:rtl/>
        </w:rPr>
        <w:t xml:space="preserve">العربية، ج 1، ص 535.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اذكار الاذكار، ج 1، ص 674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.الاربعون حديثا في قواعد الاحكام الشرعية وفضائل الاعمال و الزهد - اربعون حديثا من الصحاح و الحسان، ج1، ص730.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الارج في الفرج، ج 1، ص 759.</w:t>
      </w:r>
    </w:p>
    <w:p>
      <w:pPr>
        <w:pStyle w:val="BookText"/>
      </w:pPr>
      <w:r>
        <w:rPr>
          <w:rFonts w:ascii="Amiri" w:hAnsi="Amiri" w:eastAsia="Amiri" w:cs="Amiri"/>
          <w:lang w:bidi="ar-SA"/>
          <w:color w:val="111111"/>
          <w:sz w:val="28"/>
          <w:szCs w:val="28"/>
          <w:rtl/>
        </w:rPr>
        <w:t xml:space="preserve">17 .ارجوزة معربات القرآن، ج 1،</w:t>
      </w:r>
    </w:p>
    <w:p>
      <w:pPr>
        <w:pStyle w:val="BookText"/>
      </w:pPr>
      <w:r>
        <w:rPr>
          <w:rFonts w:ascii="IRNazanin" w:hAnsi="IRNazanin" w:eastAsia="IRNazanin" w:cs="IRNazanin"/>
          <w:lang w:bidi="fa-IR"/>
          <w:color w:val="111111"/>
          <w:sz w:val="28"/>
          <w:szCs w:val="28"/>
          <w:rtl/>
        </w:rPr>
        <w:t xml:space="preserve">ص 774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ارشاد المهتدين إلى نصرة</w:t>
      </w:r>
    </w:p>
    <w:p>
      <w:pPr>
        <w:pStyle w:val="BookText"/>
      </w:pPr>
      <w:r>
        <w:rPr>
          <w:rFonts w:ascii="Amiri" w:hAnsi="Amiri" w:eastAsia="Amiri" w:cs="Amiri"/>
          <w:lang w:bidi="ar-SA"/>
          <w:color w:val="111111"/>
          <w:sz w:val="28"/>
          <w:szCs w:val="28"/>
          <w:rtl/>
        </w:rPr>
        <w:t xml:space="preserve">المجتهدين، ج 2، ص 54.</w:t>
      </w:r>
    </w:p>
    <w:p>
      <w:pPr>
        <w:pStyle w:val="BookText"/>
      </w:pPr>
      <w:r>
        <w:rPr>
          <w:rFonts w:ascii="Amiri" w:hAnsi="Amiri" w:eastAsia="Amiri" w:cs="Amiri"/>
          <w:lang w:bidi="ar-SA"/>
          <w:color w:val="111111"/>
          <w:sz w:val="28"/>
          <w:szCs w:val="28"/>
          <w:rtl/>
        </w:rPr>
        <w:t xml:space="preserve">19 .الأزهار المتناثرة في الأخبار</w:t>
      </w:r>
    </w:p>
    <w:p>
      <w:pPr>
        <w:pStyle w:val="BookText"/>
      </w:pPr>
      <w:r>
        <w:rPr>
          <w:rFonts w:ascii="Amiri" w:hAnsi="Amiri" w:eastAsia="Amiri" w:cs="Amiri"/>
          <w:lang w:bidi="ar-SA"/>
          <w:color w:val="111111"/>
          <w:sz w:val="28"/>
          <w:szCs w:val="28"/>
          <w:rtl/>
        </w:rPr>
        <w:t xml:space="preserve">المتواترة، ج 2، ص 67.</w:t>
      </w:r>
    </w:p>
    <w:p>
      <w:pPr>
        <w:pStyle w:val="BookText"/>
      </w:pPr>
      <w:r>
        <w:rPr>
          <w:rFonts w:ascii="Amiri" w:hAnsi="Amiri" w:eastAsia="Amiri" w:cs="Amiri"/>
          <w:lang w:bidi="ar-SA"/>
          <w:color w:val="111111"/>
          <w:sz w:val="28"/>
          <w:szCs w:val="28"/>
          <w:rtl/>
        </w:rPr>
        <w:t xml:space="preserve">20 .الاساس في مناقب بني العباس</w:t>
      </w:r>
    </w:p>
    <w:p>
      <w:pPr>
        <w:pStyle w:val="BookText"/>
      </w:pPr>
      <w:r>
        <w:rPr>
          <w:rFonts w:ascii="IRNazanin" w:hAnsi="IRNazanin" w:eastAsia="IRNazanin" w:cs="IRNazanin"/>
          <w:lang w:bidi="fa-IR"/>
          <w:color w:val="111111"/>
          <w:sz w:val="28"/>
          <w:szCs w:val="28"/>
          <w:rtl/>
        </w:rPr>
        <w:t xml:space="preserve">ج 2، ص 77.</w:t>
      </w:r>
    </w:p>
    <w:p>
      <w:pPr>
        <w:pStyle w:val="BookText"/>
      </w:pPr>
      <w:r>
        <w:rPr>
          <w:rFonts w:ascii="IRNazanin" w:hAnsi="IRNazanin" w:eastAsia="IRNazanin" w:cs="IRNazanin"/>
          <w:lang w:bidi="fa-IR"/>
          <w:color w:val="111111"/>
          <w:sz w:val="28"/>
          <w:szCs w:val="28"/>
          <w:rtl/>
        </w:rPr>
        <w:t xml:space="preserve">21 .اسعاف المبطأ برجال الموطأ، ج 2،</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الاسفار عن قلم الاظفار، ج 2،</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Amiri" w:hAnsi="Amiri" w:eastAsia="Amiri" w:cs="Amiri"/>
          <w:lang w:bidi="ar-SA"/>
          <w:color w:val="111111"/>
          <w:sz w:val="28"/>
          <w:szCs w:val="28"/>
          <w:rtl/>
        </w:rPr>
        <w:t xml:space="preserve">23 .الإشارات في شواذ القراءات، ج 2،</w:t>
      </w:r>
    </w:p>
    <w:p>
      <w:pPr>
        <w:pStyle w:val="BookText"/>
      </w:pPr>
      <w:r>
        <w:rPr>
          <w:rFonts w:ascii="IRNazanin" w:hAnsi="IRNazanin" w:eastAsia="IRNazanin" w:cs="IRNazanin"/>
          <w:lang w:bidi="fa-IR"/>
          <w:color w:val="111111"/>
          <w:sz w:val="28"/>
          <w:szCs w:val="28"/>
          <w:rtl/>
        </w:rPr>
        <w:t xml:space="preserve">ص 251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الاشباه والنظائر في الفروع، ج 2،</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Amiri" w:hAnsi="Amiri" w:eastAsia="Amiri" w:cs="Amiri"/>
          <w:lang w:bidi="ar-SA"/>
          <w:color w:val="111111"/>
          <w:sz w:val="28"/>
          <w:szCs w:val="28"/>
          <w:rtl/>
        </w:rPr>
        <w:t xml:space="preserve">25 .الاشباه والنظائر في النحو، ج2،</w:t>
      </w:r>
    </w:p>
    <w:p>
      <w:pPr>
        <w:pStyle w:val="BookText"/>
      </w:pPr>
      <w:r>
        <w:rPr>
          <w:rFonts w:ascii="IRNazanin" w:hAnsi="IRNazanin" w:eastAsia="IRNazanin" w:cs="IRNazanin"/>
          <w:lang w:bidi="fa-IR"/>
          <w:color w:val="111111"/>
          <w:sz w:val="28"/>
          <w:szCs w:val="28"/>
          <w:rtl/>
        </w:rPr>
        <w:t xml:space="preserve">ص 272.</w:t>
      </w:r>
    </w:p>
    <w:p>
      <w:pPr>
        <w:pStyle w:val="BookText"/>
      </w:pPr>
      <w:r>
        <w:rPr>
          <w:rFonts w:ascii="Amiri" w:hAnsi="Amiri" w:eastAsia="Amiri" w:cs="Amiri"/>
          <w:lang w:bidi="ar-SA"/>
          <w:color w:val="111111"/>
          <w:sz w:val="28"/>
          <w:szCs w:val="28"/>
          <w:rtl/>
        </w:rPr>
        <w:t xml:space="preserve">26 .اعراب البسملة، ج 2، ص 531.</w:t>
      </w:r>
    </w:p>
    <w:p>
      <w:pPr>
        <w:pStyle w:val="BookText"/>
      </w:pPr>
      <w:r>
        <w:rPr>
          <w:rFonts w:ascii="Amiri" w:hAnsi="Amiri" w:eastAsia="Amiri" w:cs="Amiri"/>
          <w:lang w:bidi="ar-SA"/>
          <w:color w:val="111111"/>
          <w:sz w:val="28"/>
          <w:szCs w:val="28"/>
          <w:rtl/>
        </w:rPr>
        <w:t xml:space="preserve">27 .اعراب حديث و لا يعز من</w:t>
      </w:r>
    </w:p>
    <w:p>
      <w:pPr>
        <w:pStyle w:val="BookText"/>
      </w:pPr>
      <w:r>
        <w:rPr>
          <w:rFonts w:ascii="Amiri" w:hAnsi="Amiri" w:eastAsia="Amiri" w:cs="Amiri"/>
          <w:lang w:bidi="ar-SA"/>
          <w:color w:val="111111"/>
          <w:sz w:val="28"/>
          <w:szCs w:val="28"/>
          <w:rtl/>
        </w:rPr>
        <w:t xml:space="preserve">عاديت»، ج 2، ص 533.</w:t>
      </w:r>
    </w:p>
    <w:p>
      <w:pPr>
        <w:pStyle w:val="BookText"/>
      </w:pPr>
      <w:r>
        <w:rPr>
          <w:rFonts w:ascii="Amiri" w:hAnsi="Amiri" w:eastAsia="Amiri" w:cs="Amiri"/>
          <w:lang w:bidi="ar-SA"/>
          <w:color w:val="111111"/>
          <w:sz w:val="28"/>
          <w:szCs w:val="28"/>
          <w:rtl/>
        </w:rPr>
        <w:t xml:space="preserve">28 .اعلام الاريب بحدوث بدعة المحاريب، ج 2، ص 551</w:t>
      </w:r>
    </w:p>
    <w:p>
      <w:pPr>
        <w:pStyle w:val="BookText"/>
      </w:pPr>
      <w:r>
        <w:rPr>
          <w:rFonts w:ascii="Amiri" w:hAnsi="Amiri" w:eastAsia="Amiri" w:cs="Amiri"/>
          <w:lang w:bidi="ar-SA"/>
          <w:color w:val="111111"/>
          <w:sz w:val="28"/>
          <w:szCs w:val="28"/>
          <w:rtl/>
        </w:rPr>
        <w:t xml:space="preserve">29 .الإعلام في حكم عيسى عليه</w:t>
      </w:r>
    </w:p>
    <w:p>
      <w:pPr>
        <w:pStyle w:val="BookText"/>
      </w:pPr>
      <w:r>
        <w:rPr>
          <w:rFonts w:ascii="IRNazanin" w:hAnsi="IRNazanin" w:eastAsia="IRNazanin" w:cs="IRNazanin"/>
          <w:lang w:bidi="fa-IR"/>
          <w:color w:val="111111"/>
          <w:sz w:val="28"/>
          <w:szCs w:val="28"/>
          <w:rtl/>
        </w:rPr>
        <w:t xml:space="preserve">السلام، ج 2، ص 554.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اغاثة المستغيث في حل بعض اشكالات الحديث، ج 2، ص 577.</w:t>
      </w:r>
    </w:p>
    <w:p>
      <w:pPr>
        <w:pStyle w:val="BookText"/>
      </w:pPr>
      <w:r>
        <w:rPr>
          <w:rFonts w:ascii="Amiri" w:hAnsi="Amiri" w:eastAsia="Amiri" w:cs="Amiri"/>
          <w:lang w:bidi="ar-SA"/>
          <w:color w:val="111111"/>
          <w:sz w:val="28"/>
          <w:szCs w:val="28"/>
          <w:rtl/>
        </w:rPr>
        <w:t xml:space="preserve">31 .إفادة الخبر بنصه في زيادة العمر</w:t>
      </w:r>
    </w:p>
    <w:p>
      <w:pPr>
        <w:pStyle w:val="BookText"/>
      </w:pPr>
      <w:r>
        <w:rPr>
          <w:rFonts w:ascii="Amiri" w:hAnsi="Amiri" w:eastAsia="Amiri" w:cs="Amiri"/>
          <w:lang w:bidi="ar-SA"/>
          <w:color w:val="111111"/>
          <w:sz w:val="28"/>
          <w:szCs w:val="28"/>
          <w:rtl/>
        </w:rPr>
        <w:t xml:space="preserve">و نقصه = افادة الخير في منصة زيادة العمر و نقصه، ج2، ص588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الاقتراح في علم اصول النحو، ج2،</w:t>
      </w:r>
    </w:p>
    <w:p>
      <w:pPr>
        <w:pStyle w:val="BookText"/>
      </w:pPr>
      <w:r>
        <w:rPr>
          <w:rFonts w:ascii="IRNazanin" w:hAnsi="IRNazanin" w:eastAsia="IRNazanin" w:cs="IRNazanin"/>
          <w:lang w:bidi="fa-IR"/>
          <w:color w:val="111111"/>
          <w:sz w:val="28"/>
          <w:szCs w:val="28"/>
          <w:rtl/>
        </w:rPr>
        <w:t xml:space="preserve">ص 613.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اقوال العلماء في الاسم الاعظم</w:t>
      </w:r>
    </w:p>
    <w:p>
      <w:pPr>
        <w:pStyle w:val="BookText"/>
      </w:pPr>
      <w:r>
        <w:rPr>
          <w:rFonts w:ascii="IRNazanin" w:hAnsi="IRNazanin" w:eastAsia="IRNazanin" w:cs="IRNazanin"/>
          <w:lang w:bidi="fa-IR"/>
          <w:color w:val="111111"/>
          <w:sz w:val="28"/>
          <w:szCs w:val="28"/>
          <w:rtl/>
        </w:rPr>
        <w:t xml:space="preserve">ج 2، ص 635 .</w:t>
      </w:r>
    </w:p>
    <w:p>
      <w:pPr>
        <w:pStyle w:val="BookText"/>
      </w:pPr>
      <w:r>
        <w:rPr>
          <w:rFonts w:ascii="Amiri" w:hAnsi="Amiri" w:eastAsia="Amiri" w:cs="Amiri"/>
          <w:lang w:bidi="ar-SA"/>
          <w:color w:val="111111"/>
          <w:sz w:val="28"/>
          <w:szCs w:val="28"/>
          <w:rtl/>
        </w:rPr>
        <w:t xml:space="preserve">34 .الاكليل في استنباط التنزيل، ج2،</w:t>
      </w:r>
    </w:p>
    <w:p>
      <w:pPr>
        <w:pStyle w:val="BookText"/>
      </w:pPr>
      <w:r>
        <w:rPr>
          <w:rFonts w:ascii="IRNazanin" w:hAnsi="IRNazanin" w:eastAsia="IRNazanin" w:cs="IRNazanin"/>
          <w:lang w:bidi="fa-IR"/>
          <w:color w:val="111111"/>
          <w:sz w:val="28"/>
          <w:szCs w:val="28"/>
          <w:rtl/>
        </w:rPr>
        <w:t xml:space="preserve">ص 647 .</w:t>
      </w:r>
    </w:p>
    <w:p>
      <w:pPr>
        <w:pStyle w:val="BookText"/>
      </w:pPr>
      <w:r>
        <w:rPr>
          <w:rFonts w:ascii="Amiri" w:hAnsi="Amiri" w:eastAsia="Amiri" w:cs="Amiri"/>
          <w:lang w:bidi="ar-SA"/>
          <w:color w:val="111111"/>
          <w:sz w:val="28"/>
          <w:szCs w:val="28"/>
          <w:rtl/>
        </w:rPr>
        <w:t xml:space="preserve">35 .الألفية في الحديث = الفية مصطلح الحديث، ج 2، ص 685.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الالفية في المصطلح، ج 2، ص 690.</w:t>
      </w:r>
    </w:p>
    <w:p>
      <w:pPr>
        <w:pStyle w:val="BookText"/>
      </w:pPr>
      <w:r>
        <w:rPr>
          <w:rFonts w:ascii="Amiri" w:hAnsi="Amiri" w:eastAsia="Amiri" w:cs="Amiri"/>
          <w:lang w:bidi="ar-SA"/>
          <w:color w:val="111111"/>
          <w:sz w:val="28"/>
          <w:szCs w:val="28"/>
          <w:rtl/>
        </w:rPr>
        <w:t xml:space="preserve">37 .القام الحجر في من زكي ابي بكر و عمر = رسالة فيمن سب الشيخين</w:t>
      </w:r>
    </w:p>
    <w:p>
      <w:pPr>
        <w:pStyle w:val="BookText"/>
      </w:pPr>
      <w:r>
        <w:rPr>
          <w:rFonts w:ascii="IRNazanin" w:hAnsi="IRNazanin" w:eastAsia="IRNazanin" w:cs="IRNazanin"/>
          <w:lang w:bidi="fa-IR"/>
          <w:color w:val="111111"/>
          <w:sz w:val="28"/>
          <w:szCs w:val="28"/>
          <w:rtl/>
        </w:rPr>
        <w:t xml:space="preserve">لاتقبل شهادته، ج 2، ص 694.</w:t>
      </w:r>
    </w:p>
    <w:p>
      <w:pPr>
        <w:pStyle w:val="BookText"/>
      </w:pPr>
      <w:r>
        <w:rPr>
          <w:rFonts w:ascii="Amiri" w:hAnsi="Amiri" w:eastAsia="Amiri" w:cs="Amiri"/>
          <w:lang w:bidi="ar-SA"/>
          <w:color w:val="111111"/>
          <w:sz w:val="28"/>
          <w:szCs w:val="28"/>
          <w:rtl/>
        </w:rPr>
        <w:t xml:space="preserve">38 .انباه الاذكياء لحياة الانبياء، ج2،</w:t>
      </w:r>
    </w:p>
    <w:p>
      <w:pPr>
        <w:pStyle w:val="BookText"/>
      </w:pPr>
      <w:r>
        <w:rPr>
          <w:rFonts w:ascii="IRNazanin" w:hAnsi="IRNazanin" w:eastAsia="IRNazanin" w:cs="IRNazanin"/>
          <w:lang w:bidi="fa-IR"/>
          <w:color w:val="111111"/>
          <w:sz w:val="28"/>
          <w:szCs w:val="28"/>
          <w:rtl/>
        </w:rPr>
        <w:t xml:space="preserve">ص 778.</w:t>
      </w:r>
    </w:p>
    <w:p>
      <w:pPr>
        <w:pStyle w:val="BookText"/>
      </w:pPr>
      <w:r>
        <w:rPr>
          <w:rFonts w:ascii="Amiri" w:hAnsi="Amiri" w:eastAsia="Amiri" w:cs="Amiri"/>
          <w:lang w:bidi="ar-SA"/>
          <w:color w:val="111111"/>
          <w:sz w:val="28"/>
          <w:szCs w:val="28"/>
          <w:rtl/>
        </w:rPr>
        <w:t xml:space="preserve">39 .انموذج اللبيب في خصايص</w:t>
      </w:r>
    </w:p>
    <w:p>
      <w:pPr>
        <w:pStyle w:val="BookText"/>
      </w:pPr>
      <w:r>
        <w:rPr>
          <w:rFonts w:ascii="Amiri" w:hAnsi="Amiri" w:eastAsia="Amiri" w:cs="Amiri"/>
          <w:lang w:bidi="ar-SA"/>
          <w:color w:val="111111"/>
          <w:sz w:val="28"/>
          <w:szCs w:val="28"/>
          <w:rtl/>
        </w:rPr>
        <w:t xml:space="preserve">الحبيب، ج2، ص833.</w:t>
      </w:r>
    </w:p>
    <w:p>
      <w:pPr>
        <w:pStyle w:val="BookText"/>
      </w:pPr>
      <w:r>
        <w:rPr>
          <w:rFonts w:ascii="Amiri" w:hAnsi="Amiri" w:eastAsia="Amiri" w:cs="Amiri"/>
          <w:lang w:bidi="ar-SA"/>
          <w:color w:val="111111"/>
          <w:sz w:val="28"/>
          <w:szCs w:val="28"/>
          <w:rtl/>
        </w:rPr>
        <w:t xml:space="preserve">40 .انيس الجليس، ج 3، ص 34.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الباحة في السباحة، ج3، ص 176.</w:t>
      </w:r>
    </w:p>
    <w:p>
      <w:pPr>
        <w:pStyle w:val="BookText"/>
      </w:pPr>
      <w:r>
        <w:rPr>
          <w:rFonts w:ascii="Amiri" w:hAnsi="Amiri" w:eastAsia="Amiri" w:cs="Amiri"/>
          <w:lang w:bidi="ar-SA"/>
          <w:color w:val="111111"/>
          <w:sz w:val="28"/>
          <w:szCs w:val="28"/>
          <w:rtl/>
        </w:rPr>
        <w:t xml:space="preserve">42 .البحر الذي زخر في شرح الفية</w:t>
      </w:r>
    </w:p>
    <w:p>
      <w:pPr>
        <w:pStyle w:val="BookText"/>
      </w:pPr>
      <w:r>
        <w:rPr>
          <w:rFonts w:ascii="IRNazanin" w:hAnsi="IRNazanin" w:eastAsia="IRNazanin" w:cs="IRNazanin"/>
          <w:lang w:bidi="fa-IR"/>
          <w:color w:val="111111"/>
          <w:sz w:val="28"/>
          <w:szCs w:val="28"/>
          <w:rtl/>
        </w:rPr>
        <w:t xml:space="preserve">الأثر، ج 3، ص 205.</w:t>
      </w:r>
    </w:p>
    <w:p>
      <w:pPr>
        <w:pStyle w:val="BookText"/>
      </w:pPr>
      <w:r>
        <w:rPr>
          <w:rFonts w:ascii="Amiri" w:hAnsi="Amiri" w:eastAsia="Amiri" w:cs="Amiri"/>
          <w:lang w:bidi="ar-SA"/>
          <w:color w:val="111111"/>
          <w:sz w:val="28"/>
          <w:szCs w:val="28"/>
          <w:rtl/>
        </w:rPr>
        <w:t xml:space="preserve">43 .البدور السافرة في امور الآخرة</w:t>
      </w:r>
    </w:p>
    <w:p>
      <w:pPr>
        <w:pStyle w:val="BookText"/>
      </w:pPr>
      <w:r>
        <w:rPr>
          <w:rFonts w:ascii="IRNazanin" w:hAnsi="IRNazanin" w:eastAsia="IRNazanin" w:cs="IRNazanin"/>
          <w:lang w:bidi="fa-IR"/>
          <w:color w:val="111111"/>
          <w:sz w:val="28"/>
          <w:szCs w:val="28"/>
          <w:rtl/>
        </w:rPr>
        <w:t xml:space="preserve">ج 3، ص 272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بديعية مع شرحها، ج3، ص291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بذل الهمة في طلب براءة الذمة</w:t>
      </w:r>
    </w:p>
    <w:p>
      <w:pPr>
        <w:pStyle w:val="BookText"/>
      </w:pPr>
      <w:r>
        <w:rPr>
          <w:rFonts w:ascii="IRNazanin" w:hAnsi="IRNazanin" w:eastAsia="IRNazanin" w:cs="IRNazanin"/>
          <w:lang w:bidi="fa-IR"/>
          <w:color w:val="111111"/>
          <w:sz w:val="28"/>
          <w:szCs w:val="28"/>
          <w:rtl/>
        </w:rPr>
        <w:t xml:space="preserve">ج 3، ص 293.</w:t>
      </w:r>
    </w:p>
    <w:p>
      <w:pPr>
        <w:pStyle w:val="BookText"/>
      </w:pPr>
      <w:r>
        <w:rPr>
          <w:rFonts w:ascii="Amiri" w:hAnsi="Amiri" w:eastAsia="Amiri" w:cs="Amiri"/>
          <w:lang w:bidi="ar-SA"/>
          <w:color w:val="111111"/>
          <w:sz w:val="28"/>
          <w:szCs w:val="28"/>
          <w:rtl/>
        </w:rPr>
        <w:t xml:space="preserve">46 .برد الظلال في تكرير السؤال، ج3،</w:t>
      </w:r>
    </w:p>
    <w:p>
      <w:pPr>
        <w:pStyle w:val="BookText"/>
      </w:pPr>
      <w:r>
        <w:rPr>
          <w:rFonts w:ascii="IRNazanin" w:hAnsi="IRNazanin" w:eastAsia="IRNazanin" w:cs="IRNazanin"/>
          <w:lang w:bidi="fa-IR"/>
          <w:color w:val="111111"/>
          <w:sz w:val="28"/>
          <w:szCs w:val="28"/>
          <w:rtl/>
        </w:rPr>
        <w:t xml:space="preserve">ص 301.</w:t>
      </w:r>
    </w:p>
    <w:p>
      <w:pPr>
        <w:pStyle w:val="BookText"/>
      </w:pPr>
      <w:r>
        <w:rPr>
          <w:rFonts w:ascii="Amiri" w:hAnsi="Amiri" w:eastAsia="Amiri" w:cs="Amiri"/>
          <w:lang w:bidi="ar-SA"/>
          <w:color w:val="111111"/>
          <w:sz w:val="28"/>
          <w:szCs w:val="28"/>
          <w:rtl/>
        </w:rPr>
        <w:t xml:space="preserve">47 .البرق الوامض في شرح يائية ابن</w:t>
      </w:r>
    </w:p>
    <w:p>
      <w:pPr>
        <w:pStyle w:val="BookText"/>
      </w:pPr>
      <w:r>
        <w:rPr>
          <w:rFonts w:ascii="IRNazanin" w:hAnsi="IRNazanin" w:eastAsia="IRNazanin" w:cs="IRNazanin"/>
          <w:lang w:bidi="fa-IR"/>
          <w:color w:val="111111"/>
          <w:sz w:val="28"/>
          <w:szCs w:val="28"/>
          <w:rtl/>
        </w:rPr>
        <w:t xml:space="preserve">الفارض، ج 3، ص303</w:t>
      </w:r>
    </w:p>
    <w:p>
      <w:pPr>
        <w:pStyle w:val="BookText"/>
      </w:pPr>
      <w:r>
        <w:rPr>
          <w:rFonts w:ascii="Amiri" w:hAnsi="Amiri" w:eastAsia="Amiri" w:cs="Amiri"/>
          <w:lang w:bidi="ar-SA"/>
          <w:color w:val="111111"/>
          <w:sz w:val="28"/>
          <w:szCs w:val="28"/>
          <w:rtl/>
        </w:rPr>
        <w:t xml:space="preserve">48 .بزوغ الهلال في الخصال الموجبة</w:t>
      </w:r>
    </w:p>
    <w:p>
      <w:pPr>
        <w:pStyle w:val="BookText"/>
      </w:pPr>
      <w:r>
        <w:rPr>
          <w:rFonts w:ascii="IRNazanin" w:hAnsi="IRNazanin" w:eastAsia="IRNazanin" w:cs="IRNazanin"/>
          <w:lang w:bidi="fa-IR"/>
          <w:color w:val="111111"/>
          <w:sz w:val="28"/>
          <w:szCs w:val="28"/>
          <w:rtl/>
        </w:rPr>
        <w:t xml:space="preserve">للظلال، ج3، ص321.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.البسملة = ميزان المعدلة في شأن</w:t>
      </w:r>
    </w:p>
    <w:p>
      <w:pPr>
        <w:pStyle w:val="BookText"/>
      </w:pPr>
      <w:r>
        <w:rPr>
          <w:rFonts w:ascii="Amiri" w:hAnsi="Amiri" w:eastAsia="Amiri" w:cs="Amiri"/>
          <w:lang w:bidi="ar-SA"/>
          <w:color w:val="111111"/>
          <w:sz w:val="28"/>
          <w:szCs w:val="28"/>
          <w:rtl/>
        </w:rPr>
        <w:t xml:space="preserve">البسملة، ج3، ص331</w:t>
      </w:r>
    </w:p>
    <w:p>
      <w:pPr>
        <w:pStyle w:val="BookText"/>
      </w:pPr>
      <w:r>
        <w:rPr>
          <w:rFonts w:ascii="Amiri" w:hAnsi="Amiri" w:eastAsia="Amiri" w:cs="Amiri"/>
          <w:lang w:bidi="ar-SA"/>
          <w:color w:val="111111"/>
          <w:sz w:val="28"/>
          <w:szCs w:val="28"/>
          <w:rtl/>
        </w:rPr>
        <w:t xml:space="preserve">50.بشرى الكتيب بلقاء الحبيب، ج 3،</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Amiri" w:hAnsi="Amiri" w:eastAsia="Amiri" w:cs="Amiri"/>
          <w:lang w:bidi="ar-SA"/>
          <w:color w:val="111111"/>
          <w:sz w:val="28"/>
          <w:szCs w:val="28"/>
          <w:rtl/>
        </w:rPr>
        <w:t xml:space="preserve">51 .بغية الوعاة في طبقات اللغويين و</w:t>
      </w:r>
    </w:p>
    <w:p>
      <w:pPr>
        <w:pStyle w:val="BookText"/>
      </w:pPr>
      <w:r>
        <w:rPr>
          <w:rFonts w:ascii="Amiri" w:hAnsi="Amiri" w:eastAsia="Amiri" w:cs="Amiri"/>
          <w:lang w:bidi="ar-SA"/>
          <w:color w:val="111111"/>
          <w:sz w:val="28"/>
          <w:szCs w:val="28"/>
          <w:rtl/>
        </w:rPr>
        <w:t xml:space="preserve">النحاة، ج3، ص378.</w:t>
      </w:r>
    </w:p>
    <w:p>
      <w:pPr>
        <w:pStyle w:val="BookText"/>
      </w:pPr>
      <w:r>
        <w:rPr>
          <w:rFonts w:ascii="Amiri" w:hAnsi="Amiri" w:eastAsia="Amiri" w:cs="Amiri"/>
          <w:lang w:bidi="ar-SA"/>
          <w:color w:val="111111"/>
          <w:sz w:val="28"/>
          <w:szCs w:val="28"/>
          <w:rtl/>
        </w:rPr>
        <w:t xml:space="preserve">52 .بقية المستفيد في علم التجويد</w:t>
      </w:r>
    </w:p>
    <w:p>
      <w:pPr>
        <w:pStyle w:val="BookText"/>
      </w:pPr>
      <w:r>
        <w:rPr>
          <w:rFonts w:ascii="IRNazanin" w:hAnsi="IRNazanin" w:eastAsia="IRNazanin" w:cs="IRNazanin"/>
          <w:lang w:bidi="fa-IR"/>
          <w:color w:val="111111"/>
          <w:sz w:val="28"/>
          <w:szCs w:val="28"/>
          <w:rtl/>
        </w:rPr>
        <w:t xml:space="preserve">ج 3، ص381</w:t>
      </w:r>
    </w:p>
    <w:p>
      <w:pPr>
        <w:pStyle w:val="BookText"/>
      </w:pPr>
      <w:r>
        <w:rPr>
          <w:rFonts w:ascii="Amiri" w:hAnsi="Amiri" w:eastAsia="Amiri" w:cs="Amiri"/>
          <w:lang w:bidi="ar-SA"/>
          <w:color w:val="111111"/>
          <w:sz w:val="28"/>
          <w:szCs w:val="28"/>
          <w:rtl/>
        </w:rPr>
        <w:t xml:space="preserve">53 .بلوغ المآرب في قص الشوارب، ج 3،</w:t>
      </w:r>
    </w:p>
    <w:p>
      <w:pPr>
        <w:pStyle w:val="BookText"/>
      </w:pPr>
      <w:r>
        <w:rPr>
          <w:rFonts w:ascii="IRNazanin" w:hAnsi="IRNazanin" w:eastAsia="IRNazanin" w:cs="IRNazanin"/>
          <w:lang w:bidi="fa-IR"/>
          <w:color w:val="111111"/>
          <w:sz w:val="28"/>
          <w:szCs w:val="28"/>
          <w:rtl/>
        </w:rPr>
        <w:t xml:space="preserve">ص 400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البهجة المرضية في شرح الالفية شرح الفية ابن مالك = شرح الخلاصة في النحو، ج 3، ص 425.</w:t>
      </w:r>
    </w:p>
    <w:p>
      <w:pPr>
        <w:pStyle w:val="BookText"/>
      </w:pPr>
      <w:r>
        <w:rPr>
          <w:rFonts w:ascii="Amiri" w:hAnsi="Amiri" w:eastAsia="Amiri" w:cs="Amiri"/>
          <w:lang w:bidi="ar-SA"/>
          <w:color w:val="111111"/>
          <w:sz w:val="28"/>
          <w:szCs w:val="28"/>
          <w:rtl/>
        </w:rPr>
        <w:t xml:space="preserve">55 .تاريخ الخلفاء، ج 3، ص 567.</w:t>
      </w:r>
    </w:p>
    <w:p>
      <w:pPr>
        <w:pStyle w:val="BookText"/>
      </w:pPr>
      <w:r>
        <w:rPr>
          <w:rFonts w:ascii="Amiri" w:hAnsi="Amiri" w:eastAsia="Amiri" w:cs="Amiri"/>
          <w:lang w:bidi="ar-SA"/>
          <w:color w:val="111111"/>
          <w:sz w:val="28"/>
          <w:szCs w:val="28"/>
          <w:rtl/>
        </w:rPr>
        <w:t xml:space="preserve">56 .التبري من معرة المعري، ج 3،</w:t>
      </w:r>
    </w:p>
    <w:p>
      <w:pPr>
        <w:pStyle w:val="BookText"/>
      </w:pPr>
      <w:r>
        <w:rPr>
          <w:rFonts w:ascii="IRNazanin" w:hAnsi="IRNazanin" w:eastAsia="IRNazanin" w:cs="IRNazanin"/>
          <w:lang w:bidi="fa-IR"/>
          <w:color w:val="111111"/>
          <w:sz w:val="28"/>
          <w:szCs w:val="28"/>
          <w:rtl/>
        </w:rPr>
        <w:t xml:space="preserve">ص 634 .</w:t>
      </w:r>
    </w:p>
    <w:p>
      <w:pPr>
        <w:pStyle w:val="BookText"/>
      </w:pPr>
      <w:r>
        <w:rPr>
          <w:rFonts w:ascii="Amiri" w:hAnsi="Amiri" w:eastAsia="Amiri" w:cs="Amiri"/>
          <w:lang w:bidi="ar-SA"/>
          <w:color w:val="111111"/>
          <w:sz w:val="28"/>
          <w:szCs w:val="28"/>
          <w:rtl/>
        </w:rPr>
        <w:t xml:space="preserve">57 .تبييض الصحيفة في مناقب ابي</w:t>
      </w:r>
    </w:p>
    <w:p>
      <w:pPr>
        <w:pStyle w:val="BookText"/>
      </w:pPr>
      <w:r>
        <w:rPr>
          <w:rFonts w:ascii="Amiri" w:hAnsi="Amiri" w:eastAsia="Amiri" w:cs="Amiri"/>
          <w:lang w:bidi="ar-SA"/>
          <w:color w:val="111111"/>
          <w:sz w:val="28"/>
          <w:szCs w:val="28"/>
          <w:rtl/>
        </w:rPr>
        <w:t xml:space="preserve">حنيفة، ج 3، ص 663.</w:t>
      </w:r>
    </w:p>
    <w:p>
      <w:pPr>
        <w:pStyle w:val="BookText"/>
      </w:pPr>
      <w:r>
        <w:rPr>
          <w:rFonts w:ascii="Amiri" w:hAnsi="Amiri" w:eastAsia="Amiri" w:cs="Amiri"/>
          <w:lang w:bidi="ar-SA"/>
          <w:color w:val="111111"/>
          <w:sz w:val="28"/>
          <w:szCs w:val="28"/>
          <w:rtl/>
        </w:rPr>
        <w:t xml:space="preserve">58 .التثبيت عند التبييت - سؤال القبر</w:t>
      </w:r>
    </w:p>
    <w:p>
      <w:pPr>
        <w:pStyle w:val="BookText"/>
      </w:pPr>
      <w:r>
        <w:rPr>
          <w:rFonts w:ascii="Amiri" w:hAnsi="Amiri" w:eastAsia="Amiri" w:cs="Amiri"/>
          <w:lang w:bidi="ar-SA"/>
          <w:color w:val="111111"/>
          <w:sz w:val="28"/>
          <w:szCs w:val="28"/>
          <w:rtl/>
        </w:rPr>
        <w:t xml:space="preserve">(ارجوزة) - فتنة المقبور =</w:t>
      </w:r>
    </w:p>
    <w:p>
      <w:pPr>
        <w:pStyle w:val="BookText"/>
      </w:pPr>
      <w:r>
        <w:rPr>
          <w:rFonts w:ascii="Amiri" w:hAnsi="Amiri" w:eastAsia="Amiri" w:cs="Amiri"/>
          <w:lang w:bidi="ar-SA"/>
          <w:color w:val="111111"/>
          <w:sz w:val="28"/>
          <w:szCs w:val="28"/>
          <w:rtl/>
        </w:rPr>
        <w:t xml:space="preserve">التبصرة، ج3، ص 678.</w:t>
      </w:r>
    </w:p>
    <w:p>
      <w:pPr>
        <w:pStyle w:val="BookText"/>
      </w:pPr>
      <w:r>
        <w:rPr>
          <w:rFonts w:ascii="Amiri" w:hAnsi="Amiri" w:eastAsia="Amiri" w:cs="Amiri"/>
          <w:lang w:bidi="ar-SA"/>
          <w:color w:val="111111"/>
          <w:sz w:val="28"/>
          <w:szCs w:val="28"/>
          <w:rtl/>
        </w:rPr>
        <w:t xml:space="preserve">59 .تجريد الفوائد المتكاثرة في الاخبار</w:t>
      </w:r>
    </w:p>
    <w:p>
      <w:pPr>
        <w:pStyle w:val="BookText"/>
      </w:pPr>
      <w:r>
        <w:rPr>
          <w:rFonts w:ascii="Amiri" w:hAnsi="Amiri" w:eastAsia="Amiri" w:cs="Amiri"/>
          <w:lang w:bidi="ar-SA"/>
          <w:color w:val="111111"/>
          <w:sz w:val="28"/>
          <w:szCs w:val="28"/>
          <w:rtl/>
        </w:rPr>
        <w:t xml:space="preserve">المتواترة، ج 3، ص 690.</w:t>
      </w:r>
    </w:p>
    <w:p>
      <w:pPr>
        <w:pStyle w:val="BookText"/>
      </w:pPr>
      <w:r>
        <w:rPr>
          <w:rFonts w:ascii="Amiri" w:hAnsi="Amiri" w:eastAsia="Amiri" w:cs="Amiri"/>
          <w:lang w:bidi="ar-SA"/>
          <w:color w:val="111111"/>
          <w:sz w:val="28"/>
          <w:szCs w:val="28"/>
          <w:rtl/>
        </w:rPr>
        <w:t xml:space="preserve">60 . التجويد (رسالة في)، ج 3، ص 698.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التحبير لعلوم التفسير، ج 3،</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Amiri" w:hAnsi="Amiri" w:eastAsia="Amiri" w:cs="Amiri"/>
          <w:lang w:bidi="ar-SA"/>
          <w:color w:val="111111"/>
          <w:sz w:val="28"/>
          <w:szCs w:val="28"/>
          <w:rtl/>
        </w:rPr>
        <w:t xml:space="preserve">62 .تحذير اهل الآخرة من دار الدنيا</w:t>
      </w:r>
    </w:p>
    <w:p>
      <w:pPr>
        <w:pStyle w:val="BookText"/>
      </w:pPr>
      <w:r>
        <w:rPr>
          <w:rFonts w:ascii="Amiri" w:hAnsi="Amiri" w:eastAsia="Amiri" w:cs="Amiri"/>
          <w:lang w:bidi="ar-SA"/>
          <w:color w:val="111111"/>
          <w:sz w:val="28"/>
          <w:szCs w:val="28"/>
          <w:rtl/>
        </w:rPr>
        <w:t xml:space="preserve">الدائرة، ج 3، ص 724.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تحفة الانجاب بمسألة السنجاب</w:t>
      </w:r>
    </w:p>
    <w:p>
      <w:pPr>
        <w:pStyle w:val="BookText"/>
      </w:pPr>
      <w:r>
        <w:rPr>
          <w:rFonts w:ascii="IRNazanin" w:hAnsi="IRNazanin" w:eastAsia="IRNazanin" w:cs="IRNazanin"/>
          <w:lang w:bidi="fa-IR"/>
          <w:color w:val="111111"/>
          <w:sz w:val="28"/>
          <w:szCs w:val="28"/>
          <w:rtl/>
        </w:rPr>
        <w:t xml:space="preserve">ج 3، ص 810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تحفة الجلساء في رؤية الله للنساء،</w:t>
      </w:r>
    </w:p>
    <w:p>
      <w:pPr>
        <w:pStyle w:val="BookText"/>
      </w:pPr>
      <w:r>
        <w:rPr>
          <w:rFonts w:ascii="IRNazanin" w:hAnsi="IRNazanin" w:eastAsia="IRNazanin" w:cs="IRNazanin"/>
          <w:lang w:bidi="fa-IR"/>
          <w:color w:val="111111"/>
          <w:sz w:val="28"/>
          <w:szCs w:val="28"/>
          <w:rtl/>
        </w:rPr>
        <w:t xml:space="preserve">ج 3، ص 818.</w:t>
      </w:r>
    </w:p>
    <w:p>
      <w:pPr>
        <w:pStyle w:val="BookText"/>
      </w:pPr>
      <w:r>
        <w:rPr>
          <w:rFonts w:ascii="Amiri" w:hAnsi="Amiri" w:eastAsia="Amiri" w:cs="Amiri"/>
          <w:lang w:bidi="ar-SA"/>
          <w:color w:val="111111"/>
          <w:sz w:val="28"/>
          <w:szCs w:val="28"/>
          <w:rtl/>
        </w:rPr>
        <w:t xml:space="preserve">65 .تحفة العجلان في فضل عثمان.</w:t>
      </w:r>
    </w:p>
    <w:p>
      <w:pPr>
        <w:pStyle w:val="BookText"/>
      </w:pPr>
      <w:r>
        <w:rPr>
          <w:rFonts w:ascii="IRNazanin" w:hAnsi="IRNazanin" w:eastAsia="IRNazanin" w:cs="IRNazanin"/>
          <w:lang w:bidi="fa-IR"/>
          <w:color w:val="111111"/>
          <w:sz w:val="28"/>
          <w:szCs w:val="28"/>
          <w:rtl/>
        </w:rPr>
        <w:t xml:space="preserve">ج 3، ص 867.</w:t>
      </w:r>
    </w:p>
    <w:p>
      <w:pPr>
        <w:pStyle w:val="BookText"/>
      </w:pPr>
      <w:r>
        <w:rPr>
          <w:rFonts w:ascii="Amiri" w:hAnsi="Amiri" w:eastAsia="Amiri" w:cs="Amiri"/>
          <w:lang w:bidi="ar-SA"/>
          <w:color w:val="111111"/>
          <w:sz w:val="28"/>
          <w:szCs w:val="28"/>
          <w:rtl/>
        </w:rPr>
        <w:t xml:space="preserve">66 .تحفة الكرام في اخبار الاهرام جع،</w:t>
      </w:r>
    </w:p>
    <w:p>
      <w:pPr>
        <w:pStyle w:val="BookText"/>
      </w:pPr>
      <w:r>
        <w:rPr>
          <w:rFonts w:ascii="IRNazanin" w:hAnsi="IRNazanin" w:eastAsia="IRNazanin" w:cs="IRNazanin"/>
          <w:lang w:bidi="fa-IR"/>
          <w:color w:val="111111"/>
          <w:sz w:val="28"/>
          <w:szCs w:val="28"/>
          <w:rtl/>
        </w:rPr>
        <w:t xml:space="preserve">ص 1.</w:t>
      </w:r>
    </w:p>
    <w:p>
      <w:pPr>
        <w:pStyle w:val="BookText"/>
      </w:pPr>
      <w:r>
        <w:rPr>
          <w:rFonts w:ascii="Amiri" w:hAnsi="Amiri" w:eastAsia="Amiri" w:cs="Amiri"/>
          <w:lang w:bidi="ar-SA"/>
          <w:color w:val="111111"/>
          <w:sz w:val="28"/>
          <w:szCs w:val="28"/>
          <w:rtl/>
        </w:rPr>
        <w:t xml:space="preserve">67 .تحفة المجتهدين باسماء</w:t>
      </w:r>
    </w:p>
    <w:p>
      <w:pPr>
        <w:pStyle w:val="BookText"/>
      </w:pPr>
      <w:r>
        <w:rPr>
          <w:rFonts w:ascii="Amiri" w:hAnsi="Amiri" w:eastAsia="Amiri" w:cs="Amiri"/>
          <w:lang w:bidi="ar-SA"/>
          <w:color w:val="111111"/>
          <w:sz w:val="28"/>
          <w:szCs w:val="28"/>
          <w:rtl/>
        </w:rPr>
        <w:t xml:space="preserve">المجددين، ج4، ص 9.</w:t>
      </w:r>
    </w:p>
    <w:p>
      <w:pPr>
        <w:pStyle w:val="BookText"/>
      </w:pPr>
      <w:r>
        <w:rPr>
          <w:rFonts w:ascii="IRNazanin" w:hAnsi="IRNazanin" w:eastAsia="IRNazanin" w:cs="IRNazanin"/>
          <w:lang w:bidi="fa-IR"/>
          <w:color w:val="111111"/>
          <w:sz w:val="28"/>
          <w:szCs w:val="28"/>
          <w:rtl/>
        </w:rPr>
        <w:t xml:space="preserve">68 .تحقیقات تراثية، ج 4، ص 47.</w:t>
      </w:r>
    </w:p>
    <w:p>
      <w:pPr>
        <w:pStyle w:val="BookText"/>
      </w:pPr>
      <w:r>
        <w:rPr>
          <w:rFonts w:ascii="Amiri" w:hAnsi="Amiri" w:eastAsia="Amiri" w:cs="Amiri"/>
          <w:lang w:bidi="ar-SA"/>
          <w:color w:val="111111"/>
          <w:sz w:val="28"/>
          <w:szCs w:val="28"/>
          <w:rtl/>
        </w:rPr>
        <w:t xml:space="preserve">69 . تخريج احاديث شرح العقائد</w:t>
      </w:r>
    </w:p>
    <w:p>
      <w:pPr>
        <w:pStyle w:val="BookText"/>
      </w:pPr>
      <w:r>
        <w:rPr>
          <w:rFonts w:ascii="Amiri" w:hAnsi="Amiri" w:eastAsia="Amiri" w:cs="Amiri"/>
          <w:lang w:bidi="ar-SA"/>
          <w:color w:val="111111"/>
          <w:sz w:val="28"/>
          <w:szCs w:val="28"/>
          <w:rtl/>
        </w:rPr>
        <w:t xml:space="preserve">النسفية، ج 4، ص 95.</w:t>
      </w:r>
    </w:p>
    <w:p>
      <w:pPr>
        <w:pStyle w:val="BookText"/>
      </w:pPr>
      <w:r>
        <w:rPr>
          <w:rFonts w:ascii="IRNazanin" w:hAnsi="IRNazanin" w:eastAsia="IRNazanin" w:cs="IRNazanin"/>
          <w:lang w:bidi="fa-IR"/>
          <w:color w:val="111111"/>
          <w:sz w:val="28"/>
          <w:szCs w:val="28"/>
          <w:rtl/>
        </w:rPr>
        <w:t xml:space="preserve">70 .تخریج احادیث شرح المواقف</w:t>
      </w:r>
    </w:p>
    <w:p>
      <w:pPr>
        <w:pStyle w:val="BookText"/>
      </w:pPr>
      <w:r>
        <w:rPr>
          <w:rFonts w:ascii="IRNazanin" w:hAnsi="IRNazanin" w:eastAsia="IRNazanin" w:cs="IRNazanin"/>
          <w:lang w:bidi="fa-IR"/>
          <w:color w:val="111111"/>
          <w:sz w:val="28"/>
          <w:szCs w:val="28"/>
          <w:rtl/>
        </w:rPr>
        <w:t xml:space="preserve">ج 4، ص 96.</w:t>
      </w:r>
    </w:p>
    <w:p>
      <w:pPr>
        <w:pStyle w:val="BookText"/>
      </w:pPr>
      <w:r>
        <w:rPr>
          <w:rFonts w:ascii="Amiri" w:hAnsi="Amiri" w:eastAsia="Amiri" w:cs="Amiri"/>
          <w:lang w:bidi="ar-SA"/>
          <w:color w:val="111111"/>
          <w:sz w:val="28"/>
          <w:szCs w:val="28"/>
          <w:rtl/>
        </w:rPr>
        <w:t xml:space="preserve">71 .تدريب الراوي في شرح تقريب</w:t>
      </w:r>
    </w:p>
    <w:p>
      <w:pPr>
        <w:pStyle w:val="BookText"/>
      </w:pPr>
      <w:r>
        <w:rPr>
          <w:rFonts w:ascii="Amiri" w:hAnsi="Amiri" w:eastAsia="Amiri" w:cs="Amiri"/>
          <w:lang w:bidi="ar-SA"/>
          <w:color w:val="111111"/>
          <w:sz w:val="28"/>
          <w:szCs w:val="28"/>
          <w:rtl/>
        </w:rPr>
        <w:t xml:space="preserve">النواوي، ج4، ص 169.</w:t>
      </w:r>
    </w:p>
    <w:p>
      <w:pPr>
        <w:pStyle w:val="BookText"/>
      </w:pPr>
      <w:r>
        <w:rPr>
          <w:rFonts w:ascii="Amiri" w:hAnsi="Amiri" w:eastAsia="Amiri" w:cs="Amiri"/>
          <w:lang w:bidi="ar-SA"/>
          <w:color w:val="111111"/>
          <w:sz w:val="28"/>
          <w:szCs w:val="28"/>
          <w:rtl/>
        </w:rPr>
        <w:t xml:space="preserve">72 .التذييل و التذنيب على نهاية</w:t>
      </w:r>
    </w:p>
    <w:p>
      <w:pPr>
        <w:pStyle w:val="BookText"/>
      </w:pPr>
      <w:r>
        <w:rPr>
          <w:rFonts w:ascii="Amiri" w:hAnsi="Amiri" w:eastAsia="Amiri" w:cs="Amiri"/>
          <w:lang w:bidi="ar-SA"/>
          <w:color w:val="111111"/>
          <w:sz w:val="28"/>
          <w:szCs w:val="28"/>
          <w:rtl/>
        </w:rPr>
        <w:t xml:space="preserve">الغريب، ج 4، ص222.</w:t>
      </w:r>
    </w:p>
    <w:p>
      <w:pPr>
        <w:pStyle w:val="BookText"/>
      </w:pPr>
      <w:r>
        <w:rPr>
          <w:rFonts w:ascii="Amiri" w:hAnsi="Amiri" w:eastAsia="Amiri" w:cs="Amiri"/>
          <w:lang w:bidi="ar-SA"/>
          <w:color w:val="111111"/>
          <w:sz w:val="28"/>
          <w:szCs w:val="28"/>
          <w:rtl/>
        </w:rPr>
        <w:t xml:space="preserve">73 .تزيين الارائك في ارسال النبي إلى الملائك = الارائك في احكام الملائك</w:t>
      </w:r>
    </w:p>
    <w:p>
      <w:pPr>
        <w:pStyle w:val="BookText"/>
      </w:pPr>
      <w:r>
        <w:rPr>
          <w:rFonts w:ascii="IRNazanin" w:hAnsi="IRNazanin" w:eastAsia="IRNazanin" w:cs="IRNazanin"/>
          <w:lang w:bidi="fa-IR"/>
          <w:color w:val="111111"/>
          <w:sz w:val="28"/>
          <w:szCs w:val="28"/>
          <w:rtl/>
        </w:rPr>
        <w:t xml:space="preserve">ج 4، ص 325.</w:t>
      </w:r>
    </w:p>
    <w:p>
      <w:pPr>
        <w:pStyle w:val="BookText"/>
      </w:pPr>
      <w:r>
        <w:rPr>
          <w:rFonts w:ascii="Amiri" w:hAnsi="Amiri" w:eastAsia="Amiri" w:cs="Amiri"/>
          <w:lang w:bidi="ar-SA"/>
          <w:color w:val="111111"/>
          <w:sz w:val="28"/>
          <w:szCs w:val="28"/>
          <w:rtl/>
        </w:rPr>
        <w:t xml:space="preserve">74 .التصحيح لصلاة التسبيح، ج 4،</w:t>
      </w:r>
    </w:p>
    <w:p>
      <w:pPr>
        <w:pStyle w:val="BookText"/>
      </w:pPr>
      <w:r>
        <w:rPr>
          <w:rFonts w:ascii="IRNazanin" w:hAnsi="IRNazanin" w:eastAsia="IRNazanin" w:cs="IRNazanin"/>
          <w:lang w:bidi="fa-IR"/>
          <w:color w:val="111111"/>
          <w:sz w:val="28"/>
          <w:szCs w:val="28"/>
          <w:rtl/>
        </w:rPr>
        <w:t xml:space="preserve">ص 399.</w:t>
      </w:r>
    </w:p>
    <w:p>
      <w:pPr>
        <w:pStyle w:val="BookText"/>
      </w:pPr>
      <w:r>
        <w:rPr>
          <w:rFonts w:ascii="Amiri" w:hAnsi="Amiri" w:eastAsia="Amiri" w:cs="Amiri"/>
          <w:lang w:bidi="ar-SA"/>
          <w:color w:val="111111"/>
          <w:sz w:val="28"/>
          <w:szCs w:val="28"/>
          <w:rtl/>
        </w:rPr>
        <w:t xml:space="preserve">75.التصوف و ما يعملها الصوفيه من</w:t>
      </w:r>
    </w:p>
    <w:p>
      <w:pPr>
        <w:pStyle w:val="BookText"/>
      </w:pPr>
      <w:r>
        <w:rPr>
          <w:rFonts w:ascii="Amiri" w:hAnsi="Amiri" w:eastAsia="Amiri" w:cs="Amiri"/>
          <w:lang w:bidi="ar-SA"/>
          <w:color w:val="111111"/>
          <w:sz w:val="28"/>
          <w:szCs w:val="28"/>
          <w:rtl/>
        </w:rPr>
        <w:t xml:space="preserve">الرفض والرقص و الطرب (رسالة</w:t>
      </w:r>
    </w:p>
    <w:p>
      <w:pPr>
        <w:pStyle w:val="BookText"/>
      </w:pPr>
      <w:r>
        <w:rPr>
          <w:rFonts w:ascii="Amiri" w:hAnsi="Amiri" w:eastAsia="Amiri" w:cs="Amiri"/>
          <w:lang w:bidi="ar-SA"/>
          <w:color w:val="111111"/>
          <w:sz w:val="28"/>
          <w:szCs w:val="28"/>
          <w:rtl/>
        </w:rPr>
        <w:t xml:space="preserve">في)، ج 4، ص 441 .</w:t>
      </w:r>
    </w:p>
    <w:p>
      <w:pPr>
        <w:pStyle w:val="BookText"/>
      </w:pPr>
      <w:r>
        <w:rPr>
          <w:rFonts w:ascii="Amiri" w:hAnsi="Amiri" w:eastAsia="Amiri" w:cs="Amiri"/>
          <w:lang w:bidi="ar-SA"/>
          <w:color w:val="111111"/>
          <w:sz w:val="28"/>
          <w:szCs w:val="28"/>
          <w:rtl/>
        </w:rPr>
        <w:t xml:space="preserve">76.التعريف بآداب التأليف، ج 4،</w:t>
      </w:r>
    </w:p>
    <w:p>
      <w:pPr>
        <w:pStyle w:val="BookText"/>
      </w:pPr>
      <w:r>
        <w:rPr>
          <w:rFonts w:ascii="IRNazanin" w:hAnsi="IRNazanin" w:eastAsia="IRNazanin" w:cs="IRNazanin"/>
          <w:lang w:bidi="fa-IR"/>
          <w:color w:val="111111"/>
          <w:sz w:val="28"/>
          <w:szCs w:val="28"/>
          <w:rtl/>
        </w:rPr>
        <w:t xml:space="preserve">ص 475 .</w:t>
      </w:r>
    </w:p>
    <w:p>
      <w:pPr>
        <w:pStyle w:val="BookText"/>
      </w:pPr>
      <w:r>
        <w:rPr>
          <w:rFonts w:ascii="Amiri" w:hAnsi="Amiri" w:eastAsia="Amiri" w:cs="Amiri"/>
          <w:lang w:bidi="ar-SA"/>
          <w:color w:val="111111"/>
          <w:sz w:val="28"/>
          <w:szCs w:val="28"/>
          <w:rtl/>
        </w:rPr>
        <w:t xml:space="preserve">77 .التعظيم و المنة في ان ابوي النبي</w:t>
      </w:r>
    </w:p>
    <w:p>
      <w:pPr>
        <w:pStyle w:val="BookText"/>
      </w:pPr>
      <w:r>
        <w:rPr>
          <w:rFonts w:ascii="Amiri" w:hAnsi="Amiri" w:eastAsia="Amiri" w:cs="Amiri"/>
          <w:lang w:bidi="ar-SA"/>
          <w:color w:val="111111"/>
          <w:sz w:val="28"/>
          <w:szCs w:val="28"/>
          <w:rtl/>
        </w:rPr>
        <w:t xml:space="preserve">في الجنة - الدرر المنيفة في الاباء الشريفة = ايمان آباء النبي، ج 4،</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تفسير سور القرآن، ج 4، ص 645.</w:t>
      </w:r>
    </w:p>
    <w:p>
      <w:pPr>
        <w:pStyle w:val="BookText"/>
      </w:pPr>
      <w:r>
        <w:rPr>
          <w:rFonts w:ascii="Amiri" w:hAnsi="Amiri" w:eastAsia="Amiri" w:cs="Amiri"/>
          <w:lang w:bidi="ar-SA"/>
          <w:color w:val="111111"/>
          <w:sz w:val="28"/>
          <w:szCs w:val="28"/>
          <w:rtl/>
        </w:rPr>
        <w:t xml:space="preserve">79 .تناسق الدرر في تناسب السور</w:t>
      </w:r>
    </w:p>
    <w:p>
      <w:pPr>
        <w:pStyle w:val="BookText"/>
      </w:pPr>
      <w:r>
        <w:rPr>
          <w:rFonts w:ascii="IRNazanin" w:hAnsi="IRNazanin" w:eastAsia="IRNazanin" w:cs="IRNazanin"/>
          <w:lang w:bidi="fa-IR"/>
          <w:color w:val="111111"/>
          <w:sz w:val="28"/>
          <w:szCs w:val="28"/>
          <w:rtl/>
        </w:rPr>
        <w:t xml:space="preserve">ج 5، ص 12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تنزيه الأنبياء عن تسفيه الأغنياء</w:t>
      </w:r>
    </w:p>
    <w:p>
      <w:pPr>
        <w:pStyle w:val="BookText"/>
      </w:pPr>
      <w:r>
        <w:rPr>
          <w:rFonts w:ascii="IRNazanin" w:hAnsi="IRNazanin" w:eastAsia="IRNazanin" w:cs="IRNazanin"/>
          <w:lang w:bidi="fa-IR"/>
          <w:color w:val="111111"/>
          <w:sz w:val="28"/>
          <w:szCs w:val="28"/>
          <w:rtl/>
        </w:rPr>
        <w:t xml:space="preserve">ج 5، ص 53.</w:t>
      </w:r>
    </w:p>
    <w:p>
      <w:pPr>
        <w:pStyle w:val="BookText"/>
      </w:pPr>
      <w:r>
        <w:rPr>
          <w:rFonts w:ascii="Amiri" w:hAnsi="Amiri" w:eastAsia="Amiri" w:cs="Amiri"/>
          <w:lang w:bidi="ar-SA"/>
          <w:color w:val="111111"/>
          <w:sz w:val="28"/>
          <w:szCs w:val="28"/>
          <w:rtl/>
        </w:rPr>
        <w:t xml:space="preserve">81 .تنوير الحلك في امكان رؤية النبي</w:t>
      </w:r>
    </w:p>
    <w:p>
      <w:pPr>
        <w:pStyle w:val="BookText"/>
      </w:pPr>
      <w:r>
        <w:rPr>
          <w:rFonts w:ascii="Amiri" w:hAnsi="Amiri" w:eastAsia="Amiri" w:cs="Amiri"/>
          <w:lang w:bidi="ar-SA"/>
          <w:color w:val="111111"/>
          <w:sz w:val="28"/>
          <w:szCs w:val="28"/>
          <w:rtl/>
        </w:rPr>
        <w:t xml:space="preserve">و الملك، ج 5، ص 77.</w:t>
      </w:r>
    </w:p>
    <w:p>
      <w:pPr>
        <w:pStyle w:val="BookText"/>
      </w:pPr>
      <w:r>
        <w:rPr>
          <w:rFonts w:ascii="Amiri" w:hAnsi="Amiri" w:eastAsia="Amiri" w:cs="Amiri"/>
          <w:lang w:bidi="ar-SA"/>
          <w:color w:val="111111"/>
          <w:sz w:val="28"/>
          <w:szCs w:val="28"/>
          <w:rtl/>
        </w:rPr>
        <w:t xml:space="preserve">82 .التوشيح على جامع الصحيح</w:t>
      </w:r>
    </w:p>
    <w:p>
      <w:pPr>
        <w:pStyle w:val="BookText"/>
      </w:pPr>
      <w:r>
        <w:rPr>
          <w:rFonts w:ascii="Amiri" w:hAnsi="Amiri" w:eastAsia="Amiri" w:cs="Amiri"/>
          <w:lang w:bidi="ar-SA"/>
          <w:color w:val="111111"/>
          <w:sz w:val="28"/>
          <w:szCs w:val="28"/>
          <w:rtl/>
        </w:rPr>
        <w:t xml:space="preserve">للبخاري، ج 5، ص 163.</w:t>
      </w:r>
    </w:p>
    <w:p>
      <w:pPr>
        <w:pStyle w:val="BookText"/>
      </w:pPr>
      <w:r>
        <w:rPr>
          <w:rFonts w:ascii="Amiri" w:hAnsi="Amiri" w:eastAsia="Amiri" w:cs="Amiri"/>
          <w:lang w:bidi="ar-SA"/>
          <w:color w:val="111111"/>
          <w:sz w:val="28"/>
          <w:szCs w:val="28"/>
          <w:rtl/>
        </w:rPr>
        <w:t xml:space="preserve">83 .الثبوت في ضبط ألفاظ القنوت</w:t>
      </w:r>
    </w:p>
    <w:p>
      <w:pPr>
        <w:pStyle w:val="BookText"/>
      </w:pPr>
      <w:r>
        <w:rPr>
          <w:rFonts w:ascii="IRNazanin" w:hAnsi="IRNazanin" w:eastAsia="IRNazanin" w:cs="IRNazanin"/>
          <w:lang w:bidi="fa-IR"/>
          <w:color w:val="111111"/>
          <w:sz w:val="28"/>
          <w:szCs w:val="28"/>
          <w:rtl/>
        </w:rPr>
        <w:t xml:space="preserve">ج 5، ص 217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الثغور الباسمة في مناقب السيدة</w:t>
      </w:r>
    </w:p>
    <w:p>
      <w:pPr>
        <w:pStyle w:val="BookText"/>
      </w:pPr>
      <w:r>
        <w:rPr>
          <w:rFonts w:ascii="Amiri" w:hAnsi="Amiri" w:eastAsia="Amiri" w:cs="Amiri"/>
          <w:lang w:bidi="ar-SA"/>
          <w:color w:val="111111"/>
          <w:sz w:val="28"/>
          <w:szCs w:val="28"/>
          <w:rtl/>
        </w:rPr>
        <w:t xml:space="preserve">فاطمة، ج 5، ص218</w:t>
      </w:r>
    </w:p>
    <w:p>
      <w:pPr>
        <w:pStyle w:val="BookText"/>
      </w:pPr>
      <w:r>
        <w:rPr>
          <w:rFonts w:ascii="Amiri" w:hAnsi="Amiri" w:eastAsia="Amiri" w:cs="Amiri"/>
          <w:lang w:bidi="ar-SA"/>
          <w:color w:val="111111"/>
          <w:sz w:val="28"/>
          <w:szCs w:val="28"/>
          <w:rtl/>
        </w:rPr>
        <w:t xml:space="preserve">85 .ثلج الفؤاد في احاديث لبس</w:t>
      </w:r>
    </w:p>
    <w:p>
      <w:pPr>
        <w:pStyle w:val="BookText"/>
      </w:pPr>
      <w:r>
        <w:rPr>
          <w:rFonts w:ascii="IRNazanin" w:hAnsi="IRNazanin" w:eastAsia="IRNazanin" w:cs="IRNazanin"/>
          <w:lang w:bidi="fa-IR"/>
          <w:color w:val="111111"/>
          <w:sz w:val="28"/>
          <w:szCs w:val="28"/>
          <w:rtl/>
        </w:rPr>
        <w:t xml:space="preserve">السواد، ج 5، ص 223.</w:t>
      </w:r>
    </w:p>
    <w:p>
      <w:pPr>
        <w:pStyle w:val="BookText"/>
      </w:pPr>
      <w:r>
        <w:rPr>
          <w:rFonts w:ascii="Amiri" w:hAnsi="Amiri" w:eastAsia="Amiri" w:cs="Amiri"/>
          <w:lang w:bidi="ar-SA"/>
          <w:color w:val="111111"/>
          <w:sz w:val="28"/>
          <w:szCs w:val="28"/>
          <w:rtl/>
        </w:rPr>
        <w:t xml:space="preserve">86 .ثلج الفؤاد في احاديث لبس السواد (مختصر)، ج 5، ص 224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الجامع الصغير من حديث البشير</w:t>
      </w:r>
    </w:p>
    <w:p>
      <w:pPr>
        <w:pStyle w:val="BookText"/>
      </w:pPr>
      <w:r>
        <w:rPr>
          <w:rFonts w:ascii="Amiri" w:hAnsi="Amiri" w:eastAsia="Amiri" w:cs="Amiri"/>
          <w:lang w:bidi="ar-SA"/>
          <w:color w:val="111111"/>
          <w:sz w:val="28"/>
          <w:szCs w:val="28"/>
          <w:rtl/>
        </w:rPr>
        <w:t xml:space="preserve">النذير، ج 5، ص 297.</w:t>
      </w:r>
    </w:p>
    <w:p>
      <w:pPr>
        <w:pStyle w:val="BookText"/>
      </w:pPr>
      <w:r>
        <w:rPr>
          <w:rFonts w:ascii="Amiri" w:hAnsi="Amiri" w:eastAsia="Amiri" w:cs="Amiri"/>
          <w:lang w:bidi="ar-SA"/>
          <w:color w:val="111111"/>
          <w:sz w:val="28"/>
          <w:szCs w:val="28"/>
          <w:rtl/>
        </w:rPr>
        <w:t xml:space="preserve">88 .الجامع الكبير = جمع الجوامع</w:t>
      </w:r>
    </w:p>
    <w:p>
      <w:pPr>
        <w:pStyle w:val="BookText"/>
      </w:pPr>
      <w:r>
        <w:rPr>
          <w:rFonts w:ascii="IRNazanin" w:hAnsi="IRNazanin" w:eastAsia="IRNazanin" w:cs="IRNazanin"/>
          <w:lang w:bidi="fa-IR"/>
          <w:color w:val="111111"/>
          <w:sz w:val="28"/>
          <w:szCs w:val="28"/>
          <w:rtl/>
        </w:rPr>
        <w:t xml:space="preserve">ج 5، ص 317.</w:t>
      </w:r>
    </w:p>
    <w:p>
      <w:pPr>
        <w:pStyle w:val="BookText"/>
      </w:pPr>
      <w:r>
        <w:rPr>
          <w:rFonts w:ascii="Amiri" w:hAnsi="Amiri" w:eastAsia="Amiri" w:cs="Amiri"/>
          <w:lang w:bidi="ar-SA"/>
          <w:color w:val="111111"/>
          <w:sz w:val="28"/>
          <w:szCs w:val="28"/>
          <w:rtl/>
        </w:rPr>
        <w:t xml:space="preserve">89 .جزيل المواهب في اختلاف المذاهب، ج 5، ص 385.</w:t>
      </w:r>
    </w:p>
    <w:p>
      <w:pPr>
        <w:pStyle w:val="BookText"/>
      </w:pPr>
      <w:r>
        <w:rPr>
          <w:rFonts w:ascii="Amiri" w:hAnsi="Amiri" w:eastAsia="Amiri" w:cs="Amiri"/>
          <w:lang w:bidi="ar-SA"/>
          <w:color w:val="111111"/>
          <w:sz w:val="28"/>
          <w:szCs w:val="28"/>
          <w:rtl/>
        </w:rPr>
        <w:t xml:space="preserve">90 .الجهر والاسرار بالذكر والدعاء</w:t>
      </w:r>
    </w:p>
    <w:p>
      <w:pPr>
        <w:pStyle w:val="BookText"/>
      </w:pPr>
      <w:r>
        <w:rPr>
          <w:rFonts w:ascii="Amiri" w:hAnsi="Amiri" w:eastAsia="Amiri" w:cs="Amiri"/>
          <w:lang w:bidi="ar-SA"/>
          <w:color w:val="111111"/>
          <w:sz w:val="28"/>
          <w:szCs w:val="28"/>
          <w:rtl/>
        </w:rPr>
        <w:t xml:space="preserve">(رسالة في)، ج 5، ص 488.</w:t>
      </w:r>
    </w:p>
    <w:p>
      <w:pPr>
        <w:pStyle w:val="BookText"/>
      </w:pPr>
      <w:r>
        <w:rPr>
          <w:rFonts w:ascii="Amiri" w:hAnsi="Amiri" w:eastAsia="Amiri" w:cs="Amiri"/>
          <w:lang w:bidi="ar-SA"/>
          <w:color w:val="111111"/>
          <w:sz w:val="28"/>
          <w:szCs w:val="28"/>
          <w:rtl/>
        </w:rPr>
        <w:t xml:space="preserve">91 .جواهر الترصيع في انواع البديع</w:t>
      </w:r>
    </w:p>
    <w:p>
      <w:pPr>
        <w:pStyle w:val="BookText"/>
      </w:pPr>
      <w:r>
        <w:rPr>
          <w:rFonts w:ascii="Amiri" w:hAnsi="Amiri" w:eastAsia="Amiri" w:cs="Amiri"/>
          <w:lang w:bidi="ar-SA"/>
          <w:color w:val="111111"/>
          <w:sz w:val="28"/>
          <w:szCs w:val="28"/>
          <w:rtl/>
        </w:rPr>
        <w:t xml:space="preserve">جواهر الرصيع في انواع البديع ج 5، ص 542.</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الحاوي للفتاوى، ج 6، ص 464.</w:t>
      </w:r>
    </w:p>
    <w:p>
      <w:pPr>
        <w:pStyle w:val="BookText"/>
      </w:pPr>
      <w:r>
        <w:rPr>
          <w:rFonts w:ascii="Amiri" w:hAnsi="Amiri" w:eastAsia="Amiri" w:cs="Amiri"/>
          <w:lang w:bidi="ar-SA"/>
          <w:color w:val="111111"/>
          <w:sz w:val="28"/>
          <w:szCs w:val="28"/>
          <w:rtl/>
        </w:rPr>
        <w:t xml:space="preserve">93 .الحبائك في اخبار الملائك، ج 6،</w:t>
      </w:r>
    </w:p>
    <w:p>
      <w:pPr>
        <w:pStyle w:val="BookText"/>
      </w:pPr>
      <w:r>
        <w:rPr>
          <w:rFonts w:ascii="IRNazanin" w:hAnsi="IRNazanin" w:eastAsia="IRNazanin" w:cs="IRNazanin"/>
          <w:lang w:bidi="fa-IR"/>
          <w:color w:val="111111"/>
          <w:sz w:val="28"/>
          <w:szCs w:val="28"/>
          <w:rtl/>
        </w:rPr>
        <w:t xml:space="preserve">ص 468.</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الحجج المبينة في التفضيل بين مكة</w:t>
      </w:r>
    </w:p>
    <w:p>
      <w:pPr>
        <w:pStyle w:val="BookText"/>
      </w:pPr>
      <w:r>
        <w:rPr>
          <w:rFonts w:ascii="Amiri" w:hAnsi="Amiri" w:eastAsia="Amiri" w:cs="Amiri"/>
          <w:lang w:bidi="ar-SA"/>
          <w:color w:val="111111"/>
          <w:sz w:val="28"/>
          <w:szCs w:val="28"/>
          <w:rtl/>
        </w:rPr>
        <w:t xml:space="preserve">و المدينة، ج 6، ص 489.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الحديث، ج 6، ص 560.</w:t>
      </w:r>
    </w:p>
    <w:p>
      <w:pPr>
        <w:pStyle w:val="BookText"/>
      </w:pPr>
      <w:r>
        <w:rPr>
          <w:rFonts w:ascii="Amiri" w:hAnsi="Amiri" w:eastAsia="Amiri" w:cs="Amiri"/>
          <w:lang w:bidi="ar-SA"/>
          <w:color w:val="111111"/>
          <w:sz w:val="28"/>
          <w:szCs w:val="28"/>
          <w:rtl/>
        </w:rPr>
        <w:t xml:space="preserve">96 .حديث كل امر ذي بال لم يبدأ</w:t>
      </w:r>
    </w:p>
    <w:p>
      <w:pPr>
        <w:pStyle w:val="BookText"/>
      </w:pPr>
      <w:r>
        <w:rPr>
          <w:rFonts w:ascii="Amiri" w:hAnsi="Amiri" w:eastAsia="Amiri" w:cs="Amiri"/>
          <w:lang w:bidi="ar-SA"/>
          <w:color w:val="111111"/>
          <w:sz w:val="28"/>
          <w:szCs w:val="28"/>
          <w:rtl/>
        </w:rPr>
        <w:t xml:space="preserve">فيه...»، ج 6، ص 576.</w:t>
      </w:r>
    </w:p>
    <w:p>
      <w:pPr>
        <w:pStyle w:val="BookText"/>
      </w:pPr>
      <w:r>
        <w:rPr>
          <w:rFonts w:ascii="Amiri" w:hAnsi="Amiri" w:eastAsia="Amiri" w:cs="Amiri"/>
          <w:lang w:bidi="ar-SA"/>
          <w:color w:val="111111"/>
          <w:sz w:val="28"/>
          <w:szCs w:val="28"/>
          <w:rtl/>
        </w:rPr>
        <w:t xml:space="preserve">97 .حسن التسليك في حكم التشبيك</w:t>
      </w:r>
    </w:p>
    <w:p>
      <w:pPr>
        <w:pStyle w:val="BookText"/>
      </w:pPr>
      <w:r>
        <w:rPr>
          <w:rFonts w:ascii="IRNazanin" w:hAnsi="IRNazanin" w:eastAsia="IRNazanin" w:cs="IRNazanin"/>
          <w:lang w:bidi="fa-IR"/>
          <w:color w:val="111111"/>
          <w:sz w:val="28"/>
          <w:szCs w:val="28"/>
          <w:rtl/>
        </w:rPr>
        <w:t xml:space="preserve">ج 6، ص 650 .</w:t>
      </w:r>
    </w:p>
    <w:p>
      <w:pPr>
        <w:pStyle w:val="BookText"/>
      </w:pPr>
      <w:r>
        <w:rPr>
          <w:rFonts w:ascii="Amiri" w:hAnsi="Amiri" w:eastAsia="Amiri" w:cs="Amiri"/>
          <w:lang w:bidi="ar-SA"/>
          <w:color w:val="111111"/>
          <w:sz w:val="28"/>
          <w:szCs w:val="28"/>
          <w:rtl/>
        </w:rPr>
        <w:t xml:space="preserve">98 .حسن المحاضرة في اخبار مصر و</w:t>
      </w:r>
    </w:p>
    <w:p>
      <w:pPr>
        <w:pStyle w:val="BookText"/>
      </w:pPr>
      <w:r>
        <w:rPr>
          <w:rFonts w:ascii="Amiri" w:hAnsi="Amiri" w:eastAsia="Amiri" w:cs="Amiri"/>
          <w:lang w:bidi="ar-SA"/>
          <w:color w:val="111111"/>
          <w:sz w:val="28"/>
          <w:szCs w:val="28"/>
          <w:rtl/>
        </w:rPr>
        <w:t xml:space="preserve">القاهرة، ج 6 ، ص 651 .</w:t>
      </w:r>
    </w:p>
    <w:p>
      <w:pPr>
        <w:pStyle w:val="BookText"/>
      </w:pPr>
      <w:r>
        <w:rPr>
          <w:rFonts w:ascii="Amiri" w:hAnsi="Amiri" w:eastAsia="Amiri" w:cs="Amiri"/>
          <w:lang w:bidi="ar-SA"/>
          <w:color w:val="111111"/>
          <w:sz w:val="28"/>
          <w:szCs w:val="28"/>
          <w:rtl/>
        </w:rPr>
        <w:t xml:space="preserve">99 .حسن المقصد في عمل المولد، ج6،</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IRNazanin" w:hAnsi="IRNazanin" w:eastAsia="IRNazanin" w:cs="IRNazanin"/>
          <w:lang w:bidi="fa-IR"/>
          <w:color w:val="111111"/>
          <w:sz w:val="28"/>
          <w:szCs w:val="28"/>
          <w:rtl/>
        </w:rPr>
        <w:t xml:space="preserve">100 .حصول الرفق بوصول الرزق، ج 6،</w:t>
      </w:r>
    </w:p>
    <w:p>
      <w:pPr>
        <w:pStyle w:val="BookText"/>
      </w:pPr>
      <w:r>
        <w:rPr>
          <w:rFonts w:ascii="IRNazanin" w:hAnsi="IRNazanin" w:eastAsia="IRNazanin" w:cs="IRNazanin"/>
          <w:lang w:bidi="fa-IR"/>
          <w:color w:val="111111"/>
          <w:sz w:val="28"/>
          <w:szCs w:val="28"/>
          <w:rtl/>
        </w:rPr>
        <w:t xml:space="preserve">ص307.</w:t>
      </w:r>
    </w:p>
    <w:p>
      <w:pPr>
        <w:pStyle w:val="BookText"/>
      </w:pPr>
      <w:r>
        <w:rPr>
          <w:rFonts w:ascii="IRNazanin" w:hAnsi="IRNazanin" w:eastAsia="IRNazanin" w:cs="IRNazanin"/>
          <w:lang w:bidi="fa-IR"/>
          <w:color w:val="111111"/>
          <w:sz w:val="28"/>
          <w:szCs w:val="28"/>
          <w:rtl/>
        </w:rPr>
        <w:t xml:space="preserve">101 .حقائق العلوم، ج 6، ص 689.</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حكم النبي (صلى الله عليه و سلم) باطن و الظاهر، ج 6، ص 765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الخصائص الكبرى = كفاية</w:t>
      </w:r>
    </w:p>
    <w:p>
      <w:pPr>
        <w:pStyle w:val="BookText"/>
      </w:pPr>
      <w:r>
        <w:rPr>
          <w:rFonts w:ascii="Amiri" w:hAnsi="Amiri" w:eastAsia="Amiri" w:cs="Amiri"/>
          <w:lang w:bidi="ar-SA"/>
          <w:color w:val="111111"/>
          <w:sz w:val="28"/>
          <w:szCs w:val="28"/>
          <w:rtl/>
        </w:rPr>
        <w:t xml:space="preserve">الطالب اللبيب في خصائص</w:t>
      </w:r>
    </w:p>
    <w:p>
      <w:pPr>
        <w:pStyle w:val="BookText"/>
      </w:pPr>
      <w:r>
        <w:rPr>
          <w:rFonts w:ascii="Amiri" w:hAnsi="Amiri" w:eastAsia="Amiri" w:cs="Amiri"/>
          <w:lang w:bidi="ar-SA"/>
          <w:color w:val="111111"/>
          <w:sz w:val="28"/>
          <w:szCs w:val="28"/>
          <w:rtl/>
        </w:rPr>
        <w:t xml:space="preserve">الحبيب، ج 7، ص 35.</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خصائص يوم الجمعة، ج 7،</w:t>
      </w:r>
    </w:p>
    <w:p>
      <w:pPr>
        <w:pStyle w:val="BookText"/>
      </w:pPr>
      <w:r>
        <w:rPr>
          <w:rFonts w:ascii="IRNazanin" w:hAnsi="IRNazanin" w:eastAsia="IRNazanin" w:cs="IRNazanin"/>
          <w:lang w:bidi="fa-IR"/>
          <w:color w:val="111111"/>
          <w:sz w:val="28"/>
          <w:szCs w:val="28"/>
          <w:rtl/>
        </w:rPr>
        <w:t xml:space="preserve">ص 36.</w:t>
      </w:r>
    </w:p>
    <w:p>
      <w:pPr>
        <w:pStyle w:val="BookText"/>
      </w:pPr>
      <w:r>
        <w:rPr>
          <w:rFonts w:ascii="Amiri" w:hAnsi="Amiri" w:eastAsia="Amiri" w:cs="Amiri"/>
          <w:lang w:bidi="ar-SA"/>
          <w:color w:val="111111"/>
          <w:sz w:val="28"/>
          <w:szCs w:val="28"/>
          <w:rtl/>
        </w:rPr>
        <w:t xml:space="preserve">105 .خضاب اللحية، ج 7، ص 41.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الدر المنثور في تفسير المأثور، ج 7،</w:t>
      </w:r>
    </w:p>
    <w:p>
      <w:pPr>
        <w:pStyle w:val="BookText"/>
      </w:pPr>
      <w:r>
        <w:rPr>
          <w:rFonts w:ascii="IRNazanin" w:hAnsi="IRNazanin" w:eastAsia="IRNazanin" w:cs="IRNazanin"/>
          <w:lang w:bidi="fa-IR"/>
          <w:color w:val="111111"/>
          <w:sz w:val="28"/>
          <w:szCs w:val="28"/>
          <w:rtl/>
        </w:rPr>
        <w:t xml:space="preserve">ص 341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الدر المنظم في الاسم الاعظم</w:t>
      </w:r>
    </w:p>
    <w:p>
      <w:pPr>
        <w:pStyle w:val="BookText"/>
      </w:pPr>
      <w:r>
        <w:rPr>
          <w:rFonts w:ascii="IRNazanin" w:hAnsi="IRNazanin" w:eastAsia="IRNazanin" w:cs="IRNazanin"/>
          <w:lang w:bidi="fa-IR"/>
          <w:color w:val="111111"/>
          <w:sz w:val="28"/>
          <w:szCs w:val="28"/>
          <w:rtl/>
        </w:rPr>
        <w:t xml:space="preserve">ج 7، ص 349.</w:t>
      </w:r>
    </w:p>
    <w:p>
      <w:pPr>
        <w:pStyle w:val="BookText"/>
      </w:pPr>
      <w:r>
        <w:rPr>
          <w:rFonts w:ascii="Amiri" w:hAnsi="Amiri" w:eastAsia="Amiri" w:cs="Amiri"/>
          <w:lang w:bidi="ar-SA"/>
          <w:color w:val="111111"/>
          <w:sz w:val="28"/>
          <w:szCs w:val="28"/>
          <w:rtl/>
        </w:rPr>
        <w:t xml:space="preserve">108 .الدر النثير في تلخيص النهاية</w:t>
      </w:r>
    </w:p>
    <w:p>
      <w:pPr>
        <w:pStyle w:val="BookText"/>
      </w:pPr>
      <w:r>
        <w:rPr>
          <w:rFonts w:ascii="IRNazanin" w:hAnsi="IRNazanin" w:eastAsia="IRNazanin" w:cs="IRNazanin"/>
          <w:lang w:bidi="fa-IR"/>
          <w:color w:val="111111"/>
          <w:sz w:val="28"/>
          <w:szCs w:val="28"/>
          <w:rtl/>
        </w:rPr>
        <w:t xml:space="preserve">ج 7، ص 356.</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الدرر المنتثرة في الأحاديث المشتهرة، ج 7، ص 314.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الدرر في فضل عمر، ج7، ص307.</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الدوران الفلكي على ابن الكركي</w:t>
      </w:r>
    </w:p>
    <w:p>
      <w:pPr>
        <w:pStyle w:val="BookText"/>
      </w:pPr>
      <w:r>
        <w:rPr>
          <w:rFonts w:ascii="IRNazanin" w:hAnsi="IRNazanin" w:eastAsia="IRNazanin" w:cs="IRNazanin"/>
          <w:lang w:bidi="fa-IR"/>
          <w:color w:val="111111"/>
          <w:sz w:val="28"/>
          <w:szCs w:val="28"/>
          <w:rtl/>
        </w:rPr>
        <w:t xml:space="preserve">ج 7، ص 492.</w:t>
      </w:r>
    </w:p>
    <w:p>
      <w:pPr>
        <w:pStyle w:val="BookText"/>
      </w:pPr>
      <w:r>
        <w:rPr>
          <w:rFonts w:ascii="Amiri" w:hAnsi="Amiri" w:eastAsia="Amiri" w:cs="Amiri"/>
          <w:lang w:bidi="ar-SA"/>
          <w:color w:val="111111"/>
          <w:sz w:val="28"/>
          <w:szCs w:val="28"/>
          <w:rtl/>
        </w:rPr>
        <w:t xml:space="preserve">112 . الديباج على صحيح مسلم، ج7،</w:t>
      </w:r>
    </w:p>
    <w:p>
      <w:pPr>
        <w:pStyle w:val="BookText"/>
      </w:pPr>
      <w:r>
        <w:rPr>
          <w:rFonts w:ascii="IRNazanin" w:hAnsi="IRNazanin" w:eastAsia="IRNazanin" w:cs="IRNazanin"/>
          <w:lang w:bidi="fa-IR"/>
          <w:color w:val="111111"/>
          <w:sz w:val="28"/>
          <w:szCs w:val="28"/>
          <w:rtl/>
        </w:rPr>
        <w:t xml:space="preserve">ص 499 .</w:t>
      </w:r>
    </w:p>
    <w:p>
      <w:pPr>
        <w:pStyle w:val="BookText"/>
      </w:pPr>
      <w:r>
        <w:rPr>
          <w:rFonts w:ascii="Amiri" w:hAnsi="Amiri" w:eastAsia="Amiri" w:cs="Amiri"/>
          <w:lang w:bidi="ar-SA"/>
          <w:color w:val="111111"/>
          <w:sz w:val="28"/>
          <w:szCs w:val="28"/>
          <w:rtl/>
        </w:rPr>
        <w:t xml:space="preserve">113 .ذر السحابة في من دخل مصر من الصحابة، ج 7، ص 843.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الرحمة في الطب و الحكمة، ج 8،</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رد الغبي عن تكفير ابن العربي</w:t>
      </w:r>
    </w:p>
    <w:p>
      <w:pPr>
        <w:pStyle w:val="BookText"/>
      </w:pPr>
      <w:r>
        <w:rPr>
          <w:rFonts w:ascii="IRNazanin" w:hAnsi="IRNazanin" w:eastAsia="IRNazanin" w:cs="IRNazanin"/>
          <w:lang w:bidi="fa-IR"/>
          <w:color w:val="111111"/>
          <w:sz w:val="28"/>
          <w:szCs w:val="28"/>
          <w:rtl/>
        </w:rPr>
        <w:t xml:space="preserve">ج 8، ص108.</w:t>
      </w:r>
    </w:p>
    <w:p>
      <w:pPr>
        <w:pStyle w:val="BookText"/>
      </w:pPr>
      <w:r>
        <w:rPr>
          <w:rFonts w:ascii="Amiri" w:hAnsi="Amiri" w:eastAsia="Amiri" w:cs="Amiri"/>
          <w:lang w:bidi="ar-SA"/>
          <w:color w:val="111111"/>
          <w:sz w:val="28"/>
          <w:szCs w:val="28"/>
          <w:rtl/>
        </w:rPr>
        <w:t xml:space="preserve">116 .الرد على من أنكر الذكر، ج8،</w:t>
      </w:r>
    </w:p>
    <w:p>
      <w:pPr>
        <w:pStyle w:val="BookText"/>
      </w:pPr>
      <w:r>
        <w:rPr>
          <w:rFonts w:ascii="IRNazanin" w:hAnsi="IRNazanin" w:eastAsia="IRNazanin" w:cs="IRNazanin"/>
          <w:lang w:bidi="fa-IR"/>
          <w:color w:val="111111"/>
          <w:sz w:val="28"/>
          <w:szCs w:val="28"/>
          <w:rtl/>
        </w:rPr>
        <w:t xml:space="preserve">ص 103.</w:t>
      </w:r>
    </w:p>
    <w:p>
      <w:pPr>
        <w:pStyle w:val="BookText"/>
      </w:pPr>
      <w:r>
        <w:rPr>
          <w:rFonts w:ascii="IRNazanin" w:hAnsi="IRNazanin" w:eastAsia="IRNazanin" w:cs="IRNazanin"/>
          <w:lang w:bidi="fa-IR"/>
          <w:color w:val="111111"/>
          <w:sz w:val="28"/>
          <w:szCs w:val="28"/>
          <w:rtl/>
        </w:rPr>
        <w:t xml:space="preserve">117 .رسائل، ج8، ص120</w:t>
      </w:r>
    </w:p>
    <w:p>
      <w:pPr>
        <w:pStyle w:val="BookText"/>
      </w:pPr>
      <w:r>
        <w:rPr>
          <w:rFonts w:ascii="Amiri" w:hAnsi="Amiri" w:eastAsia="Amiri" w:cs="Amiri"/>
          <w:lang w:bidi="ar-SA"/>
          <w:color w:val="111111"/>
          <w:sz w:val="28"/>
          <w:szCs w:val="28"/>
          <w:rtl/>
        </w:rPr>
        <w:t xml:space="preserve">118 .رشح أذواق الحكمة الربانية في شرح اوقات اللمعية، ج8، ص307.</w:t>
      </w:r>
    </w:p>
    <w:p>
      <w:pPr>
        <w:pStyle w:val="BookText"/>
      </w:pPr>
      <w:r>
        <w:rPr>
          <w:rFonts w:ascii="IRNazanin" w:hAnsi="IRNazanin" w:eastAsia="IRNazanin" w:cs="IRNazanin"/>
          <w:lang w:bidi="fa-IR"/>
          <w:color w:val="111111"/>
          <w:sz w:val="28"/>
          <w:szCs w:val="28"/>
          <w:rtl/>
        </w:rPr>
        <w:t xml:space="preserve">119 .رشف الزلال من السحر الحلال</w:t>
      </w:r>
    </w:p>
    <w:p>
      <w:pPr>
        <w:pStyle w:val="BookText"/>
      </w:pPr>
      <w:r>
        <w:rPr>
          <w:rFonts w:ascii="IRNazanin" w:hAnsi="IRNazanin" w:eastAsia="IRNazanin" w:cs="IRNazanin"/>
          <w:lang w:bidi="fa-IR"/>
          <w:color w:val="111111"/>
          <w:sz w:val="28"/>
          <w:szCs w:val="28"/>
          <w:rtl/>
        </w:rPr>
        <w:t xml:space="preserve">ج 8، ص311</w:t>
      </w:r>
    </w:p>
    <w:p>
      <w:pPr>
        <w:pStyle w:val="BookText"/>
      </w:pPr>
      <w:r>
        <w:rPr>
          <w:rFonts w:ascii="IRNazanin" w:hAnsi="IRNazanin" w:eastAsia="IRNazanin" w:cs="IRNazanin"/>
          <w:lang w:bidi="fa-IR"/>
          <w:color w:val="111111"/>
          <w:sz w:val="28"/>
          <w:szCs w:val="28"/>
          <w:rtl/>
        </w:rPr>
        <w:t xml:space="preserve">120 .الروح، ج 8، ص 374.</w:t>
      </w:r>
    </w:p>
    <w:p>
      <w:pPr>
        <w:pStyle w:val="BookText"/>
      </w:pPr>
      <w:r>
        <w:rPr>
          <w:rFonts w:ascii="Amiri" w:hAnsi="Amiri" w:eastAsia="Amiri" w:cs="Amiri"/>
          <w:lang w:bidi="ar-SA"/>
          <w:color w:val="111111"/>
          <w:sz w:val="28"/>
          <w:szCs w:val="28"/>
          <w:rtl/>
        </w:rPr>
        <w:t xml:space="preserve">121.الروض الانيق في فضائل الصديق</w:t>
      </w:r>
    </w:p>
    <w:p>
      <w:pPr>
        <w:pStyle w:val="BookText"/>
      </w:pPr>
      <w:r>
        <w:rPr>
          <w:rFonts w:ascii="IRNazanin" w:hAnsi="IRNazanin" w:eastAsia="IRNazanin" w:cs="IRNazanin"/>
          <w:lang w:bidi="fa-IR"/>
          <w:color w:val="111111"/>
          <w:sz w:val="28"/>
          <w:szCs w:val="28"/>
          <w:rtl/>
        </w:rPr>
        <w:t xml:space="preserve">ج8، ص 397</w:t>
      </w:r>
    </w:p>
    <w:p>
      <w:pPr>
        <w:pStyle w:val="BookText"/>
      </w:pPr>
      <w:r>
        <w:rPr>
          <w:rFonts w:ascii="Amiri" w:hAnsi="Amiri" w:eastAsia="Amiri" w:cs="Amiri"/>
          <w:lang w:bidi="ar-SA"/>
          <w:color w:val="111111"/>
          <w:sz w:val="28"/>
          <w:szCs w:val="28"/>
          <w:rtl/>
        </w:rPr>
        <w:t xml:space="preserve">122 .ريح النسرين فيمن عاش من</w:t>
      </w:r>
    </w:p>
    <w:p>
      <w:pPr>
        <w:pStyle w:val="BookText"/>
      </w:pPr>
      <w:r>
        <w:rPr>
          <w:rFonts w:ascii="Amiri" w:hAnsi="Amiri" w:eastAsia="Amiri" w:cs="Amiri"/>
          <w:lang w:bidi="ar-SA"/>
          <w:color w:val="111111"/>
          <w:sz w:val="28"/>
          <w:szCs w:val="28"/>
          <w:rtl/>
        </w:rPr>
        <w:t xml:space="preserve">الصحابة مائة وعشرين، ج8، ص 518.</w:t>
      </w:r>
    </w:p>
    <w:p>
      <w:pPr>
        <w:pStyle w:val="BookText"/>
      </w:pPr>
      <w:r>
        <w:rPr>
          <w:rFonts w:ascii="IRNazanin" w:hAnsi="IRNazanin" w:eastAsia="IRNazanin" w:cs="IRNazanin"/>
          <w:lang w:bidi="fa-IR"/>
          <w:color w:val="111111"/>
          <w:sz w:val="28"/>
          <w:szCs w:val="28"/>
          <w:rtl/>
        </w:rPr>
        <w:t xml:space="preserve">123 .الزجر بالهجر، ج8، ص 600.</w:t>
      </w:r>
    </w:p>
    <w:p>
      <w:pPr>
        <w:pStyle w:val="BookText"/>
      </w:pPr>
      <w:r>
        <w:rPr>
          <w:rFonts w:ascii="Amiri" w:hAnsi="Amiri" w:eastAsia="Amiri" w:cs="Amiri"/>
          <w:lang w:bidi="ar-SA"/>
          <w:color w:val="111111"/>
          <w:sz w:val="28"/>
          <w:szCs w:val="28"/>
          <w:rtl/>
        </w:rPr>
        <w:t xml:space="preserve">124 .الزهر الباسم فيما يزوج فيه</w:t>
      </w:r>
    </w:p>
    <w:p>
      <w:pPr>
        <w:pStyle w:val="BookText"/>
      </w:pPr>
      <w:r>
        <w:rPr>
          <w:rFonts w:ascii="Amiri" w:hAnsi="Amiri" w:eastAsia="Amiri" w:cs="Amiri"/>
          <w:lang w:bidi="ar-SA"/>
          <w:color w:val="111111"/>
          <w:sz w:val="28"/>
          <w:szCs w:val="28"/>
          <w:rtl/>
        </w:rPr>
        <w:t xml:space="preserve">الحاكم، ج8، ص 617.</w:t>
      </w:r>
    </w:p>
    <w:p>
      <w:pPr>
        <w:pStyle w:val="BookText"/>
      </w:pPr>
      <w:r>
        <w:rPr>
          <w:rFonts w:ascii="Amiri" w:hAnsi="Amiri" w:eastAsia="Amiri" w:cs="Amiri"/>
          <w:lang w:bidi="ar-SA"/>
          <w:color w:val="111111"/>
          <w:sz w:val="28"/>
          <w:szCs w:val="28"/>
          <w:rtl/>
        </w:rPr>
        <w:t xml:space="preserve">125 .زيادة الجامع الصغير = الذيل على الجامع الصغير، ج 8، ص 646.</w:t>
      </w:r>
    </w:p>
    <w:p>
      <w:pPr>
        <w:pStyle w:val="BookText"/>
      </w:pPr>
      <w:r>
        <w:rPr>
          <w:rFonts w:ascii="Amiri" w:hAnsi="Amiri" w:eastAsia="Amiri" w:cs="Amiri"/>
          <w:lang w:bidi="ar-SA"/>
          <w:color w:val="111111"/>
          <w:sz w:val="28"/>
          <w:szCs w:val="28"/>
          <w:rtl/>
        </w:rPr>
        <w:t xml:space="preserve">126 .السبل الجلية في الآباء العلية = سبل النجاة في والدي النبي (ص) ج 8، ص703.</w:t>
      </w:r>
    </w:p>
    <w:p>
      <w:pPr>
        <w:pStyle w:val="BookText"/>
      </w:pPr>
      <w:r>
        <w:rPr>
          <w:rFonts w:ascii="Amiri" w:hAnsi="Amiri" w:eastAsia="Amiri" w:cs="Amiri"/>
          <w:lang w:bidi="ar-SA"/>
          <w:color w:val="111111"/>
          <w:sz w:val="28"/>
          <w:szCs w:val="28"/>
          <w:rtl/>
        </w:rPr>
        <w:t xml:space="preserve">127 .سرقة كتب المؤلفين ( رسالة في)،</w:t>
      </w:r>
    </w:p>
    <w:p>
      <w:pPr>
        <w:pStyle w:val="BookText"/>
      </w:pPr>
      <w:r>
        <w:rPr>
          <w:rFonts w:ascii="IRNazanin" w:hAnsi="IRNazanin" w:eastAsia="IRNazanin" w:cs="IRNazanin"/>
          <w:lang w:bidi="fa-IR"/>
          <w:color w:val="111111"/>
          <w:sz w:val="28"/>
          <w:szCs w:val="28"/>
          <w:rtl/>
        </w:rPr>
        <w:t xml:space="preserve">ج 8، ص 760 .</w:t>
      </w:r>
    </w:p>
    <w:p>
      <w:pPr>
        <w:pStyle w:val="BookText"/>
      </w:pPr>
      <w:r>
        <w:rPr>
          <w:rFonts w:ascii="Amiri" w:hAnsi="Amiri" w:eastAsia="Amiri" w:cs="Amiri"/>
          <w:lang w:bidi="ar-SA"/>
          <w:color w:val="111111"/>
          <w:sz w:val="28"/>
          <w:szCs w:val="28"/>
          <w:rtl/>
        </w:rPr>
        <w:t xml:space="preserve">128 .سلسلة الذهب، ج8، ص803.</w:t>
      </w:r>
    </w:p>
    <w:p>
      <w:pPr>
        <w:pStyle w:val="BookText"/>
      </w:pPr>
      <w:r>
        <w:rPr>
          <w:rFonts w:ascii="Amiri" w:hAnsi="Amiri" w:eastAsia="Amiri" w:cs="Amiri"/>
          <w:lang w:bidi="ar-SA"/>
          <w:color w:val="111111"/>
          <w:sz w:val="28"/>
          <w:szCs w:val="28"/>
          <w:rtl/>
        </w:rPr>
        <w:t xml:space="preserve">129 .سند المصافحة إلى النبي (صلى الله عليه و آله)، ج8، ص 841.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السهام المصابة في الدعوات</w:t>
      </w:r>
    </w:p>
    <w:p>
      <w:pPr>
        <w:pStyle w:val="BookText"/>
      </w:pPr>
      <w:r>
        <w:rPr>
          <w:rFonts w:ascii="Amiri" w:hAnsi="Amiri" w:eastAsia="Amiri" w:cs="Amiri"/>
          <w:lang w:bidi="ar-SA"/>
          <w:color w:val="111111"/>
          <w:sz w:val="28"/>
          <w:szCs w:val="28"/>
          <w:rtl/>
        </w:rPr>
        <w:t xml:space="preserve">المجابة، ج 8، ص 850.</w:t>
      </w:r>
    </w:p>
    <w:p>
      <w:pPr>
        <w:pStyle w:val="BookText"/>
      </w:pPr>
      <w:r>
        <w:rPr>
          <w:rFonts w:ascii="Amiri" w:hAnsi="Amiri" w:eastAsia="Amiri" w:cs="Amiri"/>
          <w:lang w:bidi="ar-SA"/>
          <w:color w:val="111111"/>
          <w:sz w:val="28"/>
          <w:szCs w:val="28"/>
          <w:rtl/>
        </w:rPr>
        <w:t xml:space="preserve">131 .الشافي العي على مسند الامام</w:t>
      </w:r>
    </w:p>
    <w:p>
      <w:pPr>
        <w:pStyle w:val="BookText"/>
      </w:pPr>
      <w:r>
        <w:rPr>
          <w:rFonts w:ascii="Amiri" w:hAnsi="Amiri" w:eastAsia="Amiri" w:cs="Amiri"/>
          <w:lang w:bidi="ar-SA"/>
          <w:color w:val="111111"/>
          <w:sz w:val="28"/>
          <w:szCs w:val="28"/>
          <w:rtl/>
        </w:rPr>
        <w:t xml:space="preserve">الشافعي، ج9، ص 62.</w:t>
      </w:r>
    </w:p>
    <w:p>
      <w:pPr>
        <w:pStyle w:val="BookText"/>
      </w:pPr>
      <w:r>
        <w:rPr>
          <w:rFonts w:ascii="Amiri" w:hAnsi="Amiri" w:eastAsia="Amiri" w:cs="Amiri"/>
          <w:lang w:bidi="ar-SA"/>
          <w:color w:val="111111"/>
          <w:sz w:val="28"/>
          <w:szCs w:val="28"/>
          <w:rtl/>
        </w:rPr>
        <w:t xml:space="preserve">132 .شد الأثواب في سد الأبواب، ج9،</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Amiri" w:hAnsi="Amiri" w:eastAsia="Amiri" w:cs="Amiri"/>
          <w:lang w:bidi="ar-SA"/>
          <w:color w:val="111111"/>
          <w:sz w:val="28"/>
          <w:szCs w:val="28"/>
          <w:rtl/>
        </w:rPr>
        <w:t xml:space="preserve">133 .شرح البديعية، ج9، ص282.</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شرح التبصرة والتذكرة في المصطلح = شرح الفية العراقي</w:t>
      </w:r>
    </w:p>
    <w:p>
      <w:pPr>
        <w:pStyle w:val="BookText"/>
      </w:pPr>
      <w:r>
        <w:rPr>
          <w:rFonts w:ascii="IRNazanin" w:hAnsi="IRNazanin" w:eastAsia="IRNazanin" w:cs="IRNazanin"/>
          <w:lang w:bidi="fa-IR"/>
          <w:color w:val="111111"/>
          <w:sz w:val="28"/>
          <w:szCs w:val="28"/>
          <w:rtl/>
        </w:rPr>
        <w:t xml:space="preserve">ج 9، ص 304.</w:t>
      </w:r>
    </w:p>
    <w:p>
      <w:pPr>
        <w:pStyle w:val="BookText"/>
      </w:pPr>
      <w:r>
        <w:rPr>
          <w:rFonts w:ascii="IRNazanin" w:hAnsi="IRNazanin" w:eastAsia="IRNazanin" w:cs="IRNazanin"/>
          <w:lang w:bidi="fa-IR"/>
          <w:color w:val="111111"/>
          <w:sz w:val="28"/>
          <w:szCs w:val="28"/>
          <w:rtl/>
        </w:rPr>
        <w:t xml:space="preserve">135 .شرح الشواهد، ج 9، ص 649.</w:t>
      </w:r>
    </w:p>
    <w:p>
      <w:pPr>
        <w:pStyle w:val="BookText"/>
      </w:pPr>
      <w:r>
        <w:rPr>
          <w:rFonts w:ascii="Amiri" w:hAnsi="Amiri" w:eastAsia="Amiri" w:cs="Amiri"/>
          <w:lang w:bidi="ar-SA"/>
          <w:color w:val="111111"/>
          <w:sz w:val="28"/>
          <w:szCs w:val="28"/>
          <w:rtl/>
        </w:rPr>
        <w:t xml:space="preserve">136 .شرح الصدور في شرح حال الموتي</w:t>
      </w:r>
    </w:p>
    <w:p>
      <w:pPr>
        <w:pStyle w:val="BookText"/>
      </w:pPr>
      <w:r>
        <w:rPr>
          <w:rFonts w:ascii="IRNazanin" w:hAnsi="IRNazanin" w:eastAsia="IRNazanin" w:cs="IRNazanin"/>
          <w:lang w:bidi="fa-IR"/>
          <w:color w:val="111111"/>
          <w:sz w:val="28"/>
          <w:szCs w:val="28"/>
          <w:rtl/>
        </w:rPr>
        <w:t xml:space="preserve">و القبور، ج 9، ص 673.</w:t>
      </w:r>
    </w:p>
    <w:p>
      <w:pPr>
        <w:pStyle w:val="BookText"/>
      </w:pPr>
      <w:r>
        <w:rPr>
          <w:rFonts w:ascii="Amiri" w:hAnsi="Amiri" w:eastAsia="Amiri" w:cs="Amiri"/>
          <w:lang w:bidi="ar-SA"/>
          <w:color w:val="111111"/>
          <w:sz w:val="28"/>
          <w:szCs w:val="28"/>
          <w:rtl/>
        </w:rPr>
        <w:t xml:space="preserve">137 .شرح الكوكب الساطع في شرح ارجوزة جمع الجوامع، ج 10،</w:t>
      </w:r>
    </w:p>
    <w:p>
      <w:pPr>
        <w:pStyle w:val="BookText"/>
      </w:pPr>
      <w:r>
        <w:rPr>
          <w:rFonts w:ascii="IRNazanin" w:hAnsi="IRNazanin" w:eastAsia="IRNazanin" w:cs="IRNazanin"/>
          <w:lang w:bidi="fa-IR"/>
          <w:color w:val="111111"/>
          <w:sz w:val="28"/>
          <w:szCs w:val="28"/>
          <w:rtl/>
        </w:rPr>
        <w:t xml:space="preserve">ص 68 .</w:t>
      </w:r>
    </w:p>
    <w:p>
      <w:pPr>
        <w:pStyle w:val="BookText"/>
      </w:pPr>
      <w:r>
        <w:rPr>
          <w:rFonts w:ascii="IRNazanin" w:hAnsi="IRNazanin" w:eastAsia="IRNazanin" w:cs="IRNazanin"/>
          <w:lang w:bidi="fa-IR"/>
          <w:color w:val="111111"/>
          <w:sz w:val="28"/>
          <w:szCs w:val="28"/>
          <w:rtl/>
        </w:rPr>
        <w:t xml:space="preserve">138 .شرح حدیث، ج 9، ص 380.</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Amiri" w:hAnsi="Amiri" w:eastAsia="Amiri" w:cs="Amiri"/>
          <w:lang w:bidi="ar-SA"/>
          <w:color w:val="111111"/>
          <w:sz w:val="28"/>
          <w:szCs w:val="28"/>
          <w:rtl/>
        </w:rPr>
        <w:t xml:space="preserve">شرح حرز الاماني و وجه التهاني</w:t>
      </w:r>
    </w:p>
    <w:p>
      <w:pPr>
        <w:pStyle w:val="BookText"/>
      </w:pPr>
      <w:r>
        <w:rPr>
          <w:rFonts w:ascii="IRNazanin" w:hAnsi="IRNazanin" w:eastAsia="IRNazanin" w:cs="IRNazanin"/>
          <w:lang w:bidi="fa-IR"/>
          <w:color w:val="111111"/>
          <w:sz w:val="28"/>
          <w:szCs w:val="28"/>
          <w:rtl/>
        </w:rPr>
        <w:t xml:space="preserve">ج 9، ص 407.</w:t>
      </w:r>
    </w:p>
    <w:p>
      <w:pPr>
        <w:pStyle w:val="BookText"/>
      </w:pPr>
      <w:r>
        <w:rPr>
          <w:rFonts w:ascii="Amiri" w:hAnsi="Amiri" w:eastAsia="Amiri" w:cs="Amiri"/>
          <w:lang w:bidi="ar-SA"/>
          <w:color w:val="111111"/>
          <w:sz w:val="28"/>
          <w:szCs w:val="28"/>
          <w:rtl/>
        </w:rPr>
        <w:t xml:space="preserve">140 .شرح شواهد مغني اللبيب، ج9،</w:t>
      </w:r>
    </w:p>
    <w:p>
      <w:pPr>
        <w:pStyle w:val="BookText"/>
      </w:pPr>
      <w:r>
        <w:rPr>
          <w:rFonts w:ascii="IRNazanin" w:hAnsi="IRNazanin" w:eastAsia="IRNazanin" w:cs="IRNazanin"/>
          <w:lang w:bidi="fa-IR"/>
          <w:color w:val="111111"/>
          <w:sz w:val="28"/>
          <w:szCs w:val="28"/>
          <w:rtl/>
        </w:rPr>
        <w:t xml:space="preserve">ص 664 .</w:t>
      </w:r>
    </w:p>
    <w:p>
      <w:pPr>
        <w:pStyle w:val="BookText"/>
      </w:pPr>
      <w:r>
        <w:rPr>
          <w:rFonts w:ascii="Amiri" w:hAnsi="Amiri" w:eastAsia="Amiri" w:cs="Amiri"/>
          <w:lang w:bidi="ar-SA"/>
          <w:color w:val="111111"/>
          <w:sz w:val="28"/>
          <w:szCs w:val="28"/>
          <w:rtl/>
        </w:rPr>
        <w:t xml:space="preserve">141 .شرح عقود الجمان في علم المعاني</w:t>
      </w:r>
    </w:p>
    <w:p>
      <w:pPr>
        <w:pStyle w:val="BookText"/>
      </w:pPr>
      <w:r>
        <w:rPr>
          <w:rFonts w:ascii="Amiri" w:hAnsi="Amiri" w:eastAsia="Amiri" w:cs="Amiri"/>
          <w:lang w:bidi="ar-SA"/>
          <w:color w:val="111111"/>
          <w:sz w:val="28"/>
          <w:szCs w:val="28"/>
          <w:rtl/>
        </w:rPr>
        <w:t xml:space="preserve">و البيان = حل عقود الجمان، ج9،</w:t>
      </w:r>
    </w:p>
    <w:p>
      <w:pPr>
        <w:pStyle w:val="BookText"/>
      </w:pPr>
      <w:r>
        <w:rPr>
          <w:rFonts w:ascii="IRNazanin" w:hAnsi="IRNazanin" w:eastAsia="IRNazanin" w:cs="IRNazanin"/>
          <w:lang w:bidi="fa-IR"/>
          <w:color w:val="111111"/>
          <w:sz w:val="28"/>
          <w:szCs w:val="28"/>
          <w:rtl/>
        </w:rPr>
        <w:t xml:space="preserve">ص 739.</w:t>
      </w:r>
    </w:p>
    <w:p>
      <w:pPr>
        <w:pStyle w:val="BookText"/>
      </w:pPr>
      <w:r>
        <w:rPr>
          <w:rFonts w:ascii="Amiri" w:hAnsi="Amiri" w:eastAsia="Amiri" w:cs="Amiri"/>
          <w:lang w:bidi="ar-SA"/>
          <w:color w:val="111111"/>
          <w:sz w:val="28"/>
          <w:szCs w:val="28"/>
          <w:rtl/>
        </w:rPr>
        <w:t xml:space="preserve">142 .شرح مقدمة الاحكام، ج10،</w:t>
      </w:r>
    </w:p>
    <w:p>
      <w:pPr>
        <w:pStyle w:val="BookText"/>
      </w:pPr>
      <w:r>
        <w:rPr>
          <w:rFonts w:ascii="IRNazanin" w:hAnsi="IRNazanin" w:eastAsia="IRNazanin" w:cs="IRNazanin"/>
          <w:lang w:bidi="fa-IR"/>
          <w:color w:val="111111"/>
          <w:sz w:val="28"/>
          <w:szCs w:val="28"/>
          <w:rtl/>
        </w:rPr>
        <w:t xml:space="preserve">ص 186 .</w:t>
      </w:r>
    </w:p>
    <w:p>
      <w:pPr>
        <w:pStyle w:val="BookText"/>
      </w:pPr>
      <w:r>
        <w:rPr>
          <w:rFonts w:ascii="Amiri" w:hAnsi="Amiri" w:eastAsia="Amiri" w:cs="Amiri"/>
          <w:lang w:bidi="ar-SA"/>
          <w:color w:val="111111"/>
          <w:sz w:val="28"/>
          <w:szCs w:val="28"/>
          <w:rtl/>
        </w:rPr>
        <w:t xml:space="preserve">143 .شرح منظومة مأة سؤال، ج 10،</w:t>
      </w:r>
    </w:p>
    <w:p>
      <w:pPr>
        <w:pStyle w:val="BookText"/>
      </w:pPr>
      <w:r>
        <w:rPr>
          <w:rFonts w:ascii="IRNazanin" w:hAnsi="IRNazanin" w:eastAsia="IRNazanin" w:cs="IRNazanin"/>
          <w:lang w:bidi="fa-IR"/>
          <w:color w:val="111111"/>
          <w:sz w:val="28"/>
          <w:szCs w:val="28"/>
          <w:rtl/>
        </w:rPr>
        <w:t xml:space="preserve">ص 255 .</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شرف المحتم، ج 10، ص 350.</w:t>
      </w:r>
    </w:p>
    <w:p>
      <w:pPr>
        <w:pStyle w:val="BookText"/>
      </w:pPr>
      <w:r>
        <w:rPr>
          <w:rFonts w:ascii="Amiri" w:hAnsi="Amiri" w:eastAsia="Amiri" w:cs="Amiri"/>
          <w:lang w:bidi="ar-SA"/>
          <w:color w:val="111111"/>
          <w:sz w:val="28"/>
          <w:szCs w:val="28"/>
          <w:rtl/>
        </w:rPr>
        <w:t xml:space="preserve">145 .شقايق الاترنج في دقايق الغنج</w:t>
      </w:r>
    </w:p>
    <w:p>
      <w:pPr>
        <w:pStyle w:val="BookText"/>
      </w:pPr>
      <w:r>
        <w:rPr>
          <w:rFonts w:ascii="IRNazanin" w:hAnsi="IRNazanin" w:eastAsia="IRNazanin" w:cs="IRNazanin"/>
          <w:lang w:bidi="fa-IR"/>
          <w:color w:val="111111"/>
          <w:sz w:val="28"/>
          <w:szCs w:val="28"/>
          <w:rtl/>
        </w:rPr>
        <w:t xml:space="preserve">ج 10، ص393.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الشماريخ في علم التاريخ، ج 10،</w:t>
      </w:r>
    </w:p>
    <w:p>
      <w:pPr>
        <w:pStyle w:val="BookText"/>
      </w:pPr>
      <w:r>
        <w:rPr>
          <w:rFonts w:ascii="IRNazanin" w:hAnsi="IRNazanin" w:eastAsia="IRNazanin" w:cs="IRNazanin"/>
          <w:lang w:bidi="fa-IR"/>
          <w:color w:val="111111"/>
          <w:sz w:val="28"/>
          <w:szCs w:val="28"/>
          <w:rtl/>
        </w:rPr>
        <w:t xml:space="preserve">ص 411.</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الشهيد (رسالة في حق) = حق الشهيد (رسالة في)، ج 10، ص 437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148 .شواهد مغني اللبيب، ج10،</w:t>
      </w:r>
    </w:p>
    <w:p>
      <w:pPr>
        <w:pStyle w:val="BookText"/>
      </w:pPr>
      <w:r>
        <w:rPr>
          <w:rFonts w:ascii="IRNazanin" w:hAnsi="IRNazanin" w:eastAsia="IRNazanin" w:cs="IRNazanin"/>
          <w:lang w:bidi="fa-IR"/>
          <w:color w:val="111111"/>
          <w:sz w:val="28"/>
          <w:szCs w:val="28"/>
          <w:rtl/>
        </w:rPr>
        <w:t xml:space="preserve">ص 453 .</w:t>
      </w:r>
    </w:p>
    <w:p>
      <w:pPr>
        <w:pStyle w:val="BookText"/>
      </w:pPr>
      <w:r>
        <w:rPr>
          <w:rFonts w:ascii="Amiri" w:hAnsi="Amiri" w:eastAsia="Amiri" w:cs="Amiri"/>
          <w:lang w:bidi="ar-SA"/>
          <w:color w:val="111111"/>
          <w:sz w:val="28"/>
          <w:szCs w:val="28"/>
          <w:rtl/>
        </w:rPr>
        <w:t xml:space="preserve">149 .صفة أولي الأبصار و الألباب و</w:t>
      </w:r>
    </w:p>
    <w:p>
      <w:pPr>
        <w:pStyle w:val="BookText"/>
      </w:pPr>
      <w:r>
        <w:rPr>
          <w:rFonts w:ascii="Amiri" w:hAnsi="Amiri" w:eastAsia="Amiri" w:cs="Amiri"/>
          <w:lang w:bidi="ar-SA"/>
          <w:color w:val="111111"/>
          <w:sz w:val="28"/>
          <w:szCs w:val="28"/>
          <w:rtl/>
        </w:rPr>
        <w:t xml:space="preserve">أضداد هم الحائدين عن الصواب</w:t>
      </w:r>
    </w:p>
    <w:p>
      <w:pPr>
        <w:pStyle w:val="BookText"/>
      </w:pPr>
      <w:r>
        <w:rPr>
          <w:rFonts w:ascii="IRNazanin" w:hAnsi="IRNazanin" w:eastAsia="IRNazanin" w:cs="IRNazanin"/>
          <w:lang w:bidi="fa-IR"/>
          <w:color w:val="111111"/>
          <w:sz w:val="28"/>
          <w:szCs w:val="28"/>
          <w:rtl/>
        </w:rPr>
        <w:t xml:space="preserve">ج 10، ص 567.</w:t>
      </w:r>
    </w:p>
    <w:p>
      <w:pPr>
        <w:pStyle w:val="BookText"/>
      </w:pPr>
      <w:r>
        <w:rPr>
          <w:rFonts w:ascii="Amiri" w:hAnsi="Amiri" w:eastAsia="Amiri" w:cs="Amiri"/>
          <w:lang w:bidi="ar-SA"/>
          <w:color w:val="111111"/>
          <w:sz w:val="28"/>
          <w:szCs w:val="28"/>
          <w:rtl/>
        </w:rPr>
        <w:t xml:space="preserve">150 .صلاة الضحى، ج 10، ص 608.</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Amiri" w:hAnsi="Amiri" w:eastAsia="Amiri" w:cs="Amiri"/>
          <w:lang w:bidi="ar-SA"/>
          <w:color w:val="111111"/>
          <w:sz w:val="28"/>
          <w:szCs w:val="28"/>
          <w:rtl/>
        </w:rPr>
        <w:t xml:space="preserve">ضوء البدر في احياء ليلة عرفة و العيدين و نصف شعبان وليلة</w:t>
      </w:r>
    </w:p>
    <w:p>
      <w:pPr>
        <w:pStyle w:val="BookText"/>
      </w:pPr>
      <w:r>
        <w:rPr>
          <w:rFonts w:ascii="IRNazanin" w:hAnsi="IRNazanin" w:eastAsia="IRNazanin" w:cs="IRNazanin"/>
          <w:lang w:bidi="fa-IR"/>
          <w:color w:val="111111"/>
          <w:sz w:val="28"/>
          <w:szCs w:val="28"/>
          <w:rtl/>
        </w:rPr>
        <w:t xml:space="preserve">القدر، ج 10، ص 697 .</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العجاجة الزرنبية في السلالة</w:t>
      </w:r>
    </w:p>
    <w:p>
      <w:pPr>
        <w:pStyle w:val="BookText"/>
      </w:pPr>
      <w:r>
        <w:rPr>
          <w:rFonts w:ascii="Amiri" w:hAnsi="Amiri" w:eastAsia="Amiri" w:cs="Amiri"/>
          <w:lang w:bidi="ar-SA"/>
          <w:color w:val="111111"/>
          <w:sz w:val="28"/>
          <w:szCs w:val="28"/>
          <w:rtl/>
        </w:rPr>
        <w:t xml:space="preserve">الزينبية، ج 11، ص22.</w:t>
      </w:r>
    </w:p>
    <w:p>
      <w:pPr>
        <w:pStyle w:val="BookText"/>
      </w:pPr>
      <w:r>
        <w:rPr>
          <w:rFonts w:ascii="Amiri" w:hAnsi="Amiri" w:eastAsia="Amiri" w:cs="Amiri"/>
          <w:lang w:bidi="ar-SA"/>
          <w:color w:val="111111"/>
          <w:sz w:val="28"/>
          <w:szCs w:val="28"/>
          <w:rtl/>
        </w:rPr>
        <w:t xml:space="preserve">153 .العرش والكرسي رسالة) في)</w:t>
      </w:r>
    </w:p>
    <w:p>
      <w:pPr>
        <w:pStyle w:val="BookText"/>
      </w:pPr>
      <w:r>
        <w:rPr>
          <w:rFonts w:ascii="IRNazanin" w:hAnsi="IRNazanin" w:eastAsia="IRNazanin" w:cs="IRNazanin"/>
          <w:lang w:bidi="fa-IR"/>
          <w:color w:val="111111"/>
          <w:sz w:val="28"/>
          <w:szCs w:val="28"/>
          <w:rtl/>
        </w:rPr>
        <w:t xml:space="preserve">ج 11 ، ص 77</w:t>
      </w:r>
    </w:p>
    <w:p>
      <w:pPr>
        <w:pStyle w:val="BookText"/>
      </w:pPr>
      <w:r>
        <w:rPr>
          <w:rFonts w:ascii="Amiri" w:hAnsi="Amiri" w:eastAsia="Amiri" w:cs="Amiri"/>
          <w:lang w:bidi="ar-SA"/>
          <w:color w:val="111111"/>
          <w:sz w:val="28"/>
          <w:szCs w:val="28"/>
          <w:rtl/>
        </w:rPr>
        <w:t xml:space="preserve">154 . العرف الوردي في اخبار المهدي</w:t>
      </w:r>
    </w:p>
    <w:p>
      <w:pPr>
        <w:pStyle w:val="BookText"/>
      </w:pPr>
      <w:r>
        <w:rPr>
          <w:rFonts w:ascii="IRNazanin" w:hAnsi="IRNazanin" w:eastAsia="IRNazanin" w:cs="IRNazanin"/>
          <w:lang w:bidi="fa-IR"/>
          <w:color w:val="111111"/>
          <w:sz w:val="28"/>
          <w:szCs w:val="28"/>
          <w:rtl/>
        </w:rPr>
        <w:t xml:space="preserve">(ع)، ج 11، ص 83.</w:t>
      </w:r>
    </w:p>
    <w:p>
      <w:pPr>
        <w:pStyle w:val="BookText"/>
      </w:pPr>
      <w:r>
        <w:rPr>
          <w:rFonts w:ascii="Amiri" w:hAnsi="Amiri" w:eastAsia="Amiri" w:cs="Amiri"/>
          <w:lang w:bidi="ar-SA"/>
          <w:color w:val="111111"/>
          <w:sz w:val="28"/>
          <w:szCs w:val="28"/>
          <w:rtl/>
        </w:rPr>
        <w:t xml:space="preserve">155 .العروض (رسالة في)، ج11،</w:t>
      </w:r>
    </w:p>
    <w:p>
      <w:pPr>
        <w:pStyle w:val="BookText"/>
      </w:pPr>
      <w:r>
        <w:rPr>
          <w:rFonts w:ascii="IRNazanin" w:hAnsi="IRNazanin" w:eastAsia="IRNazanin" w:cs="IRNazanin"/>
          <w:lang w:bidi="fa-IR"/>
          <w:color w:val="111111"/>
          <w:sz w:val="28"/>
          <w:szCs w:val="28"/>
          <w:rtl/>
        </w:rPr>
        <w:t xml:space="preserve">ص 96.</w:t>
      </w:r>
    </w:p>
    <w:p>
      <w:pPr>
        <w:pStyle w:val="BookText"/>
      </w:pPr>
      <w:r>
        <w:rPr>
          <w:rFonts w:ascii="Amiri" w:hAnsi="Amiri" w:eastAsia="Amiri" w:cs="Amiri"/>
          <w:lang w:bidi="ar-SA"/>
          <w:color w:val="111111"/>
          <w:sz w:val="28"/>
          <w:szCs w:val="28"/>
          <w:rtl/>
        </w:rPr>
        <w:t xml:space="preserve">156 .عصمة الانبياء (رسالة في)، ج11،</w:t>
      </w:r>
    </w:p>
    <w:p>
      <w:pPr>
        <w:pStyle w:val="BookText"/>
      </w:pPr>
      <w:r>
        <w:rPr>
          <w:rFonts w:ascii="IRNazanin" w:hAnsi="IRNazanin" w:eastAsia="IRNazanin" w:cs="IRNazanin"/>
          <w:lang w:bidi="fa-IR"/>
          <w:color w:val="111111"/>
          <w:sz w:val="28"/>
          <w:szCs w:val="28"/>
          <w:rtl/>
        </w:rPr>
        <w:t xml:space="preserve">ص 124 .</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عقد حلق الذكر بالجهر (رسالة</w:t>
      </w:r>
    </w:p>
    <w:p>
      <w:pPr>
        <w:pStyle w:val="BookText"/>
      </w:pPr>
      <w:r>
        <w:rPr>
          <w:rFonts w:ascii="Amiri" w:hAnsi="Amiri" w:eastAsia="Amiri" w:cs="Amiri"/>
          <w:lang w:bidi="ar-SA"/>
          <w:color w:val="111111"/>
          <w:sz w:val="28"/>
          <w:szCs w:val="28"/>
          <w:rtl/>
        </w:rPr>
        <w:t xml:space="preserve">في)، ج 11، ص 162.</w:t>
      </w:r>
    </w:p>
    <w:p>
      <w:pPr>
        <w:pStyle w:val="BookText"/>
      </w:pPr>
      <w:r>
        <w:rPr>
          <w:rFonts w:ascii="Amiri" w:hAnsi="Amiri" w:eastAsia="Amiri" w:cs="Amiri"/>
          <w:lang w:bidi="ar-SA"/>
          <w:color w:val="111111"/>
          <w:sz w:val="28"/>
          <w:szCs w:val="28"/>
          <w:rtl/>
        </w:rPr>
        <w:t xml:space="preserve">158 .عقود الجمان في المعاني والبيان</w:t>
      </w:r>
    </w:p>
    <w:p>
      <w:pPr>
        <w:pStyle w:val="BookText"/>
      </w:pPr>
      <w:r>
        <w:rPr>
          <w:rFonts w:ascii="Amiri" w:hAnsi="Amiri" w:eastAsia="Amiri" w:cs="Amiri"/>
          <w:lang w:bidi="ar-SA"/>
          <w:color w:val="111111"/>
          <w:sz w:val="28"/>
          <w:szCs w:val="28"/>
          <w:rtl/>
        </w:rPr>
        <w:t xml:space="preserve">منظومة في المعاني والبيان</w:t>
      </w:r>
    </w:p>
    <w:p>
      <w:pPr>
        <w:pStyle w:val="BookText"/>
      </w:pPr>
      <w:r>
        <w:rPr>
          <w:rFonts w:ascii="IRNazanin" w:hAnsi="IRNazanin" w:eastAsia="IRNazanin" w:cs="IRNazanin"/>
          <w:lang w:bidi="fa-IR"/>
          <w:color w:val="111111"/>
          <w:sz w:val="28"/>
          <w:szCs w:val="28"/>
          <w:rtl/>
        </w:rPr>
        <w:t xml:space="preserve">ج 11، ص 182.</w:t>
      </w:r>
    </w:p>
    <w:p>
      <w:pPr>
        <w:pStyle w:val="BookText"/>
      </w:pPr>
      <w:r>
        <w:rPr>
          <w:rFonts w:ascii="IRNazanin" w:hAnsi="IRNazanin" w:eastAsia="IRNazanin" w:cs="IRNazanin"/>
          <w:lang w:bidi="fa-IR"/>
          <w:color w:val="111111"/>
          <w:sz w:val="28"/>
          <w:szCs w:val="28"/>
          <w:rtl/>
        </w:rPr>
        <w:t xml:space="preserve">159 .عقود الزبرجد على مسند الامام</w:t>
      </w:r>
    </w:p>
    <w:p>
      <w:pPr>
        <w:pStyle w:val="BookText"/>
      </w:pPr>
      <w:r>
        <w:rPr>
          <w:rFonts w:ascii="IRNazanin" w:hAnsi="IRNazanin" w:eastAsia="IRNazanin" w:cs="IRNazanin"/>
          <w:lang w:bidi="fa-IR"/>
          <w:color w:val="111111"/>
          <w:sz w:val="28"/>
          <w:szCs w:val="28"/>
          <w:rtl/>
        </w:rPr>
        <w:t xml:space="preserve">احمد = اعراب ،الحدیث، ج11،</w:t>
      </w:r>
    </w:p>
    <w:p>
      <w:pPr>
        <w:pStyle w:val="BookText"/>
      </w:pPr>
      <w:r>
        <w:rPr>
          <w:rFonts w:ascii="IRNazanin" w:hAnsi="IRNazanin" w:eastAsia="IRNazanin" w:cs="IRNazanin"/>
          <w:lang w:bidi="fa-IR"/>
          <w:color w:val="111111"/>
          <w:sz w:val="28"/>
          <w:szCs w:val="28"/>
          <w:rtl/>
        </w:rPr>
        <w:t xml:space="preserve">ص 190.</w:t>
      </w:r>
    </w:p>
    <w:p>
      <w:pPr>
        <w:pStyle w:val="BookText"/>
      </w:pPr>
      <w:r>
        <w:rPr>
          <w:rFonts w:ascii="Amiri" w:hAnsi="Amiri" w:eastAsia="Amiri" w:cs="Amiri"/>
          <w:lang w:bidi="ar-SA"/>
          <w:color w:val="111111"/>
          <w:sz w:val="28"/>
          <w:szCs w:val="28"/>
          <w:rtl/>
        </w:rPr>
        <w:t xml:space="preserve">160 . عقيدة الايمان (منظوم)، ج 11،</w:t>
      </w:r>
    </w:p>
    <w:p>
      <w:pPr>
        <w:pStyle w:val="BookText"/>
      </w:pPr>
      <w:r>
        <w:rPr>
          <w:rFonts w:ascii="IRNazanin" w:hAnsi="IRNazanin" w:eastAsia="IRNazanin" w:cs="IRNazanin"/>
          <w:lang w:bidi="fa-IR"/>
          <w:color w:val="111111"/>
          <w:sz w:val="28"/>
          <w:szCs w:val="28"/>
          <w:rtl/>
        </w:rPr>
        <w:t xml:space="preserve">ص 200.</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عقيدة الكناني محمّد بن علي بن</w:t>
      </w:r>
    </w:p>
    <w:p>
      <w:pPr>
        <w:pStyle w:val="BookText"/>
      </w:pPr>
      <w:r>
        <w:rPr>
          <w:rFonts w:ascii="IRNazanin" w:hAnsi="IRNazanin" w:eastAsia="IRNazanin" w:cs="IRNazanin"/>
          <w:lang w:bidi="fa-IR"/>
          <w:color w:val="111111"/>
          <w:sz w:val="28"/>
          <w:szCs w:val="28"/>
          <w:rtl/>
        </w:rPr>
        <w:t xml:space="preserve">عراق، ج 11، ص 207.</w:t>
      </w:r>
    </w:p>
    <w:p>
      <w:pPr>
        <w:pStyle w:val="BookText"/>
      </w:pPr>
      <w:r>
        <w:rPr>
          <w:rFonts w:ascii="Amiri" w:hAnsi="Amiri" w:eastAsia="Amiri" w:cs="Amiri"/>
          <w:lang w:bidi="ar-SA"/>
          <w:color w:val="111111"/>
          <w:sz w:val="28"/>
          <w:szCs w:val="28"/>
          <w:rtl/>
        </w:rPr>
        <w:t xml:space="preserve">162 .علم الحديث (رسالة في)، ج 11،</w:t>
      </w:r>
    </w:p>
    <w:p>
      <w:pPr>
        <w:pStyle w:val="BookText"/>
      </w:pPr>
      <w:r>
        <w:rPr>
          <w:rFonts w:ascii="IRNazanin" w:hAnsi="IRNazanin" w:eastAsia="IRNazanin" w:cs="IRNazanin"/>
          <w:lang w:bidi="fa-IR"/>
          <w:color w:val="111111"/>
          <w:sz w:val="28"/>
          <w:szCs w:val="28"/>
          <w:rtl/>
        </w:rPr>
        <w:t xml:space="preserve">ص 239.</w:t>
      </w:r>
    </w:p>
    <w:p>
      <w:pPr>
        <w:pStyle w:val="BookText"/>
      </w:pPr>
      <w:r>
        <w:rPr>
          <w:rFonts w:ascii="Amiri" w:hAnsi="Amiri" w:eastAsia="Amiri" w:cs="Amiri"/>
          <w:lang w:bidi="ar-SA"/>
          <w:color w:val="111111"/>
          <w:sz w:val="28"/>
          <w:szCs w:val="28"/>
          <w:rtl/>
        </w:rPr>
        <w:t xml:space="preserve">سيوطي ، عبدالرحمن 639</w:t>
      </w:r>
    </w:p>
    <w:p>
      <w:pPr>
        <w:pStyle w:val="BookText"/>
      </w:pPr>
      <w:r>
        <w:rPr>
          <w:rFonts w:ascii="Amiri" w:hAnsi="Amiri" w:eastAsia="Amiri" w:cs="Amiri"/>
          <w:lang w:bidi="ar-SA"/>
          <w:color w:val="111111"/>
          <w:sz w:val="28"/>
          <w:szCs w:val="28"/>
          <w:rtl/>
        </w:rPr>
        <w:t xml:space="preserve">163 . العمر (رسالة في)، ج 11، ص309.</w:t>
      </w:r>
    </w:p>
    <w:p>
      <w:pPr>
        <w:pStyle w:val="BookText"/>
      </w:pPr>
      <w:r>
        <w:rPr>
          <w:rFonts w:ascii="Amiri" w:hAnsi="Amiri" w:eastAsia="Amiri" w:cs="Amiri"/>
          <w:lang w:bidi="ar-SA"/>
          <w:color w:val="111111"/>
          <w:sz w:val="28"/>
          <w:szCs w:val="28"/>
          <w:rtl/>
        </w:rPr>
        <w:t xml:space="preserve">164 .عمل اليوم والليلة، ج 11،</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IRNazanin" w:hAnsi="IRNazanin" w:eastAsia="IRNazanin" w:cs="IRNazanin"/>
          <w:lang w:bidi="fa-IR"/>
          <w:color w:val="111111"/>
          <w:sz w:val="28"/>
          <w:szCs w:val="28"/>
          <w:rtl/>
        </w:rPr>
        <w:t xml:space="preserve">165 .الغمساز على اللمساز، ج 11،</w:t>
      </w:r>
    </w:p>
    <w:p>
      <w:pPr>
        <w:pStyle w:val="BookText"/>
      </w:pPr>
      <w:r>
        <w:rPr>
          <w:rFonts w:ascii="IRNazanin" w:hAnsi="IRNazanin" w:eastAsia="IRNazanin" w:cs="IRNazanin"/>
          <w:lang w:bidi="fa-IR"/>
          <w:color w:val="111111"/>
          <w:sz w:val="28"/>
          <w:szCs w:val="28"/>
          <w:rtl/>
        </w:rPr>
        <w:t xml:space="preserve">ص 510.</w:t>
      </w:r>
    </w:p>
    <w:p>
      <w:pPr>
        <w:pStyle w:val="BookText"/>
      </w:pPr>
      <w:r>
        <w:rPr>
          <w:rFonts w:ascii="Amiri" w:hAnsi="Amiri" w:eastAsia="Amiri" w:cs="Amiri"/>
          <w:lang w:bidi="ar-SA"/>
          <w:color w:val="111111"/>
          <w:sz w:val="28"/>
          <w:szCs w:val="28"/>
          <w:rtl/>
        </w:rPr>
        <w:t xml:space="preserve">166 . الفانيد في حلاوة الاسانيد، ج11،</w:t>
      </w:r>
    </w:p>
    <w:p>
      <w:pPr>
        <w:pStyle w:val="BookText"/>
      </w:pPr>
      <w:r>
        <w:rPr>
          <w:rFonts w:ascii="IRNazanin" w:hAnsi="IRNazanin" w:eastAsia="IRNazanin" w:cs="IRNazanin"/>
          <w:lang w:bidi="fa-IR"/>
          <w:color w:val="111111"/>
          <w:sz w:val="28"/>
          <w:szCs w:val="28"/>
          <w:rtl/>
        </w:rPr>
        <w:t xml:space="preserve">ص 588</w:t>
      </w:r>
    </w:p>
    <w:p>
      <w:pPr>
        <w:pStyle w:val="BookText"/>
      </w:pPr>
      <w:r>
        <w:rPr>
          <w:rFonts w:ascii="Amiri" w:hAnsi="Amiri" w:eastAsia="Amiri" w:cs="Amiri"/>
          <w:lang w:bidi="ar-SA"/>
          <w:color w:val="111111"/>
          <w:sz w:val="28"/>
          <w:szCs w:val="28"/>
          <w:rtl/>
        </w:rPr>
        <w:t xml:space="preserve">167 .فتنة الاطفال في قبورهم، ج11،</w:t>
      </w:r>
    </w:p>
    <w:p>
      <w:pPr>
        <w:pStyle w:val="BookText"/>
      </w:pPr>
      <w:r>
        <w:rPr>
          <w:rFonts w:ascii="IRNazanin" w:hAnsi="IRNazanin" w:eastAsia="IRNazanin" w:cs="IRNazanin"/>
          <w:lang w:bidi="fa-IR"/>
          <w:color w:val="111111"/>
          <w:sz w:val="28"/>
          <w:szCs w:val="28"/>
          <w:rtl/>
        </w:rPr>
        <w:t xml:space="preserve">ص 700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Amiri" w:hAnsi="Amiri" w:eastAsia="Amiri" w:cs="Amiri"/>
          <w:lang w:bidi="ar-SA"/>
          <w:color w:val="111111"/>
          <w:sz w:val="28"/>
          <w:szCs w:val="28"/>
          <w:rtl/>
        </w:rPr>
        <w:t xml:space="preserve">فتوى في ماء زمزم، ج 11، ص719.</w:t>
      </w:r>
    </w:p>
    <w:p>
      <w:pPr>
        <w:pStyle w:val="BookText"/>
      </w:pPr>
      <w:r>
        <w:rPr>
          <w:rFonts w:ascii="Amiri" w:hAnsi="Amiri" w:eastAsia="Amiri" w:cs="Amiri"/>
          <w:lang w:bidi="ar-SA"/>
          <w:color w:val="111111"/>
          <w:sz w:val="28"/>
          <w:szCs w:val="28"/>
          <w:rtl/>
        </w:rPr>
        <w:t xml:space="preserve">169 . الفريدة = الفية، ج 11، ص819.</w:t>
      </w:r>
    </w:p>
    <w:p>
      <w:pPr>
        <w:pStyle w:val="BookText"/>
      </w:pPr>
      <w:r>
        <w:rPr>
          <w:rFonts w:ascii="Amiri" w:hAnsi="Amiri" w:eastAsia="Amiri" w:cs="Amiri"/>
          <w:lang w:bidi="ar-SA"/>
          <w:color w:val="111111"/>
          <w:sz w:val="28"/>
          <w:szCs w:val="28"/>
          <w:rtl/>
        </w:rPr>
        <w:t xml:space="preserve">170 .فضيلة الجلد عند فقد الولد</w:t>
      </w:r>
    </w:p>
    <w:p>
      <w:pPr>
        <w:pStyle w:val="BookText"/>
      </w:pPr>
      <w:r>
        <w:rPr>
          <w:rFonts w:ascii="IRNazanin" w:hAnsi="IRNazanin" w:eastAsia="IRNazanin" w:cs="IRNazanin"/>
          <w:lang w:bidi="fa-IR"/>
          <w:color w:val="111111"/>
          <w:sz w:val="28"/>
          <w:szCs w:val="28"/>
          <w:rtl/>
        </w:rPr>
        <w:t xml:space="preserve">ج 12، ص31.</w:t>
      </w:r>
    </w:p>
    <w:p>
      <w:pPr>
        <w:pStyle w:val="BookText"/>
      </w:pPr>
      <w:r>
        <w:rPr>
          <w:rFonts w:ascii="Amiri" w:hAnsi="Amiri" w:eastAsia="Amiri" w:cs="Amiri"/>
          <w:lang w:bidi="ar-SA"/>
          <w:color w:val="111111"/>
          <w:sz w:val="28"/>
          <w:szCs w:val="28"/>
          <w:rtl/>
        </w:rPr>
        <w:t xml:space="preserve">171 .فهرست مؤلفات السيوطي</w:t>
      </w:r>
    </w:p>
    <w:p>
      <w:pPr>
        <w:pStyle w:val="BookText"/>
      </w:pPr>
      <w:r>
        <w:rPr>
          <w:rFonts w:ascii="IRNazanin" w:hAnsi="IRNazanin" w:eastAsia="IRNazanin" w:cs="IRNazanin"/>
          <w:lang w:bidi="fa-IR"/>
          <w:color w:val="111111"/>
          <w:sz w:val="28"/>
          <w:szCs w:val="28"/>
          <w:rtl/>
        </w:rPr>
        <w:t xml:space="preserve">ج 12، ص 157.</w:t>
      </w:r>
    </w:p>
    <w:p>
      <w:pPr>
        <w:pStyle w:val="BookText"/>
      </w:pPr>
      <w:r>
        <w:rPr>
          <w:rFonts w:ascii="Amiri" w:hAnsi="Amiri" w:eastAsia="Amiri" w:cs="Amiri"/>
          <w:lang w:bidi="ar-SA"/>
          <w:color w:val="111111"/>
          <w:sz w:val="28"/>
          <w:szCs w:val="28"/>
          <w:rtl/>
        </w:rPr>
        <w:t xml:space="preserve">172 .فوائد في فنون شتى، ج 12،</w:t>
      </w:r>
    </w:p>
    <w:p>
      <w:pPr>
        <w:pStyle w:val="BookText"/>
      </w:pPr>
      <w:r>
        <w:rPr>
          <w:rFonts w:ascii="IRNazanin" w:hAnsi="IRNazanin" w:eastAsia="IRNazanin" w:cs="IRNazanin"/>
          <w:lang w:bidi="fa-IR"/>
          <w:color w:val="111111"/>
          <w:sz w:val="28"/>
          <w:szCs w:val="28"/>
          <w:rtl/>
        </w:rPr>
        <w:t xml:space="preserve">ص 260 .</w:t>
      </w:r>
    </w:p>
    <w:p>
      <w:pPr>
        <w:pStyle w:val="BookText"/>
      </w:pPr>
      <w:r>
        <w:rPr>
          <w:rFonts w:ascii="Amiri" w:hAnsi="Amiri" w:eastAsia="Amiri" w:cs="Amiri"/>
          <w:lang w:bidi="ar-SA"/>
          <w:color w:val="111111"/>
          <w:sz w:val="28"/>
          <w:szCs w:val="28"/>
          <w:rtl/>
        </w:rPr>
        <w:t xml:space="preserve">173 . قصيدة في أسماء الخلفاء و</w:t>
      </w:r>
    </w:p>
    <w:p>
      <w:pPr>
        <w:pStyle w:val="BookText"/>
      </w:pPr>
      <w:r>
        <w:rPr>
          <w:rFonts w:ascii="Amiri" w:hAnsi="Amiri" w:eastAsia="Amiri" w:cs="Amiri"/>
          <w:lang w:bidi="ar-SA"/>
          <w:color w:val="111111"/>
          <w:sz w:val="28"/>
          <w:szCs w:val="28"/>
          <w:rtl/>
        </w:rPr>
        <w:t xml:space="preserve">وفياتهم، ج 12، ص 689.</w:t>
      </w:r>
    </w:p>
    <w:p>
      <w:pPr>
        <w:pStyle w:val="BookText"/>
      </w:pPr>
      <w:r>
        <w:rPr>
          <w:rFonts w:ascii="Amiri" w:hAnsi="Amiri" w:eastAsia="Amiri" w:cs="Amiri"/>
          <w:lang w:bidi="ar-SA"/>
          <w:color w:val="111111"/>
          <w:sz w:val="28"/>
          <w:szCs w:val="28"/>
          <w:rtl/>
        </w:rPr>
        <w:t xml:space="preserve">174 .قلائد العقيان، ج 12، ص 760 .</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Amiri" w:hAnsi="Amiri" w:eastAsia="Amiri" w:cs="Amiri"/>
          <w:lang w:bidi="ar-SA"/>
          <w:color w:val="111111"/>
          <w:sz w:val="28"/>
          <w:szCs w:val="28"/>
          <w:rtl/>
        </w:rPr>
        <w:t xml:space="preserve">قمع المعارض في قصيدة ابن</w:t>
      </w:r>
    </w:p>
    <w:p>
      <w:pPr>
        <w:pStyle w:val="BookText"/>
      </w:pPr>
      <w:r>
        <w:rPr>
          <w:rFonts w:ascii="IRNazanin" w:hAnsi="IRNazanin" w:eastAsia="IRNazanin" w:cs="IRNazanin"/>
          <w:lang w:bidi="fa-IR"/>
          <w:color w:val="111111"/>
          <w:sz w:val="28"/>
          <w:szCs w:val="28"/>
          <w:rtl/>
        </w:rPr>
        <w:t xml:space="preserve">الفارض، ج 12، ص 769.</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قوت النديم و نزهة المسافر و</w:t>
      </w:r>
    </w:p>
    <w:p>
      <w:pPr>
        <w:pStyle w:val="BookText"/>
      </w:pPr>
      <w:r>
        <w:rPr>
          <w:rFonts w:ascii="Amiri" w:hAnsi="Amiri" w:eastAsia="Amiri" w:cs="Amiri"/>
          <w:lang w:bidi="ar-SA"/>
          <w:color w:val="111111"/>
          <w:sz w:val="28"/>
          <w:szCs w:val="28"/>
          <w:rtl/>
        </w:rPr>
        <w:t xml:space="preserve">المقيم، ج 12، ص 832.</w:t>
      </w:r>
    </w:p>
    <w:p>
      <w:pPr>
        <w:pStyle w:val="BookText"/>
      </w:pPr>
      <w:r>
        <w:rPr>
          <w:rFonts w:ascii="Amiri" w:hAnsi="Amiri" w:eastAsia="Amiri" w:cs="Amiri"/>
          <w:lang w:bidi="ar-SA"/>
          <w:color w:val="111111"/>
          <w:sz w:val="28"/>
          <w:szCs w:val="28"/>
          <w:rtl/>
        </w:rPr>
        <w:t xml:space="preserve">177 .القول الاشبه في حديث من عرف</w:t>
      </w:r>
    </w:p>
    <w:p>
      <w:pPr>
        <w:pStyle w:val="BookText"/>
      </w:pPr>
      <w:r>
        <w:rPr>
          <w:rFonts w:ascii="IRNazanin" w:hAnsi="IRNazanin" w:eastAsia="IRNazanin" w:cs="IRNazanin"/>
          <w:lang w:bidi="fa-IR"/>
          <w:color w:val="111111"/>
          <w:sz w:val="28"/>
          <w:szCs w:val="28"/>
          <w:rtl/>
        </w:rPr>
        <w:t xml:space="preserve">نفسه فقد عرف ربه، ج12، ص 836.</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Amiri" w:hAnsi="Amiri" w:eastAsia="Amiri" w:cs="Amiri"/>
          <w:lang w:bidi="ar-SA"/>
          <w:color w:val="111111"/>
          <w:sz w:val="28"/>
          <w:szCs w:val="28"/>
          <w:rtl/>
        </w:rPr>
        <w:t xml:space="preserve">القول الجلي في فضائل علي عليه</w:t>
      </w:r>
    </w:p>
    <w:p>
      <w:pPr>
        <w:pStyle w:val="BookText"/>
      </w:pPr>
      <w:r>
        <w:rPr>
          <w:rFonts w:ascii="IRNazanin" w:hAnsi="IRNazanin" w:eastAsia="IRNazanin" w:cs="IRNazanin"/>
          <w:lang w:bidi="fa-IR"/>
          <w:color w:val="111111"/>
          <w:sz w:val="28"/>
          <w:szCs w:val="28"/>
          <w:rtl/>
        </w:rPr>
        <w:t xml:space="preserve">السلام، ج 12، ص 843.</w:t>
      </w:r>
    </w:p>
    <w:p>
      <w:pPr>
        <w:pStyle w:val="BookText"/>
      </w:pPr>
      <w:r>
        <w:rPr>
          <w:rFonts w:ascii="IRNazanin" w:hAnsi="IRNazanin" w:eastAsia="IRNazanin" w:cs="IRNazanin"/>
          <w:lang w:bidi="fa-IR"/>
          <w:color w:val="111111"/>
          <w:sz w:val="28"/>
          <w:szCs w:val="28"/>
          <w:rtl/>
        </w:rPr>
        <w:t xml:space="preserve">179 .کشف الضبابة في مسألة</w:t>
      </w:r>
    </w:p>
    <w:p>
      <w:pPr>
        <w:pStyle w:val="BookText"/>
      </w:pPr>
      <w:r>
        <w:rPr>
          <w:rFonts w:ascii="Amiri" w:hAnsi="Amiri" w:eastAsia="Amiri" w:cs="Amiri"/>
          <w:lang w:bidi="ar-SA"/>
          <w:color w:val="111111"/>
          <w:sz w:val="28"/>
          <w:szCs w:val="28"/>
          <w:rtl/>
        </w:rPr>
        <w:t xml:space="preserve">الاستتابة، ج13، ص222.</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كشف الغمي في اخبار الحمى</w:t>
      </w:r>
    </w:p>
    <w:p>
      <w:pPr>
        <w:pStyle w:val="BookText"/>
      </w:pPr>
      <w:r>
        <w:rPr>
          <w:rFonts w:ascii="IRNazanin" w:hAnsi="IRNazanin" w:eastAsia="IRNazanin" w:cs="IRNazanin"/>
          <w:lang w:bidi="fa-IR"/>
          <w:color w:val="111111"/>
          <w:sz w:val="28"/>
          <w:szCs w:val="28"/>
          <w:rtl/>
        </w:rPr>
        <w:t xml:space="preserve">ج 13، ص 242.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181 .الكشف عن مجاوزة هذه الامة</w:t>
      </w:r>
    </w:p>
    <w:p>
      <w:pPr>
        <w:pStyle w:val="BookText"/>
      </w:pPr>
      <w:r>
        <w:rPr>
          <w:rFonts w:ascii="IRNazanin" w:hAnsi="IRNazanin" w:eastAsia="IRNazanin" w:cs="IRNazanin"/>
          <w:lang w:bidi="fa-IR"/>
          <w:color w:val="111111"/>
          <w:sz w:val="28"/>
          <w:szCs w:val="28"/>
          <w:rtl/>
        </w:rPr>
        <w:t xml:space="preserve">الالف، ج 13، ص 229</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Amiri" w:hAnsi="Amiri" w:eastAsia="Amiri" w:cs="Amiri"/>
          <w:lang w:bidi="ar-SA"/>
          <w:color w:val="111111"/>
          <w:sz w:val="28"/>
          <w:szCs w:val="28"/>
          <w:rtl/>
        </w:rPr>
        <w:t xml:space="preserve">الكلم الطيب و القول المختار في المأثور من الدعوات و الاذكار</w:t>
      </w:r>
    </w:p>
    <w:p>
      <w:pPr>
        <w:pStyle w:val="BookText"/>
      </w:pPr>
      <w:r>
        <w:rPr>
          <w:rFonts w:ascii="IRNazanin" w:hAnsi="IRNazanin" w:eastAsia="IRNazanin" w:cs="IRNazanin"/>
          <w:lang w:bidi="fa-IR"/>
          <w:color w:val="111111"/>
          <w:sz w:val="28"/>
          <w:szCs w:val="28"/>
          <w:rtl/>
        </w:rPr>
        <w:t xml:space="preserve">ج 13، ص 380.</w:t>
      </w:r>
    </w:p>
    <w:p>
      <w:pPr>
        <w:pStyle w:val="BookText"/>
      </w:pPr>
      <w:r>
        <w:rPr>
          <w:rFonts w:ascii="Amiri" w:hAnsi="Amiri" w:eastAsia="Amiri" w:cs="Amiri"/>
          <w:lang w:bidi="ar-SA"/>
          <w:color w:val="111111"/>
          <w:sz w:val="28"/>
          <w:szCs w:val="28"/>
          <w:rtl/>
        </w:rPr>
        <w:t xml:space="preserve">183 .كنه المراد في بيان بانت سعاد شرح قصيدة بانت سعاد، ج13،</w:t>
      </w:r>
    </w:p>
    <w:p>
      <w:pPr>
        <w:pStyle w:val="BookText"/>
      </w:pPr>
      <w:r>
        <w:rPr>
          <w:rFonts w:ascii="IRNazanin" w:hAnsi="IRNazanin" w:eastAsia="IRNazanin" w:cs="IRNazanin"/>
          <w:lang w:bidi="fa-IR"/>
          <w:color w:val="111111"/>
          <w:sz w:val="28"/>
          <w:szCs w:val="28"/>
          <w:rtl/>
        </w:rPr>
        <w:t xml:space="preserve">ص 446 .</w:t>
      </w:r>
    </w:p>
    <w:p>
      <w:pPr>
        <w:pStyle w:val="BookText"/>
      </w:pPr>
      <w:r>
        <w:rPr>
          <w:rFonts w:ascii="Amiri" w:hAnsi="Amiri" w:eastAsia="Amiri" w:cs="Amiri"/>
          <w:lang w:bidi="ar-SA"/>
          <w:color w:val="111111"/>
          <w:sz w:val="28"/>
          <w:szCs w:val="28"/>
          <w:rtl/>
        </w:rPr>
        <w:t xml:space="preserve">184 . الكواكب الساريات في الاحاديث</w:t>
      </w:r>
    </w:p>
    <w:p>
      <w:pPr>
        <w:pStyle w:val="BookText"/>
      </w:pPr>
      <w:r>
        <w:rPr>
          <w:rFonts w:ascii="Amiri" w:hAnsi="Amiri" w:eastAsia="Amiri" w:cs="Amiri"/>
          <w:lang w:bidi="ar-SA"/>
          <w:color w:val="111111"/>
          <w:sz w:val="28"/>
          <w:szCs w:val="28"/>
          <w:rtl/>
        </w:rPr>
        <w:t xml:space="preserve">العشاريات، ج 13، ص 465.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الكوكب الساطع في شرح ارجوزة</w:t>
      </w:r>
    </w:p>
    <w:p>
      <w:pPr>
        <w:pStyle w:val="BookText"/>
      </w:pPr>
      <w:r>
        <w:rPr>
          <w:rFonts w:ascii="IRNazanin" w:hAnsi="IRNazanin" w:eastAsia="IRNazanin" w:cs="IRNazanin"/>
          <w:lang w:bidi="fa-IR"/>
          <w:color w:val="111111"/>
          <w:sz w:val="28"/>
          <w:szCs w:val="28"/>
          <w:rtl/>
        </w:rPr>
        <w:t xml:space="preserve">جمع الجوامع، ج13، ص 471.</w:t>
      </w:r>
    </w:p>
    <w:p>
      <w:pPr>
        <w:pStyle w:val="BookText"/>
      </w:pPr>
      <w:r>
        <w:rPr>
          <w:rFonts w:ascii="Amiri" w:hAnsi="Amiri" w:eastAsia="Amiri" w:cs="Amiri"/>
          <w:lang w:bidi="ar-SA"/>
          <w:color w:val="111111"/>
          <w:sz w:val="28"/>
          <w:szCs w:val="28"/>
          <w:rtl/>
        </w:rPr>
        <w:t xml:space="preserve">186 . لب اللباب في تحرير الانساب = الالباب في معرفة الانساب في</w:t>
      </w:r>
    </w:p>
    <w:p>
      <w:pPr>
        <w:pStyle w:val="BookText"/>
      </w:pPr>
      <w:r>
        <w:rPr>
          <w:rFonts w:ascii="IRNazanin" w:hAnsi="IRNazanin" w:eastAsia="IRNazanin" w:cs="IRNazanin"/>
          <w:lang w:bidi="fa-IR"/>
          <w:color w:val="111111"/>
          <w:sz w:val="28"/>
          <w:szCs w:val="28"/>
          <w:rtl/>
        </w:rPr>
        <w:t xml:space="preserve">العرب، ج 13، ص 562.</w:t>
      </w:r>
    </w:p>
    <w:p>
      <w:pPr>
        <w:pStyle w:val="BookText"/>
      </w:pPr>
      <w:r>
        <w:rPr>
          <w:rFonts w:ascii="Amiri" w:hAnsi="Amiri" w:eastAsia="Amiri" w:cs="Amiri"/>
          <w:lang w:bidi="ar-SA"/>
          <w:color w:val="111111"/>
          <w:sz w:val="28"/>
          <w:szCs w:val="28"/>
          <w:rtl/>
        </w:rPr>
        <w:t xml:space="preserve">187 .لقط المرجان في اخبار الجان</w:t>
      </w:r>
    </w:p>
    <w:p>
      <w:pPr>
        <w:pStyle w:val="BookText"/>
      </w:pPr>
      <w:r>
        <w:rPr>
          <w:rFonts w:ascii="IRNazanin" w:hAnsi="IRNazanin" w:eastAsia="IRNazanin" w:cs="IRNazanin"/>
          <w:lang w:bidi="fa-IR"/>
          <w:color w:val="111111"/>
          <w:sz w:val="28"/>
          <w:szCs w:val="28"/>
          <w:rtl/>
        </w:rPr>
        <w:t xml:space="preserve">ج 13، ص 606.</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اللمع في أسباب الحديث، ج 13،</w:t>
      </w:r>
    </w:p>
    <w:p>
      <w:pPr>
        <w:pStyle w:val="BookText"/>
      </w:pPr>
      <w:r>
        <w:rPr>
          <w:rFonts w:ascii="IRNazanin" w:hAnsi="IRNazanin" w:eastAsia="IRNazanin" w:cs="IRNazanin"/>
          <w:lang w:bidi="fa-IR"/>
          <w:color w:val="111111"/>
          <w:sz w:val="28"/>
          <w:szCs w:val="28"/>
          <w:rtl/>
        </w:rPr>
        <w:t xml:space="preserve">ص 629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اللمع و البرق في الجمع و الفرق - الفن الرابع من الاشباه والنظائر ج 13، ص 629.</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Amiri" w:hAnsi="Amiri" w:eastAsia="Amiri" w:cs="Amiri"/>
          <w:lang w:bidi="ar-SA"/>
          <w:color w:val="111111"/>
          <w:sz w:val="28"/>
          <w:szCs w:val="28"/>
          <w:rtl/>
        </w:rPr>
        <w:t xml:space="preserve">ليلة البرائة رسالة في)، ج 13،</w:t>
      </w:r>
    </w:p>
    <w:p>
      <w:pPr>
        <w:pStyle w:val="BookText"/>
      </w:pPr>
      <w:r>
        <w:rPr>
          <w:rFonts w:ascii="IRNazanin" w:hAnsi="IRNazanin" w:eastAsia="IRNazanin" w:cs="IRNazanin"/>
          <w:lang w:bidi="fa-IR"/>
          <w:color w:val="111111"/>
          <w:sz w:val="28"/>
          <w:szCs w:val="28"/>
          <w:rtl/>
        </w:rPr>
        <w:t xml:space="preserve">ص 665 .</w:t>
      </w:r>
    </w:p>
    <w:p>
      <w:pPr>
        <w:pStyle w:val="BookText"/>
      </w:pPr>
      <w:r>
        <w:rPr>
          <w:rFonts w:ascii="Amiri" w:hAnsi="Amiri" w:eastAsia="Amiri" w:cs="Amiri"/>
          <w:lang w:bidi="ar-SA"/>
          <w:color w:val="111111"/>
          <w:sz w:val="28"/>
          <w:szCs w:val="28"/>
          <w:rtl/>
        </w:rPr>
        <w:t xml:space="preserve">191 .المآرب في قص الشارب، ج 13،</w:t>
      </w:r>
    </w:p>
    <w:p>
      <w:pPr>
        <w:pStyle w:val="BookText"/>
      </w:pPr>
      <w:r>
        <w:rPr>
          <w:rFonts w:ascii="IRNazanin" w:hAnsi="IRNazanin" w:eastAsia="IRNazanin" w:cs="IRNazanin"/>
          <w:lang w:bidi="fa-IR"/>
          <w:color w:val="111111"/>
          <w:sz w:val="28"/>
          <w:szCs w:val="28"/>
          <w:rtl/>
        </w:rPr>
        <w:t xml:space="preserve">ص 672 .</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ما رواه الاساطين = في ذم المجيء</w:t>
      </w:r>
    </w:p>
    <w:p>
      <w:pPr>
        <w:pStyle w:val="BookText"/>
      </w:pPr>
      <w:r>
        <w:rPr>
          <w:rFonts w:ascii="Amiri" w:hAnsi="Amiri" w:eastAsia="Amiri" w:cs="Amiri"/>
          <w:lang w:bidi="ar-SA"/>
          <w:color w:val="111111"/>
          <w:sz w:val="28"/>
          <w:szCs w:val="28"/>
          <w:rtl/>
        </w:rPr>
        <w:t xml:space="preserve">إلى السلاطين = عدم المجيء إلى</w:t>
      </w:r>
    </w:p>
    <w:p>
      <w:pPr>
        <w:pStyle w:val="BookText"/>
      </w:pPr>
      <w:r>
        <w:rPr>
          <w:rFonts w:ascii="Amiri" w:hAnsi="Amiri" w:eastAsia="Amiri" w:cs="Amiri"/>
          <w:lang w:bidi="ar-SA"/>
          <w:color w:val="111111"/>
          <w:sz w:val="28"/>
          <w:szCs w:val="28"/>
          <w:rtl/>
        </w:rPr>
        <w:t xml:space="preserve">السلاطين، ج13، ص 680.</w:t>
      </w:r>
    </w:p>
    <w:p>
      <w:pPr>
        <w:pStyle w:val="BookText"/>
      </w:pPr>
      <w:r>
        <w:rPr>
          <w:rFonts w:ascii="Amiri" w:hAnsi="Amiri" w:eastAsia="Amiri" w:cs="Amiri"/>
          <w:lang w:bidi="ar-SA"/>
          <w:color w:val="111111"/>
          <w:sz w:val="28"/>
          <w:szCs w:val="28"/>
          <w:rtl/>
        </w:rPr>
        <w:t xml:space="preserve">193 .ما رواه الواعون في اخبار</w:t>
      </w:r>
    </w:p>
    <w:p>
      <w:pPr>
        <w:pStyle w:val="BookText"/>
      </w:pPr>
      <w:r>
        <w:rPr>
          <w:rFonts w:ascii="IRNazanin" w:hAnsi="IRNazanin" w:eastAsia="IRNazanin" w:cs="IRNazanin"/>
          <w:lang w:bidi="fa-IR"/>
          <w:color w:val="111111"/>
          <w:sz w:val="28"/>
          <w:szCs w:val="28"/>
          <w:rtl/>
        </w:rPr>
        <w:t xml:space="preserve">الطاعون، ج 13 ، ص 680 .</w:t>
      </w:r>
    </w:p>
    <w:p>
      <w:pPr>
        <w:pStyle w:val="BookText"/>
      </w:pPr>
      <w:r>
        <w:rPr>
          <w:rFonts w:ascii="Amiri" w:hAnsi="Amiri" w:eastAsia="Amiri" w:cs="Amiri"/>
          <w:lang w:bidi="ar-SA"/>
          <w:color w:val="111111"/>
          <w:sz w:val="28"/>
          <w:szCs w:val="28"/>
          <w:rtl/>
        </w:rPr>
        <w:t xml:space="preserve">194 .مبحث الميعاد، ج13، ص 730.</w:t>
      </w:r>
    </w:p>
    <w:p>
      <w:pPr>
        <w:pStyle w:val="BookText"/>
      </w:pPr>
      <w:r>
        <w:rPr>
          <w:rFonts w:ascii="Amiri" w:hAnsi="Amiri" w:eastAsia="Amiri" w:cs="Amiri"/>
          <w:lang w:bidi="ar-SA"/>
          <w:color w:val="111111"/>
          <w:sz w:val="28"/>
          <w:szCs w:val="28"/>
          <w:rtl/>
        </w:rPr>
        <w:t xml:space="preserve">195 .المتجلي في تطور الولي = القول</w:t>
      </w:r>
    </w:p>
    <w:p>
      <w:pPr>
        <w:pStyle w:val="BookText"/>
      </w:pPr>
      <w:r>
        <w:rPr>
          <w:rFonts w:ascii="Amiri" w:hAnsi="Amiri" w:eastAsia="Amiri" w:cs="Amiri"/>
          <w:lang w:bidi="ar-SA"/>
          <w:color w:val="111111"/>
          <w:sz w:val="28"/>
          <w:szCs w:val="28"/>
          <w:rtl/>
        </w:rPr>
        <w:t xml:space="preserve">الجلي في تطوير (تطور) الولي</w:t>
      </w:r>
    </w:p>
    <w:p>
      <w:pPr>
        <w:pStyle w:val="BookText"/>
      </w:pPr>
      <w:r>
        <w:rPr>
          <w:rFonts w:ascii="IRNazanin" w:hAnsi="IRNazanin" w:eastAsia="IRNazanin" w:cs="IRNazanin"/>
          <w:lang w:bidi="fa-IR"/>
          <w:color w:val="111111"/>
          <w:sz w:val="28"/>
          <w:szCs w:val="28"/>
          <w:rtl/>
        </w:rPr>
        <w:t xml:space="preserve">ج 13، ص 747 .</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مجالس السيوطي، ج13،</w:t>
      </w:r>
    </w:p>
    <w:p>
      <w:pPr>
        <w:pStyle w:val="BookText"/>
      </w:pPr>
      <w:r>
        <w:rPr>
          <w:rFonts w:ascii="IRNazanin" w:hAnsi="IRNazanin" w:eastAsia="IRNazanin" w:cs="IRNazanin"/>
          <w:lang w:bidi="fa-IR"/>
          <w:color w:val="111111"/>
          <w:sz w:val="28"/>
          <w:szCs w:val="28"/>
          <w:rtl/>
        </w:rPr>
        <w:t xml:space="preserve">ص 795.</w:t>
      </w:r>
    </w:p>
    <w:p>
      <w:pPr>
        <w:pStyle w:val="BookText"/>
      </w:pPr>
      <w:r>
        <w:rPr>
          <w:rFonts w:ascii="Amiri" w:hAnsi="Amiri" w:eastAsia="Amiri" w:cs="Amiri"/>
          <w:lang w:bidi="ar-SA"/>
          <w:color w:val="111111"/>
          <w:sz w:val="28"/>
          <w:szCs w:val="28"/>
          <w:rtl/>
        </w:rPr>
        <w:t xml:space="preserve">197 .مجدد الدين في رأس كل مائة</w:t>
      </w:r>
    </w:p>
    <w:p>
      <w:pPr>
        <w:pStyle w:val="BookText"/>
      </w:pPr>
      <w:r>
        <w:rPr>
          <w:rFonts w:ascii="Amiri" w:hAnsi="Amiri" w:eastAsia="Amiri" w:cs="Amiri"/>
          <w:lang w:bidi="ar-SA"/>
          <w:color w:val="111111"/>
          <w:sz w:val="28"/>
          <w:szCs w:val="28"/>
          <w:rtl/>
        </w:rPr>
        <w:t xml:space="preserve">(ارجوزة)، ج13، ص 809.</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Amiri" w:hAnsi="Amiri" w:eastAsia="Amiri" w:cs="Amiri"/>
          <w:lang w:bidi="ar-SA"/>
          <w:color w:val="111111"/>
          <w:sz w:val="28"/>
          <w:szCs w:val="28"/>
          <w:rtl/>
        </w:rPr>
        <w:t xml:space="preserve">مجمع البحرين و مطلع البدرين</w:t>
      </w:r>
    </w:p>
    <w:p>
      <w:pPr>
        <w:pStyle w:val="BookText"/>
      </w:pPr>
      <w:r>
        <w:rPr>
          <w:rFonts w:ascii="IRNazanin" w:hAnsi="IRNazanin" w:eastAsia="IRNazanin" w:cs="IRNazanin"/>
          <w:lang w:bidi="fa-IR"/>
          <w:color w:val="111111"/>
          <w:sz w:val="28"/>
          <w:szCs w:val="28"/>
          <w:rtl/>
        </w:rPr>
        <w:t xml:space="preserve">ج 13، ص 832.</w:t>
      </w:r>
    </w:p>
    <w:p>
      <w:pPr>
        <w:pStyle w:val="BookText"/>
      </w:pPr>
      <w:r>
        <w:rPr>
          <w:rFonts w:ascii="Amiri" w:hAnsi="Amiri" w:eastAsia="Amiri" w:cs="Amiri"/>
          <w:lang w:bidi="ar-SA"/>
          <w:color w:val="111111"/>
          <w:sz w:val="28"/>
          <w:szCs w:val="28"/>
          <w:rtl/>
        </w:rPr>
        <w:t xml:space="preserve">199 .مجموعة لجلال الدين السيوطي</w:t>
      </w:r>
    </w:p>
    <w:p>
      <w:pPr>
        <w:pStyle w:val="BookText"/>
      </w:pPr>
      <w:r>
        <w:rPr>
          <w:rFonts w:ascii="IRNazanin" w:hAnsi="IRNazanin" w:eastAsia="IRNazanin" w:cs="IRNazanin"/>
          <w:lang w:bidi="fa-IR"/>
          <w:color w:val="111111"/>
          <w:sz w:val="28"/>
          <w:szCs w:val="28"/>
          <w:rtl/>
        </w:rPr>
        <w:t xml:space="preserve">ج 14، ص 54 .</w:t>
      </w:r>
    </w:p>
    <w:p>
      <w:pPr>
        <w:pStyle w:val="BookText"/>
      </w:pPr>
      <w:r>
        <w:rPr>
          <w:rFonts w:ascii="IRNazanin" w:hAnsi="IRNazanin" w:eastAsia="IRNazanin" w:cs="IRNazanin"/>
          <w:lang w:bidi="fa-IR"/>
          <w:color w:val="111111"/>
          <w:sz w:val="28"/>
          <w:szCs w:val="28"/>
          <w:rtl/>
        </w:rPr>
        <w:t xml:space="preserve">200.المحاضرات و المحاورات ج 14،</w:t>
      </w:r>
    </w:p>
    <w:p>
      <w:pPr>
        <w:pStyle w:val="BookText"/>
      </w:pPr>
      <w:r>
        <w:rPr>
          <w:rFonts w:ascii="IRNazanin" w:hAnsi="IRNazanin" w:eastAsia="IRNazanin" w:cs="IRNazanin"/>
          <w:lang w:bidi="fa-IR"/>
          <w:color w:val="111111"/>
          <w:sz w:val="28"/>
          <w:szCs w:val="28"/>
          <w:rtl/>
        </w:rPr>
        <w:t xml:space="preserve">ص 100.</w:t>
      </w:r>
    </w:p>
    <w:p>
      <w:pPr>
        <w:pStyle w:val="BookText"/>
      </w:pPr>
      <w:r>
        <w:rPr>
          <w:rFonts w:ascii="Amiri" w:hAnsi="Amiri" w:eastAsia="Amiri" w:cs="Amiri"/>
          <w:lang w:bidi="ar-SA"/>
          <w:color w:val="111111"/>
          <w:sz w:val="28"/>
          <w:szCs w:val="28"/>
          <w:rtl/>
        </w:rPr>
        <w:t xml:space="preserve">201 .المحرر في قوله تعالى «ليغفر لك</w:t>
      </w:r>
    </w:p>
    <w:p>
      <w:pPr>
        <w:pStyle w:val="BookText"/>
      </w:pPr>
      <w:r>
        <w:rPr>
          <w:rFonts w:ascii="Amiri" w:hAnsi="Amiri" w:eastAsia="Amiri" w:cs="Amiri"/>
          <w:lang w:bidi="ar-SA"/>
          <w:color w:val="111111"/>
          <w:sz w:val="28"/>
          <w:szCs w:val="28"/>
          <w:rtl/>
        </w:rPr>
        <w:t xml:space="preserve">الله ما تقدم من ذنبك و ما تأخر»</w:t>
      </w:r>
    </w:p>
    <w:p>
      <w:pPr>
        <w:pStyle w:val="BookText"/>
      </w:pPr>
      <w:r>
        <w:rPr>
          <w:rFonts w:ascii="IRNazanin" w:hAnsi="IRNazanin" w:eastAsia="IRNazanin" w:cs="IRNazanin"/>
          <w:lang w:bidi="fa-IR"/>
          <w:color w:val="111111"/>
          <w:sz w:val="28"/>
          <w:szCs w:val="28"/>
          <w:rtl/>
        </w:rPr>
        <w:t xml:space="preserve">ج 14، ص 121.</w:t>
      </w:r>
    </w:p>
    <w:p>
      <w:pPr>
        <w:pStyle w:val="BookText"/>
      </w:pPr>
      <w:r>
        <w:rPr>
          <w:rFonts w:ascii="Amiri" w:hAnsi="Amiri" w:eastAsia="Amiri" w:cs="Amiri"/>
          <w:lang w:bidi="ar-SA"/>
          <w:color w:val="111111"/>
          <w:sz w:val="28"/>
          <w:szCs w:val="28"/>
          <w:rtl/>
        </w:rPr>
        <w:t xml:space="preserve">202 .مختصر الاصابة باعلام الصحابة</w:t>
      </w:r>
    </w:p>
    <w:p>
      <w:pPr>
        <w:pStyle w:val="BookText"/>
      </w:pPr>
      <w:r>
        <w:rPr>
          <w:rFonts w:ascii="IRNazanin" w:hAnsi="IRNazanin" w:eastAsia="IRNazanin" w:cs="IRNazanin"/>
          <w:lang w:bidi="fa-IR"/>
          <w:color w:val="111111"/>
          <w:sz w:val="28"/>
          <w:szCs w:val="28"/>
          <w:rtl/>
        </w:rPr>
        <w:t xml:space="preserve">ج 14، ص 171.</w:t>
      </w:r>
    </w:p>
    <w:p>
      <w:pPr>
        <w:pStyle w:val="BookText"/>
      </w:pPr>
      <w:r>
        <w:rPr>
          <w:rFonts w:ascii="Amiri" w:hAnsi="Amiri" w:eastAsia="Amiri" w:cs="Amiri"/>
          <w:lang w:bidi="ar-SA"/>
          <w:color w:val="111111"/>
          <w:sz w:val="28"/>
          <w:szCs w:val="28"/>
          <w:rtl/>
        </w:rPr>
        <w:t xml:space="preserve">203 .مختصر الالفية، ج 14، ص 174.</w:t>
      </w:r>
    </w:p>
    <w:p>
      <w:pPr>
        <w:pStyle w:val="BookText"/>
      </w:pPr>
      <w:r>
        <w:rPr>
          <w:rFonts w:ascii="Amiri" w:hAnsi="Amiri" w:eastAsia="Amiri" w:cs="Amiri"/>
          <w:lang w:bidi="ar-SA"/>
          <w:color w:val="111111"/>
          <w:sz w:val="28"/>
          <w:szCs w:val="28"/>
          <w:rtl/>
        </w:rPr>
        <w:t xml:space="preserve">204 .مرقاة الصعود إلى سنن ابي داود</w:t>
      </w:r>
    </w:p>
    <w:p>
      <w:pPr>
        <w:pStyle w:val="BookText"/>
      </w:pPr>
      <w:r>
        <w:rPr>
          <w:rFonts w:ascii="IRNazanin" w:hAnsi="IRNazanin" w:eastAsia="IRNazanin" w:cs="IRNazanin"/>
          <w:lang w:bidi="fa-IR"/>
          <w:color w:val="111111"/>
          <w:sz w:val="28"/>
          <w:szCs w:val="28"/>
          <w:rtl/>
        </w:rPr>
        <w:t xml:space="preserve">(مختصر)، ج 14، ص 405.</w:t>
      </w:r>
    </w:p>
    <w:p>
      <w:pPr>
        <w:pStyle w:val="BookText"/>
      </w:pPr>
      <w:r>
        <w:rPr>
          <w:rFonts w:ascii="Amiri" w:hAnsi="Amiri" w:eastAsia="Amiri" w:cs="Amiri"/>
          <w:lang w:bidi="ar-SA"/>
          <w:color w:val="111111"/>
          <w:sz w:val="28"/>
          <w:szCs w:val="28"/>
          <w:rtl/>
        </w:rPr>
        <w:t xml:space="preserve">205 .المزهر في علوم اللغة، ج 14،</w:t>
      </w:r>
    </w:p>
    <w:p>
      <w:pPr>
        <w:pStyle w:val="BookText"/>
      </w:pPr>
      <w:r>
        <w:rPr>
          <w:rFonts w:ascii="IRNazanin" w:hAnsi="IRNazanin" w:eastAsia="IRNazanin" w:cs="IRNazanin"/>
          <w:lang w:bidi="fa-IR"/>
          <w:color w:val="111111"/>
          <w:sz w:val="28"/>
          <w:szCs w:val="28"/>
          <w:rtl/>
        </w:rPr>
        <w:t xml:space="preserve">ص 424 .</w:t>
      </w:r>
    </w:p>
    <w:p>
      <w:pPr>
        <w:pStyle w:val="BookText"/>
      </w:pPr>
      <w:r>
        <w:rPr>
          <w:rFonts w:ascii="Amiri" w:hAnsi="Amiri" w:eastAsia="Amiri" w:cs="Amiri"/>
          <w:lang w:bidi="ar-SA"/>
          <w:color w:val="111111"/>
          <w:sz w:val="28"/>
          <w:szCs w:val="28"/>
          <w:rtl/>
        </w:rPr>
        <w:t xml:space="preserve">206 .مسالك الحنفا في والدي</w:t>
      </w:r>
    </w:p>
    <w:p>
      <w:pPr>
        <w:pStyle w:val="BookText"/>
      </w:pPr>
      <w:r>
        <w:rPr>
          <w:rFonts w:ascii="IRNazanin" w:hAnsi="IRNazanin" w:eastAsia="IRNazanin" w:cs="IRNazanin"/>
          <w:lang w:bidi="fa-IR"/>
          <w:color w:val="111111"/>
          <w:sz w:val="28"/>
          <w:szCs w:val="28"/>
          <w:rtl/>
        </w:rPr>
        <w:t xml:space="preserve">المصطفى، ج 14، ص 532.</w:t>
      </w:r>
    </w:p>
    <w:p>
      <w:pPr>
        <w:pStyle w:val="BookText"/>
      </w:pPr>
      <w:r>
        <w:rPr>
          <w:rFonts w:ascii="Amiri" w:hAnsi="Amiri" w:eastAsia="Amiri" w:cs="Amiri"/>
          <w:lang w:bidi="ar-SA"/>
          <w:color w:val="111111"/>
          <w:sz w:val="28"/>
          <w:szCs w:val="28"/>
          <w:rtl/>
        </w:rPr>
        <w:t xml:space="preserve">207 .مسامرة السموع في ضوء</w:t>
      </w:r>
    </w:p>
    <w:p>
      <w:pPr>
        <w:pStyle w:val="BookText"/>
      </w:pPr>
      <w:r>
        <w:rPr>
          <w:rFonts w:ascii="IRNazanin" w:hAnsi="IRNazanin" w:eastAsia="IRNazanin" w:cs="IRNazanin"/>
          <w:lang w:bidi="fa-IR"/>
          <w:color w:val="111111"/>
          <w:sz w:val="28"/>
          <w:szCs w:val="28"/>
          <w:rtl/>
        </w:rPr>
        <w:t xml:space="preserve">الشموع، ج 14، ص 534.</w:t>
      </w:r>
    </w:p>
    <w:p>
      <w:pPr>
        <w:pStyle w:val="BookText"/>
      </w:pPr>
      <w:r>
        <w:rPr>
          <w:rFonts w:ascii="Amiri" w:hAnsi="Amiri" w:eastAsia="Amiri" w:cs="Amiri"/>
          <w:lang w:bidi="ar-SA"/>
          <w:color w:val="111111"/>
          <w:sz w:val="28"/>
          <w:szCs w:val="28"/>
          <w:rtl/>
        </w:rPr>
        <w:t xml:space="preserve">208 .المستطرفة في أحكام دخول</w:t>
      </w:r>
    </w:p>
    <w:p>
      <w:pPr>
        <w:pStyle w:val="BookText"/>
      </w:pPr>
      <w:r>
        <w:rPr>
          <w:rFonts w:ascii="Amiri" w:hAnsi="Amiri" w:eastAsia="Amiri" w:cs="Amiri"/>
          <w:lang w:bidi="ar-SA"/>
          <w:color w:val="111111"/>
          <w:sz w:val="28"/>
          <w:szCs w:val="28"/>
          <w:rtl/>
        </w:rPr>
        <w:t xml:space="preserve">الحشفة، ج 14، ص 559.</w:t>
      </w:r>
    </w:p>
    <w:p>
      <w:pPr>
        <w:pStyle w:val="BookText"/>
      </w:pPr>
      <w:r>
        <w:rPr>
          <w:rFonts w:ascii="Amiri" w:hAnsi="Amiri" w:eastAsia="Amiri" w:cs="Amiri"/>
          <w:lang w:bidi="ar-SA"/>
          <w:color w:val="111111"/>
          <w:sz w:val="28"/>
          <w:szCs w:val="28"/>
          <w:rtl/>
        </w:rPr>
        <w:t xml:space="preserve">209 .مشتهي العقول و منتهي النقول</w:t>
      </w:r>
    </w:p>
    <w:p>
      <w:pPr>
        <w:pStyle w:val="BookText"/>
      </w:pPr>
      <w:r>
        <w:rPr>
          <w:rFonts w:ascii="Amiri" w:hAnsi="Amiri" w:eastAsia="Amiri" w:cs="Amiri"/>
          <w:lang w:bidi="ar-SA"/>
          <w:color w:val="111111"/>
          <w:sz w:val="28"/>
          <w:szCs w:val="28"/>
          <w:rtl/>
        </w:rPr>
        <w:t xml:space="preserve">منتهي العقول، ج 14 ، ص 622 .</w:t>
      </w:r>
    </w:p>
    <w:p>
      <w:pPr>
        <w:pStyle w:val="BookText"/>
      </w:pPr>
      <w:r>
        <w:rPr>
          <w:rFonts w:ascii="Amiri" w:hAnsi="Amiri" w:eastAsia="Amiri" w:cs="Amiri"/>
          <w:lang w:bidi="ar-SA"/>
          <w:color w:val="111111"/>
          <w:sz w:val="28"/>
          <w:szCs w:val="28"/>
          <w:rtl/>
        </w:rPr>
        <w:t xml:space="preserve">210 .المصابيح في صلاة التراويح، ج 14،</w:t>
      </w:r>
    </w:p>
    <w:p>
      <w:pPr>
        <w:pStyle w:val="BookText"/>
      </w:pPr>
      <w:r>
        <w:rPr>
          <w:rFonts w:ascii="IRNazanin" w:hAnsi="IRNazanin" w:eastAsia="IRNazanin" w:cs="IRNazanin"/>
          <w:lang w:bidi="fa-IR"/>
          <w:color w:val="111111"/>
          <w:sz w:val="28"/>
          <w:szCs w:val="28"/>
          <w:rtl/>
        </w:rPr>
        <w:t xml:space="preserve">ص 689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.المطالع السعيدة في شرح الفريدة، ج 14، ص 779.</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مطلع البدرين فيمن يؤتي له</w:t>
      </w:r>
    </w:p>
    <w:p>
      <w:pPr>
        <w:pStyle w:val="BookText"/>
      </w:pPr>
      <w:r>
        <w:rPr>
          <w:rFonts w:ascii="Amiri" w:hAnsi="Amiri" w:eastAsia="Amiri" w:cs="Amiri"/>
          <w:lang w:bidi="ar-SA"/>
          <w:color w:val="111111"/>
          <w:sz w:val="28"/>
          <w:szCs w:val="28"/>
          <w:rtl/>
        </w:rPr>
        <w:t xml:space="preserve">أجرين، ج 14، ص 794.</w:t>
      </w:r>
    </w:p>
    <w:p>
      <w:pPr>
        <w:pStyle w:val="BookText"/>
      </w:pPr>
      <w:r>
        <w:rPr>
          <w:rFonts w:ascii="Amiri" w:hAnsi="Amiri" w:eastAsia="Amiri" w:cs="Amiri"/>
          <w:lang w:bidi="ar-SA"/>
          <w:color w:val="111111"/>
          <w:sz w:val="28"/>
          <w:szCs w:val="28"/>
          <w:rtl/>
        </w:rPr>
        <w:t xml:space="preserve">213 .المعاني الدقيقة في إدراك</w:t>
      </w:r>
    </w:p>
    <w:p>
      <w:pPr>
        <w:pStyle w:val="BookText"/>
      </w:pPr>
      <w:r>
        <w:rPr>
          <w:rFonts w:ascii="Amiri" w:hAnsi="Amiri" w:eastAsia="Amiri" w:cs="Amiri"/>
          <w:lang w:bidi="ar-SA"/>
          <w:color w:val="111111"/>
          <w:sz w:val="28"/>
          <w:szCs w:val="28"/>
          <w:rtl/>
        </w:rPr>
        <w:t xml:space="preserve">الحقيقة، ج 14 ، ص 889.</w:t>
      </w:r>
    </w:p>
    <w:p>
      <w:pPr>
        <w:pStyle w:val="BookText"/>
      </w:pPr>
      <w:r>
        <w:rPr>
          <w:rFonts w:ascii="Amiri" w:hAnsi="Amiri" w:eastAsia="Amiri" w:cs="Amiri"/>
          <w:lang w:bidi="ar-SA"/>
          <w:color w:val="111111"/>
          <w:sz w:val="28"/>
          <w:szCs w:val="28"/>
          <w:rtl/>
        </w:rPr>
        <w:t xml:space="preserve">214 .معرفة سياسة الخيل (رسالة في)،</w:t>
      </w:r>
    </w:p>
    <w:p>
      <w:pPr>
        <w:pStyle w:val="BookText"/>
      </w:pPr>
      <w:r>
        <w:rPr>
          <w:rFonts w:ascii="IRNazanin" w:hAnsi="IRNazanin" w:eastAsia="IRNazanin" w:cs="IRNazanin"/>
          <w:lang w:bidi="fa-IR"/>
          <w:color w:val="111111"/>
          <w:sz w:val="28"/>
          <w:szCs w:val="28"/>
          <w:rtl/>
        </w:rPr>
        <w:t xml:space="preserve">ج 15 ، ص 59.</w:t>
      </w:r>
    </w:p>
    <w:p>
      <w:pPr>
        <w:pStyle w:val="BookText"/>
      </w:pPr>
      <w:r>
        <w:rPr>
          <w:rFonts w:ascii="Amiri" w:hAnsi="Amiri" w:eastAsia="Amiri" w:cs="Amiri"/>
          <w:lang w:bidi="ar-SA"/>
          <w:color w:val="111111"/>
          <w:sz w:val="28"/>
          <w:szCs w:val="28"/>
          <w:rtl/>
        </w:rPr>
        <w:t xml:space="preserve">215 .مفتاح الجنة في الاعتصام بالسنة</w:t>
      </w:r>
    </w:p>
    <w:p>
      <w:pPr>
        <w:pStyle w:val="BookText"/>
      </w:pPr>
      <w:r>
        <w:rPr>
          <w:rFonts w:ascii="IRNazanin" w:hAnsi="IRNazanin" w:eastAsia="IRNazanin" w:cs="IRNazanin"/>
          <w:lang w:bidi="fa-IR"/>
          <w:color w:val="111111"/>
          <w:sz w:val="28"/>
          <w:szCs w:val="28"/>
          <w:rtl/>
        </w:rPr>
        <w:t xml:space="preserve">ج 15، ص 191.</w:t>
      </w:r>
    </w:p>
    <w:p>
      <w:pPr>
        <w:pStyle w:val="BookText"/>
      </w:pPr>
      <w:r>
        <w:rPr>
          <w:rFonts w:ascii="IRNazanin" w:hAnsi="IRNazanin" w:eastAsia="IRNazanin" w:cs="IRNazanin"/>
          <w:lang w:bidi="fa-IR"/>
          <w:color w:val="111111"/>
          <w:sz w:val="28"/>
          <w:szCs w:val="28"/>
          <w:rtl/>
        </w:rPr>
        <w:t xml:space="preserve">216 .المقامات، ج 15، ص290.</w:t>
      </w:r>
    </w:p>
    <w:p>
      <w:pPr>
        <w:pStyle w:val="BookText"/>
      </w:pPr>
      <w:r>
        <w:rPr>
          <w:rFonts w:ascii="Amiri" w:hAnsi="Amiri" w:eastAsia="Amiri" w:cs="Amiri"/>
          <w:lang w:bidi="ar-SA"/>
          <w:color w:val="111111"/>
          <w:sz w:val="28"/>
          <w:szCs w:val="28"/>
          <w:rtl/>
        </w:rPr>
        <w:t xml:space="preserve">217 .المقامة الاسيوطية والاحاجي النحوية = المقامة السيوطية في الألغاز النحوية، ج 15، ص 313.</w:t>
      </w:r>
    </w:p>
    <w:p>
      <w:pPr>
        <w:pStyle w:val="BookText"/>
      </w:pPr>
      <w:r>
        <w:rPr>
          <w:rFonts w:ascii="Amiri" w:hAnsi="Amiri" w:eastAsia="Amiri" w:cs="Amiri"/>
          <w:lang w:bidi="ar-SA"/>
          <w:color w:val="111111"/>
          <w:sz w:val="28"/>
          <w:szCs w:val="28"/>
          <w:rtl/>
        </w:rPr>
        <w:t xml:space="preserve">218 .المقامة السندسية في النسبة</w:t>
      </w:r>
    </w:p>
    <w:p>
      <w:pPr>
        <w:pStyle w:val="BookText"/>
      </w:pPr>
      <w:r>
        <w:rPr>
          <w:rFonts w:ascii="Amiri" w:hAnsi="Amiri" w:eastAsia="Amiri" w:cs="Amiri"/>
          <w:lang w:bidi="ar-SA"/>
          <w:color w:val="111111"/>
          <w:sz w:val="28"/>
          <w:szCs w:val="28"/>
          <w:rtl/>
        </w:rPr>
        <w:t xml:space="preserve">الشريفة المصطفوية، ج 15 ،</w:t>
      </w:r>
    </w:p>
    <w:p>
      <w:pPr>
        <w:pStyle w:val="BookText"/>
      </w:pPr>
      <w:r>
        <w:rPr>
          <w:rFonts w:ascii="IRNazanin" w:hAnsi="IRNazanin" w:eastAsia="IRNazanin" w:cs="IRNazanin"/>
          <w:lang w:bidi="fa-IR"/>
          <w:color w:val="111111"/>
          <w:sz w:val="28"/>
          <w:szCs w:val="28"/>
          <w:rtl/>
        </w:rPr>
        <w:t xml:space="preserve">ص 317.</w:t>
      </w:r>
    </w:p>
    <w:p>
      <w:pPr>
        <w:pStyle w:val="BookText"/>
      </w:pPr>
      <w:r>
        <w:rPr>
          <w:rFonts w:ascii="Amiri" w:hAnsi="Amiri" w:eastAsia="Amiri" w:cs="Amiri"/>
          <w:lang w:bidi="ar-SA"/>
          <w:color w:val="111111"/>
          <w:sz w:val="28"/>
          <w:szCs w:val="28"/>
          <w:rtl/>
        </w:rPr>
        <w:t xml:space="preserve">219 .المقامة اللازوردية، ج 15، ص 321.</w:t>
      </w:r>
    </w:p>
    <w:p>
      <w:pPr>
        <w:pStyle w:val="BookText"/>
      </w:pPr>
      <w:r>
        <w:rPr>
          <w:rFonts w:ascii="Amiri" w:hAnsi="Amiri" w:eastAsia="Amiri" w:cs="Amiri"/>
          <w:lang w:bidi="ar-SA"/>
          <w:color w:val="111111"/>
          <w:sz w:val="28"/>
          <w:szCs w:val="28"/>
          <w:rtl/>
        </w:rPr>
        <w:t xml:space="preserve">220.المقامة الوردية، ج 15 ، ص 322.</w:t>
      </w:r>
    </w:p>
    <w:p>
      <w:pPr>
        <w:pStyle w:val="BookText"/>
      </w:pPr>
      <w:r>
        <w:rPr>
          <w:rFonts w:ascii="Amiri" w:hAnsi="Amiri" w:eastAsia="Amiri" w:cs="Amiri"/>
          <w:lang w:bidi="ar-SA"/>
          <w:color w:val="111111"/>
          <w:sz w:val="28"/>
          <w:szCs w:val="28"/>
          <w:rtl/>
        </w:rPr>
        <w:t xml:space="preserve">221 .مقدمة في فروض الفاتحة و ما</w:t>
      </w:r>
    </w:p>
    <w:p>
      <w:pPr>
        <w:pStyle w:val="BookText"/>
      </w:pPr>
      <w:r>
        <w:rPr>
          <w:rFonts w:ascii="Amiri" w:hAnsi="Amiri" w:eastAsia="Amiri" w:cs="Amiri"/>
          <w:lang w:bidi="ar-SA"/>
          <w:color w:val="111111"/>
          <w:sz w:val="28"/>
          <w:szCs w:val="28"/>
          <w:rtl/>
        </w:rPr>
        <w:t xml:space="preserve">يتعلق بها، ج 15، ص 368.</w:t>
      </w:r>
    </w:p>
    <w:p>
      <w:pPr>
        <w:pStyle w:val="BookText"/>
      </w:pPr>
      <w:r>
        <w:rPr>
          <w:rFonts w:ascii="Amiri" w:hAnsi="Amiri" w:eastAsia="Amiri" w:cs="Amiri"/>
          <w:lang w:bidi="ar-SA"/>
          <w:color w:val="111111"/>
          <w:sz w:val="28"/>
          <w:szCs w:val="28"/>
          <w:rtl/>
        </w:rPr>
        <w:t xml:space="preserve">222 .مقدمة في نيل مصر و محاسنها</w:t>
      </w:r>
    </w:p>
    <w:p>
      <w:pPr>
        <w:pStyle w:val="BookText"/>
      </w:pPr>
      <w:r>
        <w:rPr>
          <w:rFonts w:ascii="IRNazanin" w:hAnsi="IRNazanin" w:eastAsia="IRNazanin" w:cs="IRNazanin"/>
          <w:lang w:bidi="fa-IR"/>
          <w:color w:val="111111"/>
          <w:sz w:val="28"/>
          <w:szCs w:val="28"/>
          <w:rtl/>
        </w:rPr>
        <w:t xml:space="preserve">ج 15 ، ص 370.</w:t>
      </w:r>
    </w:p>
    <w:p>
      <w:pPr>
        <w:pStyle w:val="BookText"/>
      </w:pPr>
      <w:r>
        <w:rPr>
          <w:rFonts w:ascii="Amiri" w:hAnsi="Amiri" w:eastAsia="Amiri" w:cs="Amiri"/>
          <w:lang w:bidi="ar-SA"/>
          <w:color w:val="111111"/>
          <w:sz w:val="28"/>
          <w:szCs w:val="28"/>
          <w:rtl/>
        </w:rPr>
        <w:t xml:space="preserve">223 .المنحة في فضائل السبحة، ج 15</w:t>
      </w:r>
    </w:p>
    <w:p>
      <w:pPr>
        <w:pStyle w:val="BookText"/>
      </w:pPr>
      <w:r>
        <w:rPr>
          <w:rFonts w:ascii="IRNazanin" w:hAnsi="IRNazanin" w:eastAsia="IRNazanin" w:cs="IRNazanin"/>
          <w:lang w:bidi="fa-IR"/>
          <w:color w:val="111111"/>
          <w:sz w:val="28"/>
          <w:szCs w:val="28"/>
          <w:rtl/>
        </w:rPr>
        <w:t xml:space="preserve">ص 663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المنهج السوي و المنهل الروي</w:t>
      </w:r>
    </w:p>
    <w:p>
      <w:pPr>
        <w:pStyle w:val="BookText"/>
      </w:pPr>
      <w:r>
        <w:rPr>
          <w:rFonts w:ascii="IRNazanin" w:hAnsi="IRNazanin" w:eastAsia="IRNazanin" w:cs="IRNazanin"/>
          <w:lang w:bidi="fa-IR"/>
          <w:color w:val="111111"/>
          <w:sz w:val="28"/>
          <w:szCs w:val="28"/>
          <w:rtl/>
        </w:rPr>
        <w:t xml:space="preserve">ج 15، ص 800.</w:t>
      </w:r>
    </w:p>
    <w:p>
      <w:pPr>
        <w:pStyle w:val="BookText"/>
      </w:pPr>
      <w:r>
        <w:rPr>
          <w:rFonts w:ascii="Amiri" w:hAnsi="Amiri" w:eastAsia="Amiri" w:cs="Amiri"/>
          <w:lang w:bidi="ar-SA"/>
          <w:color w:val="111111"/>
          <w:sz w:val="28"/>
          <w:szCs w:val="28"/>
          <w:rtl/>
        </w:rPr>
        <w:t xml:space="preserve">225 .منهل اللطائف في الكنائف و القطائف، ج15، ص 817.</w:t>
      </w:r>
    </w:p>
    <w:p>
      <w:pPr>
        <w:pStyle w:val="BookText"/>
      </w:pPr>
      <w:r>
        <w:rPr>
          <w:rFonts w:ascii="Amiri" w:hAnsi="Amiri" w:eastAsia="Amiri" w:cs="Amiri"/>
          <w:lang w:bidi="ar-SA"/>
          <w:color w:val="111111"/>
          <w:sz w:val="28"/>
          <w:szCs w:val="28"/>
          <w:rtl/>
        </w:rPr>
        <w:t xml:space="preserve">226 .المهذب فيما وقع في القرآن من</w:t>
      </w:r>
    </w:p>
    <w:p>
      <w:pPr>
        <w:pStyle w:val="BookText"/>
      </w:pPr>
      <w:r>
        <w:rPr>
          <w:rFonts w:ascii="IRNazanin" w:hAnsi="IRNazanin" w:eastAsia="IRNazanin" w:cs="IRNazanin"/>
          <w:lang w:bidi="fa-IR"/>
          <w:color w:val="111111"/>
          <w:sz w:val="28"/>
          <w:szCs w:val="28"/>
          <w:rtl/>
        </w:rPr>
        <w:t xml:space="preserve">المعرب، ج 15 ، ص 848.</w:t>
      </w:r>
    </w:p>
    <w:p>
      <w:pPr>
        <w:pStyle w:val="BookText"/>
      </w:pPr>
      <w:r>
        <w:rPr>
          <w:rFonts w:ascii="Amiri" w:hAnsi="Amiri" w:eastAsia="Amiri" w:cs="Amiri"/>
          <w:lang w:bidi="ar-SA"/>
          <w:color w:val="111111"/>
          <w:sz w:val="28"/>
          <w:szCs w:val="28"/>
          <w:rtl/>
        </w:rPr>
        <w:t xml:space="preserve">سيوطي ، عبدالرحمن 641</w:t>
      </w:r>
    </w:p>
    <w:p>
      <w:pPr>
        <w:pStyle w:val="BookText"/>
      </w:pPr>
      <w:r>
        <w:rPr>
          <w:rFonts w:ascii="Amiri" w:hAnsi="Amiri" w:eastAsia="Amiri" w:cs="Amiri"/>
          <w:lang w:bidi="ar-SA"/>
          <w:color w:val="111111"/>
          <w:sz w:val="28"/>
          <w:szCs w:val="28"/>
          <w:rtl/>
        </w:rPr>
        <w:t xml:space="preserve">227 .نبذة تشمل على اصول الدين</w:t>
      </w:r>
    </w:p>
    <w:p>
      <w:pPr>
        <w:pStyle w:val="BookText"/>
      </w:pPr>
      <w:r>
        <w:rPr>
          <w:rFonts w:ascii="IRNazanin" w:hAnsi="IRNazanin" w:eastAsia="IRNazanin" w:cs="IRNazanin"/>
          <w:lang w:bidi="fa-IR"/>
          <w:color w:val="111111"/>
          <w:sz w:val="28"/>
          <w:szCs w:val="28"/>
          <w:rtl/>
        </w:rPr>
        <w:t xml:space="preserve">ج 16 ، ص 107.</w:t>
      </w:r>
    </w:p>
    <w:p>
      <w:pPr>
        <w:pStyle w:val="BookText"/>
      </w:pPr>
      <w:r>
        <w:rPr>
          <w:rFonts w:ascii="Amiri" w:hAnsi="Amiri" w:eastAsia="Amiri" w:cs="Amiri"/>
          <w:lang w:bidi="ar-SA"/>
          <w:color w:val="111111"/>
          <w:sz w:val="28"/>
          <w:szCs w:val="28"/>
          <w:rtl/>
        </w:rPr>
        <w:t xml:space="preserve">228 .نتيجة الفكر في الجهر بالذكر</w:t>
      </w:r>
    </w:p>
    <w:p>
      <w:pPr>
        <w:pStyle w:val="BookText"/>
      </w:pPr>
      <w:r>
        <w:rPr>
          <w:rFonts w:ascii="IRNazanin" w:hAnsi="IRNazanin" w:eastAsia="IRNazanin" w:cs="IRNazanin"/>
          <w:lang w:bidi="fa-IR"/>
          <w:color w:val="111111"/>
          <w:sz w:val="28"/>
          <w:szCs w:val="28"/>
          <w:rtl/>
        </w:rPr>
        <w:t xml:space="preserve">ج 16، ص 136.</w:t>
      </w:r>
    </w:p>
    <w:p>
      <w:pPr>
        <w:pStyle w:val="BookText"/>
      </w:pPr>
      <w:r>
        <w:rPr>
          <w:rFonts w:ascii="Amiri" w:hAnsi="Amiri" w:eastAsia="Amiri" w:cs="Amiri"/>
          <w:lang w:bidi="ar-SA"/>
          <w:color w:val="111111"/>
          <w:sz w:val="28"/>
          <w:szCs w:val="28"/>
          <w:rtl/>
        </w:rPr>
        <w:t xml:space="preserve">229 .نزهة العمر في تفضيل بين البيض</w:t>
      </w:r>
    </w:p>
    <w:p>
      <w:pPr>
        <w:pStyle w:val="BookText"/>
      </w:pPr>
      <w:r>
        <w:rPr>
          <w:rFonts w:ascii="IRNazanin" w:hAnsi="IRNazanin" w:eastAsia="IRNazanin" w:cs="IRNazanin"/>
          <w:lang w:bidi="fa-IR"/>
          <w:color w:val="111111"/>
          <w:sz w:val="28"/>
          <w:szCs w:val="28"/>
          <w:rtl/>
        </w:rPr>
        <w:t xml:space="preserve">و السود والسمر، ج 16، ص 237.</w:t>
      </w:r>
    </w:p>
    <w:p>
      <w:pPr>
        <w:pStyle w:val="BookText"/>
      </w:pPr>
      <w:r>
        <w:rPr>
          <w:rFonts w:ascii="Amiri" w:hAnsi="Amiri" w:eastAsia="Amiri" w:cs="Amiri"/>
          <w:lang w:bidi="ar-SA"/>
          <w:color w:val="111111"/>
          <w:sz w:val="28"/>
          <w:szCs w:val="28"/>
          <w:rtl/>
        </w:rPr>
        <w:t xml:space="preserve">230 .نزهة المتأمل و مرشد المتأهل</w:t>
      </w:r>
    </w:p>
    <w:p>
      <w:pPr>
        <w:pStyle w:val="BookText"/>
      </w:pPr>
      <w:r>
        <w:rPr>
          <w:rFonts w:ascii="IRNazanin" w:hAnsi="IRNazanin" w:eastAsia="IRNazanin" w:cs="IRNazanin"/>
          <w:lang w:bidi="fa-IR"/>
          <w:color w:val="111111"/>
          <w:sz w:val="28"/>
          <w:szCs w:val="28"/>
          <w:rtl/>
        </w:rPr>
        <w:t xml:space="preserve">ج 16 ، ص 242 .</w:t>
      </w:r>
    </w:p>
    <w:p>
      <w:pPr>
        <w:pStyle w:val="BookText"/>
      </w:pPr>
      <w:r>
        <w:rPr>
          <w:rFonts w:ascii="Amiri" w:hAnsi="Amiri" w:eastAsia="Amiri" w:cs="Amiri"/>
          <w:lang w:bidi="ar-SA"/>
          <w:color w:val="111111"/>
          <w:sz w:val="28"/>
          <w:szCs w:val="28"/>
          <w:rtl/>
        </w:rPr>
        <w:t xml:space="preserve">231 .نصيحة العلماء الراسخين ووصية</w:t>
      </w:r>
    </w:p>
    <w:p>
      <w:pPr>
        <w:pStyle w:val="BookText"/>
      </w:pPr>
      <w:r>
        <w:rPr>
          <w:rFonts w:ascii="Amiri" w:hAnsi="Amiri" w:eastAsia="Amiri" w:cs="Amiri"/>
          <w:lang w:bidi="ar-SA"/>
          <w:color w:val="111111"/>
          <w:sz w:val="28"/>
          <w:szCs w:val="28"/>
          <w:rtl/>
        </w:rPr>
        <w:t xml:space="preserve">العرفاء المحققين، ج 16، ص 314.</w:t>
      </w:r>
    </w:p>
    <w:p>
      <w:pPr>
        <w:pStyle w:val="BookText"/>
      </w:pPr>
      <w:r>
        <w:rPr>
          <w:rFonts w:ascii="Amiri" w:hAnsi="Amiri" w:eastAsia="Amiri" w:cs="Amiri"/>
          <w:lang w:bidi="ar-SA"/>
          <w:color w:val="111111"/>
          <w:sz w:val="28"/>
          <w:szCs w:val="28"/>
          <w:rtl/>
        </w:rPr>
        <w:t xml:space="preserve">232 .نظم العقيان في اعيان الاعيان</w:t>
      </w:r>
    </w:p>
    <w:p>
      <w:pPr>
        <w:pStyle w:val="BookText"/>
      </w:pPr>
      <w:r>
        <w:rPr>
          <w:rFonts w:ascii="IRNazanin" w:hAnsi="IRNazanin" w:eastAsia="IRNazanin" w:cs="IRNazanin"/>
          <w:lang w:bidi="fa-IR"/>
          <w:color w:val="111111"/>
          <w:sz w:val="28"/>
          <w:szCs w:val="28"/>
          <w:rtl/>
        </w:rPr>
        <w:t xml:space="preserve">ج 16، ص 349.</w:t>
      </w:r>
    </w:p>
    <w:p>
      <w:pPr>
        <w:pStyle w:val="BookText"/>
      </w:pPr>
      <w:r>
        <w:rPr>
          <w:rFonts w:ascii="Amiri" w:hAnsi="Amiri" w:eastAsia="Amiri" w:cs="Amiri"/>
          <w:lang w:bidi="ar-SA"/>
          <w:color w:val="111111"/>
          <w:sz w:val="28"/>
          <w:szCs w:val="28"/>
          <w:rtl/>
        </w:rPr>
        <w:t xml:space="preserve">233 .نظم فرائض ابن رشد أبي الوليد</w:t>
      </w:r>
    </w:p>
    <w:p>
      <w:pPr>
        <w:pStyle w:val="BookText"/>
      </w:pPr>
      <w:r>
        <w:rPr>
          <w:rFonts w:ascii="IRNazanin" w:hAnsi="IRNazanin" w:eastAsia="IRNazanin" w:cs="IRNazanin"/>
          <w:lang w:bidi="fa-IR"/>
          <w:color w:val="111111"/>
          <w:sz w:val="28"/>
          <w:szCs w:val="28"/>
          <w:rtl/>
        </w:rPr>
        <w:t xml:space="preserve">ج 16، ص 352.</w:t>
      </w:r>
    </w:p>
    <w:p>
      <w:pPr>
        <w:pStyle w:val="BookText"/>
      </w:pPr>
      <w:r>
        <w:rPr>
          <w:rFonts w:ascii="Amiri" w:hAnsi="Amiri" w:eastAsia="Amiri" w:cs="Amiri"/>
          <w:lang w:bidi="ar-SA"/>
          <w:color w:val="111111"/>
          <w:sz w:val="28"/>
          <w:szCs w:val="28"/>
          <w:rtl/>
        </w:rPr>
        <w:t xml:space="preserve">234 .النفحة المسكية و التحفة المكية</w:t>
      </w:r>
    </w:p>
    <w:p>
      <w:pPr>
        <w:pStyle w:val="BookText"/>
      </w:pPr>
      <w:r>
        <w:rPr>
          <w:rFonts w:ascii="IRNazanin" w:hAnsi="IRNazanin" w:eastAsia="IRNazanin" w:cs="IRNazanin"/>
          <w:lang w:bidi="fa-IR"/>
          <w:color w:val="111111"/>
          <w:sz w:val="28"/>
          <w:szCs w:val="28"/>
          <w:rtl/>
        </w:rPr>
        <w:t xml:space="preserve">ج 16، ص 395.</w:t>
      </w:r>
    </w:p>
    <w:p>
      <w:pPr>
        <w:pStyle w:val="BookText"/>
      </w:pPr>
      <w:r>
        <w:rPr>
          <w:rFonts w:ascii="Amiri" w:hAnsi="Amiri" w:eastAsia="Amiri" w:cs="Amiri"/>
          <w:lang w:bidi="ar-SA"/>
          <w:color w:val="111111"/>
          <w:sz w:val="28"/>
          <w:szCs w:val="28"/>
          <w:rtl/>
        </w:rPr>
        <w:t xml:space="preserve">235 .النقاية، ج 16، ص 409.</w:t>
      </w:r>
    </w:p>
    <w:p>
      <w:pPr>
        <w:pStyle w:val="BookText"/>
      </w:pPr>
      <w:r>
        <w:rPr>
          <w:rFonts w:ascii="Amiri" w:hAnsi="Amiri" w:eastAsia="Amiri" w:cs="Amiri"/>
          <w:lang w:bidi="ar-SA"/>
          <w:color w:val="111111"/>
          <w:sz w:val="28"/>
          <w:szCs w:val="28"/>
          <w:rtl/>
        </w:rPr>
        <w:t xml:space="preserve">236 .النقل المستور في جواز قبض المعلوم من غير حضور، ج 16،</w:t>
      </w:r>
    </w:p>
    <w:p>
      <w:pPr>
        <w:pStyle w:val="BookText"/>
      </w:pPr>
      <w:r>
        <w:rPr>
          <w:rFonts w:ascii="IRNazanin" w:hAnsi="IRNazanin" w:eastAsia="IRNazanin" w:cs="IRNazanin"/>
          <w:lang w:bidi="fa-IR"/>
          <w:color w:val="111111"/>
          <w:sz w:val="28"/>
          <w:szCs w:val="28"/>
          <w:rtl/>
        </w:rPr>
        <w:t xml:space="preserve">ص 426 .</w:t>
      </w:r>
    </w:p>
    <w:p>
      <w:pPr>
        <w:pStyle w:val="BookText"/>
      </w:pPr>
      <w:r>
        <w:rPr>
          <w:rFonts w:ascii="Amiri" w:hAnsi="Amiri" w:eastAsia="Amiri" w:cs="Amiri"/>
          <w:lang w:bidi="ar-SA"/>
          <w:color w:val="111111"/>
          <w:sz w:val="28"/>
          <w:szCs w:val="28"/>
          <w:rtl/>
        </w:rPr>
        <w:t xml:space="preserve">237 .نقولات في علوم القرآن، ج 16</w:t>
      </w:r>
    </w:p>
    <w:p>
      <w:pPr>
        <w:pStyle w:val="BookText"/>
      </w:pPr>
      <w:r>
        <w:rPr>
          <w:rFonts w:ascii="IRNazanin" w:hAnsi="IRNazanin" w:eastAsia="IRNazanin" w:cs="IRNazanin"/>
          <w:lang w:bidi="fa-IR"/>
          <w:color w:val="111111"/>
          <w:sz w:val="28"/>
          <w:szCs w:val="28"/>
          <w:rtl/>
        </w:rPr>
        <w:t xml:space="preserve">ص 439.</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النكت على الالفية و الكافية و</w:t>
      </w:r>
    </w:p>
    <w:p>
      <w:pPr>
        <w:pStyle w:val="BookText"/>
      </w:pPr>
      <w:r>
        <w:rPr>
          <w:rFonts w:ascii="Amiri" w:hAnsi="Amiri" w:eastAsia="Amiri" w:cs="Amiri"/>
          <w:lang w:bidi="ar-SA"/>
          <w:color w:val="111111"/>
          <w:sz w:val="28"/>
          <w:szCs w:val="28"/>
          <w:rtl/>
        </w:rPr>
        <w:t xml:space="preserve">الشافية ونزهة الطرف و شذور</w:t>
      </w:r>
    </w:p>
    <w:p>
      <w:pPr>
        <w:pStyle w:val="BookText"/>
      </w:pPr>
      <w:r>
        <w:rPr>
          <w:rFonts w:ascii="IRNazanin" w:hAnsi="IRNazanin" w:eastAsia="IRNazanin" w:cs="IRNazanin"/>
          <w:lang w:bidi="fa-IR"/>
          <w:color w:val="111111"/>
          <w:sz w:val="28"/>
          <w:szCs w:val="28"/>
          <w:rtl/>
        </w:rPr>
        <w:t xml:space="preserve">الذهب، ج 16، ص 466.</w:t>
      </w:r>
    </w:p>
    <w:p>
      <w:pPr>
        <w:pStyle w:val="BookText"/>
      </w:pPr>
      <w:r>
        <w:rPr>
          <w:rFonts w:ascii="Amiri" w:hAnsi="Amiri" w:eastAsia="Amiri" w:cs="Amiri"/>
          <w:lang w:bidi="ar-SA"/>
          <w:color w:val="111111"/>
          <w:sz w:val="28"/>
          <w:szCs w:val="28"/>
          <w:rtl/>
        </w:rPr>
        <w:t xml:space="preserve">239 .النكت من كتاب الشواهد، ج 16،</w:t>
      </w:r>
    </w:p>
    <w:p>
      <w:pPr>
        <w:pStyle w:val="BookText"/>
      </w:pPr>
      <w:r>
        <w:rPr>
          <w:rFonts w:ascii="IRNazanin" w:hAnsi="IRNazanin" w:eastAsia="IRNazanin" w:cs="IRNazanin"/>
          <w:lang w:bidi="fa-IR"/>
          <w:color w:val="111111"/>
          <w:sz w:val="28"/>
          <w:szCs w:val="28"/>
          <w:rtl/>
        </w:rPr>
        <w:t xml:space="preserve">ص 471.</w:t>
      </w:r>
    </w:p>
    <w:p>
      <w:pPr>
        <w:pStyle w:val="BookText"/>
      </w:pPr>
      <w:r>
        <w:rPr>
          <w:rFonts w:ascii="Amiri" w:hAnsi="Amiri" w:eastAsia="Amiri" w:cs="Amiri"/>
          <w:lang w:bidi="ar-SA"/>
          <w:color w:val="111111"/>
          <w:sz w:val="28"/>
          <w:szCs w:val="28"/>
          <w:rtl/>
        </w:rPr>
        <w:t xml:space="preserve">240 .نواضر الايك في نوادر النيك = نواظر الايك في معرفة النيك، ج 16،</w:t>
      </w:r>
    </w:p>
    <w:p>
      <w:pPr>
        <w:pStyle w:val="BookText"/>
      </w:pPr>
      <w:r>
        <w:rPr>
          <w:rFonts w:ascii="IRNazanin" w:hAnsi="IRNazanin" w:eastAsia="IRNazanin" w:cs="IRNazanin"/>
          <w:lang w:bidi="fa-IR"/>
          <w:color w:val="111111"/>
          <w:sz w:val="28"/>
          <w:szCs w:val="28"/>
          <w:rtl/>
        </w:rPr>
        <w:t xml:space="preserve">ص 546.</w:t>
      </w:r>
    </w:p>
    <w:p>
      <w:pPr>
        <w:pStyle w:val="BookText"/>
      </w:pPr>
      <w:r>
        <w:rPr>
          <w:rFonts w:ascii="Amiri" w:hAnsi="Amiri" w:eastAsia="Amiri" w:cs="Amiri"/>
          <w:lang w:bidi="ar-SA"/>
          <w:color w:val="111111"/>
          <w:sz w:val="28"/>
          <w:szCs w:val="28"/>
          <w:rtl/>
        </w:rPr>
        <w:t xml:space="preserve">241 .نواهد الابكار و شوارد الافكار -</w:t>
      </w:r>
    </w:p>
    <w:p>
      <w:pPr>
        <w:pStyle w:val="BookText"/>
      </w:pPr>
      <w:r>
        <w:rPr>
          <w:rFonts w:ascii="Amiri" w:hAnsi="Amiri" w:eastAsia="Amiri" w:cs="Amiri"/>
          <w:lang w:bidi="ar-SA"/>
          <w:color w:val="111111"/>
          <w:sz w:val="28"/>
          <w:szCs w:val="28"/>
          <w:rtl/>
        </w:rPr>
        <w:t xml:space="preserve">حاشية انوار التنزيل، ج 16،</w:t>
      </w:r>
    </w:p>
    <w:p>
      <w:pPr>
        <w:pStyle w:val="BookText"/>
      </w:pPr>
      <w:r>
        <w:rPr>
          <w:rFonts w:ascii="IRNazanin" w:hAnsi="IRNazanin" w:eastAsia="IRNazanin" w:cs="IRNazanin"/>
          <w:lang w:bidi="fa-IR"/>
          <w:color w:val="111111"/>
          <w:sz w:val="28"/>
          <w:szCs w:val="28"/>
          <w:rtl/>
        </w:rPr>
        <w:t xml:space="preserve">ص 549.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98" w:name="pg7742_70583"/>
    <w:bookmarkEnd w:id="598"/>
    <w:p>
      <w:pPr>
        <w:pStyle w:val="BookText"/>
      </w:pPr>
      <w:r>
        <w:rPr>
          <w:rFonts w:ascii="Amiri" w:hAnsi="Amiri" w:eastAsia="Amiri" w:cs="Amiri"/>
          <w:lang w:bidi="ar-SA"/>
          <w:color w:val="111111"/>
          <w:sz w:val="28"/>
          <w:szCs w:val="28"/>
          <w:rtl/>
        </w:rPr>
        <w:t xml:space="preserve">242 .همع الهوامع في شرح جمع</w:t>
      </w:r>
    </w:p>
    <w:p>
      <w:pPr>
        <w:pStyle w:val="BookText"/>
      </w:pPr>
      <w:r>
        <w:rPr>
          <w:rFonts w:ascii="IRNazanin" w:hAnsi="IRNazanin" w:eastAsia="IRNazanin" w:cs="IRNazanin"/>
          <w:lang w:bidi="fa-IR"/>
          <w:color w:val="111111"/>
          <w:sz w:val="28"/>
          <w:szCs w:val="28"/>
          <w:rtl/>
        </w:rPr>
        <w:t xml:space="preserve">الجوامع، ج 16 ، ص 652 .</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Amiri" w:hAnsi="Amiri" w:eastAsia="Amiri" w:cs="Amiri"/>
          <w:lang w:bidi="ar-SA"/>
          <w:color w:val="111111"/>
          <w:sz w:val="28"/>
          <w:szCs w:val="28"/>
          <w:rtl/>
        </w:rPr>
        <w:t xml:space="preserve">الهيئة السنية في الهيئة السنية</w:t>
      </w:r>
    </w:p>
    <w:p>
      <w:pPr>
        <w:pStyle w:val="BookText"/>
      </w:pPr>
      <w:r>
        <w:rPr>
          <w:rFonts w:ascii="IRNazanin" w:hAnsi="IRNazanin" w:eastAsia="IRNazanin" w:cs="IRNazanin"/>
          <w:lang w:bidi="fa-IR"/>
          <w:color w:val="111111"/>
          <w:sz w:val="28"/>
          <w:szCs w:val="28"/>
          <w:rtl/>
        </w:rPr>
        <w:t xml:space="preserve">ج 16، ص 665 .</w:t>
      </w:r>
    </w:p>
    <w:p>
      <w:pPr>
        <w:pStyle w:val="BookText"/>
      </w:pPr>
      <w:r>
        <w:rPr>
          <w:rFonts w:ascii="Amiri" w:hAnsi="Amiri" w:eastAsia="Amiri" w:cs="Amiri"/>
          <w:lang w:bidi="ar-SA"/>
          <w:color w:val="111111"/>
          <w:sz w:val="28"/>
          <w:szCs w:val="28"/>
          <w:rtl/>
        </w:rPr>
        <w:t xml:space="preserve">244 . الوسائل إلى معرفة الأوائل</w:t>
      </w:r>
    </w:p>
    <w:p>
      <w:pPr>
        <w:pStyle w:val="BookText"/>
      </w:pPr>
      <w:r>
        <w:rPr>
          <w:rFonts w:ascii="IRNazanin" w:hAnsi="IRNazanin" w:eastAsia="IRNazanin" w:cs="IRNazanin"/>
          <w:lang w:bidi="fa-IR"/>
          <w:color w:val="111111"/>
          <w:sz w:val="28"/>
          <w:szCs w:val="28"/>
          <w:rtl/>
        </w:rPr>
        <w:t xml:space="preserve">ج 16، ص 769 .</w:t>
      </w:r>
    </w:p>
    <w:p>
      <w:pPr>
        <w:pStyle w:val="BookText"/>
      </w:pPr>
      <w:r>
        <w:rPr>
          <w:rFonts w:ascii="Amiri" w:hAnsi="Amiri" w:eastAsia="Amiri" w:cs="Amiri"/>
          <w:lang w:bidi="ar-SA"/>
          <w:color w:val="111111"/>
          <w:sz w:val="28"/>
          <w:szCs w:val="28"/>
          <w:rtl/>
        </w:rPr>
        <w:t xml:space="preserve">245 .الوشاح في فوائد النكاح، ج 16،</w:t>
      </w:r>
    </w:p>
    <w:p>
      <w:pPr>
        <w:pStyle w:val="BookText"/>
      </w:pPr>
      <w:r>
        <w:rPr>
          <w:rFonts w:ascii="IRNazanin" w:hAnsi="IRNazanin" w:eastAsia="IRNazanin" w:cs="IRNazanin"/>
          <w:lang w:bidi="fa-IR"/>
          <w:color w:val="111111"/>
          <w:sz w:val="28"/>
          <w:szCs w:val="28"/>
          <w:rtl/>
        </w:rPr>
        <w:t xml:space="preserve">ص 794 .</w:t>
      </w:r>
    </w:p>
    <w:p>
      <w:pPr>
        <w:pStyle w:val="BookText"/>
      </w:pPr>
      <w:r>
        <w:rPr>
          <w:rFonts w:ascii="Amiri" w:hAnsi="Amiri" w:eastAsia="Amiri" w:cs="Amiri"/>
          <w:lang w:bidi="ar-SA"/>
          <w:color w:val="111111"/>
          <w:sz w:val="28"/>
          <w:szCs w:val="28"/>
          <w:rtl/>
        </w:rPr>
        <w:t xml:space="preserve">246 .وصول الأماني باصول التهاني</w:t>
      </w:r>
    </w:p>
    <w:p>
      <w:pPr>
        <w:pStyle w:val="BookText"/>
      </w:pPr>
      <w:r>
        <w:rPr>
          <w:rFonts w:ascii="IRNazanin" w:hAnsi="IRNazanin" w:eastAsia="IRNazanin" w:cs="IRNazanin"/>
          <w:lang w:bidi="fa-IR"/>
          <w:color w:val="111111"/>
          <w:sz w:val="28"/>
          <w:szCs w:val="28"/>
          <w:rtl/>
        </w:rPr>
        <w:t xml:space="preserve">ج 16 ، ص 807.</w:t>
      </w:r>
    </w:p>
    <w:p>
      <w:pPr>
        <w:pStyle w:val="BookText"/>
      </w:pPr>
      <w:r>
        <w:rPr>
          <w:rFonts w:ascii="Amiri" w:hAnsi="Amiri" w:eastAsia="Amiri" w:cs="Amiri"/>
          <w:lang w:bidi="ar-SA"/>
          <w:color w:val="111111"/>
          <w:sz w:val="28"/>
          <w:szCs w:val="28"/>
          <w:rtl/>
        </w:rPr>
        <w:t xml:space="preserve">247 .وظائف التلاوة، ج 16، ص 838.</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Amiri" w:hAnsi="Amiri" w:eastAsia="Amiri" w:cs="Amiri"/>
          <w:lang w:bidi="ar-SA"/>
          <w:color w:val="111111"/>
          <w:sz w:val="28"/>
          <w:szCs w:val="28"/>
          <w:rtl/>
        </w:rPr>
        <w:t xml:space="preserve">اليد البسطي في الصلاة الوسطى</w:t>
      </w:r>
    </w:p>
    <w:p>
      <w:pPr>
        <w:pStyle w:val="BookText"/>
      </w:pPr>
      <w:r>
        <w:rPr>
          <w:rFonts w:ascii="IRNazanin" w:hAnsi="IRNazanin" w:eastAsia="IRNazanin" w:cs="IRNazanin"/>
          <w:lang w:bidi="fa-IR"/>
          <w:color w:val="111111"/>
          <w:sz w:val="28"/>
          <w:szCs w:val="28"/>
          <w:rtl/>
        </w:rPr>
        <w:t xml:space="preserve">ج 16، ص 897.</w:t>
      </w:r>
    </w:p>
    <w:p>
      <w:pPr>
        <w:pStyle w:val="BookText"/>
      </w:pPr>
      <w:r>
        <w:rPr>
          <w:rFonts w:ascii="Amiri" w:hAnsi="Amiri" w:eastAsia="Amiri" w:cs="Amiri"/>
          <w:lang w:bidi="ar-SA"/>
          <w:color w:val="111111"/>
          <w:sz w:val="28"/>
          <w:szCs w:val="28"/>
          <w:rtl/>
        </w:rPr>
        <w:t xml:space="preserve">سيوطي ، علي بن عبد الرحيم - شبكشي ،</w:t>
      </w:r>
    </w:p>
    <w:p>
      <w:pPr>
        <w:pStyle w:val="BookText"/>
      </w:pPr>
      <w:r>
        <w:rPr>
          <w:rFonts w:ascii="Amiri" w:hAnsi="Amiri" w:eastAsia="Amiri" w:cs="Amiri"/>
          <w:lang w:bidi="ar-SA"/>
          <w:color w:val="111111"/>
          <w:sz w:val="28"/>
          <w:szCs w:val="28"/>
          <w:rtl/>
        </w:rPr>
        <w:t xml:space="preserve">علي بن عبدالرحيم</w:t>
      </w:r>
    </w:p>
    <w:p>
      <w:pPr>
        <w:pStyle w:val="Heading2"/>
      </w:pPr>
      <w:bookmarkStart w:id="5024" w:name="_Toc4126"/>
      <w:r>
        <w:t>سيوطي ، محمّد بن ابي بكر، 783 - 859</w:t>
      </w:r>
      <w:bookmarkEnd w:id="5024"/>
    </w:p>
    <w:p>
      <w:pPr>
        <w:pStyle w:val="BookText"/>
      </w:pPr>
      <w:r>
        <w:rPr>
          <w:rFonts w:ascii="IRNazanin" w:hAnsi="IRNazanin" w:eastAsia="IRNazanin" w:cs="IRNazanin"/>
          <w:lang w:bidi="fa-IR"/>
          <w:color w:val="111111"/>
          <w:sz w:val="28"/>
          <w:szCs w:val="28"/>
          <w:rtl/>
        </w:rPr>
        <w:t xml:space="preserve">المرج النضر و الأرج العطر، ج 14،</w:t>
      </w:r>
    </w:p>
    <w:p>
      <w:pPr>
        <w:pStyle w:val="BookText"/>
      </w:pPr>
      <w:r>
        <w:rPr>
          <w:rFonts w:ascii="IRNazanin" w:hAnsi="IRNazanin" w:eastAsia="IRNazanin" w:cs="IRNazanin"/>
          <w:lang w:bidi="fa-IR"/>
          <w:color w:val="111111"/>
          <w:sz w:val="28"/>
          <w:szCs w:val="28"/>
          <w:rtl/>
        </w:rPr>
        <w:t xml:space="preserve">ص393.</w:t>
      </w:r>
    </w:p>
    <w:p>
      <w:pPr>
        <w:pStyle w:val="BookText"/>
      </w:pPr>
      <w:r>
        <w:rPr>
          <w:rFonts w:ascii="Amiri" w:hAnsi="Amiri" w:eastAsia="Amiri" w:cs="Amiri"/>
          <w:lang w:bidi="ar-SA"/>
          <w:color w:val="111111"/>
          <w:sz w:val="28"/>
          <w:szCs w:val="28"/>
          <w:rtl/>
        </w:rPr>
        <w:t xml:space="preserve">سيوطي ، محمّد بن احمد - منهاجي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سيوطي ، محمّد بن علي - شبراملسي ،</w:t>
      </w:r>
    </w:p>
    <w:p>
      <w:pPr>
        <w:pStyle w:val="BookText"/>
      </w:pPr>
      <w:r>
        <w:rPr>
          <w:rFonts w:ascii="Amiri" w:hAnsi="Amiri" w:eastAsia="Amiri" w:cs="Amiri"/>
          <w:lang w:bidi="ar-SA"/>
          <w:color w:val="111111"/>
          <w:sz w:val="28"/>
          <w:szCs w:val="28"/>
          <w:rtl/>
        </w:rPr>
        <w:t xml:space="preserve">محمّد بن علي</w:t>
      </w:r>
    </w:p>
    <w:p>
      <w:pPr>
        <w:pStyle w:val="Heading2"/>
      </w:pPr>
      <w:bookmarkStart w:id="5025" w:name="_Toc4127"/>
      <w:r>
        <w:t>سيوفي اربلي ، محمّد بن محمّد</w:t>
      </w:r>
      <w:bookmarkEnd w:id="5025"/>
    </w:p>
    <w:p>
      <w:pPr>
        <w:pStyle w:val="BookText"/>
      </w:pPr>
      <w:r>
        <w:rPr>
          <w:rFonts w:ascii="Amiri" w:hAnsi="Amiri" w:eastAsia="Amiri" w:cs="Amiri"/>
          <w:lang w:bidi="ar-SA"/>
          <w:color w:val="111111"/>
          <w:sz w:val="28"/>
          <w:szCs w:val="28"/>
          <w:rtl/>
        </w:rPr>
        <w:t xml:space="preserve">كشف اللبس عن تجريد النفس، ج 13،</w:t>
      </w:r>
    </w:p>
    <w:p>
      <w:pPr>
        <w:pStyle w:val="BookText"/>
      </w:pPr>
      <w:r>
        <w:rPr>
          <w:rFonts w:ascii="IRNazanin" w:hAnsi="IRNazanin" w:eastAsia="IRNazanin" w:cs="IRNazanin"/>
          <w:lang w:bidi="fa-IR"/>
          <w:color w:val="111111"/>
          <w:sz w:val="28"/>
          <w:szCs w:val="28"/>
          <w:rtl/>
        </w:rPr>
        <w:t xml:space="preserve">ص 251 .</w:t>
      </w:r>
    </w:p>
    <w:p>
      <w:pPr>
        <w:pStyle w:val="BookText"/>
      </w:pPr>
      <w:r>
        <w:rPr>
          <w:rFonts w:ascii="Amiri" w:hAnsi="Amiri" w:eastAsia="Amiri" w:cs="Amiri"/>
          <w:lang w:bidi="ar-SA"/>
          <w:color w:val="111111"/>
          <w:sz w:val="28"/>
          <w:szCs w:val="28"/>
          <w:rtl/>
        </w:rPr>
        <w:t xml:space="preserve">شاب الظريف - ابن عفيف تلمساني ،</w:t>
      </w:r>
    </w:p>
    <w:p>
      <w:pPr>
        <w:pStyle w:val="BookText"/>
      </w:pPr>
      <w:r>
        <w:rPr>
          <w:rFonts w:ascii="IRNazanin" w:hAnsi="IRNazanin" w:eastAsia="IRNazanin" w:cs="IRNazanin"/>
          <w:lang w:bidi="fa-IR"/>
          <w:color w:val="111111"/>
          <w:sz w:val="28"/>
          <w:szCs w:val="28"/>
          <w:rtl/>
        </w:rPr>
        <w:t xml:space="preserve">محمّد بن سلیمان</w:t>
      </w:r>
    </w:p>
    <w:p>
      <w:pPr>
        <w:pStyle w:val="BookText"/>
      </w:pPr>
      <w:r>
        <w:rPr>
          <w:rFonts w:ascii="Amiri" w:hAnsi="Amiri" w:eastAsia="Amiri" w:cs="Amiri"/>
          <w:lang w:bidi="ar-SA"/>
          <w:color w:val="111111"/>
          <w:sz w:val="28"/>
          <w:szCs w:val="28"/>
          <w:rtl/>
        </w:rPr>
        <w:t xml:space="preserve">شابستي ، علي بن محمّد -شابشتي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شابشتي ، ابوالحسن علي بن محمّد -شابشتي ، علي بن محمّد</w:t>
      </w:r>
    </w:p>
    <w:p>
      <w:pPr>
        <w:pStyle w:val="Heading2"/>
      </w:pPr>
      <w:bookmarkStart w:id="5026" w:name="_Toc4128"/>
      <w:r>
        <w:t>شابشتي ، علي بن محمّد - 388 ه-</w:t>
      </w:r>
      <w:bookmarkEnd w:id="5026"/>
    </w:p>
    <w:p>
      <w:pPr>
        <w:pStyle w:val="BookText"/>
      </w:pPr>
      <w:r>
        <w:rPr>
          <w:rFonts w:ascii="Amiri" w:hAnsi="Amiri" w:eastAsia="Amiri" w:cs="Amiri"/>
          <w:lang w:bidi="ar-SA"/>
          <w:color w:val="111111"/>
          <w:sz w:val="28"/>
          <w:szCs w:val="28"/>
          <w:rtl/>
        </w:rPr>
        <w:t xml:space="preserve">الديارات، ج 7، ص 495 .</w:t>
      </w:r>
    </w:p>
    <w:p>
      <w:pPr>
        <w:pStyle w:val="BookText"/>
      </w:pPr>
      <w:r>
        <w:rPr>
          <w:rFonts w:ascii="Amiri" w:hAnsi="Amiri" w:eastAsia="Amiri" w:cs="Amiri"/>
          <w:lang w:bidi="ar-SA"/>
          <w:color w:val="111111"/>
          <w:sz w:val="28"/>
          <w:szCs w:val="28"/>
          <w:rtl/>
        </w:rPr>
        <w:t xml:space="preserve">شاخوري ، حسين بن محمّد- آل عصفور ، حسين بن محمّد</w:t>
      </w:r>
    </w:p>
    <w:p>
      <w:pPr>
        <w:pStyle w:val="Heading2"/>
      </w:pPr>
      <w:bookmarkStart w:id="5027" w:name="_Toc4129"/>
      <w:r>
        <w:t>؟ شاخوري، سليمان بن علي - 1101 ه-</w:t>
      </w:r>
      <w:bookmarkEnd w:id="5027"/>
    </w:p>
    <w:p>
      <w:pPr>
        <w:pStyle w:val="BookText"/>
      </w:pPr>
      <w:r>
        <w:rPr>
          <w:rFonts w:ascii="Amiri" w:hAnsi="Amiri" w:eastAsia="Amiri" w:cs="Amiri"/>
          <w:lang w:bidi="ar-SA"/>
          <w:color w:val="111111"/>
          <w:sz w:val="28"/>
          <w:szCs w:val="28"/>
          <w:rtl/>
        </w:rPr>
        <w:t xml:space="preserve">1 .اصالة الحلية او الحرمة في الاشياء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تحليل التتن و القهوة، ج 2،</w:t>
      </w:r>
    </w:p>
    <w:p>
      <w:pPr>
        <w:pStyle w:val="BookText"/>
      </w:pPr>
      <w:r>
        <w:rPr>
          <w:rFonts w:ascii="IRNazanin" w:hAnsi="IRNazanin" w:eastAsia="IRNazanin" w:cs="IRNazanin"/>
          <w:lang w:bidi="fa-IR"/>
          <w:color w:val="111111"/>
          <w:sz w:val="28"/>
          <w:szCs w:val="28"/>
          <w:rtl/>
        </w:rPr>
        <w:t xml:space="preserve">ص 354 .</w:t>
      </w:r>
    </w:p>
    <w:p>
      <w:pPr>
        <w:pStyle w:val="BookText"/>
      </w:pPr>
      <w:r>
        <w:rPr>
          <w:rFonts w:ascii="Amiri" w:hAnsi="Amiri" w:eastAsia="Amiri" w:cs="Amiri"/>
          <w:lang w:bidi="ar-SA"/>
          <w:color w:val="111111"/>
          <w:sz w:val="28"/>
          <w:szCs w:val="28"/>
          <w:rtl/>
        </w:rPr>
        <w:t xml:space="preserve">2 .رسالة فقهية، ج8، ص237.</w:t>
      </w:r>
    </w:p>
    <w:p>
      <w:pPr>
        <w:pStyle w:val="BookText"/>
      </w:pPr>
      <w:r>
        <w:rPr>
          <w:rFonts w:ascii="Amiri" w:hAnsi="Amiri" w:eastAsia="Amiri" w:cs="Amiri"/>
          <w:lang w:bidi="ar-SA"/>
          <w:color w:val="111111"/>
          <w:sz w:val="28"/>
          <w:szCs w:val="28"/>
          <w:rtl/>
        </w:rPr>
        <w:t xml:space="preserve">شاخوري ، عبد النبي بن حسين -بحراني</w:t>
      </w:r>
    </w:p>
    <w:p>
      <w:pPr>
        <w:pStyle w:val="BookText"/>
      </w:pPr>
      <w:r>
        <w:rPr>
          <w:rFonts w:ascii="Amiri" w:hAnsi="Amiri" w:eastAsia="Amiri" w:cs="Amiri"/>
          <w:lang w:bidi="ar-SA"/>
          <w:color w:val="111111"/>
          <w:sz w:val="28"/>
          <w:szCs w:val="28"/>
          <w:rtl/>
        </w:rPr>
        <w:t xml:space="preserve">شاخوري، عبدالنبي بن حسين</w:t>
      </w:r>
    </w:p>
    <w:p>
      <w:pPr>
        <w:pStyle w:val="BookText"/>
      </w:pPr>
      <w:r>
        <w:rPr>
          <w:rFonts w:ascii="Amiri" w:hAnsi="Amiri" w:eastAsia="Amiri" w:cs="Amiri"/>
          <w:lang w:bidi="ar-SA"/>
          <w:color w:val="111111"/>
          <w:sz w:val="28"/>
          <w:szCs w:val="28"/>
          <w:rtl/>
        </w:rPr>
        <w:t xml:space="preserve">شاذان ، ابوالفضل -شاذان قمي</w:t>
      </w:r>
    </w:p>
    <w:p>
      <w:pPr>
        <w:pStyle w:val="BookText"/>
      </w:pPr>
      <w:r>
        <w:rPr>
          <w:rFonts w:ascii="Amiri" w:hAnsi="Amiri" w:eastAsia="Amiri" w:cs="Amiri"/>
          <w:lang w:bidi="ar-SA"/>
          <w:color w:val="111111"/>
          <w:sz w:val="28"/>
          <w:szCs w:val="28"/>
          <w:rtl/>
        </w:rPr>
        <w:t xml:space="preserve">شاذان بن جبرئيل- شاذان قمي</w:t>
      </w:r>
    </w:p>
    <w:p>
      <w:pPr>
        <w:pStyle w:val="Heading2"/>
      </w:pPr>
      <w:bookmarkStart w:id="5028" w:name="_Toc4130"/>
      <w:r>
        <w:t>شاذان قمي قرن 6 ه-</w:t>
      </w:r>
      <w:bookmarkEnd w:id="5028"/>
    </w:p>
    <w:p>
      <w:pPr>
        <w:pStyle w:val="BookText"/>
      </w:pPr>
      <w:r>
        <w:rPr>
          <w:rFonts w:ascii="Amiri" w:hAnsi="Amiri" w:eastAsia="Amiri" w:cs="Amiri"/>
          <w:lang w:bidi="ar-SA"/>
          <w:color w:val="111111"/>
          <w:sz w:val="28"/>
          <w:szCs w:val="28"/>
          <w:rtl/>
        </w:rPr>
        <w:t xml:space="preserve">1 .ازاحة العلة في معرفة القبلة، ج 2،</w:t>
      </w:r>
    </w:p>
    <w:p>
      <w:pPr>
        <w:pStyle w:val="BookText"/>
      </w:pPr>
      <w:r>
        <w:rPr>
          <w:rFonts w:ascii="IRNazanin" w:hAnsi="IRNazanin" w:eastAsia="IRNazanin" w:cs="IRNazanin"/>
          <w:lang w:bidi="fa-IR"/>
          <w:color w:val="111111"/>
          <w:sz w:val="28"/>
          <w:szCs w:val="28"/>
          <w:rtl/>
        </w:rPr>
        <w:t xml:space="preserve">ص 60 .</w:t>
      </w:r>
    </w:p>
    <w:p>
      <w:pPr>
        <w:pStyle w:val="BookText"/>
      </w:pPr>
      <w:r>
        <w:rPr>
          <w:rFonts w:ascii="Amiri" w:hAnsi="Amiri" w:eastAsia="Amiri" w:cs="Amiri"/>
          <w:lang w:bidi="ar-SA"/>
          <w:color w:val="111111"/>
          <w:sz w:val="28"/>
          <w:szCs w:val="28"/>
          <w:rtl/>
        </w:rPr>
        <w:t xml:space="preserve">2 .الروضة في فضائل علي (ع) = المناقب = الفضائل فضائل الائمة كتاب الفضائل، ج8، ص 449.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علم القرآن، ج 11، ص 254.</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99" w:name="pg7742_70584"/>
    <w:bookmarkEnd w:id="599"/>
    <w:p>
      <w:pPr>
        <w:pStyle w:val="BookText"/>
      </w:pPr>
      <w:r>
        <w:rPr>
          <w:rFonts w:ascii="Amiri" w:hAnsi="Amiri" w:eastAsia="Amiri" w:cs="Amiri"/>
          <w:lang w:bidi="ar-SA"/>
          <w:color w:val="111111"/>
          <w:sz w:val="28"/>
          <w:szCs w:val="28"/>
          <w:rtl/>
        </w:rPr>
        <w:t xml:space="preserve">شاذلي ، ابوالحسن علي بن عبدالله- شاذلي</w:t>
      </w:r>
    </w:p>
    <w:p>
      <w:pPr>
        <w:pStyle w:val="BookText"/>
      </w:pPr>
      <w:r>
        <w:rPr>
          <w:rFonts w:ascii="Amiri" w:hAnsi="Amiri" w:eastAsia="Amiri" w:cs="Amiri"/>
          <w:lang w:bidi="ar-SA"/>
          <w:color w:val="111111"/>
          <w:sz w:val="28"/>
          <w:szCs w:val="28"/>
          <w:rtl/>
        </w:rPr>
        <w:t xml:space="preserve">، علي بن عبدالله</w:t>
      </w:r>
    </w:p>
    <w:p>
      <w:pPr>
        <w:pStyle w:val="Heading2"/>
      </w:pPr>
      <w:bookmarkStart w:id="5029" w:name="_Toc4131"/>
      <w:r>
        <w:t>شاذلي ، ابو النجا</w:t>
      </w:r>
      <w:bookmarkEnd w:id="5029"/>
    </w:p>
    <w:p>
      <w:pPr>
        <w:pStyle w:val="BookText"/>
      </w:pPr>
      <w:r>
        <w:rPr>
          <w:rFonts w:ascii="Amiri" w:hAnsi="Amiri" w:eastAsia="Amiri" w:cs="Amiri"/>
          <w:lang w:bidi="ar-SA"/>
          <w:color w:val="111111"/>
          <w:sz w:val="28"/>
          <w:szCs w:val="28"/>
          <w:rtl/>
        </w:rPr>
        <w:t xml:space="preserve">المقام و اصوله و فروعه (منظومة في) منظومة في المقام و اصوله وفروعه</w:t>
      </w:r>
    </w:p>
    <w:p>
      <w:pPr>
        <w:pStyle w:val="BookText"/>
      </w:pPr>
      <w:r>
        <w:rPr>
          <w:rFonts w:ascii="IRNazanin" w:hAnsi="IRNazanin" w:eastAsia="IRNazanin" w:cs="IRNazanin"/>
          <w:lang w:bidi="fa-IR"/>
          <w:color w:val="111111"/>
          <w:sz w:val="28"/>
          <w:szCs w:val="28"/>
          <w:rtl/>
        </w:rPr>
        <w:t xml:space="preserve">ج 15، ص 323.</w:t>
      </w:r>
    </w:p>
    <w:p>
      <w:pPr>
        <w:pStyle w:val="BookText"/>
      </w:pPr>
      <w:r>
        <w:rPr>
          <w:rFonts w:ascii="Amiri" w:hAnsi="Amiri" w:eastAsia="Amiri" w:cs="Amiri"/>
          <w:lang w:bidi="ar-SA"/>
          <w:color w:val="111111"/>
          <w:sz w:val="28"/>
          <w:szCs w:val="28"/>
          <w:rtl/>
        </w:rPr>
        <w:t xml:space="preserve">شاذلي ، ابوبكر بن عبدالله- عيدروس</w:t>
      </w:r>
    </w:p>
    <w:p>
      <w:pPr>
        <w:pStyle w:val="BookText"/>
      </w:pPr>
      <w:r>
        <w:rPr>
          <w:rFonts w:ascii="IRNazanin" w:hAnsi="IRNazanin" w:eastAsia="IRNazanin" w:cs="IRNazanin"/>
          <w:lang w:bidi="fa-IR"/>
          <w:color w:val="111111"/>
          <w:sz w:val="28"/>
          <w:szCs w:val="28"/>
          <w:rtl/>
        </w:rPr>
        <w:t xml:space="preserve">ابوبکر بن عبدالله</w:t>
      </w:r>
    </w:p>
    <w:p>
      <w:pPr>
        <w:pStyle w:val="BookText"/>
      </w:pPr>
      <w:r>
        <w:rPr>
          <w:rFonts w:ascii="Amiri" w:hAnsi="Amiri" w:eastAsia="Amiri" w:cs="Amiri"/>
          <w:lang w:bidi="ar-SA"/>
          <w:color w:val="111111"/>
          <w:sz w:val="28"/>
          <w:szCs w:val="28"/>
          <w:rtl/>
        </w:rPr>
        <w:t xml:space="preserve">شاذلي ، احمد بن عثمان- شرنوبي ، احمد</w:t>
      </w:r>
    </w:p>
    <w:p>
      <w:pPr>
        <w:pStyle w:val="BookText"/>
      </w:pPr>
      <w:r>
        <w:rPr>
          <w:rFonts w:ascii="IRNazanin" w:hAnsi="IRNazanin" w:eastAsia="IRNazanin" w:cs="IRNazanin"/>
          <w:lang w:bidi="fa-IR"/>
          <w:color w:val="111111"/>
          <w:sz w:val="28"/>
          <w:szCs w:val="28"/>
          <w:rtl/>
        </w:rPr>
        <w:t xml:space="preserve">بن عثمان</w:t>
      </w:r>
    </w:p>
    <w:p>
      <w:pPr>
        <w:pStyle w:val="BookText"/>
      </w:pPr>
      <w:r>
        <w:rPr>
          <w:rFonts w:ascii="Amiri" w:hAnsi="Amiri" w:eastAsia="Amiri" w:cs="Amiri"/>
          <w:lang w:bidi="ar-SA"/>
          <w:color w:val="111111"/>
          <w:sz w:val="28"/>
          <w:szCs w:val="28"/>
          <w:rtl/>
        </w:rPr>
        <w:t xml:space="preserve">شاذلي ، احمد بن محمّد -ابن عطاء الله</w:t>
      </w:r>
    </w:p>
    <w:p>
      <w:pPr>
        <w:pStyle w:val="BookText"/>
      </w:pPr>
      <w:r>
        <w:rPr>
          <w:rFonts w:ascii="Amiri" w:hAnsi="Amiri" w:eastAsia="Amiri" w:cs="Amiri"/>
          <w:lang w:bidi="ar-SA"/>
          <w:color w:val="111111"/>
          <w:sz w:val="28"/>
          <w:szCs w:val="28"/>
          <w:rtl/>
        </w:rPr>
        <w:t xml:space="preserve">اسكندري ، احمد بن محمّد</w:t>
      </w:r>
    </w:p>
    <w:p>
      <w:pPr>
        <w:pStyle w:val="Heading2"/>
      </w:pPr>
      <w:bookmarkStart w:id="5030" w:name="_Toc4132"/>
      <w:r>
        <w:t>شاذلي ، بدر الدين بن عمر</w:t>
      </w:r>
      <w:bookmarkEnd w:id="5030"/>
    </w:p>
    <w:p>
      <w:pPr>
        <w:pStyle w:val="BookText"/>
      </w:pPr>
      <w:r>
        <w:rPr>
          <w:rFonts w:ascii="Amiri" w:hAnsi="Amiri" w:eastAsia="Amiri" w:cs="Amiri"/>
          <w:lang w:bidi="ar-SA"/>
          <w:color w:val="111111"/>
          <w:sz w:val="28"/>
          <w:szCs w:val="28"/>
          <w:rtl/>
        </w:rPr>
        <w:t xml:space="preserve">1 .خلاصة الحقيقة و ارشاد الطالب</w:t>
      </w:r>
    </w:p>
    <w:p>
      <w:pPr>
        <w:pStyle w:val="BookText"/>
      </w:pPr>
      <w:r>
        <w:rPr>
          <w:rFonts w:ascii="Amiri" w:hAnsi="Amiri" w:eastAsia="Amiri" w:cs="Amiri"/>
          <w:lang w:bidi="ar-SA"/>
          <w:color w:val="111111"/>
          <w:sz w:val="28"/>
          <w:szCs w:val="28"/>
          <w:rtl/>
        </w:rPr>
        <w:t xml:space="preserve">إلى الطريقة، ج 7، ص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الحقيقه في معرفة آداب الطريقة، ج 8، ص 594.</w:t>
      </w:r>
    </w:p>
    <w:p>
      <w:pPr>
        <w:pStyle w:val="BookText"/>
      </w:pPr>
      <w:r>
        <w:rPr>
          <w:rFonts w:ascii="Amiri" w:hAnsi="Amiri" w:eastAsia="Amiri" w:cs="Amiri"/>
          <w:lang w:bidi="ar-SA"/>
          <w:color w:val="111111"/>
          <w:sz w:val="28"/>
          <w:szCs w:val="28"/>
          <w:rtl/>
        </w:rPr>
        <w:t xml:space="preserve">شاذلي جزولي ، محمّد بن سليمان -جزولي</w:t>
      </w:r>
    </w:p>
    <w:p>
      <w:pPr>
        <w:pStyle w:val="BookText"/>
      </w:pPr>
      <w:r>
        <w:rPr>
          <w:rFonts w:ascii="IRNazanin" w:hAnsi="IRNazanin" w:eastAsia="IRNazanin" w:cs="IRNazanin"/>
          <w:lang w:bidi="fa-IR"/>
          <w:color w:val="111111"/>
          <w:sz w:val="28"/>
          <w:szCs w:val="28"/>
          <w:rtl/>
        </w:rPr>
        <w:t xml:space="preserve">، محمّد بن سلیمان</w:t>
      </w:r>
    </w:p>
    <w:p>
      <w:pPr>
        <w:pStyle w:val="Heading2"/>
      </w:pPr>
      <w:bookmarkStart w:id="5031" w:name="_Toc4133"/>
      <w:r>
        <w:t>شاذلي ، عبدالقادر بن محمّد - 935 ه-</w:t>
      </w:r>
      <w:bookmarkEnd w:id="5031"/>
    </w:p>
    <w:p>
      <w:pPr>
        <w:pStyle w:val="BookText"/>
      </w:pPr>
      <w:r>
        <w:rPr>
          <w:rFonts w:ascii="Amiri" w:hAnsi="Amiri" w:eastAsia="Amiri" w:cs="Amiri"/>
          <w:lang w:bidi="ar-SA"/>
          <w:color w:val="111111"/>
          <w:sz w:val="28"/>
          <w:szCs w:val="28"/>
          <w:rtl/>
        </w:rPr>
        <w:t xml:space="preserve">حلاوة المجامع المنتقي من جمع الجوامع، ج 6 ، ص 773.</w:t>
      </w:r>
    </w:p>
    <w:p>
      <w:pPr>
        <w:pStyle w:val="Heading2"/>
      </w:pPr>
      <w:bookmarkStart w:id="5032" w:name="_Toc4134"/>
      <w:r>
        <w:t>شاذلي ، عبدالمحسن بن عبدالغني</w:t>
      </w:r>
      <w:bookmarkEnd w:id="5032"/>
    </w:p>
    <w:p>
      <w:pPr>
        <w:pStyle w:val="BookText"/>
      </w:pPr>
      <w:r>
        <w:rPr>
          <w:rFonts w:ascii="Amiri" w:hAnsi="Amiri" w:eastAsia="Amiri" w:cs="Amiri"/>
          <w:lang w:bidi="ar-SA"/>
          <w:color w:val="111111"/>
          <w:sz w:val="28"/>
          <w:szCs w:val="28"/>
          <w:rtl/>
        </w:rPr>
        <w:t xml:space="preserve">الإجازة المحمدية الشاذلية، ج1،</w:t>
      </w:r>
    </w:p>
    <w:p>
      <w:pPr>
        <w:pStyle w:val="Heading2"/>
      </w:pPr>
      <w:bookmarkStart w:id="5033" w:name="_Toc4135"/>
      <w:r>
        <w:t>شاذلي ، علي بن عبدالله 591 - 656 ه-</w:t>
      </w:r>
      <w:bookmarkEnd w:id="5033"/>
    </w:p>
    <w:p>
      <w:pPr>
        <w:pStyle w:val="BookText"/>
      </w:pPr>
      <w:r>
        <w:rPr>
          <w:rFonts w:ascii="Amiri" w:hAnsi="Amiri" w:eastAsia="Amiri" w:cs="Amiri"/>
          <w:lang w:bidi="ar-SA"/>
          <w:color w:val="111111"/>
          <w:sz w:val="28"/>
          <w:szCs w:val="28"/>
          <w:rtl/>
        </w:rPr>
        <w:t xml:space="preserve">1 .حرز ابي الحسن الشاذلي، ج 6،</w:t>
      </w:r>
    </w:p>
    <w:p>
      <w:pPr>
        <w:pStyle w:val="BookText"/>
      </w:pPr>
      <w:r>
        <w:rPr>
          <w:rFonts w:ascii="IRNazanin" w:hAnsi="IRNazanin" w:eastAsia="IRNazanin" w:cs="IRNazanin"/>
          <w:lang w:bidi="fa-IR"/>
          <w:color w:val="111111"/>
          <w:sz w:val="28"/>
          <w:szCs w:val="28"/>
          <w:rtl/>
        </w:rPr>
        <w:t xml:space="preserve">ص 602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حزب البحر = حزب الصغير، ج 6،</w:t>
      </w:r>
    </w:p>
    <w:p>
      <w:pPr>
        <w:pStyle w:val="BookText"/>
      </w:pPr>
      <w:r>
        <w:rPr>
          <w:rFonts w:ascii="IRNazanin" w:hAnsi="IRNazanin" w:eastAsia="IRNazanin" w:cs="IRNazanin"/>
          <w:lang w:bidi="fa-IR"/>
          <w:color w:val="111111"/>
          <w:sz w:val="28"/>
          <w:szCs w:val="28"/>
          <w:rtl/>
        </w:rPr>
        <w:t xml:space="preserve">ص 627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حزب التوسل، ج 6، ص 629.</w:t>
      </w:r>
    </w:p>
    <w:p>
      <w:pPr>
        <w:pStyle w:val="BookText"/>
      </w:pPr>
      <w:r>
        <w:rPr>
          <w:rFonts w:ascii="Amiri" w:hAnsi="Amiri" w:eastAsia="Amiri" w:cs="Amiri"/>
          <w:lang w:bidi="ar-SA"/>
          <w:color w:val="111111"/>
          <w:sz w:val="28"/>
          <w:szCs w:val="28"/>
          <w:rtl/>
        </w:rPr>
        <w:t xml:space="preserve">4 .الحزب الكبير = حزب البر = حزب</w:t>
      </w:r>
    </w:p>
    <w:p>
      <w:pPr>
        <w:pStyle w:val="BookText"/>
      </w:pPr>
      <w:r>
        <w:rPr>
          <w:rFonts w:ascii="Amiri" w:hAnsi="Amiri" w:eastAsia="Amiri" w:cs="Amiri"/>
          <w:lang w:bidi="ar-SA"/>
          <w:color w:val="111111"/>
          <w:sz w:val="28"/>
          <w:szCs w:val="28"/>
          <w:rtl/>
        </w:rPr>
        <w:t xml:space="preserve">ابوالحسن شاذلي، ج 6، ص 630.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حزب اللطيف، ج 6، ص 631.</w:t>
      </w:r>
    </w:p>
    <w:p>
      <w:pPr>
        <w:pStyle w:val="BookText"/>
      </w:pPr>
      <w:r>
        <w:rPr>
          <w:rFonts w:ascii="Amiri" w:hAnsi="Amiri" w:eastAsia="Amiri" w:cs="Amiri"/>
          <w:lang w:bidi="ar-SA"/>
          <w:color w:val="111111"/>
          <w:sz w:val="28"/>
          <w:szCs w:val="28"/>
          <w:rtl/>
        </w:rPr>
        <w:t xml:space="preserve">6 .حزب النصر (رسالة في)، ج6،</w:t>
      </w:r>
    </w:p>
    <w:p>
      <w:pPr>
        <w:pStyle w:val="BookText"/>
      </w:pPr>
      <w:r>
        <w:rPr>
          <w:rFonts w:ascii="IRNazanin" w:hAnsi="IRNazanin" w:eastAsia="IRNazanin" w:cs="IRNazanin"/>
          <w:lang w:bidi="fa-IR"/>
          <w:color w:val="111111"/>
          <w:sz w:val="28"/>
          <w:szCs w:val="28"/>
          <w:rtl/>
        </w:rPr>
        <w:t xml:space="preserve">ص 632 .</w:t>
      </w:r>
    </w:p>
    <w:p>
      <w:pPr>
        <w:pStyle w:val="BookText"/>
      </w:pPr>
      <w:r>
        <w:rPr>
          <w:rFonts w:ascii="IRNazanin" w:hAnsi="IRNazanin" w:eastAsia="IRNazanin" w:cs="IRNazanin"/>
          <w:lang w:bidi="fa-IR"/>
          <w:color w:val="111111"/>
          <w:sz w:val="28"/>
          <w:szCs w:val="28"/>
          <w:rtl/>
        </w:rPr>
        <w:t xml:space="preserve">7 .حزب النور، ج 6، ص 633.</w:t>
      </w:r>
    </w:p>
    <w:p>
      <w:pPr>
        <w:pStyle w:val="BookText"/>
      </w:pPr>
      <w:r>
        <w:rPr>
          <w:rFonts w:ascii="Amiri" w:hAnsi="Amiri" w:eastAsia="Amiri" w:cs="Amiri"/>
          <w:lang w:bidi="ar-SA"/>
          <w:color w:val="111111"/>
          <w:sz w:val="28"/>
          <w:szCs w:val="28"/>
          <w:rtl/>
        </w:rPr>
        <w:t xml:space="preserve">8 .دائرة الامام ابي الحسن الشاذلي</w:t>
      </w:r>
    </w:p>
    <w:p>
      <w:pPr>
        <w:pStyle w:val="BookText"/>
      </w:pPr>
      <w:r>
        <w:rPr>
          <w:rFonts w:ascii="IRNazanin" w:hAnsi="IRNazanin" w:eastAsia="IRNazanin" w:cs="IRNazanin"/>
          <w:lang w:bidi="fa-IR"/>
          <w:color w:val="111111"/>
          <w:sz w:val="28"/>
          <w:szCs w:val="28"/>
          <w:rtl/>
        </w:rPr>
        <w:t xml:space="preserve">ج 7، ص 202.</w:t>
      </w:r>
    </w:p>
    <w:p>
      <w:pPr>
        <w:pStyle w:val="BookText"/>
      </w:pPr>
      <w:r>
        <w:rPr>
          <w:rFonts w:ascii="IRNazanin" w:hAnsi="IRNazanin" w:eastAsia="IRNazanin" w:cs="IRNazanin"/>
          <w:lang w:bidi="fa-IR"/>
          <w:color w:val="111111"/>
          <w:sz w:val="28"/>
          <w:szCs w:val="28"/>
          <w:rtl/>
        </w:rPr>
        <w:t xml:space="preserve">9 .دعاء حزب النصر، ج 7، ص 394.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الدعاء (رسالة في)، ج 7، ص 387.</w:t>
      </w:r>
    </w:p>
    <w:p>
      <w:pPr>
        <w:pStyle w:val="BookText"/>
      </w:pPr>
      <w:r>
        <w:rPr>
          <w:rFonts w:ascii="Amiri" w:hAnsi="Amiri" w:eastAsia="Amiri" w:cs="Amiri"/>
          <w:lang w:bidi="ar-SA"/>
          <w:color w:val="111111"/>
          <w:sz w:val="28"/>
          <w:szCs w:val="28"/>
          <w:rtl/>
        </w:rPr>
        <w:t xml:space="preserve">11 .رسالة ابي الحسن الشاذلي، ج8،</w:t>
      </w:r>
    </w:p>
    <w:p>
      <w:pPr>
        <w:pStyle w:val="BookText"/>
      </w:pPr>
      <w:r>
        <w:rPr>
          <w:rFonts w:ascii="IRNazanin" w:hAnsi="IRNazanin" w:eastAsia="IRNazanin" w:cs="IRNazanin"/>
          <w:lang w:bidi="fa-IR"/>
          <w:color w:val="111111"/>
          <w:sz w:val="28"/>
          <w:szCs w:val="28"/>
          <w:rtl/>
        </w:rPr>
        <w:t xml:space="preserve">ص 159 .</w:t>
      </w:r>
    </w:p>
    <w:p>
      <w:pPr>
        <w:pStyle w:val="BookText"/>
      </w:pPr>
      <w:r>
        <w:rPr>
          <w:rFonts w:ascii="Amiri" w:hAnsi="Amiri" w:eastAsia="Amiri" w:cs="Amiri"/>
          <w:lang w:bidi="ar-SA"/>
          <w:color w:val="111111"/>
          <w:sz w:val="28"/>
          <w:szCs w:val="28"/>
          <w:rtl/>
        </w:rPr>
        <w:t xml:space="preserve">شاذلي ، علي بن محمّد- ابن وفا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شاذلي ، علي بن محمّد -منوفي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شاذلي مؤذن عبد القادر بن محمّد -شاذلي</w:t>
      </w:r>
    </w:p>
    <w:p>
      <w:pPr>
        <w:pStyle w:val="BookText"/>
      </w:pPr>
      <w:r>
        <w:rPr>
          <w:rFonts w:ascii="IRNazanin" w:hAnsi="IRNazanin" w:eastAsia="IRNazanin" w:cs="IRNazanin"/>
          <w:lang w:bidi="fa-IR"/>
          <w:color w:val="111111"/>
          <w:sz w:val="28"/>
          <w:szCs w:val="28"/>
          <w:rtl/>
        </w:rPr>
        <w:t xml:space="preserve">، عبدالقادر بن محمّد</w:t>
      </w:r>
    </w:p>
    <w:p>
      <w:pPr>
        <w:pStyle w:val="BookText"/>
      </w:pPr>
      <w:r>
        <w:rPr>
          <w:rFonts w:ascii="Amiri" w:hAnsi="Amiri" w:eastAsia="Amiri" w:cs="Amiri"/>
          <w:lang w:bidi="ar-SA"/>
          <w:color w:val="111111"/>
          <w:sz w:val="28"/>
          <w:szCs w:val="28"/>
          <w:rtl/>
        </w:rPr>
        <w:t xml:space="preserve">شاذلي ، محمّد بن ابراهيم -ابن عباد</w:t>
      </w:r>
    </w:p>
    <w:p>
      <w:pPr>
        <w:pStyle w:val="BookText"/>
      </w:pPr>
      <w:r>
        <w:rPr>
          <w:rFonts w:ascii="Amiri" w:hAnsi="Amiri" w:eastAsia="Amiri" w:cs="Amiri"/>
          <w:lang w:bidi="ar-SA"/>
          <w:color w:val="111111"/>
          <w:sz w:val="28"/>
          <w:szCs w:val="28"/>
          <w:rtl/>
        </w:rPr>
        <w:t xml:space="preserve">رندي ، محمّد بن ابراهيم</w:t>
      </w:r>
    </w:p>
    <w:p>
      <w:pPr>
        <w:pStyle w:val="BookText"/>
      </w:pPr>
      <w:r>
        <w:rPr>
          <w:rFonts w:ascii="Amiri" w:hAnsi="Amiri" w:eastAsia="Amiri" w:cs="Amiri"/>
          <w:lang w:bidi="ar-SA"/>
          <w:color w:val="111111"/>
          <w:sz w:val="28"/>
          <w:szCs w:val="28"/>
          <w:rtl/>
        </w:rPr>
        <w:t xml:space="preserve">شاذلي ، محمّد بن وفاء -وفاء شاذلي ،</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ص 294.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0" w:name="pg7742_70585"/>
    <w:bookmarkEnd w:id="600"/>
    <w:p>
      <w:pPr>
        <w:pStyle w:val="Heading2"/>
      </w:pPr>
      <w:bookmarkStart w:id="5034" w:name="_Toc4136"/>
      <w:r>
        <w:t>شاذلي ، محمّد بن وفاء، 702 - 765 ه-</w:t>
      </w:r>
      <w:bookmarkEnd w:id="5034"/>
    </w:p>
    <w:p>
      <w:pPr>
        <w:pStyle w:val="BookText"/>
      </w:pPr>
      <w:r>
        <w:rPr>
          <w:rFonts w:ascii="Amiri" w:hAnsi="Amiri" w:eastAsia="Amiri" w:cs="Amiri"/>
          <w:lang w:bidi="ar-SA"/>
          <w:color w:val="111111"/>
          <w:sz w:val="28"/>
          <w:szCs w:val="28"/>
          <w:rtl/>
        </w:rPr>
        <w:t xml:space="preserve">ديوان ابن وفاء الشاذلي، ج 7، ص 548.</w:t>
      </w:r>
    </w:p>
    <w:p>
      <w:pPr>
        <w:pStyle w:val="Heading2"/>
      </w:pPr>
      <w:bookmarkStart w:id="5035" w:name="_Toc4137"/>
      <w:r>
        <w:t>شاراني ، ابراهيم</w:t>
      </w:r>
      <w:bookmarkEnd w:id="5035"/>
    </w:p>
    <w:p>
      <w:pPr>
        <w:pStyle w:val="BookText"/>
      </w:pPr>
      <w:r>
        <w:rPr>
          <w:rFonts w:ascii="Amiri" w:hAnsi="Amiri" w:eastAsia="Amiri" w:cs="Amiri"/>
          <w:lang w:bidi="ar-SA"/>
          <w:color w:val="111111"/>
          <w:sz w:val="28"/>
          <w:szCs w:val="28"/>
          <w:rtl/>
        </w:rPr>
        <w:t xml:space="preserve">شرح شواهد الفوائد الضيائية، ج 9،</w:t>
      </w:r>
    </w:p>
    <w:p>
      <w:pPr>
        <w:pStyle w:val="BookText"/>
      </w:pPr>
      <w:r>
        <w:rPr>
          <w:rFonts w:ascii="IRNazanin" w:hAnsi="IRNazanin" w:eastAsia="IRNazanin" w:cs="IRNazanin"/>
          <w:lang w:bidi="fa-IR"/>
          <w:color w:val="111111"/>
          <w:sz w:val="28"/>
          <w:szCs w:val="28"/>
          <w:rtl/>
        </w:rPr>
        <w:t xml:space="preserve">ص 656 .</w:t>
      </w:r>
    </w:p>
    <w:p>
      <w:pPr>
        <w:pStyle w:val="BookText"/>
      </w:pPr>
      <w:r>
        <w:rPr>
          <w:rFonts w:ascii="Amiri" w:hAnsi="Amiri" w:eastAsia="Amiri" w:cs="Amiri"/>
          <w:lang w:bidi="ar-SA"/>
          <w:color w:val="111111"/>
          <w:sz w:val="28"/>
          <w:szCs w:val="28"/>
          <w:rtl/>
        </w:rPr>
        <w:t xml:space="preserve">شارح المثنوي ، عبدالله بن محمّد -بسنوي</w:t>
      </w:r>
    </w:p>
    <w:p>
      <w:pPr>
        <w:pStyle w:val="BookText"/>
      </w:pPr>
      <w:r>
        <w:rPr>
          <w:rFonts w:ascii="IRNazanin" w:hAnsi="IRNazanin" w:eastAsia="IRNazanin" w:cs="IRNazanin"/>
          <w:lang w:bidi="fa-IR"/>
          <w:color w:val="111111"/>
          <w:sz w:val="28"/>
          <w:szCs w:val="28"/>
          <w:rtl/>
        </w:rPr>
        <w:t xml:space="preserve">، عبدالله بن محمّد</w:t>
      </w:r>
    </w:p>
    <w:p>
      <w:pPr>
        <w:pStyle w:val="BookText"/>
      </w:pPr>
      <w:r>
        <w:rPr>
          <w:rFonts w:ascii="Amiri" w:hAnsi="Amiri" w:eastAsia="Amiri" w:cs="Amiri"/>
          <w:lang w:bidi="ar-SA"/>
          <w:color w:val="111111"/>
          <w:sz w:val="28"/>
          <w:szCs w:val="28"/>
          <w:rtl/>
        </w:rPr>
        <w:t xml:space="preserve">شارقي ، احمد بن طاهر -ابن عباده ،</w:t>
      </w:r>
    </w:p>
    <w:p>
      <w:pPr>
        <w:pStyle w:val="BookText"/>
      </w:pPr>
      <w:r>
        <w:rPr>
          <w:rFonts w:ascii="IRNazanin" w:hAnsi="IRNazanin" w:eastAsia="IRNazanin" w:cs="IRNazanin"/>
          <w:lang w:bidi="fa-IR"/>
          <w:color w:val="111111"/>
          <w:sz w:val="28"/>
          <w:szCs w:val="28"/>
          <w:rtl/>
        </w:rPr>
        <w:t xml:space="preserve">احمد بن طاهر</w:t>
      </w:r>
    </w:p>
    <w:p>
      <w:pPr>
        <w:pStyle w:val="BookText"/>
      </w:pPr>
      <w:r>
        <w:rPr>
          <w:rFonts w:ascii="Amiri" w:hAnsi="Amiri" w:eastAsia="Amiri" w:cs="Amiri"/>
          <w:lang w:bidi="ar-SA"/>
          <w:color w:val="111111"/>
          <w:sz w:val="28"/>
          <w:szCs w:val="28"/>
          <w:rtl/>
        </w:rPr>
        <w:t xml:space="preserve">شازلي اسكندراني ، عطاء الله احمد بن محمّد -ابن عطاء الله اسكندري ، احمد بن</w:t>
      </w:r>
    </w:p>
    <w:p>
      <w:pPr>
        <w:pStyle w:val="BookText"/>
      </w:pPr>
      <w:r>
        <w:rPr>
          <w:rFonts w:ascii="Amiri" w:hAnsi="Amiri" w:eastAsia="Amiri" w:cs="Amiri"/>
          <w:lang w:bidi="ar-SA"/>
          <w:color w:val="111111"/>
          <w:sz w:val="28"/>
          <w:szCs w:val="28"/>
          <w:rtl/>
        </w:rPr>
        <w:t xml:space="preserve">محمّد</w:t>
      </w:r>
    </w:p>
    <w:p>
      <w:pPr>
        <w:pStyle w:val="Heading2"/>
      </w:pPr>
      <w:bookmarkStart w:id="5036" w:name="_Toc4138"/>
      <w:r>
        <w:t>شاشي ، اسحاق بن ابراهيم - 325 ه-</w:t>
      </w:r>
      <w:bookmarkEnd w:id="5036"/>
    </w:p>
    <w:p>
      <w:pPr>
        <w:pStyle w:val="BookText"/>
      </w:pPr>
      <w:r>
        <w:rPr>
          <w:rFonts w:ascii="Amiri" w:hAnsi="Amiri" w:eastAsia="Amiri" w:cs="Amiri"/>
          <w:lang w:bidi="ar-SA"/>
          <w:color w:val="111111"/>
          <w:sz w:val="28"/>
          <w:szCs w:val="28"/>
          <w:rtl/>
        </w:rPr>
        <w:t xml:space="preserve">اصول الشاشي - اصول الفقه الحنفي ج 2، ص 424 .</w:t>
      </w:r>
    </w:p>
    <w:p>
      <w:pPr>
        <w:pStyle w:val="Heading2"/>
      </w:pPr>
      <w:bookmarkStart w:id="5037" w:name="_Toc4139"/>
      <w:r>
        <w:t>شاشي ، حمیدالدین، قرن 8 ه-</w:t>
      </w:r>
      <w:bookmarkEnd w:id="5037"/>
    </w:p>
    <w:p>
      <w:pPr>
        <w:pStyle w:val="BookText"/>
      </w:pPr>
      <w:r>
        <w:rPr>
          <w:rFonts w:ascii="IRNazanin" w:hAnsi="IRNazanin" w:eastAsia="IRNazanin" w:cs="IRNazanin"/>
          <w:lang w:bidi="fa-IR"/>
          <w:color w:val="111111"/>
          <w:sz w:val="28"/>
          <w:szCs w:val="28"/>
          <w:rtl/>
        </w:rPr>
        <w:t xml:space="preserve">شرح آداب البحث، ج9، ص 125.</w:t>
      </w:r>
    </w:p>
    <w:p>
      <w:pPr>
        <w:pStyle w:val="BookText"/>
      </w:pPr>
      <w:r>
        <w:rPr>
          <w:rFonts w:ascii="Amiri" w:hAnsi="Amiri" w:eastAsia="Amiri" w:cs="Amiri"/>
          <w:lang w:bidi="ar-SA"/>
          <w:color w:val="111111"/>
          <w:sz w:val="28"/>
          <w:szCs w:val="28"/>
          <w:rtl/>
        </w:rPr>
        <w:t xml:space="preserve">شاشي حنفي ، اسحاق بن ابراهيم- شاشي</w:t>
      </w:r>
    </w:p>
    <w:p>
      <w:pPr>
        <w:pStyle w:val="BookText"/>
      </w:pPr>
      <w:r>
        <w:rPr>
          <w:rFonts w:ascii="Amiri" w:hAnsi="Amiri" w:eastAsia="Amiri" w:cs="Amiri"/>
          <w:lang w:bidi="ar-SA"/>
          <w:color w:val="111111"/>
          <w:sz w:val="28"/>
          <w:szCs w:val="28"/>
          <w:rtl/>
        </w:rPr>
        <w:t xml:space="preserve">، اسحاق بن ابراهيم</w:t>
      </w:r>
    </w:p>
    <w:p>
      <w:pPr>
        <w:pStyle w:val="Heading2"/>
      </w:pPr>
      <w:bookmarkStart w:id="5038" w:name="_Toc4140"/>
      <w:r>
        <w:t>شاشي ، محمّد ميرك - 980 ه-</w:t>
      </w:r>
      <w:bookmarkEnd w:id="5038"/>
    </w:p>
    <w:p>
      <w:pPr>
        <w:pStyle w:val="BookText"/>
      </w:pPr>
      <w:r>
        <w:rPr>
          <w:rFonts w:ascii="Amiri" w:hAnsi="Amiri" w:eastAsia="Amiri" w:cs="Amiri"/>
          <w:lang w:bidi="ar-SA"/>
          <w:color w:val="111111"/>
          <w:sz w:val="28"/>
          <w:szCs w:val="28"/>
          <w:rtl/>
        </w:rPr>
        <w:t xml:space="preserve">عجالة البيان في شرح الميزان = عجالة</w:t>
      </w:r>
    </w:p>
    <w:p>
      <w:pPr>
        <w:pStyle w:val="BookText"/>
      </w:pPr>
      <w:r>
        <w:rPr>
          <w:rFonts w:ascii="IRNazanin" w:hAnsi="IRNazanin" w:eastAsia="IRNazanin" w:cs="IRNazanin"/>
          <w:lang w:bidi="fa-IR"/>
          <w:color w:val="111111"/>
          <w:sz w:val="28"/>
          <w:szCs w:val="28"/>
          <w:rtl/>
        </w:rPr>
        <w:t xml:space="preserve">البيان في شرح میزان الادب، ج11، ص 23 .</w:t>
      </w:r>
    </w:p>
    <w:p>
      <w:pPr>
        <w:pStyle w:val="BookText"/>
      </w:pPr>
      <w:r>
        <w:rPr>
          <w:rFonts w:ascii="Amiri" w:hAnsi="Amiri" w:eastAsia="Amiri" w:cs="Amiri"/>
          <w:lang w:bidi="ar-SA"/>
          <w:color w:val="111111"/>
          <w:sz w:val="28"/>
          <w:szCs w:val="28"/>
          <w:rtl/>
        </w:rPr>
        <w:t xml:space="preserve">شاذلي ، مراد- ازهري ، مراد</w:t>
      </w:r>
    </w:p>
    <w:p>
      <w:pPr>
        <w:pStyle w:val="BookText"/>
      </w:pPr>
      <w:r>
        <w:rPr>
          <w:rFonts w:ascii="Amiri" w:hAnsi="Amiri" w:eastAsia="Amiri" w:cs="Amiri"/>
          <w:lang w:bidi="ar-SA"/>
          <w:color w:val="111111"/>
          <w:sz w:val="28"/>
          <w:szCs w:val="28"/>
          <w:rtl/>
        </w:rPr>
        <w:t xml:space="preserve">شاذلي منوفي، علي بن محمّد -منوفي ، علي</w:t>
      </w:r>
    </w:p>
    <w:p>
      <w:pPr>
        <w:pStyle w:val="BookText"/>
      </w:pPr>
      <w:r>
        <w:rPr>
          <w:rFonts w:ascii="Amiri" w:hAnsi="Amiri" w:eastAsia="Amiri" w:cs="Amiri"/>
          <w:lang w:bidi="ar-SA"/>
          <w:color w:val="111111"/>
          <w:sz w:val="28"/>
          <w:szCs w:val="28"/>
          <w:rtl/>
        </w:rPr>
        <w:t xml:space="preserve">بن محمّد</w:t>
      </w:r>
    </w:p>
    <w:p>
      <w:pPr>
        <w:pStyle w:val="Heading2"/>
      </w:pPr>
      <w:bookmarkStart w:id="5039" w:name="_Toc4141"/>
      <w:r>
        <w:t>شاطبي ، قاسم بن فيره 538 - 590 ه-</w:t>
      </w:r>
      <w:bookmarkEnd w:id="5039"/>
    </w:p>
    <w:p>
      <w:pPr>
        <w:pStyle w:val="BookText"/>
      </w:pPr>
      <w:r>
        <w:rPr>
          <w:rFonts w:ascii="Amiri" w:hAnsi="Amiri" w:eastAsia="Amiri" w:cs="Amiri"/>
          <w:lang w:bidi="ar-SA"/>
          <w:color w:val="111111"/>
          <w:sz w:val="28"/>
          <w:szCs w:val="28"/>
          <w:rtl/>
        </w:rPr>
        <w:t xml:space="preserve">1 .حرز الاماني ووجه التهاني = قصيدة الشاطبية، ج 6، ص 604.</w:t>
      </w:r>
    </w:p>
    <w:p>
      <w:pPr>
        <w:pStyle w:val="BookText"/>
      </w:pPr>
      <w:r>
        <w:rPr>
          <w:rFonts w:ascii="Amiri" w:hAnsi="Amiri" w:eastAsia="Amiri" w:cs="Amiri"/>
          <w:lang w:bidi="ar-SA"/>
          <w:color w:val="111111"/>
          <w:sz w:val="28"/>
          <w:szCs w:val="28"/>
          <w:rtl/>
        </w:rPr>
        <w:t xml:space="preserve">2 .حل مشكلات القرآن، ج 6 ، ص 801.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ظاآت القرآن الكريم (منظومة في)</w:t>
      </w:r>
    </w:p>
    <w:p>
      <w:pPr>
        <w:pStyle w:val="BookText"/>
      </w:pPr>
      <w:r>
        <w:rPr>
          <w:rFonts w:ascii="IRNazanin" w:hAnsi="IRNazanin" w:eastAsia="IRNazanin" w:cs="IRNazanin"/>
          <w:lang w:bidi="fa-IR"/>
          <w:color w:val="111111"/>
          <w:sz w:val="28"/>
          <w:szCs w:val="28"/>
          <w:rtl/>
        </w:rPr>
        <w:t xml:space="preserve">ج 10، ص 883</w:t>
      </w:r>
    </w:p>
    <w:p>
      <w:pPr>
        <w:pStyle w:val="BookText"/>
      </w:pPr>
      <w:r>
        <w:rPr>
          <w:rFonts w:ascii="Amiri" w:hAnsi="Amiri" w:eastAsia="Amiri" w:cs="Amiri"/>
          <w:lang w:bidi="ar-SA"/>
          <w:color w:val="111111"/>
          <w:sz w:val="28"/>
          <w:szCs w:val="28"/>
          <w:rtl/>
        </w:rPr>
        <w:t xml:space="preserve">4 .عقيلة اتراب القصائد في أسنى المقاصد = شاطبية رائية، ج 11،</w:t>
      </w:r>
    </w:p>
    <w:p>
      <w:pPr>
        <w:pStyle w:val="BookText"/>
      </w:pPr>
      <w:r>
        <w:rPr>
          <w:rFonts w:ascii="IRNazanin" w:hAnsi="IRNazanin" w:eastAsia="IRNazanin" w:cs="IRNazanin"/>
          <w:lang w:bidi="fa-IR"/>
          <w:color w:val="111111"/>
          <w:sz w:val="28"/>
          <w:szCs w:val="28"/>
          <w:rtl/>
        </w:rPr>
        <w:t xml:space="preserve">ص 209.</w:t>
      </w:r>
    </w:p>
    <w:p>
      <w:pPr>
        <w:pStyle w:val="BookText"/>
      </w:pPr>
      <w:r>
        <w:rPr>
          <w:rFonts w:ascii="Amiri" w:hAnsi="Amiri" w:eastAsia="Amiri" w:cs="Amiri"/>
          <w:lang w:bidi="ar-SA"/>
          <w:color w:val="111111"/>
          <w:sz w:val="28"/>
          <w:szCs w:val="28"/>
          <w:rtl/>
        </w:rPr>
        <w:t xml:space="preserve">5 .ناظمة الزهر، ج 16 ، ص 94.</w:t>
      </w:r>
    </w:p>
    <w:p>
      <w:pPr>
        <w:pStyle w:val="BookText"/>
      </w:pPr>
      <w:r>
        <w:rPr>
          <w:rFonts w:ascii="Amiri" w:hAnsi="Amiri" w:eastAsia="Amiri" w:cs="Amiri"/>
          <w:lang w:bidi="ar-SA"/>
          <w:color w:val="111111"/>
          <w:sz w:val="28"/>
          <w:szCs w:val="28"/>
          <w:rtl/>
        </w:rPr>
        <w:t xml:space="preserve">شاعر ، احمد بن حسن- نحوي ، احمد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شاعر اوغلي - سيماوي ، سنان الدين</w:t>
      </w:r>
    </w:p>
    <w:p>
      <w:pPr>
        <w:pStyle w:val="BookText"/>
      </w:pPr>
      <w:r>
        <w:rPr>
          <w:rFonts w:ascii="IRNazanin" w:hAnsi="IRNazanin" w:eastAsia="IRNazanin" w:cs="IRNazanin"/>
          <w:lang w:bidi="fa-IR"/>
          <w:color w:val="111111"/>
          <w:sz w:val="28"/>
          <w:szCs w:val="28"/>
          <w:rtl/>
        </w:rPr>
        <w:t xml:space="preserve">يوسف شاعر اهل بیت ، علي بن عبدالله- اصغر ، علي بن عبدالله</w:t>
      </w:r>
    </w:p>
    <w:p>
      <w:pPr>
        <w:pStyle w:val="BookText"/>
      </w:pPr>
      <w:r>
        <w:rPr>
          <w:rFonts w:ascii="Amiri" w:hAnsi="Amiri" w:eastAsia="Amiri" w:cs="Amiri"/>
          <w:lang w:bidi="ar-SA"/>
          <w:color w:val="111111"/>
          <w:sz w:val="28"/>
          <w:szCs w:val="28"/>
          <w:rtl/>
        </w:rPr>
        <w:t xml:space="preserve">شاعر سنان- سيماوي ، سنان الدين</w:t>
      </w:r>
    </w:p>
    <w:p>
      <w:pPr>
        <w:pStyle w:val="BookText"/>
      </w:pPr>
      <w:r>
        <w:rPr>
          <w:rFonts w:ascii="Amiri" w:hAnsi="Amiri" w:eastAsia="Amiri" w:cs="Amiri"/>
          <w:lang w:bidi="ar-SA"/>
          <w:color w:val="111111"/>
          <w:sz w:val="28"/>
          <w:szCs w:val="28"/>
          <w:rtl/>
        </w:rPr>
        <w:t xml:space="preserve">يوسف</w:t>
      </w:r>
    </w:p>
    <w:p>
      <w:pPr>
        <w:pStyle w:val="Heading2"/>
      </w:pPr>
      <w:bookmarkStart w:id="5040" w:name="_Toc4142"/>
      <w:r>
        <w:t>شافعي ، ابوالفضل محمّد</w:t>
      </w:r>
      <w:bookmarkEnd w:id="5040"/>
    </w:p>
    <w:p>
      <w:pPr>
        <w:pStyle w:val="BookText"/>
      </w:pPr>
      <w:r>
        <w:rPr>
          <w:rFonts w:ascii="Amiri" w:hAnsi="Amiri" w:eastAsia="Amiri" w:cs="Amiri"/>
          <w:lang w:bidi="ar-SA"/>
          <w:color w:val="111111"/>
          <w:sz w:val="28"/>
          <w:szCs w:val="28"/>
          <w:rtl/>
        </w:rPr>
        <w:t xml:space="preserve">شرح قصيدة العباد، ج 9، ص 875.</w:t>
      </w:r>
    </w:p>
    <w:p>
      <w:pPr>
        <w:pStyle w:val="Heading2"/>
      </w:pPr>
      <w:bookmarkStart w:id="5041" w:name="_Toc4143"/>
      <w:r>
        <w:t>شافعي ، احمد بن احمد</w:t>
      </w:r>
      <w:bookmarkEnd w:id="5041"/>
    </w:p>
    <w:p>
      <w:pPr>
        <w:pStyle w:val="BookText"/>
      </w:pPr>
      <w:r>
        <w:rPr>
          <w:rFonts w:ascii="Amiri" w:hAnsi="Amiri" w:eastAsia="Amiri" w:cs="Amiri"/>
          <w:lang w:bidi="ar-SA"/>
          <w:color w:val="111111"/>
          <w:sz w:val="28"/>
          <w:szCs w:val="28"/>
          <w:rtl/>
        </w:rPr>
        <w:t xml:space="preserve">شرح رسالة العمل بالزيج، ج 9،</w:t>
      </w:r>
    </w:p>
    <w:p>
      <w:pPr>
        <w:pStyle w:val="BookText"/>
      </w:pPr>
      <w:r>
        <w:rPr>
          <w:rFonts w:ascii="IRNazanin" w:hAnsi="IRNazanin" w:eastAsia="IRNazanin" w:cs="IRNazanin"/>
          <w:lang w:bidi="fa-IR"/>
          <w:color w:val="111111"/>
          <w:sz w:val="28"/>
          <w:szCs w:val="28"/>
          <w:rtl/>
        </w:rPr>
        <w:t xml:space="preserve">ص 541.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1" w:name="pg7742_70586"/>
    <w:bookmarkEnd w:id="601"/>
    <w:p>
      <w:pPr>
        <w:pStyle w:val="Heading2"/>
      </w:pPr>
      <w:bookmarkStart w:id="5042" w:name="_Toc4144"/>
      <w:r>
        <w:t>شافعي ، احمد بن تاج الدين</w:t>
      </w:r>
      <w:bookmarkEnd w:id="5042"/>
    </w:p>
    <w:p>
      <w:pPr>
        <w:pStyle w:val="BookText"/>
      </w:pPr>
      <w:r>
        <w:rPr>
          <w:rFonts w:ascii="Amiri" w:hAnsi="Amiri" w:eastAsia="Amiri" w:cs="Amiri"/>
          <w:lang w:bidi="ar-SA"/>
          <w:color w:val="111111"/>
          <w:sz w:val="28"/>
          <w:szCs w:val="28"/>
          <w:rtl/>
        </w:rPr>
        <w:t xml:space="preserve">معرفة سمت القبلة (رسالة في)، ج 15،</w:t>
      </w:r>
    </w:p>
    <w:p>
      <w:pPr>
        <w:pStyle w:val="BookText"/>
      </w:pPr>
      <w:r>
        <w:rPr>
          <w:rFonts w:ascii="IRNazanin" w:hAnsi="IRNazanin" w:eastAsia="IRNazanin" w:cs="IRNazanin"/>
          <w:lang w:bidi="fa-IR"/>
          <w:color w:val="111111"/>
          <w:sz w:val="28"/>
          <w:szCs w:val="28"/>
          <w:rtl/>
        </w:rPr>
        <w:t xml:space="preserve">ص 58.</w:t>
      </w:r>
    </w:p>
    <w:p>
      <w:pPr>
        <w:pStyle w:val="Heading2"/>
      </w:pPr>
      <w:bookmarkStart w:id="5043" w:name="_Toc4145"/>
      <w:r>
        <w:t>شافعي ، سعيد بن قابل</w:t>
      </w:r>
      <w:bookmarkEnd w:id="5043"/>
    </w:p>
    <w:p>
      <w:pPr>
        <w:pStyle w:val="BookText"/>
      </w:pPr>
      <w:r>
        <w:rPr>
          <w:rFonts w:ascii="Amiri" w:hAnsi="Amiri" w:eastAsia="Amiri" w:cs="Amiri"/>
          <w:lang w:bidi="ar-SA"/>
          <w:color w:val="111111"/>
          <w:sz w:val="28"/>
          <w:szCs w:val="28"/>
          <w:rtl/>
        </w:rPr>
        <w:t xml:space="preserve">تعليقة على أرجوزة إسماعيل المقري</w:t>
      </w:r>
    </w:p>
    <w:p>
      <w:pPr>
        <w:pStyle w:val="BookText"/>
      </w:pPr>
      <w:r>
        <w:rPr>
          <w:rFonts w:ascii="IRNazanin" w:hAnsi="IRNazanin" w:eastAsia="IRNazanin" w:cs="IRNazanin"/>
          <w:lang w:bidi="fa-IR"/>
          <w:color w:val="111111"/>
          <w:sz w:val="28"/>
          <w:szCs w:val="28"/>
          <w:rtl/>
        </w:rPr>
        <w:t xml:space="preserve">ج 4، ص 512.</w:t>
      </w:r>
    </w:p>
    <w:p>
      <w:pPr>
        <w:pStyle w:val="Heading2"/>
      </w:pPr>
      <w:bookmarkStart w:id="5044" w:name="_Toc4146"/>
      <w:r>
        <w:t>شافعي طبيب، محمّد بيك قرن 13 ه-</w:t>
      </w:r>
      <w:bookmarkEnd w:id="5044"/>
    </w:p>
    <w:p>
      <w:pPr>
        <w:pStyle w:val="BookText"/>
      </w:pPr>
      <w:r>
        <w:rPr>
          <w:rFonts w:ascii="IRNazanin" w:hAnsi="IRNazanin" w:eastAsia="IRNazanin" w:cs="IRNazanin"/>
          <w:lang w:bidi="fa-IR"/>
          <w:color w:val="111111"/>
          <w:sz w:val="28"/>
          <w:szCs w:val="28"/>
          <w:rtl/>
        </w:rPr>
        <w:t xml:space="preserve">السراج الوهاج، ج8، ص 742.</w:t>
      </w:r>
    </w:p>
    <w:p>
      <w:pPr>
        <w:pStyle w:val="Heading2"/>
      </w:pPr>
      <w:bookmarkStart w:id="5045" w:name="_Toc4147"/>
      <w:r>
        <w:t>شافعي ، عبد الله بن محمّد قرن 12 ه-</w:t>
      </w:r>
      <w:bookmarkEnd w:id="5045"/>
    </w:p>
    <w:p>
      <w:pPr>
        <w:pStyle w:val="BookText"/>
      </w:pPr>
      <w:r>
        <w:rPr>
          <w:rFonts w:ascii="IRNazanin" w:hAnsi="IRNazanin" w:eastAsia="IRNazanin" w:cs="IRNazanin"/>
          <w:lang w:bidi="fa-IR"/>
          <w:color w:val="111111"/>
          <w:sz w:val="28"/>
          <w:szCs w:val="28"/>
          <w:rtl/>
        </w:rPr>
        <w:t xml:space="preserve">متشابه القرآن، ج13، ص 749.</w:t>
      </w:r>
    </w:p>
    <w:p>
      <w:pPr>
        <w:pStyle w:val="Heading2"/>
      </w:pPr>
      <w:bookmarkStart w:id="5046" w:name="_Toc4148"/>
      <w:r>
        <w:t>شافعي ، محمّدامين بن صالح</w:t>
      </w:r>
      <w:bookmarkEnd w:id="5046"/>
    </w:p>
    <w:p>
      <w:pPr>
        <w:pStyle w:val="BookText"/>
      </w:pPr>
      <w:r>
        <w:rPr>
          <w:rFonts w:ascii="IRNazanin" w:hAnsi="IRNazanin" w:eastAsia="IRNazanin" w:cs="IRNazanin"/>
          <w:lang w:bidi="fa-IR"/>
          <w:color w:val="111111"/>
          <w:sz w:val="28"/>
          <w:szCs w:val="28"/>
          <w:rtl/>
        </w:rPr>
        <w:t xml:space="preserve">شرح شواهد قطر الندى، ج 9، ص 661 .</w:t>
      </w:r>
    </w:p>
    <w:p>
      <w:pPr>
        <w:pStyle w:val="Heading2"/>
      </w:pPr>
      <w:bookmarkStart w:id="5047" w:name="_Toc4149"/>
      <w:r>
        <w:t>شافعي ، محمّد بن احمد</w:t>
      </w:r>
      <w:bookmarkEnd w:id="5047"/>
    </w:p>
    <w:p>
      <w:pPr>
        <w:pStyle w:val="BookText"/>
      </w:pPr>
      <w:r>
        <w:rPr>
          <w:rFonts w:ascii="Amiri" w:hAnsi="Amiri" w:eastAsia="Amiri" w:cs="Amiri"/>
          <w:lang w:bidi="ar-SA"/>
          <w:color w:val="111111"/>
          <w:sz w:val="28"/>
          <w:szCs w:val="28"/>
          <w:rtl/>
        </w:rPr>
        <w:t xml:space="preserve">الدرة الفخرية في الالغاز النحوية، ج 7،</w:t>
      </w:r>
    </w:p>
    <w:p>
      <w:pPr>
        <w:pStyle w:val="BookText"/>
      </w:pPr>
      <w:r>
        <w:rPr>
          <w:rFonts w:ascii="IRNazanin" w:hAnsi="IRNazanin" w:eastAsia="IRNazanin" w:cs="IRNazanin"/>
          <w:lang w:bidi="fa-IR"/>
          <w:color w:val="111111"/>
          <w:sz w:val="28"/>
          <w:szCs w:val="28"/>
          <w:rtl/>
        </w:rPr>
        <w:t xml:space="preserve">ص 251.</w:t>
      </w:r>
    </w:p>
    <w:p>
      <w:pPr>
        <w:pStyle w:val="Heading2"/>
      </w:pPr>
      <w:bookmarkStart w:id="5048" w:name="_Toc4150"/>
      <w:r>
        <w:t>شافعي ، محمّد بن ادريس 150 - 204</w:t>
      </w:r>
      <w:bookmarkEnd w:id="5048"/>
    </w:p>
    <w:p>
      <w:pPr>
        <w:pStyle w:val="BookText"/>
      </w:pPr>
      <w:r>
        <w:rPr>
          <w:rFonts w:ascii="Amiri" w:hAnsi="Amiri" w:eastAsia="Amiri" w:cs="Amiri"/>
          <w:lang w:bidi="ar-SA"/>
          <w:color w:val="111111"/>
          <w:sz w:val="28"/>
          <w:szCs w:val="28"/>
          <w:rtl/>
        </w:rPr>
        <w:t xml:space="preserve">1 .اختلاف الحديث برواية ربيع بن سليمان المرادي، ج 1، ص 548.</w:t>
      </w:r>
    </w:p>
    <w:p>
      <w:pPr>
        <w:pStyle w:val="BookText"/>
      </w:pPr>
      <w:r>
        <w:rPr>
          <w:rFonts w:ascii="Amiri" w:hAnsi="Amiri" w:eastAsia="Amiri" w:cs="Amiri"/>
          <w:lang w:bidi="ar-SA"/>
          <w:color w:val="111111"/>
          <w:sz w:val="28"/>
          <w:szCs w:val="28"/>
          <w:rtl/>
        </w:rPr>
        <w:t xml:space="preserve">2 .اختلاف العراقيين، ج1، ص 549.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اختلاف مالك والشافعي، ج 1،</w:t>
      </w:r>
    </w:p>
    <w:p>
      <w:pPr>
        <w:pStyle w:val="BookText"/>
      </w:pPr>
      <w:r>
        <w:rPr>
          <w:rFonts w:ascii="IRNazanin" w:hAnsi="IRNazanin" w:eastAsia="IRNazanin" w:cs="IRNazanin"/>
          <w:lang w:bidi="fa-IR"/>
          <w:color w:val="111111"/>
          <w:sz w:val="28"/>
          <w:szCs w:val="28"/>
          <w:rtl/>
        </w:rPr>
        <w:t xml:space="preserve">ص 552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الام، ج 2، ص 702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حزب الامام الشافعي، ج 6، ص 625.</w:t>
      </w:r>
    </w:p>
    <w:p>
      <w:pPr>
        <w:pStyle w:val="BookText"/>
      </w:pPr>
      <w:r>
        <w:rPr>
          <w:rFonts w:ascii="Amiri" w:hAnsi="Amiri" w:eastAsia="Amiri" w:cs="Amiri"/>
          <w:lang w:bidi="ar-SA"/>
          <w:color w:val="111111"/>
          <w:sz w:val="28"/>
          <w:szCs w:val="28"/>
          <w:rtl/>
        </w:rPr>
        <w:t xml:space="preserve">6 .ديوان الشافعي، ج7، ص 665.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رحلة الامام محمّد بن ادریس، ج8،</w:t>
      </w:r>
    </w:p>
    <w:p>
      <w:pPr>
        <w:pStyle w:val="BookText"/>
      </w:pPr>
      <w:r>
        <w:rPr>
          <w:rFonts w:ascii="IRNazanin" w:hAnsi="IRNazanin" w:eastAsia="IRNazanin" w:cs="IRNazanin"/>
          <w:lang w:bidi="fa-IR"/>
          <w:color w:val="111111"/>
          <w:sz w:val="28"/>
          <w:szCs w:val="28"/>
          <w:rtl/>
        </w:rPr>
        <w:t xml:space="preserve">ص 67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الرسالة - الرسالة الاصلية، ج8،</w:t>
      </w:r>
    </w:p>
    <w:p>
      <w:pPr>
        <w:pStyle w:val="BookText"/>
      </w:pPr>
      <w:r>
        <w:rPr>
          <w:rFonts w:ascii="IRNazanin" w:hAnsi="IRNazanin" w:eastAsia="IRNazanin" w:cs="IRNazanin"/>
          <w:lang w:bidi="fa-IR"/>
          <w:color w:val="111111"/>
          <w:sz w:val="28"/>
          <w:szCs w:val="28"/>
          <w:rtl/>
        </w:rPr>
        <w:t xml:space="preserve">ص 155.</w:t>
      </w:r>
    </w:p>
    <w:p>
      <w:pPr>
        <w:pStyle w:val="BookText"/>
      </w:pPr>
      <w:r>
        <w:rPr>
          <w:rFonts w:ascii="Amiri" w:hAnsi="Amiri" w:eastAsia="Amiri" w:cs="Amiri"/>
          <w:lang w:bidi="ar-SA"/>
          <w:color w:val="111111"/>
          <w:sz w:val="28"/>
          <w:szCs w:val="28"/>
          <w:rtl/>
        </w:rPr>
        <w:t xml:space="preserve">9 .علم القيافة (رسالة في)، ج11،</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الفقه الأكبر، ج 12، ص 93.</w:t>
      </w:r>
    </w:p>
    <w:p>
      <w:pPr>
        <w:pStyle w:val="BookText"/>
      </w:pPr>
      <w:r>
        <w:rPr>
          <w:rFonts w:ascii="Amiri" w:hAnsi="Amiri" w:eastAsia="Amiri" w:cs="Amiri"/>
          <w:lang w:bidi="ar-SA"/>
          <w:color w:val="111111"/>
          <w:sz w:val="28"/>
          <w:szCs w:val="28"/>
          <w:rtl/>
        </w:rPr>
        <w:t xml:space="preserve">11 .مسند شافعي، ج 14، ص 598.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مناجاة الشافعي، ج 15 ، ص 477 .</w:t>
      </w:r>
    </w:p>
    <w:p>
      <w:pPr>
        <w:pStyle w:val="BookText"/>
      </w:pPr>
      <w:r>
        <w:rPr>
          <w:rFonts w:ascii="Amiri" w:hAnsi="Amiri" w:eastAsia="Amiri" w:cs="Amiri"/>
          <w:lang w:bidi="ar-SA"/>
          <w:color w:val="111111"/>
          <w:sz w:val="28"/>
          <w:szCs w:val="28"/>
          <w:rtl/>
        </w:rPr>
        <w:t xml:space="preserve">13 .الورقات في أصول الفقه، ج 16،</w:t>
      </w:r>
    </w:p>
    <w:p>
      <w:pPr>
        <w:pStyle w:val="BookText"/>
      </w:pPr>
      <w:r>
        <w:rPr>
          <w:rFonts w:ascii="IRNazanin" w:hAnsi="IRNazanin" w:eastAsia="IRNazanin" w:cs="IRNazanin"/>
          <w:lang w:bidi="fa-IR"/>
          <w:color w:val="111111"/>
          <w:sz w:val="28"/>
          <w:szCs w:val="28"/>
          <w:rtl/>
        </w:rPr>
        <w:t xml:space="preserve">ص 764 .</w:t>
      </w:r>
    </w:p>
    <w:p>
      <w:pPr>
        <w:pStyle w:val="BookText"/>
      </w:pPr>
      <w:r>
        <w:rPr>
          <w:rFonts w:ascii="Amiri" w:hAnsi="Amiri" w:eastAsia="Amiri" w:cs="Amiri"/>
          <w:lang w:bidi="ar-SA"/>
          <w:color w:val="111111"/>
          <w:sz w:val="28"/>
          <w:szCs w:val="28"/>
          <w:rtl/>
        </w:rPr>
        <w:t xml:space="preserve">14 .وصية الشافعي، ج 16، ص 817.</w:t>
      </w:r>
    </w:p>
    <w:p>
      <w:pPr>
        <w:pStyle w:val="Heading2"/>
      </w:pPr>
      <w:bookmarkStart w:id="5049" w:name="_Toc4151"/>
      <w:r>
        <w:t>شافعي ، محمّد بن حمزه</w:t>
      </w:r>
      <w:bookmarkEnd w:id="5049"/>
    </w:p>
    <w:p>
      <w:pPr>
        <w:pStyle w:val="BookText"/>
      </w:pPr>
      <w:r>
        <w:rPr>
          <w:rFonts w:ascii="Amiri" w:hAnsi="Amiri" w:eastAsia="Amiri" w:cs="Amiri"/>
          <w:lang w:bidi="ar-SA"/>
          <w:color w:val="111111"/>
          <w:sz w:val="28"/>
          <w:szCs w:val="28"/>
          <w:rtl/>
        </w:rPr>
        <w:t xml:space="preserve">رد من انكر على محي الدين العربي</w:t>
      </w:r>
    </w:p>
    <w:p>
      <w:pPr>
        <w:pStyle w:val="BookText"/>
      </w:pPr>
      <w:r>
        <w:rPr>
          <w:rFonts w:ascii="Amiri" w:hAnsi="Amiri" w:eastAsia="Amiri" w:cs="Amiri"/>
          <w:lang w:bidi="ar-SA"/>
          <w:color w:val="111111"/>
          <w:sz w:val="28"/>
          <w:szCs w:val="28"/>
          <w:rtl/>
        </w:rPr>
        <w:t xml:space="preserve">في التوحيد الذاتي (رسالة في)، ج8،</w:t>
      </w:r>
    </w:p>
    <w:p>
      <w:pPr>
        <w:pStyle w:val="BookText"/>
      </w:pPr>
      <w:r>
        <w:rPr>
          <w:rFonts w:ascii="IRNazanin" w:hAnsi="IRNazanin" w:eastAsia="IRNazanin" w:cs="IRNazanin"/>
          <w:lang w:bidi="fa-IR"/>
          <w:color w:val="111111"/>
          <w:sz w:val="28"/>
          <w:szCs w:val="28"/>
          <w:rtl/>
        </w:rPr>
        <w:t xml:space="preserve">ص 115.</w:t>
      </w:r>
    </w:p>
    <w:p>
      <w:pPr>
        <w:pStyle w:val="Heading2"/>
      </w:pPr>
      <w:bookmarkStart w:id="5050" w:name="_Toc4152"/>
      <w:r>
        <w:t>شافعي ، محمّد بن عبدالله 260 - 354</w:t>
      </w:r>
      <w:bookmarkEnd w:id="5050"/>
    </w:p>
    <w:p>
      <w:pPr>
        <w:pStyle w:val="BookText"/>
      </w:pPr>
      <w:r>
        <w:rPr>
          <w:rFonts w:ascii="Amiri" w:hAnsi="Amiri" w:eastAsia="Amiri" w:cs="Amiri"/>
          <w:lang w:bidi="ar-SA"/>
          <w:color w:val="111111"/>
          <w:sz w:val="28"/>
          <w:szCs w:val="28"/>
          <w:rtl/>
        </w:rPr>
        <w:t xml:space="preserve">حديث ابي بكر الشافعي، ج 6، ص 563.</w:t>
      </w:r>
    </w:p>
    <w:p>
      <w:pPr>
        <w:pStyle w:val="Heading2"/>
      </w:pPr>
      <w:bookmarkStart w:id="5051" w:name="_Toc4153"/>
      <w:r>
        <w:t>شافعي ، محمّد بن علي</w:t>
      </w:r>
      <w:bookmarkEnd w:id="5051"/>
    </w:p>
    <w:p>
      <w:pPr>
        <w:pStyle w:val="BookText"/>
      </w:pPr>
      <w:r>
        <w:rPr>
          <w:rFonts w:ascii="Amiri" w:hAnsi="Amiri" w:eastAsia="Amiri" w:cs="Amiri"/>
          <w:lang w:bidi="ar-SA"/>
          <w:color w:val="111111"/>
          <w:sz w:val="28"/>
          <w:szCs w:val="28"/>
          <w:rtl/>
        </w:rPr>
        <w:t xml:space="preserve">اصول الفقه (رسالة في)، ج 2، ص 442 .</w:t>
      </w:r>
    </w:p>
    <w:p>
      <w:pPr>
        <w:pStyle w:val="BookText"/>
      </w:pPr>
      <w:r>
        <w:rPr>
          <w:rFonts w:ascii="IRNazanin" w:hAnsi="IRNazanin" w:eastAsia="IRNazanin" w:cs="IRNazanin"/>
          <w:lang w:bidi="fa-IR"/>
          <w:color w:val="111111"/>
          <w:sz w:val="28"/>
          <w:szCs w:val="28"/>
          <w:rtl/>
        </w:rPr>
        <w:t xml:space="preserve">شافعي ، محمّد بن محمّد -جمال الدین</w:t>
      </w:r>
    </w:p>
    <w:p>
      <w:pPr>
        <w:pStyle w:val="BookText"/>
      </w:pPr>
      <w:r>
        <w:rPr>
          <w:rFonts w:ascii="Amiri" w:hAnsi="Amiri" w:eastAsia="Amiri" w:cs="Amiri"/>
          <w:lang w:bidi="ar-SA"/>
          <w:color w:val="111111"/>
          <w:sz w:val="28"/>
          <w:szCs w:val="28"/>
          <w:rtl/>
        </w:rPr>
        <w:t xml:space="preserve">شافعي ، محمّد بن محمّد بن أبي بكر</w:t>
      </w:r>
    </w:p>
    <w:p>
      <w:pPr>
        <w:pStyle w:val="Heading2"/>
      </w:pPr>
      <w:bookmarkStart w:id="5052" w:name="_Toc4154"/>
      <w:r>
        <w:t>شافعي ، محمّد بن محمّد</w:t>
      </w:r>
      <w:bookmarkEnd w:id="5052"/>
    </w:p>
    <w:p>
      <w:pPr>
        <w:pStyle w:val="BookText"/>
      </w:pPr>
      <w:r>
        <w:rPr>
          <w:rFonts w:ascii="Amiri" w:hAnsi="Amiri" w:eastAsia="Amiri" w:cs="Amiri"/>
          <w:lang w:bidi="ar-SA"/>
          <w:color w:val="111111"/>
          <w:sz w:val="28"/>
          <w:szCs w:val="28"/>
          <w:rtl/>
        </w:rPr>
        <w:t xml:space="preserve">1 .سراج المعرفة في التنبيه على نكت</w:t>
      </w:r>
    </w:p>
    <w:p>
      <w:pPr>
        <w:pStyle w:val="BookText"/>
      </w:pPr>
      <w:r>
        <w:rPr>
          <w:rFonts w:ascii="Amiri" w:hAnsi="Amiri" w:eastAsia="Amiri" w:cs="Amiri"/>
          <w:lang w:bidi="ar-SA"/>
          <w:color w:val="111111"/>
          <w:sz w:val="28"/>
          <w:szCs w:val="28"/>
          <w:rtl/>
        </w:rPr>
        <w:t xml:space="preserve">المتصوفة، ج8، ص737.</w:t>
      </w:r>
    </w:p>
    <w:p>
      <w:pPr>
        <w:pStyle w:val="BookText"/>
      </w:pPr>
      <w:r>
        <w:rPr>
          <w:rFonts w:ascii="Amiri" w:hAnsi="Amiri" w:eastAsia="Amiri" w:cs="Amiri"/>
          <w:lang w:bidi="ar-SA"/>
          <w:color w:val="111111"/>
          <w:sz w:val="28"/>
          <w:szCs w:val="28"/>
          <w:rtl/>
        </w:rPr>
        <w:t xml:space="preserve">2 .شرح قصيدة الخميرية الزجاجة</w:t>
      </w:r>
    </w:p>
    <w:p>
      <w:pPr>
        <w:pStyle w:val="BookText"/>
      </w:pPr>
      <w:r>
        <w:rPr>
          <w:rFonts w:ascii="Amiri" w:hAnsi="Amiri" w:eastAsia="Amiri" w:cs="Amiri"/>
          <w:lang w:bidi="ar-SA"/>
          <w:color w:val="111111"/>
          <w:sz w:val="28"/>
          <w:szCs w:val="28"/>
          <w:rtl/>
        </w:rPr>
        <w:t xml:space="preserve">البلورية، ج 9، ص 864.</w:t>
      </w:r>
    </w:p>
    <w:p>
      <w:pPr>
        <w:pStyle w:val="BookText"/>
      </w:pPr>
      <w:r>
        <w:rPr>
          <w:rFonts w:ascii="Amiri" w:hAnsi="Amiri" w:eastAsia="Amiri" w:cs="Amiri"/>
          <w:lang w:bidi="ar-SA"/>
          <w:color w:val="111111"/>
          <w:sz w:val="28"/>
          <w:szCs w:val="28"/>
          <w:rtl/>
        </w:rPr>
        <w:t xml:space="preserve">3 .المدد بمعرفة علو السند، ج 14،</w:t>
      </w:r>
    </w:p>
    <w:p>
      <w:pPr>
        <w:pStyle w:val="BookText"/>
      </w:pPr>
      <w:r>
        <w:rPr>
          <w:rFonts w:ascii="IRNazanin" w:hAnsi="IRNazanin" w:eastAsia="IRNazanin" w:cs="IRNazanin"/>
          <w:lang w:bidi="fa-IR"/>
          <w:color w:val="111111"/>
          <w:sz w:val="28"/>
          <w:szCs w:val="28"/>
          <w:rtl/>
        </w:rPr>
        <w:t xml:space="preserve">ص332.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02" w:name="pg7742_70587"/>
    <w:bookmarkEnd w:id="602"/>
    <w:p>
      <w:pPr>
        <w:pStyle w:val="Heading2"/>
      </w:pPr>
      <w:bookmarkStart w:id="5053" w:name="_Toc4155"/>
      <w:r>
        <w:t>شافعي ، مصطفى محمّد</w:t>
      </w:r>
      <w:bookmarkEnd w:id="5053"/>
    </w:p>
    <w:p>
      <w:pPr>
        <w:pStyle w:val="BookText"/>
      </w:pPr>
      <w:r>
        <w:rPr>
          <w:rFonts w:ascii="Amiri" w:hAnsi="Amiri" w:eastAsia="Amiri" w:cs="Amiri"/>
          <w:lang w:bidi="ar-SA"/>
          <w:color w:val="111111"/>
          <w:sz w:val="28"/>
          <w:szCs w:val="28"/>
          <w:rtl/>
        </w:rPr>
        <w:t xml:space="preserve">اوائل الكتب الستة، ج 3، ص 59.</w:t>
      </w:r>
    </w:p>
    <w:p>
      <w:pPr>
        <w:pStyle w:val="BookText"/>
      </w:pPr>
      <w:r>
        <w:rPr>
          <w:rFonts w:ascii="Amiri" w:hAnsi="Amiri" w:eastAsia="Amiri" w:cs="Amiri"/>
          <w:lang w:bidi="ar-SA"/>
          <w:color w:val="111111"/>
          <w:sz w:val="28"/>
          <w:szCs w:val="28"/>
          <w:rtl/>
        </w:rPr>
        <w:t xml:space="preserve">شافوري ، عبد النبي بن حسين -بحراني</w:t>
      </w:r>
    </w:p>
    <w:p>
      <w:pPr>
        <w:pStyle w:val="BookText"/>
      </w:pPr>
      <w:r>
        <w:rPr>
          <w:rFonts w:ascii="Amiri" w:hAnsi="Amiri" w:eastAsia="Amiri" w:cs="Amiri"/>
          <w:lang w:bidi="ar-SA"/>
          <w:color w:val="111111"/>
          <w:sz w:val="28"/>
          <w:szCs w:val="28"/>
          <w:rtl/>
        </w:rPr>
        <w:t xml:space="preserve">شاخوري، عبد النبي بن حسين</w:t>
      </w:r>
    </w:p>
    <w:p>
      <w:pPr>
        <w:pStyle w:val="BookText"/>
      </w:pPr>
      <w:r>
        <w:rPr>
          <w:rFonts w:ascii="IRNazanin" w:hAnsi="IRNazanin" w:eastAsia="IRNazanin" w:cs="IRNazanin"/>
          <w:lang w:bidi="fa-IR"/>
          <w:color w:val="111111"/>
          <w:sz w:val="28"/>
          <w:szCs w:val="28"/>
          <w:rtl/>
        </w:rPr>
        <w:t xml:space="preserve">شاكر بن مغامس -شاکر شقير</w:t>
      </w:r>
    </w:p>
    <w:p>
      <w:pPr>
        <w:pStyle w:val="Heading2"/>
      </w:pPr>
      <w:bookmarkStart w:id="5054" w:name="_Toc4156"/>
      <w:r>
        <w:t>شاکر شقير 1850 - 1896 م</w:t>
      </w:r>
      <w:bookmarkEnd w:id="5054"/>
    </w:p>
    <w:p>
      <w:pPr>
        <w:pStyle w:val="BookText"/>
      </w:pPr>
      <w:r>
        <w:rPr>
          <w:rFonts w:ascii="Amiri" w:hAnsi="Amiri" w:eastAsia="Amiri" w:cs="Amiri"/>
          <w:lang w:bidi="ar-SA"/>
          <w:color w:val="111111"/>
          <w:sz w:val="28"/>
          <w:szCs w:val="28"/>
          <w:rtl/>
        </w:rPr>
        <w:t xml:space="preserve">مصباح الافكار في نظم الاشعار، ج 14،</w:t>
      </w:r>
    </w:p>
    <w:p>
      <w:pPr>
        <w:pStyle w:val="BookText"/>
      </w:pPr>
      <w:r>
        <w:rPr>
          <w:rFonts w:ascii="IRNazanin" w:hAnsi="IRNazanin" w:eastAsia="IRNazanin" w:cs="IRNazanin"/>
          <w:lang w:bidi="fa-IR"/>
          <w:color w:val="111111"/>
          <w:sz w:val="28"/>
          <w:szCs w:val="28"/>
          <w:rtl/>
        </w:rPr>
        <w:t xml:space="preserve">ص 698.</w:t>
      </w:r>
    </w:p>
    <w:p>
      <w:pPr>
        <w:pStyle w:val="Heading2"/>
      </w:pPr>
      <w:bookmarkStart w:id="5055" w:name="_Toc4157"/>
      <w:r>
        <w:t>شاكر ، عثمان بن حسن - 1241 ه-</w:t>
      </w:r>
      <w:bookmarkEnd w:id="5055"/>
    </w:p>
    <w:p>
      <w:pPr>
        <w:pStyle w:val="BookText"/>
      </w:pPr>
      <w:r>
        <w:rPr>
          <w:rFonts w:ascii="Amiri" w:hAnsi="Amiri" w:eastAsia="Amiri" w:cs="Amiri"/>
          <w:lang w:bidi="ar-SA"/>
          <w:color w:val="111111"/>
          <w:sz w:val="28"/>
          <w:szCs w:val="28"/>
          <w:rtl/>
        </w:rPr>
        <w:t xml:space="preserve">درة الناصحين، ج 7، ص270.</w:t>
      </w:r>
    </w:p>
    <w:p>
      <w:pPr>
        <w:pStyle w:val="Heading2"/>
      </w:pPr>
      <w:bookmarkStart w:id="5056" w:name="_Toc4158"/>
      <w:r>
        <w:t>شالجي ، صالح، - 1251 ه-</w:t>
      </w:r>
      <w:bookmarkEnd w:id="5056"/>
    </w:p>
    <w:p>
      <w:pPr>
        <w:pStyle w:val="BookText"/>
      </w:pPr>
      <w:r>
        <w:rPr>
          <w:rFonts w:ascii="IRNazanin" w:hAnsi="IRNazanin" w:eastAsia="IRNazanin" w:cs="IRNazanin"/>
          <w:lang w:bidi="fa-IR"/>
          <w:color w:val="111111"/>
          <w:sz w:val="28"/>
          <w:szCs w:val="28"/>
          <w:rtl/>
        </w:rPr>
        <w:t xml:space="preserve">خطب منبرية مع ادعية و صلوات : دیوان خطب، ج 7، ص 60 .</w:t>
      </w:r>
    </w:p>
    <w:p>
      <w:pPr>
        <w:pStyle w:val="BookText"/>
      </w:pPr>
      <w:r>
        <w:rPr>
          <w:rFonts w:ascii="IRNazanin" w:hAnsi="IRNazanin" w:eastAsia="IRNazanin" w:cs="IRNazanin"/>
          <w:lang w:bidi="fa-IR"/>
          <w:color w:val="111111"/>
          <w:sz w:val="28"/>
          <w:szCs w:val="28"/>
          <w:rtl/>
        </w:rPr>
        <w:t xml:space="preserve">شالچي ، صالح -شالجي ، صالح</w:t>
      </w:r>
    </w:p>
    <w:p>
      <w:pPr>
        <w:pStyle w:val="BookText"/>
      </w:pPr>
      <w:r>
        <w:rPr>
          <w:rFonts w:ascii="Amiri" w:hAnsi="Amiri" w:eastAsia="Amiri" w:cs="Amiri"/>
          <w:lang w:bidi="ar-SA"/>
          <w:color w:val="111111"/>
          <w:sz w:val="28"/>
          <w:szCs w:val="28"/>
          <w:rtl/>
        </w:rPr>
        <w:t xml:space="preserve">شام غازاني تبريزي، امير اسماعيل- فارابي</w:t>
      </w:r>
    </w:p>
    <w:p>
      <w:pPr>
        <w:pStyle w:val="BookText"/>
      </w:pPr>
      <w:r>
        <w:rPr>
          <w:rFonts w:ascii="IRNazanin" w:hAnsi="IRNazanin" w:eastAsia="IRNazanin" w:cs="IRNazanin"/>
          <w:lang w:bidi="fa-IR"/>
          <w:color w:val="111111"/>
          <w:sz w:val="28"/>
          <w:szCs w:val="28"/>
          <w:rtl/>
        </w:rPr>
        <w:t xml:space="preserve">تبريزي، امیر اسماعيل بن حسين</w:t>
      </w:r>
    </w:p>
    <w:p>
      <w:pPr>
        <w:pStyle w:val="BookText"/>
      </w:pPr>
      <w:r>
        <w:rPr>
          <w:rFonts w:ascii="Amiri" w:hAnsi="Amiri" w:eastAsia="Amiri" w:cs="Amiri"/>
          <w:lang w:bidi="ar-SA"/>
          <w:color w:val="111111"/>
          <w:sz w:val="28"/>
          <w:szCs w:val="28"/>
          <w:rtl/>
        </w:rPr>
        <w:t xml:space="preserve">شاملو ، محمّد قلي -سليم تهراني ، محمّد</w:t>
      </w:r>
    </w:p>
    <w:p>
      <w:pPr>
        <w:pStyle w:val="BookText"/>
      </w:pPr>
      <w:r>
        <w:rPr>
          <w:rFonts w:ascii="Amiri" w:hAnsi="Amiri" w:eastAsia="Amiri" w:cs="Amiri"/>
          <w:lang w:bidi="ar-SA"/>
          <w:color w:val="111111"/>
          <w:sz w:val="28"/>
          <w:szCs w:val="28"/>
          <w:rtl/>
        </w:rPr>
        <w:t xml:space="preserve">قلي</w:t>
      </w:r>
    </w:p>
    <w:p>
      <w:pPr>
        <w:pStyle w:val="Heading2"/>
      </w:pPr>
      <w:bookmarkStart w:id="5057" w:name="_Toc4159"/>
      <w:r>
        <w:t>شامي ، ابن سامان</w:t>
      </w:r>
      <w:bookmarkEnd w:id="5057"/>
    </w:p>
    <w:p>
      <w:pPr>
        <w:pStyle w:val="BookText"/>
      </w:pPr>
      <w:r>
        <w:rPr>
          <w:rFonts w:ascii="Amiri" w:hAnsi="Amiri" w:eastAsia="Amiri" w:cs="Amiri"/>
          <w:lang w:bidi="ar-SA"/>
          <w:color w:val="111111"/>
          <w:sz w:val="28"/>
          <w:szCs w:val="28"/>
          <w:rtl/>
        </w:rPr>
        <w:t xml:space="preserve">بيان تحذير الامراض و الذخائر (رسالة</w:t>
      </w:r>
    </w:p>
    <w:p>
      <w:pPr>
        <w:pStyle w:val="BookText"/>
      </w:pPr>
      <w:r>
        <w:rPr>
          <w:rFonts w:ascii="Amiri" w:hAnsi="Amiri" w:eastAsia="Amiri" w:cs="Amiri"/>
          <w:lang w:bidi="ar-SA"/>
          <w:color w:val="111111"/>
          <w:sz w:val="28"/>
          <w:szCs w:val="28"/>
          <w:rtl/>
        </w:rPr>
        <w:t xml:space="preserve">في)، ج 3، ص 465.</w:t>
      </w:r>
    </w:p>
    <w:p>
      <w:pPr>
        <w:pStyle w:val="Heading2"/>
      </w:pPr>
      <w:bookmarkStart w:id="5058" w:name="_Toc4160"/>
      <w:r>
        <w:t>شامي صيداوي جبعي</w:t>
      </w:r>
      <w:bookmarkEnd w:id="5058"/>
    </w:p>
    <w:p>
      <w:pPr>
        <w:pStyle w:val="BookText"/>
      </w:pPr>
      <w:r>
        <w:rPr>
          <w:rFonts w:ascii="Amiri" w:hAnsi="Amiri" w:eastAsia="Amiri" w:cs="Amiri"/>
          <w:lang w:bidi="ar-SA"/>
          <w:color w:val="111111"/>
          <w:sz w:val="28"/>
          <w:szCs w:val="28"/>
          <w:rtl/>
        </w:rPr>
        <w:t xml:space="preserve">شرح المختصر في علم دراية الحديث</w:t>
      </w:r>
    </w:p>
    <w:p>
      <w:pPr>
        <w:pStyle w:val="BookText"/>
      </w:pPr>
      <w:r>
        <w:rPr>
          <w:rFonts w:ascii="IRNazanin" w:hAnsi="IRNazanin" w:eastAsia="IRNazanin" w:cs="IRNazanin"/>
          <w:lang w:bidi="fa-IR"/>
          <w:color w:val="111111"/>
          <w:sz w:val="28"/>
          <w:szCs w:val="28"/>
          <w:rtl/>
        </w:rPr>
        <w:t xml:space="preserve">ج 10، ص 118 .</w:t>
      </w:r>
    </w:p>
    <w:p>
      <w:pPr>
        <w:pStyle w:val="Heading2"/>
      </w:pPr>
      <w:bookmarkStart w:id="5059" w:name="_Toc4161"/>
      <w:r>
        <w:t>شامي عاملي ، علي بن احمد</w:t>
      </w:r>
      <w:bookmarkEnd w:id="5059"/>
    </w:p>
    <w:p>
      <w:pPr>
        <w:pStyle w:val="BookText"/>
      </w:pPr>
      <w:r>
        <w:rPr>
          <w:rFonts w:ascii="Amiri" w:hAnsi="Amiri" w:eastAsia="Amiri" w:cs="Amiri"/>
          <w:lang w:bidi="ar-SA"/>
          <w:color w:val="111111"/>
          <w:sz w:val="28"/>
          <w:szCs w:val="28"/>
          <w:rtl/>
        </w:rPr>
        <w:t xml:space="preserve">شرح اللمعة الدمشقية، ج 10، ص 87.</w:t>
      </w:r>
    </w:p>
    <w:p>
      <w:pPr>
        <w:pStyle w:val="Heading2"/>
      </w:pPr>
      <w:bookmarkStart w:id="5060" w:name="_Toc4162"/>
      <w:r>
        <w:t>شامي ، عبدالرحمن بن محمّد</w:t>
      </w:r>
      <w:bookmarkEnd w:id="5060"/>
    </w:p>
    <w:p>
      <w:pPr>
        <w:pStyle w:val="BookText"/>
      </w:pPr>
      <w:r>
        <w:rPr>
          <w:rFonts w:ascii="Amiri" w:hAnsi="Amiri" w:eastAsia="Amiri" w:cs="Amiri"/>
          <w:lang w:bidi="ar-SA"/>
          <w:color w:val="111111"/>
          <w:sz w:val="28"/>
          <w:szCs w:val="28"/>
          <w:rtl/>
        </w:rPr>
        <w:t xml:space="preserve">الوفق المخمس الخالي الوسط، ج 16،</w:t>
      </w:r>
    </w:p>
    <w:p>
      <w:pPr>
        <w:pStyle w:val="BookText"/>
      </w:pPr>
      <w:r>
        <w:rPr>
          <w:rFonts w:ascii="IRNazanin" w:hAnsi="IRNazanin" w:eastAsia="IRNazanin" w:cs="IRNazanin"/>
          <w:lang w:bidi="fa-IR"/>
          <w:color w:val="111111"/>
          <w:sz w:val="28"/>
          <w:szCs w:val="28"/>
          <w:rtl/>
        </w:rPr>
        <w:t xml:space="preserve">ص 850.</w:t>
      </w:r>
    </w:p>
    <w:p>
      <w:pPr>
        <w:pStyle w:val="BookText"/>
      </w:pPr>
      <w:r>
        <w:rPr>
          <w:rFonts w:ascii="Amiri" w:hAnsi="Amiri" w:eastAsia="Amiri" w:cs="Amiri"/>
          <w:lang w:bidi="ar-SA"/>
          <w:color w:val="111111"/>
          <w:sz w:val="28"/>
          <w:szCs w:val="28"/>
          <w:rtl/>
        </w:rPr>
        <w:t xml:space="preserve">شامي ، عبد اللطيف بن بهاء الدين- بهائي</w:t>
      </w:r>
    </w:p>
    <w:p>
      <w:pPr>
        <w:pStyle w:val="BookText"/>
      </w:pPr>
      <w:r>
        <w:rPr>
          <w:rFonts w:ascii="Amiri" w:hAnsi="Amiri" w:eastAsia="Amiri" w:cs="Amiri"/>
          <w:lang w:bidi="ar-SA"/>
          <w:color w:val="111111"/>
          <w:sz w:val="28"/>
          <w:szCs w:val="28"/>
          <w:rtl/>
        </w:rPr>
        <w:t xml:space="preserve">عبداللطيف بن بهاء الدين</w:t>
      </w:r>
    </w:p>
    <w:p>
      <w:pPr>
        <w:pStyle w:val="BookText"/>
      </w:pPr>
      <w:r>
        <w:rPr>
          <w:rFonts w:ascii="Amiri" w:hAnsi="Amiri" w:eastAsia="Amiri" w:cs="Amiri"/>
          <w:lang w:bidi="ar-SA"/>
          <w:color w:val="111111"/>
          <w:sz w:val="28"/>
          <w:szCs w:val="28"/>
          <w:rtl/>
        </w:rPr>
        <w:t xml:space="preserve">شامي ، عدي بن مسافر- اموي ، عدي بن مسافر</w:t>
      </w:r>
    </w:p>
    <w:p>
      <w:pPr>
        <w:pStyle w:val="BookText"/>
      </w:pPr>
      <w:r>
        <w:rPr>
          <w:rFonts w:ascii="Amiri" w:hAnsi="Amiri" w:eastAsia="Amiri" w:cs="Amiri"/>
          <w:lang w:bidi="ar-SA"/>
          <w:color w:val="111111"/>
          <w:sz w:val="28"/>
          <w:szCs w:val="28"/>
          <w:rtl/>
        </w:rPr>
        <w:t xml:space="preserve">شامي ، عمر بن حسن -عمر بن حسن بن</w:t>
      </w:r>
    </w:p>
    <w:p>
      <w:pPr>
        <w:pStyle w:val="BookText"/>
      </w:pPr>
      <w:r>
        <w:rPr>
          <w:rFonts w:ascii="Amiri" w:hAnsi="Amiri" w:eastAsia="Amiri" w:cs="Amiri"/>
          <w:lang w:bidi="ar-SA"/>
          <w:color w:val="111111"/>
          <w:sz w:val="28"/>
          <w:szCs w:val="28"/>
          <w:rtl/>
        </w:rPr>
        <w:t xml:space="preserve">عدي</w:t>
      </w:r>
    </w:p>
    <w:p>
      <w:pPr>
        <w:pStyle w:val="BookText"/>
      </w:pPr>
      <w:r>
        <w:rPr>
          <w:rFonts w:ascii="Amiri" w:hAnsi="Amiri" w:eastAsia="Amiri" w:cs="Amiri"/>
          <w:lang w:bidi="ar-SA"/>
          <w:color w:val="111111"/>
          <w:sz w:val="28"/>
          <w:szCs w:val="28"/>
          <w:rtl/>
        </w:rPr>
        <w:t xml:space="preserve">شامي ، عمر بن محمّد- ابن عوض ، عمر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شامي ، محمّد بن يوسف- صالحي</w:t>
      </w:r>
    </w:p>
    <w:p>
      <w:pPr>
        <w:pStyle w:val="BookText"/>
      </w:pPr>
      <w:r>
        <w:rPr>
          <w:rFonts w:ascii="Amiri" w:hAnsi="Amiri" w:eastAsia="Amiri" w:cs="Amiri"/>
          <w:lang w:bidi="ar-SA"/>
          <w:color w:val="111111"/>
          <w:sz w:val="28"/>
          <w:szCs w:val="28"/>
          <w:rtl/>
        </w:rPr>
        <w:t xml:space="preserve">محمّد بن يوسف</w:t>
      </w:r>
    </w:p>
    <w:p>
      <w:pPr>
        <w:pStyle w:val="Heading2"/>
      </w:pPr>
      <w:bookmarkStart w:id="5061" w:name="_Toc4163"/>
      <w:r>
        <w:t>شامي ، يوسف بن حاتم ، قرن 7 ه-</w:t>
      </w:r>
      <w:bookmarkEnd w:id="50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الاربعين من الاربعين في فضائل</w:t>
      </w:r>
    </w:p>
    <w:p>
      <w:pPr>
        <w:pStyle w:val="BookText"/>
      </w:pPr>
      <w:r>
        <w:rPr>
          <w:rFonts w:ascii="Amiri" w:hAnsi="Amiri" w:eastAsia="Amiri" w:cs="Amiri"/>
          <w:lang w:bidi="ar-SA"/>
          <w:color w:val="111111"/>
          <w:sz w:val="28"/>
          <w:szCs w:val="28"/>
          <w:rtl/>
        </w:rPr>
        <w:t xml:space="preserve">امير المؤمنين، ج 1، ص 746.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 النظيم في مناقب الائمة اللهاميم، ج 7، ص 364.</w:t>
      </w:r>
    </w:p>
    <w:p>
      <w:pPr>
        <w:pStyle w:val="BookText"/>
      </w:pPr>
      <w:r>
        <w:rPr>
          <w:rFonts w:ascii="Amiri" w:hAnsi="Amiri" w:eastAsia="Amiri" w:cs="Amiri"/>
          <w:lang w:bidi="ar-SA"/>
          <w:color w:val="111111"/>
          <w:sz w:val="28"/>
          <w:szCs w:val="28"/>
          <w:rtl/>
        </w:rPr>
        <w:t xml:space="preserve">شاناق الهندي- شاناق هندي</w:t>
      </w:r>
    </w:p>
    <w:p>
      <w:pPr>
        <w:pStyle w:val="Heading2"/>
      </w:pPr>
      <w:bookmarkStart w:id="5062" w:name="_Toc4164"/>
      <w:r>
        <w:t>شاناق هندي</w:t>
      </w:r>
      <w:bookmarkEnd w:id="5062"/>
    </w:p>
    <w:p>
      <w:pPr>
        <w:pStyle w:val="BookText"/>
      </w:pPr>
      <w:r>
        <w:rPr>
          <w:rFonts w:ascii="IRNazanin" w:hAnsi="IRNazanin" w:eastAsia="IRNazanin" w:cs="IRNazanin"/>
          <w:lang w:bidi="fa-IR"/>
          <w:color w:val="111111"/>
          <w:sz w:val="28"/>
          <w:szCs w:val="28"/>
          <w:rtl/>
        </w:rPr>
        <w:t xml:space="preserve">السموم، ج 8، ص 834.</w:t>
      </w:r>
    </w:p>
    <w:p>
      <w:pPr>
        <w:pStyle w:val="Heading2"/>
      </w:pPr>
      <w:bookmarkStart w:id="5063" w:name="_Toc4165"/>
      <w:r>
        <w:t>شاني زاده، محمّد صادق بن مصطفى</w:t>
      </w:r>
      <w:bookmarkEnd w:id="5063"/>
    </w:p>
    <w:p>
      <w:pPr>
        <w:pStyle w:val="BookText"/>
      </w:pPr>
      <w:r>
        <w:rPr>
          <w:rFonts w:ascii="IRNazanin" w:hAnsi="IRNazanin" w:eastAsia="IRNazanin" w:cs="IRNazanin"/>
          <w:lang w:bidi="fa-IR"/>
          <w:color w:val="111111"/>
          <w:sz w:val="28"/>
          <w:szCs w:val="28"/>
          <w:rtl/>
        </w:rPr>
        <w:t xml:space="preserve">1232ه-</w:t>
      </w:r>
    </w:p>
    <w:p>
      <w:pPr>
        <w:pStyle w:val="BookText"/>
      </w:pPr>
      <w:r>
        <w:rPr>
          <w:rFonts w:ascii="Amiri" w:hAnsi="Amiri" w:eastAsia="Amiri" w:cs="Amiri"/>
          <w:lang w:bidi="ar-SA"/>
          <w:color w:val="111111"/>
          <w:sz w:val="28"/>
          <w:szCs w:val="28"/>
          <w:rtl/>
        </w:rPr>
        <w:t xml:space="preserve">بدائع الصكوك في الوثائق الشرعية</w:t>
      </w:r>
    </w:p>
    <w:p>
      <w:pPr>
        <w:pStyle w:val="BookText"/>
      </w:pPr>
      <w:r>
        <w:rPr>
          <w:rFonts w:ascii="IRNazanin" w:hAnsi="IRNazanin" w:eastAsia="IRNazanin" w:cs="IRNazanin"/>
          <w:lang w:bidi="fa-IR"/>
          <w:color w:val="111111"/>
          <w:sz w:val="28"/>
          <w:szCs w:val="28"/>
          <w:rtl/>
        </w:rPr>
        <w:t xml:space="preserve">ج 3، ص 259.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03" w:name="pg7742_70588"/>
    <w:bookmarkEnd w:id="603"/>
    <w:p>
      <w:pPr>
        <w:pStyle w:val="BookText"/>
      </w:pPr>
      <w:r>
        <w:rPr>
          <w:rFonts w:ascii="Amiri" w:hAnsi="Amiri" w:eastAsia="Amiri" w:cs="Amiri"/>
          <w:lang w:bidi="ar-SA"/>
          <w:color w:val="111111"/>
          <w:sz w:val="28"/>
          <w:szCs w:val="28"/>
          <w:rtl/>
        </w:rPr>
        <w:t xml:space="preserve">شاه ابوسعيد بن صفي القدر بغدادي -صوفي نقشبندي ، ابوسعيد محمّد</w:t>
      </w:r>
    </w:p>
    <w:p>
      <w:pPr>
        <w:pStyle w:val="Heading2"/>
      </w:pPr>
      <w:bookmarkStart w:id="5064" w:name="_Toc4166"/>
      <w:r>
        <w:t>شاه ارزاني ، محمّد اکبر بن محمّد</w:t>
      </w:r>
      <w:bookmarkEnd w:id="5064"/>
    </w:p>
    <w:p>
      <w:pPr>
        <w:pStyle w:val="BookText"/>
      </w:pPr>
      <w:r>
        <w:rPr>
          <w:rFonts w:ascii="IRNazanin" w:hAnsi="IRNazanin" w:eastAsia="IRNazanin" w:cs="IRNazanin"/>
          <w:lang w:bidi="fa-IR"/>
          <w:color w:val="111111"/>
          <w:sz w:val="28"/>
          <w:szCs w:val="28"/>
          <w:rtl/>
        </w:rPr>
        <w:t xml:space="preserve">1134ه-</w:t>
      </w:r>
    </w:p>
    <w:p>
      <w:pPr>
        <w:pStyle w:val="BookText"/>
      </w:pPr>
      <w:r>
        <w:rPr>
          <w:rFonts w:ascii="IRNazanin" w:hAnsi="IRNazanin" w:eastAsia="IRNazanin" w:cs="IRNazanin"/>
          <w:lang w:bidi="fa-IR"/>
          <w:color w:val="111111"/>
          <w:sz w:val="28"/>
          <w:szCs w:val="28"/>
          <w:rtl/>
        </w:rPr>
        <w:t xml:space="preserve">1 .شرح الأسباب والعلامات</w:t>
      </w:r>
    </w:p>
    <w:p>
      <w:pPr>
        <w:pStyle w:val="BookText"/>
      </w:pPr>
      <w:r>
        <w:rPr>
          <w:rFonts w:ascii="Amiri" w:hAnsi="Amiri" w:eastAsia="Amiri" w:cs="Amiri"/>
          <w:lang w:bidi="ar-SA"/>
          <w:color w:val="111111"/>
          <w:sz w:val="28"/>
          <w:szCs w:val="28"/>
          <w:rtl/>
        </w:rPr>
        <w:t xml:space="preserve">(ترجمة)، ج9، ص192.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 اكبرى = تشریح طب اکبری طب الاكبر، ج 10، ص 763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قرابادین، ج 12، ص 553.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قرابادین قادري، ج 12، ص 559.</w:t>
      </w:r>
    </w:p>
    <w:p>
      <w:pPr>
        <w:pStyle w:val="BookText"/>
      </w:pPr>
      <w:r>
        <w:rPr>
          <w:rFonts w:ascii="IRNazanin" w:hAnsi="IRNazanin" w:eastAsia="IRNazanin" w:cs="IRNazanin"/>
          <w:lang w:bidi="fa-IR"/>
          <w:color w:val="111111"/>
          <w:sz w:val="28"/>
          <w:szCs w:val="28"/>
          <w:rtl/>
        </w:rPr>
        <w:t xml:space="preserve">5 .مجربات اکبری، ج13، ص811</w:t>
      </w:r>
    </w:p>
    <w:p>
      <w:pPr>
        <w:pStyle w:val="BookText"/>
      </w:pPr>
      <w:r>
        <w:rPr>
          <w:rFonts w:ascii="IRNazanin" w:hAnsi="IRNazanin" w:eastAsia="IRNazanin" w:cs="IRNazanin"/>
          <w:lang w:bidi="fa-IR"/>
          <w:color w:val="111111"/>
          <w:sz w:val="28"/>
          <w:szCs w:val="28"/>
          <w:rtl/>
        </w:rPr>
        <w:t xml:space="preserve">6 .مفرح القلوب = شرح قانونچه</w:t>
      </w:r>
    </w:p>
    <w:p>
      <w:pPr>
        <w:pStyle w:val="BookText"/>
      </w:pPr>
      <w:r>
        <w:rPr>
          <w:rFonts w:ascii="IRNazanin" w:hAnsi="IRNazanin" w:eastAsia="IRNazanin" w:cs="IRNazanin"/>
          <w:lang w:bidi="fa-IR"/>
          <w:color w:val="111111"/>
          <w:sz w:val="28"/>
          <w:szCs w:val="28"/>
          <w:rtl/>
        </w:rPr>
        <w:t xml:space="preserve">ج 15، ص239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ميزان الطب، ج 16، ص 68.</w:t>
      </w:r>
    </w:p>
    <w:p>
      <w:pPr>
        <w:pStyle w:val="BookText"/>
      </w:pPr>
      <w:r>
        <w:rPr>
          <w:rFonts w:ascii="IRNazanin" w:hAnsi="IRNazanin" w:eastAsia="IRNazanin" w:cs="IRNazanin"/>
          <w:lang w:bidi="fa-IR"/>
          <w:color w:val="111111"/>
          <w:sz w:val="28"/>
          <w:szCs w:val="28"/>
          <w:rtl/>
        </w:rPr>
        <w:t xml:space="preserve">شاه ارزاني ، محمّد اکبر بن محمّد مقيم- شاه ارزاني ، محمّد اکبر بن محمّد</w:t>
      </w:r>
    </w:p>
    <w:p>
      <w:pPr>
        <w:pStyle w:val="Heading2"/>
      </w:pPr>
      <w:bookmarkStart w:id="5065" w:name="_Toc4167"/>
      <w:r>
        <w:t>شاہ الدین حسن</w:t>
      </w:r>
      <w:bookmarkEnd w:id="5065"/>
    </w:p>
    <w:p>
      <w:pPr>
        <w:pStyle w:val="BookText"/>
      </w:pPr>
      <w:r>
        <w:rPr>
          <w:rFonts w:ascii="Amiri" w:hAnsi="Amiri" w:eastAsia="Amiri" w:cs="Amiri"/>
          <w:lang w:bidi="ar-SA"/>
          <w:color w:val="111111"/>
          <w:sz w:val="28"/>
          <w:szCs w:val="28"/>
          <w:rtl/>
        </w:rPr>
        <w:t xml:space="preserve">إجازة لمحمّد محمّد، ج 1، ص 287</w:t>
      </w:r>
    </w:p>
    <w:p>
      <w:pPr>
        <w:pStyle w:val="BookText"/>
      </w:pPr>
      <w:r>
        <w:rPr>
          <w:rFonts w:ascii="IRNazanin" w:hAnsi="IRNazanin" w:eastAsia="IRNazanin" w:cs="IRNazanin"/>
          <w:lang w:bidi="fa-IR"/>
          <w:color w:val="111111"/>
          <w:sz w:val="28"/>
          <w:szCs w:val="28"/>
          <w:rtl/>
        </w:rPr>
        <w:t xml:space="preserve">شاه بابا فتح ، محمّد بن عيسى جند الله -برهانپوري ، فتح محمّد بن عيسى</w:t>
      </w:r>
    </w:p>
    <w:p>
      <w:pPr>
        <w:pStyle w:val="BookText"/>
      </w:pPr>
      <w:r>
        <w:rPr>
          <w:rFonts w:ascii="Amiri" w:hAnsi="Amiri" w:eastAsia="Amiri" w:cs="Amiri"/>
          <w:lang w:bidi="ar-SA"/>
          <w:color w:val="111111"/>
          <w:sz w:val="28"/>
          <w:szCs w:val="28"/>
          <w:rtl/>
        </w:rPr>
        <w:t xml:space="preserve">شاه بهاء الدوله بن شاه قاسم رازي نوربخشي- نوربخش ، حسن بن قاسم</w:t>
      </w:r>
    </w:p>
    <w:p>
      <w:pPr>
        <w:pStyle w:val="BookText"/>
      </w:pPr>
      <w:r>
        <w:rPr>
          <w:rFonts w:ascii="Amiri" w:hAnsi="Amiri" w:eastAsia="Amiri" w:cs="Amiri"/>
          <w:lang w:bidi="ar-SA"/>
          <w:color w:val="111111"/>
          <w:sz w:val="28"/>
          <w:szCs w:val="28"/>
          <w:rtl/>
        </w:rPr>
        <w:t xml:space="preserve">شاهجهان آبادي ، ذكاء الله بن اسحاق - دهلوي ، ذكاء الله بن اسحاق</w:t>
      </w:r>
    </w:p>
    <w:p>
      <w:pPr>
        <w:pStyle w:val="BookText"/>
      </w:pPr>
      <w:r>
        <w:rPr>
          <w:rFonts w:ascii="Amiri" w:hAnsi="Amiri" w:eastAsia="Amiri" w:cs="Amiri"/>
          <w:lang w:bidi="ar-SA"/>
          <w:color w:val="111111"/>
          <w:sz w:val="28"/>
          <w:szCs w:val="28"/>
          <w:rtl/>
        </w:rPr>
        <w:t xml:space="preserve">شاه جهان آبادي ، محمّد شريف - دهلوي</w:t>
      </w:r>
    </w:p>
    <w:p>
      <w:pPr>
        <w:pStyle w:val="BookText"/>
      </w:pPr>
      <w:r>
        <w:rPr>
          <w:rFonts w:ascii="IRNazanin" w:hAnsi="IRNazanin" w:eastAsia="IRNazanin" w:cs="IRNazanin"/>
          <w:lang w:bidi="fa-IR"/>
          <w:color w:val="111111"/>
          <w:sz w:val="28"/>
          <w:szCs w:val="28"/>
          <w:rtl/>
        </w:rPr>
        <w:t xml:space="preserve">، محمّد شريف بن محمّد اکمل</w:t>
      </w:r>
    </w:p>
    <w:p>
      <w:pPr>
        <w:pStyle w:val="BookText"/>
      </w:pPr>
      <w:r>
        <w:rPr>
          <w:rFonts w:ascii="IRNazanin" w:hAnsi="IRNazanin" w:eastAsia="IRNazanin" w:cs="IRNazanin"/>
          <w:lang w:bidi="fa-IR"/>
          <w:color w:val="111111"/>
          <w:sz w:val="28"/>
          <w:szCs w:val="28"/>
          <w:rtl/>
        </w:rPr>
        <w:t xml:space="preserve">شاهجهان آبادي ، میرشمس الدين- فقير دهلوي ، ميرشمس الدين</w:t>
      </w:r>
    </w:p>
    <w:p>
      <w:pPr>
        <w:pStyle w:val="BookText"/>
      </w:pPr>
      <w:r>
        <w:rPr>
          <w:rFonts w:ascii="IRNazanin" w:hAnsi="IRNazanin" w:eastAsia="IRNazanin" w:cs="IRNazanin"/>
          <w:lang w:bidi="fa-IR"/>
          <w:color w:val="111111"/>
          <w:sz w:val="28"/>
          <w:szCs w:val="28"/>
          <w:rtl/>
        </w:rPr>
        <w:t xml:space="preserve">شاهچراغي ، محمّد حسين -بروجردي</w:t>
      </w:r>
    </w:p>
    <w:p>
      <w:pPr>
        <w:pStyle w:val="BookText"/>
      </w:pPr>
      <w:r>
        <w:rPr>
          <w:rFonts w:ascii="Amiri" w:hAnsi="Amiri" w:eastAsia="Amiri" w:cs="Amiri"/>
          <w:lang w:bidi="ar-SA"/>
          <w:color w:val="111111"/>
          <w:sz w:val="28"/>
          <w:szCs w:val="28"/>
          <w:rtl/>
        </w:rPr>
        <w:t xml:space="preserve">طهراني ، محمّد حسين</w:t>
      </w:r>
    </w:p>
    <w:p>
      <w:pPr>
        <w:pStyle w:val="BookText"/>
      </w:pPr>
      <w:r>
        <w:rPr>
          <w:rFonts w:ascii="Amiri" w:hAnsi="Amiri" w:eastAsia="Amiri" w:cs="Amiri"/>
          <w:lang w:bidi="ar-SA"/>
          <w:color w:val="111111"/>
          <w:sz w:val="28"/>
          <w:szCs w:val="28"/>
          <w:rtl/>
        </w:rPr>
        <w:t xml:space="preserve">شاه حسين انطاكي- انطاكي ، حسين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شاه حسين عجمي ، عبد اللطيف -عجمي ،</w:t>
      </w:r>
    </w:p>
    <w:p>
      <w:pPr>
        <w:pStyle w:val="BookText"/>
      </w:pPr>
      <w:r>
        <w:rPr>
          <w:rFonts w:ascii="IRNazanin" w:hAnsi="IRNazanin" w:eastAsia="IRNazanin" w:cs="IRNazanin"/>
          <w:lang w:bidi="fa-IR"/>
          <w:color w:val="111111"/>
          <w:sz w:val="28"/>
          <w:szCs w:val="28"/>
          <w:rtl/>
        </w:rPr>
        <w:t xml:space="preserve">عبد اللطيف شاه حسین</w:t>
      </w:r>
    </w:p>
    <w:p>
      <w:pPr>
        <w:pStyle w:val="BookText"/>
      </w:pPr>
      <w:r>
        <w:rPr>
          <w:rFonts w:ascii="Amiri" w:hAnsi="Amiri" w:eastAsia="Amiri" w:cs="Amiri"/>
          <w:lang w:bidi="ar-SA"/>
          <w:color w:val="111111"/>
          <w:sz w:val="28"/>
          <w:szCs w:val="28"/>
          <w:rtl/>
        </w:rPr>
        <w:t xml:space="preserve">شاهد مشاهد غيب- بلياني ، عبدالله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Amiri" w:hAnsi="Amiri" w:eastAsia="Amiri" w:cs="Amiri"/>
          <w:lang w:bidi="ar-SA"/>
          <w:color w:val="111111"/>
          <w:sz w:val="28"/>
          <w:szCs w:val="28"/>
          <w:rtl/>
        </w:rPr>
        <w:t xml:space="preserve">شاه دودي بسطامي ، علي بن مجدالدين</w:t>
      </w:r>
    </w:p>
    <w:p>
      <w:pPr>
        <w:pStyle w:val="BookText"/>
      </w:pPr>
      <w:r>
        <w:rPr>
          <w:rFonts w:ascii="Amiri" w:hAnsi="Amiri" w:eastAsia="Amiri" w:cs="Amiri"/>
          <w:lang w:bidi="ar-SA"/>
          <w:color w:val="111111"/>
          <w:sz w:val="28"/>
          <w:szCs w:val="28"/>
          <w:rtl/>
        </w:rPr>
        <w:t xml:space="preserve">محمّد- مصنفك ، علي بن محمّد</w:t>
      </w:r>
    </w:p>
    <w:p>
      <w:pPr>
        <w:pStyle w:val="BookText"/>
      </w:pPr>
      <w:r>
        <w:rPr>
          <w:rFonts w:ascii="Amiri" w:hAnsi="Amiri" w:eastAsia="Amiri" w:cs="Amiri"/>
          <w:lang w:bidi="ar-SA"/>
          <w:color w:val="111111"/>
          <w:sz w:val="28"/>
          <w:szCs w:val="28"/>
          <w:rtl/>
        </w:rPr>
        <w:t xml:space="preserve">شاهدي دده- مغلوي ، ابراهيم بن صالح</w:t>
      </w:r>
    </w:p>
    <w:p>
      <w:pPr>
        <w:pStyle w:val="BookText"/>
      </w:pPr>
      <w:r>
        <w:rPr>
          <w:rFonts w:ascii="Amiri" w:hAnsi="Amiri" w:eastAsia="Amiri" w:cs="Amiri"/>
          <w:lang w:bidi="ar-SA"/>
          <w:color w:val="111111"/>
          <w:sz w:val="28"/>
          <w:szCs w:val="28"/>
          <w:rtl/>
        </w:rPr>
        <w:t xml:space="preserve">شاهدي مولوي- مغلوي ، ابراهيم بن</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Amiri" w:hAnsi="Amiri" w:eastAsia="Amiri" w:cs="Amiri"/>
          <w:lang w:bidi="ar-SA"/>
          <w:color w:val="111111"/>
          <w:sz w:val="28"/>
          <w:szCs w:val="28"/>
          <w:rtl/>
        </w:rPr>
        <w:t xml:space="preserve">شاهدي نيشابوري ، ابراهيم بن صالح -مغلوي، ابراهيم بن صالح</w:t>
      </w:r>
    </w:p>
    <w:p>
      <w:pPr>
        <w:pStyle w:val="BookText"/>
      </w:pPr>
      <w:r>
        <w:rPr>
          <w:rFonts w:ascii="Amiri" w:hAnsi="Amiri" w:eastAsia="Amiri" w:cs="Amiri"/>
          <w:lang w:bidi="ar-SA"/>
          <w:color w:val="111111"/>
          <w:sz w:val="28"/>
          <w:szCs w:val="28"/>
          <w:rtl/>
        </w:rPr>
        <w:t xml:space="preserve">شاهرودي بسطامي ، علي بن محمّد-مصنفك ، علي بن محمّد</w:t>
      </w:r>
    </w:p>
    <w:p>
      <w:pPr>
        <w:pStyle w:val="Heading2"/>
      </w:pPr>
      <w:bookmarkStart w:id="5066" w:name="_Toc4168"/>
      <w:r>
        <w:t>شاهرودي ، حسين بن ابراهيم قرن 11</w:t>
      </w:r>
      <w:bookmarkEnd w:id="5066"/>
    </w:p>
    <w:p>
      <w:pPr>
        <w:pStyle w:val="BookText"/>
      </w:pPr>
      <w:r>
        <w:rPr>
          <w:rFonts w:ascii="Amiri" w:hAnsi="Amiri" w:eastAsia="Amiri" w:cs="Amiri"/>
          <w:lang w:bidi="ar-SA"/>
          <w:color w:val="111111"/>
          <w:sz w:val="28"/>
          <w:szCs w:val="28"/>
          <w:rtl/>
        </w:rPr>
        <w:t xml:space="preserve">تحفه قطب شاهي = شرح خلاصة الحساب = ترجمه خلاصة الحساب</w:t>
      </w:r>
    </w:p>
    <w:p>
      <w:pPr>
        <w:pStyle w:val="BookText"/>
      </w:pPr>
      <w:r>
        <w:rPr>
          <w:rFonts w:ascii="IRNazanin" w:hAnsi="IRNazanin" w:eastAsia="IRNazanin" w:cs="IRNazanin"/>
          <w:lang w:bidi="fa-IR"/>
          <w:color w:val="111111"/>
          <w:sz w:val="28"/>
          <w:szCs w:val="28"/>
          <w:rtl/>
        </w:rPr>
        <w:t xml:space="preserve">ج 3، ص 879.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04" w:name="pg7742_70589"/>
    <w:bookmarkEnd w:id="604"/>
    <w:p>
      <w:pPr>
        <w:pStyle w:val="Heading2"/>
      </w:pPr>
      <w:bookmarkStart w:id="5067" w:name="_Toc4169"/>
      <w:r>
        <w:t>شاهرودي حسيني ، علي بن علي اكبر</w:t>
      </w:r>
      <w:bookmarkEnd w:id="5067"/>
    </w:p>
    <w:p>
      <w:pPr>
        <w:pStyle w:val="BookText"/>
      </w:pPr>
      <w:r>
        <w:rPr>
          <w:rFonts w:ascii="IRNazanin" w:hAnsi="IRNazanin" w:eastAsia="IRNazanin" w:cs="IRNazanin"/>
          <w:lang w:bidi="fa-IR"/>
          <w:color w:val="111111"/>
          <w:sz w:val="28"/>
          <w:szCs w:val="28"/>
          <w:rtl/>
        </w:rPr>
        <w:t xml:space="preserve">1376ه-</w:t>
      </w:r>
    </w:p>
    <w:p>
      <w:pPr>
        <w:pStyle w:val="BookText"/>
      </w:pPr>
      <w:r>
        <w:rPr>
          <w:rFonts w:ascii="Amiri" w:hAnsi="Amiri" w:eastAsia="Amiri" w:cs="Amiri"/>
          <w:lang w:bidi="ar-SA"/>
          <w:color w:val="111111"/>
          <w:sz w:val="28"/>
          <w:szCs w:val="28"/>
          <w:rtl/>
        </w:rPr>
        <w:t xml:space="preserve">محاضرات في الفقه الجعفري، ج 14،</w:t>
      </w:r>
    </w:p>
    <w:p>
      <w:pPr>
        <w:pStyle w:val="BookText"/>
      </w:pPr>
      <w:r>
        <w:rPr>
          <w:rFonts w:ascii="IRNazanin" w:hAnsi="IRNazanin" w:eastAsia="IRNazanin" w:cs="IRNazanin"/>
          <w:lang w:bidi="fa-IR"/>
          <w:color w:val="111111"/>
          <w:sz w:val="28"/>
          <w:szCs w:val="28"/>
          <w:rtl/>
        </w:rPr>
        <w:t xml:space="preserve">ص 99.</w:t>
      </w:r>
    </w:p>
    <w:p>
      <w:pPr>
        <w:pStyle w:val="Heading2"/>
      </w:pPr>
      <w:bookmarkStart w:id="5068" w:name="_Toc4170"/>
      <w:r>
        <w:t>شاهرودي ، علي بن محي الدين</w:t>
      </w:r>
      <w:bookmarkEnd w:id="5068"/>
    </w:p>
    <w:p>
      <w:pPr>
        <w:pStyle w:val="BookText"/>
      </w:pPr>
      <w:r>
        <w:rPr>
          <w:rFonts w:ascii="Amiri" w:hAnsi="Amiri" w:eastAsia="Amiri" w:cs="Amiri"/>
          <w:lang w:bidi="ar-SA"/>
          <w:color w:val="111111"/>
          <w:sz w:val="28"/>
          <w:szCs w:val="28"/>
          <w:rtl/>
        </w:rPr>
        <w:t xml:space="preserve">شرح قواعد ابن سينا، ج10، ص 15.</w:t>
      </w:r>
    </w:p>
    <w:p>
      <w:pPr>
        <w:pStyle w:val="Heading2"/>
      </w:pPr>
      <w:bookmarkStart w:id="5069" w:name="_Toc4171"/>
      <w:r>
        <w:t>شاهرودي، محمّد ابراهيم بن علي</w:t>
      </w:r>
      <w:bookmarkEnd w:id="5069"/>
    </w:p>
    <w:p>
      <w:pPr>
        <w:pStyle w:val="BookText"/>
      </w:pPr>
      <w:r>
        <w:rPr>
          <w:rFonts w:ascii="Amiri" w:hAnsi="Amiri" w:eastAsia="Amiri" w:cs="Amiri"/>
          <w:lang w:bidi="ar-SA"/>
          <w:color w:val="111111"/>
          <w:sz w:val="28"/>
          <w:szCs w:val="28"/>
          <w:rtl/>
        </w:rPr>
        <w:t xml:space="preserve">مشكاة الانوار في تواريخ الاطهار</w:t>
      </w:r>
    </w:p>
    <w:p>
      <w:pPr>
        <w:pStyle w:val="BookText"/>
      </w:pPr>
      <w:r>
        <w:rPr>
          <w:rFonts w:ascii="IRNazanin" w:hAnsi="IRNazanin" w:eastAsia="IRNazanin" w:cs="IRNazanin"/>
          <w:lang w:bidi="fa-IR"/>
          <w:color w:val="111111"/>
          <w:sz w:val="28"/>
          <w:szCs w:val="28"/>
          <w:rtl/>
        </w:rPr>
        <w:t xml:space="preserve">ج 14، ص 632 .</w:t>
      </w:r>
    </w:p>
    <w:p>
      <w:pPr>
        <w:pStyle w:val="Heading2"/>
      </w:pPr>
      <w:bookmarkStart w:id="5070" w:name="_Toc4172"/>
      <w:r>
        <w:t>شاهرودي، محمّد بن ابراهیم قرن 13</w:t>
      </w:r>
      <w:bookmarkEnd w:id="5070"/>
    </w:p>
    <w:p>
      <w:pPr>
        <w:pStyle w:val="BookText"/>
      </w:pPr>
      <w:r>
        <w:rPr>
          <w:rFonts w:ascii="Amiri" w:hAnsi="Amiri" w:eastAsia="Amiri" w:cs="Amiri"/>
          <w:lang w:bidi="ar-SA"/>
          <w:color w:val="111111"/>
          <w:sz w:val="28"/>
          <w:szCs w:val="28"/>
          <w:rtl/>
        </w:rPr>
        <w:t xml:space="preserve">مصباح المصائب و مشكاة المناقب -</w:t>
      </w:r>
    </w:p>
    <w:p>
      <w:pPr>
        <w:pStyle w:val="BookText"/>
      </w:pPr>
      <w:r>
        <w:rPr>
          <w:rFonts w:ascii="Amiri" w:hAnsi="Amiri" w:eastAsia="Amiri" w:cs="Amiri"/>
          <w:lang w:bidi="ar-SA"/>
          <w:color w:val="111111"/>
          <w:sz w:val="28"/>
          <w:szCs w:val="28"/>
          <w:rtl/>
        </w:rPr>
        <w:t xml:space="preserve">مشكاة الانوار، ج 14، ص 738.</w:t>
      </w:r>
    </w:p>
    <w:p>
      <w:pPr>
        <w:pStyle w:val="Heading2"/>
      </w:pPr>
      <w:bookmarkStart w:id="5071" w:name="_Toc4173"/>
      <w:r>
        <w:t>شاهرودي ، محمّد بن شرف</w:t>
      </w:r>
      <w:bookmarkEnd w:id="5071"/>
    </w:p>
    <w:p>
      <w:pPr>
        <w:pStyle w:val="BookText"/>
      </w:pPr>
      <w:r>
        <w:rPr>
          <w:rFonts w:ascii="Amiri" w:hAnsi="Amiri" w:eastAsia="Amiri" w:cs="Amiri"/>
          <w:lang w:bidi="ar-SA"/>
          <w:color w:val="111111"/>
          <w:sz w:val="28"/>
          <w:szCs w:val="28"/>
          <w:rtl/>
        </w:rPr>
        <w:t xml:space="preserve">التذهيب في شرح التهذيب، ج 4،</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Amiri" w:hAnsi="Amiri" w:eastAsia="Amiri" w:cs="Amiri"/>
          <w:lang w:bidi="ar-SA"/>
          <w:color w:val="111111"/>
          <w:sz w:val="28"/>
          <w:szCs w:val="28"/>
          <w:rtl/>
        </w:rPr>
        <w:t xml:space="preserve">شاهزاده مسعود بيك شيرخان- بخشي</w:t>
      </w:r>
    </w:p>
    <w:p>
      <w:pPr>
        <w:pStyle w:val="BookText"/>
      </w:pPr>
      <w:r>
        <w:rPr>
          <w:rFonts w:ascii="Amiri" w:hAnsi="Amiri" w:eastAsia="Amiri" w:cs="Amiri"/>
          <w:lang w:bidi="ar-SA"/>
          <w:color w:val="111111"/>
          <w:sz w:val="28"/>
          <w:szCs w:val="28"/>
          <w:rtl/>
        </w:rPr>
        <w:t xml:space="preserve">شيرخان ، احمد بن محمّد</w:t>
      </w:r>
    </w:p>
    <w:p>
      <w:pPr>
        <w:pStyle w:val="BookText"/>
      </w:pPr>
      <w:r>
        <w:rPr>
          <w:rFonts w:ascii="IRNazanin" w:hAnsi="IRNazanin" w:eastAsia="IRNazanin" w:cs="IRNazanin"/>
          <w:lang w:bidi="fa-IR"/>
          <w:color w:val="111111"/>
          <w:sz w:val="28"/>
          <w:szCs w:val="28"/>
          <w:rtl/>
        </w:rPr>
        <w:t xml:space="preserve">شاه شرف الدین ننگهري چشتي- ننگرهاري ، درویزه</w:t>
      </w:r>
    </w:p>
    <w:p>
      <w:pPr>
        <w:pStyle w:val="Heading2"/>
      </w:pPr>
      <w:bookmarkStart w:id="5072" w:name="_Toc4174"/>
      <w:r>
        <w:t>؟ شاه طاهر انجداني دكني - 952؟ ه-</w:t>
      </w:r>
      <w:bookmarkEnd w:id="5072"/>
    </w:p>
    <w:p>
      <w:pPr>
        <w:pStyle w:val="BookText"/>
      </w:pPr>
      <w:r>
        <w:rPr>
          <w:rFonts w:ascii="IRNazanin" w:hAnsi="IRNazanin" w:eastAsia="IRNazanin" w:cs="IRNazanin"/>
          <w:lang w:bidi="fa-IR"/>
          <w:color w:val="111111"/>
          <w:sz w:val="28"/>
          <w:szCs w:val="28"/>
          <w:rtl/>
        </w:rPr>
        <w:t xml:space="preserve">شرح دعاء السمات، ج 9، ص 461 .</w:t>
      </w:r>
    </w:p>
    <w:p>
      <w:pPr>
        <w:pStyle w:val="BookText"/>
      </w:pPr>
      <w:r>
        <w:rPr>
          <w:rFonts w:ascii="Amiri" w:hAnsi="Amiri" w:eastAsia="Amiri" w:cs="Amiri"/>
          <w:lang w:bidi="ar-SA"/>
          <w:color w:val="111111"/>
          <w:sz w:val="28"/>
          <w:szCs w:val="28"/>
          <w:rtl/>
        </w:rPr>
        <w:t xml:space="preserve">شاه طاهر بن رضي الدين اسماعيلي حسيني -حسيني كاشاني ، طاهر بن رضي</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شاه طاهر بن شاه رضي الدين دكني- شاه</w:t>
      </w:r>
    </w:p>
    <w:p>
      <w:pPr>
        <w:pStyle w:val="BookText"/>
      </w:pPr>
      <w:r>
        <w:rPr>
          <w:rFonts w:ascii="Amiri" w:hAnsi="Amiri" w:eastAsia="Amiri" w:cs="Amiri"/>
          <w:lang w:bidi="ar-SA"/>
          <w:color w:val="111111"/>
          <w:sz w:val="28"/>
          <w:szCs w:val="28"/>
          <w:rtl/>
        </w:rPr>
        <w:t xml:space="preserve">طاهر انجداني دكني</w:t>
      </w:r>
    </w:p>
    <w:p>
      <w:pPr>
        <w:pStyle w:val="BookText"/>
      </w:pPr>
      <w:r>
        <w:rPr>
          <w:rFonts w:ascii="Amiri" w:hAnsi="Amiri" w:eastAsia="Amiri" w:cs="Amiri"/>
          <w:lang w:bidi="ar-SA"/>
          <w:color w:val="111111"/>
          <w:sz w:val="28"/>
          <w:szCs w:val="28"/>
          <w:rtl/>
        </w:rPr>
        <w:t xml:space="preserve">شاه طهماسب اول - طهماسب صفوي اول</w:t>
      </w:r>
    </w:p>
    <w:p>
      <w:pPr>
        <w:pStyle w:val="BookText"/>
      </w:pPr>
      <w:r>
        <w:rPr>
          <w:rFonts w:ascii="IRNazanin" w:hAnsi="IRNazanin" w:eastAsia="IRNazanin" w:cs="IRNazanin"/>
          <w:lang w:bidi="fa-IR"/>
          <w:color w:val="111111"/>
          <w:sz w:val="28"/>
          <w:szCs w:val="28"/>
          <w:rtl/>
        </w:rPr>
        <w:t xml:space="preserve">، شاه ایران</w:t>
      </w:r>
    </w:p>
    <w:p>
      <w:pPr>
        <w:pStyle w:val="BookText"/>
      </w:pPr>
      <w:r>
        <w:rPr>
          <w:rFonts w:ascii="Amiri" w:hAnsi="Amiri" w:eastAsia="Amiri" w:cs="Amiri"/>
          <w:lang w:bidi="ar-SA"/>
          <w:color w:val="111111"/>
          <w:sz w:val="28"/>
          <w:szCs w:val="28"/>
          <w:rtl/>
        </w:rPr>
        <w:t xml:space="preserve">شاه عبد الحق دهلوي- دهلوي ، عبد الحق</w:t>
      </w:r>
    </w:p>
    <w:p>
      <w:pPr>
        <w:pStyle w:val="BookText"/>
      </w:pPr>
      <w:r>
        <w:rPr>
          <w:rFonts w:ascii="Amiri" w:hAnsi="Amiri" w:eastAsia="Amiri" w:cs="Amiri"/>
          <w:lang w:bidi="ar-SA"/>
          <w:color w:val="111111"/>
          <w:sz w:val="28"/>
          <w:szCs w:val="28"/>
          <w:rtl/>
        </w:rPr>
        <w:t xml:space="preserve">بن سيف الدين</w:t>
      </w:r>
    </w:p>
    <w:p>
      <w:pPr>
        <w:pStyle w:val="BookText"/>
      </w:pPr>
      <w:r>
        <w:rPr>
          <w:rFonts w:ascii="IRNazanin" w:hAnsi="IRNazanin" w:eastAsia="IRNazanin" w:cs="IRNazanin"/>
          <w:lang w:bidi="fa-IR"/>
          <w:color w:val="111111"/>
          <w:sz w:val="28"/>
          <w:szCs w:val="28"/>
          <w:rtl/>
        </w:rPr>
        <w:t xml:space="preserve">شاه عبدالعزیز دهلوي - دهلوي ،</w:t>
      </w:r>
    </w:p>
    <w:p>
      <w:pPr>
        <w:pStyle w:val="BookText"/>
      </w:pPr>
      <w:r>
        <w:rPr>
          <w:rFonts w:ascii="IRNazanin" w:hAnsi="IRNazanin" w:eastAsia="IRNazanin" w:cs="IRNazanin"/>
          <w:lang w:bidi="fa-IR"/>
          <w:color w:val="111111"/>
          <w:sz w:val="28"/>
          <w:szCs w:val="28"/>
          <w:rtl/>
        </w:rPr>
        <w:t xml:space="preserve">عبدالعزیز بن احمد</w:t>
      </w:r>
    </w:p>
    <w:p>
      <w:pPr>
        <w:pStyle w:val="Heading2"/>
      </w:pPr>
      <w:bookmarkStart w:id="5073" w:name="_Toc4175"/>
      <w:r>
        <w:t>شاه عبد العظيمي ، محمّد رضا قرن 14</w:t>
      </w:r>
      <w:bookmarkEnd w:id="5073"/>
    </w:p>
    <w:p>
      <w:pPr>
        <w:pStyle w:val="BookText"/>
      </w:pPr>
      <w:r>
        <w:rPr>
          <w:rFonts w:ascii="Amiri" w:hAnsi="Amiri" w:eastAsia="Amiri" w:cs="Amiri"/>
          <w:lang w:bidi="ar-SA"/>
          <w:color w:val="111111"/>
          <w:sz w:val="28"/>
          <w:szCs w:val="28"/>
          <w:rtl/>
        </w:rPr>
        <w:t xml:space="preserve">مصباح الداعين، ج 14، ص 705.</w:t>
      </w:r>
    </w:p>
    <w:p>
      <w:pPr>
        <w:pStyle w:val="Heading2"/>
      </w:pPr>
      <w:bookmarkStart w:id="5074" w:name="_Toc4176"/>
      <w:r>
        <w:t>شاه عبد العظيمي ، محمّد علي بن محمّد</w:t>
      </w:r>
      <w:bookmarkEnd w:id="5074"/>
    </w:p>
    <w:p>
      <w:pPr>
        <w:pStyle w:val="BookText"/>
      </w:pPr>
      <w:r>
        <w:rPr>
          <w:rFonts w:ascii="IRNazanin" w:hAnsi="IRNazanin" w:eastAsia="IRNazanin" w:cs="IRNazanin"/>
          <w:lang w:bidi="fa-IR"/>
          <w:color w:val="111111"/>
          <w:sz w:val="28"/>
          <w:szCs w:val="28"/>
          <w:rtl/>
        </w:rPr>
        <w:t xml:space="preserve">1258 - 1334ه-</w:t>
      </w:r>
    </w:p>
    <w:p>
      <w:pPr>
        <w:pStyle w:val="BookText"/>
      </w:pPr>
      <w:r>
        <w:rPr>
          <w:rFonts w:ascii="Amiri" w:hAnsi="Amiri" w:eastAsia="Amiri" w:cs="Amiri"/>
          <w:lang w:bidi="ar-SA"/>
          <w:color w:val="111111"/>
          <w:sz w:val="28"/>
          <w:szCs w:val="28"/>
          <w:rtl/>
        </w:rPr>
        <w:t xml:space="preserve">1 الايقاد، ج 3، ص 144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فضائل المساجد، ج 12، ص19.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اللطائف الهجرية، ج 13، ص 584.</w:t>
      </w:r>
    </w:p>
    <w:p>
      <w:pPr>
        <w:pStyle w:val="BookText"/>
      </w:pPr>
      <w:r>
        <w:rPr>
          <w:rFonts w:ascii="Amiri" w:hAnsi="Amiri" w:eastAsia="Amiri" w:cs="Amiri"/>
          <w:lang w:bidi="ar-SA"/>
          <w:color w:val="111111"/>
          <w:sz w:val="28"/>
          <w:szCs w:val="28"/>
          <w:rtl/>
        </w:rPr>
        <w:t xml:space="preserve">شاه علي بن حسين يزدي -يزدي ، شاه</w:t>
      </w:r>
    </w:p>
    <w:p>
      <w:pPr>
        <w:pStyle w:val="BookText"/>
      </w:pPr>
      <w:r>
        <w:rPr>
          <w:rFonts w:ascii="Amiri" w:hAnsi="Amiri" w:eastAsia="Amiri" w:cs="Amiri"/>
          <w:lang w:bidi="ar-SA"/>
          <w:color w:val="111111"/>
          <w:sz w:val="28"/>
          <w:szCs w:val="28"/>
          <w:rtl/>
        </w:rPr>
        <w:t xml:space="preserve">علي بن حسين</w:t>
      </w:r>
    </w:p>
    <w:p>
      <w:pPr>
        <w:pStyle w:val="Heading2"/>
      </w:pPr>
      <w:bookmarkStart w:id="5075" w:name="_Toc4177"/>
      <w:r>
        <w:t>شاه ، علي بن عبدالوهاب</w:t>
      </w:r>
      <w:bookmarkEnd w:id="5075"/>
    </w:p>
    <w:p>
      <w:pPr>
        <w:pStyle w:val="BookText"/>
      </w:pPr>
      <w:r>
        <w:rPr>
          <w:rFonts w:ascii="Amiri" w:hAnsi="Amiri" w:eastAsia="Amiri" w:cs="Amiri"/>
          <w:lang w:bidi="ar-SA"/>
          <w:color w:val="111111"/>
          <w:sz w:val="28"/>
          <w:szCs w:val="28"/>
          <w:rtl/>
        </w:rPr>
        <w:t xml:space="preserve">المنطق (رسالة في)، ج 15 ، ص 698.</w:t>
      </w:r>
    </w:p>
    <w:p>
      <w:pPr>
        <w:pStyle w:val="BookText"/>
      </w:pPr>
      <w:r>
        <w:rPr>
          <w:rFonts w:ascii="Amiri" w:hAnsi="Amiri" w:eastAsia="Amiri" w:cs="Amiri"/>
          <w:lang w:bidi="ar-SA"/>
          <w:color w:val="111111"/>
          <w:sz w:val="28"/>
          <w:szCs w:val="28"/>
          <w:rtl/>
        </w:rPr>
        <w:t xml:space="preserve">شاه قزويني ، محمّد بن مبارك -قزويني ،</w:t>
      </w:r>
    </w:p>
    <w:p>
      <w:pPr>
        <w:pStyle w:val="BookText"/>
      </w:pPr>
      <w:r>
        <w:rPr>
          <w:rFonts w:ascii="Amiri" w:hAnsi="Amiri" w:eastAsia="Amiri" w:cs="Amiri"/>
          <w:lang w:bidi="ar-SA"/>
          <w:color w:val="111111"/>
          <w:sz w:val="28"/>
          <w:szCs w:val="28"/>
          <w:rtl/>
        </w:rPr>
        <w:t xml:space="preserve">محمّد بن مبارك شاه</w:t>
      </w:r>
    </w:p>
    <w:p>
      <w:pPr>
        <w:pStyle w:val="BookText"/>
      </w:pPr>
      <w:r>
        <w:rPr>
          <w:rFonts w:ascii="IRNazanin" w:hAnsi="IRNazanin" w:eastAsia="IRNazanin" w:cs="IRNazanin"/>
          <w:lang w:bidi="fa-IR"/>
          <w:color w:val="111111"/>
          <w:sz w:val="28"/>
          <w:szCs w:val="28"/>
          <w:rtl/>
        </w:rPr>
        <w:t xml:space="preserve">شاه محمّد بن شمس الدین محمّد</w:t>
      </w:r>
    </w:p>
    <w:p>
      <w:pPr>
        <w:pStyle w:val="BookText"/>
      </w:pPr>
      <w:r>
        <w:rPr>
          <w:rFonts w:ascii="Amiri" w:hAnsi="Amiri" w:eastAsia="Amiri" w:cs="Amiri"/>
          <w:lang w:bidi="ar-SA"/>
          <w:color w:val="111111"/>
          <w:sz w:val="28"/>
          <w:szCs w:val="28"/>
          <w:rtl/>
        </w:rPr>
        <w:t xml:space="preserve">اصطهباناتي شيرازي - دارايي ، شاه محمّد بن</w:t>
      </w:r>
    </w:p>
    <w:p>
      <w:pPr>
        <w:pStyle w:val="BookText"/>
      </w:pPr>
      <w:r>
        <w:rPr>
          <w:rFonts w:ascii="Amiri" w:hAnsi="Amiri" w:eastAsia="Amiri" w:cs="Amiri"/>
          <w:lang w:bidi="ar-SA"/>
          <w:color w:val="111111"/>
          <w:sz w:val="28"/>
          <w:szCs w:val="28"/>
          <w:rtl/>
        </w:rPr>
        <w:t xml:space="preserve">محمّد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05" w:name="pg7742_70590"/>
    <w:bookmarkEnd w:id="605"/>
    <w:p>
      <w:pPr>
        <w:pStyle w:val="BookText"/>
      </w:pPr>
      <w:r>
        <w:rPr>
          <w:rFonts w:ascii="Amiri" w:hAnsi="Amiri" w:eastAsia="Amiri" w:cs="Amiri"/>
          <w:lang w:bidi="ar-SA"/>
          <w:color w:val="111111"/>
          <w:sz w:val="28"/>
          <w:szCs w:val="28"/>
          <w:rtl/>
        </w:rPr>
        <w:t xml:space="preserve">شاه محمّد بن محمّد دارابي- دارابي ، شاه</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شاه محمّد دارابي- دارابي ، شاه محمّد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شاه محمّد شيرازي -شيرازي ، محمّدبن</w:t>
      </w:r>
    </w:p>
    <w:p>
      <w:pPr>
        <w:pStyle w:val="BookText"/>
      </w:pPr>
      <w:r>
        <w:rPr>
          <w:rFonts w:ascii="Amiri" w:hAnsi="Amiri" w:eastAsia="Amiri" w:cs="Amiri"/>
          <w:lang w:bidi="ar-SA"/>
          <w:color w:val="111111"/>
          <w:sz w:val="28"/>
          <w:szCs w:val="28"/>
          <w:rtl/>
        </w:rPr>
        <w:t xml:space="preserve">محمّد شاه</w:t>
      </w:r>
    </w:p>
    <w:p>
      <w:pPr>
        <w:pStyle w:val="BookText"/>
      </w:pPr>
      <w:r>
        <w:rPr>
          <w:rFonts w:ascii="Amiri" w:hAnsi="Amiri" w:eastAsia="Amiri" w:cs="Amiri"/>
          <w:lang w:bidi="ar-SA"/>
          <w:color w:val="111111"/>
          <w:sz w:val="28"/>
          <w:szCs w:val="28"/>
          <w:rtl/>
        </w:rPr>
        <w:t xml:space="preserve">شاه محمّد ، محمّد بن محمّد -دارابي ،</w:t>
      </w:r>
    </w:p>
    <w:p>
      <w:pPr>
        <w:pStyle w:val="BookText"/>
      </w:pPr>
      <w:r>
        <w:rPr>
          <w:rFonts w:ascii="Amiri" w:hAnsi="Amiri" w:eastAsia="Amiri" w:cs="Amiri"/>
          <w:lang w:bidi="ar-SA"/>
          <w:color w:val="111111"/>
          <w:sz w:val="28"/>
          <w:szCs w:val="28"/>
          <w:rtl/>
        </w:rPr>
        <w:t xml:space="preserve">شاه محمّد بن محمّد</w:t>
      </w:r>
    </w:p>
    <w:p>
      <w:pPr>
        <w:pStyle w:val="BookText"/>
      </w:pPr>
      <w:r>
        <w:rPr>
          <w:rFonts w:ascii="IRNazanin" w:hAnsi="IRNazanin" w:eastAsia="IRNazanin" w:cs="IRNazanin"/>
          <w:lang w:bidi="fa-IR"/>
          <w:color w:val="111111"/>
          <w:sz w:val="28"/>
          <w:szCs w:val="28"/>
          <w:rtl/>
        </w:rPr>
        <w:t xml:space="preserve">شاه محمود دارین- دارین ، شاه محمود</w:t>
      </w:r>
    </w:p>
    <w:p>
      <w:pPr>
        <w:pStyle w:val="BookText"/>
      </w:pPr>
      <w:r>
        <w:rPr>
          <w:rFonts w:ascii="IRNazanin" w:hAnsi="IRNazanin" w:eastAsia="IRNazanin" w:cs="IRNazanin"/>
          <w:lang w:bidi="fa-IR"/>
          <w:color w:val="111111"/>
          <w:sz w:val="28"/>
          <w:szCs w:val="28"/>
          <w:rtl/>
        </w:rPr>
        <w:t xml:space="preserve">شاه مرتضی بن محمّد مؤمن كاشاني -كاشاني ، مرتضى بن محمّد مؤمن</w:t>
      </w:r>
    </w:p>
    <w:p>
      <w:pPr>
        <w:pStyle w:val="BookText"/>
      </w:pPr>
      <w:r>
        <w:rPr>
          <w:rFonts w:ascii="IRNazanin" w:hAnsi="IRNazanin" w:eastAsia="IRNazanin" w:cs="IRNazanin"/>
          <w:lang w:bidi="fa-IR"/>
          <w:color w:val="111111"/>
          <w:sz w:val="28"/>
          <w:szCs w:val="28"/>
          <w:rtl/>
        </w:rPr>
        <w:t xml:space="preserve">شاه میر ، اسدالله -شاهمير ، اسدالله بن</w:t>
      </w:r>
    </w:p>
    <w:p>
      <w:pPr>
        <w:pStyle w:val="BookText"/>
      </w:pPr>
      <w:r>
        <w:rPr>
          <w:rFonts w:ascii="Amiri" w:hAnsi="Amiri" w:eastAsia="Amiri" w:cs="Amiri"/>
          <w:lang w:bidi="ar-SA"/>
          <w:color w:val="111111"/>
          <w:sz w:val="28"/>
          <w:szCs w:val="28"/>
          <w:rtl/>
        </w:rPr>
        <w:t xml:space="preserve">علي</w:t>
      </w:r>
    </w:p>
    <w:p>
      <w:pPr>
        <w:pStyle w:val="Heading2"/>
      </w:pPr>
      <w:bookmarkStart w:id="5076" w:name="_Toc4178"/>
      <w:r>
        <w:t>شاه میر ، اسدالله بن علي، قرن 10 ه-</w:t>
      </w:r>
      <w:bookmarkEnd w:id="5076"/>
    </w:p>
    <w:p>
      <w:pPr>
        <w:pStyle w:val="BookText"/>
      </w:pPr>
      <w:r>
        <w:rPr>
          <w:rFonts w:ascii="Amiri" w:hAnsi="Amiri" w:eastAsia="Amiri" w:cs="Amiri"/>
          <w:lang w:bidi="ar-SA"/>
          <w:color w:val="111111"/>
          <w:sz w:val="28"/>
          <w:szCs w:val="28"/>
          <w:rtl/>
        </w:rPr>
        <w:t xml:space="preserve">آداب السفر المنتخب من كتاب امان - 1176 ؟ ه-</w:t>
      </w:r>
    </w:p>
    <w:p>
      <w:pPr>
        <w:pStyle w:val="BookText"/>
      </w:pPr>
      <w:r>
        <w:rPr>
          <w:rFonts w:ascii="IRNazanin" w:hAnsi="IRNazanin" w:eastAsia="IRNazanin" w:cs="IRNazanin"/>
          <w:lang w:bidi="fa-IR"/>
          <w:color w:val="111111"/>
          <w:sz w:val="28"/>
          <w:szCs w:val="28"/>
          <w:rtl/>
        </w:rPr>
        <w:t xml:space="preserve">الاخطار، ج 1، ص 39.</w:t>
      </w:r>
    </w:p>
    <w:p>
      <w:pPr>
        <w:pStyle w:val="BookText"/>
      </w:pPr>
      <w:r>
        <w:rPr>
          <w:rFonts w:ascii="Amiri" w:hAnsi="Amiri" w:eastAsia="Amiri" w:cs="Amiri"/>
          <w:lang w:bidi="ar-SA"/>
          <w:color w:val="111111"/>
          <w:sz w:val="28"/>
          <w:szCs w:val="28"/>
          <w:rtl/>
        </w:rPr>
        <w:t xml:space="preserve">شاه ميرزائي ، محمّد شريف بن شهاب</w:t>
      </w:r>
    </w:p>
    <w:p>
      <w:pPr>
        <w:pStyle w:val="BookText"/>
      </w:pPr>
      <w:r>
        <w:rPr>
          <w:rFonts w:ascii="Amiri" w:hAnsi="Amiri" w:eastAsia="Amiri" w:cs="Amiri"/>
          <w:lang w:bidi="ar-SA"/>
          <w:color w:val="111111"/>
          <w:sz w:val="28"/>
          <w:szCs w:val="28"/>
          <w:rtl/>
        </w:rPr>
        <w:t xml:space="preserve">الدين -شهميرزادي ، محمّد شريف بن محمد</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Amiri" w:hAnsi="Amiri" w:eastAsia="Amiri" w:cs="Amiri"/>
          <w:lang w:bidi="ar-SA"/>
          <w:color w:val="111111"/>
          <w:sz w:val="28"/>
          <w:szCs w:val="28"/>
          <w:rtl/>
        </w:rPr>
        <w:t xml:space="preserve">شاهمير شيرازي ، هبة الله بن عطاء</w:t>
      </w:r>
    </w:p>
    <w:p>
      <w:pPr>
        <w:pStyle w:val="BookText"/>
      </w:pPr>
      <w:r>
        <w:rPr>
          <w:rFonts w:ascii="Amiri" w:hAnsi="Amiri" w:eastAsia="Amiri" w:cs="Amiri"/>
          <w:lang w:bidi="ar-SA"/>
          <w:color w:val="111111"/>
          <w:sz w:val="28"/>
          <w:szCs w:val="28"/>
          <w:rtl/>
        </w:rPr>
        <w:t xml:space="preserve">الله -شاه ميري شيرازي ، هبة الله بن عطاء الله</w:t>
      </w:r>
    </w:p>
    <w:p>
      <w:pPr>
        <w:pStyle w:val="BookText"/>
      </w:pPr>
      <w:r>
        <w:rPr>
          <w:rFonts w:ascii="Amiri" w:hAnsi="Amiri" w:eastAsia="Amiri" w:cs="Amiri"/>
          <w:lang w:bidi="ar-SA"/>
          <w:color w:val="111111"/>
          <w:sz w:val="28"/>
          <w:szCs w:val="28"/>
          <w:rtl/>
        </w:rPr>
        <w:t xml:space="preserve">شاه مير ، هبة الله -شاه ميري شيرازي ،</w:t>
      </w:r>
    </w:p>
    <w:p>
      <w:pPr>
        <w:pStyle w:val="BookText"/>
      </w:pPr>
      <w:r>
        <w:rPr>
          <w:rFonts w:ascii="Amiri" w:hAnsi="Amiri" w:eastAsia="Amiri" w:cs="Amiri"/>
          <w:lang w:bidi="ar-SA"/>
          <w:color w:val="111111"/>
          <w:sz w:val="28"/>
          <w:szCs w:val="28"/>
          <w:rtl/>
        </w:rPr>
        <w:t xml:space="preserve">هبة الله بن عطاء الله</w:t>
      </w:r>
    </w:p>
    <w:p>
      <w:pPr>
        <w:pStyle w:val="Heading2"/>
      </w:pPr>
      <w:bookmarkStart w:id="5077" w:name="_Toc4179"/>
      <w:r>
        <w:t>شاه ميري شيرازي ، هبة الله بن عطاء الله 898ه-</w:t>
      </w:r>
      <w:bookmarkEnd w:id="5077"/>
    </w:p>
    <w:p>
      <w:pPr>
        <w:pStyle w:val="BookText"/>
      </w:pPr>
      <w:r>
        <w:rPr>
          <w:rFonts w:ascii="Amiri" w:hAnsi="Amiri" w:eastAsia="Amiri" w:cs="Amiri"/>
          <w:lang w:bidi="ar-SA"/>
          <w:color w:val="111111"/>
          <w:sz w:val="28"/>
          <w:szCs w:val="28"/>
          <w:rtl/>
        </w:rPr>
        <w:t xml:space="preserve">1 .آداب سلطنت - آداب سلطاني</w:t>
      </w:r>
    </w:p>
    <w:p>
      <w:pPr>
        <w:pStyle w:val="BookText"/>
      </w:pPr>
      <w:r>
        <w:rPr>
          <w:rFonts w:ascii="IRNazanin" w:hAnsi="IRNazanin" w:eastAsia="IRNazanin" w:cs="IRNazanin"/>
          <w:lang w:bidi="fa-IR"/>
          <w:color w:val="111111"/>
          <w:sz w:val="28"/>
          <w:szCs w:val="28"/>
          <w:rtl/>
        </w:rPr>
        <w:t xml:space="preserve">ج 1، ص 39.</w:t>
      </w:r>
    </w:p>
    <w:p>
      <w:pPr>
        <w:pStyle w:val="BookText"/>
      </w:pPr>
      <w:r>
        <w:rPr>
          <w:rFonts w:ascii="Amiri" w:hAnsi="Amiri" w:eastAsia="Amiri" w:cs="Amiri"/>
          <w:lang w:bidi="ar-SA"/>
          <w:color w:val="111111"/>
          <w:sz w:val="28"/>
          <w:szCs w:val="28"/>
          <w:rtl/>
        </w:rPr>
        <w:t xml:space="preserve">2 .شرح تهذيب المنطق، ج9، ص 350.</w:t>
      </w:r>
    </w:p>
    <w:p>
      <w:pPr>
        <w:pStyle w:val="BookText"/>
      </w:pPr>
      <w:r>
        <w:rPr>
          <w:rFonts w:ascii="Amiri" w:hAnsi="Amiri" w:eastAsia="Amiri" w:cs="Amiri"/>
          <w:lang w:bidi="ar-SA"/>
          <w:color w:val="111111"/>
          <w:sz w:val="28"/>
          <w:szCs w:val="28"/>
          <w:rtl/>
        </w:rPr>
        <w:t xml:space="preserve">شاه نعمت الله ولي -نعمة الله ولي ، نعمة الله بن عبدالله</w:t>
      </w:r>
    </w:p>
    <w:p>
      <w:pPr>
        <w:pStyle w:val="BookText"/>
      </w:pPr>
      <w:r>
        <w:rPr>
          <w:rFonts w:ascii="Amiri" w:hAnsi="Amiri" w:eastAsia="Amiri" w:cs="Amiri"/>
          <w:lang w:bidi="ar-SA"/>
          <w:color w:val="111111"/>
          <w:sz w:val="28"/>
          <w:szCs w:val="28"/>
          <w:rtl/>
        </w:rPr>
        <w:t xml:space="preserve">شاه نقشبند ، محمّد بن احمد- فاروقي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شاه هروي ، محمّد بن مبارك - قزويني ،</w:t>
      </w:r>
    </w:p>
    <w:p>
      <w:pPr>
        <w:pStyle w:val="BookText"/>
      </w:pPr>
      <w:r>
        <w:rPr>
          <w:rFonts w:ascii="Amiri" w:hAnsi="Amiri" w:eastAsia="Amiri" w:cs="Amiri"/>
          <w:lang w:bidi="ar-SA"/>
          <w:color w:val="111111"/>
          <w:sz w:val="28"/>
          <w:szCs w:val="28"/>
          <w:rtl/>
        </w:rPr>
        <w:t xml:space="preserve">محمّد بن مبارك شاه</w:t>
      </w:r>
    </w:p>
    <w:p>
      <w:pPr>
        <w:pStyle w:val="BookText"/>
      </w:pPr>
      <w:r>
        <w:rPr>
          <w:rFonts w:ascii="IRNazanin" w:hAnsi="IRNazanin" w:eastAsia="IRNazanin" w:cs="IRNazanin"/>
          <w:lang w:bidi="fa-IR"/>
          <w:color w:val="111111"/>
          <w:sz w:val="28"/>
          <w:szCs w:val="28"/>
          <w:rtl/>
        </w:rPr>
        <w:t xml:space="preserve">شاه وجيه الدين علوي -علوي گجراتي ،</w:t>
      </w:r>
    </w:p>
    <w:p>
      <w:pPr>
        <w:pStyle w:val="BookText"/>
      </w:pPr>
      <w:r>
        <w:rPr>
          <w:rFonts w:ascii="Amiri" w:hAnsi="Amiri" w:eastAsia="Amiri" w:cs="Amiri"/>
          <w:lang w:bidi="ar-SA"/>
          <w:color w:val="111111"/>
          <w:sz w:val="28"/>
          <w:szCs w:val="28"/>
          <w:rtl/>
        </w:rPr>
        <w:t xml:space="preserve">وجيه الدين احمد بن نصر الله</w:t>
      </w:r>
    </w:p>
    <w:p>
      <w:pPr>
        <w:pStyle w:val="BookText"/>
      </w:pPr>
      <w:r>
        <w:rPr>
          <w:rFonts w:ascii="Amiri" w:hAnsi="Amiri" w:eastAsia="Amiri" w:cs="Amiri"/>
          <w:lang w:bidi="ar-SA"/>
          <w:color w:val="111111"/>
          <w:sz w:val="28"/>
          <w:szCs w:val="28"/>
          <w:rtl/>
        </w:rPr>
        <w:t xml:space="preserve">شاهوردي ، محمّد تقي بن شاهوردي- محمّد تقي بن شاهوردي</w:t>
      </w:r>
    </w:p>
    <w:p>
      <w:pPr>
        <w:pStyle w:val="Heading2"/>
      </w:pPr>
      <w:bookmarkStart w:id="5078" w:name="_Toc4180"/>
      <w:r>
        <w:t>شاه ولي الله ، احمد بن عبدالرحیم، 1114</w:t>
      </w:r>
      <w:bookmarkEnd w:id="5078"/>
    </w:p>
    <w:p>
      <w:pPr>
        <w:pStyle w:val="BookText"/>
      </w:pPr>
      <w:r>
        <w:rPr>
          <w:rFonts w:ascii="Amiri" w:hAnsi="Amiri" w:eastAsia="Amiri" w:cs="Amiri"/>
          <w:lang w:bidi="ar-SA"/>
          <w:color w:val="111111"/>
          <w:sz w:val="28"/>
          <w:szCs w:val="28"/>
          <w:rtl/>
        </w:rPr>
        <w:t xml:space="preserve">1 .فتح الخبير بما لابد من حفظة في علم التفسير، ج 11، ص 647 .</w:t>
      </w:r>
    </w:p>
    <w:p>
      <w:pPr>
        <w:pStyle w:val="BookText"/>
      </w:pPr>
      <w:r>
        <w:rPr>
          <w:rFonts w:ascii="Amiri" w:hAnsi="Amiri" w:eastAsia="Amiri" w:cs="Amiri"/>
          <w:lang w:bidi="ar-SA"/>
          <w:color w:val="111111"/>
          <w:sz w:val="28"/>
          <w:szCs w:val="28"/>
          <w:rtl/>
        </w:rPr>
        <w:t xml:space="preserve">2 .فتح الرحمان بترجمة القرآن، ج11،</w:t>
      </w:r>
    </w:p>
    <w:p>
      <w:pPr>
        <w:pStyle w:val="BookText"/>
      </w:pPr>
      <w:r>
        <w:rPr>
          <w:rFonts w:ascii="IRNazanin" w:hAnsi="IRNazanin" w:eastAsia="IRNazanin" w:cs="IRNazanin"/>
          <w:lang w:bidi="fa-IR"/>
          <w:color w:val="111111"/>
          <w:sz w:val="28"/>
          <w:szCs w:val="28"/>
          <w:rtl/>
        </w:rPr>
        <w:t xml:space="preserve">ص 651.</w:t>
      </w:r>
    </w:p>
    <w:p>
      <w:pPr>
        <w:pStyle w:val="BookText"/>
      </w:pPr>
      <w:r>
        <w:rPr>
          <w:rFonts w:ascii="Amiri" w:hAnsi="Amiri" w:eastAsia="Amiri" w:cs="Amiri"/>
          <w:lang w:bidi="ar-SA"/>
          <w:color w:val="111111"/>
          <w:sz w:val="28"/>
          <w:szCs w:val="28"/>
          <w:rtl/>
        </w:rPr>
        <w:t xml:space="preserve">3.الفوز الكبير في اصول التفسيز</w:t>
      </w:r>
    </w:p>
    <w:p>
      <w:pPr>
        <w:pStyle w:val="BookText"/>
      </w:pPr>
      <w:r>
        <w:rPr>
          <w:rFonts w:ascii="IRNazanin" w:hAnsi="IRNazanin" w:eastAsia="IRNazanin" w:cs="IRNazanin"/>
          <w:lang w:bidi="fa-IR"/>
          <w:color w:val="111111"/>
          <w:sz w:val="28"/>
          <w:szCs w:val="28"/>
          <w:rtl/>
        </w:rPr>
        <w:t xml:space="preserve">ج 12، ص 302.</w:t>
      </w:r>
    </w:p>
    <w:p>
      <w:pPr>
        <w:pStyle w:val="BookText"/>
      </w:pPr>
      <w:r>
        <w:rPr>
          <w:rFonts w:ascii="IRNazanin" w:hAnsi="IRNazanin" w:eastAsia="IRNazanin" w:cs="IRNazanin"/>
          <w:lang w:bidi="fa-IR"/>
          <w:color w:val="111111"/>
          <w:sz w:val="28"/>
          <w:szCs w:val="28"/>
          <w:rtl/>
        </w:rPr>
        <w:t xml:space="preserve">الله ،</w:t>
      </w:r>
    </w:p>
    <w:p>
      <w:pPr>
        <w:pStyle w:val="BookText"/>
      </w:pPr>
      <w:r>
        <w:rPr>
          <w:rFonts w:ascii="Amiri" w:hAnsi="Amiri" w:eastAsia="Amiri" w:cs="Amiri"/>
          <w:lang w:bidi="ar-SA"/>
          <w:color w:val="111111"/>
          <w:sz w:val="28"/>
          <w:szCs w:val="28"/>
          <w:rtl/>
        </w:rPr>
        <w:t xml:space="preserve">شاه ولي الله بن عبدالرحيم -شاه ولي</w:t>
      </w:r>
    </w:p>
    <w:p>
      <w:pPr>
        <w:pStyle w:val="BookText"/>
      </w:pPr>
      <w:r>
        <w:rPr>
          <w:rFonts w:ascii="Amiri" w:hAnsi="Amiri" w:eastAsia="Amiri" w:cs="Amiri"/>
          <w:lang w:bidi="ar-SA"/>
          <w:color w:val="111111"/>
          <w:sz w:val="28"/>
          <w:szCs w:val="28"/>
          <w:rtl/>
        </w:rPr>
        <w:t xml:space="preserve">احمد بن عبدالرحيم</w:t>
      </w:r>
    </w:p>
    <w:p>
      <w:pPr>
        <w:pStyle w:val="BookText"/>
      </w:pPr>
      <w:r>
        <w:rPr>
          <w:rFonts w:ascii="Amiri" w:hAnsi="Amiri" w:eastAsia="Amiri" w:cs="Amiri"/>
          <w:lang w:bidi="ar-SA"/>
          <w:color w:val="111111"/>
          <w:sz w:val="28"/>
          <w:szCs w:val="28"/>
          <w:rtl/>
        </w:rPr>
        <w:t xml:space="preserve">شاه ولي الله صاحب دهلوي- شاه ولي الله</w:t>
      </w:r>
    </w:p>
    <w:p>
      <w:pPr>
        <w:pStyle w:val="BookText"/>
      </w:pPr>
      <w:r>
        <w:rPr>
          <w:rFonts w:ascii="Amiri" w:hAnsi="Amiri" w:eastAsia="Amiri" w:cs="Amiri"/>
          <w:lang w:bidi="ar-SA"/>
          <w:color w:val="111111"/>
          <w:sz w:val="28"/>
          <w:szCs w:val="28"/>
          <w:rtl/>
        </w:rPr>
        <w:t xml:space="preserve">، احمد بن عبدالرحيم</w:t>
      </w:r>
    </w:p>
    <w:p>
      <w:pPr>
        <w:pStyle w:val="Heading2"/>
      </w:pPr>
      <w:bookmarkStart w:id="5079" w:name="_Toc4181"/>
      <w:r>
        <w:t>شاهي ، ابراهيم</w:t>
      </w:r>
      <w:bookmarkEnd w:id="5079"/>
    </w:p>
    <w:p>
      <w:pPr>
        <w:pStyle w:val="BookText"/>
      </w:pPr>
      <w:r>
        <w:rPr>
          <w:rFonts w:ascii="Amiri" w:hAnsi="Amiri" w:eastAsia="Amiri" w:cs="Amiri"/>
          <w:lang w:bidi="ar-SA"/>
          <w:color w:val="111111"/>
          <w:sz w:val="28"/>
          <w:szCs w:val="28"/>
          <w:rtl/>
        </w:rPr>
        <w:t xml:space="preserve">التحفة، ج3، ص770.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06" w:name="pg7742_70591"/>
    <w:bookmarkEnd w:id="606"/>
    <w:p>
      <w:pPr>
        <w:pStyle w:val="BookText"/>
      </w:pPr>
      <w:r>
        <w:rPr>
          <w:rFonts w:ascii="Amiri" w:hAnsi="Amiri" w:eastAsia="Amiri" w:cs="Amiri"/>
          <w:lang w:bidi="ar-SA"/>
          <w:color w:val="111111"/>
          <w:sz w:val="28"/>
          <w:szCs w:val="28"/>
          <w:rtl/>
        </w:rPr>
        <w:t xml:space="preserve">شاوري، اسماعيل بن ابي بكر -ابن مقري ،</w:t>
      </w:r>
    </w:p>
    <w:p>
      <w:pPr>
        <w:pStyle w:val="BookText"/>
      </w:pPr>
      <w:r>
        <w:rPr>
          <w:rFonts w:ascii="Amiri" w:hAnsi="Amiri" w:eastAsia="Amiri" w:cs="Amiri"/>
          <w:lang w:bidi="ar-SA"/>
          <w:color w:val="111111"/>
          <w:sz w:val="28"/>
          <w:szCs w:val="28"/>
          <w:rtl/>
        </w:rPr>
        <w:t xml:space="preserve">اسماعيل بن ابي بكر</w:t>
      </w:r>
    </w:p>
    <w:p>
      <w:pPr>
        <w:pStyle w:val="BookText"/>
      </w:pPr>
      <w:r>
        <w:rPr>
          <w:rFonts w:ascii="Amiri" w:hAnsi="Amiri" w:eastAsia="Amiri" w:cs="Amiri"/>
          <w:lang w:bidi="ar-SA"/>
          <w:color w:val="111111"/>
          <w:sz w:val="28"/>
          <w:szCs w:val="28"/>
          <w:rtl/>
        </w:rPr>
        <w:t xml:space="preserve">شاوري الشمقدري- ابن مقري ، اسماعيل</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شاوري ، علي بن عبدالله -ابن مقري ، علي</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5080" w:name="_Toc4182"/>
      <w:r>
        <w:t>شاوي ، احمد</w:t>
      </w:r>
      <w:bookmarkEnd w:id="5080"/>
    </w:p>
    <w:p>
      <w:pPr>
        <w:pStyle w:val="BookText"/>
      </w:pPr>
      <w:r>
        <w:rPr>
          <w:rFonts w:ascii="Amiri" w:hAnsi="Amiri" w:eastAsia="Amiri" w:cs="Amiri"/>
          <w:lang w:bidi="ar-SA"/>
          <w:color w:val="111111"/>
          <w:sz w:val="28"/>
          <w:szCs w:val="28"/>
          <w:rtl/>
        </w:rPr>
        <w:t xml:space="preserve">قصيدة و جوابها، ج 12، ص729.</w:t>
      </w:r>
    </w:p>
    <w:p>
      <w:pPr>
        <w:pStyle w:val="Heading2"/>
      </w:pPr>
      <w:bookmarkStart w:id="5081" w:name="_Toc4183"/>
      <w:r>
        <w:t>شاوي، سليمان بن عبدالله - 1029 ه-</w:t>
      </w:r>
      <w:bookmarkEnd w:id="5081"/>
    </w:p>
    <w:p>
      <w:pPr>
        <w:pStyle w:val="BookText"/>
      </w:pPr>
      <w:r>
        <w:rPr>
          <w:rFonts w:ascii="IRNazanin" w:hAnsi="IRNazanin" w:eastAsia="IRNazanin" w:cs="IRNazanin"/>
          <w:lang w:bidi="fa-IR"/>
          <w:color w:val="111111"/>
          <w:sz w:val="28"/>
          <w:szCs w:val="28"/>
          <w:rtl/>
        </w:rPr>
        <w:t xml:space="preserve">دیوان شاوي، ج 7، ص 666.</w:t>
      </w:r>
    </w:p>
    <w:p>
      <w:pPr>
        <w:pStyle w:val="Heading2"/>
      </w:pPr>
      <w:bookmarkStart w:id="5082" w:name="_Toc4184"/>
      <w:r>
        <w:t>شاوي ، محمود بن سلطان - 1358 ه-</w:t>
      </w:r>
      <w:bookmarkEnd w:id="5082"/>
    </w:p>
    <w:p>
      <w:pPr>
        <w:pStyle w:val="BookText"/>
      </w:pPr>
      <w:r>
        <w:rPr>
          <w:rFonts w:ascii="Amiri" w:hAnsi="Amiri" w:eastAsia="Amiri" w:cs="Amiri"/>
          <w:lang w:bidi="ar-SA"/>
          <w:color w:val="111111"/>
          <w:sz w:val="28"/>
          <w:szCs w:val="28"/>
          <w:rtl/>
        </w:rPr>
        <w:t xml:space="preserve">ذيل مطالع السعود، ج 7، ص 881.</w:t>
      </w:r>
    </w:p>
    <w:p>
      <w:pPr>
        <w:pStyle w:val="Heading2"/>
      </w:pPr>
      <w:bookmarkStart w:id="5083" w:name="_Toc4185"/>
      <w:r>
        <w:t>شاوي ، يحيى بن محمّد، 1030 - 1096</w:t>
      </w:r>
      <w:bookmarkEnd w:id="5083"/>
    </w:p>
    <w:p>
      <w:pPr>
        <w:pStyle w:val="BookText"/>
      </w:pPr>
      <w:r>
        <w:rPr>
          <w:rFonts w:ascii="Amiri" w:hAnsi="Amiri" w:eastAsia="Amiri" w:cs="Amiri"/>
          <w:lang w:bidi="ar-SA"/>
          <w:color w:val="111111"/>
          <w:sz w:val="28"/>
          <w:szCs w:val="28"/>
          <w:rtl/>
        </w:rPr>
        <w:t xml:space="preserve">تفسير آية ليس كمثله شيئ و هو السميع العليم»، ج4، ص584.</w:t>
      </w:r>
    </w:p>
    <w:p>
      <w:pPr>
        <w:pStyle w:val="BookText"/>
      </w:pPr>
      <w:r>
        <w:rPr>
          <w:rFonts w:ascii="Amiri" w:hAnsi="Amiri" w:eastAsia="Amiri" w:cs="Amiri"/>
          <w:lang w:bidi="ar-SA"/>
          <w:color w:val="111111"/>
          <w:sz w:val="28"/>
          <w:szCs w:val="28"/>
          <w:rtl/>
        </w:rPr>
        <w:t xml:space="preserve">شباب-موسوي شوشتري ، محمّد عباس</w:t>
      </w:r>
    </w:p>
    <w:p>
      <w:pPr>
        <w:pStyle w:val="BookText"/>
      </w:pPr>
      <w:r>
        <w:rPr>
          <w:rFonts w:ascii="Amiri" w:hAnsi="Amiri" w:eastAsia="Amiri" w:cs="Amiri"/>
          <w:lang w:bidi="ar-SA"/>
          <w:color w:val="111111"/>
          <w:sz w:val="28"/>
          <w:szCs w:val="28"/>
          <w:rtl/>
        </w:rPr>
        <w:t xml:space="preserve">بن علي اكبر</w:t>
      </w:r>
    </w:p>
    <w:p>
      <w:pPr>
        <w:pStyle w:val="BookText"/>
      </w:pPr>
      <w:r>
        <w:rPr>
          <w:rFonts w:ascii="Amiri" w:hAnsi="Amiri" w:eastAsia="Amiri" w:cs="Amiri"/>
          <w:lang w:bidi="ar-SA"/>
          <w:color w:val="111111"/>
          <w:sz w:val="28"/>
          <w:szCs w:val="28"/>
          <w:rtl/>
        </w:rPr>
        <w:t xml:space="preserve">شباب ، ابو عمرو خليفه بن</w:t>
      </w:r>
    </w:p>
    <w:p>
      <w:pPr>
        <w:pStyle w:val="BookText"/>
      </w:pPr>
      <w:r>
        <w:rPr>
          <w:rFonts w:ascii="Amiri" w:hAnsi="Amiri" w:eastAsia="Amiri" w:cs="Amiri"/>
          <w:lang w:bidi="ar-SA"/>
          <w:color w:val="111111"/>
          <w:sz w:val="28"/>
          <w:szCs w:val="28"/>
          <w:rtl/>
        </w:rPr>
        <w:t xml:space="preserve">خياط -خليفه بن خياط</w:t>
      </w:r>
    </w:p>
    <w:p>
      <w:pPr>
        <w:pStyle w:val="BookText"/>
      </w:pPr>
      <w:r>
        <w:rPr>
          <w:rFonts w:ascii="Amiri" w:hAnsi="Amiri" w:eastAsia="Amiri" w:cs="Amiri"/>
          <w:lang w:bidi="ar-SA"/>
          <w:color w:val="111111"/>
          <w:sz w:val="28"/>
          <w:szCs w:val="28"/>
          <w:rtl/>
        </w:rPr>
        <w:t xml:space="preserve">شباب شوشتري ، عباس- موسوي شوشتري</w:t>
      </w:r>
    </w:p>
    <w:p>
      <w:pPr>
        <w:pStyle w:val="BookText"/>
      </w:pPr>
      <w:r>
        <w:rPr>
          <w:rFonts w:ascii="Amiri" w:hAnsi="Amiri" w:eastAsia="Amiri" w:cs="Amiri"/>
          <w:lang w:bidi="ar-SA"/>
          <w:color w:val="111111"/>
          <w:sz w:val="28"/>
          <w:szCs w:val="28"/>
          <w:rtl/>
        </w:rPr>
        <w:t xml:space="preserve">محمّد عباس بن علي اكبر</w:t>
      </w:r>
    </w:p>
    <w:p>
      <w:pPr>
        <w:pStyle w:val="Heading2"/>
      </w:pPr>
      <w:bookmarkStart w:id="5084" w:name="_Toc4186"/>
      <w:r>
        <w:t>شبانکاري ، عضدالملة</w:t>
      </w:r>
      <w:bookmarkEnd w:id="5084"/>
    </w:p>
    <w:p>
      <w:pPr>
        <w:pStyle w:val="BookText"/>
      </w:pPr>
      <w:r>
        <w:rPr>
          <w:rFonts w:ascii="Amiri" w:hAnsi="Amiri" w:eastAsia="Amiri" w:cs="Amiri"/>
          <w:lang w:bidi="ar-SA"/>
          <w:color w:val="111111"/>
          <w:sz w:val="28"/>
          <w:szCs w:val="28"/>
          <w:rtl/>
        </w:rPr>
        <w:t xml:space="preserve">رسالة وجيزة في الأخلاق، ج8، ص293.</w:t>
      </w:r>
    </w:p>
    <w:p>
      <w:pPr>
        <w:pStyle w:val="BookText"/>
      </w:pPr>
      <w:r>
        <w:rPr>
          <w:rFonts w:ascii="IRNazanin" w:hAnsi="IRNazanin" w:eastAsia="IRNazanin" w:cs="IRNazanin"/>
          <w:lang w:bidi="fa-IR"/>
          <w:color w:val="111111"/>
          <w:sz w:val="28"/>
          <w:szCs w:val="28"/>
          <w:rtl/>
        </w:rPr>
        <w:t xml:space="preserve">شبانکاري ، غیاث الدین منصور بن</w:t>
      </w:r>
    </w:p>
    <w:p>
      <w:pPr>
        <w:pStyle w:val="BookText"/>
      </w:pPr>
      <w:r>
        <w:rPr>
          <w:rFonts w:ascii="Amiri" w:hAnsi="Amiri" w:eastAsia="Amiri" w:cs="Amiri"/>
          <w:lang w:bidi="ar-SA"/>
          <w:color w:val="111111"/>
          <w:sz w:val="28"/>
          <w:szCs w:val="28"/>
          <w:rtl/>
        </w:rPr>
        <w:t xml:space="preserve">حسن- ايجي ، منصور بن حسن</w:t>
      </w:r>
    </w:p>
    <w:p>
      <w:pPr>
        <w:pStyle w:val="BookText"/>
      </w:pPr>
      <w:r>
        <w:rPr>
          <w:rFonts w:ascii="Amiri" w:hAnsi="Amiri" w:eastAsia="Amiri" w:cs="Amiri"/>
          <w:lang w:bidi="ar-SA"/>
          <w:color w:val="111111"/>
          <w:sz w:val="28"/>
          <w:szCs w:val="28"/>
          <w:rtl/>
        </w:rPr>
        <w:t xml:space="preserve">شبراخيتي ، ابراهيم بن مرعي -شبرخيتي ،</w:t>
      </w:r>
    </w:p>
    <w:p>
      <w:pPr>
        <w:pStyle w:val="BookText"/>
      </w:pPr>
      <w:r>
        <w:rPr>
          <w:rFonts w:ascii="Amiri" w:hAnsi="Amiri" w:eastAsia="Amiri" w:cs="Amiri"/>
          <w:lang w:bidi="ar-SA"/>
          <w:color w:val="111111"/>
          <w:sz w:val="28"/>
          <w:szCs w:val="28"/>
          <w:rtl/>
        </w:rPr>
        <w:t xml:space="preserve">ابراهيم بن مرعي</w:t>
      </w:r>
    </w:p>
    <w:p>
      <w:pPr>
        <w:pStyle w:val="Heading2"/>
      </w:pPr>
      <w:bookmarkStart w:id="5085" w:name="_Toc4187"/>
      <w:r>
        <w:t>شبراملسي ، علي بن علي، 997 - 1087 ه-</w:t>
      </w:r>
      <w:bookmarkEnd w:id="5085"/>
    </w:p>
    <w:p>
      <w:pPr>
        <w:pStyle w:val="BookText"/>
      </w:pPr>
      <w:r>
        <w:rPr>
          <w:rFonts w:ascii="Amiri" w:hAnsi="Amiri" w:eastAsia="Amiri" w:cs="Amiri"/>
          <w:lang w:bidi="ar-SA"/>
          <w:color w:val="111111"/>
          <w:sz w:val="28"/>
          <w:szCs w:val="28"/>
          <w:rtl/>
        </w:rPr>
        <w:t xml:space="preserve">1 .حاشية المواهب اللدنية بالمنح المحمّدية في السيرة النبوية، ج 6،</w:t>
      </w:r>
    </w:p>
    <w:p>
      <w:pPr>
        <w:pStyle w:val="BookText"/>
      </w:pPr>
      <w:r>
        <w:rPr>
          <w:rFonts w:ascii="IRNazanin" w:hAnsi="IRNazanin" w:eastAsia="IRNazanin" w:cs="IRNazanin"/>
          <w:lang w:bidi="fa-IR"/>
          <w:color w:val="111111"/>
          <w:sz w:val="28"/>
          <w:szCs w:val="28"/>
          <w:rtl/>
        </w:rPr>
        <w:t xml:space="preserve">ص 429.</w:t>
      </w:r>
    </w:p>
    <w:p>
      <w:pPr>
        <w:pStyle w:val="BookText"/>
      </w:pPr>
      <w:r>
        <w:rPr>
          <w:rFonts w:ascii="Amiri" w:hAnsi="Amiri" w:eastAsia="Amiri" w:cs="Amiri"/>
          <w:lang w:bidi="ar-SA"/>
          <w:color w:val="111111"/>
          <w:sz w:val="28"/>
          <w:szCs w:val="28"/>
          <w:rtl/>
        </w:rPr>
        <w:t xml:space="preserve">2 .حاشية شرح الشمائل، ج 6، ص 131.</w:t>
      </w:r>
    </w:p>
    <w:p>
      <w:pPr>
        <w:pStyle w:val="BookText"/>
      </w:pPr>
      <w:r>
        <w:rPr>
          <w:rFonts w:ascii="Amiri" w:hAnsi="Amiri" w:eastAsia="Amiri" w:cs="Amiri"/>
          <w:lang w:bidi="ar-SA"/>
          <w:color w:val="111111"/>
          <w:sz w:val="28"/>
          <w:szCs w:val="28"/>
          <w:rtl/>
        </w:rPr>
        <w:t xml:space="preserve">3 .حاشية شرح الورقات، ج 6، ص 215.</w:t>
      </w:r>
    </w:p>
    <w:p>
      <w:pPr>
        <w:pStyle w:val="BookText"/>
      </w:pPr>
      <w:r>
        <w:rPr>
          <w:rFonts w:ascii="Amiri" w:hAnsi="Amiri" w:eastAsia="Amiri" w:cs="Amiri"/>
          <w:lang w:bidi="ar-SA"/>
          <w:color w:val="111111"/>
          <w:sz w:val="28"/>
          <w:szCs w:val="28"/>
          <w:rtl/>
        </w:rPr>
        <w:t xml:space="preserve">4 .حاشية نهاية المحتاج، ج 6 ، ص 441 .</w:t>
      </w:r>
    </w:p>
    <w:p>
      <w:pPr>
        <w:pStyle w:val="BookText"/>
      </w:pPr>
      <w:r>
        <w:rPr>
          <w:rFonts w:ascii="Amiri" w:hAnsi="Amiri" w:eastAsia="Amiri" w:cs="Amiri"/>
          <w:lang w:bidi="ar-SA"/>
          <w:color w:val="111111"/>
          <w:sz w:val="28"/>
          <w:szCs w:val="28"/>
          <w:rtl/>
        </w:rPr>
        <w:t xml:space="preserve">5 .حكم الظهر جماعة يوم الجمعة عند الشافعية - صلاة الظهر بعد الجمعة (رسالة في)، ج 6، ص 758.</w:t>
      </w:r>
    </w:p>
    <w:p>
      <w:pPr>
        <w:pStyle w:val="Heading2"/>
      </w:pPr>
      <w:bookmarkStart w:id="5086" w:name="_Toc4188"/>
      <w:r>
        <w:t>شبراملسي ، محمّد بن علي قرن 11 ه-</w:t>
      </w:r>
      <w:bookmarkEnd w:id="50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ايقاظ المغرور باشراق البدور على</w:t>
      </w:r>
    </w:p>
    <w:p>
      <w:pPr>
        <w:pStyle w:val="BookText"/>
      </w:pPr>
      <w:r>
        <w:rPr>
          <w:rFonts w:ascii="Amiri" w:hAnsi="Amiri" w:eastAsia="Amiri" w:cs="Amiri"/>
          <w:lang w:bidi="ar-SA"/>
          <w:color w:val="111111"/>
          <w:sz w:val="28"/>
          <w:szCs w:val="28"/>
          <w:rtl/>
        </w:rPr>
        <w:t xml:space="preserve">خبايا الصدور، ج 3،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بهجة المحادث في احكام جملة</w:t>
      </w:r>
    </w:p>
    <w:p>
      <w:pPr>
        <w:pStyle w:val="BookText"/>
      </w:pPr>
      <w:r>
        <w:rPr>
          <w:rFonts w:ascii="IRNazanin" w:hAnsi="IRNazanin" w:eastAsia="IRNazanin" w:cs="IRNazanin"/>
          <w:lang w:bidi="fa-IR"/>
          <w:color w:val="111111"/>
          <w:sz w:val="28"/>
          <w:szCs w:val="28"/>
          <w:rtl/>
        </w:rPr>
        <w:t xml:space="preserve">الحوادث، ج 3، ص 423 .</w:t>
      </w:r>
    </w:p>
    <w:p>
      <w:pPr>
        <w:pStyle w:val="Heading2"/>
      </w:pPr>
      <w:bookmarkStart w:id="5087" w:name="_Toc4189"/>
      <w:r>
        <w:t>شبراوي ، عبدالله قرن 13 ه-</w:t>
      </w:r>
      <w:bookmarkEnd w:id="5087"/>
    </w:p>
    <w:p>
      <w:pPr>
        <w:pStyle w:val="BookText"/>
      </w:pPr>
      <w:r>
        <w:rPr>
          <w:rFonts w:ascii="Amiri" w:hAnsi="Amiri" w:eastAsia="Amiri" w:cs="Amiri"/>
          <w:lang w:bidi="ar-SA"/>
          <w:color w:val="111111"/>
          <w:sz w:val="28"/>
          <w:szCs w:val="28"/>
          <w:rtl/>
        </w:rPr>
        <w:t xml:space="preserve">النحو والصرف و المعاني (رسالة في)</w:t>
      </w:r>
    </w:p>
    <w:p>
      <w:pPr>
        <w:pStyle w:val="BookText"/>
      </w:pPr>
      <w:r>
        <w:rPr>
          <w:rFonts w:ascii="IRNazanin" w:hAnsi="IRNazanin" w:eastAsia="IRNazanin" w:cs="IRNazanin"/>
          <w:lang w:bidi="fa-IR"/>
          <w:color w:val="111111"/>
          <w:sz w:val="28"/>
          <w:szCs w:val="28"/>
          <w:rtl/>
        </w:rPr>
        <w:t xml:space="preserve">ج 16، ص 193.</w:t>
      </w:r>
    </w:p>
    <w:p>
      <w:pPr>
        <w:pStyle w:val="Heading2"/>
      </w:pPr>
      <w:bookmarkStart w:id="5088" w:name="_Toc4190"/>
      <w:r>
        <w:t>شبراوي ، عبدالله بن محمّد، 1091 - 1171</w:t>
      </w:r>
      <w:bookmarkEnd w:id="5088"/>
    </w:p>
    <w:p>
      <w:pPr>
        <w:pStyle w:val="BookText"/>
      </w:pPr>
      <w:r>
        <w:rPr>
          <w:rFonts w:ascii="Amiri" w:hAnsi="Amiri" w:eastAsia="Amiri" w:cs="Amiri"/>
          <w:lang w:bidi="ar-SA"/>
          <w:color w:val="111111"/>
          <w:sz w:val="28"/>
          <w:szCs w:val="28"/>
          <w:rtl/>
        </w:rPr>
        <w:t xml:space="preserve">1 .ديوان شبراوي، ج 7، ص 667.</w:t>
      </w:r>
    </w:p>
    <w:p>
      <w:pPr>
        <w:pStyle w:val="BookText"/>
      </w:pPr>
      <w:r>
        <w:rPr>
          <w:rFonts w:ascii="Amiri" w:hAnsi="Amiri" w:eastAsia="Amiri" w:cs="Amiri"/>
          <w:lang w:bidi="ar-SA"/>
          <w:color w:val="111111"/>
          <w:sz w:val="28"/>
          <w:szCs w:val="28"/>
          <w:rtl/>
        </w:rPr>
        <w:t xml:space="preserve">2 .عنوان البيان و بستان الاذهان = كتاب الآداب و عنوان اولي الالباب</w:t>
      </w:r>
    </w:p>
    <w:p>
      <w:pPr>
        <w:pStyle w:val="BookText"/>
      </w:pPr>
      <w:r>
        <w:rPr>
          <w:rFonts w:ascii="IRNazanin" w:hAnsi="IRNazanin" w:eastAsia="IRNazanin" w:cs="IRNazanin"/>
          <w:lang w:bidi="fa-IR"/>
          <w:color w:val="111111"/>
          <w:sz w:val="28"/>
          <w:szCs w:val="28"/>
          <w:rtl/>
        </w:rPr>
        <w:t xml:space="preserve">ج 11، ص 336.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قواعد فن العربية (منظومة في ) :</w:t>
      </w:r>
    </w:p>
    <w:p>
      <w:pPr>
        <w:pStyle w:val="BookText"/>
      </w:pPr>
      <w:r>
        <w:rPr>
          <w:rFonts w:ascii="Amiri" w:hAnsi="Amiri" w:eastAsia="Amiri" w:cs="Amiri"/>
          <w:lang w:bidi="ar-SA"/>
          <w:color w:val="111111"/>
          <w:sz w:val="28"/>
          <w:szCs w:val="28"/>
          <w:rtl/>
        </w:rPr>
        <w:t xml:space="preserve">منظومة في قواعد فن العربية</w:t>
      </w:r>
    </w:p>
    <w:p>
      <w:pPr>
        <w:pStyle w:val="BookText"/>
      </w:pPr>
      <w:r>
        <w:rPr>
          <w:rFonts w:ascii="IRNazanin" w:hAnsi="IRNazanin" w:eastAsia="IRNazanin" w:cs="IRNazanin"/>
          <w:lang w:bidi="fa-IR"/>
          <w:color w:val="111111"/>
          <w:sz w:val="28"/>
          <w:szCs w:val="28"/>
          <w:rtl/>
        </w:rPr>
        <w:t xml:space="preserve">ج 12، ص 798.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07" w:name="pg7742_70592"/>
    <w:bookmarkEnd w:id="607"/>
    <w:p>
      <w:pPr>
        <w:pStyle w:val="BookText"/>
      </w:pPr>
      <w:r>
        <w:rPr>
          <w:rFonts w:ascii="Amiri" w:hAnsi="Amiri" w:eastAsia="Amiri" w:cs="Amiri"/>
          <w:lang w:bidi="ar-SA"/>
          <w:color w:val="111111"/>
          <w:sz w:val="28"/>
          <w:szCs w:val="28"/>
          <w:rtl/>
        </w:rPr>
        <w:t xml:space="preserve">شبر بن محمّد موسوي حويزي فخاري -موسوي حويزي ، شبر بن محمّد</w:t>
      </w:r>
    </w:p>
    <w:p>
      <w:pPr>
        <w:pStyle w:val="Heading2"/>
      </w:pPr>
      <w:bookmarkStart w:id="5089" w:name="_Toc4191"/>
      <w:r>
        <w:t>شبر حسيني ، عبد الصاحب</w:t>
      </w:r>
      <w:bookmarkEnd w:id="5089"/>
    </w:p>
    <w:p>
      <w:pPr>
        <w:pStyle w:val="BookText"/>
      </w:pPr>
      <w:r>
        <w:rPr>
          <w:rFonts w:ascii="IRNazanin" w:hAnsi="IRNazanin" w:eastAsia="IRNazanin" w:cs="IRNazanin"/>
          <w:lang w:bidi="fa-IR"/>
          <w:color w:val="111111"/>
          <w:sz w:val="28"/>
          <w:szCs w:val="28"/>
          <w:rtl/>
        </w:rPr>
        <w:t xml:space="preserve">مقتطف الازهار، ج 15 ، ص 333.</w:t>
      </w:r>
    </w:p>
    <w:p>
      <w:pPr>
        <w:pStyle w:val="Heading2"/>
      </w:pPr>
      <w:bookmarkStart w:id="5090" w:name="_Toc4192"/>
      <w:r>
        <w:t>شير حسيني ، علي بن محمّد قرن 14 ه-</w:t>
      </w:r>
      <w:bookmarkEnd w:id="5090"/>
    </w:p>
    <w:p>
      <w:pPr>
        <w:pStyle w:val="BookText"/>
      </w:pPr>
      <w:r>
        <w:rPr>
          <w:rFonts w:ascii="Amiri" w:hAnsi="Amiri" w:eastAsia="Amiri" w:cs="Amiri"/>
          <w:lang w:bidi="ar-SA"/>
          <w:color w:val="111111"/>
          <w:sz w:val="28"/>
          <w:szCs w:val="28"/>
          <w:rtl/>
        </w:rPr>
        <w:t xml:space="preserve">1 .السوانح الحيدرابادية، ج8، ص 860.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العمل الابقي في شرح العروة الوثقى، ج 11، ص310.</w:t>
      </w:r>
    </w:p>
    <w:p>
      <w:pPr>
        <w:pStyle w:val="Heading2"/>
      </w:pPr>
      <w:bookmarkStart w:id="5091" w:name="_Toc4193"/>
      <w:r>
        <w:t>شبرخيتي ، ابراهيم بن مرعي - 1106ه-</w:t>
      </w:r>
      <w:bookmarkEnd w:id="5091"/>
    </w:p>
    <w:p>
      <w:pPr>
        <w:pStyle w:val="BookText"/>
      </w:pPr>
      <w:r>
        <w:rPr>
          <w:rFonts w:ascii="Amiri" w:hAnsi="Amiri" w:eastAsia="Amiri" w:cs="Amiri"/>
          <w:lang w:bidi="ar-SA"/>
          <w:color w:val="111111"/>
          <w:sz w:val="28"/>
          <w:szCs w:val="28"/>
          <w:rtl/>
        </w:rPr>
        <w:t xml:space="preserve">الفتوحات الوهبية بشرح الاربعين النووية = الفتوحات الالهية بشرح الاربعين النووية، ج11، ص711.</w:t>
      </w:r>
    </w:p>
    <w:p>
      <w:pPr>
        <w:pStyle w:val="Heading2"/>
      </w:pPr>
      <w:bookmarkStart w:id="5092" w:name="_Toc4194"/>
      <w:r>
        <w:t>شبر ، عباس بن محمّد قرن 14 ه-</w:t>
      </w:r>
      <w:bookmarkEnd w:id="5092"/>
    </w:p>
    <w:p>
      <w:pPr>
        <w:pStyle w:val="BookText"/>
      </w:pPr>
      <w:r>
        <w:rPr>
          <w:rFonts w:ascii="Amiri" w:hAnsi="Amiri" w:eastAsia="Amiri" w:cs="Amiri"/>
          <w:lang w:bidi="ar-SA"/>
          <w:color w:val="111111"/>
          <w:sz w:val="28"/>
          <w:szCs w:val="28"/>
          <w:rtl/>
        </w:rPr>
        <w:t xml:space="preserve">ترجمة السيد عبدالله شبر، ج 4،</w:t>
      </w:r>
    </w:p>
    <w:p>
      <w:pPr>
        <w:pStyle w:val="BookText"/>
      </w:pPr>
      <w:r>
        <w:rPr>
          <w:rFonts w:ascii="IRNazanin" w:hAnsi="IRNazanin" w:eastAsia="IRNazanin" w:cs="IRNazanin"/>
          <w:lang w:bidi="fa-IR"/>
          <w:color w:val="111111"/>
          <w:sz w:val="28"/>
          <w:szCs w:val="28"/>
          <w:rtl/>
        </w:rPr>
        <w:t xml:space="preserve">ص 275</w:t>
      </w:r>
    </w:p>
    <w:p>
      <w:pPr>
        <w:pStyle w:val="Heading2"/>
      </w:pPr>
      <w:bookmarkStart w:id="5093" w:name="_Toc4195"/>
      <w:r>
        <w:t>شبر ، عبدالرضا بن محمّد علي</w:t>
      </w:r>
      <w:bookmarkEnd w:id="5093"/>
    </w:p>
    <w:p>
      <w:pPr>
        <w:pStyle w:val="BookText"/>
      </w:pPr>
      <w:r>
        <w:rPr>
          <w:rFonts w:ascii="Amiri" w:hAnsi="Amiri" w:eastAsia="Amiri" w:cs="Amiri"/>
          <w:lang w:bidi="ar-SA"/>
          <w:color w:val="111111"/>
          <w:sz w:val="28"/>
          <w:szCs w:val="28"/>
          <w:rtl/>
        </w:rPr>
        <w:t xml:space="preserve">دليل الزائرين، ج7، ص 466.</w:t>
      </w:r>
    </w:p>
    <w:p>
      <w:pPr>
        <w:pStyle w:val="BookText"/>
      </w:pPr>
      <w:r>
        <w:rPr>
          <w:rFonts w:ascii="IRNazanin" w:hAnsi="IRNazanin" w:eastAsia="IRNazanin" w:cs="IRNazanin"/>
          <w:lang w:bidi="fa-IR"/>
          <w:color w:val="111111"/>
          <w:sz w:val="28"/>
          <w:szCs w:val="28"/>
          <w:rtl/>
        </w:rPr>
        <w:t xml:space="preserve">شبر ، عبدالله -شبر ، عبدالله بن محمّد رضا</w:t>
      </w:r>
    </w:p>
    <w:p>
      <w:pPr>
        <w:pStyle w:val="Heading2"/>
      </w:pPr>
      <w:bookmarkStart w:id="5094" w:name="_Toc4196"/>
      <w:r>
        <w:t>شبر ، عبدالله بن محمّد رضا، 1188 -</w:t>
      </w:r>
      <w:bookmarkEnd w:id="5094"/>
    </w:p>
    <w:p>
      <w:pPr>
        <w:pStyle w:val="BookText"/>
      </w:pPr>
      <w:r>
        <w:rPr>
          <w:rFonts w:ascii="IRNazanin" w:hAnsi="IRNazanin" w:eastAsia="IRNazanin" w:cs="IRNazanin"/>
          <w:lang w:bidi="fa-IR"/>
          <w:color w:val="111111"/>
          <w:sz w:val="28"/>
          <w:szCs w:val="28"/>
          <w:rtl/>
        </w:rPr>
        <w:t xml:space="preserve">1242ه-</w:t>
      </w:r>
    </w:p>
    <w:p>
      <w:pPr>
        <w:pStyle w:val="BookText"/>
      </w:pPr>
      <w:r>
        <w:rPr>
          <w:rFonts w:ascii="Amiri" w:hAnsi="Amiri" w:eastAsia="Amiri" w:cs="Amiri"/>
          <w:lang w:bidi="ar-SA"/>
          <w:color w:val="111111"/>
          <w:sz w:val="28"/>
          <w:szCs w:val="28"/>
          <w:rtl/>
        </w:rPr>
        <w:t xml:space="preserve">1 .أحسن التقويم، ج1، ص 446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اخلاق، ج 1، ص 571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الاخلاق، ج1، ص 571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الاصول الاصلية و القواعد الشرعية</w:t>
      </w:r>
    </w:p>
    <w:p>
      <w:pPr>
        <w:pStyle w:val="BookText"/>
      </w:pPr>
      <w:r>
        <w:rPr>
          <w:rFonts w:ascii="IRNazanin" w:hAnsi="IRNazanin" w:eastAsia="IRNazanin" w:cs="IRNazanin"/>
          <w:lang w:bidi="fa-IR"/>
          <w:color w:val="111111"/>
          <w:sz w:val="28"/>
          <w:szCs w:val="28"/>
          <w:rtl/>
        </w:rPr>
        <w:t xml:space="preserve">ج 2، ص 403 .</w:t>
      </w:r>
    </w:p>
    <w:p>
      <w:pPr>
        <w:pStyle w:val="BookText"/>
      </w:pPr>
      <w:r>
        <w:rPr>
          <w:rFonts w:ascii="Amiri" w:hAnsi="Amiri" w:eastAsia="Amiri" w:cs="Amiri"/>
          <w:lang w:bidi="ar-SA"/>
          <w:color w:val="111111"/>
          <w:sz w:val="28"/>
          <w:szCs w:val="28"/>
          <w:rtl/>
        </w:rPr>
        <w:t xml:space="preserve">5 .اصول الدين (رسالة في)، ج2،</w:t>
      </w:r>
    </w:p>
    <w:p>
      <w:pPr>
        <w:pStyle w:val="BookText"/>
      </w:pPr>
      <w:r>
        <w:rPr>
          <w:rFonts w:ascii="IRNazanin" w:hAnsi="IRNazanin" w:eastAsia="IRNazanin" w:cs="IRNazanin"/>
          <w:lang w:bidi="fa-IR"/>
          <w:color w:val="111111"/>
          <w:sz w:val="28"/>
          <w:szCs w:val="28"/>
          <w:rtl/>
        </w:rPr>
        <w:t xml:space="preserve">ص 416.</w:t>
      </w:r>
    </w:p>
    <w:p>
      <w:pPr>
        <w:pStyle w:val="BookText"/>
      </w:pPr>
      <w:r>
        <w:rPr>
          <w:rFonts w:ascii="Amiri" w:hAnsi="Amiri" w:eastAsia="Amiri" w:cs="Amiri"/>
          <w:lang w:bidi="ar-SA"/>
          <w:color w:val="111111"/>
          <w:sz w:val="28"/>
          <w:szCs w:val="28"/>
          <w:rtl/>
        </w:rPr>
        <w:t xml:space="preserve">6 .اعمال اليوم والليلة = اعمال</w:t>
      </w:r>
    </w:p>
    <w:p>
      <w:pPr>
        <w:pStyle w:val="BookText"/>
      </w:pPr>
      <w:r>
        <w:rPr>
          <w:rFonts w:ascii="IRNazanin" w:hAnsi="IRNazanin" w:eastAsia="IRNazanin" w:cs="IRNazanin"/>
          <w:lang w:bidi="fa-IR"/>
          <w:color w:val="111111"/>
          <w:sz w:val="28"/>
          <w:szCs w:val="28"/>
          <w:rtl/>
        </w:rPr>
        <w:t xml:space="preserve">الاسبوع، ج 2، ص 574.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انوار الساعة = الانوار الساطعة في</w:t>
      </w:r>
    </w:p>
    <w:p>
      <w:pPr>
        <w:pStyle w:val="BookText"/>
      </w:pPr>
      <w:r>
        <w:rPr>
          <w:rFonts w:ascii="Amiri" w:hAnsi="Amiri" w:eastAsia="Amiri" w:cs="Amiri"/>
          <w:lang w:bidi="ar-SA"/>
          <w:color w:val="111111"/>
          <w:sz w:val="28"/>
          <w:szCs w:val="28"/>
          <w:rtl/>
        </w:rPr>
        <w:t xml:space="preserve">العلوم الاربعة، ج 3، ص1.</w:t>
      </w:r>
    </w:p>
    <w:p>
      <w:pPr>
        <w:pStyle w:val="BookText"/>
      </w:pPr>
      <w:r>
        <w:rPr>
          <w:rFonts w:ascii="Amiri" w:hAnsi="Amiri" w:eastAsia="Amiri" w:cs="Amiri"/>
          <w:lang w:bidi="ar-SA"/>
          <w:color w:val="111111"/>
          <w:sz w:val="28"/>
          <w:szCs w:val="28"/>
          <w:rtl/>
        </w:rPr>
        <w:t xml:space="preserve">8 .الانوار اللامعة = اللامعة في شرح</w:t>
      </w:r>
    </w:p>
    <w:p>
      <w:pPr>
        <w:pStyle w:val="BookText"/>
      </w:pPr>
      <w:r>
        <w:rPr>
          <w:rFonts w:ascii="Amiri" w:hAnsi="Amiri" w:eastAsia="Amiri" w:cs="Amiri"/>
          <w:lang w:bidi="ar-SA"/>
          <w:color w:val="111111"/>
          <w:sz w:val="28"/>
          <w:szCs w:val="28"/>
          <w:rtl/>
        </w:rPr>
        <w:t xml:space="preserve">الجامعة = شرح زيارة الجامعة</w:t>
      </w:r>
    </w:p>
    <w:p>
      <w:pPr>
        <w:pStyle w:val="BookText"/>
      </w:pPr>
      <w:r>
        <w:rPr>
          <w:rFonts w:ascii="IRNazanin" w:hAnsi="IRNazanin" w:eastAsia="IRNazanin" w:cs="IRNazanin"/>
          <w:lang w:bidi="fa-IR"/>
          <w:color w:val="111111"/>
          <w:sz w:val="28"/>
          <w:szCs w:val="28"/>
          <w:rtl/>
        </w:rPr>
        <w:t xml:space="preserve">ج 3، ص 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انيس الزائرين في زيارة النبي و</w:t>
      </w:r>
    </w:p>
    <w:p>
      <w:pPr>
        <w:pStyle w:val="BookText"/>
      </w:pPr>
      <w:r>
        <w:rPr>
          <w:rFonts w:ascii="Amiri" w:hAnsi="Amiri" w:eastAsia="Amiri" w:cs="Amiri"/>
          <w:lang w:bidi="ar-SA"/>
          <w:color w:val="111111"/>
          <w:sz w:val="28"/>
          <w:szCs w:val="28"/>
          <w:rtl/>
        </w:rPr>
        <w:t xml:space="preserve">الائمة الطاهرين، ج 3، ص 35.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البرهان المبين في اصول الدين البلاغ المبين في اصول الدين، ج3،</w:t>
      </w:r>
    </w:p>
    <w:p>
      <w:pPr>
        <w:pStyle w:val="BookText"/>
      </w:pPr>
      <w:r>
        <w:rPr>
          <w:rFonts w:ascii="IRNazanin" w:hAnsi="IRNazanin" w:eastAsia="IRNazanin" w:cs="IRNazanin"/>
          <w:lang w:bidi="fa-IR"/>
          <w:color w:val="111111"/>
          <w:sz w:val="28"/>
          <w:szCs w:val="28"/>
          <w:rtl/>
        </w:rPr>
        <w:t xml:space="preserve">ص 318.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تحية الزائر ، ج 4، ص 87.</w:t>
      </w:r>
    </w:p>
    <w:p>
      <w:pPr>
        <w:pStyle w:val="BookText"/>
      </w:pPr>
      <w:r>
        <w:rPr>
          <w:rFonts w:ascii="Amiri" w:hAnsi="Amiri" w:eastAsia="Amiri" w:cs="Amiri"/>
          <w:lang w:bidi="ar-SA"/>
          <w:color w:val="111111"/>
          <w:sz w:val="28"/>
          <w:szCs w:val="28"/>
          <w:rtl/>
        </w:rPr>
        <w:t xml:space="preserve">12 .تسلية الحزين في فقد العافية و</w:t>
      </w:r>
    </w:p>
    <w:p>
      <w:pPr>
        <w:pStyle w:val="BookText"/>
      </w:pPr>
      <w:r>
        <w:rPr>
          <w:rFonts w:ascii="Amiri" w:hAnsi="Amiri" w:eastAsia="Amiri" w:cs="Amiri"/>
          <w:lang w:bidi="ar-SA"/>
          <w:color w:val="111111"/>
          <w:sz w:val="28"/>
          <w:szCs w:val="28"/>
          <w:rtl/>
        </w:rPr>
        <w:t xml:space="preserve">الاحباب و البنين ج4، ص 342.</w:t>
      </w:r>
    </w:p>
    <w:p>
      <w:pPr>
        <w:pStyle w:val="BookText"/>
      </w:pPr>
      <w:r>
        <w:rPr>
          <w:rFonts w:ascii="Amiri" w:hAnsi="Amiri" w:eastAsia="Amiri" w:cs="Amiri"/>
          <w:lang w:bidi="ar-SA"/>
          <w:color w:val="111111"/>
          <w:sz w:val="28"/>
          <w:szCs w:val="28"/>
          <w:rtl/>
        </w:rPr>
        <w:t xml:space="preserve">13 .جامع المعارف والاحكام = جامع الاحكام = جامع الشرايع و الاحكام جامع الاخبار = جامع الاحكام</w:t>
      </w:r>
    </w:p>
    <w:p>
      <w:pPr>
        <w:pStyle w:val="BookText"/>
      </w:pPr>
      <w:r>
        <w:rPr>
          <w:rFonts w:ascii="Amiri" w:hAnsi="Amiri" w:eastAsia="Amiri" w:cs="Amiri"/>
          <w:lang w:bidi="ar-SA"/>
          <w:color w:val="111111"/>
          <w:sz w:val="28"/>
          <w:szCs w:val="28"/>
          <w:rtl/>
        </w:rPr>
        <w:t xml:space="preserve">في مسائل الحلال والحرام، ج،</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Amiri" w:hAnsi="Amiri" w:eastAsia="Amiri" w:cs="Amiri"/>
          <w:lang w:bidi="ar-SA"/>
          <w:color w:val="111111"/>
          <w:sz w:val="28"/>
          <w:szCs w:val="28"/>
          <w:rtl/>
        </w:rPr>
        <w:t xml:space="preserve">14 .جلاء العيون في تاريخ النبي و</w:t>
      </w:r>
    </w:p>
    <w:p>
      <w:pPr>
        <w:pStyle w:val="BookText"/>
      </w:pPr>
      <w:r>
        <w:rPr>
          <w:rFonts w:ascii="Amiri" w:hAnsi="Amiri" w:eastAsia="Amiri" w:cs="Amiri"/>
          <w:lang w:bidi="ar-SA"/>
          <w:color w:val="111111"/>
          <w:sz w:val="28"/>
          <w:szCs w:val="28"/>
          <w:rtl/>
        </w:rPr>
        <w:t xml:space="preserve">الأئمة، ج 5، ص 411.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جلاء العيون (منتخب)، ج5،</w:t>
      </w:r>
    </w:p>
    <w:p>
      <w:pPr>
        <w:pStyle w:val="BookText"/>
      </w:pPr>
      <w:r>
        <w:rPr>
          <w:rFonts w:ascii="IRNazanin" w:hAnsi="IRNazanin" w:eastAsia="IRNazanin" w:cs="IRNazanin"/>
          <w:lang w:bidi="fa-IR"/>
          <w:color w:val="111111"/>
          <w:sz w:val="28"/>
          <w:szCs w:val="28"/>
          <w:rtl/>
        </w:rPr>
        <w:t xml:space="preserve">ص 410.</w:t>
      </w:r>
    </w:p>
    <w:p>
      <w:pPr>
        <w:pStyle w:val="BookText"/>
      </w:pPr>
      <w:r>
        <w:rPr>
          <w:rFonts w:ascii="Amiri" w:hAnsi="Amiri" w:eastAsia="Amiri" w:cs="Amiri"/>
          <w:lang w:bidi="ar-SA"/>
          <w:color w:val="111111"/>
          <w:sz w:val="28"/>
          <w:szCs w:val="28"/>
          <w:rtl/>
        </w:rPr>
        <w:t xml:space="preserve">16 .جواز العمل بالظن (رسالة في)</w:t>
      </w:r>
    </w:p>
    <w:p>
      <w:pPr>
        <w:pStyle w:val="BookText"/>
      </w:pPr>
      <w:r>
        <w:rPr>
          <w:rFonts w:ascii="IRNazanin" w:hAnsi="IRNazanin" w:eastAsia="IRNazanin" w:cs="IRNazanin"/>
          <w:lang w:bidi="fa-IR"/>
          <w:color w:val="111111"/>
          <w:sz w:val="28"/>
          <w:szCs w:val="28"/>
          <w:rtl/>
        </w:rPr>
        <w:t xml:space="preserve">ج 5، ص 518.</w:t>
      </w:r>
    </w:p>
    <w:p>
      <w:pPr>
        <w:pStyle w:val="BookText"/>
      </w:pPr>
      <w:r>
        <w:rPr>
          <w:rFonts w:ascii="Amiri" w:hAnsi="Amiri" w:eastAsia="Amiri" w:cs="Amiri"/>
          <w:lang w:bidi="ar-SA"/>
          <w:color w:val="111111"/>
          <w:sz w:val="28"/>
          <w:szCs w:val="28"/>
          <w:rtl/>
        </w:rPr>
        <w:t xml:space="preserve">17 .الجوهر الثمين في تفسير القرآن</w:t>
      </w:r>
    </w:p>
    <w:p>
      <w:pPr>
        <w:pStyle w:val="BookText"/>
      </w:pPr>
      <w:r>
        <w:rPr>
          <w:rFonts w:ascii="Amiri" w:hAnsi="Amiri" w:eastAsia="Amiri" w:cs="Amiri"/>
          <w:lang w:bidi="ar-SA"/>
          <w:color w:val="111111"/>
          <w:sz w:val="28"/>
          <w:szCs w:val="28"/>
          <w:rtl/>
        </w:rPr>
        <w:t xml:space="preserve">المبين، ج 5، ص 619 .</w:t>
      </w:r>
    </w:p>
    <w:p>
      <w:pPr>
        <w:pStyle w:val="BookText"/>
      </w:pPr>
      <w:r>
        <w:rPr>
          <w:rFonts w:ascii="Amiri" w:hAnsi="Amiri" w:eastAsia="Amiri" w:cs="Amiri"/>
          <w:lang w:bidi="ar-SA"/>
          <w:color w:val="111111"/>
          <w:sz w:val="28"/>
          <w:szCs w:val="28"/>
          <w:rtl/>
        </w:rPr>
        <w:t xml:space="preserve">18 .حديقة العارفين وحظيرة</w:t>
      </w:r>
    </w:p>
    <w:p>
      <w:pPr>
        <w:pStyle w:val="BookText"/>
      </w:pPr>
      <w:r>
        <w:rPr>
          <w:rFonts w:ascii="Amiri" w:hAnsi="Amiri" w:eastAsia="Amiri" w:cs="Amiri"/>
          <w:lang w:bidi="ar-SA"/>
          <w:color w:val="111111"/>
          <w:sz w:val="28"/>
          <w:szCs w:val="28"/>
          <w:rtl/>
        </w:rPr>
        <w:t xml:space="preserve">السالكين، ج6 ، ص 590.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08" w:name="pg7742_70593"/>
    <w:bookmarkEnd w:id="608"/>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حق اليقين في معرفة رب العالمين</w:t>
      </w:r>
    </w:p>
    <w:p>
      <w:pPr>
        <w:pStyle w:val="BookText"/>
      </w:pPr>
      <w:r>
        <w:rPr>
          <w:rFonts w:ascii="IRNazanin" w:hAnsi="IRNazanin" w:eastAsia="IRNazanin" w:cs="IRNazanin"/>
          <w:lang w:bidi="fa-IR"/>
          <w:color w:val="111111"/>
          <w:sz w:val="28"/>
          <w:szCs w:val="28"/>
          <w:rtl/>
        </w:rPr>
        <w:t xml:space="preserve">ج 6، ص 703 .</w:t>
      </w:r>
    </w:p>
    <w:p>
      <w:pPr>
        <w:pStyle w:val="BookText"/>
      </w:pPr>
      <w:r>
        <w:rPr>
          <w:rFonts w:ascii="Amiri" w:hAnsi="Amiri" w:eastAsia="Amiri" w:cs="Amiri"/>
          <w:lang w:bidi="ar-SA"/>
          <w:color w:val="111111"/>
          <w:sz w:val="28"/>
          <w:szCs w:val="28"/>
          <w:rtl/>
        </w:rPr>
        <w:t xml:space="preserve">20 .خلاصة التكليف، ج 7، ص89.</w:t>
      </w:r>
    </w:p>
    <w:p>
      <w:pPr>
        <w:pStyle w:val="BookText"/>
      </w:pPr>
      <w:r>
        <w:rPr>
          <w:rFonts w:ascii="Amiri" w:hAnsi="Amiri" w:eastAsia="Amiri" w:cs="Amiri"/>
          <w:lang w:bidi="ar-SA"/>
          <w:color w:val="111111"/>
          <w:sz w:val="28"/>
          <w:szCs w:val="28"/>
          <w:rtl/>
        </w:rPr>
        <w:t xml:space="preserve">21 .روضة العابدين - اعمال الشهور</w:t>
      </w:r>
    </w:p>
    <w:p>
      <w:pPr>
        <w:pStyle w:val="BookText"/>
      </w:pPr>
      <w:r>
        <w:rPr>
          <w:rFonts w:ascii="IRNazanin" w:hAnsi="IRNazanin" w:eastAsia="IRNazanin" w:cs="IRNazanin"/>
          <w:lang w:bidi="fa-IR"/>
          <w:color w:val="111111"/>
          <w:sz w:val="28"/>
          <w:szCs w:val="28"/>
          <w:rtl/>
        </w:rPr>
        <w:t xml:space="preserve">ج 8، ص 444.</w:t>
      </w:r>
    </w:p>
    <w:p>
      <w:pPr>
        <w:pStyle w:val="BookText"/>
      </w:pPr>
      <w:r>
        <w:rPr>
          <w:rFonts w:ascii="IRNazanin" w:hAnsi="IRNazanin" w:eastAsia="IRNazanin" w:cs="IRNazanin"/>
          <w:lang w:bidi="fa-IR"/>
          <w:color w:val="111111"/>
          <w:sz w:val="28"/>
          <w:szCs w:val="28"/>
          <w:rtl/>
        </w:rPr>
        <w:t xml:space="preserve">22 .زاد الزائر، ج8، ص 526.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سلاح العابدين و انيس الذاكرين معراج العابدين و انیس</w:t>
      </w:r>
    </w:p>
    <w:p>
      <w:pPr>
        <w:pStyle w:val="BookText"/>
      </w:pPr>
      <w:r>
        <w:rPr>
          <w:rFonts w:ascii="Amiri" w:hAnsi="Amiri" w:eastAsia="Amiri" w:cs="Amiri"/>
          <w:lang w:bidi="ar-SA"/>
          <w:color w:val="111111"/>
          <w:sz w:val="28"/>
          <w:szCs w:val="28"/>
          <w:rtl/>
        </w:rPr>
        <w:t xml:space="preserve">الذاكرين، ج8، ص792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شرح الحقائق، ج9، ص 414.</w:t>
      </w:r>
    </w:p>
    <w:p>
      <w:pPr>
        <w:pStyle w:val="BookText"/>
      </w:pPr>
      <w:r>
        <w:rPr>
          <w:rFonts w:ascii="Amiri" w:hAnsi="Amiri" w:eastAsia="Amiri" w:cs="Amiri"/>
          <w:lang w:bidi="ar-SA"/>
          <w:color w:val="111111"/>
          <w:sz w:val="28"/>
          <w:szCs w:val="28"/>
          <w:rtl/>
        </w:rPr>
        <w:t xml:space="preserve">25 .شرح نهج البلاغة، ج 10، ص 300.</w:t>
      </w:r>
    </w:p>
    <w:p>
      <w:pPr>
        <w:pStyle w:val="BookText"/>
      </w:pPr>
      <w:r>
        <w:rPr>
          <w:rFonts w:ascii="Amiri" w:hAnsi="Amiri" w:eastAsia="Amiri" w:cs="Amiri"/>
          <w:lang w:bidi="ar-SA"/>
          <w:color w:val="111111"/>
          <w:sz w:val="28"/>
          <w:szCs w:val="28"/>
          <w:rtl/>
        </w:rPr>
        <w:t xml:space="preserve">26 .ضياء الثقلين ومطلع النيرين =</w:t>
      </w:r>
    </w:p>
    <w:p>
      <w:pPr>
        <w:pStyle w:val="BookText"/>
      </w:pPr>
      <w:r>
        <w:rPr>
          <w:rFonts w:ascii="Amiri" w:hAnsi="Amiri" w:eastAsia="Amiri" w:cs="Amiri"/>
          <w:lang w:bidi="ar-SA"/>
          <w:color w:val="111111"/>
          <w:sz w:val="28"/>
          <w:szCs w:val="28"/>
          <w:rtl/>
        </w:rPr>
        <w:t xml:space="preserve">مطلع النيرين، ج 10، ص712.</w:t>
      </w:r>
    </w:p>
    <w:p>
      <w:pPr>
        <w:pStyle w:val="BookText"/>
      </w:pPr>
      <w:r>
        <w:rPr>
          <w:rFonts w:ascii="Amiri" w:hAnsi="Amiri" w:eastAsia="Amiri" w:cs="Amiri"/>
          <w:lang w:bidi="ar-SA"/>
          <w:color w:val="111111"/>
          <w:sz w:val="28"/>
          <w:szCs w:val="28"/>
          <w:rtl/>
        </w:rPr>
        <w:t xml:space="preserve">27 .طب الائمة (ع) ، ج 10، ص 760.</w:t>
      </w:r>
    </w:p>
    <w:p>
      <w:pPr>
        <w:pStyle w:val="BookText"/>
      </w:pPr>
      <w:r>
        <w:rPr>
          <w:rFonts w:ascii="IRNazanin" w:hAnsi="IRNazanin" w:eastAsia="IRNazanin" w:cs="IRNazanin"/>
          <w:lang w:bidi="fa-IR"/>
          <w:color w:val="111111"/>
          <w:sz w:val="28"/>
          <w:szCs w:val="28"/>
          <w:rtl/>
        </w:rPr>
        <w:t xml:space="preserve">28 .عجائب الاخبار، ج 11، ص30.</w:t>
      </w:r>
    </w:p>
    <w:p>
      <w:pPr>
        <w:pStyle w:val="BookText"/>
      </w:pPr>
      <w:r>
        <w:rPr>
          <w:rFonts w:ascii="IRNazanin" w:hAnsi="IRNazanin" w:eastAsia="IRNazanin" w:cs="IRNazanin"/>
          <w:lang w:bidi="fa-IR"/>
          <w:color w:val="111111"/>
          <w:sz w:val="28"/>
          <w:szCs w:val="28"/>
          <w:rtl/>
        </w:rPr>
        <w:t xml:space="preserve">29 .العقائد، ج 11، ص 134.</w:t>
      </w:r>
    </w:p>
    <w:p>
      <w:pPr>
        <w:pStyle w:val="BookText"/>
      </w:pPr>
      <w:r>
        <w:rPr>
          <w:rFonts w:ascii="IRNazanin" w:hAnsi="IRNazanin" w:eastAsia="IRNazanin" w:cs="IRNazanin"/>
          <w:lang w:bidi="fa-IR"/>
          <w:color w:val="111111"/>
          <w:sz w:val="28"/>
          <w:szCs w:val="28"/>
          <w:rtl/>
        </w:rPr>
        <w:t xml:space="preserve">30 .علامات الظهور، ج 11، ص218.</w:t>
      </w:r>
    </w:p>
    <w:p>
      <w:pPr>
        <w:pStyle w:val="BookText"/>
      </w:pPr>
      <w:r>
        <w:rPr>
          <w:rFonts w:ascii="IRNazanin" w:hAnsi="IRNazanin" w:eastAsia="IRNazanin" w:cs="IRNazanin"/>
          <w:lang w:bidi="fa-IR"/>
          <w:color w:val="111111"/>
          <w:sz w:val="28"/>
          <w:szCs w:val="28"/>
          <w:rtl/>
        </w:rPr>
        <w:t xml:space="preserve">31 .غرائب الاخبار و نوادر الاثار</w:t>
      </w:r>
    </w:p>
    <w:p>
      <w:pPr>
        <w:pStyle w:val="BookText"/>
      </w:pPr>
      <w:r>
        <w:rPr>
          <w:rFonts w:ascii="IRNazanin" w:hAnsi="IRNazanin" w:eastAsia="IRNazanin" w:cs="IRNazanin"/>
          <w:lang w:bidi="fa-IR"/>
          <w:color w:val="111111"/>
          <w:sz w:val="28"/>
          <w:szCs w:val="28"/>
          <w:rtl/>
        </w:rPr>
        <w:t xml:space="preserve">ج 11، ص 463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فقه، ج12، ص 47.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قصص الانبياء، ج 12، ص 624.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كشف المحجة في شرح خطبة اللمة = شرح خطبة الزهراء عليها السلام = شرح اللمة، ج13،</w:t>
      </w:r>
    </w:p>
    <w:p>
      <w:pPr>
        <w:pStyle w:val="BookText"/>
      </w:pPr>
      <w:r>
        <w:rPr>
          <w:rFonts w:ascii="IRNazanin" w:hAnsi="IRNazanin" w:eastAsia="IRNazanin" w:cs="IRNazanin"/>
          <w:lang w:bidi="fa-IR"/>
          <w:color w:val="111111"/>
          <w:sz w:val="28"/>
          <w:szCs w:val="28"/>
          <w:rtl/>
        </w:rPr>
        <w:t xml:space="preserve">ص 263 .</w:t>
      </w:r>
    </w:p>
    <w:p>
      <w:pPr>
        <w:pStyle w:val="BookText"/>
      </w:pPr>
      <w:r>
        <w:rPr>
          <w:rFonts w:ascii="Amiri" w:hAnsi="Amiri" w:eastAsia="Amiri" w:cs="Amiri"/>
          <w:lang w:bidi="ar-SA"/>
          <w:color w:val="111111"/>
          <w:sz w:val="28"/>
          <w:szCs w:val="28"/>
          <w:rtl/>
        </w:rPr>
        <w:t xml:space="preserve">35 .مذكرات السيّد عبدالله شبر، ج 14،</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Amiri" w:hAnsi="Amiri" w:eastAsia="Amiri" w:cs="Amiri"/>
          <w:lang w:bidi="ar-SA"/>
          <w:color w:val="111111"/>
          <w:sz w:val="28"/>
          <w:szCs w:val="28"/>
          <w:rtl/>
        </w:rPr>
        <w:t xml:space="preserve">36 .مصابيح الانوار في حل مشكلات</w:t>
      </w:r>
    </w:p>
    <w:p>
      <w:pPr>
        <w:pStyle w:val="BookText"/>
      </w:pPr>
      <w:r>
        <w:rPr>
          <w:rFonts w:ascii="IRNazanin" w:hAnsi="IRNazanin" w:eastAsia="IRNazanin" w:cs="IRNazanin"/>
          <w:lang w:bidi="fa-IR"/>
          <w:color w:val="111111"/>
          <w:sz w:val="28"/>
          <w:szCs w:val="28"/>
          <w:rtl/>
        </w:rPr>
        <w:t xml:space="preserve">الاخبار، ج 14 ، ص 665.</w:t>
      </w:r>
    </w:p>
    <w:p>
      <w:pPr>
        <w:pStyle w:val="BookText"/>
      </w:pPr>
      <w:r>
        <w:rPr>
          <w:rFonts w:ascii="Amiri" w:hAnsi="Amiri" w:eastAsia="Amiri" w:cs="Amiri"/>
          <w:lang w:bidi="ar-SA"/>
          <w:color w:val="111111"/>
          <w:sz w:val="28"/>
          <w:szCs w:val="28"/>
          <w:rtl/>
        </w:rPr>
        <w:t xml:space="preserve">37 .مصابيح الظلام في شرح مفاتيح</w:t>
      </w:r>
    </w:p>
    <w:p>
      <w:pPr>
        <w:pStyle w:val="BookText"/>
      </w:pPr>
      <w:r>
        <w:rPr>
          <w:rFonts w:ascii="IRNazanin" w:hAnsi="IRNazanin" w:eastAsia="IRNazanin" w:cs="IRNazanin"/>
          <w:lang w:bidi="fa-IR"/>
          <w:color w:val="111111"/>
          <w:sz w:val="28"/>
          <w:szCs w:val="28"/>
          <w:rtl/>
        </w:rPr>
        <w:t xml:space="preserve">شرایع الاسلام = شرح مفاتيح ج 14، ص 684.</w:t>
      </w:r>
    </w:p>
    <w:p>
      <w:pPr>
        <w:pStyle w:val="BookText"/>
      </w:pPr>
      <w:r>
        <w:rPr>
          <w:rFonts w:ascii="Amiri" w:hAnsi="Amiri" w:eastAsia="Amiri" w:cs="Amiri"/>
          <w:lang w:bidi="ar-SA"/>
          <w:color w:val="111111"/>
          <w:sz w:val="28"/>
          <w:szCs w:val="28"/>
          <w:rtl/>
        </w:rPr>
        <w:t xml:space="preserve">38 .المصباح الساطع في شرح مفاتيح.</w:t>
      </w:r>
    </w:p>
    <w:p>
      <w:pPr>
        <w:pStyle w:val="BookText"/>
      </w:pPr>
      <w:r>
        <w:rPr>
          <w:rFonts w:ascii="Amiri" w:hAnsi="Amiri" w:eastAsia="Amiri" w:cs="Amiri"/>
          <w:lang w:bidi="ar-SA"/>
          <w:color w:val="111111"/>
          <w:sz w:val="28"/>
          <w:szCs w:val="28"/>
          <w:rtl/>
        </w:rPr>
        <w:t xml:space="preserve">الشرايع، ج 14 ، ص 706.</w:t>
      </w:r>
    </w:p>
    <w:p>
      <w:pPr>
        <w:pStyle w:val="BookText"/>
      </w:pPr>
      <w:r>
        <w:rPr>
          <w:rFonts w:ascii="Amiri" w:hAnsi="Amiri" w:eastAsia="Amiri" w:cs="Amiri"/>
          <w:lang w:bidi="ar-SA"/>
          <w:color w:val="111111"/>
          <w:sz w:val="28"/>
          <w:szCs w:val="28"/>
          <w:rtl/>
        </w:rPr>
        <w:t xml:space="preserve">39 .معرفة الحكمتين = اسرار</w:t>
      </w:r>
    </w:p>
    <w:p>
      <w:pPr>
        <w:pStyle w:val="BookText"/>
      </w:pPr>
      <w:r>
        <w:rPr>
          <w:rFonts w:ascii="IRNazanin" w:hAnsi="IRNazanin" w:eastAsia="IRNazanin" w:cs="IRNazanin"/>
          <w:lang w:bidi="fa-IR"/>
          <w:color w:val="111111"/>
          <w:sz w:val="28"/>
          <w:szCs w:val="28"/>
          <w:rtl/>
        </w:rPr>
        <w:t xml:space="preserve">العبادات، ج 15 ، ص 54.</w:t>
      </w:r>
    </w:p>
    <w:p>
      <w:pPr>
        <w:pStyle w:val="BookText"/>
      </w:pPr>
      <w:r>
        <w:rPr>
          <w:rFonts w:ascii="Amiri" w:hAnsi="Amiri" w:eastAsia="Amiri" w:cs="Amiri"/>
          <w:lang w:bidi="ar-SA"/>
          <w:color w:val="111111"/>
          <w:sz w:val="28"/>
          <w:szCs w:val="28"/>
          <w:rtl/>
        </w:rPr>
        <w:t xml:space="preserve">40 .مفاتيح الصلاة، ج 15، ص 163.</w:t>
      </w:r>
    </w:p>
    <w:p>
      <w:pPr>
        <w:pStyle w:val="BookText"/>
      </w:pPr>
      <w:r>
        <w:rPr>
          <w:rFonts w:ascii="Amiri" w:hAnsi="Amiri" w:eastAsia="Amiri" w:cs="Amiri"/>
          <w:lang w:bidi="ar-SA"/>
          <w:color w:val="111111"/>
          <w:sz w:val="28"/>
          <w:szCs w:val="28"/>
          <w:rtl/>
        </w:rPr>
        <w:t xml:space="preserve">41 .ملخص جامع المعارف و الاحكام</w:t>
      </w:r>
    </w:p>
    <w:p>
      <w:pPr>
        <w:pStyle w:val="BookText"/>
      </w:pPr>
      <w:r>
        <w:rPr>
          <w:rFonts w:ascii="IRNazanin" w:hAnsi="IRNazanin" w:eastAsia="IRNazanin" w:cs="IRNazanin"/>
          <w:lang w:bidi="fa-IR"/>
          <w:color w:val="111111"/>
          <w:sz w:val="28"/>
          <w:szCs w:val="28"/>
          <w:rtl/>
        </w:rPr>
        <w:t xml:space="preserve">ج 15، ص 457.</w:t>
      </w:r>
    </w:p>
    <w:p>
      <w:pPr>
        <w:pStyle w:val="BookText"/>
      </w:pPr>
      <w:r>
        <w:rPr>
          <w:rFonts w:ascii="Amiri" w:hAnsi="Amiri" w:eastAsia="Amiri" w:cs="Amiri"/>
          <w:lang w:bidi="ar-SA"/>
          <w:color w:val="111111"/>
          <w:sz w:val="28"/>
          <w:szCs w:val="28"/>
          <w:rtl/>
        </w:rPr>
        <w:t xml:space="preserve">42 .منهج السالكين و زاد العارفين</w:t>
      </w:r>
    </w:p>
    <w:p>
      <w:pPr>
        <w:pStyle w:val="BookText"/>
      </w:pPr>
      <w:r>
        <w:rPr>
          <w:rFonts w:ascii="IRNazanin" w:hAnsi="IRNazanin" w:eastAsia="IRNazanin" w:cs="IRNazanin"/>
          <w:lang w:bidi="fa-IR"/>
          <w:color w:val="111111"/>
          <w:sz w:val="28"/>
          <w:szCs w:val="28"/>
          <w:rtl/>
        </w:rPr>
        <w:t xml:space="preserve">ج 15، ص 798.</w:t>
      </w:r>
    </w:p>
    <w:p>
      <w:pPr>
        <w:pStyle w:val="BookText"/>
      </w:pPr>
      <w:r>
        <w:rPr>
          <w:rFonts w:ascii="Amiri" w:hAnsi="Amiri" w:eastAsia="Amiri" w:cs="Amiri"/>
          <w:lang w:bidi="ar-SA"/>
          <w:color w:val="111111"/>
          <w:sz w:val="28"/>
          <w:szCs w:val="28"/>
          <w:rtl/>
        </w:rPr>
        <w:t xml:space="preserve">43 .منية المحصلين، ج 15، ص 829.</w:t>
      </w:r>
    </w:p>
    <w:p>
      <w:pPr>
        <w:pStyle w:val="BookText"/>
      </w:pPr>
      <w:r>
        <w:rPr>
          <w:rFonts w:ascii="Amiri" w:hAnsi="Amiri" w:eastAsia="Amiri" w:cs="Amiri"/>
          <w:lang w:bidi="ar-SA"/>
          <w:color w:val="111111"/>
          <w:sz w:val="28"/>
          <w:szCs w:val="28"/>
          <w:rtl/>
        </w:rPr>
        <w:t xml:space="preserve">44 .نجاة السالكين و زواد العارفين</w:t>
      </w:r>
    </w:p>
    <w:p>
      <w:pPr>
        <w:pStyle w:val="BookText"/>
      </w:pPr>
      <w:r>
        <w:rPr>
          <w:rFonts w:ascii="IRNazanin" w:hAnsi="IRNazanin" w:eastAsia="IRNazanin" w:cs="IRNazanin"/>
          <w:lang w:bidi="fa-IR"/>
          <w:color w:val="111111"/>
          <w:sz w:val="28"/>
          <w:szCs w:val="28"/>
          <w:rtl/>
        </w:rPr>
        <w:t xml:space="preserve">ج 16، ص 146 .</w:t>
      </w:r>
    </w:p>
    <w:p>
      <w:pPr>
        <w:pStyle w:val="BookText"/>
      </w:pPr>
      <w:r>
        <w:rPr>
          <w:rFonts w:ascii="Amiri" w:hAnsi="Amiri" w:eastAsia="Amiri" w:cs="Amiri"/>
          <w:lang w:bidi="ar-SA"/>
          <w:color w:val="111111"/>
          <w:sz w:val="28"/>
          <w:szCs w:val="28"/>
          <w:rtl/>
        </w:rPr>
        <w:t xml:space="preserve">45 .النفحة القدسية في احكام الصلاة</w:t>
      </w:r>
    </w:p>
    <w:p>
      <w:pPr>
        <w:pStyle w:val="BookText"/>
      </w:pPr>
      <w:r>
        <w:rPr>
          <w:rFonts w:ascii="Amiri" w:hAnsi="Amiri" w:eastAsia="Amiri" w:cs="Amiri"/>
          <w:lang w:bidi="ar-SA"/>
          <w:color w:val="111111"/>
          <w:sz w:val="28"/>
          <w:szCs w:val="28"/>
          <w:rtl/>
        </w:rPr>
        <w:t xml:space="preserve">اليومية، ج 16، ص 392.</w:t>
      </w:r>
    </w:p>
    <w:p>
      <w:pPr>
        <w:pStyle w:val="BookText"/>
      </w:pPr>
      <w:r>
        <w:rPr>
          <w:rFonts w:ascii="Amiri" w:hAnsi="Amiri" w:eastAsia="Amiri" w:cs="Amiri"/>
          <w:lang w:bidi="ar-SA"/>
          <w:color w:val="111111"/>
          <w:sz w:val="28"/>
          <w:szCs w:val="28"/>
          <w:rtl/>
        </w:rPr>
        <w:t xml:space="preserve">46 .الوجيزة في الفقه = زبدة الدليل</w:t>
      </w:r>
    </w:p>
    <w:p>
      <w:pPr>
        <w:pStyle w:val="BookText"/>
      </w:pPr>
      <w:r>
        <w:rPr>
          <w:rFonts w:ascii="IRNazanin" w:hAnsi="IRNazanin" w:eastAsia="IRNazanin" w:cs="IRNazanin"/>
          <w:lang w:bidi="fa-IR"/>
          <w:color w:val="111111"/>
          <w:sz w:val="28"/>
          <w:szCs w:val="28"/>
          <w:rtl/>
        </w:rPr>
        <w:t xml:space="preserve">ج 16، ص 750.</w:t>
      </w:r>
    </w:p>
    <w:p>
      <w:pPr>
        <w:pStyle w:val="BookText"/>
      </w:pPr>
      <w:r>
        <w:rPr>
          <w:rFonts w:ascii="Amiri" w:hAnsi="Amiri" w:eastAsia="Amiri" w:cs="Amiri"/>
          <w:lang w:bidi="ar-SA"/>
          <w:color w:val="111111"/>
          <w:sz w:val="28"/>
          <w:szCs w:val="28"/>
          <w:rtl/>
        </w:rPr>
        <w:t xml:space="preserve">شبر ، علي بن محمّد -شبر حسيني ،</w:t>
      </w:r>
    </w:p>
    <w:p>
      <w:pPr>
        <w:pStyle w:val="BookText"/>
      </w:pPr>
      <w:r>
        <w:rPr>
          <w:rFonts w:ascii="Amiri" w:hAnsi="Amiri" w:eastAsia="Amiri" w:cs="Amiri"/>
          <w:lang w:bidi="ar-SA"/>
          <w:color w:val="111111"/>
          <w:sz w:val="28"/>
          <w:szCs w:val="28"/>
          <w:rtl/>
        </w:rPr>
        <w:t xml:space="preserve">بن محمّد علي</w:t>
      </w:r>
    </w:p>
    <w:p>
      <w:pPr>
        <w:pStyle w:val="BookText"/>
      </w:pPr>
      <w:r>
        <w:rPr>
          <w:rFonts w:ascii="Amiri" w:hAnsi="Amiri" w:eastAsia="Amiri" w:cs="Amiri"/>
          <w:lang w:bidi="ar-SA"/>
          <w:color w:val="111111"/>
          <w:sz w:val="28"/>
          <w:szCs w:val="28"/>
          <w:rtl/>
        </w:rPr>
        <w:t xml:space="preserve">شبر علي بن مشعل ستري بحراني- ستري</w:t>
      </w:r>
    </w:p>
    <w:p>
      <w:pPr>
        <w:pStyle w:val="BookText"/>
      </w:pPr>
      <w:r>
        <w:rPr>
          <w:rFonts w:ascii="Amiri" w:hAnsi="Amiri" w:eastAsia="Amiri" w:cs="Amiri"/>
          <w:lang w:bidi="ar-SA"/>
          <w:color w:val="111111"/>
          <w:sz w:val="28"/>
          <w:szCs w:val="28"/>
          <w:rtl/>
        </w:rPr>
        <w:t xml:space="preserve">بحراني ، شبر علي بن مشعل</w:t>
      </w:r>
    </w:p>
    <w:p>
      <w:pPr>
        <w:pStyle w:val="BookText"/>
      </w:pPr>
      <w:r>
        <w:rPr>
          <w:rFonts w:ascii="Amiri" w:hAnsi="Amiri" w:eastAsia="Amiri" w:cs="Amiri"/>
          <w:lang w:bidi="ar-SA"/>
          <w:color w:val="111111"/>
          <w:sz w:val="28"/>
          <w:szCs w:val="28"/>
          <w:rtl/>
        </w:rPr>
        <w:t xml:space="preserve">شبر كاظمي ، عبدالله بن محمّد رضا</w:t>
      </w:r>
    </w:p>
    <w:p>
      <w:pPr>
        <w:pStyle w:val="BookText"/>
      </w:pPr>
      <w:r>
        <w:rPr>
          <w:rFonts w:ascii="Amiri" w:hAnsi="Amiri" w:eastAsia="Amiri" w:cs="Amiri"/>
          <w:lang w:bidi="ar-SA"/>
          <w:color w:val="111111"/>
          <w:sz w:val="28"/>
          <w:szCs w:val="28"/>
          <w:rtl/>
        </w:rPr>
        <w:t xml:space="preserve">حسيني -شبر ، عبدالله بن محمّد رضا</w:t>
      </w:r>
    </w:p>
    <w:p>
      <w:pPr>
        <w:pStyle w:val="Heading2"/>
      </w:pPr>
      <w:bookmarkStart w:id="5095" w:name="_Toc4197"/>
      <w:r>
        <w:t>شبر ، محمّد بن جعفر 1272 - 1346 ه-</w:t>
      </w:r>
      <w:bookmarkEnd w:id="50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الادعية، ج 1، ص 606.</w:t>
      </w:r>
    </w:p>
    <w:p>
      <w:pPr>
        <w:pStyle w:val="BookText"/>
      </w:pPr>
      <w:r>
        <w:rPr>
          <w:rFonts w:ascii="Amiri" w:hAnsi="Amiri" w:eastAsia="Amiri" w:cs="Amiri"/>
          <w:lang w:bidi="ar-SA"/>
          <w:color w:val="111111"/>
          <w:sz w:val="28"/>
          <w:szCs w:val="28"/>
          <w:rtl/>
        </w:rPr>
        <w:t xml:space="preserve">2 .أصول الأخبار (رسالة في)، ج2،</w:t>
      </w:r>
    </w:p>
    <w:p>
      <w:pPr>
        <w:pStyle w:val="BookText"/>
      </w:pPr>
      <w:r>
        <w:rPr>
          <w:rFonts w:ascii="IRNazanin" w:hAnsi="IRNazanin" w:eastAsia="IRNazanin" w:cs="IRNazanin"/>
          <w:lang w:bidi="fa-IR"/>
          <w:color w:val="111111"/>
          <w:sz w:val="28"/>
          <w:szCs w:val="28"/>
          <w:rtl/>
        </w:rPr>
        <w:t xml:space="preserve">ص 402.</w:t>
      </w:r>
    </w:p>
    <w:p>
      <w:pPr>
        <w:pStyle w:val="BookText"/>
      </w:pPr>
      <w:r>
        <w:rPr>
          <w:rFonts w:ascii="IRNazanin" w:hAnsi="IRNazanin" w:eastAsia="IRNazanin" w:cs="IRNazanin"/>
          <w:lang w:bidi="fa-IR"/>
          <w:color w:val="111111"/>
          <w:sz w:val="28"/>
          <w:szCs w:val="28"/>
          <w:rtl/>
        </w:rPr>
        <w:t xml:space="preserve">3 .اصول الدین و فروعه، ج2، ص 422</w:t>
      </w:r>
    </w:p>
    <w:p>
      <w:pPr>
        <w:pStyle w:val="BookText"/>
      </w:pPr>
      <w:r>
        <w:rPr>
          <w:rFonts w:ascii="Amiri" w:hAnsi="Amiri" w:eastAsia="Amiri" w:cs="Amiri"/>
          <w:lang w:bidi="ar-SA"/>
          <w:color w:val="111111"/>
          <w:sz w:val="28"/>
          <w:szCs w:val="28"/>
          <w:rtl/>
        </w:rPr>
        <w:t xml:space="preserve">4 .اكسير السعادات في احكام</w:t>
      </w:r>
    </w:p>
    <w:p>
      <w:pPr>
        <w:pStyle w:val="BookText"/>
      </w:pPr>
      <w:r>
        <w:rPr>
          <w:rFonts w:ascii="IRNazanin" w:hAnsi="IRNazanin" w:eastAsia="IRNazanin" w:cs="IRNazanin"/>
          <w:lang w:bidi="fa-IR"/>
          <w:color w:val="111111"/>
          <w:sz w:val="28"/>
          <w:szCs w:val="28"/>
          <w:rtl/>
        </w:rPr>
        <w:t xml:space="preserve">العبادات، ج 2، ص 644 .</w:t>
      </w:r>
    </w:p>
    <w:p>
      <w:pPr>
        <w:pStyle w:val="BookText"/>
      </w:pPr>
      <w:r>
        <w:rPr>
          <w:rFonts w:ascii="Amiri" w:hAnsi="Amiri" w:eastAsia="Amiri" w:cs="Amiri"/>
          <w:lang w:bidi="ar-SA"/>
          <w:color w:val="111111"/>
          <w:sz w:val="28"/>
          <w:szCs w:val="28"/>
          <w:rtl/>
        </w:rPr>
        <w:t xml:space="preserve">5 .انيس الزاهدين، ج3، ص34.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.انيس المسافرين، ج 3، ص 45.</w:t>
      </w:r>
    </w:p>
    <w:p>
      <w:pPr>
        <w:pStyle w:val="BookText"/>
      </w:pPr>
      <w:r>
        <w:rPr>
          <w:rFonts w:ascii="Amiri" w:hAnsi="Amiri" w:eastAsia="Amiri" w:cs="Amiri"/>
          <w:lang w:bidi="ar-SA"/>
          <w:color w:val="111111"/>
          <w:sz w:val="28"/>
          <w:szCs w:val="28"/>
          <w:rtl/>
        </w:rPr>
        <w:t xml:space="preserve">7 .ايقاظ النائمين، ج 3، ص 149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تذكرة العباد في الوعظ والارشاد</w:t>
      </w:r>
    </w:p>
    <w:p>
      <w:pPr>
        <w:pStyle w:val="BookText"/>
      </w:pPr>
      <w:r>
        <w:rPr>
          <w:rFonts w:ascii="IRNazanin" w:hAnsi="IRNazanin" w:eastAsia="IRNazanin" w:cs="IRNazanin"/>
          <w:lang w:bidi="fa-IR"/>
          <w:color w:val="111111"/>
          <w:sz w:val="28"/>
          <w:szCs w:val="28"/>
          <w:rtl/>
        </w:rPr>
        <w:t xml:space="preserve">ج 4، ص 196.</w:t>
      </w:r>
    </w:p>
    <w:p>
      <w:pPr>
        <w:pStyle w:val="BookText"/>
      </w:pPr>
      <w:r>
        <w:rPr>
          <w:rFonts w:ascii="Amiri" w:hAnsi="Amiri" w:eastAsia="Amiri" w:cs="Amiri"/>
          <w:lang w:bidi="ar-SA"/>
          <w:color w:val="111111"/>
          <w:sz w:val="28"/>
          <w:szCs w:val="28"/>
          <w:rtl/>
        </w:rPr>
        <w:t xml:space="preserve">9 .تذكرة العباد و ذخيرة المعاد، ج 4،</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10 .تسلية الحزين بفقد الاحباب و</w:t>
      </w:r>
    </w:p>
    <w:p>
      <w:pPr>
        <w:pStyle w:val="BookText"/>
      </w:pPr>
      <w:r>
        <w:rPr>
          <w:rFonts w:ascii="Amiri" w:hAnsi="Amiri" w:eastAsia="Amiri" w:cs="Amiri"/>
          <w:lang w:bidi="ar-SA"/>
          <w:color w:val="111111"/>
          <w:sz w:val="28"/>
          <w:szCs w:val="28"/>
          <w:rtl/>
        </w:rPr>
        <w:t xml:space="preserve">البنين، ج 4، ص 342.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تصحيح الاخبار لال محمّد الاطهار</w:t>
      </w:r>
    </w:p>
    <w:p>
      <w:pPr>
        <w:pStyle w:val="BookText"/>
      </w:pPr>
      <w:r>
        <w:rPr>
          <w:rFonts w:ascii="IRNazanin" w:hAnsi="IRNazanin" w:eastAsia="IRNazanin" w:cs="IRNazanin"/>
          <w:lang w:bidi="fa-IR"/>
          <w:color w:val="111111"/>
          <w:sz w:val="28"/>
          <w:szCs w:val="28"/>
          <w:rtl/>
        </w:rPr>
        <w:t xml:space="preserve">ج 4، ص 395.</w:t>
      </w:r>
    </w:p>
    <w:p>
      <w:pPr>
        <w:pStyle w:val="BookText"/>
      </w:pPr>
      <w:r>
        <w:rPr>
          <w:rFonts w:ascii="Amiri" w:hAnsi="Amiri" w:eastAsia="Amiri" w:cs="Amiri"/>
          <w:lang w:bidi="ar-SA"/>
          <w:color w:val="111111"/>
          <w:sz w:val="28"/>
          <w:szCs w:val="28"/>
          <w:rtl/>
        </w:rPr>
        <w:t xml:space="preserve">12 .تقريرات السيد محمّد شبر، ج 4</w:t>
      </w:r>
    </w:p>
    <w:p>
      <w:pPr>
        <w:pStyle w:val="BookText"/>
      </w:pPr>
      <w:r>
        <w:rPr>
          <w:rFonts w:ascii="IRNazanin" w:hAnsi="IRNazanin" w:eastAsia="IRNazanin" w:cs="IRNazanin"/>
          <w:lang w:bidi="fa-IR"/>
          <w:color w:val="111111"/>
          <w:sz w:val="28"/>
          <w:szCs w:val="28"/>
          <w:rtl/>
        </w:rPr>
        <w:t xml:space="preserve">ص 756 .</w:t>
      </w:r>
    </w:p>
    <w:p>
      <w:pPr>
        <w:pStyle w:val="BookText"/>
      </w:pPr>
      <w:r>
        <w:rPr>
          <w:rFonts w:ascii="Amiri" w:hAnsi="Amiri" w:eastAsia="Amiri" w:cs="Amiri"/>
          <w:lang w:bidi="ar-SA"/>
          <w:color w:val="111111"/>
          <w:sz w:val="28"/>
          <w:szCs w:val="28"/>
          <w:rtl/>
        </w:rPr>
        <w:t xml:space="preserve">13 .تقريرات السيد محمّد شبر، ج 4،</w:t>
      </w:r>
    </w:p>
    <w:p>
      <w:pPr>
        <w:pStyle w:val="BookText"/>
      </w:pPr>
      <w:r>
        <w:rPr>
          <w:rFonts w:ascii="IRNazanin" w:hAnsi="IRNazanin" w:eastAsia="IRNazanin" w:cs="IRNazanin"/>
          <w:lang w:bidi="fa-IR"/>
          <w:color w:val="111111"/>
          <w:sz w:val="28"/>
          <w:szCs w:val="28"/>
          <w:rtl/>
        </w:rPr>
        <w:t xml:space="preserve">ص 757 .</w:t>
      </w:r>
    </w:p>
    <w:p>
      <w:pPr>
        <w:pStyle w:val="BookText"/>
      </w:pPr>
      <w:r>
        <w:rPr>
          <w:rFonts w:ascii="Amiri" w:hAnsi="Amiri" w:eastAsia="Amiri" w:cs="Amiri"/>
          <w:lang w:bidi="ar-SA"/>
          <w:color w:val="111111"/>
          <w:sz w:val="28"/>
          <w:szCs w:val="28"/>
          <w:rtl/>
        </w:rPr>
        <w:t xml:space="preserve">14 .تقريرات محمّد تقي الشيرازي</w:t>
      </w:r>
    </w:p>
    <w:p>
      <w:pPr>
        <w:pStyle w:val="BookText"/>
      </w:pPr>
      <w:r>
        <w:rPr>
          <w:rFonts w:ascii="IRNazanin" w:hAnsi="IRNazanin" w:eastAsia="IRNazanin" w:cs="IRNazanin"/>
          <w:lang w:bidi="fa-IR"/>
          <w:color w:val="111111"/>
          <w:sz w:val="28"/>
          <w:szCs w:val="28"/>
          <w:rtl/>
        </w:rPr>
        <w:t xml:space="preserve">ج 4، ص 772.</w:t>
      </w:r>
    </w:p>
    <w:p>
      <w:pPr>
        <w:pStyle w:val="BookText"/>
      </w:pPr>
      <w:r>
        <w:rPr>
          <w:rFonts w:ascii="Amiri" w:hAnsi="Amiri" w:eastAsia="Amiri" w:cs="Amiri"/>
          <w:lang w:bidi="ar-SA"/>
          <w:color w:val="111111"/>
          <w:sz w:val="28"/>
          <w:szCs w:val="28"/>
          <w:rtl/>
        </w:rPr>
        <w:t xml:space="preserve">15 .تنبيه الغافلين في معرفة اصول</w:t>
      </w:r>
    </w:p>
    <w:p>
      <w:pPr>
        <w:pStyle w:val="BookText"/>
      </w:pPr>
      <w:r>
        <w:rPr>
          <w:rFonts w:ascii="Amiri" w:hAnsi="Amiri" w:eastAsia="Amiri" w:cs="Amiri"/>
          <w:lang w:bidi="ar-SA"/>
          <w:color w:val="111111"/>
          <w:sz w:val="28"/>
          <w:szCs w:val="28"/>
          <w:rtl/>
        </w:rPr>
        <w:t xml:space="preserve">الدين، ج 5، ص 39.</w:t>
      </w:r>
    </w:p>
    <w:p>
      <w:pPr>
        <w:pStyle w:val="BookText"/>
      </w:pPr>
      <w:r>
        <w:rPr>
          <w:rFonts w:ascii="Amiri" w:hAnsi="Amiri" w:eastAsia="Amiri" w:cs="Amiri"/>
          <w:lang w:bidi="ar-SA"/>
          <w:color w:val="111111"/>
          <w:sz w:val="28"/>
          <w:szCs w:val="28"/>
          <w:rtl/>
        </w:rPr>
        <w:t xml:space="preserve">16 .تنبيه الغافلين و زاد المسافرين</w:t>
      </w:r>
    </w:p>
    <w:p>
      <w:pPr>
        <w:pStyle w:val="BookText"/>
      </w:pPr>
      <w:r>
        <w:rPr>
          <w:rFonts w:ascii="IRNazanin" w:hAnsi="IRNazanin" w:eastAsia="IRNazanin" w:cs="IRNazanin"/>
          <w:lang w:bidi="fa-IR"/>
          <w:color w:val="111111"/>
          <w:sz w:val="28"/>
          <w:szCs w:val="28"/>
          <w:rtl/>
        </w:rPr>
        <w:t xml:space="preserve">ج 5، ص 40.</w:t>
      </w:r>
    </w:p>
    <w:p>
      <w:pPr>
        <w:pStyle w:val="BookText"/>
      </w:pPr>
      <w:r>
        <w:rPr>
          <w:rFonts w:ascii="Amiri" w:hAnsi="Amiri" w:eastAsia="Amiri" w:cs="Amiri"/>
          <w:lang w:bidi="ar-SA"/>
          <w:color w:val="111111"/>
          <w:sz w:val="28"/>
          <w:szCs w:val="28"/>
          <w:rtl/>
        </w:rPr>
        <w:t xml:space="preserve">17 .تهذيب الاخلاق، ج 5، ص 107.</w:t>
      </w:r>
    </w:p>
    <w:p>
      <w:pPr>
        <w:pStyle w:val="BookText"/>
      </w:pPr>
      <w:r>
        <w:rPr>
          <w:rFonts w:ascii="IRNazanin" w:hAnsi="IRNazanin" w:eastAsia="IRNazanin" w:cs="IRNazanin"/>
          <w:lang w:bidi="fa-IR"/>
          <w:color w:val="111111"/>
          <w:sz w:val="28"/>
          <w:szCs w:val="28"/>
          <w:rtl/>
        </w:rPr>
        <w:t xml:space="preserve">18 .حدائق المجالس، ج 6 ، ص 524.</w:t>
      </w:r>
    </w:p>
    <w:p>
      <w:pPr>
        <w:pStyle w:val="BookText"/>
      </w:pPr>
      <w:r>
        <w:rPr>
          <w:rFonts w:ascii="Amiri" w:hAnsi="Amiri" w:eastAsia="Amiri" w:cs="Amiri"/>
          <w:lang w:bidi="ar-SA"/>
          <w:color w:val="111111"/>
          <w:sz w:val="28"/>
          <w:szCs w:val="28"/>
          <w:rtl/>
        </w:rPr>
        <w:t xml:space="preserve">19 .الدر النضيد في مقتل السبط</w:t>
      </w:r>
    </w:p>
    <w:p>
      <w:pPr>
        <w:pStyle w:val="BookText"/>
      </w:pPr>
      <w:r>
        <w:rPr>
          <w:rFonts w:ascii="Amiri" w:hAnsi="Amiri" w:eastAsia="Amiri" w:cs="Amiri"/>
          <w:lang w:bidi="ar-SA"/>
          <w:color w:val="111111"/>
          <w:sz w:val="28"/>
          <w:szCs w:val="28"/>
          <w:rtl/>
        </w:rPr>
        <w:t xml:space="preserve">الشهيد، ج 7، ص 358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الدرر والغرر (منتخب)، ج7،</w:t>
      </w:r>
    </w:p>
    <w:p>
      <w:pPr>
        <w:pStyle w:val="BookText"/>
      </w:pPr>
      <w:r>
        <w:rPr>
          <w:rFonts w:ascii="IRNazanin" w:hAnsi="IRNazanin" w:eastAsia="IRNazanin" w:cs="IRNazanin"/>
          <w:lang w:bidi="fa-IR"/>
          <w:color w:val="111111"/>
          <w:sz w:val="28"/>
          <w:szCs w:val="28"/>
          <w:rtl/>
        </w:rPr>
        <w:t xml:space="preserve">ص321.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الدقائق الشبرية في الامراض</w:t>
      </w:r>
    </w:p>
    <w:p>
      <w:pPr>
        <w:pStyle w:val="BookText"/>
      </w:pPr>
      <w:r>
        <w:rPr>
          <w:rFonts w:ascii="Amiri" w:hAnsi="Amiri" w:eastAsia="Amiri" w:cs="Amiri"/>
          <w:lang w:bidi="ar-SA"/>
          <w:color w:val="111111"/>
          <w:sz w:val="28"/>
          <w:szCs w:val="28"/>
          <w:rtl/>
        </w:rPr>
        <w:t xml:space="preserve">البشرية، ج 7، ص 433 .</w:t>
      </w:r>
    </w:p>
    <w:p>
      <w:pPr>
        <w:pStyle w:val="BookText"/>
      </w:pPr>
      <w:r>
        <w:rPr>
          <w:rFonts w:ascii="Amiri" w:hAnsi="Amiri" w:eastAsia="Amiri" w:cs="Amiri"/>
          <w:lang w:bidi="ar-SA"/>
          <w:color w:val="111111"/>
          <w:sz w:val="28"/>
          <w:szCs w:val="28"/>
          <w:rtl/>
        </w:rPr>
        <w:t xml:space="preserve">22 .رسالة عملية = نور البصر في الفقه</w:t>
      </w:r>
    </w:p>
    <w:p>
      <w:pPr>
        <w:pStyle w:val="BookText"/>
      </w:pPr>
      <w:r>
        <w:rPr>
          <w:rFonts w:ascii="IRNazanin" w:hAnsi="IRNazanin" w:eastAsia="IRNazanin" w:cs="IRNazanin"/>
          <w:lang w:bidi="fa-IR"/>
          <w:color w:val="111111"/>
          <w:sz w:val="28"/>
          <w:szCs w:val="28"/>
          <w:rtl/>
        </w:rPr>
        <w:t xml:space="preserve">المختصر، ج8، ص230.</w:t>
      </w:r>
    </w:p>
    <w:p>
      <w:pPr>
        <w:pStyle w:val="BookText"/>
      </w:pPr>
      <w:r>
        <w:rPr>
          <w:rFonts w:ascii="Amiri" w:hAnsi="Amiri" w:eastAsia="Amiri" w:cs="Amiri"/>
          <w:lang w:bidi="ar-SA"/>
          <w:color w:val="111111"/>
          <w:sz w:val="28"/>
          <w:szCs w:val="28"/>
          <w:rtl/>
        </w:rPr>
        <w:t xml:space="preserve">23 .رسالة فقهية، ج8، ص237.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رسالة مختصرة في الطب، ج 8،</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Amiri" w:hAnsi="Amiri" w:eastAsia="Amiri" w:cs="Amiri"/>
          <w:lang w:bidi="ar-SA"/>
          <w:color w:val="111111"/>
          <w:sz w:val="28"/>
          <w:szCs w:val="28"/>
          <w:rtl/>
        </w:rPr>
        <w:t xml:space="preserve">25 .رسالة مختصرة في الطب القديم</w:t>
      </w:r>
    </w:p>
    <w:p>
      <w:pPr>
        <w:pStyle w:val="BookText"/>
      </w:pPr>
      <w:r>
        <w:rPr>
          <w:rFonts w:ascii="IRNazanin" w:hAnsi="IRNazanin" w:eastAsia="IRNazanin" w:cs="IRNazanin"/>
          <w:lang w:bidi="fa-IR"/>
          <w:color w:val="111111"/>
          <w:sz w:val="28"/>
          <w:szCs w:val="28"/>
          <w:rtl/>
        </w:rPr>
        <w:t xml:space="preserve">ج 8، ص 265 .</w:t>
      </w:r>
    </w:p>
    <w:p>
      <w:pPr>
        <w:pStyle w:val="BookText"/>
      </w:pPr>
      <w:r>
        <w:rPr>
          <w:rFonts w:ascii="IRNazanin" w:hAnsi="IRNazanin" w:eastAsia="IRNazanin" w:cs="IRNazanin"/>
          <w:lang w:bidi="fa-IR"/>
          <w:color w:val="111111"/>
          <w:sz w:val="28"/>
          <w:szCs w:val="28"/>
          <w:rtl/>
        </w:rPr>
        <w:t xml:space="preserve">26 .سؤال و جواب ج8، ص 685.</w:t>
      </w:r>
    </w:p>
    <w:p>
      <w:pPr>
        <w:pStyle w:val="BookText"/>
      </w:pPr>
      <w:r>
        <w:rPr>
          <w:rFonts w:ascii="Amiri" w:hAnsi="Amiri" w:eastAsia="Amiri" w:cs="Amiri"/>
          <w:lang w:bidi="ar-SA"/>
          <w:color w:val="111111"/>
          <w:sz w:val="28"/>
          <w:szCs w:val="28"/>
          <w:rtl/>
        </w:rPr>
        <w:t xml:space="preserve">27 .شرح الآجرومية و اعرابها، ج9،</w:t>
      </w:r>
    </w:p>
    <w:p>
      <w:pPr>
        <w:pStyle w:val="BookText"/>
      </w:pPr>
      <w:r>
        <w:rPr>
          <w:rFonts w:ascii="IRNazanin" w:hAnsi="IRNazanin" w:eastAsia="IRNazanin" w:cs="IRNazanin"/>
          <w:lang w:bidi="fa-IR"/>
          <w:color w:val="111111"/>
          <w:sz w:val="28"/>
          <w:szCs w:val="28"/>
          <w:rtl/>
        </w:rPr>
        <w:t xml:space="preserve">ص 125 .</w:t>
      </w:r>
    </w:p>
    <w:p>
      <w:pPr>
        <w:pStyle w:val="BookText"/>
      </w:pPr>
      <w:r>
        <w:rPr>
          <w:rFonts w:ascii="Amiri" w:hAnsi="Amiri" w:eastAsia="Amiri" w:cs="Amiri"/>
          <w:lang w:bidi="ar-SA"/>
          <w:color w:val="111111"/>
          <w:sz w:val="28"/>
          <w:szCs w:val="28"/>
          <w:rtl/>
        </w:rPr>
        <w:t xml:space="preserve">28 .شرح الالفية، ج 9، ص 215.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الصلاة (رسالة في)، ج10، ص 588.</w:t>
      </w:r>
    </w:p>
    <w:p>
      <w:pPr>
        <w:pStyle w:val="BookText"/>
      </w:pPr>
      <w:r>
        <w:rPr>
          <w:rFonts w:ascii="IRNazanin" w:hAnsi="IRNazanin" w:eastAsia="IRNazanin" w:cs="IRNazanin"/>
          <w:lang w:bidi="fa-IR"/>
          <w:color w:val="111111"/>
          <w:sz w:val="28"/>
          <w:szCs w:val="28"/>
          <w:rtl/>
        </w:rPr>
        <w:t xml:space="preserve">30 .طب = طبي = پزشکي، ج10،</w:t>
      </w:r>
    </w:p>
    <w:p>
      <w:pPr>
        <w:pStyle w:val="BookText"/>
      </w:pPr>
      <w:r>
        <w:rPr>
          <w:rFonts w:ascii="IRNazanin" w:hAnsi="IRNazanin" w:eastAsia="IRNazanin" w:cs="IRNazanin"/>
          <w:lang w:bidi="fa-IR"/>
          <w:color w:val="111111"/>
          <w:sz w:val="28"/>
          <w:szCs w:val="28"/>
          <w:rtl/>
        </w:rPr>
        <w:t xml:space="preserve">ص 743 .</w:t>
      </w:r>
    </w:p>
    <w:p>
      <w:pPr>
        <w:pStyle w:val="BookText"/>
      </w:pPr>
      <w:r>
        <w:rPr>
          <w:rFonts w:ascii="IRNazanin" w:hAnsi="IRNazanin" w:eastAsia="IRNazanin" w:cs="IRNazanin"/>
          <w:lang w:bidi="fa-IR"/>
          <w:color w:val="111111"/>
          <w:sz w:val="28"/>
          <w:szCs w:val="28"/>
          <w:rtl/>
        </w:rPr>
        <w:t xml:space="preserve">31 .عجائب الاخبار (منتخب)، ج11،</w:t>
      </w:r>
    </w:p>
    <w:p>
      <w:pPr>
        <w:pStyle w:val="BookText"/>
      </w:pPr>
      <w:r>
        <w:rPr>
          <w:rFonts w:ascii="IRNazanin" w:hAnsi="IRNazanin" w:eastAsia="IRNazanin" w:cs="IRNazanin"/>
          <w:lang w:bidi="fa-IR"/>
          <w:color w:val="111111"/>
          <w:sz w:val="28"/>
          <w:szCs w:val="28"/>
          <w:rtl/>
        </w:rPr>
        <w:t xml:space="preserve">ص 31.</w:t>
      </w:r>
    </w:p>
    <w:p>
      <w:pPr>
        <w:pStyle w:val="BookText"/>
      </w:pPr>
      <w:r>
        <w:rPr>
          <w:rFonts w:ascii="Amiri" w:hAnsi="Amiri" w:eastAsia="Amiri" w:cs="Amiri"/>
          <w:lang w:bidi="ar-SA"/>
          <w:color w:val="111111"/>
          <w:sz w:val="28"/>
          <w:szCs w:val="28"/>
          <w:rtl/>
        </w:rPr>
        <w:t xml:space="preserve">32 .عمدة اركان الايمان (رسالة في)</w:t>
      </w:r>
    </w:p>
    <w:p>
      <w:pPr>
        <w:pStyle w:val="BookText"/>
      </w:pPr>
      <w:r>
        <w:rPr>
          <w:rFonts w:ascii="IRNazanin" w:hAnsi="IRNazanin" w:eastAsia="IRNazanin" w:cs="IRNazanin"/>
          <w:lang w:bidi="fa-IR"/>
          <w:color w:val="111111"/>
          <w:sz w:val="28"/>
          <w:szCs w:val="28"/>
          <w:rtl/>
        </w:rPr>
        <w:t xml:space="preserve">ج 11، ص 286.</w:t>
      </w:r>
    </w:p>
    <w:p>
      <w:pPr>
        <w:pStyle w:val="BookText"/>
      </w:pPr>
      <w:r>
        <w:rPr>
          <w:rFonts w:ascii="Amiri" w:hAnsi="Amiri" w:eastAsia="Amiri" w:cs="Amiri"/>
          <w:lang w:bidi="ar-SA"/>
          <w:color w:val="111111"/>
          <w:sz w:val="28"/>
          <w:szCs w:val="28"/>
          <w:rtl/>
        </w:rPr>
        <w:t xml:space="preserve">33 .فهرست المكتبة الشبرية، ج 12،</w:t>
      </w:r>
    </w:p>
    <w:p>
      <w:pPr>
        <w:pStyle w:val="BookText"/>
      </w:pPr>
      <w:r>
        <w:rPr>
          <w:rFonts w:ascii="IRNazanin" w:hAnsi="IRNazanin" w:eastAsia="IRNazanin" w:cs="IRNazanin"/>
          <w:lang w:bidi="fa-IR"/>
          <w:color w:val="111111"/>
          <w:sz w:val="28"/>
          <w:szCs w:val="28"/>
          <w:rtl/>
        </w:rPr>
        <w:t xml:space="preserve">ص 156.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الفوائد الشبرية في الأسماء الحسنى</w:t>
      </w:r>
    </w:p>
    <w:p>
      <w:pPr>
        <w:pStyle w:val="BookText"/>
      </w:pPr>
      <w:r>
        <w:rPr>
          <w:rFonts w:ascii="Amiri" w:hAnsi="Amiri" w:eastAsia="Amiri" w:cs="Amiri"/>
          <w:lang w:bidi="ar-SA"/>
          <w:color w:val="111111"/>
          <w:sz w:val="28"/>
          <w:szCs w:val="28"/>
          <w:rtl/>
        </w:rPr>
        <w:t xml:space="preserve">و الأعمال الروحانية، ج 12،</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Amiri" w:hAnsi="Amiri" w:eastAsia="Amiri" w:cs="Amiri"/>
          <w:lang w:bidi="ar-SA"/>
          <w:color w:val="111111"/>
          <w:sz w:val="28"/>
          <w:szCs w:val="28"/>
          <w:rtl/>
        </w:rPr>
        <w:t xml:space="preserve">35 .الفوائد الشبرية في علم العربية</w:t>
      </w:r>
    </w:p>
    <w:p>
      <w:pPr>
        <w:pStyle w:val="BookText"/>
      </w:pPr>
      <w:r>
        <w:rPr>
          <w:rFonts w:ascii="IRNazanin" w:hAnsi="IRNazanin" w:eastAsia="IRNazanin" w:cs="IRNazanin"/>
          <w:lang w:bidi="fa-IR"/>
          <w:color w:val="111111"/>
          <w:sz w:val="28"/>
          <w:szCs w:val="28"/>
          <w:rtl/>
        </w:rPr>
        <w:t xml:space="preserve">ج 12، ص 210.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الفوائد الطبية، ج 12، ص 240.</w:t>
      </w:r>
    </w:p>
    <w:p>
      <w:pPr>
        <w:pStyle w:val="BookText"/>
      </w:pPr>
      <w:r>
        <w:rPr>
          <w:rFonts w:ascii="Amiri" w:hAnsi="Amiri" w:eastAsia="Amiri" w:cs="Amiri"/>
          <w:lang w:bidi="ar-SA"/>
          <w:color w:val="111111"/>
          <w:sz w:val="28"/>
          <w:szCs w:val="28"/>
          <w:rtl/>
        </w:rPr>
        <w:t xml:space="preserve">37 .قرعة لاستخراج الفال، ج 12،</w:t>
      </w:r>
    </w:p>
    <w:p>
      <w:pPr>
        <w:pStyle w:val="BookText"/>
      </w:pPr>
      <w:r>
        <w:rPr>
          <w:rFonts w:ascii="IRNazanin" w:hAnsi="IRNazanin" w:eastAsia="IRNazanin" w:cs="IRNazanin"/>
          <w:lang w:bidi="fa-IR"/>
          <w:color w:val="111111"/>
          <w:sz w:val="28"/>
          <w:szCs w:val="28"/>
          <w:rtl/>
        </w:rPr>
        <w:t xml:space="preserve">ص 580.</w:t>
      </w:r>
    </w:p>
    <w:p>
      <w:pPr>
        <w:pStyle w:val="BookText"/>
      </w:pPr>
      <w:r>
        <w:rPr>
          <w:rFonts w:ascii="Amiri" w:hAnsi="Amiri" w:eastAsia="Amiri" w:cs="Amiri"/>
          <w:lang w:bidi="ar-SA"/>
          <w:color w:val="111111"/>
          <w:sz w:val="28"/>
          <w:szCs w:val="28"/>
          <w:rtl/>
        </w:rPr>
        <w:t xml:space="preserve">38 .كشف اليقين في اصول الدين</w:t>
      </w:r>
    </w:p>
    <w:p>
      <w:pPr>
        <w:pStyle w:val="BookText"/>
      </w:pPr>
      <w:r>
        <w:rPr>
          <w:rFonts w:ascii="IRNazanin" w:hAnsi="IRNazanin" w:eastAsia="IRNazanin" w:cs="IRNazanin"/>
          <w:lang w:bidi="fa-IR"/>
          <w:color w:val="111111"/>
          <w:sz w:val="28"/>
          <w:szCs w:val="28"/>
          <w:rtl/>
        </w:rPr>
        <w:t xml:space="preserve">ج 13، ص282.</w:t>
      </w:r>
    </w:p>
    <w:p>
      <w:pPr>
        <w:pStyle w:val="BookText"/>
      </w:pPr>
      <w:r>
        <w:rPr>
          <w:rFonts w:ascii="IRNazanin" w:hAnsi="IRNazanin" w:eastAsia="IRNazanin" w:cs="IRNazanin"/>
          <w:lang w:bidi="fa-IR"/>
          <w:color w:val="111111"/>
          <w:sz w:val="28"/>
          <w:szCs w:val="28"/>
          <w:rtl/>
        </w:rPr>
        <w:t xml:space="preserve">39 .کشکول، ج13، ص289.</w:t>
      </w:r>
    </w:p>
    <w:p>
      <w:pPr>
        <w:pStyle w:val="BookText"/>
      </w:pPr>
      <w:r>
        <w:rPr>
          <w:rFonts w:ascii="Amiri" w:hAnsi="Amiri" w:eastAsia="Amiri" w:cs="Amiri"/>
          <w:lang w:bidi="ar-SA"/>
          <w:color w:val="111111"/>
          <w:sz w:val="28"/>
          <w:szCs w:val="28"/>
          <w:rtl/>
        </w:rPr>
        <w:t xml:space="preserve">40 .لسان الواعظين و تنبيه الغافلين</w:t>
      </w:r>
    </w:p>
    <w:p>
      <w:pPr>
        <w:pStyle w:val="BookText"/>
      </w:pPr>
      <w:r>
        <w:rPr>
          <w:rFonts w:ascii="IRNazanin" w:hAnsi="IRNazanin" w:eastAsia="IRNazanin" w:cs="IRNazanin"/>
          <w:lang w:bidi="fa-IR"/>
          <w:color w:val="111111"/>
          <w:sz w:val="28"/>
          <w:szCs w:val="28"/>
          <w:rtl/>
        </w:rPr>
        <w:t xml:space="preserve">ج 13، ص 574 .</w:t>
      </w:r>
    </w:p>
    <w:p>
      <w:pPr>
        <w:pStyle w:val="BookText"/>
      </w:pPr>
      <w:r>
        <w:rPr>
          <w:rFonts w:ascii="Amiri" w:hAnsi="Amiri" w:eastAsia="Amiri" w:cs="Amiri"/>
          <w:lang w:bidi="ar-SA"/>
          <w:color w:val="111111"/>
          <w:sz w:val="28"/>
          <w:szCs w:val="28"/>
          <w:rtl/>
        </w:rPr>
        <w:t xml:space="preserve">41 .اللوامع الشبرية في المسائل</w:t>
      </w:r>
    </w:p>
    <w:p>
      <w:pPr>
        <w:pStyle w:val="BookText"/>
      </w:pPr>
      <w:r>
        <w:rPr>
          <w:rFonts w:ascii="Amiri" w:hAnsi="Amiri" w:eastAsia="Amiri" w:cs="Amiri"/>
          <w:lang w:bidi="ar-SA"/>
          <w:color w:val="111111"/>
          <w:sz w:val="28"/>
          <w:szCs w:val="28"/>
          <w:rtl/>
        </w:rPr>
        <w:t xml:space="preserve">المتفرقة، ج 13، ص 653.</w:t>
      </w:r>
    </w:p>
    <w:p>
      <w:pPr>
        <w:pStyle w:val="BookText"/>
      </w:pPr>
      <w:r>
        <w:rPr>
          <w:rFonts w:ascii="Amiri" w:hAnsi="Amiri" w:eastAsia="Amiri" w:cs="Amiri"/>
          <w:lang w:bidi="ar-SA"/>
          <w:color w:val="111111"/>
          <w:sz w:val="28"/>
          <w:szCs w:val="28"/>
          <w:rtl/>
        </w:rPr>
        <w:t xml:space="preserve">42 .اللوامع الشبرية في ترجمة</w:t>
      </w:r>
    </w:p>
    <w:p>
      <w:pPr>
        <w:pStyle w:val="BookText"/>
      </w:pPr>
      <w:r>
        <w:rPr>
          <w:rFonts w:ascii="Amiri" w:hAnsi="Amiri" w:eastAsia="Amiri" w:cs="Amiri"/>
          <w:lang w:bidi="ar-SA"/>
          <w:color w:val="111111"/>
          <w:sz w:val="28"/>
          <w:szCs w:val="28"/>
          <w:rtl/>
        </w:rPr>
        <w:t xml:space="preserve">الصمدية، ج 13، ص 653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09" w:name="pg7742_70595"/>
    <w:bookmarkEnd w:id="609"/>
    <w:p>
      <w:pPr>
        <w:pStyle w:val="BookText"/>
      </w:pPr>
      <w:r>
        <w:rPr>
          <w:rFonts w:ascii="Amiri" w:hAnsi="Amiri" w:eastAsia="Amiri" w:cs="Amiri"/>
          <w:lang w:bidi="ar-SA"/>
          <w:color w:val="111111"/>
          <w:sz w:val="28"/>
          <w:szCs w:val="28"/>
          <w:rtl/>
        </w:rPr>
        <w:t xml:space="preserve">43 .اللوامع الشبرية في علم العربية</w:t>
      </w:r>
    </w:p>
    <w:p>
      <w:pPr>
        <w:pStyle w:val="BookText"/>
      </w:pPr>
      <w:r>
        <w:rPr>
          <w:rFonts w:ascii="IRNazanin" w:hAnsi="IRNazanin" w:eastAsia="IRNazanin" w:cs="IRNazanin"/>
          <w:lang w:bidi="fa-IR"/>
          <w:color w:val="111111"/>
          <w:sz w:val="28"/>
          <w:szCs w:val="28"/>
          <w:rtl/>
        </w:rPr>
        <w:t xml:space="preserve">ج 13، ص 654 .</w:t>
      </w:r>
    </w:p>
    <w:p>
      <w:pPr>
        <w:pStyle w:val="BookText"/>
      </w:pPr>
      <w:r>
        <w:rPr>
          <w:rFonts w:ascii="Amiri" w:hAnsi="Amiri" w:eastAsia="Amiri" w:cs="Amiri"/>
          <w:lang w:bidi="ar-SA"/>
          <w:color w:val="111111"/>
          <w:sz w:val="28"/>
          <w:szCs w:val="28"/>
          <w:rtl/>
        </w:rPr>
        <w:t xml:space="preserve">44 .اللوامع الشبرية في مواعظ شهر</w:t>
      </w:r>
    </w:p>
    <w:p>
      <w:pPr>
        <w:pStyle w:val="BookText"/>
      </w:pPr>
      <w:r>
        <w:rPr>
          <w:rFonts w:ascii="IRNazanin" w:hAnsi="IRNazanin" w:eastAsia="IRNazanin" w:cs="IRNazanin"/>
          <w:lang w:bidi="fa-IR"/>
          <w:color w:val="111111"/>
          <w:sz w:val="28"/>
          <w:szCs w:val="28"/>
          <w:rtl/>
        </w:rPr>
        <w:t xml:space="preserve">رمضان، ج 13 ، ص 654 .</w:t>
      </w:r>
    </w:p>
    <w:p>
      <w:pPr>
        <w:pStyle w:val="BookText"/>
      </w:pPr>
      <w:r>
        <w:rPr>
          <w:rFonts w:ascii="IRNazanin" w:hAnsi="IRNazanin" w:eastAsia="IRNazanin" w:cs="IRNazanin"/>
          <w:lang w:bidi="fa-IR"/>
          <w:color w:val="111111"/>
          <w:sz w:val="28"/>
          <w:szCs w:val="28"/>
          <w:rtl/>
        </w:rPr>
        <w:t xml:space="preserve">45 .مجالس، ج 13، ص 784.</w:t>
      </w:r>
    </w:p>
    <w:p>
      <w:pPr>
        <w:pStyle w:val="BookText"/>
      </w:pPr>
      <w:r>
        <w:rPr>
          <w:rFonts w:ascii="IRNazanin" w:hAnsi="IRNazanin" w:eastAsia="IRNazanin" w:cs="IRNazanin"/>
          <w:lang w:bidi="fa-IR"/>
          <w:color w:val="111111"/>
          <w:sz w:val="28"/>
          <w:szCs w:val="28"/>
          <w:rtl/>
        </w:rPr>
        <w:t xml:space="preserve">46 .مجالس المواعظ، ج 13، ص 805.</w:t>
      </w:r>
    </w:p>
    <w:p>
      <w:pPr>
        <w:pStyle w:val="BookText"/>
      </w:pPr>
      <w:r>
        <w:rPr>
          <w:rFonts w:ascii="Amiri" w:hAnsi="Amiri" w:eastAsia="Amiri" w:cs="Amiri"/>
          <w:lang w:bidi="ar-SA"/>
          <w:color w:val="111111"/>
          <w:sz w:val="28"/>
          <w:szCs w:val="28"/>
          <w:rtl/>
        </w:rPr>
        <w:t xml:space="preserve">47 .مجالس المؤمنين و تنبيه الغافلين ،</w:t>
      </w:r>
    </w:p>
    <w:p>
      <w:pPr>
        <w:pStyle w:val="BookText"/>
      </w:pPr>
      <w:r>
        <w:rPr>
          <w:rFonts w:ascii="IRNazanin" w:hAnsi="IRNazanin" w:eastAsia="IRNazanin" w:cs="IRNazanin"/>
          <w:lang w:bidi="fa-IR"/>
          <w:color w:val="111111"/>
          <w:sz w:val="28"/>
          <w:szCs w:val="28"/>
          <w:rtl/>
        </w:rPr>
        <w:t xml:space="preserve">ج 13، ص 803.</w:t>
      </w:r>
    </w:p>
    <w:p>
      <w:pPr>
        <w:pStyle w:val="BookText"/>
      </w:pPr>
      <w:r>
        <w:rPr>
          <w:rFonts w:ascii="Amiri" w:hAnsi="Amiri" w:eastAsia="Amiri" w:cs="Amiri"/>
          <w:lang w:bidi="ar-SA"/>
          <w:color w:val="111111"/>
          <w:sz w:val="28"/>
          <w:szCs w:val="28"/>
          <w:rtl/>
        </w:rPr>
        <w:t xml:space="preserve">48 .مجالس تعزية، ج13، ص 787.</w:t>
      </w:r>
    </w:p>
    <w:p>
      <w:pPr>
        <w:pStyle w:val="BookText"/>
      </w:pPr>
      <w:r>
        <w:rPr>
          <w:rFonts w:ascii="Amiri" w:hAnsi="Amiri" w:eastAsia="Amiri" w:cs="Amiri"/>
          <w:lang w:bidi="ar-SA"/>
          <w:color w:val="111111"/>
          <w:sz w:val="28"/>
          <w:szCs w:val="28"/>
          <w:rtl/>
        </w:rPr>
        <w:t xml:space="preserve">49 .مجالس حسينية، ج13، ص789.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مجالس شهر رمضان، ج13</w:t>
      </w:r>
    </w:p>
    <w:p>
      <w:pPr>
        <w:pStyle w:val="BookText"/>
      </w:pPr>
      <w:r>
        <w:rPr>
          <w:rFonts w:ascii="IRNazanin" w:hAnsi="IRNazanin" w:eastAsia="IRNazanin" w:cs="IRNazanin"/>
          <w:lang w:bidi="fa-IR"/>
          <w:color w:val="111111"/>
          <w:sz w:val="28"/>
          <w:szCs w:val="28"/>
          <w:rtl/>
        </w:rPr>
        <w:t xml:space="preserve">ص 795 .</w:t>
      </w:r>
    </w:p>
    <w:p>
      <w:pPr>
        <w:pStyle w:val="BookText"/>
      </w:pPr>
      <w:r>
        <w:rPr>
          <w:rFonts w:ascii="IRNazanin" w:hAnsi="IRNazanin" w:eastAsia="IRNazanin" w:cs="IRNazanin"/>
          <w:lang w:bidi="fa-IR"/>
          <w:color w:val="111111"/>
          <w:sz w:val="28"/>
          <w:szCs w:val="28"/>
          <w:rtl/>
        </w:rPr>
        <w:t xml:space="preserve">51 .مجمع الخطب، ج 13، ص 849.</w:t>
      </w:r>
    </w:p>
    <w:p>
      <w:pPr>
        <w:pStyle w:val="BookText"/>
      </w:pPr>
      <w:r>
        <w:rPr>
          <w:rFonts w:ascii="IRNazanin" w:hAnsi="IRNazanin" w:eastAsia="IRNazanin" w:cs="IRNazanin"/>
          <w:lang w:bidi="fa-IR"/>
          <w:color w:val="111111"/>
          <w:sz w:val="28"/>
          <w:szCs w:val="28"/>
          <w:rtl/>
        </w:rPr>
        <w:t xml:space="preserve">52 .مجمع المواعظ، ج 13، ص 864.</w:t>
      </w:r>
    </w:p>
    <w:p>
      <w:pPr>
        <w:pStyle w:val="BookText"/>
      </w:pPr>
      <w:r>
        <w:rPr>
          <w:rFonts w:ascii="IRNazanin" w:hAnsi="IRNazanin" w:eastAsia="IRNazanin" w:cs="IRNazanin"/>
          <w:lang w:bidi="fa-IR"/>
          <w:color w:val="111111"/>
          <w:sz w:val="28"/>
          <w:szCs w:val="28"/>
          <w:rtl/>
        </w:rPr>
        <w:t xml:space="preserve">53 .مجموع، ج 14، ص 1.</w:t>
      </w:r>
    </w:p>
    <w:p>
      <w:pPr>
        <w:pStyle w:val="BookText"/>
      </w:pPr>
      <w:r>
        <w:rPr>
          <w:rFonts w:ascii="Amiri" w:hAnsi="Amiri" w:eastAsia="Amiri" w:cs="Amiri"/>
          <w:lang w:bidi="ar-SA"/>
          <w:color w:val="111111"/>
          <w:sz w:val="28"/>
          <w:szCs w:val="28"/>
          <w:rtl/>
        </w:rPr>
        <w:t xml:space="preserve">54 .محاضرات وإرشادات دينية</w:t>
      </w:r>
    </w:p>
    <w:p>
      <w:pPr>
        <w:pStyle w:val="BookText"/>
      </w:pPr>
      <w:r>
        <w:rPr>
          <w:rFonts w:ascii="IRNazanin" w:hAnsi="IRNazanin" w:eastAsia="IRNazanin" w:cs="IRNazanin"/>
          <w:lang w:bidi="fa-IR"/>
          <w:color w:val="111111"/>
          <w:sz w:val="28"/>
          <w:szCs w:val="28"/>
          <w:rtl/>
        </w:rPr>
        <w:t xml:space="preserve">ج 14، ص 100.</w:t>
      </w:r>
    </w:p>
    <w:p>
      <w:pPr>
        <w:pStyle w:val="BookText"/>
      </w:pPr>
      <w:r>
        <w:rPr>
          <w:rFonts w:ascii="Amiri" w:hAnsi="Amiri" w:eastAsia="Amiri" w:cs="Amiri"/>
          <w:lang w:bidi="ar-SA"/>
          <w:color w:val="111111"/>
          <w:sz w:val="28"/>
          <w:szCs w:val="28"/>
          <w:rtl/>
        </w:rPr>
        <w:t xml:space="preserve">55 .المخلاة، ج 14 ، ص 297.</w:t>
      </w:r>
    </w:p>
    <w:p>
      <w:pPr>
        <w:pStyle w:val="BookText"/>
      </w:pPr>
      <w:r>
        <w:rPr>
          <w:rFonts w:ascii="Amiri" w:hAnsi="Amiri" w:eastAsia="Amiri" w:cs="Amiri"/>
          <w:lang w:bidi="ar-SA"/>
          <w:color w:val="111111"/>
          <w:sz w:val="28"/>
          <w:szCs w:val="28"/>
          <w:rtl/>
        </w:rPr>
        <w:t xml:space="preserve">56 .المسائل المشكلة، ج 14، ص 488.</w:t>
      </w:r>
    </w:p>
    <w:p>
      <w:pPr>
        <w:pStyle w:val="BookText"/>
      </w:pPr>
      <w:r>
        <w:rPr>
          <w:rFonts w:ascii="Amiri" w:hAnsi="Amiri" w:eastAsia="Amiri" w:cs="Amiri"/>
          <w:lang w:bidi="ar-SA"/>
          <w:color w:val="111111"/>
          <w:sz w:val="28"/>
          <w:szCs w:val="28"/>
          <w:rtl/>
        </w:rPr>
        <w:t xml:space="preserve">57 .المصباح الساطع في شرح مفاتيح الشرائع (ترجمة)، ج 14، ص 708.</w:t>
      </w:r>
    </w:p>
    <w:p>
      <w:pPr>
        <w:pStyle w:val="BookText"/>
      </w:pPr>
      <w:r>
        <w:rPr>
          <w:rFonts w:ascii="Amiri" w:hAnsi="Amiri" w:eastAsia="Amiri" w:cs="Amiri"/>
          <w:lang w:bidi="ar-SA"/>
          <w:color w:val="111111"/>
          <w:sz w:val="28"/>
          <w:szCs w:val="28"/>
          <w:rtl/>
        </w:rPr>
        <w:t xml:space="preserve">58 .مقتدي الأنام في ترجمة شرايع</w:t>
      </w:r>
    </w:p>
    <w:p>
      <w:pPr>
        <w:pStyle w:val="BookText"/>
      </w:pPr>
      <w:r>
        <w:rPr>
          <w:rFonts w:ascii="IRNazanin" w:hAnsi="IRNazanin" w:eastAsia="IRNazanin" w:cs="IRNazanin"/>
          <w:lang w:bidi="fa-IR"/>
          <w:color w:val="111111"/>
          <w:sz w:val="28"/>
          <w:szCs w:val="28"/>
          <w:rtl/>
        </w:rPr>
        <w:t xml:space="preserve">الاسلام، ج 15 ، ص326.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مكارم الأخلاق، ج 15 ، ص 412.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المنتخب في الأخلاق و المواعظ،</w:t>
      </w:r>
    </w:p>
    <w:p>
      <w:pPr>
        <w:pStyle w:val="BookText"/>
      </w:pPr>
      <w:r>
        <w:rPr>
          <w:rFonts w:ascii="IRNazanin" w:hAnsi="IRNazanin" w:eastAsia="IRNazanin" w:cs="IRNazanin"/>
          <w:lang w:bidi="fa-IR"/>
          <w:color w:val="111111"/>
          <w:sz w:val="28"/>
          <w:szCs w:val="28"/>
          <w:rtl/>
        </w:rPr>
        <w:t xml:space="preserve">ج 15 ، ص 609.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من لا يحضره الطبيب، ج 15</w:t>
      </w:r>
    </w:p>
    <w:p>
      <w:pPr>
        <w:pStyle w:val="BookText"/>
      </w:pPr>
      <w:r>
        <w:rPr>
          <w:rFonts w:ascii="IRNazanin" w:hAnsi="IRNazanin" w:eastAsia="IRNazanin" w:cs="IRNazanin"/>
          <w:lang w:bidi="fa-IR"/>
          <w:color w:val="111111"/>
          <w:sz w:val="28"/>
          <w:szCs w:val="28"/>
          <w:rtl/>
        </w:rPr>
        <w:t xml:space="preserve">ص 744 .</w:t>
      </w:r>
    </w:p>
    <w:p>
      <w:pPr>
        <w:pStyle w:val="BookText"/>
      </w:pPr>
      <w:r>
        <w:rPr>
          <w:rFonts w:ascii="Amiri" w:hAnsi="Amiri" w:eastAsia="Amiri" w:cs="Amiri"/>
          <w:lang w:bidi="ar-SA"/>
          <w:color w:val="111111"/>
          <w:sz w:val="28"/>
          <w:szCs w:val="28"/>
          <w:rtl/>
        </w:rPr>
        <w:t xml:space="preserve">62 .المواعظ المنثورة والحكم المأثورة</w:t>
      </w:r>
    </w:p>
    <w:p>
      <w:pPr>
        <w:pStyle w:val="BookText"/>
      </w:pPr>
      <w:r>
        <w:rPr>
          <w:rFonts w:ascii="IRNazanin" w:hAnsi="IRNazanin" w:eastAsia="IRNazanin" w:cs="IRNazanin"/>
          <w:lang w:bidi="fa-IR"/>
          <w:color w:val="111111"/>
          <w:sz w:val="28"/>
          <w:szCs w:val="28"/>
          <w:rtl/>
        </w:rPr>
        <w:t xml:space="preserve">ج 15، ص 872.</w:t>
      </w:r>
    </w:p>
    <w:p>
      <w:pPr>
        <w:pStyle w:val="BookText"/>
      </w:pPr>
      <w:r>
        <w:rPr>
          <w:rFonts w:ascii="IRNazanin" w:hAnsi="IRNazanin" w:eastAsia="IRNazanin" w:cs="IRNazanin"/>
          <w:lang w:bidi="fa-IR"/>
          <w:color w:val="111111"/>
          <w:sz w:val="28"/>
          <w:szCs w:val="28"/>
          <w:rtl/>
        </w:rPr>
        <w:t xml:space="preserve">63 .مواعظ سید محمّد شبر، ج 15</w:t>
      </w:r>
    </w:p>
    <w:p>
      <w:pPr>
        <w:pStyle w:val="BookText"/>
      </w:pPr>
      <w:r>
        <w:rPr>
          <w:rFonts w:ascii="IRNazanin" w:hAnsi="IRNazanin" w:eastAsia="IRNazanin" w:cs="IRNazanin"/>
          <w:lang w:bidi="fa-IR"/>
          <w:color w:val="111111"/>
          <w:sz w:val="28"/>
          <w:szCs w:val="28"/>
          <w:rtl/>
        </w:rPr>
        <w:t xml:space="preserve">ص 870.</w:t>
      </w:r>
    </w:p>
    <w:p>
      <w:pPr>
        <w:pStyle w:val="BookText"/>
      </w:pPr>
      <w:r>
        <w:rPr>
          <w:rFonts w:ascii="IRNazanin" w:hAnsi="IRNazanin" w:eastAsia="IRNazanin" w:cs="IRNazanin"/>
          <w:lang w:bidi="fa-IR"/>
          <w:color w:val="111111"/>
          <w:sz w:val="28"/>
          <w:szCs w:val="28"/>
          <w:rtl/>
        </w:rPr>
        <w:t xml:space="preserve">64 .مواعظ شهر رمضان، ج 15</w:t>
      </w:r>
    </w:p>
    <w:p>
      <w:pPr>
        <w:pStyle w:val="BookText"/>
      </w:pPr>
      <w:r>
        <w:rPr>
          <w:rFonts w:ascii="IRNazanin" w:hAnsi="IRNazanin" w:eastAsia="IRNazanin" w:cs="IRNazanin"/>
          <w:lang w:bidi="fa-IR"/>
          <w:color w:val="111111"/>
          <w:sz w:val="28"/>
          <w:szCs w:val="28"/>
          <w:rtl/>
        </w:rPr>
        <w:t xml:space="preserve">ص 871 .</w:t>
      </w:r>
    </w:p>
    <w:p>
      <w:pPr>
        <w:pStyle w:val="BookText"/>
      </w:pPr>
      <w:r>
        <w:rPr>
          <w:rFonts w:ascii="Amiri" w:hAnsi="Amiri" w:eastAsia="Amiri" w:cs="Amiri"/>
          <w:lang w:bidi="ar-SA"/>
          <w:color w:val="111111"/>
          <w:sz w:val="28"/>
          <w:szCs w:val="28"/>
          <w:rtl/>
        </w:rPr>
        <w:t xml:space="preserve">65 .المواعظ والارشاد (رسالة في)</w:t>
      </w:r>
    </w:p>
    <w:p>
      <w:pPr>
        <w:pStyle w:val="BookText"/>
      </w:pPr>
      <w:r>
        <w:rPr>
          <w:rFonts w:ascii="IRNazanin" w:hAnsi="IRNazanin" w:eastAsia="IRNazanin" w:cs="IRNazanin"/>
          <w:lang w:bidi="fa-IR"/>
          <w:color w:val="111111"/>
          <w:sz w:val="28"/>
          <w:szCs w:val="28"/>
          <w:rtl/>
        </w:rPr>
        <w:t xml:space="preserve">ج 15 ، ص 874.</w:t>
      </w:r>
    </w:p>
    <w:p>
      <w:pPr>
        <w:pStyle w:val="BookText"/>
      </w:pPr>
      <w:r>
        <w:rPr>
          <w:rFonts w:ascii="Amiri" w:hAnsi="Amiri" w:eastAsia="Amiri" w:cs="Amiri"/>
          <w:lang w:bidi="ar-SA"/>
          <w:color w:val="111111"/>
          <w:sz w:val="28"/>
          <w:szCs w:val="28"/>
          <w:rtl/>
        </w:rPr>
        <w:t xml:space="preserve">شبستري ، ابراهيم بن حسن -سيبويه ثاني ابراهيم بن حسن</w:t>
      </w:r>
    </w:p>
    <w:p>
      <w:pPr>
        <w:pStyle w:val="BookText"/>
      </w:pPr>
      <w:r>
        <w:rPr>
          <w:rFonts w:ascii="Amiri" w:hAnsi="Amiri" w:eastAsia="Amiri" w:cs="Amiri"/>
          <w:lang w:bidi="ar-SA"/>
          <w:color w:val="111111"/>
          <w:sz w:val="28"/>
          <w:szCs w:val="28"/>
          <w:rtl/>
        </w:rPr>
        <w:t xml:space="preserve">شبستري ، سعد الدين محمود</w:t>
      </w:r>
    </w:p>
    <w:p>
      <w:pPr>
        <w:pStyle w:val="BookText"/>
      </w:pPr>
      <w:r>
        <w:rPr>
          <w:rFonts w:ascii="Amiri" w:hAnsi="Amiri" w:eastAsia="Amiri" w:cs="Amiri"/>
          <w:lang w:bidi="ar-SA"/>
          <w:color w:val="111111"/>
          <w:sz w:val="28"/>
          <w:szCs w:val="28"/>
          <w:rtl/>
        </w:rPr>
        <w:t xml:space="preserve">عبد الكريم - شبستري ، محمود بن عبدالكريم</w:t>
      </w:r>
    </w:p>
    <w:p>
      <w:pPr>
        <w:pStyle w:val="BookText"/>
      </w:pPr>
      <w:r>
        <w:rPr>
          <w:rFonts w:ascii="Amiri" w:hAnsi="Amiri" w:eastAsia="Amiri" w:cs="Amiri"/>
          <w:lang w:bidi="ar-SA"/>
          <w:color w:val="111111"/>
          <w:sz w:val="28"/>
          <w:szCs w:val="28"/>
          <w:rtl/>
        </w:rPr>
        <w:t xml:space="preserve">شبستري ، محمود بن امين</w:t>
      </w:r>
    </w:p>
    <w:p>
      <w:pPr>
        <w:pStyle w:val="BookText"/>
      </w:pPr>
      <w:r>
        <w:rPr>
          <w:rFonts w:ascii="Amiri" w:hAnsi="Amiri" w:eastAsia="Amiri" w:cs="Amiri"/>
          <w:lang w:bidi="ar-SA"/>
          <w:color w:val="111111"/>
          <w:sz w:val="28"/>
          <w:szCs w:val="28"/>
          <w:rtl/>
        </w:rPr>
        <w:t xml:space="preserve">الدين- شبستري ، محمود بن عبدالكريم</w:t>
      </w:r>
    </w:p>
    <w:p>
      <w:pPr>
        <w:pStyle w:val="Heading2"/>
      </w:pPr>
      <w:bookmarkStart w:id="5096" w:name="_Toc4198"/>
      <w:r>
        <w:t>شبستري ، محمود بن عبدالكريم 687 -</w:t>
      </w:r>
      <w:bookmarkEnd w:id="5096"/>
    </w:p>
    <w:p>
      <w:pPr>
        <w:pStyle w:val="BookText"/>
      </w:pPr>
      <w:r>
        <w:rPr>
          <w:rFonts w:ascii="IRNazanin" w:hAnsi="IRNazanin" w:eastAsia="IRNazanin" w:cs="IRNazanin"/>
          <w:lang w:bidi="fa-IR"/>
          <w:color w:val="111111"/>
          <w:sz w:val="28"/>
          <w:szCs w:val="28"/>
          <w:rtl/>
        </w:rPr>
        <w:t xml:space="preserve">720؟ ه-</w:t>
      </w:r>
    </w:p>
    <w:p>
      <w:pPr>
        <w:pStyle w:val="BookText"/>
      </w:pPr>
      <w:r>
        <w:rPr>
          <w:rFonts w:ascii="Amiri" w:hAnsi="Amiri" w:eastAsia="Amiri" w:cs="Amiri"/>
          <w:lang w:bidi="ar-SA"/>
          <w:color w:val="111111"/>
          <w:sz w:val="28"/>
          <w:szCs w:val="28"/>
          <w:rtl/>
        </w:rPr>
        <w:t xml:space="preserve">1 .حق اليقين في معرفة رب العالمين - حق اليقين في معرفة الله و العوالم ج 6 ، ص 703.</w:t>
      </w:r>
    </w:p>
    <w:p>
      <w:pPr>
        <w:pStyle w:val="BookText"/>
      </w:pPr>
      <w:r>
        <w:rPr>
          <w:rFonts w:ascii="IRNazanin" w:hAnsi="IRNazanin" w:eastAsia="IRNazanin" w:cs="IRNazanin"/>
          <w:lang w:bidi="fa-IR"/>
          <w:color w:val="111111"/>
          <w:sz w:val="28"/>
          <w:szCs w:val="28"/>
          <w:rtl/>
        </w:rPr>
        <w:t xml:space="preserve">2 .گلشن راز = گلشن الاسرار = گلشن</w:t>
      </w:r>
    </w:p>
    <w:p>
      <w:pPr>
        <w:pStyle w:val="BookText"/>
      </w:pPr>
      <w:r>
        <w:rPr>
          <w:rFonts w:ascii="Amiri" w:hAnsi="Amiri" w:eastAsia="Amiri" w:cs="Amiri"/>
          <w:lang w:bidi="ar-SA"/>
          <w:color w:val="111111"/>
          <w:sz w:val="28"/>
          <w:szCs w:val="28"/>
          <w:rtl/>
        </w:rPr>
        <w:t xml:space="preserve">محمودي، ج 13، ص 504.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مرآة المحققين، ج 14، ص 361.</w:t>
      </w:r>
    </w:p>
    <w:p>
      <w:pPr>
        <w:pStyle w:val="BookText"/>
      </w:pPr>
      <w:r>
        <w:rPr>
          <w:rFonts w:ascii="IRNazanin" w:hAnsi="IRNazanin" w:eastAsia="IRNazanin" w:cs="IRNazanin"/>
          <w:lang w:bidi="fa-IR"/>
          <w:color w:val="111111"/>
          <w:sz w:val="28"/>
          <w:szCs w:val="28"/>
          <w:rtl/>
        </w:rPr>
        <w:t xml:space="preserve">شبستري ، نجم الدین محمود بن عبد الكريم- شبستري ، محمود بن عبدالكريم</w:t>
      </w:r>
    </w:p>
    <w:p>
      <w:pPr>
        <w:pStyle w:val="Heading2"/>
      </w:pPr>
      <w:bookmarkStart w:id="5097" w:name="_Toc4199"/>
      <w:r>
        <w:t>شبشيري ، محمّد ولي الدين قرن 10 ه-</w:t>
      </w:r>
      <w:bookmarkEnd w:id="5097"/>
    </w:p>
    <w:p>
      <w:pPr>
        <w:pStyle w:val="BookText"/>
      </w:pPr>
      <w:r>
        <w:rPr>
          <w:rFonts w:ascii="Amiri" w:hAnsi="Amiri" w:eastAsia="Amiri" w:cs="Amiri"/>
          <w:lang w:bidi="ar-SA"/>
          <w:color w:val="111111"/>
          <w:sz w:val="28"/>
          <w:szCs w:val="28"/>
          <w:rtl/>
        </w:rPr>
        <w:t xml:space="preserve">الجواهر البهية في شرح الأربعين النووية، ج 5، ص 540.</w:t>
      </w:r>
    </w:p>
    <w:p>
      <w:pPr>
        <w:pStyle w:val="BookText"/>
      </w:pPr>
      <w:r>
        <w:rPr>
          <w:rFonts w:ascii="Amiri" w:hAnsi="Amiri" w:eastAsia="Amiri" w:cs="Amiri"/>
          <w:lang w:bidi="ar-SA"/>
          <w:color w:val="111111"/>
          <w:sz w:val="28"/>
          <w:szCs w:val="28"/>
          <w:rtl/>
        </w:rPr>
        <w:t xml:space="preserve">شبكشي ، علي بن عبد الرحيم الغالية في ذكر الأطعمة الحالية، ج 11،</w:t>
      </w:r>
    </w:p>
    <w:p>
      <w:pPr>
        <w:pStyle w:val="BookText"/>
      </w:pPr>
      <w:r>
        <w:rPr>
          <w:rFonts w:ascii="IRNazanin" w:hAnsi="IRNazanin" w:eastAsia="IRNazanin" w:cs="IRNazanin"/>
          <w:lang w:bidi="fa-IR"/>
          <w:color w:val="111111"/>
          <w:sz w:val="28"/>
          <w:szCs w:val="28"/>
          <w:rtl/>
        </w:rPr>
        <w:t xml:space="preserve">ص 422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0" w:name="pg7742_70596"/>
    <w:bookmarkEnd w:id="610"/>
    <w:p>
      <w:pPr>
        <w:pStyle w:val="BookText"/>
      </w:pPr>
      <w:r>
        <w:rPr>
          <w:rFonts w:ascii="Amiri" w:hAnsi="Amiri" w:eastAsia="Amiri" w:cs="Amiri"/>
          <w:lang w:bidi="ar-SA"/>
          <w:color w:val="111111"/>
          <w:sz w:val="28"/>
          <w:szCs w:val="28"/>
          <w:rtl/>
        </w:rPr>
        <w:t xml:space="preserve">شبلي ، ابو عبدالله محمّد -شبلي ، محمّد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شبلي ، ابوبكر دلف بن حجدر- شبلي</w:t>
      </w:r>
    </w:p>
    <w:p>
      <w:pPr>
        <w:pStyle w:val="BookText"/>
      </w:pPr>
      <w:r>
        <w:rPr>
          <w:rFonts w:ascii="Amiri" w:hAnsi="Amiri" w:eastAsia="Amiri" w:cs="Amiri"/>
          <w:lang w:bidi="ar-SA"/>
          <w:color w:val="111111"/>
          <w:sz w:val="28"/>
          <w:szCs w:val="28"/>
          <w:rtl/>
        </w:rPr>
        <w:t xml:space="preserve">جعفر بن يونس</w:t>
      </w:r>
    </w:p>
    <w:p>
      <w:pPr>
        <w:pStyle w:val="BookText"/>
      </w:pPr>
      <w:r>
        <w:rPr>
          <w:rFonts w:ascii="Amiri" w:hAnsi="Amiri" w:eastAsia="Amiri" w:cs="Amiri"/>
          <w:lang w:bidi="ar-SA"/>
          <w:color w:val="111111"/>
          <w:sz w:val="28"/>
          <w:szCs w:val="28"/>
          <w:rtl/>
        </w:rPr>
        <w:t xml:space="preserve">شبلي ، بدر الدين بن تقي الدين- شبلي</w:t>
      </w:r>
    </w:p>
    <w:p>
      <w:pPr>
        <w:pStyle w:val="BookText"/>
      </w:pPr>
      <w:r>
        <w:rPr>
          <w:rFonts w:ascii="IRNazanin" w:hAnsi="IRNazanin" w:eastAsia="IRNazanin" w:cs="IRNazanin"/>
          <w:lang w:bidi="fa-IR"/>
          <w:color w:val="111111"/>
          <w:sz w:val="28"/>
          <w:szCs w:val="28"/>
          <w:rtl/>
        </w:rPr>
        <w:t xml:space="preserve">محمّد بن عبدالله</w:t>
      </w:r>
    </w:p>
    <w:p>
      <w:pPr>
        <w:pStyle w:val="Heading2"/>
      </w:pPr>
      <w:bookmarkStart w:id="5098" w:name="_Toc4200"/>
      <w:r>
        <w:t>شبلي ، جعفر بن يونس، 247 - 334 ه-</w:t>
      </w:r>
      <w:bookmarkEnd w:id="5098"/>
    </w:p>
    <w:p>
      <w:pPr>
        <w:pStyle w:val="BookText"/>
      </w:pPr>
      <w:r>
        <w:rPr>
          <w:rFonts w:ascii="IRNazanin" w:hAnsi="IRNazanin" w:eastAsia="IRNazanin" w:cs="IRNazanin"/>
          <w:lang w:bidi="fa-IR"/>
          <w:color w:val="111111"/>
          <w:sz w:val="28"/>
          <w:szCs w:val="28"/>
          <w:rtl/>
        </w:rPr>
        <w:t xml:space="preserve">دیوان شبلي، ج 7، ص 667.</w:t>
      </w:r>
    </w:p>
    <w:p>
      <w:pPr>
        <w:pStyle w:val="BookText"/>
      </w:pPr>
      <w:r>
        <w:rPr>
          <w:rFonts w:ascii="Amiri" w:hAnsi="Amiri" w:eastAsia="Amiri" w:cs="Amiri"/>
          <w:lang w:bidi="ar-SA"/>
          <w:color w:val="111111"/>
          <w:sz w:val="28"/>
          <w:szCs w:val="28"/>
          <w:rtl/>
        </w:rPr>
        <w:t xml:space="preserve">شبلي ، دلف بن جحدر- شبلي ، جعفر بن</w:t>
      </w:r>
    </w:p>
    <w:p>
      <w:pPr>
        <w:pStyle w:val="BookText"/>
      </w:pPr>
      <w:r>
        <w:rPr>
          <w:rFonts w:ascii="Amiri" w:hAnsi="Amiri" w:eastAsia="Amiri" w:cs="Amiri"/>
          <w:lang w:bidi="ar-SA"/>
          <w:color w:val="111111"/>
          <w:sz w:val="28"/>
          <w:szCs w:val="28"/>
          <w:rtl/>
        </w:rPr>
        <w:t xml:space="preserve">يونس</w:t>
      </w:r>
    </w:p>
    <w:p>
      <w:pPr>
        <w:pStyle w:val="BookText"/>
      </w:pPr>
      <w:r>
        <w:rPr>
          <w:rFonts w:ascii="Amiri" w:hAnsi="Amiri" w:eastAsia="Amiri" w:cs="Amiri"/>
          <w:lang w:bidi="ar-SA"/>
          <w:color w:val="111111"/>
          <w:sz w:val="28"/>
          <w:szCs w:val="28"/>
          <w:rtl/>
        </w:rPr>
        <w:t xml:space="preserve">شبلي ، عمر بن اسحاق -غزنوي ، عمر بن</w:t>
      </w:r>
    </w:p>
    <w:p>
      <w:pPr>
        <w:pStyle w:val="BookText"/>
      </w:pPr>
      <w:r>
        <w:rPr>
          <w:rFonts w:ascii="IRNazanin" w:hAnsi="IRNazanin" w:eastAsia="IRNazanin" w:cs="IRNazanin"/>
          <w:lang w:bidi="fa-IR"/>
          <w:color w:val="111111"/>
          <w:sz w:val="28"/>
          <w:szCs w:val="28"/>
          <w:rtl/>
        </w:rPr>
        <w:t xml:space="preserve">اسحاق</w:t>
      </w:r>
    </w:p>
    <w:p>
      <w:pPr>
        <w:pStyle w:val="Heading2"/>
      </w:pPr>
      <w:bookmarkStart w:id="5099" w:name="_Toc4201"/>
      <w:r>
        <w:t>شبلي ، محمّد بن عبدالله، 712 - 769 ه-</w:t>
      </w:r>
      <w:bookmarkEnd w:id="5099"/>
    </w:p>
    <w:p>
      <w:pPr>
        <w:pStyle w:val="BookText"/>
      </w:pPr>
      <w:r>
        <w:rPr>
          <w:rFonts w:ascii="Amiri" w:hAnsi="Amiri" w:eastAsia="Amiri" w:cs="Amiri"/>
          <w:lang w:bidi="ar-SA"/>
          <w:color w:val="111111"/>
          <w:sz w:val="28"/>
          <w:szCs w:val="28"/>
          <w:rtl/>
        </w:rPr>
        <w:t xml:space="preserve">1 .آكام المرجان في احكام الجان، ج1،</w:t>
      </w:r>
    </w:p>
    <w:p>
      <w:pPr>
        <w:pStyle w:val="BookText"/>
      </w:pPr>
      <w:r>
        <w:rPr>
          <w:rFonts w:ascii="IRNazanin" w:hAnsi="IRNazanin" w:eastAsia="IRNazanin" w:cs="IRNazanin"/>
          <w:lang w:bidi="fa-IR"/>
          <w:color w:val="111111"/>
          <w:sz w:val="28"/>
          <w:szCs w:val="28"/>
          <w:rtl/>
        </w:rPr>
        <w:t xml:space="preserve">ص 66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تثقيف الألسنة لتعريف الازمنة</w:t>
      </w:r>
    </w:p>
    <w:p>
      <w:pPr>
        <w:pStyle w:val="BookText"/>
      </w:pPr>
      <w:r>
        <w:rPr>
          <w:rFonts w:ascii="IRNazanin" w:hAnsi="IRNazanin" w:eastAsia="IRNazanin" w:cs="IRNazanin"/>
          <w:lang w:bidi="fa-IR"/>
          <w:color w:val="111111"/>
          <w:sz w:val="28"/>
          <w:szCs w:val="28"/>
          <w:rtl/>
        </w:rPr>
        <w:t xml:space="preserve">ج 3، ص 680.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مسائل فقهية، ج 14، ص 462.</w:t>
      </w:r>
    </w:p>
    <w:p>
      <w:pPr>
        <w:pStyle w:val="BookText"/>
      </w:pPr>
      <w:r>
        <w:rPr>
          <w:rFonts w:ascii="Amiri" w:hAnsi="Amiri" w:eastAsia="Amiri" w:cs="Amiri"/>
          <w:lang w:bidi="ar-SA"/>
          <w:color w:val="111111"/>
          <w:sz w:val="28"/>
          <w:szCs w:val="28"/>
          <w:rtl/>
        </w:rPr>
        <w:t xml:space="preserve">4 .الينابيع في معرفة الاصول والتفاريع</w:t>
      </w:r>
    </w:p>
    <w:p>
      <w:pPr>
        <w:pStyle w:val="BookText"/>
      </w:pPr>
      <w:r>
        <w:rPr>
          <w:rFonts w:ascii="Amiri" w:hAnsi="Amiri" w:eastAsia="Amiri" w:cs="Amiri"/>
          <w:lang w:bidi="ar-SA"/>
          <w:color w:val="111111"/>
          <w:sz w:val="28"/>
          <w:szCs w:val="28"/>
          <w:rtl/>
        </w:rPr>
        <w:t xml:space="preserve">= شرح مختصر القدوري، ج 16،</w:t>
      </w:r>
    </w:p>
    <w:p>
      <w:pPr>
        <w:pStyle w:val="BookText"/>
      </w:pPr>
      <w:r>
        <w:rPr>
          <w:rFonts w:ascii="IRNazanin" w:hAnsi="IRNazanin" w:eastAsia="IRNazanin" w:cs="IRNazanin"/>
          <w:lang w:bidi="fa-IR"/>
          <w:color w:val="111111"/>
          <w:sz w:val="28"/>
          <w:szCs w:val="28"/>
          <w:rtl/>
        </w:rPr>
        <w:t xml:space="preserve">ص 900.</w:t>
      </w:r>
    </w:p>
    <w:p>
      <w:pPr>
        <w:pStyle w:val="BookText"/>
      </w:pPr>
      <w:r>
        <w:rPr>
          <w:rFonts w:ascii="Amiri" w:hAnsi="Amiri" w:eastAsia="Amiri" w:cs="Amiri"/>
          <w:lang w:bidi="ar-SA"/>
          <w:color w:val="111111"/>
          <w:sz w:val="28"/>
          <w:szCs w:val="28"/>
          <w:rtl/>
        </w:rPr>
        <w:t xml:space="preserve">شبيب راضي جزائري ماجدي- جزائري</w:t>
      </w:r>
    </w:p>
    <w:p>
      <w:pPr>
        <w:pStyle w:val="BookText"/>
      </w:pPr>
      <w:r>
        <w:rPr>
          <w:rFonts w:ascii="Amiri" w:hAnsi="Amiri" w:eastAsia="Amiri" w:cs="Amiri"/>
          <w:lang w:bidi="ar-SA"/>
          <w:color w:val="111111"/>
          <w:sz w:val="28"/>
          <w:szCs w:val="28"/>
          <w:rtl/>
        </w:rPr>
        <w:t xml:space="preserve">ماجدي ، شبيب راضي</w:t>
      </w:r>
    </w:p>
    <w:p>
      <w:pPr>
        <w:pStyle w:val="BookText"/>
      </w:pPr>
      <w:r>
        <w:rPr>
          <w:rFonts w:ascii="Amiri" w:hAnsi="Amiri" w:eastAsia="Amiri" w:cs="Amiri"/>
          <w:lang w:bidi="ar-SA"/>
          <w:color w:val="111111"/>
          <w:sz w:val="28"/>
          <w:szCs w:val="28"/>
          <w:rtl/>
        </w:rPr>
        <w:t xml:space="preserve">شبيبي ، احمد بن عبد اللطيف - بشيشي</w:t>
      </w:r>
    </w:p>
    <w:p>
      <w:pPr>
        <w:pStyle w:val="BookText"/>
      </w:pPr>
      <w:r>
        <w:rPr>
          <w:rFonts w:ascii="Amiri" w:hAnsi="Amiri" w:eastAsia="Amiri" w:cs="Amiri"/>
          <w:lang w:bidi="ar-SA"/>
          <w:color w:val="111111"/>
          <w:sz w:val="28"/>
          <w:szCs w:val="28"/>
          <w:rtl/>
        </w:rPr>
        <w:t xml:space="preserve">احمد بن عبداللطيف</w:t>
      </w:r>
    </w:p>
    <w:p>
      <w:pPr>
        <w:pStyle w:val="Heading2"/>
      </w:pPr>
      <w:bookmarkStart w:id="5100" w:name="_Toc4202"/>
      <w:r>
        <w:t>شبيبي ، جواد بن محمّد - 1363 ه-</w:t>
      </w:r>
      <w:bookmarkEnd w:id="5100"/>
    </w:p>
    <w:p>
      <w:pPr>
        <w:pStyle w:val="BookText"/>
      </w:pPr>
      <w:r>
        <w:rPr>
          <w:rFonts w:ascii="IRNazanin" w:hAnsi="IRNazanin" w:eastAsia="IRNazanin" w:cs="IRNazanin"/>
          <w:lang w:bidi="fa-IR"/>
          <w:color w:val="111111"/>
          <w:sz w:val="28"/>
          <w:szCs w:val="28"/>
          <w:rtl/>
        </w:rPr>
        <w:t xml:space="preserve">اللؤلؤ المنثور على صدور الدهور ج 13، ص 537 .</w:t>
      </w:r>
    </w:p>
    <w:p>
      <w:pPr>
        <w:pStyle w:val="Heading2"/>
      </w:pPr>
      <w:bookmarkStart w:id="5101" w:name="_Toc4203"/>
      <w:r>
        <w:t>شبيبي ، محمّد باقر بن محمّد جواد 1308 - 1380ه-</w:t>
      </w:r>
      <w:bookmarkEnd w:id="5101"/>
    </w:p>
    <w:p>
      <w:pPr>
        <w:pStyle w:val="BookText"/>
      </w:pPr>
      <w:r>
        <w:rPr>
          <w:rFonts w:ascii="Amiri" w:hAnsi="Amiri" w:eastAsia="Amiri" w:cs="Amiri"/>
          <w:lang w:bidi="ar-SA"/>
          <w:color w:val="111111"/>
          <w:sz w:val="28"/>
          <w:szCs w:val="28"/>
          <w:rtl/>
        </w:rPr>
        <w:t xml:space="preserve">ديوان الشيخ محمّد باقر الشبيبي</w:t>
      </w:r>
    </w:p>
    <w:p>
      <w:pPr>
        <w:pStyle w:val="BookText"/>
      </w:pPr>
      <w:r>
        <w:rPr>
          <w:rFonts w:ascii="IRNazanin" w:hAnsi="IRNazanin" w:eastAsia="IRNazanin" w:cs="IRNazanin"/>
          <w:lang w:bidi="fa-IR"/>
          <w:color w:val="111111"/>
          <w:sz w:val="28"/>
          <w:szCs w:val="28"/>
          <w:rtl/>
        </w:rPr>
        <w:t xml:space="preserve">ج 7، ص 677 .</w:t>
      </w:r>
    </w:p>
    <w:p>
      <w:pPr>
        <w:pStyle w:val="Heading2"/>
      </w:pPr>
      <w:bookmarkStart w:id="5102" w:name="_Toc4204"/>
      <w:r>
        <w:t>شبيبي ، محمّد رضا، 1886 - 1965 م</w:t>
      </w:r>
      <w:bookmarkEnd w:id="5102"/>
    </w:p>
    <w:p>
      <w:pPr>
        <w:pStyle w:val="BookText"/>
      </w:pPr>
      <w:r>
        <w:rPr>
          <w:rFonts w:ascii="Amiri" w:hAnsi="Amiri" w:eastAsia="Amiri" w:cs="Amiri"/>
          <w:lang w:bidi="ar-SA"/>
          <w:color w:val="111111"/>
          <w:sz w:val="28"/>
          <w:szCs w:val="28"/>
          <w:rtl/>
        </w:rPr>
        <w:t xml:space="preserve">1 .حديث، ج 6 ، ص 561.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رسالة كتبها إلى السيد محمّد</w:t>
      </w:r>
    </w:p>
    <w:p>
      <w:pPr>
        <w:pStyle w:val="BookText"/>
      </w:pPr>
      <w:r>
        <w:rPr>
          <w:rFonts w:ascii="IRNazanin" w:hAnsi="IRNazanin" w:eastAsia="IRNazanin" w:cs="IRNazanin"/>
          <w:lang w:bidi="fa-IR"/>
          <w:color w:val="111111"/>
          <w:sz w:val="28"/>
          <w:szCs w:val="28"/>
          <w:rtl/>
        </w:rPr>
        <w:t xml:space="preserve">الصدر، ج8، ص 253.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ج 12، ص 640.</w:t>
      </w:r>
    </w:p>
    <w:p>
      <w:pPr>
        <w:pStyle w:val="BookText"/>
      </w:pPr>
      <w:r>
        <w:rPr>
          <w:rFonts w:ascii="Amiri" w:hAnsi="Amiri" w:eastAsia="Amiri" w:cs="Amiri"/>
          <w:lang w:bidi="ar-SA"/>
          <w:color w:val="111111"/>
          <w:sz w:val="28"/>
          <w:szCs w:val="28"/>
          <w:rtl/>
        </w:rPr>
        <w:t xml:space="preserve">4 .نبذة من سيرة المرحوم الوالد الشيخ جواد الشبيبي، ج 16، ص 115.</w:t>
      </w:r>
    </w:p>
    <w:p>
      <w:pPr>
        <w:pStyle w:val="BookText"/>
      </w:pPr>
      <w:r>
        <w:rPr>
          <w:rFonts w:ascii="Amiri" w:hAnsi="Amiri" w:eastAsia="Amiri" w:cs="Amiri"/>
          <w:lang w:bidi="ar-SA"/>
          <w:color w:val="111111"/>
          <w:sz w:val="28"/>
          <w:szCs w:val="28"/>
          <w:rtl/>
        </w:rPr>
        <w:t xml:space="preserve">شبيبي ، محمّد رضا بن محمّد</w:t>
      </w:r>
    </w:p>
    <w:p>
      <w:pPr>
        <w:pStyle w:val="BookText"/>
      </w:pPr>
      <w:r>
        <w:rPr>
          <w:rFonts w:ascii="Amiri" w:hAnsi="Amiri" w:eastAsia="Amiri" w:cs="Amiri"/>
          <w:lang w:bidi="ar-SA"/>
          <w:color w:val="111111"/>
          <w:sz w:val="28"/>
          <w:szCs w:val="28"/>
          <w:rtl/>
        </w:rPr>
        <w:t xml:space="preserve">جواد -شبيبي ، محمّد رضا</w:t>
      </w:r>
    </w:p>
    <w:p>
      <w:pPr>
        <w:pStyle w:val="BookText"/>
      </w:pPr>
      <w:r>
        <w:rPr>
          <w:rFonts w:ascii="Amiri" w:hAnsi="Amiri" w:eastAsia="Amiri" w:cs="Amiri"/>
          <w:lang w:bidi="ar-SA"/>
          <w:color w:val="111111"/>
          <w:sz w:val="28"/>
          <w:szCs w:val="28"/>
          <w:rtl/>
        </w:rPr>
        <w:t xml:space="preserve">شجاع بن اسلم- ابو كامل ، شجاع بن اسلم</w:t>
      </w:r>
    </w:p>
    <w:p>
      <w:pPr>
        <w:pStyle w:val="BookText"/>
      </w:pPr>
      <w:r>
        <w:rPr>
          <w:rFonts w:ascii="Amiri" w:hAnsi="Amiri" w:eastAsia="Amiri" w:cs="Amiri"/>
          <w:lang w:bidi="ar-SA"/>
          <w:color w:val="111111"/>
          <w:sz w:val="28"/>
          <w:szCs w:val="28"/>
          <w:rtl/>
        </w:rPr>
        <w:t xml:space="preserve">شجاع بن علي هندي- هندي ، شجاع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شجاع بن نور الله انقروي -انقروي ، شجاع</w:t>
      </w:r>
    </w:p>
    <w:p>
      <w:pPr>
        <w:pStyle w:val="BookText"/>
      </w:pPr>
      <w:r>
        <w:rPr>
          <w:rFonts w:ascii="IRNazanin" w:hAnsi="IRNazanin" w:eastAsia="IRNazanin" w:cs="IRNazanin"/>
          <w:lang w:bidi="fa-IR"/>
          <w:color w:val="111111"/>
          <w:sz w:val="28"/>
          <w:szCs w:val="28"/>
          <w:rtl/>
        </w:rPr>
        <w:t xml:space="preserve">بن نورالله</w:t>
      </w:r>
    </w:p>
    <w:p>
      <w:pPr>
        <w:pStyle w:val="BookText"/>
      </w:pPr>
      <w:r>
        <w:rPr>
          <w:rFonts w:ascii="Amiri" w:hAnsi="Amiri" w:eastAsia="Amiri" w:cs="Amiri"/>
          <w:lang w:bidi="ar-SA"/>
          <w:color w:val="111111"/>
          <w:sz w:val="28"/>
          <w:szCs w:val="28"/>
          <w:rtl/>
        </w:rPr>
        <w:t xml:space="preserve">شجاع حسيني- حسيني ، شجاع بن علي</w:t>
      </w:r>
    </w:p>
    <w:p>
      <w:pPr>
        <w:pStyle w:val="BookText"/>
      </w:pPr>
      <w:r>
        <w:rPr>
          <w:rFonts w:ascii="Amiri" w:hAnsi="Amiri" w:eastAsia="Amiri" w:cs="Amiri"/>
          <w:lang w:bidi="ar-SA"/>
          <w:color w:val="111111"/>
          <w:sz w:val="28"/>
          <w:szCs w:val="28"/>
          <w:rtl/>
        </w:rPr>
        <w:t xml:space="preserve">شجري ، ابراهيم بن يحيى- سحولي ،</w:t>
      </w:r>
    </w:p>
    <w:p>
      <w:pPr>
        <w:pStyle w:val="BookText"/>
      </w:pPr>
      <w:r>
        <w:rPr>
          <w:rFonts w:ascii="Amiri" w:hAnsi="Amiri" w:eastAsia="Amiri" w:cs="Amiri"/>
          <w:lang w:bidi="ar-SA"/>
          <w:color w:val="111111"/>
          <w:sz w:val="28"/>
          <w:szCs w:val="28"/>
          <w:rtl/>
        </w:rPr>
        <w:t xml:space="preserve">ابراهيم بن يحيى</w:t>
      </w:r>
    </w:p>
    <w:p>
      <w:pPr>
        <w:pStyle w:val="BookText"/>
      </w:pPr>
      <w:r>
        <w:rPr>
          <w:rFonts w:ascii="Amiri" w:hAnsi="Amiri" w:eastAsia="Amiri" w:cs="Amiri"/>
          <w:lang w:bidi="ar-SA"/>
          <w:color w:val="111111"/>
          <w:sz w:val="28"/>
          <w:szCs w:val="28"/>
          <w:rtl/>
        </w:rPr>
        <w:t xml:space="preserve">شجري ، علي بن محمّد- ابن صوفي ، علي</w:t>
      </w:r>
    </w:p>
    <w:p>
      <w:pPr>
        <w:pStyle w:val="BookText"/>
      </w:pPr>
      <w:r>
        <w:rPr>
          <w:rFonts w:ascii="Amiri" w:hAnsi="Amiri" w:eastAsia="Amiri" w:cs="Amiri"/>
          <w:lang w:bidi="ar-SA"/>
          <w:color w:val="111111"/>
          <w:sz w:val="28"/>
          <w:szCs w:val="28"/>
          <w:rtl/>
        </w:rPr>
        <w:t xml:space="preserve">بن محمّد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11" w:name="pg7742_70597"/>
    <w:bookmarkEnd w:id="611"/>
    <w:p>
      <w:pPr>
        <w:pStyle w:val="BookText"/>
      </w:pPr>
      <w:r>
        <w:rPr>
          <w:rFonts w:ascii="Amiri" w:hAnsi="Amiri" w:eastAsia="Amiri" w:cs="Amiri"/>
          <w:lang w:bidi="ar-SA"/>
          <w:color w:val="111111"/>
          <w:sz w:val="28"/>
          <w:szCs w:val="28"/>
          <w:rtl/>
        </w:rPr>
        <w:t xml:space="preserve">شجري علوي ، محمّد بن علي حسيني - علوي حسيني ، محمّد بن علي</w:t>
      </w:r>
    </w:p>
    <w:p>
      <w:pPr>
        <w:pStyle w:val="BookText"/>
      </w:pPr>
      <w:r>
        <w:rPr>
          <w:rFonts w:ascii="Amiri" w:hAnsi="Amiri" w:eastAsia="Amiri" w:cs="Amiri"/>
          <w:lang w:bidi="ar-SA"/>
          <w:color w:val="111111"/>
          <w:sz w:val="28"/>
          <w:szCs w:val="28"/>
          <w:rtl/>
        </w:rPr>
        <w:t xml:space="preserve">شحامي ، زاهر بن طاهر -سحامي ، زاهر</w:t>
      </w:r>
    </w:p>
    <w:p>
      <w:pPr>
        <w:pStyle w:val="BookText"/>
      </w:pPr>
      <w:r>
        <w:rPr>
          <w:rFonts w:ascii="IRNazanin" w:hAnsi="IRNazanin" w:eastAsia="IRNazanin" w:cs="IRNazanin"/>
          <w:lang w:bidi="fa-IR"/>
          <w:color w:val="111111"/>
          <w:sz w:val="28"/>
          <w:szCs w:val="28"/>
          <w:rtl/>
        </w:rPr>
        <w:t xml:space="preserve">بن طاهر</w:t>
      </w:r>
    </w:p>
    <w:p>
      <w:pPr>
        <w:pStyle w:val="BookText"/>
      </w:pPr>
      <w:r>
        <w:rPr>
          <w:rFonts w:ascii="Amiri" w:hAnsi="Amiri" w:eastAsia="Amiri" w:cs="Amiri"/>
          <w:lang w:bidi="ar-SA"/>
          <w:color w:val="111111"/>
          <w:sz w:val="28"/>
          <w:szCs w:val="28"/>
          <w:rtl/>
        </w:rPr>
        <w:t xml:space="preserve">شحماني ، هاشم بن عبد الباقي- ربيعي</w:t>
      </w:r>
    </w:p>
    <w:p>
      <w:pPr>
        <w:pStyle w:val="BookText"/>
      </w:pPr>
      <w:r>
        <w:rPr>
          <w:rFonts w:ascii="Amiri" w:hAnsi="Amiri" w:eastAsia="Amiri" w:cs="Amiri"/>
          <w:lang w:bidi="ar-SA"/>
          <w:color w:val="111111"/>
          <w:sz w:val="28"/>
          <w:szCs w:val="28"/>
          <w:rtl/>
        </w:rPr>
        <w:t xml:space="preserve">هاشم بن عبدالباقي</w:t>
      </w:r>
    </w:p>
    <w:p>
      <w:pPr>
        <w:pStyle w:val="BookText"/>
      </w:pPr>
      <w:r>
        <w:rPr>
          <w:rFonts w:ascii="Amiri" w:hAnsi="Amiri" w:eastAsia="Amiri" w:cs="Amiri"/>
          <w:lang w:bidi="ar-SA"/>
          <w:color w:val="111111"/>
          <w:sz w:val="28"/>
          <w:szCs w:val="28"/>
          <w:rtl/>
        </w:rPr>
        <w:t xml:space="preserve">شحوري عاملي ، محمّد بن صالح- عاملي</w:t>
      </w:r>
    </w:p>
    <w:p>
      <w:pPr>
        <w:pStyle w:val="BookText"/>
      </w:pPr>
      <w:r>
        <w:rPr>
          <w:rFonts w:ascii="Amiri" w:hAnsi="Amiri" w:eastAsia="Amiri" w:cs="Amiri"/>
          <w:lang w:bidi="ar-SA"/>
          <w:color w:val="111111"/>
          <w:sz w:val="28"/>
          <w:szCs w:val="28"/>
          <w:rtl/>
        </w:rPr>
        <w:t xml:space="preserve">اصفهاني ، محمّد بن صالح</w:t>
      </w:r>
    </w:p>
    <w:p>
      <w:pPr>
        <w:pStyle w:val="Heading2"/>
      </w:pPr>
      <w:bookmarkStart w:id="5103" w:name="_Toc4205"/>
      <w:r>
        <w:t>شخير صيرفي ، محمّد بن عبدالله - 378</w:t>
      </w:r>
      <w:bookmarkEnd w:id="5103"/>
    </w:p>
    <w:p>
      <w:pPr>
        <w:pStyle w:val="BookText"/>
      </w:pPr>
      <w:r>
        <w:rPr>
          <w:rFonts w:ascii="Amiri" w:hAnsi="Amiri" w:eastAsia="Amiri" w:cs="Amiri"/>
          <w:lang w:bidi="ar-SA"/>
          <w:color w:val="111111"/>
          <w:sz w:val="28"/>
          <w:szCs w:val="28"/>
          <w:rtl/>
        </w:rPr>
        <w:t xml:space="preserve">نكت الانتصار لنقل القرآن لابي بكر</w:t>
      </w:r>
    </w:p>
    <w:p>
      <w:pPr>
        <w:pStyle w:val="BookText"/>
      </w:pPr>
      <w:r>
        <w:rPr>
          <w:rFonts w:ascii="Amiri" w:hAnsi="Amiri" w:eastAsia="Amiri" w:cs="Amiri"/>
          <w:lang w:bidi="ar-SA"/>
          <w:color w:val="111111"/>
          <w:sz w:val="28"/>
          <w:szCs w:val="28"/>
          <w:rtl/>
        </w:rPr>
        <w:t xml:space="preserve">الباقلاني، ج 16، ص 462.</w:t>
      </w:r>
    </w:p>
    <w:p>
      <w:pPr>
        <w:pStyle w:val="Heading2"/>
      </w:pPr>
      <w:bookmarkStart w:id="5104" w:name="_Toc4206"/>
      <w:r>
        <w:t>شدراوي ، اسحاق</w:t>
      </w:r>
      <w:bookmarkEnd w:id="5104"/>
    </w:p>
    <w:p>
      <w:pPr>
        <w:pStyle w:val="BookText"/>
      </w:pPr>
      <w:r>
        <w:rPr>
          <w:rFonts w:ascii="Amiri" w:hAnsi="Amiri" w:eastAsia="Amiri" w:cs="Amiri"/>
          <w:lang w:bidi="ar-SA"/>
          <w:color w:val="111111"/>
          <w:sz w:val="28"/>
          <w:szCs w:val="28"/>
          <w:rtl/>
        </w:rPr>
        <w:t xml:space="preserve">كتاب الذي فيه المعلم يجاوب التلميذ ج 13، ص88.</w:t>
      </w:r>
    </w:p>
    <w:p>
      <w:pPr>
        <w:pStyle w:val="BookText"/>
      </w:pPr>
      <w:r>
        <w:rPr>
          <w:rFonts w:ascii="Amiri" w:hAnsi="Amiri" w:eastAsia="Amiri" w:cs="Amiri"/>
          <w:lang w:bidi="ar-SA"/>
          <w:color w:val="111111"/>
          <w:sz w:val="28"/>
          <w:szCs w:val="28"/>
          <w:rtl/>
        </w:rPr>
        <w:t xml:space="preserve">شدياق ، احمد بن يوسف -شدياق ،</w:t>
      </w:r>
    </w:p>
    <w:p>
      <w:pPr>
        <w:pStyle w:val="BookText"/>
      </w:pPr>
      <w:r>
        <w:rPr>
          <w:rFonts w:ascii="Amiri" w:hAnsi="Amiri" w:eastAsia="Amiri" w:cs="Amiri"/>
          <w:lang w:bidi="ar-SA"/>
          <w:color w:val="111111"/>
          <w:sz w:val="28"/>
          <w:szCs w:val="28"/>
          <w:rtl/>
        </w:rPr>
        <w:t xml:space="preserve">احمد بن يوسف</w:t>
      </w:r>
    </w:p>
    <w:p>
      <w:pPr>
        <w:pStyle w:val="Heading2"/>
      </w:pPr>
      <w:bookmarkStart w:id="5105" w:name="_Toc4207"/>
      <w:r>
        <w:t>شدياق احمد بن يوسف، 1219 - 1304</w:t>
      </w:r>
      <w:bookmarkEnd w:id="5105"/>
    </w:p>
    <w:p>
      <w:pPr>
        <w:pStyle w:val="BookText"/>
      </w:pPr>
      <w:r>
        <w:rPr>
          <w:rFonts w:ascii="Amiri" w:hAnsi="Amiri" w:eastAsia="Amiri" w:cs="Amiri"/>
          <w:lang w:bidi="ar-SA"/>
          <w:color w:val="111111"/>
          <w:sz w:val="28"/>
          <w:szCs w:val="28"/>
          <w:rtl/>
        </w:rPr>
        <w:t xml:space="preserve">1 .الشابية في الصناعة الموسقية، ج9،</w:t>
      </w:r>
    </w:p>
    <w:p>
      <w:pPr>
        <w:pStyle w:val="BookText"/>
      </w:pPr>
      <w:r>
        <w:rPr>
          <w:rFonts w:ascii="IRNazanin" w:hAnsi="IRNazanin" w:eastAsia="IRNazanin" w:cs="IRNazanin"/>
          <w:lang w:bidi="fa-IR"/>
          <w:color w:val="111111"/>
          <w:sz w:val="28"/>
          <w:szCs w:val="28"/>
          <w:rtl/>
        </w:rPr>
        <w:t xml:space="preserve">ص 52 .</w:t>
      </w:r>
    </w:p>
    <w:p>
      <w:pPr>
        <w:pStyle w:val="BookText"/>
      </w:pPr>
      <w:r>
        <w:rPr>
          <w:rFonts w:ascii="Amiri" w:hAnsi="Amiri" w:eastAsia="Amiri" w:cs="Amiri"/>
          <w:lang w:bidi="ar-SA"/>
          <w:color w:val="111111"/>
          <w:sz w:val="28"/>
          <w:szCs w:val="28"/>
          <w:rtl/>
        </w:rPr>
        <w:t xml:space="preserve">2 .مبدأ ارتباط التمدن بين الاسلام</w:t>
      </w:r>
    </w:p>
    <w:p>
      <w:pPr>
        <w:pStyle w:val="BookText"/>
      </w:pPr>
      <w:r>
        <w:rPr>
          <w:rFonts w:ascii="IRNazanin" w:hAnsi="IRNazanin" w:eastAsia="IRNazanin" w:cs="IRNazanin"/>
          <w:lang w:bidi="fa-IR"/>
          <w:color w:val="111111"/>
          <w:sz w:val="28"/>
          <w:szCs w:val="28"/>
          <w:rtl/>
        </w:rPr>
        <w:t xml:space="preserve">ج 13، ص 731.</w:t>
      </w:r>
    </w:p>
    <w:p>
      <w:pPr>
        <w:pStyle w:val="BookText"/>
      </w:pPr>
      <w:r>
        <w:rPr>
          <w:rFonts w:ascii="Amiri" w:hAnsi="Amiri" w:eastAsia="Amiri" w:cs="Amiri"/>
          <w:lang w:bidi="ar-SA"/>
          <w:color w:val="111111"/>
          <w:sz w:val="28"/>
          <w:szCs w:val="28"/>
          <w:rtl/>
        </w:rPr>
        <w:t xml:space="preserve">3 .مقدمة ديوان احمد فارس افندي</w:t>
      </w:r>
    </w:p>
    <w:p>
      <w:pPr>
        <w:pStyle w:val="BookText"/>
      </w:pPr>
      <w:r>
        <w:rPr>
          <w:rFonts w:ascii="Amiri" w:hAnsi="Amiri" w:eastAsia="Amiri" w:cs="Amiri"/>
          <w:lang w:bidi="ar-SA"/>
          <w:color w:val="111111"/>
          <w:sz w:val="28"/>
          <w:szCs w:val="28"/>
          <w:rtl/>
        </w:rPr>
        <w:t xml:space="preserve">الشدياق، ج 15 ، ص 358.</w:t>
      </w:r>
    </w:p>
    <w:p>
      <w:pPr>
        <w:pStyle w:val="BookText"/>
      </w:pPr>
      <w:r>
        <w:rPr>
          <w:rFonts w:ascii="Amiri" w:hAnsi="Amiri" w:eastAsia="Amiri" w:cs="Amiri"/>
          <w:lang w:bidi="ar-SA"/>
          <w:color w:val="111111"/>
          <w:sz w:val="28"/>
          <w:szCs w:val="28"/>
          <w:rtl/>
        </w:rPr>
        <w:t xml:space="preserve">4 .مماحكات التأويل في مناقضات</w:t>
      </w:r>
    </w:p>
    <w:p>
      <w:pPr>
        <w:pStyle w:val="BookText"/>
      </w:pPr>
      <w:r>
        <w:rPr>
          <w:rFonts w:ascii="Amiri" w:hAnsi="Amiri" w:eastAsia="Amiri" w:cs="Amiri"/>
          <w:lang w:bidi="ar-SA"/>
          <w:color w:val="111111"/>
          <w:sz w:val="28"/>
          <w:szCs w:val="28"/>
          <w:rtl/>
        </w:rPr>
        <w:t xml:space="preserve">الانجيل، ج 15، ص 469.</w:t>
      </w:r>
    </w:p>
    <w:p>
      <w:pPr>
        <w:pStyle w:val="BookText"/>
      </w:pPr>
      <w:r>
        <w:rPr>
          <w:rFonts w:ascii="Amiri" w:hAnsi="Amiri" w:eastAsia="Amiri" w:cs="Amiri"/>
          <w:lang w:bidi="ar-SA"/>
          <w:color w:val="111111"/>
          <w:sz w:val="28"/>
          <w:szCs w:val="28"/>
          <w:rtl/>
        </w:rPr>
        <w:t xml:space="preserve">شرابياني، محمّد بن فضلعلي- فاضل</w:t>
      </w:r>
    </w:p>
    <w:p>
      <w:pPr>
        <w:pStyle w:val="BookText"/>
      </w:pPr>
      <w:r>
        <w:rPr>
          <w:rFonts w:ascii="Amiri" w:hAnsi="Amiri" w:eastAsia="Amiri" w:cs="Amiri"/>
          <w:lang w:bidi="ar-SA"/>
          <w:color w:val="111111"/>
          <w:sz w:val="28"/>
          <w:szCs w:val="28"/>
          <w:rtl/>
        </w:rPr>
        <w:t xml:space="preserve">شربياني، محمّد بن فضلعلي</w:t>
      </w:r>
    </w:p>
    <w:p>
      <w:pPr>
        <w:pStyle w:val="Heading2"/>
      </w:pPr>
      <w:bookmarkStart w:id="5106" w:name="_Toc4208"/>
      <w:r>
        <w:t>شراره عاملي موسى بن امين - 1304 ه-</w:t>
      </w:r>
      <w:bookmarkEnd w:id="5106"/>
    </w:p>
    <w:p>
      <w:pPr>
        <w:pStyle w:val="BookText"/>
      </w:pPr>
      <w:r>
        <w:rPr>
          <w:rFonts w:ascii="Amiri" w:hAnsi="Amiri" w:eastAsia="Amiri" w:cs="Amiri"/>
          <w:lang w:bidi="ar-SA"/>
          <w:color w:val="111111"/>
          <w:sz w:val="28"/>
          <w:szCs w:val="28"/>
          <w:rtl/>
        </w:rPr>
        <w:t xml:space="preserve">1 .الارث( منظومة في)، ج1، ص 753.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الدرة المنظمة = ارجوزة في اصول</w:t>
      </w:r>
    </w:p>
    <w:p>
      <w:pPr>
        <w:pStyle w:val="BookText"/>
      </w:pPr>
      <w:r>
        <w:rPr>
          <w:rFonts w:ascii="IRNazanin" w:hAnsi="IRNazanin" w:eastAsia="IRNazanin" w:cs="IRNazanin"/>
          <w:lang w:bidi="fa-IR"/>
          <w:color w:val="111111"/>
          <w:sz w:val="28"/>
          <w:szCs w:val="28"/>
          <w:rtl/>
        </w:rPr>
        <w:t xml:space="preserve">الفقه، ج 7، ص 268.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المنسك الكبير، ج 15 ، ص 686 .</w:t>
      </w:r>
    </w:p>
    <w:p>
      <w:pPr>
        <w:pStyle w:val="BookText"/>
      </w:pPr>
      <w:r>
        <w:rPr>
          <w:rFonts w:ascii="Amiri" w:hAnsi="Amiri" w:eastAsia="Amiri" w:cs="Amiri"/>
          <w:lang w:bidi="ar-SA"/>
          <w:color w:val="111111"/>
          <w:sz w:val="28"/>
          <w:szCs w:val="28"/>
          <w:rtl/>
        </w:rPr>
        <w:t xml:space="preserve">4.الميراث (ارجوزه)، ج 16، ص 58.</w:t>
      </w:r>
    </w:p>
    <w:p>
      <w:pPr>
        <w:pStyle w:val="BookText"/>
      </w:pPr>
      <w:r>
        <w:rPr>
          <w:rFonts w:ascii="Amiri" w:hAnsi="Amiri" w:eastAsia="Amiri" w:cs="Amiri"/>
          <w:lang w:bidi="ar-SA"/>
          <w:color w:val="111111"/>
          <w:sz w:val="28"/>
          <w:szCs w:val="28"/>
          <w:rtl/>
        </w:rPr>
        <w:t xml:space="preserve">شرانشي كردي ، محمّد -شيرانشي كردي ،</w:t>
      </w:r>
    </w:p>
    <w:p>
      <w:pPr>
        <w:pStyle w:val="BookText"/>
      </w:pPr>
      <w:r>
        <w:rPr>
          <w:rFonts w:ascii="Amiri" w:hAnsi="Amiri" w:eastAsia="Amiri" w:cs="Amiri"/>
          <w:lang w:bidi="ar-SA"/>
          <w:color w:val="111111"/>
          <w:sz w:val="28"/>
          <w:szCs w:val="28"/>
          <w:rtl/>
        </w:rPr>
        <w:t xml:space="preserve">محمّد</w:t>
      </w:r>
    </w:p>
    <w:p>
      <w:pPr>
        <w:pStyle w:val="Heading2"/>
      </w:pPr>
      <w:bookmarkStart w:id="5107" w:name="_Toc4209"/>
      <w:r>
        <w:t>شربتي، هادي بن محمّد، 1351-1415 ه-</w:t>
      </w:r>
      <w:bookmarkEnd w:id="5107"/>
    </w:p>
    <w:p>
      <w:pPr>
        <w:pStyle w:val="BookText"/>
      </w:pPr>
      <w:r>
        <w:rPr>
          <w:rFonts w:ascii="Amiri" w:hAnsi="Amiri" w:eastAsia="Amiri" w:cs="Amiri"/>
          <w:lang w:bidi="ar-SA"/>
          <w:color w:val="111111"/>
          <w:sz w:val="28"/>
          <w:szCs w:val="28"/>
          <w:rtl/>
        </w:rPr>
        <w:t xml:space="preserve">أهازيج من الجنوب، ج 3، ص 49 .</w:t>
      </w:r>
    </w:p>
    <w:p>
      <w:pPr>
        <w:pStyle w:val="BookText"/>
      </w:pPr>
      <w:r>
        <w:rPr>
          <w:rFonts w:ascii="Amiri" w:hAnsi="Amiri" w:eastAsia="Amiri" w:cs="Amiri"/>
          <w:lang w:bidi="ar-SA"/>
          <w:color w:val="111111"/>
          <w:sz w:val="28"/>
          <w:szCs w:val="28"/>
          <w:rtl/>
        </w:rPr>
        <w:t xml:space="preserve">شربياني، محمّد بن فضلعلي- فاضل</w:t>
      </w:r>
    </w:p>
    <w:p>
      <w:pPr>
        <w:pStyle w:val="BookText"/>
      </w:pPr>
      <w:r>
        <w:rPr>
          <w:rFonts w:ascii="Amiri" w:hAnsi="Amiri" w:eastAsia="Amiri" w:cs="Amiri"/>
          <w:lang w:bidi="ar-SA"/>
          <w:color w:val="111111"/>
          <w:sz w:val="28"/>
          <w:szCs w:val="28"/>
          <w:rtl/>
        </w:rPr>
        <w:t xml:space="preserve">شربياني، محمّد بن فضلعلي</w:t>
      </w:r>
    </w:p>
    <w:p>
      <w:pPr>
        <w:pStyle w:val="BookText"/>
      </w:pPr>
      <w:r>
        <w:rPr>
          <w:rFonts w:ascii="Amiri" w:hAnsi="Amiri" w:eastAsia="Amiri" w:cs="Amiri"/>
          <w:lang w:bidi="ar-SA"/>
          <w:color w:val="111111"/>
          <w:sz w:val="28"/>
          <w:szCs w:val="28"/>
          <w:rtl/>
        </w:rPr>
        <w:t xml:space="preserve">شربيني خطيب- خطيب شربيني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شربيني ، محمّد بن احمد- خطيب</w:t>
      </w:r>
    </w:p>
    <w:p>
      <w:pPr>
        <w:pStyle w:val="BookText"/>
      </w:pPr>
      <w:r>
        <w:rPr>
          <w:rFonts w:ascii="Amiri" w:hAnsi="Amiri" w:eastAsia="Amiri" w:cs="Amiri"/>
          <w:lang w:bidi="ar-SA"/>
          <w:color w:val="111111"/>
          <w:sz w:val="28"/>
          <w:szCs w:val="28"/>
          <w:rtl/>
        </w:rPr>
        <w:t xml:space="preserve">شربيني ، محمّد بن احمد</w:t>
      </w:r>
    </w:p>
    <w:p>
      <w:pPr>
        <w:pStyle w:val="Heading2"/>
      </w:pPr>
      <w:bookmarkStart w:id="5108" w:name="_Toc4210"/>
      <w:r>
        <w:t>شربيني ، يوسف بن محمّد قرن 11 ه-</w:t>
      </w:r>
      <w:bookmarkEnd w:id="5108"/>
    </w:p>
    <w:p>
      <w:pPr>
        <w:pStyle w:val="BookText"/>
      </w:pPr>
      <w:r>
        <w:rPr>
          <w:rFonts w:ascii="Amiri" w:hAnsi="Amiri" w:eastAsia="Amiri" w:cs="Amiri"/>
          <w:lang w:bidi="ar-SA"/>
          <w:color w:val="111111"/>
          <w:sz w:val="28"/>
          <w:szCs w:val="28"/>
          <w:rtl/>
        </w:rPr>
        <w:t xml:space="preserve">1 .شرح المنظومة المهملة الحروف الجامعة لكل معنى مالوف، ج10،</w:t>
      </w:r>
    </w:p>
    <w:p>
      <w:pPr>
        <w:pStyle w:val="BookText"/>
      </w:pPr>
      <w:r>
        <w:rPr>
          <w:rFonts w:ascii="IRNazanin" w:hAnsi="IRNazanin" w:eastAsia="IRNazanin" w:cs="IRNazanin"/>
          <w:lang w:bidi="fa-IR"/>
          <w:color w:val="111111"/>
          <w:sz w:val="28"/>
          <w:szCs w:val="28"/>
          <w:rtl/>
        </w:rPr>
        <w:t xml:space="preserve">ص 257.</w:t>
      </w:r>
    </w:p>
    <w:p>
      <w:pPr>
        <w:pStyle w:val="BookText"/>
      </w:pPr>
      <w:r>
        <w:rPr>
          <w:rFonts w:ascii="Amiri" w:hAnsi="Amiri" w:eastAsia="Amiri" w:cs="Amiri"/>
          <w:lang w:bidi="ar-SA"/>
          <w:color w:val="111111"/>
          <w:sz w:val="28"/>
          <w:szCs w:val="28"/>
          <w:rtl/>
        </w:rPr>
        <w:t xml:space="preserve">2 .هز القحوف في شرح قصيدة أبي</w:t>
      </w:r>
    </w:p>
    <w:p>
      <w:pPr>
        <w:pStyle w:val="BookText"/>
      </w:pPr>
      <w:r>
        <w:rPr>
          <w:rFonts w:ascii="IRNazanin" w:hAnsi="IRNazanin" w:eastAsia="IRNazanin" w:cs="IRNazanin"/>
          <w:lang w:bidi="fa-IR"/>
          <w:color w:val="111111"/>
          <w:sz w:val="28"/>
          <w:szCs w:val="28"/>
          <w:rtl/>
        </w:rPr>
        <w:t xml:space="preserve">شادوف، ج 16، ص 646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12" w:name="pg7742_70598"/>
    <w:bookmarkEnd w:id="612"/>
    <w:p>
      <w:pPr>
        <w:pStyle w:val="BookText"/>
      </w:pPr>
      <w:r>
        <w:rPr>
          <w:rFonts w:ascii="Amiri" w:hAnsi="Amiri" w:eastAsia="Amiri" w:cs="Amiri"/>
          <w:lang w:bidi="ar-SA"/>
          <w:color w:val="111111"/>
          <w:sz w:val="28"/>
          <w:szCs w:val="28"/>
          <w:rtl/>
        </w:rPr>
        <w:t xml:space="preserve">شرجي ، احمد بن احمد -زبيدي ، احمد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شرجي ، احمد بن عبد اللطيف- زبيدي ،</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شرجي ، احمد بن يوسف -سيرجي ، احمد</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شرجي ، اسماعيل بن ابي بكر- ابن مقري ،</w:t>
      </w:r>
    </w:p>
    <w:p>
      <w:pPr>
        <w:pStyle w:val="BookText"/>
      </w:pPr>
      <w:r>
        <w:rPr>
          <w:rFonts w:ascii="Amiri" w:hAnsi="Amiri" w:eastAsia="Amiri" w:cs="Amiri"/>
          <w:lang w:bidi="ar-SA"/>
          <w:color w:val="111111"/>
          <w:sz w:val="28"/>
          <w:szCs w:val="28"/>
          <w:rtl/>
        </w:rPr>
        <w:t xml:space="preserve">اسماعيل بن ابي بكر</w:t>
      </w:r>
    </w:p>
    <w:p>
      <w:pPr>
        <w:pStyle w:val="BookText"/>
      </w:pPr>
      <w:r>
        <w:rPr>
          <w:rFonts w:ascii="Amiri" w:hAnsi="Amiri" w:eastAsia="Amiri" w:cs="Amiri"/>
          <w:lang w:bidi="ar-SA"/>
          <w:color w:val="111111"/>
          <w:sz w:val="28"/>
          <w:szCs w:val="28"/>
          <w:rtl/>
        </w:rPr>
        <w:t xml:space="preserve">شرجي زبيدي، احمد بن احمد عبد اللطيف - زبيدي ، احمد بن احمد</w:t>
      </w:r>
    </w:p>
    <w:p>
      <w:pPr>
        <w:pStyle w:val="BookText"/>
      </w:pPr>
      <w:r>
        <w:rPr>
          <w:rFonts w:ascii="Amiri" w:hAnsi="Amiri" w:eastAsia="Amiri" w:cs="Amiri"/>
          <w:lang w:bidi="ar-SA"/>
          <w:color w:val="111111"/>
          <w:sz w:val="28"/>
          <w:szCs w:val="28"/>
          <w:rtl/>
        </w:rPr>
        <w:t xml:space="preserve">شرجي ، شمس الدين بن محمّد -سروجي</w:t>
      </w:r>
    </w:p>
    <w:p>
      <w:pPr>
        <w:pStyle w:val="BookText"/>
      </w:pPr>
      <w:r>
        <w:rPr>
          <w:rFonts w:ascii="Amiri" w:hAnsi="Amiri" w:eastAsia="Amiri" w:cs="Amiri"/>
          <w:lang w:bidi="ar-SA"/>
          <w:color w:val="111111"/>
          <w:sz w:val="28"/>
          <w:szCs w:val="28"/>
          <w:rtl/>
        </w:rPr>
        <w:t xml:space="preserve">، احمد بن ابراهيم</w:t>
      </w:r>
    </w:p>
    <w:p>
      <w:pPr>
        <w:pStyle w:val="BookText"/>
      </w:pPr>
      <w:r>
        <w:rPr>
          <w:rFonts w:ascii="Amiri" w:hAnsi="Amiri" w:eastAsia="Amiri" w:cs="Amiri"/>
          <w:lang w:bidi="ar-SA"/>
          <w:color w:val="111111"/>
          <w:sz w:val="28"/>
          <w:szCs w:val="28"/>
          <w:rtl/>
        </w:rPr>
        <w:t xml:space="preserve">شرجي ، عبد الله بن عبدالله - شرجي ،</w:t>
      </w:r>
    </w:p>
    <w:p>
      <w:pPr>
        <w:pStyle w:val="BookText"/>
      </w:pPr>
      <w:r>
        <w:rPr>
          <w:rFonts w:ascii="IRNazanin" w:hAnsi="IRNazanin" w:eastAsia="IRNazanin" w:cs="IRNazanin"/>
          <w:lang w:bidi="fa-IR"/>
          <w:color w:val="111111"/>
          <w:sz w:val="28"/>
          <w:szCs w:val="28"/>
          <w:rtl/>
        </w:rPr>
        <w:t xml:space="preserve">عبدالله بن عبدالله</w:t>
      </w:r>
    </w:p>
    <w:p>
      <w:pPr>
        <w:pStyle w:val="Heading2"/>
      </w:pPr>
      <w:bookmarkStart w:id="5109" w:name="_Toc4211"/>
      <w:r>
        <w:t>شرجي ، عبدالله بن عبدالله - 1097 ه-</w:t>
      </w:r>
      <w:bookmarkEnd w:id="5109"/>
    </w:p>
    <w:p>
      <w:pPr>
        <w:pStyle w:val="BookText"/>
      </w:pPr>
      <w:r>
        <w:rPr>
          <w:rFonts w:ascii="Amiri" w:hAnsi="Amiri" w:eastAsia="Amiri" w:cs="Amiri"/>
          <w:lang w:bidi="ar-SA"/>
          <w:color w:val="111111"/>
          <w:sz w:val="28"/>
          <w:szCs w:val="28"/>
          <w:rtl/>
        </w:rPr>
        <w:t xml:space="preserve">المدخل إلى علم احكام الفلك، ج 14</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Amiri" w:hAnsi="Amiri" w:eastAsia="Amiri" w:cs="Amiri"/>
          <w:lang w:bidi="ar-SA"/>
          <w:color w:val="111111"/>
          <w:sz w:val="28"/>
          <w:szCs w:val="28"/>
          <w:rtl/>
        </w:rPr>
        <w:t xml:space="preserve">شرخاني ، عثمان بن صلاح -ابن صلاح ، عثمان بن عبدالرحمن</w:t>
      </w:r>
    </w:p>
    <w:p>
      <w:pPr>
        <w:pStyle w:val="BookText"/>
      </w:pPr>
      <w:r>
        <w:rPr>
          <w:rFonts w:ascii="Amiri" w:hAnsi="Amiri" w:eastAsia="Amiri" w:cs="Amiri"/>
          <w:lang w:bidi="ar-SA"/>
          <w:color w:val="111111"/>
          <w:sz w:val="28"/>
          <w:szCs w:val="28"/>
          <w:rtl/>
        </w:rPr>
        <w:t xml:space="preserve">شرعبي ، احمد بن محمّد- شرعي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شرعبي ، جمال الدین محمّد بن</w:t>
      </w:r>
    </w:p>
    <w:p>
      <w:pPr>
        <w:pStyle w:val="BookText"/>
      </w:pPr>
      <w:r>
        <w:rPr>
          <w:rFonts w:ascii="IRNazanin" w:hAnsi="IRNazanin" w:eastAsia="IRNazanin" w:cs="IRNazanin"/>
          <w:lang w:bidi="fa-IR"/>
          <w:color w:val="111111"/>
          <w:sz w:val="28"/>
          <w:szCs w:val="28"/>
          <w:rtl/>
        </w:rPr>
        <w:t xml:space="preserve">زياد -وضاحي ، محمّد بن زیاد</w:t>
      </w:r>
    </w:p>
    <w:p>
      <w:pPr>
        <w:pStyle w:val="Heading2"/>
      </w:pPr>
      <w:bookmarkStart w:id="5110" w:name="_Toc4212"/>
      <w:r>
        <w:t>شرعي ، احمد بن محمّد - 839 ه-</w:t>
      </w:r>
      <w:bookmarkEnd w:id="5110"/>
    </w:p>
    <w:p>
      <w:pPr>
        <w:pStyle w:val="BookText"/>
      </w:pPr>
      <w:r>
        <w:rPr>
          <w:rFonts w:ascii="Amiri" w:hAnsi="Amiri" w:eastAsia="Amiri" w:cs="Amiri"/>
          <w:lang w:bidi="ar-SA"/>
          <w:color w:val="111111"/>
          <w:sz w:val="28"/>
          <w:szCs w:val="28"/>
          <w:rtl/>
        </w:rPr>
        <w:t xml:space="preserve">تتمة المعاني وتكملة المثاني = تكملة</w:t>
      </w:r>
    </w:p>
    <w:p>
      <w:pPr>
        <w:pStyle w:val="BookText"/>
      </w:pPr>
      <w:r>
        <w:rPr>
          <w:rFonts w:ascii="Amiri" w:hAnsi="Amiri" w:eastAsia="Amiri" w:cs="Amiri"/>
          <w:lang w:bidi="ar-SA"/>
          <w:color w:val="111111"/>
          <w:sz w:val="28"/>
          <w:szCs w:val="28"/>
          <w:rtl/>
        </w:rPr>
        <w:t xml:space="preserve">في القراءات الثلاث، ج 3، ص 675 .</w:t>
      </w:r>
    </w:p>
    <w:p>
      <w:pPr>
        <w:pStyle w:val="Heading2"/>
      </w:pPr>
      <w:bookmarkStart w:id="5111" w:name="_Toc4213"/>
      <w:r>
        <w:t>شرف الدين، عبد الحسين، 1290 - 1377</w:t>
      </w:r>
      <w:bookmarkEnd w:id="5111"/>
    </w:p>
    <w:p>
      <w:pPr>
        <w:pStyle w:val="BookText"/>
      </w:pPr>
      <w:r>
        <w:rPr>
          <w:rFonts w:ascii="Amiri" w:hAnsi="Amiri" w:eastAsia="Amiri" w:cs="Amiri"/>
          <w:lang w:bidi="ar-SA"/>
          <w:color w:val="111111"/>
          <w:sz w:val="28"/>
          <w:szCs w:val="28"/>
          <w:rtl/>
        </w:rPr>
        <w:t xml:space="preserve">المجالس الفاخرة في ماتم العشرة</w:t>
      </w:r>
    </w:p>
    <w:p>
      <w:pPr>
        <w:pStyle w:val="BookText"/>
      </w:pPr>
      <w:r>
        <w:rPr>
          <w:rFonts w:ascii="Amiri" w:hAnsi="Amiri" w:eastAsia="Amiri" w:cs="Amiri"/>
          <w:lang w:bidi="ar-SA"/>
          <w:color w:val="111111"/>
          <w:sz w:val="28"/>
          <w:szCs w:val="28"/>
          <w:rtl/>
        </w:rPr>
        <w:t xml:space="preserve">الطاهرة، ج13، ص798.</w:t>
      </w:r>
    </w:p>
    <w:p>
      <w:pPr>
        <w:pStyle w:val="Heading2"/>
      </w:pPr>
      <w:bookmarkStart w:id="5112" w:name="_Toc4214"/>
      <w:r>
        <w:t>شرف الدين قزويني ، فضل الله بن</w:t>
      </w:r>
      <w:bookmarkEnd w:id="5112"/>
    </w:p>
    <w:p>
      <w:pPr>
        <w:pStyle w:val="BookText"/>
      </w:pPr>
      <w:r>
        <w:rPr>
          <w:rFonts w:ascii="IRNazanin" w:hAnsi="IRNazanin" w:eastAsia="IRNazanin" w:cs="IRNazanin"/>
          <w:lang w:bidi="fa-IR"/>
          <w:color w:val="111111"/>
          <w:sz w:val="28"/>
          <w:szCs w:val="28"/>
          <w:rtl/>
        </w:rPr>
        <w:t xml:space="preserve">عبد الله، 660 - 740 ؟ ه-</w:t>
      </w:r>
    </w:p>
    <w:p>
      <w:pPr>
        <w:pStyle w:val="BookText"/>
      </w:pPr>
      <w:r>
        <w:rPr>
          <w:rFonts w:ascii="Amiri" w:hAnsi="Amiri" w:eastAsia="Amiri" w:cs="Amiri"/>
          <w:lang w:bidi="ar-SA"/>
          <w:color w:val="111111"/>
          <w:sz w:val="28"/>
          <w:szCs w:val="28"/>
          <w:rtl/>
        </w:rPr>
        <w:t xml:space="preserve">المعجم في تاريخ ملوك العجم = المعجم في آثار ملوك العجم = تاريخ</w:t>
      </w:r>
    </w:p>
    <w:p>
      <w:pPr>
        <w:pStyle w:val="BookText"/>
      </w:pPr>
      <w:r>
        <w:rPr>
          <w:rFonts w:ascii="IRNazanin" w:hAnsi="IRNazanin" w:eastAsia="IRNazanin" w:cs="IRNazanin"/>
          <w:lang w:bidi="fa-IR"/>
          <w:color w:val="111111"/>
          <w:sz w:val="28"/>
          <w:szCs w:val="28"/>
          <w:rtl/>
        </w:rPr>
        <w:t xml:space="preserve">معجم، ج 15، ص 19.</w:t>
      </w:r>
    </w:p>
    <w:p>
      <w:pPr>
        <w:pStyle w:val="BookText"/>
      </w:pPr>
      <w:r>
        <w:rPr>
          <w:rFonts w:ascii="Amiri" w:hAnsi="Amiri" w:eastAsia="Amiri" w:cs="Amiri"/>
          <w:lang w:bidi="ar-SA"/>
          <w:color w:val="111111"/>
          <w:sz w:val="28"/>
          <w:szCs w:val="28"/>
          <w:rtl/>
        </w:rPr>
        <w:t xml:space="preserve">شرف تبريزي - رامي ، حسن بن محمّد</w:t>
      </w:r>
    </w:p>
    <w:p>
      <w:pPr>
        <w:pStyle w:val="BookText"/>
      </w:pPr>
      <w:r>
        <w:rPr>
          <w:rFonts w:ascii="Amiri" w:hAnsi="Amiri" w:eastAsia="Amiri" w:cs="Amiri"/>
          <w:lang w:bidi="ar-SA"/>
          <w:color w:val="111111"/>
          <w:sz w:val="28"/>
          <w:szCs w:val="28"/>
          <w:rtl/>
        </w:rPr>
        <w:t xml:space="preserve">شرف رامي ، حسن بن محمّد -رامي ،</w:t>
      </w:r>
    </w:p>
    <w:p>
      <w:pPr>
        <w:pStyle w:val="BookText"/>
      </w:pPr>
      <w:r>
        <w:rPr>
          <w:rFonts w:ascii="Amiri" w:hAnsi="Amiri" w:eastAsia="Amiri" w:cs="Amiri"/>
          <w:lang w:bidi="ar-SA"/>
          <w:color w:val="111111"/>
          <w:sz w:val="28"/>
          <w:szCs w:val="28"/>
          <w:rtl/>
        </w:rPr>
        <w:t xml:space="preserve">حسن بن محمّد</w:t>
      </w:r>
    </w:p>
    <w:p>
      <w:pPr>
        <w:pStyle w:val="BookText"/>
      </w:pPr>
      <w:r>
        <w:rPr>
          <w:rFonts w:ascii="Amiri" w:hAnsi="Amiri" w:eastAsia="Amiri" w:cs="Amiri"/>
          <w:lang w:bidi="ar-SA"/>
          <w:color w:val="111111"/>
          <w:sz w:val="28"/>
          <w:szCs w:val="28"/>
          <w:rtl/>
        </w:rPr>
        <w:t xml:space="preserve">شرف شيرازي -وصاف الحضره ، عبدالله</w:t>
      </w:r>
    </w:p>
    <w:p>
      <w:pPr>
        <w:pStyle w:val="BookText"/>
      </w:pPr>
      <w:r>
        <w:rPr>
          <w:rFonts w:ascii="Amiri" w:hAnsi="Amiri" w:eastAsia="Amiri" w:cs="Amiri"/>
          <w:lang w:bidi="ar-SA"/>
          <w:color w:val="111111"/>
          <w:sz w:val="28"/>
          <w:szCs w:val="28"/>
          <w:rtl/>
        </w:rPr>
        <w:t xml:space="preserve">فضل الله شرف منيري ، احمد بن يحيى- منيري ،</w:t>
      </w:r>
    </w:p>
    <w:p>
      <w:pPr>
        <w:pStyle w:val="BookText"/>
      </w:pPr>
      <w:r>
        <w:rPr>
          <w:rFonts w:ascii="Amiri" w:hAnsi="Amiri" w:eastAsia="Amiri" w:cs="Amiri"/>
          <w:lang w:bidi="ar-SA"/>
          <w:color w:val="111111"/>
          <w:sz w:val="28"/>
          <w:szCs w:val="28"/>
          <w:rtl/>
        </w:rPr>
        <w:t xml:space="preserve">بن احمد بن يحيى</w:t>
      </w:r>
    </w:p>
    <w:p>
      <w:pPr>
        <w:pStyle w:val="BookText"/>
      </w:pPr>
      <w:r>
        <w:rPr>
          <w:rFonts w:ascii="Amiri" w:hAnsi="Amiri" w:eastAsia="Amiri" w:cs="Amiri"/>
          <w:lang w:bidi="ar-SA"/>
          <w:color w:val="111111"/>
          <w:sz w:val="28"/>
          <w:szCs w:val="28"/>
          <w:rtl/>
        </w:rPr>
        <w:t xml:space="preserve">شرفي ، احمد بن عبدالعزيز -سفاقسي احمد بن عبدالعزيز</w:t>
      </w:r>
    </w:p>
    <w:p>
      <w:pPr>
        <w:pStyle w:val="Heading2"/>
      </w:pPr>
      <w:bookmarkStart w:id="5113" w:name="_Toc4215"/>
      <w:r>
        <w:t>شرفي ، امير</w:t>
      </w:r>
      <w:bookmarkEnd w:id="5113"/>
    </w:p>
    <w:p>
      <w:pPr>
        <w:pStyle w:val="BookText"/>
      </w:pPr>
      <w:r>
        <w:rPr>
          <w:rFonts w:ascii="IRNazanin" w:hAnsi="IRNazanin" w:eastAsia="IRNazanin" w:cs="IRNazanin"/>
          <w:lang w:bidi="fa-IR"/>
          <w:color w:val="111111"/>
          <w:sz w:val="28"/>
          <w:szCs w:val="28"/>
          <w:rtl/>
        </w:rPr>
        <w:t xml:space="preserve">دیوان شرفي، ج 7، ص 667.</w:t>
      </w:r>
    </w:p>
    <w:p>
      <w:pPr>
        <w:pStyle w:val="BookText"/>
      </w:pPr>
      <w:r>
        <w:rPr>
          <w:rFonts w:ascii="Amiri" w:hAnsi="Amiri" w:eastAsia="Amiri" w:cs="Amiri"/>
          <w:lang w:bidi="ar-SA"/>
          <w:color w:val="111111"/>
          <w:sz w:val="28"/>
          <w:szCs w:val="28"/>
          <w:rtl/>
        </w:rPr>
        <w:t xml:space="preserve">شرفي مغربي- شرفي ، امير</w:t>
      </w:r>
    </w:p>
    <w:p>
      <w:pPr>
        <w:pStyle w:val="Heading2"/>
      </w:pPr>
      <w:bookmarkStart w:id="5114" w:name="_Toc4216"/>
      <w:r>
        <w:t>شرقاوي ، عبد الله بن حجازي، 1150 -</w:t>
      </w:r>
      <w:bookmarkEnd w:id="5114"/>
    </w:p>
    <w:p>
      <w:pPr>
        <w:pStyle w:val="BookText"/>
      </w:pPr>
      <w:r>
        <w:rPr>
          <w:rFonts w:ascii="IRNazanin" w:hAnsi="IRNazanin" w:eastAsia="IRNazanin" w:cs="IRNazanin"/>
          <w:lang w:bidi="fa-IR"/>
          <w:color w:val="111111"/>
          <w:sz w:val="28"/>
          <w:szCs w:val="28"/>
          <w:rtl/>
        </w:rPr>
        <w:t xml:space="preserve">1227 ؟ ه-</w:t>
      </w:r>
    </w:p>
    <w:p>
      <w:pPr>
        <w:pStyle w:val="BookText"/>
      </w:pPr>
      <w:r>
        <w:rPr>
          <w:rFonts w:ascii="Amiri" w:hAnsi="Amiri" w:eastAsia="Amiri" w:cs="Amiri"/>
          <w:lang w:bidi="ar-SA"/>
          <w:color w:val="111111"/>
          <w:sz w:val="28"/>
          <w:szCs w:val="28"/>
          <w:rtl/>
        </w:rPr>
        <w:t xml:space="preserve">1 .ثبت الشرقاوي، ج 5، ص 212</w:t>
      </w:r>
    </w:p>
    <w:p>
      <w:pPr>
        <w:pStyle w:val="BookText"/>
      </w:pPr>
      <w:r>
        <w:rPr>
          <w:rFonts w:ascii="Amiri" w:hAnsi="Amiri" w:eastAsia="Amiri" w:cs="Amiri"/>
          <w:lang w:bidi="ar-SA"/>
          <w:color w:val="111111"/>
          <w:sz w:val="28"/>
          <w:szCs w:val="28"/>
          <w:rtl/>
        </w:rPr>
        <w:t xml:space="preserve">2 .حاشية شرح العقائد السنوسية، ج 6،</w:t>
      </w:r>
    </w:p>
    <w:p>
      <w:pPr>
        <w:pStyle w:val="BookText"/>
      </w:pPr>
      <w:r>
        <w:rPr>
          <w:rFonts w:ascii="IRNazanin" w:hAnsi="IRNazanin" w:eastAsia="IRNazanin" w:cs="IRNazanin"/>
          <w:lang w:bidi="fa-IR"/>
          <w:color w:val="111111"/>
          <w:sz w:val="28"/>
          <w:szCs w:val="28"/>
          <w:rtl/>
        </w:rPr>
        <w:t xml:space="preserve">ص 135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عبدالله بن حجازي، ج7،</w:t>
      </w:r>
    </w:p>
    <w:p>
      <w:pPr>
        <w:pStyle w:val="BookText"/>
      </w:pPr>
      <w:r>
        <w:rPr>
          <w:rFonts w:ascii="IRNazanin" w:hAnsi="IRNazanin" w:eastAsia="IRNazanin" w:cs="IRNazanin"/>
          <w:lang w:bidi="fa-IR"/>
          <w:color w:val="111111"/>
          <w:sz w:val="28"/>
          <w:szCs w:val="28"/>
          <w:rtl/>
        </w:rPr>
        <w:t xml:space="preserve">ص 704.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13" w:name="pg7742_70599"/>
    <w:bookmarkEnd w:id="613"/>
    <w:p>
      <w:pPr>
        <w:pStyle w:val="Heading2"/>
      </w:pPr>
      <w:bookmarkStart w:id="5115" w:name="_Toc4217"/>
      <w:r>
        <w:t>شرقاوي ، مصطفی قرن 13 ه-</w:t>
      </w:r>
      <w:bookmarkEnd w:id="5115"/>
    </w:p>
    <w:p>
      <w:pPr>
        <w:pStyle w:val="BookText"/>
      </w:pPr>
      <w:r>
        <w:rPr>
          <w:rFonts w:ascii="Amiri" w:hAnsi="Amiri" w:eastAsia="Amiri" w:cs="Amiri"/>
          <w:lang w:bidi="ar-SA"/>
          <w:color w:val="111111"/>
          <w:sz w:val="28"/>
          <w:szCs w:val="28"/>
          <w:rtl/>
        </w:rPr>
        <w:t xml:space="preserve">ديوان الشرقاوي، ج 7، ص 668.</w:t>
      </w:r>
    </w:p>
    <w:p>
      <w:pPr>
        <w:pStyle w:val="Heading2"/>
      </w:pPr>
      <w:bookmarkStart w:id="5116" w:name="_Toc4218"/>
      <w:r>
        <w:t>شرقي ، احمد بن ابراهيم قرن 13 ه-</w:t>
      </w:r>
      <w:bookmarkEnd w:id="5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الاجازات، ج1، ص201.</w:t>
      </w:r>
    </w:p>
    <w:p>
      <w:pPr>
        <w:pStyle w:val="BookText"/>
      </w:pPr>
      <w:r>
        <w:rPr>
          <w:rFonts w:ascii="Amiri" w:hAnsi="Amiri" w:eastAsia="Amiri" w:cs="Amiri"/>
          <w:lang w:bidi="ar-SA"/>
          <w:color w:val="111111"/>
          <w:sz w:val="28"/>
          <w:szCs w:val="28"/>
          <w:rtl/>
        </w:rPr>
        <w:t xml:space="preserve">2 .اجازة للسيد نعمان الآلوسي، ج1،</w:t>
      </w:r>
    </w:p>
    <w:p>
      <w:pPr>
        <w:pStyle w:val="BookText"/>
      </w:pPr>
      <w:r>
        <w:rPr>
          <w:rFonts w:ascii="IRNazanin" w:hAnsi="IRNazanin" w:eastAsia="IRNazanin" w:cs="IRNazanin"/>
          <w:lang w:bidi="fa-IR"/>
          <w:color w:val="111111"/>
          <w:sz w:val="28"/>
          <w:szCs w:val="28"/>
          <w:rtl/>
        </w:rPr>
        <w:t xml:space="preserve">ص 260 .</w:t>
      </w:r>
    </w:p>
    <w:p>
      <w:pPr>
        <w:pStyle w:val="BookText"/>
      </w:pPr>
      <w:r>
        <w:rPr>
          <w:rFonts w:ascii="Amiri" w:hAnsi="Amiri" w:eastAsia="Amiri" w:cs="Amiri"/>
          <w:lang w:bidi="ar-SA"/>
          <w:color w:val="111111"/>
          <w:sz w:val="28"/>
          <w:szCs w:val="28"/>
          <w:rtl/>
        </w:rPr>
        <w:t xml:space="preserve">شرقي ، محمّد حسن بن موسى- شروقي ،</w:t>
      </w:r>
    </w:p>
    <w:p>
      <w:pPr>
        <w:pStyle w:val="BookText"/>
      </w:pPr>
      <w:r>
        <w:rPr>
          <w:rFonts w:ascii="IRNazanin" w:hAnsi="IRNazanin" w:eastAsia="IRNazanin" w:cs="IRNazanin"/>
          <w:lang w:bidi="fa-IR"/>
          <w:color w:val="111111"/>
          <w:sz w:val="28"/>
          <w:szCs w:val="28"/>
          <w:rtl/>
        </w:rPr>
        <w:t xml:space="preserve">محمّد حسن بن موسى</w:t>
      </w:r>
    </w:p>
    <w:p>
      <w:pPr>
        <w:pStyle w:val="Heading2"/>
      </w:pPr>
      <w:bookmarkStart w:id="5117" w:name="_Toc4219"/>
      <w:r>
        <w:t>شرموطي ، محمّد بن هاشم قرن 14 ه-</w:t>
      </w:r>
      <w:bookmarkEnd w:id="5117"/>
    </w:p>
    <w:p>
      <w:pPr>
        <w:pStyle w:val="BookText"/>
      </w:pPr>
      <w:r>
        <w:rPr>
          <w:rFonts w:ascii="Amiri" w:hAnsi="Amiri" w:eastAsia="Amiri" w:cs="Amiri"/>
          <w:lang w:bidi="ar-SA"/>
          <w:color w:val="111111"/>
          <w:sz w:val="28"/>
          <w:szCs w:val="28"/>
          <w:rtl/>
        </w:rPr>
        <w:t xml:space="preserve">1 .ايضاح الخلاصة، ج 3، ص 114 .</w:t>
      </w:r>
    </w:p>
    <w:p>
      <w:pPr>
        <w:pStyle w:val="BookText"/>
      </w:pPr>
      <w:r>
        <w:rPr>
          <w:rFonts w:ascii="Amiri" w:hAnsi="Amiri" w:eastAsia="Amiri" w:cs="Amiri"/>
          <w:lang w:bidi="ar-SA"/>
          <w:color w:val="111111"/>
          <w:sz w:val="28"/>
          <w:szCs w:val="28"/>
          <w:rtl/>
        </w:rPr>
        <w:t xml:space="preserve">2 .تكملة الشرايع، ج 4، ص 817.</w:t>
      </w:r>
    </w:p>
    <w:p>
      <w:pPr>
        <w:pStyle w:val="BookText"/>
      </w:pPr>
      <w:r>
        <w:rPr>
          <w:rFonts w:ascii="Amiri" w:hAnsi="Amiri" w:eastAsia="Amiri" w:cs="Amiri"/>
          <w:lang w:bidi="ar-SA"/>
          <w:color w:val="111111"/>
          <w:sz w:val="28"/>
          <w:szCs w:val="28"/>
          <w:rtl/>
        </w:rPr>
        <w:t xml:space="preserve">شرنبلالي ، ابوالحسن حسن بن عمار -شرنبلالي ، حسن بن عمار</w:t>
      </w:r>
    </w:p>
    <w:p>
      <w:pPr>
        <w:pStyle w:val="Heading2"/>
      </w:pPr>
      <w:bookmarkStart w:id="5118" w:name="_Toc4220"/>
      <w:r>
        <w:t>شرنبلالي ، حسن بن عمار - 1069ه-</w:t>
      </w:r>
      <w:bookmarkEnd w:id="5118"/>
    </w:p>
    <w:p>
      <w:pPr>
        <w:pStyle w:val="BookText"/>
      </w:pPr>
      <w:r>
        <w:rPr>
          <w:rFonts w:ascii="Amiri" w:hAnsi="Amiri" w:eastAsia="Amiri" w:cs="Amiri"/>
          <w:lang w:bidi="ar-SA"/>
          <w:color w:val="111111"/>
          <w:sz w:val="28"/>
          <w:szCs w:val="28"/>
          <w:rtl/>
        </w:rPr>
        <w:t xml:space="preserve">1 .الاحكام الملخصة في حكم ماء</w:t>
      </w:r>
    </w:p>
    <w:p>
      <w:pPr>
        <w:pStyle w:val="BookText"/>
      </w:pPr>
      <w:r>
        <w:rPr>
          <w:rFonts w:ascii="Amiri" w:hAnsi="Amiri" w:eastAsia="Amiri" w:cs="Amiri"/>
          <w:lang w:bidi="ar-SA"/>
          <w:color w:val="111111"/>
          <w:sz w:val="28"/>
          <w:szCs w:val="28"/>
          <w:rtl/>
        </w:rPr>
        <w:t xml:space="preserve">الحمصة، ج 1، ص 484.</w:t>
      </w:r>
    </w:p>
    <w:p>
      <w:pPr>
        <w:pStyle w:val="BookText"/>
      </w:pPr>
      <w:r>
        <w:rPr>
          <w:rFonts w:ascii="Amiri" w:hAnsi="Amiri" w:eastAsia="Amiri" w:cs="Amiri"/>
          <w:lang w:bidi="ar-SA"/>
          <w:color w:val="111111"/>
          <w:sz w:val="28"/>
          <w:szCs w:val="28"/>
          <w:rtl/>
        </w:rPr>
        <w:t xml:space="preserve">2 .امداد الفتاح في شرح نور الايضاح = مراقي الفلاح بامداد الفتاح في شرح نور الايضاح، ج2، ص 756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بيان كشف الالفاظ، ج 3، ص 483.</w:t>
      </w:r>
    </w:p>
    <w:p>
      <w:pPr>
        <w:pStyle w:val="BookText"/>
      </w:pPr>
      <w:r>
        <w:rPr>
          <w:rFonts w:ascii="Amiri" w:hAnsi="Amiri" w:eastAsia="Amiri" w:cs="Amiri"/>
          <w:lang w:bidi="ar-SA"/>
          <w:color w:val="111111"/>
          <w:sz w:val="28"/>
          <w:szCs w:val="28"/>
          <w:rtl/>
        </w:rPr>
        <w:t xml:space="preserve">4 .تحفة الاكمل، ج 3، ص 806.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الکنوز، ج7، ص323.</w:t>
      </w:r>
    </w:p>
    <w:p>
      <w:pPr>
        <w:pStyle w:val="BookText"/>
      </w:pPr>
      <w:r>
        <w:rPr>
          <w:rFonts w:ascii="Amiri" w:hAnsi="Amiri" w:eastAsia="Amiri" w:cs="Amiri"/>
          <w:lang w:bidi="ar-SA"/>
          <w:color w:val="111111"/>
          <w:sz w:val="28"/>
          <w:szCs w:val="28"/>
          <w:rtl/>
        </w:rPr>
        <w:t xml:space="preserve">6 .سعادة أهل الاسلام بالمصافحة عقب</w:t>
      </w:r>
    </w:p>
    <w:p>
      <w:pPr>
        <w:pStyle w:val="BookText"/>
      </w:pPr>
      <w:r>
        <w:rPr>
          <w:rFonts w:ascii="Amiri" w:hAnsi="Amiri" w:eastAsia="Amiri" w:cs="Amiri"/>
          <w:lang w:bidi="ar-SA"/>
          <w:color w:val="111111"/>
          <w:sz w:val="28"/>
          <w:szCs w:val="28"/>
          <w:rtl/>
        </w:rPr>
        <w:t xml:space="preserve">الصلاة و السلام، ج8، ص773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العقد الفريد لبيان الراجح من الخلاف في جواز التقليد، ج11،</w:t>
      </w:r>
    </w:p>
    <w:p>
      <w:pPr>
        <w:pStyle w:val="BookText"/>
      </w:pPr>
      <w:r>
        <w:rPr>
          <w:rFonts w:ascii="IRNazanin" w:hAnsi="IRNazanin" w:eastAsia="IRNazanin" w:cs="IRNazanin"/>
          <w:lang w:bidi="fa-IR"/>
          <w:color w:val="111111"/>
          <w:sz w:val="28"/>
          <w:szCs w:val="28"/>
          <w:rtl/>
        </w:rPr>
        <w:t xml:space="preserve">ص 170 .</w:t>
      </w:r>
    </w:p>
    <w:p>
      <w:pPr>
        <w:pStyle w:val="BookText"/>
      </w:pPr>
      <w:r>
        <w:rPr>
          <w:rFonts w:ascii="Amiri" w:hAnsi="Amiri" w:eastAsia="Amiri" w:cs="Amiri"/>
          <w:lang w:bidi="ar-SA"/>
          <w:color w:val="111111"/>
          <w:sz w:val="28"/>
          <w:szCs w:val="28"/>
          <w:rtl/>
        </w:rPr>
        <w:t xml:space="preserve">8 .غنية ذوي الاحكام في بغية درر</w:t>
      </w:r>
    </w:p>
    <w:p>
      <w:pPr>
        <w:pStyle w:val="BookText"/>
      </w:pPr>
      <w:r>
        <w:rPr>
          <w:rFonts w:ascii="Amiri" w:hAnsi="Amiri" w:eastAsia="Amiri" w:cs="Amiri"/>
          <w:lang w:bidi="ar-SA"/>
          <w:color w:val="111111"/>
          <w:sz w:val="28"/>
          <w:szCs w:val="28"/>
          <w:rtl/>
        </w:rPr>
        <w:t xml:space="preserve">الحكام، ج 11، ص 515.</w:t>
      </w:r>
    </w:p>
    <w:p>
      <w:pPr>
        <w:pStyle w:val="BookText"/>
      </w:pPr>
      <w:r>
        <w:rPr>
          <w:rFonts w:ascii="Amiri" w:hAnsi="Amiri" w:eastAsia="Amiri" w:cs="Amiri"/>
          <w:lang w:bidi="ar-SA"/>
          <w:color w:val="111111"/>
          <w:sz w:val="28"/>
          <w:szCs w:val="28"/>
          <w:rtl/>
        </w:rPr>
        <w:t xml:space="preserve">9 .مختصر تفصيل عقد الفوائد، ج 14،</w:t>
      </w:r>
    </w:p>
    <w:p>
      <w:pPr>
        <w:pStyle w:val="BookText"/>
      </w:pPr>
      <w:r>
        <w:rPr>
          <w:rFonts w:ascii="IRNazanin" w:hAnsi="IRNazanin" w:eastAsia="IRNazanin" w:cs="IRNazanin"/>
          <w:lang w:bidi="fa-IR"/>
          <w:color w:val="111111"/>
          <w:sz w:val="28"/>
          <w:szCs w:val="28"/>
          <w:rtl/>
        </w:rPr>
        <w:t xml:space="preserve">ص 182 .</w:t>
      </w:r>
    </w:p>
    <w:p>
      <w:pPr>
        <w:pStyle w:val="BookText"/>
      </w:pPr>
      <w:r>
        <w:rPr>
          <w:rFonts w:ascii="Amiri" w:hAnsi="Amiri" w:eastAsia="Amiri" w:cs="Amiri"/>
          <w:lang w:bidi="ar-SA"/>
          <w:color w:val="111111"/>
          <w:sz w:val="28"/>
          <w:szCs w:val="28"/>
          <w:rtl/>
        </w:rPr>
        <w:t xml:space="preserve">10 .مراقي الفلاح بامداد الفتاح، ج 14،</w:t>
      </w:r>
    </w:p>
    <w:p>
      <w:pPr>
        <w:pStyle w:val="BookText"/>
      </w:pPr>
      <w:r>
        <w:rPr>
          <w:rFonts w:ascii="IRNazanin" w:hAnsi="IRNazanin" w:eastAsia="IRNazanin" w:cs="IRNazanin"/>
          <w:lang w:bidi="fa-IR"/>
          <w:color w:val="111111"/>
          <w:sz w:val="28"/>
          <w:szCs w:val="28"/>
          <w:rtl/>
        </w:rPr>
        <w:t xml:space="preserve">ص 387</w:t>
      </w:r>
    </w:p>
    <w:p>
      <w:pPr>
        <w:pStyle w:val="BookText"/>
      </w:pPr>
      <w:r>
        <w:rPr>
          <w:rFonts w:ascii="Amiri" w:hAnsi="Amiri" w:eastAsia="Amiri" w:cs="Amiri"/>
          <w:lang w:bidi="ar-SA"/>
          <w:color w:val="111111"/>
          <w:sz w:val="28"/>
          <w:szCs w:val="28"/>
          <w:rtl/>
        </w:rPr>
        <w:t xml:space="preserve">11 .مناسك الحج، ج 15 ، ص 499.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النظم المستطاب بحكم القراءة في</w:t>
      </w:r>
    </w:p>
    <w:p>
      <w:pPr>
        <w:pStyle w:val="BookText"/>
      </w:pPr>
      <w:r>
        <w:rPr>
          <w:rFonts w:ascii="Amiri" w:hAnsi="Amiri" w:eastAsia="Amiri" w:cs="Amiri"/>
          <w:lang w:bidi="ar-SA"/>
          <w:color w:val="111111"/>
          <w:sz w:val="28"/>
          <w:szCs w:val="28"/>
          <w:rtl/>
        </w:rPr>
        <w:t xml:space="preserve">صلاة الجنازة، ج 16، ص 364.</w:t>
      </w:r>
    </w:p>
    <w:p>
      <w:pPr>
        <w:pStyle w:val="BookText"/>
      </w:pPr>
      <w:r>
        <w:rPr>
          <w:rFonts w:ascii="IRNazanin" w:hAnsi="IRNazanin" w:eastAsia="IRNazanin" w:cs="IRNazanin"/>
          <w:lang w:bidi="fa-IR"/>
          <w:color w:val="111111"/>
          <w:sz w:val="28"/>
          <w:szCs w:val="28"/>
          <w:rtl/>
        </w:rPr>
        <w:t xml:space="preserve">13 .نور الایضاح و نجاة الارواح، ج 16،</w:t>
      </w:r>
    </w:p>
    <w:p>
      <w:pPr>
        <w:pStyle w:val="BookText"/>
      </w:pPr>
      <w:r>
        <w:rPr>
          <w:rFonts w:ascii="IRNazanin" w:hAnsi="IRNazanin" w:eastAsia="IRNazanin" w:cs="IRNazanin"/>
          <w:lang w:bidi="fa-IR"/>
          <w:color w:val="111111"/>
          <w:sz w:val="28"/>
          <w:szCs w:val="28"/>
          <w:rtl/>
        </w:rPr>
        <w:t xml:space="preserve">ص 554.</w:t>
      </w:r>
    </w:p>
    <w:p>
      <w:pPr>
        <w:pStyle w:val="BookText"/>
      </w:pPr>
      <w:r>
        <w:rPr>
          <w:rFonts w:ascii="Amiri" w:hAnsi="Amiri" w:eastAsia="Amiri" w:cs="Amiri"/>
          <w:lang w:bidi="ar-SA"/>
          <w:color w:val="111111"/>
          <w:sz w:val="28"/>
          <w:szCs w:val="28"/>
          <w:rtl/>
        </w:rPr>
        <w:t xml:space="preserve">شرنبلالي ، عبد الحق- شرنبلالي ، عبدالحي</w:t>
      </w:r>
    </w:p>
    <w:p>
      <w:pPr>
        <w:pStyle w:val="BookText"/>
      </w:pPr>
      <w:r>
        <w:rPr>
          <w:rFonts w:ascii="IRNazanin" w:hAnsi="IRNazanin" w:eastAsia="IRNazanin" w:cs="IRNazanin"/>
          <w:lang w:bidi="fa-IR"/>
          <w:color w:val="111111"/>
          <w:sz w:val="28"/>
          <w:szCs w:val="28"/>
          <w:rtl/>
        </w:rPr>
        <w:t xml:space="preserve">بن عبدالحق</w:t>
      </w:r>
    </w:p>
    <w:p>
      <w:pPr>
        <w:pStyle w:val="BookText"/>
      </w:pPr>
      <w:r>
        <w:rPr>
          <w:rFonts w:ascii="Amiri" w:hAnsi="Amiri" w:eastAsia="Amiri" w:cs="Amiri"/>
          <w:lang w:bidi="ar-SA"/>
          <w:color w:val="111111"/>
          <w:sz w:val="28"/>
          <w:szCs w:val="28"/>
          <w:rtl/>
        </w:rPr>
        <w:t xml:space="preserve">شرنبلالي ، عبد الحي-شرنبلالي ، عبد الحي</w:t>
      </w:r>
    </w:p>
    <w:p>
      <w:pPr>
        <w:pStyle w:val="BookText"/>
      </w:pPr>
      <w:r>
        <w:rPr>
          <w:rFonts w:ascii="IRNazanin" w:hAnsi="IRNazanin" w:eastAsia="IRNazanin" w:cs="IRNazanin"/>
          <w:lang w:bidi="fa-IR"/>
          <w:color w:val="111111"/>
          <w:sz w:val="28"/>
          <w:szCs w:val="28"/>
          <w:rtl/>
        </w:rPr>
        <w:t xml:space="preserve">بن عبدالحق</w:t>
      </w:r>
    </w:p>
    <w:p>
      <w:pPr>
        <w:pStyle w:val="Heading2"/>
      </w:pPr>
      <w:bookmarkStart w:id="5119" w:name="_Toc4221"/>
      <w:r>
        <w:t>شرنبلالي، عبد الحي بن عبد الحق قرن 12</w:t>
      </w:r>
      <w:bookmarkEnd w:id="5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تحفة المنصفين في جواز الصلاة و الاقتداء بالمستوشمين، ج4، ص33.</w:t>
      </w:r>
    </w:p>
    <w:p>
      <w:pPr>
        <w:pStyle w:val="BookText"/>
      </w:pPr>
      <w:r>
        <w:rPr>
          <w:rFonts w:ascii="Amiri" w:hAnsi="Amiri" w:eastAsia="Amiri" w:cs="Amiri"/>
          <w:lang w:bidi="ar-SA"/>
          <w:color w:val="111111"/>
          <w:sz w:val="28"/>
          <w:szCs w:val="28"/>
          <w:rtl/>
        </w:rPr>
        <w:t xml:space="preserve">2 .عرف الند و العنبر في جواز الاقتداء</w:t>
      </w:r>
    </w:p>
    <w:p>
      <w:pPr>
        <w:pStyle w:val="BookText"/>
      </w:pPr>
      <w:r>
        <w:rPr>
          <w:rFonts w:ascii="IRNazanin" w:hAnsi="IRNazanin" w:eastAsia="IRNazanin" w:cs="IRNazanin"/>
          <w:lang w:bidi="fa-IR"/>
          <w:color w:val="111111"/>
          <w:sz w:val="28"/>
          <w:szCs w:val="28"/>
          <w:rtl/>
        </w:rPr>
        <w:t xml:space="preserve">بالامام خلف المنبر، ج 11، ص81.</w:t>
      </w:r>
    </w:p>
    <w:p>
      <w:pPr>
        <w:pStyle w:val="Heading2"/>
      </w:pPr>
      <w:bookmarkStart w:id="5120" w:name="_Toc4222"/>
      <w:r>
        <w:t>شرنوبي ، احمد بن عثمان، 931 - 994 ه-</w:t>
      </w:r>
      <w:bookmarkEnd w:id="5120"/>
    </w:p>
    <w:p>
      <w:pPr>
        <w:pStyle w:val="BookText"/>
      </w:pPr>
      <w:r>
        <w:rPr>
          <w:rFonts w:ascii="Amiri" w:hAnsi="Amiri" w:eastAsia="Amiri" w:cs="Amiri"/>
          <w:lang w:bidi="ar-SA"/>
          <w:color w:val="111111"/>
          <w:sz w:val="28"/>
          <w:szCs w:val="28"/>
          <w:rtl/>
        </w:rPr>
        <w:t xml:space="preserve">تائية السلوك إلى ملك الملوك، ج 3،</w:t>
      </w:r>
    </w:p>
    <w:p>
      <w:pPr>
        <w:pStyle w:val="BookText"/>
      </w:pPr>
      <w:r>
        <w:rPr>
          <w:rFonts w:ascii="IRNazanin" w:hAnsi="IRNazanin" w:eastAsia="IRNazanin" w:cs="IRNazanin"/>
          <w:lang w:bidi="fa-IR"/>
          <w:color w:val="111111"/>
          <w:sz w:val="28"/>
          <w:szCs w:val="28"/>
          <w:rtl/>
        </w:rPr>
        <w:t xml:space="preserve">ص 528 .</w:t>
      </w:r>
    </w:p>
    <w:p>
      <w:pPr>
        <w:pStyle w:val="Heading2"/>
      </w:pPr>
      <w:bookmarkStart w:id="5121" w:name="_Toc4223"/>
      <w:r>
        <w:t>شرواني ، احمد بن محمّد، 1200 - 1250 ؟ ه-</w:t>
      </w:r>
      <w:bookmarkEnd w:id="5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الجوهر الوقاد في شرح قصيدة بانت سعاد، ج 5، ص 631.</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14" w:name="pg7742_70600"/>
    <w:bookmarkEnd w:id="614"/>
    <w:p>
      <w:pPr>
        <w:pStyle w:val="BookText"/>
      </w:pPr>
      <w:r>
        <w:rPr>
          <w:rFonts w:ascii="Amiri" w:hAnsi="Amiri" w:eastAsia="Amiri" w:cs="Amiri"/>
          <w:lang w:bidi="ar-SA"/>
          <w:color w:val="111111"/>
          <w:sz w:val="28"/>
          <w:szCs w:val="28"/>
          <w:rtl/>
        </w:rPr>
        <w:t xml:space="preserve">2 .حاشية حاشية الخيالي على شرح</w:t>
      </w:r>
    </w:p>
    <w:p>
      <w:pPr>
        <w:pStyle w:val="BookText"/>
      </w:pPr>
      <w:r>
        <w:rPr>
          <w:rFonts w:ascii="Amiri" w:hAnsi="Amiri" w:eastAsia="Amiri" w:cs="Amiri"/>
          <w:lang w:bidi="ar-SA"/>
          <w:color w:val="111111"/>
          <w:sz w:val="28"/>
          <w:szCs w:val="28"/>
          <w:rtl/>
        </w:rPr>
        <w:t xml:space="preserve">العقائد النسفية، ج 5، ص 809.</w:t>
      </w:r>
    </w:p>
    <w:p>
      <w:pPr>
        <w:pStyle w:val="BookText"/>
      </w:pPr>
      <w:r>
        <w:rPr>
          <w:rFonts w:ascii="Amiri" w:hAnsi="Amiri" w:eastAsia="Amiri" w:cs="Amiri"/>
          <w:lang w:bidi="ar-SA"/>
          <w:color w:val="111111"/>
          <w:sz w:val="28"/>
          <w:szCs w:val="28"/>
          <w:rtl/>
        </w:rPr>
        <w:t xml:space="preserve">3 .حاشية شرح الكافية، ج 6، ص 160 .</w:t>
      </w:r>
    </w:p>
    <w:p>
      <w:pPr>
        <w:pStyle w:val="BookText"/>
      </w:pPr>
      <w:r>
        <w:rPr>
          <w:rFonts w:ascii="Amiri" w:hAnsi="Amiri" w:eastAsia="Amiri" w:cs="Amiri"/>
          <w:lang w:bidi="ar-SA"/>
          <w:color w:val="111111"/>
          <w:sz w:val="28"/>
          <w:szCs w:val="28"/>
          <w:rtl/>
        </w:rPr>
        <w:t xml:space="preserve">4 .حديقة الافراح لإزاحة الاتراح، ج 6،</w:t>
      </w:r>
    </w:p>
    <w:p>
      <w:pPr>
        <w:pStyle w:val="BookText"/>
      </w:pPr>
      <w:r>
        <w:rPr>
          <w:rFonts w:ascii="IRNazanin" w:hAnsi="IRNazanin" w:eastAsia="IRNazanin" w:cs="IRNazanin"/>
          <w:lang w:bidi="fa-IR"/>
          <w:color w:val="111111"/>
          <w:sz w:val="28"/>
          <w:szCs w:val="28"/>
          <w:rtl/>
        </w:rPr>
        <w:t xml:space="preserve">ص 583 .</w:t>
      </w:r>
    </w:p>
    <w:p>
      <w:pPr>
        <w:pStyle w:val="BookText"/>
      </w:pPr>
      <w:r>
        <w:rPr>
          <w:rFonts w:ascii="Amiri" w:hAnsi="Amiri" w:eastAsia="Amiri" w:cs="Amiri"/>
          <w:lang w:bidi="ar-SA"/>
          <w:color w:val="111111"/>
          <w:sz w:val="28"/>
          <w:szCs w:val="28"/>
          <w:rtl/>
        </w:rPr>
        <w:t xml:space="preserve">5 .العجب العجاب فيما يفيد الكتاب</w:t>
      </w:r>
    </w:p>
    <w:p>
      <w:pPr>
        <w:pStyle w:val="BookText"/>
      </w:pPr>
      <w:r>
        <w:rPr>
          <w:rFonts w:ascii="IRNazanin" w:hAnsi="IRNazanin" w:eastAsia="IRNazanin" w:cs="IRNazanin"/>
          <w:lang w:bidi="fa-IR"/>
          <w:color w:val="111111"/>
          <w:sz w:val="28"/>
          <w:szCs w:val="28"/>
          <w:rtl/>
        </w:rPr>
        <w:t xml:space="preserve">ج 11، ص39.</w:t>
      </w:r>
    </w:p>
    <w:p>
      <w:pPr>
        <w:pStyle w:val="Heading2"/>
      </w:pPr>
      <w:bookmarkStart w:id="5122" w:name="_Toc4224"/>
      <w:r>
        <w:t>شرواني ، حسين بن عبدالله - 974 ه-</w:t>
      </w:r>
      <w:bookmarkEnd w:id="5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الاحكام الدينية (في تكفير</w:t>
      </w:r>
    </w:p>
    <w:p>
      <w:pPr>
        <w:pStyle w:val="BookText"/>
      </w:pPr>
      <w:r>
        <w:rPr>
          <w:rFonts w:ascii="Amiri" w:hAnsi="Amiri" w:eastAsia="Amiri" w:cs="Amiri"/>
          <w:lang w:bidi="ar-SA"/>
          <w:color w:val="111111"/>
          <w:sz w:val="28"/>
          <w:szCs w:val="28"/>
          <w:rtl/>
        </w:rPr>
        <w:t xml:space="preserve">قزيلباش)، ج 1، ص 470 .</w:t>
      </w:r>
    </w:p>
    <w:p>
      <w:pPr>
        <w:pStyle w:val="BookText"/>
      </w:pPr>
      <w:r>
        <w:rPr>
          <w:rFonts w:ascii="Amiri" w:hAnsi="Amiri" w:eastAsia="Amiri" w:cs="Amiri"/>
          <w:lang w:bidi="ar-SA"/>
          <w:color w:val="111111"/>
          <w:sz w:val="28"/>
          <w:szCs w:val="28"/>
          <w:rtl/>
        </w:rPr>
        <w:t xml:space="preserve">2 .رسالة فيمن خرج على اهل السنة</w:t>
      </w:r>
    </w:p>
    <w:p>
      <w:pPr>
        <w:pStyle w:val="BookText"/>
      </w:pPr>
      <w:r>
        <w:rPr>
          <w:rFonts w:ascii="Amiri" w:hAnsi="Amiri" w:eastAsia="Amiri" w:cs="Amiri"/>
          <w:lang w:bidi="ar-SA"/>
          <w:color w:val="111111"/>
          <w:sz w:val="28"/>
          <w:szCs w:val="28"/>
          <w:rtl/>
        </w:rPr>
        <w:t xml:space="preserve">و الجماعة، ج 8، ص 245.</w:t>
      </w:r>
    </w:p>
    <w:p>
      <w:pPr>
        <w:pStyle w:val="BookText"/>
      </w:pPr>
      <w:r>
        <w:rPr>
          <w:rFonts w:ascii="Amiri" w:hAnsi="Amiri" w:eastAsia="Amiri" w:cs="Amiri"/>
          <w:lang w:bidi="ar-SA"/>
          <w:color w:val="111111"/>
          <w:sz w:val="28"/>
          <w:szCs w:val="28"/>
          <w:rtl/>
        </w:rPr>
        <w:t xml:space="preserve">شرواني تبريزي ، محمّد شريف بن</w:t>
      </w:r>
    </w:p>
    <w:p>
      <w:pPr>
        <w:pStyle w:val="BookText"/>
      </w:pPr>
      <w:r>
        <w:rPr>
          <w:rFonts w:ascii="Amiri" w:hAnsi="Amiri" w:eastAsia="Amiri" w:cs="Amiri"/>
          <w:lang w:bidi="ar-SA"/>
          <w:color w:val="111111"/>
          <w:sz w:val="28"/>
          <w:szCs w:val="28"/>
          <w:rtl/>
        </w:rPr>
        <w:t xml:space="preserve">رضا -شيرواني تبريزي ، شريف بن رضا</w:t>
      </w:r>
    </w:p>
    <w:p>
      <w:pPr>
        <w:pStyle w:val="BookText"/>
      </w:pPr>
      <w:r>
        <w:rPr>
          <w:rFonts w:ascii="Amiri" w:hAnsi="Amiri" w:eastAsia="Amiri" w:cs="Amiri"/>
          <w:lang w:bidi="ar-SA"/>
          <w:color w:val="111111"/>
          <w:sz w:val="28"/>
          <w:szCs w:val="28"/>
          <w:rtl/>
        </w:rPr>
        <w:t xml:space="preserve">شرواني ، حيدر علي بن محمّد- شيرواني ،</w:t>
      </w:r>
    </w:p>
    <w:p>
      <w:pPr>
        <w:pStyle w:val="BookText"/>
      </w:pPr>
      <w:r>
        <w:rPr>
          <w:rFonts w:ascii="Amiri" w:hAnsi="Amiri" w:eastAsia="Amiri" w:cs="Amiri"/>
          <w:lang w:bidi="ar-SA"/>
          <w:color w:val="111111"/>
          <w:sz w:val="28"/>
          <w:szCs w:val="28"/>
          <w:rtl/>
        </w:rPr>
        <w:t xml:space="preserve">حيدر علي بن محمّد</w:t>
      </w:r>
    </w:p>
    <w:p>
      <w:pPr>
        <w:pStyle w:val="Heading2"/>
      </w:pPr>
      <w:bookmarkStart w:id="5123" w:name="_Toc4225"/>
      <w:r>
        <w:t>شرواني ، عبدالرحيم بن احمد - 1134</w:t>
      </w:r>
      <w:bookmarkEnd w:id="5123"/>
    </w:p>
    <w:p>
      <w:pPr>
        <w:pStyle w:val="BookText"/>
      </w:pPr>
      <w:r>
        <w:rPr>
          <w:rFonts w:ascii="Amiri" w:hAnsi="Amiri" w:eastAsia="Amiri" w:cs="Amiri"/>
          <w:lang w:bidi="ar-SA"/>
          <w:color w:val="111111"/>
          <w:sz w:val="28"/>
          <w:szCs w:val="28"/>
          <w:rtl/>
        </w:rPr>
        <w:t xml:space="preserve">حاشية لوامع الاسرار في شرح مطالع الانوار، ج 6، ص 346.</w:t>
      </w:r>
    </w:p>
    <w:p>
      <w:pPr>
        <w:pStyle w:val="Heading2"/>
      </w:pPr>
      <w:bookmarkStart w:id="5124" w:name="_Toc4226"/>
      <w:r>
        <w:t>شرواني ، عبد الرحيم بن محمود</w:t>
      </w:r>
      <w:bookmarkEnd w:id="5124"/>
    </w:p>
    <w:p>
      <w:pPr>
        <w:pStyle w:val="BookText"/>
      </w:pPr>
      <w:r>
        <w:rPr>
          <w:rFonts w:ascii="Amiri" w:hAnsi="Amiri" w:eastAsia="Amiri" w:cs="Amiri"/>
          <w:lang w:bidi="ar-SA"/>
          <w:color w:val="111111"/>
          <w:sz w:val="28"/>
          <w:szCs w:val="28"/>
          <w:rtl/>
        </w:rPr>
        <w:t xml:space="preserve">حاشية حاشية لوامع الاسرار في شرح مطالع الانوار ، ج 5، ص 845.</w:t>
      </w:r>
    </w:p>
    <w:p>
      <w:pPr>
        <w:pStyle w:val="Heading2"/>
      </w:pPr>
      <w:bookmarkStart w:id="5125" w:name="_Toc4227"/>
      <w:r>
        <w:t>شرواني ، كمال الدين بن آسایش - 916</w:t>
      </w:r>
      <w:bookmarkEnd w:id="5125"/>
    </w:p>
    <w:p>
      <w:pPr>
        <w:pStyle w:val="BookText"/>
      </w:pPr>
      <w:r>
        <w:rPr>
          <w:rFonts w:ascii="Amiri" w:hAnsi="Amiri" w:eastAsia="Amiri" w:cs="Amiri"/>
          <w:lang w:bidi="ar-SA"/>
          <w:color w:val="111111"/>
          <w:sz w:val="28"/>
          <w:szCs w:val="28"/>
          <w:rtl/>
        </w:rPr>
        <w:t xml:space="preserve">مفتاح السعادة، ج 15، ص 199.</w:t>
      </w:r>
    </w:p>
    <w:p>
      <w:pPr>
        <w:pStyle w:val="Heading2"/>
      </w:pPr>
      <w:bookmarkStart w:id="5126" w:name="_Toc4228"/>
      <w:r>
        <w:t>شرواني ، محمّد امین بن صدرالدین</w:t>
      </w:r>
      <w:bookmarkEnd w:id="5126"/>
    </w:p>
    <w:p>
      <w:pPr>
        <w:pStyle w:val="BookText"/>
      </w:pPr>
      <w:r>
        <w:rPr>
          <w:rFonts w:ascii="IRNazanin" w:hAnsi="IRNazanin" w:eastAsia="IRNazanin" w:cs="IRNazanin"/>
          <w:lang w:bidi="fa-IR"/>
          <w:color w:val="111111"/>
          <w:sz w:val="28"/>
          <w:szCs w:val="28"/>
          <w:rtl/>
        </w:rPr>
        <w:t xml:space="preserve">1036ه-</w:t>
      </w:r>
    </w:p>
    <w:p>
      <w:pPr>
        <w:pStyle w:val="BookText"/>
      </w:pPr>
      <w:r>
        <w:rPr>
          <w:rFonts w:ascii="Amiri" w:hAnsi="Amiri" w:eastAsia="Amiri" w:cs="Amiri"/>
          <w:lang w:bidi="ar-SA"/>
          <w:color w:val="111111"/>
          <w:sz w:val="28"/>
          <w:szCs w:val="28"/>
          <w:rtl/>
        </w:rPr>
        <w:t xml:space="preserve">1 .جهة الوحدة بين المتعلمين = حاشية شرح الفناري = حاشية جهة الوحدة، ج 5، ص 481.</w:t>
      </w:r>
    </w:p>
    <w:p>
      <w:pPr>
        <w:pStyle w:val="BookText"/>
      </w:pPr>
      <w:r>
        <w:rPr>
          <w:rFonts w:ascii="Amiri" w:hAnsi="Amiri" w:eastAsia="Amiri" w:cs="Amiri"/>
          <w:lang w:bidi="ar-SA"/>
          <w:color w:val="111111"/>
          <w:sz w:val="28"/>
          <w:szCs w:val="28"/>
          <w:rtl/>
        </w:rPr>
        <w:t xml:space="preserve">2 .حاشية انوار التنزيل = حاشيه</w:t>
      </w:r>
    </w:p>
    <w:p>
      <w:pPr>
        <w:pStyle w:val="BookText"/>
      </w:pPr>
      <w:r>
        <w:rPr>
          <w:rFonts w:ascii="Amiri" w:hAnsi="Amiri" w:eastAsia="Amiri" w:cs="Amiri"/>
          <w:lang w:bidi="ar-SA"/>
          <w:color w:val="111111"/>
          <w:sz w:val="28"/>
          <w:szCs w:val="28"/>
          <w:rtl/>
        </w:rPr>
        <w:t xml:space="preserve">تفسير بيضاوي، ج 5، ص 693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شرواني، ج 7، ص 668.</w:t>
      </w:r>
    </w:p>
    <w:p>
      <w:pPr>
        <w:pStyle w:val="BookText"/>
      </w:pPr>
      <w:r>
        <w:rPr>
          <w:rFonts w:ascii="Amiri" w:hAnsi="Amiri" w:eastAsia="Amiri" w:cs="Amiri"/>
          <w:lang w:bidi="ar-SA"/>
          <w:color w:val="111111"/>
          <w:sz w:val="28"/>
          <w:szCs w:val="28"/>
          <w:rtl/>
        </w:rPr>
        <w:t xml:space="preserve">4 .شرح اثبات الواجب القديم، ج9،</w:t>
      </w:r>
    </w:p>
    <w:p>
      <w:pPr>
        <w:pStyle w:val="BookText"/>
      </w:pPr>
      <w:r>
        <w:rPr>
          <w:rFonts w:ascii="IRNazanin" w:hAnsi="IRNazanin" w:eastAsia="IRNazanin" w:cs="IRNazanin"/>
          <w:lang w:bidi="fa-IR"/>
          <w:color w:val="111111"/>
          <w:sz w:val="28"/>
          <w:szCs w:val="28"/>
          <w:rtl/>
        </w:rPr>
        <w:t xml:space="preserve">ص 156 .</w:t>
      </w:r>
    </w:p>
    <w:p>
      <w:pPr>
        <w:pStyle w:val="BookText"/>
      </w:pPr>
      <w:r>
        <w:rPr>
          <w:rFonts w:ascii="Amiri" w:hAnsi="Amiri" w:eastAsia="Amiri" w:cs="Amiri"/>
          <w:lang w:bidi="ar-SA"/>
          <w:color w:val="111111"/>
          <w:sz w:val="28"/>
          <w:szCs w:val="28"/>
          <w:rtl/>
        </w:rPr>
        <w:t xml:space="preserve">5 .شرح رسالة في الحكمة، ج9،</w:t>
      </w:r>
    </w:p>
    <w:p>
      <w:pPr>
        <w:pStyle w:val="BookText"/>
      </w:pPr>
      <w:r>
        <w:rPr>
          <w:rFonts w:ascii="IRNazanin" w:hAnsi="IRNazanin" w:eastAsia="IRNazanin" w:cs="IRNazanin"/>
          <w:lang w:bidi="fa-IR"/>
          <w:color w:val="111111"/>
          <w:sz w:val="28"/>
          <w:szCs w:val="28"/>
          <w:rtl/>
        </w:rPr>
        <w:t xml:space="preserve">ص 544</w:t>
      </w:r>
    </w:p>
    <w:p>
      <w:pPr>
        <w:pStyle w:val="BookText"/>
      </w:pPr>
      <w:r>
        <w:rPr>
          <w:rFonts w:ascii="Amiri" w:hAnsi="Amiri" w:eastAsia="Amiri" w:cs="Amiri"/>
          <w:lang w:bidi="ar-SA"/>
          <w:color w:val="111111"/>
          <w:sz w:val="28"/>
          <w:szCs w:val="28"/>
          <w:rtl/>
        </w:rPr>
        <w:t xml:space="preserve">6 .الفوائد الخاقانية الاحمد خانية</w:t>
      </w:r>
    </w:p>
    <w:p>
      <w:pPr>
        <w:pStyle w:val="BookText"/>
      </w:pPr>
      <w:r>
        <w:rPr>
          <w:rFonts w:ascii="IRNazanin" w:hAnsi="IRNazanin" w:eastAsia="IRNazanin" w:cs="IRNazanin"/>
          <w:lang w:bidi="fa-IR"/>
          <w:color w:val="111111"/>
          <w:sz w:val="28"/>
          <w:szCs w:val="28"/>
          <w:rtl/>
        </w:rPr>
        <w:t xml:space="preserve">ج 12، ص203.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المبدأ و المعاد، ج13، ص733.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المنطق (رسالة في)، ج 15، ص 696.</w:t>
      </w:r>
    </w:p>
    <w:p>
      <w:pPr>
        <w:pStyle w:val="Heading2"/>
      </w:pPr>
      <w:bookmarkStart w:id="5127" w:name="_Toc4229"/>
      <w:r>
        <w:t>شرواني ، محمّد بن جمال الدين قرن 9 ه-</w:t>
      </w:r>
      <w:bookmarkEnd w:id="5127"/>
    </w:p>
    <w:p>
      <w:pPr>
        <w:pStyle w:val="BookText"/>
      </w:pPr>
      <w:r>
        <w:rPr>
          <w:rFonts w:ascii="Amiri" w:hAnsi="Amiri" w:eastAsia="Amiri" w:cs="Amiri"/>
          <w:lang w:bidi="ar-SA"/>
          <w:color w:val="111111"/>
          <w:sz w:val="28"/>
          <w:szCs w:val="28"/>
          <w:rtl/>
        </w:rPr>
        <w:t xml:space="preserve">حاشية انوار التنزيل = حاشيه تفسير</w:t>
      </w:r>
    </w:p>
    <w:p>
      <w:pPr>
        <w:pStyle w:val="BookText"/>
      </w:pPr>
      <w:r>
        <w:rPr>
          <w:rFonts w:ascii="Amiri" w:hAnsi="Amiri" w:eastAsia="Amiri" w:cs="Amiri"/>
          <w:lang w:bidi="ar-SA"/>
          <w:color w:val="111111"/>
          <w:sz w:val="28"/>
          <w:szCs w:val="28"/>
          <w:rtl/>
        </w:rPr>
        <w:t xml:space="preserve">بيضاوي، ج 5، ص 675.</w:t>
      </w:r>
    </w:p>
    <w:p>
      <w:pPr>
        <w:pStyle w:val="BookText"/>
      </w:pPr>
      <w:r>
        <w:rPr>
          <w:rFonts w:ascii="Amiri" w:hAnsi="Amiri" w:eastAsia="Amiri" w:cs="Amiri"/>
          <w:lang w:bidi="ar-SA"/>
          <w:color w:val="111111"/>
          <w:sz w:val="28"/>
          <w:szCs w:val="28"/>
          <w:rtl/>
        </w:rPr>
        <w:t xml:space="preserve">شرواني ، محمّد بن حسن شيرواني ،</w:t>
      </w:r>
    </w:p>
    <w:p>
      <w:pPr>
        <w:pStyle w:val="BookText"/>
      </w:pPr>
      <w:r>
        <w:rPr>
          <w:rFonts w:ascii="Amiri" w:hAnsi="Amiri" w:eastAsia="Amiri" w:cs="Amiri"/>
          <w:lang w:bidi="ar-SA"/>
          <w:color w:val="111111"/>
          <w:sz w:val="28"/>
          <w:szCs w:val="28"/>
          <w:rtl/>
        </w:rPr>
        <w:t xml:space="preserve">محمّد بن حسن -</w:t>
      </w:r>
    </w:p>
    <w:p>
      <w:pPr>
        <w:pStyle w:val="BookText"/>
      </w:pPr>
      <w:r>
        <w:rPr>
          <w:rFonts w:ascii="Amiri" w:hAnsi="Amiri" w:eastAsia="Amiri" w:cs="Amiri"/>
          <w:lang w:bidi="ar-SA"/>
          <w:color w:val="111111"/>
          <w:sz w:val="28"/>
          <w:szCs w:val="28"/>
          <w:rtl/>
        </w:rPr>
        <w:t xml:space="preserve">شرواني ، محمّد بن محمود- شيرواني</w:t>
      </w:r>
    </w:p>
    <w:p>
      <w:pPr>
        <w:pStyle w:val="BookText"/>
      </w:pPr>
      <w:r>
        <w:rPr>
          <w:rFonts w:ascii="IRNazanin" w:hAnsi="IRNazanin" w:eastAsia="IRNazanin" w:cs="IRNazanin"/>
          <w:lang w:bidi="fa-IR"/>
          <w:color w:val="111111"/>
          <w:sz w:val="28"/>
          <w:szCs w:val="28"/>
          <w:rtl/>
        </w:rPr>
        <w:t xml:space="preserve">محمد بن محمود</w:t>
      </w:r>
    </w:p>
    <w:p>
      <w:pPr>
        <w:pStyle w:val="BookText"/>
      </w:pPr>
      <w:r>
        <w:rPr>
          <w:rFonts w:ascii="Amiri" w:hAnsi="Amiri" w:eastAsia="Amiri" w:cs="Amiri"/>
          <w:lang w:bidi="ar-SA"/>
          <w:color w:val="111111"/>
          <w:sz w:val="28"/>
          <w:szCs w:val="28"/>
          <w:rtl/>
        </w:rPr>
        <w:t xml:space="preserve">شرواني ، محمّد شريف بن رضا- شيرواني</w:t>
      </w:r>
    </w:p>
    <w:p>
      <w:pPr>
        <w:pStyle w:val="BookText"/>
      </w:pPr>
      <w:r>
        <w:rPr>
          <w:rFonts w:ascii="Amiri" w:hAnsi="Amiri" w:eastAsia="Amiri" w:cs="Amiri"/>
          <w:lang w:bidi="ar-SA"/>
          <w:color w:val="111111"/>
          <w:sz w:val="28"/>
          <w:szCs w:val="28"/>
          <w:rtl/>
        </w:rPr>
        <w:t xml:space="preserve">تبريزي، شريف بن رضا</w:t>
      </w:r>
    </w:p>
    <w:p>
      <w:pPr>
        <w:pStyle w:val="Heading2"/>
      </w:pPr>
      <w:bookmarkStart w:id="5128" w:name="_Toc4230"/>
      <w:r>
        <w:t>شرواني ، محمّد طه بن اسماعیل</w:t>
      </w:r>
      <w:bookmarkEnd w:id="5128"/>
    </w:p>
    <w:p>
      <w:pPr>
        <w:pStyle w:val="BookText"/>
      </w:pPr>
      <w:r>
        <w:rPr>
          <w:rFonts w:ascii="Amiri" w:hAnsi="Amiri" w:eastAsia="Amiri" w:cs="Amiri"/>
          <w:lang w:bidi="ar-SA"/>
          <w:color w:val="111111"/>
          <w:sz w:val="28"/>
          <w:szCs w:val="28"/>
          <w:rtl/>
        </w:rPr>
        <w:t xml:space="preserve">كحل العيون في دفع الشبه والظنون</w:t>
      </w:r>
    </w:p>
    <w:p>
      <w:pPr>
        <w:pStyle w:val="BookText"/>
      </w:pPr>
      <w:r>
        <w:rPr>
          <w:rFonts w:ascii="IRNazanin" w:hAnsi="IRNazanin" w:eastAsia="IRNazanin" w:cs="IRNazanin"/>
          <w:lang w:bidi="fa-IR"/>
          <w:color w:val="111111"/>
          <w:sz w:val="28"/>
          <w:szCs w:val="28"/>
          <w:rtl/>
        </w:rPr>
        <w:t xml:space="preserve">ج 13، ص 150.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15" w:name="pg7742_70601"/>
    <w:bookmarkEnd w:id="615"/>
    <w:p>
      <w:pPr>
        <w:pStyle w:val="BookText"/>
      </w:pPr>
      <w:r>
        <w:rPr>
          <w:rFonts w:ascii="Amiri" w:hAnsi="Amiri" w:eastAsia="Amiri" w:cs="Amiri"/>
          <w:lang w:bidi="ar-SA"/>
          <w:color w:val="111111"/>
          <w:sz w:val="28"/>
          <w:szCs w:val="28"/>
          <w:rtl/>
        </w:rPr>
        <w:t xml:space="preserve">شرواني ، مسعود شيرواني ، مسعود بن حسين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شرح مقامات الحريري، ج 10،</w:t>
      </w:r>
    </w:p>
    <w:p>
      <w:pPr>
        <w:pStyle w:val="BookText"/>
      </w:pPr>
      <w:r>
        <w:rPr>
          <w:rFonts w:ascii="IRNazanin" w:hAnsi="IRNazanin" w:eastAsia="IRNazanin" w:cs="IRNazanin"/>
          <w:lang w:bidi="fa-IR"/>
          <w:color w:val="111111"/>
          <w:sz w:val="28"/>
          <w:szCs w:val="28"/>
          <w:rtl/>
        </w:rPr>
        <w:t xml:space="preserve">ص 178.</w:t>
      </w:r>
    </w:p>
    <w:p>
      <w:pPr>
        <w:pStyle w:val="BookText"/>
      </w:pPr>
      <w:r>
        <w:rPr>
          <w:rFonts w:ascii="Amiri" w:hAnsi="Amiri" w:eastAsia="Amiri" w:cs="Amiri"/>
          <w:lang w:bidi="ar-SA"/>
          <w:color w:val="111111"/>
          <w:sz w:val="28"/>
          <w:szCs w:val="28"/>
          <w:rtl/>
        </w:rPr>
        <w:t xml:space="preserve">شرواني مسعود بن حسين - شيرواني ،</w:t>
      </w:r>
    </w:p>
    <w:p>
      <w:pPr>
        <w:pStyle w:val="BookText"/>
      </w:pPr>
      <w:r>
        <w:rPr>
          <w:rFonts w:ascii="Amiri" w:hAnsi="Amiri" w:eastAsia="Amiri" w:cs="Amiri"/>
          <w:lang w:bidi="ar-SA"/>
          <w:color w:val="111111"/>
          <w:sz w:val="28"/>
          <w:szCs w:val="28"/>
          <w:rtl/>
        </w:rPr>
        <w:t xml:space="preserve">مسعود بن حسين</w:t>
      </w:r>
    </w:p>
    <w:p>
      <w:pPr>
        <w:pStyle w:val="BookText"/>
      </w:pPr>
      <w:r>
        <w:rPr>
          <w:rFonts w:ascii="Amiri" w:hAnsi="Amiri" w:eastAsia="Amiri" w:cs="Amiri"/>
          <w:lang w:bidi="ar-SA"/>
          <w:color w:val="111111"/>
          <w:sz w:val="28"/>
          <w:szCs w:val="28"/>
          <w:rtl/>
        </w:rPr>
        <w:t xml:space="preserve">شرواني يمني ، احمد بن محمّد -شرواني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5129" w:name="_Toc4231"/>
      <w:r>
        <w:t>شروفي ، علي بن حيدر</w:t>
      </w:r>
      <w:bookmarkEnd w:id="5129"/>
    </w:p>
    <w:p>
      <w:pPr>
        <w:pStyle w:val="BookText"/>
      </w:pPr>
      <w:r>
        <w:rPr>
          <w:rFonts w:ascii="Amiri" w:hAnsi="Amiri" w:eastAsia="Amiri" w:cs="Amiri"/>
          <w:lang w:bidi="ar-SA"/>
          <w:color w:val="111111"/>
          <w:sz w:val="28"/>
          <w:szCs w:val="28"/>
          <w:rtl/>
        </w:rPr>
        <w:t xml:space="preserve">الدرر المنظمة، ج 7، ص318.</w:t>
      </w:r>
    </w:p>
    <w:p>
      <w:pPr>
        <w:pStyle w:val="Heading2"/>
      </w:pPr>
      <w:bookmarkStart w:id="5130" w:name="_Toc4232"/>
      <w:r>
        <w:t>شروقي ، علي بن حيدر - 1314 ه-</w:t>
      </w:r>
      <w:bookmarkEnd w:id="5130"/>
    </w:p>
    <w:p>
      <w:pPr>
        <w:pStyle w:val="BookText"/>
      </w:pPr>
      <w:r>
        <w:rPr>
          <w:rFonts w:ascii="IRNazanin" w:hAnsi="IRNazanin" w:eastAsia="IRNazanin" w:cs="IRNazanin"/>
          <w:lang w:bidi="fa-IR"/>
          <w:color w:val="111111"/>
          <w:sz w:val="28"/>
          <w:szCs w:val="28"/>
          <w:rtl/>
        </w:rPr>
        <w:t xml:space="preserve">الصرف، ج 10، ص 551 .</w:t>
      </w:r>
    </w:p>
    <w:p>
      <w:pPr>
        <w:pStyle w:val="Heading2"/>
      </w:pPr>
      <w:bookmarkStart w:id="5131" w:name="_Toc4233"/>
      <w:r>
        <w:t>شروقي ، محمّد حسن بن موسی</w:t>
      </w:r>
      <w:bookmarkEnd w:id="5131"/>
    </w:p>
    <w:p>
      <w:pPr>
        <w:pStyle w:val="BookText"/>
      </w:pPr>
      <w:r>
        <w:rPr>
          <w:rFonts w:ascii="IRNazanin" w:hAnsi="IRNazanin" w:eastAsia="IRNazanin" w:cs="IRNazanin"/>
          <w:lang w:bidi="fa-IR"/>
          <w:color w:val="111111"/>
          <w:sz w:val="28"/>
          <w:szCs w:val="28"/>
          <w:rtl/>
        </w:rPr>
        <w:t xml:space="preserve">1277 ه-</w:t>
      </w:r>
    </w:p>
    <w:p>
      <w:pPr>
        <w:pStyle w:val="BookText"/>
      </w:pPr>
      <w:r>
        <w:rPr>
          <w:rFonts w:ascii="IRNazanin" w:hAnsi="IRNazanin" w:eastAsia="IRNazanin" w:cs="IRNazanin"/>
          <w:lang w:bidi="fa-IR"/>
          <w:color w:val="111111"/>
          <w:sz w:val="28"/>
          <w:szCs w:val="28"/>
          <w:rtl/>
        </w:rPr>
        <w:t xml:space="preserve">شرح شرایع الاسلام، ج 9، ص 624 .</w:t>
      </w:r>
    </w:p>
    <w:p>
      <w:pPr>
        <w:pStyle w:val="BookText"/>
      </w:pPr>
      <w:r>
        <w:rPr>
          <w:rFonts w:ascii="Amiri" w:hAnsi="Amiri" w:eastAsia="Amiri" w:cs="Amiri"/>
          <w:lang w:bidi="ar-SA"/>
          <w:color w:val="111111"/>
          <w:sz w:val="28"/>
          <w:szCs w:val="28"/>
          <w:rtl/>
        </w:rPr>
        <w:t xml:space="preserve">شروقي نجفي ، علي بن حيدر -شروقي ،</w:t>
      </w:r>
    </w:p>
    <w:p>
      <w:pPr>
        <w:pStyle w:val="BookText"/>
      </w:pPr>
      <w:r>
        <w:rPr>
          <w:rFonts w:ascii="Amiri" w:hAnsi="Amiri" w:eastAsia="Amiri" w:cs="Amiri"/>
          <w:lang w:bidi="ar-SA"/>
          <w:color w:val="111111"/>
          <w:sz w:val="28"/>
          <w:szCs w:val="28"/>
          <w:rtl/>
        </w:rPr>
        <w:t xml:space="preserve">علي بن حيدر</w:t>
      </w:r>
    </w:p>
    <w:p>
      <w:pPr>
        <w:pStyle w:val="BookText"/>
      </w:pPr>
      <w:r>
        <w:rPr>
          <w:rFonts w:ascii="Amiri" w:hAnsi="Amiri" w:eastAsia="Amiri" w:cs="Amiri"/>
          <w:lang w:bidi="ar-SA"/>
          <w:color w:val="111111"/>
          <w:sz w:val="28"/>
          <w:szCs w:val="28"/>
          <w:rtl/>
        </w:rPr>
        <w:t xml:space="preserve">شريح بن عبد الكريم روياني- روياني</w:t>
      </w:r>
    </w:p>
    <w:p>
      <w:pPr>
        <w:pStyle w:val="BookText"/>
      </w:pPr>
      <w:r>
        <w:rPr>
          <w:rFonts w:ascii="Amiri" w:hAnsi="Amiri" w:eastAsia="Amiri" w:cs="Amiri"/>
          <w:lang w:bidi="ar-SA"/>
          <w:color w:val="111111"/>
          <w:sz w:val="28"/>
          <w:szCs w:val="28"/>
          <w:rtl/>
        </w:rPr>
        <w:t xml:space="preserve">شريح بن عبد الكريم</w:t>
      </w:r>
    </w:p>
    <w:p>
      <w:pPr>
        <w:pStyle w:val="BookText"/>
      </w:pPr>
      <w:r>
        <w:rPr>
          <w:rFonts w:ascii="Amiri" w:hAnsi="Amiri" w:eastAsia="Amiri" w:cs="Amiri"/>
          <w:lang w:bidi="ar-SA"/>
          <w:color w:val="111111"/>
          <w:sz w:val="28"/>
          <w:szCs w:val="28"/>
          <w:rtl/>
        </w:rPr>
        <w:t xml:space="preserve">شريح بن محمّد رعيني -رعيني ، شريح</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شریح روياني- روياني ، شريح بن</w:t>
      </w:r>
    </w:p>
    <w:p>
      <w:pPr>
        <w:pStyle w:val="BookText"/>
      </w:pPr>
      <w:r>
        <w:rPr>
          <w:rFonts w:ascii="Amiri" w:hAnsi="Amiri" w:eastAsia="Amiri" w:cs="Amiri"/>
          <w:lang w:bidi="ar-SA"/>
          <w:color w:val="111111"/>
          <w:sz w:val="28"/>
          <w:szCs w:val="28"/>
          <w:rtl/>
        </w:rPr>
        <w:t xml:space="preserve">عبد الكريم</w:t>
      </w:r>
    </w:p>
    <w:p>
      <w:pPr>
        <w:pStyle w:val="BookText"/>
      </w:pPr>
      <w:r>
        <w:rPr>
          <w:rFonts w:ascii="Amiri" w:hAnsi="Amiri" w:eastAsia="Amiri" w:cs="Amiri"/>
          <w:lang w:bidi="ar-SA"/>
          <w:color w:val="111111"/>
          <w:sz w:val="28"/>
          <w:szCs w:val="28"/>
          <w:rtl/>
        </w:rPr>
        <w:t xml:space="preserve">شريسي ، احمد بن عبد المؤمن- شريشي ،</w:t>
      </w:r>
    </w:p>
    <w:p>
      <w:pPr>
        <w:pStyle w:val="BookText"/>
      </w:pPr>
      <w:r>
        <w:rPr>
          <w:rFonts w:ascii="IRNazanin" w:hAnsi="IRNazanin" w:eastAsia="IRNazanin" w:cs="IRNazanin"/>
          <w:lang w:bidi="fa-IR"/>
          <w:color w:val="111111"/>
          <w:sz w:val="28"/>
          <w:szCs w:val="28"/>
          <w:rtl/>
        </w:rPr>
        <w:t xml:space="preserve">احمد بن عبدالمؤمن</w:t>
      </w:r>
    </w:p>
    <w:p>
      <w:pPr>
        <w:pStyle w:val="BookText"/>
      </w:pPr>
      <w:r>
        <w:rPr>
          <w:rFonts w:ascii="Amiri" w:hAnsi="Amiri" w:eastAsia="Amiri" w:cs="Amiri"/>
          <w:lang w:bidi="ar-SA"/>
          <w:color w:val="111111"/>
          <w:sz w:val="28"/>
          <w:szCs w:val="28"/>
          <w:rtl/>
        </w:rPr>
        <w:t xml:space="preserve">شريسي ، محمّد بن ابراهيم -خراز ، محمّد بن محمّد</w:t>
      </w:r>
    </w:p>
    <w:p>
      <w:pPr>
        <w:pStyle w:val="BookText"/>
      </w:pPr>
      <w:r>
        <w:rPr>
          <w:rFonts w:ascii="Amiri" w:hAnsi="Amiri" w:eastAsia="Amiri" w:cs="Amiri"/>
          <w:lang w:bidi="ar-SA"/>
          <w:color w:val="111111"/>
          <w:sz w:val="28"/>
          <w:szCs w:val="28"/>
          <w:rtl/>
        </w:rPr>
        <w:t xml:space="preserve">شريسي ، محمّد بن احمد- خراز ، محمّد بن محمّد</w:t>
      </w:r>
    </w:p>
    <w:p>
      <w:pPr>
        <w:pStyle w:val="Heading2"/>
      </w:pPr>
      <w:bookmarkStart w:id="5132" w:name="_Toc4234"/>
      <w:r>
        <w:t>شريشي ، احمد بن عبدالمؤمن 557 - 619 ه-</w:t>
      </w:r>
      <w:bookmarkEnd w:id="5132"/>
    </w:p>
    <w:p>
      <w:pPr>
        <w:pStyle w:val="BookText"/>
      </w:pPr>
      <w:r>
        <w:rPr>
          <w:rFonts w:ascii="Amiri" w:hAnsi="Amiri" w:eastAsia="Amiri" w:cs="Amiri"/>
          <w:lang w:bidi="ar-SA"/>
          <w:color w:val="111111"/>
          <w:sz w:val="28"/>
          <w:szCs w:val="28"/>
          <w:rtl/>
        </w:rPr>
        <w:t xml:space="preserve">2 .شرح مقامات الحريري (الكبير)</w:t>
      </w:r>
    </w:p>
    <w:p>
      <w:pPr>
        <w:pStyle w:val="BookText"/>
      </w:pPr>
      <w:r>
        <w:rPr>
          <w:rFonts w:ascii="IRNazanin" w:hAnsi="IRNazanin" w:eastAsia="IRNazanin" w:cs="IRNazanin"/>
          <w:lang w:bidi="fa-IR"/>
          <w:color w:val="111111"/>
          <w:sz w:val="28"/>
          <w:szCs w:val="28"/>
          <w:rtl/>
        </w:rPr>
        <w:t xml:space="preserve">ج 10، ص179.</w:t>
      </w:r>
    </w:p>
    <w:p>
      <w:pPr>
        <w:pStyle w:val="BookText"/>
      </w:pPr>
      <w:r>
        <w:rPr>
          <w:rFonts w:ascii="Amiri" w:hAnsi="Amiri" w:eastAsia="Amiri" w:cs="Amiri"/>
          <w:lang w:bidi="ar-SA"/>
          <w:color w:val="111111"/>
          <w:sz w:val="28"/>
          <w:szCs w:val="28"/>
          <w:rtl/>
        </w:rPr>
        <w:t xml:space="preserve">3 المنظومة، ج 15، ص 713.</w:t>
      </w:r>
    </w:p>
    <w:p>
      <w:pPr>
        <w:pStyle w:val="BookText"/>
      </w:pPr>
      <w:r>
        <w:rPr>
          <w:rFonts w:ascii="IRNazanin" w:hAnsi="IRNazanin" w:eastAsia="IRNazanin" w:cs="IRNazanin"/>
          <w:lang w:bidi="fa-IR"/>
          <w:color w:val="111111"/>
          <w:sz w:val="28"/>
          <w:szCs w:val="28"/>
          <w:rtl/>
        </w:rPr>
        <w:t xml:space="preserve">شريشي، محمّد بن ابراهیم -خراز ، محمّد</w:t>
      </w:r>
    </w:p>
    <w:p>
      <w:pPr>
        <w:pStyle w:val="BookText"/>
      </w:pPr>
      <w:r>
        <w:rPr>
          <w:rFonts w:ascii="Amiri" w:hAnsi="Amiri" w:eastAsia="Amiri" w:cs="Amiri"/>
          <w:lang w:bidi="ar-SA"/>
          <w:color w:val="111111"/>
          <w:sz w:val="28"/>
          <w:szCs w:val="28"/>
          <w:rtl/>
        </w:rPr>
        <w:t xml:space="preserve">بن محمّد</w:t>
      </w:r>
    </w:p>
    <w:p>
      <w:pPr>
        <w:pStyle w:val="Heading2"/>
      </w:pPr>
      <w:bookmarkStart w:id="5133" w:name="_Toc4235"/>
      <w:r>
        <w:t>شریعت اصفهاني ، فتح الله بن محمّد</w:t>
      </w:r>
      <w:bookmarkEnd w:id="5133"/>
    </w:p>
    <w:p>
      <w:pPr>
        <w:pStyle w:val="BookText"/>
      </w:pPr>
      <w:r>
        <w:rPr>
          <w:rFonts w:ascii="IRNazanin" w:hAnsi="IRNazanin" w:eastAsia="IRNazanin" w:cs="IRNazanin"/>
          <w:lang w:bidi="fa-IR"/>
          <w:color w:val="111111"/>
          <w:sz w:val="28"/>
          <w:szCs w:val="28"/>
          <w:rtl/>
        </w:rPr>
        <w:t xml:space="preserve">جواد 1266 - 1339 ه-</w:t>
      </w:r>
    </w:p>
    <w:p>
      <w:pPr>
        <w:pStyle w:val="BookText"/>
      </w:pPr>
      <w:r>
        <w:rPr>
          <w:rFonts w:ascii="Amiri" w:hAnsi="Amiri" w:eastAsia="Amiri" w:cs="Amiri"/>
          <w:lang w:bidi="ar-SA"/>
          <w:color w:val="111111"/>
          <w:sz w:val="28"/>
          <w:szCs w:val="28"/>
          <w:rtl/>
        </w:rPr>
        <w:t xml:space="preserve">1 .ابانة المختار في ارث الزوجة من ثمن العقار بعد الأخذ بالخيار، ج1،</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Amiri" w:hAnsi="Amiri" w:eastAsia="Amiri" w:cs="Amiri"/>
          <w:lang w:bidi="ar-SA"/>
          <w:color w:val="111111"/>
          <w:sz w:val="28"/>
          <w:szCs w:val="28"/>
          <w:rtl/>
        </w:rPr>
        <w:t xml:space="preserve">2 .إجازة للسيد محمّد هادي بن السيد</w:t>
      </w:r>
    </w:p>
    <w:p>
      <w:pPr>
        <w:pStyle w:val="BookText"/>
      </w:pPr>
      <w:r>
        <w:rPr>
          <w:rFonts w:ascii="Amiri" w:hAnsi="Amiri" w:eastAsia="Amiri" w:cs="Amiri"/>
          <w:lang w:bidi="ar-SA"/>
          <w:color w:val="111111"/>
          <w:sz w:val="28"/>
          <w:szCs w:val="28"/>
          <w:rtl/>
        </w:rPr>
        <w:t xml:space="preserve">علي البجستاني، ج1، ص257.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إجازة للشيخ آقا بزرگ الطهراني</w:t>
      </w:r>
    </w:p>
    <w:p>
      <w:pPr>
        <w:pStyle w:val="BookText"/>
      </w:pPr>
      <w:r>
        <w:rPr>
          <w:rFonts w:ascii="IRNazanin" w:hAnsi="IRNazanin" w:eastAsia="IRNazanin" w:cs="IRNazanin"/>
          <w:lang w:bidi="fa-IR"/>
          <w:color w:val="111111"/>
          <w:sz w:val="28"/>
          <w:szCs w:val="28"/>
          <w:rtl/>
        </w:rPr>
        <w:t xml:space="preserve">ج 1، ص 262.</w:t>
      </w:r>
    </w:p>
    <w:p>
      <w:pPr>
        <w:pStyle w:val="BookText"/>
      </w:pPr>
      <w:r>
        <w:rPr>
          <w:rFonts w:ascii="Amiri" w:hAnsi="Amiri" w:eastAsia="Amiri" w:cs="Amiri"/>
          <w:lang w:bidi="ar-SA"/>
          <w:color w:val="111111"/>
          <w:sz w:val="28"/>
          <w:szCs w:val="28"/>
          <w:rtl/>
        </w:rPr>
        <w:t xml:space="preserve">4 .اجازة لميرزا ابوالقاسم الطباطبائي</w:t>
      </w:r>
    </w:p>
    <w:p>
      <w:pPr>
        <w:pStyle w:val="BookText"/>
      </w:pPr>
      <w:r>
        <w:rPr>
          <w:rFonts w:ascii="IRNazanin" w:hAnsi="IRNazanin" w:eastAsia="IRNazanin" w:cs="IRNazanin"/>
          <w:lang w:bidi="fa-IR"/>
          <w:color w:val="111111"/>
          <w:sz w:val="28"/>
          <w:szCs w:val="28"/>
          <w:rtl/>
        </w:rPr>
        <w:t xml:space="preserve">ج 1، ص 289.</w:t>
      </w:r>
    </w:p>
    <w:p>
      <w:pPr>
        <w:pStyle w:val="BookText"/>
      </w:pPr>
      <w:r>
        <w:rPr>
          <w:rFonts w:ascii="Amiri" w:hAnsi="Amiri" w:eastAsia="Amiri" w:cs="Amiri"/>
          <w:lang w:bidi="ar-SA"/>
          <w:color w:val="111111"/>
          <w:sz w:val="28"/>
          <w:szCs w:val="28"/>
          <w:rtl/>
        </w:rPr>
        <w:t xml:space="preserve">5 .الرد على كتاب التحفة الاثنى</w:t>
      </w:r>
    </w:p>
    <w:p>
      <w:pPr>
        <w:pStyle w:val="BookText"/>
      </w:pPr>
      <w:r>
        <w:rPr>
          <w:rFonts w:ascii="Amiri" w:hAnsi="Amiri" w:eastAsia="Amiri" w:cs="Amiri"/>
          <w:lang w:bidi="ar-SA"/>
          <w:color w:val="111111"/>
          <w:sz w:val="28"/>
          <w:szCs w:val="28"/>
          <w:rtl/>
        </w:rPr>
        <w:t xml:space="preserve">عشرية، ج8، ص99.</w:t>
      </w:r>
    </w:p>
    <w:p>
      <w:pPr>
        <w:pStyle w:val="BookText"/>
      </w:pPr>
      <w:r>
        <w:rPr>
          <w:rFonts w:ascii="Amiri" w:hAnsi="Amiri" w:eastAsia="Amiri" w:cs="Amiri"/>
          <w:lang w:bidi="ar-SA"/>
          <w:color w:val="111111"/>
          <w:sz w:val="28"/>
          <w:szCs w:val="28"/>
          <w:rtl/>
        </w:rPr>
        <w:t xml:space="preserve">6 .صيانة الابانة عن وصمة الرطانة</w:t>
      </w:r>
    </w:p>
    <w:p>
      <w:pPr>
        <w:pStyle w:val="BookText"/>
      </w:pPr>
      <w:r>
        <w:rPr>
          <w:rFonts w:ascii="IRNazanin" w:hAnsi="IRNazanin" w:eastAsia="IRNazanin" w:cs="IRNazanin"/>
          <w:lang w:bidi="fa-IR"/>
          <w:color w:val="111111"/>
          <w:sz w:val="28"/>
          <w:szCs w:val="28"/>
          <w:rtl/>
        </w:rPr>
        <w:t xml:space="preserve">ج 10 ، ص 672 .</w:t>
      </w:r>
    </w:p>
    <w:p>
      <w:pPr>
        <w:pStyle w:val="BookText"/>
      </w:pPr>
      <w:r>
        <w:rPr>
          <w:rFonts w:ascii="Amiri" w:hAnsi="Amiri" w:eastAsia="Amiri" w:cs="Amiri"/>
          <w:lang w:bidi="ar-SA"/>
          <w:color w:val="111111"/>
          <w:sz w:val="28"/>
          <w:szCs w:val="28"/>
          <w:rtl/>
        </w:rPr>
        <w:t xml:space="preserve">الواحد لايصدر عنه الا الواحد</w:t>
      </w:r>
    </w:p>
    <w:p>
      <w:pPr>
        <w:pStyle w:val="BookText"/>
      </w:pPr>
      <w:r>
        <w:rPr>
          <w:rFonts w:ascii="IRNazanin" w:hAnsi="IRNazanin" w:eastAsia="IRNazanin" w:cs="IRNazanin"/>
          <w:lang w:bidi="fa-IR"/>
          <w:color w:val="111111"/>
          <w:sz w:val="28"/>
          <w:szCs w:val="28"/>
          <w:rtl/>
        </w:rPr>
        <w:t xml:space="preserve">ج 16، ص 678.</w:t>
      </w:r>
    </w:p>
    <w:p>
      <w:pPr>
        <w:pStyle w:val="BookText"/>
      </w:pPr>
      <w:r>
        <w:rPr>
          <w:rFonts w:ascii="IRNazanin" w:hAnsi="IRNazanin" w:eastAsia="IRNazanin" w:cs="IRNazanin"/>
          <w:lang w:bidi="fa-IR"/>
          <w:color w:val="111111"/>
          <w:sz w:val="28"/>
          <w:szCs w:val="28"/>
          <w:rtl/>
        </w:rPr>
        <w:t xml:space="preserve">شریعت اصفهاني ، محمّد حسن بن</w:t>
      </w:r>
    </w:p>
    <w:p>
      <w:pPr>
        <w:pStyle w:val="BookText"/>
      </w:pPr>
      <w:r>
        <w:rPr>
          <w:rFonts w:ascii="Amiri" w:hAnsi="Amiri" w:eastAsia="Amiri" w:cs="Amiri"/>
          <w:lang w:bidi="ar-SA"/>
          <w:color w:val="111111"/>
          <w:sz w:val="28"/>
          <w:szCs w:val="28"/>
          <w:rtl/>
        </w:rPr>
        <w:t xml:space="preserve">باقر- نجفي ، محمّد حسن بن باقر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16" w:name="pg7742_70602"/>
    <w:bookmarkEnd w:id="616"/>
    <w:p>
      <w:pPr>
        <w:pStyle w:val="BookText"/>
      </w:pPr>
      <w:r>
        <w:rPr>
          <w:rFonts w:ascii="Amiri" w:hAnsi="Amiri" w:eastAsia="Amiri" w:cs="Amiri"/>
          <w:lang w:bidi="ar-SA"/>
          <w:color w:val="111111"/>
          <w:sz w:val="28"/>
          <w:szCs w:val="28"/>
          <w:rtl/>
        </w:rPr>
        <w:t xml:space="preserve">شريعتمدار استرآبادي، محمّد جعفر بن</w:t>
      </w:r>
    </w:p>
    <w:p>
      <w:pPr>
        <w:pStyle w:val="BookText"/>
      </w:pPr>
      <w:r>
        <w:rPr>
          <w:rFonts w:ascii="Amiri" w:hAnsi="Amiri" w:eastAsia="Amiri" w:cs="Amiri"/>
          <w:lang w:bidi="ar-SA"/>
          <w:color w:val="111111"/>
          <w:sz w:val="28"/>
          <w:szCs w:val="28"/>
          <w:rtl/>
        </w:rPr>
        <w:t xml:space="preserve">سيف الدين يوسف- استرآبادي ، محمّد</w:t>
      </w:r>
    </w:p>
    <w:p>
      <w:pPr>
        <w:pStyle w:val="BookText"/>
      </w:pPr>
      <w:r>
        <w:rPr>
          <w:rFonts w:ascii="Amiri" w:hAnsi="Amiri" w:eastAsia="Amiri" w:cs="Amiri"/>
          <w:lang w:bidi="ar-SA"/>
          <w:color w:val="111111"/>
          <w:sz w:val="28"/>
          <w:szCs w:val="28"/>
          <w:rtl/>
        </w:rPr>
        <w:t xml:space="preserve">جعفر بن سيف الدين</w:t>
      </w:r>
    </w:p>
    <w:p>
      <w:pPr>
        <w:pStyle w:val="BookText"/>
      </w:pPr>
      <w:r>
        <w:rPr>
          <w:rFonts w:ascii="IRNazanin" w:hAnsi="IRNazanin" w:eastAsia="IRNazanin" w:cs="IRNazanin"/>
          <w:lang w:bidi="fa-IR"/>
          <w:color w:val="111111"/>
          <w:sz w:val="28"/>
          <w:szCs w:val="28"/>
          <w:rtl/>
        </w:rPr>
        <w:t xml:space="preserve">شریعتمدار استرآبادي ، سيف الدين علي بن محمّد جعفر -استرآبادي ، علي بن محمّد</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IRNazanin" w:hAnsi="IRNazanin" w:eastAsia="IRNazanin" w:cs="IRNazanin"/>
          <w:lang w:bidi="fa-IR"/>
          <w:color w:val="111111"/>
          <w:sz w:val="28"/>
          <w:szCs w:val="28"/>
          <w:rtl/>
        </w:rPr>
        <w:t xml:space="preserve">شریعتمدار ، جعفر بن سيف</w:t>
      </w:r>
    </w:p>
    <w:p>
      <w:pPr>
        <w:pStyle w:val="BookText"/>
      </w:pPr>
      <w:r>
        <w:rPr>
          <w:rFonts w:ascii="Amiri" w:hAnsi="Amiri" w:eastAsia="Amiri" w:cs="Amiri"/>
          <w:lang w:bidi="ar-SA"/>
          <w:color w:val="111111"/>
          <w:sz w:val="28"/>
          <w:szCs w:val="28"/>
          <w:rtl/>
        </w:rPr>
        <w:t xml:space="preserve">الدين -استرآبادي ، محمّد جعفر بن سيف</w:t>
      </w:r>
    </w:p>
    <w:p>
      <w:pPr>
        <w:pStyle w:val="BookText"/>
      </w:pPr>
      <w:r>
        <w:rPr>
          <w:rFonts w:ascii="Amiri" w:hAnsi="Amiri" w:eastAsia="Amiri" w:cs="Amiri"/>
          <w:lang w:bidi="ar-SA"/>
          <w:color w:val="111111"/>
          <w:sz w:val="28"/>
          <w:szCs w:val="28"/>
          <w:rtl/>
        </w:rPr>
        <w:t xml:space="preserve">الدين</w:t>
      </w:r>
    </w:p>
    <w:p>
      <w:pPr>
        <w:pStyle w:val="BookText"/>
      </w:pPr>
      <w:r>
        <w:rPr>
          <w:rFonts w:ascii="IRNazanin" w:hAnsi="IRNazanin" w:eastAsia="IRNazanin" w:cs="IRNazanin"/>
          <w:lang w:bidi="fa-IR"/>
          <w:color w:val="111111"/>
          <w:sz w:val="28"/>
          <w:szCs w:val="28"/>
          <w:rtl/>
        </w:rPr>
        <w:t xml:space="preserve">شریعتمدار ، علي بن محمّد</w:t>
      </w:r>
    </w:p>
    <w:p>
      <w:pPr>
        <w:pStyle w:val="BookText"/>
      </w:pPr>
      <w:r>
        <w:rPr>
          <w:rFonts w:ascii="Amiri" w:hAnsi="Amiri" w:eastAsia="Amiri" w:cs="Amiri"/>
          <w:lang w:bidi="ar-SA"/>
          <w:color w:val="111111"/>
          <w:sz w:val="28"/>
          <w:szCs w:val="28"/>
          <w:rtl/>
        </w:rPr>
        <w:t xml:space="preserve">جعفر -استرآبادي ، علي بن محمّد -جعفر</w:t>
      </w:r>
    </w:p>
    <w:p>
      <w:pPr>
        <w:pStyle w:val="Heading2"/>
      </w:pPr>
      <w:bookmarkStart w:id="5134" w:name="_Toc4236"/>
      <w:r>
        <w:t>شريف ، ابوالقاسم بن علي</w:t>
      </w:r>
      <w:bookmarkEnd w:id="5134"/>
    </w:p>
    <w:p>
      <w:pPr>
        <w:pStyle w:val="BookText"/>
      </w:pPr>
      <w:r>
        <w:rPr>
          <w:rFonts w:ascii="IRNazanin" w:hAnsi="IRNazanin" w:eastAsia="IRNazanin" w:cs="IRNazanin"/>
          <w:lang w:bidi="fa-IR"/>
          <w:color w:val="111111"/>
          <w:sz w:val="28"/>
          <w:szCs w:val="28"/>
          <w:rtl/>
        </w:rPr>
        <w:t xml:space="preserve">طب = طبي = پزشکي، ج10، ص 743.</w:t>
      </w:r>
    </w:p>
    <w:p>
      <w:pPr>
        <w:pStyle w:val="Heading2"/>
      </w:pPr>
      <w:bookmarkStart w:id="5135" w:name="_Toc4237"/>
      <w:r>
        <w:t>شریف ، احمد</w:t>
      </w:r>
      <w:bookmarkEnd w:id="5135"/>
    </w:p>
    <w:p>
      <w:pPr>
        <w:pStyle w:val="BookText"/>
      </w:pPr>
      <w:r>
        <w:rPr>
          <w:rFonts w:ascii="IRNazanin" w:hAnsi="IRNazanin" w:eastAsia="IRNazanin" w:cs="IRNazanin"/>
          <w:lang w:bidi="fa-IR"/>
          <w:color w:val="111111"/>
          <w:sz w:val="28"/>
          <w:szCs w:val="28"/>
          <w:rtl/>
        </w:rPr>
        <w:t xml:space="preserve">احسن القصص، ج 1، ص 446 .</w:t>
      </w:r>
    </w:p>
    <w:p>
      <w:pPr>
        <w:pStyle w:val="BookText"/>
      </w:pPr>
      <w:r>
        <w:rPr>
          <w:rFonts w:ascii="IRNazanin" w:hAnsi="IRNazanin" w:eastAsia="IRNazanin" w:cs="IRNazanin"/>
          <w:lang w:bidi="fa-IR"/>
          <w:color w:val="111111"/>
          <w:sz w:val="28"/>
          <w:szCs w:val="28"/>
          <w:rtl/>
        </w:rPr>
        <w:t xml:space="preserve">ص 348 .</w:t>
      </w:r>
    </w:p>
    <w:p>
      <w:pPr>
        <w:pStyle w:val="Heading2"/>
      </w:pPr>
      <w:bookmarkStart w:id="5136" w:name="_Toc4238"/>
      <w:r>
        <w:t>شریف اژه اي ، علي محمّد بن محمّد</w:t>
      </w:r>
      <w:bookmarkEnd w:id="5136"/>
    </w:p>
    <w:p>
      <w:pPr>
        <w:pStyle w:val="BookText"/>
      </w:pPr>
      <w:r>
        <w:rPr>
          <w:rFonts w:ascii="Amiri" w:hAnsi="Amiri" w:eastAsia="Amiri" w:cs="Amiri"/>
          <w:lang w:bidi="ar-SA"/>
          <w:color w:val="111111"/>
          <w:sz w:val="28"/>
          <w:szCs w:val="28"/>
          <w:rtl/>
        </w:rPr>
        <w:t xml:space="preserve">علي، - 1332 ه-</w:t>
      </w:r>
    </w:p>
    <w:p>
      <w:pPr>
        <w:pStyle w:val="BookText"/>
      </w:pPr>
      <w:r>
        <w:rPr>
          <w:rFonts w:ascii="IRNazanin" w:hAnsi="IRNazanin" w:eastAsia="IRNazanin" w:cs="IRNazanin"/>
          <w:lang w:bidi="fa-IR"/>
          <w:color w:val="111111"/>
          <w:sz w:val="28"/>
          <w:szCs w:val="28"/>
          <w:rtl/>
        </w:rPr>
        <w:t xml:space="preserve">406 ه-</w:t>
      </w:r>
    </w:p>
    <w:p>
      <w:pPr>
        <w:pStyle w:val="BookText"/>
      </w:pPr>
      <w:r>
        <w:rPr>
          <w:rFonts w:ascii="Amiri" w:hAnsi="Amiri" w:eastAsia="Amiri" w:cs="Amiri"/>
          <w:lang w:bidi="ar-SA"/>
          <w:color w:val="111111"/>
          <w:sz w:val="28"/>
          <w:szCs w:val="28"/>
          <w:rtl/>
        </w:rPr>
        <w:t xml:space="preserve">توضيح الالغاز، ج 5، ص 170.</w:t>
      </w:r>
    </w:p>
    <w:p>
      <w:pPr>
        <w:pStyle w:val="Heading2"/>
      </w:pPr>
      <w:bookmarkStart w:id="5137" w:name="_Toc4239"/>
      <w:r>
        <w:t>شريف استرآبادي ، علي بن علي - 995</w:t>
      </w:r>
      <w:bookmarkEnd w:id="51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اصول قرائة ابن عامر = قرائة ابن</w:t>
      </w:r>
    </w:p>
    <w:p>
      <w:pPr>
        <w:pStyle w:val="BookText"/>
      </w:pPr>
      <w:r>
        <w:rPr>
          <w:rFonts w:ascii="IRNazanin" w:hAnsi="IRNazanin" w:eastAsia="IRNazanin" w:cs="IRNazanin"/>
          <w:lang w:bidi="fa-IR"/>
          <w:color w:val="111111"/>
          <w:sz w:val="28"/>
          <w:szCs w:val="28"/>
          <w:rtl/>
        </w:rPr>
        <w:t xml:space="preserve">عامر، ج 2، ص 461.</w:t>
      </w:r>
    </w:p>
    <w:p>
      <w:pPr>
        <w:pStyle w:val="BookText"/>
      </w:pPr>
      <w:r>
        <w:rPr>
          <w:rFonts w:ascii="Amiri" w:hAnsi="Amiri" w:eastAsia="Amiri" w:cs="Amiri"/>
          <w:lang w:bidi="ar-SA"/>
          <w:color w:val="111111"/>
          <w:sz w:val="28"/>
          <w:szCs w:val="28"/>
          <w:rtl/>
        </w:rPr>
        <w:t xml:space="preserve">2 .اصول قرائة ابن كثير = قرائة ابن</w:t>
      </w:r>
    </w:p>
    <w:p>
      <w:pPr>
        <w:pStyle w:val="BookText"/>
      </w:pPr>
      <w:r>
        <w:rPr>
          <w:rFonts w:ascii="Amiri" w:hAnsi="Amiri" w:eastAsia="Amiri" w:cs="Amiri"/>
          <w:lang w:bidi="ar-SA"/>
          <w:color w:val="111111"/>
          <w:sz w:val="28"/>
          <w:szCs w:val="28"/>
          <w:rtl/>
        </w:rPr>
        <w:t xml:space="preserve">كثير، ج 2، ص 461.</w:t>
      </w:r>
    </w:p>
    <w:p>
      <w:pPr>
        <w:pStyle w:val="BookText"/>
      </w:pPr>
      <w:r>
        <w:rPr>
          <w:rFonts w:ascii="Amiri" w:hAnsi="Amiri" w:eastAsia="Amiri" w:cs="Amiri"/>
          <w:lang w:bidi="ar-SA"/>
          <w:color w:val="111111"/>
          <w:sz w:val="28"/>
          <w:szCs w:val="28"/>
          <w:rtl/>
        </w:rPr>
        <w:t xml:space="preserve">3 .اصول قرائة ابي عمرو = قرائت ابي</w:t>
      </w:r>
    </w:p>
    <w:p>
      <w:pPr>
        <w:pStyle w:val="BookText"/>
      </w:pPr>
      <w:r>
        <w:rPr>
          <w:rFonts w:ascii="Amiri" w:hAnsi="Amiri" w:eastAsia="Amiri" w:cs="Amiri"/>
          <w:lang w:bidi="ar-SA"/>
          <w:color w:val="111111"/>
          <w:sz w:val="28"/>
          <w:szCs w:val="28"/>
          <w:rtl/>
        </w:rPr>
        <w:t xml:space="preserve">عمرو = مفرده قرائت ابي عمرو</w:t>
      </w:r>
    </w:p>
    <w:p>
      <w:pPr>
        <w:pStyle w:val="BookText"/>
      </w:pPr>
      <w:r>
        <w:rPr>
          <w:rFonts w:ascii="IRNazanin" w:hAnsi="IRNazanin" w:eastAsia="IRNazanin" w:cs="IRNazanin"/>
          <w:lang w:bidi="fa-IR"/>
          <w:color w:val="111111"/>
          <w:sz w:val="28"/>
          <w:szCs w:val="28"/>
          <w:rtl/>
        </w:rPr>
        <w:t xml:space="preserve">ج2، ص 462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اصول قرائة الكسائي - قرائة</w:t>
      </w:r>
    </w:p>
    <w:p>
      <w:pPr>
        <w:pStyle w:val="BookText"/>
      </w:pPr>
      <w:r>
        <w:rPr>
          <w:rFonts w:ascii="Amiri" w:hAnsi="Amiri" w:eastAsia="Amiri" w:cs="Amiri"/>
          <w:lang w:bidi="ar-SA"/>
          <w:color w:val="111111"/>
          <w:sz w:val="28"/>
          <w:szCs w:val="28"/>
          <w:rtl/>
        </w:rPr>
        <w:t xml:space="preserve">الكسائي، ج2، ص 463.</w:t>
      </w:r>
    </w:p>
    <w:p>
      <w:pPr>
        <w:pStyle w:val="BookText"/>
      </w:pPr>
      <w:r>
        <w:rPr>
          <w:rFonts w:ascii="Amiri" w:hAnsi="Amiri" w:eastAsia="Amiri" w:cs="Amiri"/>
          <w:lang w:bidi="ar-SA"/>
          <w:color w:val="111111"/>
          <w:sz w:val="28"/>
          <w:szCs w:val="28"/>
          <w:rtl/>
        </w:rPr>
        <w:t xml:space="preserve">5 .اصول قرائة حمزه = مفردة قرائة</w:t>
      </w:r>
    </w:p>
    <w:p>
      <w:pPr>
        <w:pStyle w:val="BookText"/>
      </w:pPr>
      <w:r>
        <w:rPr>
          <w:rFonts w:ascii="IRNazanin" w:hAnsi="IRNazanin" w:eastAsia="IRNazanin" w:cs="IRNazanin"/>
          <w:lang w:bidi="fa-IR"/>
          <w:color w:val="111111"/>
          <w:sz w:val="28"/>
          <w:szCs w:val="28"/>
          <w:rtl/>
        </w:rPr>
        <w:t xml:space="preserve">حمزه، ج 2، ص 462.</w:t>
      </w:r>
    </w:p>
    <w:p>
      <w:pPr>
        <w:pStyle w:val="BookText"/>
      </w:pPr>
      <w:r>
        <w:rPr>
          <w:rFonts w:ascii="Amiri" w:hAnsi="Amiri" w:eastAsia="Amiri" w:cs="Amiri"/>
          <w:lang w:bidi="ar-SA"/>
          <w:color w:val="111111"/>
          <w:sz w:val="28"/>
          <w:szCs w:val="28"/>
          <w:rtl/>
        </w:rPr>
        <w:t xml:space="preserve">6 .اصول قرائة نافع = قرائة نافع، ج2،</w:t>
      </w:r>
    </w:p>
    <w:p>
      <w:pPr>
        <w:pStyle w:val="BookText"/>
      </w:pPr>
      <w:r>
        <w:rPr>
          <w:rFonts w:ascii="IRNazanin" w:hAnsi="IRNazanin" w:eastAsia="IRNazanin" w:cs="IRNazanin"/>
          <w:lang w:bidi="fa-IR"/>
          <w:color w:val="111111"/>
          <w:sz w:val="28"/>
          <w:szCs w:val="28"/>
          <w:rtl/>
        </w:rPr>
        <w:t xml:space="preserve">ص 463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تجويد - تجويد القرآن الكريم، ج3،</w:t>
      </w:r>
    </w:p>
    <w:p>
      <w:pPr>
        <w:pStyle w:val="BookText"/>
      </w:pPr>
      <w:r>
        <w:rPr>
          <w:rFonts w:ascii="IRNazanin" w:hAnsi="IRNazanin" w:eastAsia="IRNazanin" w:cs="IRNazanin"/>
          <w:lang w:bidi="fa-IR"/>
          <w:color w:val="111111"/>
          <w:sz w:val="28"/>
          <w:szCs w:val="28"/>
          <w:rtl/>
        </w:rPr>
        <w:t xml:space="preserve">ص 698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تحفه شاهي، ج 3، ص 853.</w:t>
      </w:r>
    </w:p>
    <w:p>
      <w:pPr>
        <w:pStyle w:val="BookText"/>
      </w:pPr>
      <w:r>
        <w:rPr>
          <w:rFonts w:ascii="IRNazanin" w:hAnsi="IRNazanin" w:eastAsia="IRNazanin" w:cs="IRNazanin"/>
          <w:lang w:bidi="fa-IR"/>
          <w:color w:val="111111"/>
          <w:sz w:val="28"/>
          <w:szCs w:val="28"/>
          <w:rtl/>
        </w:rPr>
        <w:t xml:space="preserve">9.خلاصة الترتيل في اداء الحروف للتنزيل = تجوید منظوم، ج7،</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IRNazanin" w:hAnsi="IRNazanin" w:eastAsia="IRNazanin" w:cs="IRNazanin"/>
          <w:lang w:bidi="fa-IR"/>
          <w:color w:val="111111"/>
          <w:sz w:val="28"/>
          <w:szCs w:val="28"/>
          <w:rtl/>
        </w:rPr>
        <w:t xml:space="preserve">10 .عماد القراء و جمال الاقراء، ج11،</w:t>
      </w:r>
    </w:p>
    <w:p>
      <w:pPr>
        <w:pStyle w:val="BookText"/>
      </w:pPr>
      <w:r>
        <w:rPr>
          <w:rFonts w:ascii="IRNazanin" w:hAnsi="IRNazanin" w:eastAsia="IRNazanin" w:cs="IRNazanin"/>
          <w:lang w:bidi="fa-IR"/>
          <w:color w:val="111111"/>
          <w:sz w:val="28"/>
          <w:szCs w:val="28"/>
          <w:rtl/>
        </w:rPr>
        <w:t xml:space="preserve">ص 284.</w:t>
      </w:r>
    </w:p>
    <w:p>
      <w:pPr>
        <w:pStyle w:val="Heading2"/>
      </w:pPr>
      <w:bookmarkStart w:id="5138" w:name="_Toc4240"/>
      <w:r>
        <w:t>شريف اصفهاني ، ابن ملك محمّد صادق</w:t>
      </w:r>
      <w:bookmarkEnd w:id="5138"/>
    </w:p>
    <w:p>
      <w:pPr>
        <w:pStyle w:val="BookText"/>
      </w:pPr>
      <w:r>
        <w:rPr>
          <w:rFonts w:ascii="Amiri" w:hAnsi="Amiri" w:eastAsia="Amiri" w:cs="Amiri"/>
          <w:lang w:bidi="ar-SA"/>
          <w:color w:val="111111"/>
          <w:sz w:val="28"/>
          <w:szCs w:val="28"/>
          <w:rtl/>
        </w:rPr>
        <w:t xml:space="preserve">رفيق الصالحين و جليس المؤمنين، ج 8،</w:t>
      </w:r>
    </w:p>
    <w:p>
      <w:pPr>
        <w:pStyle w:val="Heading2"/>
      </w:pPr>
      <w:bookmarkStart w:id="5139" w:name="_Toc4241"/>
      <w:r>
        <w:t>شريف الرضي ، محمّد بن حسين، 359 - 406ه-</w:t>
      </w:r>
      <w:bookmarkEnd w:id="5139"/>
    </w:p>
    <w:p>
      <w:pPr>
        <w:pStyle w:val="BookText"/>
      </w:pPr>
      <w:r>
        <w:rPr>
          <w:rFonts w:ascii="Amiri" w:hAnsi="Amiri" w:eastAsia="Amiri" w:cs="Amiri"/>
          <w:lang w:bidi="ar-SA"/>
          <w:color w:val="111111"/>
          <w:sz w:val="28"/>
          <w:szCs w:val="28"/>
          <w:rtl/>
        </w:rPr>
        <w:t xml:space="preserve">1 .تفسير السيد الرضي، ج 4، ص 645.</w:t>
      </w:r>
    </w:p>
    <w:p>
      <w:pPr>
        <w:pStyle w:val="BookText"/>
      </w:pPr>
      <w:r>
        <w:rPr>
          <w:rFonts w:ascii="Amiri" w:hAnsi="Amiri" w:eastAsia="Amiri" w:cs="Amiri"/>
          <w:lang w:bidi="ar-SA"/>
          <w:color w:val="111111"/>
          <w:sz w:val="28"/>
          <w:szCs w:val="28"/>
          <w:rtl/>
        </w:rPr>
        <w:t xml:space="preserve">2 .حقائق التأويل في متشابه التنزيل</w:t>
      </w:r>
    </w:p>
    <w:p>
      <w:pPr>
        <w:pStyle w:val="BookText"/>
      </w:pPr>
      <w:r>
        <w:rPr>
          <w:rFonts w:ascii="IRNazanin" w:hAnsi="IRNazanin" w:eastAsia="IRNazanin" w:cs="IRNazanin"/>
          <w:lang w:bidi="fa-IR"/>
          <w:color w:val="111111"/>
          <w:sz w:val="28"/>
          <w:szCs w:val="28"/>
          <w:rtl/>
        </w:rPr>
        <w:t xml:space="preserve">ج 6 ، ص 685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خصائص الائمة الاثنى عشر = خصائص اميرالمؤمنين علي (ع)، ج7،</w:t>
      </w:r>
    </w:p>
    <w:p>
      <w:pPr>
        <w:pStyle w:val="BookText"/>
      </w:pPr>
      <w:r>
        <w:rPr>
          <w:rFonts w:ascii="IRNazanin" w:hAnsi="IRNazanin" w:eastAsia="IRNazanin" w:cs="IRNazanin"/>
          <w:lang w:bidi="fa-IR"/>
          <w:color w:val="111111"/>
          <w:sz w:val="28"/>
          <w:szCs w:val="28"/>
          <w:rtl/>
        </w:rPr>
        <w:t xml:space="preserve">ص 30. =</w:t>
      </w:r>
    </w:p>
    <w:p>
      <w:pPr>
        <w:pStyle w:val="BookText"/>
      </w:pPr>
      <w:r>
        <w:rPr>
          <w:rFonts w:ascii="Amiri" w:hAnsi="Amiri" w:eastAsia="Amiri" w:cs="Amiri"/>
          <w:lang w:bidi="ar-SA"/>
          <w:color w:val="111111"/>
          <w:sz w:val="28"/>
          <w:szCs w:val="28"/>
          <w:rtl/>
        </w:rPr>
        <w:t xml:space="preserve">4 .ديوان الشريف الرضي - ديوان سيد</w:t>
      </w:r>
    </w:p>
    <w:p>
      <w:pPr>
        <w:pStyle w:val="BookText"/>
      </w:pPr>
      <w:r>
        <w:rPr>
          <w:rFonts w:ascii="Amiri" w:hAnsi="Amiri" w:eastAsia="Amiri" w:cs="Amiri"/>
          <w:lang w:bidi="ar-SA"/>
          <w:color w:val="111111"/>
          <w:sz w:val="28"/>
          <w:szCs w:val="28"/>
          <w:rtl/>
        </w:rPr>
        <w:t xml:space="preserve">رضي، ج 7، ص 668.</w:t>
      </w:r>
    </w:p>
    <w:p>
      <w:pPr>
        <w:pStyle w:val="BookText"/>
      </w:pPr>
      <w:r>
        <w:rPr>
          <w:rFonts w:ascii="Amiri" w:hAnsi="Amiri" w:eastAsia="Amiri" w:cs="Amiri"/>
          <w:lang w:bidi="ar-SA"/>
          <w:color w:val="111111"/>
          <w:sz w:val="28"/>
          <w:szCs w:val="28"/>
          <w:rtl/>
        </w:rPr>
        <w:t xml:space="preserve">5 .مجازات الآثار النبوية، ج13،</w:t>
      </w:r>
    </w:p>
    <w:p>
      <w:pPr>
        <w:pStyle w:val="BookText"/>
      </w:pPr>
      <w:r>
        <w:rPr>
          <w:rFonts w:ascii="IRNazanin" w:hAnsi="IRNazanin" w:eastAsia="IRNazanin" w:cs="IRNazanin"/>
          <w:lang w:bidi="fa-IR"/>
          <w:color w:val="111111"/>
          <w:sz w:val="28"/>
          <w:szCs w:val="28"/>
          <w:rtl/>
        </w:rPr>
        <w:t xml:space="preserve">ص 781</w:t>
      </w:r>
    </w:p>
    <w:p>
      <w:pPr>
        <w:pStyle w:val="BookText"/>
      </w:pPr>
      <w:r>
        <w:rPr>
          <w:rFonts w:ascii="Amiri" w:hAnsi="Amiri" w:eastAsia="Amiri" w:cs="Amiri"/>
          <w:lang w:bidi="ar-SA"/>
          <w:color w:val="111111"/>
          <w:sz w:val="28"/>
          <w:szCs w:val="28"/>
          <w:rtl/>
        </w:rPr>
        <w:t xml:space="preserve">6 .نهج البلاغة، ج 16، ص 515.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17" w:name="pg7742_70603"/>
    <w:bookmarkEnd w:id="617"/>
    <w:p>
      <w:pPr>
        <w:pStyle w:val="Heading2"/>
      </w:pPr>
      <w:bookmarkStart w:id="5140" w:name="_Toc4242"/>
      <w:r>
        <w:t>شريف العلماء ، محمّد شريف بن</w:t>
      </w:r>
      <w:bookmarkEnd w:id="5140"/>
    </w:p>
    <w:p>
      <w:pPr>
        <w:pStyle w:val="BookText"/>
      </w:pPr>
      <w:r>
        <w:rPr>
          <w:rFonts w:ascii="Amiri" w:hAnsi="Amiri" w:eastAsia="Amiri" w:cs="Amiri"/>
          <w:lang w:bidi="ar-SA"/>
          <w:color w:val="111111"/>
          <w:sz w:val="28"/>
          <w:szCs w:val="28"/>
          <w:rtl/>
        </w:rPr>
        <w:t xml:space="preserve">حسينعلي، - 1245 ؟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بيع الصرف، ج 3، ص 507.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بيع المعاطاة، ج 3، ص 508.</w:t>
      </w:r>
    </w:p>
    <w:p>
      <w:pPr>
        <w:pStyle w:val="BookText"/>
      </w:pPr>
      <w:r>
        <w:rPr>
          <w:rFonts w:ascii="Amiri" w:hAnsi="Amiri" w:eastAsia="Amiri" w:cs="Amiri"/>
          <w:lang w:bidi="ar-SA"/>
          <w:color w:val="111111"/>
          <w:sz w:val="28"/>
          <w:szCs w:val="28"/>
          <w:rtl/>
        </w:rPr>
        <w:t xml:space="preserve">3 .تعليقة متعلقة بالنسخ، ج 4،</w:t>
      </w:r>
    </w:p>
    <w:p>
      <w:pPr>
        <w:pStyle w:val="BookText"/>
      </w:pPr>
      <w:r>
        <w:rPr>
          <w:rFonts w:ascii="IRNazanin" w:hAnsi="IRNazanin" w:eastAsia="IRNazanin" w:cs="IRNazanin"/>
          <w:lang w:bidi="fa-IR"/>
          <w:color w:val="111111"/>
          <w:sz w:val="28"/>
          <w:szCs w:val="28"/>
          <w:rtl/>
        </w:rPr>
        <w:t xml:space="preserve">ص 537</w:t>
      </w:r>
    </w:p>
    <w:p>
      <w:pPr>
        <w:pStyle w:val="BookText"/>
      </w:pPr>
      <w:r>
        <w:rPr>
          <w:rFonts w:ascii="Amiri" w:hAnsi="Amiri" w:eastAsia="Amiri" w:cs="Amiri"/>
          <w:lang w:bidi="ar-SA"/>
          <w:color w:val="111111"/>
          <w:sz w:val="28"/>
          <w:szCs w:val="28"/>
          <w:rtl/>
        </w:rPr>
        <w:t xml:space="preserve">4 .تقريرات الأصول، ج4، ص 739.</w:t>
      </w:r>
    </w:p>
    <w:p>
      <w:pPr>
        <w:pStyle w:val="BookText"/>
      </w:pPr>
      <w:r>
        <w:rPr>
          <w:rFonts w:ascii="Amiri" w:hAnsi="Amiri" w:eastAsia="Amiri" w:cs="Amiri"/>
          <w:lang w:bidi="ar-SA"/>
          <w:color w:val="111111"/>
          <w:sz w:val="28"/>
          <w:szCs w:val="28"/>
          <w:rtl/>
        </w:rPr>
        <w:t xml:space="preserve">5 .حجية الاستصحاب، ج 6، ص 494.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الخيارات، ج 7، ص 185.</w:t>
      </w:r>
    </w:p>
    <w:p>
      <w:pPr>
        <w:pStyle w:val="BookText"/>
      </w:pPr>
      <w:r>
        <w:rPr>
          <w:rFonts w:ascii="Amiri" w:hAnsi="Amiri" w:eastAsia="Amiri" w:cs="Amiri"/>
          <w:lang w:bidi="ar-SA"/>
          <w:color w:val="111111"/>
          <w:sz w:val="28"/>
          <w:szCs w:val="28"/>
          <w:rtl/>
        </w:rPr>
        <w:t xml:space="preserve">7.شرح اللمعة الدمشقية، ج 10،</w:t>
      </w:r>
    </w:p>
    <w:p>
      <w:pPr>
        <w:pStyle w:val="BookText"/>
      </w:pPr>
      <w:r>
        <w:rPr>
          <w:rFonts w:ascii="IRNazanin" w:hAnsi="IRNazanin" w:eastAsia="IRNazanin" w:cs="IRNazanin"/>
          <w:lang w:bidi="fa-IR"/>
          <w:color w:val="111111"/>
          <w:sz w:val="28"/>
          <w:szCs w:val="28"/>
          <w:rtl/>
        </w:rPr>
        <w:t xml:space="preserve">ص 85.</w:t>
      </w:r>
    </w:p>
    <w:p>
      <w:pPr>
        <w:pStyle w:val="BookText"/>
      </w:pPr>
      <w:r>
        <w:rPr>
          <w:rFonts w:ascii="Amiri" w:hAnsi="Amiri" w:eastAsia="Amiri" w:cs="Amiri"/>
          <w:lang w:bidi="ar-SA"/>
          <w:color w:val="111111"/>
          <w:sz w:val="28"/>
          <w:szCs w:val="28"/>
          <w:rtl/>
        </w:rPr>
        <w:t xml:space="preserve">8 .مقدمة الواجب، ج 15، ص 375.</w:t>
      </w:r>
    </w:p>
    <w:p>
      <w:pPr>
        <w:pStyle w:val="Heading2"/>
      </w:pPr>
      <w:bookmarkStart w:id="5141" w:name="_Toc4243"/>
      <w:r>
        <w:t>شريف القرشي ، باقر، قرن 14 ه-</w:t>
      </w:r>
      <w:bookmarkEnd w:id="5141"/>
    </w:p>
    <w:p>
      <w:pPr>
        <w:pStyle w:val="BookText"/>
      </w:pPr>
      <w:r>
        <w:rPr>
          <w:rFonts w:ascii="Amiri" w:hAnsi="Amiri" w:eastAsia="Amiri" w:cs="Amiri"/>
          <w:lang w:bidi="ar-SA"/>
          <w:color w:val="111111"/>
          <w:sz w:val="28"/>
          <w:szCs w:val="28"/>
          <w:rtl/>
        </w:rPr>
        <w:t xml:space="preserve">1 ..بحث اصولي، ج 3، ص 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بحوث السيد الخوئي على العروة</w:t>
      </w:r>
    </w:p>
    <w:p>
      <w:pPr>
        <w:pStyle w:val="BookText"/>
      </w:pPr>
      <w:r>
        <w:rPr>
          <w:rFonts w:ascii="Amiri" w:hAnsi="Amiri" w:eastAsia="Amiri" w:cs="Amiri"/>
          <w:lang w:bidi="ar-SA"/>
          <w:color w:val="111111"/>
          <w:sz w:val="28"/>
          <w:szCs w:val="28"/>
          <w:rtl/>
        </w:rPr>
        <w:t xml:space="preserve">الوثقى في الصلاة، ج 3، ص 234 .</w:t>
      </w:r>
    </w:p>
    <w:p>
      <w:pPr>
        <w:pStyle w:val="BookText"/>
      </w:pPr>
      <w:r>
        <w:rPr>
          <w:rFonts w:ascii="Amiri" w:hAnsi="Amiri" w:eastAsia="Amiri" w:cs="Amiri"/>
          <w:lang w:bidi="ar-SA"/>
          <w:color w:val="111111"/>
          <w:sz w:val="28"/>
          <w:szCs w:val="28"/>
          <w:rtl/>
        </w:rPr>
        <w:t xml:space="preserve">3 .بحوث في الاذان والاقامة و في الرياء و في افعال الصلاة، ج3،</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Amiri" w:hAnsi="Amiri" w:eastAsia="Amiri" w:cs="Amiri"/>
          <w:lang w:bidi="ar-SA"/>
          <w:color w:val="111111"/>
          <w:sz w:val="28"/>
          <w:szCs w:val="28"/>
          <w:rtl/>
        </w:rPr>
        <w:t xml:space="preserve">4 .بيان المختار في بيع المعاطاة (كتاب))</w:t>
      </w:r>
    </w:p>
    <w:p>
      <w:pPr>
        <w:pStyle w:val="BookText"/>
      </w:pPr>
      <w:r>
        <w:rPr>
          <w:rFonts w:ascii="Amiri" w:hAnsi="Amiri" w:eastAsia="Amiri" w:cs="Amiri"/>
          <w:lang w:bidi="ar-SA"/>
          <w:color w:val="111111"/>
          <w:sz w:val="28"/>
          <w:szCs w:val="28"/>
          <w:rtl/>
        </w:rPr>
        <w:t xml:space="preserve">في)، ج 3، ص 488 .</w:t>
      </w:r>
    </w:p>
    <w:p>
      <w:pPr>
        <w:pStyle w:val="BookText"/>
      </w:pPr>
      <w:r>
        <w:rPr>
          <w:rFonts w:ascii="Amiri" w:hAnsi="Amiri" w:eastAsia="Amiri" w:cs="Amiri"/>
          <w:lang w:bidi="ar-SA"/>
          <w:color w:val="111111"/>
          <w:sz w:val="28"/>
          <w:szCs w:val="28"/>
          <w:rtl/>
        </w:rPr>
        <w:t xml:space="preserve">5 .تقريرات ابحاث السيد الخوئي في</w:t>
      </w:r>
    </w:p>
    <w:p>
      <w:pPr>
        <w:pStyle w:val="BookText"/>
      </w:pPr>
      <w:r>
        <w:rPr>
          <w:rFonts w:ascii="IRNazanin" w:hAnsi="IRNazanin" w:eastAsia="IRNazanin" w:cs="IRNazanin"/>
          <w:lang w:bidi="fa-IR"/>
          <w:color w:val="111111"/>
          <w:sz w:val="28"/>
          <w:szCs w:val="28"/>
          <w:rtl/>
        </w:rPr>
        <w:t xml:space="preserve">الاصول، ج 4، ص 737.</w:t>
      </w:r>
    </w:p>
    <w:p>
      <w:pPr>
        <w:pStyle w:val="BookText"/>
      </w:pPr>
      <w:r>
        <w:rPr>
          <w:rFonts w:ascii="Amiri" w:hAnsi="Amiri" w:eastAsia="Amiri" w:cs="Amiri"/>
          <w:lang w:bidi="ar-SA"/>
          <w:color w:val="111111"/>
          <w:sz w:val="28"/>
          <w:szCs w:val="28"/>
          <w:rtl/>
        </w:rPr>
        <w:t xml:space="preserve">6 .تقريرات ابحاث السيد الخوئي في</w:t>
      </w:r>
    </w:p>
    <w:p>
      <w:pPr>
        <w:pStyle w:val="BookText"/>
      </w:pPr>
      <w:r>
        <w:rPr>
          <w:rFonts w:ascii="Amiri" w:hAnsi="Amiri" w:eastAsia="Amiri" w:cs="Amiri"/>
          <w:lang w:bidi="ar-SA"/>
          <w:color w:val="111111"/>
          <w:sz w:val="28"/>
          <w:szCs w:val="28"/>
          <w:rtl/>
        </w:rPr>
        <w:t xml:space="preserve">الصلاة، ج 4 ، ص 737.</w:t>
      </w:r>
    </w:p>
    <w:p>
      <w:pPr>
        <w:pStyle w:val="BookText"/>
      </w:pPr>
      <w:r>
        <w:rPr>
          <w:rFonts w:ascii="Amiri" w:hAnsi="Amiri" w:eastAsia="Amiri" w:cs="Amiri"/>
          <w:lang w:bidi="ar-SA"/>
          <w:color w:val="111111"/>
          <w:sz w:val="28"/>
          <w:szCs w:val="28"/>
          <w:rtl/>
        </w:rPr>
        <w:t xml:space="preserve">7 تقريرات ابحاث السيد الخوئي في صلاة المسافر، ج 4، ص 737.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تقريرات ابحاث السيد الخوئي في وقت صلاة المغرب، ج4، ص738.</w:t>
      </w:r>
    </w:p>
    <w:p>
      <w:pPr>
        <w:pStyle w:val="BookText"/>
      </w:pPr>
      <w:r>
        <w:rPr>
          <w:rFonts w:ascii="Amiri" w:hAnsi="Amiri" w:eastAsia="Amiri" w:cs="Amiri"/>
          <w:lang w:bidi="ar-SA"/>
          <w:color w:val="111111"/>
          <w:sz w:val="28"/>
          <w:szCs w:val="28"/>
          <w:rtl/>
        </w:rPr>
        <w:t xml:space="preserve">9 .تقريرات السيد الخوئي على العروة الوثقى في قواطع الصلاة، جع، ص 754 .</w:t>
      </w:r>
    </w:p>
    <w:p>
      <w:pPr>
        <w:pStyle w:val="BookText"/>
      </w:pPr>
      <w:r>
        <w:rPr>
          <w:rFonts w:ascii="Amiri" w:hAnsi="Amiri" w:eastAsia="Amiri" w:cs="Amiri"/>
          <w:lang w:bidi="ar-SA"/>
          <w:color w:val="111111"/>
          <w:sz w:val="28"/>
          <w:szCs w:val="28"/>
          <w:rtl/>
        </w:rPr>
        <w:t xml:space="preserve">10 .تقريرات السيد الخوئي على</w:t>
      </w:r>
    </w:p>
    <w:p>
      <w:pPr>
        <w:pStyle w:val="BookText"/>
      </w:pPr>
      <w:r>
        <w:rPr>
          <w:rFonts w:ascii="Amiri" w:hAnsi="Amiri" w:eastAsia="Amiri" w:cs="Amiri"/>
          <w:lang w:bidi="ar-SA"/>
          <w:color w:val="111111"/>
          <w:sz w:val="28"/>
          <w:szCs w:val="28"/>
          <w:rtl/>
        </w:rPr>
        <w:t xml:space="preserve">المكاسب، ج 4، ص 754.</w:t>
      </w:r>
    </w:p>
    <w:p>
      <w:pPr>
        <w:pStyle w:val="BookText"/>
      </w:pPr>
      <w:r>
        <w:rPr>
          <w:rFonts w:ascii="Amiri" w:hAnsi="Amiri" w:eastAsia="Amiri" w:cs="Amiri"/>
          <w:lang w:bidi="ar-SA"/>
          <w:color w:val="111111"/>
          <w:sz w:val="28"/>
          <w:szCs w:val="28"/>
          <w:rtl/>
        </w:rPr>
        <w:t xml:space="preserve">11 .تقريرات السيد الخوئي على مباحث العروة الوثقى في الصوم</w:t>
      </w:r>
    </w:p>
    <w:p>
      <w:pPr>
        <w:pStyle w:val="BookText"/>
      </w:pPr>
      <w:r>
        <w:rPr>
          <w:rFonts w:ascii="IRNazanin" w:hAnsi="IRNazanin" w:eastAsia="IRNazanin" w:cs="IRNazanin"/>
          <w:lang w:bidi="fa-IR"/>
          <w:color w:val="111111"/>
          <w:sz w:val="28"/>
          <w:szCs w:val="28"/>
          <w:rtl/>
        </w:rPr>
        <w:t xml:space="preserve">ج 4، ص 754 .</w:t>
      </w:r>
    </w:p>
    <w:p>
      <w:pPr>
        <w:pStyle w:val="BookText"/>
      </w:pPr>
      <w:r>
        <w:rPr>
          <w:rFonts w:ascii="Amiri" w:hAnsi="Amiri" w:eastAsia="Amiri" w:cs="Amiri"/>
          <w:lang w:bidi="ar-SA"/>
          <w:color w:val="111111"/>
          <w:sz w:val="28"/>
          <w:szCs w:val="28"/>
          <w:rtl/>
        </w:rPr>
        <w:t xml:space="preserve">12 .تقريرات السيّد الخوئي في مباحث</w:t>
      </w:r>
    </w:p>
    <w:p>
      <w:pPr>
        <w:pStyle w:val="BookText"/>
      </w:pPr>
      <w:r>
        <w:rPr>
          <w:rFonts w:ascii="Amiri" w:hAnsi="Amiri" w:eastAsia="Amiri" w:cs="Amiri"/>
          <w:lang w:bidi="ar-SA"/>
          <w:color w:val="111111"/>
          <w:sz w:val="28"/>
          <w:szCs w:val="28"/>
          <w:rtl/>
        </w:rPr>
        <w:t xml:space="preserve">شكوك الصلاة، ج 4، ص 755.</w:t>
      </w:r>
    </w:p>
    <w:p>
      <w:pPr>
        <w:pStyle w:val="BookText"/>
      </w:pPr>
      <w:r>
        <w:rPr>
          <w:rFonts w:ascii="IRNazanin" w:hAnsi="IRNazanin" w:eastAsia="IRNazanin" w:cs="IRNazanin"/>
          <w:lang w:bidi="fa-IR"/>
          <w:color w:val="111111"/>
          <w:sz w:val="28"/>
          <w:szCs w:val="28"/>
          <w:rtl/>
        </w:rPr>
        <w:t xml:space="preserve">13 .تقریرات و ابحاث السيد الخوئي في</w:t>
      </w:r>
    </w:p>
    <w:p>
      <w:pPr>
        <w:pStyle w:val="BookText"/>
      </w:pPr>
      <w:r>
        <w:rPr>
          <w:rFonts w:ascii="Amiri" w:hAnsi="Amiri" w:eastAsia="Amiri" w:cs="Amiri"/>
          <w:lang w:bidi="ar-SA"/>
          <w:color w:val="111111"/>
          <w:sz w:val="28"/>
          <w:szCs w:val="28"/>
          <w:rtl/>
        </w:rPr>
        <w:t xml:space="preserve">الاصول العملية، ج 4 ، ص 775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تقریرات و ابحاث الشيخ محمد آل راضي حول الكفاية، جع،</w:t>
      </w:r>
    </w:p>
    <w:p>
      <w:pPr>
        <w:pStyle w:val="BookText"/>
      </w:pPr>
      <w:r>
        <w:rPr>
          <w:rFonts w:ascii="IRNazanin" w:hAnsi="IRNazanin" w:eastAsia="IRNazanin" w:cs="IRNazanin"/>
          <w:lang w:bidi="fa-IR"/>
          <w:color w:val="111111"/>
          <w:sz w:val="28"/>
          <w:szCs w:val="28"/>
          <w:rtl/>
        </w:rPr>
        <w:t xml:space="preserve">ص 775</w:t>
      </w:r>
    </w:p>
    <w:p>
      <w:pPr>
        <w:pStyle w:val="BookText"/>
      </w:pPr>
      <w:r>
        <w:rPr>
          <w:rFonts w:ascii="Amiri" w:hAnsi="Amiri" w:eastAsia="Amiri" w:cs="Amiri"/>
          <w:lang w:bidi="ar-SA"/>
          <w:color w:val="111111"/>
          <w:sz w:val="28"/>
          <w:szCs w:val="28"/>
          <w:rtl/>
        </w:rPr>
        <w:t xml:space="preserve">15 .حياة الحسين، ج 6، ص 852.</w:t>
      </w:r>
    </w:p>
    <w:p>
      <w:pPr>
        <w:pStyle w:val="BookText"/>
      </w:pPr>
      <w:r>
        <w:rPr>
          <w:rFonts w:ascii="IRNazanin" w:hAnsi="IRNazanin" w:eastAsia="IRNazanin" w:cs="IRNazanin"/>
          <w:lang w:bidi="fa-IR"/>
          <w:color w:val="111111"/>
          <w:sz w:val="28"/>
          <w:szCs w:val="28"/>
          <w:rtl/>
        </w:rPr>
        <w:t xml:space="preserve">16 .دفتر الاصول، ج 7، ص 420.</w:t>
      </w:r>
    </w:p>
    <w:p>
      <w:pPr>
        <w:pStyle w:val="BookText"/>
      </w:pPr>
      <w:r>
        <w:rPr>
          <w:rFonts w:ascii="Amiri" w:hAnsi="Amiri" w:eastAsia="Amiri" w:cs="Amiri"/>
          <w:lang w:bidi="ar-SA"/>
          <w:color w:val="111111"/>
          <w:sz w:val="28"/>
          <w:szCs w:val="28"/>
          <w:rtl/>
        </w:rPr>
        <w:t xml:space="preserve">17 .مباحث الاصول للسيد باقر</w:t>
      </w:r>
    </w:p>
    <w:p>
      <w:pPr>
        <w:pStyle w:val="BookText"/>
      </w:pPr>
      <w:r>
        <w:rPr>
          <w:rFonts w:ascii="Amiri" w:hAnsi="Amiri" w:eastAsia="Amiri" w:cs="Amiri"/>
          <w:lang w:bidi="ar-SA"/>
          <w:color w:val="111111"/>
          <w:sz w:val="28"/>
          <w:szCs w:val="28"/>
          <w:rtl/>
        </w:rPr>
        <w:t xml:space="preserve">الاحسائي، ج13، ص709.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مباحث الركوع للسيد الخوئي،</w:t>
      </w:r>
    </w:p>
    <w:p>
      <w:pPr>
        <w:pStyle w:val="BookText"/>
      </w:pPr>
      <w:r>
        <w:rPr>
          <w:rFonts w:ascii="IRNazanin" w:hAnsi="IRNazanin" w:eastAsia="IRNazanin" w:cs="IRNazanin"/>
          <w:lang w:bidi="fa-IR"/>
          <w:color w:val="111111"/>
          <w:sz w:val="28"/>
          <w:szCs w:val="28"/>
          <w:rtl/>
        </w:rPr>
        <w:t xml:space="preserve">ج 13، ص 715.</w:t>
      </w:r>
    </w:p>
    <w:p>
      <w:pPr>
        <w:pStyle w:val="BookText"/>
      </w:pPr>
      <w:r>
        <w:rPr>
          <w:rFonts w:ascii="Amiri" w:hAnsi="Amiri" w:eastAsia="Amiri" w:cs="Amiri"/>
          <w:lang w:bidi="ar-SA"/>
          <w:color w:val="111111"/>
          <w:sz w:val="28"/>
          <w:szCs w:val="28"/>
          <w:rtl/>
        </w:rPr>
        <w:t xml:space="preserve">19 .مباحث السيّد الخوئي، ج 13،</w:t>
      </w:r>
    </w:p>
    <w:p>
      <w:pPr>
        <w:pStyle w:val="BookText"/>
      </w:pPr>
      <w:r>
        <w:rPr>
          <w:rFonts w:ascii="IRNazanin" w:hAnsi="IRNazanin" w:eastAsia="IRNazanin" w:cs="IRNazanin"/>
          <w:lang w:bidi="fa-IR"/>
          <w:color w:val="111111"/>
          <w:sz w:val="28"/>
          <w:szCs w:val="28"/>
          <w:rtl/>
        </w:rPr>
        <w:t xml:space="preserve">ص 715 .</w:t>
      </w:r>
    </w:p>
    <w:p>
      <w:pPr>
        <w:pStyle w:val="BookText"/>
      </w:pPr>
      <w:r>
        <w:rPr>
          <w:rFonts w:ascii="Amiri" w:hAnsi="Amiri" w:eastAsia="Amiri" w:cs="Amiri"/>
          <w:lang w:bidi="ar-SA"/>
          <w:color w:val="111111"/>
          <w:sz w:val="28"/>
          <w:szCs w:val="28"/>
          <w:rtl/>
        </w:rPr>
        <w:t xml:space="preserve">20.مباحث السيّد الخوئي في صلاة</w:t>
      </w:r>
    </w:p>
    <w:p>
      <w:pPr>
        <w:pStyle w:val="BookText"/>
      </w:pPr>
      <w:r>
        <w:rPr>
          <w:rFonts w:ascii="Amiri" w:hAnsi="Amiri" w:eastAsia="Amiri" w:cs="Amiri"/>
          <w:lang w:bidi="ar-SA"/>
          <w:color w:val="111111"/>
          <w:sz w:val="28"/>
          <w:szCs w:val="28"/>
          <w:rtl/>
        </w:rPr>
        <w:t xml:space="preserve">الجماعة، ج13، ص 715.</w:t>
      </w:r>
    </w:p>
    <w:p>
      <w:pPr>
        <w:pStyle w:val="BookText"/>
      </w:pPr>
      <w:r>
        <w:rPr>
          <w:rFonts w:ascii="Amiri" w:hAnsi="Amiri" w:eastAsia="Amiri" w:cs="Amiri"/>
          <w:lang w:bidi="ar-SA"/>
          <w:color w:val="111111"/>
          <w:sz w:val="28"/>
          <w:szCs w:val="28"/>
          <w:rtl/>
        </w:rPr>
        <w:t xml:space="preserve">21 .مباحث القراءات للسيّد الخوئي</w:t>
      </w:r>
    </w:p>
    <w:p>
      <w:pPr>
        <w:pStyle w:val="BookText"/>
      </w:pPr>
      <w:r>
        <w:rPr>
          <w:rFonts w:ascii="IRNazanin" w:hAnsi="IRNazanin" w:eastAsia="IRNazanin" w:cs="IRNazanin"/>
          <w:lang w:bidi="fa-IR"/>
          <w:color w:val="111111"/>
          <w:sz w:val="28"/>
          <w:szCs w:val="28"/>
          <w:rtl/>
        </w:rPr>
        <w:t xml:space="preserve">ج 13، ص718.</w:t>
      </w:r>
    </w:p>
    <w:p>
      <w:pPr>
        <w:pStyle w:val="BookText"/>
      </w:pPr>
      <w:r>
        <w:rPr>
          <w:rFonts w:ascii="Amiri" w:hAnsi="Amiri" w:eastAsia="Amiri" w:cs="Amiri"/>
          <w:lang w:bidi="ar-SA"/>
          <w:color w:val="111111"/>
          <w:sz w:val="28"/>
          <w:szCs w:val="28"/>
          <w:rtl/>
        </w:rPr>
        <w:t xml:space="preserve">22 .مباحث على العروة الوثقى للسيد</w:t>
      </w:r>
    </w:p>
    <w:p>
      <w:pPr>
        <w:pStyle w:val="BookText"/>
      </w:pPr>
      <w:r>
        <w:rPr>
          <w:rFonts w:ascii="Amiri" w:hAnsi="Amiri" w:eastAsia="Amiri" w:cs="Amiri"/>
          <w:lang w:bidi="ar-SA"/>
          <w:color w:val="111111"/>
          <w:sz w:val="28"/>
          <w:szCs w:val="28"/>
          <w:rtl/>
        </w:rPr>
        <w:t xml:space="preserve">الخوئي، ج 13، ص717.</w:t>
      </w:r>
    </w:p>
    <w:p>
      <w:pPr>
        <w:pStyle w:val="BookText"/>
      </w:pPr>
      <w:r>
        <w:rPr>
          <w:rFonts w:ascii="Amiri" w:hAnsi="Amiri" w:eastAsia="Amiri" w:cs="Amiri"/>
          <w:lang w:bidi="ar-SA"/>
          <w:color w:val="111111"/>
          <w:sz w:val="28"/>
          <w:szCs w:val="28"/>
          <w:rtl/>
        </w:rPr>
        <w:t xml:space="preserve">23 .مباحث للسيّد محسن الحكيم في</w:t>
      </w:r>
    </w:p>
    <w:p>
      <w:pPr>
        <w:pStyle w:val="BookText"/>
      </w:pPr>
      <w:r>
        <w:rPr>
          <w:rFonts w:ascii="IRNazanin" w:hAnsi="IRNazanin" w:eastAsia="IRNazanin" w:cs="IRNazanin"/>
          <w:lang w:bidi="fa-IR"/>
          <w:color w:val="111111"/>
          <w:sz w:val="28"/>
          <w:szCs w:val="28"/>
          <w:rtl/>
        </w:rPr>
        <w:t xml:space="preserve">المساقات، ج13، ص718.</w:t>
      </w:r>
    </w:p>
    <w:p>
      <w:pPr>
        <w:pStyle w:val="BookText"/>
      </w:pPr>
      <w:r>
        <w:rPr>
          <w:rFonts w:ascii="Amiri" w:hAnsi="Amiri" w:eastAsia="Amiri" w:cs="Amiri"/>
          <w:lang w:bidi="ar-SA"/>
          <w:color w:val="111111"/>
          <w:sz w:val="28"/>
          <w:szCs w:val="28"/>
          <w:rtl/>
        </w:rPr>
        <w:t xml:space="preserve">شريفا ، محمّد شريف -كاشف شيرازي ،</w:t>
      </w:r>
    </w:p>
    <w:p>
      <w:pPr>
        <w:pStyle w:val="BookText"/>
      </w:pPr>
      <w:r>
        <w:rPr>
          <w:rFonts w:ascii="Amiri" w:hAnsi="Amiri" w:eastAsia="Amiri" w:cs="Amiri"/>
          <w:lang w:bidi="ar-SA"/>
          <w:color w:val="111111"/>
          <w:sz w:val="28"/>
          <w:szCs w:val="28"/>
          <w:rtl/>
        </w:rPr>
        <w:t xml:space="preserve">محمّد شريف بن محمّد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18" w:name="pg7742_70604"/>
    <w:bookmarkEnd w:id="618"/>
    <w:p>
      <w:pPr>
        <w:pStyle w:val="Heading2"/>
      </w:pPr>
      <w:bookmarkStart w:id="5142" w:name="_Toc4244"/>
      <w:r>
        <w:t>شريف بغدادي ، محمّد بن علي قرن 10</w:t>
      </w:r>
      <w:bookmarkEnd w:id="5142"/>
    </w:p>
    <w:p>
      <w:pPr>
        <w:pStyle w:val="BookText"/>
      </w:pPr>
      <w:r>
        <w:rPr>
          <w:rFonts w:ascii="Amiri" w:hAnsi="Amiri" w:eastAsia="Amiri" w:cs="Amiri"/>
          <w:lang w:bidi="ar-SA"/>
          <w:color w:val="111111"/>
          <w:sz w:val="28"/>
          <w:szCs w:val="28"/>
          <w:rtl/>
        </w:rPr>
        <w:t xml:space="preserve">الدراية (رسالة في)، ج7، ص217.</w:t>
      </w:r>
    </w:p>
    <w:p>
      <w:pPr>
        <w:pStyle w:val="Heading2"/>
      </w:pPr>
      <w:bookmarkStart w:id="5143" w:name="_Toc4245"/>
      <w:r>
        <w:t>شريف بكري ، علي بن محمّد ، قرن 7 ه-</w:t>
      </w:r>
      <w:bookmarkEnd w:id="5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أحكام النجوم، ج 1، ص 488</w:t>
      </w:r>
    </w:p>
    <w:p>
      <w:pPr>
        <w:pStyle w:val="BookText"/>
      </w:pPr>
      <w:r>
        <w:rPr>
          <w:rFonts w:ascii="Amiri" w:hAnsi="Amiri" w:eastAsia="Amiri" w:cs="Amiri"/>
          <w:lang w:bidi="ar-SA"/>
          <w:color w:val="111111"/>
          <w:sz w:val="28"/>
          <w:szCs w:val="28"/>
          <w:rtl/>
        </w:rPr>
        <w:t xml:space="preserve">2 .برهان الكفاية، ج3، ص317.</w:t>
      </w:r>
    </w:p>
    <w:p>
      <w:pPr>
        <w:pStyle w:val="BookText"/>
      </w:pPr>
      <w:r>
        <w:rPr>
          <w:rFonts w:ascii="Amiri" w:hAnsi="Amiri" w:eastAsia="Amiri" w:cs="Amiri"/>
          <w:lang w:bidi="ar-SA"/>
          <w:color w:val="111111"/>
          <w:sz w:val="28"/>
          <w:szCs w:val="28"/>
          <w:rtl/>
        </w:rPr>
        <w:t xml:space="preserve">شريف بن رضا شيرواني تبريزي -شيرواني</w:t>
      </w:r>
    </w:p>
    <w:p>
      <w:pPr>
        <w:pStyle w:val="BookText"/>
      </w:pPr>
      <w:r>
        <w:rPr>
          <w:rFonts w:ascii="Amiri" w:hAnsi="Amiri" w:eastAsia="Amiri" w:cs="Amiri"/>
          <w:lang w:bidi="ar-SA"/>
          <w:color w:val="111111"/>
          <w:sz w:val="28"/>
          <w:szCs w:val="28"/>
          <w:rtl/>
        </w:rPr>
        <w:t xml:space="preserve">تبريزي ، شريف بن رضا</w:t>
      </w:r>
    </w:p>
    <w:p>
      <w:pPr>
        <w:pStyle w:val="Heading2"/>
      </w:pPr>
      <w:bookmarkStart w:id="5144" w:name="_Toc4246"/>
      <w:r>
        <w:t>شريف بن سليم</w:t>
      </w:r>
      <w:bookmarkEnd w:id="5144"/>
    </w:p>
    <w:p>
      <w:pPr>
        <w:pStyle w:val="BookText"/>
      </w:pPr>
      <w:r>
        <w:rPr>
          <w:rFonts w:ascii="IRNazanin" w:hAnsi="IRNazanin" w:eastAsia="IRNazanin" w:cs="IRNazanin"/>
          <w:lang w:bidi="fa-IR"/>
          <w:color w:val="111111"/>
          <w:sz w:val="28"/>
          <w:szCs w:val="28"/>
          <w:rtl/>
        </w:rPr>
        <w:t xml:space="preserve">احراز و طلاسم، ج1، ص444.</w:t>
      </w:r>
    </w:p>
    <w:p>
      <w:pPr>
        <w:pStyle w:val="BookText"/>
      </w:pPr>
      <w:r>
        <w:rPr>
          <w:rFonts w:ascii="Amiri" w:hAnsi="Amiri" w:eastAsia="Amiri" w:cs="Amiri"/>
          <w:lang w:bidi="ar-SA"/>
          <w:color w:val="111111"/>
          <w:sz w:val="28"/>
          <w:szCs w:val="28"/>
          <w:rtl/>
        </w:rPr>
        <w:t xml:space="preserve">شريف بن عبد الحسين بن صاحب جواهر -ابن صاحب جواهر ، شريف بن عبد الحسين</w:t>
      </w:r>
    </w:p>
    <w:p>
      <w:pPr>
        <w:pStyle w:val="BookText"/>
      </w:pPr>
      <w:r>
        <w:rPr>
          <w:rFonts w:ascii="IRNazanin" w:hAnsi="IRNazanin" w:eastAsia="IRNazanin" w:cs="IRNazanin"/>
          <w:lang w:bidi="fa-IR"/>
          <w:color w:val="111111"/>
          <w:sz w:val="28"/>
          <w:szCs w:val="28"/>
          <w:rtl/>
        </w:rPr>
        <w:t xml:space="preserve">شريف بن علي دارارب- دارارب ، شریف</w:t>
      </w:r>
    </w:p>
    <w:p>
      <w:pPr>
        <w:pStyle w:val="BookText"/>
      </w:pPr>
      <w:r>
        <w:rPr>
          <w:rFonts w:ascii="Amiri" w:hAnsi="Amiri" w:eastAsia="Amiri" w:cs="Amiri"/>
          <w:lang w:bidi="ar-SA"/>
          <w:color w:val="111111"/>
          <w:sz w:val="28"/>
          <w:szCs w:val="28"/>
          <w:rtl/>
        </w:rPr>
        <w:t xml:space="preserve">بن علي</w:t>
      </w:r>
    </w:p>
    <w:p>
      <w:pPr>
        <w:pStyle w:val="Heading2"/>
      </w:pPr>
      <w:bookmarkStart w:id="5145" w:name="_Toc4247"/>
      <w:r>
        <w:t>شريف حاج بيرام ولي</w:t>
      </w:r>
      <w:bookmarkEnd w:id="5145"/>
    </w:p>
    <w:p>
      <w:pPr>
        <w:pStyle w:val="BookText"/>
      </w:pPr>
      <w:r>
        <w:rPr>
          <w:rFonts w:ascii="Amiri" w:hAnsi="Amiri" w:eastAsia="Amiri" w:cs="Amiri"/>
          <w:lang w:bidi="ar-SA"/>
          <w:color w:val="111111"/>
          <w:sz w:val="28"/>
          <w:szCs w:val="28"/>
          <w:rtl/>
        </w:rPr>
        <w:t xml:space="preserve">اوراد شريفة، ج 3، ص 65.</w:t>
      </w:r>
    </w:p>
    <w:p>
      <w:pPr>
        <w:pStyle w:val="Heading2"/>
      </w:pPr>
      <w:bookmarkStart w:id="5146" w:name="_Toc4248"/>
      <w:r>
        <w:t>شريف حسيني ، محمّد بن حسين قرن</w:t>
      </w:r>
      <w:bookmarkEnd w:id="5146"/>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شرح ميزان الحساب، ج 10، ص279</w:t>
      </w:r>
    </w:p>
    <w:p>
      <w:pPr>
        <w:pStyle w:val="Heading2"/>
      </w:pPr>
      <w:bookmarkStart w:id="5147" w:name="_Toc4249"/>
      <w:r>
        <w:t>شريف خاتون آبادي ، احمد بن محمّد</w:t>
      </w:r>
      <w:bookmarkEnd w:id="5147"/>
    </w:p>
    <w:p>
      <w:pPr>
        <w:pStyle w:val="BookText"/>
      </w:pPr>
      <w:r>
        <w:rPr>
          <w:rFonts w:ascii="Amiri" w:hAnsi="Amiri" w:eastAsia="Amiri" w:cs="Amiri"/>
          <w:lang w:bidi="ar-SA"/>
          <w:color w:val="111111"/>
          <w:sz w:val="28"/>
          <w:szCs w:val="28"/>
          <w:rtl/>
        </w:rPr>
        <w:t xml:space="preserve">مهدي، - 1155 ه-</w:t>
      </w:r>
    </w:p>
    <w:p>
      <w:pPr>
        <w:pStyle w:val="BookText"/>
      </w:pPr>
      <w:r>
        <w:rPr>
          <w:rFonts w:ascii="Amiri" w:hAnsi="Amiri" w:eastAsia="Amiri" w:cs="Amiri"/>
          <w:lang w:bidi="ar-SA"/>
          <w:color w:val="111111"/>
          <w:sz w:val="28"/>
          <w:szCs w:val="28"/>
          <w:rtl/>
        </w:rPr>
        <w:t xml:space="preserve">الوجيزة في معرفة التقويم = معرفة</w:t>
      </w:r>
    </w:p>
    <w:p>
      <w:pPr>
        <w:pStyle w:val="BookText"/>
      </w:pPr>
      <w:r>
        <w:rPr>
          <w:rFonts w:ascii="Amiri" w:hAnsi="Amiri" w:eastAsia="Amiri" w:cs="Amiri"/>
          <w:lang w:bidi="ar-SA"/>
          <w:color w:val="111111"/>
          <w:sz w:val="28"/>
          <w:szCs w:val="28"/>
          <w:rtl/>
        </w:rPr>
        <w:t xml:space="preserve">التقويم، ج 16، ص 752.</w:t>
      </w:r>
    </w:p>
    <w:p>
      <w:pPr>
        <w:pStyle w:val="BookText"/>
      </w:pPr>
      <w:r>
        <w:rPr>
          <w:rFonts w:ascii="IRNazanin" w:hAnsi="IRNazanin" w:eastAsia="IRNazanin" w:cs="IRNazanin"/>
          <w:lang w:bidi="fa-IR"/>
          <w:color w:val="111111"/>
          <w:sz w:val="28"/>
          <w:szCs w:val="28"/>
          <w:rtl/>
        </w:rPr>
        <w:t xml:space="preserve">شریف خان بن اکمل خان</w:t>
      </w:r>
    </w:p>
    <w:p>
      <w:pPr>
        <w:pStyle w:val="BookText"/>
      </w:pPr>
      <w:r>
        <w:rPr>
          <w:rFonts w:ascii="Amiri" w:hAnsi="Amiri" w:eastAsia="Amiri" w:cs="Amiri"/>
          <w:lang w:bidi="ar-SA"/>
          <w:color w:val="111111"/>
          <w:sz w:val="28"/>
          <w:szCs w:val="28"/>
          <w:rtl/>
        </w:rPr>
        <w:t xml:space="preserve">دهلوي -دهلوي ، محمّد شريف بن محمّد</w:t>
      </w:r>
    </w:p>
    <w:p>
      <w:pPr>
        <w:pStyle w:val="BookText"/>
      </w:pPr>
      <w:r>
        <w:rPr>
          <w:rFonts w:ascii="IRNazanin" w:hAnsi="IRNazanin" w:eastAsia="IRNazanin" w:cs="IRNazanin"/>
          <w:lang w:bidi="fa-IR"/>
          <w:color w:val="111111"/>
          <w:sz w:val="28"/>
          <w:szCs w:val="28"/>
          <w:rtl/>
        </w:rPr>
        <w:t xml:space="preserve">اکمل</w:t>
      </w:r>
    </w:p>
    <w:p>
      <w:pPr>
        <w:pStyle w:val="BookText"/>
      </w:pPr>
      <w:r>
        <w:rPr>
          <w:rFonts w:ascii="IRNazanin" w:hAnsi="IRNazanin" w:eastAsia="IRNazanin" w:cs="IRNazanin"/>
          <w:lang w:bidi="fa-IR"/>
          <w:color w:val="111111"/>
          <w:sz w:val="28"/>
          <w:szCs w:val="28"/>
          <w:rtl/>
        </w:rPr>
        <w:t xml:space="preserve">شريف خان بن حاذق الملك اكمل بن واصل خان الهندي -دهلوي ، محمّد شريف بن محمّد اکمل</w:t>
      </w:r>
    </w:p>
    <w:p>
      <w:pPr>
        <w:pStyle w:val="BookText"/>
      </w:pPr>
      <w:r>
        <w:rPr>
          <w:rFonts w:ascii="IRNazanin" w:hAnsi="IRNazanin" w:eastAsia="IRNazanin" w:cs="IRNazanin"/>
          <w:lang w:bidi="fa-IR"/>
          <w:color w:val="111111"/>
          <w:sz w:val="28"/>
          <w:szCs w:val="28"/>
          <w:rtl/>
        </w:rPr>
        <w:t xml:space="preserve">شریف دهلوي ، محمّد- دهلوي ، محمّد</w:t>
      </w:r>
    </w:p>
    <w:p>
      <w:pPr>
        <w:pStyle w:val="BookText"/>
      </w:pPr>
      <w:r>
        <w:rPr>
          <w:rFonts w:ascii="Amiri" w:hAnsi="Amiri" w:eastAsia="Amiri" w:cs="Amiri"/>
          <w:lang w:bidi="ar-SA"/>
          <w:color w:val="111111"/>
          <w:sz w:val="28"/>
          <w:szCs w:val="28"/>
          <w:rtl/>
        </w:rPr>
        <w:t xml:space="preserve">شريف بن محمّد اكمل</w:t>
      </w:r>
    </w:p>
    <w:p>
      <w:pPr>
        <w:pStyle w:val="BookText"/>
      </w:pPr>
      <w:r>
        <w:rPr>
          <w:rFonts w:ascii="Amiri" w:hAnsi="Amiri" w:eastAsia="Amiri" w:cs="Amiri"/>
          <w:lang w:bidi="ar-SA"/>
          <w:color w:val="111111"/>
          <w:sz w:val="28"/>
          <w:szCs w:val="28"/>
          <w:rtl/>
        </w:rPr>
        <w:t xml:space="preserve">شريف ديلمي -شريف لاهيجي ، قطب</w:t>
      </w:r>
    </w:p>
    <w:p>
      <w:pPr>
        <w:pStyle w:val="BookText"/>
      </w:pPr>
      <w:r>
        <w:rPr>
          <w:rFonts w:ascii="Amiri" w:hAnsi="Amiri" w:eastAsia="Amiri" w:cs="Amiri"/>
          <w:lang w:bidi="ar-SA"/>
          <w:color w:val="111111"/>
          <w:sz w:val="28"/>
          <w:szCs w:val="28"/>
          <w:rtl/>
        </w:rPr>
        <w:t xml:space="preserve">الدين محمّد بن علي</w:t>
      </w:r>
    </w:p>
    <w:p>
      <w:pPr>
        <w:pStyle w:val="BookText"/>
      </w:pPr>
      <w:r>
        <w:rPr>
          <w:rFonts w:ascii="Amiri" w:hAnsi="Amiri" w:eastAsia="Amiri" w:cs="Amiri"/>
          <w:lang w:bidi="ar-SA"/>
          <w:color w:val="111111"/>
          <w:sz w:val="28"/>
          <w:szCs w:val="28"/>
          <w:rtl/>
        </w:rPr>
        <w:t xml:space="preserve">شريف رضي ، محمّد بن حسين- شريف</w:t>
      </w:r>
    </w:p>
    <w:p>
      <w:pPr>
        <w:pStyle w:val="BookText"/>
      </w:pPr>
      <w:r>
        <w:rPr>
          <w:rFonts w:ascii="Amiri" w:hAnsi="Amiri" w:eastAsia="Amiri" w:cs="Amiri"/>
          <w:lang w:bidi="ar-SA"/>
          <w:color w:val="111111"/>
          <w:sz w:val="28"/>
          <w:szCs w:val="28"/>
          <w:rtl/>
        </w:rPr>
        <w:t xml:space="preserve">الرضي ، محمّد بن حسين</w:t>
      </w:r>
    </w:p>
    <w:p>
      <w:pPr>
        <w:pStyle w:val="BookText"/>
      </w:pPr>
      <w:r>
        <w:rPr>
          <w:rFonts w:ascii="Amiri" w:hAnsi="Amiri" w:eastAsia="Amiri" w:cs="Amiri"/>
          <w:lang w:bidi="ar-SA"/>
          <w:color w:val="111111"/>
          <w:sz w:val="28"/>
          <w:szCs w:val="28"/>
          <w:rtl/>
        </w:rPr>
        <w:t xml:space="preserve">شريف ساوجي كاشاني ، حبيب الله بن علي</w:t>
      </w:r>
    </w:p>
    <w:p>
      <w:pPr>
        <w:pStyle w:val="BookText"/>
      </w:pPr>
      <w:r>
        <w:rPr>
          <w:rFonts w:ascii="Amiri" w:hAnsi="Amiri" w:eastAsia="Amiri" w:cs="Amiri"/>
          <w:lang w:bidi="ar-SA"/>
          <w:color w:val="111111"/>
          <w:sz w:val="28"/>
          <w:szCs w:val="28"/>
          <w:rtl/>
        </w:rPr>
        <w:t xml:space="preserve">مدد -كاشاني ، حبيب الله بن علي مدد</w:t>
      </w:r>
    </w:p>
    <w:p>
      <w:pPr>
        <w:pStyle w:val="BookText"/>
      </w:pPr>
      <w:r>
        <w:rPr>
          <w:rFonts w:ascii="Amiri" w:hAnsi="Amiri" w:eastAsia="Amiri" w:cs="Amiri"/>
          <w:lang w:bidi="ar-SA"/>
          <w:color w:val="111111"/>
          <w:sz w:val="28"/>
          <w:szCs w:val="28"/>
          <w:rtl/>
        </w:rPr>
        <w:t xml:space="preserve">شريف سبزواري، زين العابدين بن محمّد</w:t>
      </w:r>
    </w:p>
    <w:p>
      <w:pPr>
        <w:pStyle w:val="BookText"/>
      </w:pPr>
      <w:r>
        <w:rPr>
          <w:rFonts w:ascii="Amiri" w:hAnsi="Amiri" w:eastAsia="Amiri" w:cs="Amiri"/>
          <w:lang w:bidi="ar-SA"/>
          <w:color w:val="111111"/>
          <w:sz w:val="28"/>
          <w:szCs w:val="28"/>
          <w:rtl/>
        </w:rPr>
        <w:t xml:space="preserve">علي- سبزواري، زين العابدين بن محمّد علي</w:t>
      </w:r>
    </w:p>
    <w:p>
      <w:pPr>
        <w:pStyle w:val="Heading2"/>
      </w:pPr>
      <w:bookmarkStart w:id="5148" w:name="_Toc4250"/>
      <w:r>
        <w:t>شريف سبزواري ، محمّد رضا بن محمّد</w:t>
      </w:r>
      <w:bookmarkEnd w:id="5148"/>
    </w:p>
    <w:p>
      <w:pPr>
        <w:pStyle w:val="BookText"/>
      </w:pPr>
      <w:r>
        <w:rPr>
          <w:rFonts w:ascii="Amiri" w:hAnsi="Amiri" w:eastAsia="Amiri" w:cs="Amiri"/>
          <w:lang w:bidi="ar-SA"/>
          <w:color w:val="111111"/>
          <w:sz w:val="28"/>
          <w:szCs w:val="28"/>
          <w:rtl/>
        </w:rPr>
        <w:t xml:space="preserve">مهدي قرن 12 ه-</w:t>
      </w:r>
    </w:p>
    <w:p>
      <w:pPr>
        <w:pStyle w:val="BookText"/>
      </w:pPr>
      <w:r>
        <w:rPr>
          <w:rFonts w:ascii="Amiri" w:hAnsi="Amiri" w:eastAsia="Amiri" w:cs="Amiri"/>
          <w:lang w:bidi="ar-SA"/>
          <w:color w:val="111111"/>
          <w:sz w:val="28"/>
          <w:szCs w:val="28"/>
          <w:rtl/>
        </w:rPr>
        <w:t xml:space="preserve">ترجمة السلطاني، ج 4، ص 272.</w:t>
      </w:r>
    </w:p>
    <w:p>
      <w:pPr>
        <w:pStyle w:val="Heading2"/>
      </w:pPr>
      <w:bookmarkStart w:id="5149" w:name="_Toc4251"/>
      <w:r>
        <w:t>شريف ، عبدالرحيم بن محمّد قرن 12</w:t>
      </w:r>
      <w:bookmarkEnd w:id="5149"/>
    </w:p>
    <w:p>
      <w:pPr>
        <w:pStyle w:val="BookText"/>
      </w:pPr>
      <w:r>
        <w:rPr>
          <w:rFonts w:ascii="Amiri" w:hAnsi="Amiri" w:eastAsia="Amiri" w:cs="Amiri"/>
          <w:lang w:bidi="ar-SA"/>
          <w:color w:val="111111"/>
          <w:sz w:val="28"/>
          <w:szCs w:val="28"/>
          <w:rtl/>
        </w:rPr>
        <w:t xml:space="preserve">مقصد الطالب و منتهي المطالب في</w:t>
      </w:r>
    </w:p>
    <w:p>
      <w:pPr>
        <w:pStyle w:val="BookText"/>
      </w:pPr>
      <w:r>
        <w:rPr>
          <w:rFonts w:ascii="IRNazanin" w:hAnsi="IRNazanin" w:eastAsia="IRNazanin" w:cs="IRNazanin"/>
          <w:lang w:bidi="fa-IR"/>
          <w:color w:val="111111"/>
          <w:sz w:val="28"/>
          <w:szCs w:val="28"/>
          <w:rtl/>
        </w:rPr>
        <w:t xml:space="preserve">العمل بالاسطرلاب، ج 15 ، ص 382.</w:t>
      </w:r>
    </w:p>
    <w:p>
      <w:pPr>
        <w:pStyle w:val="Heading2"/>
      </w:pPr>
      <w:bookmarkStart w:id="5150" w:name="_Toc4252"/>
      <w:r>
        <w:t>شريف ، عبدالله بن محمّد قرن 13 ه-</w:t>
      </w:r>
      <w:bookmarkEnd w:id="5150"/>
    </w:p>
    <w:p>
      <w:pPr>
        <w:pStyle w:val="BookText"/>
      </w:pPr>
      <w:r>
        <w:rPr>
          <w:rFonts w:ascii="Amiri" w:hAnsi="Amiri" w:eastAsia="Amiri" w:cs="Amiri"/>
          <w:lang w:bidi="ar-SA"/>
          <w:color w:val="111111"/>
          <w:sz w:val="28"/>
          <w:szCs w:val="28"/>
          <w:rtl/>
        </w:rPr>
        <w:t xml:space="preserve">فوائد لغوية، ج12، ص 266.</w:t>
      </w:r>
    </w:p>
    <w:p>
      <w:pPr>
        <w:pStyle w:val="BookText"/>
      </w:pPr>
      <w:r>
        <w:rPr>
          <w:rFonts w:ascii="Amiri" w:hAnsi="Amiri" w:eastAsia="Amiri" w:cs="Amiri"/>
          <w:lang w:bidi="ar-SA"/>
          <w:color w:val="111111"/>
          <w:sz w:val="28"/>
          <w:szCs w:val="28"/>
          <w:rtl/>
        </w:rPr>
        <w:t xml:space="preserve">شريف عدوي ، خضر -صفدي عدوي ،</w:t>
      </w:r>
    </w:p>
    <w:p>
      <w:pPr>
        <w:pStyle w:val="BookText"/>
      </w:pPr>
      <w:r>
        <w:rPr>
          <w:rFonts w:ascii="IRNazanin" w:hAnsi="IRNazanin" w:eastAsia="IRNazanin" w:cs="IRNazanin"/>
          <w:lang w:bidi="fa-IR"/>
          <w:color w:val="111111"/>
          <w:sz w:val="28"/>
          <w:szCs w:val="28"/>
          <w:rtl/>
        </w:rPr>
        <w:t xml:space="preserve">خضر</w:t>
      </w:r>
    </w:p>
    <w:p>
      <w:pPr>
        <w:pStyle w:val="BookText"/>
      </w:pPr>
      <w:r>
        <w:rPr>
          <w:rFonts w:ascii="Amiri" w:hAnsi="Amiri" w:eastAsia="Amiri" w:cs="Amiri"/>
          <w:lang w:bidi="ar-SA"/>
          <w:color w:val="111111"/>
          <w:sz w:val="28"/>
          <w:szCs w:val="28"/>
          <w:rtl/>
        </w:rPr>
        <w:t xml:space="preserve">شريف علي اكبر يزدي-شريف يزدي ، علي</w:t>
      </w:r>
    </w:p>
    <w:p>
      <w:pPr>
        <w:pStyle w:val="BookText"/>
      </w:pPr>
      <w:r>
        <w:rPr>
          <w:rFonts w:ascii="IRNazanin" w:hAnsi="IRNazanin" w:eastAsia="IRNazanin" w:cs="IRNazanin"/>
          <w:lang w:bidi="fa-IR"/>
          <w:color w:val="111111"/>
          <w:sz w:val="28"/>
          <w:szCs w:val="28"/>
          <w:rtl/>
        </w:rPr>
        <w:t xml:space="preserve">اکبر بن محمّد صالح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19" w:name="pg7742_70605"/>
    <w:bookmarkEnd w:id="619"/>
    <w:p>
      <w:pPr>
        <w:pStyle w:val="Heading2"/>
      </w:pPr>
      <w:bookmarkStart w:id="5151" w:name="_Toc4253"/>
      <w:r>
        <w:t>شريف ، علي بن فتح الله قرن 11 ه-</w:t>
      </w:r>
      <w:bookmarkEnd w:id="5151"/>
    </w:p>
    <w:p>
      <w:pPr>
        <w:pStyle w:val="BookText"/>
      </w:pPr>
      <w:r>
        <w:rPr>
          <w:rFonts w:ascii="Amiri" w:hAnsi="Amiri" w:eastAsia="Amiri" w:cs="Amiri"/>
          <w:lang w:bidi="ar-SA"/>
          <w:color w:val="111111"/>
          <w:sz w:val="28"/>
          <w:szCs w:val="28"/>
          <w:rtl/>
        </w:rPr>
        <w:t xml:space="preserve">الفائدة من اربعين ج 11، ص 577.</w:t>
      </w:r>
    </w:p>
    <w:p>
      <w:pPr>
        <w:pStyle w:val="BookText"/>
      </w:pPr>
      <w:r>
        <w:rPr>
          <w:rFonts w:ascii="Amiri" w:hAnsi="Amiri" w:eastAsia="Amiri" w:cs="Amiri"/>
          <w:lang w:bidi="ar-SA"/>
          <w:color w:val="111111"/>
          <w:sz w:val="28"/>
          <w:szCs w:val="28"/>
          <w:rtl/>
        </w:rPr>
        <w:t xml:space="preserve">شريف فرغاني ، عبيد الله بن محمّد -عبري</w:t>
      </w:r>
    </w:p>
    <w:p>
      <w:pPr>
        <w:pStyle w:val="BookText"/>
      </w:pPr>
      <w:r>
        <w:rPr>
          <w:rFonts w:ascii="IRNazanin" w:hAnsi="IRNazanin" w:eastAsia="IRNazanin" w:cs="IRNazanin"/>
          <w:lang w:bidi="fa-IR"/>
          <w:color w:val="111111"/>
          <w:sz w:val="28"/>
          <w:szCs w:val="28"/>
          <w:rtl/>
        </w:rPr>
        <w:t xml:space="preserve">، عبیدالله بن محمّد</w:t>
      </w:r>
    </w:p>
    <w:p>
      <w:pPr>
        <w:pStyle w:val="Heading2"/>
      </w:pPr>
      <w:bookmarkStart w:id="5152" w:name="_Toc4254"/>
      <w:r>
        <w:t>شريف كاشاني ، فضل الله بن محمّد قرن</w:t>
      </w:r>
      <w:bookmarkEnd w:id="5152"/>
    </w:p>
    <w:p>
      <w:pPr>
        <w:pStyle w:val="BookText"/>
      </w:pPr>
      <w:r>
        <w:rPr>
          <w:rFonts w:ascii="IRNazanin" w:hAnsi="IRNazanin" w:eastAsia="IRNazanin" w:cs="IRNazanin"/>
          <w:lang w:bidi="fa-IR"/>
          <w:color w:val="111111"/>
          <w:sz w:val="28"/>
          <w:szCs w:val="28"/>
          <w:rtl/>
        </w:rPr>
        <w:t xml:space="preserve">11 ه-</w:t>
      </w:r>
    </w:p>
    <w:p>
      <w:pPr>
        <w:pStyle w:val="BookText"/>
      </w:pPr>
      <w:r>
        <w:rPr>
          <w:rFonts w:ascii="Amiri" w:hAnsi="Amiri" w:eastAsia="Amiri" w:cs="Amiri"/>
          <w:lang w:bidi="ar-SA"/>
          <w:color w:val="111111"/>
          <w:sz w:val="28"/>
          <w:szCs w:val="28"/>
          <w:rtl/>
        </w:rPr>
        <w:t xml:space="preserve">1 .حاشية الوافي، ج 6 ، ص 444.</w:t>
      </w:r>
    </w:p>
    <w:p>
      <w:pPr>
        <w:pStyle w:val="BookText"/>
      </w:pPr>
      <w:r>
        <w:rPr>
          <w:rFonts w:ascii="Amiri" w:hAnsi="Amiri" w:eastAsia="Amiri" w:cs="Amiri"/>
          <w:lang w:bidi="ar-SA"/>
          <w:color w:val="111111"/>
          <w:sz w:val="28"/>
          <w:szCs w:val="28"/>
          <w:rtl/>
        </w:rPr>
        <w:t xml:space="preserve">2 .شرح تشريح الافلاك، ج9، ص331</w:t>
      </w:r>
    </w:p>
    <w:p>
      <w:pPr>
        <w:pStyle w:val="Heading2"/>
      </w:pPr>
      <w:bookmarkStart w:id="5153" w:name="_Toc4255"/>
      <w:r>
        <w:t>شريف كرماني ، نظر علي بن اسماعيل</w:t>
      </w:r>
      <w:bookmarkEnd w:id="5153"/>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1 .ايقاظ العوام، ج3، ص 146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جمال الامة في المواعظ، ج 5،</w:t>
      </w:r>
    </w:p>
    <w:p>
      <w:pPr>
        <w:pStyle w:val="BookText"/>
      </w:pPr>
      <w:r>
        <w:rPr>
          <w:rFonts w:ascii="IRNazanin" w:hAnsi="IRNazanin" w:eastAsia="IRNazanin" w:cs="IRNazanin"/>
          <w:lang w:bidi="fa-IR"/>
          <w:color w:val="111111"/>
          <w:sz w:val="28"/>
          <w:szCs w:val="28"/>
          <w:rtl/>
        </w:rPr>
        <w:t xml:space="preserve">ص 419.</w:t>
      </w:r>
    </w:p>
    <w:p>
      <w:pPr>
        <w:pStyle w:val="BookText"/>
      </w:pPr>
      <w:r>
        <w:rPr>
          <w:rFonts w:ascii="Amiri" w:hAnsi="Amiri" w:eastAsia="Amiri" w:cs="Amiri"/>
          <w:lang w:bidi="ar-SA"/>
          <w:color w:val="111111"/>
          <w:sz w:val="28"/>
          <w:szCs w:val="28"/>
          <w:rtl/>
        </w:rPr>
        <w:t xml:space="preserve">3 .غرة البيضاء في فضائل سيد</w:t>
      </w:r>
    </w:p>
    <w:p>
      <w:pPr>
        <w:pStyle w:val="BookText"/>
      </w:pPr>
      <w:r>
        <w:rPr>
          <w:rFonts w:ascii="Amiri" w:hAnsi="Amiri" w:eastAsia="Amiri" w:cs="Amiri"/>
          <w:lang w:bidi="ar-SA"/>
          <w:color w:val="111111"/>
          <w:sz w:val="28"/>
          <w:szCs w:val="28"/>
          <w:rtl/>
        </w:rPr>
        <w:t xml:space="preserve">الاوصياء، ج11، ص 471.</w:t>
      </w:r>
    </w:p>
    <w:p>
      <w:pPr>
        <w:pStyle w:val="Heading2"/>
      </w:pPr>
      <w:bookmarkStart w:id="5154" w:name="_Toc4256"/>
      <w:r>
        <w:t>شريف محسن سلطان</w:t>
      </w:r>
      <w:bookmarkEnd w:id="5154"/>
    </w:p>
    <w:p>
      <w:pPr>
        <w:pStyle w:val="BookText"/>
      </w:pPr>
      <w:r>
        <w:rPr>
          <w:rFonts w:ascii="Amiri" w:hAnsi="Amiri" w:eastAsia="Amiri" w:cs="Amiri"/>
          <w:lang w:bidi="ar-SA"/>
          <w:color w:val="111111"/>
          <w:sz w:val="28"/>
          <w:szCs w:val="28"/>
          <w:rtl/>
        </w:rPr>
        <w:t xml:space="preserve">جواب الامير فخر الدين بن معن ج5 ص 496.</w:t>
      </w:r>
    </w:p>
    <w:p>
      <w:pPr>
        <w:pStyle w:val="Heading2"/>
      </w:pPr>
      <w:bookmarkStart w:id="5155" w:name="_Toc4257"/>
      <w:r>
        <w:t>شریف ، محمّد</w:t>
      </w:r>
      <w:bookmarkEnd w:id="5155"/>
    </w:p>
    <w:p>
      <w:pPr>
        <w:pStyle w:val="BookText"/>
      </w:pPr>
      <w:r>
        <w:rPr>
          <w:rFonts w:ascii="Amiri" w:hAnsi="Amiri" w:eastAsia="Amiri" w:cs="Amiri"/>
          <w:lang w:bidi="ar-SA"/>
          <w:color w:val="111111"/>
          <w:sz w:val="28"/>
          <w:szCs w:val="28"/>
          <w:rtl/>
        </w:rPr>
        <w:t xml:space="preserve">نفحة الاذكار، ج 16، ص 388.</w:t>
      </w:r>
    </w:p>
    <w:p>
      <w:pPr>
        <w:pStyle w:val="Heading2"/>
      </w:pPr>
      <w:bookmarkStart w:id="5156" w:name="_Toc4258"/>
      <w:r>
        <w:t>شريف لاهيجي ، قطب الدين محمّد بن</w:t>
      </w:r>
      <w:bookmarkEnd w:id="5156"/>
    </w:p>
    <w:p>
      <w:pPr>
        <w:pStyle w:val="BookText"/>
      </w:pPr>
      <w:r>
        <w:rPr>
          <w:rFonts w:ascii="Amiri" w:hAnsi="Amiri" w:eastAsia="Amiri" w:cs="Amiri"/>
          <w:lang w:bidi="ar-SA"/>
          <w:color w:val="111111"/>
          <w:sz w:val="28"/>
          <w:szCs w:val="28"/>
          <w:rtl/>
        </w:rPr>
        <w:t xml:space="preserve">علي، - 1097</w:t>
      </w:r>
    </w:p>
    <w:p>
      <w:pPr>
        <w:pStyle w:val="BookText"/>
      </w:pPr>
      <w:r>
        <w:rPr>
          <w:rFonts w:ascii="Amiri" w:hAnsi="Amiri" w:eastAsia="Amiri" w:cs="Amiri"/>
          <w:lang w:bidi="ar-SA"/>
          <w:color w:val="111111"/>
          <w:sz w:val="28"/>
          <w:szCs w:val="28"/>
          <w:rtl/>
        </w:rPr>
        <w:t xml:space="preserve">ثمرة الفؤاد - اسرار الصلاة، ج 5،</w:t>
      </w:r>
    </w:p>
    <w:p>
      <w:pPr>
        <w:pStyle w:val="BookText"/>
      </w:pPr>
      <w:r>
        <w:rPr>
          <w:rFonts w:ascii="IRNazanin" w:hAnsi="IRNazanin" w:eastAsia="IRNazanin" w:cs="IRNazanin"/>
          <w:lang w:bidi="fa-IR"/>
          <w:color w:val="111111"/>
          <w:sz w:val="28"/>
          <w:szCs w:val="28"/>
          <w:rtl/>
        </w:rPr>
        <w:t xml:space="preserve">ص228.</w:t>
      </w:r>
    </w:p>
    <w:p>
      <w:pPr>
        <w:pStyle w:val="Heading2"/>
      </w:pPr>
      <w:bookmarkStart w:id="5157" w:name="_Toc4259"/>
      <w:r>
        <w:t>شریف ، محمّد باقر</w:t>
      </w:r>
      <w:bookmarkEnd w:id="5157"/>
    </w:p>
    <w:p>
      <w:pPr>
        <w:pStyle w:val="BookText"/>
      </w:pPr>
      <w:r>
        <w:rPr>
          <w:rFonts w:ascii="Amiri" w:hAnsi="Amiri" w:eastAsia="Amiri" w:cs="Amiri"/>
          <w:lang w:bidi="ar-SA"/>
          <w:color w:val="111111"/>
          <w:sz w:val="28"/>
          <w:szCs w:val="28"/>
          <w:rtl/>
        </w:rPr>
        <w:t xml:space="preserve">حاشية الكفاية في حرية التكسب</w:t>
      </w:r>
    </w:p>
    <w:p>
      <w:pPr>
        <w:pStyle w:val="BookText"/>
      </w:pPr>
      <w:r>
        <w:rPr>
          <w:rFonts w:ascii="IRNazanin" w:hAnsi="IRNazanin" w:eastAsia="IRNazanin" w:cs="IRNazanin"/>
          <w:lang w:bidi="fa-IR"/>
          <w:color w:val="111111"/>
          <w:sz w:val="28"/>
          <w:szCs w:val="28"/>
          <w:rtl/>
        </w:rPr>
        <w:t xml:space="preserve">بالغناء، ج 6، ص 337.</w:t>
      </w:r>
    </w:p>
    <w:p>
      <w:pPr>
        <w:pStyle w:val="Heading2"/>
      </w:pPr>
      <w:bookmarkStart w:id="5158" w:name="_Toc4260"/>
      <w:r>
        <w:t>شریف ، محمّد بن عبدالله</w:t>
      </w:r>
      <w:bookmarkEnd w:id="5158"/>
    </w:p>
    <w:p>
      <w:pPr>
        <w:pStyle w:val="BookText"/>
      </w:pPr>
      <w:r>
        <w:rPr>
          <w:rFonts w:ascii="Amiri" w:hAnsi="Amiri" w:eastAsia="Amiri" w:cs="Amiri"/>
          <w:lang w:bidi="ar-SA"/>
          <w:color w:val="111111"/>
          <w:sz w:val="28"/>
          <w:szCs w:val="28"/>
          <w:rtl/>
        </w:rPr>
        <w:t xml:space="preserve">مجموعة فوائد ادبية، ج 14، ص 46.</w:t>
      </w:r>
    </w:p>
    <w:p>
      <w:pPr>
        <w:pStyle w:val="Heading2"/>
      </w:pPr>
      <w:bookmarkStart w:id="5159" w:name="_Toc4261"/>
      <w:r>
        <w:t>شريف ، محمّد مهدي بن علي نقي قرن</w:t>
      </w:r>
      <w:bookmarkEnd w:id="5159"/>
    </w:p>
    <w:p>
      <w:pPr>
        <w:pStyle w:val="BookText"/>
      </w:pPr>
      <w:r>
        <w:rPr>
          <w:rFonts w:ascii="IRNazanin" w:hAnsi="IRNazanin" w:eastAsia="IRNazanin" w:cs="IRNazanin"/>
          <w:lang w:bidi="fa-IR"/>
          <w:color w:val="111111"/>
          <w:sz w:val="28"/>
          <w:szCs w:val="28"/>
          <w:rtl/>
        </w:rPr>
        <w:t xml:space="preserve">12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جامع الفوائد، ج5، ص313.</w:t>
      </w:r>
    </w:p>
    <w:p>
      <w:pPr>
        <w:pStyle w:val="BookText"/>
      </w:pPr>
      <w:r>
        <w:rPr>
          <w:rFonts w:ascii="Amiri" w:hAnsi="Amiri" w:eastAsia="Amiri" w:cs="Amiri"/>
          <w:lang w:bidi="ar-SA"/>
          <w:color w:val="111111"/>
          <w:sz w:val="28"/>
          <w:szCs w:val="28"/>
          <w:rtl/>
        </w:rPr>
        <w:t xml:space="preserve">2 .زاد المسافرين = تدبير مسافر، ج8،</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Amiri" w:hAnsi="Amiri" w:eastAsia="Amiri" w:cs="Amiri"/>
          <w:lang w:bidi="ar-SA"/>
          <w:color w:val="111111"/>
          <w:sz w:val="28"/>
          <w:szCs w:val="28"/>
          <w:rtl/>
        </w:rPr>
        <w:t xml:space="preserve">شريف مرتضى -علم الهدى ، علي بن حسين</w:t>
      </w:r>
    </w:p>
    <w:p>
      <w:pPr>
        <w:pStyle w:val="BookText"/>
      </w:pPr>
      <w:r>
        <w:rPr>
          <w:rFonts w:ascii="IRNazanin" w:hAnsi="IRNazanin" w:eastAsia="IRNazanin" w:cs="IRNazanin"/>
          <w:lang w:bidi="fa-IR"/>
          <w:color w:val="111111"/>
          <w:sz w:val="28"/>
          <w:szCs w:val="28"/>
          <w:rtl/>
        </w:rPr>
        <w:t xml:space="preserve">شریف موسی بن اسماعيل- موسى بن اسماعيل</w:t>
      </w:r>
    </w:p>
    <w:p>
      <w:pPr>
        <w:pStyle w:val="Heading2"/>
      </w:pPr>
      <w:bookmarkStart w:id="5160" w:name="_Toc4262"/>
      <w:r>
        <w:t>شريف موصلي ، حسن بن جرجيس</w:t>
      </w:r>
      <w:bookmarkEnd w:id="5160"/>
    </w:p>
    <w:p>
      <w:pPr>
        <w:pStyle w:val="BookText"/>
      </w:pPr>
      <w:r>
        <w:rPr>
          <w:rFonts w:ascii="Amiri" w:hAnsi="Amiri" w:eastAsia="Amiri" w:cs="Amiri"/>
          <w:lang w:bidi="ar-SA"/>
          <w:color w:val="111111"/>
          <w:sz w:val="28"/>
          <w:szCs w:val="28"/>
          <w:rtl/>
        </w:rPr>
        <w:t xml:space="preserve">1 .تاريخ أعمار الائمة الاربعة (قصيدة)</w:t>
      </w:r>
    </w:p>
    <w:p>
      <w:pPr>
        <w:pStyle w:val="BookText"/>
      </w:pPr>
      <w:r>
        <w:rPr>
          <w:rFonts w:ascii="Amiri" w:hAnsi="Amiri" w:eastAsia="Amiri" w:cs="Amiri"/>
          <w:lang w:bidi="ar-SA"/>
          <w:color w:val="111111"/>
          <w:sz w:val="28"/>
          <w:szCs w:val="28"/>
          <w:rtl/>
        </w:rPr>
        <w:t xml:space="preserve">في)، ج 3، ص 556.</w:t>
      </w:r>
    </w:p>
    <w:p>
      <w:pPr>
        <w:pStyle w:val="BookText"/>
      </w:pPr>
      <w:r>
        <w:rPr>
          <w:rFonts w:ascii="Amiri" w:hAnsi="Amiri" w:eastAsia="Amiri" w:cs="Amiri"/>
          <w:lang w:bidi="ar-SA"/>
          <w:color w:val="111111"/>
          <w:sz w:val="28"/>
          <w:szCs w:val="28"/>
          <w:rtl/>
        </w:rPr>
        <w:t xml:space="preserve">2 .تخميس البردة البوصرية = تخميس</w:t>
      </w:r>
    </w:p>
    <w:p>
      <w:pPr>
        <w:pStyle w:val="BookText"/>
      </w:pPr>
      <w:r>
        <w:rPr>
          <w:rFonts w:ascii="Amiri" w:hAnsi="Amiri" w:eastAsia="Amiri" w:cs="Amiri"/>
          <w:lang w:bidi="ar-SA"/>
          <w:color w:val="111111"/>
          <w:sz w:val="28"/>
          <w:szCs w:val="28"/>
          <w:rtl/>
        </w:rPr>
        <w:t xml:space="preserve">الهزية، ج 4، ص 107.</w:t>
      </w:r>
    </w:p>
    <w:p>
      <w:pPr>
        <w:pStyle w:val="Heading2"/>
      </w:pPr>
      <w:bookmarkStart w:id="5161" w:name="_Toc4263"/>
      <w:r>
        <w:t>شريف ، ميرزا علي</w:t>
      </w:r>
      <w:bookmarkEnd w:id="5161"/>
    </w:p>
    <w:p>
      <w:pPr>
        <w:pStyle w:val="BookText"/>
      </w:pPr>
      <w:r>
        <w:rPr>
          <w:rFonts w:ascii="Amiri" w:hAnsi="Amiri" w:eastAsia="Amiri" w:cs="Amiri"/>
          <w:lang w:bidi="ar-SA"/>
          <w:color w:val="111111"/>
          <w:sz w:val="28"/>
          <w:szCs w:val="28"/>
          <w:rtl/>
        </w:rPr>
        <w:t xml:space="preserve">تحفة المعالجين، ج4، ص 26.</w:t>
      </w:r>
    </w:p>
    <w:p>
      <w:pPr>
        <w:pStyle w:val="Heading2"/>
      </w:pPr>
      <w:bookmarkStart w:id="5162" w:name="_Toc4264"/>
      <w:r>
        <w:t>شريف نائيني ، محمّد بن محمّد هادي - 1305ه-</w:t>
      </w:r>
      <w:bookmarkEnd w:id="5162"/>
    </w:p>
    <w:p>
      <w:pPr>
        <w:pStyle w:val="BookText"/>
      </w:pPr>
      <w:r>
        <w:rPr>
          <w:rFonts w:ascii="Amiri" w:hAnsi="Amiri" w:eastAsia="Amiri" w:cs="Amiri"/>
          <w:lang w:bidi="ar-SA"/>
          <w:color w:val="111111"/>
          <w:sz w:val="28"/>
          <w:szCs w:val="28"/>
          <w:rtl/>
        </w:rPr>
        <w:t xml:space="preserve">اللؤلؤة البهية، ج 13، ص 535.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0" w:name="pg7742_70606"/>
    <w:bookmarkEnd w:id="620"/>
    <w:p>
      <w:pPr>
        <w:pStyle w:val="BookText"/>
      </w:pPr>
      <w:r>
        <w:rPr>
          <w:rFonts w:ascii="IRNazanin" w:hAnsi="IRNazanin" w:eastAsia="IRNazanin" w:cs="IRNazanin"/>
          <w:lang w:bidi="fa-IR"/>
          <w:color w:val="111111"/>
          <w:sz w:val="28"/>
          <w:szCs w:val="28"/>
          <w:rtl/>
        </w:rPr>
        <w:t xml:space="preserve">شریف نراقي ، ابوالقاسم بن محمّد -نراقي ، ابوالقاسم بن محمّد</w:t>
      </w:r>
    </w:p>
    <w:p>
      <w:pPr>
        <w:pStyle w:val="Heading2"/>
      </w:pPr>
      <w:bookmarkStart w:id="5163" w:name="_Toc4265"/>
      <w:r>
        <w:t>شریف نسابه ، حسن بن محمّد 767 -</w:t>
      </w:r>
      <w:bookmarkEnd w:id="5163"/>
    </w:p>
    <w:p>
      <w:pPr>
        <w:pStyle w:val="BookText"/>
      </w:pPr>
      <w:r>
        <w:rPr>
          <w:rFonts w:ascii="IRNazanin" w:hAnsi="IRNazanin" w:eastAsia="IRNazanin" w:cs="IRNazanin"/>
          <w:lang w:bidi="fa-IR"/>
          <w:color w:val="111111"/>
          <w:sz w:val="28"/>
          <w:szCs w:val="28"/>
          <w:rtl/>
        </w:rPr>
        <w:t xml:space="preserve">566 ه-</w:t>
      </w:r>
    </w:p>
    <w:p>
      <w:pPr>
        <w:pStyle w:val="BookText"/>
      </w:pPr>
      <w:r>
        <w:rPr>
          <w:rFonts w:ascii="Amiri" w:hAnsi="Amiri" w:eastAsia="Amiri" w:cs="Amiri"/>
          <w:lang w:bidi="ar-SA"/>
          <w:color w:val="111111"/>
          <w:sz w:val="28"/>
          <w:szCs w:val="28"/>
          <w:rtl/>
        </w:rPr>
        <w:t xml:space="preserve">شرح منظومة الاقتصاد في كغاية العقاد ( الاعتقاد)، ج 10، ص 243.</w:t>
      </w:r>
    </w:p>
    <w:p>
      <w:pPr>
        <w:pStyle w:val="Heading2"/>
      </w:pPr>
      <w:bookmarkStart w:id="5164" w:name="_Toc4266"/>
      <w:r>
        <w:t>شريف ، هادي بن مهدي قرن 14 ه-</w:t>
      </w:r>
      <w:bookmarkEnd w:id="5164"/>
    </w:p>
    <w:p>
      <w:pPr>
        <w:pStyle w:val="BookText"/>
      </w:pPr>
      <w:r>
        <w:rPr>
          <w:rFonts w:ascii="Amiri" w:hAnsi="Amiri" w:eastAsia="Amiri" w:cs="Amiri"/>
          <w:lang w:bidi="ar-SA"/>
          <w:color w:val="111111"/>
          <w:sz w:val="28"/>
          <w:szCs w:val="28"/>
          <w:rtl/>
        </w:rPr>
        <w:t xml:space="preserve">ترجمة الامام الرضا، ج 4، ص 261 .</w:t>
      </w:r>
    </w:p>
    <w:p>
      <w:pPr>
        <w:pStyle w:val="BookText"/>
      </w:pPr>
      <w:r>
        <w:rPr>
          <w:rFonts w:ascii="Amiri" w:hAnsi="Amiri" w:eastAsia="Amiri" w:cs="Amiri"/>
          <w:lang w:bidi="ar-SA"/>
          <w:color w:val="111111"/>
          <w:sz w:val="28"/>
          <w:szCs w:val="28"/>
          <w:rtl/>
        </w:rPr>
        <w:t xml:space="preserve">شريفي ، ابوالفتح بن مخدوم- جرجاني</w:t>
      </w:r>
    </w:p>
    <w:p>
      <w:pPr>
        <w:pStyle w:val="BookText"/>
      </w:pPr>
      <w:r>
        <w:rPr>
          <w:rFonts w:ascii="IRNazanin" w:hAnsi="IRNazanin" w:eastAsia="IRNazanin" w:cs="IRNazanin"/>
          <w:lang w:bidi="fa-IR"/>
          <w:color w:val="111111"/>
          <w:sz w:val="28"/>
          <w:szCs w:val="28"/>
          <w:rtl/>
        </w:rPr>
        <w:t xml:space="preserve">ابوالفتح بن مخدوم</w:t>
      </w:r>
    </w:p>
    <w:p>
      <w:pPr>
        <w:pStyle w:val="BookText"/>
      </w:pPr>
      <w:r>
        <w:rPr>
          <w:rFonts w:ascii="Amiri" w:hAnsi="Amiri" w:eastAsia="Amiri" w:cs="Amiri"/>
          <w:lang w:bidi="ar-SA"/>
          <w:color w:val="111111"/>
          <w:sz w:val="28"/>
          <w:szCs w:val="28"/>
          <w:rtl/>
        </w:rPr>
        <w:t xml:space="preserve">شريفي ، ابوالقاسم بن محمّد نبي - ميرزا</w:t>
      </w:r>
    </w:p>
    <w:p>
      <w:pPr>
        <w:pStyle w:val="BookText"/>
      </w:pPr>
      <w:r>
        <w:rPr>
          <w:rFonts w:ascii="Amiri" w:hAnsi="Amiri" w:eastAsia="Amiri" w:cs="Amiri"/>
          <w:lang w:bidi="ar-SA"/>
          <w:color w:val="111111"/>
          <w:sz w:val="28"/>
          <w:szCs w:val="28"/>
          <w:rtl/>
        </w:rPr>
        <w:t xml:space="preserve">بابا شيرازي ، ابوالقاسم بن عبد النبي</w:t>
      </w:r>
    </w:p>
    <w:p>
      <w:pPr>
        <w:pStyle w:val="Heading2"/>
      </w:pPr>
      <w:bookmarkStart w:id="5165" w:name="_Toc4267"/>
      <w:r>
        <w:t>شريفيان عطار ، حسن</w:t>
      </w:r>
      <w:bookmarkEnd w:id="5165"/>
    </w:p>
    <w:p>
      <w:pPr>
        <w:pStyle w:val="BookText"/>
      </w:pPr>
      <w:r>
        <w:rPr>
          <w:rFonts w:ascii="Amiri" w:hAnsi="Amiri" w:eastAsia="Amiri" w:cs="Amiri"/>
          <w:lang w:bidi="ar-SA"/>
          <w:color w:val="111111"/>
          <w:sz w:val="28"/>
          <w:szCs w:val="28"/>
          <w:rtl/>
        </w:rPr>
        <w:t xml:space="preserve">تحقيق اليقين، ج4، ص 84.</w:t>
      </w:r>
    </w:p>
    <w:p>
      <w:pPr>
        <w:pStyle w:val="Heading2"/>
      </w:pPr>
      <w:bookmarkStart w:id="5166" w:name="_Toc4268"/>
      <w:r>
        <w:t>شريفي حائري ، علي، قرن 10 ه-</w:t>
      </w:r>
      <w:bookmarkEnd w:id="5166"/>
    </w:p>
    <w:p>
      <w:pPr>
        <w:pStyle w:val="BookText"/>
      </w:pPr>
      <w:r>
        <w:rPr>
          <w:rFonts w:ascii="IRNazanin" w:hAnsi="IRNazanin" w:eastAsia="IRNazanin" w:cs="IRNazanin"/>
          <w:lang w:bidi="fa-IR"/>
          <w:color w:val="111111"/>
          <w:sz w:val="28"/>
          <w:szCs w:val="28"/>
          <w:rtl/>
        </w:rPr>
        <w:t xml:space="preserve">درج المراد، ج 7، ص280.</w:t>
      </w:r>
    </w:p>
    <w:p>
      <w:pPr>
        <w:pStyle w:val="BookText"/>
      </w:pPr>
      <w:r>
        <w:rPr>
          <w:rFonts w:ascii="Amiri" w:hAnsi="Amiri" w:eastAsia="Amiri" w:cs="Amiri"/>
          <w:lang w:bidi="ar-SA"/>
          <w:color w:val="111111"/>
          <w:sz w:val="28"/>
          <w:szCs w:val="28"/>
          <w:rtl/>
        </w:rPr>
        <w:t xml:space="preserve">شريفي حسني ، محمد علي</w:t>
      </w:r>
    </w:p>
    <w:p>
      <w:pPr>
        <w:pStyle w:val="BookText"/>
      </w:pPr>
      <w:r>
        <w:rPr>
          <w:rFonts w:ascii="Amiri" w:hAnsi="Amiri" w:eastAsia="Amiri" w:cs="Amiri"/>
          <w:lang w:bidi="ar-SA"/>
          <w:color w:val="111111"/>
          <w:sz w:val="28"/>
          <w:szCs w:val="28"/>
          <w:rtl/>
        </w:rPr>
        <w:t xml:space="preserve">(مخدوم) -شريفي حسيني ، ميرزا مخدوم بن</w:t>
      </w:r>
    </w:p>
    <w:p>
      <w:pPr>
        <w:pStyle w:val="BookText"/>
      </w:pPr>
      <w:r>
        <w:rPr>
          <w:rFonts w:ascii="Amiri" w:hAnsi="Amiri" w:eastAsia="Amiri" w:cs="Amiri"/>
          <w:lang w:bidi="ar-SA"/>
          <w:color w:val="111111"/>
          <w:sz w:val="28"/>
          <w:szCs w:val="28"/>
          <w:rtl/>
        </w:rPr>
        <w:t xml:space="preserve">سيد شريف</w:t>
      </w:r>
    </w:p>
    <w:p>
      <w:pPr>
        <w:pStyle w:val="BookText"/>
      </w:pPr>
      <w:r>
        <w:rPr>
          <w:rFonts w:ascii="Amiri" w:hAnsi="Amiri" w:eastAsia="Amiri" w:cs="Amiri"/>
          <w:lang w:bidi="ar-SA"/>
          <w:color w:val="111111"/>
          <w:sz w:val="28"/>
          <w:szCs w:val="28"/>
          <w:rtl/>
        </w:rPr>
        <w:t xml:space="preserve">شريفي ، حسين بن ابراهيم- شاهرودي ،</w:t>
      </w:r>
    </w:p>
    <w:p>
      <w:pPr>
        <w:pStyle w:val="BookText"/>
      </w:pPr>
      <w:r>
        <w:rPr>
          <w:rFonts w:ascii="Amiri" w:hAnsi="Amiri" w:eastAsia="Amiri" w:cs="Amiri"/>
          <w:lang w:bidi="ar-SA"/>
          <w:color w:val="111111"/>
          <w:sz w:val="28"/>
          <w:szCs w:val="28"/>
          <w:rtl/>
        </w:rPr>
        <w:t xml:space="preserve">حسين بن ابراهيم</w:t>
      </w:r>
    </w:p>
    <w:p>
      <w:pPr>
        <w:pStyle w:val="BookText"/>
      </w:pPr>
      <w:r>
        <w:rPr>
          <w:rFonts w:ascii="Amiri" w:hAnsi="Amiri" w:eastAsia="Amiri" w:cs="Amiri"/>
          <w:lang w:bidi="ar-SA"/>
          <w:color w:val="111111"/>
          <w:sz w:val="28"/>
          <w:szCs w:val="28"/>
          <w:rtl/>
        </w:rPr>
        <w:t xml:space="preserve">شريفي حسيني، ابوالفتح بن مخدوم- جرجاني ، ابوالفتح بن مخدوم</w:t>
      </w:r>
    </w:p>
    <w:p>
      <w:pPr>
        <w:pStyle w:val="Heading2"/>
      </w:pPr>
      <w:bookmarkStart w:id="5167" w:name="_Toc4269"/>
      <w:r>
        <w:t>شريفي حسيني، میرزا مخدوم بن سید</w:t>
      </w:r>
      <w:bookmarkEnd w:id="5167"/>
    </w:p>
    <w:p>
      <w:pPr>
        <w:pStyle w:val="BookText"/>
      </w:pPr>
      <w:r>
        <w:rPr>
          <w:rFonts w:ascii="Amiri" w:hAnsi="Amiri" w:eastAsia="Amiri" w:cs="Amiri"/>
          <w:lang w:bidi="ar-SA"/>
          <w:color w:val="111111"/>
          <w:sz w:val="28"/>
          <w:szCs w:val="28"/>
          <w:rtl/>
        </w:rPr>
        <w:t xml:space="preserve">شريف - 995؟ ه-</w:t>
      </w:r>
    </w:p>
    <w:p>
      <w:pPr>
        <w:pStyle w:val="BookText"/>
      </w:pPr>
      <w:r>
        <w:rPr>
          <w:rFonts w:ascii="Amiri" w:hAnsi="Amiri" w:eastAsia="Amiri" w:cs="Amiri"/>
          <w:lang w:bidi="ar-SA"/>
          <w:color w:val="111111"/>
          <w:sz w:val="28"/>
          <w:szCs w:val="28"/>
          <w:rtl/>
        </w:rPr>
        <w:t xml:space="preserve">النواقض لبنيان الروافض = نواقض</w:t>
      </w:r>
    </w:p>
    <w:p>
      <w:pPr>
        <w:pStyle w:val="BookText"/>
      </w:pPr>
      <w:r>
        <w:rPr>
          <w:rFonts w:ascii="IRNazanin" w:hAnsi="IRNazanin" w:eastAsia="IRNazanin" w:cs="IRNazanin"/>
          <w:lang w:bidi="fa-IR"/>
          <w:color w:val="111111"/>
          <w:sz w:val="28"/>
          <w:szCs w:val="28"/>
          <w:rtl/>
        </w:rPr>
        <w:t xml:space="preserve">الروافض، ج 16، ص 547.</w:t>
      </w:r>
    </w:p>
    <w:p>
      <w:pPr>
        <w:pStyle w:val="BookText"/>
      </w:pPr>
      <w:r>
        <w:rPr>
          <w:rFonts w:ascii="Amiri" w:hAnsi="Amiri" w:eastAsia="Amiri" w:cs="Amiri"/>
          <w:lang w:bidi="ar-SA"/>
          <w:color w:val="111111"/>
          <w:sz w:val="28"/>
          <w:szCs w:val="28"/>
          <w:rtl/>
        </w:rPr>
        <w:t xml:space="preserve">شريفي ذهبي ، ابوالقاسم -ميرزا بابا</w:t>
      </w:r>
    </w:p>
    <w:p>
      <w:pPr>
        <w:pStyle w:val="BookText"/>
      </w:pPr>
      <w:r>
        <w:rPr>
          <w:rFonts w:ascii="Amiri" w:hAnsi="Amiri" w:eastAsia="Amiri" w:cs="Amiri"/>
          <w:lang w:bidi="ar-SA"/>
          <w:color w:val="111111"/>
          <w:sz w:val="28"/>
          <w:szCs w:val="28"/>
          <w:rtl/>
        </w:rPr>
        <w:t xml:space="preserve">شيرازي ، ابوالقاسم بن عبدالنبي</w:t>
      </w:r>
    </w:p>
    <w:p>
      <w:pPr>
        <w:pStyle w:val="Heading2"/>
      </w:pPr>
      <w:bookmarkStart w:id="5168" w:name="_Toc4270"/>
      <w:r>
        <w:t>شريف يزدي، علي اكبر بن محمّد صالح</w:t>
      </w:r>
      <w:bookmarkEnd w:id="5168"/>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1 .بعض احكام الخنثي و ذي الرأسين</w:t>
      </w:r>
    </w:p>
    <w:p>
      <w:pPr>
        <w:pStyle w:val="BookText"/>
      </w:pPr>
      <w:r>
        <w:rPr>
          <w:rFonts w:ascii="Amiri" w:hAnsi="Amiri" w:eastAsia="Amiri" w:cs="Amiri"/>
          <w:lang w:bidi="ar-SA"/>
          <w:color w:val="111111"/>
          <w:sz w:val="28"/>
          <w:szCs w:val="28"/>
          <w:rtl/>
        </w:rPr>
        <w:t xml:space="preserve">(رسالة في)، ج 3، ص 355 .</w:t>
      </w:r>
    </w:p>
    <w:p>
      <w:pPr>
        <w:pStyle w:val="BookText"/>
      </w:pPr>
      <w:r>
        <w:rPr>
          <w:rFonts w:ascii="IRNazanin" w:hAnsi="IRNazanin" w:eastAsia="IRNazanin" w:cs="IRNazanin"/>
          <w:lang w:bidi="fa-IR"/>
          <w:color w:val="111111"/>
          <w:sz w:val="28"/>
          <w:szCs w:val="28"/>
          <w:rtl/>
        </w:rPr>
        <w:t xml:space="preserve">2 .تنقیح مسارع الدلائل (رسالة في)</w:t>
      </w:r>
    </w:p>
    <w:p>
      <w:pPr>
        <w:pStyle w:val="BookText"/>
      </w:pPr>
      <w:r>
        <w:rPr>
          <w:rFonts w:ascii="IRNazanin" w:hAnsi="IRNazanin" w:eastAsia="IRNazanin" w:cs="IRNazanin"/>
          <w:lang w:bidi="fa-IR"/>
          <w:color w:val="111111"/>
          <w:sz w:val="28"/>
          <w:szCs w:val="28"/>
          <w:rtl/>
        </w:rPr>
        <w:t xml:space="preserve">ج 5، ص 67 .</w:t>
      </w:r>
    </w:p>
    <w:p>
      <w:pPr>
        <w:pStyle w:val="BookText"/>
      </w:pPr>
      <w:r>
        <w:rPr>
          <w:rFonts w:ascii="Amiri" w:hAnsi="Amiri" w:eastAsia="Amiri" w:cs="Amiri"/>
          <w:lang w:bidi="ar-SA"/>
          <w:color w:val="111111"/>
          <w:sz w:val="28"/>
          <w:szCs w:val="28"/>
          <w:rtl/>
        </w:rPr>
        <w:t xml:space="preserve">شريفي ، سيف الدين علي -شريفي حائري</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شريفي شاهرودي ، حسين بن</w:t>
      </w:r>
    </w:p>
    <w:p>
      <w:pPr>
        <w:pStyle w:val="BookText"/>
      </w:pPr>
      <w:r>
        <w:rPr>
          <w:rFonts w:ascii="Amiri" w:hAnsi="Amiri" w:eastAsia="Amiri" w:cs="Amiri"/>
          <w:lang w:bidi="ar-SA"/>
          <w:color w:val="111111"/>
          <w:sz w:val="28"/>
          <w:szCs w:val="28"/>
          <w:rtl/>
        </w:rPr>
        <w:t xml:space="preserve">ابراهيم -شاهرودي ، حسين بن ابراهيم</w:t>
      </w:r>
    </w:p>
    <w:p>
      <w:pPr>
        <w:pStyle w:val="BookText"/>
      </w:pPr>
      <w:r>
        <w:rPr>
          <w:rFonts w:ascii="IRNazanin" w:hAnsi="IRNazanin" w:eastAsia="IRNazanin" w:cs="IRNazanin"/>
          <w:lang w:bidi="fa-IR"/>
          <w:color w:val="111111"/>
          <w:sz w:val="28"/>
          <w:szCs w:val="28"/>
          <w:rtl/>
        </w:rPr>
        <w:t xml:space="preserve">شريفي گرگاني شيرازي ، ميرزا مخدوم بن</w:t>
      </w:r>
    </w:p>
    <w:p>
      <w:pPr>
        <w:pStyle w:val="BookText"/>
      </w:pPr>
      <w:r>
        <w:rPr>
          <w:rFonts w:ascii="Amiri" w:hAnsi="Amiri" w:eastAsia="Amiri" w:cs="Amiri"/>
          <w:lang w:bidi="ar-SA"/>
          <w:color w:val="111111"/>
          <w:sz w:val="28"/>
          <w:szCs w:val="28"/>
          <w:rtl/>
        </w:rPr>
        <w:t xml:space="preserve">سيد شريف- شريفي حسيني، ميرزا مخدوم</w:t>
      </w:r>
    </w:p>
    <w:p>
      <w:pPr>
        <w:pStyle w:val="BookText"/>
      </w:pPr>
      <w:r>
        <w:rPr>
          <w:rFonts w:ascii="IRNazanin" w:hAnsi="IRNazanin" w:eastAsia="IRNazanin" w:cs="IRNazanin"/>
          <w:lang w:bidi="fa-IR"/>
          <w:color w:val="111111"/>
          <w:sz w:val="28"/>
          <w:szCs w:val="28"/>
          <w:rtl/>
        </w:rPr>
        <w:t xml:space="preserve">بن سید شریف</w:t>
      </w:r>
    </w:p>
    <w:p>
      <w:pPr>
        <w:pStyle w:val="BookText"/>
      </w:pPr>
      <w:r>
        <w:rPr>
          <w:rFonts w:ascii="Amiri" w:hAnsi="Amiri" w:eastAsia="Amiri" w:cs="Amiri"/>
          <w:lang w:bidi="ar-SA"/>
          <w:color w:val="111111"/>
          <w:sz w:val="28"/>
          <w:szCs w:val="28"/>
          <w:rtl/>
        </w:rPr>
        <w:t xml:space="preserve">ششتري ، ابوالحسن علي بن عبد الله -ششتري ، علي بن عبدالله</w:t>
      </w:r>
    </w:p>
    <w:p>
      <w:pPr>
        <w:pStyle w:val="Heading2"/>
      </w:pPr>
      <w:bookmarkStart w:id="5169" w:name="_Toc4271"/>
      <w:r>
        <w:t>ششتري ، علي بن عبدالله - 668 ه-</w:t>
      </w:r>
      <w:bookmarkEnd w:id="5169"/>
    </w:p>
    <w:p>
      <w:pPr>
        <w:pStyle w:val="BookText"/>
      </w:pPr>
      <w:r>
        <w:rPr>
          <w:rFonts w:ascii="Amiri" w:hAnsi="Amiri" w:eastAsia="Amiri" w:cs="Amiri"/>
          <w:lang w:bidi="ar-SA"/>
          <w:color w:val="111111"/>
          <w:sz w:val="28"/>
          <w:szCs w:val="28"/>
          <w:rtl/>
        </w:rPr>
        <w:t xml:space="preserve">ديوان الشستري، ج7، ص 671.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21" w:name="pg7742_70607"/>
    <w:bookmarkEnd w:id="621"/>
    <w:p>
      <w:pPr>
        <w:pStyle w:val="BookText"/>
      </w:pPr>
      <w:r>
        <w:rPr>
          <w:rFonts w:ascii="Amiri" w:hAnsi="Amiri" w:eastAsia="Amiri" w:cs="Amiri"/>
          <w:lang w:bidi="ar-SA"/>
          <w:color w:val="111111"/>
          <w:sz w:val="28"/>
          <w:szCs w:val="28"/>
          <w:rtl/>
        </w:rPr>
        <w:t xml:space="preserve">شطاح -روزبهان بقلي ، روزبهان بن ابي نصر</w:t>
      </w:r>
    </w:p>
    <w:p>
      <w:pPr>
        <w:pStyle w:val="BookText"/>
      </w:pPr>
      <w:r>
        <w:rPr>
          <w:rFonts w:ascii="Amiri" w:hAnsi="Amiri" w:eastAsia="Amiri" w:cs="Amiri"/>
          <w:lang w:bidi="ar-SA"/>
          <w:color w:val="111111"/>
          <w:sz w:val="28"/>
          <w:szCs w:val="28"/>
          <w:rtl/>
        </w:rPr>
        <w:t xml:space="preserve">شطاح فارس -روزبهان بقلي ، روزبهان بن</w:t>
      </w:r>
    </w:p>
    <w:p>
      <w:pPr>
        <w:pStyle w:val="BookText"/>
      </w:pPr>
      <w:r>
        <w:rPr>
          <w:rFonts w:ascii="Amiri" w:hAnsi="Amiri" w:eastAsia="Amiri" w:cs="Amiri"/>
          <w:lang w:bidi="ar-SA"/>
          <w:color w:val="111111"/>
          <w:sz w:val="28"/>
          <w:szCs w:val="28"/>
          <w:rtl/>
        </w:rPr>
        <w:t xml:space="preserve">ابي نصر</w:t>
      </w:r>
    </w:p>
    <w:p>
      <w:pPr>
        <w:pStyle w:val="BookText"/>
      </w:pPr>
      <w:r>
        <w:rPr>
          <w:rFonts w:ascii="Amiri" w:hAnsi="Amiri" w:eastAsia="Amiri" w:cs="Amiri"/>
          <w:lang w:bidi="ar-SA"/>
          <w:color w:val="111111"/>
          <w:sz w:val="28"/>
          <w:szCs w:val="28"/>
          <w:rtl/>
        </w:rPr>
        <w:t xml:space="preserve">شطنوفي ، علي بن يوسف -ابن جهضم ،</w:t>
      </w:r>
    </w:p>
    <w:p>
      <w:pPr>
        <w:pStyle w:val="BookText"/>
      </w:pPr>
      <w:r>
        <w:rPr>
          <w:rFonts w:ascii="Amiri" w:hAnsi="Amiri" w:eastAsia="Amiri" w:cs="Amiri"/>
          <w:lang w:bidi="ar-SA"/>
          <w:color w:val="111111"/>
          <w:sz w:val="28"/>
          <w:szCs w:val="28"/>
          <w:rtl/>
        </w:rPr>
        <w:t xml:space="preserve">علي بن يوسف</w:t>
      </w:r>
    </w:p>
    <w:p>
      <w:pPr>
        <w:pStyle w:val="BookText"/>
      </w:pPr>
      <w:r>
        <w:rPr>
          <w:rFonts w:ascii="Amiri" w:hAnsi="Amiri" w:eastAsia="Amiri" w:cs="Amiri"/>
          <w:lang w:bidi="ar-SA"/>
          <w:color w:val="111111"/>
          <w:sz w:val="28"/>
          <w:szCs w:val="28"/>
          <w:rtl/>
        </w:rPr>
        <w:t xml:space="preserve">شطوفي ، علي بن يوسف- ابن جهضم ،</w:t>
      </w:r>
    </w:p>
    <w:p>
      <w:pPr>
        <w:pStyle w:val="BookText"/>
      </w:pPr>
      <w:r>
        <w:rPr>
          <w:rFonts w:ascii="Amiri" w:hAnsi="Amiri" w:eastAsia="Amiri" w:cs="Amiri"/>
          <w:lang w:bidi="ar-SA"/>
          <w:color w:val="111111"/>
          <w:sz w:val="28"/>
          <w:szCs w:val="28"/>
          <w:rtl/>
        </w:rPr>
        <w:t xml:space="preserve">علي بن يوسف</w:t>
      </w:r>
    </w:p>
    <w:p>
      <w:pPr>
        <w:pStyle w:val="Heading2"/>
      </w:pPr>
      <w:bookmarkStart w:id="5170" w:name="_Toc4272"/>
      <w:r>
        <w:t>شطي ، حسن بن عمر، حسن بن عمر - 1274ه-</w:t>
      </w:r>
      <w:bookmarkEnd w:id="5170"/>
    </w:p>
    <w:p>
      <w:pPr>
        <w:pStyle w:val="BookText"/>
      </w:pPr>
      <w:r>
        <w:rPr>
          <w:rFonts w:ascii="Amiri" w:hAnsi="Amiri" w:eastAsia="Amiri" w:cs="Amiri"/>
          <w:lang w:bidi="ar-SA"/>
          <w:color w:val="111111"/>
          <w:sz w:val="28"/>
          <w:szCs w:val="28"/>
          <w:rtl/>
        </w:rPr>
        <w:t xml:space="preserve">بسط الراحة لتناول علم المساحة، ج3،</w:t>
      </w:r>
    </w:p>
    <w:p>
      <w:pPr>
        <w:pStyle w:val="BookText"/>
      </w:pPr>
      <w:r>
        <w:rPr>
          <w:rFonts w:ascii="IRNazanin" w:hAnsi="IRNazanin" w:eastAsia="IRNazanin" w:cs="IRNazanin"/>
          <w:lang w:bidi="fa-IR"/>
          <w:color w:val="111111"/>
          <w:sz w:val="28"/>
          <w:szCs w:val="28"/>
          <w:rtl/>
        </w:rPr>
        <w:t xml:space="preserve">ص 329.</w:t>
      </w:r>
    </w:p>
    <w:p>
      <w:pPr>
        <w:pStyle w:val="Heading2"/>
      </w:pPr>
      <w:bookmarkStart w:id="5171" w:name="_Toc4273"/>
      <w:r>
        <w:t>شطي ، محمّد بن حسن، 1248 - 1307</w:t>
      </w:r>
      <w:bookmarkEnd w:id="5171"/>
    </w:p>
    <w:p>
      <w:pPr>
        <w:pStyle w:val="BookText"/>
      </w:pPr>
      <w:r>
        <w:rPr>
          <w:rFonts w:ascii="Amiri" w:hAnsi="Amiri" w:eastAsia="Amiri" w:cs="Amiri"/>
          <w:lang w:bidi="ar-SA"/>
          <w:color w:val="111111"/>
          <w:sz w:val="28"/>
          <w:szCs w:val="28"/>
          <w:rtl/>
        </w:rPr>
        <w:t xml:space="preserve">مختصر الاحكام الشرعية، ج 14،</w:t>
      </w:r>
    </w:p>
    <w:p>
      <w:pPr>
        <w:pStyle w:val="BookText"/>
      </w:pPr>
      <w:r>
        <w:rPr>
          <w:rFonts w:ascii="IRNazanin" w:hAnsi="IRNazanin" w:eastAsia="IRNazanin" w:cs="IRNazanin"/>
          <w:lang w:bidi="fa-IR"/>
          <w:color w:val="111111"/>
          <w:sz w:val="28"/>
          <w:szCs w:val="28"/>
          <w:rtl/>
        </w:rPr>
        <w:t xml:space="preserve">ص170.</w:t>
      </w:r>
    </w:p>
    <w:p>
      <w:pPr>
        <w:pStyle w:val="BookText"/>
      </w:pPr>
      <w:r>
        <w:rPr>
          <w:rFonts w:ascii="Amiri" w:hAnsi="Amiri" w:eastAsia="Amiri" w:cs="Amiri"/>
          <w:lang w:bidi="ar-SA"/>
          <w:color w:val="111111"/>
          <w:sz w:val="28"/>
          <w:szCs w:val="28"/>
          <w:rtl/>
        </w:rPr>
        <w:t xml:space="preserve">شعبان بن شمس الدين آثاري- آثاري</w:t>
      </w:r>
    </w:p>
    <w:p>
      <w:pPr>
        <w:pStyle w:val="BookText"/>
      </w:pPr>
      <w:r>
        <w:rPr>
          <w:rFonts w:ascii="IRNazanin" w:hAnsi="IRNazanin" w:eastAsia="IRNazanin" w:cs="IRNazanin"/>
          <w:lang w:bidi="fa-IR"/>
          <w:color w:val="111111"/>
          <w:sz w:val="28"/>
          <w:szCs w:val="28"/>
          <w:rtl/>
        </w:rPr>
        <w:t xml:space="preserve">شعبان بن محمّد</w:t>
      </w:r>
    </w:p>
    <w:p>
      <w:pPr>
        <w:pStyle w:val="BookText"/>
      </w:pPr>
      <w:r>
        <w:rPr>
          <w:rFonts w:ascii="Amiri" w:hAnsi="Amiri" w:eastAsia="Amiri" w:cs="Amiri"/>
          <w:lang w:bidi="ar-SA"/>
          <w:color w:val="111111"/>
          <w:sz w:val="28"/>
          <w:szCs w:val="28"/>
          <w:rtl/>
        </w:rPr>
        <w:t xml:space="preserve">شعبان بن محمّد آثاري- آثاري ، شعبان</w:t>
      </w:r>
    </w:p>
    <w:p>
      <w:pPr>
        <w:pStyle w:val="BookText"/>
      </w:pPr>
      <w:r>
        <w:rPr>
          <w:rFonts w:ascii="Amiri" w:hAnsi="Amiri" w:eastAsia="Amiri" w:cs="Amiri"/>
          <w:lang w:bidi="ar-SA"/>
          <w:color w:val="111111"/>
          <w:sz w:val="28"/>
          <w:szCs w:val="28"/>
          <w:rtl/>
        </w:rPr>
        <w:t xml:space="preserve">بن محمّد</w:t>
      </w:r>
    </w:p>
    <w:p>
      <w:pPr>
        <w:pStyle w:val="Heading2"/>
      </w:pPr>
      <w:bookmarkStart w:id="5172" w:name="_Toc4274"/>
      <w:r>
        <w:t>شعراني ، عبدالوهاب بن احمد 898 -</w:t>
      </w:r>
      <w:bookmarkEnd w:id="5172"/>
    </w:p>
    <w:p>
      <w:pPr>
        <w:pStyle w:val="BookText"/>
      </w:pPr>
      <w:r>
        <w:rPr>
          <w:rFonts w:ascii="IRNazanin" w:hAnsi="IRNazanin" w:eastAsia="IRNazanin" w:cs="IRNazanin"/>
          <w:lang w:bidi="fa-IR"/>
          <w:color w:val="111111"/>
          <w:sz w:val="28"/>
          <w:szCs w:val="28"/>
          <w:rtl/>
        </w:rPr>
        <w:t xml:space="preserve">973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آداب التصوف، ج 1، ص33.</w:t>
      </w:r>
    </w:p>
    <w:p>
      <w:pPr>
        <w:pStyle w:val="BookText"/>
      </w:pPr>
      <w:r>
        <w:rPr>
          <w:rFonts w:ascii="Amiri" w:hAnsi="Amiri" w:eastAsia="Amiri" w:cs="Amiri"/>
          <w:lang w:bidi="ar-SA"/>
          <w:color w:val="111111"/>
          <w:sz w:val="28"/>
          <w:szCs w:val="28"/>
          <w:rtl/>
        </w:rPr>
        <w:t xml:space="preserve">2 .آداب المريد الصادق مع من يريد</w:t>
      </w:r>
    </w:p>
    <w:p>
      <w:pPr>
        <w:pStyle w:val="BookText"/>
      </w:pPr>
      <w:r>
        <w:rPr>
          <w:rFonts w:ascii="IRNazanin" w:hAnsi="IRNazanin" w:eastAsia="IRNazanin" w:cs="IRNazanin"/>
          <w:lang w:bidi="fa-IR"/>
          <w:color w:val="111111"/>
          <w:sz w:val="28"/>
          <w:szCs w:val="28"/>
          <w:rtl/>
        </w:rPr>
        <w:t xml:space="preserve">الخالق، ج 1، ص 55</w:t>
      </w:r>
    </w:p>
    <w:p>
      <w:pPr>
        <w:pStyle w:val="BookText"/>
      </w:pPr>
      <w:r>
        <w:rPr>
          <w:rFonts w:ascii="Amiri" w:hAnsi="Amiri" w:eastAsia="Amiri" w:cs="Amiri"/>
          <w:lang w:bidi="ar-SA"/>
          <w:color w:val="111111"/>
          <w:sz w:val="28"/>
          <w:szCs w:val="28"/>
          <w:rtl/>
        </w:rPr>
        <w:t xml:space="preserve">3 .الاجوبة المرضية عن ائمة الفقهاء و</w:t>
      </w:r>
    </w:p>
    <w:p>
      <w:pPr>
        <w:pStyle w:val="BookText"/>
      </w:pPr>
      <w:r>
        <w:rPr>
          <w:rFonts w:ascii="Amiri" w:hAnsi="Amiri" w:eastAsia="Amiri" w:cs="Amiri"/>
          <w:lang w:bidi="ar-SA"/>
          <w:color w:val="111111"/>
          <w:sz w:val="28"/>
          <w:szCs w:val="28"/>
          <w:rtl/>
        </w:rPr>
        <w:t xml:space="preserve">الصوفية، ج 1، ص330.</w:t>
      </w:r>
    </w:p>
    <w:p>
      <w:pPr>
        <w:pStyle w:val="BookText"/>
      </w:pPr>
      <w:r>
        <w:rPr>
          <w:rFonts w:ascii="Amiri" w:hAnsi="Amiri" w:eastAsia="Amiri" w:cs="Amiri"/>
          <w:lang w:bidi="ar-SA"/>
          <w:color w:val="111111"/>
          <w:sz w:val="28"/>
          <w:szCs w:val="28"/>
          <w:rtl/>
        </w:rPr>
        <w:t xml:space="preserve">4 .اسرار اركان الدين، ج 2 ص 163.</w:t>
      </w:r>
    </w:p>
    <w:p>
      <w:pPr>
        <w:pStyle w:val="BookText"/>
      </w:pPr>
      <w:r>
        <w:rPr>
          <w:rFonts w:ascii="Amiri" w:hAnsi="Amiri" w:eastAsia="Amiri" w:cs="Amiri"/>
          <w:lang w:bidi="ar-SA"/>
          <w:color w:val="111111"/>
          <w:sz w:val="28"/>
          <w:szCs w:val="28"/>
          <w:rtl/>
        </w:rPr>
        <w:t xml:space="preserve">5 .الانوار القدسية في معرفة آداب</w:t>
      </w:r>
    </w:p>
    <w:p>
      <w:pPr>
        <w:pStyle w:val="BookText"/>
      </w:pPr>
      <w:r>
        <w:rPr>
          <w:rFonts w:ascii="Amiri" w:hAnsi="Amiri" w:eastAsia="Amiri" w:cs="Amiri"/>
          <w:lang w:bidi="ar-SA"/>
          <w:color w:val="111111"/>
          <w:sz w:val="28"/>
          <w:szCs w:val="28"/>
          <w:rtl/>
        </w:rPr>
        <w:t xml:space="preserve">العبودية، ج3، ص13.</w:t>
      </w:r>
    </w:p>
    <w:p>
      <w:pPr>
        <w:pStyle w:val="BookText"/>
      </w:pPr>
      <w:r>
        <w:rPr>
          <w:rFonts w:ascii="Amiri" w:hAnsi="Amiri" w:eastAsia="Amiri" w:cs="Amiri"/>
          <w:lang w:bidi="ar-SA"/>
          <w:color w:val="111111"/>
          <w:sz w:val="28"/>
          <w:szCs w:val="28"/>
          <w:rtl/>
        </w:rPr>
        <w:t xml:space="preserve">6 .البحر المورود في المواثيق والعهود</w:t>
      </w:r>
    </w:p>
    <w:p>
      <w:pPr>
        <w:pStyle w:val="BookText"/>
      </w:pPr>
      <w:r>
        <w:rPr>
          <w:rFonts w:ascii="IRNazanin" w:hAnsi="IRNazanin" w:eastAsia="IRNazanin" w:cs="IRNazanin"/>
          <w:lang w:bidi="fa-IR"/>
          <w:color w:val="111111"/>
          <w:sz w:val="28"/>
          <w:szCs w:val="28"/>
          <w:rtl/>
        </w:rPr>
        <w:t xml:space="preserve">ج 3، ص 233</w:t>
      </w:r>
    </w:p>
    <w:p>
      <w:pPr>
        <w:pStyle w:val="BookText"/>
      </w:pPr>
      <w:r>
        <w:rPr>
          <w:rFonts w:ascii="Amiri" w:hAnsi="Amiri" w:eastAsia="Amiri" w:cs="Amiri"/>
          <w:lang w:bidi="ar-SA"/>
          <w:color w:val="111111"/>
          <w:sz w:val="28"/>
          <w:szCs w:val="28"/>
          <w:rtl/>
        </w:rPr>
        <w:t xml:space="preserve">7 .تحفة الاكياس في حسن الظن</w:t>
      </w:r>
    </w:p>
    <w:p>
      <w:pPr>
        <w:pStyle w:val="BookText"/>
      </w:pPr>
      <w:r>
        <w:rPr>
          <w:rFonts w:ascii="IRNazanin" w:hAnsi="IRNazanin" w:eastAsia="IRNazanin" w:cs="IRNazanin"/>
          <w:lang w:bidi="fa-IR"/>
          <w:color w:val="111111"/>
          <w:sz w:val="28"/>
          <w:szCs w:val="28"/>
          <w:rtl/>
        </w:rPr>
        <w:t xml:space="preserve">بالناس، ج 3، ص 807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التذكرة المفيدة (مختصر) = مختصر</w:t>
      </w:r>
    </w:p>
    <w:p>
      <w:pPr>
        <w:pStyle w:val="BookText"/>
      </w:pPr>
      <w:r>
        <w:rPr>
          <w:rFonts w:ascii="Amiri" w:hAnsi="Amiri" w:eastAsia="Amiri" w:cs="Amiri"/>
          <w:lang w:bidi="ar-SA"/>
          <w:color w:val="111111"/>
          <w:sz w:val="28"/>
          <w:szCs w:val="28"/>
          <w:rtl/>
        </w:rPr>
        <w:t xml:space="preserve">تذكرة السويدي، ج4، ص212</w:t>
      </w:r>
    </w:p>
    <w:p>
      <w:pPr>
        <w:pStyle w:val="BookText"/>
      </w:pPr>
      <w:r>
        <w:rPr>
          <w:rFonts w:ascii="Amiri" w:hAnsi="Amiri" w:eastAsia="Amiri" w:cs="Amiri"/>
          <w:lang w:bidi="ar-SA"/>
          <w:color w:val="111111"/>
          <w:sz w:val="28"/>
          <w:szCs w:val="28"/>
          <w:rtl/>
        </w:rPr>
        <w:t xml:space="preserve">9 .التسليك = رسالة التسليك، ج4،</w:t>
      </w:r>
    </w:p>
    <w:p>
      <w:pPr>
        <w:pStyle w:val="BookText"/>
      </w:pPr>
      <w:r>
        <w:rPr>
          <w:rFonts w:ascii="IRNazanin" w:hAnsi="IRNazanin" w:eastAsia="IRNazanin" w:cs="IRNazanin"/>
          <w:lang w:bidi="fa-IR"/>
          <w:color w:val="111111"/>
          <w:sz w:val="28"/>
          <w:szCs w:val="28"/>
          <w:rtl/>
        </w:rPr>
        <w:t xml:space="preserve">ص 344.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التصوف (رسالة في)، ج4، ص 430 .</w:t>
      </w:r>
    </w:p>
    <w:p>
      <w:pPr>
        <w:pStyle w:val="BookText"/>
      </w:pPr>
      <w:r>
        <w:rPr>
          <w:rFonts w:ascii="Amiri" w:hAnsi="Amiri" w:eastAsia="Amiri" w:cs="Amiri"/>
          <w:lang w:bidi="ar-SA"/>
          <w:color w:val="111111"/>
          <w:sz w:val="28"/>
          <w:szCs w:val="28"/>
          <w:rtl/>
        </w:rPr>
        <w:t xml:space="preserve">11 .تنبيه المغترين في القرن العاشر على ما خالفوا فيه سلفهم الطاهر</w:t>
      </w:r>
    </w:p>
    <w:p>
      <w:pPr>
        <w:pStyle w:val="BookText"/>
      </w:pPr>
      <w:r>
        <w:rPr>
          <w:rFonts w:ascii="IRNazanin" w:hAnsi="IRNazanin" w:eastAsia="IRNazanin" w:cs="IRNazanin"/>
          <w:lang w:bidi="fa-IR"/>
          <w:color w:val="111111"/>
          <w:sz w:val="28"/>
          <w:szCs w:val="28"/>
          <w:rtl/>
        </w:rPr>
        <w:t xml:space="preserve">ج 5، ص 41.</w:t>
      </w:r>
    </w:p>
    <w:p>
      <w:pPr>
        <w:pStyle w:val="BookText"/>
      </w:pPr>
      <w:r>
        <w:rPr>
          <w:rFonts w:ascii="IRNazanin" w:hAnsi="IRNazanin" w:eastAsia="IRNazanin" w:cs="IRNazanin"/>
          <w:lang w:bidi="fa-IR"/>
          <w:color w:val="111111"/>
          <w:sz w:val="28"/>
          <w:szCs w:val="28"/>
          <w:rtl/>
        </w:rPr>
        <w:t xml:space="preserve">12 .الجواهر والدرر، ج 5 ، ص 606.</w:t>
      </w:r>
    </w:p>
    <w:p>
      <w:pPr>
        <w:pStyle w:val="BookText"/>
      </w:pPr>
      <w:r>
        <w:rPr>
          <w:rFonts w:ascii="Amiri" w:hAnsi="Amiri" w:eastAsia="Amiri" w:cs="Amiri"/>
          <w:lang w:bidi="ar-SA"/>
          <w:color w:val="111111"/>
          <w:sz w:val="28"/>
          <w:szCs w:val="28"/>
          <w:rtl/>
        </w:rPr>
        <w:t xml:space="preserve">13 .الدرر المنثورة في بيان زبد العلوم</w:t>
      </w:r>
    </w:p>
    <w:p>
      <w:pPr>
        <w:pStyle w:val="BookText"/>
      </w:pPr>
      <w:r>
        <w:rPr>
          <w:rFonts w:ascii="Amiri" w:hAnsi="Amiri" w:eastAsia="Amiri" w:cs="Amiri"/>
          <w:lang w:bidi="ar-SA"/>
          <w:color w:val="111111"/>
          <w:sz w:val="28"/>
          <w:szCs w:val="28"/>
          <w:rtl/>
        </w:rPr>
        <w:t xml:space="preserve">المشهورة، ج 7، ص317.</w:t>
      </w:r>
    </w:p>
    <w:p>
      <w:pPr>
        <w:pStyle w:val="BookText"/>
      </w:pPr>
      <w:r>
        <w:rPr>
          <w:rFonts w:ascii="Amiri" w:hAnsi="Amiri" w:eastAsia="Amiri" w:cs="Amiri"/>
          <w:lang w:bidi="ar-SA"/>
          <w:color w:val="111111"/>
          <w:sz w:val="28"/>
          <w:szCs w:val="28"/>
          <w:rtl/>
        </w:rPr>
        <w:t xml:space="preserve">14 . الدرر و اللمع في الصدق والورع</w:t>
      </w:r>
    </w:p>
    <w:p>
      <w:pPr>
        <w:pStyle w:val="BookText"/>
      </w:pPr>
      <w:r>
        <w:rPr>
          <w:rFonts w:ascii="IRNazanin" w:hAnsi="IRNazanin" w:eastAsia="IRNazanin" w:cs="IRNazanin"/>
          <w:lang w:bidi="fa-IR"/>
          <w:color w:val="111111"/>
          <w:sz w:val="28"/>
          <w:szCs w:val="28"/>
          <w:rtl/>
        </w:rPr>
        <w:t xml:space="preserve">ج 7، ص321.</w:t>
      </w:r>
    </w:p>
    <w:p>
      <w:pPr>
        <w:pStyle w:val="BookText"/>
      </w:pPr>
      <w:r>
        <w:rPr>
          <w:rFonts w:ascii="Amiri" w:hAnsi="Amiri" w:eastAsia="Amiri" w:cs="Amiri"/>
          <w:lang w:bidi="ar-SA"/>
          <w:color w:val="111111"/>
          <w:sz w:val="28"/>
          <w:szCs w:val="28"/>
          <w:rtl/>
        </w:rPr>
        <w:t xml:space="preserve">15 .رد صوفية الزمان، ج8، ص88</w:t>
      </w:r>
    </w:p>
    <w:p>
      <w:pPr>
        <w:pStyle w:val="BookText"/>
      </w:pPr>
      <w:r>
        <w:rPr>
          <w:rFonts w:ascii="Amiri" w:hAnsi="Amiri" w:eastAsia="Amiri" w:cs="Amiri"/>
          <w:lang w:bidi="ar-SA"/>
          <w:color w:val="111111"/>
          <w:sz w:val="28"/>
          <w:szCs w:val="28"/>
          <w:rtl/>
        </w:rPr>
        <w:t xml:space="preserve">16 .الطبقات الكبرى، ج 10، ص788</w:t>
      </w:r>
    </w:p>
    <w:p>
      <w:pPr>
        <w:pStyle w:val="BookText"/>
      </w:pPr>
      <w:r>
        <w:rPr>
          <w:rFonts w:ascii="IRNazanin" w:hAnsi="IRNazanin" w:eastAsia="IRNazanin" w:cs="IRNazanin"/>
          <w:lang w:bidi="fa-IR"/>
          <w:color w:val="111111"/>
          <w:sz w:val="28"/>
          <w:szCs w:val="28"/>
          <w:rtl/>
        </w:rPr>
        <w:t xml:space="preserve">17 .طبقات الوسطى، ج 10، ص790.</w:t>
      </w:r>
    </w:p>
    <w:p>
      <w:pPr>
        <w:pStyle w:val="BookText"/>
      </w:pPr>
      <w:r>
        <w:rPr>
          <w:rFonts w:ascii="Amiri" w:hAnsi="Amiri" w:eastAsia="Amiri" w:cs="Amiri"/>
          <w:lang w:bidi="ar-SA"/>
          <w:color w:val="111111"/>
          <w:sz w:val="28"/>
          <w:szCs w:val="28"/>
          <w:rtl/>
        </w:rPr>
        <w:t xml:space="preserve">18 .العقائد (رسالة في)، ج 11، ص132.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الفتح المبين في ذكر جملة من</w:t>
      </w:r>
    </w:p>
    <w:p>
      <w:pPr>
        <w:pStyle w:val="BookText"/>
      </w:pPr>
      <w:r>
        <w:rPr>
          <w:rFonts w:ascii="Amiri" w:hAnsi="Amiri" w:eastAsia="Amiri" w:cs="Amiri"/>
          <w:lang w:bidi="ar-SA"/>
          <w:color w:val="111111"/>
          <w:sz w:val="28"/>
          <w:szCs w:val="28"/>
          <w:rtl/>
        </w:rPr>
        <w:t xml:space="preserve">اسرار الدين، ج 11، ص 670.</w:t>
      </w:r>
    </w:p>
    <w:p>
      <w:pPr>
        <w:pStyle w:val="BookText"/>
      </w:pPr>
      <w:r>
        <w:rPr>
          <w:rFonts w:ascii="Amiri" w:hAnsi="Amiri" w:eastAsia="Amiri" w:cs="Amiri"/>
          <w:lang w:bidi="ar-SA"/>
          <w:color w:val="111111"/>
          <w:sz w:val="28"/>
          <w:szCs w:val="28"/>
          <w:rtl/>
        </w:rPr>
        <w:t xml:space="preserve">20 .الفتح في تأويل ما صدر عن الكمل</w:t>
      </w:r>
    </w:p>
    <w:p>
      <w:pPr>
        <w:pStyle w:val="BookText"/>
      </w:pPr>
      <w:r>
        <w:rPr>
          <w:rFonts w:ascii="IRNazanin" w:hAnsi="IRNazanin" w:eastAsia="IRNazanin" w:cs="IRNazanin"/>
          <w:lang w:bidi="fa-IR"/>
          <w:color w:val="111111"/>
          <w:sz w:val="28"/>
          <w:szCs w:val="28"/>
          <w:rtl/>
        </w:rPr>
        <w:t xml:space="preserve">من الشطح، ج 11، ص 664.</w:t>
      </w:r>
    </w:p>
    <w:p>
      <w:pPr>
        <w:pStyle w:val="BookText"/>
      </w:pPr>
      <w:r>
        <w:rPr>
          <w:rFonts w:ascii="Amiri" w:hAnsi="Amiri" w:eastAsia="Amiri" w:cs="Amiri"/>
          <w:lang w:bidi="ar-SA"/>
          <w:color w:val="111111"/>
          <w:sz w:val="28"/>
          <w:szCs w:val="28"/>
          <w:rtl/>
        </w:rPr>
        <w:t xml:space="preserve">21 .القول المبين لدليل الخرقة و</w:t>
      </w:r>
    </w:p>
    <w:p>
      <w:pPr>
        <w:pStyle w:val="BookText"/>
      </w:pPr>
      <w:r>
        <w:rPr>
          <w:rFonts w:ascii="Amiri" w:hAnsi="Amiri" w:eastAsia="Amiri" w:cs="Amiri"/>
          <w:lang w:bidi="ar-SA"/>
          <w:color w:val="111111"/>
          <w:sz w:val="28"/>
          <w:szCs w:val="28"/>
          <w:rtl/>
        </w:rPr>
        <w:t xml:space="preserve">التلقين، ج 12، ص 856.</w:t>
      </w:r>
    </w:p>
    <w:p>
      <w:pPr>
        <w:pStyle w:val="BookText"/>
      </w:pPr>
      <w:r>
        <w:rPr>
          <w:rFonts w:ascii="Amiri" w:hAnsi="Amiri" w:eastAsia="Amiri" w:cs="Amiri"/>
          <w:lang w:bidi="ar-SA"/>
          <w:color w:val="111111"/>
          <w:sz w:val="28"/>
          <w:szCs w:val="28"/>
          <w:rtl/>
        </w:rPr>
        <w:t xml:space="preserve">22 .الكبريت الاحمر في بيان علوم الشيخ الأكبر، ج13، ص78.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22" w:name="pg7742_70608"/>
    <w:bookmarkEnd w:id="622"/>
    <w:p>
      <w:pPr>
        <w:pStyle w:val="BookText"/>
      </w:pPr>
      <w:r>
        <w:rPr>
          <w:rFonts w:ascii="Amiri" w:hAnsi="Amiri" w:eastAsia="Amiri" w:cs="Amiri"/>
          <w:lang w:bidi="ar-SA"/>
          <w:color w:val="111111"/>
          <w:sz w:val="28"/>
          <w:szCs w:val="28"/>
          <w:rtl/>
        </w:rPr>
        <w:t xml:space="preserve">23 .كشف الغمة، ج13، ص239.</w:t>
      </w:r>
    </w:p>
    <w:p>
      <w:pPr>
        <w:pStyle w:val="BookText"/>
      </w:pPr>
      <w:r>
        <w:rPr>
          <w:rFonts w:ascii="Amiri" w:hAnsi="Amiri" w:eastAsia="Amiri" w:cs="Amiri"/>
          <w:lang w:bidi="ar-SA"/>
          <w:color w:val="111111"/>
          <w:sz w:val="28"/>
          <w:szCs w:val="28"/>
          <w:rtl/>
        </w:rPr>
        <w:t xml:space="preserve">24 .لطائف المنن و الاخلاق في بيان التحدث بنعمة الله على الاطلاق</w:t>
      </w:r>
    </w:p>
    <w:p>
      <w:pPr>
        <w:pStyle w:val="BookText"/>
      </w:pPr>
      <w:r>
        <w:rPr>
          <w:rFonts w:ascii="IRNazanin" w:hAnsi="IRNazanin" w:eastAsia="IRNazanin" w:cs="IRNazanin"/>
          <w:lang w:bidi="fa-IR"/>
          <w:color w:val="111111"/>
          <w:sz w:val="28"/>
          <w:szCs w:val="28"/>
          <w:rtl/>
        </w:rPr>
        <w:t xml:space="preserve">ج 13، ص 583.</w:t>
      </w:r>
    </w:p>
    <w:p>
      <w:pPr>
        <w:pStyle w:val="BookText"/>
      </w:pPr>
      <w:r>
        <w:rPr>
          <w:rFonts w:ascii="Amiri" w:hAnsi="Amiri" w:eastAsia="Amiri" w:cs="Amiri"/>
          <w:lang w:bidi="ar-SA"/>
          <w:color w:val="111111"/>
          <w:sz w:val="28"/>
          <w:szCs w:val="28"/>
          <w:rtl/>
        </w:rPr>
        <w:t xml:space="preserve">25 .لواقح الانوار في طبقات سادة</w:t>
      </w:r>
    </w:p>
    <w:p>
      <w:pPr>
        <w:pStyle w:val="BookText"/>
      </w:pPr>
      <w:r>
        <w:rPr>
          <w:rFonts w:ascii="Amiri" w:hAnsi="Amiri" w:eastAsia="Amiri" w:cs="Amiri"/>
          <w:lang w:bidi="ar-SA"/>
          <w:color w:val="111111"/>
          <w:sz w:val="28"/>
          <w:szCs w:val="28"/>
          <w:rtl/>
        </w:rPr>
        <w:t xml:space="preserve">الاخيار، ج 13، ص 634.</w:t>
      </w:r>
    </w:p>
    <w:p>
      <w:pPr>
        <w:pStyle w:val="BookText"/>
      </w:pPr>
      <w:r>
        <w:rPr>
          <w:rFonts w:ascii="Amiri" w:hAnsi="Amiri" w:eastAsia="Amiri" w:cs="Amiri"/>
          <w:lang w:bidi="ar-SA"/>
          <w:color w:val="111111"/>
          <w:sz w:val="28"/>
          <w:szCs w:val="28"/>
          <w:rtl/>
        </w:rPr>
        <w:t xml:space="preserve">26 .لوامع الانوار القدسية في مناقب العلماء والصوفية، ج 13، ص 648.</w:t>
      </w:r>
    </w:p>
    <w:p>
      <w:pPr>
        <w:pStyle w:val="BookText"/>
      </w:pPr>
      <w:r>
        <w:rPr>
          <w:rFonts w:ascii="Amiri" w:hAnsi="Amiri" w:eastAsia="Amiri" w:cs="Amiri"/>
          <w:lang w:bidi="ar-SA"/>
          <w:color w:val="111111"/>
          <w:sz w:val="28"/>
          <w:szCs w:val="28"/>
          <w:rtl/>
        </w:rPr>
        <w:t xml:space="preserve">27 .مدارج السالكين إلى رسوم طريق</w:t>
      </w:r>
    </w:p>
    <w:p>
      <w:pPr>
        <w:pStyle w:val="BookText"/>
      </w:pPr>
      <w:r>
        <w:rPr>
          <w:rFonts w:ascii="Amiri" w:hAnsi="Amiri" w:eastAsia="Amiri" w:cs="Amiri"/>
          <w:lang w:bidi="ar-SA"/>
          <w:color w:val="111111"/>
          <w:sz w:val="28"/>
          <w:szCs w:val="28"/>
          <w:rtl/>
        </w:rPr>
        <w:t xml:space="preserve">العارفين، ج 14، ص 302</w:t>
      </w:r>
    </w:p>
    <w:p>
      <w:pPr>
        <w:pStyle w:val="BookText"/>
      </w:pPr>
      <w:r>
        <w:rPr>
          <w:rFonts w:ascii="Amiri" w:hAnsi="Amiri" w:eastAsia="Amiri" w:cs="Amiri"/>
          <w:lang w:bidi="ar-SA"/>
          <w:color w:val="111111"/>
          <w:sz w:val="28"/>
          <w:szCs w:val="28"/>
          <w:rtl/>
        </w:rPr>
        <w:t xml:space="preserve">28 .مشارق الانوار القدسية في بيان العهود المحمّدية، ج 14 ، ص 608 .</w:t>
      </w:r>
    </w:p>
    <w:p>
      <w:pPr>
        <w:pStyle w:val="BookText"/>
      </w:pPr>
      <w:r>
        <w:rPr>
          <w:rFonts w:ascii="Amiri" w:hAnsi="Amiri" w:eastAsia="Amiri" w:cs="Amiri"/>
          <w:lang w:bidi="ar-SA"/>
          <w:color w:val="111111"/>
          <w:sz w:val="28"/>
          <w:szCs w:val="28"/>
          <w:rtl/>
        </w:rPr>
        <w:t xml:space="preserve">29 .ملخص شرح جمع الجوامع للسبكي، ج 15، ص 458.</w:t>
      </w:r>
    </w:p>
    <w:p>
      <w:pPr>
        <w:pStyle w:val="BookText"/>
      </w:pPr>
      <w:r>
        <w:rPr>
          <w:rFonts w:ascii="Amiri" w:hAnsi="Amiri" w:eastAsia="Amiri" w:cs="Amiri"/>
          <w:lang w:bidi="ar-SA"/>
          <w:color w:val="111111"/>
          <w:sz w:val="28"/>
          <w:szCs w:val="28"/>
          <w:rtl/>
        </w:rPr>
        <w:t xml:space="preserve">30.ملخص مناقب البدوي، ج 15،</w:t>
      </w:r>
    </w:p>
    <w:p>
      <w:pPr>
        <w:pStyle w:val="BookText"/>
      </w:pPr>
      <w:r>
        <w:rPr>
          <w:rFonts w:ascii="IRNazanin" w:hAnsi="IRNazanin" w:eastAsia="IRNazanin" w:cs="IRNazanin"/>
          <w:lang w:bidi="fa-IR"/>
          <w:color w:val="111111"/>
          <w:sz w:val="28"/>
          <w:szCs w:val="28"/>
          <w:rtl/>
        </w:rPr>
        <w:t xml:space="preserve">ص 463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المنح السنية على الوصية المتبولية</w:t>
      </w:r>
    </w:p>
    <w:p>
      <w:pPr>
        <w:pStyle w:val="BookText"/>
      </w:pPr>
      <w:r>
        <w:rPr>
          <w:rFonts w:ascii="IRNazanin" w:hAnsi="IRNazanin" w:eastAsia="IRNazanin" w:cs="IRNazanin"/>
          <w:lang w:bidi="fa-IR"/>
          <w:color w:val="111111"/>
          <w:sz w:val="28"/>
          <w:szCs w:val="28"/>
          <w:rtl/>
        </w:rPr>
        <w:t xml:space="preserve">ج 15 ، ص 671 .</w:t>
      </w:r>
    </w:p>
    <w:p>
      <w:pPr>
        <w:pStyle w:val="BookText"/>
      </w:pPr>
      <w:r>
        <w:rPr>
          <w:rFonts w:ascii="Amiri" w:hAnsi="Amiri" w:eastAsia="Amiri" w:cs="Amiri"/>
          <w:lang w:bidi="ar-SA"/>
          <w:color w:val="111111"/>
          <w:sz w:val="28"/>
          <w:szCs w:val="28"/>
          <w:rtl/>
        </w:rPr>
        <w:t xml:space="preserve">32.ميزان الأعمال، ج 16، ص 67 .</w:t>
      </w:r>
    </w:p>
    <w:p>
      <w:pPr>
        <w:pStyle w:val="BookText"/>
      </w:pPr>
      <w:r>
        <w:rPr>
          <w:rFonts w:ascii="Amiri" w:hAnsi="Amiri" w:eastAsia="Amiri" w:cs="Amiri"/>
          <w:lang w:bidi="ar-SA"/>
          <w:color w:val="111111"/>
          <w:sz w:val="28"/>
          <w:szCs w:val="28"/>
          <w:rtl/>
        </w:rPr>
        <w:t xml:space="preserve">33 .الميزان الكبرى الشعرانية المدخلة</w:t>
      </w:r>
    </w:p>
    <w:p>
      <w:pPr>
        <w:pStyle w:val="BookText"/>
      </w:pPr>
      <w:r>
        <w:rPr>
          <w:rFonts w:ascii="Amiri" w:hAnsi="Amiri" w:eastAsia="Amiri" w:cs="Amiri"/>
          <w:lang w:bidi="ar-SA"/>
          <w:color w:val="111111"/>
          <w:sz w:val="28"/>
          <w:szCs w:val="28"/>
          <w:rtl/>
        </w:rPr>
        <w:t xml:space="preserve">لجميع اقوال الائمة المجتهدين و تعديلهم و مقلديهم في الشريعة المحمّدية، ج 16، ص 72.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النفحات القدسية في بيان قواعد</w:t>
      </w:r>
    </w:p>
    <w:p>
      <w:pPr>
        <w:pStyle w:val="BookText"/>
      </w:pPr>
      <w:r>
        <w:rPr>
          <w:rFonts w:ascii="Amiri" w:hAnsi="Amiri" w:eastAsia="Amiri" w:cs="Amiri"/>
          <w:lang w:bidi="ar-SA"/>
          <w:color w:val="111111"/>
          <w:sz w:val="28"/>
          <w:szCs w:val="28"/>
          <w:rtl/>
        </w:rPr>
        <w:t xml:space="preserve">الصوفية، ج 16، ص 383.</w:t>
      </w:r>
    </w:p>
    <w:p>
      <w:pPr>
        <w:pStyle w:val="BookText"/>
      </w:pPr>
      <w:r>
        <w:rPr>
          <w:rFonts w:ascii="Amiri" w:hAnsi="Amiri" w:eastAsia="Amiri" w:cs="Amiri"/>
          <w:lang w:bidi="ar-SA"/>
          <w:color w:val="111111"/>
          <w:sz w:val="28"/>
          <w:szCs w:val="28"/>
          <w:rtl/>
        </w:rPr>
        <w:t xml:space="preserve">35 .ورد الاقطاب و المكملين، ج 16،</w:t>
      </w:r>
    </w:p>
    <w:p>
      <w:pPr>
        <w:pStyle w:val="BookText"/>
      </w:pPr>
      <w:r>
        <w:rPr>
          <w:rFonts w:ascii="IRNazanin" w:hAnsi="IRNazanin" w:eastAsia="IRNazanin" w:cs="IRNazanin"/>
          <w:lang w:bidi="fa-IR"/>
          <w:color w:val="111111"/>
          <w:sz w:val="28"/>
          <w:szCs w:val="28"/>
          <w:rtl/>
        </w:rPr>
        <w:t xml:space="preserve">ص 760 .</w:t>
      </w:r>
    </w:p>
    <w:p>
      <w:pPr>
        <w:pStyle w:val="BookText"/>
      </w:pPr>
      <w:r>
        <w:rPr>
          <w:rFonts w:ascii="Amiri" w:hAnsi="Amiri" w:eastAsia="Amiri" w:cs="Amiri"/>
          <w:lang w:bidi="ar-SA"/>
          <w:color w:val="111111"/>
          <w:sz w:val="28"/>
          <w:szCs w:val="28"/>
          <w:rtl/>
        </w:rPr>
        <w:t xml:space="preserve">36 .اليواقيت والجواهر في بيان عقائد</w:t>
      </w:r>
    </w:p>
    <w:p>
      <w:pPr>
        <w:pStyle w:val="BookText"/>
      </w:pPr>
      <w:r>
        <w:rPr>
          <w:rFonts w:ascii="Amiri" w:hAnsi="Amiri" w:eastAsia="Amiri" w:cs="Amiri"/>
          <w:lang w:bidi="ar-SA"/>
          <w:color w:val="111111"/>
          <w:sz w:val="28"/>
          <w:szCs w:val="28"/>
          <w:rtl/>
        </w:rPr>
        <w:t xml:space="preserve">الاكابر، ج 16، ص 905.</w:t>
      </w:r>
    </w:p>
    <w:p>
      <w:pPr>
        <w:pStyle w:val="BookText"/>
      </w:pPr>
      <w:r>
        <w:rPr>
          <w:rFonts w:ascii="Amiri" w:hAnsi="Amiri" w:eastAsia="Amiri" w:cs="Amiri"/>
          <w:lang w:bidi="ar-SA"/>
          <w:color w:val="111111"/>
          <w:sz w:val="28"/>
          <w:szCs w:val="28"/>
          <w:rtl/>
        </w:rPr>
        <w:t xml:space="preserve">شعراني ، علي بن احمد -نجاري ، علي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شعراوي ، عبد الوهاب بن احمد- شعراني ، عبد الوهاب بن احمد</w:t>
      </w:r>
    </w:p>
    <w:p>
      <w:pPr>
        <w:pStyle w:val="BookText"/>
      </w:pPr>
      <w:r>
        <w:rPr>
          <w:rFonts w:ascii="IRNazanin" w:hAnsi="IRNazanin" w:eastAsia="IRNazanin" w:cs="IRNazanin"/>
          <w:lang w:bidi="fa-IR"/>
          <w:color w:val="111111"/>
          <w:sz w:val="28"/>
          <w:szCs w:val="28"/>
          <w:rtl/>
        </w:rPr>
        <w:t xml:space="preserve">شعري ، طاهر -دیباچه نگار اصفهاني ،</w:t>
      </w:r>
    </w:p>
    <w:p>
      <w:pPr>
        <w:pStyle w:val="BookText"/>
      </w:pPr>
      <w:r>
        <w:rPr>
          <w:rFonts w:ascii="Amiri" w:hAnsi="Amiri" w:eastAsia="Amiri" w:cs="Amiri"/>
          <w:lang w:bidi="ar-SA"/>
          <w:color w:val="111111"/>
          <w:sz w:val="28"/>
          <w:szCs w:val="28"/>
          <w:rtl/>
        </w:rPr>
        <w:t xml:space="preserve">طاهر بن زين العابدين</w:t>
      </w:r>
    </w:p>
    <w:p>
      <w:pPr>
        <w:pStyle w:val="Heading2"/>
      </w:pPr>
      <w:bookmarkStart w:id="5173" w:name="_Toc4275"/>
      <w:r>
        <w:t>شعسي ، محمّد بن محمّد</w:t>
      </w:r>
      <w:bookmarkEnd w:id="5173"/>
    </w:p>
    <w:p>
      <w:pPr>
        <w:pStyle w:val="BookText"/>
      </w:pPr>
      <w:r>
        <w:rPr>
          <w:rFonts w:ascii="Amiri" w:hAnsi="Amiri" w:eastAsia="Amiri" w:cs="Amiri"/>
          <w:lang w:bidi="ar-SA"/>
          <w:color w:val="111111"/>
          <w:sz w:val="28"/>
          <w:szCs w:val="28"/>
          <w:rtl/>
        </w:rPr>
        <w:t xml:space="preserve">الانوار البهية في شرح الفرائض</w:t>
      </w:r>
    </w:p>
    <w:p>
      <w:pPr>
        <w:pStyle w:val="BookText"/>
      </w:pPr>
      <w:r>
        <w:rPr>
          <w:rFonts w:ascii="Amiri" w:hAnsi="Amiri" w:eastAsia="Amiri" w:cs="Amiri"/>
          <w:lang w:bidi="ar-SA"/>
          <w:color w:val="111111"/>
          <w:sz w:val="28"/>
          <w:szCs w:val="28"/>
          <w:rtl/>
        </w:rPr>
        <w:t xml:space="preserve">الاشنهية، ج 2، ص 844.</w:t>
      </w:r>
    </w:p>
    <w:p>
      <w:pPr>
        <w:pStyle w:val="BookText"/>
      </w:pPr>
      <w:r>
        <w:rPr>
          <w:rFonts w:ascii="Amiri" w:hAnsi="Amiri" w:eastAsia="Amiri" w:cs="Amiri"/>
          <w:lang w:bidi="ar-SA"/>
          <w:color w:val="111111"/>
          <w:sz w:val="28"/>
          <w:szCs w:val="28"/>
          <w:rtl/>
        </w:rPr>
        <w:t xml:space="preserve">شعله موصلي - موصلي ، محمّد بن احمد</w:t>
      </w:r>
    </w:p>
    <w:p>
      <w:pPr>
        <w:pStyle w:val="BookText"/>
      </w:pPr>
      <w:r>
        <w:rPr>
          <w:rFonts w:ascii="Amiri" w:hAnsi="Amiri" w:eastAsia="Amiri" w:cs="Amiri"/>
          <w:lang w:bidi="ar-SA"/>
          <w:color w:val="111111"/>
          <w:sz w:val="28"/>
          <w:szCs w:val="28"/>
          <w:rtl/>
        </w:rPr>
        <w:t xml:space="preserve">شعيب بن حسين اندلسي- ابومدين مغربي</w:t>
      </w:r>
    </w:p>
    <w:p>
      <w:pPr>
        <w:pStyle w:val="BookText"/>
      </w:pPr>
      <w:r>
        <w:rPr>
          <w:rFonts w:ascii="IRNazanin" w:hAnsi="IRNazanin" w:eastAsia="IRNazanin" w:cs="IRNazanin"/>
          <w:lang w:bidi="fa-IR"/>
          <w:color w:val="111111"/>
          <w:sz w:val="28"/>
          <w:szCs w:val="28"/>
          <w:rtl/>
        </w:rPr>
        <w:t xml:space="preserve">، شعیب بن حسن</w:t>
      </w:r>
    </w:p>
    <w:p>
      <w:pPr>
        <w:pStyle w:val="Heading2"/>
      </w:pPr>
      <w:bookmarkStart w:id="5174" w:name="_Toc4276"/>
      <w:r>
        <w:t>شعيبي اسفرايني ، محمّد بن زنگي</w:t>
      </w:r>
      <w:bookmarkEnd w:id="5174"/>
    </w:p>
    <w:p>
      <w:pPr>
        <w:pStyle w:val="BookText"/>
      </w:pPr>
      <w:r>
        <w:rPr>
          <w:rFonts w:ascii="IRNazanin" w:hAnsi="IRNazanin" w:eastAsia="IRNazanin" w:cs="IRNazanin"/>
          <w:lang w:bidi="fa-IR"/>
          <w:color w:val="111111"/>
          <w:sz w:val="28"/>
          <w:szCs w:val="28"/>
          <w:rtl/>
        </w:rPr>
        <w:t xml:space="preserve">747 ه-</w:t>
      </w:r>
    </w:p>
    <w:p>
      <w:pPr>
        <w:pStyle w:val="BookText"/>
      </w:pPr>
      <w:r>
        <w:rPr>
          <w:rFonts w:ascii="Amiri" w:hAnsi="Amiri" w:eastAsia="Amiri" w:cs="Amiri"/>
          <w:lang w:bidi="ar-SA"/>
          <w:color w:val="111111"/>
          <w:sz w:val="28"/>
          <w:szCs w:val="28"/>
          <w:rtl/>
        </w:rPr>
        <w:t xml:space="preserve">1 .نهاية العظمى في شرح الغاية</w:t>
      </w:r>
    </w:p>
    <w:p>
      <w:pPr>
        <w:pStyle w:val="BookText"/>
      </w:pPr>
      <w:r>
        <w:rPr>
          <w:rFonts w:ascii="Amiri" w:hAnsi="Amiri" w:eastAsia="Amiri" w:cs="Amiri"/>
          <w:lang w:bidi="ar-SA"/>
          <w:color w:val="111111"/>
          <w:sz w:val="28"/>
          <w:szCs w:val="28"/>
          <w:rtl/>
        </w:rPr>
        <w:t xml:space="preserve">القصوي، ج 16، ص 496.</w:t>
      </w:r>
    </w:p>
    <w:p>
      <w:pPr>
        <w:pStyle w:val="BookText"/>
      </w:pPr>
      <w:r>
        <w:rPr>
          <w:rFonts w:ascii="Amiri" w:hAnsi="Amiri" w:eastAsia="Amiri" w:cs="Amiri"/>
          <w:lang w:bidi="ar-SA"/>
          <w:color w:val="111111"/>
          <w:sz w:val="28"/>
          <w:szCs w:val="28"/>
          <w:rtl/>
        </w:rPr>
        <w:t xml:space="preserve">2 .ينابيع الأحكام في معرفة الحلال و</w:t>
      </w:r>
    </w:p>
    <w:p>
      <w:pPr>
        <w:pStyle w:val="BookText"/>
      </w:pPr>
      <w:r>
        <w:rPr>
          <w:rFonts w:ascii="IRNazanin" w:hAnsi="IRNazanin" w:eastAsia="IRNazanin" w:cs="IRNazanin"/>
          <w:lang w:bidi="fa-IR"/>
          <w:color w:val="111111"/>
          <w:sz w:val="28"/>
          <w:szCs w:val="28"/>
          <w:rtl/>
        </w:rPr>
        <w:t xml:space="preserve">الحرام، ج، 16، ص 900.</w:t>
      </w:r>
    </w:p>
    <w:p>
      <w:pPr>
        <w:pStyle w:val="BookText"/>
      </w:pPr>
      <w:r>
        <w:rPr>
          <w:rFonts w:ascii="Amiri" w:hAnsi="Amiri" w:eastAsia="Amiri" w:cs="Amiri"/>
          <w:lang w:bidi="ar-SA"/>
          <w:color w:val="111111"/>
          <w:sz w:val="28"/>
          <w:szCs w:val="28"/>
          <w:rtl/>
        </w:rPr>
        <w:t xml:space="preserve">شعيبي ، محمّد شريف بن احمد -شعيبي</w:t>
      </w:r>
    </w:p>
    <w:p>
      <w:pPr>
        <w:pStyle w:val="BookText"/>
      </w:pPr>
      <w:r>
        <w:rPr>
          <w:rFonts w:ascii="IRNazanin" w:hAnsi="IRNazanin" w:eastAsia="IRNazanin" w:cs="IRNazanin"/>
          <w:lang w:bidi="fa-IR"/>
          <w:color w:val="111111"/>
          <w:sz w:val="28"/>
          <w:szCs w:val="28"/>
          <w:rtl/>
        </w:rPr>
        <w:t xml:space="preserve">گيلاني ، محمّد شريف بن احمد</w:t>
      </w:r>
    </w:p>
    <w:p>
      <w:pPr>
        <w:pStyle w:val="BookText"/>
      </w:pPr>
      <w:r>
        <w:rPr>
          <w:rFonts w:ascii="IRNazanin" w:hAnsi="IRNazanin" w:eastAsia="IRNazanin" w:cs="IRNazanin"/>
          <w:lang w:bidi="fa-IR"/>
          <w:color w:val="111111"/>
          <w:sz w:val="28"/>
          <w:szCs w:val="28"/>
          <w:rtl/>
        </w:rPr>
        <w:t xml:space="preserve">7ه-</w:t>
      </w:r>
    </w:p>
    <w:p>
      <w:pPr>
        <w:pStyle w:val="Heading2"/>
      </w:pPr>
      <w:bookmarkStart w:id="5175" w:name="_Toc4277"/>
      <w:r>
        <w:t>شعيري سبزواري، محمّد بن محمّد ، قرن</w:t>
      </w:r>
      <w:bookmarkEnd w:id="5175"/>
    </w:p>
    <w:p>
      <w:pPr>
        <w:pStyle w:val="BookText"/>
      </w:pPr>
      <w:r>
        <w:rPr>
          <w:rFonts w:ascii="Amiri" w:hAnsi="Amiri" w:eastAsia="Amiri" w:cs="Amiri"/>
          <w:lang w:bidi="ar-SA"/>
          <w:color w:val="111111"/>
          <w:sz w:val="28"/>
          <w:szCs w:val="28"/>
          <w:rtl/>
        </w:rPr>
        <w:t xml:space="preserve">جامع الاخبار = معارج اليقين في اصول الدين = معارج اليقين في اصول الدين لمن اراد التقوى = معارج التقى</w:t>
      </w:r>
    </w:p>
    <w:p>
      <w:pPr>
        <w:pStyle w:val="BookText"/>
      </w:pPr>
      <w:r>
        <w:rPr>
          <w:rFonts w:ascii="Amiri" w:hAnsi="Amiri" w:eastAsia="Amiri" w:cs="Amiri"/>
          <w:lang w:bidi="ar-SA"/>
          <w:color w:val="111111"/>
          <w:sz w:val="28"/>
          <w:szCs w:val="28"/>
          <w:rtl/>
        </w:rPr>
        <w:t xml:space="preserve">لمن اراد كمال التقوى، ج 5، ص 243.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23" w:name="pg7742_70609"/>
    <w:bookmarkEnd w:id="623"/>
    <w:p>
      <w:pPr>
        <w:pStyle w:val="BookText"/>
      </w:pPr>
      <w:r>
        <w:rPr>
          <w:rFonts w:ascii="Amiri" w:hAnsi="Amiri" w:eastAsia="Amiri" w:cs="Amiri"/>
          <w:lang w:bidi="ar-SA"/>
          <w:color w:val="111111"/>
          <w:sz w:val="28"/>
          <w:szCs w:val="28"/>
          <w:rtl/>
        </w:rPr>
        <w:t xml:space="preserve">شعيري ، محمّد بن محمّد- شعيري</w:t>
      </w:r>
    </w:p>
    <w:p>
      <w:pPr>
        <w:pStyle w:val="BookText"/>
      </w:pPr>
      <w:r>
        <w:rPr>
          <w:rFonts w:ascii="Amiri" w:hAnsi="Amiri" w:eastAsia="Amiri" w:cs="Amiri"/>
          <w:lang w:bidi="ar-SA"/>
          <w:color w:val="111111"/>
          <w:sz w:val="28"/>
          <w:szCs w:val="28"/>
          <w:rtl/>
        </w:rPr>
        <w:t xml:space="preserve">سبزواري ، محمّد بن محمّد</w:t>
      </w:r>
    </w:p>
    <w:p>
      <w:pPr>
        <w:pStyle w:val="BookText"/>
      </w:pPr>
      <w:r>
        <w:rPr>
          <w:rFonts w:ascii="Amiri" w:hAnsi="Amiri" w:eastAsia="Amiri" w:cs="Amiri"/>
          <w:lang w:bidi="ar-SA"/>
          <w:color w:val="111111"/>
          <w:sz w:val="28"/>
          <w:szCs w:val="28"/>
          <w:rtl/>
        </w:rPr>
        <w:t xml:space="preserve">شعيف ، ابوالقاسم بن محمّد- شقيقي</w:t>
      </w:r>
    </w:p>
    <w:p>
      <w:pPr>
        <w:pStyle w:val="BookText"/>
      </w:pPr>
      <w:r>
        <w:rPr>
          <w:rFonts w:ascii="Amiri" w:hAnsi="Amiri" w:eastAsia="Amiri" w:cs="Amiri"/>
          <w:lang w:bidi="ar-SA"/>
          <w:color w:val="111111"/>
          <w:sz w:val="28"/>
          <w:szCs w:val="28"/>
          <w:rtl/>
        </w:rPr>
        <w:t xml:space="preserve">يمني ، ابوالقاسم بن محمّد</w:t>
      </w:r>
    </w:p>
    <w:p>
      <w:pPr>
        <w:pStyle w:val="BookText"/>
      </w:pPr>
      <w:r>
        <w:rPr>
          <w:rFonts w:ascii="Amiri" w:hAnsi="Amiri" w:eastAsia="Amiri" w:cs="Amiri"/>
          <w:lang w:bidi="ar-SA"/>
          <w:color w:val="111111"/>
          <w:sz w:val="28"/>
          <w:szCs w:val="28"/>
          <w:rtl/>
        </w:rPr>
        <w:t xml:space="preserve">شغدري، اسماعيل بن ابي بكر -ابن مقري</w:t>
      </w:r>
    </w:p>
    <w:p>
      <w:pPr>
        <w:pStyle w:val="BookText"/>
      </w:pPr>
      <w:r>
        <w:rPr>
          <w:rFonts w:ascii="Amiri" w:hAnsi="Amiri" w:eastAsia="Amiri" w:cs="Amiri"/>
          <w:lang w:bidi="ar-SA"/>
          <w:color w:val="111111"/>
          <w:sz w:val="28"/>
          <w:szCs w:val="28"/>
          <w:rtl/>
        </w:rPr>
        <w:t xml:space="preserve">، اسماعيل بن ابي بكر</w:t>
      </w:r>
    </w:p>
    <w:p>
      <w:pPr>
        <w:pStyle w:val="Heading2"/>
      </w:pPr>
      <w:bookmarkStart w:id="5176" w:name="_Toc4278"/>
      <w:r>
        <w:t>شفائي ، مظفر بن محمّد - 963 ه-</w:t>
      </w:r>
      <w:bookmarkEnd w:id="5176"/>
    </w:p>
    <w:p>
      <w:pPr>
        <w:pStyle w:val="BookText"/>
      </w:pPr>
      <w:r>
        <w:rPr>
          <w:rFonts w:ascii="Amiri" w:hAnsi="Amiri" w:eastAsia="Amiri" w:cs="Amiri"/>
          <w:lang w:bidi="ar-SA"/>
          <w:color w:val="111111"/>
          <w:sz w:val="28"/>
          <w:szCs w:val="28"/>
          <w:rtl/>
        </w:rPr>
        <w:t xml:space="preserve">1 .خلاصه شفائي - خلاصة الشفاء</w:t>
      </w:r>
    </w:p>
    <w:p>
      <w:pPr>
        <w:pStyle w:val="BookText"/>
      </w:pPr>
      <w:r>
        <w:rPr>
          <w:rFonts w:ascii="IRNazanin" w:hAnsi="IRNazanin" w:eastAsia="IRNazanin" w:cs="IRNazanin"/>
          <w:lang w:bidi="fa-IR"/>
          <w:color w:val="111111"/>
          <w:sz w:val="28"/>
          <w:szCs w:val="28"/>
          <w:rtl/>
        </w:rPr>
        <w:t xml:space="preserve">ج 7، ص 114.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زاد المسافر، ج8، ص 528.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قرابادين شفائي = مركبات شفائي = قرابادین مظفري = طب شفائي ج 12، ص 556.</w:t>
      </w:r>
    </w:p>
    <w:p>
      <w:pPr>
        <w:pStyle w:val="Heading2"/>
      </w:pPr>
      <w:bookmarkStart w:id="5177" w:name="_Toc4279"/>
      <w:r>
        <w:t>شفايي اصفهاني ، حسن بن محمّد حسين</w:t>
      </w:r>
      <w:bookmarkEnd w:id="5177"/>
    </w:p>
    <w:p>
      <w:pPr>
        <w:pStyle w:val="BookText"/>
      </w:pPr>
      <w:r>
        <w:rPr>
          <w:rFonts w:ascii="IRNazanin" w:hAnsi="IRNazanin" w:eastAsia="IRNazanin" w:cs="IRNazanin"/>
          <w:lang w:bidi="fa-IR"/>
          <w:color w:val="111111"/>
          <w:sz w:val="28"/>
          <w:szCs w:val="28"/>
          <w:rtl/>
        </w:rPr>
        <w:t xml:space="preserve">966 - 1037 ه-</w:t>
      </w:r>
    </w:p>
    <w:p>
      <w:pPr>
        <w:pStyle w:val="BookText"/>
      </w:pPr>
      <w:r>
        <w:rPr>
          <w:rFonts w:ascii="Amiri" w:hAnsi="Amiri" w:eastAsia="Amiri" w:cs="Amiri"/>
          <w:lang w:bidi="ar-SA"/>
          <w:color w:val="111111"/>
          <w:sz w:val="28"/>
          <w:szCs w:val="28"/>
          <w:rtl/>
        </w:rPr>
        <w:t xml:space="preserve">1 .ديوان شفائي اصفهاني، ج7، ص 672 .</w:t>
      </w:r>
    </w:p>
    <w:p>
      <w:pPr>
        <w:pStyle w:val="BookText"/>
      </w:pPr>
      <w:r>
        <w:rPr>
          <w:rFonts w:ascii="IRNazanin" w:hAnsi="IRNazanin" w:eastAsia="IRNazanin" w:cs="IRNazanin"/>
          <w:lang w:bidi="fa-IR"/>
          <w:color w:val="111111"/>
          <w:sz w:val="28"/>
          <w:szCs w:val="28"/>
          <w:rtl/>
        </w:rPr>
        <w:t xml:space="preserve">2 .نمکدان ،حقیقت ج 16، ص 477.</w:t>
      </w:r>
    </w:p>
    <w:p>
      <w:pPr>
        <w:pStyle w:val="BookText"/>
      </w:pPr>
      <w:r>
        <w:rPr>
          <w:rFonts w:ascii="Amiri" w:hAnsi="Amiri" w:eastAsia="Amiri" w:cs="Amiri"/>
          <w:lang w:bidi="ar-SA"/>
          <w:color w:val="111111"/>
          <w:sz w:val="28"/>
          <w:szCs w:val="28"/>
          <w:rtl/>
        </w:rPr>
        <w:t xml:space="preserve">شفايي اصفهاني ، مظفر بن محمّد- شفائي</w:t>
      </w:r>
    </w:p>
    <w:p>
      <w:pPr>
        <w:pStyle w:val="BookText"/>
      </w:pPr>
      <w:r>
        <w:rPr>
          <w:rFonts w:ascii="IRNazanin" w:hAnsi="IRNazanin" w:eastAsia="IRNazanin" w:cs="IRNazanin"/>
          <w:lang w:bidi="fa-IR"/>
          <w:color w:val="111111"/>
          <w:sz w:val="28"/>
          <w:szCs w:val="28"/>
          <w:rtl/>
        </w:rPr>
        <w:t xml:space="preserve">، مظفر بن محمّد</w:t>
      </w:r>
    </w:p>
    <w:p>
      <w:pPr>
        <w:pStyle w:val="BookText"/>
      </w:pPr>
      <w:r>
        <w:rPr>
          <w:rFonts w:ascii="Amiri" w:hAnsi="Amiri" w:eastAsia="Amiri" w:cs="Amiri"/>
          <w:lang w:bidi="ar-SA"/>
          <w:color w:val="111111"/>
          <w:sz w:val="28"/>
          <w:szCs w:val="28"/>
          <w:rtl/>
        </w:rPr>
        <w:t xml:space="preserve">شفايي ، شرف الدين حسن- شفايي</w:t>
      </w:r>
    </w:p>
    <w:p>
      <w:pPr>
        <w:pStyle w:val="BookText"/>
      </w:pPr>
      <w:r>
        <w:rPr>
          <w:rFonts w:ascii="Amiri" w:hAnsi="Amiri" w:eastAsia="Amiri" w:cs="Amiri"/>
          <w:lang w:bidi="ar-SA"/>
          <w:color w:val="111111"/>
          <w:sz w:val="28"/>
          <w:szCs w:val="28"/>
          <w:rtl/>
        </w:rPr>
        <w:t xml:space="preserve">اصفهاني ، حسن بن محمّد حسين</w:t>
      </w:r>
    </w:p>
    <w:p>
      <w:pPr>
        <w:pStyle w:val="BookText"/>
      </w:pPr>
      <w:r>
        <w:rPr>
          <w:rFonts w:ascii="Amiri" w:hAnsi="Amiri" w:eastAsia="Amiri" w:cs="Amiri"/>
          <w:lang w:bidi="ar-SA"/>
          <w:color w:val="111111"/>
          <w:sz w:val="28"/>
          <w:szCs w:val="28"/>
          <w:rtl/>
        </w:rPr>
        <w:t xml:space="preserve">شفايي ، مظفر بن محمّد -شفائي ، مظفر</w:t>
      </w:r>
    </w:p>
    <w:p>
      <w:pPr>
        <w:pStyle w:val="BookText"/>
      </w:pPr>
      <w:r>
        <w:rPr>
          <w:rFonts w:ascii="Amiri" w:hAnsi="Amiri" w:eastAsia="Amiri" w:cs="Amiri"/>
          <w:lang w:bidi="ar-SA"/>
          <w:color w:val="111111"/>
          <w:sz w:val="28"/>
          <w:szCs w:val="28"/>
          <w:rtl/>
        </w:rPr>
        <w:t xml:space="preserve">بن محمّد</w:t>
      </w:r>
    </w:p>
    <w:p>
      <w:pPr>
        <w:pStyle w:val="Heading2"/>
      </w:pPr>
      <w:bookmarkStart w:id="5178" w:name="_Toc4280"/>
      <w:r>
        <w:t>شفتي بيدآبادي ، محمّد باقر بن محمّد</w:t>
      </w:r>
      <w:bookmarkEnd w:id="5178"/>
    </w:p>
    <w:p>
      <w:pPr>
        <w:pStyle w:val="BookText"/>
      </w:pPr>
      <w:r>
        <w:rPr>
          <w:rFonts w:ascii="Amiri" w:hAnsi="Amiri" w:eastAsia="Amiri" w:cs="Amiri"/>
          <w:lang w:bidi="ar-SA"/>
          <w:color w:val="111111"/>
          <w:sz w:val="28"/>
          <w:szCs w:val="28"/>
          <w:rtl/>
        </w:rPr>
        <w:t xml:space="preserve">نقي، 1175 - 1260 ه-</w:t>
      </w:r>
    </w:p>
    <w:p>
      <w:pPr>
        <w:pStyle w:val="BookText"/>
      </w:pPr>
      <w:r>
        <w:rPr>
          <w:rFonts w:ascii="Amiri" w:hAnsi="Amiri" w:eastAsia="Amiri" w:cs="Amiri"/>
          <w:lang w:bidi="ar-SA"/>
          <w:color w:val="111111"/>
          <w:sz w:val="28"/>
          <w:szCs w:val="28"/>
          <w:rtl/>
        </w:rPr>
        <w:t xml:space="preserve">1 .ارشاد الخبير البصير إلى تحقيق الحال في ابي بصير = ترجمة ابي بصير = تحقيق احوال ابي بصير</w:t>
      </w:r>
    </w:p>
    <w:p>
      <w:pPr>
        <w:pStyle w:val="BookText"/>
      </w:pPr>
      <w:r>
        <w:rPr>
          <w:rFonts w:ascii="IRNazanin" w:hAnsi="IRNazanin" w:eastAsia="IRNazanin" w:cs="IRNazanin"/>
          <w:lang w:bidi="fa-IR"/>
          <w:color w:val="111111"/>
          <w:sz w:val="28"/>
          <w:szCs w:val="28"/>
          <w:rtl/>
        </w:rPr>
        <w:t xml:space="preserve">ج 2، ص18.</w:t>
      </w:r>
    </w:p>
    <w:p>
      <w:pPr>
        <w:pStyle w:val="BookText"/>
      </w:pPr>
      <w:r>
        <w:rPr>
          <w:rFonts w:ascii="Amiri" w:hAnsi="Amiri" w:eastAsia="Amiri" w:cs="Amiri"/>
          <w:lang w:bidi="ar-SA"/>
          <w:color w:val="111111"/>
          <w:sz w:val="28"/>
          <w:szCs w:val="28"/>
          <w:rtl/>
        </w:rPr>
        <w:t xml:space="preserve">2 .اصحاب العدة = رساله رجاليه درباره تفسير (عده) كليني، ج2،</w:t>
      </w:r>
    </w:p>
    <w:p>
      <w:pPr>
        <w:pStyle w:val="BookText"/>
      </w:pPr>
      <w:r>
        <w:rPr>
          <w:rFonts w:ascii="IRNazanin" w:hAnsi="IRNazanin" w:eastAsia="IRNazanin" w:cs="IRNazanin"/>
          <w:lang w:bidi="fa-IR"/>
          <w:color w:val="111111"/>
          <w:sz w:val="28"/>
          <w:szCs w:val="28"/>
          <w:rtl/>
        </w:rPr>
        <w:t xml:space="preserve">ص 362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الابرار الملتقط من آثار الائمة</w:t>
      </w:r>
    </w:p>
    <w:p>
      <w:pPr>
        <w:pStyle w:val="BookText"/>
      </w:pPr>
      <w:r>
        <w:rPr>
          <w:rFonts w:ascii="IRNazanin" w:hAnsi="IRNazanin" w:eastAsia="IRNazanin" w:cs="IRNazanin"/>
          <w:lang w:bidi="fa-IR"/>
          <w:color w:val="111111"/>
          <w:sz w:val="28"/>
          <w:szCs w:val="28"/>
          <w:rtl/>
        </w:rPr>
        <w:t xml:space="preserve">الاطهار، ج 3، ص 775.</w:t>
      </w:r>
    </w:p>
    <w:p>
      <w:pPr>
        <w:pStyle w:val="BookText"/>
      </w:pPr>
      <w:r>
        <w:rPr>
          <w:rFonts w:ascii="Amiri" w:hAnsi="Amiri" w:eastAsia="Amiri" w:cs="Amiri"/>
          <w:lang w:bidi="ar-SA"/>
          <w:color w:val="111111"/>
          <w:sz w:val="28"/>
          <w:szCs w:val="28"/>
          <w:rtl/>
        </w:rPr>
        <w:t xml:space="preserve">4 .تحفة الابرار لتنوير قلوب الاخيار</w:t>
      </w:r>
    </w:p>
    <w:p>
      <w:pPr>
        <w:pStyle w:val="BookText"/>
      </w:pPr>
      <w:r>
        <w:rPr>
          <w:rFonts w:ascii="IRNazanin" w:hAnsi="IRNazanin" w:eastAsia="IRNazanin" w:cs="IRNazanin"/>
          <w:lang w:bidi="fa-IR"/>
          <w:color w:val="111111"/>
          <w:sz w:val="28"/>
          <w:szCs w:val="28"/>
          <w:rtl/>
        </w:rPr>
        <w:t xml:space="preserve">ج 3، ص 774 .</w:t>
      </w:r>
    </w:p>
    <w:p>
      <w:pPr>
        <w:pStyle w:val="BookText"/>
      </w:pPr>
      <w:r>
        <w:rPr>
          <w:rFonts w:ascii="Amiri" w:hAnsi="Amiri" w:eastAsia="Amiri" w:cs="Amiri"/>
          <w:lang w:bidi="ar-SA"/>
          <w:color w:val="111111"/>
          <w:sz w:val="28"/>
          <w:szCs w:val="28"/>
          <w:rtl/>
        </w:rPr>
        <w:t xml:space="preserve">5 .تحقيق عدة من أصحابنا ج4،</w:t>
      </w:r>
    </w:p>
    <w:p>
      <w:pPr>
        <w:pStyle w:val="BookText"/>
      </w:pPr>
      <w:r>
        <w:rPr>
          <w:rFonts w:ascii="IRNazanin" w:hAnsi="IRNazanin" w:eastAsia="IRNazanin" w:cs="IRNazanin"/>
          <w:lang w:bidi="fa-IR"/>
          <w:color w:val="111111"/>
          <w:sz w:val="28"/>
          <w:szCs w:val="28"/>
          <w:rtl/>
        </w:rPr>
        <w:t xml:space="preserve">ص 63 .</w:t>
      </w:r>
    </w:p>
    <w:p>
      <w:pPr>
        <w:pStyle w:val="BookText"/>
      </w:pPr>
      <w:r>
        <w:rPr>
          <w:rFonts w:ascii="Amiri" w:hAnsi="Amiri" w:eastAsia="Amiri" w:cs="Amiri"/>
          <w:lang w:bidi="ar-SA"/>
          <w:color w:val="111111"/>
          <w:sz w:val="28"/>
          <w:szCs w:val="28"/>
          <w:rtl/>
        </w:rPr>
        <w:t xml:space="preserve">6 .ترجمة ابان بن عثمان = تحقيق حال ابان بن عثمان، ج4، ص 251.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ترجمة ابراهيم بن هاشم القمي =</w:t>
      </w:r>
    </w:p>
    <w:p>
      <w:pPr>
        <w:pStyle w:val="BookText"/>
      </w:pPr>
      <w:r>
        <w:rPr>
          <w:rFonts w:ascii="Amiri" w:hAnsi="Amiri" w:eastAsia="Amiri" w:cs="Amiri"/>
          <w:lang w:bidi="ar-SA"/>
          <w:color w:val="111111"/>
          <w:sz w:val="28"/>
          <w:szCs w:val="28"/>
          <w:rtl/>
        </w:rPr>
        <w:t xml:space="preserve">تحقيق الحال في ابراهيم بن</w:t>
      </w:r>
    </w:p>
    <w:p>
      <w:pPr>
        <w:pStyle w:val="BookText"/>
      </w:pPr>
      <w:r>
        <w:rPr>
          <w:rFonts w:ascii="IRNazanin" w:hAnsi="IRNazanin" w:eastAsia="IRNazanin" w:cs="IRNazanin"/>
          <w:lang w:bidi="fa-IR"/>
          <w:color w:val="111111"/>
          <w:sz w:val="28"/>
          <w:szCs w:val="28"/>
          <w:rtl/>
        </w:rPr>
        <w:t xml:space="preserve">هاشم، ج 4 ، ص 252 .</w:t>
      </w:r>
    </w:p>
    <w:p>
      <w:pPr>
        <w:pStyle w:val="BookText"/>
      </w:pPr>
      <w:r>
        <w:rPr>
          <w:rFonts w:ascii="Amiri" w:hAnsi="Amiri" w:eastAsia="Amiri" w:cs="Amiri"/>
          <w:lang w:bidi="ar-SA"/>
          <w:color w:val="111111"/>
          <w:sz w:val="28"/>
          <w:szCs w:val="28"/>
          <w:rtl/>
        </w:rPr>
        <w:t xml:space="preserve">8 .ترجمة احمد بن محمّد بن خالد</w:t>
      </w:r>
    </w:p>
    <w:p>
      <w:pPr>
        <w:pStyle w:val="BookText"/>
      </w:pPr>
      <w:r>
        <w:rPr>
          <w:rFonts w:ascii="Amiri" w:hAnsi="Amiri" w:eastAsia="Amiri" w:cs="Amiri"/>
          <w:lang w:bidi="ar-SA"/>
          <w:color w:val="111111"/>
          <w:sz w:val="28"/>
          <w:szCs w:val="28"/>
          <w:rtl/>
        </w:rPr>
        <w:t xml:space="preserve">البرقي = تحقيق حال احمد بن</w:t>
      </w:r>
    </w:p>
    <w:p>
      <w:pPr>
        <w:pStyle w:val="BookText"/>
      </w:pPr>
      <w:r>
        <w:rPr>
          <w:rFonts w:ascii="Amiri" w:hAnsi="Amiri" w:eastAsia="Amiri" w:cs="Amiri"/>
          <w:lang w:bidi="ar-SA"/>
          <w:color w:val="111111"/>
          <w:sz w:val="28"/>
          <w:szCs w:val="28"/>
          <w:rtl/>
        </w:rPr>
        <w:t xml:space="preserve">محمّد بن خالد البرقي، جع،</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9 .ترجمة احمد بن محمّد بن عيسى</w:t>
      </w:r>
    </w:p>
    <w:p>
      <w:pPr>
        <w:pStyle w:val="BookText"/>
      </w:pPr>
      <w:r>
        <w:rPr>
          <w:rFonts w:ascii="Amiri" w:hAnsi="Amiri" w:eastAsia="Amiri" w:cs="Amiri"/>
          <w:lang w:bidi="ar-SA"/>
          <w:color w:val="111111"/>
          <w:sz w:val="28"/>
          <w:szCs w:val="28"/>
          <w:rtl/>
        </w:rPr>
        <w:t xml:space="preserve">تحقيق الحال في احمد بن</w:t>
      </w:r>
    </w:p>
    <w:p>
      <w:pPr>
        <w:pStyle w:val="BookText"/>
      </w:pPr>
      <w:r>
        <w:rPr>
          <w:rFonts w:ascii="Amiri" w:hAnsi="Amiri" w:eastAsia="Amiri" w:cs="Amiri"/>
          <w:lang w:bidi="ar-SA"/>
          <w:color w:val="111111"/>
          <w:sz w:val="28"/>
          <w:szCs w:val="28"/>
          <w:rtl/>
        </w:rPr>
        <w:t xml:space="preserve">محمّد بن عيسى، ج 4، ص256.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ترجمة احمد بن محمّد بن يحيى</w:t>
      </w:r>
    </w:p>
    <w:p>
      <w:pPr>
        <w:pStyle w:val="BookText"/>
      </w:pPr>
      <w:r>
        <w:rPr>
          <w:rFonts w:ascii="IRNazanin" w:hAnsi="IRNazanin" w:eastAsia="IRNazanin" w:cs="IRNazanin"/>
          <w:lang w:bidi="fa-IR"/>
          <w:color w:val="111111"/>
          <w:sz w:val="28"/>
          <w:szCs w:val="28"/>
          <w:rtl/>
        </w:rPr>
        <w:t xml:space="preserve">العطار = تحقیق حال احمد بن</w:t>
      </w:r>
    </w:p>
    <w:p>
      <w:pPr>
        <w:pStyle w:val="BookText"/>
      </w:pPr>
      <w:r>
        <w:rPr>
          <w:rFonts w:ascii="Amiri" w:hAnsi="Amiri" w:eastAsia="Amiri" w:cs="Amiri"/>
          <w:lang w:bidi="ar-SA"/>
          <w:color w:val="111111"/>
          <w:sz w:val="28"/>
          <w:szCs w:val="28"/>
          <w:rtl/>
        </w:rPr>
        <w:t xml:space="preserve">محمّد بن يحيى العطار، ج 4،</w:t>
      </w:r>
    </w:p>
    <w:p>
      <w:pPr>
        <w:pStyle w:val="BookText"/>
      </w:pPr>
      <w:r>
        <w:rPr>
          <w:rFonts w:ascii="IRNazanin" w:hAnsi="IRNazanin" w:eastAsia="IRNazanin" w:cs="IRNazanin"/>
          <w:lang w:bidi="fa-IR"/>
          <w:color w:val="111111"/>
          <w:sz w:val="28"/>
          <w:szCs w:val="28"/>
          <w:rtl/>
        </w:rPr>
        <w:t xml:space="preserve">ص 257 .</w:t>
      </w:r>
    </w:p>
    <w:p>
      <w:pPr>
        <w:pStyle w:val="BookText"/>
      </w:pPr>
      <w:r>
        <w:rPr>
          <w:rFonts w:ascii="Amiri" w:hAnsi="Amiri" w:eastAsia="Amiri" w:cs="Amiri"/>
          <w:lang w:bidi="ar-SA"/>
          <w:color w:val="111111"/>
          <w:sz w:val="28"/>
          <w:szCs w:val="28"/>
          <w:rtl/>
        </w:rPr>
        <w:t xml:space="preserve">11 .ترجمة اسحاق بن عمار = تحقيق</w:t>
      </w:r>
    </w:p>
    <w:p>
      <w:pPr>
        <w:pStyle w:val="BookText"/>
      </w:pPr>
      <w:r>
        <w:rPr>
          <w:rFonts w:ascii="Amiri" w:hAnsi="Amiri" w:eastAsia="Amiri" w:cs="Amiri"/>
          <w:lang w:bidi="ar-SA"/>
          <w:color w:val="111111"/>
          <w:sz w:val="28"/>
          <w:szCs w:val="28"/>
          <w:rtl/>
        </w:rPr>
        <w:t xml:space="preserve">الحال في اسحاق بن عمار ج4،</w:t>
      </w:r>
    </w:p>
    <w:p>
      <w:pPr>
        <w:pStyle w:val="BookText"/>
      </w:pPr>
      <w:r>
        <w:rPr>
          <w:rFonts w:ascii="IRNazanin" w:hAnsi="IRNazanin" w:eastAsia="IRNazanin" w:cs="IRNazanin"/>
          <w:lang w:bidi="fa-IR"/>
          <w:color w:val="111111"/>
          <w:sz w:val="28"/>
          <w:szCs w:val="28"/>
          <w:rtl/>
        </w:rPr>
        <w:t xml:space="preserve">ص 258 .</w:t>
      </w:r>
    </w:p>
    <w:p>
      <w:pPr>
        <w:pStyle w:val="BookText"/>
      </w:pPr>
      <w:r>
        <w:rPr>
          <w:rFonts w:ascii="Amiri" w:hAnsi="Amiri" w:eastAsia="Amiri" w:cs="Amiri"/>
          <w:lang w:bidi="ar-SA"/>
          <w:color w:val="111111"/>
          <w:sz w:val="28"/>
          <w:szCs w:val="28"/>
          <w:rtl/>
        </w:rPr>
        <w:t xml:space="preserve">12 .ترجمة الحسين بن خالد = تحقيق الحال في حسين بن خالد جع، ص 267 .</w:t>
      </w:r>
    </w:p>
    <w:p>
      <w:pPr>
        <w:pStyle w:val="BookText"/>
      </w:pPr>
      <w:r>
        <w:rPr>
          <w:rFonts w:ascii="Amiri" w:hAnsi="Amiri" w:eastAsia="Amiri" w:cs="Amiri"/>
          <w:lang w:bidi="ar-SA"/>
          <w:color w:val="111111"/>
          <w:sz w:val="28"/>
          <w:szCs w:val="28"/>
          <w:rtl/>
        </w:rPr>
        <w:t xml:space="preserve">13 .ترجمة حماد بن عيسى الجهني =</w:t>
      </w:r>
    </w:p>
    <w:p>
      <w:pPr>
        <w:pStyle w:val="BookText"/>
      </w:pPr>
      <w:r>
        <w:rPr>
          <w:rFonts w:ascii="Amiri" w:hAnsi="Amiri" w:eastAsia="Amiri" w:cs="Amiri"/>
          <w:lang w:bidi="ar-SA"/>
          <w:color w:val="111111"/>
          <w:sz w:val="28"/>
          <w:szCs w:val="28"/>
          <w:rtl/>
        </w:rPr>
        <w:t xml:space="preserve">تحقيق حال حماد بن عيسى، ج 4 ص 267.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.ترجمة سهل بن زياد الآدمي</w:t>
      </w:r>
    </w:p>
    <w:p>
      <w:pPr>
        <w:pStyle w:val="BookText"/>
      </w:pPr>
      <w:r>
        <w:rPr>
          <w:rFonts w:ascii="Amiri" w:hAnsi="Amiri" w:eastAsia="Amiri" w:cs="Amiri"/>
          <w:lang w:bidi="ar-SA"/>
          <w:color w:val="111111"/>
          <w:sz w:val="28"/>
          <w:szCs w:val="28"/>
          <w:rtl/>
        </w:rPr>
        <w:t xml:space="preserve">تحقيق في حال سهل بن زياد</w:t>
      </w:r>
    </w:p>
    <w:p>
      <w:pPr>
        <w:pStyle w:val="BookText"/>
      </w:pPr>
      <w:r>
        <w:rPr>
          <w:rFonts w:ascii="Amiri" w:hAnsi="Amiri" w:eastAsia="Amiri" w:cs="Amiri"/>
          <w:lang w:bidi="ar-SA"/>
          <w:color w:val="111111"/>
          <w:sz w:val="28"/>
          <w:szCs w:val="28"/>
          <w:rtl/>
        </w:rPr>
        <w:t xml:space="preserve">الآدمي الرازي، ج 4، ص273</w:t>
      </w:r>
    </w:p>
    <w:p>
      <w:pPr>
        <w:pStyle w:val="BookText"/>
      </w:pPr>
      <w:r>
        <w:rPr>
          <w:rFonts w:ascii="Amiri" w:hAnsi="Amiri" w:eastAsia="Amiri" w:cs="Amiri"/>
          <w:lang w:bidi="ar-SA"/>
          <w:color w:val="111111"/>
          <w:sz w:val="28"/>
          <w:szCs w:val="28"/>
          <w:rtl/>
        </w:rPr>
        <w:t xml:space="preserve">15 .ترجمة شهاب بن عبدربه = تحقيق احوال شهاب بن عبدربه</w:t>
      </w:r>
    </w:p>
    <w:p>
      <w:pPr>
        <w:pStyle w:val="BookText"/>
      </w:pPr>
      <w:r>
        <w:rPr>
          <w:rFonts w:ascii="IRNazanin" w:hAnsi="IRNazanin" w:eastAsia="IRNazanin" w:cs="IRNazanin"/>
          <w:lang w:bidi="fa-IR"/>
          <w:color w:val="111111"/>
          <w:sz w:val="28"/>
          <w:szCs w:val="28"/>
          <w:rtl/>
        </w:rPr>
        <w:t xml:space="preserve">ج 4، ص 279.</w:t>
      </w:r>
    </w:p>
    <w:p>
      <w:pPr>
        <w:pStyle w:val="BookText"/>
      </w:pPr>
      <w:r>
        <w:rPr>
          <w:rFonts w:ascii="Amiri" w:hAnsi="Amiri" w:eastAsia="Amiri" w:cs="Amiri"/>
          <w:lang w:bidi="ar-SA"/>
          <w:color w:val="111111"/>
          <w:sz w:val="28"/>
          <w:szCs w:val="28"/>
          <w:rtl/>
        </w:rPr>
        <w:t xml:space="preserve">16 .ترجمة عبد الحميد العطار و ابنه</w:t>
      </w:r>
    </w:p>
    <w:p>
      <w:pPr>
        <w:pStyle w:val="BookText"/>
      </w:pPr>
      <w:r>
        <w:rPr>
          <w:rFonts w:ascii="Amiri" w:hAnsi="Amiri" w:eastAsia="Amiri" w:cs="Amiri"/>
          <w:lang w:bidi="ar-SA"/>
          <w:color w:val="111111"/>
          <w:sz w:val="28"/>
          <w:szCs w:val="28"/>
          <w:rtl/>
        </w:rPr>
        <w:t xml:space="preserve">شرح حال عبدالحميد بن سالم</w:t>
      </w:r>
    </w:p>
    <w:p>
      <w:pPr>
        <w:pStyle w:val="BookText"/>
      </w:pPr>
      <w:r>
        <w:rPr>
          <w:rFonts w:ascii="IRNazanin" w:hAnsi="IRNazanin" w:eastAsia="IRNazanin" w:cs="IRNazanin"/>
          <w:lang w:bidi="fa-IR"/>
          <w:color w:val="111111"/>
          <w:sz w:val="28"/>
          <w:szCs w:val="28"/>
          <w:rtl/>
        </w:rPr>
        <w:t xml:space="preserve">عطار و پسرش، ج 4، ص 287</w:t>
      </w:r>
    </w:p>
    <w:p>
      <w:pPr>
        <w:pStyle w:val="BookText"/>
      </w:pPr>
      <w:r>
        <w:rPr>
          <w:rFonts w:ascii="Amiri" w:hAnsi="Amiri" w:eastAsia="Amiri" w:cs="Amiri"/>
          <w:lang w:bidi="ar-SA"/>
          <w:color w:val="111111"/>
          <w:sz w:val="28"/>
          <w:szCs w:val="28"/>
          <w:rtl/>
        </w:rPr>
        <w:t xml:space="preserve">17 .ترجمة عبدالله بن يحيى كاهلي</w:t>
      </w:r>
    </w:p>
    <w:p>
      <w:pPr>
        <w:pStyle w:val="BookText"/>
      </w:pPr>
      <w:r>
        <w:rPr>
          <w:rFonts w:ascii="Amiri" w:hAnsi="Amiri" w:eastAsia="Amiri" w:cs="Amiri"/>
          <w:lang w:bidi="ar-SA"/>
          <w:color w:val="111111"/>
          <w:sz w:val="28"/>
          <w:szCs w:val="28"/>
          <w:rtl/>
        </w:rPr>
        <w:t xml:space="preserve">تحقيق حال عبدالله بن يحيى كاهلي، ج 4، ص 287</w:t>
      </w:r>
    </w:p>
    <w:p>
      <w:pPr>
        <w:pStyle w:val="BookText"/>
      </w:pPr>
      <w:r>
        <w:rPr>
          <w:rFonts w:ascii="Amiri" w:hAnsi="Amiri" w:eastAsia="Amiri" w:cs="Amiri"/>
          <w:lang w:bidi="ar-SA"/>
          <w:color w:val="111111"/>
          <w:sz w:val="28"/>
          <w:szCs w:val="28"/>
          <w:rtl/>
        </w:rPr>
        <w:t xml:space="preserve">18 .ترجمة عثمان بن عيسى الرواسي</w:t>
      </w:r>
    </w:p>
    <w:p>
      <w:pPr>
        <w:pStyle w:val="BookText"/>
      </w:pPr>
      <w:r>
        <w:rPr>
          <w:rFonts w:ascii="Amiri" w:hAnsi="Amiri" w:eastAsia="Amiri" w:cs="Amiri"/>
          <w:lang w:bidi="ar-SA"/>
          <w:color w:val="111111"/>
          <w:sz w:val="28"/>
          <w:szCs w:val="28"/>
          <w:rtl/>
        </w:rPr>
        <w:t xml:space="preserve">تحقيق حال عثمان بن عيسى</w:t>
      </w:r>
    </w:p>
    <w:p>
      <w:pPr>
        <w:pStyle w:val="BookText"/>
      </w:pPr>
      <w:r>
        <w:rPr>
          <w:rFonts w:ascii="Amiri" w:hAnsi="Amiri" w:eastAsia="Amiri" w:cs="Amiri"/>
          <w:lang w:bidi="ar-SA"/>
          <w:color w:val="111111"/>
          <w:sz w:val="28"/>
          <w:szCs w:val="28"/>
          <w:rtl/>
        </w:rPr>
        <w:t xml:space="preserve">الرواسي، ج 4، ص288</w:t>
      </w:r>
    </w:p>
    <w:p>
      <w:pPr>
        <w:pStyle w:val="BookText"/>
      </w:pPr>
      <w:r>
        <w:rPr>
          <w:rFonts w:ascii="Amiri" w:hAnsi="Amiri" w:eastAsia="Amiri" w:cs="Amiri"/>
          <w:lang w:bidi="ar-SA"/>
          <w:color w:val="111111"/>
          <w:sz w:val="28"/>
          <w:szCs w:val="28"/>
          <w:rtl/>
        </w:rPr>
        <w:t xml:space="preserve">19 .ترجمة عمر بن يزيد = تحقيق الحال في عمر بن يزيد ج4، ص290.</w:t>
      </w:r>
    </w:p>
    <w:p>
      <w:pPr>
        <w:pStyle w:val="BookText"/>
      </w:pPr>
      <w:r>
        <w:rPr>
          <w:rFonts w:ascii="IRNazanin" w:hAnsi="IRNazanin" w:eastAsia="IRNazanin" w:cs="IRNazanin"/>
          <w:lang w:bidi="fa-IR"/>
          <w:color w:val="111111"/>
          <w:sz w:val="28"/>
          <w:szCs w:val="28"/>
          <w:rtl/>
        </w:rPr>
        <w:t xml:space="preserve">20.ترجمة محمّد بن احمد = تحقیق</w:t>
      </w:r>
    </w:p>
    <w:p>
      <w:pPr>
        <w:pStyle w:val="BookText"/>
      </w:pPr>
      <w:r>
        <w:rPr>
          <w:rFonts w:ascii="IRNazanin" w:hAnsi="IRNazanin" w:eastAsia="IRNazanin" w:cs="IRNazanin"/>
          <w:lang w:bidi="fa-IR"/>
          <w:color w:val="111111"/>
          <w:sz w:val="28"/>
          <w:szCs w:val="28"/>
          <w:rtl/>
        </w:rPr>
        <w:t xml:space="preserve">حال محمّد بن احمد ج4</w:t>
      </w:r>
    </w:p>
    <w:p>
      <w:pPr>
        <w:pStyle w:val="BookText"/>
      </w:pPr>
      <w:r>
        <w:rPr>
          <w:rFonts w:ascii="IRNazanin" w:hAnsi="IRNazanin" w:eastAsia="IRNazanin" w:cs="IRNazanin"/>
          <w:lang w:bidi="fa-IR"/>
          <w:color w:val="111111"/>
          <w:sz w:val="28"/>
          <w:szCs w:val="28"/>
          <w:rtl/>
        </w:rPr>
        <w:t xml:space="preserve">ص 293.</w:t>
      </w:r>
    </w:p>
    <w:p>
      <w:pPr>
        <w:pStyle w:val="BookText"/>
      </w:pPr>
      <w:r>
        <w:rPr>
          <w:rFonts w:ascii="Amiri" w:hAnsi="Amiri" w:eastAsia="Amiri" w:cs="Amiri"/>
          <w:lang w:bidi="ar-SA"/>
          <w:color w:val="111111"/>
          <w:sz w:val="28"/>
          <w:szCs w:val="28"/>
          <w:rtl/>
        </w:rPr>
        <w:t xml:space="preserve">21 .ترجمة محمّد بن اسماعيل =</w:t>
      </w:r>
    </w:p>
    <w:p>
      <w:pPr>
        <w:pStyle w:val="BookText"/>
      </w:pPr>
      <w:r>
        <w:rPr>
          <w:rFonts w:ascii="IRNazanin" w:hAnsi="IRNazanin" w:eastAsia="IRNazanin" w:cs="IRNazanin"/>
          <w:lang w:bidi="fa-IR"/>
          <w:color w:val="111111"/>
          <w:sz w:val="28"/>
          <w:szCs w:val="28"/>
          <w:rtl/>
        </w:rPr>
        <w:t xml:space="preserve">تحقيق حال محمّد بن اسماعیل</w:t>
      </w:r>
    </w:p>
    <w:p>
      <w:pPr>
        <w:pStyle w:val="BookText"/>
      </w:pPr>
      <w:r>
        <w:rPr>
          <w:rFonts w:ascii="IRNazanin" w:hAnsi="IRNazanin" w:eastAsia="IRNazanin" w:cs="IRNazanin"/>
          <w:lang w:bidi="fa-IR"/>
          <w:color w:val="111111"/>
          <w:sz w:val="28"/>
          <w:szCs w:val="28"/>
          <w:rtl/>
        </w:rPr>
        <w:t xml:space="preserve">ج 4، ص 294.</w:t>
      </w:r>
    </w:p>
    <w:p>
      <w:pPr>
        <w:pStyle w:val="BookText"/>
      </w:pPr>
      <w:r>
        <w:rPr>
          <w:rFonts w:ascii="Amiri" w:hAnsi="Amiri" w:eastAsia="Amiri" w:cs="Amiri"/>
          <w:lang w:bidi="ar-SA"/>
          <w:color w:val="111111"/>
          <w:sz w:val="28"/>
          <w:szCs w:val="28"/>
          <w:rtl/>
        </w:rPr>
        <w:t xml:space="preserve">22 .ترجمة محمّد بن الفضيل ج4</w:t>
      </w:r>
    </w:p>
    <w:p>
      <w:pPr>
        <w:pStyle w:val="BookText"/>
      </w:pPr>
      <w:r>
        <w:rPr>
          <w:rFonts w:ascii="IRNazanin" w:hAnsi="IRNazanin" w:eastAsia="IRNazanin" w:cs="IRNazanin"/>
          <w:lang w:bidi="fa-IR"/>
          <w:color w:val="111111"/>
          <w:sz w:val="28"/>
          <w:szCs w:val="28"/>
          <w:rtl/>
        </w:rPr>
        <w:t xml:space="preserve">ص 295</w:t>
      </w:r>
    </w:p>
    <w:p>
      <w:pPr>
        <w:pStyle w:val="BookText"/>
      </w:pPr>
      <w:r>
        <w:rPr>
          <w:rFonts w:ascii="Amiri" w:hAnsi="Amiri" w:eastAsia="Amiri" w:cs="Amiri"/>
          <w:lang w:bidi="ar-SA"/>
          <w:color w:val="111111"/>
          <w:sz w:val="28"/>
          <w:szCs w:val="28"/>
          <w:rtl/>
        </w:rPr>
        <w:t xml:space="preserve">23 .ترجمة محمّد بن خالد البرقي = تحقيق الحال في محمّد بن خالد البرقي، ج 4، ص 295 .</w:t>
      </w:r>
    </w:p>
    <w:p>
      <w:pPr>
        <w:pStyle w:val="BookText"/>
      </w:pPr>
      <w:r>
        <w:rPr>
          <w:rFonts w:ascii="Amiri" w:hAnsi="Amiri" w:eastAsia="Amiri" w:cs="Amiri"/>
          <w:lang w:bidi="ar-SA"/>
          <w:color w:val="111111"/>
          <w:sz w:val="28"/>
          <w:szCs w:val="28"/>
          <w:rtl/>
        </w:rPr>
        <w:t xml:space="preserve">24 .ترجمة محمّد بن سنان = تحقيق الحال في محمد بن سنان ج4،</w:t>
      </w:r>
    </w:p>
    <w:p>
      <w:pPr>
        <w:pStyle w:val="BookText"/>
      </w:pPr>
      <w:r>
        <w:rPr>
          <w:rFonts w:ascii="IRNazanin" w:hAnsi="IRNazanin" w:eastAsia="IRNazanin" w:cs="IRNazanin"/>
          <w:lang w:bidi="fa-IR"/>
          <w:color w:val="111111"/>
          <w:sz w:val="28"/>
          <w:szCs w:val="28"/>
          <w:rtl/>
        </w:rPr>
        <w:t xml:space="preserve">ص 296 .</w:t>
      </w:r>
    </w:p>
    <w:p>
      <w:pPr>
        <w:pStyle w:val="BookText"/>
      </w:pPr>
      <w:r>
        <w:rPr>
          <w:rFonts w:ascii="Amiri" w:hAnsi="Amiri" w:eastAsia="Amiri" w:cs="Amiri"/>
          <w:lang w:bidi="ar-SA"/>
          <w:color w:val="111111"/>
          <w:sz w:val="28"/>
          <w:szCs w:val="28"/>
          <w:rtl/>
        </w:rPr>
        <w:t xml:space="preserve">25 .ترجمة محمّد بن عيسى يقطيني</w:t>
      </w:r>
    </w:p>
    <w:p>
      <w:pPr>
        <w:pStyle w:val="BookText"/>
      </w:pPr>
      <w:r>
        <w:rPr>
          <w:rFonts w:ascii="IRNazanin" w:hAnsi="IRNazanin" w:eastAsia="IRNazanin" w:cs="IRNazanin"/>
          <w:lang w:bidi="fa-IR"/>
          <w:color w:val="111111"/>
          <w:sz w:val="28"/>
          <w:szCs w:val="28"/>
          <w:rtl/>
        </w:rPr>
        <w:t xml:space="preserve">ج 4، ص 296 .</w:t>
      </w:r>
    </w:p>
    <w:p>
      <w:pPr>
        <w:pStyle w:val="BookText"/>
      </w:pPr>
      <w:r>
        <w:rPr>
          <w:rFonts w:ascii="Amiri" w:hAnsi="Amiri" w:eastAsia="Amiri" w:cs="Amiri"/>
          <w:lang w:bidi="ar-SA"/>
          <w:color w:val="111111"/>
          <w:sz w:val="28"/>
          <w:szCs w:val="28"/>
          <w:rtl/>
        </w:rPr>
        <w:t xml:space="preserve">26 .ترجمة معاوية بن شريح و معاوية بن ميسرة = التحقيق في</w:t>
      </w:r>
    </w:p>
    <w:p>
      <w:pPr>
        <w:pStyle w:val="BookText"/>
      </w:pPr>
      <w:r>
        <w:rPr>
          <w:rFonts w:ascii="IRNazanin" w:hAnsi="IRNazanin" w:eastAsia="IRNazanin" w:cs="IRNazanin"/>
          <w:lang w:bidi="fa-IR"/>
          <w:color w:val="111111"/>
          <w:sz w:val="28"/>
          <w:szCs w:val="28"/>
          <w:rtl/>
        </w:rPr>
        <w:t xml:space="preserve">حال معاویه بن شريح ج4،</w:t>
      </w:r>
    </w:p>
    <w:p>
      <w:pPr>
        <w:pStyle w:val="BookText"/>
      </w:pPr>
      <w:r>
        <w:rPr>
          <w:rFonts w:ascii="IRNazanin" w:hAnsi="IRNazanin" w:eastAsia="IRNazanin" w:cs="IRNazanin"/>
          <w:lang w:bidi="fa-IR"/>
          <w:color w:val="111111"/>
          <w:sz w:val="28"/>
          <w:szCs w:val="28"/>
          <w:rtl/>
        </w:rPr>
        <w:t xml:space="preserve">ص 297 .</w:t>
      </w:r>
    </w:p>
    <w:p>
      <w:pPr>
        <w:pStyle w:val="BookText"/>
      </w:pPr>
      <w:r>
        <w:rPr>
          <w:rFonts w:ascii="Amiri" w:hAnsi="Amiri" w:eastAsia="Amiri" w:cs="Amiri"/>
          <w:lang w:bidi="ar-SA"/>
          <w:color w:val="111111"/>
          <w:sz w:val="28"/>
          <w:szCs w:val="28"/>
          <w:rtl/>
        </w:rPr>
        <w:t xml:space="preserve">27 .ترجمه ابن ابي جيد ج4، ص 253.</w:t>
      </w:r>
    </w:p>
    <w:p>
      <w:pPr>
        <w:pStyle w:val="BookText"/>
      </w:pPr>
      <w:r>
        <w:rPr>
          <w:rFonts w:ascii="Amiri" w:hAnsi="Amiri" w:eastAsia="Amiri" w:cs="Amiri"/>
          <w:lang w:bidi="ar-SA"/>
          <w:color w:val="111111"/>
          <w:sz w:val="28"/>
          <w:szCs w:val="28"/>
          <w:rtl/>
        </w:rPr>
        <w:t xml:space="preserve">28 .الحدود = اقامة الحدود في زمان الغيبة = تحقيق اقامة الحدود في هذه الاعصار = وجوب اقامة الحدود الشرعية زمن الغيبة على</w:t>
      </w:r>
    </w:p>
    <w:p>
      <w:pPr>
        <w:pStyle w:val="BookText"/>
      </w:pPr>
      <w:r>
        <w:rPr>
          <w:rFonts w:ascii="IRNazanin" w:hAnsi="IRNazanin" w:eastAsia="IRNazanin" w:cs="IRNazanin"/>
          <w:lang w:bidi="fa-IR"/>
          <w:color w:val="111111"/>
          <w:sz w:val="28"/>
          <w:szCs w:val="28"/>
          <w:rtl/>
        </w:rPr>
        <w:t xml:space="preserve">المجتهد، ج 6، ص 548.</w:t>
      </w:r>
    </w:p>
    <w:p>
      <w:pPr>
        <w:pStyle w:val="BookText"/>
      </w:pPr>
      <w:r>
        <w:rPr>
          <w:rFonts w:ascii="Amiri" w:hAnsi="Amiri" w:eastAsia="Amiri" w:cs="Amiri"/>
          <w:lang w:bidi="ar-SA"/>
          <w:color w:val="111111"/>
          <w:sz w:val="28"/>
          <w:szCs w:val="28"/>
          <w:rtl/>
        </w:rPr>
        <w:t xml:space="preserve">29 .حكم التسليم في الصلاة رسالة</w:t>
      </w:r>
    </w:p>
    <w:p>
      <w:pPr>
        <w:pStyle w:val="BookText"/>
      </w:pPr>
      <w:r>
        <w:rPr>
          <w:rFonts w:ascii="Amiri" w:hAnsi="Amiri" w:eastAsia="Amiri" w:cs="Amiri"/>
          <w:lang w:bidi="ar-SA"/>
          <w:color w:val="111111"/>
          <w:sz w:val="28"/>
          <w:szCs w:val="28"/>
          <w:rtl/>
        </w:rPr>
        <w:t xml:space="preserve">في)، ج 6، ص 743.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الحلية اللامعة للبهجة المرضية شرح بهجة المرضية، ج 6، ص 815.</w:t>
      </w:r>
    </w:p>
    <w:p>
      <w:pPr>
        <w:pStyle w:val="BookText"/>
      </w:pPr>
      <w:r>
        <w:rPr>
          <w:rFonts w:ascii="Amiri" w:hAnsi="Amiri" w:eastAsia="Amiri" w:cs="Amiri"/>
          <w:lang w:bidi="ar-SA"/>
          <w:color w:val="111111"/>
          <w:sz w:val="28"/>
          <w:szCs w:val="28"/>
          <w:rtl/>
        </w:rPr>
        <w:t xml:space="preserve">31 .دفع القال والقيل في تعديل محمّد بن اسماعيل الراوي للكليني</w:t>
      </w:r>
    </w:p>
    <w:p>
      <w:pPr>
        <w:pStyle w:val="BookText"/>
      </w:pPr>
      <w:r>
        <w:rPr>
          <w:rFonts w:ascii="Amiri" w:hAnsi="Amiri" w:eastAsia="Amiri" w:cs="Amiri"/>
          <w:lang w:bidi="ar-SA"/>
          <w:color w:val="111111"/>
          <w:sz w:val="28"/>
          <w:szCs w:val="28"/>
          <w:rtl/>
        </w:rPr>
        <w:t xml:space="preserve">(رسالة في)، ج7، ص 424.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الزهرة البارقة لمعرفة المجاز و</w:t>
      </w:r>
    </w:p>
    <w:p>
      <w:pPr>
        <w:pStyle w:val="BookText"/>
      </w:pPr>
      <w:r>
        <w:rPr>
          <w:rFonts w:ascii="Amiri" w:hAnsi="Amiri" w:eastAsia="Amiri" w:cs="Amiri"/>
          <w:lang w:bidi="ar-SA"/>
          <w:color w:val="111111"/>
          <w:sz w:val="28"/>
          <w:szCs w:val="28"/>
          <w:rtl/>
        </w:rPr>
        <w:t xml:space="preserve">الحقيقة، ج8، ص 619.</w:t>
      </w:r>
    </w:p>
    <w:p>
      <w:pPr>
        <w:pStyle w:val="BookText"/>
      </w:pPr>
      <w:r>
        <w:rPr>
          <w:rFonts w:ascii="Amiri" w:hAnsi="Amiri" w:eastAsia="Amiri" w:cs="Amiri"/>
          <w:lang w:bidi="ar-SA"/>
          <w:color w:val="111111"/>
          <w:sz w:val="28"/>
          <w:szCs w:val="28"/>
          <w:rtl/>
        </w:rPr>
        <w:t xml:space="preserve">33 .زيارة العاشوراء وكيفيتها، ج8،</w:t>
      </w:r>
    </w:p>
    <w:p>
      <w:pPr>
        <w:pStyle w:val="BookText"/>
      </w:pPr>
      <w:r>
        <w:rPr>
          <w:rFonts w:ascii="IRNazanin" w:hAnsi="IRNazanin" w:eastAsia="IRNazanin" w:cs="IRNazanin"/>
          <w:lang w:bidi="fa-IR"/>
          <w:color w:val="111111"/>
          <w:sz w:val="28"/>
          <w:szCs w:val="28"/>
          <w:rtl/>
        </w:rPr>
        <w:t xml:space="preserve">ص651.</w:t>
      </w:r>
    </w:p>
    <w:p>
      <w:pPr>
        <w:pStyle w:val="BookText"/>
      </w:pPr>
      <w:r>
        <w:rPr>
          <w:rFonts w:ascii="IRNazanin" w:hAnsi="IRNazanin" w:eastAsia="IRNazanin" w:cs="IRNazanin"/>
          <w:lang w:bidi="fa-IR"/>
          <w:color w:val="111111"/>
          <w:sz w:val="28"/>
          <w:szCs w:val="28"/>
          <w:rtl/>
        </w:rPr>
        <w:t xml:space="preserve">34 .السؤال والجواب، ج8، ص 682 .</w:t>
      </w:r>
    </w:p>
    <w:p>
      <w:pPr>
        <w:pStyle w:val="BookText"/>
      </w:pPr>
      <w:r>
        <w:rPr>
          <w:rFonts w:ascii="IRNazanin" w:hAnsi="IRNazanin" w:eastAsia="IRNazanin" w:cs="IRNazanin"/>
          <w:lang w:bidi="fa-IR"/>
          <w:color w:val="111111"/>
          <w:sz w:val="28"/>
          <w:szCs w:val="28"/>
          <w:rtl/>
        </w:rPr>
        <w:t xml:space="preserve">35 .سؤال و جواب، ج8، ص 683.</w:t>
      </w:r>
    </w:p>
    <w:p>
      <w:pPr>
        <w:pStyle w:val="BookText"/>
      </w:pPr>
      <w:r>
        <w:rPr>
          <w:rFonts w:ascii="Amiri" w:hAnsi="Amiri" w:eastAsia="Amiri" w:cs="Amiri"/>
          <w:lang w:bidi="ar-SA"/>
          <w:color w:val="111111"/>
          <w:sz w:val="28"/>
          <w:szCs w:val="28"/>
          <w:rtl/>
        </w:rPr>
        <w:t xml:space="preserve">36 .سؤال و جواب = اجوبة المسائل =</w:t>
      </w:r>
    </w:p>
    <w:p>
      <w:pPr>
        <w:pStyle w:val="BookText"/>
      </w:pPr>
      <w:r>
        <w:rPr>
          <w:rFonts w:ascii="Amiri" w:hAnsi="Amiri" w:eastAsia="Amiri" w:cs="Amiri"/>
          <w:lang w:bidi="ar-SA"/>
          <w:color w:val="111111"/>
          <w:sz w:val="28"/>
          <w:szCs w:val="28"/>
          <w:rtl/>
        </w:rPr>
        <w:t xml:space="preserve">رساله عمليه، ج8، ص 683.</w:t>
      </w:r>
    </w:p>
    <w:p>
      <w:pPr>
        <w:pStyle w:val="BookText"/>
      </w:pPr>
      <w:r>
        <w:rPr>
          <w:rFonts w:ascii="IRNazanin" w:hAnsi="IRNazanin" w:eastAsia="IRNazanin" w:cs="IRNazanin"/>
          <w:lang w:bidi="fa-IR"/>
          <w:color w:val="111111"/>
          <w:sz w:val="28"/>
          <w:szCs w:val="28"/>
          <w:rtl/>
        </w:rPr>
        <w:t xml:space="preserve">37 .سیر و سلوك، ج 9، ص32.</w:t>
      </w:r>
    </w:p>
    <w:p>
      <w:pPr>
        <w:pStyle w:val="BookText"/>
      </w:pPr>
      <w:r>
        <w:rPr>
          <w:rFonts w:ascii="IRNazanin" w:hAnsi="IRNazanin" w:eastAsia="IRNazanin" w:cs="IRNazanin"/>
          <w:lang w:bidi="fa-IR"/>
          <w:color w:val="111111"/>
          <w:sz w:val="28"/>
          <w:szCs w:val="28"/>
          <w:rtl/>
        </w:rPr>
        <w:t xml:space="preserve">38 .سير و سلوك = پاسخ سيد حسين</w:t>
      </w:r>
    </w:p>
    <w:p>
      <w:pPr>
        <w:pStyle w:val="BookText"/>
      </w:pPr>
      <w:r>
        <w:rPr>
          <w:rFonts w:ascii="Amiri" w:hAnsi="Amiri" w:eastAsia="Amiri" w:cs="Amiri"/>
          <w:lang w:bidi="ar-SA"/>
          <w:color w:val="111111"/>
          <w:sz w:val="28"/>
          <w:szCs w:val="28"/>
          <w:rtl/>
        </w:rPr>
        <w:t xml:space="preserve">قزويني، ج9، ص32.</w:t>
      </w:r>
    </w:p>
    <w:p>
      <w:pPr>
        <w:pStyle w:val="BookText"/>
      </w:pPr>
      <w:r>
        <w:rPr>
          <w:rFonts w:ascii="IRNazanin" w:hAnsi="IRNazanin" w:eastAsia="IRNazanin" w:cs="IRNazanin"/>
          <w:lang w:bidi="fa-IR"/>
          <w:color w:val="111111"/>
          <w:sz w:val="28"/>
          <w:szCs w:val="28"/>
          <w:rtl/>
        </w:rPr>
        <w:t xml:space="preserve">39 .شرح حدیث «من سود اسمه»،</w:t>
      </w:r>
    </w:p>
    <w:p>
      <w:pPr>
        <w:pStyle w:val="BookText"/>
      </w:pPr>
      <w:r>
        <w:rPr>
          <w:rFonts w:ascii="IRNazanin" w:hAnsi="IRNazanin" w:eastAsia="IRNazanin" w:cs="IRNazanin"/>
          <w:lang w:bidi="fa-IR"/>
          <w:color w:val="111111"/>
          <w:sz w:val="28"/>
          <w:szCs w:val="28"/>
          <w:rtl/>
        </w:rPr>
        <w:t xml:space="preserve">ج 9، ص 402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24" w:name="pg7742_70611"/>
    <w:bookmarkEnd w:id="624"/>
    <w:p>
      <w:pPr>
        <w:pStyle w:val="BookText"/>
      </w:pPr>
      <w:r>
        <w:rPr>
          <w:rFonts w:ascii="Amiri" w:hAnsi="Amiri" w:eastAsia="Amiri" w:cs="Amiri"/>
          <w:lang w:bidi="ar-SA"/>
          <w:color w:val="111111"/>
          <w:sz w:val="28"/>
          <w:szCs w:val="28"/>
          <w:rtl/>
        </w:rPr>
        <w:t xml:space="preserve">40 .شكيات نماز، ج 10، ص 405.</w:t>
      </w:r>
    </w:p>
    <w:p>
      <w:pPr>
        <w:pStyle w:val="BookText"/>
      </w:pPr>
      <w:r>
        <w:rPr>
          <w:rFonts w:ascii="Amiri" w:hAnsi="Amiri" w:eastAsia="Amiri" w:cs="Amiri"/>
          <w:lang w:bidi="ar-SA"/>
          <w:color w:val="111111"/>
          <w:sz w:val="28"/>
          <w:szCs w:val="28"/>
          <w:rtl/>
        </w:rPr>
        <w:t xml:space="preserve">41 .الصلاتية، ج 10، ص 619.</w:t>
      </w:r>
    </w:p>
    <w:p>
      <w:pPr>
        <w:pStyle w:val="BookText"/>
      </w:pPr>
      <w:r>
        <w:rPr>
          <w:rFonts w:ascii="Amiri" w:hAnsi="Amiri" w:eastAsia="Amiri" w:cs="Amiri"/>
          <w:lang w:bidi="ar-SA"/>
          <w:color w:val="111111"/>
          <w:sz w:val="28"/>
          <w:szCs w:val="28"/>
          <w:rtl/>
        </w:rPr>
        <w:t xml:space="preserve">42 .عدم لزوم القبض في الوقت المختص = الوقف = اشتراط القبض</w:t>
      </w:r>
    </w:p>
    <w:p>
      <w:pPr>
        <w:pStyle w:val="BookText"/>
      </w:pPr>
      <w:r>
        <w:rPr>
          <w:rFonts w:ascii="Amiri" w:hAnsi="Amiri" w:eastAsia="Amiri" w:cs="Amiri"/>
          <w:lang w:bidi="ar-SA"/>
          <w:color w:val="111111"/>
          <w:sz w:val="28"/>
          <w:szCs w:val="28"/>
          <w:rtl/>
        </w:rPr>
        <w:t xml:space="preserve">في الموقوف، ج 11، ص 69.</w:t>
      </w:r>
    </w:p>
    <w:p>
      <w:pPr>
        <w:pStyle w:val="BookText"/>
      </w:pPr>
      <w:r>
        <w:rPr>
          <w:rFonts w:ascii="Amiri" w:hAnsi="Amiri" w:eastAsia="Amiri" w:cs="Amiri"/>
          <w:lang w:bidi="ar-SA"/>
          <w:color w:val="111111"/>
          <w:sz w:val="28"/>
          <w:szCs w:val="28"/>
          <w:rtl/>
        </w:rPr>
        <w:t xml:space="preserve">43 .علم الرجال (رسالة في)، ج 11،</w:t>
      </w:r>
    </w:p>
    <w:p>
      <w:pPr>
        <w:pStyle w:val="BookText"/>
      </w:pPr>
      <w:r>
        <w:rPr>
          <w:rFonts w:ascii="IRNazanin" w:hAnsi="IRNazanin" w:eastAsia="IRNazanin" w:cs="IRNazanin"/>
          <w:lang w:bidi="fa-IR"/>
          <w:color w:val="111111"/>
          <w:sz w:val="28"/>
          <w:szCs w:val="28"/>
          <w:rtl/>
        </w:rPr>
        <w:t xml:space="preserve">ص 246.</w:t>
      </w:r>
    </w:p>
    <w:p>
      <w:pPr>
        <w:pStyle w:val="BookText"/>
      </w:pPr>
      <w:r>
        <w:rPr>
          <w:rFonts w:ascii="IRNazanin" w:hAnsi="IRNazanin" w:eastAsia="IRNazanin" w:cs="IRNazanin"/>
          <w:lang w:bidi="fa-IR"/>
          <w:color w:val="111111"/>
          <w:sz w:val="28"/>
          <w:szCs w:val="28"/>
          <w:rtl/>
        </w:rPr>
        <w:t xml:space="preserve">44 .مجموعه ، ج 14، ص 5.</w:t>
      </w:r>
    </w:p>
    <w:p>
      <w:pPr>
        <w:pStyle w:val="BookText"/>
      </w:pPr>
      <w:r>
        <w:rPr>
          <w:rFonts w:ascii="Amiri" w:hAnsi="Amiri" w:eastAsia="Amiri" w:cs="Amiri"/>
          <w:lang w:bidi="ar-SA"/>
          <w:color w:val="111111"/>
          <w:sz w:val="28"/>
          <w:szCs w:val="28"/>
          <w:rtl/>
        </w:rPr>
        <w:t xml:space="preserve">45 .مطالع الانوار المقتبسة من آثار الائمة الاطهار - مطالع الانوار في شرح شرائع الاسلام، ج 14، ص 771.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الملقبون بماجيلويه، ج 15، ص 464.</w:t>
      </w:r>
    </w:p>
    <w:p>
      <w:pPr>
        <w:pStyle w:val="BookText"/>
      </w:pPr>
      <w:r>
        <w:rPr>
          <w:rFonts w:ascii="Amiri" w:hAnsi="Amiri" w:eastAsia="Amiri" w:cs="Amiri"/>
          <w:lang w:bidi="ar-SA"/>
          <w:color w:val="111111"/>
          <w:sz w:val="28"/>
          <w:szCs w:val="28"/>
          <w:rtl/>
        </w:rPr>
        <w:t xml:space="preserve">47 .مناسك حج = آداب و اعمال حج</w:t>
      </w:r>
    </w:p>
    <w:p>
      <w:pPr>
        <w:pStyle w:val="BookText"/>
      </w:pPr>
      <w:r>
        <w:rPr>
          <w:rFonts w:ascii="Amiri" w:hAnsi="Amiri" w:eastAsia="Amiri" w:cs="Amiri"/>
          <w:lang w:bidi="ar-SA"/>
          <w:color w:val="111111"/>
          <w:sz w:val="28"/>
          <w:szCs w:val="28"/>
          <w:rtl/>
        </w:rPr>
        <w:t xml:space="preserve">مراسم حج = آداب عمره تمتع مناسك الحج، ج 15 ، ص 501.</w:t>
      </w:r>
    </w:p>
    <w:p>
      <w:pPr>
        <w:pStyle w:val="BookText"/>
      </w:pPr>
      <w:r>
        <w:rPr>
          <w:rFonts w:ascii="Amiri" w:hAnsi="Amiri" w:eastAsia="Amiri" w:cs="Amiri"/>
          <w:lang w:bidi="ar-SA"/>
          <w:color w:val="111111"/>
          <w:sz w:val="28"/>
          <w:szCs w:val="28"/>
          <w:rtl/>
        </w:rPr>
        <w:t xml:space="preserve">شفتي اصفهاني ، محمّد باقر -شفتي</w:t>
      </w:r>
    </w:p>
    <w:p>
      <w:pPr>
        <w:pStyle w:val="BookText"/>
      </w:pPr>
      <w:r>
        <w:rPr>
          <w:rFonts w:ascii="Amiri" w:hAnsi="Amiri" w:eastAsia="Amiri" w:cs="Amiri"/>
          <w:lang w:bidi="ar-SA"/>
          <w:color w:val="111111"/>
          <w:sz w:val="28"/>
          <w:szCs w:val="28"/>
          <w:rtl/>
        </w:rPr>
        <w:t xml:space="preserve">بيدآبادي، محمّد باقر بن محمّد نقي</w:t>
      </w:r>
    </w:p>
    <w:p>
      <w:pPr>
        <w:pStyle w:val="BookText"/>
      </w:pPr>
      <w:r>
        <w:rPr>
          <w:rFonts w:ascii="Amiri" w:hAnsi="Amiri" w:eastAsia="Amiri" w:cs="Amiri"/>
          <w:lang w:bidi="ar-SA"/>
          <w:color w:val="111111"/>
          <w:sz w:val="28"/>
          <w:szCs w:val="28"/>
          <w:rtl/>
        </w:rPr>
        <w:t xml:space="preserve">شفتي اصفهاني ، محمّد باقر- شفتي</w:t>
      </w:r>
    </w:p>
    <w:p>
      <w:pPr>
        <w:pStyle w:val="BookText"/>
      </w:pPr>
      <w:r>
        <w:rPr>
          <w:rFonts w:ascii="Amiri" w:hAnsi="Amiri" w:eastAsia="Amiri" w:cs="Amiri"/>
          <w:lang w:bidi="ar-SA"/>
          <w:color w:val="111111"/>
          <w:sz w:val="28"/>
          <w:szCs w:val="28"/>
          <w:rtl/>
        </w:rPr>
        <w:t xml:space="preserve">بيدآبادي، محمّد باقر بن محمّد نقي</w:t>
      </w:r>
    </w:p>
    <w:p>
      <w:pPr>
        <w:pStyle w:val="BookText"/>
      </w:pPr>
      <w:r>
        <w:rPr>
          <w:rFonts w:ascii="Amiri" w:hAnsi="Amiri" w:eastAsia="Amiri" w:cs="Amiri"/>
          <w:lang w:bidi="ar-SA"/>
          <w:color w:val="111111"/>
          <w:sz w:val="28"/>
          <w:szCs w:val="28"/>
          <w:rtl/>
        </w:rPr>
        <w:t xml:space="preserve">شفتي جيلاني ، محمّد باقر بن محمّد نقي -</w:t>
      </w:r>
    </w:p>
    <w:p>
      <w:pPr>
        <w:pStyle w:val="BookText"/>
      </w:pPr>
      <w:r>
        <w:rPr>
          <w:rFonts w:ascii="Amiri" w:hAnsi="Amiri" w:eastAsia="Amiri" w:cs="Amiri"/>
          <w:lang w:bidi="ar-SA"/>
          <w:color w:val="111111"/>
          <w:sz w:val="28"/>
          <w:szCs w:val="28"/>
          <w:rtl/>
        </w:rPr>
        <w:t xml:space="preserve">شفتي بيدآبادي ، محمّد باقر بن محمّد نقي</w:t>
      </w:r>
    </w:p>
    <w:p>
      <w:pPr>
        <w:pStyle w:val="BookText"/>
      </w:pPr>
      <w:r>
        <w:rPr>
          <w:rFonts w:ascii="Amiri" w:hAnsi="Amiri" w:eastAsia="Amiri" w:cs="Amiri"/>
          <w:lang w:bidi="ar-SA"/>
          <w:color w:val="111111"/>
          <w:sz w:val="28"/>
          <w:szCs w:val="28"/>
          <w:rtl/>
        </w:rPr>
        <w:t xml:space="preserve">شفتي ، محمّد باقر بن محمّد نقي شفتي بيدآبادي ، محمّد باقر بن محمّد</w:t>
      </w:r>
    </w:p>
    <w:p>
      <w:pPr>
        <w:pStyle w:val="BookText"/>
      </w:pPr>
      <w:r>
        <w:rPr>
          <w:rFonts w:ascii="Amiri" w:hAnsi="Amiri" w:eastAsia="Amiri" w:cs="Amiri"/>
          <w:lang w:bidi="ar-SA"/>
          <w:color w:val="111111"/>
          <w:sz w:val="28"/>
          <w:szCs w:val="28"/>
          <w:rtl/>
        </w:rPr>
        <w:t xml:space="preserve">نقي</w:t>
      </w:r>
    </w:p>
    <w:p>
      <w:pPr>
        <w:pStyle w:val="BookText"/>
      </w:pPr>
      <w:r>
        <w:rPr>
          <w:rFonts w:ascii="Amiri" w:hAnsi="Amiri" w:eastAsia="Amiri" w:cs="Amiri"/>
          <w:lang w:bidi="ar-SA"/>
          <w:color w:val="111111"/>
          <w:sz w:val="28"/>
          <w:szCs w:val="28"/>
          <w:rtl/>
        </w:rPr>
        <w:t xml:space="preserve">شفره اصفهاني ، عبدالمؤمن بن هبة</w:t>
      </w:r>
    </w:p>
    <w:p>
      <w:pPr>
        <w:pStyle w:val="BookText"/>
      </w:pPr>
      <w:r>
        <w:rPr>
          <w:rFonts w:ascii="Amiri" w:hAnsi="Amiri" w:eastAsia="Amiri" w:cs="Amiri"/>
          <w:lang w:bidi="ar-SA"/>
          <w:color w:val="111111"/>
          <w:sz w:val="28"/>
          <w:szCs w:val="28"/>
          <w:rtl/>
        </w:rPr>
        <w:t xml:space="preserve">الله- شقروه ، عبدالمؤمن بن هبة الله</w:t>
      </w:r>
    </w:p>
    <w:p>
      <w:pPr>
        <w:pStyle w:val="Heading2"/>
      </w:pPr>
      <w:bookmarkStart w:id="5179" w:name="_Toc4281"/>
      <w:r>
        <w:t>شفهيني ، علي</w:t>
      </w:r>
      <w:bookmarkEnd w:id="5179"/>
    </w:p>
    <w:p>
      <w:pPr>
        <w:pStyle w:val="BookText"/>
      </w:pPr>
      <w:r>
        <w:rPr>
          <w:rFonts w:ascii="Amiri" w:hAnsi="Amiri" w:eastAsia="Amiri" w:cs="Amiri"/>
          <w:lang w:bidi="ar-SA"/>
          <w:color w:val="111111"/>
          <w:sz w:val="28"/>
          <w:szCs w:val="28"/>
          <w:rtl/>
        </w:rPr>
        <w:t xml:space="preserve">ديوان علي الشفهيني، ج 7، ص 724</w:t>
      </w:r>
    </w:p>
    <w:p>
      <w:pPr>
        <w:pStyle w:val="Heading2"/>
      </w:pPr>
      <w:bookmarkStart w:id="5180" w:name="_Toc4282"/>
      <w:r>
        <w:t>شفوي ، ولد علي</w:t>
      </w:r>
      <w:bookmarkEnd w:id="5180"/>
    </w:p>
    <w:p>
      <w:pPr>
        <w:pStyle w:val="BookText"/>
      </w:pPr>
      <w:r>
        <w:rPr>
          <w:rFonts w:ascii="IRNazanin" w:hAnsi="IRNazanin" w:eastAsia="IRNazanin" w:cs="IRNazanin"/>
          <w:lang w:bidi="fa-IR"/>
          <w:color w:val="111111"/>
          <w:sz w:val="28"/>
          <w:szCs w:val="28"/>
          <w:rtl/>
        </w:rPr>
        <w:t xml:space="preserve">عماد الاسلام، ج11، ص281</w:t>
      </w:r>
    </w:p>
    <w:p>
      <w:pPr>
        <w:pStyle w:val="BookText"/>
      </w:pPr>
      <w:r>
        <w:rPr>
          <w:rFonts w:ascii="Amiri" w:hAnsi="Amiri" w:eastAsia="Amiri" w:cs="Amiri"/>
          <w:lang w:bidi="ar-SA"/>
          <w:color w:val="111111"/>
          <w:sz w:val="28"/>
          <w:szCs w:val="28"/>
          <w:rtl/>
        </w:rPr>
        <w:t xml:space="preserve">شفيع علي خان بن خليل الرحمن لكهنوئي- لكهنوئي ، شفيع علي خان بن خليل الرحمن</w:t>
      </w:r>
    </w:p>
    <w:p>
      <w:pPr>
        <w:pStyle w:val="BookText"/>
      </w:pPr>
      <w:r>
        <w:rPr>
          <w:rFonts w:ascii="Amiri" w:hAnsi="Amiri" w:eastAsia="Amiri" w:cs="Amiri"/>
          <w:lang w:bidi="ar-SA"/>
          <w:color w:val="111111"/>
          <w:sz w:val="28"/>
          <w:szCs w:val="28"/>
          <w:rtl/>
        </w:rPr>
        <w:t xml:space="preserve">شفيع قزويني ، محمّد- قزويني ، محمّد</w:t>
      </w:r>
    </w:p>
    <w:p>
      <w:pPr>
        <w:pStyle w:val="BookText"/>
      </w:pPr>
      <w:r>
        <w:rPr>
          <w:rFonts w:ascii="IRNazanin" w:hAnsi="IRNazanin" w:eastAsia="IRNazanin" w:cs="IRNazanin"/>
          <w:lang w:bidi="fa-IR"/>
          <w:color w:val="111111"/>
          <w:sz w:val="28"/>
          <w:szCs w:val="28"/>
          <w:rtl/>
        </w:rPr>
        <w:t xml:space="preserve">يحيى بن محمّد شفیع</w:t>
      </w:r>
    </w:p>
    <w:p>
      <w:pPr>
        <w:pStyle w:val="Heading2"/>
      </w:pPr>
      <w:bookmarkStart w:id="5181" w:name="_Toc4283"/>
      <w:r>
        <w:t>شقاق ، حسين بن احمد - 511 ه-</w:t>
      </w:r>
      <w:bookmarkEnd w:id="5181"/>
    </w:p>
    <w:p>
      <w:pPr>
        <w:pStyle w:val="BookText"/>
      </w:pPr>
      <w:r>
        <w:rPr>
          <w:rFonts w:ascii="Amiri" w:hAnsi="Amiri" w:eastAsia="Amiri" w:cs="Amiri"/>
          <w:lang w:bidi="ar-SA"/>
          <w:color w:val="111111"/>
          <w:sz w:val="28"/>
          <w:szCs w:val="28"/>
          <w:rtl/>
        </w:rPr>
        <w:t xml:space="preserve">شرح كتاب الكافي للكرجي رحمه الله</w:t>
      </w:r>
    </w:p>
    <w:p>
      <w:pPr>
        <w:pStyle w:val="BookText"/>
      </w:pPr>
      <w:r>
        <w:rPr>
          <w:rFonts w:ascii="IRNazanin" w:hAnsi="IRNazanin" w:eastAsia="IRNazanin" w:cs="IRNazanin"/>
          <w:lang w:bidi="fa-IR"/>
          <w:color w:val="111111"/>
          <w:sz w:val="28"/>
          <w:szCs w:val="28"/>
          <w:rtl/>
        </w:rPr>
        <w:t xml:space="preserve">ج 10، ص 51.</w:t>
      </w:r>
    </w:p>
    <w:p>
      <w:pPr>
        <w:pStyle w:val="BookText"/>
      </w:pPr>
      <w:r>
        <w:rPr>
          <w:rFonts w:ascii="Amiri" w:hAnsi="Amiri" w:eastAsia="Amiri" w:cs="Amiri"/>
          <w:lang w:bidi="ar-SA"/>
          <w:color w:val="111111"/>
          <w:sz w:val="28"/>
          <w:szCs w:val="28"/>
          <w:rtl/>
        </w:rPr>
        <w:t xml:space="preserve">شقرائي ، جواد بن محمّد- عاملي غروي ،</w:t>
      </w:r>
    </w:p>
    <w:p>
      <w:pPr>
        <w:pStyle w:val="BookText"/>
      </w:pPr>
      <w:r>
        <w:rPr>
          <w:rFonts w:ascii="IRNazanin" w:hAnsi="IRNazanin" w:eastAsia="IRNazanin" w:cs="IRNazanin"/>
          <w:lang w:bidi="fa-IR"/>
          <w:color w:val="111111"/>
          <w:sz w:val="28"/>
          <w:szCs w:val="28"/>
          <w:rtl/>
        </w:rPr>
        <w:t xml:space="preserve">جواد بن محمّد</w:t>
      </w:r>
    </w:p>
    <w:p>
      <w:pPr>
        <w:pStyle w:val="Heading2"/>
      </w:pPr>
      <w:bookmarkStart w:id="5182" w:name="_Toc4284"/>
      <w:r>
        <w:t>شقراطسي ، يحيى بن علي - 415 ه-</w:t>
      </w:r>
      <w:bookmarkEnd w:id="5182"/>
    </w:p>
    <w:p>
      <w:pPr>
        <w:pStyle w:val="BookText"/>
      </w:pPr>
      <w:r>
        <w:rPr>
          <w:rFonts w:ascii="Amiri" w:hAnsi="Amiri" w:eastAsia="Amiri" w:cs="Amiri"/>
          <w:lang w:bidi="ar-SA"/>
          <w:color w:val="111111"/>
          <w:sz w:val="28"/>
          <w:szCs w:val="28"/>
          <w:rtl/>
        </w:rPr>
        <w:t xml:space="preserve">قصيدة، ج 12، ص 633.</w:t>
      </w:r>
    </w:p>
    <w:p>
      <w:pPr>
        <w:pStyle w:val="Heading2"/>
      </w:pPr>
      <w:bookmarkStart w:id="5183" w:name="_Toc4285"/>
      <w:r>
        <w:t>شقروه ، عبدالمؤمن بن هبة الله - 598</w:t>
      </w:r>
      <w:bookmarkEnd w:id="5183"/>
    </w:p>
    <w:p>
      <w:pPr>
        <w:pStyle w:val="BookText"/>
      </w:pPr>
      <w:r>
        <w:rPr>
          <w:rFonts w:ascii="Amiri" w:hAnsi="Amiri" w:eastAsia="Amiri" w:cs="Amiri"/>
          <w:lang w:bidi="ar-SA"/>
          <w:color w:val="111111"/>
          <w:sz w:val="28"/>
          <w:szCs w:val="28"/>
          <w:rtl/>
        </w:rPr>
        <w:t xml:space="preserve">اطباق الذهب في المواعظ و الخطب</w:t>
      </w:r>
    </w:p>
    <w:p>
      <w:pPr>
        <w:pStyle w:val="BookText"/>
      </w:pPr>
      <w:r>
        <w:rPr>
          <w:rFonts w:ascii="IRNazanin" w:hAnsi="IRNazanin" w:eastAsia="IRNazanin" w:cs="IRNazanin"/>
          <w:lang w:bidi="fa-IR"/>
          <w:color w:val="111111"/>
          <w:sz w:val="28"/>
          <w:szCs w:val="28"/>
          <w:rtl/>
        </w:rPr>
        <w:t xml:space="preserve">ج 2، ص 477.</w:t>
      </w:r>
    </w:p>
    <w:p>
      <w:pPr>
        <w:pStyle w:val="Heading2"/>
      </w:pPr>
      <w:bookmarkStart w:id="5184" w:name="_Toc4286"/>
      <w:r>
        <w:t>شقصي ، عبدالله بن عمر</w:t>
      </w:r>
      <w:bookmarkEnd w:id="5184"/>
    </w:p>
    <w:p>
      <w:pPr>
        <w:pStyle w:val="BookText"/>
      </w:pPr>
      <w:r>
        <w:rPr>
          <w:rFonts w:ascii="IRNazanin" w:hAnsi="IRNazanin" w:eastAsia="IRNazanin" w:cs="IRNazanin"/>
          <w:lang w:bidi="fa-IR"/>
          <w:color w:val="111111"/>
          <w:sz w:val="28"/>
          <w:szCs w:val="28"/>
          <w:rtl/>
        </w:rPr>
        <w:t xml:space="preserve">دیوان شقصي، ج 7، ص 672.</w:t>
      </w:r>
    </w:p>
    <w:p>
      <w:pPr>
        <w:pStyle w:val="Heading2"/>
      </w:pPr>
      <w:bookmarkStart w:id="5185" w:name="_Toc4287"/>
      <w:r>
        <w:t>شقيقي ، علي</w:t>
      </w:r>
      <w:bookmarkEnd w:id="5185"/>
    </w:p>
    <w:p>
      <w:pPr>
        <w:pStyle w:val="BookText"/>
      </w:pPr>
      <w:r>
        <w:rPr>
          <w:rFonts w:ascii="Amiri" w:hAnsi="Amiri" w:eastAsia="Amiri" w:cs="Amiri"/>
          <w:lang w:bidi="ar-SA"/>
          <w:color w:val="111111"/>
          <w:sz w:val="28"/>
          <w:szCs w:val="28"/>
          <w:rtl/>
        </w:rPr>
        <w:t xml:space="preserve">رسالة مهدية، ج 8، ص 284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5186" w:name="_Toc4288"/>
      <w:r>
        <w:t>شقيقي يمني ، ابوالقاسم بن محمّد قرن 8ه-</w:t>
      </w:r>
      <w:bookmarkEnd w:id="5186"/>
    </w:p>
    <w:p>
      <w:pPr>
        <w:pStyle w:val="BookText"/>
      </w:pPr>
      <w:r>
        <w:rPr>
          <w:rFonts w:ascii="Amiri" w:hAnsi="Amiri" w:eastAsia="Amiri" w:cs="Amiri"/>
          <w:lang w:bidi="ar-SA"/>
          <w:color w:val="111111"/>
          <w:sz w:val="28"/>
          <w:szCs w:val="28"/>
          <w:rtl/>
        </w:rPr>
        <w:t xml:space="preserve">جلاء قلوب العارفين بحكايات الاولياء</w:t>
      </w:r>
    </w:p>
    <w:p>
      <w:pPr>
        <w:pStyle w:val="BookText"/>
      </w:pPr>
      <w:r>
        <w:rPr>
          <w:rFonts w:ascii="Amiri" w:hAnsi="Amiri" w:eastAsia="Amiri" w:cs="Amiri"/>
          <w:lang w:bidi="ar-SA"/>
          <w:color w:val="111111"/>
          <w:sz w:val="28"/>
          <w:szCs w:val="28"/>
          <w:rtl/>
        </w:rPr>
        <w:t xml:space="preserve">و الصالحين، ج 5، ص 415.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25" w:name="pg7742_70612"/>
    <w:bookmarkEnd w:id="625"/>
    <w:p>
      <w:pPr>
        <w:pStyle w:val="BookText"/>
      </w:pPr>
      <w:r>
        <w:rPr>
          <w:rFonts w:ascii="IRNazanin" w:hAnsi="IRNazanin" w:eastAsia="IRNazanin" w:cs="IRNazanin"/>
          <w:lang w:bidi="fa-IR"/>
          <w:color w:val="111111"/>
          <w:sz w:val="28"/>
          <w:szCs w:val="28"/>
          <w:rtl/>
        </w:rPr>
        <w:t xml:space="preserve">شکادري ، محمّد بن حسين- فضلي</w:t>
      </w:r>
    </w:p>
    <w:p>
      <w:pPr>
        <w:pStyle w:val="BookText"/>
      </w:pPr>
      <w:r>
        <w:rPr>
          <w:rFonts w:ascii="Amiri" w:hAnsi="Amiri" w:eastAsia="Amiri" w:cs="Amiri"/>
          <w:lang w:bidi="ar-SA"/>
          <w:color w:val="111111"/>
          <w:sz w:val="28"/>
          <w:szCs w:val="28"/>
          <w:rtl/>
        </w:rPr>
        <w:t xml:space="preserve">شكادري ، محمّد بن حسين</w:t>
      </w:r>
    </w:p>
    <w:p>
      <w:pPr>
        <w:pStyle w:val="BookText"/>
      </w:pPr>
      <w:r>
        <w:rPr>
          <w:rFonts w:ascii="IRNazanin" w:hAnsi="IRNazanin" w:eastAsia="IRNazanin" w:cs="IRNazanin"/>
          <w:lang w:bidi="fa-IR"/>
          <w:color w:val="111111"/>
          <w:sz w:val="28"/>
          <w:szCs w:val="28"/>
          <w:rtl/>
        </w:rPr>
        <w:t xml:space="preserve">شكر بن ابي الحسن مفرج -مفرج ، شکر</w:t>
      </w:r>
    </w:p>
    <w:p>
      <w:pPr>
        <w:pStyle w:val="BookText"/>
      </w:pPr>
      <w:r>
        <w:rPr>
          <w:rFonts w:ascii="Amiri" w:hAnsi="Amiri" w:eastAsia="Amiri" w:cs="Amiri"/>
          <w:lang w:bidi="ar-SA"/>
          <w:color w:val="111111"/>
          <w:sz w:val="28"/>
          <w:szCs w:val="28"/>
          <w:rtl/>
        </w:rPr>
        <w:t xml:space="preserve">بن ابي الحسن</w:t>
      </w:r>
    </w:p>
    <w:p>
      <w:pPr>
        <w:pStyle w:val="Heading2"/>
      </w:pPr>
      <w:bookmarkStart w:id="5187" w:name="_Toc4289"/>
      <w:r>
        <w:t>شکرزاده ، فيض الله بن مصطفى</w:t>
      </w:r>
      <w:bookmarkEnd w:id="5187"/>
    </w:p>
    <w:p>
      <w:pPr>
        <w:pStyle w:val="BookText"/>
      </w:pPr>
      <w:r>
        <w:rPr>
          <w:rFonts w:ascii="IRNazanin" w:hAnsi="IRNazanin" w:eastAsia="IRNazanin" w:cs="IRNazanin"/>
          <w:lang w:bidi="fa-IR"/>
          <w:color w:val="111111"/>
          <w:sz w:val="28"/>
          <w:szCs w:val="28"/>
          <w:rtl/>
        </w:rPr>
        <w:t xml:space="preserve">1229 ه-</w:t>
      </w:r>
    </w:p>
    <w:p>
      <w:pPr>
        <w:pStyle w:val="BookText"/>
      </w:pPr>
      <w:r>
        <w:rPr>
          <w:rFonts w:ascii="Amiri" w:hAnsi="Amiri" w:eastAsia="Amiri" w:cs="Amiri"/>
          <w:lang w:bidi="ar-SA"/>
          <w:color w:val="111111"/>
          <w:sz w:val="28"/>
          <w:szCs w:val="28"/>
          <w:rtl/>
        </w:rPr>
        <w:t xml:space="preserve">الوسيلة النافعة في فضائل القرآن</w:t>
      </w:r>
    </w:p>
    <w:p>
      <w:pPr>
        <w:pStyle w:val="BookText"/>
      </w:pPr>
      <w:r>
        <w:rPr>
          <w:rFonts w:ascii="IRNazanin" w:hAnsi="IRNazanin" w:eastAsia="IRNazanin" w:cs="IRNazanin"/>
          <w:lang w:bidi="fa-IR"/>
          <w:color w:val="111111"/>
          <w:sz w:val="28"/>
          <w:szCs w:val="28"/>
          <w:rtl/>
        </w:rPr>
        <w:t xml:space="preserve">ج 16، ص 789.</w:t>
      </w:r>
    </w:p>
    <w:p>
      <w:pPr>
        <w:pStyle w:val="Heading2"/>
      </w:pPr>
      <w:bookmarkStart w:id="5188" w:name="_Toc4290"/>
      <w:r>
        <w:t>شکر ، عبدالحسين بن احمد</w:t>
      </w:r>
      <w:bookmarkEnd w:id="5188"/>
    </w:p>
    <w:p>
      <w:pPr>
        <w:pStyle w:val="BookText"/>
      </w:pPr>
      <w:r>
        <w:rPr>
          <w:rFonts w:ascii="IRNazanin" w:hAnsi="IRNazanin" w:eastAsia="IRNazanin" w:cs="IRNazanin"/>
          <w:lang w:bidi="fa-IR"/>
          <w:color w:val="111111"/>
          <w:sz w:val="28"/>
          <w:szCs w:val="28"/>
          <w:rtl/>
        </w:rPr>
        <w:t xml:space="preserve">دیوان شكر، ج 7، ص 673 .</w:t>
      </w:r>
    </w:p>
    <w:p>
      <w:pPr>
        <w:pStyle w:val="BookText"/>
      </w:pPr>
      <w:r>
        <w:rPr>
          <w:rFonts w:ascii="Amiri" w:hAnsi="Amiri" w:eastAsia="Amiri" w:cs="Amiri"/>
          <w:lang w:bidi="ar-SA"/>
          <w:color w:val="111111"/>
          <w:sz w:val="28"/>
          <w:szCs w:val="28"/>
          <w:rtl/>
        </w:rPr>
        <w:t xml:space="preserve">شكر ، كاظم بن محمّد علي -كاظم بن</w:t>
      </w:r>
    </w:p>
    <w:p>
      <w:pPr>
        <w:pStyle w:val="BookText"/>
      </w:pPr>
      <w:r>
        <w:rPr>
          <w:rFonts w:ascii="Amiri" w:hAnsi="Amiri" w:eastAsia="Amiri" w:cs="Amiri"/>
          <w:lang w:bidi="ar-SA"/>
          <w:color w:val="111111"/>
          <w:sz w:val="28"/>
          <w:szCs w:val="28"/>
          <w:rtl/>
        </w:rPr>
        <w:t xml:space="preserve">محمّد علي شكر</w:t>
      </w:r>
    </w:p>
    <w:p>
      <w:pPr>
        <w:pStyle w:val="Heading2"/>
      </w:pPr>
      <w:bookmarkStart w:id="5189" w:name="_Toc4291"/>
      <w:r>
        <w:t>شكري آلوسي ، محمود بن عبدالله 1275</w:t>
      </w:r>
      <w:bookmarkEnd w:id="51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1342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الآية الكبرى على ضلالة النبهاني في</w:t>
      </w:r>
    </w:p>
    <w:p>
      <w:pPr>
        <w:pStyle w:val="BookText"/>
      </w:pPr>
      <w:r>
        <w:rPr>
          <w:rFonts w:ascii="Amiri" w:hAnsi="Amiri" w:eastAsia="Amiri" w:cs="Amiri"/>
          <w:lang w:bidi="ar-SA"/>
          <w:color w:val="111111"/>
          <w:sz w:val="28"/>
          <w:szCs w:val="28"/>
          <w:rtl/>
        </w:rPr>
        <w:t xml:space="preserve">رائيته الصغرى، ج 1، ص78.</w:t>
      </w:r>
    </w:p>
    <w:p>
      <w:pPr>
        <w:pStyle w:val="BookText"/>
      </w:pPr>
      <w:r>
        <w:rPr>
          <w:rFonts w:ascii="Amiri" w:hAnsi="Amiri" w:eastAsia="Amiri" w:cs="Amiri"/>
          <w:lang w:bidi="ar-SA"/>
          <w:color w:val="111111"/>
          <w:sz w:val="28"/>
          <w:szCs w:val="28"/>
          <w:rtl/>
        </w:rPr>
        <w:t xml:space="preserve">2 .ابطال التأويلات لابطال الصفات</w:t>
      </w:r>
    </w:p>
    <w:p>
      <w:pPr>
        <w:pStyle w:val="BookText"/>
      </w:pPr>
      <w:r>
        <w:rPr>
          <w:rFonts w:ascii="IRNazanin" w:hAnsi="IRNazanin" w:eastAsia="IRNazanin" w:cs="IRNazanin"/>
          <w:lang w:bidi="fa-IR"/>
          <w:color w:val="111111"/>
          <w:sz w:val="28"/>
          <w:szCs w:val="28"/>
          <w:rtl/>
        </w:rPr>
        <w:t xml:space="preserve">ج 1، ص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إتحاف الأمجاد في ما يصح به الإستشهاد، ج 1، ص 125 .</w:t>
      </w:r>
    </w:p>
    <w:p>
      <w:pPr>
        <w:pStyle w:val="BookText"/>
      </w:pPr>
      <w:r>
        <w:rPr>
          <w:rFonts w:ascii="Amiri" w:hAnsi="Amiri" w:eastAsia="Amiri" w:cs="Amiri"/>
          <w:lang w:bidi="ar-SA"/>
          <w:color w:val="111111"/>
          <w:sz w:val="28"/>
          <w:szCs w:val="28"/>
          <w:rtl/>
        </w:rPr>
        <w:t xml:space="preserve">4 .اثبات خاتمية نبوة الرسول (ص)</w:t>
      </w:r>
    </w:p>
    <w:p>
      <w:pPr>
        <w:pStyle w:val="BookText"/>
      </w:pPr>
      <w:r>
        <w:rPr>
          <w:rFonts w:ascii="IRNazanin" w:hAnsi="IRNazanin" w:eastAsia="IRNazanin" w:cs="IRNazanin"/>
          <w:lang w:bidi="fa-IR"/>
          <w:color w:val="111111"/>
          <w:sz w:val="28"/>
          <w:szCs w:val="28"/>
          <w:rtl/>
        </w:rPr>
        <w:t xml:space="preserve">ج 1، ص 149.</w:t>
      </w:r>
    </w:p>
    <w:p>
      <w:pPr>
        <w:pStyle w:val="BookText"/>
      </w:pPr>
      <w:r>
        <w:rPr>
          <w:rFonts w:ascii="Amiri" w:hAnsi="Amiri" w:eastAsia="Amiri" w:cs="Amiri"/>
          <w:lang w:bidi="ar-SA"/>
          <w:color w:val="111111"/>
          <w:sz w:val="28"/>
          <w:szCs w:val="28"/>
          <w:rtl/>
        </w:rPr>
        <w:t xml:space="preserve">5 .الاجوبة المرضية على الاسئلة المنطقية، ج 1، ص330.</w:t>
      </w:r>
    </w:p>
    <w:p>
      <w:pPr>
        <w:pStyle w:val="BookText"/>
      </w:pPr>
      <w:r>
        <w:rPr>
          <w:rFonts w:ascii="IRNazanin" w:hAnsi="IRNazanin" w:eastAsia="IRNazanin" w:cs="IRNazanin"/>
          <w:lang w:bidi="fa-IR"/>
          <w:color w:val="111111"/>
          <w:sz w:val="28"/>
          <w:szCs w:val="28"/>
          <w:rtl/>
        </w:rPr>
        <w:t xml:space="preserve">6 .اخبار الوالد و بنیه الاماجد، ج1،</w:t>
      </w:r>
    </w:p>
    <w:p>
      <w:pPr>
        <w:pStyle w:val="BookText"/>
      </w:pPr>
      <w:r>
        <w:rPr>
          <w:rFonts w:ascii="IRNazanin" w:hAnsi="IRNazanin" w:eastAsia="IRNazanin" w:cs="IRNazanin"/>
          <w:lang w:bidi="fa-IR"/>
          <w:color w:val="111111"/>
          <w:sz w:val="28"/>
          <w:szCs w:val="28"/>
          <w:rtl/>
        </w:rPr>
        <w:t xml:space="preserve">ص 538.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اخبار بغداد و ما جاورها من البلاد</w:t>
      </w:r>
    </w:p>
    <w:p>
      <w:pPr>
        <w:pStyle w:val="BookText"/>
      </w:pPr>
      <w:r>
        <w:rPr>
          <w:rFonts w:ascii="IRNazanin" w:hAnsi="IRNazanin" w:eastAsia="IRNazanin" w:cs="IRNazanin"/>
          <w:lang w:bidi="fa-IR"/>
          <w:color w:val="111111"/>
          <w:sz w:val="28"/>
          <w:szCs w:val="28"/>
          <w:rtl/>
        </w:rPr>
        <w:t xml:space="preserve">ج 1، ص 524.</w:t>
      </w:r>
    </w:p>
    <w:p>
      <w:pPr>
        <w:pStyle w:val="BookText"/>
      </w:pPr>
      <w:r>
        <w:rPr>
          <w:rFonts w:ascii="Amiri" w:hAnsi="Amiri" w:eastAsia="Amiri" w:cs="Amiri"/>
          <w:lang w:bidi="ar-SA"/>
          <w:color w:val="111111"/>
          <w:sz w:val="28"/>
          <w:szCs w:val="28"/>
          <w:rtl/>
        </w:rPr>
        <w:t xml:space="preserve">8 .امثال العوام في مدينة دار السلام</w:t>
      </w:r>
    </w:p>
    <w:p>
      <w:pPr>
        <w:pStyle w:val="BookText"/>
      </w:pPr>
      <w:r>
        <w:rPr>
          <w:rFonts w:ascii="IRNazanin" w:hAnsi="IRNazanin" w:eastAsia="IRNazanin" w:cs="IRNazanin"/>
          <w:lang w:bidi="fa-IR"/>
          <w:color w:val="111111"/>
          <w:sz w:val="28"/>
          <w:szCs w:val="28"/>
          <w:rtl/>
        </w:rPr>
        <w:t xml:space="preserve">ج 2، ص 747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الاندلس و ما فيها من البلاد، ج 2،</w:t>
      </w:r>
    </w:p>
    <w:p>
      <w:pPr>
        <w:pStyle w:val="BookText"/>
      </w:pPr>
      <w:r>
        <w:rPr>
          <w:rFonts w:ascii="IRNazanin" w:hAnsi="IRNazanin" w:eastAsia="IRNazanin" w:cs="IRNazanin"/>
          <w:lang w:bidi="fa-IR"/>
          <w:color w:val="111111"/>
          <w:sz w:val="28"/>
          <w:szCs w:val="28"/>
          <w:rtl/>
        </w:rPr>
        <w:t xml:space="preserve">ص 796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بدائع الإنشاء، ج 3، ص 256.</w:t>
      </w:r>
    </w:p>
    <w:p>
      <w:pPr>
        <w:pStyle w:val="BookText"/>
      </w:pPr>
      <w:r>
        <w:rPr>
          <w:rFonts w:ascii="IRNazanin" w:hAnsi="IRNazanin" w:eastAsia="IRNazanin" w:cs="IRNazanin"/>
          <w:lang w:bidi="fa-IR"/>
          <w:color w:val="111111"/>
          <w:sz w:val="28"/>
          <w:szCs w:val="28"/>
          <w:rtl/>
        </w:rPr>
        <w:t xml:space="preserve">11 .تاریخ نجد، ج 3، ص 611.</w:t>
      </w:r>
    </w:p>
    <w:p>
      <w:pPr>
        <w:pStyle w:val="BookText"/>
      </w:pPr>
      <w:r>
        <w:rPr>
          <w:rFonts w:ascii="Amiri" w:hAnsi="Amiri" w:eastAsia="Amiri" w:cs="Amiri"/>
          <w:lang w:bidi="ar-SA"/>
          <w:color w:val="111111"/>
          <w:sz w:val="28"/>
          <w:szCs w:val="28"/>
          <w:rtl/>
        </w:rPr>
        <w:t xml:space="preserve">12 .تجريد السنان في الذب عن ان</w:t>
      </w:r>
    </w:p>
    <w:p>
      <w:pPr>
        <w:pStyle w:val="BookText"/>
      </w:pPr>
      <w:r>
        <w:rPr>
          <w:rFonts w:ascii="Amiri" w:hAnsi="Amiri" w:eastAsia="Amiri" w:cs="Amiri"/>
          <w:lang w:bidi="ar-SA"/>
          <w:color w:val="111111"/>
          <w:sz w:val="28"/>
          <w:szCs w:val="28"/>
          <w:rtl/>
        </w:rPr>
        <w:t xml:space="preserve">حنيفة النعمان، ج3، ص 688.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التحفة الاثنا عشرية في الرد على</w:t>
      </w:r>
    </w:p>
    <w:p>
      <w:pPr>
        <w:pStyle w:val="BookText"/>
      </w:pPr>
      <w:r>
        <w:rPr>
          <w:rFonts w:ascii="IRNazanin" w:hAnsi="IRNazanin" w:eastAsia="IRNazanin" w:cs="IRNazanin"/>
          <w:lang w:bidi="fa-IR"/>
          <w:color w:val="111111"/>
          <w:sz w:val="28"/>
          <w:szCs w:val="28"/>
          <w:rtl/>
        </w:rPr>
        <w:t xml:space="preserve">الروافض (مختصر)، ج3، ص779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الجواب عما استبهم من الاسئلة</w:t>
      </w:r>
    </w:p>
    <w:p>
      <w:pPr>
        <w:pStyle w:val="BookText"/>
      </w:pPr>
      <w:r>
        <w:rPr>
          <w:rFonts w:ascii="Amiri" w:hAnsi="Amiri" w:eastAsia="Amiri" w:cs="Amiri"/>
          <w:lang w:bidi="ar-SA"/>
          <w:color w:val="111111"/>
          <w:sz w:val="28"/>
          <w:szCs w:val="28"/>
          <w:rtl/>
        </w:rPr>
        <w:t xml:space="preserve">المتعلقة بحروف المعجم، ج5،</w:t>
      </w:r>
    </w:p>
    <w:p>
      <w:pPr>
        <w:pStyle w:val="BookText"/>
      </w:pPr>
      <w:r>
        <w:rPr>
          <w:rFonts w:ascii="IRNazanin" w:hAnsi="IRNazanin" w:eastAsia="IRNazanin" w:cs="IRNazanin"/>
          <w:lang w:bidi="fa-IR"/>
          <w:color w:val="111111"/>
          <w:sz w:val="28"/>
          <w:szCs w:val="28"/>
          <w:rtl/>
        </w:rPr>
        <w:t xml:space="preserve">ص 502.</w:t>
      </w:r>
    </w:p>
    <w:p>
      <w:pPr>
        <w:pStyle w:val="BookText"/>
      </w:pPr>
      <w:r>
        <w:rPr>
          <w:rFonts w:ascii="IRNazanin" w:hAnsi="IRNazanin" w:eastAsia="IRNazanin" w:cs="IRNazanin"/>
          <w:lang w:bidi="fa-IR"/>
          <w:color w:val="111111"/>
          <w:sz w:val="28"/>
          <w:szCs w:val="28"/>
          <w:rtl/>
        </w:rPr>
        <w:t xml:space="preserve">15 .جوامع و مساجد بغداد، ج5،</w:t>
      </w:r>
    </w:p>
    <w:p>
      <w:pPr>
        <w:pStyle w:val="BookText"/>
      </w:pPr>
      <w:r>
        <w:rPr>
          <w:rFonts w:ascii="IRNazanin" w:hAnsi="IRNazanin" w:eastAsia="IRNazanin" w:cs="IRNazanin"/>
          <w:lang w:bidi="fa-IR"/>
          <w:color w:val="111111"/>
          <w:sz w:val="28"/>
          <w:szCs w:val="28"/>
          <w:rtl/>
        </w:rPr>
        <w:t xml:space="preserve">ص 535</w:t>
      </w:r>
    </w:p>
    <w:p>
      <w:pPr>
        <w:pStyle w:val="BookText"/>
      </w:pPr>
      <w:r>
        <w:rPr>
          <w:rFonts w:ascii="Amiri" w:hAnsi="Amiri" w:eastAsia="Amiri" w:cs="Amiri"/>
          <w:lang w:bidi="ar-SA"/>
          <w:color w:val="111111"/>
          <w:sz w:val="28"/>
          <w:szCs w:val="28"/>
          <w:rtl/>
        </w:rPr>
        <w:t xml:space="preserve">16 . الجوهر الثمين في بيان حقيقة</w:t>
      </w:r>
    </w:p>
    <w:p>
      <w:pPr>
        <w:pStyle w:val="BookText"/>
      </w:pPr>
      <w:r>
        <w:rPr>
          <w:rFonts w:ascii="Amiri" w:hAnsi="Amiri" w:eastAsia="Amiri" w:cs="Amiri"/>
          <w:lang w:bidi="ar-SA"/>
          <w:color w:val="111111"/>
          <w:sz w:val="28"/>
          <w:szCs w:val="28"/>
          <w:rtl/>
        </w:rPr>
        <w:t xml:space="preserve">التضمين، ج 5، ص 619.</w:t>
      </w:r>
    </w:p>
    <w:p>
      <w:pPr>
        <w:pStyle w:val="BookText"/>
      </w:pPr>
      <w:r>
        <w:rPr>
          <w:rFonts w:ascii="Amiri" w:hAnsi="Amiri" w:eastAsia="Amiri" w:cs="Amiri"/>
          <w:lang w:bidi="ar-SA"/>
          <w:color w:val="111111"/>
          <w:sz w:val="28"/>
          <w:szCs w:val="28"/>
          <w:rtl/>
        </w:rPr>
        <w:t xml:space="preserve">17 .حواشي على شرح قطر الندى، ج 6،</w:t>
      </w:r>
    </w:p>
    <w:p>
      <w:pPr>
        <w:pStyle w:val="BookText"/>
      </w:pPr>
      <w:r>
        <w:rPr>
          <w:rFonts w:ascii="IRNazanin" w:hAnsi="IRNazanin" w:eastAsia="IRNazanin" w:cs="IRNazanin"/>
          <w:lang w:bidi="fa-IR"/>
          <w:color w:val="111111"/>
          <w:sz w:val="28"/>
          <w:szCs w:val="28"/>
          <w:rtl/>
        </w:rPr>
        <w:t xml:space="preserve">ص 838.</w:t>
      </w:r>
    </w:p>
    <w:p>
      <w:pPr>
        <w:pStyle w:val="BookText"/>
      </w:pPr>
      <w:r>
        <w:rPr>
          <w:rFonts w:ascii="Amiri" w:hAnsi="Amiri" w:eastAsia="Amiri" w:cs="Amiri"/>
          <w:lang w:bidi="ar-SA"/>
          <w:color w:val="111111"/>
          <w:sz w:val="28"/>
          <w:szCs w:val="28"/>
          <w:rtl/>
        </w:rPr>
        <w:t xml:space="preserve">18 . الدر اليتيم في شمائل ذو الخلق</w:t>
      </w:r>
    </w:p>
    <w:p>
      <w:pPr>
        <w:pStyle w:val="BookText"/>
      </w:pPr>
      <w:r>
        <w:rPr>
          <w:rFonts w:ascii="Amiri" w:hAnsi="Amiri" w:eastAsia="Amiri" w:cs="Amiri"/>
          <w:lang w:bidi="ar-SA"/>
          <w:color w:val="111111"/>
          <w:sz w:val="28"/>
          <w:szCs w:val="28"/>
          <w:rtl/>
        </w:rPr>
        <w:t xml:space="preserve">العظيم، ج 7، ص377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الرد على رسالة ايليا مطران نصيبين (رسالة في)، ج8، ص 94 .</w:t>
      </w:r>
    </w:p>
    <w:p>
      <w:pPr>
        <w:pStyle w:val="BookText"/>
      </w:pPr>
      <w:r>
        <w:rPr>
          <w:rFonts w:ascii="Amiri" w:hAnsi="Amiri" w:eastAsia="Amiri" w:cs="Amiri"/>
          <w:lang w:bidi="ar-SA"/>
          <w:color w:val="111111"/>
          <w:sz w:val="28"/>
          <w:szCs w:val="28"/>
          <w:rtl/>
        </w:rPr>
        <w:t xml:space="preserve">20 .رياض الناظرين في مراسلات</w:t>
      </w:r>
    </w:p>
    <w:p>
      <w:pPr>
        <w:pStyle w:val="BookText"/>
      </w:pPr>
      <w:r>
        <w:rPr>
          <w:rFonts w:ascii="Amiri" w:hAnsi="Amiri" w:eastAsia="Amiri" w:cs="Amiri"/>
          <w:lang w:bidi="ar-SA"/>
          <w:color w:val="111111"/>
          <w:sz w:val="28"/>
          <w:szCs w:val="28"/>
          <w:rtl/>
        </w:rPr>
        <w:t xml:space="preserve">المعاصرين، ج8، ص 515.</w:t>
      </w:r>
    </w:p>
    <w:p>
      <w:pPr>
        <w:pStyle w:val="BookText"/>
      </w:pPr>
      <w:r>
        <w:rPr>
          <w:rFonts w:ascii="Amiri" w:hAnsi="Amiri" w:eastAsia="Amiri" w:cs="Amiri"/>
          <w:lang w:bidi="ar-SA"/>
          <w:color w:val="111111"/>
          <w:sz w:val="28"/>
          <w:szCs w:val="28"/>
          <w:rtl/>
        </w:rPr>
        <w:t xml:space="preserve">21 .سعادة الدارين في شرح حديث</w:t>
      </w:r>
    </w:p>
    <w:p>
      <w:pPr>
        <w:pStyle w:val="BookText"/>
      </w:pPr>
      <w:r>
        <w:rPr>
          <w:rFonts w:ascii="Amiri" w:hAnsi="Amiri" w:eastAsia="Amiri" w:cs="Amiri"/>
          <w:lang w:bidi="ar-SA"/>
          <w:color w:val="111111"/>
          <w:sz w:val="28"/>
          <w:szCs w:val="28"/>
          <w:rtl/>
        </w:rPr>
        <w:t xml:space="preserve">الثقلين، ج8، ص 774.</w:t>
      </w:r>
    </w:p>
    <w:p>
      <w:pPr>
        <w:pStyle w:val="BookText"/>
      </w:pPr>
      <w:r>
        <w:rPr>
          <w:rFonts w:ascii="Amiri" w:hAnsi="Amiri" w:eastAsia="Amiri" w:cs="Amiri"/>
          <w:lang w:bidi="ar-SA"/>
          <w:color w:val="111111"/>
          <w:sz w:val="28"/>
          <w:szCs w:val="28"/>
          <w:rtl/>
        </w:rPr>
        <w:t xml:space="preserve">22 .السيوف المشرقة مختصر الصواعق</w:t>
      </w:r>
    </w:p>
    <w:p>
      <w:pPr>
        <w:pStyle w:val="BookText"/>
      </w:pPr>
      <w:r>
        <w:rPr>
          <w:rFonts w:ascii="Amiri" w:hAnsi="Amiri" w:eastAsia="Amiri" w:cs="Amiri"/>
          <w:lang w:bidi="ar-SA"/>
          <w:color w:val="111111"/>
          <w:sz w:val="28"/>
          <w:szCs w:val="28"/>
          <w:rtl/>
        </w:rPr>
        <w:t xml:space="preserve">المحرقة، ج 9، ص 48.</w:t>
      </w:r>
    </w:p>
    <w:p>
      <w:pPr>
        <w:pStyle w:val="BookText"/>
      </w:pPr>
      <w:r>
        <w:rPr>
          <w:rFonts w:ascii="IRNazanin" w:hAnsi="IRNazanin" w:eastAsia="IRNazanin" w:cs="IRNazanin"/>
          <w:lang w:bidi="fa-IR"/>
          <w:color w:val="111111"/>
          <w:sz w:val="28"/>
          <w:szCs w:val="28"/>
          <w:rtl/>
        </w:rPr>
        <w:t xml:space="preserve">23 .شرح الدر المنضود، ج9، ص 457.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شرح القصائد المعلقات السبع</w:t>
      </w:r>
    </w:p>
    <w:p>
      <w:pPr>
        <w:pStyle w:val="BookText"/>
      </w:pPr>
      <w:r>
        <w:rPr>
          <w:rFonts w:ascii="IRNazanin" w:hAnsi="IRNazanin" w:eastAsia="IRNazanin" w:cs="IRNazanin"/>
          <w:lang w:bidi="fa-IR"/>
          <w:color w:val="111111"/>
          <w:sz w:val="28"/>
          <w:szCs w:val="28"/>
          <w:rtl/>
        </w:rPr>
        <w:t xml:space="preserve">ج 9، ص 829.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26" w:name="pg7742_70613"/>
    <w:bookmarkEnd w:id="626"/>
    <w:p>
      <w:pPr>
        <w:pStyle w:val="BookText"/>
      </w:pPr>
      <w:r>
        <w:rPr>
          <w:rFonts w:ascii="IRNazanin" w:hAnsi="IRNazanin" w:eastAsia="IRNazanin" w:cs="IRNazanin"/>
          <w:lang w:bidi="fa-IR"/>
          <w:color w:val="111111"/>
          <w:sz w:val="28"/>
          <w:szCs w:val="28"/>
          <w:rtl/>
        </w:rPr>
        <w:t xml:space="preserve">25 .شرح دعاء الثناء، ج 9، ص 459.</w:t>
      </w:r>
    </w:p>
    <w:p>
      <w:pPr>
        <w:pStyle w:val="BookText"/>
      </w:pPr>
      <w:r>
        <w:rPr>
          <w:rFonts w:ascii="Amiri" w:hAnsi="Amiri" w:eastAsia="Amiri" w:cs="Amiri"/>
          <w:lang w:bidi="ar-SA"/>
          <w:color w:val="111111"/>
          <w:sz w:val="28"/>
          <w:szCs w:val="28"/>
          <w:rtl/>
        </w:rPr>
        <w:t xml:space="preserve">26 .شرح عمود النسب و اخبار اخيار</w:t>
      </w:r>
    </w:p>
    <w:p>
      <w:pPr>
        <w:pStyle w:val="BookText"/>
      </w:pPr>
      <w:r>
        <w:rPr>
          <w:rFonts w:ascii="IRNazanin" w:hAnsi="IRNazanin" w:eastAsia="IRNazanin" w:cs="IRNazanin"/>
          <w:lang w:bidi="fa-IR"/>
          <w:color w:val="111111"/>
          <w:sz w:val="28"/>
          <w:szCs w:val="28"/>
          <w:rtl/>
        </w:rPr>
        <w:t xml:space="preserve">العرب، ج 9، ص 752 .</w:t>
      </w:r>
    </w:p>
    <w:p>
      <w:pPr>
        <w:pStyle w:val="BookText"/>
      </w:pPr>
      <w:r>
        <w:rPr>
          <w:rFonts w:ascii="Amiri" w:hAnsi="Amiri" w:eastAsia="Amiri" w:cs="Amiri"/>
          <w:lang w:bidi="ar-SA"/>
          <w:color w:val="111111"/>
          <w:sz w:val="28"/>
          <w:szCs w:val="28"/>
          <w:rtl/>
        </w:rPr>
        <w:t xml:space="preserve">27 .شرح منظومة العطار في الوضع</w:t>
      </w:r>
    </w:p>
    <w:p>
      <w:pPr>
        <w:pStyle w:val="BookText"/>
      </w:pPr>
      <w:r>
        <w:rPr>
          <w:rFonts w:ascii="IRNazanin" w:hAnsi="IRNazanin" w:eastAsia="IRNazanin" w:cs="IRNazanin"/>
          <w:lang w:bidi="fa-IR"/>
          <w:color w:val="111111"/>
          <w:sz w:val="28"/>
          <w:szCs w:val="28"/>
          <w:rtl/>
        </w:rPr>
        <w:t xml:space="preserve">ج 10، ص 248.</w:t>
      </w:r>
    </w:p>
    <w:p>
      <w:pPr>
        <w:pStyle w:val="BookText"/>
      </w:pPr>
      <w:r>
        <w:rPr>
          <w:rFonts w:ascii="IRNazanin" w:hAnsi="IRNazanin" w:eastAsia="IRNazanin" w:cs="IRNazanin"/>
          <w:lang w:bidi="fa-IR"/>
          <w:color w:val="111111"/>
          <w:sz w:val="28"/>
          <w:szCs w:val="28"/>
          <w:rtl/>
        </w:rPr>
        <w:t xml:space="preserve">28 .صب العذاب على من سب الاصحاب، ج 10، ص 481.</w:t>
      </w:r>
    </w:p>
    <w:p>
      <w:pPr>
        <w:pStyle w:val="BookText"/>
      </w:pPr>
      <w:r>
        <w:rPr>
          <w:rFonts w:ascii="Amiri" w:hAnsi="Amiri" w:eastAsia="Amiri" w:cs="Amiri"/>
          <w:lang w:bidi="ar-SA"/>
          <w:color w:val="111111"/>
          <w:sz w:val="28"/>
          <w:szCs w:val="28"/>
          <w:rtl/>
        </w:rPr>
        <w:t xml:space="preserve">29 .الضرائر السائغة، ج 10، ص 692.</w:t>
      </w:r>
    </w:p>
    <w:p>
      <w:pPr>
        <w:pStyle w:val="BookText"/>
      </w:pPr>
      <w:r>
        <w:rPr>
          <w:rFonts w:ascii="Amiri" w:hAnsi="Amiri" w:eastAsia="Amiri" w:cs="Amiri"/>
          <w:lang w:bidi="ar-SA"/>
          <w:color w:val="111111"/>
          <w:sz w:val="28"/>
          <w:szCs w:val="28"/>
          <w:rtl/>
        </w:rPr>
        <w:t xml:space="preserve">30 .الضرائر وما يسوغ للشاعر دون</w:t>
      </w:r>
    </w:p>
    <w:p>
      <w:pPr>
        <w:pStyle w:val="BookText"/>
      </w:pPr>
      <w:r>
        <w:rPr>
          <w:rFonts w:ascii="IRNazanin" w:hAnsi="IRNazanin" w:eastAsia="IRNazanin" w:cs="IRNazanin"/>
          <w:lang w:bidi="fa-IR"/>
          <w:color w:val="111111"/>
          <w:sz w:val="28"/>
          <w:szCs w:val="28"/>
          <w:rtl/>
        </w:rPr>
        <w:t xml:space="preserve">الناثر، ج 10، ص 692.</w:t>
      </w:r>
    </w:p>
    <w:p>
      <w:pPr>
        <w:pStyle w:val="BookText"/>
      </w:pPr>
      <w:r>
        <w:rPr>
          <w:rFonts w:ascii="Amiri" w:hAnsi="Amiri" w:eastAsia="Amiri" w:cs="Amiri"/>
          <w:lang w:bidi="ar-SA"/>
          <w:color w:val="111111"/>
          <w:sz w:val="28"/>
          <w:szCs w:val="28"/>
          <w:rtl/>
        </w:rPr>
        <w:t xml:space="preserve">31 .عقد الدرر في شرح مختصر نخبة</w:t>
      </w:r>
    </w:p>
    <w:p>
      <w:pPr>
        <w:pStyle w:val="BookText"/>
      </w:pPr>
      <w:r>
        <w:rPr>
          <w:rFonts w:ascii="Amiri" w:hAnsi="Amiri" w:eastAsia="Amiri" w:cs="Amiri"/>
          <w:lang w:bidi="ar-SA"/>
          <w:color w:val="111111"/>
          <w:sz w:val="28"/>
          <w:szCs w:val="28"/>
          <w:rtl/>
        </w:rPr>
        <w:t xml:space="preserve">الفكر، ج 11، ص 165.</w:t>
      </w:r>
    </w:p>
    <w:p>
      <w:pPr>
        <w:pStyle w:val="BookText"/>
      </w:pPr>
      <w:r>
        <w:rPr>
          <w:rFonts w:ascii="Amiri" w:hAnsi="Amiri" w:eastAsia="Amiri" w:cs="Amiri"/>
          <w:lang w:bidi="ar-SA"/>
          <w:color w:val="111111"/>
          <w:sz w:val="28"/>
          <w:szCs w:val="28"/>
          <w:rtl/>
        </w:rPr>
        <w:t xml:space="preserve">32 .علم البيان (رسالة في) = زبدة</w:t>
      </w:r>
    </w:p>
    <w:p>
      <w:pPr>
        <w:pStyle w:val="BookText"/>
      </w:pPr>
      <w:r>
        <w:rPr>
          <w:rFonts w:ascii="Amiri" w:hAnsi="Amiri" w:eastAsia="Amiri" w:cs="Amiri"/>
          <w:lang w:bidi="ar-SA"/>
          <w:color w:val="111111"/>
          <w:sz w:val="28"/>
          <w:szCs w:val="28"/>
          <w:rtl/>
        </w:rPr>
        <w:t xml:space="preserve">البيان، ج11، ص233.</w:t>
      </w:r>
    </w:p>
    <w:p>
      <w:pPr>
        <w:pStyle w:val="BookText"/>
      </w:pPr>
      <w:r>
        <w:rPr>
          <w:rFonts w:ascii="Amiri" w:hAnsi="Amiri" w:eastAsia="Amiri" w:cs="Amiri"/>
          <w:lang w:bidi="ar-SA"/>
          <w:color w:val="111111"/>
          <w:sz w:val="28"/>
          <w:szCs w:val="28"/>
          <w:rtl/>
        </w:rPr>
        <w:t xml:space="preserve">33 .فتح المنان تتمة رد كتاب صلح</w:t>
      </w:r>
    </w:p>
    <w:p>
      <w:pPr>
        <w:pStyle w:val="BookText"/>
      </w:pPr>
      <w:r>
        <w:rPr>
          <w:rFonts w:ascii="IRNazanin" w:hAnsi="IRNazanin" w:eastAsia="IRNazanin" w:cs="IRNazanin"/>
          <w:lang w:bidi="fa-IR"/>
          <w:color w:val="111111"/>
          <w:sz w:val="28"/>
          <w:szCs w:val="28"/>
          <w:rtl/>
        </w:rPr>
        <w:t xml:space="preserve">الاخوان، ج 11، ص 686 .</w:t>
      </w:r>
    </w:p>
    <w:p>
      <w:pPr>
        <w:pStyle w:val="BookText"/>
      </w:pPr>
      <w:r>
        <w:rPr>
          <w:rFonts w:ascii="Amiri" w:hAnsi="Amiri" w:eastAsia="Amiri" w:cs="Amiri"/>
          <w:lang w:bidi="ar-SA"/>
          <w:color w:val="111111"/>
          <w:sz w:val="28"/>
          <w:szCs w:val="28"/>
          <w:rtl/>
        </w:rPr>
        <w:t xml:space="preserve">34 .فصل الخطاب في شرح المسائل الجاهلية لمحمد بن عبدالوهاب ج 11، ص 833.</w:t>
      </w:r>
    </w:p>
    <w:p>
      <w:pPr>
        <w:pStyle w:val="BookText"/>
      </w:pPr>
      <w:r>
        <w:rPr>
          <w:rFonts w:ascii="Amiri" w:hAnsi="Amiri" w:eastAsia="Amiri" w:cs="Amiri"/>
          <w:lang w:bidi="ar-SA"/>
          <w:color w:val="111111"/>
          <w:sz w:val="28"/>
          <w:szCs w:val="28"/>
          <w:rtl/>
        </w:rPr>
        <w:t xml:space="preserve">35 .فيما كانت عليه بغداد، ج 12،</w:t>
      </w:r>
    </w:p>
    <w:p>
      <w:pPr>
        <w:pStyle w:val="BookText"/>
      </w:pPr>
      <w:r>
        <w:rPr>
          <w:rFonts w:ascii="IRNazanin" w:hAnsi="IRNazanin" w:eastAsia="IRNazanin" w:cs="IRNazanin"/>
          <w:lang w:bidi="fa-IR"/>
          <w:color w:val="111111"/>
          <w:sz w:val="28"/>
          <w:szCs w:val="28"/>
          <w:rtl/>
        </w:rPr>
        <w:t xml:space="preserve">ص 318.</w:t>
      </w:r>
    </w:p>
    <w:p>
      <w:pPr>
        <w:pStyle w:val="BookText"/>
      </w:pPr>
      <w:r>
        <w:rPr>
          <w:rFonts w:ascii="Amiri" w:hAnsi="Amiri" w:eastAsia="Amiri" w:cs="Amiri"/>
          <w:lang w:bidi="ar-SA"/>
          <w:color w:val="111111"/>
          <w:sz w:val="28"/>
          <w:szCs w:val="28"/>
          <w:rtl/>
        </w:rPr>
        <w:t xml:space="preserve">36 .القول الانفع في الردع عن زيارة</w:t>
      </w:r>
    </w:p>
    <w:p>
      <w:pPr>
        <w:pStyle w:val="BookText"/>
      </w:pPr>
      <w:r>
        <w:rPr>
          <w:rFonts w:ascii="IRNazanin" w:hAnsi="IRNazanin" w:eastAsia="IRNazanin" w:cs="IRNazanin"/>
          <w:lang w:bidi="fa-IR"/>
          <w:color w:val="111111"/>
          <w:sz w:val="28"/>
          <w:szCs w:val="28"/>
          <w:rtl/>
        </w:rPr>
        <w:t xml:space="preserve">المدفع، ج 12، ص839.</w:t>
      </w:r>
    </w:p>
    <w:p>
      <w:pPr>
        <w:pStyle w:val="BookText"/>
      </w:pPr>
      <w:r>
        <w:rPr>
          <w:rFonts w:ascii="Amiri" w:hAnsi="Amiri" w:eastAsia="Amiri" w:cs="Amiri"/>
          <w:lang w:bidi="ar-SA"/>
          <w:color w:val="111111"/>
          <w:sz w:val="28"/>
          <w:szCs w:val="28"/>
          <w:rtl/>
        </w:rPr>
        <w:t xml:space="preserve">37 .كتاب ما اشتمل عليه حروف المعجم من الدقائق والحقائق و الحكم، ج13، ص118.</w:t>
      </w:r>
    </w:p>
    <w:p>
      <w:pPr>
        <w:pStyle w:val="BookText"/>
      </w:pPr>
      <w:r>
        <w:rPr>
          <w:rFonts w:ascii="Amiri" w:hAnsi="Amiri" w:eastAsia="Amiri" w:cs="Amiri"/>
          <w:lang w:bidi="ar-SA"/>
          <w:color w:val="111111"/>
          <w:sz w:val="28"/>
          <w:szCs w:val="28"/>
          <w:rtl/>
        </w:rPr>
        <w:t xml:space="preserve">38 .كلمات التسبيح (رسالة في)، ج 13،</w:t>
      </w:r>
    </w:p>
    <w:p>
      <w:pPr>
        <w:pStyle w:val="BookText"/>
      </w:pPr>
      <w:r>
        <w:rPr>
          <w:rFonts w:ascii="IRNazanin" w:hAnsi="IRNazanin" w:eastAsia="IRNazanin" w:cs="IRNazanin"/>
          <w:lang w:bidi="fa-IR"/>
          <w:color w:val="111111"/>
          <w:sz w:val="28"/>
          <w:szCs w:val="28"/>
          <w:rtl/>
        </w:rPr>
        <w:t xml:space="preserve">ص 364 .</w:t>
      </w:r>
    </w:p>
    <w:p>
      <w:pPr>
        <w:pStyle w:val="BookText"/>
      </w:pPr>
      <w:r>
        <w:rPr>
          <w:rFonts w:ascii="Amiri" w:hAnsi="Amiri" w:eastAsia="Amiri" w:cs="Amiri"/>
          <w:lang w:bidi="ar-SA"/>
          <w:color w:val="111111"/>
          <w:sz w:val="28"/>
          <w:szCs w:val="28"/>
          <w:rtl/>
        </w:rPr>
        <w:t xml:space="preserve">39 .كنز السعادة في شرح الشهادة</w:t>
      </w:r>
    </w:p>
    <w:p>
      <w:pPr>
        <w:pStyle w:val="BookText"/>
      </w:pPr>
      <w:r>
        <w:rPr>
          <w:rFonts w:ascii="IRNazanin" w:hAnsi="IRNazanin" w:eastAsia="IRNazanin" w:cs="IRNazanin"/>
          <w:lang w:bidi="fa-IR"/>
          <w:color w:val="111111"/>
          <w:sz w:val="28"/>
          <w:szCs w:val="28"/>
          <w:rtl/>
        </w:rPr>
        <w:t xml:space="preserve">ج 13، ص 422.</w:t>
      </w:r>
    </w:p>
    <w:p>
      <w:pPr>
        <w:pStyle w:val="BookText"/>
      </w:pPr>
      <w:r>
        <w:rPr>
          <w:rFonts w:ascii="Amiri" w:hAnsi="Amiri" w:eastAsia="Amiri" w:cs="Amiri"/>
          <w:lang w:bidi="ar-SA"/>
          <w:color w:val="111111"/>
          <w:sz w:val="28"/>
          <w:szCs w:val="28"/>
          <w:rtl/>
        </w:rPr>
        <w:t xml:space="preserve">40 .اللؤلؤ المنثور وحلي الصدور</w:t>
      </w:r>
    </w:p>
    <w:p>
      <w:pPr>
        <w:pStyle w:val="BookText"/>
      </w:pPr>
      <w:r>
        <w:rPr>
          <w:rFonts w:ascii="IRNazanin" w:hAnsi="IRNazanin" w:eastAsia="IRNazanin" w:cs="IRNazanin"/>
          <w:lang w:bidi="fa-IR"/>
          <w:color w:val="111111"/>
          <w:sz w:val="28"/>
          <w:szCs w:val="28"/>
          <w:rtl/>
        </w:rPr>
        <w:t xml:space="preserve">ج 13، ص 538 .</w:t>
      </w:r>
    </w:p>
    <w:p>
      <w:pPr>
        <w:pStyle w:val="BookText"/>
      </w:pPr>
      <w:r>
        <w:rPr>
          <w:rFonts w:ascii="Amiri" w:hAnsi="Amiri" w:eastAsia="Amiri" w:cs="Amiri"/>
          <w:lang w:bidi="ar-SA"/>
          <w:color w:val="111111"/>
          <w:sz w:val="28"/>
          <w:szCs w:val="28"/>
          <w:rtl/>
        </w:rPr>
        <w:t xml:space="preserve">41 .مبحث في بيان اعجاز القرآن</w:t>
      </w:r>
    </w:p>
    <w:p>
      <w:pPr>
        <w:pStyle w:val="BookText"/>
      </w:pPr>
      <w:r>
        <w:rPr>
          <w:rFonts w:ascii="IRNazanin" w:hAnsi="IRNazanin" w:eastAsia="IRNazanin" w:cs="IRNazanin"/>
          <w:lang w:bidi="fa-IR"/>
          <w:color w:val="111111"/>
          <w:sz w:val="28"/>
          <w:szCs w:val="28"/>
          <w:rtl/>
        </w:rPr>
        <w:t xml:space="preserve">ج 13، ص 729.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مجموعة الآلوسي، ج 14، ص 15.</w:t>
      </w:r>
    </w:p>
    <w:p>
      <w:pPr>
        <w:pStyle w:val="BookText"/>
      </w:pPr>
      <w:r>
        <w:rPr>
          <w:rFonts w:ascii="Amiri" w:hAnsi="Amiri" w:eastAsia="Amiri" w:cs="Amiri"/>
          <w:lang w:bidi="ar-SA"/>
          <w:color w:val="111111"/>
          <w:sz w:val="28"/>
          <w:szCs w:val="28"/>
          <w:rtl/>
        </w:rPr>
        <w:t xml:space="preserve">43 .مجموعة تراجم العلماء، ج 14،</w:t>
      </w:r>
    </w:p>
    <w:p>
      <w:pPr>
        <w:pStyle w:val="BookText"/>
      </w:pPr>
      <w:r>
        <w:rPr>
          <w:rFonts w:ascii="IRNazanin" w:hAnsi="IRNazanin" w:eastAsia="IRNazanin" w:cs="IRNazanin"/>
          <w:lang w:bidi="fa-IR"/>
          <w:color w:val="111111"/>
          <w:sz w:val="28"/>
          <w:szCs w:val="28"/>
          <w:rtl/>
        </w:rPr>
        <w:t xml:space="preserve">ص 25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مختصر مسند الشهاب، ج 14،</w:t>
      </w:r>
    </w:p>
    <w:p>
      <w:pPr>
        <w:pStyle w:val="BookText"/>
      </w:pPr>
      <w:r>
        <w:rPr>
          <w:rFonts w:ascii="IRNazanin" w:hAnsi="IRNazanin" w:eastAsia="IRNazanin" w:cs="IRNazanin"/>
          <w:lang w:bidi="fa-IR"/>
          <w:color w:val="111111"/>
          <w:sz w:val="28"/>
          <w:szCs w:val="28"/>
          <w:rtl/>
        </w:rPr>
        <w:t xml:space="preserve">ص 242.</w:t>
      </w:r>
    </w:p>
    <w:p>
      <w:pPr>
        <w:pStyle w:val="BookText"/>
      </w:pPr>
      <w:r>
        <w:rPr>
          <w:rFonts w:ascii="Amiri" w:hAnsi="Amiri" w:eastAsia="Amiri" w:cs="Amiri"/>
          <w:lang w:bidi="ar-SA"/>
          <w:color w:val="111111"/>
          <w:sz w:val="28"/>
          <w:szCs w:val="28"/>
          <w:rtl/>
        </w:rPr>
        <w:t xml:space="preserve">45 .المسائل التي خالف فيها رسول الله</w:t>
      </w:r>
    </w:p>
    <w:p>
      <w:pPr>
        <w:pStyle w:val="BookText"/>
      </w:pPr>
      <w:r>
        <w:rPr>
          <w:rFonts w:ascii="Amiri" w:hAnsi="Amiri" w:eastAsia="Amiri" w:cs="Amiri"/>
          <w:lang w:bidi="ar-SA"/>
          <w:color w:val="111111"/>
          <w:sz w:val="28"/>
          <w:szCs w:val="28"/>
          <w:rtl/>
        </w:rPr>
        <w:t xml:space="preserve">(صلى الله عليه و سلم اهل الجاهلية (رسالة في)، ج 14،</w:t>
      </w:r>
    </w:p>
    <w:p>
      <w:pPr>
        <w:pStyle w:val="BookText"/>
      </w:pPr>
      <w:r>
        <w:rPr>
          <w:rFonts w:ascii="IRNazanin" w:hAnsi="IRNazanin" w:eastAsia="IRNazanin" w:cs="IRNazanin"/>
          <w:lang w:bidi="fa-IR"/>
          <w:color w:val="111111"/>
          <w:sz w:val="28"/>
          <w:szCs w:val="28"/>
          <w:rtl/>
        </w:rPr>
        <w:t xml:space="preserve">ص 437.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مسائل متفرقة، ج 14 ، ص 483.</w:t>
      </w:r>
    </w:p>
    <w:p>
      <w:pPr>
        <w:pStyle w:val="BookText"/>
      </w:pPr>
      <w:r>
        <w:rPr>
          <w:rFonts w:ascii="IRNazanin" w:hAnsi="IRNazanin" w:eastAsia="IRNazanin" w:cs="IRNazanin"/>
          <w:lang w:bidi="fa-IR"/>
          <w:color w:val="111111"/>
          <w:sz w:val="28"/>
          <w:szCs w:val="28"/>
          <w:rtl/>
        </w:rPr>
        <w:t xml:space="preserve">47 .مساجد دار السلام بغداد، ج 14،</w:t>
      </w:r>
    </w:p>
    <w:p>
      <w:pPr>
        <w:pStyle w:val="BookText"/>
      </w:pPr>
      <w:r>
        <w:rPr>
          <w:rFonts w:ascii="IRNazanin" w:hAnsi="IRNazanin" w:eastAsia="IRNazanin" w:cs="IRNazanin"/>
          <w:lang w:bidi="fa-IR"/>
          <w:color w:val="111111"/>
          <w:sz w:val="28"/>
          <w:szCs w:val="28"/>
          <w:rtl/>
        </w:rPr>
        <w:t xml:space="preserve">ص 499.</w:t>
      </w:r>
    </w:p>
    <w:p>
      <w:pPr>
        <w:pStyle w:val="BookText"/>
      </w:pPr>
      <w:r>
        <w:rPr>
          <w:rFonts w:ascii="Amiri" w:hAnsi="Amiri" w:eastAsia="Amiri" w:cs="Amiri"/>
          <w:lang w:bidi="ar-SA"/>
          <w:color w:val="111111"/>
          <w:sz w:val="28"/>
          <w:szCs w:val="28"/>
          <w:rtl/>
        </w:rPr>
        <w:t xml:space="preserve">48 .المسفر عن الميسر، ج 14، ص 574.</w:t>
      </w:r>
    </w:p>
    <w:p>
      <w:pPr>
        <w:pStyle w:val="BookText"/>
      </w:pPr>
      <w:r>
        <w:rPr>
          <w:rFonts w:ascii="Amiri" w:hAnsi="Amiri" w:eastAsia="Amiri" w:cs="Amiri"/>
          <w:lang w:bidi="ar-SA"/>
          <w:color w:val="111111"/>
          <w:sz w:val="28"/>
          <w:szCs w:val="28"/>
          <w:rtl/>
        </w:rPr>
        <w:t xml:space="preserve">49 .المسك الاذخر في نشر مزايا رجال القرن الثاني والثالث عشر، ج 14،</w:t>
      </w:r>
    </w:p>
    <w:p>
      <w:pPr>
        <w:pStyle w:val="BookText"/>
      </w:pPr>
      <w:r>
        <w:rPr>
          <w:rFonts w:ascii="IRNazanin" w:hAnsi="IRNazanin" w:eastAsia="IRNazanin" w:cs="IRNazanin"/>
          <w:lang w:bidi="fa-IR"/>
          <w:color w:val="111111"/>
          <w:sz w:val="28"/>
          <w:szCs w:val="28"/>
          <w:rtl/>
        </w:rPr>
        <w:t xml:space="preserve">ص 574.</w:t>
      </w:r>
    </w:p>
    <w:p>
      <w:pPr>
        <w:pStyle w:val="BookText"/>
      </w:pPr>
      <w:r>
        <w:rPr>
          <w:rFonts w:ascii="Amiri" w:hAnsi="Amiri" w:eastAsia="Amiri" w:cs="Amiri"/>
          <w:lang w:bidi="ar-SA"/>
          <w:color w:val="111111"/>
          <w:sz w:val="28"/>
          <w:szCs w:val="28"/>
          <w:rtl/>
        </w:rPr>
        <w:t xml:space="preserve">50 .ملخص كتاب الاصنام، ج 15</w:t>
      </w:r>
    </w:p>
    <w:p>
      <w:pPr>
        <w:pStyle w:val="BookText"/>
      </w:pPr>
      <w:r>
        <w:rPr>
          <w:rFonts w:ascii="IRNazanin" w:hAnsi="IRNazanin" w:eastAsia="IRNazanin" w:cs="IRNazanin"/>
          <w:lang w:bidi="fa-IR"/>
          <w:color w:val="111111"/>
          <w:sz w:val="28"/>
          <w:szCs w:val="28"/>
          <w:rtl/>
        </w:rPr>
        <w:t xml:space="preserve">ص 462 .</w:t>
      </w:r>
    </w:p>
    <w:p>
      <w:pPr>
        <w:pStyle w:val="BookText"/>
      </w:pPr>
      <w:r>
        <w:rPr>
          <w:rFonts w:ascii="Amiri" w:hAnsi="Amiri" w:eastAsia="Amiri" w:cs="Amiri"/>
          <w:lang w:bidi="ar-SA"/>
          <w:color w:val="111111"/>
          <w:sz w:val="28"/>
          <w:szCs w:val="28"/>
          <w:rtl/>
        </w:rPr>
        <w:t xml:space="preserve">51 .منتهي العرفان و النقل المحض في</w:t>
      </w:r>
    </w:p>
    <w:p>
      <w:pPr>
        <w:pStyle w:val="BookText"/>
      </w:pPr>
      <w:r>
        <w:rPr>
          <w:rFonts w:ascii="Amiri" w:hAnsi="Amiri" w:eastAsia="Amiri" w:cs="Amiri"/>
          <w:lang w:bidi="ar-SA"/>
          <w:color w:val="111111"/>
          <w:sz w:val="28"/>
          <w:szCs w:val="28"/>
          <w:rtl/>
        </w:rPr>
        <w:t xml:space="preserve">ربط بعض الآيات ببعض، ج 15، ص 640 .</w:t>
      </w:r>
    </w:p>
    <w:p>
      <w:pPr>
        <w:pStyle w:val="BookText"/>
      </w:pPr>
      <w:r>
        <w:rPr>
          <w:rFonts w:ascii="Amiri" w:hAnsi="Amiri" w:eastAsia="Amiri" w:cs="Amiri"/>
          <w:lang w:bidi="ar-SA"/>
          <w:color w:val="111111"/>
          <w:sz w:val="28"/>
          <w:szCs w:val="28"/>
          <w:rtl/>
        </w:rPr>
        <w:t xml:space="preserve">52 .النحت و بيان حقيقة ونبذة من</w:t>
      </w:r>
    </w:p>
    <w:p>
      <w:pPr>
        <w:pStyle w:val="BookText"/>
      </w:pPr>
      <w:r>
        <w:rPr>
          <w:rFonts w:ascii="IRNazanin" w:hAnsi="IRNazanin" w:eastAsia="IRNazanin" w:cs="IRNazanin"/>
          <w:lang w:bidi="fa-IR"/>
          <w:color w:val="111111"/>
          <w:sz w:val="28"/>
          <w:szCs w:val="28"/>
          <w:rtl/>
        </w:rPr>
        <w:t xml:space="preserve">قواعده، ج 16، ص 169.</w:t>
      </w:r>
    </w:p>
    <w:p>
      <w:pPr>
        <w:pStyle w:val="BookText"/>
      </w:pPr>
      <w:r>
        <w:rPr>
          <w:rFonts w:ascii="Amiri" w:hAnsi="Amiri" w:eastAsia="Amiri" w:cs="Amiri"/>
          <w:lang w:bidi="ar-SA"/>
          <w:color w:val="111111"/>
          <w:sz w:val="28"/>
          <w:szCs w:val="28"/>
          <w:rtl/>
        </w:rPr>
        <w:t xml:space="preserve">53 .نيل المراد في اخبار بغداد، ج 16،</w:t>
      </w:r>
    </w:p>
    <w:p>
      <w:pPr>
        <w:pStyle w:val="BookText"/>
      </w:pPr>
      <w:r>
        <w:rPr>
          <w:rFonts w:ascii="IRNazanin" w:hAnsi="IRNazanin" w:eastAsia="IRNazanin" w:cs="IRNazanin"/>
          <w:lang w:bidi="fa-IR"/>
          <w:color w:val="111111"/>
          <w:sz w:val="28"/>
          <w:szCs w:val="28"/>
          <w:rtl/>
        </w:rPr>
        <w:t xml:space="preserve">ص 580.</w:t>
      </w:r>
    </w:p>
    <w:p>
      <w:pPr>
        <w:pStyle w:val="Heading2"/>
      </w:pPr>
      <w:bookmarkStart w:id="5190" w:name="_Toc4292"/>
      <w:r>
        <w:t>شكري ، احمد بن اسماعيل - 1317 ه-</w:t>
      </w:r>
      <w:bookmarkEnd w:id="5190"/>
    </w:p>
    <w:p>
      <w:pPr>
        <w:pStyle w:val="BookText"/>
      </w:pPr>
      <w:r>
        <w:rPr>
          <w:rFonts w:ascii="Amiri" w:hAnsi="Amiri" w:eastAsia="Amiri" w:cs="Amiri"/>
          <w:lang w:bidi="ar-SA"/>
          <w:color w:val="111111"/>
          <w:sz w:val="28"/>
          <w:szCs w:val="28"/>
          <w:rtl/>
        </w:rPr>
        <w:t xml:space="preserve">مرأة الاصول (مختصر)، ج 14، ص 345.</w:t>
      </w:r>
    </w:p>
    <w:p>
      <w:pPr>
        <w:pStyle w:val="Heading2"/>
      </w:pPr>
      <w:bookmarkStart w:id="5191" w:name="_Toc4293"/>
      <w:r>
        <w:t>شكري ، عبدالله بن عبد الكريم قرن 13</w:t>
      </w:r>
      <w:bookmarkEnd w:id="5191"/>
    </w:p>
    <w:p>
      <w:pPr>
        <w:pStyle w:val="BookText"/>
      </w:pPr>
      <w:r>
        <w:rPr>
          <w:rFonts w:ascii="Amiri" w:hAnsi="Amiri" w:eastAsia="Amiri" w:cs="Amiri"/>
          <w:lang w:bidi="ar-SA"/>
          <w:color w:val="111111"/>
          <w:sz w:val="28"/>
          <w:szCs w:val="28"/>
          <w:rtl/>
        </w:rPr>
        <w:t xml:space="preserve">الربع المجيب (رسالة في)، ج8، ص27.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27" w:name="pg7742_70614"/>
    <w:bookmarkEnd w:id="627"/>
    <w:p>
      <w:pPr>
        <w:pStyle w:val="BookText"/>
      </w:pPr>
      <w:r>
        <w:rPr>
          <w:rFonts w:ascii="Amiri" w:hAnsi="Amiri" w:eastAsia="Amiri" w:cs="Amiri"/>
          <w:lang w:bidi="ar-SA"/>
          <w:color w:val="111111"/>
          <w:sz w:val="28"/>
          <w:szCs w:val="28"/>
          <w:rtl/>
        </w:rPr>
        <w:t xml:space="preserve">شكري ، محمود بن عبدالله - شكري آلوسي</w:t>
      </w:r>
    </w:p>
    <w:p>
      <w:pPr>
        <w:pStyle w:val="BookText"/>
      </w:pPr>
      <w:r>
        <w:rPr>
          <w:rFonts w:ascii="IRNazanin" w:hAnsi="IRNazanin" w:eastAsia="IRNazanin" w:cs="IRNazanin"/>
          <w:lang w:bidi="fa-IR"/>
          <w:color w:val="111111"/>
          <w:sz w:val="28"/>
          <w:szCs w:val="28"/>
          <w:rtl/>
        </w:rPr>
        <w:t xml:space="preserve">، محمود بن عبدالله</w:t>
      </w:r>
    </w:p>
    <w:p>
      <w:pPr>
        <w:pStyle w:val="BookText"/>
      </w:pPr>
      <w:r>
        <w:rPr>
          <w:rFonts w:ascii="Amiri" w:hAnsi="Amiri" w:eastAsia="Amiri" w:cs="Amiri"/>
          <w:lang w:bidi="ar-SA"/>
          <w:color w:val="111111"/>
          <w:sz w:val="28"/>
          <w:szCs w:val="28"/>
          <w:rtl/>
        </w:rPr>
        <w:t xml:space="preserve">شلبي ، عبد المعطي بن سالم - سملاوي ،</w:t>
      </w:r>
    </w:p>
    <w:p>
      <w:pPr>
        <w:pStyle w:val="BookText"/>
      </w:pPr>
      <w:r>
        <w:rPr>
          <w:rFonts w:ascii="Amiri" w:hAnsi="Amiri" w:eastAsia="Amiri" w:cs="Amiri"/>
          <w:lang w:bidi="ar-SA"/>
          <w:color w:val="111111"/>
          <w:sz w:val="28"/>
          <w:szCs w:val="28"/>
          <w:rtl/>
        </w:rPr>
        <w:t xml:space="preserve">عبد المعطي بن سالم</w:t>
      </w:r>
    </w:p>
    <w:p>
      <w:pPr>
        <w:pStyle w:val="BookText"/>
      </w:pPr>
      <w:r>
        <w:rPr>
          <w:rFonts w:ascii="IRNazanin" w:hAnsi="IRNazanin" w:eastAsia="IRNazanin" w:cs="IRNazanin"/>
          <w:lang w:bidi="fa-IR"/>
          <w:color w:val="111111"/>
          <w:sz w:val="28"/>
          <w:szCs w:val="28"/>
          <w:rtl/>
        </w:rPr>
        <w:t xml:space="preserve">شلیله کاظمي ، عبدالهادي بن كاظم - شليله همداني ، عبدالهادي بن كاظم</w:t>
      </w:r>
    </w:p>
    <w:p>
      <w:pPr>
        <w:pStyle w:val="Heading2"/>
      </w:pPr>
      <w:bookmarkStart w:id="5192" w:name="_Toc4294"/>
      <w:r>
        <w:t>شليله همداني ، عبدالهادي بن كاظم قرن</w:t>
      </w:r>
      <w:bookmarkEnd w:id="5192"/>
    </w:p>
    <w:p>
      <w:pPr>
        <w:pStyle w:val="BookText"/>
      </w:pPr>
      <w:r>
        <w:rPr>
          <w:rFonts w:ascii="IRNazanin" w:hAnsi="IRNazanin" w:eastAsia="IRNazanin" w:cs="IRNazanin"/>
          <w:lang w:bidi="fa-IR"/>
          <w:color w:val="111111"/>
          <w:sz w:val="28"/>
          <w:szCs w:val="28"/>
          <w:rtl/>
        </w:rPr>
        <w:t xml:space="preserve">14ه-</w:t>
      </w:r>
    </w:p>
    <w:p>
      <w:pPr>
        <w:pStyle w:val="BookText"/>
      </w:pPr>
      <w:r>
        <w:rPr>
          <w:rFonts w:ascii="Amiri" w:hAnsi="Amiri" w:eastAsia="Amiri" w:cs="Amiri"/>
          <w:lang w:bidi="ar-SA"/>
          <w:color w:val="111111"/>
          <w:sz w:val="28"/>
          <w:szCs w:val="28"/>
          <w:rtl/>
        </w:rPr>
        <w:t xml:space="preserve">1 .الحورين (رسالة في)، ج 6، ص 847.</w:t>
      </w:r>
    </w:p>
    <w:p>
      <w:pPr>
        <w:pStyle w:val="BookText"/>
      </w:pPr>
      <w:r>
        <w:rPr>
          <w:rFonts w:ascii="Amiri" w:hAnsi="Amiri" w:eastAsia="Amiri" w:cs="Amiri"/>
          <w:lang w:bidi="ar-SA"/>
          <w:color w:val="111111"/>
          <w:sz w:val="28"/>
          <w:szCs w:val="28"/>
          <w:rtl/>
        </w:rPr>
        <w:t xml:space="preserve">2 .صلاة المسافر، ج 10، ص 614.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العقائد (منظومة في)، ج11،</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Amiri" w:hAnsi="Amiri" w:eastAsia="Amiri" w:cs="Amiri"/>
          <w:lang w:bidi="ar-SA"/>
          <w:color w:val="111111"/>
          <w:sz w:val="28"/>
          <w:szCs w:val="28"/>
          <w:rtl/>
        </w:rPr>
        <w:t xml:space="preserve">4 .الفقه (منظومة في)، ج 12، ص 53.</w:t>
      </w:r>
    </w:p>
    <w:p>
      <w:pPr>
        <w:pStyle w:val="BookText"/>
      </w:pPr>
      <w:r>
        <w:rPr>
          <w:rFonts w:ascii="Amiri" w:hAnsi="Amiri" w:eastAsia="Amiri" w:cs="Amiri"/>
          <w:lang w:bidi="ar-SA"/>
          <w:color w:val="111111"/>
          <w:sz w:val="28"/>
          <w:szCs w:val="28"/>
          <w:rtl/>
        </w:rPr>
        <w:t xml:space="preserve">شليمر فلمنك-ي فلمنكي ، يوهان شليمر</w:t>
      </w:r>
    </w:p>
    <w:p>
      <w:pPr>
        <w:pStyle w:val="Heading2"/>
      </w:pPr>
      <w:bookmarkStart w:id="5193" w:name="_Toc4295"/>
      <w:r>
        <w:t>شماس عبدالله زاخر - 1742 م</w:t>
      </w:r>
      <w:bookmarkEnd w:id="5193"/>
    </w:p>
    <w:p>
      <w:pPr>
        <w:pStyle w:val="BookText"/>
      </w:pPr>
      <w:r>
        <w:rPr>
          <w:rFonts w:ascii="Amiri" w:hAnsi="Amiri" w:eastAsia="Amiri" w:cs="Amiri"/>
          <w:lang w:bidi="ar-SA"/>
          <w:color w:val="111111"/>
          <w:sz w:val="28"/>
          <w:szCs w:val="28"/>
          <w:rtl/>
        </w:rPr>
        <w:t xml:space="preserve">1 .البرهان الصريح في حقيقة سري</w:t>
      </w:r>
    </w:p>
    <w:p>
      <w:pPr>
        <w:pStyle w:val="BookText"/>
      </w:pPr>
      <w:r>
        <w:rPr>
          <w:rFonts w:ascii="Amiri" w:hAnsi="Amiri" w:eastAsia="Amiri" w:cs="Amiri"/>
          <w:lang w:bidi="ar-SA"/>
          <w:color w:val="111111"/>
          <w:sz w:val="28"/>
          <w:szCs w:val="28"/>
          <w:rtl/>
        </w:rPr>
        <w:t xml:space="preserve">دين المسيح، ج 3، ص307.</w:t>
      </w:r>
    </w:p>
    <w:p>
      <w:pPr>
        <w:pStyle w:val="BookText"/>
      </w:pPr>
      <w:r>
        <w:rPr>
          <w:rFonts w:ascii="Amiri" w:hAnsi="Amiri" w:eastAsia="Amiri" w:cs="Amiri"/>
          <w:lang w:bidi="ar-SA"/>
          <w:color w:val="111111"/>
          <w:sz w:val="28"/>
          <w:szCs w:val="28"/>
          <w:rtl/>
        </w:rPr>
        <w:t xml:space="preserve">2 .الرد على ذوي الانشقاق والصد</w:t>
      </w:r>
    </w:p>
    <w:p>
      <w:pPr>
        <w:pStyle w:val="BookText"/>
      </w:pPr>
      <w:r>
        <w:rPr>
          <w:rFonts w:ascii="IRNazanin" w:hAnsi="IRNazanin" w:eastAsia="IRNazanin" w:cs="IRNazanin"/>
          <w:lang w:bidi="fa-IR"/>
          <w:color w:val="111111"/>
          <w:sz w:val="28"/>
          <w:szCs w:val="28"/>
          <w:rtl/>
        </w:rPr>
        <w:t xml:space="preserve">ج8، ص93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شهادات الشهود لما عليه اليهود من الكنود والجحود = مجادلة اليهود على ما هم عليه من الجحود ج 10، ص 433 .</w:t>
      </w:r>
    </w:p>
    <w:p>
      <w:pPr>
        <w:pStyle w:val="BookText"/>
      </w:pPr>
      <w:r>
        <w:rPr>
          <w:rFonts w:ascii="Amiri" w:hAnsi="Amiri" w:eastAsia="Amiri" w:cs="Amiri"/>
          <w:lang w:bidi="ar-SA"/>
          <w:color w:val="111111"/>
          <w:sz w:val="28"/>
          <w:szCs w:val="28"/>
          <w:rtl/>
        </w:rPr>
        <w:t xml:space="preserve">4 .عظة في الاحد الجديد، ج 11،</w:t>
      </w:r>
    </w:p>
    <w:p>
      <w:pPr>
        <w:pStyle w:val="BookText"/>
      </w:pPr>
      <w:r>
        <w:rPr>
          <w:rFonts w:ascii="IRNazanin" w:hAnsi="IRNazanin" w:eastAsia="IRNazanin" w:cs="IRNazanin"/>
          <w:lang w:bidi="fa-IR"/>
          <w:color w:val="111111"/>
          <w:sz w:val="28"/>
          <w:szCs w:val="28"/>
          <w:rtl/>
        </w:rPr>
        <w:t xml:space="preserve">ص 129</w:t>
      </w:r>
    </w:p>
    <w:p>
      <w:pPr>
        <w:pStyle w:val="Heading2"/>
      </w:pPr>
      <w:bookmarkStart w:id="5194" w:name="_Toc4296"/>
      <w:r>
        <w:t>شماس ، عزيز بطرس قرن 20 م</w:t>
      </w:r>
      <w:bookmarkEnd w:id="5194"/>
    </w:p>
    <w:p>
      <w:pPr>
        <w:pStyle w:val="BookText"/>
      </w:pPr>
      <w:r>
        <w:rPr>
          <w:rFonts w:ascii="Amiri" w:hAnsi="Amiri" w:eastAsia="Amiri" w:cs="Amiri"/>
          <w:lang w:bidi="ar-SA"/>
          <w:color w:val="111111"/>
          <w:sz w:val="28"/>
          <w:szCs w:val="28"/>
          <w:rtl/>
        </w:rPr>
        <w:t xml:space="preserve">1 .تاريخ الابرشيات الكلدانية الباقية</w:t>
      </w:r>
    </w:p>
    <w:p>
      <w:pPr>
        <w:pStyle w:val="BookText"/>
      </w:pPr>
      <w:r>
        <w:rPr>
          <w:rFonts w:ascii="IRNazanin" w:hAnsi="IRNazanin" w:eastAsia="IRNazanin" w:cs="IRNazanin"/>
          <w:lang w:bidi="fa-IR"/>
          <w:color w:val="111111"/>
          <w:sz w:val="28"/>
          <w:szCs w:val="28"/>
          <w:rtl/>
        </w:rPr>
        <w:t xml:space="preserve">ج 3، ص 542.</w:t>
      </w:r>
    </w:p>
    <w:p>
      <w:pPr>
        <w:pStyle w:val="BookText"/>
      </w:pPr>
      <w:r>
        <w:rPr>
          <w:rFonts w:ascii="Amiri" w:hAnsi="Amiri" w:eastAsia="Amiri" w:cs="Amiri"/>
          <w:lang w:bidi="ar-SA"/>
          <w:color w:val="111111"/>
          <w:sz w:val="28"/>
          <w:szCs w:val="28"/>
          <w:rtl/>
        </w:rPr>
        <w:t xml:space="preserve">2 .تاريخ الابرشيات الكلدانية المنقرضة</w:t>
      </w:r>
    </w:p>
    <w:p>
      <w:pPr>
        <w:pStyle w:val="BookText"/>
      </w:pPr>
      <w:r>
        <w:rPr>
          <w:rFonts w:ascii="IRNazanin" w:hAnsi="IRNazanin" w:eastAsia="IRNazanin" w:cs="IRNazanin"/>
          <w:lang w:bidi="fa-IR"/>
          <w:color w:val="111111"/>
          <w:sz w:val="28"/>
          <w:szCs w:val="28"/>
          <w:rtl/>
        </w:rPr>
        <w:t xml:space="preserve">ج 3، ص 542 .</w:t>
      </w:r>
    </w:p>
    <w:p>
      <w:pPr>
        <w:pStyle w:val="BookText"/>
      </w:pPr>
      <w:r>
        <w:rPr>
          <w:rFonts w:ascii="Amiri" w:hAnsi="Amiri" w:eastAsia="Amiri" w:cs="Amiri"/>
          <w:lang w:bidi="ar-SA"/>
          <w:color w:val="111111"/>
          <w:sz w:val="28"/>
          <w:szCs w:val="28"/>
          <w:rtl/>
        </w:rPr>
        <w:t xml:space="preserve">شماسي ، مهدي بن جاسم - 1388</w:t>
      </w:r>
    </w:p>
    <w:p>
      <w:pPr>
        <w:pStyle w:val="BookText"/>
      </w:pPr>
      <w:r>
        <w:rPr>
          <w:rFonts w:ascii="IRNazanin" w:hAnsi="IRNazanin" w:eastAsia="IRNazanin" w:cs="IRNazanin"/>
          <w:lang w:bidi="fa-IR"/>
          <w:color w:val="111111"/>
          <w:sz w:val="28"/>
          <w:szCs w:val="28"/>
          <w:rtl/>
        </w:rPr>
        <w:t xml:space="preserve">الشعب و السلطان، ج 10، ص 366.</w:t>
      </w:r>
    </w:p>
    <w:p>
      <w:pPr>
        <w:pStyle w:val="BookText"/>
      </w:pPr>
      <w:r>
        <w:rPr>
          <w:rFonts w:ascii="Amiri" w:hAnsi="Amiri" w:eastAsia="Amiri" w:cs="Amiri"/>
          <w:lang w:bidi="ar-SA"/>
          <w:color w:val="111111"/>
          <w:sz w:val="28"/>
          <w:szCs w:val="28"/>
          <w:rtl/>
        </w:rPr>
        <w:t xml:space="preserve">شماس ، يوسف بن عيسى - خياط ،</w:t>
      </w:r>
    </w:p>
    <w:p>
      <w:pPr>
        <w:pStyle w:val="BookText"/>
      </w:pPr>
      <w:r>
        <w:rPr>
          <w:rFonts w:ascii="Amiri" w:hAnsi="Amiri" w:eastAsia="Amiri" w:cs="Amiri"/>
          <w:lang w:bidi="ar-SA"/>
          <w:color w:val="111111"/>
          <w:sz w:val="28"/>
          <w:szCs w:val="28"/>
          <w:rtl/>
        </w:rPr>
        <w:t xml:space="preserve">يوسف بن عيسى</w:t>
      </w:r>
    </w:p>
    <w:p>
      <w:pPr>
        <w:pStyle w:val="BookText"/>
      </w:pPr>
      <w:r>
        <w:rPr>
          <w:rFonts w:ascii="Amiri" w:hAnsi="Amiri" w:eastAsia="Amiri" w:cs="Amiri"/>
          <w:lang w:bidi="ar-SA"/>
          <w:color w:val="111111"/>
          <w:sz w:val="28"/>
          <w:szCs w:val="28"/>
          <w:rtl/>
        </w:rPr>
        <w:t xml:space="preserve">شمتني ، تقي الدين احمد بن محمّد -اشموني ، احمد بن محمّد</w:t>
      </w:r>
    </w:p>
    <w:p>
      <w:pPr>
        <w:pStyle w:val="Heading2"/>
      </w:pPr>
      <w:bookmarkStart w:id="5195" w:name="_Toc4297"/>
      <w:r>
        <w:t>شمرناقي ، محمّد افندي</w:t>
      </w:r>
      <w:bookmarkEnd w:id="5195"/>
    </w:p>
    <w:p>
      <w:pPr>
        <w:pStyle w:val="BookText"/>
      </w:pPr>
      <w:r>
        <w:rPr>
          <w:rFonts w:ascii="Amiri" w:hAnsi="Amiri" w:eastAsia="Amiri" w:cs="Amiri"/>
          <w:lang w:bidi="ar-SA"/>
          <w:color w:val="111111"/>
          <w:sz w:val="28"/>
          <w:szCs w:val="28"/>
          <w:rtl/>
        </w:rPr>
        <w:t xml:space="preserve">البيان (رسالة في)، ج 3، ص 450 .</w:t>
      </w:r>
    </w:p>
    <w:p>
      <w:pPr>
        <w:pStyle w:val="BookText"/>
      </w:pPr>
      <w:r>
        <w:rPr>
          <w:rFonts w:ascii="IRNazanin" w:hAnsi="IRNazanin" w:eastAsia="IRNazanin" w:cs="IRNazanin"/>
          <w:lang w:bidi="fa-IR"/>
          <w:color w:val="111111"/>
          <w:sz w:val="28"/>
          <w:szCs w:val="28"/>
          <w:rtl/>
        </w:rPr>
        <w:t xml:space="preserve">شمسا گيلاني- ملا شمسا ، شمس الدين</w:t>
      </w:r>
    </w:p>
    <w:p>
      <w:pPr>
        <w:pStyle w:val="BookText"/>
      </w:pPr>
      <w:r>
        <w:rPr>
          <w:rFonts w:ascii="Amiri" w:hAnsi="Amiri" w:eastAsia="Amiri" w:cs="Amiri"/>
          <w:lang w:bidi="ar-SA"/>
          <w:color w:val="111111"/>
          <w:sz w:val="28"/>
          <w:szCs w:val="28"/>
          <w:rtl/>
        </w:rPr>
        <w:t xml:space="preserve">محمّد</w:t>
      </w:r>
    </w:p>
    <w:p>
      <w:pPr>
        <w:pStyle w:val="Heading2"/>
      </w:pPr>
      <w:bookmarkStart w:id="5196" w:name="_Toc4298"/>
      <w:r>
        <w:t>شمس الائمه سرخسي ، محمّد بن احمد</w:t>
      </w:r>
      <w:bookmarkEnd w:id="5196"/>
    </w:p>
    <w:p>
      <w:pPr>
        <w:pStyle w:val="BookText"/>
      </w:pPr>
      <w:r>
        <w:rPr>
          <w:rFonts w:ascii="IRNazanin" w:hAnsi="IRNazanin" w:eastAsia="IRNazanin" w:cs="IRNazanin"/>
          <w:lang w:bidi="fa-IR"/>
          <w:color w:val="111111"/>
          <w:sz w:val="28"/>
          <w:szCs w:val="28"/>
          <w:rtl/>
        </w:rPr>
        <w:t xml:space="preserve">483 ه-</w:t>
      </w:r>
    </w:p>
    <w:p>
      <w:pPr>
        <w:pStyle w:val="BookText"/>
      </w:pPr>
      <w:r>
        <w:rPr>
          <w:rFonts w:ascii="Amiri" w:hAnsi="Amiri" w:eastAsia="Amiri" w:cs="Amiri"/>
          <w:lang w:bidi="ar-SA"/>
          <w:color w:val="111111"/>
          <w:sz w:val="28"/>
          <w:szCs w:val="28"/>
          <w:rtl/>
        </w:rPr>
        <w:t xml:space="preserve">1 .الاصول السرخسي، ج 2، ص 423.</w:t>
      </w:r>
    </w:p>
    <w:p>
      <w:pPr>
        <w:pStyle w:val="BookText"/>
      </w:pPr>
      <w:r>
        <w:rPr>
          <w:rFonts w:ascii="Amiri" w:hAnsi="Amiri" w:eastAsia="Amiri" w:cs="Amiri"/>
          <w:lang w:bidi="ar-SA"/>
          <w:color w:val="111111"/>
          <w:sz w:val="28"/>
          <w:szCs w:val="28"/>
          <w:rtl/>
        </w:rPr>
        <w:t xml:space="preserve">2 .العصير (رسالة في)، ج 11، ص 126.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المبسوط في شرح الكافي، ج 13،</w:t>
      </w:r>
    </w:p>
    <w:p>
      <w:pPr>
        <w:pStyle w:val="BookText"/>
      </w:pPr>
      <w:r>
        <w:rPr>
          <w:rFonts w:ascii="IRNazanin" w:hAnsi="IRNazanin" w:eastAsia="IRNazanin" w:cs="IRNazanin"/>
          <w:lang w:bidi="fa-IR"/>
          <w:color w:val="111111"/>
          <w:sz w:val="28"/>
          <w:szCs w:val="28"/>
          <w:rtl/>
        </w:rPr>
        <w:t xml:space="preserve">ص 736 .</w:t>
      </w:r>
    </w:p>
    <w:p>
      <w:pPr>
        <w:pStyle w:val="Heading2"/>
      </w:pPr>
      <w:bookmarkStart w:id="5197" w:name="_Toc4299"/>
      <w:r>
        <w:t>شمس الدين آملي ، محمّد بن محمود</w:t>
      </w:r>
      <w:bookmarkEnd w:id="5197"/>
    </w:p>
    <w:p>
      <w:pPr>
        <w:pStyle w:val="BookText"/>
      </w:pPr>
      <w:r>
        <w:rPr>
          <w:rFonts w:ascii="IRNazanin" w:hAnsi="IRNazanin" w:eastAsia="IRNazanin" w:cs="IRNazanin"/>
          <w:lang w:bidi="fa-IR"/>
          <w:color w:val="111111"/>
          <w:sz w:val="28"/>
          <w:szCs w:val="28"/>
          <w:rtl/>
        </w:rPr>
        <w:t xml:space="preserve">753 ؟ ه-</w:t>
      </w:r>
    </w:p>
    <w:p>
      <w:pPr>
        <w:pStyle w:val="BookText"/>
      </w:pPr>
      <w:r>
        <w:rPr>
          <w:rFonts w:ascii="IRNazanin" w:hAnsi="IRNazanin" w:eastAsia="IRNazanin" w:cs="IRNazanin"/>
          <w:lang w:bidi="fa-IR"/>
          <w:color w:val="111111"/>
          <w:sz w:val="28"/>
          <w:szCs w:val="28"/>
          <w:rtl/>
        </w:rPr>
        <w:t xml:space="preserve">1 .شرح القانون، ج 9، ص 815.</w:t>
      </w:r>
    </w:p>
    <w:p>
      <w:pPr>
        <w:pStyle w:val="BookText"/>
      </w:pPr>
      <w:r>
        <w:rPr>
          <w:rFonts w:ascii="Amiri" w:hAnsi="Amiri" w:eastAsia="Amiri" w:cs="Amiri"/>
          <w:lang w:bidi="ar-SA"/>
          <w:color w:val="111111"/>
          <w:sz w:val="28"/>
          <w:szCs w:val="28"/>
          <w:rtl/>
        </w:rPr>
        <w:t xml:space="preserve">2 .نفائس الفنون في عرايس العيون</w:t>
      </w:r>
    </w:p>
    <w:p>
      <w:pPr>
        <w:pStyle w:val="BookText"/>
      </w:pPr>
      <w:r>
        <w:rPr>
          <w:rFonts w:ascii="IRNazanin" w:hAnsi="IRNazanin" w:eastAsia="IRNazanin" w:cs="IRNazanin"/>
          <w:lang w:bidi="fa-IR"/>
          <w:color w:val="111111"/>
          <w:sz w:val="28"/>
          <w:szCs w:val="28"/>
          <w:rtl/>
        </w:rPr>
        <w:t xml:space="preserve">ج 16، ص 376.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28" w:name="pg7742_70615"/>
    <w:bookmarkEnd w:id="628"/>
    <w:p>
      <w:pPr>
        <w:pStyle w:val="BookText"/>
      </w:pPr>
      <w:r>
        <w:rPr>
          <w:rFonts w:ascii="Amiri" w:hAnsi="Amiri" w:eastAsia="Amiri" w:cs="Amiri"/>
          <w:lang w:bidi="ar-SA"/>
          <w:color w:val="111111"/>
          <w:sz w:val="28"/>
          <w:szCs w:val="28"/>
          <w:rtl/>
        </w:rPr>
        <w:t xml:space="preserve">شمس الدين بن خياط دمشقي- ابن</w:t>
      </w:r>
    </w:p>
    <w:p>
      <w:pPr>
        <w:pStyle w:val="BookText"/>
      </w:pPr>
      <w:r>
        <w:rPr>
          <w:rFonts w:ascii="Amiri" w:hAnsi="Amiri" w:eastAsia="Amiri" w:cs="Amiri"/>
          <w:lang w:bidi="ar-SA"/>
          <w:color w:val="111111"/>
          <w:sz w:val="28"/>
          <w:szCs w:val="28"/>
          <w:rtl/>
        </w:rPr>
        <w:t xml:space="preserve">خياط ، شمس الدين</w:t>
      </w:r>
    </w:p>
    <w:p>
      <w:pPr>
        <w:pStyle w:val="BookText"/>
      </w:pPr>
      <w:r>
        <w:rPr>
          <w:rFonts w:ascii="Amiri" w:hAnsi="Amiri" w:eastAsia="Amiri" w:cs="Amiri"/>
          <w:lang w:bidi="ar-SA"/>
          <w:color w:val="111111"/>
          <w:sz w:val="28"/>
          <w:szCs w:val="28"/>
          <w:rtl/>
        </w:rPr>
        <w:t xml:space="preserve">شمس الدين بن عبدالرحمن</w:t>
      </w:r>
    </w:p>
    <w:p>
      <w:pPr>
        <w:pStyle w:val="BookText"/>
      </w:pPr>
      <w:r>
        <w:rPr>
          <w:rFonts w:ascii="Amiri" w:hAnsi="Amiri" w:eastAsia="Amiri" w:cs="Amiri"/>
          <w:lang w:bidi="ar-SA"/>
          <w:color w:val="111111"/>
          <w:sz w:val="28"/>
          <w:szCs w:val="28"/>
          <w:rtl/>
        </w:rPr>
        <w:t xml:space="preserve">بولاقي - بولاقي ، شمس الدين بن عبدالرحمن</w:t>
      </w:r>
    </w:p>
    <w:p>
      <w:pPr>
        <w:pStyle w:val="BookText"/>
      </w:pPr>
      <w:r>
        <w:rPr>
          <w:rFonts w:ascii="Amiri" w:hAnsi="Amiri" w:eastAsia="Amiri" w:cs="Amiri"/>
          <w:lang w:bidi="ar-SA"/>
          <w:color w:val="111111"/>
          <w:sz w:val="28"/>
          <w:szCs w:val="28"/>
          <w:rtl/>
        </w:rPr>
        <w:t xml:space="preserve">شمس الدين بن عزالدين شافعي</w:t>
      </w:r>
    </w:p>
    <w:p>
      <w:pPr>
        <w:pStyle w:val="BookText"/>
      </w:pPr>
      <w:r>
        <w:rPr>
          <w:rFonts w:ascii="Amiri" w:hAnsi="Amiri" w:eastAsia="Amiri" w:cs="Amiri"/>
          <w:lang w:bidi="ar-SA"/>
          <w:color w:val="111111"/>
          <w:sz w:val="28"/>
          <w:szCs w:val="28"/>
          <w:rtl/>
        </w:rPr>
        <w:t xml:space="preserve">حلواني -حلواني ، شمس الدين بن عزالدين</w:t>
      </w:r>
    </w:p>
    <w:p>
      <w:pPr>
        <w:pStyle w:val="BookText"/>
      </w:pPr>
      <w:r>
        <w:rPr>
          <w:rFonts w:ascii="Amiri" w:hAnsi="Amiri" w:eastAsia="Amiri" w:cs="Amiri"/>
          <w:lang w:bidi="ar-SA"/>
          <w:color w:val="111111"/>
          <w:sz w:val="28"/>
          <w:szCs w:val="28"/>
          <w:rtl/>
        </w:rPr>
        <w:t xml:space="preserve">شمس الدين بن محمّد بن الموصلي الحنبلي -موصلي ، شمس الدين بن محمّد</w:t>
      </w:r>
    </w:p>
    <w:p>
      <w:pPr>
        <w:pStyle w:val="BookText"/>
      </w:pPr>
      <w:r>
        <w:rPr>
          <w:rFonts w:ascii="IRNazanin" w:hAnsi="IRNazanin" w:eastAsia="IRNazanin" w:cs="IRNazanin"/>
          <w:lang w:bidi="fa-IR"/>
          <w:color w:val="111111"/>
          <w:sz w:val="28"/>
          <w:szCs w:val="28"/>
          <w:rtl/>
        </w:rPr>
        <w:t xml:space="preserve">شمس الدین بن محمّد بهبهاني -بهبهاني ،</w:t>
      </w:r>
    </w:p>
    <w:p>
      <w:pPr>
        <w:pStyle w:val="BookText"/>
      </w:pPr>
      <w:r>
        <w:rPr>
          <w:rFonts w:ascii="Amiri" w:hAnsi="Amiri" w:eastAsia="Amiri" w:cs="Amiri"/>
          <w:lang w:bidi="ar-SA"/>
          <w:color w:val="111111"/>
          <w:sz w:val="28"/>
          <w:szCs w:val="28"/>
          <w:rtl/>
        </w:rPr>
        <w:t xml:space="preserve">شمس الدين بن جمال الدين</w:t>
      </w:r>
    </w:p>
    <w:p>
      <w:pPr>
        <w:pStyle w:val="BookText"/>
      </w:pPr>
      <w:r>
        <w:rPr>
          <w:rFonts w:ascii="IRNazanin" w:hAnsi="IRNazanin" w:eastAsia="IRNazanin" w:cs="IRNazanin"/>
          <w:lang w:bidi="fa-IR"/>
          <w:color w:val="111111"/>
          <w:sz w:val="28"/>
          <w:szCs w:val="28"/>
          <w:rtl/>
        </w:rPr>
        <w:t xml:space="preserve">شمس الدين بن منصور الساوچي بن صائغ -ابن صائغ ، شمس الدين بن منصور</w:t>
      </w:r>
    </w:p>
    <w:p>
      <w:pPr>
        <w:pStyle w:val="Heading2"/>
      </w:pPr>
      <w:bookmarkStart w:id="5198" w:name="_Toc4300"/>
      <w:r>
        <w:t>شمس الدين موصلي ، محمّد بن احمد</w:t>
      </w:r>
      <w:bookmarkEnd w:id="5198"/>
    </w:p>
    <w:p>
      <w:pPr>
        <w:pStyle w:val="BookText"/>
      </w:pPr>
      <w:r>
        <w:rPr>
          <w:rFonts w:ascii="Amiri" w:hAnsi="Amiri" w:eastAsia="Amiri" w:cs="Amiri"/>
          <w:lang w:bidi="ar-SA"/>
          <w:color w:val="111111"/>
          <w:sz w:val="28"/>
          <w:szCs w:val="28"/>
          <w:rtl/>
        </w:rPr>
        <w:t xml:space="preserve">حساب اليد بالقبطية منظومه في)</w:t>
      </w:r>
    </w:p>
    <w:p>
      <w:pPr>
        <w:pStyle w:val="BookText"/>
      </w:pPr>
      <w:r>
        <w:rPr>
          <w:rFonts w:ascii="IRNazanin" w:hAnsi="IRNazanin" w:eastAsia="IRNazanin" w:cs="IRNazanin"/>
          <w:lang w:bidi="fa-IR"/>
          <w:color w:val="111111"/>
          <w:sz w:val="28"/>
          <w:szCs w:val="28"/>
          <w:rtl/>
        </w:rPr>
        <w:t xml:space="preserve">ج 6 ، ص 649 .</w:t>
      </w:r>
    </w:p>
    <w:p>
      <w:pPr>
        <w:pStyle w:val="Heading2"/>
      </w:pPr>
      <w:bookmarkStart w:id="5199" w:name="_Toc4301"/>
      <w:r>
        <w:t>شمس الفقهاء موسوي ، مهدي بن علي</w:t>
      </w:r>
      <w:bookmarkEnd w:id="5199"/>
    </w:p>
    <w:p>
      <w:pPr>
        <w:pStyle w:val="BookText"/>
      </w:pPr>
      <w:r>
        <w:rPr>
          <w:rFonts w:ascii="IRNazanin" w:hAnsi="IRNazanin" w:eastAsia="IRNazanin" w:cs="IRNazanin"/>
          <w:lang w:bidi="fa-IR"/>
          <w:color w:val="111111"/>
          <w:sz w:val="28"/>
          <w:szCs w:val="28"/>
          <w:rtl/>
        </w:rPr>
        <w:t xml:space="preserve">130 - 1381ه-</w:t>
      </w:r>
    </w:p>
    <w:p>
      <w:pPr>
        <w:pStyle w:val="BookText"/>
      </w:pPr>
      <w:r>
        <w:rPr>
          <w:rFonts w:ascii="Amiri" w:hAnsi="Amiri" w:eastAsia="Amiri" w:cs="Amiri"/>
          <w:lang w:bidi="ar-SA"/>
          <w:color w:val="111111"/>
          <w:sz w:val="28"/>
          <w:szCs w:val="28"/>
          <w:rtl/>
        </w:rPr>
        <w:t xml:space="preserve">1 .اصل البراءة و الاستصحاب، ج 2،</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تنبيه الأمة، ج 5، ص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قصيدة بانت سعاد ، ج9،</w:t>
      </w:r>
    </w:p>
    <w:p>
      <w:pPr>
        <w:pStyle w:val="BookText"/>
      </w:pPr>
      <w:r>
        <w:rPr>
          <w:rFonts w:ascii="IRNazanin" w:hAnsi="IRNazanin" w:eastAsia="IRNazanin" w:cs="IRNazanin"/>
          <w:lang w:bidi="fa-IR"/>
          <w:color w:val="111111"/>
          <w:sz w:val="28"/>
          <w:szCs w:val="28"/>
          <w:rtl/>
        </w:rPr>
        <w:t xml:space="preserve">ص 840.</w:t>
      </w:r>
    </w:p>
    <w:p>
      <w:pPr>
        <w:pStyle w:val="BookText"/>
      </w:pPr>
      <w:r>
        <w:rPr>
          <w:rFonts w:ascii="Amiri" w:hAnsi="Amiri" w:eastAsia="Amiri" w:cs="Amiri"/>
          <w:lang w:bidi="ar-SA"/>
          <w:color w:val="111111"/>
          <w:sz w:val="28"/>
          <w:szCs w:val="28"/>
          <w:rtl/>
        </w:rPr>
        <w:t xml:space="preserve">4 .شرح قصيدة لامية العجم، ج9،</w:t>
      </w:r>
    </w:p>
    <w:p>
      <w:pPr>
        <w:pStyle w:val="BookText"/>
      </w:pPr>
      <w:r>
        <w:rPr>
          <w:rFonts w:ascii="IRNazanin" w:hAnsi="IRNazanin" w:eastAsia="IRNazanin" w:cs="IRNazanin"/>
          <w:lang w:bidi="fa-IR"/>
          <w:color w:val="111111"/>
          <w:sz w:val="28"/>
          <w:szCs w:val="28"/>
          <w:rtl/>
        </w:rPr>
        <w:t xml:space="preserve">ص 888</w:t>
      </w:r>
    </w:p>
    <w:p>
      <w:pPr>
        <w:pStyle w:val="BookText"/>
      </w:pPr>
      <w:r>
        <w:rPr>
          <w:rFonts w:ascii="Amiri" w:hAnsi="Amiri" w:eastAsia="Amiri" w:cs="Amiri"/>
          <w:lang w:bidi="ar-SA"/>
          <w:color w:val="111111"/>
          <w:sz w:val="28"/>
          <w:szCs w:val="28"/>
          <w:rtl/>
        </w:rPr>
        <w:t xml:space="preserve">5 .الشروط في ضمن العقود، ج10،</w:t>
      </w:r>
    </w:p>
    <w:p>
      <w:pPr>
        <w:pStyle w:val="BookText"/>
      </w:pPr>
      <w:r>
        <w:rPr>
          <w:rFonts w:ascii="IRNazanin" w:hAnsi="IRNazanin" w:eastAsia="IRNazanin" w:cs="IRNazanin"/>
          <w:lang w:bidi="fa-IR"/>
          <w:color w:val="111111"/>
          <w:sz w:val="28"/>
          <w:szCs w:val="28"/>
          <w:rtl/>
        </w:rPr>
        <w:t xml:space="preserve">ص 362.</w:t>
      </w:r>
    </w:p>
    <w:p>
      <w:pPr>
        <w:pStyle w:val="BookText"/>
      </w:pPr>
      <w:r>
        <w:rPr>
          <w:rFonts w:ascii="Amiri" w:hAnsi="Amiri" w:eastAsia="Amiri" w:cs="Amiri"/>
          <w:lang w:bidi="ar-SA"/>
          <w:color w:val="111111"/>
          <w:sz w:val="28"/>
          <w:szCs w:val="28"/>
          <w:rtl/>
        </w:rPr>
        <w:t xml:space="preserve">6 .قاعدة من ملك شيئاً ملك الأقرار به</w:t>
      </w:r>
    </w:p>
    <w:p>
      <w:pPr>
        <w:pStyle w:val="BookText"/>
      </w:pPr>
      <w:r>
        <w:rPr>
          <w:rFonts w:ascii="IRNazanin" w:hAnsi="IRNazanin" w:eastAsia="IRNazanin" w:cs="IRNazanin"/>
          <w:lang w:bidi="fa-IR"/>
          <w:color w:val="111111"/>
          <w:sz w:val="28"/>
          <w:szCs w:val="28"/>
          <w:rtl/>
        </w:rPr>
        <w:t xml:space="preserve">ج 12، ص 337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قانون الفقه، ج 12، ص 362.</w:t>
      </w:r>
    </w:p>
    <w:p>
      <w:pPr>
        <w:pStyle w:val="BookText"/>
      </w:pPr>
      <w:r>
        <w:rPr>
          <w:rFonts w:ascii="Amiri" w:hAnsi="Amiri" w:eastAsia="Amiri" w:cs="Amiri"/>
          <w:lang w:bidi="ar-SA"/>
          <w:color w:val="111111"/>
          <w:sz w:val="28"/>
          <w:szCs w:val="28"/>
          <w:rtl/>
        </w:rPr>
        <w:t xml:space="preserve">8 .مرآة القضاء، ج 14 ، ص 360.</w:t>
      </w:r>
    </w:p>
    <w:p>
      <w:pPr>
        <w:pStyle w:val="BookText"/>
      </w:pPr>
      <w:r>
        <w:rPr>
          <w:rFonts w:ascii="Amiri" w:hAnsi="Amiri" w:eastAsia="Amiri" w:cs="Amiri"/>
          <w:lang w:bidi="ar-SA"/>
          <w:color w:val="111111"/>
          <w:sz w:val="28"/>
          <w:szCs w:val="28"/>
          <w:rtl/>
        </w:rPr>
        <w:t xml:space="preserve">9 .منجزات المريض، ج 15، ص 659.</w:t>
      </w:r>
    </w:p>
    <w:p>
      <w:pPr>
        <w:pStyle w:val="Heading2"/>
      </w:pPr>
      <w:bookmarkStart w:id="5200" w:name="_Toc4302"/>
      <w:r>
        <w:t>شمس تبريزي ، محمّد بن علي، 582؟ -</w:t>
      </w:r>
      <w:bookmarkEnd w:id="5200"/>
    </w:p>
    <w:p>
      <w:pPr>
        <w:pStyle w:val="BookText"/>
      </w:pPr>
      <w:r>
        <w:rPr>
          <w:rFonts w:ascii="IRNazanin" w:hAnsi="IRNazanin" w:eastAsia="IRNazanin" w:cs="IRNazanin"/>
          <w:lang w:bidi="fa-IR"/>
          <w:color w:val="111111"/>
          <w:sz w:val="28"/>
          <w:szCs w:val="28"/>
          <w:rtl/>
        </w:rPr>
        <w:t xml:space="preserve">645 ه-</w:t>
      </w:r>
    </w:p>
    <w:p>
      <w:pPr>
        <w:pStyle w:val="BookText"/>
      </w:pPr>
      <w:r>
        <w:rPr>
          <w:rFonts w:ascii="IRNazanin" w:hAnsi="IRNazanin" w:eastAsia="IRNazanin" w:cs="IRNazanin"/>
          <w:lang w:bidi="fa-IR"/>
          <w:color w:val="111111"/>
          <w:sz w:val="28"/>
          <w:szCs w:val="28"/>
          <w:rtl/>
        </w:rPr>
        <w:t xml:space="preserve">مقالات، ج 15 ، ص 279.</w:t>
      </w:r>
    </w:p>
    <w:p>
      <w:pPr>
        <w:pStyle w:val="BookText"/>
      </w:pPr>
      <w:r>
        <w:rPr>
          <w:rFonts w:ascii="Amiri" w:hAnsi="Amiri" w:eastAsia="Amiri" w:cs="Amiri"/>
          <w:lang w:bidi="ar-SA"/>
          <w:color w:val="111111"/>
          <w:sz w:val="28"/>
          <w:szCs w:val="28"/>
          <w:rtl/>
        </w:rPr>
        <w:t xml:space="preserve">شمس فخري ، محمود بن عبد الرحمان -اصفهاني ، محمود بن عبد الرحمن</w:t>
      </w:r>
    </w:p>
    <w:p>
      <w:pPr>
        <w:pStyle w:val="BookText"/>
      </w:pPr>
      <w:r>
        <w:rPr>
          <w:rFonts w:ascii="IRNazanin" w:hAnsi="IRNazanin" w:eastAsia="IRNazanin" w:cs="IRNazanin"/>
          <w:lang w:bidi="fa-IR"/>
          <w:color w:val="111111"/>
          <w:sz w:val="28"/>
          <w:szCs w:val="28"/>
          <w:rtl/>
        </w:rPr>
        <w:t xml:space="preserve">شمس گيلاني ، شمس الدين محمّد -ملا</w:t>
      </w:r>
    </w:p>
    <w:p>
      <w:pPr>
        <w:pStyle w:val="BookText"/>
      </w:pPr>
      <w:r>
        <w:rPr>
          <w:rFonts w:ascii="IRNazanin" w:hAnsi="IRNazanin" w:eastAsia="IRNazanin" w:cs="IRNazanin"/>
          <w:lang w:bidi="fa-IR"/>
          <w:color w:val="111111"/>
          <w:sz w:val="28"/>
          <w:szCs w:val="28"/>
          <w:rtl/>
        </w:rPr>
        <w:t xml:space="preserve">شمسا ، شمس الدین محمّد</w:t>
      </w:r>
    </w:p>
    <w:p>
      <w:pPr>
        <w:pStyle w:val="BookText"/>
      </w:pPr>
      <w:r>
        <w:rPr>
          <w:rFonts w:ascii="Amiri" w:hAnsi="Amiri" w:eastAsia="Amiri" w:cs="Amiri"/>
          <w:lang w:bidi="ar-SA"/>
          <w:color w:val="111111"/>
          <w:sz w:val="28"/>
          <w:szCs w:val="28"/>
          <w:rtl/>
        </w:rPr>
        <w:t xml:space="preserve">شمس مغربي ، محمّد بن عزالدين بن عادل</w:t>
      </w:r>
    </w:p>
    <w:p>
      <w:pPr>
        <w:pStyle w:val="BookText"/>
      </w:pPr>
      <w:r>
        <w:rPr>
          <w:rFonts w:ascii="Amiri" w:hAnsi="Amiri" w:eastAsia="Amiri" w:cs="Amiri"/>
          <w:lang w:bidi="ar-SA"/>
          <w:color w:val="111111"/>
          <w:sz w:val="28"/>
          <w:szCs w:val="28"/>
          <w:rtl/>
        </w:rPr>
        <w:t xml:space="preserve">تبريزي -شيرين مغربي ، محمّد بن عزالدين</w:t>
      </w:r>
    </w:p>
    <w:p>
      <w:pPr>
        <w:pStyle w:val="BookText"/>
      </w:pPr>
      <w:r>
        <w:rPr>
          <w:rFonts w:ascii="Amiri" w:hAnsi="Amiri" w:eastAsia="Amiri" w:cs="Amiri"/>
          <w:lang w:bidi="ar-SA"/>
          <w:color w:val="111111"/>
          <w:sz w:val="28"/>
          <w:szCs w:val="28"/>
          <w:rtl/>
        </w:rPr>
        <w:t xml:space="preserve">شمسي ، عبد الرشيد بن</w:t>
      </w:r>
    </w:p>
    <w:p>
      <w:pPr>
        <w:pStyle w:val="BookText"/>
      </w:pPr>
      <w:r>
        <w:rPr>
          <w:rFonts w:ascii="Amiri" w:hAnsi="Amiri" w:eastAsia="Amiri" w:cs="Amiri"/>
          <w:lang w:bidi="ar-SA"/>
          <w:color w:val="111111"/>
          <w:sz w:val="28"/>
          <w:szCs w:val="28"/>
          <w:rtl/>
        </w:rPr>
        <w:t xml:space="preserve">مصطفى - جونفوري ، عبد الرشيد بن مصطفى</w:t>
      </w:r>
    </w:p>
    <w:p>
      <w:pPr>
        <w:pStyle w:val="BookText"/>
      </w:pPr>
      <w:r>
        <w:rPr>
          <w:rFonts w:ascii="Amiri" w:hAnsi="Amiri" w:eastAsia="Amiri" w:cs="Amiri"/>
          <w:lang w:bidi="ar-SA"/>
          <w:color w:val="111111"/>
          <w:sz w:val="28"/>
          <w:szCs w:val="28"/>
          <w:rtl/>
        </w:rPr>
        <w:t xml:space="preserve">شمشاطي ، ابوالحسن علي بن محمّد -شمشاطي ، علي بن محمّد</w:t>
      </w:r>
    </w:p>
    <w:p>
      <w:pPr>
        <w:pStyle w:val="Heading2"/>
      </w:pPr>
      <w:bookmarkStart w:id="5201" w:name="_Toc4303"/>
      <w:r>
        <w:t>شمشاطي ، علي بن محمّد - 380 ه-</w:t>
      </w:r>
      <w:bookmarkEnd w:id="5201"/>
    </w:p>
    <w:p>
      <w:pPr>
        <w:pStyle w:val="BookText"/>
      </w:pPr>
      <w:r>
        <w:rPr>
          <w:rFonts w:ascii="IRNazanin" w:hAnsi="IRNazanin" w:eastAsia="IRNazanin" w:cs="IRNazanin"/>
          <w:lang w:bidi="fa-IR"/>
          <w:color w:val="111111"/>
          <w:sz w:val="28"/>
          <w:szCs w:val="28"/>
          <w:rtl/>
        </w:rPr>
        <w:t xml:space="preserve">الانوار و محاسن الاشعار، ج3، ص30.</w:t>
      </w:r>
    </w:p>
    <w:p>
      <w:pPr>
        <w:pStyle w:val="BookText"/>
      </w:pPr>
      <w:r>
        <w:rPr>
          <w:rFonts w:ascii="Amiri" w:hAnsi="Amiri" w:eastAsia="Amiri" w:cs="Amiri"/>
          <w:lang w:bidi="ar-SA"/>
          <w:color w:val="111111"/>
          <w:sz w:val="28"/>
          <w:szCs w:val="28"/>
          <w:rtl/>
        </w:rPr>
        <w:t xml:space="preserve">شمني ، ابو العباس احمد بن محمّد- اشموني ، احمد بن محمّد</w:t>
      </w:r>
    </w:p>
    <w:p>
      <w:pPr>
        <w:pStyle w:val="BookText"/>
      </w:pPr>
      <w:r>
        <w:rPr>
          <w:rFonts w:ascii="Amiri" w:hAnsi="Amiri" w:eastAsia="Amiri" w:cs="Amiri"/>
          <w:lang w:bidi="ar-SA"/>
          <w:color w:val="111111"/>
          <w:sz w:val="28"/>
          <w:szCs w:val="28"/>
          <w:rtl/>
        </w:rPr>
        <w:t xml:space="preserve">شمني ، احمد بن محمّد -اشموني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شمني ، تقي الدين احمد بن محمّد -اشموني ، احمد بن محمّد</w:t>
      </w:r>
    </w:p>
    <w:p>
      <w:pPr>
        <w:pStyle w:val="BookText"/>
      </w:pPr>
      <w:r>
        <w:rPr>
          <w:rFonts w:ascii="Amiri" w:hAnsi="Amiri" w:eastAsia="Amiri" w:cs="Amiri"/>
          <w:lang w:bidi="ar-SA"/>
          <w:color w:val="111111"/>
          <w:sz w:val="28"/>
          <w:szCs w:val="28"/>
          <w:rtl/>
        </w:rPr>
        <w:t xml:space="preserve">شمني ، محمّد بن حسن- شمني ، محمّد</w:t>
      </w:r>
    </w:p>
    <w:p>
      <w:pPr>
        <w:pStyle w:val="BookText"/>
      </w:pPr>
      <w:r>
        <w:rPr>
          <w:rFonts w:ascii="Amiri" w:hAnsi="Amiri" w:eastAsia="Amiri" w:cs="Amiri"/>
          <w:lang w:bidi="ar-SA"/>
          <w:color w:val="111111"/>
          <w:sz w:val="28"/>
          <w:szCs w:val="28"/>
          <w:rtl/>
        </w:rPr>
        <w:t xml:space="preserve">بن محمّد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29" w:name="pg7742_70616"/>
    <w:bookmarkEnd w:id="629"/>
    <w:p>
      <w:pPr>
        <w:pStyle w:val="Heading2"/>
      </w:pPr>
      <w:bookmarkStart w:id="5202" w:name="_Toc4304"/>
      <w:r>
        <w:t>شمني ، محمّد بن محمّد، 766 - 821 ه-</w:t>
      </w:r>
      <w:bookmarkEnd w:id="5202"/>
    </w:p>
    <w:p>
      <w:pPr>
        <w:pStyle w:val="BookText"/>
      </w:pPr>
      <w:r>
        <w:rPr>
          <w:rFonts w:ascii="Amiri" w:hAnsi="Amiri" w:eastAsia="Amiri" w:cs="Amiri"/>
          <w:lang w:bidi="ar-SA"/>
          <w:color w:val="111111"/>
          <w:sz w:val="28"/>
          <w:szCs w:val="28"/>
          <w:rtl/>
        </w:rPr>
        <w:t xml:space="preserve">1 .نتيجة النظر في نخبة الفكر، ج 16،ص 138.</w:t>
      </w:r>
    </w:p>
    <w:p>
      <w:pPr>
        <w:pStyle w:val="BookText"/>
      </w:pPr>
      <w:r>
        <w:rPr>
          <w:rFonts w:ascii="Amiri" w:hAnsi="Amiri" w:eastAsia="Amiri" w:cs="Amiri"/>
          <w:lang w:bidi="ar-SA"/>
          <w:color w:val="111111"/>
          <w:sz w:val="28"/>
          <w:szCs w:val="28"/>
          <w:rtl/>
        </w:rPr>
        <w:t xml:space="preserve">2 .نخبة الفكر في مصطلح اهل الاثر</w:t>
      </w:r>
    </w:p>
    <w:p>
      <w:pPr>
        <w:pStyle w:val="BookText"/>
      </w:pPr>
      <w:r>
        <w:rPr>
          <w:rFonts w:ascii="IRNazanin" w:hAnsi="IRNazanin" w:eastAsia="IRNazanin" w:cs="IRNazanin"/>
          <w:lang w:bidi="fa-IR"/>
          <w:color w:val="111111"/>
          <w:sz w:val="28"/>
          <w:szCs w:val="28"/>
          <w:rtl/>
        </w:rPr>
        <w:t xml:space="preserve">(منظوم)، ج 16، ص 204.</w:t>
      </w:r>
    </w:p>
    <w:p>
      <w:pPr>
        <w:pStyle w:val="Heading2"/>
      </w:pPr>
      <w:bookmarkStart w:id="5203" w:name="_Toc4305"/>
      <w:r>
        <w:t>شناوي ، احمد بن علي، 975 - 1028 ه-</w:t>
      </w:r>
      <w:bookmarkEnd w:id="5203"/>
    </w:p>
    <w:p>
      <w:pPr>
        <w:pStyle w:val="BookText"/>
      </w:pPr>
      <w:r>
        <w:rPr>
          <w:rFonts w:ascii="Amiri" w:hAnsi="Amiri" w:eastAsia="Amiri" w:cs="Amiri"/>
          <w:lang w:bidi="ar-SA"/>
          <w:color w:val="111111"/>
          <w:sz w:val="28"/>
          <w:szCs w:val="28"/>
          <w:rtl/>
        </w:rPr>
        <w:t xml:space="preserve">ضمائر الاسرار في بواهر الجواهر الغوثية، ج 10 ، ص 695 .</w:t>
      </w:r>
    </w:p>
    <w:p>
      <w:pPr>
        <w:pStyle w:val="BookText"/>
      </w:pPr>
      <w:r>
        <w:rPr>
          <w:rFonts w:ascii="Amiri" w:hAnsi="Amiri" w:eastAsia="Amiri" w:cs="Amiri"/>
          <w:lang w:bidi="ar-SA"/>
          <w:color w:val="111111"/>
          <w:sz w:val="28"/>
          <w:szCs w:val="28"/>
          <w:rtl/>
        </w:rPr>
        <w:t xml:space="preserve">شناوي ، محمّد بن قاسم- بقري ، محمّد</w:t>
      </w:r>
    </w:p>
    <w:p>
      <w:pPr>
        <w:pStyle w:val="BookText"/>
      </w:pPr>
      <w:r>
        <w:rPr>
          <w:rFonts w:ascii="IRNazanin" w:hAnsi="IRNazanin" w:eastAsia="IRNazanin" w:cs="IRNazanin"/>
          <w:lang w:bidi="fa-IR"/>
          <w:color w:val="111111"/>
          <w:sz w:val="28"/>
          <w:szCs w:val="28"/>
          <w:rtl/>
        </w:rPr>
        <w:t xml:space="preserve">بن قاسم</w:t>
      </w:r>
    </w:p>
    <w:p>
      <w:pPr>
        <w:pStyle w:val="BookText"/>
      </w:pPr>
      <w:r>
        <w:rPr>
          <w:rFonts w:ascii="Amiri" w:hAnsi="Amiri" w:eastAsia="Amiri" w:cs="Amiri"/>
          <w:lang w:bidi="ar-SA"/>
          <w:color w:val="111111"/>
          <w:sz w:val="28"/>
          <w:szCs w:val="28"/>
          <w:rtl/>
        </w:rPr>
        <w:t xml:space="preserve">شنب غازاني ، امير اسماعيل- فارابي تبريزي</w:t>
      </w:r>
    </w:p>
    <w:p>
      <w:pPr>
        <w:pStyle w:val="BookText"/>
      </w:pPr>
      <w:r>
        <w:rPr>
          <w:rFonts w:ascii="IRNazanin" w:hAnsi="IRNazanin" w:eastAsia="IRNazanin" w:cs="IRNazanin"/>
          <w:lang w:bidi="fa-IR"/>
          <w:color w:val="111111"/>
          <w:sz w:val="28"/>
          <w:szCs w:val="28"/>
          <w:rtl/>
        </w:rPr>
        <w:t xml:space="preserve">امیر اسماعيل بن حسين</w:t>
      </w:r>
    </w:p>
    <w:p>
      <w:pPr>
        <w:pStyle w:val="BookText"/>
      </w:pPr>
      <w:r>
        <w:rPr>
          <w:rFonts w:ascii="Amiri" w:hAnsi="Amiri" w:eastAsia="Amiri" w:cs="Amiri"/>
          <w:lang w:bidi="ar-SA"/>
          <w:color w:val="111111"/>
          <w:sz w:val="28"/>
          <w:szCs w:val="28"/>
          <w:rtl/>
        </w:rPr>
        <w:t xml:space="preserve">شنتريني ، ابوبكر محمّد بن عبد الملك -ابن</w:t>
      </w:r>
    </w:p>
    <w:p>
      <w:pPr>
        <w:pStyle w:val="BookText"/>
      </w:pPr>
      <w:r>
        <w:rPr>
          <w:rFonts w:ascii="Amiri" w:hAnsi="Amiri" w:eastAsia="Amiri" w:cs="Amiri"/>
          <w:lang w:bidi="ar-SA"/>
          <w:color w:val="111111"/>
          <w:sz w:val="28"/>
          <w:szCs w:val="28"/>
          <w:rtl/>
        </w:rPr>
        <w:t xml:space="preserve">سراج ، محمد بن عبدالملك</w:t>
      </w:r>
    </w:p>
    <w:p>
      <w:pPr>
        <w:pStyle w:val="BookText"/>
      </w:pPr>
      <w:r>
        <w:rPr>
          <w:rFonts w:ascii="Amiri" w:hAnsi="Amiri" w:eastAsia="Amiri" w:cs="Amiri"/>
          <w:lang w:bidi="ar-SA"/>
          <w:color w:val="111111"/>
          <w:sz w:val="28"/>
          <w:szCs w:val="28"/>
          <w:rtl/>
        </w:rPr>
        <w:t xml:space="preserve">شنتريني ، علي بن بسام -ابن بسام ، علي</w:t>
      </w:r>
    </w:p>
    <w:p>
      <w:pPr>
        <w:pStyle w:val="BookText"/>
      </w:pPr>
      <w:r>
        <w:rPr>
          <w:rFonts w:ascii="IRNazanin" w:hAnsi="IRNazanin" w:eastAsia="IRNazanin" w:cs="IRNazanin"/>
          <w:lang w:bidi="fa-IR"/>
          <w:color w:val="111111"/>
          <w:sz w:val="28"/>
          <w:szCs w:val="28"/>
          <w:rtl/>
        </w:rPr>
        <w:t xml:space="preserve">بن بسام</w:t>
      </w:r>
    </w:p>
    <w:p>
      <w:pPr>
        <w:pStyle w:val="BookText"/>
      </w:pPr>
      <w:r>
        <w:rPr>
          <w:rFonts w:ascii="Amiri" w:hAnsi="Amiri" w:eastAsia="Amiri" w:cs="Amiri"/>
          <w:lang w:bidi="ar-SA"/>
          <w:color w:val="111111"/>
          <w:sz w:val="28"/>
          <w:szCs w:val="28"/>
          <w:rtl/>
        </w:rPr>
        <w:t xml:space="preserve">شنتريني ، علي بن جعفر -ابن قطاع ، علي</w:t>
      </w:r>
    </w:p>
    <w:p>
      <w:pPr>
        <w:pStyle w:val="BookText"/>
      </w:pPr>
      <w:r>
        <w:rPr>
          <w:rFonts w:ascii="IRNazanin" w:hAnsi="IRNazanin" w:eastAsia="IRNazanin" w:cs="IRNazanin"/>
          <w:lang w:bidi="fa-IR"/>
          <w:color w:val="111111"/>
          <w:sz w:val="28"/>
          <w:szCs w:val="28"/>
          <w:rtl/>
        </w:rPr>
        <w:t xml:space="preserve">بن جعفر</w:t>
      </w:r>
    </w:p>
    <w:p>
      <w:pPr>
        <w:pStyle w:val="BookText"/>
      </w:pPr>
      <w:r>
        <w:rPr>
          <w:rFonts w:ascii="Amiri" w:hAnsi="Amiri" w:eastAsia="Amiri" w:cs="Amiri"/>
          <w:lang w:bidi="ar-SA"/>
          <w:color w:val="111111"/>
          <w:sz w:val="28"/>
          <w:szCs w:val="28"/>
          <w:rtl/>
        </w:rPr>
        <w:t xml:space="preserve">شنتريني ، محمّد بن سعيد الملك- ابن</w:t>
      </w:r>
    </w:p>
    <w:p>
      <w:pPr>
        <w:pStyle w:val="BookText"/>
      </w:pPr>
      <w:r>
        <w:rPr>
          <w:rFonts w:ascii="Amiri" w:hAnsi="Amiri" w:eastAsia="Amiri" w:cs="Amiri"/>
          <w:lang w:bidi="ar-SA"/>
          <w:color w:val="111111"/>
          <w:sz w:val="28"/>
          <w:szCs w:val="28"/>
          <w:rtl/>
        </w:rPr>
        <w:t xml:space="preserve">سراج ، محمّد بن عبدالملك</w:t>
      </w:r>
    </w:p>
    <w:p>
      <w:pPr>
        <w:pStyle w:val="BookText"/>
      </w:pPr>
      <w:r>
        <w:rPr>
          <w:rFonts w:ascii="Amiri" w:hAnsi="Amiri" w:eastAsia="Amiri" w:cs="Amiri"/>
          <w:lang w:bidi="ar-SA"/>
          <w:color w:val="111111"/>
          <w:sz w:val="28"/>
          <w:szCs w:val="28"/>
          <w:rtl/>
        </w:rPr>
        <w:t xml:space="preserve">شنتريني ، محمّد بن عبد الملك -ابن سراج ،</w:t>
      </w:r>
    </w:p>
    <w:p>
      <w:pPr>
        <w:pStyle w:val="BookText"/>
      </w:pPr>
      <w:r>
        <w:rPr>
          <w:rFonts w:ascii="Amiri" w:hAnsi="Amiri" w:eastAsia="Amiri" w:cs="Amiri"/>
          <w:lang w:bidi="ar-SA"/>
          <w:color w:val="111111"/>
          <w:sz w:val="28"/>
          <w:szCs w:val="28"/>
          <w:rtl/>
        </w:rPr>
        <w:t xml:space="preserve">محمّد بن عبدالملك</w:t>
      </w:r>
    </w:p>
    <w:p>
      <w:pPr>
        <w:pStyle w:val="BookText"/>
      </w:pPr>
      <w:r>
        <w:rPr>
          <w:rFonts w:ascii="Amiri" w:hAnsi="Amiri" w:eastAsia="Amiri" w:cs="Amiri"/>
          <w:lang w:bidi="ar-SA"/>
          <w:color w:val="111111"/>
          <w:sz w:val="28"/>
          <w:szCs w:val="28"/>
          <w:rtl/>
        </w:rPr>
        <w:t xml:space="preserve">شنتمري ، اعلم -اعلم شنتمري، يوسف</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شنتمري، محمّد بن سعيد الملك -ابن</w:t>
      </w:r>
    </w:p>
    <w:p>
      <w:pPr>
        <w:pStyle w:val="BookText"/>
      </w:pPr>
      <w:r>
        <w:rPr>
          <w:rFonts w:ascii="Amiri" w:hAnsi="Amiri" w:eastAsia="Amiri" w:cs="Amiri"/>
          <w:lang w:bidi="ar-SA"/>
          <w:color w:val="111111"/>
          <w:sz w:val="28"/>
          <w:szCs w:val="28"/>
          <w:rtl/>
        </w:rPr>
        <w:t xml:space="preserve">سراج ، محمّد بن عبدالملك</w:t>
      </w:r>
    </w:p>
    <w:p>
      <w:pPr>
        <w:pStyle w:val="BookText"/>
      </w:pPr>
      <w:r>
        <w:rPr>
          <w:rFonts w:ascii="Amiri" w:hAnsi="Amiri" w:eastAsia="Amiri" w:cs="Amiri"/>
          <w:lang w:bidi="ar-SA"/>
          <w:color w:val="111111"/>
          <w:sz w:val="28"/>
          <w:szCs w:val="28"/>
          <w:rtl/>
        </w:rPr>
        <w:t xml:space="preserve">شنتوري ، عبدالله بن محمّد -شنشوري ، عبدالله بن محمّد</w:t>
      </w:r>
    </w:p>
    <w:p>
      <w:pPr>
        <w:pStyle w:val="BookText"/>
      </w:pPr>
      <w:r>
        <w:rPr>
          <w:rFonts w:ascii="Amiri" w:hAnsi="Amiri" w:eastAsia="Amiri" w:cs="Amiri"/>
          <w:lang w:bidi="ar-SA"/>
          <w:color w:val="111111"/>
          <w:sz w:val="28"/>
          <w:szCs w:val="28"/>
          <w:rtl/>
        </w:rPr>
        <w:t xml:space="preserve">شنشوري ، عبدالله بن بهاء الدين -محمّد شنشوري ، عبدالله بن محمّد</w:t>
      </w:r>
    </w:p>
    <w:p>
      <w:pPr>
        <w:pStyle w:val="Heading2"/>
      </w:pPr>
      <w:bookmarkStart w:id="5204" w:name="_Toc4306"/>
      <w:r>
        <w:t>شنشوري ، عبدالله بن محمّد، 935 - 999</w:t>
      </w:r>
      <w:bookmarkEnd w:id="5204"/>
    </w:p>
    <w:p>
      <w:pPr>
        <w:pStyle w:val="BookText"/>
      </w:pPr>
      <w:r>
        <w:rPr>
          <w:rFonts w:ascii="Amiri" w:hAnsi="Amiri" w:eastAsia="Amiri" w:cs="Amiri"/>
          <w:lang w:bidi="ar-SA"/>
          <w:color w:val="111111"/>
          <w:sz w:val="28"/>
          <w:szCs w:val="28"/>
          <w:rtl/>
        </w:rPr>
        <w:t xml:space="preserve">1 .بغية الراغب في شرح مرشدة</w:t>
      </w:r>
    </w:p>
    <w:p>
      <w:pPr>
        <w:pStyle w:val="BookText"/>
      </w:pPr>
      <w:r>
        <w:rPr>
          <w:rFonts w:ascii="IRNazanin" w:hAnsi="IRNazanin" w:eastAsia="IRNazanin" w:cs="IRNazanin"/>
          <w:lang w:bidi="fa-IR"/>
          <w:color w:val="111111"/>
          <w:sz w:val="28"/>
          <w:szCs w:val="28"/>
          <w:rtl/>
        </w:rPr>
        <w:t xml:space="preserve">الطالب، ج 3، ص 365.</w:t>
      </w:r>
    </w:p>
    <w:p>
      <w:pPr>
        <w:pStyle w:val="BookText"/>
      </w:pPr>
      <w:r>
        <w:rPr>
          <w:rFonts w:ascii="Amiri" w:hAnsi="Amiri" w:eastAsia="Amiri" w:cs="Amiri"/>
          <w:lang w:bidi="ar-SA"/>
          <w:color w:val="111111"/>
          <w:sz w:val="28"/>
          <w:szCs w:val="28"/>
          <w:rtl/>
        </w:rPr>
        <w:t xml:space="preserve">2 .خلاصة الفكر في شرح المختصر في مصطلح اهل الاثر، ج 7، ص 124.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تحفة الاحباب في علم الحساب، ج 9، ص318.</w:t>
      </w:r>
    </w:p>
    <w:p>
      <w:pPr>
        <w:pStyle w:val="BookText"/>
      </w:pPr>
      <w:r>
        <w:rPr>
          <w:rFonts w:ascii="Amiri" w:hAnsi="Amiri" w:eastAsia="Amiri" w:cs="Amiri"/>
          <w:lang w:bidi="ar-SA"/>
          <w:color w:val="111111"/>
          <w:sz w:val="28"/>
          <w:szCs w:val="28"/>
          <w:rtl/>
        </w:rPr>
        <w:t xml:space="preserve">4 .شرح مختصر التحفة، ج 10، ص 114.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فتح القريب المجيب بشرح كتاب</w:t>
      </w:r>
    </w:p>
    <w:p>
      <w:pPr>
        <w:pStyle w:val="BookText"/>
      </w:pPr>
      <w:r>
        <w:rPr>
          <w:rFonts w:ascii="Amiri" w:hAnsi="Amiri" w:eastAsia="Amiri" w:cs="Amiri"/>
          <w:lang w:bidi="ar-SA"/>
          <w:color w:val="111111"/>
          <w:sz w:val="28"/>
          <w:szCs w:val="28"/>
          <w:rtl/>
        </w:rPr>
        <w:t xml:space="preserve">الترتيب = الفرائض الشنشورية</w:t>
      </w:r>
    </w:p>
    <w:p>
      <w:pPr>
        <w:pStyle w:val="BookText"/>
      </w:pPr>
      <w:r>
        <w:rPr>
          <w:rFonts w:ascii="IRNazanin" w:hAnsi="IRNazanin" w:eastAsia="IRNazanin" w:cs="IRNazanin"/>
          <w:lang w:bidi="fa-IR"/>
          <w:color w:val="111111"/>
          <w:sz w:val="28"/>
          <w:szCs w:val="28"/>
          <w:rtl/>
        </w:rPr>
        <w:t xml:space="preserve">ج 11، ص 667.</w:t>
      </w:r>
    </w:p>
    <w:p>
      <w:pPr>
        <w:pStyle w:val="BookText"/>
      </w:pPr>
      <w:r>
        <w:rPr>
          <w:rFonts w:ascii="IRNazanin" w:hAnsi="IRNazanin" w:eastAsia="IRNazanin" w:cs="IRNazanin"/>
          <w:lang w:bidi="fa-IR"/>
          <w:color w:val="111111"/>
          <w:sz w:val="28"/>
          <w:szCs w:val="28"/>
          <w:rtl/>
        </w:rPr>
        <w:t xml:space="preserve">6 .الفرائض، ج 11، ص 752.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الفوائد الشنشورية في شرح المنظومة الرحبية، ج 12، ص 213.</w:t>
      </w:r>
    </w:p>
    <w:p>
      <w:pPr>
        <w:pStyle w:val="BookText"/>
      </w:pPr>
      <w:r>
        <w:rPr>
          <w:rFonts w:ascii="Amiri" w:hAnsi="Amiri" w:eastAsia="Amiri" w:cs="Amiri"/>
          <w:lang w:bidi="ar-SA"/>
          <w:color w:val="111111"/>
          <w:sz w:val="28"/>
          <w:szCs w:val="28"/>
          <w:rtl/>
        </w:rPr>
        <w:t xml:space="preserve">8 .قرة العينين في مساحة ظرف</w:t>
      </w:r>
    </w:p>
    <w:p>
      <w:pPr>
        <w:pStyle w:val="BookText"/>
      </w:pPr>
      <w:r>
        <w:rPr>
          <w:rFonts w:ascii="Amiri" w:hAnsi="Amiri" w:eastAsia="Amiri" w:cs="Amiri"/>
          <w:lang w:bidi="ar-SA"/>
          <w:color w:val="111111"/>
          <w:sz w:val="28"/>
          <w:szCs w:val="28"/>
          <w:rtl/>
        </w:rPr>
        <w:t xml:space="preserve">القلتين، ج 12، ص 571.</w:t>
      </w:r>
    </w:p>
    <w:p>
      <w:pPr>
        <w:pStyle w:val="BookText"/>
      </w:pPr>
      <w:r>
        <w:rPr>
          <w:rFonts w:ascii="Amiri" w:hAnsi="Amiri" w:eastAsia="Amiri" w:cs="Amiri"/>
          <w:lang w:bidi="ar-SA"/>
          <w:color w:val="111111"/>
          <w:sz w:val="28"/>
          <w:szCs w:val="28"/>
          <w:rtl/>
        </w:rPr>
        <w:t xml:space="preserve">9 .مصطلح اهل الاثر (مختصر) = المختصر في مصطلح اهل الاثر</w:t>
      </w:r>
    </w:p>
    <w:p>
      <w:pPr>
        <w:pStyle w:val="BookText"/>
      </w:pPr>
      <w:r>
        <w:rPr>
          <w:rFonts w:ascii="IRNazanin" w:hAnsi="IRNazanin" w:eastAsia="IRNazanin" w:cs="IRNazanin"/>
          <w:lang w:bidi="fa-IR"/>
          <w:color w:val="111111"/>
          <w:sz w:val="28"/>
          <w:szCs w:val="28"/>
          <w:rtl/>
        </w:rPr>
        <w:t xml:space="preserve">ج 14 ، ص 747 .</w:t>
      </w:r>
    </w:p>
    <w:p>
      <w:pPr>
        <w:pStyle w:val="Heading2"/>
      </w:pPr>
      <w:bookmarkStart w:id="5205" w:name="_Toc4307"/>
      <w:r>
        <w:t>شنفري ، ثابت بن اوس - 510 م</w:t>
      </w:r>
      <w:bookmarkEnd w:id="5205"/>
    </w:p>
    <w:p>
      <w:pPr>
        <w:pStyle w:val="BookText"/>
      </w:pPr>
      <w:r>
        <w:rPr>
          <w:rFonts w:ascii="Amiri" w:hAnsi="Amiri" w:eastAsia="Amiri" w:cs="Amiri"/>
          <w:lang w:bidi="ar-SA"/>
          <w:color w:val="111111"/>
          <w:sz w:val="28"/>
          <w:szCs w:val="28"/>
          <w:rtl/>
        </w:rPr>
        <w:t xml:space="preserve">لامية العرب، ج13، ص 529.</w:t>
      </w:r>
    </w:p>
    <w:p>
      <w:pPr>
        <w:pStyle w:val="BookText"/>
      </w:pPr>
      <w:r>
        <w:rPr>
          <w:rFonts w:ascii="Amiri" w:hAnsi="Amiri" w:eastAsia="Amiri" w:cs="Amiri"/>
          <w:lang w:bidi="ar-SA"/>
          <w:color w:val="111111"/>
          <w:sz w:val="28"/>
          <w:szCs w:val="28"/>
          <w:rtl/>
        </w:rPr>
        <w:t xml:space="preserve">شنقطي تركزي ، محمّد محمود بن احمد -شنقيطي ، محمّد محمود بن احمد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30" w:name="pg7742_70617"/>
    <w:bookmarkEnd w:id="630"/>
    <w:p>
      <w:pPr>
        <w:pStyle w:val="Heading2"/>
      </w:pPr>
      <w:bookmarkStart w:id="5206" w:name="_Toc4308"/>
      <w:r>
        <w:t>شنقيطي ، احمد، 1872 - 1913 م</w:t>
      </w:r>
      <w:bookmarkEnd w:id="5206"/>
    </w:p>
    <w:p>
      <w:pPr>
        <w:pStyle w:val="BookText"/>
      </w:pPr>
      <w:r>
        <w:rPr>
          <w:rFonts w:ascii="Amiri" w:hAnsi="Amiri" w:eastAsia="Amiri" w:cs="Amiri"/>
          <w:lang w:bidi="ar-SA"/>
          <w:color w:val="111111"/>
          <w:sz w:val="28"/>
          <w:szCs w:val="28"/>
          <w:rtl/>
        </w:rPr>
        <w:t xml:space="preserve">منظومة عمود النسب، ج 15، ص 725.</w:t>
      </w:r>
    </w:p>
    <w:p>
      <w:pPr>
        <w:pStyle w:val="BookText"/>
      </w:pPr>
      <w:r>
        <w:rPr>
          <w:rFonts w:ascii="Amiri" w:hAnsi="Amiri" w:eastAsia="Amiri" w:cs="Amiri"/>
          <w:lang w:bidi="ar-SA"/>
          <w:color w:val="111111"/>
          <w:sz w:val="28"/>
          <w:szCs w:val="28"/>
          <w:rtl/>
        </w:rPr>
        <w:t xml:space="preserve">شنقيطي ، محمّد محمود- شنقيطي</w:t>
      </w:r>
    </w:p>
    <w:p>
      <w:pPr>
        <w:pStyle w:val="BookText"/>
      </w:pPr>
      <w:r>
        <w:rPr>
          <w:rFonts w:ascii="IRNazanin" w:hAnsi="IRNazanin" w:eastAsia="IRNazanin" w:cs="IRNazanin"/>
          <w:lang w:bidi="fa-IR"/>
          <w:color w:val="111111"/>
          <w:sz w:val="28"/>
          <w:szCs w:val="28"/>
          <w:rtl/>
        </w:rPr>
        <w:t xml:space="preserve">محمّد محمود بن احمد</w:t>
      </w:r>
    </w:p>
    <w:p>
      <w:pPr>
        <w:pStyle w:val="Heading2"/>
      </w:pPr>
      <w:bookmarkStart w:id="5207" w:name="_Toc4309"/>
      <w:r>
        <w:t>شنقيطي ، محمّد محمود بن احمد</w:t>
      </w:r>
      <w:bookmarkEnd w:id="5207"/>
    </w:p>
    <w:p>
      <w:pPr>
        <w:pStyle w:val="BookText"/>
      </w:pPr>
      <w:r>
        <w:rPr>
          <w:rFonts w:ascii="IRNazanin" w:hAnsi="IRNazanin" w:eastAsia="IRNazanin" w:cs="IRNazanin"/>
          <w:lang w:bidi="fa-IR"/>
          <w:color w:val="111111"/>
          <w:sz w:val="28"/>
          <w:szCs w:val="28"/>
          <w:rtl/>
        </w:rPr>
        <w:t xml:space="preserve">1322 ه-</w:t>
      </w:r>
    </w:p>
    <w:p>
      <w:pPr>
        <w:pStyle w:val="BookText"/>
      </w:pPr>
      <w:r>
        <w:rPr>
          <w:rFonts w:ascii="Amiri" w:hAnsi="Amiri" w:eastAsia="Amiri" w:cs="Amiri"/>
          <w:lang w:bidi="ar-SA"/>
          <w:color w:val="111111"/>
          <w:sz w:val="28"/>
          <w:szCs w:val="28"/>
          <w:rtl/>
        </w:rPr>
        <w:t xml:space="preserve">مخطوطات منقاة من مكتبة الاسكوريال = اسماء الكتب التي انتخبت من مكتبة مدريد العامة</w:t>
      </w:r>
    </w:p>
    <w:p>
      <w:pPr>
        <w:pStyle w:val="BookText"/>
      </w:pPr>
      <w:r>
        <w:rPr>
          <w:rFonts w:ascii="IRNazanin" w:hAnsi="IRNazanin" w:eastAsia="IRNazanin" w:cs="IRNazanin"/>
          <w:lang w:bidi="fa-IR"/>
          <w:color w:val="111111"/>
          <w:sz w:val="28"/>
          <w:szCs w:val="28"/>
          <w:rtl/>
        </w:rPr>
        <w:t xml:space="preserve">ج 14، ص 293.</w:t>
      </w:r>
    </w:p>
    <w:p>
      <w:pPr>
        <w:pStyle w:val="Heading2"/>
      </w:pPr>
      <w:bookmarkStart w:id="5208" w:name="_Toc4310"/>
      <w:r>
        <w:t>شنواني ، ابوبكر بن اسماعیل 959 - 1019</w:t>
      </w:r>
      <w:bookmarkEnd w:id="5208"/>
    </w:p>
    <w:p>
      <w:pPr>
        <w:pStyle w:val="BookText"/>
      </w:pPr>
      <w:r>
        <w:rPr>
          <w:rFonts w:ascii="Amiri" w:hAnsi="Amiri" w:eastAsia="Amiri" w:cs="Amiri"/>
          <w:lang w:bidi="ar-SA"/>
          <w:color w:val="111111"/>
          <w:sz w:val="28"/>
          <w:szCs w:val="28"/>
          <w:rtl/>
        </w:rPr>
        <w:t xml:space="preserve">1 .تعليق الدرة الشنوانية على شرح</w:t>
      </w:r>
    </w:p>
    <w:p>
      <w:pPr>
        <w:pStyle w:val="BookText"/>
      </w:pPr>
      <w:r>
        <w:rPr>
          <w:rFonts w:ascii="Amiri" w:hAnsi="Amiri" w:eastAsia="Amiri" w:cs="Amiri"/>
          <w:lang w:bidi="ar-SA"/>
          <w:color w:val="111111"/>
          <w:sz w:val="28"/>
          <w:szCs w:val="28"/>
          <w:rtl/>
        </w:rPr>
        <w:t xml:space="preserve">الآجرومية، ج4، ص 542.</w:t>
      </w:r>
    </w:p>
    <w:p>
      <w:pPr>
        <w:pStyle w:val="BookText"/>
      </w:pPr>
      <w:r>
        <w:rPr>
          <w:rFonts w:ascii="Amiri" w:hAnsi="Amiri" w:eastAsia="Amiri" w:cs="Amiri"/>
          <w:lang w:bidi="ar-SA"/>
          <w:color w:val="111111"/>
          <w:sz w:val="28"/>
          <w:szCs w:val="28"/>
          <w:rtl/>
        </w:rPr>
        <w:t xml:space="preserve">2 .حاشية الشنواني على شرح القواعد</w:t>
      </w:r>
    </w:p>
    <w:p>
      <w:pPr>
        <w:pStyle w:val="BookText"/>
      </w:pPr>
      <w:r>
        <w:rPr>
          <w:rFonts w:ascii="Amiri" w:hAnsi="Amiri" w:eastAsia="Amiri" w:cs="Amiri"/>
          <w:lang w:bidi="ar-SA"/>
          <w:color w:val="111111"/>
          <w:sz w:val="28"/>
          <w:szCs w:val="28"/>
          <w:rtl/>
        </w:rPr>
        <w:t xml:space="preserve">حاشية موصل الطلاب إلى قواعد الاعراب، ج 6، ص 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حلية أهل الكمال بأجوبة أسئلة</w:t>
      </w:r>
    </w:p>
    <w:p>
      <w:pPr>
        <w:pStyle w:val="BookText"/>
      </w:pPr>
      <w:r>
        <w:rPr>
          <w:rFonts w:ascii="IRNazanin" w:hAnsi="IRNazanin" w:eastAsia="IRNazanin" w:cs="IRNazanin"/>
          <w:lang w:bidi="fa-IR"/>
          <w:color w:val="111111"/>
          <w:sz w:val="28"/>
          <w:szCs w:val="28"/>
          <w:rtl/>
        </w:rPr>
        <w:t xml:space="preserve">الجلال، ج 6، ص 814.</w:t>
      </w:r>
    </w:p>
    <w:p>
      <w:pPr>
        <w:pStyle w:val="BookText"/>
      </w:pPr>
      <w:r>
        <w:rPr>
          <w:rFonts w:ascii="Amiri" w:hAnsi="Amiri" w:eastAsia="Amiri" w:cs="Amiri"/>
          <w:lang w:bidi="ar-SA"/>
          <w:color w:val="111111"/>
          <w:sz w:val="28"/>
          <w:szCs w:val="28"/>
          <w:rtl/>
        </w:rPr>
        <w:t xml:space="preserve">4 .الدرر البهية على شرح الازهرية = حاشية شرح الازهرية في علم</w:t>
      </w:r>
    </w:p>
    <w:p>
      <w:pPr>
        <w:pStyle w:val="BookText"/>
      </w:pPr>
      <w:r>
        <w:rPr>
          <w:rFonts w:ascii="Amiri" w:hAnsi="Amiri" w:eastAsia="Amiri" w:cs="Amiri"/>
          <w:lang w:bidi="ar-SA"/>
          <w:color w:val="111111"/>
          <w:sz w:val="28"/>
          <w:szCs w:val="28"/>
          <w:rtl/>
        </w:rPr>
        <w:t xml:space="preserve">العربية، ج 7، ص284.</w:t>
      </w:r>
    </w:p>
    <w:p>
      <w:pPr>
        <w:pStyle w:val="BookText"/>
      </w:pPr>
      <w:r>
        <w:rPr>
          <w:rFonts w:ascii="Amiri" w:hAnsi="Amiri" w:eastAsia="Amiri" w:cs="Amiri"/>
          <w:lang w:bidi="ar-SA"/>
          <w:color w:val="111111"/>
          <w:sz w:val="28"/>
          <w:szCs w:val="28"/>
          <w:rtl/>
        </w:rPr>
        <w:t xml:space="preserve">5 .منهاج الهدى إلى مجيب النداء</w:t>
      </w:r>
    </w:p>
    <w:p>
      <w:pPr>
        <w:pStyle w:val="BookText"/>
      </w:pPr>
      <w:r>
        <w:rPr>
          <w:rFonts w:ascii="IRNazanin" w:hAnsi="IRNazanin" w:eastAsia="IRNazanin" w:cs="IRNazanin"/>
          <w:lang w:bidi="fa-IR"/>
          <w:color w:val="111111"/>
          <w:sz w:val="28"/>
          <w:szCs w:val="28"/>
          <w:rtl/>
        </w:rPr>
        <w:t xml:space="preserve">ج 15، ص 788.</w:t>
      </w:r>
    </w:p>
    <w:p>
      <w:pPr>
        <w:pStyle w:val="BookText"/>
      </w:pPr>
      <w:r>
        <w:rPr>
          <w:rFonts w:ascii="Amiri" w:hAnsi="Amiri" w:eastAsia="Amiri" w:cs="Amiri"/>
          <w:lang w:bidi="ar-SA"/>
          <w:color w:val="111111"/>
          <w:sz w:val="28"/>
          <w:szCs w:val="28"/>
          <w:rtl/>
        </w:rPr>
        <w:t xml:space="preserve">6 .هداية ذوي الالباب إلى موصل</w:t>
      </w:r>
    </w:p>
    <w:p>
      <w:pPr>
        <w:pStyle w:val="BookText"/>
      </w:pPr>
      <w:r>
        <w:rPr>
          <w:rFonts w:ascii="IRNazanin" w:hAnsi="IRNazanin" w:eastAsia="IRNazanin" w:cs="IRNazanin"/>
          <w:lang w:bidi="fa-IR"/>
          <w:color w:val="111111"/>
          <w:sz w:val="28"/>
          <w:szCs w:val="28"/>
          <w:rtl/>
        </w:rPr>
        <w:t xml:space="preserve">الطلاب إلى قواعد الاعراب، ج 16، ص608.</w:t>
      </w:r>
    </w:p>
    <w:p>
      <w:pPr>
        <w:pStyle w:val="Heading2"/>
      </w:pPr>
      <w:bookmarkStart w:id="5209" w:name="_Toc4311"/>
      <w:r>
        <w:t>شنواني، اسماعيل بن عمر - 1019ه-</w:t>
      </w:r>
      <w:bookmarkEnd w:id="5209"/>
    </w:p>
    <w:p>
      <w:pPr>
        <w:pStyle w:val="BookText"/>
      </w:pPr>
      <w:r>
        <w:rPr>
          <w:rFonts w:ascii="Amiri" w:hAnsi="Amiri" w:eastAsia="Amiri" w:cs="Amiri"/>
          <w:lang w:bidi="ar-SA"/>
          <w:color w:val="111111"/>
          <w:sz w:val="28"/>
          <w:szCs w:val="28"/>
          <w:rtl/>
        </w:rPr>
        <w:t xml:space="preserve">حلية اهل الكمال بأجوبة اسئلة</w:t>
      </w:r>
    </w:p>
    <w:p>
      <w:pPr>
        <w:pStyle w:val="BookText"/>
      </w:pPr>
      <w:r>
        <w:rPr>
          <w:rFonts w:ascii="IRNazanin" w:hAnsi="IRNazanin" w:eastAsia="IRNazanin" w:cs="IRNazanin"/>
          <w:lang w:bidi="fa-IR"/>
          <w:color w:val="111111"/>
          <w:sz w:val="28"/>
          <w:szCs w:val="28"/>
          <w:rtl/>
        </w:rPr>
        <w:t xml:space="preserve">الجلال، ج 6، ص 814.</w:t>
      </w:r>
    </w:p>
    <w:p>
      <w:pPr>
        <w:pStyle w:val="Heading2"/>
      </w:pPr>
      <w:bookmarkStart w:id="5210" w:name="_Toc4312"/>
      <w:r>
        <w:t>شنواني ، عبدالغني بن علي</w:t>
      </w:r>
      <w:bookmarkEnd w:id="5210"/>
    </w:p>
    <w:p>
      <w:pPr>
        <w:pStyle w:val="BookText"/>
      </w:pPr>
      <w:r>
        <w:rPr>
          <w:rFonts w:ascii="Amiri" w:hAnsi="Amiri" w:eastAsia="Amiri" w:cs="Amiri"/>
          <w:lang w:bidi="ar-SA"/>
          <w:color w:val="111111"/>
          <w:sz w:val="28"/>
          <w:szCs w:val="28"/>
          <w:rtl/>
        </w:rPr>
        <w:t xml:space="preserve">اغاثة الملهوف بالكلام على مسألة</w:t>
      </w:r>
    </w:p>
    <w:p>
      <w:pPr>
        <w:pStyle w:val="BookText"/>
      </w:pPr>
      <w:r>
        <w:rPr>
          <w:rFonts w:ascii="IRNazanin" w:hAnsi="IRNazanin" w:eastAsia="IRNazanin" w:cs="IRNazanin"/>
          <w:lang w:bidi="fa-IR"/>
          <w:color w:val="111111"/>
          <w:sz w:val="28"/>
          <w:szCs w:val="28"/>
          <w:rtl/>
        </w:rPr>
        <w:t xml:space="preserve">الملفوف، ج 2، ص 577.</w:t>
      </w:r>
    </w:p>
    <w:p>
      <w:pPr>
        <w:pStyle w:val="Heading2"/>
      </w:pPr>
      <w:bookmarkStart w:id="5211" w:name="_Toc4313"/>
      <w:r>
        <w:t>شنواني ، علي ابوالصفا</w:t>
      </w:r>
      <w:bookmarkEnd w:id="5211"/>
    </w:p>
    <w:p>
      <w:pPr>
        <w:pStyle w:val="BookText"/>
      </w:pPr>
      <w:r>
        <w:rPr>
          <w:rFonts w:ascii="Amiri" w:hAnsi="Amiri" w:eastAsia="Amiri" w:cs="Amiri"/>
          <w:lang w:bidi="ar-SA"/>
          <w:color w:val="111111"/>
          <w:sz w:val="28"/>
          <w:szCs w:val="28"/>
          <w:rtl/>
        </w:rPr>
        <w:t xml:space="preserve">حاشية السندي على تراجم البخاري</w:t>
      </w:r>
    </w:p>
    <w:p>
      <w:pPr>
        <w:pStyle w:val="BookText"/>
      </w:pPr>
      <w:r>
        <w:rPr>
          <w:rFonts w:ascii="IRNazanin" w:hAnsi="IRNazanin" w:eastAsia="IRNazanin" w:cs="IRNazanin"/>
          <w:lang w:bidi="fa-IR"/>
          <w:color w:val="111111"/>
          <w:sz w:val="28"/>
          <w:szCs w:val="28"/>
          <w:rtl/>
        </w:rPr>
        <w:t xml:space="preserve">ج 6 ، ص 3.</w:t>
      </w:r>
    </w:p>
    <w:p>
      <w:pPr>
        <w:pStyle w:val="Heading2"/>
      </w:pPr>
      <w:bookmarkStart w:id="5212" w:name="_Toc4314"/>
      <w:r>
        <w:t>شنواني ، محمّد بن علي، - 1233 ه-</w:t>
      </w:r>
      <w:bookmarkEnd w:id="5212"/>
    </w:p>
    <w:p>
      <w:pPr>
        <w:pStyle w:val="BookText"/>
      </w:pPr>
      <w:r>
        <w:rPr>
          <w:rFonts w:ascii="Amiri" w:hAnsi="Amiri" w:eastAsia="Amiri" w:cs="Amiri"/>
          <w:lang w:bidi="ar-SA"/>
          <w:color w:val="111111"/>
          <w:sz w:val="28"/>
          <w:szCs w:val="28"/>
          <w:rtl/>
        </w:rPr>
        <w:t xml:space="preserve">1 .حاشية اتحاف المريد بشرح جوهرة</w:t>
      </w:r>
    </w:p>
    <w:p>
      <w:pPr>
        <w:pStyle w:val="BookText"/>
      </w:pPr>
      <w:r>
        <w:rPr>
          <w:rFonts w:ascii="Amiri" w:hAnsi="Amiri" w:eastAsia="Amiri" w:cs="Amiri"/>
          <w:lang w:bidi="ar-SA"/>
          <w:color w:val="111111"/>
          <w:sz w:val="28"/>
          <w:szCs w:val="28"/>
          <w:rtl/>
        </w:rPr>
        <w:t xml:space="preserve">التوحيد، ج 5، ص 648.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شرح البخاري، ج 6 ، ص 52.</w:t>
      </w:r>
    </w:p>
    <w:p>
      <w:pPr>
        <w:pStyle w:val="BookText"/>
      </w:pPr>
      <w:r>
        <w:rPr>
          <w:rFonts w:ascii="IRNazanin" w:hAnsi="IRNazanin" w:eastAsia="IRNazanin" w:cs="IRNazanin"/>
          <w:lang w:bidi="fa-IR"/>
          <w:color w:val="111111"/>
          <w:sz w:val="28"/>
          <w:szCs w:val="28"/>
          <w:rtl/>
        </w:rPr>
        <w:t xml:space="preserve">3.شرح اسماء الله الحسنى = شرح اسماء الحسنى، ج 9، ص197.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الشهاب الهاوي على عبدالرؤف</w:t>
      </w:r>
    </w:p>
    <w:p>
      <w:pPr>
        <w:pStyle w:val="BookText"/>
      </w:pPr>
      <w:r>
        <w:rPr>
          <w:rFonts w:ascii="Amiri" w:hAnsi="Amiri" w:eastAsia="Amiri" w:cs="Amiri"/>
          <w:lang w:bidi="ar-SA"/>
          <w:color w:val="111111"/>
          <w:sz w:val="28"/>
          <w:szCs w:val="28"/>
          <w:rtl/>
        </w:rPr>
        <w:t xml:space="preserve">الغاوي، ج 10، ص 432 .</w:t>
      </w:r>
    </w:p>
    <w:p>
      <w:pPr>
        <w:pStyle w:val="Heading2"/>
      </w:pPr>
      <w:bookmarkStart w:id="5213" w:name="_Toc4315"/>
      <w:r>
        <w:t>شهاب الدین احمد بن بنت المثلق</w:t>
      </w:r>
      <w:bookmarkEnd w:id="5213"/>
    </w:p>
    <w:p>
      <w:pPr>
        <w:pStyle w:val="BookText"/>
      </w:pPr>
      <w:r>
        <w:rPr>
          <w:rFonts w:ascii="Amiri" w:hAnsi="Amiri" w:eastAsia="Amiri" w:cs="Amiri"/>
          <w:lang w:bidi="ar-SA"/>
          <w:color w:val="111111"/>
          <w:sz w:val="28"/>
          <w:szCs w:val="28"/>
          <w:rtl/>
        </w:rPr>
        <w:t xml:space="preserve">قصيدة للشيخ ناصر الدين بن المياق</w:t>
      </w:r>
    </w:p>
    <w:p>
      <w:pPr>
        <w:pStyle w:val="BookText"/>
      </w:pPr>
      <w:r>
        <w:rPr>
          <w:rFonts w:ascii="IRNazanin" w:hAnsi="IRNazanin" w:eastAsia="IRNazanin" w:cs="IRNazanin"/>
          <w:lang w:bidi="fa-IR"/>
          <w:color w:val="111111"/>
          <w:sz w:val="28"/>
          <w:szCs w:val="28"/>
          <w:rtl/>
        </w:rPr>
        <w:t xml:space="preserve">ج 12، ص708.</w:t>
      </w:r>
    </w:p>
    <w:p>
      <w:pPr>
        <w:pStyle w:val="Heading2"/>
      </w:pPr>
      <w:bookmarkStart w:id="5214" w:name="_Toc4316"/>
      <w:r>
        <w:t>شهاب الدين اصفهاني ، احمد بن حسين</w:t>
      </w:r>
      <w:bookmarkEnd w:id="52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593 ه-</w:t>
      </w:r>
    </w:p>
    <w:p>
      <w:pPr>
        <w:pStyle w:val="BookText"/>
      </w:pPr>
      <w:r>
        <w:rPr>
          <w:rFonts w:ascii="Amiri" w:hAnsi="Amiri" w:eastAsia="Amiri" w:cs="Amiri"/>
          <w:lang w:bidi="ar-SA"/>
          <w:color w:val="111111"/>
          <w:sz w:val="28"/>
          <w:szCs w:val="28"/>
          <w:rtl/>
        </w:rPr>
        <w:t xml:space="preserve">شرح التقريب في الفقه، ج 9، ص 342.</w:t>
      </w:r>
    </w:p>
    <w:p>
      <w:pPr>
        <w:pStyle w:val="Heading2"/>
      </w:pPr>
      <w:bookmarkStart w:id="5215" w:name="_Toc4317"/>
      <w:r>
        <w:t>شهاب الدين بجائي ، احمد بن علي 737 ه-</w:t>
      </w:r>
      <w:bookmarkEnd w:id="5215"/>
    </w:p>
    <w:p>
      <w:pPr>
        <w:pStyle w:val="BookText"/>
      </w:pPr>
      <w:r>
        <w:rPr>
          <w:rFonts w:ascii="Amiri" w:hAnsi="Amiri" w:eastAsia="Amiri" w:cs="Amiri"/>
          <w:lang w:bidi="ar-SA"/>
          <w:color w:val="111111"/>
          <w:sz w:val="28"/>
          <w:szCs w:val="28"/>
          <w:rtl/>
        </w:rPr>
        <w:t xml:space="preserve">شرح الآجرومية، ج 9، ص 116.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31" w:name="pg7742_70618"/>
    <w:bookmarkEnd w:id="631"/>
    <w:p>
      <w:pPr>
        <w:pStyle w:val="BookText"/>
      </w:pPr>
      <w:r>
        <w:rPr>
          <w:rFonts w:ascii="Amiri" w:hAnsi="Amiri" w:eastAsia="Amiri" w:cs="Amiri"/>
          <w:lang w:bidi="ar-SA"/>
          <w:color w:val="111111"/>
          <w:sz w:val="28"/>
          <w:szCs w:val="28"/>
          <w:rtl/>
        </w:rPr>
        <w:t xml:space="preserve">شهاب الدين بناء ، احمد بن محمّد -بناء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شهاب الدين بن شمس الدين زاولي دولت آبادي - دولت آبادي ، احمد بن شمس الدين</w:t>
      </w:r>
    </w:p>
    <w:p>
      <w:pPr>
        <w:pStyle w:val="BookText"/>
      </w:pPr>
      <w:r>
        <w:rPr>
          <w:rFonts w:ascii="IRNazanin" w:hAnsi="IRNazanin" w:eastAsia="IRNazanin" w:cs="IRNazanin"/>
          <w:lang w:bidi="fa-IR"/>
          <w:color w:val="111111"/>
          <w:sz w:val="28"/>
          <w:szCs w:val="28"/>
          <w:rtl/>
        </w:rPr>
        <w:t xml:space="preserve">شهاب الدين بن عبدالكريم قوام ناكوري- قوام ناگوري ، شهاب الدين بن</w:t>
      </w:r>
    </w:p>
    <w:p>
      <w:pPr>
        <w:pStyle w:val="BookText"/>
      </w:pPr>
      <w:r>
        <w:rPr>
          <w:rFonts w:ascii="Amiri" w:hAnsi="Amiri" w:eastAsia="Amiri" w:cs="Amiri"/>
          <w:lang w:bidi="ar-SA"/>
          <w:color w:val="111111"/>
          <w:sz w:val="28"/>
          <w:szCs w:val="28"/>
          <w:rtl/>
        </w:rPr>
        <w:t xml:space="preserve">عبدالكريم</w:t>
      </w:r>
    </w:p>
    <w:p>
      <w:pPr>
        <w:pStyle w:val="BookText"/>
      </w:pPr>
      <w:r>
        <w:rPr>
          <w:rFonts w:ascii="Amiri" w:hAnsi="Amiri" w:eastAsia="Amiri" w:cs="Amiri"/>
          <w:lang w:bidi="ar-SA"/>
          <w:color w:val="111111"/>
          <w:sz w:val="28"/>
          <w:szCs w:val="28"/>
          <w:rtl/>
        </w:rPr>
        <w:t xml:space="preserve">شهاب الدين بن نظام الدين حقيري هروي- حقيري ،هروي، احمد بن نظام الدين</w:t>
      </w:r>
    </w:p>
    <w:p>
      <w:pPr>
        <w:pStyle w:val="BookText"/>
      </w:pPr>
      <w:r>
        <w:rPr>
          <w:rFonts w:ascii="Amiri" w:hAnsi="Amiri" w:eastAsia="Amiri" w:cs="Amiri"/>
          <w:lang w:bidi="ar-SA"/>
          <w:color w:val="111111"/>
          <w:sz w:val="28"/>
          <w:szCs w:val="28"/>
          <w:rtl/>
        </w:rPr>
        <w:t xml:space="preserve">شهاب معمائي ، احمد بن نظام الدين</w:t>
      </w:r>
    </w:p>
    <w:p>
      <w:pPr>
        <w:pStyle w:val="BookText"/>
      </w:pPr>
      <w:r>
        <w:rPr>
          <w:rFonts w:ascii="Amiri" w:hAnsi="Amiri" w:eastAsia="Amiri" w:cs="Amiri"/>
          <w:lang w:bidi="ar-SA"/>
          <w:color w:val="111111"/>
          <w:sz w:val="28"/>
          <w:szCs w:val="28"/>
          <w:rtl/>
        </w:rPr>
        <w:t xml:space="preserve">شهاب الدين سهروردي - سهروردي ، عمر بن محمّد</w:t>
      </w:r>
    </w:p>
    <w:p>
      <w:pPr>
        <w:pStyle w:val="BookText"/>
      </w:pPr>
      <w:r>
        <w:rPr>
          <w:rFonts w:ascii="Amiri" w:hAnsi="Amiri" w:eastAsia="Amiri" w:cs="Amiri"/>
          <w:lang w:bidi="ar-SA"/>
          <w:color w:val="111111"/>
          <w:sz w:val="28"/>
          <w:szCs w:val="28"/>
          <w:rtl/>
        </w:rPr>
        <w:t xml:space="preserve">شهاب الدين عسقلاني ، احمد بن علي- ابن حجر عسقلاني ، احمد بن علي</w:t>
      </w:r>
    </w:p>
    <w:p>
      <w:pPr>
        <w:pStyle w:val="BookText"/>
      </w:pPr>
      <w:r>
        <w:rPr>
          <w:rFonts w:ascii="IRNazanin" w:hAnsi="IRNazanin" w:eastAsia="IRNazanin" w:cs="IRNazanin"/>
          <w:lang w:bidi="fa-IR"/>
          <w:color w:val="111111"/>
          <w:sz w:val="28"/>
          <w:szCs w:val="28"/>
          <w:rtl/>
        </w:rPr>
        <w:t xml:space="preserve">شهاب الدین مرعشي ، احمد بن ابي</w:t>
      </w:r>
    </w:p>
    <w:p>
      <w:pPr>
        <w:pStyle w:val="BookText"/>
      </w:pPr>
      <w:r>
        <w:rPr>
          <w:rFonts w:ascii="Amiri" w:hAnsi="Amiri" w:eastAsia="Amiri" w:cs="Amiri"/>
          <w:lang w:bidi="ar-SA"/>
          <w:color w:val="111111"/>
          <w:sz w:val="28"/>
          <w:szCs w:val="28"/>
          <w:rtl/>
        </w:rPr>
        <w:t xml:space="preserve">بكر- مرعشي ، احمد بن ابي بكر</w:t>
      </w:r>
    </w:p>
    <w:p>
      <w:pPr>
        <w:pStyle w:val="Heading2"/>
      </w:pPr>
      <w:bookmarkStart w:id="5216" w:name="_Toc4318"/>
      <w:r>
        <w:t>شهاب الدین ، محمّد بن احمد بن محمود</w:t>
      </w:r>
      <w:bookmarkEnd w:id="5216"/>
    </w:p>
    <w:p>
      <w:pPr>
        <w:pStyle w:val="BookText"/>
      </w:pPr>
      <w:r>
        <w:rPr>
          <w:rFonts w:ascii="IRNazanin" w:hAnsi="IRNazanin" w:eastAsia="IRNazanin" w:cs="IRNazanin"/>
          <w:lang w:bidi="fa-IR"/>
          <w:color w:val="111111"/>
          <w:sz w:val="28"/>
          <w:szCs w:val="28"/>
          <w:rtl/>
        </w:rPr>
        <w:t xml:space="preserve">الفرائض، ج 11، ص 753 .</w:t>
      </w:r>
    </w:p>
    <w:p>
      <w:pPr>
        <w:pStyle w:val="Heading2"/>
      </w:pPr>
      <w:bookmarkStart w:id="5217" w:name="_Toc4319"/>
      <w:r>
        <w:t>شهاب الدين ملاوي ، احمد</w:t>
      </w:r>
      <w:bookmarkEnd w:id="5217"/>
    </w:p>
    <w:p>
      <w:pPr>
        <w:pStyle w:val="BookText"/>
      </w:pPr>
      <w:r>
        <w:rPr>
          <w:rFonts w:ascii="Amiri" w:hAnsi="Amiri" w:eastAsia="Amiri" w:cs="Amiri"/>
          <w:lang w:bidi="ar-SA"/>
          <w:color w:val="111111"/>
          <w:sz w:val="28"/>
          <w:szCs w:val="28"/>
          <w:rtl/>
        </w:rPr>
        <w:t xml:space="preserve">حاشية الملاوي على شرح السنوسية</w:t>
      </w:r>
    </w:p>
    <w:p>
      <w:pPr>
        <w:pStyle w:val="BookText"/>
      </w:pPr>
      <w:r>
        <w:rPr>
          <w:rFonts w:ascii="IRNazanin" w:hAnsi="IRNazanin" w:eastAsia="IRNazanin" w:cs="IRNazanin"/>
          <w:lang w:bidi="fa-IR"/>
          <w:color w:val="111111"/>
          <w:sz w:val="28"/>
          <w:szCs w:val="28"/>
          <w:rtl/>
        </w:rPr>
        <w:t xml:space="preserve">ج 6، ص 422.</w:t>
      </w:r>
    </w:p>
    <w:p>
      <w:pPr>
        <w:pStyle w:val="BookText"/>
      </w:pPr>
      <w:r>
        <w:rPr>
          <w:rFonts w:ascii="Amiri" w:hAnsi="Amiri" w:eastAsia="Amiri" w:cs="Amiri"/>
          <w:lang w:bidi="ar-SA"/>
          <w:color w:val="111111"/>
          <w:sz w:val="28"/>
          <w:szCs w:val="28"/>
          <w:rtl/>
        </w:rPr>
        <w:t xml:space="preserve">شهاب شمس عمر دولت آبادي دولت</w:t>
      </w:r>
    </w:p>
    <w:p>
      <w:pPr>
        <w:pStyle w:val="BookText"/>
      </w:pPr>
      <w:r>
        <w:rPr>
          <w:rFonts w:ascii="Amiri" w:hAnsi="Amiri" w:eastAsia="Amiri" w:cs="Amiri"/>
          <w:lang w:bidi="ar-SA"/>
          <w:color w:val="111111"/>
          <w:sz w:val="28"/>
          <w:szCs w:val="28"/>
          <w:rtl/>
        </w:rPr>
        <w:t xml:space="preserve">آبادي ، احمد بن شمس الدين</w:t>
      </w:r>
    </w:p>
    <w:p>
      <w:pPr>
        <w:pStyle w:val="BookText"/>
      </w:pPr>
      <w:r>
        <w:rPr>
          <w:rFonts w:ascii="Amiri" w:hAnsi="Amiri" w:eastAsia="Amiri" w:cs="Amiri"/>
          <w:lang w:bidi="ar-SA"/>
          <w:color w:val="111111"/>
          <w:sz w:val="28"/>
          <w:szCs w:val="28"/>
          <w:rtl/>
        </w:rPr>
        <w:t xml:space="preserve">شهاب عمر زاولي- دولت آبادي ، احمد</w:t>
      </w:r>
    </w:p>
    <w:p>
      <w:pPr>
        <w:pStyle w:val="BookText"/>
      </w:pPr>
      <w:r>
        <w:rPr>
          <w:rFonts w:ascii="Amiri" w:hAnsi="Amiri" w:eastAsia="Amiri" w:cs="Amiri"/>
          <w:lang w:bidi="ar-SA"/>
          <w:color w:val="111111"/>
          <w:sz w:val="28"/>
          <w:szCs w:val="28"/>
          <w:rtl/>
        </w:rPr>
        <w:t xml:space="preserve">بن شمس الدين</w:t>
      </w:r>
    </w:p>
    <w:p>
      <w:pPr>
        <w:pStyle w:val="Heading2"/>
      </w:pPr>
      <w:bookmarkStart w:id="5218" w:name="_Toc4320"/>
      <w:r>
        <w:t>شهاب ، محمّد</w:t>
      </w:r>
      <w:bookmarkEnd w:id="5218"/>
    </w:p>
    <w:p>
      <w:pPr>
        <w:pStyle w:val="BookText"/>
      </w:pPr>
      <w:r>
        <w:rPr>
          <w:rFonts w:ascii="Amiri" w:hAnsi="Amiri" w:eastAsia="Amiri" w:cs="Amiri"/>
          <w:lang w:bidi="ar-SA"/>
          <w:color w:val="111111"/>
          <w:sz w:val="28"/>
          <w:szCs w:val="28"/>
          <w:rtl/>
        </w:rPr>
        <w:t xml:space="preserve">مزدوجة، ج 14، ص 422.</w:t>
      </w:r>
    </w:p>
    <w:p>
      <w:pPr>
        <w:pStyle w:val="BookText"/>
      </w:pPr>
      <w:r>
        <w:rPr>
          <w:rFonts w:ascii="Amiri" w:hAnsi="Amiri" w:eastAsia="Amiri" w:cs="Amiri"/>
          <w:lang w:bidi="ar-SA"/>
          <w:color w:val="111111"/>
          <w:sz w:val="28"/>
          <w:szCs w:val="28"/>
          <w:rtl/>
        </w:rPr>
        <w:t xml:space="preserve">شهاب محمود- ابن فهد حلبي، محمود</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شهاب معمائي- حقيري هروي ، احمد بن نظام الدين- حقيري هروي، احمد بن نظام الدين</w:t>
      </w:r>
    </w:p>
    <w:p>
      <w:pPr>
        <w:pStyle w:val="BookText"/>
      </w:pPr>
      <w:r>
        <w:rPr>
          <w:rFonts w:ascii="Amiri" w:hAnsi="Amiri" w:eastAsia="Amiri" w:cs="Amiri"/>
          <w:lang w:bidi="ar-SA"/>
          <w:color w:val="111111"/>
          <w:sz w:val="28"/>
          <w:szCs w:val="28"/>
          <w:rtl/>
        </w:rPr>
        <w:t xml:space="preserve">شهاب الدين سهروردي - سهروردي ،يحيى بن حبش</w:t>
      </w:r>
    </w:p>
    <w:p>
      <w:pPr>
        <w:pStyle w:val="BookText"/>
      </w:pPr>
      <w:r>
        <w:rPr>
          <w:rFonts w:ascii="Amiri" w:hAnsi="Amiri" w:eastAsia="Amiri" w:cs="Amiri"/>
          <w:lang w:bidi="ar-SA"/>
          <w:color w:val="111111"/>
          <w:sz w:val="28"/>
          <w:szCs w:val="28"/>
          <w:rtl/>
        </w:rPr>
        <w:t xml:space="preserve">شهاب مقتول -سهروردي ، يحيى بن عمر</w:t>
      </w:r>
    </w:p>
    <w:p>
      <w:pPr>
        <w:pStyle w:val="Heading2"/>
      </w:pPr>
      <w:bookmarkStart w:id="5219" w:name="_Toc4321"/>
      <w:r>
        <w:t>شهابي ، ابن عبدالله</w:t>
      </w:r>
      <w:bookmarkEnd w:id="5219"/>
    </w:p>
    <w:p>
      <w:pPr>
        <w:pStyle w:val="BookText"/>
      </w:pPr>
      <w:r>
        <w:rPr>
          <w:rFonts w:ascii="Amiri" w:hAnsi="Amiri" w:eastAsia="Amiri" w:cs="Amiri"/>
          <w:lang w:bidi="ar-SA"/>
          <w:color w:val="111111"/>
          <w:sz w:val="28"/>
          <w:szCs w:val="28"/>
          <w:rtl/>
        </w:rPr>
        <w:t xml:space="preserve">المختصر من الجمل في النحو، ج14،</w:t>
      </w:r>
    </w:p>
    <w:p>
      <w:pPr>
        <w:pStyle w:val="BookText"/>
      </w:pPr>
      <w:r>
        <w:rPr>
          <w:rFonts w:ascii="IRNazanin" w:hAnsi="IRNazanin" w:eastAsia="IRNazanin" w:cs="IRNazanin"/>
          <w:lang w:bidi="fa-IR"/>
          <w:color w:val="111111"/>
          <w:sz w:val="28"/>
          <w:szCs w:val="28"/>
          <w:rtl/>
        </w:rPr>
        <w:t xml:space="preserve">ص 264.</w:t>
      </w:r>
    </w:p>
    <w:p>
      <w:pPr>
        <w:pStyle w:val="BookText"/>
      </w:pPr>
      <w:r>
        <w:rPr>
          <w:rFonts w:ascii="Amiri" w:hAnsi="Amiri" w:eastAsia="Amiri" w:cs="Amiri"/>
          <w:lang w:bidi="ar-SA"/>
          <w:color w:val="111111"/>
          <w:sz w:val="28"/>
          <w:szCs w:val="28"/>
          <w:rtl/>
        </w:rPr>
        <w:t xml:space="preserve">شهابي ، بن عبدالله -شهابي ، ابن عبدالله</w:t>
      </w:r>
    </w:p>
    <w:p>
      <w:pPr>
        <w:pStyle w:val="Heading2"/>
      </w:pPr>
      <w:bookmarkStart w:id="5220" w:name="_Toc4322"/>
      <w:r>
        <w:t>شهابي ، محمّد ، محمّد ولي بن مير محمّد</w:t>
      </w:r>
      <w:bookmarkEnd w:id="5220"/>
    </w:p>
    <w:p>
      <w:pPr>
        <w:pStyle w:val="BookText"/>
      </w:pPr>
      <w:r>
        <w:rPr>
          <w:rFonts w:ascii="Amiri" w:hAnsi="Amiri" w:eastAsia="Amiri" w:cs="Amiri"/>
          <w:lang w:bidi="ar-SA"/>
          <w:color w:val="111111"/>
          <w:sz w:val="28"/>
          <w:szCs w:val="28"/>
          <w:rtl/>
        </w:rPr>
        <w:t xml:space="preserve">شرح الوصايا من كتاب الفرائض</w:t>
      </w:r>
    </w:p>
    <w:p>
      <w:pPr>
        <w:pStyle w:val="BookText"/>
      </w:pPr>
      <w:r>
        <w:rPr>
          <w:rFonts w:ascii="IRNazanin" w:hAnsi="IRNazanin" w:eastAsia="IRNazanin" w:cs="IRNazanin"/>
          <w:lang w:bidi="fa-IR"/>
          <w:color w:val="111111"/>
          <w:sz w:val="28"/>
          <w:szCs w:val="28"/>
          <w:rtl/>
        </w:rPr>
        <w:t xml:space="preserve">ج 10، ص330.</w:t>
      </w:r>
    </w:p>
    <w:p>
      <w:pPr>
        <w:pStyle w:val="BookText"/>
      </w:pPr>
      <w:r>
        <w:rPr>
          <w:rFonts w:ascii="Amiri" w:hAnsi="Amiri" w:eastAsia="Amiri" w:cs="Amiri"/>
          <w:lang w:bidi="ar-SA"/>
          <w:color w:val="111111"/>
          <w:sz w:val="28"/>
          <w:szCs w:val="28"/>
          <w:rtl/>
        </w:rPr>
        <w:t xml:space="preserve">شهابي ، ياسين بن حمزه- آل شهاب ،</w:t>
      </w:r>
    </w:p>
    <w:p>
      <w:pPr>
        <w:pStyle w:val="BookText"/>
      </w:pPr>
      <w:r>
        <w:rPr>
          <w:rFonts w:ascii="Amiri" w:hAnsi="Amiri" w:eastAsia="Amiri" w:cs="Amiri"/>
          <w:lang w:bidi="ar-SA"/>
          <w:color w:val="111111"/>
          <w:sz w:val="28"/>
          <w:szCs w:val="28"/>
          <w:rtl/>
        </w:rPr>
        <w:t xml:space="preserve">ياسين بن حمزه</w:t>
      </w:r>
    </w:p>
    <w:p>
      <w:pPr>
        <w:pStyle w:val="BookText"/>
      </w:pPr>
      <w:r>
        <w:rPr>
          <w:rFonts w:ascii="Amiri" w:hAnsi="Amiri" w:eastAsia="Amiri" w:cs="Amiri"/>
          <w:lang w:bidi="ar-SA"/>
          <w:color w:val="111111"/>
          <w:sz w:val="28"/>
          <w:szCs w:val="28"/>
          <w:rtl/>
        </w:rPr>
        <w:t xml:space="preserve">شهالي ، محمّد ولي بن محمّد -شهابي</w:t>
      </w:r>
    </w:p>
    <w:p>
      <w:pPr>
        <w:pStyle w:val="BookText"/>
      </w:pPr>
      <w:r>
        <w:rPr>
          <w:rFonts w:ascii="Amiri" w:hAnsi="Amiri" w:eastAsia="Amiri" w:cs="Amiri"/>
          <w:lang w:bidi="ar-SA"/>
          <w:color w:val="111111"/>
          <w:sz w:val="28"/>
          <w:szCs w:val="28"/>
          <w:rtl/>
        </w:rPr>
        <w:t xml:space="preserve">محمّد ولي بن مير محمّد</w:t>
      </w:r>
    </w:p>
    <w:p>
      <w:pPr>
        <w:pStyle w:val="BookText"/>
      </w:pPr>
      <w:r>
        <w:rPr>
          <w:rFonts w:ascii="IRNazanin" w:hAnsi="IRNazanin" w:eastAsia="IRNazanin" w:cs="IRNazanin"/>
          <w:lang w:bidi="fa-IR"/>
          <w:color w:val="111111"/>
          <w:sz w:val="28"/>
          <w:szCs w:val="28"/>
          <w:rtl/>
        </w:rPr>
        <w:t xml:space="preserve">شهبي ، ابوالصدق ابوبکر بن احمد -ابن</w:t>
      </w:r>
    </w:p>
    <w:p>
      <w:pPr>
        <w:pStyle w:val="BookText"/>
      </w:pPr>
      <w:r>
        <w:rPr>
          <w:rFonts w:ascii="Amiri" w:hAnsi="Amiri" w:eastAsia="Amiri" w:cs="Amiri"/>
          <w:lang w:bidi="ar-SA"/>
          <w:color w:val="111111"/>
          <w:sz w:val="28"/>
          <w:szCs w:val="28"/>
          <w:rtl/>
        </w:rPr>
        <w:t xml:space="preserve">قاضي شهبة ، ابوبكر بن احمد</w:t>
      </w:r>
    </w:p>
    <w:p>
      <w:pPr>
        <w:pStyle w:val="BookText"/>
      </w:pPr>
      <w:r>
        <w:rPr>
          <w:rFonts w:ascii="Amiri" w:hAnsi="Amiri" w:eastAsia="Amiri" w:cs="Amiri"/>
          <w:lang w:bidi="ar-SA"/>
          <w:color w:val="111111"/>
          <w:sz w:val="28"/>
          <w:szCs w:val="28"/>
          <w:rtl/>
        </w:rPr>
        <w:t xml:space="preserve">شهدائي مكي ، حرز بن علي -عسكري ،</w:t>
      </w:r>
    </w:p>
    <w:p>
      <w:pPr>
        <w:pStyle w:val="BookText"/>
      </w:pPr>
      <w:r>
        <w:rPr>
          <w:rFonts w:ascii="Amiri" w:hAnsi="Amiri" w:eastAsia="Amiri" w:cs="Amiri"/>
          <w:lang w:bidi="ar-SA"/>
          <w:color w:val="111111"/>
          <w:sz w:val="28"/>
          <w:szCs w:val="28"/>
          <w:rtl/>
        </w:rPr>
        <w:t xml:space="preserve">حرز بن علي</w:t>
      </w:r>
    </w:p>
    <w:p>
      <w:pPr>
        <w:pStyle w:val="BookText"/>
      </w:pPr>
      <w:r>
        <w:rPr>
          <w:rFonts w:ascii="Amiri" w:hAnsi="Amiri" w:eastAsia="Amiri" w:cs="Amiri"/>
          <w:lang w:bidi="ar-SA"/>
          <w:color w:val="111111"/>
          <w:sz w:val="28"/>
          <w:szCs w:val="28"/>
          <w:rtl/>
        </w:rPr>
        <w:t xml:space="preserve">شهراباني ، عبد القادر -خطيبي ، عبدالقادر</w:t>
      </w:r>
    </w:p>
    <w:p>
      <w:pPr>
        <w:pStyle w:val="BookText"/>
      </w:pPr>
      <w:r>
        <w:rPr>
          <w:rFonts w:ascii="IRNazanin" w:hAnsi="IRNazanin" w:eastAsia="IRNazanin" w:cs="IRNazanin"/>
          <w:lang w:bidi="fa-IR"/>
          <w:color w:val="111111"/>
          <w:sz w:val="28"/>
          <w:szCs w:val="28"/>
          <w:rtl/>
        </w:rPr>
        <w:t xml:space="preserve">بن ملا مختار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32" w:name="pg7742_70619"/>
    <w:bookmarkEnd w:id="632"/>
    <w:p>
      <w:pPr>
        <w:pStyle w:val="Heading2"/>
      </w:pPr>
      <w:bookmarkStart w:id="5221" w:name="_Toc4323"/>
      <w:r>
        <w:t>شهراني، ابراهيم، قرن 13 ه-</w:t>
      </w:r>
      <w:bookmarkEnd w:id="5221"/>
    </w:p>
    <w:p>
      <w:pPr>
        <w:pStyle w:val="BookText"/>
      </w:pPr>
      <w:r>
        <w:rPr>
          <w:rFonts w:ascii="Amiri" w:hAnsi="Amiri" w:eastAsia="Amiri" w:cs="Amiri"/>
          <w:lang w:bidi="ar-SA"/>
          <w:color w:val="111111"/>
          <w:sz w:val="28"/>
          <w:szCs w:val="28"/>
          <w:rtl/>
        </w:rPr>
        <w:t xml:space="preserve">ابواب تكملة التصريف (مختصر)</w:t>
      </w:r>
    </w:p>
    <w:p>
      <w:pPr>
        <w:pStyle w:val="BookText"/>
      </w:pPr>
      <w:r>
        <w:rPr>
          <w:rFonts w:ascii="IRNazanin" w:hAnsi="IRNazanin" w:eastAsia="IRNazanin" w:cs="IRNazanin"/>
          <w:lang w:bidi="fa-IR"/>
          <w:color w:val="111111"/>
          <w:sz w:val="28"/>
          <w:szCs w:val="28"/>
          <w:rtl/>
        </w:rPr>
        <w:t xml:space="preserve">ج 1، ص 109.</w:t>
      </w:r>
    </w:p>
    <w:p>
      <w:pPr>
        <w:pStyle w:val="BookText"/>
      </w:pPr>
      <w:r>
        <w:rPr>
          <w:rFonts w:ascii="Amiri" w:hAnsi="Amiri" w:eastAsia="Amiri" w:cs="Amiri"/>
          <w:lang w:bidi="ar-SA"/>
          <w:color w:val="111111"/>
          <w:sz w:val="28"/>
          <w:szCs w:val="28"/>
          <w:rtl/>
        </w:rPr>
        <w:t xml:space="preserve">شهردار بن ابي الشجاع شيرويه- ابن</w:t>
      </w:r>
    </w:p>
    <w:p>
      <w:pPr>
        <w:pStyle w:val="BookText"/>
      </w:pPr>
      <w:r>
        <w:rPr>
          <w:rFonts w:ascii="IRNazanin" w:hAnsi="IRNazanin" w:eastAsia="IRNazanin" w:cs="IRNazanin"/>
          <w:lang w:bidi="fa-IR"/>
          <w:color w:val="111111"/>
          <w:sz w:val="28"/>
          <w:szCs w:val="28"/>
          <w:rtl/>
        </w:rPr>
        <w:t xml:space="preserve">شیرویه ، شهردار بن شيرويه</w:t>
      </w:r>
    </w:p>
    <w:p>
      <w:pPr>
        <w:pStyle w:val="BookText"/>
      </w:pPr>
      <w:r>
        <w:rPr>
          <w:rFonts w:ascii="IRNazanin" w:hAnsi="IRNazanin" w:eastAsia="IRNazanin" w:cs="IRNazanin"/>
          <w:lang w:bidi="fa-IR"/>
          <w:color w:val="111111"/>
          <w:sz w:val="28"/>
          <w:szCs w:val="28"/>
          <w:rtl/>
        </w:rPr>
        <w:t xml:space="preserve">شهردار بن شيرويه بن شهردار ديلمي همداني- ابن شيرويه ، شهردار بن شیرویه</w:t>
      </w:r>
    </w:p>
    <w:p>
      <w:pPr>
        <w:pStyle w:val="BookText"/>
      </w:pPr>
      <w:r>
        <w:rPr>
          <w:rFonts w:ascii="Amiri" w:hAnsi="Amiri" w:eastAsia="Amiri" w:cs="Amiri"/>
          <w:lang w:bidi="ar-SA"/>
          <w:color w:val="111111"/>
          <w:sz w:val="28"/>
          <w:szCs w:val="28"/>
          <w:rtl/>
        </w:rPr>
        <w:t xml:space="preserve">شهرزوري - حسني -كردي، محمّد باقي</w:t>
      </w:r>
    </w:p>
    <w:p>
      <w:pPr>
        <w:pStyle w:val="BookText"/>
      </w:pPr>
      <w:r>
        <w:rPr>
          <w:rFonts w:ascii="Amiri" w:hAnsi="Amiri" w:eastAsia="Amiri" w:cs="Amiri"/>
          <w:lang w:bidi="ar-SA"/>
          <w:color w:val="111111"/>
          <w:sz w:val="28"/>
          <w:szCs w:val="28"/>
          <w:rtl/>
        </w:rPr>
        <w:t xml:space="preserve">شهرزوري ، ابراهيم بن حسن- كوراني ،</w:t>
      </w:r>
    </w:p>
    <w:p>
      <w:pPr>
        <w:pStyle w:val="BookText"/>
      </w:pPr>
      <w:r>
        <w:rPr>
          <w:rFonts w:ascii="Amiri" w:hAnsi="Amiri" w:eastAsia="Amiri" w:cs="Amiri"/>
          <w:lang w:bidi="ar-SA"/>
          <w:color w:val="111111"/>
          <w:sz w:val="28"/>
          <w:szCs w:val="28"/>
          <w:rtl/>
        </w:rPr>
        <w:t xml:space="preserve">ابراهيم بن حسن</w:t>
      </w:r>
    </w:p>
    <w:p>
      <w:pPr>
        <w:pStyle w:val="BookText"/>
      </w:pPr>
      <w:r>
        <w:rPr>
          <w:rFonts w:ascii="Amiri" w:hAnsi="Amiri" w:eastAsia="Amiri" w:cs="Amiri"/>
          <w:lang w:bidi="ar-SA"/>
          <w:color w:val="111111"/>
          <w:sz w:val="28"/>
          <w:szCs w:val="28"/>
          <w:rtl/>
        </w:rPr>
        <w:t xml:space="preserve">شهر زوري برزنجي، احمد بن محمّد- شهرزوري، احمد بن محمّد</w:t>
      </w:r>
    </w:p>
    <w:p>
      <w:pPr>
        <w:pStyle w:val="BookText"/>
      </w:pPr>
      <w:r>
        <w:rPr>
          <w:rFonts w:ascii="Amiri" w:hAnsi="Amiri" w:eastAsia="Amiri" w:cs="Amiri"/>
          <w:lang w:bidi="ar-SA"/>
          <w:color w:val="111111"/>
          <w:sz w:val="28"/>
          <w:szCs w:val="28"/>
          <w:rtl/>
        </w:rPr>
        <w:t xml:space="preserve">شهرزوري بيتوشي - بيتوشي كردي ، عبد الله</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شهر زوري ، حسن بن محمّد- زيباري ،</w:t>
      </w:r>
    </w:p>
    <w:p>
      <w:pPr>
        <w:pStyle w:val="BookText"/>
      </w:pPr>
      <w:r>
        <w:rPr>
          <w:rFonts w:ascii="Amiri" w:hAnsi="Amiri" w:eastAsia="Amiri" w:cs="Amiri"/>
          <w:lang w:bidi="ar-SA"/>
          <w:color w:val="111111"/>
          <w:sz w:val="28"/>
          <w:szCs w:val="28"/>
          <w:rtl/>
        </w:rPr>
        <w:t xml:space="preserve">حسن بن محمّد</w:t>
      </w:r>
    </w:p>
    <w:p>
      <w:pPr>
        <w:pStyle w:val="Heading2"/>
      </w:pPr>
      <w:bookmarkStart w:id="5222" w:name="_Toc4324"/>
      <w:r>
        <w:t>شهرزوري ، حسن بن هداية الله - 1014</w:t>
      </w:r>
      <w:bookmarkEnd w:id="5222"/>
    </w:p>
    <w:p>
      <w:pPr>
        <w:pStyle w:val="BookText"/>
      </w:pPr>
      <w:r>
        <w:rPr>
          <w:rFonts w:ascii="Amiri" w:hAnsi="Amiri" w:eastAsia="Amiri" w:cs="Amiri"/>
          <w:lang w:bidi="ar-SA"/>
          <w:color w:val="111111"/>
          <w:sz w:val="28"/>
          <w:szCs w:val="28"/>
          <w:rtl/>
        </w:rPr>
        <w:t xml:space="preserve">1 .اسماء الرجال = طبقات الشافعية</w:t>
      </w:r>
    </w:p>
    <w:p>
      <w:pPr>
        <w:pStyle w:val="BookText"/>
      </w:pPr>
      <w:r>
        <w:rPr>
          <w:rFonts w:ascii="IRNazanin" w:hAnsi="IRNazanin" w:eastAsia="IRNazanin" w:cs="IRNazanin"/>
          <w:lang w:bidi="fa-IR"/>
          <w:color w:val="111111"/>
          <w:sz w:val="28"/>
          <w:szCs w:val="28"/>
          <w:rtl/>
        </w:rPr>
        <w:t xml:space="preserve">ج 2، ص 222.</w:t>
      </w:r>
    </w:p>
    <w:p>
      <w:pPr>
        <w:pStyle w:val="BookText"/>
      </w:pPr>
      <w:r>
        <w:rPr>
          <w:rFonts w:ascii="Amiri" w:hAnsi="Amiri" w:eastAsia="Amiri" w:cs="Amiri"/>
          <w:lang w:bidi="ar-SA"/>
          <w:color w:val="111111"/>
          <w:sz w:val="28"/>
          <w:szCs w:val="28"/>
          <w:rtl/>
        </w:rPr>
        <w:t xml:space="preserve">2 .الدرر اللامعة في بيان اشكال بعض الآيات الساطعة، ج 7، ص310.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رياض الخلود، ج8، ص 481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سراج الطريق، ج8، ص728.</w:t>
      </w:r>
    </w:p>
    <w:p>
      <w:pPr>
        <w:pStyle w:val="BookText"/>
      </w:pPr>
      <w:r>
        <w:rPr>
          <w:rFonts w:ascii="Amiri" w:hAnsi="Amiri" w:eastAsia="Amiri" w:cs="Amiri"/>
          <w:lang w:bidi="ar-SA"/>
          <w:color w:val="111111"/>
          <w:sz w:val="28"/>
          <w:szCs w:val="28"/>
          <w:rtl/>
        </w:rPr>
        <w:t xml:space="preserve">5 .الوضوح في شرح المحرر، ج 16،</w:t>
      </w:r>
    </w:p>
    <w:p>
      <w:pPr>
        <w:pStyle w:val="BookText"/>
      </w:pPr>
      <w:r>
        <w:rPr>
          <w:rFonts w:ascii="IRNazanin" w:hAnsi="IRNazanin" w:eastAsia="IRNazanin" w:cs="IRNazanin"/>
          <w:lang w:bidi="fa-IR"/>
          <w:color w:val="111111"/>
          <w:sz w:val="28"/>
          <w:szCs w:val="28"/>
          <w:rtl/>
        </w:rPr>
        <w:t xml:space="preserve">ص 835.</w:t>
      </w:r>
    </w:p>
    <w:p>
      <w:pPr>
        <w:pStyle w:val="BookText"/>
      </w:pPr>
      <w:r>
        <w:rPr>
          <w:rFonts w:ascii="Amiri" w:hAnsi="Amiri" w:eastAsia="Amiri" w:cs="Amiri"/>
          <w:lang w:bidi="ar-SA"/>
          <w:color w:val="111111"/>
          <w:sz w:val="28"/>
          <w:szCs w:val="28"/>
          <w:rtl/>
        </w:rPr>
        <w:t xml:space="preserve">شهرزوري ، خالد بن احمد -شهرزوري ،</w:t>
      </w:r>
    </w:p>
    <w:p>
      <w:pPr>
        <w:pStyle w:val="BookText"/>
      </w:pPr>
      <w:r>
        <w:rPr>
          <w:rFonts w:ascii="Amiri" w:hAnsi="Amiri" w:eastAsia="Amiri" w:cs="Amiri"/>
          <w:lang w:bidi="ar-SA"/>
          <w:color w:val="111111"/>
          <w:sz w:val="28"/>
          <w:szCs w:val="28"/>
          <w:rtl/>
        </w:rPr>
        <w:t xml:space="preserve">خالد بن حسين</w:t>
      </w:r>
    </w:p>
    <w:p>
      <w:pPr>
        <w:pStyle w:val="Heading2"/>
      </w:pPr>
      <w:bookmarkStart w:id="5223" w:name="_Toc4325"/>
      <w:r>
        <w:t>شهرزوري ، خالد بن حسين، 1193؟ -</w:t>
      </w:r>
      <w:bookmarkEnd w:id="5223"/>
    </w:p>
    <w:p>
      <w:pPr>
        <w:pStyle w:val="BookText"/>
      </w:pPr>
      <w:r>
        <w:rPr>
          <w:rFonts w:ascii="IRNazanin" w:hAnsi="IRNazanin" w:eastAsia="IRNazanin" w:cs="IRNazanin"/>
          <w:lang w:bidi="fa-IR"/>
          <w:color w:val="111111"/>
          <w:sz w:val="28"/>
          <w:szCs w:val="28"/>
          <w:rtl/>
        </w:rPr>
        <w:t xml:space="preserve">1242ه-</w:t>
      </w:r>
    </w:p>
    <w:p>
      <w:pPr>
        <w:pStyle w:val="BookText"/>
      </w:pPr>
      <w:r>
        <w:rPr>
          <w:rFonts w:ascii="Amiri" w:hAnsi="Amiri" w:eastAsia="Amiri" w:cs="Amiri"/>
          <w:lang w:bidi="ar-SA"/>
          <w:color w:val="111111"/>
          <w:sz w:val="28"/>
          <w:szCs w:val="28"/>
          <w:rtl/>
        </w:rPr>
        <w:t xml:space="preserve">1 .اثبات الرابطة، ج 1، ص 150 .</w:t>
      </w:r>
    </w:p>
    <w:p>
      <w:pPr>
        <w:pStyle w:val="BookText"/>
      </w:pPr>
      <w:r>
        <w:rPr>
          <w:rFonts w:ascii="IRNazanin" w:hAnsi="IRNazanin" w:eastAsia="IRNazanin" w:cs="IRNazanin"/>
          <w:lang w:bidi="fa-IR"/>
          <w:color w:val="111111"/>
          <w:sz w:val="28"/>
          <w:szCs w:val="28"/>
          <w:rtl/>
        </w:rPr>
        <w:t xml:space="preserve">2.اعتقاد نامه، ج2، ص 516</w:t>
      </w:r>
    </w:p>
    <w:p>
      <w:pPr>
        <w:pStyle w:val="BookText"/>
      </w:pPr>
      <w:r>
        <w:rPr>
          <w:rFonts w:ascii="Amiri" w:hAnsi="Amiri" w:eastAsia="Amiri" w:cs="Amiri"/>
          <w:lang w:bidi="ar-SA"/>
          <w:color w:val="111111"/>
          <w:sz w:val="28"/>
          <w:szCs w:val="28"/>
          <w:rtl/>
        </w:rPr>
        <w:t xml:space="preserve">3 .الجبر والاختيار = العقد الجوهري</w:t>
      </w:r>
    </w:p>
    <w:p>
      <w:pPr>
        <w:pStyle w:val="BookText"/>
      </w:pPr>
      <w:r>
        <w:rPr>
          <w:rFonts w:ascii="Amiri" w:hAnsi="Amiri" w:eastAsia="Amiri" w:cs="Amiri"/>
          <w:lang w:bidi="ar-SA"/>
          <w:color w:val="111111"/>
          <w:sz w:val="28"/>
          <w:szCs w:val="28"/>
          <w:rtl/>
        </w:rPr>
        <w:t xml:space="preserve">في الفرق بين قدرتي الماتريدي و</w:t>
      </w:r>
    </w:p>
    <w:p>
      <w:pPr>
        <w:pStyle w:val="BookText"/>
      </w:pPr>
      <w:r>
        <w:rPr>
          <w:rFonts w:ascii="Amiri" w:hAnsi="Amiri" w:eastAsia="Amiri" w:cs="Amiri"/>
          <w:lang w:bidi="ar-SA"/>
          <w:color w:val="111111"/>
          <w:sz w:val="28"/>
          <w:szCs w:val="28"/>
          <w:rtl/>
        </w:rPr>
        <w:t xml:space="preserve">الاشعري، ج 5، ص358.</w:t>
      </w:r>
    </w:p>
    <w:p>
      <w:pPr>
        <w:pStyle w:val="BookText"/>
      </w:pPr>
      <w:r>
        <w:rPr>
          <w:rFonts w:ascii="Amiri" w:hAnsi="Amiri" w:eastAsia="Amiri" w:cs="Amiri"/>
          <w:lang w:bidi="ar-SA"/>
          <w:color w:val="111111"/>
          <w:sz w:val="28"/>
          <w:szCs w:val="28"/>
          <w:rtl/>
        </w:rPr>
        <w:t xml:space="preserve">4 .جلاء الاقدار والسيف البتار في</w:t>
      </w:r>
    </w:p>
    <w:p>
      <w:pPr>
        <w:pStyle w:val="BookText"/>
      </w:pPr>
      <w:r>
        <w:rPr>
          <w:rFonts w:ascii="Amiri" w:hAnsi="Amiri" w:eastAsia="Amiri" w:cs="Amiri"/>
          <w:lang w:bidi="ar-SA"/>
          <w:color w:val="111111"/>
          <w:sz w:val="28"/>
          <w:szCs w:val="28"/>
          <w:rtl/>
        </w:rPr>
        <w:t xml:space="preserve">الصلاة على المختار = جالية الأكدار والسيف البتار في الصلاة</w:t>
      </w:r>
    </w:p>
    <w:p>
      <w:pPr>
        <w:pStyle w:val="BookText"/>
      </w:pPr>
      <w:r>
        <w:rPr>
          <w:rFonts w:ascii="IRNazanin" w:hAnsi="IRNazanin" w:eastAsia="IRNazanin" w:cs="IRNazanin"/>
          <w:lang w:bidi="fa-IR"/>
          <w:color w:val="111111"/>
          <w:sz w:val="28"/>
          <w:szCs w:val="28"/>
          <w:rtl/>
        </w:rPr>
        <w:t xml:space="preserve">على المختار، ج 5، ص 404 .</w:t>
      </w:r>
    </w:p>
    <w:p>
      <w:pPr>
        <w:pStyle w:val="BookText"/>
      </w:pPr>
      <w:r>
        <w:rPr>
          <w:rFonts w:ascii="Amiri" w:hAnsi="Amiri" w:eastAsia="Amiri" w:cs="Amiri"/>
          <w:lang w:bidi="ar-SA"/>
          <w:color w:val="111111"/>
          <w:sz w:val="28"/>
          <w:szCs w:val="28"/>
          <w:rtl/>
        </w:rPr>
        <w:t xml:space="preserve">5 .حاشية حاشية السيالكوتي على</w:t>
      </w:r>
    </w:p>
    <w:p>
      <w:pPr>
        <w:pStyle w:val="BookText"/>
      </w:pPr>
      <w:r>
        <w:rPr>
          <w:rFonts w:ascii="Amiri" w:hAnsi="Amiri" w:eastAsia="Amiri" w:cs="Amiri"/>
          <w:lang w:bidi="ar-SA"/>
          <w:color w:val="111111"/>
          <w:sz w:val="28"/>
          <w:szCs w:val="28"/>
          <w:rtl/>
        </w:rPr>
        <w:t xml:space="preserve">الخيالي، ج 5، ص 820</w:t>
      </w:r>
    </w:p>
    <w:p>
      <w:pPr>
        <w:pStyle w:val="BookText"/>
      </w:pPr>
      <w:r>
        <w:rPr>
          <w:rFonts w:ascii="Amiri" w:hAnsi="Amiri" w:eastAsia="Amiri" w:cs="Amiri"/>
          <w:lang w:bidi="ar-SA"/>
          <w:color w:val="111111"/>
          <w:sz w:val="28"/>
          <w:szCs w:val="28"/>
          <w:rtl/>
        </w:rPr>
        <w:t xml:space="preserve">6 .جاشية ملا خالد الكردي على رسالة</w:t>
      </w:r>
    </w:p>
    <w:p>
      <w:pPr>
        <w:pStyle w:val="BookText"/>
      </w:pPr>
      <w:r>
        <w:rPr>
          <w:rFonts w:ascii="Amiri" w:hAnsi="Amiri" w:eastAsia="Amiri" w:cs="Amiri"/>
          <w:lang w:bidi="ar-SA"/>
          <w:color w:val="111111"/>
          <w:sz w:val="28"/>
          <w:szCs w:val="28"/>
          <w:rtl/>
        </w:rPr>
        <w:t xml:space="preserve">ملا يوسف الواعظ، ج 6 ، ص 421.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دیوان خالد کرد = دیوان خالد بغدادي = دیوان شیخ خالد، ج7، ص 634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رسائل مولانا خالد النقشبندي، ج8،</w:t>
      </w:r>
    </w:p>
    <w:p>
      <w:pPr>
        <w:pStyle w:val="BookText"/>
      </w:pPr>
      <w:r>
        <w:rPr>
          <w:rFonts w:ascii="IRNazanin" w:hAnsi="IRNazanin" w:eastAsia="IRNazanin" w:cs="IRNazanin"/>
          <w:lang w:bidi="fa-IR"/>
          <w:color w:val="111111"/>
          <w:sz w:val="28"/>
          <w:szCs w:val="28"/>
          <w:rtl/>
        </w:rPr>
        <w:t xml:space="preserve">ص 153 .</w:t>
      </w:r>
    </w:p>
    <w:p>
      <w:pPr>
        <w:pStyle w:val="BookText"/>
      </w:pPr>
      <w:r>
        <w:rPr>
          <w:rFonts w:ascii="IRNazanin" w:hAnsi="IRNazanin" w:eastAsia="IRNazanin" w:cs="IRNazanin"/>
          <w:lang w:bidi="fa-IR"/>
          <w:color w:val="111111"/>
          <w:sz w:val="28"/>
          <w:szCs w:val="28"/>
          <w:rtl/>
        </w:rPr>
        <w:t xml:space="preserve">9 .عقاید، ج 11، ص 134.</w:t>
      </w:r>
    </w:p>
    <w:p>
      <w:pPr>
        <w:pStyle w:val="BookText"/>
      </w:pPr>
      <w:r>
        <w:rPr>
          <w:rFonts w:ascii="Amiri" w:hAnsi="Amiri" w:eastAsia="Amiri" w:cs="Amiri"/>
          <w:lang w:bidi="ar-SA"/>
          <w:color w:val="111111"/>
          <w:sz w:val="28"/>
          <w:szCs w:val="28"/>
          <w:rtl/>
        </w:rPr>
        <w:t xml:space="preserve">10 .العقيدة الكردية، ج 11 ، ص 206.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القصيدة الشينية، ج 12، ص 680.</w:t>
      </w:r>
    </w:p>
    <w:p>
      <w:pPr>
        <w:pStyle w:val="BookText"/>
      </w:pPr>
      <w:r>
        <w:rPr>
          <w:rFonts w:ascii="Amiri" w:hAnsi="Amiri" w:eastAsia="Amiri" w:cs="Amiri"/>
          <w:lang w:bidi="ar-SA"/>
          <w:color w:val="111111"/>
          <w:sz w:val="28"/>
          <w:szCs w:val="28"/>
          <w:rtl/>
        </w:rPr>
        <w:t xml:space="preserve">12 .مكتوب الشيخ خالد إلى بعض مريده في بغداد، ج 15، ص 424.</w:t>
      </w:r>
    </w:p>
    <w:p>
      <w:pPr>
        <w:pStyle w:val="Heading2"/>
      </w:pPr>
      <w:bookmarkStart w:id="5224" w:name="_Toc4326"/>
      <w:r>
        <w:t>شهرزوري ، صبغة الله - 1192 ه-</w:t>
      </w:r>
      <w:bookmarkEnd w:id="5224"/>
    </w:p>
    <w:p>
      <w:pPr>
        <w:pStyle w:val="BookText"/>
      </w:pPr>
      <w:r>
        <w:rPr>
          <w:rFonts w:ascii="Amiri" w:hAnsi="Amiri" w:eastAsia="Amiri" w:cs="Amiri"/>
          <w:lang w:bidi="ar-SA"/>
          <w:color w:val="111111"/>
          <w:sz w:val="28"/>
          <w:szCs w:val="28"/>
          <w:rtl/>
        </w:rPr>
        <w:t xml:space="preserve">خلاصة المعنى = شرح قصيدة اسماء الله الحسنى للشيخ عبدالقادر الجيلاني</w:t>
      </w:r>
    </w:p>
    <w:p>
      <w:pPr>
        <w:pStyle w:val="BookText"/>
      </w:pPr>
      <w:r>
        <w:rPr>
          <w:rFonts w:ascii="IRNazanin" w:hAnsi="IRNazanin" w:eastAsia="IRNazanin" w:cs="IRNazanin"/>
          <w:lang w:bidi="fa-IR"/>
          <w:color w:val="111111"/>
          <w:sz w:val="28"/>
          <w:szCs w:val="28"/>
          <w:rtl/>
        </w:rPr>
        <w:t xml:space="preserve">ج 7، ص 136.</w:t>
      </w:r>
    </w:p>
    <w:p>
      <w:pPr>
        <w:pStyle w:val="Heading2"/>
      </w:pPr>
      <w:bookmarkStart w:id="5225" w:name="_Toc4327"/>
      <w:r>
        <w:t>شهرزوري ، عبدالله بن قاسم، - 510 ه-</w:t>
      </w:r>
      <w:bookmarkEnd w:id="5225"/>
    </w:p>
    <w:p>
      <w:pPr>
        <w:pStyle w:val="BookText"/>
      </w:pPr>
      <w:r>
        <w:rPr>
          <w:rFonts w:ascii="Amiri" w:hAnsi="Amiri" w:eastAsia="Amiri" w:cs="Amiri"/>
          <w:lang w:bidi="ar-SA"/>
          <w:color w:val="111111"/>
          <w:sz w:val="28"/>
          <w:szCs w:val="28"/>
          <w:rtl/>
        </w:rPr>
        <w:t xml:space="preserve">قصيدة الشهرزوري، ج 12، ص 679.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33" w:name="pg7742_70620"/>
    <w:bookmarkEnd w:id="633"/>
    <w:p>
      <w:pPr>
        <w:pStyle w:val="BookText"/>
      </w:pPr>
      <w:r>
        <w:rPr>
          <w:rFonts w:ascii="Amiri" w:hAnsi="Amiri" w:eastAsia="Amiri" w:cs="Amiri"/>
          <w:lang w:bidi="ar-SA"/>
          <w:color w:val="111111"/>
          <w:sz w:val="28"/>
          <w:szCs w:val="28"/>
          <w:rtl/>
        </w:rPr>
        <w:t xml:space="preserve">شهرزوري ، عبد الله بن محمّد -بيتوشي</w:t>
      </w:r>
    </w:p>
    <w:p>
      <w:pPr>
        <w:pStyle w:val="BookText"/>
      </w:pPr>
      <w:r>
        <w:rPr>
          <w:rFonts w:ascii="Amiri" w:hAnsi="Amiri" w:eastAsia="Amiri" w:cs="Amiri"/>
          <w:lang w:bidi="ar-SA"/>
          <w:color w:val="111111"/>
          <w:sz w:val="28"/>
          <w:szCs w:val="28"/>
          <w:rtl/>
        </w:rPr>
        <w:t xml:space="preserve">كردي ، عبدالله بن محمّد</w:t>
      </w:r>
    </w:p>
    <w:p>
      <w:pPr>
        <w:pStyle w:val="BookText"/>
      </w:pPr>
      <w:r>
        <w:rPr>
          <w:rFonts w:ascii="Amiri" w:hAnsi="Amiri" w:eastAsia="Amiri" w:cs="Amiri"/>
          <w:lang w:bidi="ar-SA"/>
          <w:color w:val="111111"/>
          <w:sz w:val="28"/>
          <w:szCs w:val="28"/>
          <w:rtl/>
        </w:rPr>
        <w:t xml:space="preserve">شهرزوري ، عثمان بن صلاح- ابن صلاح ،</w:t>
      </w:r>
    </w:p>
    <w:p>
      <w:pPr>
        <w:pStyle w:val="BookText"/>
      </w:pPr>
      <w:r>
        <w:rPr>
          <w:rFonts w:ascii="IRNazanin" w:hAnsi="IRNazanin" w:eastAsia="IRNazanin" w:cs="IRNazanin"/>
          <w:lang w:bidi="fa-IR"/>
          <w:color w:val="111111"/>
          <w:sz w:val="28"/>
          <w:szCs w:val="28"/>
          <w:rtl/>
        </w:rPr>
        <w:t xml:space="preserve">عثمان بن عبدالرحمن</w:t>
      </w:r>
    </w:p>
    <w:p>
      <w:pPr>
        <w:pStyle w:val="BookText"/>
      </w:pPr>
      <w:r>
        <w:rPr>
          <w:rFonts w:ascii="Amiri" w:hAnsi="Amiri" w:eastAsia="Amiri" w:cs="Amiri"/>
          <w:lang w:bidi="ar-SA"/>
          <w:color w:val="111111"/>
          <w:sz w:val="28"/>
          <w:szCs w:val="28"/>
          <w:rtl/>
        </w:rPr>
        <w:t xml:space="preserve">شهرزوري ، عثمان بن عبدالرحمن -ابن</w:t>
      </w:r>
    </w:p>
    <w:p>
      <w:pPr>
        <w:pStyle w:val="BookText"/>
      </w:pPr>
      <w:r>
        <w:rPr>
          <w:rFonts w:ascii="IRNazanin" w:hAnsi="IRNazanin" w:eastAsia="IRNazanin" w:cs="IRNazanin"/>
          <w:lang w:bidi="fa-IR"/>
          <w:color w:val="111111"/>
          <w:sz w:val="28"/>
          <w:szCs w:val="28"/>
          <w:rtl/>
        </w:rPr>
        <w:t xml:space="preserve">صلاح ، عثمان بن عبدالرحمن</w:t>
      </w:r>
    </w:p>
    <w:p>
      <w:pPr>
        <w:pStyle w:val="BookText"/>
      </w:pPr>
      <w:r>
        <w:rPr>
          <w:rFonts w:ascii="Amiri" w:hAnsi="Amiri" w:eastAsia="Amiri" w:cs="Amiri"/>
          <w:lang w:bidi="ar-SA"/>
          <w:color w:val="111111"/>
          <w:sz w:val="28"/>
          <w:szCs w:val="28"/>
          <w:rtl/>
        </w:rPr>
        <w:t xml:space="preserve">شهرزوري ، محمد بن ابراهيم - كوراني ،</w:t>
      </w:r>
    </w:p>
    <w:p>
      <w:pPr>
        <w:pStyle w:val="BookText"/>
      </w:pPr>
      <w:r>
        <w:rPr>
          <w:rFonts w:ascii="Amiri" w:hAnsi="Amiri" w:eastAsia="Amiri" w:cs="Amiri"/>
          <w:lang w:bidi="ar-SA"/>
          <w:color w:val="111111"/>
          <w:sz w:val="28"/>
          <w:szCs w:val="28"/>
          <w:rtl/>
        </w:rPr>
        <w:t xml:space="preserve">محمّد بن ابراهيم</w:t>
      </w:r>
    </w:p>
    <w:p>
      <w:pPr>
        <w:pStyle w:val="BookText"/>
      </w:pPr>
      <w:r>
        <w:rPr>
          <w:rFonts w:ascii="Amiri" w:hAnsi="Amiri" w:eastAsia="Amiri" w:cs="Amiri"/>
          <w:lang w:bidi="ar-SA"/>
          <w:color w:val="111111"/>
          <w:sz w:val="28"/>
          <w:szCs w:val="28"/>
          <w:rtl/>
        </w:rPr>
        <w:t xml:space="preserve">شهرزوري ، محمد بن حسن- ابن الحاج ،</w:t>
      </w:r>
    </w:p>
    <w:p>
      <w:pPr>
        <w:pStyle w:val="BookText"/>
      </w:pPr>
      <w:r>
        <w:rPr>
          <w:rFonts w:ascii="Amiri" w:hAnsi="Amiri" w:eastAsia="Amiri" w:cs="Amiri"/>
          <w:lang w:bidi="ar-SA"/>
          <w:color w:val="111111"/>
          <w:sz w:val="28"/>
          <w:szCs w:val="28"/>
          <w:rtl/>
        </w:rPr>
        <w:t xml:space="preserve">محمّد بن حسن</w:t>
      </w:r>
    </w:p>
    <w:p>
      <w:pPr>
        <w:pStyle w:val="BookText"/>
      </w:pPr>
      <w:r>
        <w:rPr>
          <w:rFonts w:ascii="Amiri" w:hAnsi="Amiri" w:eastAsia="Amiri" w:cs="Amiri"/>
          <w:lang w:bidi="ar-SA"/>
          <w:color w:val="111111"/>
          <w:sz w:val="28"/>
          <w:szCs w:val="28"/>
          <w:rtl/>
        </w:rPr>
        <w:t xml:space="preserve">شهرزوري ، محمّد بن</w:t>
      </w:r>
    </w:p>
    <w:p>
      <w:pPr>
        <w:pStyle w:val="BookText"/>
      </w:pPr>
      <w:r>
        <w:rPr>
          <w:rFonts w:ascii="Amiri" w:hAnsi="Amiri" w:eastAsia="Amiri" w:cs="Amiri"/>
          <w:lang w:bidi="ar-SA"/>
          <w:color w:val="111111"/>
          <w:sz w:val="28"/>
          <w:szCs w:val="28"/>
          <w:rtl/>
        </w:rPr>
        <w:t xml:space="preserve">عبد الرسول- برزنجي ، محمّد بن عبدالرسول</w:t>
      </w:r>
    </w:p>
    <w:p>
      <w:pPr>
        <w:pStyle w:val="Heading2"/>
      </w:pPr>
      <w:bookmarkStart w:id="5226" w:name="_Toc4328"/>
      <w:r>
        <w:t>شهرزوري ، محمّد بن محمود ، قرن 7 ه-</w:t>
      </w:r>
      <w:bookmarkEnd w:id="5226"/>
    </w:p>
    <w:p>
      <w:pPr>
        <w:pStyle w:val="BookText"/>
      </w:pPr>
      <w:r>
        <w:rPr>
          <w:rFonts w:ascii="Amiri" w:hAnsi="Amiri" w:eastAsia="Amiri" w:cs="Amiri"/>
          <w:lang w:bidi="ar-SA"/>
          <w:color w:val="111111"/>
          <w:sz w:val="28"/>
          <w:szCs w:val="28"/>
          <w:rtl/>
        </w:rPr>
        <w:t xml:space="preserve">نزهة الارواح وروضة الافراح = تاريخ الحكماء، ج 16، ص 218</w:t>
      </w:r>
    </w:p>
    <w:p>
      <w:pPr>
        <w:pStyle w:val="BookText"/>
      </w:pPr>
      <w:r>
        <w:rPr>
          <w:rFonts w:ascii="Amiri" w:hAnsi="Amiri" w:eastAsia="Amiri" w:cs="Amiri"/>
          <w:lang w:bidi="ar-SA"/>
          <w:color w:val="111111"/>
          <w:sz w:val="28"/>
          <w:szCs w:val="28"/>
          <w:rtl/>
        </w:rPr>
        <w:t xml:space="preserve">شهرزوري ، محمّد معروف بن مصطفى- نودهي ، محمّد معروف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شهرستاني ، ابوالفتح محمّد-شهرستاني ،</w:t>
      </w:r>
    </w:p>
    <w:p>
      <w:pPr>
        <w:pStyle w:val="BookText"/>
      </w:pPr>
      <w:r>
        <w:rPr>
          <w:rFonts w:ascii="Amiri" w:hAnsi="Amiri" w:eastAsia="Amiri" w:cs="Amiri"/>
          <w:lang w:bidi="ar-SA"/>
          <w:color w:val="111111"/>
          <w:sz w:val="28"/>
          <w:szCs w:val="28"/>
          <w:rtl/>
        </w:rPr>
        <w:t xml:space="preserve">محمّد بن عبدالكريم</w:t>
      </w:r>
    </w:p>
    <w:p>
      <w:pPr>
        <w:pStyle w:val="Heading2"/>
      </w:pPr>
      <w:bookmarkStart w:id="5227" w:name="_Toc4329"/>
      <w:r>
        <w:t>شهرستاني ، صالح بن ابراهيم 1325 -</w:t>
      </w:r>
      <w:bookmarkEnd w:id="5227"/>
    </w:p>
    <w:p>
      <w:pPr>
        <w:pStyle w:val="BookText"/>
      </w:pPr>
      <w:r>
        <w:rPr>
          <w:rFonts w:ascii="IRNazanin" w:hAnsi="IRNazanin" w:eastAsia="IRNazanin" w:cs="IRNazanin"/>
          <w:lang w:bidi="fa-IR"/>
          <w:color w:val="111111"/>
          <w:sz w:val="28"/>
          <w:szCs w:val="28"/>
          <w:rtl/>
        </w:rPr>
        <w:t xml:space="preserve">1395 ه-</w:t>
      </w:r>
    </w:p>
    <w:p>
      <w:pPr>
        <w:pStyle w:val="BookText"/>
      </w:pPr>
      <w:r>
        <w:rPr>
          <w:rFonts w:ascii="Amiri" w:hAnsi="Amiri" w:eastAsia="Amiri" w:cs="Amiri"/>
          <w:lang w:bidi="ar-SA"/>
          <w:color w:val="111111"/>
          <w:sz w:val="28"/>
          <w:szCs w:val="28"/>
          <w:rtl/>
        </w:rPr>
        <w:t xml:space="preserve">تعليقات على كتاب تراث كربلاء، ج 4،</w:t>
      </w:r>
    </w:p>
    <w:p>
      <w:pPr>
        <w:pStyle w:val="BookText"/>
      </w:pPr>
      <w:r>
        <w:rPr>
          <w:rFonts w:ascii="IRNazanin" w:hAnsi="IRNazanin" w:eastAsia="IRNazanin" w:cs="IRNazanin"/>
          <w:lang w:bidi="fa-IR"/>
          <w:color w:val="111111"/>
          <w:sz w:val="28"/>
          <w:szCs w:val="28"/>
          <w:rtl/>
        </w:rPr>
        <w:t xml:space="preserve">ص 503.</w:t>
      </w:r>
    </w:p>
    <w:p>
      <w:pPr>
        <w:pStyle w:val="BookText"/>
      </w:pPr>
      <w:r>
        <w:rPr>
          <w:rFonts w:ascii="Amiri" w:hAnsi="Amiri" w:eastAsia="Amiri" w:cs="Amiri"/>
          <w:lang w:bidi="ar-SA"/>
          <w:color w:val="111111"/>
          <w:sz w:val="28"/>
          <w:szCs w:val="28"/>
          <w:rtl/>
        </w:rPr>
        <w:t xml:space="preserve">شهرستاني ، عبدالرضا- شهرستاني</w:t>
      </w:r>
    </w:p>
    <w:p>
      <w:pPr>
        <w:pStyle w:val="BookText"/>
      </w:pPr>
      <w:r>
        <w:rPr>
          <w:rFonts w:ascii="Amiri" w:hAnsi="Amiri" w:eastAsia="Amiri" w:cs="Amiri"/>
          <w:lang w:bidi="ar-SA"/>
          <w:color w:val="111111"/>
          <w:sz w:val="28"/>
          <w:szCs w:val="28"/>
          <w:rtl/>
        </w:rPr>
        <w:t xml:space="preserve">عبدالرضا بن زين العابدين</w:t>
      </w:r>
    </w:p>
    <w:p>
      <w:pPr>
        <w:pStyle w:val="Heading2"/>
      </w:pPr>
      <w:bookmarkStart w:id="5228" w:name="_Toc4330"/>
      <w:r>
        <w:t>شهرستاني ، عبد الرضا بن زين العابدين</w:t>
      </w:r>
      <w:bookmarkEnd w:id="5228"/>
    </w:p>
    <w:p>
      <w:pPr>
        <w:pStyle w:val="BookText"/>
      </w:pPr>
      <w:r>
        <w:rPr>
          <w:rFonts w:ascii="IRNazanin" w:hAnsi="IRNazanin" w:eastAsia="IRNazanin" w:cs="IRNazanin"/>
          <w:lang w:bidi="fa-IR"/>
          <w:color w:val="111111"/>
          <w:sz w:val="28"/>
          <w:szCs w:val="28"/>
          <w:rtl/>
        </w:rPr>
        <w:t xml:space="preserve">1340 - 1418ه-</w:t>
      </w:r>
    </w:p>
    <w:p>
      <w:pPr>
        <w:pStyle w:val="BookText"/>
      </w:pPr>
      <w:r>
        <w:rPr>
          <w:rFonts w:ascii="Amiri" w:hAnsi="Amiri" w:eastAsia="Amiri" w:cs="Amiri"/>
          <w:lang w:bidi="ar-SA"/>
          <w:color w:val="111111"/>
          <w:sz w:val="28"/>
          <w:szCs w:val="28"/>
          <w:rtl/>
        </w:rPr>
        <w:t xml:space="preserve">1 .حاشية الرسائل، ج 5، ص 872.</w:t>
      </w:r>
    </w:p>
    <w:p>
      <w:pPr>
        <w:pStyle w:val="BookText"/>
      </w:pPr>
      <w:r>
        <w:rPr>
          <w:rFonts w:ascii="Amiri" w:hAnsi="Amiri" w:eastAsia="Amiri" w:cs="Amiri"/>
          <w:lang w:bidi="ar-SA"/>
          <w:color w:val="111111"/>
          <w:sz w:val="28"/>
          <w:szCs w:val="28"/>
          <w:rtl/>
        </w:rPr>
        <w:t xml:space="preserve">2 .حاشية القوانين المحكمة ج6،</w:t>
      </w:r>
    </w:p>
    <w:p>
      <w:pPr>
        <w:pStyle w:val="BookText"/>
      </w:pPr>
      <w:r>
        <w:rPr>
          <w:rFonts w:ascii="IRNazanin" w:hAnsi="IRNazanin" w:eastAsia="IRNazanin" w:cs="IRNazanin"/>
          <w:lang w:bidi="fa-IR"/>
          <w:color w:val="111111"/>
          <w:sz w:val="28"/>
          <w:szCs w:val="28"/>
          <w:rtl/>
        </w:rPr>
        <w:t xml:space="preserve">ص318.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اللمعة الدمشقية، ج 6،</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Amiri" w:hAnsi="Amiri" w:eastAsia="Amiri" w:cs="Amiri"/>
          <w:lang w:bidi="ar-SA"/>
          <w:color w:val="111111"/>
          <w:sz w:val="28"/>
          <w:szCs w:val="28"/>
          <w:rtl/>
        </w:rPr>
        <w:t xml:space="preserve">4 .حاشية المكاسب، ج 6، ص 420.</w:t>
      </w:r>
    </w:p>
    <w:p>
      <w:pPr>
        <w:pStyle w:val="BookText"/>
      </w:pPr>
      <w:r>
        <w:rPr>
          <w:rFonts w:ascii="Amiri" w:hAnsi="Amiri" w:eastAsia="Amiri" w:cs="Amiri"/>
          <w:lang w:bidi="ar-SA"/>
          <w:color w:val="111111"/>
          <w:sz w:val="28"/>
          <w:szCs w:val="28"/>
          <w:rtl/>
        </w:rPr>
        <w:t xml:space="preserve">5.حاشية معالم الأصول، ج6، ص 411.</w:t>
      </w:r>
    </w:p>
    <w:p>
      <w:pPr>
        <w:pStyle w:val="BookText"/>
      </w:pPr>
      <w:r>
        <w:rPr>
          <w:rFonts w:ascii="Amiri" w:hAnsi="Amiri" w:eastAsia="Amiri" w:cs="Amiri"/>
          <w:lang w:bidi="ar-SA"/>
          <w:color w:val="111111"/>
          <w:sz w:val="28"/>
          <w:szCs w:val="28"/>
          <w:rtl/>
        </w:rPr>
        <w:t xml:space="preserve">6 .الطريق المستقيم في بيان اصول</w:t>
      </w:r>
    </w:p>
    <w:p>
      <w:pPr>
        <w:pStyle w:val="BookText"/>
      </w:pPr>
      <w:r>
        <w:rPr>
          <w:rFonts w:ascii="Amiri" w:hAnsi="Amiri" w:eastAsia="Amiri" w:cs="Amiri"/>
          <w:lang w:bidi="ar-SA"/>
          <w:color w:val="111111"/>
          <w:sz w:val="28"/>
          <w:szCs w:val="28"/>
          <w:rtl/>
        </w:rPr>
        <w:t xml:space="preserve">الدين، ج 10، ص832.</w:t>
      </w:r>
    </w:p>
    <w:p>
      <w:pPr>
        <w:pStyle w:val="BookText"/>
      </w:pPr>
      <w:r>
        <w:rPr>
          <w:rFonts w:ascii="IRNazanin" w:hAnsi="IRNazanin" w:eastAsia="IRNazanin" w:cs="IRNazanin"/>
          <w:lang w:bidi="fa-IR"/>
          <w:color w:val="111111"/>
          <w:sz w:val="28"/>
          <w:szCs w:val="28"/>
          <w:rtl/>
        </w:rPr>
        <w:t xml:space="preserve">7.عقائد المؤمنين بيان اصول الدین</w:t>
      </w:r>
    </w:p>
    <w:p>
      <w:pPr>
        <w:pStyle w:val="BookText"/>
      </w:pPr>
      <w:r>
        <w:rPr>
          <w:rFonts w:ascii="IRNazanin" w:hAnsi="IRNazanin" w:eastAsia="IRNazanin" w:cs="IRNazanin"/>
          <w:lang w:bidi="fa-IR"/>
          <w:color w:val="111111"/>
          <w:sz w:val="28"/>
          <w:szCs w:val="28"/>
          <w:rtl/>
        </w:rPr>
        <w:t xml:space="preserve">ج 11، ص 152.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غاية التقريب في شرح منظومة</w:t>
      </w:r>
    </w:p>
    <w:p>
      <w:pPr>
        <w:pStyle w:val="BookText"/>
      </w:pPr>
      <w:r>
        <w:rPr>
          <w:rFonts w:ascii="Amiri" w:hAnsi="Amiri" w:eastAsia="Amiri" w:cs="Amiri"/>
          <w:lang w:bidi="ar-SA"/>
          <w:color w:val="111111"/>
          <w:sz w:val="28"/>
          <w:szCs w:val="28"/>
          <w:rtl/>
        </w:rPr>
        <w:t xml:space="preserve">التهذيب، ج 11، ص 436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المعارف الجلية في تبويب اجدية المسائل الدينية، ج 14، ص 845.</w:t>
      </w:r>
    </w:p>
    <w:p>
      <w:pPr>
        <w:pStyle w:val="BookText"/>
      </w:pPr>
      <w:r>
        <w:rPr>
          <w:rFonts w:ascii="Amiri" w:hAnsi="Amiri" w:eastAsia="Amiri" w:cs="Amiri"/>
          <w:lang w:bidi="ar-SA"/>
          <w:color w:val="111111"/>
          <w:sz w:val="28"/>
          <w:szCs w:val="28"/>
          <w:rtl/>
        </w:rPr>
        <w:t xml:space="preserve">10 .مقاليد الهدى في شرح العروة</w:t>
      </w:r>
    </w:p>
    <w:p>
      <w:pPr>
        <w:pStyle w:val="BookText"/>
      </w:pPr>
      <w:r>
        <w:rPr>
          <w:rFonts w:ascii="IRNazanin" w:hAnsi="IRNazanin" w:eastAsia="IRNazanin" w:cs="IRNazanin"/>
          <w:lang w:bidi="fa-IR"/>
          <w:color w:val="111111"/>
          <w:sz w:val="28"/>
          <w:szCs w:val="28"/>
          <w:rtl/>
        </w:rPr>
        <w:t xml:space="preserve">الوثقى، ج 15، ص288</w:t>
      </w:r>
    </w:p>
    <w:p>
      <w:pPr>
        <w:pStyle w:val="BookText"/>
      </w:pPr>
      <w:r>
        <w:rPr>
          <w:rFonts w:ascii="Amiri" w:hAnsi="Amiri" w:eastAsia="Amiri" w:cs="Amiri"/>
          <w:lang w:bidi="ar-SA"/>
          <w:color w:val="111111"/>
          <w:sz w:val="28"/>
          <w:szCs w:val="28"/>
          <w:rtl/>
        </w:rPr>
        <w:t xml:space="preserve">شهرستاني ، علي -حسيني شهرستاني ،</w:t>
      </w:r>
    </w:p>
    <w:p>
      <w:pPr>
        <w:pStyle w:val="BookText"/>
      </w:pPr>
      <w:r>
        <w:rPr>
          <w:rFonts w:ascii="Amiri" w:hAnsi="Amiri" w:eastAsia="Amiri" w:cs="Amiri"/>
          <w:lang w:bidi="ar-SA"/>
          <w:color w:val="111111"/>
          <w:sz w:val="28"/>
          <w:szCs w:val="28"/>
          <w:rtl/>
        </w:rPr>
        <w:t xml:space="preserve">محمّد علي بن محمّد حسين</w:t>
      </w:r>
    </w:p>
    <w:p>
      <w:pPr>
        <w:pStyle w:val="BookText"/>
      </w:pPr>
      <w:r>
        <w:rPr>
          <w:rFonts w:ascii="Amiri" w:hAnsi="Amiri" w:eastAsia="Amiri" w:cs="Amiri"/>
          <w:lang w:bidi="ar-SA"/>
          <w:color w:val="111111"/>
          <w:sz w:val="28"/>
          <w:szCs w:val="28"/>
          <w:rtl/>
        </w:rPr>
        <w:t xml:space="preserve">شهرستاني ، علي بن محمّد حسين- حسيني</w:t>
      </w:r>
    </w:p>
    <w:p>
      <w:pPr>
        <w:pStyle w:val="BookText"/>
      </w:pPr>
      <w:r>
        <w:rPr>
          <w:rFonts w:ascii="Amiri" w:hAnsi="Amiri" w:eastAsia="Amiri" w:cs="Amiri"/>
          <w:lang w:bidi="ar-SA"/>
          <w:color w:val="111111"/>
          <w:sz w:val="28"/>
          <w:szCs w:val="28"/>
          <w:rtl/>
        </w:rPr>
        <w:t xml:space="preserve">شهرستاني ، محمّد علي بن محمّد حسين</w:t>
      </w:r>
    </w:p>
    <w:p>
      <w:pPr>
        <w:pStyle w:val="Heading2"/>
      </w:pPr>
      <w:bookmarkStart w:id="5229" w:name="_Toc4331"/>
      <w:r>
        <w:t>شهرستاني، فتح الله بن احمد، قرن 10 ه-</w:t>
      </w:r>
      <w:bookmarkEnd w:id="5229"/>
    </w:p>
    <w:p>
      <w:pPr>
        <w:pStyle w:val="BookText"/>
      </w:pPr>
      <w:r>
        <w:rPr>
          <w:rFonts w:ascii="IRNazanin" w:hAnsi="IRNazanin" w:eastAsia="IRNazanin" w:cs="IRNazanin"/>
          <w:lang w:bidi="fa-IR"/>
          <w:color w:val="111111"/>
          <w:sz w:val="28"/>
          <w:szCs w:val="28"/>
          <w:rtl/>
        </w:rPr>
        <w:t xml:space="preserve">1 .اصول و قواعد خطوط سته =</w:t>
      </w:r>
    </w:p>
    <w:p>
      <w:pPr>
        <w:pStyle w:val="BookText"/>
      </w:pPr>
      <w:r>
        <w:rPr>
          <w:rFonts w:ascii="IRNazanin" w:hAnsi="IRNazanin" w:eastAsia="IRNazanin" w:cs="IRNazanin"/>
          <w:lang w:bidi="fa-IR"/>
          <w:color w:val="111111"/>
          <w:sz w:val="28"/>
          <w:szCs w:val="28"/>
          <w:rtl/>
        </w:rPr>
        <w:t xml:space="preserve">خط، ج 2، ص 468 .</w:t>
      </w:r>
    </w:p>
    <w:p>
      <w:pPr>
        <w:pStyle w:val="BookText"/>
      </w:pPr>
      <w:r>
        <w:rPr>
          <w:rFonts w:ascii="Amiri" w:hAnsi="Amiri" w:eastAsia="Amiri" w:cs="Amiri"/>
          <w:lang w:bidi="ar-SA"/>
          <w:color w:val="111111"/>
          <w:sz w:val="28"/>
          <w:szCs w:val="28"/>
          <w:rtl/>
        </w:rPr>
        <w:t xml:space="preserve">2 .تحفة الائمة العلية في الحكمة العملية = اخلاق ظهيري، ج3، ص 771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34" w:name="pg7742_70621"/>
    <w:bookmarkEnd w:id="634"/>
    <w:p>
      <w:pPr>
        <w:pStyle w:val="Heading2"/>
      </w:pPr>
      <w:bookmarkStart w:id="5230" w:name="_Toc4332"/>
      <w:r>
        <w:t>شهرستاني ، محمّد، قرن 13 ه-</w:t>
      </w:r>
      <w:bookmarkEnd w:id="5230"/>
    </w:p>
    <w:p>
      <w:pPr>
        <w:pStyle w:val="BookText"/>
      </w:pPr>
      <w:r>
        <w:rPr>
          <w:rFonts w:ascii="Amiri" w:hAnsi="Amiri" w:eastAsia="Amiri" w:cs="Amiri"/>
          <w:lang w:bidi="ar-SA"/>
          <w:color w:val="111111"/>
          <w:sz w:val="28"/>
          <w:szCs w:val="28"/>
          <w:rtl/>
        </w:rPr>
        <w:t xml:space="preserve">منتخب حديقة الشيعة، ج 15 ،</w:t>
      </w:r>
    </w:p>
    <w:p>
      <w:pPr>
        <w:pStyle w:val="BookText"/>
      </w:pPr>
      <w:r>
        <w:rPr>
          <w:rFonts w:ascii="IRNazanin" w:hAnsi="IRNazanin" w:eastAsia="IRNazanin" w:cs="IRNazanin"/>
          <w:lang w:bidi="fa-IR"/>
          <w:color w:val="111111"/>
          <w:sz w:val="28"/>
          <w:szCs w:val="28"/>
          <w:rtl/>
        </w:rPr>
        <w:t xml:space="preserve">ص 604.</w:t>
      </w:r>
    </w:p>
    <w:p>
      <w:pPr>
        <w:pStyle w:val="BookText"/>
      </w:pPr>
      <w:r>
        <w:rPr>
          <w:rFonts w:ascii="Amiri" w:hAnsi="Amiri" w:eastAsia="Amiri" w:cs="Amiri"/>
          <w:lang w:bidi="ar-SA"/>
          <w:color w:val="111111"/>
          <w:sz w:val="28"/>
          <w:szCs w:val="28"/>
          <w:rtl/>
        </w:rPr>
        <w:t xml:space="preserve">شهرستاني ، محمّد باقر بن</w:t>
      </w:r>
    </w:p>
    <w:p>
      <w:pPr>
        <w:pStyle w:val="BookText"/>
      </w:pPr>
      <w:r>
        <w:rPr>
          <w:rFonts w:ascii="Amiri" w:hAnsi="Amiri" w:eastAsia="Amiri" w:cs="Amiri"/>
          <w:lang w:bidi="ar-SA"/>
          <w:color w:val="111111"/>
          <w:sz w:val="28"/>
          <w:szCs w:val="28"/>
          <w:rtl/>
        </w:rPr>
        <w:t xml:space="preserve">ابوالفتوح -موسوي شهرستاني ، محمّد باقر بن</w:t>
      </w:r>
    </w:p>
    <w:p>
      <w:pPr>
        <w:pStyle w:val="BookText"/>
      </w:pPr>
      <w:r>
        <w:rPr>
          <w:rFonts w:ascii="IRNazanin" w:hAnsi="IRNazanin" w:eastAsia="IRNazanin" w:cs="IRNazanin"/>
          <w:lang w:bidi="fa-IR"/>
          <w:color w:val="111111"/>
          <w:sz w:val="28"/>
          <w:szCs w:val="28"/>
          <w:rtl/>
        </w:rPr>
        <w:t xml:space="preserve">ابوالفتوح</w:t>
      </w:r>
    </w:p>
    <w:p>
      <w:pPr>
        <w:pStyle w:val="Heading2"/>
      </w:pPr>
      <w:bookmarkStart w:id="5231" w:name="_Toc4333"/>
      <w:r>
        <w:t>شهرستاني ، محمّد بن عبدالكريم 479؟ -</w:t>
      </w:r>
      <w:bookmarkEnd w:id="5231"/>
    </w:p>
    <w:p>
      <w:pPr>
        <w:pStyle w:val="BookText"/>
      </w:pPr>
      <w:r>
        <w:rPr>
          <w:rFonts w:ascii="IRNazanin" w:hAnsi="IRNazanin" w:eastAsia="IRNazanin" w:cs="IRNazanin"/>
          <w:lang w:bidi="fa-IR"/>
          <w:color w:val="111111"/>
          <w:sz w:val="28"/>
          <w:szCs w:val="28"/>
          <w:rtl/>
        </w:rPr>
        <w:t xml:space="preserve">548؟ ه-</w:t>
      </w:r>
    </w:p>
    <w:p>
      <w:pPr>
        <w:pStyle w:val="BookText"/>
      </w:pPr>
      <w:r>
        <w:rPr>
          <w:rFonts w:ascii="Amiri" w:hAnsi="Amiri" w:eastAsia="Amiri" w:cs="Amiri"/>
          <w:lang w:bidi="ar-SA"/>
          <w:color w:val="111111"/>
          <w:sz w:val="28"/>
          <w:szCs w:val="28"/>
          <w:rtl/>
        </w:rPr>
        <w:t xml:space="preserve">1 .مصارعة الفلاسفة، ج 14، ص 695.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الملل و النحل = ملل و نحل</w:t>
      </w:r>
    </w:p>
    <w:p>
      <w:pPr>
        <w:pStyle w:val="BookText"/>
      </w:pPr>
      <w:r>
        <w:rPr>
          <w:rFonts w:ascii="Amiri" w:hAnsi="Amiri" w:eastAsia="Amiri" w:cs="Amiri"/>
          <w:lang w:bidi="ar-SA"/>
          <w:color w:val="111111"/>
          <w:sz w:val="28"/>
          <w:szCs w:val="28"/>
          <w:rtl/>
        </w:rPr>
        <w:t xml:space="preserve">شهرستاني، ج 15، ص 466.</w:t>
      </w:r>
    </w:p>
    <w:p>
      <w:pPr>
        <w:pStyle w:val="BookText"/>
      </w:pPr>
      <w:r>
        <w:rPr>
          <w:rFonts w:ascii="Amiri" w:hAnsi="Amiri" w:eastAsia="Amiri" w:cs="Amiri"/>
          <w:lang w:bidi="ar-SA"/>
          <w:color w:val="111111"/>
          <w:sz w:val="28"/>
          <w:szCs w:val="28"/>
          <w:rtl/>
        </w:rPr>
        <w:t xml:space="preserve">شهرستاني ، محمّد بن محمود -حسيني</w:t>
      </w:r>
    </w:p>
    <w:p>
      <w:pPr>
        <w:pStyle w:val="BookText"/>
      </w:pPr>
      <w:r>
        <w:rPr>
          <w:rFonts w:ascii="Amiri" w:hAnsi="Amiri" w:eastAsia="Amiri" w:cs="Amiri"/>
          <w:lang w:bidi="ar-SA"/>
          <w:color w:val="111111"/>
          <w:sz w:val="28"/>
          <w:szCs w:val="28"/>
          <w:rtl/>
        </w:rPr>
        <w:t xml:space="preserve">شهرستاني ، محمّد بن محمود</w:t>
      </w:r>
    </w:p>
    <w:p>
      <w:pPr>
        <w:pStyle w:val="BookText"/>
      </w:pPr>
      <w:r>
        <w:rPr>
          <w:rFonts w:ascii="Amiri" w:hAnsi="Amiri" w:eastAsia="Amiri" w:cs="Amiri"/>
          <w:lang w:bidi="ar-SA"/>
          <w:color w:val="111111"/>
          <w:sz w:val="28"/>
          <w:szCs w:val="28"/>
          <w:rtl/>
        </w:rPr>
        <w:t xml:space="preserve">شهرستاني ، محمّد جعفر بن محمّد</w:t>
      </w:r>
    </w:p>
    <w:p>
      <w:pPr>
        <w:pStyle w:val="BookText"/>
      </w:pPr>
      <w:r>
        <w:rPr>
          <w:rFonts w:ascii="Amiri" w:hAnsi="Amiri" w:eastAsia="Amiri" w:cs="Amiri"/>
          <w:lang w:bidi="ar-SA"/>
          <w:color w:val="111111"/>
          <w:sz w:val="28"/>
          <w:szCs w:val="28"/>
          <w:rtl/>
        </w:rPr>
        <w:t xml:space="preserve">حسين -موسوي شهرستاني ، محمّد جعفر بن</w:t>
      </w:r>
    </w:p>
    <w:p>
      <w:pPr>
        <w:pStyle w:val="BookText"/>
      </w:pPr>
      <w:r>
        <w:rPr>
          <w:rFonts w:ascii="Amiri" w:hAnsi="Amiri" w:eastAsia="Amiri" w:cs="Amiri"/>
          <w:lang w:bidi="ar-SA"/>
          <w:color w:val="111111"/>
          <w:sz w:val="28"/>
          <w:szCs w:val="28"/>
          <w:rtl/>
        </w:rPr>
        <w:t xml:space="preserve">محمّد حسين</w:t>
      </w:r>
    </w:p>
    <w:p>
      <w:pPr>
        <w:pStyle w:val="Heading2"/>
      </w:pPr>
      <w:bookmarkStart w:id="5232" w:name="_Toc4334"/>
      <w:r>
        <w:t>شهرستاني ، محمّد حسين بن محمّد علي</w:t>
      </w:r>
      <w:bookmarkEnd w:id="5232"/>
    </w:p>
    <w:p>
      <w:pPr>
        <w:pStyle w:val="BookText"/>
      </w:pPr>
      <w:r>
        <w:rPr>
          <w:rFonts w:ascii="IRNazanin" w:hAnsi="IRNazanin" w:eastAsia="IRNazanin" w:cs="IRNazanin"/>
          <w:lang w:bidi="fa-IR"/>
          <w:color w:val="111111"/>
          <w:sz w:val="28"/>
          <w:szCs w:val="28"/>
          <w:rtl/>
        </w:rPr>
        <w:t xml:space="preserve">1255 - 1315ه-</w:t>
      </w:r>
    </w:p>
    <w:p>
      <w:pPr>
        <w:pStyle w:val="BookText"/>
      </w:pPr>
      <w:r>
        <w:rPr>
          <w:rFonts w:ascii="IRNazanin" w:hAnsi="IRNazanin" w:eastAsia="IRNazanin" w:cs="IRNazanin"/>
          <w:lang w:bidi="fa-IR"/>
          <w:color w:val="111111"/>
          <w:sz w:val="28"/>
          <w:szCs w:val="28"/>
          <w:rtl/>
        </w:rPr>
        <w:t xml:space="preserve">1 .آیات بینات، ج1، ص73</w:t>
      </w:r>
    </w:p>
    <w:p>
      <w:pPr>
        <w:pStyle w:val="BookText"/>
      </w:pPr>
      <w:r>
        <w:rPr>
          <w:rFonts w:ascii="Amiri" w:hAnsi="Amiri" w:eastAsia="Amiri" w:cs="Amiri"/>
          <w:lang w:bidi="ar-SA"/>
          <w:color w:val="111111"/>
          <w:sz w:val="28"/>
          <w:szCs w:val="28"/>
          <w:rtl/>
        </w:rPr>
        <w:t xml:space="preserve">2 .الاجتهاد والتقليد، ج 1، ص 304.</w:t>
      </w:r>
    </w:p>
    <w:p>
      <w:pPr>
        <w:pStyle w:val="BookText"/>
      </w:pPr>
      <w:r>
        <w:rPr>
          <w:rFonts w:ascii="Amiri" w:hAnsi="Amiri" w:eastAsia="Amiri" w:cs="Amiri"/>
          <w:lang w:bidi="ar-SA"/>
          <w:color w:val="111111"/>
          <w:sz w:val="28"/>
          <w:szCs w:val="28"/>
          <w:rtl/>
        </w:rPr>
        <w:t xml:space="preserve">الادلة العقلية( رسالة في)، ج1،</w:t>
      </w:r>
    </w:p>
    <w:p>
      <w:pPr>
        <w:pStyle w:val="BookText"/>
      </w:pPr>
      <w:r>
        <w:rPr>
          <w:rFonts w:ascii="IRNazanin" w:hAnsi="IRNazanin" w:eastAsia="IRNazanin" w:cs="IRNazanin"/>
          <w:lang w:bidi="fa-IR"/>
          <w:color w:val="111111"/>
          <w:sz w:val="28"/>
          <w:szCs w:val="28"/>
          <w:rtl/>
        </w:rPr>
        <w:t xml:space="preserve">ص 663 .</w:t>
      </w:r>
    </w:p>
    <w:p>
      <w:pPr>
        <w:pStyle w:val="BookText"/>
      </w:pPr>
      <w:r>
        <w:rPr>
          <w:rFonts w:ascii="IRNazanin" w:hAnsi="IRNazanin" w:eastAsia="IRNazanin" w:cs="IRNazanin"/>
          <w:lang w:bidi="fa-IR"/>
          <w:color w:val="111111"/>
          <w:sz w:val="28"/>
          <w:szCs w:val="28"/>
          <w:rtl/>
        </w:rPr>
        <w:t xml:space="preserve">4 .الاستصحاب، ج2، ص132.</w:t>
      </w:r>
    </w:p>
    <w:p>
      <w:pPr>
        <w:pStyle w:val="BookText"/>
      </w:pPr>
      <w:r>
        <w:rPr>
          <w:rFonts w:ascii="Amiri" w:hAnsi="Amiri" w:eastAsia="Amiri" w:cs="Amiri"/>
          <w:lang w:bidi="ar-SA"/>
          <w:color w:val="111111"/>
          <w:sz w:val="28"/>
          <w:szCs w:val="28"/>
          <w:rtl/>
        </w:rPr>
        <w:t xml:space="preserve">5 .تحقيق ادلة الاحكام عند غياب</w:t>
      </w:r>
    </w:p>
    <w:p>
      <w:pPr>
        <w:pStyle w:val="BookText"/>
      </w:pPr>
      <w:r>
        <w:rPr>
          <w:rFonts w:ascii="IRNazanin" w:hAnsi="IRNazanin" w:eastAsia="IRNazanin" w:cs="IRNazanin"/>
          <w:lang w:bidi="fa-IR"/>
          <w:color w:val="111111"/>
          <w:sz w:val="28"/>
          <w:szCs w:val="28"/>
          <w:rtl/>
        </w:rPr>
        <w:t xml:space="preserve">الامام، ج 4، ص 49.</w:t>
      </w:r>
    </w:p>
    <w:p>
      <w:pPr>
        <w:pStyle w:val="BookText"/>
      </w:pPr>
      <w:r>
        <w:rPr>
          <w:rFonts w:ascii="Amiri" w:hAnsi="Amiri" w:eastAsia="Amiri" w:cs="Amiri"/>
          <w:lang w:bidi="ar-SA"/>
          <w:color w:val="111111"/>
          <w:sz w:val="28"/>
          <w:szCs w:val="28"/>
          <w:rtl/>
        </w:rPr>
        <w:t xml:space="preserve">6 .ترياق فاروق، ج4، ص317.</w:t>
      </w:r>
    </w:p>
    <w:p>
      <w:pPr>
        <w:pStyle w:val="BookText"/>
      </w:pPr>
      <w:r>
        <w:rPr>
          <w:rFonts w:ascii="Amiri" w:hAnsi="Amiri" w:eastAsia="Amiri" w:cs="Amiri"/>
          <w:lang w:bidi="ar-SA"/>
          <w:color w:val="111111"/>
          <w:sz w:val="28"/>
          <w:szCs w:val="28"/>
          <w:rtl/>
        </w:rPr>
        <w:t xml:space="preserve">7 .تنبيه الانام على مفاسد ارشاد</w:t>
      </w:r>
    </w:p>
    <w:p>
      <w:pPr>
        <w:pStyle w:val="BookText"/>
      </w:pPr>
      <w:r>
        <w:rPr>
          <w:rFonts w:ascii="IRNazanin" w:hAnsi="IRNazanin" w:eastAsia="IRNazanin" w:cs="IRNazanin"/>
          <w:lang w:bidi="fa-IR"/>
          <w:color w:val="111111"/>
          <w:sz w:val="28"/>
          <w:szCs w:val="28"/>
          <w:rtl/>
        </w:rPr>
        <w:t xml:space="preserve">العوام، ج 5، ص 25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الجفر المرتضوي او اسرار الرموز</w:t>
      </w:r>
    </w:p>
    <w:p>
      <w:pPr>
        <w:pStyle w:val="BookText"/>
      </w:pPr>
      <w:r>
        <w:rPr>
          <w:rFonts w:ascii="IRNazanin" w:hAnsi="IRNazanin" w:eastAsia="IRNazanin" w:cs="IRNazanin"/>
          <w:lang w:bidi="fa-IR"/>
          <w:color w:val="111111"/>
          <w:sz w:val="28"/>
          <w:szCs w:val="28"/>
          <w:rtl/>
        </w:rPr>
        <w:t xml:space="preserve">ج 5، ص 401.</w:t>
      </w:r>
    </w:p>
    <w:p>
      <w:pPr>
        <w:pStyle w:val="BookText"/>
      </w:pPr>
      <w:r>
        <w:rPr>
          <w:rFonts w:ascii="Amiri" w:hAnsi="Amiri" w:eastAsia="Amiri" w:cs="Amiri"/>
          <w:lang w:bidi="ar-SA"/>
          <w:color w:val="111111"/>
          <w:sz w:val="28"/>
          <w:szCs w:val="28"/>
          <w:rtl/>
        </w:rPr>
        <w:t xml:space="preserve">9 .جنة النعيم و الصراط المستقيم</w:t>
      </w:r>
    </w:p>
    <w:p>
      <w:pPr>
        <w:pStyle w:val="BookText"/>
      </w:pPr>
      <w:r>
        <w:rPr>
          <w:rFonts w:ascii="IRNazanin" w:hAnsi="IRNazanin" w:eastAsia="IRNazanin" w:cs="IRNazanin"/>
          <w:lang w:bidi="fa-IR"/>
          <w:color w:val="111111"/>
          <w:sz w:val="28"/>
          <w:szCs w:val="28"/>
          <w:rtl/>
        </w:rPr>
        <w:t xml:space="preserve">ج 5، ص 466.</w:t>
      </w:r>
    </w:p>
    <w:p>
      <w:pPr>
        <w:pStyle w:val="BookText"/>
      </w:pPr>
      <w:r>
        <w:rPr>
          <w:rFonts w:ascii="Amiri" w:hAnsi="Amiri" w:eastAsia="Amiri" w:cs="Amiri"/>
          <w:lang w:bidi="ar-SA"/>
          <w:color w:val="111111"/>
          <w:sz w:val="28"/>
          <w:szCs w:val="28"/>
          <w:rtl/>
        </w:rPr>
        <w:t xml:space="preserve">10 .الحجة البالغة، ج 6، ص 483.</w:t>
      </w:r>
    </w:p>
    <w:p>
      <w:pPr>
        <w:pStyle w:val="BookText"/>
      </w:pPr>
      <w:r>
        <w:rPr>
          <w:rFonts w:ascii="Amiri" w:hAnsi="Amiri" w:eastAsia="Amiri" w:cs="Amiri"/>
          <w:lang w:bidi="ar-SA"/>
          <w:color w:val="111111"/>
          <w:sz w:val="28"/>
          <w:szCs w:val="28"/>
          <w:rtl/>
        </w:rPr>
        <w:t xml:space="preserve">11 .الحساب (كتاب في)، ج 6، ص 638.</w:t>
      </w:r>
    </w:p>
    <w:p>
      <w:pPr>
        <w:pStyle w:val="BookText"/>
      </w:pPr>
      <w:r>
        <w:rPr>
          <w:rFonts w:ascii="Amiri" w:hAnsi="Amiri" w:eastAsia="Amiri" w:cs="Amiri"/>
          <w:lang w:bidi="ar-SA"/>
          <w:color w:val="111111"/>
          <w:sz w:val="28"/>
          <w:szCs w:val="28"/>
          <w:rtl/>
        </w:rPr>
        <w:t xml:space="preserve">12 .در المغيض في منجزات المريض</w:t>
      </w:r>
    </w:p>
    <w:p>
      <w:pPr>
        <w:pStyle w:val="BookText"/>
      </w:pPr>
      <w:r>
        <w:rPr>
          <w:rFonts w:ascii="IRNazanin" w:hAnsi="IRNazanin" w:eastAsia="IRNazanin" w:cs="IRNazanin"/>
          <w:lang w:bidi="fa-IR"/>
          <w:color w:val="111111"/>
          <w:sz w:val="28"/>
          <w:szCs w:val="28"/>
          <w:rtl/>
        </w:rPr>
        <w:t xml:space="preserve">ج 7، ص 335.</w:t>
      </w:r>
    </w:p>
    <w:p>
      <w:pPr>
        <w:pStyle w:val="BookText"/>
      </w:pPr>
      <w:r>
        <w:rPr>
          <w:rFonts w:ascii="Amiri" w:hAnsi="Amiri" w:eastAsia="Amiri" w:cs="Amiri"/>
          <w:lang w:bidi="ar-SA"/>
          <w:color w:val="111111"/>
          <w:sz w:val="28"/>
          <w:szCs w:val="28"/>
          <w:rtl/>
        </w:rPr>
        <w:t xml:space="preserve">13 .الدرة العزيزة في شرح الوجيزة</w:t>
      </w:r>
    </w:p>
    <w:p>
      <w:pPr>
        <w:pStyle w:val="BookText"/>
      </w:pPr>
      <w:r>
        <w:rPr>
          <w:rFonts w:ascii="IRNazanin" w:hAnsi="IRNazanin" w:eastAsia="IRNazanin" w:cs="IRNazanin"/>
          <w:lang w:bidi="fa-IR"/>
          <w:color w:val="111111"/>
          <w:sz w:val="28"/>
          <w:szCs w:val="28"/>
          <w:rtl/>
        </w:rPr>
        <w:t xml:space="preserve">ج 7، ص 241.</w:t>
      </w:r>
    </w:p>
    <w:p>
      <w:pPr>
        <w:pStyle w:val="BookText"/>
      </w:pPr>
      <w:r>
        <w:rPr>
          <w:rFonts w:ascii="Amiri" w:hAnsi="Amiri" w:eastAsia="Amiri" w:cs="Amiri"/>
          <w:lang w:bidi="ar-SA"/>
          <w:color w:val="111111"/>
          <w:sz w:val="28"/>
          <w:szCs w:val="28"/>
          <w:rtl/>
        </w:rPr>
        <w:t xml:space="preserve">14 . دمع العين على خصائص الحسين</w:t>
      </w:r>
    </w:p>
    <w:p>
      <w:pPr>
        <w:pStyle w:val="BookText"/>
      </w:pPr>
      <w:r>
        <w:rPr>
          <w:rFonts w:ascii="IRNazanin" w:hAnsi="IRNazanin" w:eastAsia="IRNazanin" w:cs="IRNazanin"/>
          <w:lang w:bidi="fa-IR"/>
          <w:color w:val="111111"/>
          <w:sz w:val="28"/>
          <w:szCs w:val="28"/>
          <w:rtl/>
        </w:rPr>
        <w:t xml:space="preserve">ج 7، ص 477 .</w:t>
      </w:r>
    </w:p>
    <w:p>
      <w:pPr>
        <w:pStyle w:val="BookText"/>
      </w:pPr>
      <w:r>
        <w:rPr>
          <w:rFonts w:ascii="Amiri" w:hAnsi="Amiri" w:eastAsia="Amiri" w:cs="Amiri"/>
          <w:lang w:bidi="ar-SA"/>
          <w:color w:val="111111"/>
          <w:sz w:val="28"/>
          <w:szCs w:val="28"/>
          <w:rtl/>
        </w:rPr>
        <w:t xml:space="preserve">15 .رسائل في الفقه و الادعية و</w:t>
      </w:r>
    </w:p>
    <w:p>
      <w:pPr>
        <w:pStyle w:val="BookText"/>
      </w:pPr>
      <w:r>
        <w:rPr>
          <w:rFonts w:ascii="IRNazanin" w:hAnsi="IRNazanin" w:eastAsia="IRNazanin" w:cs="IRNazanin"/>
          <w:lang w:bidi="fa-IR"/>
          <w:color w:val="111111"/>
          <w:sz w:val="28"/>
          <w:szCs w:val="28"/>
          <w:rtl/>
        </w:rPr>
        <w:t xml:space="preserve">الاخبار، ج8، ص 147</w:t>
      </w:r>
    </w:p>
    <w:p>
      <w:pPr>
        <w:pStyle w:val="BookText"/>
      </w:pPr>
      <w:r>
        <w:rPr>
          <w:rFonts w:ascii="IRNazanin" w:hAnsi="IRNazanin" w:eastAsia="IRNazanin" w:cs="IRNazanin"/>
          <w:lang w:bidi="fa-IR"/>
          <w:color w:val="111111"/>
          <w:sz w:val="28"/>
          <w:szCs w:val="28"/>
          <w:rtl/>
        </w:rPr>
        <w:t xml:space="preserve">16 .رسالتان، ج8، ص171</w:t>
      </w:r>
    </w:p>
    <w:p>
      <w:pPr>
        <w:pStyle w:val="BookText"/>
      </w:pPr>
      <w:r>
        <w:rPr>
          <w:rFonts w:ascii="Amiri" w:hAnsi="Amiri" w:eastAsia="Amiri" w:cs="Amiri"/>
          <w:lang w:bidi="ar-SA"/>
          <w:color w:val="111111"/>
          <w:sz w:val="28"/>
          <w:szCs w:val="28"/>
          <w:rtl/>
        </w:rPr>
        <w:t xml:space="preserve">17 .رمل = علم الرمل (كتاب في)، ج8،</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Amiri" w:hAnsi="Amiri" w:eastAsia="Amiri" w:cs="Amiri"/>
          <w:lang w:bidi="ar-SA"/>
          <w:color w:val="111111"/>
          <w:sz w:val="28"/>
          <w:szCs w:val="28"/>
          <w:rtl/>
        </w:rPr>
        <w:t xml:space="preserve">18 .الزهرة البارقة لمعرفة احوال المجاز</w:t>
      </w:r>
    </w:p>
    <w:p>
      <w:pPr>
        <w:pStyle w:val="BookText"/>
      </w:pPr>
      <w:r>
        <w:rPr>
          <w:rFonts w:ascii="Amiri" w:hAnsi="Amiri" w:eastAsia="Amiri" w:cs="Amiri"/>
          <w:lang w:bidi="ar-SA"/>
          <w:color w:val="111111"/>
          <w:sz w:val="28"/>
          <w:szCs w:val="28"/>
          <w:rtl/>
        </w:rPr>
        <w:t xml:space="preserve">و الحقيقة، ج 8، ص 619.</w:t>
      </w:r>
    </w:p>
    <w:p>
      <w:pPr>
        <w:pStyle w:val="BookText"/>
      </w:pPr>
      <w:r>
        <w:rPr>
          <w:rFonts w:ascii="Amiri" w:hAnsi="Amiri" w:eastAsia="Amiri" w:cs="Amiri"/>
          <w:lang w:bidi="ar-SA"/>
          <w:color w:val="111111"/>
          <w:sz w:val="28"/>
          <w:szCs w:val="28"/>
          <w:rtl/>
        </w:rPr>
        <w:t xml:space="preserve">19 .سبيل النجاة، ج 8، ص709.</w:t>
      </w:r>
    </w:p>
    <w:p>
      <w:pPr>
        <w:pStyle w:val="BookText"/>
      </w:pPr>
      <w:r>
        <w:rPr>
          <w:rFonts w:ascii="Amiri" w:hAnsi="Amiri" w:eastAsia="Amiri" w:cs="Amiri"/>
          <w:lang w:bidi="ar-SA"/>
          <w:color w:val="111111"/>
          <w:sz w:val="28"/>
          <w:szCs w:val="28"/>
          <w:rtl/>
        </w:rPr>
        <w:t xml:space="preserve">20 .سفر البريد، ج8، ص 76 .</w:t>
      </w:r>
    </w:p>
    <w:p>
      <w:pPr>
        <w:pStyle w:val="BookText"/>
      </w:pPr>
      <w:r>
        <w:rPr>
          <w:rFonts w:ascii="Amiri" w:hAnsi="Amiri" w:eastAsia="Amiri" w:cs="Amiri"/>
          <w:lang w:bidi="ar-SA"/>
          <w:color w:val="111111"/>
          <w:sz w:val="28"/>
          <w:szCs w:val="28"/>
          <w:rtl/>
        </w:rPr>
        <w:t xml:space="preserve">21 .شبهة المحصورة، ج 9، ص 74.</w:t>
      </w:r>
    </w:p>
    <w:p>
      <w:pPr>
        <w:pStyle w:val="BookText"/>
      </w:pPr>
      <w:r>
        <w:rPr>
          <w:rFonts w:ascii="IRNazanin" w:hAnsi="IRNazanin" w:eastAsia="IRNazanin" w:cs="IRNazanin"/>
          <w:lang w:bidi="fa-IR"/>
          <w:color w:val="111111"/>
          <w:sz w:val="28"/>
          <w:szCs w:val="28"/>
          <w:rtl/>
        </w:rPr>
        <w:t xml:space="preserve">22 .شوارع الاعلام إلى شرائع الاسلام</w:t>
      </w:r>
    </w:p>
    <w:p>
      <w:pPr>
        <w:pStyle w:val="BookText"/>
      </w:pPr>
      <w:r>
        <w:rPr>
          <w:rFonts w:ascii="IRNazanin" w:hAnsi="IRNazanin" w:eastAsia="IRNazanin" w:cs="IRNazanin"/>
          <w:lang w:bidi="fa-IR"/>
          <w:color w:val="111111"/>
          <w:sz w:val="28"/>
          <w:szCs w:val="28"/>
          <w:rtl/>
        </w:rPr>
        <w:t xml:space="preserve">ج 10، ص 438 .</w:t>
      </w:r>
    </w:p>
    <w:p>
      <w:pPr>
        <w:pStyle w:val="BookText"/>
      </w:pPr>
      <w:r>
        <w:rPr>
          <w:rFonts w:ascii="Amiri" w:hAnsi="Amiri" w:eastAsia="Amiri" w:cs="Amiri"/>
          <w:lang w:bidi="ar-SA"/>
          <w:color w:val="111111"/>
          <w:sz w:val="28"/>
          <w:szCs w:val="28"/>
          <w:rtl/>
        </w:rPr>
        <w:t xml:space="preserve">23 .الصحيفة الحسينية، ج 10، ص 513.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الصوم، ج 10، ص 665.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الطريق، ج 10، ص 816.</w:t>
      </w:r>
    </w:p>
    <w:p>
      <w:pPr>
        <w:pStyle w:val="BookText"/>
      </w:pPr>
      <w:r>
        <w:rPr>
          <w:rFonts w:ascii="Amiri" w:hAnsi="Amiri" w:eastAsia="Amiri" w:cs="Amiri"/>
          <w:lang w:bidi="ar-SA"/>
          <w:color w:val="111111"/>
          <w:sz w:val="28"/>
          <w:szCs w:val="28"/>
          <w:rtl/>
        </w:rPr>
        <w:t xml:space="preserve">26 .طريق علم الرمل، ج 10، ص 831.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35" w:name="pg7742_70622"/>
    <w:bookmarkEnd w:id="635"/>
    <w:p>
      <w:pPr>
        <w:pStyle w:val="BookText"/>
      </w:pPr>
      <w:r>
        <w:rPr>
          <w:rFonts w:ascii="Amiri" w:hAnsi="Amiri" w:eastAsia="Amiri" w:cs="Amiri"/>
          <w:lang w:bidi="ar-SA"/>
          <w:color w:val="111111"/>
          <w:sz w:val="28"/>
          <w:szCs w:val="28"/>
          <w:rtl/>
        </w:rPr>
        <w:t xml:space="preserve">27 .عسل صفي، ج 11، ص117.</w:t>
      </w:r>
    </w:p>
    <w:p>
      <w:pPr>
        <w:pStyle w:val="BookText"/>
      </w:pPr>
      <w:r>
        <w:rPr>
          <w:rFonts w:ascii="IRNazanin" w:hAnsi="IRNazanin" w:eastAsia="IRNazanin" w:cs="IRNazanin"/>
          <w:lang w:bidi="fa-IR"/>
          <w:color w:val="111111"/>
          <w:sz w:val="28"/>
          <w:szCs w:val="28"/>
          <w:rtl/>
        </w:rPr>
        <w:t xml:space="preserve">28 .العقائد، ج 11، ص137.</w:t>
      </w:r>
    </w:p>
    <w:p>
      <w:pPr>
        <w:pStyle w:val="BookText"/>
      </w:pPr>
      <w:r>
        <w:rPr>
          <w:rFonts w:ascii="Amiri" w:hAnsi="Amiri" w:eastAsia="Amiri" w:cs="Amiri"/>
          <w:lang w:bidi="ar-SA"/>
          <w:color w:val="111111"/>
          <w:sz w:val="28"/>
          <w:szCs w:val="28"/>
          <w:rtl/>
        </w:rPr>
        <w:t xml:space="preserve">29 .العناصر المتين في شرح معضلات القوانين = حاشية قوانين الاصول ج 11، ص 327.</w:t>
      </w:r>
    </w:p>
    <w:p>
      <w:pPr>
        <w:pStyle w:val="BookText"/>
      </w:pPr>
      <w:r>
        <w:rPr>
          <w:rFonts w:ascii="Amiri" w:hAnsi="Amiri" w:eastAsia="Amiri" w:cs="Amiri"/>
          <w:lang w:bidi="ar-SA"/>
          <w:color w:val="111111"/>
          <w:sz w:val="28"/>
          <w:szCs w:val="28"/>
          <w:rtl/>
        </w:rPr>
        <w:t xml:space="preserve">30 .غاية التقريب في تهذيب التهذيب</w:t>
      </w:r>
    </w:p>
    <w:p>
      <w:pPr>
        <w:pStyle w:val="BookText"/>
      </w:pPr>
      <w:r>
        <w:rPr>
          <w:rFonts w:ascii="Amiri" w:hAnsi="Amiri" w:eastAsia="Amiri" w:cs="Amiri"/>
          <w:lang w:bidi="ar-SA"/>
          <w:color w:val="111111"/>
          <w:sz w:val="28"/>
          <w:szCs w:val="28"/>
          <w:rtl/>
        </w:rPr>
        <w:t xml:space="preserve">غاية التهذيب، ج 11، ص 436 .</w:t>
      </w:r>
    </w:p>
    <w:p>
      <w:pPr>
        <w:pStyle w:val="BookText"/>
      </w:pPr>
      <w:r>
        <w:rPr>
          <w:rFonts w:ascii="Amiri" w:hAnsi="Amiri" w:eastAsia="Amiri" w:cs="Amiri"/>
          <w:lang w:bidi="ar-SA"/>
          <w:color w:val="111111"/>
          <w:sz w:val="28"/>
          <w:szCs w:val="28"/>
          <w:rtl/>
        </w:rPr>
        <w:t xml:space="preserve">31 .غاية المسئول و نهاية المأمول في</w:t>
      </w:r>
    </w:p>
    <w:p>
      <w:pPr>
        <w:pStyle w:val="BookText"/>
      </w:pPr>
      <w:r>
        <w:rPr>
          <w:rFonts w:ascii="Amiri" w:hAnsi="Amiri" w:eastAsia="Amiri" w:cs="Amiri"/>
          <w:lang w:bidi="ar-SA"/>
          <w:color w:val="111111"/>
          <w:sz w:val="28"/>
          <w:szCs w:val="28"/>
          <w:rtl/>
        </w:rPr>
        <w:t xml:space="preserve">علم الاصول = تقريرات فاضل</w:t>
      </w:r>
    </w:p>
    <w:p>
      <w:pPr>
        <w:pStyle w:val="BookText"/>
      </w:pPr>
      <w:r>
        <w:rPr>
          <w:rFonts w:ascii="Amiri" w:hAnsi="Amiri" w:eastAsia="Amiri" w:cs="Amiri"/>
          <w:lang w:bidi="ar-SA"/>
          <w:color w:val="111111"/>
          <w:sz w:val="28"/>
          <w:szCs w:val="28"/>
          <w:rtl/>
        </w:rPr>
        <w:t xml:space="preserve">الاردكاني، ج 11، ص 456.</w:t>
      </w:r>
    </w:p>
    <w:p>
      <w:pPr>
        <w:pStyle w:val="BookText"/>
      </w:pPr>
      <w:r>
        <w:rPr>
          <w:rFonts w:ascii="IRNazanin" w:hAnsi="IRNazanin" w:eastAsia="IRNazanin" w:cs="IRNazanin"/>
          <w:lang w:bidi="fa-IR"/>
          <w:color w:val="111111"/>
          <w:sz w:val="28"/>
          <w:szCs w:val="28"/>
          <w:rtl/>
        </w:rPr>
        <w:t xml:space="preserve">32 .غزلیات، ج 11، ص 500.</w:t>
      </w:r>
    </w:p>
    <w:p>
      <w:pPr>
        <w:pStyle w:val="BookText"/>
      </w:pPr>
      <w:r>
        <w:rPr>
          <w:rFonts w:ascii="IRNazanin" w:hAnsi="IRNazanin" w:eastAsia="IRNazanin" w:cs="IRNazanin"/>
          <w:lang w:bidi="fa-IR"/>
          <w:color w:val="111111"/>
          <w:sz w:val="28"/>
          <w:szCs w:val="28"/>
          <w:rtl/>
        </w:rPr>
        <w:t xml:space="preserve">33 .فرائد الفوائد، ج 11، ص737.</w:t>
      </w:r>
    </w:p>
    <w:p>
      <w:pPr>
        <w:pStyle w:val="BookText"/>
      </w:pPr>
      <w:r>
        <w:rPr>
          <w:rFonts w:ascii="Amiri" w:hAnsi="Amiri" w:eastAsia="Amiri" w:cs="Amiri"/>
          <w:lang w:bidi="ar-SA"/>
          <w:color w:val="111111"/>
          <w:sz w:val="28"/>
          <w:szCs w:val="28"/>
          <w:rtl/>
        </w:rPr>
        <w:t xml:space="preserve">34 .الفرائد في النحو، ج11، ص739.</w:t>
      </w:r>
    </w:p>
    <w:p>
      <w:pPr>
        <w:pStyle w:val="BookText"/>
      </w:pPr>
      <w:r>
        <w:rPr>
          <w:rFonts w:ascii="Amiri" w:hAnsi="Amiri" w:eastAsia="Amiri" w:cs="Amiri"/>
          <w:lang w:bidi="ar-SA"/>
          <w:color w:val="111111"/>
          <w:sz w:val="28"/>
          <w:szCs w:val="28"/>
          <w:rtl/>
        </w:rPr>
        <w:t xml:space="preserve">35 .اللثالي، ج13، ص 517.</w:t>
      </w:r>
    </w:p>
    <w:p>
      <w:pPr>
        <w:pStyle w:val="BookText"/>
      </w:pPr>
      <w:r>
        <w:rPr>
          <w:rFonts w:ascii="IRNazanin" w:hAnsi="IRNazanin" w:eastAsia="IRNazanin" w:cs="IRNazanin"/>
          <w:lang w:bidi="fa-IR"/>
          <w:color w:val="111111"/>
          <w:sz w:val="28"/>
          <w:szCs w:val="28"/>
          <w:rtl/>
        </w:rPr>
        <w:t xml:space="preserve">36 .لباب الاجتهاد، ج 13، ص 541.</w:t>
      </w:r>
    </w:p>
    <w:p>
      <w:pPr>
        <w:pStyle w:val="BookText"/>
      </w:pPr>
      <w:r>
        <w:rPr>
          <w:rFonts w:ascii="Amiri" w:hAnsi="Amiri" w:eastAsia="Amiri" w:cs="Amiri"/>
          <w:lang w:bidi="ar-SA"/>
          <w:color w:val="111111"/>
          <w:sz w:val="28"/>
          <w:szCs w:val="28"/>
          <w:rtl/>
        </w:rPr>
        <w:t xml:space="preserve">37 .اللباس المشكوك (رسالة في)، ج13،</w:t>
      </w:r>
    </w:p>
    <w:p>
      <w:pPr>
        <w:pStyle w:val="BookText"/>
      </w:pPr>
      <w:r>
        <w:rPr>
          <w:rFonts w:ascii="IRNazanin" w:hAnsi="IRNazanin" w:eastAsia="IRNazanin" w:cs="IRNazanin"/>
          <w:lang w:bidi="fa-IR"/>
          <w:color w:val="111111"/>
          <w:sz w:val="28"/>
          <w:szCs w:val="28"/>
          <w:rtl/>
        </w:rPr>
        <w:t xml:space="preserve">ص 553 .</w:t>
      </w:r>
    </w:p>
    <w:p>
      <w:pPr>
        <w:pStyle w:val="BookText"/>
      </w:pPr>
      <w:r>
        <w:rPr>
          <w:rFonts w:ascii="Amiri" w:hAnsi="Amiri" w:eastAsia="Amiri" w:cs="Amiri"/>
          <w:lang w:bidi="ar-SA"/>
          <w:color w:val="111111"/>
          <w:sz w:val="28"/>
          <w:szCs w:val="28"/>
          <w:rtl/>
        </w:rPr>
        <w:t xml:space="preserve">38 .مثنوي نون و دوغ، ج13، ص777. 1130 - 1216ه-</w:t>
      </w:r>
    </w:p>
    <w:p>
      <w:pPr>
        <w:pStyle w:val="BookText"/>
      </w:pPr>
      <w:r>
        <w:rPr>
          <w:rFonts w:ascii="Amiri" w:hAnsi="Amiri" w:eastAsia="Amiri" w:cs="Amiri"/>
          <w:lang w:bidi="ar-SA"/>
          <w:color w:val="111111"/>
          <w:sz w:val="28"/>
          <w:szCs w:val="28"/>
          <w:rtl/>
        </w:rPr>
        <w:t xml:space="preserve">39 .المراصد في شرح الفوائد، ج 14،</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Amiri" w:hAnsi="Amiri" w:eastAsia="Amiri" w:cs="Amiri"/>
          <w:lang w:bidi="ar-SA"/>
          <w:color w:val="111111"/>
          <w:sz w:val="28"/>
          <w:szCs w:val="28"/>
          <w:rtl/>
        </w:rPr>
        <w:t xml:space="preserve">40 .مسائل اصولية، ج 14 ، ص 435 .</w:t>
      </w:r>
    </w:p>
    <w:p>
      <w:pPr>
        <w:pStyle w:val="BookText"/>
      </w:pPr>
      <w:r>
        <w:rPr>
          <w:rFonts w:ascii="Amiri" w:hAnsi="Amiri" w:eastAsia="Amiri" w:cs="Amiri"/>
          <w:lang w:bidi="ar-SA"/>
          <w:color w:val="111111"/>
          <w:sz w:val="28"/>
          <w:szCs w:val="28"/>
          <w:rtl/>
        </w:rPr>
        <w:t xml:space="preserve">41 .مسألة الاعراض عن المال (رسالة</w:t>
      </w:r>
    </w:p>
    <w:p>
      <w:pPr>
        <w:pStyle w:val="BookText"/>
      </w:pPr>
      <w:r>
        <w:rPr>
          <w:rFonts w:ascii="Amiri" w:hAnsi="Amiri" w:eastAsia="Amiri" w:cs="Amiri"/>
          <w:lang w:bidi="ar-SA"/>
          <w:color w:val="111111"/>
          <w:sz w:val="28"/>
          <w:szCs w:val="28"/>
          <w:rtl/>
        </w:rPr>
        <w:t xml:space="preserve">في)، ج 14، ص536.</w:t>
      </w:r>
    </w:p>
    <w:p>
      <w:pPr>
        <w:pStyle w:val="BookText"/>
      </w:pPr>
      <w:r>
        <w:rPr>
          <w:rFonts w:ascii="Amiri" w:hAnsi="Amiri" w:eastAsia="Amiri" w:cs="Amiri"/>
          <w:lang w:bidi="ar-SA"/>
          <w:color w:val="111111"/>
          <w:sz w:val="28"/>
          <w:szCs w:val="28"/>
          <w:rtl/>
        </w:rPr>
        <w:t xml:space="preserve">42 .مشارع الاحكام، ج 14، ص 605.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المنطق (منظومة في) = منظومة</w:t>
      </w:r>
    </w:p>
    <w:p>
      <w:pPr>
        <w:pStyle w:val="BookText"/>
      </w:pPr>
      <w:r>
        <w:rPr>
          <w:rFonts w:ascii="Amiri" w:hAnsi="Amiri" w:eastAsia="Amiri" w:cs="Amiri"/>
          <w:lang w:bidi="ar-SA"/>
          <w:color w:val="111111"/>
          <w:sz w:val="28"/>
          <w:szCs w:val="28"/>
          <w:rtl/>
        </w:rPr>
        <w:t xml:space="preserve">في المنطق، ج 15، ص 698.</w:t>
      </w:r>
    </w:p>
    <w:p>
      <w:pPr>
        <w:pStyle w:val="BookText"/>
      </w:pPr>
      <w:r>
        <w:rPr>
          <w:rFonts w:ascii="IRNazanin" w:hAnsi="IRNazanin" w:eastAsia="IRNazanin" w:cs="IRNazanin"/>
          <w:lang w:bidi="fa-IR"/>
          <w:color w:val="111111"/>
          <w:sz w:val="28"/>
          <w:szCs w:val="28"/>
          <w:rtl/>
        </w:rPr>
        <w:t xml:space="preserve">44 .مواقع النجوم، ج 15، ص877.</w:t>
      </w:r>
    </w:p>
    <w:p>
      <w:pPr>
        <w:pStyle w:val="BookText"/>
      </w:pPr>
      <w:r>
        <w:rPr>
          <w:rFonts w:ascii="Amiri" w:hAnsi="Amiri" w:eastAsia="Amiri" w:cs="Amiri"/>
          <w:lang w:bidi="ar-SA"/>
          <w:color w:val="111111"/>
          <w:sz w:val="28"/>
          <w:szCs w:val="28"/>
          <w:rtl/>
        </w:rPr>
        <w:t xml:space="preserve">45 .نكاح المخالفين و طلاقهم، ج16،</w:t>
      </w:r>
    </w:p>
    <w:p>
      <w:pPr>
        <w:pStyle w:val="BookText"/>
      </w:pPr>
      <w:r>
        <w:rPr>
          <w:rFonts w:ascii="IRNazanin" w:hAnsi="IRNazanin" w:eastAsia="IRNazanin" w:cs="IRNazanin"/>
          <w:lang w:bidi="fa-IR"/>
          <w:color w:val="111111"/>
          <w:sz w:val="28"/>
          <w:szCs w:val="28"/>
          <w:rtl/>
        </w:rPr>
        <w:t xml:space="preserve">ص 460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النور المعين في اصول الدين ج 16،</w:t>
      </w:r>
    </w:p>
    <w:p>
      <w:pPr>
        <w:pStyle w:val="BookText"/>
      </w:pPr>
      <w:r>
        <w:rPr>
          <w:rFonts w:ascii="IRNazanin" w:hAnsi="IRNazanin" w:eastAsia="IRNazanin" w:cs="IRNazanin"/>
          <w:lang w:bidi="fa-IR"/>
          <w:color w:val="111111"/>
          <w:sz w:val="28"/>
          <w:szCs w:val="28"/>
          <w:rtl/>
        </w:rPr>
        <w:t xml:space="preserve">ص 568 .</w:t>
      </w:r>
    </w:p>
    <w:p>
      <w:pPr>
        <w:pStyle w:val="BookText"/>
      </w:pPr>
      <w:r>
        <w:rPr>
          <w:rFonts w:ascii="Amiri" w:hAnsi="Amiri" w:eastAsia="Amiri" w:cs="Amiri"/>
          <w:lang w:bidi="ar-SA"/>
          <w:color w:val="111111"/>
          <w:sz w:val="28"/>
          <w:szCs w:val="28"/>
          <w:rtl/>
        </w:rPr>
        <w:t xml:space="preserve">47 .هداية المستمد في شرح كفاية</w:t>
      </w:r>
    </w:p>
    <w:p>
      <w:pPr>
        <w:pStyle w:val="BookText"/>
      </w:pPr>
      <w:r>
        <w:rPr>
          <w:rFonts w:ascii="IRNazanin" w:hAnsi="IRNazanin" w:eastAsia="IRNazanin" w:cs="IRNazanin"/>
          <w:lang w:bidi="fa-IR"/>
          <w:color w:val="111111"/>
          <w:sz w:val="28"/>
          <w:szCs w:val="28"/>
          <w:rtl/>
        </w:rPr>
        <w:t xml:space="preserve">المستعضد، ج 16، ص 634.</w:t>
      </w:r>
    </w:p>
    <w:p>
      <w:pPr>
        <w:pStyle w:val="BookText"/>
      </w:pPr>
      <w:r>
        <w:rPr>
          <w:rFonts w:ascii="Amiri" w:hAnsi="Amiri" w:eastAsia="Amiri" w:cs="Amiri"/>
          <w:lang w:bidi="ar-SA"/>
          <w:color w:val="111111"/>
          <w:sz w:val="28"/>
          <w:szCs w:val="28"/>
          <w:rtl/>
        </w:rPr>
        <w:t xml:space="preserve">48 .الهندسة (كتاب في)، ج 16،</w:t>
      </w:r>
    </w:p>
    <w:p>
      <w:pPr>
        <w:pStyle w:val="BookText"/>
      </w:pPr>
      <w:r>
        <w:rPr>
          <w:rFonts w:ascii="IRNazanin" w:hAnsi="IRNazanin" w:eastAsia="IRNazanin" w:cs="IRNazanin"/>
          <w:lang w:bidi="fa-IR"/>
          <w:color w:val="111111"/>
          <w:sz w:val="28"/>
          <w:szCs w:val="28"/>
          <w:rtl/>
        </w:rPr>
        <w:t xml:space="preserve">ص 655 .</w:t>
      </w:r>
    </w:p>
    <w:p>
      <w:pPr>
        <w:pStyle w:val="BookText"/>
      </w:pPr>
      <w:r>
        <w:rPr>
          <w:rFonts w:ascii="Amiri" w:hAnsi="Amiri" w:eastAsia="Amiri" w:cs="Amiri"/>
          <w:lang w:bidi="ar-SA"/>
          <w:color w:val="111111"/>
          <w:sz w:val="28"/>
          <w:szCs w:val="28"/>
          <w:rtl/>
        </w:rPr>
        <w:t xml:space="preserve">49 .وقت صلاة المغرب (رسالة في)</w:t>
      </w:r>
    </w:p>
    <w:p>
      <w:pPr>
        <w:pStyle w:val="BookText"/>
      </w:pPr>
      <w:r>
        <w:rPr>
          <w:rFonts w:ascii="IRNazanin" w:hAnsi="IRNazanin" w:eastAsia="IRNazanin" w:cs="IRNazanin"/>
          <w:lang w:bidi="fa-IR"/>
          <w:color w:val="111111"/>
          <w:sz w:val="28"/>
          <w:szCs w:val="28"/>
          <w:rtl/>
        </w:rPr>
        <w:t xml:space="preserve">ج 16، ص 865.</w:t>
      </w:r>
    </w:p>
    <w:p>
      <w:pPr>
        <w:pStyle w:val="Heading2"/>
      </w:pPr>
      <w:bookmarkStart w:id="5233" w:name="_Toc4335"/>
      <w:r>
        <w:t>شهرستاني ، محمّد علي</w:t>
      </w:r>
      <w:bookmarkEnd w:id="5233"/>
    </w:p>
    <w:p>
      <w:pPr>
        <w:pStyle w:val="BookText"/>
      </w:pPr>
      <w:r>
        <w:rPr>
          <w:rFonts w:ascii="Amiri" w:hAnsi="Amiri" w:eastAsia="Amiri" w:cs="Amiri"/>
          <w:lang w:bidi="ar-SA"/>
          <w:color w:val="111111"/>
          <w:sz w:val="28"/>
          <w:szCs w:val="28"/>
          <w:rtl/>
        </w:rPr>
        <w:t xml:space="preserve">إجازة لولده السيد محمّد حسين الشهرستاني، ج1، ص292.</w:t>
      </w:r>
    </w:p>
    <w:p>
      <w:pPr>
        <w:pStyle w:val="BookText"/>
      </w:pPr>
      <w:r>
        <w:rPr>
          <w:rFonts w:ascii="Amiri" w:hAnsi="Amiri" w:eastAsia="Amiri" w:cs="Amiri"/>
          <w:lang w:bidi="ar-SA"/>
          <w:color w:val="111111"/>
          <w:sz w:val="28"/>
          <w:szCs w:val="28"/>
          <w:rtl/>
        </w:rPr>
        <w:t xml:space="preserve">شهرستاني ، محمّد علي بن حسين - شهرستاني ، هبة الدين</w:t>
      </w:r>
    </w:p>
    <w:p>
      <w:pPr>
        <w:pStyle w:val="Heading2"/>
      </w:pPr>
      <w:bookmarkStart w:id="5234" w:name="_Toc4336"/>
      <w:r>
        <w:t>شهرستاني ، محمّد علي بن محمّد حسين</w:t>
      </w:r>
      <w:bookmarkEnd w:id="523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1344 ه-</w:t>
      </w:r>
    </w:p>
    <w:p>
      <w:pPr>
        <w:pStyle w:val="BookText"/>
      </w:pPr>
      <w:r>
        <w:rPr>
          <w:rFonts w:ascii="Amiri" w:hAnsi="Amiri" w:eastAsia="Amiri" w:cs="Amiri"/>
          <w:lang w:bidi="ar-SA"/>
          <w:color w:val="111111"/>
          <w:sz w:val="28"/>
          <w:szCs w:val="28"/>
          <w:rtl/>
        </w:rPr>
        <w:t xml:space="preserve">التذكرة في شرح التبصرة، ج 4، ص 206.</w:t>
      </w:r>
    </w:p>
    <w:p>
      <w:pPr>
        <w:pStyle w:val="Heading2"/>
      </w:pPr>
      <w:bookmarkStart w:id="5235" w:name="_Toc4337"/>
      <w:r>
        <w:t>شهرستاني ، محمّد مهدي بن ابوالقاسم</w:t>
      </w:r>
      <w:bookmarkEnd w:id="5235"/>
    </w:p>
    <w:p>
      <w:pPr>
        <w:pStyle w:val="BookText"/>
      </w:pPr>
      <w:r>
        <w:rPr>
          <w:rFonts w:ascii="Amiri" w:hAnsi="Amiri" w:eastAsia="Amiri" w:cs="Amiri"/>
          <w:lang w:bidi="ar-SA"/>
          <w:color w:val="111111"/>
          <w:sz w:val="28"/>
          <w:szCs w:val="28"/>
          <w:rtl/>
        </w:rPr>
        <w:t xml:space="preserve">1 .إجازة رواية الحديث، ج 1، ص220.</w:t>
      </w:r>
    </w:p>
    <w:p>
      <w:pPr>
        <w:pStyle w:val="BookText"/>
      </w:pPr>
      <w:r>
        <w:rPr>
          <w:rFonts w:ascii="Amiri" w:hAnsi="Amiri" w:eastAsia="Amiri" w:cs="Amiri"/>
          <w:lang w:bidi="ar-SA"/>
          <w:color w:val="111111"/>
          <w:sz w:val="28"/>
          <w:szCs w:val="28"/>
          <w:rtl/>
        </w:rPr>
        <w:t xml:space="preserve">2 .مفتاح الجنة في مشكلات الكتاب و</w:t>
      </w:r>
    </w:p>
    <w:p>
      <w:pPr>
        <w:pStyle w:val="BookText"/>
      </w:pPr>
      <w:r>
        <w:rPr>
          <w:rFonts w:ascii="Amiri" w:hAnsi="Amiri" w:eastAsia="Amiri" w:cs="Amiri"/>
          <w:lang w:bidi="ar-SA"/>
          <w:color w:val="111111"/>
          <w:sz w:val="28"/>
          <w:szCs w:val="28"/>
          <w:rtl/>
        </w:rPr>
        <w:t xml:space="preserve">السنة، ج 15، ص 192.</w:t>
      </w:r>
    </w:p>
    <w:p>
      <w:pPr>
        <w:pStyle w:val="BookText"/>
      </w:pPr>
      <w:r>
        <w:rPr>
          <w:rFonts w:ascii="Amiri" w:hAnsi="Amiri" w:eastAsia="Amiri" w:cs="Amiri"/>
          <w:lang w:bidi="ar-SA"/>
          <w:color w:val="111111"/>
          <w:sz w:val="28"/>
          <w:szCs w:val="28"/>
          <w:rtl/>
        </w:rPr>
        <w:t xml:space="preserve">شهرستاني مرعشي ، محمّد علي بن محمّد</w:t>
      </w:r>
    </w:p>
    <w:p>
      <w:pPr>
        <w:pStyle w:val="BookText"/>
      </w:pPr>
      <w:r>
        <w:rPr>
          <w:rFonts w:ascii="Amiri" w:hAnsi="Amiri" w:eastAsia="Amiri" w:cs="Amiri"/>
          <w:lang w:bidi="ar-SA"/>
          <w:color w:val="111111"/>
          <w:sz w:val="28"/>
          <w:szCs w:val="28"/>
          <w:rtl/>
        </w:rPr>
        <w:t xml:space="preserve">حسين -شهرستاني ، محمّد علي بن محمّد</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شهرستاني موسوي، صالح بن ابراهيم - شهرستاني ، صالح بن ابراهيم</w:t>
      </w:r>
    </w:p>
    <w:p>
      <w:pPr>
        <w:pStyle w:val="Heading2"/>
      </w:pPr>
      <w:bookmarkStart w:id="5236" w:name="_Toc4338"/>
      <w:r>
        <w:t>شهرستاني ، هبة الدين، 1301 - 1386 ه-</w:t>
      </w:r>
      <w:bookmarkEnd w:id="5236"/>
    </w:p>
    <w:p>
      <w:pPr>
        <w:pStyle w:val="BookText"/>
      </w:pPr>
      <w:r>
        <w:rPr>
          <w:rFonts w:ascii="Amiri" w:hAnsi="Amiri" w:eastAsia="Amiri" w:cs="Amiri"/>
          <w:lang w:bidi="ar-SA"/>
          <w:color w:val="111111"/>
          <w:sz w:val="28"/>
          <w:szCs w:val="28"/>
          <w:rtl/>
        </w:rPr>
        <w:t xml:space="preserve">مواهب المشاهد في واجبات العقائد</w:t>
      </w:r>
    </w:p>
    <w:p>
      <w:pPr>
        <w:pStyle w:val="BookText"/>
      </w:pPr>
      <w:r>
        <w:rPr>
          <w:rFonts w:ascii="IRNazanin" w:hAnsi="IRNazanin" w:eastAsia="IRNazanin" w:cs="IRNazanin"/>
          <w:lang w:bidi="fa-IR"/>
          <w:color w:val="111111"/>
          <w:sz w:val="28"/>
          <w:szCs w:val="28"/>
          <w:rtl/>
        </w:rPr>
        <w:t xml:space="preserve">ج 15، ص 896.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36" w:name="pg7742_70623"/>
    <w:bookmarkEnd w:id="636"/>
    <w:p>
      <w:pPr>
        <w:pStyle w:val="BookText"/>
      </w:pPr>
      <w:r>
        <w:rPr>
          <w:rFonts w:ascii="Amiri" w:hAnsi="Amiri" w:eastAsia="Amiri" w:cs="Amiri"/>
          <w:lang w:bidi="ar-SA"/>
          <w:color w:val="111111"/>
          <w:sz w:val="28"/>
          <w:szCs w:val="28"/>
          <w:rtl/>
        </w:rPr>
        <w:t xml:space="preserve">شهرستاني ، هبة الدين محمّد علي بن</w:t>
      </w:r>
    </w:p>
    <w:p>
      <w:pPr>
        <w:pStyle w:val="BookText"/>
      </w:pPr>
      <w:r>
        <w:rPr>
          <w:rFonts w:ascii="Amiri" w:hAnsi="Amiri" w:eastAsia="Amiri" w:cs="Amiri"/>
          <w:lang w:bidi="ar-SA"/>
          <w:color w:val="111111"/>
          <w:sz w:val="28"/>
          <w:szCs w:val="28"/>
          <w:rtl/>
        </w:rPr>
        <w:t xml:space="preserve">حسين- شهرستاني ، هبة الدين</w:t>
      </w:r>
    </w:p>
    <w:p>
      <w:pPr>
        <w:pStyle w:val="BookText"/>
      </w:pPr>
      <w:r>
        <w:rPr>
          <w:rFonts w:ascii="Amiri" w:hAnsi="Amiri" w:eastAsia="Amiri" w:cs="Amiri"/>
          <w:lang w:bidi="ar-SA"/>
          <w:color w:val="111111"/>
          <w:sz w:val="28"/>
          <w:szCs w:val="28"/>
          <w:rtl/>
        </w:rPr>
        <w:t xml:space="preserve">شهرستاني يزدي ، علي بن محمّد -معين</w:t>
      </w:r>
    </w:p>
    <w:p>
      <w:pPr>
        <w:pStyle w:val="BookText"/>
      </w:pPr>
      <w:r>
        <w:rPr>
          <w:rFonts w:ascii="Amiri" w:hAnsi="Amiri" w:eastAsia="Amiri" w:cs="Amiri"/>
          <w:lang w:bidi="ar-SA"/>
          <w:color w:val="111111"/>
          <w:sz w:val="28"/>
          <w:szCs w:val="28"/>
          <w:rtl/>
        </w:rPr>
        <w:t xml:space="preserve">الدين يزدي ، علي بن محمّد</w:t>
      </w:r>
    </w:p>
    <w:p>
      <w:pPr>
        <w:pStyle w:val="BookText"/>
      </w:pPr>
      <w:r>
        <w:rPr>
          <w:rFonts w:ascii="IRNazanin" w:hAnsi="IRNazanin" w:eastAsia="IRNazanin" w:cs="IRNazanin"/>
          <w:lang w:bidi="fa-IR"/>
          <w:color w:val="111111"/>
          <w:sz w:val="28"/>
          <w:szCs w:val="28"/>
          <w:rtl/>
        </w:rPr>
        <w:t xml:space="preserve">شهریار بن محمّد يار بلخي- بلخي ،</w:t>
      </w:r>
    </w:p>
    <w:p>
      <w:pPr>
        <w:pStyle w:val="BookText"/>
      </w:pPr>
      <w:r>
        <w:rPr>
          <w:rFonts w:ascii="IRNazanin" w:hAnsi="IRNazanin" w:eastAsia="IRNazanin" w:cs="IRNazanin"/>
          <w:lang w:bidi="fa-IR"/>
          <w:color w:val="111111"/>
          <w:sz w:val="28"/>
          <w:szCs w:val="28"/>
          <w:rtl/>
        </w:rPr>
        <w:t xml:space="preserve">شهریار بن محمّد یار</w:t>
      </w:r>
    </w:p>
    <w:p>
      <w:pPr>
        <w:pStyle w:val="Heading2"/>
      </w:pPr>
      <w:bookmarkStart w:id="5237" w:name="_Toc4339"/>
      <w:r>
        <w:t>شهزوري ، محمّد بن علي بن حسن</w:t>
      </w:r>
      <w:bookmarkEnd w:id="5237"/>
    </w:p>
    <w:p>
      <w:pPr>
        <w:pStyle w:val="BookText"/>
      </w:pPr>
      <w:r>
        <w:rPr>
          <w:rFonts w:ascii="Amiri" w:hAnsi="Amiri" w:eastAsia="Amiri" w:cs="Amiri"/>
          <w:lang w:bidi="ar-SA"/>
          <w:color w:val="111111"/>
          <w:sz w:val="28"/>
          <w:szCs w:val="28"/>
          <w:rtl/>
        </w:rPr>
        <w:t xml:space="preserve">الشرح الشافي لكتاب الكافي في الحساب، ج 9، ص 614.</w:t>
      </w:r>
    </w:p>
    <w:p>
      <w:pPr>
        <w:pStyle w:val="BookText"/>
      </w:pPr>
      <w:r>
        <w:rPr>
          <w:rFonts w:ascii="Amiri" w:hAnsi="Amiri" w:eastAsia="Amiri" w:cs="Amiri"/>
          <w:lang w:bidi="ar-SA"/>
          <w:color w:val="111111"/>
          <w:sz w:val="28"/>
          <w:szCs w:val="28"/>
          <w:rtl/>
        </w:rPr>
        <w:t xml:space="preserve">شهشهاني ، محمّد بن عبدالصمد- حسيني</w:t>
      </w:r>
    </w:p>
    <w:p>
      <w:pPr>
        <w:pStyle w:val="BookText"/>
      </w:pPr>
      <w:r>
        <w:rPr>
          <w:rFonts w:ascii="Amiri" w:hAnsi="Amiri" w:eastAsia="Amiri" w:cs="Amiri"/>
          <w:lang w:bidi="ar-SA"/>
          <w:color w:val="111111"/>
          <w:sz w:val="28"/>
          <w:szCs w:val="28"/>
          <w:rtl/>
        </w:rPr>
        <w:t xml:space="preserve">شهشهاني ، محمّد بن عبدالصمد</w:t>
      </w:r>
    </w:p>
    <w:p>
      <w:pPr>
        <w:pStyle w:val="BookText"/>
      </w:pPr>
      <w:r>
        <w:rPr>
          <w:rFonts w:ascii="Amiri" w:hAnsi="Amiri" w:eastAsia="Amiri" w:cs="Amiri"/>
          <w:lang w:bidi="ar-SA"/>
          <w:color w:val="111111"/>
          <w:sz w:val="28"/>
          <w:szCs w:val="28"/>
          <w:rtl/>
        </w:rPr>
        <w:t xml:space="preserve">شهميرزادي ، محمّد شريف بن شهاب الدين-</w:t>
      </w:r>
    </w:p>
    <w:p>
      <w:pPr>
        <w:pStyle w:val="BookText"/>
      </w:pPr>
      <w:r>
        <w:rPr>
          <w:rFonts w:ascii="IRNazanin" w:hAnsi="IRNazanin" w:eastAsia="IRNazanin" w:cs="IRNazanin"/>
          <w:lang w:bidi="fa-IR"/>
          <w:color w:val="111111"/>
          <w:sz w:val="28"/>
          <w:szCs w:val="28"/>
          <w:rtl/>
        </w:rPr>
        <w:t xml:space="preserve">شهميرزادي ، محمّد شریف بن محمّد</w:t>
      </w:r>
    </w:p>
    <w:p>
      <w:pPr>
        <w:pStyle w:val="BookText"/>
      </w:pPr>
      <w:r>
        <w:rPr>
          <w:rFonts w:ascii="IRNazanin" w:hAnsi="IRNazanin" w:eastAsia="IRNazanin" w:cs="IRNazanin"/>
          <w:lang w:bidi="fa-IR"/>
          <w:color w:val="111111"/>
          <w:sz w:val="28"/>
          <w:szCs w:val="28"/>
          <w:rtl/>
        </w:rPr>
        <w:t xml:space="preserve">صالح</w:t>
      </w:r>
    </w:p>
    <w:p>
      <w:pPr>
        <w:pStyle w:val="Heading2"/>
      </w:pPr>
      <w:bookmarkStart w:id="5238" w:name="_Toc4340"/>
      <w:r>
        <w:t>شهميرزادي ، محمّد شریف بن محمّد</w:t>
      </w:r>
      <w:bookmarkEnd w:id="5238"/>
    </w:p>
    <w:p>
      <w:pPr>
        <w:pStyle w:val="BookText"/>
      </w:pPr>
      <w:r>
        <w:rPr>
          <w:rFonts w:ascii="IRNazanin" w:hAnsi="IRNazanin" w:eastAsia="IRNazanin" w:cs="IRNazanin"/>
          <w:lang w:bidi="fa-IR"/>
          <w:color w:val="111111"/>
          <w:sz w:val="28"/>
          <w:szCs w:val="28"/>
          <w:rtl/>
        </w:rPr>
        <w:t xml:space="preserve">،صالح قرن 12 ه-</w:t>
      </w:r>
    </w:p>
    <w:p>
      <w:pPr>
        <w:pStyle w:val="BookText"/>
      </w:pPr>
      <w:r>
        <w:rPr>
          <w:rFonts w:ascii="Amiri" w:hAnsi="Amiri" w:eastAsia="Amiri" w:cs="Amiri"/>
          <w:lang w:bidi="ar-SA"/>
          <w:color w:val="111111"/>
          <w:sz w:val="28"/>
          <w:szCs w:val="28"/>
          <w:rtl/>
        </w:rPr>
        <w:t xml:space="preserve">هادي النجاة من جميع المهلكات في احاديث الائمة الهداة، ج 16، ص 587.</w:t>
      </w:r>
    </w:p>
    <w:p>
      <w:pPr>
        <w:pStyle w:val="Heading2"/>
      </w:pPr>
      <w:bookmarkStart w:id="5239" w:name="_Toc4341"/>
      <w:r>
        <w:t>شهودي ، محمّد - 1126 .</w:t>
      </w:r>
      <w:bookmarkEnd w:id="5239"/>
    </w:p>
    <w:p>
      <w:pPr>
        <w:pStyle w:val="BookText"/>
      </w:pPr>
      <w:r>
        <w:rPr>
          <w:rFonts w:ascii="IRNazanin" w:hAnsi="IRNazanin" w:eastAsia="IRNazanin" w:cs="IRNazanin"/>
          <w:lang w:bidi="fa-IR"/>
          <w:color w:val="111111"/>
          <w:sz w:val="28"/>
          <w:szCs w:val="28"/>
          <w:rtl/>
        </w:rPr>
        <w:t xml:space="preserve">کلیات دیوان شهودي، ج13، ص383.</w:t>
      </w:r>
    </w:p>
    <w:p>
      <w:pPr>
        <w:pStyle w:val="Heading2"/>
      </w:pPr>
      <w:bookmarkStart w:id="5240" w:name="_Toc4342"/>
      <w:r>
        <w:t>شهید اول ، محمّد بن مكي، 734 - 786</w:t>
      </w:r>
      <w:bookmarkEnd w:id="5240"/>
    </w:p>
    <w:p>
      <w:pPr>
        <w:pStyle w:val="BookText"/>
      </w:pPr>
      <w:r>
        <w:rPr>
          <w:rFonts w:ascii="Amiri" w:hAnsi="Amiri" w:eastAsia="Amiri" w:cs="Amiri"/>
          <w:lang w:bidi="ar-SA"/>
          <w:color w:val="111111"/>
          <w:sz w:val="28"/>
          <w:szCs w:val="28"/>
          <w:rtl/>
        </w:rPr>
        <w:t xml:space="preserve">1 .اجازة لابي الحسن، ج1، ص230.</w:t>
      </w:r>
    </w:p>
    <w:p>
      <w:pPr>
        <w:pStyle w:val="BookText"/>
      </w:pPr>
      <w:r>
        <w:rPr>
          <w:rFonts w:ascii="Amiri" w:hAnsi="Amiri" w:eastAsia="Amiri" w:cs="Amiri"/>
          <w:lang w:bidi="ar-SA"/>
          <w:color w:val="111111"/>
          <w:sz w:val="28"/>
          <w:szCs w:val="28"/>
          <w:rtl/>
        </w:rPr>
        <w:t xml:space="preserve">2 .اجوبة مسائل محمّد بن مجاهد</w:t>
      </w:r>
    </w:p>
    <w:p>
      <w:pPr>
        <w:pStyle w:val="BookText"/>
      </w:pPr>
      <w:r>
        <w:rPr>
          <w:rFonts w:ascii="IRNazanin" w:hAnsi="IRNazanin" w:eastAsia="IRNazanin" w:cs="IRNazanin"/>
          <w:lang w:bidi="fa-IR"/>
          <w:color w:val="111111"/>
          <w:sz w:val="28"/>
          <w:szCs w:val="28"/>
          <w:rtl/>
        </w:rPr>
        <w:t xml:space="preserve">ج 1، ص 369.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احكام الاموات، ج 1، ص 456 .</w:t>
      </w:r>
    </w:p>
    <w:p>
      <w:pPr>
        <w:pStyle w:val="BookText"/>
      </w:pPr>
      <w:r>
        <w:rPr>
          <w:rFonts w:ascii="Amiri" w:hAnsi="Amiri" w:eastAsia="Amiri" w:cs="Amiri"/>
          <w:lang w:bidi="ar-SA"/>
          <w:color w:val="111111"/>
          <w:sz w:val="28"/>
          <w:szCs w:val="28"/>
          <w:rtl/>
        </w:rPr>
        <w:t xml:space="preserve">4 .الاربعون حديثاً = اربعين حديث</w:t>
      </w:r>
    </w:p>
    <w:p>
      <w:pPr>
        <w:pStyle w:val="BookText"/>
      </w:pPr>
      <w:r>
        <w:rPr>
          <w:rFonts w:ascii="IRNazanin" w:hAnsi="IRNazanin" w:eastAsia="IRNazanin" w:cs="IRNazanin"/>
          <w:lang w:bidi="fa-IR"/>
          <w:color w:val="111111"/>
          <w:sz w:val="28"/>
          <w:szCs w:val="28"/>
          <w:rtl/>
        </w:rPr>
        <w:t xml:space="preserve">ج 1، ص 693.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الاربعون حديثاً في فضل امير</w:t>
      </w:r>
    </w:p>
    <w:p>
      <w:pPr>
        <w:pStyle w:val="BookText"/>
      </w:pPr>
      <w:r>
        <w:rPr>
          <w:rFonts w:ascii="Amiri" w:hAnsi="Amiri" w:eastAsia="Amiri" w:cs="Amiri"/>
          <w:lang w:bidi="ar-SA"/>
          <w:color w:val="111111"/>
          <w:sz w:val="28"/>
          <w:szCs w:val="28"/>
          <w:rtl/>
        </w:rPr>
        <w:t xml:space="preserve">المؤمنين (ع)، ج1، ص729.</w:t>
      </w:r>
    </w:p>
    <w:p>
      <w:pPr>
        <w:pStyle w:val="BookText"/>
      </w:pPr>
      <w:r>
        <w:rPr>
          <w:rFonts w:ascii="Amiri" w:hAnsi="Amiri" w:eastAsia="Amiri" w:cs="Amiri"/>
          <w:lang w:bidi="ar-SA"/>
          <w:color w:val="111111"/>
          <w:sz w:val="28"/>
          <w:szCs w:val="28"/>
          <w:rtl/>
        </w:rPr>
        <w:t xml:space="preserve">6 .ارض الخراب (رسالة في)، ج2،</w:t>
      </w:r>
    </w:p>
    <w:p>
      <w:pPr>
        <w:pStyle w:val="BookText"/>
      </w:pPr>
      <w:r>
        <w:rPr>
          <w:rFonts w:ascii="IRNazanin" w:hAnsi="IRNazanin" w:eastAsia="IRNazanin" w:cs="IRNazanin"/>
          <w:lang w:bidi="fa-IR"/>
          <w:color w:val="111111"/>
          <w:sz w:val="28"/>
          <w:szCs w:val="28"/>
          <w:rtl/>
        </w:rPr>
        <w:t xml:space="preserve">ص 56 .</w:t>
      </w:r>
    </w:p>
    <w:p>
      <w:pPr>
        <w:pStyle w:val="BookText"/>
      </w:pPr>
      <w:r>
        <w:rPr>
          <w:rFonts w:ascii="Amiri" w:hAnsi="Amiri" w:eastAsia="Amiri" w:cs="Amiri"/>
          <w:lang w:bidi="ar-SA"/>
          <w:color w:val="111111"/>
          <w:sz w:val="28"/>
          <w:szCs w:val="28"/>
          <w:rtl/>
        </w:rPr>
        <w:t xml:space="preserve">7 .الالفية في فقه الصلاة اليومية =</w:t>
      </w:r>
    </w:p>
    <w:p>
      <w:pPr>
        <w:pStyle w:val="BookText"/>
      </w:pPr>
      <w:r>
        <w:rPr>
          <w:rFonts w:ascii="Amiri" w:hAnsi="Amiri" w:eastAsia="Amiri" w:cs="Amiri"/>
          <w:lang w:bidi="ar-SA"/>
          <w:color w:val="111111"/>
          <w:sz w:val="28"/>
          <w:szCs w:val="28"/>
          <w:rtl/>
        </w:rPr>
        <w:t xml:space="preserve">الفيه، ج 2، ص 687 .</w:t>
      </w:r>
    </w:p>
    <w:p>
      <w:pPr>
        <w:pStyle w:val="BookText"/>
      </w:pPr>
      <w:r>
        <w:rPr>
          <w:rFonts w:ascii="Amiri" w:hAnsi="Amiri" w:eastAsia="Amiri" w:cs="Amiri"/>
          <w:lang w:bidi="ar-SA"/>
          <w:color w:val="111111"/>
          <w:sz w:val="28"/>
          <w:szCs w:val="28"/>
          <w:rtl/>
        </w:rPr>
        <w:t xml:space="preserve">8 .البيان في الفقه، ج 3، ص 480 .</w:t>
      </w:r>
    </w:p>
    <w:p>
      <w:pPr>
        <w:pStyle w:val="BookText"/>
      </w:pPr>
      <w:r>
        <w:rPr>
          <w:rFonts w:ascii="Amiri" w:hAnsi="Amiri" w:eastAsia="Amiri" w:cs="Amiri"/>
          <w:lang w:bidi="ar-SA"/>
          <w:color w:val="111111"/>
          <w:sz w:val="28"/>
          <w:szCs w:val="28"/>
          <w:rtl/>
        </w:rPr>
        <w:t xml:space="preserve">9 .التكليفية = المقالة التكليفية، ج 4،</w:t>
      </w:r>
    </w:p>
    <w:p>
      <w:pPr>
        <w:pStyle w:val="BookText"/>
      </w:pPr>
      <w:r>
        <w:rPr>
          <w:rFonts w:ascii="IRNazanin" w:hAnsi="IRNazanin" w:eastAsia="IRNazanin" w:cs="IRNazanin"/>
          <w:lang w:bidi="fa-IR"/>
          <w:color w:val="111111"/>
          <w:sz w:val="28"/>
          <w:szCs w:val="28"/>
          <w:rtl/>
        </w:rPr>
        <w:t xml:space="preserve">ص 811</w:t>
      </w:r>
    </w:p>
    <w:p>
      <w:pPr>
        <w:pStyle w:val="BookText"/>
      </w:pPr>
      <w:r>
        <w:rPr>
          <w:rFonts w:ascii="Amiri" w:hAnsi="Amiri" w:eastAsia="Amiri" w:cs="Amiri"/>
          <w:lang w:bidi="ar-SA"/>
          <w:color w:val="111111"/>
          <w:sz w:val="28"/>
          <w:szCs w:val="28"/>
          <w:rtl/>
        </w:rPr>
        <w:t xml:space="preserve">10 .جامع البين من فوائد الشرحين</w:t>
      </w:r>
    </w:p>
    <w:p>
      <w:pPr>
        <w:pStyle w:val="BookText"/>
      </w:pPr>
      <w:r>
        <w:rPr>
          <w:rFonts w:ascii="IRNazanin" w:hAnsi="IRNazanin" w:eastAsia="IRNazanin" w:cs="IRNazanin"/>
          <w:lang w:bidi="fa-IR"/>
          <w:color w:val="111111"/>
          <w:sz w:val="28"/>
          <w:szCs w:val="28"/>
          <w:rtl/>
        </w:rPr>
        <w:t xml:space="preserve">ج 5 ، ص 256 .</w:t>
      </w:r>
    </w:p>
    <w:p>
      <w:pPr>
        <w:pStyle w:val="BookText"/>
      </w:pPr>
      <w:r>
        <w:rPr>
          <w:rFonts w:ascii="Amiri" w:hAnsi="Amiri" w:eastAsia="Amiri" w:cs="Amiri"/>
          <w:lang w:bidi="ar-SA"/>
          <w:color w:val="111111"/>
          <w:sz w:val="28"/>
          <w:szCs w:val="28"/>
          <w:rtl/>
        </w:rPr>
        <w:t xml:space="preserve">11 .جامع الدين من فوائد الشرحين</w:t>
      </w:r>
    </w:p>
    <w:p>
      <w:pPr>
        <w:pStyle w:val="BookText"/>
      </w:pPr>
      <w:r>
        <w:rPr>
          <w:rFonts w:ascii="IRNazanin" w:hAnsi="IRNazanin" w:eastAsia="IRNazanin" w:cs="IRNazanin"/>
          <w:lang w:bidi="fa-IR"/>
          <w:color w:val="111111"/>
          <w:sz w:val="28"/>
          <w:szCs w:val="28"/>
          <w:rtl/>
        </w:rPr>
        <w:t xml:space="preserve">ج 5، ص 266.</w:t>
      </w:r>
    </w:p>
    <w:p>
      <w:pPr>
        <w:pStyle w:val="BookText"/>
      </w:pPr>
      <w:r>
        <w:rPr>
          <w:rFonts w:ascii="Amiri" w:hAnsi="Amiri" w:eastAsia="Amiri" w:cs="Amiri"/>
          <w:lang w:bidi="ar-SA"/>
          <w:color w:val="111111"/>
          <w:sz w:val="28"/>
          <w:szCs w:val="28"/>
          <w:rtl/>
        </w:rPr>
        <w:t xml:space="preserve">12 .جواز السفر في شهر رمضان</w:t>
      </w:r>
    </w:p>
    <w:p>
      <w:pPr>
        <w:pStyle w:val="BookText"/>
      </w:pPr>
      <w:r>
        <w:rPr>
          <w:rFonts w:ascii="IRNazanin" w:hAnsi="IRNazanin" w:eastAsia="IRNazanin" w:cs="IRNazanin"/>
          <w:lang w:bidi="fa-IR"/>
          <w:color w:val="111111"/>
          <w:sz w:val="28"/>
          <w:szCs w:val="28"/>
          <w:rtl/>
        </w:rPr>
        <w:t xml:space="preserve">اعتباطا، ج 5، ص 517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الدرة الباهرة من الاصداف الطاهرة، ج 7، ص222.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الدروس الشرعية في فقه الامامية</w:t>
      </w:r>
    </w:p>
    <w:p>
      <w:pPr>
        <w:pStyle w:val="BookText"/>
      </w:pPr>
      <w:r>
        <w:rPr>
          <w:rFonts w:ascii="IRNazanin" w:hAnsi="IRNazanin" w:eastAsia="IRNazanin" w:cs="IRNazanin"/>
          <w:lang w:bidi="fa-IR"/>
          <w:color w:val="111111"/>
          <w:sz w:val="28"/>
          <w:szCs w:val="28"/>
          <w:rtl/>
        </w:rPr>
        <w:t xml:space="preserve">ج 7، ص370.</w:t>
      </w:r>
    </w:p>
    <w:p>
      <w:pPr>
        <w:pStyle w:val="BookText"/>
      </w:pPr>
      <w:r>
        <w:rPr>
          <w:rFonts w:ascii="Amiri" w:hAnsi="Amiri" w:eastAsia="Amiri" w:cs="Amiri"/>
          <w:lang w:bidi="ar-SA"/>
          <w:color w:val="111111"/>
          <w:sz w:val="28"/>
          <w:szCs w:val="28"/>
          <w:rtl/>
        </w:rPr>
        <w:t xml:space="preserve">15 .ذكري الشيعة في احكام الشريعة</w:t>
      </w:r>
    </w:p>
    <w:p>
      <w:pPr>
        <w:pStyle w:val="BookText"/>
      </w:pPr>
      <w:r>
        <w:rPr>
          <w:rFonts w:ascii="IRNazanin" w:hAnsi="IRNazanin" w:eastAsia="IRNazanin" w:cs="IRNazanin"/>
          <w:lang w:bidi="fa-IR"/>
          <w:color w:val="111111"/>
          <w:sz w:val="28"/>
          <w:szCs w:val="28"/>
          <w:rtl/>
        </w:rPr>
        <w:t xml:space="preserve">ج 7، ص 860.</w:t>
      </w:r>
    </w:p>
    <w:p>
      <w:pPr>
        <w:pStyle w:val="BookText"/>
      </w:pPr>
      <w:r>
        <w:rPr>
          <w:rFonts w:ascii="Amiri" w:hAnsi="Amiri" w:eastAsia="Amiri" w:cs="Amiri"/>
          <w:lang w:bidi="ar-SA"/>
          <w:color w:val="111111"/>
          <w:sz w:val="28"/>
          <w:szCs w:val="28"/>
          <w:rtl/>
        </w:rPr>
        <w:t xml:space="preserve">16 . الصلاة (رسالة في)، ج 10، ص 583.</w:t>
      </w:r>
    </w:p>
    <w:p>
      <w:pPr>
        <w:pStyle w:val="BookText"/>
      </w:pPr>
      <w:r>
        <w:rPr>
          <w:rFonts w:ascii="Amiri" w:hAnsi="Amiri" w:eastAsia="Amiri" w:cs="Amiri"/>
          <w:lang w:bidi="ar-SA"/>
          <w:color w:val="111111"/>
          <w:sz w:val="28"/>
          <w:szCs w:val="28"/>
          <w:rtl/>
        </w:rPr>
        <w:t xml:space="preserve">17 .غاية المراد في شرح نكت الارشاد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الارشاد = غاية المراد في شرح الارشاد = نكت الارشاد ج 11، ص 447.</w:t>
      </w:r>
    </w:p>
    <w:p>
      <w:pPr>
        <w:pStyle w:val="BookText"/>
      </w:pPr>
      <w:r>
        <w:rPr>
          <w:rFonts w:ascii="Amiri" w:hAnsi="Amiri" w:eastAsia="Amiri" w:cs="Amiri"/>
          <w:lang w:bidi="ar-SA"/>
          <w:color w:val="111111"/>
          <w:sz w:val="28"/>
          <w:szCs w:val="28"/>
          <w:rtl/>
        </w:rPr>
        <w:t xml:space="preserve">18 .قواعد الاحكام، ج 12، ص 774.</w:t>
      </w:r>
    </w:p>
    <w:p>
      <w:pPr>
        <w:pStyle w:val="BookText"/>
      </w:pPr>
      <w:r>
        <w:rPr>
          <w:rFonts w:ascii="Amiri" w:hAnsi="Amiri" w:eastAsia="Amiri" w:cs="Amiri"/>
          <w:lang w:bidi="ar-SA"/>
          <w:color w:val="111111"/>
          <w:sz w:val="28"/>
          <w:szCs w:val="28"/>
          <w:rtl/>
        </w:rPr>
        <w:t xml:space="preserve">19 .القواعد والفوائد = القواعد الاصولية والفرعية = قواعد شهيد</w:t>
      </w:r>
    </w:p>
    <w:p>
      <w:pPr>
        <w:pStyle w:val="BookText"/>
      </w:pPr>
      <w:r>
        <w:rPr>
          <w:rFonts w:ascii="IRNazanin" w:hAnsi="IRNazanin" w:eastAsia="IRNazanin" w:cs="IRNazanin"/>
          <w:lang w:bidi="fa-IR"/>
          <w:color w:val="111111"/>
          <w:sz w:val="28"/>
          <w:szCs w:val="28"/>
          <w:rtl/>
        </w:rPr>
        <w:t xml:space="preserve">ج 12، ص 813.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37" w:name="pg7742_70624"/>
    <w:bookmarkEnd w:id="637"/>
    <w:p>
      <w:pPr>
        <w:pStyle w:val="BookText"/>
      </w:pPr>
      <w:r>
        <w:rPr>
          <w:rFonts w:ascii="Amiri" w:hAnsi="Amiri" w:eastAsia="Amiri" w:cs="Amiri"/>
          <w:lang w:bidi="ar-SA"/>
          <w:color w:val="111111"/>
          <w:sz w:val="28"/>
          <w:szCs w:val="28"/>
          <w:rtl/>
        </w:rPr>
        <w:t xml:space="preserve">20 .اللمعة الدمشقية في فقه الامامية</w:t>
      </w:r>
    </w:p>
    <w:p>
      <w:pPr>
        <w:pStyle w:val="BookText"/>
      </w:pPr>
      <w:r>
        <w:rPr>
          <w:rFonts w:ascii="IRNazanin" w:hAnsi="IRNazanin" w:eastAsia="IRNazanin" w:cs="IRNazanin"/>
          <w:lang w:bidi="fa-IR"/>
          <w:color w:val="111111"/>
          <w:sz w:val="28"/>
          <w:szCs w:val="28"/>
          <w:rtl/>
        </w:rPr>
        <w:t xml:space="preserve">= لمعه، ج13، ص 619.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مختصر اصل علاء بن رزين الدين</w:t>
      </w:r>
    </w:p>
    <w:p>
      <w:pPr>
        <w:pStyle w:val="BookText"/>
      </w:pPr>
      <w:r>
        <w:rPr>
          <w:rFonts w:ascii="Amiri" w:hAnsi="Amiri" w:eastAsia="Amiri" w:cs="Amiri"/>
          <w:lang w:bidi="ar-SA"/>
          <w:color w:val="111111"/>
          <w:sz w:val="28"/>
          <w:szCs w:val="28"/>
          <w:rtl/>
        </w:rPr>
        <w:t xml:space="preserve">القلا الثقفي، ج 14، ص 172.</w:t>
      </w:r>
    </w:p>
    <w:p>
      <w:pPr>
        <w:pStyle w:val="BookText"/>
      </w:pPr>
      <w:r>
        <w:rPr>
          <w:rFonts w:ascii="IRNazanin" w:hAnsi="IRNazanin" w:eastAsia="IRNazanin" w:cs="IRNazanin"/>
          <w:lang w:bidi="fa-IR"/>
          <w:color w:val="111111"/>
          <w:sz w:val="28"/>
          <w:szCs w:val="28"/>
          <w:rtl/>
        </w:rPr>
        <w:t xml:space="preserve">22 .مزار = زیارت نامه ج 14، ص 417</w:t>
      </w:r>
    </w:p>
    <w:p>
      <w:pPr>
        <w:pStyle w:val="BookText"/>
      </w:pPr>
      <w:r>
        <w:rPr>
          <w:rFonts w:ascii="Amiri" w:hAnsi="Amiri" w:eastAsia="Amiri" w:cs="Amiri"/>
          <w:lang w:bidi="ar-SA"/>
          <w:color w:val="111111"/>
          <w:sz w:val="28"/>
          <w:szCs w:val="28"/>
          <w:rtl/>
        </w:rPr>
        <w:t xml:space="preserve">23 .مسائل الأربعون الكلامية، ج 14،</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Amiri" w:hAnsi="Amiri" w:eastAsia="Amiri" w:cs="Amiri"/>
          <w:lang w:bidi="ar-SA"/>
          <w:color w:val="111111"/>
          <w:sz w:val="28"/>
          <w:szCs w:val="28"/>
          <w:rtl/>
        </w:rPr>
        <w:t xml:space="preserve">24 .مسألة ميراثية، ج 14، ص 547.</w:t>
      </w:r>
    </w:p>
    <w:p>
      <w:pPr>
        <w:pStyle w:val="BookText"/>
      </w:pPr>
      <w:r>
        <w:rPr>
          <w:rFonts w:ascii="Amiri" w:hAnsi="Amiri" w:eastAsia="Amiri" w:cs="Amiri"/>
          <w:lang w:bidi="ar-SA"/>
          <w:color w:val="111111"/>
          <w:sz w:val="28"/>
          <w:szCs w:val="28"/>
          <w:rtl/>
        </w:rPr>
        <w:t xml:space="preserve">25 .النفلية في مستحبات الصلاة، ج 16،</w:t>
      </w:r>
    </w:p>
    <w:p>
      <w:pPr>
        <w:pStyle w:val="BookText"/>
      </w:pPr>
      <w:r>
        <w:rPr>
          <w:rFonts w:ascii="IRNazanin" w:hAnsi="IRNazanin" w:eastAsia="IRNazanin" w:cs="IRNazanin"/>
          <w:lang w:bidi="fa-IR"/>
          <w:color w:val="111111"/>
          <w:sz w:val="28"/>
          <w:szCs w:val="28"/>
          <w:rtl/>
        </w:rPr>
        <w:t xml:space="preserve">ص 405.</w:t>
      </w:r>
    </w:p>
    <w:p>
      <w:pPr>
        <w:pStyle w:val="Heading2"/>
      </w:pPr>
      <w:bookmarkStart w:id="5241" w:name="_Toc4343"/>
      <w:r>
        <w:t>شهيد ثاني، زين الدين بن علي 911 -</w:t>
      </w:r>
      <w:bookmarkEnd w:id="5241"/>
    </w:p>
    <w:p>
      <w:pPr>
        <w:pStyle w:val="BookText"/>
      </w:pPr>
      <w:r>
        <w:rPr>
          <w:rFonts w:ascii="IRNazanin" w:hAnsi="IRNazanin" w:eastAsia="IRNazanin" w:cs="IRNazanin"/>
          <w:lang w:bidi="fa-IR"/>
          <w:color w:val="111111"/>
          <w:sz w:val="28"/>
          <w:szCs w:val="28"/>
          <w:rtl/>
        </w:rPr>
        <w:t xml:space="preserve">965 ه-</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Amiri" w:hAnsi="Amiri" w:eastAsia="Amiri" w:cs="Amiri"/>
          <w:lang w:bidi="ar-SA"/>
          <w:color w:val="111111"/>
          <w:sz w:val="28"/>
          <w:szCs w:val="28"/>
          <w:rtl/>
        </w:rPr>
        <w:t xml:space="preserve">1 .اجازة لتاج الدين بن هلال</w:t>
      </w:r>
    </w:p>
    <w:p>
      <w:pPr>
        <w:pStyle w:val="BookText"/>
      </w:pPr>
      <w:r>
        <w:rPr>
          <w:rFonts w:ascii="Amiri" w:hAnsi="Amiri" w:eastAsia="Amiri" w:cs="Amiri"/>
          <w:lang w:bidi="ar-SA"/>
          <w:color w:val="111111"/>
          <w:sz w:val="28"/>
          <w:szCs w:val="28"/>
          <w:rtl/>
        </w:rPr>
        <w:t xml:space="preserve">جزايري، ج 1، ص233</w:t>
      </w:r>
    </w:p>
    <w:p>
      <w:pPr>
        <w:pStyle w:val="BookText"/>
      </w:pPr>
      <w:r>
        <w:rPr>
          <w:rFonts w:ascii="Amiri" w:hAnsi="Amiri" w:eastAsia="Amiri" w:cs="Amiri"/>
          <w:lang w:bidi="ar-SA"/>
          <w:color w:val="111111"/>
          <w:sz w:val="28"/>
          <w:szCs w:val="28"/>
          <w:rtl/>
        </w:rPr>
        <w:t xml:space="preserve">2 .اجازة لحسين بن عبدالصمد العاملي</w:t>
      </w:r>
    </w:p>
    <w:p>
      <w:pPr>
        <w:pStyle w:val="BookText"/>
      </w:pPr>
      <w:r>
        <w:rPr>
          <w:rFonts w:ascii="IRNazanin" w:hAnsi="IRNazanin" w:eastAsia="IRNazanin" w:cs="IRNazanin"/>
          <w:lang w:bidi="fa-IR"/>
          <w:color w:val="111111"/>
          <w:sz w:val="28"/>
          <w:szCs w:val="28"/>
          <w:rtl/>
        </w:rPr>
        <w:t xml:space="preserve">(الأولى)، ج 1، ص 241.</w:t>
      </w:r>
    </w:p>
    <w:p>
      <w:pPr>
        <w:pStyle w:val="BookText"/>
      </w:pPr>
      <w:r>
        <w:rPr>
          <w:rFonts w:ascii="Amiri" w:hAnsi="Amiri" w:eastAsia="Amiri" w:cs="Amiri"/>
          <w:lang w:bidi="ar-SA"/>
          <w:color w:val="111111"/>
          <w:sz w:val="28"/>
          <w:szCs w:val="28"/>
          <w:rtl/>
        </w:rPr>
        <w:t xml:space="preserve">3 .اجازة للشيخ الجباعي، ج 1 ، ص 264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إجازة للشيخ حسن بن الشيخ</w:t>
      </w:r>
    </w:p>
    <w:p>
      <w:pPr>
        <w:pStyle w:val="BookText"/>
      </w:pPr>
      <w:r>
        <w:rPr>
          <w:rFonts w:ascii="Amiri" w:hAnsi="Amiri" w:eastAsia="Amiri" w:cs="Amiri"/>
          <w:lang w:bidi="ar-SA"/>
          <w:color w:val="111111"/>
          <w:sz w:val="28"/>
          <w:szCs w:val="28"/>
          <w:rtl/>
        </w:rPr>
        <w:t xml:space="preserve">عباس بن الشيخ محمّد علي البلاغي العامي النجفي، ج 1،</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Amiri" w:hAnsi="Amiri" w:eastAsia="Amiri" w:cs="Amiri"/>
          <w:lang w:bidi="ar-SA"/>
          <w:color w:val="111111"/>
          <w:sz w:val="28"/>
          <w:szCs w:val="28"/>
          <w:rtl/>
        </w:rPr>
        <w:t xml:space="preserve">5 .إجازة للشيخ عزالدين حسين بن</w:t>
      </w:r>
    </w:p>
    <w:p>
      <w:pPr>
        <w:pStyle w:val="BookText"/>
      </w:pPr>
      <w:r>
        <w:rPr>
          <w:rFonts w:ascii="Amiri" w:hAnsi="Amiri" w:eastAsia="Amiri" w:cs="Amiri"/>
          <w:lang w:bidi="ar-SA"/>
          <w:color w:val="111111"/>
          <w:sz w:val="28"/>
          <w:szCs w:val="28"/>
          <w:rtl/>
        </w:rPr>
        <w:t xml:space="preserve">زمعة المدني، ج 1، ص 269.</w:t>
      </w:r>
    </w:p>
    <w:p>
      <w:pPr>
        <w:pStyle w:val="BookText"/>
      </w:pPr>
      <w:r>
        <w:rPr>
          <w:rFonts w:ascii="Amiri" w:hAnsi="Amiri" w:eastAsia="Amiri" w:cs="Amiri"/>
          <w:lang w:bidi="ar-SA"/>
          <w:color w:val="111111"/>
          <w:sz w:val="28"/>
          <w:szCs w:val="28"/>
          <w:rtl/>
        </w:rPr>
        <w:t xml:space="preserve">6 .الاجماع (رسالة في)، ج 1، ص 314.</w:t>
      </w:r>
    </w:p>
    <w:p>
      <w:pPr>
        <w:pStyle w:val="BookText"/>
      </w:pPr>
      <w:r>
        <w:rPr>
          <w:rFonts w:ascii="Amiri" w:hAnsi="Amiri" w:eastAsia="Amiri" w:cs="Amiri"/>
          <w:lang w:bidi="ar-SA"/>
          <w:color w:val="111111"/>
          <w:sz w:val="28"/>
          <w:szCs w:val="28"/>
          <w:rtl/>
        </w:rPr>
        <w:t xml:space="preserve">7 .اجوبة المسائل النجفية = جوابات المسائل النجفية = اجوبة مسائل</w:t>
      </w:r>
    </w:p>
    <w:p>
      <w:pPr>
        <w:pStyle w:val="BookText"/>
      </w:pPr>
      <w:r>
        <w:rPr>
          <w:rFonts w:ascii="Amiri" w:hAnsi="Amiri" w:eastAsia="Amiri" w:cs="Amiri"/>
          <w:lang w:bidi="ar-SA"/>
          <w:color w:val="111111"/>
          <w:sz w:val="28"/>
          <w:szCs w:val="28"/>
          <w:rtl/>
        </w:rPr>
        <w:t xml:space="preserve">السماكي، ج1، ص379.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احكام اكيدة رسالة في)، ج 1،</w:t>
      </w:r>
    </w:p>
    <w:p>
      <w:pPr>
        <w:pStyle w:val="BookText"/>
      </w:pPr>
      <w:r>
        <w:rPr>
          <w:rFonts w:ascii="IRNazanin" w:hAnsi="IRNazanin" w:eastAsia="IRNazanin" w:cs="IRNazanin"/>
          <w:lang w:bidi="fa-IR"/>
          <w:color w:val="111111"/>
          <w:sz w:val="28"/>
          <w:szCs w:val="28"/>
          <w:rtl/>
        </w:rPr>
        <w:t xml:space="preserve">ص 456 .</w:t>
      </w:r>
    </w:p>
    <w:p>
      <w:pPr>
        <w:pStyle w:val="BookText"/>
      </w:pPr>
      <w:r>
        <w:rPr>
          <w:rFonts w:ascii="Amiri" w:hAnsi="Amiri" w:eastAsia="Amiri" w:cs="Amiri"/>
          <w:lang w:bidi="ar-SA"/>
          <w:color w:val="111111"/>
          <w:sz w:val="28"/>
          <w:szCs w:val="28"/>
          <w:rtl/>
        </w:rPr>
        <w:t xml:space="preserve">9 .اسرار الزكاة والصوم والحج، ج 2،</w:t>
      </w:r>
    </w:p>
    <w:p>
      <w:pPr>
        <w:pStyle w:val="BookText"/>
      </w:pPr>
      <w:r>
        <w:rPr>
          <w:rFonts w:ascii="IRNazanin" w:hAnsi="IRNazanin" w:eastAsia="IRNazanin" w:cs="IRNazanin"/>
          <w:lang w:bidi="fa-IR"/>
          <w:color w:val="111111"/>
          <w:sz w:val="28"/>
          <w:szCs w:val="28"/>
          <w:rtl/>
        </w:rPr>
        <w:t xml:space="preserve">ص 170.</w:t>
      </w:r>
    </w:p>
    <w:p>
      <w:pPr>
        <w:pStyle w:val="BookText"/>
      </w:pPr>
      <w:r>
        <w:rPr>
          <w:rFonts w:ascii="Amiri" w:hAnsi="Amiri" w:eastAsia="Amiri" w:cs="Amiri"/>
          <w:lang w:bidi="ar-SA"/>
          <w:color w:val="111111"/>
          <w:sz w:val="28"/>
          <w:szCs w:val="28"/>
          <w:rtl/>
        </w:rPr>
        <w:t xml:space="preserve">10 .الاسطنبولية في الواجبات العينية =</w:t>
      </w:r>
    </w:p>
    <w:p>
      <w:pPr>
        <w:pStyle w:val="BookText"/>
      </w:pPr>
      <w:r>
        <w:rPr>
          <w:rFonts w:ascii="IRNazanin" w:hAnsi="IRNazanin" w:eastAsia="IRNazanin" w:cs="IRNazanin"/>
          <w:lang w:bidi="fa-IR"/>
          <w:color w:val="111111"/>
          <w:sz w:val="28"/>
          <w:szCs w:val="28"/>
          <w:rtl/>
        </w:rPr>
        <w:t xml:space="preserve">مالا</w:t>
      </w:r>
    </w:p>
    <w:p>
      <w:pPr>
        <w:pStyle w:val="BookText"/>
      </w:pPr>
      <w:r>
        <w:rPr>
          <w:rFonts w:ascii="Amiri" w:hAnsi="Amiri" w:eastAsia="Amiri" w:cs="Amiri"/>
          <w:lang w:bidi="ar-SA"/>
          <w:color w:val="111111"/>
          <w:sz w:val="28"/>
          <w:szCs w:val="28"/>
          <w:rtl/>
        </w:rPr>
        <w:t xml:space="preserve">يسع المكلف جهله، ج2،</w:t>
      </w:r>
    </w:p>
    <w:p>
      <w:pPr>
        <w:pStyle w:val="BookText"/>
      </w:pPr>
      <w:r>
        <w:rPr>
          <w:rFonts w:ascii="IRNazanin" w:hAnsi="IRNazanin" w:eastAsia="IRNazanin" w:cs="IRNazanin"/>
          <w:lang w:bidi="fa-IR"/>
          <w:color w:val="111111"/>
          <w:sz w:val="28"/>
          <w:szCs w:val="28"/>
          <w:rtl/>
        </w:rPr>
        <w:t xml:space="preserve">ص 196 .</w:t>
      </w:r>
    </w:p>
    <w:p>
      <w:pPr>
        <w:pStyle w:val="BookText"/>
      </w:pPr>
      <w:r>
        <w:rPr>
          <w:rFonts w:ascii="Amiri" w:hAnsi="Amiri" w:eastAsia="Amiri" w:cs="Amiri"/>
          <w:lang w:bidi="ar-SA"/>
          <w:color w:val="111111"/>
          <w:sz w:val="28"/>
          <w:szCs w:val="28"/>
          <w:rtl/>
        </w:rPr>
        <w:t xml:space="preserve">11 .الاقتصاد و الارشاد إلى طريق الاجتهاد في معرفة المبدء و المعاد و احكام افعال العباد، ج 2، ص 615.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ان المسافر اذانوي الاقامة عشرة ايام (رسالة في)، ج2، ص 827.</w:t>
      </w:r>
    </w:p>
    <w:p>
      <w:pPr>
        <w:pStyle w:val="BookText"/>
      </w:pPr>
      <w:r>
        <w:rPr>
          <w:rFonts w:ascii="Amiri" w:hAnsi="Amiri" w:eastAsia="Amiri" w:cs="Amiri"/>
          <w:lang w:bidi="ar-SA"/>
          <w:color w:val="111111"/>
          <w:sz w:val="28"/>
          <w:szCs w:val="28"/>
          <w:rtl/>
        </w:rPr>
        <w:t xml:space="preserve">13 .ايضاح البيان في تحقيق الايمان = الكفر والايمان = الاسلام والايمان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تحقیق الاسلام والايمان : حقائق الايمان - حقيقة الايمان</w:t>
      </w:r>
    </w:p>
    <w:p>
      <w:pPr>
        <w:pStyle w:val="BookText"/>
      </w:pPr>
      <w:r>
        <w:rPr>
          <w:rFonts w:ascii="IRNazanin" w:hAnsi="IRNazanin" w:eastAsia="IRNazanin" w:cs="IRNazanin"/>
          <w:lang w:bidi="fa-IR"/>
          <w:color w:val="111111"/>
          <w:sz w:val="28"/>
          <w:szCs w:val="28"/>
          <w:rtl/>
        </w:rPr>
        <w:t xml:space="preserve">ج 3، ص 113.</w:t>
      </w:r>
    </w:p>
    <w:p>
      <w:pPr>
        <w:pStyle w:val="BookText"/>
      </w:pPr>
      <w:r>
        <w:rPr>
          <w:rFonts w:ascii="Amiri" w:hAnsi="Amiri" w:eastAsia="Amiri" w:cs="Amiri"/>
          <w:lang w:bidi="ar-SA"/>
          <w:color w:val="111111"/>
          <w:sz w:val="28"/>
          <w:szCs w:val="28"/>
          <w:rtl/>
        </w:rPr>
        <w:t xml:space="preserve">14 .البداية في علم الدراية = بداية</w:t>
      </w:r>
    </w:p>
    <w:p>
      <w:pPr>
        <w:pStyle w:val="BookText"/>
      </w:pPr>
      <w:r>
        <w:rPr>
          <w:rFonts w:ascii="Amiri" w:hAnsi="Amiri" w:eastAsia="Amiri" w:cs="Amiri"/>
          <w:lang w:bidi="ar-SA"/>
          <w:color w:val="111111"/>
          <w:sz w:val="28"/>
          <w:szCs w:val="28"/>
          <w:rtl/>
        </w:rPr>
        <w:t xml:space="preserve">الدراية، ج 3، ص 245.</w:t>
      </w:r>
    </w:p>
    <w:p>
      <w:pPr>
        <w:pStyle w:val="BookText"/>
      </w:pPr>
      <w:r>
        <w:rPr>
          <w:rFonts w:ascii="Amiri" w:hAnsi="Amiri" w:eastAsia="Amiri" w:cs="Amiri"/>
          <w:lang w:bidi="ar-SA"/>
          <w:color w:val="111111"/>
          <w:sz w:val="28"/>
          <w:szCs w:val="28"/>
          <w:rtl/>
        </w:rPr>
        <w:t xml:space="preserve">15 .تحقيق الحبوة = حبوة الولد</w:t>
      </w:r>
    </w:p>
    <w:p>
      <w:pPr>
        <w:pStyle w:val="BookText"/>
      </w:pPr>
      <w:r>
        <w:rPr>
          <w:rFonts w:ascii="Amiri" w:hAnsi="Amiri" w:eastAsia="Amiri" w:cs="Amiri"/>
          <w:lang w:bidi="ar-SA"/>
          <w:color w:val="111111"/>
          <w:sz w:val="28"/>
          <w:szCs w:val="28"/>
          <w:rtl/>
        </w:rPr>
        <w:t xml:space="preserve">الذكر، ج 4، ص 57.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التقريرات، ج4، ص 734.</w:t>
      </w:r>
    </w:p>
    <w:p>
      <w:pPr>
        <w:pStyle w:val="BookText"/>
      </w:pPr>
      <w:r>
        <w:rPr>
          <w:rFonts w:ascii="Amiri" w:hAnsi="Amiri" w:eastAsia="Amiri" w:cs="Amiri"/>
          <w:lang w:bidi="ar-SA"/>
          <w:color w:val="111111"/>
          <w:sz w:val="28"/>
          <w:szCs w:val="28"/>
          <w:rtl/>
        </w:rPr>
        <w:t xml:space="preserve">17 .تقليد الميت = ذم التقليد</w:t>
      </w:r>
    </w:p>
    <w:p>
      <w:pPr>
        <w:pStyle w:val="BookText"/>
      </w:pPr>
      <w:r>
        <w:rPr>
          <w:rFonts w:ascii="IRNazanin" w:hAnsi="IRNazanin" w:eastAsia="IRNazanin" w:cs="IRNazanin"/>
          <w:lang w:bidi="fa-IR"/>
          <w:color w:val="111111"/>
          <w:sz w:val="28"/>
          <w:szCs w:val="28"/>
          <w:rtl/>
        </w:rPr>
        <w:t xml:space="preserve">الاجتهاد، ج 4، ص791</w:t>
      </w:r>
    </w:p>
    <w:p>
      <w:pPr>
        <w:pStyle w:val="BookText"/>
      </w:pPr>
      <w:r>
        <w:rPr>
          <w:rFonts w:ascii="Amiri" w:hAnsi="Amiri" w:eastAsia="Amiri" w:cs="Amiri"/>
          <w:lang w:bidi="ar-SA"/>
          <w:color w:val="111111"/>
          <w:sz w:val="28"/>
          <w:szCs w:val="28"/>
          <w:rtl/>
        </w:rPr>
        <w:t xml:space="preserve">18 .تمهيد القواعد الاصولية و العربية</w:t>
      </w:r>
    </w:p>
    <w:p>
      <w:pPr>
        <w:pStyle w:val="BookText"/>
      </w:pPr>
      <w:r>
        <w:rPr>
          <w:rFonts w:ascii="Amiri" w:hAnsi="Amiri" w:eastAsia="Amiri" w:cs="Amiri"/>
          <w:lang w:bidi="ar-SA"/>
          <w:color w:val="111111"/>
          <w:sz w:val="28"/>
          <w:szCs w:val="28"/>
          <w:rtl/>
        </w:rPr>
        <w:t xml:space="preserve">لتفريع الاحكام الشرعية - تمهيد</w:t>
      </w:r>
    </w:p>
    <w:p>
      <w:pPr>
        <w:pStyle w:val="BookText"/>
      </w:pPr>
      <w:r>
        <w:rPr>
          <w:rFonts w:ascii="IRNazanin" w:hAnsi="IRNazanin" w:eastAsia="IRNazanin" w:cs="IRNazanin"/>
          <w:lang w:bidi="fa-IR"/>
          <w:color w:val="111111"/>
          <w:sz w:val="28"/>
          <w:szCs w:val="28"/>
          <w:rtl/>
        </w:rPr>
        <w:t xml:space="preserve">القواعد، ج 5، ص 4.</w:t>
      </w:r>
    </w:p>
    <w:p>
      <w:pPr>
        <w:pStyle w:val="BookText"/>
      </w:pPr>
      <w:r>
        <w:rPr>
          <w:rFonts w:ascii="Amiri" w:hAnsi="Amiri" w:eastAsia="Amiri" w:cs="Amiri"/>
          <w:lang w:bidi="ar-SA"/>
          <w:color w:val="111111"/>
          <w:sz w:val="28"/>
          <w:szCs w:val="28"/>
          <w:rtl/>
        </w:rPr>
        <w:t xml:space="preserve">19 .التنبيهات العلية على وظائف الصلاة القلبية - اسرار الصلاة، جه ،</w:t>
      </w:r>
    </w:p>
    <w:p>
      <w:pPr>
        <w:pStyle w:val="BookText"/>
      </w:pPr>
      <w:r>
        <w:rPr>
          <w:rFonts w:ascii="IRNazanin" w:hAnsi="IRNazanin" w:eastAsia="IRNazanin" w:cs="IRNazanin"/>
          <w:lang w:bidi="fa-IR"/>
          <w:color w:val="111111"/>
          <w:sz w:val="28"/>
          <w:szCs w:val="28"/>
          <w:rtl/>
        </w:rPr>
        <w:t xml:space="preserve">ص 15 .</w:t>
      </w:r>
    </w:p>
    <w:p>
      <w:pPr>
        <w:pStyle w:val="BookText"/>
      </w:pPr>
      <w:r>
        <w:rPr>
          <w:rFonts w:ascii="Amiri" w:hAnsi="Amiri" w:eastAsia="Amiri" w:cs="Amiri"/>
          <w:lang w:bidi="ar-SA"/>
          <w:color w:val="111111"/>
          <w:sz w:val="28"/>
          <w:szCs w:val="28"/>
          <w:rtl/>
        </w:rPr>
        <w:t xml:space="preserve">20.تيقن الطهارة والحدث و الشك في السابق منهما = الشك في سبق الطهارة والحدث، ج 5، ص203.</w:t>
      </w:r>
    </w:p>
    <w:p>
      <w:pPr>
        <w:pStyle w:val="BookText"/>
      </w:pPr>
      <w:r>
        <w:rPr>
          <w:rFonts w:ascii="Amiri" w:hAnsi="Amiri" w:eastAsia="Amiri" w:cs="Amiri"/>
          <w:lang w:bidi="ar-SA"/>
          <w:color w:val="111111"/>
          <w:sz w:val="28"/>
          <w:szCs w:val="28"/>
          <w:rtl/>
        </w:rPr>
        <w:t xml:space="preserve">21 .جامع الاخبار ومعارج يقين</w:t>
      </w:r>
    </w:p>
    <w:p>
      <w:pPr>
        <w:pStyle w:val="BookText"/>
      </w:pPr>
      <w:r>
        <w:rPr>
          <w:rFonts w:ascii="Amiri" w:hAnsi="Amiri" w:eastAsia="Amiri" w:cs="Amiri"/>
          <w:lang w:bidi="ar-SA"/>
          <w:color w:val="111111"/>
          <w:sz w:val="28"/>
          <w:szCs w:val="28"/>
          <w:rtl/>
        </w:rPr>
        <w:t xml:space="preserve">الاخيار، ج 5 ، ص 246 .</w:t>
      </w:r>
    </w:p>
    <w:p>
      <w:pPr>
        <w:pStyle w:val="BookText"/>
      </w:pPr>
      <w:r>
        <w:rPr>
          <w:rFonts w:ascii="IRNazanin" w:hAnsi="IRNazanin" w:eastAsia="IRNazanin" w:cs="IRNazanin"/>
          <w:lang w:bidi="fa-IR"/>
          <w:color w:val="111111"/>
          <w:sz w:val="28"/>
          <w:szCs w:val="28"/>
          <w:rtl/>
        </w:rPr>
        <w:t xml:space="preserve">22 .جامع النفائس، ج 5، ص 350.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.حاشية ارشاد الاذهان، جه،</w:t>
      </w:r>
    </w:p>
    <w:p>
      <w:pPr>
        <w:pStyle w:val="BookText"/>
      </w:pPr>
      <w:r>
        <w:rPr>
          <w:rFonts w:ascii="IRNazanin" w:hAnsi="IRNazanin" w:eastAsia="IRNazanin" w:cs="IRNazanin"/>
          <w:lang w:bidi="fa-IR"/>
          <w:color w:val="111111"/>
          <w:sz w:val="28"/>
          <w:szCs w:val="28"/>
          <w:rtl/>
        </w:rPr>
        <w:t xml:space="preserve">ص 660 .</w:t>
      </w:r>
    </w:p>
    <w:p>
      <w:pPr>
        <w:pStyle w:val="BookText"/>
      </w:pPr>
      <w:r>
        <w:rPr>
          <w:rFonts w:ascii="Amiri" w:hAnsi="Amiri" w:eastAsia="Amiri" w:cs="Amiri"/>
          <w:lang w:bidi="ar-SA"/>
          <w:color w:val="111111"/>
          <w:sz w:val="28"/>
          <w:szCs w:val="28"/>
          <w:rtl/>
        </w:rPr>
        <w:t xml:space="preserve">24 .حاشية الالفية، ج5، ص 667.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حاشية خلاصة الاقوال = الفوائد و</w:t>
      </w:r>
    </w:p>
    <w:p>
      <w:pPr>
        <w:pStyle w:val="BookText"/>
      </w:pPr>
      <w:r>
        <w:rPr>
          <w:rFonts w:ascii="IRNazanin" w:hAnsi="IRNazanin" w:eastAsia="IRNazanin" w:cs="IRNazanin"/>
          <w:lang w:bidi="fa-IR"/>
          <w:color w:val="111111"/>
          <w:sz w:val="28"/>
          <w:szCs w:val="28"/>
          <w:rtl/>
        </w:rPr>
        <w:t xml:space="preserve">الزوائد، ج 5، ص 863.</w:t>
      </w:r>
    </w:p>
    <w:p>
      <w:pPr>
        <w:pStyle w:val="BookText"/>
      </w:pPr>
      <w:r>
        <w:rPr>
          <w:rFonts w:ascii="Amiri" w:hAnsi="Amiri" w:eastAsia="Amiri" w:cs="Amiri"/>
          <w:lang w:bidi="ar-SA"/>
          <w:color w:val="111111"/>
          <w:sz w:val="28"/>
          <w:szCs w:val="28"/>
          <w:rtl/>
        </w:rPr>
        <w:t xml:space="preserve">26 . حاشية شرائع الاسلام في المسائل الحلال والحرام، ج6، ص 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حاشية قواعد الاحكام، ج6،</w:t>
      </w:r>
    </w:p>
    <w:p>
      <w:pPr>
        <w:pStyle w:val="BookText"/>
      </w:pPr>
      <w:r>
        <w:rPr>
          <w:rFonts w:ascii="IRNazanin" w:hAnsi="IRNazanin" w:eastAsia="IRNazanin" w:cs="IRNazanin"/>
          <w:lang w:bidi="fa-IR"/>
          <w:color w:val="111111"/>
          <w:sz w:val="28"/>
          <w:szCs w:val="28"/>
          <w:rtl/>
        </w:rPr>
        <w:t xml:space="preserve">ص310.</w:t>
      </w:r>
    </w:p>
    <w:p>
      <w:pPr>
        <w:pStyle w:val="BookText"/>
      </w:pPr>
      <w:r>
        <w:rPr>
          <w:rFonts w:ascii="Amiri" w:hAnsi="Amiri" w:eastAsia="Amiri" w:cs="Amiri"/>
          <w:lang w:bidi="ar-SA"/>
          <w:color w:val="111111"/>
          <w:sz w:val="28"/>
          <w:szCs w:val="28"/>
          <w:rtl/>
        </w:rPr>
        <w:t xml:space="preserve">28 .حكم الحدث اثناء غسل الجنابة =</w:t>
      </w:r>
    </w:p>
    <w:p>
      <w:pPr>
        <w:pStyle w:val="BookText"/>
      </w:pPr>
      <w:r>
        <w:rPr>
          <w:rFonts w:ascii="Amiri" w:hAnsi="Amiri" w:eastAsia="Amiri" w:cs="Amiri"/>
          <w:lang w:bidi="ar-SA"/>
          <w:color w:val="111111"/>
          <w:sz w:val="28"/>
          <w:szCs w:val="28"/>
          <w:rtl/>
        </w:rPr>
        <w:t xml:space="preserve">الحدث في اثناء الغسل، ج 6،</w:t>
      </w:r>
    </w:p>
    <w:p>
      <w:pPr>
        <w:pStyle w:val="BookText"/>
      </w:pPr>
      <w:r>
        <w:rPr>
          <w:rFonts w:ascii="IRNazanin" w:hAnsi="IRNazanin" w:eastAsia="IRNazanin" w:cs="IRNazanin"/>
          <w:lang w:bidi="fa-IR"/>
          <w:color w:val="111111"/>
          <w:sz w:val="28"/>
          <w:szCs w:val="28"/>
          <w:rtl/>
        </w:rPr>
        <w:t xml:space="preserve">ص 754 .</w:t>
      </w:r>
    </w:p>
    <w:p>
      <w:pPr>
        <w:pStyle w:val="BookText"/>
      </w:pPr>
      <w:r>
        <w:rPr>
          <w:rFonts w:ascii="Amiri" w:hAnsi="Amiri" w:eastAsia="Amiri" w:cs="Amiri"/>
          <w:lang w:bidi="ar-SA"/>
          <w:color w:val="111111"/>
          <w:sz w:val="28"/>
          <w:szCs w:val="28"/>
          <w:rtl/>
        </w:rPr>
        <w:t xml:space="preserve">29 .حواشي الشهيد الثاني، ج 6، ص 834.</w:t>
      </w:r>
    </w:p>
    <w:p>
      <w:pPr>
        <w:pStyle w:val="BookText"/>
      </w:pPr>
      <w:r>
        <w:rPr>
          <w:rFonts w:ascii="Amiri" w:hAnsi="Amiri" w:eastAsia="Amiri" w:cs="Amiri"/>
          <w:lang w:bidi="ar-SA"/>
          <w:color w:val="111111"/>
          <w:sz w:val="28"/>
          <w:szCs w:val="28"/>
          <w:rtl/>
        </w:rPr>
        <w:t xml:space="preserve">30 .خصائص يوم الجمعة = خواص</w:t>
      </w:r>
    </w:p>
    <w:p>
      <w:pPr>
        <w:pStyle w:val="BookText"/>
      </w:pPr>
      <w:r>
        <w:rPr>
          <w:rFonts w:ascii="Amiri" w:hAnsi="Amiri" w:eastAsia="Amiri" w:cs="Amiri"/>
          <w:lang w:bidi="ar-SA"/>
          <w:color w:val="111111"/>
          <w:sz w:val="28"/>
          <w:szCs w:val="28"/>
          <w:rtl/>
        </w:rPr>
        <w:t xml:space="preserve">الجمعة = فضيلة يوم الجمعة</w:t>
      </w:r>
    </w:p>
    <w:p>
      <w:pPr>
        <w:pStyle w:val="BookText"/>
      </w:pPr>
      <w:r>
        <w:rPr>
          <w:rFonts w:ascii="IRNazanin" w:hAnsi="IRNazanin" w:eastAsia="IRNazanin" w:cs="IRNazanin"/>
          <w:lang w:bidi="fa-IR"/>
          <w:color w:val="111111"/>
          <w:sz w:val="28"/>
          <w:szCs w:val="28"/>
          <w:rtl/>
        </w:rPr>
        <w:t xml:space="preserve">ج 7، ص37.</w:t>
      </w:r>
    </w:p>
    <w:p>
      <w:pPr>
        <w:pStyle w:val="BookText"/>
      </w:pPr>
      <w:r>
        <w:rPr>
          <w:rFonts w:ascii="IRNazanin" w:hAnsi="IRNazanin" w:eastAsia="IRNazanin" w:cs="IRNazanin"/>
          <w:lang w:bidi="fa-IR"/>
          <w:color w:val="111111"/>
          <w:sz w:val="28"/>
          <w:szCs w:val="28"/>
          <w:rtl/>
        </w:rPr>
        <w:t xml:space="preserve">31.رسائل، ج8، ص120.</w:t>
      </w:r>
    </w:p>
    <w:p>
      <w:pPr>
        <w:pStyle w:val="BookText"/>
      </w:pPr>
      <w:r>
        <w:rPr>
          <w:rFonts w:ascii="Amiri" w:hAnsi="Amiri" w:eastAsia="Amiri" w:cs="Amiri"/>
          <w:lang w:bidi="ar-SA"/>
          <w:color w:val="111111"/>
          <w:sz w:val="28"/>
          <w:szCs w:val="28"/>
          <w:rtl/>
        </w:rPr>
        <w:t xml:space="preserve">32 .رسائل فقهية، ج8، ص 145.</w:t>
      </w:r>
    </w:p>
    <w:p>
      <w:pPr>
        <w:pStyle w:val="BookText"/>
      </w:pPr>
      <w:r>
        <w:rPr>
          <w:rFonts w:ascii="Amiri" w:hAnsi="Amiri" w:eastAsia="Amiri" w:cs="Amiri"/>
          <w:lang w:bidi="ar-SA"/>
          <w:color w:val="111111"/>
          <w:sz w:val="28"/>
          <w:szCs w:val="28"/>
          <w:rtl/>
        </w:rPr>
        <w:t xml:space="preserve">33 .رسالة للشهيد الثاني، ج8، ص 258.</w:t>
      </w:r>
    </w:p>
    <w:p>
      <w:pPr>
        <w:pStyle w:val="BookText"/>
      </w:pPr>
      <w:r>
        <w:rPr>
          <w:rFonts w:ascii="Amiri" w:hAnsi="Amiri" w:eastAsia="Amiri" w:cs="Amiri"/>
          <w:lang w:bidi="ar-SA"/>
          <w:color w:val="111111"/>
          <w:sz w:val="28"/>
          <w:szCs w:val="28"/>
          <w:rtl/>
        </w:rPr>
        <w:t xml:space="preserve">34 .رسالة من ينفي الطهارة، ج8،</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Amiri" w:hAnsi="Amiri" w:eastAsia="Amiri" w:cs="Amiri"/>
          <w:lang w:bidi="ar-SA"/>
          <w:color w:val="111111"/>
          <w:sz w:val="28"/>
          <w:szCs w:val="28"/>
          <w:rtl/>
        </w:rPr>
        <w:t xml:space="preserve">35 .الرعاية في شرح البداية في علم</w:t>
      </w:r>
    </w:p>
    <w:p>
      <w:pPr>
        <w:pStyle w:val="BookText"/>
      </w:pPr>
      <w:r>
        <w:rPr>
          <w:rFonts w:ascii="Amiri" w:hAnsi="Amiri" w:eastAsia="Amiri" w:cs="Amiri"/>
          <w:lang w:bidi="ar-SA"/>
          <w:color w:val="111111"/>
          <w:sz w:val="28"/>
          <w:szCs w:val="28"/>
          <w:rtl/>
        </w:rPr>
        <w:t xml:space="preserve">الدراية = شرح البداية في علم الدراية = الرعاية في شرح الدراية - شرح بداية الدراية، ج 8، ص330.</w:t>
      </w:r>
    </w:p>
    <w:p>
      <w:pPr>
        <w:pStyle w:val="BookText"/>
      </w:pPr>
      <w:r>
        <w:rPr>
          <w:rFonts w:ascii="Amiri" w:hAnsi="Amiri" w:eastAsia="Amiri" w:cs="Amiri"/>
          <w:lang w:bidi="ar-SA"/>
          <w:color w:val="111111"/>
          <w:sz w:val="28"/>
          <w:szCs w:val="28"/>
          <w:rtl/>
        </w:rPr>
        <w:t xml:space="preserve">36 .روض الجنان في شرح ارشاد</w:t>
      </w:r>
    </w:p>
    <w:p>
      <w:pPr>
        <w:pStyle w:val="BookText"/>
      </w:pPr>
      <w:r>
        <w:rPr>
          <w:rFonts w:ascii="IRNazanin" w:hAnsi="IRNazanin" w:eastAsia="IRNazanin" w:cs="IRNazanin"/>
          <w:lang w:bidi="fa-IR"/>
          <w:color w:val="111111"/>
          <w:sz w:val="28"/>
          <w:szCs w:val="28"/>
          <w:rtl/>
        </w:rPr>
        <w:t xml:space="preserve">الاذهان، ج8، ص 460.</w:t>
      </w:r>
    </w:p>
    <w:p>
      <w:pPr>
        <w:pStyle w:val="BookText"/>
      </w:pPr>
      <w:r>
        <w:rPr>
          <w:rFonts w:ascii="Amiri" w:hAnsi="Amiri" w:eastAsia="Amiri" w:cs="Amiri"/>
          <w:lang w:bidi="ar-SA"/>
          <w:color w:val="111111"/>
          <w:sz w:val="28"/>
          <w:szCs w:val="28"/>
          <w:rtl/>
        </w:rPr>
        <w:t xml:space="preserve">37 .الروضة البهية في شرح اللمعة</w:t>
      </w:r>
    </w:p>
    <w:p>
      <w:pPr>
        <w:pStyle w:val="BookText"/>
      </w:pPr>
      <w:r>
        <w:rPr>
          <w:rFonts w:ascii="Amiri" w:hAnsi="Amiri" w:eastAsia="Amiri" w:cs="Amiri"/>
          <w:lang w:bidi="ar-SA"/>
          <w:color w:val="111111"/>
          <w:sz w:val="28"/>
          <w:szCs w:val="28"/>
          <w:rtl/>
        </w:rPr>
        <w:t xml:space="preserve">الدمشقية، ج8، ص 405.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رياض في الزيارات، ج8، ص 490 .</w:t>
      </w:r>
    </w:p>
    <w:p>
      <w:pPr>
        <w:pStyle w:val="BookText"/>
      </w:pPr>
      <w:r>
        <w:rPr>
          <w:rFonts w:ascii="Amiri" w:hAnsi="Amiri" w:eastAsia="Amiri" w:cs="Amiri"/>
          <w:lang w:bidi="ar-SA"/>
          <w:color w:val="111111"/>
          <w:sz w:val="28"/>
          <w:szCs w:val="28"/>
          <w:rtl/>
        </w:rPr>
        <w:t xml:space="preserve">39 .سنن الهداية في الدراية، ج8،</w:t>
      </w:r>
    </w:p>
    <w:p>
      <w:pPr>
        <w:pStyle w:val="BookText"/>
      </w:pPr>
      <w:r>
        <w:rPr>
          <w:rFonts w:ascii="IRNazanin" w:hAnsi="IRNazanin" w:eastAsia="IRNazanin" w:cs="IRNazanin"/>
          <w:lang w:bidi="fa-IR"/>
          <w:color w:val="111111"/>
          <w:sz w:val="28"/>
          <w:szCs w:val="28"/>
          <w:rtl/>
        </w:rPr>
        <w:t xml:space="preserve">ص 848</w:t>
      </w:r>
    </w:p>
    <w:p>
      <w:pPr>
        <w:pStyle w:val="BookText"/>
      </w:pPr>
      <w:r>
        <w:rPr>
          <w:rFonts w:ascii="Amiri" w:hAnsi="Amiri" w:eastAsia="Amiri" w:cs="Amiri"/>
          <w:lang w:bidi="ar-SA"/>
          <w:color w:val="111111"/>
          <w:sz w:val="28"/>
          <w:szCs w:val="28"/>
          <w:rtl/>
        </w:rPr>
        <w:t xml:space="preserve">40 .شرح البسملة( رسالة في)، ج9،</w:t>
      </w:r>
    </w:p>
    <w:p>
      <w:pPr>
        <w:pStyle w:val="BookText"/>
      </w:pPr>
      <w:r>
        <w:rPr>
          <w:rFonts w:ascii="IRNazanin" w:hAnsi="IRNazanin" w:eastAsia="IRNazanin" w:cs="IRNazanin"/>
          <w:lang w:bidi="fa-IR"/>
          <w:color w:val="111111"/>
          <w:sz w:val="28"/>
          <w:szCs w:val="28"/>
          <w:rtl/>
        </w:rPr>
        <w:t xml:space="preserve">ص 284.</w:t>
      </w:r>
    </w:p>
    <w:p>
      <w:pPr>
        <w:pStyle w:val="BookText"/>
      </w:pPr>
      <w:r>
        <w:rPr>
          <w:rFonts w:ascii="IRNazanin" w:hAnsi="IRNazanin" w:eastAsia="IRNazanin" w:cs="IRNazanin"/>
          <w:lang w:bidi="fa-IR"/>
          <w:color w:val="111111"/>
          <w:sz w:val="28"/>
          <w:szCs w:val="28"/>
          <w:rtl/>
        </w:rPr>
        <w:t xml:space="preserve">41 .شرح الشرائح، ج 9، ص 621.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شرح المعالم، ج 10، ص 151.</w:t>
      </w:r>
    </w:p>
    <w:p>
      <w:pPr>
        <w:pStyle w:val="BookText"/>
      </w:pPr>
      <w:r>
        <w:rPr>
          <w:rFonts w:ascii="Amiri" w:hAnsi="Amiri" w:eastAsia="Amiri" w:cs="Amiri"/>
          <w:lang w:bidi="ar-SA"/>
          <w:color w:val="111111"/>
          <w:sz w:val="28"/>
          <w:szCs w:val="28"/>
          <w:rtl/>
        </w:rPr>
        <w:t xml:space="preserve">43 . صلاة الجمعة (1) = صلاة الجمعة في عصر الغيبة = فضائل الجمعة و</w:t>
      </w:r>
    </w:p>
    <w:p>
      <w:pPr>
        <w:pStyle w:val="BookText"/>
      </w:pPr>
      <w:r>
        <w:rPr>
          <w:rFonts w:ascii="IRNazanin" w:hAnsi="IRNazanin" w:eastAsia="IRNazanin" w:cs="IRNazanin"/>
          <w:lang w:bidi="fa-IR"/>
          <w:color w:val="111111"/>
          <w:sz w:val="28"/>
          <w:szCs w:val="28"/>
          <w:rtl/>
        </w:rPr>
        <w:t xml:space="preserve">خصوصیاتها ، ج 10، ص 597.</w:t>
      </w:r>
    </w:p>
    <w:p>
      <w:pPr>
        <w:pStyle w:val="BookText"/>
      </w:pPr>
      <w:r>
        <w:rPr>
          <w:rFonts w:ascii="Amiri" w:hAnsi="Amiri" w:eastAsia="Amiri" w:cs="Amiri"/>
          <w:lang w:bidi="ar-SA"/>
          <w:color w:val="111111"/>
          <w:sz w:val="28"/>
          <w:szCs w:val="28"/>
          <w:rtl/>
        </w:rPr>
        <w:t xml:space="preserve">44 .صلاة الجمعة (2) = الحث على صلاة الجمعة = فضائل صلاة</w:t>
      </w:r>
    </w:p>
    <w:p>
      <w:pPr>
        <w:pStyle w:val="BookText"/>
      </w:pPr>
      <w:r>
        <w:rPr>
          <w:rFonts w:ascii="Amiri" w:hAnsi="Amiri" w:eastAsia="Amiri" w:cs="Amiri"/>
          <w:lang w:bidi="ar-SA"/>
          <w:color w:val="111111"/>
          <w:sz w:val="28"/>
          <w:szCs w:val="28"/>
          <w:rtl/>
        </w:rPr>
        <w:t xml:space="preserve">الجمعة، ج 10، ص 598.</w:t>
      </w:r>
    </w:p>
    <w:p>
      <w:pPr>
        <w:pStyle w:val="BookText"/>
      </w:pPr>
      <w:r>
        <w:rPr>
          <w:rFonts w:ascii="Amiri" w:hAnsi="Amiri" w:eastAsia="Amiri" w:cs="Amiri"/>
          <w:lang w:bidi="ar-SA"/>
          <w:color w:val="111111"/>
          <w:sz w:val="28"/>
          <w:szCs w:val="28"/>
          <w:rtl/>
        </w:rPr>
        <w:t xml:space="preserve">45 .صيغ العقود والايقاعات، ج 10،</w:t>
      </w:r>
    </w:p>
    <w:p>
      <w:pPr>
        <w:pStyle w:val="BookText"/>
      </w:pPr>
      <w:r>
        <w:rPr>
          <w:rFonts w:ascii="IRNazanin" w:hAnsi="IRNazanin" w:eastAsia="IRNazanin" w:cs="IRNazanin"/>
          <w:lang w:bidi="fa-IR"/>
          <w:color w:val="111111"/>
          <w:sz w:val="28"/>
          <w:szCs w:val="28"/>
          <w:rtl/>
        </w:rPr>
        <w:t xml:space="preserve">ص 680 .</w:t>
      </w:r>
    </w:p>
    <w:p>
      <w:pPr>
        <w:pStyle w:val="BookText"/>
      </w:pPr>
      <w:r>
        <w:rPr>
          <w:rFonts w:ascii="Amiri" w:hAnsi="Amiri" w:eastAsia="Amiri" w:cs="Amiri"/>
          <w:lang w:bidi="ar-SA"/>
          <w:color w:val="111111"/>
          <w:sz w:val="28"/>
          <w:szCs w:val="28"/>
          <w:rtl/>
        </w:rPr>
        <w:t xml:space="preserve">46 .طلاق الحائض الحاضر زوجها و تحريمه = طلاق الحائض والغائب تحريم طلاق الحائض الحامل =</w:t>
      </w:r>
    </w:p>
    <w:p>
      <w:pPr>
        <w:pStyle w:val="BookText"/>
      </w:pPr>
      <w:r>
        <w:rPr>
          <w:rFonts w:ascii="IRNazanin" w:hAnsi="IRNazanin" w:eastAsia="IRNazanin" w:cs="IRNazanin"/>
          <w:lang w:bidi="fa-IR"/>
          <w:color w:val="111111"/>
          <w:sz w:val="28"/>
          <w:szCs w:val="28"/>
          <w:rtl/>
        </w:rPr>
        <w:t xml:space="preserve">طلاق الغائب عن زوجته، ج 10،</w:t>
      </w:r>
    </w:p>
    <w:p>
      <w:pPr>
        <w:pStyle w:val="BookText"/>
      </w:pPr>
      <w:r>
        <w:rPr>
          <w:rFonts w:ascii="IRNazanin" w:hAnsi="IRNazanin" w:eastAsia="IRNazanin" w:cs="IRNazanin"/>
          <w:lang w:bidi="fa-IR"/>
          <w:color w:val="111111"/>
          <w:sz w:val="28"/>
          <w:szCs w:val="28"/>
          <w:rtl/>
        </w:rPr>
        <w:t xml:space="preserve">ص 846.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العدالة، ج 11، ص 41.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الفقه، ج 12، ص 41.</w:t>
      </w:r>
    </w:p>
    <w:p>
      <w:pPr>
        <w:pStyle w:val="BookText"/>
      </w:pPr>
      <w:r>
        <w:rPr>
          <w:rFonts w:ascii="Amiri" w:hAnsi="Amiri" w:eastAsia="Amiri" w:cs="Amiri"/>
          <w:lang w:bidi="ar-SA"/>
          <w:color w:val="111111"/>
          <w:sz w:val="28"/>
          <w:szCs w:val="28"/>
          <w:rtl/>
        </w:rPr>
        <w:t xml:space="preserve">49 .الفوائد الملية في شرح الرسالة النفلية = شرح النفلية، ج 12،</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Amiri" w:hAnsi="Amiri" w:eastAsia="Amiri" w:cs="Amiri"/>
          <w:lang w:bidi="ar-SA"/>
          <w:color w:val="111111"/>
          <w:sz w:val="28"/>
          <w:szCs w:val="28"/>
          <w:rtl/>
        </w:rPr>
        <w:t xml:space="preserve">50 .قبلة الشامات، ج 12، ص378.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القصر في السفر (رسالة في</w:t>
      </w:r>
    </w:p>
    <w:p>
      <w:pPr>
        <w:pStyle w:val="BookText"/>
      </w:pPr>
      <w:r>
        <w:rPr>
          <w:rFonts w:ascii="Amiri" w:hAnsi="Amiri" w:eastAsia="Amiri" w:cs="Amiri"/>
          <w:lang w:bidi="ar-SA"/>
          <w:color w:val="111111"/>
          <w:sz w:val="28"/>
          <w:szCs w:val="28"/>
          <w:rtl/>
        </w:rPr>
        <w:t xml:space="preserve">تحقيق)، ج 12، ص 621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الكتاب الصغير، ج13، ص 106.</w:t>
      </w:r>
    </w:p>
    <w:p>
      <w:pPr>
        <w:pStyle w:val="BookText"/>
      </w:pPr>
      <w:r>
        <w:rPr>
          <w:rFonts w:ascii="Amiri" w:hAnsi="Amiri" w:eastAsia="Amiri" w:cs="Amiri"/>
          <w:lang w:bidi="ar-SA"/>
          <w:color w:val="111111"/>
          <w:sz w:val="28"/>
          <w:szCs w:val="28"/>
          <w:rtl/>
        </w:rPr>
        <w:t xml:space="preserve">53 .كشف الريبة عن احكام الغيبة و</w:t>
      </w:r>
    </w:p>
    <w:p>
      <w:pPr>
        <w:pStyle w:val="BookText"/>
      </w:pPr>
      <w:r>
        <w:rPr>
          <w:rFonts w:ascii="Amiri" w:hAnsi="Amiri" w:eastAsia="Amiri" w:cs="Amiri"/>
          <w:lang w:bidi="ar-SA"/>
          <w:color w:val="111111"/>
          <w:sz w:val="28"/>
          <w:szCs w:val="28"/>
          <w:rtl/>
        </w:rPr>
        <w:t xml:space="preserve">النميمة، ج13، ص 214.</w:t>
      </w:r>
    </w:p>
    <w:p>
      <w:pPr>
        <w:pStyle w:val="BookText"/>
      </w:pPr>
      <w:r>
        <w:rPr>
          <w:rFonts w:ascii="IRNazanin" w:hAnsi="IRNazanin" w:eastAsia="IRNazanin" w:cs="IRNazanin"/>
          <w:lang w:bidi="fa-IR"/>
          <w:color w:val="111111"/>
          <w:sz w:val="28"/>
          <w:szCs w:val="28"/>
          <w:rtl/>
        </w:rPr>
        <w:t xml:space="preserve">54 .كشف الفوائد = فهرست تمهید</w:t>
      </w:r>
    </w:p>
    <w:p>
      <w:pPr>
        <w:pStyle w:val="BookText"/>
      </w:pPr>
      <w:r>
        <w:rPr>
          <w:rFonts w:ascii="IRNazanin" w:hAnsi="IRNazanin" w:eastAsia="IRNazanin" w:cs="IRNazanin"/>
          <w:lang w:bidi="fa-IR"/>
          <w:color w:val="111111"/>
          <w:sz w:val="28"/>
          <w:szCs w:val="28"/>
          <w:rtl/>
        </w:rPr>
        <w:t xml:space="preserve">القواعد، ج13، ص 245.</w:t>
      </w:r>
    </w:p>
    <w:p>
      <w:pPr>
        <w:pStyle w:val="BookText"/>
      </w:pPr>
      <w:r>
        <w:rPr>
          <w:rFonts w:ascii="Amiri" w:hAnsi="Amiri" w:eastAsia="Amiri" w:cs="Amiri"/>
          <w:lang w:bidi="ar-SA"/>
          <w:color w:val="111111"/>
          <w:sz w:val="28"/>
          <w:szCs w:val="28"/>
          <w:rtl/>
        </w:rPr>
        <w:t xml:space="preserve">55 .ما خالف شيخ الطائفة اجماعات</w:t>
      </w:r>
    </w:p>
    <w:p>
      <w:pPr>
        <w:pStyle w:val="BookText"/>
      </w:pPr>
      <w:r>
        <w:rPr>
          <w:rFonts w:ascii="IRNazanin" w:hAnsi="IRNazanin" w:eastAsia="IRNazanin" w:cs="IRNazanin"/>
          <w:lang w:bidi="fa-IR"/>
          <w:color w:val="111111"/>
          <w:sz w:val="28"/>
          <w:szCs w:val="28"/>
          <w:rtl/>
        </w:rPr>
        <w:t xml:space="preserve">نفسه، ج13، ص 679.</w:t>
      </w:r>
    </w:p>
    <w:p>
      <w:pPr>
        <w:pStyle w:val="BookText"/>
      </w:pPr>
      <w:r>
        <w:rPr>
          <w:rFonts w:ascii="Amiri" w:hAnsi="Amiri" w:eastAsia="Amiri" w:cs="Amiri"/>
          <w:lang w:bidi="ar-SA"/>
          <w:color w:val="111111"/>
          <w:sz w:val="28"/>
          <w:szCs w:val="28"/>
          <w:rtl/>
        </w:rPr>
        <w:t xml:space="preserve">56 مجموعة في الأخبار و الأخلاق</w:t>
      </w:r>
    </w:p>
    <w:p>
      <w:pPr>
        <w:pStyle w:val="BookText"/>
      </w:pPr>
      <w:r>
        <w:rPr>
          <w:rFonts w:ascii="IRNazanin" w:hAnsi="IRNazanin" w:eastAsia="IRNazanin" w:cs="IRNazanin"/>
          <w:lang w:bidi="fa-IR"/>
          <w:color w:val="111111"/>
          <w:sz w:val="28"/>
          <w:szCs w:val="28"/>
          <w:rtl/>
        </w:rPr>
        <w:t xml:space="preserve">ج 14 ، ص 47 .</w:t>
      </w:r>
    </w:p>
    <w:p>
      <w:pPr>
        <w:pStyle w:val="BookText"/>
      </w:pPr>
      <w:r>
        <w:rPr>
          <w:rFonts w:ascii="Amiri" w:hAnsi="Amiri" w:eastAsia="Amiri" w:cs="Amiri"/>
          <w:lang w:bidi="ar-SA"/>
          <w:color w:val="111111"/>
          <w:sz w:val="28"/>
          <w:szCs w:val="28"/>
          <w:rtl/>
        </w:rPr>
        <w:t xml:space="preserve">57 .مسائل فقهية، ج 14، ص 463.</w:t>
      </w:r>
    </w:p>
    <w:p>
      <w:pPr>
        <w:pStyle w:val="BookText"/>
      </w:pPr>
      <w:r>
        <w:rPr>
          <w:rFonts w:ascii="Amiri" w:hAnsi="Amiri" w:eastAsia="Amiri" w:cs="Amiri"/>
          <w:lang w:bidi="ar-SA"/>
          <w:color w:val="111111"/>
          <w:sz w:val="28"/>
          <w:szCs w:val="28"/>
          <w:rtl/>
        </w:rPr>
        <w:t xml:space="preserve">58 .مسائل في الطهارة، ج 14، ص 473 .</w:t>
      </w:r>
    </w:p>
    <w:p>
      <w:pPr>
        <w:pStyle w:val="BookText"/>
      </w:pPr>
      <w:r>
        <w:rPr>
          <w:rFonts w:ascii="Amiri" w:hAnsi="Amiri" w:eastAsia="Amiri" w:cs="Amiri"/>
          <w:lang w:bidi="ar-SA"/>
          <w:color w:val="111111"/>
          <w:sz w:val="28"/>
          <w:szCs w:val="28"/>
          <w:rtl/>
        </w:rPr>
        <w:t xml:space="preserve">59 .مسالة الضمان ج 14، ص 540.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38" w:name="pg7742_70626"/>
    <w:bookmarkEnd w:id="638"/>
    <w:p>
      <w:pPr>
        <w:pStyle w:val="BookText"/>
      </w:pPr>
      <w:r>
        <w:rPr>
          <w:rFonts w:ascii="Amiri" w:hAnsi="Amiri" w:eastAsia="Amiri" w:cs="Amiri"/>
          <w:lang w:bidi="ar-SA"/>
          <w:color w:val="111111"/>
          <w:sz w:val="28"/>
          <w:szCs w:val="28"/>
          <w:rtl/>
        </w:rPr>
        <w:t xml:space="preserve">60 .مسالك الافهام إلى تنقيح شرائع</w:t>
      </w:r>
    </w:p>
    <w:p>
      <w:pPr>
        <w:pStyle w:val="BookText"/>
      </w:pPr>
      <w:r>
        <w:rPr>
          <w:rFonts w:ascii="IRNazanin" w:hAnsi="IRNazanin" w:eastAsia="IRNazanin" w:cs="IRNazanin"/>
          <w:lang w:bidi="fa-IR"/>
          <w:color w:val="111111"/>
          <w:sz w:val="28"/>
          <w:szCs w:val="28"/>
          <w:rtl/>
        </w:rPr>
        <w:t xml:space="preserve">الاسلام، ج 14، ص 508.</w:t>
      </w:r>
    </w:p>
    <w:p>
      <w:pPr>
        <w:pStyle w:val="BookText"/>
      </w:pPr>
      <w:r>
        <w:rPr>
          <w:rFonts w:ascii="Amiri" w:hAnsi="Amiri" w:eastAsia="Amiri" w:cs="Amiri"/>
          <w:lang w:bidi="ar-SA"/>
          <w:color w:val="111111"/>
          <w:sz w:val="28"/>
          <w:szCs w:val="28"/>
          <w:rtl/>
        </w:rPr>
        <w:t xml:space="preserve">61 .مسكن الفؤاد عند فقد الاحبة و</w:t>
      </w:r>
    </w:p>
    <w:p>
      <w:pPr>
        <w:pStyle w:val="BookText"/>
      </w:pPr>
      <w:r>
        <w:rPr>
          <w:rFonts w:ascii="IRNazanin" w:hAnsi="IRNazanin" w:eastAsia="IRNazanin" w:cs="IRNazanin"/>
          <w:lang w:bidi="fa-IR"/>
          <w:color w:val="111111"/>
          <w:sz w:val="28"/>
          <w:szCs w:val="28"/>
          <w:rtl/>
        </w:rPr>
        <w:t xml:space="preserve">الاولاد، ج 14، ص 576</w:t>
      </w:r>
    </w:p>
    <w:p>
      <w:pPr>
        <w:pStyle w:val="BookText"/>
      </w:pPr>
      <w:r>
        <w:rPr>
          <w:rFonts w:ascii="Amiri" w:hAnsi="Amiri" w:eastAsia="Amiri" w:cs="Amiri"/>
          <w:lang w:bidi="ar-SA"/>
          <w:color w:val="111111"/>
          <w:sz w:val="28"/>
          <w:szCs w:val="28"/>
          <w:rtl/>
        </w:rPr>
        <w:t xml:space="preserve">62 .معاني الفاظ الصلاة، ج 14، ص 887.</w:t>
      </w:r>
    </w:p>
    <w:p>
      <w:pPr>
        <w:pStyle w:val="BookText"/>
      </w:pPr>
      <w:r>
        <w:rPr>
          <w:rFonts w:ascii="Amiri" w:hAnsi="Amiri" w:eastAsia="Amiri" w:cs="Amiri"/>
          <w:lang w:bidi="ar-SA"/>
          <w:color w:val="111111"/>
          <w:sz w:val="28"/>
          <w:szCs w:val="28"/>
          <w:rtl/>
        </w:rPr>
        <w:t xml:space="preserve">63 .المقاصد العلية في شرح الرسالة</w:t>
      </w:r>
    </w:p>
    <w:p>
      <w:pPr>
        <w:pStyle w:val="BookText"/>
      </w:pPr>
      <w:r>
        <w:rPr>
          <w:rFonts w:ascii="Amiri" w:hAnsi="Amiri" w:eastAsia="Amiri" w:cs="Amiri"/>
          <w:lang w:bidi="ar-SA"/>
          <w:color w:val="111111"/>
          <w:sz w:val="28"/>
          <w:szCs w:val="28"/>
          <w:rtl/>
        </w:rPr>
        <w:t xml:space="preserve">الالفية، ج 15 ، ص 272.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مكتوب، ج 15 ، ص 418.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مناسك الحج، ج 15، ص 497.</w:t>
      </w:r>
    </w:p>
    <w:p>
      <w:pPr>
        <w:pStyle w:val="BookText"/>
      </w:pPr>
      <w:r>
        <w:rPr>
          <w:rFonts w:ascii="Amiri" w:hAnsi="Amiri" w:eastAsia="Amiri" w:cs="Amiri"/>
          <w:lang w:bidi="ar-SA"/>
          <w:color w:val="111111"/>
          <w:sz w:val="28"/>
          <w:szCs w:val="28"/>
          <w:rtl/>
        </w:rPr>
        <w:t xml:space="preserve">66 .مناسك الحج و العمرة الكبير،</w:t>
      </w:r>
    </w:p>
    <w:p>
      <w:pPr>
        <w:pStyle w:val="BookText"/>
      </w:pPr>
      <w:r>
        <w:rPr>
          <w:rFonts w:ascii="IRNazanin" w:hAnsi="IRNazanin" w:eastAsia="IRNazanin" w:cs="IRNazanin"/>
          <w:lang w:bidi="fa-IR"/>
          <w:color w:val="111111"/>
          <w:sz w:val="28"/>
          <w:szCs w:val="28"/>
          <w:rtl/>
        </w:rPr>
        <w:t xml:space="preserve">ج 15، ص 508.</w:t>
      </w:r>
    </w:p>
    <w:p>
      <w:pPr>
        <w:pStyle w:val="BookText"/>
      </w:pPr>
      <w:r>
        <w:rPr>
          <w:rFonts w:ascii="Amiri" w:hAnsi="Amiri" w:eastAsia="Amiri" w:cs="Amiri"/>
          <w:lang w:bidi="ar-SA"/>
          <w:color w:val="111111"/>
          <w:sz w:val="28"/>
          <w:szCs w:val="28"/>
          <w:rtl/>
        </w:rPr>
        <w:t xml:space="preserve">67 .المنسك الكبير، ج 15 ، ص 686 .</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منية المريد في آداب المفيد و</w:t>
      </w:r>
    </w:p>
    <w:p>
      <w:pPr>
        <w:pStyle w:val="BookText"/>
      </w:pPr>
      <w:r>
        <w:rPr>
          <w:rFonts w:ascii="Amiri" w:hAnsi="Amiri" w:eastAsia="Amiri" w:cs="Amiri"/>
          <w:lang w:bidi="ar-SA"/>
          <w:color w:val="111111"/>
          <w:sz w:val="28"/>
          <w:szCs w:val="28"/>
          <w:rtl/>
        </w:rPr>
        <w:t xml:space="preserve">المستفيد، ج 15 ، ص 830.</w:t>
      </w:r>
    </w:p>
    <w:p>
      <w:pPr>
        <w:pStyle w:val="BookText"/>
      </w:pPr>
      <w:r>
        <w:rPr>
          <w:rFonts w:ascii="Amiri" w:hAnsi="Amiri" w:eastAsia="Amiri" w:cs="Amiri"/>
          <w:lang w:bidi="ar-SA"/>
          <w:color w:val="111111"/>
          <w:sz w:val="28"/>
          <w:szCs w:val="28"/>
          <w:rtl/>
        </w:rPr>
        <w:t xml:space="preserve">69 .المواريث (رسالة في)، ج 15 ،</w:t>
      </w:r>
    </w:p>
    <w:p>
      <w:pPr>
        <w:pStyle w:val="BookText"/>
      </w:pPr>
      <w:r>
        <w:rPr>
          <w:rFonts w:ascii="IRNazanin" w:hAnsi="IRNazanin" w:eastAsia="IRNazanin" w:cs="IRNazanin"/>
          <w:lang w:bidi="fa-IR"/>
          <w:color w:val="111111"/>
          <w:sz w:val="28"/>
          <w:szCs w:val="28"/>
          <w:rtl/>
        </w:rPr>
        <w:t xml:space="preserve">ص 856.</w:t>
      </w:r>
    </w:p>
    <w:p>
      <w:pPr>
        <w:pStyle w:val="BookText"/>
      </w:pPr>
      <w:r>
        <w:rPr>
          <w:rFonts w:ascii="Amiri" w:hAnsi="Amiri" w:eastAsia="Amiri" w:cs="Amiri"/>
          <w:lang w:bidi="ar-SA"/>
          <w:color w:val="111111"/>
          <w:sz w:val="28"/>
          <w:szCs w:val="28"/>
          <w:rtl/>
        </w:rPr>
        <w:t xml:space="preserve">70 .ميراث الزوجة = ارث الزوجة =</w:t>
      </w:r>
    </w:p>
    <w:p>
      <w:pPr>
        <w:pStyle w:val="BookText"/>
      </w:pPr>
      <w:r>
        <w:rPr>
          <w:rFonts w:ascii="Amiri" w:hAnsi="Amiri" w:eastAsia="Amiri" w:cs="Amiri"/>
          <w:lang w:bidi="ar-SA"/>
          <w:color w:val="111111"/>
          <w:sz w:val="28"/>
          <w:szCs w:val="28"/>
          <w:rtl/>
        </w:rPr>
        <w:t xml:space="preserve">حرمان الزوجة من اعيان التركة ج 16، ص 61.</w:t>
      </w:r>
    </w:p>
    <w:p>
      <w:pPr>
        <w:pStyle w:val="BookText"/>
      </w:pPr>
      <w:r>
        <w:rPr>
          <w:rFonts w:ascii="Amiri" w:hAnsi="Amiri" w:eastAsia="Amiri" w:cs="Amiri"/>
          <w:lang w:bidi="ar-SA"/>
          <w:color w:val="111111"/>
          <w:sz w:val="28"/>
          <w:szCs w:val="28"/>
          <w:rtl/>
        </w:rPr>
        <w:t xml:space="preserve">71 .نتائج الافكار في حكم المقيمين في</w:t>
      </w:r>
    </w:p>
    <w:p>
      <w:pPr>
        <w:pStyle w:val="BookText"/>
      </w:pPr>
      <w:r>
        <w:rPr>
          <w:rFonts w:ascii="Amiri" w:hAnsi="Amiri" w:eastAsia="Amiri" w:cs="Amiri"/>
          <w:lang w:bidi="ar-SA"/>
          <w:color w:val="111111"/>
          <w:sz w:val="28"/>
          <w:szCs w:val="28"/>
          <w:rtl/>
        </w:rPr>
        <w:t xml:space="preserve">الاسفار = صلاة المسافر = القصر و</w:t>
      </w:r>
    </w:p>
    <w:p>
      <w:pPr>
        <w:pStyle w:val="BookText"/>
      </w:pPr>
      <w:r>
        <w:rPr>
          <w:rFonts w:ascii="Amiri" w:hAnsi="Amiri" w:eastAsia="Amiri" w:cs="Amiri"/>
          <w:lang w:bidi="ar-SA"/>
          <w:color w:val="111111"/>
          <w:sz w:val="28"/>
          <w:szCs w:val="28"/>
          <w:rtl/>
        </w:rPr>
        <w:t xml:space="preserve">الاتمام = صلاة القصر في السفر = خروج المقيم عن محل الاقامة ج 16، ص 126.</w:t>
      </w:r>
    </w:p>
    <w:p>
      <w:pPr>
        <w:pStyle w:val="BookText"/>
      </w:pPr>
      <w:r>
        <w:rPr>
          <w:rFonts w:ascii="Amiri" w:hAnsi="Amiri" w:eastAsia="Amiri" w:cs="Amiri"/>
          <w:lang w:bidi="ar-SA"/>
          <w:color w:val="111111"/>
          <w:sz w:val="28"/>
          <w:szCs w:val="28"/>
          <w:rtl/>
        </w:rPr>
        <w:t xml:space="preserve">72 .نجاسة البئر بالملاقات او عدمها</w:t>
      </w:r>
    </w:p>
    <w:p>
      <w:pPr>
        <w:pStyle w:val="BookText"/>
      </w:pPr>
      <w:r>
        <w:rPr>
          <w:rFonts w:ascii="IRNazanin" w:hAnsi="IRNazanin" w:eastAsia="IRNazanin" w:cs="IRNazanin"/>
          <w:lang w:bidi="fa-IR"/>
          <w:color w:val="111111"/>
          <w:sz w:val="28"/>
          <w:szCs w:val="28"/>
          <w:rtl/>
        </w:rPr>
        <w:t xml:space="preserve">ج 16، ص 155.</w:t>
      </w:r>
    </w:p>
    <w:p>
      <w:pPr>
        <w:pStyle w:val="BookText"/>
      </w:pPr>
      <w:r>
        <w:rPr>
          <w:rFonts w:ascii="Amiri" w:hAnsi="Amiri" w:eastAsia="Amiri" w:cs="Amiri"/>
          <w:lang w:bidi="ar-SA"/>
          <w:color w:val="111111"/>
          <w:sz w:val="28"/>
          <w:szCs w:val="28"/>
          <w:rtl/>
        </w:rPr>
        <w:t xml:space="preserve">73 .نيات الحج و العمرة = نية الحج</w:t>
      </w:r>
    </w:p>
    <w:p>
      <w:pPr>
        <w:pStyle w:val="BookText"/>
      </w:pPr>
      <w:r>
        <w:rPr>
          <w:rFonts w:ascii="Amiri" w:hAnsi="Amiri" w:eastAsia="Amiri" w:cs="Amiri"/>
          <w:lang w:bidi="ar-SA"/>
          <w:color w:val="111111"/>
          <w:sz w:val="28"/>
          <w:szCs w:val="28"/>
          <w:rtl/>
        </w:rPr>
        <w:t xml:space="preserve">و العمرة، ج 16، ص 574.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النية، ج 16، ص 575.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هادي النجاة، ج 16 ، ص 587.</w:t>
      </w:r>
    </w:p>
    <w:p>
      <w:pPr>
        <w:pStyle w:val="BookText"/>
      </w:pPr>
      <w:r>
        <w:rPr>
          <w:rFonts w:ascii="IRNazanin" w:hAnsi="IRNazanin" w:eastAsia="IRNazanin" w:cs="IRNazanin"/>
          <w:lang w:bidi="fa-IR"/>
          <w:color w:val="111111"/>
          <w:sz w:val="28"/>
          <w:szCs w:val="28"/>
          <w:rtl/>
        </w:rPr>
        <w:t xml:space="preserve">شهید ثالث -برغاني ، محمّد تقي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شهید ثالث ، قاضي نورالله- شوشتري</w:t>
      </w:r>
    </w:p>
    <w:p>
      <w:pPr>
        <w:pStyle w:val="BookText"/>
      </w:pPr>
      <w:r>
        <w:rPr>
          <w:rFonts w:ascii="Amiri" w:hAnsi="Amiri" w:eastAsia="Amiri" w:cs="Amiri"/>
          <w:lang w:bidi="ar-SA"/>
          <w:color w:val="111111"/>
          <w:sz w:val="28"/>
          <w:szCs w:val="28"/>
          <w:rtl/>
        </w:rPr>
        <w:t xml:space="preserve">نور الله بن شرف الدين</w:t>
      </w:r>
    </w:p>
    <w:p>
      <w:pPr>
        <w:pStyle w:val="BookText"/>
      </w:pPr>
      <w:r>
        <w:rPr>
          <w:rFonts w:ascii="Amiri" w:hAnsi="Amiri" w:eastAsia="Amiri" w:cs="Amiri"/>
          <w:lang w:bidi="ar-SA"/>
          <w:color w:val="111111"/>
          <w:sz w:val="28"/>
          <w:szCs w:val="28"/>
          <w:rtl/>
        </w:rPr>
        <w:t xml:space="preserve">شهيد حسيني ، محمّد مهدي بن هدايت الله- حسيني اصفهاني ، محمّد مهدي بن</w:t>
      </w:r>
    </w:p>
    <w:p>
      <w:pPr>
        <w:pStyle w:val="BookText"/>
      </w:pPr>
      <w:r>
        <w:rPr>
          <w:rFonts w:ascii="IRNazanin" w:hAnsi="IRNazanin" w:eastAsia="IRNazanin" w:cs="IRNazanin"/>
          <w:lang w:bidi="fa-IR"/>
          <w:color w:val="111111"/>
          <w:sz w:val="28"/>
          <w:szCs w:val="28"/>
          <w:rtl/>
        </w:rPr>
        <w:t xml:space="preserve">هدایت الله</w:t>
      </w:r>
    </w:p>
    <w:p>
      <w:pPr>
        <w:pStyle w:val="BookText"/>
      </w:pPr>
      <w:r>
        <w:rPr>
          <w:rFonts w:ascii="IRNazanin" w:hAnsi="IRNazanin" w:eastAsia="IRNazanin" w:cs="IRNazanin"/>
          <w:lang w:bidi="fa-IR"/>
          <w:color w:val="111111"/>
          <w:sz w:val="28"/>
          <w:szCs w:val="28"/>
          <w:rtl/>
        </w:rPr>
        <w:t xml:space="preserve">شهید خراساني ، هدايت الله بن مهدي -سيني مشهدي ، هدايت الله بن مهدي</w:t>
      </w:r>
    </w:p>
    <w:p>
      <w:pPr>
        <w:pStyle w:val="BookText"/>
      </w:pPr>
      <w:r>
        <w:rPr>
          <w:rFonts w:ascii="IRNazanin" w:hAnsi="IRNazanin" w:eastAsia="IRNazanin" w:cs="IRNazanin"/>
          <w:lang w:bidi="fa-IR"/>
          <w:color w:val="111111"/>
          <w:sz w:val="28"/>
          <w:szCs w:val="28"/>
          <w:rtl/>
        </w:rPr>
        <w:t xml:space="preserve">شهید رابع ، محمّد مهدي بن هدايت الله -حسيني اصفهاني ، محمّد مهدي بن هدایت الله</w:t>
      </w:r>
    </w:p>
    <w:p>
      <w:pPr>
        <w:pStyle w:val="BookText"/>
      </w:pPr>
      <w:r>
        <w:rPr>
          <w:rFonts w:ascii="IRNazanin" w:hAnsi="IRNazanin" w:eastAsia="IRNazanin" w:cs="IRNazanin"/>
          <w:lang w:bidi="fa-IR"/>
          <w:color w:val="111111"/>
          <w:sz w:val="28"/>
          <w:szCs w:val="28"/>
          <w:rtl/>
        </w:rPr>
        <w:t xml:space="preserve">شهید صدر- صدر ، محمّد باقر</w:t>
      </w:r>
    </w:p>
    <w:p>
      <w:pPr>
        <w:pStyle w:val="BookText"/>
      </w:pPr>
      <w:r>
        <w:rPr>
          <w:rFonts w:ascii="IRNazanin" w:hAnsi="IRNazanin" w:eastAsia="IRNazanin" w:cs="IRNazanin"/>
          <w:lang w:bidi="fa-IR"/>
          <w:color w:val="111111"/>
          <w:sz w:val="28"/>
          <w:szCs w:val="28"/>
          <w:rtl/>
        </w:rPr>
        <w:t xml:space="preserve">بن</w:t>
      </w:r>
    </w:p>
    <w:p>
      <w:pPr>
        <w:pStyle w:val="BookText"/>
      </w:pPr>
      <w:r>
        <w:rPr>
          <w:rFonts w:ascii="IRNazanin" w:hAnsi="IRNazanin" w:eastAsia="IRNazanin" w:cs="IRNazanin"/>
          <w:lang w:bidi="fa-IR"/>
          <w:color w:val="111111"/>
          <w:sz w:val="28"/>
          <w:szCs w:val="28"/>
          <w:rtl/>
        </w:rPr>
        <w:t xml:space="preserve">شهید مشهدي ، هدايت الله مهدي -حسيني مشهدي ، هدايت الله بن</w:t>
      </w:r>
    </w:p>
    <w:p>
      <w:pPr>
        <w:pStyle w:val="BookText"/>
      </w:pPr>
      <w:r>
        <w:rPr>
          <w:rFonts w:ascii="Amiri" w:hAnsi="Amiri" w:eastAsia="Amiri" w:cs="Amiri"/>
          <w:lang w:bidi="ar-SA"/>
          <w:color w:val="111111"/>
          <w:sz w:val="28"/>
          <w:szCs w:val="28"/>
          <w:rtl/>
        </w:rPr>
        <w:t xml:space="preserve">مهدي</w:t>
      </w:r>
    </w:p>
    <w:p>
      <w:pPr>
        <w:pStyle w:val="BookText"/>
      </w:pPr>
      <w:r>
        <w:rPr>
          <w:rFonts w:ascii="Amiri" w:hAnsi="Amiri" w:eastAsia="Amiri" w:cs="Amiri"/>
          <w:lang w:bidi="ar-SA"/>
          <w:color w:val="111111"/>
          <w:sz w:val="28"/>
          <w:szCs w:val="28"/>
          <w:rtl/>
        </w:rPr>
        <w:t xml:space="preserve">شهيدي عاملي ، احمد بن محمّد- عاملي ، احمد بن محمّد</w:t>
      </w:r>
    </w:p>
    <w:p>
      <w:pPr>
        <w:pStyle w:val="Heading2"/>
      </w:pPr>
      <w:bookmarkStart w:id="5242" w:name="_Toc4344"/>
      <w:r>
        <w:t>شواف زاده ، عبدالسلام بن سعيد</w:t>
      </w:r>
      <w:bookmarkEnd w:id="5242"/>
    </w:p>
    <w:p>
      <w:pPr>
        <w:pStyle w:val="BookText"/>
      </w:pPr>
      <w:r>
        <w:rPr>
          <w:rFonts w:ascii="IRNazanin" w:hAnsi="IRNazanin" w:eastAsia="IRNazanin" w:cs="IRNazanin"/>
          <w:lang w:bidi="fa-IR"/>
          <w:color w:val="111111"/>
          <w:sz w:val="28"/>
          <w:szCs w:val="28"/>
          <w:rtl/>
        </w:rPr>
        <w:t xml:space="preserve">1318 ه-</w:t>
      </w:r>
    </w:p>
    <w:p>
      <w:pPr>
        <w:pStyle w:val="BookText"/>
      </w:pPr>
      <w:r>
        <w:rPr>
          <w:rFonts w:ascii="IRNazanin" w:hAnsi="IRNazanin" w:eastAsia="IRNazanin" w:cs="IRNazanin"/>
          <w:lang w:bidi="fa-IR"/>
          <w:color w:val="111111"/>
          <w:sz w:val="28"/>
          <w:szCs w:val="28"/>
          <w:rtl/>
        </w:rPr>
        <w:t xml:space="preserve">1 .استظهار الصفار على اظهار</w:t>
      </w:r>
    </w:p>
    <w:p>
      <w:pPr>
        <w:pStyle w:val="BookText"/>
      </w:pPr>
      <w:r>
        <w:rPr>
          <w:rFonts w:ascii="IRNazanin" w:hAnsi="IRNazanin" w:eastAsia="IRNazanin" w:cs="IRNazanin"/>
          <w:lang w:bidi="fa-IR"/>
          <w:color w:val="111111"/>
          <w:sz w:val="28"/>
          <w:szCs w:val="28"/>
          <w:rtl/>
        </w:rPr>
        <w:t xml:space="preserve">الاسرار، ج 2، ص 136.</w:t>
      </w:r>
    </w:p>
    <w:p>
      <w:pPr>
        <w:pStyle w:val="BookText"/>
      </w:pPr>
      <w:r>
        <w:rPr>
          <w:rFonts w:ascii="Amiri" w:hAnsi="Amiri" w:eastAsia="Amiri" w:cs="Amiri"/>
          <w:lang w:bidi="ar-SA"/>
          <w:color w:val="111111"/>
          <w:sz w:val="28"/>
          <w:szCs w:val="28"/>
          <w:rtl/>
        </w:rPr>
        <w:t xml:space="preserve">2 .مجموعة خطب، ج 14، ص28.</w:t>
      </w:r>
    </w:p>
    <w:p>
      <w:pPr>
        <w:pStyle w:val="Heading2"/>
      </w:pPr>
      <w:bookmarkStart w:id="5243" w:name="_Toc4345"/>
      <w:r>
        <w:t>شواف ، عبدالفتاح بن سعيد - 1262 ه-</w:t>
      </w:r>
      <w:bookmarkEnd w:id="5243"/>
    </w:p>
    <w:p>
      <w:pPr>
        <w:pStyle w:val="BookText"/>
      </w:pPr>
      <w:r>
        <w:rPr>
          <w:rFonts w:ascii="Amiri" w:hAnsi="Amiri" w:eastAsia="Amiri" w:cs="Amiri"/>
          <w:lang w:bidi="ar-SA"/>
          <w:color w:val="111111"/>
          <w:sz w:val="28"/>
          <w:szCs w:val="28"/>
          <w:rtl/>
        </w:rPr>
        <w:t xml:space="preserve">1 .حديقة الورود في مدائح أبي الثناء شهاب الدين السيد محمود، ج6،</w:t>
      </w:r>
    </w:p>
    <w:p>
      <w:pPr>
        <w:pStyle w:val="BookText"/>
      </w:pPr>
      <w:r>
        <w:rPr>
          <w:rFonts w:ascii="IRNazanin" w:hAnsi="IRNazanin" w:eastAsia="IRNazanin" w:cs="IRNazanin"/>
          <w:lang w:bidi="fa-IR"/>
          <w:color w:val="111111"/>
          <w:sz w:val="28"/>
          <w:szCs w:val="28"/>
          <w:rtl/>
        </w:rPr>
        <w:t xml:space="preserve">ص 597</w:t>
      </w:r>
    </w:p>
    <w:p>
      <w:pPr>
        <w:pStyle w:val="BookText"/>
      </w:pPr>
      <w:r>
        <w:rPr>
          <w:rFonts w:ascii="Amiri" w:hAnsi="Amiri" w:eastAsia="Amiri" w:cs="Amiri"/>
          <w:lang w:bidi="ar-SA"/>
          <w:color w:val="111111"/>
          <w:sz w:val="28"/>
          <w:szCs w:val="28"/>
          <w:rtl/>
        </w:rPr>
        <w:t xml:space="preserve">2 .ديوان الشواف، ج 7، ص 674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39" w:name="pg7742_70627"/>
    <w:bookmarkEnd w:id="639"/>
    <w:p>
      <w:pPr>
        <w:pStyle w:val="BookText"/>
      </w:pPr>
      <w:r>
        <w:rPr>
          <w:rFonts w:ascii="Amiri" w:hAnsi="Amiri" w:eastAsia="Amiri" w:cs="Amiri"/>
          <w:lang w:bidi="ar-SA"/>
          <w:color w:val="111111"/>
          <w:sz w:val="28"/>
          <w:szCs w:val="28"/>
          <w:rtl/>
        </w:rPr>
        <w:t xml:space="preserve">شوانسي ، محمّد -شيرانشي كردي ، محمّد</w:t>
      </w:r>
    </w:p>
    <w:p>
      <w:pPr>
        <w:pStyle w:val="Heading2"/>
      </w:pPr>
      <w:bookmarkStart w:id="5244" w:name="_Toc4346"/>
      <w:r>
        <w:t>شوبري، محمّد بن احمد، 977 - 1069</w:t>
      </w:r>
      <w:bookmarkEnd w:id="5244"/>
    </w:p>
    <w:p>
      <w:pPr>
        <w:pStyle w:val="BookText"/>
      </w:pPr>
      <w:r>
        <w:rPr>
          <w:rFonts w:ascii="Amiri" w:hAnsi="Amiri" w:eastAsia="Amiri" w:cs="Amiri"/>
          <w:lang w:bidi="ar-SA"/>
          <w:color w:val="111111"/>
          <w:sz w:val="28"/>
          <w:szCs w:val="28"/>
          <w:rtl/>
        </w:rPr>
        <w:t xml:space="preserve">1 .حاشية الاربعين حديثاً، ج5،</w:t>
      </w:r>
    </w:p>
    <w:p>
      <w:pPr>
        <w:pStyle w:val="BookText"/>
      </w:pPr>
      <w:r>
        <w:rPr>
          <w:rFonts w:ascii="IRNazanin" w:hAnsi="IRNazanin" w:eastAsia="IRNazanin" w:cs="IRNazanin"/>
          <w:lang w:bidi="fa-IR"/>
          <w:color w:val="111111"/>
          <w:sz w:val="28"/>
          <w:szCs w:val="28"/>
          <w:rtl/>
        </w:rPr>
        <w:t xml:space="preserve">ص 657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كرامات الاولياء هل هي باقية بعد</w:t>
      </w:r>
    </w:p>
    <w:p>
      <w:pPr>
        <w:pStyle w:val="BookText"/>
      </w:pPr>
      <w:r>
        <w:rPr>
          <w:rFonts w:ascii="Amiri" w:hAnsi="Amiri" w:eastAsia="Amiri" w:cs="Amiri"/>
          <w:lang w:bidi="ar-SA"/>
          <w:color w:val="111111"/>
          <w:sz w:val="28"/>
          <w:szCs w:val="28"/>
          <w:rtl/>
        </w:rPr>
        <w:t xml:space="preserve">الموت ام لا (رسالة في )، ج 13،</w:t>
      </w:r>
    </w:p>
    <w:p>
      <w:pPr>
        <w:pStyle w:val="BookText"/>
      </w:pPr>
      <w:r>
        <w:rPr>
          <w:rFonts w:ascii="IRNazanin" w:hAnsi="IRNazanin" w:eastAsia="IRNazanin" w:cs="IRNazanin"/>
          <w:lang w:bidi="fa-IR"/>
          <w:color w:val="111111"/>
          <w:sz w:val="28"/>
          <w:szCs w:val="28"/>
          <w:rtl/>
        </w:rPr>
        <w:t xml:space="preserve">ص 153.</w:t>
      </w:r>
    </w:p>
    <w:p>
      <w:pPr>
        <w:pStyle w:val="Heading2"/>
      </w:pPr>
      <w:bookmarkStart w:id="5245" w:name="_Toc4347"/>
      <w:r>
        <w:t>شوبري، محمّد بن خليفه قرن 11 ه-</w:t>
      </w:r>
      <w:bookmarkEnd w:id="5245"/>
    </w:p>
    <w:p>
      <w:pPr>
        <w:pStyle w:val="BookText"/>
      </w:pPr>
      <w:r>
        <w:rPr>
          <w:rFonts w:ascii="Amiri" w:hAnsi="Amiri" w:eastAsia="Amiri" w:cs="Amiri"/>
          <w:lang w:bidi="ar-SA"/>
          <w:color w:val="111111"/>
          <w:sz w:val="28"/>
          <w:szCs w:val="28"/>
          <w:rtl/>
        </w:rPr>
        <w:t xml:space="preserve">اقسام الحديث الضعيف، ج2،</w:t>
      </w:r>
    </w:p>
    <w:p>
      <w:pPr>
        <w:pStyle w:val="BookText"/>
      </w:pPr>
      <w:r>
        <w:rPr>
          <w:rFonts w:ascii="IRNazanin" w:hAnsi="IRNazanin" w:eastAsia="IRNazanin" w:cs="IRNazanin"/>
          <w:lang w:bidi="fa-IR"/>
          <w:color w:val="111111"/>
          <w:sz w:val="28"/>
          <w:szCs w:val="28"/>
          <w:rtl/>
        </w:rPr>
        <w:t xml:space="preserve">ص 623 .</w:t>
      </w:r>
    </w:p>
    <w:p>
      <w:pPr>
        <w:pStyle w:val="BookText"/>
      </w:pPr>
      <w:r>
        <w:rPr>
          <w:rFonts w:ascii="Amiri" w:hAnsi="Amiri" w:eastAsia="Amiri" w:cs="Amiri"/>
          <w:lang w:bidi="ar-SA"/>
          <w:color w:val="111111"/>
          <w:sz w:val="28"/>
          <w:szCs w:val="28"/>
          <w:rtl/>
        </w:rPr>
        <w:t xml:space="preserve">شوشتري ، اسدالله بن اسماعيل- كاظمي</w:t>
      </w:r>
    </w:p>
    <w:p>
      <w:pPr>
        <w:pStyle w:val="BookText"/>
      </w:pPr>
      <w:r>
        <w:rPr>
          <w:rFonts w:ascii="Amiri" w:hAnsi="Amiri" w:eastAsia="Amiri" w:cs="Amiri"/>
          <w:lang w:bidi="ar-SA"/>
          <w:color w:val="111111"/>
          <w:sz w:val="28"/>
          <w:szCs w:val="28"/>
          <w:rtl/>
        </w:rPr>
        <w:t xml:space="preserve">اسدالله بن اسماعيل</w:t>
      </w:r>
    </w:p>
    <w:p>
      <w:pPr>
        <w:pStyle w:val="BookText"/>
      </w:pPr>
      <w:r>
        <w:rPr>
          <w:rFonts w:ascii="Amiri" w:hAnsi="Amiri" w:eastAsia="Amiri" w:cs="Amiri"/>
          <w:lang w:bidi="ar-SA"/>
          <w:color w:val="111111"/>
          <w:sz w:val="28"/>
          <w:szCs w:val="28"/>
          <w:rtl/>
        </w:rPr>
        <w:t xml:space="preserve">شوشتري ، تقي الدين محمّد بن محمّد- ارجاني شوشتري ، محمّد بن محمّد</w:t>
      </w:r>
    </w:p>
    <w:p>
      <w:pPr>
        <w:pStyle w:val="Heading2"/>
      </w:pPr>
      <w:bookmarkStart w:id="5246" w:name="_Toc4348"/>
      <w:r>
        <w:t>شوشتري ، جعفر بن حسين، 1230 -</w:t>
      </w:r>
      <w:bookmarkEnd w:id="5246"/>
    </w:p>
    <w:p>
      <w:pPr>
        <w:pStyle w:val="BookText"/>
      </w:pPr>
      <w:r>
        <w:rPr>
          <w:rFonts w:ascii="IRNazanin" w:hAnsi="IRNazanin" w:eastAsia="IRNazanin" w:cs="IRNazanin"/>
          <w:lang w:bidi="fa-IR"/>
          <w:color w:val="111111"/>
          <w:sz w:val="28"/>
          <w:szCs w:val="28"/>
          <w:rtl/>
        </w:rPr>
        <w:t xml:space="preserve">1303 ه-</w:t>
      </w:r>
    </w:p>
    <w:p>
      <w:pPr>
        <w:pStyle w:val="BookText"/>
      </w:pPr>
      <w:r>
        <w:rPr>
          <w:rFonts w:ascii="Amiri" w:hAnsi="Amiri" w:eastAsia="Amiri" w:cs="Amiri"/>
          <w:lang w:bidi="ar-SA"/>
          <w:color w:val="111111"/>
          <w:sz w:val="28"/>
          <w:szCs w:val="28"/>
          <w:rtl/>
        </w:rPr>
        <w:t xml:space="preserve">1 .إجازة للسيد عبدالصمد بن الحاج</w:t>
      </w:r>
    </w:p>
    <w:p>
      <w:pPr>
        <w:pStyle w:val="BookText"/>
      </w:pPr>
      <w:r>
        <w:rPr>
          <w:rFonts w:ascii="Amiri" w:hAnsi="Amiri" w:eastAsia="Amiri" w:cs="Amiri"/>
          <w:lang w:bidi="ar-SA"/>
          <w:color w:val="111111"/>
          <w:sz w:val="28"/>
          <w:szCs w:val="28"/>
          <w:rtl/>
        </w:rPr>
        <w:t xml:space="preserve">السيد أحمد آل نعمة الله</w:t>
      </w:r>
    </w:p>
    <w:p>
      <w:pPr>
        <w:pStyle w:val="BookText"/>
      </w:pPr>
      <w:r>
        <w:rPr>
          <w:rFonts w:ascii="Amiri" w:hAnsi="Amiri" w:eastAsia="Amiri" w:cs="Amiri"/>
          <w:lang w:bidi="ar-SA"/>
          <w:color w:val="111111"/>
          <w:sz w:val="28"/>
          <w:szCs w:val="28"/>
          <w:rtl/>
        </w:rPr>
        <w:t xml:space="preserve">الجزائري، ج 1، ص 251.</w:t>
      </w:r>
    </w:p>
    <w:p>
      <w:pPr>
        <w:pStyle w:val="BookText"/>
      </w:pPr>
      <w:r>
        <w:rPr>
          <w:rFonts w:ascii="Amiri" w:hAnsi="Amiri" w:eastAsia="Amiri" w:cs="Amiri"/>
          <w:lang w:bidi="ar-SA"/>
          <w:color w:val="111111"/>
          <w:sz w:val="28"/>
          <w:szCs w:val="28"/>
          <w:rtl/>
        </w:rPr>
        <w:t xml:space="preserve">2 .الخصائص الحسينية = خصائص</w:t>
      </w:r>
    </w:p>
    <w:p>
      <w:pPr>
        <w:pStyle w:val="BookText"/>
      </w:pPr>
      <w:r>
        <w:rPr>
          <w:rFonts w:ascii="Amiri" w:hAnsi="Amiri" w:eastAsia="Amiri" w:cs="Amiri"/>
          <w:lang w:bidi="ar-SA"/>
          <w:color w:val="111111"/>
          <w:sz w:val="28"/>
          <w:szCs w:val="28"/>
          <w:rtl/>
        </w:rPr>
        <w:t xml:space="preserve">الحسين عليه السلام و مزايا المظلوم، ج 7، ص33.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مجالس المواعظ = فوائد المشاهد</w:t>
      </w:r>
    </w:p>
    <w:p>
      <w:pPr>
        <w:pStyle w:val="BookText"/>
      </w:pPr>
      <w:r>
        <w:rPr>
          <w:rFonts w:ascii="IRNazanin" w:hAnsi="IRNazanin" w:eastAsia="IRNazanin" w:cs="IRNazanin"/>
          <w:lang w:bidi="fa-IR"/>
          <w:color w:val="111111"/>
          <w:sz w:val="28"/>
          <w:szCs w:val="28"/>
          <w:rtl/>
        </w:rPr>
        <w:t xml:space="preserve">ج 13، ص 804.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منهج الرشاد لتقليد العباد، ج 15</w:t>
      </w:r>
    </w:p>
    <w:p>
      <w:pPr>
        <w:pStyle w:val="BookText"/>
      </w:pPr>
      <w:r>
        <w:rPr>
          <w:rFonts w:ascii="IRNazanin" w:hAnsi="IRNazanin" w:eastAsia="IRNazanin" w:cs="IRNazanin"/>
          <w:lang w:bidi="fa-IR"/>
          <w:color w:val="111111"/>
          <w:sz w:val="28"/>
          <w:szCs w:val="28"/>
          <w:rtl/>
        </w:rPr>
        <w:t xml:space="preserve">ص 794 .</w:t>
      </w:r>
    </w:p>
    <w:p>
      <w:pPr>
        <w:pStyle w:val="Heading2"/>
      </w:pPr>
      <w:bookmarkStart w:id="5247" w:name="_Toc4349"/>
      <w:r>
        <w:t>شوشتري ، حسن بن ابي الكرم</w:t>
      </w:r>
      <w:bookmarkEnd w:id="5247"/>
    </w:p>
    <w:p>
      <w:pPr>
        <w:pStyle w:val="BookText"/>
      </w:pPr>
      <w:r>
        <w:rPr>
          <w:rFonts w:ascii="Amiri" w:hAnsi="Amiri" w:eastAsia="Amiri" w:cs="Amiri"/>
          <w:lang w:bidi="ar-SA"/>
          <w:color w:val="111111"/>
          <w:sz w:val="28"/>
          <w:szCs w:val="28"/>
          <w:rtl/>
        </w:rPr>
        <w:t xml:space="preserve">1 .دعوات ساعات الليل والنهار، ج7،</w:t>
      </w:r>
    </w:p>
    <w:p>
      <w:pPr>
        <w:pStyle w:val="BookText"/>
      </w:pPr>
      <w:r>
        <w:rPr>
          <w:rFonts w:ascii="IRNazanin" w:hAnsi="IRNazanin" w:eastAsia="IRNazanin" w:cs="IRNazanin"/>
          <w:lang w:bidi="fa-IR"/>
          <w:color w:val="111111"/>
          <w:sz w:val="28"/>
          <w:szCs w:val="28"/>
          <w:rtl/>
        </w:rPr>
        <w:t xml:space="preserve">ص 415.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الزايرجة، ج 9، ص 572.</w:t>
      </w:r>
    </w:p>
    <w:p>
      <w:pPr>
        <w:pStyle w:val="BookText"/>
      </w:pPr>
      <w:r>
        <w:rPr>
          <w:rFonts w:ascii="Amiri" w:hAnsi="Amiri" w:eastAsia="Amiri" w:cs="Amiri"/>
          <w:lang w:bidi="ar-SA"/>
          <w:color w:val="111111"/>
          <w:sz w:val="28"/>
          <w:szCs w:val="28"/>
          <w:rtl/>
        </w:rPr>
        <w:t xml:space="preserve">شوشتري ، حسنعلي بن عبدالله- تستري حسنعلي بن عبدالله</w:t>
      </w:r>
    </w:p>
    <w:p>
      <w:pPr>
        <w:pStyle w:val="Heading2"/>
      </w:pPr>
      <w:bookmarkStart w:id="5248" w:name="_Toc4350"/>
      <w:r>
        <w:t>شوشتري ، حسين بن حسن قرن 13 ه-</w:t>
      </w:r>
      <w:bookmarkEnd w:id="5248"/>
    </w:p>
    <w:p>
      <w:pPr>
        <w:pStyle w:val="BookText"/>
      </w:pPr>
      <w:r>
        <w:rPr>
          <w:rFonts w:ascii="Amiri" w:hAnsi="Amiri" w:eastAsia="Amiri" w:cs="Amiri"/>
          <w:lang w:bidi="ar-SA"/>
          <w:color w:val="111111"/>
          <w:sz w:val="28"/>
          <w:szCs w:val="28"/>
          <w:rtl/>
        </w:rPr>
        <w:t xml:space="preserve">رسالة عملية وفق فتاوى الميرزا محمّد</w:t>
      </w:r>
    </w:p>
    <w:p>
      <w:pPr>
        <w:pStyle w:val="BookText"/>
      </w:pPr>
      <w:r>
        <w:rPr>
          <w:rFonts w:ascii="Amiri" w:hAnsi="Amiri" w:eastAsia="Amiri" w:cs="Amiri"/>
          <w:lang w:bidi="ar-SA"/>
          <w:color w:val="111111"/>
          <w:sz w:val="28"/>
          <w:szCs w:val="28"/>
          <w:rtl/>
        </w:rPr>
        <w:t xml:space="preserve">الطباطبائي، ج8، ص233</w:t>
      </w:r>
    </w:p>
    <w:p>
      <w:pPr>
        <w:pStyle w:val="Heading2"/>
      </w:pPr>
      <w:bookmarkStart w:id="5249" w:name="_Toc4351"/>
      <w:r>
        <w:t>شوشتري ، عبدالرحيم بن محمّد علي</w:t>
      </w:r>
      <w:bookmarkEnd w:id="5249"/>
    </w:p>
    <w:p>
      <w:pPr>
        <w:pStyle w:val="BookText"/>
      </w:pPr>
      <w:r>
        <w:rPr>
          <w:rFonts w:ascii="IRNazanin" w:hAnsi="IRNazanin" w:eastAsia="IRNazanin" w:cs="IRNazanin"/>
          <w:lang w:bidi="fa-IR"/>
          <w:color w:val="111111"/>
          <w:sz w:val="28"/>
          <w:szCs w:val="28"/>
          <w:rtl/>
        </w:rPr>
        <w:t xml:space="preserve">1226 - 1313ه-</w:t>
      </w:r>
    </w:p>
    <w:p>
      <w:pPr>
        <w:pStyle w:val="BookText"/>
      </w:pPr>
      <w:r>
        <w:rPr>
          <w:rFonts w:ascii="Amiri" w:hAnsi="Amiri" w:eastAsia="Amiri" w:cs="Amiri"/>
          <w:lang w:bidi="ar-SA"/>
          <w:color w:val="111111"/>
          <w:sz w:val="28"/>
          <w:szCs w:val="28"/>
          <w:rtl/>
        </w:rPr>
        <w:t xml:space="preserve">1 .ايقاظ الراقدين في المواعظ، ج 3،</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Amiri" w:hAnsi="Amiri" w:eastAsia="Amiri" w:cs="Amiri"/>
          <w:lang w:bidi="ar-SA"/>
          <w:color w:val="111111"/>
          <w:sz w:val="28"/>
          <w:szCs w:val="28"/>
          <w:rtl/>
        </w:rPr>
        <w:t xml:space="preserve">2 .تقريرات الفقه، ج 4، ص 764.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تقريرات في الاصول، ج 4، ص 768.</w:t>
      </w:r>
    </w:p>
    <w:p>
      <w:pPr>
        <w:pStyle w:val="BookText"/>
      </w:pPr>
      <w:r>
        <w:rPr>
          <w:rFonts w:ascii="Amiri" w:hAnsi="Amiri" w:eastAsia="Amiri" w:cs="Amiri"/>
          <w:lang w:bidi="ar-SA"/>
          <w:color w:val="111111"/>
          <w:sz w:val="28"/>
          <w:szCs w:val="28"/>
          <w:rtl/>
        </w:rPr>
        <w:t xml:space="preserve">4 .الحج (كتاب في)، ج 6، ص 477.</w:t>
      </w:r>
    </w:p>
    <w:p>
      <w:pPr>
        <w:pStyle w:val="BookText"/>
      </w:pPr>
      <w:r>
        <w:rPr>
          <w:rFonts w:ascii="Amiri" w:hAnsi="Amiri" w:eastAsia="Amiri" w:cs="Amiri"/>
          <w:lang w:bidi="ar-SA"/>
          <w:color w:val="111111"/>
          <w:sz w:val="28"/>
          <w:szCs w:val="28"/>
          <w:rtl/>
        </w:rPr>
        <w:t xml:space="preserve">5 .محاسن الادب للطالبين من اولي</w:t>
      </w:r>
    </w:p>
    <w:p>
      <w:pPr>
        <w:pStyle w:val="BookText"/>
      </w:pPr>
      <w:r>
        <w:rPr>
          <w:rFonts w:ascii="IRNazanin" w:hAnsi="IRNazanin" w:eastAsia="IRNazanin" w:cs="IRNazanin"/>
          <w:lang w:bidi="fa-IR"/>
          <w:color w:val="111111"/>
          <w:sz w:val="28"/>
          <w:szCs w:val="28"/>
          <w:rtl/>
        </w:rPr>
        <w:t xml:space="preserve">الالباب، ج 14، ص 92 .</w:t>
      </w:r>
    </w:p>
    <w:p>
      <w:pPr>
        <w:pStyle w:val="BookText"/>
      </w:pPr>
      <w:r>
        <w:rPr>
          <w:rFonts w:ascii="Amiri" w:hAnsi="Amiri" w:eastAsia="Amiri" w:cs="Amiri"/>
          <w:lang w:bidi="ar-SA"/>
          <w:color w:val="111111"/>
          <w:sz w:val="28"/>
          <w:szCs w:val="28"/>
          <w:rtl/>
        </w:rPr>
        <w:t xml:space="preserve">6 .نتيجة الانظار، ج 16، ص 135.</w:t>
      </w:r>
    </w:p>
    <w:p>
      <w:pPr>
        <w:pStyle w:val="BookText"/>
      </w:pPr>
      <w:r>
        <w:rPr>
          <w:rFonts w:ascii="Amiri" w:hAnsi="Amiri" w:eastAsia="Amiri" w:cs="Amiri"/>
          <w:lang w:bidi="ar-SA"/>
          <w:color w:val="111111"/>
          <w:sz w:val="28"/>
          <w:szCs w:val="28"/>
          <w:rtl/>
        </w:rPr>
        <w:t xml:space="preserve">شوشتري عباس - تستري ، عباس</w:t>
      </w:r>
    </w:p>
    <w:p>
      <w:pPr>
        <w:pStyle w:val="BookText"/>
      </w:pPr>
      <w:r>
        <w:rPr>
          <w:rFonts w:ascii="Amiri" w:hAnsi="Amiri" w:eastAsia="Amiri" w:cs="Amiri"/>
          <w:lang w:bidi="ar-SA"/>
          <w:color w:val="111111"/>
          <w:sz w:val="28"/>
          <w:szCs w:val="28"/>
          <w:rtl/>
        </w:rPr>
        <w:t xml:space="preserve">شوشتري ، عباس -موسوي شوشتري ،</w:t>
      </w:r>
    </w:p>
    <w:p>
      <w:pPr>
        <w:pStyle w:val="BookText"/>
      </w:pPr>
      <w:r>
        <w:rPr>
          <w:rFonts w:ascii="Amiri" w:hAnsi="Amiri" w:eastAsia="Amiri" w:cs="Amiri"/>
          <w:lang w:bidi="ar-SA"/>
          <w:color w:val="111111"/>
          <w:sz w:val="28"/>
          <w:szCs w:val="28"/>
          <w:rtl/>
        </w:rPr>
        <w:t xml:space="preserve">محمّد عباس بن علي اكبر</w:t>
      </w:r>
    </w:p>
    <w:p>
      <w:pPr>
        <w:pStyle w:val="BookText"/>
      </w:pPr>
      <w:r>
        <w:rPr>
          <w:rFonts w:ascii="Amiri" w:hAnsi="Amiri" w:eastAsia="Amiri" w:cs="Amiri"/>
          <w:lang w:bidi="ar-SA"/>
          <w:color w:val="111111"/>
          <w:sz w:val="28"/>
          <w:szCs w:val="28"/>
          <w:rtl/>
        </w:rPr>
        <w:t xml:space="preserve">شوشتري ، عبد الكريم - موسوي جزائري ،</w:t>
      </w:r>
    </w:p>
    <w:p>
      <w:pPr>
        <w:pStyle w:val="BookText"/>
      </w:pPr>
      <w:r>
        <w:rPr>
          <w:rFonts w:ascii="Amiri" w:hAnsi="Amiri" w:eastAsia="Amiri" w:cs="Amiri"/>
          <w:lang w:bidi="ar-SA"/>
          <w:color w:val="111111"/>
          <w:sz w:val="28"/>
          <w:szCs w:val="28"/>
          <w:rtl/>
        </w:rPr>
        <w:t xml:space="preserve">عبدالكريم بن محمّد جواد</w:t>
      </w:r>
    </w:p>
    <w:p>
      <w:pPr>
        <w:pStyle w:val="Heading2"/>
      </w:pPr>
      <w:bookmarkStart w:id="5250" w:name="_Toc4352"/>
      <w:r>
        <w:t>شوشتري ، عبدالله بن حسين - 1021 ه-</w:t>
      </w:r>
      <w:bookmarkEnd w:id="5250"/>
    </w:p>
    <w:p>
      <w:pPr>
        <w:pStyle w:val="BookText"/>
      </w:pPr>
      <w:r>
        <w:rPr>
          <w:rFonts w:ascii="Amiri" w:hAnsi="Amiri" w:eastAsia="Amiri" w:cs="Amiri"/>
          <w:lang w:bidi="ar-SA"/>
          <w:color w:val="111111"/>
          <w:sz w:val="28"/>
          <w:szCs w:val="28"/>
          <w:rtl/>
        </w:rPr>
        <w:t xml:space="preserve">1 .إجازة للقاضي عبد المؤمن، ج1،</w:t>
      </w:r>
    </w:p>
    <w:p>
      <w:pPr>
        <w:pStyle w:val="BookText"/>
      </w:pPr>
      <w:r>
        <w:rPr>
          <w:rFonts w:ascii="IRNazanin" w:hAnsi="IRNazanin" w:eastAsia="IRNazanin" w:cs="IRNazanin"/>
          <w:lang w:bidi="fa-IR"/>
          <w:color w:val="111111"/>
          <w:sz w:val="28"/>
          <w:szCs w:val="28"/>
          <w:rtl/>
        </w:rPr>
        <w:t xml:space="preserve">ص 281.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40" w:name="pg7742_70628"/>
    <w:bookmarkEnd w:id="640"/>
    <w:p>
      <w:pPr>
        <w:pStyle w:val="BookText"/>
      </w:pPr>
      <w:r>
        <w:rPr>
          <w:rFonts w:ascii="Amiri" w:hAnsi="Amiri" w:eastAsia="Amiri" w:cs="Amiri"/>
          <w:lang w:bidi="ar-SA"/>
          <w:color w:val="111111"/>
          <w:sz w:val="28"/>
          <w:szCs w:val="28"/>
          <w:rtl/>
        </w:rPr>
        <w:t xml:space="preserve">2 .إجازة للمير مصطفى التفريشي، ج 1،</w:t>
      </w:r>
    </w:p>
    <w:p>
      <w:pPr>
        <w:pStyle w:val="BookText"/>
      </w:pPr>
      <w:r>
        <w:rPr>
          <w:rFonts w:ascii="IRNazanin" w:hAnsi="IRNazanin" w:eastAsia="IRNazanin" w:cs="IRNazanin"/>
          <w:lang w:bidi="fa-IR"/>
          <w:color w:val="111111"/>
          <w:sz w:val="28"/>
          <w:szCs w:val="28"/>
          <w:rtl/>
        </w:rPr>
        <w:t xml:space="preserve">ص 291.</w:t>
      </w:r>
    </w:p>
    <w:p>
      <w:pPr>
        <w:pStyle w:val="BookText"/>
      </w:pPr>
      <w:r>
        <w:rPr>
          <w:rFonts w:ascii="Amiri" w:hAnsi="Amiri" w:eastAsia="Amiri" w:cs="Amiri"/>
          <w:lang w:bidi="ar-SA"/>
          <w:color w:val="111111"/>
          <w:sz w:val="28"/>
          <w:szCs w:val="28"/>
          <w:rtl/>
        </w:rPr>
        <w:t xml:space="preserve">شوشتري ، محمّد عباس بن علي</w:t>
      </w:r>
    </w:p>
    <w:p>
      <w:pPr>
        <w:pStyle w:val="BookText"/>
      </w:pPr>
      <w:r>
        <w:rPr>
          <w:rFonts w:ascii="Amiri" w:hAnsi="Amiri" w:eastAsia="Amiri" w:cs="Amiri"/>
          <w:lang w:bidi="ar-SA"/>
          <w:color w:val="111111"/>
          <w:sz w:val="28"/>
          <w:szCs w:val="28"/>
          <w:rtl/>
        </w:rPr>
        <w:t xml:space="preserve">3 .اجوبة المسائل، ج 1، ص 334.</w:t>
      </w:r>
    </w:p>
    <w:p>
      <w:pPr>
        <w:pStyle w:val="BookText"/>
      </w:pPr>
      <w:r>
        <w:rPr>
          <w:rFonts w:ascii="IRNazanin" w:hAnsi="IRNazanin" w:eastAsia="IRNazanin" w:cs="IRNazanin"/>
          <w:lang w:bidi="fa-IR"/>
          <w:color w:val="111111"/>
          <w:sz w:val="28"/>
          <w:szCs w:val="28"/>
          <w:rtl/>
        </w:rPr>
        <w:t xml:space="preserve">اسب</w:t>
      </w:r>
    </w:p>
    <w:p>
      <w:pPr>
        <w:pStyle w:val="BookText"/>
      </w:pPr>
      <w:r>
        <w:rPr>
          <w:rFonts w:ascii="Amiri" w:hAnsi="Amiri" w:eastAsia="Amiri" w:cs="Amiri"/>
          <w:lang w:bidi="ar-SA"/>
          <w:color w:val="111111"/>
          <w:sz w:val="28"/>
          <w:szCs w:val="28"/>
          <w:rtl/>
        </w:rPr>
        <w:t xml:space="preserve">4 .حاشية الالفية، ج 5، ص 669.</w:t>
      </w:r>
    </w:p>
    <w:p>
      <w:pPr>
        <w:pStyle w:val="BookText"/>
      </w:pPr>
      <w:r>
        <w:rPr>
          <w:rFonts w:ascii="Amiri" w:hAnsi="Amiri" w:eastAsia="Amiri" w:cs="Amiri"/>
          <w:lang w:bidi="ar-SA"/>
          <w:color w:val="111111"/>
          <w:sz w:val="28"/>
          <w:szCs w:val="28"/>
          <w:rtl/>
        </w:rPr>
        <w:t xml:space="preserve">5 .شرح النفلية، ج 10، ص292.</w:t>
      </w:r>
    </w:p>
    <w:p>
      <w:pPr>
        <w:pStyle w:val="BookText"/>
      </w:pPr>
      <w:r>
        <w:rPr>
          <w:rFonts w:ascii="Amiri" w:hAnsi="Amiri" w:eastAsia="Amiri" w:cs="Amiri"/>
          <w:lang w:bidi="ar-SA"/>
          <w:color w:val="111111"/>
          <w:sz w:val="28"/>
          <w:szCs w:val="28"/>
          <w:rtl/>
        </w:rPr>
        <w:t xml:space="preserve">شوشتري ، عبدالله بن نورالدين- جزايري ،</w:t>
      </w:r>
    </w:p>
    <w:p>
      <w:pPr>
        <w:pStyle w:val="BookText"/>
      </w:pPr>
      <w:r>
        <w:rPr>
          <w:rFonts w:ascii="IRNazanin" w:hAnsi="IRNazanin" w:eastAsia="IRNazanin" w:cs="IRNazanin"/>
          <w:lang w:bidi="fa-IR"/>
          <w:color w:val="111111"/>
          <w:sz w:val="28"/>
          <w:szCs w:val="28"/>
          <w:rtl/>
        </w:rPr>
        <w:t xml:space="preserve">عبدالله بن نورالدین</w:t>
      </w:r>
    </w:p>
    <w:p>
      <w:pPr>
        <w:pStyle w:val="BookText"/>
      </w:pPr>
      <w:r>
        <w:rPr>
          <w:rFonts w:ascii="Amiri" w:hAnsi="Amiri" w:eastAsia="Amiri" w:cs="Amiri"/>
          <w:lang w:bidi="ar-SA"/>
          <w:color w:val="111111"/>
          <w:sz w:val="28"/>
          <w:szCs w:val="28"/>
          <w:rtl/>
        </w:rPr>
        <w:t xml:space="preserve">شوشتري ، فتح الله بن حسن- وفائي</w:t>
      </w:r>
    </w:p>
    <w:p>
      <w:pPr>
        <w:pStyle w:val="BookText"/>
      </w:pPr>
      <w:r>
        <w:rPr>
          <w:rFonts w:ascii="Amiri" w:hAnsi="Amiri" w:eastAsia="Amiri" w:cs="Amiri"/>
          <w:lang w:bidi="ar-SA"/>
          <w:color w:val="111111"/>
          <w:sz w:val="28"/>
          <w:szCs w:val="28"/>
          <w:rtl/>
        </w:rPr>
        <w:t xml:space="preserve">شوشتري ، فتح الله بن حسن</w:t>
      </w:r>
    </w:p>
    <w:p>
      <w:pPr>
        <w:pStyle w:val="BookText"/>
      </w:pPr>
      <w:r>
        <w:rPr>
          <w:rFonts w:ascii="Amiri" w:hAnsi="Amiri" w:eastAsia="Amiri" w:cs="Amiri"/>
          <w:lang w:bidi="ar-SA"/>
          <w:color w:val="111111"/>
          <w:sz w:val="28"/>
          <w:szCs w:val="28"/>
          <w:rtl/>
        </w:rPr>
        <w:t xml:space="preserve">شوشتري ، قاضي نورالله -شوشتري ، نورالله</w:t>
      </w:r>
    </w:p>
    <w:p>
      <w:pPr>
        <w:pStyle w:val="BookText"/>
      </w:pPr>
      <w:r>
        <w:rPr>
          <w:rFonts w:ascii="Amiri" w:hAnsi="Amiri" w:eastAsia="Amiri" w:cs="Amiri"/>
          <w:lang w:bidi="ar-SA"/>
          <w:color w:val="111111"/>
          <w:sz w:val="28"/>
          <w:szCs w:val="28"/>
          <w:rtl/>
        </w:rPr>
        <w:t xml:space="preserve">بن شرف الدين</w:t>
      </w:r>
    </w:p>
    <w:p>
      <w:pPr>
        <w:pStyle w:val="BookText"/>
      </w:pPr>
      <w:r>
        <w:rPr>
          <w:rFonts w:ascii="Amiri" w:hAnsi="Amiri" w:eastAsia="Amiri" w:cs="Amiri"/>
          <w:lang w:bidi="ar-SA"/>
          <w:color w:val="111111"/>
          <w:sz w:val="28"/>
          <w:szCs w:val="28"/>
          <w:rtl/>
        </w:rPr>
        <w:t xml:space="preserve">شوشتري لكهنوي ، محمّد عباس- موسوي</w:t>
      </w:r>
    </w:p>
    <w:p>
      <w:pPr>
        <w:pStyle w:val="BookText"/>
      </w:pPr>
      <w:r>
        <w:rPr>
          <w:rFonts w:ascii="Amiri" w:hAnsi="Amiri" w:eastAsia="Amiri" w:cs="Amiri"/>
          <w:lang w:bidi="ar-SA"/>
          <w:color w:val="111111"/>
          <w:sz w:val="28"/>
          <w:szCs w:val="28"/>
          <w:rtl/>
        </w:rPr>
        <w:t xml:space="preserve">شوشتري ، محمّد عباس بن علي اكبر</w:t>
      </w:r>
    </w:p>
    <w:p>
      <w:pPr>
        <w:pStyle w:val="Heading2"/>
      </w:pPr>
      <w:bookmarkStart w:id="5251" w:name="_Toc4353"/>
      <w:r>
        <w:t>شوشتري ، محمّد امین بن فرج الله قرن</w:t>
      </w:r>
      <w:bookmarkEnd w:id="5251"/>
    </w:p>
    <w:p>
      <w:pPr>
        <w:pStyle w:val="BookText"/>
      </w:pPr>
      <w:r>
        <w:rPr>
          <w:rFonts w:ascii="IRNazanin" w:hAnsi="IRNazanin" w:eastAsia="IRNazanin" w:cs="IRNazanin"/>
          <w:lang w:bidi="fa-IR"/>
          <w:color w:val="111111"/>
          <w:sz w:val="28"/>
          <w:szCs w:val="28"/>
          <w:rtl/>
        </w:rPr>
        <w:t xml:space="preserve">12 ه-</w:t>
      </w:r>
    </w:p>
    <w:p>
      <w:pPr>
        <w:pStyle w:val="BookText"/>
      </w:pPr>
      <w:r>
        <w:rPr>
          <w:rFonts w:ascii="Amiri" w:hAnsi="Amiri" w:eastAsia="Amiri" w:cs="Amiri"/>
          <w:lang w:bidi="ar-SA"/>
          <w:color w:val="111111"/>
          <w:sz w:val="28"/>
          <w:szCs w:val="28"/>
          <w:rtl/>
        </w:rPr>
        <w:t xml:space="preserve">شرح تسهيل معدل ثاني ،قمر، ج9،</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Amiri" w:hAnsi="Amiri" w:eastAsia="Amiri" w:cs="Amiri"/>
          <w:lang w:bidi="ar-SA"/>
          <w:color w:val="111111"/>
          <w:sz w:val="28"/>
          <w:szCs w:val="28"/>
          <w:rtl/>
        </w:rPr>
        <w:t xml:space="preserve">شوشتري ، محمّد بن اسعد- تستري ،</w:t>
      </w:r>
    </w:p>
    <w:p>
      <w:pPr>
        <w:pStyle w:val="BookText"/>
      </w:pPr>
      <w:r>
        <w:rPr>
          <w:rFonts w:ascii="IRNazanin" w:hAnsi="IRNazanin" w:eastAsia="IRNazanin" w:cs="IRNazanin"/>
          <w:lang w:bidi="fa-IR"/>
          <w:color w:val="111111"/>
          <w:sz w:val="28"/>
          <w:szCs w:val="28"/>
          <w:rtl/>
        </w:rPr>
        <w:t xml:space="preserve">محمّد بن اسعد</w:t>
      </w:r>
    </w:p>
    <w:p>
      <w:pPr>
        <w:pStyle w:val="Heading2"/>
      </w:pPr>
      <w:bookmarkStart w:id="5252" w:name="_Toc4354"/>
      <w:r>
        <w:t>شوشتري ، محمّد بن حسنعلي قرن 12 ه-</w:t>
      </w:r>
      <w:bookmarkEnd w:id="5252"/>
    </w:p>
    <w:p>
      <w:pPr>
        <w:pStyle w:val="BookText"/>
      </w:pPr>
      <w:r>
        <w:rPr>
          <w:rFonts w:ascii="Amiri" w:hAnsi="Amiri" w:eastAsia="Amiri" w:cs="Amiri"/>
          <w:lang w:bidi="ar-SA"/>
          <w:color w:val="111111"/>
          <w:sz w:val="28"/>
          <w:szCs w:val="28"/>
          <w:rtl/>
        </w:rPr>
        <w:t xml:space="preserve">مقدمة الدعوات، ج 15 ، ص 357.</w:t>
      </w:r>
    </w:p>
    <w:p>
      <w:pPr>
        <w:pStyle w:val="Heading2"/>
      </w:pPr>
      <w:bookmarkStart w:id="5253" w:name="_Toc4355"/>
      <w:r>
        <w:t>شوشتري ، محمّد تقي، 1282 - 1374 ش</w:t>
      </w:r>
      <w:bookmarkEnd w:id="5253"/>
    </w:p>
    <w:p>
      <w:pPr>
        <w:pStyle w:val="BookText"/>
      </w:pPr>
      <w:r>
        <w:rPr>
          <w:rFonts w:ascii="IRNazanin" w:hAnsi="IRNazanin" w:eastAsia="IRNazanin" w:cs="IRNazanin"/>
          <w:lang w:bidi="fa-IR"/>
          <w:color w:val="111111"/>
          <w:sz w:val="28"/>
          <w:szCs w:val="28"/>
          <w:rtl/>
        </w:rPr>
        <w:t xml:space="preserve">قاموس الرجال، ج 12، ص 342.</w:t>
      </w:r>
    </w:p>
    <w:p>
      <w:pPr>
        <w:pStyle w:val="Heading2"/>
      </w:pPr>
      <w:bookmarkStart w:id="5254" w:name="_Toc4356"/>
      <w:r>
        <w:t>شوشتري ، محمّد جعفر بن ،آقابزرگ</w:t>
      </w:r>
      <w:bookmarkEnd w:id="5254"/>
    </w:p>
    <w:p>
      <w:pPr>
        <w:pStyle w:val="BookText"/>
      </w:pPr>
      <w:r>
        <w:rPr>
          <w:rFonts w:ascii="IRNazanin" w:hAnsi="IRNazanin" w:eastAsia="IRNazanin" w:cs="IRNazanin"/>
          <w:lang w:bidi="fa-IR"/>
          <w:color w:val="111111"/>
          <w:sz w:val="28"/>
          <w:szCs w:val="28"/>
          <w:rtl/>
        </w:rPr>
        <w:t xml:space="preserve">1261ه-</w:t>
      </w:r>
    </w:p>
    <w:p>
      <w:pPr>
        <w:pStyle w:val="BookText"/>
      </w:pPr>
      <w:r>
        <w:rPr>
          <w:rFonts w:ascii="IRNazanin" w:hAnsi="IRNazanin" w:eastAsia="IRNazanin" w:cs="IRNazanin"/>
          <w:lang w:bidi="fa-IR"/>
          <w:color w:val="111111"/>
          <w:sz w:val="28"/>
          <w:szCs w:val="28"/>
          <w:rtl/>
        </w:rPr>
        <w:t xml:space="preserve">مناهج الاصول، ج 15 ، ص 564.</w:t>
      </w:r>
    </w:p>
    <w:p>
      <w:pPr>
        <w:pStyle w:val="BookText"/>
      </w:pPr>
      <w:r>
        <w:rPr>
          <w:rFonts w:ascii="Amiri" w:hAnsi="Amiri" w:eastAsia="Amiri" w:cs="Amiri"/>
          <w:lang w:bidi="ar-SA"/>
          <w:color w:val="111111"/>
          <w:sz w:val="28"/>
          <w:szCs w:val="28"/>
          <w:rtl/>
        </w:rPr>
        <w:t xml:space="preserve">اكبر -موسوي شوشتري ، محمّد عباس بن علي</w:t>
      </w:r>
    </w:p>
    <w:p>
      <w:pPr>
        <w:pStyle w:val="Heading2"/>
      </w:pPr>
      <w:bookmarkStart w:id="5255" w:name="_Toc4357"/>
      <w:r>
        <w:t>شوشتري ، محمّد معصوم بن كريم الدين</w:t>
      </w:r>
      <w:bookmarkEnd w:id="5255"/>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IRNazanin" w:hAnsi="IRNazanin" w:eastAsia="IRNazanin" w:cs="IRNazanin"/>
          <w:lang w:bidi="fa-IR"/>
          <w:color w:val="111111"/>
          <w:sz w:val="28"/>
          <w:szCs w:val="28"/>
          <w:rtl/>
        </w:rPr>
        <w:t xml:space="preserve">قرابادین معصومي، ج 12، ص 560.</w:t>
      </w:r>
    </w:p>
    <w:p>
      <w:pPr>
        <w:pStyle w:val="BookText"/>
      </w:pPr>
      <w:r>
        <w:rPr>
          <w:rFonts w:ascii="Amiri" w:hAnsi="Amiri" w:eastAsia="Amiri" w:cs="Amiri"/>
          <w:lang w:bidi="ar-SA"/>
          <w:color w:val="111111"/>
          <w:sz w:val="28"/>
          <w:szCs w:val="28"/>
          <w:rtl/>
        </w:rPr>
        <w:t xml:space="preserve">شوشتري ، محمود -تستري ، محمود</w:t>
      </w:r>
    </w:p>
    <w:p>
      <w:pPr>
        <w:pStyle w:val="BookText"/>
      </w:pPr>
      <w:r>
        <w:rPr>
          <w:rFonts w:ascii="Amiri" w:hAnsi="Amiri" w:eastAsia="Amiri" w:cs="Amiri"/>
          <w:lang w:bidi="ar-SA"/>
          <w:color w:val="111111"/>
          <w:sz w:val="28"/>
          <w:szCs w:val="28"/>
          <w:rtl/>
        </w:rPr>
        <w:t xml:space="preserve">شوشتري ، نعمة الله بن عبدالله -جزايري</w:t>
      </w:r>
    </w:p>
    <w:p>
      <w:pPr>
        <w:pStyle w:val="BookText"/>
      </w:pPr>
      <w:r>
        <w:rPr>
          <w:rFonts w:ascii="Amiri" w:hAnsi="Amiri" w:eastAsia="Amiri" w:cs="Amiri"/>
          <w:lang w:bidi="ar-SA"/>
          <w:color w:val="111111"/>
          <w:sz w:val="28"/>
          <w:szCs w:val="28"/>
          <w:rtl/>
        </w:rPr>
        <w:t xml:space="preserve">نعمة الله بن عبدالله</w:t>
      </w:r>
    </w:p>
    <w:p>
      <w:pPr>
        <w:pStyle w:val="BookText"/>
      </w:pPr>
      <w:r>
        <w:rPr>
          <w:rFonts w:ascii="IRNazanin" w:hAnsi="IRNazanin" w:eastAsia="IRNazanin" w:cs="IRNazanin"/>
          <w:lang w:bidi="fa-IR"/>
          <w:color w:val="111111"/>
          <w:sz w:val="28"/>
          <w:szCs w:val="28"/>
          <w:rtl/>
        </w:rPr>
        <w:t xml:space="preserve">شوشتري ، نورالدين محمّد بن نعمة الله - جزائري ، نورالدین محمّد بن نعمة الله</w:t>
      </w:r>
    </w:p>
    <w:p>
      <w:pPr>
        <w:pStyle w:val="Heading2"/>
      </w:pPr>
      <w:bookmarkStart w:id="5256" w:name="_Toc4358"/>
      <w:r>
        <w:t>شوشتري ، نورالله بن شرف الدين 956 -</w:t>
      </w:r>
      <w:bookmarkEnd w:id="5256"/>
    </w:p>
    <w:p>
      <w:pPr>
        <w:pStyle w:val="BookText"/>
      </w:pPr>
      <w:r>
        <w:rPr>
          <w:rFonts w:ascii="IRNazanin" w:hAnsi="IRNazanin" w:eastAsia="IRNazanin" w:cs="IRNazanin"/>
          <w:lang w:bidi="fa-IR"/>
          <w:color w:val="111111"/>
          <w:sz w:val="28"/>
          <w:szCs w:val="28"/>
          <w:rtl/>
        </w:rPr>
        <w:t xml:space="preserve">1019ه-</w:t>
      </w:r>
    </w:p>
    <w:p>
      <w:pPr>
        <w:pStyle w:val="BookText"/>
      </w:pPr>
      <w:r>
        <w:rPr>
          <w:rFonts w:ascii="Times New Roman" w:hAnsi="Times New Roman" w:eastAsia="Times New Roman" w:cs="Times New Roman"/>
          <w:lang w:val="en-US" w:bidi="en-US"/>
          <w:color w:val="111111"/>
          <w:sz w:val="28"/>
          <w:szCs w:val="28"/>
          <w:rtl/>
        </w:rPr>
        <w:t xml:space="preserve">C</w:t>
      </w:r>
    </w:p>
    <w:p>
      <w:pPr>
        <w:pStyle w:val="BookText"/>
      </w:pPr>
      <w:r>
        <w:rPr>
          <w:rFonts w:ascii="IRNazanin" w:hAnsi="IRNazanin" w:eastAsia="IRNazanin" w:cs="IRNazanin"/>
          <w:lang w:bidi="fa-IR"/>
          <w:color w:val="111111"/>
          <w:sz w:val="28"/>
          <w:szCs w:val="28"/>
          <w:rtl/>
        </w:rPr>
        <w:t xml:space="preserve">1 .احقاق الحق و ازهاق الباطل، ج1،</w:t>
      </w:r>
    </w:p>
    <w:p>
      <w:pPr>
        <w:pStyle w:val="BookText"/>
      </w:pPr>
      <w:r>
        <w:rPr>
          <w:rFonts w:ascii="IRNazanin" w:hAnsi="IRNazanin" w:eastAsia="IRNazanin" w:cs="IRNazanin"/>
          <w:lang w:bidi="fa-IR"/>
          <w:color w:val="111111"/>
          <w:sz w:val="28"/>
          <w:szCs w:val="28"/>
          <w:rtl/>
        </w:rPr>
        <w:t xml:space="preserve">ص 449 .</w:t>
      </w:r>
    </w:p>
    <w:p>
      <w:pPr>
        <w:pStyle w:val="BookText"/>
      </w:pPr>
      <w:r>
        <w:rPr>
          <w:rFonts w:ascii="Amiri" w:hAnsi="Amiri" w:eastAsia="Amiri" w:cs="Amiri"/>
          <w:lang w:bidi="ar-SA"/>
          <w:color w:val="111111"/>
          <w:sz w:val="28"/>
          <w:szCs w:val="28"/>
          <w:rtl/>
        </w:rPr>
        <w:t xml:space="preserve">2 .انس التوحيد في تفسير آية العدل و</w:t>
      </w:r>
    </w:p>
    <w:p>
      <w:pPr>
        <w:pStyle w:val="BookText"/>
      </w:pPr>
      <w:r>
        <w:rPr>
          <w:rFonts w:ascii="Amiri" w:hAnsi="Amiri" w:eastAsia="Amiri" w:cs="Amiri"/>
          <w:lang w:bidi="ar-SA"/>
          <w:color w:val="111111"/>
          <w:sz w:val="28"/>
          <w:szCs w:val="28"/>
          <w:rtl/>
        </w:rPr>
        <w:t xml:space="preserve">التوحيد - انيس التوحيد، ج2،</w:t>
      </w:r>
    </w:p>
    <w:p>
      <w:pPr>
        <w:pStyle w:val="BookText"/>
      </w:pPr>
      <w:r>
        <w:rPr>
          <w:rFonts w:ascii="IRNazanin" w:hAnsi="IRNazanin" w:eastAsia="IRNazanin" w:cs="IRNazanin"/>
          <w:lang w:bidi="fa-IR"/>
          <w:color w:val="111111"/>
          <w:sz w:val="28"/>
          <w:szCs w:val="28"/>
          <w:rtl/>
        </w:rPr>
        <w:t xml:space="preserve">ص 806.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انس الوحيد في تفسير آية العدل و</w:t>
      </w:r>
    </w:p>
    <w:p>
      <w:pPr>
        <w:pStyle w:val="BookText"/>
      </w:pPr>
      <w:r>
        <w:rPr>
          <w:rFonts w:ascii="Amiri" w:hAnsi="Amiri" w:eastAsia="Amiri" w:cs="Amiri"/>
          <w:lang w:bidi="ar-SA"/>
          <w:color w:val="111111"/>
          <w:sz w:val="28"/>
          <w:szCs w:val="28"/>
          <w:rtl/>
        </w:rPr>
        <w:t xml:space="preserve">التوحيد، ج 2، ص 809</w:t>
      </w:r>
    </w:p>
    <w:p>
      <w:pPr>
        <w:pStyle w:val="BookText"/>
      </w:pPr>
      <w:r>
        <w:rPr>
          <w:rFonts w:ascii="Amiri" w:hAnsi="Amiri" w:eastAsia="Amiri" w:cs="Amiri"/>
          <w:lang w:bidi="ar-SA"/>
          <w:color w:val="111111"/>
          <w:sz w:val="28"/>
          <w:szCs w:val="28"/>
          <w:rtl/>
        </w:rPr>
        <w:t xml:space="preserve">4 .البحر الغزير في تحقيق الماء الكثير</w:t>
      </w:r>
    </w:p>
    <w:p>
      <w:pPr>
        <w:pStyle w:val="BookText"/>
      </w:pPr>
      <w:r>
        <w:rPr>
          <w:rFonts w:ascii="IRNazanin" w:hAnsi="IRNazanin" w:eastAsia="IRNazanin" w:cs="IRNazanin"/>
          <w:lang w:bidi="fa-IR"/>
          <w:color w:val="111111"/>
          <w:sz w:val="28"/>
          <w:szCs w:val="28"/>
          <w:rtl/>
        </w:rPr>
        <w:t xml:space="preserve">ج 3، ص 222</w:t>
      </w:r>
    </w:p>
    <w:p>
      <w:pPr>
        <w:pStyle w:val="BookText"/>
      </w:pPr>
      <w:r>
        <w:rPr>
          <w:rFonts w:ascii="Amiri" w:hAnsi="Amiri" w:eastAsia="Amiri" w:cs="Amiri"/>
          <w:lang w:bidi="ar-SA"/>
          <w:color w:val="111111"/>
          <w:sz w:val="28"/>
          <w:szCs w:val="28"/>
          <w:rtl/>
        </w:rPr>
        <w:t xml:space="preserve">5.الحسن و القبح (رسالة) في)، ج 6،</w:t>
      </w:r>
    </w:p>
    <w:p>
      <w:pPr>
        <w:pStyle w:val="BookText"/>
      </w:pPr>
      <w:r>
        <w:rPr>
          <w:rFonts w:ascii="IRNazanin" w:hAnsi="IRNazanin" w:eastAsia="IRNazanin" w:cs="IRNazanin"/>
          <w:lang w:bidi="fa-IR"/>
          <w:color w:val="111111"/>
          <w:sz w:val="28"/>
          <w:szCs w:val="28"/>
          <w:rtl/>
        </w:rPr>
        <w:t xml:space="preserve">ص 654 .</w:t>
      </w:r>
    </w:p>
    <w:p>
      <w:pPr>
        <w:pStyle w:val="BookText"/>
      </w:pPr>
      <w:r>
        <w:rPr>
          <w:rFonts w:ascii="IRNazanin" w:hAnsi="IRNazanin" w:eastAsia="IRNazanin" w:cs="IRNazanin"/>
          <w:lang w:bidi="fa-IR"/>
          <w:color w:val="111111"/>
          <w:sz w:val="28"/>
          <w:szCs w:val="28"/>
          <w:rtl/>
        </w:rPr>
        <w:t xml:space="preserve">6 .رسائل، ج 8، ص120.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السحاب المطير في تفسير آية التطهير، ج 8، ص718.</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41" w:name="pg7742_70629"/>
    <w:bookmarkEnd w:id="641"/>
    <w:p>
      <w:pPr>
        <w:pStyle w:val="BookText"/>
      </w:pPr>
      <w:r>
        <w:rPr>
          <w:rFonts w:ascii="Amiri" w:hAnsi="Amiri" w:eastAsia="Amiri" w:cs="Amiri"/>
          <w:lang w:bidi="ar-SA"/>
          <w:color w:val="111111"/>
          <w:sz w:val="28"/>
          <w:szCs w:val="28"/>
          <w:rtl/>
        </w:rPr>
        <w:t xml:space="preserve">8 .شرح حديث اللعن من النبي (ص)</w:t>
      </w:r>
    </w:p>
    <w:p>
      <w:pPr>
        <w:pStyle w:val="BookText"/>
      </w:pPr>
      <w:r>
        <w:rPr>
          <w:rFonts w:ascii="Amiri" w:hAnsi="Amiri" w:eastAsia="Amiri" w:cs="Amiri"/>
          <w:lang w:bidi="ar-SA"/>
          <w:color w:val="111111"/>
          <w:sz w:val="28"/>
          <w:szCs w:val="28"/>
          <w:rtl/>
        </w:rPr>
        <w:t xml:space="preserve">البعض ... (رسالة في)، ج 9، ص 397.</w:t>
      </w:r>
    </w:p>
    <w:p>
      <w:pPr>
        <w:pStyle w:val="BookText"/>
      </w:pPr>
      <w:r>
        <w:rPr>
          <w:rFonts w:ascii="IRNazanin" w:hAnsi="IRNazanin" w:eastAsia="IRNazanin" w:cs="IRNazanin"/>
          <w:lang w:bidi="fa-IR"/>
          <w:color w:val="111111"/>
          <w:sz w:val="28"/>
          <w:szCs w:val="28"/>
          <w:rtl/>
        </w:rPr>
        <w:t xml:space="preserve">9 .شرح دعاء صباح، ج 9، ص 464. .</w:t>
      </w:r>
    </w:p>
    <w:p>
      <w:pPr>
        <w:pStyle w:val="BookText"/>
      </w:pPr>
      <w:r>
        <w:rPr>
          <w:rFonts w:ascii="Amiri" w:hAnsi="Amiri" w:eastAsia="Amiri" w:cs="Amiri"/>
          <w:lang w:bidi="ar-SA"/>
          <w:color w:val="111111"/>
          <w:sz w:val="28"/>
          <w:szCs w:val="28"/>
          <w:rtl/>
        </w:rPr>
        <w:t xml:space="preserve">10 .الصوارم المهرقة في رد الصواعق</w:t>
      </w:r>
    </w:p>
    <w:p>
      <w:pPr>
        <w:pStyle w:val="BookText"/>
      </w:pPr>
      <w:r>
        <w:rPr>
          <w:rFonts w:ascii="Amiri" w:hAnsi="Amiri" w:eastAsia="Amiri" w:cs="Amiri"/>
          <w:lang w:bidi="ar-SA"/>
          <w:color w:val="111111"/>
          <w:sz w:val="28"/>
          <w:szCs w:val="28"/>
          <w:rtl/>
        </w:rPr>
        <w:t xml:space="preserve">المحرقة، ج 10، ص 643.</w:t>
      </w:r>
    </w:p>
    <w:p>
      <w:pPr>
        <w:pStyle w:val="BookText"/>
      </w:pPr>
      <w:r>
        <w:rPr>
          <w:rFonts w:ascii="Amiri" w:hAnsi="Amiri" w:eastAsia="Amiri" w:cs="Amiri"/>
          <w:lang w:bidi="ar-SA"/>
          <w:color w:val="111111"/>
          <w:sz w:val="28"/>
          <w:szCs w:val="28"/>
          <w:rtl/>
        </w:rPr>
        <w:t xml:space="preserve">11 .كشف العوار في تفسير آية الغار</w:t>
      </w:r>
    </w:p>
    <w:p>
      <w:pPr>
        <w:pStyle w:val="BookText"/>
      </w:pPr>
      <w:r>
        <w:rPr>
          <w:rFonts w:ascii="IRNazanin" w:hAnsi="IRNazanin" w:eastAsia="IRNazanin" w:cs="IRNazanin"/>
          <w:lang w:bidi="fa-IR"/>
          <w:color w:val="111111"/>
          <w:sz w:val="28"/>
          <w:szCs w:val="28"/>
          <w:rtl/>
        </w:rPr>
        <w:t xml:space="preserve">ج 13، ص 234.</w:t>
      </w:r>
    </w:p>
    <w:p>
      <w:pPr>
        <w:pStyle w:val="BookText"/>
      </w:pPr>
      <w:r>
        <w:rPr>
          <w:rFonts w:ascii="Amiri" w:hAnsi="Amiri" w:eastAsia="Amiri" w:cs="Amiri"/>
          <w:lang w:bidi="ar-SA"/>
          <w:color w:val="111111"/>
          <w:sz w:val="28"/>
          <w:szCs w:val="28"/>
          <w:rtl/>
        </w:rPr>
        <w:t xml:space="preserve">12 .اللمعة في تحقيق صلاة الجمعة</w:t>
      </w:r>
    </w:p>
    <w:p>
      <w:pPr>
        <w:pStyle w:val="BookText"/>
      </w:pPr>
      <w:r>
        <w:rPr>
          <w:rFonts w:ascii="IRNazanin" w:hAnsi="IRNazanin" w:eastAsia="IRNazanin" w:cs="IRNazanin"/>
          <w:lang w:bidi="fa-IR"/>
          <w:color w:val="111111"/>
          <w:sz w:val="28"/>
          <w:szCs w:val="28"/>
          <w:rtl/>
        </w:rPr>
        <w:t xml:space="preserve">ج 13، ص 622 .</w:t>
      </w:r>
    </w:p>
    <w:p>
      <w:pPr>
        <w:pStyle w:val="BookText"/>
      </w:pPr>
      <w:r>
        <w:rPr>
          <w:rFonts w:ascii="Amiri" w:hAnsi="Amiri" w:eastAsia="Amiri" w:cs="Amiri"/>
          <w:lang w:bidi="ar-SA"/>
          <w:color w:val="111111"/>
          <w:sz w:val="28"/>
          <w:szCs w:val="28"/>
          <w:rtl/>
        </w:rPr>
        <w:t xml:space="preserve">13.مجالس المؤمنين، ج13، ص802.</w:t>
      </w:r>
    </w:p>
    <w:p>
      <w:pPr>
        <w:pStyle w:val="BookText"/>
      </w:pPr>
      <w:r>
        <w:rPr>
          <w:rFonts w:ascii="IRNazanin" w:hAnsi="IRNazanin" w:eastAsia="IRNazanin" w:cs="IRNazanin"/>
          <w:lang w:bidi="fa-IR"/>
          <w:color w:val="111111"/>
          <w:sz w:val="28"/>
          <w:szCs w:val="28"/>
          <w:rtl/>
        </w:rPr>
        <w:t xml:space="preserve">14 .مصائب النواصب لنقض نواقض</w:t>
      </w:r>
    </w:p>
    <w:p>
      <w:pPr>
        <w:pStyle w:val="BookText"/>
      </w:pPr>
      <w:r>
        <w:rPr>
          <w:rFonts w:ascii="IRNazanin" w:hAnsi="IRNazanin" w:eastAsia="IRNazanin" w:cs="IRNazanin"/>
          <w:lang w:bidi="fa-IR"/>
          <w:color w:val="111111"/>
          <w:sz w:val="28"/>
          <w:szCs w:val="28"/>
          <w:rtl/>
        </w:rPr>
        <w:t xml:space="preserve">الروافض، ج 14، ص 659.</w:t>
      </w:r>
    </w:p>
    <w:p>
      <w:pPr>
        <w:pStyle w:val="BookText"/>
      </w:pPr>
      <w:r>
        <w:rPr>
          <w:rFonts w:ascii="Amiri" w:hAnsi="Amiri" w:eastAsia="Amiri" w:cs="Amiri"/>
          <w:lang w:bidi="ar-SA"/>
          <w:color w:val="111111"/>
          <w:sz w:val="28"/>
          <w:szCs w:val="28"/>
          <w:rtl/>
        </w:rPr>
        <w:t xml:space="preserve">15 .النور الانور والنور الازهر في تنوير خفايا رسالة القضاء والقدر، ج 16،</w:t>
      </w:r>
    </w:p>
    <w:p>
      <w:pPr>
        <w:pStyle w:val="BookText"/>
      </w:pPr>
      <w:r>
        <w:rPr>
          <w:rFonts w:ascii="IRNazanin" w:hAnsi="IRNazanin" w:eastAsia="IRNazanin" w:cs="IRNazanin"/>
          <w:lang w:bidi="fa-IR"/>
          <w:color w:val="111111"/>
          <w:sz w:val="28"/>
          <w:szCs w:val="28"/>
          <w:rtl/>
        </w:rPr>
        <w:t xml:space="preserve">ص 553 .</w:t>
      </w:r>
    </w:p>
    <w:p>
      <w:pPr>
        <w:pStyle w:val="Heading2"/>
      </w:pPr>
      <w:bookmarkStart w:id="5257" w:name="_Toc4359"/>
      <w:r>
        <w:t>شوشتري ، نورالله بن محمّد شاه قرن 10</w:t>
      </w:r>
      <w:bookmarkEnd w:id="5257"/>
    </w:p>
    <w:p>
      <w:pPr>
        <w:pStyle w:val="BookText"/>
      </w:pPr>
      <w:r>
        <w:rPr>
          <w:rFonts w:ascii="Amiri" w:hAnsi="Amiri" w:eastAsia="Amiri" w:cs="Amiri"/>
          <w:lang w:bidi="ar-SA"/>
          <w:color w:val="111111"/>
          <w:sz w:val="28"/>
          <w:szCs w:val="28"/>
          <w:rtl/>
        </w:rPr>
        <w:t xml:space="preserve">حاشية شرح المختصر العضدي ج6،</w:t>
      </w:r>
    </w:p>
    <w:p>
      <w:pPr>
        <w:pStyle w:val="BookText"/>
      </w:pPr>
      <w:r>
        <w:rPr>
          <w:rFonts w:ascii="IRNazanin" w:hAnsi="IRNazanin" w:eastAsia="IRNazanin" w:cs="IRNazanin"/>
          <w:lang w:bidi="fa-IR"/>
          <w:color w:val="111111"/>
          <w:sz w:val="28"/>
          <w:szCs w:val="28"/>
          <w:rtl/>
        </w:rPr>
        <w:t xml:space="preserve">ص 180.</w:t>
      </w:r>
    </w:p>
    <w:p>
      <w:pPr>
        <w:pStyle w:val="Heading2"/>
      </w:pPr>
      <w:bookmarkStart w:id="5258" w:name="_Toc4360"/>
      <w:r>
        <w:t>شوق ، علي، قرن 13 ه-</w:t>
      </w:r>
      <w:bookmarkEnd w:id="5258"/>
    </w:p>
    <w:p>
      <w:pPr>
        <w:pStyle w:val="BookText"/>
      </w:pPr>
      <w:r>
        <w:rPr>
          <w:rFonts w:ascii="Amiri" w:hAnsi="Amiri" w:eastAsia="Amiri" w:cs="Amiri"/>
          <w:lang w:bidi="ar-SA"/>
          <w:color w:val="111111"/>
          <w:sz w:val="28"/>
          <w:szCs w:val="28"/>
          <w:rtl/>
        </w:rPr>
        <w:t xml:space="preserve">خزينة العلاج، ج 7، ص 26.</w:t>
      </w:r>
    </w:p>
    <w:p>
      <w:pPr>
        <w:pStyle w:val="Heading2"/>
      </w:pPr>
      <w:bookmarkStart w:id="5259" w:name="_Toc4361"/>
      <w:r>
        <w:t>شوقي ، احمد بن عبدالله - 1224 ه-</w:t>
      </w:r>
      <w:bookmarkEnd w:id="5259"/>
    </w:p>
    <w:p>
      <w:pPr>
        <w:pStyle w:val="BookText"/>
      </w:pPr>
      <w:r>
        <w:rPr>
          <w:rFonts w:ascii="Amiri" w:hAnsi="Amiri" w:eastAsia="Amiri" w:cs="Amiri"/>
          <w:lang w:bidi="ar-SA"/>
          <w:color w:val="111111"/>
          <w:sz w:val="28"/>
          <w:szCs w:val="28"/>
          <w:rtl/>
        </w:rPr>
        <w:t xml:space="preserve">تخميس القصيدة الهمزية = تخميس</w:t>
      </w:r>
    </w:p>
    <w:p>
      <w:pPr>
        <w:pStyle w:val="BookText"/>
      </w:pPr>
      <w:r>
        <w:rPr>
          <w:rFonts w:ascii="IRNazanin" w:hAnsi="IRNazanin" w:eastAsia="IRNazanin" w:cs="IRNazanin"/>
          <w:lang w:bidi="fa-IR"/>
          <w:color w:val="111111"/>
          <w:sz w:val="28"/>
          <w:szCs w:val="28"/>
          <w:rtl/>
        </w:rPr>
        <w:t xml:space="preserve">ام القرى، ج 4، ص 145.</w:t>
      </w:r>
    </w:p>
    <w:p>
      <w:pPr>
        <w:pStyle w:val="Heading2"/>
      </w:pPr>
      <w:bookmarkStart w:id="5260" w:name="_Toc4362"/>
      <w:r>
        <w:t>شوقي شفيق، قرن 15ه-</w:t>
      </w:r>
      <w:bookmarkEnd w:id="5260"/>
    </w:p>
    <w:p>
      <w:pPr>
        <w:pStyle w:val="BookText"/>
      </w:pPr>
      <w:r>
        <w:rPr>
          <w:rFonts w:ascii="Amiri" w:hAnsi="Amiri" w:eastAsia="Amiri" w:cs="Amiri"/>
          <w:lang w:bidi="ar-SA"/>
          <w:color w:val="111111"/>
          <w:sz w:val="28"/>
          <w:szCs w:val="28"/>
          <w:rtl/>
        </w:rPr>
        <w:t xml:space="preserve">فضاء للكتابة، ج 12، ص18.</w:t>
      </w:r>
    </w:p>
    <w:p>
      <w:pPr>
        <w:pStyle w:val="BookText"/>
      </w:pPr>
      <w:r>
        <w:rPr>
          <w:rFonts w:ascii="IRNazanin" w:hAnsi="IRNazanin" w:eastAsia="IRNazanin" w:cs="IRNazanin"/>
          <w:lang w:bidi="fa-IR"/>
          <w:color w:val="111111"/>
          <w:sz w:val="28"/>
          <w:szCs w:val="28"/>
          <w:rtl/>
        </w:rPr>
        <w:t xml:space="preserve">شوقي ، محمّد راغب بن محمّد -راغب پاشا ، محمّد بن محمّد</w:t>
      </w:r>
    </w:p>
    <w:p>
      <w:pPr>
        <w:pStyle w:val="BookText"/>
      </w:pPr>
      <w:r>
        <w:rPr>
          <w:rFonts w:ascii="Amiri" w:hAnsi="Amiri" w:eastAsia="Amiri" w:cs="Amiri"/>
          <w:lang w:bidi="ar-SA"/>
          <w:color w:val="111111"/>
          <w:sz w:val="28"/>
          <w:szCs w:val="28"/>
          <w:rtl/>
        </w:rPr>
        <w:t xml:space="preserve">شوكاني ، ابو عبد الله محمّد بن علي -شوكاني</w:t>
      </w:r>
    </w:p>
    <w:p>
      <w:pPr>
        <w:pStyle w:val="BookText"/>
      </w:pPr>
      <w:r>
        <w:rPr>
          <w:rFonts w:ascii="Amiri" w:hAnsi="Amiri" w:eastAsia="Amiri" w:cs="Amiri"/>
          <w:lang w:bidi="ar-SA"/>
          <w:color w:val="111111"/>
          <w:sz w:val="28"/>
          <w:szCs w:val="28"/>
          <w:rtl/>
        </w:rPr>
        <w:t xml:space="preserve">، محمّد بن علي</w:t>
      </w:r>
    </w:p>
    <w:p>
      <w:pPr>
        <w:pStyle w:val="Heading2"/>
      </w:pPr>
      <w:bookmarkStart w:id="5261" w:name="_Toc4363"/>
      <w:r>
        <w:t>شوكاني ، احمد بن محمّد 1229- 1281</w:t>
      </w:r>
      <w:bookmarkEnd w:id="5261"/>
    </w:p>
    <w:p>
      <w:pPr>
        <w:pStyle w:val="BookText"/>
      </w:pPr>
      <w:r>
        <w:rPr>
          <w:rFonts w:ascii="Amiri" w:hAnsi="Amiri" w:eastAsia="Amiri" w:cs="Amiri"/>
          <w:lang w:bidi="ar-SA"/>
          <w:color w:val="111111"/>
          <w:sz w:val="28"/>
          <w:szCs w:val="28"/>
          <w:rtl/>
        </w:rPr>
        <w:t xml:space="preserve">السموط الذهبية الحاوية للدرر</w:t>
      </w:r>
    </w:p>
    <w:p>
      <w:pPr>
        <w:pStyle w:val="BookText"/>
      </w:pPr>
      <w:r>
        <w:rPr>
          <w:rFonts w:ascii="Amiri" w:hAnsi="Amiri" w:eastAsia="Amiri" w:cs="Amiri"/>
          <w:lang w:bidi="ar-SA"/>
          <w:color w:val="111111"/>
          <w:sz w:val="28"/>
          <w:szCs w:val="28"/>
          <w:rtl/>
        </w:rPr>
        <w:t xml:space="preserve">البهية، ج8، ص833.</w:t>
      </w:r>
    </w:p>
    <w:p>
      <w:pPr>
        <w:pStyle w:val="Heading2"/>
      </w:pPr>
      <w:bookmarkStart w:id="5262" w:name="_Toc4364"/>
      <w:r>
        <w:t>شوكاني ، محمّد بن علي، 1173 - 1250</w:t>
      </w:r>
      <w:bookmarkEnd w:id="52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ارشاد الفحول إلى تحقيق الحق من علم الاصول، ج 2، ص39.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الدراري المضيئة شرح درر البهية</w:t>
      </w:r>
    </w:p>
    <w:p>
      <w:pPr>
        <w:pStyle w:val="BookText"/>
      </w:pPr>
      <w:r>
        <w:rPr>
          <w:rFonts w:ascii="IRNazanin" w:hAnsi="IRNazanin" w:eastAsia="IRNazanin" w:cs="IRNazanin"/>
          <w:lang w:bidi="fa-IR"/>
          <w:color w:val="111111"/>
          <w:sz w:val="28"/>
          <w:szCs w:val="28"/>
          <w:rtl/>
        </w:rPr>
        <w:t xml:space="preserve">ج 7، ص 216.</w:t>
      </w:r>
    </w:p>
    <w:p>
      <w:pPr>
        <w:pStyle w:val="BookText"/>
      </w:pPr>
      <w:r>
        <w:rPr>
          <w:rFonts w:ascii="Amiri" w:hAnsi="Amiri" w:eastAsia="Amiri" w:cs="Amiri"/>
          <w:lang w:bidi="ar-SA"/>
          <w:color w:val="111111"/>
          <w:sz w:val="28"/>
          <w:szCs w:val="28"/>
          <w:rtl/>
        </w:rPr>
        <w:t xml:space="preserve">3.الدر النضيد في إخلاص كلمة التوحيد، ج7، ص358.</w:t>
      </w:r>
    </w:p>
    <w:p>
      <w:pPr>
        <w:pStyle w:val="BookText"/>
      </w:pPr>
      <w:r>
        <w:rPr>
          <w:rFonts w:ascii="Amiri" w:hAnsi="Amiri" w:eastAsia="Amiri" w:cs="Amiri"/>
          <w:lang w:bidi="ar-SA"/>
          <w:color w:val="111111"/>
          <w:sz w:val="28"/>
          <w:szCs w:val="28"/>
          <w:rtl/>
        </w:rPr>
        <w:t xml:space="preserve">4 .رفع الريبة في بيان ما يجوز و ما</w:t>
      </w:r>
    </w:p>
    <w:p>
      <w:pPr>
        <w:pStyle w:val="BookText"/>
      </w:pPr>
      <w:r>
        <w:rPr>
          <w:rFonts w:ascii="Amiri" w:hAnsi="Amiri" w:eastAsia="Amiri" w:cs="Amiri"/>
          <w:lang w:bidi="ar-SA"/>
          <w:color w:val="111111"/>
          <w:sz w:val="28"/>
          <w:szCs w:val="28"/>
          <w:rtl/>
        </w:rPr>
        <w:t xml:space="preserve">لايجوز و ما لايجوز من الغيبة</w:t>
      </w:r>
    </w:p>
    <w:p>
      <w:pPr>
        <w:pStyle w:val="BookText"/>
      </w:pPr>
      <w:r>
        <w:rPr>
          <w:rFonts w:ascii="IRNazanin" w:hAnsi="IRNazanin" w:eastAsia="IRNazanin" w:cs="IRNazanin"/>
          <w:lang w:bidi="fa-IR"/>
          <w:color w:val="111111"/>
          <w:sz w:val="28"/>
          <w:szCs w:val="28"/>
          <w:rtl/>
        </w:rPr>
        <w:t xml:space="preserve">ج 8، ص 344.</w:t>
      </w:r>
    </w:p>
    <w:p>
      <w:pPr>
        <w:pStyle w:val="BookText"/>
      </w:pPr>
      <w:r>
        <w:rPr>
          <w:rFonts w:ascii="Amiri" w:hAnsi="Amiri" w:eastAsia="Amiri" w:cs="Amiri"/>
          <w:lang w:bidi="ar-SA"/>
          <w:color w:val="111111"/>
          <w:sz w:val="28"/>
          <w:szCs w:val="28"/>
          <w:rtl/>
        </w:rPr>
        <w:t xml:space="preserve">5.السيل الجرار المتدقق على حدائق</w:t>
      </w:r>
    </w:p>
    <w:p>
      <w:pPr>
        <w:pStyle w:val="BookText"/>
      </w:pPr>
      <w:r>
        <w:rPr>
          <w:rFonts w:ascii="IRNazanin" w:hAnsi="IRNazanin" w:eastAsia="IRNazanin" w:cs="IRNazanin"/>
          <w:lang w:bidi="fa-IR"/>
          <w:color w:val="111111"/>
          <w:sz w:val="28"/>
          <w:szCs w:val="28"/>
          <w:rtl/>
        </w:rPr>
        <w:t xml:space="preserve">الازهار، ج 9، ص 47.</w:t>
      </w:r>
    </w:p>
    <w:p>
      <w:pPr>
        <w:pStyle w:val="BookText"/>
      </w:pPr>
      <w:r>
        <w:rPr>
          <w:rFonts w:ascii="Amiri" w:hAnsi="Amiri" w:eastAsia="Amiri" w:cs="Amiri"/>
          <w:lang w:bidi="ar-SA"/>
          <w:color w:val="111111"/>
          <w:sz w:val="28"/>
          <w:szCs w:val="28"/>
          <w:rtl/>
        </w:rPr>
        <w:t xml:space="preserve">6 .نيل الأوطار شرح منتقي الاخبار</w:t>
      </w:r>
    </w:p>
    <w:p>
      <w:pPr>
        <w:pStyle w:val="BookText"/>
      </w:pPr>
      <w:r>
        <w:rPr>
          <w:rFonts w:ascii="IRNazanin" w:hAnsi="IRNazanin" w:eastAsia="IRNazanin" w:cs="IRNazanin"/>
          <w:lang w:bidi="fa-IR"/>
          <w:color w:val="111111"/>
          <w:sz w:val="28"/>
          <w:szCs w:val="28"/>
          <w:rtl/>
        </w:rPr>
        <w:t xml:space="preserve">ج 16، ص 578.</w:t>
      </w:r>
    </w:p>
    <w:p>
      <w:pPr>
        <w:pStyle w:val="BookText"/>
      </w:pPr>
      <w:r>
        <w:rPr>
          <w:rFonts w:ascii="IRNazanin" w:hAnsi="IRNazanin" w:eastAsia="IRNazanin" w:cs="IRNazanin"/>
          <w:lang w:bidi="fa-IR"/>
          <w:color w:val="111111"/>
          <w:sz w:val="28"/>
          <w:szCs w:val="28"/>
          <w:rtl/>
        </w:rPr>
        <w:t xml:space="preserve">شوكتا -شوکت بخاري ، محمد اسحاق</w:t>
      </w:r>
    </w:p>
    <w:p>
      <w:pPr>
        <w:pStyle w:val="BookText"/>
      </w:pPr>
      <w:r>
        <w:rPr>
          <w:rFonts w:ascii="IRNazanin" w:hAnsi="IRNazanin" w:eastAsia="IRNazanin" w:cs="IRNazanin"/>
          <w:lang w:bidi="fa-IR"/>
          <w:color w:val="111111"/>
          <w:sz w:val="28"/>
          <w:szCs w:val="28"/>
          <w:rtl/>
        </w:rPr>
        <w:t xml:space="preserve">شوکت بخارائي ، محمّد اسحاق -شوکت</w:t>
      </w:r>
    </w:p>
    <w:p>
      <w:pPr>
        <w:pStyle w:val="BookText"/>
      </w:pPr>
      <w:r>
        <w:rPr>
          <w:rFonts w:ascii="Amiri" w:hAnsi="Amiri" w:eastAsia="Amiri" w:cs="Amiri"/>
          <w:lang w:bidi="ar-SA"/>
          <w:color w:val="111111"/>
          <w:sz w:val="28"/>
          <w:szCs w:val="28"/>
          <w:rtl/>
        </w:rPr>
        <w:t xml:space="preserve">بخاري ، محمّد اسحاق</w:t>
      </w:r>
    </w:p>
    <w:p>
      <w:pPr>
        <w:pStyle w:val="Heading2"/>
      </w:pPr>
      <w:bookmarkStart w:id="5263" w:name="_Toc4365"/>
      <w:r>
        <w:t>شوکت بخاري ، محمّد اسحاق - 1107 ه-</w:t>
      </w:r>
      <w:bookmarkEnd w:id="5263"/>
    </w:p>
    <w:p>
      <w:pPr>
        <w:pStyle w:val="BookText"/>
      </w:pPr>
      <w:r>
        <w:rPr>
          <w:rFonts w:ascii="IRNazanin" w:hAnsi="IRNazanin" w:eastAsia="IRNazanin" w:cs="IRNazanin"/>
          <w:lang w:bidi="fa-IR"/>
          <w:color w:val="111111"/>
          <w:sz w:val="28"/>
          <w:szCs w:val="28"/>
          <w:rtl/>
        </w:rPr>
        <w:t xml:space="preserve">دیوان شوکت بخارائي، ج 7، ص 674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42" w:name="pg7742_70630"/>
    <w:bookmarkEnd w:id="642"/>
    <w:p>
      <w:pPr>
        <w:pStyle w:val="BookText"/>
      </w:pPr>
      <w:r>
        <w:rPr>
          <w:rFonts w:ascii="Amiri" w:hAnsi="Amiri" w:eastAsia="Amiri" w:cs="Amiri"/>
          <w:lang w:bidi="ar-SA"/>
          <w:color w:val="111111"/>
          <w:sz w:val="28"/>
          <w:szCs w:val="28"/>
          <w:rtl/>
        </w:rPr>
        <w:t xml:space="preserve">شولجي ، صالح -شالجي ، صالح</w:t>
      </w:r>
    </w:p>
    <w:p>
      <w:pPr>
        <w:pStyle w:val="BookText"/>
      </w:pPr>
      <w:r>
        <w:rPr>
          <w:rFonts w:ascii="Amiri" w:hAnsi="Amiri" w:eastAsia="Amiri" w:cs="Amiri"/>
          <w:lang w:bidi="ar-SA"/>
          <w:color w:val="111111"/>
          <w:sz w:val="28"/>
          <w:szCs w:val="28"/>
          <w:rtl/>
        </w:rPr>
        <w:t xml:space="preserve">شولستاني ، شرف الدين شولستاني ، علي</w:t>
      </w:r>
    </w:p>
    <w:p>
      <w:pPr>
        <w:pStyle w:val="BookText"/>
      </w:pPr>
      <w:r>
        <w:rPr>
          <w:rFonts w:ascii="Amiri" w:hAnsi="Amiri" w:eastAsia="Amiri" w:cs="Amiri"/>
          <w:lang w:bidi="ar-SA"/>
          <w:color w:val="111111"/>
          <w:sz w:val="28"/>
          <w:szCs w:val="28"/>
          <w:rtl/>
        </w:rPr>
        <w:t xml:space="preserve">بن حجة الله -</w:t>
      </w:r>
    </w:p>
    <w:p>
      <w:pPr>
        <w:pStyle w:val="Heading2"/>
      </w:pPr>
      <w:bookmarkStart w:id="5264" w:name="_Toc4366"/>
      <w:r>
        <w:t>شولستاني ، علي بن حجة الله - 1060ه-</w:t>
      </w:r>
      <w:bookmarkEnd w:id="5264"/>
    </w:p>
    <w:p>
      <w:pPr>
        <w:pStyle w:val="BookText"/>
      </w:pPr>
      <w:r>
        <w:rPr>
          <w:rFonts w:ascii="Amiri" w:hAnsi="Amiri" w:eastAsia="Amiri" w:cs="Amiri"/>
          <w:lang w:bidi="ar-SA"/>
          <w:color w:val="111111"/>
          <w:sz w:val="28"/>
          <w:szCs w:val="28"/>
          <w:rtl/>
        </w:rPr>
        <w:t xml:space="preserve">1 .إجازة لأحد تلاميذه، ج1، ص231.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اجازة لمحمّد بن محمود الطبسي</w:t>
      </w:r>
    </w:p>
    <w:p>
      <w:pPr>
        <w:pStyle w:val="BookText"/>
      </w:pPr>
      <w:r>
        <w:rPr>
          <w:rFonts w:ascii="IRNazanin" w:hAnsi="IRNazanin" w:eastAsia="IRNazanin" w:cs="IRNazanin"/>
          <w:lang w:bidi="fa-IR"/>
          <w:color w:val="111111"/>
          <w:sz w:val="28"/>
          <w:szCs w:val="28"/>
          <w:rtl/>
        </w:rPr>
        <w:t xml:space="preserve">ج 1، ص 283.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مصباح المجتهدين = مصباح</w:t>
      </w:r>
    </w:p>
    <w:p>
      <w:pPr>
        <w:pStyle w:val="BookText"/>
      </w:pPr>
      <w:r>
        <w:rPr>
          <w:rFonts w:ascii="IRNazanin" w:hAnsi="IRNazanin" w:eastAsia="IRNazanin" w:cs="IRNazanin"/>
          <w:lang w:bidi="fa-IR"/>
          <w:color w:val="111111"/>
          <w:sz w:val="28"/>
          <w:szCs w:val="28"/>
          <w:rtl/>
        </w:rPr>
        <w:t xml:space="preserve">المتهجد، ج 14، ص 737.</w:t>
      </w:r>
    </w:p>
    <w:p>
      <w:pPr>
        <w:pStyle w:val="BookText"/>
      </w:pPr>
      <w:r>
        <w:rPr>
          <w:rFonts w:ascii="Times New Roman" w:hAnsi="Times New Roman" w:eastAsia="Times New Roman" w:cs="Times New Roman"/>
          <w:lang w:val="en-US" w:bidi="en-US"/>
          <w:color w:val="111111"/>
          <w:sz w:val="28"/>
          <w:szCs w:val="28"/>
          <w:rtl/>
        </w:rPr>
        <w:t xml:space="preserve">689</w:t>
      </w:r>
    </w:p>
    <w:p>
      <w:pPr>
        <w:pStyle w:val="Heading2"/>
      </w:pPr>
      <w:bookmarkStart w:id="5265" w:name="_Toc4367"/>
      <w:r>
        <w:t>شوني ، نورالدين علي</w:t>
      </w:r>
      <w:bookmarkEnd w:id="5265"/>
    </w:p>
    <w:p>
      <w:pPr>
        <w:pStyle w:val="BookText"/>
      </w:pPr>
      <w:r>
        <w:rPr>
          <w:rFonts w:ascii="Amiri" w:hAnsi="Amiri" w:eastAsia="Amiri" w:cs="Amiri"/>
          <w:lang w:bidi="ar-SA"/>
          <w:color w:val="111111"/>
          <w:sz w:val="28"/>
          <w:szCs w:val="28"/>
          <w:rtl/>
        </w:rPr>
        <w:t xml:space="preserve">شرح الصلاة الأبراهيمية، ج 9، ص 678.</w:t>
      </w:r>
    </w:p>
    <w:p>
      <w:pPr>
        <w:pStyle w:val="Heading2"/>
      </w:pPr>
      <w:bookmarkStart w:id="5266" w:name="_Toc4368"/>
      <w:r>
        <w:t>شويكي، مرزوق بن محمّد قرن 13 ه-</w:t>
      </w:r>
      <w:bookmarkEnd w:id="5266"/>
    </w:p>
    <w:p>
      <w:pPr>
        <w:pStyle w:val="BookText"/>
      </w:pPr>
      <w:r>
        <w:rPr>
          <w:rFonts w:ascii="Amiri" w:hAnsi="Amiri" w:eastAsia="Amiri" w:cs="Amiri"/>
          <w:lang w:bidi="ar-SA"/>
          <w:color w:val="111111"/>
          <w:sz w:val="28"/>
          <w:szCs w:val="28"/>
          <w:rtl/>
        </w:rPr>
        <w:t xml:space="preserve">الدرة البهية، ج 7، ص 226 .</w:t>
      </w:r>
    </w:p>
    <w:p>
      <w:pPr>
        <w:pStyle w:val="Heading2"/>
      </w:pPr>
      <w:bookmarkStart w:id="5267" w:name="_Toc4369"/>
      <w:r>
        <w:t>شويهي ، محمّد بن يونس قرن 13 ه-</w:t>
      </w:r>
      <w:bookmarkEnd w:id="5267"/>
    </w:p>
    <w:p>
      <w:pPr>
        <w:pStyle w:val="BookText"/>
      </w:pPr>
      <w:r>
        <w:rPr>
          <w:rFonts w:ascii="Amiri" w:hAnsi="Amiri" w:eastAsia="Amiri" w:cs="Amiri"/>
          <w:lang w:bidi="ar-SA"/>
          <w:color w:val="111111"/>
          <w:sz w:val="28"/>
          <w:szCs w:val="28"/>
          <w:rtl/>
        </w:rPr>
        <w:t xml:space="preserve">1 .براهين العقول، ج 3، ص 297.</w:t>
      </w:r>
    </w:p>
    <w:p>
      <w:pPr>
        <w:pStyle w:val="BookText"/>
      </w:pPr>
      <w:r>
        <w:rPr>
          <w:rFonts w:ascii="Amiri" w:hAnsi="Amiri" w:eastAsia="Amiri" w:cs="Amiri"/>
          <w:lang w:bidi="ar-SA"/>
          <w:color w:val="111111"/>
          <w:sz w:val="28"/>
          <w:szCs w:val="28"/>
          <w:rtl/>
        </w:rPr>
        <w:t xml:space="preserve">2 .مجادلات المسلمين، ج13، ص 780.</w:t>
      </w:r>
    </w:p>
    <w:p>
      <w:pPr>
        <w:pStyle w:val="BookText"/>
      </w:pPr>
      <w:r>
        <w:rPr>
          <w:rFonts w:ascii="Amiri" w:hAnsi="Amiri" w:eastAsia="Amiri" w:cs="Amiri"/>
          <w:lang w:bidi="ar-SA"/>
          <w:color w:val="111111"/>
          <w:sz w:val="28"/>
          <w:szCs w:val="28"/>
          <w:rtl/>
        </w:rPr>
        <w:t xml:space="preserve">3.مختلف الانظار ومطارح الافكار</w:t>
      </w:r>
    </w:p>
    <w:p>
      <w:pPr>
        <w:pStyle w:val="BookText"/>
      </w:pPr>
      <w:r>
        <w:rPr>
          <w:rFonts w:ascii="IRNazanin" w:hAnsi="IRNazanin" w:eastAsia="IRNazanin" w:cs="IRNazanin"/>
          <w:lang w:bidi="fa-IR"/>
          <w:color w:val="111111"/>
          <w:sz w:val="28"/>
          <w:szCs w:val="28"/>
          <w:rtl/>
        </w:rPr>
        <w:t xml:space="preserve">ج 14، ص 278.</w:t>
      </w:r>
    </w:p>
    <w:p>
      <w:pPr>
        <w:pStyle w:val="BookText"/>
      </w:pPr>
      <w:r>
        <w:rPr>
          <w:rFonts w:ascii="Amiri" w:hAnsi="Amiri" w:eastAsia="Amiri" w:cs="Amiri"/>
          <w:lang w:bidi="ar-SA"/>
          <w:color w:val="111111"/>
          <w:sz w:val="28"/>
          <w:szCs w:val="28"/>
          <w:rtl/>
        </w:rPr>
        <w:t xml:space="preserve">4 .مرآة العقول، ج 14، ص 357.</w:t>
      </w:r>
    </w:p>
    <w:p>
      <w:pPr>
        <w:pStyle w:val="BookText"/>
      </w:pPr>
      <w:r>
        <w:rPr>
          <w:rFonts w:ascii="Amiri" w:hAnsi="Amiri" w:eastAsia="Amiri" w:cs="Amiri"/>
          <w:lang w:bidi="ar-SA"/>
          <w:color w:val="111111"/>
          <w:sz w:val="28"/>
          <w:szCs w:val="28"/>
          <w:rtl/>
        </w:rPr>
        <w:t xml:space="preserve">5 .موقظ الراقدين و منبه الغافلين</w:t>
      </w:r>
    </w:p>
    <w:p>
      <w:pPr>
        <w:pStyle w:val="BookText"/>
      </w:pPr>
      <w:r>
        <w:rPr>
          <w:rFonts w:ascii="IRNazanin" w:hAnsi="IRNazanin" w:eastAsia="IRNazanin" w:cs="IRNazanin"/>
          <w:lang w:bidi="fa-IR"/>
          <w:color w:val="111111"/>
          <w:sz w:val="28"/>
          <w:szCs w:val="28"/>
          <w:rtl/>
        </w:rPr>
        <w:t xml:space="preserve">ج 16، ص 43.</w:t>
      </w:r>
    </w:p>
    <w:p>
      <w:pPr>
        <w:pStyle w:val="BookText"/>
      </w:pPr>
      <w:r>
        <w:rPr>
          <w:rFonts w:ascii="Amiri" w:hAnsi="Amiri" w:eastAsia="Amiri" w:cs="Amiri"/>
          <w:lang w:bidi="ar-SA"/>
          <w:color w:val="111111"/>
          <w:sz w:val="28"/>
          <w:szCs w:val="28"/>
          <w:rtl/>
        </w:rPr>
        <w:t xml:space="preserve">6 .ميزان العقول في كشف اسرار غوامض حقائق مسائل المعقول ج 16، ص 70 .</w:t>
      </w:r>
    </w:p>
    <w:p>
      <w:pPr>
        <w:pStyle w:val="Heading2"/>
      </w:pPr>
      <w:bookmarkStart w:id="5268" w:name="_Toc4370"/>
      <w:r>
        <w:t>شيباني ، احمد بن عمر، 181 - 261 ه-</w:t>
      </w:r>
      <w:bookmarkEnd w:id="5268"/>
    </w:p>
    <w:p>
      <w:pPr>
        <w:pStyle w:val="BookText"/>
      </w:pPr>
      <w:r>
        <w:rPr>
          <w:rFonts w:ascii="Amiri" w:hAnsi="Amiri" w:eastAsia="Amiri" w:cs="Amiri"/>
          <w:lang w:bidi="ar-SA"/>
          <w:color w:val="111111"/>
          <w:sz w:val="28"/>
          <w:szCs w:val="28"/>
          <w:rtl/>
        </w:rPr>
        <w:t xml:space="preserve">الوقف = احكام الوقوف = احكام</w:t>
      </w:r>
    </w:p>
    <w:p>
      <w:pPr>
        <w:pStyle w:val="BookText"/>
      </w:pPr>
      <w:r>
        <w:rPr>
          <w:rFonts w:ascii="IRNazanin" w:hAnsi="IRNazanin" w:eastAsia="IRNazanin" w:cs="IRNazanin"/>
          <w:lang w:bidi="fa-IR"/>
          <w:color w:val="111111"/>
          <w:sz w:val="28"/>
          <w:szCs w:val="28"/>
          <w:rtl/>
        </w:rPr>
        <w:t xml:space="preserve">الاوقاف، ج 16، ص 866.</w:t>
      </w:r>
    </w:p>
    <w:p>
      <w:pPr>
        <w:pStyle w:val="BookText"/>
      </w:pPr>
      <w:r>
        <w:rPr>
          <w:rFonts w:ascii="Amiri" w:hAnsi="Amiri" w:eastAsia="Amiri" w:cs="Amiri"/>
          <w:lang w:bidi="ar-SA"/>
          <w:color w:val="111111"/>
          <w:sz w:val="28"/>
          <w:szCs w:val="28"/>
          <w:rtl/>
        </w:rPr>
        <w:t xml:space="preserve">شيباني ، احمد بن عمرو -ابن ابي عاصم ، احمد بن عمرو</w:t>
      </w:r>
    </w:p>
    <w:p>
      <w:pPr>
        <w:pStyle w:val="BookText"/>
      </w:pPr>
      <w:r>
        <w:rPr>
          <w:rFonts w:ascii="Amiri" w:hAnsi="Amiri" w:eastAsia="Amiri" w:cs="Amiri"/>
          <w:lang w:bidi="ar-SA"/>
          <w:color w:val="111111"/>
          <w:sz w:val="28"/>
          <w:szCs w:val="28"/>
          <w:rtl/>
        </w:rPr>
        <w:t xml:space="preserve">شيباني ، احمد بن محمّد -ابن حنبل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5269" w:name="_Toc4371"/>
      <w:r>
        <w:t>شيباني ، احمد بن محمّد - 241 ه-</w:t>
      </w:r>
      <w:bookmarkEnd w:id="5269"/>
    </w:p>
    <w:p>
      <w:pPr>
        <w:pStyle w:val="BookText"/>
      </w:pPr>
      <w:r>
        <w:rPr>
          <w:rFonts w:ascii="Amiri" w:hAnsi="Amiri" w:eastAsia="Amiri" w:cs="Amiri"/>
          <w:lang w:bidi="ar-SA"/>
          <w:color w:val="111111"/>
          <w:sz w:val="28"/>
          <w:szCs w:val="28"/>
          <w:rtl/>
        </w:rPr>
        <w:t xml:space="preserve">1 .الزهد (كتاب)، ج8، ص 611.</w:t>
      </w:r>
    </w:p>
    <w:p>
      <w:pPr>
        <w:pStyle w:val="BookText"/>
      </w:pPr>
      <w:r>
        <w:rPr>
          <w:rFonts w:ascii="IRNazanin" w:hAnsi="IRNazanin" w:eastAsia="IRNazanin" w:cs="IRNazanin"/>
          <w:lang w:bidi="fa-IR"/>
          <w:color w:val="111111"/>
          <w:sz w:val="28"/>
          <w:szCs w:val="28"/>
          <w:rtl/>
        </w:rPr>
        <w:t xml:space="preserve">2 .مسند ابن حنبل، ج 14، ص 591.</w:t>
      </w:r>
    </w:p>
    <w:p>
      <w:pPr>
        <w:pStyle w:val="BookText"/>
      </w:pPr>
      <w:r>
        <w:rPr>
          <w:rFonts w:ascii="Amiri" w:hAnsi="Amiri" w:eastAsia="Amiri" w:cs="Amiri"/>
          <w:lang w:bidi="ar-SA"/>
          <w:color w:val="111111"/>
          <w:sz w:val="28"/>
          <w:szCs w:val="28"/>
          <w:rtl/>
        </w:rPr>
        <w:t xml:space="preserve">شيباني ، احمد بن يحيى -ثعلب ، احمد بن يحيى</w:t>
      </w:r>
    </w:p>
    <w:p>
      <w:pPr>
        <w:pStyle w:val="Heading2"/>
      </w:pPr>
      <w:bookmarkStart w:id="5270" w:name="_Toc4372"/>
      <w:r>
        <w:t>شيباني ، اسحاق بن مرار - 205 ؟ ه-</w:t>
      </w:r>
      <w:bookmarkEnd w:id="5270"/>
    </w:p>
    <w:p>
      <w:pPr>
        <w:pStyle w:val="BookText"/>
      </w:pPr>
      <w:r>
        <w:rPr>
          <w:rFonts w:ascii="Amiri" w:hAnsi="Amiri" w:eastAsia="Amiri" w:cs="Amiri"/>
          <w:lang w:bidi="ar-SA"/>
          <w:color w:val="111111"/>
          <w:sz w:val="28"/>
          <w:szCs w:val="28"/>
          <w:rtl/>
        </w:rPr>
        <w:t xml:space="preserve">اللغات = كتاب اللغات = كتاب</w:t>
      </w:r>
    </w:p>
    <w:p>
      <w:pPr>
        <w:pStyle w:val="BookText"/>
      </w:pPr>
      <w:r>
        <w:rPr>
          <w:rFonts w:ascii="Amiri" w:hAnsi="Amiri" w:eastAsia="Amiri" w:cs="Amiri"/>
          <w:lang w:bidi="ar-SA"/>
          <w:color w:val="111111"/>
          <w:sz w:val="28"/>
          <w:szCs w:val="28"/>
          <w:rtl/>
        </w:rPr>
        <w:t xml:space="preserve">الجيم، ج13، ص 586.</w:t>
      </w:r>
    </w:p>
    <w:p>
      <w:pPr>
        <w:pStyle w:val="BookText"/>
      </w:pPr>
      <w:r>
        <w:rPr>
          <w:rFonts w:ascii="Amiri" w:hAnsi="Amiri" w:eastAsia="Amiri" w:cs="Amiri"/>
          <w:lang w:bidi="ar-SA"/>
          <w:color w:val="111111"/>
          <w:sz w:val="28"/>
          <w:szCs w:val="28"/>
          <w:rtl/>
        </w:rPr>
        <w:t xml:space="preserve">شيباني تلعفري ، محمّد بن يوسف- تلعفري ، محمّد بن يوسف</w:t>
      </w:r>
    </w:p>
    <w:p>
      <w:pPr>
        <w:pStyle w:val="BookText"/>
      </w:pPr>
      <w:r>
        <w:rPr>
          <w:rFonts w:ascii="Amiri" w:hAnsi="Amiri" w:eastAsia="Amiri" w:cs="Amiri"/>
          <w:lang w:bidi="ar-SA"/>
          <w:color w:val="111111"/>
          <w:sz w:val="28"/>
          <w:szCs w:val="28"/>
          <w:rtl/>
        </w:rPr>
        <w:t xml:space="preserve">شيباني ، خضر بن شلال -عفكاوي ، خضر</w:t>
      </w:r>
    </w:p>
    <w:p>
      <w:pPr>
        <w:pStyle w:val="BookText"/>
      </w:pPr>
      <w:r>
        <w:rPr>
          <w:rFonts w:ascii="IRNazanin" w:hAnsi="IRNazanin" w:eastAsia="IRNazanin" w:cs="IRNazanin"/>
          <w:lang w:bidi="fa-IR"/>
          <w:color w:val="111111"/>
          <w:sz w:val="28"/>
          <w:szCs w:val="28"/>
          <w:rtl/>
        </w:rPr>
        <w:t xml:space="preserve">بن شلال</w:t>
      </w:r>
    </w:p>
    <w:p>
      <w:pPr>
        <w:pStyle w:val="BookText"/>
      </w:pPr>
      <w:r>
        <w:rPr>
          <w:rFonts w:ascii="Amiri" w:hAnsi="Amiri" w:eastAsia="Amiri" w:cs="Amiri"/>
          <w:lang w:bidi="ar-SA"/>
          <w:color w:val="111111"/>
          <w:sz w:val="28"/>
          <w:szCs w:val="28"/>
          <w:rtl/>
        </w:rPr>
        <w:t xml:space="preserve">شيباني ، عبد الرحمن بن علي -ابن ديبع ،</w:t>
      </w:r>
    </w:p>
    <w:p>
      <w:pPr>
        <w:pStyle w:val="BookText"/>
      </w:pPr>
      <w:r>
        <w:rPr>
          <w:rFonts w:ascii="Amiri" w:hAnsi="Amiri" w:eastAsia="Amiri" w:cs="Amiri"/>
          <w:lang w:bidi="ar-SA"/>
          <w:color w:val="111111"/>
          <w:sz w:val="28"/>
          <w:szCs w:val="28"/>
          <w:rtl/>
        </w:rPr>
        <w:t xml:space="preserve">عبد الرحمن بن علي</w:t>
      </w:r>
    </w:p>
    <w:p>
      <w:pPr>
        <w:pStyle w:val="BookText"/>
      </w:pPr>
      <w:r>
        <w:rPr>
          <w:rFonts w:ascii="Amiri" w:hAnsi="Amiri" w:eastAsia="Amiri" w:cs="Amiri"/>
          <w:lang w:bidi="ar-SA"/>
          <w:color w:val="111111"/>
          <w:sz w:val="28"/>
          <w:szCs w:val="28"/>
          <w:rtl/>
        </w:rPr>
        <w:t xml:space="preserve">شيباني ، عبد الرزاق بن احمد- ابن فوطي</w:t>
      </w:r>
    </w:p>
    <w:p>
      <w:pPr>
        <w:pStyle w:val="BookText"/>
      </w:pPr>
      <w:r>
        <w:rPr>
          <w:rFonts w:ascii="IRNazanin" w:hAnsi="IRNazanin" w:eastAsia="IRNazanin" w:cs="IRNazanin"/>
          <w:lang w:bidi="fa-IR"/>
          <w:color w:val="111111"/>
          <w:sz w:val="28"/>
          <w:szCs w:val="28"/>
          <w:rtl/>
        </w:rPr>
        <w:t xml:space="preserve">عبدالرزاق بن احمد</w:t>
      </w:r>
    </w:p>
    <w:p>
      <w:pPr>
        <w:pStyle w:val="BookText"/>
      </w:pPr>
      <w:r>
        <w:rPr>
          <w:rFonts w:ascii="Amiri" w:hAnsi="Amiri" w:eastAsia="Amiri" w:cs="Amiri"/>
          <w:lang w:bidi="ar-SA"/>
          <w:color w:val="111111"/>
          <w:sz w:val="28"/>
          <w:szCs w:val="28"/>
          <w:rtl/>
        </w:rPr>
        <w:t xml:space="preserve">شيباني ، عبد القادر بن عمر -تغلبي</w:t>
      </w:r>
    </w:p>
    <w:p>
      <w:pPr>
        <w:pStyle w:val="BookText"/>
      </w:pPr>
      <w:r>
        <w:rPr>
          <w:rFonts w:ascii="IRNazanin" w:hAnsi="IRNazanin" w:eastAsia="IRNazanin" w:cs="IRNazanin"/>
          <w:lang w:bidi="fa-IR"/>
          <w:color w:val="111111"/>
          <w:sz w:val="28"/>
          <w:szCs w:val="28"/>
          <w:rtl/>
        </w:rPr>
        <w:t xml:space="preserve">عبد القادر بن عمر</w:t>
      </w:r>
    </w:p>
    <w:p>
      <w:pPr>
        <w:pStyle w:val="BookText"/>
      </w:pPr>
      <w:r>
        <w:rPr>
          <w:rFonts w:ascii="Amiri" w:hAnsi="Amiri" w:eastAsia="Amiri" w:cs="Amiri"/>
          <w:lang w:bidi="ar-SA"/>
          <w:color w:val="111111"/>
          <w:sz w:val="28"/>
          <w:szCs w:val="28"/>
          <w:rtl/>
        </w:rPr>
        <w:t xml:space="preserve">شيباني ، عبدالله بن احمد- ابن حنبل ،</w:t>
      </w:r>
    </w:p>
    <w:p>
      <w:pPr>
        <w:pStyle w:val="BookText"/>
      </w:pPr>
      <w:r>
        <w:rPr>
          <w:rFonts w:ascii="IRNazanin" w:hAnsi="IRNazanin" w:eastAsia="IRNazanin" w:cs="IRNazanin"/>
          <w:lang w:bidi="fa-IR"/>
          <w:color w:val="111111"/>
          <w:sz w:val="28"/>
          <w:szCs w:val="28"/>
          <w:rtl/>
        </w:rPr>
        <w:t xml:space="preserve">عبدالله بن احمد</w:t>
      </w:r>
    </w:p>
    <w:p>
      <w:pPr>
        <w:pStyle w:val="BookText"/>
      </w:pPr>
      <w:r>
        <w:rPr>
          <w:rFonts w:ascii="IRNazanin" w:hAnsi="IRNazanin" w:eastAsia="IRNazanin" w:cs="IRNazanin"/>
          <w:lang w:bidi="fa-IR"/>
          <w:color w:val="111111"/>
          <w:sz w:val="28"/>
          <w:szCs w:val="28"/>
          <w:rtl/>
        </w:rPr>
        <w:t xml:space="preserve">شيباني ، عبدربه بن اعین -زراره ، عبدربه</w:t>
      </w:r>
    </w:p>
    <w:p>
      <w:pPr>
        <w:pStyle w:val="BookText"/>
      </w:pPr>
      <w:r>
        <w:rPr>
          <w:rFonts w:ascii="Amiri" w:hAnsi="Amiri" w:eastAsia="Amiri" w:cs="Amiri"/>
          <w:lang w:bidi="ar-SA"/>
          <w:color w:val="111111"/>
          <w:sz w:val="28"/>
          <w:szCs w:val="28"/>
          <w:rtl/>
        </w:rPr>
        <w:t xml:space="preserve">بن اعين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43" w:name="pg7742_70631"/>
    <w:bookmarkEnd w:id="643"/>
    <w:p>
      <w:pPr>
        <w:pStyle w:val="Heading2"/>
      </w:pPr>
      <w:bookmarkStart w:id="5271" w:name="_Toc4373"/>
      <w:r>
        <w:t>شيباني ، علي بن ابي الرجال - 407 ؟ ه-</w:t>
      </w:r>
      <w:bookmarkEnd w:id="5271"/>
    </w:p>
    <w:p>
      <w:pPr>
        <w:pStyle w:val="BookText"/>
      </w:pPr>
      <w:r>
        <w:rPr>
          <w:rFonts w:ascii="Amiri" w:hAnsi="Amiri" w:eastAsia="Amiri" w:cs="Amiri"/>
          <w:lang w:bidi="ar-SA"/>
          <w:color w:val="111111"/>
          <w:sz w:val="28"/>
          <w:szCs w:val="28"/>
          <w:rtl/>
        </w:rPr>
        <w:t xml:space="preserve">البارع في احكام النجوم، ج 3، ص 176 .</w:t>
      </w:r>
    </w:p>
    <w:p>
      <w:pPr>
        <w:pStyle w:val="BookText"/>
      </w:pPr>
      <w:r>
        <w:rPr>
          <w:rFonts w:ascii="Amiri" w:hAnsi="Amiri" w:eastAsia="Amiri" w:cs="Amiri"/>
          <w:lang w:bidi="ar-SA"/>
          <w:color w:val="111111"/>
          <w:sz w:val="28"/>
          <w:szCs w:val="28"/>
          <w:rtl/>
        </w:rPr>
        <w:t xml:space="preserve">شيباني ، علي بن يوسف- قفطي ، علي بن</w:t>
      </w:r>
    </w:p>
    <w:p>
      <w:pPr>
        <w:pStyle w:val="BookText"/>
      </w:pPr>
      <w:r>
        <w:rPr>
          <w:rFonts w:ascii="IRNazanin" w:hAnsi="IRNazanin" w:eastAsia="IRNazanin" w:cs="IRNazanin"/>
          <w:lang w:bidi="fa-IR"/>
          <w:color w:val="111111"/>
          <w:sz w:val="28"/>
          <w:szCs w:val="28"/>
          <w:rtl/>
        </w:rPr>
        <w:t xml:space="preserve">یوسف</w:t>
      </w:r>
    </w:p>
    <w:p>
      <w:pPr>
        <w:pStyle w:val="BookText"/>
      </w:pPr>
      <w:r>
        <w:rPr>
          <w:rFonts w:ascii="Amiri" w:hAnsi="Amiri" w:eastAsia="Amiri" w:cs="Amiri"/>
          <w:lang w:bidi="ar-SA"/>
          <w:color w:val="111111"/>
          <w:sz w:val="28"/>
          <w:szCs w:val="28"/>
          <w:rtl/>
        </w:rPr>
        <w:t xml:space="preserve">شيباني ، كاتب ابوالحسن علي- شيباني ،</w:t>
      </w:r>
    </w:p>
    <w:p>
      <w:pPr>
        <w:pStyle w:val="BookText"/>
      </w:pPr>
      <w:r>
        <w:rPr>
          <w:rFonts w:ascii="Amiri" w:hAnsi="Amiri" w:eastAsia="Amiri" w:cs="Amiri"/>
          <w:lang w:bidi="ar-SA"/>
          <w:color w:val="111111"/>
          <w:sz w:val="28"/>
          <w:szCs w:val="28"/>
          <w:rtl/>
        </w:rPr>
        <w:t xml:space="preserve">علي بن ابي الرجال</w:t>
      </w:r>
    </w:p>
    <w:p>
      <w:pPr>
        <w:pStyle w:val="BookText"/>
      </w:pPr>
      <w:r>
        <w:rPr>
          <w:rFonts w:ascii="Amiri" w:hAnsi="Amiri" w:eastAsia="Amiri" w:cs="Amiri"/>
          <w:lang w:bidi="ar-SA"/>
          <w:color w:val="111111"/>
          <w:sz w:val="28"/>
          <w:szCs w:val="28"/>
          <w:rtl/>
        </w:rPr>
        <w:t xml:space="preserve">شيباني كواشي ، احمد بن يوسف- كواشي</w:t>
      </w:r>
    </w:p>
    <w:p>
      <w:pPr>
        <w:pStyle w:val="BookText"/>
      </w:pPr>
      <w:r>
        <w:rPr>
          <w:rFonts w:ascii="Amiri" w:hAnsi="Amiri" w:eastAsia="Amiri" w:cs="Amiri"/>
          <w:lang w:bidi="ar-SA"/>
          <w:color w:val="111111"/>
          <w:sz w:val="28"/>
          <w:szCs w:val="28"/>
          <w:rtl/>
        </w:rPr>
        <w:t xml:space="preserve">احمد بن يوسف</w:t>
      </w:r>
    </w:p>
    <w:p>
      <w:pPr>
        <w:pStyle w:val="Heading2"/>
      </w:pPr>
      <w:bookmarkStart w:id="5272" w:name="_Toc4374"/>
      <w:r>
        <w:t>شيباني ، محمّد بن حسن، 131 - 189 ه-</w:t>
      </w:r>
      <w:bookmarkEnd w:id="52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الآثار، ج 1، ص 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الجامع الصغير في الفروع، ج5،</w:t>
      </w:r>
    </w:p>
    <w:p>
      <w:pPr>
        <w:pStyle w:val="BookText"/>
      </w:pPr>
      <w:r>
        <w:rPr>
          <w:rFonts w:ascii="IRNazanin" w:hAnsi="IRNazanin" w:eastAsia="IRNazanin" w:cs="IRNazanin"/>
          <w:lang w:bidi="fa-IR"/>
          <w:color w:val="111111"/>
          <w:sz w:val="28"/>
          <w:szCs w:val="28"/>
          <w:rtl/>
        </w:rPr>
        <w:t xml:space="preserve">ص 296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العقائد الشيبانية = القصيدة</w:t>
      </w:r>
    </w:p>
    <w:p>
      <w:pPr>
        <w:pStyle w:val="BookText"/>
      </w:pPr>
      <w:r>
        <w:rPr>
          <w:rFonts w:ascii="Amiri" w:hAnsi="Amiri" w:eastAsia="Amiri" w:cs="Amiri"/>
          <w:lang w:bidi="ar-SA"/>
          <w:color w:val="111111"/>
          <w:sz w:val="28"/>
          <w:szCs w:val="28"/>
          <w:rtl/>
        </w:rPr>
        <w:t xml:space="preserve">الشيبانية، ج 11، ص 149 .</w:t>
      </w:r>
    </w:p>
    <w:p>
      <w:pPr>
        <w:pStyle w:val="Heading2"/>
      </w:pPr>
      <w:bookmarkStart w:id="5273" w:name="_Toc4375"/>
      <w:r>
        <w:t>شيباني ، محمّد بن حسن ، قرن 7 ه-</w:t>
      </w:r>
      <w:bookmarkEnd w:id="5273"/>
    </w:p>
    <w:p>
      <w:pPr>
        <w:pStyle w:val="BookText"/>
      </w:pPr>
      <w:r>
        <w:rPr>
          <w:rFonts w:ascii="Amiri" w:hAnsi="Amiri" w:eastAsia="Amiri" w:cs="Amiri"/>
          <w:lang w:bidi="ar-SA"/>
          <w:color w:val="111111"/>
          <w:sz w:val="28"/>
          <w:szCs w:val="28"/>
          <w:rtl/>
        </w:rPr>
        <w:t xml:space="preserve">نهج البيان عن كشف معاني القرآن</w:t>
      </w:r>
    </w:p>
    <w:p>
      <w:pPr>
        <w:pStyle w:val="BookText"/>
      </w:pPr>
      <w:r>
        <w:rPr>
          <w:rFonts w:ascii="IRNazanin" w:hAnsi="IRNazanin" w:eastAsia="IRNazanin" w:cs="IRNazanin"/>
          <w:lang w:bidi="fa-IR"/>
          <w:color w:val="111111"/>
          <w:sz w:val="28"/>
          <w:szCs w:val="28"/>
          <w:rtl/>
        </w:rPr>
        <w:t xml:space="preserve">ج 16، ص 522.</w:t>
      </w:r>
    </w:p>
    <w:p>
      <w:pPr>
        <w:pStyle w:val="BookText"/>
      </w:pPr>
      <w:r>
        <w:rPr>
          <w:rFonts w:ascii="Amiri" w:hAnsi="Amiri" w:eastAsia="Amiri" w:cs="Amiri"/>
          <w:lang w:bidi="ar-SA"/>
          <w:color w:val="111111"/>
          <w:sz w:val="28"/>
          <w:szCs w:val="28"/>
          <w:rtl/>
        </w:rPr>
        <w:t xml:space="preserve">شيباني ، محمّد بن يوسف - تلعفري</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Amiri" w:hAnsi="Amiri" w:eastAsia="Amiri" w:cs="Amiri"/>
          <w:lang w:bidi="ar-SA"/>
          <w:color w:val="111111"/>
          <w:sz w:val="28"/>
          <w:szCs w:val="28"/>
          <w:rtl/>
        </w:rPr>
        <w:t xml:space="preserve">شيباني مروزي، احمد بن محمّد- ابن</w:t>
      </w:r>
    </w:p>
    <w:p>
      <w:pPr>
        <w:pStyle w:val="BookText"/>
      </w:pPr>
      <w:r>
        <w:rPr>
          <w:rFonts w:ascii="IRNazanin" w:hAnsi="IRNazanin" w:eastAsia="IRNazanin" w:cs="IRNazanin"/>
          <w:lang w:bidi="fa-IR"/>
          <w:color w:val="111111"/>
          <w:sz w:val="28"/>
          <w:szCs w:val="28"/>
          <w:rtl/>
        </w:rPr>
        <w:t xml:space="preserve">حنبل، احمد بن محمّد</w:t>
      </w:r>
    </w:p>
    <w:p>
      <w:pPr>
        <w:pStyle w:val="BookText"/>
      </w:pPr>
      <w:r>
        <w:rPr>
          <w:rFonts w:ascii="Amiri" w:hAnsi="Amiri" w:eastAsia="Amiri" w:cs="Amiri"/>
          <w:lang w:bidi="ar-SA"/>
          <w:color w:val="111111"/>
          <w:sz w:val="28"/>
          <w:szCs w:val="28"/>
          <w:rtl/>
        </w:rPr>
        <w:t xml:space="preserve">شيباني ، يحيى بن علي- خطيب تبريزي ،</w:t>
      </w:r>
    </w:p>
    <w:p>
      <w:pPr>
        <w:pStyle w:val="BookText"/>
      </w:pPr>
      <w:r>
        <w:rPr>
          <w:rFonts w:ascii="Amiri" w:hAnsi="Amiri" w:eastAsia="Amiri" w:cs="Amiri"/>
          <w:lang w:bidi="ar-SA"/>
          <w:color w:val="111111"/>
          <w:sz w:val="28"/>
          <w:szCs w:val="28"/>
          <w:rtl/>
        </w:rPr>
        <w:t xml:space="preserve">يحيى بن علي</w:t>
      </w:r>
    </w:p>
    <w:p>
      <w:pPr>
        <w:pStyle w:val="BookText"/>
      </w:pPr>
      <w:r>
        <w:rPr>
          <w:rFonts w:ascii="Amiri" w:hAnsi="Amiri" w:eastAsia="Amiri" w:cs="Amiri"/>
          <w:lang w:bidi="ar-SA"/>
          <w:color w:val="111111"/>
          <w:sz w:val="28"/>
          <w:szCs w:val="28"/>
          <w:rtl/>
        </w:rPr>
        <w:t xml:space="preserve">شيباني ، يحيى بن محمّد -ابن هبيره</w:t>
      </w:r>
    </w:p>
    <w:p>
      <w:pPr>
        <w:pStyle w:val="BookText"/>
      </w:pPr>
      <w:r>
        <w:rPr>
          <w:rFonts w:ascii="IRNazanin" w:hAnsi="IRNazanin" w:eastAsia="IRNazanin" w:cs="IRNazanin"/>
          <w:lang w:bidi="fa-IR"/>
          <w:color w:val="111111"/>
          <w:sz w:val="28"/>
          <w:szCs w:val="28"/>
          <w:rtl/>
        </w:rPr>
        <w:t xml:space="preserve">یحیی بن محمّد</w:t>
      </w:r>
    </w:p>
    <w:p>
      <w:pPr>
        <w:pStyle w:val="Heading2"/>
      </w:pPr>
      <w:bookmarkStart w:id="5274" w:name="_Toc4376"/>
      <w:r>
        <w:t>شيبي ، محمّد بن علي، 779 - 837 ه-</w:t>
      </w:r>
      <w:bookmarkEnd w:id="5274"/>
    </w:p>
    <w:p>
      <w:pPr>
        <w:pStyle w:val="BookText"/>
      </w:pPr>
      <w:r>
        <w:rPr>
          <w:rFonts w:ascii="IRNazanin" w:hAnsi="IRNazanin" w:eastAsia="IRNazanin" w:cs="IRNazanin"/>
          <w:lang w:bidi="fa-IR"/>
          <w:color w:val="111111"/>
          <w:sz w:val="28"/>
          <w:szCs w:val="28"/>
          <w:rtl/>
        </w:rPr>
        <w:t xml:space="preserve">تمثال الأمثال، ج 4، ص 876.</w:t>
      </w:r>
    </w:p>
    <w:p>
      <w:pPr>
        <w:pStyle w:val="BookText"/>
      </w:pPr>
      <w:r>
        <w:rPr>
          <w:rFonts w:ascii="Amiri" w:hAnsi="Amiri" w:eastAsia="Amiri" w:cs="Amiri"/>
          <w:lang w:bidi="ar-SA"/>
          <w:color w:val="111111"/>
          <w:sz w:val="28"/>
          <w:szCs w:val="28"/>
          <w:rtl/>
        </w:rPr>
        <w:t xml:space="preserve">شيبي ، محمّد رضا -شبيبي ، محمّد رضا</w:t>
      </w:r>
    </w:p>
    <w:p>
      <w:pPr>
        <w:pStyle w:val="BookText"/>
      </w:pPr>
      <w:r>
        <w:rPr>
          <w:rFonts w:ascii="Amiri" w:hAnsi="Amiri" w:eastAsia="Amiri" w:cs="Amiri"/>
          <w:lang w:bidi="ar-SA"/>
          <w:color w:val="111111"/>
          <w:sz w:val="28"/>
          <w:szCs w:val="28"/>
          <w:rtl/>
        </w:rPr>
        <w:t xml:space="preserve">شيخ اشراق -سهروردي ، يحيى بن حبش</w:t>
      </w:r>
    </w:p>
    <w:p>
      <w:pPr>
        <w:pStyle w:val="BookText"/>
      </w:pPr>
      <w:r>
        <w:rPr>
          <w:rFonts w:ascii="Amiri" w:hAnsi="Amiri" w:eastAsia="Amiri" w:cs="Amiri"/>
          <w:lang w:bidi="ar-SA"/>
          <w:color w:val="111111"/>
          <w:sz w:val="28"/>
          <w:szCs w:val="28"/>
          <w:rtl/>
        </w:rPr>
        <w:t xml:space="preserve">شيخ اكبر -ابن عربي ، محمّد بن علي</w:t>
      </w:r>
    </w:p>
    <w:p>
      <w:pPr>
        <w:pStyle w:val="Heading2"/>
      </w:pPr>
      <w:bookmarkStart w:id="5275" w:name="_Toc4377"/>
      <w:r>
        <w:t>شیخ اکمل</w:t>
      </w:r>
      <w:bookmarkEnd w:id="5275"/>
    </w:p>
    <w:p>
      <w:pPr>
        <w:pStyle w:val="BookText"/>
      </w:pPr>
      <w:r>
        <w:rPr>
          <w:rFonts w:ascii="IRNazanin" w:hAnsi="IRNazanin" w:eastAsia="IRNazanin" w:cs="IRNazanin"/>
          <w:lang w:bidi="fa-IR"/>
          <w:color w:val="111111"/>
          <w:sz w:val="28"/>
          <w:szCs w:val="28"/>
          <w:rtl/>
        </w:rPr>
        <w:t xml:space="preserve">ایمان فرعون، ج 3، ص 160 .</w:t>
      </w:r>
    </w:p>
    <w:p>
      <w:pPr>
        <w:pStyle w:val="Heading2"/>
      </w:pPr>
      <w:bookmarkStart w:id="5276" w:name="_Toc4378"/>
      <w:r>
        <w:t>شيخ الاسلام ، داود افندي</w:t>
      </w:r>
      <w:bookmarkEnd w:id="5276"/>
    </w:p>
    <w:p>
      <w:pPr>
        <w:pStyle w:val="BookText"/>
      </w:pPr>
      <w:r>
        <w:rPr>
          <w:rFonts w:ascii="Amiri" w:hAnsi="Amiri" w:eastAsia="Amiri" w:cs="Amiri"/>
          <w:lang w:bidi="ar-SA"/>
          <w:color w:val="111111"/>
          <w:sz w:val="28"/>
          <w:szCs w:val="28"/>
          <w:rtl/>
        </w:rPr>
        <w:t xml:space="preserve">ترجيح البينات، ج4، ص302.</w:t>
      </w:r>
    </w:p>
    <w:p>
      <w:pPr>
        <w:pStyle w:val="Heading2"/>
      </w:pPr>
      <w:bookmarkStart w:id="5277" w:name="_Toc4379"/>
      <w:r>
        <w:t>شيخ الاسلام رومي ، محمّد اسعد بن</w:t>
      </w:r>
      <w:bookmarkEnd w:id="5277"/>
    </w:p>
    <w:p>
      <w:pPr>
        <w:pStyle w:val="BookText"/>
      </w:pPr>
      <w:r>
        <w:rPr>
          <w:rFonts w:ascii="Amiri" w:hAnsi="Amiri" w:eastAsia="Amiri" w:cs="Amiri"/>
          <w:lang w:bidi="ar-SA"/>
          <w:color w:val="111111"/>
          <w:sz w:val="28"/>
          <w:szCs w:val="28"/>
          <w:rtl/>
        </w:rPr>
        <w:t xml:space="preserve">اسماعيل - 1166 ه-</w:t>
      </w:r>
    </w:p>
    <w:p>
      <w:pPr>
        <w:pStyle w:val="BookText"/>
      </w:pPr>
      <w:r>
        <w:rPr>
          <w:rFonts w:ascii="IRNazanin" w:hAnsi="IRNazanin" w:eastAsia="IRNazanin" w:cs="IRNazanin"/>
          <w:lang w:bidi="fa-IR"/>
          <w:color w:val="111111"/>
          <w:sz w:val="28"/>
          <w:szCs w:val="28"/>
          <w:rtl/>
        </w:rPr>
        <w:t xml:space="preserve">اطباق الاطباق، ج 2، ص 477.</w:t>
      </w:r>
    </w:p>
    <w:p>
      <w:pPr>
        <w:pStyle w:val="BookText"/>
      </w:pPr>
      <w:r>
        <w:rPr>
          <w:rFonts w:ascii="Amiri" w:hAnsi="Amiri" w:eastAsia="Amiri" w:cs="Amiri"/>
          <w:lang w:bidi="ar-SA"/>
          <w:color w:val="111111"/>
          <w:sz w:val="28"/>
          <w:szCs w:val="28"/>
          <w:rtl/>
        </w:rPr>
        <w:t xml:space="preserve">شيخ الرئيس- ابن سينا ، حسين بن عبدالله</w:t>
      </w:r>
    </w:p>
    <w:p>
      <w:pPr>
        <w:pStyle w:val="BookText"/>
      </w:pPr>
      <w:r>
        <w:rPr>
          <w:rFonts w:ascii="Amiri" w:hAnsi="Amiri" w:eastAsia="Amiri" w:cs="Amiri"/>
          <w:lang w:bidi="ar-SA"/>
          <w:color w:val="111111"/>
          <w:sz w:val="28"/>
          <w:szCs w:val="28"/>
          <w:rtl/>
        </w:rPr>
        <w:t xml:space="preserve">شيخ الربوه -انصاري ، محمّد ابراهيم بن</w:t>
      </w:r>
    </w:p>
    <w:p>
      <w:pPr>
        <w:pStyle w:val="BookText"/>
      </w:pPr>
      <w:r>
        <w:rPr>
          <w:rFonts w:ascii="Amiri" w:hAnsi="Amiri" w:eastAsia="Amiri" w:cs="Amiri"/>
          <w:lang w:bidi="ar-SA"/>
          <w:color w:val="111111"/>
          <w:sz w:val="28"/>
          <w:szCs w:val="28"/>
          <w:rtl/>
        </w:rPr>
        <w:t xml:space="preserve">ابي طالب</w:t>
      </w:r>
    </w:p>
    <w:p>
      <w:pPr>
        <w:pStyle w:val="Heading2"/>
      </w:pPr>
      <w:bookmarkStart w:id="5278" w:name="_Toc4380"/>
      <w:r>
        <w:t>شيخ الحفاظ موسى بن حسن قرن 9 ه-</w:t>
      </w:r>
      <w:bookmarkEnd w:id="5278"/>
    </w:p>
    <w:p>
      <w:pPr>
        <w:pStyle w:val="BookText"/>
      </w:pPr>
      <w:r>
        <w:rPr>
          <w:rFonts w:ascii="IRNazanin" w:hAnsi="IRNazanin" w:eastAsia="IRNazanin" w:cs="IRNazanin"/>
          <w:lang w:bidi="fa-IR"/>
          <w:color w:val="111111"/>
          <w:sz w:val="28"/>
          <w:szCs w:val="28"/>
          <w:rtl/>
        </w:rPr>
        <w:t xml:space="preserve">موالید و وفیات معصومین (ع) و اولاد</w:t>
      </w:r>
    </w:p>
    <w:p>
      <w:pPr>
        <w:pStyle w:val="BookText"/>
      </w:pPr>
      <w:r>
        <w:rPr>
          <w:rFonts w:ascii="IRNazanin" w:hAnsi="IRNazanin" w:eastAsia="IRNazanin" w:cs="IRNazanin"/>
          <w:lang w:bidi="fa-IR"/>
          <w:color w:val="111111"/>
          <w:sz w:val="28"/>
          <w:szCs w:val="28"/>
          <w:rtl/>
        </w:rPr>
        <w:t xml:space="preserve">شریفشان (ترجمه)، ج 15، ص 884.</w:t>
      </w:r>
    </w:p>
    <w:p>
      <w:pPr>
        <w:pStyle w:val="BookText"/>
      </w:pPr>
      <w:r>
        <w:rPr>
          <w:rFonts w:ascii="Amiri" w:hAnsi="Amiri" w:eastAsia="Amiri" w:cs="Amiri"/>
          <w:lang w:bidi="ar-SA"/>
          <w:color w:val="111111"/>
          <w:sz w:val="28"/>
          <w:szCs w:val="28"/>
          <w:rtl/>
        </w:rPr>
        <w:t xml:space="preserve">شيخ الشرف ، محمّد بن محمّد- حسيني</w:t>
      </w:r>
    </w:p>
    <w:p>
      <w:pPr>
        <w:pStyle w:val="BookText"/>
      </w:pPr>
      <w:r>
        <w:rPr>
          <w:rFonts w:ascii="Amiri" w:hAnsi="Amiri" w:eastAsia="Amiri" w:cs="Amiri"/>
          <w:lang w:bidi="ar-SA"/>
          <w:color w:val="111111"/>
          <w:sz w:val="28"/>
          <w:szCs w:val="28"/>
          <w:rtl/>
        </w:rPr>
        <w:t xml:space="preserve">علوي ، محمّد بن محمّد</w:t>
      </w:r>
    </w:p>
    <w:p>
      <w:pPr>
        <w:pStyle w:val="BookText"/>
      </w:pPr>
      <w:r>
        <w:rPr>
          <w:rFonts w:ascii="Amiri" w:hAnsi="Amiri" w:eastAsia="Amiri" w:cs="Amiri"/>
          <w:lang w:bidi="ar-SA"/>
          <w:color w:val="111111"/>
          <w:sz w:val="28"/>
          <w:szCs w:val="28"/>
          <w:rtl/>
        </w:rPr>
        <w:t xml:space="preserve">شيخ الصغير -عاملي ، علي بن زين الدين</w:t>
      </w:r>
    </w:p>
    <w:p>
      <w:pPr>
        <w:pStyle w:val="BookText"/>
      </w:pPr>
      <w:r>
        <w:rPr>
          <w:rFonts w:ascii="Amiri" w:hAnsi="Amiri" w:eastAsia="Amiri" w:cs="Amiri"/>
          <w:lang w:bidi="ar-SA"/>
          <w:color w:val="111111"/>
          <w:sz w:val="28"/>
          <w:szCs w:val="28"/>
          <w:rtl/>
        </w:rPr>
        <w:t xml:space="preserve">شيخ الطايفه -شيخ طوسي ، محمّد بن</w:t>
      </w:r>
    </w:p>
    <w:p>
      <w:pPr>
        <w:pStyle w:val="BookText"/>
      </w:pPr>
      <w:r>
        <w:rPr>
          <w:rFonts w:ascii="IRNazanin" w:hAnsi="IRNazanin" w:eastAsia="IRNazanin" w:cs="IRNazanin"/>
          <w:lang w:bidi="fa-IR"/>
          <w:color w:val="111111"/>
          <w:sz w:val="28"/>
          <w:szCs w:val="28"/>
          <w:rtl/>
        </w:rPr>
        <w:t xml:space="preserve">حسن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44" w:name="pg7742_70632"/>
    <w:bookmarkEnd w:id="644"/>
    <w:p>
      <w:pPr>
        <w:pStyle w:val="BookText"/>
      </w:pPr>
      <w:r>
        <w:rPr>
          <w:rFonts w:ascii="Amiri" w:hAnsi="Amiri" w:eastAsia="Amiri" w:cs="Amiri"/>
          <w:lang w:bidi="ar-SA"/>
          <w:color w:val="111111"/>
          <w:sz w:val="28"/>
          <w:szCs w:val="28"/>
          <w:rtl/>
        </w:rPr>
        <w:t xml:space="preserve">شيخ العارفين- صفي الدين اردبيلي ،</w:t>
      </w:r>
    </w:p>
    <w:p>
      <w:pPr>
        <w:pStyle w:val="BookText"/>
      </w:pPr>
      <w:r>
        <w:rPr>
          <w:rFonts w:ascii="Amiri" w:hAnsi="Amiri" w:eastAsia="Amiri" w:cs="Amiri"/>
          <w:lang w:bidi="ar-SA"/>
          <w:color w:val="111111"/>
          <w:sz w:val="28"/>
          <w:szCs w:val="28"/>
          <w:rtl/>
        </w:rPr>
        <w:t xml:space="preserve">اسحاق بن جبرئيل</w:t>
      </w:r>
    </w:p>
    <w:p>
      <w:pPr>
        <w:pStyle w:val="BookText"/>
      </w:pPr>
      <w:r>
        <w:rPr>
          <w:rFonts w:ascii="IRNazanin" w:hAnsi="IRNazanin" w:eastAsia="IRNazanin" w:cs="IRNazanin"/>
          <w:lang w:bidi="fa-IR"/>
          <w:color w:val="111111"/>
          <w:sz w:val="28"/>
          <w:szCs w:val="28"/>
          <w:rtl/>
        </w:rPr>
        <w:t xml:space="preserve">شيخ انصاري- انصاري ، مرتضى بن محمّد امین</w:t>
      </w:r>
    </w:p>
    <w:p>
      <w:pPr>
        <w:pStyle w:val="BookText"/>
      </w:pPr>
      <w:r>
        <w:rPr>
          <w:rFonts w:ascii="Amiri" w:hAnsi="Amiri" w:eastAsia="Amiri" w:cs="Amiri"/>
          <w:lang w:bidi="ar-SA"/>
          <w:color w:val="111111"/>
          <w:sz w:val="28"/>
          <w:szCs w:val="28"/>
          <w:rtl/>
        </w:rPr>
        <w:t xml:space="preserve">شيخاني ، جمال الدين محمود -شيخاني</w:t>
      </w:r>
    </w:p>
    <w:p>
      <w:pPr>
        <w:pStyle w:val="BookText"/>
      </w:pPr>
      <w:r>
        <w:rPr>
          <w:rFonts w:ascii="IRNazanin" w:hAnsi="IRNazanin" w:eastAsia="IRNazanin" w:cs="IRNazanin"/>
          <w:lang w:bidi="fa-IR"/>
          <w:color w:val="111111"/>
          <w:sz w:val="28"/>
          <w:szCs w:val="28"/>
          <w:rtl/>
        </w:rPr>
        <w:t xml:space="preserve">محمود بن محمّد</w:t>
      </w:r>
    </w:p>
    <w:p>
      <w:pPr>
        <w:pStyle w:val="Heading2"/>
      </w:pPr>
      <w:bookmarkStart w:id="5279" w:name="_Toc4381"/>
      <w:r>
        <w:t>شيخاني ، علي بن حامد ه-</w:t>
      </w:r>
      <w:bookmarkEnd w:id="5279"/>
    </w:p>
    <w:p>
      <w:pPr>
        <w:pStyle w:val="BookText"/>
      </w:pPr>
      <w:r>
        <w:rPr>
          <w:rFonts w:ascii="Amiri" w:hAnsi="Amiri" w:eastAsia="Amiri" w:cs="Amiri"/>
          <w:lang w:bidi="ar-SA"/>
          <w:color w:val="111111"/>
          <w:sz w:val="28"/>
          <w:szCs w:val="28"/>
          <w:rtl/>
        </w:rPr>
        <w:t xml:space="preserve">شرح العزي في التصريف = شرح</w:t>
      </w:r>
    </w:p>
    <w:p>
      <w:pPr>
        <w:pStyle w:val="BookText"/>
      </w:pPr>
      <w:r>
        <w:rPr>
          <w:rFonts w:ascii="Amiri" w:hAnsi="Amiri" w:eastAsia="Amiri" w:cs="Amiri"/>
          <w:lang w:bidi="ar-SA"/>
          <w:color w:val="111111"/>
          <w:sz w:val="28"/>
          <w:szCs w:val="28"/>
          <w:rtl/>
        </w:rPr>
        <w:t xml:space="preserve">التصريف العزي، ج 9، ص717.</w:t>
      </w:r>
    </w:p>
    <w:p>
      <w:pPr>
        <w:pStyle w:val="Heading2"/>
      </w:pPr>
      <w:bookmarkStart w:id="5280" w:name="_Toc4382"/>
      <w:r>
        <w:t>شيخاني ، علي بن عبد الله - 1092 ه-</w:t>
      </w:r>
      <w:bookmarkEnd w:id="5280"/>
    </w:p>
    <w:p>
      <w:pPr>
        <w:pStyle w:val="BookText"/>
      </w:pPr>
      <w:r>
        <w:rPr>
          <w:rFonts w:ascii="Amiri" w:hAnsi="Amiri" w:eastAsia="Amiri" w:cs="Amiri"/>
          <w:lang w:bidi="ar-SA"/>
          <w:color w:val="111111"/>
          <w:sz w:val="28"/>
          <w:szCs w:val="28"/>
          <w:rtl/>
        </w:rPr>
        <w:t xml:space="preserve">ادل الخيرات والاقرب الحسنات فى الصلاة على محمّد سيد السادات، ج 1،</w:t>
      </w:r>
    </w:p>
    <w:p>
      <w:pPr>
        <w:pStyle w:val="BookText"/>
      </w:pPr>
      <w:r>
        <w:rPr>
          <w:rFonts w:ascii="IRNazanin" w:hAnsi="IRNazanin" w:eastAsia="IRNazanin" w:cs="IRNazanin"/>
          <w:lang w:bidi="fa-IR"/>
          <w:color w:val="111111"/>
          <w:sz w:val="28"/>
          <w:szCs w:val="28"/>
          <w:rtl/>
        </w:rPr>
        <w:t xml:space="preserve">ص659.</w:t>
      </w:r>
    </w:p>
    <w:p>
      <w:pPr>
        <w:pStyle w:val="Heading2"/>
      </w:pPr>
      <w:bookmarkStart w:id="5281" w:name="_Toc4383"/>
      <w:r>
        <w:t>شيخاني ، محمود بن محمّد - 1119 ه-</w:t>
      </w:r>
      <w:bookmarkEnd w:id="5281"/>
    </w:p>
    <w:p>
      <w:pPr>
        <w:pStyle w:val="BookText"/>
      </w:pPr>
      <w:r>
        <w:rPr>
          <w:rFonts w:ascii="IRNazanin" w:hAnsi="IRNazanin" w:eastAsia="IRNazanin" w:cs="IRNazanin"/>
          <w:lang w:bidi="fa-IR"/>
          <w:color w:val="111111"/>
          <w:sz w:val="28"/>
          <w:szCs w:val="28"/>
          <w:rtl/>
        </w:rPr>
        <w:t xml:space="preserve">1 .تحفة المحبين لاهل طه و پس ج4،</w:t>
      </w:r>
    </w:p>
    <w:p>
      <w:pPr>
        <w:pStyle w:val="BookText"/>
      </w:pPr>
      <w:r>
        <w:rPr>
          <w:rFonts w:ascii="IRNazanin" w:hAnsi="IRNazanin" w:eastAsia="IRNazanin" w:cs="IRNazanin"/>
          <w:lang w:bidi="fa-IR"/>
          <w:color w:val="111111"/>
          <w:sz w:val="28"/>
          <w:szCs w:val="28"/>
          <w:rtl/>
        </w:rPr>
        <w:t xml:space="preserve">ص 10.</w:t>
      </w:r>
    </w:p>
    <w:p>
      <w:pPr>
        <w:pStyle w:val="BookText"/>
      </w:pPr>
      <w:r>
        <w:rPr>
          <w:rFonts w:ascii="Amiri" w:hAnsi="Amiri" w:eastAsia="Amiri" w:cs="Amiri"/>
          <w:lang w:bidi="ar-SA"/>
          <w:color w:val="111111"/>
          <w:sz w:val="28"/>
          <w:szCs w:val="28"/>
          <w:rtl/>
        </w:rPr>
        <w:t xml:space="preserve">2 .الصراط السوي في مناقب آل النبي</w:t>
      </w:r>
    </w:p>
    <w:p>
      <w:pPr>
        <w:pStyle w:val="BookText"/>
      </w:pPr>
      <w:r>
        <w:rPr>
          <w:rFonts w:ascii="IRNazanin" w:hAnsi="IRNazanin" w:eastAsia="IRNazanin" w:cs="IRNazanin"/>
          <w:lang w:bidi="fa-IR"/>
          <w:color w:val="111111"/>
          <w:sz w:val="28"/>
          <w:szCs w:val="28"/>
          <w:rtl/>
        </w:rPr>
        <w:t xml:space="preserve">ج 10 ، ص 542.</w:t>
      </w:r>
    </w:p>
    <w:p>
      <w:pPr>
        <w:pStyle w:val="Heading2"/>
      </w:pPr>
      <w:bookmarkStart w:id="5282" w:name="_Toc4384"/>
      <w:r>
        <w:t>شيخ بابا نخجواني ، نعمت الله بن محمود</w:t>
      </w:r>
      <w:bookmarkEnd w:id="528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902 ه-</w:t>
      </w:r>
    </w:p>
    <w:p>
      <w:pPr>
        <w:pStyle w:val="BookText"/>
      </w:pPr>
      <w:r>
        <w:rPr>
          <w:rFonts w:ascii="Amiri" w:hAnsi="Amiri" w:eastAsia="Amiri" w:cs="Amiri"/>
          <w:lang w:bidi="ar-SA"/>
          <w:color w:val="111111"/>
          <w:sz w:val="28"/>
          <w:szCs w:val="28"/>
          <w:rtl/>
        </w:rPr>
        <w:t xml:space="preserve">الفواتح الالهية و المفاتيح الغيبية</w:t>
      </w:r>
    </w:p>
    <w:p>
      <w:pPr>
        <w:pStyle w:val="BookText"/>
      </w:pPr>
      <w:r>
        <w:rPr>
          <w:rFonts w:ascii="IRNazanin" w:hAnsi="IRNazanin" w:eastAsia="IRNazanin" w:cs="IRNazanin"/>
          <w:lang w:bidi="fa-IR"/>
          <w:color w:val="111111"/>
          <w:sz w:val="28"/>
          <w:szCs w:val="28"/>
          <w:rtl/>
        </w:rPr>
        <w:t xml:space="preserve">ج 12، ص 295.</w:t>
      </w:r>
    </w:p>
    <w:p>
      <w:pPr>
        <w:pStyle w:val="Heading2"/>
      </w:pPr>
      <w:bookmarkStart w:id="5283" w:name="_Toc4385"/>
      <w:r>
        <w:t>شيخ بخاري، محمّد بن محمّد قرن 9 ه-</w:t>
      </w:r>
      <w:bookmarkEnd w:id="5283"/>
    </w:p>
    <w:p>
      <w:pPr>
        <w:pStyle w:val="BookText"/>
      </w:pPr>
      <w:r>
        <w:rPr>
          <w:rFonts w:ascii="Amiri" w:hAnsi="Amiri" w:eastAsia="Amiri" w:cs="Amiri"/>
          <w:lang w:bidi="ar-SA"/>
          <w:color w:val="111111"/>
          <w:sz w:val="28"/>
          <w:szCs w:val="28"/>
          <w:rtl/>
        </w:rPr>
        <w:t xml:space="preserve">شرح الخزرجية في العروض والقافية</w:t>
      </w:r>
    </w:p>
    <w:p>
      <w:pPr>
        <w:pStyle w:val="BookText"/>
      </w:pPr>
      <w:r>
        <w:rPr>
          <w:rFonts w:ascii="IRNazanin" w:hAnsi="IRNazanin" w:eastAsia="IRNazanin" w:cs="IRNazanin"/>
          <w:lang w:bidi="fa-IR"/>
          <w:color w:val="111111"/>
          <w:sz w:val="28"/>
          <w:szCs w:val="28"/>
          <w:rtl/>
        </w:rPr>
        <w:t xml:space="preserve">ج 9، ص 429.</w:t>
      </w:r>
    </w:p>
    <w:p>
      <w:pPr>
        <w:pStyle w:val="Heading2"/>
      </w:pPr>
      <w:bookmarkStart w:id="5284" w:name="_Toc4386"/>
      <w:r>
        <w:t>شیخ بدرالدین حسن بن قاسم</w:t>
      </w:r>
      <w:bookmarkEnd w:id="5284"/>
    </w:p>
    <w:p>
      <w:pPr>
        <w:pStyle w:val="BookText"/>
      </w:pPr>
      <w:r>
        <w:rPr>
          <w:rFonts w:ascii="Amiri" w:hAnsi="Amiri" w:eastAsia="Amiri" w:cs="Amiri"/>
          <w:lang w:bidi="ar-SA"/>
          <w:color w:val="111111"/>
          <w:sz w:val="28"/>
          <w:szCs w:val="28"/>
          <w:rtl/>
        </w:rPr>
        <w:t xml:space="preserve">شرح الواضحة في تجويد الفاتحة</w:t>
      </w:r>
    </w:p>
    <w:p>
      <w:pPr>
        <w:pStyle w:val="BookText"/>
      </w:pPr>
      <w:r>
        <w:rPr>
          <w:rFonts w:ascii="IRNazanin" w:hAnsi="IRNazanin" w:eastAsia="IRNazanin" w:cs="IRNazanin"/>
          <w:lang w:bidi="fa-IR"/>
          <w:color w:val="111111"/>
          <w:sz w:val="28"/>
          <w:szCs w:val="28"/>
          <w:rtl/>
        </w:rPr>
        <w:t xml:space="preserve">ج 10، ص319.</w:t>
      </w:r>
    </w:p>
    <w:p>
      <w:pPr>
        <w:pStyle w:val="Heading2"/>
      </w:pPr>
      <w:bookmarkStart w:id="5285" w:name="_Toc4387"/>
      <w:r>
        <w:t>شيخ بهائي ، محمّد بن حسين 953 -</w:t>
      </w:r>
      <w:bookmarkEnd w:id="5285"/>
    </w:p>
    <w:p>
      <w:pPr>
        <w:pStyle w:val="BookText"/>
      </w:pPr>
      <w:r>
        <w:rPr>
          <w:rFonts w:ascii="IRNazanin" w:hAnsi="IRNazanin" w:eastAsia="IRNazanin" w:cs="IRNazanin"/>
          <w:lang w:bidi="fa-IR"/>
          <w:color w:val="111111"/>
          <w:sz w:val="28"/>
          <w:szCs w:val="28"/>
          <w:rtl/>
        </w:rPr>
        <w:t xml:space="preserve">1030ه-</w:t>
      </w:r>
    </w:p>
    <w:p>
      <w:pPr>
        <w:pStyle w:val="BookText"/>
      </w:pPr>
      <w:r>
        <w:rPr>
          <w:rFonts w:ascii="Amiri" w:hAnsi="Amiri" w:eastAsia="Amiri" w:cs="Amiri"/>
          <w:lang w:bidi="ar-SA"/>
          <w:color w:val="111111"/>
          <w:sz w:val="28"/>
          <w:szCs w:val="28"/>
          <w:rtl/>
        </w:rPr>
        <w:t xml:space="preserve">1 .الاثنى عشريات الخمس، ج 1،</w:t>
      </w:r>
    </w:p>
    <w:p>
      <w:pPr>
        <w:pStyle w:val="BookText"/>
      </w:pPr>
      <w:r>
        <w:rPr>
          <w:rFonts w:ascii="IRNazanin" w:hAnsi="IRNazanin" w:eastAsia="IRNazanin" w:cs="IRNazanin"/>
          <w:lang w:bidi="fa-IR"/>
          <w:color w:val="111111"/>
          <w:sz w:val="28"/>
          <w:szCs w:val="28"/>
          <w:rtl/>
        </w:rPr>
        <w:t xml:space="preserve">ص 179</w:t>
      </w:r>
    </w:p>
    <w:p>
      <w:pPr>
        <w:pStyle w:val="BookText"/>
      </w:pPr>
      <w:r>
        <w:rPr>
          <w:rFonts w:ascii="Amiri" w:hAnsi="Amiri" w:eastAsia="Amiri" w:cs="Amiri"/>
          <w:lang w:bidi="ar-SA"/>
          <w:color w:val="111111"/>
          <w:sz w:val="28"/>
          <w:szCs w:val="28"/>
          <w:rtl/>
        </w:rPr>
        <w:t xml:space="preserve">2 .الاثنى عشرية في الحج، ج 1،</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الاثنى عشرية في الزكاة، ج 1،</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Amiri" w:hAnsi="Amiri" w:eastAsia="Amiri" w:cs="Amiri"/>
          <w:lang w:bidi="ar-SA"/>
          <w:color w:val="111111"/>
          <w:sz w:val="28"/>
          <w:szCs w:val="28"/>
          <w:rtl/>
        </w:rPr>
        <w:t xml:space="preserve">4 .الاثنى عشرية في الصلاة، ج 1،</w:t>
      </w:r>
    </w:p>
    <w:p>
      <w:pPr>
        <w:pStyle w:val="BookText"/>
      </w:pPr>
      <w:r>
        <w:rPr>
          <w:rFonts w:ascii="IRNazanin" w:hAnsi="IRNazanin" w:eastAsia="IRNazanin" w:cs="IRNazanin"/>
          <w:lang w:bidi="fa-IR"/>
          <w:color w:val="111111"/>
          <w:sz w:val="28"/>
          <w:szCs w:val="28"/>
          <w:rtl/>
        </w:rPr>
        <w:t xml:space="preserve">ص 186 .</w:t>
      </w:r>
    </w:p>
    <w:p>
      <w:pPr>
        <w:pStyle w:val="BookText"/>
      </w:pPr>
      <w:r>
        <w:rPr>
          <w:rFonts w:ascii="Amiri" w:hAnsi="Amiri" w:eastAsia="Amiri" w:cs="Amiri"/>
          <w:lang w:bidi="ar-SA"/>
          <w:color w:val="111111"/>
          <w:sz w:val="28"/>
          <w:szCs w:val="28"/>
          <w:rtl/>
        </w:rPr>
        <w:t xml:space="preserve">5 .الاثنى عشرية في الصوم، ج1،</w:t>
      </w:r>
    </w:p>
    <w:p>
      <w:pPr>
        <w:pStyle w:val="BookText"/>
      </w:pPr>
      <w:r>
        <w:rPr>
          <w:rFonts w:ascii="IRNazanin" w:hAnsi="IRNazanin" w:eastAsia="IRNazanin" w:cs="IRNazanin"/>
          <w:lang w:bidi="fa-IR"/>
          <w:color w:val="111111"/>
          <w:sz w:val="28"/>
          <w:szCs w:val="28"/>
          <w:rtl/>
        </w:rPr>
        <w:t xml:space="preserve">ص 189 .</w:t>
      </w:r>
    </w:p>
    <w:p>
      <w:pPr>
        <w:pStyle w:val="BookText"/>
      </w:pPr>
      <w:r>
        <w:rPr>
          <w:rFonts w:ascii="Amiri" w:hAnsi="Amiri" w:eastAsia="Amiri" w:cs="Amiri"/>
          <w:lang w:bidi="ar-SA"/>
          <w:color w:val="111111"/>
          <w:sz w:val="28"/>
          <w:szCs w:val="28"/>
          <w:rtl/>
        </w:rPr>
        <w:t xml:space="preserve">6 .الاثنى عشرية في الطهارة، ج 1،</w:t>
      </w:r>
    </w:p>
    <w:p>
      <w:pPr>
        <w:pStyle w:val="BookText"/>
      </w:pPr>
      <w:r>
        <w:rPr>
          <w:rFonts w:ascii="IRNazanin" w:hAnsi="IRNazanin" w:eastAsia="IRNazanin" w:cs="IRNazanin"/>
          <w:lang w:bidi="fa-IR"/>
          <w:color w:val="111111"/>
          <w:sz w:val="28"/>
          <w:szCs w:val="28"/>
          <w:rtl/>
        </w:rPr>
        <w:t xml:space="preserve">ص 191.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اجازة الحديث، ج 1، ص218</w:t>
      </w:r>
    </w:p>
    <w:p>
      <w:pPr>
        <w:pStyle w:val="BookText"/>
      </w:pPr>
      <w:r>
        <w:rPr>
          <w:rFonts w:ascii="Amiri" w:hAnsi="Amiri" w:eastAsia="Amiri" w:cs="Amiri"/>
          <w:lang w:bidi="ar-SA"/>
          <w:color w:val="111111"/>
          <w:sz w:val="28"/>
          <w:szCs w:val="28"/>
          <w:rtl/>
        </w:rPr>
        <w:t xml:space="preserve">8 .إجازة لتلميذه المولى كمال الدين حاجي بابا القزويني بن ميرزا جان</w:t>
      </w:r>
    </w:p>
    <w:p>
      <w:pPr>
        <w:pStyle w:val="BookText"/>
      </w:pPr>
      <w:r>
        <w:rPr>
          <w:rFonts w:ascii="IRNazanin" w:hAnsi="IRNazanin" w:eastAsia="IRNazanin" w:cs="IRNazanin"/>
          <w:lang w:bidi="fa-IR"/>
          <w:color w:val="111111"/>
          <w:sz w:val="28"/>
          <w:szCs w:val="28"/>
          <w:rtl/>
        </w:rPr>
        <w:t xml:space="preserve">ج 1، ص 235.</w:t>
      </w:r>
    </w:p>
    <w:p>
      <w:pPr>
        <w:pStyle w:val="BookText"/>
      </w:pPr>
      <w:r>
        <w:rPr>
          <w:rFonts w:ascii="Amiri" w:hAnsi="Amiri" w:eastAsia="Amiri" w:cs="Amiri"/>
          <w:lang w:bidi="ar-SA"/>
          <w:color w:val="111111"/>
          <w:sz w:val="28"/>
          <w:szCs w:val="28"/>
          <w:rtl/>
        </w:rPr>
        <w:t xml:space="preserve">9 .اجازة لحسن علي بن عبدالله الشوشتري، ج1، ص239.</w:t>
      </w:r>
    </w:p>
    <w:p>
      <w:pPr>
        <w:pStyle w:val="BookText"/>
      </w:pPr>
      <w:r>
        <w:rPr>
          <w:rFonts w:ascii="Amiri" w:hAnsi="Amiri" w:eastAsia="Amiri" w:cs="Amiri"/>
          <w:lang w:bidi="ar-SA"/>
          <w:color w:val="111111"/>
          <w:sz w:val="28"/>
          <w:szCs w:val="28"/>
          <w:rtl/>
        </w:rPr>
        <w:t xml:space="preserve">10 .اجازة لحسين بن حيدر كركي</w:t>
      </w:r>
    </w:p>
    <w:p>
      <w:pPr>
        <w:pStyle w:val="BookText"/>
      </w:pPr>
      <w:r>
        <w:rPr>
          <w:rFonts w:ascii="Amiri" w:hAnsi="Amiri" w:eastAsia="Amiri" w:cs="Amiri"/>
          <w:lang w:bidi="ar-SA"/>
          <w:color w:val="111111"/>
          <w:sz w:val="28"/>
          <w:szCs w:val="28"/>
          <w:rtl/>
        </w:rPr>
        <w:t xml:space="preserve">(الثانية)، ج 1، ص 240.</w:t>
      </w:r>
    </w:p>
    <w:p>
      <w:pPr>
        <w:pStyle w:val="BookText"/>
      </w:pPr>
      <w:r>
        <w:rPr>
          <w:rFonts w:ascii="Amiri" w:hAnsi="Amiri" w:eastAsia="Amiri" w:cs="Amiri"/>
          <w:lang w:bidi="ar-SA"/>
          <w:color w:val="111111"/>
          <w:sz w:val="28"/>
          <w:szCs w:val="28"/>
          <w:rtl/>
        </w:rPr>
        <w:t xml:space="preserve">11 .إجازة للسيّد عز الدين حسين بن السيّد حيدر الكركي، ج 1، ص 254.</w:t>
      </w:r>
    </w:p>
    <w:p>
      <w:pPr>
        <w:pStyle w:val="BookText"/>
      </w:pPr>
      <w:r>
        <w:rPr>
          <w:rFonts w:ascii="Amiri" w:hAnsi="Amiri" w:eastAsia="Amiri" w:cs="Amiri"/>
          <w:lang w:bidi="ar-SA"/>
          <w:color w:val="111111"/>
          <w:sz w:val="28"/>
          <w:szCs w:val="28"/>
          <w:rtl/>
        </w:rPr>
        <w:t xml:space="preserve">12 .اجازة للسيّد ماجد البحراني، ج 1،</w:t>
      </w:r>
    </w:p>
    <w:p>
      <w:pPr>
        <w:pStyle w:val="BookText"/>
      </w:pPr>
      <w:r>
        <w:rPr>
          <w:rFonts w:ascii="IRNazanin" w:hAnsi="IRNazanin" w:eastAsia="IRNazanin" w:cs="IRNazanin"/>
          <w:lang w:bidi="fa-IR"/>
          <w:color w:val="111111"/>
          <w:sz w:val="28"/>
          <w:szCs w:val="28"/>
          <w:rtl/>
        </w:rPr>
        <w:t xml:space="preserve">ص 255.</w:t>
      </w:r>
    </w:p>
    <w:p>
      <w:pPr>
        <w:pStyle w:val="BookText"/>
      </w:pPr>
      <w:r>
        <w:rPr>
          <w:rFonts w:ascii="Amiri" w:hAnsi="Amiri" w:eastAsia="Amiri" w:cs="Amiri"/>
          <w:lang w:bidi="ar-SA"/>
          <w:color w:val="111111"/>
          <w:sz w:val="28"/>
          <w:szCs w:val="28"/>
          <w:rtl/>
        </w:rPr>
        <w:t xml:space="preserve">13 .إجازة لمحمّد رضا البسطامي، ج1،</w:t>
      </w:r>
    </w:p>
    <w:p>
      <w:pPr>
        <w:pStyle w:val="BookText"/>
      </w:pPr>
      <w:r>
        <w:rPr>
          <w:rFonts w:ascii="IRNazanin" w:hAnsi="IRNazanin" w:eastAsia="IRNazanin" w:cs="IRNazanin"/>
          <w:lang w:bidi="fa-IR"/>
          <w:color w:val="111111"/>
          <w:sz w:val="28"/>
          <w:szCs w:val="28"/>
          <w:rtl/>
        </w:rPr>
        <w:t xml:space="preserve">ص 285 .</w:t>
      </w:r>
    </w:p>
    <w:p>
      <w:pPr>
        <w:pStyle w:val="BookText"/>
      </w:pPr>
      <w:r>
        <w:rPr>
          <w:rFonts w:ascii="Amiri" w:hAnsi="Amiri" w:eastAsia="Amiri" w:cs="Amiri"/>
          <w:lang w:bidi="ar-SA"/>
          <w:color w:val="111111"/>
          <w:sz w:val="28"/>
          <w:szCs w:val="28"/>
          <w:rtl/>
        </w:rPr>
        <w:t xml:space="preserve">14 .إجازة لملك علي، ج 1، ص289.</w:t>
      </w:r>
    </w:p>
    <w:p>
      <w:pPr>
        <w:pStyle w:val="BookText"/>
      </w:pPr>
      <w:r>
        <w:rPr>
          <w:rFonts w:ascii="Amiri" w:hAnsi="Amiri" w:eastAsia="Amiri" w:cs="Amiri"/>
          <w:lang w:bidi="ar-SA"/>
          <w:color w:val="111111"/>
          <w:sz w:val="28"/>
          <w:szCs w:val="28"/>
          <w:rtl/>
        </w:rPr>
        <w:t xml:space="preserve">15 .اجوبة المسائل الجزائرية = اجوبة مسائل الشيخ صالح الجزائري، ج 1، ص 345.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اجوبة مسائل ابن شدقم =</w:t>
      </w:r>
    </w:p>
    <w:p>
      <w:pPr>
        <w:pStyle w:val="BookText"/>
      </w:pPr>
      <w:r>
        <w:rPr>
          <w:rFonts w:ascii="Amiri" w:hAnsi="Amiri" w:eastAsia="Amiri" w:cs="Amiri"/>
          <w:lang w:bidi="ar-SA"/>
          <w:color w:val="111111"/>
          <w:sz w:val="28"/>
          <w:szCs w:val="28"/>
          <w:rtl/>
        </w:rPr>
        <w:t xml:space="preserve">جوابات المسائل الشدقمية اجوبة المسائل المدنيات، ج1،</w:t>
      </w:r>
    </w:p>
    <w:p>
      <w:pPr>
        <w:pStyle w:val="BookText"/>
      </w:pPr>
      <w:r>
        <w:rPr>
          <w:rFonts w:ascii="IRNazanin" w:hAnsi="IRNazanin" w:eastAsia="IRNazanin" w:cs="IRNazanin"/>
          <w:lang w:bidi="fa-IR"/>
          <w:color w:val="111111"/>
          <w:sz w:val="28"/>
          <w:szCs w:val="28"/>
          <w:rtl/>
        </w:rPr>
        <w:t xml:space="preserve">ص 341.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الأخيار، ج1، ص 584.</w:t>
      </w:r>
    </w:p>
    <w:p>
      <w:pPr>
        <w:pStyle w:val="BookText"/>
      </w:pPr>
      <w:r>
        <w:rPr>
          <w:rFonts w:ascii="Amiri" w:hAnsi="Amiri" w:eastAsia="Amiri" w:cs="Amiri"/>
          <w:lang w:bidi="ar-SA"/>
          <w:color w:val="111111"/>
          <w:sz w:val="28"/>
          <w:szCs w:val="28"/>
          <w:rtl/>
        </w:rPr>
        <w:t xml:space="preserve">18 .الادب (رسالة في)، ج 1، ص 585.</w:t>
      </w:r>
    </w:p>
    <w:p>
      <w:pPr>
        <w:pStyle w:val="BookText"/>
      </w:pPr>
      <w:r>
        <w:rPr>
          <w:rFonts w:ascii="Amiri" w:hAnsi="Amiri" w:eastAsia="Amiri" w:cs="Amiri"/>
          <w:lang w:bidi="ar-SA"/>
          <w:color w:val="111111"/>
          <w:sz w:val="28"/>
          <w:szCs w:val="28"/>
          <w:rtl/>
        </w:rPr>
        <w:t xml:space="preserve">19 .الاربعون حديثاً = اربعين شيخ بهائي = شرح الاربعين، ج1،</w:t>
      </w:r>
    </w:p>
    <w:p>
      <w:pPr>
        <w:pStyle w:val="BookText"/>
      </w:pPr>
      <w:r>
        <w:rPr>
          <w:rFonts w:ascii="IRNazanin" w:hAnsi="IRNazanin" w:eastAsia="IRNazanin" w:cs="IRNazanin"/>
          <w:lang w:bidi="fa-IR"/>
          <w:color w:val="111111"/>
          <w:sz w:val="28"/>
          <w:szCs w:val="28"/>
          <w:rtl/>
        </w:rPr>
        <w:t xml:space="preserve">ص 700 .</w:t>
      </w:r>
    </w:p>
    <w:p>
      <w:pPr>
        <w:pStyle w:val="BookText"/>
      </w:pPr>
      <w:r>
        <w:rPr>
          <w:rFonts w:ascii="IRNazanin" w:hAnsi="IRNazanin" w:eastAsia="IRNazanin" w:cs="IRNazanin"/>
          <w:lang w:bidi="fa-IR"/>
          <w:color w:val="111111"/>
          <w:sz w:val="28"/>
          <w:szCs w:val="28"/>
          <w:rtl/>
        </w:rPr>
        <w:t xml:space="preserve">20 .اسطرلاب رساله در)، ج2،</w:t>
      </w:r>
    </w:p>
    <w:p>
      <w:pPr>
        <w:pStyle w:val="BookText"/>
      </w:pPr>
      <w:r>
        <w:rPr>
          <w:rFonts w:ascii="IRNazanin" w:hAnsi="IRNazanin" w:eastAsia="IRNazanin" w:cs="IRNazanin"/>
          <w:lang w:bidi="fa-IR"/>
          <w:color w:val="111111"/>
          <w:sz w:val="28"/>
          <w:szCs w:val="28"/>
          <w:rtl/>
        </w:rPr>
        <w:t xml:space="preserve">ص188.</w:t>
      </w:r>
    </w:p>
    <w:p>
      <w:pPr>
        <w:pStyle w:val="BookText"/>
      </w:pPr>
      <w:r>
        <w:rPr>
          <w:rFonts w:ascii="Amiri" w:hAnsi="Amiri" w:eastAsia="Amiri" w:cs="Amiri"/>
          <w:lang w:bidi="ar-SA"/>
          <w:color w:val="111111"/>
          <w:sz w:val="28"/>
          <w:szCs w:val="28"/>
          <w:rtl/>
        </w:rPr>
        <w:t xml:space="preserve">21 .الاعتقادات = الاعتقادية -</w:t>
      </w:r>
    </w:p>
    <w:p>
      <w:pPr>
        <w:pStyle w:val="BookText"/>
      </w:pPr>
      <w:r>
        <w:rPr>
          <w:rFonts w:ascii="IRNazanin" w:hAnsi="IRNazanin" w:eastAsia="IRNazanin" w:cs="IRNazanin"/>
          <w:lang w:bidi="fa-IR"/>
          <w:color w:val="111111"/>
          <w:sz w:val="28"/>
          <w:szCs w:val="28"/>
          <w:rtl/>
        </w:rPr>
        <w:t xml:space="preserve">العقائد، ج 2، ص 506.</w:t>
      </w:r>
    </w:p>
    <w:p>
      <w:pPr>
        <w:pStyle w:val="BookText"/>
      </w:pPr>
      <w:r>
        <w:rPr>
          <w:rFonts w:ascii="Amiri" w:hAnsi="Amiri" w:eastAsia="Amiri" w:cs="Amiri"/>
          <w:lang w:bidi="ar-SA"/>
          <w:color w:val="111111"/>
          <w:sz w:val="28"/>
          <w:szCs w:val="28"/>
          <w:rtl/>
        </w:rPr>
        <w:t xml:space="preserve">22 .اعتقادات الاثنى عشرية، ج 2،</w:t>
      </w:r>
    </w:p>
    <w:p>
      <w:pPr>
        <w:pStyle w:val="BookText"/>
      </w:pPr>
      <w:r>
        <w:rPr>
          <w:rFonts w:ascii="IRNazanin" w:hAnsi="IRNazanin" w:eastAsia="IRNazanin" w:cs="IRNazanin"/>
          <w:lang w:bidi="fa-IR"/>
          <w:color w:val="111111"/>
          <w:sz w:val="28"/>
          <w:szCs w:val="28"/>
          <w:rtl/>
        </w:rPr>
        <w:t xml:space="preserve">ص 511.</w:t>
      </w:r>
    </w:p>
    <w:p>
      <w:pPr>
        <w:pStyle w:val="BookText"/>
      </w:pPr>
      <w:r>
        <w:rPr>
          <w:rFonts w:ascii="Amiri" w:hAnsi="Amiri" w:eastAsia="Amiri" w:cs="Amiri"/>
          <w:lang w:bidi="ar-SA"/>
          <w:color w:val="111111"/>
          <w:sz w:val="28"/>
          <w:szCs w:val="28"/>
          <w:rtl/>
        </w:rPr>
        <w:t xml:space="preserve">23 .الاعمال الاسطرلابية، ج 2، ص 570.</w:t>
      </w:r>
    </w:p>
    <w:p>
      <w:pPr>
        <w:pStyle w:val="BookText"/>
      </w:pPr>
      <w:r>
        <w:rPr>
          <w:rFonts w:ascii="IRNazanin" w:hAnsi="IRNazanin" w:eastAsia="IRNazanin" w:cs="IRNazanin"/>
          <w:lang w:bidi="fa-IR"/>
          <w:color w:val="111111"/>
          <w:sz w:val="28"/>
          <w:szCs w:val="28"/>
          <w:rtl/>
        </w:rPr>
        <w:t xml:space="preserve">24 .الغاز و اجوبتها، ج 2، ص 674.</w:t>
      </w:r>
    </w:p>
    <w:p>
      <w:pPr>
        <w:pStyle w:val="BookText"/>
      </w:pPr>
      <w:r>
        <w:rPr>
          <w:rFonts w:ascii="Amiri" w:hAnsi="Amiri" w:eastAsia="Amiri" w:cs="Amiri"/>
          <w:lang w:bidi="ar-SA"/>
          <w:color w:val="111111"/>
          <w:sz w:val="28"/>
          <w:szCs w:val="28"/>
          <w:rtl/>
        </w:rPr>
        <w:t xml:space="preserve">25 .البهائية في الحساب، ج 3، ص 411.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تحفه حاتميه = تحفه حاتمي هفتاد باب در اسطرلاب، ج3،</w:t>
      </w:r>
    </w:p>
    <w:p>
      <w:pPr>
        <w:pStyle w:val="BookText"/>
      </w:pPr>
      <w:r>
        <w:rPr>
          <w:rFonts w:ascii="IRNazanin" w:hAnsi="IRNazanin" w:eastAsia="IRNazanin" w:cs="IRNazanin"/>
          <w:lang w:bidi="fa-IR"/>
          <w:color w:val="111111"/>
          <w:sz w:val="28"/>
          <w:szCs w:val="28"/>
          <w:rtl/>
        </w:rPr>
        <w:t xml:space="preserve">ص 818</w:t>
      </w:r>
    </w:p>
    <w:p>
      <w:pPr>
        <w:pStyle w:val="BookText"/>
      </w:pPr>
      <w:r>
        <w:rPr>
          <w:rFonts w:ascii="Amiri" w:hAnsi="Amiri" w:eastAsia="Amiri" w:cs="Amiri"/>
          <w:lang w:bidi="ar-SA"/>
          <w:color w:val="111111"/>
          <w:sz w:val="28"/>
          <w:szCs w:val="28"/>
          <w:rtl/>
        </w:rPr>
        <w:t xml:space="preserve">27 .تخليل الصائم أسنانه من بقية الطعام = جواب سوال خان احمد</w:t>
      </w:r>
    </w:p>
    <w:p>
      <w:pPr>
        <w:pStyle w:val="BookText"/>
      </w:pPr>
      <w:r>
        <w:rPr>
          <w:rFonts w:ascii="Amiri" w:hAnsi="Amiri" w:eastAsia="Amiri" w:cs="Amiri"/>
          <w:lang w:bidi="ar-SA"/>
          <w:color w:val="111111"/>
          <w:sz w:val="28"/>
          <w:szCs w:val="28"/>
          <w:rtl/>
        </w:rPr>
        <w:t xml:space="preserve">خان كيلك، ج 4، ص 99.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ترجمة محمد بن اسماعیل جع،</w:t>
      </w:r>
    </w:p>
    <w:p>
      <w:pPr>
        <w:pStyle w:val="BookText"/>
      </w:pPr>
      <w:r>
        <w:rPr>
          <w:rFonts w:ascii="IRNazanin" w:hAnsi="IRNazanin" w:eastAsia="IRNazanin" w:cs="IRNazanin"/>
          <w:lang w:bidi="fa-IR"/>
          <w:color w:val="111111"/>
          <w:sz w:val="28"/>
          <w:szCs w:val="28"/>
          <w:rtl/>
        </w:rPr>
        <w:t xml:space="preserve">ص 294 .</w:t>
      </w:r>
    </w:p>
    <w:p>
      <w:pPr>
        <w:pStyle w:val="BookText"/>
      </w:pPr>
      <w:r>
        <w:rPr>
          <w:rFonts w:ascii="Amiri" w:hAnsi="Amiri" w:eastAsia="Amiri" w:cs="Amiri"/>
          <w:lang w:bidi="ar-SA"/>
          <w:color w:val="111111"/>
          <w:sz w:val="28"/>
          <w:szCs w:val="28"/>
          <w:rtl/>
        </w:rPr>
        <w:t xml:space="preserve">29 .تشريح الافلاك، ج4، ص 365.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تفسير آية «كلما ألقي فيها فوج»</w:t>
      </w:r>
    </w:p>
    <w:p>
      <w:pPr>
        <w:pStyle w:val="BookText"/>
      </w:pPr>
      <w:r>
        <w:rPr>
          <w:rFonts w:ascii="Amiri" w:hAnsi="Amiri" w:eastAsia="Amiri" w:cs="Amiri"/>
          <w:lang w:bidi="ar-SA"/>
          <w:color w:val="111111"/>
          <w:sz w:val="28"/>
          <w:szCs w:val="28"/>
          <w:rtl/>
        </w:rPr>
        <w:t xml:space="preserve">(رسالة في)، ج4، ص 584.</w:t>
      </w:r>
    </w:p>
    <w:p>
      <w:pPr>
        <w:pStyle w:val="BookText"/>
      </w:pPr>
      <w:r>
        <w:rPr>
          <w:rFonts w:ascii="Amiri" w:hAnsi="Amiri" w:eastAsia="Amiri" w:cs="Amiri"/>
          <w:lang w:bidi="ar-SA"/>
          <w:color w:val="111111"/>
          <w:sz w:val="28"/>
          <w:szCs w:val="28"/>
          <w:rtl/>
        </w:rPr>
        <w:t xml:space="preserve">31 .تنبيه الغافلين بنعمة رب العالمين</w:t>
      </w:r>
    </w:p>
    <w:p>
      <w:pPr>
        <w:pStyle w:val="BookText"/>
      </w:pPr>
      <w:r>
        <w:rPr>
          <w:rFonts w:ascii="IRNazanin" w:hAnsi="IRNazanin" w:eastAsia="IRNazanin" w:cs="IRNazanin"/>
          <w:lang w:bidi="fa-IR"/>
          <w:color w:val="111111"/>
          <w:sz w:val="28"/>
          <w:szCs w:val="28"/>
          <w:rtl/>
        </w:rPr>
        <w:t xml:space="preserve">ج 5، ص 38.</w:t>
      </w:r>
    </w:p>
    <w:p>
      <w:pPr>
        <w:pStyle w:val="BookText"/>
      </w:pPr>
      <w:r>
        <w:rPr>
          <w:rFonts w:ascii="Amiri" w:hAnsi="Amiri" w:eastAsia="Amiri" w:cs="Amiri"/>
          <w:lang w:bidi="ar-SA"/>
          <w:color w:val="111111"/>
          <w:sz w:val="28"/>
          <w:szCs w:val="28"/>
          <w:rtl/>
        </w:rPr>
        <w:t xml:space="preserve">32 .تنبيه الملك تحليل الصائم (رسالة</w:t>
      </w:r>
    </w:p>
    <w:p>
      <w:pPr>
        <w:pStyle w:val="BookText"/>
      </w:pPr>
      <w:r>
        <w:rPr>
          <w:rFonts w:ascii="Amiri" w:hAnsi="Amiri" w:eastAsia="Amiri" w:cs="Amiri"/>
          <w:lang w:bidi="ar-SA"/>
          <w:color w:val="111111"/>
          <w:sz w:val="28"/>
          <w:szCs w:val="28"/>
          <w:rtl/>
        </w:rPr>
        <w:t xml:space="preserve">في)، ج 5، ص 42 .</w:t>
      </w:r>
    </w:p>
    <w:p>
      <w:pPr>
        <w:pStyle w:val="BookText"/>
      </w:pPr>
      <w:r>
        <w:rPr>
          <w:rFonts w:ascii="Amiri" w:hAnsi="Amiri" w:eastAsia="Amiri" w:cs="Amiri"/>
          <w:lang w:bidi="ar-SA"/>
          <w:color w:val="111111"/>
          <w:sz w:val="28"/>
          <w:szCs w:val="28"/>
          <w:rtl/>
        </w:rPr>
        <w:t xml:space="preserve">33 .تهذيب البيان = التهذيب في</w:t>
      </w:r>
    </w:p>
    <w:p>
      <w:pPr>
        <w:pStyle w:val="BookText"/>
      </w:pPr>
      <w:r>
        <w:rPr>
          <w:rFonts w:ascii="IRNazanin" w:hAnsi="IRNazanin" w:eastAsia="IRNazanin" w:cs="IRNazanin"/>
          <w:lang w:bidi="fa-IR"/>
          <w:color w:val="111111"/>
          <w:sz w:val="28"/>
          <w:szCs w:val="28"/>
          <w:rtl/>
        </w:rPr>
        <w:t xml:space="preserve">النحو، ج5، ص 111.</w:t>
      </w:r>
    </w:p>
    <w:p>
      <w:pPr>
        <w:pStyle w:val="BookText"/>
      </w:pPr>
      <w:r>
        <w:rPr>
          <w:rFonts w:ascii="Amiri" w:hAnsi="Amiri" w:eastAsia="Amiri" w:cs="Amiri"/>
          <w:lang w:bidi="ar-SA"/>
          <w:color w:val="111111"/>
          <w:sz w:val="28"/>
          <w:szCs w:val="28"/>
          <w:rtl/>
        </w:rPr>
        <w:t xml:space="preserve">34 .تهذيب الوصول إلى علم الاصول</w:t>
      </w:r>
    </w:p>
    <w:p>
      <w:pPr>
        <w:pStyle w:val="BookText"/>
      </w:pPr>
      <w:r>
        <w:rPr>
          <w:rFonts w:ascii="IRNazanin" w:hAnsi="IRNazanin" w:eastAsia="IRNazanin" w:cs="IRNazanin"/>
          <w:lang w:bidi="fa-IR"/>
          <w:color w:val="111111"/>
          <w:sz w:val="28"/>
          <w:szCs w:val="28"/>
          <w:rtl/>
        </w:rPr>
        <w:t xml:space="preserve">ج 5، ص 135.</w:t>
      </w:r>
    </w:p>
    <w:p>
      <w:pPr>
        <w:pStyle w:val="BookText"/>
      </w:pPr>
      <w:r>
        <w:rPr>
          <w:rFonts w:ascii="Amiri" w:hAnsi="Amiri" w:eastAsia="Amiri" w:cs="Amiri"/>
          <w:lang w:bidi="ar-SA"/>
          <w:color w:val="111111"/>
          <w:sz w:val="28"/>
          <w:szCs w:val="28"/>
          <w:rtl/>
        </w:rPr>
        <w:t xml:space="preserve">35 .الجامع العباسي (ترجمة)، جه،</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Amiri" w:hAnsi="Amiri" w:eastAsia="Amiri" w:cs="Amiri"/>
          <w:lang w:bidi="ar-SA"/>
          <w:color w:val="111111"/>
          <w:sz w:val="28"/>
          <w:szCs w:val="28"/>
          <w:rtl/>
        </w:rPr>
        <w:t xml:space="preserve">36 .جامع عباسي، ج 5، ص302.</w:t>
      </w:r>
    </w:p>
    <w:p>
      <w:pPr>
        <w:pStyle w:val="BookText"/>
      </w:pPr>
      <w:r>
        <w:rPr>
          <w:rFonts w:ascii="Amiri" w:hAnsi="Amiri" w:eastAsia="Amiri" w:cs="Amiri"/>
          <w:lang w:bidi="ar-SA"/>
          <w:color w:val="111111"/>
          <w:sz w:val="28"/>
          <w:szCs w:val="28"/>
          <w:rtl/>
        </w:rPr>
        <w:t xml:space="preserve">37 .جهة القبلة = معرفة القبلة تحقيق جهة القبلة، ج 5، ص 479.</w:t>
      </w:r>
    </w:p>
    <w:p>
      <w:pPr>
        <w:pStyle w:val="BookText"/>
      </w:pPr>
      <w:r>
        <w:rPr>
          <w:rFonts w:ascii="Amiri" w:hAnsi="Amiri" w:eastAsia="Amiri" w:cs="Amiri"/>
          <w:lang w:bidi="ar-SA"/>
          <w:color w:val="111111"/>
          <w:sz w:val="28"/>
          <w:szCs w:val="28"/>
          <w:rtl/>
        </w:rPr>
        <w:t xml:space="preserve">38 .حاشية الاثنى عشرية في الصلاة</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حاشية القواعد و الفوائد، ج 6،</w:t>
      </w:r>
    </w:p>
    <w:p>
      <w:pPr>
        <w:pStyle w:val="BookText"/>
      </w:pPr>
      <w:r>
        <w:rPr>
          <w:rFonts w:ascii="IRNazanin" w:hAnsi="IRNazanin" w:eastAsia="IRNazanin" w:cs="IRNazanin"/>
          <w:lang w:bidi="fa-IR"/>
          <w:color w:val="111111"/>
          <w:sz w:val="28"/>
          <w:szCs w:val="28"/>
          <w:rtl/>
        </w:rPr>
        <w:t xml:space="preserve">ص 312.</w:t>
      </w:r>
    </w:p>
    <w:p>
      <w:pPr>
        <w:pStyle w:val="BookText"/>
      </w:pPr>
      <w:r>
        <w:rPr>
          <w:rFonts w:ascii="Amiri" w:hAnsi="Amiri" w:eastAsia="Amiri" w:cs="Amiri"/>
          <w:lang w:bidi="ar-SA"/>
          <w:color w:val="111111"/>
          <w:sz w:val="28"/>
          <w:szCs w:val="28"/>
          <w:rtl/>
        </w:rPr>
        <w:t xml:space="preserve">40 .حاشية انوار التنزيل = حاشيه</w:t>
      </w:r>
    </w:p>
    <w:p>
      <w:pPr>
        <w:pStyle w:val="BookText"/>
      </w:pPr>
      <w:r>
        <w:rPr>
          <w:rFonts w:ascii="Amiri" w:hAnsi="Amiri" w:eastAsia="Amiri" w:cs="Amiri"/>
          <w:lang w:bidi="ar-SA"/>
          <w:color w:val="111111"/>
          <w:sz w:val="28"/>
          <w:szCs w:val="28"/>
          <w:rtl/>
        </w:rPr>
        <w:t xml:space="preserve">تفسير بيضاوي، ج 5، ص 690.</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حاشية زبدة الاصول، ج 6، ص 1.</w:t>
      </w:r>
    </w:p>
    <w:p>
      <w:pPr>
        <w:pStyle w:val="BookText"/>
      </w:pPr>
      <w:r>
        <w:rPr>
          <w:rFonts w:ascii="Amiri" w:hAnsi="Amiri" w:eastAsia="Amiri" w:cs="Amiri"/>
          <w:lang w:bidi="ar-SA"/>
          <w:color w:val="111111"/>
          <w:sz w:val="28"/>
          <w:szCs w:val="28"/>
          <w:rtl/>
        </w:rPr>
        <w:t xml:space="preserve">42 .حاشية من لا يحضره الفقيه التعليقة على من لا يحضره الفقيه</w:t>
      </w:r>
    </w:p>
    <w:p>
      <w:pPr>
        <w:pStyle w:val="BookText"/>
      </w:pPr>
      <w:r>
        <w:rPr>
          <w:rFonts w:ascii="IRNazanin" w:hAnsi="IRNazanin" w:eastAsia="IRNazanin" w:cs="IRNazanin"/>
          <w:lang w:bidi="fa-IR"/>
          <w:color w:val="111111"/>
          <w:sz w:val="28"/>
          <w:szCs w:val="28"/>
          <w:rtl/>
        </w:rPr>
        <w:t xml:space="preserve">ج 6، ص 427.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الحبل المتين في إحكام أحكام</w:t>
      </w:r>
    </w:p>
    <w:p>
      <w:pPr>
        <w:pStyle w:val="BookText"/>
      </w:pPr>
      <w:r>
        <w:rPr>
          <w:rFonts w:ascii="Amiri" w:hAnsi="Amiri" w:eastAsia="Amiri" w:cs="Amiri"/>
          <w:lang w:bidi="ar-SA"/>
          <w:color w:val="111111"/>
          <w:sz w:val="28"/>
          <w:szCs w:val="28"/>
          <w:rtl/>
        </w:rPr>
        <w:t xml:space="preserve">الدين، ج 6، ص 469.</w:t>
      </w:r>
    </w:p>
    <w:p>
      <w:pPr>
        <w:pStyle w:val="BookText"/>
      </w:pPr>
      <w:r>
        <w:rPr>
          <w:rFonts w:ascii="IRNazanin" w:hAnsi="IRNazanin" w:eastAsia="IRNazanin" w:cs="IRNazanin"/>
          <w:lang w:bidi="fa-IR"/>
          <w:color w:val="111111"/>
          <w:sz w:val="28"/>
          <w:szCs w:val="28"/>
          <w:rtl/>
        </w:rPr>
        <w:t xml:space="preserve">44 .حدائق الصالحين = الحديقة الهلالية = شرح صحیفه سجادیه</w:t>
      </w:r>
    </w:p>
    <w:p>
      <w:pPr>
        <w:pStyle w:val="BookText"/>
      </w:pPr>
      <w:r>
        <w:rPr>
          <w:rFonts w:ascii="IRNazanin" w:hAnsi="IRNazanin" w:eastAsia="IRNazanin" w:cs="IRNazanin"/>
          <w:lang w:bidi="fa-IR"/>
          <w:color w:val="111111"/>
          <w:sz w:val="28"/>
          <w:szCs w:val="28"/>
          <w:rtl/>
        </w:rPr>
        <w:t xml:space="preserve">ج 6، ص 523.</w:t>
      </w:r>
    </w:p>
    <w:p>
      <w:pPr>
        <w:pStyle w:val="BookText"/>
      </w:pPr>
      <w:r>
        <w:rPr>
          <w:rFonts w:ascii="Amiri" w:hAnsi="Amiri" w:eastAsia="Amiri" w:cs="Amiri"/>
          <w:lang w:bidi="ar-SA"/>
          <w:color w:val="111111"/>
          <w:sz w:val="28"/>
          <w:szCs w:val="28"/>
          <w:rtl/>
        </w:rPr>
        <w:t xml:space="preserve">45 .حديث، ج6، ص 561.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حديقة الملالية، ج6، ص 596.</w:t>
      </w:r>
    </w:p>
    <w:p>
      <w:pPr>
        <w:pStyle w:val="BookText"/>
      </w:pPr>
      <w:r>
        <w:rPr>
          <w:rFonts w:ascii="Amiri" w:hAnsi="Amiri" w:eastAsia="Amiri" w:cs="Amiri"/>
          <w:lang w:bidi="ar-SA"/>
          <w:color w:val="111111"/>
          <w:sz w:val="28"/>
          <w:szCs w:val="28"/>
          <w:rtl/>
        </w:rPr>
        <w:t xml:space="preserve">47 .حزب ورد البهائي، ج6، ص633.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حل عبارة قواعد الأحكام = حل</w:t>
      </w:r>
    </w:p>
    <w:p>
      <w:pPr>
        <w:pStyle w:val="BookText"/>
      </w:pPr>
      <w:r>
        <w:rPr>
          <w:rFonts w:ascii="Amiri" w:hAnsi="Amiri" w:eastAsia="Amiri" w:cs="Amiri"/>
          <w:lang w:bidi="ar-SA"/>
          <w:color w:val="111111"/>
          <w:sz w:val="28"/>
          <w:szCs w:val="28"/>
          <w:rtl/>
        </w:rPr>
        <w:t xml:space="preserve">البحث = شرح قول العلامة في</w:t>
      </w:r>
    </w:p>
    <w:p>
      <w:pPr>
        <w:pStyle w:val="BookText"/>
      </w:pPr>
      <w:r>
        <w:rPr>
          <w:rFonts w:ascii="IRNazanin" w:hAnsi="IRNazanin" w:eastAsia="IRNazanin" w:cs="IRNazanin"/>
          <w:lang w:bidi="fa-IR"/>
          <w:color w:val="111111"/>
          <w:sz w:val="28"/>
          <w:szCs w:val="28"/>
          <w:rtl/>
        </w:rPr>
        <w:t xml:space="preserve">القواعد، ج 6، ص 784.</w:t>
      </w:r>
    </w:p>
    <w:p>
      <w:pPr>
        <w:pStyle w:val="BookText"/>
      </w:pPr>
      <w:r>
        <w:rPr>
          <w:rFonts w:ascii="Amiri" w:hAnsi="Amiri" w:eastAsia="Amiri" w:cs="Amiri"/>
          <w:lang w:bidi="ar-SA"/>
          <w:color w:val="111111"/>
          <w:sz w:val="28"/>
          <w:szCs w:val="28"/>
          <w:rtl/>
        </w:rPr>
        <w:t xml:space="preserve">49 .حل قول العلامة في القواعد النفساء كالحائض، ج6، ص789.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.حل كلام البيضاوي، ج 6، ص789.</w:t>
      </w:r>
    </w:p>
    <w:p>
      <w:pPr>
        <w:pStyle w:val="BookText"/>
      </w:pPr>
      <w:r>
        <w:rPr>
          <w:rFonts w:ascii="Amiri" w:hAnsi="Amiri" w:eastAsia="Amiri" w:cs="Amiri"/>
          <w:lang w:bidi="ar-SA"/>
          <w:color w:val="111111"/>
          <w:sz w:val="28"/>
          <w:szCs w:val="28"/>
          <w:rtl/>
        </w:rPr>
        <w:t xml:space="preserve">51 .الحوض (رسالة في)، ج 6 ، ص 847.</w:t>
      </w:r>
    </w:p>
    <w:p>
      <w:pPr>
        <w:pStyle w:val="BookText"/>
      </w:pPr>
      <w:r>
        <w:rPr>
          <w:rFonts w:ascii="Amiri" w:hAnsi="Amiri" w:eastAsia="Amiri" w:cs="Amiri"/>
          <w:lang w:bidi="ar-SA"/>
          <w:color w:val="111111"/>
          <w:sz w:val="28"/>
          <w:szCs w:val="28"/>
          <w:rtl/>
        </w:rPr>
        <w:t xml:space="preserve">52 .خلاصة الحساب، ج 7، ص92.</w:t>
      </w:r>
    </w:p>
    <w:p>
      <w:pPr>
        <w:pStyle w:val="BookText"/>
      </w:pPr>
      <w:r>
        <w:rPr>
          <w:rFonts w:ascii="Amiri" w:hAnsi="Amiri" w:eastAsia="Amiri" w:cs="Amiri"/>
          <w:lang w:bidi="ar-SA"/>
          <w:color w:val="111111"/>
          <w:sz w:val="28"/>
          <w:szCs w:val="28"/>
          <w:rtl/>
        </w:rPr>
        <w:t xml:space="preserve">53 .خلق السموات (المبتدات) (كتاب</w:t>
      </w:r>
    </w:p>
    <w:p>
      <w:pPr>
        <w:pStyle w:val="BookText"/>
      </w:pPr>
      <w:r>
        <w:rPr>
          <w:rFonts w:ascii="Amiri" w:hAnsi="Amiri" w:eastAsia="Amiri" w:cs="Amiri"/>
          <w:lang w:bidi="ar-SA"/>
          <w:color w:val="111111"/>
          <w:sz w:val="28"/>
          <w:szCs w:val="28"/>
          <w:rtl/>
        </w:rPr>
        <w:t xml:space="preserve">في)، ج 7، ص 152.</w:t>
      </w:r>
    </w:p>
    <w:p>
      <w:pPr>
        <w:pStyle w:val="BookText"/>
      </w:pPr>
      <w:r>
        <w:rPr>
          <w:rFonts w:ascii="Amiri" w:hAnsi="Amiri" w:eastAsia="Amiri" w:cs="Amiri"/>
          <w:lang w:bidi="ar-SA"/>
          <w:color w:val="111111"/>
          <w:sz w:val="28"/>
          <w:szCs w:val="28"/>
          <w:rtl/>
        </w:rPr>
        <w:t xml:space="preserve">54 .درة معدومة النظير، ج 7، ص 268.</w:t>
      </w:r>
    </w:p>
    <w:p>
      <w:pPr>
        <w:pStyle w:val="BookText"/>
      </w:pPr>
      <w:r>
        <w:rPr>
          <w:rFonts w:ascii="Amiri" w:hAnsi="Amiri" w:eastAsia="Amiri" w:cs="Amiri"/>
          <w:lang w:bidi="ar-SA"/>
          <w:color w:val="111111"/>
          <w:sz w:val="28"/>
          <w:szCs w:val="28"/>
          <w:rtl/>
        </w:rPr>
        <w:t xml:space="preserve">55 .دليل وجوب شكر المنعم، ج7،</w:t>
      </w:r>
    </w:p>
    <w:p>
      <w:pPr>
        <w:pStyle w:val="BookText"/>
      </w:pPr>
      <w:r>
        <w:rPr>
          <w:rFonts w:ascii="IRNazanin" w:hAnsi="IRNazanin" w:eastAsia="IRNazanin" w:cs="IRNazanin"/>
          <w:lang w:bidi="fa-IR"/>
          <w:color w:val="111111"/>
          <w:sz w:val="28"/>
          <w:szCs w:val="28"/>
          <w:rtl/>
        </w:rPr>
        <w:t xml:space="preserve">ص 471.</w:t>
      </w:r>
    </w:p>
    <w:p>
      <w:pPr>
        <w:pStyle w:val="BookText"/>
      </w:pPr>
      <w:r>
        <w:rPr>
          <w:rFonts w:ascii="Amiri" w:hAnsi="Amiri" w:eastAsia="Amiri" w:cs="Amiri"/>
          <w:lang w:bidi="ar-SA"/>
          <w:color w:val="111111"/>
          <w:sz w:val="28"/>
          <w:szCs w:val="28"/>
          <w:rtl/>
        </w:rPr>
        <w:t xml:space="preserve">56 .دليل وجوب شكر المنعم، ج7،</w:t>
      </w:r>
    </w:p>
    <w:p>
      <w:pPr>
        <w:pStyle w:val="BookText"/>
      </w:pPr>
      <w:r>
        <w:rPr>
          <w:rFonts w:ascii="IRNazanin" w:hAnsi="IRNazanin" w:eastAsia="IRNazanin" w:cs="IRNazanin"/>
          <w:lang w:bidi="fa-IR"/>
          <w:color w:val="111111"/>
          <w:sz w:val="28"/>
          <w:szCs w:val="28"/>
          <w:rtl/>
        </w:rPr>
        <w:t xml:space="preserve">ص 472 .</w:t>
      </w:r>
    </w:p>
    <w:p>
      <w:pPr>
        <w:pStyle w:val="BookText"/>
      </w:pPr>
      <w:r>
        <w:rPr>
          <w:rFonts w:ascii="Amiri" w:hAnsi="Amiri" w:eastAsia="Amiri" w:cs="Amiri"/>
          <w:lang w:bidi="ar-SA"/>
          <w:color w:val="111111"/>
          <w:sz w:val="28"/>
          <w:szCs w:val="28"/>
          <w:rtl/>
        </w:rPr>
        <w:t xml:space="preserve">57 .ذبائح اهل الكتاب = الذبيحية =</w:t>
      </w:r>
    </w:p>
    <w:p>
      <w:pPr>
        <w:pStyle w:val="BookText"/>
      </w:pPr>
      <w:r>
        <w:rPr>
          <w:rFonts w:ascii="Amiri" w:hAnsi="Amiri" w:eastAsia="Amiri" w:cs="Amiri"/>
          <w:lang w:bidi="ar-SA"/>
          <w:color w:val="111111"/>
          <w:sz w:val="28"/>
          <w:szCs w:val="28"/>
          <w:rtl/>
        </w:rPr>
        <w:t xml:space="preserve">تحريم ذبائح اهل الكتاب، ج 7، ص 809.</w:t>
      </w:r>
    </w:p>
    <w:p>
      <w:pPr>
        <w:pStyle w:val="BookText"/>
      </w:pPr>
      <w:r>
        <w:rPr>
          <w:rFonts w:ascii="Amiri" w:hAnsi="Amiri" w:eastAsia="Amiri" w:cs="Amiri"/>
          <w:lang w:bidi="ar-SA"/>
          <w:color w:val="111111"/>
          <w:sz w:val="28"/>
          <w:szCs w:val="28"/>
          <w:rtl/>
        </w:rPr>
        <w:t xml:space="preserve">58 .رد علماء الروم ( رسالة في)، ج8،</w:t>
      </w:r>
    </w:p>
    <w:p>
      <w:pPr>
        <w:pStyle w:val="BookText"/>
      </w:pPr>
      <w:r>
        <w:rPr>
          <w:rFonts w:ascii="IRNazanin" w:hAnsi="IRNazanin" w:eastAsia="IRNazanin" w:cs="IRNazanin"/>
          <w:lang w:bidi="fa-IR"/>
          <w:color w:val="111111"/>
          <w:sz w:val="28"/>
          <w:szCs w:val="28"/>
          <w:rtl/>
        </w:rPr>
        <w:t xml:space="preserve">ص 88</w:t>
      </w:r>
    </w:p>
    <w:p>
      <w:pPr>
        <w:pStyle w:val="BookText"/>
      </w:pPr>
      <w:r>
        <w:rPr>
          <w:rFonts w:ascii="IRNazanin" w:hAnsi="IRNazanin" w:eastAsia="IRNazanin" w:cs="IRNazanin"/>
          <w:lang w:bidi="fa-IR"/>
          <w:color w:val="111111"/>
          <w:sz w:val="28"/>
          <w:szCs w:val="28"/>
          <w:rtl/>
        </w:rPr>
        <w:t xml:space="preserve">59 .رسائل، ج8، ص121</w:t>
      </w:r>
    </w:p>
    <w:p>
      <w:pPr>
        <w:pStyle w:val="BookText"/>
      </w:pPr>
      <w:r>
        <w:rPr>
          <w:rFonts w:ascii="Amiri" w:hAnsi="Amiri" w:eastAsia="Amiri" w:cs="Amiri"/>
          <w:lang w:bidi="ar-SA"/>
          <w:color w:val="111111"/>
          <w:sz w:val="28"/>
          <w:szCs w:val="28"/>
          <w:rtl/>
        </w:rPr>
        <w:t xml:space="preserve">60 الرسائل البهائية، ج8، ص137.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الرسالة العاملية في الاسطرلاب</w:t>
      </w:r>
    </w:p>
    <w:p>
      <w:pPr>
        <w:pStyle w:val="BookText"/>
      </w:pPr>
      <w:r>
        <w:rPr>
          <w:rFonts w:ascii="IRNazanin" w:hAnsi="IRNazanin" w:eastAsia="IRNazanin" w:cs="IRNazanin"/>
          <w:lang w:bidi="fa-IR"/>
          <w:color w:val="111111"/>
          <w:sz w:val="28"/>
          <w:szCs w:val="28"/>
          <w:rtl/>
        </w:rPr>
        <w:t xml:space="preserve">ج 8، ص221.</w:t>
      </w:r>
    </w:p>
    <w:p>
      <w:pPr>
        <w:pStyle w:val="BookText"/>
      </w:pPr>
      <w:r>
        <w:rPr>
          <w:rFonts w:ascii="Amiri" w:hAnsi="Amiri" w:eastAsia="Amiri" w:cs="Amiri"/>
          <w:lang w:bidi="ar-SA"/>
          <w:color w:val="111111"/>
          <w:sz w:val="28"/>
          <w:szCs w:val="28"/>
          <w:rtl/>
        </w:rPr>
        <w:t xml:space="preserve">62 .رسايل شيخ بهائي، ج8، ص 143.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الزاهرة، ج8، ص 544.</w:t>
      </w:r>
    </w:p>
    <w:p>
      <w:pPr>
        <w:pStyle w:val="BookText"/>
      </w:pPr>
      <w:r>
        <w:rPr>
          <w:rFonts w:ascii="Amiri" w:hAnsi="Amiri" w:eastAsia="Amiri" w:cs="Amiri"/>
          <w:lang w:bidi="ar-SA"/>
          <w:color w:val="111111"/>
          <w:sz w:val="28"/>
          <w:szCs w:val="28"/>
          <w:rtl/>
        </w:rPr>
        <w:t xml:space="preserve">64 .زايرجه، ج8، ص 546.</w:t>
      </w:r>
    </w:p>
    <w:p>
      <w:pPr>
        <w:pStyle w:val="BookText"/>
      </w:pPr>
      <w:r>
        <w:rPr>
          <w:rFonts w:ascii="Amiri" w:hAnsi="Amiri" w:eastAsia="Amiri" w:cs="Amiri"/>
          <w:lang w:bidi="ar-SA"/>
          <w:color w:val="111111"/>
          <w:sz w:val="28"/>
          <w:szCs w:val="28"/>
          <w:rtl/>
        </w:rPr>
        <w:t xml:space="preserve">65 .زبدة الاصول، ج8، ص 553.</w:t>
      </w:r>
    </w:p>
    <w:p>
      <w:pPr>
        <w:pStyle w:val="BookText"/>
      </w:pPr>
      <w:r>
        <w:rPr>
          <w:rFonts w:ascii="Amiri" w:hAnsi="Amiri" w:eastAsia="Amiri" w:cs="Amiri"/>
          <w:lang w:bidi="ar-SA"/>
          <w:color w:val="111111"/>
          <w:sz w:val="28"/>
          <w:szCs w:val="28"/>
          <w:rtl/>
        </w:rPr>
        <w:t xml:space="preserve">66 .زينة الاصول، ج8، ص 660.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شرح الالفية في فقه الصلاة اليومية، ج 9، ص229.</w:t>
      </w:r>
    </w:p>
    <w:p>
      <w:pPr>
        <w:pStyle w:val="BookText"/>
      </w:pPr>
      <w:r>
        <w:rPr>
          <w:rFonts w:ascii="IRNazanin" w:hAnsi="IRNazanin" w:eastAsia="IRNazanin" w:cs="IRNazanin"/>
          <w:lang w:bidi="fa-IR"/>
          <w:color w:val="111111"/>
          <w:sz w:val="28"/>
          <w:szCs w:val="28"/>
          <w:rtl/>
        </w:rPr>
        <w:t xml:space="preserve">68 .شرح شرح چغمیني، ج9، ص 632.</w:t>
      </w:r>
    </w:p>
    <w:p>
      <w:pPr>
        <w:pStyle w:val="BookText"/>
      </w:pPr>
      <w:r>
        <w:rPr>
          <w:rFonts w:ascii="Amiri" w:hAnsi="Amiri" w:eastAsia="Amiri" w:cs="Amiri"/>
          <w:lang w:bidi="ar-SA"/>
          <w:color w:val="111111"/>
          <w:sz w:val="28"/>
          <w:szCs w:val="28"/>
          <w:rtl/>
        </w:rPr>
        <w:t xml:space="preserve">69 .شرح قواعد الأحكام، ج 10، ص 15.</w:t>
      </w:r>
    </w:p>
    <w:p>
      <w:pPr>
        <w:pStyle w:val="BookText"/>
      </w:pPr>
      <w:r>
        <w:rPr>
          <w:rFonts w:ascii="IRNazanin" w:hAnsi="IRNazanin" w:eastAsia="IRNazanin" w:cs="IRNazanin"/>
          <w:lang w:bidi="fa-IR"/>
          <w:color w:val="111111"/>
          <w:sz w:val="28"/>
          <w:szCs w:val="28"/>
          <w:rtl/>
        </w:rPr>
        <w:t xml:space="preserve">70 .شیر و شکر، ج 10، ص 459.</w:t>
      </w:r>
    </w:p>
    <w:p>
      <w:pPr>
        <w:pStyle w:val="BookText"/>
      </w:pPr>
      <w:r>
        <w:rPr>
          <w:rFonts w:ascii="Amiri" w:hAnsi="Amiri" w:eastAsia="Amiri" w:cs="Amiri"/>
          <w:lang w:bidi="ar-SA"/>
          <w:color w:val="111111"/>
          <w:sz w:val="28"/>
          <w:szCs w:val="28"/>
          <w:rtl/>
        </w:rPr>
        <w:t xml:space="preserve">71 .صرف بهائي، ج 10، ص 557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الصفيحة الاسطرلابية - الصفحة</w:t>
      </w:r>
    </w:p>
    <w:p>
      <w:pPr>
        <w:pStyle w:val="BookText"/>
      </w:pPr>
      <w:r>
        <w:rPr>
          <w:rFonts w:ascii="Amiri" w:hAnsi="Amiri" w:eastAsia="Amiri" w:cs="Amiri"/>
          <w:lang w:bidi="ar-SA"/>
          <w:color w:val="111111"/>
          <w:sz w:val="28"/>
          <w:szCs w:val="28"/>
          <w:rtl/>
        </w:rPr>
        <w:t xml:space="preserve">صفيحة الامكان، ج 10، ص 577.</w:t>
      </w:r>
    </w:p>
    <w:p>
      <w:pPr>
        <w:pStyle w:val="BookText"/>
      </w:pPr>
      <w:r>
        <w:rPr>
          <w:rFonts w:ascii="Amiri" w:hAnsi="Amiri" w:eastAsia="Amiri" w:cs="Amiri"/>
          <w:lang w:bidi="ar-SA"/>
          <w:color w:val="111111"/>
          <w:sz w:val="28"/>
          <w:szCs w:val="28"/>
          <w:rtl/>
        </w:rPr>
        <w:t xml:space="preserve">73 .صلاة حبل المتين، ج 10، ص 606.</w:t>
      </w:r>
    </w:p>
    <w:p>
      <w:pPr>
        <w:pStyle w:val="BookText"/>
      </w:pPr>
      <w:r>
        <w:rPr>
          <w:rFonts w:ascii="Amiri" w:hAnsi="Amiri" w:eastAsia="Amiri" w:cs="Amiri"/>
          <w:lang w:bidi="ar-SA"/>
          <w:color w:val="111111"/>
          <w:sz w:val="28"/>
          <w:szCs w:val="28"/>
          <w:rtl/>
        </w:rPr>
        <w:t xml:space="preserve">74 .صيغ العقود والايقاعات، ج 10،</w:t>
      </w:r>
    </w:p>
    <w:p>
      <w:pPr>
        <w:pStyle w:val="BookText"/>
      </w:pPr>
      <w:r>
        <w:rPr>
          <w:rFonts w:ascii="IRNazanin" w:hAnsi="IRNazanin" w:eastAsia="IRNazanin" w:cs="IRNazanin"/>
          <w:lang w:bidi="fa-IR"/>
          <w:color w:val="111111"/>
          <w:sz w:val="28"/>
          <w:szCs w:val="28"/>
          <w:rtl/>
        </w:rPr>
        <w:t xml:space="preserve">ص 680.</w:t>
      </w:r>
    </w:p>
    <w:p>
      <w:pPr>
        <w:pStyle w:val="BookText"/>
      </w:pPr>
      <w:r>
        <w:rPr>
          <w:rFonts w:ascii="Amiri" w:hAnsi="Amiri" w:eastAsia="Amiri" w:cs="Amiri"/>
          <w:lang w:bidi="ar-SA"/>
          <w:color w:val="111111"/>
          <w:sz w:val="28"/>
          <w:szCs w:val="28"/>
          <w:rtl/>
        </w:rPr>
        <w:t xml:space="preserve">75 .الطب (رسالة في)، ج 10، ص 741.</w:t>
      </w:r>
    </w:p>
    <w:p>
      <w:pPr>
        <w:pStyle w:val="BookText"/>
      </w:pPr>
      <w:r>
        <w:rPr>
          <w:rFonts w:ascii="Amiri" w:hAnsi="Amiri" w:eastAsia="Amiri" w:cs="Amiri"/>
          <w:lang w:bidi="ar-SA"/>
          <w:color w:val="111111"/>
          <w:sz w:val="28"/>
          <w:szCs w:val="28"/>
          <w:rtl/>
        </w:rPr>
        <w:t xml:space="preserve">76 .العروة الوثقى، ج 11، ص 84.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الفرائض البهائية = المواريث،</w:t>
      </w:r>
    </w:p>
    <w:p>
      <w:pPr>
        <w:pStyle w:val="BookText"/>
      </w:pPr>
      <w:r>
        <w:rPr>
          <w:rFonts w:ascii="IRNazanin" w:hAnsi="IRNazanin" w:eastAsia="IRNazanin" w:cs="IRNazanin"/>
          <w:lang w:bidi="fa-IR"/>
          <w:color w:val="111111"/>
          <w:sz w:val="28"/>
          <w:szCs w:val="28"/>
          <w:rtl/>
        </w:rPr>
        <w:t xml:space="preserve">ج 11، ص 762.</w:t>
      </w:r>
    </w:p>
    <w:p>
      <w:pPr>
        <w:pStyle w:val="BookText"/>
      </w:pPr>
      <w:r>
        <w:rPr>
          <w:rFonts w:ascii="Amiri" w:hAnsi="Amiri" w:eastAsia="Amiri" w:cs="Amiri"/>
          <w:lang w:bidi="ar-SA"/>
          <w:color w:val="111111"/>
          <w:sz w:val="28"/>
          <w:szCs w:val="28"/>
          <w:rtl/>
        </w:rPr>
        <w:t xml:space="preserve">78 .الفوائد الرجالية، ج 12، ص 205.</w:t>
      </w:r>
    </w:p>
    <w:p>
      <w:pPr>
        <w:pStyle w:val="BookText"/>
      </w:pPr>
      <w:r>
        <w:rPr>
          <w:rFonts w:ascii="Amiri" w:hAnsi="Amiri" w:eastAsia="Amiri" w:cs="Amiri"/>
          <w:lang w:bidi="ar-SA"/>
          <w:color w:val="111111"/>
          <w:sz w:val="28"/>
          <w:szCs w:val="28"/>
          <w:rtl/>
        </w:rPr>
        <w:t xml:space="preserve">79 .الفوائد الصمدية = صمديه، ج 12،</w:t>
      </w:r>
    </w:p>
    <w:p>
      <w:pPr>
        <w:pStyle w:val="BookText"/>
      </w:pPr>
      <w:r>
        <w:rPr>
          <w:rFonts w:ascii="IRNazanin" w:hAnsi="IRNazanin" w:eastAsia="IRNazanin" w:cs="IRNazanin"/>
          <w:lang w:bidi="fa-IR"/>
          <w:color w:val="111111"/>
          <w:sz w:val="28"/>
          <w:szCs w:val="28"/>
          <w:rtl/>
        </w:rPr>
        <w:t xml:space="preserve">ص 218.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قصة طوطي و مينا، ج 12،</w:t>
      </w:r>
    </w:p>
    <w:p>
      <w:pPr>
        <w:pStyle w:val="BookText"/>
      </w:pPr>
      <w:r>
        <w:rPr>
          <w:rFonts w:ascii="IRNazanin" w:hAnsi="IRNazanin" w:eastAsia="IRNazanin" w:cs="IRNazanin"/>
          <w:lang w:bidi="fa-IR"/>
          <w:color w:val="111111"/>
          <w:sz w:val="28"/>
          <w:szCs w:val="28"/>
          <w:rtl/>
        </w:rPr>
        <w:t xml:space="preserve">ص 613 .</w:t>
      </w:r>
    </w:p>
    <w:p>
      <w:pPr>
        <w:pStyle w:val="BookText"/>
      </w:pPr>
      <w:r>
        <w:rPr>
          <w:rFonts w:ascii="Amiri" w:hAnsi="Amiri" w:eastAsia="Amiri" w:cs="Amiri"/>
          <w:lang w:bidi="ar-SA"/>
          <w:color w:val="111111"/>
          <w:sz w:val="28"/>
          <w:szCs w:val="28"/>
          <w:rtl/>
        </w:rPr>
        <w:t xml:space="preserve">81 .القصر و التخيير في الاماكن الاربعة : التخيير بين الاتمام و القصر</w:t>
      </w:r>
    </w:p>
    <w:p>
      <w:pPr>
        <w:pStyle w:val="BookText"/>
      </w:pPr>
      <w:r>
        <w:rPr>
          <w:rFonts w:ascii="IRNazanin" w:hAnsi="IRNazanin" w:eastAsia="IRNazanin" w:cs="IRNazanin"/>
          <w:lang w:bidi="fa-IR"/>
          <w:color w:val="111111"/>
          <w:sz w:val="28"/>
          <w:szCs w:val="28"/>
          <w:rtl/>
        </w:rPr>
        <w:t xml:space="preserve">ج 12، ص 621.</w:t>
      </w:r>
    </w:p>
    <w:p>
      <w:pPr>
        <w:pStyle w:val="BookText"/>
      </w:pPr>
      <w:r>
        <w:rPr>
          <w:rFonts w:ascii="Amiri" w:hAnsi="Amiri" w:eastAsia="Amiri" w:cs="Amiri"/>
          <w:lang w:bidi="ar-SA"/>
          <w:color w:val="111111"/>
          <w:sz w:val="28"/>
          <w:szCs w:val="28"/>
          <w:rtl/>
        </w:rPr>
        <w:t xml:space="preserve">82 .الكر = الكرية = تحقيق الكر =</w:t>
      </w:r>
    </w:p>
    <w:p>
      <w:pPr>
        <w:pStyle w:val="BookText"/>
      </w:pPr>
      <w:r>
        <w:rPr>
          <w:rFonts w:ascii="Amiri" w:hAnsi="Amiri" w:eastAsia="Amiri" w:cs="Amiri"/>
          <w:lang w:bidi="ar-SA"/>
          <w:color w:val="111111"/>
          <w:sz w:val="28"/>
          <w:szCs w:val="28"/>
          <w:rtl/>
        </w:rPr>
        <w:t xml:space="preserve">تقدير الكر، ج 13، ص 150 .</w:t>
      </w:r>
    </w:p>
    <w:p>
      <w:pPr>
        <w:pStyle w:val="BookText"/>
      </w:pPr>
      <w:r>
        <w:rPr>
          <w:rFonts w:ascii="Amiri" w:hAnsi="Amiri" w:eastAsia="Amiri" w:cs="Amiri"/>
          <w:lang w:bidi="ar-SA"/>
          <w:color w:val="111111"/>
          <w:sz w:val="28"/>
          <w:szCs w:val="28"/>
          <w:rtl/>
        </w:rPr>
        <w:t xml:space="preserve">83.. الكشكول، ج13، ص 284.</w:t>
      </w:r>
    </w:p>
    <w:p>
      <w:pPr>
        <w:pStyle w:val="BookText"/>
      </w:pPr>
      <w:r>
        <w:rPr>
          <w:rFonts w:ascii="Amiri" w:hAnsi="Amiri" w:eastAsia="Amiri" w:cs="Amiri"/>
          <w:lang w:bidi="ar-SA"/>
          <w:color w:val="111111"/>
          <w:sz w:val="28"/>
          <w:szCs w:val="28"/>
          <w:rtl/>
        </w:rPr>
        <w:t xml:space="preserve">84 .كيفية عمل الدائرة الهندية، ج13،</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اللغز، ج 13، ص 595.</w:t>
      </w:r>
    </w:p>
    <w:p>
      <w:pPr>
        <w:pStyle w:val="BookText"/>
      </w:pPr>
      <w:r>
        <w:rPr>
          <w:rFonts w:ascii="Amiri" w:hAnsi="Amiri" w:eastAsia="Amiri" w:cs="Amiri"/>
          <w:lang w:bidi="ar-SA"/>
          <w:color w:val="111111"/>
          <w:sz w:val="28"/>
          <w:szCs w:val="28"/>
          <w:rtl/>
        </w:rPr>
        <w:t xml:space="preserve">86 .لغز الزبدة = اعجاز الاصناف =</w:t>
      </w:r>
    </w:p>
    <w:p>
      <w:pPr>
        <w:pStyle w:val="BookText"/>
      </w:pPr>
      <w:r>
        <w:rPr>
          <w:rFonts w:ascii="Amiri" w:hAnsi="Amiri" w:eastAsia="Amiri" w:cs="Amiri"/>
          <w:lang w:bidi="ar-SA"/>
          <w:color w:val="111111"/>
          <w:sz w:val="28"/>
          <w:szCs w:val="28"/>
          <w:rtl/>
        </w:rPr>
        <w:t xml:space="preserve">الرضويه = اعجاز الالغاز - رساله</w:t>
      </w:r>
    </w:p>
    <w:p>
      <w:pPr>
        <w:pStyle w:val="BookText"/>
      </w:pPr>
      <w:r>
        <w:rPr>
          <w:rFonts w:ascii="IRNazanin" w:hAnsi="IRNazanin" w:eastAsia="IRNazanin" w:cs="IRNazanin"/>
          <w:lang w:bidi="fa-IR"/>
          <w:color w:val="111111"/>
          <w:sz w:val="28"/>
          <w:szCs w:val="28"/>
          <w:rtl/>
        </w:rPr>
        <w:t xml:space="preserve">نورانیه = الزبدة في اللغز و</w:t>
      </w:r>
    </w:p>
    <w:p>
      <w:pPr>
        <w:pStyle w:val="BookText"/>
      </w:pPr>
      <w:r>
        <w:rPr>
          <w:rFonts w:ascii="Amiri" w:hAnsi="Amiri" w:eastAsia="Amiri" w:cs="Amiri"/>
          <w:lang w:bidi="ar-SA"/>
          <w:color w:val="111111"/>
          <w:sz w:val="28"/>
          <w:szCs w:val="28"/>
          <w:rtl/>
        </w:rPr>
        <w:t xml:space="preserve">التعمية، ج13، ص 598.</w:t>
      </w:r>
    </w:p>
    <w:p>
      <w:pPr>
        <w:pStyle w:val="BookText"/>
      </w:pPr>
      <w:r>
        <w:rPr>
          <w:rFonts w:ascii="IRNazanin" w:hAnsi="IRNazanin" w:eastAsia="IRNazanin" w:cs="IRNazanin"/>
          <w:lang w:bidi="fa-IR"/>
          <w:color w:val="111111"/>
          <w:sz w:val="28"/>
          <w:szCs w:val="28"/>
          <w:rtl/>
        </w:rPr>
        <w:t xml:space="preserve">87 .لغز القانون، ج13، ص 599.</w:t>
      </w:r>
    </w:p>
    <w:p>
      <w:pPr>
        <w:pStyle w:val="BookText"/>
      </w:pPr>
      <w:r>
        <w:rPr>
          <w:rFonts w:ascii="Amiri" w:hAnsi="Amiri" w:eastAsia="Amiri" w:cs="Amiri"/>
          <w:lang w:bidi="ar-SA"/>
          <w:color w:val="111111"/>
          <w:sz w:val="28"/>
          <w:szCs w:val="28"/>
          <w:rtl/>
        </w:rPr>
        <w:t xml:space="preserve">88 .لغز الكافية = اللغز النحوية</w:t>
      </w:r>
    </w:p>
    <w:p>
      <w:pPr>
        <w:pStyle w:val="BookText"/>
      </w:pPr>
      <w:r>
        <w:rPr>
          <w:rFonts w:ascii="IRNazanin" w:hAnsi="IRNazanin" w:eastAsia="IRNazanin" w:cs="IRNazanin"/>
          <w:lang w:bidi="fa-IR"/>
          <w:color w:val="111111"/>
          <w:sz w:val="28"/>
          <w:szCs w:val="28"/>
          <w:rtl/>
        </w:rPr>
        <w:t xml:space="preserve">ج 13، ص 600 .</w:t>
      </w:r>
    </w:p>
    <w:p>
      <w:pPr>
        <w:pStyle w:val="BookText"/>
      </w:pPr>
      <w:r>
        <w:rPr>
          <w:rFonts w:ascii="IRNazanin" w:hAnsi="IRNazanin" w:eastAsia="IRNazanin" w:cs="IRNazanin"/>
          <w:lang w:bidi="fa-IR"/>
          <w:color w:val="111111"/>
          <w:sz w:val="28"/>
          <w:szCs w:val="28"/>
          <w:rtl/>
        </w:rPr>
        <w:t xml:space="preserve">89 .مشجر الرجال الثقات - شجره رجال موثق، ج 14 ، ص 623 .</w:t>
      </w:r>
    </w:p>
    <w:p>
      <w:pPr>
        <w:pStyle w:val="BookText"/>
      </w:pPr>
      <w:r>
        <w:rPr>
          <w:rFonts w:ascii="Amiri" w:hAnsi="Amiri" w:eastAsia="Amiri" w:cs="Amiri"/>
          <w:lang w:bidi="ar-SA"/>
          <w:color w:val="111111"/>
          <w:sz w:val="28"/>
          <w:szCs w:val="28"/>
          <w:rtl/>
        </w:rPr>
        <w:t xml:space="preserve">90 .مشرق الشمسين و اكسير السعادتين = مجمع النورين و مطلع النيرين، ج 14، ص 626.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45" w:name="pg7742_70635"/>
    <w:bookmarkEnd w:id="645"/>
    <w:p>
      <w:pPr>
        <w:pStyle w:val="BookText"/>
      </w:pPr>
      <w:r>
        <w:rPr>
          <w:rFonts w:ascii="Amiri" w:hAnsi="Amiri" w:eastAsia="Amiri" w:cs="Amiri"/>
          <w:lang w:bidi="ar-SA"/>
          <w:color w:val="111111"/>
          <w:sz w:val="28"/>
          <w:szCs w:val="28"/>
          <w:rtl/>
        </w:rPr>
        <w:t xml:space="preserve">91 .مفتاح الفلاح = مفتاح الفلاح في عمل اليوم والليلة، ج 15، ص 209.</w:t>
      </w:r>
    </w:p>
    <w:p>
      <w:pPr>
        <w:pStyle w:val="BookText"/>
      </w:pPr>
      <w:r>
        <w:rPr>
          <w:rFonts w:ascii="Amiri" w:hAnsi="Amiri" w:eastAsia="Amiri" w:cs="Amiri"/>
          <w:lang w:bidi="ar-SA"/>
          <w:color w:val="111111"/>
          <w:sz w:val="28"/>
          <w:szCs w:val="28"/>
          <w:rtl/>
        </w:rPr>
        <w:t xml:space="preserve">92 .مقالة فيما تتم به الصلوة من</w:t>
      </w:r>
    </w:p>
    <w:p>
      <w:pPr>
        <w:pStyle w:val="BookText"/>
      </w:pPr>
      <w:r>
        <w:rPr>
          <w:rFonts w:ascii="Amiri" w:hAnsi="Amiri" w:eastAsia="Amiri" w:cs="Amiri"/>
          <w:lang w:bidi="ar-SA"/>
          <w:color w:val="111111"/>
          <w:sz w:val="28"/>
          <w:szCs w:val="28"/>
          <w:rtl/>
        </w:rPr>
        <w:t xml:space="preserve">الحرير، ج 15، ص 286.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منع الزوجة نفسها قبل الدخول</w:t>
      </w:r>
    </w:p>
    <w:p>
      <w:pPr>
        <w:pStyle w:val="BookText"/>
      </w:pPr>
      <w:r>
        <w:rPr>
          <w:rFonts w:ascii="Amiri" w:hAnsi="Amiri" w:eastAsia="Amiri" w:cs="Amiri"/>
          <w:lang w:bidi="ar-SA"/>
          <w:color w:val="111111"/>
          <w:sz w:val="28"/>
          <w:szCs w:val="28"/>
          <w:rtl/>
        </w:rPr>
        <w:t xml:space="preserve">عن الزوج حتي تقبض المهر = جواز امتناع الزوجة عن الاستمتاع قبل قبض المهر، ج 15 ، ص 730.</w:t>
      </w:r>
    </w:p>
    <w:p>
      <w:pPr>
        <w:pStyle w:val="BookText"/>
      </w:pPr>
      <w:r>
        <w:rPr>
          <w:rFonts w:ascii="IRNazanin" w:hAnsi="IRNazanin" w:eastAsia="IRNazanin" w:cs="IRNazanin"/>
          <w:lang w:bidi="fa-IR"/>
          <w:color w:val="111111"/>
          <w:sz w:val="28"/>
          <w:szCs w:val="28"/>
          <w:rtl/>
        </w:rPr>
        <w:t xml:space="preserve">94 .موشح، ج 16، ص18.</w:t>
      </w:r>
    </w:p>
    <w:p>
      <w:pPr>
        <w:pStyle w:val="BookText"/>
      </w:pPr>
      <w:r>
        <w:rPr>
          <w:rFonts w:ascii="IRNazanin" w:hAnsi="IRNazanin" w:eastAsia="IRNazanin" w:cs="IRNazanin"/>
          <w:lang w:bidi="fa-IR"/>
          <w:color w:val="111111"/>
          <w:sz w:val="28"/>
          <w:szCs w:val="28"/>
          <w:rtl/>
        </w:rPr>
        <w:t xml:space="preserve">95 .نامه ها (2) = نامه به میرزا ابراهیم همداني، ج 16، ص 102.</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نان و حلوا = سوانح سفر حجاز =</w:t>
      </w:r>
    </w:p>
    <w:p>
      <w:pPr>
        <w:pStyle w:val="BookText"/>
      </w:pPr>
      <w:r>
        <w:rPr>
          <w:rFonts w:ascii="Amiri" w:hAnsi="Amiri" w:eastAsia="Amiri" w:cs="Amiri"/>
          <w:lang w:bidi="ar-SA"/>
          <w:color w:val="111111"/>
          <w:sz w:val="28"/>
          <w:szCs w:val="28"/>
          <w:rtl/>
        </w:rPr>
        <w:t xml:space="preserve">السوانح الحجازية، ج 16، ص 103.</w:t>
      </w:r>
    </w:p>
    <w:p>
      <w:pPr>
        <w:pStyle w:val="BookText"/>
      </w:pPr>
      <w:r>
        <w:rPr>
          <w:rFonts w:ascii="Amiri" w:hAnsi="Amiri" w:eastAsia="Amiri" w:cs="Amiri"/>
          <w:lang w:bidi="ar-SA"/>
          <w:color w:val="111111"/>
          <w:sz w:val="28"/>
          <w:szCs w:val="28"/>
          <w:rtl/>
        </w:rPr>
        <w:t xml:space="preserve">97 .نبذة من السوانح وجملة من</w:t>
      </w:r>
    </w:p>
    <w:p>
      <w:pPr>
        <w:pStyle w:val="BookText"/>
      </w:pPr>
      <w:r>
        <w:rPr>
          <w:rFonts w:ascii="IRNazanin" w:hAnsi="IRNazanin" w:eastAsia="IRNazanin" w:cs="IRNazanin"/>
          <w:lang w:bidi="fa-IR"/>
          <w:color w:val="111111"/>
          <w:sz w:val="28"/>
          <w:szCs w:val="28"/>
          <w:rtl/>
        </w:rPr>
        <w:t xml:space="preserve">الموانح، ج 16، ص 115.</w:t>
      </w:r>
    </w:p>
    <w:p>
      <w:pPr>
        <w:pStyle w:val="BookText"/>
      </w:pPr>
      <w:r>
        <w:rPr>
          <w:rFonts w:ascii="Amiri" w:hAnsi="Amiri" w:eastAsia="Amiri" w:cs="Amiri"/>
          <w:lang w:bidi="ar-SA"/>
          <w:color w:val="111111"/>
          <w:sz w:val="28"/>
          <w:szCs w:val="28"/>
          <w:rtl/>
        </w:rPr>
        <w:t xml:space="preserve">98 .النحو (رسالة في)، ج 16، ص 171.</w:t>
      </w:r>
    </w:p>
    <w:p>
      <w:pPr>
        <w:pStyle w:val="BookText"/>
      </w:pPr>
      <w:r>
        <w:rPr>
          <w:rFonts w:ascii="Amiri" w:hAnsi="Amiri" w:eastAsia="Amiri" w:cs="Amiri"/>
          <w:lang w:bidi="ar-SA"/>
          <w:color w:val="111111"/>
          <w:sz w:val="28"/>
          <w:szCs w:val="28"/>
          <w:rtl/>
        </w:rPr>
        <w:t xml:space="preserve">99 .نسبة ارتفاع اعظم الجبال إلى قطر الارض = حاشية شرح الملخص</w:t>
      </w:r>
    </w:p>
    <w:p>
      <w:pPr>
        <w:pStyle w:val="BookText"/>
      </w:pPr>
      <w:r>
        <w:rPr>
          <w:rFonts w:ascii="IRNazanin" w:hAnsi="IRNazanin" w:eastAsia="IRNazanin" w:cs="IRNazanin"/>
          <w:lang w:bidi="fa-IR"/>
          <w:color w:val="111111"/>
          <w:sz w:val="28"/>
          <w:szCs w:val="28"/>
          <w:rtl/>
        </w:rPr>
        <w:t xml:space="preserve">= شرح شرح ملخص چغميني = تضاريس الأرض، ج 16، ص 264.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الهندسة و الحساب (رسالة في)</w:t>
      </w:r>
    </w:p>
    <w:p>
      <w:pPr>
        <w:pStyle w:val="BookText"/>
      </w:pPr>
      <w:r>
        <w:rPr>
          <w:rFonts w:ascii="IRNazanin" w:hAnsi="IRNazanin" w:eastAsia="IRNazanin" w:cs="IRNazanin"/>
          <w:lang w:bidi="fa-IR"/>
          <w:color w:val="111111"/>
          <w:sz w:val="28"/>
          <w:szCs w:val="28"/>
          <w:rtl/>
        </w:rPr>
        <w:t xml:space="preserve">ج 16، ص 657 .</w:t>
      </w:r>
    </w:p>
    <w:p>
      <w:pPr>
        <w:pStyle w:val="BookText"/>
      </w:pPr>
      <w:r>
        <w:rPr>
          <w:rFonts w:ascii="Amiri" w:hAnsi="Amiri" w:eastAsia="Amiri" w:cs="Amiri"/>
          <w:lang w:bidi="ar-SA"/>
          <w:color w:val="111111"/>
          <w:sz w:val="28"/>
          <w:szCs w:val="28"/>
          <w:rtl/>
        </w:rPr>
        <w:t xml:space="preserve">101 .واجبات الصلوات اليومية (رسالة</w:t>
      </w:r>
    </w:p>
    <w:p>
      <w:pPr>
        <w:pStyle w:val="BookText"/>
      </w:pPr>
      <w:r>
        <w:rPr>
          <w:rFonts w:ascii="Amiri" w:hAnsi="Amiri" w:eastAsia="Amiri" w:cs="Amiri"/>
          <w:lang w:bidi="ar-SA"/>
          <w:color w:val="111111"/>
          <w:sz w:val="28"/>
          <w:szCs w:val="28"/>
          <w:rtl/>
        </w:rPr>
        <w:t xml:space="preserve">في)، ج 16، ص 674.</w:t>
      </w:r>
    </w:p>
    <w:p>
      <w:pPr>
        <w:pStyle w:val="BookText"/>
      </w:pPr>
      <w:r>
        <w:rPr>
          <w:rFonts w:ascii="Amiri" w:hAnsi="Amiri" w:eastAsia="Amiri" w:cs="Amiri"/>
          <w:lang w:bidi="ar-SA"/>
          <w:color w:val="111111"/>
          <w:sz w:val="28"/>
          <w:szCs w:val="28"/>
          <w:rtl/>
        </w:rPr>
        <w:t xml:space="preserve">102 .وجيزة الاحكام، ج 16، ص 740.</w:t>
      </w:r>
    </w:p>
    <w:p>
      <w:pPr>
        <w:pStyle w:val="BookText"/>
      </w:pPr>
      <w:r>
        <w:rPr>
          <w:rFonts w:ascii="Amiri" w:hAnsi="Amiri" w:eastAsia="Amiri" w:cs="Amiri"/>
          <w:lang w:bidi="ar-SA"/>
          <w:color w:val="111111"/>
          <w:sz w:val="28"/>
          <w:szCs w:val="28"/>
          <w:rtl/>
        </w:rPr>
        <w:t xml:space="preserve">103 .الوجيزة في الدراية، ج 16،</w:t>
      </w:r>
    </w:p>
    <w:p>
      <w:pPr>
        <w:pStyle w:val="BookText"/>
      </w:pPr>
      <w:r>
        <w:rPr>
          <w:rFonts w:ascii="IRNazanin" w:hAnsi="IRNazanin" w:eastAsia="IRNazanin" w:cs="IRNazanin"/>
          <w:lang w:bidi="fa-IR"/>
          <w:color w:val="111111"/>
          <w:sz w:val="28"/>
          <w:szCs w:val="28"/>
          <w:rtl/>
        </w:rPr>
        <w:t xml:space="preserve">ص 745.</w:t>
      </w:r>
    </w:p>
    <w:p>
      <w:pPr>
        <w:pStyle w:val="Heading2"/>
      </w:pPr>
      <w:bookmarkStart w:id="5286" w:name="_Toc4388"/>
      <w:r>
        <w:t>شیخ جعفر</w:t>
      </w:r>
      <w:bookmarkEnd w:id="5286"/>
    </w:p>
    <w:p>
      <w:pPr>
        <w:pStyle w:val="BookText"/>
      </w:pPr>
      <w:r>
        <w:rPr>
          <w:rFonts w:ascii="Amiri" w:hAnsi="Amiri" w:eastAsia="Amiri" w:cs="Amiri"/>
          <w:lang w:bidi="ar-SA"/>
          <w:color w:val="111111"/>
          <w:sz w:val="28"/>
          <w:szCs w:val="28"/>
          <w:rtl/>
        </w:rPr>
        <w:t xml:space="preserve">ديوان الشيخ جعفر، ج7، ص 675 .</w:t>
      </w:r>
    </w:p>
    <w:p>
      <w:pPr>
        <w:pStyle w:val="Heading2"/>
      </w:pPr>
      <w:bookmarkStart w:id="5287" w:name="_Toc4389"/>
      <w:r>
        <w:t>شیخ جنید</w:t>
      </w:r>
      <w:bookmarkEnd w:id="5287"/>
    </w:p>
    <w:p>
      <w:pPr>
        <w:pStyle w:val="BookText"/>
      </w:pPr>
      <w:r>
        <w:rPr>
          <w:rFonts w:ascii="Amiri" w:hAnsi="Amiri" w:eastAsia="Amiri" w:cs="Amiri"/>
          <w:lang w:bidi="ar-SA"/>
          <w:color w:val="111111"/>
          <w:sz w:val="28"/>
          <w:szCs w:val="28"/>
          <w:rtl/>
        </w:rPr>
        <w:t xml:space="preserve">دعاء الشيخ جنيد قدس الله سره، ج7،</w:t>
      </w:r>
    </w:p>
    <w:p>
      <w:pPr>
        <w:pStyle w:val="BookText"/>
      </w:pPr>
      <w:r>
        <w:rPr>
          <w:rFonts w:ascii="IRNazanin" w:hAnsi="IRNazanin" w:eastAsia="IRNazanin" w:cs="IRNazanin"/>
          <w:lang w:bidi="fa-IR"/>
          <w:color w:val="111111"/>
          <w:sz w:val="28"/>
          <w:szCs w:val="28"/>
          <w:rtl/>
        </w:rPr>
        <w:t xml:space="preserve">ص 400 .</w:t>
      </w:r>
    </w:p>
    <w:p>
      <w:pPr>
        <w:pStyle w:val="Heading2"/>
      </w:pPr>
      <w:bookmarkStart w:id="5288" w:name="_Toc4390"/>
      <w:r>
        <w:t>شيخ جيون ، احمد بن ابي سعيد، 1047 -</w:t>
      </w:r>
      <w:bookmarkEnd w:id="5288"/>
    </w:p>
    <w:p>
      <w:pPr>
        <w:pStyle w:val="BookText"/>
      </w:pPr>
      <w:r>
        <w:rPr>
          <w:rFonts w:ascii="IRNazanin" w:hAnsi="IRNazanin" w:eastAsia="IRNazanin" w:cs="IRNazanin"/>
          <w:lang w:bidi="fa-IR"/>
          <w:color w:val="111111"/>
          <w:sz w:val="28"/>
          <w:szCs w:val="28"/>
          <w:rtl/>
        </w:rPr>
        <w:t xml:space="preserve">1130ه-</w:t>
      </w:r>
    </w:p>
    <w:p>
      <w:pPr>
        <w:pStyle w:val="BookText"/>
      </w:pPr>
      <w:r>
        <w:rPr>
          <w:rFonts w:ascii="Amiri" w:hAnsi="Amiri" w:eastAsia="Amiri" w:cs="Amiri"/>
          <w:lang w:bidi="ar-SA"/>
          <w:color w:val="111111"/>
          <w:sz w:val="28"/>
          <w:szCs w:val="28"/>
          <w:rtl/>
        </w:rPr>
        <w:t xml:space="preserve">تفسير احمدي = التفسيرات الاحمدية</w:t>
      </w:r>
    </w:p>
    <w:p>
      <w:pPr>
        <w:pStyle w:val="BookText"/>
      </w:pPr>
      <w:r>
        <w:rPr>
          <w:rFonts w:ascii="Amiri" w:hAnsi="Amiri" w:eastAsia="Amiri" w:cs="Amiri"/>
          <w:lang w:bidi="ar-SA"/>
          <w:color w:val="111111"/>
          <w:sz w:val="28"/>
          <w:szCs w:val="28"/>
          <w:rtl/>
        </w:rPr>
        <w:t xml:space="preserve">في بيان الآيات الشرعية، ج 4، ص 599.</w:t>
      </w:r>
    </w:p>
    <w:p>
      <w:pPr>
        <w:pStyle w:val="Heading2"/>
      </w:pPr>
      <w:bookmarkStart w:id="5289" w:name="_Toc4391"/>
      <w:r>
        <w:t>شیخ حسین بن شیخ محمّد</w:t>
      </w:r>
      <w:bookmarkEnd w:id="5289"/>
    </w:p>
    <w:p>
      <w:pPr>
        <w:pStyle w:val="BookText"/>
      </w:pPr>
      <w:r>
        <w:rPr>
          <w:rFonts w:ascii="Amiri" w:hAnsi="Amiri" w:eastAsia="Amiri" w:cs="Amiri"/>
          <w:lang w:bidi="ar-SA"/>
          <w:color w:val="111111"/>
          <w:sz w:val="28"/>
          <w:szCs w:val="28"/>
          <w:rtl/>
        </w:rPr>
        <w:t xml:space="preserve">1 .الصلاتية، ج 10، ص 619.</w:t>
      </w:r>
    </w:p>
    <w:p>
      <w:pPr>
        <w:pStyle w:val="BookText"/>
      </w:pPr>
      <w:r>
        <w:rPr>
          <w:rFonts w:ascii="Amiri" w:hAnsi="Amiri" w:eastAsia="Amiri" w:cs="Amiri"/>
          <w:lang w:bidi="ar-SA"/>
          <w:color w:val="111111"/>
          <w:sz w:val="28"/>
          <w:szCs w:val="28"/>
          <w:rtl/>
        </w:rPr>
        <w:t xml:space="preserve">2.قصيدة، ج 12، ص 641 .</w:t>
      </w:r>
    </w:p>
    <w:p>
      <w:pPr>
        <w:pStyle w:val="Heading2"/>
      </w:pPr>
      <w:bookmarkStart w:id="5290" w:name="_Toc4392"/>
      <w:r>
        <w:t>شيخ حلبي</w:t>
      </w:r>
      <w:bookmarkEnd w:id="5290"/>
    </w:p>
    <w:p>
      <w:pPr>
        <w:pStyle w:val="BookText"/>
      </w:pPr>
      <w:r>
        <w:rPr>
          <w:rFonts w:ascii="Amiri" w:hAnsi="Amiri" w:eastAsia="Amiri" w:cs="Amiri"/>
          <w:lang w:bidi="ar-SA"/>
          <w:color w:val="111111"/>
          <w:sz w:val="28"/>
          <w:szCs w:val="28"/>
          <w:rtl/>
        </w:rPr>
        <w:t xml:space="preserve">فوائد الجمان في تاريخ وزير السلطان</w:t>
      </w:r>
    </w:p>
    <w:p>
      <w:pPr>
        <w:pStyle w:val="BookText"/>
      </w:pPr>
      <w:r>
        <w:rPr>
          <w:rFonts w:ascii="IRNazanin" w:hAnsi="IRNazanin" w:eastAsia="IRNazanin" w:cs="IRNazanin"/>
          <w:lang w:bidi="fa-IR"/>
          <w:color w:val="111111"/>
          <w:sz w:val="28"/>
          <w:szCs w:val="28"/>
          <w:rtl/>
        </w:rPr>
        <w:t xml:space="preserve">سلیمان، ج 12، ص192.</w:t>
      </w:r>
    </w:p>
    <w:p>
      <w:pPr>
        <w:pStyle w:val="Heading2"/>
      </w:pPr>
      <w:bookmarkStart w:id="5291" w:name="_Toc4393"/>
      <w:r>
        <w:t>شيخ راضي ، جعفر</w:t>
      </w:r>
      <w:bookmarkEnd w:id="5291"/>
    </w:p>
    <w:p>
      <w:pPr>
        <w:pStyle w:val="BookText"/>
      </w:pPr>
      <w:r>
        <w:rPr>
          <w:rFonts w:ascii="Amiri" w:hAnsi="Amiri" w:eastAsia="Amiri" w:cs="Amiri"/>
          <w:lang w:bidi="ar-SA"/>
          <w:color w:val="111111"/>
          <w:sz w:val="28"/>
          <w:szCs w:val="28"/>
          <w:rtl/>
        </w:rPr>
        <w:t xml:space="preserve">تعليقة على العروة الوثقى، ج 4،</w:t>
      </w:r>
    </w:p>
    <w:p>
      <w:pPr>
        <w:pStyle w:val="BookText"/>
      </w:pPr>
      <w:r>
        <w:rPr>
          <w:rFonts w:ascii="IRNazanin" w:hAnsi="IRNazanin" w:eastAsia="IRNazanin" w:cs="IRNazanin"/>
          <w:lang w:bidi="fa-IR"/>
          <w:color w:val="111111"/>
          <w:sz w:val="28"/>
          <w:szCs w:val="28"/>
          <w:rtl/>
        </w:rPr>
        <w:t xml:space="preserve">ص 524.</w:t>
      </w:r>
    </w:p>
    <w:p>
      <w:pPr>
        <w:pStyle w:val="BookText"/>
      </w:pPr>
      <w:r>
        <w:rPr>
          <w:rFonts w:ascii="Amiri" w:hAnsi="Amiri" w:eastAsia="Amiri" w:cs="Amiri"/>
          <w:lang w:bidi="ar-SA"/>
          <w:color w:val="111111"/>
          <w:sz w:val="28"/>
          <w:szCs w:val="28"/>
          <w:rtl/>
        </w:rPr>
        <w:t xml:space="preserve">شيخ رسلان ، ارسلان بن يعقوب- دمشقي ارسلان بن يعقوب</w:t>
      </w:r>
    </w:p>
    <w:p>
      <w:pPr>
        <w:pStyle w:val="BookText"/>
      </w:pPr>
      <w:r>
        <w:rPr>
          <w:rFonts w:ascii="IRNazanin" w:hAnsi="IRNazanin" w:eastAsia="IRNazanin" w:cs="IRNazanin"/>
          <w:lang w:bidi="fa-IR"/>
          <w:color w:val="111111"/>
          <w:sz w:val="28"/>
          <w:szCs w:val="28"/>
          <w:rtl/>
        </w:rPr>
        <w:t xml:space="preserve">شیخ زاده ، ابراهیم -شیخ زاده قادري ،</w:t>
      </w:r>
    </w:p>
    <w:p>
      <w:pPr>
        <w:pStyle w:val="BookText"/>
      </w:pPr>
      <w:r>
        <w:rPr>
          <w:rFonts w:ascii="IRNazanin" w:hAnsi="IRNazanin" w:eastAsia="IRNazanin" w:cs="IRNazanin"/>
          <w:lang w:bidi="fa-IR"/>
          <w:color w:val="111111"/>
          <w:sz w:val="28"/>
          <w:szCs w:val="28"/>
          <w:rtl/>
        </w:rPr>
        <w:t xml:space="preserve">ابراهیم</w:t>
      </w:r>
    </w:p>
    <w:p>
      <w:pPr>
        <w:pStyle w:val="Heading2"/>
      </w:pPr>
      <w:bookmarkStart w:id="5292" w:name="_Toc4394"/>
      <w:r>
        <w:t>شیخ زاده ، ابراهيم بن قره مصطفى</w:t>
      </w:r>
      <w:bookmarkEnd w:id="5292"/>
    </w:p>
    <w:p>
      <w:pPr>
        <w:pStyle w:val="BookText"/>
      </w:pPr>
      <w:r>
        <w:rPr>
          <w:rFonts w:ascii="IRNazanin" w:hAnsi="IRNazanin" w:eastAsia="IRNazanin" w:cs="IRNazanin"/>
          <w:lang w:bidi="fa-IR"/>
          <w:color w:val="111111"/>
          <w:sz w:val="28"/>
          <w:szCs w:val="28"/>
          <w:rtl/>
        </w:rPr>
        <w:t xml:space="preserve">1014ه-</w:t>
      </w:r>
    </w:p>
    <w:p>
      <w:pPr>
        <w:pStyle w:val="BookText"/>
      </w:pPr>
      <w:r>
        <w:rPr>
          <w:rFonts w:ascii="Amiri" w:hAnsi="Amiri" w:eastAsia="Amiri" w:cs="Amiri"/>
          <w:lang w:bidi="ar-SA"/>
          <w:color w:val="111111"/>
          <w:sz w:val="28"/>
          <w:szCs w:val="28"/>
          <w:rtl/>
        </w:rPr>
        <w:t xml:space="preserve">انوار البوارق في ترتيب شرح المشارق</w:t>
      </w:r>
    </w:p>
    <w:p>
      <w:pPr>
        <w:pStyle w:val="BookText"/>
      </w:pPr>
      <w:r>
        <w:rPr>
          <w:rFonts w:ascii="Amiri" w:hAnsi="Amiri" w:eastAsia="Amiri" w:cs="Amiri"/>
          <w:lang w:bidi="ar-SA"/>
          <w:color w:val="111111"/>
          <w:sz w:val="28"/>
          <w:szCs w:val="28"/>
          <w:rtl/>
        </w:rPr>
        <w:t xml:space="preserve">مرافق الاخبار في ترتيب مشارق</w:t>
      </w:r>
    </w:p>
    <w:p>
      <w:pPr>
        <w:pStyle w:val="BookText"/>
      </w:pPr>
      <w:r>
        <w:rPr>
          <w:rFonts w:ascii="IRNazanin" w:hAnsi="IRNazanin" w:eastAsia="IRNazanin" w:cs="IRNazanin"/>
          <w:lang w:bidi="fa-IR"/>
          <w:color w:val="111111"/>
          <w:sz w:val="28"/>
          <w:szCs w:val="28"/>
          <w:rtl/>
        </w:rPr>
        <w:t xml:space="preserve">الانوار، ج 2، ص 845.</w:t>
      </w:r>
    </w:p>
    <w:p>
      <w:pPr>
        <w:pStyle w:val="BookText"/>
      </w:pPr>
      <w:r>
        <w:rPr>
          <w:rFonts w:ascii="IRNazanin" w:hAnsi="IRNazanin" w:eastAsia="IRNazanin" w:cs="IRNazanin"/>
          <w:lang w:bidi="fa-IR"/>
          <w:color w:val="111111"/>
          <w:sz w:val="28"/>
          <w:szCs w:val="28"/>
          <w:rtl/>
        </w:rPr>
        <w:t xml:space="preserve">شیخ زاده ، اسماعیل بن مصطفى- كلنبوي</w:t>
      </w:r>
    </w:p>
    <w:p>
      <w:pPr>
        <w:pStyle w:val="BookText"/>
      </w:pPr>
      <w:r>
        <w:rPr>
          <w:rFonts w:ascii="Amiri" w:hAnsi="Amiri" w:eastAsia="Amiri" w:cs="Amiri"/>
          <w:lang w:bidi="ar-SA"/>
          <w:color w:val="111111"/>
          <w:sz w:val="28"/>
          <w:szCs w:val="28"/>
          <w:rtl/>
        </w:rPr>
        <w:t xml:space="preserve">، اسماعيل بن مصطفى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46" w:name="pg7742_70636"/>
    <w:bookmarkEnd w:id="646"/>
    <w:p>
      <w:pPr>
        <w:pStyle w:val="Heading2"/>
      </w:pPr>
      <w:bookmarkStart w:id="5293" w:name="_Toc4395"/>
      <w:r>
        <w:t>شیخ زاده ، عبد الرحيم بن علي - 944</w:t>
      </w:r>
      <w:bookmarkEnd w:id="5293"/>
    </w:p>
    <w:p>
      <w:pPr>
        <w:pStyle w:val="BookText"/>
      </w:pPr>
      <w:r>
        <w:rPr>
          <w:rFonts w:ascii="IRNazanin" w:hAnsi="IRNazanin" w:eastAsia="IRNazanin" w:cs="IRNazanin"/>
          <w:lang w:bidi="fa-IR"/>
          <w:color w:val="111111"/>
          <w:sz w:val="28"/>
          <w:szCs w:val="28"/>
          <w:rtl/>
        </w:rPr>
        <w:t xml:space="preserve">نظم الفرائد و اهم جمع الفوائد</w:t>
      </w:r>
    </w:p>
    <w:p>
      <w:pPr>
        <w:pStyle w:val="BookText"/>
      </w:pPr>
      <w:r>
        <w:rPr>
          <w:rFonts w:ascii="IRNazanin" w:hAnsi="IRNazanin" w:eastAsia="IRNazanin" w:cs="IRNazanin"/>
          <w:lang w:bidi="fa-IR"/>
          <w:color w:val="111111"/>
          <w:sz w:val="28"/>
          <w:szCs w:val="28"/>
          <w:rtl/>
        </w:rPr>
        <w:t xml:space="preserve">ج 16، ص 352.</w:t>
      </w:r>
    </w:p>
    <w:p>
      <w:pPr>
        <w:pStyle w:val="Heading2"/>
      </w:pPr>
      <w:bookmarkStart w:id="5294" w:name="_Toc4396"/>
      <w:r>
        <w:t>شیخ زاده قادري ، ابراهيم</w:t>
      </w:r>
      <w:bookmarkEnd w:id="5294"/>
    </w:p>
    <w:p>
      <w:pPr>
        <w:pStyle w:val="BookText"/>
      </w:pPr>
      <w:r>
        <w:rPr>
          <w:rFonts w:ascii="Amiri" w:hAnsi="Amiri" w:eastAsia="Amiri" w:cs="Amiri"/>
          <w:lang w:bidi="ar-SA"/>
          <w:color w:val="111111"/>
          <w:sz w:val="28"/>
          <w:szCs w:val="28"/>
          <w:rtl/>
        </w:rPr>
        <w:t xml:space="preserve">اجازة الطريقة القادرية، ج 1، ص221</w:t>
      </w:r>
    </w:p>
    <w:p>
      <w:pPr>
        <w:pStyle w:val="Heading2"/>
      </w:pPr>
      <w:bookmarkStart w:id="5295" w:name="_Toc4397"/>
      <w:r>
        <w:t>شیخ زاده، محمّد بن مصطفى - 950؟</w:t>
      </w:r>
      <w:bookmarkEnd w:id="5295"/>
    </w:p>
    <w:p>
      <w:pPr>
        <w:pStyle w:val="BookText"/>
      </w:pPr>
      <w:r>
        <w:rPr>
          <w:rFonts w:ascii="Amiri" w:hAnsi="Amiri" w:eastAsia="Amiri" w:cs="Amiri"/>
          <w:lang w:bidi="ar-SA"/>
          <w:color w:val="111111"/>
          <w:sz w:val="28"/>
          <w:szCs w:val="28"/>
          <w:rtl/>
        </w:rPr>
        <w:t xml:space="preserve">1.حاشية انوار التنزيل = حاشيه</w:t>
      </w:r>
    </w:p>
    <w:p>
      <w:pPr>
        <w:pStyle w:val="BookText"/>
      </w:pPr>
      <w:r>
        <w:rPr>
          <w:rFonts w:ascii="Amiri" w:hAnsi="Amiri" w:eastAsia="Amiri" w:cs="Amiri"/>
          <w:lang w:bidi="ar-SA"/>
          <w:color w:val="111111"/>
          <w:sz w:val="28"/>
          <w:szCs w:val="28"/>
          <w:rtl/>
        </w:rPr>
        <w:t xml:space="preserve">تفسير بيضاوي، ج 5، ص 680.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راحة الأرواح، ج 8، ص4.</w:t>
      </w:r>
    </w:p>
    <w:p>
      <w:pPr>
        <w:pStyle w:val="BookText"/>
      </w:pPr>
      <w:r>
        <w:rPr>
          <w:rFonts w:ascii="Amiri" w:hAnsi="Amiri" w:eastAsia="Amiri" w:cs="Amiri"/>
          <w:lang w:bidi="ar-SA"/>
          <w:color w:val="111111"/>
          <w:sz w:val="28"/>
          <w:szCs w:val="28"/>
          <w:rtl/>
        </w:rPr>
        <w:t xml:space="preserve">3.شرح قصيدة البردة = شرح الكواكب الدرية، ج 9، ص 850.</w:t>
      </w:r>
    </w:p>
    <w:p>
      <w:pPr>
        <w:pStyle w:val="BookText"/>
      </w:pPr>
      <w:r>
        <w:rPr>
          <w:rFonts w:ascii="IRNazanin" w:hAnsi="IRNazanin" w:eastAsia="IRNazanin" w:cs="IRNazanin"/>
          <w:lang w:bidi="fa-IR"/>
          <w:color w:val="111111"/>
          <w:sz w:val="28"/>
          <w:szCs w:val="28"/>
          <w:rtl/>
        </w:rPr>
        <w:t xml:space="preserve">4 .شرح مفتاح العلوم، ج 10، ص 168 .</w:t>
      </w:r>
    </w:p>
    <w:p>
      <w:pPr>
        <w:pStyle w:val="BookText"/>
      </w:pPr>
      <w:r>
        <w:rPr>
          <w:rFonts w:ascii="IRNazanin" w:hAnsi="IRNazanin" w:eastAsia="IRNazanin" w:cs="IRNazanin"/>
          <w:lang w:bidi="fa-IR"/>
          <w:color w:val="111111"/>
          <w:sz w:val="28"/>
          <w:szCs w:val="28"/>
          <w:rtl/>
        </w:rPr>
        <w:t xml:space="preserve">شیخ زاده، محي الدين محمّد- شیخ زاده</w:t>
      </w:r>
    </w:p>
    <w:p>
      <w:pPr>
        <w:pStyle w:val="BookText"/>
      </w:pPr>
      <w:r>
        <w:rPr>
          <w:rFonts w:ascii="IRNazanin" w:hAnsi="IRNazanin" w:eastAsia="IRNazanin" w:cs="IRNazanin"/>
          <w:lang w:bidi="fa-IR"/>
          <w:color w:val="111111"/>
          <w:sz w:val="28"/>
          <w:szCs w:val="28"/>
          <w:rtl/>
        </w:rPr>
        <w:t xml:space="preserve">محمد بن مصطفى</w:t>
      </w:r>
    </w:p>
    <w:p>
      <w:pPr>
        <w:pStyle w:val="BookText"/>
      </w:pPr>
      <w:r>
        <w:rPr>
          <w:rFonts w:ascii="IRNazanin" w:hAnsi="IRNazanin" w:eastAsia="IRNazanin" w:cs="IRNazanin"/>
          <w:lang w:bidi="fa-IR"/>
          <w:color w:val="111111"/>
          <w:sz w:val="28"/>
          <w:szCs w:val="28"/>
          <w:rtl/>
        </w:rPr>
        <w:t xml:space="preserve">شیخ شريف ، احمد بن يحيى- منيري ،</w:t>
      </w:r>
    </w:p>
    <w:p>
      <w:pPr>
        <w:pStyle w:val="BookText"/>
      </w:pPr>
      <w:r>
        <w:rPr>
          <w:rFonts w:ascii="Amiri" w:hAnsi="Amiri" w:eastAsia="Amiri" w:cs="Amiri"/>
          <w:lang w:bidi="ar-SA"/>
          <w:color w:val="111111"/>
          <w:sz w:val="28"/>
          <w:szCs w:val="28"/>
          <w:rtl/>
        </w:rPr>
        <w:t xml:space="preserve">احمد بن يحيى</w:t>
      </w:r>
    </w:p>
    <w:p>
      <w:pPr>
        <w:pStyle w:val="BookText"/>
      </w:pPr>
      <w:r>
        <w:rPr>
          <w:rFonts w:ascii="IRNazanin" w:hAnsi="IRNazanin" w:eastAsia="IRNazanin" w:cs="IRNazanin"/>
          <w:lang w:bidi="fa-IR"/>
          <w:color w:val="111111"/>
          <w:sz w:val="28"/>
          <w:szCs w:val="28"/>
          <w:rtl/>
        </w:rPr>
        <w:t xml:space="preserve">شیخ شطاح - روزبهان بقلي ، روزبهان بن</w:t>
      </w:r>
    </w:p>
    <w:p>
      <w:pPr>
        <w:pStyle w:val="BookText"/>
      </w:pPr>
      <w:r>
        <w:rPr>
          <w:rFonts w:ascii="Amiri" w:hAnsi="Amiri" w:eastAsia="Amiri" w:cs="Amiri"/>
          <w:lang w:bidi="ar-SA"/>
          <w:color w:val="111111"/>
          <w:sz w:val="28"/>
          <w:szCs w:val="28"/>
          <w:rtl/>
        </w:rPr>
        <w:t xml:space="preserve">ابي نصر</w:t>
      </w:r>
    </w:p>
    <w:p>
      <w:pPr>
        <w:pStyle w:val="BookText"/>
      </w:pPr>
      <w:r>
        <w:rPr>
          <w:rFonts w:ascii="IRNazanin" w:hAnsi="IRNazanin" w:eastAsia="IRNazanin" w:cs="IRNazanin"/>
          <w:lang w:bidi="fa-IR"/>
          <w:color w:val="111111"/>
          <w:sz w:val="28"/>
          <w:szCs w:val="28"/>
          <w:rtl/>
        </w:rPr>
        <w:t xml:space="preserve">شیخ شطاح ، عبدالله -بلياني ، عبد الله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Amiri" w:hAnsi="Amiri" w:eastAsia="Amiri" w:cs="Amiri"/>
          <w:lang w:bidi="ar-SA"/>
          <w:color w:val="111111"/>
          <w:sz w:val="28"/>
          <w:szCs w:val="28"/>
          <w:rtl/>
        </w:rPr>
        <w:t xml:space="preserve">شيخ صدوق شيخ صدوق ، محمّد بن علي</w:t>
      </w:r>
    </w:p>
    <w:p>
      <w:pPr>
        <w:pStyle w:val="Heading2"/>
      </w:pPr>
      <w:bookmarkStart w:id="5296" w:name="_Toc4398"/>
      <w:r>
        <w:t>شیخ صدوق، محمّد بن علي 311؟ -</w:t>
      </w:r>
      <w:bookmarkEnd w:id="5296"/>
    </w:p>
    <w:p>
      <w:pPr>
        <w:pStyle w:val="BookText"/>
      </w:pPr>
      <w:r>
        <w:rPr>
          <w:rFonts w:ascii="IRNazanin" w:hAnsi="IRNazanin" w:eastAsia="IRNazanin" w:cs="IRNazanin"/>
          <w:lang w:bidi="fa-IR"/>
          <w:color w:val="111111"/>
          <w:sz w:val="28"/>
          <w:szCs w:val="28"/>
          <w:rtl/>
        </w:rPr>
        <w:t xml:space="preserve">381ه-</w:t>
      </w:r>
    </w:p>
    <w:p>
      <w:pPr>
        <w:pStyle w:val="BookText"/>
      </w:pPr>
      <w:r>
        <w:rPr>
          <w:rFonts w:ascii="Amiri" w:hAnsi="Amiri" w:eastAsia="Amiri" w:cs="Amiri"/>
          <w:lang w:bidi="ar-SA"/>
          <w:color w:val="111111"/>
          <w:sz w:val="28"/>
          <w:szCs w:val="28"/>
          <w:rtl/>
        </w:rPr>
        <w:t xml:space="preserve">1 .اسانيد كتاب من لا يحضره الفقيه</w:t>
      </w:r>
    </w:p>
    <w:p>
      <w:pPr>
        <w:pStyle w:val="BookText"/>
      </w:pPr>
      <w:r>
        <w:rPr>
          <w:rFonts w:ascii="IRNazanin" w:hAnsi="IRNazanin" w:eastAsia="IRNazanin" w:cs="IRNazanin"/>
          <w:lang w:bidi="fa-IR"/>
          <w:color w:val="111111"/>
          <w:sz w:val="28"/>
          <w:szCs w:val="28"/>
          <w:rtl/>
        </w:rPr>
        <w:t xml:space="preserve">ج 2، ص 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الأسرار، ج 2، ص 161 .</w:t>
      </w:r>
    </w:p>
    <w:p>
      <w:pPr>
        <w:pStyle w:val="BookText"/>
      </w:pPr>
      <w:r>
        <w:rPr>
          <w:rFonts w:ascii="IRNazanin" w:hAnsi="IRNazanin" w:eastAsia="IRNazanin" w:cs="IRNazanin"/>
          <w:lang w:bidi="fa-IR"/>
          <w:color w:val="111111"/>
          <w:sz w:val="28"/>
          <w:szCs w:val="28"/>
          <w:rtl/>
        </w:rPr>
        <w:t xml:space="preserve">3 .الاعتقادات = العقائد، ج 2، ص 500.</w:t>
      </w:r>
    </w:p>
    <w:p>
      <w:pPr>
        <w:pStyle w:val="BookText"/>
      </w:pPr>
      <w:r>
        <w:rPr>
          <w:rFonts w:ascii="IRNazanin" w:hAnsi="IRNazanin" w:eastAsia="IRNazanin" w:cs="IRNazanin"/>
          <w:lang w:bidi="fa-IR"/>
          <w:color w:val="111111"/>
          <w:sz w:val="28"/>
          <w:szCs w:val="28"/>
          <w:rtl/>
        </w:rPr>
        <w:t xml:space="preserve">4 .اكمال الدين و اتمام النعمة = كمال الدین و تمام النعمة في اثبات الغيبة وكشف الحيرة، ج 2،</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Amiri" w:hAnsi="Amiri" w:eastAsia="Amiri" w:cs="Amiri"/>
          <w:lang w:bidi="ar-SA"/>
          <w:color w:val="111111"/>
          <w:sz w:val="28"/>
          <w:szCs w:val="28"/>
          <w:rtl/>
        </w:rPr>
        <w:t xml:space="preserve">5 .الامالي = المجالس = امالي صدوق -</w:t>
      </w:r>
    </w:p>
    <w:p>
      <w:pPr>
        <w:pStyle w:val="BookText"/>
      </w:pPr>
      <w:r>
        <w:rPr>
          <w:rFonts w:ascii="IRNazanin" w:hAnsi="IRNazanin" w:eastAsia="IRNazanin" w:cs="IRNazanin"/>
          <w:lang w:bidi="fa-IR"/>
          <w:color w:val="111111"/>
          <w:sz w:val="28"/>
          <w:szCs w:val="28"/>
          <w:rtl/>
        </w:rPr>
        <w:t xml:space="preserve">عرض المجالس، ج 2، ص711.</w:t>
      </w:r>
    </w:p>
    <w:p>
      <w:pPr>
        <w:pStyle w:val="BookText"/>
      </w:pPr>
      <w:r>
        <w:rPr>
          <w:rFonts w:ascii="IRNazanin" w:hAnsi="IRNazanin" w:eastAsia="IRNazanin" w:cs="IRNazanin"/>
          <w:lang w:bidi="fa-IR"/>
          <w:color w:val="111111"/>
          <w:sz w:val="28"/>
          <w:szCs w:val="28"/>
          <w:rtl/>
        </w:rPr>
        <w:t xml:space="preserve">6 .التوحيد = توحید صدوق التوحيد و نفي التشبيه و الجبر</w:t>
      </w:r>
    </w:p>
    <w:p>
      <w:pPr>
        <w:pStyle w:val="BookText"/>
      </w:pPr>
      <w:r>
        <w:rPr>
          <w:rFonts w:ascii="IRNazanin" w:hAnsi="IRNazanin" w:eastAsia="IRNazanin" w:cs="IRNazanin"/>
          <w:lang w:bidi="fa-IR"/>
          <w:color w:val="111111"/>
          <w:sz w:val="28"/>
          <w:szCs w:val="28"/>
          <w:rtl/>
        </w:rPr>
        <w:t xml:space="preserve">ج 5، ص 147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ثواب الاعمال، ج 5، ص 229</w:t>
      </w:r>
    </w:p>
    <w:p>
      <w:pPr>
        <w:pStyle w:val="BookText"/>
      </w:pPr>
      <w:r>
        <w:rPr>
          <w:rFonts w:ascii="IRNazanin" w:hAnsi="IRNazanin" w:eastAsia="IRNazanin" w:cs="IRNazanin"/>
          <w:lang w:bidi="fa-IR"/>
          <w:color w:val="111111"/>
          <w:sz w:val="28"/>
          <w:szCs w:val="28"/>
          <w:rtl/>
        </w:rPr>
        <w:t xml:space="preserve">8 .ثواب الاعمال و عقاب الاعمال، ج 5،</w:t>
      </w:r>
    </w:p>
    <w:p>
      <w:pPr>
        <w:pStyle w:val="BookText"/>
      </w:pPr>
      <w:r>
        <w:rPr>
          <w:rFonts w:ascii="IRNazanin" w:hAnsi="IRNazanin" w:eastAsia="IRNazanin" w:cs="IRNazanin"/>
          <w:lang w:bidi="fa-IR"/>
          <w:color w:val="111111"/>
          <w:sz w:val="28"/>
          <w:szCs w:val="28"/>
          <w:rtl/>
        </w:rPr>
        <w:t xml:space="preserve">ص230.</w:t>
      </w:r>
    </w:p>
    <w:p>
      <w:pPr>
        <w:pStyle w:val="BookText"/>
      </w:pPr>
      <w:r>
        <w:rPr>
          <w:rFonts w:ascii="Amiri" w:hAnsi="Amiri" w:eastAsia="Amiri" w:cs="Amiri"/>
          <w:lang w:bidi="ar-SA"/>
          <w:color w:val="111111"/>
          <w:sz w:val="28"/>
          <w:szCs w:val="28"/>
          <w:rtl/>
        </w:rPr>
        <w:t xml:space="preserve">9 .حديث اربعماة = حديث جامع</w:t>
      </w:r>
    </w:p>
    <w:p>
      <w:pPr>
        <w:pStyle w:val="BookText"/>
      </w:pPr>
      <w:r>
        <w:rPr>
          <w:rFonts w:ascii="Amiri" w:hAnsi="Amiri" w:eastAsia="Amiri" w:cs="Amiri"/>
          <w:lang w:bidi="ar-SA"/>
          <w:color w:val="111111"/>
          <w:sz w:val="28"/>
          <w:szCs w:val="28"/>
          <w:rtl/>
        </w:rPr>
        <w:t xml:space="preserve">الآداب و الحكم، ج 6 ، ص 565.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الخصال المحمودة و المذمومة</w:t>
      </w:r>
    </w:p>
    <w:p>
      <w:pPr>
        <w:pStyle w:val="BookText"/>
      </w:pPr>
      <w:r>
        <w:rPr>
          <w:rFonts w:ascii="IRNazanin" w:hAnsi="IRNazanin" w:eastAsia="IRNazanin" w:cs="IRNazanin"/>
          <w:lang w:bidi="fa-IR"/>
          <w:color w:val="111111"/>
          <w:sz w:val="28"/>
          <w:szCs w:val="28"/>
          <w:rtl/>
        </w:rPr>
        <w:t xml:space="preserve">ج 7، ص38.</w:t>
      </w:r>
    </w:p>
    <w:p>
      <w:pPr>
        <w:pStyle w:val="BookText"/>
      </w:pPr>
      <w:r>
        <w:rPr>
          <w:rFonts w:ascii="Amiri" w:hAnsi="Amiri" w:eastAsia="Amiri" w:cs="Amiri"/>
          <w:lang w:bidi="ar-SA"/>
          <w:color w:val="111111"/>
          <w:sz w:val="28"/>
          <w:szCs w:val="28"/>
          <w:rtl/>
        </w:rPr>
        <w:t xml:space="preserve">11 .شرح الاسلام (رسالة في)، ج9،</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Amiri" w:hAnsi="Amiri" w:eastAsia="Amiri" w:cs="Amiri"/>
          <w:lang w:bidi="ar-SA"/>
          <w:color w:val="111111"/>
          <w:sz w:val="28"/>
          <w:szCs w:val="28"/>
          <w:rtl/>
        </w:rPr>
        <w:t xml:space="preserve">12 .شرح قصيدتين (الشيعة)، ج9،</w:t>
      </w:r>
    </w:p>
    <w:p>
      <w:pPr>
        <w:pStyle w:val="BookText"/>
      </w:pPr>
      <w:r>
        <w:rPr>
          <w:rFonts w:ascii="IRNazanin" w:hAnsi="IRNazanin" w:eastAsia="IRNazanin" w:cs="IRNazanin"/>
          <w:lang w:bidi="fa-IR"/>
          <w:color w:val="111111"/>
          <w:sz w:val="28"/>
          <w:szCs w:val="28"/>
          <w:rtl/>
        </w:rPr>
        <w:t xml:space="preserve">ص 906.</w:t>
      </w:r>
    </w:p>
    <w:p>
      <w:pPr>
        <w:pStyle w:val="BookText"/>
      </w:pPr>
      <w:r>
        <w:rPr>
          <w:rFonts w:ascii="Amiri" w:hAnsi="Amiri" w:eastAsia="Amiri" w:cs="Amiri"/>
          <w:lang w:bidi="ar-SA"/>
          <w:color w:val="111111"/>
          <w:sz w:val="28"/>
          <w:szCs w:val="28"/>
          <w:rtl/>
        </w:rPr>
        <w:t xml:space="preserve">13 .صفات الشيعة، ج 10، ص 564.</w:t>
      </w:r>
    </w:p>
    <w:p>
      <w:pPr>
        <w:pStyle w:val="BookText"/>
      </w:pPr>
      <w:r>
        <w:rPr>
          <w:rFonts w:ascii="IRNazanin" w:hAnsi="IRNazanin" w:eastAsia="IRNazanin" w:cs="IRNazanin"/>
          <w:lang w:bidi="fa-IR"/>
          <w:color w:val="111111"/>
          <w:sz w:val="28"/>
          <w:szCs w:val="28"/>
          <w:rtl/>
        </w:rPr>
        <w:t xml:space="preserve">14 .عقاب الاعمال، ج 11، ص 130.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علل الحديث، ج 11، ص 221.</w:t>
      </w:r>
    </w:p>
    <w:p>
      <w:pPr>
        <w:pStyle w:val="BookText"/>
      </w:pPr>
      <w:r>
        <w:rPr>
          <w:rFonts w:ascii="Amiri" w:hAnsi="Amiri" w:eastAsia="Amiri" w:cs="Amiri"/>
          <w:lang w:bidi="ar-SA"/>
          <w:color w:val="111111"/>
          <w:sz w:val="28"/>
          <w:szCs w:val="28"/>
          <w:rtl/>
        </w:rPr>
        <w:t xml:space="preserve">16 .علل الشرايع و الاحكام والاسباب</w:t>
      </w:r>
    </w:p>
    <w:p>
      <w:pPr>
        <w:pStyle w:val="BookText"/>
      </w:pPr>
      <w:r>
        <w:rPr>
          <w:rFonts w:ascii="IRNazanin" w:hAnsi="IRNazanin" w:eastAsia="IRNazanin" w:cs="IRNazanin"/>
          <w:lang w:bidi="fa-IR"/>
          <w:color w:val="111111"/>
          <w:sz w:val="28"/>
          <w:szCs w:val="28"/>
          <w:rtl/>
        </w:rPr>
        <w:t xml:space="preserve">ج 11، ص 222</w:t>
      </w:r>
    </w:p>
    <w:p>
      <w:pPr>
        <w:pStyle w:val="BookText"/>
      </w:pPr>
      <w:r>
        <w:rPr>
          <w:rFonts w:ascii="Amiri" w:hAnsi="Amiri" w:eastAsia="Amiri" w:cs="Amiri"/>
          <w:lang w:bidi="ar-SA"/>
          <w:color w:val="111111"/>
          <w:sz w:val="28"/>
          <w:szCs w:val="28"/>
          <w:rtl/>
        </w:rPr>
        <w:t xml:space="preserve">17 .عيون اخبار الرضا، ج 11، ص389.</w:t>
      </w:r>
    </w:p>
    <w:p>
      <w:pPr>
        <w:pStyle w:val="BookText"/>
      </w:pPr>
      <w:r>
        <w:rPr>
          <w:rFonts w:ascii="Amiri" w:hAnsi="Amiri" w:eastAsia="Amiri" w:cs="Amiri"/>
          <w:lang w:bidi="ar-SA"/>
          <w:color w:val="111111"/>
          <w:sz w:val="28"/>
          <w:szCs w:val="28"/>
          <w:rtl/>
        </w:rPr>
        <w:t xml:space="preserve">18 .الغيبة، ج 11، ص 547.</w:t>
      </w:r>
    </w:p>
    <w:p>
      <w:pPr>
        <w:pStyle w:val="BookText"/>
      </w:pPr>
      <w:r>
        <w:rPr>
          <w:rFonts w:ascii="Amiri" w:hAnsi="Amiri" w:eastAsia="Amiri" w:cs="Amiri"/>
          <w:lang w:bidi="ar-SA"/>
          <w:color w:val="111111"/>
          <w:sz w:val="28"/>
          <w:szCs w:val="28"/>
          <w:rtl/>
        </w:rPr>
        <w:t xml:space="preserve">19 .فضائل الاشهر الثلثة، ج 12، ص 4.</w:t>
      </w:r>
    </w:p>
    <w:p>
      <w:pPr>
        <w:pStyle w:val="BookText"/>
      </w:pPr>
      <w:r>
        <w:rPr>
          <w:rFonts w:ascii="IRNazanin" w:hAnsi="IRNazanin" w:eastAsia="IRNazanin" w:cs="IRNazanin"/>
          <w:lang w:bidi="fa-IR"/>
          <w:color w:val="111111"/>
          <w:sz w:val="28"/>
          <w:szCs w:val="28"/>
          <w:rtl/>
        </w:rPr>
        <w:t xml:space="preserve">20 .فضائل القرآن، ج12، ص17.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47" w:name="pg7742_70637"/>
    <w:bookmarkEnd w:id="647"/>
    <w:p>
      <w:pPr>
        <w:pStyle w:val="BookText"/>
      </w:pPr>
      <w:r>
        <w:rPr>
          <w:rFonts w:ascii="IRNazanin" w:hAnsi="IRNazanin" w:eastAsia="IRNazanin" w:cs="IRNazanin"/>
          <w:lang w:bidi="fa-IR"/>
          <w:color w:val="111111"/>
          <w:sz w:val="28"/>
          <w:szCs w:val="28"/>
          <w:rtl/>
        </w:rPr>
        <w:t xml:space="preserve">21 .فضائل شهر رجب، ج 12، ص8.</w:t>
      </w:r>
    </w:p>
    <w:p>
      <w:pPr>
        <w:pStyle w:val="BookText"/>
      </w:pPr>
      <w:r>
        <w:rPr>
          <w:rFonts w:ascii="IRNazanin" w:hAnsi="IRNazanin" w:eastAsia="IRNazanin" w:cs="IRNazanin"/>
          <w:lang w:bidi="fa-IR"/>
          <w:color w:val="111111"/>
          <w:sz w:val="28"/>
          <w:szCs w:val="28"/>
          <w:rtl/>
        </w:rPr>
        <w:t xml:space="preserve">22 .فضائل شهر رمضان، ج 12، ص 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فضائل شهر شعبان، ج 12، ص11.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فضل الشيعة، ج 12، ص 25.</w:t>
      </w:r>
    </w:p>
    <w:p>
      <w:pPr>
        <w:pStyle w:val="BookText"/>
      </w:pPr>
      <w:r>
        <w:rPr>
          <w:rFonts w:ascii="Amiri" w:hAnsi="Amiri" w:eastAsia="Amiri" w:cs="Amiri"/>
          <w:lang w:bidi="ar-SA"/>
          <w:color w:val="111111"/>
          <w:sz w:val="28"/>
          <w:szCs w:val="28"/>
          <w:rtl/>
        </w:rPr>
        <w:t xml:space="preserve">25 .كتاب من لا يحضره الفقيه = من</w:t>
      </w:r>
    </w:p>
    <w:p>
      <w:pPr>
        <w:pStyle w:val="BookText"/>
      </w:pPr>
      <w:r>
        <w:rPr>
          <w:rFonts w:ascii="Amiri" w:hAnsi="Amiri" w:eastAsia="Amiri" w:cs="Amiri"/>
          <w:lang w:bidi="ar-SA"/>
          <w:color w:val="111111"/>
          <w:sz w:val="28"/>
          <w:szCs w:val="28"/>
          <w:rtl/>
        </w:rPr>
        <w:t xml:space="preserve">لا يحضره الفقيه، ج13، ص 125.</w:t>
      </w:r>
    </w:p>
    <w:p>
      <w:pPr>
        <w:pStyle w:val="BookText"/>
      </w:pPr>
      <w:r>
        <w:rPr>
          <w:rFonts w:ascii="IRNazanin" w:hAnsi="IRNazanin" w:eastAsia="IRNazanin" w:cs="IRNazanin"/>
          <w:lang w:bidi="fa-IR"/>
          <w:color w:val="111111"/>
          <w:sz w:val="28"/>
          <w:szCs w:val="28"/>
          <w:rtl/>
        </w:rPr>
        <w:t xml:space="preserve">26 .مجالس الصدوق، ج13، ص 796.</w:t>
      </w:r>
    </w:p>
    <w:p>
      <w:pPr>
        <w:pStyle w:val="BookText"/>
      </w:pPr>
      <w:r>
        <w:rPr>
          <w:rFonts w:ascii="Amiri" w:hAnsi="Amiri" w:eastAsia="Amiri" w:cs="Amiri"/>
          <w:lang w:bidi="ar-SA"/>
          <w:color w:val="111111"/>
          <w:sz w:val="28"/>
          <w:szCs w:val="28"/>
          <w:rtl/>
        </w:rPr>
        <w:t xml:space="preserve">27 .مجلس لوصف دين الامامية</w:t>
      </w:r>
    </w:p>
    <w:p>
      <w:pPr>
        <w:pStyle w:val="BookText"/>
      </w:pPr>
      <w:r>
        <w:rPr>
          <w:rFonts w:ascii="IRNazanin" w:hAnsi="IRNazanin" w:eastAsia="IRNazanin" w:cs="IRNazanin"/>
          <w:lang w:bidi="fa-IR"/>
          <w:color w:val="111111"/>
          <w:sz w:val="28"/>
          <w:szCs w:val="28"/>
          <w:rtl/>
        </w:rPr>
        <w:t xml:space="preserve">ج 13، ص 820</w:t>
      </w:r>
    </w:p>
    <w:p>
      <w:pPr>
        <w:pStyle w:val="BookText"/>
      </w:pPr>
      <w:r>
        <w:rPr>
          <w:rFonts w:ascii="Amiri" w:hAnsi="Amiri" w:eastAsia="Amiri" w:cs="Amiri"/>
          <w:lang w:bidi="ar-SA"/>
          <w:color w:val="111111"/>
          <w:sz w:val="28"/>
          <w:szCs w:val="28"/>
          <w:rtl/>
        </w:rPr>
        <w:t xml:space="preserve">28 .مشيخة من لا يحضره الفقيه =</w:t>
      </w:r>
    </w:p>
    <w:p>
      <w:pPr>
        <w:pStyle w:val="BookText"/>
      </w:pPr>
      <w:r>
        <w:rPr>
          <w:rFonts w:ascii="Amiri" w:hAnsi="Amiri" w:eastAsia="Amiri" w:cs="Amiri"/>
          <w:lang w:bidi="ar-SA"/>
          <w:color w:val="111111"/>
          <w:sz w:val="28"/>
          <w:szCs w:val="28"/>
          <w:rtl/>
        </w:rPr>
        <w:t xml:space="preserve">مشيخة الفقيه، ج 14 ، ص 656.</w:t>
      </w:r>
    </w:p>
    <w:p>
      <w:pPr>
        <w:pStyle w:val="BookText"/>
      </w:pPr>
      <w:r>
        <w:rPr>
          <w:rFonts w:ascii="IRNazanin" w:hAnsi="IRNazanin" w:eastAsia="IRNazanin" w:cs="IRNazanin"/>
          <w:lang w:bidi="fa-IR"/>
          <w:color w:val="111111"/>
          <w:sz w:val="28"/>
          <w:szCs w:val="28"/>
          <w:rtl/>
        </w:rPr>
        <w:t xml:space="preserve">29 .مصادقة الاخوان - کتاب الاخوان</w:t>
      </w:r>
    </w:p>
    <w:p>
      <w:pPr>
        <w:pStyle w:val="BookText"/>
      </w:pPr>
      <w:r>
        <w:rPr>
          <w:rFonts w:ascii="IRNazanin" w:hAnsi="IRNazanin" w:eastAsia="IRNazanin" w:cs="IRNazanin"/>
          <w:lang w:bidi="fa-IR"/>
          <w:color w:val="111111"/>
          <w:sz w:val="28"/>
          <w:szCs w:val="28"/>
          <w:rtl/>
        </w:rPr>
        <w:t xml:space="preserve">ج 14 ، ص 694 .</w:t>
      </w:r>
    </w:p>
    <w:p>
      <w:pPr>
        <w:pStyle w:val="BookText"/>
      </w:pPr>
      <w:r>
        <w:rPr>
          <w:rFonts w:ascii="Amiri" w:hAnsi="Amiri" w:eastAsia="Amiri" w:cs="Amiri"/>
          <w:lang w:bidi="ar-SA"/>
          <w:color w:val="111111"/>
          <w:sz w:val="28"/>
          <w:szCs w:val="28"/>
          <w:rtl/>
        </w:rPr>
        <w:t xml:space="preserve">30 .معاني الاخبار، ج 14، ص 884.</w:t>
      </w:r>
    </w:p>
    <w:p>
      <w:pPr>
        <w:pStyle w:val="BookText"/>
      </w:pPr>
      <w:r>
        <w:rPr>
          <w:rFonts w:ascii="IRNazanin" w:hAnsi="IRNazanin" w:eastAsia="IRNazanin" w:cs="IRNazanin"/>
          <w:lang w:bidi="fa-IR"/>
          <w:color w:val="111111"/>
          <w:sz w:val="28"/>
          <w:szCs w:val="28"/>
          <w:rtl/>
        </w:rPr>
        <w:t xml:space="preserve">31 .المقنع، ج 15، ص392.</w:t>
      </w:r>
    </w:p>
    <w:p>
      <w:pPr>
        <w:pStyle w:val="BookText"/>
      </w:pPr>
      <w:r>
        <w:rPr>
          <w:rFonts w:ascii="Amiri" w:hAnsi="Amiri" w:eastAsia="Amiri" w:cs="Amiri"/>
          <w:lang w:bidi="ar-SA"/>
          <w:color w:val="111111"/>
          <w:sz w:val="28"/>
          <w:szCs w:val="28"/>
          <w:rtl/>
        </w:rPr>
        <w:t xml:space="preserve">32 .مناظرة ركن الدولة مع الشيخ</w:t>
      </w:r>
    </w:p>
    <w:p>
      <w:pPr>
        <w:pStyle w:val="BookText"/>
      </w:pPr>
      <w:r>
        <w:rPr>
          <w:rFonts w:ascii="IRNazanin" w:hAnsi="IRNazanin" w:eastAsia="IRNazanin" w:cs="IRNazanin"/>
          <w:lang w:bidi="fa-IR"/>
          <w:color w:val="111111"/>
          <w:sz w:val="28"/>
          <w:szCs w:val="28"/>
          <w:rtl/>
        </w:rPr>
        <w:t xml:space="preserve">الصدوق، ج 15، ص 518.</w:t>
      </w:r>
    </w:p>
    <w:p>
      <w:pPr>
        <w:pStyle w:val="BookText"/>
      </w:pPr>
      <w:r>
        <w:rPr>
          <w:rFonts w:ascii="Amiri" w:hAnsi="Amiri" w:eastAsia="Amiri" w:cs="Amiri"/>
          <w:lang w:bidi="ar-SA"/>
          <w:color w:val="111111"/>
          <w:sz w:val="28"/>
          <w:szCs w:val="28"/>
          <w:rtl/>
        </w:rPr>
        <w:t xml:space="preserve">33 .منهاج النجاة، ج 15 ، ص 783.</w:t>
      </w:r>
    </w:p>
    <w:p>
      <w:pPr>
        <w:pStyle w:val="BookText"/>
      </w:pPr>
      <w:r>
        <w:rPr>
          <w:rFonts w:ascii="Amiri" w:hAnsi="Amiri" w:eastAsia="Amiri" w:cs="Amiri"/>
          <w:lang w:bidi="ar-SA"/>
          <w:color w:val="111111"/>
          <w:sz w:val="28"/>
          <w:szCs w:val="28"/>
          <w:rtl/>
        </w:rPr>
        <w:t xml:space="preserve">34 .الهداية بالخير، ج 16، ص 605.</w:t>
      </w:r>
    </w:p>
    <w:p>
      <w:pPr>
        <w:pStyle w:val="BookText"/>
      </w:pPr>
      <w:r>
        <w:rPr>
          <w:rFonts w:ascii="Amiri" w:hAnsi="Amiri" w:eastAsia="Amiri" w:cs="Amiri"/>
          <w:lang w:bidi="ar-SA"/>
          <w:color w:val="111111"/>
          <w:sz w:val="28"/>
          <w:szCs w:val="28"/>
          <w:rtl/>
        </w:rPr>
        <w:t xml:space="preserve">شيخ صفي- صفي الدين اردبيلي ، اسحاق</w:t>
      </w:r>
    </w:p>
    <w:p>
      <w:pPr>
        <w:pStyle w:val="BookText"/>
      </w:pPr>
      <w:r>
        <w:rPr>
          <w:rFonts w:ascii="Amiri" w:hAnsi="Amiri" w:eastAsia="Amiri" w:cs="Amiri"/>
          <w:lang w:bidi="ar-SA"/>
          <w:color w:val="111111"/>
          <w:sz w:val="28"/>
          <w:szCs w:val="28"/>
          <w:rtl/>
        </w:rPr>
        <w:t xml:space="preserve">بن جبرئيل</w:t>
      </w:r>
    </w:p>
    <w:p>
      <w:pPr>
        <w:pStyle w:val="BookText"/>
      </w:pPr>
      <w:r>
        <w:rPr>
          <w:rFonts w:ascii="Amiri" w:hAnsi="Amiri" w:eastAsia="Amiri" w:cs="Amiri"/>
          <w:lang w:bidi="ar-SA"/>
          <w:color w:val="111111"/>
          <w:sz w:val="28"/>
          <w:szCs w:val="28"/>
          <w:rtl/>
        </w:rPr>
        <w:t xml:space="preserve">شيخ طبرسي- طبرسي ، احمد بن علي</w:t>
      </w:r>
    </w:p>
    <w:p>
      <w:pPr>
        <w:pStyle w:val="Heading2"/>
      </w:pPr>
      <w:bookmarkStart w:id="5297" w:name="_Toc4399"/>
      <w:r>
        <w:t>شيخ طوسي ، محمّد بن حسن، 385 -</w:t>
      </w:r>
      <w:bookmarkEnd w:id="5297"/>
    </w:p>
    <w:p>
      <w:pPr>
        <w:pStyle w:val="BookText"/>
      </w:pPr>
      <w:r>
        <w:rPr>
          <w:rFonts w:ascii="IRNazanin" w:hAnsi="IRNazanin" w:eastAsia="IRNazanin" w:cs="IRNazanin"/>
          <w:lang w:bidi="fa-IR"/>
          <w:color w:val="111111"/>
          <w:sz w:val="28"/>
          <w:szCs w:val="28"/>
          <w:rtl/>
        </w:rPr>
        <w:t xml:space="preserve">460 ه-</w:t>
      </w:r>
    </w:p>
    <w:p>
      <w:pPr>
        <w:pStyle w:val="BookText"/>
      </w:pPr>
      <w:r>
        <w:rPr>
          <w:rFonts w:ascii="Amiri" w:hAnsi="Amiri" w:eastAsia="Amiri" w:cs="Amiri"/>
          <w:lang w:bidi="ar-SA"/>
          <w:color w:val="111111"/>
          <w:sz w:val="28"/>
          <w:szCs w:val="28"/>
          <w:rtl/>
        </w:rPr>
        <w:t xml:space="preserve">1 .اختيار معرفة الرجال = رجال اختيار الرجال، ج 1، ص 564.</w:t>
      </w:r>
    </w:p>
    <w:p>
      <w:pPr>
        <w:pStyle w:val="BookText"/>
      </w:pPr>
      <w:r>
        <w:rPr>
          <w:rFonts w:ascii="Amiri" w:hAnsi="Amiri" w:eastAsia="Amiri" w:cs="Amiri"/>
          <w:lang w:bidi="ar-SA"/>
          <w:color w:val="111111"/>
          <w:sz w:val="28"/>
          <w:szCs w:val="28"/>
          <w:rtl/>
        </w:rPr>
        <w:t xml:space="preserve">2 .الاستبصار فيما اختلف من الاخبار</w:t>
      </w:r>
    </w:p>
    <w:p>
      <w:pPr>
        <w:pStyle w:val="BookText"/>
      </w:pPr>
      <w:r>
        <w:rPr>
          <w:rFonts w:ascii="IRNazanin" w:hAnsi="IRNazanin" w:eastAsia="IRNazanin" w:cs="IRNazanin"/>
          <w:lang w:bidi="fa-IR"/>
          <w:color w:val="111111"/>
          <w:sz w:val="28"/>
          <w:szCs w:val="28"/>
          <w:rtl/>
        </w:rPr>
        <w:t xml:space="preserve">ج 2، ص 105.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أسماء الرجال، ج 2، ص220.</w:t>
      </w:r>
    </w:p>
    <w:p>
      <w:pPr>
        <w:pStyle w:val="BookText"/>
      </w:pPr>
      <w:r>
        <w:rPr>
          <w:rFonts w:ascii="IRNazanin" w:hAnsi="IRNazanin" w:eastAsia="IRNazanin" w:cs="IRNazanin"/>
          <w:lang w:bidi="fa-IR"/>
          <w:color w:val="111111"/>
          <w:sz w:val="28"/>
          <w:szCs w:val="28"/>
          <w:rtl/>
        </w:rPr>
        <w:t xml:space="preserve">4 .الاعتقادات = اصول الدین، ج2،</w:t>
      </w:r>
    </w:p>
    <w:p>
      <w:pPr>
        <w:pStyle w:val="BookText"/>
      </w:pPr>
      <w:r>
        <w:rPr>
          <w:rFonts w:ascii="IRNazanin" w:hAnsi="IRNazanin" w:eastAsia="IRNazanin" w:cs="IRNazanin"/>
          <w:lang w:bidi="fa-IR"/>
          <w:color w:val="111111"/>
          <w:sz w:val="28"/>
          <w:szCs w:val="28"/>
          <w:rtl/>
        </w:rPr>
        <w:t xml:space="preserve">ص 503.</w:t>
      </w:r>
    </w:p>
    <w:p>
      <w:pPr>
        <w:pStyle w:val="BookText"/>
      </w:pPr>
      <w:r>
        <w:rPr>
          <w:rFonts w:ascii="Amiri" w:hAnsi="Amiri" w:eastAsia="Amiri" w:cs="Amiri"/>
          <w:lang w:bidi="ar-SA"/>
          <w:color w:val="111111"/>
          <w:sz w:val="28"/>
          <w:szCs w:val="28"/>
          <w:rtl/>
        </w:rPr>
        <w:t xml:space="preserve">5 .الاقتصاد الهادي إلى طريق الرشاد</w:t>
      </w:r>
    </w:p>
    <w:p>
      <w:pPr>
        <w:pStyle w:val="BookText"/>
      </w:pPr>
      <w:r>
        <w:rPr>
          <w:rFonts w:ascii="Amiri" w:hAnsi="Amiri" w:eastAsia="Amiri" w:cs="Amiri"/>
          <w:lang w:bidi="ar-SA"/>
          <w:color w:val="111111"/>
          <w:sz w:val="28"/>
          <w:szCs w:val="28"/>
          <w:rtl/>
        </w:rPr>
        <w:t xml:space="preserve">فيما يجب على العباد، ج 2،</w:t>
      </w:r>
    </w:p>
    <w:p>
      <w:pPr>
        <w:pStyle w:val="BookText"/>
      </w:pPr>
      <w:r>
        <w:rPr>
          <w:rFonts w:ascii="IRNazanin" w:hAnsi="IRNazanin" w:eastAsia="IRNazanin" w:cs="IRNazanin"/>
          <w:lang w:bidi="fa-IR"/>
          <w:color w:val="111111"/>
          <w:sz w:val="28"/>
          <w:szCs w:val="28"/>
          <w:rtl/>
        </w:rPr>
        <w:t xml:space="preserve">ص 615 .</w:t>
      </w:r>
    </w:p>
    <w:p>
      <w:pPr>
        <w:pStyle w:val="BookText"/>
      </w:pPr>
      <w:r>
        <w:rPr>
          <w:rFonts w:ascii="Amiri" w:hAnsi="Amiri" w:eastAsia="Amiri" w:cs="Amiri"/>
          <w:lang w:bidi="ar-SA"/>
          <w:color w:val="111111"/>
          <w:sz w:val="28"/>
          <w:szCs w:val="28"/>
          <w:rtl/>
        </w:rPr>
        <w:t xml:space="preserve">6 .الامالي = المجالس، ج 2، ص 720.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الايجاز في الفرائض = المناسخات في</w:t>
      </w:r>
    </w:p>
    <w:p>
      <w:pPr>
        <w:pStyle w:val="BookText"/>
      </w:pPr>
      <w:r>
        <w:rPr>
          <w:rFonts w:ascii="IRNazanin" w:hAnsi="IRNazanin" w:eastAsia="IRNazanin" w:cs="IRNazanin"/>
          <w:lang w:bidi="fa-IR"/>
          <w:color w:val="111111"/>
          <w:sz w:val="28"/>
          <w:szCs w:val="28"/>
          <w:rtl/>
        </w:rPr>
        <w:t xml:space="preserve">الارث، ج 3، ص 96.</w:t>
      </w:r>
    </w:p>
    <w:p>
      <w:pPr>
        <w:pStyle w:val="BookText"/>
      </w:pPr>
      <w:r>
        <w:rPr>
          <w:rFonts w:ascii="Amiri" w:hAnsi="Amiri" w:eastAsia="Amiri" w:cs="Amiri"/>
          <w:lang w:bidi="ar-SA"/>
          <w:color w:val="111111"/>
          <w:sz w:val="28"/>
          <w:szCs w:val="28"/>
          <w:rtl/>
        </w:rPr>
        <w:t xml:space="preserve">8 .التبيان في تفسير القرآن = التبيان الجامع لعلوم القرآن، ج 3، ص 656.</w:t>
      </w:r>
    </w:p>
    <w:p>
      <w:pPr>
        <w:pStyle w:val="BookText"/>
      </w:pPr>
      <w:r>
        <w:rPr>
          <w:rFonts w:ascii="Amiri" w:hAnsi="Amiri" w:eastAsia="Amiri" w:cs="Amiri"/>
          <w:lang w:bidi="ar-SA"/>
          <w:color w:val="111111"/>
          <w:sz w:val="28"/>
          <w:szCs w:val="28"/>
          <w:rtl/>
        </w:rPr>
        <w:t xml:space="preserve">9 .تحريم الفقاع، ج 3، ص 762 .</w:t>
      </w:r>
    </w:p>
    <w:p>
      <w:pPr>
        <w:pStyle w:val="BookText"/>
      </w:pPr>
      <w:r>
        <w:rPr>
          <w:rFonts w:ascii="Amiri" w:hAnsi="Amiri" w:eastAsia="Amiri" w:cs="Amiri"/>
          <w:lang w:bidi="ar-SA"/>
          <w:color w:val="111111"/>
          <w:sz w:val="28"/>
          <w:szCs w:val="28"/>
          <w:rtl/>
        </w:rPr>
        <w:t xml:space="preserve">10 .تفسير حديثين رسالة في)، ج 4،</w:t>
      </w:r>
    </w:p>
    <w:p>
      <w:pPr>
        <w:pStyle w:val="BookText"/>
      </w:pPr>
      <w:r>
        <w:rPr>
          <w:rFonts w:ascii="IRNazanin" w:hAnsi="IRNazanin" w:eastAsia="IRNazanin" w:cs="IRNazanin"/>
          <w:lang w:bidi="fa-IR"/>
          <w:color w:val="111111"/>
          <w:sz w:val="28"/>
          <w:szCs w:val="28"/>
          <w:rtl/>
        </w:rPr>
        <w:t xml:space="preserve">ص 619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تلخيص الشافي = الاستيفاء، ج4،</w:t>
      </w:r>
    </w:p>
    <w:p>
      <w:pPr>
        <w:pStyle w:val="BookText"/>
      </w:pPr>
      <w:r>
        <w:rPr>
          <w:rFonts w:ascii="IRNazanin" w:hAnsi="IRNazanin" w:eastAsia="IRNazanin" w:cs="IRNazanin"/>
          <w:lang w:bidi="fa-IR"/>
          <w:color w:val="111111"/>
          <w:sz w:val="28"/>
          <w:szCs w:val="28"/>
          <w:rtl/>
        </w:rPr>
        <w:t xml:space="preserve">ص 847.</w:t>
      </w:r>
    </w:p>
    <w:p>
      <w:pPr>
        <w:pStyle w:val="BookText"/>
      </w:pPr>
      <w:r>
        <w:rPr>
          <w:rFonts w:ascii="Amiri" w:hAnsi="Amiri" w:eastAsia="Amiri" w:cs="Amiri"/>
          <w:lang w:bidi="ar-SA"/>
          <w:color w:val="111111"/>
          <w:sz w:val="28"/>
          <w:szCs w:val="28"/>
          <w:rtl/>
        </w:rPr>
        <w:t xml:space="preserve">12 .تهذيب الاحكام في معرفة الحلال</w:t>
      </w:r>
    </w:p>
    <w:p>
      <w:pPr>
        <w:pStyle w:val="BookText"/>
      </w:pPr>
      <w:r>
        <w:rPr>
          <w:rFonts w:ascii="IRNazanin" w:hAnsi="IRNazanin" w:eastAsia="IRNazanin" w:cs="IRNazanin"/>
          <w:lang w:bidi="fa-IR"/>
          <w:color w:val="111111"/>
          <w:sz w:val="28"/>
          <w:szCs w:val="28"/>
          <w:rtl/>
        </w:rPr>
        <w:t xml:space="preserve">و الحرام، ج 5، ص 86.</w:t>
      </w:r>
    </w:p>
    <w:p>
      <w:pPr>
        <w:pStyle w:val="BookText"/>
      </w:pPr>
      <w:r>
        <w:rPr>
          <w:rFonts w:ascii="Amiri" w:hAnsi="Amiri" w:eastAsia="Amiri" w:cs="Amiri"/>
          <w:lang w:bidi="ar-SA"/>
          <w:color w:val="111111"/>
          <w:sz w:val="28"/>
          <w:szCs w:val="28"/>
          <w:rtl/>
        </w:rPr>
        <w:t xml:space="preserve">13 .ثلاثون مسئلة في معرفة الله =</w:t>
      </w:r>
    </w:p>
    <w:p>
      <w:pPr>
        <w:pStyle w:val="BookText"/>
      </w:pPr>
      <w:r>
        <w:rPr>
          <w:rFonts w:ascii="Amiri" w:hAnsi="Amiri" w:eastAsia="Amiri" w:cs="Amiri"/>
          <w:lang w:bidi="ar-SA"/>
          <w:color w:val="111111"/>
          <w:sz w:val="28"/>
          <w:szCs w:val="28"/>
          <w:rtl/>
        </w:rPr>
        <w:t xml:space="preserve">ثلاثون مسأله =سي مساله در معرفت خداوند = اعتقادات جه،</w:t>
      </w:r>
    </w:p>
    <w:p>
      <w:pPr>
        <w:pStyle w:val="BookText"/>
      </w:pPr>
      <w:r>
        <w:rPr>
          <w:rFonts w:ascii="IRNazanin" w:hAnsi="IRNazanin" w:eastAsia="IRNazanin" w:cs="IRNazanin"/>
          <w:lang w:bidi="fa-IR"/>
          <w:color w:val="111111"/>
          <w:sz w:val="28"/>
          <w:szCs w:val="28"/>
          <w:rtl/>
        </w:rPr>
        <w:t xml:space="preserve">ص 221.</w:t>
      </w:r>
    </w:p>
    <w:p>
      <w:pPr>
        <w:pStyle w:val="BookText"/>
      </w:pPr>
      <w:r>
        <w:rPr>
          <w:rFonts w:ascii="IRNazanin" w:hAnsi="IRNazanin" w:eastAsia="IRNazanin" w:cs="IRNazanin"/>
          <w:lang w:bidi="fa-IR"/>
          <w:color w:val="111111"/>
          <w:sz w:val="28"/>
          <w:szCs w:val="28"/>
          <w:rtl/>
        </w:rPr>
        <w:t xml:space="preserve">14 .الجمل، ج 5، ص 440 .</w:t>
      </w:r>
    </w:p>
    <w:p>
      <w:pPr>
        <w:pStyle w:val="BookText"/>
      </w:pPr>
      <w:r>
        <w:rPr>
          <w:rFonts w:ascii="IRNazanin" w:hAnsi="IRNazanin" w:eastAsia="IRNazanin" w:cs="IRNazanin"/>
          <w:lang w:bidi="fa-IR"/>
          <w:color w:val="111111"/>
          <w:sz w:val="28"/>
          <w:szCs w:val="28"/>
          <w:rtl/>
        </w:rPr>
        <w:t xml:space="preserve">15 .الجمل والعقود، ج 5، ص 448.</w:t>
      </w:r>
    </w:p>
    <w:p>
      <w:pPr>
        <w:pStyle w:val="BookText"/>
      </w:pPr>
      <w:r>
        <w:rPr>
          <w:rFonts w:ascii="Amiri" w:hAnsi="Amiri" w:eastAsia="Amiri" w:cs="Amiri"/>
          <w:lang w:bidi="ar-SA"/>
          <w:color w:val="111111"/>
          <w:sz w:val="28"/>
          <w:szCs w:val="28"/>
          <w:rtl/>
        </w:rPr>
        <w:t xml:space="preserve">16 .جواب الطوسي لتلميذة حول</w:t>
      </w:r>
    </w:p>
    <w:p>
      <w:pPr>
        <w:pStyle w:val="BookText"/>
      </w:pPr>
      <w:r>
        <w:rPr>
          <w:rFonts w:ascii="IRNazanin" w:hAnsi="IRNazanin" w:eastAsia="IRNazanin" w:cs="IRNazanin"/>
          <w:lang w:bidi="fa-IR"/>
          <w:color w:val="111111"/>
          <w:sz w:val="28"/>
          <w:szCs w:val="28"/>
          <w:rtl/>
        </w:rPr>
        <w:t xml:space="preserve">موضوع، ج 5، ص 502 .</w:t>
      </w:r>
    </w:p>
    <w:p>
      <w:pPr>
        <w:pStyle w:val="BookText"/>
      </w:pPr>
      <w:r>
        <w:rPr>
          <w:rFonts w:ascii="Amiri" w:hAnsi="Amiri" w:eastAsia="Amiri" w:cs="Amiri"/>
          <w:lang w:bidi="ar-SA"/>
          <w:color w:val="111111"/>
          <w:sz w:val="28"/>
          <w:szCs w:val="28"/>
          <w:rtl/>
        </w:rPr>
        <w:t xml:space="preserve">17 .الرجال - كتاب الابواب = رجال</w:t>
      </w:r>
    </w:p>
    <w:p>
      <w:pPr>
        <w:pStyle w:val="BookText"/>
      </w:pPr>
      <w:r>
        <w:rPr>
          <w:rFonts w:ascii="Amiri" w:hAnsi="Amiri" w:eastAsia="Amiri" w:cs="Amiri"/>
          <w:lang w:bidi="ar-SA"/>
          <w:color w:val="111111"/>
          <w:sz w:val="28"/>
          <w:szCs w:val="28"/>
          <w:rtl/>
        </w:rPr>
        <w:t xml:space="preserve">شيخ طوسي، ج 8، ص 45 .</w:t>
      </w:r>
    </w:p>
    <w:p>
      <w:pPr>
        <w:pStyle w:val="BookText"/>
      </w:pPr>
      <w:r>
        <w:rPr>
          <w:rFonts w:ascii="Amiri" w:hAnsi="Amiri" w:eastAsia="Amiri" w:cs="Amiri"/>
          <w:lang w:bidi="ar-SA"/>
          <w:color w:val="111111"/>
          <w:sz w:val="28"/>
          <w:szCs w:val="28"/>
          <w:rtl/>
        </w:rPr>
        <w:t xml:space="preserve">18 .رسالة لابي جعفر الطوسي، ج8،</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19 . الشافي (مختصر) = الاستيفاء، ج 9،</w:t>
      </w:r>
    </w:p>
    <w:p>
      <w:pPr>
        <w:pStyle w:val="BookText"/>
      </w:pPr>
      <w:r>
        <w:rPr>
          <w:rFonts w:ascii="IRNazanin" w:hAnsi="IRNazanin" w:eastAsia="IRNazanin" w:cs="IRNazanin"/>
          <w:lang w:bidi="fa-IR"/>
          <w:color w:val="111111"/>
          <w:sz w:val="28"/>
          <w:szCs w:val="28"/>
          <w:rtl/>
        </w:rPr>
        <w:t xml:space="preserve">ص 64.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عدة الاصول = العدة، ج11،</w:t>
      </w:r>
    </w:p>
    <w:p>
      <w:pPr>
        <w:pStyle w:val="BookText"/>
      </w:pPr>
      <w:r>
        <w:rPr>
          <w:rFonts w:ascii="IRNazanin" w:hAnsi="IRNazanin" w:eastAsia="IRNazanin" w:cs="IRNazanin"/>
          <w:lang w:bidi="fa-IR"/>
          <w:color w:val="111111"/>
          <w:sz w:val="28"/>
          <w:szCs w:val="28"/>
          <w:rtl/>
        </w:rPr>
        <w:t xml:space="preserve">ص 44.</w:t>
      </w:r>
    </w:p>
    <w:p>
      <w:pPr>
        <w:pStyle w:val="BookText"/>
      </w:pPr>
      <w:r>
        <w:rPr>
          <w:rFonts w:ascii="Amiri" w:hAnsi="Amiri" w:eastAsia="Amiri" w:cs="Amiri"/>
          <w:lang w:bidi="ar-SA"/>
          <w:color w:val="111111"/>
          <w:sz w:val="28"/>
          <w:szCs w:val="28"/>
          <w:rtl/>
        </w:rPr>
        <w:t xml:space="preserve">21 .عمل اليوم والليلة، ج11، ص 326.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48" w:name="pg7742_70638"/>
    <w:bookmarkEnd w:id="648"/>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الغيبة = الحجة = كتاب الغيبة</w:t>
      </w:r>
    </w:p>
    <w:p>
      <w:pPr>
        <w:pStyle w:val="BookText"/>
      </w:pPr>
      <w:r>
        <w:rPr>
          <w:rFonts w:ascii="IRNazanin" w:hAnsi="IRNazanin" w:eastAsia="IRNazanin" w:cs="IRNazanin"/>
          <w:lang w:bidi="fa-IR"/>
          <w:color w:val="111111"/>
          <w:sz w:val="28"/>
          <w:szCs w:val="28"/>
          <w:rtl/>
        </w:rPr>
        <w:t xml:space="preserve">ج 11، ص 552.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الفرق بين النبي و الامام، ج11،</w:t>
      </w:r>
    </w:p>
    <w:p>
      <w:pPr>
        <w:pStyle w:val="BookText"/>
      </w:pPr>
      <w:r>
        <w:rPr>
          <w:rFonts w:ascii="IRNazanin" w:hAnsi="IRNazanin" w:eastAsia="IRNazanin" w:cs="IRNazanin"/>
          <w:lang w:bidi="fa-IR"/>
          <w:color w:val="111111"/>
          <w:sz w:val="28"/>
          <w:szCs w:val="28"/>
          <w:rtl/>
        </w:rPr>
        <w:t xml:space="preserve">ص 798.</w:t>
      </w:r>
    </w:p>
    <w:p>
      <w:pPr>
        <w:pStyle w:val="BookText"/>
      </w:pPr>
      <w:r>
        <w:rPr>
          <w:rFonts w:ascii="Amiri" w:hAnsi="Amiri" w:eastAsia="Amiri" w:cs="Amiri"/>
          <w:lang w:bidi="ar-SA"/>
          <w:color w:val="111111"/>
          <w:sz w:val="28"/>
          <w:szCs w:val="28"/>
          <w:rtl/>
        </w:rPr>
        <w:t xml:space="preserve">24 .الفهرست = فهرست شيخ طوسي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شيخ الطائفه - الفهرست من اسماء مصنفي اهل البيت = فهرست كتب الشيعة واصولهم</w:t>
      </w:r>
    </w:p>
    <w:p>
      <w:pPr>
        <w:pStyle w:val="BookText"/>
      </w:pPr>
      <w:r>
        <w:rPr>
          <w:rFonts w:ascii="IRNazanin" w:hAnsi="IRNazanin" w:eastAsia="IRNazanin" w:cs="IRNazanin"/>
          <w:lang w:bidi="fa-IR"/>
          <w:color w:val="111111"/>
          <w:sz w:val="28"/>
          <w:szCs w:val="28"/>
          <w:rtl/>
        </w:rPr>
        <w:t xml:space="preserve">ج 12، ص 145.</w:t>
      </w:r>
    </w:p>
    <w:p>
      <w:pPr>
        <w:pStyle w:val="BookText"/>
      </w:pPr>
      <w:r>
        <w:rPr>
          <w:rFonts w:ascii="Amiri" w:hAnsi="Amiri" w:eastAsia="Amiri" w:cs="Amiri"/>
          <w:lang w:bidi="ar-SA"/>
          <w:color w:val="111111"/>
          <w:sz w:val="28"/>
          <w:szCs w:val="28"/>
          <w:rtl/>
        </w:rPr>
        <w:t xml:space="preserve">25 .ما لا يسع المكلف جهله، ج13،</w:t>
      </w:r>
    </w:p>
    <w:p>
      <w:pPr>
        <w:pStyle w:val="BookText"/>
      </w:pPr>
      <w:r>
        <w:rPr>
          <w:rFonts w:ascii="IRNazanin" w:hAnsi="IRNazanin" w:eastAsia="IRNazanin" w:cs="IRNazanin"/>
          <w:lang w:bidi="fa-IR"/>
          <w:color w:val="111111"/>
          <w:sz w:val="28"/>
          <w:szCs w:val="28"/>
          <w:rtl/>
        </w:rPr>
        <w:t xml:space="preserve">ص 685 .</w:t>
      </w:r>
    </w:p>
    <w:p>
      <w:pPr>
        <w:pStyle w:val="BookText"/>
      </w:pPr>
      <w:r>
        <w:rPr>
          <w:rFonts w:ascii="Amiri" w:hAnsi="Amiri" w:eastAsia="Amiri" w:cs="Amiri"/>
          <w:lang w:bidi="ar-SA"/>
          <w:color w:val="111111"/>
          <w:sz w:val="28"/>
          <w:szCs w:val="28"/>
          <w:rtl/>
        </w:rPr>
        <w:t xml:space="preserve">26 .المبسوط في الفقه، ج13، ص 736.</w:t>
      </w:r>
    </w:p>
    <w:p>
      <w:pPr>
        <w:pStyle w:val="BookText"/>
      </w:pPr>
      <w:r>
        <w:rPr>
          <w:rFonts w:ascii="IRNazanin" w:hAnsi="IRNazanin" w:eastAsia="IRNazanin" w:cs="IRNazanin"/>
          <w:lang w:bidi="fa-IR"/>
          <w:color w:val="111111"/>
          <w:sz w:val="28"/>
          <w:szCs w:val="28"/>
          <w:rtl/>
        </w:rPr>
        <w:t xml:space="preserve">27 .مختصر مصباح المتهجد = مصباح</w:t>
      </w:r>
    </w:p>
    <w:p>
      <w:pPr>
        <w:pStyle w:val="BookText"/>
      </w:pPr>
      <w:r>
        <w:rPr>
          <w:rFonts w:ascii="Amiri" w:hAnsi="Amiri" w:eastAsia="Amiri" w:cs="Amiri"/>
          <w:lang w:bidi="ar-SA"/>
          <w:color w:val="111111"/>
          <w:sz w:val="28"/>
          <w:szCs w:val="28"/>
          <w:rtl/>
        </w:rPr>
        <w:t xml:space="preserve">المتهجد الصغير = عمل السنة =</w:t>
      </w:r>
    </w:p>
    <w:p>
      <w:pPr>
        <w:pStyle w:val="BookText"/>
      </w:pPr>
      <w:r>
        <w:rPr>
          <w:rFonts w:ascii="Amiri" w:hAnsi="Amiri" w:eastAsia="Amiri" w:cs="Amiri"/>
          <w:lang w:bidi="ar-SA"/>
          <w:color w:val="111111"/>
          <w:sz w:val="28"/>
          <w:szCs w:val="28"/>
          <w:rtl/>
        </w:rPr>
        <w:t xml:space="preserve">مصباح صغير، ج 14، ص 243.</w:t>
      </w:r>
    </w:p>
    <w:p>
      <w:pPr>
        <w:pStyle w:val="BookText"/>
      </w:pPr>
      <w:r>
        <w:rPr>
          <w:rFonts w:ascii="IRNazanin" w:hAnsi="IRNazanin" w:eastAsia="IRNazanin" w:cs="IRNazanin"/>
          <w:lang w:bidi="fa-IR"/>
          <w:color w:val="111111"/>
          <w:sz w:val="28"/>
          <w:szCs w:val="28"/>
          <w:rtl/>
        </w:rPr>
        <w:t xml:space="preserve">28 .المختصر من شرح المختصر، ج 14</w:t>
      </w:r>
    </w:p>
    <w:p>
      <w:pPr>
        <w:pStyle w:val="BookText"/>
      </w:pPr>
      <w:r>
        <w:rPr>
          <w:rFonts w:ascii="IRNazanin" w:hAnsi="IRNazanin" w:eastAsia="IRNazanin" w:cs="IRNazanin"/>
          <w:lang w:bidi="fa-IR"/>
          <w:color w:val="111111"/>
          <w:sz w:val="28"/>
          <w:szCs w:val="28"/>
          <w:rtl/>
        </w:rPr>
        <w:t xml:space="preserve">ص 265 .</w:t>
      </w:r>
    </w:p>
    <w:p>
      <w:pPr>
        <w:pStyle w:val="BookText"/>
      </w:pPr>
      <w:r>
        <w:rPr>
          <w:rFonts w:ascii="IRNazanin" w:hAnsi="IRNazanin" w:eastAsia="IRNazanin" w:cs="IRNazanin"/>
          <w:lang w:bidi="fa-IR"/>
          <w:color w:val="111111"/>
          <w:sz w:val="28"/>
          <w:szCs w:val="28"/>
          <w:rtl/>
        </w:rPr>
        <w:t xml:space="preserve">29 .مسائل، ج 14، ص 430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المسائل الحائرية = اجوبة مسائل الحائرية = الحائريات، ج 14،</w:t>
      </w:r>
    </w:p>
    <w:p>
      <w:pPr>
        <w:pStyle w:val="BookText"/>
      </w:pPr>
      <w:r>
        <w:rPr>
          <w:rFonts w:ascii="IRNazanin" w:hAnsi="IRNazanin" w:eastAsia="IRNazanin" w:cs="IRNazanin"/>
          <w:lang w:bidi="fa-IR"/>
          <w:color w:val="111111"/>
          <w:sz w:val="28"/>
          <w:szCs w:val="28"/>
          <w:rtl/>
        </w:rPr>
        <w:t xml:space="preserve">ص 442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مسائل الخلاف مع الكل في الفقه</w:t>
      </w:r>
    </w:p>
    <w:p>
      <w:pPr>
        <w:pStyle w:val="BookText"/>
      </w:pPr>
      <w:r>
        <w:rPr>
          <w:rFonts w:ascii="Amiri" w:hAnsi="Amiri" w:eastAsia="Amiri" w:cs="Amiri"/>
          <w:lang w:bidi="ar-SA"/>
          <w:color w:val="111111"/>
          <w:sz w:val="28"/>
          <w:szCs w:val="28"/>
          <w:rtl/>
        </w:rPr>
        <w:t xml:space="preserve">الخلاف في الاحكام، ج 14،</w:t>
      </w:r>
    </w:p>
    <w:p>
      <w:pPr>
        <w:pStyle w:val="BookText"/>
      </w:pPr>
      <w:r>
        <w:rPr>
          <w:rFonts w:ascii="IRNazanin" w:hAnsi="IRNazanin" w:eastAsia="IRNazanin" w:cs="IRNazanin"/>
          <w:lang w:bidi="fa-IR"/>
          <w:color w:val="111111"/>
          <w:sz w:val="28"/>
          <w:szCs w:val="28"/>
          <w:rtl/>
        </w:rPr>
        <w:t xml:space="preserve">ص 446 .</w:t>
      </w:r>
    </w:p>
    <w:p>
      <w:pPr>
        <w:pStyle w:val="BookText"/>
      </w:pPr>
      <w:r>
        <w:rPr>
          <w:rFonts w:ascii="Amiri" w:hAnsi="Amiri" w:eastAsia="Amiri" w:cs="Amiri"/>
          <w:lang w:bidi="ar-SA"/>
          <w:color w:val="111111"/>
          <w:sz w:val="28"/>
          <w:szCs w:val="28"/>
          <w:rtl/>
        </w:rPr>
        <w:t xml:space="preserve">32 .مسائل النكاح، ج 14، ص 494.</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مشيخة التهذيب والاستبصار</w:t>
      </w:r>
    </w:p>
    <w:p>
      <w:pPr>
        <w:pStyle w:val="BookText"/>
      </w:pPr>
      <w:r>
        <w:rPr>
          <w:rFonts w:ascii="IRNazanin" w:hAnsi="IRNazanin" w:eastAsia="IRNazanin" w:cs="IRNazanin"/>
          <w:lang w:bidi="fa-IR"/>
          <w:color w:val="111111"/>
          <w:sz w:val="28"/>
          <w:szCs w:val="28"/>
          <w:rtl/>
        </w:rPr>
        <w:t xml:space="preserve">ج 14، ص 653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مشيخة تهذيب الاحكام، ج 14،</w:t>
      </w:r>
    </w:p>
    <w:p>
      <w:pPr>
        <w:pStyle w:val="BookText"/>
      </w:pPr>
      <w:r>
        <w:rPr>
          <w:rFonts w:ascii="IRNazanin" w:hAnsi="IRNazanin" w:eastAsia="IRNazanin" w:cs="IRNazanin"/>
          <w:lang w:bidi="fa-IR"/>
          <w:color w:val="111111"/>
          <w:sz w:val="28"/>
          <w:szCs w:val="28"/>
          <w:rtl/>
        </w:rPr>
        <w:t xml:space="preserve">ص 653 .</w:t>
      </w:r>
    </w:p>
    <w:p>
      <w:pPr>
        <w:pStyle w:val="BookText"/>
      </w:pPr>
      <w:r>
        <w:rPr>
          <w:rFonts w:ascii="Amiri" w:hAnsi="Amiri" w:eastAsia="Amiri" w:cs="Amiri"/>
          <w:lang w:bidi="ar-SA"/>
          <w:color w:val="111111"/>
          <w:sz w:val="28"/>
          <w:szCs w:val="28"/>
          <w:rtl/>
        </w:rPr>
        <w:t xml:space="preserve">35 .مصباح التمهيد (مختصر)، ج 14،</w:t>
      </w:r>
    </w:p>
    <w:p>
      <w:pPr>
        <w:pStyle w:val="BookText"/>
      </w:pPr>
      <w:r>
        <w:rPr>
          <w:rFonts w:ascii="IRNazanin" w:hAnsi="IRNazanin" w:eastAsia="IRNazanin" w:cs="IRNazanin"/>
          <w:lang w:bidi="fa-IR"/>
          <w:color w:val="111111"/>
          <w:sz w:val="28"/>
          <w:szCs w:val="28"/>
          <w:rtl/>
        </w:rPr>
        <w:t xml:space="preserve">ص 703.</w:t>
      </w:r>
    </w:p>
    <w:p>
      <w:pPr>
        <w:pStyle w:val="BookText"/>
      </w:pPr>
      <w:r>
        <w:rPr>
          <w:rFonts w:ascii="Amiri" w:hAnsi="Amiri" w:eastAsia="Amiri" w:cs="Amiri"/>
          <w:lang w:bidi="ar-SA"/>
          <w:color w:val="111111"/>
          <w:sz w:val="28"/>
          <w:szCs w:val="28"/>
          <w:rtl/>
        </w:rPr>
        <w:t xml:space="preserve">36 .مصباح المتهجد و سلاح المتعبد = مصباح كبير، ج 14، ص 733.</w:t>
      </w:r>
    </w:p>
    <w:p>
      <w:pPr>
        <w:pStyle w:val="BookText"/>
      </w:pPr>
      <w:r>
        <w:rPr>
          <w:rFonts w:ascii="Amiri" w:hAnsi="Amiri" w:eastAsia="Amiri" w:cs="Amiri"/>
          <w:lang w:bidi="ar-SA"/>
          <w:color w:val="111111"/>
          <w:sz w:val="28"/>
          <w:szCs w:val="28"/>
          <w:rtl/>
        </w:rPr>
        <w:t xml:space="preserve">37 .المفصح في الإمامة، ج 15، ص 251.</w:t>
      </w:r>
    </w:p>
    <w:p>
      <w:pPr>
        <w:pStyle w:val="BookText"/>
      </w:pPr>
      <w:r>
        <w:rPr>
          <w:rFonts w:ascii="Amiri" w:hAnsi="Amiri" w:eastAsia="Amiri" w:cs="Amiri"/>
          <w:lang w:bidi="ar-SA"/>
          <w:color w:val="111111"/>
          <w:sz w:val="28"/>
          <w:szCs w:val="28"/>
          <w:rtl/>
        </w:rPr>
        <w:t xml:space="preserve">38 .المقاصد العليا، ج 15، ص 271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المقدمة في المدخل إلى صناعة علم</w:t>
      </w:r>
    </w:p>
    <w:p>
      <w:pPr>
        <w:pStyle w:val="BookText"/>
      </w:pPr>
      <w:r>
        <w:rPr>
          <w:rFonts w:ascii="Amiri" w:hAnsi="Amiri" w:eastAsia="Amiri" w:cs="Amiri"/>
          <w:lang w:bidi="ar-SA"/>
          <w:color w:val="111111"/>
          <w:sz w:val="28"/>
          <w:szCs w:val="28"/>
          <w:rtl/>
        </w:rPr>
        <w:t xml:space="preserve">الكلام - مقدمة الكلام، ج 15</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Amiri" w:hAnsi="Amiri" w:eastAsia="Amiri" w:cs="Amiri"/>
          <w:lang w:bidi="ar-SA"/>
          <w:color w:val="111111"/>
          <w:sz w:val="28"/>
          <w:szCs w:val="28"/>
          <w:rtl/>
        </w:rPr>
        <w:t xml:space="preserve">40 .النهاية في مجرد الفقه و الفتاوى</w:t>
      </w:r>
    </w:p>
    <w:p>
      <w:pPr>
        <w:pStyle w:val="BookText"/>
      </w:pPr>
      <w:r>
        <w:rPr>
          <w:rFonts w:ascii="IRNazanin" w:hAnsi="IRNazanin" w:eastAsia="IRNazanin" w:cs="IRNazanin"/>
          <w:lang w:bidi="fa-IR"/>
          <w:color w:val="111111"/>
          <w:sz w:val="28"/>
          <w:szCs w:val="28"/>
          <w:rtl/>
        </w:rPr>
        <w:t xml:space="preserve">ج 16، ص 504.</w:t>
      </w:r>
    </w:p>
    <w:p>
      <w:pPr>
        <w:pStyle w:val="Heading2"/>
      </w:pPr>
      <w:bookmarkStart w:id="5298" w:name="_Toc4400"/>
      <w:r>
        <w:t>شیخ عثمان</w:t>
      </w:r>
      <w:bookmarkEnd w:id="5298"/>
    </w:p>
    <w:p>
      <w:pPr>
        <w:pStyle w:val="BookText"/>
      </w:pPr>
      <w:r>
        <w:rPr>
          <w:rFonts w:ascii="Amiri" w:hAnsi="Amiri" w:eastAsia="Amiri" w:cs="Amiri"/>
          <w:lang w:bidi="ar-SA"/>
          <w:color w:val="111111"/>
          <w:sz w:val="28"/>
          <w:szCs w:val="28"/>
          <w:rtl/>
        </w:rPr>
        <w:t xml:space="preserve">المسائل الكلامية، ج 14، ص 481.</w:t>
      </w:r>
    </w:p>
    <w:p>
      <w:pPr>
        <w:pStyle w:val="Heading2"/>
      </w:pPr>
      <w:bookmarkStart w:id="5299" w:name="_Toc4401"/>
      <w:r>
        <w:t>شيخ علي زين الدين</w:t>
      </w:r>
      <w:bookmarkEnd w:id="5299"/>
    </w:p>
    <w:p>
      <w:pPr>
        <w:pStyle w:val="BookText"/>
      </w:pPr>
      <w:r>
        <w:rPr>
          <w:rFonts w:ascii="Amiri" w:hAnsi="Amiri" w:eastAsia="Amiri" w:cs="Amiri"/>
          <w:lang w:bidi="ar-SA"/>
          <w:color w:val="111111"/>
          <w:sz w:val="28"/>
          <w:szCs w:val="28"/>
          <w:rtl/>
        </w:rPr>
        <w:t xml:space="preserve">القصيدة الحلوانية وشرحها، ج 12،</w:t>
      </w:r>
    </w:p>
    <w:p>
      <w:pPr>
        <w:pStyle w:val="BookText"/>
      </w:pPr>
      <w:r>
        <w:rPr>
          <w:rFonts w:ascii="IRNazanin" w:hAnsi="IRNazanin" w:eastAsia="IRNazanin" w:cs="IRNazanin"/>
          <w:lang w:bidi="fa-IR"/>
          <w:color w:val="111111"/>
          <w:sz w:val="28"/>
          <w:szCs w:val="28"/>
          <w:rtl/>
        </w:rPr>
        <w:t xml:space="preserve">ص 666.</w:t>
      </w:r>
    </w:p>
    <w:p>
      <w:pPr>
        <w:pStyle w:val="Heading2"/>
      </w:pPr>
      <w:bookmarkStart w:id="5300" w:name="_Toc4402"/>
      <w:r>
        <w:t>شيخ عيادة</w:t>
      </w:r>
      <w:bookmarkEnd w:id="5300"/>
    </w:p>
    <w:p>
      <w:pPr>
        <w:pStyle w:val="BookText"/>
      </w:pPr>
      <w:r>
        <w:rPr>
          <w:rFonts w:ascii="Amiri" w:hAnsi="Amiri" w:eastAsia="Amiri" w:cs="Amiri"/>
          <w:lang w:bidi="ar-SA"/>
          <w:color w:val="111111"/>
          <w:sz w:val="28"/>
          <w:szCs w:val="28"/>
          <w:rtl/>
        </w:rPr>
        <w:t xml:space="preserve">حاشية على رسالة ابراهيم الباجوري</w:t>
      </w:r>
    </w:p>
    <w:p>
      <w:pPr>
        <w:pStyle w:val="BookText"/>
      </w:pPr>
      <w:r>
        <w:rPr>
          <w:rFonts w:ascii="Amiri" w:hAnsi="Amiri" w:eastAsia="Amiri" w:cs="Amiri"/>
          <w:lang w:bidi="ar-SA"/>
          <w:color w:val="111111"/>
          <w:sz w:val="28"/>
          <w:szCs w:val="28"/>
          <w:rtl/>
        </w:rPr>
        <w:t xml:space="preserve">في علم التوحيد، ج 6، ص 241.</w:t>
      </w:r>
    </w:p>
    <w:p>
      <w:pPr>
        <w:pStyle w:val="BookText"/>
      </w:pPr>
      <w:r>
        <w:rPr>
          <w:rFonts w:ascii="IRNazanin" w:hAnsi="IRNazanin" w:eastAsia="IRNazanin" w:cs="IRNazanin"/>
          <w:lang w:bidi="fa-IR"/>
          <w:color w:val="111111"/>
          <w:sz w:val="28"/>
          <w:szCs w:val="28"/>
          <w:rtl/>
        </w:rPr>
        <w:t xml:space="preserve">شيخ كبير -خفيف شيرازي ، محمّد بن خفیف</w:t>
      </w:r>
    </w:p>
    <w:p>
      <w:pPr>
        <w:pStyle w:val="Heading2"/>
      </w:pPr>
      <w:bookmarkStart w:id="5301" w:name="_Toc4403"/>
      <w:r>
        <w:t>شيخلماريني، عبد القادر بن محمّد -</w:t>
      </w:r>
      <w:bookmarkEnd w:id="5301"/>
    </w:p>
    <w:p>
      <w:pPr>
        <w:pStyle w:val="BookText"/>
      </w:pPr>
      <w:r>
        <w:rPr>
          <w:rFonts w:ascii="IRNazanin" w:hAnsi="IRNazanin" w:eastAsia="IRNazanin" w:cs="IRNazanin"/>
          <w:lang w:bidi="fa-IR"/>
          <w:color w:val="111111"/>
          <w:sz w:val="28"/>
          <w:szCs w:val="28"/>
          <w:rtl/>
        </w:rPr>
        <w:t xml:space="preserve">1307ه-</w:t>
      </w:r>
    </w:p>
    <w:p>
      <w:pPr>
        <w:pStyle w:val="BookText"/>
      </w:pPr>
      <w:r>
        <w:rPr>
          <w:rFonts w:ascii="Amiri" w:hAnsi="Amiri" w:eastAsia="Amiri" w:cs="Amiri"/>
          <w:lang w:bidi="ar-SA"/>
          <w:color w:val="111111"/>
          <w:sz w:val="28"/>
          <w:szCs w:val="28"/>
          <w:rtl/>
        </w:rPr>
        <w:t xml:space="preserve">خلاصة الصلوات، ج 7، ص 115.</w:t>
      </w:r>
    </w:p>
    <w:p>
      <w:pPr>
        <w:pStyle w:val="Heading2"/>
      </w:pPr>
      <w:bookmarkStart w:id="5302" w:name="_Toc4404"/>
      <w:r>
        <w:t>شیخ محمّد عز</w:t>
      </w:r>
      <w:bookmarkEnd w:id="5302"/>
    </w:p>
    <w:p>
      <w:pPr>
        <w:pStyle w:val="BookText"/>
      </w:pPr>
      <w:r>
        <w:rPr>
          <w:rFonts w:ascii="Amiri" w:hAnsi="Amiri" w:eastAsia="Amiri" w:cs="Amiri"/>
          <w:lang w:bidi="ar-SA"/>
          <w:color w:val="111111"/>
          <w:sz w:val="28"/>
          <w:szCs w:val="28"/>
          <w:rtl/>
        </w:rPr>
        <w:t xml:space="preserve">تفسير القرآن الكريم، ج 4، ص 669 .</w:t>
      </w:r>
    </w:p>
    <w:p>
      <w:pPr>
        <w:pStyle w:val="Heading2"/>
      </w:pPr>
      <w:bookmarkStart w:id="5303" w:name="_Toc4405"/>
      <w:r>
        <w:t>شیخ محمّد غانم</w:t>
      </w:r>
      <w:bookmarkEnd w:id="5303"/>
    </w:p>
    <w:p>
      <w:pPr>
        <w:pStyle w:val="BookText"/>
      </w:pPr>
      <w:r>
        <w:rPr>
          <w:rFonts w:ascii="Amiri" w:hAnsi="Amiri" w:eastAsia="Amiri" w:cs="Amiri"/>
          <w:lang w:bidi="ar-SA"/>
          <w:color w:val="111111"/>
          <w:sz w:val="28"/>
          <w:szCs w:val="28"/>
          <w:rtl/>
        </w:rPr>
        <w:t xml:space="preserve">تعريض البينات، ج 4، ص 466.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49" w:name="pg7742_70639"/>
    <w:bookmarkEnd w:id="649"/>
    <w:p>
      <w:pPr>
        <w:pStyle w:val="Heading2"/>
      </w:pPr>
      <w:bookmarkStart w:id="5304" w:name="_Toc4406"/>
      <w:r>
        <w:t>شیخ محمّد یونس قرن 13 ه-</w:t>
      </w:r>
      <w:bookmarkEnd w:id="5304"/>
    </w:p>
    <w:p>
      <w:pPr>
        <w:pStyle w:val="BookText"/>
      </w:pPr>
      <w:r>
        <w:rPr>
          <w:rFonts w:ascii="Amiri" w:hAnsi="Amiri" w:eastAsia="Amiri" w:cs="Amiri"/>
          <w:lang w:bidi="ar-SA"/>
          <w:color w:val="111111"/>
          <w:sz w:val="28"/>
          <w:szCs w:val="28"/>
          <w:rtl/>
        </w:rPr>
        <w:t xml:space="preserve">1 .العروة الوثقى، ج 11، ص 85.</w:t>
      </w:r>
    </w:p>
    <w:p>
      <w:pPr>
        <w:pStyle w:val="BookText"/>
      </w:pPr>
      <w:r>
        <w:rPr>
          <w:rFonts w:ascii="Amiri" w:hAnsi="Amiri" w:eastAsia="Amiri" w:cs="Amiri"/>
          <w:lang w:bidi="ar-SA"/>
          <w:color w:val="111111"/>
          <w:sz w:val="28"/>
          <w:szCs w:val="28"/>
          <w:rtl/>
        </w:rPr>
        <w:t xml:space="preserve">2.فلك النجاة، ج 12، ص 134.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مناظرات المجتهدين، ج 15 ، ص 512.</w:t>
      </w:r>
    </w:p>
    <w:p>
      <w:pPr>
        <w:pStyle w:val="BookText"/>
      </w:pPr>
      <w:r>
        <w:rPr>
          <w:rFonts w:ascii="IRNazanin" w:hAnsi="IRNazanin" w:eastAsia="IRNazanin" w:cs="IRNazanin"/>
          <w:lang w:bidi="fa-IR"/>
          <w:color w:val="111111"/>
          <w:sz w:val="28"/>
          <w:szCs w:val="28"/>
          <w:rtl/>
        </w:rPr>
        <w:t xml:space="preserve">شیخ مشیخ ، جعفر الصادق -باعبود</w:t>
      </w:r>
    </w:p>
    <w:p>
      <w:pPr>
        <w:pStyle w:val="BookText"/>
      </w:pPr>
      <w:r>
        <w:rPr>
          <w:rFonts w:ascii="Amiri" w:hAnsi="Amiri" w:eastAsia="Amiri" w:cs="Amiri"/>
          <w:lang w:bidi="ar-SA"/>
          <w:color w:val="111111"/>
          <w:sz w:val="28"/>
          <w:szCs w:val="28"/>
          <w:rtl/>
        </w:rPr>
        <w:t xml:space="preserve">علوي ، جعفر بن صادق</w:t>
      </w:r>
    </w:p>
    <w:p>
      <w:pPr>
        <w:pStyle w:val="BookText"/>
      </w:pPr>
      <w:r>
        <w:rPr>
          <w:rFonts w:ascii="Amiri" w:hAnsi="Amiri" w:eastAsia="Amiri" w:cs="Amiri"/>
          <w:lang w:bidi="ar-SA"/>
          <w:color w:val="111111"/>
          <w:sz w:val="28"/>
          <w:szCs w:val="28"/>
          <w:rtl/>
        </w:rPr>
        <w:t xml:space="preserve">شيخ مغربي -شيرين مغربي ، محمّد بن</w:t>
      </w:r>
    </w:p>
    <w:p>
      <w:pPr>
        <w:pStyle w:val="BookText"/>
      </w:pPr>
      <w:r>
        <w:rPr>
          <w:rFonts w:ascii="IRNazanin" w:hAnsi="IRNazanin" w:eastAsia="IRNazanin" w:cs="IRNazanin"/>
          <w:lang w:bidi="fa-IR"/>
          <w:color w:val="111111"/>
          <w:sz w:val="28"/>
          <w:szCs w:val="28"/>
          <w:rtl/>
        </w:rPr>
        <w:t xml:space="preserve">عزالدین</w:t>
      </w:r>
    </w:p>
    <w:p>
      <w:pPr>
        <w:pStyle w:val="BookText"/>
      </w:pPr>
      <w:r>
        <w:rPr>
          <w:rFonts w:ascii="Amiri" w:hAnsi="Amiri" w:eastAsia="Amiri" w:cs="Amiri"/>
          <w:lang w:bidi="ar-SA"/>
          <w:color w:val="111111"/>
          <w:sz w:val="28"/>
          <w:szCs w:val="28"/>
          <w:rtl/>
        </w:rPr>
        <w:t xml:space="preserve">شيخ مفيد- دارابي ، شاه محمّد بن محمّد</w:t>
      </w:r>
    </w:p>
    <w:p>
      <w:pPr>
        <w:pStyle w:val="BookText"/>
      </w:pPr>
      <w:r>
        <w:rPr>
          <w:rFonts w:ascii="Amiri" w:hAnsi="Amiri" w:eastAsia="Amiri" w:cs="Amiri"/>
          <w:lang w:bidi="ar-SA"/>
          <w:color w:val="111111"/>
          <w:sz w:val="28"/>
          <w:szCs w:val="28"/>
          <w:rtl/>
        </w:rPr>
        <w:t xml:space="preserve">شيخ مفيد- مفيد ، محمّد بن محمّد</w:t>
      </w:r>
    </w:p>
    <w:p>
      <w:pPr>
        <w:pStyle w:val="BookText"/>
      </w:pPr>
      <w:r>
        <w:rPr>
          <w:rFonts w:ascii="Amiri" w:hAnsi="Amiri" w:eastAsia="Amiri" w:cs="Amiri"/>
          <w:lang w:bidi="ar-SA"/>
          <w:color w:val="111111"/>
          <w:sz w:val="28"/>
          <w:szCs w:val="28"/>
          <w:rtl/>
        </w:rPr>
        <w:t xml:space="preserve">شيخ مقتول - سهروردي ، يحيى بن حبش</w:t>
      </w:r>
    </w:p>
    <w:p>
      <w:pPr>
        <w:pStyle w:val="Heading2"/>
      </w:pPr>
      <w:bookmarkStart w:id="5305" w:name="_Toc4407"/>
      <w:r>
        <w:t>شيخ وفا ، مصطفى بن احمد - 896 ه-</w:t>
      </w:r>
      <w:bookmarkEnd w:id="5305"/>
    </w:p>
    <w:p>
      <w:pPr>
        <w:pStyle w:val="BookText"/>
      </w:pPr>
      <w:r>
        <w:rPr>
          <w:rFonts w:ascii="IRNazanin" w:hAnsi="IRNazanin" w:eastAsia="IRNazanin" w:cs="IRNazanin"/>
          <w:lang w:bidi="fa-IR"/>
          <w:color w:val="111111"/>
          <w:sz w:val="28"/>
          <w:szCs w:val="28"/>
          <w:rtl/>
        </w:rPr>
        <w:t xml:space="preserve">1 .روزنامة محمّدیه، ج8، ص392.</w:t>
      </w:r>
    </w:p>
    <w:p>
      <w:pPr>
        <w:pStyle w:val="BookText"/>
      </w:pPr>
      <w:r>
        <w:rPr>
          <w:rFonts w:ascii="IRNazanin" w:hAnsi="IRNazanin" w:eastAsia="IRNazanin" w:cs="IRNazanin"/>
          <w:lang w:bidi="fa-IR"/>
          <w:color w:val="111111"/>
          <w:sz w:val="28"/>
          <w:szCs w:val="28"/>
          <w:rtl/>
        </w:rPr>
        <w:t xml:space="preserve">2 .روزنامه روزنامچه، ج8، ص392.</w:t>
      </w:r>
    </w:p>
    <w:p>
      <w:pPr>
        <w:pStyle w:val="BookText"/>
      </w:pPr>
      <w:r>
        <w:rPr>
          <w:rFonts w:ascii="Amiri" w:hAnsi="Amiri" w:eastAsia="Amiri" w:cs="Amiri"/>
          <w:lang w:bidi="ar-SA"/>
          <w:color w:val="111111"/>
          <w:sz w:val="28"/>
          <w:szCs w:val="28"/>
          <w:rtl/>
        </w:rPr>
        <w:t xml:space="preserve">شيخي بهبهاني ، عبدالله بن محمّد -بهبهاني ، عبدالله بن محمّد</w:t>
      </w:r>
    </w:p>
    <w:p>
      <w:pPr>
        <w:pStyle w:val="Heading2"/>
      </w:pPr>
      <w:bookmarkStart w:id="5306" w:name="_Toc4408"/>
      <w:r>
        <w:t>شيخ يحيى</w:t>
      </w:r>
      <w:bookmarkEnd w:id="5306"/>
    </w:p>
    <w:p>
      <w:pPr>
        <w:pStyle w:val="BookText"/>
      </w:pPr>
      <w:r>
        <w:rPr>
          <w:rFonts w:ascii="Amiri" w:hAnsi="Amiri" w:eastAsia="Amiri" w:cs="Amiri"/>
          <w:lang w:bidi="ar-SA"/>
          <w:color w:val="111111"/>
          <w:sz w:val="28"/>
          <w:szCs w:val="28"/>
          <w:rtl/>
        </w:rPr>
        <w:t xml:space="preserve">شيذله بغدادي ، عزيزي بن عبدالملك</w:t>
      </w:r>
    </w:p>
    <w:p>
      <w:pPr>
        <w:pStyle w:val="BookText"/>
      </w:pPr>
      <w:r>
        <w:rPr>
          <w:rFonts w:ascii="IRNazanin" w:hAnsi="IRNazanin" w:eastAsia="IRNazanin" w:cs="IRNazanin"/>
          <w:lang w:bidi="fa-IR"/>
          <w:color w:val="111111"/>
          <w:sz w:val="28"/>
          <w:szCs w:val="28"/>
          <w:rtl/>
        </w:rPr>
        <w:t xml:space="preserve">494 ه-</w:t>
      </w:r>
    </w:p>
    <w:p>
      <w:pPr>
        <w:pStyle w:val="BookText"/>
      </w:pPr>
      <w:r>
        <w:rPr>
          <w:rFonts w:ascii="Amiri" w:hAnsi="Amiri" w:eastAsia="Amiri" w:cs="Amiri"/>
          <w:lang w:bidi="ar-SA"/>
          <w:color w:val="111111"/>
          <w:sz w:val="28"/>
          <w:szCs w:val="28"/>
          <w:rtl/>
        </w:rPr>
        <w:t xml:space="preserve">ارتاق السيادة، ج 1، ص 748</w:t>
      </w:r>
    </w:p>
    <w:p>
      <w:pPr>
        <w:pStyle w:val="Heading2"/>
      </w:pPr>
      <w:bookmarkStart w:id="5307" w:name="_Toc4409"/>
      <w:r>
        <w:t>شيخي زاده ، عبدالرحمن بن محمّد -</w:t>
      </w:r>
      <w:bookmarkEnd w:id="5307"/>
    </w:p>
    <w:p>
      <w:pPr>
        <w:pStyle w:val="BookText"/>
      </w:pPr>
      <w:r>
        <w:rPr>
          <w:rFonts w:ascii="IRNazanin" w:hAnsi="IRNazanin" w:eastAsia="IRNazanin" w:cs="IRNazanin"/>
          <w:lang w:bidi="fa-IR"/>
          <w:color w:val="111111"/>
          <w:sz w:val="28"/>
          <w:szCs w:val="28"/>
          <w:rtl/>
        </w:rPr>
        <w:t xml:space="preserve">1078 ه-</w:t>
      </w:r>
    </w:p>
    <w:p>
      <w:pPr>
        <w:pStyle w:val="BookText"/>
      </w:pPr>
      <w:r>
        <w:rPr>
          <w:rFonts w:ascii="Amiri" w:hAnsi="Amiri" w:eastAsia="Amiri" w:cs="Amiri"/>
          <w:lang w:bidi="ar-SA"/>
          <w:color w:val="111111"/>
          <w:sz w:val="28"/>
          <w:szCs w:val="28"/>
          <w:rtl/>
        </w:rPr>
        <w:t xml:space="preserve">مجمع الانهر في شرح ملتقى، ج13،</w:t>
      </w:r>
    </w:p>
    <w:p>
      <w:pPr>
        <w:pStyle w:val="BookText"/>
      </w:pPr>
      <w:r>
        <w:rPr>
          <w:rFonts w:ascii="IRNazanin" w:hAnsi="IRNazanin" w:eastAsia="IRNazanin" w:cs="IRNazanin"/>
          <w:lang w:bidi="fa-IR"/>
          <w:color w:val="111111"/>
          <w:sz w:val="28"/>
          <w:szCs w:val="28"/>
          <w:rtl/>
        </w:rPr>
        <w:t xml:space="preserve">ص 828</w:t>
      </w:r>
    </w:p>
    <w:p>
      <w:pPr>
        <w:pStyle w:val="BookText"/>
      </w:pPr>
      <w:r>
        <w:rPr>
          <w:rFonts w:ascii="Amiri" w:hAnsi="Amiri" w:eastAsia="Amiri" w:cs="Amiri"/>
          <w:lang w:bidi="ar-SA"/>
          <w:color w:val="111111"/>
          <w:sz w:val="28"/>
          <w:szCs w:val="28"/>
          <w:rtl/>
        </w:rPr>
        <w:t xml:space="preserve">شيخي ، عبد المجيد بن محرم- سيواسي</w:t>
      </w:r>
    </w:p>
    <w:p>
      <w:pPr>
        <w:pStyle w:val="BookText"/>
      </w:pPr>
      <w:r>
        <w:rPr>
          <w:rFonts w:ascii="Amiri" w:hAnsi="Amiri" w:eastAsia="Amiri" w:cs="Amiri"/>
          <w:lang w:bidi="ar-SA"/>
          <w:color w:val="111111"/>
          <w:sz w:val="28"/>
          <w:szCs w:val="28"/>
          <w:rtl/>
        </w:rPr>
        <w:t xml:space="preserve">عبد المجيد بن محرم</w:t>
      </w:r>
    </w:p>
    <w:p>
      <w:pPr>
        <w:pStyle w:val="Heading2"/>
      </w:pPr>
      <w:bookmarkStart w:id="5308" w:name="_Toc4410"/>
      <w:r>
        <w:t>شيخي ، كريم بن ابراهيم</w:t>
      </w:r>
      <w:bookmarkEnd w:id="5308"/>
    </w:p>
    <w:p>
      <w:pPr>
        <w:pStyle w:val="BookText"/>
      </w:pPr>
      <w:r>
        <w:rPr>
          <w:rFonts w:ascii="Amiri" w:hAnsi="Amiri" w:eastAsia="Amiri" w:cs="Amiri"/>
          <w:lang w:bidi="ar-SA"/>
          <w:color w:val="111111"/>
          <w:sz w:val="28"/>
          <w:szCs w:val="28"/>
          <w:rtl/>
        </w:rPr>
        <w:t xml:space="preserve">رجم الشياطين وطرد الأبالسة</w:t>
      </w:r>
    </w:p>
    <w:p>
      <w:pPr>
        <w:pStyle w:val="BookText"/>
      </w:pPr>
      <w:r>
        <w:rPr>
          <w:rFonts w:ascii="Amiri" w:hAnsi="Amiri" w:eastAsia="Amiri" w:cs="Amiri"/>
          <w:lang w:bidi="ar-SA"/>
          <w:color w:val="111111"/>
          <w:sz w:val="28"/>
          <w:szCs w:val="28"/>
          <w:rtl/>
        </w:rPr>
        <w:t xml:space="preserve">النورانية، ج8، ص 62 .</w:t>
      </w:r>
    </w:p>
    <w:p>
      <w:pPr>
        <w:pStyle w:val="BookText"/>
      </w:pPr>
      <w:r>
        <w:rPr>
          <w:rFonts w:ascii="Amiri" w:hAnsi="Amiri" w:eastAsia="Amiri" w:cs="Amiri"/>
          <w:lang w:bidi="ar-SA"/>
          <w:color w:val="111111"/>
          <w:sz w:val="28"/>
          <w:szCs w:val="28"/>
          <w:rtl/>
        </w:rPr>
        <w:t xml:space="preserve">شيخي همداني ، محمّد باقر بن محمّد</w:t>
      </w:r>
    </w:p>
    <w:p>
      <w:pPr>
        <w:pStyle w:val="BookText"/>
      </w:pPr>
      <w:r>
        <w:rPr>
          <w:rFonts w:ascii="Amiri" w:hAnsi="Amiri" w:eastAsia="Amiri" w:cs="Amiri"/>
          <w:lang w:bidi="ar-SA"/>
          <w:color w:val="111111"/>
          <w:sz w:val="28"/>
          <w:szCs w:val="28"/>
          <w:rtl/>
        </w:rPr>
        <w:t xml:space="preserve">جعفر- همداني شيخي ، محمّد باقر بن</w:t>
      </w:r>
    </w:p>
    <w:p>
      <w:pPr>
        <w:pStyle w:val="BookText"/>
      </w:pPr>
      <w:r>
        <w:rPr>
          <w:rFonts w:ascii="Amiri" w:hAnsi="Amiri" w:eastAsia="Amiri" w:cs="Amiri"/>
          <w:lang w:bidi="ar-SA"/>
          <w:color w:val="111111"/>
          <w:sz w:val="28"/>
          <w:szCs w:val="28"/>
          <w:rtl/>
        </w:rPr>
        <w:t xml:space="preserve">محمّد جعفر</w:t>
      </w:r>
    </w:p>
    <w:p>
      <w:pPr>
        <w:pStyle w:val="Heading2"/>
      </w:pPr>
      <w:bookmarkStart w:id="5309" w:name="_Toc4411"/>
      <w:r>
        <w:t>شیخ یوسف</w:t>
      </w:r>
      <w:bookmarkEnd w:id="5309"/>
    </w:p>
    <w:p>
      <w:pPr>
        <w:pStyle w:val="BookText"/>
      </w:pPr>
      <w:r>
        <w:rPr>
          <w:rFonts w:ascii="Amiri" w:hAnsi="Amiri" w:eastAsia="Amiri" w:cs="Amiri"/>
          <w:lang w:bidi="ar-SA"/>
          <w:color w:val="111111"/>
          <w:sz w:val="28"/>
          <w:szCs w:val="28"/>
          <w:rtl/>
        </w:rPr>
        <w:t xml:space="preserve">رثاء الامام علي (ع)، ج 8، ص 43.</w:t>
      </w:r>
    </w:p>
    <w:p>
      <w:pPr>
        <w:pStyle w:val="BookText"/>
      </w:pPr>
      <w:r>
        <w:rPr>
          <w:rFonts w:ascii="IRNazanin" w:hAnsi="IRNazanin" w:eastAsia="IRNazanin" w:cs="IRNazanin"/>
          <w:lang w:bidi="fa-IR"/>
          <w:color w:val="111111"/>
          <w:sz w:val="28"/>
          <w:szCs w:val="28"/>
          <w:rtl/>
        </w:rPr>
        <w:t xml:space="preserve">شيخي ، يوسف بن محمّد- حکیم سنان</w:t>
      </w:r>
    </w:p>
    <w:p>
      <w:pPr>
        <w:pStyle w:val="BookText"/>
      </w:pPr>
      <w:r>
        <w:rPr>
          <w:rFonts w:ascii="Amiri" w:hAnsi="Amiri" w:eastAsia="Amiri" w:cs="Amiri"/>
          <w:lang w:bidi="ar-SA"/>
          <w:color w:val="111111"/>
          <w:sz w:val="28"/>
          <w:szCs w:val="28"/>
          <w:rtl/>
        </w:rPr>
        <w:t xml:space="preserve">يوسف بن محمّد</w:t>
      </w:r>
    </w:p>
    <w:p>
      <w:pPr>
        <w:pStyle w:val="BookText"/>
      </w:pPr>
      <w:r>
        <w:rPr>
          <w:rFonts w:ascii="Amiri" w:hAnsi="Amiri" w:eastAsia="Amiri" w:cs="Amiri"/>
          <w:lang w:bidi="ar-SA"/>
          <w:color w:val="111111"/>
          <w:sz w:val="28"/>
          <w:szCs w:val="28"/>
          <w:rtl/>
        </w:rPr>
        <w:t xml:space="preserve">شيدله ، عزيزي بن عبدالملك -شيذله</w:t>
      </w:r>
    </w:p>
    <w:p>
      <w:pPr>
        <w:pStyle w:val="BookText"/>
      </w:pPr>
      <w:r>
        <w:rPr>
          <w:rFonts w:ascii="Amiri" w:hAnsi="Amiri" w:eastAsia="Amiri" w:cs="Amiri"/>
          <w:lang w:bidi="ar-SA"/>
          <w:color w:val="111111"/>
          <w:sz w:val="28"/>
          <w:szCs w:val="28"/>
          <w:rtl/>
        </w:rPr>
        <w:t xml:space="preserve">بغدادي ، عزيزي بن عبدالملك</w:t>
      </w:r>
    </w:p>
    <w:p>
      <w:pPr>
        <w:pStyle w:val="BookText"/>
      </w:pPr>
      <w:r>
        <w:rPr>
          <w:rFonts w:ascii="Amiri" w:hAnsi="Amiri" w:eastAsia="Amiri" w:cs="Amiri"/>
          <w:lang w:bidi="ar-SA"/>
          <w:color w:val="111111"/>
          <w:sz w:val="28"/>
          <w:szCs w:val="28"/>
          <w:rtl/>
        </w:rPr>
        <w:t xml:space="preserve">شيذله ، عزيز بن عبد الملك- شيذله</w:t>
      </w:r>
    </w:p>
    <w:p>
      <w:pPr>
        <w:pStyle w:val="BookText"/>
      </w:pPr>
      <w:r>
        <w:rPr>
          <w:rFonts w:ascii="Amiri" w:hAnsi="Amiri" w:eastAsia="Amiri" w:cs="Amiri"/>
          <w:lang w:bidi="ar-SA"/>
          <w:color w:val="111111"/>
          <w:sz w:val="28"/>
          <w:szCs w:val="28"/>
          <w:rtl/>
        </w:rPr>
        <w:t xml:space="preserve">بغدادي ، عزيزي بن عبدالملك</w:t>
      </w:r>
    </w:p>
    <w:p>
      <w:pPr>
        <w:pStyle w:val="Heading2"/>
      </w:pPr>
      <w:bookmarkStart w:id="5310" w:name="_Toc4412"/>
      <w:r>
        <w:t>شيذله بغدادي ، عزيزي بن عبدالملك</w:t>
      </w:r>
      <w:bookmarkEnd w:id="5310"/>
    </w:p>
    <w:p>
      <w:pPr>
        <w:pStyle w:val="BookText"/>
      </w:pPr>
      <w:r>
        <w:rPr>
          <w:rFonts w:ascii="IRNazanin" w:hAnsi="IRNazanin" w:eastAsia="IRNazanin" w:cs="IRNazanin"/>
          <w:lang w:bidi="fa-IR"/>
          <w:color w:val="111111"/>
          <w:sz w:val="28"/>
          <w:szCs w:val="28"/>
          <w:rtl/>
        </w:rPr>
        <w:t xml:space="preserve">لوامع انوار القلوب و جوامع اسرار</w:t>
      </w:r>
    </w:p>
    <w:p>
      <w:pPr>
        <w:pStyle w:val="BookText"/>
      </w:pPr>
      <w:r>
        <w:rPr>
          <w:rFonts w:ascii="IRNazanin" w:hAnsi="IRNazanin" w:eastAsia="IRNazanin" w:cs="IRNazanin"/>
          <w:lang w:bidi="fa-IR"/>
          <w:color w:val="111111"/>
          <w:sz w:val="28"/>
          <w:szCs w:val="28"/>
          <w:rtl/>
        </w:rPr>
        <w:t xml:space="preserve">المحب والمحبوب، ج13، ص 649.</w:t>
      </w:r>
    </w:p>
    <w:p>
      <w:pPr>
        <w:pStyle w:val="Heading2"/>
      </w:pPr>
      <w:bookmarkStart w:id="5311" w:name="_Toc4413"/>
      <w:r>
        <w:t>شيرازي</w:t>
      </w:r>
      <w:bookmarkEnd w:id="5311"/>
    </w:p>
    <w:p>
      <w:pPr>
        <w:pStyle w:val="BookText"/>
      </w:pPr>
      <w:r>
        <w:rPr>
          <w:rFonts w:ascii="IRNazanin" w:hAnsi="IRNazanin" w:eastAsia="IRNazanin" w:cs="IRNazanin"/>
          <w:lang w:bidi="fa-IR"/>
          <w:color w:val="111111"/>
          <w:sz w:val="28"/>
          <w:szCs w:val="28"/>
          <w:rtl/>
        </w:rPr>
        <w:t xml:space="preserve">دیوان شيرازي، ج 7، ص 678.</w:t>
      </w:r>
    </w:p>
    <w:p>
      <w:pPr>
        <w:pStyle w:val="BookText"/>
      </w:pPr>
      <w:r>
        <w:rPr>
          <w:rFonts w:ascii="Amiri" w:hAnsi="Amiri" w:eastAsia="Amiri" w:cs="Amiri"/>
          <w:lang w:bidi="ar-SA"/>
          <w:color w:val="111111"/>
          <w:sz w:val="28"/>
          <w:szCs w:val="28"/>
          <w:rtl/>
        </w:rPr>
        <w:t xml:space="preserve">شيرازي، ابراهيم بن علي- ابواسحاق</w:t>
      </w:r>
    </w:p>
    <w:p>
      <w:pPr>
        <w:pStyle w:val="BookText"/>
      </w:pPr>
      <w:r>
        <w:rPr>
          <w:rFonts w:ascii="Amiri" w:hAnsi="Amiri" w:eastAsia="Amiri" w:cs="Amiri"/>
          <w:lang w:bidi="ar-SA"/>
          <w:color w:val="111111"/>
          <w:sz w:val="28"/>
          <w:szCs w:val="28"/>
          <w:rtl/>
        </w:rPr>
        <w:t xml:space="preserve">شيرازي، ابراهيم بن علي</w:t>
      </w:r>
    </w:p>
    <w:p>
      <w:pPr>
        <w:pStyle w:val="BookText"/>
      </w:pPr>
      <w:r>
        <w:rPr>
          <w:rFonts w:ascii="Amiri" w:hAnsi="Amiri" w:eastAsia="Amiri" w:cs="Amiri"/>
          <w:lang w:bidi="ar-SA"/>
          <w:color w:val="111111"/>
          <w:sz w:val="28"/>
          <w:szCs w:val="28"/>
          <w:rtl/>
        </w:rPr>
        <w:t xml:space="preserve">شيرازي، ابراهيم بن محمّد- شيرازي</w:t>
      </w:r>
    </w:p>
    <w:p>
      <w:pPr>
        <w:pStyle w:val="BookText"/>
      </w:pPr>
      <w:r>
        <w:rPr>
          <w:rFonts w:ascii="Amiri" w:hAnsi="Amiri" w:eastAsia="Amiri" w:cs="Amiri"/>
          <w:lang w:bidi="ar-SA"/>
          <w:color w:val="111111"/>
          <w:sz w:val="28"/>
          <w:szCs w:val="28"/>
          <w:rtl/>
        </w:rPr>
        <w:t xml:space="preserve">محمّد ابراهيم بن ملاصدرا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50" w:name="pg7742_70640"/>
    <w:bookmarkEnd w:id="650"/>
    <w:p>
      <w:pPr>
        <w:pStyle w:val="BookText"/>
      </w:pPr>
      <w:r>
        <w:rPr>
          <w:rFonts w:ascii="Amiri" w:hAnsi="Amiri" w:eastAsia="Amiri" w:cs="Amiri"/>
          <w:lang w:bidi="ar-SA"/>
          <w:color w:val="111111"/>
          <w:sz w:val="28"/>
          <w:szCs w:val="28"/>
          <w:rtl/>
        </w:rPr>
        <w:t xml:space="preserve">شيرازي ، ابوالخير محمّد بن محمّد- ابن</w:t>
      </w:r>
    </w:p>
    <w:p>
      <w:pPr>
        <w:pStyle w:val="BookText"/>
      </w:pPr>
      <w:r>
        <w:rPr>
          <w:rFonts w:ascii="Amiri" w:hAnsi="Amiri" w:eastAsia="Amiri" w:cs="Amiri"/>
          <w:lang w:bidi="ar-SA"/>
          <w:color w:val="111111"/>
          <w:sz w:val="28"/>
          <w:szCs w:val="28"/>
          <w:rtl/>
        </w:rPr>
        <w:t xml:space="preserve">جزري، محمد بن محمّد</w:t>
      </w:r>
    </w:p>
    <w:p>
      <w:pPr>
        <w:pStyle w:val="BookText"/>
      </w:pPr>
      <w:r>
        <w:rPr>
          <w:rFonts w:ascii="Amiri" w:hAnsi="Amiri" w:eastAsia="Amiri" w:cs="Amiri"/>
          <w:lang w:bidi="ar-SA"/>
          <w:color w:val="111111"/>
          <w:sz w:val="28"/>
          <w:szCs w:val="28"/>
          <w:rtl/>
        </w:rPr>
        <w:t xml:space="preserve">شيرازي ، احمد بن ابراهيم- حسيني</w:t>
      </w:r>
    </w:p>
    <w:p>
      <w:pPr>
        <w:pStyle w:val="BookText"/>
      </w:pPr>
      <w:r>
        <w:rPr>
          <w:rFonts w:ascii="Amiri" w:hAnsi="Amiri" w:eastAsia="Amiri" w:cs="Amiri"/>
          <w:lang w:bidi="ar-SA"/>
          <w:color w:val="111111"/>
          <w:sz w:val="28"/>
          <w:szCs w:val="28"/>
          <w:rtl/>
        </w:rPr>
        <w:t xml:space="preserve">دشتكي ، احمد بن ابراهيم</w:t>
      </w:r>
    </w:p>
    <w:p>
      <w:pPr>
        <w:pStyle w:val="Heading2"/>
      </w:pPr>
      <w:bookmarkStart w:id="5312" w:name="_Toc4414"/>
      <w:r>
        <w:t>شيرازي ، احمد بن حيدر ، قرن 7 ه-</w:t>
      </w:r>
      <w:bookmarkEnd w:id="5312"/>
    </w:p>
    <w:p>
      <w:pPr>
        <w:pStyle w:val="BookText"/>
      </w:pPr>
      <w:r>
        <w:rPr>
          <w:rFonts w:ascii="IRNazanin" w:hAnsi="IRNazanin" w:eastAsia="IRNazanin" w:cs="IRNazanin"/>
          <w:lang w:bidi="fa-IR"/>
          <w:color w:val="111111"/>
          <w:sz w:val="28"/>
          <w:szCs w:val="28"/>
          <w:rtl/>
        </w:rPr>
        <w:t xml:space="preserve">1 .ارشاد در علم اسطرلاب = پنجاه</w:t>
      </w:r>
    </w:p>
    <w:p>
      <w:pPr>
        <w:pStyle w:val="BookText"/>
      </w:pPr>
      <w:r>
        <w:rPr>
          <w:rFonts w:ascii="IRNazanin" w:hAnsi="IRNazanin" w:eastAsia="IRNazanin" w:cs="IRNazanin"/>
          <w:lang w:bidi="fa-IR"/>
          <w:color w:val="111111"/>
          <w:sz w:val="28"/>
          <w:szCs w:val="28"/>
          <w:rtl/>
        </w:rPr>
        <w:t xml:space="preserve">باب در اسطرلاب، ج 2، ص18.</w:t>
      </w:r>
    </w:p>
    <w:p>
      <w:pPr>
        <w:pStyle w:val="BookText"/>
      </w:pPr>
      <w:r>
        <w:rPr>
          <w:rFonts w:ascii="Amiri" w:hAnsi="Amiri" w:eastAsia="Amiri" w:cs="Amiri"/>
          <w:lang w:bidi="ar-SA"/>
          <w:color w:val="111111"/>
          <w:sz w:val="28"/>
          <w:szCs w:val="28"/>
          <w:rtl/>
        </w:rPr>
        <w:t xml:space="preserve">2 .نهاية العقول و نهاية الاصول =</w:t>
      </w:r>
    </w:p>
    <w:p>
      <w:pPr>
        <w:pStyle w:val="BookText"/>
      </w:pPr>
      <w:r>
        <w:rPr>
          <w:rFonts w:ascii="IRNazanin" w:hAnsi="IRNazanin" w:eastAsia="IRNazanin" w:cs="IRNazanin"/>
          <w:lang w:bidi="fa-IR"/>
          <w:color w:val="111111"/>
          <w:sz w:val="28"/>
          <w:szCs w:val="28"/>
          <w:rtl/>
        </w:rPr>
        <w:t xml:space="preserve">محمود الرمل = رمل = إرشاد</w:t>
      </w:r>
    </w:p>
    <w:p>
      <w:pPr>
        <w:pStyle w:val="BookText"/>
      </w:pPr>
      <w:r>
        <w:rPr>
          <w:rFonts w:ascii="Amiri" w:hAnsi="Amiri" w:eastAsia="Amiri" w:cs="Amiri"/>
          <w:lang w:bidi="ar-SA"/>
          <w:color w:val="111111"/>
          <w:sz w:val="28"/>
          <w:szCs w:val="28"/>
          <w:rtl/>
        </w:rPr>
        <w:t xml:space="preserve">الرمل = تحفة الرمل = ناصر الرمل</w:t>
      </w:r>
    </w:p>
    <w:p>
      <w:pPr>
        <w:pStyle w:val="BookText"/>
      </w:pPr>
      <w:r>
        <w:rPr>
          <w:rFonts w:ascii="IRNazanin" w:hAnsi="IRNazanin" w:eastAsia="IRNazanin" w:cs="IRNazanin"/>
          <w:lang w:bidi="fa-IR"/>
          <w:color w:val="111111"/>
          <w:sz w:val="28"/>
          <w:szCs w:val="28"/>
          <w:rtl/>
        </w:rPr>
        <w:t xml:space="preserve">لباب الرمل، ج 16، ص 497.</w:t>
      </w:r>
    </w:p>
    <w:p>
      <w:pPr>
        <w:pStyle w:val="Heading2"/>
      </w:pPr>
      <w:bookmarkStart w:id="5313" w:name="_Toc4415"/>
      <w:r>
        <w:t>شيرازي ، احمد بن عبد الرحمن - 407 ه-</w:t>
      </w:r>
      <w:bookmarkEnd w:id="5313"/>
    </w:p>
    <w:p>
      <w:pPr>
        <w:pStyle w:val="BookText"/>
      </w:pPr>
      <w:r>
        <w:rPr>
          <w:rFonts w:ascii="Amiri" w:hAnsi="Amiri" w:eastAsia="Amiri" w:cs="Amiri"/>
          <w:lang w:bidi="ar-SA"/>
          <w:color w:val="111111"/>
          <w:sz w:val="28"/>
          <w:szCs w:val="28"/>
          <w:rtl/>
        </w:rPr>
        <w:t xml:space="preserve">الالقاب و الكني، ج 2، ص 694.</w:t>
      </w:r>
    </w:p>
    <w:p>
      <w:pPr>
        <w:pStyle w:val="BookText"/>
      </w:pPr>
      <w:r>
        <w:rPr>
          <w:rFonts w:ascii="Amiri" w:hAnsi="Amiri" w:eastAsia="Amiri" w:cs="Amiri"/>
          <w:lang w:bidi="ar-SA"/>
          <w:color w:val="111111"/>
          <w:sz w:val="28"/>
          <w:szCs w:val="28"/>
          <w:rtl/>
        </w:rPr>
        <w:t xml:space="preserve">شيرازي ، احمد بن محمّد -مرعشي ، احمد</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شيرازي تهراني ، محمّد تقي- ملك الاطباء ،</w:t>
      </w:r>
    </w:p>
    <w:p>
      <w:pPr>
        <w:pStyle w:val="BookText"/>
      </w:pPr>
      <w:r>
        <w:rPr>
          <w:rFonts w:ascii="Amiri" w:hAnsi="Amiri" w:eastAsia="Amiri" w:cs="Amiri"/>
          <w:lang w:bidi="ar-SA"/>
          <w:color w:val="111111"/>
          <w:sz w:val="28"/>
          <w:szCs w:val="28"/>
          <w:rtl/>
        </w:rPr>
        <w:t xml:space="preserve">محمّد تقي</w:t>
      </w:r>
    </w:p>
    <w:p>
      <w:pPr>
        <w:pStyle w:val="Heading2"/>
      </w:pPr>
      <w:bookmarkStart w:id="5314" w:name="_Toc4416"/>
      <w:r>
        <w:t>شيرازي ، جمال الدين بن فتح الله قرن</w:t>
      </w:r>
      <w:bookmarkEnd w:id="5314"/>
    </w:p>
    <w:p>
      <w:pPr>
        <w:pStyle w:val="BookText"/>
      </w:pPr>
      <w:r>
        <w:rPr>
          <w:rFonts w:ascii="IRNazanin" w:hAnsi="IRNazanin" w:eastAsia="IRNazanin" w:cs="IRNazanin"/>
          <w:lang w:bidi="fa-IR"/>
          <w:color w:val="111111"/>
          <w:sz w:val="28"/>
          <w:szCs w:val="28"/>
          <w:rtl/>
        </w:rPr>
        <w:t xml:space="preserve">11 ه-</w:t>
      </w:r>
    </w:p>
    <w:p>
      <w:pPr>
        <w:pStyle w:val="BookText"/>
      </w:pPr>
      <w:r>
        <w:rPr>
          <w:rFonts w:ascii="Amiri" w:hAnsi="Amiri" w:eastAsia="Amiri" w:cs="Amiri"/>
          <w:lang w:bidi="ar-SA"/>
          <w:color w:val="111111"/>
          <w:sz w:val="28"/>
          <w:szCs w:val="28"/>
          <w:rtl/>
        </w:rPr>
        <w:t xml:space="preserve">المصباح الكبير (ترجمه) = جنة الامان</w:t>
      </w:r>
    </w:p>
    <w:p>
      <w:pPr>
        <w:pStyle w:val="BookText"/>
      </w:pPr>
      <w:r>
        <w:rPr>
          <w:rFonts w:ascii="Amiri" w:hAnsi="Amiri" w:eastAsia="Amiri" w:cs="Amiri"/>
          <w:lang w:bidi="ar-SA"/>
          <w:color w:val="111111"/>
          <w:sz w:val="28"/>
          <w:szCs w:val="28"/>
          <w:rtl/>
        </w:rPr>
        <w:t xml:space="preserve">الواقية (ترجمه)، ج 14 ، ص 731.</w:t>
      </w:r>
    </w:p>
    <w:p>
      <w:pPr>
        <w:pStyle w:val="BookText"/>
      </w:pPr>
      <w:r>
        <w:rPr>
          <w:rFonts w:ascii="Amiri" w:hAnsi="Amiri" w:eastAsia="Amiri" w:cs="Amiri"/>
          <w:lang w:bidi="ar-SA"/>
          <w:color w:val="111111"/>
          <w:sz w:val="28"/>
          <w:szCs w:val="28"/>
          <w:rtl/>
        </w:rPr>
        <w:t xml:space="preserve">شيرازي ، جمال الدين محمود - شيرازي ،</w:t>
      </w:r>
    </w:p>
    <w:p>
      <w:pPr>
        <w:pStyle w:val="BookText"/>
      </w:pPr>
      <w:r>
        <w:rPr>
          <w:rFonts w:ascii="Amiri" w:hAnsi="Amiri" w:eastAsia="Amiri" w:cs="Amiri"/>
          <w:lang w:bidi="ar-SA"/>
          <w:color w:val="111111"/>
          <w:sz w:val="28"/>
          <w:szCs w:val="28"/>
          <w:rtl/>
        </w:rPr>
        <w:t xml:space="preserve">محمود بن يعقوب</w:t>
      </w:r>
    </w:p>
    <w:p>
      <w:pPr>
        <w:pStyle w:val="BookText"/>
      </w:pPr>
      <w:r>
        <w:rPr>
          <w:rFonts w:ascii="Amiri" w:hAnsi="Amiri" w:eastAsia="Amiri" w:cs="Amiri"/>
          <w:lang w:bidi="ar-SA"/>
          <w:color w:val="111111"/>
          <w:sz w:val="28"/>
          <w:szCs w:val="28"/>
          <w:rtl/>
        </w:rPr>
        <w:t xml:space="preserve">شيرازي ، جنيد- جنيد شيرازي ، جنيد بن محمود</w:t>
      </w:r>
    </w:p>
    <w:p>
      <w:pPr>
        <w:pStyle w:val="BookText"/>
      </w:pPr>
      <w:r>
        <w:rPr>
          <w:rFonts w:ascii="Amiri" w:hAnsi="Amiri" w:eastAsia="Amiri" w:cs="Amiri"/>
          <w:lang w:bidi="ar-SA"/>
          <w:color w:val="111111"/>
          <w:sz w:val="28"/>
          <w:szCs w:val="28"/>
          <w:rtl/>
        </w:rPr>
        <w:t xml:space="preserve">شيرازي جهرمي آقا بن ابو القاسم - شيرازي جهرمي ، ابوالقاسم</w:t>
      </w:r>
    </w:p>
    <w:p>
      <w:pPr>
        <w:pStyle w:val="Heading2"/>
      </w:pPr>
      <w:bookmarkStart w:id="5315" w:name="_Toc4417"/>
      <w:r>
        <w:t>شيرازي جهرمي ، ابوالقاسم، قرن 13 ه-</w:t>
      </w:r>
      <w:bookmarkEnd w:id="5315"/>
    </w:p>
    <w:p>
      <w:pPr>
        <w:pStyle w:val="BookText"/>
      </w:pPr>
      <w:r>
        <w:rPr>
          <w:rFonts w:ascii="IRNazanin" w:hAnsi="IRNazanin" w:eastAsia="IRNazanin" w:cs="IRNazanin"/>
          <w:lang w:bidi="fa-IR"/>
          <w:color w:val="111111"/>
          <w:sz w:val="28"/>
          <w:szCs w:val="28"/>
          <w:rtl/>
        </w:rPr>
        <w:t xml:space="preserve">قبسات الاحزان و جمرات الاشجان</w:t>
      </w:r>
    </w:p>
    <w:p>
      <w:pPr>
        <w:pStyle w:val="BookText"/>
      </w:pPr>
      <w:r>
        <w:rPr>
          <w:rFonts w:ascii="IRNazanin" w:hAnsi="IRNazanin" w:eastAsia="IRNazanin" w:cs="IRNazanin"/>
          <w:lang w:bidi="fa-IR"/>
          <w:color w:val="111111"/>
          <w:sz w:val="28"/>
          <w:szCs w:val="28"/>
          <w:rtl/>
        </w:rPr>
        <w:t xml:space="preserve">مجالس الاحزان، ج12، ص 372</w:t>
      </w:r>
    </w:p>
    <w:p>
      <w:pPr>
        <w:pStyle w:val="BookText"/>
      </w:pPr>
      <w:r>
        <w:rPr>
          <w:rFonts w:ascii="Amiri" w:hAnsi="Amiri" w:eastAsia="Amiri" w:cs="Amiri"/>
          <w:lang w:bidi="ar-SA"/>
          <w:color w:val="111111"/>
          <w:sz w:val="28"/>
          <w:szCs w:val="28"/>
          <w:rtl/>
        </w:rPr>
        <w:t xml:space="preserve">شيرازي ، ركن الدين عبد العزيز- ركن</w:t>
      </w:r>
    </w:p>
    <w:p>
      <w:pPr>
        <w:pStyle w:val="BookText"/>
      </w:pPr>
      <w:r>
        <w:rPr>
          <w:rFonts w:ascii="Amiri" w:hAnsi="Amiri" w:eastAsia="Amiri" w:cs="Amiri"/>
          <w:lang w:bidi="ar-SA"/>
          <w:color w:val="111111"/>
          <w:sz w:val="28"/>
          <w:szCs w:val="28"/>
          <w:rtl/>
        </w:rPr>
        <w:t xml:space="preserve">الدين شيرازي ، مسعود بن عبدالله</w:t>
      </w:r>
    </w:p>
    <w:p>
      <w:pPr>
        <w:pStyle w:val="BookText"/>
      </w:pPr>
      <w:r>
        <w:rPr>
          <w:rFonts w:ascii="Amiri" w:hAnsi="Amiri" w:eastAsia="Amiri" w:cs="Amiri"/>
          <w:lang w:bidi="ar-SA"/>
          <w:color w:val="111111"/>
          <w:sz w:val="28"/>
          <w:szCs w:val="28"/>
          <w:rtl/>
        </w:rPr>
        <w:t xml:space="preserve">شيرازي ، ركن الدين مسعود -ركن الدين</w:t>
      </w:r>
    </w:p>
    <w:p>
      <w:pPr>
        <w:pStyle w:val="BookText"/>
      </w:pPr>
      <w:r>
        <w:rPr>
          <w:rFonts w:ascii="Amiri" w:hAnsi="Amiri" w:eastAsia="Amiri" w:cs="Amiri"/>
          <w:lang w:bidi="ar-SA"/>
          <w:color w:val="111111"/>
          <w:sz w:val="28"/>
          <w:szCs w:val="28"/>
          <w:rtl/>
        </w:rPr>
        <w:t xml:space="preserve">شيرازي ، مسعود بن عبدالله</w:t>
      </w:r>
    </w:p>
    <w:p>
      <w:pPr>
        <w:pStyle w:val="BookText"/>
      </w:pPr>
      <w:r>
        <w:rPr>
          <w:rFonts w:ascii="Amiri" w:hAnsi="Amiri" w:eastAsia="Amiri" w:cs="Amiri"/>
          <w:lang w:bidi="ar-SA"/>
          <w:color w:val="111111"/>
          <w:sz w:val="28"/>
          <w:szCs w:val="28"/>
          <w:rtl/>
        </w:rPr>
        <w:t xml:space="preserve">شيرازي ، زين العطار -زين العابدين عطار ، علي بن حسين</w:t>
      </w:r>
    </w:p>
    <w:p>
      <w:pPr>
        <w:pStyle w:val="BookText"/>
      </w:pPr>
      <w:r>
        <w:rPr>
          <w:rFonts w:ascii="Amiri" w:hAnsi="Amiri" w:eastAsia="Amiri" w:cs="Amiri"/>
          <w:lang w:bidi="ar-SA"/>
          <w:color w:val="111111"/>
          <w:sz w:val="28"/>
          <w:szCs w:val="28"/>
          <w:rtl/>
        </w:rPr>
        <w:t xml:space="preserve">شيرازي سبزواري ، فتح الله بن</w:t>
      </w:r>
    </w:p>
    <w:p>
      <w:pPr>
        <w:pStyle w:val="BookText"/>
      </w:pPr>
      <w:r>
        <w:rPr>
          <w:rFonts w:ascii="Amiri" w:hAnsi="Amiri" w:eastAsia="Amiri" w:cs="Amiri"/>
          <w:lang w:bidi="ar-SA"/>
          <w:color w:val="111111"/>
          <w:sz w:val="28"/>
          <w:szCs w:val="28"/>
          <w:rtl/>
        </w:rPr>
        <w:t xml:space="preserve">احمد -شهرستاني ، فتح الله بن احمد</w:t>
      </w:r>
    </w:p>
    <w:p>
      <w:pPr>
        <w:pStyle w:val="BookText"/>
      </w:pPr>
      <w:r>
        <w:rPr>
          <w:rFonts w:ascii="IRNazanin" w:hAnsi="IRNazanin" w:eastAsia="IRNazanin" w:cs="IRNazanin"/>
          <w:lang w:bidi="fa-IR"/>
          <w:color w:val="111111"/>
          <w:sz w:val="28"/>
          <w:szCs w:val="28"/>
          <w:rtl/>
        </w:rPr>
        <w:t xml:space="preserve">شيرازي ، شمس الدین محمّد بن</w:t>
      </w:r>
    </w:p>
    <w:p>
      <w:pPr>
        <w:pStyle w:val="BookText"/>
      </w:pPr>
      <w:r>
        <w:rPr>
          <w:rFonts w:ascii="Amiri" w:hAnsi="Amiri" w:eastAsia="Amiri" w:cs="Amiri"/>
          <w:lang w:bidi="ar-SA"/>
          <w:color w:val="111111"/>
          <w:sz w:val="28"/>
          <w:szCs w:val="28"/>
          <w:rtl/>
        </w:rPr>
        <w:t xml:space="preserve">محمّد- ابن جزري، محمّد بن محمّد</w:t>
      </w:r>
    </w:p>
    <w:p>
      <w:pPr>
        <w:pStyle w:val="BookText"/>
      </w:pPr>
      <w:r>
        <w:rPr>
          <w:rFonts w:ascii="Amiri" w:hAnsi="Amiri" w:eastAsia="Amiri" w:cs="Amiri"/>
          <w:lang w:bidi="ar-SA"/>
          <w:color w:val="111111"/>
          <w:sz w:val="28"/>
          <w:szCs w:val="28"/>
          <w:rtl/>
        </w:rPr>
        <w:t xml:space="preserve">شيرازي ، صابر -صابر شيرازي ، مهدي بن محمّد</w:t>
      </w:r>
    </w:p>
    <w:p>
      <w:pPr>
        <w:pStyle w:val="Heading2"/>
      </w:pPr>
      <w:bookmarkStart w:id="5316" w:name="_Toc4418"/>
      <w:r>
        <w:t>شيرازي ، صدرالدين علي بن احمد</w:t>
      </w:r>
      <w:bookmarkEnd w:id="5316"/>
    </w:p>
    <w:p>
      <w:pPr>
        <w:pStyle w:val="BookText"/>
      </w:pPr>
      <w:r>
        <w:rPr>
          <w:rFonts w:ascii="Amiri" w:hAnsi="Amiri" w:eastAsia="Amiri" w:cs="Amiri"/>
          <w:lang w:bidi="ar-SA"/>
          <w:color w:val="111111"/>
          <w:sz w:val="28"/>
          <w:szCs w:val="28"/>
          <w:rtl/>
        </w:rPr>
        <w:t xml:space="preserve">شرح الفوائد الصمدية - شرح</w:t>
      </w:r>
    </w:p>
    <w:p>
      <w:pPr>
        <w:pStyle w:val="BookText"/>
      </w:pPr>
      <w:r>
        <w:rPr>
          <w:rFonts w:ascii="Amiri" w:hAnsi="Amiri" w:eastAsia="Amiri" w:cs="Amiri"/>
          <w:lang w:bidi="ar-SA"/>
          <w:color w:val="111111"/>
          <w:sz w:val="28"/>
          <w:szCs w:val="28"/>
          <w:rtl/>
        </w:rPr>
        <w:t xml:space="preserve">الصمدية، ج 9، ص808.</w:t>
      </w:r>
    </w:p>
    <w:p>
      <w:pPr>
        <w:pStyle w:val="Heading2"/>
      </w:pPr>
      <w:bookmarkStart w:id="5317" w:name="_Toc4419"/>
      <w:r>
        <w:t>شيرازي طبيب، محمدّ بن غياث الدين</w:t>
      </w:r>
      <w:bookmarkEnd w:id="5317"/>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الفوائد الحسينية في المجربات الطبية</w:t>
      </w:r>
    </w:p>
    <w:p>
      <w:pPr>
        <w:pStyle w:val="BookText"/>
      </w:pPr>
      <w:r>
        <w:rPr>
          <w:rFonts w:ascii="IRNazanin" w:hAnsi="IRNazanin" w:eastAsia="IRNazanin" w:cs="IRNazanin"/>
          <w:lang w:bidi="fa-IR"/>
          <w:color w:val="111111"/>
          <w:sz w:val="28"/>
          <w:szCs w:val="28"/>
          <w:rtl/>
        </w:rPr>
        <w:t xml:space="preserve">ج 12، ص 202.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51" w:name="pg7742_70641"/>
    <w:bookmarkEnd w:id="651"/>
    <w:p>
      <w:pPr>
        <w:pStyle w:val="BookText"/>
      </w:pPr>
      <w:r>
        <w:rPr>
          <w:rFonts w:ascii="Amiri" w:hAnsi="Amiri" w:eastAsia="Amiri" w:cs="Amiri"/>
          <w:lang w:bidi="ar-SA"/>
          <w:color w:val="111111"/>
          <w:sz w:val="28"/>
          <w:szCs w:val="28"/>
          <w:rtl/>
        </w:rPr>
        <w:t xml:space="preserve">شيرازي ، عبد الرحمن بن نصر -شيزري .</w:t>
      </w:r>
    </w:p>
    <w:p>
      <w:pPr>
        <w:pStyle w:val="BookText"/>
      </w:pPr>
      <w:r>
        <w:rPr>
          <w:rFonts w:ascii="IRNazanin" w:hAnsi="IRNazanin" w:eastAsia="IRNazanin" w:cs="IRNazanin"/>
          <w:lang w:bidi="fa-IR"/>
          <w:color w:val="111111"/>
          <w:sz w:val="28"/>
          <w:szCs w:val="28"/>
          <w:rtl/>
        </w:rPr>
        <w:t xml:space="preserve">عبدالرحمن بن نصر</w:t>
      </w:r>
    </w:p>
    <w:p>
      <w:pPr>
        <w:pStyle w:val="BookText"/>
      </w:pPr>
      <w:r>
        <w:rPr>
          <w:rFonts w:ascii="Amiri" w:hAnsi="Amiri" w:eastAsia="Amiri" w:cs="Amiri"/>
          <w:lang w:bidi="ar-SA"/>
          <w:color w:val="111111"/>
          <w:sz w:val="28"/>
          <w:szCs w:val="28"/>
          <w:rtl/>
        </w:rPr>
        <w:t xml:space="preserve">شيرازي ، عبدالله بن محي الدين محمّد- قطب الدين شيرازي ، عبدالله بن</w:t>
      </w:r>
    </w:p>
    <w:p>
      <w:pPr>
        <w:pStyle w:val="BookText"/>
      </w:pPr>
      <w:r>
        <w:rPr>
          <w:rFonts w:ascii="Amiri" w:hAnsi="Amiri" w:eastAsia="Amiri" w:cs="Amiri"/>
          <w:lang w:bidi="ar-SA"/>
          <w:color w:val="111111"/>
          <w:sz w:val="28"/>
          <w:szCs w:val="28"/>
          <w:rtl/>
        </w:rPr>
        <w:t xml:space="preserve">الدین محمّد</w:t>
      </w:r>
    </w:p>
    <w:p>
      <w:pPr>
        <w:pStyle w:val="Heading2"/>
      </w:pPr>
      <w:bookmarkStart w:id="5318" w:name="_Toc4420"/>
      <w:r>
        <w:t>شيرازي ، عبد النبي بن محمّد مفيد</w:t>
      </w:r>
      <w:bookmarkEnd w:id="5318"/>
    </w:p>
    <w:p>
      <w:pPr>
        <w:pStyle w:val="BookText"/>
      </w:pPr>
      <w:r>
        <w:rPr>
          <w:rFonts w:ascii="IRNazanin" w:hAnsi="IRNazanin" w:eastAsia="IRNazanin" w:cs="IRNazanin"/>
          <w:lang w:bidi="fa-IR"/>
          <w:color w:val="111111"/>
          <w:sz w:val="28"/>
          <w:szCs w:val="28"/>
          <w:rtl/>
        </w:rPr>
        <w:t xml:space="preserve">1192 ه-</w:t>
      </w:r>
    </w:p>
    <w:p>
      <w:pPr>
        <w:pStyle w:val="BookText"/>
      </w:pPr>
      <w:r>
        <w:rPr>
          <w:rFonts w:ascii="Amiri" w:hAnsi="Amiri" w:eastAsia="Amiri" w:cs="Amiri"/>
          <w:lang w:bidi="ar-SA"/>
          <w:color w:val="111111"/>
          <w:sz w:val="28"/>
          <w:szCs w:val="28"/>
          <w:rtl/>
        </w:rPr>
        <w:t xml:space="preserve">التحفة المحمّدية في شرح المقدمة النصيرية، ج4، ص 22.</w:t>
      </w:r>
    </w:p>
    <w:p>
      <w:pPr>
        <w:pStyle w:val="BookText"/>
      </w:pPr>
      <w:r>
        <w:rPr>
          <w:rFonts w:ascii="Amiri" w:hAnsi="Amiri" w:eastAsia="Amiri" w:cs="Amiri"/>
          <w:lang w:bidi="ar-SA"/>
          <w:color w:val="111111"/>
          <w:sz w:val="28"/>
          <w:szCs w:val="28"/>
          <w:rtl/>
        </w:rPr>
        <w:t xml:space="preserve">شيرازي ، عبد النبي بن مفيد -شيرازي ،</w:t>
      </w:r>
    </w:p>
    <w:p>
      <w:pPr>
        <w:pStyle w:val="BookText"/>
      </w:pPr>
      <w:r>
        <w:rPr>
          <w:rFonts w:ascii="Amiri" w:hAnsi="Amiri" w:eastAsia="Amiri" w:cs="Amiri"/>
          <w:lang w:bidi="ar-SA"/>
          <w:color w:val="111111"/>
          <w:sz w:val="28"/>
          <w:szCs w:val="28"/>
          <w:rtl/>
        </w:rPr>
        <w:t xml:space="preserve">عبدالنبي بن محمّد مفيد</w:t>
      </w:r>
    </w:p>
    <w:p>
      <w:pPr>
        <w:pStyle w:val="BookText"/>
      </w:pPr>
      <w:r>
        <w:rPr>
          <w:rFonts w:ascii="Amiri" w:hAnsi="Amiri" w:eastAsia="Amiri" w:cs="Amiri"/>
          <w:lang w:bidi="ar-SA"/>
          <w:color w:val="111111"/>
          <w:sz w:val="28"/>
          <w:szCs w:val="28"/>
          <w:rtl/>
        </w:rPr>
        <w:t xml:space="preserve">شيرازي ، عبد الواحد بن محمّد -ابوالفرج</w:t>
      </w:r>
    </w:p>
    <w:p>
      <w:pPr>
        <w:pStyle w:val="BookText"/>
      </w:pPr>
      <w:r>
        <w:rPr>
          <w:rFonts w:ascii="Amiri" w:hAnsi="Amiri" w:eastAsia="Amiri" w:cs="Amiri"/>
          <w:lang w:bidi="ar-SA"/>
          <w:color w:val="111111"/>
          <w:sz w:val="28"/>
          <w:szCs w:val="28"/>
          <w:rtl/>
        </w:rPr>
        <w:t xml:space="preserve">شيرازي ، عبدالواحد بن محمّد</w:t>
      </w:r>
    </w:p>
    <w:p>
      <w:pPr>
        <w:pStyle w:val="Heading2"/>
      </w:pPr>
      <w:bookmarkStart w:id="5319" w:name="_Toc4421"/>
      <w:r>
        <w:t>شيرازي ، عبدالوهاب - 1073 ؟ ه-</w:t>
      </w:r>
      <w:bookmarkEnd w:id="5319"/>
    </w:p>
    <w:p>
      <w:pPr>
        <w:pStyle w:val="BookText"/>
      </w:pPr>
      <w:r>
        <w:rPr>
          <w:rFonts w:ascii="Amiri" w:hAnsi="Amiri" w:eastAsia="Amiri" w:cs="Amiri"/>
          <w:lang w:bidi="ar-SA"/>
          <w:color w:val="111111"/>
          <w:sz w:val="28"/>
          <w:szCs w:val="28"/>
          <w:rtl/>
        </w:rPr>
        <w:t xml:space="preserve">مناظرة بافرق، ج 15 ، ص 516.</w:t>
      </w:r>
    </w:p>
    <w:p>
      <w:pPr>
        <w:pStyle w:val="BookText"/>
      </w:pPr>
      <w:r>
        <w:rPr>
          <w:rFonts w:ascii="Amiri" w:hAnsi="Amiri" w:eastAsia="Amiri" w:cs="Amiri"/>
          <w:lang w:bidi="ar-SA"/>
          <w:color w:val="111111"/>
          <w:sz w:val="28"/>
          <w:szCs w:val="28"/>
          <w:rtl/>
        </w:rPr>
        <w:t xml:space="preserve">شيرازي ، عطاء الدين بن فضل الله- جمال</w:t>
      </w:r>
    </w:p>
    <w:p>
      <w:pPr>
        <w:pStyle w:val="BookText"/>
      </w:pPr>
      <w:r>
        <w:rPr>
          <w:rFonts w:ascii="Amiri" w:hAnsi="Amiri" w:eastAsia="Amiri" w:cs="Amiri"/>
          <w:lang w:bidi="ar-SA"/>
          <w:color w:val="111111"/>
          <w:sz w:val="28"/>
          <w:szCs w:val="28"/>
          <w:rtl/>
        </w:rPr>
        <w:t xml:space="preserve">حسيني ، عطاء الله بن فضل الله</w:t>
      </w:r>
    </w:p>
    <w:p>
      <w:pPr>
        <w:pStyle w:val="BookText"/>
      </w:pPr>
      <w:r>
        <w:rPr>
          <w:rFonts w:ascii="Amiri" w:hAnsi="Amiri" w:eastAsia="Amiri" w:cs="Amiri"/>
          <w:lang w:bidi="ar-SA"/>
          <w:color w:val="111111"/>
          <w:sz w:val="28"/>
          <w:szCs w:val="28"/>
          <w:rtl/>
        </w:rPr>
        <w:t xml:space="preserve">شيرازي ، علي بن عيسى- ربعي ، علي بن</w:t>
      </w:r>
    </w:p>
    <w:p>
      <w:pPr>
        <w:pStyle w:val="BookText"/>
      </w:pPr>
      <w:r>
        <w:rPr>
          <w:rFonts w:ascii="Amiri" w:hAnsi="Amiri" w:eastAsia="Amiri" w:cs="Amiri"/>
          <w:lang w:bidi="ar-SA"/>
          <w:color w:val="111111"/>
          <w:sz w:val="28"/>
          <w:szCs w:val="28"/>
          <w:rtl/>
        </w:rPr>
        <w:t xml:space="preserve">عيسى</w:t>
      </w:r>
    </w:p>
    <w:p>
      <w:pPr>
        <w:pStyle w:val="BookText"/>
      </w:pPr>
      <w:r>
        <w:rPr>
          <w:rFonts w:ascii="Amiri" w:hAnsi="Amiri" w:eastAsia="Amiri" w:cs="Amiri"/>
          <w:lang w:bidi="ar-SA"/>
          <w:color w:val="111111"/>
          <w:sz w:val="28"/>
          <w:szCs w:val="28"/>
          <w:rtl/>
        </w:rPr>
        <w:t xml:space="preserve">شيرازي ، علي خان -مدني ، علي خان بن احمد</w:t>
      </w:r>
    </w:p>
    <w:p>
      <w:pPr>
        <w:pStyle w:val="BookText"/>
      </w:pPr>
      <w:r>
        <w:rPr>
          <w:rFonts w:ascii="Amiri" w:hAnsi="Amiri" w:eastAsia="Amiri" w:cs="Amiri"/>
          <w:lang w:bidi="ar-SA"/>
          <w:color w:val="111111"/>
          <w:sz w:val="28"/>
          <w:szCs w:val="28"/>
          <w:rtl/>
        </w:rPr>
        <w:t xml:space="preserve">شيرازي ، عليرضا بن حسين -تجلي شيرازي</w:t>
      </w:r>
    </w:p>
    <w:p>
      <w:pPr>
        <w:pStyle w:val="BookText"/>
      </w:pPr>
      <w:r>
        <w:rPr>
          <w:rFonts w:ascii="Amiri" w:hAnsi="Amiri" w:eastAsia="Amiri" w:cs="Amiri"/>
          <w:lang w:bidi="ar-SA"/>
          <w:color w:val="111111"/>
          <w:sz w:val="28"/>
          <w:szCs w:val="28"/>
          <w:rtl/>
        </w:rPr>
        <w:t xml:space="preserve">، عليرضا بن حسين</w:t>
      </w:r>
    </w:p>
    <w:p>
      <w:pPr>
        <w:pStyle w:val="BookText"/>
      </w:pPr>
      <w:r>
        <w:rPr>
          <w:rFonts w:ascii="Amiri" w:hAnsi="Amiri" w:eastAsia="Amiri" w:cs="Amiri"/>
          <w:lang w:bidi="ar-SA"/>
          <w:color w:val="111111"/>
          <w:sz w:val="28"/>
          <w:szCs w:val="28"/>
          <w:rtl/>
        </w:rPr>
        <w:t xml:space="preserve">شيرازي ، عليرضا بن كمال الدين -اردكاني</w:t>
      </w:r>
    </w:p>
    <w:p>
      <w:pPr>
        <w:pStyle w:val="BookText"/>
      </w:pPr>
      <w:r>
        <w:rPr>
          <w:rFonts w:ascii="Amiri" w:hAnsi="Amiri" w:eastAsia="Amiri" w:cs="Amiri"/>
          <w:lang w:bidi="ar-SA"/>
          <w:color w:val="111111"/>
          <w:sz w:val="28"/>
          <w:szCs w:val="28"/>
          <w:rtl/>
        </w:rPr>
        <w:t xml:space="preserve">شيرازي ، عليرضا بن كمال الدين</w:t>
      </w:r>
    </w:p>
    <w:p>
      <w:pPr>
        <w:pStyle w:val="Heading2"/>
      </w:pPr>
      <w:bookmarkStart w:id="5320" w:name="_Toc4422"/>
      <w:r>
        <w:t>شيرازي ، فتح الله - 1298 ه-</w:t>
      </w:r>
      <w:bookmarkEnd w:id="5320"/>
    </w:p>
    <w:p>
      <w:pPr>
        <w:pStyle w:val="BookText"/>
      </w:pPr>
      <w:r>
        <w:rPr>
          <w:rFonts w:ascii="Amiri" w:hAnsi="Amiri" w:eastAsia="Amiri" w:cs="Amiri"/>
          <w:lang w:bidi="ar-SA"/>
          <w:color w:val="111111"/>
          <w:sz w:val="28"/>
          <w:szCs w:val="28"/>
          <w:rtl/>
        </w:rPr>
        <w:t xml:space="preserve">بعض مسائل بيع الخيار (رسالة في)</w:t>
      </w:r>
    </w:p>
    <w:p>
      <w:pPr>
        <w:pStyle w:val="BookText"/>
      </w:pPr>
      <w:r>
        <w:rPr>
          <w:rFonts w:ascii="IRNazanin" w:hAnsi="IRNazanin" w:eastAsia="IRNazanin" w:cs="IRNazanin"/>
          <w:lang w:bidi="fa-IR"/>
          <w:color w:val="111111"/>
          <w:sz w:val="28"/>
          <w:szCs w:val="28"/>
          <w:rtl/>
        </w:rPr>
        <w:t xml:space="preserve">ج 3، ص 359.</w:t>
      </w:r>
    </w:p>
    <w:p>
      <w:pPr>
        <w:pStyle w:val="BookText"/>
      </w:pPr>
      <w:r>
        <w:rPr>
          <w:rFonts w:ascii="Amiri" w:hAnsi="Amiri" w:eastAsia="Amiri" w:cs="Amiri"/>
          <w:lang w:bidi="ar-SA"/>
          <w:color w:val="111111"/>
          <w:sz w:val="28"/>
          <w:szCs w:val="28"/>
          <w:rtl/>
        </w:rPr>
        <w:t xml:space="preserve">شيرازي ، فضل الله بن عبدالله حسيني- شرف الدين قزويني ، فضل الله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شيرازي ، قطب الدين محمّد</w:t>
      </w:r>
    </w:p>
    <w:p>
      <w:pPr>
        <w:pStyle w:val="BookText"/>
      </w:pPr>
      <w:r>
        <w:rPr>
          <w:rFonts w:ascii="Amiri" w:hAnsi="Amiri" w:eastAsia="Amiri" w:cs="Amiri"/>
          <w:lang w:bidi="ar-SA"/>
          <w:color w:val="111111"/>
          <w:sz w:val="28"/>
          <w:szCs w:val="28"/>
          <w:rtl/>
        </w:rPr>
        <w:t xml:space="preserve">حسيني- نيريزي ، قطب الدين محمّد</w:t>
      </w:r>
    </w:p>
    <w:p>
      <w:pPr>
        <w:pStyle w:val="BookText"/>
      </w:pPr>
      <w:r>
        <w:rPr>
          <w:rFonts w:ascii="Amiri" w:hAnsi="Amiri" w:eastAsia="Amiri" w:cs="Amiri"/>
          <w:lang w:bidi="ar-SA"/>
          <w:color w:val="111111"/>
          <w:sz w:val="28"/>
          <w:szCs w:val="28"/>
          <w:rtl/>
        </w:rPr>
        <w:t xml:space="preserve">شيرازي قمي ، محمّد طاهر بن محمّد</w:t>
      </w:r>
    </w:p>
    <w:p>
      <w:pPr>
        <w:pStyle w:val="BookText"/>
      </w:pPr>
      <w:r>
        <w:rPr>
          <w:rFonts w:ascii="IRNazanin" w:hAnsi="IRNazanin" w:eastAsia="IRNazanin" w:cs="IRNazanin"/>
          <w:lang w:bidi="fa-IR"/>
          <w:color w:val="111111"/>
          <w:sz w:val="28"/>
          <w:szCs w:val="28"/>
          <w:rtl/>
        </w:rPr>
        <w:t xml:space="preserve">حسين -قمي ، محمّد طاهر بن محمّد حسین</w:t>
      </w:r>
    </w:p>
    <w:p>
      <w:pPr>
        <w:pStyle w:val="BookText"/>
      </w:pPr>
      <w:r>
        <w:rPr>
          <w:rFonts w:ascii="Amiri" w:hAnsi="Amiri" w:eastAsia="Amiri" w:cs="Amiri"/>
          <w:lang w:bidi="ar-SA"/>
          <w:color w:val="111111"/>
          <w:sz w:val="28"/>
          <w:szCs w:val="28"/>
          <w:rtl/>
        </w:rPr>
        <w:t xml:space="preserve">شيرازي كاشاني ، محمّد بن ابي</w:t>
      </w:r>
    </w:p>
    <w:p>
      <w:pPr>
        <w:pStyle w:val="BookText"/>
      </w:pPr>
      <w:r>
        <w:rPr>
          <w:rFonts w:ascii="Amiri" w:hAnsi="Amiri" w:eastAsia="Amiri" w:cs="Amiri"/>
          <w:lang w:bidi="ar-SA"/>
          <w:color w:val="111111"/>
          <w:sz w:val="28"/>
          <w:szCs w:val="28"/>
          <w:rtl/>
        </w:rPr>
        <w:t xml:space="preserve">المجير- طبيب ، محمّد بن ابي المجد</w:t>
      </w:r>
    </w:p>
    <w:p>
      <w:pPr>
        <w:pStyle w:val="BookText"/>
      </w:pPr>
      <w:r>
        <w:rPr>
          <w:rFonts w:ascii="Amiri" w:hAnsi="Amiri" w:eastAsia="Amiri" w:cs="Amiri"/>
          <w:lang w:bidi="ar-SA"/>
          <w:color w:val="111111"/>
          <w:sz w:val="28"/>
          <w:szCs w:val="28"/>
          <w:rtl/>
        </w:rPr>
        <w:t xml:space="preserve">شيرازي ، كاشف -كاشف شيرازي ، محمّد</w:t>
      </w:r>
    </w:p>
    <w:p>
      <w:pPr>
        <w:pStyle w:val="BookText"/>
      </w:pPr>
      <w:r>
        <w:rPr>
          <w:rFonts w:ascii="Amiri" w:hAnsi="Amiri" w:eastAsia="Amiri" w:cs="Amiri"/>
          <w:lang w:bidi="ar-SA"/>
          <w:color w:val="111111"/>
          <w:sz w:val="28"/>
          <w:szCs w:val="28"/>
          <w:rtl/>
        </w:rPr>
        <w:t xml:space="preserve">شريف بن محمّد</w:t>
      </w:r>
    </w:p>
    <w:p>
      <w:pPr>
        <w:pStyle w:val="BookText"/>
      </w:pPr>
      <w:r>
        <w:rPr>
          <w:rFonts w:ascii="Amiri" w:hAnsi="Amiri" w:eastAsia="Amiri" w:cs="Amiri"/>
          <w:lang w:bidi="ar-SA"/>
          <w:color w:val="111111"/>
          <w:sz w:val="28"/>
          <w:szCs w:val="28"/>
          <w:rtl/>
        </w:rPr>
        <w:t xml:space="preserve">شيرازي ، كمال الدين حسين بن محمّد- ابن غياث شيرازي ، محمّد بن غياث</w:t>
      </w:r>
    </w:p>
    <w:p>
      <w:pPr>
        <w:pStyle w:val="BookText"/>
      </w:pPr>
      <w:r>
        <w:rPr>
          <w:rFonts w:ascii="Amiri" w:hAnsi="Amiri" w:eastAsia="Amiri" w:cs="Amiri"/>
          <w:lang w:bidi="ar-SA"/>
          <w:color w:val="111111"/>
          <w:sz w:val="28"/>
          <w:szCs w:val="28"/>
          <w:rtl/>
        </w:rPr>
        <w:t xml:space="preserve">الدین محمّد</w:t>
      </w:r>
    </w:p>
    <w:p>
      <w:pPr>
        <w:pStyle w:val="Heading2"/>
      </w:pPr>
      <w:bookmarkStart w:id="5321" w:name="_Toc4423"/>
      <w:r>
        <w:t>شيرازي ، محمّد ابراهيم بن عبدالله</w:t>
      </w:r>
      <w:bookmarkEnd w:id="5321"/>
    </w:p>
    <w:p>
      <w:pPr>
        <w:pStyle w:val="BookText"/>
      </w:pPr>
      <w:r>
        <w:rPr>
          <w:rFonts w:ascii="Amiri" w:hAnsi="Amiri" w:eastAsia="Amiri" w:cs="Amiri"/>
          <w:lang w:bidi="ar-SA"/>
          <w:color w:val="111111"/>
          <w:sz w:val="28"/>
          <w:szCs w:val="28"/>
          <w:rtl/>
        </w:rPr>
        <w:t xml:space="preserve">مشارق الشموس الطالعة في شرح</w:t>
      </w:r>
    </w:p>
    <w:p>
      <w:pPr>
        <w:pStyle w:val="BookText"/>
      </w:pPr>
      <w:r>
        <w:rPr>
          <w:rFonts w:ascii="Amiri" w:hAnsi="Amiri" w:eastAsia="Amiri" w:cs="Amiri"/>
          <w:lang w:bidi="ar-SA"/>
          <w:color w:val="111111"/>
          <w:sz w:val="28"/>
          <w:szCs w:val="28"/>
          <w:rtl/>
        </w:rPr>
        <w:t xml:space="preserve">الزيارة السابعة، ج 14، ص 613.</w:t>
      </w:r>
    </w:p>
    <w:p>
      <w:pPr>
        <w:pStyle w:val="Heading2"/>
      </w:pPr>
      <w:bookmarkStart w:id="5322" w:name="_Toc4424"/>
      <w:r>
        <w:t>شيرازي ، محمّد ابراهيم بن محمّد مؤمن</w:t>
      </w:r>
      <w:bookmarkEnd w:id="5322"/>
    </w:p>
    <w:p>
      <w:pPr>
        <w:pStyle w:val="BookText"/>
      </w:pPr>
      <w:r>
        <w:rPr>
          <w:rFonts w:ascii="IRNazanin" w:hAnsi="IRNazanin" w:eastAsia="IRNazanin" w:cs="IRNazanin"/>
          <w:lang w:bidi="fa-IR"/>
          <w:color w:val="111111"/>
          <w:sz w:val="28"/>
          <w:szCs w:val="28"/>
          <w:rtl/>
        </w:rPr>
        <w:t xml:space="preserve">رسائل، ج8، ص128.</w:t>
      </w:r>
    </w:p>
    <w:p>
      <w:pPr>
        <w:pStyle w:val="Heading2"/>
      </w:pPr>
      <w:bookmarkStart w:id="5323" w:name="_Toc4425"/>
      <w:r>
        <w:t>شيرازي ، محمّد ابراهيم بن ملاصدرا</w:t>
      </w:r>
      <w:bookmarkEnd w:id="5323"/>
    </w:p>
    <w:p>
      <w:pPr>
        <w:pStyle w:val="BookText"/>
      </w:pPr>
      <w:r>
        <w:rPr>
          <w:rFonts w:ascii="IRNazanin" w:hAnsi="IRNazanin" w:eastAsia="IRNazanin" w:cs="IRNazanin"/>
          <w:lang w:bidi="fa-IR"/>
          <w:color w:val="111111"/>
          <w:sz w:val="28"/>
          <w:szCs w:val="28"/>
          <w:rtl/>
        </w:rPr>
        <w:t xml:space="preserve">1070ه-</w:t>
      </w:r>
    </w:p>
    <w:p>
      <w:pPr>
        <w:pStyle w:val="BookText"/>
      </w:pPr>
      <w:r>
        <w:rPr>
          <w:rFonts w:ascii="Amiri" w:hAnsi="Amiri" w:eastAsia="Amiri" w:cs="Amiri"/>
          <w:lang w:bidi="ar-SA"/>
          <w:color w:val="111111"/>
          <w:sz w:val="28"/>
          <w:szCs w:val="28"/>
          <w:rtl/>
        </w:rPr>
        <w:t xml:space="preserve">1 .حاشية اثبات الواجب، ج5،</w:t>
      </w:r>
    </w:p>
    <w:p>
      <w:pPr>
        <w:pStyle w:val="BookText"/>
      </w:pPr>
      <w:r>
        <w:rPr>
          <w:rFonts w:ascii="IRNazanin" w:hAnsi="IRNazanin" w:eastAsia="IRNazanin" w:cs="IRNazanin"/>
          <w:lang w:bidi="fa-IR"/>
          <w:color w:val="111111"/>
          <w:sz w:val="28"/>
          <w:szCs w:val="28"/>
          <w:rtl/>
        </w:rPr>
        <w:t xml:space="preserve">ص 649 .</w:t>
      </w:r>
    </w:p>
    <w:p>
      <w:pPr>
        <w:pStyle w:val="BookText"/>
      </w:pPr>
      <w:r>
        <w:rPr>
          <w:rFonts w:ascii="Amiri" w:hAnsi="Amiri" w:eastAsia="Amiri" w:cs="Amiri"/>
          <w:lang w:bidi="ar-SA"/>
          <w:color w:val="111111"/>
          <w:sz w:val="28"/>
          <w:szCs w:val="28"/>
          <w:rtl/>
        </w:rPr>
        <w:t xml:space="preserve">2 .حاشية حاشية الخفري على شرح</w:t>
      </w:r>
    </w:p>
    <w:p>
      <w:pPr>
        <w:pStyle w:val="BookText"/>
      </w:pPr>
      <w:r>
        <w:rPr>
          <w:rFonts w:ascii="IRNazanin" w:hAnsi="IRNazanin" w:eastAsia="IRNazanin" w:cs="IRNazanin"/>
          <w:lang w:bidi="fa-IR"/>
          <w:color w:val="111111"/>
          <w:sz w:val="28"/>
          <w:szCs w:val="28"/>
          <w:rtl/>
        </w:rPr>
        <w:t xml:space="preserve">التجريد = حاشیه فخریه جه،</w:t>
      </w:r>
    </w:p>
    <w:p>
      <w:pPr>
        <w:pStyle w:val="BookText"/>
      </w:pPr>
      <w:r>
        <w:rPr>
          <w:rFonts w:ascii="IRNazanin" w:hAnsi="IRNazanin" w:eastAsia="IRNazanin" w:cs="IRNazanin"/>
          <w:lang w:bidi="fa-IR"/>
          <w:color w:val="111111"/>
          <w:sz w:val="28"/>
          <w:szCs w:val="28"/>
          <w:rtl/>
        </w:rPr>
        <w:t xml:space="preserve">ص 797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52" w:name="pg7742_70642"/>
    <w:bookmarkEnd w:id="652"/>
    <w:p>
      <w:pPr>
        <w:pStyle w:val="BookText"/>
      </w:pPr>
      <w:r>
        <w:rPr>
          <w:rFonts w:ascii="Amiri" w:hAnsi="Amiri" w:eastAsia="Amiri" w:cs="Amiri"/>
          <w:lang w:bidi="ar-SA"/>
          <w:color w:val="111111"/>
          <w:sz w:val="28"/>
          <w:szCs w:val="28"/>
          <w:rtl/>
        </w:rPr>
        <w:t xml:space="preserve">شيرازي ، محمّد باقر بن محمّد -ملاباشي</w:t>
      </w:r>
    </w:p>
    <w:p>
      <w:pPr>
        <w:pStyle w:val="BookText"/>
      </w:pPr>
      <w:r>
        <w:rPr>
          <w:rFonts w:ascii="Amiri" w:hAnsi="Amiri" w:eastAsia="Amiri" w:cs="Amiri"/>
          <w:lang w:bidi="ar-SA"/>
          <w:color w:val="111111"/>
          <w:sz w:val="28"/>
          <w:szCs w:val="28"/>
          <w:rtl/>
        </w:rPr>
        <w:t xml:space="preserve">شيرازي ، محمّد باقر بن محمّد</w:t>
      </w:r>
    </w:p>
    <w:p>
      <w:pPr>
        <w:pStyle w:val="BookText"/>
      </w:pPr>
      <w:r>
        <w:rPr>
          <w:rFonts w:ascii="Amiri" w:hAnsi="Amiri" w:eastAsia="Amiri" w:cs="Amiri"/>
          <w:lang w:bidi="ar-SA"/>
          <w:color w:val="111111"/>
          <w:sz w:val="28"/>
          <w:szCs w:val="28"/>
          <w:rtl/>
        </w:rPr>
        <w:t xml:space="preserve">شيرازي ، محمّد بن احمد</w:t>
      </w:r>
    </w:p>
    <w:p>
      <w:pPr>
        <w:pStyle w:val="BookText"/>
      </w:pPr>
      <w:r>
        <w:rPr>
          <w:rFonts w:ascii="Amiri" w:hAnsi="Amiri" w:eastAsia="Amiri" w:cs="Amiri"/>
          <w:lang w:bidi="ar-SA"/>
          <w:color w:val="111111"/>
          <w:sz w:val="28"/>
          <w:szCs w:val="28"/>
          <w:rtl/>
        </w:rPr>
        <w:t xml:space="preserve">خواجكي- خواجكي شيرازي ، محمّد بن احمد</w:t>
      </w:r>
    </w:p>
    <w:p>
      <w:pPr>
        <w:pStyle w:val="BookText"/>
      </w:pPr>
      <w:r>
        <w:rPr>
          <w:rFonts w:ascii="Amiri" w:hAnsi="Amiri" w:eastAsia="Amiri" w:cs="Amiri"/>
          <w:lang w:bidi="ar-SA"/>
          <w:color w:val="111111"/>
          <w:sz w:val="28"/>
          <w:szCs w:val="28"/>
          <w:rtl/>
        </w:rPr>
        <w:t xml:space="preserve">شيرازي ، محمّد بن خفيف -خفيف</w:t>
      </w:r>
    </w:p>
    <w:p>
      <w:pPr>
        <w:pStyle w:val="BookText"/>
      </w:pPr>
      <w:r>
        <w:rPr>
          <w:rFonts w:ascii="Amiri" w:hAnsi="Amiri" w:eastAsia="Amiri" w:cs="Amiri"/>
          <w:lang w:bidi="ar-SA"/>
          <w:color w:val="111111"/>
          <w:sz w:val="28"/>
          <w:szCs w:val="28"/>
          <w:rtl/>
        </w:rPr>
        <w:t xml:space="preserve">شيرازي ، محمّد بن خفيف</w:t>
      </w:r>
    </w:p>
    <w:p>
      <w:pPr>
        <w:pStyle w:val="BookText"/>
      </w:pPr>
      <w:r>
        <w:rPr>
          <w:rFonts w:ascii="Amiri" w:hAnsi="Amiri" w:eastAsia="Amiri" w:cs="Amiri"/>
          <w:lang w:bidi="ar-SA"/>
          <w:color w:val="111111"/>
          <w:sz w:val="28"/>
          <w:szCs w:val="28"/>
          <w:rtl/>
        </w:rPr>
        <w:t xml:space="preserve">شيرازي ، محمّد بن عبد الله- عين الملك</w:t>
      </w:r>
    </w:p>
    <w:p>
      <w:pPr>
        <w:pStyle w:val="BookText"/>
      </w:pPr>
      <w:r>
        <w:rPr>
          <w:rFonts w:ascii="Amiri" w:hAnsi="Amiri" w:eastAsia="Amiri" w:cs="Amiri"/>
          <w:lang w:bidi="ar-SA"/>
          <w:color w:val="111111"/>
          <w:sz w:val="28"/>
          <w:szCs w:val="28"/>
          <w:rtl/>
        </w:rPr>
        <w:t xml:space="preserve">شيرازي ، محمّد بن عبدالله</w:t>
      </w:r>
    </w:p>
    <w:p>
      <w:pPr>
        <w:pStyle w:val="BookText"/>
      </w:pPr>
      <w:r>
        <w:rPr>
          <w:rFonts w:ascii="Amiri" w:hAnsi="Amiri" w:eastAsia="Amiri" w:cs="Amiri"/>
          <w:lang w:bidi="ar-SA"/>
          <w:color w:val="111111"/>
          <w:sz w:val="28"/>
          <w:szCs w:val="28"/>
          <w:rtl/>
        </w:rPr>
        <w:t xml:space="preserve">شيرازي ، محمّد بن غياث الدين- شيرازي</w:t>
      </w:r>
    </w:p>
    <w:p>
      <w:pPr>
        <w:pStyle w:val="BookText"/>
      </w:pPr>
      <w:r>
        <w:rPr>
          <w:rFonts w:ascii="Amiri" w:hAnsi="Amiri" w:eastAsia="Amiri" w:cs="Amiri"/>
          <w:lang w:bidi="ar-SA"/>
          <w:color w:val="111111"/>
          <w:sz w:val="28"/>
          <w:szCs w:val="28"/>
          <w:rtl/>
        </w:rPr>
        <w:t xml:space="preserve">طبيب، محمّد بن غياث الدين</w:t>
      </w:r>
    </w:p>
    <w:p>
      <w:pPr>
        <w:pStyle w:val="BookText"/>
      </w:pPr>
      <w:r>
        <w:rPr>
          <w:rFonts w:ascii="IRNazanin" w:hAnsi="IRNazanin" w:eastAsia="IRNazanin" w:cs="IRNazanin"/>
          <w:lang w:bidi="fa-IR"/>
          <w:color w:val="111111"/>
          <w:sz w:val="28"/>
          <w:szCs w:val="28"/>
          <w:rtl/>
        </w:rPr>
        <w:t xml:space="preserve">شيرازي ، محمّد بن غياث الدين محمّد- ابن غياث شيرازي ، محمّد بن غياث الدین محمّد</w:t>
      </w:r>
    </w:p>
    <w:p>
      <w:pPr>
        <w:pStyle w:val="Heading2"/>
      </w:pPr>
      <w:bookmarkStart w:id="5324" w:name="_Toc4426"/>
      <w:r>
        <w:t>شيرازي ، محمّد بن محمّد شاه</w:t>
      </w:r>
      <w:bookmarkEnd w:id="5324"/>
    </w:p>
    <w:p>
      <w:pPr>
        <w:pStyle w:val="BookText"/>
      </w:pPr>
      <w:r>
        <w:rPr>
          <w:rFonts w:ascii="Amiri" w:hAnsi="Amiri" w:eastAsia="Amiri" w:cs="Amiri"/>
          <w:lang w:bidi="ar-SA"/>
          <w:color w:val="111111"/>
          <w:sz w:val="28"/>
          <w:szCs w:val="28"/>
          <w:rtl/>
        </w:rPr>
        <w:t xml:space="preserve">اقوال الأئمة الهداة، ج 2، ص 634.</w:t>
      </w:r>
    </w:p>
    <w:p>
      <w:pPr>
        <w:pStyle w:val="BookText"/>
      </w:pPr>
      <w:r>
        <w:rPr>
          <w:rFonts w:ascii="Amiri" w:hAnsi="Amiri" w:eastAsia="Amiri" w:cs="Amiri"/>
          <w:lang w:bidi="ar-SA"/>
          <w:color w:val="111111"/>
          <w:sz w:val="28"/>
          <w:szCs w:val="28"/>
          <w:rtl/>
        </w:rPr>
        <w:t xml:space="preserve">شيرازي ، محمّد بن محمّد صادق- تمامي</w:t>
      </w:r>
    </w:p>
    <w:p>
      <w:pPr>
        <w:pStyle w:val="BookText"/>
      </w:pPr>
      <w:r>
        <w:rPr>
          <w:rFonts w:ascii="Amiri" w:hAnsi="Amiri" w:eastAsia="Amiri" w:cs="Amiri"/>
          <w:lang w:bidi="ar-SA"/>
          <w:color w:val="111111"/>
          <w:sz w:val="28"/>
          <w:szCs w:val="28"/>
          <w:rtl/>
        </w:rPr>
        <w:t xml:space="preserve">شيرازي ، محمّد بن محمّد صادق</w:t>
      </w:r>
    </w:p>
    <w:p>
      <w:pPr>
        <w:pStyle w:val="Heading2"/>
      </w:pPr>
      <w:bookmarkStart w:id="5325" w:name="_Toc4427"/>
      <w:r>
        <w:t>شيرازي ، محمّد بن معصوم قرن 13 ه-</w:t>
      </w:r>
      <w:bookmarkEnd w:id="5325"/>
    </w:p>
    <w:p>
      <w:pPr>
        <w:pStyle w:val="BookText"/>
      </w:pPr>
      <w:r>
        <w:rPr>
          <w:rFonts w:ascii="Amiri" w:hAnsi="Amiri" w:eastAsia="Amiri" w:cs="Amiri"/>
          <w:lang w:bidi="ar-SA"/>
          <w:color w:val="111111"/>
          <w:sz w:val="28"/>
          <w:szCs w:val="28"/>
          <w:rtl/>
        </w:rPr>
        <w:t xml:space="preserve">الكوكب الدري في علاج الحصبة و</w:t>
      </w:r>
    </w:p>
    <w:p>
      <w:pPr>
        <w:pStyle w:val="BookText"/>
      </w:pPr>
      <w:r>
        <w:rPr>
          <w:rFonts w:ascii="Amiri" w:hAnsi="Amiri" w:eastAsia="Amiri" w:cs="Amiri"/>
          <w:lang w:bidi="ar-SA"/>
          <w:color w:val="111111"/>
          <w:sz w:val="28"/>
          <w:szCs w:val="28"/>
          <w:rtl/>
        </w:rPr>
        <w:t xml:space="preserve">الجدري، ج 13، ص 470.</w:t>
      </w:r>
    </w:p>
    <w:p>
      <w:pPr>
        <w:pStyle w:val="Heading2"/>
      </w:pPr>
      <w:bookmarkStart w:id="5326" w:name="_Toc4428"/>
      <w:r>
        <w:t>شيرازي ، محمّد بن منصور</w:t>
      </w:r>
      <w:bookmarkEnd w:id="5326"/>
    </w:p>
    <w:p>
      <w:pPr>
        <w:pStyle w:val="BookText"/>
      </w:pPr>
      <w:r>
        <w:rPr>
          <w:rFonts w:ascii="Amiri" w:hAnsi="Amiri" w:eastAsia="Amiri" w:cs="Amiri"/>
          <w:lang w:bidi="ar-SA"/>
          <w:color w:val="111111"/>
          <w:sz w:val="28"/>
          <w:szCs w:val="28"/>
          <w:rtl/>
        </w:rPr>
        <w:t xml:space="preserve">1 .شرح حواشي الفصول، ج9، ص 428.</w:t>
      </w:r>
    </w:p>
    <w:p>
      <w:pPr>
        <w:pStyle w:val="BookText"/>
      </w:pPr>
      <w:r>
        <w:rPr>
          <w:rFonts w:ascii="Amiri" w:hAnsi="Amiri" w:eastAsia="Amiri" w:cs="Amiri"/>
          <w:lang w:bidi="ar-SA"/>
          <w:color w:val="111111"/>
          <w:sz w:val="28"/>
          <w:szCs w:val="28"/>
          <w:rtl/>
        </w:rPr>
        <w:t xml:space="preserve">2 .قوس قزح (رسالة في)، ج12،</w:t>
      </w:r>
    </w:p>
    <w:p>
      <w:pPr>
        <w:pStyle w:val="BookText"/>
      </w:pPr>
      <w:r>
        <w:rPr>
          <w:rFonts w:ascii="IRNazanin" w:hAnsi="IRNazanin" w:eastAsia="IRNazanin" w:cs="IRNazanin"/>
          <w:lang w:bidi="fa-IR"/>
          <w:color w:val="111111"/>
          <w:sz w:val="28"/>
          <w:szCs w:val="28"/>
          <w:rtl/>
        </w:rPr>
        <w:t xml:space="preserve">ص 835.</w:t>
      </w:r>
    </w:p>
    <w:p>
      <w:pPr>
        <w:pStyle w:val="Heading2"/>
      </w:pPr>
      <w:bookmarkStart w:id="5327" w:name="_Toc4429"/>
      <w:r>
        <w:t>شيرازي ، محمّد بن يوسف</w:t>
      </w:r>
      <w:bookmarkEnd w:id="5327"/>
    </w:p>
    <w:p>
      <w:pPr>
        <w:pStyle w:val="BookText"/>
      </w:pPr>
      <w:r>
        <w:rPr>
          <w:rFonts w:ascii="Amiri" w:hAnsi="Amiri" w:eastAsia="Amiri" w:cs="Amiri"/>
          <w:lang w:bidi="ar-SA"/>
          <w:color w:val="111111"/>
          <w:sz w:val="28"/>
          <w:szCs w:val="28"/>
          <w:rtl/>
        </w:rPr>
        <w:t xml:space="preserve">الممسوخين (منظومة في) = منظومة</w:t>
      </w:r>
    </w:p>
    <w:p>
      <w:pPr>
        <w:pStyle w:val="BookText"/>
      </w:pPr>
      <w:r>
        <w:rPr>
          <w:rFonts w:ascii="Amiri" w:hAnsi="Amiri" w:eastAsia="Amiri" w:cs="Amiri"/>
          <w:lang w:bidi="ar-SA"/>
          <w:color w:val="111111"/>
          <w:sz w:val="28"/>
          <w:szCs w:val="28"/>
          <w:rtl/>
        </w:rPr>
        <w:t xml:space="preserve">في الممسوخين، ج 15 ، ص 471.</w:t>
      </w:r>
    </w:p>
    <w:p>
      <w:pPr>
        <w:pStyle w:val="BookText"/>
      </w:pPr>
      <w:r>
        <w:rPr>
          <w:rFonts w:ascii="Amiri" w:hAnsi="Amiri" w:eastAsia="Amiri" w:cs="Amiri"/>
          <w:lang w:bidi="ar-SA"/>
          <w:color w:val="111111"/>
          <w:sz w:val="28"/>
          <w:szCs w:val="28"/>
          <w:rtl/>
        </w:rPr>
        <w:t xml:space="preserve">شيرازي ، محمّد تقي- ملك الاطباء ، محمّد</w:t>
      </w:r>
    </w:p>
    <w:p>
      <w:pPr>
        <w:pStyle w:val="BookText"/>
      </w:pPr>
      <w:r>
        <w:rPr>
          <w:rFonts w:ascii="IRNazanin" w:hAnsi="IRNazanin" w:eastAsia="IRNazanin" w:cs="IRNazanin"/>
          <w:lang w:bidi="fa-IR"/>
          <w:color w:val="111111"/>
          <w:sz w:val="28"/>
          <w:szCs w:val="28"/>
          <w:rtl/>
        </w:rPr>
        <w:t xml:space="preserve">تقى</w:t>
      </w:r>
    </w:p>
    <w:p>
      <w:pPr>
        <w:pStyle w:val="Heading2"/>
      </w:pPr>
      <w:bookmarkStart w:id="5328" w:name="_Toc4430"/>
      <w:r>
        <w:t>شيرازي ، محمّد تقي بن محبعلي 1256؟</w:t>
      </w:r>
      <w:bookmarkEnd w:id="53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1338ه-</w:t>
      </w:r>
    </w:p>
    <w:p>
      <w:pPr>
        <w:pStyle w:val="BookText"/>
      </w:pPr>
      <w:r>
        <w:rPr>
          <w:rFonts w:ascii="Amiri" w:hAnsi="Amiri" w:eastAsia="Amiri" w:cs="Amiri"/>
          <w:lang w:bidi="ar-SA"/>
          <w:color w:val="111111"/>
          <w:sz w:val="28"/>
          <w:szCs w:val="28"/>
          <w:rtl/>
        </w:rPr>
        <w:t xml:space="preserve">اجازة لثقة الاسلام الساروي، ج1،</w:t>
      </w:r>
    </w:p>
    <w:p>
      <w:pPr>
        <w:pStyle w:val="BookText"/>
      </w:pPr>
      <w:r>
        <w:rPr>
          <w:rFonts w:ascii="IRNazanin" w:hAnsi="IRNazanin" w:eastAsia="IRNazanin" w:cs="IRNazanin"/>
          <w:lang w:bidi="fa-IR"/>
          <w:color w:val="111111"/>
          <w:sz w:val="28"/>
          <w:szCs w:val="28"/>
          <w:rtl/>
        </w:rPr>
        <w:t xml:space="preserve">ص238.</w:t>
      </w:r>
    </w:p>
    <w:p>
      <w:pPr>
        <w:pStyle w:val="BookText"/>
      </w:pPr>
      <w:r>
        <w:rPr>
          <w:rFonts w:ascii="Amiri" w:hAnsi="Amiri" w:eastAsia="Amiri" w:cs="Amiri"/>
          <w:lang w:bidi="ar-SA"/>
          <w:color w:val="111111"/>
          <w:sz w:val="28"/>
          <w:szCs w:val="28"/>
          <w:rtl/>
        </w:rPr>
        <w:t xml:space="preserve">شيرازي ، محمّد حسن بن</w:t>
      </w:r>
    </w:p>
    <w:p>
      <w:pPr>
        <w:pStyle w:val="BookText"/>
      </w:pPr>
      <w:r>
        <w:rPr>
          <w:rFonts w:ascii="Amiri" w:hAnsi="Amiri" w:eastAsia="Amiri" w:cs="Amiri"/>
          <w:lang w:bidi="ar-SA"/>
          <w:color w:val="111111"/>
          <w:sz w:val="28"/>
          <w:szCs w:val="28"/>
          <w:rtl/>
        </w:rPr>
        <w:t xml:space="preserve">معصوم- شيرازي ، محمّد بن معصوم</w:t>
      </w:r>
    </w:p>
    <w:p>
      <w:pPr>
        <w:pStyle w:val="Heading2"/>
      </w:pPr>
      <w:bookmarkStart w:id="5329" w:name="_Toc4431"/>
      <w:r>
        <w:t>شيرازي ، محمّد حسین</w:t>
      </w:r>
      <w:bookmarkEnd w:id="5329"/>
    </w:p>
    <w:p>
      <w:pPr>
        <w:pStyle w:val="BookText"/>
      </w:pPr>
      <w:r>
        <w:rPr>
          <w:rFonts w:ascii="Amiri" w:hAnsi="Amiri" w:eastAsia="Amiri" w:cs="Amiri"/>
          <w:lang w:bidi="ar-SA"/>
          <w:color w:val="111111"/>
          <w:sz w:val="28"/>
          <w:szCs w:val="28"/>
          <w:rtl/>
        </w:rPr>
        <w:t xml:space="preserve">رساله عمليه، ج8، ص231.</w:t>
      </w:r>
    </w:p>
    <w:p>
      <w:pPr>
        <w:pStyle w:val="BookText"/>
      </w:pPr>
      <w:r>
        <w:rPr>
          <w:rFonts w:ascii="Amiri" w:hAnsi="Amiri" w:eastAsia="Amiri" w:cs="Amiri"/>
          <w:lang w:bidi="ar-SA"/>
          <w:color w:val="111111"/>
          <w:sz w:val="28"/>
          <w:szCs w:val="28"/>
          <w:rtl/>
        </w:rPr>
        <w:t xml:space="preserve">شيرازي ، محمّد رضا بن اسماعيل- موسوي</w:t>
      </w:r>
    </w:p>
    <w:p>
      <w:pPr>
        <w:pStyle w:val="BookText"/>
      </w:pPr>
      <w:r>
        <w:rPr>
          <w:rFonts w:ascii="IRNazanin" w:hAnsi="IRNazanin" w:eastAsia="IRNazanin" w:cs="IRNazanin"/>
          <w:lang w:bidi="fa-IR"/>
          <w:color w:val="111111"/>
          <w:sz w:val="28"/>
          <w:szCs w:val="28"/>
          <w:rtl/>
        </w:rPr>
        <w:t xml:space="preserve">شيرازي ، محمّد رضا بن اسماعیل</w:t>
      </w:r>
    </w:p>
    <w:p>
      <w:pPr>
        <w:pStyle w:val="BookText"/>
      </w:pPr>
      <w:r>
        <w:rPr>
          <w:rFonts w:ascii="Amiri" w:hAnsi="Amiri" w:eastAsia="Amiri" w:cs="Amiri"/>
          <w:lang w:bidi="ar-SA"/>
          <w:color w:val="111111"/>
          <w:sz w:val="28"/>
          <w:szCs w:val="28"/>
          <w:rtl/>
        </w:rPr>
        <w:t xml:space="preserve">شيرازي ، محمّد سعد -شيخ محمّد سعد</w:t>
      </w:r>
    </w:p>
    <w:p>
      <w:pPr>
        <w:pStyle w:val="BookText"/>
      </w:pPr>
      <w:r>
        <w:rPr>
          <w:rFonts w:ascii="IRNazanin" w:hAnsi="IRNazanin" w:eastAsia="IRNazanin" w:cs="IRNazanin"/>
          <w:lang w:bidi="fa-IR"/>
          <w:color w:val="111111"/>
          <w:sz w:val="28"/>
          <w:szCs w:val="28"/>
          <w:rtl/>
        </w:rPr>
        <w:t xml:space="preserve">شيرازي ، محمّد شريف بن محمّد -کاشف</w:t>
      </w:r>
    </w:p>
    <w:p>
      <w:pPr>
        <w:pStyle w:val="BookText"/>
      </w:pPr>
      <w:r>
        <w:rPr>
          <w:rFonts w:ascii="IRNazanin" w:hAnsi="IRNazanin" w:eastAsia="IRNazanin" w:cs="IRNazanin"/>
          <w:lang w:bidi="fa-IR"/>
          <w:color w:val="111111"/>
          <w:sz w:val="28"/>
          <w:szCs w:val="28"/>
          <w:rtl/>
        </w:rPr>
        <w:t xml:space="preserve">شيرازي ، محمّد شریف بن محمّد</w:t>
      </w:r>
    </w:p>
    <w:p>
      <w:pPr>
        <w:pStyle w:val="BookText"/>
      </w:pPr>
      <w:r>
        <w:rPr>
          <w:rFonts w:ascii="Amiri" w:hAnsi="Amiri" w:eastAsia="Amiri" w:cs="Amiri"/>
          <w:lang w:bidi="ar-SA"/>
          <w:color w:val="111111"/>
          <w:sz w:val="28"/>
          <w:szCs w:val="28"/>
          <w:rtl/>
        </w:rPr>
        <w:t xml:space="preserve">شيرازي ، محمّد صالح بن</w:t>
      </w:r>
    </w:p>
    <w:p>
      <w:pPr>
        <w:pStyle w:val="BookText"/>
      </w:pPr>
      <w:r>
        <w:rPr>
          <w:rFonts w:ascii="IRNazanin" w:hAnsi="IRNazanin" w:eastAsia="IRNazanin" w:cs="IRNazanin"/>
          <w:lang w:bidi="fa-IR"/>
          <w:color w:val="111111"/>
          <w:sz w:val="28"/>
          <w:szCs w:val="28"/>
          <w:rtl/>
        </w:rPr>
        <w:t xml:space="preserve">مسعود -دستغیب ، محمّد صالح بن مسعود</w:t>
      </w:r>
    </w:p>
    <w:p>
      <w:pPr>
        <w:pStyle w:val="BookText"/>
      </w:pPr>
      <w:r>
        <w:rPr>
          <w:rFonts w:ascii="Amiri" w:hAnsi="Amiri" w:eastAsia="Amiri" w:cs="Amiri"/>
          <w:lang w:bidi="ar-SA"/>
          <w:color w:val="111111"/>
          <w:sz w:val="28"/>
          <w:szCs w:val="28"/>
          <w:rtl/>
        </w:rPr>
        <w:t xml:space="preserve">شيرازي ، محمّد طاهر بن محمّد حسين- قمي ، محمّد طاهر بن محمّد حسين</w:t>
      </w:r>
    </w:p>
    <w:p>
      <w:pPr>
        <w:pStyle w:val="BookText"/>
      </w:pPr>
      <w:r>
        <w:rPr>
          <w:rFonts w:ascii="Amiri" w:hAnsi="Amiri" w:eastAsia="Amiri" w:cs="Amiri"/>
          <w:lang w:bidi="ar-SA"/>
          <w:color w:val="111111"/>
          <w:sz w:val="28"/>
          <w:szCs w:val="28"/>
          <w:rtl/>
        </w:rPr>
        <w:t xml:space="preserve">شيرازي ، محمّد علي، قرن 14 ه-</w:t>
      </w:r>
    </w:p>
    <w:p>
      <w:pPr>
        <w:pStyle w:val="BookText"/>
      </w:pPr>
      <w:r>
        <w:rPr>
          <w:rFonts w:ascii="Amiri" w:hAnsi="Amiri" w:eastAsia="Amiri" w:cs="Amiri"/>
          <w:lang w:bidi="ar-SA"/>
          <w:color w:val="111111"/>
          <w:sz w:val="28"/>
          <w:szCs w:val="28"/>
          <w:rtl/>
        </w:rPr>
        <w:t xml:space="preserve">ترجمة بعض القصائد العربية في</w:t>
      </w:r>
    </w:p>
    <w:p>
      <w:pPr>
        <w:pStyle w:val="BookText"/>
      </w:pPr>
      <w:r>
        <w:rPr>
          <w:rFonts w:ascii="Amiri" w:hAnsi="Amiri" w:eastAsia="Amiri" w:cs="Amiri"/>
          <w:lang w:bidi="ar-SA"/>
          <w:color w:val="111111"/>
          <w:sz w:val="28"/>
          <w:szCs w:val="28"/>
          <w:rtl/>
        </w:rPr>
        <w:t xml:space="preserve">المراثي الحسينية، ج4، ص 263.</w:t>
      </w:r>
    </w:p>
    <w:p>
      <w:pPr>
        <w:pStyle w:val="Heading2"/>
      </w:pPr>
      <w:bookmarkStart w:id="5330" w:name="_Toc4432"/>
      <w:r>
        <w:t>شيرازي ، محمّد علي بن محمّد صادق</w:t>
      </w:r>
      <w:bookmarkEnd w:id="5330"/>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ديوان شيرازي، ج 7، ص 678.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53" w:name="pg7742_70643"/>
    <w:bookmarkEnd w:id="653"/>
    <w:p>
      <w:pPr>
        <w:pStyle w:val="Heading2"/>
      </w:pPr>
      <w:bookmarkStart w:id="5331" w:name="_Toc4433"/>
      <w:r>
        <w:t>شيرازي ، محمّد کاظم، 1253 - 1326</w:t>
      </w:r>
      <w:bookmarkEnd w:id="5331"/>
    </w:p>
    <w:p>
      <w:pPr>
        <w:pStyle w:val="BookText"/>
      </w:pPr>
      <w:r>
        <w:rPr>
          <w:rFonts w:ascii="Amiri" w:hAnsi="Amiri" w:eastAsia="Amiri" w:cs="Amiri"/>
          <w:lang w:bidi="ar-SA"/>
          <w:color w:val="111111"/>
          <w:sz w:val="28"/>
          <w:szCs w:val="28"/>
          <w:rtl/>
        </w:rPr>
        <w:t xml:space="preserve">مجموعة تأليفات الشيخ كاظم</w:t>
      </w:r>
    </w:p>
    <w:p>
      <w:pPr>
        <w:pStyle w:val="BookText"/>
      </w:pPr>
      <w:r>
        <w:rPr>
          <w:rFonts w:ascii="Amiri" w:hAnsi="Amiri" w:eastAsia="Amiri" w:cs="Amiri"/>
          <w:lang w:bidi="ar-SA"/>
          <w:color w:val="111111"/>
          <w:sz w:val="28"/>
          <w:szCs w:val="28"/>
          <w:rtl/>
        </w:rPr>
        <w:t xml:space="preserve">الشيرازي، ج 14، ص 24.</w:t>
      </w:r>
    </w:p>
    <w:p>
      <w:pPr>
        <w:pStyle w:val="BookText"/>
      </w:pPr>
      <w:r>
        <w:rPr>
          <w:rFonts w:ascii="Amiri" w:hAnsi="Amiri" w:eastAsia="Amiri" w:cs="Amiri"/>
          <w:lang w:bidi="ar-SA"/>
          <w:color w:val="111111"/>
          <w:sz w:val="28"/>
          <w:szCs w:val="28"/>
          <w:rtl/>
        </w:rPr>
        <w:t xml:space="preserve">شيرازي ، محمبد مؤمن بن محمّد</w:t>
      </w:r>
    </w:p>
    <w:p>
      <w:pPr>
        <w:pStyle w:val="BookText"/>
      </w:pPr>
      <w:r>
        <w:rPr>
          <w:rFonts w:ascii="Amiri" w:hAnsi="Amiri" w:eastAsia="Amiri" w:cs="Amiri"/>
          <w:lang w:bidi="ar-SA"/>
          <w:color w:val="111111"/>
          <w:sz w:val="28"/>
          <w:szCs w:val="28"/>
          <w:rtl/>
        </w:rPr>
        <w:t xml:space="preserve">قاسم -جزائري شيرازي ، محمّد مؤمن بن</w:t>
      </w:r>
    </w:p>
    <w:p>
      <w:pPr>
        <w:pStyle w:val="BookText"/>
      </w:pPr>
      <w:r>
        <w:rPr>
          <w:rFonts w:ascii="Amiri" w:hAnsi="Amiri" w:eastAsia="Amiri" w:cs="Amiri"/>
          <w:lang w:bidi="ar-SA"/>
          <w:color w:val="111111"/>
          <w:sz w:val="28"/>
          <w:szCs w:val="28"/>
          <w:rtl/>
        </w:rPr>
        <w:t xml:space="preserve">محمّد قاسم</w:t>
      </w:r>
    </w:p>
    <w:p>
      <w:pPr>
        <w:pStyle w:val="BookText"/>
      </w:pPr>
      <w:r>
        <w:rPr>
          <w:rFonts w:ascii="Amiri" w:hAnsi="Amiri" w:eastAsia="Amiri" w:cs="Amiri"/>
          <w:lang w:bidi="ar-SA"/>
          <w:color w:val="111111"/>
          <w:sz w:val="28"/>
          <w:szCs w:val="28"/>
          <w:rtl/>
        </w:rPr>
        <w:t xml:space="preserve">شيرازي ، محمّد معصوم بن كريم الدين- شوشتري ، محمّد معصوم بن كريم</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شيرازي ، محمّد مهدي -صابر شيرازي</w:t>
      </w:r>
    </w:p>
    <w:p>
      <w:pPr>
        <w:pStyle w:val="BookText"/>
      </w:pPr>
      <w:r>
        <w:rPr>
          <w:rFonts w:ascii="Amiri" w:hAnsi="Amiri" w:eastAsia="Amiri" w:cs="Amiri"/>
          <w:lang w:bidi="ar-SA"/>
          <w:color w:val="111111"/>
          <w:sz w:val="28"/>
          <w:szCs w:val="28"/>
          <w:rtl/>
        </w:rPr>
        <w:t xml:space="preserve">مهدي بن محمّد</w:t>
      </w:r>
    </w:p>
    <w:p>
      <w:pPr>
        <w:pStyle w:val="Heading2"/>
      </w:pPr>
      <w:bookmarkStart w:id="5332" w:name="_Toc4434"/>
      <w:r>
        <w:t>شيرازي ، محمّد هادي بن محمّد محمّد صالح</w:t>
      </w:r>
      <w:bookmarkEnd w:id="5332"/>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عافية البرية في شرح الذهبية، ج11،</w:t>
      </w:r>
    </w:p>
    <w:p>
      <w:pPr>
        <w:pStyle w:val="BookText"/>
      </w:pPr>
      <w:r>
        <w:rPr>
          <w:rFonts w:ascii="IRNazanin" w:hAnsi="IRNazanin" w:eastAsia="IRNazanin" w:cs="IRNazanin"/>
          <w:lang w:bidi="fa-IR"/>
          <w:color w:val="111111"/>
          <w:sz w:val="28"/>
          <w:szCs w:val="28"/>
          <w:rtl/>
        </w:rPr>
        <w:t xml:space="preserve">ص 4 .</w:t>
      </w:r>
    </w:p>
    <w:p>
      <w:pPr>
        <w:pStyle w:val="BookText"/>
      </w:pPr>
      <w:r>
        <w:rPr>
          <w:rFonts w:ascii="Amiri" w:hAnsi="Amiri" w:eastAsia="Amiri" w:cs="Amiri"/>
          <w:lang w:bidi="ar-SA"/>
          <w:color w:val="111111"/>
          <w:sz w:val="28"/>
          <w:szCs w:val="28"/>
          <w:rtl/>
        </w:rPr>
        <w:t xml:space="preserve">شيرازي ، محمود بن الياس- نجم الدين</w:t>
      </w:r>
    </w:p>
    <w:p>
      <w:pPr>
        <w:pStyle w:val="BookText"/>
      </w:pPr>
      <w:r>
        <w:rPr>
          <w:rFonts w:ascii="Amiri" w:hAnsi="Amiri" w:eastAsia="Amiri" w:cs="Amiri"/>
          <w:lang w:bidi="ar-SA"/>
          <w:color w:val="111111"/>
          <w:sz w:val="28"/>
          <w:szCs w:val="28"/>
          <w:rtl/>
        </w:rPr>
        <w:t xml:space="preserve">شيرازي ، محمود بن الياس</w:t>
      </w:r>
    </w:p>
    <w:p>
      <w:pPr>
        <w:pStyle w:val="BookText"/>
      </w:pPr>
      <w:r>
        <w:rPr>
          <w:rFonts w:ascii="Amiri" w:hAnsi="Amiri" w:eastAsia="Amiri" w:cs="Amiri"/>
          <w:lang w:bidi="ar-SA"/>
          <w:color w:val="111111"/>
          <w:sz w:val="28"/>
          <w:szCs w:val="28"/>
          <w:rtl/>
        </w:rPr>
        <w:t xml:space="preserve">شيرازي ، محمود بن مسعود -عماد الدين</w:t>
      </w:r>
    </w:p>
    <w:p>
      <w:pPr>
        <w:pStyle w:val="BookText"/>
      </w:pPr>
      <w:r>
        <w:rPr>
          <w:rFonts w:ascii="Amiri" w:hAnsi="Amiri" w:eastAsia="Amiri" w:cs="Amiri"/>
          <w:lang w:bidi="ar-SA"/>
          <w:color w:val="111111"/>
          <w:sz w:val="28"/>
          <w:szCs w:val="28"/>
          <w:rtl/>
        </w:rPr>
        <w:t xml:space="preserve">شيرازي ، محمود بن مسعود</w:t>
      </w:r>
    </w:p>
    <w:p>
      <w:pPr>
        <w:pStyle w:val="BookText"/>
      </w:pPr>
      <w:r>
        <w:rPr>
          <w:rFonts w:ascii="Amiri" w:hAnsi="Amiri" w:eastAsia="Amiri" w:cs="Amiri"/>
          <w:lang w:bidi="ar-SA"/>
          <w:color w:val="111111"/>
          <w:sz w:val="28"/>
          <w:szCs w:val="28"/>
          <w:rtl/>
        </w:rPr>
        <w:t xml:space="preserve">شيرازي ، محمود بن مسعود -قطب الدين</w:t>
      </w:r>
    </w:p>
    <w:p>
      <w:pPr>
        <w:pStyle w:val="BookText"/>
      </w:pPr>
      <w:r>
        <w:rPr>
          <w:rFonts w:ascii="Amiri" w:hAnsi="Amiri" w:eastAsia="Amiri" w:cs="Amiri"/>
          <w:lang w:bidi="ar-SA"/>
          <w:color w:val="111111"/>
          <w:sz w:val="28"/>
          <w:szCs w:val="28"/>
          <w:rtl/>
        </w:rPr>
        <w:t xml:space="preserve">شيرازي ، محمود بن مسعود</w:t>
      </w:r>
    </w:p>
    <w:p>
      <w:pPr>
        <w:pStyle w:val="Heading2"/>
      </w:pPr>
      <w:bookmarkStart w:id="5333" w:name="_Toc4435"/>
      <w:r>
        <w:t>شيرازي ، محمود بن يعقوب قرن 10 ه-</w:t>
      </w:r>
      <w:bookmarkEnd w:id="5333"/>
    </w:p>
    <w:p>
      <w:pPr>
        <w:pStyle w:val="BookText"/>
      </w:pPr>
      <w:r>
        <w:rPr>
          <w:rFonts w:ascii="Amiri" w:hAnsi="Amiri" w:eastAsia="Amiri" w:cs="Amiri"/>
          <w:lang w:bidi="ar-SA"/>
          <w:color w:val="111111"/>
          <w:sz w:val="28"/>
          <w:szCs w:val="28"/>
          <w:rtl/>
        </w:rPr>
        <w:t xml:space="preserve">حاشية اثبات الواجب الجديد، ج5، ص 649.</w:t>
      </w:r>
    </w:p>
    <w:p>
      <w:pPr>
        <w:pStyle w:val="Heading2"/>
      </w:pPr>
      <w:bookmarkStart w:id="5334" w:name="_Toc4436"/>
      <w:r>
        <w:t>شيرازي ، ملا محمّد علي</w:t>
      </w:r>
      <w:bookmarkEnd w:id="5334"/>
    </w:p>
    <w:p>
      <w:pPr>
        <w:pStyle w:val="BookText"/>
      </w:pPr>
      <w:r>
        <w:rPr>
          <w:rFonts w:ascii="IRNazanin" w:hAnsi="IRNazanin" w:eastAsia="IRNazanin" w:cs="IRNazanin"/>
          <w:lang w:bidi="fa-IR"/>
          <w:color w:val="111111"/>
          <w:sz w:val="28"/>
          <w:szCs w:val="28"/>
          <w:rtl/>
        </w:rPr>
        <w:t xml:space="preserve">اشکالات مسائل الفقه، ج 2، ص 344.</w:t>
      </w:r>
    </w:p>
    <w:p>
      <w:pPr>
        <w:pStyle w:val="BookText"/>
      </w:pPr>
      <w:r>
        <w:rPr>
          <w:rFonts w:ascii="Amiri" w:hAnsi="Amiri" w:eastAsia="Amiri" w:cs="Amiri"/>
          <w:lang w:bidi="ar-SA"/>
          <w:color w:val="111111"/>
          <w:sz w:val="28"/>
          <w:szCs w:val="28"/>
          <w:rtl/>
        </w:rPr>
        <w:t xml:space="preserve">شيرازي ، مسعود - ركن الدين شيرازي ،</w:t>
      </w:r>
    </w:p>
    <w:p>
      <w:pPr>
        <w:pStyle w:val="BookText"/>
      </w:pPr>
      <w:r>
        <w:rPr>
          <w:rFonts w:ascii="IRNazanin" w:hAnsi="IRNazanin" w:eastAsia="IRNazanin" w:cs="IRNazanin"/>
          <w:lang w:bidi="fa-IR"/>
          <w:color w:val="111111"/>
          <w:sz w:val="28"/>
          <w:szCs w:val="28"/>
          <w:rtl/>
        </w:rPr>
        <w:t xml:space="preserve">مسعود بن عبدالله</w:t>
      </w:r>
    </w:p>
    <w:p>
      <w:pPr>
        <w:pStyle w:val="Heading2"/>
      </w:pPr>
      <w:bookmarkStart w:id="5335" w:name="_Toc4437"/>
      <w:r>
        <w:t>شيرازي ، ملامسعود</w:t>
      </w:r>
      <w:bookmarkEnd w:id="5335"/>
    </w:p>
    <w:p>
      <w:pPr>
        <w:pStyle w:val="BookText"/>
      </w:pPr>
      <w:r>
        <w:rPr>
          <w:rFonts w:ascii="Amiri" w:hAnsi="Amiri" w:eastAsia="Amiri" w:cs="Amiri"/>
          <w:lang w:bidi="ar-SA"/>
          <w:color w:val="111111"/>
          <w:sz w:val="28"/>
          <w:szCs w:val="28"/>
          <w:rtl/>
        </w:rPr>
        <w:t xml:space="preserve">حاشية شرح المطالع، ج 1، ص 183.</w:t>
      </w:r>
    </w:p>
    <w:p>
      <w:pPr>
        <w:pStyle w:val="BookText"/>
      </w:pPr>
      <w:r>
        <w:rPr>
          <w:rFonts w:ascii="Amiri" w:hAnsi="Amiri" w:eastAsia="Amiri" w:cs="Amiri"/>
          <w:lang w:bidi="ar-SA"/>
          <w:color w:val="111111"/>
          <w:sz w:val="28"/>
          <w:szCs w:val="28"/>
          <w:rtl/>
        </w:rPr>
        <w:t xml:space="preserve">شيرازي ، منصور بن عبدالله -فارسي</w:t>
      </w:r>
    </w:p>
    <w:p>
      <w:pPr>
        <w:pStyle w:val="BookText"/>
      </w:pPr>
      <w:r>
        <w:rPr>
          <w:rFonts w:ascii="Amiri" w:hAnsi="Amiri" w:eastAsia="Amiri" w:cs="Amiri"/>
          <w:lang w:bidi="ar-SA"/>
          <w:color w:val="111111"/>
          <w:sz w:val="28"/>
          <w:szCs w:val="28"/>
          <w:rtl/>
        </w:rPr>
        <w:t xml:space="preserve">شيرازي ، منصور بن عبدالله</w:t>
      </w:r>
    </w:p>
    <w:p>
      <w:pPr>
        <w:pStyle w:val="Heading2"/>
      </w:pPr>
      <w:bookmarkStart w:id="5336" w:name="_Toc4438"/>
      <w:r>
        <w:t>شيرازي ، منصور بن محمّد - 809 ه-</w:t>
      </w:r>
      <w:bookmarkEnd w:id="5336"/>
    </w:p>
    <w:p>
      <w:pPr>
        <w:pStyle w:val="BookText"/>
      </w:pPr>
      <w:r>
        <w:rPr>
          <w:rFonts w:ascii="Amiri" w:hAnsi="Amiri" w:eastAsia="Amiri" w:cs="Amiri"/>
          <w:lang w:bidi="ar-SA"/>
          <w:color w:val="111111"/>
          <w:sz w:val="28"/>
          <w:szCs w:val="28"/>
          <w:rtl/>
        </w:rPr>
        <w:t xml:space="preserve">1 .تشريح الابدان - تشريح منصوري تشريح البدن = التشريح</w:t>
      </w:r>
    </w:p>
    <w:p>
      <w:pPr>
        <w:pStyle w:val="BookText"/>
      </w:pPr>
      <w:r>
        <w:rPr>
          <w:rFonts w:ascii="Amiri" w:hAnsi="Amiri" w:eastAsia="Amiri" w:cs="Amiri"/>
          <w:lang w:bidi="ar-SA"/>
          <w:color w:val="111111"/>
          <w:sz w:val="28"/>
          <w:szCs w:val="28"/>
          <w:rtl/>
        </w:rPr>
        <w:t xml:space="preserve">بالتصوير، ج 4، ص 362.</w:t>
      </w:r>
    </w:p>
    <w:p>
      <w:pPr>
        <w:pStyle w:val="BookText"/>
      </w:pPr>
      <w:r>
        <w:rPr>
          <w:rFonts w:ascii="Amiri" w:hAnsi="Amiri" w:eastAsia="Amiri" w:cs="Amiri"/>
          <w:lang w:bidi="ar-SA"/>
          <w:color w:val="111111"/>
          <w:sz w:val="28"/>
          <w:szCs w:val="28"/>
          <w:rtl/>
        </w:rPr>
        <w:t xml:space="preserve">2 .الطب( كتاب في)، ج 10، ص 740.</w:t>
      </w:r>
    </w:p>
    <w:p>
      <w:pPr>
        <w:pStyle w:val="BookText"/>
      </w:pPr>
      <w:r>
        <w:rPr>
          <w:rFonts w:ascii="Amiri" w:hAnsi="Amiri" w:eastAsia="Amiri" w:cs="Amiri"/>
          <w:lang w:bidi="ar-SA"/>
          <w:color w:val="111111"/>
          <w:sz w:val="28"/>
          <w:szCs w:val="28"/>
          <w:rtl/>
        </w:rPr>
        <w:t xml:space="preserve">3 .كفايه مجاهديه = كفايه منصوري</w:t>
      </w:r>
    </w:p>
    <w:p>
      <w:pPr>
        <w:pStyle w:val="BookText"/>
      </w:pPr>
      <w:r>
        <w:rPr>
          <w:rFonts w:ascii="Amiri" w:hAnsi="Amiri" w:eastAsia="Amiri" w:cs="Amiri"/>
          <w:lang w:bidi="ar-SA"/>
          <w:color w:val="111111"/>
          <w:sz w:val="28"/>
          <w:szCs w:val="28"/>
          <w:rtl/>
        </w:rPr>
        <w:t xml:space="preserve">طب منصوري، ج13، ص 336.</w:t>
      </w:r>
    </w:p>
    <w:p>
      <w:pPr>
        <w:pStyle w:val="Heading2"/>
      </w:pPr>
      <w:bookmarkStart w:id="5337" w:name="_Toc4439"/>
      <w:r>
        <w:t>شيرازي ، مهدي، 1304 - 1380</w:t>
      </w:r>
      <w:bookmarkEnd w:id="5337"/>
    </w:p>
    <w:p>
      <w:pPr>
        <w:pStyle w:val="BookText"/>
      </w:pPr>
      <w:r>
        <w:rPr>
          <w:rFonts w:ascii="Amiri" w:hAnsi="Amiri" w:eastAsia="Amiri" w:cs="Amiri"/>
          <w:lang w:bidi="ar-SA"/>
          <w:color w:val="111111"/>
          <w:sz w:val="28"/>
          <w:szCs w:val="28"/>
          <w:rtl/>
        </w:rPr>
        <w:t xml:space="preserve">الأدعية، ج 1 ، ص 606.</w:t>
      </w:r>
    </w:p>
    <w:p>
      <w:pPr>
        <w:pStyle w:val="BookText"/>
      </w:pPr>
      <w:r>
        <w:rPr>
          <w:rFonts w:ascii="Amiri" w:hAnsi="Amiri" w:eastAsia="Amiri" w:cs="Amiri"/>
          <w:lang w:bidi="ar-SA"/>
          <w:color w:val="111111"/>
          <w:sz w:val="28"/>
          <w:szCs w:val="28"/>
          <w:rtl/>
        </w:rPr>
        <w:t xml:space="preserve">شيرازي ، مهدي بن محمّد -صابر شيرازي ، مهدي بن محمّد</w:t>
      </w:r>
    </w:p>
    <w:p>
      <w:pPr>
        <w:pStyle w:val="BookText"/>
      </w:pPr>
      <w:r>
        <w:rPr>
          <w:rFonts w:ascii="IRNazanin" w:hAnsi="IRNazanin" w:eastAsia="IRNazanin" w:cs="IRNazanin"/>
          <w:lang w:bidi="fa-IR"/>
          <w:color w:val="111111"/>
          <w:sz w:val="28"/>
          <w:szCs w:val="28"/>
          <w:rtl/>
        </w:rPr>
        <w:t xml:space="preserve">شيرازي ، ناصر الدین احمد بن</w:t>
      </w:r>
    </w:p>
    <w:p>
      <w:pPr>
        <w:pStyle w:val="BookText"/>
      </w:pPr>
      <w:r>
        <w:rPr>
          <w:rFonts w:ascii="Amiri" w:hAnsi="Amiri" w:eastAsia="Amiri" w:cs="Amiri"/>
          <w:lang w:bidi="ar-SA"/>
          <w:color w:val="111111"/>
          <w:sz w:val="28"/>
          <w:szCs w:val="28"/>
          <w:rtl/>
        </w:rPr>
        <w:t xml:space="preserve">حيدر -شيرازي ، احمد بن حيدر</w:t>
      </w:r>
    </w:p>
    <w:p>
      <w:pPr>
        <w:pStyle w:val="BookText"/>
      </w:pPr>
      <w:r>
        <w:rPr>
          <w:rFonts w:ascii="Amiri" w:hAnsi="Amiri" w:eastAsia="Amiri" w:cs="Amiri"/>
          <w:lang w:bidi="ar-SA"/>
          <w:color w:val="111111"/>
          <w:sz w:val="28"/>
          <w:szCs w:val="28"/>
          <w:rtl/>
        </w:rPr>
        <w:t xml:space="preserve">شيرازي ، ناصر بن حيدر- شيرازي ، احمد</w:t>
      </w:r>
    </w:p>
    <w:p>
      <w:pPr>
        <w:pStyle w:val="BookText"/>
      </w:pPr>
      <w:r>
        <w:rPr>
          <w:rFonts w:ascii="Amiri" w:hAnsi="Amiri" w:eastAsia="Amiri" w:cs="Amiri"/>
          <w:lang w:bidi="ar-SA"/>
          <w:color w:val="111111"/>
          <w:sz w:val="28"/>
          <w:szCs w:val="28"/>
          <w:rtl/>
        </w:rPr>
        <w:t xml:space="preserve">بن حيدر</w:t>
      </w:r>
    </w:p>
    <w:p>
      <w:pPr>
        <w:pStyle w:val="BookText"/>
      </w:pPr>
      <w:r>
        <w:rPr>
          <w:rFonts w:ascii="Amiri" w:hAnsi="Amiri" w:eastAsia="Amiri" w:cs="Amiri"/>
          <w:lang w:bidi="ar-SA"/>
          <w:color w:val="111111"/>
          <w:sz w:val="28"/>
          <w:szCs w:val="28"/>
          <w:rtl/>
        </w:rPr>
        <w:t xml:space="preserve">شيرازي ، ناصر بن محمّد -شيرازي ، احمد</w:t>
      </w:r>
    </w:p>
    <w:p>
      <w:pPr>
        <w:pStyle w:val="BookText"/>
      </w:pPr>
      <w:r>
        <w:rPr>
          <w:rFonts w:ascii="Amiri" w:hAnsi="Amiri" w:eastAsia="Amiri" w:cs="Amiri"/>
          <w:lang w:bidi="ar-SA"/>
          <w:color w:val="111111"/>
          <w:sz w:val="28"/>
          <w:szCs w:val="28"/>
          <w:rtl/>
        </w:rPr>
        <w:t xml:space="preserve">بن حيدر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54" w:name="pg7742_70644"/>
    <w:bookmarkEnd w:id="654"/>
    <w:p>
      <w:pPr>
        <w:pStyle w:val="Heading2"/>
      </w:pPr>
      <w:bookmarkStart w:id="5338" w:name="_Toc4440"/>
      <w:r>
        <w:t>شيرازي ، نصر بن سعد</w:t>
      </w:r>
      <w:bookmarkEnd w:id="5338"/>
    </w:p>
    <w:p>
      <w:pPr>
        <w:pStyle w:val="BookText"/>
      </w:pPr>
      <w:r>
        <w:rPr>
          <w:rFonts w:ascii="IRNazanin" w:hAnsi="IRNazanin" w:eastAsia="IRNazanin" w:cs="IRNazanin"/>
          <w:lang w:bidi="fa-IR"/>
          <w:color w:val="111111"/>
          <w:sz w:val="28"/>
          <w:szCs w:val="28"/>
          <w:rtl/>
        </w:rPr>
        <w:t xml:space="preserve">سراج القلوب، ج8، ص 735</w:t>
      </w:r>
    </w:p>
    <w:p>
      <w:pPr>
        <w:pStyle w:val="BookText"/>
      </w:pPr>
      <w:r>
        <w:rPr>
          <w:rFonts w:ascii="Amiri" w:hAnsi="Amiri" w:eastAsia="Amiri" w:cs="Amiri"/>
          <w:lang w:bidi="ar-SA"/>
          <w:color w:val="111111"/>
          <w:sz w:val="28"/>
          <w:szCs w:val="28"/>
          <w:rtl/>
        </w:rPr>
        <w:t xml:space="preserve">شيرازي ، نعمت خان عالي -عالي شيرازي ،</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شيرازي ، نورالدين محمّد بن عبدالله- عين</w:t>
      </w:r>
    </w:p>
    <w:p>
      <w:pPr>
        <w:pStyle w:val="BookText"/>
      </w:pPr>
      <w:r>
        <w:rPr>
          <w:rFonts w:ascii="Amiri" w:hAnsi="Amiri" w:eastAsia="Amiri" w:cs="Amiri"/>
          <w:lang w:bidi="ar-SA"/>
          <w:color w:val="111111"/>
          <w:sz w:val="28"/>
          <w:szCs w:val="28"/>
          <w:rtl/>
        </w:rPr>
        <w:t xml:space="preserve">الملك شيرازي ، محمّد بن عبدالله</w:t>
      </w:r>
    </w:p>
    <w:p>
      <w:pPr>
        <w:pStyle w:val="BookText"/>
      </w:pPr>
      <w:r>
        <w:rPr>
          <w:rFonts w:ascii="Amiri" w:hAnsi="Amiri" w:eastAsia="Amiri" w:cs="Amiri"/>
          <w:lang w:bidi="ar-SA"/>
          <w:color w:val="111111"/>
          <w:sz w:val="28"/>
          <w:szCs w:val="28"/>
          <w:rtl/>
        </w:rPr>
        <w:t xml:space="preserve">شيرازي نيريزي، محمود بن</w:t>
      </w:r>
    </w:p>
    <w:p>
      <w:pPr>
        <w:pStyle w:val="BookText"/>
      </w:pPr>
      <w:r>
        <w:rPr>
          <w:rFonts w:ascii="Amiri" w:hAnsi="Amiri" w:eastAsia="Amiri" w:cs="Amiri"/>
          <w:lang w:bidi="ar-SA"/>
          <w:color w:val="111111"/>
          <w:sz w:val="28"/>
          <w:szCs w:val="28"/>
          <w:rtl/>
        </w:rPr>
        <w:t xml:space="preserve">محمّد -نيريزي ، محمود بن محمّد</w:t>
      </w:r>
    </w:p>
    <w:p>
      <w:pPr>
        <w:pStyle w:val="BookText"/>
      </w:pPr>
      <w:r>
        <w:rPr>
          <w:rFonts w:ascii="Amiri" w:hAnsi="Amiri" w:eastAsia="Amiri" w:cs="Amiri"/>
          <w:lang w:bidi="ar-SA"/>
          <w:color w:val="111111"/>
          <w:sz w:val="28"/>
          <w:szCs w:val="28"/>
          <w:rtl/>
        </w:rPr>
        <w:t xml:space="preserve">شيرازي ، هادي بن هادي- علوي شيرازي ،</w:t>
      </w:r>
    </w:p>
    <w:p>
      <w:pPr>
        <w:pStyle w:val="BookText"/>
      </w:pPr>
      <w:r>
        <w:rPr>
          <w:rFonts w:ascii="Amiri" w:hAnsi="Amiri" w:eastAsia="Amiri" w:cs="Amiri"/>
          <w:lang w:bidi="ar-SA"/>
          <w:color w:val="111111"/>
          <w:sz w:val="28"/>
          <w:szCs w:val="28"/>
          <w:rtl/>
        </w:rPr>
        <w:t xml:space="preserve">ابوالحسين بن محمّد هادي</w:t>
      </w:r>
    </w:p>
    <w:p>
      <w:pPr>
        <w:pStyle w:val="BookText"/>
      </w:pPr>
      <w:r>
        <w:rPr>
          <w:rFonts w:ascii="Amiri" w:hAnsi="Amiri" w:eastAsia="Amiri" w:cs="Amiri"/>
          <w:lang w:bidi="ar-SA"/>
          <w:color w:val="111111"/>
          <w:sz w:val="28"/>
          <w:szCs w:val="28"/>
          <w:rtl/>
        </w:rPr>
        <w:t xml:space="preserve">شيرازي ، هبة الله شاه مير -شاه ميري</w:t>
      </w:r>
    </w:p>
    <w:p>
      <w:pPr>
        <w:pStyle w:val="BookText"/>
      </w:pPr>
      <w:r>
        <w:rPr>
          <w:rFonts w:ascii="Amiri" w:hAnsi="Amiri" w:eastAsia="Amiri" w:cs="Amiri"/>
          <w:lang w:bidi="ar-SA"/>
          <w:color w:val="111111"/>
          <w:sz w:val="28"/>
          <w:szCs w:val="28"/>
          <w:rtl/>
        </w:rPr>
        <w:t xml:space="preserve">شيرازي ، هبة الله بن عطاء الله</w:t>
      </w:r>
    </w:p>
    <w:p>
      <w:pPr>
        <w:pStyle w:val="BookText"/>
      </w:pPr>
      <w:r>
        <w:rPr>
          <w:rFonts w:ascii="Amiri" w:hAnsi="Amiri" w:eastAsia="Amiri" w:cs="Amiri"/>
          <w:lang w:bidi="ar-SA"/>
          <w:color w:val="111111"/>
          <w:sz w:val="28"/>
          <w:szCs w:val="28"/>
          <w:rtl/>
        </w:rPr>
        <w:t xml:space="preserve">شيرازي ، وصال -وصال شيرازي ، محمّد</w:t>
      </w:r>
    </w:p>
    <w:p>
      <w:pPr>
        <w:pStyle w:val="BookText"/>
      </w:pPr>
      <w:r>
        <w:rPr>
          <w:rFonts w:ascii="Amiri" w:hAnsi="Amiri" w:eastAsia="Amiri" w:cs="Amiri"/>
          <w:lang w:bidi="ar-SA"/>
          <w:color w:val="111111"/>
          <w:sz w:val="28"/>
          <w:szCs w:val="28"/>
          <w:rtl/>
        </w:rPr>
        <w:t xml:space="preserve">شفيع بن محمّد اسماعيل</w:t>
      </w:r>
    </w:p>
    <w:p>
      <w:pPr>
        <w:pStyle w:val="BookText"/>
      </w:pPr>
      <w:r>
        <w:rPr>
          <w:rFonts w:ascii="Amiri" w:hAnsi="Amiri" w:eastAsia="Amiri" w:cs="Amiri"/>
          <w:lang w:bidi="ar-SA"/>
          <w:color w:val="111111"/>
          <w:sz w:val="28"/>
          <w:szCs w:val="28"/>
          <w:rtl/>
        </w:rPr>
        <w:t xml:space="preserve">شيرازي ، يارعلي بن عبدالله -تبريزي</w:t>
      </w:r>
    </w:p>
    <w:p>
      <w:pPr>
        <w:pStyle w:val="BookText"/>
      </w:pPr>
      <w:r>
        <w:rPr>
          <w:rFonts w:ascii="Amiri" w:hAnsi="Amiri" w:eastAsia="Amiri" w:cs="Amiri"/>
          <w:lang w:bidi="ar-SA"/>
          <w:color w:val="111111"/>
          <w:sz w:val="28"/>
          <w:szCs w:val="28"/>
          <w:rtl/>
        </w:rPr>
        <w:t xml:space="preserve">شيرازي ، يارعلي بن عبدالله</w:t>
      </w:r>
    </w:p>
    <w:p>
      <w:pPr>
        <w:pStyle w:val="BookText"/>
      </w:pPr>
      <w:r>
        <w:rPr>
          <w:rFonts w:ascii="Amiri" w:hAnsi="Amiri" w:eastAsia="Amiri" w:cs="Amiri"/>
          <w:lang w:bidi="ar-SA"/>
          <w:color w:val="111111"/>
          <w:sz w:val="28"/>
          <w:szCs w:val="28"/>
          <w:rtl/>
        </w:rPr>
        <w:t xml:space="preserve">شيرازي ، يحيى -شيرازي ، يحيى بن برهان الدين</w:t>
      </w:r>
    </w:p>
    <w:p>
      <w:pPr>
        <w:pStyle w:val="Heading2"/>
      </w:pPr>
      <w:bookmarkStart w:id="5339" w:name="_Toc4441"/>
      <w:r>
        <w:t>شيرازي ، يحيى بن برهان الدین ، قرن 7 ه-</w:t>
      </w:r>
      <w:bookmarkEnd w:id="5339"/>
    </w:p>
    <w:p>
      <w:pPr>
        <w:pStyle w:val="BookText"/>
      </w:pPr>
      <w:r>
        <w:rPr>
          <w:rFonts w:ascii="Amiri" w:hAnsi="Amiri" w:eastAsia="Amiri" w:cs="Amiri"/>
          <w:lang w:bidi="ar-SA"/>
          <w:color w:val="111111"/>
          <w:sz w:val="28"/>
          <w:szCs w:val="28"/>
          <w:rtl/>
        </w:rPr>
        <w:t xml:space="preserve">لباب الحكمة، ج13، ص 547.</w:t>
      </w:r>
    </w:p>
    <w:p>
      <w:pPr>
        <w:pStyle w:val="BookText"/>
      </w:pPr>
      <w:r>
        <w:rPr>
          <w:rFonts w:ascii="Amiri" w:hAnsi="Amiri" w:eastAsia="Amiri" w:cs="Amiri"/>
          <w:lang w:bidi="ar-SA"/>
          <w:color w:val="111111"/>
          <w:sz w:val="28"/>
          <w:szCs w:val="28"/>
          <w:rtl/>
        </w:rPr>
        <w:t xml:space="preserve">شيرازي ، يحيى بن معين الدين- شيرازي</w:t>
      </w:r>
    </w:p>
    <w:p>
      <w:pPr>
        <w:pStyle w:val="BookText"/>
      </w:pPr>
      <w:r>
        <w:rPr>
          <w:rFonts w:ascii="Amiri" w:hAnsi="Amiri" w:eastAsia="Amiri" w:cs="Amiri"/>
          <w:lang w:bidi="ar-SA"/>
          <w:color w:val="111111"/>
          <w:sz w:val="28"/>
          <w:szCs w:val="28"/>
          <w:rtl/>
        </w:rPr>
        <w:t xml:space="preserve">يحيى بن برهان الدين</w:t>
      </w:r>
    </w:p>
    <w:p>
      <w:pPr>
        <w:pStyle w:val="Heading2"/>
      </w:pPr>
      <w:bookmarkStart w:id="5340" w:name="_Toc4442"/>
      <w:r>
        <w:t>شيرازي ، يوسف</w:t>
      </w:r>
      <w:bookmarkEnd w:id="5340"/>
    </w:p>
    <w:p>
      <w:pPr>
        <w:pStyle w:val="BookText"/>
      </w:pPr>
      <w:r>
        <w:rPr>
          <w:rFonts w:ascii="Amiri" w:hAnsi="Amiri" w:eastAsia="Amiri" w:cs="Amiri"/>
          <w:lang w:bidi="ar-SA"/>
          <w:color w:val="111111"/>
          <w:sz w:val="28"/>
          <w:szCs w:val="28"/>
          <w:rtl/>
        </w:rPr>
        <w:t xml:space="preserve">عقيدة الشيرازي، ج 11، ص203.</w:t>
      </w:r>
    </w:p>
    <w:p>
      <w:pPr>
        <w:pStyle w:val="BookText"/>
      </w:pPr>
      <w:r>
        <w:rPr>
          <w:rFonts w:ascii="Amiri" w:hAnsi="Amiri" w:eastAsia="Amiri" w:cs="Amiri"/>
          <w:lang w:bidi="ar-SA"/>
          <w:color w:val="111111"/>
          <w:sz w:val="28"/>
          <w:szCs w:val="28"/>
          <w:rtl/>
        </w:rPr>
        <w:t xml:space="preserve">شيرانسي ، محمّد -شيرانشي كردي ، محمّد</w:t>
      </w:r>
    </w:p>
    <w:p>
      <w:pPr>
        <w:pStyle w:val="Heading2"/>
      </w:pPr>
      <w:bookmarkStart w:id="5341" w:name="_Toc4443"/>
      <w:r>
        <w:t>شيرانشي كردي ، محمّد، قرن 11 ه-</w:t>
      </w:r>
      <w:bookmarkEnd w:id="5341"/>
    </w:p>
    <w:p>
      <w:pPr>
        <w:pStyle w:val="BookText"/>
      </w:pPr>
      <w:r>
        <w:rPr>
          <w:rFonts w:ascii="Amiri" w:hAnsi="Amiri" w:eastAsia="Amiri" w:cs="Amiri"/>
          <w:lang w:bidi="ar-SA"/>
          <w:color w:val="111111"/>
          <w:sz w:val="28"/>
          <w:szCs w:val="28"/>
          <w:rtl/>
        </w:rPr>
        <w:t xml:space="preserve">1 .تعليقة محمّد الشوانسي جع،</w:t>
      </w:r>
    </w:p>
    <w:p>
      <w:pPr>
        <w:pStyle w:val="BookText"/>
      </w:pPr>
      <w:r>
        <w:rPr>
          <w:rFonts w:ascii="IRNazanin" w:hAnsi="IRNazanin" w:eastAsia="IRNazanin" w:cs="IRNazanin"/>
          <w:lang w:bidi="fa-IR"/>
          <w:color w:val="111111"/>
          <w:sz w:val="28"/>
          <w:szCs w:val="28"/>
          <w:rtl/>
        </w:rPr>
        <w:t xml:space="preserve">ص 538.</w:t>
      </w:r>
    </w:p>
    <w:p>
      <w:pPr>
        <w:pStyle w:val="BookText"/>
      </w:pPr>
      <w:r>
        <w:rPr>
          <w:rFonts w:ascii="Amiri" w:hAnsi="Amiri" w:eastAsia="Amiri" w:cs="Amiri"/>
          <w:lang w:bidi="ar-SA"/>
          <w:color w:val="111111"/>
          <w:sz w:val="28"/>
          <w:szCs w:val="28"/>
          <w:rtl/>
        </w:rPr>
        <w:t xml:space="preserve">2 .حاشية انوار التنزيل = حاشيه تفسير بيضاوي، ج 5، ص 697 .</w:t>
      </w:r>
    </w:p>
    <w:p>
      <w:pPr>
        <w:pStyle w:val="BookText"/>
      </w:pPr>
      <w:r>
        <w:rPr>
          <w:rFonts w:ascii="Amiri" w:hAnsi="Amiri" w:eastAsia="Amiri" w:cs="Amiri"/>
          <w:lang w:bidi="ar-SA"/>
          <w:color w:val="111111"/>
          <w:sz w:val="28"/>
          <w:szCs w:val="28"/>
          <w:rtl/>
        </w:rPr>
        <w:t xml:space="preserve">3 .حاشية شرح آداب البحث، ج 6،</w:t>
      </w:r>
    </w:p>
    <w:p>
      <w:pPr>
        <w:pStyle w:val="BookText"/>
      </w:pPr>
      <w:r>
        <w:rPr>
          <w:rFonts w:ascii="IRNazanin" w:hAnsi="IRNazanin" w:eastAsia="IRNazanin" w:cs="IRNazanin"/>
          <w:lang w:bidi="fa-IR"/>
          <w:color w:val="111111"/>
          <w:sz w:val="28"/>
          <w:szCs w:val="28"/>
          <w:rtl/>
        </w:rPr>
        <w:t xml:space="preserve">ص11.</w:t>
      </w:r>
    </w:p>
    <w:p>
      <w:pPr>
        <w:pStyle w:val="BookText"/>
      </w:pPr>
      <w:r>
        <w:rPr>
          <w:rFonts w:ascii="Amiri" w:hAnsi="Amiri" w:eastAsia="Amiri" w:cs="Amiri"/>
          <w:lang w:bidi="ar-SA"/>
          <w:color w:val="111111"/>
          <w:sz w:val="28"/>
          <w:szCs w:val="28"/>
          <w:rtl/>
        </w:rPr>
        <w:t xml:space="preserve">4 .حاشية شرح الرسالة الفريدة السمرقندية في الاستعارات، ج 6،</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حاشية شرح الرسالة الوضعية العضدية = حاشية على شرح الجرجاني على الرسالة الوضعية = حاشية على شرح الرسالة العضدية</w:t>
      </w:r>
    </w:p>
    <w:p>
      <w:pPr>
        <w:pStyle w:val="BookText"/>
      </w:pPr>
      <w:r>
        <w:rPr>
          <w:rFonts w:ascii="IRNazanin" w:hAnsi="IRNazanin" w:eastAsia="IRNazanin" w:cs="IRNazanin"/>
          <w:lang w:bidi="fa-IR"/>
          <w:color w:val="111111"/>
          <w:sz w:val="28"/>
          <w:szCs w:val="28"/>
          <w:rtl/>
        </w:rPr>
        <w:t xml:space="preserve">ج 6، ص 118.</w:t>
      </w:r>
    </w:p>
    <w:p>
      <w:pPr>
        <w:pStyle w:val="BookText"/>
      </w:pPr>
      <w:r>
        <w:rPr>
          <w:rFonts w:ascii="Amiri" w:hAnsi="Amiri" w:eastAsia="Amiri" w:cs="Amiri"/>
          <w:lang w:bidi="ar-SA"/>
          <w:color w:val="111111"/>
          <w:sz w:val="28"/>
          <w:szCs w:val="28"/>
          <w:rtl/>
        </w:rPr>
        <w:t xml:space="preserve">شيرانشي ، محمّد -شيرانشي كردي ، محمّد</w:t>
      </w:r>
    </w:p>
    <w:p>
      <w:pPr>
        <w:pStyle w:val="BookText"/>
      </w:pPr>
      <w:r>
        <w:rPr>
          <w:rFonts w:ascii="Amiri" w:hAnsi="Amiri" w:eastAsia="Amiri" w:cs="Amiri"/>
          <w:lang w:bidi="ar-SA"/>
          <w:color w:val="111111"/>
          <w:sz w:val="28"/>
          <w:szCs w:val="28"/>
          <w:rtl/>
        </w:rPr>
        <w:t xml:space="preserve">الدين</w:t>
      </w:r>
    </w:p>
    <w:p>
      <w:pPr>
        <w:pStyle w:val="Heading2"/>
      </w:pPr>
      <w:bookmarkStart w:id="5342" w:name="_Toc4444"/>
      <w:r>
        <w:t>شيراوي ، عبد الفتاح</w:t>
      </w:r>
      <w:bookmarkEnd w:id="5342"/>
    </w:p>
    <w:p>
      <w:pPr>
        <w:pStyle w:val="BookText"/>
      </w:pPr>
      <w:r>
        <w:rPr>
          <w:rFonts w:ascii="Amiri" w:hAnsi="Amiri" w:eastAsia="Amiri" w:cs="Amiri"/>
          <w:lang w:bidi="ar-SA"/>
          <w:color w:val="111111"/>
          <w:sz w:val="28"/>
          <w:szCs w:val="28"/>
          <w:rtl/>
        </w:rPr>
        <w:t xml:space="preserve">قرة عين الاعيان، ج 12، ص 567.</w:t>
      </w:r>
    </w:p>
    <w:p>
      <w:pPr>
        <w:pStyle w:val="BookText"/>
      </w:pPr>
      <w:r>
        <w:rPr>
          <w:rFonts w:ascii="Amiri" w:hAnsi="Amiri" w:eastAsia="Amiri" w:cs="Amiri"/>
          <w:lang w:bidi="ar-SA"/>
          <w:color w:val="111111"/>
          <w:sz w:val="28"/>
          <w:szCs w:val="28"/>
          <w:rtl/>
        </w:rPr>
        <w:t xml:space="preserve">شير محمّد بن صفر علي همداني جور قاني- همداني جورقاني ، شير محمّد بن صفر</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شيرواني، ابراهيم -شهراني ، ابراهيم</w:t>
      </w:r>
    </w:p>
    <w:p>
      <w:pPr>
        <w:pStyle w:val="BookText"/>
      </w:pPr>
      <w:r>
        <w:rPr>
          <w:rFonts w:ascii="Amiri" w:hAnsi="Amiri" w:eastAsia="Amiri" w:cs="Amiri"/>
          <w:lang w:bidi="ar-SA"/>
          <w:color w:val="111111"/>
          <w:sz w:val="28"/>
          <w:szCs w:val="28"/>
          <w:rtl/>
        </w:rPr>
        <w:t xml:space="preserve">شيرواني ، احمد بن محمّد -شرواني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شيرواني اصفهاني ، حيدر علي بن</w:t>
      </w:r>
    </w:p>
    <w:p>
      <w:pPr>
        <w:pStyle w:val="BookText"/>
      </w:pPr>
      <w:r>
        <w:rPr>
          <w:rFonts w:ascii="Amiri" w:hAnsi="Amiri" w:eastAsia="Amiri" w:cs="Amiri"/>
          <w:lang w:bidi="ar-SA"/>
          <w:color w:val="111111"/>
          <w:sz w:val="28"/>
          <w:szCs w:val="28"/>
          <w:rtl/>
        </w:rPr>
        <w:t xml:space="preserve">محمّد -شيرواني ، حيدر علي بن محمّد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55" w:name="pg7742_70645"/>
    <w:bookmarkEnd w:id="655"/>
    <w:p>
      <w:pPr>
        <w:pStyle w:val="Heading2"/>
      </w:pPr>
      <w:bookmarkStart w:id="5343" w:name="_Toc4445"/>
      <w:r>
        <w:t>شيرواني تبريزي ، شريف بن رضا، قرن 13</w:t>
      </w:r>
      <w:bookmarkEnd w:id="5343"/>
    </w:p>
    <w:p>
      <w:pPr>
        <w:pStyle w:val="BookText"/>
      </w:pPr>
      <w:r>
        <w:rPr>
          <w:rFonts w:ascii="Amiri" w:hAnsi="Amiri" w:eastAsia="Amiri" w:cs="Amiri"/>
          <w:lang w:bidi="ar-SA"/>
          <w:color w:val="111111"/>
          <w:sz w:val="28"/>
          <w:szCs w:val="28"/>
          <w:rtl/>
        </w:rPr>
        <w:t xml:space="preserve">دوحة الأخبار في ذكر أخبار الأخيار و أخيار الأخبار، ج 7، ص 487 .</w:t>
      </w:r>
    </w:p>
    <w:p>
      <w:pPr>
        <w:pStyle w:val="BookText"/>
      </w:pPr>
      <w:r>
        <w:rPr>
          <w:rFonts w:ascii="Amiri" w:hAnsi="Amiri" w:eastAsia="Amiri" w:cs="Amiri"/>
          <w:lang w:bidi="ar-SA"/>
          <w:color w:val="111111"/>
          <w:sz w:val="28"/>
          <w:szCs w:val="28"/>
          <w:rtl/>
        </w:rPr>
        <w:t xml:space="preserve">شيرواني تبريزي ، محمّد شريف بن رضا -شيرواني تبريزي، شريف بن رضا</w:t>
      </w:r>
    </w:p>
    <w:p>
      <w:pPr>
        <w:pStyle w:val="Heading2"/>
      </w:pPr>
      <w:bookmarkStart w:id="5344" w:name="_Toc4446"/>
      <w:r>
        <w:t>شيرواني ، حسن بن رضا</w:t>
      </w:r>
      <w:bookmarkEnd w:id="5344"/>
    </w:p>
    <w:p>
      <w:pPr>
        <w:pStyle w:val="BookText"/>
      </w:pPr>
      <w:r>
        <w:rPr>
          <w:rFonts w:ascii="IRNazanin" w:hAnsi="IRNazanin" w:eastAsia="IRNazanin" w:cs="IRNazanin"/>
          <w:lang w:bidi="fa-IR"/>
          <w:color w:val="111111"/>
          <w:sz w:val="28"/>
          <w:szCs w:val="28"/>
          <w:rtl/>
        </w:rPr>
        <w:t xml:space="preserve">سراج الطب، ج8، ص728.</w:t>
      </w:r>
    </w:p>
    <w:p>
      <w:pPr>
        <w:pStyle w:val="Heading2"/>
      </w:pPr>
      <w:bookmarkStart w:id="5345" w:name="_Toc4447"/>
      <w:r>
        <w:t>شيرواني ، حسين</w:t>
      </w:r>
      <w:bookmarkEnd w:id="5345"/>
    </w:p>
    <w:p>
      <w:pPr>
        <w:pStyle w:val="BookText"/>
      </w:pPr>
      <w:r>
        <w:rPr>
          <w:rFonts w:ascii="Amiri" w:hAnsi="Amiri" w:eastAsia="Amiri" w:cs="Amiri"/>
          <w:lang w:bidi="ar-SA"/>
          <w:color w:val="111111"/>
          <w:sz w:val="28"/>
          <w:szCs w:val="28"/>
          <w:rtl/>
        </w:rPr>
        <w:t xml:space="preserve">تنبيه الغافلين، ج 5، ص 37.</w:t>
      </w:r>
    </w:p>
    <w:p>
      <w:pPr>
        <w:pStyle w:val="BookText"/>
      </w:pPr>
      <w:r>
        <w:rPr>
          <w:rFonts w:ascii="Amiri" w:hAnsi="Amiri" w:eastAsia="Amiri" w:cs="Amiri"/>
          <w:lang w:bidi="ar-SA"/>
          <w:color w:val="111111"/>
          <w:sz w:val="28"/>
          <w:szCs w:val="28"/>
          <w:rtl/>
        </w:rPr>
        <w:t xml:space="preserve">شيرواني ، حسين بن عبدالله -شرواني ،</w:t>
      </w:r>
    </w:p>
    <w:p>
      <w:pPr>
        <w:pStyle w:val="BookText"/>
      </w:pPr>
      <w:r>
        <w:rPr>
          <w:rFonts w:ascii="Amiri" w:hAnsi="Amiri" w:eastAsia="Amiri" w:cs="Amiri"/>
          <w:lang w:bidi="ar-SA"/>
          <w:color w:val="111111"/>
          <w:sz w:val="28"/>
          <w:szCs w:val="28"/>
          <w:rtl/>
        </w:rPr>
        <w:t xml:space="preserve">حسين بن عبدالله</w:t>
      </w:r>
    </w:p>
    <w:p>
      <w:pPr>
        <w:pStyle w:val="Heading2"/>
      </w:pPr>
      <w:bookmarkStart w:id="5346" w:name="_Toc4448"/>
      <w:r>
        <w:t>شيرواني، حيدر علي بن محمّد قرن 12</w:t>
      </w:r>
      <w:bookmarkEnd w:id="5346"/>
    </w:p>
    <w:p>
      <w:pPr>
        <w:pStyle w:val="BookText"/>
      </w:pPr>
      <w:r>
        <w:rPr>
          <w:rFonts w:ascii="IRNazanin" w:hAnsi="IRNazanin" w:eastAsia="IRNazanin" w:cs="IRNazanin"/>
          <w:lang w:bidi="fa-IR"/>
          <w:color w:val="111111"/>
          <w:sz w:val="28"/>
          <w:szCs w:val="28"/>
          <w:rtl/>
        </w:rPr>
        <w:t xml:space="preserve">1 .حاشية شرح شرایع الاسلام، ج 6،</w:t>
      </w:r>
    </w:p>
    <w:p>
      <w:pPr>
        <w:pStyle w:val="BookText"/>
      </w:pPr>
      <w:r>
        <w:rPr>
          <w:rFonts w:ascii="IRNazanin" w:hAnsi="IRNazanin" w:eastAsia="IRNazanin" w:cs="IRNazanin"/>
          <w:lang w:bidi="fa-IR"/>
          <w:color w:val="111111"/>
          <w:sz w:val="28"/>
          <w:szCs w:val="28"/>
          <w:rtl/>
        </w:rPr>
        <w:t xml:space="preserve">ص 129.</w:t>
      </w:r>
    </w:p>
    <w:p>
      <w:pPr>
        <w:pStyle w:val="BookText"/>
      </w:pPr>
      <w:r>
        <w:rPr>
          <w:rFonts w:ascii="Amiri" w:hAnsi="Amiri" w:eastAsia="Amiri" w:cs="Amiri"/>
          <w:lang w:bidi="ar-SA"/>
          <w:color w:val="111111"/>
          <w:sz w:val="28"/>
          <w:szCs w:val="28"/>
          <w:rtl/>
        </w:rPr>
        <w:t xml:space="preserve">2 .المناقب و المثالب = فضائل اهل البيت = مناقب اهل البيت ج 15</w:t>
      </w:r>
    </w:p>
    <w:p>
      <w:pPr>
        <w:pStyle w:val="BookText"/>
      </w:pPr>
      <w:r>
        <w:rPr>
          <w:rFonts w:ascii="IRNazanin" w:hAnsi="IRNazanin" w:eastAsia="IRNazanin" w:cs="IRNazanin"/>
          <w:lang w:bidi="fa-IR"/>
          <w:color w:val="111111"/>
          <w:sz w:val="28"/>
          <w:szCs w:val="28"/>
          <w:rtl/>
        </w:rPr>
        <w:t xml:space="preserve">ص 557 .</w:t>
      </w:r>
    </w:p>
    <w:p>
      <w:pPr>
        <w:pStyle w:val="BookText"/>
      </w:pPr>
      <w:r>
        <w:rPr>
          <w:rFonts w:ascii="Amiri" w:hAnsi="Amiri" w:eastAsia="Amiri" w:cs="Amiri"/>
          <w:lang w:bidi="ar-SA"/>
          <w:color w:val="111111"/>
          <w:sz w:val="28"/>
          <w:szCs w:val="28"/>
          <w:rtl/>
        </w:rPr>
        <w:t xml:space="preserve">شيرواني ، داود -قره داود شيرواني</w:t>
      </w:r>
    </w:p>
    <w:p>
      <w:pPr>
        <w:pStyle w:val="BookText"/>
      </w:pPr>
      <w:r>
        <w:rPr>
          <w:rFonts w:ascii="Amiri" w:hAnsi="Amiri" w:eastAsia="Amiri" w:cs="Amiri"/>
          <w:lang w:bidi="ar-SA"/>
          <w:color w:val="111111"/>
          <w:sz w:val="28"/>
          <w:szCs w:val="28"/>
          <w:rtl/>
        </w:rPr>
        <w:t xml:space="preserve">شيرواني دربندي ، آقا بن عابد- دربندي ،</w:t>
      </w:r>
    </w:p>
    <w:p>
      <w:pPr>
        <w:pStyle w:val="BookText"/>
      </w:pPr>
      <w:r>
        <w:rPr>
          <w:rFonts w:ascii="IRNazanin" w:hAnsi="IRNazanin" w:eastAsia="IRNazanin" w:cs="IRNazanin"/>
          <w:lang w:bidi="fa-IR"/>
          <w:color w:val="111111"/>
          <w:sz w:val="28"/>
          <w:szCs w:val="28"/>
          <w:rtl/>
        </w:rPr>
        <w:t xml:space="preserve">آقا بن عابد</w:t>
      </w:r>
    </w:p>
    <w:p>
      <w:pPr>
        <w:pStyle w:val="Heading2"/>
      </w:pPr>
      <w:bookmarkStart w:id="5347" w:name="_Toc4449"/>
      <w:r>
        <w:t>شيرواني، زين العابدين بن اسكندر</w:t>
      </w:r>
      <w:bookmarkEnd w:id="5347"/>
    </w:p>
    <w:p>
      <w:pPr>
        <w:pStyle w:val="BookText"/>
      </w:pPr>
      <w:r>
        <w:rPr>
          <w:rFonts w:ascii="IRNazanin" w:hAnsi="IRNazanin" w:eastAsia="IRNazanin" w:cs="IRNazanin"/>
          <w:lang w:bidi="fa-IR"/>
          <w:color w:val="111111"/>
          <w:sz w:val="28"/>
          <w:szCs w:val="28"/>
          <w:rtl/>
        </w:rPr>
        <w:t xml:space="preserve">41194 - 1253 ؟ ه-</w:t>
      </w:r>
    </w:p>
    <w:p>
      <w:pPr>
        <w:pStyle w:val="BookText"/>
      </w:pPr>
      <w:r>
        <w:rPr>
          <w:rFonts w:ascii="IRNazanin" w:hAnsi="IRNazanin" w:eastAsia="IRNazanin" w:cs="IRNazanin"/>
          <w:lang w:bidi="fa-IR"/>
          <w:color w:val="111111"/>
          <w:sz w:val="28"/>
          <w:szCs w:val="28"/>
          <w:rtl/>
        </w:rPr>
        <w:t xml:space="preserve">زندگینامه مولاي رومي = احوال</w:t>
      </w:r>
    </w:p>
    <w:p>
      <w:pPr>
        <w:pStyle w:val="BookText"/>
      </w:pPr>
      <w:r>
        <w:rPr>
          <w:rFonts w:ascii="IRNazanin" w:hAnsi="IRNazanin" w:eastAsia="IRNazanin" w:cs="IRNazanin"/>
          <w:lang w:bidi="fa-IR"/>
          <w:color w:val="111111"/>
          <w:sz w:val="28"/>
          <w:szCs w:val="28"/>
          <w:rtl/>
        </w:rPr>
        <w:t xml:space="preserve">مولانا، ج8، ص 609.</w:t>
      </w:r>
    </w:p>
    <w:p>
      <w:pPr>
        <w:pStyle w:val="BookText"/>
      </w:pPr>
      <w:r>
        <w:rPr>
          <w:rFonts w:ascii="Amiri" w:hAnsi="Amiri" w:eastAsia="Amiri" w:cs="Amiri"/>
          <w:lang w:bidi="ar-SA"/>
          <w:color w:val="111111"/>
          <w:sz w:val="28"/>
          <w:szCs w:val="28"/>
          <w:rtl/>
        </w:rPr>
        <w:t xml:space="preserve">شيرواني ، عبد الرحيم بن محمود- شرواني ،</w:t>
      </w:r>
    </w:p>
    <w:p>
      <w:pPr>
        <w:pStyle w:val="BookText"/>
      </w:pPr>
      <w:r>
        <w:rPr>
          <w:rFonts w:ascii="Amiri" w:hAnsi="Amiri" w:eastAsia="Amiri" w:cs="Amiri"/>
          <w:lang w:bidi="ar-SA"/>
          <w:color w:val="111111"/>
          <w:sz w:val="28"/>
          <w:szCs w:val="28"/>
          <w:rtl/>
        </w:rPr>
        <w:t xml:space="preserve">عبد الرحيم بن محمود</w:t>
      </w:r>
    </w:p>
    <w:p>
      <w:pPr>
        <w:pStyle w:val="BookText"/>
      </w:pPr>
      <w:r>
        <w:rPr>
          <w:rFonts w:ascii="Amiri" w:hAnsi="Amiri" w:eastAsia="Amiri" w:cs="Amiri"/>
          <w:lang w:bidi="ar-SA"/>
          <w:color w:val="111111"/>
          <w:sz w:val="28"/>
          <w:szCs w:val="28"/>
          <w:rtl/>
        </w:rPr>
        <w:t xml:space="preserve">شيرواني ، عبد الغني - حافظ شيرواني ، عبد الغني</w:t>
      </w:r>
    </w:p>
    <w:p>
      <w:pPr>
        <w:pStyle w:val="BookText"/>
      </w:pPr>
      <w:r>
        <w:rPr>
          <w:rFonts w:ascii="Amiri" w:hAnsi="Amiri" w:eastAsia="Amiri" w:cs="Amiri"/>
          <w:lang w:bidi="ar-SA"/>
          <w:color w:val="111111"/>
          <w:sz w:val="28"/>
          <w:szCs w:val="28"/>
          <w:rtl/>
        </w:rPr>
        <w:t xml:space="preserve">شيرواني غروي ، حيدر علي بن محمّد -شيرواني، حيدر علي بن محمّد</w:t>
      </w:r>
    </w:p>
    <w:p>
      <w:pPr>
        <w:pStyle w:val="BookText"/>
      </w:pPr>
      <w:r>
        <w:rPr>
          <w:rFonts w:ascii="IRNazanin" w:hAnsi="IRNazanin" w:eastAsia="IRNazanin" w:cs="IRNazanin"/>
          <w:lang w:bidi="fa-IR"/>
          <w:color w:val="111111"/>
          <w:sz w:val="28"/>
          <w:szCs w:val="28"/>
          <w:rtl/>
        </w:rPr>
        <w:t xml:space="preserve">شيرواني قمي ، محمّد حسين بن محمّد -شيرواني ، محمّد حسین بن محمّد</w:t>
      </w:r>
    </w:p>
    <w:p>
      <w:pPr>
        <w:pStyle w:val="BookText"/>
      </w:pPr>
      <w:r>
        <w:rPr>
          <w:rFonts w:ascii="IRNazanin" w:hAnsi="IRNazanin" w:eastAsia="IRNazanin" w:cs="IRNazanin"/>
          <w:lang w:bidi="fa-IR"/>
          <w:color w:val="111111"/>
          <w:sz w:val="28"/>
          <w:szCs w:val="28"/>
          <w:rtl/>
        </w:rPr>
        <w:t xml:space="preserve">شيرواني ، محمّد امین بن صدرالدین -شرواني ، محمّد امین بن صدرالدین</w:t>
      </w:r>
    </w:p>
    <w:p>
      <w:pPr>
        <w:pStyle w:val="BookText"/>
      </w:pPr>
      <w:r>
        <w:rPr>
          <w:rFonts w:ascii="Amiri" w:hAnsi="Amiri" w:eastAsia="Amiri" w:cs="Amiri"/>
          <w:lang w:bidi="ar-SA"/>
          <w:color w:val="111111"/>
          <w:sz w:val="28"/>
          <w:szCs w:val="28"/>
          <w:rtl/>
        </w:rPr>
        <w:t xml:space="preserve">شيرواني ، محمّد بن جمال الدين- شرواني</w:t>
      </w:r>
    </w:p>
    <w:p>
      <w:pPr>
        <w:pStyle w:val="BookText"/>
      </w:pPr>
      <w:r>
        <w:rPr>
          <w:rFonts w:ascii="Amiri" w:hAnsi="Amiri" w:eastAsia="Amiri" w:cs="Amiri"/>
          <w:lang w:bidi="ar-SA"/>
          <w:color w:val="111111"/>
          <w:sz w:val="28"/>
          <w:szCs w:val="28"/>
          <w:rtl/>
        </w:rPr>
        <w:t xml:space="preserve">محمّد بن جمال الدين</w:t>
      </w:r>
    </w:p>
    <w:p>
      <w:pPr>
        <w:pStyle w:val="Heading2"/>
      </w:pPr>
      <w:bookmarkStart w:id="5348" w:name="_Toc4450"/>
      <w:r>
        <w:t>شيرواني ، محمّد بن حسن، 1033 - 1098</w:t>
      </w:r>
      <w:bookmarkEnd w:id="5348"/>
    </w:p>
    <w:p>
      <w:pPr>
        <w:pStyle w:val="BookText"/>
      </w:pPr>
      <w:r>
        <w:rPr>
          <w:rFonts w:ascii="Amiri" w:hAnsi="Amiri" w:eastAsia="Amiri" w:cs="Amiri"/>
          <w:lang w:bidi="ar-SA"/>
          <w:color w:val="111111"/>
          <w:sz w:val="28"/>
          <w:szCs w:val="28"/>
          <w:rtl/>
        </w:rPr>
        <w:t xml:space="preserve">1 .إجازة للسيّد علي التوني، ج 1،</w:t>
      </w:r>
    </w:p>
    <w:p>
      <w:pPr>
        <w:pStyle w:val="BookText"/>
      </w:pPr>
      <w:r>
        <w:rPr>
          <w:rFonts w:ascii="IRNazanin" w:hAnsi="IRNazanin" w:eastAsia="IRNazanin" w:cs="IRNazanin"/>
          <w:lang w:bidi="fa-IR"/>
          <w:color w:val="111111"/>
          <w:sz w:val="28"/>
          <w:szCs w:val="28"/>
          <w:rtl/>
        </w:rPr>
        <w:t xml:space="preserve">ص 254.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تعليقات على خلاصة الحساب، جع،</w:t>
      </w:r>
    </w:p>
    <w:p>
      <w:pPr>
        <w:pStyle w:val="BookText"/>
      </w:pPr>
      <w:r>
        <w:rPr>
          <w:rFonts w:ascii="IRNazanin" w:hAnsi="IRNazanin" w:eastAsia="IRNazanin" w:cs="IRNazanin"/>
          <w:lang w:bidi="fa-IR"/>
          <w:color w:val="111111"/>
          <w:sz w:val="28"/>
          <w:szCs w:val="28"/>
          <w:rtl/>
        </w:rPr>
        <w:t xml:space="preserve">ص 498 .</w:t>
      </w:r>
    </w:p>
    <w:p>
      <w:pPr>
        <w:pStyle w:val="BookText"/>
      </w:pPr>
      <w:r>
        <w:rPr>
          <w:rFonts w:ascii="Amiri" w:hAnsi="Amiri" w:eastAsia="Amiri" w:cs="Amiri"/>
          <w:lang w:bidi="ar-SA"/>
          <w:color w:val="111111"/>
          <w:sz w:val="28"/>
          <w:szCs w:val="28"/>
          <w:rtl/>
        </w:rPr>
        <w:t xml:space="preserve">3 .حاشية اثبات الواجب القديم، ج5،</w:t>
      </w:r>
    </w:p>
    <w:p>
      <w:pPr>
        <w:pStyle w:val="BookText"/>
      </w:pPr>
      <w:r>
        <w:rPr>
          <w:rFonts w:ascii="IRNazanin" w:hAnsi="IRNazanin" w:eastAsia="IRNazanin" w:cs="IRNazanin"/>
          <w:lang w:bidi="fa-IR"/>
          <w:color w:val="111111"/>
          <w:sz w:val="28"/>
          <w:szCs w:val="28"/>
          <w:rtl/>
        </w:rPr>
        <w:t xml:space="preserve">ص 655 .</w:t>
      </w:r>
    </w:p>
    <w:p>
      <w:pPr>
        <w:pStyle w:val="BookText"/>
      </w:pPr>
      <w:r>
        <w:rPr>
          <w:rFonts w:ascii="Amiri" w:hAnsi="Amiri" w:eastAsia="Amiri" w:cs="Amiri"/>
          <w:lang w:bidi="ar-SA"/>
          <w:color w:val="111111"/>
          <w:sz w:val="28"/>
          <w:szCs w:val="28"/>
          <w:rtl/>
        </w:rPr>
        <w:t xml:space="preserve">4 .حاشية الروضة البهية في شرح اللمعة الدمشقية، ج 5، ص877.</w:t>
      </w:r>
    </w:p>
    <w:p>
      <w:pPr>
        <w:pStyle w:val="BookText"/>
      </w:pPr>
      <w:r>
        <w:rPr>
          <w:rFonts w:ascii="Amiri" w:hAnsi="Amiri" w:eastAsia="Amiri" w:cs="Amiri"/>
          <w:lang w:bidi="ar-SA"/>
          <w:color w:val="111111"/>
          <w:sz w:val="28"/>
          <w:szCs w:val="28"/>
          <w:rtl/>
        </w:rPr>
        <w:t xml:space="preserve">5 .حاشية حاشية الخفري على شرح</w:t>
      </w:r>
    </w:p>
    <w:p>
      <w:pPr>
        <w:pStyle w:val="BookText"/>
      </w:pPr>
      <w:r>
        <w:rPr>
          <w:rFonts w:ascii="Amiri" w:hAnsi="Amiri" w:eastAsia="Amiri" w:cs="Amiri"/>
          <w:lang w:bidi="ar-SA"/>
          <w:color w:val="111111"/>
          <w:sz w:val="28"/>
          <w:szCs w:val="28"/>
          <w:rtl/>
        </w:rPr>
        <w:t xml:space="preserve">التجريد، ج5، ص798</w:t>
      </w:r>
    </w:p>
    <w:p>
      <w:pPr>
        <w:pStyle w:val="BookText"/>
      </w:pPr>
      <w:r>
        <w:rPr>
          <w:rFonts w:ascii="Amiri" w:hAnsi="Amiri" w:eastAsia="Amiri" w:cs="Amiri"/>
          <w:lang w:bidi="ar-SA"/>
          <w:color w:val="111111"/>
          <w:sz w:val="28"/>
          <w:szCs w:val="28"/>
          <w:rtl/>
        </w:rPr>
        <w:t xml:space="preserve">6 .حاشية شرائع الاسلام في المسائل الحلال والحرام، ج6 ، ص8.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حاشية شرح العضدي على مختصر</w:t>
      </w:r>
    </w:p>
    <w:p>
      <w:pPr>
        <w:pStyle w:val="BookText"/>
      </w:pPr>
      <w:r>
        <w:rPr>
          <w:rFonts w:ascii="Amiri" w:hAnsi="Amiri" w:eastAsia="Amiri" w:cs="Amiri"/>
          <w:lang w:bidi="ar-SA"/>
          <w:color w:val="111111"/>
          <w:sz w:val="28"/>
          <w:szCs w:val="28"/>
          <w:rtl/>
        </w:rPr>
        <w:t xml:space="preserve">المنتهي، ج 6، ص 134.</w:t>
      </w:r>
    </w:p>
    <w:p>
      <w:pPr>
        <w:pStyle w:val="BookText"/>
      </w:pPr>
      <w:r>
        <w:rPr>
          <w:rFonts w:ascii="Amiri" w:hAnsi="Amiri" w:eastAsia="Amiri" w:cs="Amiri"/>
          <w:lang w:bidi="ar-SA"/>
          <w:color w:val="111111"/>
          <w:sz w:val="28"/>
          <w:szCs w:val="28"/>
          <w:rtl/>
        </w:rPr>
        <w:t xml:space="preserve">8 .حاشية شرح حكمة العين، ج 6،</w:t>
      </w:r>
    </w:p>
    <w:p>
      <w:pPr>
        <w:pStyle w:val="BookText"/>
      </w:pPr>
      <w:r>
        <w:rPr>
          <w:rFonts w:ascii="IRNazanin" w:hAnsi="IRNazanin" w:eastAsia="IRNazanin" w:cs="IRNazanin"/>
          <w:lang w:bidi="fa-IR"/>
          <w:color w:val="111111"/>
          <w:sz w:val="28"/>
          <w:szCs w:val="28"/>
          <w:rtl/>
        </w:rPr>
        <w:t xml:space="preserve">ص 87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56" w:name="pg7742_70646"/>
    <w:bookmarkEnd w:id="656"/>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حاشية معالم الاصول = حاشية</w:t>
      </w:r>
    </w:p>
    <w:p>
      <w:pPr>
        <w:pStyle w:val="BookText"/>
      </w:pPr>
      <w:r>
        <w:rPr>
          <w:rFonts w:ascii="IRNazanin" w:hAnsi="IRNazanin" w:eastAsia="IRNazanin" w:cs="IRNazanin"/>
          <w:lang w:bidi="fa-IR"/>
          <w:color w:val="111111"/>
          <w:sz w:val="28"/>
          <w:szCs w:val="28"/>
          <w:rtl/>
        </w:rPr>
        <w:t xml:space="preserve">المعالم، ج 6، ص 401.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معالم الاصول = حاشيه معالم</w:t>
      </w:r>
    </w:p>
    <w:p>
      <w:pPr>
        <w:pStyle w:val="BookText"/>
      </w:pPr>
      <w:r>
        <w:rPr>
          <w:rFonts w:ascii="IRNazanin" w:hAnsi="IRNazanin" w:eastAsia="IRNazanin" w:cs="IRNazanin"/>
          <w:lang w:bidi="fa-IR"/>
          <w:color w:val="111111"/>
          <w:sz w:val="28"/>
          <w:szCs w:val="28"/>
          <w:rtl/>
        </w:rPr>
        <w:t xml:space="preserve">الاصول، ج 10، ص 151.</w:t>
      </w:r>
    </w:p>
    <w:p>
      <w:pPr>
        <w:pStyle w:val="BookText"/>
      </w:pPr>
      <w:r>
        <w:rPr>
          <w:rFonts w:ascii="IRNazanin" w:hAnsi="IRNazanin" w:eastAsia="IRNazanin" w:cs="IRNazanin"/>
          <w:lang w:bidi="fa-IR"/>
          <w:color w:val="111111"/>
          <w:sz w:val="28"/>
          <w:szCs w:val="28"/>
          <w:rtl/>
        </w:rPr>
        <w:t xml:space="preserve">11.فوائد، ج 12، ص 171.</w:t>
      </w:r>
    </w:p>
    <w:p>
      <w:pPr>
        <w:pStyle w:val="Heading2"/>
      </w:pPr>
      <w:bookmarkStart w:id="5349" w:name="_Toc4451"/>
      <w:r>
        <w:t>شيرواني ، محمّد بن محمود - 800 ه-</w:t>
      </w:r>
      <w:bookmarkEnd w:id="5349"/>
    </w:p>
    <w:p>
      <w:pPr>
        <w:pStyle w:val="BookText"/>
      </w:pPr>
      <w:r>
        <w:rPr>
          <w:rFonts w:ascii="Amiri" w:hAnsi="Amiri" w:eastAsia="Amiri" w:cs="Amiri"/>
          <w:lang w:bidi="ar-SA"/>
          <w:color w:val="111111"/>
          <w:sz w:val="28"/>
          <w:szCs w:val="28"/>
          <w:rtl/>
        </w:rPr>
        <w:t xml:space="preserve">حاشية حاشية اثبات الواجب، ج5،</w:t>
      </w:r>
    </w:p>
    <w:p>
      <w:pPr>
        <w:pStyle w:val="BookText"/>
      </w:pPr>
      <w:r>
        <w:rPr>
          <w:rFonts w:ascii="IRNazanin" w:hAnsi="IRNazanin" w:eastAsia="IRNazanin" w:cs="IRNazanin"/>
          <w:lang w:bidi="fa-IR"/>
          <w:color w:val="111111"/>
          <w:sz w:val="28"/>
          <w:szCs w:val="28"/>
          <w:rtl/>
        </w:rPr>
        <w:t xml:space="preserve">ص 768.</w:t>
      </w:r>
    </w:p>
    <w:p>
      <w:pPr>
        <w:pStyle w:val="Heading2"/>
      </w:pPr>
      <w:bookmarkStart w:id="5350" w:name="_Toc4452"/>
      <w:r>
        <w:t>شيرواني ، محمّد حسين بن محمّد قرن 14</w:t>
      </w:r>
      <w:bookmarkEnd w:id="5350"/>
    </w:p>
    <w:p>
      <w:pPr>
        <w:pStyle w:val="BookText"/>
      </w:pPr>
      <w:r>
        <w:rPr>
          <w:rFonts w:ascii="IRNazanin" w:hAnsi="IRNazanin" w:eastAsia="IRNazanin" w:cs="IRNazanin"/>
          <w:lang w:bidi="fa-IR"/>
          <w:color w:val="111111"/>
          <w:sz w:val="28"/>
          <w:szCs w:val="28"/>
          <w:rtl/>
        </w:rPr>
        <w:t xml:space="preserve">البداء، ج 3، ص 240.</w:t>
      </w:r>
    </w:p>
    <w:p>
      <w:pPr>
        <w:pStyle w:val="BookText"/>
      </w:pPr>
      <w:r>
        <w:rPr>
          <w:rFonts w:ascii="Amiri" w:hAnsi="Amiri" w:eastAsia="Amiri" w:cs="Amiri"/>
          <w:lang w:bidi="ar-SA"/>
          <w:color w:val="111111"/>
          <w:sz w:val="28"/>
          <w:szCs w:val="28"/>
          <w:rtl/>
        </w:rPr>
        <w:t xml:space="preserve">شيرواني ، محمّد تقي بن ابراهيم- دربندي</w:t>
      </w:r>
    </w:p>
    <w:p>
      <w:pPr>
        <w:pStyle w:val="BookText"/>
      </w:pPr>
      <w:r>
        <w:rPr>
          <w:rFonts w:ascii="IRNazanin" w:hAnsi="IRNazanin" w:eastAsia="IRNazanin" w:cs="IRNazanin"/>
          <w:lang w:bidi="fa-IR"/>
          <w:color w:val="111111"/>
          <w:sz w:val="28"/>
          <w:szCs w:val="28"/>
          <w:rtl/>
        </w:rPr>
        <w:t xml:space="preserve">، آقا بن عابد</w:t>
      </w:r>
    </w:p>
    <w:p>
      <w:pPr>
        <w:pStyle w:val="BookText"/>
      </w:pPr>
      <w:r>
        <w:rPr>
          <w:rFonts w:ascii="Amiri" w:hAnsi="Amiri" w:eastAsia="Amiri" w:cs="Amiri"/>
          <w:lang w:bidi="ar-SA"/>
          <w:color w:val="111111"/>
          <w:sz w:val="28"/>
          <w:szCs w:val="28"/>
          <w:rtl/>
        </w:rPr>
        <w:t xml:space="preserve">شيرواني ، محمّد شريف بن رضا- شيرواني</w:t>
      </w:r>
    </w:p>
    <w:p>
      <w:pPr>
        <w:pStyle w:val="BookText"/>
      </w:pPr>
      <w:r>
        <w:rPr>
          <w:rFonts w:ascii="Amiri" w:hAnsi="Amiri" w:eastAsia="Amiri" w:cs="Amiri"/>
          <w:lang w:bidi="ar-SA"/>
          <w:color w:val="111111"/>
          <w:sz w:val="28"/>
          <w:szCs w:val="28"/>
          <w:rtl/>
        </w:rPr>
        <w:t xml:space="preserve">تبريزي ، شريف بن رضا</w:t>
      </w:r>
    </w:p>
    <w:p>
      <w:pPr>
        <w:pStyle w:val="Heading2"/>
      </w:pPr>
      <w:bookmarkStart w:id="5351" w:name="_Toc4453"/>
      <w:r>
        <w:t>شيرواني ، مسعود بن حسين - 905 ه-</w:t>
      </w:r>
      <w:bookmarkEnd w:id="5351"/>
    </w:p>
    <w:p>
      <w:pPr>
        <w:pStyle w:val="BookText"/>
      </w:pPr>
      <w:r>
        <w:rPr>
          <w:rFonts w:ascii="IRNazanin" w:hAnsi="IRNazanin" w:eastAsia="IRNazanin" w:cs="IRNazanin"/>
          <w:lang w:bidi="fa-IR"/>
          <w:color w:val="111111"/>
          <w:sz w:val="28"/>
          <w:szCs w:val="28"/>
          <w:rtl/>
        </w:rPr>
        <w:t xml:space="preserve">1 .بحث حول النسب، ج3، ص202.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تعليقات على حاشية شاه حسين على حاشية الوغ بك على شرح</w:t>
      </w:r>
    </w:p>
    <w:p>
      <w:pPr>
        <w:pStyle w:val="BookText"/>
      </w:pPr>
      <w:r>
        <w:rPr>
          <w:rFonts w:ascii="Amiri" w:hAnsi="Amiri" w:eastAsia="Amiri" w:cs="Amiri"/>
          <w:lang w:bidi="ar-SA"/>
          <w:color w:val="111111"/>
          <w:sz w:val="28"/>
          <w:szCs w:val="28"/>
          <w:rtl/>
        </w:rPr>
        <w:t xml:space="preserve">العضدية، ج4، ص 494.</w:t>
      </w:r>
    </w:p>
    <w:p>
      <w:pPr>
        <w:pStyle w:val="BookText"/>
      </w:pPr>
      <w:r>
        <w:rPr>
          <w:rFonts w:ascii="Amiri" w:hAnsi="Amiri" w:eastAsia="Amiri" w:cs="Amiri"/>
          <w:lang w:bidi="ar-SA"/>
          <w:color w:val="111111"/>
          <w:sz w:val="28"/>
          <w:szCs w:val="28"/>
          <w:rtl/>
        </w:rPr>
        <w:t xml:space="preserve">3 .حاشية حاشية الوغ بيك على الرسالة السمرقندية، ج 5، ص 769 .</w:t>
      </w:r>
    </w:p>
    <w:p>
      <w:pPr>
        <w:pStyle w:val="BookText"/>
      </w:pPr>
      <w:r>
        <w:rPr>
          <w:rFonts w:ascii="Amiri" w:hAnsi="Amiri" w:eastAsia="Amiri" w:cs="Amiri"/>
          <w:lang w:bidi="ar-SA"/>
          <w:color w:val="111111"/>
          <w:sz w:val="28"/>
          <w:szCs w:val="28"/>
          <w:rtl/>
        </w:rPr>
        <w:t xml:space="preserve">4 .حاشية حاشية مطالع الأنوار، ج5،</w:t>
      </w:r>
    </w:p>
    <w:p>
      <w:pPr>
        <w:pStyle w:val="BookText"/>
      </w:pPr>
      <w:r>
        <w:rPr>
          <w:rFonts w:ascii="IRNazanin" w:hAnsi="IRNazanin" w:eastAsia="IRNazanin" w:cs="IRNazanin"/>
          <w:lang w:bidi="fa-IR"/>
          <w:color w:val="111111"/>
          <w:sz w:val="28"/>
          <w:szCs w:val="28"/>
          <w:rtl/>
        </w:rPr>
        <w:t xml:space="preserve">ص 848.</w:t>
      </w:r>
    </w:p>
    <w:p>
      <w:pPr>
        <w:pStyle w:val="BookText"/>
      </w:pPr>
      <w:r>
        <w:rPr>
          <w:rFonts w:ascii="Amiri" w:hAnsi="Amiri" w:eastAsia="Amiri" w:cs="Amiri"/>
          <w:lang w:bidi="ar-SA"/>
          <w:color w:val="111111"/>
          <w:sz w:val="28"/>
          <w:szCs w:val="28"/>
          <w:rtl/>
        </w:rPr>
        <w:t xml:space="preserve">5 .حاشية شرح المواقف، ج 6 ، ص 200.</w:t>
      </w:r>
    </w:p>
    <w:p>
      <w:pPr>
        <w:pStyle w:val="BookText"/>
      </w:pPr>
      <w:r>
        <w:rPr>
          <w:rFonts w:ascii="Amiri" w:hAnsi="Amiri" w:eastAsia="Amiri" w:cs="Amiri"/>
          <w:lang w:bidi="ar-SA"/>
          <w:color w:val="111111"/>
          <w:sz w:val="28"/>
          <w:szCs w:val="28"/>
          <w:rtl/>
        </w:rPr>
        <w:t xml:space="preserve">6 .شرح آداب البحث والمناظرة =</w:t>
      </w:r>
    </w:p>
    <w:p>
      <w:pPr>
        <w:pStyle w:val="BookText"/>
      </w:pPr>
      <w:r>
        <w:rPr>
          <w:rFonts w:ascii="Amiri" w:hAnsi="Amiri" w:eastAsia="Amiri" w:cs="Amiri"/>
          <w:lang w:bidi="ar-SA"/>
          <w:color w:val="111111"/>
          <w:sz w:val="28"/>
          <w:szCs w:val="28"/>
          <w:rtl/>
        </w:rPr>
        <w:t xml:space="preserve">شرح آداب الفاضل شمس = المستقصى في آداب البحث = شرح الرسالة السمرقندية، ج9، ص 135.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المباحث الثلاثة، ج13، ص713.</w:t>
      </w:r>
    </w:p>
    <w:p>
      <w:pPr>
        <w:pStyle w:val="BookText"/>
      </w:pPr>
      <w:r>
        <w:rPr>
          <w:rFonts w:ascii="IRNazanin" w:hAnsi="IRNazanin" w:eastAsia="IRNazanin" w:cs="IRNazanin"/>
          <w:lang w:bidi="fa-IR"/>
          <w:color w:val="111111"/>
          <w:sz w:val="28"/>
          <w:szCs w:val="28"/>
          <w:rtl/>
        </w:rPr>
        <w:t xml:space="preserve">شیرویه بن شهردار ديلمي- ديلمي</w:t>
      </w:r>
    </w:p>
    <w:p>
      <w:pPr>
        <w:pStyle w:val="BookText"/>
      </w:pPr>
      <w:r>
        <w:rPr>
          <w:rFonts w:ascii="IRNazanin" w:hAnsi="IRNazanin" w:eastAsia="IRNazanin" w:cs="IRNazanin"/>
          <w:lang w:bidi="fa-IR"/>
          <w:color w:val="111111"/>
          <w:sz w:val="28"/>
          <w:szCs w:val="28"/>
          <w:rtl/>
        </w:rPr>
        <w:t xml:space="preserve">شیرویه بن شهردار</w:t>
      </w:r>
    </w:p>
    <w:p>
      <w:pPr>
        <w:pStyle w:val="Heading2"/>
      </w:pPr>
      <w:bookmarkStart w:id="5352" w:name="_Toc4454"/>
      <w:r>
        <w:t>شيرين مغربي ، محمّد بن عزالدين 750؟</w:t>
      </w:r>
      <w:bookmarkEnd w:id="53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809 ه-</w:t>
      </w:r>
    </w:p>
    <w:p>
      <w:pPr>
        <w:pStyle w:val="BookText"/>
      </w:pPr>
      <w:r>
        <w:rPr>
          <w:rFonts w:ascii="IRNazanin" w:hAnsi="IRNazanin" w:eastAsia="IRNazanin" w:cs="IRNazanin"/>
          <w:lang w:bidi="fa-IR"/>
          <w:color w:val="111111"/>
          <w:sz w:val="28"/>
          <w:szCs w:val="28"/>
          <w:rtl/>
        </w:rPr>
        <w:t xml:space="preserve">دیوان شیرین مغربي - ديوان مغربي</w:t>
      </w:r>
    </w:p>
    <w:p>
      <w:pPr>
        <w:pStyle w:val="BookText"/>
      </w:pPr>
      <w:r>
        <w:rPr>
          <w:rFonts w:ascii="IRNazanin" w:hAnsi="IRNazanin" w:eastAsia="IRNazanin" w:cs="IRNazanin"/>
          <w:lang w:bidi="fa-IR"/>
          <w:color w:val="111111"/>
          <w:sz w:val="28"/>
          <w:szCs w:val="28"/>
          <w:rtl/>
        </w:rPr>
        <w:t xml:space="preserve">ج 7، ص 679.</w:t>
      </w:r>
    </w:p>
    <w:p>
      <w:pPr>
        <w:pStyle w:val="Heading2"/>
      </w:pPr>
      <w:bookmarkStart w:id="5353" w:name="_Toc4455"/>
      <w:r>
        <w:t>شيزري ، عبدالرحمن بن نصر قرن 6 ه-</w:t>
      </w:r>
      <w:bookmarkEnd w:id="5353"/>
    </w:p>
    <w:p>
      <w:pPr>
        <w:pStyle w:val="BookText"/>
      </w:pPr>
      <w:r>
        <w:rPr>
          <w:rFonts w:ascii="Amiri" w:hAnsi="Amiri" w:eastAsia="Amiri" w:cs="Amiri"/>
          <w:lang w:bidi="ar-SA"/>
          <w:color w:val="111111"/>
          <w:sz w:val="28"/>
          <w:szCs w:val="28"/>
          <w:rtl/>
        </w:rPr>
        <w:t xml:space="preserve">1 .الايضاح في اسرار النكاح، ج 3،</w:t>
      </w:r>
    </w:p>
    <w:p>
      <w:pPr>
        <w:pStyle w:val="BookText"/>
      </w:pPr>
      <w:r>
        <w:rPr>
          <w:rFonts w:ascii="IRNazanin" w:hAnsi="IRNazanin" w:eastAsia="IRNazanin" w:cs="IRNazanin"/>
          <w:lang w:bidi="fa-IR"/>
          <w:color w:val="111111"/>
          <w:sz w:val="28"/>
          <w:szCs w:val="28"/>
          <w:rtl/>
        </w:rPr>
        <w:t xml:space="preserve">ص 124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نهاية الرتبة الظريفة في طلب الحسبة = كتاب الرسوم بنهاية الرتبة الظريفة في طلب الحسبة ج 16، ص 492.</w:t>
      </w:r>
    </w:p>
    <w:p>
      <w:pPr>
        <w:pStyle w:val="BookText"/>
      </w:pPr>
      <w:r>
        <w:rPr>
          <w:rFonts w:ascii="Amiri" w:hAnsi="Amiri" w:eastAsia="Amiri" w:cs="Amiri"/>
          <w:lang w:bidi="ar-SA"/>
          <w:color w:val="111111"/>
          <w:sz w:val="28"/>
          <w:szCs w:val="28"/>
          <w:rtl/>
        </w:rPr>
        <w:t xml:space="preserve">شيعي بيهقي ، حسن بن حسين -شيعي</w:t>
      </w:r>
    </w:p>
    <w:p>
      <w:pPr>
        <w:pStyle w:val="BookText"/>
      </w:pPr>
      <w:r>
        <w:rPr>
          <w:rFonts w:ascii="Amiri" w:hAnsi="Amiri" w:eastAsia="Amiri" w:cs="Amiri"/>
          <w:lang w:bidi="ar-SA"/>
          <w:color w:val="111111"/>
          <w:sz w:val="28"/>
          <w:szCs w:val="28"/>
          <w:rtl/>
        </w:rPr>
        <w:t xml:space="preserve">سبزواري ، حسن بن حسين</w:t>
      </w:r>
    </w:p>
    <w:p>
      <w:pPr>
        <w:pStyle w:val="BookText"/>
      </w:pPr>
      <w:r>
        <w:rPr>
          <w:rFonts w:ascii="IRNazanin" w:hAnsi="IRNazanin" w:eastAsia="IRNazanin" w:cs="IRNazanin"/>
          <w:lang w:bidi="fa-IR"/>
          <w:color w:val="111111"/>
          <w:sz w:val="28"/>
          <w:szCs w:val="28"/>
          <w:rtl/>
        </w:rPr>
        <w:t xml:space="preserve">شيعي جيلاني ، محمّد شريف بن احمد- شعيبي گيلاني ، محمّد شريف بن احمد</w:t>
      </w:r>
    </w:p>
    <w:p>
      <w:pPr>
        <w:pStyle w:val="Heading2"/>
      </w:pPr>
      <w:bookmarkStart w:id="5354" w:name="_Toc4456"/>
      <w:r>
        <w:t>شيعي ، حسن بن احمد</w:t>
      </w:r>
      <w:bookmarkEnd w:id="5354"/>
    </w:p>
    <w:p>
      <w:pPr>
        <w:pStyle w:val="BookText"/>
      </w:pPr>
      <w:r>
        <w:rPr>
          <w:rFonts w:ascii="Amiri" w:hAnsi="Amiri" w:eastAsia="Amiri" w:cs="Amiri"/>
          <w:lang w:bidi="ar-SA"/>
          <w:color w:val="111111"/>
          <w:sz w:val="28"/>
          <w:szCs w:val="28"/>
          <w:rtl/>
        </w:rPr>
        <w:t xml:space="preserve">مناظرة الحسن بن أحمد الشيعي مع</w:t>
      </w:r>
    </w:p>
    <w:p>
      <w:pPr>
        <w:pStyle w:val="BookText"/>
      </w:pPr>
      <w:r>
        <w:rPr>
          <w:rFonts w:ascii="Amiri" w:hAnsi="Amiri" w:eastAsia="Amiri" w:cs="Amiri"/>
          <w:lang w:bidi="ar-SA"/>
          <w:color w:val="111111"/>
          <w:sz w:val="28"/>
          <w:szCs w:val="28"/>
          <w:rtl/>
        </w:rPr>
        <w:t xml:space="preserve">ابراهيم بن الحجاج، ج 15 ، ص 518.</w:t>
      </w:r>
    </w:p>
    <w:p>
      <w:pPr>
        <w:pStyle w:val="Heading2"/>
      </w:pPr>
      <w:bookmarkStart w:id="5355" w:name="_Toc4457"/>
      <w:r>
        <w:t>شيعي سبزواري، حسن بن حسين - 795</w:t>
      </w:r>
      <w:bookmarkEnd w:id="5355"/>
    </w:p>
    <w:p>
      <w:pPr>
        <w:pStyle w:val="BookText"/>
      </w:pPr>
      <w:r>
        <w:rPr>
          <w:rFonts w:ascii="Amiri" w:hAnsi="Amiri" w:eastAsia="Amiri" w:cs="Amiri"/>
          <w:lang w:bidi="ar-SA"/>
          <w:color w:val="111111"/>
          <w:sz w:val="28"/>
          <w:szCs w:val="28"/>
          <w:rtl/>
        </w:rPr>
        <w:t xml:space="preserve">1 .راحة الارواح و مونس الاشباح</w:t>
      </w:r>
    </w:p>
    <w:p>
      <w:pPr>
        <w:pStyle w:val="BookText"/>
      </w:pPr>
      <w:r>
        <w:rPr>
          <w:rFonts w:ascii="IRNazanin" w:hAnsi="IRNazanin" w:eastAsia="IRNazanin" w:cs="IRNazanin"/>
          <w:lang w:bidi="fa-IR"/>
          <w:color w:val="111111"/>
          <w:sz w:val="28"/>
          <w:szCs w:val="28"/>
          <w:rtl/>
        </w:rPr>
        <w:t xml:space="preserve">ج 8، ص 6.</w:t>
      </w:r>
    </w:p>
    <w:p>
      <w:pPr>
        <w:pStyle w:val="BookText"/>
      </w:pPr>
      <w:r>
        <w:rPr>
          <w:rFonts w:ascii="Amiri" w:hAnsi="Amiri" w:eastAsia="Amiri" w:cs="Amiri"/>
          <w:lang w:bidi="ar-SA"/>
          <w:color w:val="111111"/>
          <w:sz w:val="28"/>
          <w:szCs w:val="28"/>
          <w:rtl/>
        </w:rPr>
        <w:t xml:space="preserve">2 .مصابيح القلوب، ج 14، ص 689.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57" w:name="pg7742_70647"/>
    <w:bookmarkEnd w:id="657"/>
    <w:p>
      <w:pPr>
        <w:pStyle w:val="BookText"/>
      </w:pPr>
      <w:r>
        <w:rPr>
          <w:rFonts w:ascii="Amiri" w:hAnsi="Amiri" w:eastAsia="Amiri" w:cs="Amiri"/>
          <w:lang w:bidi="ar-SA"/>
          <w:color w:val="111111"/>
          <w:sz w:val="28"/>
          <w:szCs w:val="28"/>
          <w:rtl/>
        </w:rPr>
        <w:t xml:space="preserve">شيعي ، محمّد بن احمد -مفجع ، محمّد بن احمد</w:t>
      </w:r>
    </w:p>
    <w:p>
      <w:pPr>
        <w:pStyle w:val="Heading2"/>
      </w:pPr>
      <w:bookmarkStart w:id="5356" w:name="_Toc4458"/>
      <w:r>
        <w:t>شيفتكي ، حسن بن عمر</w:t>
      </w:r>
      <w:bookmarkEnd w:id="5356"/>
    </w:p>
    <w:p>
      <w:pPr>
        <w:pStyle w:val="BookText"/>
      </w:pPr>
      <w:r>
        <w:rPr>
          <w:rFonts w:ascii="Amiri" w:hAnsi="Amiri" w:eastAsia="Amiri" w:cs="Amiri"/>
          <w:lang w:bidi="ar-SA"/>
          <w:color w:val="111111"/>
          <w:sz w:val="28"/>
          <w:szCs w:val="28"/>
          <w:rtl/>
        </w:rPr>
        <w:t xml:space="preserve">حاشية في العقائد، ج 6، ص 296 .</w:t>
      </w:r>
    </w:p>
    <w:p>
      <w:pPr>
        <w:pStyle w:val="Heading2"/>
      </w:pPr>
      <w:bookmarkStart w:id="5357" w:name="_Toc4459"/>
      <w:r>
        <w:t>شيفكي ، حسين</w:t>
      </w:r>
      <w:bookmarkEnd w:id="5357"/>
    </w:p>
    <w:p>
      <w:pPr>
        <w:pStyle w:val="BookText"/>
      </w:pPr>
      <w:r>
        <w:rPr>
          <w:rFonts w:ascii="Amiri" w:hAnsi="Amiri" w:eastAsia="Amiri" w:cs="Amiri"/>
          <w:lang w:bidi="ar-SA"/>
          <w:color w:val="111111"/>
          <w:sz w:val="28"/>
          <w:szCs w:val="28"/>
          <w:rtl/>
        </w:rPr>
        <w:t xml:space="preserve">1 .بيان مذهب الطائفة اليزيدية و</w:t>
      </w:r>
    </w:p>
    <w:p>
      <w:pPr>
        <w:pStyle w:val="BookText"/>
      </w:pPr>
      <w:r>
        <w:rPr>
          <w:rFonts w:ascii="IRNazanin" w:hAnsi="IRNazanin" w:eastAsia="IRNazanin" w:cs="IRNazanin"/>
          <w:lang w:bidi="fa-IR"/>
          <w:color w:val="111111"/>
          <w:sz w:val="28"/>
          <w:szCs w:val="28"/>
          <w:rtl/>
        </w:rPr>
        <w:t xml:space="preserve">حکم اموالهم (رسالة في)، ج3، ص 490.</w:t>
      </w:r>
    </w:p>
    <w:p>
      <w:pPr>
        <w:pStyle w:val="BookText"/>
      </w:pPr>
      <w:r>
        <w:rPr>
          <w:rFonts w:ascii="IRNazanin" w:hAnsi="IRNazanin" w:eastAsia="IRNazanin" w:cs="IRNazanin"/>
          <w:lang w:bidi="fa-IR"/>
          <w:color w:val="111111"/>
          <w:sz w:val="28"/>
          <w:szCs w:val="28"/>
          <w:rtl/>
        </w:rPr>
        <w:t xml:space="preserve">2 .حساب الفرائض، ج 6 ، ص 644.</w:t>
      </w:r>
    </w:p>
    <w:p>
      <w:pPr>
        <w:pStyle w:val="BookText"/>
      </w:pPr>
      <w:r>
        <w:rPr>
          <w:rFonts w:ascii="Amiri" w:hAnsi="Amiri" w:eastAsia="Amiri" w:cs="Amiri"/>
          <w:lang w:bidi="ar-SA"/>
          <w:color w:val="111111"/>
          <w:sz w:val="28"/>
          <w:szCs w:val="28"/>
          <w:rtl/>
        </w:rPr>
        <w:t xml:space="preserve">3 .شرح ديباجة المحرر، ج9، ص 476.</w:t>
      </w:r>
    </w:p>
    <w:p>
      <w:pPr>
        <w:pStyle w:val="BookText"/>
      </w:pPr>
      <w:r>
        <w:rPr>
          <w:rFonts w:ascii="Amiri" w:hAnsi="Amiri" w:eastAsia="Amiri" w:cs="Amiri"/>
          <w:lang w:bidi="ar-SA"/>
          <w:color w:val="111111"/>
          <w:sz w:val="28"/>
          <w:szCs w:val="28"/>
          <w:rtl/>
        </w:rPr>
        <w:t xml:space="preserve">صائبا ، محمّد علي بن عبد الرحيم -صائب</w:t>
      </w:r>
    </w:p>
    <w:p>
      <w:pPr>
        <w:pStyle w:val="BookText"/>
      </w:pPr>
      <w:r>
        <w:rPr>
          <w:rFonts w:ascii="Amiri" w:hAnsi="Amiri" w:eastAsia="Amiri" w:cs="Amiri"/>
          <w:lang w:bidi="ar-SA"/>
          <w:color w:val="111111"/>
          <w:sz w:val="28"/>
          <w:szCs w:val="28"/>
          <w:rtl/>
        </w:rPr>
        <w:t xml:space="preserve">تبريزي ، محمّد علي بن عبدالرحيم</w:t>
      </w:r>
    </w:p>
    <w:p>
      <w:pPr>
        <w:pStyle w:val="Heading2"/>
      </w:pPr>
      <w:bookmarkStart w:id="5358" w:name="_Toc4460"/>
      <w:r>
        <w:t>صائب تبريزي ، محمّد علي بن عبدالرحيم</w:t>
      </w:r>
      <w:bookmarkEnd w:id="5358"/>
    </w:p>
    <w:p>
      <w:pPr>
        <w:pStyle w:val="BookText"/>
      </w:pPr>
      <w:r>
        <w:rPr>
          <w:rFonts w:ascii="IRNazanin" w:hAnsi="IRNazanin" w:eastAsia="IRNazanin" w:cs="IRNazanin"/>
          <w:lang w:bidi="fa-IR"/>
          <w:color w:val="111111"/>
          <w:sz w:val="28"/>
          <w:szCs w:val="28"/>
          <w:rtl/>
        </w:rPr>
        <w:t xml:space="preserve">1016 - 1086 ؟ ه-</w:t>
      </w:r>
    </w:p>
    <w:p>
      <w:pPr>
        <w:pStyle w:val="BookText"/>
      </w:pPr>
      <w:r>
        <w:rPr>
          <w:rFonts w:ascii="IRNazanin" w:hAnsi="IRNazanin" w:eastAsia="IRNazanin" w:cs="IRNazanin"/>
          <w:lang w:bidi="fa-IR"/>
          <w:color w:val="111111"/>
          <w:sz w:val="28"/>
          <w:szCs w:val="28"/>
          <w:rtl/>
        </w:rPr>
        <w:t xml:space="preserve">دیوان صائب تبريزي، ج7، ص 679.</w:t>
      </w:r>
    </w:p>
    <w:p>
      <w:pPr>
        <w:pStyle w:val="BookText"/>
      </w:pPr>
      <w:r>
        <w:rPr>
          <w:rFonts w:ascii="Amiri" w:hAnsi="Amiri" w:eastAsia="Amiri" w:cs="Amiri"/>
          <w:lang w:bidi="ar-SA"/>
          <w:color w:val="111111"/>
          <w:sz w:val="28"/>
          <w:szCs w:val="28"/>
          <w:rtl/>
        </w:rPr>
        <w:t xml:space="preserve">صائب ، محمّد علي- صائب تبريزي ،</w:t>
      </w:r>
    </w:p>
    <w:p>
      <w:pPr>
        <w:pStyle w:val="BookText"/>
      </w:pPr>
      <w:r>
        <w:rPr>
          <w:rFonts w:ascii="Amiri" w:hAnsi="Amiri" w:eastAsia="Amiri" w:cs="Amiri"/>
          <w:lang w:bidi="ar-SA"/>
          <w:color w:val="111111"/>
          <w:sz w:val="28"/>
          <w:szCs w:val="28"/>
          <w:rtl/>
        </w:rPr>
        <w:t xml:space="preserve">محمّد علي بن عبدالرحيم</w:t>
      </w:r>
    </w:p>
    <w:p>
      <w:pPr>
        <w:pStyle w:val="BookText"/>
      </w:pPr>
      <w:r>
        <w:rPr>
          <w:rFonts w:ascii="Amiri" w:hAnsi="Amiri" w:eastAsia="Amiri" w:cs="Amiri"/>
          <w:lang w:bidi="ar-SA"/>
          <w:color w:val="111111"/>
          <w:sz w:val="28"/>
          <w:szCs w:val="28"/>
          <w:rtl/>
        </w:rPr>
        <w:t xml:space="preserve">صائب ، محمّد علي بن عبد</w:t>
      </w:r>
    </w:p>
    <w:p>
      <w:pPr>
        <w:pStyle w:val="BookText"/>
      </w:pPr>
      <w:r>
        <w:rPr>
          <w:rFonts w:ascii="Amiri" w:hAnsi="Amiri" w:eastAsia="Amiri" w:cs="Amiri"/>
          <w:lang w:bidi="ar-SA"/>
          <w:color w:val="111111"/>
          <w:sz w:val="28"/>
          <w:szCs w:val="28"/>
          <w:rtl/>
        </w:rPr>
        <w:t xml:space="preserve">الرحيم-صائب تبريزي ، محمّد علي بن عبدالرحيم</w:t>
      </w:r>
    </w:p>
    <w:p>
      <w:pPr>
        <w:pStyle w:val="Heading2"/>
      </w:pPr>
      <w:bookmarkStart w:id="5359" w:name="_Toc4461"/>
      <w:r>
        <w:t>صائغ زاده، محمّد طاهر - 1337</w:t>
      </w:r>
      <w:bookmarkEnd w:id="5359"/>
    </w:p>
    <w:p>
      <w:pPr>
        <w:pStyle w:val="BookText"/>
      </w:pPr>
      <w:r>
        <w:rPr>
          <w:rFonts w:ascii="IRNazanin" w:hAnsi="IRNazanin" w:eastAsia="IRNazanin" w:cs="IRNazanin"/>
          <w:lang w:bidi="fa-IR"/>
          <w:color w:val="111111"/>
          <w:sz w:val="28"/>
          <w:szCs w:val="28"/>
          <w:rtl/>
        </w:rPr>
        <w:t xml:space="preserve">1 .شرح البناء، ج9، ص290.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القصائد المعشرات للشيخ نور</w:t>
      </w:r>
    </w:p>
    <w:p>
      <w:pPr>
        <w:pStyle w:val="BookText"/>
      </w:pPr>
      <w:r>
        <w:rPr>
          <w:rFonts w:ascii="Amiri" w:hAnsi="Amiri" w:eastAsia="Amiri" w:cs="Amiri"/>
          <w:lang w:bidi="ar-SA"/>
          <w:color w:val="111111"/>
          <w:sz w:val="28"/>
          <w:szCs w:val="28"/>
          <w:rtl/>
        </w:rPr>
        <w:t xml:space="preserve">الدين، ج9، ص823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معالم السلوك في منهاج خدمة ملك الملوك، ج 13، ص 863.</w:t>
      </w:r>
    </w:p>
    <w:p>
      <w:pPr>
        <w:pStyle w:val="BookText"/>
      </w:pPr>
      <w:r>
        <w:rPr>
          <w:rFonts w:ascii="Amiri" w:hAnsi="Amiri" w:eastAsia="Amiri" w:cs="Amiri"/>
          <w:lang w:bidi="ar-SA"/>
          <w:color w:val="111111"/>
          <w:sz w:val="28"/>
          <w:szCs w:val="28"/>
          <w:rtl/>
        </w:rPr>
        <w:t xml:space="preserve">صائغ ، سلطان بن حسن -موصلي</w:t>
      </w:r>
    </w:p>
    <w:p>
      <w:pPr>
        <w:pStyle w:val="BookText"/>
      </w:pPr>
      <w:r>
        <w:rPr>
          <w:rFonts w:ascii="IRNazanin" w:hAnsi="IRNazanin" w:eastAsia="IRNazanin" w:cs="IRNazanin"/>
          <w:lang w:bidi="fa-IR"/>
          <w:color w:val="111111"/>
          <w:sz w:val="28"/>
          <w:szCs w:val="28"/>
          <w:rtl/>
        </w:rPr>
        <w:t xml:space="preserve">سلطان بن حسن</w:t>
      </w:r>
    </w:p>
    <w:p>
      <w:pPr>
        <w:pStyle w:val="BookText"/>
      </w:pPr>
      <w:r>
        <w:rPr>
          <w:rFonts w:ascii="Amiri" w:hAnsi="Amiri" w:eastAsia="Amiri" w:cs="Amiri"/>
          <w:lang w:bidi="ar-SA"/>
          <w:color w:val="111111"/>
          <w:sz w:val="28"/>
          <w:szCs w:val="28"/>
          <w:rtl/>
        </w:rPr>
        <w:t xml:space="preserve">صائغ ، عبدالرحمن بن يوسف -ابن صائغ</w:t>
      </w:r>
    </w:p>
    <w:p>
      <w:pPr>
        <w:pStyle w:val="BookText"/>
      </w:pPr>
      <w:r>
        <w:rPr>
          <w:rFonts w:ascii="Amiri" w:hAnsi="Amiri" w:eastAsia="Amiri" w:cs="Amiri"/>
          <w:lang w:bidi="ar-SA"/>
          <w:color w:val="111111"/>
          <w:sz w:val="28"/>
          <w:szCs w:val="28"/>
          <w:rtl/>
        </w:rPr>
        <w:t xml:space="preserve">عبدالرحمن بن يوسف</w:t>
      </w:r>
    </w:p>
    <w:p>
      <w:pPr>
        <w:pStyle w:val="Heading2"/>
      </w:pPr>
      <w:bookmarkStart w:id="5360" w:name="_Toc4462"/>
      <w:r>
        <w:t>صائغ ، محسن بن هاشم 1255 - 1339</w:t>
      </w:r>
      <w:bookmarkEnd w:id="5360"/>
    </w:p>
    <w:p>
      <w:pPr>
        <w:pStyle w:val="BookText"/>
      </w:pPr>
      <w:r>
        <w:rPr>
          <w:rFonts w:ascii="Amiri" w:hAnsi="Amiri" w:eastAsia="Amiri" w:cs="Amiri"/>
          <w:lang w:bidi="ar-SA"/>
          <w:color w:val="111111"/>
          <w:sz w:val="28"/>
          <w:szCs w:val="28"/>
          <w:rtl/>
        </w:rPr>
        <w:t xml:space="preserve">1 .شواهد ربيع الأبرار، ج 10، ص 451.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مجموع أدبي، ج 14 ، ص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المجموع الجامع، ج 14، ص 27.</w:t>
      </w:r>
    </w:p>
    <w:p>
      <w:pPr>
        <w:pStyle w:val="Heading2"/>
      </w:pPr>
      <w:bookmarkStart w:id="5361" w:name="_Toc4463"/>
      <w:r>
        <w:t>صائم ، احمد بن محمّد</w:t>
      </w:r>
      <w:bookmarkEnd w:id="5361"/>
    </w:p>
    <w:p>
      <w:pPr>
        <w:pStyle w:val="BookText"/>
      </w:pPr>
      <w:r>
        <w:rPr>
          <w:rFonts w:ascii="Amiri" w:hAnsi="Amiri" w:eastAsia="Amiri" w:cs="Amiri"/>
          <w:lang w:bidi="ar-SA"/>
          <w:color w:val="111111"/>
          <w:sz w:val="28"/>
          <w:szCs w:val="28"/>
          <w:rtl/>
        </w:rPr>
        <w:t xml:space="preserve">1 .صورة فتوى، ج 10، ص 654.</w:t>
      </w:r>
    </w:p>
    <w:p>
      <w:pPr>
        <w:pStyle w:val="BookText"/>
      </w:pPr>
      <w:r>
        <w:rPr>
          <w:rFonts w:ascii="Amiri" w:hAnsi="Amiri" w:eastAsia="Amiri" w:cs="Amiri"/>
          <w:lang w:bidi="ar-SA"/>
          <w:color w:val="111111"/>
          <w:sz w:val="28"/>
          <w:szCs w:val="28"/>
          <w:rtl/>
        </w:rPr>
        <w:t xml:space="preserve">2 .القضاء (رسالة في)، ج 12، ص733.</w:t>
      </w:r>
    </w:p>
    <w:p>
      <w:pPr>
        <w:pStyle w:val="BookText"/>
      </w:pPr>
      <w:r>
        <w:rPr>
          <w:rFonts w:ascii="Amiri" w:hAnsi="Amiri" w:eastAsia="Amiri" w:cs="Amiri"/>
          <w:lang w:bidi="ar-SA"/>
          <w:color w:val="111111"/>
          <w:sz w:val="28"/>
          <w:szCs w:val="28"/>
          <w:rtl/>
        </w:rPr>
        <w:t xml:space="preserve">صائم ، محمّد بن احمد -دوشيواني ، محمّد طبيب بن احمد</w:t>
      </w:r>
    </w:p>
    <w:p>
      <w:pPr>
        <w:pStyle w:val="BookText"/>
      </w:pPr>
      <w:r>
        <w:rPr>
          <w:rFonts w:ascii="IRNazanin" w:hAnsi="IRNazanin" w:eastAsia="IRNazanin" w:cs="IRNazanin"/>
          <w:lang w:bidi="fa-IR"/>
          <w:color w:val="111111"/>
          <w:sz w:val="28"/>
          <w:szCs w:val="28"/>
          <w:rtl/>
        </w:rPr>
        <w:t xml:space="preserve">صائم ، محمّد طبیب بن احمد -دوشيواني</w:t>
      </w:r>
    </w:p>
    <w:p>
      <w:pPr>
        <w:pStyle w:val="BookText"/>
      </w:pPr>
      <w:r>
        <w:rPr>
          <w:rFonts w:ascii="IRNazanin" w:hAnsi="IRNazanin" w:eastAsia="IRNazanin" w:cs="IRNazanin"/>
          <w:lang w:bidi="fa-IR"/>
          <w:color w:val="111111"/>
          <w:sz w:val="28"/>
          <w:szCs w:val="28"/>
          <w:rtl/>
        </w:rPr>
        <w:t xml:space="preserve">، محمّد طبیب بن احمد</w:t>
      </w:r>
    </w:p>
    <w:p>
      <w:pPr>
        <w:pStyle w:val="BookText"/>
      </w:pPr>
      <w:r>
        <w:rPr>
          <w:rFonts w:ascii="Amiri" w:hAnsi="Amiri" w:eastAsia="Amiri" w:cs="Amiri"/>
          <w:lang w:bidi="ar-SA"/>
          <w:color w:val="111111"/>
          <w:sz w:val="28"/>
          <w:szCs w:val="28"/>
          <w:rtl/>
        </w:rPr>
        <w:t xml:space="preserve">صائن الدين تركه -تركه اصفهاني ، علي بن محمّد</w:t>
      </w:r>
    </w:p>
    <w:p>
      <w:pPr>
        <w:pStyle w:val="BookText"/>
      </w:pPr>
      <w:r>
        <w:rPr>
          <w:rFonts w:ascii="Amiri" w:hAnsi="Amiri" w:eastAsia="Amiri" w:cs="Amiri"/>
          <w:lang w:bidi="ar-SA"/>
          <w:color w:val="111111"/>
          <w:sz w:val="28"/>
          <w:szCs w:val="28"/>
          <w:rtl/>
        </w:rPr>
        <w:t xml:space="preserve">صابر شيرازي ، محمّد مهدي- صابر</w:t>
      </w:r>
    </w:p>
    <w:p>
      <w:pPr>
        <w:pStyle w:val="BookText"/>
      </w:pPr>
      <w:r>
        <w:rPr>
          <w:rFonts w:ascii="Amiri" w:hAnsi="Amiri" w:eastAsia="Amiri" w:cs="Amiri"/>
          <w:lang w:bidi="ar-SA"/>
          <w:color w:val="111111"/>
          <w:sz w:val="28"/>
          <w:szCs w:val="28"/>
          <w:rtl/>
        </w:rPr>
        <w:t xml:space="preserve">شيرازي ، مهدي بن محمّد</w:t>
      </w:r>
    </w:p>
    <w:p>
      <w:pPr>
        <w:pStyle w:val="Heading2"/>
      </w:pPr>
      <w:bookmarkStart w:id="5362" w:name="_Toc4464"/>
      <w:r>
        <w:t>صابر شيرازي ، مهدي بن محمّد - 1289</w:t>
      </w:r>
      <w:bookmarkEnd w:id="5362"/>
    </w:p>
    <w:p>
      <w:pPr>
        <w:pStyle w:val="BookText"/>
      </w:pPr>
      <w:r>
        <w:rPr>
          <w:rFonts w:ascii="IRNazanin" w:hAnsi="IRNazanin" w:eastAsia="IRNazanin" w:cs="IRNazanin"/>
          <w:lang w:bidi="fa-IR"/>
          <w:color w:val="111111"/>
          <w:sz w:val="28"/>
          <w:szCs w:val="28"/>
          <w:rtl/>
        </w:rPr>
        <w:t xml:space="preserve">اوضح اللغات، ج3، ص79.</w:t>
      </w:r>
    </w:p>
    <w:p>
      <w:pPr>
        <w:pStyle w:val="Heading2"/>
      </w:pPr>
      <w:bookmarkStart w:id="5363" w:name="_Toc4465"/>
      <w:r>
        <w:t>صابوني ، احمد بن محمود - 580 ه-</w:t>
      </w:r>
      <w:bookmarkEnd w:id="5363"/>
    </w:p>
    <w:p>
      <w:pPr>
        <w:pStyle w:val="BookText"/>
      </w:pPr>
      <w:r>
        <w:rPr>
          <w:rFonts w:ascii="Amiri" w:hAnsi="Amiri" w:eastAsia="Amiri" w:cs="Amiri"/>
          <w:lang w:bidi="ar-SA"/>
          <w:color w:val="111111"/>
          <w:sz w:val="28"/>
          <w:szCs w:val="28"/>
          <w:rtl/>
        </w:rPr>
        <w:t xml:space="preserve">البداية من الكفاية في الهداية في اصول الدين، ج 3، ص 249.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58" w:name="pg7742_70648"/>
    <w:bookmarkEnd w:id="658"/>
    <w:p>
      <w:pPr>
        <w:pStyle w:val="BookText"/>
      </w:pPr>
      <w:r>
        <w:rPr>
          <w:rFonts w:ascii="Amiri" w:hAnsi="Amiri" w:eastAsia="Amiri" w:cs="Amiri"/>
          <w:lang w:bidi="ar-SA"/>
          <w:color w:val="111111"/>
          <w:sz w:val="28"/>
          <w:szCs w:val="28"/>
          <w:rtl/>
        </w:rPr>
        <w:t xml:space="preserve">صابوني ، محمّد بن احمد- صفواني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صابوني ، محمّد بن علي- ابن صابوني ،</w:t>
      </w:r>
    </w:p>
    <w:p>
      <w:pPr>
        <w:pStyle w:val="BookText"/>
      </w:pPr>
      <w:r>
        <w:rPr>
          <w:rFonts w:ascii="Amiri" w:hAnsi="Amiri" w:eastAsia="Amiri" w:cs="Amiri"/>
          <w:lang w:bidi="ar-SA"/>
          <w:color w:val="111111"/>
          <w:sz w:val="28"/>
          <w:szCs w:val="28"/>
          <w:rtl/>
        </w:rPr>
        <w:t xml:space="preserve">محمّد بن علي</w:t>
      </w:r>
    </w:p>
    <w:p>
      <w:pPr>
        <w:pStyle w:val="Heading2"/>
      </w:pPr>
      <w:bookmarkStart w:id="5364" w:name="_Toc4466"/>
      <w:r>
        <w:t>صابي ، ابراهيم بن هلال، 4313 - 384 ه-</w:t>
      </w:r>
      <w:bookmarkEnd w:id="5364"/>
    </w:p>
    <w:p>
      <w:pPr>
        <w:pStyle w:val="BookText"/>
      </w:pPr>
      <w:r>
        <w:rPr>
          <w:rFonts w:ascii="Amiri" w:hAnsi="Amiri" w:eastAsia="Amiri" w:cs="Amiri"/>
          <w:lang w:bidi="ar-SA"/>
          <w:color w:val="111111"/>
          <w:sz w:val="28"/>
          <w:szCs w:val="28"/>
          <w:rtl/>
        </w:rPr>
        <w:t xml:space="preserve">1 .رسائل الصابي - منشآت و</w:t>
      </w:r>
    </w:p>
    <w:p>
      <w:pPr>
        <w:pStyle w:val="BookText"/>
      </w:pPr>
      <w:r>
        <w:rPr>
          <w:rFonts w:ascii="Amiri" w:hAnsi="Amiri" w:eastAsia="Amiri" w:cs="Amiri"/>
          <w:lang w:bidi="ar-SA"/>
          <w:color w:val="111111"/>
          <w:sz w:val="28"/>
          <w:szCs w:val="28"/>
          <w:rtl/>
        </w:rPr>
        <w:t xml:space="preserve">مكاتيب، ج8، ص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رسوم دار الخلافة، ج8، ص303.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المختار من رسائل أبي إسحاق ابراهيم الصابي، ج 14، ص 163.</w:t>
      </w:r>
    </w:p>
    <w:p>
      <w:pPr>
        <w:pStyle w:val="BookText"/>
      </w:pPr>
      <w:r>
        <w:rPr>
          <w:rFonts w:ascii="Amiri" w:hAnsi="Amiri" w:eastAsia="Amiri" w:cs="Amiri"/>
          <w:lang w:bidi="ar-SA"/>
          <w:color w:val="111111"/>
          <w:sz w:val="28"/>
          <w:szCs w:val="28"/>
          <w:rtl/>
        </w:rPr>
        <w:t xml:space="preserve">4 .منتخب التاجي، ج 15، ص 602.</w:t>
      </w:r>
    </w:p>
    <w:p>
      <w:pPr>
        <w:pStyle w:val="Heading2"/>
      </w:pPr>
      <w:bookmarkStart w:id="5365" w:name="_Toc4467"/>
      <w:r>
        <w:t>صابي ، هلال بن محسن، 359 - 448 ه-</w:t>
      </w:r>
      <w:bookmarkEnd w:id="5365"/>
    </w:p>
    <w:p>
      <w:pPr>
        <w:pStyle w:val="BookText"/>
      </w:pPr>
      <w:r>
        <w:rPr>
          <w:rFonts w:ascii="Amiri" w:hAnsi="Amiri" w:eastAsia="Amiri" w:cs="Amiri"/>
          <w:lang w:bidi="ar-SA"/>
          <w:color w:val="111111"/>
          <w:sz w:val="28"/>
          <w:szCs w:val="28"/>
          <w:rtl/>
        </w:rPr>
        <w:t xml:space="preserve">غرر البلاغة، ج 11، ص 477.</w:t>
      </w:r>
    </w:p>
    <w:p>
      <w:pPr>
        <w:pStyle w:val="Heading2"/>
      </w:pPr>
      <w:bookmarkStart w:id="5366" w:name="_Toc4468"/>
      <w:r>
        <w:t>صاحب بن عباد ، اسماعيل بن عباد 326</w:t>
      </w:r>
      <w:bookmarkEnd w:id="53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385 ه-</w:t>
      </w:r>
    </w:p>
    <w:p>
      <w:pPr>
        <w:pStyle w:val="BookText"/>
      </w:pPr>
      <w:r>
        <w:rPr>
          <w:rFonts w:ascii="Amiri" w:hAnsi="Amiri" w:eastAsia="Amiri" w:cs="Amiri"/>
          <w:lang w:bidi="ar-SA"/>
          <w:color w:val="111111"/>
          <w:sz w:val="28"/>
          <w:szCs w:val="28"/>
          <w:rtl/>
        </w:rPr>
        <w:t xml:space="preserve">1 .الإبانة عن مذهب العدل بحجج القران و العقل، ج1، ص87</w:t>
      </w:r>
    </w:p>
    <w:p>
      <w:pPr>
        <w:pStyle w:val="BookText"/>
      </w:pPr>
      <w:r>
        <w:rPr>
          <w:rFonts w:ascii="Amiri" w:hAnsi="Amiri" w:eastAsia="Amiri" w:cs="Amiri"/>
          <w:lang w:bidi="ar-SA"/>
          <w:color w:val="111111"/>
          <w:sz w:val="28"/>
          <w:szCs w:val="28"/>
          <w:rtl/>
        </w:rPr>
        <w:t xml:space="preserve">2 .احوال عبد العظيم الحسني = حياة</w:t>
      </w:r>
    </w:p>
    <w:p>
      <w:pPr>
        <w:pStyle w:val="BookText"/>
      </w:pPr>
      <w:r>
        <w:rPr>
          <w:rFonts w:ascii="Amiri" w:hAnsi="Amiri" w:eastAsia="Amiri" w:cs="Amiri"/>
          <w:lang w:bidi="ar-SA"/>
          <w:color w:val="111111"/>
          <w:sz w:val="28"/>
          <w:szCs w:val="28"/>
          <w:rtl/>
        </w:rPr>
        <w:t xml:space="preserve">السيد الشريف عبد العظيم الحسني، ج1، ص 503.</w:t>
      </w:r>
    </w:p>
    <w:p>
      <w:pPr>
        <w:pStyle w:val="BookText"/>
      </w:pPr>
      <w:r>
        <w:rPr>
          <w:rFonts w:ascii="Amiri" w:hAnsi="Amiri" w:eastAsia="Amiri" w:cs="Amiri"/>
          <w:lang w:bidi="ar-SA"/>
          <w:color w:val="111111"/>
          <w:sz w:val="28"/>
          <w:szCs w:val="28"/>
          <w:rtl/>
        </w:rPr>
        <w:t xml:space="preserve">3 .الأمثال السائرة من شعر المتنبي</w:t>
      </w:r>
    </w:p>
    <w:p>
      <w:pPr>
        <w:pStyle w:val="BookText"/>
      </w:pPr>
      <w:r>
        <w:rPr>
          <w:rFonts w:ascii="IRNazanin" w:hAnsi="IRNazanin" w:eastAsia="IRNazanin" w:cs="IRNazanin"/>
          <w:lang w:bidi="fa-IR"/>
          <w:color w:val="111111"/>
          <w:sz w:val="28"/>
          <w:szCs w:val="28"/>
          <w:rtl/>
        </w:rPr>
        <w:t xml:space="preserve">ج 2، ص 746 .</w:t>
      </w:r>
    </w:p>
    <w:p>
      <w:pPr>
        <w:pStyle w:val="BookText"/>
      </w:pPr>
      <w:r>
        <w:rPr>
          <w:rFonts w:ascii="Amiri" w:hAnsi="Amiri" w:eastAsia="Amiri" w:cs="Amiri"/>
          <w:lang w:bidi="ar-SA"/>
          <w:color w:val="111111"/>
          <w:sz w:val="28"/>
          <w:szCs w:val="28"/>
          <w:rtl/>
        </w:rPr>
        <w:t xml:space="preserve">4 .التذكرة في الاصول الخمسة، جع،</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Amiri" w:hAnsi="Amiri" w:eastAsia="Amiri" w:cs="Amiri"/>
          <w:lang w:bidi="ar-SA"/>
          <w:color w:val="111111"/>
          <w:sz w:val="28"/>
          <w:szCs w:val="28"/>
          <w:rtl/>
        </w:rPr>
        <w:t xml:space="preserve">5 .ترجمة السيّد عبد العظيم الحسني</w:t>
      </w:r>
    </w:p>
    <w:p>
      <w:pPr>
        <w:pStyle w:val="BookText"/>
      </w:pPr>
      <w:r>
        <w:rPr>
          <w:rFonts w:ascii="IRNazanin" w:hAnsi="IRNazanin" w:eastAsia="IRNazanin" w:cs="IRNazanin"/>
          <w:lang w:bidi="fa-IR"/>
          <w:color w:val="111111"/>
          <w:sz w:val="28"/>
          <w:szCs w:val="28"/>
          <w:rtl/>
        </w:rPr>
        <w:t xml:space="preserve">ج 4، ص 274.</w:t>
      </w:r>
    </w:p>
    <w:p>
      <w:pPr>
        <w:pStyle w:val="BookText"/>
      </w:pPr>
      <w:r>
        <w:rPr>
          <w:rFonts w:ascii="Amiri" w:hAnsi="Amiri" w:eastAsia="Amiri" w:cs="Amiri"/>
          <w:lang w:bidi="ar-SA"/>
          <w:color w:val="111111"/>
          <w:sz w:val="28"/>
          <w:szCs w:val="28"/>
          <w:rtl/>
        </w:rPr>
        <w:t xml:space="preserve">6 .ديوان صاحب بن عباد، ج7،</w:t>
      </w:r>
    </w:p>
    <w:p>
      <w:pPr>
        <w:pStyle w:val="BookText"/>
      </w:pPr>
      <w:r>
        <w:rPr>
          <w:rFonts w:ascii="IRNazanin" w:hAnsi="IRNazanin" w:eastAsia="IRNazanin" w:cs="IRNazanin"/>
          <w:lang w:bidi="fa-IR"/>
          <w:color w:val="111111"/>
          <w:sz w:val="28"/>
          <w:szCs w:val="28"/>
          <w:rtl/>
        </w:rPr>
        <w:t xml:space="preserve">ص 680 .</w:t>
      </w:r>
    </w:p>
    <w:p>
      <w:pPr>
        <w:pStyle w:val="BookText"/>
      </w:pPr>
      <w:r>
        <w:rPr>
          <w:rFonts w:ascii="Amiri" w:hAnsi="Amiri" w:eastAsia="Amiri" w:cs="Amiri"/>
          <w:lang w:bidi="ar-SA"/>
          <w:color w:val="111111"/>
          <w:sz w:val="28"/>
          <w:szCs w:val="28"/>
          <w:rtl/>
        </w:rPr>
        <w:t xml:space="preserve">7 .عنوان المعارف و ذكر الخلائف</w:t>
      </w:r>
    </w:p>
    <w:p>
      <w:pPr>
        <w:pStyle w:val="BookText"/>
      </w:pPr>
      <w:r>
        <w:rPr>
          <w:rFonts w:ascii="IRNazanin" w:hAnsi="IRNazanin" w:eastAsia="IRNazanin" w:cs="IRNazanin"/>
          <w:lang w:bidi="fa-IR"/>
          <w:color w:val="111111"/>
          <w:sz w:val="28"/>
          <w:szCs w:val="28"/>
          <w:rtl/>
        </w:rPr>
        <w:t xml:space="preserve">ج 11، ص 341.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الفصول الأدبية و المراسلات</w:t>
      </w:r>
    </w:p>
    <w:p>
      <w:pPr>
        <w:pStyle w:val="BookText"/>
      </w:pPr>
      <w:r>
        <w:rPr>
          <w:rFonts w:ascii="Amiri" w:hAnsi="Amiri" w:eastAsia="Amiri" w:cs="Amiri"/>
          <w:lang w:bidi="ar-SA"/>
          <w:color w:val="111111"/>
          <w:sz w:val="28"/>
          <w:szCs w:val="28"/>
          <w:rtl/>
        </w:rPr>
        <w:t xml:space="preserve">العبادية، ج 11، ص 843.</w:t>
      </w:r>
    </w:p>
    <w:p>
      <w:pPr>
        <w:pStyle w:val="BookText"/>
      </w:pPr>
      <w:r>
        <w:rPr>
          <w:rFonts w:ascii="Amiri" w:hAnsi="Amiri" w:eastAsia="Amiri" w:cs="Amiri"/>
          <w:lang w:bidi="ar-SA"/>
          <w:color w:val="111111"/>
          <w:sz w:val="28"/>
          <w:szCs w:val="28"/>
          <w:rtl/>
        </w:rPr>
        <w:t xml:space="preserve">9 .المحيط في اللغة، ج 14، ص 137.</w:t>
      </w:r>
    </w:p>
    <w:p>
      <w:pPr>
        <w:pStyle w:val="BookText"/>
      </w:pPr>
      <w:r>
        <w:rPr>
          <w:rFonts w:ascii="Amiri" w:hAnsi="Amiri" w:eastAsia="Amiri" w:cs="Amiri"/>
          <w:lang w:bidi="ar-SA"/>
          <w:color w:val="111111"/>
          <w:sz w:val="28"/>
          <w:szCs w:val="28"/>
          <w:rtl/>
        </w:rPr>
        <w:t xml:space="preserve">10.نسب عبد العظيم الحسني (رسالة</w:t>
      </w:r>
    </w:p>
    <w:p>
      <w:pPr>
        <w:pStyle w:val="BookText"/>
      </w:pPr>
      <w:r>
        <w:rPr>
          <w:rFonts w:ascii="Amiri" w:hAnsi="Amiri" w:eastAsia="Amiri" w:cs="Amiri"/>
          <w:lang w:bidi="ar-SA"/>
          <w:color w:val="111111"/>
          <w:sz w:val="28"/>
          <w:szCs w:val="28"/>
          <w:rtl/>
        </w:rPr>
        <w:t xml:space="preserve">في)، ج 16، ص 269.</w:t>
      </w:r>
    </w:p>
    <w:p>
      <w:pPr>
        <w:pStyle w:val="Heading2"/>
      </w:pPr>
      <w:bookmarkStart w:id="5367" w:name="_Toc4469"/>
      <w:r>
        <w:t>صاحب حسيني</w:t>
      </w:r>
      <w:bookmarkEnd w:id="5367"/>
    </w:p>
    <w:p>
      <w:pPr>
        <w:pStyle w:val="BookText"/>
      </w:pPr>
      <w:r>
        <w:rPr>
          <w:rFonts w:ascii="Amiri" w:hAnsi="Amiri" w:eastAsia="Amiri" w:cs="Amiri"/>
          <w:lang w:bidi="ar-SA"/>
          <w:color w:val="111111"/>
          <w:sz w:val="28"/>
          <w:szCs w:val="28"/>
          <w:rtl/>
        </w:rPr>
        <w:t xml:space="preserve">الخيرة في الذخائر، ج7، ص193.</w:t>
      </w:r>
    </w:p>
    <w:p>
      <w:pPr>
        <w:pStyle w:val="BookText"/>
      </w:pPr>
      <w:r>
        <w:rPr>
          <w:rFonts w:ascii="Amiri" w:hAnsi="Amiri" w:eastAsia="Amiri" w:cs="Amiri"/>
          <w:lang w:bidi="ar-SA"/>
          <w:color w:val="111111"/>
          <w:sz w:val="28"/>
          <w:szCs w:val="28"/>
          <w:rtl/>
        </w:rPr>
        <w:t xml:space="preserve">صاحب علي آبادي ، محمّد تقي -صاحب</w:t>
      </w:r>
    </w:p>
    <w:p>
      <w:pPr>
        <w:pStyle w:val="BookText"/>
      </w:pPr>
      <w:r>
        <w:rPr>
          <w:rFonts w:ascii="Amiri" w:hAnsi="Amiri" w:eastAsia="Amiri" w:cs="Amiri"/>
          <w:lang w:bidi="ar-SA"/>
          <w:color w:val="111111"/>
          <w:sz w:val="28"/>
          <w:szCs w:val="28"/>
          <w:rtl/>
        </w:rPr>
        <w:t xml:space="preserve">مازندراني ، محمّد تقي بن محمّد زكي</w:t>
      </w:r>
    </w:p>
    <w:p>
      <w:pPr>
        <w:pStyle w:val="Heading2"/>
      </w:pPr>
      <w:bookmarkStart w:id="5368" w:name="_Toc4470"/>
      <w:r>
        <w:t>صاحب مازندراني ، محمّد تقي بن محمّد زكي، - 1256 ه-</w:t>
      </w:r>
      <w:bookmarkEnd w:id="5368"/>
    </w:p>
    <w:p>
      <w:pPr>
        <w:pStyle w:val="BookText"/>
      </w:pPr>
      <w:r>
        <w:rPr>
          <w:rFonts w:ascii="Amiri" w:hAnsi="Amiri" w:eastAsia="Amiri" w:cs="Amiri"/>
          <w:lang w:bidi="ar-SA"/>
          <w:color w:val="111111"/>
          <w:sz w:val="28"/>
          <w:szCs w:val="28"/>
          <w:rtl/>
        </w:rPr>
        <w:t xml:space="preserve">1 .ديوان صاحب علي آبادي = ديوان ملالي = ديوان صاحب مازندراني ج 7، ص 681.</w:t>
      </w:r>
    </w:p>
    <w:p>
      <w:pPr>
        <w:pStyle w:val="BookText"/>
      </w:pPr>
      <w:r>
        <w:rPr>
          <w:rFonts w:ascii="Amiri" w:hAnsi="Amiri" w:eastAsia="Amiri" w:cs="Amiri"/>
          <w:lang w:bidi="ar-SA"/>
          <w:color w:val="111111"/>
          <w:sz w:val="28"/>
          <w:szCs w:val="28"/>
          <w:rtl/>
        </w:rPr>
        <w:t xml:space="preserve">2 .كلام الملوك ملوك الكلام = ملوك</w:t>
      </w:r>
    </w:p>
    <w:p>
      <w:pPr>
        <w:pStyle w:val="BookText"/>
      </w:pPr>
      <w:r>
        <w:rPr>
          <w:rFonts w:ascii="IRNazanin" w:hAnsi="IRNazanin" w:eastAsia="IRNazanin" w:cs="IRNazanin"/>
          <w:lang w:bidi="fa-IR"/>
          <w:color w:val="111111"/>
          <w:sz w:val="28"/>
          <w:szCs w:val="28"/>
          <w:rtl/>
        </w:rPr>
        <w:t xml:space="preserve">الكلام - رساله خاقانیه، ج13،</w:t>
      </w:r>
    </w:p>
    <w:p>
      <w:pPr>
        <w:pStyle w:val="BookText"/>
      </w:pPr>
      <w:r>
        <w:rPr>
          <w:rFonts w:ascii="IRNazanin" w:hAnsi="IRNazanin" w:eastAsia="IRNazanin" w:cs="IRNazanin"/>
          <w:lang w:bidi="fa-IR"/>
          <w:color w:val="111111"/>
          <w:sz w:val="28"/>
          <w:szCs w:val="28"/>
          <w:rtl/>
        </w:rPr>
        <w:t xml:space="preserve">ص 361.</w:t>
      </w:r>
    </w:p>
    <w:p>
      <w:pPr>
        <w:pStyle w:val="BookText"/>
      </w:pPr>
      <w:r>
        <w:rPr>
          <w:rFonts w:ascii="Amiri" w:hAnsi="Amiri" w:eastAsia="Amiri" w:cs="Amiri"/>
          <w:lang w:bidi="ar-SA"/>
          <w:color w:val="111111"/>
          <w:sz w:val="28"/>
          <w:szCs w:val="28"/>
          <w:rtl/>
        </w:rPr>
        <w:t xml:space="preserve">صاحب ، محمّد بن دلدار علي -سلطان</w:t>
      </w:r>
    </w:p>
    <w:p>
      <w:pPr>
        <w:pStyle w:val="BookText"/>
      </w:pPr>
      <w:r>
        <w:rPr>
          <w:rFonts w:ascii="Amiri" w:hAnsi="Amiri" w:eastAsia="Amiri" w:cs="Amiri"/>
          <w:lang w:bidi="ar-SA"/>
          <w:color w:val="111111"/>
          <w:sz w:val="28"/>
          <w:szCs w:val="28"/>
          <w:rtl/>
        </w:rPr>
        <w:t xml:space="preserve">العلماء ، محمّد بن دلدار علي</w:t>
      </w:r>
    </w:p>
    <w:p>
      <w:pPr>
        <w:pStyle w:val="BookText"/>
      </w:pPr>
      <w:r>
        <w:rPr>
          <w:rFonts w:ascii="Amiri" w:hAnsi="Amiri" w:eastAsia="Amiri" w:cs="Amiri"/>
          <w:lang w:bidi="ar-SA"/>
          <w:color w:val="111111"/>
          <w:sz w:val="28"/>
          <w:szCs w:val="28"/>
          <w:rtl/>
        </w:rPr>
        <w:t xml:space="preserve">صاحب ، محمد تقي بن زكي- صاحب</w:t>
      </w:r>
    </w:p>
    <w:p>
      <w:pPr>
        <w:pStyle w:val="BookText"/>
      </w:pPr>
      <w:r>
        <w:rPr>
          <w:rFonts w:ascii="Amiri" w:hAnsi="Amiri" w:eastAsia="Amiri" w:cs="Amiri"/>
          <w:lang w:bidi="ar-SA"/>
          <w:color w:val="111111"/>
          <w:sz w:val="28"/>
          <w:szCs w:val="28"/>
          <w:rtl/>
        </w:rPr>
        <w:t xml:space="preserve">مازندراني ، محمّد تقي بن محمّد زكي</w:t>
      </w:r>
    </w:p>
    <w:p>
      <w:pPr>
        <w:pStyle w:val="Heading2"/>
      </w:pPr>
      <w:bookmarkStart w:id="5369" w:name="_Toc4471"/>
      <w:r>
        <w:t>صاحب ، محمّد سعید خان قرن 12 ه-</w:t>
      </w:r>
      <w:bookmarkEnd w:id="5369"/>
    </w:p>
    <w:p>
      <w:pPr>
        <w:pStyle w:val="BookText"/>
      </w:pPr>
      <w:r>
        <w:rPr>
          <w:rFonts w:ascii="IRNazanin" w:hAnsi="IRNazanin" w:eastAsia="IRNazanin" w:cs="IRNazanin"/>
          <w:lang w:bidi="fa-IR"/>
          <w:color w:val="111111"/>
          <w:sz w:val="28"/>
          <w:szCs w:val="28"/>
          <w:rtl/>
        </w:rPr>
        <w:t xml:space="preserve">القول الجلي في بيان قدمي هذه على رقبة كل «ولي لعبد القادر گیلانی، ج12،</w:t>
      </w:r>
    </w:p>
    <w:p>
      <w:pPr>
        <w:pStyle w:val="BookText"/>
      </w:pPr>
      <w:r>
        <w:rPr>
          <w:rFonts w:ascii="IRNazanin" w:hAnsi="IRNazanin" w:eastAsia="IRNazanin" w:cs="IRNazanin"/>
          <w:lang w:bidi="fa-IR"/>
          <w:color w:val="111111"/>
          <w:sz w:val="28"/>
          <w:szCs w:val="28"/>
          <w:rtl/>
        </w:rPr>
        <w:t xml:space="preserve">ص 842.</w:t>
      </w:r>
    </w:p>
    <w:p>
      <w:pPr>
        <w:pStyle w:val="BookText"/>
      </w:pPr>
      <w:r>
        <w:rPr>
          <w:rFonts w:ascii="Amiri" w:hAnsi="Amiri" w:eastAsia="Amiri" w:cs="Amiri"/>
          <w:lang w:bidi="ar-SA"/>
          <w:color w:val="111111"/>
          <w:sz w:val="28"/>
          <w:szCs w:val="28"/>
          <w:rtl/>
        </w:rPr>
        <w:t xml:space="preserve">صاحب معالم -عاملي ، حسن بن زين</w:t>
      </w:r>
    </w:p>
    <w:p>
      <w:pPr>
        <w:pStyle w:val="BookText"/>
      </w:pPr>
      <w:r>
        <w:rPr>
          <w:rFonts w:ascii="Amiri" w:hAnsi="Amiri" w:eastAsia="Amiri" w:cs="Amiri"/>
          <w:lang w:bidi="ar-SA"/>
          <w:color w:val="111111"/>
          <w:sz w:val="28"/>
          <w:szCs w:val="28"/>
          <w:rtl/>
        </w:rPr>
        <w:t xml:space="preserve">الدين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59" w:name="pg7742_70649"/>
    <w:bookmarkEnd w:id="659"/>
    <w:p>
      <w:pPr>
        <w:pStyle w:val="BookText"/>
      </w:pPr>
      <w:r>
        <w:rPr>
          <w:rFonts w:ascii="Amiri" w:hAnsi="Amiri" w:eastAsia="Amiri" w:cs="Amiri"/>
          <w:lang w:bidi="ar-SA"/>
          <w:color w:val="111111"/>
          <w:sz w:val="28"/>
          <w:szCs w:val="28"/>
          <w:rtl/>
        </w:rPr>
        <w:t xml:space="preserve">صاحبي كيواني ، هندوشاه -هندوشاه بن</w:t>
      </w:r>
    </w:p>
    <w:p>
      <w:pPr>
        <w:pStyle w:val="BookText"/>
      </w:pPr>
      <w:r>
        <w:rPr>
          <w:rFonts w:ascii="IRNazanin" w:hAnsi="IRNazanin" w:eastAsia="IRNazanin" w:cs="IRNazanin"/>
          <w:lang w:bidi="fa-IR"/>
          <w:color w:val="111111"/>
          <w:sz w:val="28"/>
          <w:szCs w:val="28"/>
          <w:rtl/>
        </w:rPr>
        <w:t xml:space="preserve">سنجر</w:t>
      </w:r>
    </w:p>
    <w:p>
      <w:pPr>
        <w:pStyle w:val="BookText"/>
      </w:pPr>
      <w:r>
        <w:rPr>
          <w:rFonts w:ascii="Amiri" w:hAnsi="Amiri" w:eastAsia="Amiri" w:cs="Amiri"/>
          <w:lang w:bidi="ar-SA"/>
          <w:color w:val="111111"/>
          <w:sz w:val="28"/>
          <w:szCs w:val="28"/>
          <w:rtl/>
        </w:rPr>
        <w:t xml:space="preserve">صاحبي ، هندوشاه بن سنجر -هندوشاه</w:t>
      </w:r>
    </w:p>
    <w:p>
      <w:pPr>
        <w:pStyle w:val="BookText"/>
      </w:pPr>
      <w:r>
        <w:rPr>
          <w:rFonts w:ascii="IRNazanin" w:hAnsi="IRNazanin" w:eastAsia="IRNazanin" w:cs="IRNazanin"/>
          <w:lang w:bidi="fa-IR"/>
          <w:color w:val="111111"/>
          <w:sz w:val="28"/>
          <w:szCs w:val="28"/>
          <w:rtl/>
        </w:rPr>
        <w:t xml:space="preserve">بن سنجر</w:t>
      </w:r>
    </w:p>
    <w:p>
      <w:pPr>
        <w:pStyle w:val="BookText"/>
      </w:pPr>
      <w:r>
        <w:rPr>
          <w:rFonts w:ascii="IRNazanin" w:hAnsi="IRNazanin" w:eastAsia="IRNazanin" w:cs="IRNazanin"/>
          <w:lang w:bidi="fa-IR"/>
          <w:color w:val="111111"/>
          <w:sz w:val="28"/>
          <w:szCs w:val="28"/>
          <w:rtl/>
        </w:rPr>
        <w:t xml:space="preserve">بیگ</w:t>
      </w:r>
    </w:p>
    <w:p>
      <w:pPr>
        <w:pStyle w:val="BookText"/>
      </w:pPr>
      <w:r>
        <w:rPr>
          <w:rFonts w:ascii="IRNazanin" w:hAnsi="IRNazanin" w:eastAsia="IRNazanin" w:cs="IRNazanin"/>
          <w:lang w:bidi="fa-IR"/>
          <w:color w:val="111111"/>
          <w:sz w:val="28"/>
          <w:szCs w:val="28"/>
          <w:rtl/>
        </w:rPr>
        <w:t xml:space="preserve">صادق بن احمد محمّد -صادق بن احمد</w:t>
      </w:r>
    </w:p>
    <w:p>
      <w:pPr>
        <w:pStyle w:val="BookText"/>
      </w:pPr>
      <w:r>
        <w:rPr>
          <w:rFonts w:ascii="Amiri" w:hAnsi="Amiri" w:eastAsia="Amiri" w:cs="Amiri"/>
          <w:lang w:bidi="ar-SA"/>
          <w:color w:val="111111"/>
          <w:sz w:val="28"/>
          <w:szCs w:val="28"/>
          <w:rtl/>
        </w:rPr>
        <w:t xml:space="preserve">صادق بن علي حسيني اعرجي فحام</w:t>
      </w:r>
    </w:p>
    <w:p>
      <w:pPr>
        <w:pStyle w:val="BookText"/>
      </w:pPr>
      <w:r>
        <w:rPr>
          <w:rFonts w:ascii="Amiri" w:hAnsi="Amiri" w:eastAsia="Amiri" w:cs="Amiri"/>
          <w:lang w:bidi="ar-SA"/>
          <w:color w:val="111111"/>
          <w:sz w:val="28"/>
          <w:szCs w:val="28"/>
          <w:rtl/>
        </w:rPr>
        <w:t xml:space="preserve">اعرجي ، صادق بن علي</w:t>
      </w:r>
    </w:p>
    <w:p>
      <w:pPr>
        <w:pStyle w:val="BookText"/>
      </w:pPr>
      <w:r>
        <w:rPr>
          <w:rFonts w:ascii="Amiri" w:hAnsi="Amiri" w:eastAsia="Amiri" w:cs="Amiri"/>
          <w:lang w:bidi="ar-SA"/>
          <w:color w:val="111111"/>
          <w:sz w:val="28"/>
          <w:szCs w:val="28"/>
          <w:rtl/>
        </w:rPr>
        <w:t xml:space="preserve">صادق بن محمّد بن عبدالفتاح تنكابني- تنكابني ، صادق بن محمّد بن عبد الفتاح</w:t>
      </w:r>
    </w:p>
    <w:p>
      <w:pPr>
        <w:pStyle w:val="BookText"/>
      </w:pPr>
      <w:r>
        <w:rPr>
          <w:rFonts w:ascii="Amiri" w:hAnsi="Amiri" w:eastAsia="Amiri" w:cs="Amiri"/>
          <w:lang w:bidi="ar-SA"/>
          <w:color w:val="111111"/>
          <w:sz w:val="28"/>
          <w:szCs w:val="28"/>
          <w:rtl/>
        </w:rPr>
        <w:t xml:space="preserve">صادق بن محمّد بن علي ساقزي -ساقزي</w:t>
      </w:r>
    </w:p>
    <w:p>
      <w:pPr>
        <w:pStyle w:val="BookText"/>
      </w:pPr>
      <w:r>
        <w:rPr>
          <w:rFonts w:ascii="Amiri" w:hAnsi="Amiri" w:eastAsia="Amiri" w:cs="Amiri"/>
          <w:lang w:bidi="ar-SA"/>
          <w:color w:val="111111"/>
          <w:sz w:val="28"/>
          <w:szCs w:val="28"/>
          <w:rtl/>
        </w:rPr>
        <w:t xml:space="preserve">، محمّد صادق بن علي</w:t>
      </w:r>
    </w:p>
    <w:p>
      <w:pPr>
        <w:pStyle w:val="BookText"/>
      </w:pPr>
      <w:r>
        <w:rPr>
          <w:rFonts w:ascii="Amiri" w:hAnsi="Amiri" w:eastAsia="Amiri" w:cs="Amiri"/>
          <w:lang w:bidi="ar-SA"/>
          <w:color w:val="111111"/>
          <w:sz w:val="28"/>
          <w:szCs w:val="28"/>
          <w:rtl/>
        </w:rPr>
        <w:t xml:space="preserve">صادق حسين غياث دهلوي- غياث</w:t>
      </w:r>
    </w:p>
    <w:p>
      <w:pPr>
        <w:pStyle w:val="BookText"/>
      </w:pPr>
      <w:r>
        <w:rPr>
          <w:rFonts w:ascii="Amiri" w:hAnsi="Amiri" w:eastAsia="Amiri" w:cs="Amiri"/>
          <w:lang w:bidi="ar-SA"/>
          <w:color w:val="111111"/>
          <w:sz w:val="28"/>
          <w:szCs w:val="28"/>
          <w:rtl/>
        </w:rPr>
        <w:t xml:space="preserve">دهلوي، صادق حسين</w:t>
      </w:r>
    </w:p>
    <w:p>
      <w:pPr>
        <w:pStyle w:val="BookText"/>
      </w:pPr>
      <w:r>
        <w:rPr>
          <w:rFonts w:ascii="Amiri" w:hAnsi="Amiri" w:eastAsia="Amiri" w:cs="Amiri"/>
          <w:lang w:bidi="ar-SA"/>
          <w:color w:val="111111"/>
          <w:sz w:val="28"/>
          <w:szCs w:val="28"/>
          <w:rtl/>
        </w:rPr>
        <w:t xml:space="preserve">صادق علي اصغر طبيب -طبيب ، صادق علي اصغر</w:t>
      </w:r>
    </w:p>
    <w:p>
      <w:pPr>
        <w:pStyle w:val="BookText"/>
      </w:pPr>
      <w:r>
        <w:rPr>
          <w:rFonts w:ascii="IRNazanin" w:hAnsi="IRNazanin" w:eastAsia="IRNazanin" w:cs="IRNazanin"/>
          <w:lang w:bidi="fa-IR"/>
          <w:color w:val="111111"/>
          <w:sz w:val="28"/>
          <w:szCs w:val="28"/>
          <w:rtl/>
        </w:rPr>
        <w:t xml:space="preserve">صاروخاني ، احمد بن بایزید -قرچه احمد ، احمد بن بایزید</w:t>
      </w:r>
    </w:p>
    <w:p>
      <w:pPr>
        <w:pStyle w:val="BookText"/>
      </w:pPr>
      <w:r>
        <w:rPr>
          <w:rFonts w:ascii="Amiri" w:hAnsi="Amiri" w:eastAsia="Amiri" w:cs="Amiri"/>
          <w:lang w:bidi="ar-SA"/>
          <w:color w:val="111111"/>
          <w:sz w:val="28"/>
          <w:szCs w:val="28"/>
          <w:rtl/>
        </w:rPr>
        <w:t xml:space="preserve">صاعدي ، محمّد بن فضل- فراوي ، محمّد</w:t>
      </w:r>
    </w:p>
    <w:p>
      <w:pPr>
        <w:pStyle w:val="BookText"/>
      </w:pPr>
      <w:r>
        <w:rPr>
          <w:rFonts w:ascii="IRNazanin" w:hAnsi="IRNazanin" w:eastAsia="IRNazanin" w:cs="IRNazanin"/>
          <w:lang w:bidi="fa-IR"/>
          <w:color w:val="111111"/>
          <w:sz w:val="28"/>
          <w:szCs w:val="28"/>
          <w:rtl/>
        </w:rPr>
        <w:t xml:space="preserve">بن فضل</w:t>
      </w:r>
    </w:p>
    <w:p>
      <w:pPr>
        <w:pStyle w:val="BookText"/>
      </w:pPr>
      <w:r>
        <w:rPr>
          <w:rFonts w:ascii="Amiri" w:hAnsi="Amiri" w:eastAsia="Amiri" w:cs="Amiri"/>
          <w:lang w:bidi="ar-SA"/>
          <w:color w:val="111111"/>
          <w:sz w:val="28"/>
          <w:szCs w:val="28"/>
          <w:rtl/>
        </w:rPr>
        <w:t xml:space="preserve">صاروخاني ، احمد بن محمّد -آقحصاري</w:t>
      </w:r>
    </w:p>
    <w:p>
      <w:pPr>
        <w:pStyle w:val="BookText"/>
      </w:pPr>
      <w:r>
        <w:rPr>
          <w:rFonts w:ascii="Amiri" w:hAnsi="Amiri" w:eastAsia="Amiri" w:cs="Amiri"/>
          <w:lang w:bidi="ar-SA"/>
          <w:color w:val="111111"/>
          <w:sz w:val="28"/>
          <w:szCs w:val="28"/>
          <w:rtl/>
        </w:rPr>
        <w:t xml:space="preserve">رومي</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5370" w:name="_Toc4472"/>
      <w:r>
        <w:t>صاروخاني ، احمد بن مصطفى - 971 ه-</w:t>
      </w:r>
      <w:bookmarkEnd w:id="5370"/>
    </w:p>
    <w:p>
      <w:pPr>
        <w:pStyle w:val="BookText"/>
      </w:pPr>
      <w:r>
        <w:rPr>
          <w:rFonts w:ascii="Amiri" w:hAnsi="Amiri" w:eastAsia="Amiri" w:cs="Amiri"/>
          <w:lang w:bidi="ar-SA"/>
          <w:color w:val="111111"/>
          <w:sz w:val="28"/>
          <w:szCs w:val="28"/>
          <w:rtl/>
        </w:rPr>
        <w:t xml:space="preserve">1 .السرور في شرح الامثلة الصرفية</w:t>
      </w:r>
    </w:p>
    <w:p>
      <w:pPr>
        <w:pStyle w:val="BookText"/>
      </w:pPr>
      <w:r>
        <w:rPr>
          <w:rFonts w:ascii="IRNazanin" w:hAnsi="IRNazanin" w:eastAsia="IRNazanin" w:cs="IRNazanin"/>
          <w:lang w:bidi="fa-IR"/>
          <w:color w:val="111111"/>
          <w:sz w:val="28"/>
          <w:szCs w:val="28"/>
          <w:rtl/>
        </w:rPr>
        <w:t xml:space="preserve">ج 8، ص 769.</w:t>
      </w:r>
    </w:p>
    <w:p>
      <w:pPr>
        <w:pStyle w:val="BookText"/>
      </w:pPr>
      <w:r>
        <w:rPr>
          <w:rFonts w:ascii="Amiri" w:hAnsi="Amiri" w:eastAsia="Amiri" w:cs="Amiri"/>
          <w:lang w:bidi="ar-SA"/>
          <w:color w:val="111111"/>
          <w:sz w:val="28"/>
          <w:szCs w:val="28"/>
          <w:rtl/>
        </w:rPr>
        <w:t xml:space="preserve">2 .قوانين الصرف، ج 12، ص818</w:t>
      </w:r>
    </w:p>
    <w:p>
      <w:pPr>
        <w:pStyle w:val="BookText"/>
      </w:pPr>
      <w:r>
        <w:rPr>
          <w:rFonts w:ascii="Amiri" w:hAnsi="Amiri" w:eastAsia="Amiri" w:cs="Amiri"/>
          <w:lang w:bidi="ar-SA"/>
          <w:color w:val="111111"/>
          <w:sz w:val="28"/>
          <w:szCs w:val="28"/>
          <w:rtl/>
        </w:rPr>
        <w:t xml:space="preserve">صاروخاني ، عبد الرحمن بن ايوب -خصالي</w:t>
      </w:r>
    </w:p>
    <w:p>
      <w:pPr>
        <w:pStyle w:val="BookText"/>
      </w:pPr>
      <w:r>
        <w:rPr>
          <w:rFonts w:ascii="IRNazanin" w:hAnsi="IRNazanin" w:eastAsia="IRNazanin" w:cs="IRNazanin"/>
          <w:lang w:bidi="fa-IR"/>
          <w:color w:val="111111"/>
          <w:sz w:val="28"/>
          <w:szCs w:val="28"/>
          <w:rtl/>
        </w:rPr>
        <w:t xml:space="preserve">عبد الرحمن بن ایوب</w:t>
      </w:r>
    </w:p>
    <w:p>
      <w:pPr>
        <w:pStyle w:val="BookText"/>
      </w:pPr>
      <w:r>
        <w:rPr>
          <w:rFonts w:ascii="Amiri" w:hAnsi="Amiri" w:eastAsia="Amiri" w:cs="Amiri"/>
          <w:lang w:bidi="ar-SA"/>
          <w:color w:val="111111"/>
          <w:sz w:val="28"/>
          <w:szCs w:val="28"/>
          <w:rtl/>
        </w:rPr>
        <w:t xml:space="preserve">صاروخاني ، علي بن خسرو -ازنيقي ، علي</w:t>
      </w:r>
    </w:p>
    <w:p>
      <w:pPr>
        <w:pStyle w:val="BookText"/>
      </w:pPr>
      <w:r>
        <w:rPr>
          <w:rFonts w:ascii="IRNazanin" w:hAnsi="IRNazanin" w:eastAsia="IRNazanin" w:cs="IRNazanin"/>
          <w:lang w:bidi="fa-IR"/>
          <w:color w:val="111111"/>
          <w:sz w:val="28"/>
          <w:szCs w:val="28"/>
          <w:rtl/>
        </w:rPr>
        <w:t xml:space="preserve">بن خسرو</w:t>
      </w:r>
    </w:p>
    <w:p>
      <w:pPr>
        <w:pStyle w:val="BookText"/>
      </w:pPr>
      <w:r>
        <w:rPr>
          <w:rFonts w:ascii="Amiri" w:hAnsi="Amiri" w:eastAsia="Amiri" w:cs="Amiri"/>
          <w:lang w:bidi="ar-SA"/>
          <w:color w:val="111111"/>
          <w:sz w:val="28"/>
          <w:szCs w:val="28"/>
          <w:rtl/>
        </w:rPr>
        <w:t xml:space="preserve">صاري ، عبدالله بن محمّد -بسنوي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صاري لطيف -توقاتي ، لطف الله بن حسن</w:t>
      </w:r>
    </w:p>
    <w:p>
      <w:pPr>
        <w:pStyle w:val="Heading2"/>
      </w:pPr>
      <w:bookmarkStart w:id="5371" w:name="_Toc4473"/>
      <w:r>
        <w:t>صاري كمال - 1067ه-</w:t>
      </w:r>
      <w:bookmarkEnd w:id="5371"/>
    </w:p>
    <w:p>
      <w:pPr>
        <w:pStyle w:val="BookText"/>
      </w:pPr>
      <w:r>
        <w:rPr>
          <w:rFonts w:ascii="IRNazanin" w:hAnsi="IRNazanin" w:eastAsia="IRNazanin" w:cs="IRNazanin"/>
          <w:lang w:bidi="fa-IR"/>
          <w:color w:val="111111"/>
          <w:sz w:val="28"/>
          <w:szCs w:val="28"/>
          <w:rtl/>
        </w:rPr>
        <w:t xml:space="preserve">دیوان ،کمال، ج7، ص 743 .</w:t>
      </w:r>
    </w:p>
    <w:p>
      <w:pPr>
        <w:pStyle w:val="BookText"/>
      </w:pPr>
      <w:r>
        <w:rPr>
          <w:rFonts w:ascii="Amiri" w:hAnsi="Amiri" w:eastAsia="Amiri" w:cs="Amiri"/>
          <w:lang w:bidi="ar-SA"/>
          <w:color w:val="111111"/>
          <w:sz w:val="28"/>
          <w:szCs w:val="28"/>
          <w:rtl/>
        </w:rPr>
        <w:t xml:space="preserve">صاعد بن هبة الله بن مؤمل حظيري - حظيري ، صاعد بن هبة الله</w:t>
      </w:r>
    </w:p>
    <w:p>
      <w:pPr>
        <w:pStyle w:val="Heading2"/>
      </w:pPr>
      <w:bookmarkStart w:id="5372" w:name="_Toc4474"/>
      <w:r>
        <w:t>صاعد شيرازي</w:t>
      </w:r>
      <w:bookmarkEnd w:id="5372"/>
    </w:p>
    <w:p>
      <w:pPr>
        <w:pStyle w:val="BookText"/>
      </w:pPr>
      <w:r>
        <w:rPr>
          <w:rFonts w:ascii="IRNazanin" w:hAnsi="IRNazanin" w:eastAsia="IRNazanin" w:cs="IRNazanin"/>
          <w:lang w:bidi="fa-IR"/>
          <w:color w:val="111111"/>
          <w:sz w:val="28"/>
          <w:szCs w:val="28"/>
          <w:rtl/>
        </w:rPr>
        <w:t xml:space="preserve">دیوان صاعد شيرازي، ج 7، ص 682.</w:t>
      </w:r>
    </w:p>
    <w:p>
      <w:pPr>
        <w:pStyle w:val="BookText"/>
      </w:pPr>
      <w:r>
        <w:rPr>
          <w:rFonts w:ascii="Amiri" w:hAnsi="Amiri" w:eastAsia="Amiri" w:cs="Amiri"/>
          <w:lang w:bidi="ar-SA"/>
          <w:color w:val="111111"/>
          <w:sz w:val="28"/>
          <w:szCs w:val="28"/>
          <w:rtl/>
        </w:rPr>
        <w:t xml:space="preserve">صاعدي ، عبد المنعم بن عبدالله -فراوي عبد المنعم بن عبدالله</w:t>
      </w:r>
    </w:p>
    <w:p>
      <w:pPr>
        <w:pStyle w:val="Heading2"/>
      </w:pPr>
      <w:bookmarkStart w:id="5373" w:name="_Toc4475"/>
      <w:r>
        <w:t>صاعدي، مطهر بن مسعود ، قرن 7 ه-</w:t>
      </w:r>
      <w:bookmarkEnd w:id="5373"/>
    </w:p>
    <w:p>
      <w:pPr>
        <w:pStyle w:val="BookText"/>
      </w:pPr>
      <w:r>
        <w:rPr>
          <w:rFonts w:ascii="IRNazanin" w:hAnsi="IRNazanin" w:eastAsia="IRNazanin" w:cs="IRNazanin"/>
          <w:lang w:bidi="fa-IR"/>
          <w:color w:val="111111"/>
          <w:sz w:val="28"/>
          <w:szCs w:val="28"/>
          <w:rtl/>
        </w:rPr>
        <w:t xml:space="preserve">نهج الخواص، ج 16، ص 526.</w:t>
      </w:r>
    </w:p>
    <w:p>
      <w:pPr>
        <w:pStyle w:val="Heading2"/>
      </w:pPr>
      <w:bookmarkStart w:id="5374" w:name="_Toc4476"/>
      <w:r>
        <w:t>؟ صاغاني ، حسن بن محمّد، 577 - 650</w:t>
      </w:r>
      <w:bookmarkEnd w:id="5374"/>
    </w:p>
    <w:p>
      <w:pPr>
        <w:pStyle w:val="BookText"/>
      </w:pPr>
      <w:r>
        <w:rPr>
          <w:rFonts w:ascii="Amiri" w:hAnsi="Amiri" w:eastAsia="Amiri" w:cs="Amiri"/>
          <w:lang w:bidi="ar-SA"/>
          <w:color w:val="111111"/>
          <w:sz w:val="28"/>
          <w:szCs w:val="28"/>
          <w:rtl/>
        </w:rPr>
        <w:t xml:space="preserve">1 .الاحاديث الموضوعة = الموضوعات</w:t>
      </w:r>
    </w:p>
    <w:p>
      <w:pPr>
        <w:pStyle w:val="BookText"/>
      </w:pPr>
      <w:r>
        <w:rPr>
          <w:rFonts w:ascii="IRNazanin" w:hAnsi="IRNazanin" w:eastAsia="IRNazanin" w:cs="IRNazanin"/>
          <w:lang w:bidi="fa-IR"/>
          <w:color w:val="111111"/>
          <w:sz w:val="28"/>
          <w:szCs w:val="28"/>
          <w:rtl/>
        </w:rPr>
        <w:t xml:space="preserve">ج 1، ص 422.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الافعال، ج2، ص 598.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التذكرة الفاخرة في فقه العترة</w:t>
      </w:r>
    </w:p>
    <w:p>
      <w:pPr>
        <w:pStyle w:val="BookText"/>
      </w:pPr>
      <w:r>
        <w:rPr>
          <w:rFonts w:ascii="Amiri" w:hAnsi="Amiri" w:eastAsia="Amiri" w:cs="Amiri"/>
          <w:lang w:bidi="ar-SA"/>
          <w:color w:val="111111"/>
          <w:sz w:val="28"/>
          <w:szCs w:val="28"/>
          <w:rtl/>
        </w:rPr>
        <w:t xml:space="preserve">الطاهرة، ج 4، ص 198.</w:t>
      </w:r>
    </w:p>
    <w:p>
      <w:pPr>
        <w:pStyle w:val="BookText"/>
      </w:pPr>
      <w:r>
        <w:rPr>
          <w:rFonts w:ascii="Amiri" w:hAnsi="Amiri" w:eastAsia="Amiri" w:cs="Amiri"/>
          <w:lang w:bidi="ar-SA"/>
          <w:color w:val="111111"/>
          <w:sz w:val="28"/>
          <w:szCs w:val="28"/>
          <w:rtl/>
        </w:rPr>
        <w:t xml:space="preserve">4 .التكملة و الذيل و الصلة، ج 4،</w:t>
      </w:r>
    </w:p>
    <w:p>
      <w:pPr>
        <w:pStyle w:val="BookText"/>
      </w:pPr>
      <w:r>
        <w:rPr>
          <w:rFonts w:ascii="IRNazanin" w:hAnsi="IRNazanin" w:eastAsia="IRNazanin" w:cs="IRNazanin"/>
          <w:lang w:bidi="fa-IR"/>
          <w:color w:val="111111"/>
          <w:sz w:val="28"/>
          <w:szCs w:val="28"/>
          <w:rtl/>
        </w:rPr>
        <w:t xml:space="preserve">ص 828.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60" w:name="pg7742_70650"/>
    <w:bookmarkEnd w:id="660"/>
    <w:p>
      <w:pPr>
        <w:pStyle w:val="BookText"/>
      </w:pPr>
      <w:r>
        <w:rPr>
          <w:rFonts w:ascii="Amiri" w:hAnsi="Amiri" w:eastAsia="Amiri" w:cs="Amiri"/>
          <w:lang w:bidi="ar-SA"/>
          <w:color w:val="111111"/>
          <w:sz w:val="28"/>
          <w:szCs w:val="28"/>
          <w:rtl/>
        </w:rPr>
        <w:t xml:space="preserve">5 .الدر الملتقط في تبيين الغلط و</w:t>
      </w:r>
    </w:p>
    <w:p>
      <w:pPr>
        <w:pStyle w:val="BookText"/>
      </w:pPr>
      <w:r>
        <w:rPr>
          <w:rFonts w:ascii="Amiri" w:hAnsi="Amiri" w:eastAsia="Amiri" w:cs="Amiri"/>
          <w:lang w:bidi="ar-SA"/>
          <w:color w:val="111111"/>
          <w:sz w:val="28"/>
          <w:szCs w:val="28"/>
          <w:rtl/>
        </w:rPr>
        <w:t xml:space="preserve">كشف اللغط، ج 7، ص337.</w:t>
      </w:r>
    </w:p>
    <w:p>
      <w:pPr>
        <w:pStyle w:val="BookText"/>
      </w:pPr>
      <w:r>
        <w:rPr>
          <w:rFonts w:ascii="IRNazanin" w:hAnsi="IRNazanin" w:eastAsia="IRNazanin" w:cs="IRNazanin"/>
          <w:lang w:bidi="fa-IR"/>
          <w:color w:val="111111"/>
          <w:sz w:val="28"/>
          <w:szCs w:val="28"/>
          <w:rtl/>
        </w:rPr>
        <w:t xml:space="preserve">6 .العباب الزاخر واللباب الفاخر</w:t>
      </w:r>
    </w:p>
    <w:p>
      <w:pPr>
        <w:pStyle w:val="BookText"/>
      </w:pPr>
      <w:r>
        <w:rPr>
          <w:rFonts w:ascii="IRNazanin" w:hAnsi="IRNazanin" w:eastAsia="IRNazanin" w:cs="IRNazanin"/>
          <w:lang w:bidi="fa-IR"/>
          <w:color w:val="111111"/>
          <w:sz w:val="28"/>
          <w:szCs w:val="28"/>
          <w:rtl/>
        </w:rPr>
        <w:t xml:space="preserve">ج 11، ص 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العروض (رسالة في)، ج 11، ص 94 .</w:t>
      </w:r>
    </w:p>
    <w:p>
      <w:pPr>
        <w:pStyle w:val="BookText"/>
      </w:pPr>
      <w:r>
        <w:rPr>
          <w:rFonts w:ascii="Amiri" w:hAnsi="Amiri" w:eastAsia="Amiri" w:cs="Amiri"/>
          <w:lang w:bidi="ar-SA"/>
          <w:color w:val="111111"/>
          <w:sz w:val="28"/>
          <w:szCs w:val="28"/>
          <w:rtl/>
        </w:rPr>
        <w:t xml:space="preserve">8 .الغادة في اسماء العادة، ج11،</w:t>
      </w:r>
    </w:p>
    <w:p>
      <w:pPr>
        <w:pStyle w:val="BookText"/>
      </w:pPr>
      <w:r>
        <w:rPr>
          <w:rFonts w:ascii="IRNazanin" w:hAnsi="IRNazanin" w:eastAsia="IRNazanin" w:cs="IRNazanin"/>
          <w:lang w:bidi="fa-IR"/>
          <w:color w:val="111111"/>
          <w:sz w:val="28"/>
          <w:szCs w:val="28"/>
          <w:rtl/>
        </w:rPr>
        <w:t xml:space="preserve">ص 421 .</w:t>
      </w:r>
    </w:p>
    <w:p>
      <w:pPr>
        <w:pStyle w:val="BookText"/>
      </w:pPr>
      <w:r>
        <w:rPr>
          <w:rFonts w:ascii="Amiri" w:hAnsi="Amiri" w:eastAsia="Amiri" w:cs="Amiri"/>
          <w:lang w:bidi="ar-SA"/>
          <w:color w:val="111111"/>
          <w:sz w:val="28"/>
          <w:szCs w:val="28"/>
          <w:rtl/>
        </w:rPr>
        <w:t xml:space="preserve">9 .ما تفرد به بعض ائمة اللغة = الشوارد في اللغة، ج13، ص 677.</w:t>
      </w:r>
    </w:p>
    <w:p>
      <w:pPr>
        <w:pStyle w:val="BookText"/>
      </w:pPr>
      <w:r>
        <w:rPr>
          <w:rFonts w:ascii="Amiri" w:hAnsi="Amiri" w:eastAsia="Amiri" w:cs="Amiri"/>
          <w:lang w:bidi="ar-SA"/>
          <w:color w:val="111111"/>
          <w:sz w:val="28"/>
          <w:szCs w:val="28"/>
          <w:rtl/>
        </w:rPr>
        <w:t xml:space="preserve">10 .مجمع البحرين و مطلع النيرين</w:t>
      </w:r>
    </w:p>
    <w:p>
      <w:pPr>
        <w:pStyle w:val="BookText"/>
      </w:pPr>
      <w:r>
        <w:rPr>
          <w:rFonts w:ascii="IRNazanin" w:hAnsi="IRNazanin" w:eastAsia="IRNazanin" w:cs="IRNazanin"/>
          <w:lang w:bidi="fa-IR"/>
          <w:color w:val="111111"/>
          <w:sz w:val="28"/>
          <w:szCs w:val="28"/>
          <w:rtl/>
        </w:rPr>
        <w:t xml:space="preserve">ج13، ص 833.</w:t>
      </w:r>
    </w:p>
    <w:p>
      <w:pPr>
        <w:pStyle w:val="BookText"/>
      </w:pPr>
      <w:r>
        <w:rPr>
          <w:rFonts w:ascii="Amiri" w:hAnsi="Amiri" w:eastAsia="Amiri" w:cs="Amiri"/>
          <w:lang w:bidi="ar-SA"/>
          <w:color w:val="111111"/>
          <w:sz w:val="28"/>
          <w:szCs w:val="28"/>
          <w:rtl/>
        </w:rPr>
        <w:t xml:space="preserve">11 .مشارق الانوار النبوية من صحاح الاخبار المصطفوية، ج 14، ص 609.</w:t>
      </w:r>
    </w:p>
    <w:p>
      <w:pPr>
        <w:pStyle w:val="Heading2"/>
      </w:pPr>
      <w:bookmarkStart w:id="5375" w:name="_Toc4477"/>
      <w:r>
        <w:t>صاغري ، محمّد بن مصطفى</w:t>
      </w:r>
      <w:bookmarkEnd w:id="5375"/>
    </w:p>
    <w:p>
      <w:pPr>
        <w:pStyle w:val="BookText"/>
      </w:pPr>
      <w:r>
        <w:rPr>
          <w:rFonts w:ascii="Amiri" w:hAnsi="Amiri" w:eastAsia="Amiri" w:cs="Amiri"/>
          <w:lang w:bidi="ar-SA"/>
          <w:color w:val="111111"/>
          <w:sz w:val="28"/>
          <w:szCs w:val="28"/>
          <w:rtl/>
        </w:rPr>
        <w:t xml:space="preserve">الشعر (رسالة في)، ج 10، ص 367.</w:t>
      </w:r>
    </w:p>
    <w:p>
      <w:pPr>
        <w:pStyle w:val="BookText"/>
      </w:pPr>
      <w:r>
        <w:rPr>
          <w:rFonts w:ascii="Amiri" w:hAnsi="Amiri" w:eastAsia="Amiri" w:cs="Amiri"/>
          <w:lang w:bidi="ar-SA"/>
          <w:color w:val="111111"/>
          <w:sz w:val="28"/>
          <w:szCs w:val="28"/>
          <w:rtl/>
        </w:rPr>
        <w:t xml:space="preserve">صافي ، احمد -صافي نجفي ، احمد</w:t>
      </w:r>
    </w:p>
    <w:p>
      <w:pPr>
        <w:pStyle w:val="BookText"/>
      </w:pPr>
      <w:r>
        <w:rPr>
          <w:rFonts w:ascii="Amiri" w:hAnsi="Amiri" w:eastAsia="Amiri" w:cs="Amiri"/>
          <w:lang w:bidi="ar-SA"/>
          <w:color w:val="111111"/>
          <w:sz w:val="28"/>
          <w:szCs w:val="28"/>
          <w:rtl/>
        </w:rPr>
        <w:t xml:space="preserve">صافي قائيني ، محمّد باقر بن محمّد حسن -بيرجندي ، محمّد باقر بن محمّد</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صافي ، محمّد بن خضر -تيره وي ، محمّد</w:t>
      </w:r>
    </w:p>
    <w:p>
      <w:pPr>
        <w:pStyle w:val="BookText"/>
      </w:pPr>
      <w:r>
        <w:rPr>
          <w:rFonts w:ascii="IRNazanin" w:hAnsi="IRNazanin" w:eastAsia="IRNazanin" w:cs="IRNazanin"/>
          <w:lang w:bidi="fa-IR"/>
          <w:color w:val="111111"/>
          <w:sz w:val="28"/>
          <w:szCs w:val="28"/>
          <w:rtl/>
        </w:rPr>
        <w:t xml:space="preserve">بن خضر</w:t>
      </w:r>
    </w:p>
    <w:p>
      <w:pPr>
        <w:pStyle w:val="Heading2"/>
      </w:pPr>
      <w:bookmarkStart w:id="5376" w:name="_Toc4478"/>
      <w:r>
        <w:t>صافي نجفي ، احمد - 1397 ه-</w:t>
      </w:r>
      <w:bookmarkEnd w:id="5376"/>
    </w:p>
    <w:p>
      <w:pPr>
        <w:pStyle w:val="BookText"/>
      </w:pPr>
      <w:r>
        <w:rPr>
          <w:rFonts w:ascii="IRNazanin" w:hAnsi="IRNazanin" w:eastAsia="IRNazanin" w:cs="IRNazanin"/>
          <w:lang w:bidi="fa-IR"/>
          <w:color w:val="111111"/>
          <w:sz w:val="28"/>
          <w:szCs w:val="28"/>
          <w:rtl/>
        </w:rPr>
        <w:t xml:space="preserve">دیوان صافي، ج 7، ص 682 .</w:t>
      </w:r>
    </w:p>
    <w:p>
      <w:pPr>
        <w:pStyle w:val="Heading2"/>
      </w:pPr>
      <w:bookmarkStart w:id="5377" w:name="_Toc4479"/>
      <w:r>
        <w:t>صالاري، يوسف بن علي</w:t>
      </w:r>
      <w:bookmarkEnd w:id="5377"/>
    </w:p>
    <w:p>
      <w:pPr>
        <w:pStyle w:val="BookText"/>
      </w:pPr>
      <w:r>
        <w:rPr>
          <w:rFonts w:ascii="Amiri" w:hAnsi="Amiri" w:eastAsia="Amiri" w:cs="Amiri"/>
          <w:lang w:bidi="ar-SA"/>
          <w:color w:val="111111"/>
          <w:sz w:val="28"/>
          <w:szCs w:val="28"/>
          <w:rtl/>
        </w:rPr>
        <w:t xml:space="preserve">1 .حاشية الصالاري الواقعة على قول</w:t>
      </w:r>
    </w:p>
    <w:p>
      <w:pPr>
        <w:pStyle w:val="BookText"/>
      </w:pPr>
      <w:r>
        <w:rPr>
          <w:rFonts w:ascii="IRNazanin" w:hAnsi="IRNazanin" w:eastAsia="IRNazanin" w:cs="IRNazanin"/>
          <w:lang w:bidi="fa-IR"/>
          <w:color w:val="111111"/>
          <w:sz w:val="28"/>
          <w:szCs w:val="28"/>
          <w:rtl/>
        </w:rPr>
        <w:t xml:space="preserve">أحمد، ج 6، ص 224.</w:t>
      </w:r>
    </w:p>
    <w:p>
      <w:pPr>
        <w:pStyle w:val="BookText"/>
      </w:pPr>
      <w:r>
        <w:rPr>
          <w:rFonts w:ascii="Amiri" w:hAnsi="Amiri" w:eastAsia="Amiri" w:cs="Amiri"/>
          <w:lang w:bidi="ar-SA"/>
          <w:color w:val="111111"/>
          <w:sz w:val="28"/>
          <w:szCs w:val="28"/>
          <w:rtl/>
        </w:rPr>
        <w:t xml:space="preserve">2 .حاشية الصالاري على عبارات الخرائد للسمرقندي، ج6، ص 224.</w:t>
      </w:r>
    </w:p>
    <w:p>
      <w:pPr>
        <w:pStyle w:val="BookText"/>
      </w:pPr>
      <w:r>
        <w:rPr>
          <w:rFonts w:ascii="Amiri" w:hAnsi="Amiri" w:eastAsia="Amiri" w:cs="Amiri"/>
          <w:lang w:bidi="ar-SA"/>
          <w:color w:val="111111"/>
          <w:sz w:val="28"/>
          <w:szCs w:val="28"/>
          <w:rtl/>
        </w:rPr>
        <w:t xml:space="preserve">3 .حاشية شرح الاسئلة، ج 6 ، ص 34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الليثي السمرقندي على الرسالة العضدية، ج6، ص 164.</w:t>
      </w:r>
    </w:p>
    <w:p>
      <w:pPr>
        <w:pStyle w:val="BookText"/>
      </w:pPr>
      <w:r>
        <w:rPr>
          <w:rFonts w:ascii="Amiri" w:hAnsi="Amiri" w:eastAsia="Amiri" w:cs="Amiri"/>
          <w:lang w:bidi="ar-SA"/>
          <w:color w:val="111111"/>
          <w:sz w:val="28"/>
          <w:szCs w:val="28"/>
          <w:rtl/>
        </w:rPr>
        <w:t xml:space="preserve">5 .شرح على الاسئلة، ج 9، ص 748.</w:t>
      </w:r>
    </w:p>
    <w:p>
      <w:pPr>
        <w:pStyle w:val="BookText"/>
      </w:pPr>
      <w:r>
        <w:rPr>
          <w:rFonts w:ascii="Amiri" w:hAnsi="Amiri" w:eastAsia="Amiri" w:cs="Amiri"/>
          <w:lang w:bidi="ar-SA"/>
          <w:color w:val="111111"/>
          <w:sz w:val="28"/>
          <w:szCs w:val="28"/>
          <w:rtl/>
        </w:rPr>
        <w:t xml:space="preserve">6 .شرح يوسف الصالاري على بحث</w:t>
      </w:r>
    </w:p>
    <w:p>
      <w:pPr>
        <w:pStyle w:val="BookText"/>
      </w:pPr>
      <w:r>
        <w:rPr>
          <w:rFonts w:ascii="Amiri" w:hAnsi="Amiri" w:eastAsia="Amiri" w:cs="Amiri"/>
          <w:lang w:bidi="ar-SA"/>
          <w:color w:val="111111"/>
          <w:sz w:val="28"/>
          <w:szCs w:val="28"/>
          <w:rtl/>
        </w:rPr>
        <w:t xml:space="preserve">الفناري، ج 10، ص 343.</w:t>
      </w:r>
    </w:p>
    <w:p>
      <w:pPr>
        <w:pStyle w:val="BookText"/>
      </w:pPr>
      <w:r>
        <w:rPr>
          <w:rFonts w:ascii="Amiri" w:hAnsi="Amiri" w:eastAsia="Amiri" w:cs="Amiri"/>
          <w:lang w:bidi="ar-SA"/>
          <w:color w:val="111111"/>
          <w:sz w:val="28"/>
          <w:szCs w:val="28"/>
          <w:rtl/>
        </w:rPr>
        <w:t xml:space="preserve">صالح افندي- ابن سلوم ، صالح بن</w:t>
      </w:r>
    </w:p>
    <w:p>
      <w:pPr>
        <w:pStyle w:val="BookText"/>
      </w:pPr>
      <w:r>
        <w:rPr>
          <w:rFonts w:ascii="IRNazanin" w:hAnsi="IRNazanin" w:eastAsia="IRNazanin" w:cs="IRNazanin"/>
          <w:lang w:bidi="fa-IR"/>
          <w:color w:val="111111"/>
          <w:sz w:val="28"/>
          <w:szCs w:val="28"/>
          <w:rtl/>
        </w:rPr>
        <w:t xml:space="preserve">نصر الله</w:t>
      </w:r>
    </w:p>
    <w:p>
      <w:pPr>
        <w:pStyle w:val="Heading2"/>
      </w:pPr>
      <w:bookmarkStart w:id="5378" w:name="_Toc4480"/>
      <w:r>
        <w:t>صالح افندي</w:t>
      </w:r>
      <w:bookmarkEnd w:id="5378"/>
    </w:p>
    <w:p>
      <w:pPr>
        <w:pStyle w:val="BookText"/>
      </w:pPr>
      <w:r>
        <w:rPr>
          <w:rFonts w:ascii="Amiri" w:hAnsi="Amiri" w:eastAsia="Amiri" w:cs="Amiri"/>
          <w:lang w:bidi="ar-SA"/>
          <w:color w:val="111111"/>
          <w:sz w:val="28"/>
          <w:szCs w:val="28"/>
          <w:rtl/>
        </w:rPr>
        <w:t xml:space="preserve">1 .حاشية العلامة صالح افندي، ج6،</w:t>
      </w:r>
    </w:p>
    <w:p>
      <w:pPr>
        <w:pStyle w:val="BookText"/>
      </w:pPr>
      <w:r>
        <w:rPr>
          <w:rFonts w:ascii="IRNazanin" w:hAnsi="IRNazanin" w:eastAsia="IRNazanin" w:cs="IRNazanin"/>
          <w:lang w:bidi="fa-IR"/>
          <w:color w:val="111111"/>
          <w:sz w:val="28"/>
          <w:szCs w:val="28"/>
          <w:rtl/>
        </w:rPr>
        <w:t xml:space="preserve">ص 231 .</w:t>
      </w:r>
    </w:p>
    <w:p>
      <w:pPr>
        <w:pStyle w:val="BookText"/>
      </w:pPr>
      <w:r>
        <w:rPr>
          <w:rFonts w:ascii="IRNazanin" w:hAnsi="IRNazanin" w:eastAsia="IRNazanin" w:cs="IRNazanin"/>
          <w:lang w:bidi="fa-IR"/>
          <w:color w:val="111111"/>
          <w:sz w:val="28"/>
          <w:szCs w:val="28"/>
          <w:rtl/>
        </w:rPr>
        <w:t xml:space="preserve">2 .دیوان صالح افندي، ج7، ص 682.</w:t>
      </w:r>
    </w:p>
    <w:p>
      <w:pPr>
        <w:pStyle w:val="BookText"/>
      </w:pPr>
      <w:r>
        <w:rPr>
          <w:rFonts w:ascii="Amiri" w:hAnsi="Amiri" w:eastAsia="Amiri" w:cs="Amiri"/>
          <w:lang w:bidi="ar-SA"/>
          <w:color w:val="111111"/>
          <w:sz w:val="28"/>
          <w:szCs w:val="28"/>
          <w:rtl/>
        </w:rPr>
        <w:t xml:space="preserve">صالح افندي دباغ -دباغ ، صالح افندي</w:t>
      </w:r>
    </w:p>
    <w:p>
      <w:pPr>
        <w:pStyle w:val="BookText"/>
      </w:pPr>
      <w:r>
        <w:rPr>
          <w:rFonts w:ascii="Amiri" w:hAnsi="Amiri" w:eastAsia="Amiri" w:cs="Amiri"/>
          <w:lang w:bidi="ar-SA"/>
          <w:color w:val="111111"/>
          <w:sz w:val="28"/>
          <w:szCs w:val="28"/>
          <w:rtl/>
        </w:rPr>
        <w:t xml:space="preserve">صالح افندي معمار- معمار موصلي ،</w:t>
      </w:r>
    </w:p>
    <w:p>
      <w:pPr>
        <w:pStyle w:val="BookText"/>
      </w:pPr>
      <w:r>
        <w:rPr>
          <w:rFonts w:ascii="Amiri" w:hAnsi="Amiri" w:eastAsia="Amiri" w:cs="Amiri"/>
          <w:lang w:bidi="ar-SA"/>
          <w:color w:val="111111"/>
          <w:sz w:val="28"/>
          <w:szCs w:val="28"/>
          <w:rtl/>
        </w:rPr>
        <w:t xml:space="preserve">صالح افندي</w:t>
      </w:r>
    </w:p>
    <w:p>
      <w:pPr>
        <w:pStyle w:val="BookText"/>
      </w:pPr>
      <w:r>
        <w:rPr>
          <w:rFonts w:ascii="Amiri" w:hAnsi="Amiri" w:eastAsia="Amiri" w:cs="Amiri"/>
          <w:lang w:bidi="ar-SA"/>
          <w:color w:val="111111"/>
          <w:sz w:val="28"/>
          <w:szCs w:val="28"/>
          <w:rtl/>
        </w:rPr>
        <w:t xml:space="preserve">صالح انقروي- آنقروي ، صالح</w:t>
      </w:r>
    </w:p>
    <w:p>
      <w:pPr>
        <w:pStyle w:val="Heading2"/>
      </w:pPr>
      <w:bookmarkStart w:id="5379" w:name="_Toc4481"/>
      <w:r>
        <w:t>صالحاني، ابراهيم بن خلیل 1133 -</w:t>
      </w:r>
      <w:bookmarkEnd w:id="5379"/>
    </w:p>
    <w:p>
      <w:pPr>
        <w:pStyle w:val="BookText"/>
      </w:pPr>
      <w:r>
        <w:rPr>
          <w:rFonts w:ascii="IRNazanin" w:hAnsi="IRNazanin" w:eastAsia="IRNazanin" w:cs="IRNazanin"/>
          <w:lang w:bidi="fa-IR"/>
          <w:color w:val="111111"/>
          <w:sz w:val="28"/>
          <w:szCs w:val="28"/>
          <w:rtl/>
        </w:rPr>
        <w:t xml:space="preserve">1197 ه-</w:t>
      </w:r>
    </w:p>
    <w:p>
      <w:pPr>
        <w:pStyle w:val="BookText"/>
      </w:pPr>
      <w:r>
        <w:rPr>
          <w:rFonts w:ascii="Amiri" w:hAnsi="Amiri" w:eastAsia="Amiri" w:cs="Amiri"/>
          <w:lang w:bidi="ar-SA"/>
          <w:color w:val="111111"/>
          <w:sz w:val="28"/>
          <w:szCs w:val="28"/>
          <w:rtl/>
        </w:rPr>
        <w:t xml:space="preserve">تعليق على الدر المختار = شرح عبارة</w:t>
      </w:r>
    </w:p>
    <w:p>
      <w:pPr>
        <w:pStyle w:val="BookText"/>
      </w:pPr>
      <w:r>
        <w:rPr>
          <w:rFonts w:ascii="Amiri" w:hAnsi="Amiri" w:eastAsia="Amiri" w:cs="Amiri"/>
          <w:lang w:bidi="ar-SA"/>
          <w:color w:val="111111"/>
          <w:sz w:val="28"/>
          <w:szCs w:val="28"/>
          <w:rtl/>
        </w:rPr>
        <w:t xml:space="preserve">وردت في الدر المختار، ج4، ص 545.</w:t>
      </w:r>
    </w:p>
    <w:p>
      <w:pPr>
        <w:pStyle w:val="BookText"/>
      </w:pPr>
      <w:r>
        <w:rPr>
          <w:rFonts w:ascii="Amiri" w:hAnsi="Amiri" w:eastAsia="Amiri" w:cs="Amiri"/>
          <w:lang w:bidi="ar-SA"/>
          <w:color w:val="111111"/>
          <w:sz w:val="28"/>
          <w:szCs w:val="28"/>
          <w:rtl/>
        </w:rPr>
        <w:t xml:space="preserve">صالح بن ابراهيم شهرستاني موسوي - شهرستاني ، صالح بن ابراهيم</w:t>
      </w:r>
    </w:p>
    <w:p>
      <w:pPr>
        <w:pStyle w:val="BookText"/>
      </w:pPr>
      <w:r>
        <w:rPr>
          <w:rFonts w:ascii="Amiri" w:hAnsi="Amiri" w:eastAsia="Amiri" w:cs="Amiri"/>
          <w:lang w:bidi="ar-SA"/>
          <w:color w:val="111111"/>
          <w:sz w:val="28"/>
          <w:szCs w:val="28"/>
          <w:rtl/>
        </w:rPr>
        <w:t xml:space="preserve">صالح بن درويش التميمي -تميمي ، صالح</w:t>
      </w:r>
    </w:p>
    <w:p>
      <w:pPr>
        <w:pStyle w:val="BookText"/>
      </w:pPr>
      <w:r>
        <w:rPr>
          <w:rFonts w:ascii="Amiri" w:hAnsi="Amiri" w:eastAsia="Amiri" w:cs="Amiri"/>
          <w:lang w:bidi="ar-SA"/>
          <w:color w:val="111111"/>
          <w:sz w:val="28"/>
          <w:szCs w:val="28"/>
          <w:rtl/>
        </w:rPr>
        <w:t xml:space="preserve">بن درويش</w:t>
      </w:r>
    </w:p>
    <w:p>
      <w:pPr>
        <w:pStyle w:val="Heading2"/>
      </w:pPr>
      <w:bookmarkStart w:id="5380" w:name="_Toc4482"/>
      <w:r>
        <w:t>صالح بن رضوان</w:t>
      </w:r>
      <w:bookmarkEnd w:id="5380"/>
    </w:p>
    <w:p>
      <w:pPr>
        <w:pStyle w:val="BookText"/>
      </w:pPr>
      <w:r>
        <w:rPr>
          <w:rFonts w:ascii="Amiri" w:hAnsi="Amiri" w:eastAsia="Amiri" w:cs="Amiri"/>
          <w:lang w:bidi="ar-SA"/>
          <w:color w:val="111111"/>
          <w:sz w:val="28"/>
          <w:szCs w:val="28"/>
          <w:rtl/>
        </w:rPr>
        <w:t xml:space="preserve">1 .جواهر العقلية فى الادلة القطعية</w:t>
      </w:r>
    </w:p>
    <w:p>
      <w:pPr>
        <w:pStyle w:val="BookText"/>
      </w:pPr>
      <w:r>
        <w:rPr>
          <w:rFonts w:ascii="IRNazanin" w:hAnsi="IRNazanin" w:eastAsia="IRNazanin" w:cs="IRNazanin"/>
          <w:lang w:bidi="fa-IR"/>
          <w:color w:val="111111"/>
          <w:sz w:val="28"/>
          <w:szCs w:val="28"/>
          <w:rtl/>
        </w:rPr>
        <w:t xml:space="preserve">ج 5، ص 551.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العقائد، ج 11، ص 136.</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61" w:name="pg7742_70651"/>
    <w:bookmarkEnd w:id="661"/>
    <w:p>
      <w:pPr>
        <w:pStyle w:val="BookText"/>
      </w:pPr>
      <w:r>
        <w:rPr>
          <w:rFonts w:ascii="Amiri" w:hAnsi="Amiri" w:eastAsia="Amiri" w:cs="Amiri"/>
          <w:lang w:bidi="ar-SA"/>
          <w:color w:val="111111"/>
          <w:sz w:val="28"/>
          <w:szCs w:val="28"/>
          <w:rtl/>
        </w:rPr>
        <w:t xml:space="preserve">صالح بن صديق نمازي- تماري ، صالح بن</w:t>
      </w:r>
    </w:p>
    <w:p>
      <w:pPr>
        <w:pStyle w:val="BookText"/>
      </w:pPr>
      <w:r>
        <w:rPr>
          <w:rFonts w:ascii="Amiri" w:hAnsi="Amiri" w:eastAsia="Amiri" w:cs="Amiri"/>
          <w:lang w:bidi="ar-SA"/>
          <w:color w:val="111111"/>
          <w:sz w:val="28"/>
          <w:szCs w:val="28"/>
          <w:rtl/>
        </w:rPr>
        <w:t xml:space="preserve">صديق</w:t>
      </w:r>
    </w:p>
    <w:p>
      <w:pPr>
        <w:pStyle w:val="BookText"/>
      </w:pPr>
      <w:r>
        <w:rPr>
          <w:rFonts w:ascii="Amiri" w:hAnsi="Amiri" w:eastAsia="Amiri" w:cs="Amiri"/>
          <w:lang w:bidi="ar-SA"/>
          <w:color w:val="111111"/>
          <w:sz w:val="28"/>
          <w:szCs w:val="28"/>
          <w:rtl/>
        </w:rPr>
        <w:t xml:space="preserve">صالح بن عباس حسيني -خطيب ، صالح</w:t>
      </w:r>
    </w:p>
    <w:p>
      <w:pPr>
        <w:pStyle w:val="BookText"/>
      </w:pPr>
      <w:r>
        <w:rPr>
          <w:rFonts w:ascii="IRNazanin" w:hAnsi="IRNazanin" w:eastAsia="IRNazanin" w:cs="IRNazanin"/>
          <w:lang w:bidi="fa-IR"/>
          <w:color w:val="111111"/>
          <w:sz w:val="28"/>
          <w:szCs w:val="28"/>
          <w:rtl/>
        </w:rPr>
        <w:t xml:space="preserve">بن عباس</w:t>
      </w:r>
    </w:p>
    <w:p>
      <w:pPr>
        <w:pStyle w:val="BookText"/>
      </w:pPr>
      <w:r>
        <w:rPr>
          <w:rFonts w:ascii="IRNazanin" w:hAnsi="IRNazanin" w:eastAsia="IRNazanin" w:cs="IRNazanin"/>
          <w:lang w:bidi="fa-IR"/>
          <w:color w:val="111111"/>
          <w:sz w:val="28"/>
          <w:szCs w:val="28"/>
          <w:rtl/>
        </w:rPr>
        <w:t xml:space="preserve">صالح بن عبد الرحيم بن نورالدین</w:t>
      </w:r>
    </w:p>
    <w:p>
      <w:pPr>
        <w:pStyle w:val="BookText"/>
      </w:pPr>
      <w:r>
        <w:rPr>
          <w:rFonts w:ascii="Amiri" w:hAnsi="Amiri" w:eastAsia="Amiri" w:cs="Amiri"/>
          <w:lang w:bidi="ar-SA"/>
          <w:color w:val="111111"/>
          <w:sz w:val="28"/>
          <w:szCs w:val="28"/>
          <w:rtl/>
        </w:rPr>
        <w:t xml:space="preserve">قادري -قادري ، صالح بن عبدالرحيم</w:t>
      </w:r>
    </w:p>
    <w:p>
      <w:pPr>
        <w:pStyle w:val="BookText"/>
      </w:pPr>
      <w:r>
        <w:rPr>
          <w:rFonts w:ascii="Amiri" w:hAnsi="Amiri" w:eastAsia="Amiri" w:cs="Amiri"/>
          <w:lang w:bidi="ar-SA"/>
          <w:color w:val="111111"/>
          <w:sz w:val="28"/>
          <w:szCs w:val="28"/>
          <w:rtl/>
        </w:rPr>
        <w:t xml:space="preserve">صالح بن عبد الرحيم قادري -قادري ،</w:t>
      </w:r>
    </w:p>
    <w:p>
      <w:pPr>
        <w:pStyle w:val="BookText"/>
      </w:pPr>
      <w:r>
        <w:rPr>
          <w:rFonts w:ascii="Amiri" w:hAnsi="Amiri" w:eastAsia="Amiri" w:cs="Amiri"/>
          <w:lang w:bidi="ar-SA"/>
          <w:color w:val="111111"/>
          <w:sz w:val="28"/>
          <w:szCs w:val="28"/>
          <w:rtl/>
        </w:rPr>
        <w:t xml:space="preserve">صالح بن عبدالرحيم</w:t>
      </w:r>
    </w:p>
    <w:p>
      <w:pPr>
        <w:pStyle w:val="BookText"/>
      </w:pPr>
      <w:r>
        <w:rPr>
          <w:rFonts w:ascii="Amiri" w:hAnsi="Amiri" w:eastAsia="Amiri" w:cs="Amiri"/>
          <w:lang w:bidi="ar-SA"/>
          <w:color w:val="111111"/>
          <w:sz w:val="28"/>
          <w:szCs w:val="28"/>
          <w:rtl/>
        </w:rPr>
        <w:t xml:space="preserve">صالح بن عبدالقدوس ازدي- ازدي ، صالح منصور</w:t>
      </w:r>
    </w:p>
    <w:p>
      <w:pPr>
        <w:pStyle w:val="BookText"/>
      </w:pPr>
      <w:r>
        <w:rPr>
          <w:rFonts w:ascii="IRNazanin" w:hAnsi="IRNazanin" w:eastAsia="IRNazanin" w:cs="IRNazanin"/>
          <w:lang w:bidi="fa-IR"/>
          <w:color w:val="111111"/>
          <w:sz w:val="28"/>
          <w:szCs w:val="28"/>
          <w:rtl/>
        </w:rPr>
        <w:t xml:space="preserve">بن عبدالقدوس</w:t>
      </w:r>
    </w:p>
    <w:p>
      <w:pPr>
        <w:pStyle w:val="BookText"/>
      </w:pPr>
      <w:r>
        <w:rPr>
          <w:rFonts w:ascii="Amiri" w:hAnsi="Amiri" w:eastAsia="Amiri" w:cs="Amiri"/>
          <w:lang w:bidi="ar-SA"/>
          <w:color w:val="111111"/>
          <w:sz w:val="28"/>
          <w:szCs w:val="28"/>
          <w:rtl/>
        </w:rPr>
        <w:t xml:space="preserve">صالح بن عبد الكريم بحراني- بحراني ،</w:t>
      </w:r>
    </w:p>
    <w:p>
      <w:pPr>
        <w:pStyle w:val="BookText"/>
      </w:pPr>
      <w:r>
        <w:rPr>
          <w:rFonts w:ascii="Amiri" w:hAnsi="Amiri" w:eastAsia="Amiri" w:cs="Amiri"/>
          <w:lang w:bidi="ar-SA"/>
          <w:color w:val="111111"/>
          <w:sz w:val="28"/>
          <w:szCs w:val="28"/>
          <w:rtl/>
        </w:rPr>
        <w:t xml:space="preserve">صالح بن عبدالكريم</w:t>
      </w:r>
    </w:p>
    <w:p>
      <w:pPr>
        <w:pStyle w:val="BookText"/>
      </w:pPr>
      <w:r>
        <w:rPr>
          <w:rFonts w:ascii="Amiri" w:hAnsi="Amiri" w:eastAsia="Amiri" w:cs="Amiri"/>
          <w:lang w:bidi="ar-SA"/>
          <w:color w:val="111111"/>
          <w:sz w:val="28"/>
          <w:szCs w:val="28"/>
          <w:rtl/>
        </w:rPr>
        <w:t xml:space="preserve">صالح بن عبدالله كشفي ترمذي- كشفي</w:t>
      </w:r>
    </w:p>
    <w:p>
      <w:pPr>
        <w:pStyle w:val="BookText"/>
      </w:pPr>
      <w:r>
        <w:rPr>
          <w:rFonts w:ascii="Amiri" w:hAnsi="Amiri" w:eastAsia="Amiri" w:cs="Amiri"/>
          <w:lang w:bidi="ar-SA"/>
          <w:color w:val="111111"/>
          <w:sz w:val="28"/>
          <w:szCs w:val="28"/>
          <w:rtl/>
        </w:rPr>
        <w:t xml:space="preserve">ترمذي ، محمّد صالح بن عبدالله</w:t>
      </w:r>
    </w:p>
    <w:p>
      <w:pPr>
        <w:pStyle w:val="BookText"/>
      </w:pPr>
      <w:r>
        <w:rPr>
          <w:rFonts w:ascii="Amiri" w:hAnsi="Amiri" w:eastAsia="Amiri" w:cs="Amiri"/>
          <w:lang w:bidi="ar-SA"/>
          <w:color w:val="111111"/>
          <w:sz w:val="28"/>
          <w:szCs w:val="28"/>
          <w:rtl/>
        </w:rPr>
        <w:t xml:space="preserve">صالح بن علي بن حمدان- ابن حمدان</w:t>
      </w:r>
    </w:p>
    <w:p>
      <w:pPr>
        <w:pStyle w:val="BookText"/>
      </w:pPr>
      <w:r>
        <w:rPr>
          <w:rFonts w:ascii="Amiri" w:hAnsi="Amiri" w:eastAsia="Amiri" w:cs="Amiri"/>
          <w:lang w:bidi="ar-SA"/>
          <w:color w:val="111111"/>
          <w:sz w:val="28"/>
          <w:szCs w:val="28"/>
          <w:rtl/>
        </w:rPr>
        <w:t xml:space="preserve">صالح بن علي</w:t>
      </w:r>
    </w:p>
    <w:p>
      <w:pPr>
        <w:pStyle w:val="BookText"/>
      </w:pPr>
      <w:r>
        <w:rPr>
          <w:rFonts w:ascii="Amiri" w:hAnsi="Amiri" w:eastAsia="Amiri" w:cs="Amiri"/>
          <w:lang w:bidi="ar-SA"/>
          <w:color w:val="111111"/>
          <w:sz w:val="28"/>
          <w:szCs w:val="28"/>
          <w:rtl/>
        </w:rPr>
        <w:t xml:space="preserve">صالح بن علي حلبي- ابن حمدان ، صالح بن علي</w:t>
      </w:r>
    </w:p>
    <w:p>
      <w:pPr>
        <w:pStyle w:val="BookText"/>
      </w:pPr>
      <w:r>
        <w:rPr>
          <w:rFonts w:ascii="Amiri" w:hAnsi="Amiri" w:eastAsia="Amiri" w:cs="Amiri"/>
          <w:lang w:bidi="ar-SA"/>
          <w:color w:val="111111"/>
          <w:sz w:val="28"/>
          <w:szCs w:val="28"/>
          <w:rtl/>
        </w:rPr>
        <w:t xml:space="preserve">بن علي صالح بن علي رندي -رندي ، صالح بن علي</w:t>
      </w:r>
    </w:p>
    <w:p>
      <w:pPr>
        <w:pStyle w:val="BookText"/>
      </w:pPr>
      <w:r>
        <w:rPr>
          <w:rFonts w:ascii="Amiri" w:hAnsi="Amiri" w:eastAsia="Amiri" w:cs="Amiri"/>
          <w:lang w:bidi="ar-SA"/>
          <w:color w:val="111111"/>
          <w:sz w:val="28"/>
          <w:szCs w:val="28"/>
          <w:rtl/>
        </w:rPr>
        <w:t xml:space="preserve">صالح بن علي موسوي- موسوي كيشوان ، صالح بن علي</w:t>
      </w:r>
    </w:p>
    <w:p>
      <w:pPr>
        <w:pStyle w:val="Heading2"/>
      </w:pPr>
      <w:bookmarkStart w:id="5381" w:name="_Toc4483"/>
      <w:r>
        <w:t>صالح بن عمر</w:t>
      </w:r>
      <w:bookmarkEnd w:id="5381"/>
    </w:p>
    <w:p>
      <w:pPr>
        <w:pStyle w:val="BookText"/>
      </w:pPr>
      <w:r>
        <w:rPr>
          <w:rFonts w:ascii="Amiri" w:hAnsi="Amiri" w:eastAsia="Amiri" w:cs="Amiri"/>
          <w:lang w:bidi="ar-SA"/>
          <w:color w:val="111111"/>
          <w:sz w:val="28"/>
          <w:szCs w:val="28"/>
          <w:rtl/>
        </w:rPr>
        <w:t xml:space="preserve">مولد النبي (ص) = المولد النبوي =</w:t>
      </w:r>
    </w:p>
    <w:p>
      <w:pPr>
        <w:pStyle w:val="BookText"/>
      </w:pPr>
      <w:r>
        <w:rPr>
          <w:rFonts w:ascii="IRNazanin" w:hAnsi="IRNazanin" w:eastAsia="IRNazanin" w:cs="IRNazanin"/>
          <w:lang w:bidi="fa-IR"/>
          <w:color w:val="111111"/>
          <w:sz w:val="28"/>
          <w:szCs w:val="28"/>
          <w:rtl/>
        </w:rPr>
        <w:t xml:space="preserve">مولد الرسول، ج 16 ، ص 49.</w:t>
      </w:r>
    </w:p>
    <w:p>
      <w:pPr>
        <w:pStyle w:val="Heading2"/>
      </w:pPr>
      <w:bookmarkStart w:id="5382" w:name="_Toc4484"/>
      <w:r>
        <w:t>صالح بن محمّد قرن 12 ه-</w:t>
      </w:r>
      <w:bookmarkEnd w:id="5382"/>
    </w:p>
    <w:p>
      <w:pPr>
        <w:pStyle w:val="BookText"/>
      </w:pPr>
      <w:r>
        <w:rPr>
          <w:rFonts w:ascii="Amiri" w:hAnsi="Amiri" w:eastAsia="Amiri" w:cs="Amiri"/>
          <w:lang w:bidi="ar-SA"/>
          <w:color w:val="111111"/>
          <w:sz w:val="28"/>
          <w:szCs w:val="28"/>
          <w:rtl/>
        </w:rPr>
        <w:t xml:space="preserve">الشذور الذهبية و القطع الأحمدية ج 9، ص91</w:t>
      </w:r>
    </w:p>
    <w:p>
      <w:pPr>
        <w:pStyle w:val="BookText"/>
      </w:pPr>
      <w:r>
        <w:rPr>
          <w:rFonts w:ascii="Amiri" w:hAnsi="Amiri" w:eastAsia="Amiri" w:cs="Amiri"/>
          <w:lang w:bidi="ar-SA"/>
          <w:color w:val="111111"/>
          <w:sz w:val="28"/>
          <w:szCs w:val="28"/>
          <w:rtl/>
        </w:rPr>
        <w:t xml:space="preserve">صالح بن محمّد خطيب غزي تمرتاشي - تمرتاشي ، صالح بن محمّد</w:t>
      </w:r>
    </w:p>
    <w:p>
      <w:pPr>
        <w:pStyle w:val="BookText"/>
      </w:pPr>
      <w:r>
        <w:rPr>
          <w:rFonts w:ascii="Amiri" w:hAnsi="Amiri" w:eastAsia="Amiri" w:cs="Amiri"/>
          <w:lang w:bidi="ar-SA"/>
          <w:color w:val="111111"/>
          <w:sz w:val="28"/>
          <w:szCs w:val="28"/>
          <w:rtl/>
        </w:rPr>
        <w:t xml:space="preserve">صالح بن محمّد عاملي -عاملي ، صالح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صالح بن محمّد عاني بغدادي- عاني ،</w:t>
      </w:r>
    </w:p>
    <w:p>
      <w:pPr>
        <w:pStyle w:val="BookText"/>
      </w:pPr>
      <w:r>
        <w:rPr>
          <w:rFonts w:ascii="IRNazanin" w:hAnsi="IRNazanin" w:eastAsia="IRNazanin" w:cs="IRNazanin"/>
          <w:lang w:bidi="fa-IR"/>
          <w:color w:val="111111"/>
          <w:sz w:val="28"/>
          <w:szCs w:val="28"/>
          <w:rtl/>
        </w:rPr>
        <w:t xml:space="preserve">صالح بن محمّد</w:t>
      </w:r>
    </w:p>
    <w:p>
      <w:pPr>
        <w:pStyle w:val="BookText"/>
      </w:pPr>
      <w:r>
        <w:rPr>
          <w:rFonts w:ascii="IRNazanin" w:hAnsi="IRNazanin" w:eastAsia="IRNazanin" w:cs="IRNazanin"/>
          <w:lang w:bidi="fa-IR"/>
          <w:color w:val="111111"/>
          <w:sz w:val="28"/>
          <w:szCs w:val="28"/>
          <w:rtl/>
        </w:rPr>
        <w:t xml:space="preserve">صالح بن محمّد منتقفي - منتقفي ، صالح علی بن محمّد</w:t>
      </w:r>
    </w:p>
    <w:p>
      <w:pPr>
        <w:pStyle w:val="BookText"/>
      </w:pPr>
      <w:r>
        <w:rPr>
          <w:rFonts w:ascii="Amiri" w:hAnsi="Amiri" w:eastAsia="Amiri" w:cs="Amiri"/>
          <w:lang w:bidi="ar-SA"/>
          <w:color w:val="111111"/>
          <w:sz w:val="28"/>
          <w:szCs w:val="28"/>
          <w:rtl/>
        </w:rPr>
        <w:t xml:space="preserve">صالح بن منصور كوفي- كوفي ، صالح بن منصور</w:t>
      </w:r>
    </w:p>
    <w:p>
      <w:pPr>
        <w:pStyle w:val="BookText"/>
      </w:pPr>
      <w:r>
        <w:rPr>
          <w:rFonts w:ascii="Amiri" w:hAnsi="Amiri" w:eastAsia="Amiri" w:cs="Amiri"/>
          <w:lang w:bidi="ar-SA"/>
          <w:color w:val="111111"/>
          <w:sz w:val="28"/>
          <w:szCs w:val="28"/>
          <w:rtl/>
        </w:rPr>
        <w:t xml:space="preserve">صالح بن مهدي قزويني نجفي بغدادي- قزويني نجفي ، صالح بن محمّد مهدي</w:t>
      </w:r>
    </w:p>
    <w:p>
      <w:pPr>
        <w:pStyle w:val="BookText"/>
      </w:pPr>
      <w:r>
        <w:rPr>
          <w:rFonts w:ascii="Amiri" w:hAnsi="Amiri" w:eastAsia="Amiri" w:cs="Amiri"/>
          <w:lang w:bidi="ar-SA"/>
          <w:color w:val="111111"/>
          <w:sz w:val="28"/>
          <w:szCs w:val="28"/>
          <w:rtl/>
        </w:rPr>
        <w:t xml:space="preserve">مهدي صالح بن مهدي كاشف الغطاء -كاشف</w:t>
      </w:r>
    </w:p>
    <w:p>
      <w:pPr>
        <w:pStyle w:val="BookText"/>
      </w:pPr>
      <w:r>
        <w:rPr>
          <w:rFonts w:ascii="Amiri" w:hAnsi="Amiri" w:eastAsia="Amiri" w:cs="Amiri"/>
          <w:lang w:bidi="ar-SA"/>
          <w:color w:val="111111"/>
          <w:sz w:val="28"/>
          <w:szCs w:val="28"/>
          <w:rtl/>
        </w:rPr>
        <w:t xml:space="preserve">الغطاء ، صالح بن مهدي</w:t>
      </w:r>
    </w:p>
    <w:p>
      <w:pPr>
        <w:pStyle w:val="BookText"/>
      </w:pPr>
      <w:r>
        <w:rPr>
          <w:rFonts w:ascii="Amiri" w:hAnsi="Amiri" w:eastAsia="Amiri" w:cs="Amiri"/>
          <w:lang w:bidi="ar-SA"/>
          <w:color w:val="111111"/>
          <w:sz w:val="28"/>
          <w:szCs w:val="28"/>
          <w:rtl/>
        </w:rPr>
        <w:t xml:space="preserve">صالح بن مهدي مقبلي- مقبلي ، صالح بن مهدي</w:t>
      </w:r>
    </w:p>
    <w:p>
      <w:pPr>
        <w:pStyle w:val="BookText"/>
      </w:pPr>
      <w:r>
        <w:rPr>
          <w:rFonts w:ascii="Amiri" w:hAnsi="Amiri" w:eastAsia="Amiri" w:cs="Amiri"/>
          <w:lang w:bidi="ar-SA"/>
          <w:color w:val="111111"/>
          <w:sz w:val="28"/>
          <w:szCs w:val="28"/>
          <w:rtl/>
        </w:rPr>
        <w:t xml:space="preserve">صالح بن نصر الله حلبي( ابن سلوم)- ابن</w:t>
      </w:r>
    </w:p>
    <w:p>
      <w:pPr>
        <w:pStyle w:val="BookText"/>
      </w:pPr>
      <w:r>
        <w:rPr>
          <w:rFonts w:ascii="IRNazanin" w:hAnsi="IRNazanin" w:eastAsia="IRNazanin" w:cs="IRNazanin"/>
          <w:lang w:bidi="fa-IR"/>
          <w:color w:val="111111"/>
          <w:sz w:val="28"/>
          <w:szCs w:val="28"/>
          <w:rtl/>
        </w:rPr>
        <w:t xml:space="preserve">سلوم ، صالح بن نصر الله</w:t>
      </w:r>
    </w:p>
    <w:p>
      <w:pPr>
        <w:pStyle w:val="BookText"/>
      </w:pPr>
      <w:r>
        <w:rPr>
          <w:rFonts w:ascii="Amiri" w:hAnsi="Amiri" w:eastAsia="Amiri" w:cs="Amiri"/>
          <w:lang w:bidi="ar-SA"/>
          <w:color w:val="111111"/>
          <w:sz w:val="28"/>
          <w:szCs w:val="28"/>
          <w:rtl/>
        </w:rPr>
        <w:t xml:space="preserve">صالح بن يحيى افندي بن يونس سعدي</w:t>
      </w:r>
    </w:p>
    <w:p>
      <w:pPr>
        <w:pStyle w:val="BookText"/>
      </w:pPr>
      <w:r>
        <w:rPr>
          <w:rFonts w:ascii="Amiri" w:hAnsi="Amiri" w:eastAsia="Amiri" w:cs="Amiri"/>
          <w:lang w:bidi="ar-SA"/>
          <w:color w:val="111111"/>
          <w:sz w:val="28"/>
          <w:szCs w:val="28"/>
          <w:rtl/>
        </w:rPr>
        <w:t xml:space="preserve">موصلي -سعدي ، صالح بن يحيى</w:t>
      </w:r>
    </w:p>
    <w:p>
      <w:pPr>
        <w:pStyle w:val="BookText"/>
      </w:pPr>
      <w:r>
        <w:rPr>
          <w:rFonts w:ascii="Amiri" w:hAnsi="Amiri" w:eastAsia="Amiri" w:cs="Amiri"/>
          <w:lang w:bidi="ar-SA"/>
          <w:color w:val="111111"/>
          <w:sz w:val="28"/>
          <w:szCs w:val="28"/>
          <w:rtl/>
        </w:rPr>
        <w:t xml:space="preserve">صالح تماري خزرجي انصاري - تماري ،</w:t>
      </w:r>
    </w:p>
    <w:p>
      <w:pPr>
        <w:pStyle w:val="BookText"/>
      </w:pPr>
      <w:r>
        <w:rPr>
          <w:rFonts w:ascii="Amiri" w:hAnsi="Amiri" w:eastAsia="Amiri" w:cs="Amiri"/>
          <w:lang w:bidi="ar-SA"/>
          <w:color w:val="111111"/>
          <w:sz w:val="28"/>
          <w:szCs w:val="28"/>
          <w:rtl/>
        </w:rPr>
        <w:t xml:space="preserve">صالح بن صديق</w:t>
      </w:r>
    </w:p>
    <w:p>
      <w:pPr>
        <w:pStyle w:val="Heading2"/>
      </w:pPr>
      <w:bookmarkStart w:id="5383" w:name="_Toc4485"/>
      <w:r>
        <w:t>صالح حاج الصغير</w:t>
      </w:r>
      <w:bookmarkEnd w:id="5383"/>
    </w:p>
    <w:p>
      <w:pPr>
        <w:pStyle w:val="BookText"/>
      </w:pPr>
      <w:r>
        <w:rPr>
          <w:rFonts w:ascii="IRNazanin" w:hAnsi="IRNazanin" w:eastAsia="IRNazanin" w:cs="IRNazanin"/>
          <w:lang w:bidi="fa-IR"/>
          <w:color w:val="111111"/>
          <w:sz w:val="28"/>
          <w:szCs w:val="28"/>
          <w:rtl/>
        </w:rPr>
        <w:t xml:space="preserve">دیوان صالح ، حاجي، ج7، ص 683.</w:t>
      </w:r>
    </w:p>
    <w:p>
      <w:pPr>
        <w:pStyle w:val="BookText"/>
      </w:pPr>
      <w:r>
        <w:rPr>
          <w:rFonts w:ascii="IRNazanin" w:hAnsi="IRNazanin" w:eastAsia="IRNazanin" w:cs="IRNazanin"/>
          <w:lang w:bidi="fa-IR"/>
          <w:color w:val="111111"/>
          <w:sz w:val="28"/>
          <w:szCs w:val="28"/>
          <w:rtl/>
        </w:rPr>
        <w:t xml:space="preserve">صالح دباغ زاده -دباغ زاده ، صالح</w:t>
      </w:r>
    </w:p>
    <w:p>
      <w:pPr>
        <w:pStyle w:val="BookText"/>
      </w:pPr>
      <w:r>
        <w:rPr>
          <w:rFonts w:ascii="IRNazanin" w:hAnsi="IRNazanin" w:eastAsia="IRNazanin" w:cs="IRNazanin"/>
          <w:lang w:bidi="fa-IR"/>
          <w:color w:val="111111"/>
          <w:sz w:val="28"/>
          <w:szCs w:val="28"/>
          <w:rtl/>
        </w:rPr>
        <w:t xml:space="preserve">صالح سليمان ، محمّد -سلیمان ، محمّد</w:t>
      </w:r>
    </w:p>
    <w:p>
      <w:pPr>
        <w:pStyle w:val="BookText"/>
      </w:pPr>
      <w:r>
        <w:rPr>
          <w:rFonts w:ascii="IRNazanin" w:hAnsi="IRNazanin" w:eastAsia="IRNazanin" w:cs="IRNazanin"/>
          <w:lang w:bidi="fa-IR"/>
          <w:color w:val="111111"/>
          <w:sz w:val="28"/>
          <w:szCs w:val="28"/>
          <w:rtl/>
        </w:rPr>
        <w:t xml:space="preserve">صالح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62" w:name="pg7742_70652"/>
    <w:bookmarkEnd w:id="662"/>
    <w:p>
      <w:pPr>
        <w:pStyle w:val="Heading2"/>
      </w:pPr>
      <w:bookmarkStart w:id="5384" w:name="_Toc4486"/>
      <w:r>
        <w:t>صالح شکر ، ابراهيم بن احمد 1310 -</w:t>
      </w:r>
      <w:bookmarkEnd w:id="5384"/>
    </w:p>
    <w:p>
      <w:pPr>
        <w:pStyle w:val="BookText"/>
      </w:pPr>
      <w:r>
        <w:rPr>
          <w:rFonts w:ascii="IRNazanin" w:hAnsi="IRNazanin" w:eastAsia="IRNazanin" w:cs="IRNazanin"/>
          <w:lang w:bidi="fa-IR"/>
          <w:color w:val="111111"/>
          <w:sz w:val="28"/>
          <w:szCs w:val="28"/>
          <w:rtl/>
        </w:rPr>
        <w:t xml:space="preserve">1363ه-</w:t>
      </w:r>
    </w:p>
    <w:p>
      <w:pPr>
        <w:pStyle w:val="BookText"/>
      </w:pPr>
      <w:r>
        <w:rPr>
          <w:rFonts w:ascii="Amiri" w:hAnsi="Amiri" w:eastAsia="Amiri" w:cs="Amiri"/>
          <w:lang w:bidi="ar-SA"/>
          <w:color w:val="111111"/>
          <w:sz w:val="28"/>
          <w:szCs w:val="28"/>
          <w:rtl/>
        </w:rPr>
        <w:t xml:space="preserve">1 ديوان صالح شكر، ج 7، ص 683 .</w:t>
      </w:r>
    </w:p>
    <w:p>
      <w:pPr>
        <w:pStyle w:val="BookText"/>
      </w:pPr>
      <w:r>
        <w:rPr>
          <w:rFonts w:ascii="Amiri" w:hAnsi="Amiri" w:eastAsia="Amiri" w:cs="Amiri"/>
          <w:lang w:bidi="ar-SA"/>
          <w:color w:val="111111"/>
          <w:sz w:val="28"/>
          <w:szCs w:val="28"/>
          <w:rtl/>
        </w:rPr>
        <w:t xml:space="preserve">2 .طرائف ادبية، ج 10، ص 800.</w:t>
      </w:r>
    </w:p>
    <w:p>
      <w:pPr>
        <w:pStyle w:val="BookText"/>
      </w:pPr>
      <w:r>
        <w:rPr>
          <w:rFonts w:ascii="Amiri" w:hAnsi="Amiri" w:eastAsia="Amiri" w:cs="Amiri"/>
          <w:lang w:bidi="ar-SA"/>
          <w:color w:val="111111"/>
          <w:sz w:val="28"/>
          <w:szCs w:val="28"/>
          <w:rtl/>
        </w:rPr>
        <w:t xml:space="preserve">صالح مازندراني - مازندراني ، محمّد صالح</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صالح معماري -معماري ، صالح بن معمار</w:t>
      </w:r>
    </w:p>
    <w:p>
      <w:pPr>
        <w:pStyle w:val="BookText"/>
      </w:pPr>
      <w:r>
        <w:rPr>
          <w:rFonts w:ascii="Amiri" w:hAnsi="Amiri" w:eastAsia="Amiri" w:cs="Amiri"/>
          <w:lang w:bidi="ar-SA"/>
          <w:color w:val="111111"/>
          <w:sz w:val="28"/>
          <w:szCs w:val="28"/>
          <w:rtl/>
        </w:rPr>
        <w:t xml:space="preserve">صالح معماري، سليم بن حافظ- معماري</w:t>
      </w:r>
    </w:p>
    <w:p>
      <w:pPr>
        <w:pStyle w:val="BookText"/>
      </w:pPr>
      <w:r>
        <w:rPr>
          <w:rFonts w:ascii="Amiri" w:hAnsi="Amiri" w:eastAsia="Amiri" w:cs="Amiri"/>
          <w:lang w:bidi="ar-SA"/>
          <w:color w:val="111111"/>
          <w:sz w:val="28"/>
          <w:szCs w:val="28"/>
          <w:rtl/>
        </w:rPr>
        <w:t xml:space="preserve">، سليم بن صالح</w:t>
      </w:r>
    </w:p>
    <w:p>
      <w:pPr>
        <w:pStyle w:val="Heading2"/>
      </w:pPr>
      <w:bookmarkStart w:id="5385" w:name="_Toc4487"/>
      <w:r>
        <w:t>صالح معماري ، سلیم بن حافظ، قرن 13</w:t>
      </w:r>
      <w:bookmarkEnd w:id="5385"/>
    </w:p>
    <w:p>
      <w:pPr>
        <w:pStyle w:val="BookText"/>
      </w:pPr>
      <w:r>
        <w:rPr>
          <w:rFonts w:ascii="IRNazanin" w:hAnsi="IRNazanin" w:eastAsia="IRNazanin" w:cs="IRNazanin"/>
          <w:lang w:bidi="fa-IR"/>
          <w:color w:val="111111"/>
          <w:sz w:val="28"/>
          <w:szCs w:val="28"/>
          <w:rtl/>
        </w:rPr>
        <w:t xml:space="preserve">1 .ترتيب فتاوی ابن نجیم ج4</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Amiri" w:hAnsi="Amiri" w:eastAsia="Amiri" w:cs="Amiri"/>
          <w:lang w:bidi="ar-SA"/>
          <w:color w:val="111111"/>
          <w:sz w:val="28"/>
          <w:szCs w:val="28"/>
          <w:rtl/>
        </w:rPr>
        <w:t xml:space="preserve">2 .ترتيب فتاوى قاري الهداية جع،</w:t>
      </w:r>
    </w:p>
    <w:p>
      <w:pPr>
        <w:pStyle w:val="BookText"/>
      </w:pPr>
      <w:r>
        <w:rPr>
          <w:rFonts w:ascii="IRNazanin" w:hAnsi="IRNazanin" w:eastAsia="IRNazanin" w:cs="IRNazanin"/>
          <w:lang w:bidi="fa-IR"/>
          <w:color w:val="111111"/>
          <w:sz w:val="28"/>
          <w:szCs w:val="28"/>
          <w:rtl/>
        </w:rPr>
        <w:t xml:space="preserve">ص 245.</w:t>
      </w:r>
    </w:p>
    <w:p>
      <w:pPr>
        <w:pStyle w:val="BookText"/>
      </w:pPr>
      <w:r>
        <w:rPr>
          <w:rFonts w:ascii="Amiri" w:hAnsi="Amiri" w:eastAsia="Amiri" w:cs="Amiri"/>
          <w:lang w:bidi="ar-SA"/>
          <w:color w:val="111111"/>
          <w:sz w:val="28"/>
          <w:szCs w:val="28"/>
          <w:rtl/>
        </w:rPr>
        <w:t xml:space="preserve">3 ترتيب مسائل المناسخة من شرح</w:t>
      </w:r>
    </w:p>
    <w:p>
      <w:pPr>
        <w:pStyle w:val="BookText"/>
      </w:pPr>
      <w:r>
        <w:rPr>
          <w:rFonts w:ascii="Amiri" w:hAnsi="Amiri" w:eastAsia="Amiri" w:cs="Amiri"/>
          <w:lang w:bidi="ar-SA"/>
          <w:color w:val="111111"/>
          <w:sz w:val="28"/>
          <w:szCs w:val="28"/>
          <w:rtl/>
        </w:rPr>
        <w:t xml:space="preserve">الترتيب، ج 4، ص 246.</w:t>
      </w:r>
    </w:p>
    <w:p>
      <w:pPr>
        <w:pStyle w:val="BookText"/>
      </w:pPr>
      <w:r>
        <w:rPr>
          <w:rFonts w:ascii="Amiri" w:hAnsi="Amiri" w:eastAsia="Amiri" w:cs="Amiri"/>
          <w:lang w:bidi="ar-SA"/>
          <w:color w:val="111111"/>
          <w:sz w:val="28"/>
          <w:szCs w:val="28"/>
          <w:rtl/>
        </w:rPr>
        <w:t xml:space="preserve">4.رسالة فلكية، ج8، ص239</w:t>
      </w:r>
    </w:p>
    <w:p>
      <w:pPr>
        <w:pStyle w:val="BookText"/>
      </w:pPr>
      <w:r>
        <w:rPr>
          <w:rFonts w:ascii="Amiri" w:hAnsi="Amiri" w:eastAsia="Amiri" w:cs="Amiri"/>
          <w:lang w:bidi="ar-SA"/>
          <w:color w:val="111111"/>
          <w:sz w:val="28"/>
          <w:szCs w:val="28"/>
          <w:rtl/>
        </w:rPr>
        <w:t xml:space="preserve">5 .مجموعة في الفتاوى، ج 14، ص 50.</w:t>
      </w:r>
    </w:p>
    <w:p>
      <w:pPr>
        <w:pStyle w:val="BookText"/>
      </w:pPr>
      <w:r>
        <w:rPr>
          <w:rFonts w:ascii="IRNazanin" w:hAnsi="IRNazanin" w:eastAsia="IRNazanin" w:cs="IRNazanin"/>
          <w:lang w:bidi="fa-IR"/>
          <w:color w:val="111111"/>
          <w:sz w:val="28"/>
          <w:szCs w:val="28"/>
          <w:rtl/>
        </w:rPr>
        <w:t xml:space="preserve">6 .مختصر من كتاب (فتاوی) مؤيد</w:t>
      </w:r>
    </w:p>
    <w:p>
      <w:pPr>
        <w:pStyle w:val="BookText"/>
      </w:pPr>
      <w:r>
        <w:rPr>
          <w:rFonts w:ascii="IRNazanin" w:hAnsi="IRNazanin" w:eastAsia="IRNazanin" w:cs="IRNazanin"/>
          <w:lang w:bidi="fa-IR"/>
          <w:color w:val="111111"/>
          <w:sz w:val="28"/>
          <w:szCs w:val="28"/>
          <w:rtl/>
        </w:rPr>
        <w:t xml:space="preserve">زاده، ج 14، ص 265.</w:t>
      </w:r>
    </w:p>
    <w:p>
      <w:pPr>
        <w:pStyle w:val="BookText"/>
      </w:pPr>
      <w:r>
        <w:rPr>
          <w:rFonts w:ascii="Amiri" w:hAnsi="Amiri" w:eastAsia="Amiri" w:cs="Amiri"/>
          <w:lang w:bidi="ar-SA"/>
          <w:color w:val="111111"/>
          <w:sz w:val="28"/>
          <w:szCs w:val="28"/>
          <w:rtl/>
        </w:rPr>
        <w:t xml:space="preserve">7 .مسائل مختارة منقولة من كتب</w:t>
      </w:r>
    </w:p>
    <w:p>
      <w:pPr>
        <w:pStyle w:val="BookText"/>
      </w:pPr>
      <w:r>
        <w:rPr>
          <w:rFonts w:ascii="Amiri" w:hAnsi="Amiri" w:eastAsia="Amiri" w:cs="Amiri"/>
          <w:lang w:bidi="ar-SA"/>
          <w:color w:val="111111"/>
          <w:sz w:val="28"/>
          <w:szCs w:val="28"/>
          <w:rtl/>
        </w:rPr>
        <w:t xml:space="preserve">الفقه الحنفية، ج 14، ص 485 .</w:t>
      </w:r>
    </w:p>
    <w:p>
      <w:pPr>
        <w:pStyle w:val="BookText"/>
      </w:pPr>
      <w:r>
        <w:rPr>
          <w:rFonts w:ascii="Amiri" w:hAnsi="Amiri" w:eastAsia="Amiri" w:cs="Amiri"/>
          <w:lang w:bidi="ar-SA"/>
          <w:color w:val="111111"/>
          <w:sz w:val="28"/>
          <w:szCs w:val="28"/>
          <w:rtl/>
        </w:rPr>
        <w:t xml:space="preserve">8 ..مسائل مختارة من كتاب الاسعاف</w:t>
      </w:r>
    </w:p>
    <w:p>
      <w:pPr>
        <w:pStyle w:val="BookText"/>
      </w:pPr>
      <w:r>
        <w:rPr>
          <w:rFonts w:ascii="Amiri" w:hAnsi="Amiri" w:eastAsia="Amiri" w:cs="Amiri"/>
          <w:lang w:bidi="ar-SA"/>
          <w:color w:val="111111"/>
          <w:sz w:val="28"/>
          <w:szCs w:val="28"/>
          <w:rtl/>
        </w:rPr>
        <w:t xml:space="preserve">في أحكام الاوقاف، ج 14، ص 485.</w:t>
      </w:r>
    </w:p>
    <w:p>
      <w:pPr>
        <w:pStyle w:val="BookText"/>
      </w:pPr>
      <w:r>
        <w:rPr>
          <w:rFonts w:ascii="Amiri" w:hAnsi="Amiri" w:eastAsia="Amiri" w:cs="Amiri"/>
          <w:lang w:bidi="ar-SA"/>
          <w:color w:val="111111"/>
          <w:sz w:val="28"/>
          <w:szCs w:val="28"/>
          <w:rtl/>
        </w:rPr>
        <w:t xml:space="preserve">9 .مسائل مختارة من كتب فقهية</w:t>
      </w:r>
    </w:p>
    <w:p>
      <w:pPr>
        <w:pStyle w:val="BookText"/>
      </w:pPr>
      <w:r>
        <w:rPr>
          <w:rFonts w:ascii="IRNazanin" w:hAnsi="IRNazanin" w:eastAsia="IRNazanin" w:cs="IRNazanin"/>
          <w:lang w:bidi="fa-IR"/>
          <w:color w:val="111111"/>
          <w:sz w:val="28"/>
          <w:szCs w:val="28"/>
          <w:rtl/>
        </w:rPr>
        <w:t xml:space="preserve">ج 14 ، ص 486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مسائل منقولة من الجعبرية</w:t>
      </w:r>
    </w:p>
    <w:p>
      <w:pPr>
        <w:pStyle w:val="BookText"/>
      </w:pPr>
      <w:r>
        <w:rPr>
          <w:rFonts w:ascii="IRNazanin" w:hAnsi="IRNazanin" w:eastAsia="IRNazanin" w:cs="IRNazanin"/>
          <w:lang w:bidi="fa-IR"/>
          <w:color w:val="111111"/>
          <w:sz w:val="28"/>
          <w:szCs w:val="28"/>
          <w:rtl/>
        </w:rPr>
        <w:t xml:space="preserve">ج 14، ص 491.</w:t>
      </w:r>
    </w:p>
    <w:p>
      <w:pPr>
        <w:pStyle w:val="BookText"/>
      </w:pPr>
      <w:r>
        <w:rPr>
          <w:rFonts w:ascii="Amiri" w:hAnsi="Amiri" w:eastAsia="Amiri" w:cs="Amiri"/>
          <w:lang w:bidi="ar-SA"/>
          <w:color w:val="111111"/>
          <w:sz w:val="28"/>
          <w:szCs w:val="28"/>
          <w:rtl/>
        </w:rPr>
        <w:t xml:space="preserve">11 .المطالب الوفية في فتاوى الحنفية</w:t>
      </w:r>
    </w:p>
    <w:p>
      <w:pPr>
        <w:pStyle w:val="BookText"/>
      </w:pPr>
      <w:r>
        <w:rPr>
          <w:rFonts w:ascii="IRNazanin" w:hAnsi="IRNazanin" w:eastAsia="IRNazanin" w:cs="IRNazanin"/>
          <w:lang w:bidi="fa-IR"/>
          <w:color w:val="111111"/>
          <w:sz w:val="28"/>
          <w:szCs w:val="28"/>
          <w:rtl/>
        </w:rPr>
        <w:t xml:space="preserve">ج 14، ص 767 .</w:t>
      </w:r>
    </w:p>
    <w:p>
      <w:pPr>
        <w:pStyle w:val="BookText"/>
      </w:pPr>
      <w:r>
        <w:rPr>
          <w:rFonts w:ascii="Amiri" w:hAnsi="Amiri" w:eastAsia="Amiri" w:cs="Amiri"/>
          <w:lang w:bidi="ar-SA"/>
          <w:color w:val="111111"/>
          <w:sz w:val="28"/>
          <w:szCs w:val="28"/>
          <w:rtl/>
        </w:rPr>
        <w:t xml:space="preserve">12 .المقايسة في عمل المناسخة</w:t>
      </w:r>
    </w:p>
    <w:p>
      <w:pPr>
        <w:pStyle w:val="BookText"/>
      </w:pPr>
      <w:r>
        <w:rPr>
          <w:rFonts w:ascii="IRNazanin" w:hAnsi="IRNazanin" w:eastAsia="IRNazanin" w:cs="IRNazanin"/>
          <w:lang w:bidi="fa-IR"/>
          <w:color w:val="111111"/>
          <w:sz w:val="28"/>
          <w:szCs w:val="28"/>
          <w:rtl/>
        </w:rPr>
        <w:t xml:space="preserve">بالجدول، ج 15 ، ص 323.</w:t>
      </w:r>
    </w:p>
    <w:p>
      <w:pPr>
        <w:pStyle w:val="BookText"/>
      </w:pPr>
      <w:r>
        <w:rPr>
          <w:rFonts w:ascii="Amiri" w:hAnsi="Amiri" w:eastAsia="Amiri" w:cs="Amiri"/>
          <w:lang w:bidi="ar-SA"/>
          <w:color w:val="111111"/>
          <w:sz w:val="28"/>
          <w:szCs w:val="28"/>
          <w:rtl/>
        </w:rPr>
        <w:t xml:space="preserve">صالح منصور يافي- يافي ، صالح منصور</w:t>
      </w:r>
    </w:p>
    <w:p>
      <w:pPr>
        <w:pStyle w:val="BookText"/>
      </w:pPr>
      <w:r>
        <w:rPr>
          <w:rFonts w:ascii="Amiri" w:hAnsi="Amiri" w:eastAsia="Amiri" w:cs="Amiri"/>
          <w:lang w:bidi="ar-SA"/>
          <w:color w:val="111111"/>
          <w:sz w:val="28"/>
          <w:szCs w:val="28"/>
          <w:rtl/>
        </w:rPr>
        <w:t xml:space="preserve">صالح واعظ حلبي- واعظ حلبي ، صالح</w:t>
      </w:r>
    </w:p>
    <w:p>
      <w:pPr>
        <w:pStyle w:val="BookText"/>
      </w:pPr>
      <w:r>
        <w:rPr>
          <w:rFonts w:ascii="Amiri" w:hAnsi="Amiri" w:eastAsia="Amiri" w:cs="Amiri"/>
          <w:lang w:bidi="ar-SA"/>
          <w:color w:val="111111"/>
          <w:sz w:val="28"/>
          <w:szCs w:val="28"/>
          <w:rtl/>
        </w:rPr>
        <w:t xml:space="preserve">صالح هروي، محمّد صالح بن محمّد رضا- هروي، محمّد صالح بن محمّد رضا</w:t>
      </w:r>
    </w:p>
    <w:p>
      <w:pPr>
        <w:pStyle w:val="BookText"/>
      </w:pPr>
      <w:r>
        <w:rPr>
          <w:rFonts w:ascii="Amiri" w:hAnsi="Amiri" w:eastAsia="Amiri" w:cs="Amiri"/>
          <w:lang w:bidi="ar-SA"/>
          <w:color w:val="111111"/>
          <w:sz w:val="28"/>
          <w:szCs w:val="28"/>
          <w:rtl/>
        </w:rPr>
        <w:t xml:space="preserve">صالحي ، ابراهيم بن اسماعيل- عدوي</w:t>
      </w:r>
    </w:p>
    <w:p>
      <w:pPr>
        <w:pStyle w:val="BookText"/>
      </w:pPr>
      <w:r>
        <w:rPr>
          <w:rFonts w:ascii="Amiri" w:hAnsi="Amiri" w:eastAsia="Amiri" w:cs="Amiri"/>
          <w:lang w:bidi="ar-SA"/>
          <w:color w:val="111111"/>
          <w:sz w:val="28"/>
          <w:szCs w:val="28"/>
          <w:rtl/>
        </w:rPr>
        <w:t xml:space="preserve">ابراهيم بن اسماعيل</w:t>
      </w:r>
    </w:p>
    <w:p>
      <w:pPr>
        <w:pStyle w:val="BookText"/>
      </w:pPr>
      <w:r>
        <w:rPr>
          <w:rFonts w:ascii="Amiri" w:hAnsi="Amiri" w:eastAsia="Amiri" w:cs="Amiri"/>
          <w:lang w:bidi="ar-SA"/>
          <w:color w:val="111111"/>
          <w:sz w:val="28"/>
          <w:szCs w:val="28"/>
          <w:rtl/>
        </w:rPr>
        <w:t xml:space="preserve">صالحي ، ابراهيم بن محمّد- ابن مفلح</w:t>
      </w:r>
    </w:p>
    <w:p>
      <w:pPr>
        <w:pStyle w:val="BookText"/>
      </w:pPr>
      <w:r>
        <w:rPr>
          <w:rFonts w:ascii="IRNazanin" w:hAnsi="IRNazanin" w:eastAsia="IRNazanin" w:cs="IRNazanin"/>
          <w:lang w:bidi="fa-IR"/>
          <w:color w:val="111111"/>
          <w:sz w:val="28"/>
          <w:szCs w:val="28"/>
          <w:rtl/>
        </w:rPr>
        <w:t xml:space="preserve">ابراهيم بن محمّد صالحي ، ابوبكر بن زيد -جراعي ، ابوبكر بن زید</w:t>
      </w:r>
    </w:p>
    <w:p>
      <w:pPr>
        <w:pStyle w:val="BookText"/>
      </w:pPr>
      <w:r>
        <w:rPr>
          <w:rFonts w:ascii="Amiri" w:hAnsi="Amiri" w:eastAsia="Amiri" w:cs="Amiri"/>
          <w:lang w:bidi="ar-SA"/>
          <w:color w:val="111111"/>
          <w:sz w:val="28"/>
          <w:szCs w:val="28"/>
          <w:rtl/>
        </w:rPr>
        <w:t xml:space="preserve">صالحي ، احمد بن محمّد -ابن جباره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صالحي ، ايوب بن احمد- خلوتي ، ايوب</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5386" w:name="_Toc4488"/>
      <w:r>
        <w:t>صالحي دمشقي ، علي بن عثمان</w:t>
      </w:r>
      <w:bookmarkEnd w:id="5386"/>
    </w:p>
    <w:p>
      <w:pPr>
        <w:pStyle w:val="BookText"/>
      </w:pPr>
      <w:r>
        <w:rPr>
          <w:rFonts w:ascii="IRNazanin" w:hAnsi="IRNazanin" w:eastAsia="IRNazanin" w:cs="IRNazanin"/>
          <w:lang w:bidi="fa-IR"/>
          <w:color w:val="111111"/>
          <w:sz w:val="28"/>
          <w:szCs w:val="28"/>
          <w:rtl/>
        </w:rPr>
        <w:t xml:space="preserve">بعض الاحادیث و فوائد أخرى، ج 3،</w:t>
      </w:r>
    </w:p>
    <w:p>
      <w:pPr>
        <w:pStyle w:val="BookText"/>
      </w:pPr>
      <w:r>
        <w:rPr>
          <w:rFonts w:ascii="IRNazanin" w:hAnsi="IRNazanin" w:eastAsia="IRNazanin" w:cs="IRNazanin"/>
          <w:lang w:bidi="fa-IR"/>
          <w:color w:val="111111"/>
          <w:sz w:val="28"/>
          <w:szCs w:val="28"/>
          <w:rtl/>
        </w:rPr>
        <w:t xml:space="preserve">ص 355.</w:t>
      </w:r>
    </w:p>
    <w:p>
      <w:pPr>
        <w:pStyle w:val="BookText"/>
      </w:pPr>
      <w:r>
        <w:rPr>
          <w:rFonts w:ascii="Amiri" w:hAnsi="Amiri" w:eastAsia="Amiri" w:cs="Amiri"/>
          <w:lang w:bidi="ar-SA"/>
          <w:color w:val="111111"/>
          <w:sz w:val="28"/>
          <w:szCs w:val="28"/>
          <w:rtl/>
        </w:rPr>
        <w:t xml:space="preserve">صالحي ، عبد الرحمن بن ابي بكر- ابن داود ، عبدالرحمن بن ابي بكر</w:t>
      </w:r>
    </w:p>
    <w:p>
      <w:pPr>
        <w:pStyle w:val="BookText"/>
      </w:pPr>
      <w:r>
        <w:rPr>
          <w:rFonts w:ascii="Amiri" w:hAnsi="Amiri" w:eastAsia="Amiri" w:cs="Amiri"/>
          <w:lang w:bidi="ar-SA"/>
          <w:color w:val="111111"/>
          <w:sz w:val="28"/>
          <w:szCs w:val="28"/>
          <w:rtl/>
        </w:rPr>
        <w:t xml:space="preserve">صالحي ، عبدالغني بن اسماعيل- نابلسي</w:t>
      </w:r>
    </w:p>
    <w:p>
      <w:pPr>
        <w:pStyle w:val="BookText"/>
      </w:pPr>
      <w:r>
        <w:rPr>
          <w:rFonts w:ascii="Amiri" w:hAnsi="Amiri" w:eastAsia="Amiri" w:cs="Amiri"/>
          <w:lang w:bidi="ar-SA"/>
          <w:color w:val="111111"/>
          <w:sz w:val="28"/>
          <w:szCs w:val="28"/>
          <w:rtl/>
        </w:rPr>
        <w:t xml:space="preserve">عبدالغني بن اسماعيل</w:t>
      </w:r>
    </w:p>
    <w:p>
      <w:pPr>
        <w:pStyle w:val="BookText"/>
      </w:pPr>
      <w:r>
        <w:rPr>
          <w:rFonts w:ascii="Amiri" w:hAnsi="Amiri" w:eastAsia="Amiri" w:cs="Amiri"/>
          <w:lang w:bidi="ar-SA"/>
          <w:color w:val="111111"/>
          <w:sz w:val="28"/>
          <w:szCs w:val="28"/>
          <w:rtl/>
        </w:rPr>
        <w:t xml:space="preserve">صالحي ، عبدالغني بن</w:t>
      </w:r>
    </w:p>
    <w:p>
      <w:pPr>
        <w:pStyle w:val="BookText"/>
      </w:pPr>
      <w:r>
        <w:rPr>
          <w:rFonts w:ascii="Amiri" w:hAnsi="Amiri" w:eastAsia="Amiri" w:cs="Amiri"/>
          <w:lang w:bidi="ar-SA"/>
          <w:color w:val="111111"/>
          <w:sz w:val="28"/>
          <w:szCs w:val="28"/>
          <w:rtl/>
        </w:rPr>
        <w:t xml:space="preserve">عبد الواحد -جماعيلي ، عبدالغني بن</w:t>
      </w:r>
    </w:p>
    <w:p>
      <w:pPr>
        <w:pStyle w:val="BookText"/>
      </w:pPr>
      <w:r>
        <w:rPr>
          <w:rFonts w:ascii="IRNazanin" w:hAnsi="IRNazanin" w:eastAsia="IRNazanin" w:cs="IRNazanin"/>
          <w:lang w:bidi="fa-IR"/>
          <w:color w:val="111111"/>
          <w:sz w:val="28"/>
          <w:szCs w:val="28"/>
          <w:rtl/>
        </w:rPr>
        <w:t xml:space="preserve">عبدالواحد</w:t>
      </w:r>
    </w:p>
    <w:p>
      <w:pPr>
        <w:pStyle w:val="BookText"/>
      </w:pPr>
      <w:r>
        <w:rPr>
          <w:rFonts w:ascii="Amiri" w:hAnsi="Amiri" w:eastAsia="Amiri" w:cs="Amiri"/>
          <w:lang w:bidi="ar-SA"/>
          <w:color w:val="111111"/>
          <w:sz w:val="28"/>
          <w:szCs w:val="28"/>
          <w:rtl/>
        </w:rPr>
        <w:t xml:space="preserve">صالحي ، علي بن عثمان -صالحي دمشقي</w:t>
      </w:r>
    </w:p>
    <w:p>
      <w:pPr>
        <w:pStyle w:val="BookText"/>
      </w:pPr>
      <w:r>
        <w:rPr>
          <w:rFonts w:ascii="Amiri" w:hAnsi="Amiri" w:eastAsia="Amiri" w:cs="Amiri"/>
          <w:lang w:bidi="ar-SA"/>
          <w:color w:val="111111"/>
          <w:sz w:val="28"/>
          <w:szCs w:val="28"/>
          <w:rtl/>
        </w:rPr>
        <w:t xml:space="preserve">علي بن عثمان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63" w:name="pg7742_70653"/>
    <w:bookmarkEnd w:id="663"/>
    <w:p>
      <w:pPr>
        <w:pStyle w:val="BookText"/>
      </w:pPr>
      <w:r>
        <w:rPr>
          <w:rFonts w:ascii="Amiri" w:hAnsi="Amiri" w:eastAsia="Amiri" w:cs="Amiri"/>
          <w:lang w:bidi="ar-SA"/>
          <w:color w:val="111111"/>
          <w:sz w:val="28"/>
          <w:szCs w:val="28"/>
          <w:rtl/>
        </w:rPr>
        <w:t xml:space="preserve">صالحي ، محمّد بن عبد الرحمن- ابن</w:t>
      </w:r>
    </w:p>
    <w:p>
      <w:pPr>
        <w:pStyle w:val="BookText"/>
      </w:pPr>
      <w:r>
        <w:rPr>
          <w:rFonts w:ascii="IRNazanin" w:hAnsi="IRNazanin" w:eastAsia="IRNazanin" w:cs="IRNazanin"/>
          <w:lang w:bidi="fa-IR"/>
          <w:color w:val="111111"/>
          <w:sz w:val="28"/>
          <w:szCs w:val="28"/>
          <w:rtl/>
        </w:rPr>
        <w:t xml:space="preserve">زریق ، محمّد بن عبدالرحمن</w:t>
      </w:r>
    </w:p>
    <w:p>
      <w:pPr>
        <w:pStyle w:val="BookText"/>
      </w:pPr>
      <w:r>
        <w:rPr>
          <w:rFonts w:ascii="Amiri" w:hAnsi="Amiri" w:eastAsia="Amiri" w:cs="Amiri"/>
          <w:lang w:bidi="ar-SA"/>
          <w:color w:val="111111"/>
          <w:sz w:val="28"/>
          <w:szCs w:val="28"/>
          <w:rtl/>
        </w:rPr>
        <w:t xml:space="preserve">صالحي ، محمّد بن محمّد -منبجي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صالحي ، محمّد بن نجم الدين -صالحي</w:t>
      </w:r>
    </w:p>
    <w:p>
      <w:pPr>
        <w:pStyle w:val="BookText"/>
      </w:pPr>
      <w:r>
        <w:rPr>
          <w:rFonts w:ascii="Amiri" w:hAnsi="Amiri" w:eastAsia="Amiri" w:cs="Amiri"/>
          <w:lang w:bidi="ar-SA"/>
          <w:color w:val="111111"/>
          <w:sz w:val="28"/>
          <w:szCs w:val="28"/>
          <w:rtl/>
        </w:rPr>
        <w:t xml:space="preserve">هلالي ، محمّد بن محمّد</w:t>
      </w:r>
    </w:p>
    <w:p>
      <w:pPr>
        <w:pStyle w:val="Heading2"/>
      </w:pPr>
      <w:bookmarkStart w:id="5387" w:name="_Toc4489"/>
      <w:r>
        <w:t>صالحي ، محمّد بن يوسف - 942 ه-</w:t>
      </w:r>
      <w:bookmarkEnd w:id="5387"/>
    </w:p>
    <w:p>
      <w:pPr>
        <w:pStyle w:val="BookText"/>
      </w:pPr>
      <w:r>
        <w:rPr>
          <w:rFonts w:ascii="Amiri" w:hAnsi="Amiri" w:eastAsia="Amiri" w:cs="Amiri"/>
          <w:lang w:bidi="ar-SA"/>
          <w:color w:val="111111"/>
          <w:sz w:val="28"/>
          <w:szCs w:val="28"/>
          <w:rtl/>
        </w:rPr>
        <w:t xml:space="preserve">الآيات العظيمة الباهرة في الأسرى</w:t>
      </w:r>
    </w:p>
    <w:p>
      <w:pPr>
        <w:pStyle w:val="BookText"/>
      </w:pPr>
      <w:r>
        <w:rPr>
          <w:rFonts w:ascii="Amiri" w:hAnsi="Amiri" w:eastAsia="Amiri" w:cs="Amiri"/>
          <w:lang w:bidi="ar-SA"/>
          <w:color w:val="111111"/>
          <w:sz w:val="28"/>
          <w:szCs w:val="28"/>
          <w:rtl/>
        </w:rPr>
        <w:t xml:space="preserve">بسيد (في معراج سيد) اهل الدنيا والاخرة وهو المعراج الكبير، ج 1،</w:t>
      </w:r>
    </w:p>
    <w:p>
      <w:pPr>
        <w:pStyle w:val="BookText"/>
      </w:pPr>
      <w:r>
        <w:rPr>
          <w:rFonts w:ascii="IRNazanin" w:hAnsi="IRNazanin" w:eastAsia="IRNazanin" w:cs="IRNazanin"/>
          <w:lang w:bidi="fa-IR"/>
          <w:color w:val="111111"/>
          <w:sz w:val="28"/>
          <w:szCs w:val="28"/>
          <w:rtl/>
        </w:rPr>
        <w:t xml:space="preserve">ص 76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الرد والانتصار لمذهب سيد فقهاء</w:t>
      </w:r>
    </w:p>
    <w:p>
      <w:pPr>
        <w:pStyle w:val="BookText"/>
      </w:pPr>
      <w:r>
        <w:rPr>
          <w:rFonts w:ascii="Amiri" w:hAnsi="Amiri" w:eastAsia="Amiri" w:cs="Amiri"/>
          <w:lang w:bidi="ar-SA"/>
          <w:color w:val="111111"/>
          <w:sz w:val="28"/>
          <w:szCs w:val="28"/>
          <w:rtl/>
        </w:rPr>
        <w:t xml:space="preserve">الامصار ابي حنيفة، ج 8، ص 116.</w:t>
      </w:r>
    </w:p>
    <w:p>
      <w:pPr>
        <w:pStyle w:val="BookText"/>
      </w:pPr>
      <w:r>
        <w:rPr>
          <w:rFonts w:ascii="Amiri" w:hAnsi="Amiri" w:eastAsia="Amiri" w:cs="Amiri"/>
          <w:lang w:bidi="ar-SA"/>
          <w:color w:val="111111"/>
          <w:sz w:val="28"/>
          <w:szCs w:val="28"/>
          <w:rtl/>
        </w:rPr>
        <w:t xml:space="preserve">3.عقود الجمان في مناقب النعمان</w:t>
      </w:r>
    </w:p>
    <w:p>
      <w:pPr>
        <w:pStyle w:val="BookText"/>
      </w:pPr>
      <w:r>
        <w:rPr>
          <w:rFonts w:ascii="IRNazanin" w:hAnsi="IRNazanin" w:eastAsia="IRNazanin" w:cs="IRNazanin"/>
          <w:lang w:bidi="fa-IR"/>
          <w:color w:val="111111"/>
          <w:sz w:val="28"/>
          <w:szCs w:val="28"/>
          <w:rtl/>
        </w:rPr>
        <w:t xml:space="preserve">ج 11، ص 184.</w:t>
      </w:r>
    </w:p>
    <w:p>
      <w:pPr>
        <w:pStyle w:val="BookText"/>
      </w:pPr>
      <w:r>
        <w:rPr>
          <w:rFonts w:ascii="Amiri" w:hAnsi="Amiri" w:eastAsia="Amiri" w:cs="Amiri"/>
          <w:lang w:bidi="ar-SA"/>
          <w:color w:val="111111"/>
          <w:sz w:val="28"/>
          <w:szCs w:val="28"/>
          <w:rtl/>
        </w:rPr>
        <w:t xml:space="preserve">4 .مزيل اللبس عن حديث رد</w:t>
      </w:r>
    </w:p>
    <w:p>
      <w:pPr>
        <w:pStyle w:val="BookText"/>
      </w:pPr>
      <w:r>
        <w:rPr>
          <w:rFonts w:ascii="IRNazanin" w:hAnsi="IRNazanin" w:eastAsia="IRNazanin" w:cs="IRNazanin"/>
          <w:lang w:bidi="fa-IR"/>
          <w:color w:val="111111"/>
          <w:sz w:val="28"/>
          <w:szCs w:val="28"/>
          <w:rtl/>
        </w:rPr>
        <w:t xml:space="preserve">الشمس، ج 14، ص 427.</w:t>
      </w:r>
    </w:p>
    <w:p>
      <w:pPr>
        <w:pStyle w:val="BookText"/>
      </w:pPr>
      <w:r>
        <w:rPr>
          <w:rFonts w:ascii="Amiri" w:hAnsi="Amiri" w:eastAsia="Amiri" w:cs="Amiri"/>
          <w:lang w:bidi="ar-SA"/>
          <w:color w:val="111111"/>
          <w:sz w:val="28"/>
          <w:szCs w:val="28"/>
          <w:rtl/>
        </w:rPr>
        <w:t xml:space="preserve">صالحي مهلبي ، ابوالفضل زهير بن</w:t>
      </w:r>
    </w:p>
    <w:p>
      <w:pPr>
        <w:pStyle w:val="BookText"/>
      </w:pPr>
      <w:r>
        <w:rPr>
          <w:rFonts w:ascii="Amiri" w:hAnsi="Amiri" w:eastAsia="Amiri" w:cs="Amiri"/>
          <w:lang w:bidi="ar-SA"/>
          <w:color w:val="111111"/>
          <w:sz w:val="28"/>
          <w:szCs w:val="28"/>
          <w:rtl/>
        </w:rPr>
        <w:t xml:space="preserve">محمّد -بهاء زهير ، زهير بن محمّد</w:t>
      </w:r>
    </w:p>
    <w:p>
      <w:pPr>
        <w:pStyle w:val="Heading2"/>
      </w:pPr>
      <w:bookmarkStart w:id="5388" w:name="_Toc4490"/>
      <w:r>
        <w:t>صالحي هلالي ، محمّد بن محمّد، 956 -</w:t>
      </w:r>
      <w:bookmarkEnd w:id="5388"/>
    </w:p>
    <w:p>
      <w:pPr>
        <w:pStyle w:val="BookText"/>
      </w:pPr>
      <w:r>
        <w:rPr>
          <w:rFonts w:ascii="IRNazanin" w:hAnsi="IRNazanin" w:eastAsia="IRNazanin" w:cs="IRNazanin"/>
          <w:lang w:bidi="fa-IR"/>
          <w:color w:val="111111"/>
          <w:sz w:val="28"/>
          <w:szCs w:val="28"/>
          <w:rtl/>
        </w:rPr>
        <w:t xml:space="preserve">1012ه-</w:t>
      </w:r>
    </w:p>
    <w:p>
      <w:pPr>
        <w:pStyle w:val="BookText"/>
      </w:pPr>
      <w:r>
        <w:rPr>
          <w:rFonts w:ascii="Amiri" w:hAnsi="Amiri" w:eastAsia="Amiri" w:cs="Amiri"/>
          <w:lang w:bidi="ar-SA"/>
          <w:color w:val="111111"/>
          <w:sz w:val="28"/>
          <w:szCs w:val="28"/>
          <w:rtl/>
        </w:rPr>
        <w:t xml:space="preserve">1 .سفينة الصالحي، ج8، ص782.</w:t>
      </w:r>
    </w:p>
    <w:p>
      <w:pPr>
        <w:pStyle w:val="BookText"/>
      </w:pPr>
      <w:r>
        <w:rPr>
          <w:rFonts w:ascii="Amiri" w:hAnsi="Amiri" w:eastAsia="Amiri" w:cs="Amiri"/>
          <w:lang w:bidi="ar-SA"/>
          <w:color w:val="111111"/>
          <w:sz w:val="28"/>
          <w:szCs w:val="28"/>
          <w:rtl/>
        </w:rPr>
        <w:t xml:space="preserve">2 .سوانح الافكار والقرائح في غرر الاشعار و المدائح ج8، ص 859.</w:t>
      </w:r>
    </w:p>
    <w:p>
      <w:pPr>
        <w:pStyle w:val="BookText"/>
      </w:pPr>
      <w:r>
        <w:rPr>
          <w:rFonts w:ascii="Amiri" w:hAnsi="Amiri" w:eastAsia="Amiri" w:cs="Amiri"/>
          <w:lang w:bidi="ar-SA"/>
          <w:color w:val="111111"/>
          <w:sz w:val="28"/>
          <w:szCs w:val="28"/>
          <w:rtl/>
        </w:rPr>
        <w:t xml:space="preserve">صالحي ، يوسف بن حسن- ابن مبرد</w:t>
      </w:r>
    </w:p>
    <w:p>
      <w:pPr>
        <w:pStyle w:val="BookText"/>
      </w:pPr>
      <w:r>
        <w:rPr>
          <w:rFonts w:ascii="Amiri" w:hAnsi="Amiri" w:eastAsia="Amiri" w:cs="Amiri"/>
          <w:lang w:bidi="ar-SA"/>
          <w:color w:val="111111"/>
          <w:sz w:val="28"/>
          <w:szCs w:val="28"/>
          <w:rtl/>
        </w:rPr>
        <w:t xml:space="preserve">يوسف بن حسن</w:t>
      </w:r>
    </w:p>
    <w:p>
      <w:pPr>
        <w:pStyle w:val="Heading2"/>
      </w:pPr>
      <w:bookmarkStart w:id="5389" w:name="_Toc4491"/>
      <w:r>
        <w:t>صاوي، احمد بن محمّد، 1175 - 1241 ه-</w:t>
      </w:r>
      <w:bookmarkEnd w:id="5389"/>
    </w:p>
    <w:p>
      <w:pPr>
        <w:pStyle w:val="BookText"/>
      </w:pPr>
      <w:r>
        <w:rPr>
          <w:rFonts w:ascii="Amiri" w:hAnsi="Amiri" w:eastAsia="Amiri" w:cs="Amiri"/>
          <w:lang w:bidi="ar-SA"/>
          <w:color w:val="111111"/>
          <w:sz w:val="28"/>
          <w:szCs w:val="28"/>
          <w:rtl/>
        </w:rPr>
        <w:t xml:space="preserve">1 .حاشية تحفة الاخوان، ج5، ص730.</w:t>
      </w:r>
    </w:p>
    <w:p>
      <w:pPr>
        <w:pStyle w:val="BookText"/>
      </w:pPr>
      <w:r>
        <w:rPr>
          <w:rFonts w:ascii="Amiri" w:hAnsi="Amiri" w:eastAsia="Amiri" w:cs="Amiri"/>
          <w:lang w:bidi="ar-SA"/>
          <w:color w:val="111111"/>
          <w:sz w:val="28"/>
          <w:szCs w:val="28"/>
          <w:rtl/>
        </w:rPr>
        <w:t xml:space="preserve">2 .حاشية جوهرة التوحيد جه،</w:t>
      </w:r>
    </w:p>
    <w:p>
      <w:pPr>
        <w:pStyle w:val="BookText"/>
      </w:pPr>
      <w:r>
        <w:rPr>
          <w:rFonts w:ascii="IRNazanin" w:hAnsi="IRNazanin" w:eastAsia="IRNazanin" w:cs="IRNazanin"/>
          <w:lang w:bidi="fa-IR"/>
          <w:color w:val="111111"/>
          <w:sz w:val="28"/>
          <w:szCs w:val="28"/>
          <w:rtl/>
        </w:rPr>
        <w:t xml:space="preserve">ص 768.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شرح الصلوات، ج9، ص 678.</w:t>
      </w:r>
    </w:p>
    <w:p>
      <w:pPr>
        <w:pStyle w:val="BookText"/>
      </w:pPr>
      <w:r>
        <w:rPr>
          <w:rFonts w:ascii="Amiri" w:hAnsi="Amiri" w:eastAsia="Amiri" w:cs="Amiri"/>
          <w:lang w:bidi="ar-SA"/>
          <w:color w:val="111111"/>
          <w:sz w:val="28"/>
          <w:szCs w:val="28"/>
          <w:rtl/>
        </w:rPr>
        <w:t xml:space="preserve">صايحاني ، ابراهيم بن خليل -صالحاني ،</w:t>
      </w:r>
    </w:p>
    <w:p>
      <w:pPr>
        <w:pStyle w:val="BookText"/>
      </w:pPr>
      <w:r>
        <w:rPr>
          <w:rFonts w:ascii="Amiri" w:hAnsi="Amiri" w:eastAsia="Amiri" w:cs="Amiri"/>
          <w:lang w:bidi="ar-SA"/>
          <w:color w:val="111111"/>
          <w:sz w:val="28"/>
          <w:szCs w:val="28"/>
          <w:rtl/>
        </w:rPr>
        <w:t xml:space="preserve">ابراهيم بن خليل</w:t>
      </w:r>
    </w:p>
    <w:p>
      <w:pPr>
        <w:pStyle w:val="BookText"/>
      </w:pPr>
      <w:r>
        <w:rPr>
          <w:rFonts w:ascii="Amiri" w:hAnsi="Amiri" w:eastAsia="Amiri" w:cs="Amiri"/>
          <w:lang w:bidi="ar-SA"/>
          <w:color w:val="111111"/>
          <w:sz w:val="28"/>
          <w:szCs w:val="28"/>
          <w:rtl/>
        </w:rPr>
        <w:t xml:space="preserve">صاين اصفهاني ، علي بن محمّد -تركه اصفهاني ، علي بن محمّد</w:t>
      </w:r>
    </w:p>
    <w:p>
      <w:pPr>
        <w:pStyle w:val="Heading2"/>
      </w:pPr>
      <w:bookmarkStart w:id="5390" w:name="_Toc4492"/>
      <w:r>
        <w:t>صباغ ، علي بن حسن</w:t>
      </w:r>
      <w:bookmarkEnd w:id="5390"/>
    </w:p>
    <w:p>
      <w:pPr>
        <w:pStyle w:val="BookText"/>
      </w:pPr>
      <w:r>
        <w:rPr>
          <w:rFonts w:ascii="Amiri" w:hAnsi="Amiri" w:eastAsia="Amiri" w:cs="Amiri"/>
          <w:lang w:bidi="ar-SA"/>
          <w:color w:val="111111"/>
          <w:sz w:val="28"/>
          <w:szCs w:val="28"/>
          <w:rtl/>
        </w:rPr>
        <w:t xml:space="preserve">وفاة الامام الحسن بن علي بن ابي</w:t>
      </w:r>
    </w:p>
    <w:p>
      <w:pPr>
        <w:pStyle w:val="BookText"/>
      </w:pPr>
      <w:r>
        <w:rPr>
          <w:rFonts w:ascii="IRNazanin" w:hAnsi="IRNazanin" w:eastAsia="IRNazanin" w:cs="IRNazanin"/>
          <w:lang w:bidi="fa-IR"/>
          <w:color w:val="111111"/>
          <w:sz w:val="28"/>
          <w:szCs w:val="28"/>
          <w:rtl/>
        </w:rPr>
        <w:t xml:space="preserve">طالب، ج 16، ص 844.</w:t>
      </w:r>
    </w:p>
    <w:p>
      <w:pPr>
        <w:pStyle w:val="Heading2"/>
      </w:pPr>
      <w:bookmarkStart w:id="5391" w:name="_Toc4493"/>
      <w:r>
        <w:t>صباغ ، يوحنا بن عبدالاحد</w:t>
      </w:r>
      <w:bookmarkEnd w:id="5391"/>
    </w:p>
    <w:p>
      <w:pPr>
        <w:pStyle w:val="BookText"/>
      </w:pPr>
      <w:r>
        <w:rPr>
          <w:rFonts w:ascii="Amiri" w:hAnsi="Amiri" w:eastAsia="Amiri" w:cs="Amiri"/>
          <w:lang w:bidi="ar-SA"/>
          <w:color w:val="111111"/>
          <w:sz w:val="28"/>
          <w:szCs w:val="28"/>
          <w:rtl/>
        </w:rPr>
        <w:t xml:space="preserve">كتاب سلم المسيح، ج 13، ص 103.</w:t>
      </w:r>
    </w:p>
    <w:p>
      <w:pPr>
        <w:pStyle w:val="Heading2"/>
      </w:pPr>
      <w:bookmarkStart w:id="5392" w:name="_Toc4494"/>
      <w:r>
        <w:t>صبا ، فتحعلي بن محمّد - 1238 ه-</w:t>
      </w:r>
      <w:bookmarkEnd w:id="5392"/>
    </w:p>
    <w:p>
      <w:pPr>
        <w:pStyle w:val="BookText"/>
      </w:pPr>
      <w:r>
        <w:rPr>
          <w:rFonts w:ascii="Amiri" w:hAnsi="Amiri" w:eastAsia="Amiri" w:cs="Amiri"/>
          <w:lang w:bidi="ar-SA"/>
          <w:color w:val="111111"/>
          <w:sz w:val="28"/>
          <w:szCs w:val="28"/>
          <w:rtl/>
        </w:rPr>
        <w:t xml:space="preserve">ديوان صباي كاشاني، ج 7، ص 686 .</w:t>
      </w:r>
    </w:p>
    <w:p>
      <w:pPr>
        <w:pStyle w:val="BookText"/>
      </w:pPr>
      <w:r>
        <w:rPr>
          <w:rFonts w:ascii="Amiri" w:hAnsi="Amiri" w:eastAsia="Amiri" w:cs="Amiri"/>
          <w:lang w:bidi="ar-SA"/>
          <w:color w:val="111111"/>
          <w:sz w:val="28"/>
          <w:szCs w:val="28"/>
          <w:rtl/>
        </w:rPr>
        <w:t xml:space="preserve">صبا ، فتح علي خان - صبا ، فتحعلي بن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صبان ، ابوالعرفان محمّد- صبان ، محمّد</w:t>
      </w:r>
    </w:p>
    <w:p>
      <w:pPr>
        <w:pStyle w:val="BookText"/>
      </w:pPr>
      <w:r>
        <w:rPr>
          <w:rFonts w:ascii="Amiri" w:hAnsi="Amiri" w:eastAsia="Amiri" w:cs="Amiri"/>
          <w:lang w:bidi="ar-SA"/>
          <w:color w:val="111111"/>
          <w:sz w:val="28"/>
          <w:szCs w:val="28"/>
          <w:rtl/>
        </w:rPr>
        <w:t xml:space="preserve">بن علي</w:t>
      </w:r>
    </w:p>
    <w:p>
      <w:pPr>
        <w:pStyle w:val="Heading2"/>
      </w:pPr>
      <w:bookmarkStart w:id="5393" w:name="_Toc4495"/>
      <w:r>
        <w:t>صبان ، محمّد بن علي - 1206ه-</w:t>
      </w:r>
      <w:bookmarkEnd w:id="5393"/>
    </w:p>
    <w:p>
      <w:pPr>
        <w:pStyle w:val="BookText"/>
      </w:pPr>
      <w:r>
        <w:rPr>
          <w:rFonts w:ascii="Amiri" w:hAnsi="Amiri" w:eastAsia="Amiri" w:cs="Amiri"/>
          <w:lang w:bidi="ar-SA"/>
          <w:color w:val="111111"/>
          <w:sz w:val="28"/>
          <w:szCs w:val="28"/>
          <w:rtl/>
        </w:rPr>
        <w:t xml:space="preserve">1.اتحاف اهل الاسلام بما يتعلق</w:t>
      </w:r>
    </w:p>
    <w:p>
      <w:pPr>
        <w:pStyle w:val="BookText"/>
      </w:pPr>
      <w:r>
        <w:rPr>
          <w:rFonts w:ascii="Amiri" w:hAnsi="Amiri" w:eastAsia="Amiri" w:cs="Amiri"/>
          <w:lang w:bidi="ar-SA"/>
          <w:color w:val="111111"/>
          <w:sz w:val="28"/>
          <w:szCs w:val="28"/>
          <w:rtl/>
        </w:rPr>
        <w:t xml:space="preserve">بالمصطفى و أهل بيته الكرام، ج1،</w:t>
      </w:r>
    </w:p>
    <w:p>
      <w:pPr>
        <w:pStyle w:val="BookText"/>
      </w:pPr>
      <w:r>
        <w:rPr>
          <w:rFonts w:ascii="IRNazanin" w:hAnsi="IRNazanin" w:eastAsia="IRNazanin" w:cs="IRNazanin"/>
          <w:lang w:bidi="fa-IR"/>
          <w:color w:val="111111"/>
          <w:sz w:val="28"/>
          <w:szCs w:val="28"/>
          <w:rtl/>
        </w:rPr>
        <w:t xml:space="preserve">ص 127.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64" w:name="pg7742_70654"/>
    <w:bookmarkEnd w:id="664"/>
    <w:p>
      <w:pPr>
        <w:pStyle w:val="BookText"/>
      </w:pPr>
      <w:r>
        <w:rPr>
          <w:rFonts w:ascii="Amiri" w:hAnsi="Amiri" w:eastAsia="Amiri" w:cs="Amiri"/>
          <w:lang w:bidi="ar-SA"/>
          <w:color w:val="111111"/>
          <w:sz w:val="28"/>
          <w:szCs w:val="28"/>
          <w:rtl/>
        </w:rPr>
        <w:t xml:space="preserve">2 .اسعاف الراغبين في سيرة المصطفى و</w:t>
      </w:r>
    </w:p>
    <w:p>
      <w:pPr>
        <w:pStyle w:val="BookText"/>
      </w:pPr>
      <w:r>
        <w:rPr>
          <w:rFonts w:ascii="Amiri" w:hAnsi="Amiri" w:eastAsia="Amiri" w:cs="Amiri"/>
          <w:lang w:bidi="ar-SA"/>
          <w:color w:val="111111"/>
          <w:sz w:val="28"/>
          <w:szCs w:val="28"/>
          <w:rtl/>
        </w:rPr>
        <w:t xml:space="preserve">فضائل أهل بيته الطاهرين، ج 2،</w:t>
      </w:r>
    </w:p>
    <w:p>
      <w:pPr>
        <w:pStyle w:val="BookText"/>
      </w:pPr>
      <w:r>
        <w:rPr>
          <w:rFonts w:ascii="IRNazanin" w:hAnsi="IRNazanin" w:eastAsia="IRNazanin" w:cs="IRNazanin"/>
          <w:lang w:bidi="fa-IR"/>
          <w:color w:val="111111"/>
          <w:sz w:val="28"/>
          <w:szCs w:val="28"/>
          <w:rtl/>
        </w:rPr>
        <w:t xml:space="preserve">ص198.</w:t>
      </w:r>
    </w:p>
    <w:p>
      <w:pPr>
        <w:pStyle w:val="BookText"/>
      </w:pPr>
      <w:r>
        <w:rPr>
          <w:rFonts w:ascii="Amiri" w:hAnsi="Amiri" w:eastAsia="Amiri" w:cs="Amiri"/>
          <w:lang w:bidi="ar-SA"/>
          <w:color w:val="111111"/>
          <w:sz w:val="28"/>
          <w:szCs w:val="28"/>
          <w:rtl/>
        </w:rPr>
        <w:t xml:space="preserve">3 .البسملة والحمد لة، ج3، ص332.</w:t>
      </w:r>
    </w:p>
    <w:p>
      <w:pPr>
        <w:pStyle w:val="BookText"/>
      </w:pPr>
      <w:r>
        <w:rPr>
          <w:rFonts w:ascii="Amiri" w:hAnsi="Amiri" w:eastAsia="Amiri" w:cs="Amiri"/>
          <w:lang w:bidi="ar-SA"/>
          <w:color w:val="111111"/>
          <w:sz w:val="28"/>
          <w:szCs w:val="28"/>
          <w:rtl/>
        </w:rPr>
        <w:t xml:space="preserve">4 .الرسالة الكبرى على البسملة، ج8،</w:t>
      </w:r>
    </w:p>
    <w:p>
      <w:pPr>
        <w:pStyle w:val="BookText"/>
      </w:pPr>
      <w:r>
        <w:rPr>
          <w:rFonts w:ascii="IRNazanin" w:hAnsi="IRNazanin" w:eastAsia="IRNazanin" w:cs="IRNazanin"/>
          <w:lang w:bidi="fa-IR"/>
          <w:color w:val="111111"/>
          <w:sz w:val="28"/>
          <w:szCs w:val="28"/>
          <w:rtl/>
        </w:rPr>
        <w:t xml:space="preserve">ص 252 .</w:t>
      </w:r>
    </w:p>
    <w:p>
      <w:pPr>
        <w:pStyle w:val="BookText"/>
      </w:pPr>
      <w:r>
        <w:rPr>
          <w:rFonts w:ascii="Amiri" w:hAnsi="Amiri" w:eastAsia="Amiri" w:cs="Amiri"/>
          <w:lang w:bidi="ar-SA"/>
          <w:color w:val="111111"/>
          <w:sz w:val="28"/>
          <w:szCs w:val="28"/>
          <w:rtl/>
        </w:rPr>
        <w:t xml:space="preserve">صباي كاشاني، فتحعلي بن محمّد- صبا ،</w:t>
      </w:r>
    </w:p>
    <w:p>
      <w:pPr>
        <w:pStyle w:val="BookText"/>
      </w:pPr>
      <w:r>
        <w:rPr>
          <w:rFonts w:ascii="Amiri" w:hAnsi="Amiri" w:eastAsia="Amiri" w:cs="Amiri"/>
          <w:lang w:bidi="ar-SA"/>
          <w:color w:val="111111"/>
          <w:sz w:val="28"/>
          <w:szCs w:val="28"/>
          <w:rtl/>
        </w:rPr>
        <w:t xml:space="preserve">فتحعلي بن محمّد</w:t>
      </w:r>
    </w:p>
    <w:p>
      <w:pPr>
        <w:pStyle w:val="BookText"/>
      </w:pPr>
      <w:r>
        <w:rPr>
          <w:rFonts w:ascii="IRNazanin" w:hAnsi="IRNazanin" w:eastAsia="IRNazanin" w:cs="IRNazanin"/>
          <w:lang w:bidi="fa-IR"/>
          <w:color w:val="111111"/>
          <w:sz w:val="28"/>
          <w:szCs w:val="28"/>
          <w:rtl/>
        </w:rPr>
        <w:t xml:space="preserve">صبحي -موبد بيدگلي ، عبدالعلي بن محمّد باقر</w:t>
      </w:r>
    </w:p>
    <w:p>
      <w:pPr>
        <w:pStyle w:val="Heading2"/>
      </w:pPr>
      <w:bookmarkStart w:id="5394" w:name="_Toc4496"/>
      <w:r>
        <w:t>صبحي ، محمّد بن خليل - 1183 ه-</w:t>
      </w:r>
      <w:bookmarkEnd w:id="5394"/>
    </w:p>
    <w:p>
      <w:pPr>
        <w:pStyle w:val="BookText"/>
      </w:pPr>
      <w:r>
        <w:rPr>
          <w:rFonts w:ascii="IRNazanin" w:hAnsi="IRNazanin" w:eastAsia="IRNazanin" w:cs="IRNazanin"/>
          <w:lang w:bidi="fa-IR"/>
          <w:color w:val="111111"/>
          <w:sz w:val="28"/>
          <w:szCs w:val="28"/>
          <w:rtl/>
        </w:rPr>
        <w:t xml:space="preserve">تاريخ صبحي = تاریخ سلطان محمود</w:t>
      </w:r>
    </w:p>
    <w:p>
      <w:pPr>
        <w:pStyle w:val="BookText"/>
      </w:pPr>
      <w:r>
        <w:rPr>
          <w:rFonts w:ascii="IRNazanin" w:hAnsi="IRNazanin" w:eastAsia="IRNazanin" w:cs="IRNazanin"/>
          <w:lang w:bidi="fa-IR"/>
          <w:color w:val="111111"/>
          <w:sz w:val="28"/>
          <w:szCs w:val="28"/>
          <w:rtl/>
        </w:rPr>
        <w:t xml:space="preserve">ج 3، ص 579.</w:t>
      </w:r>
    </w:p>
    <w:p>
      <w:pPr>
        <w:pStyle w:val="Heading2"/>
      </w:pPr>
      <w:bookmarkStart w:id="5395" w:name="_Toc4497"/>
      <w:r>
        <w:t>صبري، حسين قرن 14 ه-</w:t>
      </w:r>
      <w:bookmarkEnd w:id="5395"/>
    </w:p>
    <w:p>
      <w:pPr>
        <w:pStyle w:val="BookText"/>
      </w:pPr>
      <w:r>
        <w:rPr>
          <w:rFonts w:ascii="Amiri" w:hAnsi="Amiri" w:eastAsia="Amiri" w:cs="Amiri"/>
          <w:lang w:bidi="ar-SA"/>
          <w:color w:val="111111"/>
          <w:sz w:val="28"/>
          <w:szCs w:val="28"/>
          <w:rtl/>
        </w:rPr>
        <w:t xml:space="preserve">اجازة لحسين عوني نجل الملا عبدالله</w:t>
      </w:r>
    </w:p>
    <w:p>
      <w:pPr>
        <w:pStyle w:val="BookText"/>
      </w:pPr>
      <w:r>
        <w:rPr>
          <w:rFonts w:ascii="Amiri" w:hAnsi="Amiri" w:eastAsia="Amiri" w:cs="Amiri"/>
          <w:lang w:bidi="ar-SA"/>
          <w:color w:val="111111"/>
          <w:sz w:val="28"/>
          <w:szCs w:val="28"/>
          <w:rtl/>
        </w:rPr>
        <w:t xml:space="preserve">افندي، ج 1، ص 241.</w:t>
      </w:r>
    </w:p>
    <w:p>
      <w:pPr>
        <w:pStyle w:val="Heading2"/>
      </w:pPr>
      <w:bookmarkStart w:id="5396" w:name="_Toc4498"/>
      <w:r>
        <w:t>صبري رشيدي ، مصطفی قرن 14 ه-</w:t>
      </w:r>
      <w:bookmarkEnd w:id="5396"/>
    </w:p>
    <w:p>
      <w:pPr>
        <w:pStyle w:val="BookText"/>
      </w:pPr>
      <w:r>
        <w:rPr>
          <w:rFonts w:ascii="Amiri" w:hAnsi="Amiri" w:eastAsia="Amiri" w:cs="Amiri"/>
          <w:lang w:bidi="ar-SA"/>
          <w:color w:val="111111"/>
          <w:sz w:val="28"/>
          <w:szCs w:val="28"/>
          <w:rtl/>
        </w:rPr>
        <w:t xml:space="preserve">ريحانة الاخوان المقطوفة من رياض</w:t>
      </w:r>
    </w:p>
    <w:p>
      <w:pPr>
        <w:pStyle w:val="BookText"/>
      </w:pPr>
      <w:r>
        <w:rPr>
          <w:rFonts w:ascii="IRNazanin" w:hAnsi="IRNazanin" w:eastAsia="IRNazanin" w:cs="IRNazanin"/>
          <w:lang w:bidi="fa-IR"/>
          <w:color w:val="111111"/>
          <w:sz w:val="28"/>
          <w:szCs w:val="28"/>
          <w:rtl/>
        </w:rPr>
        <w:t xml:space="preserve">الجنان، ج 8، ص 518.</w:t>
      </w:r>
    </w:p>
    <w:p>
      <w:pPr>
        <w:pStyle w:val="Heading2"/>
      </w:pPr>
      <w:bookmarkStart w:id="5397" w:name="_Toc4499"/>
      <w:r>
        <w:t>صبري، عباس بن عبدالله قرن 14 ه-</w:t>
      </w:r>
      <w:bookmarkEnd w:id="5397"/>
    </w:p>
    <w:p>
      <w:pPr>
        <w:pStyle w:val="BookText"/>
      </w:pPr>
      <w:r>
        <w:rPr>
          <w:rFonts w:ascii="Amiri" w:hAnsi="Amiri" w:eastAsia="Amiri" w:cs="Amiri"/>
          <w:lang w:bidi="ar-SA"/>
          <w:color w:val="111111"/>
          <w:sz w:val="28"/>
          <w:szCs w:val="28"/>
          <w:rtl/>
        </w:rPr>
        <w:t xml:space="preserve">ديوان الكروي، ج 7، ص 741 .</w:t>
      </w:r>
    </w:p>
    <w:p>
      <w:pPr>
        <w:pStyle w:val="BookText"/>
      </w:pPr>
      <w:r>
        <w:rPr>
          <w:rFonts w:ascii="Amiri" w:hAnsi="Amiri" w:eastAsia="Amiri" w:cs="Amiri"/>
          <w:lang w:bidi="ar-SA"/>
          <w:color w:val="111111"/>
          <w:sz w:val="28"/>
          <w:szCs w:val="28"/>
          <w:rtl/>
        </w:rPr>
        <w:t xml:space="preserve">صبغة الله بن ابراهيم حيدري- حيدري ، صبغة الله بن ابراهيم</w:t>
      </w:r>
    </w:p>
    <w:p>
      <w:pPr>
        <w:pStyle w:val="BookText"/>
      </w:pPr>
      <w:r>
        <w:rPr>
          <w:rFonts w:ascii="Amiri" w:hAnsi="Amiri" w:eastAsia="Amiri" w:cs="Amiri"/>
          <w:lang w:bidi="ar-SA"/>
          <w:color w:val="111111"/>
          <w:sz w:val="28"/>
          <w:szCs w:val="28"/>
          <w:rtl/>
        </w:rPr>
        <w:t xml:space="preserve">صبيري ، محمّد مهدي بن علي- مهجمي ،</w:t>
      </w:r>
    </w:p>
    <w:p>
      <w:pPr>
        <w:pStyle w:val="BookText"/>
      </w:pPr>
      <w:r>
        <w:rPr>
          <w:rFonts w:ascii="Amiri" w:hAnsi="Amiri" w:eastAsia="Amiri" w:cs="Amiri"/>
          <w:lang w:bidi="ar-SA"/>
          <w:color w:val="111111"/>
          <w:sz w:val="28"/>
          <w:szCs w:val="28"/>
          <w:rtl/>
        </w:rPr>
        <w:t xml:space="preserve">محمّد مهدي بن علي</w:t>
      </w:r>
    </w:p>
    <w:p>
      <w:pPr>
        <w:pStyle w:val="BookText"/>
      </w:pPr>
      <w:r>
        <w:rPr>
          <w:rFonts w:ascii="Amiri" w:hAnsi="Amiri" w:eastAsia="Amiri" w:cs="Amiri"/>
          <w:lang w:bidi="ar-SA"/>
          <w:color w:val="111111"/>
          <w:sz w:val="28"/>
          <w:szCs w:val="28"/>
          <w:rtl/>
        </w:rPr>
        <w:t xml:space="preserve">صبيري يمني ، مهدي بن علي- مهجمي محمّد مهدي بن علي</w:t>
      </w:r>
    </w:p>
    <w:p>
      <w:pPr>
        <w:pStyle w:val="BookText"/>
      </w:pPr>
      <w:r>
        <w:rPr>
          <w:rFonts w:ascii="Amiri" w:hAnsi="Amiri" w:eastAsia="Amiri" w:cs="Amiri"/>
          <w:lang w:bidi="ar-SA"/>
          <w:color w:val="111111"/>
          <w:sz w:val="28"/>
          <w:szCs w:val="28"/>
          <w:rtl/>
        </w:rPr>
        <w:t xml:space="preserve">صبغة الله بن جعفر كشفي بروجردي- دارابي، صبغة الله بن جعفر</w:t>
      </w:r>
    </w:p>
    <w:p>
      <w:pPr>
        <w:pStyle w:val="BookText"/>
      </w:pPr>
      <w:r>
        <w:rPr>
          <w:rFonts w:ascii="Amiri" w:hAnsi="Amiri" w:eastAsia="Amiri" w:cs="Amiri"/>
          <w:lang w:bidi="ar-SA"/>
          <w:color w:val="111111"/>
          <w:sz w:val="28"/>
          <w:szCs w:val="28"/>
          <w:rtl/>
        </w:rPr>
        <w:t xml:space="preserve">صبغة الله بن جعفر موسوي نجفي موسوي نجفي ، صبغة الله بن جعفر</w:t>
      </w:r>
    </w:p>
    <w:p>
      <w:pPr>
        <w:pStyle w:val="BookText"/>
      </w:pPr>
      <w:r>
        <w:rPr>
          <w:rFonts w:ascii="Amiri" w:hAnsi="Amiri" w:eastAsia="Amiri" w:cs="Amiri"/>
          <w:lang w:bidi="ar-SA"/>
          <w:color w:val="111111"/>
          <w:sz w:val="28"/>
          <w:szCs w:val="28"/>
          <w:rtl/>
        </w:rPr>
        <w:t xml:space="preserve">صبغة الله بن روح الله بروجي</w:t>
      </w:r>
    </w:p>
    <w:p>
      <w:pPr>
        <w:pStyle w:val="BookText"/>
      </w:pPr>
      <w:r>
        <w:rPr>
          <w:rFonts w:ascii="Amiri" w:hAnsi="Amiri" w:eastAsia="Amiri" w:cs="Amiri"/>
          <w:lang w:bidi="ar-SA"/>
          <w:color w:val="111111"/>
          <w:sz w:val="28"/>
          <w:szCs w:val="28"/>
          <w:rtl/>
        </w:rPr>
        <w:t xml:space="preserve">هندي -بروجي هندي ، صبغة الله بن روح</w:t>
      </w:r>
    </w:p>
    <w:p>
      <w:pPr>
        <w:pStyle w:val="BookText"/>
      </w:pPr>
      <w:r>
        <w:rPr>
          <w:rFonts w:ascii="Amiri" w:hAnsi="Amiri" w:eastAsia="Amiri" w:cs="Amiri"/>
          <w:lang w:bidi="ar-SA"/>
          <w:color w:val="111111"/>
          <w:sz w:val="28"/>
          <w:szCs w:val="28"/>
          <w:rtl/>
        </w:rPr>
        <w:t xml:space="preserve">صبغة الله شهرزوري خيالي - شهرزوري ،</w:t>
      </w:r>
    </w:p>
    <w:p>
      <w:pPr>
        <w:pStyle w:val="BookText"/>
      </w:pPr>
      <w:r>
        <w:rPr>
          <w:rFonts w:ascii="Amiri" w:hAnsi="Amiri" w:eastAsia="Amiri" w:cs="Amiri"/>
          <w:lang w:bidi="ar-SA"/>
          <w:color w:val="111111"/>
          <w:sz w:val="28"/>
          <w:szCs w:val="28"/>
          <w:rtl/>
        </w:rPr>
        <w:t xml:space="preserve">صبغة الله</w:t>
      </w:r>
    </w:p>
    <w:p>
      <w:pPr>
        <w:pStyle w:val="BookText"/>
      </w:pPr>
      <w:r>
        <w:rPr>
          <w:rFonts w:ascii="Amiri" w:hAnsi="Amiri" w:eastAsia="Amiri" w:cs="Amiri"/>
          <w:lang w:bidi="ar-SA"/>
          <w:color w:val="111111"/>
          <w:sz w:val="28"/>
          <w:szCs w:val="28"/>
          <w:rtl/>
        </w:rPr>
        <w:t xml:space="preserve">صبنري ، محمّد مهدي بن علي- مهجمي</w:t>
      </w:r>
    </w:p>
    <w:p>
      <w:pPr>
        <w:pStyle w:val="BookText"/>
      </w:pPr>
      <w:r>
        <w:rPr>
          <w:rFonts w:ascii="Amiri" w:hAnsi="Amiri" w:eastAsia="Amiri" w:cs="Amiri"/>
          <w:lang w:bidi="ar-SA"/>
          <w:color w:val="111111"/>
          <w:sz w:val="28"/>
          <w:szCs w:val="28"/>
          <w:rtl/>
        </w:rPr>
        <w:t xml:space="preserve">محمّد مهدي بن علي</w:t>
      </w:r>
    </w:p>
    <w:p>
      <w:pPr>
        <w:pStyle w:val="BookText"/>
      </w:pPr>
      <w:r>
        <w:rPr>
          <w:rFonts w:ascii="Amiri" w:hAnsi="Amiri" w:eastAsia="Amiri" w:cs="Amiri"/>
          <w:lang w:bidi="ar-SA"/>
          <w:color w:val="111111"/>
          <w:sz w:val="28"/>
          <w:szCs w:val="28"/>
          <w:rtl/>
        </w:rPr>
        <w:t xml:space="preserve">صبيان ، محمّد بن علي -صبان ، محمّد بن علي</w:t>
      </w:r>
    </w:p>
    <w:p>
      <w:pPr>
        <w:pStyle w:val="BookText"/>
      </w:pPr>
      <w:r>
        <w:rPr>
          <w:rFonts w:ascii="Amiri" w:hAnsi="Amiri" w:eastAsia="Amiri" w:cs="Amiri"/>
          <w:lang w:bidi="ar-SA"/>
          <w:color w:val="111111"/>
          <w:sz w:val="28"/>
          <w:szCs w:val="28"/>
          <w:rtl/>
        </w:rPr>
        <w:t xml:space="preserve">صحاري ، سلمة بن مسلم- عويني ، سلمة</w:t>
      </w:r>
    </w:p>
    <w:p>
      <w:pPr>
        <w:pStyle w:val="BookText"/>
      </w:pPr>
      <w:r>
        <w:rPr>
          <w:rFonts w:ascii="IRNazanin" w:hAnsi="IRNazanin" w:eastAsia="IRNazanin" w:cs="IRNazanin"/>
          <w:lang w:bidi="fa-IR"/>
          <w:color w:val="111111"/>
          <w:sz w:val="28"/>
          <w:szCs w:val="28"/>
          <w:rtl/>
        </w:rPr>
        <w:t xml:space="preserve">بن مسلم</w:t>
      </w:r>
    </w:p>
    <w:p>
      <w:pPr>
        <w:pStyle w:val="BookText"/>
      </w:pPr>
      <w:r>
        <w:rPr>
          <w:rFonts w:ascii="Amiri" w:hAnsi="Amiri" w:eastAsia="Amiri" w:cs="Amiri"/>
          <w:lang w:bidi="ar-SA"/>
          <w:color w:val="111111"/>
          <w:sz w:val="28"/>
          <w:szCs w:val="28"/>
          <w:rtl/>
        </w:rPr>
        <w:t xml:space="preserve">صحاف ، مهدي بن محمّد -اسدي صحاف</w:t>
      </w:r>
    </w:p>
    <w:p>
      <w:pPr>
        <w:pStyle w:val="BookText"/>
      </w:pPr>
      <w:r>
        <w:rPr>
          <w:rFonts w:ascii="Amiri" w:hAnsi="Amiri" w:eastAsia="Amiri" w:cs="Amiri"/>
          <w:lang w:bidi="ar-SA"/>
          <w:color w:val="111111"/>
          <w:sz w:val="28"/>
          <w:szCs w:val="28"/>
          <w:rtl/>
        </w:rPr>
        <w:t xml:space="preserve">، مهدي بن محمّد</w:t>
      </w:r>
    </w:p>
    <w:p>
      <w:pPr>
        <w:pStyle w:val="BookText"/>
      </w:pPr>
      <w:r>
        <w:rPr>
          <w:rFonts w:ascii="IRNazanin" w:hAnsi="IRNazanin" w:eastAsia="IRNazanin" w:cs="IRNazanin"/>
          <w:lang w:bidi="fa-IR"/>
          <w:color w:val="111111"/>
          <w:sz w:val="28"/>
          <w:szCs w:val="28"/>
          <w:rtl/>
        </w:rPr>
        <w:t xml:space="preserve">صدر اسفرايني ، محمّد بن زنگي- شعيبي اسفرايني ، محمّد بن زنگي</w:t>
      </w:r>
    </w:p>
    <w:p>
      <w:pPr>
        <w:pStyle w:val="BookText"/>
      </w:pPr>
      <w:r>
        <w:rPr>
          <w:rFonts w:ascii="IRNazanin" w:hAnsi="IRNazanin" w:eastAsia="IRNazanin" w:cs="IRNazanin"/>
          <w:lang w:bidi="fa-IR"/>
          <w:color w:val="111111"/>
          <w:sz w:val="28"/>
          <w:szCs w:val="28"/>
          <w:rtl/>
        </w:rPr>
        <w:t xml:space="preserve">صدرا ، ابراهیم بن محمّد- شيرازي محمّد ابراهیم بن ملاصدرا</w:t>
      </w:r>
    </w:p>
    <w:p>
      <w:pPr>
        <w:pStyle w:val="BookText"/>
      </w:pPr>
      <w:r>
        <w:rPr>
          <w:rFonts w:ascii="IRNazanin" w:hAnsi="IRNazanin" w:eastAsia="IRNazanin" w:cs="IRNazanin"/>
          <w:lang w:bidi="fa-IR"/>
          <w:color w:val="111111"/>
          <w:sz w:val="28"/>
          <w:szCs w:val="28"/>
          <w:rtl/>
        </w:rPr>
        <w:t xml:space="preserve">صدر ، اسماعیل صدر اصفهاني، اسماعيل بن صدرالدین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65" w:name="pg7742_70655"/>
    <w:bookmarkEnd w:id="665"/>
    <w:p>
      <w:pPr>
        <w:pStyle w:val="Heading2"/>
      </w:pPr>
      <w:bookmarkStart w:id="5398" w:name="_Toc4500"/>
      <w:r>
        <w:t>صدر ، اسماعیل 1921 - 1969 م</w:t>
      </w:r>
      <w:bookmarkEnd w:id="5398"/>
    </w:p>
    <w:p>
      <w:pPr>
        <w:pStyle w:val="BookText"/>
      </w:pPr>
      <w:r>
        <w:rPr>
          <w:rFonts w:ascii="Amiri" w:hAnsi="Amiri" w:eastAsia="Amiri" w:cs="Amiri"/>
          <w:lang w:bidi="ar-SA"/>
          <w:color w:val="111111"/>
          <w:sz w:val="28"/>
          <w:szCs w:val="28"/>
          <w:rtl/>
        </w:rPr>
        <w:t xml:space="preserve">تقرير أبحاث الصدر، ج4، ص 734.</w:t>
      </w:r>
    </w:p>
    <w:p>
      <w:pPr>
        <w:pStyle w:val="Heading2"/>
      </w:pPr>
      <w:bookmarkStart w:id="5399" w:name="_Toc4501"/>
      <w:r>
        <w:t>صدر اصفهاني، اسماعيل بن صدرالدین</w:t>
      </w:r>
      <w:bookmarkEnd w:id="5399"/>
    </w:p>
    <w:p>
      <w:pPr>
        <w:pStyle w:val="BookText"/>
      </w:pPr>
      <w:r>
        <w:rPr>
          <w:rFonts w:ascii="IRNazanin" w:hAnsi="IRNazanin" w:eastAsia="IRNazanin" w:cs="IRNazanin"/>
          <w:lang w:bidi="fa-IR"/>
          <w:color w:val="111111"/>
          <w:sz w:val="28"/>
          <w:szCs w:val="28"/>
          <w:rtl/>
        </w:rPr>
        <w:t xml:space="preserve">1256 - 1337 ه-</w:t>
      </w:r>
    </w:p>
    <w:p>
      <w:pPr>
        <w:pStyle w:val="BookText"/>
      </w:pPr>
      <w:r>
        <w:rPr>
          <w:rFonts w:ascii="Amiri" w:hAnsi="Amiri" w:eastAsia="Amiri" w:cs="Amiri"/>
          <w:lang w:bidi="ar-SA"/>
          <w:color w:val="111111"/>
          <w:sz w:val="28"/>
          <w:szCs w:val="28"/>
          <w:rtl/>
        </w:rPr>
        <w:t xml:space="preserve">اجازة لثقة الاسلام الساروي، ج1،</w:t>
      </w:r>
    </w:p>
    <w:p>
      <w:pPr>
        <w:pStyle w:val="BookText"/>
      </w:pPr>
      <w:r>
        <w:rPr>
          <w:rFonts w:ascii="IRNazanin" w:hAnsi="IRNazanin" w:eastAsia="IRNazanin" w:cs="IRNazanin"/>
          <w:lang w:bidi="fa-IR"/>
          <w:color w:val="111111"/>
          <w:sz w:val="28"/>
          <w:szCs w:val="28"/>
          <w:rtl/>
        </w:rPr>
        <w:t xml:space="preserve">ص238.</w:t>
      </w:r>
    </w:p>
    <w:p>
      <w:pPr>
        <w:pStyle w:val="Heading2"/>
      </w:pPr>
      <w:bookmarkStart w:id="5400" w:name="_Toc4502"/>
      <w:r>
        <w:t>صدر الدین</w:t>
      </w:r>
      <w:bookmarkEnd w:id="5400"/>
    </w:p>
    <w:p>
      <w:pPr>
        <w:pStyle w:val="BookText"/>
      </w:pPr>
      <w:r>
        <w:rPr>
          <w:rFonts w:ascii="Amiri" w:hAnsi="Amiri" w:eastAsia="Amiri" w:cs="Amiri"/>
          <w:lang w:bidi="ar-SA"/>
          <w:color w:val="111111"/>
          <w:sz w:val="28"/>
          <w:szCs w:val="28"/>
          <w:rtl/>
        </w:rPr>
        <w:t xml:space="preserve">كشف الاسرار الشذور في شرح رسالة</w:t>
      </w:r>
    </w:p>
    <w:p>
      <w:pPr>
        <w:pStyle w:val="BookText"/>
      </w:pPr>
      <w:r>
        <w:rPr>
          <w:rFonts w:ascii="Amiri" w:hAnsi="Amiri" w:eastAsia="Amiri" w:cs="Amiri"/>
          <w:lang w:bidi="ar-SA"/>
          <w:color w:val="111111"/>
          <w:sz w:val="28"/>
          <w:szCs w:val="28"/>
          <w:rtl/>
        </w:rPr>
        <w:t xml:space="preserve">حسين المنصور = شرح حروف التأثير</w:t>
      </w:r>
    </w:p>
    <w:p>
      <w:pPr>
        <w:pStyle w:val="BookText"/>
      </w:pPr>
      <w:r>
        <w:rPr>
          <w:rFonts w:ascii="IRNazanin" w:hAnsi="IRNazanin" w:eastAsia="IRNazanin" w:cs="IRNazanin"/>
          <w:lang w:bidi="fa-IR"/>
          <w:color w:val="111111"/>
          <w:sz w:val="28"/>
          <w:szCs w:val="28"/>
          <w:rtl/>
        </w:rPr>
        <w:t xml:space="preserve">ج 13، ص 185.</w:t>
      </w:r>
    </w:p>
    <w:p>
      <w:pPr>
        <w:pStyle w:val="BookText"/>
      </w:pPr>
      <w:r>
        <w:rPr>
          <w:rFonts w:ascii="IRNazanin" w:hAnsi="IRNazanin" w:eastAsia="IRNazanin" w:cs="IRNazanin"/>
          <w:lang w:bidi="fa-IR"/>
          <w:color w:val="111111"/>
          <w:sz w:val="28"/>
          <w:szCs w:val="28"/>
          <w:rtl/>
        </w:rPr>
        <w:t xml:space="preserve">صدر الدین ادریس بن عبدالله</w:t>
      </w:r>
    </w:p>
    <w:p>
      <w:pPr>
        <w:pStyle w:val="BookText"/>
      </w:pPr>
      <w:r>
        <w:rPr>
          <w:rFonts w:ascii="Amiri" w:hAnsi="Amiri" w:eastAsia="Amiri" w:cs="Amiri"/>
          <w:lang w:bidi="ar-SA"/>
          <w:color w:val="111111"/>
          <w:sz w:val="28"/>
          <w:szCs w:val="28"/>
          <w:rtl/>
        </w:rPr>
        <w:t xml:space="preserve">تركماني- تركماني ، ادريس بن بيدكين</w:t>
      </w:r>
    </w:p>
    <w:p>
      <w:pPr>
        <w:pStyle w:val="BookText"/>
      </w:pPr>
      <w:r>
        <w:rPr>
          <w:rFonts w:ascii="IRNazanin" w:hAnsi="IRNazanin" w:eastAsia="IRNazanin" w:cs="IRNazanin"/>
          <w:lang w:bidi="fa-IR"/>
          <w:color w:val="111111"/>
          <w:sz w:val="28"/>
          <w:szCs w:val="28"/>
          <w:rtl/>
        </w:rPr>
        <w:t xml:space="preserve">صدرالدین بن بدرالدين رشتي- رشتي ،</w:t>
      </w:r>
    </w:p>
    <w:p>
      <w:pPr>
        <w:pStyle w:val="BookText"/>
      </w:pPr>
      <w:r>
        <w:rPr>
          <w:rFonts w:ascii="Amiri" w:hAnsi="Amiri" w:eastAsia="Amiri" w:cs="Amiri"/>
          <w:lang w:bidi="ar-SA"/>
          <w:color w:val="111111"/>
          <w:sz w:val="28"/>
          <w:szCs w:val="28"/>
          <w:rtl/>
        </w:rPr>
        <w:t xml:space="preserve">صدر الدين بن بدرالدين</w:t>
      </w:r>
    </w:p>
    <w:p>
      <w:pPr>
        <w:pStyle w:val="BookText"/>
      </w:pPr>
      <w:r>
        <w:rPr>
          <w:rFonts w:ascii="Amiri" w:hAnsi="Amiri" w:eastAsia="Amiri" w:cs="Amiri"/>
          <w:lang w:bidi="ar-SA"/>
          <w:color w:val="111111"/>
          <w:sz w:val="28"/>
          <w:szCs w:val="28"/>
          <w:rtl/>
        </w:rPr>
        <w:t xml:space="preserve">صدر الدين بن صالح عاملي اصفهاني - عاملي اصفهاني ، محمّد بن صالح</w:t>
      </w:r>
    </w:p>
    <w:p>
      <w:pPr>
        <w:pStyle w:val="BookText"/>
      </w:pPr>
      <w:r>
        <w:rPr>
          <w:rFonts w:ascii="IRNazanin" w:hAnsi="IRNazanin" w:eastAsia="IRNazanin" w:cs="IRNazanin"/>
          <w:lang w:bidi="fa-IR"/>
          <w:color w:val="111111"/>
          <w:sz w:val="28"/>
          <w:szCs w:val="28"/>
          <w:rtl/>
        </w:rPr>
        <w:t xml:space="preserve">صدرالدین بن محمّد باقر دزفولي- كاشف</w:t>
      </w:r>
    </w:p>
    <w:p>
      <w:pPr>
        <w:pStyle w:val="BookText"/>
      </w:pPr>
      <w:r>
        <w:rPr>
          <w:rFonts w:ascii="IRNazanin" w:hAnsi="IRNazanin" w:eastAsia="IRNazanin" w:cs="IRNazanin"/>
          <w:lang w:bidi="fa-IR"/>
          <w:color w:val="111111"/>
          <w:sz w:val="28"/>
          <w:szCs w:val="28"/>
          <w:rtl/>
        </w:rPr>
        <w:t xml:space="preserve">دزفولي ، صدرالدین بن محمّد باقر</w:t>
      </w:r>
    </w:p>
    <w:p>
      <w:pPr>
        <w:pStyle w:val="Heading2"/>
      </w:pPr>
      <w:bookmarkStart w:id="5401" w:name="_Toc4503"/>
      <w:r>
        <w:t>صدر الدين تبريزي ، حسن بن محمّد</w:t>
      </w:r>
      <w:bookmarkEnd w:id="5401"/>
    </w:p>
    <w:p>
      <w:pPr>
        <w:pStyle w:val="BookText"/>
      </w:pPr>
      <w:r>
        <w:rPr>
          <w:rFonts w:ascii="IRNazanin" w:hAnsi="IRNazanin" w:eastAsia="IRNazanin" w:cs="IRNazanin"/>
          <w:lang w:bidi="fa-IR"/>
          <w:color w:val="111111"/>
          <w:sz w:val="28"/>
          <w:szCs w:val="28"/>
          <w:rtl/>
        </w:rPr>
        <w:t xml:space="preserve">مجمع الفوائد و مطلع الفرائد، ج13</w:t>
      </w:r>
    </w:p>
    <w:p>
      <w:pPr>
        <w:pStyle w:val="BookText"/>
      </w:pPr>
      <w:r>
        <w:rPr>
          <w:rFonts w:ascii="IRNazanin" w:hAnsi="IRNazanin" w:eastAsia="IRNazanin" w:cs="IRNazanin"/>
          <w:lang w:bidi="fa-IR"/>
          <w:color w:val="111111"/>
          <w:sz w:val="28"/>
          <w:szCs w:val="28"/>
          <w:rtl/>
        </w:rPr>
        <w:t xml:space="preserve">ص 861.</w:t>
      </w:r>
    </w:p>
    <w:p>
      <w:pPr>
        <w:pStyle w:val="Heading2"/>
      </w:pPr>
      <w:bookmarkStart w:id="5402" w:name="_Toc4504"/>
      <w:r>
        <w:t>صدر الدين تبريزي ، محمّد بن محب علي</w:t>
      </w:r>
      <w:bookmarkEnd w:id="5402"/>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آداب عباسي = ترجمه مفتاح الفلاح</w:t>
      </w:r>
    </w:p>
    <w:p>
      <w:pPr>
        <w:pStyle w:val="BookText"/>
      </w:pPr>
      <w:r>
        <w:rPr>
          <w:rFonts w:ascii="IRNazanin" w:hAnsi="IRNazanin" w:eastAsia="IRNazanin" w:cs="IRNazanin"/>
          <w:lang w:bidi="fa-IR"/>
          <w:color w:val="111111"/>
          <w:sz w:val="28"/>
          <w:szCs w:val="28"/>
          <w:rtl/>
        </w:rPr>
        <w:t xml:space="preserve">ج 1، ص 47.</w:t>
      </w:r>
    </w:p>
    <w:p>
      <w:pPr>
        <w:pStyle w:val="BookText"/>
      </w:pPr>
      <w:r>
        <w:rPr>
          <w:rFonts w:ascii="Amiri" w:hAnsi="Amiri" w:eastAsia="Amiri" w:cs="Amiri"/>
          <w:lang w:bidi="ar-SA"/>
          <w:color w:val="111111"/>
          <w:sz w:val="28"/>
          <w:szCs w:val="28"/>
          <w:rtl/>
        </w:rPr>
        <w:t xml:space="preserve">صدر الدين ثاني - دشتكي شيرازي</w:t>
      </w:r>
    </w:p>
    <w:p>
      <w:pPr>
        <w:pStyle w:val="BookText"/>
      </w:pPr>
      <w:r>
        <w:rPr>
          <w:rFonts w:ascii="Amiri" w:hAnsi="Amiri" w:eastAsia="Amiri" w:cs="Amiri"/>
          <w:lang w:bidi="ar-SA"/>
          <w:color w:val="111111"/>
          <w:sz w:val="28"/>
          <w:szCs w:val="28"/>
          <w:rtl/>
        </w:rPr>
        <w:t xml:space="preserve">صدر الدين ثاني محمّد بن منصور</w:t>
      </w:r>
    </w:p>
    <w:p>
      <w:pPr>
        <w:pStyle w:val="BookText"/>
      </w:pPr>
      <w:r>
        <w:rPr>
          <w:rFonts w:ascii="IRNazanin" w:hAnsi="IRNazanin" w:eastAsia="IRNazanin" w:cs="IRNazanin"/>
          <w:lang w:bidi="fa-IR"/>
          <w:color w:val="111111"/>
          <w:sz w:val="28"/>
          <w:szCs w:val="28"/>
          <w:rtl/>
        </w:rPr>
        <w:t xml:space="preserve">صدر الدين حسيني ، محمّد بن یوسف -گیسو دراز ، محمّد بن یوسف</w:t>
      </w:r>
    </w:p>
    <w:p>
      <w:pPr>
        <w:pStyle w:val="BookText"/>
      </w:pPr>
      <w:r>
        <w:rPr>
          <w:rFonts w:ascii="Amiri" w:hAnsi="Amiri" w:eastAsia="Amiri" w:cs="Amiri"/>
          <w:lang w:bidi="ar-SA"/>
          <w:color w:val="111111"/>
          <w:sz w:val="28"/>
          <w:szCs w:val="28"/>
          <w:rtl/>
        </w:rPr>
        <w:t xml:space="preserve">صدر الدين دشتكي ثاني -دشتكي شيرازي ،</w:t>
      </w:r>
    </w:p>
    <w:p>
      <w:pPr>
        <w:pStyle w:val="BookText"/>
      </w:pPr>
      <w:r>
        <w:rPr>
          <w:rFonts w:ascii="Amiri" w:hAnsi="Amiri" w:eastAsia="Amiri" w:cs="Amiri"/>
          <w:lang w:bidi="ar-SA"/>
          <w:color w:val="111111"/>
          <w:sz w:val="28"/>
          <w:szCs w:val="28"/>
          <w:rtl/>
        </w:rPr>
        <w:t xml:space="preserve">صدر الدين ثاني محمّد بن منصور</w:t>
      </w:r>
    </w:p>
    <w:p>
      <w:pPr>
        <w:pStyle w:val="BookText"/>
      </w:pPr>
      <w:r>
        <w:rPr>
          <w:rFonts w:ascii="Amiri" w:hAnsi="Amiri" w:eastAsia="Amiri" w:cs="Amiri"/>
          <w:lang w:bidi="ar-SA"/>
          <w:color w:val="111111"/>
          <w:sz w:val="28"/>
          <w:szCs w:val="28"/>
          <w:rtl/>
        </w:rPr>
        <w:t xml:space="preserve">صدرالدين دشتكي ، علي بن احمد- مدني ،</w:t>
      </w:r>
    </w:p>
    <w:p>
      <w:pPr>
        <w:pStyle w:val="BookText"/>
      </w:pPr>
      <w:r>
        <w:rPr>
          <w:rFonts w:ascii="Amiri" w:hAnsi="Amiri" w:eastAsia="Amiri" w:cs="Amiri"/>
          <w:lang w:bidi="ar-SA"/>
          <w:color w:val="111111"/>
          <w:sz w:val="28"/>
          <w:szCs w:val="28"/>
          <w:rtl/>
        </w:rPr>
        <w:t xml:space="preserve">علي خان بن احمد</w:t>
      </w:r>
    </w:p>
    <w:p>
      <w:pPr>
        <w:pStyle w:val="BookText"/>
      </w:pPr>
      <w:r>
        <w:rPr>
          <w:rFonts w:ascii="Amiri" w:hAnsi="Amiri" w:eastAsia="Amiri" w:cs="Amiri"/>
          <w:lang w:bidi="ar-SA"/>
          <w:color w:val="111111"/>
          <w:sz w:val="28"/>
          <w:szCs w:val="28"/>
          <w:rtl/>
        </w:rPr>
        <w:t xml:space="preserve">صدر الدين دشتكي ، محمّد بن ابراهيم- دشتكي شيرازي ، مير صدرالدين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صدر الدين رضوي قمي -رضوي قمي ،</w:t>
      </w:r>
    </w:p>
    <w:p>
      <w:pPr>
        <w:pStyle w:val="BookText"/>
      </w:pPr>
      <w:r>
        <w:rPr>
          <w:rFonts w:ascii="Amiri" w:hAnsi="Amiri" w:eastAsia="Amiri" w:cs="Amiri"/>
          <w:lang w:bidi="ar-SA"/>
          <w:color w:val="111111"/>
          <w:sz w:val="28"/>
          <w:szCs w:val="28"/>
          <w:rtl/>
        </w:rPr>
        <w:t xml:space="preserve">محمّد بن محمّد باقر</w:t>
      </w:r>
    </w:p>
    <w:p>
      <w:pPr>
        <w:pStyle w:val="BookText"/>
      </w:pPr>
      <w:r>
        <w:rPr>
          <w:rFonts w:ascii="Amiri" w:hAnsi="Amiri" w:eastAsia="Amiri" w:cs="Amiri"/>
          <w:lang w:bidi="ar-SA"/>
          <w:color w:val="111111"/>
          <w:sz w:val="28"/>
          <w:szCs w:val="28"/>
          <w:rtl/>
        </w:rPr>
        <w:t xml:space="preserve">صدرالدين رضوي ، محمّد بن محمّد باقر-رضوي قمي ، محمّد بن محمّد باقر</w:t>
      </w:r>
    </w:p>
    <w:p>
      <w:pPr>
        <w:pStyle w:val="Heading2"/>
      </w:pPr>
      <w:bookmarkStart w:id="5403" w:name="_Toc4505"/>
      <w:r>
        <w:t>صدر الدين شيرازي ، محمّد بن ابراهيم</w:t>
      </w:r>
      <w:bookmarkEnd w:id="5403"/>
    </w:p>
    <w:p>
      <w:pPr>
        <w:pStyle w:val="BookText"/>
      </w:pPr>
      <w:r>
        <w:rPr>
          <w:rFonts w:ascii="IRNazanin" w:hAnsi="IRNazanin" w:eastAsia="IRNazanin" w:cs="IRNazanin"/>
          <w:lang w:bidi="fa-IR"/>
          <w:color w:val="111111"/>
          <w:sz w:val="28"/>
          <w:szCs w:val="28"/>
          <w:rtl/>
        </w:rPr>
        <w:t xml:space="preserve">979 - 1050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اتحاد العاقل و المعقول، ج1،</w:t>
      </w:r>
    </w:p>
    <w:p>
      <w:pPr>
        <w:pStyle w:val="BookText"/>
      </w:pPr>
      <w:r>
        <w:rPr>
          <w:rFonts w:ascii="IRNazanin" w:hAnsi="IRNazanin" w:eastAsia="IRNazanin" w:cs="IRNazanin"/>
          <w:lang w:bidi="fa-IR"/>
          <w:color w:val="111111"/>
          <w:sz w:val="28"/>
          <w:szCs w:val="28"/>
          <w:rtl/>
        </w:rPr>
        <w:t xml:space="preserve">ص 122.</w:t>
      </w:r>
    </w:p>
    <w:p>
      <w:pPr>
        <w:pStyle w:val="BookText"/>
      </w:pPr>
      <w:r>
        <w:rPr>
          <w:rFonts w:ascii="Amiri" w:hAnsi="Amiri" w:eastAsia="Amiri" w:cs="Amiri"/>
          <w:lang w:bidi="ar-SA"/>
          <w:color w:val="111111"/>
          <w:sz w:val="28"/>
          <w:szCs w:val="28"/>
          <w:rtl/>
        </w:rPr>
        <w:t xml:space="preserve">2 .اتصاف الماهية بالوجود = مفهوم</w:t>
      </w:r>
    </w:p>
    <w:p>
      <w:pPr>
        <w:pStyle w:val="BookText"/>
      </w:pPr>
      <w:r>
        <w:rPr>
          <w:rFonts w:ascii="IRNazanin" w:hAnsi="IRNazanin" w:eastAsia="IRNazanin" w:cs="IRNazanin"/>
          <w:lang w:bidi="fa-IR"/>
          <w:color w:val="111111"/>
          <w:sz w:val="28"/>
          <w:szCs w:val="28"/>
          <w:rtl/>
        </w:rPr>
        <w:t xml:space="preserve">وجود، ج 1، ص 136.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اجوبة المسائل النصيرية = الاجوبة</w:t>
      </w:r>
    </w:p>
    <w:p>
      <w:pPr>
        <w:pStyle w:val="BookText"/>
      </w:pPr>
      <w:r>
        <w:rPr>
          <w:rFonts w:ascii="Amiri" w:hAnsi="Amiri" w:eastAsia="Amiri" w:cs="Amiri"/>
          <w:lang w:bidi="ar-SA"/>
          <w:color w:val="111111"/>
          <w:sz w:val="28"/>
          <w:szCs w:val="28"/>
          <w:rtl/>
        </w:rPr>
        <w:t xml:space="preserve">عن الاسئلة النصيرية عن شمس الدين الخسرو شاهي = جوابات</w:t>
      </w:r>
    </w:p>
    <w:p>
      <w:pPr>
        <w:pStyle w:val="BookText"/>
      </w:pPr>
      <w:r>
        <w:rPr>
          <w:rFonts w:ascii="IRNazanin" w:hAnsi="IRNazanin" w:eastAsia="IRNazanin" w:cs="IRNazanin"/>
          <w:lang w:bidi="fa-IR"/>
          <w:color w:val="111111"/>
          <w:sz w:val="28"/>
          <w:szCs w:val="28"/>
          <w:rtl/>
        </w:rPr>
        <w:t xml:space="preserve">ثلاث مسائل، ج1، ص379</w:t>
      </w:r>
    </w:p>
    <w:p>
      <w:pPr>
        <w:pStyle w:val="BookText"/>
      </w:pPr>
      <w:r>
        <w:rPr>
          <w:rFonts w:ascii="IRNazanin" w:hAnsi="IRNazanin" w:eastAsia="IRNazanin" w:cs="IRNazanin"/>
          <w:lang w:bidi="fa-IR"/>
          <w:color w:val="111111"/>
          <w:sz w:val="28"/>
          <w:szCs w:val="28"/>
          <w:rtl/>
        </w:rPr>
        <w:t xml:space="preserve">4 .اسرار الآیات و انوار البینات، ج2،</w:t>
      </w:r>
    </w:p>
    <w:p>
      <w:pPr>
        <w:pStyle w:val="BookText"/>
      </w:pPr>
      <w:r>
        <w:rPr>
          <w:rFonts w:ascii="IRNazanin" w:hAnsi="IRNazanin" w:eastAsia="IRNazanin" w:cs="IRNazanin"/>
          <w:lang w:bidi="fa-IR"/>
          <w:color w:val="111111"/>
          <w:sz w:val="28"/>
          <w:szCs w:val="28"/>
          <w:rtl/>
        </w:rPr>
        <w:t xml:space="preserve">ص 162 .</w:t>
      </w:r>
    </w:p>
    <w:p>
      <w:pPr>
        <w:pStyle w:val="BookText"/>
      </w:pPr>
      <w:r>
        <w:rPr>
          <w:rFonts w:ascii="Amiri" w:hAnsi="Amiri" w:eastAsia="Amiri" w:cs="Amiri"/>
          <w:lang w:bidi="ar-SA"/>
          <w:color w:val="111111"/>
          <w:sz w:val="28"/>
          <w:szCs w:val="28"/>
          <w:rtl/>
        </w:rPr>
        <w:t xml:space="preserve">5 .اكسير العارفين في معرفة طريق</w:t>
      </w:r>
    </w:p>
    <w:p>
      <w:pPr>
        <w:pStyle w:val="BookText"/>
      </w:pPr>
      <w:r>
        <w:rPr>
          <w:rFonts w:ascii="Amiri" w:hAnsi="Amiri" w:eastAsia="Amiri" w:cs="Amiri"/>
          <w:lang w:bidi="ar-SA"/>
          <w:color w:val="111111"/>
          <w:sz w:val="28"/>
          <w:szCs w:val="28"/>
          <w:rtl/>
        </w:rPr>
        <w:t xml:space="preserve">الحق واليقين، ج 2، ص 645.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.البداء، ج 3، ص238.</w:t>
      </w:r>
    </w:p>
    <w:p>
      <w:pPr>
        <w:pStyle w:val="BookText"/>
      </w:pPr>
      <w:r>
        <w:rPr>
          <w:rFonts w:ascii="Amiri" w:hAnsi="Amiri" w:eastAsia="Amiri" w:cs="Amiri"/>
          <w:lang w:bidi="ar-SA"/>
          <w:color w:val="111111"/>
          <w:sz w:val="28"/>
          <w:szCs w:val="28"/>
          <w:rtl/>
        </w:rPr>
        <w:t xml:space="preserve">7.التصور و التصديق، ج4، ص 424.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تفسير آية الكرسي = العروة الوثقى،</w:t>
      </w:r>
    </w:p>
    <w:p>
      <w:pPr>
        <w:pStyle w:val="BookText"/>
      </w:pPr>
      <w:r>
        <w:rPr>
          <w:rFonts w:ascii="IRNazanin" w:hAnsi="IRNazanin" w:eastAsia="IRNazanin" w:cs="IRNazanin"/>
          <w:lang w:bidi="fa-IR"/>
          <w:color w:val="111111"/>
          <w:sz w:val="28"/>
          <w:szCs w:val="28"/>
          <w:rtl/>
        </w:rPr>
        <w:t xml:space="preserve">ج 4، ص 583.</w:t>
      </w:r>
    </w:p>
    <w:p>
      <w:pPr>
        <w:pStyle w:val="BookText"/>
      </w:pPr>
      <w:r>
        <w:rPr>
          <w:rFonts w:ascii="Amiri" w:hAnsi="Amiri" w:eastAsia="Amiri" w:cs="Amiri"/>
          <w:lang w:bidi="ar-SA"/>
          <w:color w:val="111111"/>
          <w:sz w:val="28"/>
          <w:szCs w:val="28"/>
          <w:rtl/>
        </w:rPr>
        <w:t xml:space="preserve">9 .تفسير آية النور، ج 4، ص 586.</w:t>
      </w:r>
    </w:p>
    <w:p>
      <w:pPr>
        <w:pStyle w:val="BookText"/>
      </w:pPr>
      <w:r>
        <w:rPr>
          <w:rFonts w:ascii="Amiri" w:hAnsi="Amiri" w:eastAsia="Amiri" w:cs="Amiri"/>
          <w:lang w:bidi="ar-SA"/>
          <w:color w:val="111111"/>
          <w:sz w:val="28"/>
          <w:szCs w:val="28"/>
          <w:rtl/>
        </w:rPr>
        <w:t xml:space="preserve">10 .تفسير القرآن الكريم، ج 4، ص 666.</w:t>
      </w:r>
    </w:p>
    <w:p>
      <w:pPr>
        <w:pStyle w:val="BookText"/>
      </w:pPr>
      <w:r>
        <w:rPr>
          <w:rFonts w:ascii="Amiri" w:hAnsi="Amiri" w:eastAsia="Amiri" w:cs="Amiri"/>
          <w:lang w:bidi="ar-SA"/>
          <w:color w:val="111111"/>
          <w:sz w:val="28"/>
          <w:szCs w:val="28"/>
          <w:rtl/>
        </w:rPr>
        <w:t xml:space="preserve">11 .تفسير بعض من سور القرآن، ج 4</w:t>
      </w:r>
    </w:p>
    <w:p>
      <w:pPr>
        <w:pStyle w:val="BookText"/>
      </w:pPr>
      <w:r>
        <w:rPr>
          <w:rFonts w:ascii="IRNazanin" w:hAnsi="IRNazanin" w:eastAsia="IRNazanin" w:cs="IRNazanin"/>
          <w:lang w:bidi="fa-IR"/>
          <w:color w:val="111111"/>
          <w:sz w:val="28"/>
          <w:szCs w:val="28"/>
          <w:rtl/>
        </w:rPr>
        <w:t xml:space="preserve">ص 608.</w:t>
      </w:r>
    </w:p>
    <w:p>
      <w:pPr>
        <w:pStyle w:val="BookText"/>
      </w:pPr>
      <w:r>
        <w:rPr>
          <w:rFonts w:ascii="Amiri" w:hAnsi="Amiri" w:eastAsia="Amiri" w:cs="Amiri"/>
          <w:lang w:bidi="ar-SA"/>
          <w:color w:val="111111"/>
          <w:sz w:val="28"/>
          <w:szCs w:val="28"/>
          <w:rtl/>
        </w:rPr>
        <w:t xml:space="preserve">12 .تفسير سورة الأعلى، ج 4، ص 628.</w:t>
      </w:r>
    </w:p>
    <w:p>
      <w:pPr>
        <w:pStyle w:val="BookText"/>
      </w:pPr>
      <w:r>
        <w:rPr>
          <w:rFonts w:ascii="Amiri" w:hAnsi="Amiri" w:eastAsia="Amiri" w:cs="Amiri"/>
          <w:lang w:bidi="ar-SA"/>
          <w:color w:val="111111"/>
          <w:sz w:val="28"/>
          <w:szCs w:val="28"/>
          <w:rtl/>
        </w:rPr>
        <w:t xml:space="preserve">13 .تفسير سورة الجمعة = المطالع و</w:t>
      </w:r>
    </w:p>
    <w:p>
      <w:pPr>
        <w:pStyle w:val="BookText"/>
      </w:pPr>
      <w:r>
        <w:rPr>
          <w:rFonts w:ascii="IRNazanin" w:hAnsi="IRNazanin" w:eastAsia="IRNazanin" w:cs="IRNazanin"/>
          <w:lang w:bidi="fa-IR"/>
          <w:color w:val="111111"/>
          <w:sz w:val="28"/>
          <w:szCs w:val="28"/>
          <w:rtl/>
        </w:rPr>
        <w:t xml:space="preserve">الاشراقات، ج 4، ص 630 .</w:t>
      </w:r>
    </w:p>
    <w:p>
      <w:pPr>
        <w:pStyle w:val="BookText"/>
      </w:pPr>
      <w:r>
        <w:rPr>
          <w:rFonts w:ascii="Amiri" w:hAnsi="Amiri" w:eastAsia="Amiri" w:cs="Amiri"/>
          <w:lang w:bidi="ar-SA"/>
          <w:color w:val="111111"/>
          <w:sz w:val="28"/>
          <w:szCs w:val="28"/>
          <w:rtl/>
        </w:rPr>
        <w:t xml:space="preserve">14 .تفسير سورة الحديد، ج 4، ص 631 .</w:t>
      </w:r>
    </w:p>
    <w:p>
      <w:pPr>
        <w:pStyle w:val="BookText"/>
      </w:pPr>
      <w:r>
        <w:rPr>
          <w:rFonts w:ascii="Amiri" w:hAnsi="Amiri" w:eastAsia="Amiri" w:cs="Amiri"/>
          <w:lang w:bidi="ar-SA"/>
          <w:color w:val="111111"/>
          <w:sz w:val="28"/>
          <w:szCs w:val="28"/>
          <w:rtl/>
        </w:rPr>
        <w:t xml:space="preserve">15 .تفسير سورة الزلزال، ج4، ص 632.</w:t>
      </w:r>
    </w:p>
    <w:p>
      <w:pPr>
        <w:pStyle w:val="BookText"/>
      </w:pPr>
      <w:r>
        <w:rPr>
          <w:rFonts w:ascii="Amiri" w:hAnsi="Amiri" w:eastAsia="Amiri" w:cs="Amiri"/>
          <w:lang w:bidi="ar-SA"/>
          <w:color w:val="111111"/>
          <w:sz w:val="28"/>
          <w:szCs w:val="28"/>
          <w:rtl/>
        </w:rPr>
        <w:t xml:space="preserve">16 .تفسير سورة السجدة، ج4،</w:t>
      </w:r>
    </w:p>
    <w:p>
      <w:pPr>
        <w:pStyle w:val="BookText"/>
      </w:pPr>
      <w:r>
        <w:rPr>
          <w:rFonts w:ascii="IRNazanin" w:hAnsi="IRNazanin" w:eastAsia="IRNazanin" w:cs="IRNazanin"/>
          <w:lang w:bidi="fa-IR"/>
          <w:color w:val="111111"/>
          <w:sz w:val="28"/>
          <w:szCs w:val="28"/>
          <w:rtl/>
        </w:rPr>
        <w:t xml:space="preserve">ص 633.</w:t>
      </w:r>
    </w:p>
    <w:p>
      <w:pPr>
        <w:pStyle w:val="BookText"/>
      </w:pPr>
      <w:r>
        <w:rPr>
          <w:rFonts w:ascii="Amiri" w:hAnsi="Amiri" w:eastAsia="Amiri" w:cs="Amiri"/>
          <w:lang w:bidi="ar-SA"/>
          <w:color w:val="111111"/>
          <w:sz w:val="28"/>
          <w:szCs w:val="28"/>
          <w:rtl/>
        </w:rPr>
        <w:t xml:space="preserve">17 .تفسير سورة الطارق، ج 4 ، ص 633.</w:t>
      </w:r>
    </w:p>
    <w:p>
      <w:pPr>
        <w:pStyle w:val="BookText"/>
      </w:pPr>
      <w:r>
        <w:rPr>
          <w:rFonts w:ascii="Amiri" w:hAnsi="Amiri" w:eastAsia="Amiri" w:cs="Amiri"/>
          <w:lang w:bidi="ar-SA"/>
          <w:color w:val="111111"/>
          <w:sz w:val="28"/>
          <w:szCs w:val="28"/>
          <w:rtl/>
        </w:rPr>
        <w:t xml:space="preserve">18 .تفسير سورة الواقعة، ج 4، ص 643 .</w:t>
      </w:r>
    </w:p>
    <w:p>
      <w:pPr>
        <w:pStyle w:val="BookText"/>
      </w:pPr>
      <w:r>
        <w:rPr>
          <w:rFonts w:ascii="Amiri" w:hAnsi="Amiri" w:eastAsia="Amiri" w:cs="Amiri"/>
          <w:lang w:bidi="ar-SA"/>
          <w:color w:val="111111"/>
          <w:sz w:val="28"/>
          <w:szCs w:val="28"/>
          <w:rtl/>
        </w:rPr>
        <w:t xml:space="preserve">19 .التنقيح = اللمعات المشرقية = تعليقة في المنطق = التنقية = نقد المنطق، ج 5، ص 58.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حاشية الشفاء = شرح الشفاء،</w:t>
      </w:r>
    </w:p>
    <w:p>
      <w:pPr>
        <w:pStyle w:val="BookText"/>
      </w:pPr>
      <w:r>
        <w:rPr>
          <w:rFonts w:ascii="IRNazanin" w:hAnsi="IRNazanin" w:eastAsia="IRNazanin" w:cs="IRNazanin"/>
          <w:lang w:bidi="fa-IR"/>
          <w:color w:val="111111"/>
          <w:sz w:val="28"/>
          <w:szCs w:val="28"/>
          <w:rtl/>
        </w:rPr>
        <w:t xml:space="preserve">ج 6، ص 217.</w:t>
      </w:r>
    </w:p>
    <w:p>
      <w:pPr>
        <w:pStyle w:val="BookText"/>
      </w:pPr>
      <w:r>
        <w:rPr>
          <w:rFonts w:ascii="Amiri" w:hAnsi="Amiri" w:eastAsia="Amiri" w:cs="Amiri"/>
          <w:lang w:bidi="ar-SA"/>
          <w:color w:val="111111"/>
          <w:sz w:val="28"/>
          <w:szCs w:val="28"/>
          <w:rtl/>
        </w:rPr>
        <w:t xml:space="preserve">21 .حاشية تحرير القواعد المنطقية في شرح الشمسية = حاشية شرح الشمسية، ج 5، ص727.</w:t>
      </w:r>
    </w:p>
    <w:p>
      <w:pPr>
        <w:pStyle w:val="BookText"/>
      </w:pPr>
      <w:r>
        <w:rPr>
          <w:rFonts w:ascii="Amiri" w:hAnsi="Amiri" w:eastAsia="Amiri" w:cs="Amiri"/>
          <w:lang w:bidi="ar-SA"/>
          <w:color w:val="111111"/>
          <w:sz w:val="28"/>
          <w:szCs w:val="28"/>
          <w:rtl/>
        </w:rPr>
        <w:t xml:space="preserve">22 .حاشية حاشية الخفري و الدواني</w:t>
      </w:r>
    </w:p>
    <w:p>
      <w:pPr>
        <w:pStyle w:val="BookText"/>
      </w:pPr>
      <w:r>
        <w:rPr>
          <w:rFonts w:ascii="IRNazanin" w:hAnsi="IRNazanin" w:eastAsia="IRNazanin" w:cs="IRNazanin"/>
          <w:lang w:bidi="fa-IR"/>
          <w:color w:val="111111"/>
          <w:sz w:val="28"/>
          <w:szCs w:val="28"/>
          <w:rtl/>
        </w:rPr>
        <w:t xml:space="preserve">على شرح، ج 5، ص803</w:t>
      </w:r>
    </w:p>
    <w:p>
      <w:pPr>
        <w:pStyle w:val="BookText"/>
      </w:pPr>
      <w:r>
        <w:rPr>
          <w:rFonts w:ascii="IRNazanin" w:hAnsi="IRNazanin" w:eastAsia="IRNazanin" w:cs="IRNazanin"/>
          <w:lang w:bidi="fa-IR"/>
          <w:color w:val="111111"/>
          <w:sz w:val="28"/>
          <w:szCs w:val="28"/>
          <w:rtl/>
        </w:rPr>
        <w:t xml:space="preserve">23 .حدوث العالم، ج 6، ص 545.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الحشرية = حشر الاشياء و معاد كل شيء = حشر الخلائق = طرح</w:t>
      </w:r>
    </w:p>
    <w:p>
      <w:pPr>
        <w:pStyle w:val="BookText"/>
      </w:pPr>
      <w:r>
        <w:rPr>
          <w:rFonts w:ascii="Amiri" w:hAnsi="Amiri" w:eastAsia="Amiri" w:cs="Amiri"/>
          <w:lang w:bidi="ar-SA"/>
          <w:color w:val="111111"/>
          <w:sz w:val="28"/>
          <w:szCs w:val="28"/>
          <w:rtl/>
        </w:rPr>
        <w:t xml:space="preserve">الكونين ورفض العالمين = حشر</w:t>
      </w:r>
    </w:p>
    <w:p>
      <w:pPr>
        <w:pStyle w:val="BookText"/>
      </w:pPr>
      <w:r>
        <w:rPr>
          <w:rFonts w:ascii="Amiri" w:hAnsi="Amiri" w:eastAsia="Amiri" w:cs="Amiri"/>
          <w:lang w:bidi="ar-SA"/>
          <w:color w:val="111111"/>
          <w:sz w:val="28"/>
          <w:szCs w:val="28"/>
          <w:rtl/>
        </w:rPr>
        <w:t xml:space="preserve">الاشياء = حشر العوام في معاد الاشياء و حشرها، ج 6، ص 658.</w:t>
      </w:r>
    </w:p>
    <w:p>
      <w:pPr>
        <w:pStyle w:val="BookText"/>
      </w:pPr>
      <w:r>
        <w:rPr>
          <w:rFonts w:ascii="Amiri" w:hAnsi="Amiri" w:eastAsia="Amiri" w:cs="Amiri"/>
          <w:lang w:bidi="ar-SA"/>
          <w:color w:val="111111"/>
          <w:sz w:val="28"/>
          <w:szCs w:val="28"/>
          <w:rtl/>
        </w:rPr>
        <w:t xml:space="preserve">25 .الحشرية 2 = المعاد (رسالة في)</w:t>
      </w:r>
    </w:p>
    <w:p>
      <w:pPr>
        <w:pStyle w:val="BookText"/>
      </w:pPr>
      <w:r>
        <w:rPr>
          <w:rFonts w:ascii="IRNazanin" w:hAnsi="IRNazanin" w:eastAsia="IRNazanin" w:cs="IRNazanin"/>
          <w:lang w:bidi="fa-IR"/>
          <w:color w:val="111111"/>
          <w:sz w:val="28"/>
          <w:szCs w:val="28"/>
          <w:rtl/>
        </w:rPr>
        <w:t xml:space="preserve">ج 6، ص 658.</w:t>
      </w:r>
    </w:p>
    <w:p>
      <w:pPr>
        <w:pStyle w:val="BookText"/>
      </w:pPr>
      <w:r>
        <w:rPr>
          <w:rFonts w:ascii="Amiri" w:hAnsi="Amiri" w:eastAsia="Amiri" w:cs="Amiri"/>
          <w:lang w:bidi="ar-SA"/>
          <w:color w:val="111111"/>
          <w:sz w:val="28"/>
          <w:szCs w:val="28"/>
          <w:rtl/>
        </w:rPr>
        <w:t xml:space="preserve">26 .الحكمة العرشية = عرشية، ج 6،</w:t>
      </w:r>
    </w:p>
    <w:p>
      <w:pPr>
        <w:pStyle w:val="BookText"/>
      </w:pPr>
      <w:r>
        <w:rPr>
          <w:rFonts w:ascii="IRNazanin" w:hAnsi="IRNazanin" w:eastAsia="IRNazanin" w:cs="IRNazanin"/>
          <w:lang w:bidi="fa-IR"/>
          <w:color w:val="111111"/>
          <w:sz w:val="28"/>
          <w:szCs w:val="28"/>
          <w:rtl/>
        </w:rPr>
        <w:t xml:space="preserve">ص 746 .</w:t>
      </w:r>
    </w:p>
    <w:p>
      <w:pPr>
        <w:pStyle w:val="BookText"/>
      </w:pPr>
      <w:r>
        <w:rPr>
          <w:rFonts w:ascii="Amiri" w:hAnsi="Amiri" w:eastAsia="Amiri" w:cs="Amiri"/>
          <w:lang w:bidi="ar-SA"/>
          <w:color w:val="111111"/>
          <w:sz w:val="28"/>
          <w:szCs w:val="28"/>
          <w:rtl/>
        </w:rPr>
        <w:t xml:space="preserve">27 .الحكمة المتعالية في الاسفار الاربعة العقلية = اسفار اربعه</w:t>
      </w:r>
    </w:p>
    <w:p>
      <w:pPr>
        <w:pStyle w:val="BookText"/>
      </w:pPr>
      <w:r>
        <w:rPr>
          <w:rFonts w:ascii="IRNazanin" w:hAnsi="IRNazanin" w:eastAsia="IRNazanin" w:cs="IRNazanin"/>
          <w:lang w:bidi="fa-IR"/>
          <w:color w:val="111111"/>
          <w:sz w:val="28"/>
          <w:szCs w:val="28"/>
          <w:rtl/>
        </w:rPr>
        <w:t xml:space="preserve">ج 6، ص 749.</w:t>
      </w:r>
    </w:p>
    <w:p>
      <w:pPr>
        <w:pStyle w:val="BookText"/>
      </w:pPr>
      <w:r>
        <w:rPr>
          <w:rFonts w:ascii="Amiri" w:hAnsi="Amiri" w:eastAsia="Amiri" w:cs="Amiri"/>
          <w:lang w:bidi="ar-SA"/>
          <w:color w:val="111111"/>
          <w:sz w:val="28"/>
          <w:szCs w:val="28"/>
          <w:rtl/>
        </w:rPr>
        <w:t xml:space="preserve">28 .الحكمة (كتاب في)، ج 6 ، ص 737.</w:t>
      </w:r>
    </w:p>
    <w:p>
      <w:pPr>
        <w:pStyle w:val="BookText"/>
      </w:pPr>
      <w:r>
        <w:rPr>
          <w:rFonts w:ascii="Amiri" w:hAnsi="Amiri" w:eastAsia="Amiri" w:cs="Amiri"/>
          <w:lang w:bidi="ar-SA"/>
          <w:color w:val="111111"/>
          <w:sz w:val="28"/>
          <w:szCs w:val="28"/>
          <w:rtl/>
        </w:rPr>
        <w:t xml:space="preserve">29 .خلق الاعمال - مسألة القدر و</w:t>
      </w:r>
    </w:p>
    <w:p>
      <w:pPr>
        <w:pStyle w:val="BookText"/>
      </w:pPr>
      <w:r>
        <w:rPr>
          <w:rFonts w:ascii="Amiri" w:hAnsi="Amiri" w:eastAsia="Amiri" w:cs="Amiri"/>
          <w:lang w:bidi="ar-SA"/>
          <w:color w:val="111111"/>
          <w:sz w:val="28"/>
          <w:szCs w:val="28"/>
          <w:rtl/>
        </w:rPr>
        <w:t xml:space="preserve">افعال العباد = الجبر و التفويض</w:t>
      </w:r>
    </w:p>
    <w:p>
      <w:pPr>
        <w:pStyle w:val="BookText"/>
      </w:pPr>
      <w:r>
        <w:rPr>
          <w:rFonts w:ascii="IRNazanin" w:hAnsi="IRNazanin" w:eastAsia="IRNazanin" w:cs="IRNazanin"/>
          <w:lang w:bidi="fa-IR"/>
          <w:color w:val="111111"/>
          <w:sz w:val="28"/>
          <w:szCs w:val="28"/>
          <w:rtl/>
        </w:rPr>
        <w:t xml:space="preserve">ج 7، ص 149.</w:t>
      </w:r>
    </w:p>
    <w:p>
      <w:pPr>
        <w:pStyle w:val="BookText"/>
      </w:pPr>
      <w:r>
        <w:rPr>
          <w:rFonts w:ascii="Amiri" w:hAnsi="Amiri" w:eastAsia="Amiri" w:cs="Amiri"/>
          <w:lang w:bidi="ar-SA"/>
          <w:color w:val="111111"/>
          <w:sz w:val="28"/>
          <w:szCs w:val="28"/>
          <w:rtl/>
        </w:rPr>
        <w:t xml:space="preserve">30 .سه اصل در سلوك = سه فصل</w:t>
      </w:r>
    </w:p>
    <w:p>
      <w:pPr>
        <w:pStyle w:val="BookText"/>
      </w:pPr>
      <w:r>
        <w:rPr>
          <w:rFonts w:ascii="IRNazanin" w:hAnsi="IRNazanin" w:eastAsia="IRNazanin" w:cs="IRNazanin"/>
          <w:lang w:bidi="fa-IR"/>
          <w:color w:val="111111"/>
          <w:sz w:val="28"/>
          <w:szCs w:val="28"/>
          <w:rtl/>
        </w:rPr>
        <w:t xml:space="preserve">ج 8، ص 849.</w:t>
      </w:r>
    </w:p>
    <w:p>
      <w:pPr>
        <w:pStyle w:val="BookText"/>
      </w:pPr>
      <w:r>
        <w:rPr>
          <w:rFonts w:ascii="IRNazanin" w:hAnsi="IRNazanin" w:eastAsia="IRNazanin" w:cs="IRNazanin"/>
          <w:lang w:bidi="fa-IR"/>
          <w:color w:val="111111"/>
          <w:sz w:val="28"/>
          <w:szCs w:val="28"/>
          <w:rtl/>
        </w:rPr>
        <w:t xml:space="preserve">31 .شرح اثبات الواجب، ج 9، ص 154 .</w:t>
      </w:r>
    </w:p>
    <w:p>
      <w:pPr>
        <w:pStyle w:val="BookText"/>
      </w:pPr>
      <w:r>
        <w:rPr>
          <w:rFonts w:ascii="Amiri" w:hAnsi="Amiri" w:eastAsia="Amiri" w:cs="Amiri"/>
          <w:lang w:bidi="ar-SA"/>
          <w:color w:val="111111"/>
          <w:sz w:val="28"/>
          <w:szCs w:val="28"/>
          <w:rtl/>
        </w:rPr>
        <w:t xml:space="preserve">32 .شرح الكافي - شرح اصول الكافي</w:t>
      </w:r>
    </w:p>
    <w:p>
      <w:pPr>
        <w:pStyle w:val="BookText"/>
      </w:pPr>
      <w:r>
        <w:rPr>
          <w:rFonts w:ascii="IRNazanin" w:hAnsi="IRNazanin" w:eastAsia="IRNazanin" w:cs="IRNazanin"/>
          <w:lang w:bidi="fa-IR"/>
          <w:color w:val="111111"/>
          <w:sz w:val="28"/>
          <w:szCs w:val="28"/>
          <w:rtl/>
        </w:rPr>
        <w:t xml:space="preserve">ج 10، ص 24.</w:t>
      </w:r>
    </w:p>
    <w:p>
      <w:pPr>
        <w:pStyle w:val="BookText"/>
      </w:pPr>
      <w:r>
        <w:rPr>
          <w:rFonts w:ascii="Amiri" w:hAnsi="Amiri" w:eastAsia="Amiri" w:cs="Amiri"/>
          <w:lang w:bidi="ar-SA"/>
          <w:color w:val="111111"/>
          <w:sz w:val="28"/>
          <w:szCs w:val="28"/>
          <w:rtl/>
        </w:rPr>
        <w:t xml:space="preserve">33 .شرح هداية الحكمة = شرح الهداية الاثيرية، ج 10، ص 314.</w:t>
      </w:r>
    </w:p>
    <w:p>
      <w:pPr>
        <w:pStyle w:val="BookText"/>
      </w:pPr>
      <w:r>
        <w:rPr>
          <w:rFonts w:ascii="Amiri" w:hAnsi="Amiri" w:eastAsia="Amiri" w:cs="Amiri"/>
          <w:lang w:bidi="ar-SA"/>
          <w:color w:val="111111"/>
          <w:sz w:val="28"/>
          <w:szCs w:val="28"/>
          <w:rtl/>
        </w:rPr>
        <w:t xml:space="preserve">34 .الشواهد الربوبية في المناهج</w:t>
      </w:r>
    </w:p>
    <w:p>
      <w:pPr>
        <w:pStyle w:val="BookText"/>
      </w:pPr>
      <w:r>
        <w:rPr>
          <w:rFonts w:ascii="Amiri" w:hAnsi="Amiri" w:eastAsia="Amiri" w:cs="Amiri"/>
          <w:lang w:bidi="ar-SA"/>
          <w:color w:val="111111"/>
          <w:sz w:val="28"/>
          <w:szCs w:val="28"/>
          <w:rtl/>
        </w:rPr>
        <w:t xml:space="preserve">السلوكية، ج 10، ص 449.</w:t>
      </w:r>
    </w:p>
    <w:p>
      <w:pPr>
        <w:pStyle w:val="BookText"/>
      </w:pPr>
      <w:r>
        <w:rPr>
          <w:rFonts w:ascii="Amiri" w:hAnsi="Amiri" w:eastAsia="Amiri" w:cs="Amiri"/>
          <w:lang w:bidi="ar-SA"/>
          <w:color w:val="111111"/>
          <w:sz w:val="28"/>
          <w:szCs w:val="28"/>
          <w:rtl/>
        </w:rPr>
        <w:t xml:space="preserve">35 .طرق حديث كيفية الصلاة على</w:t>
      </w:r>
    </w:p>
    <w:p>
      <w:pPr>
        <w:pStyle w:val="BookText"/>
      </w:pPr>
      <w:r>
        <w:rPr>
          <w:rFonts w:ascii="Amiri" w:hAnsi="Amiri" w:eastAsia="Amiri" w:cs="Amiri"/>
          <w:lang w:bidi="ar-SA"/>
          <w:color w:val="111111"/>
          <w:sz w:val="28"/>
          <w:szCs w:val="28"/>
          <w:rtl/>
        </w:rPr>
        <w:t xml:space="preserve">النبي، ج 10، ص 814.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الفقه، ج 12، ص 42.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القضاء والقدر في افعال البشر</w:t>
      </w:r>
    </w:p>
    <w:p>
      <w:pPr>
        <w:pStyle w:val="BookText"/>
      </w:pPr>
      <w:r>
        <w:rPr>
          <w:rFonts w:ascii="IRNazanin" w:hAnsi="IRNazanin" w:eastAsia="IRNazanin" w:cs="IRNazanin"/>
          <w:lang w:bidi="fa-IR"/>
          <w:color w:val="111111"/>
          <w:sz w:val="28"/>
          <w:szCs w:val="28"/>
          <w:rtl/>
        </w:rPr>
        <w:t xml:space="preserve">ج 12، ص 741.</w:t>
      </w:r>
    </w:p>
    <w:p>
      <w:pPr>
        <w:pStyle w:val="BookText"/>
      </w:pPr>
      <w:r>
        <w:rPr>
          <w:rFonts w:ascii="Amiri" w:hAnsi="Amiri" w:eastAsia="Amiri" w:cs="Amiri"/>
          <w:lang w:bidi="ar-SA"/>
          <w:color w:val="111111"/>
          <w:sz w:val="28"/>
          <w:szCs w:val="28"/>
          <w:rtl/>
        </w:rPr>
        <w:t xml:space="preserve">38 .كسر الاصنام الجاهلية، ج13،</w:t>
      </w:r>
    </w:p>
    <w:p>
      <w:pPr>
        <w:pStyle w:val="BookText"/>
      </w:pPr>
      <w:r>
        <w:rPr>
          <w:rFonts w:ascii="IRNazanin" w:hAnsi="IRNazanin" w:eastAsia="IRNazanin" w:cs="IRNazanin"/>
          <w:lang w:bidi="fa-IR"/>
          <w:color w:val="111111"/>
          <w:sz w:val="28"/>
          <w:szCs w:val="28"/>
          <w:rtl/>
        </w:rPr>
        <w:t xml:space="preserve">ص 156 .</w:t>
      </w:r>
    </w:p>
    <w:p>
      <w:pPr>
        <w:pStyle w:val="BookText"/>
      </w:pPr>
      <w:r>
        <w:rPr>
          <w:rFonts w:ascii="Amiri" w:hAnsi="Amiri" w:eastAsia="Amiri" w:cs="Amiri"/>
          <w:lang w:bidi="ar-SA"/>
          <w:color w:val="111111"/>
          <w:sz w:val="28"/>
          <w:szCs w:val="28"/>
          <w:rtl/>
        </w:rPr>
        <w:t xml:space="preserve">39 .كيمياء السعادة، ج13، ص 489.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ماهية المزاج، ج 13، ص 690.</w:t>
      </w:r>
    </w:p>
    <w:p>
      <w:pPr>
        <w:pStyle w:val="BookText"/>
      </w:pPr>
      <w:r>
        <w:rPr>
          <w:rFonts w:ascii="IRNazanin" w:hAnsi="IRNazanin" w:eastAsia="IRNazanin" w:cs="IRNazanin"/>
          <w:lang w:bidi="fa-IR"/>
          <w:color w:val="111111"/>
          <w:sz w:val="28"/>
          <w:szCs w:val="28"/>
          <w:rtl/>
        </w:rPr>
        <w:t xml:space="preserve">41 .المبدأ و المعاد، ج13، ص733.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66" w:name="pg7742_70657"/>
    <w:bookmarkEnd w:id="666"/>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مجموع رسائل لملاصدرا، ج14،</w:t>
      </w:r>
    </w:p>
    <w:p>
      <w:pPr>
        <w:pStyle w:val="BookText"/>
      </w:pPr>
      <w:r>
        <w:rPr>
          <w:rFonts w:ascii="IRNazanin" w:hAnsi="IRNazanin" w:eastAsia="IRNazanin" w:cs="IRNazanin"/>
          <w:lang w:bidi="fa-IR"/>
          <w:color w:val="111111"/>
          <w:sz w:val="28"/>
          <w:szCs w:val="28"/>
          <w:rtl/>
        </w:rPr>
        <w:t xml:space="preserve">ص 66 .</w:t>
      </w:r>
    </w:p>
    <w:p>
      <w:pPr>
        <w:pStyle w:val="BookText"/>
      </w:pPr>
      <w:r>
        <w:rPr>
          <w:rFonts w:ascii="Amiri" w:hAnsi="Amiri" w:eastAsia="Amiri" w:cs="Amiri"/>
          <w:lang w:bidi="ar-SA"/>
          <w:color w:val="111111"/>
          <w:sz w:val="28"/>
          <w:szCs w:val="28"/>
          <w:rtl/>
        </w:rPr>
        <w:t xml:space="preserve">43 .المسائل القدسية والقواعد الملكوتية = طرح الكونين في حشر</w:t>
      </w:r>
    </w:p>
    <w:p>
      <w:pPr>
        <w:pStyle w:val="BookText"/>
      </w:pPr>
      <w:r>
        <w:rPr>
          <w:rFonts w:ascii="Amiri" w:hAnsi="Amiri" w:eastAsia="Amiri" w:cs="Amiri"/>
          <w:lang w:bidi="ar-SA"/>
          <w:color w:val="111111"/>
          <w:sz w:val="28"/>
          <w:szCs w:val="28"/>
          <w:rtl/>
        </w:rPr>
        <w:t xml:space="preserve">العالمين، ج 14، ص 479.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المشاعر ، ج 14، ص 615.</w:t>
      </w:r>
    </w:p>
    <w:p>
      <w:pPr>
        <w:pStyle w:val="BookText"/>
      </w:pPr>
      <w:r>
        <w:rPr>
          <w:rFonts w:ascii="Amiri" w:hAnsi="Amiri" w:eastAsia="Amiri" w:cs="Amiri"/>
          <w:lang w:bidi="ar-SA"/>
          <w:color w:val="111111"/>
          <w:sz w:val="28"/>
          <w:szCs w:val="28"/>
          <w:rtl/>
        </w:rPr>
        <w:t xml:space="preserve">45 .المعارف و التحقيقات، ج 14،</w:t>
      </w:r>
    </w:p>
    <w:p>
      <w:pPr>
        <w:pStyle w:val="BookText"/>
      </w:pPr>
      <w:r>
        <w:rPr>
          <w:rFonts w:ascii="IRNazanin" w:hAnsi="IRNazanin" w:eastAsia="IRNazanin" w:cs="IRNazanin"/>
          <w:lang w:bidi="fa-IR"/>
          <w:color w:val="111111"/>
          <w:sz w:val="28"/>
          <w:szCs w:val="28"/>
          <w:rtl/>
        </w:rPr>
        <w:t xml:space="preserve">ص 849.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معرفة النفس، ج 15، ص 74.</w:t>
      </w:r>
    </w:p>
    <w:p>
      <w:pPr>
        <w:pStyle w:val="BookText"/>
      </w:pPr>
      <w:r>
        <w:rPr>
          <w:rFonts w:ascii="Amiri" w:hAnsi="Amiri" w:eastAsia="Amiri" w:cs="Amiri"/>
          <w:lang w:bidi="ar-SA"/>
          <w:color w:val="111111"/>
          <w:sz w:val="28"/>
          <w:szCs w:val="28"/>
          <w:rtl/>
        </w:rPr>
        <w:t xml:space="preserve">47 .مفاتيح الغيب لفتح خزائن العلوم</w:t>
      </w:r>
    </w:p>
    <w:p>
      <w:pPr>
        <w:pStyle w:val="BookText"/>
      </w:pPr>
      <w:r>
        <w:rPr>
          <w:rFonts w:ascii="Amiri" w:hAnsi="Amiri" w:eastAsia="Amiri" w:cs="Amiri"/>
          <w:lang w:bidi="ar-SA"/>
          <w:color w:val="111111"/>
          <w:sz w:val="28"/>
          <w:szCs w:val="28"/>
          <w:rtl/>
        </w:rPr>
        <w:t xml:space="preserve">المبراة عن الشك والريب، ج 15،</w:t>
      </w:r>
    </w:p>
    <w:p>
      <w:pPr>
        <w:pStyle w:val="BookText"/>
      </w:pPr>
      <w:r>
        <w:rPr>
          <w:rFonts w:ascii="IRNazanin" w:hAnsi="IRNazanin" w:eastAsia="IRNazanin" w:cs="IRNazanin"/>
          <w:lang w:bidi="fa-IR"/>
          <w:color w:val="111111"/>
          <w:sz w:val="28"/>
          <w:szCs w:val="28"/>
          <w:rtl/>
        </w:rPr>
        <w:t xml:space="preserve">ص 173 .</w:t>
      </w:r>
    </w:p>
    <w:p>
      <w:pPr>
        <w:pStyle w:val="BookText"/>
      </w:pPr>
      <w:r>
        <w:rPr>
          <w:rFonts w:ascii="IRNazanin" w:hAnsi="IRNazanin" w:eastAsia="IRNazanin" w:cs="IRNazanin"/>
          <w:lang w:bidi="fa-IR"/>
          <w:color w:val="111111"/>
          <w:sz w:val="28"/>
          <w:szCs w:val="28"/>
          <w:rtl/>
        </w:rPr>
        <w:t xml:space="preserve">48 .نامه ها (1) = نامه به میرداماد</w:t>
      </w:r>
    </w:p>
    <w:p>
      <w:pPr>
        <w:pStyle w:val="BookText"/>
      </w:pPr>
      <w:r>
        <w:rPr>
          <w:rFonts w:ascii="IRNazanin" w:hAnsi="IRNazanin" w:eastAsia="IRNazanin" w:cs="IRNazanin"/>
          <w:lang w:bidi="fa-IR"/>
          <w:color w:val="111111"/>
          <w:sz w:val="28"/>
          <w:szCs w:val="28"/>
          <w:rtl/>
        </w:rPr>
        <w:t xml:space="preserve">ج 16، ص 103.</w:t>
      </w:r>
    </w:p>
    <w:p>
      <w:pPr>
        <w:pStyle w:val="BookText"/>
      </w:pPr>
      <w:r>
        <w:rPr>
          <w:rFonts w:ascii="Amiri" w:hAnsi="Amiri" w:eastAsia="Amiri" w:cs="Amiri"/>
          <w:lang w:bidi="ar-SA"/>
          <w:color w:val="111111"/>
          <w:sz w:val="28"/>
          <w:szCs w:val="28"/>
          <w:rtl/>
        </w:rPr>
        <w:t xml:space="preserve">صدر الدين عاملي ، محمّد بن صالح -عاملي اصفهاني ، محمّد بن صالح</w:t>
      </w:r>
    </w:p>
    <w:p>
      <w:pPr>
        <w:pStyle w:val="BookText"/>
      </w:pPr>
      <w:r>
        <w:rPr>
          <w:rFonts w:ascii="Amiri" w:hAnsi="Amiri" w:eastAsia="Amiri" w:cs="Amiri"/>
          <w:lang w:bidi="ar-SA"/>
          <w:color w:val="111111"/>
          <w:sz w:val="28"/>
          <w:szCs w:val="28"/>
          <w:rtl/>
        </w:rPr>
        <w:t xml:space="preserve">صدر الدين قمي ، حسن بن محمّد -نظامي نيشابوري ، حسن بن محمّد</w:t>
      </w:r>
    </w:p>
    <w:p>
      <w:pPr>
        <w:pStyle w:val="BookText"/>
      </w:pPr>
      <w:r>
        <w:rPr>
          <w:rFonts w:ascii="Amiri" w:hAnsi="Amiri" w:eastAsia="Amiri" w:cs="Amiri"/>
          <w:lang w:bidi="ar-SA"/>
          <w:color w:val="111111"/>
          <w:sz w:val="28"/>
          <w:szCs w:val="28"/>
          <w:rtl/>
        </w:rPr>
        <w:t xml:space="preserve">صدر الدين قمي ، محمّد بن محمّد باقر -رضوي قمي ، محمد بن محمّد باقر</w:t>
      </w:r>
    </w:p>
    <w:p>
      <w:pPr>
        <w:pStyle w:val="BookText"/>
      </w:pPr>
      <w:r>
        <w:rPr>
          <w:rFonts w:ascii="IRNazanin" w:hAnsi="IRNazanin" w:eastAsia="IRNazanin" w:cs="IRNazanin"/>
          <w:lang w:bidi="fa-IR"/>
          <w:color w:val="111111"/>
          <w:sz w:val="28"/>
          <w:szCs w:val="28"/>
          <w:rtl/>
        </w:rPr>
        <w:t xml:space="preserve">صدر الدین قونوي ، محمّد بن اسحاق- صدرالدین قونيوي، محمّد بن</w:t>
      </w:r>
    </w:p>
    <w:p>
      <w:pPr>
        <w:pStyle w:val="BookText"/>
      </w:pPr>
      <w:r>
        <w:rPr>
          <w:rFonts w:ascii="IRNazanin" w:hAnsi="IRNazanin" w:eastAsia="IRNazanin" w:cs="IRNazanin"/>
          <w:lang w:bidi="fa-IR"/>
          <w:color w:val="111111"/>
          <w:sz w:val="28"/>
          <w:szCs w:val="28"/>
          <w:rtl/>
        </w:rPr>
        <w:t xml:space="preserve">اسحاق</w:t>
      </w:r>
    </w:p>
    <w:p>
      <w:pPr>
        <w:pStyle w:val="Heading2"/>
      </w:pPr>
      <w:bookmarkStart w:id="5404" w:name="_Toc4506"/>
      <w:r>
        <w:t>صدر الدین قونيوي ، محمّد بن اسحاق،</w:t>
      </w:r>
      <w:bookmarkEnd w:id="5404"/>
    </w:p>
    <w:p>
      <w:pPr>
        <w:pStyle w:val="BookText"/>
      </w:pPr>
      <w:r>
        <w:rPr>
          <w:rFonts w:ascii="IRNazanin" w:hAnsi="IRNazanin" w:eastAsia="IRNazanin" w:cs="IRNazanin"/>
          <w:lang w:bidi="fa-IR"/>
          <w:color w:val="111111"/>
          <w:sz w:val="28"/>
          <w:szCs w:val="28"/>
          <w:rtl/>
        </w:rPr>
        <w:t xml:space="preserve">607 - 673 ه-</w:t>
      </w:r>
    </w:p>
    <w:p>
      <w:pPr>
        <w:pStyle w:val="BookText"/>
      </w:pPr>
      <w:r>
        <w:rPr>
          <w:rFonts w:ascii="Amiri" w:hAnsi="Amiri" w:eastAsia="Amiri" w:cs="Amiri"/>
          <w:lang w:bidi="ar-SA"/>
          <w:color w:val="111111"/>
          <w:sz w:val="28"/>
          <w:szCs w:val="28"/>
          <w:rtl/>
        </w:rPr>
        <w:t xml:space="preserve">1 .اسئلة القونوي عن الطوسي، ج 2،</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Amiri" w:hAnsi="Amiri" w:eastAsia="Amiri" w:cs="Amiri"/>
          <w:lang w:bidi="ar-SA"/>
          <w:color w:val="111111"/>
          <w:sz w:val="28"/>
          <w:szCs w:val="28"/>
          <w:rtl/>
        </w:rPr>
        <w:t xml:space="preserve">2 .اعجاز البيان في كشف بعض اسرار أم القرآن = اعجاز البيان في تفسير ام القرآن، ج2، ص521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امر المهدي، ج 2، ص 765.</w:t>
      </w:r>
    </w:p>
    <w:p>
      <w:pPr>
        <w:pStyle w:val="BookText"/>
      </w:pPr>
      <w:r>
        <w:rPr>
          <w:rFonts w:ascii="IRNazanin" w:hAnsi="IRNazanin" w:eastAsia="IRNazanin" w:cs="IRNazanin"/>
          <w:lang w:bidi="fa-IR"/>
          <w:color w:val="111111"/>
          <w:sz w:val="28"/>
          <w:szCs w:val="28"/>
          <w:rtl/>
        </w:rPr>
        <w:t xml:space="preserve">4 .التوجه الاتم الأعلى نحو الحق جل</w:t>
      </w:r>
    </w:p>
    <w:p>
      <w:pPr>
        <w:pStyle w:val="BookText"/>
      </w:pPr>
      <w:r>
        <w:rPr>
          <w:rFonts w:ascii="IRNazanin" w:hAnsi="IRNazanin" w:eastAsia="IRNazanin" w:cs="IRNazanin"/>
          <w:lang w:bidi="fa-IR"/>
          <w:color w:val="111111"/>
          <w:sz w:val="28"/>
          <w:szCs w:val="28"/>
          <w:rtl/>
        </w:rPr>
        <w:t xml:space="preserve">و علا، ج 5، ص 144.</w:t>
      </w:r>
    </w:p>
    <w:p>
      <w:pPr>
        <w:pStyle w:val="BookText"/>
      </w:pPr>
      <w:r>
        <w:rPr>
          <w:rFonts w:ascii="Amiri" w:hAnsi="Amiri" w:eastAsia="Amiri" w:cs="Amiri"/>
          <w:lang w:bidi="ar-SA"/>
          <w:color w:val="111111"/>
          <w:sz w:val="28"/>
          <w:szCs w:val="28"/>
          <w:rtl/>
        </w:rPr>
        <w:t xml:space="preserve">5 .رسائل متبادلة بين القونوي و</w:t>
      </w:r>
    </w:p>
    <w:p>
      <w:pPr>
        <w:pStyle w:val="BookText"/>
      </w:pPr>
      <w:r>
        <w:rPr>
          <w:rFonts w:ascii="Amiri" w:hAnsi="Amiri" w:eastAsia="Amiri" w:cs="Amiri"/>
          <w:lang w:bidi="ar-SA"/>
          <w:color w:val="111111"/>
          <w:sz w:val="28"/>
          <w:szCs w:val="28"/>
          <w:rtl/>
        </w:rPr>
        <w:t xml:space="preserve">الطوسي، ج8، ص 149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رسالة القونوي إلى احد الملوك، ج8،</w:t>
      </w:r>
    </w:p>
    <w:p>
      <w:pPr>
        <w:pStyle w:val="BookText"/>
      </w:pPr>
      <w:r>
        <w:rPr>
          <w:rFonts w:ascii="IRNazanin" w:hAnsi="IRNazanin" w:eastAsia="IRNazanin" w:cs="IRNazanin"/>
          <w:lang w:bidi="fa-IR"/>
          <w:color w:val="111111"/>
          <w:sz w:val="28"/>
          <w:szCs w:val="28"/>
          <w:rtl/>
        </w:rPr>
        <w:t xml:space="preserve">ص 251.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ابيات ابي نواس، ج 9، ص 144.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الشجرة النعمانية في الدولة</w:t>
      </w:r>
    </w:p>
    <w:p>
      <w:pPr>
        <w:pStyle w:val="BookText"/>
      </w:pPr>
      <w:r>
        <w:rPr>
          <w:rFonts w:ascii="Amiri" w:hAnsi="Amiri" w:eastAsia="Amiri" w:cs="Amiri"/>
          <w:lang w:bidi="ar-SA"/>
          <w:color w:val="111111"/>
          <w:sz w:val="28"/>
          <w:szCs w:val="28"/>
          <w:rtl/>
        </w:rPr>
        <w:t xml:space="preserve">العثمانية، ج 9، ص 616.</w:t>
      </w:r>
    </w:p>
    <w:p>
      <w:pPr>
        <w:pStyle w:val="BookText"/>
      </w:pPr>
      <w:r>
        <w:rPr>
          <w:rFonts w:ascii="Amiri" w:hAnsi="Amiri" w:eastAsia="Amiri" w:cs="Amiri"/>
          <w:lang w:bidi="ar-SA"/>
          <w:color w:val="111111"/>
          <w:sz w:val="28"/>
          <w:szCs w:val="28"/>
          <w:rtl/>
        </w:rPr>
        <w:t xml:space="preserve">9 .شرح حديث فضل البسملة، ج9،</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Amiri" w:hAnsi="Amiri" w:eastAsia="Amiri" w:cs="Amiri"/>
          <w:lang w:bidi="ar-SA"/>
          <w:color w:val="111111"/>
          <w:sz w:val="28"/>
          <w:szCs w:val="28"/>
          <w:rtl/>
        </w:rPr>
        <w:t xml:space="preserve">10 .الفكوك في مستندات حكم</w:t>
      </w:r>
    </w:p>
    <w:p>
      <w:pPr>
        <w:pStyle w:val="BookText"/>
      </w:pPr>
      <w:r>
        <w:rPr>
          <w:rFonts w:ascii="IRNazanin" w:hAnsi="IRNazanin" w:eastAsia="IRNazanin" w:cs="IRNazanin"/>
          <w:lang w:bidi="fa-IR"/>
          <w:color w:val="111111"/>
          <w:sz w:val="28"/>
          <w:szCs w:val="28"/>
          <w:rtl/>
        </w:rPr>
        <w:t xml:space="preserve">الفصوص، ج 12، ص 121.</w:t>
      </w:r>
    </w:p>
    <w:p>
      <w:pPr>
        <w:pStyle w:val="BookText"/>
      </w:pPr>
      <w:r>
        <w:rPr>
          <w:rFonts w:ascii="Amiri" w:hAnsi="Amiri" w:eastAsia="Amiri" w:cs="Amiri"/>
          <w:lang w:bidi="ar-SA"/>
          <w:color w:val="111111"/>
          <w:sz w:val="28"/>
          <w:szCs w:val="28"/>
          <w:rtl/>
        </w:rPr>
        <w:t xml:space="preserve">11 .كتاب القونوي إلى علاء الدولة</w:t>
      </w:r>
    </w:p>
    <w:p>
      <w:pPr>
        <w:pStyle w:val="BookText"/>
      </w:pPr>
      <w:r>
        <w:rPr>
          <w:rFonts w:ascii="IRNazanin" w:hAnsi="IRNazanin" w:eastAsia="IRNazanin" w:cs="IRNazanin"/>
          <w:lang w:bidi="fa-IR"/>
          <w:color w:val="111111"/>
          <w:sz w:val="28"/>
          <w:szCs w:val="28"/>
          <w:rtl/>
        </w:rPr>
        <w:t xml:space="preserve">ج 13، ص 116.</w:t>
      </w:r>
    </w:p>
    <w:p>
      <w:pPr>
        <w:pStyle w:val="BookText"/>
      </w:pPr>
      <w:r>
        <w:rPr>
          <w:rFonts w:ascii="Amiri" w:hAnsi="Amiri" w:eastAsia="Amiri" w:cs="Amiri"/>
          <w:lang w:bidi="ar-SA"/>
          <w:color w:val="111111"/>
          <w:sz w:val="28"/>
          <w:szCs w:val="28"/>
          <w:rtl/>
        </w:rPr>
        <w:t xml:space="preserve">12 .كشف السر العظيم في بيان «بسم</w:t>
      </w:r>
    </w:p>
    <w:p>
      <w:pPr>
        <w:pStyle w:val="BookText"/>
      </w:pPr>
      <w:r>
        <w:rPr>
          <w:rFonts w:ascii="Amiri" w:hAnsi="Amiri" w:eastAsia="Amiri" w:cs="Amiri"/>
          <w:lang w:bidi="ar-SA"/>
          <w:color w:val="111111"/>
          <w:sz w:val="28"/>
          <w:szCs w:val="28"/>
          <w:rtl/>
        </w:rPr>
        <w:t xml:space="preserve">الله الرحمن الرحيم»، ج13،</w:t>
      </w:r>
    </w:p>
    <w:p>
      <w:pPr>
        <w:pStyle w:val="BookText"/>
      </w:pPr>
      <w:r>
        <w:rPr>
          <w:rFonts w:ascii="IRNazanin" w:hAnsi="IRNazanin" w:eastAsia="IRNazanin" w:cs="IRNazanin"/>
          <w:lang w:bidi="fa-IR"/>
          <w:color w:val="111111"/>
          <w:sz w:val="28"/>
          <w:szCs w:val="28"/>
          <w:rtl/>
        </w:rPr>
        <w:t xml:space="preserve">ص 220 .</w:t>
      </w:r>
    </w:p>
    <w:p>
      <w:pPr>
        <w:pStyle w:val="BookText"/>
      </w:pPr>
      <w:r>
        <w:rPr>
          <w:rFonts w:ascii="Amiri" w:hAnsi="Amiri" w:eastAsia="Amiri" w:cs="Amiri"/>
          <w:lang w:bidi="ar-SA"/>
          <w:color w:val="111111"/>
          <w:sz w:val="28"/>
          <w:szCs w:val="28"/>
          <w:rtl/>
        </w:rPr>
        <w:t xml:space="preserve">13 .اللمعة النورانية في حل مشكلات الشجرة النعمانية، ج13، ص 627.</w:t>
      </w:r>
    </w:p>
    <w:p>
      <w:pPr>
        <w:pStyle w:val="BookText"/>
      </w:pPr>
      <w:r>
        <w:rPr>
          <w:rFonts w:ascii="Amiri" w:hAnsi="Amiri" w:eastAsia="Amiri" w:cs="Amiri"/>
          <w:lang w:bidi="ar-SA"/>
          <w:color w:val="111111"/>
          <w:sz w:val="28"/>
          <w:szCs w:val="28"/>
          <w:rtl/>
        </w:rPr>
        <w:t xml:space="preserve">14 .مرآة العارفين و مظهر الكاملين في</w:t>
      </w:r>
    </w:p>
    <w:p>
      <w:pPr>
        <w:pStyle w:val="BookText"/>
      </w:pPr>
      <w:r>
        <w:rPr>
          <w:rFonts w:ascii="Amiri" w:hAnsi="Amiri" w:eastAsia="Amiri" w:cs="Amiri"/>
          <w:lang w:bidi="ar-SA"/>
          <w:color w:val="111111"/>
          <w:sz w:val="28"/>
          <w:szCs w:val="28"/>
          <w:rtl/>
        </w:rPr>
        <w:t xml:space="preserve">ملتمس زين العابدين = تفسير</w:t>
      </w:r>
    </w:p>
    <w:p>
      <w:pPr>
        <w:pStyle w:val="BookText"/>
      </w:pPr>
      <w:r>
        <w:rPr>
          <w:rFonts w:ascii="Amiri" w:hAnsi="Amiri" w:eastAsia="Amiri" w:cs="Amiri"/>
          <w:lang w:bidi="ar-SA"/>
          <w:color w:val="111111"/>
          <w:sz w:val="28"/>
          <w:szCs w:val="28"/>
          <w:rtl/>
        </w:rPr>
        <w:t xml:space="preserve">سورة الفاتحة، ج 14، ص 356.</w:t>
      </w:r>
    </w:p>
    <w:p>
      <w:pPr>
        <w:pStyle w:val="BookText"/>
      </w:pPr>
      <w:r>
        <w:rPr>
          <w:rFonts w:ascii="IRNazanin" w:hAnsi="IRNazanin" w:eastAsia="IRNazanin" w:cs="IRNazanin"/>
          <w:lang w:bidi="fa-IR"/>
          <w:color w:val="111111"/>
          <w:sz w:val="28"/>
          <w:szCs w:val="28"/>
          <w:rtl/>
        </w:rPr>
        <w:t xml:space="preserve">15 .مصباح المعقول و المشهود مفتاح</w:t>
      </w:r>
    </w:p>
    <w:p>
      <w:pPr>
        <w:pStyle w:val="BookText"/>
      </w:pPr>
      <w:r>
        <w:rPr>
          <w:rFonts w:ascii="Amiri" w:hAnsi="Amiri" w:eastAsia="Amiri" w:cs="Amiri"/>
          <w:lang w:bidi="ar-SA"/>
          <w:color w:val="111111"/>
          <w:sz w:val="28"/>
          <w:szCs w:val="28"/>
          <w:rtl/>
        </w:rPr>
        <w:t xml:space="preserve">عين الجمع و الوجود، ج 14، ص 740.</w:t>
      </w:r>
    </w:p>
    <w:p>
      <w:pPr>
        <w:pStyle w:val="BookText"/>
      </w:pPr>
      <w:r>
        <w:rPr>
          <w:rFonts w:ascii="Amiri" w:hAnsi="Amiri" w:eastAsia="Amiri" w:cs="Amiri"/>
          <w:lang w:bidi="ar-SA"/>
          <w:color w:val="111111"/>
          <w:sz w:val="28"/>
          <w:szCs w:val="28"/>
          <w:rtl/>
        </w:rPr>
        <w:t xml:space="preserve">16 .مطالع الايمان = مطلع الايمان</w:t>
      </w:r>
    </w:p>
    <w:p>
      <w:pPr>
        <w:pStyle w:val="BookText"/>
      </w:pPr>
      <w:r>
        <w:rPr>
          <w:rFonts w:ascii="IRNazanin" w:hAnsi="IRNazanin" w:eastAsia="IRNazanin" w:cs="IRNazanin"/>
          <w:lang w:bidi="fa-IR"/>
          <w:color w:val="111111"/>
          <w:sz w:val="28"/>
          <w:szCs w:val="28"/>
          <w:rtl/>
        </w:rPr>
        <w:t xml:space="preserve">ج 14، ص 774.</w:t>
      </w:r>
    </w:p>
    <w:p>
      <w:pPr>
        <w:pStyle w:val="BookText"/>
      </w:pPr>
      <w:r>
        <w:rPr>
          <w:rFonts w:ascii="Amiri" w:hAnsi="Amiri" w:eastAsia="Amiri" w:cs="Amiri"/>
          <w:lang w:bidi="ar-SA"/>
          <w:color w:val="111111"/>
          <w:sz w:val="28"/>
          <w:szCs w:val="28"/>
          <w:rtl/>
        </w:rPr>
        <w:t xml:space="preserve">17 .مفاتيح الغيب = مفتاح الغيب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المفاتيح الغيبية - شرح الشجرة النعمانية في الدولة العثمانية</w:t>
      </w:r>
    </w:p>
    <w:p>
      <w:pPr>
        <w:pStyle w:val="BookText"/>
      </w:pPr>
      <w:r>
        <w:rPr>
          <w:rFonts w:ascii="IRNazanin" w:hAnsi="IRNazanin" w:eastAsia="IRNazanin" w:cs="IRNazanin"/>
          <w:lang w:bidi="fa-IR"/>
          <w:color w:val="111111"/>
          <w:sz w:val="28"/>
          <w:szCs w:val="28"/>
          <w:rtl/>
        </w:rPr>
        <w:t xml:space="preserve">ج 15، ص 174.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67" w:name="pg7742_70658"/>
    <w:bookmarkEnd w:id="667"/>
    <w:p>
      <w:pPr>
        <w:pStyle w:val="BookText"/>
      </w:pPr>
      <w:r>
        <w:rPr>
          <w:rFonts w:ascii="Amiri" w:hAnsi="Amiri" w:eastAsia="Amiri" w:cs="Amiri"/>
          <w:lang w:bidi="ar-SA"/>
          <w:color w:val="111111"/>
          <w:sz w:val="28"/>
          <w:szCs w:val="28"/>
          <w:rtl/>
        </w:rPr>
        <w:t xml:space="preserve">19 .النصوص في تحقيق الطور المخصوص = النصوص الالهية ج 16 ، ص 309.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نفثة المصدور وتحفة المشكور = تحفة الشكور و سر نفثة المصدور ج 16، ص 379.</w:t>
      </w:r>
    </w:p>
    <w:p>
      <w:pPr>
        <w:pStyle w:val="BookText"/>
      </w:pPr>
      <w:r>
        <w:rPr>
          <w:rFonts w:ascii="Amiri" w:hAnsi="Amiri" w:eastAsia="Amiri" w:cs="Amiri"/>
          <w:lang w:bidi="ar-SA"/>
          <w:color w:val="111111"/>
          <w:sz w:val="28"/>
          <w:szCs w:val="28"/>
          <w:rtl/>
        </w:rPr>
        <w:t xml:space="preserve">21 .النفحات الالهية القدسية، ج 16،</w:t>
      </w:r>
    </w:p>
    <w:p>
      <w:pPr>
        <w:pStyle w:val="BookText"/>
      </w:pPr>
      <w:r>
        <w:rPr>
          <w:rFonts w:ascii="IRNazanin" w:hAnsi="IRNazanin" w:eastAsia="IRNazanin" w:cs="IRNazanin"/>
          <w:lang w:bidi="fa-IR"/>
          <w:color w:val="111111"/>
          <w:sz w:val="28"/>
          <w:szCs w:val="28"/>
          <w:rtl/>
        </w:rPr>
        <w:t xml:space="preserve">ص 379.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وصیت نامه ج 16، ص820</w:t>
      </w:r>
    </w:p>
    <w:p>
      <w:pPr>
        <w:pStyle w:val="BookText"/>
      </w:pPr>
      <w:r>
        <w:rPr>
          <w:rFonts w:ascii="Amiri" w:hAnsi="Amiri" w:eastAsia="Amiri" w:cs="Amiri"/>
          <w:lang w:bidi="ar-SA"/>
          <w:color w:val="111111"/>
          <w:sz w:val="28"/>
          <w:szCs w:val="28"/>
          <w:rtl/>
        </w:rPr>
        <w:t xml:space="preserve">صدر الدين كبير -دشتكي شيرازي ، مير</w:t>
      </w:r>
    </w:p>
    <w:p>
      <w:pPr>
        <w:pStyle w:val="BookText"/>
      </w:pPr>
      <w:r>
        <w:rPr>
          <w:rFonts w:ascii="IRNazanin" w:hAnsi="IRNazanin" w:eastAsia="IRNazanin" w:cs="IRNazanin"/>
          <w:lang w:bidi="fa-IR"/>
          <w:color w:val="111111"/>
          <w:sz w:val="28"/>
          <w:szCs w:val="28"/>
          <w:rtl/>
        </w:rPr>
        <w:t xml:space="preserve">صدرالدین محمّد</w:t>
      </w:r>
    </w:p>
    <w:p>
      <w:pPr>
        <w:pStyle w:val="Heading2"/>
      </w:pPr>
      <w:bookmarkStart w:id="5405" w:name="_Toc4507"/>
      <w:r>
        <w:t>صدرالدین نورالله</w:t>
      </w:r>
      <w:bookmarkEnd w:id="5405"/>
    </w:p>
    <w:p>
      <w:pPr>
        <w:pStyle w:val="BookText"/>
      </w:pPr>
      <w:r>
        <w:rPr>
          <w:rFonts w:ascii="Amiri" w:hAnsi="Amiri" w:eastAsia="Amiri" w:cs="Amiri"/>
          <w:lang w:bidi="ar-SA"/>
          <w:color w:val="111111"/>
          <w:sz w:val="28"/>
          <w:szCs w:val="28"/>
          <w:rtl/>
        </w:rPr>
        <w:t xml:space="preserve">المباحث الاصولية، ج13، ص 709.</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IRNazanin" w:hAnsi="IRNazanin" w:eastAsia="IRNazanin" w:cs="IRNazanin"/>
          <w:lang w:bidi="fa-IR"/>
          <w:color w:val="111111"/>
          <w:sz w:val="28"/>
          <w:szCs w:val="28"/>
          <w:rtl/>
        </w:rPr>
        <w:t xml:space="preserve">صدر الدین نیشابوري ، حسن بن</w:t>
      </w:r>
    </w:p>
    <w:p>
      <w:pPr>
        <w:pStyle w:val="BookText"/>
      </w:pPr>
      <w:r>
        <w:rPr>
          <w:rFonts w:ascii="Amiri" w:hAnsi="Amiri" w:eastAsia="Amiri" w:cs="Amiri"/>
          <w:lang w:bidi="ar-SA"/>
          <w:color w:val="111111"/>
          <w:sz w:val="28"/>
          <w:szCs w:val="28"/>
          <w:rtl/>
        </w:rPr>
        <w:t xml:space="preserve">محمّد -نظامي نيشابوري ، حسن بن محمّد</w:t>
      </w:r>
    </w:p>
    <w:p>
      <w:pPr>
        <w:pStyle w:val="BookText"/>
      </w:pPr>
      <w:r>
        <w:rPr>
          <w:rFonts w:ascii="Amiri" w:hAnsi="Amiri" w:eastAsia="Amiri" w:cs="Amiri"/>
          <w:lang w:bidi="ar-SA"/>
          <w:color w:val="111111"/>
          <w:sz w:val="28"/>
          <w:szCs w:val="28"/>
          <w:rtl/>
        </w:rPr>
        <w:t xml:space="preserve">صدر السلطنه حسينقلي بن علي اصغر</w:t>
      </w:r>
    </w:p>
    <w:p>
      <w:pPr>
        <w:pStyle w:val="BookText"/>
      </w:pPr>
      <w:r>
        <w:rPr>
          <w:rFonts w:ascii="Amiri" w:hAnsi="Amiri" w:eastAsia="Amiri" w:cs="Amiri"/>
          <w:lang w:bidi="ar-SA"/>
          <w:color w:val="111111"/>
          <w:sz w:val="28"/>
          <w:szCs w:val="28"/>
          <w:rtl/>
        </w:rPr>
        <w:t xml:space="preserve">نوري -وفا ، حسينقلي بن علي اصغر</w:t>
      </w:r>
    </w:p>
    <w:p>
      <w:pPr>
        <w:pStyle w:val="BookText"/>
      </w:pPr>
      <w:r>
        <w:rPr>
          <w:rFonts w:ascii="IRNazanin" w:hAnsi="IRNazanin" w:eastAsia="IRNazanin" w:cs="IRNazanin"/>
          <w:lang w:bidi="fa-IR"/>
          <w:color w:val="111111"/>
          <w:sz w:val="28"/>
          <w:szCs w:val="28"/>
          <w:rtl/>
        </w:rPr>
        <w:t xml:space="preserve">بن</w:t>
      </w:r>
    </w:p>
    <w:p>
      <w:pPr>
        <w:pStyle w:val="BookText"/>
      </w:pPr>
      <w:r>
        <w:rPr>
          <w:rFonts w:ascii="Amiri" w:hAnsi="Amiri" w:eastAsia="Amiri" w:cs="Amiri"/>
          <w:lang w:bidi="ar-SA"/>
          <w:color w:val="111111"/>
          <w:sz w:val="28"/>
          <w:szCs w:val="28"/>
          <w:rtl/>
        </w:rPr>
        <w:t xml:space="preserve">صدر الشريعة الاصغر ، عبيد الله مسعود- صدر الشريعة الثاني ، عبيد الله بن مسعود</w:t>
      </w:r>
    </w:p>
    <w:p>
      <w:pPr>
        <w:pStyle w:val="Heading2"/>
      </w:pPr>
      <w:bookmarkStart w:id="5406" w:name="_Toc4508"/>
      <w:r>
        <w:t>صدر الشريعة الثاني ، عبيد الله بن مسعود</w:t>
      </w:r>
      <w:bookmarkEnd w:id="54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750؟ ه-</w:t>
      </w:r>
    </w:p>
    <w:p>
      <w:pPr>
        <w:pStyle w:val="BookText"/>
      </w:pPr>
      <w:r>
        <w:rPr>
          <w:rFonts w:ascii="Amiri" w:hAnsi="Amiri" w:eastAsia="Amiri" w:cs="Amiri"/>
          <w:lang w:bidi="ar-SA"/>
          <w:color w:val="111111"/>
          <w:sz w:val="28"/>
          <w:szCs w:val="28"/>
          <w:rtl/>
        </w:rPr>
        <w:t xml:space="preserve">1 .تنقيح الاصول، ج 5 ، ص 61 .</w:t>
      </w:r>
    </w:p>
    <w:p>
      <w:pPr>
        <w:pStyle w:val="BookText"/>
      </w:pPr>
      <w:r>
        <w:rPr>
          <w:rFonts w:ascii="Amiri" w:hAnsi="Amiri" w:eastAsia="Amiri" w:cs="Amiri"/>
          <w:lang w:bidi="ar-SA"/>
          <w:color w:val="111111"/>
          <w:sz w:val="28"/>
          <w:szCs w:val="28"/>
          <w:rtl/>
        </w:rPr>
        <w:t xml:space="preserve">2 .التوضيح في حل غوامض التنقيح</w:t>
      </w:r>
    </w:p>
    <w:p>
      <w:pPr>
        <w:pStyle w:val="BookText"/>
      </w:pPr>
      <w:r>
        <w:rPr>
          <w:rFonts w:ascii="IRNazanin" w:hAnsi="IRNazanin" w:eastAsia="IRNazanin" w:cs="IRNazanin"/>
          <w:lang w:bidi="fa-IR"/>
          <w:color w:val="111111"/>
          <w:sz w:val="28"/>
          <w:szCs w:val="28"/>
          <w:rtl/>
        </w:rPr>
        <w:t xml:space="preserve">ج 5، ص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حل الغوامض من وقاية الرواية في</w:t>
      </w:r>
    </w:p>
    <w:p>
      <w:pPr>
        <w:pStyle w:val="BookText"/>
      </w:pPr>
      <w:r>
        <w:rPr>
          <w:rFonts w:ascii="Amiri" w:hAnsi="Amiri" w:eastAsia="Amiri" w:cs="Amiri"/>
          <w:lang w:bidi="ar-SA"/>
          <w:color w:val="111111"/>
          <w:sz w:val="28"/>
          <w:szCs w:val="28"/>
          <w:rtl/>
        </w:rPr>
        <w:t xml:space="preserve">مسائل الهداية، ج 6، ص 786 .</w:t>
      </w:r>
    </w:p>
    <w:p>
      <w:pPr>
        <w:pStyle w:val="BookText"/>
      </w:pPr>
      <w:r>
        <w:rPr>
          <w:rFonts w:ascii="Amiri" w:hAnsi="Amiri" w:eastAsia="Amiri" w:cs="Amiri"/>
          <w:lang w:bidi="ar-SA"/>
          <w:color w:val="111111"/>
          <w:sz w:val="28"/>
          <w:szCs w:val="28"/>
          <w:rtl/>
        </w:rPr>
        <w:t xml:space="preserve">4 .شرح التلويح إلى كشف حقائق</w:t>
      </w:r>
    </w:p>
    <w:p>
      <w:pPr>
        <w:pStyle w:val="BookText"/>
      </w:pPr>
      <w:r>
        <w:rPr>
          <w:rFonts w:ascii="Amiri" w:hAnsi="Amiri" w:eastAsia="Amiri" w:cs="Amiri"/>
          <w:lang w:bidi="ar-SA"/>
          <w:color w:val="111111"/>
          <w:sz w:val="28"/>
          <w:szCs w:val="28"/>
          <w:rtl/>
        </w:rPr>
        <w:t xml:space="preserve">التنقيح، ج 9، ص 345.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وقاية الرواية في مسائل الهداية - شرح الوقاية، ج 10،</w:t>
      </w:r>
    </w:p>
    <w:p>
      <w:pPr>
        <w:pStyle w:val="BookText"/>
      </w:pPr>
      <w:r>
        <w:rPr>
          <w:rFonts w:ascii="IRNazanin" w:hAnsi="IRNazanin" w:eastAsia="IRNazanin" w:cs="IRNazanin"/>
          <w:lang w:bidi="fa-IR"/>
          <w:color w:val="111111"/>
          <w:sz w:val="28"/>
          <w:szCs w:val="28"/>
          <w:rtl/>
        </w:rPr>
        <w:t xml:space="preserve">ص 333.</w:t>
      </w:r>
    </w:p>
    <w:p>
      <w:pPr>
        <w:pStyle w:val="BookText"/>
      </w:pPr>
      <w:r>
        <w:rPr>
          <w:rFonts w:ascii="Amiri" w:hAnsi="Amiri" w:eastAsia="Amiri" w:cs="Amiri"/>
          <w:lang w:bidi="ar-SA"/>
          <w:color w:val="111111"/>
          <w:sz w:val="28"/>
          <w:szCs w:val="28"/>
          <w:rtl/>
        </w:rPr>
        <w:t xml:space="preserve">6 .صدر الشريعة، ج 10، ص 538.</w:t>
      </w:r>
    </w:p>
    <w:p>
      <w:pPr>
        <w:pStyle w:val="BookText"/>
      </w:pPr>
      <w:r>
        <w:rPr>
          <w:rFonts w:ascii="Amiri" w:hAnsi="Amiri" w:eastAsia="Amiri" w:cs="Amiri"/>
          <w:lang w:bidi="ar-SA"/>
          <w:color w:val="111111"/>
          <w:sz w:val="28"/>
          <w:szCs w:val="28"/>
          <w:rtl/>
        </w:rPr>
        <w:t xml:space="preserve">7 .الطهر من الحيض (رسالة في)، ج 10،</w:t>
      </w:r>
    </w:p>
    <w:p>
      <w:pPr>
        <w:pStyle w:val="BookText"/>
      </w:pPr>
      <w:r>
        <w:rPr>
          <w:rFonts w:ascii="IRNazanin" w:hAnsi="IRNazanin" w:eastAsia="IRNazanin" w:cs="IRNazanin"/>
          <w:lang w:bidi="fa-IR"/>
          <w:color w:val="111111"/>
          <w:sz w:val="28"/>
          <w:szCs w:val="28"/>
          <w:rtl/>
        </w:rPr>
        <w:t xml:space="preserve">ص 866.</w:t>
      </w:r>
    </w:p>
    <w:p>
      <w:pPr>
        <w:pStyle w:val="BookText"/>
      </w:pPr>
      <w:r>
        <w:rPr>
          <w:rFonts w:ascii="Amiri" w:hAnsi="Amiri" w:eastAsia="Amiri" w:cs="Amiri"/>
          <w:lang w:bidi="ar-SA"/>
          <w:color w:val="111111"/>
          <w:sz w:val="28"/>
          <w:szCs w:val="28"/>
          <w:rtl/>
        </w:rPr>
        <w:t xml:space="preserve">8.النقاية في مختصر الوقاية = مختصر</w:t>
      </w:r>
    </w:p>
    <w:p>
      <w:pPr>
        <w:pStyle w:val="BookText"/>
      </w:pPr>
      <w:r>
        <w:rPr>
          <w:rFonts w:ascii="Amiri" w:hAnsi="Amiri" w:eastAsia="Amiri" w:cs="Amiri"/>
          <w:lang w:bidi="ar-SA"/>
          <w:color w:val="111111"/>
          <w:sz w:val="28"/>
          <w:szCs w:val="28"/>
          <w:rtl/>
        </w:rPr>
        <w:t xml:space="preserve">وقاية الرواية في مسائل الهداية (النقاية)، ج 16، ص 410.</w:t>
      </w:r>
    </w:p>
    <w:p>
      <w:pPr>
        <w:pStyle w:val="BookText"/>
      </w:pPr>
      <w:r>
        <w:rPr>
          <w:rFonts w:ascii="Amiri" w:hAnsi="Amiri" w:eastAsia="Amiri" w:cs="Amiri"/>
          <w:lang w:bidi="ar-SA"/>
          <w:color w:val="111111"/>
          <w:sz w:val="28"/>
          <w:szCs w:val="28"/>
          <w:rtl/>
        </w:rPr>
        <w:t xml:space="preserve">صدر الشريعة ، عبيد الله بن</w:t>
      </w:r>
    </w:p>
    <w:p>
      <w:pPr>
        <w:pStyle w:val="BookText"/>
      </w:pPr>
      <w:r>
        <w:rPr>
          <w:rFonts w:ascii="Amiri" w:hAnsi="Amiri" w:eastAsia="Amiri" w:cs="Amiri"/>
          <w:lang w:bidi="ar-SA"/>
          <w:color w:val="111111"/>
          <w:sz w:val="28"/>
          <w:szCs w:val="28"/>
          <w:rtl/>
        </w:rPr>
        <w:t xml:space="preserve">مسعود- صدر الشريعة الثاني ، عبيد الله بن مسعود</w:t>
      </w:r>
    </w:p>
    <w:p>
      <w:pPr>
        <w:pStyle w:val="BookText"/>
      </w:pPr>
      <w:r>
        <w:rPr>
          <w:rFonts w:ascii="Amiri" w:hAnsi="Amiri" w:eastAsia="Amiri" w:cs="Amiri"/>
          <w:lang w:bidi="ar-SA"/>
          <w:color w:val="111111"/>
          <w:sz w:val="28"/>
          <w:szCs w:val="28"/>
          <w:rtl/>
        </w:rPr>
        <w:t xml:space="preserve">صدر الشريعه الاكبر ، محمود بن</w:t>
      </w:r>
    </w:p>
    <w:p>
      <w:pPr>
        <w:pStyle w:val="BookText"/>
      </w:pPr>
      <w:r>
        <w:rPr>
          <w:rFonts w:ascii="IRNazanin" w:hAnsi="IRNazanin" w:eastAsia="IRNazanin" w:cs="IRNazanin"/>
          <w:lang w:bidi="fa-IR"/>
          <w:color w:val="111111"/>
          <w:sz w:val="28"/>
          <w:szCs w:val="28"/>
          <w:rtl/>
        </w:rPr>
        <w:t xml:space="preserve">عبيد الله -برهان الشريعه ، محمود بن عبیدالله</w:t>
      </w:r>
    </w:p>
    <w:p>
      <w:pPr>
        <w:pStyle w:val="BookText"/>
      </w:pPr>
      <w:r>
        <w:rPr>
          <w:rFonts w:ascii="Amiri" w:hAnsi="Amiri" w:eastAsia="Amiri" w:cs="Amiri"/>
          <w:lang w:bidi="ar-SA"/>
          <w:color w:val="111111"/>
          <w:sz w:val="28"/>
          <w:szCs w:val="28"/>
          <w:rtl/>
        </w:rPr>
        <w:t xml:space="preserve">صدر الشريعه الاول ، محمود بن</w:t>
      </w:r>
    </w:p>
    <w:p>
      <w:pPr>
        <w:pStyle w:val="BookText"/>
      </w:pPr>
      <w:r>
        <w:rPr>
          <w:rFonts w:ascii="IRNazanin" w:hAnsi="IRNazanin" w:eastAsia="IRNazanin" w:cs="IRNazanin"/>
          <w:lang w:bidi="fa-IR"/>
          <w:color w:val="111111"/>
          <w:sz w:val="28"/>
          <w:szCs w:val="28"/>
          <w:rtl/>
        </w:rPr>
        <w:t xml:space="preserve">عبيد الله -برهان الشريعه ، محمود بن عبیدالله</w:t>
      </w:r>
    </w:p>
    <w:p>
      <w:pPr>
        <w:pStyle w:val="BookText"/>
      </w:pPr>
      <w:r>
        <w:rPr>
          <w:rFonts w:ascii="Amiri" w:hAnsi="Amiri" w:eastAsia="Amiri" w:cs="Amiri"/>
          <w:lang w:bidi="ar-SA"/>
          <w:color w:val="111111"/>
          <w:sz w:val="28"/>
          <w:szCs w:val="28"/>
          <w:rtl/>
        </w:rPr>
        <w:t xml:space="preserve">صدر الشريعه ، عبيد الله بن مسعود -صدر الشريعة الثاني ، عبيد الله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Amiri" w:hAnsi="Amiri" w:eastAsia="Amiri" w:cs="Amiri"/>
          <w:lang w:bidi="ar-SA"/>
          <w:color w:val="111111"/>
          <w:sz w:val="28"/>
          <w:szCs w:val="28"/>
          <w:rtl/>
        </w:rPr>
        <w:t xml:space="preserve">صدر الشهيد عمر بن عبدالعزيز -صدر</w:t>
      </w:r>
    </w:p>
    <w:p>
      <w:pPr>
        <w:pStyle w:val="BookText"/>
      </w:pPr>
      <w:r>
        <w:rPr>
          <w:rFonts w:ascii="Amiri" w:hAnsi="Amiri" w:eastAsia="Amiri" w:cs="Amiri"/>
          <w:lang w:bidi="ar-SA"/>
          <w:color w:val="111111"/>
          <w:sz w:val="28"/>
          <w:szCs w:val="28"/>
          <w:rtl/>
        </w:rPr>
        <w:t xml:space="preserve">الشهيد ، عمر بن عبدالعزيز</w:t>
      </w:r>
    </w:p>
    <w:p>
      <w:pPr>
        <w:pStyle w:val="Heading2"/>
      </w:pPr>
      <w:bookmarkStart w:id="5407" w:name="_Toc4509"/>
      <w:r>
        <w:t>صدر الشهيد ، عمر بن عبد العزيز 483 -</w:t>
      </w:r>
      <w:bookmarkEnd w:id="5407"/>
    </w:p>
    <w:p>
      <w:pPr>
        <w:pStyle w:val="BookText"/>
      </w:pPr>
      <w:r>
        <w:rPr>
          <w:rFonts w:ascii="IRNazanin" w:hAnsi="IRNazanin" w:eastAsia="IRNazanin" w:cs="IRNazanin"/>
          <w:lang w:bidi="fa-IR"/>
          <w:color w:val="111111"/>
          <w:sz w:val="28"/>
          <w:szCs w:val="28"/>
          <w:rtl/>
        </w:rPr>
        <w:t xml:space="preserve">536 ه-</w:t>
      </w:r>
    </w:p>
    <w:p>
      <w:pPr>
        <w:pStyle w:val="BookText"/>
      </w:pPr>
      <w:r>
        <w:rPr>
          <w:rFonts w:ascii="Amiri" w:hAnsi="Amiri" w:eastAsia="Amiri" w:cs="Amiri"/>
          <w:lang w:bidi="ar-SA"/>
          <w:color w:val="111111"/>
          <w:sz w:val="28"/>
          <w:szCs w:val="28"/>
          <w:rtl/>
        </w:rPr>
        <w:t xml:space="preserve">1 .شرح أدب القاضي للخصاف، ج 9،</w:t>
      </w:r>
    </w:p>
    <w:p>
      <w:pPr>
        <w:pStyle w:val="BookText"/>
      </w:pPr>
      <w:r>
        <w:rPr>
          <w:rFonts w:ascii="IRNazanin" w:hAnsi="IRNazanin" w:eastAsia="IRNazanin" w:cs="IRNazanin"/>
          <w:lang w:bidi="fa-IR"/>
          <w:color w:val="111111"/>
          <w:sz w:val="28"/>
          <w:szCs w:val="28"/>
          <w:rtl/>
        </w:rPr>
        <w:t xml:space="preserve">ص 165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68" w:name="pg7742_70659"/>
    <w:bookmarkEnd w:id="668"/>
    <w:p>
      <w:pPr>
        <w:pStyle w:val="BookText"/>
      </w:pPr>
      <w:r>
        <w:rPr>
          <w:rFonts w:ascii="Amiri" w:hAnsi="Amiri" w:eastAsia="Amiri" w:cs="Amiri"/>
          <w:lang w:bidi="ar-SA"/>
          <w:color w:val="111111"/>
          <w:sz w:val="28"/>
          <w:szCs w:val="28"/>
          <w:rtl/>
        </w:rPr>
        <w:t xml:space="preserve">2 .شرح ترتيب الجامع الصغير = جامع الصدر الشهيد = تلخص الجامع ج 9، ص 325.</w:t>
      </w:r>
    </w:p>
    <w:p>
      <w:pPr>
        <w:pStyle w:val="BookText"/>
      </w:pPr>
      <w:r>
        <w:rPr>
          <w:rFonts w:ascii="IRNazanin" w:hAnsi="IRNazanin" w:eastAsia="IRNazanin" w:cs="IRNazanin"/>
          <w:lang w:bidi="fa-IR"/>
          <w:color w:val="111111"/>
          <w:sz w:val="28"/>
          <w:szCs w:val="28"/>
          <w:rtl/>
        </w:rPr>
        <w:t xml:space="preserve">3 .الفتاوى الصغری، ج 11، ص 616.</w:t>
      </w:r>
    </w:p>
    <w:p>
      <w:pPr>
        <w:pStyle w:val="BookText"/>
      </w:pPr>
      <w:r>
        <w:rPr>
          <w:rFonts w:ascii="Amiri" w:hAnsi="Amiri" w:eastAsia="Amiri" w:cs="Amiri"/>
          <w:lang w:bidi="ar-SA"/>
          <w:color w:val="111111"/>
          <w:sz w:val="28"/>
          <w:szCs w:val="28"/>
          <w:rtl/>
        </w:rPr>
        <w:t xml:space="preserve">4 .فتاوى حسام الدين، ج 11، ص 608.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الواقعات = اجناس الواقعات ج16</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Amiri" w:hAnsi="Amiri" w:eastAsia="Amiri" w:cs="Amiri"/>
          <w:lang w:bidi="ar-SA"/>
          <w:color w:val="111111"/>
          <w:sz w:val="28"/>
          <w:szCs w:val="28"/>
          <w:rtl/>
        </w:rPr>
        <w:t xml:space="preserve">صدر العالم ، ابوالفضل محمّد بن كاظم- صدر العالم ، محمّد بن كاظم</w:t>
      </w:r>
    </w:p>
    <w:p>
      <w:pPr>
        <w:pStyle w:val="Heading2"/>
      </w:pPr>
      <w:bookmarkStart w:id="5408" w:name="_Toc4510"/>
      <w:r>
        <w:t>صدر العالم ، محمّد بن كاظم قرن 9 ه-</w:t>
      </w:r>
      <w:bookmarkEnd w:id="5408"/>
    </w:p>
    <w:p>
      <w:pPr>
        <w:pStyle w:val="BookText"/>
      </w:pPr>
      <w:r>
        <w:rPr>
          <w:rFonts w:ascii="Amiri" w:hAnsi="Amiri" w:eastAsia="Amiri" w:cs="Amiri"/>
          <w:lang w:bidi="ar-SA"/>
          <w:color w:val="111111"/>
          <w:sz w:val="28"/>
          <w:szCs w:val="28"/>
          <w:rtl/>
        </w:rPr>
        <w:t xml:space="preserve">النفحة العنبرية في انساب خير البرية</w:t>
      </w:r>
    </w:p>
    <w:p>
      <w:pPr>
        <w:pStyle w:val="BookText"/>
      </w:pPr>
      <w:r>
        <w:rPr>
          <w:rFonts w:ascii="IRNazanin" w:hAnsi="IRNazanin" w:eastAsia="IRNazanin" w:cs="IRNazanin"/>
          <w:lang w:bidi="fa-IR"/>
          <w:color w:val="111111"/>
          <w:sz w:val="28"/>
          <w:szCs w:val="28"/>
          <w:rtl/>
        </w:rPr>
        <w:t xml:space="preserve">ج 16، ص390.</w:t>
      </w:r>
    </w:p>
    <w:p>
      <w:pPr>
        <w:pStyle w:val="BookText"/>
      </w:pPr>
      <w:r>
        <w:rPr>
          <w:rFonts w:ascii="Amiri" w:hAnsi="Amiri" w:eastAsia="Amiri" w:cs="Amiri"/>
          <w:lang w:bidi="ar-SA"/>
          <w:color w:val="111111"/>
          <w:sz w:val="28"/>
          <w:szCs w:val="28"/>
          <w:rtl/>
        </w:rPr>
        <w:t xml:space="preserve">صدر العلماء- دشتكي شيرازي ، مير</w:t>
      </w:r>
    </w:p>
    <w:p>
      <w:pPr>
        <w:pStyle w:val="BookText"/>
      </w:pPr>
      <w:r>
        <w:rPr>
          <w:rFonts w:ascii="IRNazanin" w:hAnsi="IRNazanin" w:eastAsia="IRNazanin" w:cs="IRNazanin"/>
          <w:lang w:bidi="fa-IR"/>
          <w:color w:val="111111"/>
          <w:sz w:val="28"/>
          <w:szCs w:val="28"/>
          <w:rtl/>
        </w:rPr>
        <w:t xml:space="preserve">صدر الدین محمّد</w:t>
      </w:r>
    </w:p>
    <w:p>
      <w:pPr>
        <w:pStyle w:val="BookText"/>
      </w:pPr>
      <w:r>
        <w:rPr>
          <w:rFonts w:ascii="Amiri" w:hAnsi="Amiri" w:eastAsia="Amiri" w:cs="Amiri"/>
          <w:lang w:bidi="ar-SA"/>
          <w:color w:val="111111"/>
          <w:sz w:val="28"/>
          <w:szCs w:val="28"/>
          <w:rtl/>
        </w:rPr>
        <w:t xml:space="preserve">صدر المتألهين -صدرالدين شيرازي ، محمّد</w:t>
      </w:r>
    </w:p>
    <w:p>
      <w:pPr>
        <w:pStyle w:val="BookText"/>
      </w:pPr>
      <w:r>
        <w:rPr>
          <w:rFonts w:ascii="Amiri" w:hAnsi="Amiri" w:eastAsia="Amiri" w:cs="Amiri"/>
          <w:lang w:bidi="ar-SA"/>
          <w:color w:val="111111"/>
          <w:sz w:val="28"/>
          <w:szCs w:val="28"/>
          <w:rtl/>
        </w:rPr>
        <w:t xml:space="preserve">بن ابراهيم</w:t>
      </w:r>
    </w:p>
    <w:p>
      <w:pPr>
        <w:pStyle w:val="Heading2"/>
      </w:pPr>
      <w:bookmarkStart w:id="5409" w:name="_Toc4511"/>
      <w:r>
        <w:t>صدر الممالك اردبيلي ، نصر الله - 1271</w:t>
      </w:r>
      <w:bookmarkEnd w:id="5409"/>
    </w:p>
    <w:p>
      <w:pPr>
        <w:pStyle w:val="BookText"/>
      </w:pPr>
      <w:r>
        <w:rPr>
          <w:rFonts w:ascii="IRNazanin" w:hAnsi="IRNazanin" w:eastAsia="IRNazanin" w:cs="IRNazanin"/>
          <w:lang w:bidi="fa-IR"/>
          <w:color w:val="111111"/>
          <w:sz w:val="28"/>
          <w:szCs w:val="28"/>
          <w:rtl/>
        </w:rPr>
        <w:t xml:space="preserve">دیوان نصرت اردبيلي = ديوان</w:t>
      </w:r>
    </w:p>
    <w:p>
      <w:pPr>
        <w:pStyle w:val="BookText"/>
      </w:pPr>
      <w:r>
        <w:rPr>
          <w:rFonts w:ascii="Amiri" w:hAnsi="Amiri" w:eastAsia="Amiri" w:cs="Amiri"/>
          <w:lang w:bidi="ar-SA"/>
          <w:color w:val="111111"/>
          <w:sz w:val="28"/>
          <w:szCs w:val="28"/>
          <w:rtl/>
        </w:rPr>
        <w:t xml:space="preserve">نصر تعلي شاه، ج7، ص789</w:t>
      </w:r>
    </w:p>
    <w:p>
      <w:pPr>
        <w:pStyle w:val="BookText"/>
      </w:pPr>
      <w:r>
        <w:rPr>
          <w:rFonts w:ascii="Amiri" w:hAnsi="Amiri" w:eastAsia="Amiri" w:cs="Amiri"/>
          <w:lang w:bidi="ar-SA"/>
          <w:color w:val="111111"/>
          <w:sz w:val="28"/>
          <w:szCs w:val="28"/>
          <w:rtl/>
        </w:rPr>
        <w:t xml:space="preserve">صدر ، بدر -رشتي ، صدرالدين بن</w:t>
      </w:r>
    </w:p>
    <w:p>
      <w:pPr>
        <w:pStyle w:val="BookText"/>
      </w:pPr>
      <w:r>
        <w:rPr>
          <w:rFonts w:ascii="IRNazanin" w:hAnsi="IRNazanin" w:eastAsia="IRNazanin" w:cs="IRNazanin"/>
          <w:lang w:bidi="fa-IR"/>
          <w:color w:val="111111"/>
          <w:sz w:val="28"/>
          <w:szCs w:val="28"/>
          <w:rtl/>
        </w:rPr>
        <w:t xml:space="preserve">بدرالدین</w:t>
      </w:r>
    </w:p>
    <w:p>
      <w:pPr>
        <w:pStyle w:val="BookText"/>
      </w:pPr>
      <w:r>
        <w:rPr>
          <w:rFonts w:ascii="Amiri" w:hAnsi="Amiri" w:eastAsia="Amiri" w:cs="Amiri"/>
          <w:lang w:bidi="ar-SA"/>
          <w:color w:val="111111"/>
          <w:sz w:val="28"/>
          <w:szCs w:val="28"/>
          <w:rtl/>
        </w:rPr>
        <w:t xml:space="preserve">صدر بدر -رشتي ، صدر الدين بن</w:t>
      </w:r>
    </w:p>
    <w:p>
      <w:pPr>
        <w:pStyle w:val="BookText"/>
      </w:pPr>
      <w:r>
        <w:rPr>
          <w:rFonts w:ascii="IRNazanin" w:hAnsi="IRNazanin" w:eastAsia="IRNazanin" w:cs="IRNazanin"/>
          <w:lang w:bidi="fa-IR"/>
          <w:color w:val="111111"/>
          <w:sz w:val="28"/>
          <w:szCs w:val="28"/>
          <w:rtl/>
        </w:rPr>
        <w:t xml:space="preserve">بدرالدین</w:t>
      </w:r>
    </w:p>
    <w:p>
      <w:pPr>
        <w:pStyle w:val="BookText"/>
      </w:pPr>
      <w:r>
        <w:rPr>
          <w:rFonts w:ascii="Amiri" w:hAnsi="Amiri" w:eastAsia="Amiri" w:cs="Amiri"/>
          <w:lang w:bidi="ar-SA"/>
          <w:color w:val="111111"/>
          <w:sz w:val="28"/>
          <w:szCs w:val="28"/>
          <w:rtl/>
        </w:rPr>
        <w:t xml:space="preserve">صدر بن رشيد تبريزي -خواجه عصمت</w:t>
      </w:r>
    </w:p>
    <w:p>
      <w:pPr>
        <w:pStyle w:val="BookText"/>
      </w:pPr>
      <w:r>
        <w:rPr>
          <w:rFonts w:ascii="Amiri" w:hAnsi="Amiri" w:eastAsia="Amiri" w:cs="Amiri"/>
          <w:lang w:bidi="ar-SA"/>
          <w:color w:val="111111"/>
          <w:sz w:val="28"/>
          <w:szCs w:val="28"/>
          <w:rtl/>
        </w:rPr>
        <w:t xml:space="preserve">الله ، صدر بن رشيد</w:t>
      </w:r>
    </w:p>
    <w:p>
      <w:pPr>
        <w:pStyle w:val="BookText"/>
      </w:pPr>
      <w:r>
        <w:rPr>
          <w:rFonts w:ascii="IRNazanin" w:hAnsi="IRNazanin" w:eastAsia="IRNazanin" w:cs="IRNazanin"/>
          <w:lang w:bidi="fa-IR"/>
          <w:color w:val="111111"/>
          <w:sz w:val="28"/>
          <w:szCs w:val="28"/>
          <w:rtl/>
        </w:rPr>
        <w:t xml:space="preserve">صدر ترکه ، صاين الدين علي بن</w:t>
      </w:r>
    </w:p>
    <w:p>
      <w:pPr>
        <w:pStyle w:val="BookText"/>
      </w:pPr>
      <w:r>
        <w:rPr>
          <w:rFonts w:ascii="IRNazanin" w:hAnsi="IRNazanin" w:eastAsia="IRNazanin" w:cs="IRNazanin"/>
          <w:lang w:bidi="fa-IR"/>
          <w:color w:val="111111"/>
          <w:sz w:val="28"/>
          <w:szCs w:val="28"/>
          <w:rtl/>
        </w:rPr>
        <w:t xml:space="preserve">محمّد- ترکه اصفهاني ، علي بن محمّد</w:t>
      </w:r>
    </w:p>
    <w:p>
      <w:pPr>
        <w:pStyle w:val="BookText"/>
      </w:pPr>
      <w:r>
        <w:rPr>
          <w:rFonts w:ascii="Amiri" w:hAnsi="Amiri" w:eastAsia="Amiri" w:cs="Amiri"/>
          <w:lang w:bidi="ar-SA"/>
          <w:color w:val="111111"/>
          <w:sz w:val="28"/>
          <w:szCs w:val="28"/>
          <w:rtl/>
        </w:rPr>
        <w:t xml:space="preserve">صدر ثاني ، محمّد بن منصور- دشتكي شيرازي ، صدرالدين ثاني محمّد بن منصور</w:t>
      </w:r>
    </w:p>
    <w:p>
      <w:pPr>
        <w:pStyle w:val="BookText"/>
      </w:pPr>
      <w:r>
        <w:rPr>
          <w:rFonts w:ascii="IRNazanin" w:hAnsi="IRNazanin" w:eastAsia="IRNazanin" w:cs="IRNazanin"/>
          <w:lang w:bidi="fa-IR"/>
          <w:color w:val="111111"/>
          <w:sz w:val="28"/>
          <w:szCs w:val="28"/>
          <w:rtl/>
        </w:rPr>
        <w:t xml:space="preserve">صدر جهان، محمود بن محمّد -خواجه</w:t>
      </w:r>
    </w:p>
    <w:p>
      <w:pPr>
        <w:pStyle w:val="BookText"/>
      </w:pPr>
      <w:r>
        <w:rPr>
          <w:rFonts w:ascii="IRNazanin" w:hAnsi="IRNazanin" w:eastAsia="IRNazanin" w:cs="IRNazanin"/>
          <w:lang w:bidi="fa-IR"/>
          <w:color w:val="111111"/>
          <w:sz w:val="28"/>
          <w:szCs w:val="28"/>
          <w:rtl/>
        </w:rPr>
        <w:t xml:space="preserve">جهان ، محمود بن محمّد</w:t>
      </w:r>
    </w:p>
    <w:p>
      <w:pPr>
        <w:pStyle w:val="Heading2"/>
      </w:pPr>
      <w:bookmarkStart w:id="5410" w:name="_Toc4512"/>
      <w:r>
        <w:t>صدر ، حسن بن هادي، 1272 - 1354 ه-</w:t>
      </w:r>
      <w:bookmarkEnd w:id="5410"/>
    </w:p>
    <w:p>
      <w:pPr>
        <w:pStyle w:val="BookText"/>
      </w:pPr>
      <w:r>
        <w:rPr>
          <w:rFonts w:ascii="Amiri" w:hAnsi="Amiri" w:eastAsia="Amiri" w:cs="Amiri"/>
          <w:lang w:bidi="ar-SA"/>
          <w:color w:val="111111"/>
          <w:sz w:val="28"/>
          <w:szCs w:val="28"/>
          <w:rtl/>
        </w:rPr>
        <w:t xml:space="preserve">1 .إبانة الصدور في موقوفة ابن اذينة</w:t>
      </w:r>
    </w:p>
    <w:p>
      <w:pPr>
        <w:pStyle w:val="BookText"/>
      </w:pPr>
      <w:r>
        <w:rPr>
          <w:rFonts w:ascii="Amiri" w:hAnsi="Amiri" w:eastAsia="Amiri" w:cs="Amiri"/>
          <w:lang w:bidi="ar-SA"/>
          <w:color w:val="111111"/>
          <w:sz w:val="28"/>
          <w:szCs w:val="28"/>
          <w:rtl/>
        </w:rPr>
        <w:t xml:space="preserve">المأثوره في مسألة إرث ذات الولد</w:t>
      </w:r>
    </w:p>
    <w:p>
      <w:pPr>
        <w:pStyle w:val="BookText"/>
      </w:pPr>
      <w:r>
        <w:rPr>
          <w:rFonts w:ascii="IRNazanin" w:hAnsi="IRNazanin" w:eastAsia="IRNazanin" w:cs="IRNazanin"/>
          <w:lang w:bidi="fa-IR"/>
          <w:color w:val="111111"/>
          <w:sz w:val="28"/>
          <w:szCs w:val="28"/>
          <w:rtl/>
        </w:rPr>
        <w:t xml:space="preserve">من الرباع، ج 1، ص 84.</w:t>
      </w:r>
    </w:p>
    <w:p>
      <w:pPr>
        <w:pStyle w:val="BookText"/>
      </w:pPr>
      <w:r>
        <w:rPr>
          <w:rFonts w:ascii="Amiri" w:hAnsi="Amiri" w:eastAsia="Amiri" w:cs="Amiri"/>
          <w:lang w:bidi="ar-SA"/>
          <w:color w:val="111111"/>
          <w:sz w:val="28"/>
          <w:szCs w:val="28"/>
          <w:rtl/>
        </w:rPr>
        <w:t xml:space="preserve">2 .الإبانة عن كتب الخزانة، ج1،</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اجازة لآقا بزرگ الطهراني، ج 1،</w:t>
      </w:r>
    </w:p>
    <w:p>
      <w:pPr>
        <w:pStyle w:val="BookText"/>
      </w:pPr>
      <w:r>
        <w:rPr>
          <w:rFonts w:ascii="IRNazanin" w:hAnsi="IRNazanin" w:eastAsia="IRNazanin" w:cs="IRNazanin"/>
          <w:lang w:bidi="fa-IR"/>
          <w:color w:val="111111"/>
          <w:sz w:val="28"/>
          <w:szCs w:val="28"/>
          <w:rtl/>
        </w:rPr>
        <w:t xml:space="preserve">ص228.</w:t>
      </w:r>
    </w:p>
    <w:p>
      <w:pPr>
        <w:pStyle w:val="BookText"/>
      </w:pPr>
      <w:r>
        <w:rPr>
          <w:rFonts w:ascii="Amiri" w:hAnsi="Amiri" w:eastAsia="Amiri" w:cs="Amiri"/>
          <w:lang w:bidi="ar-SA"/>
          <w:color w:val="111111"/>
          <w:sz w:val="28"/>
          <w:szCs w:val="28"/>
          <w:rtl/>
        </w:rPr>
        <w:t xml:space="preserve">4 .اجازة للشيخ محمّد حسين</w:t>
      </w:r>
    </w:p>
    <w:p>
      <w:pPr>
        <w:pStyle w:val="BookText"/>
      </w:pPr>
      <w:r>
        <w:rPr>
          <w:rFonts w:ascii="Amiri" w:hAnsi="Amiri" w:eastAsia="Amiri" w:cs="Amiri"/>
          <w:lang w:bidi="ar-SA"/>
          <w:color w:val="111111"/>
          <w:sz w:val="28"/>
          <w:szCs w:val="28"/>
          <w:rtl/>
        </w:rPr>
        <w:t xml:space="preserve">الاصفهاني، ج 1، ص 274.</w:t>
      </w:r>
    </w:p>
    <w:p>
      <w:pPr>
        <w:pStyle w:val="BookText"/>
      </w:pPr>
      <w:r>
        <w:rPr>
          <w:rFonts w:ascii="Amiri" w:hAnsi="Amiri" w:eastAsia="Amiri" w:cs="Amiri"/>
          <w:lang w:bidi="ar-SA"/>
          <w:color w:val="111111"/>
          <w:sz w:val="28"/>
          <w:szCs w:val="28"/>
          <w:rtl/>
        </w:rPr>
        <w:t xml:space="preserve">5 .اجازة للميرزا علي اصغر التبريزي</w:t>
      </w:r>
    </w:p>
    <w:p>
      <w:pPr>
        <w:pStyle w:val="BookText"/>
      </w:pPr>
      <w:r>
        <w:rPr>
          <w:rFonts w:ascii="IRNazanin" w:hAnsi="IRNazanin" w:eastAsia="IRNazanin" w:cs="IRNazanin"/>
          <w:lang w:bidi="fa-IR"/>
          <w:color w:val="111111"/>
          <w:sz w:val="28"/>
          <w:szCs w:val="28"/>
          <w:rtl/>
        </w:rPr>
        <w:t xml:space="preserve">ج 1، ص290.</w:t>
      </w:r>
    </w:p>
    <w:p>
      <w:pPr>
        <w:pStyle w:val="BookText"/>
      </w:pPr>
      <w:r>
        <w:rPr>
          <w:rFonts w:ascii="Amiri" w:hAnsi="Amiri" w:eastAsia="Amiri" w:cs="Amiri"/>
          <w:lang w:bidi="ar-SA"/>
          <w:color w:val="111111"/>
          <w:sz w:val="28"/>
          <w:szCs w:val="28"/>
          <w:rtl/>
        </w:rPr>
        <w:t xml:space="preserve">6 .احاديث اثبات الرجعة، ج 1،</w:t>
      </w:r>
    </w:p>
    <w:p>
      <w:pPr>
        <w:pStyle w:val="BookText"/>
      </w:pPr>
      <w:r>
        <w:rPr>
          <w:rFonts w:ascii="IRNazanin" w:hAnsi="IRNazanin" w:eastAsia="IRNazanin" w:cs="IRNazanin"/>
          <w:lang w:bidi="fa-IR"/>
          <w:color w:val="111111"/>
          <w:sz w:val="28"/>
          <w:szCs w:val="28"/>
          <w:rtl/>
        </w:rPr>
        <w:t xml:space="preserve">ص 405.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احياء النفوس باداب ابن طاووس</w:t>
      </w:r>
    </w:p>
    <w:p>
      <w:pPr>
        <w:pStyle w:val="BookText"/>
      </w:pPr>
      <w:r>
        <w:rPr>
          <w:rFonts w:ascii="IRNazanin" w:hAnsi="IRNazanin" w:eastAsia="IRNazanin" w:cs="IRNazanin"/>
          <w:lang w:bidi="fa-IR"/>
          <w:color w:val="111111"/>
          <w:sz w:val="28"/>
          <w:szCs w:val="28"/>
          <w:rtl/>
        </w:rPr>
        <w:t xml:space="preserve">ج 1، ص 519.</w:t>
      </w:r>
    </w:p>
    <w:p>
      <w:pPr>
        <w:pStyle w:val="BookText"/>
      </w:pPr>
      <w:r>
        <w:rPr>
          <w:rFonts w:ascii="Amiri" w:hAnsi="Amiri" w:eastAsia="Amiri" w:cs="Amiri"/>
          <w:lang w:bidi="ar-SA"/>
          <w:color w:val="111111"/>
          <w:sz w:val="28"/>
          <w:szCs w:val="28"/>
          <w:rtl/>
        </w:rPr>
        <w:t xml:space="preserve">8 .ارشاد المقلدين، ج2، ص 53.</w:t>
      </w:r>
    </w:p>
    <w:p>
      <w:pPr>
        <w:pStyle w:val="BookText"/>
      </w:pPr>
      <w:r>
        <w:rPr>
          <w:rFonts w:ascii="IRNazanin" w:hAnsi="IRNazanin" w:eastAsia="IRNazanin" w:cs="IRNazanin"/>
          <w:lang w:bidi="fa-IR"/>
          <w:color w:val="111111"/>
          <w:sz w:val="28"/>
          <w:szCs w:val="28"/>
          <w:rtl/>
        </w:rPr>
        <w:t xml:space="preserve">9 .اقرارات عمر ابن الخطاب، ج2،</w:t>
      </w:r>
    </w:p>
    <w:p>
      <w:pPr>
        <w:pStyle w:val="BookText"/>
      </w:pPr>
      <w:r>
        <w:rPr>
          <w:rFonts w:ascii="IRNazanin" w:hAnsi="IRNazanin" w:eastAsia="IRNazanin" w:cs="IRNazanin"/>
          <w:lang w:bidi="fa-IR"/>
          <w:color w:val="111111"/>
          <w:sz w:val="28"/>
          <w:szCs w:val="28"/>
          <w:rtl/>
        </w:rPr>
        <w:t xml:space="preserve">ص 620.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التقاط الزلال في شرح مشيخة</w:t>
      </w:r>
    </w:p>
    <w:p>
      <w:pPr>
        <w:pStyle w:val="BookText"/>
      </w:pPr>
      <w:r>
        <w:rPr>
          <w:rFonts w:ascii="IRNazanin" w:hAnsi="IRNazanin" w:eastAsia="IRNazanin" w:cs="IRNazanin"/>
          <w:lang w:bidi="fa-IR"/>
          <w:color w:val="111111"/>
          <w:sz w:val="28"/>
          <w:szCs w:val="28"/>
          <w:rtl/>
        </w:rPr>
        <w:t xml:space="preserve">الرجال، ج 2، ص 659.</w:t>
      </w:r>
    </w:p>
    <w:p>
      <w:pPr>
        <w:pStyle w:val="BookText"/>
      </w:pPr>
      <w:r>
        <w:rPr>
          <w:rFonts w:ascii="Amiri" w:hAnsi="Amiri" w:eastAsia="Amiri" w:cs="Amiri"/>
          <w:lang w:bidi="ar-SA"/>
          <w:color w:val="111111"/>
          <w:sz w:val="28"/>
          <w:szCs w:val="28"/>
          <w:rtl/>
        </w:rPr>
        <w:t xml:space="preserve">11 .الانتخاب القريب من التقريب</w:t>
      </w:r>
    </w:p>
    <w:p>
      <w:pPr>
        <w:pStyle w:val="BookText"/>
      </w:pPr>
      <w:r>
        <w:rPr>
          <w:rFonts w:ascii="IRNazanin" w:hAnsi="IRNazanin" w:eastAsia="IRNazanin" w:cs="IRNazanin"/>
          <w:lang w:bidi="fa-IR"/>
          <w:color w:val="111111"/>
          <w:sz w:val="28"/>
          <w:szCs w:val="28"/>
          <w:rtl/>
        </w:rPr>
        <w:t xml:space="preserve">ج 2، ص 784 .</w:t>
      </w:r>
    </w:p>
    <w:p>
      <w:pPr>
        <w:pStyle w:val="BookText"/>
      </w:pPr>
      <w:r>
        <w:rPr>
          <w:rFonts w:ascii="Amiri" w:hAnsi="Amiri" w:eastAsia="Amiri" w:cs="Amiri"/>
          <w:lang w:bidi="ar-SA"/>
          <w:color w:val="111111"/>
          <w:sz w:val="28"/>
          <w:szCs w:val="28"/>
          <w:rtl/>
        </w:rPr>
        <w:t xml:space="preserve">12 .انموذج في الاوائل، ج 2، ص832.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.اول مباحث الوقف (رسالة في)</w:t>
      </w:r>
    </w:p>
    <w:p>
      <w:pPr>
        <w:pStyle w:val="BookText"/>
      </w:pPr>
      <w:r>
        <w:rPr>
          <w:rFonts w:ascii="IRNazanin" w:hAnsi="IRNazanin" w:eastAsia="IRNazanin" w:cs="IRNazanin"/>
          <w:lang w:bidi="fa-IR"/>
          <w:color w:val="111111"/>
          <w:sz w:val="28"/>
          <w:szCs w:val="28"/>
          <w:rtl/>
        </w:rPr>
        <w:t xml:space="preserve">ج 3، ص88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البراهين الجلية في كفر احمد بن</w:t>
      </w:r>
    </w:p>
    <w:p>
      <w:pPr>
        <w:pStyle w:val="BookText"/>
      </w:pPr>
      <w:r>
        <w:rPr>
          <w:rFonts w:ascii="Amiri" w:hAnsi="Amiri" w:eastAsia="Amiri" w:cs="Amiri"/>
          <w:lang w:bidi="ar-SA"/>
          <w:color w:val="111111"/>
          <w:sz w:val="28"/>
          <w:szCs w:val="28"/>
          <w:rtl/>
        </w:rPr>
        <w:t xml:space="preserve">تيمية، ج 3، ص 296.</w:t>
      </w:r>
    </w:p>
    <w:p>
      <w:pPr>
        <w:pStyle w:val="BookText"/>
      </w:pPr>
      <w:r>
        <w:rPr>
          <w:rFonts w:ascii="Amiri" w:hAnsi="Amiri" w:eastAsia="Amiri" w:cs="Amiri"/>
          <w:lang w:bidi="ar-SA"/>
          <w:color w:val="111111"/>
          <w:sz w:val="28"/>
          <w:szCs w:val="28"/>
          <w:rtl/>
        </w:rPr>
        <w:t xml:space="preserve">15 .بعض المسائل على شرح مشيخة</w:t>
      </w:r>
    </w:p>
    <w:p>
      <w:pPr>
        <w:pStyle w:val="BookText"/>
      </w:pPr>
      <w:r>
        <w:rPr>
          <w:rFonts w:ascii="IRNazanin" w:hAnsi="IRNazanin" w:eastAsia="IRNazanin" w:cs="IRNazanin"/>
          <w:lang w:bidi="fa-IR"/>
          <w:color w:val="111111"/>
          <w:sz w:val="28"/>
          <w:szCs w:val="28"/>
          <w:rtl/>
        </w:rPr>
        <w:t xml:space="preserve">الرجال، ج 3، ص 359.</w:t>
      </w:r>
    </w:p>
    <w:p>
      <w:pPr>
        <w:pStyle w:val="BookText"/>
      </w:pPr>
      <w:r>
        <w:rPr>
          <w:rFonts w:ascii="Amiri" w:hAnsi="Amiri" w:eastAsia="Amiri" w:cs="Amiri"/>
          <w:lang w:bidi="ar-SA"/>
          <w:color w:val="111111"/>
          <w:sz w:val="28"/>
          <w:szCs w:val="28"/>
          <w:rtl/>
        </w:rPr>
        <w:t xml:space="preserve">16 .بغية الوعاة في طبقات مشايخ</w:t>
      </w:r>
    </w:p>
    <w:p>
      <w:pPr>
        <w:pStyle w:val="BookText"/>
      </w:pPr>
      <w:r>
        <w:rPr>
          <w:rFonts w:ascii="IRNazanin" w:hAnsi="IRNazanin" w:eastAsia="IRNazanin" w:cs="IRNazanin"/>
          <w:lang w:bidi="fa-IR"/>
          <w:color w:val="111111"/>
          <w:sz w:val="28"/>
          <w:szCs w:val="28"/>
          <w:rtl/>
        </w:rPr>
        <w:t xml:space="preserve">الاجازات، ج3، ص378.</w:t>
      </w:r>
    </w:p>
    <w:p>
      <w:pPr>
        <w:pStyle w:val="BookText"/>
      </w:pPr>
      <w:r>
        <w:rPr>
          <w:rFonts w:ascii="Amiri" w:hAnsi="Amiri" w:eastAsia="Amiri" w:cs="Amiri"/>
          <w:lang w:bidi="ar-SA"/>
          <w:color w:val="111111"/>
          <w:sz w:val="28"/>
          <w:szCs w:val="28"/>
          <w:rtl/>
        </w:rPr>
        <w:t xml:space="preserve">17 .البيان البديع في ابن بزيع، ج 3،</w:t>
      </w:r>
    </w:p>
    <w:p>
      <w:pPr>
        <w:pStyle w:val="BookText"/>
      </w:pPr>
      <w:r>
        <w:rPr>
          <w:rFonts w:ascii="IRNazanin" w:hAnsi="IRNazanin" w:eastAsia="IRNazanin" w:cs="IRNazanin"/>
          <w:lang w:bidi="fa-IR"/>
          <w:color w:val="111111"/>
          <w:sz w:val="28"/>
          <w:szCs w:val="28"/>
          <w:rtl/>
        </w:rPr>
        <w:t xml:space="preserve">ص 462 .</w:t>
      </w:r>
    </w:p>
    <w:p>
      <w:pPr>
        <w:pStyle w:val="BookText"/>
      </w:pPr>
      <w:r>
        <w:rPr>
          <w:rFonts w:ascii="Amiri" w:hAnsi="Amiri" w:eastAsia="Amiri" w:cs="Amiri"/>
          <w:lang w:bidi="ar-SA"/>
          <w:color w:val="111111"/>
          <w:sz w:val="28"/>
          <w:szCs w:val="28"/>
          <w:rtl/>
        </w:rPr>
        <w:t xml:space="preserve">18 .تاسيس الشيعة الكرام لفنون</w:t>
      </w:r>
    </w:p>
    <w:p>
      <w:pPr>
        <w:pStyle w:val="BookText"/>
      </w:pPr>
      <w:r>
        <w:rPr>
          <w:rFonts w:ascii="IRNazanin" w:hAnsi="IRNazanin" w:eastAsia="IRNazanin" w:cs="IRNazanin"/>
          <w:lang w:bidi="fa-IR"/>
          <w:color w:val="111111"/>
          <w:sz w:val="28"/>
          <w:szCs w:val="28"/>
          <w:rtl/>
        </w:rPr>
        <w:t xml:space="preserve">الاسلام، ج 3، ص 619 .</w:t>
      </w:r>
    </w:p>
    <w:p>
      <w:pPr>
        <w:pStyle w:val="BookText"/>
      </w:pPr>
      <w:r>
        <w:rPr>
          <w:rFonts w:ascii="Amiri" w:hAnsi="Amiri" w:eastAsia="Amiri" w:cs="Amiri"/>
          <w:lang w:bidi="ar-SA"/>
          <w:color w:val="111111"/>
          <w:sz w:val="28"/>
          <w:szCs w:val="28"/>
          <w:rtl/>
        </w:rPr>
        <w:t xml:space="preserve">19 .تبيين الاباحة في ما لا يؤكل لحمه</w:t>
      </w:r>
    </w:p>
    <w:p>
      <w:pPr>
        <w:pStyle w:val="BookText"/>
      </w:pPr>
      <w:r>
        <w:rPr>
          <w:rFonts w:ascii="Amiri" w:hAnsi="Amiri" w:eastAsia="Amiri" w:cs="Amiri"/>
          <w:lang w:bidi="ar-SA"/>
          <w:color w:val="111111"/>
          <w:sz w:val="28"/>
          <w:szCs w:val="28"/>
          <w:rtl/>
        </w:rPr>
        <w:t xml:space="preserve">للمصلين، ج 3، ص 664 .</w:t>
      </w:r>
    </w:p>
    <w:p>
      <w:pPr>
        <w:pStyle w:val="BookText"/>
      </w:pPr>
      <w:r>
        <w:rPr>
          <w:rFonts w:ascii="Amiri" w:hAnsi="Amiri" w:eastAsia="Amiri" w:cs="Amiri"/>
          <w:lang w:bidi="ar-SA"/>
          <w:color w:val="111111"/>
          <w:sz w:val="28"/>
          <w:szCs w:val="28"/>
          <w:rtl/>
        </w:rPr>
        <w:t xml:space="preserve">20 .تبيين الرشاد في لبس السواد، ج 3،</w:t>
      </w:r>
    </w:p>
    <w:p>
      <w:pPr>
        <w:pStyle w:val="BookText"/>
      </w:pPr>
      <w:r>
        <w:rPr>
          <w:rFonts w:ascii="IRNazanin" w:hAnsi="IRNazanin" w:eastAsia="IRNazanin" w:cs="IRNazanin"/>
          <w:lang w:bidi="fa-IR"/>
          <w:color w:val="111111"/>
          <w:sz w:val="28"/>
          <w:szCs w:val="28"/>
          <w:rtl/>
        </w:rPr>
        <w:t xml:space="preserve">ص 667 .</w:t>
      </w:r>
    </w:p>
    <w:p>
      <w:pPr>
        <w:pStyle w:val="BookText"/>
      </w:pPr>
      <w:r>
        <w:rPr>
          <w:rFonts w:ascii="Amiri" w:hAnsi="Amiri" w:eastAsia="Amiri" w:cs="Amiri"/>
          <w:lang w:bidi="ar-SA"/>
          <w:color w:val="111111"/>
          <w:sz w:val="28"/>
          <w:szCs w:val="28"/>
          <w:rtl/>
        </w:rPr>
        <w:t xml:space="preserve">21 .تحصيل الفروع الدينية في فقه</w:t>
      </w:r>
    </w:p>
    <w:p>
      <w:pPr>
        <w:pStyle w:val="BookText"/>
      </w:pPr>
      <w:r>
        <w:rPr>
          <w:rFonts w:ascii="Amiri" w:hAnsi="Amiri" w:eastAsia="Amiri" w:cs="Amiri"/>
          <w:lang w:bidi="ar-SA"/>
          <w:color w:val="111111"/>
          <w:sz w:val="28"/>
          <w:szCs w:val="28"/>
          <w:rtl/>
        </w:rPr>
        <w:t xml:space="preserve">الامامية، ج 3، ص 767 .</w:t>
      </w:r>
    </w:p>
    <w:p>
      <w:pPr>
        <w:pStyle w:val="BookText"/>
      </w:pPr>
      <w:r>
        <w:rPr>
          <w:rFonts w:ascii="Amiri" w:hAnsi="Amiri" w:eastAsia="Amiri" w:cs="Amiri"/>
          <w:lang w:bidi="ar-SA"/>
          <w:color w:val="111111"/>
          <w:sz w:val="28"/>
          <w:szCs w:val="28"/>
          <w:rtl/>
        </w:rPr>
        <w:t xml:space="preserve">22 .تحية اهل القبور بالماثور، ج 4،</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Amiri" w:hAnsi="Amiri" w:eastAsia="Amiri" w:cs="Amiri"/>
          <w:lang w:bidi="ar-SA"/>
          <w:color w:val="111111"/>
          <w:sz w:val="28"/>
          <w:szCs w:val="28"/>
          <w:rtl/>
        </w:rPr>
        <w:t xml:space="preserve">23 .ترجمة السيد هادي صدر الدين</w:t>
      </w:r>
    </w:p>
    <w:p>
      <w:pPr>
        <w:pStyle w:val="BookText"/>
      </w:pPr>
      <w:r>
        <w:rPr>
          <w:rFonts w:ascii="Amiri" w:hAnsi="Amiri" w:eastAsia="Amiri" w:cs="Amiri"/>
          <w:lang w:bidi="ar-SA"/>
          <w:color w:val="111111"/>
          <w:sz w:val="28"/>
          <w:szCs w:val="28"/>
          <w:rtl/>
        </w:rPr>
        <w:t xml:space="preserve">الكاظمي، ج4، ص 277</w:t>
      </w:r>
    </w:p>
    <w:p>
      <w:pPr>
        <w:pStyle w:val="BookText"/>
      </w:pPr>
      <w:r>
        <w:rPr>
          <w:rFonts w:ascii="Amiri" w:hAnsi="Amiri" w:eastAsia="Amiri" w:cs="Amiri"/>
          <w:lang w:bidi="ar-SA"/>
          <w:color w:val="111111"/>
          <w:sz w:val="28"/>
          <w:szCs w:val="28"/>
          <w:rtl/>
        </w:rPr>
        <w:t xml:space="preserve">24 .تصانيف الشيعة، ج 4، ص 395.</w:t>
      </w:r>
    </w:p>
    <w:p>
      <w:pPr>
        <w:pStyle w:val="BookText"/>
      </w:pPr>
      <w:r>
        <w:rPr>
          <w:rFonts w:ascii="Amiri" w:hAnsi="Amiri" w:eastAsia="Amiri" w:cs="Amiri"/>
          <w:lang w:bidi="ar-SA"/>
          <w:color w:val="111111"/>
          <w:sz w:val="28"/>
          <w:szCs w:val="28"/>
          <w:rtl/>
        </w:rPr>
        <w:t xml:space="preserve">25 .التعادل و التعارض و الترجيح (رسالة في)، ج4، ص446.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تعارض الاستصحابين (رسالة في)</w:t>
      </w:r>
    </w:p>
    <w:p>
      <w:pPr>
        <w:pStyle w:val="BookText"/>
      </w:pPr>
      <w:r>
        <w:rPr>
          <w:rFonts w:ascii="IRNazanin" w:hAnsi="IRNazanin" w:eastAsia="IRNazanin" w:cs="IRNazanin"/>
          <w:lang w:bidi="fa-IR"/>
          <w:color w:val="111111"/>
          <w:sz w:val="28"/>
          <w:szCs w:val="28"/>
          <w:rtl/>
        </w:rPr>
        <w:t xml:space="preserve">ج 4، ص 447 .</w:t>
      </w:r>
    </w:p>
    <w:p>
      <w:pPr>
        <w:pStyle w:val="BookText"/>
      </w:pPr>
      <w:r>
        <w:rPr>
          <w:rFonts w:ascii="Amiri" w:hAnsi="Amiri" w:eastAsia="Amiri" w:cs="Amiri"/>
          <w:lang w:bidi="ar-SA"/>
          <w:color w:val="111111"/>
          <w:sz w:val="28"/>
          <w:szCs w:val="28"/>
          <w:rtl/>
        </w:rPr>
        <w:t xml:space="preserve">27 .تعليقة على رسائل الشيخ</w:t>
      </w:r>
    </w:p>
    <w:p>
      <w:pPr>
        <w:pStyle w:val="BookText"/>
      </w:pPr>
      <w:r>
        <w:rPr>
          <w:rFonts w:ascii="Amiri" w:hAnsi="Amiri" w:eastAsia="Amiri" w:cs="Amiri"/>
          <w:lang w:bidi="ar-SA"/>
          <w:color w:val="111111"/>
          <w:sz w:val="28"/>
          <w:szCs w:val="28"/>
          <w:rtl/>
        </w:rPr>
        <w:t xml:space="preserve">الانصاري، ج 4، ص518.</w:t>
      </w:r>
    </w:p>
    <w:p>
      <w:pPr>
        <w:pStyle w:val="BookText"/>
      </w:pPr>
      <w:r>
        <w:rPr>
          <w:rFonts w:ascii="Amiri" w:hAnsi="Amiri" w:eastAsia="Amiri" w:cs="Amiri"/>
          <w:lang w:bidi="ar-SA"/>
          <w:color w:val="111111"/>
          <w:sz w:val="28"/>
          <w:szCs w:val="28"/>
          <w:rtl/>
        </w:rPr>
        <w:t xml:space="preserve">28 .تعليقة على رسالة حجية الظنون</w:t>
      </w:r>
    </w:p>
    <w:p>
      <w:pPr>
        <w:pStyle w:val="BookText"/>
      </w:pPr>
      <w:r>
        <w:rPr>
          <w:rFonts w:ascii="IRNazanin" w:hAnsi="IRNazanin" w:eastAsia="IRNazanin" w:cs="IRNazanin"/>
          <w:lang w:bidi="fa-IR"/>
          <w:color w:val="111111"/>
          <w:sz w:val="28"/>
          <w:szCs w:val="28"/>
          <w:rtl/>
        </w:rPr>
        <w:t xml:space="preserve">ج 4، ص 517.</w:t>
      </w:r>
    </w:p>
    <w:p>
      <w:pPr>
        <w:pStyle w:val="BookText"/>
      </w:pPr>
      <w:r>
        <w:rPr>
          <w:rFonts w:ascii="Amiri" w:hAnsi="Amiri" w:eastAsia="Amiri" w:cs="Amiri"/>
          <w:lang w:bidi="ar-SA"/>
          <w:color w:val="111111"/>
          <w:sz w:val="28"/>
          <w:szCs w:val="28"/>
          <w:rtl/>
        </w:rPr>
        <w:t xml:space="preserve">29 .تعليقة على مباحث المياه، جع،</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Amiri" w:hAnsi="Amiri" w:eastAsia="Amiri" w:cs="Amiri"/>
          <w:lang w:bidi="ar-SA"/>
          <w:color w:val="111111"/>
          <w:sz w:val="28"/>
          <w:szCs w:val="28"/>
          <w:rtl/>
        </w:rPr>
        <w:t xml:space="preserve">30 .تكملة أمل الآمل، ج4، ص 813.</w:t>
      </w:r>
    </w:p>
    <w:p>
      <w:pPr>
        <w:pStyle w:val="BookText"/>
      </w:pPr>
      <w:r>
        <w:rPr>
          <w:rFonts w:ascii="Amiri" w:hAnsi="Amiri" w:eastAsia="Amiri" w:cs="Amiri"/>
          <w:lang w:bidi="ar-SA"/>
          <w:color w:val="111111"/>
          <w:sz w:val="28"/>
          <w:szCs w:val="28"/>
          <w:rtl/>
        </w:rPr>
        <w:t xml:space="preserve">31 .توضيح مدارك السداد للمتن و</w:t>
      </w:r>
    </w:p>
    <w:p>
      <w:pPr>
        <w:pStyle w:val="BookText"/>
      </w:pPr>
      <w:r>
        <w:rPr>
          <w:rFonts w:ascii="Amiri" w:hAnsi="Amiri" w:eastAsia="Amiri" w:cs="Amiri"/>
          <w:lang w:bidi="ar-SA"/>
          <w:color w:val="111111"/>
          <w:sz w:val="28"/>
          <w:szCs w:val="28"/>
          <w:rtl/>
        </w:rPr>
        <w:t xml:space="preserve">الحواشي من نجاة العباد، جه،</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Amiri" w:hAnsi="Amiri" w:eastAsia="Amiri" w:cs="Amiri"/>
          <w:lang w:bidi="ar-SA"/>
          <w:color w:val="111111"/>
          <w:sz w:val="28"/>
          <w:szCs w:val="28"/>
          <w:rtl/>
        </w:rPr>
        <w:t xml:space="preserve">32 .جزء من كتاب الوكالة، ج ،</w:t>
      </w:r>
    </w:p>
    <w:p>
      <w:pPr>
        <w:pStyle w:val="BookText"/>
      </w:pPr>
      <w:r>
        <w:rPr>
          <w:rFonts w:ascii="IRNazanin" w:hAnsi="IRNazanin" w:eastAsia="IRNazanin" w:cs="IRNazanin"/>
          <w:lang w:bidi="fa-IR"/>
          <w:color w:val="111111"/>
          <w:sz w:val="28"/>
          <w:szCs w:val="28"/>
          <w:rtl/>
        </w:rPr>
        <w:t xml:space="preserve">ص 384.</w:t>
      </w:r>
    </w:p>
    <w:p>
      <w:pPr>
        <w:pStyle w:val="BookText"/>
      </w:pPr>
      <w:r>
        <w:rPr>
          <w:rFonts w:ascii="Amiri" w:hAnsi="Amiri" w:eastAsia="Amiri" w:cs="Amiri"/>
          <w:lang w:bidi="ar-SA"/>
          <w:color w:val="111111"/>
          <w:sz w:val="28"/>
          <w:szCs w:val="28"/>
          <w:rtl/>
        </w:rPr>
        <w:t xml:space="preserve">33 .حاشية رسالة حجية الظن، جه ،</w:t>
      </w:r>
    </w:p>
    <w:p>
      <w:pPr>
        <w:pStyle w:val="BookText"/>
      </w:pPr>
      <w:r>
        <w:rPr>
          <w:rFonts w:ascii="IRNazanin" w:hAnsi="IRNazanin" w:eastAsia="IRNazanin" w:cs="IRNazanin"/>
          <w:lang w:bidi="fa-IR"/>
          <w:color w:val="111111"/>
          <w:sz w:val="28"/>
          <w:szCs w:val="28"/>
          <w:rtl/>
        </w:rPr>
        <w:t xml:space="preserve">ص 874</w:t>
      </w:r>
    </w:p>
    <w:p>
      <w:pPr>
        <w:pStyle w:val="BookText"/>
      </w:pPr>
      <w:r>
        <w:rPr>
          <w:rFonts w:ascii="Amiri" w:hAnsi="Amiri" w:eastAsia="Amiri" w:cs="Amiri"/>
          <w:lang w:bidi="ar-SA"/>
          <w:color w:val="111111"/>
          <w:sz w:val="28"/>
          <w:szCs w:val="28"/>
          <w:rtl/>
        </w:rPr>
        <w:t xml:space="preserve">34 .حجية الظن في الركعات و الافعال في الصلاة( رسالة في)، ج6، ص 503.</w:t>
      </w:r>
    </w:p>
    <w:p>
      <w:pPr>
        <w:pStyle w:val="BookText"/>
      </w:pPr>
      <w:r>
        <w:rPr>
          <w:rFonts w:ascii="Amiri" w:hAnsi="Amiri" w:eastAsia="Amiri" w:cs="Amiri"/>
          <w:lang w:bidi="ar-SA"/>
          <w:color w:val="111111"/>
          <w:sz w:val="28"/>
          <w:szCs w:val="28"/>
          <w:rtl/>
        </w:rPr>
        <w:t xml:space="preserve">35 .حرمة حلق اللحية (رسالة في)</w:t>
      </w:r>
    </w:p>
    <w:p>
      <w:pPr>
        <w:pStyle w:val="BookText"/>
      </w:pPr>
      <w:r>
        <w:rPr>
          <w:rFonts w:ascii="IRNazanin" w:hAnsi="IRNazanin" w:eastAsia="IRNazanin" w:cs="IRNazanin"/>
          <w:lang w:bidi="fa-IR"/>
          <w:color w:val="111111"/>
          <w:sz w:val="28"/>
          <w:szCs w:val="28"/>
          <w:rtl/>
        </w:rPr>
        <w:t xml:space="preserve">ج 6، ص 619.</w:t>
      </w:r>
    </w:p>
    <w:p>
      <w:pPr>
        <w:pStyle w:val="BookText"/>
      </w:pPr>
      <w:r>
        <w:rPr>
          <w:rFonts w:ascii="Amiri" w:hAnsi="Amiri" w:eastAsia="Amiri" w:cs="Amiri"/>
          <w:lang w:bidi="ar-SA"/>
          <w:color w:val="111111"/>
          <w:sz w:val="28"/>
          <w:szCs w:val="28"/>
          <w:rtl/>
        </w:rPr>
        <w:t xml:space="preserve">36 .الحقائق من كنوز الحقائق في حديث خير الخلائق، ج 6، ص 691.</w:t>
      </w:r>
    </w:p>
    <w:p>
      <w:pPr>
        <w:pStyle w:val="BookText"/>
      </w:pPr>
      <w:r>
        <w:rPr>
          <w:rFonts w:ascii="Amiri" w:hAnsi="Amiri" w:eastAsia="Amiri" w:cs="Amiri"/>
          <w:lang w:bidi="ar-SA"/>
          <w:color w:val="111111"/>
          <w:sz w:val="28"/>
          <w:szCs w:val="28"/>
          <w:rtl/>
        </w:rPr>
        <w:t xml:space="preserve">37 .حواشي على بعض مسائل البراءة</w:t>
      </w:r>
    </w:p>
    <w:p>
      <w:pPr>
        <w:pStyle w:val="BookText"/>
      </w:pPr>
      <w:r>
        <w:rPr>
          <w:rFonts w:ascii="IRNazanin" w:hAnsi="IRNazanin" w:eastAsia="IRNazanin" w:cs="IRNazanin"/>
          <w:lang w:bidi="fa-IR"/>
          <w:color w:val="111111"/>
          <w:sz w:val="28"/>
          <w:szCs w:val="28"/>
          <w:rtl/>
        </w:rPr>
        <w:t xml:space="preserve">ج 6، ص 835.</w:t>
      </w:r>
    </w:p>
    <w:p>
      <w:pPr>
        <w:pStyle w:val="BookText"/>
      </w:pPr>
      <w:r>
        <w:rPr>
          <w:rFonts w:ascii="Amiri" w:hAnsi="Amiri" w:eastAsia="Amiri" w:cs="Amiri"/>
          <w:lang w:bidi="ar-SA"/>
          <w:color w:val="111111"/>
          <w:sz w:val="28"/>
          <w:szCs w:val="28"/>
          <w:rtl/>
        </w:rPr>
        <w:t xml:space="preserve">38 .خلاصة النحو، ج7، ص 140.</w:t>
      </w:r>
    </w:p>
    <w:p>
      <w:pPr>
        <w:pStyle w:val="BookText"/>
      </w:pPr>
      <w:r>
        <w:rPr>
          <w:rFonts w:ascii="Amiri" w:hAnsi="Amiri" w:eastAsia="Amiri" w:cs="Amiri"/>
          <w:lang w:bidi="ar-SA"/>
          <w:color w:val="111111"/>
          <w:sz w:val="28"/>
          <w:szCs w:val="28"/>
          <w:rtl/>
        </w:rPr>
        <w:t xml:space="preserve">39 .الدر النظيم في مسالة التتميم</w:t>
      </w:r>
    </w:p>
    <w:p>
      <w:pPr>
        <w:pStyle w:val="BookText"/>
      </w:pPr>
      <w:r>
        <w:rPr>
          <w:rFonts w:ascii="IRNazanin" w:hAnsi="IRNazanin" w:eastAsia="IRNazanin" w:cs="IRNazanin"/>
          <w:lang w:bidi="fa-IR"/>
          <w:color w:val="111111"/>
          <w:sz w:val="28"/>
          <w:szCs w:val="28"/>
          <w:rtl/>
        </w:rPr>
        <w:t xml:space="preserve">ج 7، ص 364.</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الدرر الموسوية في شرح العقائد</w:t>
      </w:r>
    </w:p>
    <w:p>
      <w:pPr>
        <w:pStyle w:val="BookText"/>
      </w:pPr>
      <w:r>
        <w:rPr>
          <w:rFonts w:ascii="Amiri" w:hAnsi="Amiri" w:eastAsia="Amiri" w:cs="Amiri"/>
          <w:lang w:bidi="ar-SA"/>
          <w:color w:val="111111"/>
          <w:sz w:val="28"/>
          <w:szCs w:val="28"/>
          <w:rtl/>
        </w:rPr>
        <w:t xml:space="preserve">الجعفرية، ج 7، ص318.</w:t>
      </w:r>
    </w:p>
    <w:p>
      <w:pPr>
        <w:pStyle w:val="BookText"/>
      </w:pPr>
      <w:r>
        <w:rPr>
          <w:rFonts w:ascii="Amiri" w:hAnsi="Amiri" w:eastAsia="Amiri" w:cs="Amiri"/>
          <w:lang w:bidi="ar-SA"/>
          <w:color w:val="111111"/>
          <w:sz w:val="28"/>
          <w:szCs w:val="28"/>
          <w:rtl/>
        </w:rPr>
        <w:t xml:space="preserve">41 دليل الاخفات في التسبيحات، ج 7،</w:t>
      </w:r>
    </w:p>
    <w:p>
      <w:pPr>
        <w:pStyle w:val="BookText"/>
      </w:pPr>
      <w:r>
        <w:rPr>
          <w:rFonts w:ascii="IRNazanin" w:hAnsi="IRNazanin" w:eastAsia="IRNazanin" w:cs="IRNazanin"/>
          <w:lang w:bidi="fa-IR"/>
          <w:color w:val="111111"/>
          <w:sz w:val="28"/>
          <w:szCs w:val="28"/>
          <w:rtl/>
        </w:rPr>
        <w:t xml:space="preserve">ص 465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ذكر المحسنين (رسالة في)، ج7،</w:t>
      </w:r>
    </w:p>
    <w:p>
      <w:pPr>
        <w:pStyle w:val="BookText"/>
      </w:pPr>
      <w:r>
        <w:rPr>
          <w:rFonts w:ascii="IRNazanin" w:hAnsi="IRNazanin" w:eastAsia="IRNazanin" w:cs="IRNazanin"/>
          <w:lang w:bidi="fa-IR"/>
          <w:color w:val="111111"/>
          <w:sz w:val="28"/>
          <w:szCs w:val="28"/>
          <w:rtl/>
        </w:rPr>
        <w:t xml:space="preserve">ص 857.</w:t>
      </w:r>
    </w:p>
    <w:p>
      <w:pPr>
        <w:pStyle w:val="BookText"/>
      </w:pPr>
      <w:r>
        <w:rPr>
          <w:rFonts w:ascii="IRNazanin" w:hAnsi="IRNazanin" w:eastAsia="IRNazanin" w:cs="IRNazanin"/>
          <w:lang w:bidi="fa-IR"/>
          <w:color w:val="111111"/>
          <w:sz w:val="28"/>
          <w:szCs w:val="28"/>
          <w:rtl/>
        </w:rPr>
        <w:t xml:space="preserve">43.رسائل، ج8، ص127.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سبيل الرشاد في شرح نجاة العباد</w:t>
      </w:r>
    </w:p>
    <w:p>
      <w:pPr>
        <w:pStyle w:val="BookText"/>
      </w:pPr>
      <w:r>
        <w:rPr>
          <w:rFonts w:ascii="IRNazanin" w:hAnsi="IRNazanin" w:eastAsia="IRNazanin" w:cs="IRNazanin"/>
          <w:lang w:bidi="fa-IR"/>
          <w:color w:val="111111"/>
          <w:sz w:val="28"/>
          <w:szCs w:val="28"/>
          <w:rtl/>
        </w:rPr>
        <w:t xml:space="preserve">ج 8، ص 708.</w:t>
      </w:r>
    </w:p>
    <w:p>
      <w:pPr>
        <w:pStyle w:val="BookText"/>
      </w:pPr>
      <w:r>
        <w:rPr>
          <w:rFonts w:ascii="Amiri" w:hAnsi="Amiri" w:eastAsia="Amiri" w:cs="Amiri"/>
          <w:lang w:bidi="ar-SA"/>
          <w:color w:val="111111"/>
          <w:sz w:val="28"/>
          <w:szCs w:val="28"/>
          <w:rtl/>
        </w:rPr>
        <w:t xml:space="preserve">45 .شرح منظومة الرضاع، ج 10،</w:t>
      </w:r>
    </w:p>
    <w:p>
      <w:pPr>
        <w:pStyle w:val="BookText"/>
      </w:pPr>
      <w:r>
        <w:rPr>
          <w:rFonts w:ascii="IRNazanin" w:hAnsi="IRNazanin" w:eastAsia="IRNazanin" w:cs="IRNazanin"/>
          <w:lang w:bidi="fa-IR"/>
          <w:color w:val="111111"/>
          <w:sz w:val="28"/>
          <w:szCs w:val="28"/>
          <w:rtl/>
        </w:rPr>
        <w:t xml:space="preserve">ص 246.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.شرح وسائل الشيعة، ج 10،</w:t>
      </w:r>
    </w:p>
    <w:p>
      <w:pPr>
        <w:pStyle w:val="BookText"/>
      </w:pPr>
      <w:r>
        <w:rPr>
          <w:rFonts w:ascii="IRNazanin" w:hAnsi="IRNazanin" w:eastAsia="IRNazanin" w:cs="IRNazanin"/>
          <w:lang w:bidi="fa-IR"/>
          <w:color w:val="111111"/>
          <w:sz w:val="28"/>
          <w:szCs w:val="28"/>
          <w:rtl/>
        </w:rPr>
        <w:t xml:space="preserve">ص 328.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الشكوك الغير منصوصة ( رسالة في)،</w:t>
      </w:r>
    </w:p>
    <w:p>
      <w:pPr>
        <w:pStyle w:val="BookText"/>
      </w:pPr>
      <w:r>
        <w:rPr>
          <w:rFonts w:ascii="IRNazanin" w:hAnsi="IRNazanin" w:eastAsia="IRNazanin" w:cs="IRNazanin"/>
          <w:lang w:bidi="fa-IR"/>
          <w:color w:val="111111"/>
          <w:sz w:val="28"/>
          <w:szCs w:val="28"/>
          <w:rtl/>
        </w:rPr>
        <w:t xml:space="preserve">ج 10، ص 405.</w:t>
      </w:r>
    </w:p>
    <w:p>
      <w:pPr>
        <w:pStyle w:val="BookText"/>
      </w:pPr>
      <w:r>
        <w:rPr>
          <w:rFonts w:ascii="Amiri" w:hAnsi="Amiri" w:eastAsia="Amiri" w:cs="Amiri"/>
          <w:lang w:bidi="ar-SA"/>
          <w:color w:val="111111"/>
          <w:sz w:val="28"/>
          <w:szCs w:val="28"/>
          <w:rtl/>
        </w:rPr>
        <w:t xml:space="preserve">48 .الشهادة (رسالة في)، ج10،</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Amiri" w:hAnsi="Amiri" w:eastAsia="Amiri" w:cs="Amiri"/>
          <w:lang w:bidi="ar-SA"/>
          <w:color w:val="111111"/>
          <w:sz w:val="28"/>
          <w:szCs w:val="28"/>
          <w:rtl/>
        </w:rPr>
        <w:t xml:space="preserve">49 .الشيعة و فنون الاسلام، ج10،</w:t>
      </w:r>
    </w:p>
    <w:p>
      <w:pPr>
        <w:pStyle w:val="BookText"/>
      </w:pPr>
      <w:r>
        <w:rPr>
          <w:rFonts w:ascii="IRNazanin" w:hAnsi="IRNazanin" w:eastAsia="IRNazanin" w:cs="IRNazanin"/>
          <w:lang w:bidi="fa-IR"/>
          <w:color w:val="111111"/>
          <w:sz w:val="28"/>
          <w:szCs w:val="28"/>
          <w:rtl/>
        </w:rPr>
        <w:t xml:space="preserve">ص 460 .</w:t>
      </w:r>
    </w:p>
    <w:p>
      <w:pPr>
        <w:pStyle w:val="BookText"/>
      </w:pPr>
      <w:r>
        <w:rPr>
          <w:rFonts w:ascii="Amiri" w:hAnsi="Amiri" w:eastAsia="Amiri" w:cs="Amiri"/>
          <w:lang w:bidi="ar-SA"/>
          <w:color w:val="111111"/>
          <w:sz w:val="28"/>
          <w:szCs w:val="28"/>
          <w:rtl/>
        </w:rPr>
        <w:t xml:space="preserve">50 .طبقات الامامية، ج 10، ص 772.</w:t>
      </w:r>
    </w:p>
    <w:p>
      <w:pPr>
        <w:pStyle w:val="BookText"/>
      </w:pPr>
      <w:r>
        <w:rPr>
          <w:rFonts w:ascii="Amiri" w:hAnsi="Amiri" w:eastAsia="Amiri" w:cs="Amiri"/>
          <w:lang w:bidi="ar-SA"/>
          <w:color w:val="111111"/>
          <w:sz w:val="28"/>
          <w:szCs w:val="28"/>
          <w:rtl/>
        </w:rPr>
        <w:t xml:space="preserve">51 .عدد المخرجين لحرب الحسين (ع) ( رسالة في)، ج11،</w:t>
      </w:r>
    </w:p>
    <w:p>
      <w:pPr>
        <w:pStyle w:val="BookText"/>
      </w:pPr>
      <w:r>
        <w:rPr>
          <w:rFonts w:ascii="IRNazanin" w:hAnsi="IRNazanin" w:eastAsia="IRNazanin" w:cs="IRNazanin"/>
          <w:lang w:bidi="fa-IR"/>
          <w:color w:val="111111"/>
          <w:sz w:val="28"/>
          <w:szCs w:val="28"/>
          <w:rtl/>
        </w:rPr>
        <w:t xml:space="preserve">ص 63 .</w:t>
      </w:r>
    </w:p>
    <w:p>
      <w:pPr>
        <w:pStyle w:val="BookText"/>
      </w:pPr>
      <w:r>
        <w:rPr>
          <w:rFonts w:ascii="Amiri" w:hAnsi="Amiri" w:eastAsia="Amiri" w:cs="Amiri"/>
          <w:lang w:bidi="ar-SA"/>
          <w:color w:val="111111"/>
          <w:sz w:val="28"/>
          <w:szCs w:val="28"/>
          <w:rtl/>
        </w:rPr>
        <w:t xml:space="preserve">52 .العقائد (رسالة في)، ج11، ص 137.</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الغالية لاهل الانظار العالية، ج11،</w:t>
      </w:r>
    </w:p>
    <w:p>
      <w:pPr>
        <w:pStyle w:val="BookText"/>
      </w:pPr>
      <w:r>
        <w:rPr>
          <w:rFonts w:ascii="IRNazanin" w:hAnsi="IRNazanin" w:eastAsia="IRNazanin" w:cs="IRNazanin"/>
          <w:lang w:bidi="fa-IR"/>
          <w:color w:val="111111"/>
          <w:sz w:val="28"/>
          <w:szCs w:val="28"/>
          <w:rtl/>
        </w:rPr>
        <w:t xml:space="preserve">ص 423 .</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الغرر في نفي الضرار و الضرر</w:t>
      </w:r>
    </w:p>
    <w:p>
      <w:pPr>
        <w:pStyle w:val="BookText"/>
      </w:pPr>
      <w:r>
        <w:rPr>
          <w:rFonts w:ascii="IRNazanin" w:hAnsi="IRNazanin" w:eastAsia="IRNazanin" w:cs="IRNazanin"/>
          <w:lang w:bidi="fa-IR"/>
          <w:color w:val="111111"/>
          <w:sz w:val="28"/>
          <w:szCs w:val="28"/>
          <w:rtl/>
        </w:rPr>
        <w:t xml:space="preserve">ج 11، ص 487.</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فصل الخطاب في اسناد الشاهد</w:t>
      </w:r>
    </w:p>
    <w:p>
      <w:pPr>
        <w:pStyle w:val="BookText"/>
      </w:pPr>
      <w:r>
        <w:rPr>
          <w:rFonts w:ascii="IRNazanin" w:hAnsi="IRNazanin" w:eastAsia="IRNazanin" w:cs="IRNazanin"/>
          <w:lang w:bidi="fa-IR"/>
          <w:color w:val="111111"/>
          <w:sz w:val="28"/>
          <w:szCs w:val="28"/>
          <w:rtl/>
        </w:rPr>
        <w:t xml:space="preserve">إلى استصحاب، ج 11، ص 832</w:t>
      </w:r>
    </w:p>
    <w:p>
      <w:pPr>
        <w:pStyle w:val="BookText"/>
      </w:pPr>
      <w:r>
        <w:rPr>
          <w:rFonts w:ascii="Amiri" w:hAnsi="Amiri" w:eastAsia="Amiri" w:cs="Amiri"/>
          <w:lang w:bidi="ar-SA"/>
          <w:color w:val="111111"/>
          <w:sz w:val="28"/>
          <w:szCs w:val="28"/>
          <w:rtl/>
        </w:rPr>
        <w:t xml:space="preserve">56 .قاطعة اللجاج في ابطال طريقة</w:t>
      </w:r>
    </w:p>
    <w:p>
      <w:pPr>
        <w:pStyle w:val="BookText"/>
      </w:pPr>
      <w:r>
        <w:rPr>
          <w:rFonts w:ascii="IRNazanin" w:hAnsi="IRNazanin" w:eastAsia="IRNazanin" w:cs="IRNazanin"/>
          <w:lang w:bidi="fa-IR"/>
          <w:color w:val="111111"/>
          <w:sz w:val="28"/>
          <w:szCs w:val="28"/>
          <w:rtl/>
        </w:rPr>
        <w:t xml:space="preserve">اهل الاعوجاج، ج 12، ص327.</w:t>
      </w:r>
    </w:p>
    <w:p>
      <w:pPr>
        <w:pStyle w:val="BookText"/>
      </w:pPr>
      <w:r>
        <w:rPr>
          <w:rFonts w:ascii="Amiri" w:hAnsi="Amiri" w:eastAsia="Amiri" w:cs="Amiri"/>
          <w:lang w:bidi="ar-SA"/>
          <w:color w:val="111111"/>
          <w:sz w:val="28"/>
          <w:szCs w:val="28"/>
          <w:rtl/>
        </w:rPr>
        <w:t xml:space="preserve">57 .كشف الالتباس عن قاعدة الناس</w:t>
      </w:r>
    </w:p>
    <w:p>
      <w:pPr>
        <w:pStyle w:val="BookText"/>
      </w:pPr>
      <w:r>
        <w:rPr>
          <w:rFonts w:ascii="IRNazanin" w:hAnsi="IRNazanin" w:eastAsia="IRNazanin" w:cs="IRNazanin"/>
          <w:lang w:bidi="fa-IR"/>
          <w:color w:val="111111"/>
          <w:sz w:val="28"/>
          <w:szCs w:val="28"/>
          <w:rtl/>
        </w:rPr>
        <w:t xml:space="preserve">ج 13 ، ص 196.</w:t>
      </w:r>
    </w:p>
    <w:p>
      <w:pPr>
        <w:pStyle w:val="BookText"/>
      </w:pPr>
      <w:r>
        <w:rPr>
          <w:rFonts w:ascii="Amiri" w:hAnsi="Amiri" w:eastAsia="Amiri" w:cs="Amiri"/>
          <w:lang w:bidi="ar-SA"/>
          <w:color w:val="111111"/>
          <w:sz w:val="28"/>
          <w:szCs w:val="28"/>
          <w:rtl/>
        </w:rPr>
        <w:t xml:space="preserve">58 .كشف الظنون عن خيانة المأمون،</w:t>
      </w:r>
    </w:p>
    <w:p>
      <w:pPr>
        <w:pStyle w:val="BookText"/>
      </w:pPr>
      <w:r>
        <w:rPr>
          <w:rFonts w:ascii="IRNazanin" w:hAnsi="IRNazanin" w:eastAsia="IRNazanin" w:cs="IRNazanin"/>
          <w:lang w:bidi="fa-IR"/>
          <w:color w:val="111111"/>
          <w:sz w:val="28"/>
          <w:szCs w:val="28"/>
          <w:rtl/>
        </w:rPr>
        <w:t xml:space="preserve">ج13، ص227.</w:t>
      </w:r>
    </w:p>
    <w:p>
      <w:pPr>
        <w:pStyle w:val="BookText"/>
      </w:pPr>
      <w:r>
        <w:rPr>
          <w:rFonts w:ascii="IRNazanin" w:hAnsi="IRNazanin" w:eastAsia="IRNazanin" w:cs="IRNazanin"/>
          <w:lang w:bidi="fa-IR"/>
          <w:color w:val="111111"/>
          <w:sz w:val="28"/>
          <w:szCs w:val="28"/>
          <w:rtl/>
        </w:rPr>
        <w:t xml:space="preserve">59 .کشکول، ج13، ص290.</w:t>
      </w:r>
    </w:p>
    <w:p>
      <w:pPr>
        <w:pStyle w:val="BookText"/>
      </w:pPr>
      <w:r>
        <w:rPr>
          <w:rFonts w:ascii="Amiri" w:hAnsi="Amiri" w:eastAsia="Amiri" w:cs="Amiri"/>
          <w:lang w:bidi="ar-SA"/>
          <w:color w:val="111111"/>
          <w:sz w:val="28"/>
          <w:szCs w:val="28"/>
          <w:rtl/>
        </w:rPr>
        <w:t xml:space="preserve">60 . الكلام (كتاب في)، ج 13، ص 349.</w:t>
      </w:r>
    </w:p>
    <w:p>
      <w:pPr>
        <w:pStyle w:val="BookText"/>
      </w:pPr>
      <w:r>
        <w:rPr>
          <w:rFonts w:ascii="Amiri" w:hAnsi="Amiri" w:eastAsia="Amiri" w:cs="Amiri"/>
          <w:lang w:bidi="ar-SA"/>
          <w:color w:val="111111"/>
          <w:sz w:val="28"/>
          <w:szCs w:val="28"/>
          <w:rtl/>
        </w:rPr>
        <w:t xml:space="preserve">61 . لزوم صوم ما فات في زمن الفوات</w:t>
      </w:r>
    </w:p>
    <w:p>
      <w:pPr>
        <w:pStyle w:val="BookText"/>
      </w:pPr>
      <w:r>
        <w:rPr>
          <w:rFonts w:ascii="IRNazanin" w:hAnsi="IRNazanin" w:eastAsia="IRNazanin" w:cs="IRNazanin"/>
          <w:lang w:bidi="fa-IR"/>
          <w:color w:val="111111"/>
          <w:sz w:val="28"/>
          <w:szCs w:val="28"/>
          <w:rtl/>
        </w:rPr>
        <w:t xml:space="preserve">ج 13 ، ص 567 .</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اللوامع الحسنية في الاصول</w:t>
      </w:r>
    </w:p>
    <w:p>
      <w:pPr>
        <w:pStyle w:val="BookText"/>
      </w:pPr>
      <w:r>
        <w:rPr>
          <w:rFonts w:ascii="Amiri" w:hAnsi="Amiri" w:eastAsia="Amiri" w:cs="Amiri"/>
          <w:lang w:bidi="ar-SA"/>
          <w:color w:val="111111"/>
          <w:sz w:val="28"/>
          <w:szCs w:val="28"/>
          <w:rtl/>
        </w:rPr>
        <w:t xml:space="preserve">الفقهية، ج 13 ، ص 651 .</w:t>
      </w:r>
    </w:p>
    <w:p>
      <w:pPr>
        <w:pStyle w:val="BookText"/>
      </w:pPr>
      <w:r>
        <w:rPr>
          <w:rFonts w:ascii="Amiri" w:hAnsi="Amiri" w:eastAsia="Amiri" w:cs="Amiri"/>
          <w:lang w:bidi="ar-SA"/>
          <w:color w:val="111111"/>
          <w:sz w:val="28"/>
          <w:szCs w:val="28"/>
          <w:rtl/>
        </w:rPr>
        <w:t xml:space="preserve">63 .مجالس المؤمنين في وفيات</w:t>
      </w:r>
    </w:p>
    <w:p>
      <w:pPr>
        <w:pStyle w:val="BookText"/>
      </w:pPr>
      <w:r>
        <w:rPr>
          <w:rFonts w:ascii="Amiri" w:hAnsi="Amiri" w:eastAsia="Amiri" w:cs="Amiri"/>
          <w:lang w:bidi="ar-SA"/>
          <w:color w:val="111111"/>
          <w:sz w:val="28"/>
          <w:szCs w:val="28"/>
          <w:rtl/>
        </w:rPr>
        <w:t xml:space="preserve">المعصومين، ج13، ص803.</w:t>
      </w:r>
    </w:p>
    <w:p>
      <w:pPr>
        <w:pStyle w:val="BookText"/>
      </w:pPr>
      <w:r>
        <w:rPr>
          <w:rFonts w:ascii="Amiri" w:hAnsi="Amiri" w:eastAsia="Amiri" w:cs="Amiri"/>
          <w:lang w:bidi="ar-SA"/>
          <w:color w:val="111111"/>
          <w:sz w:val="28"/>
          <w:szCs w:val="28"/>
          <w:rtl/>
        </w:rPr>
        <w:t xml:space="preserve">64 .مجلس في ذكر سلمان المحمدي</w:t>
      </w:r>
    </w:p>
    <w:p>
      <w:pPr>
        <w:pStyle w:val="BookText"/>
      </w:pPr>
      <w:r>
        <w:rPr>
          <w:rFonts w:ascii="IRNazanin" w:hAnsi="IRNazanin" w:eastAsia="IRNazanin" w:cs="IRNazanin"/>
          <w:lang w:bidi="fa-IR"/>
          <w:color w:val="111111"/>
          <w:sz w:val="28"/>
          <w:szCs w:val="28"/>
          <w:rtl/>
        </w:rPr>
        <w:t xml:space="preserve">ج 13، ص 820</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مختلف الرجال، ج 14، ص 279 .</w:t>
      </w:r>
    </w:p>
    <w:p>
      <w:pPr>
        <w:pStyle w:val="BookText"/>
      </w:pPr>
      <w:r>
        <w:rPr>
          <w:rFonts w:ascii="Amiri" w:hAnsi="Amiri" w:eastAsia="Amiri" w:cs="Amiri"/>
          <w:lang w:bidi="ar-SA"/>
          <w:color w:val="111111"/>
          <w:sz w:val="28"/>
          <w:szCs w:val="28"/>
          <w:rtl/>
        </w:rPr>
        <w:t xml:space="preserve">66 .مصابيح الايمان في حقوق الانسان</w:t>
      </w:r>
    </w:p>
    <w:p>
      <w:pPr>
        <w:pStyle w:val="BookText"/>
      </w:pPr>
      <w:r>
        <w:rPr>
          <w:rFonts w:ascii="IRNazanin" w:hAnsi="IRNazanin" w:eastAsia="IRNazanin" w:cs="IRNazanin"/>
          <w:lang w:bidi="fa-IR"/>
          <w:color w:val="111111"/>
          <w:sz w:val="28"/>
          <w:szCs w:val="28"/>
          <w:rtl/>
        </w:rPr>
        <w:t xml:space="preserve">ج 14 ، ص 666 .</w:t>
      </w:r>
    </w:p>
    <w:p>
      <w:pPr>
        <w:pStyle w:val="BookText"/>
      </w:pPr>
      <w:r>
        <w:rPr>
          <w:rFonts w:ascii="Amiri" w:hAnsi="Amiri" w:eastAsia="Amiri" w:cs="Amiri"/>
          <w:lang w:bidi="ar-SA"/>
          <w:color w:val="111111"/>
          <w:sz w:val="28"/>
          <w:szCs w:val="28"/>
          <w:rtl/>
        </w:rPr>
        <w:t xml:space="preserve">67 .مصنفات السيّد حسن صدر الدين</w:t>
      </w:r>
    </w:p>
    <w:p>
      <w:pPr>
        <w:pStyle w:val="BookText"/>
      </w:pPr>
      <w:r>
        <w:rPr>
          <w:rFonts w:ascii="Amiri" w:hAnsi="Amiri" w:eastAsia="Amiri" w:cs="Amiri"/>
          <w:lang w:bidi="ar-SA"/>
          <w:color w:val="111111"/>
          <w:sz w:val="28"/>
          <w:szCs w:val="28"/>
          <w:rtl/>
        </w:rPr>
        <w:t xml:space="preserve">العاملي، ج 14، ص 752 .</w:t>
      </w:r>
    </w:p>
    <w:p>
      <w:pPr>
        <w:pStyle w:val="BookText"/>
      </w:pPr>
      <w:r>
        <w:rPr>
          <w:rFonts w:ascii="Amiri" w:hAnsi="Amiri" w:eastAsia="Amiri" w:cs="Amiri"/>
          <w:lang w:bidi="ar-SA"/>
          <w:color w:val="111111"/>
          <w:sz w:val="28"/>
          <w:szCs w:val="28"/>
          <w:rtl/>
        </w:rPr>
        <w:t xml:space="preserve">68 .مفتاح السعادة وملاذ العبادة</w:t>
      </w:r>
    </w:p>
    <w:p>
      <w:pPr>
        <w:pStyle w:val="BookText"/>
      </w:pPr>
      <w:r>
        <w:rPr>
          <w:rFonts w:ascii="IRNazanin" w:hAnsi="IRNazanin" w:eastAsia="IRNazanin" w:cs="IRNazanin"/>
          <w:lang w:bidi="fa-IR"/>
          <w:color w:val="111111"/>
          <w:sz w:val="28"/>
          <w:szCs w:val="28"/>
          <w:rtl/>
        </w:rPr>
        <w:t xml:space="preserve">ج 15، ص 200.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مني الناسك في حج المناسك، ج 15،</w:t>
      </w:r>
    </w:p>
    <w:p>
      <w:pPr>
        <w:pStyle w:val="BookText"/>
      </w:pPr>
      <w:r>
        <w:rPr>
          <w:rFonts w:ascii="IRNazanin" w:hAnsi="IRNazanin" w:eastAsia="IRNazanin" w:cs="IRNazanin"/>
          <w:lang w:bidi="fa-IR"/>
          <w:color w:val="111111"/>
          <w:sz w:val="28"/>
          <w:szCs w:val="28"/>
          <w:rtl/>
        </w:rPr>
        <w:t xml:space="preserve">ص 838.</w:t>
      </w:r>
    </w:p>
    <w:p>
      <w:pPr>
        <w:pStyle w:val="BookText"/>
      </w:pPr>
      <w:r>
        <w:rPr>
          <w:rFonts w:ascii="Amiri" w:hAnsi="Amiri" w:eastAsia="Amiri" w:cs="Amiri"/>
          <w:lang w:bidi="ar-SA"/>
          <w:color w:val="111111"/>
          <w:sz w:val="28"/>
          <w:szCs w:val="28"/>
          <w:rtl/>
        </w:rPr>
        <w:t xml:space="preserve">70 .مواقيت الصلاة (رسالة في)، ج 15 ،</w:t>
      </w:r>
    </w:p>
    <w:p>
      <w:pPr>
        <w:pStyle w:val="BookText"/>
      </w:pPr>
      <w:r>
        <w:rPr>
          <w:rFonts w:ascii="IRNazanin" w:hAnsi="IRNazanin" w:eastAsia="IRNazanin" w:cs="IRNazanin"/>
          <w:lang w:bidi="fa-IR"/>
          <w:color w:val="111111"/>
          <w:sz w:val="28"/>
          <w:szCs w:val="28"/>
          <w:rtl/>
        </w:rPr>
        <w:t xml:space="preserve">ص 880.</w:t>
      </w:r>
    </w:p>
    <w:p>
      <w:pPr>
        <w:pStyle w:val="BookText"/>
      </w:pPr>
      <w:r>
        <w:rPr>
          <w:rFonts w:ascii="Amiri" w:hAnsi="Amiri" w:eastAsia="Amiri" w:cs="Amiri"/>
          <w:lang w:bidi="ar-SA"/>
          <w:color w:val="111111"/>
          <w:sz w:val="28"/>
          <w:szCs w:val="28"/>
          <w:rtl/>
        </w:rPr>
        <w:t xml:space="preserve">71 .نزهة اهل الحرمين في عمارة</w:t>
      </w:r>
    </w:p>
    <w:p>
      <w:pPr>
        <w:pStyle w:val="BookText"/>
      </w:pPr>
      <w:r>
        <w:rPr>
          <w:rFonts w:ascii="Amiri" w:hAnsi="Amiri" w:eastAsia="Amiri" w:cs="Amiri"/>
          <w:lang w:bidi="ar-SA"/>
          <w:color w:val="111111"/>
          <w:sz w:val="28"/>
          <w:szCs w:val="28"/>
          <w:rtl/>
        </w:rPr>
        <w:t xml:space="preserve">المشهدين، ج 16، ص 225.</w:t>
      </w:r>
    </w:p>
    <w:p>
      <w:pPr>
        <w:pStyle w:val="BookText"/>
      </w:pPr>
      <w:r>
        <w:rPr>
          <w:rFonts w:ascii="Amiri" w:hAnsi="Amiri" w:eastAsia="Amiri" w:cs="Amiri"/>
          <w:lang w:bidi="ar-SA"/>
          <w:color w:val="111111"/>
          <w:sz w:val="28"/>
          <w:szCs w:val="28"/>
          <w:rtl/>
        </w:rPr>
        <w:t xml:space="preserve">72 .النسيء (رسالة في)، ج 16 ، ص 281.</w:t>
      </w:r>
    </w:p>
    <w:p>
      <w:pPr>
        <w:pStyle w:val="BookText"/>
      </w:pPr>
      <w:r>
        <w:rPr>
          <w:rFonts w:ascii="IRNazanin" w:hAnsi="IRNazanin" w:eastAsia="IRNazanin" w:cs="IRNazanin"/>
          <w:lang w:bidi="fa-IR"/>
          <w:color w:val="111111"/>
          <w:sz w:val="28"/>
          <w:szCs w:val="28"/>
          <w:rtl/>
        </w:rPr>
        <w:t xml:space="preserve">73 .نفائس المسائل، ج 16، ص 376.</w:t>
      </w:r>
    </w:p>
    <w:p>
      <w:pPr>
        <w:pStyle w:val="BookText"/>
      </w:pPr>
      <w:r>
        <w:rPr>
          <w:rFonts w:ascii="Amiri" w:hAnsi="Amiri" w:eastAsia="Amiri" w:cs="Amiri"/>
          <w:lang w:bidi="ar-SA"/>
          <w:color w:val="111111"/>
          <w:sz w:val="28"/>
          <w:szCs w:val="28"/>
          <w:rtl/>
        </w:rPr>
        <w:t xml:space="preserve">74 .نهج السداد في حكم أراضي</w:t>
      </w:r>
    </w:p>
    <w:p>
      <w:pPr>
        <w:pStyle w:val="BookText"/>
      </w:pPr>
      <w:r>
        <w:rPr>
          <w:rFonts w:ascii="IRNazanin" w:hAnsi="IRNazanin" w:eastAsia="IRNazanin" w:cs="IRNazanin"/>
          <w:lang w:bidi="fa-IR"/>
          <w:color w:val="111111"/>
          <w:sz w:val="28"/>
          <w:szCs w:val="28"/>
          <w:rtl/>
        </w:rPr>
        <w:t xml:space="preserve">السواد، ج 16، ص 528.</w:t>
      </w:r>
    </w:p>
    <w:p>
      <w:pPr>
        <w:pStyle w:val="BookText"/>
      </w:pPr>
      <w:r>
        <w:rPr>
          <w:rFonts w:ascii="Amiri" w:hAnsi="Amiri" w:eastAsia="Amiri" w:cs="Amiri"/>
          <w:lang w:bidi="ar-SA"/>
          <w:color w:val="111111"/>
          <w:sz w:val="28"/>
          <w:szCs w:val="28"/>
          <w:rtl/>
        </w:rPr>
        <w:t xml:space="preserve">75 .وجه الحاجة إلى تدوين علم الفقه و اصوله، ج 16، ص 737.</w:t>
      </w:r>
    </w:p>
    <w:p>
      <w:pPr>
        <w:pStyle w:val="BookText"/>
      </w:pPr>
      <w:r>
        <w:rPr>
          <w:rFonts w:ascii="Amiri" w:hAnsi="Amiri" w:eastAsia="Amiri" w:cs="Amiri"/>
          <w:lang w:bidi="ar-SA"/>
          <w:color w:val="111111"/>
          <w:sz w:val="28"/>
          <w:szCs w:val="28"/>
          <w:rtl/>
        </w:rPr>
        <w:t xml:space="preserve">76 .وسائل الرسائل - كشف النقاب عن رسالة الاستصحاب، ج 16،</w:t>
      </w:r>
    </w:p>
    <w:p>
      <w:pPr>
        <w:pStyle w:val="BookText"/>
      </w:pPr>
      <w:r>
        <w:rPr>
          <w:rFonts w:ascii="IRNazanin" w:hAnsi="IRNazanin" w:eastAsia="IRNazanin" w:cs="IRNazanin"/>
          <w:lang w:bidi="fa-IR"/>
          <w:color w:val="111111"/>
          <w:sz w:val="28"/>
          <w:szCs w:val="28"/>
          <w:rtl/>
        </w:rPr>
        <w:t xml:space="preserve">ص 772</w:t>
      </w:r>
    </w:p>
    <w:p>
      <w:pPr>
        <w:pStyle w:val="BookText"/>
      </w:pPr>
      <w:r>
        <w:rPr>
          <w:rFonts w:ascii="Amiri" w:hAnsi="Amiri" w:eastAsia="Amiri" w:cs="Amiri"/>
          <w:lang w:bidi="ar-SA"/>
          <w:color w:val="111111"/>
          <w:sz w:val="28"/>
          <w:szCs w:val="28"/>
          <w:rtl/>
        </w:rPr>
        <w:t xml:space="preserve">77 .وفيات الاعلام من الشيعة الكرام</w:t>
      </w:r>
    </w:p>
    <w:p>
      <w:pPr>
        <w:pStyle w:val="BookText"/>
      </w:pPr>
      <w:r>
        <w:rPr>
          <w:rFonts w:ascii="IRNazanin" w:hAnsi="IRNazanin" w:eastAsia="IRNazanin" w:cs="IRNazanin"/>
          <w:lang w:bidi="fa-IR"/>
          <w:color w:val="111111"/>
          <w:sz w:val="28"/>
          <w:szCs w:val="28"/>
          <w:rtl/>
        </w:rPr>
        <w:t xml:space="preserve">ج 16، ص 852.</w:t>
      </w:r>
    </w:p>
    <w:p>
      <w:pPr>
        <w:pStyle w:val="BookText"/>
      </w:pPr>
      <w:r>
        <w:rPr>
          <w:rFonts w:ascii="Amiri" w:hAnsi="Amiri" w:eastAsia="Amiri" w:cs="Amiri"/>
          <w:lang w:bidi="ar-SA"/>
          <w:color w:val="111111"/>
          <w:sz w:val="28"/>
          <w:szCs w:val="28"/>
          <w:rtl/>
        </w:rPr>
        <w:t xml:space="preserve">صدر شهيد خراساني ، عمر بن</w:t>
      </w:r>
    </w:p>
    <w:p>
      <w:pPr>
        <w:pStyle w:val="BookText"/>
      </w:pPr>
      <w:r>
        <w:rPr>
          <w:rFonts w:ascii="Amiri" w:hAnsi="Amiri" w:eastAsia="Amiri" w:cs="Amiri"/>
          <w:lang w:bidi="ar-SA"/>
          <w:color w:val="111111"/>
          <w:sz w:val="28"/>
          <w:szCs w:val="28"/>
          <w:rtl/>
        </w:rPr>
        <w:t xml:space="preserve">عبد العزيز -صدر الشهيد ، عمر بن عبدالعزيز</w:t>
      </w:r>
    </w:p>
    <w:p>
      <w:pPr>
        <w:pStyle w:val="BookText"/>
      </w:pPr>
      <w:r>
        <w:rPr>
          <w:rFonts w:ascii="Amiri" w:hAnsi="Amiri" w:eastAsia="Amiri" w:cs="Amiri"/>
          <w:lang w:bidi="ar-SA"/>
          <w:color w:val="111111"/>
          <w:sz w:val="28"/>
          <w:szCs w:val="28"/>
          <w:rtl/>
        </w:rPr>
        <w:t xml:space="preserve">صدر شيرازي ، حسن بن هادي- صدر ،</w:t>
      </w:r>
    </w:p>
    <w:p>
      <w:pPr>
        <w:pStyle w:val="BookText"/>
      </w:pPr>
      <w:r>
        <w:rPr>
          <w:rFonts w:ascii="Amiri" w:hAnsi="Amiri" w:eastAsia="Amiri" w:cs="Amiri"/>
          <w:lang w:bidi="ar-SA"/>
          <w:color w:val="111111"/>
          <w:sz w:val="28"/>
          <w:szCs w:val="28"/>
          <w:rtl/>
        </w:rPr>
        <w:t xml:space="preserve">حسن بن هادي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69" w:name="pg7742_70662"/>
    <w:bookmarkEnd w:id="669"/>
    <w:p>
      <w:pPr>
        <w:pStyle w:val="BookText"/>
      </w:pPr>
      <w:r>
        <w:rPr>
          <w:rFonts w:ascii="Amiri" w:hAnsi="Amiri" w:eastAsia="Amiri" w:cs="Amiri"/>
          <w:lang w:bidi="ar-SA"/>
          <w:color w:val="111111"/>
          <w:sz w:val="28"/>
          <w:szCs w:val="28"/>
          <w:rtl/>
        </w:rPr>
        <w:t xml:space="preserve">صدر عاملي ، حسن بن هادي -صدر</w:t>
      </w:r>
    </w:p>
    <w:p>
      <w:pPr>
        <w:pStyle w:val="BookText"/>
      </w:pPr>
      <w:r>
        <w:rPr>
          <w:rFonts w:ascii="Amiri" w:hAnsi="Amiri" w:eastAsia="Amiri" w:cs="Amiri"/>
          <w:lang w:bidi="ar-SA"/>
          <w:color w:val="111111"/>
          <w:sz w:val="28"/>
          <w:szCs w:val="28"/>
          <w:rtl/>
        </w:rPr>
        <w:t xml:space="preserve">حسن بن هادي</w:t>
      </w:r>
    </w:p>
    <w:p>
      <w:pPr>
        <w:pStyle w:val="BookText"/>
      </w:pPr>
      <w:r>
        <w:rPr>
          <w:rFonts w:ascii="Amiri" w:hAnsi="Amiri" w:eastAsia="Amiri" w:cs="Amiri"/>
          <w:lang w:bidi="ar-SA"/>
          <w:color w:val="111111"/>
          <w:sz w:val="28"/>
          <w:szCs w:val="28"/>
          <w:rtl/>
        </w:rPr>
        <w:t xml:space="preserve">صدر كاظميني ، حسن بن هادي- صدر</w:t>
      </w:r>
    </w:p>
    <w:p>
      <w:pPr>
        <w:pStyle w:val="BookText"/>
      </w:pPr>
      <w:r>
        <w:rPr>
          <w:rFonts w:ascii="Amiri" w:hAnsi="Amiri" w:eastAsia="Amiri" w:cs="Amiri"/>
          <w:lang w:bidi="ar-SA"/>
          <w:color w:val="111111"/>
          <w:sz w:val="28"/>
          <w:szCs w:val="28"/>
          <w:rtl/>
        </w:rPr>
        <w:t xml:space="preserve">حسن بن هادي</w:t>
      </w:r>
    </w:p>
    <w:p>
      <w:pPr>
        <w:pStyle w:val="Heading2"/>
      </w:pPr>
      <w:bookmarkStart w:id="5411" w:name="_Toc4513"/>
      <w:r>
        <w:t>صدر ، محمّد باقر - 1358 ش</w:t>
      </w:r>
      <w:bookmarkEnd w:id="5411"/>
    </w:p>
    <w:p>
      <w:pPr>
        <w:pStyle w:val="BookText"/>
      </w:pPr>
      <w:r>
        <w:rPr>
          <w:rFonts w:ascii="Amiri" w:hAnsi="Amiri" w:eastAsia="Amiri" w:cs="Amiri"/>
          <w:lang w:bidi="ar-SA"/>
          <w:color w:val="111111"/>
          <w:sz w:val="28"/>
          <w:szCs w:val="28"/>
          <w:rtl/>
        </w:rPr>
        <w:t xml:space="preserve">رسالة اذا حدث الجنب في غسل</w:t>
      </w:r>
    </w:p>
    <w:p>
      <w:pPr>
        <w:pStyle w:val="BookText"/>
      </w:pPr>
      <w:r>
        <w:rPr>
          <w:rFonts w:ascii="Amiri" w:hAnsi="Amiri" w:eastAsia="Amiri" w:cs="Amiri"/>
          <w:lang w:bidi="ar-SA"/>
          <w:color w:val="111111"/>
          <w:sz w:val="28"/>
          <w:szCs w:val="28"/>
          <w:rtl/>
        </w:rPr>
        <w:t xml:space="preserve">الجنابة، ج8، ص 163.</w:t>
      </w:r>
    </w:p>
    <w:p>
      <w:pPr>
        <w:pStyle w:val="BookText"/>
      </w:pPr>
      <w:r>
        <w:rPr>
          <w:rFonts w:ascii="Amiri" w:hAnsi="Amiri" w:eastAsia="Amiri" w:cs="Amiri"/>
          <w:lang w:bidi="ar-SA"/>
          <w:color w:val="111111"/>
          <w:sz w:val="28"/>
          <w:szCs w:val="28"/>
          <w:rtl/>
        </w:rPr>
        <w:t xml:space="preserve">صدر ، محمّد بن ابي بكر -زين الدين</w:t>
      </w:r>
    </w:p>
    <w:p>
      <w:pPr>
        <w:pStyle w:val="BookText"/>
      </w:pPr>
      <w:r>
        <w:rPr>
          <w:rFonts w:ascii="Amiri" w:hAnsi="Amiri" w:eastAsia="Amiri" w:cs="Amiri"/>
          <w:lang w:bidi="ar-SA"/>
          <w:color w:val="111111"/>
          <w:sz w:val="28"/>
          <w:szCs w:val="28"/>
          <w:rtl/>
        </w:rPr>
        <w:t xml:space="preserve">الرازي ، محمّد بن ابي بكر</w:t>
      </w:r>
    </w:p>
    <w:p>
      <w:pPr>
        <w:pStyle w:val="Heading2"/>
      </w:pPr>
      <w:bookmarkStart w:id="5412" w:name="_Toc4514"/>
      <w:r>
        <w:t>صدري ، محمّد بن حسين</w:t>
      </w:r>
      <w:bookmarkEnd w:id="5412"/>
    </w:p>
    <w:p>
      <w:pPr>
        <w:pStyle w:val="BookText"/>
      </w:pPr>
      <w:r>
        <w:rPr>
          <w:rFonts w:ascii="IRNazanin" w:hAnsi="IRNazanin" w:eastAsia="IRNazanin" w:cs="IRNazanin"/>
          <w:lang w:bidi="fa-IR"/>
          <w:color w:val="111111"/>
          <w:sz w:val="28"/>
          <w:szCs w:val="28"/>
          <w:rtl/>
        </w:rPr>
        <w:t xml:space="preserve">الفرائض، ج11، ص 753 .</w:t>
      </w:r>
    </w:p>
    <w:p>
      <w:pPr>
        <w:pStyle w:val="BookText"/>
      </w:pPr>
      <w:r>
        <w:rPr>
          <w:rFonts w:ascii="Amiri" w:hAnsi="Amiri" w:eastAsia="Amiri" w:cs="Amiri"/>
          <w:lang w:bidi="ar-SA"/>
          <w:color w:val="111111"/>
          <w:sz w:val="28"/>
          <w:szCs w:val="28"/>
          <w:rtl/>
        </w:rPr>
        <w:t xml:space="preserve">صدري ، مصطفى بن احمد -شيخ وفا ،</w:t>
      </w:r>
    </w:p>
    <w:p>
      <w:pPr>
        <w:pStyle w:val="BookText"/>
      </w:pPr>
      <w:r>
        <w:rPr>
          <w:rFonts w:ascii="IRNazanin" w:hAnsi="IRNazanin" w:eastAsia="IRNazanin" w:cs="IRNazanin"/>
          <w:lang w:bidi="fa-IR"/>
          <w:color w:val="111111"/>
          <w:sz w:val="28"/>
          <w:szCs w:val="28"/>
          <w:rtl/>
        </w:rPr>
        <w:t xml:space="preserve">مصطفى بن احمد</w:t>
      </w:r>
    </w:p>
    <w:p>
      <w:pPr>
        <w:pStyle w:val="BookText"/>
      </w:pPr>
      <w:r>
        <w:rPr>
          <w:rFonts w:ascii="Amiri" w:hAnsi="Amiri" w:eastAsia="Amiri" w:cs="Amiri"/>
          <w:lang w:bidi="ar-SA"/>
          <w:color w:val="111111"/>
          <w:sz w:val="28"/>
          <w:szCs w:val="28"/>
          <w:rtl/>
        </w:rPr>
        <w:t xml:space="preserve">صدفي، عبد اللطيف بن احمد- هاشمي ،</w:t>
      </w:r>
    </w:p>
    <w:p>
      <w:pPr>
        <w:pStyle w:val="BookText"/>
      </w:pPr>
      <w:r>
        <w:rPr>
          <w:rFonts w:ascii="Amiri" w:hAnsi="Amiri" w:eastAsia="Amiri" w:cs="Amiri"/>
          <w:lang w:bidi="ar-SA"/>
          <w:color w:val="111111"/>
          <w:sz w:val="28"/>
          <w:szCs w:val="28"/>
          <w:rtl/>
        </w:rPr>
        <w:t xml:space="preserve">عبداللطيف بن احمد</w:t>
      </w:r>
    </w:p>
    <w:p>
      <w:pPr>
        <w:pStyle w:val="BookText"/>
      </w:pPr>
      <w:r>
        <w:rPr>
          <w:rFonts w:ascii="Amiri" w:hAnsi="Amiri" w:eastAsia="Amiri" w:cs="Amiri"/>
          <w:lang w:bidi="ar-SA"/>
          <w:color w:val="111111"/>
          <w:sz w:val="28"/>
          <w:szCs w:val="28"/>
          <w:rtl/>
        </w:rPr>
        <w:t xml:space="preserve">صدفي، علي بن عبد الرحمن- ابن يونس</w:t>
      </w:r>
    </w:p>
    <w:p>
      <w:pPr>
        <w:pStyle w:val="BookText"/>
      </w:pPr>
      <w:r>
        <w:rPr>
          <w:rFonts w:ascii="Amiri" w:hAnsi="Amiri" w:eastAsia="Amiri" w:cs="Amiri"/>
          <w:lang w:bidi="ar-SA"/>
          <w:color w:val="111111"/>
          <w:sz w:val="28"/>
          <w:szCs w:val="28"/>
          <w:rtl/>
        </w:rPr>
        <w:t xml:space="preserve">علي بن عبدالرحمن</w:t>
      </w:r>
    </w:p>
    <w:p>
      <w:pPr>
        <w:pStyle w:val="BookText"/>
      </w:pPr>
      <w:r>
        <w:rPr>
          <w:rFonts w:ascii="Amiri" w:hAnsi="Amiri" w:eastAsia="Amiri" w:cs="Amiri"/>
          <w:lang w:bidi="ar-SA"/>
          <w:color w:val="111111"/>
          <w:sz w:val="28"/>
          <w:szCs w:val="28"/>
          <w:rtl/>
        </w:rPr>
        <w:t xml:space="preserve">صدقي الزهاوي، جميل بن</w:t>
      </w:r>
    </w:p>
    <w:p>
      <w:pPr>
        <w:pStyle w:val="BookText"/>
      </w:pPr>
      <w:r>
        <w:rPr>
          <w:rFonts w:ascii="Amiri" w:hAnsi="Amiri" w:eastAsia="Amiri" w:cs="Amiri"/>
          <w:lang w:bidi="ar-SA"/>
          <w:color w:val="111111"/>
          <w:sz w:val="28"/>
          <w:szCs w:val="28"/>
          <w:rtl/>
        </w:rPr>
        <w:t xml:space="preserve">محمّد -زهاوي ، جميل بن محمّد</w:t>
      </w:r>
    </w:p>
    <w:p>
      <w:pPr>
        <w:pStyle w:val="BookText"/>
      </w:pPr>
      <w:r>
        <w:rPr>
          <w:rFonts w:ascii="Amiri" w:hAnsi="Amiri" w:eastAsia="Amiri" w:cs="Amiri"/>
          <w:lang w:bidi="ar-SA"/>
          <w:color w:val="111111"/>
          <w:sz w:val="28"/>
          <w:szCs w:val="28"/>
          <w:rtl/>
        </w:rPr>
        <w:t xml:space="preserve">صدقي حيدري - صدقي ، عبد القادر</w:t>
      </w:r>
    </w:p>
    <w:p>
      <w:pPr>
        <w:pStyle w:val="Heading2"/>
      </w:pPr>
      <w:bookmarkStart w:id="5413" w:name="_Toc4515"/>
      <w:r>
        <w:t>صدقي ، خليل</w:t>
      </w:r>
      <w:bookmarkEnd w:id="5413"/>
    </w:p>
    <w:p>
      <w:pPr>
        <w:pStyle w:val="BookText"/>
      </w:pPr>
      <w:r>
        <w:rPr>
          <w:rFonts w:ascii="Amiri" w:hAnsi="Amiri" w:eastAsia="Amiri" w:cs="Amiri"/>
          <w:lang w:bidi="ar-SA"/>
          <w:color w:val="111111"/>
          <w:sz w:val="28"/>
          <w:szCs w:val="28"/>
          <w:rtl/>
        </w:rPr>
        <w:t xml:space="preserve">المنقولات الادبية والشعرية، ج 15 ، ص 735.</w:t>
      </w:r>
    </w:p>
    <w:p>
      <w:pPr>
        <w:pStyle w:val="BookText"/>
      </w:pPr>
      <w:r>
        <w:rPr>
          <w:rFonts w:ascii="Amiri" w:hAnsi="Amiri" w:eastAsia="Amiri" w:cs="Amiri"/>
          <w:lang w:bidi="ar-SA"/>
          <w:color w:val="111111"/>
          <w:sz w:val="28"/>
          <w:szCs w:val="28"/>
          <w:rtl/>
        </w:rPr>
        <w:t xml:space="preserve">صدقي ، عبد الحميد بن بكر -عباده ،</w:t>
      </w:r>
    </w:p>
    <w:p>
      <w:pPr>
        <w:pStyle w:val="BookText"/>
      </w:pPr>
      <w:r>
        <w:rPr>
          <w:rFonts w:ascii="Amiri" w:hAnsi="Amiri" w:eastAsia="Amiri" w:cs="Amiri"/>
          <w:lang w:bidi="ar-SA"/>
          <w:color w:val="111111"/>
          <w:sz w:val="28"/>
          <w:szCs w:val="28"/>
          <w:rtl/>
        </w:rPr>
        <w:t xml:space="preserve">عبد الحميد بن بكر</w:t>
      </w:r>
    </w:p>
    <w:p>
      <w:pPr>
        <w:pStyle w:val="Heading2"/>
      </w:pPr>
      <w:bookmarkStart w:id="5414" w:name="_Toc4516"/>
      <w:r>
        <w:t>صدقي ، عبد القادر</w:t>
      </w:r>
      <w:bookmarkEnd w:id="5414"/>
    </w:p>
    <w:p>
      <w:pPr>
        <w:pStyle w:val="BookText"/>
      </w:pPr>
      <w:r>
        <w:rPr>
          <w:rFonts w:ascii="IRNazanin" w:hAnsi="IRNazanin" w:eastAsia="IRNazanin" w:cs="IRNazanin"/>
          <w:lang w:bidi="fa-IR"/>
          <w:color w:val="111111"/>
          <w:sz w:val="28"/>
          <w:szCs w:val="28"/>
          <w:rtl/>
        </w:rPr>
        <w:t xml:space="preserve">دیوان عبد القادر الصدقي، ج7،</w:t>
      </w:r>
    </w:p>
    <w:p>
      <w:pPr>
        <w:pStyle w:val="BookText"/>
      </w:pPr>
      <w:r>
        <w:rPr>
          <w:rFonts w:ascii="IRNazanin" w:hAnsi="IRNazanin" w:eastAsia="IRNazanin" w:cs="IRNazanin"/>
          <w:lang w:bidi="fa-IR"/>
          <w:color w:val="111111"/>
          <w:sz w:val="28"/>
          <w:szCs w:val="28"/>
          <w:rtl/>
        </w:rPr>
        <w:t xml:space="preserve">ص 713.</w:t>
      </w:r>
    </w:p>
    <w:p>
      <w:pPr>
        <w:pStyle w:val="Heading2"/>
      </w:pPr>
      <w:bookmarkStart w:id="5415" w:name="_Toc4517"/>
      <w:r>
        <w:t>صدقي ، عوني بكر، قرن 13 ه-</w:t>
      </w:r>
      <w:bookmarkEnd w:id="5415"/>
    </w:p>
    <w:p>
      <w:pPr>
        <w:pStyle w:val="BookText"/>
      </w:pPr>
      <w:r>
        <w:rPr>
          <w:rFonts w:ascii="Amiri" w:hAnsi="Amiri" w:eastAsia="Amiri" w:cs="Amiri"/>
          <w:lang w:bidi="ar-SA"/>
          <w:color w:val="111111"/>
          <w:sz w:val="28"/>
          <w:szCs w:val="28"/>
          <w:rtl/>
        </w:rPr>
        <w:t xml:space="preserve">الفائدة المفردة العربية في شرح المائة</w:t>
      </w:r>
    </w:p>
    <w:p>
      <w:pPr>
        <w:pStyle w:val="BookText"/>
      </w:pPr>
      <w:r>
        <w:rPr>
          <w:rFonts w:ascii="Amiri" w:hAnsi="Amiri" w:eastAsia="Amiri" w:cs="Amiri"/>
          <w:lang w:bidi="ar-SA"/>
          <w:color w:val="111111"/>
          <w:sz w:val="28"/>
          <w:szCs w:val="28"/>
          <w:rtl/>
        </w:rPr>
        <w:t xml:space="preserve">العجمية، ج 11، ص 576.</w:t>
      </w:r>
    </w:p>
    <w:p>
      <w:pPr>
        <w:pStyle w:val="BookText"/>
      </w:pPr>
      <w:r>
        <w:rPr>
          <w:rFonts w:ascii="IRNazanin" w:hAnsi="IRNazanin" w:eastAsia="IRNazanin" w:cs="IRNazanin"/>
          <w:lang w:bidi="fa-IR"/>
          <w:color w:val="111111"/>
          <w:sz w:val="28"/>
          <w:szCs w:val="28"/>
          <w:rtl/>
        </w:rPr>
        <w:t xml:space="preserve">صدوق -شیخ صدوق، محمّد بن علي</w:t>
      </w:r>
    </w:p>
    <w:p>
      <w:pPr>
        <w:pStyle w:val="BookText"/>
      </w:pPr>
      <w:r>
        <w:rPr>
          <w:rFonts w:ascii="Amiri" w:hAnsi="Amiri" w:eastAsia="Amiri" w:cs="Amiri"/>
          <w:lang w:bidi="ar-SA"/>
          <w:color w:val="111111"/>
          <w:sz w:val="28"/>
          <w:szCs w:val="28"/>
          <w:rtl/>
        </w:rPr>
        <w:t xml:space="preserve">صدوق ثاني -شيخ صدوق، محمّد بن علي</w:t>
      </w:r>
    </w:p>
    <w:p>
      <w:pPr>
        <w:pStyle w:val="BookText"/>
      </w:pPr>
      <w:r>
        <w:rPr>
          <w:rFonts w:ascii="IRNazanin" w:hAnsi="IRNazanin" w:eastAsia="IRNazanin" w:cs="IRNazanin"/>
          <w:lang w:bidi="fa-IR"/>
          <w:color w:val="111111"/>
          <w:sz w:val="28"/>
          <w:szCs w:val="28"/>
          <w:rtl/>
        </w:rPr>
        <w:t xml:space="preserve">صديق ، ابوبکر- ابوبكر ، عبدالله بن ابي</w:t>
      </w:r>
    </w:p>
    <w:p>
      <w:pPr>
        <w:pStyle w:val="BookText"/>
      </w:pPr>
      <w:r>
        <w:rPr>
          <w:rFonts w:ascii="IRNazanin" w:hAnsi="IRNazanin" w:eastAsia="IRNazanin" w:cs="IRNazanin"/>
          <w:lang w:bidi="fa-IR"/>
          <w:color w:val="111111"/>
          <w:sz w:val="28"/>
          <w:szCs w:val="28"/>
          <w:rtl/>
        </w:rPr>
        <w:t xml:space="preserve">قحافه</w:t>
      </w:r>
    </w:p>
    <w:p>
      <w:pPr>
        <w:pStyle w:val="Heading2"/>
      </w:pPr>
      <w:bookmarkStart w:id="5416" w:name="_Toc4518"/>
      <w:r>
        <w:t>صديق ، ابوبکر</w:t>
      </w:r>
      <w:bookmarkEnd w:id="5416"/>
    </w:p>
    <w:p>
      <w:pPr>
        <w:pStyle w:val="BookText"/>
      </w:pPr>
      <w:r>
        <w:rPr>
          <w:rFonts w:ascii="Amiri" w:hAnsi="Amiri" w:eastAsia="Amiri" w:cs="Amiri"/>
          <w:lang w:bidi="ar-SA"/>
          <w:color w:val="111111"/>
          <w:sz w:val="28"/>
          <w:szCs w:val="28"/>
          <w:rtl/>
        </w:rPr>
        <w:t xml:space="preserve">حاشية شرح الكافية، ج6، ص 161.</w:t>
      </w:r>
    </w:p>
    <w:p>
      <w:pPr>
        <w:pStyle w:val="Heading2"/>
      </w:pPr>
      <w:bookmarkStart w:id="5417" w:name="_Toc4519"/>
      <w:r>
        <w:t>صديق ، بدرالدین بن سالم قرن 11 ه-</w:t>
      </w:r>
      <w:bookmarkEnd w:id="5417"/>
    </w:p>
    <w:p>
      <w:pPr>
        <w:pStyle w:val="BookText"/>
      </w:pPr>
      <w:r>
        <w:rPr>
          <w:rFonts w:ascii="Amiri" w:hAnsi="Amiri" w:eastAsia="Amiri" w:cs="Amiri"/>
          <w:lang w:bidi="ar-SA"/>
          <w:color w:val="111111"/>
          <w:sz w:val="28"/>
          <w:szCs w:val="28"/>
          <w:rtl/>
        </w:rPr>
        <w:t xml:space="preserve">نزهة الابصار والاسماع في اخبار ذوات</w:t>
      </w:r>
    </w:p>
    <w:p>
      <w:pPr>
        <w:pStyle w:val="BookText"/>
      </w:pPr>
      <w:r>
        <w:rPr>
          <w:rFonts w:ascii="IRNazanin" w:hAnsi="IRNazanin" w:eastAsia="IRNazanin" w:cs="IRNazanin"/>
          <w:lang w:bidi="fa-IR"/>
          <w:color w:val="111111"/>
          <w:sz w:val="28"/>
          <w:szCs w:val="28"/>
          <w:rtl/>
        </w:rPr>
        <w:t xml:space="preserve">القناع، ج 16، ص 215.</w:t>
      </w:r>
    </w:p>
    <w:p>
      <w:pPr>
        <w:pStyle w:val="Heading2"/>
      </w:pPr>
      <w:bookmarkStart w:id="5418" w:name="_Toc4520"/>
      <w:r>
        <w:t>صديق بن علي قرن 11 ه-</w:t>
      </w:r>
      <w:bookmarkEnd w:id="5418"/>
    </w:p>
    <w:p>
      <w:pPr>
        <w:pStyle w:val="BookText"/>
      </w:pPr>
      <w:r>
        <w:rPr>
          <w:rFonts w:ascii="Amiri" w:hAnsi="Amiri" w:eastAsia="Amiri" w:cs="Amiri"/>
          <w:lang w:bidi="ar-SA"/>
          <w:color w:val="111111"/>
          <w:sz w:val="28"/>
          <w:szCs w:val="28"/>
          <w:rtl/>
        </w:rPr>
        <w:t xml:space="preserve">مستخرج كتاب جامع الفصولين، ج 14،</w:t>
      </w:r>
    </w:p>
    <w:p>
      <w:pPr>
        <w:pStyle w:val="BookText"/>
      </w:pPr>
      <w:r>
        <w:rPr>
          <w:rFonts w:ascii="IRNazanin" w:hAnsi="IRNazanin" w:eastAsia="IRNazanin" w:cs="IRNazanin"/>
          <w:lang w:bidi="fa-IR"/>
          <w:color w:val="111111"/>
          <w:sz w:val="28"/>
          <w:szCs w:val="28"/>
          <w:rtl/>
        </w:rPr>
        <w:t xml:space="preserve">ص 550.</w:t>
      </w:r>
    </w:p>
    <w:p>
      <w:pPr>
        <w:pStyle w:val="BookText"/>
      </w:pPr>
      <w:r>
        <w:rPr>
          <w:rFonts w:ascii="Amiri" w:hAnsi="Amiri" w:eastAsia="Amiri" w:cs="Amiri"/>
          <w:lang w:bidi="ar-SA"/>
          <w:color w:val="111111"/>
          <w:sz w:val="28"/>
          <w:szCs w:val="28"/>
          <w:rtl/>
        </w:rPr>
        <w:t xml:space="preserve">صديق بن محمّد الخاص الزبيدي- زبيدي</w:t>
      </w:r>
    </w:p>
    <w:p>
      <w:pPr>
        <w:pStyle w:val="BookText"/>
      </w:pPr>
      <w:r>
        <w:rPr>
          <w:rFonts w:ascii="Amiri" w:hAnsi="Amiri" w:eastAsia="Amiri" w:cs="Amiri"/>
          <w:lang w:bidi="ar-SA"/>
          <w:color w:val="111111"/>
          <w:sz w:val="28"/>
          <w:szCs w:val="28"/>
          <w:rtl/>
        </w:rPr>
        <w:t xml:space="preserve">، صديق بن محمّد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70" w:name="pg7742_70663"/>
    <w:bookmarkEnd w:id="670"/>
    <w:p>
      <w:pPr>
        <w:pStyle w:val="Heading2"/>
      </w:pPr>
      <w:bookmarkStart w:id="5419" w:name="_Toc4521"/>
      <w:r>
        <w:t>صدیق تهامي - 1057 ه-</w:t>
      </w:r>
      <w:bookmarkEnd w:id="5419"/>
    </w:p>
    <w:p>
      <w:pPr>
        <w:pStyle w:val="BookText"/>
      </w:pPr>
      <w:r>
        <w:rPr>
          <w:rFonts w:ascii="Amiri" w:hAnsi="Amiri" w:eastAsia="Amiri" w:cs="Amiri"/>
          <w:lang w:bidi="ar-SA"/>
          <w:color w:val="111111"/>
          <w:sz w:val="28"/>
          <w:szCs w:val="28"/>
          <w:rtl/>
        </w:rPr>
        <w:t xml:space="preserve">ارشاد الصديق إلى انساب آل الصديق، ج 2، ص28.</w:t>
      </w:r>
    </w:p>
    <w:p>
      <w:pPr>
        <w:pStyle w:val="BookText"/>
      </w:pPr>
      <w:r>
        <w:rPr>
          <w:rFonts w:ascii="Amiri" w:hAnsi="Amiri" w:eastAsia="Amiri" w:cs="Amiri"/>
          <w:lang w:bidi="ar-SA"/>
          <w:color w:val="111111"/>
          <w:sz w:val="28"/>
          <w:szCs w:val="28"/>
          <w:rtl/>
        </w:rPr>
        <w:t xml:space="preserve">صديق محمّد بن صديق السراج - سراج ،</w:t>
      </w:r>
    </w:p>
    <w:p>
      <w:pPr>
        <w:pStyle w:val="BookText"/>
      </w:pPr>
      <w:r>
        <w:rPr>
          <w:rFonts w:ascii="Amiri" w:hAnsi="Amiri" w:eastAsia="Amiri" w:cs="Amiri"/>
          <w:lang w:bidi="ar-SA"/>
          <w:color w:val="111111"/>
          <w:sz w:val="28"/>
          <w:szCs w:val="28"/>
          <w:rtl/>
        </w:rPr>
        <w:t xml:space="preserve">محمّد بن صديق</w:t>
      </w:r>
    </w:p>
    <w:p>
      <w:pPr>
        <w:pStyle w:val="BookText"/>
      </w:pPr>
      <w:r>
        <w:rPr>
          <w:rFonts w:ascii="Amiri" w:hAnsi="Amiri" w:eastAsia="Amiri" w:cs="Amiri"/>
          <w:lang w:bidi="ar-SA"/>
          <w:color w:val="111111"/>
          <w:sz w:val="28"/>
          <w:szCs w:val="28"/>
          <w:rtl/>
        </w:rPr>
        <w:t xml:space="preserve">صديق ، محمّد طاهر بن علي -فتني</w:t>
      </w:r>
    </w:p>
    <w:p>
      <w:pPr>
        <w:pStyle w:val="BookText"/>
      </w:pPr>
      <w:r>
        <w:rPr>
          <w:rFonts w:ascii="Amiri" w:hAnsi="Amiri" w:eastAsia="Amiri" w:cs="Amiri"/>
          <w:lang w:bidi="ar-SA"/>
          <w:color w:val="111111"/>
          <w:sz w:val="28"/>
          <w:szCs w:val="28"/>
          <w:rtl/>
        </w:rPr>
        <w:t xml:space="preserve">محمّد طاهر بن علي</w:t>
      </w:r>
    </w:p>
    <w:p>
      <w:pPr>
        <w:pStyle w:val="Heading2"/>
      </w:pPr>
      <w:bookmarkStart w:id="5420" w:name="_Toc4522"/>
      <w:r>
        <w:t>صديقي ، ابراهيم بن ابي بكر، قرن 13 ه-</w:t>
      </w:r>
      <w:bookmarkEnd w:id="5420"/>
    </w:p>
    <w:p>
      <w:pPr>
        <w:pStyle w:val="BookText"/>
      </w:pPr>
      <w:r>
        <w:rPr>
          <w:rFonts w:ascii="Amiri" w:hAnsi="Amiri" w:eastAsia="Amiri" w:cs="Amiri"/>
          <w:lang w:bidi="ar-SA"/>
          <w:color w:val="111111"/>
          <w:sz w:val="28"/>
          <w:szCs w:val="28"/>
          <w:rtl/>
        </w:rPr>
        <w:t xml:space="preserve">تحفة الاماثل في حل الفاظ شامل العوامل، ج 3، ص 807.</w:t>
      </w:r>
    </w:p>
    <w:p>
      <w:pPr>
        <w:pStyle w:val="BookText"/>
      </w:pPr>
      <w:r>
        <w:rPr>
          <w:rFonts w:ascii="Amiri" w:hAnsi="Amiri" w:eastAsia="Amiri" w:cs="Amiri"/>
          <w:lang w:bidi="ar-SA"/>
          <w:color w:val="111111"/>
          <w:sz w:val="28"/>
          <w:szCs w:val="28"/>
          <w:rtl/>
        </w:rPr>
        <w:t xml:space="preserve">صديقي ، ابوالحسن محمّد بن محمّد -بكري صديقي ، محمّد بن محمّد</w:t>
      </w:r>
    </w:p>
    <w:p>
      <w:pPr>
        <w:pStyle w:val="BookText"/>
      </w:pPr>
      <w:r>
        <w:rPr>
          <w:rFonts w:ascii="Amiri" w:hAnsi="Amiri" w:eastAsia="Amiri" w:cs="Amiri"/>
          <w:lang w:bidi="ar-SA"/>
          <w:color w:val="111111"/>
          <w:sz w:val="28"/>
          <w:szCs w:val="28"/>
          <w:rtl/>
        </w:rPr>
        <w:t xml:space="preserve">صديقي ، ابوالفضل -كازروني ، ابوالفضل</w:t>
      </w:r>
    </w:p>
    <w:p>
      <w:pPr>
        <w:pStyle w:val="BookText"/>
      </w:pPr>
      <w:r>
        <w:rPr>
          <w:rFonts w:ascii="Amiri" w:hAnsi="Amiri" w:eastAsia="Amiri" w:cs="Amiri"/>
          <w:lang w:bidi="ar-SA"/>
          <w:color w:val="111111"/>
          <w:sz w:val="28"/>
          <w:szCs w:val="28"/>
          <w:rtl/>
        </w:rPr>
        <w:t xml:space="preserve">صديقي ، احمد بن ابي سعيد -شيخ جيون</w:t>
      </w:r>
    </w:p>
    <w:p>
      <w:pPr>
        <w:pStyle w:val="BookText"/>
      </w:pPr>
      <w:r>
        <w:rPr>
          <w:rFonts w:ascii="Amiri" w:hAnsi="Amiri" w:eastAsia="Amiri" w:cs="Amiri"/>
          <w:lang w:bidi="ar-SA"/>
          <w:color w:val="111111"/>
          <w:sz w:val="28"/>
          <w:szCs w:val="28"/>
          <w:rtl/>
        </w:rPr>
        <w:t xml:space="preserve">، احمد بن ابي سعيد</w:t>
      </w:r>
    </w:p>
    <w:p>
      <w:pPr>
        <w:pStyle w:val="BookText"/>
      </w:pPr>
      <w:r>
        <w:rPr>
          <w:rFonts w:ascii="Amiri" w:hAnsi="Amiri" w:eastAsia="Amiri" w:cs="Amiri"/>
          <w:lang w:bidi="ar-SA"/>
          <w:color w:val="111111"/>
          <w:sz w:val="28"/>
          <w:szCs w:val="28"/>
          <w:rtl/>
        </w:rPr>
        <w:t xml:space="preserve">صديقي ، احمد بن ابراهيم -ابن علان ، احمد بن ابراهيم</w:t>
      </w:r>
    </w:p>
    <w:p>
      <w:pPr>
        <w:pStyle w:val="Heading2"/>
      </w:pPr>
      <w:bookmarkStart w:id="5421" w:name="_Toc4523"/>
      <w:r>
        <w:t>صديقي ، احمد بن محمّد قرن 12 ه-</w:t>
      </w:r>
      <w:bookmarkEnd w:id="5421"/>
    </w:p>
    <w:p>
      <w:pPr>
        <w:pStyle w:val="BookText"/>
      </w:pPr>
      <w:r>
        <w:rPr>
          <w:rFonts w:ascii="Amiri" w:hAnsi="Amiri" w:eastAsia="Amiri" w:cs="Amiri"/>
          <w:lang w:bidi="ar-SA"/>
          <w:color w:val="111111"/>
          <w:sz w:val="28"/>
          <w:szCs w:val="28"/>
          <w:rtl/>
        </w:rPr>
        <w:t xml:space="preserve">لوامع اللباب في شرح خلاصة الحساب</w:t>
      </w:r>
    </w:p>
    <w:p>
      <w:pPr>
        <w:pStyle w:val="BookText"/>
      </w:pPr>
      <w:r>
        <w:rPr>
          <w:rFonts w:ascii="IRNazanin" w:hAnsi="IRNazanin" w:eastAsia="IRNazanin" w:cs="IRNazanin"/>
          <w:lang w:bidi="fa-IR"/>
          <w:color w:val="111111"/>
          <w:sz w:val="28"/>
          <w:szCs w:val="28"/>
          <w:rtl/>
        </w:rPr>
        <w:t xml:space="preserve">ج 13 ، ص 656 .</w:t>
      </w:r>
    </w:p>
    <w:p>
      <w:pPr>
        <w:pStyle w:val="Heading2"/>
      </w:pPr>
      <w:bookmarkStart w:id="5422" w:name="_Toc4524"/>
      <w:r>
        <w:t>صديقي بكري ، محمّد بن محمّد، 930 -</w:t>
      </w:r>
      <w:bookmarkEnd w:id="5422"/>
    </w:p>
    <w:p>
      <w:pPr>
        <w:pStyle w:val="BookText"/>
      </w:pPr>
      <w:r>
        <w:rPr>
          <w:rFonts w:ascii="IRNazanin" w:hAnsi="IRNazanin" w:eastAsia="IRNazanin" w:cs="IRNazanin"/>
          <w:lang w:bidi="fa-IR"/>
          <w:color w:val="111111"/>
          <w:sz w:val="28"/>
          <w:szCs w:val="28"/>
          <w:rtl/>
        </w:rPr>
        <w:t xml:space="preserve">994 ه-</w:t>
      </w:r>
    </w:p>
    <w:p>
      <w:pPr>
        <w:pStyle w:val="BookText"/>
      </w:pPr>
      <w:r>
        <w:rPr>
          <w:rFonts w:ascii="Amiri" w:hAnsi="Amiri" w:eastAsia="Amiri" w:cs="Amiri"/>
          <w:lang w:bidi="ar-SA"/>
          <w:color w:val="111111"/>
          <w:sz w:val="28"/>
          <w:szCs w:val="28"/>
          <w:rtl/>
        </w:rPr>
        <w:t xml:space="preserve">1 .الانفاس الرحمانية، ج 2، ص 820</w:t>
      </w:r>
    </w:p>
    <w:p>
      <w:pPr>
        <w:pStyle w:val="BookText"/>
      </w:pPr>
      <w:r>
        <w:rPr>
          <w:rFonts w:ascii="Amiri" w:hAnsi="Amiri" w:eastAsia="Amiri" w:cs="Amiri"/>
          <w:lang w:bidi="ar-SA"/>
          <w:color w:val="111111"/>
          <w:sz w:val="28"/>
          <w:szCs w:val="28"/>
          <w:rtl/>
        </w:rPr>
        <w:t xml:space="preserve">2 .تحفة السالك لاشرف المسالك، ج 3،</w:t>
      </w:r>
    </w:p>
    <w:p>
      <w:pPr>
        <w:pStyle w:val="BookText"/>
      </w:pPr>
      <w:r>
        <w:rPr>
          <w:rFonts w:ascii="IRNazanin" w:hAnsi="IRNazanin" w:eastAsia="IRNazanin" w:cs="IRNazanin"/>
          <w:lang w:bidi="fa-IR"/>
          <w:color w:val="111111"/>
          <w:sz w:val="28"/>
          <w:szCs w:val="28"/>
          <w:rtl/>
        </w:rPr>
        <w:t xml:space="preserve">ص 843.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تنبيه الأواه لفضل لا اله الا الله، ج 5،</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4 الرسالة المنصورية، ج8، ص281.</w:t>
      </w:r>
    </w:p>
    <w:p>
      <w:pPr>
        <w:pStyle w:val="BookText"/>
      </w:pPr>
      <w:r>
        <w:rPr>
          <w:rFonts w:ascii="Amiri" w:hAnsi="Amiri" w:eastAsia="Amiri" w:cs="Amiri"/>
          <w:lang w:bidi="ar-SA"/>
          <w:color w:val="111111"/>
          <w:sz w:val="28"/>
          <w:szCs w:val="28"/>
          <w:rtl/>
        </w:rPr>
        <w:t xml:space="preserve">5 .الرسالة الناصرية، ج8، ص288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الرسالة النافعة، ج8، ص288</w:t>
      </w:r>
    </w:p>
    <w:p>
      <w:pPr>
        <w:pStyle w:val="BookText"/>
      </w:pPr>
      <w:r>
        <w:rPr>
          <w:rFonts w:ascii="IRNazanin" w:hAnsi="IRNazanin" w:eastAsia="IRNazanin" w:cs="IRNazanin"/>
          <w:lang w:bidi="fa-IR"/>
          <w:color w:val="111111"/>
          <w:sz w:val="28"/>
          <w:szCs w:val="28"/>
          <w:rtl/>
        </w:rPr>
        <w:t xml:space="preserve">7 .فتاوی و اقوال و اشعار، ج11،</w:t>
      </w:r>
    </w:p>
    <w:p>
      <w:pPr>
        <w:pStyle w:val="BookText"/>
      </w:pPr>
      <w:r>
        <w:rPr>
          <w:rFonts w:ascii="IRNazanin" w:hAnsi="IRNazanin" w:eastAsia="IRNazanin" w:cs="IRNazanin"/>
          <w:lang w:bidi="fa-IR"/>
          <w:color w:val="111111"/>
          <w:sz w:val="28"/>
          <w:szCs w:val="28"/>
          <w:rtl/>
        </w:rPr>
        <w:t xml:space="preserve">ص 628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معاهد الجمع في مشاهد السمع،</w:t>
      </w:r>
    </w:p>
    <w:p>
      <w:pPr>
        <w:pStyle w:val="BookText"/>
      </w:pPr>
      <w:r>
        <w:rPr>
          <w:rFonts w:ascii="IRNazanin" w:hAnsi="IRNazanin" w:eastAsia="IRNazanin" w:cs="IRNazanin"/>
          <w:lang w:bidi="fa-IR"/>
          <w:color w:val="111111"/>
          <w:sz w:val="28"/>
          <w:szCs w:val="28"/>
          <w:rtl/>
        </w:rPr>
        <w:t xml:space="preserve">ج 14، ص 896.</w:t>
      </w:r>
    </w:p>
    <w:p>
      <w:pPr>
        <w:pStyle w:val="BookText"/>
      </w:pPr>
      <w:r>
        <w:rPr>
          <w:rFonts w:ascii="Amiri" w:hAnsi="Amiri" w:eastAsia="Amiri" w:cs="Amiri"/>
          <w:lang w:bidi="ar-SA"/>
          <w:color w:val="111111"/>
          <w:sz w:val="28"/>
          <w:szCs w:val="28"/>
          <w:rtl/>
        </w:rPr>
        <w:t xml:space="preserve">9 .نصيحة الفقراء، ج 16، ص 314.</w:t>
      </w:r>
    </w:p>
    <w:p>
      <w:pPr>
        <w:pStyle w:val="BookText"/>
      </w:pPr>
      <w:r>
        <w:rPr>
          <w:rFonts w:ascii="Amiri" w:hAnsi="Amiri" w:eastAsia="Amiri" w:cs="Amiri"/>
          <w:lang w:bidi="ar-SA"/>
          <w:color w:val="111111"/>
          <w:sz w:val="28"/>
          <w:szCs w:val="28"/>
          <w:rtl/>
        </w:rPr>
        <w:t xml:space="preserve">10 .هداية المريد للسبيل الحميد</w:t>
      </w:r>
    </w:p>
    <w:p>
      <w:pPr>
        <w:pStyle w:val="BookText"/>
      </w:pPr>
      <w:r>
        <w:rPr>
          <w:rFonts w:ascii="IRNazanin" w:hAnsi="IRNazanin" w:eastAsia="IRNazanin" w:cs="IRNazanin"/>
          <w:lang w:bidi="fa-IR"/>
          <w:color w:val="111111"/>
          <w:sz w:val="28"/>
          <w:szCs w:val="28"/>
          <w:rtl/>
        </w:rPr>
        <w:t xml:space="preserve">ج 16، ص 631 .</w:t>
      </w:r>
    </w:p>
    <w:p>
      <w:pPr>
        <w:pStyle w:val="BookText"/>
      </w:pPr>
      <w:r>
        <w:rPr>
          <w:rFonts w:ascii="Amiri" w:hAnsi="Amiri" w:eastAsia="Amiri" w:cs="Amiri"/>
          <w:lang w:bidi="ar-SA"/>
          <w:color w:val="111111"/>
          <w:sz w:val="28"/>
          <w:szCs w:val="28"/>
          <w:rtl/>
        </w:rPr>
        <w:t xml:space="preserve">صديقي بكري ، محمّد علي بن محمّد -ابن علان ، محمّد علي بن محمّد</w:t>
      </w:r>
    </w:p>
    <w:p>
      <w:pPr>
        <w:pStyle w:val="BookText"/>
      </w:pPr>
      <w:r>
        <w:rPr>
          <w:rFonts w:ascii="Amiri" w:hAnsi="Amiri" w:eastAsia="Amiri" w:cs="Amiri"/>
          <w:lang w:bidi="ar-SA"/>
          <w:color w:val="111111"/>
          <w:sz w:val="28"/>
          <w:szCs w:val="28"/>
          <w:rtl/>
        </w:rPr>
        <w:t xml:space="preserve">صديقي حنفي ، محمّد طاهر بن</w:t>
      </w:r>
    </w:p>
    <w:p>
      <w:pPr>
        <w:pStyle w:val="BookText"/>
      </w:pPr>
      <w:r>
        <w:rPr>
          <w:rFonts w:ascii="Amiri" w:hAnsi="Amiri" w:eastAsia="Amiri" w:cs="Amiri"/>
          <w:lang w:bidi="ar-SA"/>
          <w:color w:val="111111"/>
          <w:sz w:val="28"/>
          <w:szCs w:val="28"/>
          <w:rtl/>
        </w:rPr>
        <w:t xml:space="preserve">علي -فتني ، محمّد طاهر بن علي</w:t>
      </w:r>
    </w:p>
    <w:p>
      <w:pPr>
        <w:pStyle w:val="BookText"/>
      </w:pPr>
      <w:r>
        <w:rPr>
          <w:rFonts w:ascii="IRNazanin" w:hAnsi="IRNazanin" w:eastAsia="IRNazanin" w:cs="IRNazanin"/>
          <w:lang w:bidi="fa-IR"/>
          <w:color w:val="111111"/>
          <w:sz w:val="28"/>
          <w:szCs w:val="28"/>
          <w:rtl/>
        </w:rPr>
        <w:t xml:space="preserve">صديقي رامپوري، غياث الدين -غياث الدین رامپوري، محمّد بن جلال الدین</w:t>
      </w:r>
    </w:p>
    <w:p>
      <w:pPr>
        <w:pStyle w:val="BookText"/>
      </w:pPr>
      <w:r>
        <w:rPr>
          <w:rFonts w:ascii="Amiri" w:hAnsi="Amiri" w:eastAsia="Amiri" w:cs="Amiri"/>
          <w:lang w:bidi="ar-SA"/>
          <w:color w:val="111111"/>
          <w:sz w:val="28"/>
          <w:szCs w:val="28"/>
          <w:rtl/>
        </w:rPr>
        <w:t xml:space="preserve">صديقي ، زين العابدين محمّد بن ابي</w:t>
      </w:r>
    </w:p>
    <w:p>
      <w:pPr>
        <w:pStyle w:val="BookText"/>
      </w:pPr>
      <w:r>
        <w:rPr>
          <w:rFonts w:ascii="Amiri" w:hAnsi="Amiri" w:eastAsia="Amiri" w:cs="Amiri"/>
          <w:lang w:bidi="ar-SA"/>
          <w:color w:val="111111"/>
          <w:sz w:val="28"/>
          <w:szCs w:val="28"/>
          <w:rtl/>
        </w:rPr>
        <w:t xml:space="preserve">الحسن -بكري صديقي ، محمّد بن ابي الحسن</w:t>
      </w:r>
    </w:p>
    <w:p>
      <w:pPr>
        <w:pStyle w:val="Heading2"/>
      </w:pPr>
      <w:bookmarkStart w:id="5423" w:name="_Toc4525"/>
      <w:r>
        <w:t>صديقي سكري، مصطفى</w:t>
      </w:r>
      <w:bookmarkEnd w:id="5423"/>
    </w:p>
    <w:p>
      <w:pPr>
        <w:pStyle w:val="BookText"/>
      </w:pPr>
      <w:r>
        <w:rPr>
          <w:rFonts w:ascii="Amiri" w:hAnsi="Amiri" w:eastAsia="Amiri" w:cs="Amiri"/>
          <w:lang w:bidi="ar-SA"/>
          <w:color w:val="111111"/>
          <w:sz w:val="28"/>
          <w:szCs w:val="28"/>
          <w:rtl/>
        </w:rPr>
        <w:t xml:space="preserve">المقامة العراقية والمدامة الاشراقية</w:t>
      </w:r>
    </w:p>
    <w:p>
      <w:pPr>
        <w:pStyle w:val="BookText"/>
      </w:pPr>
      <w:r>
        <w:rPr>
          <w:rFonts w:ascii="IRNazanin" w:hAnsi="IRNazanin" w:eastAsia="IRNazanin" w:cs="IRNazanin"/>
          <w:lang w:bidi="fa-IR"/>
          <w:color w:val="111111"/>
          <w:sz w:val="28"/>
          <w:szCs w:val="28"/>
          <w:rtl/>
        </w:rPr>
        <w:t xml:space="preserve">ج 15 ، ص 320.</w:t>
      </w:r>
    </w:p>
    <w:p>
      <w:pPr>
        <w:pStyle w:val="BookText"/>
      </w:pPr>
      <w:r>
        <w:rPr>
          <w:rFonts w:ascii="Amiri" w:hAnsi="Amiri" w:eastAsia="Amiri" w:cs="Amiri"/>
          <w:lang w:bidi="ar-SA"/>
          <w:color w:val="111111"/>
          <w:sz w:val="28"/>
          <w:szCs w:val="28"/>
          <w:rtl/>
        </w:rPr>
        <w:t xml:space="preserve">صديقي ، عبدالستار بن عبد الوهاب - دهلوي ، عبدالستار بن</w:t>
      </w:r>
    </w:p>
    <w:p>
      <w:pPr>
        <w:pStyle w:val="BookText"/>
      </w:pPr>
      <w:r>
        <w:rPr>
          <w:rFonts w:ascii="IRNazanin" w:hAnsi="IRNazanin" w:eastAsia="IRNazanin" w:cs="IRNazanin"/>
          <w:lang w:bidi="fa-IR"/>
          <w:color w:val="111111"/>
          <w:sz w:val="28"/>
          <w:szCs w:val="28"/>
          <w:rtl/>
        </w:rPr>
        <w:t xml:space="preserve">عبدالوهاب</w:t>
      </w:r>
    </w:p>
    <w:p>
      <w:pPr>
        <w:pStyle w:val="BookText"/>
      </w:pPr>
      <w:r>
        <w:rPr>
          <w:rFonts w:ascii="Amiri" w:hAnsi="Amiri" w:eastAsia="Amiri" w:cs="Amiri"/>
          <w:lang w:bidi="ar-SA"/>
          <w:color w:val="111111"/>
          <w:sz w:val="28"/>
          <w:szCs w:val="28"/>
          <w:rtl/>
        </w:rPr>
        <w:t xml:space="preserve">صديقي ، عبد الملك بن علي -بكري ،</w:t>
      </w:r>
    </w:p>
    <w:p>
      <w:pPr>
        <w:pStyle w:val="BookText"/>
      </w:pPr>
      <w:r>
        <w:rPr>
          <w:rFonts w:ascii="Amiri" w:hAnsi="Amiri" w:eastAsia="Amiri" w:cs="Amiri"/>
          <w:lang w:bidi="ar-SA"/>
          <w:color w:val="111111"/>
          <w:sz w:val="28"/>
          <w:szCs w:val="28"/>
          <w:rtl/>
        </w:rPr>
        <w:t xml:space="preserve">عبد الملك بن علي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71" w:name="pg7742_70664"/>
    <w:bookmarkEnd w:id="671"/>
    <w:p>
      <w:pPr>
        <w:pStyle w:val="BookText"/>
      </w:pPr>
      <w:r>
        <w:rPr>
          <w:rFonts w:ascii="IRNazanin" w:hAnsi="IRNazanin" w:eastAsia="IRNazanin" w:cs="IRNazanin"/>
          <w:lang w:bidi="fa-IR"/>
          <w:color w:val="111111"/>
          <w:sz w:val="28"/>
          <w:szCs w:val="28"/>
          <w:rtl/>
        </w:rPr>
        <w:t xml:space="preserve">صديقي ، غياث الدين محمّد بن جلال الدین -غیاث الدین رامپوری، محمّد بن</w:t>
      </w:r>
    </w:p>
    <w:p>
      <w:pPr>
        <w:pStyle w:val="BookText"/>
      </w:pPr>
      <w:r>
        <w:rPr>
          <w:rFonts w:ascii="Amiri" w:hAnsi="Amiri" w:eastAsia="Amiri" w:cs="Amiri"/>
          <w:lang w:bidi="ar-SA"/>
          <w:color w:val="111111"/>
          <w:sz w:val="28"/>
          <w:szCs w:val="28"/>
          <w:rtl/>
        </w:rPr>
        <w:t xml:space="preserve">جلال الدين</w:t>
      </w:r>
    </w:p>
    <w:p>
      <w:pPr>
        <w:pStyle w:val="BookText"/>
      </w:pPr>
      <w:r>
        <w:rPr>
          <w:rFonts w:ascii="Amiri" w:hAnsi="Amiri" w:eastAsia="Amiri" w:cs="Amiri"/>
          <w:lang w:bidi="ar-SA"/>
          <w:color w:val="111111"/>
          <w:sz w:val="28"/>
          <w:szCs w:val="28"/>
          <w:rtl/>
        </w:rPr>
        <w:t xml:space="preserve">صديقي ، قطب الدين مصطفى بن كمال</w:t>
      </w:r>
    </w:p>
    <w:p>
      <w:pPr>
        <w:pStyle w:val="BookText"/>
      </w:pPr>
      <w:r>
        <w:rPr>
          <w:rFonts w:ascii="Amiri" w:hAnsi="Amiri" w:eastAsia="Amiri" w:cs="Amiri"/>
          <w:lang w:bidi="ar-SA"/>
          <w:color w:val="111111"/>
          <w:sz w:val="28"/>
          <w:szCs w:val="28"/>
          <w:rtl/>
        </w:rPr>
        <w:t xml:space="preserve">الدين -بكري ، مصطفى بن كمال الدين</w:t>
      </w:r>
    </w:p>
    <w:p>
      <w:pPr>
        <w:pStyle w:val="BookText"/>
      </w:pPr>
      <w:r>
        <w:rPr>
          <w:rFonts w:ascii="Amiri" w:hAnsi="Amiri" w:eastAsia="Amiri" w:cs="Amiri"/>
          <w:lang w:bidi="ar-SA"/>
          <w:color w:val="111111"/>
          <w:sz w:val="28"/>
          <w:szCs w:val="28"/>
          <w:rtl/>
        </w:rPr>
        <w:t xml:space="preserve">صديقي ، محمّد بن ابي السرور -بكري</w:t>
      </w:r>
    </w:p>
    <w:p>
      <w:pPr>
        <w:pStyle w:val="BookText"/>
      </w:pPr>
      <w:r>
        <w:rPr>
          <w:rFonts w:ascii="Amiri" w:hAnsi="Amiri" w:eastAsia="Amiri" w:cs="Amiri"/>
          <w:lang w:bidi="ar-SA"/>
          <w:color w:val="111111"/>
          <w:sz w:val="28"/>
          <w:szCs w:val="28"/>
          <w:rtl/>
        </w:rPr>
        <w:t xml:space="preserve">صديقي ، محمّد بن ابي السرور</w:t>
      </w:r>
    </w:p>
    <w:p>
      <w:pPr>
        <w:pStyle w:val="BookText"/>
      </w:pPr>
      <w:r>
        <w:rPr>
          <w:rFonts w:ascii="Amiri" w:hAnsi="Amiri" w:eastAsia="Amiri" w:cs="Amiri"/>
          <w:lang w:bidi="ar-SA"/>
          <w:color w:val="111111"/>
          <w:sz w:val="28"/>
          <w:szCs w:val="28"/>
          <w:rtl/>
        </w:rPr>
        <w:t xml:space="preserve">صديقي ، محمد بن اسعد- دواني ، محمّد</w:t>
      </w:r>
    </w:p>
    <w:p>
      <w:pPr>
        <w:pStyle w:val="BookText"/>
      </w:pPr>
      <w:r>
        <w:rPr>
          <w:rFonts w:ascii="IRNazanin" w:hAnsi="IRNazanin" w:eastAsia="IRNazanin" w:cs="IRNazanin"/>
          <w:lang w:bidi="fa-IR"/>
          <w:color w:val="111111"/>
          <w:sz w:val="28"/>
          <w:szCs w:val="28"/>
          <w:rtl/>
        </w:rPr>
        <w:t xml:space="preserve">بن اسعد</w:t>
      </w:r>
    </w:p>
    <w:p>
      <w:pPr>
        <w:pStyle w:val="Heading2"/>
      </w:pPr>
      <w:bookmarkStart w:id="5424" w:name="_Toc4526"/>
      <w:r>
        <w:t>صديقي ، محمّد بن عبدالرحمن قرن 10</w:t>
      </w:r>
      <w:bookmarkEnd w:id="5424"/>
    </w:p>
    <w:p>
      <w:pPr>
        <w:pStyle w:val="BookText"/>
      </w:pPr>
      <w:r>
        <w:rPr>
          <w:rFonts w:ascii="Amiri" w:hAnsi="Amiri" w:eastAsia="Amiri" w:cs="Amiri"/>
          <w:lang w:bidi="ar-SA"/>
          <w:color w:val="111111"/>
          <w:sz w:val="28"/>
          <w:szCs w:val="28"/>
          <w:rtl/>
        </w:rPr>
        <w:t xml:space="preserve">شرح الارشاد في الفقه، ج 9، ص 186.</w:t>
      </w:r>
    </w:p>
    <w:p>
      <w:pPr>
        <w:pStyle w:val="BookText"/>
      </w:pPr>
      <w:r>
        <w:rPr>
          <w:rFonts w:ascii="Amiri" w:hAnsi="Amiri" w:eastAsia="Amiri" w:cs="Amiri"/>
          <w:lang w:bidi="ar-SA"/>
          <w:color w:val="111111"/>
          <w:sz w:val="28"/>
          <w:szCs w:val="28"/>
          <w:rtl/>
        </w:rPr>
        <w:t xml:space="preserve">صديقي ، محمّد بن محمّد- ابن ابي</w:t>
      </w:r>
    </w:p>
    <w:p>
      <w:pPr>
        <w:pStyle w:val="BookText"/>
      </w:pPr>
      <w:r>
        <w:rPr>
          <w:rFonts w:ascii="Amiri" w:hAnsi="Amiri" w:eastAsia="Amiri" w:cs="Amiri"/>
          <w:lang w:bidi="ar-SA"/>
          <w:color w:val="111111"/>
          <w:sz w:val="28"/>
          <w:szCs w:val="28"/>
          <w:rtl/>
        </w:rPr>
        <w:t xml:space="preserve">السرور ، محمّد بن محمّد</w:t>
      </w:r>
    </w:p>
    <w:p>
      <w:pPr>
        <w:pStyle w:val="BookText"/>
      </w:pPr>
      <w:r>
        <w:rPr>
          <w:rFonts w:ascii="Amiri" w:hAnsi="Amiri" w:eastAsia="Amiri" w:cs="Amiri"/>
          <w:lang w:bidi="ar-SA"/>
          <w:color w:val="111111"/>
          <w:sz w:val="28"/>
          <w:szCs w:val="28"/>
          <w:rtl/>
        </w:rPr>
        <w:t xml:space="preserve">صديقي ، محمّد طاهر بن علي- فتني</w:t>
      </w:r>
    </w:p>
    <w:p>
      <w:pPr>
        <w:pStyle w:val="BookText"/>
      </w:pPr>
      <w:r>
        <w:rPr>
          <w:rFonts w:ascii="Amiri" w:hAnsi="Amiri" w:eastAsia="Amiri" w:cs="Amiri"/>
          <w:lang w:bidi="ar-SA"/>
          <w:color w:val="111111"/>
          <w:sz w:val="28"/>
          <w:szCs w:val="28"/>
          <w:rtl/>
        </w:rPr>
        <w:t xml:space="preserve">محمّد طاهر بن علي</w:t>
      </w:r>
    </w:p>
    <w:p>
      <w:pPr>
        <w:pStyle w:val="BookText"/>
      </w:pPr>
      <w:r>
        <w:rPr>
          <w:rFonts w:ascii="Amiri" w:hAnsi="Amiri" w:eastAsia="Amiri" w:cs="Amiri"/>
          <w:lang w:bidi="ar-SA"/>
          <w:color w:val="111111"/>
          <w:sz w:val="28"/>
          <w:szCs w:val="28"/>
          <w:rtl/>
        </w:rPr>
        <w:t xml:space="preserve">صديقي ، محمّد علي بن محمّد- ابن علان</w:t>
      </w:r>
    </w:p>
    <w:p>
      <w:pPr>
        <w:pStyle w:val="BookText"/>
      </w:pPr>
      <w:r>
        <w:rPr>
          <w:rFonts w:ascii="Amiri" w:hAnsi="Amiri" w:eastAsia="Amiri" w:cs="Amiri"/>
          <w:lang w:bidi="ar-SA"/>
          <w:color w:val="111111"/>
          <w:sz w:val="28"/>
          <w:szCs w:val="28"/>
          <w:rtl/>
        </w:rPr>
        <w:t xml:space="preserve">، محمّد علي بن محمّد</w:t>
      </w:r>
    </w:p>
    <w:p>
      <w:pPr>
        <w:pStyle w:val="BookText"/>
      </w:pPr>
      <w:r>
        <w:rPr>
          <w:rFonts w:ascii="Amiri" w:hAnsi="Amiri" w:eastAsia="Amiri" w:cs="Amiri"/>
          <w:lang w:bidi="ar-SA"/>
          <w:color w:val="111111"/>
          <w:sz w:val="28"/>
          <w:szCs w:val="28"/>
          <w:rtl/>
        </w:rPr>
        <w:t xml:space="preserve">صديقي مصري ، ابوالحسن محمّد بن محمّد- بكري صديقي ، محمّد بن محمّد</w:t>
      </w:r>
    </w:p>
    <w:p>
      <w:pPr>
        <w:pStyle w:val="Heading2"/>
      </w:pPr>
      <w:bookmarkStart w:id="5425" w:name="_Toc4527"/>
      <w:r>
        <w:t>صديقي ، مصطفى</w:t>
      </w:r>
      <w:bookmarkEnd w:id="5425"/>
    </w:p>
    <w:p>
      <w:pPr>
        <w:pStyle w:val="BookText"/>
      </w:pPr>
      <w:r>
        <w:rPr>
          <w:rFonts w:ascii="Amiri" w:hAnsi="Amiri" w:eastAsia="Amiri" w:cs="Amiri"/>
          <w:lang w:bidi="ar-SA"/>
          <w:color w:val="111111"/>
          <w:sz w:val="28"/>
          <w:szCs w:val="28"/>
          <w:rtl/>
        </w:rPr>
        <w:t xml:space="preserve">الموارد البهية في حكم الالهية، ج 15،</w:t>
      </w:r>
    </w:p>
    <w:p>
      <w:pPr>
        <w:pStyle w:val="BookText"/>
      </w:pPr>
      <w:r>
        <w:rPr>
          <w:rFonts w:ascii="IRNazanin" w:hAnsi="IRNazanin" w:eastAsia="IRNazanin" w:cs="IRNazanin"/>
          <w:lang w:bidi="fa-IR"/>
          <w:color w:val="111111"/>
          <w:sz w:val="28"/>
          <w:szCs w:val="28"/>
          <w:rtl/>
        </w:rPr>
        <w:t xml:space="preserve">ص 852.</w:t>
      </w:r>
    </w:p>
    <w:p>
      <w:pPr>
        <w:pStyle w:val="Heading2"/>
      </w:pPr>
      <w:bookmarkStart w:id="5426" w:name="_Toc4528"/>
      <w:r>
        <w:t>صديقي ، مصطفى بن كمال</w:t>
      </w:r>
      <w:bookmarkEnd w:id="5426"/>
    </w:p>
    <w:p>
      <w:pPr>
        <w:pStyle w:val="BookText"/>
      </w:pPr>
      <w:r>
        <w:rPr>
          <w:rFonts w:ascii="Amiri" w:hAnsi="Amiri" w:eastAsia="Amiri" w:cs="Amiri"/>
          <w:lang w:bidi="ar-SA"/>
          <w:color w:val="111111"/>
          <w:sz w:val="28"/>
          <w:szCs w:val="28"/>
          <w:rtl/>
        </w:rPr>
        <w:t xml:space="preserve">الفتح القدسي و الكشف الآسي، ج 11،</w:t>
      </w:r>
    </w:p>
    <w:p>
      <w:pPr>
        <w:pStyle w:val="BookText"/>
      </w:pPr>
      <w:r>
        <w:rPr>
          <w:rFonts w:ascii="IRNazanin" w:hAnsi="IRNazanin" w:eastAsia="IRNazanin" w:cs="IRNazanin"/>
          <w:lang w:bidi="fa-IR"/>
          <w:color w:val="111111"/>
          <w:sz w:val="28"/>
          <w:szCs w:val="28"/>
          <w:rtl/>
        </w:rPr>
        <w:t xml:space="preserve">ص665.</w:t>
      </w:r>
    </w:p>
    <w:p>
      <w:pPr>
        <w:pStyle w:val="BookText"/>
      </w:pPr>
      <w:r>
        <w:rPr>
          <w:rFonts w:ascii="Amiri" w:hAnsi="Amiri" w:eastAsia="Amiri" w:cs="Amiri"/>
          <w:lang w:bidi="ar-SA"/>
          <w:color w:val="111111"/>
          <w:sz w:val="28"/>
          <w:szCs w:val="28"/>
          <w:rtl/>
        </w:rPr>
        <w:t xml:space="preserve">صديقي هندي ، احمد -شيخ جيون ،</w:t>
      </w:r>
    </w:p>
    <w:p>
      <w:pPr>
        <w:pStyle w:val="BookText"/>
      </w:pPr>
      <w:r>
        <w:rPr>
          <w:rFonts w:ascii="Amiri" w:hAnsi="Amiri" w:eastAsia="Amiri" w:cs="Amiri"/>
          <w:lang w:bidi="ar-SA"/>
          <w:color w:val="111111"/>
          <w:sz w:val="28"/>
          <w:szCs w:val="28"/>
          <w:rtl/>
        </w:rPr>
        <w:t xml:space="preserve">احمد بن ابي سعيد</w:t>
      </w:r>
    </w:p>
    <w:p>
      <w:pPr>
        <w:pStyle w:val="BookText"/>
      </w:pPr>
      <w:r>
        <w:rPr>
          <w:rFonts w:ascii="Amiri" w:hAnsi="Amiri" w:eastAsia="Amiri" w:cs="Amiri"/>
          <w:lang w:bidi="ar-SA"/>
          <w:color w:val="111111"/>
          <w:sz w:val="28"/>
          <w:szCs w:val="28"/>
          <w:rtl/>
        </w:rPr>
        <w:t xml:space="preserve">صديقي ، يوسف بن محمود- كوراني ،</w:t>
      </w:r>
    </w:p>
    <w:p>
      <w:pPr>
        <w:pStyle w:val="BookText"/>
      </w:pPr>
      <w:r>
        <w:rPr>
          <w:rFonts w:ascii="Amiri" w:hAnsi="Amiri" w:eastAsia="Amiri" w:cs="Amiri"/>
          <w:lang w:bidi="ar-SA"/>
          <w:color w:val="111111"/>
          <w:sz w:val="28"/>
          <w:szCs w:val="28"/>
          <w:rtl/>
        </w:rPr>
        <w:t xml:space="preserve">يوسف بن محمود</w:t>
      </w:r>
    </w:p>
    <w:p>
      <w:pPr>
        <w:pStyle w:val="BookText"/>
      </w:pPr>
      <w:r>
        <w:rPr>
          <w:rFonts w:ascii="IRNazanin" w:hAnsi="IRNazanin" w:eastAsia="IRNazanin" w:cs="IRNazanin"/>
          <w:lang w:bidi="fa-IR"/>
          <w:color w:val="111111"/>
          <w:sz w:val="28"/>
          <w:szCs w:val="28"/>
          <w:rtl/>
        </w:rPr>
        <w:t xml:space="preserve">صراف حائری ، علی بن ابی</w:t>
      </w:r>
    </w:p>
    <w:p>
      <w:pPr>
        <w:pStyle w:val="BookText"/>
      </w:pPr>
      <w:r>
        <w:rPr>
          <w:rFonts w:ascii="Amiri" w:hAnsi="Amiri" w:eastAsia="Amiri" w:cs="Amiri"/>
          <w:lang w:bidi="ar-SA"/>
          <w:color w:val="111111"/>
          <w:sz w:val="28"/>
          <w:szCs w:val="28"/>
          <w:rtl/>
        </w:rPr>
        <w:t xml:space="preserve">طالب -طبيب، ميرزا على</w:t>
      </w:r>
    </w:p>
    <w:p>
      <w:pPr>
        <w:pStyle w:val="Heading2"/>
      </w:pPr>
      <w:bookmarkStart w:id="5427" w:name="_Toc4529"/>
      <w:r>
        <w:t>صراف حائري ، محمّد مهدي بن عبد الحسين</w:t>
      </w:r>
      <w:bookmarkEnd w:id="5427"/>
    </w:p>
    <w:p>
      <w:pPr>
        <w:pStyle w:val="BookText"/>
      </w:pPr>
      <w:r>
        <w:rPr>
          <w:rFonts w:ascii="Amiri" w:hAnsi="Amiri" w:eastAsia="Amiri" w:cs="Amiri"/>
          <w:lang w:bidi="ar-SA"/>
          <w:color w:val="111111"/>
          <w:sz w:val="28"/>
          <w:szCs w:val="28"/>
          <w:rtl/>
        </w:rPr>
        <w:t xml:space="preserve">نور العين في فضائل زيارة الحسين</w:t>
      </w:r>
    </w:p>
    <w:p>
      <w:pPr>
        <w:pStyle w:val="BookText"/>
      </w:pPr>
      <w:r>
        <w:rPr>
          <w:rFonts w:ascii="IRNazanin" w:hAnsi="IRNazanin" w:eastAsia="IRNazanin" w:cs="IRNazanin"/>
          <w:lang w:bidi="fa-IR"/>
          <w:color w:val="111111"/>
          <w:sz w:val="28"/>
          <w:szCs w:val="28"/>
          <w:rtl/>
        </w:rPr>
        <w:t xml:space="preserve">ج 16، ص 564.</w:t>
      </w:r>
    </w:p>
    <w:p>
      <w:pPr>
        <w:pStyle w:val="Heading2"/>
      </w:pPr>
      <w:bookmarkStart w:id="5428" w:name="_Toc4530"/>
      <w:r>
        <w:t>صرصري ، جمال الدين</w:t>
      </w:r>
      <w:bookmarkEnd w:id="5428"/>
    </w:p>
    <w:p>
      <w:pPr>
        <w:pStyle w:val="BookText"/>
      </w:pPr>
      <w:r>
        <w:rPr>
          <w:rFonts w:ascii="Amiri" w:hAnsi="Amiri" w:eastAsia="Amiri" w:cs="Amiri"/>
          <w:lang w:bidi="ar-SA"/>
          <w:color w:val="111111"/>
          <w:sz w:val="28"/>
          <w:szCs w:val="28"/>
          <w:rtl/>
        </w:rPr>
        <w:t xml:space="preserve">ديوان الصرصري، ج7، ص 688.</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صرصري ، عبد الكريم بن ضرغام - طرائفي</w:t>
      </w:r>
    </w:p>
    <w:p>
      <w:pPr>
        <w:pStyle w:val="BookText"/>
      </w:pPr>
      <w:r>
        <w:rPr>
          <w:rFonts w:ascii="Amiri" w:hAnsi="Amiri" w:eastAsia="Amiri" w:cs="Amiri"/>
          <w:lang w:bidi="ar-SA"/>
          <w:color w:val="111111"/>
          <w:sz w:val="28"/>
          <w:szCs w:val="28"/>
          <w:rtl/>
        </w:rPr>
        <w:t xml:space="preserve">، عبدالكريم بن ضرغام</w:t>
      </w:r>
    </w:p>
    <w:p>
      <w:pPr>
        <w:pStyle w:val="Heading2"/>
      </w:pPr>
      <w:bookmarkStart w:id="5429" w:name="_Toc4531"/>
      <w:r>
        <w:t>صرصري ، يحيى بن يوسف، 588 - 656</w:t>
      </w:r>
      <w:bookmarkEnd w:id="5429"/>
    </w:p>
    <w:p>
      <w:pPr>
        <w:pStyle w:val="BookText"/>
      </w:pPr>
      <w:r>
        <w:rPr>
          <w:rFonts w:ascii="Amiri" w:hAnsi="Amiri" w:eastAsia="Amiri" w:cs="Amiri"/>
          <w:lang w:bidi="ar-SA"/>
          <w:color w:val="111111"/>
          <w:sz w:val="28"/>
          <w:szCs w:val="28"/>
          <w:rtl/>
        </w:rPr>
        <w:t xml:space="preserve">1 .ديوان الصرصري، ج7، ص 687.</w:t>
      </w:r>
    </w:p>
    <w:p>
      <w:pPr>
        <w:pStyle w:val="BookText"/>
      </w:pPr>
      <w:r>
        <w:rPr>
          <w:rFonts w:ascii="Amiri" w:hAnsi="Amiri" w:eastAsia="Amiri" w:cs="Amiri"/>
          <w:lang w:bidi="ar-SA"/>
          <w:color w:val="111111"/>
          <w:sz w:val="28"/>
          <w:szCs w:val="28"/>
          <w:rtl/>
        </w:rPr>
        <w:t xml:space="preserve">2 .القصيدة العجيبة، ج 12، ص 682 .</w:t>
      </w:r>
    </w:p>
    <w:p>
      <w:pPr>
        <w:pStyle w:val="BookText"/>
      </w:pPr>
      <w:r>
        <w:rPr>
          <w:rFonts w:ascii="Amiri" w:hAnsi="Amiri" w:eastAsia="Amiri" w:cs="Amiri"/>
          <w:lang w:bidi="ar-SA"/>
          <w:color w:val="111111"/>
          <w:sz w:val="28"/>
          <w:szCs w:val="28"/>
          <w:rtl/>
        </w:rPr>
        <w:t xml:space="preserve">صعدي ، محمّد بن يحيى- بهران ، محمّد</w:t>
      </w:r>
    </w:p>
    <w:p>
      <w:pPr>
        <w:pStyle w:val="BookText"/>
      </w:pPr>
      <w:r>
        <w:rPr>
          <w:rFonts w:ascii="Amiri" w:hAnsi="Amiri" w:eastAsia="Amiri" w:cs="Amiri"/>
          <w:lang w:bidi="ar-SA"/>
          <w:color w:val="111111"/>
          <w:sz w:val="28"/>
          <w:szCs w:val="28"/>
          <w:rtl/>
        </w:rPr>
        <w:t xml:space="preserve">بن يحيى</w:t>
      </w:r>
    </w:p>
    <w:p>
      <w:pPr>
        <w:pStyle w:val="Heading2"/>
      </w:pPr>
      <w:bookmarkStart w:id="5430" w:name="_Toc4532"/>
      <w:r>
        <w:t>صعيدي، اسماعيل مصلح قرن 11 ه-</w:t>
      </w:r>
      <w:bookmarkEnd w:id="5430"/>
    </w:p>
    <w:p>
      <w:pPr>
        <w:pStyle w:val="BookText"/>
      </w:pPr>
      <w:r>
        <w:rPr>
          <w:rFonts w:ascii="Amiri" w:hAnsi="Amiri" w:eastAsia="Amiri" w:cs="Amiri"/>
          <w:lang w:bidi="ar-SA"/>
          <w:color w:val="111111"/>
          <w:sz w:val="28"/>
          <w:szCs w:val="28"/>
          <w:rtl/>
        </w:rPr>
        <w:t xml:space="preserve">تقريرات على شرح السبط على</w:t>
      </w:r>
    </w:p>
    <w:p>
      <w:pPr>
        <w:pStyle w:val="BookText"/>
      </w:pPr>
      <w:r>
        <w:rPr>
          <w:rFonts w:ascii="Amiri" w:hAnsi="Amiri" w:eastAsia="Amiri" w:cs="Amiri"/>
          <w:lang w:bidi="ar-SA"/>
          <w:color w:val="111111"/>
          <w:sz w:val="28"/>
          <w:szCs w:val="28"/>
          <w:rtl/>
        </w:rPr>
        <w:t xml:space="preserve">الرحبية، ج 4 ، ص 762.</w:t>
      </w:r>
    </w:p>
    <w:p>
      <w:pPr>
        <w:pStyle w:val="Heading2"/>
      </w:pPr>
      <w:bookmarkStart w:id="5431" w:name="_Toc4533"/>
      <w:r>
        <w:t>صعيدي ، عبدالباري بن عبدالرحمن -</w:t>
      </w:r>
      <w:bookmarkEnd w:id="5431"/>
    </w:p>
    <w:p>
      <w:pPr>
        <w:pStyle w:val="BookText"/>
      </w:pPr>
      <w:r>
        <w:rPr>
          <w:rFonts w:ascii="IRNazanin" w:hAnsi="IRNazanin" w:eastAsia="IRNazanin" w:cs="IRNazanin"/>
          <w:lang w:bidi="fa-IR"/>
          <w:color w:val="111111"/>
          <w:sz w:val="28"/>
          <w:szCs w:val="28"/>
          <w:rtl/>
        </w:rPr>
        <w:t xml:space="preserve">650 ه-</w:t>
      </w:r>
    </w:p>
    <w:p>
      <w:pPr>
        <w:pStyle w:val="BookText"/>
      </w:pPr>
      <w:r>
        <w:rPr>
          <w:rFonts w:ascii="Amiri" w:hAnsi="Amiri" w:eastAsia="Amiri" w:cs="Amiri"/>
          <w:lang w:bidi="ar-SA"/>
          <w:color w:val="111111"/>
          <w:sz w:val="28"/>
          <w:szCs w:val="28"/>
          <w:rtl/>
        </w:rPr>
        <w:t xml:space="preserve">مفردات يعقوب = مفردات القراء،</w:t>
      </w:r>
    </w:p>
    <w:p>
      <w:pPr>
        <w:pStyle w:val="BookText"/>
      </w:pPr>
      <w:r>
        <w:rPr>
          <w:rFonts w:ascii="IRNazanin" w:hAnsi="IRNazanin" w:eastAsia="IRNazanin" w:cs="IRNazanin"/>
          <w:lang w:bidi="fa-IR"/>
          <w:color w:val="111111"/>
          <w:sz w:val="28"/>
          <w:szCs w:val="28"/>
          <w:rtl/>
        </w:rPr>
        <w:t xml:space="preserve">ج 15 ، ص 250.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72" w:name="pg7742_70665"/>
    <w:bookmarkEnd w:id="672"/>
    <w:p>
      <w:pPr>
        <w:pStyle w:val="BookText"/>
      </w:pPr>
      <w:r>
        <w:rPr>
          <w:rFonts w:ascii="Amiri" w:hAnsi="Amiri" w:eastAsia="Amiri" w:cs="Amiri"/>
          <w:lang w:bidi="ar-SA"/>
          <w:color w:val="111111"/>
          <w:sz w:val="28"/>
          <w:szCs w:val="28"/>
          <w:rtl/>
        </w:rPr>
        <w:t xml:space="preserve">صعيدي عدوي، اسماعيل مصلح -صعيدي، اسماعيل مصلح</w:t>
      </w:r>
    </w:p>
    <w:p>
      <w:pPr>
        <w:pStyle w:val="Heading2"/>
      </w:pPr>
      <w:bookmarkStart w:id="5432" w:name="_Toc4534"/>
      <w:r>
        <w:t>صعيدي ، علي بن احمد 1112 - 1189</w:t>
      </w:r>
      <w:bookmarkEnd w:id="5432"/>
    </w:p>
    <w:p>
      <w:pPr>
        <w:pStyle w:val="BookText"/>
      </w:pPr>
      <w:r>
        <w:rPr>
          <w:rFonts w:ascii="Amiri" w:hAnsi="Amiri" w:eastAsia="Amiri" w:cs="Amiri"/>
          <w:lang w:bidi="ar-SA"/>
          <w:color w:val="111111"/>
          <w:sz w:val="28"/>
          <w:szCs w:val="28"/>
          <w:rtl/>
        </w:rPr>
        <w:t xml:space="preserve">1 .حاشية شرح سلم المرونق</w:t>
      </w:r>
    </w:p>
    <w:p>
      <w:pPr>
        <w:pStyle w:val="BookText"/>
      </w:pPr>
      <w:r>
        <w:rPr>
          <w:rFonts w:ascii="Amiri" w:hAnsi="Amiri" w:eastAsia="Amiri" w:cs="Amiri"/>
          <w:lang w:bidi="ar-SA"/>
          <w:color w:val="111111"/>
          <w:sz w:val="28"/>
          <w:szCs w:val="28"/>
          <w:rtl/>
        </w:rPr>
        <w:t xml:space="preserve">للاخضري، ج6، ص128.</w:t>
      </w:r>
    </w:p>
    <w:p>
      <w:pPr>
        <w:pStyle w:val="BookText"/>
      </w:pPr>
      <w:r>
        <w:rPr>
          <w:rFonts w:ascii="Amiri" w:hAnsi="Amiri" w:eastAsia="Amiri" w:cs="Amiri"/>
          <w:lang w:bidi="ar-SA"/>
          <w:color w:val="111111"/>
          <w:sz w:val="28"/>
          <w:szCs w:val="28"/>
          <w:rtl/>
        </w:rPr>
        <w:t xml:space="preserve">2 .سند المرويات، ج 8، ص 841.</w:t>
      </w:r>
    </w:p>
    <w:p>
      <w:pPr>
        <w:pStyle w:val="BookText"/>
      </w:pPr>
      <w:r>
        <w:rPr>
          <w:rFonts w:ascii="Amiri" w:hAnsi="Amiri" w:eastAsia="Amiri" w:cs="Amiri"/>
          <w:lang w:bidi="ar-SA"/>
          <w:color w:val="111111"/>
          <w:sz w:val="28"/>
          <w:szCs w:val="28"/>
          <w:rtl/>
        </w:rPr>
        <w:t xml:space="preserve">3 .صواب سؤال قاضي مصر محمّد حميد في آيتين من القرآن</w:t>
      </w:r>
    </w:p>
    <w:p>
      <w:pPr>
        <w:pStyle w:val="BookText"/>
      </w:pPr>
      <w:r>
        <w:rPr>
          <w:rFonts w:ascii="Amiri" w:hAnsi="Amiri" w:eastAsia="Amiri" w:cs="Amiri"/>
          <w:lang w:bidi="ar-SA"/>
          <w:color w:val="111111"/>
          <w:sz w:val="28"/>
          <w:szCs w:val="28"/>
          <w:rtl/>
        </w:rPr>
        <w:t xml:space="preserve">الشريف (رسالة في)، ج 10، ص 641.</w:t>
      </w:r>
    </w:p>
    <w:p>
      <w:pPr>
        <w:pStyle w:val="Heading2"/>
      </w:pPr>
      <w:bookmarkStart w:id="5433" w:name="_Toc4535"/>
      <w:r>
        <w:t>صغار ، ابوالقاسم</w:t>
      </w:r>
      <w:bookmarkEnd w:id="5433"/>
    </w:p>
    <w:p>
      <w:pPr>
        <w:pStyle w:val="BookText"/>
      </w:pPr>
      <w:r>
        <w:rPr>
          <w:rFonts w:ascii="Amiri" w:hAnsi="Amiri" w:eastAsia="Amiri" w:cs="Amiri"/>
          <w:lang w:bidi="ar-SA"/>
          <w:color w:val="111111"/>
          <w:sz w:val="28"/>
          <w:szCs w:val="28"/>
          <w:rtl/>
        </w:rPr>
        <w:t xml:space="preserve">الايمان بالله (رسالة في) = اصول</w:t>
      </w:r>
    </w:p>
    <w:p>
      <w:pPr>
        <w:pStyle w:val="BookText"/>
      </w:pPr>
      <w:r>
        <w:rPr>
          <w:rFonts w:ascii="IRNazanin" w:hAnsi="IRNazanin" w:eastAsia="IRNazanin" w:cs="IRNazanin"/>
          <w:lang w:bidi="fa-IR"/>
          <w:color w:val="111111"/>
          <w:sz w:val="28"/>
          <w:szCs w:val="28"/>
          <w:rtl/>
        </w:rPr>
        <w:t xml:space="preserve">الصغار، ج3، ص 159.</w:t>
      </w:r>
    </w:p>
    <w:p>
      <w:pPr>
        <w:pStyle w:val="BookText"/>
      </w:pPr>
      <w:r>
        <w:rPr>
          <w:rFonts w:ascii="Amiri" w:hAnsi="Amiri" w:eastAsia="Amiri" w:cs="Amiri"/>
          <w:lang w:bidi="ar-SA"/>
          <w:color w:val="111111"/>
          <w:sz w:val="28"/>
          <w:szCs w:val="28"/>
          <w:rtl/>
        </w:rPr>
        <w:t xml:space="preserve">صغاري ، قاسم- صغار ، ابوالقاسم</w:t>
      </w:r>
    </w:p>
    <w:p>
      <w:pPr>
        <w:pStyle w:val="BookText"/>
      </w:pPr>
      <w:r>
        <w:rPr>
          <w:rFonts w:ascii="Amiri" w:hAnsi="Amiri" w:eastAsia="Amiri" w:cs="Amiri"/>
          <w:lang w:bidi="ar-SA"/>
          <w:color w:val="111111"/>
          <w:sz w:val="28"/>
          <w:szCs w:val="28"/>
          <w:rtl/>
        </w:rPr>
        <w:t xml:space="preserve">صغاني ، حسن بن محمّد -صاغاني ، حسن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صغاني ، يوسف بن علي -كوكباني ، يوسف</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صغراني ، يوسف بن خضر- صغراني ،</w:t>
      </w:r>
    </w:p>
    <w:p>
      <w:pPr>
        <w:pStyle w:val="BookText"/>
      </w:pPr>
      <w:r>
        <w:rPr>
          <w:rFonts w:ascii="Amiri" w:hAnsi="Amiri" w:eastAsia="Amiri" w:cs="Amiri"/>
          <w:lang w:bidi="ar-SA"/>
          <w:color w:val="111111"/>
          <w:sz w:val="28"/>
          <w:szCs w:val="28"/>
          <w:rtl/>
        </w:rPr>
        <w:t xml:space="preserve">يوسف بن محمّد</w:t>
      </w:r>
    </w:p>
    <w:p>
      <w:pPr>
        <w:pStyle w:val="Heading2"/>
      </w:pPr>
      <w:bookmarkStart w:id="5434" w:name="_Toc4536"/>
      <w:r>
        <w:t>صغراني ، يوسف بن محمّد - 1002 ه-</w:t>
      </w:r>
      <w:bookmarkEnd w:id="5434"/>
    </w:p>
    <w:p>
      <w:pPr>
        <w:pStyle w:val="BookText"/>
      </w:pPr>
      <w:r>
        <w:rPr>
          <w:rFonts w:ascii="Amiri" w:hAnsi="Amiri" w:eastAsia="Amiri" w:cs="Amiri"/>
          <w:lang w:bidi="ar-SA"/>
          <w:color w:val="111111"/>
          <w:sz w:val="28"/>
          <w:szCs w:val="28"/>
          <w:rtl/>
        </w:rPr>
        <w:t xml:space="preserve">1 .حاشية يوسف الاصم على الجامي</w:t>
      </w:r>
    </w:p>
    <w:p>
      <w:pPr>
        <w:pStyle w:val="BookText"/>
      </w:pPr>
      <w:r>
        <w:rPr>
          <w:rFonts w:ascii="IRNazanin" w:hAnsi="IRNazanin" w:eastAsia="IRNazanin" w:cs="IRNazanin"/>
          <w:lang w:bidi="fa-IR"/>
          <w:color w:val="111111"/>
          <w:sz w:val="28"/>
          <w:szCs w:val="28"/>
          <w:rtl/>
        </w:rPr>
        <w:t xml:space="preserve">ج 6، ص 454.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حديث كنت كنزاً مخفياً»،</w:t>
      </w:r>
    </w:p>
    <w:p>
      <w:pPr>
        <w:pStyle w:val="BookText"/>
      </w:pPr>
      <w:r>
        <w:rPr>
          <w:rFonts w:ascii="IRNazanin" w:hAnsi="IRNazanin" w:eastAsia="IRNazanin" w:cs="IRNazanin"/>
          <w:lang w:bidi="fa-IR"/>
          <w:color w:val="111111"/>
          <w:sz w:val="28"/>
          <w:szCs w:val="28"/>
          <w:rtl/>
        </w:rPr>
        <w:t xml:space="preserve">ج 9، ص 396.</w:t>
      </w:r>
    </w:p>
    <w:p>
      <w:pPr>
        <w:pStyle w:val="BookText"/>
      </w:pPr>
      <w:r>
        <w:rPr>
          <w:rFonts w:ascii="Amiri" w:hAnsi="Amiri" w:eastAsia="Amiri" w:cs="Amiri"/>
          <w:lang w:bidi="ar-SA"/>
          <w:color w:val="111111"/>
          <w:sz w:val="28"/>
          <w:szCs w:val="28"/>
          <w:rtl/>
        </w:rPr>
        <w:t xml:space="preserve">3 .منقول التفاسير، ج 15، ص 738.</w:t>
      </w:r>
    </w:p>
    <w:p>
      <w:pPr>
        <w:pStyle w:val="BookText"/>
      </w:pPr>
      <w:r>
        <w:rPr>
          <w:rFonts w:ascii="IRNazanin" w:hAnsi="IRNazanin" w:eastAsia="IRNazanin" w:cs="IRNazanin"/>
          <w:lang w:bidi="fa-IR"/>
          <w:color w:val="111111"/>
          <w:sz w:val="28"/>
          <w:szCs w:val="28"/>
          <w:rtl/>
        </w:rPr>
        <w:t xml:space="preserve">4 .النفائس، ج 16، ص 373.</w:t>
      </w:r>
    </w:p>
    <w:p>
      <w:pPr>
        <w:pStyle w:val="Heading2"/>
      </w:pPr>
      <w:bookmarkStart w:id="5435" w:name="_Toc4537"/>
      <w:r>
        <w:t>صغناقي ، حسين بن علي - 711 ه-</w:t>
      </w:r>
      <w:bookmarkEnd w:id="5435"/>
    </w:p>
    <w:p>
      <w:pPr>
        <w:pStyle w:val="BookText"/>
      </w:pPr>
      <w:r>
        <w:rPr>
          <w:rFonts w:ascii="Amiri" w:hAnsi="Amiri" w:eastAsia="Amiri" w:cs="Amiri"/>
          <w:lang w:bidi="ar-SA"/>
          <w:color w:val="111111"/>
          <w:sz w:val="28"/>
          <w:szCs w:val="28"/>
          <w:rtl/>
        </w:rPr>
        <w:t xml:space="preserve">1 .شرح دامغة المبتدعين وناصرة</w:t>
      </w:r>
    </w:p>
    <w:p>
      <w:pPr>
        <w:pStyle w:val="BookText"/>
      </w:pPr>
      <w:r>
        <w:rPr>
          <w:rFonts w:ascii="Amiri" w:hAnsi="Amiri" w:eastAsia="Amiri" w:cs="Amiri"/>
          <w:lang w:bidi="ar-SA"/>
          <w:color w:val="111111"/>
          <w:sz w:val="28"/>
          <w:szCs w:val="28"/>
          <w:rtl/>
        </w:rPr>
        <w:t xml:space="preserve">المهتدين، ج 9، ص 452.</w:t>
      </w:r>
    </w:p>
    <w:p>
      <w:pPr>
        <w:pStyle w:val="BookText"/>
      </w:pPr>
      <w:r>
        <w:rPr>
          <w:rFonts w:ascii="Amiri" w:hAnsi="Amiri" w:eastAsia="Amiri" w:cs="Amiri"/>
          <w:lang w:bidi="ar-SA"/>
          <w:color w:val="111111"/>
          <w:sz w:val="28"/>
          <w:szCs w:val="28"/>
          <w:rtl/>
        </w:rPr>
        <w:t xml:space="preserve">2 .النهاية في شرح الهداية، ج 16،</w:t>
      </w:r>
    </w:p>
    <w:p>
      <w:pPr>
        <w:pStyle w:val="BookText"/>
      </w:pPr>
      <w:r>
        <w:rPr>
          <w:rFonts w:ascii="IRNazanin" w:hAnsi="IRNazanin" w:eastAsia="IRNazanin" w:cs="IRNazanin"/>
          <w:lang w:bidi="fa-IR"/>
          <w:color w:val="111111"/>
          <w:sz w:val="28"/>
          <w:szCs w:val="28"/>
          <w:rtl/>
        </w:rPr>
        <w:t xml:space="preserve">ص 498 .</w:t>
      </w:r>
    </w:p>
    <w:p>
      <w:pPr>
        <w:pStyle w:val="BookText"/>
      </w:pPr>
      <w:r>
        <w:rPr>
          <w:rFonts w:ascii="Amiri" w:hAnsi="Amiri" w:eastAsia="Amiri" w:cs="Amiri"/>
          <w:lang w:bidi="ar-SA"/>
          <w:color w:val="111111"/>
          <w:sz w:val="28"/>
          <w:szCs w:val="28"/>
          <w:rtl/>
        </w:rPr>
        <w:t xml:space="preserve">صغير ، عبد الزهراء -عبد الزهراء حسين</w:t>
      </w:r>
    </w:p>
    <w:p>
      <w:pPr>
        <w:pStyle w:val="BookText"/>
      </w:pPr>
      <w:r>
        <w:rPr>
          <w:rFonts w:ascii="Amiri" w:hAnsi="Amiri" w:eastAsia="Amiri" w:cs="Amiri"/>
          <w:lang w:bidi="ar-SA"/>
          <w:color w:val="111111"/>
          <w:sz w:val="28"/>
          <w:szCs w:val="28"/>
          <w:rtl/>
        </w:rPr>
        <w:t xml:space="preserve">الصغير</w:t>
      </w:r>
    </w:p>
    <w:p>
      <w:pPr>
        <w:pStyle w:val="Heading2"/>
      </w:pPr>
      <w:bookmarkStart w:id="5436" w:name="_Toc4538"/>
      <w:r>
        <w:t>صغير ، علي بن حسينعلي</w:t>
      </w:r>
      <w:bookmarkEnd w:id="5436"/>
    </w:p>
    <w:p>
      <w:pPr>
        <w:pStyle w:val="BookText"/>
      </w:pPr>
      <w:r>
        <w:rPr>
          <w:rFonts w:ascii="Amiri" w:hAnsi="Amiri" w:eastAsia="Amiri" w:cs="Amiri"/>
          <w:lang w:bidi="ar-SA"/>
          <w:color w:val="111111"/>
          <w:sz w:val="28"/>
          <w:szCs w:val="28"/>
          <w:rtl/>
        </w:rPr>
        <w:t xml:space="preserve">قصيدة، ج 12 ، ص 641 .</w:t>
      </w:r>
    </w:p>
    <w:p>
      <w:pPr>
        <w:pStyle w:val="BookText"/>
      </w:pPr>
      <w:r>
        <w:rPr>
          <w:rFonts w:ascii="Amiri" w:hAnsi="Amiri" w:eastAsia="Amiri" w:cs="Amiri"/>
          <w:lang w:bidi="ar-SA"/>
          <w:color w:val="111111"/>
          <w:sz w:val="28"/>
          <w:szCs w:val="28"/>
          <w:rtl/>
        </w:rPr>
        <w:t xml:space="preserve">صغير ، علي بن زين الدين- عاملي ، علي</w:t>
      </w:r>
    </w:p>
    <w:p>
      <w:pPr>
        <w:pStyle w:val="BookText"/>
      </w:pPr>
      <w:r>
        <w:rPr>
          <w:rFonts w:ascii="Amiri" w:hAnsi="Amiri" w:eastAsia="Amiri" w:cs="Amiri"/>
          <w:lang w:bidi="ar-SA"/>
          <w:color w:val="111111"/>
          <w:sz w:val="28"/>
          <w:szCs w:val="28"/>
          <w:rtl/>
        </w:rPr>
        <w:t xml:space="preserve">بن زين الدين</w:t>
      </w:r>
    </w:p>
    <w:p>
      <w:pPr>
        <w:pStyle w:val="BookText"/>
      </w:pPr>
      <w:r>
        <w:rPr>
          <w:rFonts w:ascii="Amiri" w:hAnsi="Amiri" w:eastAsia="Amiri" w:cs="Amiri"/>
          <w:lang w:bidi="ar-SA"/>
          <w:color w:val="111111"/>
          <w:sz w:val="28"/>
          <w:szCs w:val="28"/>
          <w:rtl/>
        </w:rPr>
        <w:t xml:space="preserve">صفائي ترمذي بكري، محمّد</w:t>
      </w:r>
    </w:p>
    <w:p>
      <w:pPr>
        <w:pStyle w:val="BookText"/>
      </w:pPr>
      <w:r>
        <w:rPr>
          <w:rFonts w:ascii="Amiri" w:hAnsi="Amiri" w:eastAsia="Amiri" w:cs="Amiri"/>
          <w:lang w:bidi="ar-SA"/>
          <w:color w:val="111111"/>
          <w:sz w:val="28"/>
          <w:szCs w:val="28"/>
          <w:rtl/>
        </w:rPr>
        <w:t xml:space="preserve">معصوم -ترمذي سمرقندي ، محمّد معصوم</w:t>
      </w:r>
    </w:p>
    <w:p>
      <w:pPr>
        <w:pStyle w:val="BookText"/>
      </w:pPr>
      <w:r>
        <w:rPr>
          <w:rFonts w:ascii="Amiri" w:hAnsi="Amiri" w:eastAsia="Amiri" w:cs="Amiri"/>
          <w:lang w:bidi="ar-SA"/>
          <w:color w:val="111111"/>
          <w:sz w:val="28"/>
          <w:szCs w:val="28"/>
          <w:rtl/>
        </w:rPr>
        <w:t xml:space="preserve">صفائي ، محمّد رضا -نوعي خبوشاني</w:t>
      </w:r>
    </w:p>
    <w:p>
      <w:pPr>
        <w:pStyle w:val="BookText"/>
      </w:pPr>
      <w:r>
        <w:rPr>
          <w:rFonts w:ascii="IRNazanin" w:hAnsi="IRNazanin" w:eastAsia="IRNazanin" w:cs="IRNazanin"/>
          <w:lang w:bidi="fa-IR"/>
          <w:color w:val="111111"/>
          <w:sz w:val="28"/>
          <w:szCs w:val="28"/>
          <w:rtl/>
        </w:rPr>
        <w:t xml:space="preserve">محمّد رضا بن محمود</w:t>
      </w:r>
    </w:p>
    <w:p>
      <w:pPr>
        <w:pStyle w:val="Heading2"/>
      </w:pPr>
      <w:bookmarkStart w:id="5437" w:name="_Toc4539"/>
      <w:r>
        <w:t>صفائي موصلي ، عبد القادر قرن 12 ه-</w:t>
      </w:r>
      <w:bookmarkEnd w:id="5437"/>
    </w:p>
    <w:p>
      <w:pPr>
        <w:pStyle w:val="BookText"/>
      </w:pPr>
      <w:r>
        <w:rPr>
          <w:rFonts w:ascii="Amiri" w:hAnsi="Amiri" w:eastAsia="Amiri" w:cs="Amiri"/>
          <w:lang w:bidi="ar-SA"/>
          <w:color w:val="111111"/>
          <w:sz w:val="28"/>
          <w:szCs w:val="28"/>
          <w:rtl/>
        </w:rPr>
        <w:t xml:space="preserve">علم الزيج (رسالة في)، ج 11، ص 248 .</w:t>
      </w:r>
    </w:p>
    <w:p>
      <w:pPr>
        <w:pStyle w:val="BookText"/>
      </w:pPr>
      <w:r>
        <w:rPr>
          <w:rFonts w:ascii="Amiri" w:hAnsi="Amiri" w:eastAsia="Amiri" w:cs="Amiri"/>
          <w:lang w:bidi="ar-SA"/>
          <w:color w:val="111111"/>
          <w:sz w:val="28"/>
          <w:szCs w:val="28"/>
          <w:rtl/>
        </w:rPr>
        <w:t xml:space="preserve">صفائي نراقي ، احمد بن محمّد مهدي- نراقي ، احمد بن محمّد مهدي</w:t>
      </w:r>
    </w:p>
    <w:p>
      <w:pPr>
        <w:pStyle w:val="Heading2"/>
      </w:pPr>
      <w:bookmarkStart w:id="5438" w:name="_Toc4540"/>
      <w:r>
        <w:t>صفار ، ابراهيم بن اسماعيل - 534 ه-</w:t>
      </w:r>
      <w:bookmarkEnd w:id="5438"/>
    </w:p>
    <w:p>
      <w:pPr>
        <w:pStyle w:val="BookText"/>
      </w:pPr>
      <w:r>
        <w:rPr>
          <w:rFonts w:ascii="Amiri" w:hAnsi="Amiri" w:eastAsia="Amiri" w:cs="Amiri"/>
          <w:lang w:bidi="ar-SA"/>
          <w:color w:val="111111"/>
          <w:sz w:val="28"/>
          <w:szCs w:val="28"/>
          <w:rtl/>
        </w:rPr>
        <w:t xml:space="preserve">تلخيص الادلة لقواعد التوحيد ج4،</w:t>
      </w:r>
    </w:p>
    <w:p>
      <w:pPr>
        <w:pStyle w:val="BookText"/>
      </w:pPr>
      <w:r>
        <w:rPr>
          <w:rFonts w:ascii="IRNazanin" w:hAnsi="IRNazanin" w:eastAsia="IRNazanin" w:cs="IRNazanin"/>
          <w:lang w:bidi="fa-IR"/>
          <w:color w:val="111111"/>
          <w:sz w:val="28"/>
          <w:szCs w:val="28"/>
          <w:rtl/>
        </w:rPr>
        <w:t xml:space="preserve">ص 834.</w:t>
      </w:r>
    </w:p>
    <w:p>
      <w:pPr>
        <w:pStyle w:val="BookText"/>
      </w:pPr>
      <w:r>
        <w:rPr>
          <w:rFonts w:ascii="IRNazanin" w:hAnsi="IRNazanin" w:eastAsia="IRNazanin" w:cs="IRNazanin"/>
          <w:lang w:bidi="fa-IR"/>
          <w:color w:val="111111"/>
          <w:sz w:val="28"/>
          <w:szCs w:val="28"/>
          <w:rtl/>
        </w:rPr>
        <w:t xml:space="preserve">صفار ، ابوالقاسم- صغار ، ابوالقاسم</w:t>
      </w:r>
    </w:p>
    <w:p>
      <w:pPr>
        <w:pStyle w:val="BookText"/>
      </w:pPr>
      <w:r>
        <w:rPr>
          <w:rFonts w:ascii="IRNazanin" w:hAnsi="IRNazanin" w:eastAsia="IRNazanin" w:cs="IRNazanin"/>
          <w:lang w:bidi="fa-IR"/>
          <w:color w:val="111111"/>
          <w:sz w:val="28"/>
          <w:szCs w:val="28"/>
          <w:rtl/>
        </w:rPr>
        <w:t xml:space="preserve">صفار ، ابوجعفر محمّد- صفار ، محمّد بن</w:t>
      </w:r>
    </w:p>
    <w:p>
      <w:pPr>
        <w:pStyle w:val="BookText"/>
      </w:pPr>
      <w:r>
        <w:rPr>
          <w:rFonts w:ascii="IRNazanin" w:hAnsi="IRNazanin" w:eastAsia="IRNazanin" w:cs="IRNazanin"/>
          <w:lang w:bidi="fa-IR"/>
          <w:color w:val="111111"/>
          <w:sz w:val="28"/>
          <w:szCs w:val="28"/>
          <w:rtl/>
        </w:rPr>
        <w:t xml:space="preserve">حسن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73" w:name="pg7742_70666"/>
    <w:bookmarkEnd w:id="673"/>
    <w:p>
      <w:pPr>
        <w:pStyle w:val="Heading2"/>
      </w:pPr>
      <w:bookmarkStart w:id="5439" w:name="_Toc4541"/>
      <w:r>
        <w:t>صفار ، اسماعيل بن محمّد - 341 ه-</w:t>
      </w:r>
      <w:bookmarkEnd w:id="54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حديث اسماعيل الصفار، ج 6،</w:t>
      </w:r>
    </w:p>
    <w:p>
      <w:pPr>
        <w:pStyle w:val="BookText"/>
      </w:pPr>
      <w:r>
        <w:rPr>
          <w:rFonts w:ascii="IRNazanin" w:hAnsi="IRNazanin" w:eastAsia="IRNazanin" w:cs="IRNazanin"/>
          <w:lang w:bidi="fa-IR"/>
          <w:color w:val="111111"/>
          <w:sz w:val="28"/>
          <w:szCs w:val="28"/>
          <w:rtl/>
        </w:rPr>
        <w:t xml:space="preserve">ص 566.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حديث الحسن بن عرفة</w:t>
      </w:r>
    </w:p>
    <w:p>
      <w:pPr>
        <w:pStyle w:val="BookText"/>
      </w:pPr>
      <w:r>
        <w:rPr>
          <w:rFonts w:ascii="Amiri" w:hAnsi="Amiri" w:eastAsia="Amiri" w:cs="Amiri"/>
          <w:lang w:bidi="ar-SA"/>
          <w:color w:val="111111"/>
          <w:sz w:val="28"/>
          <w:szCs w:val="28"/>
          <w:rtl/>
        </w:rPr>
        <w:t xml:space="preserve">العبدي، ج 15، ص 666 .</w:t>
      </w:r>
    </w:p>
    <w:p>
      <w:pPr>
        <w:pStyle w:val="Heading2"/>
      </w:pPr>
      <w:bookmarkStart w:id="5440" w:name="_Toc4542"/>
      <w:r>
        <w:t>صفار انصاري ، عفان بن مسلم - 220</w:t>
      </w:r>
      <w:bookmarkEnd w:id="5440"/>
    </w:p>
    <w:p>
      <w:pPr>
        <w:pStyle w:val="BookText"/>
      </w:pPr>
      <w:r>
        <w:rPr>
          <w:rFonts w:ascii="Amiri" w:hAnsi="Amiri" w:eastAsia="Amiri" w:cs="Amiri"/>
          <w:lang w:bidi="ar-SA"/>
          <w:color w:val="111111"/>
          <w:sz w:val="28"/>
          <w:szCs w:val="28"/>
          <w:rtl/>
        </w:rPr>
        <w:t xml:space="preserve">1 .الاحاديث، ج 1، ص387.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صحائف عفان بن مسلم، ج 10،</w:t>
      </w:r>
    </w:p>
    <w:p>
      <w:pPr>
        <w:pStyle w:val="BookText"/>
      </w:pPr>
      <w:r>
        <w:rPr>
          <w:rFonts w:ascii="IRNazanin" w:hAnsi="IRNazanin" w:eastAsia="IRNazanin" w:cs="IRNazanin"/>
          <w:lang w:bidi="fa-IR"/>
          <w:color w:val="111111"/>
          <w:sz w:val="28"/>
          <w:szCs w:val="28"/>
          <w:rtl/>
        </w:rPr>
        <w:t xml:space="preserve">ص 485 .</w:t>
      </w:r>
    </w:p>
    <w:p>
      <w:pPr>
        <w:pStyle w:val="Heading2"/>
      </w:pPr>
      <w:bookmarkStart w:id="5441" w:name="_Toc4543"/>
      <w:r>
        <w:t>صفار ، قاسم بن علي ، قرن 7 ه-</w:t>
      </w:r>
      <w:bookmarkEnd w:id="5441"/>
    </w:p>
    <w:p>
      <w:pPr>
        <w:pStyle w:val="BookText"/>
      </w:pPr>
      <w:r>
        <w:rPr>
          <w:rFonts w:ascii="Amiri" w:hAnsi="Amiri" w:eastAsia="Amiri" w:cs="Amiri"/>
          <w:lang w:bidi="ar-SA"/>
          <w:color w:val="111111"/>
          <w:sz w:val="28"/>
          <w:szCs w:val="28"/>
          <w:rtl/>
        </w:rPr>
        <w:t xml:space="preserve">شرح كتاب سيبويه، ج 10، ص 46.</w:t>
      </w:r>
    </w:p>
    <w:p>
      <w:pPr>
        <w:pStyle w:val="BookText"/>
      </w:pPr>
      <w:r>
        <w:rPr>
          <w:rFonts w:ascii="Amiri" w:hAnsi="Amiri" w:eastAsia="Amiri" w:cs="Amiri"/>
          <w:lang w:bidi="ar-SA"/>
          <w:color w:val="111111"/>
          <w:sz w:val="28"/>
          <w:szCs w:val="28"/>
          <w:rtl/>
        </w:rPr>
        <w:t xml:space="preserve">صفار قمي ، محمّد بن حسن -صفار ،</w:t>
      </w:r>
    </w:p>
    <w:p>
      <w:pPr>
        <w:pStyle w:val="BookText"/>
      </w:pPr>
      <w:r>
        <w:rPr>
          <w:rFonts w:ascii="Amiri" w:hAnsi="Amiri" w:eastAsia="Amiri" w:cs="Amiri"/>
          <w:lang w:bidi="ar-SA"/>
          <w:color w:val="111111"/>
          <w:sz w:val="28"/>
          <w:szCs w:val="28"/>
          <w:rtl/>
        </w:rPr>
        <w:t xml:space="preserve">محمّد بن حسن</w:t>
      </w:r>
    </w:p>
    <w:p>
      <w:pPr>
        <w:pStyle w:val="Heading2"/>
      </w:pPr>
      <w:bookmarkStart w:id="5442" w:name="_Toc4544"/>
      <w:r>
        <w:t>صفار ، محمّد بن حسن - 290 ه-</w:t>
      </w:r>
      <w:bookmarkEnd w:id="5442"/>
    </w:p>
    <w:p>
      <w:pPr>
        <w:pStyle w:val="BookText"/>
      </w:pPr>
      <w:r>
        <w:rPr>
          <w:rFonts w:ascii="IRNazanin" w:hAnsi="IRNazanin" w:eastAsia="IRNazanin" w:cs="IRNazanin"/>
          <w:lang w:bidi="fa-IR"/>
          <w:color w:val="111111"/>
          <w:sz w:val="28"/>
          <w:szCs w:val="28"/>
          <w:rtl/>
        </w:rPr>
        <w:t xml:space="preserve">بصائر الدرجات، ج 3، ص 344.</w:t>
      </w:r>
    </w:p>
    <w:p>
      <w:pPr>
        <w:pStyle w:val="BookText"/>
      </w:pPr>
      <w:r>
        <w:rPr>
          <w:rFonts w:ascii="IRNazanin" w:hAnsi="IRNazanin" w:eastAsia="IRNazanin" w:cs="IRNazanin"/>
          <w:lang w:bidi="fa-IR"/>
          <w:color w:val="111111"/>
          <w:sz w:val="28"/>
          <w:szCs w:val="28"/>
          <w:rtl/>
        </w:rPr>
        <w:t xml:space="preserve">صفار نحاس، احمد بن محمّد -نحاس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5443" w:name="_Toc4545"/>
      <w:r>
        <w:t>صفاري ، سعد بن محمّد ه-</w:t>
      </w:r>
      <w:bookmarkEnd w:id="5443"/>
    </w:p>
    <w:p>
      <w:pPr>
        <w:pStyle w:val="BookText"/>
      </w:pPr>
      <w:r>
        <w:rPr>
          <w:rFonts w:ascii="Amiri" w:hAnsi="Amiri" w:eastAsia="Amiri" w:cs="Amiri"/>
          <w:lang w:bidi="ar-SA"/>
          <w:color w:val="111111"/>
          <w:sz w:val="28"/>
          <w:szCs w:val="28"/>
          <w:rtl/>
        </w:rPr>
        <w:t xml:space="preserve">المغالطات النحوية = اعتراضات</w:t>
      </w:r>
    </w:p>
    <w:p>
      <w:pPr>
        <w:pStyle w:val="BookText"/>
      </w:pPr>
      <w:r>
        <w:rPr>
          <w:rFonts w:ascii="Amiri" w:hAnsi="Amiri" w:eastAsia="Amiri" w:cs="Amiri"/>
          <w:lang w:bidi="ar-SA"/>
          <w:color w:val="111111"/>
          <w:sz w:val="28"/>
          <w:szCs w:val="28"/>
          <w:rtl/>
        </w:rPr>
        <w:t xml:space="preserve">نحوية، ج 15، ص 112.</w:t>
      </w:r>
    </w:p>
    <w:p>
      <w:pPr>
        <w:pStyle w:val="BookText"/>
      </w:pPr>
      <w:r>
        <w:rPr>
          <w:rFonts w:ascii="IRNazanin" w:hAnsi="IRNazanin" w:eastAsia="IRNazanin" w:cs="IRNazanin"/>
          <w:lang w:bidi="fa-IR"/>
          <w:color w:val="111111"/>
          <w:sz w:val="28"/>
          <w:szCs w:val="28"/>
          <w:rtl/>
        </w:rPr>
        <w:t xml:space="preserve">صفا ، عليقلي بن قره چغاي -قمي</w:t>
      </w:r>
    </w:p>
    <w:p>
      <w:pPr>
        <w:pStyle w:val="BookText"/>
      </w:pPr>
      <w:r>
        <w:rPr>
          <w:rFonts w:ascii="IRNazanin" w:hAnsi="IRNazanin" w:eastAsia="IRNazanin" w:cs="IRNazanin"/>
          <w:lang w:bidi="fa-IR"/>
          <w:color w:val="111111"/>
          <w:sz w:val="28"/>
          <w:szCs w:val="28"/>
          <w:rtl/>
        </w:rPr>
        <w:t xml:space="preserve">عليقلي بن قره چغاي</w:t>
      </w:r>
    </w:p>
    <w:p>
      <w:pPr>
        <w:pStyle w:val="BookText"/>
      </w:pPr>
      <w:r>
        <w:rPr>
          <w:rFonts w:ascii="Amiri" w:hAnsi="Amiri" w:eastAsia="Amiri" w:cs="Amiri"/>
          <w:lang w:bidi="ar-SA"/>
          <w:color w:val="111111"/>
          <w:sz w:val="28"/>
          <w:szCs w:val="28"/>
          <w:rtl/>
        </w:rPr>
        <w:t xml:space="preserve">صفا ، علي محمّد- صفا لواساني ، علي</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صفاقسي ، احمد بن عبدالعزيز- سفاقسي</w:t>
      </w:r>
    </w:p>
    <w:p>
      <w:pPr>
        <w:pStyle w:val="BookText"/>
      </w:pPr>
      <w:r>
        <w:rPr>
          <w:rFonts w:ascii="Amiri" w:hAnsi="Amiri" w:eastAsia="Amiri" w:cs="Amiri"/>
          <w:lang w:bidi="ar-SA"/>
          <w:color w:val="111111"/>
          <w:sz w:val="28"/>
          <w:szCs w:val="28"/>
          <w:rtl/>
        </w:rPr>
        <w:t xml:space="preserve">احمد بن عبدالعزيز</w:t>
      </w:r>
    </w:p>
    <w:p>
      <w:pPr>
        <w:pStyle w:val="Heading2"/>
      </w:pPr>
      <w:bookmarkStart w:id="5444" w:name="_Toc4546"/>
      <w:r>
        <w:t>صفاقسي ، محمود بن محمّد - 1254 ه-</w:t>
      </w:r>
      <w:bookmarkEnd w:id="5444"/>
    </w:p>
    <w:p>
      <w:pPr>
        <w:pStyle w:val="BookText"/>
      </w:pPr>
      <w:r>
        <w:rPr>
          <w:rFonts w:ascii="Amiri" w:hAnsi="Amiri" w:eastAsia="Amiri" w:cs="Amiri"/>
          <w:lang w:bidi="ar-SA"/>
          <w:color w:val="111111"/>
          <w:sz w:val="28"/>
          <w:szCs w:val="28"/>
          <w:rtl/>
        </w:rPr>
        <w:t xml:space="preserve">قانون الأصفياء في علم نغمات</w:t>
      </w:r>
    </w:p>
    <w:p>
      <w:pPr>
        <w:pStyle w:val="BookText"/>
      </w:pPr>
      <w:r>
        <w:rPr>
          <w:rFonts w:ascii="Amiri" w:hAnsi="Amiri" w:eastAsia="Amiri" w:cs="Amiri"/>
          <w:lang w:bidi="ar-SA"/>
          <w:color w:val="111111"/>
          <w:sz w:val="28"/>
          <w:szCs w:val="28"/>
          <w:rtl/>
        </w:rPr>
        <w:t xml:space="preserve">الأذكياء، ج 12، ص 357.</w:t>
      </w:r>
    </w:p>
    <w:p>
      <w:pPr>
        <w:pStyle w:val="Heading2"/>
      </w:pPr>
      <w:bookmarkStart w:id="5445" w:name="_Toc4547"/>
      <w:r>
        <w:t>صفا لواساني ، علي محمّد - 1299 ه-</w:t>
      </w:r>
      <w:bookmarkEnd w:id="5445"/>
    </w:p>
    <w:p>
      <w:pPr>
        <w:pStyle w:val="BookText"/>
      </w:pPr>
      <w:r>
        <w:rPr>
          <w:rFonts w:ascii="Amiri" w:hAnsi="Amiri" w:eastAsia="Amiri" w:cs="Amiri"/>
          <w:lang w:bidi="ar-SA"/>
          <w:color w:val="111111"/>
          <w:sz w:val="28"/>
          <w:szCs w:val="28"/>
          <w:rtl/>
        </w:rPr>
        <w:t xml:space="preserve">التصريف (رسالة في)، ج4، ص 412.</w:t>
      </w:r>
    </w:p>
    <w:p>
      <w:pPr>
        <w:pStyle w:val="Heading2"/>
      </w:pPr>
      <w:bookmarkStart w:id="5446" w:name="_Toc4548"/>
      <w:r>
        <w:t>صفتي ، عيسى بن عيسى قرن 12 ه-</w:t>
      </w:r>
      <w:bookmarkEnd w:id="5446"/>
    </w:p>
    <w:p>
      <w:pPr>
        <w:pStyle w:val="BookText"/>
      </w:pPr>
      <w:r>
        <w:rPr>
          <w:rFonts w:ascii="Amiri" w:hAnsi="Amiri" w:eastAsia="Amiri" w:cs="Amiri"/>
          <w:lang w:bidi="ar-SA"/>
          <w:color w:val="111111"/>
          <w:sz w:val="28"/>
          <w:szCs w:val="28"/>
          <w:rtl/>
        </w:rPr>
        <w:t xml:space="preserve">اسئلة و اجوبة، ج 2، ص92.</w:t>
      </w:r>
    </w:p>
    <w:p>
      <w:pPr>
        <w:pStyle w:val="BookText"/>
      </w:pPr>
      <w:r>
        <w:rPr>
          <w:rFonts w:ascii="Amiri" w:hAnsi="Amiri" w:eastAsia="Amiri" w:cs="Amiri"/>
          <w:lang w:bidi="ar-SA"/>
          <w:color w:val="111111"/>
          <w:sz w:val="28"/>
          <w:szCs w:val="28"/>
          <w:rtl/>
        </w:rPr>
        <w:t xml:space="preserve">صفدي ، ابوالصفا صلاح الدين- صفدي ،</w:t>
      </w:r>
    </w:p>
    <w:p>
      <w:pPr>
        <w:pStyle w:val="BookText"/>
      </w:pPr>
      <w:r>
        <w:rPr>
          <w:rFonts w:ascii="Amiri" w:hAnsi="Amiri" w:eastAsia="Amiri" w:cs="Amiri"/>
          <w:lang w:bidi="ar-SA"/>
          <w:color w:val="111111"/>
          <w:sz w:val="28"/>
          <w:szCs w:val="28"/>
          <w:rtl/>
        </w:rPr>
        <w:t xml:space="preserve">خليل بن ايبك</w:t>
      </w:r>
    </w:p>
    <w:p>
      <w:pPr>
        <w:pStyle w:val="Heading2"/>
      </w:pPr>
      <w:bookmarkStart w:id="5447" w:name="_Toc4549"/>
      <w:r>
        <w:t>صفدي، احمد بن صالح - 1176 ه-</w:t>
      </w:r>
      <w:bookmarkEnd w:id="5447"/>
    </w:p>
    <w:p>
      <w:pPr>
        <w:pStyle w:val="BookText"/>
      </w:pPr>
      <w:r>
        <w:rPr>
          <w:rFonts w:ascii="Amiri" w:hAnsi="Amiri" w:eastAsia="Amiri" w:cs="Amiri"/>
          <w:lang w:bidi="ar-SA"/>
          <w:color w:val="111111"/>
          <w:sz w:val="28"/>
          <w:szCs w:val="28"/>
          <w:rtl/>
        </w:rPr>
        <w:t xml:space="preserve">نبذة الاثر في جملة مسائل بلغت احصاء ثلاثة عشر، ج 16، ص 106.</w:t>
      </w:r>
    </w:p>
    <w:p>
      <w:pPr>
        <w:pStyle w:val="BookText"/>
      </w:pPr>
      <w:r>
        <w:rPr>
          <w:rFonts w:ascii="Amiri" w:hAnsi="Amiri" w:eastAsia="Amiri" w:cs="Amiri"/>
          <w:lang w:bidi="ar-SA"/>
          <w:color w:val="111111"/>
          <w:sz w:val="28"/>
          <w:szCs w:val="28"/>
          <w:rtl/>
        </w:rPr>
        <w:t xml:space="preserve">صفدي ، احمد بن محمّد- خالدي صفدي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صفدي، حسن بن عبدالله -عباسي ، حسن</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5448" w:name="_Toc4550"/>
      <w:r>
        <w:t>صفدي، خليل بن ايبك، 696 - 764 ه-</w:t>
      </w:r>
      <w:bookmarkEnd w:id="54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اختراع الخراع، ج 1، ص 540.</w:t>
      </w:r>
    </w:p>
    <w:p>
      <w:pPr>
        <w:pStyle w:val="BookText"/>
      </w:pPr>
      <w:r>
        <w:rPr>
          <w:rFonts w:ascii="Amiri" w:hAnsi="Amiri" w:eastAsia="Amiri" w:cs="Amiri"/>
          <w:lang w:bidi="ar-SA"/>
          <w:color w:val="111111"/>
          <w:sz w:val="28"/>
          <w:szCs w:val="28"/>
          <w:rtl/>
        </w:rPr>
        <w:t xml:space="preserve">2 .اعيان العصر و اعوان النصر، ج2،</w:t>
      </w:r>
    </w:p>
    <w:p>
      <w:pPr>
        <w:pStyle w:val="BookText"/>
      </w:pPr>
      <w:r>
        <w:rPr>
          <w:rFonts w:ascii="IRNazanin" w:hAnsi="IRNazanin" w:eastAsia="IRNazanin" w:cs="IRNazanin"/>
          <w:lang w:bidi="fa-IR"/>
          <w:color w:val="111111"/>
          <w:sz w:val="28"/>
          <w:szCs w:val="28"/>
          <w:rtl/>
        </w:rPr>
        <w:t xml:space="preserve">ص 575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74" w:name="pg7742_70667"/>
    <w:bookmarkEnd w:id="67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الاقتصار على جواهر السلك في الانتصار لابن سناء الملك، ج 2،</w:t>
      </w:r>
    </w:p>
    <w:p>
      <w:pPr>
        <w:pStyle w:val="BookText"/>
      </w:pPr>
      <w:r>
        <w:rPr>
          <w:rFonts w:ascii="IRNazanin" w:hAnsi="IRNazanin" w:eastAsia="IRNazanin" w:cs="IRNazanin"/>
          <w:lang w:bidi="fa-IR"/>
          <w:color w:val="111111"/>
          <w:sz w:val="28"/>
          <w:szCs w:val="28"/>
          <w:rtl/>
        </w:rPr>
        <w:t xml:space="preserve">ص 616 .</w:t>
      </w:r>
    </w:p>
    <w:p>
      <w:pPr>
        <w:pStyle w:val="BookText"/>
      </w:pPr>
      <w:r>
        <w:rPr>
          <w:rFonts w:ascii="Amiri" w:hAnsi="Amiri" w:eastAsia="Amiri" w:cs="Amiri"/>
          <w:lang w:bidi="ar-SA"/>
          <w:color w:val="111111"/>
          <w:sz w:val="28"/>
          <w:szCs w:val="28"/>
          <w:rtl/>
        </w:rPr>
        <w:t xml:space="preserve">4 ا.لحان السواجع بين البادي و</w:t>
      </w:r>
    </w:p>
    <w:p>
      <w:pPr>
        <w:pStyle w:val="BookText"/>
      </w:pPr>
      <w:r>
        <w:rPr>
          <w:rFonts w:ascii="IRNazanin" w:hAnsi="IRNazanin" w:eastAsia="IRNazanin" w:cs="IRNazanin"/>
          <w:lang w:bidi="fa-IR"/>
          <w:color w:val="111111"/>
          <w:sz w:val="28"/>
          <w:szCs w:val="28"/>
          <w:rtl/>
        </w:rPr>
        <w:t xml:space="preserve">المراجع، ج 2، ص 664 .</w:t>
      </w:r>
    </w:p>
    <w:p>
      <w:pPr>
        <w:pStyle w:val="BookText"/>
      </w:pPr>
      <w:r>
        <w:rPr>
          <w:rFonts w:ascii="Amiri" w:hAnsi="Amiri" w:eastAsia="Amiri" w:cs="Amiri"/>
          <w:lang w:bidi="ar-SA"/>
          <w:color w:val="111111"/>
          <w:sz w:val="28"/>
          <w:szCs w:val="28"/>
          <w:rtl/>
        </w:rPr>
        <w:t xml:space="preserve">5 .التذكرة الصلاحية، ج 4 ، ص 194.</w:t>
      </w:r>
    </w:p>
    <w:p>
      <w:pPr>
        <w:pStyle w:val="BookText"/>
      </w:pPr>
      <w:r>
        <w:rPr>
          <w:rFonts w:ascii="Amiri" w:hAnsi="Amiri" w:eastAsia="Amiri" w:cs="Amiri"/>
          <w:lang w:bidi="ar-SA"/>
          <w:color w:val="111111"/>
          <w:sz w:val="28"/>
          <w:szCs w:val="28"/>
          <w:rtl/>
        </w:rPr>
        <w:t xml:space="preserve">6 .تصحيح التصحيف وتحرير التحريف، ج 4، ص 397 .</w:t>
      </w:r>
    </w:p>
    <w:p>
      <w:pPr>
        <w:pStyle w:val="BookText"/>
      </w:pPr>
      <w:r>
        <w:rPr>
          <w:rFonts w:ascii="Amiri" w:hAnsi="Amiri" w:eastAsia="Amiri" w:cs="Amiri"/>
          <w:lang w:bidi="ar-SA"/>
          <w:color w:val="111111"/>
          <w:sz w:val="28"/>
          <w:szCs w:val="28"/>
          <w:rtl/>
        </w:rPr>
        <w:t xml:space="preserve">7 .تلاوة لذلك وعلاوة عليه، ج 4،</w:t>
      </w:r>
    </w:p>
    <w:p>
      <w:pPr>
        <w:pStyle w:val="BookText"/>
      </w:pPr>
      <w:r>
        <w:rPr>
          <w:rFonts w:ascii="IRNazanin" w:hAnsi="IRNazanin" w:eastAsia="IRNazanin" w:cs="IRNazanin"/>
          <w:lang w:bidi="fa-IR"/>
          <w:color w:val="111111"/>
          <w:sz w:val="28"/>
          <w:szCs w:val="28"/>
          <w:rtl/>
        </w:rPr>
        <w:t xml:space="preserve">ص 831.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تلخيص شرح لامية العجم، جع،</w:t>
      </w:r>
    </w:p>
    <w:p>
      <w:pPr>
        <w:pStyle w:val="BookText"/>
      </w:pPr>
      <w:r>
        <w:rPr>
          <w:rFonts w:ascii="IRNazanin" w:hAnsi="IRNazanin" w:eastAsia="IRNazanin" w:cs="IRNazanin"/>
          <w:lang w:bidi="fa-IR"/>
          <w:color w:val="111111"/>
          <w:sz w:val="28"/>
          <w:szCs w:val="28"/>
          <w:rtl/>
        </w:rPr>
        <w:t xml:space="preserve">ص 849.</w:t>
      </w:r>
    </w:p>
    <w:p>
      <w:pPr>
        <w:pStyle w:val="BookText"/>
      </w:pPr>
      <w:r>
        <w:rPr>
          <w:rFonts w:ascii="Amiri" w:hAnsi="Amiri" w:eastAsia="Amiri" w:cs="Amiri"/>
          <w:lang w:bidi="ar-SA"/>
          <w:color w:val="111111"/>
          <w:sz w:val="28"/>
          <w:szCs w:val="28"/>
          <w:rtl/>
        </w:rPr>
        <w:t xml:space="preserve">9 .تمام المتون في شرح رسالة ابن</w:t>
      </w:r>
    </w:p>
    <w:p>
      <w:pPr>
        <w:pStyle w:val="BookText"/>
      </w:pPr>
      <w:r>
        <w:rPr>
          <w:rFonts w:ascii="Amiri" w:hAnsi="Amiri" w:eastAsia="Amiri" w:cs="Amiri"/>
          <w:lang w:bidi="ar-SA"/>
          <w:color w:val="111111"/>
          <w:sz w:val="28"/>
          <w:szCs w:val="28"/>
          <w:rtl/>
        </w:rPr>
        <w:t xml:space="preserve">زيدون، ج 4، ص 875</w:t>
      </w:r>
    </w:p>
    <w:p>
      <w:pPr>
        <w:pStyle w:val="BookText"/>
      </w:pPr>
      <w:r>
        <w:rPr>
          <w:rFonts w:ascii="Amiri" w:hAnsi="Amiri" w:eastAsia="Amiri" w:cs="Amiri"/>
          <w:lang w:bidi="ar-SA"/>
          <w:color w:val="111111"/>
          <w:sz w:val="28"/>
          <w:szCs w:val="28"/>
          <w:rtl/>
        </w:rPr>
        <w:t xml:space="preserve">10 .توشيع التوشيح، ج 5، ص164.</w:t>
      </w:r>
    </w:p>
    <w:p>
      <w:pPr>
        <w:pStyle w:val="BookText"/>
      </w:pPr>
      <w:r>
        <w:rPr>
          <w:rFonts w:ascii="IRNazanin" w:hAnsi="IRNazanin" w:eastAsia="IRNazanin" w:cs="IRNazanin"/>
          <w:lang w:bidi="fa-IR"/>
          <w:color w:val="111111"/>
          <w:sz w:val="28"/>
          <w:szCs w:val="28"/>
          <w:rtl/>
        </w:rPr>
        <w:t xml:space="preserve">11 .جنان الجناس، ج 5، ص 458</w:t>
      </w:r>
    </w:p>
    <w:p>
      <w:pPr>
        <w:pStyle w:val="BookText"/>
      </w:pPr>
      <w:r>
        <w:rPr>
          <w:rFonts w:ascii="Amiri" w:hAnsi="Amiri" w:eastAsia="Amiri" w:cs="Amiri"/>
          <w:lang w:bidi="ar-SA"/>
          <w:color w:val="111111"/>
          <w:sz w:val="28"/>
          <w:szCs w:val="28"/>
          <w:rtl/>
        </w:rPr>
        <w:t xml:space="preserve">12 .خلع العذار في وصف العذار، ج 7،</w:t>
      </w:r>
    </w:p>
    <w:p>
      <w:pPr>
        <w:pStyle w:val="BookText"/>
      </w:pPr>
      <w:r>
        <w:rPr>
          <w:rFonts w:ascii="IRNazanin" w:hAnsi="IRNazanin" w:eastAsia="IRNazanin" w:cs="IRNazanin"/>
          <w:lang w:bidi="fa-IR"/>
          <w:color w:val="111111"/>
          <w:sz w:val="28"/>
          <w:szCs w:val="28"/>
          <w:rtl/>
        </w:rPr>
        <w:t xml:space="preserve">ص 146 .</w:t>
      </w:r>
    </w:p>
    <w:p>
      <w:pPr>
        <w:pStyle w:val="BookText"/>
      </w:pPr>
      <w:r>
        <w:rPr>
          <w:rFonts w:ascii="Amiri" w:hAnsi="Amiri" w:eastAsia="Amiri" w:cs="Amiri"/>
          <w:lang w:bidi="ar-SA"/>
          <w:color w:val="111111"/>
          <w:sz w:val="28"/>
          <w:szCs w:val="28"/>
          <w:rtl/>
        </w:rPr>
        <w:t xml:space="preserve">13 .دمعة الباكي و لوعة الشاكي = لوعة الشاكي و دمعة الباكي، ج7، ص 475.</w:t>
      </w:r>
    </w:p>
    <w:p>
      <w:pPr>
        <w:pStyle w:val="BookText"/>
      </w:pPr>
      <w:r>
        <w:rPr>
          <w:rFonts w:ascii="Amiri" w:hAnsi="Amiri" w:eastAsia="Amiri" w:cs="Amiri"/>
          <w:lang w:bidi="ar-SA"/>
          <w:color w:val="111111"/>
          <w:sz w:val="28"/>
          <w:szCs w:val="28"/>
          <w:rtl/>
        </w:rPr>
        <w:t xml:space="preserve">14 .ديوان الصفدي، ج 7، ص 688.</w:t>
      </w:r>
    </w:p>
    <w:p>
      <w:pPr>
        <w:pStyle w:val="BookText"/>
      </w:pPr>
      <w:r>
        <w:rPr>
          <w:rFonts w:ascii="Amiri" w:hAnsi="Amiri" w:eastAsia="Amiri" w:cs="Amiri"/>
          <w:lang w:bidi="ar-SA"/>
          <w:color w:val="111111"/>
          <w:sz w:val="28"/>
          <w:szCs w:val="28"/>
          <w:rtl/>
        </w:rPr>
        <w:t xml:space="preserve">15 .شرح الشجرة النعمانية في الدولة</w:t>
      </w:r>
    </w:p>
    <w:p>
      <w:pPr>
        <w:pStyle w:val="BookText"/>
      </w:pPr>
      <w:r>
        <w:rPr>
          <w:rFonts w:ascii="Amiri" w:hAnsi="Amiri" w:eastAsia="Amiri" w:cs="Amiri"/>
          <w:lang w:bidi="ar-SA"/>
          <w:color w:val="111111"/>
          <w:sz w:val="28"/>
          <w:szCs w:val="28"/>
          <w:rtl/>
        </w:rPr>
        <w:t xml:space="preserve">العثمانية، ج 9، ص 616.</w:t>
      </w:r>
    </w:p>
    <w:p>
      <w:pPr>
        <w:pStyle w:val="BookText"/>
      </w:pPr>
      <w:r>
        <w:rPr>
          <w:rFonts w:ascii="Amiri" w:hAnsi="Amiri" w:eastAsia="Amiri" w:cs="Amiri"/>
          <w:lang w:bidi="ar-SA"/>
          <w:color w:val="111111"/>
          <w:sz w:val="28"/>
          <w:szCs w:val="28"/>
          <w:rtl/>
        </w:rPr>
        <w:t xml:space="preserve">16 .شرح بديعية الصفدي، ج9،</w:t>
      </w:r>
    </w:p>
    <w:p>
      <w:pPr>
        <w:pStyle w:val="BookText"/>
      </w:pPr>
      <w:r>
        <w:rPr>
          <w:rFonts w:ascii="IRNazanin" w:hAnsi="IRNazanin" w:eastAsia="IRNazanin" w:cs="IRNazanin"/>
          <w:lang w:bidi="fa-IR"/>
          <w:color w:val="111111"/>
          <w:sz w:val="28"/>
          <w:szCs w:val="28"/>
          <w:rtl/>
        </w:rPr>
        <w:t xml:space="preserve">ص 284 .</w:t>
      </w:r>
    </w:p>
    <w:p>
      <w:pPr>
        <w:pStyle w:val="BookText"/>
      </w:pPr>
      <w:r>
        <w:rPr>
          <w:rFonts w:ascii="IRNazanin" w:hAnsi="IRNazanin" w:eastAsia="IRNazanin" w:cs="IRNazanin"/>
          <w:lang w:bidi="fa-IR"/>
          <w:color w:val="111111"/>
          <w:sz w:val="28"/>
          <w:szCs w:val="28"/>
          <w:rtl/>
        </w:rPr>
        <w:t xml:space="preserve">17 .الشعور بالعور، ج 10، ص 371.</w:t>
      </w:r>
    </w:p>
    <w:p>
      <w:pPr>
        <w:pStyle w:val="BookText"/>
      </w:pPr>
      <w:r>
        <w:rPr>
          <w:rFonts w:ascii="Amiri" w:hAnsi="Amiri" w:eastAsia="Amiri" w:cs="Amiri"/>
          <w:lang w:bidi="ar-SA"/>
          <w:color w:val="111111"/>
          <w:sz w:val="28"/>
          <w:szCs w:val="28"/>
          <w:rtl/>
        </w:rPr>
        <w:t xml:space="preserve">18 .صوف العين عن صرف العين في وصف العين، ج 10، ص 663 .</w:t>
      </w:r>
    </w:p>
    <w:p>
      <w:pPr>
        <w:pStyle w:val="BookText"/>
      </w:pPr>
      <w:r>
        <w:rPr>
          <w:rFonts w:ascii="Amiri" w:hAnsi="Amiri" w:eastAsia="Amiri" w:cs="Amiri"/>
          <w:lang w:bidi="ar-SA"/>
          <w:color w:val="111111"/>
          <w:sz w:val="28"/>
          <w:szCs w:val="28"/>
          <w:rtl/>
        </w:rPr>
        <w:t xml:space="preserve">19 .الغيث الذي انسجم في شرح اللامية العجم = شرح لامية العجم = شرح صفدي، ج 11، ص 555.</w:t>
      </w:r>
    </w:p>
    <w:p>
      <w:pPr>
        <w:pStyle w:val="BookText"/>
      </w:pPr>
      <w:r>
        <w:rPr>
          <w:rFonts w:ascii="Amiri" w:hAnsi="Amiri" w:eastAsia="Amiri" w:cs="Amiri"/>
          <w:lang w:bidi="ar-SA"/>
          <w:color w:val="111111"/>
          <w:sz w:val="28"/>
          <w:szCs w:val="28"/>
          <w:rtl/>
        </w:rPr>
        <w:t xml:space="preserve">20 .كشف الحال في وصف الخال،</w:t>
      </w:r>
    </w:p>
    <w:p>
      <w:pPr>
        <w:pStyle w:val="BookText"/>
      </w:pPr>
      <w:r>
        <w:rPr>
          <w:rFonts w:ascii="IRNazanin" w:hAnsi="IRNazanin" w:eastAsia="IRNazanin" w:cs="IRNazanin"/>
          <w:lang w:bidi="fa-IR"/>
          <w:color w:val="111111"/>
          <w:sz w:val="28"/>
          <w:szCs w:val="28"/>
          <w:rtl/>
        </w:rPr>
        <w:t xml:space="preserve">ج 13، ص 200.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لذة السمع في انسكاب الدمع</w:t>
      </w:r>
    </w:p>
    <w:p>
      <w:pPr>
        <w:pStyle w:val="BookText"/>
      </w:pPr>
      <w:r>
        <w:rPr>
          <w:rFonts w:ascii="IRNazanin" w:hAnsi="IRNazanin" w:eastAsia="IRNazanin" w:cs="IRNazanin"/>
          <w:lang w:bidi="fa-IR"/>
          <w:color w:val="111111"/>
          <w:sz w:val="28"/>
          <w:szCs w:val="28"/>
          <w:rtl/>
        </w:rPr>
        <w:t xml:space="preserve">ج 13، ص 566.</w:t>
      </w:r>
    </w:p>
    <w:p>
      <w:pPr>
        <w:pStyle w:val="BookText"/>
      </w:pPr>
      <w:r>
        <w:rPr>
          <w:rFonts w:ascii="Amiri" w:hAnsi="Amiri" w:eastAsia="Amiri" w:cs="Amiri"/>
          <w:lang w:bidi="ar-SA"/>
          <w:color w:val="111111"/>
          <w:sz w:val="28"/>
          <w:szCs w:val="28"/>
          <w:rtl/>
        </w:rPr>
        <w:t xml:space="preserve">22 .ملخص شرح لامية العجم = شرح لامية العجم (ملخص)، ج 15،</w:t>
      </w:r>
    </w:p>
    <w:p>
      <w:pPr>
        <w:pStyle w:val="BookText"/>
      </w:pPr>
      <w:r>
        <w:rPr>
          <w:rFonts w:ascii="IRNazanin" w:hAnsi="IRNazanin" w:eastAsia="IRNazanin" w:cs="IRNazanin"/>
          <w:lang w:bidi="fa-IR"/>
          <w:color w:val="111111"/>
          <w:sz w:val="28"/>
          <w:szCs w:val="28"/>
          <w:rtl/>
        </w:rPr>
        <w:t xml:space="preserve">ص 458 .</w:t>
      </w:r>
    </w:p>
    <w:p>
      <w:pPr>
        <w:pStyle w:val="BookText"/>
      </w:pPr>
      <w:r>
        <w:rPr>
          <w:rFonts w:ascii="Amiri" w:hAnsi="Amiri" w:eastAsia="Amiri" w:cs="Amiri"/>
          <w:lang w:bidi="ar-SA"/>
          <w:color w:val="111111"/>
          <w:sz w:val="28"/>
          <w:szCs w:val="28"/>
          <w:rtl/>
        </w:rPr>
        <w:t xml:space="preserve">23 .نصرة الثائر على المثل السائر</w:t>
      </w:r>
    </w:p>
    <w:p>
      <w:pPr>
        <w:pStyle w:val="BookText"/>
      </w:pPr>
      <w:r>
        <w:rPr>
          <w:rFonts w:ascii="IRNazanin" w:hAnsi="IRNazanin" w:eastAsia="IRNazanin" w:cs="IRNazanin"/>
          <w:lang w:bidi="fa-IR"/>
          <w:color w:val="111111"/>
          <w:sz w:val="28"/>
          <w:szCs w:val="28"/>
          <w:rtl/>
        </w:rPr>
        <w:t xml:space="preserve">ج 16، ص 304.</w:t>
      </w:r>
    </w:p>
    <w:p>
      <w:pPr>
        <w:pStyle w:val="BookText"/>
      </w:pPr>
      <w:r>
        <w:rPr>
          <w:rFonts w:ascii="Amiri" w:hAnsi="Amiri" w:eastAsia="Amiri" w:cs="Amiri"/>
          <w:lang w:bidi="ar-SA"/>
          <w:color w:val="111111"/>
          <w:sz w:val="28"/>
          <w:szCs w:val="28"/>
          <w:rtl/>
        </w:rPr>
        <w:t xml:space="preserve">24 .نكت الهميان في نكت العميان</w:t>
      </w:r>
    </w:p>
    <w:p>
      <w:pPr>
        <w:pStyle w:val="BookText"/>
      </w:pPr>
      <w:r>
        <w:rPr>
          <w:rFonts w:ascii="IRNazanin" w:hAnsi="IRNazanin" w:eastAsia="IRNazanin" w:cs="IRNazanin"/>
          <w:lang w:bidi="fa-IR"/>
          <w:color w:val="111111"/>
          <w:sz w:val="28"/>
          <w:szCs w:val="28"/>
          <w:rtl/>
        </w:rPr>
        <w:t xml:space="preserve">ج 16، ص 472 .</w:t>
      </w:r>
    </w:p>
    <w:p>
      <w:pPr>
        <w:pStyle w:val="BookText"/>
      </w:pPr>
      <w:r>
        <w:rPr>
          <w:rFonts w:ascii="Amiri" w:hAnsi="Amiri" w:eastAsia="Amiri" w:cs="Amiri"/>
          <w:lang w:bidi="ar-SA"/>
          <w:color w:val="111111"/>
          <w:sz w:val="28"/>
          <w:szCs w:val="28"/>
          <w:rtl/>
        </w:rPr>
        <w:t xml:space="preserve">25 .الوافي بالوفيات، ج 16 ، ص 700 .</w:t>
      </w:r>
    </w:p>
    <w:p>
      <w:pPr>
        <w:pStyle w:val="BookText"/>
      </w:pPr>
      <w:r>
        <w:rPr>
          <w:rFonts w:ascii="Amiri" w:hAnsi="Amiri" w:eastAsia="Amiri" w:cs="Amiri"/>
          <w:lang w:bidi="ar-SA"/>
          <w:color w:val="111111"/>
          <w:sz w:val="28"/>
          <w:szCs w:val="28"/>
          <w:rtl/>
        </w:rPr>
        <w:t xml:space="preserve">صفدي ، عبد القادر بن حبيب -صفدي ،</w:t>
      </w:r>
    </w:p>
    <w:p>
      <w:pPr>
        <w:pStyle w:val="BookText"/>
      </w:pPr>
      <w:r>
        <w:rPr>
          <w:rFonts w:ascii="IRNazanin" w:hAnsi="IRNazanin" w:eastAsia="IRNazanin" w:cs="IRNazanin"/>
          <w:lang w:bidi="fa-IR"/>
          <w:color w:val="111111"/>
          <w:sz w:val="28"/>
          <w:szCs w:val="28"/>
          <w:rtl/>
        </w:rPr>
        <w:t xml:space="preserve">عبد القادر بن محمّد</w:t>
      </w:r>
    </w:p>
    <w:p>
      <w:pPr>
        <w:pStyle w:val="BookText"/>
      </w:pPr>
      <w:r>
        <w:rPr>
          <w:rFonts w:ascii="Amiri" w:hAnsi="Amiri" w:eastAsia="Amiri" w:cs="Amiri"/>
          <w:lang w:bidi="ar-SA"/>
          <w:color w:val="111111"/>
          <w:sz w:val="28"/>
          <w:szCs w:val="28"/>
          <w:rtl/>
        </w:rPr>
        <w:t xml:space="preserve">صفدي ، عبد القادر بن عمر -صفدي ،</w:t>
      </w:r>
    </w:p>
    <w:p>
      <w:pPr>
        <w:pStyle w:val="BookText"/>
      </w:pPr>
      <w:r>
        <w:rPr>
          <w:rFonts w:ascii="IRNazanin" w:hAnsi="IRNazanin" w:eastAsia="IRNazanin" w:cs="IRNazanin"/>
          <w:lang w:bidi="fa-IR"/>
          <w:color w:val="111111"/>
          <w:sz w:val="28"/>
          <w:szCs w:val="28"/>
          <w:rtl/>
        </w:rPr>
        <w:t xml:space="preserve">عبد القادر بن محمّد</w:t>
      </w:r>
    </w:p>
    <w:p>
      <w:pPr>
        <w:pStyle w:val="Heading2"/>
      </w:pPr>
      <w:bookmarkStart w:id="5449" w:name="_Toc4551"/>
      <w:r>
        <w:t>صفدي ، عبد القادر بن محمّد - 915 ه-</w:t>
      </w:r>
      <w:bookmarkEnd w:id="5449"/>
    </w:p>
    <w:p>
      <w:pPr>
        <w:pStyle w:val="BookText"/>
      </w:pPr>
      <w:r>
        <w:rPr>
          <w:rFonts w:ascii="Amiri" w:hAnsi="Amiri" w:eastAsia="Amiri" w:cs="Amiri"/>
          <w:lang w:bidi="ar-SA"/>
          <w:color w:val="111111"/>
          <w:sz w:val="28"/>
          <w:szCs w:val="28"/>
          <w:rtl/>
        </w:rPr>
        <w:t xml:space="preserve">1 .سلك التوفيق لسواء الطريق، ج8،</w:t>
      </w:r>
    </w:p>
    <w:p>
      <w:pPr>
        <w:pStyle w:val="BookText"/>
      </w:pPr>
      <w:r>
        <w:rPr>
          <w:rFonts w:ascii="IRNazanin" w:hAnsi="IRNazanin" w:eastAsia="IRNazanin" w:cs="IRNazanin"/>
          <w:lang w:bidi="fa-IR"/>
          <w:color w:val="111111"/>
          <w:sz w:val="28"/>
          <w:szCs w:val="28"/>
          <w:rtl/>
        </w:rPr>
        <w:t xml:space="preserve">ص 809.</w:t>
      </w:r>
    </w:p>
    <w:p>
      <w:pPr>
        <w:pStyle w:val="BookText"/>
      </w:pPr>
      <w:r>
        <w:rPr>
          <w:rFonts w:ascii="Amiri" w:hAnsi="Amiri" w:eastAsia="Amiri" w:cs="Amiri"/>
          <w:lang w:bidi="ar-SA"/>
          <w:color w:val="111111"/>
          <w:sz w:val="28"/>
          <w:szCs w:val="28"/>
          <w:rtl/>
        </w:rPr>
        <w:t xml:space="preserve">2 .سلك العين لاذهاب الغين، ج8،</w:t>
      </w:r>
    </w:p>
    <w:p>
      <w:pPr>
        <w:pStyle w:val="BookText"/>
      </w:pPr>
      <w:r>
        <w:rPr>
          <w:rFonts w:ascii="IRNazanin" w:hAnsi="IRNazanin" w:eastAsia="IRNazanin" w:cs="IRNazanin"/>
          <w:lang w:bidi="fa-IR"/>
          <w:color w:val="111111"/>
          <w:sz w:val="28"/>
          <w:szCs w:val="28"/>
          <w:rtl/>
        </w:rPr>
        <w:t xml:space="preserve">ص 811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الموسيقي، ج 16، ص 15.</w:t>
      </w:r>
    </w:p>
    <w:p>
      <w:pPr>
        <w:pStyle w:val="Heading2"/>
      </w:pPr>
      <w:bookmarkStart w:id="5450" w:name="_Toc4552"/>
      <w:r>
        <w:t>صفدي عدوي ، خضر</w:t>
      </w:r>
      <w:bookmarkEnd w:id="5450"/>
    </w:p>
    <w:p>
      <w:pPr>
        <w:pStyle w:val="BookText"/>
      </w:pPr>
      <w:r>
        <w:rPr>
          <w:rFonts w:ascii="Amiri" w:hAnsi="Amiri" w:eastAsia="Amiri" w:cs="Amiri"/>
          <w:lang w:bidi="ar-SA"/>
          <w:color w:val="111111"/>
          <w:sz w:val="28"/>
          <w:szCs w:val="28"/>
          <w:rtl/>
        </w:rPr>
        <w:t xml:space="preserve">حاشية الشريف العدوي على الرسالة</w:t>
      </w:r>
    </w:p>
    <w:p>
      <w:pPr>
        <w:pStyle w:val="BookText"/>
      </w:pPr>
      <w:r>
        <w:rPr>
          <w:rFonts w:ascii="Amiri" w:hAnsi="Amiri" w:eastAsia="Amiri" w:cs="Amiri"/>
          <w:lang w:bidi="ar-SA"/>
          <w:color w:val="111111"/>
          <w:sz w:val="28"/>
          <w:szCs w:val="28"/>
          <w:rtl/>
        </w:rPr>
        <w:t xml:space="preserve">السمرقندية، ج 6 ، ص 217.</w:t>
      </w:r>
    </w:p>
    <w:p>
      <w:pPr>
        <w:pStyle w:val="Heading2"/>
      </w:pPr>
      <w:bookmarkStart w:id="5451" w:name="_Toc4553"/>
      <w:r>
        <w:t>صفدي ، علي بن حبيب</w:t>
      </w:r>
      <w:bookmarkEnd w:id="5451"/>
    </w:p>
    <w:p>
      <w:pPr>
        <w:pStyle w:val="BookText"/>
      </w:pPr>
      <w:r>
        <w:rPr>
          <w:rFonts w:ascii="Amiri" w:hAnsi="Amiri" w:eastAsia="Amiri" w:cs="Amiri"/>
          <w:lang w:bidi="ar-SA"/>
          <w:color w:val="111111"/>
          <w:sz w:val="28"/>
          <w:szCs w:val="28"/>
          <w:rtl/>
        </w:rPr>
        <w:t xml:space="preserve">القصيدة الثانية، ج 12، ص 663 .</w:t>
      </w:r>
    </w:p>
    <w:p>
      <w:pPr>
        <w:pStyle w:val="BookText"/>
      </w:pPr>
      <w:r>
        <w:rPr>
          <w:rFonts w:ascii="Amiri" w:hAnsi="Amiri" w:eastAsia="Amiri" w:cs="Amiri"/>
          <w:lang w:bidi="ar-SA"/>
          <w:color w:val="111111"/>
          <w:sz w:val="28"/>
          <w:szCs w:val="28"/>
          <w:rtl/>
        </w:rPr>
        <w:t xml:space="preserve">صفدي ، فاضل بن علي زيداني صفدي ،</w:t>
      </w:r>
    </w:p>
    <w:p>
      <w:pPr>
        <w:pStyle w:val="BookText"/>
      </w:pPr>
      <w:r>
        <w:rPr>
          <w:rFonts w:ascii="Amiri" w:hAnsi="Amiri" w:eastAsia="Amiri" w:cs="Amiri"/>
          <w:lang w:bidi="ar-SA"/>
          <w:color w:val="111111"/>
          <w:sz w:val="28"/>
          <w:szCs w:val="28"/>
          <w:rtl/>
        </w:rPr>
        <w:t xml:space="preserve">فاضل بن علي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75" w:name="pg7742_70668"/>
    <w:bookmarkEnd w:id="675"/>
    <w:p>
      <w:pPr>
        <w:pStyle w:val="BookText"/>
      </w:pPr>
      <w:r>
        <w:rPr>
          <w:rFonts w:ascii="Amiri" w:hAnsi="Amiri" w:eastAsia="Amiri" w:cs="Amiri"/>
          <w:lang w:bidi="ar-SA"/>
          <w:color w:val="111111"/>
          <w:sz w:val="28"/>
          <w:szCs w:val="28"/>
          <w:rtl/>
        </w:rPr>
        <w:t xml:space="preserve">صفدي، محمّد بن ابي بكر- ابن ديري ،</w:t>
      </w:r>
    </w:p>
    <w:p>
      <w:pPr>
        <w:pStyle w:val="BookText"/>
      </w:pPr>
      <w:r>
        <w:rPr>
          <w:rFonts w:ascii="Amiri" w:hAnsi="Amiri" w:eastAsia="Amiri" w:cs="Amiri"/>
          <w:lang w:bidi="ar-SA"/>
          <w:color w:val="111111"/>
          <w:sz w:val="28"/>
          <w:szCs w:val="28"/>
          <w:rtl/>
        </w:rPr>
        <w:t xml:space="preserve">محمّد بن ابي بكر</w:t>
      </w:r>
    </w:p>
    <w:p>
      <w:pPr>
        <w:pStyle w:val="BookText"/>
      </w:pPr>
      <w:r>
        <w:rPr>
          <w:rFonts w:ascii="Amiri" w:hAnsi="Amiri" w:eastAsia="Amiri" w:cs="Amiri"/>
          <w:lang w:bidi="ar-SA"/>
          <w:color w:val="111111"/>
          <w:sz w:val="28"/>
          <w:szCs w:val="28"/>
          <w:rtl/>
        </w:rPr>
        <w:t xml:space="preserve">صفدي ، محمّد بن عبد الرحمن- قاضي</w:t>
      </w:r>
    </w:p>
    <w:p>
      <w:pPr>
        <w:pStyle w:val="BookText"/>
      </w:pPr>
      <w:r>
        <w:rPr>
          <w:rFonts w:ascii="Amiri" w:hAnsi="Amiri" w:eastAsia="Amiri" w:cs="Amiri"/>
          <w:lang w:bidi="ar-SA"/>
          <w:color w:val="111111"/>
          <w:sz w:val="28"/>
          <w:szCs w:val="28"/>
          <w:rtl/>
        </w:rPr>
        <w:t xml:space="preserve">صفدي، محمّد بن عبدالرحمن</w:t>
      </w:r>
    </w:p>
    <w:p>
      <w:pPr>
        <w:pStyle w:val="BookText"/>
      </w:pPr>
      <w:r>
        <w:rPr>
          <w:rFonts w:ascii="Amiri" w:hAnsi="Amiri" w:eastAsia="Amiri" w:cs="Amiri"/>
          <w:lang w:bidi="ar-SA"/>
          <w:color w:val="111111"/>
          <w:sz w:val="28"/>
          <w:szCs w:val="28"/>
          <w:rtl/>
        </w:rPr>
        <w:t xml:space="preserve">صفرائي ، محمّد بن احمد -صفراوي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5452" w:name="_Toc4554"/>
      <w:r>
        <w:t>صفراوي ، محمّد بن احمد</w:t>
      </w:r>
      <w:bookmarkEnd w:id="5452"/>
    </w:p>
    <w:p>
      <w:pPr>
        <w:pStyle w:val="BookText"/>
      </w:pPr>
      <w:r>
        <w:rPr>
          <w:rFonts w:ascii="Amiri" w:hAnsi="Amiri" w:eastAsia="Amiri" w:cs="Amiri"/>
          <w:lang w:bidi="ar-SA"/>
          <w:color w:val="111111"/>
          <w:sz w:val="28"/>
          <w:szCs w:val="28"/>
          <w:rtl/>
        </w:rPr>
        <w:t xml:space="preserve">من كتاب التعرض، ج 15 ، ص 741.</w:t>
      </w:r>
    </w:p>
    <w:p>
      <w:pPr>
        <w:pStyle w:val="Heading2"/>
      </w:pPr>
      <w:bookmarkStart w:id="5453" w:name="_Toc4555"/>
      <w:r>
        <w:t>صفواني ، حسن بن محمّد</w:t>
      </w:r>
      <w:bookmarkEnd w:id="5453"/>
    </w:p>
    <w:p>
      <w:pPr>
        <w:pStyle w:val="BookText"/>
      </w:pPr>
      <w:r>
        <w:rPr>
          <w:rFonts w:ascii="IRNazanin" w:hAnsi="IRNazanin" w:eastAsia="IRNazanin" w:cs="IRNazanin"/>
          <w:lang w:bidi="fa-IR"/>
          <w:color w:val="111111"/>
          <w:sz w:val="28"/>
          <w:szCs w:val="28"/>
          <w:rtl/>
        </w:rPr>
        <w:t xml:space="preserve">بیان احادیث الموضوعة (رسالة في)،</w:t>
      </w:r>
    </w:p>
    <w:p>
      <w:pPr>
        <w:pStyle w:val="BookText"/>
      </w:pPr>
      <w:r>
        <w:rPr>
          <w:rFonts w:ascii="IRNazanin" w:hAnsi="IRNazanin" w:eastAsia="IRNazanin" w:cs="IRNazanin"/>
          <w:lang w:bidi="fa-IR"/>
          <w:color w:val="111111"/>
          <w:sz w:val="28"/>
          <w:szCs w:val="28"/>
          <w:rtl/>
        </w:rPr>
        <w:t xml:space="preserve">ج 3، ص 455 .</w:t>
      </w:r>
    </w:p>
    <w:p>
      <w:pPr>
        <w:pStyle w:val="Heading2"/>
      </w:pPr>
      <w:bookmarkStart w:id="5454" w:name="_Toc4556"/>
      <w:r>
        <w:t>صفواني ، محمّد بن احمد - 358 ه-</w:t>
      </w:r>
      <w:bookmarkEnd w:id="5454"/>
    </w:p>
    <w:p>
      <w:pPr>
        <w:pStyle w:val="BookText"/>
      </w:pPr>
      <w:r>
        <w:rPr>
          <w:rFonts w:ascii="Amiri" w:hAnsi="Amiri" w:eastAsia="Amiri" w:cs="Amiri"/>
          <w:lang w:bidi="ar-SA"/>
          <w:color w:val="111111"/>
          <w:sz w:val="28"/>
          <w:szCs w:val="28"/>
          <w:rtl/>
        </w:rPr>
        <w:t xml:space="preserve">التعريف، ج4، ص 467.</w:t>
      </w:r>
    </w:p>
    <w:p>
      <w:pPr>
        <w:pStyle w:val="BookText"/>
      </w:pPr>
      <w:r>
        <w:rPr>
          <w:rFonts w:ascii="Amiri" w:hAnsi="Amiri" w:eastAsia="Amiri" w:cs="Amiri"/>
          <w:lang w:bidi="ar-SA"/>
          <w:color w:val="111111"/>
          <w:sz w:val="28"/>
          <w:szCs w:val="28"/>
          <w:rtl/>
        </w:rPr>
        <w:t xml:space="preserve">صفوة المستجيبين ، اسماعيل بن محمّد- تميمي، اسماعيل بن محمّد</w:t>
      </w:r>
    </w:p>
    <w:p>
      <w:pPr>
        <w:pStyle w:val="BookText"/>
      </w:pPr>
      <w:r>
        <w:rPr>
          <w:rFonts w:ascii="Amiri" w:hAnsi="Amiri" w:eastAsia="Amiri" w:cs="Amiri"/>
          <w:lang w:bidi="ar-SA"/>
          <w:color w:val="111111"/>
          <w:sz w:val="28"/>
          <w:szCs w:val="28"/>
          <w:rtl/>
        </w:rPr>
        <w:t xml:space="preserve">صفوري ، حسن بن محمّد -بوريني ،</w:t>
      </w:r>
    </w:p>
    <w:p>
      <w:pPr>
        <w:pStyle w:val="BookText"/>
      </w:pPr>
      <w:r>
        <w:rPr>
          <w:rFonts w:ascii="Amiri" w:hAnsi="Amiri" w:eastAsia="Amiri" w:cs="Amiri"/>
          <w:lang w:bidi="ar-SA"/>
          <w:color w:val="111111"/>
          <w:sz w:val="28"/>
          <w:szCs w:val="28"/>
          <w:rtl/>
        </w:rPr>
        <w:t xml:space="preserve">حسن بن محمّد</w:t>
      </w:r>
    </w:p>
    <w:p>
      <w:pPr>
        <w:pStyle w:val="Heading2"/>
      </w:pPr>
      <w:bookmarkStart w:id="5455" w:name="_Toc4557"/>
      <w:r>
        <w:t>صفوري ، عبد الرحمن بن عبد السلام</w:t>
      </w:r>
      <w:bookmarkEnd w:id="5455"/>
    </w:p>
    <w:p>
      <w:pPr>
        <w:pStyle w:val="BookText"/>
      </w:pPr>
      <w:r>
        <w:rPr>
          <w:rFonts w:ascii="IRNazanin" w:hAnsi="IRNazanin" w:eastAsia="IRNazanin" w:cs="IRNazanin"/>
          <w:lang w:bidi="fa-IR"/>
          <w:color w:val="111111"/>
          <w:sz w:val="28"/>
          <w:szCs w:val="28"/>
          <w:rtl/>
        </w:rPr>
        <w:t xml:space="preserve">894 ه-</w:t>
      </w:r>
    </w:p>
    <w:p>
      <w:pPr>
        <w:pStyle w:val="BookText"/>
      </w:pPr>
      <w:r>
        <w:rPr>
          <w:rFonts w:ascii="Amiri" w:hAnsi="Amiri" w:eastAsia="Amiri" w:cs="Amiri"/>
          <w:lang w:bidi="ar-SA"/>
          <w:color w:val="111111"/>
          <w:sz w:val="28"/>
          <w:szCs w:val="28"/>
          <w:rtl/>
        </w:rPr>
        <w:t xml:space="preserve">1 .الابتهاج بذكر الاسراء والمعراج</w:t>
      </w:r>
    </w:p>
    <w:p>
      <w:pPr>
        <w:pStyle w:val="BookText"/>
      </w:pPr>
      <w:r>
        <w:rPr>
          <w:rFonts w:ascii="IRNazanin" w:hAnsi="IRNazanin" w:eastAsia="IRNazanin" w:cs="IRNazanin"/>
          <w:lang w:bidi="fa-IR"/>
          <w:color w:val="111111"/>
          <w:sz w:val="28"/>
          <w:szCs w:val="28"/>
          <w:rtl/>
        </w:rPr>
        <w:t xml:space="preserve">ج 1،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صلاح الأرواح و الهادي إلى دار</w:t>
      </w:r>
    </w:p>
    <w:p>
      <w:pPr>
        <w:pStyle w:val="BookText"/>
      </w:pPr>
      <w:r>
        <w:rPr>
          <w:rFonts w:ascii="IRNazanin" w:hAnsi="IRNazanin" w:eastAsia="IRNazanin" w:cs="IRNazanin"/>
          <w:lang w:bidi="fa-IR"/>
          <w:color w:val="111111"/>
          <w:sz w:val="28"/>
          <w:szCs w:val="28"/>
          <w:rtl/>
        </w:rPr>
        <w:t xml:space="preserve">الفلاح، ج 10، ص 620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المحاسن المجتمعة في الخلفاء</w:t>
      </w:r>
    </w:p>
    <w:p>
      <w:pPr>
        <w:pStyle w:val="BookText"/>
      </w:pPr>
      <w:r>
        <w:rPr>
          <w:rFonts w:ascii="Amiri" w:hAnsi="Amiri" w:eastAsia="Amiri" w:cs="Amiri"/>
          <w:lang w:bidi="ar-SA"/>
          <w:color w:val="111111"/>
          <w:sz w:val="28"/>
          <w:szCs w:val="28"/>
          <w:rtl/>
        </w:rPr>
        <w:t xml:space="preserve">الاربعة، ج 14، ص 96 .</w:t>
      </w:r>
    </w:p>
    <w:p>
      <w:pPr>
        <w:pStyle w:val="BookText"/>
      </w:pPr>
      <w:r>
        <w:rPr>
          <w:rFonts w:ascii="Amiri" w:hAnsi="Amiri" w:eastAsia="Amiri" w:cs="Amiri"/>
          <w:lang w:bidi="ar-SA"/>
          <w:color w:val="111111"/>
          <w:sz w:val="28"/>
          <w:szCs w:val="28"/>
          <w:rtl/>
        </w:rPr>
        <w:t xml:space="preserve">4 .نزهة المجالس، ج 16، ص 243.</w:t>
      </w:r>
    </w:p>
    <w:p>
      <w:pPr>
        <w:pStyle w:val="Heading2"/>
      </w:pPr>
      <w:bookmarkStart w:id="5456" w:name="_Toc4558"/>
      <w:r>
        <w:t>صفوري ، عبدالقادر بن مصطفى</w:t>
      </w:r>
      <w:bookmarkEnd w:id="5456"/>
    </w:p>
    <w:p>
      <w:pPr>
        <w:pStyle w:val="BookText"/>
      </w:pPr>
      <w:r>
        <w:rPr>
          <w:rFonts w:ascii="IRNazanin" w:hAnsi="IRNazanin" w:eastAsia="IRNazanin" w:cs="IRNazanin"/>
          <w:lang w:bidi="fa-IR"/>
          <w:color w:val="111111"/>
          <w:sz w:val="28"/>
          <w:szCs w:val="28"/>
          <w:rtl/>
        </w:rPr>
        <w:t xml:space="preserve">1081ه-</w:t>
      </w:r>
    </w:p>
    <w:p>
      <w:pPr>
        <w:pStyle w:val="BookText"/>
      </w:pPr>
      <w:r>
        <w:rPr>
          <w:rFonts w:ascii="Amiri" w:hAnsi="Amiri" w:eastAsia="Amiri" w:cs="Amiri"/>
          <w:lang w:bidi="ar-SA"/>
          <w:color w:val="111111"/>
          <w:sz w:val="28"/>
          <w:szCs w:val="28"/>
          <w:rtl/>
        </w:rPr>
        <w:t xml:space="preserve">إجازة للشيخ محمّد الدكدكجي، ج 1،</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Amiri" w:hAnsi="Amiri" w:eastAsia="Amiri" w:cs="Amiri"/>
          <w:lang w:bidi="ar-SA"/>
          <w:color w:val="111111"/>
          <w:sz w:val="28"/>
          <w:szCs w:val="28"/>
          <w:rtl/>
        </w:rPr>
        <w:t xml:space="preserve">صفوي ، ابراهيم بن حيدر -كردي حسين</w:t>
      </w:r>
    </w:p>
    <w:p>
      <w:pPr>
        <w:pStyle w:val="BookText"/>
      </w:pPr>
      <w:r>
        <w:rPr>
          <w:rFonts w:ascii="Amiri" w:hAnsi="Amiri" w:eastAsia="Amiri" w:cs="Amiri"/>
          <w:lang w:bidi="ar-SA"/>
          <w:color w:val="111111"/>
          <w:sz w:val="28"/>
          <w:szCs w:val="28"/>
          <w:rtl/>
        </w:rPr>
        <w:t xml:space="preserve">آبادي ، ابراهيم بن حيدر</w:t>
      </w:r>
    </w:p>
    <w:p>
      <w:pPr>
        <w:pStyle w:val="Heading2"/>
      </w:pPr>
      <w:bookmarkStart w:id="5457" w:name="_Toc4559"/>
      <w:r>
        <w:t>صفوي ، جعفر بن سلمان</w:t>
      </w:r>
      <w:bookmarkEnd w:id="5457"/>
    </w:p>
    <w:p>
      <w:pPr>
        <w:pStyle w:val="BookText"/>
      </w:pPr>
      <w:r>
        <w:rPr>
          <w:rFonts w:ascii="Amiri" w:hAnsi="Amiri" w:eastAsia="Amiri" w:cs="Amiri"/>
          <w:lang w:bidi="ar-SA"/>
          <w:color w:val="111111"/>
          <w:sz w:val="28"/>
          <w:szCs w:val="28"/>
          <w:rtl/>
        </w:rPr>
        <w:t xml:space="preserve">بيان الانساب، ج 3، ص 462.</w:t>
      </w:r>
    </w:p>
    <w:p>
      <w:pPr>
        <w:pStyle w:val="BookText"/>
      </w:pPr>
      <w:r>
        <w:rPr>
          <w:rFonts w:ascii="Amiri" w:hAnsi="Amiri" w:eastAsia="Amiri" w:cs="Amiri"/>
          <w:lang w:bidi="ar-SA"/>
          <w:color w:val="111111"/>
          <w:sz w:val="28"/>
          <w:szCs w:val="28"/>
          <w:rtl/>
        </w:rPr>
        <w:t xml:space="preserve">صفوي حسين آبادي ، ابراهيم -كردي</w:t>
      </w:r>
    </w:p>
    <w:p>
      <w:pPr>
        <w:pStyle w:val="BookText"/>
      </w:pPr>
      <w:r>
        <w:rPr>
          <w:rFonts w:ascii="Amiri" w:hAnsi="Amiri" w:eastAsia="Amiri" w:cs="Amiri"/>
          <w:lang w:bidi="ar-SA"/>
          <w:color w:val="111111"/>
          <w:sz w:val="28"/>
          <w:szCs w:val="28"/>
          <w:rtl/>
        </w:rPr>
        <w:t xml:space="preserve">حسين آبادي ، ابراهيم بن حيدر</w:t>
      </w:r>
    </w:p>
    <w:p>
      <w:pPr>
        <w:pStyle w:val="Heading2"/>
      </w:pPr>
      <w:bookmarkStart w:id="5458" w:name="_Toc4560"/>
      <w:r>
        <w:t>صفوي ، شهاب الدين عمر قرن 14 ه-</w:t>
      </w:r>
      <w:bookmarkEnd w:id="5458"/>
    </w:p>
    <w:p>
      <w:pPr>
        <w:pStyle w:val="BookText"/>
      </w:pPr>
      <w:r>
        <w:rPr>
          <w:rFonts w:ascii="Amiri" w:hAnsi="Amiri" w:eastAsia="Amiri" w:cs="Amiri"/>
          <w:lang w:bidi="ar-SA"/>
          <w:color w:val="111111"/>
          <w:sz w:val="28"/>
          <w:szCs w:val="28"/>
          <w:rtl/>
        </w:rPr>
        <w:t xml:space="preserve">الشجرة الحيدرية الصفوية، ج9،</w:t>
      </w:r>
    </w:p>
    <w:p>
      <w:pPr>
        <w:pStyle w:val="BookText"/>
      </w:pPr>
      <w:r>
        <w:rPr>
          <w:rFonts w:ascii="IRNazanin" w:hAnsi="IRNazanin" w:eastAsia="IRNazanin" w:cs="IRNazanin"/>
          <w:lang w:bidi="fa-IR"/>
          <w:color w:val="111111"/>
          <w:sz w:val="28"/>
          <w:szCs w:val="28"/>
          <w:rtl/>
        </w:rPr>
        <w:t xml:space="preserve">ص 76 .</w:t>
      </w:r>
    </w:p>
    <w:p>
      <w:pPr>
        <w:pStyle w:val="BookText"/>
      </w:pPr>
      <w:r>
        <w:rPr>
          <w:rFonts w:ascii="Amiri" w:hAnsi="Amiri" w:eastAsia="Amiri" w:cs="Amiri"/>
          <w:lang w:bidi="ar-SA"/>
          <w:color w:val="111111"/>
          <w:sz w:val="28"/>
          <w:szCs w:val="28"/>
          <w:rtl/>
        </w:rPr>
        <w:t xml:space="preserve">صفوي ، طهماسب اول - طهماسب صفوي</w:t>
      </w:r>
    </w:p>
    <w:p>
      <w:pPr>
        <w:pStyle w:val="BookText"/>
      </w:pPr>
      <w:r>
        <w:rPr>
          <w:rFonts w:ascii="IRNazanin" w:hAnsi="IRNazanin" w:eastAsia="IRNazanin" w:cs="IRNazanin"/>
          <w:lang w:bidi="fa-IR"/>
          <w:color w:val="111111"/>
          <w:sz w:val="28"/>
          <w:szCs w:val="28"/>
          <w:rtl/>
        </w:rPr>
        <w:t xml:space="preserve">اوّل ، شاه ایران</w:t>
      </w:r>
    </w:p>
    <w:p>
      <w:pPr>
        <w:pStyle w:val="BookText"/>
      </w:pPr>
      <w:r>
        <w:rPr>
          <w:rFonts w:ascii="Amiri" w:hAnsi="Amiri" w:eastAsia="Amiri" w:cs="Amiri"/>
          <w:lang w:bidi="ar-SA"/>
          <w:color w:val="111111"/>
          <w:sz w:val="28"/>
          <w:szCs w:val="28"/>
          <w:rtl/>
        </w:rPr>
        <w:t xml:space="preserve">صفوي عراقي مقدسي ، محمّد بن ابي</w:t>
      </w:r>
    </w:p>
    <w:p>
      <w:pPr>
        <w:pStyle w:val="BookText"/>
      </w:pPr>
      <w:r>
        <w:rPr>
          <w:rFonts w:ascii="Amiri" w:hAnsi="Amiri" w:eastAsia="Amiri" w:cs="Amiri"/>
          <w:lang w:bidi="ar-SA"/>
          <w:color w:val="111111"/>
          <w:sz w:val="28"/>
          <w:szCs w:val="28"/>
          <w:rtl/>
        </w:rPr>
        <w:t xml:space="preserve">اللطف -صفوي ، محمد بن ابراهيم</w:t>
      </w:r>
    </w:p>
    <w:p>
      <w:pPr>
        <w:pStyle w:val="BookText"/>
      </w:pPr>
      <w:r>
        <w:rPr>
          <w:rFonts w:ascii="Amiri" w:hAnsi="Amiri" w:eastAsia="Amiri" w:cs="Amiri"/>
          <w:lang w:bidi="ar-SA"/>
          <w:color w:val="111111"/>
          <w:sz w:val="28"/>
          <w:szCs w:val="28"/>
          <w:rtl/>
        </w:rPr>
        <w:t xml:space="preserve">صفوي -علوي صفوي ، جعفر بن سلمان</w:t>
      </w:r>
    </w:p>
    <w:p>
      <w:pPr>
        <w:pStyle w:val="BookText"/>
      </w:pPr>
      <w:r>
        <w:rPr>
          <w:rFonts w:ascii="Amiri" w:hAnsi="Amiri" w:eastAsia="Amiri" w:cs="Amiri"/>
          <w:lang w:bidi="ar-SA"/>
          <w:color w:val="111111"/>
          <w:sz w:val="28"/>
          <w:szCs w:val="28"/>
          <w:rtl/>
        </w:rPr>
        <w:t xml:space="preserve">صفوي ، عمر -صفوي ، شهاب الدين عمر</w:t>
      </w:r>
    </w:p>
    <w:p>
      <w:pPr>
        <w:pStyle w:val="Heading2"/>
      </w:pPr>
      <w:bookmarkStart w:id="5459" w:name="_Toc4561"/>
      <w:r>
        <w:t>صفوي، عيسى بن محمّد، 900 - 953 953 ه-</w:t>
      </w:r>
      <w:bookmarkEnd w:id="5459"/>
    </w:p>
    <w:p>
      <w:pPr>
        <w:pStyle w:val="BookText"/>
      </w:pPr>
      <w:r>
        <w:rPr>
          <w:rFonts w:ascii="Amiri" w:hAnsi="Amiri" w:eastAsia="Amiri" w:cs="Amiri"/>
          <w:lang w:bidi="ar-SA"/>
          <w:color w:val="111111"/>
          <w:sz w:val="28"/>
          <w:szCs w:val="28"/>
          <w:rtl/>
        </w:rPr>
        <w:t xml:space="preserve">شرح الغرة في المنطق، ج9، ص 769.</w:t>
      </w:r>
    </w:p>
    <w:p>
      <w:pPr>
        <w:pStyle w:val="Heading2"/>
      </w:pPr>
      <w:bookmarkStart w:id="5460" w:name="_Toc4562"/>
      <w:r>
        <w:t>صفوي ، محمّد بن ابراهيم - 927</w:t>
      </w:r>
      <w:bookmarkEnd w:id="5460"/>
    </w:p>
    <w:p>
      <w:pPr>
        <w:pStyle w:val="BookText"/>
      </w:pPr>
      <w:r>
        <w:rPr>
          <w:rFonts w:ascii="Amiri" w:hAnsi="Amiri" w:eastAsia="Amiri" w:cs="Amiri"/>
          <w:lang w:bidi="ar-SA"/>
          <w:color w:val="111111"/>
          <w:sz w:val="28"/>
          <w:szCs w:val="28"/>
          <w:rtl/>
        </w:rPr>
        <w:t xml:space="preserve">1 .عقد اللآلي في شرح بدء الامالي</w:t>
      </w:r>
    </w:p>
    <w:p>
      <w:pPr>
        <w:pStyle w:val="BookText"/>
      </w:pPr>
      <w:r>
        <w:rPr>
          <w:rFonts w:ascii="IRNazanin" w:hAnsi="IRNazanin" w:eastAsia="IRNazanin" w:cs="IRNazanin"/>
          <w:lang w:bidi="fa-IR"/>
          <w:color w:val="111111"/>
          <w:sz w:val="28"/>
          <w:szCs w:val="28"/>
          <w:rtl/>
        </w:rPr>
        <w:t xml:space="preserve">ج 11، ص 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المواهب اللدنية في شرح القواعد الشرعية لسالك الطريقة المحمّدية</w:t>
      </w:r>
    </w:p>
    <w:p>
      <w:pPr>
        <w:pStyle w:val="BookText"/>
      </w:pPr>
      <w:r>
        <w:rPr>
          <w:rFonts w:ascii="IRNazanin" w:hAnsi="IRNazanin" w:eastAsia="IRNazanin" w:cs="IRNazanin"/>
          <w:lang w:bidi="fa-IR"/>
          <w:color w:val="111111"/>
          <w:sz w:val="28"/>
          <w:szCs w:val="28"/>
          <w:rtl/>
        </w:rPr>
        <w:t xml:space="preserve">لابن ،عراق، ج 15، ص 896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76" w:name="pg7742_70669"/>
    <w:bookmarkEnd w:id="676"/>
    <w:p>
      <w:pPr>
        <w:pStyle w:val="BookText"/>
      </w:pPr>
      <w:r>
        <w:rPr>
          <w:rFonts w:ascii="Amiri" w:hAnsi="Amiri" w:eastAsia="Amiri" w:cs="Amiri"/>
          <w:lang w:bidi="ar-SA"/>
          <w:color w:val="111111"/>
          <w:sz w:val="28"/>
          <w:szCs w:val="28"/>
          <w:rtl/>
        </w:rPr>
        <w:t xml:space="preserve">صفوي، محمّد بن ابي اللطف -صفوي</w:t>
      </w:r>
    </w:p>
    <w:p>
      <w:pPr>
        <w:pStyle w:val="BookText"/>
      </w:pPr>
      <w:r>
        <w:rPr>
          <w:rFonts w:ascii="Amiri" w:hAnsi="Amiri" w:eastAsia="Amiri" w:cs="Amiri"/>
          <w:lang w:bidi="ar-SA"/>
          <w:color w:val="111111"/>
          <w:sz w:val="28"/>
          <w:szCs w:val="28"/>
          <w:rtl/>
        </w:rPr>
        <w:t xml:space="preserve">محمّد بن ابراهيم</w:t>
      </w:r>
    </w:p>
    <w:p>
      <w:pPr>
        <w:pStyle w:val="BookText"/>
      </w:pPr>
      <w:r>
        <w:rPr>
          <w:rFonts w:ascii="Amiri" w:hAnsi="Amiri" w:eastAsia="Amiri" w:cs="Amiri"/>
          <w:lang w:bidi="ar-SA"/>
          <w:color w:val="111111"/>
          <w:sz w:val="28"/>
          <w:szCs w:val="28"/>
          <w:rtl/>
        </w:rPr>
        <w:t xml:space="preserve">صفوي ، محمد بن عبدالرحمن- ايجي</w:t>
      </w:r>
    </w:p>
    <w:p>
      <w:pPr>
        <w:pStyle w:val="BookText"/>
      </w:pPr>
      <w:r>
        <w:rPr>
          <w:rFonts w:ascii="IRNazanin" w:hAnsi="IRNazanin" w:eastAsia="IRNazanin" w:cs="IRNazanin"/>
          <w:lang w:bidi="fa-IR"/>
          <w:color w:val="111111"/>
          <w:sz w:val="28"/>
          <w:szCs w:val="28"/>
          <w:rtl/>
        </w:rPr>
        <w:t xml:space="preserve">محمّد بن عبد الرحمن</w:t>
      </w:r>
    </w:p>
    <w:p>
      <w:pPr>
        <w:pStyle w:val="BookText"/>
      </w:pPr>
      <w:r>
        <w:rPr>
          <w:rFonts w:ascii="Amiri" w:hAnsi="Amiri" w:eastAsia="Amiri" w:cs="Amiri"/>
          <w:lang w:bidi="ar-SA"/>
          <w:color w:val="111111"/>
          <w:sz w:val="28"/>
          <w:szCs w:val="28"/>
          <w:rtl/>
        </w:rPr>
        <w:t xml:space="preserve">صفوي، مصطفى بن محمّد - قلعاوي</w:t>
      </w:r>
    </w:p>
    <w:p>
      <w:pPr>
        <w:pStyle w:val="BookText"/>
      </w:pPr>
      <w:r>
        <w:rPr>
          <w:rFonts w:ascii="IRNazanin" w:hAnsi="IRNazanin" w:eastAsia="IRNazanin" w:cs="IRNazanin"/>
          <w:lang w:bidi="fa-IR"/>
          <w:color w:val="111111"/>
          <w:sz w:val="28"/>
          <w:szCs w:val="28"/>
          <w:rtl/>
        </w:rPr>
        <w:t xml:space="preserve">مصطفى بن محمّد</w:t>
      </w:r>
    </w:p>
    <w:p>
      <w:pPr>
        <w:pStyle w:val="BookText"/>
      </w:pPr>
      <w:r>
        <w:rPr>
          <w:rFonts w:ascii="Amiri" w:hAnsi="Amiri" w:eastAsia="Amiri" w:cs="Amiri"/>
          <w:lang w:bidi="ar-SA"/>
          <w:color w:val="111111"/>
          <w:sz w:val="28"/>
          <w:szCs w:val="28"/>
          <w:rtl/>
        </w:rPr>
        <w:t xml:space="preserve">صفي آباده اي ، محمّد جعفر بن محمّد -آباده اي ، محمّد جعفر بن محمّد</w:t>
      </w:r>
    </w:p>
    <w:p>
      <w:pPr>
        <w:pStyle w:val="BookText"/>
      </w:pPr>
      <w:r>
        <w:rPr>
          <w:rFonts w:ascii="Amiri" w:hAnsi="Amiri" w:eastAsia="Amiri" w:cs="Amiri"/>
          <w:lang w:bidi="ar-SA"/>
          <w:color w:val="111111"/>
          <w:sz w:val="28"/>
          <w:szCs w:val="28"/>
          <w:rtl/>
        </w:rPr>
        <w:t xml:space="preserve">صفي</w:t>
      </w:r>
    </w:p>
    <w:p>
      <w:pPr>
        <w:pStyle w:val="Heading2"/>
      </w:pPr>
      <w:bookmarkStart w:id="5461" w:name="_Toc4563"/>
      <w:r>
        <w:t>صفي الدين اردبيلي ، اسحاق بن جبرئيل</w:t>
      </w:r>
      <w:bookmarkEnd w:id="5461"/>
    </w:p>
    <w:p>
      <w:pPr>
        <w:pStyle w:val="BookText"/>
      </w:pPr>
      <w:r>
        <w:rPr>
          <w:rFonts w:ascii="IRNazanin" w:hAnsi="IRNazanin" w:eastAsia="IRNazanin" w:cs="IRNazanin"/>
          <w:lang w:bidi="fa-IR"/>
          <w:color w:val="111111"/>
          <w:sz w:val="28"/>
          <w:szCs w:val="28"/>
          <w:rtl/>
        </w:rPr>
        <w:t xml:space="preserve">650 - 735 ه-</w:t>
      </w:r>
    </w:p>
    <w:p>
      <w:pPr>
        <w:pStyle w:val="BookText"/>
      </w:pPr>
      <w:r>
        <w:rPr>
          <w:rFonts w:ascii="IRNazanin" w:hAnsi="IRNazanin" w:eastAsia="IRNazanin" w:cs="IRNazanin"/>
          <w:lang w:bidi="fa-IR"/>
          <w:color w:val="111111"/>
          <w:sz w:val="28"/>
          <w:szCs w:val="28"/>
          <w:rtl/>
        </w:rPr>
        <w:t xml:space="preserve">شرح ابیات عرفانیه، ج 9، ص 148 .</w:t>
      </w:r>
    </w:p>
    <w:p>
      <w:pPr>
        <w:pStyle w:val="Heading2"/>
      </w:pPr>
      <w:bookmarkStart w:id="5462" w:name="_Toc4564"/>
      <w:r>
        <w:t>صفي الدين ارموي ، عبدالمؤمن بن</w:t>
      </w:r>
      <w:bookmarkEnd w:id="5462"/>
    </w:p>
    <w:p>
      <w:pPr>
        <w:pStyle w:val="BookText"/>
      </w:pPr>
      <w:r>
        <w:rPr>
          <w:rFonts w:ascii="Amiri" w:hAnsi="Amiri" w:eastAsia="Amiri" w:cs="Amiri"/>
          <w:lang w:bidi="ar-SA"/>
          <w:color w:val="111111"/>
          <w:sz w:val="28"/>
          <w:szCs w:val="28"/>
          <w:rtl/>
        </w:rPr>
        <w:t xml:space="preserve">يوسف، 2613 - 693 ه-</w:t>
      </w:r>
    </w:p>
    <w:p>
      <w:pPr>
        <w:pStyle w:val="BookText"/>
      </w:pPr>
      <w:r>
        <w:rPr>
          <w:rFonts w:ascii="Amiri" w:hAnsi="Amiri" w:eastAsia="Amiri" w:cs="Amiri"/>
          <w:lang w:bidi="ar-SA"/>
          <w:color w:val="111111"/>
          <w:sz w:val="28"/>
          <w:szCs w:val="28"/>
          <w:rtl/>
        </w:rPr>
        <w:t xml:space="preserve">1 .الادوار في معرفة النغم و الاوتار</w:t>
      </w:r>
    </w:p>
    <w:p>
      <w:pPr>
        <w:pStyle w:val="BookText"/>
      </w:pPr>
      <w:r>
        <w:rPr>
          <w:rFonts w:ascii="IRNazanin" w:hAnsi="IRNazanin" w:eastAsia="IRNazanin" w:cs="IRNazanin"/>
          <w:lang w:bidi="fa-IR"/>
          <w:color w:val="111111"/>
          <w:sz w:val="28"/>
          <w:szCs w:val="28"/>
          <w:rtl/>
        </w:rPr>
        <w:t xml:space="preserve">ج 1، ص 665 .</w:t>
      </w:r>
    </w:p>
    <w:p>
      <w:pPr>
        <w:pStyle w:val="BookText"/>
      </w:pPr>
      <w:r>
        <w:rPr>
          <w:rFonts w:ascii="Amiri" w:hAnsi="Amiri" w:eastAsia="Amiri" w:cs="Amiri"/>
          <w:lang w:bidi="ar-SA"/>
          <w:color w:val="111111"/>
          <w:sz w:val="28"/>
          <w:szCs w:val="28"/>
          <w:rtl/>
        </w:rPr>
        <w:t xml:space="preserve">2 .الشرفية في النسب التأليفية = كتاب</w:t>
      </w:r>
    </w:p>
    <w:p>
      <w:pPr>
        <w:pStyle w:val="BookText"/>
      </w:pPr>
      <w:r>
        <w:rPr>
          <w:rFonts w:ascii="Amiri" w:hAnsi="Amiri" w:eastAsia="Amiri" w:cs="Amiri"/>
          <w:lang w:bidi="ar-SA"/>
          <w:color w:val="111111"/>
          <w:sz w:val="28"/>
          <w:szCs w:val="28"/>
          <w:rtl/>
        </w:rPr>
        <w:t xml:space="preserve">الموسيقي، ج 10، ص 352.</w:t>
      </w:r>
    </w:p>
    <w:p>
      <w:pPr>
        <w:pStyle w:val="Heading2"/>
      </w:pPr>
      <w:bookmarkStart w:id="5463" w:name="_Toc4565"/>
      <w:r>
        <w:t>صفي الدين بخاري ، محمّد بن احمد -</w:t>
      </w:r>
      <w:bookmarkEnd w:id="5463"/>
    </w:p>
    <w:p>
      <w:pPr>
        <w:pStyle w:val="BookText"/>
      </w:pPr>
      <w:r>
        <w:rPr>
          <w:rFonts w:ascii="IRNazanin" w:hAnsi="IRNazanin" w:eastAsia="IRNazanin" w:cs="IRNazanin"/>
          <w:lang w:bidi="fa-IR"/>
          <w:color w:val="111111"/>
          <w:sz w:val="28"/>
          <w:szCs w:val="28"/>
          <w:rtl/>
        </w:rPr>
        <w:t xml:space="preserve">1200ه-</w:t>
      </w:r>
    </w:p>
    <w:p>
      <w:pPr>
        <w:pStyle w:val="BookText"/>
      </w:pPr>
      <w:r>
        <w:rPr>
          <w:rFonts w:ascii="Amiri" w:hAnsi="Amiri" w:eastAsia="Amiri" w:cs="Amiri"/>
          <w:lang w:bidi="ar-SA"/>
          <w:color w:val="111111"/>
          <w:sz w:val="28"/>
          <w:szCs w:val="28"/>
          <w:rtl/>
        </w:rPr>
        <w:t xml:space="preserve">اصول الدين (رسالة في)، ج2، ص 414.</w:t>
      </w:r>
    </w:p>
    <w:p>
      <w:pPr>
        <w:pStyle w:val="BookText"/>
      </w:pPr>
      <w:r>
        <w:rPr>
          <w:rFonts w:ascii="IRNazanin" w:hAnsi="IRNazanin" w:eastAsia="IRNazanin" w:cs="IRNazanin"/>
          <w:lang w:bidi="fa-IR"/>
          <w:color w:val="111111"/>
          <w:sz w:val="28"/>
          <w:szCs w:val="28"/>
          <w:rtl/>
        </w:rPr>
        <w:t xml:space="preserve">صفي الدين بن فخرالدین محمد طريحي- طريحي ، صفي الدين بن فخرالدين</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صفي الدين بن نصيرالدين معلم دهلوي - معلم دهلوي ، صفي الدين بن نصیر الدین</w:t>
      </w:r>
    </w:p>
    <w:p>
      <w:pPr>
        <w:pStyle w:val="Heading2"/>
      </w:pPr>
      <w:bookmarkStart w:id="5464" w:name="_Toc4566"/>
      <w:r>
        <w:t>صفي الدين حلي ، عبدالعزيز بن سرايا</w:t>
      </w:r>
      <w:bookmarkEnd w:id="5464"/>
    </w:p>
    <w:p>
      <w:pPr>
        <w:pStyle w:val="BookText"/>
      </w:pPr>
      <w:r>
        <w:rPr>
          <w:rFonts w:ascii="IRNazanin" w:hAnsi="IRNazanin" w:eastAsia="IRNazanin" w:cs="IRNazanin"/>
          <w:lang w:bidi="fa-IR"/>
          <w:color w:val="111111"/>
          <w:sz w:val="28"/>
          <w:szCs w:val="28"/>
          <w:rtl/>
        </w:rPr>
        <w:t xml:space="preserve">67 - 750 ه-</w:t>
      </w:r>
    </w:p>
    <w:p>
      <w:pPr>
        <w:pStyle w:val="BookText"/>
      </w:pPr>
      <w:r>
        <w:rPr>
          <w:rFonts w:ascii="Amiri" w:hAnsi="Amiri" w:eastAsia="Amiri" w:cs="Amiri"/>
          <w:lang w:bidi="ar-SA"/>
          <w:color w:val="111111"/>
          <w:sz w:val="28"/>
          <w:szCs w:val="28"/>
          <w:rtl/>
        </w:rPr>
        <w:t xml:space="preserve">1 .بحور الشعر (منظومة)، ج3،</w:t>
      </w:r>
    </w:p>
    <w:p>
      <w:pPr>
        <w:pStyle w:val="BookText"/>
      </w:pPr>
      <w:r>
        <w:rPr>
          <w:rFonts w:ascii="IRNazanin" w:hAnsi="IRNazanin" w:eastAsia="IRNazanin" w:cs="IRNazanin"/>
          <w:lang w:bidi="fa-IR"/>
          <w:color w:val="111111"/>
          <w:sz w:val="28"/>
          <w:szCs w:val="28"/>
          <w:rtl/>
        </w:rPr>
        <w:t xml:space="preserve">ص 236 .</w:t>
      </w:r>
    </w:p>
    <w:p>
      <w:pPr>
        <w:pStyle w:val="BookText"/>
      </w:pPr>
      <w:r>
        <w:rPr>
          <w:rFonts w:ascii="Amiri" w:hAnsi="Amiri" w:eastAsia="Amiri" w:cs="Amiri"/>
          <w:lang w:bidi="ar-SA"/>
          <w:color w:val="111111"/>
          <w:sz w:val="28"/>
          <w:szCs w:val="28"/>
          <w:rtl/>
        </w:rPr>
        <w:t xml:space="preserve">2 .تخميس القصيدة الزيدونية، ج 4،</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 قصيدة السموئيل ج4،</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درر البحور و قلائد النحور في امتداح الملك المنصور = درر البحور في مدايح الملك المنصور</w:t>
      </w:r>
    </w:p>
    <w:p>
      <w:pPr>
        <w:pStyle w:val="BookText"/>
      </w:pPr>
      <w:r>
        <w:rPr>
          <w:rFonts w:ascii="IRNazanin" w:hAnsi="IRNazanin" w:eastAsia="IRNazanin" w:cs="IRNazanin"/>
          <w:lang w:bidi="fa-IR"/>
          <w:color w:val="111111"/>
          <w:sz w:val="28"/>
          <w:szCs w:val="28"/>
          <w:rtl/>
        </w:rPr>
        <w:t xml:space="preserve">ج 7، ص283</w:t>
      </w:r>
    </w:p>
    <w:p>
      <w:pPr>
        <w:pStyle w:val="BookText"/>
      </w:pPr>
      <w:r>
        <w:rPr>
          <w:rFonts w:ascii="Amiri" w:hAnsi="Amiri" w:eastAsia="Amiri" w:cs="Amiri"/>
          <w:lang w:bidi="ar-SA"/>
          <w:color w:val="111111"/>
          <w:sz w:val="28"/>
          <w:szCs w:val="28"/>
          <w:rtl/>
        </w:rPr>
        <w:t xml:space="preserve">5 .ديوان صفي الدين حلي، ج7،</w:t>
      </w:r>
    </w:p>
    <w:p>
      <w:pPr>
        <w:pStyle w:val="BookText"/>
      </w:pPr>
      <w:r>
        <w:rPr>
          <w:rFonts w:ascii="IRNazanin" w:hAnsi="IRNazanin" w:eastAsia="IRNazanin" w:cs="IRNazanin"/>
          <w:lang w:bidi="fa-IR"/>
          <w:color w:val="111111"/>
          <w:sz w:val="28"/>
          <w:szCs w:val="28"/>
          <w:rtl/>
        </w:rPr>
        <w:t xml:space="preserve">ص 689 .</w:t>
      </w:r>
    </w:p>
    <w:p>
      <w:pPr>
        <w:pStyle w:val="BookText"/>
      </w:pPr>
      <w:r>
        <w:rPr>
          <w:rFonts w:ascii="Amiri" w:hAnsi="Amiri" w:eastAsia="Amiri" w:cs="Amiri"/>
          <w:lang w:bidi="ar-SA"/>
          <w:color w:val="111111"/>
          <w:sz w:val="28"/>
          <w:szCs w:val="28"/>
          <w:rtl/>
        </w:rPr>
        <w:t xml:space="preserve">6 .رسالة ادبية، ج8، ص 162.</w:t>
      </w:r>
    </w:p>
    <w:p>
      <w:pPr>
        <w:pStyle w:val="BookText"/>
      </w:pPr>
      <w:r>
        <w:rPr>
          <w:rFonts w:ascii="Amiri" w:hAnsi="Amiri" w:eastAsia="Amiri" w:cs="Amiri"/>
          <w:lang w:bidi="ar-SA"/>
          <w:color w:val="111111"/>
          <w:sz w:val="28"/>
          <w:szCs w:val="28"/>
          <w:rtl/>
        </w:rPr>
        <w:t xml:space="preserve">7 .رسالة صفي الدين الحلي، ج8،</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Amiri" w:hAnsi="Amiri" w:eastAsia="Amiri" w:cs="Amiri"/>
          <w:lang w:bidi="ar-SA"/>
          <w:color w:val="111111"/>
          <w:sz w:val="28"/>
          <w:szCs w:val="28"/>
          <w:rtl/>
        </w:rPr>
        <w:t xml:space="preserve">8 .علم الموسيقي، ج 11، ص 261.</w:t>
      </w:r>
    </w:p>
    <w:p>
      <w:pPr>
        <w:pStyle w:val="BookText"/>
      </w:pPr>
      <w:r>
        <w:rPr>
          <w:rFonts w:ascii="Amiri" w:hAnsi="Amiri" w:eastAsia="Amiri" w:cs="Amiri"/>
          <w:lang w:bidi="ar-SA"/>
          <w:color w:val="111111"/>
          <w:sz w:val="28"/>
          <w:szCs w:val="28"/>
          <w:rtl/>
        </w:rPr>
        <w:t xml:space="preserve">9 .قصائد مرتبة على حروف الهجاء لصفي الدين الحلي، ج 12، ص 597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قصيدة، ج 12، ص 635.</w:t>
      </w:r>
    </w:p>
    <w:p>
      <w:pPr>
        <w:pStyle w:val="BookText"/>
      </w:pPr>
      <w:r>
        <w:rPr>
          <w:rFonts w:ascii="Amiri" w:hAnsi="Amiri" w:eastAsia="Amiri" w:cs="Amiri"/>
          <w:lang w:bidi="ar-SA"/>
          <w:color w:val="111111"/>
          <w:sz w:val="28"/>
          <w:szCs w:val="28"/>
          <w:rtl/>
        </w:rPr>
        <w:t xml:space="preserve">11 .القصيدة التي عارض فيها الصفي</w:t>
      </w:r>
    </w:p>
    <w:p>
      <w:pPr>
        <w:pStyle w:val="BookText"/>
      </w:pPr>
      <w:r>
        <w:rPr>
          <w:rFonts w:ascii="Amiri" w:hAnsi="Amiri" w:eastAsia="Amiri" w:cs="Amiri"/>
          <w:lang w:bidi="ar-SA"/>
          <w:color w:val="111111"/>
          <w:sz w:val="28"/>
          <w:szCs w:val="28"/>
          <w:rtl/>
        </w:rPr>
        <w:t xml:space="preserve">الحلي قصيدة ابن المعتز، ج 12،</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Amiri" w:hAnsi="Amiri" w:eastAsia="Amiri" w:cs="Amiri"/>
          <w:lang w:bidi="ar-SA"/>
          <w:color w:val="111111"/>
          <w:sz w:val="28"/>
          <w:szCs w:val="28"/>
          <w:rtl/>
        </w:rPr>
        <w:t xml:space="preserve">12 .المثالث و المثاني في المعاني و</w:t>
      </w:r>
    </w:p>
    <w:p>
      <w:pPr>
        <w:pStyle w:val="BookText"/>
      </w:pPr>
      <w:r>
        <w:rPr>
          <w:rFonts w:ascii="Amiri" w:hAnsi="Amiri" w:eastAsia="Amiri" w:cs="Amiri"/>
          <w:lang w:bidi="ar-SA"/>
          <w:color w:val="111111"/>
          <w:sz w:val="28"/>
          <w:szCs w:val="28"/>
          <w:rtl/>
        </w:rPr>
        <w:t xml:space="preserve">المغاني، ج 13، ص 766.</w:t>
      </w:r>
    </w:p>
    <w:p>
      <w:pPr>
        <w:pStyle w:val="BookText"/>
      </w:pPr>
      <w:r>
        <w:rPr>
          <w:rFonts w:ascii="Amiri" w:hAnsi="Amiri" w:eastAsia="Amiri" w:cs="Amiri"/>
          <w:lang w:bidi="ar-SA"/>
          <w:color w:val="111111"/>
          <w:sz w:val="28"/>
          <w:szCs w:val="28"/>
          <w:rtl/>
        </w:rPr>
        <w:t xml:space="preserve">13 .النتائج الالمعية في شرح الكافية</w:t>
      </w:r>
    </w:p>
    <w:p>
      <w:pPr>
        <w:pStyle w:val="BookText"/>
      </w:pPr>
      <w:r>
        <w:rPr>
          <w:rFonts w:ascii="Amiri" w:hAnsi="Amiri" w:eastAsia="Amiri" w:cs="Amiri"/>
          <w:lang w:bidi="ar-SA"/>
          <w:color w:val="111111"/>
          <w:sz w:val="28"/>
          <w:szCs w:val="28"/>
          <w:rtl/>
        </w:rPr>
        <w:t xml:space="preserve">البديعية = شرح البديعية = التسامح الالهية، ج 16، ص 129.</w:t>
      </w:r>
    </w:p>
    <w:p>
      <w:pPr>
        <w:pStyle w:val="BookText"/>
      </w:pPr>
      <w:r>
        <w:rPr>
          <w:rFonts w:ascii="Amiri" w:hAnsi="Amiri" w:eastAsia="Amiri" w:cs="Amiri"/>
          <w:lang w:bidi="ar-SA"/>
          <w:color w:val="111111"/>
          <w:sz w:val="28"/>
          <w:szCs w:val="28"/>
          <w:rtl/>
        </w:rPr>
        <w:t xml:space="preserve">صفي بن نصير -معلم دهلوي ، صفي</w:t>
      </w:r>
    </w:p>
    <w:p>
      <w:pPr>
        <w:pStyle w:val="BookText"/>
      </w:pPr>
      <w:r>
        <w:rPr>
          <w:rFonts w:ascii="Amiri" w:hAnsi="Amiri" w:eastAsia="Amiri" w:cs="Amiri"/>
          <w:lang w:bidi="ar-SA"/>
          <w:color w:val="111111"/>
          <w:sz w:val="28"/>
          <w:szCs w:val="28"/>
          <w:rtl/>
        </w:rPr>
        <w:t xml:space="preserve">الدين بن نصيرالدين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77" w:name="pg7742_70670"/>
    <w:bookmarkEnd w:id="677"/>
    <w:p>
      <w:pPr>
        <w:pStyle w:val="BookText"/>
      </w:pPr>
      <w:r>
        <w:rPr>
          <w:rFonts w:ascii="IRNazanin" w:hAnsi="IRNazanin" w:eastAsia="IRNazanin" w:cs="IRNazanin"/>
          <w:lang w:bidi="fa-IR"/>
          <w:color w:val="111111"/>
          <w:sz w:val="28"/>
          <w:szCs w:val="28"/>
          <w:rtl/>
        </w:rPr>
        <w:t xml:space="preserve">صفی پور، عبدالرحیم بن</w:t>
      </w:r>
    </w:p>
    <w:p>
      <w:pPr>
        <w:pStyle w:val="BookText"/>
      </w:pPr>
      <w:r>
        <w:rPr>
          <w:rFonts w:ascii="IRNazanin" w:hAnsi="IRNazanin" w:eastAsia="IRNazanin" w:cs="IRNazanin"/>
          <w:lang w:bidi="fa-IR"/>
          <w:color w:val="111111"/>
          <w:sz w:val="28"/>
          <w:szCs w:val="28"/>
          <w:rtl/>
        </w:rPr>
        <w:t xml:space="preserve">عبدالکریم -صفي پوري ، عبدالرحیم بن عبد الكريم</w:t>
      </w:r>
    </w:p>
    <w:p>
      <w:pPr>
        <w:pStyle w:val="Heading2"/>
      </w:pPr>
      <w:bookmarkStart w:id="5465" w:name="_Toc4567"/>
      <w:r>
        <w:t>صفي پوري ، عبد الرحيم بن عبدالكريم</w:t>
      </w:r>
      <w:bookmarkEnd w:id="5465"/>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تحقيق المؤنثات السماعية( رسالة في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ضرورة الاديب = رساله مؤنث سماعي مسمي بضرورة الاديب ج4،</w:t>
      </w:r>
    </w:p>
    <w:p>
      <w:pPr>
        <w:pStyle w:val="BookText"/>
      </w:pPr>
      <w:r>
        <w:rPr>
          <w:rFonts w:ascii="IRNazanin" w:hAnsi="IRNazanin" w:eastAsia="IRNazanin" w:cs="IRNazanin"/>
          <w:lang w:bidi="fa-IR"/>
          <w:color w:val="111111"/>
          <w:sz w:val="28"/>
          <w:szCs w:val="28"/>
          <w:rtl/>
        </w:rPr>
        <w:t xml:space="preserve">ص 73.</w:t>
      </w:r>
    </w:p>
    <w:p>
      <w:pPr>
        <w:pStyle w:val="BookText"/>
      </w:pPr>
      <w:r>
        <w:rPr>
          <w:rFonts w:ascii="Amiri" w:hAnsi="Amiri" w:eastAsia="Amiri" w:cs="Amiri"/>
          <w:lang w:bidi="ar-SA"/>
          <w:color w:val="111111"/>
          <w:sz w:val="28"/>
          <w:szCs w:val="28"/>
          <w:rtl/>
        </w:rPr>
        <w:t xml:space="preserve">صفي حلي ، عبد العزيز بن سرايا -صفي</w:t>
      </w:r>
    </w:p>
    <w:p>
      <w:pPr>
        <w:pStyle w:val="BookText"/>
      </w:pPr>
      <w:r>
        <w:rPr>
          <w:rFonts w:ascii="Amiri" w:hAnsi="Amiri" w:eastAsia="Amiri" w:cs="Amiri"/>
          <w:lang w:bidi="ar-SA"/>
          <w:color w:val="111111"/>
          <w:sz w:val="28"/>
          <w:szCs w:val="28"/>
          <w:rtl/>
        </w:rPr>
        <w:t xml:space="preserve">الدين حلي ، عبد العزيز بن سرايا</w:t>
      </w:r>
    </w:p>
    <w:p>
      <w:pPr>
        <w:pStyle w:val="BookText"/>
      </w:pPr>
      <w:r>
        <w:rPr>
          <w:rFonts w:ascii="Amiri" w:hAnsi="Amiri" w:eastAsia="Amiri" w:cs="Amiri"/>
          <w:lang w:bidi="ar-SA"/>
          <w:color w:val="111111"/>
          <w:sz w:val="28"/>
          <w:szCs w:val="28"/>
          <w:rtl/>
        </w:rPr>
        <w:t xml:space="preserve">صفي ، فخر الدين علي -فخر الدين صفي ،</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صفي نوري، عبدالرحيم بن</w:t>
      </w:r>
    </w:p>
    <w:p>
      <w:pPr>
        <w:pStyle w:val="BookText"/>
      </w:pPr>
      <w:r>
        <w:rPr>
          <w:rFonts w:ascii="IRNazanin" w:hAnsi="IRNazanin" w:eastAsia="IRNazanin" w:cs="IRNazanin"/>
          <w:lang w:bidi="fa-IR"/>
          <w:color w:val="111111"/>
          <w:sz w:val="28"/>
          <w:szCs w:val="28"/>
          <w:rtl/>
        </w:rPr>
        <w:t xml:space="preserve">عبدالکریم- صفی پوری ، عبدالرحیم بن</w:t>
      </w:r>
    </w:p>
    <w:p>
      <w:pPr>
        <w:pStyle w:val="BookText"/>
      </w:pPr>
      <w:r>
        <w:rPr>
          <w:rFonts w:ascii="Amiri" w:hAnsi="Amiri" w:eastAsia="Amiri" w:cs="Amiri"/>
          <w:lang w:bidi="ar-SA"/>
          <w:color w:val="111111"/>
          <w:sz w:val="28"/>
          <w:szCs w:val="28"/>
          <w:rtl/>
        </w:rPr>
        <w:t xml:space="preserve">عبد الكريم</w:t>
      </w:r>
    </w:p>
    <w:p>
      <w:pPr>
        <w:pStyle w:val="BookText"/>
      </w:pPr>
      <w:r>
        <w:rPr>
          <w:rFonts w:ascii="Amiri" w:hAnsi="Amiri" w:eastAsia="Amiri" w:cs="Amiri"/>
          <w:lang w:bidi="ar-SA"/>
          <w:color w:val="111111"/>
          <w:sz w:val="28"/>
          <w:szCs w:val="28"/>
          <w:rtl/>
        </w:rPr>
        <w:t xml:space="preserve">صفيري ، محمّد بن عمر- سفيري ، محمّد</w:t>
      </w:r>
    </w:p>
    <w:p>
      <w:pPr>
        <w:pStyle w:val="BookText"/>
      </w:pPr>
      <w:r>
        <w:rPr>
          <w:rFonts w:ascii="IRNazanin" w:hAnsi="IRNazanin" w:eastAsia="IRNazanin" w:cs="IRNazanin"/>
          <w:lang w:bidi="fa-IR"/>
          <w:color w:val="111111"/>
          <w:sz w:val="28"/>
          <w:szCs w:val="28"/>
          <w:rtl/>
        </w:rPr>
        <w:t xml:space="preserve">بن عمر</w:t>
      </w:r>
    </w:p>
    <w:p>
      <w:pPr>
        <w:pStyle w:val="Heading2"/>
      </w:pPr>
      <w:bookmarkStart w:id="5466" w:name="_Toc4568"/>
      <w:r>
        <w:t>صقاعي ، فضل الله بن فخر، - 726 ه-</w:t>
      </w:r>
      <w:bookmarkEnd w:id="5466"/>
    </w:p>
    <w:p>
      <w:pPr>
        <w:pStyle w:val="BookText"/>
      </w:pPr>
      <w:r>
        <w:rPr>
          <w:rFonts w:ascii="Amiri" w:hAnsi="Amiri" w:eastAsia="Amiri" w:cs="Amiri"/>
          <w:lang w:bidi="ar-SA"/>
          <w:color w:val="111111"/>
          <w:sz w:val="28"/>
          <w:szCs w:val="28"/>
          <w:rtl/>
        </w:rPr>
        <w:t xml:space="preserve">تالي الوفيات في تراجم من توفي بمصر</w:t>
      </w:r>
    </w:p>
    <w:p>
      <w:pPr>
        <w:pStyle w:val="BookText"/>
      </w:pPr>
      <w:r>
        <w:rPr>
          <w:rFonts w:ascii="IRNazanin" w:hAnsi="IRNazanin" w:eastAsia="IRNazanin" w:cs="IRNazanin"/>
          <w:lang w:bidi="fa-IR"/>
          <w:color w:val="111111"/>
          <w:sz w:val="28"/>
          <w:szCs w:val="28"/>
          <w:rtl/>
        </w:rPr>
        <w:t xml:space="preserve">و الشام، ج3، ص616.</w:t>
      </w:r>
    </w:p>
    <w:p>
      <w:pPr>
        <w:pStyle w:val="BookText"/>
      </w:pPr>
      <w:r>
        <w:rPr>
          <w:rFonts w:ascii="Amiri" w:hAnsi="Amiri" w:eastAsia="Amiri" w:cs="Amiri"/>
          <w:lang w:bidi="ar-SA"/>
          <w:color w:val="111111"/>
          <w:sz w:val="28"/>
          <w:szCs w:val="28"/>
          <w:rtl/>
        </w:rPr>
        <w:t xml:space="preserve">صقلي ، عبد الجبار بن ابي بكر -ابن</w:t>
      </w:r>
    </w:p>
    <w:p>
      <w:pPr>
        <w:pStyle w:val="BookText"/>
      </w:pPr>
      <w:r>
        <w:rPr>
          <w:rFonts w:ascii="Amiri" w:hAnsi="Amiri" w:eastAsia="Amiri" w:cs="Amiri"/>
          <w:lang w:bidi="ar-SA"/>
          <w:color w:val="111111"/>
          <w:sz w:val="28"/>
          <w:szCs w:val="28"/>
          <w:rtl/>
        </w:rPr>
        <w:t xml:space="preserve">حمديس ، عبدالجبار بن ابي بكر</w:t>
      </w:r>
    </w:p>
    <w:p>
      <w:pPr>
        <w:pStyle w:val="BookText"/>
      </w:pPr>
      <w:r>
        <w:rPr>
          <w:rFonts w:ascii="Amiri" w:hAnsi="Amiri" w:eastAsia="Amiri" w:cs="Amiri"/>
          <w:lang w:bidi="ar-SA"/>
          <w:color w:val="111111"/>
          <w:sz w:val="28"/>
          <w:szCs w:val="28"/>
          <w:rtl/>
        </w:rPr>
        <w:t xml:space="preserve">صقلي ، عبدالرحمن بن ابي بكر- ابن فحام عبدالرحمن بن ابي بكر</w:t>
      </w:r>
    </w:p>
    <w:p>
      <w:pPr>
        <w:pStyle w:val="BookText"/>
      </w:pPr>
      <w:r>
        <w:rPr>
          <w:rFonts w:ascii="Amiri" w:hAnsi="Amiri" w:eastAsia="Amiri" w:cs="Amiri"/>
          <w:lang w:bidi="ar-SA"/>
          <w:color w:val="111111"/>
          <w:sz w:val="28"/>
          <w:szCs w:val="28"/>
          <w:rtl/>
        </w:rPr>
        <w:t xml:space="preserve">صقلي ، علي بن جعفر- ابن قطاع ، علي بن جعفر</w:t>
      </w:r>
    </w:p>
    <w:p>
      <w:pPr>
        <w:pStyle w:val="BookText"/>
      </w:pPr>
      <w:r>
        <w:rPr>
          <w:rFonts w:ascii="Amiri" w:hAnsi="Amiri" w:eastAsia="Amiri" w:cs="Amiri"/>
          <w:lang w:bidi="ar-SA"/>
          <w:color w:val="111111"/>
          <w:sz w:val="28"/>
          <w:szCs w:val="28"/>
          <w:rtl/>
        </w:rPr>
        <w:t xml:space="preserve">صقلي ، محمّد بن عبدالله -ابن ظفر ،</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صقلي ، محمّد بن محمّد- ابن ظفر ،</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صلاح الدين ، ملا -ملا صلاح الدين</w:t>
      </w:r>
    </w:p>
    <w:p>
      <w:pPr>
        <w:pStyle w:val="BookText"/>
      </w:pPr>
      <w:r>
        <w:rPr>
          <w:rFonts w:ascii="Amiri" w:hAnsi="Amiri" w:eastAsia="Amiri" w:cs="Amiri"/>
          <w:lang w:bidi="ar-SA"/>
          <w:color w:val="111111"/>
          <w:sz w:val="28"/>
          <w:szCs w:val="28"/>
          <w:rtl/>
        </w:rPr>
        <w:t xml:space="preserve">صلاح الدين لاري- لاري انصاري ، محمّد</w:t>
      </w:r>
    </w:p>
    <w:p>
      <w:pPr>
        <w:pStyle w:val="BookText"/>
      </w:pPr>
      <w:r>
        <w:rPr>
          <w:rFonts w:ascii="IRNazanin" w:hAnsi="IRNazanin" w:eastAsia="IRNazanin" w:cs="IRNazanin"/>
          <w:lang w:bidi="fa-IR"/>
          <w:color w:val="111111"/>
          <w:sz w:val="28"/>
          <w:szCs w:val="28"/>
          <w:rtl/>
        </w:rPr>
        <w:t xml:space="preserve">بن صلاح</w:t>
      </w:r>
    </w:p>
    <w:p>
      <w:pPr>
        <w:pStyle w:val="BookText"/>
      </w:pPr>
      <w:r>
        <w:rPr>
          <w:rFonts w:ascii="Amiri" w:hAnsi="Amiri" w:eastAsia="Amiri" w:cs="Amiri"/>
          <w:lang w:bidi="ar-SA"/>
          <w:color w:val="111111"/>
          <w:sz w:val="28"/>
          <w:szCs w:val="28"/>
          <w:rtl/>
        </w:rPr>
        <w:t xml:space="preserve">صلاح بن علي حسني يمني- المهدي صلاح بن علي</w:t>
      </w:r>
    </w:p>
    <w:p>
      <w:pPr>
        <w:pStyle w:val="BookText"/>
      </w:pPr>
      <w:r>
        <w:rPr>
          <w:rFonts w:ascii="Amiri" w:hAnsi="Amiri" w:eastAsia="Amiri" w:cs="Amiri"/>
          <w:lang w:bidi="ar-SA"/>
          <w:color w:val="111111"/>
          <w:sz w:val="28"/>
          <w:szCs w:val="28"/>
          <w:rtl/>
        </w:rPr>
        <w:t xml:space="preserve">صلاح صنهاجي ، احمد بن محمّد- ابن عريف ، احمد بن محمّد</w:t>
      </w:r>
    </w:p>
    <w:p>
      <w:pPr>
        <w:pStyle w:val="Heading2"/>
      </w:pPr>
      <w:bookmarkStart w:id="5467" w:name="_Toc4569"/>
      <w:r>
        <w:t>صلاحي ، عبدالحسين</w:t>
      </w:r>
      <w:bookmarkEnd w:id="5467"/>
    </w:p>
    <w:p>
      <w:pPr>
        <w:pStyle w:val="BookText"/>
      </w:pPr>
      <w:r>
        <w:rPr>
          <w:rFonts w:ascii="Amiri" w:hAnsi="Amiri" w:eastAsia="Amiri" w:cs="Amiri"/>
          <w:lang w:bidi="ar-SA"/>
          <w:color w:val="111111"/>
          <w:sz w:val="28"/>
          <w:szCs w:val="28"/>
          <w:rtl/>
        </w:rPr>
        <w:t xml:space="preserve">تنبيه الغافلين، ج 5، ص 37.</w:t>
      </w:r>
    </w:p>
    <w:p>
      <w:pPr>
        <w:pStyle w:val="Heading2"/>
      </w:pPr>
      <w:bookmarkStart w:id="5468" w:name="_Toc4570"/>
      <w:r>
        <w:t>صلاحي ، عبدالله بن عبدالعزيز - 1196 ؟ه-</w:t>
      </w:r>
      <w:bookmarkEnd w:id="5468"/>
    </w:p>
    <w:p>
      <w:pPr>
        <w:pStyle w:val="BookText"/>
      </w:pPr>
      <w:r>
        <w:rPr>
          <w:rFonts w:ascii="Amiri" w:hAnsi="Amiri" w:eastAsia="Amiri" w:cs="Amiri"/>
          <w:lang w:bidi="ar-SA"/>
          <w:color w:val="111111"/>
          <w:sz w:val="28"/>
          <w:szCs w:val="28"/>
          <w:rtl/>
        </w:rPr>
        <w:t xml:space="preserve">حاشية حاشية حاشية شرح العقائد</w:t>
      </w:r>
    </w:p>
    <w:p>
      <w:pPr>
        <w:pStyle w:val="BookText"/>
      </w:pPr>
      <w:r>
        <w:rPr>
          <w:rFonts w:ascii="Amiri" w:hAnsi="Amiri" w:eastAsia="Amiri" w:cs="Amiri"/>
          <w:lang w:bidi="ar-SA"/>
          <w:color w:val="111111"/>
          <w:sz w:val="28"/>
          <w:szCs w:val="28"/>
          <w:rtl/>
        </w:rPr>
        <w:t xml:space="preserve">النسفية، ج 5، ص 791 .</w:t>
      </w:r>
    </w:p>
    <w:p>
      <w:pPr>
        <w:pStyle w:val="Heading2"/>
      </w:pPr>
      <w:bookmarkStart w:id="5469" w:name="_Toc4571"/>
      <w:r>
        <w:t>صليوا ، داود - 1921م</w:t>
      </w:r>
      <w:bookmarkEnd w:id="5469"/>
    </w:p>
    <w:p>
      <w:pPr>
        <w:pStyle w:val="BookText"/>
      </w:pPr>
      <w:r>
        <w:rPr>
          <w:rFonts w:ascii="IRNazanin" w:hAnsi="IRNazanin" w:eastAsia="IRNazanin" w:cs="IRNazanin"/>
          <w:lang w:bidi="fa-IR"/>
          <w:color w:val="111111"/>
          <w:sz w:val="28"/>
          <w:szCs w:val="28"/>
          <w:rtl/>
        </w:rPr>
        <w:t xml:space="preserve">دیوان صليوا، ج 7، ص 692.</w:t>
      </w:r>
    </w:p>
    <w:p>
      <w:pPr>
        <w:pStyle w:val="Heading2"/>
      </w:pPr>
      <w:bookmarkStart w:id="5470" w:name="_Toc4572"/>
      <w:r>
        <w:t>صمدي ، ابراهيم بن حسن</w:t>
      </w:r>
      <w:bookmarkEnd w:id="5470"/>
    </w:p>
    <w:p>
      <w:pPr>
        <w:pStyle w:val="BookText"/>
      </w:pPr>
      <w:r>
        <w:rPr>
          <w:rFonts w:ascii="Amiri" w:hAnsi="Amiri" w:eastAsia="Amiri" w:cs="Amiri"/>
          <w:lang w:bidi="ar-SA"/>
          <w:color w:val="111111"/>
          <w:sz w:val="28"/>
          <w:szCs w:val="28"/>
          <w:rtl/>
        </w:rPr>
        <w:t xml:space="preserve">طرفة المهتدي إلى تحفة المبتدي</w:t>
      </w:r>
    </w:p>
    <w:p>
      <w:pPr>
        <w:pStyle w:val="BookText"/>
      </w:pPr>
      <w:r>
        <w:rPr>
          <w:rFonts w:ascii="IRNazanin" w:hAnsi="IRNazanin" w:eastAsia="IRNazanin" w:cs="IRNazanin"/>
          <w:lang w:bidi="fa-IR"/>
          <w:color w:val="111111"/>
          <w:sz w:val="28"/>
          <w:szCs w:val="28"/>
          <w:rtl/>
        </w:rPr>
        <w:t xml:space="preserve">ج 10، ص 813.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78" w:name="pg7742_70671"/>
    <w:bookmarkEnd w:id="678"/>
    <w:p>
      <w:pPr>
        <w:pStyle w:val="BookText"/>
      </w:pPr>
      <w:r>
        <w:rPr>
          <w:rFonts w:ascii="Amiri" w:hAnsi="Amiri" w:eastAsia="Amiri" w:cs="Amiri"/>
          <w:lang w:bidi="ar-SA"/>
          <w:color w:val="111111"/>
          <w:sz w:val="28"/>
          <w:szCs w:val="28"/>
          <w:rtl/>
        </w:rPr>
        <w:t xml:space="preserve">صمدي احسائي ، محمّد بن</w:t>
      </w:r>
    </w:p>
    <w:p>
      <w:pPr>
        <w:pStyle w:val="BookText"/>
      </w:pPr>
      <w:r>
        <w:rPr>
          <w:rFonts w:ascii="Amiri" w:hAnsi="Amiri" w:eastAsia="Amiri" w:cs="Amiri"/>
          <w:lang w:bidi="ar-SA"/>
          <w:color w:val="111111"/>
          <w:sz w:val="28"/>
          <w:szCs w:val="28"/>
          <w:rtl/>
        </w:rPr>
        <w:t xml:space="preserve">عبد الرحيم -صمدي ، محمّد بن عبدالرحيم</w:t>
      </w:r>
    </w:p>
    <w:p>
      <w:pPr>
        <w:pStyle w:val="Heading2"/>
      </w:pPr>
      <w:bookmarkStart w:id="5471" w:name="_Toc4573"/>
      <w:r>
        <w:t>صمدي ، محمّد بن عبد الرحيم - 1100</w:t>
      </w:r>
      <w:bookmarkEnd w:id="5471"/>
    </w:p>
    <w:p>
      <w:pPr>
        <w:pStyle w:val="BookText"/>
      </w:pPr>
      <w:r>
        <w:rPr>
          <w:rFonts w:ascii="Amiri" w:hAnsi="Amiri" w:eastAsia="Amiri" w:cs="Amiri"/>
          <w:lang w:bidi="ar-SA"/>
          <w:color w:val="111111"/>
          <w:sz w:val="28"/>
          <w:szCs w:val="28"/>
          <w:rtl/>
        </w:rPr>
        <w:t xml:space="preserve">1 .ارشاد الطالبين لام البراهين للسنوسي، ج 2، ص30.</w:t>
      </w:r>
    </w:p>
    <w:p>
      <w:pPr>
        <w:pStyle w:val="BookText"/>
      </w:pPr>
      <w:r>
        <w:rPr>
          <w:rFonts w:ascii="Amiri" w:hAnsi="Amiri" w:eastAsia="Amiri" w:cs="Amiri"/>
          <w:lang w:bidi="ar-SA"/>
          <w:color w:val="111111"/>
          <w:sz w:val="28"/>
          <w:szCs w:val="28"/>
          <w:rtl/>
        </w:rPr>
        <w:t xml:space="preserve">2 .الجوهر الثمين لام البراهين جه</w:t>
      </w:r>
    </w:p>
    <w:p>
      <w:pPr>
        <w:pStyle w:val="BookText"/>
      </w:pPr>
      <w:r>
        <w:rPr>
          <w:rFonts w:ascii="IRNazanin" w:hAnsi="IRNazanin" w:eastAsia="IRNazanin" w:cs="IRNazanin"/>
          <w:lang w:bidi="fa-IR"/>
          <w:color w:val="111111"/>
          <w:sz w:val="28"/>
          <w:szCs w:val="28"/>
          <w:rtl/>
        </w:rPr>
        <w:t xml:space="preserve">ص 620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الفتح الصمدي لتحفة المبتدي</w:t>
      </w:r>
    </w:p>
    <w:p>
      <w:pPr>
        <w:pStyle w:val="BookText"/>
      </w:pPr>
      <w:r>
        <w:rPr>
          <w:rFonts w:ascii="IRNazanin" w:hAnsi="IRNazanin" w:eastAsia="IRNazanin" w:cs="IRNazanin"/>
          <w:lang w:bidi="fa-IR"/>
          <w:color w:val="111111"/>
          <w:sz w:val="28"/>
          <w:szCs w:val="28"/>
          <w:rtl/>
        </w:rPr>
        <w:t xml:space="preserve">ج 11، ص 658 .</w:t>
      </w:r>
    </w:p>
    <w:p>
      <w:pPr>
        <w:pStyle w:val="BookText"/>
      </w:pPr>
      <w:r>
        <w:rPr>
          <w:rFonts w:ascii="Amiri" w:hAnsi="Amiri" w:eastAsia="Amiri" w:cs="Amiri"/>
          <w:lang w:bidi="ar-SA"/>
          <w:color w:val="111111"/>
          <w:sz w:val="28"/>
          <w:szCs w:val="28"/>
          <w:rtl/>
        </w:rPr>
        <w:t xml:space="preserve">4 .الفواتح الوفية للمنظومة العمريطية، ج 12، ص 296.</w:t>
      </w:r>
    </w:p>
    <w:p>
      <w:pPr>
        <w:pStyle w:val="BookText"/>
      </w:pPr>
      <w:r>
        <w:rPr>
          <w:rFonts w:ascii="Amiri" w:hAnsi="Amiri" w:eastAsia="Amiri" w:cs="Amiri"/>
          <w:lang w:bidi="ar-SA"/>
          <w:color w:val="111111"/>
          <w:sz w:val="28"/>
          <w:szCs w:val="28"/>
          <w:rtl/>
        </w:rPr>
        <w:t xml:space="preserve">5 .مفتاح القرب لنظم آداب الأكل و</w:t>
      </w:r>
    </w:p>
    <w:p>
      <w:pPr>
        <w:pStyle w:val="BookText"/>
      </w:pPr>
      <w:r>
        <w:rPr>
          <w:rFonts w:ascii="IRNazanin" w:hAnsi="IRNazanin" w:eastAsia="IRNazanin" w:cs="IRNazanin"/>
          <w:lang w:bidi="fa-IR"/>
          <w:color w:val="111111"/>
          <w:sz w:val="28"/>
          <w:szCs w:val="28"/>
          <w:rtl/>
        </w:rPr>
        <w:t xml:space="preserve">الشرب، ج 15، ص 220.</w:t>
      </w:r>
    </w:p>
    <w:p>
      <w:pPr>
        <w:pStyle w:val="BookText"/>
      </w:pPr>
      <w:r>
        <w:rPr>
          <w:rFonts w:ascii="Amiri" w:hAnsi="Amiri" w:eastAsia="Amiri" w:cs="Amiri"/>
          <w:lang w:bidi="ar-SA"/>
          <w:color w:val="111111"/>
          <w:sz w:val="28"/>
          <w:szCs w:val="28"/>
          <w:rtl/>
        </w:rPr>
        <w:t xml:space="preserve">6 .منار الارادة لسلوك الطريق السادة</w:t>
      </w:r>
    </w:p>
    <w:p>
      <w:pPr>
        <w:pStyle w:val="BookText"/>
      </w:pPr>
      <w:r>
        <w:rPr>
          <w:rFonts w:ascii="IRNazanin" w:hAnsi="IRNazanin" w:eastAsia="IRNazanin" w:cs="IRNazanin"/>
          <w:lang w:bidi="fa-IR"/>
          <w:color w:val="111111"/>
          <w:sz w:val="28"/>
          <w:szCs w:val="28"/>
          <w:rtl/>
        </w:rPr>
        <w:t xml:space="preserve">ج 15، ص 483.</w:t>
      </w:r>
    </w:p>
    <w:p>
      <w:pPr>
        <w:pStyle w:val="BookText"/>
      </w:pPr>
      <w:r>
        <w:rPr>
          <w:rFonts w:ascii="IRNazanin" w:hAnsi="IRNazanin" w:eastAsia="IRNazanin" w:cs="IRNazanin"/>
          <w:lang w:bidi="fa-IR"/>
          <w:color w:val="111111"/>
          <w:sz w:val="28"/>
          <w:szCs w:val="28"/>
          <w:rtl/>
        </w:rPr>
        <w:t xml:space="preserve">صمدي ، محمّد بن عبدالرحيم ابراهيم -صمدي ، محمّد بن عبدالرحیم</w:t>
      </w:r>
    </w:p>
    <w:p>
      <w:pPr>
        <w:pStyle w:val="BookText"/>
      </w:pPr>
      <w:r>
        <w:rPr>
          <w:rFonts w:ascii="IRNazanin" w:hAnsi="IRNazanin" w:eastAsia="IRNazanin" w:cs="IRNazanin"/>
          <w:lang w:bidi="fa-IR"/>
          <w:color w:val="111111"/>
          <w:sz w:val="28"/>
          <w:szCs w:val="28"/>
          <w:rtl/>
        </w:rPr>
        <w:t xml:space="preserve">صمدي ، محمّد بن عبدالرحیم بن ابراهيم -صمدي ، محمّد بن عبدالرحیم</w:t>
      </w:r>
    </w:p>
    <w:p>
      <w:pPr>
        <w:pStyle w:val="BookText"/>
      </w:pPr>
      <w:r>
        <w:rPr>
          <w:rFonts w:ascii="Amiri" w:hAnsi="Amiri" w:eastAsia="Amiri" w:cs="Amiri"/>
          <w:lang w:bidi="ar-SA"/>
          <w:color w:val="111111"/>
          <w:sz w:val="28"/>
          <w:szCs w:val="28"/>
          <w:rtl/>
        </w:rPr>
        <w:t xml:space="preserve">صنبري ، محمّد مهدي بن عاملي- مهجمي</w:t>
      </w:r>
    </w:p>
    <w:p>
      <w:pPr>
        <w:pStyle w:val="BookText"/>
      </w:pPr>
      <w:r>
        <w:rPr>
          <w:rFonts w:ascii="Amiri" w:hAnsi="Amiri" w:eastAsia="Amiri" w:cs="Amiri"/>
          <w:lang w:bidi="ar-SA"/>
          <w:color w:val="111111"/>
          <w:sz w:val="28"/>
          <w:szCs w:val="28"/>
          <w:rtl/>
        </w:rPr>
        <w:t xml:space="preserve">، محمّد مهدي بن علي</w:t>
      </w:r>
    </w:p>
    <w:p>
      <w:pPr>
        <w:pStyle w:val="BookText"/>
      </w:pPr>
      <w:r>
        <w:rPr>
          <w:rFonts w:ascii="Amiri" w:hAnsi="Amiri" w:eastAsia="Amiri" w:cs="Amiri"/>
          <w:lang w:bidi="ar-SA"/>
          <w:color w:val="111111"/>
          <w:sz w:val="28"/>
          <w:szCs w:val="28"/>
          <w:rtl/>
        </w:rPr>
        <w:t xml:space="preserve">صنبري ، محمّد مهدي بن علي -مهجمي</w:t>
      </w:r>
    </w:p>
    <w:p>
      <w:pPr>
        <w:pStyle w:val="BookText"/>
      </w:pPr>
      <w:r>
        <w:rPr>
          <w:rFonts w:ascii="Amiri" w:hAnsi="Amiri" w:eastAsia="Amiri" w:cs="Amiri"/>
          <w:lang w:bidi="ar-SA"/>
          <w:color w:val="111111"/>
          <w:sz w:val="28"/>
          <w:szCs w:val="28"/>
          <w:rtl/>
        </w:rPr>
        <w:t xml:space="preserve">محمّد مهدي بن علي</w:t>
      </w:r>
    </w:p>
    <w:p>
      <w:pPr>
        <w:pStyle w:val="Heading2"/>
      </w:pPr>
      <w:bookmarkStart w:id="5472" w:name="_Toc4574"/>
      <w:r>
        <w:t>صندوقلي ، عثمان بن عبدالمنان - 1301</w:t>
      </w:r>
      <w:bookmarkEnd w:id="5472"/>
    </w:p>
    <w:p>
      <w:pPr>
        <w:pStyle w:val="BookText"/>
      </w:pPr>
      <w:r>
        <w:rPr>
          <w:rFonts w:ascii="Amiri" w:hAnsi="Amiri" w:eastAsia="Amiri" w:cs="Amiri"/>
          <w:lang w:bidi="ar-SA"/>
          <w:color w:val="111111"/>
          <w:sz w:val="28"/>
          <w:szCs w:val="28"/>
          <w:rtl/>
        </w:rPr>
        <w:t xml:space="preserve">هدية المبتدي (المهتدي) في علم الهندسة و المساحة، ج 16، ص 642.</w:t>
      </w:r>
    </w:p>
    <w:p>
      <w:pPr>
        <w:pStyle w:val="BookText"/>
      </w:pPr>
      <w:r>
        <w:rPr>
          <w:rFonts w:ascii="Amiri" w:hAnsi="Amiri" w:eastAsia="Amiri" w:cs="Amiri"/>
          <w:lang w:bidi="ar-SA"/>
          <w:color w:val="111111"/>
          <w:sz w:val="28"/>
          <w:szCs w:val="28"/>
          <w:rtl/>
        </w:rPr>
        <w:t xml:space="preserve">صنع الله افندي- افندي ، صنع الله</w:t>
      </w:r>
    </w:p>
    <w:p>
      <w:pPr>
        <w:pStyle w:val="BookText"/>
      </w:pPr>
      <w:r>
        <w:rPr>
          <w:rFonts w:ascii="IRNazanin" w:hAnsi="IRNazanin" w:eastAsia="IRNazanin" w:cs="IRNazanin"/>
          <w:lang w:bidi="fa-IR"/>
          <w:color w:val="111111"/>
          <w:sz w:val="28"/>
          <w:szCs w:val="28"/>
          <w:rtl/>
        </w:rPr>
        <w:t xml:space="preserve">صنعاني- ابن شرف الدین ، احمد بن حسن</w:t>
      </w:r>
    </w:p>
    <w:p>
      <w:pPr>
        <w:pStyle w:val="BookText"/>
      </w:pPr>
      <w:r>
        <w:rPr>
          <w:rFonts w:ascii="Amiri" w:hAnsi="Amiri" w:eastAsia="Amiri" w:cs="Amiri"/>
          <w:lang w:bidi="ar-SA"/>
          <w:color w:val="111111"/>
          <w:sz w:val="28"/>
          <w:szCs w:val="28"/>
          <w:rtl/>
        </w:rPr>
        <w:t xml:space="preserve">صنعاني ، ابراهيم هندي -صنعاني ،</w:t>
      </w:r>
    </w:p>
    <w:p>
      <w:pPr>
        <w:pStyle w:val="BookText"/>
      </w:pPr>
      <w:r>
        <w:rPr>
          <w:rFonts w:ascii="Amiri" w:hAnsi="Amiri" w:eastAsia="Amiri" w:cs="Amiri"/>
          <w:lang w:bidi="ar-SA"/>
          <w:color w:val="111111"/>
          <w:sz w:val="28"/>
          <w:szCs w:val="28"/>
          <w:rtl/>
        </w:rPr>
        <w:t xml:space="preserve">ابراهيم بن صالح</w:t>
      </w:r>
    </w:p>
    <w:p>
      <w:pPr>
        <w:pStyle w:val="Heading2"/>
      </w:pPr>
      <w:bookmarkStart w:id="5473" w:name="_Toc4575"/>
      <w:r>
        <w:t>صنعاني ، ابراهيم بن محمّد - 914 ه-</w:t>
      </w:r>
      <w:bookmarkEnd w:id="5473"/>
    </w:p>
    <w:p>
      <w:pPr>
        <w:pStyle w:val="BookText"/>
      </w:pPr>
      <w:r>
        <w:rPr>
          <w:rFonts w:ascii="Amiri" w:hAnsi="Amiri" w:eastAsia="Amiri" w:cs="Amiri"/>
          <w:lang w:bidi="ar-SA"/>
          <w:color w:val="111111"/>
          <w:sz w:val="28"/>
          <w:szCs w:val="28"/>
          <w:rtl/>
        </w:rPr>
        <w:t xml:space="preserve">البسامة - جواهر الاخبار في سيرة الائمة الاخيار = القصيدة المضيئة في سيرة ائمة الاخيار، ج3، ص322</w:t>
      </w:r>
    </w:p>
    <w:p>
      <w:pPr>
        <w:pStyle w:val="BookText"/>
      </w:pPr>
      <w:r>
        <w:rPr>
          <w:rFonts w:ascii="Amiri" w:hAnsi="Amiri" w:eastAsia="Amiri" w:cs="Amiri"/>
          <w:lang w:bidi="ar-SA"/>
          <w:color w:val="111111"/>
          <w:sz w:val="28"/>
          <w:szCs w:val="28"/>
          <w:rtl/>
        </w:rPr>
        <w:t xml:space="preserve">صنعاني ، ابراهيم بن وزير -صنعاني ،</w:t>
      </w:r>
    </w:p>
    <w:p>
      <w:pPr>
        <w:pStyle w:val="BookText"/>
      </w:pPr>
      <w:r>
        <w:rPr>
          <w:rFonts w:ascii="IRNazanin" w:hAnsi="IRNazanin" w:eastAsia="IRNazanin" w:cs="IRNazanin"/>
          <w:lang w:bidi="fa-IR"/>
          <w:color w:val="111111"/>
          <w:sz w:val="28"/>
          <w:szCs w:val="28"/>
          <w:rtl/>
        </w:rPr>
        <w:t xml:space="preserve">ابراهیم بن محمّد</w:t>
      </w:r>
    </w:p>
    <w:p>
      <w:pPr>
        <w:pStyle w:val="BookText"/>
      </w:pPr>
      <w:r>
        <w:rPr>
          <w:rFonts w:ascii="Amiri" w:hAnsi="Amiri" w:eastAsia="Amiri" w:cs="Amiri"/>
          <w:lang w:bidi="ar-SA"/>
          <w:color w:val="111111"/>
          <w:sz w:val="28"/>
          <w:szCs w:val="28"/>
          <w:rtl/>
        </w:rPr>
        <w:t xml:space="preserve">صنعاني ، احمد بن صالح- ابن ابي الرجال</w:t>
      </w:r>
    </w:p>
    <w:p>
      <w:pPr>
        <w:pStyle w:val="BookText"/>
      </w:pPr>
      <w:r>
        <w:rPr>
          <w:rFonts w:ascii="IRNazanin" w:hAnsi="IRNazanin" w:eastAsia="IRNazanin" w:cs="IRNazanin"/>
          <w:lang w:bidi="fa-IR"/>
          <w:color w:val="111111"/>
          <w:sz w:val="28"/>
          <w:szCs w:val="28"/>
          <w:rtl/>
        </w:rPr>
        <w:t xml:space="preserve">احمد بن صالح</w:t>
      </w:r>
    </w:p>
    <w:p>
      <w:pPr>
        <w:pStyle w:val="BookText"/>
      </w:pPr>
      <w:r>
        <w:rPr>
          <w:rFonts w:ascii="Amiri" w:hAnsi="Amiri" w:eastAsia="Amiri" w:cs="Amiri"/>
          <w:lang w:bidi="ar-SA"/>
          <w:color w:val="111111"/>
          <w:sz w:val="28"/>
          <w:szCs w:val="28"/>
          <w:rtl/>
        </w:rPr>
        <w:t xml:space="preserve">صنعاني ، احمد بن عبد الله- رازي صنعاني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صنعاني ، احمد بن محمّد -شوكاني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صنعاني ، احمد بن محمّد -ضبوي ، احمد</w:t>
      </w:r>
    </w:p>
    <w:p>
      <w:pPr>
        <w:pStyle w:val="BookText"/>
      </w:pPr>
      <w:r>
        <w:rPr>
          <w:rFonts w:ascii="Amiri" w:hAnsi="Amiri" w:eastAsia="Amiri" w:cs="Amiri"/>
          <w:lang w:bidi="ar-SA"/>
          <w:color w:val="111111"/>
          <w:sz w:val="28"/>
          <w:szCs w:val="28"/>
          <w:rtl/>
        </w:rPr>
        <w:t xml:space="preserve">بن محمّد</w:t>
      </w:r>
    </w:p>
    <w:p>
      <w:pPr>
        <w:pStyle w:val="Heading2"/>
      </w:pPr>
      <w:bookmarkStart w:id="5474" w:name="_Toc4576"/>
      <w:r>
        <w:t>صنعاني، اسماعيل بن محمّد - 1079 ؟</w:t>
      </w:r>
      <w:bookmarkEnd w:id="5474"/>
    </w:p>
    <w:p>
      <w:pPr>
        <w:pStyle w:val="BookText"/>
      </w:pPr>
      <w:r>
        <w:rPr>
          <w:rFonts w:ascii="Amiri" w:hAnsi="Amiri" w:eastAsia="Amiri" w:cs="Amiri"/>
          <w:lang w:bidi="ar-SA"/>
          <w:color w:val="111111"/>
          <w:sz w:val="28"/>
          <w:szCs w:val="28"/>
          <w:rtl/>
        </w:rPr>
        <w:t xml:space="preserve">سمط اللآل في شعر الآل، ج8،</w:t>
      </w:r>
    </w:p>
    <w:p>
      <w:pPr>
        <w:pStyle w:val="BookText"/>
      </w:pPr>
      <w:r>
        <w:rPr>
          <w:rFonts w:ascii="IRNazanin" w:hAnsi="IRNazanin" w:eastAsia="IRNazanin" w:cs="IRNazanin"/>
          <w:lang w:bidi="fa-IR"/>
          <w:color w:val="111111"/>
          <w:sz w:val="28"/>
          <w:szCs w:val="28"/>
          <w:rtl/>
        </w:rPr>
        <w:t xml:space="preserve">ص 831.</w:t>
      </w:r>
    </w:p>
    <w:p>
      <w:pPr>
        <w:pStyle w:val="BookText"/>
      </w:pPr>
      <w:r>
        <w:rPr>
          <w:rFonts w:ascii="Amiri" w:hAnsi="Amiri" w:eastAsia="Amiri" w:cs="Amiri"/>
          <w:lang w:bidi="ar-SA"/>
          <w:color w:val="111111"/>
          <w:sz w:val="28"/>
          <w:szCs w:val="28"/>
          <w:rtl/>
        </w:rPr>
        <w:t xml:space="preserve">صنعاني ، حسن بن محمّد- صاغاني ، حسن</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صنعاني ، ضیاء الدین یوسف بن</w:t>
      </w:r>
    </w:p>
    <w:p>
      <w:pPr>
        <w:pStyle w:val="BookText"/>
      </w:pPr>
      <w:r>
        <w:rPr>
          <w:rFonts w:ascii="Amiri" w:hAnsi="Amiri" w:eastAsia="Amiri" w:cs="Amiri"/>
          <w:lang w:bidi="ar-SA"/>
          <w:color w:val="111111"/>
          <w:sz w:val="28"/>
          <w:szCs w:val="28"/>
          <w:rtl/>
        </w:rPr>
        <w:t xml:space="preserve">يحيى- صنعاني ، يوسف بن يحيى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79" w:name="pg7742_70672"/>
    <w:bookmarkEnd w:id="679"/>
    <w:p>
      <w:pPr>
        <w:pStyle w:val="BookText"/>
      </w:pPr>
      <w:r>
        <w:rPr>
          <w:rFonts w:ascii="Times New Roman" w:hAnsi="Times New Roman" w:eastAsia="Times New Roman" w:cs="Times New Roman"/>
          <w:lang w:val="en-US" w:bidi="en-US"/>
          <w:color w:val="111111"/>
          <w:sz w:val="28"/>
          <w:szCs w:val="28"/>
          <w:rtl/>
        </w:rPr>
        <w:t xml:space="preserve">T</w:t>
      </w:r>
    </w:p>
    <w:p>
      <w:pPr>
        <w:pStyle w:val="Heading2"/>
      </w:pPr>
      <w:bookmarkStart w:id="5475" w:name="_Toc4577"/>
      <w:r>
        <w:t>صنعاني ، عبدالرزاق بن همام 126 - 211</w:t>
      </w:r>
      <w:bookmarkEnd w:id="5475"/>
    </w:p>
    <w:p>
      <w:pPr>
        <w:pStyle w:val="BookText"/>
      </w:pPr>
      <w:r>
        <w:rPr>
          <w:rFonts w:ascii="Amiri" w:hAnsi="Amiri" w:eastAsia="Amiri" w:cs="Amiri"/>
          <w:lang w:bidi="ar-SA"/>
          <w:color w:val="111111"/>
          <w:sz w:val="28"/>
          <w:szCs w:val="28"/>
          <w:rtl/>
        </w:rPr>
        <w:t xml:space="preserve">1 .الامالي، ج 2، ص 708.</w:t>
      </w:r>
    </w:p>
    <w:p>
      <w:pPr>
        <w:pStyle w:val="BookText"/>
      </w:pPr>
      <w:r>
        <w:rPr>
          <w:rFonts w:ascii="IRNazanin" w:hAnsi="IRNazanin" w:eastAsia="IRNazanin" w:cs="IRNazanin"/>
          <w:lang w:bidi="fa-IR"/>
          <w:color w:val="111111"/>
          <w:sz w:val="28"/>
          <w:szCs w:val="28"/>
          <w:rtl/>
        </w:rPr>
        <w:t xml:space="preserve">2 .المصنف، ج 14 ، ص 751.</w:t>
      </w:r>
    </w:p>
    <w:p>
      <w:pPr>
        <w:pStyle w:val="Heading2"/>
      </w:pPr>
      <w:bookmarkStart w:id="5476" w:name="_Toc4578"/>
      <w:r>
        <w:t>صنعاني ، عيسى بن عيسى قرن 12 ه-</w:t>
      </w:r>
      <w:bookmarkEnd w:id="5476"/>
    </w:p>
    <w:p>
      <w:pPr>
        <w:pStyle w:val="BookText"/>
      </w:pPr>
      <w:r>
        <w:rPr>
          <w:rFonts w:ascii="Amiri" w:hAnsi="Amiri" w:eastAsia="Amiri" w:cs="Amiri"/>
          <w:lang w:bidi="ar-SA"/>
          <w:color w:val="111111"/>
          <w:sz w:val="28"/>
          <w:szCs w:val="28"/>
          <w:rtl/>
        </w:rPr>
        <w:t xml:space="preserve">نور العين فيمن يؤتي اجره مرتين</w:t>
      </w:r>
    </w:p>
    <w:p>
      <w:pPr>
        <w:pStyle w:val="BookText"/>
      </w:pPr>
      <w:r>
        <w:rPr>
          <w:rFonts w:ascii="IRNazanin" w:hAnsi="IRNazanin" w:eastAsia="IRNazanin" w:cs="IRNazanin"/>
          <w:lang w:bidi="fa-IR"/>
          <w:color w:val="111111"/>
          <w:sz w:val="28"/>
          <w:szCs w:val="28"/>
          <w:rtl/>
        </w:rPr>
        <w:t xml:space="preserve">ج 16، ص 564.</w:t>
      </w:r>
    </w:p>
    <w:p>
      <w:pPr>
        <w:pStyle w:val="BookText"/>
      </w:pPr>
      <w:r>
        <w:rPr>
          <w:rFonts w:ascii="Amiri" w:hAnsi="Amiri" w:eastAsia="Amiri" w:cs="Amiri"/>
          <w:lang w:bidi="ar-SA"/>
          <w:color w:val="111111"/>
          <w:sz w:val="28"/>
          <w:szCs w:val="28"/>
          <w:rtl/>
        </w:rPr>
        <w:t xml:space="preserve">صنعاني ، قاسم بن محمّد -منصور بالله</w:t>
      </w:r>
    </w:p>
    <w:p>
      <w:pPr>
        <w:pStyle w:val="BookText"/>
      </w:pPr>
      <w:r>
        <w:rPr>
          <w:rFonts w:ascii="IRNazanin" w:hAnsi="IRNazanin" w:eastAsia="IRNazanin" w:cs="IRNazanin"/>
          <w:lang w:bidi="fa-IR"/>
          <w:color w:val="111111"/>
          <w:sz w:val="28"/>
          <w:szCs w:val="28"/>
          <w:rtl/>
        </w:rPr>
        <w:t xml:space="preserve">قاسم بن محمّد</w:t>
      </w:r>
    </w:p>
    <w:p>
      <w:pPr>
        <w:pStyle w:val="BookText"/>
      </w:pPr>
      <w:r>
        <w:rPr>
          <w:rFonts w:ascii="Amiri" w:hAnsi="Amiri" w:eastAsia="Amiri" w:cs="Amiri"/>
          <w:lang w:bidi="ar-SA"/>
          <w:color w:val="111111"/>
          <w:sz w:val="28"/>
          <w:szCs w:val="28"/>
          <w:rtl/>
        </w:rPr>
        <w:t xml:space="preserve">صنعاني ، محمّد بن ابراهيم- ابن الوزير ،</w:t>
      </w:r>
    </w:p>
    <w:p>
      <w:pPr>
        <w:pStyle w:val="BookText"/>
      </w:pPr>
      <w:r>
        <w:rPr>
          <w:rFonts w:ascii="IRNazanin" w:hAnsi="IRNazanin" w:eastAsia="IRNazanin" w:cs="IRNazanin"/>
          <w:lang w:bidi="fa-IR"/>
          <w:color w:val="111111"/>
          <w:sz w:val="28"/>
          <w:szCs w:val="28"/>
          <w:rtl/>
        </w:rPr>
        <w:t xml:space="preserve">محمّد بن ابراهیم</w:t>
      </w:r>
    </w:p>
    <w:p>
      <w:pPr>
        <w:pStyle w:val="BookText"/>
      </w:pPr>
      <w:r>
        <w:rPr>
          <w:rFonts w:ascii="Amiri" w:hAnsi="Amiri" w:eastAsia="Amiri" w:cs="Amiri"/>
          <w:lang w:bidi="ar-SA"/>
          <w:color w:val="111111"/>
          <w:sz w:val="28"/>
          <w:szCs w:val="28"/>
          <w:rtl/>
        </w:rPr>
        <w:t xml:space="preserve">صنعاني ، محمّد بن اسماعيل- امير صنعاني ، محمّد بن اسماعيل</w:t>
      </w:r>
    </w:p>
    <w:p>
      <w:pPr>
        <w:pStyle w:val="Heading2"/>
      </w:pPr>
      <w:bookmarkStart w:id="5477" w:name="_Toc4579"/>
      <w:r>
        <w:t>صنعاني ، يوسف بن يحيى 1078 - 1121</w:t>
      </w:r>
      <w:bookmarkEnd w:id="5477"/>
    </w:p>
    <w:p>
      <w:pPr>
        <w:pStyle w:val="BookText"/>
      </w:pPr>
      <w:r>
        <w:rPr>
          <w:rFonts w:ascii="Amiri" w:hAnsi="Amiri" w:eastAsia="Amiri" w:cs="Amiri"/>
          <w:lang w:bidi="ar-SA"/>
          <w:color w:val="111111"/>
          <w:sz w:val="28"/>
          <w:szCs w:val="28"/>
          <w:rtl/>
        </w:rPr>
        <w:t xml:space="preserve">نسمة السحر بذكر من تشيع و شعر</w:t>
      </w:r>
    </w:p>
    <w:p>
      <w:pPr>
        <w:pStyle w:val="BookText"/>
      </w:pPr>
      <w:r>
        <w:rPr>
          <w:rFonts w:ascii="IRNazanin" w:hAnsi="IRNazanin" w:eastAsia="IRNazanin" w:cs="IRNazanin"/>
          <w:lang w:bidi="fa-IR"/>
          <w:color w:val="111111"/>
          <w:sz w:val="28"/>
          <w:szCs w:val="28"/>
          <w:rtl/>
        </w:rPr>
        <w:t xml:space="preserve">ج 16 ، ص 278 .</w:t>
      </w:r>
    </w:p>
    <w:p>
      <w:pPr>
        <w:pStyle w:val="BookText"/>
      </w:pPr>
      <w:r>
        <w:rPr>
          <w:rFonts w:ascii="Amiri" w:hAnsi="Amiri" w:eastAsia="Amiri" w:cs="Amiri"/>
          <w:lang w:bidi="ar-SA"/>
          <w:color w:val="111111"/>
          <w:sz w:val="28"/>
          <w:szCs w:val="28"/>
          <w:rtl/>
        </w:rPr>
        <w:t xml:space="preserve">صهناجي ، احمد بن احمد- بابا تنبكتي</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IRNazanin" w:hAnsi="IRNazanin" w:eastAsia="IRNazanin" w:cs="IRNazanin"/>
          <w:lang w:bidi="fa-IR"/>
          <w:color w:val="111111"/>
          <w:sz w:val="28"/>
          <w:szCs w:val="28"/>
          <w:rtl/>
        </w:rPr>
        <w:t xml:space="preserve">صنهاجي ، احمد بن محمّد- ابن عریف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صنعاني ، محمّد بن صالح -عصامي</w:t>
      </w:r>
    </w:p>
    <w:p>
      <w:pPr>
        <w:pStyle w:val="BookText"/>
      </w:pPr>
      <w:r>
        <w:rPr>
          <w:rFonts w:ascii="IRNazanin" w:hAnsi="IRNazanin" w:eastAsia="IRNazanin" w:cs="IRNazanin"/>
          <w:lang w:bidi="fa-IR"/>
          <w:color w:val="111111"/>
          <w:sz w:val="28"/>
          <w:szCs w:val="28"/>
          <w:rtl/>
        </w:rPr>
        <w:t xml:space="preserve">محمّد بن صالح</w:t>
      </w:r>
    </w:p>
    <w:p>
      <w:pPr>
        <w:pStyle w:val="BookText"/>
      </w:pPr>
      <w:r>
        <w:rPr>
          <w:rFonts w:ascii="Amiri" w:hAnsi="Amiri" w:eastAsia="Amiri" w:cs="Amiri"/>
          <w:lang w:bidi="ar-SA"/>
          <w:color w:val="111111"/>
          <w:sz w:val="28"/>
          <w:szCs w:val="28"/>
          <w:rtl/>
        </w:rPr>
        <w:t xml:space="preserve">صنعاني ، محمّد بن علي- شوكاني ، محمّد محمّد بن محمّد</w:t>
      </w:r>
    </w:p>
    <w:p>
      <w:pPr>
        <w:pStyle w:val="BookText"/>
      </w:pPr>
      <w:r>
        <w:rPr>
          <w:rFonts w:ascii="Amiri" w:hAnsi="Amiri" w:eastAsia="Amiri" w:cs="Amiri"/>
          <w:lang w:bidi="ar-SA"/>
          <w:color w:val="111111"/>
          <w:sz w:val="28"/>
          <w:szCs w:val="28"/>
          <w:rtl/>
        </w:rPr>
        <w:t xml:space="preserve">بن علي</w:t>
      </w:r>
    </w:p>
    <w:p>
      <w:pPr>
        <w:pStyle w:val="Heading2"/>
      </w:pPr>
      <w:bookmarkStart w:id="5478" w:name="_Toc4580"/>
      <w:r>
        <w:t>صنعاني ، همام بن منبه 40 - 131 ه-</w:t>
      </w:r>
      <w:bookmarkEnd w:id="5478"/>
    </w:p>
    <w:p>
      <w:pPr>
        <w:pStyle w:val="BookText"/>
      </w:pPr>
      <w:r>
        <w:rPr>
          <w:rFonts w:ascii="Amiri" w:hAnsi="Amiri" w:eastAsia="Amiri" w:cs="Amiri"/>
          <w:lang w:bidi="ar-SA"/>
          <w:color w:val="111111"/>
          <w:sz w:val="28"/>
          <w:szCs w:val="28"/>
          <w:rtl/>
        </w:rPr>
        <w:t xml:space="preserve">الصحيفة الصحيحة، ج 10، ص 517.</w:t>
      </w:r>
    </w:p>
    <w:p>
      <w:pPr>
        <w:pStyle w:val="Heading2"/>
      </w:pPr>
      <w:bookmarkStart w:id="5479" w:name="_Toc4581"/>
      <w:r>
        <w:t>صنعاني ، وهب بن منبه - 110 ه-</w:t>
      </w:r>
      <w:bookmarkEnd w:id="5479"/>
    </w:p>
    <w:p>
      <w:pPr>
        <w:pStyle w:val="BookText"/>
      </w:pPr>
      <w:r>
        <w:rPr>
          <w:rFonts w:ascii="Amiri" w:hAnsi="Amiri" w:eastAsia="Amiri" w:cs="Amiri"/>
          <w:lang w:bidi="ar-SA"/>
          <w:color w:val="111111"/>
          <w:sz w:val="28"/>
          <w:szCs w:val="28"/>
          <w:rtl/>
        </w:rPr>
        <w:t xml:space="preserve">قصص الانبياء، ج 12، ص 622 .</w:t>
      </w:r>
    </w:p>
    <w:p>
      <w:pPr>
        <w:pStyle w:val="BookText"/>
      </w:pPr>
      <w:r>
        <w:rPr>
          <w:rFonts w:ascii="Amiri" w:hAnsi="Amiri" w:eastAsia="Amiri" w:cs="Amiri"/>
          <w:lang w:bidi="ar-SA"/>
          <w:color w:val="111111"/>
          <w:sz w:val="28"/>
          <w:szCs w:val="28"/>
          <w:rtl/>
        </w:rPr>
        <w:t xml:space="preserve">صنعاني ، يحيى بن قاسم- فاضل يمني ،</w:t>
      </w:r>
    </w:p>
    <w:p>
      <w:pPr>
        <w:pStyle w:val="BookText"/>
      </w:pPr>
      <w:r>
        <w:rPr>
          <w:rFonts w:ascii="Amiri" w:hAnsi="Amiri" w:eastAsia="Amiri" w:cs="Amiri"/>
          <w:lang w:bidi="ar-SA"/>
          <w:color w:val="111111"/>
          <w:sz w:val="28"/>
          <w:szCs w:val="28"/>
          <w:rtl/>
        </w:rPr>
        <w:t xml:space="preserve">يحيى بن قاسم صنعاني ، يوسف بن علي -كوكباني ، يوسف</w:t>
      </w:r>
    </w:p>
    <w:p>
      <w:pPr>
        <w:pStyle w:val="BookText"/>
      </w:pPr>
      <w:r>
        <w:rPr>
          <w:rFonts w:ascii="Amiri" w:hAnsi="Amiri" w:eastAsia="Amiri" w:cs="Amiri"/>
          <w:lang w:bidi="ar-SA"/>
          <w:color w:val="111111"/>
          <w:sz w:val="28"/>
          <w:szCs w:val="28"/>
          <w:rtl/>
        </w:rPr>
        <w:t xml:space="preserve">بن علي</w:t>
      </w:r>
    </w:p>
    <w:p>
      <w:pPr>
        <w:pStyle w:val="Heading2"/>
      </w:pPr>
      <w:bookmarkStart w:id="5480" w:name="_Toc4582"/>
      <w:r>
        <w:t>صنهاجي ، سعيد بن مسعود - 1016</w:t>
      </w:r>
      <w:bookmarkEnd w:id="5480"/>
    </w:p>
    <w:p>
      <w:pPr>
        <w:pStyle w:val="BookText"/>
      </w:pPr>
      <w:r>
        <w:rPr>
          <w:rFonts w:ascii="Amiri" w:hAnsi="Amiri" w:eastAsia="Amiri" w:cs="Amiri"/>
          <w:lang w:bidi="ar-SA"/>
          <w:color w:val="111111"/>
          <w:sz w:val="28"/>
          <w:szCs w:val="28"/>
          <w:rtl/>
        </w:rPr>
        <w:t xml:space="preserve">ايضاح المبهم من لامية العجم = شرح لامية العجم، ج 3، ص 136.</w:t>
      </w:r>
    </w:p>
    <w:p>
      <w:pPr>
        <w:pStyle w:val="BookText"/>
      </w:pPr>
      <w:r>
        <w:rPr>
          <w:rFonts w:ascii="Amiri" w:hAnsi="Amiri" w:eastAsia="Amiri" w:cs="Amiri"/>
          <w:lang w:bidi="ar-SA"/>
          <w:color w:val="111111"/>
          <w:sz w:val="28"/>
          <w:szCs w:val="28"/>
          <w:rtl/>
        </w:rPr>
        <w:t xml:space="preserve">صنهاجي قرافي ، احمد بن ادريس -قرافي ،</w:t>
      </w:r>
    </w:p>
    <w:p>
      <w:pPr>
        <w:pStyle w:val="BookText"/>
      </w:pPr>
      <w:r>
        <w:rPr>
          <w:rFonts w:ascii="IRNazanin" w:hAnsi="IRNazanin" w:eastAsia="IRNazanin" w:cs="IRNazanin"/>
          <w:lang w:bidi="fa-IR"/>
          <w:color w:val="111111"/>
          <w:sz w:val="28"/>
          <w:szCs w:val="28"/>
          <w:rtl/>
        </w:rPr>
        <w:t xml:space="preserve">احمد بن ادریس</w:t>
      </w:r>
    </w:p>
    <w:p>
      <w:pPr>
        <w:pStyle w:val="BookText"/>
      </w:pPr>
      <w:r>
        <w:rPr>
          <w:rFonts w:ascii="Amiri" w:hAnsi="Amiri" w:eastAsia="Amiri" w:cs="Amiri"/>
          <w:lang w:bidi="ar-SA"/>
          <w:color w:val="111111"/>
          <w:sz w:val="28"/>
          <w:szCs w:val="28"/>
          <w:rtl/>
        </w:rPr>
        <w:t xml:space="preserve">صنهاجي ، محمّد بن داود -ابن آجروم ، محمّد بن محمّد</w:t>
      </w:r>
    </w:p>
    <w:p>
      <w:pPr>
        <w:pStyle w:val="BookText"/>
      </w:pPr>
      <w:r>
        <w:rPr>
          <w:rFonts w:ascii="Amiri" w:hAnsi="Amiri" w:eastAsia="Amiri" w:cs="Amiri"/>
          <w:lang w:bidi="ar-SA"/>
          <w:color w:val="111111"/>
          <w:sz w:val="28"/>
          <w:szCs w:val="28"/>
          <w:rtl/>
        </w:rPr>
        <w:t xml:space="preserve">صنهاجي ، محمّد بن سعيد- بوصيري ،</w:t>
      </w:r>
    </w:p>
    <w:p>
      <w:pPr>
        <w:pStyle w:val="BookText"/>
      </w:pPr>
      <w:r>
        <w:rPr>
          <w:rFonts w:ascii="Amiri" w:hAnsi="Amiri" w:eastAsia="Amiri" w:cs="Amiri"/>
          <w:lang w:bidi="ar-SA"/>
          <w:color w:val="111111"/>
          <w:sz w:val="28"/>
          <w:szCs w:val="28"/>
          <w:rtl/>
        </w:rPr>
        <w:t xml:space="preserve">محمّد بن سعيد</w:t>
      </w:r>
    </w:p>
    <w:p>
      <w:pPr>
        <w:pStyle w:val="Heading2"/>
      </w:pPr>
      <w:bookmarkStart w:id="5481" w:name="_Toc4583"/>
      <w:r>
        <w:t>صنهاجي ، محمّد بن سعيد - 795 ه-</w:t>
      </w:r>
      <w:bookmarkEnd w:id="5481"/>
    </w:p>
    <w:p>
      <w:pPr>
        <w:pStyle w:val="BookText"/>
      </w:pPr>
      <w:r>
        <w:rPr>
          <w:rFonts w:ascii="Amiri" w:hAnsi="Amiri" w:eastAsia="Amiri" w:cs="Amiri"/>
          <w:lang w:bidi="ar-SA"/>
          <w:color w:val="111111"/>
          <w:sz w:val="28"/>
          <w:szCs w:val="28"/>
          <w:rtl/>
        </w:rPr>
        <w:t xml:space="preserve">كنز الاسرار و لاقح الافكار، ج 13</w:t>
      </w:r>
    </w:p>
    <w:p>
      <w:pPr>
        <w:pStyle w:val="BookText"/>
      </w:pPr>
      <w:r>
        <w:rPr>
          <w:rFonts w:ascii="IRNazanin" w:hAnsi="IRNazanin" w:eastAsia="IRNazanin" w:cs="IRNazanin"/>
          <w:lang w:bidi="fa-IR"/>
          <w:color w:val="111111"/>
          <w:sz w:val="28"/>
          <w:szCs w:val="28"/>
          <w:rtl/>
        </w:rPr>
        <w:t xml:space="preserve">ص 402 .</w:t>
      </w:r>
    </w:p>
    <w:p>
      <w:pPr>
        <w:pStyle w:val="BookText"/>
      </w:pPr>
      <w:r>
        <w:rPr>
          <w:rFonts w:ascii="Amiri" w:hAnsi="Amiri" w:eastAsia="Amiri" w:cs="Amiri"/>
          <w:lang w:bidi="ar-SA"/>
          <w:color w:val="111111"/>
          <w:sz w:val="28"/>
          <w:szCs w:val="28"/>
          <w:rtl/>
        </w:rPr>
        <w:t xml:space="preserve">صنهاجي ، محمّد بن محمّد- ابن آجروم ، محمّد بن محمّد</w:t>
      </w:r>
    </w:p>
    <w:p>
      <w:pPr>
        <w:pStyle w:val="Heading2"/>
      </w:pPr>
      <w:bookmarkStart w:id="5482" w:name="_Toc4584"/>
      <w:r>
        <w:t>صنهاجي ، معز بن باديس 398 - 454 ه-</w:t>
      </w:r>
      <w:bookmarkEnd w:id="5482"/>
    </w:p>
    <w:p>
      <w:pPr>
        <w:pStyle w:val="BookText"/>
      </w:pPr>
      <w:r>
        <w:rPr>
          <w:rFonts w:ascii="Amiri" w:hAnsi="Amiri" w:eastAsia="Amiri" w:cs="Amiri"/>
          <w:lang w:bidi="ar-SA"/>
          <w:color w:val="111111"/>
          <w:sz w:val="28"/>
          <w:szCs w:val="28"/>
          <w:rtl/>
        </w:rPr>
        <w:t xml:space="preserve">عمدة الكتاب وعدة ذوي الألباب ج 11، ص 307.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80" w:name="pg7742_70673"/>
    <w:bookmarkEnd w:id="680"/>
    <w:p>
      <w:pPr>
        <w:pStyle w:val="BookText"/>
      </w:pPr>
      <w:r>
        <w:rPr>
          <w:rFonts w:ascii="IRNazanin" w:hAnsi="IRNazanin" w:eastAsia="IRNazanin" w:cs="IRNazanin"/>
          <w:lang w:bidi="fa-IR"/>
          <w:color w:val="111111"/>
          <w:sz w:val="28"/>
          <w:szCs w:val="28"/>
          <w:rtl/>
        </w:rPr>
        <w:t xml:space="preserve">صنوبري ، ابوبکر احمد-صنوبري ، احمد</w:t>
      </w:r>
    </w:p>
    <w:p>
      <w:pPr>
        <w:pStyle w:val="BookText"/>
      </w:pPr>
      <w:r>
        <w:rPr>
          <w:rFonts w:ascii="Amiri" w:hAnsi="Amiri" w:eastAsia="Amiri" w:cs="Amiri"/>
          <w:lang w:bidi="ar-SA"/>
          <w:color w:val="111111"/>
          <w:sz w:val="28"/>
          <w:szCs w:val="28"/>
          <w:rtl/>
        </w:rPr>
        <w:t xml:space="preserve">بن محمّد</w:t>
      </w:r>
    </w:p>
    <w:p>
      <w:pPr>
        <w:pStyle w:val="Heading2"/>
      </w:pPr>
      <w:bookmarkStart w:id="5483" w:name="_Toc4585"/>
      <w:r>
        <w:t>صنوبري، احمد بن محمّد - 334 ه-</w:t>
      </w:r>
      <w:bookmarkEnd w:id="5483"/>
    </w:p>
    <w:p>
      <w:pPr>
        <w:pStyle w:val="BookText"/>
      </w:pPr>
      <w:r>
        <w:rPr>
          <w:rFonts w:ascii="Amiri" w:hAnsi="Amiri" w:eastAsia="Amiri" w:cs="Amiri"/>
          <w:lang w:bidi="ar-SA"/>
          <w:color w:val="111111"/>
          <w:sz w:val="28"/>
          <w:szCs w:val="28"/>
          <w:rtl/>
        </w:rPr>
        <w:t xml:space="preserve">ديوان الصنوبري، ج 7، ص 692.</w:t>
      </w:r>
    </w:p>
    <w:p>
      <w:pPr>
        <w:pStyle w:val="BookText"/>
      </w:pPr>
      <w:r>
        <w:rPr>
          <w:rFonts w:ascii="Amiri" w:hAnsi="Amiri" w:eastAsia="Amiri" w:cs="Amiri"/>
          <w:lang w:bidi="ar-SA"/>
          <w:color w:val="111111"/>
          <w:sz w:val="28"/>
          <w:szCs w:val="28"/>
          <w:rtl/>
        </w:rPr>
        <w:t xml:space="preserve">، محمّد مهدي بن علي -مهجمي</w:t>
      </w:r>
    </w:p>
    <w:p>
      <w:pPr>
        <w:pStyle w:val="BookText"/>
      </w:pPr>
      <w:r>
        <w:rPr>
          <w:rFonts w:ascii="Amiri" w:hAnsi="Amiri" w:eastAsia="Amiri" w:cs="Amiri"/>
          <w:lang w:bidi="ar-SA"/>
          <w:color w:val="111111"/>
          <w:sz w:val="28"/>
          <w:szCs w:val="28"/>
          <w:rtl/>
        </w:rPr>
        <w:t xml:space="preserve">صنوبري ، محمّد مهدي بن علي</w:t>
      </w:r>
    </w:p>
    <w:p>
      <w:pPr>
        <w:pStyle w:val="BookText"/>
      </w:pPr>
      <w:r>
        <w:rPr>
          <w:rFonts w:ascii="Amiri" w:hAnsi="Amiri" w:eastAsia="Amiri" w:cs="Amiri"/>
          <w:lang w:bidi="ar-SA"/>
          <w:color w:val="111111"/>
          <w:sz w:val="28"/>
          <w:szCs w:val="28"/>
          <w:rtl/>
        </w:rPr>
        <w:t xml:space="preserve">صنيع الدوله ، محمّد حسن -اعتماد</w:t>
      </w:r>
    </w:p>
    <w:p>
      <w:pPr>
        <w:pStyle w:val="BookText"/>
      </w:pPr>
      <w:r>
        <w:rPr>
          <w:rFonts w:ascii="Amiri" w:hAnsi="Amiri" w:eastAsia="Amiri" w:cs="Amiri"/>
          <w:lang w:bidi="ar-SA"/>
          <w:color w:val="111111"/>
          <w:sz w:val="28"/>
          <w:szCs w:val="28"/>
          <w:rtl/>
        </w:rPr>
        <w:t xml:space="preserve">السلطنه ، محمّد حسن بن علي</w:t>
      </w:r>
    </w:p>
    <w:p>
      <w:pPr>
        <w:pStyle w:val="Heading2"/>
      </w:pPr>
      <w:bookmarkStart w:id="5484" w:name="_Toc4586"/>
      <w:r>
        <w:t>صهرشتي ، سليمان بن حسن قرن 5 ه-</w:t>
      </w:r>
      <w:bookmarkEnd w:id="5484"/>
    </w:p>
    <w:p>
      <w:pPr>
        <w:pStyle w:val="BookText"/>
      </w:pPr>
      <w:r>
        <w:rPr>
          <w:rFonts w:ascii="Amiri" w:hAnsi="Amiri" w:eastAsia="Amiri" w:cs="Amiri"/>
          <w:lang w:bidi="ar-SA"/>
          <w:color w:val="111111"/>
          <w:sz w:val="28"/>
          <w:szCs w:val="28"/>
          <w:rtl/>
        </w:rPr>
        <w:t xml:space="preserve">مناظرة أبي العلاء المعري مع الشريف صوفي الله يار بخارائي نقشبندي صوفي ،</w:t>
      </w:r>
    </w:p>
    <w:p>
      <w:pPr>
        <w:pStyle w:val="BookText"/>
      </w:pPr>
      <w:r>
        <w:rPr>
          <w:rFonts w:ascii="IRNazanin" w:hAnsi="IRNazanin" w:eastAsia="IRNazanin" w:cs="IRNazanin"/>
          <w:lang w:bidi="fa-IR"/>
          <w:color w:val="111111"/>
          <w:sz w:val="28"/>
          <w:szCs w:val="28"/>
          <w:rtl/>
        </w:rPr>
        <w:t xml:space="preserve">المرتضى، ج 15، ص 514</w:t>
      </w:r>
    </w:p>
    <w:p>
      <w:pPr>
        <w:pStyle w:val="Heading2"/>
      </w:pPr>
      <w:bookmarkStart w:id="5485" w:name="_Toc4587"/>
      <w:r>
        <w:t>صوافي، مصطفى بن حسين قرن 12 ه-</w:t>
      </w:r>
      <w:bookmarkEnd w:id="5485"/>
    </w:p>
    <w:p>
      <w:pPr>
        <w:pStyle w:val="BookText"/>
      </w:pPr>
      <w:r>
        <w:rPr>
          <w:rFonts w:ascii="IRNazanin" w:hAnsi="IRNazanin" w:eastAsia="IRNazanin" w:cs="IRNazanin"/>
          <w:lang w:bidi="fa-IR"/>
          <w:color w:val="111111"/>
          <w:sz w:val="28"/>
          <w:szCs w:val="28"/>
          <w:rtl/>
        </w:rPr>
        <w:t xml:space="preserve">آداب البحث، ج 1، ص23.</w:t>
      </w:r>
    </w:p>
    <w:p>
      <w:pPr>
        <w:pStyle w:val="Heading2"/>
      </w:pPr>
      <w:bookmarkStart w:id="5486" w:name="_Toc4588"/>
      <w:r>
        <w:t>صوالحي</w:t>
      </w:r>
      <w:bookmarkEnd w:id="5486"/>
    </w:p>
    <w:p>
      <w:pPr>
        <w:pStyle w:val="BookText"/>
      </w:pPr>
      <w:r>
        <w:rPr>
          <w:rFonts w:ascii="Amiri" w:hAnsi="Amiri" w:eastAsia="Amiri" w:cs="Amiri"/>
          <w:lang w:bidi="ar-SA"/>
          <w:color w:val="111111"/>
          <w:sz w:val="28"/>
          <w:szCs w:val="28"/>
          <w:rtl/>
        </w:rPr>
        <w:t xml:space="preserve">جداول محكمات القمر ، ج 5، ص 370 .</w:t>
      </w:r>
    </w:p>
    <w:p>
      <w:pPr>
        <w:pStyle w:val="BookText"/>
      </w:pPr>
      <w:r>
        <w:rPr>
          <w:rFonts w:ascii="Amiri" w:hAnsi="Amiri" w:eastAsia="Amiri" w:cs="Amiri"/>
          <w:lang w:bidi="ar-SA"/>
          <w:color w:val="111111"/>
          <w:sz w:val="28"/>
          <w:szCs w:val="28"/>
          <w:rtl/>
        </w:rPr>
        <w:t xml:space="preserve">صوباوي، ايليا برشينايا -ايليا بن شينايا</w:t>
      </w:r>
    </w:p>
    <w:p>
      <w:pPr>
        <w:pStyle w:val="Heading2"/>
      </w:pPr>
      <w:bookmarkStart w:id="5487" w:name="_Toc4589"/>
      <w:r>
        <w:t>صوباوي عبديشوع بن بريخيا - 718 ه-</w:t>
      </w:r>
      <w:bookmarkEnd w:id="5487"/>
    </w:p>
    <w:p>
      <w:pPr>
        <w:pStyle w:val="BookText"/>
      </w:pPr>
      <w:r>
        <w:rPr>
          <w:rFonts w:ascii="Amiri" w:hAnsi="Amiri" w:eastAsia="Amiri" w:cs="Amiri"/>
          <w:lang w:bidi="ar-SA"/>
          <w:color w:val="111111"/>
          <w:sz w:val="28"/>
          <w:szCs w:val="28"/>
          <w:rtl/>
        </w:rPr>
        <w:t xml:space="preserve">1 .الاناجيل المقدسة، ج 2، ص 773.</w:t>
      </w:r>
    </w:p>
    <w:p>
      <w:pPr>
        <w:pStyle w:val="BookText"/>
      </w:pPr>
      <w:r>
        <w:rPr>
          <w:rFonts w:ascii="Amiri" w:hAnsi="Amiri" w:eastAsia="Amiri" w:cs="Amiri"/>
          <w:lang w:bidi="ar-SA"/>
          <w:color w:val="111111"/>
          <w:sz w:val="28"/>
          <w:szCs w:val="28"/>
          <w:rtl/>
        </w:rPr>
        <w:t xml:space="preserve">2.الانجيل المسجع، ج 2، ص 795.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المثمنة الروحانية في أصول</w:t>
      </w:r>
    </w:p>
    <w:p>
      <w:pPr>
        <w:pStyle w:val="BookText"/>
      </w:pPr>
      <w:r>
        <w:rPr>
          <w:rFonts w:ascii="Amiri" w:hAnsi="Amiri" w:eastAsia="Amiri" w:cs="Amiri"/>
          <w:lang w:bidi="ar-SA"/>
          <w:color w:val="111111"/>
          <w:sz w:val="28"/>
          <w:szCs w:val="28"/>
          <w:rtl/>
        </w:rPr>
        <w:t xml:space="preserve">دين النصرانية، ج 7، ص 255.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فردوس عدن، ج11، ص780.</w:t>
      </w:r>
    </w:p>
    <w:p>
      <w:pPr>
        <w:pStyle w:val="Heading2"/>
      </w:pPr>
      <w:bookmarkStart w:id="5488" w:name="_Toc4590"/>
      <w:r>
        <w:t>صوري، عبد المحسن بن محمّد 339 -</w:t>
      </w:r>
      <w:bookmarkEnd w:id="5488"/>
    </w:p>
    <w:p>
      <w:pPr>
        <w:pStyle w:val="BookText"/>
      </w:pPr>
      <w:r>
        <w:rPr>
          <w:rFonts w:ascii="IRNazanin" w:hAnsi="IRNazanin" w:eastAsia="IRNazanin" w:cs="IRNazanin"/>
          <w:lang w:bidi="fa-IR"/>
          <w:color w:val="111111"/>
          <w:sz w:val="28"/>
          <w:szCs w:val="28"/>
          <w:rtl/>
        </w:rPr>
        <w:t xml:space="preserve">419 ه-</w:t>
      </w:r>
    </w:p>
    <w:p>
      <w:pPr>
        <w:pStyle w:val="BookText"/>
      </w:pPr>
      <w:r>
        <w:rPr>
          <w:rFonts w:ascii="Amiri" w:hAnsi="Amiri" w:eastAsia="Amiri" w:cs="Amiri"/>
          <w:lang w:bidi="ar-SA"/>
          <w:color w:val="111111"/>
          <w:sz w:val="28"/>
          <w:szCs w:val="28"/>
          <w:rtl/>
        </w:rPr>
        <w:t xml:space="preserve">ديوان الصوري، ج 7، ص 693.</w:t>
      </w:r>
    </w:p>
    <w:p>
      <w:pPr>
        <w:pStyle w:val="BookText"/>
      </w:pPr>
      <w:r>
        <w:rPr>
          <w:rFonts w:ascii="Amiri" w:hAnsi="Amiri" w:eastAsia="Amiri" w:cs="Amiri"/>
          <w:lang w:bidi="ar-SA"/>
          <w:color w:val="111111"/>
          <w:sz w:val="28"/>
          <w:szCs w:val="28"/>
          <w:rtl/>
        </w:rPr>
        <w:t xml:space="preserve">صوفي ، ابوالحسين عبد الرحمان- صوفي ،</w:t>
      </w:r>
    </w:p>
    <w:p>
      <w:pPr>
        <w:pStyle w:val="BookText"/>
      </w:pPr>
      <w:r>
        <w:rPr>
          <w:rFonts w:ascii="IRNazanin" w:hAnsi="IRNazanin" w:eastAsia="IRNazanin" w:cs="IRNazanin"/>
          <w:lang w:bidi="fa-IR"/>
          <w:color w:val="111111"/>
          <w:sz w:val="28"/>
          <w:szCs w:val="28"/>
          <w:rtl/>
        </w:rPr>
        <w:t xml:space="preserve">عبد الرحمن بن عمر</w:t>
      </w:r>
    </w:p>
    <w:p>
      <w:pPr>
        <w:pStyle w:val="Heading2"/>
      </w:pPr>
      <w:bookmarkStart w:id="5489" w:name="_Toc4591"/>
      <w:r>
        <w:t>صوفي ، ابوالسيادات محمّد</w:t>
      </w:r>
      <w:bookmarkEnd w:id="5489"/>
    </w:p>
    <w:p>
      <w:pPr>
        <w:pStyle w:val="BookText"/>
      </w:pPr>
      <w:r>
        <w:rPr>
          <w:rFonts w:ascii="Amiri" w:hAnsi="Amiri" w:eastAsia="Amiri" w:cs="Amiri"/>
          <w:lang w:bidi="ar-SA"/>
          <w:color w:val="111111"/>
          <w:sz w:val="28"/>
          <w:szCs w:val="28"/>
          <w:rtl/>
        </w:rPr>
        <w:t xml:space="preserve">ديوان الصوفي، ج 7، ص 694.</w:t>
      </w:r>
    </w:p>
    <w:p>
      <w:pPr>
        <w:pStyle w:val="BookText"/>
      </w:pPr>
      <w:r>
        <w:rPr>
          <w:rFonts w:ascii="Amiri" w:hAnsi="Amiri" w:eastAsia="Amiri" w:cs="Amiri"/>
          <w:lang w:bidi="ar-SA"/>
          <w:color w:val="111111"/>
          <w:sz w:val="28"/>
          <w:szCs w:val="28"/>
          <w:rtl/>
        </w:rPr>
        <w:t xml:space="preserve">صوفي ، احمد بن علي- طريثيثي ، احمد بن علي</w:t>
      </w:r>
    </w:p>
    <w:p>
      <w:pPr>
        <w:pStyle w:val="BookText"/>
      </w:pPr>
      <w:r>
        <w:rPr>
          <w:rFonts w:ascii="IRNazanin" w:hAnsi="IRNazanin" w:eastAsia="IRNazanin" w:cs="IRNazanin"/>
          <w:lang w:bidi="fa-IR"/>
          <w:color w:val="111111"/>
          <w:sz w:val="28"/>
          <w:szCs w:val="28"/>
          <w:rtl/>
        </w:rPr>
        <w:t xml:space="preserve">صوفي ، جابر بن حيان- جابر بن حیان</w:t>
      </w:r>
    </w:p>
    <w:p>
      <w:pPr>
        <w:pStyle w:val="BookText"/>
      </w:pPr>
      <w:r>
        <w:rPr>
          <w:rFonts w:ascii="Amiri" w:hAnsi="Amiri" w:eastAsia="Amiri" w:cs="Amiri"/>
          <w:lang w:bidi="ar-SA"/>
          <w:color w:val="111111"/>
          <w:sz w:val="28"/>
          <w:szCs w:val="28"/>
          <w:rtl/>
        </w:rPr>
        <w:t xml:space="preserve">صوفي حمزة بن شمشاد -حمزة بن شمشاد</w:t>
      </w:r>
    </w:p>
    <w:p>
      <w:pPr>
        <w:pStyle w:val="Heading2"/>
      </w:pPr>
      <w:bookmarkStart w:id="5490" w:name="_Toc4592"/>
      <w:r>
        <w:t>صوفي سمرقندي ، محمّد بن احمد قرن 8</w:t>
      </w:r>
      <w:bookmarkEnd w:id="5490"/>
    </w:p>
    <w:p>
      <w:pPr>
        <w:pStyle w:val="BookText"/>
      </w:pPr>
      <w:r>
        <w:rPr>
          <w:rFonts w:ascii="Amiri" w:hAnsi="Amiri" w:eastAsia="Amiri" w:cs="Amiri"/>
          <w:lang w:bidi="ar-SA"/>
          <w:color w:val="111111"/>
          <w:sz w:val="28"/>
          <w:szCs w:val="28"/>
          <w:rtl/>
        </w:rPr>
        <w:t xml:space="preserve">الله يار بن الله قلي</w:t>
      </w:r>
    </w:p>
    <w:p>
      <w:pPr>
        <w:pStyle w:val="BookText"/>
      </w:pPr>
      <w:r>
        <w:rPr>
          <w:rFonts w:ascii="Amiri" w:hAnsi="Amiri" w:eastAsia="Amiri" w:cs="Amiri"/>
          <w:lang w:bidi="ar-SA"/>
          <w:color w:val="111111"/>
          <w:sz w:val="28"/>
          <w:szCs w:val="28"/>
          <w:rtl/>
        </w:rPr>
        <w:t xml:space="preserve">مجموعة الصوفي، ج 14، ص 43.</w:t>
      </w:r>
    </w:p>
    <w:p>
      <w:pPr>
        <w:pStyle w:val="BookText"/>
      </w:pPr>
      <w:r>
        <w:rPr>
          <w:rFonts w:ascii="Amiri" w:hAnsi="Amiri" w:eastAsia="Amiri" w:cs="Amiri"/>
          <w:lang w:bidi="ar-SA"/>
          <w:color w:val="111111"/>
          <w:sz w:val="28"/>
          <w:szCs w:val="28"/>
          <w:rtl/>
        </w:rPr>
        <w:t xml:space="preserve">صوفي شيرازي ، محمّد بن احمد -صوفي</w:t>
      </w:r>
    </w:p>
    <w:p>
      <w:pPr>
        <w:pStyle w:val="BookText"/>
      </w:pPr>
      <w:r>
        <w:rPr>
          <w:rFonts w:ascii="Amiri" w:hAnsi="Amiri" w:eastAsia="Amiri" w:cs="Amiri"/>
          <w:lang w:bidi="ar-SA"/>
          <w:color w:val="111111"/>
          <w:sz w:val="28"/>
          <w:szCs w:val="28"/>
          <w:rtl/>
        </w:rPr>
        <w:t xml:space="preserve">سمرقندي ، محمّد بن احمد</w:t>
      </w:r>
    </w:p>
    <w:p>
      <w:pPr>
        <w:pStyle w:val="Heading2"/>
      </w:pPr>
      <w:bookmarkStart w:id="5491" w:name="_Toc4593"/>
      <w:r>
        <w:t>صوفي، عبدالرحمن بن عمر 291 - 376</w:t>
      </w:r>
      <w:bookmarkEnd w:id="5491"/>
    </w:p>
    <w:p>
      <w:pPr>
        <w:pStyle w:val="BookText"/>
      </w:pPr>
      <w:r>
        <w:rPr>
          <w:rFonts w:ascii="IRNazanin" w:hAnsi="IRNazanin" w:eastAsia="IRNazanin" w:cs="IRNazanin"/>
          <w:lang w:bidi="fa-IR"/>
          <w:color w:val="111111"/>
          <w:sz w:val="28"/>
          <w:szCs w:val="28"/>
          <w:rtl/>
        </w:rPr>
        <w:t xml:space="preserve">1.الاسطرلاب = العمل بالاسطرلاب</w:t>
      </w:r>
    </w:p>
    <w:p>
      <w:pPr>
        <w:pStyle w:val="BookText"/>
      </w:pPr>
      <w:r>
        <w:rPr>
          <w:rFonts w:ascii="IRNazanin" w:hAnsi="IRNazanin" w:eastAsia="IRNazanin" w:cs="IRNazanin"/>
          <w:lang w:bidi="fa-IR"/>
          <w:color w:val="111111"/>
          <w:sz w:val="28"/>
          <w:szCs w:val="28"/>
          <w:rtl/>
        </w:rPr>
        <w:t xml:space="preserve">ج 2، ص 186.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81" w:name="pg7742_70674"/>
    <w:bookmarkEnd w:id="68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التدبير الاعظم = الكيميا، ج 4،</w:t>
      </w:r>
    </w:p>
    <w:p>
      <w:pPr>
        <w:pStyle w:val="BookText"/>
      </w:pPr>
      <w:r>
        <w:rPr>
          <w:rFonts w:ascii="IRNazanin" w:hAnsi="IRNazanin" w:eastAsia="IRNazanin" w:cs="IRNazanin"/>
          <w:lang w:bidi="fa-IR"/>
          <w:color w:val="111111"/>
          <w:sz w:val="28"/>
          <w:szCs w:val="28"/>
          <w:rtl/>
        </w:rPr>
        <w:t xml:space="preserve">ص 167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صور الكواكب الثمانية و الاربعين</w:t>
      </w:r>
    </w:p>
    <w:p>
      <w:pPr>
        <w:pStyle w:val="BookText"/>
      </w:pPr>
      <w:r>
        <w:rPr>
          <w:rFonts w:ascii="IRNazanin" w:hAnsi="IRNazanin" w:eastAsia="IRNazanin" w:cs="IRNazanin"/>
          <w:lang w:bidi="fa-IR"/>
          <w:color w:val="111111"/>
          <w:sz w:val="28"/>
          <w:szCs w:val="28"/>
          <w:rtl/>
        </w:rPr>
        <w:t xml:space="preserve">ج 10 ، ص 660 .</w:t>
      </w:r>
    </w:p>
    <w:p>
      <w:pPr>
        <w:pStyle w:val="BookText"/>
      </w:pPr>
      <w:r>
        <w:rPr>
          <w:rFonts w:ascii="Amiri" w:hAnsi="Amiri" w:eastAsia="Amiri" w:cs="Amiri"/>
          <w:lang w:bidi="ar-SA"/>
          <w:color w:val="111111"/>
          <w:sz w:val="28"/>
          <w:szCs w:val="28"/>
          <w:rtl/>
        </w:rPr>
        <w:t xml:space="preserve">4 .الفلك (ارجوزة في) = ارجوزة في الفلك - صور الكواكب = ارجوزة</w:t>
      </w:r>
    </w:p>
    <w:p>
      <w:pPr>
        <w:pStyle w:val="BookText"/>
      </w:pPr>
      <w:r>
        <w:rPr>
          <w:rFonts w:ascii="Amiri" w:hAnsi="Amiri" w:eastAsia="Amiri" w:cs="Amiri"/>
          <w:lang w:bidi="ar-SA"/>
          <w:color w:val="111111"/>
          <w:sz w:val="28"/>
          <w:szCs w:val="28"/>
          <w:rtl/>
        </w:rPr>
        <w:t xml:space="preserve">في الكواكب، ج 12، ص129.</w:t>
      </w:r>
    </w:p>
    <w:p>
      <w:pPr>
        <w:pStyle w:val="BookText"/>
      </w:pPr>
      <w:r>
        <w:rPr>
          <w:rFonts w:ascii="Amiri" w:hAnsi="Amiri" w:eastAsia="Amiri" w:cs="Amiri"/>
          <w:lang w:bidi="ar-SA"/>
          <w:color w:val="111111"/>
          <w:sz w:val="28"/>
          <w:szCs w:val="28"/>
          <w:rtl/>
        </w:rPr>
        <w:t xml:space="preserve">5 .مختصر في الاسطرلاب، ج 14،</w:t>
      </w:r>
    </w:p>
    <w:p>
      <w:pPr>
        <w:pStyle w:val="BookText"/>
      </w:pPr>
      <w:r>
        <w:rPr>
          <w:rFonts w:ascii="IRNazanin" w:hAnsi="IRNazanin" w:eastAsia="IRNazanin" w:cs="IRNazanin"/>
          <w:lang w:bidi="fa-IR"/>
          <w:color w:val="111111"/>
          <w:sz w:val="28"/>
          <w:szCs w:val="28"/>
          <w:rtl/>
        </w:rPr>
        <w:t xml:space="preserve">ص 210.</w:t>
      </w:r>
    </w:p>
    <w:p>
      <w:pPr>
        <w:pStyle w:val="BookText"/>
      </w:pPr>
      <w:r>
        <w:rPr>
          <w:rFonts w:ascii="Amiri" w:hAnsi="Amiri" w:eastAsia="Amiri" w:cs="Amiri"/>
          <w:lang w:bidi="ar-SA"/>
          <w:color w:val="111111"/>
          <w:sz w:val="28"/>
          <w:szCs w:val="28"/>
          <w:rtl/>
        </w:rPr>
        <w:t xml:space="preserve">صوفي ، علي بن عبدالرحمن- ابن يونس</w:t>
      </w:r>
    </w:p>
    <w:p>
      <w:pPr>
        <w:pStyle w:val="BookText"/>
      </w:pPr>
      <w:r>
        <w:rPr>
          <w:rFonts w:ascii="Amiri" w:hAnsi="Amiri" w:eastAsia="Amiri" w:cs="Amiri"/>
          <w:lang w:bidi="ar-SA"/>
          <w:color w:val="111111"/>
          <w:sz w:val="28"/>
          <w:szCs w:val="28"/>
          <w:rtl/>
        </w:rPr>
        <w:t xml:space="preserve">علي بن عبدالرحمن</w:t>
      </w:r>
    </w:p>
    <w:p>
      <w:pPr>
        <w:pStyle w:val="BookText"/>
      </w:pPr>
      <w:r>
        <w:rPr>
          <w:rFonts w:ascii="Amiri" w:hAnsi="Amiri" w:eastAsia="Amiri" w:cs="Amiri"/>
          <w:lang w:bidi="ar-SA"/>
          <w:color w:val="111111"/>
          <w:sz w:val="28"/>
          <w:szCs w:val="28"/>
          <w:rtl/>
        </w:rPr>
        <w:t xml:space="preserve">صوفي ، علي بن محمّد- همداني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صوفي قادري، صالح بن</w:t>
      </w:r>
    </w:p>
    <w:p>
      <w:pPr>
        <w:pStyle w:val="BookText"/>
      </w:pPr>
      <w:r>
        <w:rPr>
          <w:rFonts w:ascii="Amiri" w:hAnsi="Amiri" w:eastAsia="Amiri" w:cs="Amiri"/>
          <w:lang w:bidi="ar-SA"/>
          <w:color w:val="111111"/>
          <w:sz w:val="28"/>
          <w:szCs w:val="28"/>
          <w:rtl/>
        </w:rPr>
        <w:t xml:space="preserve">عبد الرحيم -قادري ، صالح بن عبدالرحيم</w:t>
      </w:r>
    </w:p>
    <w:p>
      <w:pPr>
        <w:pStyle w:val="Heading2"/>
      </w:pPr>
      <w:bookmarkStart w:id="5492" w:name="_Toc4594"/>
      <w:r>
        <w:t>صوفي مازندراني ، محمّد بن عبدالله</w:t>
      </w:r>
      <w:bookmarkEnd w:id="5492"/>
    </w:p>
    <w:p>
      <w:pPr>
        <w:pStyle w:val="BookText"/>
      </w:pPr>
      <w:r>
        <w:rPr>
          <w:rFonts w:ascii="IRNazanin" w:hAnsi="IRNazanin" w:eastAsia="IRNazanin" w:cs="IRNazanin"/>
          <w:lang w:bidi="fa-IR"/>
          <w:color w:val="111111"/>
          <w:sz w:val="28"/>
          <w:szCs w:val="28"/>
          <w:rtl/>
        </w:rPr>
        <w:t xml:space="preserve">1035؟ ه-</w:t>
      </w:r>
    </w:p>
    <w:p>
      <w:pPr>
        <w:pStyle w:val="BookText"/>
      </w:pPr>
      <w:r>
        <w:rPr>
          <w:rFonts w:ascii="Amiri" w:hAnsi="Amiri" w:eastAsia="Amiri" w:cs="Amiri"/>
          <w:lang w:bidi="ar-SA"/>
          <w:color w:val="111111"/>
          <w:sz w:val="28"/>
          <w:szCs w:val="28"/>
          <w:rtl/>
        </w:rPr>
        <w:t xml:space="preserve">ساقي نامه، ج8، ص 671.</w:t>
      </w:r>
    </w:p>
    <w:p>
      <w:pPr>
        <w:pStyle w:val="BookText"/>
      </w:pPr>
      <w:r>
        <w:rPr>
          <w:rFonts w:ascii="Amiri" w:hAnsi="Amiri" w:eastAsia="Amiri" w:cs="Amiri"/>
          <w:lang w:bidi="ar-SA"/>
          <w:color w:val="111111"/>
          <w:sz w:val="28"/>
          <w:szCs w:val="28"/>
          <w:rtl/>
        </w:rPr>
        <w:t xml:space="preserve">صوفي ، محمّد -صوفي مازندراني ، محمّد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صوفي ، محمّد ابو السيادات- صوفي ،</w:t>
      </w:r>
    </w:p>
    <w:p>
      <w:pPr>
        <w:pStyle w:val="BookText"/>
      </w:pPr>
      <w:r>
        <w:rPr>
          <w:rFonts w:ascii="Amiri" w:hAnsi="Amiri" w:eastAsia="Amiri" w:cs="Amiri"/>
          <w:lang w:bidi="ar-SA"/>
          <w:color w:val="111111"/>
          <w:sz w:val="28"/>
          <w:szCs w:val="28"/>
          <w:rtl/>
        </w:rPr>
        <w:t xml:space="preserve">ابوالسيادات محمّد</w:t>
      </w:r>
    </w:p>
    <w:p>
      <w:pPr>
        <w:pStyle w:val="BookText"/>
      </w:pPr>
      <w:r>
        <w:rPr>
          <w:rFonts w:ascii="Amiri" w:hAnsi="Amiri" w:eastAsia="Amiri" w:cs="Amiri"/>
          <w:lang w:bidi="ar-SA"/>
          <w:color w:val="111111"/>
          <w:sz w:val="28"/>
          <w:szCs w:val="28"/>
          <w:rtl/>
        </w:rPr>
        <w:t xml:space="preserve">صوفي ، محمد بن ابي الفتح -صوفي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صوفي ، محمّد بن احمد -صوفي سمرقندي</w:t>
      </w:r>
    </w:p>
    <w:p>
      <w:pPr>
        <w:pStyle w:val="BookText"/>
      </w:pPr>
      <w:r>
        <w:rPr>
          <w:rFonts w:ascii="IRNazanin" w:hAnsi="IRNazanin" w:eastAsia="IRNazanin" w:cs="IRNazanin"/>
          <w:lang w:bidi="fa-IR"/>
          <w:color w:val="111111"/>
          <w:sz w:val="28"/>
          <w:szCs w:val="28"/>
          <w:rtl/>
        </w:rPr>
        <w:t xml:space="preserve">، محمّد بن احمد</w:t>
      </w:r>
    </w:p>
    <w:p>
      <w:pPr>
        <w:pStyle w:val="Heading2"/>
      </w:pPr>
      <w:bookmarkStart w:id="5493" w:name="_Toc4595"/>
      <w:r>
        <w:t>صوفي ، محمّد بن احمد - 950؟ ه-</w:t>
      </w:r>
      <w:bookmarkEnd w:id="5493"/>
    </w:p>
    <w:p>
      <w:pPr>
        <w:pStyle w:val="BookText"/>
      </w:pPr>
      <w:r>
        <w:rPr>
          <w:rFonts w:ascii="Amiri" w:hAnsi="Amiri" w:eastAsia="Amiri" w:cs="Amiri"/>
          <w:lang w:bidi="ar-SA"/>
          <w:color w:val="111111"/>
          <w:sz w:val="28"/>
          <w:szCs w:val="28"/>
          <w:rtl/>
        </w:rPr>
        <w:t xml:space="preserve">1 .الاعلام بشد المنكام = الاعلام بشد</w:t>
      </w:r>
    </w:p>
    <w:p>
      <w:pPr>
        <w:pStyle w:val="BookText"/>
      </w:pPr>
      <w:r>
        <w:rPr>
          <w:rFonts w:ascii="Amiri" w:hAnsi="Amiri" w:eastAsia="Amiri" w:cs="Amiri"/>
          <w:lang w:bidi="ar-SA"/>
          <w:color w:val="111111"/>
          <w:sz w:val="28"/>
          <w:szCs w:val="28"/>
          <w:rtl/>
        </w:rPr>
        <w:t xml:space="preserve">البنكام، ج2، ص 555.</w:t>
      </w:r>
    </w:p>
    <w:p>
      <w:pPr>
        <w:pStyle w:val="BookText"/>
      </w:pPr>
      <w:r>
        <w:rPr>
          <w:rFonts w:ascii="Amiri" w:hAnsi="Amiri" w:eastAsia="Amiri" w:cs="Amiri"/>
          <w:lang w:bidi="ar-SA"/>
          <w:color w:val="111111"/>
          <w:sz w:val="28"/>
          <w:szCs w:val="28"/>
          <w:rtl/>
        </w:rPr>
        <w:t xml:space="preserve">2 .بلغة الطالبين واجابة السالكين عند</w:t>
      </w:r>
    </w:p>
    <w:p>
      <w:pPr>
        <w:pStyle w:val="BookText"/>
      </w:pPr>
      <w:r>
        <w:rPr>
          <w:rFonts w:ascii="IRNazanin" w:hAnsi="IRNazanin" w:eastAsia="IRNazanin" w:cs="IRNazanin"/>
          <w:lang w:bidi="fa-IR"/>
          <w:color w:val="111111"/>
          <w:sz w:val="28"/>
          <w:szCs w:val="28"/>
          <w:rtl/>
        </w:rPr>
        <w:t xml:space="preserve">اخبار دار سید المرسلین، ج3</w:t>
      </w:r>
    </w:p>
    <w:p>
      <w:pPr>
        <w:pStyle w:val="BookText"/>
      </w:pPr>
      <w:r>
        <w:rPr>
          <w:rFonts w:ascii="IRNazanin" w:hAnsi="IRNazanin" w:eastAsia="IRNazanin" w:cs="IRNazanin"/>
          <w:lang w:bidi="fa-IR"/>
          <w:color w:val="111111"/>
          <w:sz w:val="28"/>
          <w:szCs w:val="28"/>
          <w:rtl/>
        </w:rPr>
        <w:t xml:space="preserve">ص391.</w:t>
      </w:r>
    </w:p>
    <w:p>
      <w:pPr>
        <w:pStyle w:val="BookText"/>
      </w:pPr>
      <w:r>
        <w:rPr>
          <w:rFonts w:ascii="Amiri" w:hAnsi="Amiri" w:eastAsia="Amiri" w:cs="Amiri"/>
          <w:lang w:bidi="ar-SA"/>
          <w:color w:val="111111"/>
          <w:sz w:val="28"/>
          <w:szCs w:val="28"/>
          <w:rtl/>
        </w:rPr>
        <w:t xml:space="preserve">3 .الشمسية في الاعمال الجيبية، ج10،</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Amiri" w:hAnsi="Amiri" w:eastAsia="Amiri" w:cs="Amiri"/>
          <w:lang w:bidi="ar-SA"/>
          <w:color w:val="111111"/>
          <w:sz w:val="28"/>
          <w:szCs w:val="28"/>
          <w:rtl/>
        </w:rPr>
        <w:t xml:space="preserve">4 .معرفة العمل بنصف دائرة المعدل</w:t>
      </w:r>
    </w:p>
    <w:p>
      <w:pPr>
        <w:pStyle w:val="BookText"/>
      </w:pPr>
      <w:r>
        <w:rPr>
          <w:rFonts w:ascii="IRNazanin" w:hAnsi="IRNazanin" w:eastAsia="IRNazanin" w:cs="IRNazanin"/>
          <w:lang w:bidi="fa-IR"/>
          <w:color w:val="111111"/>
          <w:sz w:val="28"/>
          <w:szCs w:val="28"/>
          <w:rtl/>
        </w:rPr>
        <w:t xml:space="preserve">ج 15، ص 64.</w:t>
      </w:r>
    </w:p>
    <w:p>
      <w:pPr>
        <w:pStyle w:val="BookText"/>
      </w:pPr>
      <w:r>
        <w:rPr>
          <w:rFonts w:ascii="Amiri" w:hAnsi="Amiri" w:eastAsia="Amiri" w:cs="Amiri"/>
          <w:lang w:bidi="ar-SA"/>
          <w:color w:val="111111"/>
          <w:sz w:val="28"/>
          <w:szCs w:val="28"/>
          <w:rtl/>
        </w:rPr>
        <w:t xml:space="preserve">5 .المفصل في العمل بنصف دائرة المعدل العبد العزيز الوفائي، ج 15</w:t>
      </w:r>
    </w:p>
    <w:p>
      <w:pPr>
        <w:pStyle w:val="BookText"/>
      </w:pPr>
      <w:r>
        <w:rPr>
          <w:rFonts w:ascii="IRNazanin" w:hAnsi="IRNazanin" w:eastAsia="IRNazanin" w:cs="IRNazanin"/>
          <w:lang w:bidi="fa-IR"/>
          <w:color w:val="111111"/>
          <w:sz w:val="28"/>
          <w:szCs w:val="28"/>
          <w:rtl/>
        </w:rPr>
        <w:t xml:space="preserve">ص 256 .</w:t>
      </w:r>
    </w:p>
    <w:p>
      <w:pPr>
        <w:pStyle w:val="BookText"/>
      </w:pPr>
      <w:r>
        <w:rPr>
          <w:rFonts w:ascii="Amiri" w:hAnsi="Amiri" w:eastAsia="Amiri" w:cs="Amiri"/>
          <w:lang w:bidi="ar-SA"/>
          <w:color w:val="111111"/>
          <w:sz w:val="28"/>
          <w:szCs w:val="28"/>
          <w:rtl/>
        </w:rPr>
        <w:t xml:space="preserve">6 .نهاية الرتبة في العمل بجدول النسبة = مختصر دقائق الحقايق لسبط المارديني، ج 16، ص 492.</w:t>
      </w:r>
    </w:p>
    <w:p>
      <w:pPr>
        <w:pStyle w:val="BookText"/>
      </w:pPr>
      <w:r>
        <w:rPr>
          <w:rFonts w:ascii="Amiri" w:hAnsi="Amiri" w:eastAsia="Amiri" w:cs="Amiri"/>
          <w:lang w:bidi="ar-SA"/>
          <w:color w:val="111111"/>
          <w:sz w:val="28"/>
          <w:szCs w:val="28"/>
          <w:rtl/>
        </w:rPr>
        <w:t xml:space="preserve">صوفي ، محمّد بن عبدالله -صوفي مازندراني</w:t>
      </w:r>
    </w:p>
    <w:p>
      <w:pPr>
        <w:pStyle w:val="BookText"/>
      </w:pPr>
      <w:r>
        <w:rPr>
          <w:rFonts w:ascii="IRNazanin" w:hAnsi="IRNazanin" w:eastAsia="IRNazanin" w:cs="IRNazanin"/>
          <w:lang w:bidi="fa-IR"/>
          <w:color w:val="111111"/>
          <w:sz w:val="28"/>
          <w:szCs w:val="28"/>
          <w:rtl/>
        </w:rPr>
        <w:t xml:space="preserve">، محمّد بن عبدالله</w:t>
      </w:r>
    </w:p>
    <w:p>
      <w:pPr>
        <w:pStyle w:val="BookText"/>
      </w:pPr>
      <w:r>
        <w:rPr>
          <w:rFonts w:ascii="Amiri" w:hAnsi="Amiri" w:eastAsia="Amiri" w:cs="Amiri"/>
          <w:lang w:bidi="ar-SA"/>
          <w:color w:val="111111"/>
          <w:sz w:val="28"/>
          <w:szCs w:val="28"/>
          <w:rtl/>
        </w:rPr>
        <w:t xml:space="preserve">صوفي ، محمّد بن عيسى -صوفي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صوفي ، محمود بن احمد- بدرالدين رومي</w:t>
      </w:r>
    </w:p>
    <w:p>
      <w:pPr>
        <w:pStyle w:val="BookText"/>
      </w:pPr>
      <w:r>
        <w:rPr>
          <w:rFonts w:ascii="IRNazanin" w:hAnsi="IRNazanin" w:eastAsia="IRNazanin" w:cs="IRNazanin"/>
          <w:lang w:bidi="fa-IR"/>
          <w:color w:val="111111"/>
          <w:sz w:val="28"/>
          <w:szCs w:val="28"/>
          <w:rtl/>
        </w:rPr>
        <w:t xml:space="preserve">، محمود بن احمد</w:t>
      </w:r>
    </w:p>
    <w:p>
      <w:pPr>
        <w:pStyle w:val="Heading2"/>
      </w:pPr>
      <w:bookmarkStart w:id="5494" w:name="_Toc4596"/>
      <w:r>
        <w:t>صوفي نقشبندي ، ابوسعيد محمّد</w:t>
      </w:r>
      <w:bookmarkEnd w:id="5494"/>
    </w:p>
    <w:p>
      <w:pPr>
        <w:pStyle w:val="BookText"/>
      </w:pPr>
      <w:r>
        <w:rPr>
          <w:rFonts w:ascii="IRNazanin" w:hAnsi="IRNazanin" w:eastAsia="IRNazanin" w:cs="IRNazanin"/>
          <w:lang w:bidi="fa-IR"/>
          <w:color w:val="111111"/>
          <w:sz w:val="28"/>
          <w:szCs w:val="28"/>
          <w:rtl/>
        </w:rPr>
        <w:t xml:space="preserve">1250ه-</w:t>
      </w:r>
    </w:p>
    <w:p>
      <w:pPr>
        <w:pStyle w:val="BookText"/>
      </w:pPr>
      <w:r>
        <w:rPr>
          <w:rFonts w:ascii="Amiri" w:hAnsi="Amiri" w:eastAsia="Amiri" w:cs="Amiri"/>
          <w:lang w:bidi="ar-SA"/>
          <w:color w:val="111111"/>
          <w:sz w:val="28"/>
          <w:szCs w:val="28"/>
          <w:rtl/>
        </w:rPr>
        <w:t xml:space="preserve">الطريقة العلية النقشبندية المجددية (رسالة في)، ج 10، ص 821.</w:t>
      </w:r>
    </w:p>
    <w:p>
      <w:pPr>
        <w:pStyle w:val="BookText"/>
      </w:pPr>
      <w:r>
        <w:rPr>
          <w:rFonts w:ascii="Amiri" w:hAnsi="Amiri" w:eastAsia="Amiri" w:cs="Amiri"/>
          <w:lang w:bidi="ar-SA"/>
          <w:color w:val="111111"/>
          <w:sz w:val="28"/>
          <w:szCs w:val="28"/>
          <w:rtl/>
        </w:rPr>
        <w:t xml:space="preserve">صوفي نقشبندي ، اسماعيل بن عبد الله -نقشبندي ، اسماعيل بن عبدالله</w:t>
      </w:r>
    </w:p>
    <w:p>
      <w:pPr>
        <w:pStyle w:val="BookText"/>
      </w:pPr>
      <w:r>
        <w:rPr>
          <w:rFonts w:ascii="Amiri" w:hAnsi="Amiri" w:eastAsia="Amiri" w:cs="Amiri"/>
          <w:lang w:bidi="ar-SA"/>
          <w:color w:val="111111"/>
          <w:sz w:val="28"/>
          <w:szCs w:val="28"/>
          <w:rtl/>
        </w:rPr>
        <w:t xml:space="preserve">صوفي همداني ، علي بن شهاب الدين</w:t>
      </w:r>
    </w:p>
    <w:p>
      <w:pPr>
        <w:pStyle w:val="BookText"/>
      </w:pPr>
      <w:r>
        <w:rPr>
          <w:rFonts w:ascii="Amiri" w:hAnsi="Amiri" w:eastAsia="Amiri" w:cs="Amiri"/>
          <w:lang w:bidi="ar-SA"/>
          <w:color w:val="111111"/>
          <w:sz w:val="28"/>
          <w:szCs w:val="28"/>
          <w:rtl/>
        </w:rPr>
        <w:t xml:space="preserve">محمّد -همداني ، علي بن محمّد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82" w:name="pg7742_70675"/>
    <w:bookmarkEnd w:id="682"/>
    <w:p>
      <w:pPr>
        <w:pStyle w:val="Heading2"/>
      </w:pPr>
      <w:bookmarkStart w:id="5495" w:name="_Toc4597"/>
      <w:r>
        <w:t>صولي ، ابراهيم بن عباس، 176 - 243 ه-</w:t>
      </w:r>
      <w:bookmarkEnd w:id="5495"/>
    </w:p>
    <w:p>
      <w:pPr>
        <w:pStyle w:val="BookText"/>
      </w:pPr>
      <w:r>
        <w:rPr>
          <w:rFonts w:ascii="Amiri" w:hAnsi="Amiri" w:eastAsia="Amiri" w:cs="Amiri"/>
          <w:lang w:bidi="ar-SA"/>
          <w:color w:val="111111"/>
          <w:sz w:val="28"/>
          <w:szCs w:val="28"/>
          <w:rtl/>
        </w:rPr>
        <w:t xml:space="preserve">ديوان الصولي، ج 7، ص 694.</w:t>
      </w:r>
    </w:p>
    <w:p>
      <w:pPr>
        <w:pStyle w:val="BookText"/>
      </w:pPr>
      <w:r>
        <w:rPr>
          <w:rFonts w:ascii="IRNazanin" w:hAnsi="IRNazanin" w:eastAsia="IRNazanin" w:cs="IRNazanin"/>
          <w:lang w:bidi="fa-IR"/>
          <w:color w:val="111111"/>
          <w:sz w:val="28"/>
          <w:szCs w:val="28"/>
          <w:rtl/>
        </w:rPr>
        <w:t xml:space="preserve">صولي ، ابوبکر محمّد- صولي ، محمّد بن</w:t>
      </w:r>
    </w:p>
    <w:p>
      <w:pPr>
        <w:pStyle w:val="BookText"/>
      </w:pPr>
      <w:r>
        <w:rPr>
          <w:rFonts w:ascii="Amiri" w:hAnsi="Amiri" w:eastAsia="Amiri" w:cs="Amiri"/>
          <w:lang w:bidi="ar-SA"/>
          <w:color w:val="111111"/>
          <w:sz w:val="28"/>
          <w:szCs w:val="28"/>
          <w:rtl/>
        </w:rPr>
        <w:t xml:space="preserve">يحيى</w:t>
      </w:r>
    </w:p>
    <w:p>
      <w:pPr>
        <w:pStyle w:val="Heading2"/>
      </w:pPr>
      <w:bookmarkStart w:id="5496" w:name="_Toc4598"/>
      <w:r>
        <w:t>صولي ، محمّد بن يحيى - 335 ؟ ه-</w:t>
      </w:r>
      <w:bookmarkEnd w:id="5496"/>
    </w:p>
    <w:p>
      <w:pPr>
        <w:pStyle w:val="BookText"/>
      </w:pPr>
      <w:r>
        <w:rPr>
          <w:rFonts w:ascii="Amiri" w:hAnsi="Amiri" w:eastAsia="Amiri" w:cs="Amiri"/>
          <w:lang w:bidi="ar-SA"/>
          <w:color w:val="111111"/>
          <w:sz w:val="28"/>
          <w:szCs w:val="28"/>
          <w:rtl/>
        </w:rPr>
        <w:t xml:space="preserve">1 .ادب الكتاب، ج 1، ص 595.</w:t>
      </w:r>
    </w:p>
    <w:p>
      <w:pPr>
        <w:pStyle w:val="BookText"/>
      </w:pPr>
      <w:r>
        <w:rPr>
          <w:rFonts w:ascii="Amiri" w:hAnsi="Amiri" w:eastAsia="Amiri" w:cs="Amiri"/>
          <w:lang w:bidi="ar-SA"/>
          <w:color w:val="111111"/>
          <w:sz w:val="28"/>
          <w:szCs w:val="28"/>
          <w:rtl/>
        </w:rPr>
        <w:t xml:space="preserve">2 .شرح ديوان ابي نواس، ج 9، ص 482.</w:t>
      </w:r>
    </w:p>
    <w:p>
      <w:pPr>
        <w:pStyle w:val="BookText"/>
      </w:pPr>
      <w:r>
        <w:rPr>
          <w:rFonts w:ascii="Amiri" w:hAnsi="Amiri" w:eastAsia="Amiri" w:cs="Amiri"/>
          <w:lang w:bidi="ar-SA"/>
          <w:color w:val="111111"/>
          <w:sz w:val="28"/>
          <w:szCs w:val="28"/>
          <w:rtl/>
        </w:rPr>
        <w:t xml:space="preserve">صومع دسوقي ، ابراهيم -دسوقي</w:t>
      </w:r>
    </w:p>
    <w:p>
      <w:pPr>
        <w:pStyle w:val="BookText"/>
      </w:pPr>
      <w:r>
        <w:rPr>
          <w:rFonts w:ascii="Amiri" w:hAnsi="Amiri" w:eastAsia="Amiri" w:cs="Amiri"/>
          <w:lang w:bidi="ar-SA"/>
          <w:color w:val="111111"/>
          <w:sz w:val="28"/>
          <w:szCs w:val="28"/>
          <w:rtl/>
        </w:rPr>
        <w:t xml:space="preserve">ابراهيم صومع</w:t>
      </w:r>
    </w:p>
    <w:p>
      <w:pPr>
        <w:pStyle w:val="BookText"/>
      </w:pPr>
      <w:r>
        <w:rPr>
          <w:rFonts w:ascii="Amiri" w:hAnsi="Amiri" w:eastAsia="Amiri" w:cs="Amiri"/>
          <w:lang w:bidi="ar-SA"/>
          <w:color w:val="111111"/>
          <w:sz w:val="28"/>
          <w:szCs w:val="28"/>
          <w:rtl/>
        </w:rPr>
        <w:t xml:space="preserve">صومعه سرائي ، محمّد علي -رشتي صومعه</w:t>
      </w:r>
    </w:p>
    <w:p>
      <w:pPr>
        <w:pStyle w:val="BookText"/>
      </w:pPr>
      <w:r>
        <w:rPr>
          <w:rFonts w:ascii="Amiri" w:hAnsi="Amiri" w:eastAsia="Amiri" w:cs="Amiri"/>
          <w:lang w:bidi="ar-SA"/>
          <w:color w:val="111111"/>
          <w:sz w:val="28"/>
          <w:szCs w:val="28"/>
          <w:rtl/>
        </w:rPr>
        <w:t xml:space="preserve">سرائي ، محمّد علي</w:t>
      </w:r>
    </w:p>
    <w:p>
      <w:pPr>
        <w:pStyle w:val="BookText"/>
      </w:pPr>
      <w:r>
        <w:rPr>
          <w:rFonts w:ascii="Amiri" w:hAnsi="Amiri" w:eastAsia="Amiri" w:cs="Amiri"/>
          <w:lang w:bidi="ar-SA"/>
          <w:color w:val="111111"/>
          <w:sz w:val="28"/>
          <w:szCs w:val="28"/>
          <w:rtl/>
        </w:rPr>
        <w:t xml:space="preserve">صيادي رفاعي- رفاعي ، محمّد بن حسن</w:t>
      </w:r>
    </w:p>
    <w:p>
      <w:pPr>
        <w:pStyle w:val="Heading2"/>
      </w:pPr>
      <w:bookmarkStart w:id="5497" w:name="_Toc4599"/>
      <w:r>
        <w:t>صياد رفاعي ، محمّد بن عبدالرحیم</w:t>
      </w:r>
      <w:bookmarkEnd w:id="5497"/>
    </w:p>
    <w:p>
      <w:pPr>
        <w:pStyle w:val="BookText"/>
      </w:pPr>
      <w:r>
        <w:rPr>
          <w:rFonts w:ascii="IRNazanin" w:hAnsi="IRNazanin" w:eastAsia="IRNazanin" w:cs="IRNazanin"/>
          <w:lang w:bidi="fa-IR"/>
          <w:color w:val="111111"/>
          <w:sz w:val="28"/>
          <w:szCs w:val="28"/>
          <w:rtl/>
        </w:rPr>
        <w:t xml:space="preserve">775 ه-</w:t>
      </w:r>
    </w:p>
    <w:p>
      <w:pPr>
        <w:pStyle w:val="BookText"/>
      </w:pPr>
      <w:r>
        <w:rPr>
          <w:rFonts w:ascii="Amiri" w:hAnsi="Amiri" w:eastAsia="Amiri" w:cs="Amiri"/>
          <w:lang w:bidi="ar-SA"/>
          <w:color w:val="111111"/>
          <w:sz w:val="28"/>
          <w:szCs w:val="28"/>
          <w:rtl/>
        </w:rPr>
        <w:t xml:space="preserve">مناقب الشيخ الكازروني، ج 15</w:t>
      </w:r>
    </w:p>
    <w:p>
      <w:pPr>
        <w:pStyle w:val="BookText"/>
      </w:pPr>
      <w:r>
        <w:rPr>
          <w:rFonts w:ascii="IRNazanin" w:hAnsi="IRNazanin" w:eastAsia="IRNazanin" w:cs="IRNazanin"/>
          <w:lang w:bidi="fa-IR"/>
          <w:color w:val="111111"/>
          <w:sz w:val="28"/>
          <w:szCs w:val="28"/>
          <w:rtl/>
        </w:rPr>
        <w:t xml:space="preserve">ص 548.</w:t>
      </w:r>
    </w:p>
    <w:p>
      <w:pPr>
        <w:pStyle w:val="BookText"/>
      </w:pPr>
      <w:r>
        <w:rPr>
          <w:rFonts w:ascii="IRNazanin" w:hAnsi="IRNazanin" w:eastAsia="IRNazanin" w:cs="IRNazanin"/>
          <w:lang w:bidi="fa-IR"/>
          <w:color w:val="111111"/>
          <w:sz w:val="28"/>
          <w:szCs w:val="28"/>
          <w:rtl/>
        </w:rPr>
        <w:t xml:space="preserve">صيادي ، محمّد بن حسن -ابوالهدی</w:t>
      </w:r>
    </w:p>
    <w:p>
      <w:pPr>
        <w:pStyle w:val="BookText"/>
      </w:pPr>
      <w:r>
        <w:rPr>
          <w:rFonts w:ascii="Amiri" w:hAnsi="Amiri" w:eastAsia="Amiri" w:cs="Amiri"/>
          <w:lang w:bidi="ar-SA"/>
          <w:color w:val="111111"/>
          <w:sz w:val="28"/>
          <w:szCs w:val="28"/>
          <w:rtl/>
        </w:rPr>
        <w:t xml:space="preserve">رفاعي ، محمّد بن حسن</w:t>
      </w:r>
    </w:p>
    <w:p>
      <w:pPr>
        <w:pStyle w:val="BookText"/>
      </w:pPr>
      <w:r>
        <w:rPr>
          <w:rFonts w:ascii="Amiri" w:hAnsi="Amiri" w:eastAsia="Amiri" w:cs="Amiri"/>
          <w:lang w:bidi="ar-SA"/>
          <w:color w:val="111111"/>
          <w:sz w:val="28"/>
          <w:szCs w:val="28"/>
          <w:rtl/>
        </w:rPr>
        <w:t xml:space="preserve">صيادي ، محمّد بن حسن- رفاعي ، محمّد</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صيادي ، محمّد بن عبد الرحيم- صياد</w:t>
      </w:r>
    </w:p>
    <w:p>
      <w:pPr>
        <w:pStyle w:val="BookText"/>
      </w:pPr>
      <w:r>
        <w:rPr>
          <w:rFonts w:ascii="Amiri" w:hAnsi="Amiri" w:eastAsia="Amiri" w:cs="Amiri"/>
          <w:lang w:bidi="ar-SA"/>
          <w:color w:val="111111"/>
          <w:sz w:val="28"/>
          <w:szCs w:val="28"/>
          <w:rtl/>
        </w:rPr>
        <w:t xml:space="preserve">رفاعي ، محمّد بن عبدالرحيم</w:t>
      </w:r>
    </w:p>
    <w:p>
      <w:pPr>
        <w:pStyle w:val="BookText"/>
      </w:pPr>
      <w:r>
        <w:rPr>
          <w:rFonts w:ascii="Amiri" w:hAnsi="Amiri" w:eastAsia="Amiri" w:cs="Amiri"/>
          <w:lang w:bidi="ar-SA"/>
          <w:color w:val="111111"/>
          <w:sz w:val="28"/>
          <w:szCs w:val="28"/>
          <w:rtl/>
        </w:rPr>
        <w:t xml:space="preserve">صيادي ، محمّد مهدي بن علي- رواس</w:t>
      </w:r>
    </w:p>
    <w:p>
      <w:pPr>
        <w:pStyle w:val="BookText"/>
      </w:pPr>
      <w:r>
        <w:rPr>
          <w:rFonts w:ascii="Amiri" w:hAnsi="Amiri" w:eastAsia="Amiri" w:cs="Amiri"/>
          <w:lang w:bidi="ar-SA"/>
          <w:color w:val="111111"/>
          <w:sz w:val="28"/>
          <w:szCs w:val="28"/>
          <w:rtl/>
        </w:rPr>
        <w:t xml:space="preserve">محمّد مهدي بن علي</w:t>
      </w:r>
    </w:p>
    <w:p>
      <w:pPr>
        <w:pStyle w:val="Heading2"/>
      </w:pPr>
      <w:bookmarkStart w:id="5498" w:name="_Toc4600"/>
      <w:r>
        <w:t>صيرامي، عبد الباقي بن محمّد حاجي</w:t>
      </w:r>
      <w:bookmarkEnd w:id="5498"/>
    </w:p>
    <w:p>
      <w:pPr>
        <w:pStyle w:val="BookText"/>
      </w:pPr>
      <w:r>
        <w:rPr>
          <w:rFonts w:ascii="IRNazanin" w:hAnsi="IRNazanin" w:eastAsia="IRNazanin" w:cs="IRNazanin"/>
          <w:lang w:bidi="fa-IR"/>
          <w:color w:val="111111"/>
          <w:sz w:val="28"/>
          <w:szCs w:val="28"/>
          <w:rtl/>
        </w:rPr>
        <w:t xml:space="preserve">927 - 962ه-</w:t>
      </w:r>
    </w:p>
    <w:p>
      <w:pPr>
        <w:pStyle w:val="BookText"/>
      </w:pPr>
      <w:r>
        <w:rPr>
          <w:rFonts w:ascii="Amiri" w:hAnsi="Amiri" w:eastAsia="Amiri" w:cs="Amiri"/>
          <w:lang w:bidi="ar-SA"/>
          <w:color w:val="111111"/>
          <w:sz w:val="28"/>
          <w:szCs w:val="28"/>
          <w:rtl/>
        </w:rPr>
        <w:t xml:space="preserve">حاشية شرح المواقف، ج 6، ص200.</w:t>
      </w:r>
    </w:p>
    <w:p>
      <w:pPr>
        <w:pStyle w:val="Heading2"/>
      </w:pPr>
      <w:bookmarkStart w:id="5499" w:name="_Toc4601"/>
      <w:r>
        <w:t>صيرفي ، اسعد بن يوسف - 1088 ه-</w:t>
      </w:r>
      <w:bookmarkEnd w:id="5499"/>
    </w:p>
    <w:p>
      <w:pPr>
        <w:pStyle w:val="BookText"/>
      </w:pPr>
      <w:r>
        <w:rPr>
          <w:rFonts w:ascii="Amiri" w:hAnsi="Amiri" w:eastAsia="Amiri" w:cs="Amiri"/>
          <w:lang w:bidi="ar-SA"/>
          <w:color w:val="111111"/>
          <w:sz w:val="28"/>
          <w:szCs w:val="28"/>
          <w:rtl/>
        </w:rPr>
        <w:t xml:space="preserve">الفتاوى الصيرفية، ج 11، ص 617.</w:t>
      </w:r>
    </w:p>
    <w:p>
      <w:pPr>
        <w:pStyle w:val="BookText"/>
      </w:pPr>
      <w:r>
        <w:rPr>
          <w:rFonts w:ascii="Amiri" w:hAnsi="Amiri" w:eastAsia="Amiri" w:cs="Amiri"/>
          <w:lang w:bidi="ar-SA"/>
          <w:color w:val="111111"/>
          <w:sz w:val="28"/>
          <w:szCs w:val="28"/>
          <w:rtl/>
        </w:rPr>
        <w:t xml:space="preserve">صيرفي ، خضر بن عطاء الله- موصلي ، خضر</w:t>
      </w:r>
    </w:p>
    <w:p>
      <w:pPr>
        <w:pStyle w:val="BookText"/>
      </w:pPr>
      <w:r>
        <w:rPr>
          <w:rFonts w:ascii="IRNazanin" w:hAnsi="IRNazanin" w:eastAsia="IRNazanin" w:cs="IRNazanin"/>
          <w:lang w:bidi="fa-IR"/>
          <w:color w:val="111111"/>
          <w:sz w:val="28"/>
          <w:szCs w:val="28"/>
          <w:rtl/>
        </w:rPr>
        <w:t xml:space="preserve">بن عطاء الله</w:t>
      </w:r>
    </w:p>
    <w:p>
      <w:pPr>
        <w:pStyle w:val="BookText"/>
      </w:pPr>
      <w:r>
        <w:rPr>
          <w:rFonts w:ascii="Amiri" w:hAnsi="Amiri" w:eastAsia="Amiri" w:cs="Amiri"/>
          <w:lang w:bidi="ar-SA"/>
          <w:color w:val="111111"/>
          <w:sz w:val="28"/>
          <w:szCs w:val="28"/>
          <w:rtl/>
        </w:rPr>
        <w:t xml:space="preserve">صيرفي ، علي بن عمر -كيال ، علي بن عمر</w:t>
      </w:r>
    </w:p>
    <w:p>
      <w:pPr>
        <w:pStyle w:val="BookText"/>
      </w:pPr>
      <w:r>
        <w:rPr>
          <w:rFonts w:ascii="Amiri" w:hAnsi="Amiri" w:eastAsia="Amiri" w:cs="Amiri"/>
          <w:lang w:bidi="ar-SA"/>
          <w:color w:val="111111"/>
          <w:sz w:val="28"/>
          <w:szCs w:val="28"/>
          <w:rtl/>
        </w:rPr>
        <w:t xml:space="preserve">صيرفي ، محمّد بن عبد الله - شخير صيرفي ،</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صيفي بن نصير -معلم دهلوي ، صفي</w:t>
      </w:r>
    </w:p>
    <w:p>
      <w:pPr>
        <w:pStyle w:val="BookText"/>
      </w:pPr>
      <w:r>
        <w:rPr>
          <w:rFonts w:ascii="Amiri" w:hAnsi="Amiri" w:eastAsia="Amiri" w:cs="Amiri"/>
          <w:lang w:bidi="ar-SA"/>
          <w:color w:val="111111"/>
          <w:sz w:val="28"/>
          <w:szCs w:val="28"/>
          <w:rtl/>
        </w:rPr>
        <w:t xml:space="preserve">الدين بن نصيرالدين</w:t>
      </w:r>
    </w:p>
    <w:p>
      <w:pPr>
        <w:pStyle w:val="Heading2"/>
      </w:pPr>
      <w:bookmarkStart w:id="5500" w:name="_Toc4602"/>
      <w:r>
        <w:t>صيمري ، عبدالله بن علي، قرن 10 ه-</w:t>
      </w:r>
      <w:bookmarkEnd w:id="5500"/>
    </w:p>
    <w:p>
      <w:pPr>
        <w:pStyle w:val="BookText"/>
      </w:pPr>
      <w:r>
        <w:rPr>
          <w:rFonts w:ascii="Amiri" w:hAnsi="Amiri" w:eastAsia="Amiri" w:cs="Amiri"/>
          <w:lang w:bidi="ar-SA"/>
          <w:color w:val="111111"/>
          <w:sz w:val="28"/>
          <w:szCs w:val="28"/>
          <w:rtl/>
        </w:rPr>
        <w:t xml:space="preserve">مندوب الصيام، ج 15 ، ص 685.</w:t>
      </w:r>
    </w:p>
    <w:p>
      <w:pPr>
        <w:pStyle w:val="Heading2"/>
      </w:pPr>
      <w:bookmarkStart w:id="5501" w:name="_Toc4603"/>
      <w:r>
        <w:t>صيمري، محمّد بن اسحاق - 275 ه-</w:t>
      </w:r>
      <w:bookmarkEnd w:id="5501"/>
    </w:p>
    <w:p>
      <w:pPr>
        <w:pStyle w:val="BookText"/>
      </w:pPr>
      <w:r>
        <w:rPr>
          <w:rFonts w:ascii="IRNazanin" w:hAnsi="IRNazanin" w:eastAsia="IRNazanin" w:cs="IRNazanin"/>
          <w:lang w:bidi="fa-IR"/>
          <w:color w:val="111111"/>
          <w:sz w:val="28"/>
          <w:szCs w:val="28"/>
          <w:rtl/>
        </w:rPr>
        <w:t xml:space="preserve">احكام النجوم = اصل الاصول في خواص النجوم و احکامها و احکام المواليد، ج 1، ص 488.</w:t>
      </w:r>
    </w:p>
    <w:p>
      <w:pPr>
        <w:pStyle w:val="Heading2"/>
      </w:pPr>
      <w:bookmarkStart w:id="5502" w:name="_Toc4604"/>
      <w:r>
        <w:t>؟ صيمري، مفلح بن حسن - 900 ه-</w:t>
      </w:r>
      <w:bookmarkEnd w:id="5502"/>
    </w:p>
    <w:p>
      <w:pPr>
        <w:pStyle w:val="BookText"/>
      </w:pPr>
      <w:r>
        <w:rPr>
          <w:rFonts w:ascii="Amiri" w:hAnsi="Amiri" w:eastAsia="Amiri" w:cs="Amiri"/>
          <w:lang w:bidi="ar-SA"/>
          <w:color w:val="111111"/>
          <w:sz w:val="28"/>
          <w:szCs w:val="28"/>
          <w:rtl/>
        </w:rPr>
        <w:t xml:space="preserve">1 .الزام النواصب بامامة علي بن ابي</w:t>
      </w:r>
    </w:p>
    <w:p>
      <w:pPr>
        <w:pStyle w:val="BookText"/>
      </w:pPr>
      <w:r>
        <w:rPr>
          <w:rFonts w:ascii="IRNazanin" w:hAnsi="IRNazanin" w:eastAsia="IRNazanin" w:cs="IRNazanin"/>
          <w:lang w:bidi="fa-IR"/>
          <w:color w:val="111111"/>
          <w:sz w:val="28"/>
          <w:szCs w:val="28"/>
          <w:rtl/>
        </w:rPr>
        <w:t xml:space="preserve">طالب، ج 2، ص 667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البينات في علم المواريث = التبيينيات في الارث والتوريثات البينات في تحرير المواريث = البينات في بيان الارث والتوريثات</w:t>
      </w:r>
    </w:p>
    <w:p>
      <w:pPr>
        <w:pStyle w:val="BookText"/>
      </w:pPr>
      <w:r>
        <w:rPr>
          <w:rFonts w:ascii="IRNazanin" w:hAnsi="IRNazanin" w:eastAsia="IRNazanin" w:cs="IRNazanin"/>
          <w:lang w:bidi="fa-IR"/>
          <w:color w:val="111111"/>
          <w:sz w:val="28"/>
          <w:szCs w:val="28"/>
          <w:rtl/>
        </w:rPr>
        <w:t xml:space="preserve">ج 3، ص 511.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83" w:name="pg7742_70676"/>
    <w:bookmarkEnd w:id="683"/>
    <w:p>
      <w:pPr>
        <w:pStyle w:val="BookText"/>
      </w:pPr>
      <w:r>
        <w:rPr>
          <w:rFonts w:ascii="Amiri" w:hAnsi="Amiri" w:eastAsia="Amiri" w:cs="Amiri"/>
          <w:lang w:bidi="ar-SA"/>
          <w:color w:val="111111"/>
          <w:sz w:val="28"/>
          <w:szCs w:val="28"/>
          <w:rtl/>
        </w:rPr>
        <w:t xml:space="preserve">3 .جواهر الكلمات في صيغ العقود و</w:t>
      </w:r>
    </w:p>
    <w:p>
      <w:pPr>
        <w:pStyle w:val="BookText"/>
      </w:pPr>
      <w:r>
        <w:rPr>
          <w:rFonts w:ascii="Amiri" w:hAnsi="Amiri" w:eastAsia="Amiri" w:cs="Amiri"/>
          <w:lang w:bidi="ar-SA"/>
          <w:color w:val="111111"/>
          <w:sz w:val="28"/>
          <w:szCs w:val="28"/>
          <w:rtl/>
        </w:rPr>
        <w:t xml:space="preserve">الايقاعات - جواهر العقود، ج5، ،</w:t>
      </w:r>
    </w:p>
    <w:p>
      <w:pPr>
        <w:pStyle w:val="BookText"/>
      </w:pPr>
      <w:r>
        <w:rPr>
          <w:rFonts w:ascii="IRNazanin" w:hAnsi="IRNazanin" w:eastAsia="IRNazanin" w:cs="IRNazanin"/>
          <w:lang w:bidi="fa-IR"/>
          <w:color w:val="111111"/>
          <w:sz w:val="28"/>
          <w:szCs w:val="28"/>
          <w:rtl/>
        </w:rPr>
        <w:t xml:space="preserve">ص 594 .</w:t>
      </w:r>
    </w:p>
    <w:p>
      <w:pPr>
        <w:pStyle w:val="BookText"/>
      </w:pPr>
      <w:r>
        <w:rPr>
          <w:rFonts w:ascii="Amiri" w:hAnsi="Amiri" w:eastAsia="Amiri" w:cs="Amiri"/>
          <w:lang w:bidi="ar-SA"/>
          <w:color w:val="111111"/>
          <w:sz w:val="28"/>
          <w:szCs w:val="28"/>
          <w:rtl/>
        </w:rPr>
        <w:t xml:space="preserve">4 .خبر البيعة، ج 6 ، ص 881.</w:t>
      </w:r>
    </w:p>
    <w:p>
      <w:pPr>
        <w:pStyle w:val="BookText"/>
      </w:pPr>
      <w:r>
        <w:rPr>
          <w:rFonts w:ascii="Amiri" w:hAnsi="Amiri" w:eastAsia="Amiri" w:cs="Amiri"/>
          <w:lang w:bidi="ar-SA"/>
          <w:color w:val="111111"/>
          <w:sz w:val="28"/>
          <w:szCs w:val="28"/>
          <w:rtl/>
        </w:rPr>
        <w:t xml:space="preserve">5 .ديوان الصيمري، ج 7، ص 694 .</w:t>
      </w:r>
    </w:p>
    <w:p>
      <w:pPr>
        <w:pStyle w:val="BookText"/>
      </w:pPr>
      <w:r>
        <w:rPr>
          <w:rFonts w:ascii="Amiri" w:hAnsi="Amiri" w:eastAsia="Amiri" w:cs="Amiri"/>
          <w:lang w:bidi="ar-SA"/>
          <w:color w:val="111111"/>
          <w:sz w:val="28"/>
          <w:szCs w:val="28"/>
          <w:rtl/>
        </w:rPr>
        <w:t xml:space="preserve">6 .غاية المرام في شرح شرائع الاسلام</w:t>
      </w:r>
    </w:p>
    <w:p>
      <w:pPr>
        <w:pStyle w:val="BookText"/>
      </w:pPr>
      <w:r>
        <w:rPr>
          <w:rFonts w:ascii="IRNazanin" w:hAnsi="IRNazanin" w:eastAsia="IRNazanin" w:cs="IRNazanin"/>
          <w:lang w:bidi="fa-IR"/>
          <w:color w:val="111111"/>
          <w:sz w:val="28"/>
          <w:szCs w:val="28"/>
          <w:rtl/>
        </w:rPr>
        <w:t xml:space="preserve">ج 11، ص 454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كشف الالتباس عن موجز ابي العباس، ج13، ص 196.</w:t>
      </w:r>
    </w:p>
    <w:p>
      <w:pPr>
        <w:pStyle w:val="BookText"/>
      </w:pPr>
      <w:r>
        <w:rPr>
          <w:rFonts w:ascii="Amiri" w:hAnsi="Amiri" w:eastAsia="Amiri" w:cs="Amiri"/>
          <w:lang w:bidi="ar-SA"/>
          <w:color w:val="111111"/>
          <w:sz w:val="28"/>
          <w:szCs w:val="28"/>
          <w:rtl/>
        </w:rPr>
        <w:t xml:space="preserve">ضاحي بن هادي حسيني- حسيني ،</w:t>
      </w:r>
    </w:p>
    <w:p>
      <w:pPr>
        <w:pStyle w:val="BookText"/>
      </w:pPr>
      <w:r>
        <w:rPr>
          <w:rFonts w:ascii="Amiri" w:hAnsi="Amiri" w:eastAsia="Amiri" w:cs="Amiri"/>
          <w:lang w:bidi="ar-SA"/>
          <w:color w:val="111111"/>
          <w:sz w:val="28"/>
          <w:szCs w:val="28"/>
          <w:rtl/>
        </w:rPr>
        <w:t xml:space="preserve">ضاحي بن هادي</w:t>
      </w:r>
    </w:p>
    <w:p>
      <w:pPr>
        <w:pStyle w:val="BookText"/>
      </w:pPr>
      <w:r>
        <w:rPr>
          <w:rFonts w:ascii="Amiri" w:hAnsi="Amiri" w:eastAsia="Amiri" w:cs="Amiri"/>
          <w:lang w:bidi="ar-SA"/>
          <w:color w:val="111111"/>
          <w:sz w:val="28"/>
          <w:szCs w:val="28"/>
          <w:rtl/>
        </w:rPr>
        <w:t xml:space="preserve">ضامن بن شدقم - حسيني مدني ، ضامن</w:t>
      </w:r>
    </w:p>
    <w:p>
      <w:pPr>
        <w:pStyle w:val="BookText"/>
      </w:pPr>
      <w:r>
        <w:rPr>
          <w:rFonts w:ascii="IRNazanin" w:hAnsi="IRNazanin" w:eastAsia="IRNazanin" w:cs="IRNazanin"/>
          <w:lang w:bidi="fa-IR"/>
          <w:color w:val="111111"/>
          <w:sz w:val="28"/>
          <w:szCs w:val="28"/>
          <w:rtl/>
        </w:rPr>
        <w:t xml:space="preserve">بن شدقم</w:t>
      </w:r>
    </w:p>
    <w:p>
      <w:pPr>
        <w:pStyle w:val="Heading2"/>
      </w:pPr>
      <w:bookmarkStart w:id="5503" w:name="_Toc4605"/>
      <w:r>
        <w:t>ضبوي ، احمد بن محمّد - 1115 ه-</w:t>
      </w:r>
      <w:bookmarkEnd w:id="5503"/>
    </w:p>
    <w:p>
      <w:pPr>
        <w:pStyle w:val="BookText"/>
      </w:pPr>
      <w:r>
        <w:rPr>
          <w:rFonts w:ascii="Amiri" w:hAnsi="Amiri" w:eastAsia="Amiri" w:cs="Amiri"/>
          <w:lang w:bidi="ar-SA"/>
          <w:color w:val="111111"/>
          <w:sz w:val="28"/>
          <w:szCs w:val="28"/>
          <w:rtl/>
        </w:rPr>
        <w:t xml:space="preserve">عقد الجواهر في سيرة الامام الناصر</w:t>
      </w:r>
    </w:p>
    <w:p>
      <w:pPr>
        <w:pStyle w:val="BookText"/>
      </w:pPr>
      <w:r>
        <w:rPr>
          <w:rFonts w:ascii="IRNazanin" w:hAnsi="IRNazanin" w:eastAsia="IRNazanin" w:cs="IRNazanin"/>
          <w:lang w:bidi="fa-IR"/>
          <w:color w:val="111111"/>
          <w:sz w:val="28"/>
          <w:szCs w:val="28"/>
          <w:rtl/>
        </w:rPr>
        <w:t xml:space="preserve">ج 11، ص 159.</w:t>
      </w:r>
    </w:p>
    <w:p>
      <w:pPr>
        <w:pStyle w:val="BookText"/>
      </w:pPr>
      <w:r>
        <w:rPr>
          <w:rFonts w:ascii="Amiri" w:hAnsi="Amiri" w:eastAsia="Amiri" w:cs="Amiri"/>
          <w:lang w:bidi="ar-SA"/>
          <w:color w:val="111111"/>
          <w:sz w:val="28"/>
          <w:szCs w:val="28"/>
          <w:rtl/>
        </w:rPr>
        <w:t xml:space="preserve">ضبي ، احمد بن محمّد -ابن محاملي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ضبي انطاكي ، احمد بن محمّد- صنوبري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ضبي ، حسين بن اسماعيل- محاملي ،</w:t>
      </w:r>
    </w:p>
    <w:p>
      <w:pPr>
        <w:pStyle w:val="BookText"/>
      </w:pPr>
      <w:r>
        <w:rPr>
          <w:rFonts w:ascii="Amiri" w:hAnsi="Amiri" w:eastAsia="Amiri" w:cs="Amiri"/>
          <w:lang w:bidi="ar-SA"/>
          <w:color w:val="111111"/>
          <w:sz w:val="28"/>
          <w:szCs w:val="28"/>
          <w:rtl/>
        </w:rPr>
        <w:t xml:space="preserve">حسين بن اسماعيل</w:t>
      </w:r>
    </w:p>
    <w:p>
      <w:pPr>
        <w:pStyle w:val="BookText"/>
      </w:pPr>
      <w:r>
        <w:rPr>
          <w:rFonts w:ascii="Amiri" w:hAnsi="Amiri" w:eastAsia="Amiri" w:cs="Amiri"/>
          <w:lang w:bidi="ar-SA"/>
          <w:color w:val="111111"/>
          <w:sz w:val="28"/>
          <w:szCs w:val="28"/>
          <w:rtl/>
        </w:rPr>
        <w:t xml:space="preserve">ضبي ، حسين بن هارون- ابن هارون ، حسين</w:t>
      </w:r>
    </w:p>
    <w:p>
      <w:pPr>
        <w:pStyle w:val="Heading2"/>
      </w:pPr>
      <w:bookmarkStart w:id="5504" w:name="_Toc4606"/>
      <w:r>
        <w:t>ضبي ، عامر بن عمران - 250 ه-</w:t>
      </w:r>
      <w:bookmarkEnd w:id="5504"/>
    </w:p>
    <w:p>
      <w:pPr>
        <w:pStyle w:val="BookText"/>
      </w:pPr>
      <w:r>
        <w:rPr>
          <w:rFonts w:ascii="IRNazanin" w:hAnsi="IRNazanin" w:eastAsia="IRNazanin" w:cs="IRNazanin"/>
          <w:lang w:bidi="fa-IR"/>
          <w:color w:val="111111"/>
          <w:sz w:val="28"/>
          <w:szCs w:val="28"/>
          <w:rtl/>
        </w:rPr>
        <w:t xml:space="preserve">الأمثال، ج 2، ص 743.</w:t>
      </w:r>
    </w:p>
    <w:p>
      <w:pPr>
        <w:pStyle w:val="BookText"/>
      </w:pPr>
      <w:r>
        <w:rPr>
          <w:rFonts w:ascii="Amiri" w:hAnsi="Amiri" w:eastAsia="Amiri" w:cs="Amiri"/>
          <w:lang w:bidi="ar-SA"/>
          <w:color w:val="111111"/>
          <w:sz w:val="28"/>
          <w:szCs w:val="28"/>
          <w:rtl/>
        </w:rPr>
        <w:t xml:space="preserve">ضبي ، محمّد بن عبدالله -حاكم نيشابوري محمّد بن عبدالله</w:t>
      </w:r>
    </w:p>
    <w:p>
      <w:pPr>
        <w:pStyle w:val="BookText"/>
      </w:pPr>
      <w:r>
        <w:rPr>
          <w:rFonts w:ascii="Amiri" w:hAnsi="Amiri" w:eastAsia="Amiri" w:cs="Amiri"/>
          <w:lang w:bidi="ar-SA"/>
          <w:color w:val="111111"/>
          <w:sz w:val="28"/>
          <w:szCs w:val="28"/>
          <w:rtl/>
        </w:rPr>
        <w:t xml:space="preserve">ضبي ، مفضل بن محمّد -مفضل ضبي</w:t>
      </w:r>
    </w:p>
    <w:p>
      <w:pPr>
        <w:pStyle w:val="BookText"/>
      </w:pPr>
      <w:r>
        <w:rPr>
          <w:rFonts w:ascii="IRNazanin" w:hAnsi="IRNazanin" w:eastAsia="IRNazanin" w:cs="IRNazanin"/>
          <w:lang w:bidi="fa-IR"/>
          <w:color w:val="111111"/>
          <w:sz w:val="28"/>
          <w:szCs w:val="28"/>
          <w:rtl/>
        </w:rPr>
        <w:t xml:space="preserve">مفضل بن محمّد</w:t>
      </w:r>
    </w:p>
    <w:p>
      <w:pPr>
        <w:pStyle w:val="BookText"/>
      </w:pPr>
      <w:r>
        <w:rPr>
          <w:rFonts w:ascii="Amiri" w:hAnsi="Amiri" w:eastAsia="Amiri" w:cs="Amiri"/>
          <w:lang w:bidi="ar-SA"/>
          <w:color w:val="111111"/>
          <w:sz w:val="28"/>
          <w:szCs w:val="28"/>
          <w:rtl/>
        </w:rPr>
        <w:t xml:space="preserve">ضحاك ، احمد بن عمرو- ابن ابي عاصم ،</w:t>
      </w:r>
    </w:p>
    <w:p>
      <w:pPr>
        <w:pStyle w:val="BookText"/>
      </w:pPr>
      <w:r>
        <w:rPr>
          <w:rFonts w:ascii="IRNazanin" w:hAnsi="IRNazanin" w:eastAsia="IRNazanin" w:cs="IRNazanin"/>
          <w:lang w:bidi="fa-IR"/>
          <w:color w:val="111111"/>
          <w:sz w:val="28"/>
          <w:szCs w:val="28"/>
          <w:rtl/>
        </w:rPr>
        <w:t xml:space="preserve">احمد بن عمرو</w:t>
      </w:r>
    </w:p>
    <w:p>
      <w:pPr>
        <w:pStyle w:val="Heading2"/>
      </w:pPr>
      <w:bookmarkStart w:id="5505" w:name="_Toc4607"/>
      <w:r>
        <w:t>ضحكي ، مصطفى بن ميرزا محمّد 1011 -</w:t>
      </w:r>
      <w:bookmarkEnd w:id="5505"/>
    </w:p>
    <w:p>
      <w:pPr>
        <w:pStyle w:val="BookText"/>
      </w:pPr>
      <w:r>
        <w:rPr>
          <w:rFonts w:ascii="IRNazanin" w:hAnsi="IRNazanin" w:eastAsia="IRNazanin" w:cs="IRNazanin"/>
          <w:lang w:bidi="fa-IR"/>
          <w:color w:val="111111"/>
          <w:sz w:val="28"/>
          <w:szCs w:val="28"/>
          <w:rtl/>
        </w:rPr>
        <w:t xml:space="preserve">1090ه-</w:t>
      </w:r>
    </w:p>
    <w:p>
      <w:pPr>
        <w:pStyle w:val="BookText"/>
      </w:pPr>
      <w:r>
        <w:rPr>
          <w:rFonts w:ascii="Amiri" w:hAnsi="Amiri" w:eastAsia="Amiri" w:cs="Amiri"/>
          <w:lang w:bidi="ar-SA"/>
          <w:color w:val="111111"/>
          <w:sz w:val="28"/>
          <w:szCs w:val="28"/>
          <w:rtl/>
        </w:rPr>
        <w:t xml:space="preserve">لوازم القضاة والحكام في اصلاح أمور</w:t>
      </w:r>
    </w:p>
    <w:p>
      <w:pPr>
        <w:pStyle w:val="BookText"/>
      </w:pPr>
      <w:r>
        <w:rPr>
          <w:rFonts w:ascii="IRNazanin" w:hAnsi="IRNazanin" w:eastAsia="IRNazanin" w:cs="IRNazanin"/>
          <w:lang w:bidi="fa-IR"/>
          <w:color w:val="111111"/>
          <w:sz w:val="28"/>
          <w:szCs w:val="28"/>
          <w:rtl/>
        </w:rPr>
        <w:t xml:space="preserve">الانام، ج13، ص 633.</w:t>
      </w:r>
    </w:p>
    <w:p>
      <w:pPr>
        <w:pStyle w:val="Heading2"/>
      </w:pPr>
      <w:bookmarkStart w:id="5506" w:name="_Toc4608"/>
      <w:r>
        <w:t>ضراب ، حسن بن اسماعيل - 392 ه-</w:t>
      </w:r>
      <w:bookmarkEnd w:id="5506"/>
    </w:p>
    <w:p>
      <w:pPr>
        <w:pStyle w:val="BookText"/>
      </w:pPr>
      <w:r>
        <w:rPr>
          <w:rFonts w:ascii="Amiri" w:hAnsi="Amiri" w:eastAsia="Amiri" w:cs="Amiri"/>
          <w:lang w:bidi="ar-SA"/>
          <w:color w:val="111111"/>
          <w:sz w:val="28"/>
          <w:szCs w:val="28"/>
          <w:rtl/>
        </w:rPr>
        <w:t xml:space="preserve">عقلاء المجانين و الموسوسين، ج11، ص 179</w:t>
      </w:r>
    </w:p>
    <w:p>
      <w:pPr>
        <w:pStyle w:val="BookText"/>
      </w:pPr>
      <w:r>
        <w:rPr>
          <w:rFonts w:ascii="Amiri" w:hAnsi="Amiri" w:eastAsia="Amiri" w:cs="Amiri"/>
          <w:lang w:bidi="ar-SA"/>
          <w:color w:val="111111"/>
          <w:sz w:val="28"/>
          <w:szCs w:val="28"/>
          <w:rtl/>
        </w:rPr>
        <w:t xml:space="preserve">ضرير ، احمد بن حسين- ابن خباز ، احمد</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ضرير بغدادي ، هبة الله بن سلامه بغدادي ، هبة الله بن سلامه</w:t>
      </w:r>
    </w:p>
    <w:p>
      <w:pPr>
        <w:pStyle w:val="BookText"/>
      </w:pPr>
      <w:r>
        <w:rPr>
          <w:rFonts w:ascii="Amiri" w:hAnsi="Amiri" w:eastAsia="Amiri" w:cs="Amiri"/>
          <w:lang w:bidi="ar-SA"/>
          <w:color w:val="111111"/>
          <w:sz w:val="28"/>
          <w:szCs w:val="28"/>
          <w:rtl/>
        </w:rPr>
        <w:t xml:space="preserve">ضرير حنفي ، ابن عثمان -حموي حنفي</w:t>
      </w:r>
    </w:p>
    <w:p>
      <w:pPr>
        <w:pStyle w:val="BookText"/>
      </w:pPr>
      <w:r>
        <w:rPr>
          <w:rFonts w:ascii="Amiri" w:hAnsi="Amiri" w:eastAsia="Amiri" w:cs="Amiri"/>
          <w:lang w:bidi="ar-SA"/>
          <w:color w:val="111111"/>
          <w:sz w:val="28"/>
          <w:szCs w:val="28"/>
          <w:rtl/>
        </w:rPr>
        <w:t xml:space="preserve">علي بن عثمان</w:t>
      </w:r>
    </w:p>
    <w:p>
      <w:pPr>
        <w:pStyle w:val="BookText"/>
      </w:pPr>
      <w:r>
        <w:rPr>
          <w:rFonts w:ascii="Amiri" w:hAnsi="Amiri" w:eastAsia="Amiri" w:cs="Amiri"/>
          <w:lang w:bidi="ar-SA"/>
          <w:color w:val="111111"/>
          <w:sz w:val="28"/>
          <w:szCs w:val="28"/>
          <w:rtl/>
        </w:rPr>
        <w:t xml:space="preserve">ضرير حنفي علي بن عثمان- حموي</w:t>
      </w:r>
    </w:p>
    <w:p>
      <w:pPr>
        <w:pStyle w:val="BookText"/>
      </w:pPr>
      <w:r>
        <w:rPr>
          <w:rFonts w:ascii="Amiri" w:hAnsi="Amiri" w:eastAsia="Amiri" w:cs="Amiri"/>
          <w:lang w:bidi="ar-SA"/>
          <w:color w:val="111111"/>
          <w:sz w:val="28"/>
          <w:szCs w:val="28"/>
          <w:rtl/>
        </w:rPr>
        <w:t xml:space="preserve">حنفي ، علي بن عثمان</w:t>
      </w:r>
    </w:p>
    <w:p>
      <w:pPr>
        <w:pStyle w:val="Heading2"/>
      </w:pPr>
      <w:bookmarkStart w:id="5507" w:name="_Toc4609"/>
      <w:r>
        <w:t>ضریر دمشقي ، محمّد بن نصر</w:t>
      </w:r>
      <w:bookmarkEnd w:id="5507"/>
    </w:p>
    <w:p>
      <w:pPr>
        <w:pStyle w:val="BookText"/>
      </w:pPr>
      <w:r>
        <w:rPr>
          <w:rFonts w:ascii="Amiri" w:hAnsi="Amiri" w:eastAsia="Amiri" w:cs="Amiri"/>
          <w:lang w:bidi="ar-SA"/>
          <w:color w:val="111111"/>
          <w:sz w:val="28"/>
          <w:szCs w:val="28"/>
          <w:rtl/>
        </w:rPr>
        <w:t xml:space="preserve">ذخر الطلاب في تمهيد الاعراب، ج7،</w:t>
      </w:r>
    </w:p>
    <w:p>
      <w:pPr>
        <w:pStyle w:val="BookText"/>
      </w:pPr>
      <w:r>
        <w:rPr>
          <w:rFonts w:ascii="IRNazanin" w:hAnsi="IRNazanin" w:eastAsia="IRNazanin" w:cs="IRNazanin"/>
          <w:lang w:bidi="fa-IR"/>
          <w:color w:val="111111"/>
          <w:sz w:val="28"/>
          <w:szCs w:val="28"/>
          <w:rtl/>
        </w:rPr>
        <w:t xml:space="preserve">ص 816.</w:t>
      </w:r>
    </w:p>
    <w:p>
      <w:pPr>
        <w:pStyle w:val="BookText"/>
      </w:pPr>
      <w:r>
        <w:rPr>
          <w:rFonts w:ascii="Amiri" w:hAnsi="Amiri" w:eastAsia="Amiri" w:cs="Amiri"/>
          <w:lang w:bidi="ar-SA"/>
          <w:color w:val="111111"/>
          <w:sz w:val="28"/>
          <w:szCs w:val="28"/>
          <w:rtl/>
        </w:rPr>
        <w:t xml:space="preserve">ضرير شبشيري ، محمد ولي الدين شبشيري ، محمّد ولي الدين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84" w:name="pg7742_70677"/>
    <w:bookmarkEnd w:id="684"/>
    <w:p>
      <w:pPr>
        <w:pStyle w:val="Heading2"/>
      </w:pPr>
      <w:bookmarkStart w:id="5508" w:name="_Toc4610"/>
      <w:r>
        <w:t>ضرير ، عبدالله بن عبدالعزيز، قرن 3 ه-</w:t>
      </w:r>
      <w:bookmarkEnd w:id="5508"/>
    </w:p>
    <w:p>
      <w:pPr>
        <w:pStyle w:val="BookText"/>
      </w:pPr>
      <w:r>
        <w:rPr>
          <w:rFonts w:ascii="Amiri" w:hAnsi="Amiri" w:eastAsia="Amiri" w:cs="Amiri"/>
          <w:lang w:bidi="ar-SA"/>
          <w:color w:val="111111"/>
          <w:sz w:val="28"/>
          <w:szCs w:val="28"/>
          <w:rtl/>
        </w:rPr>
        <w:t xml:space="preserve">كتاب الكتاب وصفة الدواة و القلم و تصريفها، ج13، ص117.</w:t>
      </w:r>
    </w:p>
    <w:p>
      <w:pPr>
        <w:pStyle w:val="BookText"/>
      </w:pPr>
      <w:r>
        <w:rPr>
          <w:rFonts w:ascii="Amiri" w:hAnsi="Amiri" w:eastAsia="Amiri" w:cs="Amiri"/>
          <w:lang w:bidi="ar-SA"/>
          <w:color w:val="111111"/>
          <w:sz w:val="28"/>
          <w:szCs w:val="28"/>
          <w:rtl/>
        </w:rPr>
        <w:t xml:space="preserve">ضرير ، محمّد بن احمد م-تولي ، محمّد</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ضرير ، محمّد بن عبدالرحمن- ابن ابي</w:t>
      </w:r>
    </w:p>
    <w:p>
      <w:pPr>
        <w:pStyle w:val="BookText"/>
      </w:pPr>
      <w:r>
        <w:rPr>
          <w:rFonts w:ascii="IRNazanin" w:hAnsi="IRNazanin" w:eastAsia="IRNazanin" w:cs="IRNazanin"/>
          <w:lang w:bidi="fa-IR"/>
          <w:color w:val="111111"/>
          <w:sz w:val="28"/>
          <w:szCs w:val="28"/>
          <w:rtl/>
        </w:rPr>
        <w:t xml:space="preserve">زید ، محمّد بن عبدالرحمن</w:t>
      </w:r>
    </w:p>
    <w:p>
      <w:pPr>
        <w:pStyle w:val="Heading2"/>
      </w:pPr>
      <w:bookmarkStart w:id="5509" w:name="_Toc4611"/>
      <w:r>
        <w:t>ضرير ، مصطفى بن ملالطفي، - 1188</w:t>
      </w:r>
      <w:bookmarkEnd w:id="5509"/>
    </w:p>
    <w:p>
      <w:pPr>
        <w:pStyle w:val="BookText"/>
      </w:pPr>
      <w:r>
        <w:rPr>
          <w:rFonts w:ascii="Amiri" w:hAnsi="Amiri" w:eastAsia="Amiri" w:cs="Amiri"/>
          <w:lang w:bidi="ar-SA"/>
          <w:color w:val="111111"/>
          <w:sz w:val="28"/>
          <w:szCs w:val="28"/>
          <w:rtl/>
        </w:rPr>
        <w:t xml:space="preserve">1 .تنقيح تلخيص النكت = منظومة</w:t>
      </w:r>
    </w:p>
    <w:p>
      <w:pPr>
        <w:pStyle w:val="BookText"/>
      </w:pPr>
      <w:r>
        <w:rPr>
          <w:rFonts w:ascii="Amiri" w:hAnsi="Amiri" w:eastAsia="Amiri" w:cs="Amiri"/>
          <w:lang w:bidi="ar-SA"/>
          <w:color w:val="111111"/>
          <w:sz w:val="28"/>
          <w:szCs w:val="28"/>
          <w:rtl/>
        </w:rPr>
        <w:t xml:space="preserve">في البلاغة، ج 5، ص 62.</w:t>
      </w:r>
    </w:p>
    <w:p>
      <w:pPr>
        <w:pStyle w:val="BookText"/>
      </w:pPr>
      <w:r>
        <w:rPr>
          <w:rFonts w:ascii="Amiri" w:hAnsi="Amiri" w:eastAsia="Amiri" w:cs="Amiri"/>
          <w:lang w:bidi="ar-SA"/>
          <w:color w:val="111111"/>
          <w:sz w:val="28"/>
          <w:szCs w:val="28"/>
          <w:rtl/>
        </w:rPr>
        <w:t xml:space="preserve">2 .شرح منظومة في أصول الفقه، ج 10،</w:t>
      </w:r>
    </w:p>
    <w:p>
      <w:pPr>
        <w:pStyle w:val="BookText"/>
      </w:pPr>
      <w:r>
        <w:rPr>
          <w:rFonts w:ascii="IRNazanin" w:hAnsi="IRNazanin" w:eastAsia="IRNazanin" w:cs="IRNazanin"/>
          <w:lang w:bidi="fa-IR"/>
          <w:color w:val="111111"/>
          <w:sz w:val="28"/>
          <w:szCs w:val="28"/>
          <w:rtl/>
        </w:rPr>
        <w:t xml:space="preserve">ص 249 .</w:t>
      </w:r>
    </w:p>
    <w:p>
      <w:pPr>
        <w:pStyle w:val="BookText"/>
      </w:pPr>
      <w:r>
        <w:rPr>
          <w:rFonts w:ascii="Amiri" w:hAnsi="Amiri" w:eastAsia="Amiri" w:cs="Amiri"/>
          <w:lang w:bidi="ar-SA"/>
          <w:color w:val="111111"/>
          <w:sz w:val="28"/>
          <w:szCs w:val="28"/>
          <w:rtl/>
        </w:rPr>
        <w:t xml:space="preserve">3.غاية المأمول، ج 11، ص 442.</w:t>
      </w:r>
    </w:p>
    <w:p>
      <w:pPr>
        <w:pStyle w:val="BookText"/>
      </w:pPr>
      <w:r>
        <w:rPr>
          <w:rFonts w:ascii="Amiri" w:hAnsi="Amiri" w:eastAsia="Amiri" w:cs="Amiri"/>
          <w:lang w:bidi="ar-SA"/>
          <w:color w:val="111111"/>
          <w:sz w:val="28"/>
          <w:szCs w:val="28"/>
          <w:rtl/>
        </w:rPr>
        <w:t xml:space="preserve">4 .مسلك الابرار إلى نكات الدر</w:t>
      </w:r>
    </w:p>
    <w:p>
      <w:pPr>
        <w:pStyle w:val="BookText"/>
      </w:pPr>
      <w:r>
        <w:rPr>
          <w:rFonts w:ascii="IRNazanin" w:hAnsi="IRNazanin" w:eastAsia="IRNazanin" w:cs="IRNazanin"/>
          <w:lang w:bidi="fa-IR"/>
          <w:color w:val="111111"/>
          <w:sz w:val="28"/>
          <w:szCs w:val="28"/>
          <w:rtl/>
        </w:rPr>
        <w:t xml:space="preserve">المختار ج 14، ص 581.</w:t>
      </w:r>
    </w:p>
    <w:p>
      <w:pPr>
        <w:pStyle w:val="BookText"/>
      </w:pPr>
      <w:r>
        <w:rPr>
          <w:rFonts w:ascii="Amiri" w:hAnsi="Amiri" w:eastAsia="Amiri" w:cs="Amiri"/>
          <w:lang w:bidi="ar-SA"/>
          <w:color w:val="111111"/>
          <w:sz w:val="28"/>
          <w:szCs w:val="28"/>
          <w:rtl/>
        </w:rPr>
        <w:t xml:space="preserve">ضرير موصلي، مصطفى بن ملالطفي- ضرير ، مصطفى بن ملالطفي</w:t>
      </w:r>
    </w:p>
    <w:p>
      <w:pPr>
        <w:pStyle w:val="BookText"/>
      </w:pPr>
      <w:r>
        <w:rPr>
          <w:rFonts w:ascii="Amiri" w:hAnsi="Amiri" w:eastAsia="Amiri" w:cs="Amiri"/>
          <w:lang w:bidi="ar-SA"/>
          <w:color w:val="111111"/>
          <w:sz w:val="28"/>
          <w:szCs w:val="28"/>
          <w:rtl/>
        </w:rPr>
        <w:t xml:space="preserve">ضرير نيشابوري -حيري ، اسماعيل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ضرير ، يحيى بن يوسف- صرصري ، يحيى</w:t>
      </w:r>
    </w:p>
    <w:p>
      <w:pPr>
        <w:pStyle w:val="BookText"/>
      </w:pPr>
      <w:r>
        <w:rPr>
          <w:rFonts w:ascii="Amiri" w:hAnsi="Amiri" w:eastAsia="Amiri" w:cs="Amiri"/>
          <w:lang w:bidi="ar-SA"/>
          <w:color w:val="111111"/>
          <w:sz w:val="28"/>
          <w:szCs w:val="28"/>
          <w:rtl/>
        </w:rPr>
        <w:t xml:space="preserve">بن يوسف</w:t>
      </w:r>
    </w:p>
    <w:p>
      <w:pPr>
        <w:pStyle w:val="Heading2"/>
      </w:pPr>
      <w:bookmarkStart w:id="5510" w:name="_Toc4612"/>
      <w:r>
        <w:t>ضريري ، داود</w:t>
      </w:r>
      <w:bookmarkEnd w:id="5510"/>
    </w:p>
    <w:p>
      <w:pPr>
        <w:pStyle w:val="BookText"/>
      </w:pPr>
      <w:r>
        <w:rPr>
          <w:rFonts w:ascii="Amiri" w:hAnsi="Amiri" w:eastAsia="Amiri" w:cs="Amiri"/>
          <w:lang w:bidi="ar-SA"/>
          <w:color w:val="111111"/>
          <w:sz w:val="28"/>
          <w:szCs w:val="28"/>
          <w:rtl/>
        </w:rPr>
        <w:t xml:space="preserve">فضيلة العلم و تعداد العلوم (رسالة</w:t>
      </w:r>
    </w:p>
    <w:p>
      <w:pPr>
        <w:pStyle w:val="BookText"/>
      </w:pPr>
      <w:r>
        <w:rPr>
          <w:rFonts w:ascii="Amiri" w:hAnsi="Amiri" w:eastAsia="Amiri" w:cs="Amiri"/>
          <w:lang w:bidi="ar-SA"/>
          <w:color w:val="111111"/>
          <w:sz w:val="28"/>
          <w:szCs w:val="28"/>
          <w:rtl/>
        </w:rPr>
        <w:t xml:space="preserve">في)، ج 12، ص 33.</w:t>
      </w:r>
    </w:p>
    <w:p>
      <w:pPr>
        <w:pStyle w:val="Heading2"/>
      </w:pPr>
      <w:bookmarkStart w:id="5511" w:name="_Toc4613"/>
      <w:r>
        <w:t>ضیاء اردوبادي - 927 ه-</w:t>
      </w:r>
      <w:bookmarkEnd w:id="5511"/>
    </w:p>
    <w:p>
      <w:pPr>
        <w:pStyle w:val="BookText"/>
      </w:pPr>
      <w:r>
        <w:rPr>
          <w:rFonts w:ascii="IRNazanin" w:hAnsi="IRNazanin" w:eastAsia="IRNazanin" w:cs="IRNazanin"/>
          <w:lang w:bidi="fa-IR"/>
          <w:color w:val="111111"/>
          <w:sz w:val="28"/>
          <w:szCs w:val="28"/>
          <w:rtl/>
        </w:rPr>
        <w:t xml:space="preserve">حل معما، ج 6، ص 802.</w:t>
      </w:r>
    </w:p>
    <w:p>
      <w:pPr>
        <w:pStyle w:val="BookText"/>
      </w:pPr>
      <w:r>
        <w:rPr>
          <w:rFonts w:ascii="IRNazanin" w:hAnsi="IRNazanin" w:eastAsia="IRNazanin" w:cs="IRNazanin"/>
          <w:lang w:bidi="fa-IR"/>
          <w:color w:val="111111"/>
          <w:sz w:val="28"/>
          <w:szCs w:val="28"/>
          <w:rtl/>
        </w:rPr>
        <w:t xml:space="preserve">ضیاءالدین بن ملا محمّد عراقي- آقا ضياء عراقي</w:t>
      </w:r>
    </w:p>
    <w:p>
      <w:pPr>
        <w:pStyle w:val="Heading2"/>
      </w:pPr>
      <w:bookmarkStart w:id="5512" w:name="_Toc4614"/>
      <w:r>
        <w:t>ضياء الدين مقدسي ، محمّد بن</w:t>
      </w:r>
      <w:bookmarkEnd w:id="5512"/>
    </w:p>
    <w:p>
      <w:pPr>
        <w:pStyle w:val="BookText"/>
      </w:pPr>
      <w:r>
        <w:rPr>
          <w:rFonts w:ascii="IRNazanin" w:hAnsi="IRNazanin" w:eastAsia="IRNazanin" w:cs="IRNazanin"/>
          <w:lang w:bidi="fa-IR"/>
          <w:color w:val="111111"/>
          <w:sz w:val="28"/>
          <w:szCs w:val="28"/>
          <w:rtl/>
        </w:rPr>
        <w:t xml:space="preserve">عبد الواحد، 569 - 643 ه-</w:t>
      </w:r>
    </w:p>
    <w:p>
      <w:pPr>
        <w:pStyle w:val="BookText"/>
      </w:pPr>
      <w:r>
        <w:rPr>
          <w:rFonts w:ascii="Amiri" w:hAnsi="Amiri" w:eastAsia="Amiri" w:cs="Amiri"/>
          <w:lang w:bidi="ar-SA"/>
          <w:color w:val="111111"/>
          <w:sz w:val="28"/>
          <w:szCs w:val="28"/>
          <w:rtl/>
        </w:rPr>
        <w:t xml:space="preserve">1 .احاديث العوالي، ج 1، ص 411.</w:t>
      </w:r>
    </w:p>
    <w:p>
      <w:pPr>
        <w:pStyle w:val="BookText"/>
      </w:pPr>
      <w:r>
        <w:rPr>
          <w:rFonts w:ascii="Amiri" w:hAnsi="Amiri" w:eastAsia="Amiri" w:cs="Amiri"/>
          <w:lang w:bidi="ar-SA"/>
          <w:color w:val="111111"/>
          <w:sz w:val="28"/>
          <w:szCs w:val="28"/>
          <w:rtl/>
        </w:rPr>
        <w:t xml:space="preserve">2 .الاحاديث المختارة مما ليس في الصحيح البخاري ومسلم، ج1،</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الاحاديث المسلسلات، ج 1، ص 418.</w:t>
      </w:r>
    </w:p>
    <w:p>
      <w:pPr>
        <w:pStyle w:val="BookText"/>
      </w:pPr>
      <w:r>
        <w:rPr>
          <w:rFonts w:ascii="Amiri" w:hAnsi="Amiri" w:eastAsia="Amiri" w:cs="Amiri"/>
          <w:lang w:bidi="ar-SA"/>
          <w:color w:val="111111"/>
          <w:sz w:val="28"/>
          <w:szCs w:val="28"/>
          <w:rtl/>
        </w:rPr>
        <w:t xml:space="preserve">4 .الأحاديث و الحكايات، ج1،</w:t>
      </w:r>
    </w:p>
    <w:p>
      <w:pPr>
        <w:pStyle w:val="BookText"/>
      </w:pPr>
      <w:r>
        <w:rPr>
          <w:rFonts w:ascii="IRNazanin" w:hAnsi="IRNazanin" w:eastAsia="IRNazanin" w:cs="IRNazanin"/>
          <w:lang w:bidi="fa-IR"/>
          <w:color w:val="111111"/>
          <w:sz w:val="28"/>
          <w:szCs w:val="28"/>
          <w:rtl/>
        </w:rPr>
        <w:t xml:space="preserve">ص 431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احوال ابن قدامة المقدسي = احوال محمّد بن احمد بن قدامة المقدسي</w:t>
      </w:r>
    </w:p>
    <w:p>
      <w:pPr>
        <w:pStyle w:val="BookText"/>
      </w:pPr>
      <w:r>
        <w:rPr>
          <w:rFonts w:ascii="Amiri" w:hAnsi="Amiri" w:eastAsia="Amiri" w:cs="Amiri"/>
          <w:lang w:bidi="ar-SA"/>
          <w:color w:val="111111"/>
          <w:sz w:val="28"/>
          <w:szCs w:val="28"/>
          <w:rtl/>
        </w:rPr>
        <w:t xml:space="preserve">(رسالة في)، ج 1، ص 498</w:t>
      </w:r>
    </w:p>
    <w:p>
      <w:pPr>
        <w:pStyle w:val="BookText"/>
      </w:pPr>
      <w:r>
        <w:rPr>
          <w:rFonts w:ascii="Amiri" w:hAnsi="Amiri" w:eastAsia="Amiri" w:cs="Amiri"/>
          <w:lang w:bidi="ar-SA"/>
          <w:color w:val="111111"/>
          <w:sz w:val="28"/>
          <w:szCs w:val="28"/>
          <w:rtl/>
        </w:rPr>
        <w:t xml:space="preserve">6 .الاوهام في المشايخ النبل، ج3،</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الحكايات المنثورة، ج 6، ص 724.</w:t>
      </w:r>
    </w:p>
    <w:p>
      <w:pPr>
        <w:pStyle w:val="BookText"/>
      </w:pPr>
      <w:r>
        <w:rPr>
          <w:rFonts w:ascii="Amiri" w:hAnsi="Amiri" w:eastAsia="Amiri" w:cs="Amiri"/>
          <w:lang w:bidi="ar-SA"/>
          <w:color w:val="111111"/>
          <w:sz w:val="28"/>
          <w:szCs w:val="28"/>
          <w:rtl/>
        </w:rPr>
        <w:t xml:space="preserve">8 .ذكر الشيخ الامام العالم الزاهد ابي</w:t>
      </w:r>
    </w:p>
    <w:p>
      <w:pPr>
        <w:pStyle w:val="BookText"/>
      </w:pPr>
      <w:r>
        <w:rPr>
          <w:rFonts w:ascii="Amiri" w:hAnsi="Amiri" w:eastAsia="Amiri" w:cs="Amiri"/>
          <w:lang w:bidi="ar-SA"/>
          <w:color w:val="111111"/>
          <w:sz w:val="28"/>
          <w:szCs w:val="28"/>
          <w:rtl/>
        </w:rPr>
        <w:t xml:space="preserve">عمرو محمّد بن قدامة بن نصر</w:t>
      </w:r>
    </w:p>
    <w:p>
      <w:pPr>
        <w:pStyle w:val="BookText"/>
      </w:pPr>
      <w:r>
        <w:rPr>
          <w:rFonts w:ascii="Amiri" w:hAnsi="Amiri" w:eastAsia="Amiri" w:cs="Amiri"/>
          <w:lang w:bidi="ar-SA"/>
          <w:color w:val="111111"/>
          <w:sz w:val="28"/>
          <w:szCs w:val="28"/>
          <w:rtl/>
        </w:rPr>
        <w:t xml:space="preserve">المقدسي و ما كان عليه من</w:t>
      </w:r>
    </w:p>
    <w:p>
      <w:pPr>
        <w:pStyle w:val="BookText"/>
      </w:pPr>
      <w:r>
        <w:rPr>
          <w:rFonts w:ascii="Amiri" w:hAnsi="Amiri" w:eastAsia="Amiri" w:cs="Amiri"/>
          <w:lang w:bidi="ar-SA"/>
          <w:color w:val="111111"/>
          <w:sz w:val="28"/>
          <w:szCs w:val="28"/>
          <w:rtl/>
        </w:rPr>
        <w:t xml:space="preserve">كراماته، ج 7، ص854.</w:t>
      </w:r>
    </w:p>
    <w:p>
      <w:pPr>
        <w:pStyle w:val="BookText"/>
      </w:pPr>
      <w:r>
        <w:rPr>
          <w:rFonts w:ascii="Amiri" w:hAnsi="Amiri" w:eastAsia="Amiri" w:cs="Amiri"/>
          <w:lang w:bidi="ar-SA"/>
          <w:color w:val="111111"/>
          <w:sz w:val="28"/>
          <w:szCs w:val="28"/>
          <w:rtl/>
        </w:rPr>
        <w:t xml:space="preserve">9 .الشافي في السنن على الكافي في الفقه الحنبلي لابن قدامة المقدسي</w:t>
      </w:r>
    </w:p>
    <w:p>
      <w:pPr>
        <w:pStyle w:val="BookText"/>
      </w:pPr>
      <w:r>
        <w:rPr>
          <w:rFonts w:ascii="IRNazanin" w:hAnsi="IRNazanin" w:eastAsia="IRNazanin" w:cs="IRNazanin"/>
          <w:lang w:bidi="fa-IR"/>
          <w:color w:val="111111"/>
          <w:sz w:val="28"/>
          <w:szCs w:val="28"/>
          <w:rtl/>
        </w:rPr>
        <w:t xml:space="preserve">ج 9، ص 65 .</w:t>
      </w:r>
    </w:p>
    <w:p>
      <w:pPr>
        <w:pStyle w:val="BookText"/>
      </w:pPr>
      <w:r>
        <w:rPr>
          <w:rFonts w:ascii="Amiri" w:hAnsi="Amiri" w:eastAsia="Amiri" w:cs="Amiri"/>
          <w:lang w:bidi="ar-SA"/>
          <w:color w:val="111111"/>
          <w:sz w:val="28"/>
          <w:szCs w:val="28"/>
          <w:rtl/>
        </w:rPr>
        <w:t xml:space="preserve">10 .عوالي ضياء الدين المقدسي، ج11،</w:t>
      </w:r>
    </w:p>
    <w:p>
      <w:pPr>
        <w:pStyle w:val="BookText"/>
      </w:pPr>
      <w:r>
        <w:rPr>
          <w:rFonts w:ascii="IRNazanin" w:hAnsi="IRNazanin" w:eastAsia="IRNazanin" w:cs="IRNazanin"/>
          <w:lang w:bidi="fa-IR"/>
          <w:color w:val="111111"/>
          <w:sz w:val="28"/>
          <w:szCs w:val="28"/>
          <w:rtl/>
        </w:rPr>
        <w:t xml:space="preserve">ص 351.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85" w:name="pg7742_70678"/>
    <w:bookmarkEnd w:id="685"/>
    <w:p>
      <w:pPr>
        <w:pStyle w:val="BookText"/>
      </w:pPr>
      <w:r>
        <w:rPr>
          <w:rFonts w:ascii="Amiri" w:hAnsi="Amiri" w:eastAsia="Amiri" w:cs="Amiri"/>
          <w:lang w:bidi="ar-SA"/>
          <w:color w:val="111111"/>
          <w:sz w:val="28"/>
          <w:szCs w:val="28"/>
          <w:rtl/>
        </w:rPr>
        <w:t xml:space="preserve">11 .فضائل الشام و قاسيون، ج12،</w:t>
      </w:r>
    </w:p>
    <w:p>
      <w:pPr>
        <w:pStyle w:val="BookText"/>
      </w:pPr>
      <w:r>
        <w:rPr>
          <w:rFonts w:ascii="IRNazanin" w:hAnsi="IRNazanin" w:eastAsia="IRNazanin" w:cs="IRNazanin"/>
          <w:lang w:bidi="fa-IR"/>
          <w:color w:val="111111"/>
          <w:sz w:val="28"/>
          <w:szCs w:val="28"/>
          <w:rtl/>
        </w:rPr>
        <w:t xml:space="preserve">ص8.</w:t>
      </w:r>
    </w:p>
    <w:p>
      <w:pPr>
        <w:pStyle w:val="BookText"/>
      </w:pPr>
      <w:r>
        <w:rPr>
          <w:rFonts w:ascii="Amiri" w:hAnsi="Amiri" w:eastAsia="Amiri" w:cs="Amiri"/>
          <w:lang w:bidi="ar-SA"/>
          <w:color w:val="111111"/>
          <w:sz w:val="28"/>
          <w:szCs w:val="28"/>
          <w:rtl/>
        </w:rPr>
        <w:t xml:space="preserve">12 .المجموع في الحديث، ج 14، ص 70.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المنتقي من مسموعات الضياء</w:t>
      </w:r>
    </w:p>
    <w:p>
      <w:pPr>
        <w:pStyle w:val="BookText"/>
      </w:pPr>
      <w:r>
        <w:rPr>
          <w:rFonts w:ascii="Amiri" w:hAnsi="Amiri" w:eastAsia="Amiri" w:cs="Amiri"/>
          <w:lang w:bidi="ar-SA"/>
          <w:color w:val="111111"/>
          <w:sz w:val="28"/>
          <w:szCs w:val="28"/>
          <w:rtl/>
        </w:rPr>
        <w:t xml:space="preserve">المقدسي، ج 15 ، ص 632.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النهي عن سب الاصحاب و ما فيه من الاثم والعتاب، ج 16، ص 535.</w:t>
      </w:r>
    </w:p>
    <w:p>
      <w:pPr>
        <w:pStyle w:val="Heading2"/>
      </w:pPr>
      <w:bookmarkStart w:id="5513" w:name="_Toc4615"/>
      <w:r>
        <w:t>ضياء الدين وتري ، احمد بن محمّد -</w:t>
      </w:r>
      <w:bookmarkEnd w:id="5513"/>
    </w:p>
    <w:p>
      <w:pPr>
        <w:pStyle w:val="BookText"/>
      </w:pPr>
      <w:r>
        <w:rPr>
          <w:rFonts w:ascii="IRNazanin" w:hAnsi="IRNazanin" w:eastAsia="IRNazanin" w:cs="IRNazanin"/>
          <w:lang w:bidi="fa-IR"/>
          <w:color w:val="111111"/>
          <w:sz w:val="28"/>
          <w:szCs w:val="28"/>
          <w:rtl/>
        </w:rPr>
        <w:t xml:space="preserve">980ه-</w:t>
      </w:r>
    </w:p>
    <w:p>
      <w:pPr>
        <w:pStyle w:val="BookText"/>
      </w:pPr>
      <w:r>
        <w:rPr>
          <w:rFonts w:ascii="Amiri" w:hAnsi="Amiri" w:eastAsia="Amiri" w:cs="Amiri"/>
          <w:lang w:bidi="ar-SA"/>
          <w:color w:val="111111"/>
          <w:sz w:val="28"/>
          <w:szCs w:val="28"/>
          <w:rtl/>
        </w:rPr>
        <w:t xml:space="preserve">1 .شرح مختصر الطحاوي، ج 10،</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الصالحين و حجة أهل</w:t>
      </w:r>
    </w:p>
    <w:p>
      <w:pPr>
        <w:pStyle w:val="BookText"/>
      </w:pPr>
      <w:r>
        <w:rPr>
          <w:rFonts w:ascii="Amiri" w:hAnsi="Amiri" w:eastAsia="Amiri" w:cs="Amiri"/>
          <w:lang w:bidi="ar-SA"/>
          <w:color w:val="111111"/>
          <w:sz w:val="28"/>
          <w:szCs w:val="28"/>
          <w:rtl/>
        </w:rPr>
        <w:t xml:space="preserve">اليقين، ج 15، ص 549.</w:t>
      </w:r>
    </w:p>
    <w:p>
      <w:pPr>
        <w:pStyle w:val="BookText"/>
      </w:pPr>
      <w:r>
        <w:rPr>
          <w:rFonts w:ascii="Amiri" w:hAnsi="Amiri" w:eastAsia="Amiri" w:cs="Amiri"/>
          <w:lang w:bidi="ar-SA"/>
          <w:color w:val="111111"/>
          <w:sz w:val="28"/>
          <w:szCs w:val="28"/>
          <w:rtl/>
        </w:rPr>
        <w:t xml:space="preserve">ضياء لشكر -دانش تفرشي ، محمّد تقي</w:t>
      </w:r>
    </w:p>
    <w:p>
      <w:pPr>
        <w:pStyle w:val="BookText"/>
      </w:pPr>
      <w:r>
        <w:rPr>
          <w:rFonts w:ascii="Amiri" w:hAnsi="Amiri" w:eastAsia="Amiri" w:cs="Amiri"/>
          <w:lang w:bidi="ar-SA"/>
          <w:color w:val="111111"/>
          <w:sz w:val="28"/>
          <w:szCs w:val="28"/>
          <w:rtl/>
        </w:rPr>
        <w:t xml:space="preserve">بن حسين</w:t>
      </w:r>
    </w:p>
    <w:p>
      <w:pPr>
        <w:pStyle w:val="Heading2"/>
      </w:pPr>
      <w:bookmarkStart w:id="5514" w:name="_Toc4616"/>
      <w:r>
        <w:t>ضياء كرماني ، علي بن محمود</w:t>
      </w:r>
      <w:bookmarkEnd w:id="5514"/>
    </w:p>
    <w:p>
      <w:pPr>
        <w:pStyle w:val="BookText"/>
      </w:pPr>
      <w:r>
        <w:rPr>
          <w:rFonts w:ascii="Amiri" w:hAnsi="Amiri" w:eastAsia="Amiri" w:cs="Amiri"/>
          <w:lang w:bidi="ar-SA"/>
          <w:color w:val="111111"/>
          <w:sz w:val="28"/>
          <w:szCs w:val="28"/>
          <w:rtl/>
        </w:rPr>
        <w:t xml:space="preserve">شرح ابيات الموشح، ج 9، ص 151.</w:t>
      </w:r>
    </w:p>
    <w:p>
      <w:pPr>
        <w:pStyle w:val="BookText"/>
      </w:pPr>
      <w:r>
        <w:rPr>
          <w:rFonts w:ascii="Amiri" w:hAnsi="Amiri" w:eastAsia="Amiri" w:cs="Amiri"/>
          <w:lang w:bidi="ar-SA"/>
          <w:color w:val="111111"/>
          <w:sz w:val="28"/>
          <w:szCs w:val="28"/>
          <w:rtl/>
        </w:rPr>
        <w:t xml:space="preserve">ضياء مقدسي ، محمّد بن</w:t>
      </w:r>
    </w:p>
    <w:p>
      <w:pPr>
        <w:pStyle w:val="BookText"/>
      </w:pPr>
      <w:r>
        <w:rPr>
          <w:rFonts w:ascii="Amiri" w:hAnsi="Amiri" w:eastAsia="Amiri" w:cs="Amiri"/>
          <w:lang w:bidi="ar-SA"/>
          <w:color w:val="111111"/>
          <w:sz w:val="28"/>
          <w:szCs w:val="28"/>
          <w:rtl/>
        </w:rPr>
        <w:t xml:space="preserve">عبد الواحد -ضياء الدين مقدسي ، محمّد بن</w:t>
      </w:r>
    </w:p>
    <w:p>
      <w:pPr>
        <w:pStyle w:val="BookText"/>
      </w:pPr>
      <w:r>
        <w:rPr>
          <w:rFonts w:ascii="IRNazanin" w:hAnsi="IRNazanin" w:eastAsia="IRNazanin" w:cs="IRNazanin"/>
          <w:lang w:bidi="fa-IR"/>
          <w:color w:val="111111"/>
          <w:sz w:val="28"/>
          <w:szCs w:val="28"/>
          <w:rtl/>
        </w:rPr>
        <w:t xml:space="preserve">عبد الواحد</w:t>
      </w:r>
    </w:p>
    <w:p>
      <w:pPr>
        <w:pStyle w:val="Heading2"/>
      </w:pPr>
      <w:bookmarkStart w:id="5515" w:name="_Toc4617"/>
      <w:r>
        <w:t>ضيا مغلوي ، علي رضا بن يوسف</w:t>
      </w:r>
      <w:bookmarkEnd w:id="5515"/>
    </w:p>
    <w:p>
      <w:pPr>
        <w:pStyle w:val="BookText"/>
      </w:pPr>
      <w:r>
        <w:rPr>
          <w:rFonts w:ascii="Amiri" w:hAnsi="Amiri" w:eastAsia="Amiri" w:cs="Amiri"/>
          <w:lang w:bidi="ar-SA"/>
          <w:color w:val="111111"/>
          <w:sz w:val="28"/>
          <w:szCs w:val="28"/>
          <w:rtl/>
        </w:rPr>
        <w:t xml:space="preserve">إجازة علمية، ج 1، ص 222.</w:t>
      </w:r>
    </w:p>
    <w:p>
      <w:pPr>
        <w:pStyle w:val="BookText"/>
      </w:pPr>
      <w:r>
        <w:rPr>
          <w:rFonts w:ascii="Amiri" w:hAnsi="Amiri" w:eastAsia="Amiri" w:cs="Amiri"/>
          <w:lang w:bidi="ar-SA"/>
          <w:color w:val="111111"/>
          <w:sz w:val="28"/>
          <w:szCs w:val="28"/>
          <w:rtl/>
        </w:rPr>
        <w:t xml:space="preserve">طائفي الوجي -عبدري ، احمد بن علي</w:t>
      </w:r>
    </w:p>
    <w:p>
      <w:pPr>
        <w:pStyle w:val="Heading2"/>
      </w:pPr>
      <w:bookmarkStart w:id="5516" w:name="_Toc4618"/>
      <w:r>
        <w:t>طائفي، حسين بن علي - 1206 ه-</w:t>
      </w:r>
      <w:bookmarkEnd w:id="5516"/>
    </w:p>
    <w:p>
      <w:pPr>
        <w:pStyle w:val="BookText"/>
      </w:pPr>
      <w:r>
        <w:rPr>
          <w:rFonts w:ascii="Amiri" w:hAnsi="Amiri" w:eastAsia="Amiri" w:cs="Amiri"/>
          <w:lang w:bidi="ar-SA"/>
          <w:color w:val="111111"/>
          <w:sz w:val="28"/>
          <w:szCs w:val="28"/>
          <w:rtl/>
        </w:rPr>
        <w:t xml:space="preserve">لمعة النبراس النبوي وشعلة المقياس</w:t>
      </w:r>
    </w:p>
    <w:p>
      <w:pPr>
        <w:pStyle w:val="BookText"/>
      </w:pPr>
      <w:r>
        <w:rPr>
          <w:rFonts w:ascii="Amiri" w:hAnsi="Amiri" w:eastAsia="Amiri" w:cs="Amiri"/>
          <w:lang w:bidi="ar-SA"/>
          <w:color w:val="111111"/>
          <w:sz w:val="28"/>
          <w:szCs w:val="28"/>
          <w:rtl/>
        </w:rPr>
        <w:t xml:space="preserve">العلوي في مناقب السيد عبدالله بن</w:t>
      </w:r>
    </w:p>
    <w:p>
      <w:pPr>
        <w:pStyle w:val="BookText"/>
      </w:pPr>
      <w:r>
        <w:rPr>
          <w:rFonts w:ascii="Amiri" w:hAnsi="Amiri" w:eastAsia="Amiri" w:cs="Amiri"/>
          <w:lang w:bidi="ar-SA"/>
          <w:color w:val="111111"/>
          <w:sz w:val="28"/>
          <w:szCs w:val="28"/>
          <w:rtl/>
        </w:rPr>
        <w:t xml:space="preserve">علوي الحداد، ج 13، ص 626.</w:t>
      </w:r>
    </w:p>
    <w:p>
      <w:pPr>
        <w:pStyle w:val="BookText"/>
      </w:pPr>
      <w:r>
        <w:rPr>
          <w:rFonts w:ascii="Amiri" w:hAnsi="Amiri" w:eastAsia="Amiri" w:cs="Amiri"/>
          <w:lang w:bidi="ar-SA"/>
          <w:color w:val="111111"/>
          <w:sz w:val="28"/>
          <w:szCs w:val="28"/>
          <w:rtl/>
        </w:rPr>
        <w:t xml:space="preserve">طاني ، حاتم -حاتم طائي</w:t>
      </w:r>
    </w:p>
    <w:p>
      <w:pPr>
        <w:pStyle w:val="BookText"/>
      </w:pPr>
      <w:r>
        <w:rPr>
          <w:rFonts w:ascii="IRNazanin" w:hAnsi="IRNazanin" w:eastAsia="IRNazanin" w:cs="IRNazanin"/>
          <w:lang w:bidi="fa-IR"/>
          <w:color w:val="111111"/>
          <w:sz w:val="28"/>
          <w:szCs w:val="28"/>
          <w:rtl/>
        </w:rPr>
        <w:t xml:space="preserve">طائي ، حبيب بن اوس- ابوتمام ، حبیب بن اوس</w:t>
      </w:r>
    </w:p>
    <w:p>
      <w:pPr>
        <w:pStyle w:val="Heading2"/>
      </w:pPr>
      <w:bookmarkStart w:id="5517" w:name="_Toc4619"/>
      <w:r>
        <w:t>طائي ، سالم بن عبدالرزاق</w:t>
      </w:r>
      <w:bookmarkEnd w:id="5517"/>
    </w:p>
    <w:p>
      <w:pPr>
        <w:pStyle w:val="BookText"/>
      </w:pPr>
      <w:r>
        <w:rPr>
          <w:rFonts w:ascii="Amiri" w:hAnsi="Amiri" w:eastAsia="Amiri" w:cs="Amiri"/>
          <w:lang w:bidi="ar-SA"/>
          <w:color w:val="111111"/>
          <w:sz w:val="28"/>
          <w:szCs w:val="28"/>
          <w:rtl/>
        </w:rPr>
        <w:t xml:space="preserve">إجازة في اصول قراءة عاصم برواية</w:t>
      </w:r>
    </w:p>
    <w:p>
      <w:pPr>
        <w:pStyle w:val="BookText"/>
      </w:pPr>
      <w:r>
        <w:rPr>
          <w:rFonts w:ascii="IRNazanin" w:hAnsi="IRNazanin" w:eastAsia="IRNazanin" w:cs="IRNazanin"/>
          <w:lang w:bidi="fa-IR"/>
          <w:color w:val="111111"/>
          <w:sz w:val="28"/>
          <w:szCs w:val="28"/>
          <w:rtl/>
        </w:rPr>
        <w:t xml:space="preserve">حفص، ج1، ص223.</w:t>
      </w:r>
    </w:p>
    <w:p>
      <w:pPr>
        <w:pStyle w:val="Heading2"/>
      </w:pPr>
      <w:bookmarkStart w:id="5518" w:name="_Toc4620"/>
      <w:r>
        <w:t>طائي ، طرماح بن حكيم - 125 ؟ ه-</w:t>
      </w:r>
      <w:bookmarkEnd w:id="5518"/>
    </w:p>
    <w:p>
      <w:pPr>
        <w:pStyle w:val="BookText"/>
      </w:pPr>
      <w:r>
        <w:rPr>
          <w:rFonts w:ascii="Amiri" w:hAnsi="Amiri" w:eastAsia="Amiri" w:cs="Amiri"/>
          <w:lang w:bidi="ar-SA"/>
          <w:color w:val="111111"/>
          <w:sz w:val="28"/>
          <w:szCs w:val="28"/>
          <w:rtl/>
        </w:rPr>
        <w:t xml:space="preserve">ديوان الطرماح، ج 7، ص 697.</w:t>
      </w:r>
    </w:p>
    <w:p>
      <w:pPr>
        <w:pStyle w:val="BookText"/>
      </w:pPr>
      <w:r>
        <w:rPr>
          <w:rFonts w:ascii="Amiri" w:hAnsi="Amiri" w:eastAsia="Amiri" w:cs="Amiri"/>
          <w:lang w:bidi="ar-SA"/>
          <w:color w:val="111111"/>
          <w:sz w:val="28"/>
          <w:szCs w:val="28"/>
          <w:rtl/>
        </w:rPr>
        <w:t xml:space="preserve">طائي ، عساف بن حمد -عربي طائي ،</w:t>
      </w:r>
    </w:p>
    <w:p>
      <w:pPr>
        <w:pStyle w:val="BookText"/>
      </w:pPr>
      <w:r>
        <w:rPr>
          <w:rFonts w:ascii="IRNazanin" w:hAnsi="IRNazanin" w:eastAsia="IRNazanin" w:cs="IRNazanin"/>
          <w:lang w:bidi="fa-IR"/>
          <w:color w:val="111111"/>
          <w:sz w:val="28"/>
          <w:szCs w:val="28"/>
          <w:rtl/>
        </w:rPr>
        <w:t xml:space="preserve">عساف بن حمد</w:t>
      </w:r>
    </w:p>
    <w:p>
      <w:pPr>
        <w:pStyle w:val="Heading2"/>
      </w:pPr>
      <w:bookmarkStart w:id="5519" w:name="_Toc4621"/>
      <w:r>
        <w:t>طائي ، علي بن حرب، - 265 ه-</w:t>
      </w:r>
      <w:bookmarkEnd w:id="5519"/>
    </w:p>
    <w:p>
      <w:pPr>
        <w:pStyle w:val="BookText"/>
      </w:pPr>
      <w:r>
        <w:rPr>
          <w:rFonts w:ascii="Amiri" w:hAnsi="Amiri" w:eastAsia="Amiri" w:cs="Amiri"/>
          <w:lang w:bidi="ar-SA"/>
          <w:color w:val="111111"/>
          <w:sz w:val="28"/>
          <w:szCs w:val="28"/>
          <w:rtl/>
        </w:rPr>
        <w:t xml:space="preserve">من حديث سفيان بن عينية الهلالي</w:t>
      </w:r>
    </w:p>
    <w:p>
      <w:pPr>
        <w:pStyle w:val="BookText"/>
      </w:pPr>
      <w:r>
        <w:rPr>
          <w:rFonts w:ascii="IRNazanin" w:hAnsi="IRNazanin" w:eastAsia="IRNazanin" w:cs="IRNazanin"/>
          <w:lang w:bidi="fa-IR"/>
          <w:color w:val="111111"/>
          <w:sz w:val="28"/>
          <w:szCs w:val="28"/>
          <w:rtl/>
        </w:rPr>
        <w:t xml:space="preserve">ج 15 ، ص 667 .</w:t>
      </w:r>
    </w:p>
    <w:p>
      <w:pPr>
        <w:pStyle w:val="BookText"/>
      </w:pPr>
      <w:r>
        <w:rPr>
          <w:rFonts w:ascii="Amiri" w:hAnsi="Amiri" w:eastAsia="Amiri" w:cs="Amiri"/>
          <w:lang w:bidi="ar-SA"/>
          <w:color w:val="111111"/>
          <w:sz w:val="28"/>
          <w:szCs w:val="28"/>
          <w:rtl/>
        </w:rPr>
        <w:t xml:space="preserve">طائي ، علي بن محمّد -ابن خطيب</w:t>
      </w:r>
    </w:p>
    <w:p>
      <w:pPr>
        <w:pStyle w:val="BookText"/>
      </w:pPr>
      <w:r>
        <w:rPr>
          <w:rFonts w:ascii="Amiri" w:hAnsi="Amiri" w:eastAsia="Amiri" w:cs="Amiri"/>
          <w:lang w:bidi="ar-SA"/>
          <w:color w:val="111111"/>
          <w:sz w:val="28"/>
          <w:szCs w:val="28"/>
          <w:rtl/>
        </w:rPr>
        <w:t xml:space="preserve">الناصريه ، علي بن محمّد</w:t>
      </w:r>
    </w:p>
    <w:p>
      <w:pPr>
        <w:pStyle w:val="BookText"/>
      </w:pPr>
      <w:r>
        <w:rPr>
          <w:rFonts w:ascii="Amiri" w:hAnsi="Amiri" w:eastAsia="Amiri" w:cs="Amiri"/>
          <w:lang w:bidi="ar-SA"/>
          <w:color w:val="111111"/>
          <w:sz w:val="28"/>
          <w:szCs w:val="28"/>
          <w:rtl/>
        </w:rPr>
        <w:t xml:space="preserve">طائي ، محمّد بن محمّد -ابن مالك</w:t>
      </w:r>
    </w:p>
    <w:p>
      <w:pPr>
        <w:pStyle w:val="BookText"/>
      </w:pPr>
      <w:r>
        <w:rPr>
          <w:rFonts w:ascii="Amiri" w:hAnsi="Amiri" w:eastAsia="Amiri" w:cs="Amiri"/>
          <w:lang w:bidi="ar-SA"/>
          <w:color w:val="111111"/>
          <w:sz w:val="28"/>
          <w:szCs w:val="28"/>
          <w:rtl/>
        </w:rPr>
        <w:t xml:space="preserve">محمّد بن محمّد</w:t>
      </w:r>
    </w:p>
    <w:p>
      <w:pPr>
        <w:pStyle w:val="Heading2"/>
      </w:pPr>
      <w:bookmarkStart w:id="5520" w:name="_Toc4622"/>
      <w:r>
        <w:t>طائي ، محمّد صالح بن طه، - 1306 ه-</w:t>
      </w:r>
      <w:bookmarkEnd w:id="5520"/>
    </w:p>
    <w:p>
      <w:pPr>
        <w:pStyle w:val="BookText"/>
      </w:pPr>
      <w:r>
        <w:rPr>
          <w:rFonts w:ascii="Amiri" w:hAnsi="Amiri" w:eastAsia="Amiri" w:cs="Amiri"/>
          <w:lang w:bidi="ar-SA"/>
          <w:color w:val="111111"/>
          <w:sz w:val="28"/>
          <w:szCs w:val="28"/>
          <w:rtl/>
        </w:rPr>
        <w:t xml:space="preserve">1 .اجازة للشيخ محمّد افندي رضواني</w:t>
      </w:r>
    </w:p>
    <w:p>
      <w:pPr>
        <w:pStyle w:val="BookText"/>
      </w:pPr>
      <w:r>
        <w:rPr>
          <w:rFonts w:ascii="IRNazanin" w:hAnsi="IRNazanin" w:eastAsia="IRNazanin" w:cs="IRNazanin"/>
          <w:lang w:bidi="fa-IR"/>
          <w:color w:val="111111"/>
          <w:sz w:val="28"/>
          <w:szCs w:val="28"/>
          <w:rtl/>
        </w:rPr>
        <w:t xml:space="preserve">ج 1، ص 270.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 اللغز، ج 6، ص790.</w:t>
      </w:r>
    </w:p>
    <w:p>
      <w:pPr>
        <w:pStyle w:val="BookText"/>
      </w:pPr>
      <w:r>
        <w:rPr>
          <w:rFonts w:ascii="Amiri" w:hAnsi="Amiri" w:eastAsia="Amiri" w:cs="Amiri"/>
          <w:lang w:bidi="ar-SA"/>
          <w:color w:val="111111"/>
          <w:sz w:val="28"/>
          <w:szCs w:val="28"/>
          <w:rtl/>
        </w:rPr>
        <w:t xml:space="preserve">طائي ، يحيى بن حميده -ابن ابي طي</w:t>
      </w:r>
    </w:p>
    <w:p>
      <w:pPr>
        <w:pStyle w:val="BookText"/>
      </w:pPr>
      <w:r>
        <w:rPr>
          <w:rFonts w:ascii="Amiri" w:hAnsi="Amiri" w:eastAsia="Amiri" w:cs="Amiri"/>
          <w:lang w:bidi="ar-SA"/>
          <w:color w:val="111111"/>
          <w:sz w:val="28"/>
          <w:szCs w:val="28"/>
          <w:rtl/>
        </w:rPr>
        <w:t xml:space="preserve">يحيى بن حميده</w:t>
      </w:r>
    </w:p>
    <w:p>
      <w:pPr>
        <w:pStyle w:val="BookText"/>
      </w:pPr>
      <w:r>
        <w:rPr>
          <w:rFonts w:ascii="Amiri" w:hAnsi="Amiri" w:eastAsia="Amiri" w:cs="Amiri"/>
          <w:lang w:bidi="ar-SA"/>
          <w:color w:val="111111"/>
          <w:sz w:val="28"/>
          <w:szCs w:val="28"/>
          <w:rtl/>
        </w:rPr>
        <w:t xml:space="preserve">طائي ، يوسف بن خالد- بساطي ، يوسف</w:t>
      </w:r>
    </w:p>
    <w:p>
      <w:pPr>
        <w:pStyle w:val="BookText"/>
      </w:pPr>
      <w:r>
        <w:rPr>
          <w:rFonts w:ascii="IRNazanin" w:hAnsi="IRNazanin" w:eastAsia="IRNazanin" w:cs="IRNazanin"/>
          <w:lang w:bidi="fa-IR"/>
          <w:color w:val="111111"/>
          <w:sz w:val="28"/>
          <w:szCs w:val="28"/>
          <w:rtl/>
        </w:rPr>
        <w:t xml:space="preserve">بن خالد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86" w:name="pg7742_70679"/>
    <w:bookmarkEnd w:id="686"/>
    <w:p>
      <w:pPr>
        <w:pStyle w:val="Heading2"/>
      </w:pPr>
      <w:bookmarkStart w:id="5521" w:name="_Toc4623"/>
      <w:r>
        <w:t>طارمي ، جواد بن محرم علي 1263 -</w:t>
      </w:r>
      <w:bookmarkEnd w:id="5521"/>
    </w:p>
    <w:p>
      <w:pPr>
        <w:pStyle w:val="BookText"/>
      </w:pPr>
      <w:r>
        <w:rPr>
          <w:rFonts w:ascii="IRNazanin" w:hAnsi="IRNazanin" w:eastAsia="IRNazanin" w:cs="IRNazanin"/>
          <w:lang w:bidi="fa-IR"/>
          <w:color w:val="111111"/>
          <w:sz w:val="28"/>
          <w:szCs w:val="28"/>
          <w:rtl/>
        </w:rPr>
        <w:t xml:space="preserve">1325 ه-</w:t>
      </w:r>
    </w:p>
    <w:p>
      <w:pPr>
        <w:pStyle w:val="BookText"/>
      </w:pPr>
      <w:r>
        <w:rPr>
          <w:rFonts w:ascii="Amiri" w:hAnsi="Amiri" w:eastAsia="Amiri" w:cs="Amiri"/>
          <w:lang w:bidi="ar-SA"/>
          <w:color w:val="111111"/>
          <w:sz w:val="28"/>
          <w:szCs w:val="28"/>
          <w:rtl/>
        </w:rPr>
        <w:t xml:space="preserve">أصول الدين، ج2، ص 419.</w:t>
      </w:r>
    </w:p>
    <w:p>
      <w:pPr>
        <w:pStyle w:val="Heading2"/>
      </w:pPr>
      <w:bookmarkStart w:id="5522" w:name="_Toc4624"/>
      <w:r>
        <w:t>طارمي ، محمّد حسن</w:t>
      </w:r>
      <w:bookmarkEnd w:id="5522"/>
    </w:p>
    <w:p>
      <w:pPr>
        <w:pStyle w:val="BookText"/>
      </w:pPr>
      <w:r>
        <w:rPr>
          <w:rFonts w:ascii="Amiri" w:hAnsi="Amiri" w:eastAsia="Amiri" w:cs="Amiri"/>
          <w:lang w:bidi="ar-SA"/>
          <w:color w:val="111111"/>
          <w:sz w:val="28"/>
          <w:szCs w:val="28"/>
          <w:rtl/>
        </w:rPr>
        <w:t xml:space="preserve">حرمان الزوجة اعم من ان تكون ذات لذا و غيرها، ج 6 ، ص 618.</w:t>
      </w:r>
    </w:p>
    <w:p>
      <w:pPr>
        <w:pStyle w:val="Heading2"/>
      </w:pPr>
      <w:bookmarkStart w:id="5523" w:name="_Toc4625"/>
      <w:r>
        <w:t>طاش کبری زاده، احمد بن مصطفی 901</w:t>
      </w:r>
      <w:bookmarkEnd w:id="55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968 ه-</w:t>
      </w:r>
    </w:p>
    <w:p>
      <w:pPr>
        <w:pStyle w:val="BookText"/>
      </w:pPr>
      <w:r>
        <w:rPr>
          <w:rFonts w:ascii="Amiri" w:hAnsi="Amiri" w:eastAsia="Amiri" w:cs="Amiri"/>
          <w:lang w:bidi="ar-SA"/>
          <w:color w:val="111111"/>
          <w:sz w:val="28"/>
          <w:szCs w:val="28"/>
          <w:rtl/>
        </w:rPr>
        <w:t xml:space="preserve">1 .آداب المناظرة = آداب البحث و</w:t>
      </w:r>
    </w:p>
    <w:p>
      <w:pPr>
        <w:pStyle w:val="BookText"/>
      </w:pPr>
      <w:r>
        <w:rPr>
          <w:rFonts w:ascii="Amiri" w:hAnsi="Amiri" w:eastAsia="Amiri" w:cs="Amiri"/>
          <w:lang w:bidi="ar-SA"/>
          <w:color w:val="111111"/>
          <w:sz w:val="28"/>
          <w:szCs w:val="28"/>
          <w:rtl/>
        </w:rPr>
        <w:t xml:space="preserve">المناظرة، ج 1، ص 60.</w:t>
      </w:r>
    </w:p>
    <w:p>
      <w:pPr>
        <w:pStyle w:val="BookText"/>
      </w:pPr>
      <w:r>
        <w:rPr>
          <w:rFonts w:ascii="Amiri" w:hAnsi="Amiri" w:eastAsia="Amiri" w:cs="Amiri"/>
          <w:lang w:bidi="ar-SA"/>
          <w:color w:val="111111"/>
          <w:sz w:val="28"/>
          <w:szCs w:val="28"/>
          <w:rtl/>
        </w:rPr>
        <w:t xml:space="preserve">2.شرح آداب البحث و المناظرة، ج9،</w:t>
      </w:r>
    </w:p>
    <w:p>
      <w:pPr>
        <w:pStyle w:val="BookText"/>
      </w:pPr>
      <w:r>
        <w:rPr>
          <w:rFonts w:ascii="IRNazanin" w:hAnsi="IRNazanin" w:eastAsia="IRNazanin" w:cs="IRNazanin"/>
          <w:lang w:bidi="fa-IR"/>
          <w:color w:val="111111"/>
          <w:sz w:val="28"/>
          <w:szCs w:val="28"/>
          <w:rtl/>
        </w:rPr>
        <w:t xml:space="preserve">ص 139.</w:t>
      </w:r>
    </w:p>
    <w:p>
      <w:pPr>
        <w:pStyle w:val="BookText"/>
      </w:pPr>
      <w:r>
        <w:rPr>
          <w:rFonts w:ascii="Amiri" w:hAnsi="Amiri" w:eastAsia="Amiri" w:cs="Amiri"/>
          <w:lang w:bidi="ar-SA"/>
          <w:color w:val="111111"/>
          <w:sz w:val="28"/>
          <w:szCs w:val="28"/>
          <w:rtl/>
        </w:rPr>
        <w:t xml:space="preserve">3 .شرح الرسالة الوضعية العضدية</w:t>
      </w:r>
    </w:p>
    <w:p>
      <w:pPr>
        <w:pStyle w:val="BookText"/>
      </w:pPr>
      <w:r>
        <w:rPr>
          <w:rFonts w:ascii="IRNazanin" w:hAnsi="IRNazanin" w:eastAsia="IRNazanin" w:cs="IRNazanin"/>
          <w:lang w:bidi="fa-IR"/>
          <w:color w:val="111111"/>
          <w:sz w:val="28"/>
          <w:szCs w:val="28"/>
          <w:rtl/>
        </w:rPr>
        <w:t xml:space="preserve">ج 9، ص 568.</w:t>
      </w:r>
    </w:p>
    <w:p>
      <w:pPr>
        <w:pStyle w:val="BookText"/>
      </w:pPr>
      <w:r>
        <w:rPr>
          <w:rFonts w:ascii="Amiri" w:hAnsi="Amiri" w:eastAsia="Amiri" w:cs="Amiri"/>
          <w:lang w:bidi="ar-SA"/>
          <w:color w:val="111111"/>
          <w:sz w:val="28"/>
          <w:szCs w:val="28"/>
          <w:rtl/>
        </w:rPr>
        <w:t xml:space="preserve">4 .شرح المقدمة الجزرية، ج 10،</w:t>
      </w:r>
    </w:p>
    <w:p>
      <w:pPr>
        <w:pStyle w:val="BookText"/>
      </w:pPr>
      <w:r>
        <w:rPr>
          <w:rFonts w:ascii="IRNazanin" w:hAnsi="IRNazanin" w:eastAsia="IRNazanin" w:cs="IRNazanin"/>
          <w:lang w:bidi="fa-IR"/>
          <w:color w:val="111111"/>
          <w:sz w:val="28"/>
          <w:szCs w:val="28"/>
          <w:rtl/>
        </w:rPr>
        <w:t xml:space="preserve">ص 192 .</w:t>
      </w:r>
    </w:p>
    <w:p>
      <w:pPr>
        <w:pStyle w:val="BookText"/>
      </w:pPr>
      <w:r>
        <w:rPr>
          <w:rFonts w:ascii="Amiri" w:hAnsi="Amiri" w:eastAsia="Amiri" w:cs="Amiri"/>
          <w:lang w:bidi="ar-SA"/>
          <w:color w:val="111111"/>
          <w:sz w:val="28"/>
          <w:szCs w:val="28"/>
          <w:rtl/>
        </w:rPr>
        <w:t xml:space="preserve">5 .شرح مقدمة الصلاة = شرح عمدة</w:t>
      </w:r>
    </w:p>
    <w:p>
      <w:pPr>
        <w:pStyle w:val="BookText"/>
      </w:pPr>
      <w:r>
        <w:rPr>
          <w:rFonts w:ascii="Amiri" w:hAnsi="Amiri" w:eastAsia="Amiri" w:cs="Amiri"/>
          <w:lang w:bidi="ar-SA"/>
          <w:color w:val="111111"/>
          <w:sz w:val="28"/>
          <w:szCs w:val="28"/>
          <w:rtl/>
        </w:rPr>
        <w:t xml:space="preserve">المصلي، ج 10، ص203.</w:t>
      </w:r>
    </w:p>
    <w:p>
      <w:pPr>
        <w:pStyle w:val="BookText"/>
      </w:pPr>
      <w:r>
        <w:rPr>
          <w:rFonts w:ascii="IRNazanin" w:hAnsi="IRNazanin" w:eastAsia="IRNazanin" w:cs="IRNazanin"/>
          <w:lang w:bidi="fa-IR"/>
          <w:color w:val="111111"/>
          <w:sz w:val="28"/>
          <w:szCs w:val="28"/>
          <w:rtl/>
        </w:rPr>
        <w:t xml:space="preserve">6 .الشفاء لادواء الوباء، ج 10، ص391.</w:t>
      </w:r>
    </w:p>
    <w:p>
      <w:pPr>
        <w:pStyle w:val="BookText"/>
      </w:pPr>
      <w:r>
        <w:rPr>
          <w:rFonts w:ascii="Amiri" w:hAnsi="Amiri" w:eastAsia="Amiri" w:cs="Amiri"/>
          <w:lang w:bidi="ar-SA"/>
          <w:color w:val="111111"/>
          <w:sz w:val="28"/>
          <w:szCs w:val="28"/>
          <w:rtl/>
        </w:rPr>
        <w:t xml:space="preserve">7.الشقائق النعمانية في علماء الدولة</w:t>
      </w:r>
    </w:p>
    <w:p>
      <w:pPr>
        <w:pStyle w:val="BookText"/>
      </w:pPr>
      <w:r>
        <w:rPr>
          <w:rFonts w:ascii="Amiri" w:hAnsi="Amiri" w:eastAsia="Amiri" w:cs="Amiri"/>
          <w:lang w:bidi="ar-SA"/>
          <w:color w:val="111111"/>
          <w:sz w:val="28"/>
          <w:szCs w:val="28"/>
          <w:rtl/>
        </w:rPr>
        <w:t xml:space="preserve">العثمانية، ج 10، ص 396.</w:t>
      </w:r>
    </w:p>
    <w:p>
      <w:pPr>
        <w:pStyle w:val="BookText"/>
      </w:pPr>
      <w:r>
        <w:rPr>
          <w:rFonts w:ascii="Amiri" w:hAnsi="Amiri" w:eastAsia="Amiri" w:cs="Amiri"/>
          <w:lang w:bidi="ar-SA"/>
          <w:color w:val="111111"/>
          <w:sz w:val="28"/>
          <w:szCs w:val="28"/>
          <w:rtl/>
        </w:rPr>
        <w:t xml:space="preserve">8.قولهم: أكثر من أن يحصي و أشهر</w:t>
      </w:r>
    </w:p>
    <w:p>
      <w:pPr>
        <w:pStyle w:val="BookText"/>
      </w:pPr>
      <w:r>
        <w:rPr>
          <w:rFonts w:ascii="Amiri" w:hAnsi="Amiri" w:eastAsia="Amiri" w:cs="Amiri"/>
          <w:lang w:bidi="ar-SA"/>
          <w:color w:val="111111"/>
          <w:sz w:val="28"/>
          <w:szCs w:val="28"/>
          <w:rtl/>
        </w:rPr>
        <w:t xml:space="preserve">من أن يخفي و أكثر من أن يضبطها القلم (رسالة في)، ج12،</w:t>
      </w:r>
    </w:p>
    <w:p>
      <w:pPr>
        <w:pStyle w:val="BookText"/>
      </w:pPr>
      <w:r>
        <w:rPr>
          <w:rFonts w:ascii="IRNazanin" w:hAnsi="IRNazanin" w:eastAsia="IRNazanin" w:cs="IRNazanin"/>
          <w:lang w:bidi="fa-IR"/>
          <w:color w:val="111111"/>
          <w:sz w:val="28"/>
          <w:szCs w:val="28"/>
          <w:rtl/>
        </w:rPr>
        <w:t xml:space="preserve">ص 866.</w:t>
      </w:r>
    </w:p>
    <w:p>
      <w:pPr>
        <w:pStyle w:val="BookText"/>
      </w:pPr>
      <w:r>
        <w:rPr>
          <w:rFonts w:ascii="Amiri" w:hAnsi="Amiri" w:eastAsia="Amiri" w:cs="Amiri"/>
          <w:lang w:bidi="ar-SA"/>
          <w:color w:val="111111"/>
          <w:sz w:val="28"/>
          <w:szCs w:val="28"/>
          <w:rtl/>
        </w:rPr>
        <w:t xml:space="preserve">طاشكندي ، محمّد شاشي- شاشي ، محمّد ميرك</w:t>
      </w:r>
    </w:p>
    <w:p>
      <w:pPr>
        <w:pStyle w:val="BookText"/>
      </w:pPr>
      <w:r>
        <w:rPr>
          <w:rFonts w:ascii="Amiri" w:hAnsi="Amiri" w:eastAsia="Amiri" w:cs="Amiri"/>
          <w:lang w:bidi="ar-SA"/>
          <w:color w:val="111111"/>
          <w:sz w:val="28"/>
          <w:szCs w:val="28"/>
          <w:rtl/>
        </w:rPr>
        <w:t xml:space="preserve">طاقي ، علي بن عبدالله- ناشي اصغر ، علي</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طالب -كليم كاشاني ، ابوطالب</w:t>
      </w:r>
    </w:p>
    <w:p>
      <w:pPr>
        <w:pStyle w:val="BookText"/>
      </w:pPr>
      <w:r>
        <w:rPr>
          <w:rFonts w:ascii="Amiri" w:hAnsi="Amiri" w:eastAsia="Amiri" w:cs="Amiri"/>
          <w:lang w:bidi="ar-SA"/>
          <w:color w:val="111111"/>
          <w:sz w:val="28"/>
          <w:szCs w:val="28"/>
          <w:rtl/>
        </w:rPr>
        <w:t xml:space="preserve">طالب آملي -طالب آملي ، عبدالله بن</w:t>
      </w:r>
    </w:p>
    <w:p>
      <w:pPr>
        <w:pStyle w:val="BookText"/>
      </w:pPr>
      <w:r>
        <w:rPr>
          <w:rFonts w:ascii="Amiri" w:hAnsi="Amiri" w:eastAsia="Amiri" w:cs="Amiri"/>
          <w:lang w:bidi="ar-SA"/>
          <w:color w:val="111111"/>
          <w:sz w:val="28"/>
          <w:szCs w:val="28"/>
          <w:rtl/>
        </w:rPr>
        <w:t xml:space="preserve">محمّد</w:t>
      </w:r>
    </w:p>
    <w:p>
      <w:pPr>
        <w:pStyle w:val="Heading2"/>
      </w:pPr>
      <w:bookmarkStart w:id="5524" w:name="_Toc4626"/>
      <w:r>
        <w:t>طالب آملي ، عبد الله بن محمّد، 987؟ - 1036 ه-</w:t>
      </w:r>
      <w:bookmarkEnd w:id="5524"/>
    </w:p>
    <w:p>
      <w:pPr>
        <w:pStyle w:val="BookText"/>
      </w:pPr>
      <w:r>
        <w:rPr>
          <w:rFonts w:ascii="IRNazanin" w:hAnsi="IRNazanin" w:eastAsia="IRNazanin" w:cs="IRNazanin"/>
          <w:lang w:bidi="fa-IR"/>
          <w:color w:val="111111"/>
          <w:sz w:val="28"/>
          <w:szCs w:val="28"/>
          <w:rtl/>
        </w:rPr>
        <w:t xml:space="preserve">دیوان طالب آملي، ج 7، ص 696 .</w:t>
      </w:r>
    </w:p>
    <w:p>
      <w:pPr>
        <w:pStyle w:val="BookText"/>
      </w:pPr>
      <w:r>
        <w:rPr>
          <w:rFonts w:ascii="Amiri" w:hAnsi="Amiri" w:eastAsia="Amiri" w:cs="Amiri"/>
          <w:lang w:bidi="ar-SA"/>
          <w:color w:val="111111"/>
          <w:sz w:val="28"/>
          <w:szCs w:val="28"/>
          <w:rtl/>
        </w:rPr>
        <w:t xml:space="preserve">طالبا -طالب آملي ، عبدالله بن محمّد</w:t>
      </w:r>
    </w:p>
    <w:p>
      <w:pPr>
        <w:pStyle w:val="BookText"/>
      </w:pPr>
      <w:r>
        <w:rPr>
          <w:rFonts w:ascii="Amiri" w:hAnsi="Amiri" w:eastAsia="Amiri" w:cs="Amiri"/>
          <w:lang w:bidi="ar-SA"/>
          <w:color w:val="111111"/>
          <w:sz w:val="28"/>
          <w:szCs w:val="28"/>
          <w:rtl/>
        </w:rPr>
        <w:t xml:space="preserve">طالبان ، محمّد باقر بن احمد حسيني- موسوي استرآبادي ، محمّد باقر بن احمد</w:t>
      </w:r>
    </w:p>
    <w:p>
      <w:pPr>
        <w:pStyle w:val="Heading2"/>
      </w:pPr>
      <w:bookmarkStart w:id="5525" w:name="_Toc4627"/>
      <w:r>
        <w:t>طالباني ، علي بن عبد الرحمن 1248 -</w:t>
      </w:r>
      <w:bookmarkEnd w:id="5525"/>
    </w:p>
    <w:p>
      <w:pPr>
        <w:pStyle w:val="BookText"/>
      </w:pPr>
      <w:r>
        <w:rPr>
          <w:rFonts w:ascii="IRNazanin" w:hAnsi="IRNazanin" w:eastAsia="IRNazanin" w:cs="IRNazanin"/>
          <w:lang w:bidi="fa-IR"/>
          <w:color w:val="111111"/>
          <w:sz w:val="28"/>
          <w:szCs w:val="28"/>
          <w:rtl/>
        </w:rPr>
        <w:t xml:space="preserve">1330ه-</w:t>
      </w:r>
    </w:p>
    <w:p>
      <w:pPr>
        <w:pStyle w:val="BookText"/>
      </w:pPr>
      <w:r>
        <w:rPr>
          <w:rFonts w:ascii="Amiri" w:hAnsi="Amiri" w:eastAsia="Amiri" w:cs="Amiri"/>
          <w:lang w:bidi="ar-SA"/>
          <w:color w:val="111111"/>
          <w:sz w:val="28"/>
          <w:szCs w:val="28"/>
          <w:rtl/>
        </w:rPr>
        <w:t xml:space="preserve">اجازة الطريقة القادرية، ج1، ص220.</w:t>
      </w:r>
    </w:p>
    <w:p>
      <w:pPr>
        <w:pStyle w:val="Heading2"/>
      </w:pPr>
      <w:bookmarkStart w:id="5526" w:name="_Toc4628"/>
      <w:r>
        <w:t>طالباني كردستاني ، رضا، قرن 13 ه-</w:t>
      </w:r>
      <w:bookmarkEnd w:id="5526"/>
    </w:p>
    <w:p>
      <w:pPr>
        <w:pStyle w:val="BookText"/>
      </w:pPr>
      <w:r>
        <w:rPr>
          <w:rFonts w:ascii="IRNazanin" w:hAnsi="IRNazanin" w:eastAsia="IRNazanin" w:cs="IRNazanin"/>
          <w:lang w:bidi="fa-IR"/>
          <w:color w:val="111111"/>
          <w:sz w:val="28"/>
          <w:szCs w:val="28"/>
          <w:rtl/>
        </w:rPr>
        <w:t xml:space="preserve">دیوان رضا كردستاني، ج 7، ص 645.</w:t>
      </w:r>
    </w:p>
    <w:p>
      <w:pPr>
        <w:pStyle w:val="BookText"/>
      </w:pPr>
      <w:r>
        <w:rPr>
          <w:rFonts w:ascii="Amiri" w:hAnsi="Amiri" w:eastAsia="Amiri" w:cs="Amiri"/>
          <w:lang w:bidi="ar-SA"/>
          <w:color w:val="111111"/>
          <w:sz w:val="28"/>
          <w:szCs w:val="28"/>
          <w:rtl/>
        </w:rPr>
        <w:t xml:space="preserve">طالباي كليم -كليم كاشاني ، ابوطالب</w:t>
      </w:r>
    </w:p>
    <w:p>
      <w:pPr>
        <w:pStyle w:val="BookText"/>
      </w:pPr>
      <w:r>
        <w:rPr>
          <w:rFonts w:ascii="Amiri" w:hAnsi="Amiri" w:eastAsia="Amiri" w:cs="Amiri"/>
          <w:lang w:bidi="ar-SA"/>
          <w:color w:val="111111"/>
          <w:sz w:val="28"/>
          <w:szCs w:val="28"/>
          <w:rtl/>
        </w:rPr>
        <w:t xml:space="preserve">طالب مازندراني- طالب آملي ، عبدالله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طالبي داودي ، احمد بن علي- ابن عنبه</w:t>
      </w:r>
    </w:p>
    <w:p>
      <w:pPr>
        <w:pStyle w:val="BookText"/>
      </w:pPr>
      <w:r>
        <w:rPr>
          <w:rFonts w:ascii="Amiri" w:hAnsi="Amiri" w:eastAsia="Amiri" w:cs="Amiri"/>
          <w:lang w:bidi="ar-SA"/>
          <w:color w:val="111111"/>
          <w:sz w:val="28"/>
          <w:szCs w:val="28"/>
          <w:rtl/>
        </w:rPr>
        <w:t xml:space="preserve">أحمد بن علي</w:t>
      </w:r>
    </w:p>
    <w:p>
      <w:pPr>
        <w:pStyle w:val="BookText"/>
      </w:pPr>
      <w:r>
        <w:rPr>
          <w:rFonts w:ascii="Amiri" w:hAnsi="Amiri" w:eastAsia="Amiri" w:cs="Amiri"/>
          <w:lang w:bidi="ar-SA"/>
          <w:color w:val="111111"/>
          <w:sz w:val="28"/>
          <w:szCs w:val="28"/>
          <w:rtl/>
        </w:rPr>
        <w:t xml:space="preserve">طالبي ، محمد بن محمّد- ادريسي</w:t>
      </w:r>
    </w:p>
    <w:p>
      <w:pPr>
        <w:pStyle w:val="BookText"/>
      </w:pPr>
      <w:r>
        <w:rPr>
          <w:rFonts w:ascii="Amiri" w:hAnsi="Amiri" w:eastAsia="Amiri" w:cs="Amiri"/>
          <w:lang w:bidi="ar-SA"/>
          <w:color w:val="111111"/>
          <w:sz w:val="28"/>
          <w:szCs w:val="28"/>
          <w:rtl/>
        </w:rPr>
        <w:t xml:space="preserve">محمّد بن محمّد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87" w:name="pg7742_70680"/>
    <w:bookmarkEnd w:id="687"/>
    <w:p>
      <w:pPr>
        <w:pStyle w:val="BookText"/>
      </w:pPr>
      <w:r>
        <w:rPr>
          <w:rFonts w:ascii="IRNazanin" w:hAnsi="IRNazanin" w:eastAsia="IRNazanin" w:cs="IRNazanin"/>
          <w:lang w:bidi="fa-IR"/>
          <w:color w:val="111111"/>
          <w:sz w:val="28"/>
          <w:szCs w:val="28"/>
          <w:rtl/>
        </w:rPr>
        <w:t xml:space="preserve">طالبي ، محمود بن محمّد- درگزيني ،</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Amiri" w:hAnsi="Amiri" w:eastAsia="Amiri" w:cs="Amiri"/>
          <w:lang w:bidi="ar-SA"/>
          <w:color w:val="111111"/>
          <w:sz w:val="28"/>
          <w:szCs w:val="28"/>
          <w:rtl/>
        </w:rPr>
        <w:t xml:space="preserve">طالشي ، حسن بن حسين -تالشي ، حسن</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طالشي ، محمّد بن موسى- تالجي ، محمّد</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طالقاني، اسماعيل بن عباد- صاحب بن</w:t>
      </w:r>
    </w:p>
    <w:p>
      <w:pPr>
        <w:pStyle w:val="BookText"/>
      </w:pPr>
      <w:r>
        <w:rPr>
          <w:rFonts w:ascii="IRNazanin" w:hAnsi="IRNazanin" w:eastAsia="IRNazanin" w:cs="IRNazanin"/>
          <w:lang w:bidi="fa-IR"/>
          <w:color w:val="111111"/>
          <w:sz w:val="28"/>
          <w:szCs w:val="28"/>
          <w:rtl/>
        </w:rPr>
        <w:t xml:space="preserve">عباد، اسماعیل بن عباد</w:t>
      </w:r>
    </w:p>
    <w:p>
      <w:pPr>
        <w:pStyle w:val="BookText"/>
      </w:pPr>
      <w:r>
        <w:rPr>
          <w:rFonts w:ascii="Amiri" w:hAnsi="Amiri" w:eastAsia="Amiri" w:cs="Amiri"/>
          <w:lang w:bidi="ar-SA"/>
          <w:color w:val="111111"/>
          <w:sz w:val="28"/>
          <w:szCs w:val="28"/>
          <w:rtl/>
        </w:rPr>
        <w:t xml:space="preserve">طالقاني قزويني ، احمد بن اسماعيل -قزويني ، احمد بن اسماعيل</w:t>
      </w:r>
    </w:p>
    <w:p>
      <w:pPr>
        <w:pStyle w:val="BookText"/>
      </w:pPr>
      <w:r>
        <w:rPr>
          <w:rFonts w:ascii="Amiri" w:hAnsi="Amiri" w:eastAsia="Amiri" w:cs="Amiri"/>
          <w:lang w:bidi="ar-SA"/>
          <w:color w:val="111111"/>
          <w:sz w:val="28"/>
          <w:szCs w:val="28"/>
          <w:rtl/>
        </w:rPr>
        <w:t xml:space="preserve">طالقاني قزويني ، علي اصغر بن محمّد</w:t>
      </w:r>
    </w:p>
    <w:p>
      <w:pPr>
        <w:pStyle w:val="BookText"/>
      </w:pPr>
      <w:r>
        <w:rPr>
          <w:rFonts w:ascii="Amiri" w:hAnsi="Amiri" w:eastAsia="Amiri" w:cs="Amiri"/>
          <w:lang w:bidi="ar-SA"/>
          <w:color w:val="111111"/>
          <w:sz w:val="28"/>
          <w:szCs w:val="28"/>
          <w:rtl/>
        </w:rPr>
        <w:t xml:space="preserve">يوسف - قزويني ، علي اصغر بن محمّد يوسف</w:t>
      </w:r>
    </w:p>
    <w:p>
      <w:pPr>
        <w:pStyle w:val="BookText"/>
      </w:pPr>
      <w:r>
        <w:rPr>
          <w:rFonts w:ascii="Amiri" w:hAnsi="Amiri" w:eastAsia="Amiri" w:cs="Amiri"/>
          <w:lang w:bidi="ar-SA"/>
          <w:color w:val="111111"/>
          <w:sz w:val="28"/>
          <w:szCs w:val="28"/>
          <w:rtl/>
        </w:rPr>
        <w:t xml:space="preserve">طالقاني قزويني ، محمّد حسين بن عباس- قزويني حائري ، محمّد حسين بن</w:t>
      </w:r>
    </w:p>
    <w:p>
      <w:pPr>
        <w:pStyle w:val="BookText"/>
      </w:pPr>
      <w:r>
        <w:rPr>
          <w:rFonts w:ascii="Amiri" w:hAnsi="Amiri" w:eastAsia="Amiri" w:cs="Amiri"/>
          <w:lang w:bidi="ar-SA"/>
          <w:color w:val="111111"/>
          <w:sz w:val="28"/>
          <w:szCs w:val="28"/>
          <w:rtl/>
        </w:rPr>
        <w:t xml:space="preserve">عباسعلي</w:t>
      </w:r>
    </w:p>
    <w:p>
      <w:pPr>
        <w:pStyle w:val="BookText"/>
      </w:pPr>
      <w:r>
        <w:rPr>
          <w:rFonts w:ascii="Amiri" w:hAnsi="Amiri" w:eastAsia="Amiri" w:cs="Amiri"/>
          <w:lang w:bidi="ar-SA"/>
          <w:color w:val="111111"/>
          <w:sz w:val="28"/>
          <w:szCs w:val="28"/>
          <w:rtl/>
        </w:rPr>
        <w:t xml:space="preserve">طالقاني قزويني ، ملامحسن بن محمّد طاهر- قزويني ، محسن بن محمّد طاهر</w:t>
      </w:r>
    </w:p>
    <w:p>
      <w:pPr>
        <w:pStyle w:val="BookText"/>
      </w:pPr>
      <w:r>
        <w:rPr>
          <w:rFonts w:ascii="Amiri" w:hAnsi="Amiri" w:eastAsia="Amiri" w:cs="Amiri"/>
          <w:lang w:bidi="ar-SA"/>
          <w:color w:val="111111"/>
          <w:sz w:val="28"/>
          <w:szCs w:val="28"/>
          <w:rtl/>
        </w:rPr>
        <w:t xml:space="preserve">طاهر- قزويني ، محسن بن محمّد طاهر طالقاني ، محسن بن محمّد</w:t>
      </w:r>
    </w:p>
    <w:p>
      <w:pPr>
        <w:pStyle w:val="BookText"/>
      </w:pPr>
      <w:r>
        <w:rPr>
          <w:rFonts w:ascii="Amiri" w:hAnsi="Amiri" w:eastAsia="Amiri" w:cs="Amiri"/>
          <w:lang w:bidi="ar-SA"/>
          <w:color w:val="111111"/>
          <w:sz w:val="28"/>
          <w:szCs w:val="28"/>
          <w:rtl/>
        </w:rPr>
        <w:t xml:space="preserve">طالقاني ، محمّد -برخشي طالقاني ، محمّد</w:t>
      </w:r>
    </w:p>
    <w:p>
      <w:pPr>
        <w:pStyle w:val="BookText"/>
      </w:pPr>
      <w:r>
        <w:rPr>
          <w:rFonts w:ascii="IRNazanin" w:hAnsi="IRNazanin" w:eastAsia="IRNazanin" w:cs="IRNazanin"/>
          <w:lang w:bidi="fa-IR"/>
          <w:color w:val="111111"/>
          <w:sz w:val="28"/>
          <w:szCs w:val="28"/>
          <w:rtl/>
        </w:rPr>
        <w:t xml:space="preserve">طالقاني ، محمّد بن صدر الدین</w:t>
      </w:r>
    </w:p>
    <w:p>
      <w:pPr>
        <w:pStyle w:val="BookText"/>
      </w:pPr>
      <w:r>
        <w:rPr>
          <w:rFonts w:ascii="Amiri" w:hAnsi="Amiri" w:eastAsia="Amiri" w:cs="Amiri"/>
          <w:lang w:bidi="ar-SA"/>
          <w:color w:val="111111"/>
          <w:sz w:val="28"/>
          <w:szCs w:val="28"/>
          <w:rtl/>
        </w:rPr>
        <w:t xml:space="preserve">علي -فارسي ، محمّد بن علي</w:t>
      </w:r>
    </w:p>
    <w:p>
      <w:pPr>
        <w:pStyle w:val="Heading2"/>
      </w:pPr>
      <w:bookmarkStart w:id="5527" w:name="_Toc4629"/>
      <w:r>
        <w:t>طالقاني ، محمّد تقي</w:t>
      </w:r>
      <w:bookmarkEnd w:id="5527"/>
    </w:p>
    <w:p>
      <w:pPr>
        <w:pStyle w:val="BookText"/>
      </w:pPr>
      <w:r>
        <w:rPr>
          <w:rFonts w:ascii="Amiri" w:hAnsi="Amiri" w:eastAsia="Amiri" w:cs="Amiri"/>
          <w:lang w:bidi="ar-SA"/>
          <w:color w:val="111111"/>
          <w:sz w:val="28"/>
          <w:szCs w:val="28"/>
          <w:rtl/>
        </w:rPr>
        <w:t xml:space="preserve">الهداية، ج 16، ص 594.</w:t>
      </w:r>
    </w:p>
    <w:p>
      <w:pPr>
        <w:pStyle w:val="Heading2"/>
      </w:pPr>
      <w:bookmarkStart w:id="5528" w:name="_Toc4630"/>
      <w:r>
        <w:t>طالقاني ، محمّد تقي بن احمد - 1335</w:t>
      </w:r>
      <w:bookmarkEnd w:id="5528"/>
    </w:p>
    <w:p>
      <w:pPr>
        <w:pStyle w:val="BookText"/>
      </w:pPr>
      <w:r>
        <w:rPr>
          <w:rFonts w:ascii="Amiri" w:hAnsi="Amiri" w:eastAsia="Amiri" w:cs="Amiri"/>
          <w:lang w:bidi="ar-SA"/>
          <w:color w:val="111111"/>
          <w:sz w:val="28"/>
          <w:szCs w:val="28"/>
          <w:rtl/>
        </w:rPr>
        <w:t xml:space="preserve">المظاهر العقلية، ج 14 ، ص 825.</w:t>
      </w:r>
    </w:p>
    <w:p>
      <w:pPr>
        <w:pStyle w:val="Heading2"/>
      </w:pPr>
      <w:bookmarkStart w:id="5529" w:name="_Toc4631"/>
      <w:r>
        <w:t>طالقاني ، محمّد حسين</w:t>
      </w:r>
      <w:bookmarkEnd w:id="5529"/>
    </w:p>
    <w:p>
      <w:pPr>
        <w:pStyle w:val="BookText"/>
      </w:pPr>
      <w:r>
        <w:rPr>
          <w:rFonts w:ascii="Amiri" w:hAnsi="Amiri" w:eastAsia="Amiri" w:cs="Amiri"/>
          <w:lang w:bidi="ar-SA"/>
          <w:color w:val="111111"/>
          <w:sz w:val="28"/>
          <w:szCs w:val="28"/>
          <w:rtl/>
        </w:rPr>
        <w:t xml:space="preserve">فرض الصلاة، ج 11، ص 785.</w:t>
      </w:r>
    </w:p>
    <w:p>
      <w:pPr>
        <w:pStyle w:val="Heading2"/>
      </w:pPr>
      <w:bookmarkStart w:id="5530" w:name="_Toc4632"/>
      <w:r>
        <w:t>طالقاني ، محمّد حسين بن علي</w:t>
      </w:r>
      <w:bookmarkEnd w:id="5530"/>
    </w:p>
    <w:p>
      <w:pPr>
        <w:pStyle w:val="BookText"/>
      </w:pPr>
      <w:r>
        <w:rPr>
          <w:rFonts w:ascii="IRNazanin" w:hAnsi="IRNazanin" w:eastAsia="IRNazanin" w:cs="IRNazanin"/>
          <w:lang w:bidi="fa-IR"/>
          <w:color w:val="111111"/>
          <w:sz w:val="28"/>
          <w:szCs w:val="28"/>
          <w:rtl/>
        </w:rPr>
        <w:t xml:space="preserve">بدائع الاصول، ج 3، ص 253.</w:t>
      </w:r>
    </w:p>
    <w:p>
      <w:pPr>
        <w:pStyle w:val="Heading2"/>
      </w:pPr>
      <w:bookmarkStart w:id="5531" w:name="_Toc4633"/>
      <w:r>
        <w:t>طالقاني ، محمّد حسین بن محمّد رضا</w:t>
      </w:r>
      <w:bookmarkEnd w:id="5531"/>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شرح نصاب الصبيان، ج 10، ص285</w:t>
      </w:r>
    </w:p>
    <w:p>
      <w:pPr>
        <w:pStyle w:val="BookText"/>
      </w:pPr>
      <w:r>
        <w:rPr>
          <w:rFonts w:ascii="Amiri" w:hAnsi="Amiri" w:eastAsia="Amiri" w:cs="Amiri"/>
          <w:lang w:bidi="ar-SA"/>
          <w:color w:val="111111"/>
          <w:sz w:val="28"/>
          <w:szCs w:val="28"/>
          <w:rtl/>
        </w:rPr>
        <w:t xml:space="preserve">طالقاني، موسى بن جعفر -حسيني</w:t>
      </w:r>
    </w:p>
    <w:p>
      <w:pPr>
        <w:pStyle w:val="BookText"/>
      </w:pPr>
      <w:r>
        <w:rPr>
          <w:rFonts w:ascii="Amiri" w:hAnsi="Amiri" w:eastAsia="Amiri" w:cs="Amiri"/>
          <w:lang w:bidi="ar-SA"/>
          <w:color w:val="111111"/>
          <w:sz w:val="28"/>
          <w:szCs w:val="28"/>
          <w:rtl/>
        </w:rPr>
        <w:t xml:space="preserve">طالقاني ، موسى بن جعفر</w:t>
      </w:r>
    </w:p>
    <w:p>
      <w:pPr>
        <w:pStyle w:val="BookText"/>
      </w:pPr>
      <w:r>
        <w:rPr>
          <w:rFonts w:ascii="Amiri" w:hAnsi="Amiri" w:eastAsia="Amiri" w:cs="Amiri"/>
          <w:lang w:bidi="ar-SA"/>
          <w:color w:val="111111"/>
          <w:sz w:val="28"/>
          <w:szCs w:val="28"/>
          <w:rtl/>
        </w:rPr>
        <w:t xml:space="preserve">طامة الكبرى - نجم الدين كبرى ، احمد بن عمر</w:t>
      </w:r>
    </w:p>
    <w:p>
      <w:pPr>
        <w:pStyle w:val="Heading2"/>
      </w:pPr>
      <w:bookmarkStart w:id="5532" w:name="_Toc4634"/>
      <w:r>
        <w:t>طامذي ، عبدالله بن علي - 563 ه-</w:t>
      </w:r>
      <w:bookmarkEnd w:id="5532"/>
    </w:p>
    <w:p>
      <w:pPr>
        <w:pStyle w:val="BookText"/>
      </w:pPr>
      <w:r>
        <w:rPr>
          <w:rFonts w:ascii="Amiri" w:hAnsi="Amiri" w:eastAsia="Amiri" w:cs="Amiri"/>
          <w:lang w:bidi="ar-SA"/>
          <w:color w:val="111111"/>
          <w:sz w:val="28"/>
          <w:szCs w:val="28"/>
          <w:rtl/>
        </w:rPr>
        <w:t xml:space="preserve">من فوائد الطامذي، ج 15، ص 732.</w:t>
      </w:r>
    </w:p>
    <w:p>
      <w:pPr>
        <w:pStyle w:val="BookText"/>
      </w:pPr>
      <w:r>
        <w:rPr>
          <w:rFonts w:ascii="Amiri" w:hAnsi="Amiri" w:eastAsia="Amiri" w:cs="Amiri"/>
          <w:lang w:bidi="ar-SA"/>
          <w:color w:val="111111"/>
          <w:sz w:val="28"/>
          <w:szCs w:val="28"/>
          <w:rtl/>
        </w:rPr>
        <w:t xml:space="preserve">طاها بن قاسم انصاري -انصاري ، طاها بن قاسم</w:t>
      </w:r>
    </w:p>
    <w:p>
      <w:pPr>
        <w:pStyle w:val="BookText"/>
      </w:pPr>
      <w:r>
        <w:rPr>
          <w:rFonts w:ascii="Amiri" w:hAnsi="Amiri" w:eastAsia="Amiri" w:cs="Amiri"/>
          <w:lang w:bidi="ar-SA"/>
          <w:color w:val="111111"/>
          <w:sz w:val="28"/>
          <w:szCs w:val="28"/>
          <w:rtl/>
        </w:rPr>
        <w:t xml:space="preserve">طاها بن قاسم بن احمد انصاري خوارزمي- انصاري ، طاها بن قاسم</w:t>
      </w:r>
    </w:p>
    <w:p>
      <w:pPr>
        <w:pStyle w:val="BookText"/>
      </w:pPr>
      <w:r>
        <w:rPr>
          <w:rFonts w:ascii="Amiri" w:hAnsi="Amiri" w:eastAsia="Amiri" w:cs="Amiri"/>
          <w:lang w:bidi="ar-SA"/>
          <w:color w:val="111111"/>
          <w:sz w:val="28"/>
          <w:szCs w:val="28"/>
          <w:rtl/>
        </w:rPr>
        <w:t xml:space="preserve">طاهر انجداني- شاه طاهر انجداني دكني</w:t>
      </w:r>
    </w:p>
    <w:p>
      <w:pPr>
        <w:pStyle w:val="Heading2"/>
      </w:pPr>
      <w:bookmarkStart w:id="5533" w:name="_Toc4635"/>
      <w:r>
        <w:t>طاهراني ، محمود بن محمّد</w:t>
      </w:r>
      <w:bookmarkEnd w:id="5533"/>
    </w:p>
    <w:p>
      <w:pPr>
        <w:pStyle w:val="BookText"/>
      </w:pPr>
      <w:r>
        <w:rPr>
          <w:rFonts w:ascii="Amiri" w:hAnsi="Amiri" w:eastAsia="Amiri" w:cs="Amiri"/>
          <w:lang w:bidi="ar-SA"/>
          <w:color w:val="111111"/>
          <w:sz w:val="28"/>
          <w:szCs w:val="28"/>
          <w:rtl/>
        </w:rPr>
        <w:t xml:space="preserve">حصول الكونين، ج 6، ص 671 .</w:t>
      </w:r>
    </w:p>
    <w:p>
      <w:pPr>
        <w:pStyle w:val="BookText"/>
      </w:pPr>
      <w:r>
        <w:rPr>
          <w:rFonts w:ascii="Amiri" w:hAnsi="Amiri" w:eastAsia="Amiri" w:cs="Amiri"/>
          <w:lang w:bidi="ar-SA"/>
          <w:color w:val="111111"/>
          <w:sz w:val="28"/>
          <w:szCs w:val="28"/>
          <w:rtl/>
        </w:rPr>
        <w:t xml:space="preserve">طاهر بن احمد بخاري- بخاري ، طاهر بن احمد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88" w:name="pg7742_70681"/>
    <w:bookmarkEnd w:id="688"/>
    <w:p>
      <w:pPr>
        <w:pStyle w:val="BookText"/>
      </w:pPr>
      <w:r>
        <w:rPr>
          <w:rFonts w:ascii="IRNazanin" w:hAnsi="IRNazanin" w:eastAsia="IRNazanin" w:cs="IRNazanin"/>
          <w:lang w:bidi="fa-IR"/>
          <w:color w:val="111111"/>
          <w:sz w:val="28"/>
          <w:szCs w:val="28"/>
          <w:rtl/>
        </w:rPr>
        <w:t xml:space="preserve">طاهر بن احمد بن بابشاذ- ابن بابشاذ</w:t>
      </w:r>
    </w:p>
    <w:p>
      <w:pPr>
        <w:pStyle w:val="BookText"/>
      </w:pPr>
      <w:r>
        <w:rPr>
          <w:rFonts w:ascii="IRNazanin" w:hAnsi="IRNazanin" w:eastAsia="IRNazanin" w:cs="IRNazanin"/>
          <w:lang w:bidi="fa-IR"/>
          <w:color w:val="111111"/>
          <w:sz w:val="28"/>
          <w:szCs w:val="28"/>
          <w:rtl/>
        </w:rPr>
        <w:t xml:space="preserve">طاهر بن احمد</w:t>
      </w:r>
    </w:p>
    <w:p>
      <w:pPr>
        <w:pStyle w:val="BookText"/>
      </w:pPr>
      <w:r>
        <w:rPr>
          <w:rFonts w:ascii="Amiri" w:hAnsi="Amiri" w:eastAsia="Amiri" w:cs="Amiri"/>
          <w:lang w:bidi="ar-SA"/>
          <w:color w:val="111111"/>
          <w:sz w:val="28"/>
          <w:szCs w:val="28"/>
          <w:rtl/>
        </w:rPr>
        <w:t xml:space="preserve">طاهر بن احمد جوهري- ابن بابشاذ ،</w:t>
      </w:r>
    </w:p>
    <w:p>
      <w:pPr>
        <w:pStyle w:val="BookText"/>
      </w:pPr>
      <w:r>
        <w:rPr>
          <w:rFonts w:ascii="IRNazanin" w:hAnsi="IRNazanin" w:eastAsia="IRNazanin" w:cs="IRNazanin"/>
          <w:lang w:bidi="fa-IR"/>
          <w:color w:val="111111"/>
          <w:sz w:val="28"/>
          <w:szCs w:val="28"/>
          <w:rtl/>
        </w:rPr>
        <w:t xml:space="preserve">طاهر بن احمد</w:t>
      </w:r>
    </w:p>
    <w:p>
      <w:pPr>
        <w:pStyle w:val="BookText"/>
      </w:pPr>
      <w:r>
        <w:rPr>
          <w:rFonts w:ascii="Amiri" w:hAnsi="Amiri" w:eastAsia="Amiri" w:cs="Amiri"/>
          <w:lang w:bidi="ar-SA"/>
          <w:color w:val="111111"/>
          <w:sz w:val="28"/>
          <w:szCs w:val="28"/>
          <w:rtl/>
        </w:rPr>
        <w:t xml:space="preserve">طاهر بن احمد قزويني- قزويني ، طاهر</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5534" w:name="_Toc4636"/>
      <w:r>
        <w:t>طاهر بن اديب قرن 14 ه-</w:t>
      </w:r>
      <w:bookmarkEnd w:id="5534"/>
    </w:p>
    <w:p>
      <w:pPr>
        <w:pStyle w:val="BookText"/>
      </w:pPr>
      <w:r>
        <w:rPr>
          <w:rFonts w:ascii="Amiri" w:hAnsi="Amiri" w:eastAsia="Amiri" w:cs="Amiri"/>
          <w:lang w:bidi="ar-SA"/>
          <w:color w:val="111111"/>
          <w:sz w:val="28"/>
          <w:szCs w:val="28"/>
          <w:rtl/>
        </w:rPr>
        <w:t xml:space="preserve">القرآن الكريم (مترجم)، ج 12، ص520.</w:t>
      </w:r>
    </w:p>
    <w:p>
      <w:pPr>
        <w:pStyle w:val="BookText"/>
      </w:pPr>
      <w:r>
        <w:rPr>
          <w:rFonts w:ascii="Amiri" w:hAnsi="Amiri" w:eastAsia="Amiri" w:cs="Amiri"/>
          <w:lang w:bidi="ar-SA"/>
          <w:color w:val="111111"/>
          <w:sz w:val="28"/>
          <w:szCs w:val="28"/>
          <w:rtl/>
        </w:rPr>
        <w:t xml:space="preserve">طاهر بن اسلام بن قاسم -انصاري ، طاهر</w:t>
      </w:r>
    </w:p>
    <w:p>
      <w:pPr>
        <w:pStyle w:val="BookText"/>
      </w:pPr>
      <w:r>
        <w:rPr>
          <w:rFonts w:ascii="IRNazanin" w:hAnsi="IRNazanin" w:eastAsia="IRNazanin" w:cs="IRNazanin"/>
          <w:lang w:bidi="fa-IR"/>
          <w:color w:val="111111"/>
          <w:sz w:val="28"/>
          <w:szCs w:val="28"/>
          <w:rtl/>
        </w:rPr>
        <w:t xml:space="preserve">بن سلام</w:t>
      </w:r>
    </w:p>
    <w:p>
      <w:pPr>
        <w:pStyle w:val="BookText"/>
      </w:pPr>
      <w:r>
        <w:rPr>
          <w:rFonts w:ascii="Amiri" w:hAnsi="Amiri" w:eastAsia="Amiri" w:cs="Amiri"/>
          <w:lang w:bidi="ar-SA"/>
          <w:color w:val="111111"/>
          <w:sz w:val="28"/>
          <w:szCs w:val="28"/>
          <w:rtl/>
        </w:rPr>
        <w:t xml:space="preserve">طاهر بن حسن حلبي -ابن حبيب ، ، طاهر</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طاهر بن رضي الدين حسيني كاشاني دكني- حسيني كاشاني ، طاهر بن رضي الدين</w:t>
      </w:r>
    </w:p>
    <w:p>
      <w:pPr>
        <w:pStyle w:val="BookText"/>
      </w:pPr>
      <w:r>
        <w:rPr>
          <w:rFonts w:ascii="Amiri" w:hAnsi="Amiri" w:eastAsia="Amiri" w:cs="Amiri"/>
          <w:lang w:bidi="ar-SA"/>
          <w:color w:val="111111"/>
          <w:sz w:val="28"/>
          <w:szCs w:val="28"/>
          <w:rtl/>
        </w:rPr>
        <w:t xml:space="preserve">طاهر بن عبد الرشيد بخاري- بخاري ،</w:t>
      </w:r>
    </w:p>
    <w:p>
      <w:pPr>
        <w:pStyle w:val="BookText"/>
      </w:pPr>
      <w:r>
        <w:rPr>
          <w:rFonts w:ascii="IRNazanin" w:hAnsi="IRNazanin" w:eastAsia="IRNazanin" w:cs="IRNazanin"/>
          <w:lang w:bidi="fa-IR"/>
          <w:color w:val="111111"/>
          <w:sz w:val="28"/>
          <w:szCs w:val="28"/>
          <w:rtl/>
        </w:rPr>
        <w:t xml:space="preserve">طاهر بن احمد</w:t>
      </w:r>
    </w:p>
    <w:p>
      <w:pPr>
        <w:pStyle w:val="BookText"/>
      </w:pPr>
      <w:r>
        <w:rPr>
          <w:rFonts w:ascii="Amiri" w:hAnsi="Amiri" w:eastAsia="Amiri" w:cs="Amiri"/>
          <w:lang w:bidi="ar-SA"/>
          <w:color w:val="111111"/>
          <w:sz w:val="28"/>
          <w:szCs w:val="28"/>
          <w:rtl/>
        </w:rPr>
        <w:t xml:space="preserve">طاهر بن عبدالله طبري- طبري ، طاهر بن</w:t>
      </w:r>
    </w:p>
    <w:p>
      <w:pPr>
        <w:pStyle w:val="BookText"/>
      </w:pPr>
      <w:r>
        <w:rPr>
          <w:rFonts w:ascii="IRNazanin" w:hAnsi="IRNazanin" w:eastAsia="IRNazanin" w:cs="IRNazanin"/>
          <w:lang w:bidi="fa-IR"/>
          <w:color w:val="111111"/>
          <w:sz w:val="28"/>
          <w:szCs w:val="28"/>
          <w:rtl/>
        </w:rPr>
        <w:t xml:space="preserve">عبدالله</w:t>
      </w:r>
    </w:p>
    <w:p>
      <w:pPr>
        <w:pStyle w:val="Heading2"/>
      </w:pPr>
      <w:bookmarkStart w:id="5535" w:name="_Toc4637"/>
      <w:r>
        <w:t>طاهر بن عبد علي</w:t>
      </w:r>
      <w:bookmarkEnd w:id="5535"/>
    </w:p>
    <w:p>
      <w:pPr>
        <w:pStyle w:val="BookText"/>
      </w:pPr>
      <w:r>
        <w:rPr>
          <w:rFonts w:ascii="Amiri" w:hAnsi="Amiri" w:eastAsia="Amiri" w:cs="Amiri"/>
          <w:lang w:bidi="ar-SA"/>
          <w:color w:val="111111"/>
          <w:sz w:val="28"/>
          <w:szCs w:val="28"/>
          <w:rtl/>
        </w:rPr>
        <w:t xml:space="preserve">ضياء الأحكام و شرح شرائع الإسلام</w:t>
      </w:r>
    </w:p>
    <w:p>
      <w:pPr>
        <w:pStyle w:val="BookText"/>
      </w:pPr>
      <w:r>
        <w:rPr>
          <w:rFonts w:ascii="IRNazanin" w:hAnsi="IRNazanin" w:eastAsia="IRNazanin" w:cs="IRNazanin"/>
          <w:lang w:bidi="fa-IR"/>
          <w:color w:val="111111"/>
          <w:sz w:val="28"/>
          <w:szCs w:val="28"/>
          <w:rtl/>
        </w:rPr>
        <w:t xml:space="preserve">ج 10، ص 711.</w:t>
      </w:r>
    </w:p>
    <w:p>
      <w:pPr>
        <w:pStyle w:val="BookText"/>
      </w:pPr>
      <w:r>
        <w:rPr>
          <w:rFonts w:ascii="Amiri" w:hAnsi="Amiri" w:eastAsia="Amiri" w:cs="Amiri"/>
          <w:lang w:bidi="ar-SA"/>
          <w:color w:val="111111"/>
          <w:sz w:val="28"/>
          <w:szCs w:val="28"/>
          <w:rtl/>
        </w:rPr>
        <w:t xml:space="preserve">طاهر بن محمّد جرجاني- جلابي جرجاني</w:t>
      </w:r>
    </w:p>
    <w:p>
      <w:pPr>
        <w:pStyle w:val="BookText"/>
      </w:pPr>
      <w:r>
        <w:rPr>
          <w:rFonts w:ascii="Amiri" w:hAnsi="Amiri" w:eastAsia="Amiri" w:cs="Amiri"/>
          <w:lang w:bidi="ar-SA"/>
          <w:color w:val="111111"/>
          <w:sz w:val="28"/>
          <w:szCs w:val="28"/>
          <w:rtl/>
        </w:rPr>
        <w:t xml:space="preserve">جلابي، طاهر بن محمّد</w:t>
      </w:r>
    </w:p>
    <w:p>
      <w:pPr>
        <w:pStyle w:val="BookText"/>
      </w:pPr>
      <w:r>
        <w:rPr>
          <w:rFonts w:ascii="Amiri" w:hAnsi="Amiri" w:eastAsia="Amiri" w:cs="Amiri"/>
          <w:lang w:bidi="ar-SA"/>
          <w:color w:val="111111"/>
          <w:sz w:val="28"/>
          <w:szCs w:val="28"/>
          <w:rtl/>
        </w:rPr>
        <w:t xml:space="preserve">طاهر بن محمّد فاريابي -ظهير فاريابي ،</w:t>
      </w:r>
    </w:p>
    <w:p>
      <w:pPr>
        <w:pStyle w:val="BookText"/>
      </w:pPr>
      <w:r>
        <w:rPr>
          <w:rFonts w:ascii="IRNazanin" w:hAnsi="IRNazanin" w:eastAsia="IRNazanin" w:cs="IRNazanin"/>
          <w:lang w:bidi="fa-IR"/>
          <w:color w:val="111111"/>
          <w:sz w:val="28"/>
          <w:szCs w:val="28"/>
          <w:rtl/>
        </w:rPr>
        <w:t xml:space="preserve">طاهر بن محمّد</w:t>
      </w:r>
    </w:p>
    <w:p>
      <w:pPr>
        <w:pStyle w:val="BookText"/>
      </w:pPr>
      <w:r>
        <w:rPr>
          <w:rFonts w:ascii="Amiri" w:hAnsi="Amiri" w:eastAsia="Amiri" w:cs="Amiri"/>
          <w:lang w:bidi="ar-SA"/>
          <w:color w:val="111111"/>
          <w:sz w:val="28"/>
          <w:szCs w:val="28"/>
          <w:rtl/>
        </w:rPr>
        <w:t xml:space="preserve">طاهر حسيني -حسيني ، طاهر</w:t>
      </w:r>
    </w:p>
    <w:p>
      <w:pPr>
        <w:pStyle w:val="BookText"/>
      </w:pPr>
      <w:r>
        <w:rPr>
          <w:rFonts w:ascii="Amiri" w:hAnsi="Amiri" w:eastAsia="Amiri" w:cs="Amiri"/>
          <w:lang w:bidi="ar-SA"/>
          <w:color w:val="111111"/>
          <w:sz w:val="28"/>
          <w:szCs w:val="28"/>
          <w:rtl/>
        </w:rPr>
        <w:t xml:space="preserve">طاهر خلوتي ، مصطفى بن شمس الدين- طاهري، مصطفى بن احمد</w:t>
      </w:r>
    </w:p>
    <w:p>
      <w:pPr>
        <w:pStyle w:val="BookText"/>
      </w:pPr>
      <w:r>
        <w:rPr>
          <w:rFonts w:ascii="Amiri" w:hAnsi="Amiri" w:eastAsia="Amiri" w:cs="Amiri"/>
          <w:lang w:bidi="ar-SA"/>
          <w:color w:val="111111"/>
          <w:sz w:val="28"/>
          <w:szCs w:val="28"/>
          <w:rtl/>
        </w:rPr>
        <w:t xml:space="preserve">طاهر خوئي ، ابويعقوب بن يوسف- ابويعقوب خوئي، يوسف بن طاهر</w:t>
      </w:r>
    </w:p>
    <w:p>
      <w:pPr>
        <w:pStyle w:val="BookText"/>
      </w:pPr>
      <w:r>
        <w:rPr>
          <w:rFonts w:ascii="Amiri" w:hAnsi="Amiri" w:eastAsia="Amiri" w:cs="Amiri"/>
          <w:lang w:bidi="ar-SA"/>
          <w:color w:val="111111"/>
          <w:sz w:val="28"/>
          <w:szCs w:val="28"/>
          <w:rtl/>
        </w:rPr>
        <w:t xml:space="preserve">طاهر ركني -شاه طاهر انجداني دكني</w:t>
      </w:r>
    </w:p>
    <w:p>
      <w:pPr>
        <w:pStyle w:val="BookText"/>
      </w:pPr>
      <w:r>
        <w:rPr>
          <w:rFonts w:ascii="IRNazanin" w:hAnsi="IRNazanin" w:eastAsia="IRNazanin" w:cs="IRNazanin"/>
          <w:lang w:bidi="fa-IR"/>
          <w:color w:val="111111"/>
          <w:sz w:val="28"/>
          <w:szCs w:val="28"/>
          <w:rtl/>
        </w:rPr>
        <w:t xml:space="preserve">طاهر شعري اصفهاني- دیباچه نگار</w:t>
      </w:r>
    </w:p>
    <w:p>
      <w:pPr>
        <w:pStyle w:val="BookText"/>
      </w:pPr>
      <w:r>
        <w:rPr>
          <w:rFonts w:ascii="Amiri" w:hAnsi="Amiri" w:eastAsia="Amiri" w:cs="Amiri"/>
          <w:lang w:bidi="ar-SA"/>
          <w:color w:val="111111"/>
          <w:sz w:val="28"/>
          <w:szCs w:val="28"/>
          <w:rtl/>
        </w:rPr>
        <w:t xml:space="preserve">اصفهاني ، طاهر بن زين العابدين</w:t>
      </w:r>
    </w:p>
    <w:p>
      <w:pPr>
        <w:pStyle w:val="BookText"/>
      </w:pPr>
      <w:r>
        <w:rPr>
          <w:rFonts w:ascii="Amiri" w:hAnsi="Amiri" w:eastAsia="Amiri" w:cs="Amiri"/>
          <w:lang w:bidi="ar-SA"/>
          <w:color w:val="111111"/>
          <w:sz w:val="28"/>
          <w:szCs w:val="28"/>
          <w:rtl/>
        </w:rPr>
        <w:t xml:space="preserve">طاهر عراقي- عراقي ، طاهر</w:t>
      </w:r>
    </w:p>
    <w:p>
      <w:pPr>
        <w:pStyle w:val="BookText"/>
      </w:pPr>
      <w:r>
        <w:rPr>
          <w:rFonts w:ascii="Amiri" w:hAnsi="Amiri" w:eastAsia="Amiri" w:cs="Amiri"/>
          <w:lang w:bidi="ar-SA"/>
          <w:color w:val="111111"/>
          <w:sz w:val="28"/>
          <w:szCs w:val="28"/>
          <w:rtl/>
        </w:rPr>
        <w:t xml:space="preserve">طاهر مروزي، احمد بن طيفور- ابن ابي</w:t>
      </w:r>
    </w:p>
    <w:p>
      <w:pPr>
        <w:pStyle w:val="BookText"/>
      </w:pPr>
      <w:r>
        <w:rPr>
          <w:rFonts w:ascii="Amiri" w:hAnsi="Amiri" w:eastAsia="Amiri" w:cs="Amiri"/>
          <w:lang w:bidi="ar-SA"/>
          <w:color w:val="111111"/>
          <w:sz w:val="28"/>
          <w:szCs w:val="28"/>
          <w:rtl/>
        </w:rPr>
        <w:t xml:space="preserve">طاهر ، احمد بن ابي طاهر</w:t>
      </w:r>
    </w:p>
    <w:p>
      <w:pPr>
        <w:pStyle w:val="Heading2"/>
      </w:pPr>
      <w:bookmarkStart w:id="5536" w:name="_Toc4638"/>
      <w:r>
        <w:t>طاهري، مصطفى بن احمد قرن 11 ه-</w:t>
      </w:r>
      <w:bookmarkEnd w:id="5536"/>
    </w:p>
    <w:p>
      <w:pPr>
        <w:pStyle w:val="BookText"/>
      </w:pPr>
      <w:r>
        <w:rPr>
          <w:rFonts w:ascii="Amiri" w:hAnsi="Amiri" w:eastAsia="Amiri" w:cs="Amiri"/>
          <w:lang w:bidi="ar-SA"/>
          <w:color w:val="111111"/>
          <w:sz w:val="28"/>
          <w:szCs w:val="28"/>
          <w:rtl/>
        </w:rPr>
        <w:t xml:space="preserve">الدر المنظوم في السلك المجيب، ج7،</w:t>
      </w:r>
    </w:p>
    <w:p>
      <w:pPr>
        <w:pStyle w:val="BookText"/>
      </w:pPr>
      <w:r>
        <w:rPr>
          <w:rFonts w:ascii="IRNazanin" w:hAnsi="IRNazanin" w:eastAsia="IRNazanin" w:cs="IRNazanin"/>
          <w:lang w:bidi="fa-IR"/>
          <w:color w:val="111111"/>
          <w:sz w:val="28"/>
          <w:szCs w:val="28"/>
          <w:rtl/>
        </w:rPr>
        <w:t xml:space="preserve">ص 353 .</w:t>
      </w:r>
    </w:p>
    <w:p>
      <w:pPr>
        <w:pStyle w:val="BookText"/>
      </w:pPr>
      <w:r>
        <w:rPr>
          <w:rFonts w:ascii="Amiri" w:hAnsi="Amiri" w:eastAsia="Amiri" w:cs="Amiri"/>
          <w:lang w:bidi="ar-SA"/>
          <w:color w:val="111111"/>
          <w:sz w:val="28"/>
          <w:szCs w:val="28"/>
          <w:rtl/>
        </w:rPr>
        <w:t xml:space="preserve">طاوس- ابن طاوس ، علي بن موسى</w:t>
      </w:r>
    </w:p>
    <w:p>
      <w:pPr>
        <w:pStyle w:val="BookText"/>
      </w:pPr>
      <w:r>
        <w:rPr>
          <w:rFonts w:ascii="Amiri" w:hAnsi="Amiri" w:eastAsia="Amiri" w:cs="Amiri"/>
          <w:lang w:bidi="ar-SA"/>
          <w:color w:val="111111"/>
          <w:sz w:val="28"/>
          <w:szCs w:val="28"/>
          <w:rtl/>
        </w:rPr>
        <w:t xml:space="preserve">طاوس آل طاوس- ابن طاوس ، علي بن</w:t>
      </w:r>
    </w:p>
    <w:p>
      <w:pPr>
        <w:pStyle w:val="BookText"/>
      </w:pPr>
      <w:r>
        <w:rPr>
          <w:rFonts w:ascii="IRNazanin" w:hAnsi="IRNazanin" w:eastAsia="IRNazanin" w:cs="IRNazanin"/>
          <w:lang w:bidi="fa-IR"/>
          <w:color w:val="111111"/>
          <w:sz w:val="28"/>
          <w:szCs w:val="28"/>
          <w:rtl/>
        </w:rPr>
        <w:t xml:space="preserve">موسى</w:t>
      </w:r>
    </w:p>
    <w:p>
      <w:pPr>
        <w:pStyle w:val="Heading2"/>
      </w:pPr>
      <w:bookmarkStart w:id="5537" w:name="_Toc4639"/>
      <w:r>
        <w:t>طاوسي ، محمّد بن ابي بكر</w:t>
      </w:r>
      <w:bookmarkEnd w:id="5537"/>
    </w:p>
    <w:p>
      <w:pPr>
        <w:pStyle w:val="BookText"/>
      </w:pPr>
      <w:r>
        <w:rPr>
          <w:rFonts w:ascii="Amiri" w:hAnsi="Amiri" w:eastAsia="Amiri" w:cs="Amiri"/>
          <w:lang w:bidi="ar-SA"/>
          <w:color w:val="111111"/>
          <w:sz w:val="28"/>
          <w:szCs w:val="28"/>
          <w:rtl/>
        </w:rPr>
        <w:t xml:space="preserve">شرح الحاوي، ج 9، ص 377.</w:t>
      </w:r>
    </w:p>
    <w:p>
      <w:pPr>
        <w:pStyle w:val="BookText"/>
      </w:pPr>
      <w:r>
        <w:rPr>
          <w:rFonts w:ascii="Amiri" w:hAnsi="Amiri" w:eastAsia="Amiri" w:cs="Amiri"/>
          <w:lang w:bidi="ar-SA"/>
          <w:color w:val="111111"/>
          <w:sz w:val="28"/>
          <w:szCs w:val="28"/>
          <w:rtl/>
        </w:rPr>
        <w:t xml:space="preserve">طاووس الفقراء، احمد بن محمّد- ماليني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طاووسي ، علي بن موسى- ابن طاوس ،</w:t>
      </w:r>
    </w:p>
    <w:p>
      <w:pPr>
        <w:pStyle w:val="BookText"/>
      </w:pPr>
      <w:r>
        <w:rPr>
          <w:rFonts w:ascii="Amiri" w:hAnsi="Amiri" w:eastAsia="Amiri" w:cs="Amiri"/>
          <w:lang w:bidi="ar-SA"/>
          <w:color w:val="111111"/>
          <w:sz w:val="28"/>
          <w:szCs w:val="28"/>
          <w:rtl/>
        </w:rPr>
        <w:t xml:space="preserve">علي بن موسى</w:t>
      </w:r>
    </w:p>
    <w:p>
      <w:pPr>
        <w:pStyle w:val="Heading2"/>
      </w:pPr>
      <w:bookmarkStart w:id="5538" w:name="_Toc4640"/>
      <w:r>
        <w:t>طباخ ، فتح الله بن محمّد - 1204 ه-</w:t>
      </w:r>
      <w:bookmarkEnd w:id="5538"/>
    </w:p>
    <w:p>
      <w:pPr>
        <w:pStyle w:val="BookText"/>
      </w:pPr>
      <w:r>
        <w:rPr>
          <w:rFonts w:ascii="Amiri" w:hAnsi="Amiri" w:eastAsia="Amiri" w:cs="Amiri"/>
          <w:lang w:bidi="ar-SA"/>
          <w:color w:val="111111"/>
          <w:sz w:val="28"/>
          <w:szCs w:val="28"/>
          <w:rtl/>
        </w:rPr>
        <w:t xml:space="preserve">1 .ارجوزة عن حصار نادر شاه، ج1،</w:t>
      </w:r>
    </w:p>
    <w:p>
      <w:pPr>
        <w:pStyle w:val="BookText"/>
      </w:pPr>
      <w:r>
        <w:rPr>
          <w:rFonts w:ascii="IRNazanin" w:hAnsi="IRNazanin" w:eastAsia="IRNazanin" w:cs="IRNazanin"/>
          <w:lang w:bidi="fa-IR"/>
          <w:color w:val="111111"/>
          <w:sz w:val="28"/>
          <w:szCs w:val="28"/>
          <w:rtl/>
        </w:rPr>
        <w:t xml:space="preserve">ص 767 .</w:t>
      </w:r>
    </w:p>
    <w:p>
      <w:pPr>
        <w:pStyle w:val="BookText"/>
      </w:pPr>
      <w:r>
        <w:rPr>
          <w:rFonts w:ascii="Amiri" w:hAnsi="Amiri" w:eastAsia="Amiri" w:cs="Amiri"/>
          <w:lang w:bidi="ar-SA"/>
          <w:color w:val="111111"/>
          <w:sz w:val="28"/>
          <w:szCs w:val="28"/>
          <w:rtl/>
        </w:rPr>
        <w:t xml:space="preserve">2.الدر المختبي في مدح بيت الكواكبي، ج 7، ص 330.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89" w:name="pg7742_70682"/>
    <w:bookmarkEnd w:id="689"/>
    <w:p>
      <w:pPr>
        <w:pStyle w:val="Heading2"/>
      </w:pPr>
      <w:bookmarkStart w:id="5539" w:name="_Toc4641"/>
      <w:r>
        <w:t>طباطبائي، ابراهيم بن حسين 1248 -</w:t>
      </w:r>
      <w:bookmarkEnd w:id="5539"/>
    </w:p>
    <w:p>
      <w:pPr>
        <w:pStyle w:val="BookText"/>
      </w:pPr>
      <w:r>
        <w:rPr>
          <w:rFonts w:ascii="IRNazanin" w:hAnsi="IRNazanin" w:eastAsia="IRNazanin" w:cs="IRNazanin"/>
          <w:lang w:bidi="fa-IR"/>
          <w:color w:val="111111"/>
          <w:sz w:val="28"/>
          <w:szCs w:val="28"/>
          <w:rtl/>
        </w:rPr>
        <w:t xml:space="preserve">1319 ه-</w:t>
      </w:r>
    </w:p>
    <w:p>
      <w:pPr>
        <w:pStyle w:val="BookText"/>
      </w:pPr>
      <w:r>
        <w:rPr>
          <w:rFonts w:ascii="Amiri" w:hAnsi="Amiri" w:eastAsia="Amiri" w:cs="Amiri"/>
          <w:lang w:bidi="ar-SA"/>
          <w:color w:val="111111"/>
          <w:sz w:val="28"/>
          <w:szCs w:val="28"/>
          <w:rtl/>
        </w:rPr>
        <w:t xml:space="preserve">ديوان الطباطبائي، ج7، ص 697.</w:t>
      </w:r>
    </w:p>
    <w:p>
      <w:pPr>
        <w:pStyle w:val="Heading2"/>
      </w:pPr>
      <w:bookmarkStart w:id="5540" w:name="_Toc4642"/>
      <w:r>
        <w:t>طباطبائي، ابراهيم بن ناصر قرن 5 ه-</w:t>
      </w:r>
      <w:bookmarkEnd w:id="5540"/>
    </w:p>
    <w:p>
      <w:pPr>
        <w:pStyle w:val="BookText"/>
      </w:pPr>
      <w:r>
        <w:rPr>
          <w:rFonts w:ascii="Amiri" w:hAnsi="Amiri" w:eastAsia="Amiri" w:cs="Amiri"/>
          <w:lang w:bidi="ar-SA"/>
          <w:color w:val="111111"/>
          <w:sz w:val="28"/>
          <w:szCs w:val="28"/>
          <w:rtl/>
        </w:rPr>
        <w:t xml:space="preserve">منتقلة الطالبية = المنتقلة في علم النسب، ج 15 ، ص 624.</w:t>
      </w:r>
    </w:p>
    <w:p>
      <w:pPr>
        <w:pStyle w:val="BookText"/>
      </w:pPr>
      <w:r>
        <w:rPr>
          <w:rFonts w:ascii="Amiri" w:hAnsi="Amiri" w:eastAsia="Amiri" w:cs="Amiri"/>
          <w:lang w:bidi="ar-SA"/>
          <w:color w:val="111111"/>
          <w:sz w:val="28"/>
          <w:szCs w:val="28"/>
          <w:rtl/>
        </w:rPr>
        <w:t xml:space="preserve">طباطبائي، ابواسماعيل ابراهيم بن</w:t>
      </w:r>
    </w:p>
    <w:p>
      <w:pPr>
        <w:pStyle w:val="BookText"/>
      </w:pPr>
      <w:r>
        <w:rPr>
          <w:rFonts w:ascii="Amiri" w:hAnsi="Amiri" w:eastAsia="Amiri" w:cs="Amiri"/>
          <w:lang w:bidi="ar-SA"/>
          <w:color w:val="111111"/>
          <w:sz w:val="28"/>
          <w:szCs w:val="28"/>
          <w:rtl/>
        </w:rPr>
        <w:t xml:space="preserve">ناصر -طباطبائي ، ابراهيم بن ناصر</w:t>
      </w:r>
    </w:p>
    <w:p>
      <w:pPr>
        <w:pStyle w:val="Heading2"/>
      </w:pPr>
      <w:bookmarkStart w:id="5541" w:name="_Toc4643"/>
      <w:r>
        <w:t>طباطبائي، ابوالقاسم بن محمّد رضا - 1380 ه-</w:t>
      </w:r>
      <w:bookmarkEnd w:id="5541"/>
    </w:p>
    <w:p>
      <w:pPr>
        <w:pStyle w:val="BookText"/>
      </w:pPr>
      <w:r>
        <w:rPr>
          <w:rFonts w:ascii="IRNazanin" w:hAnsi="IRNazanin" w:eastAsia="IRNazanin" w:cs="IRNazanin"/>
          <w:lang w:bidi="fa-IR"/>
          <w:color w:val="111111"/>
          <w:sz w:val="28"/>
          <w:szCs w:val="28"/>
          <w:rtl/>
        </w:rPr>
        <w:t xml:space="preserve">1362ه-</w:t>
      </w:r>
    </w:p>
    <w:p>
      <w:pPr>
        <w:pStyle w:val="BookText"/>
      </w:pPr>
      <w:r>
        <w:rPr>
          <w:rFonts w:ascii="Amiri" w:hAnsi="Amiri" w:eastAsia="Amiri" w:cs="Amiri"/>
          <w:lang w:bidi="ar-SA"/>
          <w:color w:val="111111"/>
          <w:sz w:val="28"/>
          <w:szCs w:val="28"/>
          <w:rtl/>
        </w:rPr>
        <w:t xml:space="preserve">1 .لمعات الهداية، ج 13، ص 616.</w:t>
      </w:r>
    </w:p>
    <w:p>
      <w:pPr>
        <w:pStyle w:val="BookText"/>
      </w:pPr>
      <w:r>
        <w:rPr>
          <w:rFonts w:ascii="Amiri" w:hAnsi="Amiri" w:eastAsia="Amiri" w:cs="Amiri"/>
          <w:lang w:bidi="ar-SA"/>
          <w:color w:val="111111"/>
          <w:sz w:val="28"/>
          <w:szCs w:val="28"/>
          <w:rtl/>
        </w:rPr>
        <w:t xml:space="preserve">2 .مصباح الفلاح في شرح دعاء الصباح</w:t>
      </w:r>
    </w:p>
    <w:p>
      <w:pPr>
        <w:pStyle w:val="BookText"/>
      </w:pPr>
      <w:r>
        <w:rPr>
          <w:rFonts w:ascii="IRNazanin" w:hAnsi="IRNazanin" w:eastAsia="IRNazanin" w:cs="IRNazanin"/>
          <w:lang w:bidi="fa-IR"/>
          <w:color w:val="111111"/>
          <w:sz w:val="28"/>
          <w:szCs w:val="28"/>
          <w:rtl/>
        </w:rPr>
        <w:t xml:space="preserve">ج 14 ، ص 723.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نتائج العقول في توصيف فرائد</w:t>
      </w:r>
    </w:p>
    <w:p>
      <w:pPr>
        <w:pStyle w:val="BookText"/>
      </w:pPr>
      <w:r>
        <w:rPr>
          <w:rFonts w:ascii="IRNazanin" w:hAnsi="IRNazanin" w:eastAsia="IRNazanin" w:cs="IRNazanin"/>
          <w:lang w:bidi="fa-IR"/>
          <w:color w:val="111111"/>
          <w:sz w:val="28"/>
          <w:szCs w:val="28"/>
          <w:rtl/>
        </w:rPr>
        <w:t xml:space="preserve">الاصول، ج 16، ص 131.</w:t>
      </w:r>
    </w:p>
    <w:p>
      <w:pPr>
        <w:pStyle w:val="BookText"/>
      </w:pPr>
      <w:r>
        <w:rPr>
          <w:rFonts w:ascii="Amiri" w:hAnsi="Amiri" w:eastAsia="Amiri" w:cs="Amiri"/>
          <w:lang w:bidi="ar-SA"/>
          <w:color w:val="111111"/>
          <w:sz w:val="28"/>
          <w:szCs w:val="28"/>
          <w:rtl/>
        </w:rPr>
        <w:t xml:space="preserve">طباطبائي اصفهاني ، محمّد بنعبد الكريم- طباطبائي بروجردي ، محمّد بن</w:t>
      </w:r>
    </w:p>
    <w:p>
      <w:pPr>
        <w:pStyle w:val="BookText"/>
      </w:pPr>
      <w:r>
        <w:rPr>
          <w:rFonts w:ascii="Amiri" w:hAnsi="Amiri" w:eastAsia="Amiri" w:cs="Amiri"/>
          <w:lang w:bidi="ar-SA"/>
          <w:color w:val="111111"/>
          <w:sz w:val="28"/>
          <w:szCs w:val="28"/>
          <w:rtl/>
        </w:rPr>
        <w:t xml:space="preserve">طباطبائي بروجردي ، حسين -طباطبائي</w:t>
      </w:r>
    </w:p>
    <w:p>
      <w:pPr>
        <w:pStyle w:val="BookText"/>
      </w:pPr>
      <w:r>
        <w:rPr>
          <w:rFonts w:ascii="Amiri" w:hAnsi="Amiri" w:eastAsia="Amiri" w:cs="Amiri"/>
          <w:lang w:bidi="ar-SA"/>
          <w:color w:val="111111"/>
          <w:sz w:val="28"/>
          <w:szCs w:val="28"/>
          <w:rtl/>
        </w:rPr>
        <w:t xml:space="preserve">بروجردي ، محمّد حسين</w:t>
      </w:r>
    </w:p>
    <w:p>
      <w:pPr>
        <w:pStyle w:val="Heading2"/>
      </w:pPr>
      <w:bookmarkStart w:id="5542" w:name="_Toc4644"/>
      <w:r>
        <w:t>طباطبائي بروجردي ، محمّد بن</w:t>
      </w:r>
      <w:bookmarkEnd w:id="5542"/>
    </w:p>
    <w:p>
      <w:pPr>
        <w:pStyle w:val="BookText"/>
      </w:pPr>
      <w:r>
        <w:rPr>
          <w:rFonts w:ascii="Amiri" w:hAnsi="Amiri" w:eastAsia="Amiri" w:cs="Amiri"/>
          <w:lang w:bidi="ar-SA"/>
          <w:color w:val="111111"/>
          <w:sz w:val="28"/>
          <w:szCs w:val="28"/>
          <w:rtl/>
        </w:rPr>
        <w:t xml:space="preserve">عبد الكريم، قرن 12 ه-</w:t>
      </w:r>
    </w:p>
    <w:p>
      <w:pPr>
        <w:pStyle w:val="BookText"/>
      </w:pPr>
      <w:r>
        <w:rPr>
          <w:rFonts w:ascii="Amiri" w:hAnsi="Amiri" w:eastAsia="Amiri" w:cs="Amiri"/>
          <w:lang w:bidi="ar-SA"/>
          <w:color w:val="111111"/>
          <w:sz w:val="28"/>
          <w:szCs w:val="28"/>
          <w:rtl/>
        </w:rPr>
        <w:t xml:space="preserve">1 .تاريخ الائمة المعصومين، ج3،</w:t>
      </w:r>
    </w:p>
    <w:p>
      <w:pPr>
        <w:pStyle w:val="BookText"/>
      </w:pPr>
      <w:r>
        <w:rPr>
          <w:rFonts w:ascii="IRNazanin" w:hAnsi="IRNazanin" w:eastAsia="IRNazanin" w:cs="IRNazanin"/>
          <w:lang w:bidi="fa-IR"/>
          <w:color w:val="111111"/>
          <w:sz w:val="28"/>
          <w:szCs w:val="28"/>
          <w:rtl/>
        </w:rPr>
        <w:t xml:space="preserve">ص 541.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رسائل السيّد الطباطبائي، ج8،</w:t>
      </w:r>
    </w:p>
    <w:p>
      <w:pPr>
        <w:pStyle w:val="BookText"/>
      </w:pPr>
      <w:r>
        <w:rPr>
          <w:rFonts w:ascii="IRNazanin" w:hAnsi="IRNazanin" w:eastAsia="IRNazanin" w:cs="IRNazanin"/>
          <w:lang w:bidi="fa-IR"/>
          <w:color w:val="111111"/>
          <w:sz w:val="28"/>
          <w:szCs w:val="28"/>
          <w:rtl/>
        </w:rPr>
        <w:t xml:space="preserve">ص 142 .</w:t>
      </w:r>
    </w:p>
    <w:p>
      <w:pPr>
        <w:pStyle w:val="Heading2"/>
      </w:pPr>
      <w:bookmarkStart w:id="5543" w:name="_Toc4645"/>
      <w:r>
        <w:t>طباطبائي بروجردي ، محمّد تقي بن</w:t>
      </w:r>
      <w:bookmarkEnd w:id="5543"/>
    </w:p>
    <w:p>
      <w:pPr>
        <w:pStyle w:val="BookText"/>
      </w:pPr>
      <w:r>
        <w:rPr>
          <w:rFonts w:ascii="Amiri" w:hAnsi="Amiri" w:eastAsia="Amiri" w:cs="Amiri"/>
          <w:lang w:bidi="ar-SA"/>
          <w:color w:val="111111"/>
          <w:sz w:val="28"/>
          <w:szCs w:val="28"/>
          <w:rtl/>
        </w:rPr>
        <w:t xml:space="preserve">محمّدرضا، 1219 - 1289 ه-</w:t>
      </w:r>
    </w:p>
    <w:p>
      <w:pPr>
        <w:pStyle w:val="BookText"/>
      </w:pPr>
      <w:r>
        <w:rPr>
          <w:rFonts w:ascii="Amiri" w:hAnsi="Amiri" w:eastAsia="Amiri" w:cs="Amiri"/>
          <w:lang w:bidi="ar-SA"/>
          <w:color w:val="111111"/>
          <w:sz w:val="28"/>
          <w:szCs w:val="28"/>
          <w:rtl/>
        </w:rPr>
        <w:t xml:space="preserve">القواعد الممهدة لاستنباط الاحكام</w:t>
      </w:r>
    </w:p>
    <w:p>
      <w:pPr>
        <w:pStyle w:val="BookText"/>
      </w:pPr>
      <w:r>
        <w:rPr>
          <w:rFonts w:ascii="IRNazanin" w:hAnsi="IRNazanin" w:eastAsia="IRNazanin" w:cs="IRNazanin"/>
          <w:lang w:bidi="fa-IR"/>
          <w:color w:val="111111"/>
          <w:sz w:val="28"/>
          <w:szCs w:val="28"/>
          <w:rtl/>
        </w:rPr>
        <w:t xml:space="preserve">ج 12، ص 808</w:t>
      </w:r>
    </w:p>
    <w:p>
      <w:pPr>
        <w:pStyle w:val="Heading2"/>
      </w:pPr>
      <w:bookmarkStart w:id="5544" w:name="_Toc4646"/>
      <w:r>
        <w:t>طباطبائي بروجردي ، محمّد حسن بن</w:t>
      </w:r>
      <w:bookmarkEnd w:id="5544"/>
    </w:p>
    <w:p>
      <w:pPr>
        <w:pStyle w:val="BookText"/>
      </w:pPr>
      <w:r>
        <w:rPr>
          <w:rFonts w:ascii="IRNazanin" w:hAnsi="IRNazanin" w:eastAsia="IRNazanin" w:cs="IRNazanin"/>
          <w:lang w:bidi="fa-IR"/>
          <w:color w:val="111111"/>
          <w:sz w:val="28"/>
          <w:szCs w:val="28"/>
          <w:rtl/>
        </w:rPr>
        <w:t xml:space="preserve">عبد الرحمن، قرن 14 ه-</w:t>
      </w:r>
    </w:p>
    <w:p>
      <w:pPr>
        <w:pStyle w:val="BookText"/>
      </w:pPr>
      <w:r>
        <w:rPr>
          <w:rFonts w:ascii="Amiri" w:hAnsi="Amiri" w:eastAsia="Amiri" w:cs="Amiri"/>
          <w:lang w:bidi="ar-SA"/>
          <w:color w:val="111111"/>
          <w:sz w:val="28"/>
          <w:szCs w:val="28"/>
          <w:rtl/>
        </w:rPr>
        <w:t xml:space="preserve">الدرر الحسينية في قواعد المنطقية</w:t>
      </w:r>
    </w:p>
    <w:p>
      <w:pPr>
        <w:pStyle w:val="BookText"/>
      </w:pPr>
      <w:r>
        <w:rPr>
          <w:rFonts w:ascii="IRNazanin" w:hAnsi="IRNazanin" w:eastAsia="IRNazanin" w:cs="IRNazanin"/>
          <w:lang w:bidi="fa-IR"/>
          <w:color w:val="111111"/>
          <w:sz w:val="28"/>
          <w:szCs w:val="28"/>
          <w:rtl/>
        </w:rPr>
        <w:t xml:space="preserve">ج 7، ص288.</w:t>
      </w:r>
    </w:p>
    <w:p>
      <w:pPr>
        <w:pStyle w:val="Heading2"/>
      </w:pPr>
      <w:bookmarkStart w:id="5545" w:name="_Toc4647"/>
      <w:r>
        <w:t>طباطبائي بروجردي ، محمّد حسین، 1291</w:t>
      </w:r>
      <w:bookmarkEnd w:id="5545"/>
    </w:p>
    <w:p>
      <w:pPr>
        <w:pStyle w:val="BookText"/>
      </w:pPr>
      <w:r>
        <w:rPr>
          <w:rFonts w:ascii="Amiri" w:hAnsi="Amiri" w:eastAsia="Amiri" w:cs="Amiri"/>
          <w:lang w:bidi="ar-SA"/>
          <w:color w:val="111111"/>
          <w:sz w:val="28"/>
          <w:szCs w:val="28"/>
          <w:rtl/>
        </w:rPr>
        <w:t xml:space="preserve">1 .ترتيب اسانيد الكافي، ج 4، ص 236 .</w:t>
      </w:r>
    </w:p>
    <w:p>
      <w:pPr>
        <w:pStyle w:val="BookText"/>
      </w:pPr>
      <w:r>
        <w:rPr>
          <w:rFonts w:ascii="Amiri" w:hAnsi="Amiri" w:eastAsia="Amiri" w:cs="Amiri"/>
          <w:lang w:bidi="ar-SA"/>
          <w:color w:val="111111"/>
          <w:sz w:val="28"/>
          <w:szCs w:val="28"/>
          <w:rtl/>
        </w:rPr>
        <w:t xml:space="preserve">2 .تنقيح اسانيد التهذيب، ج 5، ص 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فائدة رجالية، ج 11، ص 570.</w:t>
      </w:r>
    </w:p>
    <w:p>
      <w:pPr>
        <w:pStyle w:val="BookText"/>
      </w:pPr>
      <w:r>
        <w:rPr>
          <w:rFonts w:ascii="Amiri" w:hAnsi="Amiri" w:eastAsia="Amiri" w:cs="Amiri"/>
          <w:lang w:bidi="ar-SA"/>
          <w:color w:val="111111"/>
          <w:sz w:val="28"/>
          <w:szCs w:val="28"/>
          <w:rtl/>
        </w:rPr>
        <w:t xml:space="preserve">طباطبائي بروجردي ، محمّد مهدي بن مرتضى-بحر العلوم ، محمّد مهدي بن مرتضى</w:t>
      </w:r>
    </w:p>
    <w:p>
      <w:pPr>
        <w:pStyle w:val="Heading2"/>
      </w:pPr>
      <w:bookmarkStart w:id="5546" w:name="_Toc4648"/>
      <w:r>
        <w:t>طباطبائي بروجردي ، محمود بن علينقي - 1300 ه-</w:t>
      </w:r>
      <w:bookmarkEnd w:id="5546"/>
    </w:p>
    <w:p>
      <w:pPr>
        <w:pStyle w:val="BookText"/>
      </w:pPr>
      <w:r>
        <w:rPr>
          <w:rFonts w:ascii="Amiri" w:hAnsi="Amiri" w:eastAsia="Amiri" w:cs="Amiri"/>
          <w:lang w:bidi="ar-SA"/>
          <w:color w:val="111111"/>
          <w:sz w:val="28"/>
          <w:szCs w:val="28"/>
          <w:rtl/>
        </w:rPr>
        <w:t xml:space="preserve">المواهب السنية في شرح الدرة الغروية، ج 15، ص888.</w:t>
      </w:r>
    </w:p>
    <w:p>
      <w:pPr>
        <w:pStyle w:val="BookText"/>
      </w:pPr>
      <w:r>
        <w:rPr>
          <w:rFonts w:ascii="Amiri" w:hAnsi="Amiri" w:eastAsia="Amiri" w:cs="Amiri"/>
          <w:lang w:bidi="ar-SA"/>
          <w:color w:val="111111"/>
          <w:sz w:val="28"/>
          <w:szCs w:val="28"/>
          <w:rtl/>
        </w:rPr>
        <w:t xml:space="preserve">عبد الكريم</w:t>
      </w:r>
    </w:p>
    <w:p>
      <w:pPr>
        <w:pStyle w:val="BookText"/>
      </w:pPr>
      <w:r>
        <w:rPr>
          <w:rFonts w:ascii="Amiri" w:hAnsi="Amiri" w:eastAsia="Amiri" w:cs="Amiri"/>
          <w:lang w:bidi="ar-SA"/>
          <w:color w:val="111111"/>
          <w:sz w:val="28"/>
          <w:szCs w:val="28"/>
          <w:rtl/>
        </w:rPr>
        <w:t xml:space="preserve">طباطبائي تبريزي ، رفيع الدين- نظام</w:t>
      </w:r>
    </w:p>
    <w:p>
      <w:pPr>
        <w:pStyle w:val="BookText"/>
      </w:pPr>
      <w:r>
        <w:rPr>
          <w:rFonts w:ascii="Amiri" w:hAnsi="Amiri" w:eastAsia="Amiri" w:cs="Amiri"/>
          <w:lang w:bidi="ar-SA"/>
          <w:color w:val="111111"/>
          <w:sz w:val="28"/>
          <w:szCs w:val="28"/>
          <w:rtl/>
        </w:rPr>
        <w:t xml:space="preserve">العلماء ، محمّد رفيع بن علي اصغر</w:t>
      </w:r>
    </w:p>
    <w:p>
      <w:pPr>
        <w:pStyle w:val="Heading2"/>
      </w:pPr>
      <w:bookmarkStart w:id="5547" w:name="_Toc4649"/>
      <w:r>
        <w:t>طباطبائي تبريزي ، محمّد تقي بن محمّد</w:t>
      </w:r>
      <w:bookmarkEnd w:id="5547"/>
    </w:p>
    <w:p>
      <w:pPr>
        <w:pStyle w:val="BookText"/>
      </w:pPr>
      <w:r>
        <w:rPr>
          <w:rFonts w:ascii="IRNazanin" w:hAnsi="IRNazanin" w:eastAsia="IRNazanin" w:cs="IRNazanin"/>
          <w:lang w:bidi="fa-IR"/>
          <w:color w:val="111111"/>
          <w:sz w:val="28"/>
          <w:szCs w:val="28"/>
          <w:rtl/>
        </w:rPr>
        <w:t xml:space="preserve">باقر، - 1276 ه-</w:t>
      </w:r>
    </w:p>
    <w:p>
      <w:pPr>
        <w:pStyle w:val="BookText"/>
      </w:pPr>
      <w:r>
        <w:rPr>
          <w:rFonts w:ascii="Amiri" w:hAnsi="Amiri" w:eastAsia="Amiri" w:cs="Amiri"/>
          <w:lang w:bidi="ar-SA"/>
          <w:color w:val="111111"/>
          <w:sz w:val="28"/>
          <w:szCs w:val="28"/>
          <w:rtl/>
        </w:rPr>
        <w:t xml:space="preserve">الرسالة العملية، ج8، ص228.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90" w:name="pg7742_70683"/>
    <w:bookmarkEnd w:id="690"/>
    <w:p>
      <w:pPr>
        <w:pStyle w:val="BookText"/>
      </w:pPr>
      <w:r>
        <w:rPr>
          <w:rFonts w:ascii="Amiri" w:hAnsi="Amiri" w:eastAsia="Amiri" w:cs="Amiri"/>
          <w:lang w:bidi="ar-SA"/>
          <w:color w:val="111111"/>
          <w:sz w:val="28"/>
          <w:szCs w:val="28"/>
          <w:rtl/>
        </w:rPr>
        <w:t xml:space="preserve">طباطبائي تهراني ، محمّد حسن بن عبد الرحمن -طباطبائي بروجردي ، محمّد</w:t>
      </w:r>
    </w:p>
    <w:p>
      <w:pPr>
        <w:pStyle w:val="BookText"/>
      </w:pPr>
      <w:r>
        <w:rPr>
          <w:rFonts w:ascii="IRNazanin" w:hAnsi="IRNazanin" w:eastAsia="IRNazanin" w:cs="IRNazanin"/>
          <w:lang w:bidi="fa-IR"/>
          <w:color w:val="111111"/>
          <w:sz w:val="28"/>
          <w:szCs w:val="28"/>
          <w:rtl/>
        </w:rPr>
        <w:t xml:space="preserve">حسن بن عبدالرحمن</w:t>
      </w:r>
    </w:p>
    <w:p>
      <w:pPr>
        <w:pStyle w:val="BookText"/>
      </w:pPr>
      <w:r>
        <w:rPr>
          <w:rFonts w:ascii="Amiri" w:hAnsi="Amiri" w:eastAsia="Amiri" w:cs="Amiri"/>
          <w:lang w:bidi="ar-SA"/>
          <w:color w:val="111111"/>
          <w:sz w:val="28"/>
          <w:szCs w:val="28"/>
          <w:rtl/>
        </w:rPr>
        <w:t xml:space="preserve">طباطبائي ، جعفر بن محمّد -بحر العلوم</w:t>
      </w:r>
    </w:p>
    <w:p>
      <w:pPr>
        <w:pStyle w:val="BookText"/>
      </w:pPr>
      <w:r>
        <w:rPr>
          <w:rFonts w:ascii="IRNazanin" w:hAnsi="IRNazanin" w:eastAsia="IRNazanin" w:cs="IRNazanin"/>
          <w:lang w:bidi="fa-IR"/>
          <w:color w:val="111111"/>
          <w:sz w:val="28"/>
          <w:szCs w:val="28"/>
          <w:rtl/>
        </w:rPr>
        <w:t xml:space="preserve">جعفر بن محمّد باقر</w:t>
      </w:r>
    </w:p>
    <w:p>
      <w:pPr>
        <w:pStyle w:val="BookText"/>
      </w:pPr>
      <w:r>
        <w:rPr>
          <w:rFonts w:ascii="Amiri" w:hAnsi="Amiri" w:eastAsia="Amiri" w:cs="Amiri"/>
          <w:lang w:bidi="ar-SA"/>
          <w:color w:val="111111"/>
          <w:sz w:val="28"/>
          <w:szCs w:val="28"/>
          <w:rtl/>
        </w:rPr>
        <w:t xml:space="preserve">طباطبائي حائري ، محمّد بن علي- طباطبائي ، محمّد بن علي</w:t>
      </w:r>
    </w:p>
    <w:p>
      <w:pPr>
        <w:pStyle w:val="BookText"/>
      </w:pPr>
      <w:r>
        <w:rPr>
          <w:rFonts w:ascii="Amiri" w:hAnsi="Amiri" w:eastAsia="Amiri" w:cs="Amiri"/>
          <w:lang w:bidi="ar-SA"/>
          <w:color w:val="111111"/>
          <w:sz w:val="28"/>
          <w:szCs w:val="28"/>
          <w:rtl/>
        </w:rPr>
        <w:t xml:space="preserve">طباطبائي حايري ، علي -طباطبائي كربلائي ،</w:t>
      </w:r>
    </w:p>
    <w:p>
      <w:pPr>
        <w:pStyle w:val="BookText"/>
      </w:pPr>
      <w:r>
        <w:rPr>
          <w:rFonts w:ascii="Amiri" w:hAnsi="Amiri" w:eastAsia="Amiri" w:cs="Amiri"/>
          <w:lang w:bidi="ar-SA"/>
          <w:color w:val="111111"/>
          <w:sz w:val="28"/>
          <w:szCs w:val="28"/>
          <w:rtl/>
        </w:rPr>
        <w:t xml:space="preserve">علي بن محمّد علي</w:t>
      </w:r>
    </w:p>
    <w:p>
      <w:pPr>
        <w:pStyle w:val="Heading2"/>
      </w:pPr>
      <w:bookmarkStart w:id="5548" w:name="_Toc4650"/>
      <w:r>
        <w:t>طباطبائي ، حسن بن ابي طالب</w:t>
      </w:r>
      <w:bookmarkEnd w:id="5548"/>
    </w:p>
    <w:p>
      <w:pPr>
        <w:pStyle w:val="BookText"/>
      </w:pPr>
      <w:r>
        <w:rPr>
          <w:rFonts w:ascii="Amiri" w:hAnsi="Amiri" w:eastAsia="Amiri" w:cs="Amiri"/>
          <w:lang w:bidi="ar-SA"/>
          <w:color w:val="111111"/>
          <w:sz w:val="28"/>
          <w:szCs w:val="28"/>
          <w:rtl/>
        </w:rPr>
        <w:t xml:space="preserve">أصحاب الإجماع (رسالة في)، ج2،</w:t>
      </w:r>
    </w:p>
    <w:p>
      <w:pPr>
        <w:pStyle w:val="BookText"/>
      </w:pPr>
      <w:r>
        <w:rPr>
          <w:rFonts w:ascii="IRNazanin" w:hAnsi="IRNazanin" w:eastAsia="IRNazanin" w:cs="IRNazanin"/>
          <w:lang w:bidi="fa-IR"/>
          <w:color w:val="111111"/>
          <w:sz w:val="28"/>
          <w:szCs w:val="28"/>
          <w:rtl/>
        </w:rPr>
        <w:t xml:space="preserve">ص 361.</w:t>
      </w:r>
    </w:p>
    <w:p>
      <w:pPr>
        <w:pStyle w:val="Heading2"/>
      </w:pPr>
      <w:bookmarkStart w:id="5549" w:name="_Toc4651"/>
      <w:r>
        <w:t>طباطبائي ، حسن بن مرتضى</w:t>
      </w:r>
      <w:bookmarkEnd w:id="5549"/>
    </w:p>
    <w:p>
      <w:pPr>
        <w:pStyle w:val="BookText"/>
      </w:pPr>
      <w:r>
        <w:rPr>
          <w:rFonts w:ascii="Amiri" w:hAnsi="Amiri" w:eastAsia="Amiri" w:cs="Amiri"/>
          <w:lang w:bidi="ar-SA"/>
          <w:color w:val="111111"/>
          <w:sz w:val="28"/>
          <w:szCs w:val="28"/>
          <w:rtl/>
        </w:rPr>
        <w:t xml:space="preserve">1 .بديع المعاني، ج 3، ص279.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مدارج الوصول لمحب الوصول</w:t>
      </w:r>
    </w:p>
    <w:p>
      <w:pPr>
        <w:pStyle w:val="BookText"/>
      </w:pPr>
      <w:r>
        <w:rPr>
          <w:rFonts w:ascii="IRNazanin" w:hAnsi="IRNazanin" w:eastAsia="IRNazanin" w:cs="IRNazanin"/>
          <w:lang w:bidi="fa-IR"/>
          <w:color w:val="111111"/>
          <w:sz w:val="28"/>
          <w:szCs w:val="28"/>
          <w:rtl/>
        </w:rPr>
        <w:t xml:space="preserve">ج 14 ، ص 304.</w:t>
      </w:r>
    </w:p>
    <w:p>
      <w:pPr>
        <w:pStyle w:val="BookText"/>
      </w:pPr>
      <w:r>
        <w:rPr>
          <w:rFonts w:ascii="IRNazanin" w:hAnsi="IRNazanin" w:eastAsia="IRNazanin" w:cs="IRNazanin"/>
          <w:lang w:bidi="fa-IR"/>
          <w:color w:val="111111"/>
          <w:sz w:val="28"/>
          <w:szCs w:val="28"/>
          <w:rtl/>
        </w:rPr>
        <w:t xml:space="preserve">طباطبائي ، حسن نیاز بن محمّد -نیاز</w:t>
      </w:r>
    </w:p>
    <w:p>
      <w:pPr>
        <w:pStyle w:val="BookText"/>
      </w:pPr>
      <w:r>
        <w:rPr>
          <w:rFonts w:ascii="Amiri" w:hAnsi="Amiri" w:eastAsia="Amiri" w:cs="Amiri"/>
          <w:lang w:bidi="ar-SA"/>
          <w:color w:val="111111"/>
          <w:sz w:val="28"/>
          <w:szCs w:val="28"/>
          <w:rtl/>
        </w:rPr>
        <w:t xml:space="preserve">طباطبائي ، حسن بن محمّد</w:t>
      </w:r>
    </w:p>
    <w:p>
      <w:pPr>
        <w:pStyle w:val="BookText"/>
      </w:pPr>
      <w:r>
        <w:rPr>
          <w:rFonts w:ascii="Amiri" w:hAnsi="Amiri" w:eastAsia="Amiri" w:cs="Amiri"/>
          <w:lang w:bidi="ar-SA"/>
          <w:color w:val="111111"/>
          <w:sz w:val="28"/>
          <w:szCs w:val="28"/>
          <w:rtl/>
        </w:rPr>
        <w:t xml:space="preserve">طباطبائي ، حسين بن علي (مجمر )- مجمر</w:t>
      </w:r>
    </w:p>
    <w:p>
      <w:pPr>
        <w:pStyle w:val="BookText"/>
      </w:pPr>
      <w:r>
        <w:rPr>
          <w:rFonts w:ascii="Amiri" w:hAnsi="Amiri" w:eastAsia="Amiri" w:cs="Amiri"/>
          <w:lang w:bidi="ar-SA"/>
          <w:color w:val="111111"/>
          <w:sz w:val="28"/>
          <w:szCs w:val="28"/>
          <w:rtl/>
        </w:rPr>
        <w:t xml:space="preserve">، حسين بن علي</w:t>
      </w:r>
    </w:p>
    <w:p>
      <w:pPr>
        <w:pStyle w:val="BookText"/>
      </w:pPr>
      <w:r>
        <w:rPr>
          <w:rFonts w:ascii="Amiri" w:hAnsi="Amiri" w:eastAsia="Amiri" w:cs="Amiri"/>
          <w:lang w:bidi="ar-SA"/>
          <w:color w:val="111111"/>
          <w:sz w:val="28"/>
          <w:szCs w:val="28"/>
          <w:rtl/>
        </w:rPr>
        <w:t xml:space="preserve">طباطبائي ، حسين بن محمّد</w:t>
      </w:r>
    </w:p>
    <w:p>
      <w:pPr>
        <w:pStyle w:val="BookText"/>
      </w:pPr>
      <w:r>
        <w:rPr>
          <w:rFonts w:ascii="Amiri" w:hAnsi="Amiri" w:eastAsia="Amiri" w:cs="Amiri"/>
          <w:lang w:bidi="ar-SA"/>
          <w:color w:val="111111"/>
          <w:sz w:val="28"/>
          <w:szCs w:val="28"/>
          <w:rtl/>
        </w:rPr>
        <w:t xml:space="preserve">رضا -بحر العلوم بروجردي ، حسين بن محمّد</w:t>
      </w:r>
    </w:p>
    <w:p>
      <w:pPr>
        <w:pStyle w:val="BookText"/>
      </w:pPr>
      <w:r>
        <w:rPr>
          <w:rFonts w:ascii="IRNazanin" w:hAnsi="IRNazanin" w:eastAsia="IRNazanin" w:cs="IRNazanin"/>
          <w:lang w:bidi="fa-IR"/>
          <w:color w:val="111111"/>
          <w:sz w:val="28"/>
          <w:szCs w:val="28"/>
          <w:rtl/>
        </w:rPr>
        <w:t xml:space="preserve">رضا</w:t>
      </w:r>
    </w:p>
    <w:p>
      <w:pPr>
        <w:pStyle w:val="Heading2"/>
      </w:pPr>
      <w:bookmarkStart w:id="5550" w:name="_Toc4652"/>
      <w:r>
        <w:t>طباطبائي حكيم ، محسن بن مهدي</w:t>
      </w:r>
      <w:bookmarkEnd w:id="5550"/>
    </w:p>
    <w:p>
      <w:pPr>
        <w:pStyle w:val="BookText"/>
      </w:pPr>
      <w:r>
        <w:rPr>
          <w:rFonts w:ascii="IRNazanin" w:hAnsi="IRNazanin" w:eastAsia="IRNazanin" w:cs="IRNazanin"/>
          <w:lang w:bidi="fa-IR"/>
          <w:color w:val="111111"/>
          <w:sz w:val="28"/>
          <w:szCs w:val="28"/>
          <w:rtl/>
        </w:rPr>
        <w:t xml:space="preserve">1306 - 1390 ه-</w:t>
      </w:r>
    </w:p>
    <w:p>
      <w:pPr>
        <w:pStyle w:val="BookText"/>
      </w:pPr>
      <w:r>
        <w:rPr>
          <w:rFonts w:ascii="Amiri" w:hAnsi="Amiri" w:eastAsia="Amiri" w:cs="Amiri"/>
          <w:lang w:bidi="ar-SA"/>
          <w:color w:val="111111"/>
          <w:sz w:val="28"/>
          <w:szCs w:val="28"/>
          <w:rtl/>
        </w:rPr>
        <w:t xml:space="preserve">1 .إجازة للسيّد عبد الحسين</w:t>
      </w:r>
    </w:p>
    <w:p>
      <w:pPr>
        <w:pStyle w:val="BookText"/>
      </w:pPr>
      <w:r>
        <w:rPr>
          <w:rFonts w:ascii="Amiri" w:hAnsi="Amiri" w:eastAsia="Amiri" w:cs="Amiri"/>
          <w:lang w:bidi="ar-SA"/>
          <w:color w:val="111111"/>
          <w:sz w:val="28"/>
          <w:szCs w:val="28"/>
          <w:rtl/>
        </w:rPr>
        <w:t xml:space="preserve">النوروزي، ج 1، ص 250.</w:t>
      </w:r>
    </w:p>
    <w:p>
      <w:pPr>
        <w:pStyle w:val="BookText"/>
      </w:pPr>
      <w:r>
        <w:rPr>
          <w:rFonts w:ascii="Amiri" w:hAnsi="Amiri" w:eastAsia="Amiri" w:cs="Amiri"/>
          <w:lang w:bidi="ar-SA"/>
          <w:color w:val="111111"/>
          <w:sz w:val="28"/>
          <w:szCs w:val="28"/>
          <w:rtl/>
        </w:rPr>
        <w:t xml:space="preserve">2 .احكام سجدتي السهو، ج1، ص 471.</w:t>
      </w:r>
    </w:p>
    <w:p>
      <w:pPr>
        <w:pStyle w:val="BookText"/>
      </w:pPr>
      <w:r>
        <w:rPr>
          <w:rFonts w:ascii="Amiri" w:hAnsi="Amiri" w:eastAsia="Amiri" w:cs="Amiri"/>
          <w:lang w:bidi="ar-SA"/>
          <w:color w:val="111111"/>
          <w:sz w:val="28"/>
          <w:szCs w:val="28"/>
          <w:rtl/>
        </w:rPr>
        <w:t xml:space="preserve">3 .ارث الزوجة (رسالة في)، ج1،</w:t>
      </w:r>
    </w:p>
    <w:p>
      <w:pPr>
        <w:pStyle w:val="BookText"/>
      </w:pPr>
      <w:r>
        <w:rPr>
          <w:rFonts w:ascii="IRNazanin" w:hAnsi="IRNazanin" w:eastAsia="IRNazanin" w:cs="IRNazanin"/>
          <w:lang w:bidi="fa-IR"/>
          <w:color w:val="111111"/>
          <w:sz w:val="28"/>
          <w:szCs w:val="28"/>
          <w:rtl/>
        </w:rPr>
        <w:t xml:space="preserve">ص 756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بعض الفروع المتفرقة في الصلاة</w:t>
      </w:r>
    </w:p>
    <w:p>
      <w:pPr>
        <w:pStyle w:val="BookText"/>
      </w:pPr>
      <w:r>
        <w:rPr>
          <w:rFonts w:ascii="IRNazanin" w:hAnsi="IRNazanin" w:eastAsia="IRNazanin" w:cs="IRNazanin"/>
          <w:lang w:bidi="fa-IR"/>
          <w:color w:val="111111"/>
          <w:sz w:val="28"/>
          <w:szCs w:val="28"/>
          <w:rtl/>
        </w:rPr>
        <w:t xml:space="preserve">ج 3، ص 358.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تقريرات الشيخ ضياء الدين</w:t>
      </w:r>
    </w:p>
    <w:p>
      <w:pPr>
        <w:pStyle w:val="BookText"/>
      </w:pPr>
      <w:r>
        <w:rPr>
          <w:rFonts w:ascii="Amiri" w:hAnsi="Amiri" w:eastAsia="Amiri" w:cs="Amiri"/>
          <w:lang w:bidi="ar-SA"/>
          <w:color w:val="111111"/>
          <w:sz w:val="28"/>
          <w:szCs w:val="28"/>
          <w:rtl/>
        </w:rPr>
        <w:t xml:space="preserve">العراقي، ج4، ص758.</w:t>
      </w:r>
    </w:p>
    <w:p>
      <w:pPr>
        <w:pStyle w:val="BookText"/>
      </w:pPr>
      <w:r>
        <w:rPr>
          <w:rFonts w:ascii="Amiri" w:hAnsi="Amiri" w:eastAsia="Amiri" w:cs="Amiri"/>
          <w:lang w:bidi="ar-SA"/>
          <w:color w:val="111111"/>
          <w:sz w:val="28"/>
          <w:szCs w:val="28"/>
          <w:rtl/>
        </w:rPr>
        <w:t xml:space="preserve">6 .حاشية التبصرة، ج 5، ص 713.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حاشية الرياض، ج 5، ص 886.</w:t>
      </w:r>
    </w:p>
    <w:p>
      <w:pPr>
        <w:pStyle w:val="BookText"/>
      </w:pPr>
      <w:r>
        <w:rPr>
          <w:rFonts w:ascii="Amiri" w:hAnsi="Amiri" w:eastAsia="Amiri" w:cs="Amiri"/>
          <w:lang w:bidi="ar-SA"/>
          <w:color w:val="111111"/>
          <w:sz w:val="28"/>
          <w:szCs w:val="28"/>
          <w:rtl/>
        </w:rPr>
        <w:t xml:space="preserve">8 .حاشية العروة الوثقى، ج 6، ص230.</w:t>
      </w:r>
    </w:p>
    <w:p>
      <w:pPr>
        <w:pStyle w:val="BookText"/>
      </w:pPr>
      <w:r>
        <w:rPr>
          <w:rFonts w:ascii="Amiri" w:hAnsi="Amiri" w:eastAsia="Amiri" w:cs="Amiri"/>
          <w:lang w:bidi="ar-SA"/>
          <w:color w:val="111111"/>
          <w:sz w:val="28"/>
          <w:szCs w:val="28"/>
          <w:rtl/>
        </w:rPr>
        <w:t xml:space="preserve">9 .حاشية المكاسب، ج 6، ص 419.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حاشية تنبيهات دليل الأرشاد، ج5،</w:t>
      </w:r>
    </w:p>
    <w:p>
      <w:pPr>
        <w:pStyle w:val="BookText"/>
      </w:pPr>
      <w:r>
        <w:rPr>
          <w:rFonts w:ascii="IRNazanin" w:hAnsi="IRNazanin" w:eastAsia="IRNazanin" w:cs="IRNazanin"/>
          <w:lang w:bidi="fa-IR"/>
          <w:color w:val="111111"/>
          <w:sz w:val="28"/>
          <w:szCs w:val="28"/>
          <w:rtl/>
        </w:rPr>
        <w:t xml:space="preserve">ص 742 .</w:t>
      </w:r>
    </w:p>
    <w:p>
      <w:pPr>
        <w:pStyle w:val="BookText"/>
      </w:pPr>
      <w:r>
        <w:rPr>
          <w:rFonts w:ascii="Amiri" w:hAnsi="Amiri" w:eastAsia="Amiri" w:cs="Amiri"/>
          <w:lang w:bidi="ar-SA"/>
          <w:color w:val="111111"/>
          <w:sz w:val="28"/>
          <w:szCs w:val="28"/>
          <w:rtl/>
        </w:rPr>
        <w:t xml:space="preserve">11.حاشية كفاية الاصول، ج 6،</w:t>
      </w:r>
    </w:p>
    <w:p>
      <w:pPr>
        <w:pStyle w:val="BookText"/>
      </w:pPr>
      <w:r>
        <w:rPr>
          <w:rFonts w:ascii="IRNazanin" w:hAnsi="IRNazanin" w:eastAsia="IRNazanin" w:cs="IRNazanin"/>
          <w:lang w:bidi="fa-IR"/>
          <w:color w:val="111111"/>
          <w:sz w:val="28"/>
          <w:szCs w:val="28"/>
          <w:rtl/>
        </w:rPr>
        <w:t xml:space="preserve">ص 336.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حاشية نجاة العباد، ج 6 ، ص 435 .</w:t>
      </w:r>
    </w:p>
    <w:p>
      <w:pPr>
        <w:pStyle w:val="BookText"/>
      </w:pPr>
      <w:r>
        <w:rPr>
          <w:rFonts w:ascii="IRNazanin" w:hAnsi="IRNazanin" w:eastAsia="IRNazanin" w:cs="IRNazanin"/>
          <w:lang w:bidi="fa-IR"/>
          <w:color w:val="111111"/>
          <w:sz w:val="28"/>
          <w:szCs w:val="28"/>
          <w:rtl/>
        </w:rPr>
        <w:t xml:space="preserve">13 .حقائق الاصول، ج 6 ، ص 684 .</w:t>
      </w:r>
    </w:p>
    <w:p>
      <w:pPr>
        <w:pStyle w:val="BookText"/>
      </w:pPr>
      <w:r>
        <w:rPr>
          <w:rFonts w:ascii="Amiri" w:hAnsi="Amiri" w:eastAsia="Amiri" w:cs="Amiri"/>
          <w:lang w:bidi="ar-SA"/>
          <w:color w:val="111111"/>
          <w:sz w:val="28"/>
          <w:szCs w:val="28"/>
          <w:rtl/>
        </w:rPr>
        <w:t xml:space="preserve">14 .دليل الناسك، ج 7، ص 471.</w:t>
      </w:r>
    </w:p>
    <w:p>
      <w:pPr>
        <w:pStyle w:val="BookText"/>
      </w:pPr>
      <w:r>
        <w:rPr>
          <w:rFonts w:ascii="Amiri" w:hAnsi="Amiri" w:eastAsia="Amiri" w:cs="Amiri"/>
          <w:lang w:bidi="ar-SA"/>
          <w:color w:val="111111"/>
          <w:sz w:val="28"/>
          <w:szCs w:val="28"/>
          <w:rtl/>
        </w:rPr>
        <w:t xml:space="preserve">15 .روضة الافراح في شرح مراح</w:t>
      </w:r>
    </w:p>
    <w:p>
      <w:pPr>
        <w:pStyle w:val="BookText"/>
      </w:pPr>
      <w:r>
        <w:rPr>
          <w:rFonts w:ascii="IRNazanin" w:hAnsi="IRNazanin" w:eastAsia="IRNazanin" w:cs="IRNazanin"/>
          <w:lang w:bidi="fa-IR"/>
          <w:color w:val="111111"/>
          <w:sz w:val="28"/>
          <w:szCs w:val="28"/>
          <w:rtl/>
        </w:rPr>
        <w:t xml:space="preserve">الارواح، ج8، ص 404.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المختصر النافع، ج10،</w:t>
      </w:r>
    </w:p>
    <w:p>
      <w:pPr>
        <w:pStyle w:val="BookText"/>
      </w:pPr>
      <w:r>
        <w:rPr>
          <w:rFonts w:ascii="IRNazanin" w:hAnsi="IRNazanin" w:eastAsia="IRNazanin" w:cs="IRNazanin"/>
          <w:lang w:bidi="fa-IR"/>
          <w:color w:val="111111"/>
          <w:sz w:val="28"/>
          <w:szCs w:val="28"/>
          <w:rtl/>
        </w:rPr>
        <w:t xml:space="preserve">ص 127.</w:t>
      </w:r>
    </w:p>
    <w:p>
      <w:pPr>
        <w:pStyle w:val="BookText"/>
      </w:pPr>
      <w:r>
        <w:rPr>
          <w:rFonts w:ascii="Amiri" w:hAnsi="Amiri" w:eastAsia="Amiri" w:cs="Amiri"/>
          <w:lang w:bidi="ar-SA"/>
          <w:color w:val="111111"/>
          <w:sz w:val="28"/>
          <w:szCs w:val="28"/>
          <w:rtl/>
        </w:rPr>
        <w:t xml:space="preserve">17 .شرح تبصرة المتعلمين، ج9،</w:t>
      </w:r>
    </w:p>
    <w:p>
      <w:pPr>
        <w:pStyle w:val="BookText"/>
      </w:pPr>
      <w:r>
        <w:rPr>
          <w:rFonts w:ascii="IRNazanin" w:hAnsi="IRNazanin" w:eastAsia="IRNazanin" w:cs="IRNazanin"/>
          <w:lang w:bidi="fa-IR"/>
          <w:color w:val="111111"/>
          <w:sz w:val="28"/>
          <w:szCs w:val="28"/>
          <w:rtl/>
        </w:rPr>
        <w:t xml:space="preserve">ص 303.</w:t>
      </w:r>
    </w:p>
    <w:p>
      <w:pPr>
        <w:pStyle w:val="BookText"/>
      </w:pPr>
      <w:r>
        <w:rPr>
          <w:rFonts w:ascii="Amiri" w:hAnsi="Amiri" w:eastAsia="Amiri" w:cs="Amiri"/>
          <w:lang w:bidi="ar-SA"/>
          <w:color w:val="111111"/>
          <w:sz w:val="28"/>
          <w:szCs w:val="28"/>
          <w:rtl/>
        </w:rPr>
        <w:t xml:space="preserve">18 .علم الدراية (رسالة في)، ج11،</w:t>
      </w:r>
    </w:p>
    <w:p>
      <w:pPr>
        <w:pStyle w:val="BookText"/>
      </w:pPr>
      <w:r>
        <w:rPr>
          <w:rFonts w:ascii="IRNazanin" w:hAnsi="IRNazanin" w:eastAsia="IRNazanin" w:cs="IRNazanin"/>
          <w:lang w:bidi="fa-IR"/>
          <w:color w:val="111111"/>
          <w:sz w:val="28"/>
          <w:szCs w:val="28"/>
          <w:rtl/>
        </w:rPr>
        <w:t xml:space="preserve">ص 245 .</w:t>
      </w:r>
    </w:p>
    <w:p>
      <w:pPr>
        <w:pStyle w:val="BookText"/>
      </w:pPr>
      <w:r>
        <w:rPr>
          <w:rFonts w:ascii="Amiri" w:hAnsi="Amiri" w:eastAsia="Amiri" w:cs="Amiri"/>
          <w:lang w:bidi="ar-SA"/>
          <w:color w:val="111111"/>
          <w:sz w:val="28"/>
          <w:szCs w:val="28"/>
          <w:rtl/>
        </w:rPr>
        <w:t xml:space="preserve">19 .مستمسك العروة الوثقى، ج 14 ،</w:t>
      </w:r>
    </w:p>
    <w:p>
      <w:pPr>
        <w:pStyle w:val="BookText"/>
      </w:pPr>
      <w:r>
        <w:rPr>
          <w:rFonts w:ascii="IRNazanin" w:hAnsi="IRNazanin" w:eastAsia="IRNazanin" w:cs="IRNazanin"/>
          <w:lang w:bidi="fa-IR"/>
          <w:color w:val="111111"/>
          <w:sz w:val="28"/>
          <w:szCs w:val="28"/>
          <w:rtl/>
        </w:rPr>
        <w:t xml:space="preserve">ص 565 .</w:t>
      </w:r>
    </w:p>
    <w:p>
      <w:pPr>
        <w:pStyle w:val="BookText"/>
      </w:pPr>
      <w:r>
        <w:rPr>
          <w:rFonts w:ascii="Amiri" w:hAnsi="Amiri" w:eastAsia="Amiri" w:cs="Amiri"/>
          <w:lang w:bidi="ar-SA"/>
          <w:color w:val="111111"/>
          <w:sz w:val="28"/>
          <w:szCs w:val="28"/>
          <w:rtl/>
        </w:rPr>
        <w:t xml:space="preserve">20 .نهج الفقاهة، ج 16، ص 530.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91" w:name="pg7742_70684"/>
    <w:bookmarkEnd w:id="691"/>
    <w:p>
      <w:pPr>
        <w:pStyle w:val="Heading2"/>
      </w:pPr>
      <w:bookmarkStart w:id="5551" w:name="_Toc4653"/>
      <w:r>
        <w:t>طباطبائي حكيم ، مهدي</w:t>
      </w:r>
      <w:bookmarkEnd w:id="5551"/>
    </w:p>
    <w:p>
      <w:pPr>
        <w:pStyle w:val="BookText"/>
      </w:pPr>
      <w:r>
        <w:rPr>
          <w:rFonts w:ascii="Amiri" w:hAnsi="Amiri" w:eastAsia="Amiri" w:cs="Amiri"/>
          <w:lang w:bidi="ar-SA"/>
          <w:color w:val="111111"/>
          <w:sz w:val="28"/>
          <w:szCs w:val="28"/>
          <w:rtl/>
        </w:rPr>
        <w:t xml:space="preserve">معارف الأحكام، ج 14، ص 844.</w:t>
      </w:r>
    </w:p>
    <w:p>
      <w:pPr>
        <w:pStyle w:val="Heading2"/>
      </w:pPr>
      <w:bookmarkStart w:id="5552" w:name="_Toc4654"/>
      <w:r>
        <w:t>طباطبائي ، رضا بن محمّد علي</w:t>
      </w:r>
      <w:bookmarkEnd w:id="5552"/>
    </w:p>
    <w:p>
      <w:pPr>
        <w:pStyle w:val="BookText"/>
      </w:pPr>
      <w:r>
        <w:rPr>
          <w:rFonts w:ascii="IRNazanin" w:hAnsi="IRNazanin" w:eastAsia="IRNazanin" w:cs="IRNazanin"/>
          <w:lang w:bidi="fa-IR"/>
          <w:color w:val="111111"/>
          <w:sz w:val="28"/>
          <w:szCs w:val="28"/>
          <w:rtl/>
        </w:rPr>
        <w:t xml:space="preserve">شرح الشرائع، ج9، ص 622 .</w:t>
      </w:r>
    </w:p>
    <w:p>
      <w:pPr>
        <w:pStyle w:val="BookText"/>
      </w:pPr>
      <w:r>
        <w:rPr>
          <w:rFonts w:ascii="Amiri" w:hAnsi="Amiri" w:eastAsia="Amiri" w:cs="Amiri"/>
          <w:lang w:bidi="ar-SA"/>
          <w:color w:val="111111"/>
          <w:sz w:val="28"/>
          <w:szCs w:val="28"/>
          <w:rtl/>
        </w:rPr>
        <w:t xml:space="preserve">طباطبائي، زين العابدين- طباطبائي ، زين</w:t>
      </w:r>
    </w:p>
    <w:p>
      <w:pPr>
        <w:pStyle w:val="BookText"/>
      </w:pPr>
      <w:r>
        <w:rPr>
          <w:rFonts w:ascii="Amiri" w:hAnsi="Amiri" w:eastAsia="Amiri" w:cs="Amiri"/>
          <w:lang w:bidi="ar-SA"/>
          <w:color w:val="111111"/>
          <w:sz w:val="28"/>
          <w:szCs w:val="28"/>
          <w:rtl/>
        </w:rPr>
        <w:t xml:space="preserve">العابدين بن محمّد</w:t>
      </w:r>
    </w:p>
    <w:p>
      <w:pPr>
        <w:pStyle w:val="Heading2"/>
      </w:pPr>
      <w:bookmarkStart w:id="5553" w:name="_Toc4655"/>
      <w:r>
        <w:t>طباطبائي، زين العابدين بن حسين</w:t>
      </w:r>
      <w:bookmarkEnd w:id="5553"/>
    </w:p>
    <w:p>
      <w:pPr>
        <w:pStyle w:val="BookText"/>
      </w:pPr>
      <w:r>
        <w:rPr>
          <w:rFonts w:ascii="IRNazanin" w:hAnsi="IRNazanin" w:eastAsia="IRNazanin" w:cs="IRNazanin"/>
          <w:lang w:bidi="fa-IR"/>
          <w:color w:val="111111"/>
          <w:sz w:val="28"/>
          <w:szCs w:val="28"/>
          <w:rtl/>
        </w:rPr>
        <w:t xml:space="preserve">1 .رسائل، ج8، ص128.</w:t>
      </w:r>
    </w:p>
    <w:p>
      <w:pPr>
        <w:pStyle w:val="BookText"/>
      </w:pPr>
      <w:r>
        <w:rPr>
          <w:rFonts w:ascii="IRNazanin" w:hAnsi="IRNazanin" w:eastAsia="IRNazanin" w:cs="IRNazanin"/>
          <w:lang w:bidi="fa-IR"/>
          <w:color w:val="111111"/>
          <w:sz w:val="28"/>
          <w:szCs w:val="28"/>
          <w:rtl/>
        </w:rPr>
        <w:t xml:space="preserve">2.الفقه، ج12، ص54.</w:t>
      </w:r>
    </w:p>
    <w:p>
      <w:pPr>
        <w:pStyle w:val="BookText"/>
      </w:pPr>
      <w:r>
        <w:rPr>
          <w:rFonts w:ascii="Amiri" w:hAnsi="Amiri" w:eastAsia="Amiri" w:cs="Amiri"/>
          <w:lang w:bidi="ar-SA"/>
          <w:color w:val="111111"/>
          <w:sz w:val="28"/>
          <w:szCs w:val="28"/>
          <w:rtl/>
        </w:rPr>
        <w:t xml:space="preserve">3 .المصابيح، ج 14 ، ص 660 .</w:t>
      </w:r>
    </w:p>
    <w:p>
      <w:pPr>
        <w:pStyle w:val="BookText"/>
      </w:pPr>
      <w:r>
        <w:rPr>
          <w:rFonts w:ascii="IRNazanin" w:hAnsi="IRNazanin" w:eastAsia="IRNazanin" w:cs="IRNazanin"/>
          <w:lang w:bidi="fa-IR"/>
          <w:color w:val="111111"/>
          <w:sz w:val="28"/>
          <w:szCs w:val="28"/>
          <w:rtl/>
        </w:rPr>
        <w:t xml:space="preserve">4 .مناهج الأصول، ج 15، ص 564.</w:t>
      </w:r>
    </w:p>
    <w:p>
      <w:pPr>
        <w:pStyle w:val="Heading2"/>
      </w:pPr>
      <w:bookmarkStart w:id="5554" w:name="_Toc4656"/>
      <w:r>
        <w:t>طباطبائي، زين العابدين بن محمّد قرن</w:t>
      </w:r>
      <w:bookmarkEnd w:id="5554"/>
    </w:p>
    <w:p>
      <w:pPr>
        <w:pStyle w:val="BookText"/>
      </w:pPr>
      <w:r>
        <w:rPr>
          <w:rFonts w:ascii="IRNazanin" w:hAnsi="IRNazanin" w:eastAsia="IRNazanin" w:cs="IRNazanin"/>
          <w:lang w:bidi="fa-IR"/>
          <w:color w:val="111111"/>
          <w:sz w:val="28"/>
          <w:szCs w:val="28"/>
          <w:rtl/>
        </w:rPr>
        <w:t xml:space="preserve">13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أصول الفقه، ج 2، ص 435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قواعد أصولية، ج 12، ص788.</w:t>
      </w:r>
    </w:p>
    <w:p>
      <w:pPr>
        <w:pStyle w:val="BookText"/>
      </w:pPr>
      <w:r>
        <w:rPr>
          <w:rFonts w:ascii="Amiri" w:hAnsi="Amiri" w:eastAsia="Amiri" w:cs="Amiri"/>
          <w:lang w:bidi="ar-SA"/>
          <w:color w:val="111111"/>
          <w:sz w:val="28"/>
          <w:szCs w:val="28"/>
          <w:rtl/>
        </w:rPr>
        <w:t xml:space="preserve">طباطبائي ، سيّد محمّد مجاهد -طباطبائي</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طباطبائي شيرازي ، محمّد اشرف - حسيني</w:t>
      </w:r>
    </w:p>
    <w:p>
      <w:pPr>
        <w:pStyle w:val="BookText"/>
      </w:pPr>
      <w:r>
        <w:rPr>
          <w:rFonts w:ascii="Amiri" w:hAnsi="Amiri" w:eastAsia="Amiri" w:cs="Amiri"/>
          <w:lang w:bidi="ar-SA"/>
          <w:color w:val="111111"/>
          <w:sz w:val="28"/>
          <w:szCs w:val="28"/>
          <w:rtl/>
        </w:rPr>
        <w:t xml:space="preserve">طباطبائي ، محمد اشرف بن حبيب الله</w:t>
      </w:r>
    </w:p>
    <w:p>
      <w:pPr>
        <w:pStyle w:val="Heading2"/>
      </w:pPr>
      <w:bookmarkStart w:id="5555" w:name="_Toc4657"/>
      <w:r>
        <w:t>طباطبائي، ضیاء الدین بن عبدالله</w:t>
      </w:r>
      <w:bookmarkEnd w:id="5555"/>
    </w:p>
    <w:p>
      <w:pPr>
        <w:pStyle w:val="BookText"/>
      </w:pPr>
      <w:r>
        <w:rPr>
          <w:rFonts w:ascii="Amiri" w:hAnsi="Amiri" w:eastAsia="Amiri" w:cs="Amiri"/>
          <w:lang w:bidi="ar-SA"/>
          <w:color w:val="111111"/>
          <w:sz w:val="28"/>
          <w:szCs w:val="28"/>
          <w:rtl/>
        </w:rPr>
        <w:t xml:space="preserve">قصيدة الطباطبائي، ج 12، ص 681 .</w:t>
      </w:r>
    </w:p>
    <w:p>
      <w:pPr>
        <w:pStyle w:val="Heading2"/>
      </w:pPr>
      <w:bookmarkStart w:id="5556" w:name="_Toc4658"/>
      <w:r>
        <w:t>طباطبائي ، عبد الجليل بن ياسين، 1190 -</w:t>
      </w:r>
      <w:bookmarkEnd w:id="5556"/>
    </w:p>
    <w:p>
      <w:pPr>
        <w:pStyle w:val="BookText"/>
      </w:pPr>
      <w:r>
        <w:rPr>
          <w:rFonts w:ascii="IRNazanin" w:hAnsi="IRNazanin" w:eastAsia="IRNazanin" w:cs="IRNazanin"/>
          <w:lang w:bidi="fa-IR"/>
          <w:color w:val="111111"/>
          <w:sz w:val="28"/>
          <w:szCs w:val="28"/>
          <w:rtl/>
        </w:rPr>
        <w:t xml:space="preserve">1270ه-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ارجوزة، ج 1، ص 761 .</w:t>
      </w:r>
    </w:p>
    <w:p>
      <w:pPr>
        <w:pStyle w:val="BookText"/>
      </w:pPr>
      <w:r>
        <w:rPr>
          <w:rFonts w:ascii="Amiri" w:hAnsi="Amiri" w:eastAsia="Amiri" w:cs="Amiri"/>
          <w:lang w:bidi="ar-SA"/>
          <w:color w:val="111111"/>
          <w:sz w:val="28"/>
          <w:szCs w:val="28"/>
          <w:rtl/>
        </w:rPr>
        <w:t xml:space="preserve">2.تخميس القصيدة الهمزية، جع،</w:t>
      </w:r>
    </w:p>
    <w:p>
      <w:pPr>
        <w:pStyle w:val="BookText"/>
      </w:pPr>
      <w:r>
        <w:rPr>
          <w:rFonts w:ascii="IRNazanin" w:hAnsi="IRNazanin" w:eastAsia="IRNazanin" w:cs="IRNazanin"/>
          <w:lang w:bidi="fa-IR"/>
          <w:color w:val="111111"/>
          <w:sz w:val="28"/>
          <w:szCs w:val="28"/>
          <w:rtl/>
        </w:rPr>
        <w:t xml:space="preserve">ص 146.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البصري، ج7، ص 591.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شرح القصائد المعلقات السبع، ج9،</w:t>
      </w:r>
    </w:p>
    <w:p>
      <w:pPr>
        <w:pStyle w:val="BookText"/>
      </w:pPr>
      <w:r>
        <w:rPr>
          <w:rFonts w:ascii="IRNazanin" w:hAnsi="IRNazanin" w:eastAsia="IRNazanin" w:cs="IRNazanin"/>
          <w:lang w:bidi="fa-IR"/>
          <w:color w:val="111111"/>
          <w:sz w:val="28"/>
          <w:szCs w:val="28"/>
          <w:rtl/>
        </w:rPr>
        <w:t xml:space="preserve">ص 829.</w:t>
      </w:r>
    </w:p>
    <w:p>
      <w:pPr>
        <w:pStyle w:val="BookText"/>
      </w:pPr>
      <w:r>
        <w:rPr>
          <w:rFonts w:ascii="Amiri" w:hAnsi="Amiri" w:eastAsia="Amiri" w:cs="Amiri"/>
          <w:lang w:bidi="ar-SA"/>
          <w:color w:val="111111"/>
          <w:sz w:val="28"/>
          <w:szCs w:val="28"/>
          <w:rtl/>
        </w:rPr>
        <w:t xml:space="preserve">5 .قصيدة في الدولة العثمانية، ج 12،</w:t>
      </w:r>
    </w:p>
    <w:p>
      <w:pPr>
        <w:pStyle w:val="BookText"/>
      </w:pPr>
      <w:r>
        <w:rPr>
          <w:rFonts w:ascii="IRNazanin" w:hAnsi="IRNazanin" w:eastAsia="IRNazanin" w:cs="IRNazanin"/>
          <w:lang w:bidi="fa-IR"/>
          <w:color w:val="111111"/>
          <w:sz w:val="28"/>
          <w:szCs w:val="28"/>
          <w:rtl/>
        </w:rPr>
        <w:t xml:space="preserve">ص 692.</w:t>
      </w:r>
    </w:p>
    <w:p>
      <w:pPr>
        <w:pStyle w:val="BookText"/>
      </w:pPr>
      <w:r>
        <w:rPr>
          <w:rFonts w:ascii="IRNazanin" w:hAnsi="IRNazanin" w:eastAsia="IRNazanin" w:cs="IRNazanin"/>
          <w:lang w:bidi="fa-IR"/>
          <w:color w:val="111111"/>
          <w:sz w:val="28"/>
          <w:szCs w:val="28"/>
          <w:rtl/>
        </w:rPr>
        <w:t xml:space="preserve">6 .قصيدة في مدح الرسول صل الله علیه و آله و سلم، ج 12، ص 697.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هداية الأكارم للمكارم، ج 16،</w:t>
      </w:r>
    </w:p>
    <w:p>
      <w:pPr>
        <w:pStyle w:val="BookText"/>
      </w:pPr>
      <w:r>
        <w:rPr>
          <w:rFonts w:ascii="IRNazanin" w:hAnsi="IRNazanin" w:eastAsia="IRNazanin" w:cs="IRNazanin"/>
          <w:lang w:bidi="fa-IR"/>
          <w:color w:val="111111"/>
          <w:sz w:val="28"/>
          <w:szCs w:val="28"/>
          <w:rtl/>
        </w:rPr>
        <w:t xml:space="preserve">ص 597.</w:t>
      </w:r>
    </w:p>
    <w:p>
      <w:pPr>
        <w:pStyle w:val="BookText"/>
      </w:pPr>
      <w:r>
        <w:rPr>
          <w:rFonts w:ascii="Amiri" w:hAnsi="Amiri" w:eastAsia="Amiri" w:cs="Amiri"/>
          <w:lang w:bidi="ar-SA"/>
          <w:color w:val="111111"/>
          <w:sz w:val="28"/>
          <w:szCs w:val="28"/>
          <w:rtl/>
        </w:rPr>
        <w:t xml:space="preserve">طباطبائي ، عبد العزيز -طباطبائي يزدي ،</w:t>
      </w:r>
    </w:p>
    <w:p>
      <w:pPr>
        <w:pStyle w:val="BookText"/>
      </w:pPr>
      <w:r>
        <w:rPr>
          <w:rFonts w:ascii="Amiri" w:hAnsi="Amiri" w:eastAsia="Amiri" w:cs="Amiri"/>
          <w:lang w:bidi="ar-SA"/>
          <w:color w:val="111111"/>
          <w:sz w:val="28"/>
          <w:szCs w:val="28"/>
          <w:rtl/>
        </w:rPr>
        <w:t xml:space="preserve">عبدالعزيز بن جواد</w:t>
      </w:r>
    </w:p>
    <w:p>
      <w:pPr>
        <w:pStyle w:val="BookText"/>
      </w:pPr>
      <w:r>
        <w:rPr>
          <w:rFonts w:ascii="Amiri" w:hAnsi="Amiri" w:eastAsia="Amiri" w:cs="Amiri"/>
          <w:lang w:bidi="ar-SA"/>
          <w:color w:val="111111"/>
          <w:sz w:val="28"/>
          <w:szCs w:val="28"/>
          <w:rtl/>
        </w:rPr>
        <w:t xml:space="preserve">طباطبائي ، عبدالله بن ابي تراب -حسيني ،</w:t>
      </w:r>
    </w:p>
    <w:p>
      <w:pPr>
        <w:pStyle w:val="BookText"/>
      </w:pPr>
      <w:r>
        <w:rPr>
          <w:rFonts w:ascii="Amiri" w:hAnsi="Amiri" w:eastAsia="Amiri" w:cs="Amiri"/>
          <w:lang w:bidi="ar-SA"/>
          <w:color w:val="111111"/>
          <w:sz w:val="28"/>
          <w:szCs w:val="28"/>
          <w:rtl/>
        </w:rPr>
        <w:t xml:space="preserve">عبدالله بن ابي تراب</w:t>
      </w:r>
    </w:p>
    <w:p>
      <w:pPr>
        <w:pStyle w:val="Heading2"/>
      </w:pPr>
      <w:bookmarkStart w:id="5557" w:name="_Toc4659"/>
      <w:r>
        <w:t>طباطبائي ، علي</w:t>
      </w:r>
      <w:bookmarkEnd w:id="5557"/>
    </w:p>
    <w:p>
      <w:pPr>
        <w:pStyle w:val="BookText"/>
      </w:pPr>
      <w:r>
        <w:rPr>
          <w:rFonts w:ascii="Amiri" w:hAnsi="Amiri" w:eastAsia="Amiri" w:cs="Amiri"/>
          <w:lang w:bidi="ar-SA"/>
          <w:color w:val="111111"/>
          <w:sz w:val="28"/>
          <w:szCs w:val="28"/>
          <w:rtl/>
        </w:rPr>
        <w:t xml:space="preserve">حاشية على المقدمة الثالثة من</w:t>
      </w:r>
    </w:p>
    <w:p>
      <w:pPr>
        <w:pStyle w:val="BookText"/>
      </w:pPr>
      <w:r>
        <w:rPr>
          <w:rFonts w:ascii="Amiri" w:hAnsi="Amiri" w:eastAsia="Amiri" w:cs="Amiri"/>
          <w:lang w:bidi="ar-SA"/>
          <w:color w:val="111111"/>
          <w:sz w:val="28"/>
          <w:szCs w:val="28"/>
          <w:rtl/>
        </w:rPr>
        <w:t xml:space="preserve">مقدمات دليل الانسداد، ج1، ص 255.</w:t>
      </w:r>
    </w:p>
    <w:p>
      <w:pPr>
        <w:pStyle w:val="BookText"/>
      </w:pPr>
      <w:r>
        <w:rPr>
          <w:rFonts w:ascii="Amiri" w:hAnsi="Amiri" w:eastAsia="Amiri" w:cs="Amiri"/>
          <w:lang w:bidi="ar-SA"/>
          <w:color w:val="111111"/>
          <w:sz w:val="28"/>
          <w:szCs w:val="28"/>
          <w:rtl/>
        </w:rPr>
        <w:t xml:space="preserve">طباطبائي ، علي بن محمّد رضا -بحر العلوم ، علي بن محمّد رضا</w:t>
      </w:r>
    </w:p>
    <w:p>
      <w:pPr>
        <w:pStyle w:val="BookText"/>
      </w:pPr>
      <w:r>
        <w:rPr>
          <w:rFonts w:ascii="Amiri" w:hAnsi="Amiri" w:eastAsia="Amiri" w:cs="Amiri"/>
          <w:lang w:bidi="ar-SA"/>
          <w:color w:val="111111"/>
          <w:sz w:val="28"/>
          <w:szCs w:val="28"/>
          <w:rtl/>
        </w:rPr>
        <w:t xml:space="preserve">طباطبائي ، علي بن محمّد علي- طباطبائي</w:t>
      </w:r>
    </w:p>
    <w:p>
      <w:pPr>
        <w:pStyle w:val="BookText"/>
      </w:pPr>
      <w:r>
        <w:rPr>
          <w:rFonts w:ascii="Amiri" w:hAnsi="Amiri" w:eastAsia="Amiri" w:cs="Amiri"/>
          <w:lang w:bidi="ar-SA"/>
          <w:color w:val="111111"/>
          <w:sz w:val="28"/>
          <w:szCs w:val="28"/>
          <w:rtl/>
        </w:rPr>
        <w:t xml:space="preserve">كربلائي ، علي بن محمّد علي</w:t>
      </w:r>
    </w:p>
    <w:p>
      <w:pPr>
        <w:pStyle w:val="Heading2"/>
      </w:pPr>
      <w:bookmarkStart w:id="5558" w:name="_Toc4660"/>
      <w:r>
        <w:t>طباطبائي ، علي بن مراد</w:t>
      </w:r>
      <w:bookmarkEnd w:id="5558"/>
    </w:p>
    <w:p>
      <w:pPr>
        <w:pStyle w:val="BookText"/>
      </w:pPr>
      <w:r>
        <w:rPr>
          <w:rFonts w:ascii="Amiri" w:hAnsi="Amiri" w:eastAsia="Amiri" w:cs="Amiri"/>
          <w:lang w:bidi="ar-SA"/>
          <w:color w:val="111111"/>
          <w:sz w:val="28"/>
          <w:szCs w:val="28"/>
          <w:rtl/>
        </w:rPr>
        <w:t xml:space="preserve">المجربات الطبية، ج13، ص 812.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92" w:name="pg7742_70685"/>
    <w:bookmarkEnd w:id="692"/>
    <w:p>
      <w:pPr>
        <w:pStyle w:val="Heading2"/>
      </w:pPr>
      <w:bookmarkStart w:id="5559" w:name="_Toc4661"/>
      <w:r>
        <w:t>طباطبائي، علي نقي بن جواد 1188 -</w:t>
      </w:r>
      <w:bookmarkEnd w:id="5559"/>
    </w:p>
    <w:p>
      <w:pPr>
        <w:pStyle w:val="BookText"/>
      </w:pPr>
      <w:r>
        <w:rPr>
          <w:rFonts w:ascii="IRNazanin" w:hAnsi="IRNazanin" w:eastAsia="IRNazanin" w:cs="IRNazanin"/>
          <w:lang w:bidi="fa-IR"/>
          <w:color w:val="111111"/>
          <w:sz w:val="28"/>
          <w:szCs w:val="28"/>
          <w:rtl/>
        </w:rPr>
        <w:t xml:space="preserve">1249ه-</w:t>
      </w:r>
    </w:p>
    <w:p>
      <w:pPr>
        <w:pStyle w:val="BookText"/>
      </w:pPr>
      <w:r>
        <w:rPr>
          <w:rFonts w:ascii="Amiri" w:hAnsi="Amiri" w:eastAsia="Amiri" w:cs="Amiri"/>
          <w:lang w:bidi="ar-SA"/>
          <w:color w:val="111111"/>
          <w:sz w:val="28"/>
          <w:szCs w:val="28"/>
          <w:rtl/>
        </w:rPr>
        <w:t xml:space="preserve">حاشية القوانين المحكمة، ج6، ص 314.</w:t>
      </w:r>
    </w:p>
    <w:p>
      <w:pPr>
        <w:pStyle w:val="BookText"/>
      </w:pPr>
      <w:r>
        <w:rPr>
          <w:rFonts w:ascii="Amiri" w:hAnsi="Amiri" w:eastAsia="Amiri" w:cs="Amiri"/>
          <w:lang w:bidi="ar-SA"/>
          <w:color w:val="111111"/>
          <w:sz w:val="28"/>
          <w:szCs w:val="28"/>
          <w:rtl/>
        </w:rPr>
        <w:t xml:space="preserve">طباطبائي، علي نقي بن حسن -حائري ،</w:t>
      </w:r>
    </w:p>
    <w:p>
      <w:pPr>
        <w:pStyle w:val="BookText"/>
      </w:pPr>
      <w:r>
        <w:rPr>
          <w:rFonts w:ascii="Amiri" w:hAnsi="Amiri" w:eastAsia="Amiri" w:cs="Amiri"/>
          <w:lang w:bidi="ar-SA"/>
          <w:color w:val="111111"/>
          <w:sz w:val="28"/>
          <w:szCs w:val="28"/>
          <w:rtl/>
        </w:rPr>
        <w:t xml:space="preserve">علي نقي بن حسن</w:t>
      </w:r>
    </w:p>
    <w:p>
      <w:pPr>
        <w:pStyle w:val="Heading2"/>
      </w:pPr>
      <w:bookmarkStart w:id="5560" w:name="_Toc4662"/>
      <w:r>
        <w:t>طباطبائي كربلائي ، علي بن محمّد علي</w:t>
      </w:r>
      <w:bookmarkEnd w:id="5560"/>
    </w:p>
    <w:p>
      <w:pPr>
        <w:pStyle w:val="BookText"/>
      </w:pPr>
      <w:r>
        <w:rPr>
          <w:rFonts w:ascii="IRNazanin" w:hAnsi="IRNazanin" w:eastAsia="IRNazanin" w:cs="IRNazanin"/>
          <w:lang w:bidi="fa-IR"/>
          <w:color w:val="111111"/>
          <w:sz w:val="28"/>
          <w:szCs w:val="28"/>
          <w:rtl/>
        </w:rPr>
        <w:t xml:space="preserve">1161 - 131ه-</w:t>
      </w:r>
    </w:p>
    <w:p>
      <w:pPr>
        <w:pStyle w:val="BookText"/>
      </w:pPr>
      <w:r>
        <w:rPr>
          <w:rFonts w:ascii="Amiri" w:hAnsi="Amiri" w:eastAsia="Amiri" w:cs="Amiri"/>
          <w:lang w:bidi="ar-SA"/>
          <w:color w:val="111111"/>
          <w:sz w:val="28"/>
          <w:szCs w:val="28"/>
          <w:rtl/>
        </w:rPr>
        <w:t xml:space="preserve">1 .إجازة لمحمّد جعفر الإسترابادي الشهير بشريعتمدار، ج 1، ص 284</w:t>
      </w:r>
    </w:p>
    <w:p>
      <w:pPr>
        <w:pStyle w:val="BookText"/>
      </w:pPr>
      <w:r>
        <w:rPr>
          <w:rFonts w:ascii="Amiri" w:hAnsi="Amiri" w:eastAsia="Amiri" w:cs="Amiri"/>
          <w:lang w:bidi="ar-SA"/>
          <w:color w:val="111111"/>
          <w:sz w:val="28"/>
          <w:szCs w:val="28"/>
          <w:rtl/>
        </w:rPr>
        <w:t xml:space="preserve">2 .اجتماع الامر والنهي = استحالة اجتماع الامر والنهي، ج 1، ص 295 .</w:t>
      </w:r>
    </w:p>
    <w:p>
      <w:pPr>
        <w:pStyle w:val="BookText"/>
      </w:pPr>
      <w:r>
        <w:rPr>
          <w:rFonts w:ascii="Amiri" w:hAnsi="Amiri" w:eastAsia="Amiri" w:cs="Amiri"/>
          <w:lang w:bidi="ar-SA"/>
          <w:color w:val="111111"/>
          <w:sz w:val="28"/>
          <w:szCs w:val="28"/>
          <w:rtl/>
        </w:rPr>
        <w:t xml:space="preserve">3.الاجتماع (رسالة في)، ج 1، ص 294 .</w:t>
      </w:r>
    </w:p>
    <w:p>
      <w:pPr>
        <w:pStyle w:val="BookText"/>
      </w:pPr>
      <w:r>
        <w:rPr>
          <w:rFonts w:ascii="IRNazanin" w:hAnsi="IRNazanin" w:eastAsia="IRNazanin" w:cs="IRNazanin"/>
          <w:lang w:bidi="fa-IR"/>
          <w:color w:val="111111"/>
          <w:sz w:val="28"/>
          <w:szCs w:val="28"/>
          <w:rtl/>
        </w:rPr>
        <w:t xml:space="preserve">4 .الاجماع و الاستصحاب، ج1،</w:t>
      </w:r>
    </w:p>
    <w:p>
      <w:pPr>
        <w:pStyle w:val="BookText"/>
      </w:pPr>
      <w:r>
        <w:rPr>
          <w:rFonts w:ascii="IRNazanin" w:hAnsi="IRNazanin" w:eastAsia="IRNazanin" w:cs="IRNazanin"/>
          <w:lang w:bidi="fa-IR"/>
          <w:color w:val="111111"/>
          <w:sz w:val="28"/>
          <w:szCs w:val="28"/>
          <w:rtl/>
        </w:rPr>
        <w:t xml:space="preserve">ص 315.</w:t>
      </w:r>
    </w:p>
    <w:p>
      <w:pPr>
        <w:pStyle w:val="BookText"/>
      </w:pPr>
      <w:r>
        <w:rPr>
          <w:rFonts w:ascii="Amiri" w:hAnsi="Amiri" w:eastAsia="Amiri" w:cs="Amiri"/>
          <w:lang w:bidi="ar-SA"/>
          <w:color w:val="111111"/>
          <w:sz w:val="28"/>
          <w:szCs w:val="28"/>
          <w:rtl/>
        </w:rPr>
        <w:t xml:space="preserve">5 .احكام الخلل، ج 1، ص 467 .</w:t>
      </w:r>
    </w:p>
    <w:p>
      <w:pPr>
        <w:pStyle w:val="BookText"/>
      </w:pPr>
      <w:r>
        <w:rPr>
          <w:rFonts w:ascii="Amiri" w:hAnsi="Amiri" w:eastAsia="Amiri" w:cs="Amiri"/>
          <w:lang w:bidi="ar-SA"/>
          <w:color w:val="111111"/>
          <w:sz w:val="28"/>
          <w:szCs w:val="28"/>
          <w:rtl/>
        </w:rPr>
        <w:t xml:space="preserve">6 .أصول الدين، ج2، ص 415.</w:t>
      </w:r>
    </w:p>
    <w:p>
      <w:pPr>
        <w:pStyle w:val="BookText"/>
      </w:pPr>
      <w:r>
        <w:rPr>
          <w:rFonts w:ascii="Amiri" w:hAnsi="Amiri" w:eastAsia="Amiri" w:cs="Amiri"/>
          <w:lang w:bidi="ar-SA"/>
          <w:color w:val="111111"/>
          <w:sz w:val="28"/>
          <w:szCs w:val="28"/>
          <w:rtl/>
        </w:rPr>
        <w:t xml:space="preserve">7.اصول الفقه (كتاب في)، ج2،</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اصول و فروع دين، ج 2، ص 468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التجارة، ج 3، ص 681.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التعارض (رسالة في)، ج 4، ص 446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حاشية معالم الاصول = حاشية</w:t>
      </w:r>
    </w:p>
    <w:p>
      <w:pPr>
        <w:pStyle w:val="BookText"/>
      </w:pPr>
      <w:r>
        <w:rPr>
          <w:rFonts w:ascii="Amiri" w:hAnsi="Amiri" w:eastAsia="Amiri" w:cs="Amiri"/>
          <w:lang w:bidi="ar-SA"/>
          <w:color w:val="111111"/>
          <w:sz w:val="28"/>
          <w:szCs w:val="28"/>
          <w:rtl/>
        </w:rPr>
        <w:t xml:space="preserve">معالم الدين، ج 6، ص 409.</w:t>
      </w:r>
    </w:p>
    <w:p>
      <w:pPr>
        <w:pStyle w:val="BookText"/>
      </w:pPr>
      <w:r>
        <w:rPr>
          <w:rFonts w:ascii="Amiri" w:hAnsi="Amiri" w:eastAsia="Amiri" w:cs="Amiri"/>
          <w:lang w:bidi="ar-SA"/>
          <w:color w:val="111111"/>
          <w:sz w:val="28"/>
          <w:szCs w:val="28"/>
          <w:rtl/>
        </w:rPr>
        <w:t xml:space="preserve">12 .حجية الادلة الاربعة وخطاب المشافهة = حجية ظواهر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 الشفاهي = خطاب المشافهة = الادلة الاربعة، ج 6، ص 493 .</w:t>
      </w:r>
    </w:p>
    <w:p>
      <w:pPr>
        <w:pStyle w:val="BookText"/>
      </w:pPr>
      <w:r>
        <w:rPr>
          <w:rFonts w:ascii="Amiri" w:hAnsi="Amiri" w:eastAsia="Amiri" w:cs="Amiri"/>
          <w:lang w:bidi="ar-SA"/>
          <w:color w:val="111111"/>
          <w:sz w:val="28"/>
          <w:szCs w:val="28"/>
          <w:rtl/>
        </w:rPr>
        <w:t xml:space="preserve">13 .حجية الشهرة، ج 6 ، ص 496.</w:t>
      </w:r>
    </w:p>
    <w:p>
      <w:pPr>
        <w:pStyle w:val="BookText"/>
      </w:pPr>
      <w:r>
        <w:rPr>
          <w:rFonts w:ascii="Amiri" w:hAnsi="Amiri" w:eastAsia="Amiri" w:cs="Amiri"/>
          <w:lang w:bidi="ar-SA"/>
          <w:color w:val="111111"/>
          <w:sz w:val="28"/>
          <w:szCs w:val="28"/>
          <w:rtl/>
        </w:rPr>
        <w:t xml:space="preserve">14 .حجية الظن، ج 6، ص 498.</w:t>
      </w:r>
    </w:p>
    <w:p>
      <w:pPr>
        <w:pStyle w:val="BookText"/>
      </w:pPr>
      <w:r>
        <w:rPr>
          <w:rFonts w:ascii="Amiri" w:hAnsi="Amiri" w:eastAsia="Amiri" w:cs="Amiri"/>
          <w:lang w:bidi="ar-SA"/>
          <w:color w:val="111111"/>
          <w:sz w:val="28"/>
          <w:szCs w:val="28"/>
          <w:rtl/>
        </w:rPr>
        <w:t xml:space="preserve">15 .حجية المفهوم بالاولوية = القياس</w:t>
      </w:r>
    </w:p>
    <w:p>
      <w:pPr>
        <w:pStyle w:val="BookText"/>
      </w:pPr>
      <w:r>
        <w:rPr>
          <w:rFonts w:ascii="Amiri" w:hAnsi="Amiri" w:eastAsia="Amiri" w:cs="Amiri"/>
          <w:lang w:bidi="ar-SA"/>
          <w:color w:val="111111"/>
          <w:sz w:val="28"/>
          <w:szCs w:val="28"/>
          <w:rtl/>
        </w:rPr>
        <w:t xml:space="preserve">بالاولوية، ج6، ص 507</w:t>
      </w:r>
    </w:p>
    <w:p>
      <w:pPr>
        <w:pStyle w:val="BookText"/>
      </w:pPr>
      <w:r>
        <w:rPr>
          <w:rFonts w:ascii="Amiri" w:hAnsi="Amiri" w:eastAsia="Amiri" w:cs="Amiri"/>
          <w:lang w:bidi="ar-SA"/>
          <w:color w:val="111111"/>
          <w:sz w:val="28"/>
          <w:szCs w:val="28"/>
          <w:rtl/>
        </w:rPr>
        <w:t xml:space="preserve">16 .حديقة المؤمنين = شرح صغير شرح المختصر النافع، ج6، ص 591.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الحقيقة و المجاز، ج 6، ص 716.</w:t>
      </w:r>
    </w:p>
    <w:p>
      <w:pPr>
        <w:pStyle w:val="BookText"/>
      </w:pPr>
      <w:r>
        <w:rPr>
          <w:rFonts w:ascii="Amiri" w:hAnsi="Amiri" w:eastAsia="Amiri" w:cs="Amiri"/>
          <w:lang w:bidi="ar-SA"/>
          <w:color w:val="111111"/>
          <w:sz w:val="28"/>
          <w:szCs w:val="28"/>
          <w:rtl/>
        </w:rPr>
        <w:t xml:space="preserve">18 .الرسالة الشهرتية، ج8، ص 215.</w:t>
      </w:r>
    </w:p>
    <w:p>
      <w:pPr>
        <w:pStyle w:val="BookText"/>
      </w:pPr>
      <w:r>
        <w:rPr>
          <w:rFonts w:ascii="Amiri" w:hAnsi="Amiri" w:eastAsia="Amiri" w:cs="Amiri"/>
          <w:lang w:bidi="ar-SA"/>
          <w:color w:val="111111"/>
          <w:sz w:val="28"/>
          <w:szCs w:val="28"/>
          <w:rtl/>
        </w:rPr>
        <w:t xml:space="preserve">19 .رياض المسائل في بيان (تحقيق) الاحكام بالدلائل = شرح كبير = شرح مختصر النافع = رياض المسائل و حياض الدلائل، ج8،</w:t>
      </w:r>
    </w:p>
    <w:p>
      <w:pPr>
        <w:pStyle w:val="BookText"/>
      </w:pPr>
      <w:r>
        <w:rPr>
          <w:rFonts w:ascii="IRNazanin" w:hAnsi="IRNazanin" w:eastAsia="IRNazanin" w:cs="IRNazanin"/>
          <w:lang w:bidi="fa-IR"/>
          <w:color w:val="111111"/>
          <w:sz w:val="28"/>
          <w:szCs w:val="28"/>
          <w:rtl/>
        </w:rPr>
        <w:t xml:space="preserve">ص 493.</w:t>
      </w:r>
    </w:p>
    <w:p>
      <w:pPr>
        <w:pStyle w:val="BookText"/>
      </w:pPr>
      <w:r>
        <w:rPr>
          <w:rFonts w:ascii="Amiri" w:hAnsi="Amiri" w:eastAsia="Amiri" w:cs="Amiri"/>
          <w:lang w:bidi="ar-SA"/>
          <w:color w:val="111111"/>
          <w:sz w:val="28"/>
          <w:szCs w:val="28"/>
          <w:rtl/>
        </w:rPr>
        <w:t xml:space="preserve">20 .زهر الرياض، ج8، ص 627 .</w:t>
      </w:r>
    </w:p>
    <w:p>
      <w:pPr>
        <w:pStyle w:val="BookText"/>
      </w:pPr>
      <w:r>
        <w:rPr>
          <w:rFonts w:ascii="Amiri" w:hAnsi="Amiri" w:eastAsia="Amiri" w:cs="Amiri"/>
          <w:lang w:bidi="ar-SA"/>
          <w:color w:val="111111"/>
          <w:sz w:val="28"/>
          <w:szCs w:val="28"/>
          <w:rtl/>
        </w:rPr>
        <w:t xml:space="preserve">21 .شرح الالفية في فقه الصلاة اليومية شرح الفية الشهيد، ج9، ص229.</w:t>
      </w:r>
    </w:p>
    <w:p>
      <w:pPr>
        <w:pStyle w:val="BookText"/>
      </w:pPr>
      <w:r>
        <w:rPr>
          <w:rFonts w:ascii="Amiri" w:hAnsi="Amiri" w:eastAsia="Amiri" w:cs="Amiri"/>
          <w:lang w:bidi="ar-SA"/>
          <w:color w:val="111111"/>
          <w:sz w:val="28"/>
          <w:szCs w:val="28"/>
          <w:rtl/>
        </w:rPr>
        <w:t xml:space="preserve">22 .شرح مفاتيح الشرايع، ج 10،</w:t>
      </w:r>
    </w:p>
    <w:p>
      <w:pPr>
        <w:pStyle w:val="BookText"/>
      </w:pPr>
      <w:r>
        <w:rPr>
          <w:rFonts w:ascii="IRNazanin" w:hAnsi="IRNazanin" w:eastAsia="IRNazanin" w:cs="IRNazanin"/>
          <w:lang w:bidi="fa-IR"/>
          <w:color w:val="111111"/>
          <w:sz w:val="28"/>
          <w:szCs w:val="28"/>
          <w:rtl/>
        </w:rPr>
        <w:t xml:space="preserve">ص 165 .</w:t>
      </w:r>
    </w:p>
    <w:p>
      <w:pPr>
        <w:pStyle w:val="BookText"/>
      </w:pPr>
      <w:r>
        <w:rPr>
          <w:rFonts w:ascii="Amiri" w:hAnsi="Amiri" w:eastAsia="Amiri" w:cs="Amiri"/>
          <w:lang w:bidi="ar-SA"/>
          <w:color w:val="111111"/>
          <w:sz w:val="28"/>
          <w:szCs w:val="28"/>
          <w:rtl/>
        </w:rPr>
        <w:t xml:space="preserve">23 .الصحة في المعاملات (رسالة في )</w:t>
      </w:r>
    </w:p>
    <w:p>
      <w:pPr>
        <w:pStyle w:val="BookText"/>
      </w:pPr>
      <w:r>
        <w:rPr>
          <w:rFonts w:ascii="IRNazanin" w:hAnsi="IRNazanin" w:eastAsia="IRNazanin" w:cs="IRNazanin"/>
          <w:lang w:bidi="fa-IR"/>
          <w:color w:val="111111"/>
          <w:sz w:val="28"/>
          <w:szCs w:val="28"/>
          <w:rtl/>
        </w:rPr>
        <w:t xml:space="preserve">ج 10، ص 499 .</w:t>
      </w:r>
    </w:p>
    <w:p>
      <w:pPr>
        <w:pStyle w:val="BookText"/>
      </w:pPr>
      <w:r>
        <w:rPr>
          <w:rFonts w:ascii="Amiri" w:hAnsi="Amiri" w:eastAsia="Amiri" w:cs="Amiri"/>
          <w:lang w:bidi="ar-SA"/>
          <w:color w:val="111111"/>
          <w:sz w:val="28"/>
          <w:szCs w:val="28"/>
          <w:rtl/>
        </w:rPr>
        <w:t xml:space="preserve">24 .طهارة الرياض، ج 10، ص 863.</w:t>
      </w:r>
    </w:p>
    <w:p>
      <w:pPr>
        <w:pStyle w:val="BookText"/>
      </w:pPr>
      <w:r>
        <w:rPr>
          <w:rFonts w:ascii="Amiri" w:hAnsi="Amiri" w:eastAsia="Amiri" w:cs="Amiri"/>
          <w:lang w:bidi="ar-SA"/>
          <w:color w:val="111111"/>
          <w:sz w:val="28"/>
          <w:szCs w:val="28"/>
          <w:rtl/>
        </w:rPr>
        <w:t xml:space="preserve">25 .عتق الرياض، ج11، ص 21.</w:t>
      </w:r>
    </w:p>
    <w:p>
      <w:pPr>
        <w:pStyle w:val="BookText"/>
      </w:pPr>
      <w:r>
        <w:rPr>
          <w:rFonts w:ascii="IRNazanin" w:hAnsi="IRNazanin" w:eastAsia="IRNazanin" w:cs="IRNazanin"/>
          <w:lang w:bidi="fa-IR"/>
          <w:color w:val="111111"/>
          <w:sz w:val="28"/>
          <w:szCs w:val="28"/>
          <w:rtl/>
        </w:rPr>
        <w:t xml:space="preserve">26 .العتق للعتق، ج 11، ص21.</w:t>
      </w:r>
    </w:p>
    <w:p>
      <w:pPr>
        <w:pStyle w:val="BookText"/>
      </w:pPr>
      <w:r>
        <w:rPr>
          <w:rFonts w:ascii="IRNazanin" w:hAnsi="IRNazanin" w:eastAsia="IRNazanin" w:cs="IRNazanin"/>
          <w:lang w:bidi="fa-IR"/>
          <w:color w:val="111111"/>
          <w:sz w:val="28"/>
          <w:szCs w:val="28"/>
          <w:rtl/>
        </w:rPr>
        <w:t xml:space="preserve">27 .الفقه، ج 12، ص 46.</w:t>
      </w:r>
    </w:p>
    <w:p>
      <w:pPr>
        <w:pStyle w:val="BookText"/>
      </w:pPr>
      <w:r>
        <w:rPr>
          <w:rFonts w:ascii="Amiri" w:hAnsi="Amiri" w:eastAsia="Amiri" w:cs="Amiri"/>
          <w:lang w:bidi="ar-SA"/>
          <w:color w:val="111111"/>
          <w:sz w:val="28"/>
          <w:szCs w:val="28"/>
          <w:rtl/>
        </w:rPr>
        <w:t xml:space="preserve">28 .مراسلات في الاصول، ج 14،</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Amiri" w:hAnsi="Amiri" w:eastAsia="Amiri" w:cs="Amiri"/>
          <w:lang w:bidi="ar-SA"/>
          <w:color w:val="111111"/>
          <w:sz w:val="28"/>
          <w:szCs w:val="28"/>
          <w:rtl/>
        </w:rPr>
        <w:t xml:space="preserve">29 .منجزات المريض، ج 15، ص 658.</w:t>
      </w:r>
    </w:p>
    <w:p>
      <w:pPr>
        <w:pStyle w:val="Heading2"/>
      </w:pPr>
      <w:bookmarkStart w:id="5561" w:name="_Toc4663"/>
      <w:r>
        <w:t>طباطبائي ، كريم بن حسين</w:t>
      </w:r>
      <w:bookmarkEnd w:id="5561"/>
    </w:p>
    <w:p>
      <w:pPr>
        <w:pStyle w:val="BookText"/>
      </w:pPr>
      <w:r>
        <w:rPr>
          <w:rFonts w:ascii="IRNazanin" w:hAnsi="IRNazanin" w:eastAsia="IRNazanin" w:cs="IRNazanin"/>
          <w:lang w:bidi="fa-IR"/>
          <w:color w:val="111111"/>
          <w:sz w:val="28"/>
          <w:szCs w:val="28"/>
          <w:rtl/>
        </w:rPr>
        <w:t xml:space="preserve">السبع الشداد، ج8، ص 699.</w:t>
      </w:r>
    </w:p>
    <w:p>
      <w:pPr>
        <w:pStyle w:val="BookText"/>
      </w:pPr>
      <w:r>
        <w:rPr>
          <w:rFonts w:ascii="Amiri" w:hAnsi="Amiri" w:eastAsia="Amiri" w:cs="Amiri"/>
          <w:lang w:bidi="ar-SA"/>
          <w:color w:val="111111"/>
          <w:sz w:val="28"/>
          <w:szCs w:val="28"/>
          <w:rtl/>
        </w:rPr>
        <w:t xml:space="preserve">طباطبائي ، كريم بن كمال الدين حسين- طباطبائي ، كريم بن حسين</w:t>
      </w:r>
    </w:p>
    <w:p>
      <w:pPr>
        <w:pStyle w:val="BookText"/>
      </w:pPr>
      <w:r>
        <w:rPr>
          <w:rFonts w:ascii="Amiri" w:hAnsi="Amiri" w:eastAsia="Amiri" w:cs="Amiri"/>
          <w:lang w:bidi="ar-SA"/>
          <w:color w:val="111111"/>
          <w:sz w:val="28"/>
          <w:szCs w:val="28"/>
          <w:rtl/>
        </w:rPr>
        <w:t xml:space="preserve">طباطبائي ، محسن بن مهدي- طباطبائي</w:t>
      </w:r>
    </w:p>
    <w:p>
      <w:pPr>
        <w:pStyle w:val="BookText"/>
      </w:pPr>
      <w:r>
        <w:rPr>
          <w:rFonts w:ascii="Amiri" w:hAnsi="Amiri" w:eastAsia="Amiri" w:cs="Amiri"/>
          <w:lang w:bidi="ar-SA"/>
          <w:color w:val="111111"/>
          <w:sz w:val="28"/>
          <w:szCs w:val="28"/>
          <w:rtl/>
        </w:rPr>
        <w:t xml:space="preserve">حكيم، محسن بن مهدي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93" w:name="pg7742_70686"/>
    <w:bookmarkEnd w:id="693"/>
    <w:p>
      <w:pPr>
        <w:pStyle w:val="Heading2"/>
      </w:pPr>
      <w:bookmarkStart w:id="5562" w:name="_Toc4664"/>
      <w:r>
        <w:t>طباطبائي ، محمّد</w:t>
      </w:r>
      <w:bookmarkEnd w:id="5562"/>
    </w:p>
    <w:p>
      <w:pPr>
        <w:pStyle w:val="BookText"/>
      </w:pPr>
      <w:r>
        <w:rPr>
          <w:rFonts w:ascii="Amiri" w:hAnsi="Amiri" w:eastAsia="Amiri" w:cs="Amiri"/>
          <w:lang w:bidi="ar-SA"/>
          <w:color w:val="111111"/>
          <w:sz w:val="28"/>
          <w:szCs w:val="28"/>
          <w:rtl/>
        </w:rPr>
        <w:t xml:space="preserve">1 .الاجتهاد والتقليد (رسالة في)، ج1،</w:t>
      </w:r>
    </w:p>
    <w:p>
      <w:pPr>
        <w:pStyle w:val="BookText"/>
      </w:pPr>
      <w:r>
        <w:rPr>
          <w:rFonts w:ascii="IRNazanin" w:hAnsi="IRNazanin" w:eastAsia="IRNazanin" w:cs="IRNazanin"/>
          <w:lang w:bidi="fa-IR"/>
          <w:color w:val="111111"/>
          <w:sz w:val="28"/>
          <w:szCs w:val="28"/>
          <w:rtl/>
        </w:rPr>
        <w:t xml:space="preserve">ص 305.</w:t>
      </w:r>
    </w:p>
    <w:p>
      <w:pPr>
        <w:pStyle w:val="BookText"/>
      </w:pPr>
      <w:r>
        <w:rPr>
          <w:rFonts w:ascii="Amiri" w:hAnsi="Amiri" w:eastAsia="Amiri" w:cs="Amiri"/>
          <w:lang w:bidi="ar-SA"/>
          <w:color w:val="111111"/>
          <w:sz w:val="28"/>
          <w:szCs w:val="28"/>
          <w:rtl/>
        </w:rPr>
        <w:t xml:space="preserve">2 .تحقيق الاسلام والايمان - رسالة</w:t>
      </w:r>
    </w:p>
    <w:p>
      <w:pPr>
        <w:pStyle w:val="BookText"/>
      </w:pPr>
      <w:r>
        <w:rPr>
          <w:rFonts w:ascii="Amiri" w:hAnsi="Amiri" w:eastAsia="Amiri" w:cs="Amiri"/>
          <w:lang w:bidi="ar-SA"/>
          <w:color w:val="111111"/>
          <w:sz w:val="28"/>
          <w:szCs w:val="28"/>
          <w:rtl/>
        </w:rPr>
        <w:t xml:space="preserve">النجاة، ج 4، ص 50.</w:t>
      </w:r>
    </w:p>
    <w:p>
      <w:pPr>
        <w:pStyle w:val="BookText"/>
      </w:pPr>
      <w:r>
        <w:rPr>
          <w:rFonts w:ascii="IRNazanin" w:hAnsi="IRNazanin" w:eastAsia="IRNazanin" w:cs="IRNazanin"/>
          <w:lang w:bidi="fa-IR"/>
          <w:color w:val="111111"/>
          <w:sz w:val="28"/>
          <w:szCs w:val="28"/>
          <w:rtl/>
        </w:rPr>
        <w:t xml:space="preserve">3 .حكم المفقود و توزیع ارثه (رسالة</w:t>
      </w:r>
    </w:p>
    <w:p>
      <w:pPr>
        <w:pStyle w:val="BookText"/>
      </w:pPr>
      <w:r>
        <w:rPr>
          <w:rFonts w:ascii="Amiri" w:hAnsi="Amiri" w:eastAsia="Amiri" w:cs="Amiri"/>
          <w:lang w:bidi="ar-SA"/>
          <w:color w:val="111111"/>
          <w:sz w:val="28"/>
          <w:szCs w:val="28"/>
          <w:rtl/>
        </w:rPr>
        <w:t xml:space="preserve">في)، ج 6، ص 764.</w:t>
      </w:r>
    </w:p>
    <w:p>
      <w:pPr>
        <w:pStyle w:val="BookText"/>
      </w:pPr>
      <w:r>
        <w:rPr>
          <w:rFonts w:ascii="Amiri" w:hAnsi="Amiri" w:eastAsia="Amiri" w:cs="Amiri"/>
          <w:lang w:bidi="ar-SA"/>
          <w:color w:val="111111"/>
          <w:sz w:val="28"/>
          <w:szCs w:val="28"/>
          <w:rtl/>
        </w:rPr>
        <w:t xml:space="preserve">4 .شرح الجامعة الكبرى، ج 9، ص 362.</w:t>
      </w:r>
    </w:p>
    <w:p>
      <w:pPr>
        <w:pStyle w:val="BookText"/>
      </w:pPr>
      <w:r>
        <w:rPr>
          <w:rFonts w:ascii="Amiri" w:hAnsi="Amiri" w:eastAsia="Amiri" w:cs="Amiri"/>
          <w:lang w:bidi="ar-SA"/>
          <w:color w:val="111111"/>
          <w:sz w:val="28"/>
          <w:szCs w:val="28"/>
          <w:rtl/>
        </w:rPr>
        <w:t xml:space="preserve">5 .الفقه (رسالة في)، ج 12، ص 49.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مناسك الحج، ج 15، ص 504.</w:t>
      </w:r>
    </w:p>
    <w:p>
      <w:pPr>
        <w:pStyle w:val="BookText"/>
      </w:pPr>
      <w:r>
        <w:rPr>
          <w:rFonts w:ascii="Amiri" w:hAnsi="Amiri" w:eastAsia="Amiri" w:cs="Amiri"/>
          <w:lang w:bidi="ar-SA"/>
          <w:color w:val="111111"/>
          <w:sz w:val="28"/>
          <w:szCs w:val="28"/>
          <w:rtl/>
        </w:rPr>
        <w:t xml:space="preserve">طباطبائي ، محمّد باقر -حجت طباطبائي ،</w:t>
      </w:r>
    </w:p>
    <w:p>
      <w:pPr>
        <w:pStyle w:val="BookText"/>
      </w:pPr>
      <w:r>
        <w:rPr>
          <w:rFonts w:ascii="IRNazanin" w:hAnsi="IRNazanin" w:eastAsia="IRNazanin" w:cs="IRNazanin"/>
          <w:lang w:bidi="fa-IR"/>
          <w:color w:val="111111"/>
          <w:sz w:val="28"/>
          <w:szCs w:val="28"/>
          <w:rtl/>
        </w:rPr>
        <w:t xml:space="preserve">محمّد باقر بن ابوالقاسم</w:t>
      </w:r>
    </w:p>
    <w:p>
      <w:pPr>
        <w:pStyle w:val="BookText"/>
      </w:pPr>
      <w:r>
        <w:rPr>
          <w:rFonts w:ascii="Amiri" w:hAnsi="Amiri" w:eastAsia="Amiri" w:cs="Amiri"/>
          <w:lang w:bidi="ar-SA"/>
          <w:color w:val="111111"/>
          <w:sz w:val="28"/>
          <w:szCs w:val="28"/>
          <w:rtl/>
        </w:rPr>
        <w:t xml:space="preserve">طباطبائي ، محمّد باقر بن محمّد</w:t>
      </w:r>
    </w:p>
    <w:p>
      <w:pPr>
        <w:pStyle w:val="BookText"/>
      </w:pPr>
      <w:r>
        <w:rPr>
          <w:rFonts w:ascii="Amiri" w:hAnsi="Amiri" w:eastAsia="Amiri" w:cs="Amiri"/>
          <w:lang w:bidi="ar-SA"/>
          <w:color w:val="111111"/>
          <w:sz w:val="28"/>
          <w:szCs w:val="28"/>
          <w:rtl/>
        </w:rPr>
        <w:t xml:space="preserve">جعفر -همداني شيخي ، محمّد باقر بن</w:t>
      </w:r>
    </w:p>
    <w:p>
      <w:pPr>
        <w:pStyle w:val="BookText"/>
      </w:pPr>
      <w:r>
        <w:rPr>
          <w:rFonts w:ascii="Amiri" w:hAnsi="Amiri" w:eastAsia="Amiri" w:cs="Amiri"/>
          <w:lang w:bidi="ar-SA"/>
          <w:color w:val="111111"/>
          <w:sz w:val="28"/>
          <w:szCs w:val="28"/>
          <w:rtl/>
        </w:rPr>
        <w:t xml:space="preserve">محمّد جعفر</w:t>
      </w:r>
    </w:p>
    <w:p>
      <w:pPr>
        <w:pStyle w:val="BookText"/>
      </w:pPr>
      <w:r>
        <w:rPr>
          <w:rFonts w:ascii="IRNazanin" w:hAnsi="IRNazanin" w:eastAsia="IRNazanin" w:cs="IRNazanin"/>
          <w:lang w:bidi="fa-IR"/>
          <w:color w:val="111111"/>
          <w:sz w:val="28"/>
          <w:szCs w:val="28"/>
          <w:rtl/>
        </w:rPr>
        <w:t xml:space="preserve">طباطبائي ، محمّد بن حيدر- رفیعا</w:t>
      </w:r>
    </w:p>
    <w:p>
      <w:pPr>
        <w:pStyle w:val="BookText"/>
      </w:pPr>
      <w:r>
        <w:rPr>
          <w:rFonts w:ascii="Amiri" w:hAnsi="Amiri" w:eastAsia="Amiri" w:cs="Amiri"/>
          <w:lang w:bidi="ar-SA"/>
          <w:color w:val="111111"/>
          <w:sz w:val="28"/>
          <w:szCs w:val="28"/>
          <w:rtl/>
        </w:rPr>
        <w:t xml:space="preserve">محمّد بن حيدر</w:t>
      </w:r>
    </w:p>
    <w:p>
      <w:pPr>
        <w:pStyle w:val="BookText"/>
      </w:pPr>
      <w:r>
        <w:rPr>
          <w:rFonts w:ascii="Amiri" w:hAnsi="Amiri" w:eastAsia="Amiri" w:cs="Amiri"/>
          <w:lang w:bidi="ar-SA"/>
          <w:color w:val="111111"/>
          <w:sz w:val="28"/>
          <w:szCs w:val="28"/>
          <w:rtl/>
        </w:rPr>
        <w:t xml:space="preserve">طباطبائي ، محمد بن</w:t>
      </w:r>
    </w:p>
    <w:p>
      <w:pPr>
        <w:pStyle w:val="BookText"/>
      </w:pPr>
      <w:r>
        <w:rPr>
          <w:rFonts w:ascii="Amiri" w:hAnsi="Amiri" w:eastAsia="Amiri" w:cs="Amiri"/>
          <w:lang w:bidi="ar-SA"/>
          <w:color w:val="111111"/>
          <w:sz w:val="28"/>
          <w:szCs w:val="28"/>
          <w:rtl/>
        </w:rPr>
        <w:t xml:space="preserve">عبد الكريم -طباطبائي بروجردي ، محمّد بن</w:t>
      </w:r>
    </w:p>
    <w:p>
      <w:pPr>
        <w:pStyle w:val="BookText"/>
      </w:pPr>
      <w:r>
        <w:rPr>
          <w:rFonts w:ascii="Amiri" w:hAnsi="Amiri" w:eastAsia="Amiri" w:cs="Amiri"/>
          <w:lang w:bidi="ar-SA"/>
          <w:color w:val="111111"/>
          <w:sz w:val="28"/>
          <w:szCs w:val="28"/>
          <w:rtl/>
        </w:rPr>
        <w:t xml:space="preserve">عبد الكريم</w:t>
      </w:r>
    </w:p>
    <w:p>
      <w:pPr>
        <w:pStyle w:val="Heading2"/>
      </w:pPr>
      <w:bookmarkStart w:id="5563" w:name="_Toc4665"/>
      <w:r>
        <w:t>طباطبائي ، محمّد بن علي، 1180 - 1242</w:t>
      </w:r>
      <w:bookmarkEnd w:id="5563"/>
    </w:p>
    <w:p>
      <w:pPr>
        <w:pStyle w:val="BookText"/>
      </w:pPr>
      <w:r>
        <w:rPr>
          <w:rFonts w:ascii="Amiri" w:hAnsi="Amiri" w:eastAsia="Amiri" w:cs="Amiri"/>
          <w:lang w:bidi="ar-SA"/>
          <w:color w:val="111111"/>
          <w:sz w:val="28"/>
          <w:szCs w:val="28"/>
          <w:rtl/>
        </w:rPr>
        <w:t xml:space="preserve">1 .الاصلاح و فيه الفوز و الفلاح =</w:t>
      </w:r>
    </w:p>
    <w:p>
      <w:pPr>
        <w:pStyle w:val="BookText"/>
      </w:pPr>
      <w:r>
        <w:rPr>
          <w:rFonts w:ascii="IRNazanin" w:hAnsi="IRNazanin" w:eastAsia="IRNazanin" w:cs="IRNazanin"/>
          <w:lang w:bidi="fa-IR"/>
          <w:color w:val="111111"/>
          <w:sz w:val="28"/>
          <w:szCs w:val="28"/>
          <w:rtl/>
        </w:rPr>
        <w:t xml:space="preserve">اصلاح العمل، ج2، ص 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التسامح في أدلة السنن، جع،</w:t>
      </w:r>
    </w:p>
    <w:p>
      <w:pPr>
        <w:pStyle w:val="BookText"/>
      </w:pPr>
      <w:r>
        <w:rPr>
          <w:rFonts w:ascii="IRNazanin" w:hAnsi="IRNazanin" w:eastAsia="IRNazanin" w:cs="IRNazanin"/>
          <w:lang w:bidi="fa-IR"/>
          <w:color w:val="111111"/>
          <w:sz w:val="28"/>
          <w:szCs w:val="28"/>
          <w:rtl/>
        </w:rPr>
        <w:t xml:space="preserve">ص 328.</w:t>
      </w:r>
    </w:p>
    <w:p>
      <w:pPr>
        <w:pStyle w:val="Heading2"/>
      </w:pPr>
      <w:bookmarkStart w:id="5564" w:name="_Toc4666"/>
      <w:r>
        <w:t>طباطبائي، محمّد بن علي قرن 14 ه-</w:t>
      </w:r>
      <w:bookmarkEnd w:id="5564"/>
    </w:p>
    <w:p>
      <w:pPr>
        <w:pStyle w:val="BookText"/>
      </w:pPr>
      <w:r>
        <w:rPr>
          <w:rFonts w:ascii="Amiri" w:hAnsi="Amiri" w:eastAsia="Amiri" w:cs="Amiri"/>
          <w:lang w:bidi="ar-SA"/>
          <w:color w:val="111111"/>
          <w:sz w:val="28"/>
          <w:szCs w:val="28"/>
          <w:rtl/>
        </w:rPr>
        <w:t xml:space="preserve">تقريرات الاصول، ج 4، ص 744 .</w:t>
      </w:r>
    </w:p>
    <w:p>
      <w:pPr>
        <w:pStyle w:val="Heading2"/>
      </w:pPr>
      <w:bookmarkStart w:id="5565" w:name="_Toc4667"/>
      <w:r>
        <w:t>طباطبائي ، محمّد بن علي، 1180 - 1242</w:t>
      </w:r>
      <w:bookmarkEnd w:id="5565"/>
    </w:p>
    <w:p>
      <w:pPr>
        <w:pStyle w:val="BookText"/>
      </w:pPr>
      <w:r>
        <w:rPr>
          <w:rFonts w:ascii="Amiri" w:hAnsi="Amiri" w:eastAsia="Amiri" w:cs="Amiri"/>
          <w:lang w:bidi="ar-SA"/>
          <w:color w:val="111111"/>
          <w:sz w:val="28"/>
          <w:szCs w:val="28"/>
          <w:rtl/>
        </w:rPr>
        <w:t xml:space="preserve">1 .حاشية معالم الاصول، ج 6، ص 409.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حجية الظن = المقلاد = حجية</w:t>
      </w:r>
    </w:p>
    <w:p>
      <w:pPr>
        <w:pStyle w:val="BookText"/>
      </w:pPr>
      <w:r>
        <w:rPr>
          <w:rFonts w:ascii="Amiri" w:hAnsi="Amiri" w:eastAsia="Amiri" w:cs="Amiri"/>
          <w:lang w:bidi="ar-SA"/>
          <w:color w:val="111111"/>
          <w:sz w:val="28"/>
          <w:szCs w:val="28"/>
          <w:rtl/>
        </w:rPr>
        <w:t xml:space="preserve">المظنة، ج6، ص 499.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حجية الظن، ج 6، ص 500.</w:t>
      </w:r>
    </w:p>
    <w:p>
      <w:pPr>
        <w:pStyle w:val="BookText"/>
      </w:pPr>
      <w:r>
        <w:rPr>
          <w:rFonts w:ascii="IRNazanin" w:hAnsi="IRNazanin" w:eastAsia="IRNazanin" w:cs="IRNazanin"/>
          <w:lang w:bidi="fa-IR"/>
          <w:color w:val="111111"/>
          <w:sz w:val="28"/>
          <w:szCs w:val="28"/>
          <w:rtl/>
        </w:rPr>
        <w:t xml:space="preserve">4 .رسائل، ج8، ص 124.</w:t>
      </w:r>
    </w:p>
    <w:p>
      <w:pPr>
        <w:pStyle w:val="BookText"/>
      </w:pPr>
      <w:r>
        <w:rPr>
          <w:rFonts w:ascii="Amiri" w:hAnsi="Amiri" w:eastAsia="Amiri" w:cs="Amiri"/>
          <w:lang w:bidi="ar-SA"/>
          <w:color w:val="111111"/>
          <w:sz w:val="28"/>
          <w:szCs w:val="28"/>
          <w:rtl/>
        </w:rPr>
        <w:t xml:space="preserve">5 .رساله عمليه، ج8، ص 226.</w:t>
      </w:r>
    </w:p>
    <w:p>
      <w:pPr>
        <w:pStyle w:val="BookText"/>
      </w:pPr>
      <w:r>
        <w:rPr>
          <w:rFonts w:ascii="IRNazanin" w:hAnsi="IRNazanin" w:eastAsia="IRNazanin" w:cs="IRNazanin"/>
          <w:lang w:bidi="fa-IR"/>
          <w:color w:val="111111"/>
          <w:sz w:val="28"/>
          <w:szCs w:val="28"/>
          <w:rtl/>
        </w:rPr>
        <w:t xml:space="preserve">6 .سؤال و جواب، ج8، ص682.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القضاء، ج 12، ص732.</w:t>
      </w:r>
    </w:p>
    <w:p>
      <w:pPr>
        <w:pStyle w:val="BookText"/>
      </w:pPr>
      <w:r>
        <w:rPr>
          <w:rFonts w:ascii="Amiri" w:hAnsi="Amiri" w:eastAsia="Amiri" w:cs="Amiri"/>
          <w:lang w:bidi="ar-SA"/>
          <w:color w:val="111111"/>
          <w:sz w:val="28"/>
          <w:szCs w:val="28"/>
          <w:rtl/>
        </w:rPr>
        <w:t xml:space="preserve">8.مفاتيح الاصول، ج 15 ، ص 146.</w:t>
      </w:r>
    </w:p>
    <w:p>
      <w:pPr>
        <w:pStyle w:val="BookText"/>
      </w:pPr>
      <w:r>
        <w:rPr>
          <w:rFonts w:ascii="Amiri" w:hAnsi="Amiri" w:eastAsia="Amiri" w:cs="Amiri"/>
          <w:lang w:bidi="ar-SA"/>
          <w:color w:val="111111"/>
          <w:sz w:val="28"/>
          <w:szCs w:val="28"/>
          <w:rtl/>
        </w:rPr>
        <w:t xml:space="preserve">9 .المناهل في الفقه = مصابيح الفقه</w:t>
      </w:r>
    </w:p>
    <w:p>
      <w:pPr>
        <w:pStyle w:val="BookText"/>
      </w:pPr>
      <w:r>
        <w:rPr>
          <w:rFonts w:ascii="IRNazanin" w:hAnsi="IRNazanin" w:eastAsia="IRNazanin" w:cs="IRNazanin"/>
          <w:lang w:bidi="fa-IR"/>
          <w:color w:val="111111"/>
          <w:sz w:val="28"/>
          <w:szCs w:val="28"/>
          <w:rtl/>
        </w:rPr>
        <w:t xml:space="preserve">ج 15، ص 579.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الوسائل إلى النجاة = الوسيلة = الوسائل الحائرية - وسائل الاصول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الوسائل إلى معرفة الاصول</w:t>
      </w:r>
    </w:p>
    <w:p>
      <w:pPr>
        <w:pStyle w:val="BookText"/>
      </w:pPr>
      <w:r>
        <w:rPr>
          <w:rFonts w:ascii="IRNazanin" w:hAnsi="IRNazanin" w:eastAsia="IRNazanin" w:cs="IRNazanin"/>
          <w:lang w:bidi="fa-IR"/>
          <w:color w:val="111111"/>
          <w:sz w:val="28"/>
          <w:szCs w:val="28"/>
          <w:rtl/>
        </w:rPr>
        <w:t xml:space="preserve">ج 16، ص 770.</w:t>
      </w:r>
    </w:p>
    <w:p>
      <w:pPr>
        <w:pStyle w:val="BookText"/>
      </w:pPr>
      <w:r>
        <w:rPr>
          <w:rFonts w:ascii="Amiri" w:hAnsi="Amiri" w:eastAsia="Amiri" w:cs="Amiri"/>
          <w:lang w:bidi="ar-SA"/>
          <w:color w:val="111111"/>
          <w:sz w:val="28"/>
          <w:szCs w:val="28"/>
          <w:rtl/>
        </w:rPr>
        <w:t xml:space="preserve">طباطبائي ، محمّد تقي بن محمّد باقر -طباطبائي تبريزي، محمّد تقي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طباطبائي ، محمّد حسن -آل صاحب</w:t>
      </w:r>
    </w:p>
    <w:p>
      <w:pPr>
        <w:pStyle w:val="BookText"/>
      </w:pPr>
      <w:r>
        <w:rPr>
          <w:rFonts w:ascii="Amiri" w:hAnsi="Amiri" w:eastAsia="Amiri" w:cs="Amiri"/>
          <w:lang w:bidi="ar-SA"/>
          <w:color w:val="111111"/>
          <w:sz w:val="28"/>
          <w:szCs w:val="28"/>
          <w:rtl/>
        </w:rPr>
        <w:t xml:space="preserve">الرياض ، محمّد حسن</w:t>
      </w:r>
    </w:p>
    <w:p>
      <w:pPr>
        <w:pStyle w:val="BookText"/>
      </w:pPr>
      <w:r>
        <w:rPr>
          <w:rFonts w:ascii="Amiri" w:hAnsi="Amiri" w:eastAsia="Amiri" w:cs="Amiri"/>
          <w:lang w:bidi="ar-SA"/>
          <w:color w:val="111111"/>
          <w:sz w:val="28"/>
          <w:szCs w:val="28"/>
          <w:rtl/>
        </w:rPr>
        <w:t xml:space="preserve">طباطبائي ، محمّد حسن بن محمّد</w:t>
      </w:r>
    </w:p>
    <w:p>
      <w:pPr>
        <w:pStyle w:val="BookText"/>
      </w:pPr>
      <w:r>
        <w:rPr>
          <w:rFonts w:ascii="Amiri" w:hAnsi="Amiri" w:eastAsia="Amiri" w:cs="Amiri"/>
          <w:lang w:bidi="ar-SA"/>
          <w:color w:val="111111"/>
          <w:sz w:val="28"/>
          <w:szCs w:val="28"/>
          <w:rtl/>
        </w:rPr>
        <w:t xml:space="preserve">باقر -موسوي طباطبائي ، محمد حسن بن محمّد باقر</w:t>
      </w:r>
    </w:p>
    <w:p>
      <w:pPr>
        <w:pStyle w:val="BookText"/>
      </w:pPr>
      <w:r>
        <w:rPr>
          <w:rFonts w:ascii="Amiri" w:hAnsi="Amiri" w:eastAsia="Amiri" w:cs="Amiri"/>
          <w:lang w:bidi="ar-SA"/>
          <w:color w:val="111111"/>
          <w:sz w:val="28"/>
          <w:szCs w:val="28"/>
          <w:rtl/>
        </w:rPr>
        <w:t xml:space="preserve">طباطبائي ، محمّد حسن بن</w:t>
      </w:r>
    </w:p>
    <w:p>
      <w:pPr>
        <w:pStyle w:val="BookText"/>
      </w:pPr>
      <w:r>
        <w:rPr>
          <w:rFonts w:ascii="Amiri" w:hAnsi="Amiri" w:eastAsia="Amiri" w:cs="Amiri"/>
          <w:lang w:bidi="ar-SA"/>
          <w:color w:val="111111"/>
          <w:sz w:val="28"/>
          <w:szCs w:val="28"/>
          <w:rtl/>
        </w:rPr>
        <w:t xml:space="preserve">مرتضى- حسيني طباطبائي ، محمّد حسن بن</w:t>
      </w:r>
    </w:p>
    <w:p>
      <w:pPr>
        <w:pStyle w:val="BookText"/>
      </w:pPr>
      <w:r>
        <w:rPr>
          <w:rFonts w:ascii="IRNazanin" w:hAnsi="IRNazanin" w:eastAsia="IRNazanin" w:cs="IRNazanin"/>
          <w:lang w:bidi="fa-IR"/>
          <w:color w:val="111111"/>
          <w:sz w:val="28"/>
          <w:szCs w:val="28"/>
          <w:rtl/>
        </w:rPr>
        <w:t xml:space="preserve">مرتضى</w:t>
      </w:r>
    </w:p>
    <w:p>
      <w:pPr>
        <w:pStyle w:val="Heading2"/>
      </w:pPr>
      <w:bookmarkStart w:id="5566" w:name="_Toc4668"/>
      <w:r>
        <w:t>طباطبائي، محمّد سعيد بن قاسم، 1012</w:t>
      </w:r>
      <w:bookmarkEnd w:id="55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1092 ه-</w:t>
      </w:r>
    </w:p>
    <w:p>
      <w:pPr>
        <w:pStyle w:val="BookText"/>
      </w:pPr>
      <w:r>
        <w:rPr>
          <w:rFonts w:ascii="Amiri" w:hAnsi="Amiri" w:eastAsia="Amiri" w:cs="Amiri"/>
          <w:lang w:bidi="ar-SA"/>
          <w:color w:val="111111"/>
          <w:sz w:val="28"/>
          <w:szCs w:val="28"/>
          <w:rtl/>
        </w:rPr>
        <w:t xml:space="preserve">روض الجنان في حياة الابدان، ج8،</w:t>
      </w:r>
    </w:p>
    <w:p>
      <w:pPr>
        <w:pStyle w:val="BookText"/>
      </w:pPr>
      <w:r>
        <w:rPr>
          <w:rFonts w:ascii="IRNazanin" w:hAnsi="IRNazanin" w:eastAsia="IRNazanin" w:cs="IRNazanin"/>
          <w:lang w:bidi="fa-IR"/>
          <w:color w:val="111111"/>
          <w:sz w:val="28"/>
          <w:szCs w:val="28"/>
          <w:rtl/>
        </w:rPr>
        <w:t xml:space="preserve">ص 459.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94" w:name="pg7742_70687"/>
    <w:bookmarkEnd w:id="694"/>
    <w:p>
      <w:pPr>
        <w:pStyle w:val="Heading2"/>
      </w:pPr>
      <w:bookmarkStart w:id="5567" w:name="_Toc4669"/>
      <w:r>
        <w:t>طباطبائي، محمّد صادق</w:t>
      </w:r>
      <w:bookmarkEnd w:id="5567"/>
    </w:p>
    <w:p>
      <w:pPr>
        <w:pStyle w:val="BookText"/>
      </w:pPr>
      <w:r>
        <w:rPr>
          <w:rFonts w:ascii="Amiri" w:hAnsi="Amiri" w:eastAsia="Amiri" w:cs="Amiri"/>
          <w:lang w:bidi="ar-SA"/>
          <w:color w:val="111111"/>
          <w:sz w:val="28"/>
          <w:szCs w:val="28"/>
          <w:rtl/>
        </w:rPr>
        <w:t xml:space="preserve">تقريرات على بحث الشيخ الخراساني</w:t>
      </w:r>
    </w:p>
    <w:p>
      <w:pPr>
        <w:pStyle w:val="BookText"/>
      </w:pPr>
      <w:r>
        <w:rPr>
          <w:rFonts w:ascii="IRNazanin" w:hAnsi="IRNazanin" w:eastAsia="IRNazanin" w:cs="IRNazanin"/>
          <w:lang w:bidi="fa-IR"/>
          <w:color w:val="111111"/>
          <w:sz w:val="28"/>
          <w:szCs w:val="28"/>
          <w:rtl/>
        </w:rPr>
        <w:t xml:space="preserve">ج 4، ص 762 .</w:t>
      </w:r>
    </w:p>
    <w:p>
      <w:pPr>
        <w:pStyle w:val="BookText"/>
      </w:pPr>
      <w:r>
        <w:rPr>
          <w:rFonts w:ascii="Amiri" w:hAnsi="Amiri" w:eastAsia="Amiri" w:cs="Amiri"/>
          <w:lang w:bidi="ar-SA"/>
          <w:color w:val="111111"/>
          <w:sz w:val="28"/>
          <w:szCs w:val="28"/>
          <w:rtl/>
        </w:rPr>
        <w:t xml:space="preserve">طباطبائي ، محمّد صادق بن محمّد باقر -حجت طباطبائي ، محمّد صادق بن محمّد باقر</w:t>
      </w:r>
    </w:p>
    <w:p>
      <w:pPr>
        <w:pStyle w:val="BookText"/>
      </w:pPr>
      <w:r>
        <w:rPr>
          <w:rFonts w:ascii="Amiri" w:hAnsi="Amiri" w:eastAsia="Amiri" w:cs="Amiri"/>
          <w:lang w:bidi="ar-SA"/>
          <w:color w:val="111111"/>
          <w:sz w:val="28"/>
          <w:szCs w:val="28"/>
          <w:rtl/>
        </w:rPr>
        <w:t xml:space="preserve">طباطبائي ، محمّد صادق بن محمّد</w:t>
      </w:r>
    </w:p>
    <w:p>
      <w:pPr>
        <w:pStyle w:val="BookText"/>
      </w:pPr>
      <w:r>
        <w:rPr>
          <w:rFonts w:ascii="Amiri" w:hAnsi="Amiri" w:eastAsia="Amiri" w:cs="Amiri"/>
          <w:lang w:bidi="ar-SA"/>
          <w:color w:val="111111"/>
          <w:sz w:val="28"/>
          <w:szCs w:val="28"/>
          <w:rtl/>
        </w:rPr>
        <w:t xml:space="preserve">مهدي -حسيني طباطبائي ، محمّد صادق بن</w:t>
      </w:r>
    </w:p>
    <w:p>
      <w:pPr>
        <w:pStyle w:val="BookText"/>
      </w:pPr>
      <w:r>
        <w:rPr>
          <w:rFonts w:ascii="Amiri" w:hAnsi="Amiri" w:eastAsia="Amiri" w:cs="Amiri"/>
          <w:lang w:bidi="ar-SA"/>
          <w:color w:val="111111"/>
          <w:sz w:val="28"/>
          <w:szCs w:val="28"/>
          <w:rtl/>
        </w:rPr>
        <w:t xml:space="preserve">محمّد مهدي</w:t>
      </w:r>
    </w:p>
    <w:p>
      <w:pPr>
        <w:pStyle w:val="BookText"/>
      </w:pPr>
      <w:r>
        <w:rPr>
          <w:rFonts w:ascii="IRNazanin" w:hAnsi="IRNazanin" w:eastAsia="IRNazanin" w:cs="IRNazanin"/>
          <w:lang w:bidi="fa-IR"/>
          <w:color w:val="111111"/>
          <w:sz w:val="28"/>
          <w:szCs w:val="28"/>
          <w:rtl/>
        </w:rPr>
        <w:t xml:space="preserve">طباطبائي ، محمّد كاظم بن عبد العظيم- يزدي ، محمّد كاظم بن عبدالعظیم</w:t>
      </w:r>
    </w:p>
    <w:p>
      <w:pPr>
        <w:pStyle w:val="Heading2"/>
      </w:pPr>
      <w:bookmarkStart w:id="5568" w:name="_Toc4670"/>
      <w:r>
        <w:t>طباطبائي ، محمّد مسیح بن محمّد امین</w:t>
      </w:r>
      <w:bookmarkEnd w:id="5568"/>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شرقيه، ج 10، ص 354 .</w:t>
      </w:r>
    </w:p>
    <w:p>
      <w:pPr>
        <w:pStyle w:val="Heading2"/>
      </w:pPr>
      <w:bookmarkStart w:id="5569" w:name="_Toc4671"/>
      <w:r>
        <w:t>طباطبائي ، محمّد مهدي</w:t>
      </w:r>
      <w:bookmarkEnd w:id="5569"/>
    </w:p>
    <w:p>
      <w:pPr>
        <w:pStyle w:val="BookText"/>
      </w:pPr>
      <w:r>
        <w:rPr>
          <w:rFonts w:ascii="Amiri" w:hAnsi="Amiri" w:eastAsia="Amiri" w:cs="Amiri"/>
          <w:lang w:bidi="ar-SA"/>
          <w:color w:val="111111"/>
          <w:sz w:val="28"/>
          <w:szCs w:val="28"/>
          <w:rtl/>
        </w:rPr>
        <w:t xml:space="preserve">اصول الفقه (رسالة في)، ج2، ص 437.</w:t>
      </w:r>
    </w:p>
    <w:p>
      <w:pPr>
        <w:pStyle w:val="BookText"/>
      </w:pPr>
      <w:r>
        <w:rPr>
          <w:rFonts w:ascii="Amiri" w:hAnsi="Amiri" w:eastAsia="Amiri" w:cs="Amiri"/>
          <w:lang w:bidi="ar-SA"/>
          <w:color w:val="111111"/>
          <w:sz w:val="28"/>
          <w:szCs w:val="28"/>
          <w:rtl/>
        </w:rPr>
        <w:t xml:space="preserve">طباطبائي ، محمّد مهدي بن</w:t>
      </w:r>
    </w:p>
    <w:p>
      <w:pPr>
        <w:pStyle w:val="BookText"/>
      </w:pPr>
      <w:r>
        <w:rPr>
          <w:rFonts w:ascii="Amiri" w:hAnsi="Amiri" w:eastAsia="Amiri" w:cs="Amiri"/>
          <w:lang w:bidi="ar-SA"/>
          <w:color w:val="111111"/>
          <w:sz w:val="28"/>
          <w:szCs w:val="28"/>
          <w:rtl/>
        </w:rPr>
        <w:t xml:space="preserve">مرتضى- بحر العلوم ، محمّد مهدي بن مرتضى</w:t>
      </w:r>
    </w:p>
    <w:p>
      <w:pPr>
        <w:pStyle w:val="BookText"/>
      </w:pPr>
      <w:r>
        <w:rPr>
          <w:rFonts w:ascii="Amiri" w:hAnsi="Amiri" w:eastAsia="Amiri" w:cs="Amiri"/>
          <w:lang w:bidi="ar-SA"/>
          <w:color w:val="111111"/>
          <w:sz w:val="28"/>
          <w:szCs w:val="28"/>
          <w:rtl/>
        </w:rPr>
        <w:t xml:space="preserve">طباطبائي، محمود بن علي نقي- طباطبائي</w:t>
      </w:r>
    </w:p>
    <w:p>
      <w:pPr>
        <w:pStyle w:val="BookText"/>
      </w:pPr>
      <w:r>
        <w:rPr>
          <w:rFonts w:ascii="Amiri" w:hAnsi="Amiri" w:eastAsia="Amiri" w:cs="Amiri"/>
          <w:lang w:bidi="ar-SA"/>
          <w:color w:val="111111"/>
          <w:sz w:val="28"/>
          <w:szCs w:val="28"/>
          <w:rtl/>
        </w:rPr>
        <w:t xml:space="preserve">بروجردي ، محمود بن علينقي</w:t>
      </w:r>
    </w:p>
    <w:p>
      <w:pPr>
        <w:pStyle w:val="BookText"/>
      </w:pPr>
      <w:r>
        <w:rPr>
          <w:rFonts w:ascii="Amiri" w:hAnsi="Amiri" w:eastAsia="Amiri" w:cs="Amiri"/>
          <w:lang w:bidi="ar-SA"/>
          <w:color w:val="111111"/>
          <w:sz w:val="28"/>
          <w:szCs w:val="28"/>
          <w:rtl/>
        </w:rPr>
        <w:t xml:space="preserve">طباطبائي، محمود بن علينقي- طباطبائي</w:t>
      </w:r>
    </w:p>
    <w:p>
      <w:pPr>
        <w:pStyle w:val="BookText"/>
      </w:pPr>
      <w:r>
        <w:rPr>
          <w:rFonts w:ascii="Amiri" w:hAnsi="Amiri" w:eastAsia="Amiri" w:cs="Amiri"/>
          <w:lang w:bidi="ar-SA"/>
          <w:color w:val="111111"/>
          <w:sz w:val="28"/>
          <w:szCs w:val="28"/>
          <w:rtl/>
        </w:rPr>
        <w:t xml:space="preserve">بروجردي ، محمود بن علينقي</w:t>
      </w:r>
    </w:p>
    <w:p>
      <w:pPr>
        <w:pStyle w:val="Heading2"/>
      </w:pPr>
      <w:bookmarkStart w:id="5570" w:name="_Toc4672"/>
      <w:r>
        <w:t>طباطبائي ، مهدي</w:t>
      </w:r>
      <w:bookmarkEnd w:id="5570"/>
    </w:p>
    <w:p>
      <w:pPr>
        <w:pStyle w:val="BookText"/>
      </w:pPr>
      <w:r>
        <w:rPr>
          <w:rFonts w:ascii="Amiri" w:hAnsi="Amiri" w:eastAsia="Amiri" w:cs="Amiri"/>
          <w:lang w:bidi="ar-SA"/>
          <w:color w:val="111111"/>
          <w:sz w:val="28"/>
          <w:szCs w:val="28"/>
          <w:rtl/>
        </w:rPr>
        <w:t xml:space="preserve">مجموعة مسائل، ج 14، ص 57.</w:t>
      </w:r>
    </w:p>
    <w:p>
      <w:pPr>
        <w:pStyle w:val="BookText"/>
      </w:pPr>
      <w:r>
        <w:rPr>
          <w:rFonts w:ascii="Amiri" w:hAnsi="Amiri" w:eastAsia="Amiri" w:cs="Amiri"/>
          <w:lang w:bidi="ar-SA"/>
          <w:color w:val="111111"/>
          <w:sz w:val="28"/>
          <w:szCs w:val="28"/>
          <w:rtl/>
        </w:rPr>
        <w:t xml:space="preserve">طباطبائي، مهدي بن علي - 1260 ؟ ه-</w:t>
      </w:r>
    </w:p>
    <w:p>
      <w:pPr>
        <w:pStyle w:val="BookText"/>
      </w:pPr>
      <w:r>
        <w:rPr>
          <w:rFonts w:ascii="Amiri" w:hAnsi="Amiri" w:eastAsia="Amiri" w:cs="Amiri"/>
          <w:lang w:bidi="ar-SA"/>
          <w:color w:val="111111"/>
          <w:sz w:val="28"/>
          <w:szCs w:val="28"/>
          <w:rtl/>
        </w:rPr>
        <w:t xml:space="preserve">1.حجية الظن، ج 6، ص 500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رسائل اصولية، ج 8، ص 135.</w:t>
      </w:r>
    </w:p>
    <w:p>
      <w:pPr>
        <w:pStyle w:val="Heading2"/>
      </w:pPr>
      <w:bookmarkStart w:id="5571" w:name="_Toc4673"/>
      <w:r>
        <w:t>طباطبائي ، مهدي بن محمّد باقر</w:t>
      </w:r>
      <w:bookmarkEnd w:id="5571"/>
    </w:p>
    <w:p>
      <w:pPr>
        <w:pStyle w:val="BookText"/>
      </w:pPr>
      <w:r>
        <w:rPr>
          <w:rFonts w:ascii="Amiri" w:hAnsi="Amiri" w:eastAsia="Amiri" w:cs="Amiri"/>
          <w:lang w:bidi="ar-SA"/>
          <w:color w:val="111111"/>
          <w:sz w:val="28"/>
          <w:szCs w:val="28"/>
          <w:rtl/>
        </w:rPr>
        <w:t xml:space="preserve">المجالس الحسينية، ج13، ص790.</w:t>
      </w:r>
    </w:p>
    <w:p>
      <w:pPr>
        <w:pStyle w:val="BookText"/>
      </w:pPr>
      <w:r>
        <w:rPr>
          <w:rFonts w:ascii="Amiri" w:hAnsi="Amiri" w:eastAsia="Amiri" w:cs="Amiri"/>
          <w:lang w:bidi="ar-SA"/>
          <w:color w:val="111111"/>
          <w:sz w:val="28"/>
          <w:szCs w:val="28"/>
          <w:rtl/>
        </w:rPr>
        <w:t xml:space="preserve">طباطبائي، مهدي بن مرتضى - بحر العلوم ، محمّد مهدي بن مرتضى</w:t>
      </w:r>
    </w:p>
    <w:p>
      <w:pPr>
        <w:pStyle w:val="BookText"/>
      </w:pPr>
      <w:r>
        <w:rPr>
          <w:rFonts w:ascii="Amiri" w:hAnsi="Amiri" w:eastAsia="Amiri" w:cs="Amiri"/>
          <w:lang w:bidi="ar-SA"/>
          <w:color w:val="111111"/>
          <w:sz w:val="28"/>
          <w:szCs w:val="28"/>
          <w:rtl/>
        </w:rPr>
        <w:t xml:space="preserve">طباطبائي ، ميرسيد علي- طباطبائي كربلائي</w:t>
      </w:r>
    </w:p>
    <w:p>
      <w:pPr>
        <w:pStyle w:val="BookText"/>
      </w:pPr>
      <w:r>
        <w:rPr>
          <w:rFonts w:ascii="Amiri" w:hAnsi="Amiri" w:eastAsia="Amiri" w:cs="Amiri"/>
          <w:lang w:bidi="ar-SA"/>
          <w:color w:val="111111"/>
          <w:sz w:val="28"/>
          <w:szCs w:val="28"/>
          <w:rtl/>
        </w:rPr>
        <w:t xml:space="preserve">، علي بن محمّد علي</w:t>
      </w:r>
    </w:p>
    <w:p>
      <w:pPr>
        <w:pStyle w:val="BookText"/>
      </w:pPr>
      <w:r>
        <w:rPr>
          <w:rFonts w:ascii="IRNazanin" w:hAnsi="IRNazanin" w:eastAsia="IRNazanin" w:cs="IRNazanin"/>
          <w:lang w:bidi="fa-IR"/>
          <w:color w:val="111111"/>
          <w:sz w:val="28"/>
          <w:szCs w:val="28"/>
          <w:rtl/>
        </w:rPr>
        <w:t xml:space="preserve">طباطبائي نائيني ، رفیع الدین محمّد بن</w:t>
      </w:r>
    </w:p>
    <w:p>
      <w:pPr>
        <w:pStyle w:val="BookText"/>
      </w:pPr>
      <w:r>
        <w:rPr>
          <w:rFonts w:ascii="Amiri" w:hAnsi="Amiri" w:eastAsia="Amiri" w:cs="Amiri"/>
          <w:lang w:bidi="ar-SA"/>
          <w:color w:val="111111"/>
          <w:sz w:val="28"/>
          <w:szCs w:val="28"/>
          <w:rtl/>
        </w:rPr>
        <w:t xml:space="preserve">حيدر -رفيعا ، محمّد بن حيدر</w:t>
      </w:r>
    </w:p>
    <w:p>
      <w:pPr>
        <w:pStyle w:val="BookText"/>
      </w:pPr>
      <w:r>
        <w:rPr>
          <w:rFonts w:ascii="Amiri" w:hAnsi="Amiri" w:eastAsia="Amiri" w:cs="Amiri"/>
          <w:lang w:bidi="ar-SA"/>
          <w:color w:val="111111"/>
          <w:sz w:val="28"/>
          <w:szCs w:val="28"/>
          <w:rtl/>
        </w:rPr>
        <w:t xml:space="preserve">طباطبائي نجفي ، محمّد تقي بن محمّد</w:t>
      </w:r>
    </w:p>
    <w:p>
      <w:pPr>
        <w:pStyle w:val="BookText"/>
      </w:pPr>
      <w:r>
        <w:rPr>
          <w:rFonts w:ascii="Amiri" w:hAnsi="Amiri" w:eastAsia="Amiri" w:cs="Amiri"/>
          <w:lang w:bidi="ar-SA"/>
          <w:color w:val="111111"/>
          <w:sz w:val="28"/>
          <w:szCs w:val="28"/>
          <w:rtl/>
        </w:rPr>
        <w:t xml:space="preserve">رضا -طباطبائي بروجردي ، محمّد تقي بن محمدرضا</w:t>
      </w:r>
    </w:p>
    <w:p>
      <w:pPr>
        <w:pStyle w:val="BookText"/>
      </w:pPr>
      <w:r>
        <w:rPr>
          <w:rFonts w:ascii="Amiri" w:hAnsi="Amiri" w:eastAsia="Amiri" w:cs="Amiri"/>
          <w:lang w:bidi="ar-SA"/>
          <w:color w:val="111111"/>
          <w:sz w:val="28"/>
          <w:szCs w:val="28"/>
          <w:rtl/>
        </w:rPr>
        <w:t xml:space="preserve">طباطبائي نجفي ، مهدي بن</w:t>
      </w:r>
    </w:p>
    <w:p>
      <w:pPr>
        <w:pStyle w:val="BookText"/>
      </w:pPr>
      <w:r>
        <w:rPr>
          <w:rFonts w:ascii="Amiri" w:hAnsi="Amiri" w:eastAsia="Amiri" w:cs="Amiri"/>
          <w:lang w:bidi="ar-SA"/>
          <w:color w:val="111111"/>
          <w:sz w:val="28"/>
          <w:szCs w:val="28"/>
          <w:rtl/>
        </w:rPr>
        <w:t xml:space="preserve">مرتضى- بحر العلوم ، محمّد مهدي بن مرتضى</w:t>
      </w:r>
    </w:p>
    <w:p>
      <w:pPr>
        <w:pStyle w:val="BookText"/>
      </w:pPr>
      <w:r>
        <w:rPr>
          <w:rFonts w:ascii="Amiri" w:hAnsi="Amiri" w:eastAsia="Amiri" w:cs="Amiri"/>
          <w:lang w:bidi="ar-SA"/>
          <w:color w:val="111111"/>
          <w:sz w:val="28"/>
          <w:szCs w:val="28"/>
          <w:rtl/>
        </w:rPr>
        <w:t xml:space="preserve">طباطبائي همداني ، محمّد باقر بن محمّد جعفر- همداني شيخي ، محمّد باقر بن محمّد جعفر</w:t>
      </w:r>
    </w:p>
    <w:p>
      <w:pPr>
        <w:pStyle w:val="Heading2"/>
      </w:pPr>
      <w:bookmarkStart w:id="5572" w:name="_Toc4674"/>
      <w:r>
        <w:t>طباطبائي يزدي ، عبد العزيز بن جواد 1308 - 1374 ش</w:t>
      </w:r>
      <w:bookmarkEnd w:id="5572"/>
    </w:p>
    <w:p>
      <w:pPr>
        <w:pStyle w:val="BookText"/>
      </w:pPr>
      <w:r>
        <w:rPr>
          <w:rFonts w:ascii="Amiri" w:hAnsi="Amiri" w:eastAsia="Amiri" w:cs="Amiri"/>
          <w:lang w:bidi="ar-SA"/>
          <w:color w:val="111111"/>
          <w:sz w:val="28"/>
          <w:szCs w:val="28"/>
          <w:rtl/>
        </w:rPr>
        <w:t xml:space="preserve">الغيبة، ج 11، ص 553.</w:t>
      </w:r>
    </w:p>
    <w:p>
      <w:pPr>
        <w:pStyle w:val="BookText"/>
      </w:pPr>
      <w:r>
        <w:rPr>
          <w:rFonts w:ascii="Amiri" w:hAnsi="Amiri" w:eastAsia="Amiri" w:cs="Amiri"/>
          <w:lang w:bidi="ar-SA"/>
          <w:color w:val="111111"/>
          <w:sz w:val="28"/>
          <w:szCs w:val="28"/>
          <w:rtl/>
        </w:rPr>
        <w:t xml:space="preserve">طباطبائي يزدي ، محمّد باقر بن مرتضى -</w:t>
      </w:r>
    </w:p>
    <w:p>
      <w:pPr>
        <w:pStyle w:val="BookText"/>
      </w:pPr>
      <w:r>
        <w:rPr>
          <w:rFonts w:ascii="Amiri" w:hAnsi="Amiri" w:eastAsia="Amiri" w:cs="Amiri"/>
          <w:lang w:bidi="ar-SA"/>
          <w:color w:val="111111"/>
          <w:sz w:val="28"/>
          <w:szCs w:val="28"/>
          <w:rtl/>
        </w:rPr>
        <w:t xml:space="preserve">يزدي حائري ، محمّد باقر بن مرتضى</w:t>
      </w:r>
    </w:p>
    <w:p>
      <w:pPr>
        <w:pStyle w:val="BookText"/>
      </w:pPr>
      <w:r>
        <w:rPr>
          <w:rFonts w:ascii="IRNazanin" w:hAnsi="IRNazanin" w:eastAsia="IRNazanin" w:cs="IRNazanin"/>
          <w:lang w:bidi="fa-IR"/>
          <w:color w:val="111111"/>
          <w:sz w:val="28"/>
          <w:szCs w:val="28"/>
          <w:rtl/>
        </w:rPr>
        <w:t xml:space="preserve">طباطبائي يزدي ، محمّد كاظم بن عبد العظيم- يزدي ، محمّد كاظم بن عبدالعظیم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95" w:name="pg7742_70688"/>
    <w:bookmarkEnd w:id="695"/>
    <w:p>
      <w:pPr>
        <w:pStyle w:val="BookText"/>
      </w:pPr>
      <w:r>
        <w:rPr>
          <w:rFonts w:ascii="Amiri" w:hAnsi="Amiri" w:eastAsia="Amiri" w:cs="Amiri"/>
          <w:lang w:bidi="ar-SA"/>
          <w:color w:val="111111"/>
          <w:sz w:val="28"/>
          <w:szCs w:val="28"/>
          <w:rtl/>
        </w:rPr>
        <w:t xml:space="preserve">طباطبا ، ابراهيم بن ناصر -طباطبائي</w:t>
      </w:r>
    </w:p>
    <w:p>
      <w:pPr>
        <w:pStyle w:val="BookText"/>
      </w:pPr>
      <w:r>
        <w:rPr>
          <w:rFonts w:ascii="Amiri" w:hAnsi="Amiri" w:eastAsia="Amiri" w:cs="Amiri"/>
          <w:lang w:bidi="ar-SA"/>
          <w:color w:val="111111"/>
          <w:sz w:val="28"/>
          <w:szCs w:val="28"/>
          <w:rtl/>
        </w:rPr>
        <w:t xml:space="preserve">ابراهيم بن ناصر</w:t>
      </w:r>
    </w:p>
    <w:p>
      <w:pPr>
        <w:pStyle w:val="BookText"/>
      </w:pPr>
      <w:r>
        <w:rPr>
          <w:rFonts w:ascii="Amiri" w:hAnsi="Amiri" w:eastAsia="Amiri" w:cs="Amiri"/>
          <w:lang w:bidi="ar-SA"/>
          <w:color w:val="111111"/>
          <w:sz w:val="28"/>
          <w:szCs w:val="28"/>
          <w:rtl/>
        </w:rPr>
        <w:t xml:space="preserve">طباطبا ، محمّد مسیح بن ّمحمّد</w:t>
      </w:r>
    </w:p>
    <w:p>
      <w:pPr>
        <w:pStyle w:val="BookText"/>
      </w:pPr>
      <w:r>
        <w:rPr>
          <w:rFonts w:ascii="IRNazanin" w:hAnsi="IRNazanin" w:eastAsia="IRNazanin" w:cs="IRNazanin"/>
          <w:lang w:bidi="fa-IR"/>
          <w:color w:val="111111"/>
          <w:sz w:val="28"/>
          <w:szCs w:val="28"/>
          <w:rtl/>
        </w:rPr>
        <w:t xml:space="preserve">امین -طباطبائي ، محمّد مسیح بن محمّد امین</w:t>
      </w:r>
    </w:p>
    <w:p>
      <w:pPr>
        <w:pStyle w:val="Heading2"/>
      </w:pPr>
      <w:bookmarkStart w:id="5573" w:name="_Toc4675"/>
      <w:r>
        <w:t>طباطبي ، ياسين بن ابراهيم</w:t>
      </w:r>
      <w:bookmarkEnd w:id="5573"/>
    </w:p>
    <w:p>
      <w:pPr>
        <w:pStyle w:val="BookText"/>
      </w:pPr>
      <w:r>
        <w:rPr>
          <w:rFonts w:ascii="Amiri" w:hAnsi="Amiri" w:eastAsia="Amiri" w:cs="Amiri"/>
          <w:lang w:bidi="ar-SA"/>
          <w:color w:val="111111"/>
          <w:sz w:val="28"/>
          <w:szCs w:val="28"/>
          <w:rtl/>
        </w:rPr>
        <w:t xml:space="preserve">زهر الرياض، ج 8، ص 628 .</w:t>
      </w:r>
    </w:p>
    <w:p>
      <w:pPr>
        <w:pStyle w:val="Heading2"/>
      </w:pPr>
      <w:bookmarkStart w:id="5574" w:name="_Toc4676"/>
      <w:r>
        <w:t>طبراني، سليمان بن احمد، 260 - 360 ه-</w:t>
      </w:r>
      <w:bookmarkEnd w:id="5574"/>
    </w:p>
    <w:p>
      <w:pPr>
        <w:pStyle w:val="BookText"/>
      </w:pPr>
      <w:r>
        <w:rPr>
          <w:rFonts w:ascii="Amiri" w:hAnsi="Amiri" w:eastAsia="Amiri" w:cs="Amiri"/>
          <w:lang w:bidi="ar-SA"/>
          <w:color w:val="111111"/>
          <w:sz w:val="28"/>
          <w:szCs w:val="28"/>
          <w:rtl/>
        </w:rPr>
        <w:t xml:space="preserve">1 .طرق حديث من كذب على</w:t>
      </w:r>
    </w:p>
    <w:p>
      <w:pPr>
        <w:pStyle w:val="BookText"/>
      </w:pPr>
      <w:r>
        <w:rPr>
          <w:rFonts w:ascii="IRNazanin" w:hAnsi="IRNazanin" w:eastAsia="IRNazanin" w:cs="IRNazanin"/>
          <w:lang w:bidi="fa-IR"/>
          <w:color w:val="111111"/>
          <w:sz w:val="28"/>
          <w:szCs w:val="28"/>
          <w:rtl/>
        </w:rPr>
        <w:t xml:space="preserve">معتمداً»، ج 10، ص 815.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المعجم الاوسط، ج 15 ، ص 13.</w:t>
      </w:r>
    </w:p>
    <w:p>
      <w:pPr>
        <w:pStyle w:val="BookText"/>
      </w:pPr>
      <w:r>
        <w:rPr>
          <w:rFonts w:ascii="Amiri" w:hAnsi="Amiri" w:eastAsia="Amiri" w:cs="Amiri"/>
          <w:lang w:bidi="ar-SA"/>
          <w:color w:val="111111"/>
          <w:sz w:val="28"/>
          <w:szCs w:val="28"/>
          <w:rtl/>
        </w:rPr>
        <w:t xml:space="preserve">3.المعجم الكبير، ج 15 ، ص 20.</w:t>
      </w:r>
    </w:p>
    <w:p>
      <w:pPr>
        <w:pStyle w:val="BookText"/>
      </w:pPr>
      <w:r>
        <w:rPr>
          <w:rFonts w:ascii="Amiri" w:hAnsi="Amiri" w:eastAsia="Amiri" w:cs="Amiri"/>
          <w:lang w:bidi="ar-SA"/>
          <w:color w:val="111111"/>
          <w:sz w:val="28"/>
          <w:szCs w:val="28"/>
          <w:rtl/>
        </w:rPr>
        <w:t xml:space="preserve">طبرستاني رازي ، محمّد بن عمر- فخر</w:t>
      </w:r>
    </w:p>
    <w:p>
      <w:pPr>
        <w:pStyle w:val="BookText"/>
      </w:pPr>
      <w:r>
        <w:rPr>
          <w:rFonts w:ascii="Amiri" w:hAnsi="Amiri" w:eastAsia="Amiri" w:cs="Amiri"/>
          <w:lang w:bidi="ar-SA"/>
          <w:color w:val="111111"/>
          <w:sz w:val="28"/>
          <w:szCs w:val="28"/>
          <w:rtl/>
        </w:rPr>
        <w:t xml:space="preserve">رازي ، محمّد بن عمر</w:t>
      </w:r>
    </w:p>
    <w:p>
      <w:pPr>
        <w:pStyle w:val="Heading2"/>
      </w:pPr>
      <w:bookmarkStart w:id="5575" w:name="_Toc4677"/>
      <w:r>
        <w:t>طبرسي ، احمد بن علي - 620 ؟ ه-</w:t>
      </w:r>
      <w:bookmarkEnd w:id="5575"/>
    </w:p>
    <w:p>
      <w:pPr>
        <w:pStyle w:val="BookText"/>
      </w:pPr>
      <w:r>
        <w:rPr>
          <w:rFonts w:ascii="IRNazanin" w:hAnsi="IRNazanin" w:eastAsia="IRNazanin" w:cs="IRNazanin"/>
          <w:lang w:bidi="fa-IR"/>
          <w:color w:val="111111"/>
          <w:sz w:val="28"/>
          <w:szCs w:val="28"/>
          <w:rtl/>
        </w:rPr>
        <w:t xml:space="preserve">الاحتجاج على اهل اللجاج = احتجاج</w:t>
      </w:r>
    </w:p>
    <w:p>
      <w:pPr>
        <w:pStyle w:val="BookText"/>
      </w:pPr>
      <w:r>
        <w:rPr>
          <w:rFonts w:ascii="Amiri" w:hAnsi="Amiri" w:eastAsia="Amiri" w:cs="Amiri"/>
          <w:lang w:bidi="ar-SA"/>
          <w:color w:val="111111"/>
          <w:sz w:val="28"/>
          <w:szCs w:val="28"/>
          <w:rtl/>
        </w:rPr>
        <w:t xml:space="preserve">طبرسي، ج 1 ، ص 435 .</w:t>
      </w:r>
    </w:p>
    <w:p>
      <w:pPr>
        <w:pStyle w:val="BookText"/>
      </w:pPr>
      <w:r>
        <w:rPr>
          <w:rFonts w:ascii="Amiri" w:hAnsi="Amiri" w:eastAsia="Amiri" w:cs="Amiri"/>
          <w:lang w:bidi="ar-SA"/>
          <w:color w:val="111111"/>
          <w:sz w:val="28"/>
          <w:szCs w:val="28"/>
          <w:rtl/>
        </w:rPr>
        <w:t xml:space="preserve">طبرسي، حسن بن علي- طبري ، حسن بن</w:t>
      </w:r>
    </w:p>
    <w:p>
      <w:pPr>
        <w:pStyle w:val="Heading2"/>
      </w:pPr>
      <w:bookmarkStart w:id="5576" w:name="_Toc4678"/>
      <w:r>
        <w:t>طبرسي، حسن بن فضل قرن 6 ه-</w:t>
      </w:r>
      <w:bookmarkEnd w:id="5576"/>
    </w:p>
    <w:p>
      <w:pPr>
        <w:pStyle w:val="BookText"/>
      </w:pPr>
      <w:r>
        <w:rPr>
          <w:rFonts w:ascii="IRNazanin" w:hAnsi="IRNazanin" w:eastAsia="IRNazanin" w:cs="IRNazanin"/>
          <w:lang w:bidi="fa-IR"/>
          <w:color w:val="111111"/>
          <w:sz w:val="28"/>
          <w:szCs w:val="28"/>
          <w:rtl/>
        </w:rPr>
        <w:t xml:space="preserve">مکارم الاخلاق و معالم الاعلاق = مکارم الاخلاق و محاسن ،آداب، ج 15</w:t>
      </w:r>
    </w:p>
    <w:p>
      <w:pPr>
        <w:pStyle w:val="BookText"/>
      </w:pPr>
      <w:r>
        <w:rPr>
          <w:rFonts w:ascii="IRNazanin" w:hAnsi="IRNazanin" w:eastAsia="IRNazanin" w:cs="IRNazanin"/>
          <w:lang w:bidi="fa-IR"/>
          <w:color w:val="111111"/>
          <w:sz w:val="28"/>
          <w:szCs w:val="28"/>
          <w:rtl/>
        </w:rPr>
        <w:t xml:space="preserve">ص 413.</w:t>
      </w:r>
    </w:p>
    <w:p>
      <w:pPr>
        <w:pStyle w:val="Heading2"/>
      </w:pPr>
      <w:bookmarkStart w:id="5577" w:name="_Toc4679"/>
      <w:r>
        <w:t>طبرسي، حسين بن محمّد تقي قرن 13</w:t>
      </w:r>
      <w:bookmarkEnd w:id="5577"/>
    </w:p>
    <w:p>
      <w:pPr>
        <w:pStyle w:val="BookText"/>
      </w:pPr>
      <w:r>
        <w:rPr>
          <w:rFonts w:ascii="Amiri" w:hAnsi="Amiri" w:eastAsia="Amiri" w:cs="Amiri"/>
          <w:lang w:bidi="ar-SA"/>
          <w:color w:val="111111"/>
          <w:sz w:val="28"/>
          <w:szCs w:val="28"/>
          <w:rtl/>
        </w:rPr>
        <w:t xml:space="preserve">التمحيص، ج4، ص878</w:t>
      </w:r>
    </w:p>
    <w:p>
      <w:pPr>
        <w:pStyle w:val="Heading2"/>
      </w:pPr>
      <w:bookmarkStart w:id="5578" w:name="_Toc4680"/>
      <w:r>
        <w:t>१ طبرسي، علي بن حسن ، قرن 7 ه-</w:t>
      </w:r>
      <w:bookmarkEnd w:id="5578"/>
    </w:p>
    <w:p>
      <w:pPr>
        <w:pStyle w:val="BookText"/>
      </w:pPr>
      <w:r>
        <w:rPr>
          <w:rFonts w:ascii="Amiri" w:hAnsi="Amiri" w:eastAsia="Amiri" w:cs="Amiri"/>
          <w:lang w:bidi="ar-SA"/>
          <w:color w:val="111111"/>
          <w:sz w:val="28"/>
          <w:szCs w:val="28"/>
          <w:rtl/>
        </w:rPr>
        <w:t xml:space="preserve">مشكاة الانوار في غرر الاخبار، ج 14،</w:t>
      </w:r>
    </w:p>
    <w:p>
      <w:pPr>
        <w:pStyle w:val="BookText"/>
      </w:pPr>
      <w:r>
        <w:rPr>
          <w:rFonts w:ascii="IRNazanin" w:hAnsi="IRNazanin" w:eastAsia="IRNazanin" w:cs="IRNazanin"/>
          <w:lang w:bidi="fa-IR"/>
          <w:color w:val="111111"/>
          <w:sz w:val="28"/>
          <w:szCs w:val="28"/>
          <w:rtl/>
        </w:rPr>
        <w:t xml:space="preserve">ص 632 .</w:t>
      </w:r>
    </w:p>
    <w:p>
      <w:pPr>
        <w:pStyle w:val="Heading2"/>
      </w:pPr>
      <w:bookmarkStart w:id="5579" w:name="_Toc4681"/>
      <w:r>
        <w:t>طبرسي، فضل بن حسن، 468 - 548 ؟</w:t>
      </w:r>
      <w:bookmarkEnd w:id="5579"/>
    </w:p>
    <w:p>
      <w:pPr>
        <w:pStyle w:val="BookText"/>
      </w:pPr>
      <w:r>
        <w:rPr>
          <w:rFonts w:ascii="Amiri" w:hAnsi="Amiri" w:eastAsia="Amiri" w:cs="Amiri"/>
          <w:lang w:bidi="ar-SA"/>
          <w:color w:val="111111"/>
          <w:sz w:val="28"/>
          <w:szCs w:val="28"/>
          <w:rtl/>
        </w:rPr>
        <w:t xml:space="preserve">1 .الآداب الدينية للخزانة المعينية</w:t>
      </w:r>
    </w:p>
    <w:p>
      <w:pPr>
        <w:pStyle w:val="BookText"/>
      </w:pPr>
      <w:r>
        <w:rPr>
          <w:rFonts w:ascii="IRNazanin" w:hAnsi="IRNazanin" w:eastAsia="IRNazanin" w:cs="IRNazanin"/>
          <w:lang w:bidi="fa-IR"/>
          <w:color w:val="111111"/>
          <w:sz w:val="28"/>
          <w:szCs w:val="28"/>
          <w:rtl/>
        </w:rPr>
        <w:t xml:space="preserve">ج 1،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اعلام الورى بأعلام الهدى، ج 2،</w:t>
      </w:r>
    </w:p>
    <w:p>
      <w:pPr>
        <w:pStyle w:val="BookText"/>
      </w:pPr>
      <w:r>
        <w:rPr>
          <w:rFonts w:ascii="IRNazanin" w:hAnsi="IRNazanin" w:eastAsia="IRNazanin" w:cs="IRNazanin"/>
          <w:lang w:bidi="fa-IR"/>
          <w:color w:val="111111"/>
          <w:sz w:val="28"/>
          <w:szCs w:val="28"/>
          <w:rtl/>
        </w:rPr>
        <w:t xml:space="preserve">ص 568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الايلاف، ج 3، ص 152.</w:t>
      </w:r>
    </w:p>
    <w:p>
      <w:pPr>
        <w:pStyle w:val="BookText"/>
      </w:pPr>
      <w:r>
        <w:rPr>
          <w:rFonts w:ascii="Amiri" w:hAnsi="Amiri" w:eastAsia="Amiri" w:cs="Amiri"/>
          <w:lang w:bidi="ar-SA"/>
          <w:color w:val="111111"/>
          <w:sz w:val="28"/>
          <w:szCs w:val="28"/>
          <w:rtl/>
        </w:rPr>
        <w:t xml:space="preserve">4 .جوامع الجامع - التفسير الوسيط</w:t>
      </w:r>
    </w:p>
    <w:p>
      <w:pPr>
        <w:pStyle w:val="BookText"/>
      </w:pPr>
      <w:r>
        <w:rPr>
          <w:rFonts w:ascii="IRNazanin" w:hAnsi="IRNazanin" w:eastAsia="IRNazanin" w:cs="IRNazanin"/>
          <w:lang w:bidi="fa-IR"/>
          <w:color w:val="111111"/>
          <w:sz w:val="28"/>
          <w:szCs w:val="28"/>
          <w:rtl/>
        </w:rPr>
        <w:t xml:space="preserve">ج 5، ص 521.</w:t>
      </w:r>
    </w:p>
    <w:p>
      <w:pPr>
        <w:pStyle w:val="BookText"/>
      </w:pPr>
      <w:r>
        <w:rPr>
          <w:rFonts w:ascii="Amiri" w:hAnsi="Amiri" w:eastAsia="Amiri" w:cs="Amiri"/>
          <w:lang w:bidi="ar-SA"/>
          <w:color w:val="111111"/>
          <w:sz w:val="28"/>
          <w:szCs w:val="28"/>
          <w:rtl/>
        </w:rPr>
        <w:t xml:space="preserve">5 .جواهر النحو في علم الاعراب، جه،</w:t>
      </w:r>
    </w:p>
    <w:p>
      <w:pPr>
        <w:pStyle w:val="BookText"/>
      </w:pPr>
      <w:r>
        <w:rPr>
          <w:rFonts w:ascii="IRNazanin" w:hAnsi="IRNazanin" w:eastAsia="IRNazanin" w:cs="IRNazanin"/>
          <w:lang w:bidi="fa-IR"/>
          <w:color w:val="111111"/>
          <w:sz w:val="28"/>
          <w:szCs w:val="28"/>
          <w:rtl/>
        </w:rPr>
        <w:t xml:space="preserve">ص 605 .</w:t>
      </w:r>
    </w:p>
    <w:p>
      <w:pPr>
        <w:pStyle w:val="BookText"/>
      </w:pPr>
      <w:r>
        <w:rPr>
          <w:rFonts w:ascii="Amiri" w:hAnsi="Amiri" w:eastAsia="Amiri" w:cs="Amiri"/>
          <w:lang w:bidi="ar-SA"/>
          <w:color w:val="111111"/>
          <w:sz w:val="28"/>
          <w:szCs w:val="28"/>
          <w:rtl/>
        </w:rPr>
        <w:t xml:space="preserve">6 .مجمع البيان في تفسير القرآن - مجمع البيان لعلوم القرآن، ج13،</w:t>
      </w:r>
    </w:p>
    <w:p>
      <w:pPr>
        <w:pStyle w:val="BookText"/>
      </w:pPr>
      <w:r>
        <w:rPr>
          <w:rFonts w:ascii="IRNazanin" w:hAnsi="IRNazanin" w:eastAsia="IRNazanin" w:cs="IRNazanin"/>
          <w:lang w:bidi="fa-IR"/>
          <w:color w:val="111111"/>
          <w:sz w:val="28"/>
          <w:szCs w:val="28"/>
          <w:rtl/>
        </w:rPr>
        <w:t xml:space="preserve">ص 840.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مسائل الخلاف (منتخب) = المنتخب من مسائل الخلاف =</w:t>
      </w:r>
    </w:p>
    <w:p>
      <w:pPr>
        <w:pStyle w:val="BookText"/>
      </w:pPr>
      <w:r>
        <w:rPr>
          <w:rFonts w:ascii="IRNazanin" w:hAnsi="IRNazanin" w:eastAsia="IRNazanin" w:cs="IRNazanin"/>
          <w:lang w:bidi="fa-IR"/>
          <w:color w:val="111111"/>
          <w:sz w:val="28"/>
          <w:szCs w:val="28"/>
          <w:rtl/>
        </w:rPr>
        <w:t xml:space="preserve">المؤتلف من المختلف، ج 14 ،</w:t>
      </w:r>
    </w:p>
    <w:p>
      <w:pPr>
        <w:pStyle w:val="BookText"/>
      </w:pPr>
      <w:r>
        <w:rPr>
          <w:rFonts w:ascii="IRNazanin" w:hAnsi="IRNazanin" w:eastAsia="IRNazanin" w:cs="IRNazanin"/>
          <w:lang w:bidi="fa-IR"/>
          <w:color w:val="111111"/>
          <w:sz w:val="28"/>
          <w:szCs w:val="28"/>
          <w:rtl/>
        </w:rPr>
        <w:t xml:space="preserve">ص 449.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نثر اللآلي - الدر المكنون، ج 16،</w:t>
      </w:r>
    </w:p>
    <w:p>
      <w:pPr>
        <w:pStyle w:val="BookText"/>
      </w:pPr>
      <w:r>
        <w:rPr>
          <w:rFonts w:ascii="IRNazanin" w:hAnsi="IRNazanin" w:eastAsia="IRNazanin" w:cs="IRNazanin"/>
          <w:lang w:bidi="fa-IR"/>
          <w:color w:val="111111"/>
          <w:sz w:val="28"/>
          <w:szCs w:val="28"/>
          <w:rtl/>
        </w:rPr>
        <w:t xml:space="preserve">ص 140 .</w:t>
      </w:r>
    </w:p>
    <w:p>
      <w:pPr>
        <w:pStyle w:val="BookText"/>
      </w:pPr>
      <w:r>
        <w:rPr>
          <w:rFonts w:ascii="Amiri" w:hAnsi="Amiri" w:eastAsia="Amiri" w:cs="Amiri"/>
          <w:lang w:bidi="ar-SA"/>
          <w:color w:val="111111"/>
          <w:sz w:val="28"/>
          <w:szCs w:val="28"/>
          <w:rtl/>
        </w:rPr>
        <w:t xml:space="preserve">طبرسي</w:t>
      </w:r>
    </w:p>
    <w:p>
      <w:pPr>
        <w:pStyle w:val="BookText"/>
      </w:pPr>
      <w:r>
        <w:rPr>
          <w:rFonts w:ascii="Amiri" w:hAnsi="Amiri" w:eastAsia="Amiri" w:cs="Amiri"/>
          <w:lang w:bidi="ar-SA"/>
          <w:color w:val="111111"/>
          <w:sz w:val="28"/>
          <w:szCs w:val="28"/>
          <w:rtl/>
        </w:rPr>
        <w:t xml:space="preserve">حائري ، محّمد بن اسماعيل - مازندراني</w:t>
      </w:r>
    </w:p>
    <w:p>
      <w:pPr>
        <w:pStyle w:val="BookText"/>
      </w:pPr>
      <w:r>
        <w:rPr>
          <w:rFonts w:ascii="Amiri" w:hAnsi="Amiri" w:eastAsia="Amiri" w:cs="Amiri"/>
          <w:lang w:bidi="ar-SA"/>
          <w:color w:val="111111"/>
          <w:sz w:val="28"/>
          <w:szCs w:val="28"/>
          <w:rtl/>
        </w:rPr>
        <w:t xml:space="preserve">، محمّد بن اسماعيل</w:t>
      </w:r>
    </w:p>
    <w:p>
      <w:pPr>
        <w:pStyle w:val="Heading2"/>
      </w:pPr>
      <w:bookmarkStart w:id="5580" w:name="_Toc4682"/>
      <w:r>
        <w:t>طبرسي، محمّد صالح</w:t>
      </w:r>
      <w:bookmarkEnd w:id="5580"/>
    </w:p>
    <w:p>
      <w:pPr>
        <w:pStyle w:val="BookText"/>
      </w:pPr>
      <w:r>
        <w:rPr>
          <w:rFonts w:ascii="Amiri" w:hAnsi="Amiri" w:eastAsia="Amiri" w:cs="Amiri"/>
          <w:lang w:bidi="ar-SA"/>
          <w:color w:val="111111"/>
          <w:sz w:val="28"/>
          <w:szCs w:val="28"/>
          <w:rtl/>
        </w:rPr>
        <w:t xml:space="preserve">الحجة على تلك المحجة، ج 6، ص 485.</w:t>
      </w:r>
    </w:p>
    <w:p>
      <w:pPr>
        <w:pStyle w:val="BookText"/>
      </w:pPr>
      <w:r>
        <w:rPr>
          <w:rFonts w:ascii="Amiri" w:hAnsi="Amiri" w:eastAsia="Amiri" w:cs="Amiri"/>
          <w:lang w:bidi="ar-SA"/>
          <w:color w:val="111111"/>
          <w:sz w:val="28"/>
          <w:szCs w:val="28"/>
          <w:rtl/>
        </w:rPr>
        <w:t xml:space="preserve">طبرسي نوري ، حسين بن محمّد تقي- نوري ، حسين بن محمّد تقي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96" w:name="pg7742_70689"/>
    <w:bookmarkEnd w:id="696"/>
    <w:p>
      <w:pPr>
        <w:pStyle w:val="BookText"/>
      </w:pPr>
      <w:r>
        <w:rPr>
          <w:rFonts w:ascii="Amiri" w:hAnsi="Amiri" w:eastAsia="Amiri" w:cs="Amiri"/>
          <w:lang w:bidi="ar-SA"/>
          <w:color w:val="111111"/>
          <w:sz w:val="28"/>
          <w:szCs w:val="28"/>
          <w:rtl/>
        </w:rPr>
        <w:t xml:space="preserve">طبري آملي ، ابوجعفر محمّد بن جرير -طبري آملي ، محمّد بن جرير</w:t>
      </w:r>
    </w:p>
    <w:p>
      <w:pPr>
        <w:pStyle w:val="BookText"/>
      </w:pPr>
      <w:r>
        <w:rPr>
          <w:rFonts w:ascii="Amiri" w:hAnsi="Amiri" w:eastAsia="Amiri" w:cs="Amiri"/>
          <w:lang w:bidi="ar-SA"/>
          <w:color w:val="111111"/>
          <w:sz w:val="28"/>
          <w:szCs w:val="28"/>
          <w:rtl/>
        </w:rPr>
        <w:t xml:space="preserve">طبري آملي صغير ، محمّد بن جرير -طبري</w:t>
      </w:r>
    </w:p>
    <w:p>
      <w:pPr>
        <w:pStyle w:val="BookText"/>
      </w:pPr>
      <w:r>
        <w:rPr>
          <w:rFonts w:ascii="Amiri" w:hAnsi="Amiri" w:eastAsia="Amiri" w:cs="Amiri"/>
          <w:lang w:bidi="ar-SA"/>
          <w:color w:val="111111"/>
          <w:sz w:val="28"/>
          <w:szCs w:val="28"/>
          <w:rtl/>
        </w:rPr>
        <w:t xml:space="preserve">آملي ، محمّد بن جرير</w:t>
      </w:r>
    </w:p>
    <w:p>
      <w:pPr>
        <w:pStyle w:val="Heading2"/>
      </w:pPr>
      <w:bookmarkStart w:id="5581" w:name="_Toc4683"/>
      <w:r>
        <w:t>طبري آملي ، محمّد بن جریر، قرن 5 ه-</w:t>
      </w:r>
      <w:bookmarkEnd w:id="5581"/>
    </w:p>
    <w:p>
      <w:pPr>
        <w:pStyle w:val="BookText"/>
      </w:pPr>
      <w:r>
        <w:rPr>
          <w:rFonts w:ascii="Amiri" w:hAnsi="Amiri" w:eastAsia="Amiri" w:cs="Amiri"/>
          <w:lang w:bidi="ar-SA"/>
          <w:color w:val="111111"/>
          <w:sz w:val="28"/>
          <w:szCs w:val="28"/>
          <w:rtl/>
        </w:rPr>
        <w:t xml:space="preserve">1 .الامامة - دلائل الامامة = نوادر المعجزات في مناقب الائمة الهداة ج 2، ص730.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المسترشد في الامامة، ج 14، ص 554.</w:t>
      </w:r>
    </w:p>
    <w:p>
      <w:pPr>
        <w:pStyle w:val="Heading2"/>
      </w:pPr>
      <w:bookmarkStart w:id="5582" w:name="_Toc4684"/>
      <w:r>
        <w:t>طبري آملي ، محمّد بن علي، قرن 6 ه-</w:t>
      </w:r>
      <w:bookmarkEnd w:id="5582"/>
    </w:p>
    <w:p>
      <w:pPr>
        <w:pStyle w:val="BookText"/>
      </w:pPr>
      <w:r>
        <w:rPr>
          <w:rFonts w:ascii="Amiri" w:hAnsi="Amiri" w:eastAsia="Amiri" w:cs="Amiri"/>
          <w:lang w:bidi="ar-SA"/>
          <w:color w:val="111111"/>
          <w:sz w:val="28"/>
          <w:szCs w:val="28"/>
          <w:rtl/>
        </w:rPr>
        <w:t xml:space="preserve">بشارة المصطفى الشيعة المرتضى، ج 3،</w:t>
      </w:r>
    </w:p>
    <w:p>
      <w:pPr>
        <w:pStyle w:val="BookText"/>
      </w:pPr>
      <w:r>
        <w:rPr>
          <w:rFonts w:ascii="IRNazanin" w:hAnsi="IRNazanin" w:eastAsia="IRNazanin" w:cs="IRNazanin"/>
          <w:lang w:bidi="fa-IR"/>
          <w:color w:val="111111"/>
          <w:sz w:val="28"/>
          <w:szCs w:val="28"/>
          <w:rtl/>
        </w:rPr>
        <w:t xml:space="preserve">ص 335.</w:t>
      </w:r>
    </w:p>
    <w:p>
      <w:pPr>
        <w:pStyle w:val="Heading2"/>
      </w:pPr>
      <w:bookmarkStart w:id="5583" w:name="_Toc4685"/>
      <w:r>
        <w:t>طبري، احمد بن ابي احمد - 335 ؟ ه-</w:t>
      </w:r>
      <w:bookmarkEnd w:id="5583"/>
    </w:p>
    <w:p>
      <w:pPr>
        <w:pStyle w:val="BookText"/>
      </w:pPr>
      <w:r>
        <w:rPr>
          <w:rFonts w:ascii="Amiri" w:hAnsi="Amiri" w:eastAsia="Amiri" w:cs="Amiri"/>
          <w:lang w:bidi="ar-SA"/>
          <w:color w:val="111111"/>
          <w:sz w:val="28"/>
          <w:szCs w:val="28"/>
          <w:rtl/>
        </w:rPr>
        <w:t xml:space="preserve">ادب القاضي على مذهب الشافعي</w:t>
      </w:r>
    </w:p>
    <w:p>
      <w:pPr>
        <w:pStyle w:val="BookText"/>
      </w:pPr>
      <w:r>
        <w:rPr>
          <w:rFonts w:ascii="IRNazanin" w:hAnsi="IRNazanin" w:eastAsia="IRNazanin" w:cs="IRNazanin"/>
          <w:lang w:bidi="fa-IR"/>
          <w:color w:val="111111"/>
          <w:sz w:val="28"/>
          <w:szCs w:val="28"/>
          <w:rtl/>
        </w:rPr>
        <w:t xml:space="preserve">ج 1، ص 592.</w:t>
      </w:r>
    </w:p>
    <w:p>
      <w:pPr>
        <w:pStyle w:val="Heading2"/>
      </w:pPr>
      <w:bookmarkStart w:id="5584" w:name="_Toc4686"/>
      <w:r>
        <w:t>طبري ، احمد بن عبدالله 615 - 694 ه-</w:t>
      </w:r>
      <w:bookmarkEnd w:id="5584"/>
    </w:p>
    <w:p>
      <w:pPr>
        <w:pStyle w:val="BookText"/>
      </w:pPr>
      <w:r>
        <w:rPr>
          <w:rFonts w:ascii="Amiri" w:hAnsi="Amiri" w:eastAsia="Amiri" w:cs="Amiri"/>
          <w:lang w:bidi="ar-SA"/>
          <w:color w:val="111111"/>
          <w:sz w:val="28"/>
          <w:szCs w:val="28"/>
          <w:rtl/>
        </w:rPr>
        <w:t xml:space="preserve">1 .خلاصة العبر في سير سيد البشر</w:t>
      </w:r>
    </w:p>
    <w:p>
      <w:pPr>
        <w:pStyle w:val="BookText"/>
      </w:pPr>
      <w:r>
        <w:rPr>
          <w:rFonts w:ascii="IRNazanin" w:hAnsi="IRNazanin" w:eastAsia="IRNazanin" w:cs="IRNazanin"/>
          <w:lang w:bidi="fa-IR"/>
          <w:color w:val="111111"/>
          <w:sz w:val="28"/>
          <w:szCs w:val="28"/>
          <w:rtl/>
        </w:rPr>
        <w:t xml:space="preserve">ج 7، ص117.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ذخائر العقبى في مناقب ذوي</w:t>
      </w:r>
    </w:p>
    <w:p>
      <w:pPr>
        <w:pStyle w:val="BookText"/>
      </w:pPr>
      <w:r>
        <w:rPr>
          <w:rFonts w:ascii="Amiri" w:hAnsi="Amiri" w:eastAsia="Amiri" w:cs="Amiri"/>
          <w:lang w:bidi="ar-SA"/>
          <w:color w:val="111111"/>
          <w:sz w:val="28"/>
          <w:szCs w:val="28"/>
          <w:rtl/>
        </w:rPr>
        <w:t xml:space="preserve">القربي، ج 7، ص 814.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الرياض النضرة في فضائل العشرة</w:t>
      </w:r>
    </w:p>
    <w:p>
      <w:pPr>
        <w:pStyle w:val="BookText"/>
      </w:pPr>
      <w:r>
        <w:rPr>
          <w:rFonts w:ascii="Amiri" w:hAnsi="Amiri" w:eastAsia="Amiri" w:cs="Amiri"/>
          <w:lang w:bidi="ar-SA"/>
          <w:color w:val="111111"/>
          <w:sz w:val="28"/>
          <w:szCs w:val="28"/>
          <w:rtl/>
        </w:rPr>
        <w:t xml:space="preserve">المبشرة، ج8، ص 515.</w:t>
      </w:r>
    </w:p>
    <w:p>
      <w:pPr>
        <w:pStyle w:val="BookText"/>
      </w:pPr>
      <w:r>
        <w:rPr>
          <w:rFonts w:ascii="Amiri" w:hAnsi="Amiri" w:eastAsia="Amiri" w:cs="Amiri"/>
          <w:lang w:bidi="ar-SA"/>
          <w:color w:val="111111"/>
          <w:sz w:val="28"/>
          <w:szCs w:val="28"/>
          <w:rtl/>
        </w:rPr>
        <w:t xml:space="preserve">4.غاية الإحكام الأحاديث الأحكام</w:t>
      </w:r>
    </w:p>
    <w:p>
      <w:pPr>
        <w:pStyle w:val="BookText"/>
      </w:pPr>
      <w:r>
        <w:rPr>
          <w:rFonts w:ascii="IRNazanin" w:hAnsi="IRNazanin" w:eastAsia="IRNazanin" w:cs="IRNazanin"/>
          <w:lang w:bidi="fa-IR"/>
          <w:color w:val="111111"/>
          <w:sz w:val="28"/>
          <w:szCs w:val="28"/>
          <w:rtl/>
        </w:rPr>
        <w:t xml:space="preserve">ج 11، ص 426 .</w:t>
      </w:r>
    </w:p>
    <w:p>
      <w:pPr>
        <w:pStyle w:val="BookText"/>
      </w:pPr>
      <w:r>
        <w:rPr>
          <w:rFonts w:ascii="Amiri" w:hAnsi="Amiri" w:eastAsia="Amiri" w:cs="Amiri"/>
          <w:lang w:bidi="ar-SA"/>
          <w:color w:val="111111"/>
          <w:sz w:val="28"/>
          <w:szCs w:val="28"/>
          <w:rtl/>
        </w:rPr>
        <w:t xml:space="preserve">5 .كتاب القرى في ساكن أم القرى</w:t>
      </w:r>
    </w:p>
    <w:p>
      <w:pPr>
        <w:pStyle w:val="BookText"/>
      </w:pPr>
      <w:r>
        <w:rPr>
          <w:rFonts w:ascii="IRNazanin" w:hAnsi="IRNazanin" w:eastAsia="IRNazanin" w:cs="IRNazanin"/>
          <w:lang w:bidi="fa-IR"/>
          <w:color w:val="111111"/>
          <w:sz w:val="28"/>
          <w:szCs w:val="28"/>
          <w:rtl/>
        </w:rPr>
        <w:t xml:space="preserve">ج 13، ص 115.</w:t>
      </w:r>
    </w:p>
    <w:p>
      <w:pPr>
        <w:pStyle w:val="BookText"/>
      </w:pPr>
      <w:r>
        <w:rPr>
          <w:rFonts w:ascii="Amiri" w:hAnsi="Amiri" w:eastAsia="Amiri" w:cs="Amiri"/>
          <w:lang w:bidi="ar-SA"/>
          <w:color w:val="111111"/>
          <w:sz w:val="28"/>
          <w:szCs w:val="28"/>
          <w:rtl/>
        </w:rPr>
        <w:t xml:space="preserve">6.مجلة الحنفا في مناقب الخلفاء</w:t>
      </w:r>
    </w:p>
    <w:p>
      <w:pPr>
        <w:pStyle w:val="BookText"/>
      </w:pPr>
      <w:r>
        <w:rPr>
          <w:rFonts w:ascii="IRNazanin" w:hAnsi="IRNazanin" w:eastAsia="IRNazanin" w:cs="IRNazanin"/>
          <w:lang w:bidi="fa-IR"/>
          <w:color w:val="111111"/>
          <w:sz w:val="28"/>
          <w:szCs w:val="28"/>
          <w:rtl/>
        </w:rPr>
        <w:t xml:space="preserve">ج 13، ص 818.</w:t>
      </w:r>
    </w:p>
    <w:p>
      <w:pPr>
        <w:pStyle w:val="BookText"/>
      </w:pPr>
      <w:r>
        <w:rPr>
          <w:rFonts w:ascii="Amiri" w:hAnsi="Amiri" w:eastAsia="Amiri" w:cs="Amiri"/>
          <w:lang w:bidi="ar-SA"/>
          <w:color w:val="111111"/>
          <w:sz w:val="28"/>
          <w:szCs w:val="28"/>
          <w:rtl/>
        </w:rPr>
        <w:t xml:space="preserve">طبري، احمد بن محمّد -آملي طبري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طبري ، احمد بن محمّد- ناطفي ، احمد</w:t>
      </w:r>
    </w:p>
    <w:p>
      <w:pPr>
        <w:pStyle w:val="BookText"/>
      </w:pPr>
      <w:r>
        <w:rPr>
          <w:rFonts w:ascii="Amiri" w:hAnsi="Amiri" w:eastAsia="Amiri" w:cs="Amiri"/>
          <w:lang w:bidi="ar-SA"/>
          <w:color w:val="111111"/>
          <w:sz w:val="28"/>
          <w:szCs w:val="28"/>
          <w:rtl/>
        </w:rPr>
        <w:t xml:space="preserve">بن محمّد</w:t>
      </w:r>
    </w:p>
    <w:p>
      <w:pPr>
        <w:pStyle w:val="Heading2"/>
      </w:pPr>
      <w:bookmarkStart w:id="5585" w:name="_Toc4687"/>
      <w:r>
        <w:t>طبري، احمد بن محمّد - 366 ؟ ه-</w:t>
      </w:r>
      <w:bookmarkEnd w:id="5585"/>
    </w:p>
    <w:p>
      <w:pPr>
        <w:pStyle w:val="BookText"/>
      </w:pPr>
      <w:r>
        <w:rPr>
          <w:rFonts w:ascii="Amiri" w:hAnsi="Amiri" w:eastAsia="Amiri" w:cs="Amiri"/>
          <w:lang w:bidi="ar-SA"/>
          <w:color w:val="111111"/>
          <w:sz w:val="28"/>
          <w:szCs w:val="28"/>
          <w:rtl/>
        </w:rPr>
        <w:t xml:space="preserve">المعالجات البقراطية = الكناش في</w:t>
      </w:r>
    </w:p>
    <w:p>
      <w:pPr>
        <w:pStyle w:val="BookText"/>
      </w:pPr>
      <w:r>
        <w:rPr>
          <w:rFonts w:ascii="IRNazanin" w:hAnsi="IRNazanin" w:eastAsia="IRNazanin" w:cs="IRNazanin"/>
          <w:lang w:bidi="fa-IR"/>
          <w:color w:val="111111"/>
          <w:sz w:val="28"/>
          <w:szCs w:val="28"/>
          <w:rtl/>
        </w:rPr>
        <w:t xml:space="preserve">الطب، ج 14، ص 852.</w:t>
      </w:r>
    </w:p>
    <w:p>
      <w:pPr>
        <w:pStyle w:val="BookText"/>
      </w:pPr>
      <w:r>
        <w:rPr>
          <w:rFonts w:ascii="Amiri" w:hAnsi="Amiri" w:eastAsia="Amiri" w:cs="Amiri"/>
          <w:lang w:bidi="ar-SA"/>
          <w:color w:val="111111"/>
          <w:sz w:val="28"/>
          <w:szCs w:val="28"/>
          <w:rtl/>
        </w:rPr>
        <w:t xml:space="preserve">طبري استرآبادي، عماد الدين</w:t>
      </w:r>
    </w:p>
    <w:p>
      <w:pPr>
        <w:pStyle w:val="BookText"/>
      </w:pPr>
      <w:r>
        <w:rPr>
          <w:rFonts w:ascii="Amiri" w:hAnsi="Amiri" w:eastAsia="Amiri" w:cs="Amiri"/>
          <w:lang w:bidi="ar-SA"/>
          <w:color w:val="111111"/>
          <w:sz w:val="28"/>
          <w:szCs w:val="28"/>
          <w:rtl/>
        </w:rPr>
        <w:t xml:space="preserve">حسن -طبري ، حسن بن علي</w:t>
      </w:r>
    </w:p>
    <w:p>
      <w:pPr>
        <w:pStyle w:val="Heading2"/>
      </w:pPr>
      <w:bookmarkStart w:id="5586" w:name="_Toc4688"/>
      <w:r>
        <w:t>طبري ، حسن بن علي ، قرن 7 ه-</w:t>
      </w:r>
      <w:bookmarkEnd w:id="5586"/>
    </w:p>
    <w:p>
      <w:pPr>
        <w:pStyle w:val="BookText"/>
      </w:pPr>
      <w:r>
        <w:rPr>
          <w:rFonts w:ascii="IRNazanin" w:hAnsi="IRNazanin" w:eastAsia="IRNazanin" w:cs="IRNazanin"/>
          <w:lang w:bidi="fa-IR"/>
          <w:color w:val="111111"/>
          <w:sz w:val="28"/>
          <w:szCs w:val="28"/>
          <w:rtl/>
        </w:rPr>
        <w:t xml:space="preserve">1 .عمده، ج 11، ص285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مناقب الطاهرين و دلايل المؤمنين في فضائل اهل البيت المعصومين</w:t>
      </w:r>
    </w:p>
    <w:p>
      <w:pPr>
        <w:pStyle w:val="BookText"/>
      </w:pPr>
      <w:r>
        <w:rPr>
          <w:rFonts w:ascii="IRNazanin" w:hAnsi="IRNazanin" w:eastAsia="IRNazanin" w:cs="IRNazanin"/>
          <w:lang w:bidi="fa-IR"/>
          <w:color w:val="111111"/>
          <w:sz w:val="28"/>
          <w:szCs w:val="28"/>
          <w:rtl/>
        </w:rPr>
        <w:t xml:space="preserve">ج 15، ص 550.</w:t>
      </w:r>
    </w:p>
    <w:p>
      <w:pPr>
        <w:pStyle w:val="BookText"/>
      </w:pPr>
      <w:r>
        <w:rPr>
          <w:rFonts w:ascii="Amiri" w:hAnsi="Amiri" w:eastAsia="Amiri" w:cs="Amiri"/>
          <w:lang w:bidi="ar-SA"/>
          <w:color w:val="111111"/>
          <w:sz w:val="28"/>
          <w:szCs w:val="28"/>
          <w:rtl/>
        </w:rPr>
        <w:t xml:space="preserve">طبري، حيدر بن علي حسيني- آملي ،</w:t>
      </w:r>
    </w:p>
    <w:p>
      <w:pPr>
        <w:pStyle w:val="BookText"/>
      </w:pPr>
      <w:r>
        <w:rPr>
          <w:rFonts w:ascii="Amiri" w:hAnsi="Amiri" w:eastAsia="Amiri" w:cs="Amiri"/>
          <w:lang w:bidi="ar-SA"/>
          <w:color w:val="111111"/>
          <w:sz w:val="28"/>
          <w:szCs w:val="28"/>
          <w:rtl/>
        </w:rPr>
        <w:t xml:space="preserve">حيدر بن علي</w:t>
      </w:r>
    </w:p>
    <w:p>
      <w:pPr>
        <w:pStyle w:val="Heading2"/>
      </w:pPr>
      <w:bookmarkStart w:id="5587" w:name="_Toc4689"/>
      <w:r>
        <w:t>طبري رازي ، هبة الله بن حسن - 418</w:t>
      </w:r>
      <w:bookmarkEnd w:id="5587"/>
    </w:p>
    <w:p>
      <w:pPr>
        <w:pStyle w:val="BookText"/>
      </w:pPr>
      <w:r>
        <w:rPr>
          <w:rFonts w:ascii="Amiri" w:hAnsi="Amiri" w:eastAsia="Amiri" w:cs="Amiri"/>
          <w:lang w:bidi="ar-SA"/>
          <w:color w:val="111111"/>
          <w:sz w:val="28"/>
          <w:szCs w:val="28"/>
          <w:rtl/>
        </w:rPr>
        <w:t xml:space="preserve">الفوائد العوالي الحسان المنتقاة من</w:t>
      </w:r>
    </w:p>
    <w:p>
      <w:pPr>
        <w:pStyle w:val="BookText"/>
      </w:pPr>
      <w:r>
        <w:rPr>
          <w:rFonts w:ascii="Amiri" w:hAnsi="Amiri" w:eastAsia="Amiri" w:cs="Amiri"/>
          <w:lang w:bidi="ar-SA"/>
          <w:color w:val="111111"/>
          <w:sz w:val="28"/>
          <w:szCs w:val="28"/>
          <w:rtl/>
        </w:rPr>
        <w:t xml:space="preserve">امالي ابن بشران، ج 12، ص 249.</w:t>
      </w:r>
    </w:p>
    <w:p>
      <w:pPr>
        <w:pStyle w:val="BookText"/>
      </w:pPr>
      <w:r>
        <w:rPr>
          <w:rFonts w:ascii="Amiri" w:hAnsi="Amiri" w:eastAsia="Amiri" w:cs="Amiri"/>
          <w:lang w:bidi="ar-SA"/>
          <w:color w:val="111111"/>
          <w:sz w:val="28"/>
          <w:szCs w:val="28"/>
          <w:rtl/>
        </w:rPr>
        <w:t xml:space="preserve">طبري روياني ، عبدالواحد بن اسماعيل - روياني ، عبدالواحد بن اسماعيل</w:t>
      </w:r>
    </w:p>
    <w:p>
      <w:pPr>
        <w:pStyle w:val="BookText"/>
      </w:pPr>
      <w:r>
        <w:rPr>
          <w:rFonts w:ascii="Amiri" w:hAnsi="Amiri" w:eastAsia="Amiri" w:cs="Amiri"/>
          <w:lang w:bidi="ar-SA"/>
          <w:color w:val="111111"/>
          <w:sz w:val="28"/>
          <w:szCs w:val="28"/>
          <w:rtl/>
        </w:rPr>
        <w:t xml:space="preserve">طبري صغير ، محمّد بن جرير- طبري آملي ، محمّد بن جرير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97" w:name="pg7742_70690"/>
    <w:bookmarkEnd w:id="697"/>
    <w:p>
      <w:pPr>
        <w:pStyle w:val="Heading2"/>
      </w:pPr>
      <w:bookmarkStart w:id="5588" w:name="_Toc4690"/>
      <w:r>
        <w:t>طبري، طاهر بن عبد الله، 348 - 450 ه-</w:t>
      </w:r>
      <w:bookmarkEnd w:id="5588"/>
    </w:p>
    <w:p>
      <w:pPr>
        <w:pStyle w:val="BookText"/>
      </w:pPr>
      <w:r>
        <w:rPr>
          <w:rFonts w:ascii="Amiri" w:hAnsi="Amiri" w:eastAsia="Amiri" w:cs="Amiri"/>
          <w:lang w:bidi="ar-SA"/>
          <w:color w:val="111111"/>
          <w:sz w:val="28"/>
          <w:szCs w:val="28"/>
          <w:rtl/>
        </w:rPr>
        <w:t xml:space="preserve">1 .التعليقة الكبرى في الفقه الشافعي</w:t>
      </w:r>
    </w:p>
    <w:p>
      <w:pPr>
        <w:pStyle w:val="BookText"/>
      </w:pPr>
      <w:r>
        <w:rPr>
          <w:rFonts w:ascii="IRNazanin" w:hAnsi="IRNazanin" w:eastAsia="IRNazanin" w:cs="IRNazanin"/>
          <w:lang w:bidi="fa-IR"/>
          <w:color w:val="111111"/>
          <w:sz w:val="28"/>
          <w:szCs w:val="28"/>
          <w:rtl/>
        </w:rPr>
        <w:t xml:space="preserve">ج 4، ص 537 .</w:t>
      </w:r>
    </w:p>
    <w:p>
      <w:pPr>
        <w:pStyle w:val="BookText"/>
      </w:pPr>
      <w:r>
        <w:rPr>
          <w:rFonts w:ascii="Amiri" w:hAnsi="Amiri" w:eastAsia="Amiri" w:cs="Amiri"/>
          <w:lang w:bidi="ar-SA"/>
          <w:color w:val="111111"/>
          <w:sz w:val="28"/>
          <w:szCs w:val="28"/>
          <w:rtl/>
        </w:rPr>
        <w:t xml:space="preserve">2 .المنتقي من حديث ابن الغطريف</w:t>
      </w:r>
    </w:p>
    <w:p>
      <w:pPr>
        <w:pStyle w:val="BookText"/>
      </w:pPr>
      <w:r>
        <w:rPr>
          <w:rFonts w:ascii="IRNazanin" w:hAnsi="IRNazanin" w:eastAsia="IRNazanin" w:cs="IRNazanin"/>
          <w:lang w:bidi="fa-IR"/>
          <w:color w:val="111111"/>
          <w:sz w:val="28"/>
          <w:szCs w:val="28"/>
          <w:rtl/>
        </w:rPr>
        <w:t xml:space="preserve">ج 15 ، ص 631 .</w:t>
      </w:r>
    </w:p>
    <w:p>
      <w:pPr>
        <w:pStyle w:val="BookText"/>
      </w:pPr>
      <w:r>
        <w:rPr>
          <w:rFonts w:ascii="Amiri" w:hAnsi="Amiri" w:eastAsia="Amiri" w:cs="Amiri"/>
          <w:lang w:bidi="ar-SA"/>
          <w:color w:val="111111"/>
          <w:sz w:val="28"/>
          <w:szCs w:val="28"/>
          <w:rtl/>
        </w:rPr>
        <w:t xml:space="preserve">طبري، عبدالرحمن بن نصر -شيزري ،</w:t>
      </w:r>
    </w:p>
    <w:p>
      <w:pPr>
        <w:pStyle w:val="BookText"/>
      </w:pPr>
      <w:r>
        <w:rPr>
          <w:rFonts w:ascii="IRNazanin" w:hAnsi="IRNazanin" w:eastAsia="IRNazanin" w:cs="IRNazanin"/>
          <w:lang w:bidi="fa-IR"/>
          <w:color w:val="111111"/>
          <w:sz w:val="28"/>
          <w:szCs w:val="28"/>
          <w:rtl/>
        </w:rPr>
        <w:t xml:space="preserve">عبد الرحمن بن نصر</w:t>
      </w:r>
    </w:p>
    <w:p>
      <w:pPr>
        <w:pStyle w:val="BookText"/>
      </w:pPr>
      <w:r>
        <w:rPr>
          <w:rFonts w:ascii="Amiri" w:hAnsi="Amiri" w:eastAsia="Amiri" w:cs="Amiri"/>
          <w:lang w:bidi="ar-SA"/>
          <w:color w:val="111111"/>
          <w:sz w:val="28"/>
          <w:szCs w:val="28"/>
          <w:rtl/>
        </w:rPr>
        <w:t xml:space="preserve">طبري ، عبدالرحمن بن نصر الله - شيزري ، عبدالرحمن بن نصر</w:t>
      </w:r>
    </w:p>
    <w:p>
      <w:pPr>
        <w:pStyle w:val="Heading2"/>
      </w:pPr>
      <w:bookmarkStart w:id="5589" w:name="_Toc4691"/>
      <w:r>
        <w:t>طبري، عبد القادر</w:t>
      </w:r>
      <w:bookmarkEnd w:id="5589"/>
    </w:p>
    <w:p>
      <w:pPr>
        <w:pStyle w:val="BookText"/>
      </w:pPr>
      <w:r>
        <w:rPr>
          <w:rFonts w:ascii="Amiri" w:hAnsi="Amiri" w:eastAsia="Amiri" w:cs="Amiri"/>
          <w:lang w:bidi="ar-SA"/>
          <w:color w:val="111111"/>
          <w:sz w:val="28"/>
          <w:szCs w:val="28"/>
          <w:rtl/>
        </w:rPr>
        <w:t xml:space="preserve">ديوان عبد القادر الطبري، ج 7، ص 714.</w:t>
      </w:r>
    </w:p>
    <w:p>
      <w:pPr>
        <w:pStyle w:val="Heading2"/>
      </w:pPr>
      <w:bookmarkStart w:id="5590" w:name="_Toc4692"/>
      <w:r>
        <w:t>طبري، عبد القادر بن محمّد 976؟</w:t>
      </w:r>
      <w:bookmarkEnd w:id="5590"/>
    </w:p>
    <w:p>
      <w:pPr>
        <w:pStyle w:val="BookText"/>
      </w:pPr>
      <w:r>
        <w:rPr>
          <w:rFonts w:ascii="IRNazanin" w:hAnsi="IRNazanin" w:eastAsia="IRNazanin" w:cs="IRNazanin"/>
          <w:lang w:bidi="fa-IR"/>
          <w:color w:val="111111"/>
          <w:sz w:val="28"/>
          <w:szCs w:val="28"/>
          <w:rtl/>
        </w:rPr>
        <w:t xml:space="preserve">1033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الأيات المقصورة على الابيات</w:t>
      </w:r>
    </w:p>
    <w:p>
      <w:pPr>
        <w:pStyle w:val="BookText"/>
      </w:pPr>
      <w:r>
        <w:rPr>
          <w:rFonts w:ascii="Amiri" w:hAnsi="Amiri" w:eastAsia="Amiri" w:cs="Amiri"/>
          <w:lang w:bidi="ar-SA"/>
          <w:color w:val="111111"/>
          <w:sz w:val="28"/>
          <w:szCs w:val="28"/>
          <w:rtl/>
        </w:rPr>
        <w:t xml:space="preserve">المقصورة، ج 3، ص 90.</w:t>
      </w:r>
    </w:p>
    <w:p>
      <w:pPr>
        <w:pStyle w:val="BookText"/>
      </w:pPr>
      <w:r>
        <w:rPr>
          <w:rFonts w:ascii="Amiri" w:hAnsi="Amiri" w:eastAsia="Amiri" w:cs="Amiri"/>
          <w:lang w:bidi="ar-SA"/>
          <w:color w:val="111111"/>
          <w:sz w:val="28"/>
          <w:szCs w:val="28"/>
          <w:rtl/>
        </w:rPr>
        <w:t xml:space="preserve">2 .رفع الاشتباك عن تناول التنباك، ج8،</w:t>
      </w:r>
    </w:p>
    <w:p>
      <w:pPr>
        <w:pStyle w:val="BookText"/>
      </w:pPr>
      <w:r>
        <w:rPr>
          <w:rFonts w:ascii="IRNazanin" w:hAnsi="IRNazanin" w:eastAsia="IRNazanin" w:cs="IRNazanin"/>
          <w:lang w:bidi="fa-IR"/>
          <w:color w:val="111111"/>
          <w:sz w:val="28"/>
          <w:szCs w:val="28"/>
          <w:rtl/>
        </w:rPr>
        <w:t xml:space="preserve">ص 335.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عرف الشبه والفرق يبنما إشتبه</w:t>
      </w:r>
    </w:p>
    <w:p>
      <w:pPr>
        <w:pStyle w:val="BookText"/>
      </w:pPr>
      <w:r>
        <w:rPr>
          <w:rFonts w:ascii="IRNazanin" w:hAnsi="IRNazanin" w:eastAsia="IRNazanin" w:cs="IRNazanin"/>
          <w:lang w:bidi="fa-IR"/>
          <w:color w:val="111111"/>
          <w:sz w:val="28"/>
          <w:szCs w:val="28"/>
          <w:rtl/>
        </w:rPr>
        <w:t xml:space="preserve">ج 11، ص 80.</w:t>
      </w:r>
    </w:p>
    <w:p>
      <w:pPr>
        <w:pStyle w:val="BookText"/>
      </w:pPr>
      <w:r>
        <w:rPr>
          <w:rFonts w:ascii="Amiri" w:hAnsi="Amiri" w:eastAsia="Amiri" w:cs="Amiri"/>
          <w:lang w:bidi="ar-SA"/>
          <w:color w:val="111111"/>
          <w:sz w:val="28"/>
          <w:szCs w:val="28"/>
          <w:rtl/>
        </w:rPr>
        <w:t xml:space="preserve">طبري، عبدالكريم بن عبدالصمد- قطان ،</w:t>
      </w:r>
    </w:p>
    <w:p>
      <w:pPr>
        <w:pStyle w:val="BookText"/>
      </w:pPr>
      <w:r>
        <w:rPr>
          <w:rFonts w:ascii="Amiri" w:hAnsi="Amiri" w:eastAsia="Amiri" w:cs="Amiri"/>
          <w:lang w:bidi="ar-SA"/>
          <w:color w:val="111111"/>
          <w:sz w:val="28"/>
          <w:szCs w:val="28"/>
          <w:rtl/>
        </w:rPr>
        <w:t xml:space="preserve">عبدالكريم بن عبدالصمد</w:t>
      </w:r>
    </w:p>
    <w:p>
      <w:pPr>
        <w:pStyle w:val="BookText"/>
      </w:pPr>
      <w:r>
        <w:rPr>
          <w:rFonts w:ascii="Amiri" w:hAnsi="Amiri" w:eastAsia="Amiri" w:cs="Amiri"/>
          <w:lang w:bidi="ar-SA"/>
          <w:color w:val="111111"/>
          <w:sz w:val="28"/>
          <w:szCs w:val="28"/>
          <w:rtl/>
        </w:rPr>
        <w:t xml:space="preserve">طبري، علي بن ربن- طبري ، علي بن سهل</w:t>
      </w:r>
    </w:p>
    <w:p>
      <w:pPr>
        <w:pStyle w:val="Heading2"/>
      </w:pPr>
      <w:bookmarkStart w:id="5591" w:name="_Toc4693"/>
      <w:r>
        <w:t>طبري، علي بن سهل - 247 ؟ ه-</w:t>
      </w:r>
      <w:bookmarkEnd w:id="5591"/>
    </w:p>
    <w:p>
      <w:pPr>
        <w:pStyle w:val="BookText"/>
      </w:pPr>
      <w:r>
        <w:rPr>
          <w:rFonts w:ascii="Amiri" w:hAnsi="Amiri" w:eastAsia="Amiri" w:cs="Amiri"/>
          <w:lang w:bidi="ar-SA"/>
          <w:color w:val="111111"/>
          <w:sz w:val="28"/>
          <w:szCs w:val="28"/>
          <w:rtl/>
        </w:rPr>
        <w:t xml:space="preserve">فردوس الحكمة، ج 11، ص780.</w:t>
      </w:r>
    </w:p>
    <w:p>
      <w:pPr>
        <w:pStyle w:val="Heading2"/>
      </w:pPr>
      <w:bookmarkStart w:id="5592" w:name="_Toc4694"/>
      <w:r>
        <w:t>طبري، علي بن عبد القادر - 1070 ه-</w:t>
      </w:r>
      <w:bookmarkEnd w:id="5592"/>
    </w:p>
    <w:p>
      <w:pPr>
        <w:pStyle w:val="BookText"/>
      </w:pPr>
      <w:r>
        <w:rPr>
          <w:rFonts w:ascii="Amiri" w:hAnsi="Amiri" w:eastAsia="Amiri" w:cs="Amiri"/>
          <w:lang w:bidi="ar-SA"/>
          <w:color w:val="111111"/>
          <w:sz w:val="28"/>
          <w:szCs w:val="28"/>
          <w:rtl/>
        </w:rPr>
        <w:t xml:space="preserve">الاقوال الجليلة في شرح رسالة الوسيلة</w:t>
      </w:r>
    </w:p>
    <w:p>
      <w:pPr>
        <w:pStyle w:val="BookText"/>
      </w:pPr>
      <w:r>
        <w:rPr>
          <w:rFonts w:ascii="IRNazanin" w:hAnsi="IRNazanin" w:eastAsia="IRNazanin" w:cs="IRNazanin"/>
          <w:lang w:bidi="fa-IR"/>
          <w:color w:val="111111"/>
          <w:sz w:val="28"/>
          <w:szCs w:val="28"/>
          <w:rtl/>
        </w:rPr>
        <w:t xml:space="preserve">ج 2، ص 634.</w:t>
      </w:r>
    </w:p>
    <w:p>
      <w:pPr>
        <w:pStyle w:val="Heading2"/>
      </w:pPr>
      <w:bookmarkStart w:id="5593" w:name="_Toc4695"/>
      <w:r>
        <w:t>طبري، عمر بن فرخان - 200 ه-</w:t>
      </w:r>
      <w:bookmarkEnd w:id="5593"/>
    </w:p>
    <w:p>
      <w:pPr>
        <w:pStyle w:val="BookText"/>
      </w:pPr>
      <w:r>
        <w:rPr>
          <w:rFonts w:ascii="Amiri" w:hAnsi="Amiri" w:eastAsia="Amiri" w:cs="Amiri"/>
          <w:lang w:bidi="ar-SA"/>
          <w:color w:val="111111"/>
          <w:sz w:val="28"/>
          <w:szCs w:val="28"/>
          <w:rtl/>
        </w:rPr>
        <w:t xml:space="preserve">1 .احكام النجوم = المسائل، ج1،</w:t>
      </w:r>
    </w:p>
    <w:p>
      <w:pPr>
        <w:pStyle w:val="BookText"/>
      </w:pPr>
      <w:r>
        <w:rPr>
          <w:rFonts w:ascii="IRNazanin" w:hAnsi="IRNazanin" w:eastAsia="IRNazanin" w:cs="IRNazanin"/>
          <w:lang w:bidi="fa-IR"/>
          <w:color w:val="111111"/>
          <w:sz w:val="28"/>
          <w:szCs w:val="28"/>
          <w:rtl/>
        </w:rPr>
        <w:t xml:space="preserve">ص 487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المواليد، ج 15 ، ص 882.</w:t>
      </w:r>
    </w:p>
    <w:p>
      <w:pPr>
        <w:pStyle w:val="BookText"/>
      </w:pPr>
      <w:r>
        <w:rPr>
          <w:rFonts w:ascii="Amiri" w:hAnsi="Amiri" w:eastAsia="Amiri" w:cs="Amiri"/>
          <w:lang w:bidi="ar-SA"/>
          <w:color w:val="111111"/>
          <w:sz w:val="28"/>
          <w:szCs w:val="28"/>
          <w:rtl/>
        </w:rPr>
        <w:t xml:space="preserve">طبري مازندراني ، حسن بن علي- طبري</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طبري ، محب الدين احمد -طبري ، احمد</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5594" w:name="_Toc4696"/>
      <w:r>
        <w:t>طبري ، محمّد بن ايوب - 485 ه-</w:t>
      </w:r>
      <w:bookmarkEnd w:id="5594"/>
    </w:p>
    <w:p>
      <w:pPr>
        <w:pStyle w:val="BookText"/>
      </w:pPr>
      <w:r>
        <w:rPr>
          <w:rFonts w:ascii="Amiri" w:hAnsi="Amiri" w:eastAsia="Amiri" w:cs="Amiri"/>
          <w:lang w:bidi="ar-SA"/>
          <w:color w:val="111111"/>
          <w:sz w:val="28"/>
          <w:szCs w:val="28"/>
          <w:rtl/>
        </w:rPr>
        <w:t xml:space="preserve">1 .استخراجات = الاستخراج في طلب العمر و الهيلاج ، ج2، ص121</w:t>
      </w:r>
    </w:p>
    <w:p>
      <w:pPr>
        <w:pStyle w:val="BookText"/>
      </w:pPr>
      <w:r>
        <w:rPr>
          <w:rFonts w:ascii="Amiri" w:hAnsi="Amiri" w:eastAsia="Amiri" w:cs="Amiri"/>
          <w:lang w:bidi="ar-SA"/>
          <w:color w:val="111111"/>
          <w:sz w:val="28"/>
          <w:szCs w:val="28"/>
          <w:rtl/>
        </w:rPr>
        <w:t xml:space="preserve">2 .استخراج ضمير = الخبي و الضمير</w:t>
      </w:r>
    </w:p>
    <w:p>
      <w:pPr>
        <w:pStyle w:val="BookText"/>
      </w:pPr>
      <w:r>
        <w:rPr>
          <w:rFonts w:ascii="IRNazanin" w:hAnsi="IRNazanin" w:eastAsia="IRNazanin" w:cs="IRNazanin"/>
          <w:lang w:bidi="fa-IR"/>
          <w:color w:val="111111"/>
          <w:sz w:val="28"/>
          <w:szCs w:val="28"/>
          <w:rtl/>
        </w:rPr>
        <w:t xml:space="preserve">ج 2، ص123.</w:t>
      </w:r>
    </w:p>
    <w:p>
      <w:pPr>
        <w:pStyle w:val="BookText"/>
      </w:pPr>
      <w:r>
        <w:rPr>
          <w:rFonts w:ascii="Amiri" w:hAnsi="Amiri" w:eastAsia="Amiri" w:cs="Amiri"/>
          <w:lang w:bidi="ar-SA"/>
          <w:color w:val="111111"/>
          <w:sz w:val="28"/>
          <w:szCs w:val="28"/>
          <w:rtl/>
        </w:rPr>
        <w:t xml:space="preserve">طبري ، محمّد بن جرير -طبري آملي ،</w:t>
      </w:r>
    </w:p>
    <w:p>
      <w:pPr>
        <w:pStyle w:val="BookText"/>
      </w:pPr>
      <w:r>
        <w:rPr>
          <w:rFonts w:ascii="Amiri" w:hAnsi="Amiri" w:eastAsia="Amiri" w:cs="Amiri"/>
          <w:lang w:bidi="ar-SA"/>
          <w:color w:val="111111"/>
          <w:sz w:val="28"/>
          <w:szCs w:val="28"/>
          <w:rtl/>
        </w:rPr>
        <w:t xml:space="preserve">محمّد بن جرير</w:t>
      </w:r>
    </w:p>
    <w:p>
      <w:pPr>
        <w:pStyle w:val="Heading2"/>
      </w:pPr>
      <w:bookmarkStart w:id="5595" w:name="_Toc4697"/>
      <w:r>
        <w:t>طبري ، محمّد بن ،جرير 2224 - 310 ه-</w:t>
      </w:r>
      <w:bookmarkEnd w:id="5595"/>
    </w:p>
    <w:p>
      <w:pPr>
        <w:pStyle w:val="BookText"/>
      </w:pPr>
      <w:r>
        <w:rPr>
          <w:rFonts w:ascii="IRNazanin" w:hAnsi="IRNazanin" w:eastAsia="IRNazanin" w:cs="IRNazanin"/>
          <w:lang w:bidi="fa-IR"/>
          <w:color w:val="111111"/>
          <w:sz w:val="28"/>
          <w:szCs w:val="28"/>
          <w:rtl/>
        </w:rPr>
        <w:t xml:space="preserve">1 .اختلاف الفقهاء (مختصر)، ج1،</w:t>
      </w:r>
    </w:p>
    <w:p>
      <w:pPr>
        <w:pStyle w:val="BookText"/>
      </w:pPr>
      <w:r>
        <w:rPr>
          <w:rFonts w:ascii="IRNazanin" w:hAnsi="IRNazanin" w:eastAsia="IRNazanin" w:cs="IRNazanin"/>
          <w:lang w:bidi="fa-IR"/>
          <w:color w:val="111111"/>
          <w:sz w:val="28"/>
          <w:szCs w:val="28"/>
          <w:rtl/>
        </w:rPr>
        <w:t xml:space="preserve">ص 550 .</w:t>
      </w:r>
    </w:p>
    <w:p>
      <w:pPr>
        <w:pStyle w:val="BookText"/>
      </w:pPr>
      <w:r>
        <w:rPr>
          <w:rFonts w:ascii="Amiri" w:hAnsi="Amiri" w:eastAsia="Amiri" w:cs="Amiri"/>
          <w:lang w:bidi="ar-SA"/>
          <w:color w:val="111111"/>
          <w:sz w:val="28"/>
          <w:szCs w:val="28"/>
          <w:rtl/>
        </w:rPr>
        <w:t xml:space="preserve">2 .تفسير طبري - تفسير ابن جرير</w:t>
      </w:r>
    </w:p>
    <w:p>
      <w:pPr>
        <w:pStyle w:val="BookText"/>
      </w:pPr>
      <w:r>
        <w:rPr>
          <w:rFonts w:ascii="IRNazanin" w:hAnsi="IRNazanin" w:eastAsia="IRNazanin" w:cs="IRNazanin"/>
          <w:lang w:bidi="fa-IR"/>
          <w:color w:val="111111"/>
          <w:sz w:val="28"/>
          <w:szCs w:val="28"/>
          <w:rtl/>
        </w:rPr>
        <w:t xml:space="preserve">ج 4، ص 647 .</w:t>
      </w:r>
    </w:p>
    <w:p>
      <w:pPr>
        <w:pStyle w:val="BookText"/>
      </w:pPr>
      <w:r>
        <w:rPr>
          <w:rFonts w:ascii="Amiri" w:hAnsi="Amiri" w:eastAsia="Amiri" w:cs="Amiri"/>
          <w:lang w:bidi="ar-SA"/>
          <w:color w:val="111111"/>
          <w:sz w:val="28"/>
          <w:szCs w:val="28"/>
          <w:rtl/>
        </w:rPr>
        <w:t xml:space="preserve">طبري ، محمّد بن حاسب -طبري ، محمّد</w:t>
      </w:r>
    </w:p>
    <w:p>
      <w:pPr>
        <w:pStyle w:val="BookText"/>
      </w:pPr>
      <w:r>
        <w:rPr>
          <w:rFonts w:ascii="IRNazanin" w:hAnsi="IRNazanin" w:eastAsia="IRNazanin" w:cs="IRNazanin"/>
          <w:lang w:bidi="fa-IR"/>
          <w:color w:val="111111"/>
          <w:sz w:val="28"/>
          <w:szCs w:val="28"/>
          <w:rtl/>
        </w:rPr>
        <w:t xml:space="preserve">بن ایوب</w:t>
      </w:r>
    </w:p>
    <w:p>
      <w:pPr>
        <w:pStyle w:val="BookText"/>
      </w:pPr>
      <w:r>
        <w:rPr>
          <w:rFonts w:ascii="Amiri" w:hAnsi="Amiri" w:eastAsia="Amiri" w:cs="Amiri"/>
          <w:lang w:bidi="ar-SA"/>
          <w:color w:val="111111"/>
          <w:sz w:val="28"/>
          <w:szCs w:val="28"/>
          <w:rtl/>
        </w:rPr>
        <w:t xml:space="preserve">طبري، محمّد بن رضا -طبري ، محمّد</w:t>
      </w:r>
    </w:p>
    <w:p>
      <w:pPr>
        <w:pStyle w:val="BookText"/>
      </w:pPr>
      <w:r>
        <w:rPr>
          <w:rFonts w:ascii="IRNazanin" w:hAnsi="IRNazanin" w:eastAsia="IRNazanin" w:cs="IRNazanin"/>
          <w:lang w:bidi="fa-IR"/>
          <w:color w:val="111111"/>
          <w:sz w:val="28"/>
          <w:szCs w:val="28"/>
          <w:rtl/>
        </w:rPr>
        <w:t xml:space="preserve">کاظم بن رضا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98" w:name="pg7742_70691"/>
    <w:bookmarkEnd w:id="698"/>
    <w:p>
      <w:pPr>
        <w:pStyle w:val="Heading2"/>
      </w:pPr>
      <w:bookmarkStart w:id="5596" w:name="_Toc4698"/>
      <w:r>
        <w:t>طبري ، محمّد بن عبدالملك</w:t>
      </w:r>
      <w:bookmarkEnd w:id="5596"/>
    </w:p>
    <w:p>
      <w:pPr>
        <w:pStyle w:val="BookText"/>
      </w:pPr>
      <w:r>
        <w:rPr>
          <w:rFonts w:ascii="Amiri" w:hAnsi="Amiri" w:eastAsia="Amiri" w:cs="Amiri"/>
          <w:lang w:bidi="ar-SA"/>
          <w:color w:val="111111"/>
          <w:sz w:val="28"/>
          <w:szCs w:val="28"/>
          <w:rtl/>
        </w:rPr>
        <w:t xml:space="preserve">سلوة العارفين و انس المشتاقين، ج8، محمّد قرن 10 ه-</w:t>
      </w:r>
    </w:p>
    <w:p>
      <w:pPr>
        <w:pStyle w:val="BookText"/>
      </w:pPr>
      <w:r>
        <w:rPr>
          <w:rFonts w:ascii="IRNazanin" w:hAnsi="IRNazanin" w:eastAsia="IRNazanin" w:cs="IRNazanin"/>
          <w:lang w:bidi="fa-IR"/>
          <w:color w:val="111111"/>
          <w:sz w:val="28"/>
          <w:szCs w:val="28"/>
          <w:rtl/>
        </w:rPr>
        <w:t xml:space="preserve">ص 822.</w:t>
      </w:r>
    </w:p>
    <w:p>
      <w:pPr>
        <w:pStyle w:val="BookText"/>
      </w:pPr>
      <w:r>
        <w:rPr>
          <w:rFonts w:ascii="Amiri" w:hAnsi="Amiri" w:eastAsia="Amiri" w:cs="Amiri"/>
          <w:lang w:bidi="ar-SA"/>
          <w:color w:val="111111"/>
          <w:sz w:val="28"/>
          <w:szCs w:val="28"/>
          <w:rtl/>
        </w:rPr>
        <w:t xml:space="preserve">طبري، محمّد بن علي -طبري آملي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طبري ، محمّد بن عمر -فخر رازي ،</w:t>
      </w:r>
    </w:p>
    <w:p>
      <w:pPr>
        <w:pStyle w:val="BookText"/>
      </w:pPr>
      <w:r>
        <w:rPr>
          <w:rFonts w:ascii="Amiri" w:hAnsi="Amiri" w:eastAsia="Amiri" w:cs="Amiri"/>
          <w:lang w:bidi="ar-SA"/>
          <w:color w:val="111111"/>
          <w:sz w:val="28"/>
          <w:szCs w:val="28"/>
          <w:rtl/>
        </w:rPr>
        <w:t xml:space="preserve">محمّد بن عمر</w:t>
      </w:r>
    </w:p>
    <w:p>
      <w:pPr>
        <w:pStyle w:val="BookText"/>
      </w:pPr>
      <w:r>
        <w:rPr>
          <w:rFonts w:ascii="Amiri" w:hAnsi="Amiri" w:eastAsia="Amiri" w:cs="Amiri"/>
          <w:lang w:bidi="ar-SA"/>
          <w:color w:val="111111"/>
          <w:sz w:val="28"/>
          <w:szCs w:val="28"/>
          <w:rtl/>
        </w:rPr>
        <w:t xml:space="preserve">طبري ، محمّد بن محمّد -طبري ، محمّد</w:t>
      </w:r>
    </w:p>
    <w:p>
      <w:pPr>
        <w:pStyle w:val="BookText"/>
      </w:pPr>
      <w:r>
        <w:rPr>
          <w:rFonts w:ascii="Amiri" w:hAnsi="Amiri" w:eastAsia="Amiri" w:cs="Amiri"/>
          <w:lang w:bidi="ar-SA"/>
          <w:color w:val="111111"/>
          <w:sz w:val="28"/>
          <w:szCs w:val="28"/>
          <w:rtl/>
        </w:rPr>
        <w:t xml:space="preserve">بن عبدالملك</w:t>
      </w:r>
    </w:p>
    <w:p>
      <w:pPr>
        <w:pStyle w:val="BookText"/>
      </w:pPr>
      <w:r>
        <w:rPr>
          <w:rFonts w:ascii="Amiri" w:hAnsi="Amiri" w:eastAsia="Amiri" w:cs="Amiri"/>
          <w:lang w:bidi="ar-SA"/>
          <w:color w:val="111111"/>
          <w:sz w:val="28"/>
          <w:szCs w:val="28"/>
          <w:rtl/>
        </w:rPr>
        <w:t xml:space="preserve">طبري، محمّد تقي بن محمّد</w:t>
      </w:r>
    </w:p>
    <w:p>
      <w:pPr>
        <w:pStyle w:val="BookText"/>
      </w:pPr>
      <w:r>
        <w:rPr>
          <w:rFonts w:ascii="Amiri" w:hAnsi="Amiri" w:eastAsia="Amiri" w:cs="Amiri"/>
          <w:lang w:bidi="ar-SA"/>
          <w:color w:val="111111"/>
          <w:sz w:val="28"/>
          <w:szCs w:val="28"/>
          <w:rtl/>
        </w:rPr>
        <w:t xml:space="preserve">حسن -مازندراني ، محمّد تقي بن محمّد</w:t>
      </w:r>
    </w:p>
    <w:p>
      <w:pPr>
        <w:pStyle w:val="BookText"/>
      </w:pPr>
      <w:r>
        <w:rPr>
          <w:rFonts w:ascii="IRNazanin" w:hAnsi="IRNazanin" w:eastAsia="IRNazanin" w:cs="IRNazanin"/>
          <w:lang w:bidi="fa-IR"/>
          <w:color w:val="111111"/>
          <w:sz w:val="28"/>
          <w:szCs w:val="28"/>
          <w:rtl/>
        </w:rPr>
        <w:t xml:space="preserve">حسن</w:t>
      </w:r>
    </w:p>
    <w:p>
      <w:pPr>
        <w:pStyle w:val="Heading2"/>
      </w:pPr>
      <w:bookmarkStart w:id="5597" w:name="_Toc4699"/>
      <w:r>
        <w:t>طبري، محمّد كاظم بن رضا قرن 13 ه-</w:t>
      </w:r>
      <w:bookmarkEnd w:id="5597"/>
    </w:p>
    <w:p>
      <w:pPr>
        <w:pStyle w:val="BookText"/>
      </w:pPr>
      <w:r>
        <w:rPr>
          <w:rFonts w:ascii="Amiri" w:hAnsi="Amiri" w:eastAsia="Amiri" w:cs="Amiri"/>
          <w:lang w:bidi="ar-SA"/>
          <w:color w:val="111111"/>
          <w:sz w:val="28"/>
          <w:szCs w:val="28"/>
          <w:rtl/>
        </w:rPr>
        <w:t xml:space="preserve">1 .الدلائل في فن الفقه على المسائل</w:t>
      </w:r>
    </w:p>
    <w:p>
      <w:pPr>
        <w:pStyle w:val="BookText"/>
      </w:pPr>
      <w:r>
        <w:rPr>
          <w:rFonts w:ascii="IRNazanin" w:hAnsi="IRNazanin" w:eastAsia="IRNazanin" w:cs="IRNazanin"/>
          <w:lang w:bidi="fa-IR"/>
          <w:color w:val="111111"/>
          <w:sz w:val="28"/>
          <w:szCs w:val="28"/>
          <w:rtl/>
        </w:rPr>
        <w:t xml:space="preserve">ج 7، ص 459.</w:t>
      </w:r>
    </w:p>
    <w:p>
      <w:pPr>
        <w:pStyle w:val="BookText"/>
      </w:pPr>
      <w:r>
        <w:rPr>
          <w:rFonts w:ascii="Amiri" w:hAnsi="Amiri" w:eastAsia="Amiri" w:cs="Amiri"/>
          <w:lang w:bidi="ar-SA"/>
          <w:color w:val="111111"/>
          <w:sz w:val="28"/>
          <w:szCs w:val="28"/>
          <w:rtl/>
        </w:rPr>
        <w:t xml:space="preserve">2 .طريقة الرشاد في شرح الارشاد</w:t>
      </w:r>
    </w:p>
    <w:p>
      <w:pPr>
        <w:pStyle w:val="BookText"/>
      </w:pPr>
      <w:r>
        <w:rPr>
          <w:rFonts w:ascii="IRNazanin" w:hAnsi="IRNazanin" w:eastAsia="IRNazanin" w:cs="IRNazanin"/>
          <w:lang w:bidi="fa-IR"/>
          <w:color w:val="111111"/>
          <w:sz w:val="28"/>
          <w:szCs w:val="28"/>
          <w:rtl/>
        </w:rPr>
        <w:t xml:space="preserve">ج 10، ص 819.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كشف المرام في شرح تجريد الكلام = شرح تجريد الكلام، ج13،</w:t>
      </w:r>
    </w:p>
    <w:p>
      <w:pPr>
        <w:pStyle w:val="BookText"/>
      </w:pPr>
      <w:r>
        <w:rPr>
          <w:rFonts w:ascii="IRNazanin" w:hAnsi="IRNazanin" w:eastAsia="IRNazanin" w:cs="IRNazanin"/>
          <w:lang w:bidi="fa-IR"/>
          <w:color w:val="111111"/>
          <w:sz w:val="28"/>
          <w:szCs w:val="28"/>
          <w:rtl/>
        </w:rPr>
        <w:t xml:space="preserve">ص 268.</w:t>
      </w:r>
    </w:p>
    <w:p>
      <w:pPr>
        <w:pStyle w:val="BookText"/>
      </w:pPr>
      <w:r>
        <w:rPr>
          <w:rFonts w:ascii="Amiri" w:hAnsi="Amiri" w:eastAsia="Amiri" w:cs="Amiri"/>
          <w:lang w:bidi="ar-SA"/>
          <w:color w:val="111111"/>
          <w:sz w:val="28"/>
          <w:szCs w:val="28"/>
          <w:rtl/>
        </w:rPr>
        <w:t xml:space="preserve">طبري مكي ، ابو العباس احمد -طبري ،</w:t>
      </w:r>
    </w:p>
    <w:p>
      <w:pPr>
        <w:pStyle w:val="BookText"/>
      </w:pPr>
      <w:r>
        <w:rPr>
          <w:rFonts w:ascii="IRNazanin" w:hAnsi="IRNazanin" w:eastAsia="IRNazanin" w:cs="IRNazanin"/>
          <w:lang w:bidi="fa-IR"/>
          <w:color w:val="111111"/>
          <w:sz w:val="28"/>
          <w:szCs w:val="28"/>
          <w:rtl/>
        </w:rPr>
        <w:t xml:space="preserve">احمد بن عبدالله</w:t>
      </w:r>
    </w:p>
    <w:p>
      <w:pPr>
        <w:pStyle w:val="BookText"/>
      </w:pPr>
      <w:r>
        <w:rPr>
          <w:rFonts w:ascii="Amiri" w:hAnsi="Amiri" w:eastAsia="Amiri" w:cs="Amiri"/>
          <w:lang w:bidi="ar-SA"/>
          <w:color w:val="111111"/>
          <w:sz w:val="28"/>
          <w:szCs w:val="28"/>
          <w:rtl/>
        </w:rPr>
        <w:t xml:space="preserve">طبري هزار جريبي، كاظم بن رضا -طبري،</w:t>
      </w:r>
    </w:p>
    <w:p>
      <w:pPr>
        <w:pStyle w:val="BookText"/>
      </w:pPr>
      <w:r>
        <w:rPr>
          <w:rFonts w:ascii="IRNazanin" w:hAnsi="IRNazanin" w:eastAsia="IRNazanin" w:cs="IRNazanin"/>
          <w:lang w:bidi="fa-IR"/>
          <w:color w:val="111111"/>
          <w:sz w:val="28"/>
          <w:szCs w:val="28"/>
          <w:rtl/>
        </w:rPr>
        <w:t xml:space="preserve">محمّد کاظم بن رضا</w:t>
      </w:r>
    </w:p>
    <w:p>
      <w:pPr>
        <w:pStyle w:val="BookText"/>
      </w:pPr>
      <w:r>
        <w:rPr>
          <w:rFonts w:ascii="Amiri" w:hAnsi="Amiri" w:eastAsia="Amiri" w:cs="Amiri"/>
          <w:lang w:bidi="ar-SA"/>
          <w:color w:val="111111"/>
          <w:sz w:val="28"/>
          <w:szCs w:val="28"/>
          <w:rtl/>
        </w:rPr>
        <w:t xml:space="preserve">طبسي ، احمد بن محمّد -سكاكي ، احمد</w:t>
      </w:r>
    </w:p>
    <w:p>
      <w:pPr>
        <w:pStyle w:val="BookText"/>
      </w:pPr>
      <w:r>
        <w:rPr>
          <w:rFonts w:ascii="Amiri" w:hAnsi="Amiri" w:eastAsia="Amiri" w:cs="Amiri"/>
          <w:lang w:bidi="ar-SA"/>
          <w:color w:val="111111"/>
          <w:sz w:val="28"/>
          <w:szCs w:val="28"/>
          <w:rtl/>
        </w:rPr>
        <w:t xml:space="preserve">بن محمّد</w:t>
      </w:r>
    </w:p>
    <w:p>
      <w:pPr>
        <w:pStyle w:val="Heading2"/>
      </w:pPr>
      <w:bookmarkStart w:id="5598" w:name="_Toc4700"/>
      <w:r>
        <w:t>طبسي توني، حبيب الله بن نور الدين</w:t>
      </w:r>
      <w:bookmarkEnd w:id="5598"/>
    </w:p>
    <w:p>
      <w:pPr>
        <w:pStyle w:val="BookText"/>
      </w:pPr>
      <w:r>
        <w:rPr>
          <w:rFonts w:ascii="Amiri" w:hAnsi="Amiri" w:eastAsia="Amiri" w:cs="Amiri"/>
          <w:lang w:bidi="ar-SA"/>
          <w:color w:val="111111"/>
          <w:sz w:val="28"/>
          <w:szCs w:val="28"/>
          <w:rtl/>
        </w:rPr>
        <w:t xml:space="preserve">شافي الاوجاع - تقويم الابدان = الواح</w:t>
      </w:r>
    </w:p>
    <w:p>
      <w:pPr>
        <w:pStyle w:val="BookText"/>
      </w:pPr>
      <w:r>
        <w:rPr>
          <w:rFonts w:ascii="Amiri" w:hAnsi="Amiri" w:eastAsia="Amiri" w:cs="Amiri"/>
          <w:lang w:bidi="ar-SA"/>
          <w:color w:val="111111"/>
          <w:sz w:val="28"/>
          <w:szCs w:val="28"/>
          <w:rtl/>
        </w:rPr>
        <w:t xml:space="preserve">الصحة، ج 9، ص 55 .</w:t>
      </w:r>
    </w:p>
    <w:p>
      <w:pPr>
        <w:pStyle w:val="BookText"/>
      </w:pPr>
      <w:r>
        <w:rPr>
          <w:rFonts w:ascii="IRNazanin" w:hAnsi="IRNazanin" w:eastAsia="IRNazanin" w:cs="IRNazanin"/>
          <w:lang w:bidi="fa-IR"/>
          <w:color w:val="111111"/>
          <w:sz w:val="28"/>
          <w:szCs w:val="28"/>
          <w:rtl/>
        </w:rPr>
        <w:t xml:space="preserve">طبسي توني ، محمّد علي بن فيض علي شاه- نور علیشاه ، محمّد علي بن عبد الحسين</w:t>
      </w:r>
    </w:p>
    <w:p>
      <w:pPr>
        <w:pStyle w:val="BookText"/>
      </w:pPr>
      <w:r>
        <w:rPr>
          <w:rFonts w:ascii="Amiri" w:hAnsi="Amiri" w:eastAsia="Amiri" w:cs="Amiri"/>
          <w:lang w:bidi="ar-SA"/>
          <w:color w:val="111111"/>
          <w:sz w:val="28"/>
          <w:szCs w:val="28"/>
          <w:rtl/>
        </w:rPr>
        <w:t xml:space="preserve">طبسي حائري ، محمّد علي- طبسي</w:t>
      </w:r>
    </w:p>
    <w:p>
      <w:pPr>
        <w:pStyle w:val="BookText"/>
      </w:pPr>
      <w:r>
        <w:rPr>
          <w:rFonts w:ascii="Amiri" w:hAnsi="Amiri" w:eastAsia="Amiri" w:cs="Amiri"/>
          <w:lang w:bidi="ar-SA"/>
          <w:color w:val="111111"/>
          <w:sz w:val="28"/>
          <w:szCs w:val="28"/>
          <w:rtl/>
        </w:rPr>
        <w:t xml:space="preserve">خراساني ، محمّد علي</w:t>
      </w:r>
    </w:p>
    <w:p>
      <w:pPr>
        <w:pStyle w:val="BookText"/>
      </w:pPr>
      <w:r>
        <w:rPr>
          <w:rFonts w:ascii="IRNazanin" w:hAnsi="IRNazanin" w:eastAsia="IRNazanin" w:cs="IRNazanin"/>
          <w:lang w:bidi="fa-IR"/>
          <w:color w:val="111111"/>
          <w:sz w:val="28"/>
          <w:szCs w:val="28"/>
          <w:rtl/>
        </w:rPr>
        <w:t xml:space="preserve">طبسي حبیب الله- طبسي توني ، حبيب الله</w:t>
      </w:r>
    </w:p>
    <w:p>
      <w:pPr>
        <w:pStyle w:val="BookText"/>
      </w:pPr>
      <w:r>
        <w:rPr>
          <w:rFonts w:ascii="Amiri" w:hAnsi="Amiri" w:eastAsia="Amiri" w:cs="Amiri"/>
          <w:lang w:bidi="ar-SA"/>
          <w:color w:val="111111"/>
          <w:sz w:val="28"/>
          <w:szCs w:val="28"/>
          <w:rtl/>
        </w:rPr>
        <w:t xml:space="preserve">بن نور الدين محمّد</w:t>
      </w:r>
    </w:p>
    <w:p>
      <w:pPr>
        <w:pStyle w:val="BookText"/>
      </w:pPr>
      <w:r>
        <w:rPr>
          <w:rFonts w:ascii="IRNazanin" w:hAnsi="IRNazanin" w:eastAsia="IRNazanin" w:cs="IRNazanin"/>
          <w:lang w:bidi="fa-IR"/>
          <w:color w:val="111111"/>
          <w:sz w:val="28"/>
          <w:szCs w:val="28"/>
          <w:rtl/>
        </w:rPr>
        <w:t xml:space="preserve">طبسي ، حسين بن شهاب الدین -گازرگاهي ، كمال الدين حسين</w:t>
      </w:r>
    </w:p>
    <w:p>
      <w:pPr>
        <w:pStyle w:val="Heading2"/>
      </w:pPr>
      <w:bookmarkStart w:id="5599" w:name="_Toc4701"/>
      <w:r>
        <w:t>طبسي خراساني ، محمّد ابراهيم بن محمّد</w:t>
      </w:r>
      <w:bookmarkEnd w:id="5599"/>
    </w:p>
    <w:p>
      <w:pPr>
        <w:pStyle w:val="BookText"/>
      </w:pPr>
      <w:r>
        <w:rPr>
          <w:rFonts w:ascii="Amiri" w:hAnsi="Amiri" w:eastAsia="Amiri" w:cs="Amiri"/>
          <w:lang w:bidi="ar-SA"/>
          <w:color w:val="111111"/>
          <w:sz w:val="28"/>
          <w:szCs w:val="28"/>
          <w:rtl/>
        </w:rPr>
        <w:t xml:space="preserve">علي، قرن 13 ه-</w:t>
      </w:r>
    </w:p>
    <w:p>
      <w:pPr>
        <w:pStyle w:val="BookText"/>
      </w:pPr>
      <w:r>
        <w:rPr>
          <w:rFonts w:ascii="IRNazanin" w:hAnsi="IRNazanin" w:eastAsia="IRNazanin" w:cs="IRNazanin"/>
          <w:lang w:bidi="fa-IR"/>
          <w:color w:val="111111"/>
          <w:sz w:val="28"/>
          <w:szCs w:val="28"/>
          <w:rtl/>
        </w:rPr>
        <w:t xml:space="preserve">آيينه شاهي = مرآت آگاهي - ترجمه</w:t>
      </w:r>
    </w:p>
    <w:p>
      <w:pPr>
        <w:pStyle w:val="BookText"/>
      </w:pPr>
      <w:r>
        <w:rPr>
          <w:rFonts w:ascii="Amiri" w:hAnsi="Amiri" w:eastAsia="Amiri" w:cs="Amiri"/>
          <w:lang w:bidi="ar-SA"/>
          <w:color w:val="111111"/>
          <w:sz w:val="28"/>
          <w:szCs w:val="28"/>
          <w:rtl/>
        </w:rPr>
        <w:t xml:space="preserve">مجالي المجالي، ج 1، ص80.</w:t>
      </w:r>
    </w:p>
    <w:p>
      <w:pPr>
        <w:pStyle w:val="Heading2"/>
      </w:pPr>
      <w:bookmarkStart w:id="5600" w:name="_Toc4702"/>
      <w:r>
        <w:t>طبسي خراساني ، محمّد علي، - 1320 ه-</w:t>
      </w:r>
      <w:bookmarkEnd w:id="5600"/>
    </w:p>
    <w:p>
      <w:pPr>
        <w:pStyle w:val="BookText"/>
      </w:pPr>
      <w:r>
        <w:rPr>
          <w:rFonts w:ascii="IRNazanin" w:hAnsi="IRNazanin" w:eastAsia="IRNazanin" w:cs="IRNazanin"/>
          <w:lang w:bidi="fa-IR"/>
          <w:color w:val="111111"/>
          <w:sz w:val="28"/>
          <w:szCs w:val="28"/>
          <w:rtl/>
        </w:rPr>
        <w:t xml:space="preserve">مناهج الفلاح، ج 15 ، ص 572.</w:t>
      </w:r>
    </w:p>
    <w:p>
      <w:pPr>
        <w:pStyle w:val="BookText"/>
      </w:pPr>
      <w:r>
        <w:rPr>
          <w:rFonts w:ascii="Amiri" w:hAnsi="Amiri" w:eastAsia="Amiri" w:cs="Amiri"/>
          <w:lang w:bidi="ar-SA"/>
          <w:color w:val="111111"/>
          <w:sz w:val="28"/>
          <w:szCs w:val="28"/>
          <w:rtl/>
        </w:rPr>
        <w:t xml:space="preserve">طبسي سكاكي ، احمد بن محمّد -سكاكي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طبسي ، سلطان محمود بن غلام علي- طبسي ، محمود بن غلام علي</w:t>
      </w:r>
    </w:p>
    <w:p>
      <w:pPr>
        <w:pStyle w:val="BookText"/>
      </w:pPr>
      <w:r>
        <w:rPr>
          <w:rFonts w:ascii="IRNazanin" w:hAnsi="IRNazanin" w:eastAsia="IRNazanin" w:cs="IRNazanin"/>
          <w:lang w:bidi="fa-IR"/>
          <w:color w:val="111111"/>
          <w:sz w:val="28"/>
          <w:szCs w:val="28"/>
          <w:rtl/>
        </w:rPr>
        <w:t xml:space="preserve">طبسي ، كمال الدين حسين گازرگاهي ،</w:t>
      </w:r>
    </w:p>
    <w:p>
      <w:pPr>
        <w:pStyle w:val="BookText"/>
      </w:pPr>
      <w:r>
        <w:rPr>
          <w:rFonts w:ascii="IRNazanin" w:hAnsi="IRNazanin" w:eastAsia="IRNazanin" w:cs="IRNazanin"/>
          <w:lang w:bidi="fa-IR"/>
          <w:color w:val="111111"/>
          <w:sz w:val="28"/>
          <w:szCs w:val="28"/>
          <w:rtl/>
        </w:rPr>
        <w:t xml:space="preserve">کمال الدين حسين -</w:t>
      </w:r>
    </w:p>
    <w:p>
      <w:pPr>
        <w:pStyle w:val="BookText"/>
      </w:pPr>
      <w:r>
        <w:rPr>
          <w:rFonts w:ascii="IRNazanin" w:hAnsi="IRNazanin" w:eastAsia="IRNazanin" w:cs="IRNazanin"/>
          <w:lang w:bidi="fa-IR"/>
          <w:color w:val="111111"/>
          <w:sz w:val="28"/>
          <w:szCs w:val="28"/>
          <w:rtl/>
        </w:rPr>
        <w:t xml:space="preserve">طبسي گازرگاهي ، کمال الدین حسین -گازرگاهي ، كمال الدين حسين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99" w:name="pg7742_70692"/>
    <w:bookmarkEnd w:id="699"/>
    <w:p>
      <w:pPr>
        <w:pStyle w:val="BookText"/>
      </w:pPr>
      <w:r>
        <w:rPr>
          <w:rFonts w:ascii="Amiri" w:hAnsi="Amiri" w:eastAsia="Amiri" w:cs="Amiri"/>
          <w:lang w:bidi="ar-SA"/>
          <w:color w:val="111111"/>
          <w:sz w:val="28"/>
          <w:szCs w:val="28"/>
          <w:rtl/>
        </w:rPr>
        <w:t xml:space="preserve">طبسي ، محمّد ابراهيم بن محمّد علي-</w:t>
      </w:r>
    </w:p>
    <w:p>
      <w:pPr>
        <w:pStyle w:val="BookText"/>
      </w:pPr>
      <w:r>
        <w:rPr>
          <w:rFonts w:ascii="IRNazanin" w:hAnsi="IRNazanin" w:eastAsia="IRNazanin" w:cs="IRNazanin"/>
          <w:lang w:bidi="fa-IR"/>
          <w:color w:val="111111"/>
          <w:sz w:val="28"/>
          <w:szCs w:val="28"/>
          <w:rtl/>
        </w:rPr>
        <w:t xml:space="preserve">طبسي خراساني ، محمّد ابراهیم بن محمّد</w:t>
      </w:r>
    </w:p>
    <w:p>
      <w:pPr>
        <w:pStyle w:val="BookText"/>
      </w:pPr>
      <w:r>
        <w:rPr>
          <w:rFonts w:ascii="Amiri" w:hAnsi="Amiri" w:eastAsia="Amiri" w:cs="Amiri"/>
          <w:lang w:bidi="ar-SA"/>
          <w:color w:val="111111"/>
          <w:sz w:val="28"/>
          <w:szCs w:val="28"/>
          <w:rtl/>
        </w:rPr>
        <w:t xml:space="preserve">علي</w:t>
      </w:r>
    </w:p>
    <w:p>
      <w:pPr>
        <w:pStyle w:val="Heading2"/>
      </w:pPr>
      <w:bookmarkStart w:id="5601" w:name="_Toc4703"/>
      <w:r>
        <w:t>طبسي ، محمّد بن محمود قرن 11 ه-</w:t>
      </w:r>
      <w:bookmarkEnd w:id="5601"/>
    </w:p>
    <w:p>
      <w:pPr>
        <w:pStyle w:val="BookText"/>
      </w:pPr>
      <w:r>
        <w:rPr>
          <w:rFonts w:ascii="Amiri" w:hAnsi="Amiri" w:eastAsia="Amiri" w:cs="Amiri"/>
          <w:lang w:bidi="ar-SA"/>
          <w:color w:val="111111"/>
          <w:sz w:val="28"/>
          <w:szCs w:val="28"/>
          <w:rtl/>
        </w:rPr>
        <w:t xml:space="preserve">1 .تكملة زبدة البيان في شرح آيات</w:t>
      </w:r>
    </w:p>
    <w:p>
      <w:pPr>
        <w:pStyle w:val="BookText"/>
      </w:pPr>
      <w:r>
        <w:rPr>
          <w:rFonts w:ascii="IRNazanin" w:hAnsi="IRNazanin" w:eastAsia="IRNazanin" w:cs="IRNazanin"/>
          <w:lang w:bidi="fa-IR"/>
          <w:color w:val="111111"/>
          <w:sz w:val="28"/>
          <w:szCs w:val="28"/>
          <w:rtl/>
        </w:rPr>
        <w:t xml:space="preserve">قصص القرآن، ج4، ص817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زبدة البيان في شرح قصص القرآن</w:t>
      </w:r>
    </w:p>
    <w:p>
      <w:pPr>
        <w:pStyle w:val="BookText"/>
      </w:pPr>
      <w:r>
        <w:rPr>
          <w:rFonts w:ascii="IRNazanin" w:hAnsi="IRNazanin" w:eastAsia="IRNazanin" w:cs="IRNazanin"/>
          <w:lang w:bidi="fa-IR"/>
          <w:color w:val="111111"/>
          <w:sz w:val="28"/>
          <w:szCs w:val="28"/>
          <w:rtl/>
        </w:rPr>
        <w:t xml:space="preserve">ج 8، ص 569 .</w:t>
      </w:r>
    </w:p>
    <w:p>
      <w:pPr>
        <w:pStyle w:val="BookText"/>
      </w:pPr>
      <w:r>
        <w:rPr>
          <w:rFonts w:ascii="Amiri" w:hAnsi="Amiri" w:eastAsia="Amiri" w:cs="Amiri"/>
          <w:lang w:bidi="ar-SA"/>
          <w:color w:val="111111"/>
          <w:sz w:val="28"/>
          <w:szCs w:val="28"/>
          <w:rtl/>
        </w:rPr>
        <w:t xml:space="preserve">طبسي ، محمّد علي- طبسي خراساني ،</w:t>
      </w:r>
    </w:p>
    <w:p>
      <w:pPr>
        <w:pStyle w:val="BookText"/>
      </w:pPr>
      <w:r>
        <w:rPr>
          <w:rFonts w:ascii="Amiri" w:hAnsi="Amiri" w:eastAsia="Amiri" w:cs="Amiri"/>
          <w:lang w:bidi="ar-SA"/>
          <w:color w:val="111111"/>
          <w:sz w:val="28"/>
          <w:szCs w:val="28"/>
          <w:rtl/>
        </w:rPr>
        <w:t xml:space="preserve">محمد علي</w:t>
      </w:r>
    </w:p>
    <w:p>
      <w:pPr>
        <w:pStyle w:val="BookText"/>
      </w:pPr>
      <w:r>
        <w:rPr>
          <w:rFonts w:ascii="Amiri" w:hAnsi="Amiri" w:eastAsia="Amiri" w:cs="Amiri"/>
          <w:lang w:bidi="ar-SA"/>
          <w:color w:val="111111"/>
          <w:sz w:val="28"/>
          <w:szCs w:val="28"/>
          <w:rtl/>
        </w:rPr>
        <w:t xml:space="preserve">طبسي ، محمّد علي بن</w:t>
      </w:r>
    </w:p>
    <w:p>
      <w:pPr>
        <w:pStyle w:val="BookText"/>
      </w:pPr>
      <w:r>
        <w:rPr>
          <w:rFonts w:ascii="IRNazanin" w:hAnsi="IRNazanin" w:eastAsia="IRNazanin" w:cs="IRNazanin"/>
          <w:lang w:bidi="fa-IR"/>
          <w:color w:val="111111"/>
          <w:sz w:val="28"/>
          <w:szCs w:val="28"/>
          <w:rtl/>
        </w:rPr>
        <w:t xml:space="preserve">عبد الحسين- نورعلیشاه ، محمّد علي بن</w:t>
      </w:r>
    </w:p>
    <w:p>
      <w:pPr>
        <w:pStyle w:val="BookText"/>
      </w:pPr>
      <w:r>
        <w:rPr>
          <w:rFonts w:ascii="Amiri" w:hAnsi="Amiri" w:eastAsia="Amiri" w:cs="Amiri"/>
          <w:lang w:bidi="ar-SA"/>
          <w:color w:val="111111"/>
          <w:sz w:val="28"/>
          <w:szCs w:val="28"/>
          <w:rtl/>
        </w:rPr>
        <w:t xml:space="preserve">عبد الحسين</w:t>
      </w:r>
    </w:p>
    <w:p>
      <w:pPr>
        <w:pStyle w:val="BookText"/>
      </w:pPr>
      <w:r>
        <w:rPr>
          <w:rFonts w:ascii="IRNazanin" w:hAnsi="IRNazanin" w:eastAsia="IRNazanin" w:cs="IRNazanin"/>
          <w:lang w:bidi="fa-IR"/>
          <w:color w:val="111111"/>
          <w:sz w:val="28"/>
          <w:szCs w:val="28"/>
          <w:rtl/>
        </w:rPr>
        <w:t xml:space="preserve">طبسي ، محمّد علي بن فيض علي شاه -نورعلیشاه ، محمّد علي بن عبدالحسين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طبسي ، محمود -طبسي ، محمود بن غلام</w:t>
      </w:r>
    </w:p>
    <w:p>
      <w:pPr>
        <w:pStyle w:val="BookText"/>
      </w:pPr>
      <w:r>
        <w:rPr>
          <w:rFonts w:ascii="Amiri" w:hAnsi="Amiri" w:eastAsia="Amiri" w:cs="Amiri"/>
          <w:lang w:bidi="ar-SA"/>
          <w:color w:val="111111"/>
          <w:sz w:val="28"/>
          <w:szCs w:val="28"/>
          <w:rtl/>
        </w:rPr>
        <w:t xml:space="preserve">طبسي ، محمود بن علي- طبسي ، محمود</w:t>
      </w:r>
    </w:p>
    <w:p>
      <w:pPr>
        <w:pStyle w:val="BookText"/>
      </w:pPr>
      <w:r>
        <w:rPr>
          <w:rFonts w:ascii="Amiri" w:hAnsi="Amiri" w:eastAsia="Amiri" w:cs="Amiri"/>
          <w:lang w:bidi="ar-SA"/>
          <w:color w:val="111111"/>
          <w:sz w:val="28"/>
          <w:szCs w:val="28"/>
          <w:rtl/>
        </w:rPr>
        <w:t xml:space="preserve">بن غلام علي</w:t>
      </w:r>
    </w:p>
    <w:p>
      <w:pPr>
        <w:pStyle w:val="Heading2"/>
      </w:pPr>
      <w:bookmarkStart w:id="5602" w:name="_Toc4704"/>
      <w:r>
        <w:t>طبسي ، محمود بن غلام علي قرن 12 ه-</w:t>
      </w:r>
      <w:bookmarkEnd w:id="5602"/>
    </w:p>
    <w:p>
      <w:pPr>
        <w:pStyle w:val="BookText"/>
      </w:pPr>
      <w:r>
        <w:rPr>
          <w:rFonts w:ascii="IRNazanin" w:hAnsi="IRNazanin" w:eastAsia="IRNazanin" w:cs="IRNazanin"/>
          <w:lang w:bidi="fa-IR"/>
          <w:color w:val="111111"/>
          <w:sz w:val="28"/>
          <w:szCs w:val="28"/>
          <w:rtl/>
        </w:rPr>
        <w:t xml:space="preserve">1 .اثبات ،رجعت ج1، ص 153.</w:t>
      </w:r>
    </w:p>
    <w:p>
      <w:pPr>
        <w:pStyle w:val="BookText"/>
      </w:pPr>
      <w:r>
        <w:rPr>
          <w:rFonts w:ascii="Amiri" w:hAnsi="Amiri" w:eastAsia="Amiri" w:cs="Amiri"/>
          <w:lang w:bidi="ar-SA"/>
          <w:color w:val="111111"/>
          <w:sz w:val="28"/>
          <w:szCs w:val="28"/>
          <w:rtl/>
        </w:rPr>
        <w:t xml:space="preserve">2 .شرح نهج البلاغة = منتخب شرح نهج البلاغة حديدي، ج10،</w:t>
      </w:r>
    </w:p>
    <w:p>
      <w:pPr>
        <w:pStyle w:val="BookText"/>
      </w:pPr>
      <w:r>
        <w:rPr>
          <w:rFonts w:ascii="IRNazanin" w:hAnsi="IRNazanin" w:eastAsia="IRNazanin" w:cs="IRNazanin"/>
          <w:lang w:bidi="fa-IR"/>
          <w:color w:val="111111"/>
          <w:sz w:val="28"/>
          <w:szCs w:val="28"/>
          <w:rtl/>
        </w:rPr>
        <w:t xml:space="preserve">ص 299</w:t>
      </w:r>
    </w:p>
    <w:p>
      <w:pPr>
        <w:pStyle w:val="BookText"/>
      </w:pPr>
      <w:r>
        <w:rPr>
          <w:rFonts w:ascii="Amiri" w:hAnsi="Amiri" w:eastAsia="Amiri" w:cs="Amiri"/>
          <w:lang w:bidi="ar-SA"/>
          <w:color w:val="111111"/>
          <w:sz w:val="28"/>
          <w:szCs w:val="28"/>
          <w:rtl/>
        </w:rPr>
        <w:t xml:space="preserve">طبطبائي -طباطبائي ، علي بن مراد</w:t>
      </w:r>
    </w:p>
    <w:p>
      <w:pPr>
        <w:pStyle w:val="Heading2"/>
      </w:pPr>
      <w:bookmarkStart w:id="5603" w:name="_Toc4705"/>
      <w:r>
        <w:t>طبقجلي ، احمد بن اسماعيل 1150 - 1213 ه-</w:t>
      </w:r>
      <w:bookmarkEnd w:id="560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التوحيد (رسالة في)، ج 5، ص 154 .</w:t>
      </w:r>
    </w:p>
    <w:p>
      <w:pPr>
        <w:pStyle w:val="BookText"/>
      </w:pPr>
      <w:r>
        <w:rPr>
          <w:rFonts w:ascii="Amiri" w:hAnsi="Amiri" w:eastAsia="Amiri" w:cs="Amiri"/>
          <w:lang w:bidi="ar-SA"/>
          <w:color w:val="111111"/>
          <w:sz w:val="28"/>
          <w:szCs w:val="28"/>
          <w:rtl/>
        </w:rPr>
        <w:t xml:space="preserve">2 .شرح كلمة التوحيد، ج10، ص 62.</w:t>
      </w:r>
    </w:p>
    <w:p>
      <w:pPr>
        <w:pStyle w:val="BookText"/>
      </w:pPr>
      <w:r>
        <w:rPr>
          <w:rFonts w:ascii="Amiri" w:hAnsi="Amiri" w:eastAsia="Amiri" w:cs="Amiri"/>
          <w:lang w:bidi="ar-SA"/>
          <w:color w:val="111111"/>
          <w:sz w:val="28"/>
          <w:szCs w:val="28"/>
          <w:rtl/>
        </w:rPr>
        <w:t xml:space="preserve">3 .الفلسفة (رسالة في)، ج 12، ص 125.</w:t>
      </w:r>
    </w:p>
    <w:p>
      <w:pPr>
        <w:pStyle w:val="BookText"/>
      </w:pPr>
      <w:r>
        <w:rPr>
          <w:rFonts w:ascii="Amiri" w:hAnsi="Amiri" w:eastAsia="Amiri" w:cs="Amiri"/>
          <w:lang w:bidi="ar-SA"/>
          <w:color w:val="111111"/>
          <w:sz w:val="28"/>
          <w:szCs w:val="28"/>
          <w:rtl/>
        </w:rPr>
        <w:t xml:space="preserve">طبقجلي ، احمد بن محمّد -طبقجلي</w:t>
      </w:r>
    </w:p>
    <w:p>
      <w:pPr>
        <w:pStyle w:val="BookText"/>
      </w:pPr>
      <w:r>
        <w:rPr>
          <w:rFonts w:ascii="Amiri" w:hAnsi="Amiri" w:eastAsia="Amiri" w:cs="Amiri"/>
          <w:lang w:bidi="ar-SA"/>
          <w:color w:val="111111"/>
          <w:sz w:val="28"/>
          <w:szCs w:val="28"/>
          <w:rtl/>
        </w:rPr>
        <w:t xml:space="preserve">احمد بن اسماعيل</w:t>
      </w:r>
    </w:p>
    <w:p>
      <w:pPr>
        <w:pStyle w:val="Heading2"/>
      </w:pPr>
      <w:bookmarkStart w:id="5604" w:name="_Toc4706"/>
      <w:r>
        <w:t>طبقجلي ، محمّد سعيد بن محمّد امین</w:t>
      </w:r>
      <w:bookmarkEnd w:id="5604"/>
    </w:p>
    <w:p>
      <w:pPr>
        <w:pStyle w:val="BookText"/>
      </w:pPr>
      <w:r>
        <w:rPr>
          <w:rFonts w:ascii="IRNazanin" w:hAnsi="IRNazanin" w:eastAsia="IRNazanin" w:cs="IRNazanin"/>
          <w:lang w:bidi="fa-IR"/>
          <w:color w:val="111111"/>
          <w:sz w:val="28"/>
          <w:szCs w:val="28"/>
          <w:rtl/>
        </w:rPr>
        <w:t xml:space="preserve">1273 ه-</w:t>
      </w:r>
    </w:p>
    <w:p>
      <w:pPr>
        <w:pStyle w:val="BookText"/>
      </w:pPr>
      <w:r>
        <w:rPr>
          <w:rFonts w:ascii="Amiri" w:hAnsi="Amiri" w:eastAsia="Amiri" w:cs="Amiri"/>
          <w:lang w:bidi="ar-SA"/>
          <w:color w:val="111111"/>
          <w:sz w:val="28"/>
          <w:szCs w:val="28"/>
          <w:rtl/>
        </w:rPr>
        <w:t xml:space="preserve">1 .انالة المرام في ايضاح شرح عصام</w:t>
      </w:r>
    </w:p>
    <w:p>
      <w:pPr>
        <w:pStyle w:val="BookText"/>
      </w:pPr>
      <w:r>
        <w:rPr>
          <w:rFonts w:ascii="IRNazanin" w:hAnsi="IRNazanin" w:eastAsia="IRNazanin" w:cs="IRNazanin"/>
          <w:lang w:bidi="fa-IR"/>
          <w:color w:val="111111"/>
          <w:sz w:val="28"/>
          <w:szCs w:val="28"/>
          <w:rtl/>
        </w:rPr>
        <w:t xml:space="preserve">ج 2، ص 774.</w:t>
      </w:r>
    </w:p>
    <w:p>
      <w:pPr>
        <w:pStyle w:val="BookText"/>
      </w:pPr>
      <w:r>
        <w:rPr>
          <w:rFonts w:ascii="Amiri" w:hAnsi="Amiri" w:eastAsia="Amiri" w:cs="Amiri"/>
          <w:lang w:bidi="ar-SA"/>
          <w:color w:val="111111"/>
          <w:sz w:val="28"/>
          <w:szCs w:val="28"/>
          <w:rtl/>
        </w:rPr>
        <w:t xml:space="preserve">2 .العقد الفريد في شرح رسالة كلمة</w:t>
      </w:r>
    </w:p>
    <w:p>
      <w:pPr>
        <w:pStyle w:val="BookText"/>
      </w:pPr>
      <w:r>
        <w:rPr>
          <w:rFonts w:ascii="Amiri" w:hAnsi="Amiri" w:eastAsia="Amiri" w:cs="Amiri"/>
          <w:lang w:bidi="ar-SA"/>
          <w:color w:val="111111"/>
          <w:sz w:val="28"/>
          <w:szCs w:val="28"/>
          <w:rtl/>
        </w:rPr>
        <w:t xml:space="preserve">التوحيد، ج 11، ص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مستجمع الفرائد و مستودع</w:t>
      </w:r>
    </w:p>
    <w:p>
      <w:pPr>
        <w:pStyle w:val="BookText"/>
      </w:pPr>
      <w:r>
        <w:rPr>
          <w:rFonts w:ascii="IRNazanin" w:hAnsi="IRNazanin" w:eastAsia="IRNazanin" w:cs="IRNazanin"/>
          <w:lang w:bidi="fa-IR"/>
          <w:color w:val="111111"/>
          <w:sz w:val="28"/>
          <w:szCs w:val="28"/>
          <w:rtl/>
        </w:rPr>
        <w:t xml:space="preserve">الفوائد، ج 14، ص 549.</w:t>
      </w:r>
    </w:p>
    <w:p>
      <w:pPr>
        <w:pStyle w:val="BookText"/>
      </w:pPr>
      <w:r>
        <w:rPr>
          <w:rFonts w:ascii="Amiri" w:hAnsi="Amiri" w:eastAsia="Amiri" w:cs="Amiri"/>
          <w:lang w:bidi="ar-SA"/>
          <w:color w:val="111111"/>
          <w:sz w:val="28"/>
          <w:szCs w:val="28"/>
          <w:rtl/>
        </w:rPr>
        <w:t xml:space="preserve">4 .نزهة الالباب في شرح شواهد موصل الطلاب، ج 16، ص 223.</w:t>
      </w:r>
    </w:p>
    <w:p>
      <w:pPr>
        <w:pStyle w:val="BookText"/>
      </w:pPr>
      <w:r>
        <w:rPr>
          <w:rFonts w:ascii="Amiri" w:hAnsi="Amiri" w:eastAsia="Amiri" w:cs="Amiri"/>
          <w:lang w:bidi="ar-SA"/>
          <w:color w:val="111111"/>
          <w:sz w:val="28"/>
          <w:szCs w:val="28"/>
          <w:rtl/>
        </w:rPr>
        <w:t xml:space="preserve">5 .النكت الظريفة على قصيدة مدح</w:t>
      </w:r>
    </w:p>
    <w:p>
      <w:pPr>
        <w:pStyle w:val="BookText"/>
      </w:pPr>
      <w:r>
        <w:rPr>
          <w:rFonts w:ascii="Amiri" w:hAnsi="Amiri" w:eastAsia="Amiri" w:cs="Amiri"/>
          <w:lang w:bidi="ar-SA"/>
          <w:color w:val="111111"/>
          <w:sz w:val="28"/>
          <w:szCs w:val="28"/>
          <w:rtl/>
        </w:rPr>
        <w:t xml:space="preserve">الإمام أبي حنيفة، ج 16، ص 465.</w:t>
      </w:r>
    </w:p>
    <w:p>
      <w:pPr>
        <w:pStyle w:val="BookText"/>
      </w:pPr>
      <w:r>
        <w:rPr>
          <w:rFonts w:ascii="Amiri" w:hAnsi="Amiri" w:eastAsia="Amiri" w:cs="Amiri"/>
          <w:lang w:bidi="ar-SA"/>
          <w:color w:val="111111"/>
          <w:sz w:val="28"/>
          <w:szCs w:val="28"/>
          <w:rtl/>
        </w:rPr>
        <w:t xml:space="preserve">6 .الهدية السعدية لدراس شرح الرسالة الوضعية، ج 16، ص 640.</w:t>
      </w:r>
    </w:p>
    <w:p>
      <w:pPr>
        <w:pStyle w:val="Heading2"/>
      </w:pPr>
      <w:bookmarkStart w:id="5605" w:name="_Toc4707"/>
      <w:r>
        <w:t>طبلاوي ، محمّد بن سالم - 966 ه-</w:t>
      </w:r>
      <w:bookmarkEnd w:id="5605"/>
    </w:p>
    <w:p>
      <w:pPr>
        <w:pStyle w:val="BookText"/>
      </w:pPr>
      <w:r>
        <w:rPr>
          <w:rFonts w:ascii="Amiri" w:hAnsi="Amiri" w:eastAsia="Amiri" w:cs="Amiri"/>
          <w:lang w:bidi="ar-SA"/>
          <w:color w:val="111111"/>
          <w:sz w:val="28"/>
          <w:szCs w:val="28"/>
          <w:rtl/>
        </w:rPr>
        <w:t xml:space="preserve">مرشدة المشتغلين في احكام النون</w:t>
      </w:r>
    </w:p>
    <w:p>
      <w:pPr>
        <w:pStyle w:val="BookText"/>
      </w:pPr>
      <w:r>
        <w:rPr>
          <w:rFonts w:ascii="Amiri" w:hAnsi="Amiri" w:eastAsia="Amiri" w:cs="Amiri"/>
          <w:lang w:bidi="ar-SA"/>
          <w:color w:val="111111"/>
          <w:sz w:val="28"/>
          <w:szCs w:val="28"/>
          <w:rtl/>
        </w:rPr>
        <w:t xml:space="preserve">الساكنة والتنوين، ج 14، ص 400.</w:t>
      </w:r>
    </w:p>
    <w:p>
      <w:pPr>
        <w:pStyle w:val="BookText"/>
      </w:pPr>
      <w:r>
        <w:rPr>
          <w:rFonts w:ascii="Amiri" w:hAnsi="Amiri" w:eastAsia="Amiri" w:cs="Amiri"/>
          <w:lang w:bidi="ar-SA"/>
          <w:color w:val="111111"/>
          <w:sz w:val="28"/>
          <w:szCs w:val="28"/>
          <w:rtl/>
        </w:rPr>
        <w:t xml:space="preserve">طبلاوي ، منصور سبط</w:t>
      </w:r>
    </w:p>
    <w:p>
      <w:pPr>
        <w:pStyle w:val="BookText"/>
      </w:pPr>
      <w:r>
        <w:rPr>
          <w:rFonts w:ascii="Amiri" w:hAnsi="Amiri" w:eastAsia="Amiri" w:cs="Amiri"/>
          <w:lang w:bidi="ar-SA"/>
          <w:color w:val="111111"/>
          <w:sz w:val="28"/>
          <w:szCs w:val="28"/>
          <w:rtl/>
        </w:rPr>
        <w:t xml:space="preserve">ناصر الدين- طبلاوي ، منصور سبط ناصر</w:t>
      </w:r>
    </w:p>
    <w:p>
      <w:pPr>
        <w:pStyle w:val="BookText"/>
      </w:pPr>
      <w:r>
        <w:rPr>
          <w:rFonts w:ascii="IRNazanin" w:hAnsi="IRNazanin" w:eastAsia="IRNazanin" w:cs="IRNazanin"/>
          <w:lang w:bidi="fa-IR"/>
          <w:color w:val="111111"/>
          <w:sz w:val="28"/>
          <w:szCs w:val="28"/>
          <w:rtl/>
        </w:rPr>
        <w:t xml:space="preserve">الدین محمّد بن سالم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00" w:name="pg7742_70693"/>
    <w:bookmarkEnd w:id="700"/>
    <w:p>
      <w:pPr>
        <w:pStyle w:val="Heading2"/>
      </w:pPr>
      <w:bookmarkStart w:id="5606" w:name="_Toc4708"/>
      <w:r>
        <w:t>طبلاوي ، منصور سبط ناصر الدین محمّد</w:t>
      </w:r>
      <w:bookmarkEnd w:id="5606"/>
    </w:p>
    <w:p>
      <w:pPr>
        <w:pStyle w:val="BookText"/>
      </w:pPr>
      <w:r>
        <w:rPr>
          <w:rFonts w:ascii="IRNazanin" w:hAnsi="IRNazanin" w:eastAsia="IRNazanin" w:cs="IRNazanin"/>
          <w:lang w:bidi="fa-IR"/>
          <w:color w:val="111111"/>
          <w:sz w:val="28"/>
          <w:szCs w:val="28"/>
          <w:rtl/>
        </w:rPr>
        <w:t xml:space="preserve">بن سالم - 1014 ه-</w:t>
      </w:r>
    </w:p>
    <w:p>
      <w:pPr>
        <w:pStyle w:val="BookText"/>
      </w:pPr>
      <w:r>
        <w:rPr>
          <w:rFonts w:ascii="Amiri" w:hAnsi="Amiri" w:eastAsia="Amiri" w:cs="Amiri"/>
          <w:lang w:bidi="ar-SA"/>
          <w:color w:val="111111"/>
          <w:sz w:val="28"/>
          <w:szCs w:val="28"/>
          <w:rtl/>
        </w:rPr>
        <w:t xml:space="preserve">1 .الاستعارة (منظومة في)، ج2،</w:t>
      </w:r>
    </w:p>
    <w:p>
      <w:pPr>
        <w:pStyle w:val="BookText"/>
      </w:pPr>
      <w:r>
        <w:rPr>
          <w:rFonts w:ascii="IRNazanin" w:hAnsi="IRNazanin" w:eastAsia="IRNazanin" w:cs="IRNazanin"/>
          <w:lang w:bidi="fa-IR"/>
          <w:color w:val="111111"/>
          <w:sz w:val="28"/>
          <w:szCs w:val="28"/>
          <w:rtl/>
        </w:rPr>
        <w:t xml:space="preserve">ص 143 .</w:t>
      </w:r>
    </w:p>
    <w:p>
      <w:pPr>
        <w:pStyle w:val="BookText"/>
      </w:pPr>
      <w:r>
        <w:rPr>
          <w:rFonts w:ascii="Amiri" w:hAnsi="Amiri" w:eastAsia="Amiri" w:cs="Amiri"/>
          <w:lang w:bidi="ar-SA"/>
          <w:color w:val="111111"/>
          <w:sz w:val="28"/>
          <w:szCs w:val="28"/>
          <w:rtl/>
        </w:rPr>
        <w:t xml:space="preserve">2 .بيان المشكلات على المبتدئين من جهة التجويد في القرآن المبين، ج3،</w:t>
      </w:r>
    </w:p>
    <w:p>
      <w:pPr>
        <w:pStyle w:val="BookText"/>
      </w:pPr>
      <w:r>
        <w:rPr>
          <w:rFonts w:ascii="IRNazanin" w:hAnsi="IRNazanin" w:eastAsia="IRNazanin" w:cs="IRNazanin"/>
          <w:lang w:bidi="fa-IR"/>
          <w:color w:val="111111"/>
          <w:sz w:val="28"/>
          <w:szCs w:val="28"/>
          <w:rtl/>
        </w:rPr>
        <w:t xml:space="preserve">ص 491.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التحريرات في بيان اقسام الاستعارات، ج3، ص 725</w:t>
      </w:r>
    </w:p>
    <w:p>
      <w:pPr>
        <w:pStyle w:val="BookText"/>
      </w:pPr>
      <w:r>
        <w:rPr>
          <w:rFonts w:ascii="Amiri" w:hAnsi="Amiri" w:eastAsia="Amiri" w:cs="Amiri"/>
          <w:lang w:bidi="ar-SA"/>
          <w:color w:val="111111"/>
          <w:sz w:val="28"/>
          <w:szCs w:val="28"/>
          <w:rtl/>
        </w:rPr>
        <w:t xml:space="preserve">4 .السر القدسي في تفسير آية الكرسي = منزع صوفي من تفسير آية الكرسي، ج8، ص 761.</w:t>
      </w:r>
    </w:p>
    <w:p>
      <w:pPr>
        <w:pStyle w:val="BookText"/>
      </w:pPr>
      <w:r>
        <w:rPr>
          <w:rFonts w:ascii="Amiri" w:hAnsi="Amiri" w:eastAsia="Amiri" w:cs="Amiri"/>
          <w:lang w:bidi="ar-SA"/>
          <w:color w:val="111111"/>
          <w:sz w:val="28"/>
          <w:szCs w:val="28"/>
          <w:rtl/>
        </w:rPr>
        <w:t xml:space="preserve">5 .العقود الجوهرية في حل الألفاظ</w:t>
      </w:r>
    </w:p>
    <w:p>
      <w:pPr>
        <w:pStyle w:val="BookText"/>
      </w:pPr>
      <w:r>
        <w:rPr>
          <w:rFonts w:ascii="Amiri" w:hAnsi="Amiri" w:eastAsia="Amiri" w:cs="Amiri"/>
          <w:lang w:bidi="ar-SA"/>
          <w:color w:val="111111"/>
          <w:sz w:val="28"/>
          <w:szCs w:val="28"/>
          <w:rtl/>
        </w:rPr>
        <w:t xml:space="preserve">الازهرية، ج 11، ص 186.</w:t>
      </w:r>
    </w:p>
    <w:p>
      <w:pPr>
        <w:pStyle w:val="BookText"/>
      </w:pPr>
      <w:r>
        <w:rPr>
          <w:rFonts w:ascii="Amiri" w:hAnsi="Amiri" w:eastAsia="Amiri" w:cs="Amiri"/>
          <w:lang w:bidi="ar-SA"/>
          <w:color w:val="111111"/>
          <w:sz w:val="28"/>
          <w:szCs w:val="28"/>
          <w:rtl/>
        </w:rPr>
        <w:t xml:space="preserve">6 .فوائد تتعلق بالبسملة والحمدلة</w:t>
      </w:r>
    </w:p>
    <w:p>
      <w:pPr>
        <w:pStyle w:val="BookText"/>
      </w:pPr>
      <w:r>
        <w:rPr>
          <w:rFonts w:ascii="IRNazanin" w:hAnsi="IRNazanin" w:eastAsia="IRNazanin" w:cs="IRNazanin"/>
          <w:lang w:bidi="fa-IR"/>
          <w:color w:val="111111"/>
          <w:sz w:val="28"/>
          <w:szCs w:val="28"/>
          <w:rtl/>
        </w:rPr>
        <w:t xml:space="preserve">ج 12، ص 189.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المجاز والاستعارات مع شرحها</w:t>
      </w:r>
    </w:p>
    <w:p>
      <w:pPr>
        <w:pStyle w:val="BookText"/>
      </w:pPr>
      <w:r>
        <w:rPr>
          <w:rFonts w:ascii="Amiri" w:hAnsi="Amiri" w:eastAsia="Amiri" w:cs="Amiri"/>
          <w:lang w:bidi="ar-SA"/>
          <w:color w:val="111111"/>
          <w:sz w:val="28"/>
          <w:szCs w:val="28"/>
          <w:rtl/>
        </w:rPr>
        <w:t xml:space="preserve">(منظومة في)، ج13، ص782.</w:t>
      </w:r>
    </w:p>
    <w:p>
      <w:pPr>
        <w:pStyle w:val="Heading2"/>
      </w:pPr>
      <w:bookmarkStart w:id="5607" w:name="_Toc4709"/>
      <w:r>
        <w:t>طبندي ، نجم الدين بن عرب</w:t>
      </w:r>
      <w:bookmarkEnd w:id="5607"/>
    </w:p>
    <w:p>
      <w:pPr>
        <w:pStyle w:val="BookText"/>
      </w:pPr>
      <w:r>
        <w:rPr>
          <w:rFonts w:ascii="Amiri" w:hAnsi="Amiri" w:eastAsia="Amiri" w:cs="Amiri"/>
          <w:lang w:bidi="ar-SA"/>
          <w:color w:val="111111"/>
          <w:sz w:val="28"/>
          <w:szCs w:val="28"/>
          <w:rtl/>
        </w:rPr>
        <w:t xml:space="preserve">شرح لامية العجم، ج 10، ص 75.</w:t>
      </w:r>
    </w:p>
    <w:p>
      <w:pPr>
        <w:pStyle w:val="Heading2"/>
      </w:pPr>
      <w:bookmarkStart w:id="5608" w:name="_Toc4710"/>
      <w:r>
        <w:t>طبيب ، ارسطو بن علينقي قرن 13 ه-</w:t>
      </w:r>
      <w:bookmarkEnd w:id="5608"/>
    </w:p>
    <w:p>
      <w:pPr>
        <w:pStyle w:val="BookText"/>
      </w:pPr>
      <w:r>
        <w:rPr>
          <w:rFonts w:ascii="IRNazanin" w:hAnsi="IRNazanin" w:eastAsia="IRNazanin" w:cs="IRNazanin"/>
          <w:lang w:bidi="fa-IR"/>
          <w:color w:val="111111"/>
          <w:sz w:val="28"/>
          <w:szCs w:val="28"/>
          <w:rtl/>
        </w:rPr>
        <w:t xml:space="preserve">طب، ج 10، ص 742.</w:t>
      </w:r>
    </w:p>
    <w:p>
      <w:pPr>
        <w:pStyle w:val="Heading2"/>
      </w:pPr>
      <w:bookmarkStart w:id="5609" w:name="_Toc4711"/>
      <w:r>
        <w:t>طبيب تبريزي ، علاء الدین نورالله - 984</w:t>
      </w:r>
      <w:bookmarkEnd w:id="5609"/>
    </w:p>
    <w:p>
      <w:pPr>
        <w:pStyle w:val="BookText"/>
      </w:pPr>
      <w:r>
        <w:rPr>
          <w:rFonts w:ascii="Amiri" w:hAnsi="Amiri" w:eastAsia="Amiri" w:cs="Amiri"/>
          <w:lang w:bidi="ar-SA"/>
          <w:color w:val="111111"/>
          <w:sz w:val="28"/>
          <w:szCs w:val="28"/>
          <w:rtl/>
        </w:rPr>
        <w:t xml:space="preserve">الطب (رسالة في)، ج 10، ص 741 .</w:t>
      </w:r>
    </w:p>
    <w:p>
      <w:pPr>
        <w:pStyle w:val="Heading2"/>
      </w:pPr>
      <w:bookmarkStart w:id="5610" w:name="_Toc4712"/>
      <w:r>
        <w:t>طبيب تفرشي ، محسن بن عبدالمولى</w:t>
      </w:r>
      <w:bookmarkEnd w:id="5610"/>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خلاصة الامراض، ج 7، ص80.</w:t>
      </w:r>
    </w:p>
    <w:p>
      <w:pPr>
        <w:pStyle w:val="Heading2"/>
      </w:pPr>
      <w:bookmarkStart w:id="5611" w:name="_Toc4713"/>
      <w:r>
        <w:t>طبيب ، جلال الدين محمّد قرن 11 ه-</w:t>
      </w:r>
      <w:bookmarkEnd w:id="5611"/>
    </w:p>
    <w:p>
      <w:pPr>
        <w:pStyle w:val="BookText"/>
      </w:pPr>
      <w:r>
        <w:rPr>
          <w:rFonts w:ascii="Amiri" w:hAnsi="Amiri" w:eastAsia="Amiri" w:cs="Amiri"/>
          <w:lang w:bidi="ar-SA"/>
          <w:color w:val="111111"/>
          <w:sz w:val="28"/>
          <w:szCs w:val="28"/>
          <w:rtl/>
        </w:rPr>
        <w:t xml:space="preserve">دستور الجلالي - جلالية، ج 7، ص378.</w:t>
      </w:r>
    </w:p>
    <w:p>
      <w:pPr>
        <w:pStyle w:val="BookText"/>
      </w:pPr>
      <w:r>
        <w:rPr>
          <w:rFonts w:ascii="IRNazanin" w:hAnsi="IRNazanin" w:eastAsia="IRNazanin" w:cs="IRNazanin"/>
          <w:lang w:bidi="fa-IR"/>
          <w:color w:val="111111"/>
          <w:sz w:val="28"/>
          <w:szCs w:val="28"/>
          <w:rtl/>
        </w:rPr>
        <w:t xml:space="preserve">الله</w:t>
      </w:r>
    </w:p>
    <w:p>
      <w:pPr>
        <w:pStyle w:val="Heading2"/>
      </w:pPr>
      <w:bookmarkStart w:id="5612" w:name="_Toc4714"/>
      <w:r>
        <w:t>طبيب ، حبيب بن محمّد قرن 10 ه-</w:t>
      </w:r>
      <w:bookmarkEnd w:id="5612"/>
    </w:p>
    <w:p>
      <w:pPr>
        <w:pStyle w:val="BookText"/>
      </w:pPr>
      <w:r>
        <w:rPr>
          <w:rFonts w:ascii="IRNazanin" w:hAnsi="IRNazanin" w:eastAsia="IRNazanin" w:cs="IRNazanin"/>
          <w:lang w:bidi="fa-IR"/>
          <w:color w:val="111111"/>
          <w:sz w:val="28"/>
          <w:szCs w:val="28"/>
          <w:rtl/>
        </w:rPr>
        <w:t xml:space="preserve">شرح مدخل منظوم، ج 10، ص 130.</w:t>
      </w:r>
    </w:p>
    <w:p>
      <w:pPr>
        <w:pStyle w:val="Heading2"/>
      </w:pPr>
      <w:bookmarkStart w:id="5613" w:name="_Toc4715"/>
      <w:r>
        <w:t>طبيب خاقان ، ذكاء الله بن اسحاق قرن</w:t>
      </w:r>
      <w:bookmarkEnd w:id="5613"/>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قرابادين ذكائي = ذكائيه منتخب</w:t>
      </w:r>
    </w:p>
    <w:p>
      <w:pPr>
        <w:pStyle w:val="BookText"/>
      </w:pPr>
      <w:r>
        <w:rPr>
          <w:rFonts w:ascii="Amiri" w:hAnsi="Amiri" w:eastAsia="Amiri" w:cs="Amiri"/>
          <w:lang w:bidi="ar-SA"/>
          <w:color w:val="111111"/>
          <w:sz w:val="28"/>
          <w:szCs w:val="28"/>
          <w:rtl/>
        </w:rPr>
        <w:t xml:space="preserve">بقائيه، ج 12، ص 555.</w:t>
      </w:r>
    </w:p>
    <w:p>
      <w:pPr>
        <w:pStyle w:val="Heading2"/>
      </w:pPr>
      <w:bookmarkStart w:id="5614" w:name="_Toc4716"/>
      <w:r>
        <w:t>طبيب ، رضي الدين</w:t>
      </w:r>
      <w:bookmarkEnd w:id="5614"/>
    </w:p>
    <w:p>
      <w:pPr>
        <w:pStyle w:val="BookText"/>
      </w:pPr>
      <w:r>
        <w:rPr>
          <w:rFonts w:ascii="Amiri" w:hAnsi="Amiri" w:eastAsia="Amiri" w:cs="Amiri"/>
          <w:lang w:bidi="ar-SA"/>
          <w:color w:val="111111"/>
          <w:sz w:val="28"/>
          <w:szCs w:val="28"/>
          <w:rtl/>
        </w:rPr>
        <w:t xml:space="preserve">منهاج البيان في ما يستعمله الانسان</w:t>
      </w:r>
    </w:p>
    <w:p>
      <w:pPr>
        <w:pStyle w:val="BookText"/>
      </w:pPr>
      <w:r>
        <w:rPr>
          <w:rFonts w:ascii="IRNazanin" w:hAnsi="IRNazanin" w:eastAsia="IRNazanin" w:cs="IRNazanin"/>
          <w:lang w:bidi="fa-IR"/>
          <w:color w:val="111111"/>
          <w:sz w:val="28"/>
          <w:szCs w:val="28"/>
          <w:rtl/>
        </w:rPr>
        <w:t xml:space="preserve">(ترجمه)، ج 15، ص 752.</w:t>
      </w:r>
    </w:p>
    <w:p>
      <w:pPr>
        <w:pStyle w:val="Heading2"/>
      </w:pPr>
      <w:bookmarkStart w:id="5615" w:name="_Toc4717"/>
      <w:r>
        <w:t>طبيب سالياني ، علي اكبر بن محمّد كريم</w:t>
      </w:r>
      <w:bookmarkEnd w:id="5615"/>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الكشكول ، ج 13، ص288 .</w:t>
      </w:r>
    </w:p>
    <w:p>
      <w:pPr>
        <w:pStyle w:val="Heading2"/>
      </w:pPr>
      <w:bookmarkStart w:id="5616" w:name="_Toc4718"/>
      <w:r>
        <w:t>طبيب سمناني ، علي بن محمّد - 1363</w:t>
      </w:r>
      <w:bookmarkEnd w:id="5616"/>
    </w:p>
    <w:p>
      <w:pPr>
        <w:pStyle w:val="BookText"/>
      </w:pPr>
      <w:r>
        <w:rPr>
          <w:rFonts w:ascii="Amiri" w:hAnsi="Amiri" w:eastAsia="Amiri" w:cs="Amiri"/>
          <w:lang w:bidi="ar-SA"/>
          <w:color w:val="111111"/>
          <w:sz w:val="28"/>
          <w:szCs w:val="28"/>
          <w:rtl/>
        </w:rPr>
        <w:t xml:space="preserve">1 .الادوية المفردة و المركبة، ج 1،</w:t>
      </w:r>
    </w:p>
    <w:p>
      <w:pPr>
        <w:pStyle w:val="BookText"/>
      </w:pPr>
      <w:r>
        <w:rPr>
          <w:rFonts w:ascii="IRNazanin" w:hAnsi="IRNazanin" w:eastAsia="IRNazanin" w:cs="IRNazanin"/>
          <w:lang w:bidi="fa-IR"/>
          <w:color w:val="111111"/>
          <w:sz w:val="28"/>
          <w:szCs w:val="28"/>
          <w:rtl/>
        </w:rPr>
        <w:t xml:space="preserve">ص 671 .</w:t>
      </w:r>
    </w:p>
    <w:p>
      <w:pPr>
        <w:pStyle w:val="BookText"/>
      </w:pPr>
      <w:r>
        <w:rPr>
          <w:rFonts w:ascii="IRNazanin" w:hAnsi="IRNazanin" w:eastAsia="IRNazanin" w:cs="IRNazanin"/>
          <w:lang w:bidi="fa-IR"/>
          <w:color w:val="111111"/>
          <w:sz w:val="28"/>
          <w:szCs w:val="28"/>
          <w:rtl/>
        </w:rPr>
        <w:t xml:space="preserve">2 .امراض الاطفال، ج 2، ص 759.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تشريح الابدان الناصري، جع،</w:t>
      </w:r>
    </w:p>
    <w:p>
      <w:pPr>
        <w:pStyle w:val="BookText"/>
      </w:pPr>
      <w:r>
        <w:rPr>
          <w:rFonts w:ascii="IRNazanin" w:hAnsi="IRNazanin" w:eastAsia="IRNazanin" w:cs="IRNazanin"/>
          <w:lang w:bidi="fa-IR"/>
          <w:color w:val="111111"/>
          <w:sz w:val="28"/>
          <w:szCs w:val="28"/>
          <w:rtl/>
        </w:rPr>
        <w:t xml:space="preserve">ص 363 .</w:t>
      </w:r>
    </w:p>
    <w:p>
      <w:pPr>
        <w:pStyle w:val="BookText"/>
      </w:pPr>
      <w:r>
        <w:rPr>
          <w:rFonts w:ascii="IRNazanin" w:hAnsi="IRNazanin" w:eastAsia="IRNazanin" w:cs="IRNazanin"/>
          <w:lang w:bidi="fa-IR"/>
          <w:color w:val="111111"/>
          <w:sz w:val="28"/>
          <w:szCs w:val="28"/>
          <w:rtl/>
        </w:rPr>
        <w:t xml:space="preserve">4 .جنگ المعالجين، ج 5، ص 473.</w:t>
      </w:r>
    </w:p>
    <w:p>
      <w:pPr>
        <w:pStyle w:val="BookText"/>
      </w:pPr>
      <w:r>
        <w:rPr>
          <w:rFonts w:ascii="IRNazanin" w:hAnsi="IRNazanin" w:eastAsia="IRNazanin" w:cs="IRNazanin"/>
          <w:lang w:bidi="fa-IR"/>
          <w:color w:val="111111"/>
          <w:sz w:val="28"/>
          <w:szCs w:val="28"/>
          <w:rtl/>
        </w:rPr>
        <w:t xml:space="preserve">5 .جواهر العلاج، ج 5، ص 553.</w:t>
      </w:r>
    </w:p>
    <w:p>
      <w:pPr>
        <w:pStyle w:val="BookText"/>
      </w:pPr>
      <w:r>
        <w:rPr>
          <w:rFonts w:ascii="Amiri" w:hAnsi="Amiri" w:eastAsia="Amiri" w:cs="Amiri"/>
          <w:lang w:bidi="ar-SA"/>
          <w:color w:val="111111"/>
          <w:sz w:val="28"/>
          <w:szCs w:val="28"/>
          <w:rtl/>
        </w:rPr>
        <w:t xml:space="preserve">6 .جواهر العيون، ج5، ص 553.</w:t>
      </w:r>
    </w:p>
    <w:p>
      <w:pPr>
        <w:pStyle w:val="BookText"/>
      </w:pPr>
      <w:r>
        <w:rPr>
          <w:rFonts w:ascii="Amiri" w:hAnsi="Amiri" w:eastAsia="Amiri" w:cs="Amiri"/>
          <w:lang w:bidi="ar-SA"/>
          <w:color w:val="111111"/>
          <w:sz w:val="28"/>
          <w:szCs w:val="28"/>
          <w:rtl/>
        </w:rPr>
        <w:t xml:space="preserve">7.دائرة المعارف الطبية، ج 7، ص203.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01" w:name="pg7742_70694"/>
    <w:bookmarkEnd w:id="701"/>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صناعة الطب (كتاب في)، ج 10،</w:t>
      </w:r>
    </w:p>
    <w:p>
      <w:pPr>
        <w:pStyle w:val="BookText"/>
      </w:pPr>
      <w:r>
        <w:rPr>
          <w:rFonts w:ascii="IRNazanin" w:hAnsi="IRNazanin" w:eastAsia="IRNazanin" w:cs="IRNazanin"/>
          <w:lang w:bidi="fa-IR"/>
          <w:color w:val="111111"/>
          <w:sz w:val="28"/>
          <w:szCs w:val="28"/>
          <w:rtl/>
        </w:rPr>
        <w:t xml:space="preserve">ص 637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الطب المنظوم والمنثور، ج 10،</w:t>
      </w:r>
    </w:p>
    <w:p>
      <w:pPr>
        <w:pStyle w:val="BookText"/>
      </w:pPr>
      <w:r>
        <w:rPr>
          <w:rFonts w:ascii="IRNazanin" w:hAnsi="IRNazanin" w:eastAsia="IRNazanin" w:cs="IRNazanin"/>
          <w:lang w:bidi="fa-IR"/>
          <w:color w:val="111111"/>
          <w:sz w:val="28"/>
          <w:szCs w:val="28"/>
          <w:rtl/>
        </w:rPr>
        <w:t xml:space="preserve">ص 793 .</w:t>
      </w:r>
    </w:p>
    <w:p>
      <w:pPr>
        <w:pStyle w:val="BookText"/>
      </w:pPr>
      <w:r>
        <w:rPr>
          <w:rFonts w:ascii="IRNazanin" w:hAnsi="IRNazanin" w:eastAsia="IRNazanin" w:cs="IRNazanin"/>
          <w:lang w:bidi="fa-IR"/>
          <w:color w:val="111111"/>
          <w:sz w:val="28"/>
          <w:szCs w:val="28"/>
          <w:rtl/>
        </w:rPr>
        <w:t xml:space="preserve">10.قواعد الطب، ج 12، ص 795.</w:t>
      </w:r>
    </w:p>
    <w:p>
      <w:pPr>
        <w:pStyle w:val="BookText"/>
      </w:pPr>
      <w:r>
        <w:rPr>
          <w:rFonts w:ascii="Amiri" w:hAnsi="Amiri" w:eastAsia="Amiri" w:cs="Amiri"/>
          <w:lang w:bidi="ar-SA"/>
          <w:color w:val="111111"/>
          <w:sz w:val="28"/>
          <w:szCs w:val="28"/>
          <w:rtl/>
        </w:rPr>
        <w:t xml:space="preserve">11 .قوانين الصحة، ج 12، ص818.</w:t>
      </w:r>
    </w:p>
    <w:p>
      <w:pPr>
        <w:pStyle w:val="BookText"/>
      </w:pPr>
      <w:r>
        <w:rPr>
          <w:rFonts w:ascii="Amiri" w:hAnsi="Amiri" w:eastAsia="Amiri" w:cs="Amiri"/>
          <w:lang w:bidi="ar-SA"/>
          <w:color w:val="111111"/>
          <w:sz w:val="28"/>
          <w:szCs w:val="28"/>
          <w:rtl/>
        </w:rPr>
        <w:t xml:space="preserve">12 .كليات الطب الافرنجي، ج13،</w:t>
      </w:r>
    </w:p>
    <w:p>
      <w:pPr>
        <w:pStyle w:val="BookText"/>
      </w:pPr>
      <w:r>
        <w:rPr>
          <w:rFonts w:ascii="IRNazanin" w:hAnsi="IRNazanin" w:eastAsia="IRNazanin" w:cs="IRNazanin"/>
          <w:lang w:bidi="fa-IR"/>
          <w:color w:val="111111"/>
          <w:sz w:val="28"/>
          <w:szCs w:val="28"/>
          <w:rtl/>
        </w:rPr>
        <w:t xml:space="preserve">ص 386 .</w:t>
      </w:r>
    </w:p>
    <w:p>
      <w:pPr>
        <w:pStyle w:val="BookText"/>
      </w:pPr>
      <w:r>
        <w:rPr>
          <w:rFonts w:ascii="IRNazanin" w:hAnsi="IRNazanin" w:eastAsia="IRNazanin" w:cs="IRNazanin"/>
          <w:lang w:bidi="fa-IR"/>
          <w:color w:val="111111"/>
          <w:sz w:val="28"/>
          <w:szCs w:val="28"/>
          <w:rtl/>
        </w:rPr>
        <w:t xml:space="preserve">13 .گوهر المعالجين، ج13، ص 511.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مجمع العلاج، ج13، ص 854.</w:t>
      </w:r>
    </w:p>
    <w:p>
      <w:pPr>
        <w:pStyle w:val="Heading2"/>
      </w:pPr>
      <w:bookmarkStart w:id="5617" w:name="_Toc4719"/>
      <w:r>
        <w:t>طبيب شيرازي ، ابوالحسين بن محمّد</w:t>
      </w:r>
      <w:bookmarkEnd w:id="5617"/>
    </w:p>
    <w:p>
      <w:pPr>
        <w:pStyle w:val="BookText"/>
      </w:pPr>
      <w:r>
        <w:rPr>
          <w:rFonts w:ascii="IRNazanin" w:hAnsi="IRNazanin" w:eastAsia="IRNazanin" w:cs="IRNazanin"/>
          <w:lang w:bidi="fa-IR"/>
          <w:color w:val="111111"/>
          <w:sz w:val="28"/>
          <w:szCs w:val="28"/>
          <w:rtl/>
        </w:rPr>
        <w:t xml:space="preserve">ابراهیم قرن 12 ه-</w:t>
      </w:r>
    </w:p>
    <w:p>
      <w:pPr>
        <w:pStyle w:val="BookText"/>
      </w:pPr>
      <w:r>
        <w:rPr>
          <w:rFonts w:ascii="Amiri" w:hAnsi="Amiri" w:eastAsia="Amiri" w:cs="Amiri"/>
          <w:lang w:bidi="ar-SA"/>
          <w:color w:val="111111"/>
          <w:sz w:val="28"/>
          <w:szCs w:val="28"/>
          <w:rtl/>
        </w:rPr>
        <w:t xml:space="preserve">مناهج الوصول في تفسير آيات</w:t>
      </w:r>
    </w:p>
    <w:p>
      <w:pPr>
        <w:pStyle w:val="BookText"/>
      </w:pPr>
      <w:r>
        <w:rPr>
          <w:rFonts w:ascii="IRNazanin" w:hAnsi="IRNazanin" w:eastAsia="IRNazanin" w:cs="IRNazanin"/>
          <w:lang w:bidi="fa-IR"/>
          <w:color w:val="111111"/>
          <w:sz w:val="28"/>
          <w:szCs w:val="28"/>
          <w:rtl/>
        </w:rPr>
        <w:t xml:space="preserve">الاصول، ج 15، ص 575.</w:t>
      </w:r>
    </w:p>
    <w:p>
      <w:pPr>
        <w:pStyle w:val="Heading2"/>
      </w:pPr>
      <w:bookmarkStart w:id="5618" w:name="_Toc4720"/>
      <w:r>
        <w:t>طبيب شيرازي ، محمّد رضا بن ابوالفضل</w:t>
      </w:r>
      <w:bookmarkEnd w:id="5618"/>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IRNazanin" w:hAnsi="IRNazanin" w:eastAsia="IRNazanin" w:cs="IRNazanin"/>
          <w:lang w:bidi="fa-IR"/>
          <w:color w:val="111111"/>
          <w:sz w:val="28"/>
          <w:szCs w:val="28"/>
          <w:rtl/>
        </w:rPr>
        <w:t xml:space="preserve">رياض عالمگيري = رياض المناظر، ج8،</w:t>
      </w:r>
    </w:p>
    <w:p>
      <w:pPr>
        <w:pStyle w:val="BookText"/>
      </w:pPr>
      <w:r>
        <w:rPr>
          <w:rFonts w:ascii="IRNazanin" w:hAnsi="IRNazanin" w:eastAsia="IRNazanin" w:cs="IRNazanin"/>
          <w:lang w:bidi="fa-IR"/>
          <w:color w:val="111111"/>
          <w:sz w:val="28"/>
          <w:szCs w:val="28"/>
          <w:rtl/>
        </w:rPr>
        <w:t xml:space="preserve">ص 486.</w:t>
      </w:r>
    </w:p>
    <w:p>
      <w:pPr>
        <w:pStyle w:val="Heading2"/>
      </w:pPr>
      <w:bookmarkStart w:id="5619" w:name="_Toc4721"/>
      <w:r>
        <w:t>طبيب ، صادق علي اصغر</w:t>
      </w:r>
      <w:bookmarkEnd w:id="5619"/>
    </w:p>
    <w:p>
      <w:pPr>
        <w:pStyle w:val="BookText"/>
      </w:pPr>
      <w:r>
        <w:rPr>
          <w:rFonts w:ascii="IRNazanin" w:hAnsi="IRNazanin" w:eastAsia="IRNazanin" w:cs="IRNazanin"/>
          <w:lang w:bidi="fa-IR"/>
          <w:color w:val="111111"/>
          <w:sz w:val="28"/>
          <w:szCs w:val="28"/>
          <w:rtl/>
        </w:rPr>
        <w:t xml:space="preserve">اللوامع، ج 13، ص 637.</w:t>
      </w:r>
    </w:p>
    <w:p>
      <w:pPr>
        <w:pStyle w:val="Heading2"/>
      </w:pPr>
      <w:bookmarkStart w:id="5620" w:name="_Toc4722"/>
      <w:r>
        <w:t>طبيب ، عبدالرحيم بن عبدالله قرن 8 ه-</w:t>
      </w:r>
      <w:bookmarkEnd w:id="5620"/>
    </w:p>
    <w:p>
      <w:pPr>
        <w:pStyle w:val="BookText"/>
      </w:pPr>
      <w:r>
        <w:rPr>
          <w:rFonts w:ascii="IRNazanin" w:hAnsi="IRNazanin" w:eastAsia="IRNazanin" w:cs="IRNazanin"/>
          <w:lang w:bidi="fa-IR"/>
          <w:color w:val="111111"/>
          <w:sz w:val="28"/>
          <w:szCs w:val="28"/>
          <w:rtl/>
        </w:rPr>
        <w:t xml:space="preserve">شرح وسائل الوصول إلى مسائل الفصول، ج 10، ص329.</w:t>
      </w:r>
    </w:p>
    <w:p>
      <w:pPr>
        <w:pStyle w:val="Heading2"/>
      </w:pPr>
      <w:bookmarkStart w:id="5621" w:name="_Toc4723"/>
      <w:r>
        <w:t>طبيب ، عبد الله، قرن 13 ه-</w:t>
      </w:r>
      <w:bookmarkEnd w:id="5621"/>
    </w:p>
    <w:p>
      <w:pPr>
        <w:pStyle w:val="BookText"/>
      </w:pPr>
      <w:r>
        <w:rPr>
          <w:rFonts w:ascii="Amiri" w:hAnsi="Amiri" w:eastAsia="Amiri" w:cs="Amiri"/>
          <w:lang w:bidi="ar-SA"/>
          <w:color w:val="111111"/>
          <w:sz w:val="28"/>
          <w:szCs w:val="28"/>
          <w:rtl/>
        </w:rPr>
        <w:t xml:space="preserve">1 .شفائيه (منتخب)، ج10، ص393.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قرابادین، ج 12، ص 553.</w:t>
      </w:r>
    </w:p>
    <w:p>
      <w:pPr>
        <w:pStyle w:val="Heading2"/>
      </w:pPr>
      <w:bookmarkStart w:id="5622" w:name="_Toc4724"/>
      <w:r>
        <w:t>طبيب ، علاء الدين محمّد قرن 11 ه-</w:t>
      </w:r>
      <w:bookmarkEnd w:id="5622"/>
    </w:p>
    <w:p>
      <w:pPr>
        <w:pStyle w:val="BookText"/>
      </w:pPr>
      <w:r>
        <w:rPr>
          <w:rFonts w:ascii="Amiri" w:hAnsi="Amiri" w:eastAsia="Amiri" w:cs="Amiri"/>
          <w:lang w:bidi="ar-SA"/>
          <w:color w:val="111111"/>
          <w:sz w:val="28"/>
          <w:szCs w:val="28"/>
          <w:rtl/>
        </w:rPr>
        <w:t xml:space="preserve">1 .تحفه سليمانيه، ج3، ص 849.</w:t>
      </w:r>
    </w:p>
    <w:p>
      <w:pPr>
        <w:pStyle w:val="BookText"/>
      </w:pPr>
      <w:r>
        <w:rPr>
          <w:rFonts w:ascii="Amiri" w:hAnsi="Amiri" w:eastAsia="Amiri" w:cs="Amiri"/>
          <w:lang w:bidi="ar-SA"/>
          <w:color w:val="111111"/>
          <w:sz w:val="28"/>
          <w:szCs w:val="28"/>
          <w:rtl/>
        </w:rPr>
        <w:t xml:space="preserve">2 .كامل علائي، ج 13، ص72.</w:t>
      </w:r>
    </w:p>
    <w:p>
      <w:pPr>
        <w:pStyle w:val="Heading2"/>
      </w:pPr>
      <w:bookmarkStart w:id="5623" w:name="_Toc4725"/>
      <w:r>
        <w:t>طبيب قوچاني ، ميرزا نصرت قرن 14 ه-</w:t>
      </w:r>
      <w:bookmarkEnd w:id="5623"/>
    </w:p>
    <w:p>
      <w:pPr>
        <w:pStyle w:val="BookText"/>
      </w:pPr>
      <w:r>
        <w:rPr>
          <w:rFonts w:ascii="Amiri" w:hAnsi="Amiri" w:eastAsia="Amiri" w:cs="Amiri"/>
          <w:lang w:bidi="ar-SA"/>
          <w:color w:val="111111"/>
          <w:sz w:val="28"/>
          <w:szCs w:val="28"/>
          <w:rtl/>
        </w:rPr>
        <w:t xml:space="preserve">حافظ الصحه ناصري = حفظ الصحه</w:t>
      </w:r>
    </w:p>
    <w:p>
      <w:pPr>
        <w:pStyle w:val="BookText"/>
      </w:pPr>
      <w:r>
        <w:rPr>
          <w:rFonts w:ascii="Amiri" w:hAnsi="Amiri" w:eastAsia="Amiri" w:cs="Amiri"/>
          <w:lang w:bidi="ar-SA"/>
          <w:color w:val="111111"/>
          <w:sz w:val="28"/>
          <w:szCs w:val="28"/>
          <w:rtl/>
        </w:rPr>
        <w:t xml:space="preserve">ناصري، ج 1، ص 455.</w:t>
      </w:r>
    </w:p>
    <w:p>
      <w:pPr>
        <w:pStyle w:val="Heading2"/>
      </w:pPr>
      <w:bookmarkStart w:id="5624" w:name="_Toc4726"/>
      <w:r>
        <w:t>طبيب كنابادي ، سلطان علي، قرن 10 ه-</w:t>
      </w:r>
      <w:bookmarkEnd w:id="5624"/>
    </w:p>
    <w:p>
      <w:pPr>
        <w:pStyle w:val="BookText"/>
      </w:pPr>
      <w:r>
        <w:rPr>
          <w:rFonts w:ascii="IRNazanin" w:hAnsi="IRNazanin" w:eastAsia="IRNazanin" w:cs="IRNazanin"/>
          <w:lang w:bidi="fa-IR"/>
          <w:color w:val="111111"/>
          <w:sz w:val="28"/>
          <w:szCs w:val="28"/>
          <w:rtl/>
        </w:rPr>
        <w:t xml:space="preserve">دستور العلاج، ج7، ص382.</w:t>
      </w:r>
    </w:p>
    <w:p>
      <w:pPr>
        <w:pStyle w:val="Heading2"/>
      </w:pPr>
      <w:bookmarkStart w:id="5625" w:name="_Toc4727"/>
      <w:r>
        <w:t>طبيب، محمّد بن ابي المجد قرن 10 ه-</w:t>
      </w:r>
      <w:bookmarkEnd w:id="5625"/>
    </w:p>
    <w:p>
      <w:pPr>
        <w:pStyle w:val="BookText"/>
      </w:pPr>
      <w:r>
        <w:rPr>
          <w:rFonts w:ascii="IRNazanin" w:hAnsi="IRNazanin" w:eastAsia="IRNazanin" w:cs="IRNazanin"/>
          <w:lang w:bidi="fa-IR"/>
          <w:color w:val="111111"/>
          <w:sz w:val="28"/>
          <w:szCs w:val="28"/>
          <w:rtl/>
        </w:rPr>
        <w:t xml:space="preserve">حدود الامراض، ج 6، ص 549.</w:t>
      </w:r>
    </w:p>
    <w:p>
      <w:pPr>
        <w:pStyle w:val="Heading2"/>
      </w:pPr>
      <w:bookmarkStart w:id="5626" w:name="_Toc4728"/>
      <w:r>
        <w:t>طبيب، محمّد بن محمّد قرن 10 ه-</w:t>
      </w:r>
      <w:bookmarkEnd w:id="5626"/>
    </w:p>
    <w:p>
      <w:pPr>
        <w:pStyle w:val="BookText"/>
      </w:pPr>
      <w:r>
        <w:rPr>
          <w:rFonts w:ascii="Amiri" w:hAnsi="Amiri" w:eastAsia="Amiri" w:cs="Amiri"/>
          <w:lang w:bidi="ar-SA"/>
          <w:color w:val="111111"/>
          <w:sz w:val="28"/>
          <w:szCs w:val="28"/>
          <w:rtl/>
        </w:rPr>
        <w:t xml:space="preserve">انيس العابدين - انيس الزاهدين</w:t>
      </w:r>
    </w:p>
    <w:p>
      <w:pPr>
        <w:pStyle w:val="BookText"/>
      </w:pPr>
      <w:r>
        <w:rPr>
          <w:rFonts w:ascii="IRNazanin" w:hAnsi="IRNazanin" w:eastAsia="IRNazanin" w:cs="IRNazanin"/>
          <w:lang w:bidi="fa-IR"/>
          <w:color w:val="111111"/>
          <w:sz w:val="28"/>
          <w:szCs w:val="28"/>
          <w:rtl/>
        </w:rPr>
        <w:t xml:space="preserve">ج 3، ص37.</w:t>
      </w:r>
    </w:p>
    <w:p>
      <w:pPr>
        <w:pStyle w:val="Heading2"/>
      </w:pPr>
      <w:bookmarkStart w:id="5627" w:name="_Toc4729"/>
      <w:r>
        <w:t>طبيب، محمّد بن يوحناء - 1363 ه-</w:t>
      </w:r>
      <w:bookmarkEnd w:id="5627"/>
    </w:p>
    <w:p>
      <w:pPr>
        <w:pStyle w:val="BookText"/>
      </w:pPr>
      <w:r>
        <w:rPr>
          <w:rFonts w:ascii="Amiri" w:hAnsi="Amiri" w:eastAsia="Amiri" w:cs="Amiri"/>
          <w:lang w:bidi="ar-SA"/>
          <w:color w:val="111111"/>
          <w:sz w:val="28"/>
          <w:szCs w:val="28"/>
          <w:rtl/>
        </w:rPr>
        <w:t xml:space="preserve">1 .اقراباذين الطب المختار، ج 2،</w:t>
      </w:r>
    </w:p>
    <w:p>
      <w:pPr>
        <w:pStyle w:val="BookText"/>
      </w:pPr>
      <w:r>
        <w:rPr>
          <w:rFonts w:ascii="IRNazanin" w:hAnsi="IRNazanin" w:eastAsia="IRNazanin" w:cs="IRNazanin"/>
          <w:lang w:bidi="fa-IR"/>
          <w:color w:val="111111"/>
          <w:sz w:val="28"/>
          <w:szCs w:val="28"/>
          <w:rtl/>
        </w:rPr>
        <w:t xml:space="preserve">ص 619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حفظ الصحة، ج 6، ص 677.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ارجوزة للرئيس ابن سينا، ج9،</w:t>
      </w:r>
    </w:p>
    <w:p>
      <w:pPr>
        <w:pStyle w:val="BookText"/>
      </w:pPr>
      <w:r>
        <w:rPr>
          <w:rFonts w:ascii="IRNazanin" w:hAnsi="IRNazanin" w:eastAsia="IRNazanin" w:cs="IRNazanin"/>
          <w:lang w:bidi="fa-IR"/>
          <w:color w:val="111111"/>
          <w:sz w:val="28"/>
          <w:szCs w:val="28"/>
          <w:rtl/>
        </w:rPr>
        <w:t xml:space="preserve">ص 183.</w:t>
      </w:r>
    </w:p>
    <w:p>
      <w:pPr>
        <w:pStyle w:val="BookText"/>
      </w:pPr>
      <w:r>
        <w:rPr>
          <w:rFonts w:ascii="Amiri" w:hAnsi="Amiri" w:eastAsia="Amiri" w:cs="Amiri"/>
          <w:lang w:bidi="ar-SA"/>
          <w:color w:val="111111"/>
          <w:sz w:val="28"/>
          <w:szCs w:val="28"/>
          <w:rtl/>
        </w:rPr>
        <w:t xml:space="preserve">4 .الطب الجديد الكيميائي، ج10،</w:t>
      </w:r>
    </w:p>
    <w:p>
      <w:pPr>
        <w:pStyle w:val="BookText"/>
      </w:pPr>
      <w:r>
        <w:rPr>
          <w:rFonts w:ascii="IRNazanin" w:hAnsi="IRNazanin" w:eastAsia="IRNazanin" w:cs="IRNazanin"/>
          <w:lang w:bidi="fa-IR"/>
          <w:color w:val="111111"/>
          <w:sz w:val="28"/>
          <w:szCs w:val="28"/>
          <w:rtl/>
        </w:rPr>
        <w:t xml:space="preserve">ص 765 .</w:t>
      </w:r>
    </w:p>
    <w:p>
      <w:pPr>
        <w:pStyle w:val="BookText"/>
      </w:pPr>
      <w:r>
        <w:rPr>
          <w:rFonts w:ascii="IRNazanin" w:hAnsi="IRNazanin" w:eastAsia="IRNazanin" w:cs="IRNazanin"/>
          <w:lang w:bidi="fa-IR"/>
          <w:color w:val="111111"/>
          <w:sz w:val="28"/>
          <w:szCs w:val="28"/>
          <w:rtl/>
        </w:rPr>
        <w:t xml:space="preserve">5 .الطب المختار، ج10، ص793.</w:t>
      </w:r>
    </w:p>
    <w:p>
      <w:pPr>
        <w:pStyle w:val="BookText"/>
      </w:pPr>
      <w:r>
        <w:rPr>
          <w:rFonts w:ascii="IRNazanin" w:hAnsi="IRNazanin" w:eastAsia="IRNazanin" w:cs="IRNazanin"/>
          <w:lang w:bidi="fa-IR"/>
          <w:color w:val="111111"/>
          <w:sz w:val="28"/>
          <w:szCs w:val="28"/>
          <w:rtl/>
        </w:rPr>
        <w:t xml:space="preserve">6 .مفردات الطب المختار ج 15</w:t>
      </w:r>
    </w:p>
    <w:p>
      <w:pPr>
        <w:pStyle w:val="BookText"/>
      </w:pPr>
      <w:r>
        <w:rPr>
          <w:rFonts w:ascii="IRNazanin" w:hAnsi="IRNazanin" w:eastAsia="IRNazanin" w:cs="IRNazanin"/>
          <w:lang w:bidi="fa-IR"/>
          <w:color w:val="111111"/>
          <w:sz w:val="28"/>
          <w:szCs w:val="28"/>
          <w:rtl/>
        </w:rPr>
        <w:t xml:space="preserve">ص 247.</w:t>
      </w:r>
    </w:p>
    <w:p>
      <w:pPr>
        <w:pStyle w:val="BookText"/>
      </w:pPr>
      <w:r>
        <w:rPr>
          <w:rFonts w:ascii="Amiri" w:hAnsi="Amiri" w:eastAsia="Amiri" w:cs="Amiri"/>
          <w:lang w:bidi="ar-SA"/>
          <w:color w:val="111111"/>
          <w:sz w:val="28"/>
          <w:szCs w:val="28"/>
          <w:rtl/>
        </w:rPr>
        <w:t xml:space="preserve">7 .النبض (رسالة في)، ج 16، ص 123.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02" w:name="pg7742_70695"/>
    <w:bookmarkEnd w:id="702"/>
    <w:p>
      <w:pPr>
        <w:pStyle w:val="Heading2"/>
      </w:pPr>
      <w:bookmarkStart w:id="5628" w:name="_Toc4730"/>
      <w:r>
        <w:t>طبيب، محمّد حسین بن محمّد رضا</w:t>
      </w:r>
      <w:bookmarkEnd w:id="5628"/>
    </w:p>
    <w:p>
      <w:pPr>
        <w:pStyle w:val="BookText"/>
      </w:pPr>
      <w:r>
        <w:rPr>
          <w:rFonts w:ascii="Amiri" w:hAnsi="Amiri" w:eastAsia="Amiri" w:cs="Amiri"/>
          <w:lang w:bidi="ar-SA"/>
          <w:color w:val="111111"/>
          <w:sz w:val="28"/>
          <w:szCs w:val="28"/>
          <w:rtl/>
        </w:rPr>
        <w:t xml:space="preserve">نفسية الحسينية في معالجة الامراض البدنية، ج 16، ص 404 .</w:t>
      </w:r>
    </w:p>
    <w:p>
      <w:pPr>
        <w:pStyle w:val="Heading2"/>
      </w:pPr>
      <w:bookmarkStart w:id="5629" w:name="_Toc4731"/>
      <w:r>
        <w:t>؟ طبيب، محمّد حسین میرزا آقا قرن 13</w:t>
      </w:r>
      <w:bookmarkEnd w:id="5629"/>
    </w:p>
    <w:p>
      <w:pPr>
        <w:pStyle w:val="BookText"/>
      </w:pPr>
      <w:r>
        <w:rPr>
          <w:rFonts w:ascii="Amiri" w:hAnsi="Amiri" w:eastAsia="Amiri" w:cs="Amiri"/>
          <w:lang w:bidi="ar-SA"/>
          <w:color w:val="111111"/>
          <w:sz w:val="28"/>
          <w:szCs w:val="28"/>
          <w:rtl/>
        </w:rPr>
        <w:t xml:space="preserve">الطب (ارجوزة في)، ج 10، ص 743.</w:t>
      </w:r>
    </w:p>
    <w:p>
      <w:pPr>
        <w:pStyle w:val="Heading2"/>
      </w:pPr>
      <w:bookmarkStart w:id="5630" w:name="_Toc4732"/>
      <w:r>
        <w:t>طبیب ، محمود بن محمّد حسین</w:t>
      </w:r>
      <w:bookmarkEnd w:id="5630"/>
    </w:p>
    <w:p>
      <w:pPr>
        <w:pStyle w:val="BookText"/>
      </w:pPr>
      <w:r>
        <w:rPr>
          <w:rFonts w:ascii="IRNazanin" w:hAnsi="IRNazanin" w:eastAsia="IRNazanin" w:cs="IRNazanin"/>
          <w:lang w:bidi="fa-IR"/>
          <w:color w:val="111111"/>
          <w:sz w:val="28"/>
          <w:szCs w:val="28"/>
          <w:rtl/>
        </w:rPr>
        <w:t xml:space="preserve">الطب، ج 10، ص 741.</w:t>
      </w:r>
    </w:p>
    <w:p>
      <w:pPr>
        <w:pStyle w:val="Heading2"/>
      </w:pPr>
      <w:bookmarkStart w:id="5631" w:name="_Toc4733"/>
      <w:r>
        <w:t>طبيب، مسعود بن حسين قرن 10 ه-</w:t>
      </w:r>
      <w:bookmarkEnd w:id="5631"/>
    </w:p>
    <w:p>
      <w:pPr>
        <w:pStyle w:val="BookText"/>
      </w:pPr>
      <w:r>
        <w:rPr>
          <w:rFonts w:ascii="IRNazanin" w:hAnsi="IRNazanin" w:eastAsia="IRNazanin" w:cs="IRNazanin"/>
          <w:lang w:bidi="fa-IR"/>
          <w:color w:val="111111"/>
          <w:sz w:val="28"/>
          <w:szCs w:val="28"/>
          <w:rtl/>
        </w:rPr>
        <w:t xml:space="preserve">مقاصد الأطباء = مقاصد الطب، ج 15،</w:t>
      </w:r>
    </w:p>
    <w:p>
      <w:pPr>
        <w:pStyle w:val="BookText"/>
      </w:pPr>
      <w:r>
        <w:rPr>
          <w:rFonts w:ascii="IRNazanin" w:hAnsi="IRNazanin" w:eastAsia="IRNazanin" w:cs="IRNazanin"/>
          <w:lang w:bidi="fa-IR"/>
          <w:color w:val="111111"/>
          <w:sz w:val="28"/>
          <w:szCs w:val="28"/>
          <w:rtl/>
        </w:rPr>
        <w:t xml:space="preserve">ص 268.</w:t>
      </w:r>
    </w:p>
    <w:p>
      <w:pPr>
        <w:pStyle w:val="Heading2"/>
      </w:pPr>
      <w:bookmarkStart w:id="5632" w:name="_Toc4734"/>
      <w:r>
        <w:t>طبيب، ميرزا علي - 1320 ه-</w:t>
      </w:r>
      <w:bookmarkEnd w:id="5632"/>
    </w:p>
    <w:p>
      <w:pPr>
        <w:pStyle w:val="BookText"/>
      </w:pPr>
      <w:r>
        <w:rPr>
          <w:rFonts w:ascii="IRNazanin" w:hAnsi="IRNazanin" w:eastAsia="IRNazanin" w:cs="IRNazanin"/>
          <w:lang w:bidi="fa-IR"/>
          <w:color w:val="111111"/>
          <w:sz w:val="28"/>
          <w:szCs w:val="28"/>
          <w:rtl/>
        </w:rPr>
        <w:t xml:space="preserve">طب، ج 10، ص 743 .</w:t>
      </w:r>
    </w:p>
    <w:p>
      <w:pPr>
        <w:pStyle w:val="Heading2"/>
      </w:pPr>
      <w:bookmarkStart w:id="5633" w:name="_Toc4735"/>
      <w:r>
        <w:t>طبيب ، يوسف بن محمّد ،یوسف قرن</w:t>
      </w:r>
      <w:bookmarkEnd w:id="5633"/>
    </w:p>
    <w:p>
      <w:pPr>
        <w:pStyle w:val="BookText"/>
      </w:pPr>
      <w:r>
        <w:rPr>
          <w:rFonts w:ascii="IRNazanin" w:hAnsi="IRNazanin" w:eastAsia="IRNazanin" w:cs="IRNazanin"/>
          <w:lang w:bidi="fa-IR"/>
          <w:color w:val="111111"/>
          <w:sz w:val="28"/>
          <w:szCs w:val="28"/>
          <w:rtl/>
        </w:rPr>
        <w:t xml:space="preserve">10ه-</w:t>
      </w:r>
    </w:p>
    <w:p>
      <w:pPr>
        <w:pStyle w:val="BookText"/>
      </w:pPr>
      <w:r>
        <w:rPr>
          <w:rFonts w:ascii="Amiri" w:hAnsi="Amiri" w:eastAsia="Amiri" w:cs="Amiri"/>
          <w:lang w:bidi="ar-SA"/>
          <w:color w:val="111111"/>
          <w:sz w:val="28"/>
          <w:szCs w:val="28"/>
          <w:rtl/>
        </w:rPr>
        <w:t xml:space="preserve">طب يوسف، ج 10، ص799.</w:t>
      </w:r>
    </w:p>
    <w:p>
      <w:pPr>
        <w:pStyle w:val="BookText"/>
      </w:pPr>
      <w:r>
        <w:rPr>
          <w:rFonts w:ascii="Amiri" w:hAnsi="Amiri" w:eastAsia="Amiri" w:cs="Amiri"/>
          <w:lang w:bidi="ar-SA"/>
          <w:color w:val="111111"/>
          <w:sz w:val="28"/>
          <w:szCs w:val="28"/>
          <w:rtl/>
        </w:rPr>
        <w:t xml:space="preserve">طبيب يوسفي ، يوسف بن</w:t>
      </w:r>
    </w:p>
    <w:p>
      <w:pPr>
        <w:pStyle w:val="BookText"/>
      </w:pPr>
      <w:r>
        <w:rPr>
          <w:rFonts w:ascii="Amiri" w:hAnsi="Amiri" w:eastAsia="Amiri" w:cs="Amiri"/>
          <w:lang w:bidi="ar-SA"/>
          <w:color w:val="111111"/>
          <w:sz w:val="28"/>
          <w:szCs w:val="28"/>
          <w:rtl/>
        </w:rPr>
        <w:t xml:space="preserve">محمّد -يوسفي هروي، يوسف بن محمّد</w:t>
      </w:r>
    </w:p>
    <w:p>
      <w:pPr>
        <w:pStyle w:val="BookText"/>
      </w:pPr>
      <w:r>
        <w:rPr>
          <w:rFonts w:ascii="Amiri" w:hAnsi="Amiri" w:eastAsia="Amiri" w:cs="Amiri"/>
          <w:lang w:bidi="ar-SA"/>
          <w:color w:val="111111"/>
          <w:sz w:val="28"/>
          <w:szCs w:val="28"/>
          <w:rtl/>
        </w:rPr>
        <w:t xml:space="preserve">طحاوي ، ابوجعفر احمد بن</w:t>
      </w:r>
    </w:p>
    <w:p>
      <w:pPr>
        <w:pStyle w:val="BookText"/>
      </w:pPr>
      <w:r>
        <w:rPr>
          <w:rFonts w:ascii="Amiri" w:hAnsi="Amiri" w:eastAsia="Amiri" w:cs="Amiri"/>
          <w:lang w:bidi="ar-SA"/>
          <w:color w:val="111111"/>
          <w:sz w:val="28"/>
          <w:szCs w:val="28"/>
          <w:rtl/>
        </w:rPr>
        <w:t xml:space="preserve">محمّد -طحاوي ، احمد بن محمّد</w:t>
      </w:r>
    </w:p>
    <w:p>
      <w:pPr>
        <w:pStyle w:val="BookText"/>
      </w:pPr>
      <w:r>
        <w:rPr>
          <w:rFonts w:ascii="Amiri" w:hAnsi="Amiri" w:eastAsia="Amiri" w:cs="Amiri"/>
          <w:lang w:bidi="ar-SA"/>
          <w:color w:val="111111"/>
          <w:sz w:val="28"/>
          <w:szCs w:val="28"/>
          <w:rtl/>
        </w:rPr>
        <w:t xml:space="preserve">طحطاوي ، احمد بن محمّد -طهطاوي</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5634" w:name="_Toc4736"/>
      <w:r>
        <w:t>طحاوي ، احمد بن محمّد، 239 - 321</w:t>
      </w:r>
      <w:bookmarkEnd w:id="5634"/>
    </w:p>
    <w:p>
      <w:pPr>
        <w:pStyle w:val="BookText"/>
      </w:pPr>
      <w:r>
        <w:rPr>
          <w:rFonts w:ascii="Amiri" w:hAnsi="Amiri" w:eastAsia="Amiri" w:cs="Amiri"/>
          <w:lang w:bidi="ar-SA"/>
          <w:color w:val="111111"/>
          <w:sz w:val="28"/>
          <w:szCs w:val="28"/>
          <w:rtl/>
        </w:rPr>
        <w:t xml:space="preserve">1 .شرح معاني الآثار المختلفة المأثورة</w:t>
      </w:r>
    </w:p>
    <w:p>
      <w:pPr>
        <w:pStyle w:val="BookText"/>
      </w:pPr>
      <w:r>
        <w:rPr>
          <w:rFonts w:ascii="IRNazanin" w:hAnsi="IRNazanin" w:eastAsia="IRNazanin" w:cs="IRNazanin"/>
          <w:lang w:bidi="fa-IR"/>
          <w:color w:val="111111"/>
          <w:sz w:val="28"/>
          <w:szCs w:val="28"/>
          <w:rtl/>
        </w:rPr>
        <w:t xml:space="preserve">ج 10، ص 154 .</w:t>
      </w:r>
    </w:p>
    <w:p>
      <w:pPr>
        <w:pStyle w:val="BookText"/>
      </w:pPr>
      <w:r>
        <w:rPr>
          <w:rFonts w:ascii="IRNazanin" w:hAnsi="IRNazanin" w:eastAsia="IRNazanin" w:cs="IRNazanin"/>
          <w:lang w:bidi="fa-IR"/>
          <w:color w:val="111111"/>
          <w:sz w:val="28"/>
          <w:szCs w:val="28"/>
          <w:rtl/>
        </w:rPr>
        <w:t xml:space="preserve">2 .الشروط، ج 10، ص 357.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الشروط الكبير، ج 10، ص 362.</w:t>
      </w:r>
    </w:p>
    <w:p>
      <w:pPr>
        <w:pStyle w:val="BookText"/>
      </w:pPr>
      <w:r>
        <w:rPr>
          <w:rFonts w:ascii="Amiri" w:hAnsi="Amiri" w:eastAsia="Amiri" w:cs="Amiri"/>
          <w:lang w:bidi="ar-SA"/>
          <w:color w:val="111111"/>
          <w:sz w:val="28"/>
          <w:szCs w:val="28"/>
          <w:rtl/>
        </w:rPr>
        <w:t xml:space="preserve">4 .عقائد أهل السنة و الجماعة =</w:t>
      </w:r>
    </w:p>
    <w:p>
      <w:pPr>
        <w:pStyle w:val="BookText"/>
      </w:pPr>
      <w:r>
        <w:rPr>
          <w:rFonts w:ascii="Amiri" w:hAnsi="Amiri" w:eastAsia="Amiri" w:cs="Amiri"/>
          <w:lang w:bidi="ar-SA"/>
          <w:color w:val="111111"/>
          <w:sz w:val="28"/>
          <w:szCs w:val="28"/>
          <w:rtl/>
        </w:rPr>
        <w:t xml:space="preserve">عقيدة اهل السنة = العقيدة</w:t>
      </w:r>
    </w:p>
    <w:p>
      <w:pPr>
        <w:pStyle w:val="BookText"/>
      </w:pPr>
      <w:r>
        <w:rPr>
          <w:rFonts w:ascii="Amiri" w:hAnsi="Amiri" w:eastAsia="Amiri" w:cs="Amiri"/>
          <w:lang w:bidi="ar-SA"/>
          <w:color w:val="111111"/>
          <w:sz w:val="28"/>
          <w:szCs w:val="28"/>
          <w:rtl/>
        </w:rPr>
        <w:t xml:space="preserve">الطحاوية، ج 11، ص 146.</w:t>
      </w:r>
    </w:p>
    <w:p>
      <w:pPr>
        <w:pStyle w:val="Heading2"/>
      </w:pPr>
      <w:bookmarkStart w:id="5635" w:name="_Toc4737"/>
      <w:r>
        <w:t>طحلاوي ، محمّد يحيى قرن 12 ه-</w:t>
      </w:r>
      <w:bookmarkEnd w:id="5635"/>
    </w:p>
    <w:p>
      <w:pPr>
        <w:pStyle w:val="BookText"/>
      </w:pPr>
      <w:r>
        <w:rPr>
          <w:rFonts w:ascii="Amiri" w:hAnsi="Amiri" w:eastAsia="Amiri" w:cs="Amiri"/>
          <w:lang w:bidi="ar-SA"/>
          <w:color w:val="111111"/>
          <w:sz w:val="28"/>
          <w:szCs w:val="28"/>
          <w:rtl/>
        </w:rPr>
        <w:t xml:space="preserve">التوحيد والصفات، ج 5، ص 159 .</w:t>
      </w:r>
    </w:p>
    <w:p>
      <w:pPr>
        <w:pStyle w:val="BookText"/>
      </w:pPr>
      <w:r>
        <w:rPr>
          <w:rFonts w:ascii="Amiri" w:hAnsi="Amiri" w:eastAsia="Amiri" w:cs="Amiri"/>
          <w:lang w:bidi="ar-SA"/>
          <w:color w:val="111111"/>
          <w:sz w:val="28"/>
          <w:szCs w:val="28"/>
          <w:rtl/>
        </w:rPr>
        <w:t xml:space="preserve">طخارستاني ، علي بن محمود- رايض</w:t>
      </w:r>
    </w:p>
    <w:p>
      <w:pPr>
        <w:pStyle w:val="BookText"/>
      </w:pPr>
      <w:r>
        <w:rPr>
          <w:rFonts w:ascii="Amiri" w:hAnsi="Amiri" w:eastAsia="Amiri" w:cs="Amiri"/>
          <w:lang w:bidi="ar-SA"/>
          <w:color w:val="111111"/>
          <w:sz w:val="28"/>
          <w:szCs w:val="28"/>
          <w:rtl/>
        </w:rPr>
        <w:t xml:space="preserve">بدخشاني ، علي بن محمود</w:t>
      </w:r>
    </w:p>
    <w:p>
      <w:pPr>
        <w:pStyle w:val="Heading2"/>
      </w:pPr>
      <w:bookmarkStart w:id="5636" w:name="_Toc4738"/>
      <w:r>
        <w:t>طرائفي، عبدالكريم بن ضرغام - 852</w:t>
      </w:r>
      <w:bookmarkEnd w:id="5636"/>
    </w:p>
    <w:p>
      <w:pPr>
        <w:pStyle w:val="BookText"/>
      </w:pPr>
      <w:r>
        <w:rPr>
          <w:rFonts w:ascii="Amiri" w:hAnsi="Amiri" w:eastAsia="Amiri" w:cs="Amiri"/>
          <w:lang w:bidi="ar-SA"/>
          <w:color w:val="111111"/>
          <w:sz w:val="28"/>
          <w:szCs w:val="28"/>
          <w:rtl/>
        </w:rPr>
        <w:t xml:space="preserve">1 .أبكار الأفكار في مدح النبي المختار</w:t>
      </w:r>
    </w:p>
    <w:p>
      <w:pPr>
        <w:pStyle w:val="BookText"/>
      </w:pPr>
      <w:r>
        <w:rPr>
          <w:rFonts w:ascii="IRNazanin" w:hAnsi="IRNazanin" w:eastAsia="IRNazanin" w:cs="IRNazanin"/>
          <w:lang w:bidi="fa-IR"/>
          <w:color w:val="111111"/>
          <w:sz w:val="28"/>
          <w:szCs w:val="28"/>
          <w:rtl/>
        </w:rPr>
        <w:t xml:space="preserve">ج 1، ص 106.</w:t>
      </w:r>
    </w:p>
    <w:p>
      <w:pPr>
        <w:pStyle w:val="BookText"/>
      </w:pPr>
      <w:r>
        <w:rPr>
          <w:rFonts w:ascii="Amiri" w:hAnsi="Amiri" w:eastAsia="Amiri" w:cs="Amiri"/>
          <w:lang w:bidi="ar-SA"/>
          <w:color w:val="111111"/>
          <w:sz w:val="28"/>
          <w:szCs w:val="28"/>
          <w:rtl/>
        </w:rPr>
        <w:t xml:space="preserve">2 .أبكار الأفكار في مدح النبي المختار</w:t>
      </w:r>
    </w:p>
    <w:p>
      <w:pPr>
        <w:pStyle w:val="BookText"/>
      </w:pPr>
      <w:r>
        <w:rPr>
          <w:rFonts w:ascii="IRNazanin" w:hAnsi="IRNazanin" w:eastAsia="IRNazanin" w:cs="IRNazanin"/>
          <w:lang w:bidi="fa-IR"/>
          <w:color w:val="111111"/>
          <w:sz w:val="28"/>
          <w:szCs w:val="28"/>
          <w:rtl/>
        </w:rPr>
        <w:t xml:space="preserve">ج 1، ص 107.</w:t>
      </w:r>
    </w:p>
    <w:p>
      <w:pPr>
        <w:pStyle w:val="BookText"/>
      </w:pPr>
      <w:r>
        <w:rPr>
          <w:rFonts w:ascii="Amiri" w:hAnsi="Amiri" w:eastAsia="Amiri" w:cs="Amiri"/>
          <w:lang w:bidi="ar-SA"/>
          <w:color w:val="111111"/>
          <w:sz w:val="28"/>
          <w:szCs w:val="28"/>
          <w:rtl/>
        </w:rPr>
        <w:t xml:space="preserve">3 .الطرائف - القصائد العشرونيات</w:t>
      </w:r>
    </w:p>
    <w:p>
      <w:pPr>
        <w:pStyle w:val="BookText"/>
      </w:pPr>
      <w:r>
        <w:rPr>
          <w:rFonts w:ascii="IRNazanin" w:hAnsi="IRNazanin" w:eastAsia="IRNazanin" w:cs="IRNazanin"/>
          <w:lang w:bidi="fa-IR"/>
          <w:color w:val="111111"/>
          <w:sz w:val="28"/>
          <w:szCs w:val="28"/>
          <w:rtl/>
        </w:rPr>
        <w:t xml:space="preserve">ج 10، ص 799.</w:t>
      </w:r>
    </w:p>
    <w:p>
      <w:pPr>
        <w:pStyle w:val="BookText"/>
      </w:pPr>
      <w:r>
        <w:rPr>
          <w:rFonts w:ascii="Amiri" w:hAnsi="Amiri" w:eastAsia="Amiri" w:cs="Amiri"/>
          <w:lang w:bidi="ar-SA"/>
          <w:color w:val="111111"/>
          <w:sz w:val="28"/>
          <w:szCs w:val="28"/>
          <w:rtl/>
        </w:rPr>
        <w:t xml:space="preserve">طرائفي ، قاسم بن حسين- خوارزمي ،</w:t>
      </w:r>
    </w:p>
    <w:p>
      <w:pPr>
        <w:pStyle w:val="BookText"/>
      </w:pPr>
      <w:r>
        <w:rPr>
          <w:rFonts w:ascii="Amiri" w:hAnsi="Amiri" w:eastAsia="Amiri" w:cs="Amiri"/>
          <w:lang w:bidi="ar-SA"/>
          <w:color w:val="111111"/>
          <w:sz w:val="28"/>
          <w:szCs w:val="28"/>
          <w:rtl/>
        </w:rPr>
        <w:t xml:space="preserve">قاسم بن حسين</w:t>
      </w:r>
    </w:p>
    <w:p>
      <w:pPr>
        <w:pStyle w:val="BookText"/>
      </w:pPr>
      <w:r>
        <w:rPr>
          <w:rFonts w:ascii="IRNazanin" w:hAnsi="IRNazanin" w:eastAsia="IRNazanin" w:cs="IRNazanin"/>
          <w:lang w:bidi="fa-IR"/>
          <w:color w:val="111111"/>
          <w:sz w:val="28"/>
          <w:szCs w:val="28"/>
          <w:rtl/>
        </w:rPr>
        <w:t xml:space="preserve">طرابزوني ، درویش احمد- كوسج ، احمد</w:t>
      </w:r>
    </w:p>
    <w:p>
      <w:pPr>
        <w:pStyle w:val="BookText"/>
      </w:pPr>
      <w:r>
        <w:rPr>
          <w:rFonts w:ascii="Amiri" w:hAnsi="Amiri" w:eastAsia="Amiri" w:cs="Amiri"/>
          <w:lang w:bidi="ar-SA"/>
          <w:color w:val="111111"/>
          <w:sz w:val="28"/>
          <w:szCs w:val="28"/>
          <w:rtl/>
        </w:rPr>
        <w:t xml:space="preserve">بن محمّد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03" w:name="pg7742_70696"/>
    <w:bookmarkEnd w:id="703"/>
    <w:p>
      <w:pPr>
        <w:pStyle w:val="BookText"/>
      </w:pPr>
      <w:r>
        <w:rPr>
          <w:rFonts w:ascii="Amiri" w:hAnsi="Amiri" w:eastAsia="Amiri" w:cs="Amiri"/>
          <w:lang w:bidi="ar-SA"/>
          <w:color w:val="111111"/>
          <w:sz w:val="28"/>
          <w:szCs w:val="28"/>
          <w:rtl/>
        </w:rPr>
        <w:t xml:space="preserve">طربزوني نقشبندي ، احمد -كوسج ، احمدبن محمّد</w:t>
      </w:r>
    </w:p>
    <w:p>
      <w:pPr>
        <w:pStyle w:val="BookText"/>
      </w:pPr>
      <w:r>
        <w:rPr>
          <w:rFonts w:ascii="Amiri" w:hAnsi="Amiri" w:eastAsia="Amiri" w:cs="Amiri"/>
          <w:lang w:bidi="ar-SA"/>
          <w:color w:val="111111"/>
          <w:sz w:val="28"/>
          <w:szCs w:val="28"/>
          <w:rtl/>
        </w:rPr>
        <w:t xml:space="preserve">طرابلسي ، ابراهيم بن اسماعيل- ابن</w:t>
      </w:r>
    </w:p>
    <w:p>
      <w:pPr>
        <w:pStyle w:val="BookText"/>
      </w:pPr>
      <w:r>
        <w:rPr>
          <w:rFonts w:ascii="Amiri" w:hAnsi="Amiri" w:eastAsia="Amiri" w:cs="Amiri"/>
          <w:lang w:bidi="ar-SA"/>
          <w:color w:val="111111"/>
          <w:sz w:val="28"/>
          <w:szCs w:val="28"/>
          <w:rtl/>
        </w:rPr>
        <w:t xml:space="preserve">اجدابي ، ابراهيم بن اسماعيل</w:t>
      </w:r>
    </w:p>
    <w:p>
      <w:pPr>
        <w:pStyle w:val="BookText"/>
      </w:pPr>
      <w:r>
        <w:rPr>
          <w:rFonts w:ascii="Amiri" w:hAnsi="Amiri" w:eastAsia="Amiri" w:cs="Amiri"/>
          <w:lang w:bidi="ar-SA"/>
          <w:color w:val="111111"/>
          <w:sz w:val="28"/>
          <w:szCs w:val="28"/>
          <w:rtl/>
        </w:rPr>
        <w:t xml:space="preserve">طرابلسي ، ابراهيم بن عمر -سوبيني ،</w:t>
      </w:r>
    </w:p>
    <w:p>
      <w:pPr>
        <w:pStyle w:val="BookText"/>
      </w:pPr>
      <w:r>
        <w:rPr>
          <w:rFonts w:ascii="Amiri" w:hAnsi="Amiri" w:eastAsia="Amiri" w:cs="Amiri"/>
          <w:lang w:bidi="ar-SA"/>
          <w:color w:val="111111"/>
          <w:sz w:val="28"/>
          <w:szCs w:val="28"/>
          <w:rtl/>
        </w:rPr>
        <w:t xml:space="preserve">ابراهيم بن عمر</w:t>
      </w:r>
    </w:p>
    <w:p>
      <w:pPr>
        <w:pStyle w:val="BookText"/>
      </w:pPr>
      <w:r>
        <w:rPr>
          <w:rFonts w:ascii="Amiri" w:hAnsi="Amiri" w:eastAsia="Amiri" w:cs="Amiri"/>
          <w:lang w:bidi="ar-SA"/>
          <w:color w:val="111111"/>
          <w:sz w:val="28"/>
          <w:szCs w:val="28"/>
          <w:rtl/>
        </w:rPr>
        <w:t xml:space="preserve">طرابلسي ، ابراهيم بن محمّد- سبط ابن</w:t>
      </w:r>
    </w:p>
    <w:p>
      <w:pPr>
        <w:pStyle w:val="BookText"/>
      </w:pPr>
      <w:r>
        <w:rPr>
          <w:rFonts w:ascii="Amiri" w:hAnsi="Amiri" w:eastAsia="Amiri" w:cs="Amiri"/>
          <w:lang w:bidi="ar-SA"/>
          <w:color w:val="111111"/>
          <w:sz w:val="28"/>
          <w:szCs w:val="28"/>
          <w:rtl/>
        </w:rPr>
        <w:t xml:space="preserve">عجمي ، ابراهيم بن محمّد</w:t>
      </w:r>
    </w:p>
    <w:p>
      <w:pPr>
        <w:pStyle w:val="Heading2"/>
      </w:pPr>
      <w:bookmarkStart w:id="5637" w:name="_Toc4739"/>
      <w:r>
        <w:t>طرابلسي ، ابراهيم بن موسى 853 -</w:t>
      </w:r>
      <w:bookmarkEnd w:id="5637"/>
    </w:p>
    <w:p>
      <w:pPr>
        <w:pStyle w:val="BookText"/>
      </w:pPr>
      <w:r>
        <w:rPr>
          <w:rFonts w:ascii="IRNazanin" w:hAnsi="IRNazanin" w:eastAsia="IRNazanin" w:cs="IRNazanin"/>
          <w:lang w:bidi="fa-IR"/>
          <w:color w:val="111111"/>
          <w:sz w:val="28"/>
          <w:szCs w:val="28"/>
          <w:rtl/>
        </w:rPr>
        <w:t xml:space="preserve">922 ه-</w:t>
      </w:r>
    </w:p>
    <w:p>
      <w:pPr>
        <w:pStyle w:val="BookText"/>
      </w:pPr>
      <w:r>
        <w:rPr>
          <w:rFonts w:ascii="Amiri" w:hAnsi="Amiri" w:eastAsia="Amiri" w:cs="Amiri"/>
          <w:lang w:bidi="ar-SA"/>
          <w:color w:val="111111"/>
          <w:sz w:val="28"/>
          <w:szCs w:val="28"/>
          <w:rtl/>
        </w:rPr>
        <w:t xml:space="preserve">1 .الاسعاف في احكام الاوقاف، ج2،</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مواهب الرحمن في مذهب ابي حنيفة النعمان، ج15، ص887</w:t>
      </w:r>
    </w:p>
    <w:p>
      <w:pPr>
        <w:pStyle w:val="BookText"/>
      </w:pPr>
      <w:r>
        <w:rPr>
          <w:rFonts w:ascii="Amiri" w:hAnsi="Amiri" w:eastAsia="Amiri" w:cs="Amiri"/>
          <w:lang w:bidi="ar-SA"/>
          <w:color w:val="111111"/>
          <w:sz w:val="28"/>
          <w:szCs w:val="28"/>
          <w:rtl/>
        </w:rPr>
        <w:t xml:space="preserve">طرابلسي ، ابراهيم بن يوسف- ابن قرقول</w:t>
      </w:r>
    </w:p>
    <w:p>
      <w:pPr>
        <w:pStyle w:val="BookText"/>
      </w:pPr>
      <w:r>
        <w:rPr>
          <w:rFonts w:ascii="Amiri" w:hAnsi="Amiri" w:eastAsia="Amiri" w:cs="Amiri"/>
          <w:lang w:bidi="ar-SA"/>
          <w:color w:val="111111"/>
          <w:sz w:val="28"/>
          <w:szCs w:val="28"/>
          <w:rtl/>
        </w:rPr>
        <w:t xml:space="preserve">، ابراهيم بن يوسف</w:t>
      </w:r>
    </w:p>
    <w:p>
      <w:pPr>
        <w:pStyle w:val="BookText"/>
      </w:pPr>
      <w:r>
        <w:rPr>
          <w:rFonts w:ascii="Amiri" w:hAnsi="Amiri" w:eastAsia="Amiri" w:cs="Amiri"/>
          <w:lang w:bidi="ar-SA"/>
          <w:color w:val="111111"/>
          <w:sz w:val="28"/>
          <w:szCs w:val="28"/>
          <w:rtl/>
        </w:rPr>
        <w:t xml:space="preserve">طرابلسي ، ابوالحسن - طرابلسي ، ابراهيم</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طرابلسي ، احمد بن علي- منيني ، احمد</w:t>
      </w:r>
    </w:p>
    <w:p>
      <w:pPr>
        <w:pStyle w:val="BookText"/>
      </w:pPr>
      <w:r>
        <w:rPr>
          <w:rFonts w:ascii="Amiri" w:hAnsi="Amiri" w:eastAsia="Amiri" w:cs="Amiri"/>
          <w:lang w:bidi="ar-SA"/>
          <w:color w:val="111111"/>
          <w:sz w:val="28"/>
          <w:szCs w:val="28"/>
          <w:rtl/>
        </w:rPr>
        <w:t xml:space="preserve">بن علي</w:t>
      </w:r>
    </w:p>
    <w:p>
      <w:pPr>
        <w:pStyle w:val="Heading2"/>
      </w:pPr>
      <w:bookmarkStart w:id="5638" w:name="_Toc4740"/>
      <w:r>
        <w:t>طرابلسي ، عبد الرزاق بن حمزة - 9 ه-</w:t>
      </w:r>
      <w:bookmarkEnd w:id="5638"/>
    </w:p>
    <w:p>
      <w:pPr>
        <w:pStyle w:val="BookText"/>
      </w:pPr>
      <w:r>
        <w:rPr>
          <w:rFonts w:ascii="Amiri" w:hAnsi="Amiri" w:eastAsia="Amiri" w:cs="Amiri"/>
          <w:lang w:bidi="ar-SA"/>
          <w:color w:val="111111"/>
          <w:sz w:val="28"/>
          <w:szCs w:val="28"/>
          <w:rtl/>
        </w:rPr>
        <w:t xml:space="preserve">نهاية الغاية في بعض أسماء رجال القراآت أولي الرواية، ج 16، ص 497.</w:t>
      </w:r>
    </w:p>
    <w:p>
      <w:pPr>
        <w:pStyle w:val="BookText"/>
      </w:pPr>
      <w:r>
        <w:rPr>
          <w:rFonts w:ascii="Amiri" w:hAnsi="Amiri" w:eastAsia="Amiri" w:cs="Amiri"/>
          <w:lang w:bidi="ar-SA"/>
          <w:color w:val="111111"/>
          <w:sz w:val="28"/>
          <w:szCs w:val="28"/>
          <w:rtl/>
        </w:rPr>
        <w:t xml:space="preserve">طرابلسي ، عبد العزيز بن البراج- ابن براج</w:t>
      </w:r>
    </w:p>
    <w:p>
      <w:pPr>
        <w:pStyle w:val="BookText"/>
      </w:pPr>
      <w:r>
        <w:rPr>
          <w:rFonts w:ascii="IRNazanin" w:hAnsi="IRNazanin" w:eastAsia="IRNazanin" w:cs="IRNazanin"/>
          <w:lang w:bidi="fa-IR"/>
          <w:color w:val="111111"/>
          <w:sz w:val="28"/>
          <w:szCs w:val="28"/>
          <w:rtl/>
        </w:rPr>
        <w:t xml:space="preserve">، عبدالعزيز بن تحریر</w:t>
      </w:r>
    </w:p>
    <w:p>
      <w:pPr>
        <w:pStyle w:val="BookText"/>
      </w:pPr>
      <w:r>
        <w:rPr>
          <w:rFonts w:ascii="Amiri" w:hAnsi="Amiri" w:eastAsia="Amiri" w:cs="Amiri"/>
          <w:lang w:bidi="ar-SA"/>
          <w:color w:val="111111"/>
          <w:sz w:val="28"/>
          <w:szCs w:val="28"/>
          <w:rtl/>
        </w:rPr>
        <w:t xml:space="preserve">طرابلسي ، عبدالله بن عمر -افيوني ،</w:t>
      </w:r>
    </w:p>
    <w:p>
      <w:pPr>
        <w:pStyle w:val="BookText"/>
      </w:pPr>
      <w:r>
        <w:rPr>
          <w:rFonts w:ascii="IRNazanin" w:hAnsi="IRNazanin" w:eastAsia="IRNazanin" w:cs="IRNazanin"/>
          <w:lang w:bidi="fa-IR"/>
          <w:color w:val="111111"/>
          <w:sz w:val="28"/>
          <w:szCs w:val="28"/>
          <w:rtl/>
        </w:rPr>
        <w:t xml:space="preserve">عبدالله بن عمر</w:t>
      </w:r>
    </w:p>
    <w:p>
      <w:pPr>
        <w:pStyle w:val="Heading2"/>
      </w:pPr>
      <w:bookmarkStart w:id="5639" w:name="_Toc4741"/>
      <w:r>
        <w:t>طرابلسي ، علي بن خليل - 844 ه-</w:t>
      </w:r>
      <w:bookmarkEnd w:id="5639"/>
    </w:p>
    <w:p>
      <w:pPr>
        <w:pStyle w:val="BookText"/>
      </w:pPr>
      <w:r>
        <w:rPr>
          <w:rFonts w:ascii="Amiri" w:hAnsi="Amiri" w:eastAsia="Amiri" w:cs="Amiri"/>
          <w:lang w:bidi="ar-SA"/>
          <w:color w:val="111111"/>
          <w:sz w:val="28"/>
          <w:szCs w:val="28"/>
          <w:rtl/>
        </w:rPr>
        <w:t xml:space="preserve">معين الحكام فيما يتردد بين الخصمين</w:t>
      </w:r>
    </w:p>
    <w:p>
      <w:pPr>
        <w:pStyle w:val="BookText"/>
      </w:pPr>
      <w:r>
        <w:rPr>
          <w:rFonts w:ascii="Amiri" w:hAnsi="Amiri" w:eastAsia="Amiri" w:cs="Amiri"/>
          <w:lang w:bidi="ar-SA"/>
          <w:color w:val="111111"/>
          <w:sz w:val="28"/>
          <w:szCs w:val="28"/>
          <w:rtl/>
        </w:rPr>
        <w:t xml:space="preserve">من الاحكام، ج 15 ، ص 103 .</w:t>
      </w:r>
    </w:p>
    <w:p>
      <w:pPr>
        <w:pStyle w:val="Heading2"/>
      </w:pPr>
      <w:bookmarkStart w:id="5640" w:name="_Toc4742"/>
      <w:r>
        <w:t>طرابلسي ، علي بن محمّد، 950 - 1032</w:t>
      </w:r>
      <w:bookmarkEnd w:id="5640"/>
    </w:p>
    <w:p>
      <w:pPr>
        <w:pStyle w:val="BookText"/>
      </w:pPr>
      <w:r>
        <w:rPr>
          <w:rFonts w:ascii="Amiri" w:hAnsi="Amiri" w:eastAsia="Amiri" w:cs="Amiri"/>
          <w:lang w:bidi="ar-SA"/>
          <w:color w:val="111111"/>
          <w:sz w:val="28"/>
          <w:szCs w:val="28"/>
          <w:rtl/>
        </w:rPr>
        <w:t xml:space="preserve">1 .شرح المقدمة الجزرية، ج10،</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Amiri" w:hAnsi="Amiri" w:eastAsia="Amiri" w:cs="Amiri"/>
          <w:lang w:bidi="ar-SA"/>
          <w:color w:val="111111"/>
          <w:sz w:val="28"/>
          <w:szCs w:val="28"/>
          <w:rtl/>
        </w:rPr>
        <w:t xml:space="preserve">2 .فتاوى على افندي، ج 11، ص 621.</w:t>
      </w:r>
    </w:p>
    <w:p>
      <w:pPr>
        <w:pStyle w:val="BookText"/>
      </w:pPr>
      <w:r>
        <w:rPr>
          <w:rFonts w:ascii="Amiri" w:hAnsi="Amiri" w:eastAsia="Amiri" w:cs="Amiri"/>
          <w:lang w:bidi="ar-SA"/>
          <w:color w:val="111111"/>
          <w:sz w:val="28"/>
          <w:szCs w:val="28"/>
          <w:rtl/>
        </w:rPr>
        <w:t xml:space="preserve">3 .المقدمة العلائية، ج 15، ص 360.</w:t>
      </w:r>
    </w:p>
    <w:p>
      <w:pPr>
        <w:pStyle w:val="Heading2"/>
      </w:pPr>
      <w:bookmarkStart w:id="5641" w:name="_Toc4743"/>
      <w:r>
        <w:t>طرابلسي ، علي بن ياسين</w:t>
      </w:r>
      <w:bookmarkEnd w:id="5641"/>
    </w:p>
    <w:p>
      <w:pPr>
        <w:pStyle w:val="BookText"/>
      </w:pPr>
      <w:r>
        <w:rPr>
          <w:rFonts w:ascii="Amiri" w:hAnsi="Amiri" w:eastAsia="Amiri" w:cs="Amiri"/>
          <w:lang w:bidi="ar-SA"/>
          <w:color w:val="111111"/>
          <w:sz w:val="28"/>
          <w:szCs w:val="28"/>
          <w:rtl/>
        </w:rPr>
        <w:t xml:space="preserve">فتاوى الطرابلسي، ج 11، ص 617.</w:t>
      </w:r>
    </w:p>
    <w:p>
      <w:pPr>
        <w:pStyle w:val="Heading2"/>
      </w:pPr>
      <w:bookmarkStart w:id="5642" w:name="_Toc4744"/>
      <w:r>
        <w:t>طرابلسي ، محمّد بن عبدالله - 1218 ه-</w:t>
      </w:r>
      <w:bookmarkEnd w:id="5642"/>
    </w:p>
    <w:p>
      <w:pPr>
        <w:pStyle w:val="BookText"/>
      </w:pPr>
      <w:r>
        <w:rPr>
          <w:rFonts w:ascii="Amiri" w:hAnsi="Amiri" w:eastAsia="Amiri" w:cs="Amiri"/>
          <w:lang w:bidi="ar-SA"/>
          <w:color w:val="111111"/>
          <w:sz w:val="28"/>
          <w:szCs w:val="28"/>
          <w:rtl/>
        </w:rPr>
        <w:t xml:space="preserve">1 .تشطير القصيدة النضيدة</w:t>
      </w:r>
    </w:p>
    <w:p>
      <w:pPr>
        <w:pStyle w:val="BookText"/>
      </w:pPr>
      <w:r>
        <w:rPr>
          <w:rFonts w:ascii="Amiri" w:hAnsi="Amiri" w:eastAsia="Amiri" w:cs="Amiri"/>
          <w:lang w:bidi="ar-SA"/>
          <w:color w:val="111111"/>
          <w:sz w:val="28"/>
          <w:szCs w:val="28"/>
          <w:rtl/>
        </w:rPr>
        <w:t xml:space="preserve">للبوصيري، ج4، ص389.</w:t>
      </w:r>
    </w:p>
    <w:p>
      <w:pPr>
        <w:pStyle w:val="BookText"/>
      </w:pPr>
      <w:r>
        <w:rPr>
          <w:rFonts w:ascii="Amiri" w:hAnsi="Amiri" w:eastAsia="Amiri" w:cs="Amiri"/>
          <w:lang w:bidi="ar-SA"/>
          <w:color w:val="111111"/>
          <w:sz w:val="28"/>
          <w:szCs w:val="28"/>
          <w:rtl/>
        </w:rPr>
        <w:t xml:space="preserve">2 .تشطير قصيدة بانت سعاد، ج4،</w:t>
      </w:r>
    </w:p>
    <w:p>
      <w:pPr>
        <w:pStyle w:val="BookText"/>
      </w:pPr>
      <w:r>
        <w:rPr>
          <w:rFonts w:ascii="IRNazanin" w:hAnsi="IRNazanin" w:eastAsia="IRNazanin" w:cs="IRNazanin"/>
          <w:lang w:bidi="fa-IR"/>
          <w:color w:val="111111"/>
          <w:sz w:val="28"/>
          <w:szCs w:val="28"/>
          <w:rtl/>
        </w:rPr>
        <w:t xml:space="preserve">ص 388</w:t>
      </w:r>
    </w:p>
    <w:p>
      <w:pPr>
        <w:pStyle w:val="BookText"/>
      </w:pPr>
      <w:r>
        <w:rPr>
          <w:rFonts w:ascii="Amiri" w:hAnsi="Amiri" w:eastAsia="Amiri" w:cs="Amiri"/>
          <w:lang w:bidi="ar-SA"/>
          <w:color w:val="111111"/>
          <w:sz w:val="28"/>
          <w:szCs w:val="28"/>
          <w:rtl/>
        </w:rPr>
        <w:t xml:space="preserve">طرابلسي ، محمّد بن محمّد- سندروسي ،</w:t>
      </w:r>
    </w:p>
    <w:p>
      <w:pPr>
        <w:pStyle w:val="BookText"/>
      </w:pPr>
      <w:r>
        <w:rPr>
          <w:rFonts w:ascii="IRNazanin" w:hAnsi="IRNazanin" w:eastAsia="IRNazanin" w:cs="IRNazanin"/>
          <w:lang w:bidi="fa-IR"/>
          <w:color w:val="111111"/>
          <w:sz w:val="28"/>
          <w:szCs w:val="28"/>
          <w:rtl/>
        </w:rPr>
        <w:t xml:space="preserve">محمد بن محمّد</w:t>
      </w:r>
    </w:p>
    <w:p>
      <w:pPr>
        <w:pStyle w:val="Heading2"/>
      </w:pPr>
      <w:bookmarkStart w:id="5643" w:name="_Toc4745"/>
      <w:r>
        <w:t>طرابيسي ، محمّد بن علي</w:t>
      </w:r>
      <w:bookmarkEnd w:id="5643"/>
    </w:p>
    <w:p>
      <w:pPr>
        <w:pStyle w:val="BookText"/>
      </w:pPr>
      <w:r>
        <w:rPr>
          <w:rFonts w:ascii="Amiri" w:hAnsi="Amiri" w:eastAsia="Amiri" w:cs="Amiri"/>
          <w:lang w:bidi="ar-SA"/>
          <w:color w:val="111111"/>
          <w:sz w:val="28"/>
          <w:szCs w:val="28"/>
          <w:rtl/>
        </w:rPr>
        <w:t xml:space="preserve">1 .ديوان المقرية، ج 7، ص 775.</w:t>
      </w:r>
    </w:p>
    <w:p>
      <w:pPr>
        <w:pStyle w:val="BookText"/>
      </w:pPr>
      <w:r>
        <w:rPr>
          <w:rFonts w:ascii="Amiri" w:hAnsi="Amiri" w:eastAsia="Amiri" w:cs="Amiri"/>
          <w:lang w:bidi="ar-SA"/>
          <w:color w:val="111111"/>
          <w:sz w:val="28"/>
          <w:szCs w:val="28"/>
          <w:rtl/>
        </w:rPr>
        <w:t xml:space="preserve">2 .ديوان تحقيق الدين، ج 7، ص 600.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محمّد الطرابيسي، ج7،</w:t>
      </w:r>
    </w:p>
    <w:p>
      <w:pPr>
        <w:pStyle w:val="BookText"/>
      </w:pPr>
      <w:r>
        <w:rPr>
          <w:rFonts w:ascii="IRNazanin" w:hAnsi="IRNazanin" w:eastAsia="IRNazanin" w:cs="IRNazanin"/>
          <w:lang w:bidi="fa-IR"/>
          <w:color w:val="111111"/>
          <w:sz w:val="28"/>
          <w:szCs w:val="28"/>
          <w:rtl/>
        </w:rPr>
        <w:t xml:space="preserve">ص 767 .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04" w:name="pg7742_70697"/>
    <w:bookmarkEnd w:id="704"/>
    <w:p>
      <w:pPr>
        <w:pStyle w:val="Heading2"/>
      </w:pPr>
      <w:bookmarkStart w:id="5644" w:name="_Toc4746"/>
      <w:r>
        <w:t>طرابيشي ، عمر بن محمّد - 1285 ه-</w:t>
      </w:r>
      <w:bookmarkEnd w:id="5644"/>
    </w:p>
    <w:p>
      <w:pPr>
        <w:pStyle w:val="BookText"/>
      </w:pPr>
      <w:r>
        <w:rPr>
          <w:rFonts w:ascii="Amiri" w:hAnsi="Amiri" w:eastAsia="Amiri" w:cs="Amiri"/>
          <w:lang w:bidi="ar-SA"/>
          <w:color w:val="111111"/>
          <w:sz w:val="28"/>
          <w:szCs w:val="28"/>
          <w:rtl/>
        </w:rPr>
        <w:t xml:space="preserve">طرشتي ، بهاءالدوله بن شاه</w:t>
      </w:r>
    </w:p>
    <w:p>
      <w:pPr>
        <w:pStyle w:val="BookText"/>
      </w:pPr>
      <w:r>
        <w:rPr>
          <w:rFonts w:ascii="Amiri" w:hAnsi="Amiri" w:eastAsia="Amiri" w:cs="Amiri"/>
          <w:lang w:bidi="ar-SA"/>
          <w:color w:val="111111"/>
          <w:sz w:val="28"/>
          <w:szCs w:val="28"/>
          <w:rtl/>
        </w:rPr>
        <w:t xml:space="preserve">كشف البراقع و الزهرية عن الجريدة قاسم نوربخش ، حسن بن قاسم</w:t>
      </w:r>
    </w:p>
    <w:p>
      <w:pPr>
        <w:pStyle w:val="BookText"/>
      </w:pPr>
      <w:r>
        <w:rPr>
          <w:rFonts w:ascii="Amiri" w:hAnsi="Amiri" w:eastAsia="Amiri" w:cs="Amiri"/>
          <w:lang w:bidi="ar-SA"/>
          <w:color w:val="111111"/>
          <w:sz w:val="28"/>
          <w:szCs w:val="28"/>
          <w:rtl/>
        </w:rPr>
        <w:t xml:space="preserve">البهية، ج13، ص197.</w:t>
      </w:r>
    </w:p>
    <w:p>
      <w:pPr>
        <w:pStyle w:val="Heading2"/>
      </w:pPr>
      <w:bookmarkStart w:id="5645" w:name="_Toc4747"/>
      <w:r>
        <w:t>طرازي ، هبة الله بن احمد - 733 ه-</w:t>
      </w:r>
      <w:bookmarkEnd w:id="5645"/>
    </w:p>
    <w:p>
      <w:pPr>
        <w:pStyle w:val="BookText"/>
      </w:pPr>
      <w:r>
        <w:rPr>
          <w:rFonts w:ascii="Amiri" w:hAnsi="Amiri" w:eastAsia="Amiri" w:cs="Amiri"/>
          <w:lang w:bidi="ar-SA"/>
          <w:color w:val="111111"/>
          <w:sz w:val="28"/>
          <w:szCs w:val="28"/>
          <w:rtl/>
        </w:rPr>
        <w:t xml:space="preserve">شرح عقيدة الطحاوية - شرح بيان</w:t>
      </w:r>
    </w:p>
    <w:p>
      <w:pPr>
        <w:pStyle w:val="BookText"/>
      </w:pPr>
      <w:r>
        <w:rPr>
          <w:rFonts w:ascii="Amiri" w:hAnsi="Amiri" w:eastAsia="Amiri" w:cs="Amiri"/>
          <w:lang w:bidi="ar-SA"/>
          <w:color w:val="111111"/>
          <w:sz w:val="28"/>
          <w:szCs w:val="28"/>
          <w:rtl/>
        </w:rPr>
        <w:t xml:space="preserve">اهل السنة و الجماعة، ج 9، ص 744 .</w:t>
      </w:r>
    </w:p>
    <w:p>
      <w:pPr>
        <w:pStyle w:val="BookText"/>
      </w:pPr>
      <w:r>
        <w:rPr>
          <w:rFonts w:ascii="Amiri" w:hAnsi="Amiri" w:eastAsia="Amiri" w:cs="Amiri"/>
          <w:lang w:bidi="ar-SA"/>
          <w:color w:val="111111"/>
          <w:sz w:val="28"/>
          <w:szCs w:val="28"/>
          <w:rtl/>
        </w:rPr>
        <w:t xml:space="preserve">طرثيثي ، احمد بن علي- طريثيثي ، احمد بن علي</w:t>
      </w:r>
    </w:p>
    <w:p>
      <w:pPr>
        <w:pStyle w:val="Heading2"/>
      </w:pPr>
      <w:bookmarkStart w:id="5646" w:name="_Toc4748"/>
      <w:r>
        <w:t>طرزي افشار - 1083 ه-</w:t>
      </w:r>
      <w:bookmarkEnd w:id="5646"/>
    </w:p>
    <w:p>
      <w:pPr>
        <w:pStyle w:val="BookText"/>
      </w:pPr>
      <w:r>
        <w:rPr>
          <w:rFonts w:ascii="Amiri" w:hAnsi="Amiri" w:eastAsia="Amiri" w:cs="Amiri"/>
          <w:lang w:bidi="ar-SA"/>
          <w:color w:val="111111"/>
          <w:sz w:val="28"/>
          <w:szCs w:val="28"/>
          <w:rtl/>
        </w:rPr>
        <w:t xml:space="preserve">ديوان طرزي افشار، ج 7، ص 697 .</w:t>
      </w:r>
    </w:p>
    <w:p>
      <w:pPr>
        <w:pStyle w:val="BookText"/>
      </w:pPr>
      <w:r>
        <w:rPr>
          <w:rFonts w:ascii="Amiri" w:hAnsi="Amiri" w:eastAsia="Amiri" w:cs="Amiri"/>
          <w:lang w:bidi="ar-SA"/>
          <w:color w:val="111111"/>
          <w:sz w:val="28"/>
          <w:szCs w:val="28"/>
          <w:rtl/>
        </w:rPr>
        <w:t xml:space="preserve">طرزي افشار طرشتي -طرزي افشار</w:t>
      </w:r>
    </w:p>
    <w:p>
      <w:pPr>
        <w:pStyle w:val="BookText"/>
      </w:pPr>
      <w:r>
        <w:rPr>
          <w:rFonts w:ascii="Amiri" w:hAnsi="Amiri" w:eastAsia="Amiri" w:cs="Amiri"/>
          <w:lang w:bidi="ar-SA"/>
          <w:color w:val="111111"/>
          <w:sz w:val="28"/>
          <w:szCs w:val="28"/>
          <w:rtl/>
        </w:rPr>
        <w:t xml:space="preserve">طرسوسي ، محمّد بن احمد -بلوي ، محمّد بن احمد</w:t>
      </w:r>
    </w:p>
    <w:p>
      <w:pPr>
        <w:pStyle w:val="BookText"/>
      </w:pPr>
      <w:r>
        <w:rPr>
          <w:rFonts w:ascii="Amiri" w:hAnsi="Amiri" w:eastAsia="Amiri" w:cs="Amiri"/>
          <w:lang w:bidi="ar-SA"/>
          <w:color w:val="111111"/>
          <w:sz w:val="28"/>
          <w:szCs w:val="28"/>
          <w:rtl/>
        </w:rPr>
        <w:t xml:space="preserve">طرسوسي ، محمّد بن احمد- طرطوسي محمّد بن احمد</w:t>
      </w:r>
    </w:p>
    <w:p>
      <w:pPr>
        <w:pStyle w:val="Heading2"/>
      </w:pPr>
      <w:bookmarkStart w:id="5647" w:name="_Toc4749"/>
      <w:r>
        <w:t>طرطوسي ، محمّد بن احمد - 1117</w:t>
      </w:r>
      <w:bookmarkEnd w:id="5647"/>
    </w:p>
    <w:p>
      <w:pPr>
        <w:pStyle w:val="BookText"/>
      </w:pPr>
      <w:r>
        <w:rPr>
          <w:rFonts w:ascii="Amiri" w:hAnsi="Amiri" w:eastAsia="Amiri" w:cs="Amiri"/>
          <w:lang w:bidi="ar-SA"/>
          <w:color w:val="111111"/>
          <w:sz w:val="28"/>
          <w:szCs w:val="28"/>
          <w:rtl/>
        </w:rPr>
        <w:t xml:space="preserve">1 .حاشية حاشية اثبات الواجب</w:t>
      </w:r>
    </w:p>
    <w:p>
      <w:pPr>
        <w:pStyle w:val="BookText"/>
      </w:pPr>
      <w:r>
        <w:rPr>
          <w:rFonts w:ascii="Amiri" w:hAnsi="Amiri" w:eastAsia="Amiri" w:cs="Amiri"/>
          <w:lang w:bidi="ar-SA"/>
          <w:color w:val="111111"/>
          <w:sz w:val="28"/>
          <w:szCs w:val="28"/>
          <w:rtl/>
        </w:rPr>
        <w:t xml:space="preserve">القديم، ج 5، ص 768.</w:t>
      </w:r>
    </w:p>
    <w:p>
      <w:pPr>
        <w:pStyle w:val="BookText"/>
      </w:pPr>
      <w:r>
        <w:rPr>
          <w:rFonts w:ascii="Amiri" w:hAnsi="Amiri" w:eastAsia="Amiri" w:cs="Amiri"/>
          <w:lang w:bidi="ar-SA"/>
          <w:color w:val="111111"/>
          <w:sz w:val="28"/>
          <w:szCs w:val="28"/>
          <w:rtl/>
        </w:rPr>
        <w:t xml:space="preserve">2 .كفاية المعتورات في العمل بربع</w:t>
      </w:r>
    </w:p>
    <w:p>
      <w:pPr>
        <w:pStyle w:val="BookText"/>
      </w:pPr>
      <w:r>
        <w:rPr>
          <w:rFonts w:ascii="IRNazanin" w:hAnsi="IRNazanin" w:eastAsia="IRNazanin" w:cs="IRNazanin"/>
          <w:lang w:bidi="fa-IR"/>
          <w:color w:val="111111"/>
          <w:sz w:val="28"/>
          <w:szCs w:val="28"/>
          <w:rtl/>
        </w:rPr>
        <w:t xml:space="preserve">المقنطرات، ج 13، ص 341.</w:t>
      </w:r>
    </w:p>
    <w:p>
      <w:pPr>
        <w:pStyle w:val="BookText"/>
      </w:pPr>
      <w:r>
        <w:rPr>
          <w:rFonts w:ascii="Amiri" w:hAnsi="Amiri" w:eastAsia="Amiri" w:cs="Amiri"/>
          <w:lang w:bidi="ar-SA"/>
          <w:color w:val="111111"/>
          <w:sz w:val="28"/>
          <w:szCs w:val="28"/>
          <w:rtl/>
        </w:rPr>
        <w:t xml:space="preserve">3 .مختصر في العمل بربع المقنطرات</w:t>
      </w:r>
    </w:p>
    <w:p>
      <w:pPr>
        <w:pStyle w:val="BookText"/>
      </w:pPr>
      <w:r>
        <w:rPr>
          <w:rFonts w:ascii="IRNazanin" w:hAnsi="IRNazanin" w:eastAsia="IRNazanin" w:cs="IRNazanin"/>
          <w:lang w:bidi="fa-IR"/>
          <w:color w:val="111111"/>
          <w:sz w:val="28"/>
          <w:szCs w:val="28"/>
          <w:rtl/>
        </w:rPr>
        <w:t xml:space="preserve">ج 14، ص 222.</w:t>
      </w:r>
    </w:p>
    <w:p>
      <w:pPr>
        <w:pStyle w:val="BookText"/>
      </w:pPr>
      <w:r>
        <w:rPr>
          <w:rFonts w:ascii="Amiri" w:hAnsi="Amiri" w:eastAsia="Amiri" w:cs="Amiri"/>
          <w:lang w:bidi="ar-SA"/>
          <w:color w:val="111111"/>
          <w:sz w:val="28"/>
          <w:szCs w:val="28"/>
          <w:rtl/>
        </w:rPr>
        <w:t xml:space="preserve">طرطوسي ، محمّد بن فرامرز -ملا خسرو</w:t>
      </w:r>
    </w:p>
    <w:p>
      <w:pPr>
        <w:pStyle w:val="BookText"/>
      </w:pPr>
      <w:r>
        <w:rPr>
          <w:rFonts w:ascii="IRNazanin" w:hAnsi="IRNazanin" w:eastAsia="IRNazanin" w:cs="IRNazanin"/>
          <w:lang w:bidi="fa-IR"/>
          <w:color w:val="111111"/>
          <w:sz w:val="28"/>
          <w:szCs w:val="28"/>
          <w:rtl/>
        </w:rPr>
        <w:t xml:space="preserve">محمّد بن فرامرز</w:t>
      </w:r>
    </w:p>
    <w:p>
      <w:pPr>
        <w:pStyle w:val="BookText"/>
      </w:pPr>
      <w:r>
        <w:rPr>
          <w:rFonts w:ascii="Amiri" w:hAnsi="Amiri" w:eastAsia="Amiri" w:cs="Amiri"/>
          <w:lang w:bidi="ar-SA"/>
          <w:color w:val="111111"/>
          <w:sz w:val="28"/>
          <w:szCs w:val="28"/>
          <w:rtl/>
        </w:rPr>
        <w:t xml:space="preserve">طرطوشي ، ابوبكر محمّد -طرطوشي</w:t>
      </w:r>
    </w:p>
    <w:p>
      <w:pPr>
        <w:pStyle w:val="BookText"/>
      </w:pPr>
      <w:r>
        <w:rPr>
          <w:rFonts w:ascii="IRNazanin" w:hAnsi="IRNazanin" w:eastAsia="IRNazanin" w:cs="IRNazanin"/>
          <w:lang w:bidi="fa-IR"/>
          <w:color w:val="111111"/>
          <w:sz w:val="28"/>
          <w:szCs w:val="28"/>
          <w:rtl/>
        </w:rPr>
        <w:t xml:space="preserve">محمّد بن ولید</w:t>
      </w:r>
    </w:p>
    <w:p>
      <w:pPr>
        <w:pStyle w:val="BookText"/>
      </w:pPr>
      <w:r>
        <w:rPr>
          <w:rFonts w:ascii="Amiri" w:hAnsi="Amiri" w:eastAsia="Amiri" w:cs="Amiri"/>
          <w:lang w:bidi="ar-SA"/>
          <w:color w:val="111111"/>
          <w:sz w:val="28"/>
          <w:szCs w:val="28"/>
          <w:rtl/>
        </w:rPr>
        <w:t xml:space="preserve">طرطوشي ، محمّد بن احمد- بلوي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طرطوشي ، محمّد بن الوليد -طرطوشي ،محمّد بن ولید</w:t>
      </w:r>
    </w:p>
    <w:p>
      <w:pPr>
        <w:pStyle w:val="Heading2"/>
      </w:pPr>
      <w:bookmarkStart w:id="5648" w:name="_Toc4750"/>
      <w:r>
        <w:t>طرسوسي ، ابراهيم بن علي 720 - 758</w:t>
      </w:r>
      <w:bookmarkEnd w:id="5648"/>
    </w:p>
    <w:p>
      <w:pPr>
        <w:pStyle w:val="BookText"/>
      </w:pPr>
      <w:r>
        <w:rPr>
          <w:rFonts w:ascii="Amiri" w:hAnsi="Amiri" w:eastAsia="Amiri" w:cs="Amiri"/>
          <w:lang w:bidi="ar-SA"/>
          <w:color w:val="111111"/>
          <w:sz w:val="28"/>
          <w:szCs w:val="28"/>
          <w:rtl/>
        </w:rPr>
        <w:t xml:space="preserve">1 .انفع الوسائل إلى تحرير المسائل</w:t>
      </w:r>
    </w:p>
    <w:p>
      <w:pPr>
        <w:pStyle w:val="BookText"/>
      </w:pPr>
      <w:r>
        <w:rPr>
          <w:rFonts w:ascii="IRNazanin" w:hAnsi="IRNazanin" w:eastAsia="IRNazanin" w:cs="IRNazanin"/>
          <w:lang w:bidi="fa-IR"/>
          <w:color w:val="111111"/>
          <w:sz w:val="28"/>
          <w:szCs w:val="28"/>
          <w:rtl/>
        </w:rPr>
        <w:t xml:space="preserve">ج 2، ص821.</w:t>
      </w:r>
    </w:p>
    <w:p>
      <w:pPr>
        <w:pStyle w:val="BookText"/>
      </w:pPr>
      <w:r>
        <w:rPr>
          <w:rFonts w:ascii="IRNazanin" w:hAnsi="IRNazanin" w:eastAsia="IRNazanin" w:cs="IRNazanin"/>
          <w:lang w:bidi="fa-IR"/>
          <w:color w:val="111111"/>
          <w:sz w:val="28"/>
          <w:szCs w:val="28"/>
          <w:rtl/>
        </w:rPr>
        <w:t xml:space="preserve">2 .الانموذج من العلوم لأرباب الفهوم</w:t>
      </w:r>
    </w:p>
    <w:p>
      <w:pPr>
        <w:pStyle w:val="BookText"/>
      </w:pPr>
      <w:r>
        <w:rPr>
          <w:rFonts w:ascii="IRNazanin" w:hAnsi="IRNazanin" w:eastAsia="IRNazanin" w:cs="IRNazanin"/>
          <w:lang w:bidi="fa-IR"/>
          <w:color w:val="111111"/>
          <w:sz w:val="28"/>
          <w:szCs w:val="28"/>
          <w:rtl/>
        </w:rPr>
        <w:t xml:space="preserve">ج 2، ص 835.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السنية في شرح الفوائد الفقهية، ج 7، ص 240.</w:t>
      </w:r>
    </w:p>
    <w:p>
      <w:pPr>
        <w:pStyle w:val="Heading2"/>
      </w:pPr>
      <w:bookmarkStart w:id="5649" w:name="_Toc4751"/>
      <w:r>
        <w:t>طرطوشي ، محمّد بن وليد 451 - 520 ه-</w:t>
      </w:r>
      <w:bookmarkEnd w:id="5649"/>
    </w:p>
    <w:p>
      <w:pPr>
        <w:pStyle w:val="BookText"/>
      </w:pPr>
      <w:r>
        <w:rPr>
          <w:rFonts w:ascii="Amiri" w:hAnsi="Amiri" w:eastAsia="Amiri" w:cs="Amiri"/>
          <w:lang w:bidi="ar-SA"/>
          <w:color w:val="111111"/>
          <w:sz w:val="28"/>
          <w:szCs w:val="28"/>
          <w:rtl/>
        </w:rPr>
        <w:t xml:space="preserve">1 .سراج الملوك و ابتهاج الصعلوك</w:t>
      </w:r>
    </w:p>
    <w:p>
      <w:pPr>
        <w:pStyle w:val="BookText"/>
      </w:pPr>
      <w:r>
        <w:rPr>
          <w:rFonts w:ascii="IRNazanin" w:hAnsi="IRNazanin" w:eastAsia="IRNazanin" w:cs="IRNazanin"/>
          <w:lang w:bidi="fa-IR"/>
          <w:color w:val="111111"/>
          <w:sz w:val="28"/>
          <w:szCs w:val="28"/>
          <w:rtl/>
        </w:rPr>
        <w:t xml:space="preserve">ج 8، ص 737</w:t>
      </w:r>
    </w:p>
    <w:p>
      <w:pPr>
        <w:pStyle w:val="BookText"/>
      </w:pPr>
      <w:r>
        <w:rPr>
          <w:rFonts w:ascii="Amiri" w:hAnsi="Amiri" w:eastAsia="Amiri" w:cs="Amiri"/>
          <w:lang w:bidi="ar-SA"/>
          <w:color w:val="111111"/>
          <w:sz w:val="28"/>
          <w:szCs w:val="28"/>
          <w:rtl/>
        </w:rPr>
        <w:t xml:space="preserve">2 .السماع (رسالة في)، ج8، ص828.</w:t>
      </w:r>
    </w:p>
    <w:p>
      <w:pPr>
        <w:pStyle w:val="BookText"/>
      </w:pPr>
      <w:r>
        <w:rPr>
          <w:rFonts w:ascii="Amiri" w:hAnsi="Amiri" w:eastAsia="Amiri" w:cs="Amiri"/>
          <w:lang w:bidi="ar-SA"/>
          <w:color w:val="111111"/>
          <w:sz w:val="28"/>
          <w:szCs w:val="28"/>
          <w:rtl/>
        </w:rPr>
        <w:t xml:space="preserve">طرفة بن عبد وائلي- وائلي ، طرفة بن عبد</w:t>
      </w:r>
    </w:p>
    <w:p>
      <w:pPr>
        <w:pStyle w:val="Heading2"/>
      </w:pPr>
      <w:bookmarkStart w:id="5650" w:name="_Toc4752"/>
      <w:r>
        <w:t>طرفي ، ابراهيم قرن 15ه-</w:t>
      </w:r>
      <w:bookmarkEnd w:id="5650"/>
    </w:p>
    <w:p>
      <w:pPr>
        <w:pStyle w:val="BookText"/>
      </w:pPr>
      <w:r>
        <w:rPr>
          <w:rFonts w:ascii="Amiri" w:hAnsi="Amiri" w:eastAsia="Amiri" w:cs="Amiri"/>
          <w:lang w:bidi="ar-SA"/>
          <w:color w:val="111111"/>
          <w:sz w:val="28"/>
          <w:szCs w:val="28"/>
          <w:rtl/>
        </w:rPr>
        <w:t xml:space="preserve">تقريرات الفقه، ج 4، ص 765.</w:t>
      </w:r>
    </w:p>
    <w:p>
      <w:pPr>
        <w:pStyle w:val="BookText"/>
      </w:pPr>
      <w:r>
        <w:rPr>
          <w:rFonts w:ascii="Amiri" w:hAnsi="Amiri" w:eastAsia="Amiri" w:cs="Amiri"/>
          <w:lang w:bidi="ar-SA"/>
          <w:color w:val="111111"/>
          <w:sz w:val="28"/>
          <w:szCs w:val="28"/>
          <w:rtl/>
        </w:rPr>
        <w:t xml:space="preserve">طرماح بن حكيم طائي- طائي ، طرماح بن</w:t>
      </w:r>
    </w:p>
    <w:p>
      <w:pPr>
        <w:pStyle w:val="BookText"/>
      </w:pPr>
      <w:r>
        <w:rPr>
          <w:rFonts w:ascii="Amiri" w:hAnsi="Amiri" w:eastAsia="Amiri" w:cs="Amiri"/>
          <w:lang w:bidi="ar-SA"/>
          <w:color w:val="111111"/>
          <w:sz w:val="28"/>
          <w:szCs w:val="28"/>
          <w:rtl/>
        </w:rPr>
        <w:t xml:space="preserve">حكيم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05" w:name="pg7742_70698"/>
    <w:bookmarkEnd w:id="705"/>
    <w:p>
      <w:pPr>
        <w:pStyle w:val="Heading2"/>
      </w:pPr>
      <w:bookmarkStart w:id="5651" w:name="_Toc4753"/>
      <w:r>
        <w:t>طريثيثي ، احمد بن علي - 497 ه-</w:t>
      </w:r>
      <w:bookmarkEnd w:id="5651"/>
    </w:p>
    <w:p>
      <w:pPr>
        <w:pStyle w:val="BookText"/>
      </w:pPr>
      <w:r>
        <w:rPr>
          <w:rFonts w:ascii="Amiri" w:hAnsi="Amiri" w:eastAsia="Amiri" w:cs="Amiri"/>
          <w:lang w:bidi="ar-SA"/>
          <w:color w:val="111111"/>
          <w:sz w:val="28"/>
          <w:szCs w:val="28"/>
          <w:rtl/>
        </w:rPr>
        <w:t xml:space="preserve">مسلسلات الطرثيثي و حديث الضب</w:t>
      </w:r>
    </w:p>
    <w:p>
      <w:pPr>
        <w:pStyle w:val="BookText"/>
      </w:pPr>
      <w:r>
        <w:rPr>
          <w:rFonts w:ascii="IRNazanin" w:hAnsi="IRNazanin" w:eastAsia="IRNazanin" w:cs="IRNazanin"/>
          <w:lang w:bidi="fa-IR"/>
          <w:color w:val="111111"/>
          <w:sz w:val="28"/>
          <w:szCs w:val="28"/>
          <w:rtl/>
        </w:rPr>
        <w:t xml:space="preserve">ج 14، ص 580.</w:t>
      </w:r>
    </w:p>
    <w:p>
      <w:pPr>
        <w:pStyle w:val="Heading2"/>
      </w:pPr>
      <w:bookmarkStart w:id="5652" w:name="_Toc4754"/>
      <w:r>
        <w:t>طريحي ، صفي الدين بن فخرالدين</w:t>
      </w:r>
      <w:bookmarkEnd w:id="5652"/>
    </w:p>
    <w:p>
      <w:pPr>
        <w:pStyle w:val="BookText"/>
      </w:pPr>
      <w:r>
        <w:rPr>
          <w:rFonts w:ascii="Amiri" w:hAnsi="Amiri" w:eastAsia="Amiri" w:cs="Amiri"/>
          <w:lang w:bidi="ar-SA"/>
          <w:color w:val="111111"/>
          <w:sz w:val="28"/>
          <w:szCs w:val="28"/>
          <w:rtl/>
        </w:rPr>
        <w:t xml:space="preserve">محمّد، قرن 12 ه-</w:t>
      </w:r>
    </w:p>
    <w:p>
      <w:pPr>
        <w:pStyle w:val="BookText"/>
      </w:pPr>
      <w:r>
        <w:rPr>
          <w:rFonts w:ascii="Amiri" w:hAnsi="Amiri" w:eastAsia="Amiri" w:cs="Amiri"/>
          <w:lang w:bidi="ar-SA"/>
          <w:color w:val="111111"/>
          <w:sz w:val="28"/>
          <w:szCs w:val="28"/>
          <w:rtl/>
        </w:rPr>
        <w:t xml:space="preserve">1 .الرسالة الشبهاتية، ج8، ص213.</w:t>
      </w:r>
    </w:p>
    <w:p>
      <w:pPr>
        <w:pStyle w:val="BookText"/>
      </w:pPr>
      <w:r>
        <w:rPr>
          <w:rFonts w:ascii="Amiri" w:hAnsi="Amiri" w:eastAsia="Amiri" w:cs="Amiri"/>
          <w:lang w:bidi="ar-SA"/>
          <w:color w:val="111111"/>
          <w:sz w:val="28"/>
          <w:szCs w:val="28"/>
          <w:rtl/>
        </w:rPr>
        <w:t xml:space="preserve">2 .مطارح النظر في شرح الباب الحادي</w:t>
      </w:r>
    </w:p>
    <w:p>
      <w:pPr>
        <w:pStyle w:val="BookText"/>
      </w:pPr>
      <w:r>
        <w:rPr>
          <w:rFonts w:ascii="IRNazanin" w:hAnsi="IRNazanin" w:eastAsia="IRNazanin" w:cs="IRNazanin"/>
          <w:lang w:bidi="fa-IR"/>
          <w:color w:val="111111"/>
          <w:sz w:val="28"/>
          <w:szCs w:val="28"/>
          <w:rtl/>
        </w:rPr>
        <w:t xml:space="preserve">عشر، ج 14، ص 759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الينبوع المتنجس في الرد على من قال المنجس لا يُنجس، ج 16،</w:t>
      </w:r>
    </w:p>
    <w:p>
      <w:pPr>
        <w:pStyle w:val="BookText"/>
      </w:pPr>
      <w:r>
        <w:rPr>
          <w:rFonts w:ascii="IRNazanin" w:hAnsi="IRNazanin" w:eastAsia="IRNazanin" w:cs="IRNazanin"/>
          <w:lang w:bidi="fa-IR"/>
          <w:color w:val="111111"/>
          <w:sz w:val="28"/>
          <w:szCs w:val="28"/>
          <w:rtl/>
        </w:rPr>
        <w:t xml:space="preserve">ص 902.</w:t>
      </w:r>
    </w:p>
    <w:p>
      <w:pPr>
        <w:pStyle w:val="BookText"/>
      </w:pPr>
      <w:r>
        <w:rPr>
          <w:rFonts w:ascii="Amiri" w:hAnsi="Amiri" w:eastAsia="Amiri" w:cs="Amiri"/>
          <w:lang w:bidi="ar-SA"/>
          <w:color w:val="111111"/>
          <w:sz w:val="28"/>
          <w:szCs w:val="28"/>
          <w:rtl/>
        </w:rPr>
        <w:t xml:space="preserve">طريحي ، طريح بن محّمد - طريحي ،</w:t>
      </w:r>
    </w:p>
    <w:p>
      <w:pPr>
        <w:pStyle w:val="BookText"/>
      </w:pPr>
      <w:r>
        <w:rPr>
          <w:rFonts w:ascii="IRNazanin" w:hAnsi="IRNazanin" w:eastAsia="IRNazanin" w:cs="IRNazanin"/>
          <w:lang w:bidi="fa-IR"/>
          <w:color w:val="111111"/>
          <w:sz w:val="28"/>
          <w:szCs w:val="28"/>
          <w:rtl/>
        </w:rPr>
        <w:t xml:space="preserve">فخرالدین بن محمّد</w:t>
      </w:r>
    </w:p>
    <w:p>
      <w:pPr>
        <w:pStyle w:val="Heading2"/>
      </w:pPr>
      <w:bookmarkStart w:id="5653" w:name="_Toc4755"/>
      <w:r>
        <w:t>طريحي ، عفيف الدين بن عبدالكريم</w:t>
      </w:r>
      <w:bookmarkEnd w:id="5653"/>
    </w:p>
    <w:p>
      <w:pPr>
        <w:pStyle w:val="BookText"/>
      </w:pPr>
      <w:r>
        <w:rPr>
          <w:rFonts w:ascii="Amiri" w:hAnsi="Amiri" w:eastAsia="Amiri" w:cs="Amiri"/>
          <w:lang w:bidi="ar-SA"/>
          <w:color w:val="111111"/>
          <w:sz w:val="28"/>
          <w:szCs w:val="28"/>
          <w:rtl/>
        </w:rPr>
        <w:t xml:space="preserve">القصيدة الطمأنية، ج 12، ص 682.</w:t>
      </w:r>
    </w:p>
    <w:p>
      <w:pPr>
        <w:pStyle w:val="Heading2"/>
      </w:pPr>
      <w:bookmarkStart w:id="5654" w:name="_Toc4756"/>
      <w:r>
        <w:t>طريحي ، فخرالدین بن محمّد 979 -</w:t>
      </w:r>
      <w:bookmarkEnd w:id="5654"/>
    </w:p>
    <w:p>
      <w:pPr>
        <w:pStyle w:val="BookText"/>
      </w:pPr>
      <w:r>
        <w:rPr>
          <w:rFonts w:ascii="IRNazanin" w:hAnsi="IRNazanin" w:eastAsia="IRNazanin" w:cs="IRNazanin"/>
          <w:lang w:bidi="fa-IR"/>
          <w:color w:val="111111"/>
          <w:sz w:val="28"/>
          <w:szCs w:val="28"/>
          <w:rtl/>
        </w:rPr>
        <w:t xml:space="preserve">1087 ه-</w:t>
      </w:r>
    </w:p>
    <w:p>
      <w:pPr>
        <w:pStyle w:val="BookText"/>
      </w:pPr>
      <w:r>
        <w:rPr>
          <w:rFonts w:ascii="Amiri" w:hAnsi="Amiri" w:eastAsia="Amiri" w:cs="Amiri"/>
          <w:lang w:bidi="ar-SA"/>
          <w:color w:val="111111"/>
          <w:sz w:val="28"/>
          <w:szCs w:val="28"/>
          <w:rtl/>
        </w:rPr>
        <w:t xml:space="preserve">1 .إجازة لولده الشيخ صفي الدين</w:t>
      </w:r>
    </w:p>
    <w:p>
      <w:pPr>
        <w:pStyle w:val="BookText"/>
      </w:pPr>
      <w:r>
        <w:rPr>
          <w:rFonts w:ascii="IRNazanin" w:hAnsi="IRNazanin" w:eastAsia="IRNazanin" w:cs="IRNazanin"/>
          <w:lang w:bidi="fa-IR"/>
          <w:color w:val="111111"/>
          <w:sz w:val="28"/>
          <w:szCs w:val="28"/>
          <w:rtl/>
        </w:rPr>
        <w:t xml:space="preserve">ج 1،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احادیث اهل البيت (رسالة في)</w:t>
      </w:r>
    </w:p>
    <w:p>
      <w:pPr>
        <w:pStyle w:val="BookText"/>
      </w:pPr>
      <w:r>
        <w:rPr>
          <w:rFonts w:ascii="IRNazanin" w:hAnsi="IRNazanin" w:eastAsia="IRNazanin" w:cs="IRNazanin"/>
          <w:lang w:bidi="fa-IR"/>
          <w:color w:val="111111"/>
          <w:sz w:val="28"/>
          <w:szCs w:val="28"/>
          <w:rtl/>
        </w:rPr>
        <w:t xml:space="preserve">ج 1، ص 406 .</w:t>
      </w:r>
    </w:p>
    <w:p>
      <w:pPr>
        <w:pStyle w:val="BookText"/>
      </w:pPr>
      <w:r>
        <w:rPr>
          <w:rFonts w:ascii="Amiri" w:hAnsi="Amiri" w:eastAsia="Amiri" w:cs="Amiri"/>
          <w:lang w:bidi="ar-SA"/>
          <w:color w:val="111111"/>
          <w:sz w:val="28"/>
          <w:szCs w:val="28"/>
          <w:rtl/>
        </w:rPr>
        <w:t xml:space="preserve">3 .تحفة الاخوان في تقوية الايمان، ج3،</w:t>
      </w:r>
    </w:p>
    <w:p>
      <w:pPr>
        <w:pStyle w:val="BookText"/>
      </w:pPr>
      <w:r>
        <w:rPr>
          <w:rFonts w:ascii="IRNazanin" w:hAnsi="IRNazanin" w:eastAsia="IRNazanin" w:cs="IRNazanin"/>
          <w:lang w:bidi="fa-IR"/>
          <w:color w:val="111111"/>
          <w:sz w:val="28"/>
          <w:szCs w:val="28"/>
          <w:rtl/>
        </w:rPr>
        <w:t xml:space="preserve">ص 790</w:t>
      </w:r>
    </w:p>
    <w:p>
      <w:pPr>
        <w:pStyle w:val="BookText"/>
      </w:pPr>
      <w:r>
        <w:rPr>
          <w:rFonts w:ascii="Amiri" w:hAnsi="Amiri" w:eastAsia="Amiri" w:cs="Amiri"/>
          <w:lang w:bidi="ar-SA"/>
          <w:color w:val="111111"/>
          <w:sz w:val="28"/>
          <w:szCs w:val="28"/>
          <w:rtl/>
        </w:rPr>
        <w:t xml:space="preserve">4 .ترتيب مشيخة كتاب من لا يحضره</w:t>
      </w:r>
    </w:p>
    <w:p>
      <w:pPr>
        <w:pStyle w:val="BookText"/>
      </w:pPr>
      <w:r>
        <w:rPr>
          <w:rFonts w:ascii="Amiri" w:hAnsi="Amiri" w:eastAsia="Amiri" w:cs="Amiri"/>
          <w:lang w:bidi="ar-SA"/>
          <w:color w:val="111111"/>
          <w:sz w:val="28"/>
          <w:szCs w:val="28"/>
          <w:rtl/>
        </w:rPr>
        <w:t xml:space="preserve">الفقيه، ج 4، ص 247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جامع المقال فيما يتعلق باحوال الحديث و الرجال = الدراية المعرفة</w:t>
      </w:r>
    </w:p>
    <w:p>
      <w:pPr>
        <w:pStyle w:val="BookText"/>
      </w:pPr>
      <w:r>
        <w:rPr>
          <w:rFonts w:ascii="Amiri" w:hAnsi="Amiri" w:eastAsia="Amiri" w:cs="Amiri"/>
          <w:lang w:bidi="ar-SA"/>
          <w:color w:val="111111"/>
          <w:sz w:val="28"/>
          <w:szCs w:val="28"/>
          <w:rtl/>
        </w:rPr>
        <w:t xml:space="preserve">الراوي و الرواية، ج 5، ص 343.</w:t>
      </w:r>
    </w:p>
    <w:p>
      <w:pPr>
        <w:pStyle w:val="BookText"/>
      </w:pPr>
      <w:r>
        <w:rPr>
          <w:rFonts w:ascii="Amiri" w:hAnsi="Amiri" w:eastAsia="Amiri" w:cs="Amiri"/>
          <w:lang w:bidi="ar-SA"/>
          <w:color w:val="111111"/>
          <w:sz w:val="28"/>
          <w:szCs w:val="28"/>
          <w:rtl/>
        </w:rPr>
        <w:t xml:space="preserve">6 .جامعة الفوائد - حجية الظن</w:t>
      </w:r>
    </w:p>
    <w:p>
      <w:pPr>
        <w:pStyle w:val="BookText"/>
      </w:pPr>
      <w:r>
        <w:rPr>
          <w:rFonts w:ascii="IRNazanin" w:hAnsi="IRNazanin" w:eastAsia="IRNazanin" w:cs="IRNazanin"/>
          <w:lang w:bidi="fa-IR"/>
          <w:color w:val="111111"/>
          <w:sz w:val="28"/>
          <w:szCs w:val="28"/>
          <w:rtl/>
        </w:rPr>
        <w:t xml:space="preserve">الخاص، ج 5، ص 259.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رثاء الحسين وسيرة الائمة</w:t>
      </w:r>
    </w:p>
    <w:p>
      <w:pPr>
        <w:pStyle w:val="BookText"/>
      </w:pPr>
      <w:r>
        <w:rPr>
          <w:rFonts w:ascii="IRNazanin" w:hAnsi="IRNazanin" w:eastAsia="IRNazanin" w:cs="IRNazanin"/>
          <w:lang w:bidi="fa-IR"/>
          <w:color w:val="111111"/>
          <w:sz w:val="28"/>
          <w:szCs w:val="28"/>
          <w:rtl/>
        </w:rPr>
        <w:t xml:space="preserve">(منتخب)، ج8، ص 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الضياء اللامع في شرح مختصر</w:t>
      </w:r>
    </w:p>
    <w:p>
      <w:pPr>
        <w:pStyle w:val="BookText"/>
      </w:pPr>
      <w:r>
        <w:rPr>
          <w:rFonts w:ascii="IRNazanin" w:hAnsi="IRNazanin" w:eastAsia="IRNazanin" w:cs="IRNazanin"/>
          <w:lang w:bidi="fa-IR"/>
          <w:color w:val="111111"/>
          <w:sz w:val="28"/>
          <w:szCs w:val="28"/>
          <w:rtl/>
        </w:rPr>
        <w:t xml:space="preserve">الشرائع، ج 10، ص 724.</w:t>
      </w:r>
    </w:p>
    <w:p>
      <w:pPr>
        <w:pStyle w:val="BookText"/>
      </w:pPr>
      <w:r>
        <w:rPr>
          <w:rFonts w:ascii="Amiri" w:hAnsi="Amiri" w:eastAsia="Amiri" w:cs="Amiri"/>
          <w:lang w:bidi="ar-SA"/>
          <w:color w:val="111111"/>
          <w:sz w:val="28"/>
          <w:szCs w:val="28"/>
          <w:rtl/>
        </w:rPr>
        <w:t xml:space="preserve">9 .فوائد لغوية، ج 12، ص 265 .</w:t>
      </w:r>
    </w:p>
    <w:p>
      <w:pPr>
        <w:pStyle w:val="BookText"/>
      </w:pPr>
      <w:r>
        <w:rPr>
          <w:rFonts w:ascii="Amiri" w:hAnsi="Amiri" w:eastAsia="Amiri" w:cs="Amiri"/>
          <w:lang w:bidi="ar-SA"/>
          <w:color w:val="111111"/>
          <w:sz w:val="28"/>
          <w:szCs w:val="28"/>
          <w:rtl/>
        </w:rPr>
        <w:t xml:space="preserve">10 .كشف آيات القرآن، ج13، ص178.</w:t>
      </w:r>
    </w:p>
    <w:p>
      <w:pPr>
        <w:pStyle w:val="BookText"/>
      </w:pPr>
      <w:r>
        <w:rPr>
          <w:rFonts w:ascii="Amiri" w:hAnsi="Amiri" w:eastAsia="Amiri" w:cs="Amiri"/>
          <w:lang w:bidi="ar-SA"/>
          <w:color w:val="111111"/>
          <w:sz w:val="28"/>
          <w:szCs w:val="28"/>
          <w:rtl/>
        </w:rPr>
        <w:t xml:space="preserve">11 .مجمع البحرين ومطلع النيرين</w:t>
      </w:r>
    </w:p>
    <w:p>
      <w:pPr>
        <w:pStyle w:val="BookText"/>
      </w:pPr>
      <w:r>
        <w:rPr>
          <w:rFonts w:ascii="IRNazanin" w:hAnsi="IRNazanin" w:eastAsia="IRNazanin" w:cs="IRNazanin"/>
          <w:lang w:bidi="fa-IR"/>
          <w:color w:val="111111"/>
          <w:sz w:val="28"/>
          <w:szCs w:val="28"/>
          <w:rtl/>
        </w:rPr>
        <w:t xml:space="preserve">ج 13، ص 833.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المصائب، ج 14، ص 656.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المنتخب في جمع المراثي و الخطب</w:t>
      </w:r>
    </w:p>
    <w:p>
      <w:pPr>
        <w:pStyle w:val="BookText"/>
      </w:pPr>
      <w:r>
        <w:rPr>
          <w:rFonts w:ascii="Amiri" w:hAnsi="Amiri" w:eastAsia="Amiri" w:cs="Amiri"/>
          <w:lang w:bidi="ar-SA"/>
          <w:color w:val="111111"/>
          <w:sz w:val="28"/>
          <w:szCs w:val="28"/>
          <w:rtl/>
        </w:rPr>
        <w:t xml:space="preserve">= منتخب المصائب - منتخب طريحي = مجالس طريحي، ج 15،</w:t>
      </w:r>
    </w:p>
    <w:p>
      <w:pPr>
        <w:pStyle w:val="BookText"/>
      </w:pPr>
      <w:r>
        <w:rPr>
          <w:rFonts w:ascii="IRNazanin" w:hAnsi="IRNazanin" w:eastAsia="IRNazanin" w:cs="IRNazanin"/>
          <w:lang w:bidi="fa-IR"/>
          <w:color w:val="111111"/>
          <w:sz w:val="28"/>
          <w:szCs w:val="28"/>
          <w:rtl/>
        </w:rPr>
        <w:t xml:space="preserve">ص 609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نزهة الخاطر و سرور الناظر و تحفة الحاضر و متاع المسافر =</w:t>
      </w:r>
    </w:p>
    <w:p>
      <w:pPr>
        <w:pStyle w:val="BookText"/>
      </w:pPr>
      <w:r>
        <w:rPr>
          <w:rFonts w:ascii="Amiri" w:hAnsi="Amiri" w:eastAsia="Amiri" w:cs="Amiri"/>
          <w:lang w:bidi="ar-SA"/>
          <w:color w:val="111111"/>
          <w:sz w:val="28"/>
          <w:szCs w:val="28"/>
          <w:rtl/>
        </w:rPr>
        <w:t xml:space="preserve">ربيع الاحزان الموضح لكلمات</w:t>
      </w:r>
    </w:p>
    <w:p>
      <w:pPr>
        <w:pStyle w:val="BookText"/>
      </w:pPr>
      <w:r>
        <w:rPr>
          <w:rFonts w:ascii="Amiri" w:hAnsi="Amiri" w:eastAsia="Amiri" w:cs="Amiri"/>
          <w:lang w:bidi="ar-SA"/>
          <w:color w:val="111111"/>
          <w:sz w:val="28"/>
          <w:szCs w:val="28"/>
          <w:rtl/>
        </w:rPr>
        <w:t xml:space="preserve">القرآن - غريب القرآن، ج 16،</w:t>
      </w:r>
    </w:p>
    <w:p>
      <w:pPr>
        <w:pStyle w:val="BookText"/>
      </w:pPr>
      <w:r>
        <w:rPr>
          <w:rFonts w:ascii="IRNazanin" w:hAnsi="IRNazanin" w:eastAsia="IRNazanin" w:cs="IRNazanin"/>
          <w:lang w:bidi="fa-IR"/>
          <w:color w:val="111111"/>
          <w:sz w:val="28"/>
          <w:szCs w:val="28"/>
          <w:rtl/>
        </w:rPr>
        <w:t xml:space="preserve">ص230.</w:t>
      </w:r>
    </w:p>
    <w:p>
      <w:pPr>
        <w:pStyle w:val="Heading2"/>
      </w:pPr>
      <w:bookmarkStart w:id="5655" w:name="_Toc4757"/>
      <w:r>
        <w:t>طريحي نجفي ، حسام الدين بن جمال</w:t>
      </w:r>
      <w:bookmarkEnd w:id="5655"/>
    </w:p>
    <w:p>
      <w:pPr>
        <w:pStyle w:val="BookText"/>
      </w:pPr>
      <w:r>
        <w:rPr>
          <w:rFonts w:ascii="Amiri" w:hAnsi="Amiri" w:eastAsia="Amiri" w:cs="Amiri"/>
          <w:lang w:bidi="ar-SA"/>
          <w:color w:val="111111"/>
          <w:sz w:val="28"/>
          <w:szCs w:val="28"/>
          <w:rtl/>
        </w:rPr>
        <w:t xml:space="preserve">الدين - 1096 ه-</w:t>
      </w:r>
    </w:p>
    <w:p>
      <w:pPr>
        <w:pStyle w:val="BookText"/>
      </w:pPr>
      <w:r>
        <w:rPr>
          <w:rFonts w:ascii="Amiri" w:hAnsi="Amiri" w:eastAsia="Amiri" w:cs="Amiri"/>
          <w:lang w:bidi="ar-SA"/>
          <w:color w:val="111111"/>
          <w:sz w:val="28"/>
          <w:szCs w:val="28"/>
          <w:rtl/>
        </w:rPr>
        <w:t xml:space="preserve">1 .إجازة للشيخ محمّد جواد بن كلب</w:t>
      </w:r>
    </w:p>
    <w:p>
      <w:pPr>
        <w:pStyle w:val="BookText"/>
      </w:pPr>
      <w:r>
        <w:rPr>
          <w:rFonts w:ascii="Amiri" w:hAnsi="Amiri" w:eastAsia="Amiri" w:cs="Amiri"/>
          <w:lang w:bidi="ar-SA"/>
          <w:color w:val="111111"/>
          <w:sz w:val="28"/>
          <w:szCs w:val="28"/>
          <w:rtl/>
        </w:rPr>
        <w:t xml:space="preserve">علي الكاظمي، ج 1، ص 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إجازة للشيخ يونس بن الشيخ</w:t>
      </w:r>
    </w:p>
    <w:p>
      <w:pPr>
        <w:pStyle w:val="BookText"/>
      </w:pPr>
      <w:r>
        <w:rPr>
          <w:rFonts w:ascii="Amiri" w:hAnsi="Amiri" w:eastAsia="Amiri" w:cs="Amiri"/>
          <w:lang w:bidi="ar-SA"/>
          <w:color w:val="111111"/>
          <w:sz w:val="28"/>
          <w:szCs w:val="28"/>
          <w:rtl/>
        </w:rPr>
        <w:t xml:space="preserve">ياسين النجفي، ج 1، ص 276.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التبصرة الجلية و التذكرة الحسامية</w:t>
      </w:r>
    </w:p>
    <w:p>
      <w:pPr>
        <w:pStyle w:val="BookText"/>
      </w:pPr>
      <w:r>
        <w:rPr>
          <w:rFonts w:ascii="Amiri" w:hAnsi="Amiri" w:eastAsia="Amiri" w:cs="Amiri"/>
          <w:lang w:bidi="ar-SA"/>
          <w:color w:val="111111"/>
          <w:sz w:val="28"/>
          <w:szCs w:val="28"/>
          <w:rtl/>
        </w:rPr>
        <w:t xml:space="preserve">في المسائل المهمة الرضاعية، ج3،</w:t>
      </w:r>
    </w:p>
    <w:p>
      <w:pPr>
        <w:pStyle w:val="BookText"/>
      </w:pPr>
      <w:r>
        <w:rPr>
          <w:rFonts w:ascii="IRNazanin" w:hAnsi="IRNazanin" w:eastAsia="IRNazanin" w:cs="IRNazanin"/>
          <w:lang w:bidi="fa-IR"/>
          <w:color w:val="111111"/>
          <w:sz w:val="28"/>
          <w:szCs w:val="28"/>
          <w:rtl/>
        </w:rPr>
        <w:t xml:space="preserve">ص 637 .</w:t>
      </w:r>
    </w:p>
    <w:p>
      <w:pPr>
        <w:pStyle w:val="Heading2"/>
      </w:pPr>
      <w:bookmarkStart w:id="5656" w:name="_Toc4758"/>
      <w:r>
        <w:t>طريحي ، نورالدين</w:t>
      </w:r>
      <w:bookmarkEnd w:id="5656"/>
    </w:p>
    <w:p>
      <w:pPr>
        <w:pStyle w:val="BookText"/>
      </w:pPr>
      <w:r>
        <w:rPr>
          <w:rFonts w:ascii="Amiri" w:hAnsi="Amiri" w:eastAsia="Amiri" w:cs="Amiri"/>
          <w:lang w:bidi="ar-SA"/>
          <w:color w:val="111111"/>
          <w:sz w:val="28"/>
          <w:szCs w:val="28"/>
          <w:rtl/>
        </w:rPr>
        <w:t xml:space="preserve">الفقه (كتاب في)، ج 12، ص 53.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06" w:name="pg7742_70699"/>
    <w:bookmarkEnd w:id="706"/>
    <w:p>
      <w:pPr>
        <w:pStyle w:val="BookText"/>
      </w:pPr>
      <w:r>
        <w:rPr>
          <w:rFonts w:ascii="IRNazanin" w:hAnsi="IRNazanin" w:eastAsia="IRNazanin" w:cs="IRNazanin"/>
          <w:lang w:bidi="fa-IR"/>
          <w:color w:val="111111"/>
          <w:sz w:val="28"/>
          <w:szCs w:val="28"/>
          <w:rtl/>
        </w:rPr>
        <w:t xml:space="preserve">طريقتي ، محمّد تقي بن محمّد کاظم- مظفر علیشاه کرماني ، محمّد تقي بن</w:t>
      </w:r>
    </w:p>
    <w:p>
      <w:pPr>
        <w:pStyle w:val="BookText"/>
      </w:pPr>
      <w:r>
        <w:rPr>
          <w:rFonts w:ascii="Amiri" w:hAnsi="Amiri" w:eastAsia="Amiri" w:cs="Amiri"/>
          <w:lang w:bidi="ar-SA"/>
          <w:color w:val="111111"/>
          <w:sz w:val="28"/>
          <w:szCs w:val="28"/>
          <w:rtl/>
        </w:rPr>
        <w:t xml:space="preserve">محمّد کاظم</w:t>
      </w:r>
    </w:p>
    <w:p>
      <w:pPr>
        <w:pStyle w:val="Heading2"/>
      </w:pPr>
      <w:bookmarkStart w:id="5657" w:name="_Toc4759"/>
      <w:r>
        <w:t>طريني، عبد الجواد بن ابراهيم - 1073</w:t>
      </w:r>
      <w:bookmarkEnd w:id="5657"/>
    </w:p>
    <w:p>
      <w:pPr>
        <w:pStyle w:val="BookText"/>
      </w:pPr>
      <w:r>
        <w:rPr>
          <w:rFonts w:ascii="Amiri" w:hAnsi="Amiri" w:eastAsia="Amiri" w:cs="Amiri"/>
          <w:lang w:bidi="ar-SA"/>
          <w:color w:val="111111"/>
          <w:sz w:val="28"/>
          <w:szCs w:val="28"/>
          <w:rtl/>
        </w:rPr>
        <w:t xml:space="preserve">1 .الابانة و الاعلام بغاية الالهام، ج 1،</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مناهل العرفان، ج 15 ، ص 579.</w:t>
      </w:r>
    </w:p>
    <w:p>
      <w:pPr>
        <w:pStyle w:val="BookText"/>
      </w:pPr>
      <w:r>
        <w:rPr>
          <w:rFonts w:ascii="Amiri" w:hAnsi="Amiri" w:eastAsia="Amiri" w:cs="Amiri"/>
          <w:lang w:bidi="ar-SA"/>
          <w:color w:val="111111"/>
          <w:sz w:val="28"/>
          <w:szCs w:val="28"/>
          <w:rtl/>
        </w:rPr>
        <w:t xml:space="preserve">3.المنتقيات السنية السنية، ج 15</w:t>
      </w:r>
    </w:p>
    <w:p>
      <w:pPr>
        <w:pStyle w:val="BookText"/>
      </w:pPr>
      <w:r>
        <w:rPr>
          <w:rFonts w:ascii="IRNazanin" w:hAnsi="IRNazanin" w:eastAsia="IRNazanin" w:cs="IRNazanin"/>
          <w:lang w:bidi="fa-IR"/>
          <w:color w:val="111111"/>
          <w:sz w:val="28"/>
          <w:szCs w:val="28"/>
          <w:rtl/>
        </w:rPr>
        <w:t xml:space="preserve">ص 625 .</w:t>
      </w:r>
    </w:p>
    <w:p>
      <w:pPr>
        <w:pStyle w:val="BookText"/>
      </w:pPr>
      <w:r>
        <w:rPr>
          <w:rFonts w:ascii="IRNazanin" w:hAnsi="IRNazanin" w:eastAsia="IRNazanin" w:cs="IRNazanin"/>
          <w:lang w:bidi="fa-IR"/>
          <w:color w:val="111111"/>
          <w:sz w:val="28"/>
          <w:szCs w:val="28"/>
          <w:rtl/>
        </w:rPr>
        <w:t xml:space="preserve">4 .نتائج ثمرات معارف الافهام، ج 16،</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Amiri" w:hAnsi="Amiri" w:eastAsia="Amiri" w:cs="Amiri"/>
          <w:lang w:bidi="ar-SA"/>
          <w:color w:val="111111"/>
          <w:sz w:val="28"/>
          <w:szCs w:val="28"/>
          <w:rtl/>
        </w:rPr>
        <w:t xml:space="preserve">طعمة ، محمّد هادي بن محمّد مهدي- آل طعمة ، محمّد هادي بن محمّد</w:t>
      </w:r>
    </w:p>
    <w:p>
      <w:pPr>
        <w:pStyle w:val="BookText"/>
      </w:pPr>
      <w:r>
        <w:rPr>
          <w:rFonts w:ascii="Amiri" w:hAnsi="Amiri" w:eastAsia="Amiri" w:cs="Amiri"/>
          <w:lang w:bidi="ar-SA"/>
          <w:color w:val="111111"/>
          <w:sz w:val="28"/>
          <w:szCs w:val="28"/>
          <w:rtl/>
        </w:rPr>
        <w:t xml:space="preserve">مهدي</w:t>
      </w:r>
    </w:p>
    <w:p>
      <w:pPr>
        <w:pStyle w:val="BookText"/>
      </w:pPr>
      <w:r>
        <w:rPr>
          <w:rFonts w:ascii="Amiri" w:hAnsi="Amiri" w:eastAsia="Amiri" w:cs="Amiri"/>
          <w:lang w:bidi="ar-SA"/>
          <w:color w:val="111111"/>
          <w:sz w:val="28"/>
          <w:szCs w:val="28"/>
          <w:rtl/>
        </w:rPr>
        <w:t xml:space="preserve">طغائي ، علينقي بن محمّد هاشم -طغائي</w:t>
      </w:r>
    </w:p>
    <w:p>
      <w:pPr>
        <w:pStyle w:val="BookText"/>
      </w:pPr>
      <w:r>
        <w:rPr>
          <w:rFonts w:ascii="Amiri" w:hAnsi="Amiri" w:eastAsia="Amiri" w:cs="Amiri"/>
          <w:lang w:bidi="ar-SA"/>
          <w:color w:val="111111"/>
          <w:sz w:val="28"/>
          <w:szCs w:val="28"/>
          <w:rtl/>
        </w:rPr>
        <w:t xml:space="preserve">كمره اي ، علينقي بن محمّد هاشم</w:t>
      </w:r>
    </w:p>
    <w:p>
      <w:pPr>
        <w:pStyle w:val="Heading2"/>
      </w:pPr>
      <w:bookmarkStart w:id="5658" w:name="_Toc4760"/>
      <w:r>
        <w:t>طغائي كمره اي ، علينقي بن محمّد</w:t>
      </w:r>
      <w:bookmarkEnd w:id="5658"/>
    </w:p>
    <w:p>
      <w:pPr>
        <w:pStyle w:val="BookText"/>
      </w:pPr>
      <w:r>
        <w:rPr>
          <w:rFonts w:ascii="IRNazanin" w:hAnsi="IRNazanin" w:eastAsia="IRNazanin" w:cs="IRNazanin"/>
          <w:lang w:bidi="fa-IR"/>
          <w:color w:val="111111"/>
          <w:sz w:val="28"/>
          <w:szCs w:val="28"/>
          <w:rtl/>
        </w:rPr>
        <w:t xml:space="preserve">هاشم، 953 - 1060؟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الادعية والاحراز، ج 1، ص 638.</w:t>
      </w:r>
    </w:p>
    <w:p>
      <w:pPr>
        <w:pStyle w:val="BookText"/>
      </w:pPr>
      <w:r>
        <w:rPr>
          <w:rFonts w:ascii="Amiri" w:hAnsi="Amiri" w:eastAsia="Amiri" w:cs="Amiri"/>
          <w:lang w:bidi="ar-SA"/>
          <w:color w:val="111111"/>
          <w:sz w:val="28"/>
          <w:szCs w:val="28"/>
          <w:rtl/>
        </w:rPr>
        <w:t xml:space="preserve">2 .الجامع الصفوي = رد بر نوح</w:t>
      </w:r>
    </w:p>
    <w:p>
      <w:pPr>
        <w:pStyle w:val="BookText"/>
      </w:pPr>
      <w:r>
        <w:rPr>
          <w:rFonts w:ascii="Amiri" w:hAnsi="Amiri" w:eastAsia="Amiri" w:cs="Amiri"/>
          <w:lang w:bidi="ar-SA"/>
          <w:color w:val="111111"/>
          <w:sz w:val="28"/>
          <w:szCs w:val="28"/>
          <w:rtl/>
        </w:rPr>
        <w:t xml:space="preserve">افندي، ج5، ص302.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الدعاء، ج 7، ص388.</w:t>
      </w:r>
    </w:p>
    <w:p>
      <w:pPr>
        <w:pStyle w:val="BookText"/>
      </w:pPr>
      <w:r>
        <w:rPr>
          <w:rFonts w:ascii="Amiri" w:hAnsi="Amiri" w:eastAsia="Amiri" w:cs="Amiri"/>
          <w:lang w:bidi="ar-SA"/>
          <w:color w:val="111111"/>
          <w:sz w:val="28"/>
          <w:szCs w:val="28"/>
          <w:rtl/>
        </w:rPr>
        <w:t xml:space="preserve">طغرائي ، ابواسماعيل حسين بن</w:t>
      </w:r>
    </w:p>
    <w:p>
      <w:pPr>
        <w:pStyle w:val="BookText"/>
      </w:pPr>
      <w:r>
        <w:rPr>
          <w:rFonts w:ascii="Amiri" w:hAnsi="Amiri" w:eastAsia="Amiri" w:cs="Amiri"/>
          <w:lang w:bidi="ar-SA"/>
          <w:color w:val="111111"/>
          <w:sz w:val="28"/>
          <w:szCs w:val="28"/>
          <w:rtl/>
        </w:rPr>
        <w:t xml:space="preserve">علي -طغرائي ، حسين بن علي</w:t>
      </w:r>
    </w:p>
    <w:p>
      <w:pPr>
        <w:pStyle w:val="Heading2"/>
      </w:pPr>
      <w:bookmarkStart w:id="5659" w:name="_Toc4761"/>
      <w:r>
        <w:t>طغرائي ، حسين بن علي، 455 - 514 ه-</w:t>
      </w:r>
      <w:bookmarkEnd w:id="5659"/>
    </w:p>
    <w:p>
      <w:pPr>
        <w:pStyle w:val="BookText"/>
      </w:pPr>
      <w:r>
        <w:rPr>
          <w:rFonts w:ascii="IRNazanin" w:hAnsi="IRNazanin" w:eastAsia="IRNazanin" w:cs="IRNazanin"/>
          <w:lang w:bidi="fa-IR"/>
          <w:color w:val="111111"/>
          <w:sz w:val="28"/>
          <w:szCs w:val="28"/>
          <w:rtl/>
        </w:rPr>
        <w:t xml:space="preserve">1 .جامع الاسرار = سر الاسرار، ج 5،</w:t>
      </w:r>
    </w:p>
    <w:p>
      <w:pPr>
        <w:pStyle w:val="BookText"/>
      </w:pPr>
      <w:r>
        <w:rPr>
          <w:rFonts w:ascii="IRNazanin" w:hAnsi="IRNazanin" w:eastAsia="IRNazanin" w:cs="IRNazanin"/>
          <w:lang w:bidi="fa-IR"/>
          <w:color w:val="111111"/>
          <w:sz w:val="28"/>
          <w:szCs w:val="28"/>
          <w:rtl/>
        </w:rPr>
        <w:t xml:space="preserve">ص 247 .</w:t>
      </w:r>
    </w:p>
    <w:p>
      <w:pPr>
        <w:pStyle w:val="BookText"/>
      </w:pPr>
      <w:r>
        <w:rPr>
          <w:rFonts w:ascii="Amiri" w:hAnsi="Amiri" w:eastAsia="Amiri" w:cs="Amiri"/>
          <w:lang w:bidi="ar-SA"/>
          <w:color w:val="111111"/>
          <w:sz w:val="28"/>
          <w:szCs w:val="28"/>
          <w:rtl/>
        </w:rPr>
        <w:t xml:space="preserve">2 .ديوان الطغرائي، ج7، ص 698.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لامية العجم = القصيدة اللامية</w:t>
      </w:r>
    </w:p>
    <w:p>
      <w:pPr>
        <w:pStyle w:val="BookText"/>
      </w:pPr>
      <w:r>
        <w:rPr>
          <w:rFonts w:ascii="IRNazanin" w:hAnsi="IRNazanin" w:eastAsia="IRNazanin" w:cs="IRNazanin"/>
          <w:lang w:bidi="fa-IR"/>
          <w:color w:val="111111"/>
          <w:sz w:val="28"/>
          <w:szCs w:val="28"/>
          <w:rtl/>
        </w:rPr>
        <w:t xml:space="preserve">ج 13، ص 527.</w:t>
      </w:r>
    </w:p>
    <w:p>
      <w:pPr>
        <w:pStyle w:val="BookText"/>
      </w:pPr>
      <w:r>
        <w:rPr>
          <w:rFonts w:ascii="Amiri" w:hAnsi="Amiri" w:eastAsia="Amiri" w:cs="Amiri"/>
          <w:lang w:bidi="ar-SA"/>
          <w:color w:val="111111"/>
          <w:sz w:val="28"/>
          <w:szCs w:val="28"/>
          <w:rtl/>
        </w:rPr>
        <w:t xml:space="preserve">طفلي ، حسين بن ابراهيم -تفليسي</w:t>
      </w:r>
    </w:p>
    <w:p>
      <w:pPr>
        <w:pStyle w:val="BookText"/>
      </w:pPr>
      <w:r>
        <w:rPr>
          <w:rFonts w:ascii="Amiri" w:hAnsi="Amiri" w:eastAsia="Amiri" w:cs="Amiri"/>
          <w:lang w:bidi="ar-SA"/>
          <w:color w:val="111111"/>
          <w:sz w:val="28"/>
          <w:szCs w:val="28"/>
          <w:rtl/>
        </w:rPr>
        <w:t xml:space="preserve">حبيش بن ابراهيم</w:t>
      </w:r>
    </w:p>
    <w:p>
      <w:pPr>
        <w:pStyle w:val="Heading2"/>
      </w:pPr>
      <w:bookmarkStart w:id="5660" w:name="_Toc4762"/>
      <w:r>
        <w:t>طفيلي، عبدالرضا قرن 13 ه-</w:t>
      </w:r>
      <w:bookmarkEnd w:id="5660"/>
    </w:p>
    <w:p>
      <w:pPr>
        <w:pStyle w:val="BookText"/>
      </w:pPr>
      <w:r>
        <w:rPr>
          <w:rFonts w:ascii="Amiri" w:hAnsi="Amiri" w:eastAsia="Amiri" w:cs="Amiri"/>
          <w:lang w:bidi="ar-SA"/>
          <w:color w:val="111111"/>
          <w:sz w:val="28"/>
          <w:szCs w:val="28"/>
          <w:rtl/>
        </w:rPr>
        <w:t xml:space="preserve">جلاء الابصار في شرح الاستبصار، ج5،</w:t>
      </w:r>
    </w:p>
    <w:p>
      <w:pPr>
        <w:pStyle w:val="BookText"/>
      </w:pPr>
      <w:r>
        <w:rPr>
          <w:rFonts w:ascii="IRNazanin" w:hAnsi="IRNazanin" w:eastAsia="IRNazanin" w:cs="IRNazanin"/>
          <w:lang w:bidi="fa-IR"/>
          <w:color w:val="111111"/>
          <w:sz w:val="28"/>
          <w:szCs w:val="28"/>
          <w:rtl/>
        </w:rPr>
        <w:t xml:space="preserve">ص 402 .</w:t>
      </w:r>
    </w:p>
    <w:p>
      <w:pPr>
        <w:pStyle w:val="Heading2"/>
      </w:pPr>
      <w:bookmarkStart w:id="5661" w:name="_Toc4763"/>
      <w:r>
        <w:t>طلباني ، عبدالله بن محمّد</w:t>
      </w:r>
      <w:bookmarkEnd w:id="5661"/>
    </w:p>
    <w:p>
      <w:pPr>
        <w:pStyle w:val="BookText"/>
      </w:pPr>
      <w:r>
        <w:rPr>
          <w:rFonts w:ascii="Amiri" w:hAnsi="Amiri" w:eastAsia="Amiri" w:cs="Amiri"/>
          <w:lang w:bidi="ar-SA"/>
          <w:color w:val="111111"/>
          <w:sz w:val="28"/>
          <w:szCs w:val="28"/>
          <w:rtl/>
        </w:rPr>
        <w:t xml:space="preserve">ترغيب المحبين في لبس خرقة</w:t>
      </w:r>
    </w:p>
    <w:p>
      <w:pPr>
        <w:pStyle w:val="BookText"/>
      </w:pPr>
      <w:r>
        <w:rPr>
          <w:rFonts w:ascii="Amiri" w:hAnsi="Amiri" w:eastAsia="Amiri" w:cs="Amiri"/>
          <w:lang w:bidi="ar-SA"/>
          <w:color w:val="111111"/>
          <w:sz w:val="28"/>
          <w:szCs w:val="28"/>
          <w:rtl/>
        </w:rPr>
        <w:t xml:space="preserve">المتميزين، ج4، ص308</w:t>
      </w:r>
    </w:p>
    <w:p>
      <w:pPr>
        <w:pStyle w:val="BookText"/>
      </w:pPr>
      <w:r>
        <w:rPr>
          <w:rFonts w:ascii="Amiri" w:hAnsi="Amiri" w:eastAsia="Amiri" w:cs="Amiri"/>
          <w:lang w:bidi="ar-SA"/>
          <w:color w:val="111111"/>
          <w:sz w:val="28"/>
          <w:szCs w:val="28"/>
          <w:rtl/>
        </w:rPr>
        <w:t xml:space="preserve">طلبسني ، عبدالله بن الهداد- ابن هداد</w:t>
      </w:r>
    </w:p>
    <w:p>
      <w:pPr>
        <w:pStyle w:val="BookText"/>
      </w:pPr>
      <w:r>
        <w:rPr>
          <w:rFonts w:ascii="IRNazanin" w:hAnsi="IRNazanin" w:eastAsia="IRNazanin" w:cs="IRNazanin"/>
          <w:lang w:bidi="fa-IR"/>
          <w:color w:val="111111"/>
          <w:sz w:val="28"/>
          <w:szCs w:val="28"/>
          <w:rtl/>
        </w:rPr>
        <w:t xml:space="preserve">عبدالله بن هداد</w:t>
      </w:r>
    </w:p>
    <w:p>
      <w:pPr>
        <w:pStyle w:val="BookText"/>
      </w:pPr>
      <w:r>
        <w:rPr>
          <w:rFonts w:ascii="Amiri" w:hAnsi="Amiri" w:eastAsia="Amiri" w:cs="Amiri"/>
          <w:lang w:bidi="ar-SA"/>
          <w:color w:val="111111"/>
          <w:sz w:val="28"/>
          <w:szCs w:val="28"/>
          <w:rtl/>
        </w:rPr>
        <w:t xml:space="preserve">طلبني ، عبد الله بن هداد -ابن هداد</w:t>
      </w:r>
    </w:p>
    <w:p>
      <w:pPr>
        <w:pStyle w:val="BookText"/>
      </w:pPr>
      <w:r>
        <w:rPr>
          <w:rFonts w:ascii="IRNazanin" w:hAnsi="IRNazanin" w:eastAsia="IRNazanin" w:cs="IRNazanin"/>
          <w:lang w:bidi="fa-IR"/>
          <w:color w:val="111111"/>
          <w:sz w:val="28"/>
          <w:szCs w:val="28"/>
          <w:rtl/>
        </w:rPr>
        <w:t xml:space="preserve">عبدالله بن هداد</w:t>
      </w:r>
    </w:p>
    <w:p>
      <w:pPr>
        <w:pStyle w:val="BookText"/>
      </w:pPr>
      <w:r>
        <w:rPr>
          <w:rFonts w:ascii="IRNazanin" w:hAnsi="IRNazanin" w:eastAsia="IRNazanin" w:cs="IRNazanin"/>
          <w:lang w:bidi="fa-IR"/>
          <w:color w:val="111111"/>
          <w:sz w:val="28"/>
          <w:szCs w:val="28"/>
          <w:rtl/>
        </w:rPr>
        <w:t xml:space="preserve">طلوزان-دکتر طلوزان</w:t>
      </w:r>
    </w:p>
    <w:p>
      <w:pPr>
        <w:pStyle w:val="BookText"/>
      </w:pPr>
      <w:r>
        <w:rPr>
          <w:rFonts w:ascii="Amiri" w:hAnsi="Amiri" w:eastAsia="Amiri" w:cs="Amiri"/>
          <w:lang w:bidi="ar-SA"/>
          <w:color w:val="111111"/>
          <w:sz w:val="28"/>
          <w:szCs w:val="28"/>
          <w:rtl/>
        </w:rPr>
        <w:t xml:space="preserve">طليني ، عبد الله بن الهداد -ابن هداد ،</w:t>
      </w:r>
    </w:p>
    <w:p>
      <w:pPr>
        <w:pStyle w:val="BookText"/>
      </w:pPr>
      <w:r>
        <w:rPr>
          <w:rFonts w:ascii="IRNazanin" w:hAnsi="IRNazanin" w:eastAsia="IRNazanin" w:cs="IRNazanin"/>
          <w:lang w:bidi="fa-IR"/>
          <w:color w:val="111111"/>
          <w:sz w:val="28"/>
          <w:szCs w:val="28"/>
          <w:rtl/>
        </w:rPr>
        <w:t xml:space="preserve">عبدالله بن هداد</w:t>
      </w:r>
    </w:p>
    <w:p>
      <w:pPr>
        <w:pStyle w:val="Heading2"/>
      </w:pPr>
      <w:bookmarkStart w:id="5662" w:name="_Toc4764"/>
      <w:r>
        <w:t>طليوني مصري، 1120 - 1160 ه-</w:t>
      </w:r>
      <w:bookmarkEnd w:id="5662"/>
    </w:p>
    <w:p>
      <w:pPr>
        <w:pStyle w:val="BookText"/>
      </w:pPr>
      <w:r>
        <w:rPr>
          <w:rFonts w:ascii="Amiri" w:hAnsi="Amiri" w:eastAsia="Amiri" w:cs="Amiri"/>
          <w:lang w:bidi="ar-SA"/>
          <w:color w:val="111111"/>
          <w:sz w:val="28"/>
          <w:szCs w:val="28"/>
          <w:rtl/>
        </w:rPr>
        <w:t xml:space="preserve">الدرة اللامعة في بيان حوادث الدورة</w:t>
      </w:r>
    </w:p>
    <w:p>
      <w:pPr>
        <w:pStyle w:val="BookText"/>
      </w:pPr>
      <w:r>
        <w:rPr>
          <w:rFonts w:ascii="Amiri" w:hAnsi="Amiri" w:eastAsia="Amiri" w:cs="Amiri"/>
          <w:lang w:bidi="ar-SA"/>
          <w:color w:val="111111"/>
          <w:sz w:val="28"/>
          <w:szCs w:val="28"/>
          <w:rtl/>
        </w:rPr>
        <w:t xml:space="preserve">الجامعة، ج 7، ص 255.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07" w:name="pg7742_70700"/>
    <w:bookmarkEnd w:id="707"/>
    <w:p>
      <w:pPr>
        <w:pStyle w:val="Heading2"/>
      </w:pPr>
      <w:bookmarkStart w:id="5663" w:name="_Toc4765"/>
      <w:r>
        <w:t>طنجي</w:t>
      </w:r>
      <w:bookmarkEnd w:id="5663"/>
    </w:p>
    <w:p>
      <w:pPr>
        <w:pStyle w:val="BookText"/>
      </w:pPr>
      <w:r>
        <w:rPr>
          <w:rFonts w:ascii="Amiri" w:hAnsi="Amiri" w:eastAsia="Amiri" w:cs="Amiri"/>
          <w:lang w:bidi="ar-SA"/>
          <w:color w:val="111111"/>
          <w:sz w:val="28"/>
          <w:szCs w:val="28"/>
          <w:rtl/>
        </w:rPr>
        <w:t xml:space="preserve">رسالة اسحاق اليهودي، ج8، ص 164</w:t>
      </w:r>
    </w:p>
    <w:p>
      <w:pPr>
        <w:pStyle w:val="BookText"/>
      </w:pPr>
      <w:r>
        <w:rPr>
          <w:rFonts w:ascii="Amiri" w:hAnsi="Amiri" w:eastAsia="Amiri" w:cs="Amiri"/>
          <w:lang w:bidi="ar-SA"/>
          <w:color w:val="111111"/>
          <w:sz w:val="28"/>
          <w:szCs w:val="28"/>
          <w:rtl/>
        </w:rPr>
        <w:t xml:space="preserve">طندتائي ، عبدالوهاب بن احمد -احمدي ،</w:t>
      </w:r>
    </w:p>
    <w:p>
      <w:pPr>
        <w:pStyle w:val="BookText"/>
      </w:pPr>
      <w:r>
        <w:rPr>
          <w:rFonts w:ascii="Amiri" w:hAnsi="Amiri" w:eastAsia="Amiri" w:cs="Amiri"/>
          <w:lang w:bidi="ar-SA"/>
          <w:color w:val="111111"/>
          <w:sz w:val="28"/>
          <w:szCs w:val="28"/>
          <w:rtl/>
        </w:rPr>
        <w:t xml:space="preserve">عبدالوهاب بن ابي بركات</w:t>
      </w:r>
    </w:p>
    <w:p>
      <w:pPr>
        <w:pStyle w:val="BookText"/>
      </w:pPr>
      <w:r>
        <w:rPr>
          <w:rFonts w:ascii="Amiri" w:hAnsi="Amiri" w:eastAsia="Amiri" w:cs="Amiri"/>
          <w:lang w:bidi="ar-SA"/>
          <w:color w:val="111111"/>
          <w:sz w:val="28"/>
          <w:szCs w:val="28"/>
          <w:rtl/>
        </w:rPr>
        <w:t xml:space="preserve">طندتائي ، محمّد- نحوي طندتائي ، ابونجار</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طنطاوي ، عبد الوهاب بن احمد- احمدي</w:t>
      </w:r>
    </w:p>
    <w:p>
      <w:pPr>
        <w:pStyle w:val="BookText"/>
      </w:pPr>
      <w:r>
        <w:rPr>
          <w:rFonts w:ascii="Amiri" w:hAnsi="Amiri" w:eastAsia="Amiri" w:cs="Amiri"/>
          <w:lang w:bidi="ar-SA"/>
          <w:color w:val="111111"/>
          <w:sz w:val="28"/>
          <w:szCs w:val="28"/>
          <w:rtl/>
        </w:rPr>
        <w:t xml:space="preserve">عبدالوهاب بن ابي بركات</w:t>
      </w:r>
    </w:p>
    <w:p>
      <w:pPr>
        <w:pStyle w:val="Heading2"/>
      </w:pPr>
      <w:bookmarkStart w:id="5664" w:name="_Toc4766"/>
      <w:r>
        <w:t>طنطراني ، احمد بن عبد الرزاق - 485 ؟</w:t>
      </w:r>
      <w:bookmarkEnd w:id="5664"/>
    </w:p>
    <w:p>
      <w:pPr>
        <w:pStyle w:val="BookText"/>
      </w:pPr>
      <w:r>
        <w:rPr>
          <w:rFonts w:ascii="Amiri" w:hAnsi="Amiri" w:eastAsia="Amiri" w:cs="Amiri"/>
          <w:lang w:bidi="ar-SA"/>
          <w:color w:val="111111"/>
          <w:sz w:val="28"/>
          <w:szCs w:val="28"/>
          <w:rtl/>
        </w:rPr>
        <w:t xml:space="preserve">القصيدة الرجعية = القصيدة الطنطرانية - قصيدة لامية، ج 12،</w:t>
      </w:r>
    </w:p>
    <w:p>
      <w:pPr>
        <w:pStyle w:val="BookText"/>
      </w:pPr>
      <w:r>
        <w:rPr>
          <w:rFonts w:ascii="IRNazanin" w:hAnsi="IRNazanin" w:eastAsia="IRNazanin" w:cs="IRNazanin"/>
          <w:lang w:bidi="fa-IR"/>
          <w:color w:val="111111"/>
          <w:sz w:val="28"/>
          <w:szCs w:val="28"/>
          <w:rtl/>
        </w:rPr>
        <w:t xml:space="preserve">ص 674 .</w:t>
      </w:r>
    </w:p>
    <w:p>
      <w:pPr>
        <w:pStyle w:val="BookText"/>
      </w:pPr>
      <w:r>
        <w:rPr>
          <w:rFonts w:ascii="Amiri" w:hAnsi="Amiri" w:eastAsia="Amiri" w:cs="Amiri"/>
          <w:lang w:bidi="ar-SA"/>
          <w:color w:val="111111"/>
          <w:sz w:val="28"/>
          <w:szCs w:val="28"/>
          <w:rtl/>
        </w:rPr>
        <w:t xml:space="preserve">بطه آل نجف، محمّد -تبريزي ، محمّد طه</w:t>
      </w:r>
    </w:p>
    <w:p>
      <w:pPr>
        <w:pStyle w:val="BookText"/>
      </w:pPr>
      <w:r>
        <w:rPr>
          <w:rFonts w:ascii="Amiri" w:hAnsi="Amiri" w:eastAsia="Amiri" w:cs="Amiri"/>
          <w:lang w:bidi="ar-SA"/>
          <w:color w:val="111111"/>
          <w:sz w:val="28"/>
          <w:szCs w:val="28"/>
          <w:rtl/>
        </w:rPr>
        <w:t xml:space="preserve">بن مهدي</w:t>
      </w:r>
    </w:p>
    <w:p>
      <w:pPr>
        <w:pStyle w:val="BookText"/>
      </w:pPr>
      <w:r>
        <w:rPr>
          <w:rFonts w:ascii="Amiri" w:hAnsi="Amiri" w:eastAsia="Amiri" w:cs="Amiri"/>
          <w:lang w:bidi="ar-SA"/>
          <w:color w:val="111111"/>
          <w:sz w:val="28"/>
          <w:szCs w:val="28"/>
          <w:rtl/>
        </w:rPr>
        <w:t xml:space="preserve">طه بن احمد سنوي -سنوي ، طه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طه بن احمد كوراني- سنوي ، طه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طه بن محمّد بن فتوح بيقوني -بيقوني</w:t>
      </w:r>
    </w:p>
    <w:p>
      <w:pPr>
        <w:pStyle w:val="BookText"/>
      </w:pPr>
      <w:r>
        <w:rPr>
          <w:rFonts w:ascii="Amiri" w:hAnsi="Amiri" w:eastAsia="Amiri" w:cs="Amiri"/>
          <w:lang w:bidi="ar-SA"/>
          <w:color w:val="111111"/>
          <w:sz w:val="28"/>
          <w:szCs w:val="28"/>
          <w:rtl/>
        </w:rPr>
        <w:t xml:space="preserve">طه بن محمّد</w:t>
      </w:r>
    </w:p>
    <w:p>
      <w:pPr>
        <w:pStyle w:val="BookText"/>
      </w:pPr>
      <w:r>
        <w:rPr>
          <w:rFonts w:ascii="Amiri" w:hAnsi="Amiri" w:eastAsia="Amiri" w:cs="Amiri"/>
          <w:lang w:bidi="ar-SA"/>
          <w:color w:val="111111"/>
          <w:sz w:val="28"/>
          <w:szCs w:val="28"/>
          <w:rtl/>
        </w:rPr>
        <w:t xml:space="preserve">طه بن محمّد جبريني- جبريني ، طه بن</w:t>
      </w:r>
    </w:p>
    <w:p>
      <w:pPr>
        <w:pStyle w:val="BookText"/>
      </w:pPr>
      <w:r>
        <w:rPr>
          <w:rFonts w:ascii="Amiri" w:hAnsi="Amiri" w:eastAsia="Amiri" w:cs="Amiri"/>
          <w:lang w:bidi="ar-SA"/>
          <w:color w:val="111111"/>
          <w:sz w:val="28"/>
          <w:szCs w:val="28"/>
          <w:rtl/>
        </w:rPr>
        <w:t xml:space="preserve">محمّد</w:t>
      </w:r>
    </w:p>
    <w:p>
      <w:pPr>
        <w:pStyle w:val="Heading2"/>
      </w:pPr>
      <w:bookmarkStart w:id="5665" w:name="_Toc4767"/>
      <w:r>
        <w:t>طهراني</w:t>
      </w:r>
      <w:bookmarkEnd w:id="5665"/>
    </w:p>
    <w:p>
      <w:pPr>
        <w:pStyle w:val="BookText"/>
      </w:pPr>
      <w:r>
        <w:rPr>
          <w:rFonts w:ascii="Amiri" w:hAnsi="Amiri" w:eastAsia="Amiri" w:cs="Amiri"/>
          <w:lang w:bidi="ar-SA"/>
          <w:color w:val="111111"/>
          <w:sz w:val="28"/>
          <w:szCs w:val="28"/>
          <w:rtl/>
        </w:rPr>
        <w:t xml:space="preserve">مدحة العلماء، ج 14، ص 320.</w:t>
      </w:r>
    </w:p>
    <w:p>
      <w:pPr>
        <w:pStyle w:val="BookText"/>
      </w:pPr>
      <w:r>
        <w:rPr>
          <w:rFonts w:ascii="IRNazanin" w:hAnsi="IRNazanin" w:eastAsia="IRNazanin" w:cs="IRNazanin"/>
          <w:lang w:bidi="fa-IR"/>
          <w:color w:val="111111"/>
          <w:sz w:val="28"/>
          <w:szCs w:val="28"/>
          <w:rtl/>
        </w:rPr>
        <w:t xml:space="preserve">طهراني ، آقابزرگ- آقابزرگ طهراني محمّد محسن</w:t>
      </w:r>
    </w:p>
    <w:p>
      <w:pPr>
        <w:pStyle w:val="BookText"/>
      </w:pPr>
      <w:r>
        <w:rPr>
          <w:rFonts w:ascii="Amiri" w:hAnsi="Amiri" w:eastAsia="Amiri" w:cs="Amiri"/>
          <w:lang w:bidi="ar-SA"/>
          <w:color w:val="111111"/>
          <w:sz w:val="28"/>
          <w:szCs w:val="28"/>
          <w:rtl/>
        </w:rPr>
        <w:t xml:space="preserve">طهراني اصفهاني حائري ، محمّد حسين بن عبد الرحيم- حائري اصفهاني ، محمّد حسين</w:t>
      </w:r>
    </w:p>
    <w:p>
      <w:pPr>
        <w:pStyle w:val="BookText"/>
      </w:pPr>
      <w:r>
        <w:rPr>
          <w:rFonts w:ascii="Amiri" w:hAnsi="Amiri" w:eastAsia="Amiri" w:cs="Amiri"/>
          <w:lang w:bidi="ar-SA"/>
          <w:color w:val="111111"/>
          <w:sz w:val="28"/>
          <w:szCs w:val="28"/>
          <w:rtl/>
        </w:rPr>
        <w:t xml:space="preserve">بن عبد الرحيم</w:t>
      </w:r>
    </w:p>
    <w:p>
      <w:pPr>
        <w:pStyle w:val="BookText"/>
      </w:pPr>
      <w:r>
        <w:rPr>
          <w:rFonts w:ascii="Amiri" w:hAnsi="Amiri" w:eastAsia="Amiri" w:cs="Amiri"/>
          <w:lang w:bidi="ar-SA"/>
          <w:color w:val="111111"/>
          <w:sz w:val="28"/>
          <w:szCs w:val="28"/>
          <w:rtl/>
        </w:rPr>
        <w:t xml:space="preserve">طهراني كرماني ، حسين بن علي- حسين يزدي ، حسين بن علي حسين</w:t>
      </w:r>
    </w:p>
    <w:p>
      <w:pPr>
        <w:pStyle w:val="BookText"/>
      </w:pPr>
      <w:r>
        <w:rPr>
          <w:rFonts w:ascii="Amiri" w:hAnsi="Amiri" w:eastAsia="Amiri" w:cs="Amiri"/>
          <w:lang w:bidi="ar-SA"/>
          <w:color w:val="111111"/>
          <w:sz w:val="28"/>
          <w:szCs w:val="28"/>
          <w:rtl/>
        </w:rPr>
        <w:t xml:space="preserve">طهراني ، محمّد بن حسين -بروجردي</w:t>
      </w:r>
    </w:p>
    <w:p>
      <w:pPr>
        <w:pStyle w:val="BookText"/>
      </w:pPr>
      <w:r>
        <w:rPr>
          <w:rFonts w:ascii="Amiri" w:hAnsi="Amiri" w:eastAsia="Amiri" w:cs="Amiri"/>
          <w:lang w:bidi="ar-SA"/>
          <w:color w:val="111111"/>
          <w:sz w:val="28"/>
          <w:szCs w:val="28"/>
          <w:rtl/>
        </w:rPr>
        <w:t xml:space="preserve">طهراني ، محمّد حسين</w:t>
      </w:r>
    </w:p>
    <w:p>
      <w:pPr>
        <w:pStyle w:val="BookText"/>
      </w:pPr>
      <w:r>
        <w:rPr>
          <w:rFonts w:ascii="Amiri" w:hAnsi="Amiri" w:eastAsia="Amiri" w:cs="Amiri"/>
          <w:lang w:bidi="ar-SA"/>
          <w:color w:val="111111"/>
          <w:sz w:val="28"/>
          <w:szCs w:val="28"/>
          <w:rtl/>
        </w:rPr>
        <w:t xml:space="preserve">طهراني ، محمّد حسين - بروجردي طهراني ،</w:t>
      </w:r>
    </w:p>
    <w:p>
      <w:pPr>
        <w:pStyle w:val="BookText"/>
      </w:pPr>
      <w:r>
        <w:rPr>
          <w:rFonts w:ascii="Amiri" w:hAnsi="Amiri" w:eastAsia="Amiri" w:cs="Amiri"/>
          <w:lang w:bidi="ar-SA"/>
          <w:color w:val="111111"/>
          <w:sz w:val="28"/>
          <w:szCs w:val="28"/>
          <w:rtl/>
        </w:rPr>
        <w:t xml:space="preserve">محمّد حسين</w:t>
      </w:r>
    </w:p>
    <w:p>
      <w:pPr>
        <w:pStyle w:val="BookText"/>
      </w:pPr>
      <w:r>
        <w:rPr>
          <w:rFonts w:ascii="Amiri" w:hAnsi="Amiri" w:eastAsia="Amiri" w:cs="Amiri"/>
          <w:lang w:bidi="ar-SA"/>
          <w:color w:val="111111"/>
          <w:sz w:val="28"/>
          <w:szCs w:val="28"/>
          <w:rtl/>
        </w:rPr>
        <w:t xml:space="preserve">طهراني ، محمّد هادي بن محمّد امين- تهراني نجفي ، هادي بن محمّد امين</w:t>
      </w:r>
    </w:p>
    <w:p>
      <w:pPr>
        <w:pStyle w:val="Heading2"/>
      </w:pPr>
      <w:bookmarkStart w:id="5666" w:name="_Toc4768"/>
      <w:r>
        <w:t>طهراني ، محمّد يوسف بن حسن قرن 12</w:t>
      </w:r>
      <w:bookmarkEnd w:id="5666"/>
    </w:p>
    <w:p>
      <w:pPr>
        <w:pStyle w:val="BookText"/>
      </w:pPr>
      <w:r>
        <w:rPr>
          <w:rFonts w:ascii="Amiri" w:hAnsi="Amiri" w:eastAsia="Amiri" w:cs="Amiri"/>
          <w:lang w:bidi="ar-SA"/>
          <w:color w:val="111111"/>
          <w:sz w:val="28"/>
          <w:szCs w:val="28"/>
          <w:rtl/>
        </w:rPr>
        <w:t xml:space="preserve">نقد الاصول و تلخيص الفصول = المنطق( رسالة في...)، ج 16، ص 413.</w:t>
      </w:r>
    </w:p>
    <w:p>
      <w:pPr>
        <w:pStyle w:val="BookText"/>
      </w:pPr>
      <w:r>
        <w:rPr>
          <w:rFonts w:ascii="Amiri" w:hAnsi="Amiri" w:eastAsia="Amiri" w:cs="Amiri"/>
          <w:lang w:bidi="ar-SA"/>
          <w:color w:val="111111"/>
          <w:sz w:val="28"/>
          <w:szCs w:val="28"/>
          <w:rtl/>
        </w:rPr>
        <w:t xml:space="preserve">طهراني نجفي ، هادي بن محمّد امين- تهراني نجفي ، هادي بن محمّد امين</w:t>
      </w:r>
    </w:p>
    <w:p>
      <w:pPr>
        <w:pStyle w:val="BookText"/>
      </w:pPr>
      <w:r>
        <w:rPr>
          <w:rFonts w:ascii="Amiri" w:hAnsi="Amiri" w:eastAsia="Amiri" w:cs="Amiri"/>
          <w:lang w:bidi="ar-SA"/>
          <w:color w:val="111111"/>
          <w:sz w:val="28"/>
          <w:szCs w:val="28"/>
          <w:rtl/>
        </w:rPr>
        <w:t xml:space="preserve">طهراني، هادي بن محمّد امين -تهراني</w:t>
      </w:r>
    </w:p>
    <w:p>
      <w:pPr>
        <w:pStyle w:val="BookText"/>
      </w:pPr>
      <w:r>
        <w:rPr>
          <w:rFonts w:ascii="Amiri" w:hAnsi="Amiri" w:eastAsia="Amiri" w:cs="Amiri"/>
          <w:lang w:bidi="ar-SA"/>
          <w:color w:val="111111"/>
          <w:sz w:val="28"/>
          <w:szCs w:val="28"/>
          <w:rtl/>
        </w:rPr>
        <w:t xml:space="preserve">نجفي، هادي بن محمّد امين</w:t>
      </w:r>
    </w:p>
    <w:p>
      <w:pPr>
        <w:pStyle w:val="BookText"/>
      </w:pPr>
      <w:r>
        <w:rPr>
          <w:rFonts w:ascii="Amiri" w:hAnsi="Amiri" w:eastAsia="Amiri" w:cs="Amiri"/>
          <w:lang w:bidi="ar-SA"/>
          <w:color w:val="111111"/>
          <w:sz w:val="28"/>
          <w:szCs w:val="28"/>
          <w:rtl/>
        </w:rPr>
        <w:t xml:space="preserve">طهراني ، يوسف بن محمود- رازي ،</w:t>
      </w:r>
    </w:p>
    <w:p>
      <w:pPr>
        <w:pStyle w:val="BookText"/>
      </w:pPr>
      <w:r>
        <w:rPr>
          <w:rFonts w:ascii="Amiri" w:hAnsi="Amiri" w:eastAsia="Amiri" w:cs="Amiri"/>
          <w:lang w:bidi="ar-SA"/>
          <w:color w:val="111111"/>
          <w:sz w:val="28"/>
          <w:szCs w:val="28"/>
          <w:rtl/>
        </w:rPr>
        <w:t xml:space="preserve">يوسف بن محمود</w:t>
      </w:r>
    </w:p>
    <w:p>
      <w:pPr>
        <w:pStyle w:val="Heading2"/>
      </w:pPr>
      <w:bookmarkStart w:id="5667" w:name="_Toc4769"/>
      <w:r>
        <w:t>طهطاوي ، احمد بن عبدالرحیم 1233 -</w:t>
      </w:r>
      <w:bookmarkEnd w:id="5667"/>
    </w:p>
    <w:p>
      <w:pPr>
        <w:pStyle w:val="BookText"/>
      </w:pPr>
      <w:r>
        <w:rPr>
          <w:rFonts w:ascii="Amiri" w:hAnsi="Amiri" w:eastAsia="Amiri" w:cs="Amiri"/>
          <w:lang w:bidi="ar-SA"/>
          <w:color w:val="111111"/>
          <w:sz w:val="28"/>
          <w:szCs w:val="28"/>
          <w:rtl/>
        </w:rPr>
        <w:t xml:space="preserve">طهراني</w:t>
      </w:r>
    </w:p>
    <w:p>
      <w:pPr>
        <w:pStyle w:val="BookText"/>
      </w:pPr>
      <w:r>
        <w:rPr>
          <w:rFonts w:ascii="IRNazanin" w:hAnsi="IRNazanin" w:eastAsia="IRNazanin" w:cs="IRNazanin"/>
          <w:lang w:bidi="fa-IR"/>
          <w:color w:val="111111"/>
          <w:sz w:val="28"/>
          <w:szCs w:val="28"/>
          <w:rtl/>
        </w:rPr>
        <w:t xml:space="preserve">1302ه-</w:t>
      </w:r>
    </w:p>
    <w:p>
      <w:pPr>
        <w:pStyle w:val="BookText"/>
      </w:pPr>
      <w:r>
        <w:rPr>
          <w:rFonts w:ascii="Amiri" w:hAnsi="Amiri" w:eastAsia="Amiri" w:cs="Amiri"/>
          <w:lang w:bidi="ar-SA"/>
          <w:color w:val="111111"/>
          <w:sz w:val="28"/>
          <w:szCs w:val="28"/>
          <w:rtl/>
        </w:rPr>
        <w:t xml:space="preserve">سورة الاخلاص، ج8، ص 865.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08" w:name="pg7742_70701"/>
    <w:bookmarkEnd w:id="708"/>
    <w:p>
      <w:pPr>
        <w:pStyle w:val="Heading2"/>
      </w:pPr>
      <w:bookmarkStart w:id="5668" w:name="_Toc4770"/>
      <w:r>
        <w:t>طهطاوي ، احمد بن محمّد - 1231 ه-</w:t>
      </w:r>
      <w:bookmarkEnd w:id="5668"/>
    </w:p>
    <w:p>
      <w:pPr>
        <w:pStyle w:val="BookText"/>
      </w:pPr>
      <w:r>
        <w:rPr>
          <w:rFonts w:ascii="Amiri" w:hAnsi="Amiri" w:eastAsia="Amiri" w:cs="Amiri"/>
          <w:lang w:bidi="ar-SA"/>
          <w:color w:val="111111"/>
          <w:sz w:val="28"/>
          <w:szCs w:val="28"/>
          <w:rtl/>
        </w:rPr>
        <w:t xml:space="preserve">1 .حاشية الدر المختار في شرح تنوير</w:t>
      </w:r>
    </w:p>
    <w:p>
      <w:pPr>
        <w:pStyle w:val="BookText"/>
      </w:pPr>
      <w:r>
        <w:rPr>
          <w:rFonts w:ascii="IRNazanin" w:hAnsi="IRNazanin" w:eastAsia="IRNazanin" w:cs="IRNazanin"/>
          <w:lang w:bidi="fa-IR"/>
          <w:color w:val="111111"/>
          <w:sz w:val="28"/>
          <w:szCs w:val="28"/>
          <w:rtl/>
        </w:rPr>
        <w:t xml:space="preserve">الابصار، ج 5، ص 869.</w:t>
      </w:r>
    </w:p>
    <w:p>
      <w:pPr>
        <w:pStyle w:val="BookText"/>
      </w:pPr>
      <w:r>
        <w:rPr>
          <w:rFonts w:ascii="Amiri" w:hAnsi="Amiri" w:eastAsia="Amiri" w:cs="Amiri"/>
          <w:lang w:bidi="ar-SA"/>
          <w:color w:val="111111"/>
          <w:sz w:val="28"/>
          <w:szCs w:val="28"/>
          <w:rtl/>
        </w:rPr>
        <w:t xml:space="preserve">2 .حاشية مراق الفلاح في شرح نور</w:t>
      </w:r>
    </w:p>
    <w:p>
      <w:pPr>
        <w:pStyle w:val="BookText"/>
      </w:pPr>
      <w:r>
        <w:rPr>
          <w:rFonts w:ascii="Amiri" w:hAnsi="Amiri" w:eastAsia="Amiri" w:cs="Amiri"/>
          <w:lang w:bidi="ar-SA"/>
          <w:color w:val="111111"/>
          <w:sz w:val="28"/>
          <w:szCs w:val="28"/>
          <w:rtl/>
        </w:rPr>
        <w:t xml:space="preserve">الايضاح و نجاح الارواح، ج 6،</w:t>
      </w:r>
    </w:p>
    <w:p>
      <w:pPr>
        <w:pStyle w:val="BookText"/>
      </w:pPr>
      <w:r>
        <w:rPr>
          <w:rFonts w:ascii="IRNazanin" w:hAnsi="IRNazanin" w:eastAsia="IRNazanin" w:cs="IRNazanin"/>
          <w:lang w:bidi="fa-IR"/>
          <w:color w:val="111111"/>
          <w:sz w:val="28"/>
          <w:szCs w:val="28"/>
          <w:rtl/>
        </w:rPr>
        <w:t xml:space="preserve">ص 368.</w:t>
      </w:r>
    </w:p>
    <w:p>
      <w:pPr>
        <w:pStyle w:val="Heading2"/>
      </w:pPr>
      <w:bookmarkStart w:id="5669" w:name="_Toc4771"/>
      <w:r>
        <w:t>طهماسب صفوي اول ، شاه ایران 919 -</w:t>
      </w:r>
      <w:bookmarkEnd w:id="5669"/>
    </w:p>
    <w:p>
      <w:pPr>
        <w:pStyle w:val="BookText"/>
      </w:pPr>
      <w:r>
        <w:rPr>
          <w:rFonts w:ascii="IRNazanin" w:hAnsi="IRNazanin" w:eastAsia="IRNazanin" w:cs="IRNazanin"/>
          <w:lang w:bidi="fa-IR"/>
          <w:color w:val="111111"/>
          <w:sz w:val="28"/>
          <w:szCs w:val="28"/>
          <w:rtl/>
        </w:rPr>
        <w:t xml:space="preserve">984ه-</w:t>
      </w:r>
    </w:p>
    <w:p>
      <w:pPr>
        <w:pStyle w:val="BookText"/>
      </w:pPr>
      <w:r>
        <w:rPr>
          <w:rFonts w:ascii="IRNazanin" w:hAnsi="IRNazanin" w:eastAsia="IRNazanin" w:cs="IRNazanin"/>
          <w:lang w:bidi="fa-IR"/>
          <w:color w:val="111111"/>
          <w:sz w:val="28"/>
          <w:szCs w:val="28"/>
          <w:rtl/>
        </w:rPr>
        <w:t xml:space="preserve">تذکره شاه طهماسب - روزنامه شاه</w:t>
      </w:r>
    </w:p>
    <w:p>
      <w:pPr>
        <w:pStyle w:val="BookText"/>
      </w:pPr>
      <w:r>
        <w:rPr>
          <w:rFonts w:ascii="IRNazanin" w:hAnsi="IRNazanin" w:eastAsia="IRNazanin" w:cs="IRNazanin"/>
          <w:lang w:bidi="fa-IR"/>
          <w:color w:val="111111"/>
          <w:sz w:val="28"/>
          <w:szCs w:val="28"/>
          <w:rtl/>
        </w:rPr>
        <w:t xml:space="preserve">تهماسب، ج4، ص191.</w:t>
      </w:r>
    </w:p>
    <w:p>
      <w:pPr>
        <w:pStyle w:val="Heading2"/>
      </w:pPr>
      <w:bookmarkStart w:id="5670" w:name="_Toc4772"/>
      <w:r>
        <w:t>طهوائي ، نورالدين بن ابي الحسن</w:t>
      </w:r>
      <w:bookmarkEnd w:id="5670"/>
    </w:p>
    <w:p>
      <w:pPr>
        <w:pStyle w:val="BookText"/>
      </w:pPr>
      <w:r>
        <w:rPr>
          <w:rFonts w:ascii="Amiri" w:hAnsi="Amiri" w:eastAsia="Amiri" w:cs="Amiri"/>
          <w:lang w:bidi="ar-SA"/>
          <w:color w:val="111111"/>
          <w:sz w:val="28"/>
          <w:szCs w:val="28"/>
          <w:rtl/>
        </w:rPr>
        <w:t xml:space="preserve">سؤالات فقهية، ج 8، ص 675 .</w:t>
      </w:r>
    </w:p>
    <w:p>
      <w:pPr>
        <w:pStyle w:val="BookText"/>
      </w:pPr>
      <w:r>
        <w:rPr>
          <w:rFonts w:ascii="Amiri" w:hAnsi="Amiri" w:eastAsia="Amiri" w:cs="Amiri"/>
          <w:lang w:bidi="ar-SA"/>
          <w:color w:val="111111"/>
          <w:sz w:val="28"/>
          <w:szCs w:val="28"/>
          <w:rtl/>
        </w:rPr>
        <w:t xml:space="preserve">طهوائي ، يوسف بن محمّد -مغربي ،</w:t>
      </w:r>
    </w:p>
    <w:p>
      <w:pPr>
        <w:pStyle w:val="BookText"/>
      </w:pPr>
      <w:r>
        <w:rPr>
          <w:rFonts w:ascii="Amiri" w:hAnsi="Amiri" w:eastAsia="Amiri" w:cs="Amiri"/>
          <w:lang w:bidi="ar-SA"/>
          <w:color w:val="111111"/>
          <w:sz w:val="28"/>
          <w:szCs w:val="28"/>
          <w:rtl/>
        </w:rPr>
        <w:t xml:space="preserve">يوسف بن محمد</w:t>
      </w:r>
    </w:p>
    <w:p>
      <w:pPr>
        <w:pStyle w:val="BookText"/>
      </w:pPr>
      <w:r>
        <w:rPr>
          <w:rFonts w:ascii="Amiri" w:hAnsi="Amiri" w:eastAsia="Amiri" w:cs="Amiri"/>
          <w:lang w:bidi="ar-SA"/>
          <w:color w:val="111111"/>
          <w:sz w:val="28"/>
          <w:szCs w:val="28"/>
          <w:rtl/>
        </w:rPr>
        <w:t xml:space="preserve">طهواي ، نورالدين بن ابي الحسن- طهوائي</w:t>
      </w:r>
    </w:p>
    <w:p>
      <w:pPr>
        <w:pStyle w:val="BookText"/>
      </w:pPr>
      <w:r>
        <w:rPr>
          <w:rFonts w:ascii="Amiri" w:hAnsi="Amiri" w:eastAsia="Amiri" w:cs="Amiri"/>
          <w:lang w:bidi="ar-SA"/>
          <w:color w:val="111111"/>
          <w:sz w:val="28"/>
          <w:szCs w:val="28"/>
          <w:rtl/>
        </w:rPr>
        <w:t xml:space="preserve">، نورالدين بن ابي الحسن</w:t>
      </w:r>
    </w:p>
    <w:p>
      <w:pPr>
        <w:pStyle w:val="BookText"/>
      </w:pPr>
      <w:r>
        <w:rPr>
          <w:rFonts w:ascii="Amiri" w:hAnsi="Amiri" w:eastAsia="Amiri" w:cs="Amiri"/>
          <w:lang w:bidi="ar-SA"/>
          <w:color w:val="111111"/>
          <w:sz w:val="28"/>
          <w:szCs w:val="28"/>
          <w:rtl/>
        </w:rPr>
        <w:t xml:space="preserve">طهوري ، محمّد بن احمد- فاروقي</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IRNazanin" w:hAnsi="IRNazanin" w:eastAsia="IRNazanin" w:cs="IRNazanin"/>
          <w:lang w:bidi="fa-IR"/>
          <w:color w:val="111111"/>
          <w:sz w:val="28"/>
          <w:szCs w:val="28"/>
          <w:rtl/>
        </w:rPr>
        <w:t xml:space="preserve">طوبی شهرستاني ، محمّد حسین بن محمّد علي- شهرستاني ، محمّد حسين بن محمّد علي</w:t>
      </w:r>
    </w:p>
    <w:p>
      <w:pPr>
        <w:pStyle w:val="BookText"/>
      </w:pPr>
      <w:r>
        <w:rPr>
          <w:rFonts w:ascii="Amiri" w:hAnsi="Amiri" w:eastAsia="Amiri" w:cs="Amiri"/>
          <w:lang w:bidi="ar-SA"/>
          <w:color w:val="111111"/>
          <w:sz w:val="28"/>
          <w:szCs w:val="28"/>
          <w:rtl/>
        </w:rPr>
        <w:t xml:space="preserve">طوخي وفائي ، محمّد بن علي -وفائي</w:t>
      </w:r>
    </w:p>
    <w:p>
      <w:pPr>
        <w:pStyle w:val="BookText"/>
      </w:pPr>
      <w:r>
        <w:rPr>
          <w:rFonts w:ascii="Amiri" w:hAnsi="Amiri" w:eastAsia="Amiri" w:cs="Amiri"/>
          <w:lang w:bidi="ar-SA"/>
          <w:color w:val="111111"/>
          <w:sz w:val="28"/>
          <w:szCs w:val="28"/>
          <w:rtl/>
        </w:rPr>
        <w:t xml:space="preserve">محمّد بن علي</w:t>
      </w:r>
    </w:p>
    <w:p>
      <w:pPr>
        <w:pStyle w:val="Heading2"/>
      </w:pPr>
      <w:bookmarkStart w:id="5671" w:name="_Toc4773"/>
      <w:r>
        <w:t>طوري ، علي بن عبدالله - 1004 ه-</w:t>
      </w:r>
      <w:bookmarkEnd w:id="5671"/>
    </w:p>
    <w:p>
      <w:pPr>
        <w:pStyle w:val="BookText"/>
      </w:pPr>
      <w:r>
        <w:rPr>
          <w:rFonts w:ascii="Amiri" w:hAnsi="Amiri" w:eastAsia="Amiri" w:cs="Amiri"/>
          <w:lang w:bidi="ar-SA"/>
          <w:color w:val="111111"/>
          <w:sz w:val="28"/>
          <w:szCs w:val="28"/>
          <w:rtl/>
        </w:rPr>
        <w:t xml:space="preserve">ذخيرة الناظر في شرح الاشباه و</w:t>
      </w:r>
    </w:p>
    <w:p>
      <w:pPr>
        <w:pStyle w:val="BookText"/>
      </w:pPr>
      <w:r>
        <w:rPr>
          <w:rFonts w:ascii="IRNazanin" w:hAnsi="IRNazanin" w:eastAsia="IRNazanin" w:cs="IRNazanin"/>
          <w:lang w:bidi="fa-IR"/>
          <w:color w:val="111111"/>
          <w:sz w:val="28"/>
          <w:szCs w:val="28"/>
          <w:rtl/>
        </w:rPr>
        <w:t xml:space="preserve">النظائر، ج 7، ص 840.</w:t>
      </w:r>
    </w:p>
    <w:p>
      <w:pPr>
        <w:pStyle w:val="BookText"/>
      </w:pPr>
      <w:r>
        <w:rPr>
          <w:rFonts w:ascii="Amiri" w:hAnsi="Amiri" w:eastAsia="Amiri" w:cs="Amiri"/>
          <w:lang w:bidi="ar-SA"/>
          <w:color w:val="111111"/>
          <w:sz w:val="28"/>
          <w:szCs w:val="28"/>
          <w:rtl/>
        </w:rPr>
        <w:t xml:space="preserve">طوري ، علي بن محمّد -مقدسي ، علي بن محمّد</w:t>
      </w:r>
    </w:p>
    <w:p>
      <w:pPr>
        <w:pStyle w:val="BookText"/>
      </w:pPr>
      <w:r>
        <w:rPr>
          <w:rFonts w:ascii="Amiri" w:hAnsi="Amiri" w:eastAsia="Amiri" w:cs="Amiri"/>
          <w:lang w:bidi="ar-SA"/>
          <w:color w:val="111111"/>
          <w:sz w:val="28"/>
          <w:szCs w:val="28"/>
          <w:rtl/>
        </w:rPr>
        <w:t xml:space="preserve">طوساوي ، ابراهيم بن</w:t>
      </w:r>
    </w:p>
    <w:p>
      <w:pPr>
        <w:pStyle w:val="BookText"/>
      </w:pPr>
      <w:r>
        <w:rPr>
          <w:rFonts w:ascii="Amiri" w:hAnsi="Amiri" w:eastAsia="Amiri" w:cs="Amiri"/>
          <w:lang w:bidi="ar-SA"/>
          <w:color w:val="111111"/>
          <w:sz w:val="28"/>
          <w:szCs w:val="28"/>
          <w:rtl/>
        </w:rPr>
        <w:t xml:space="preserve">عبد الكريم - طوسوي ، ابراهيم بن عبد الكريم</w:t>
      </w:r>
    </w:p>
    <w:p>
      <w:pPr>
        <w:pStyle w:val="Heading2"/>
      </w:pPr>
      <w:bookmarkStart w:id="5672" w:name="_Toc4774"/>
      <w:r>
        <w:t>طوسوي ، ابراهيم بن عبدالكريم - 900</w:t>
      </w:r>
      <w:bookmarkEnd w:id="5672"/>
    </w:p>
    <w:p>
      <w:pPr>
        <w:pStyle w:val="BookText"/>
      </w:pPr>
      <w:r>
        <w:rPr>
          <w:rFonts w:ascii="Amiri" w:hAnsi="Amiri" w:eastAsia="Amiri" w:cs="Amiri"/>
          <w:lang w:bidi="ar-SA"/>
          <w:color w:val="111111"/>
          <w:sz w:val="28"/>
          <w:szCs w:val="28"/>
          <w:rtl/>
        </w:rPr>
        <w:t xml:space="preserve">1 .اوفي الوافية في شرح الكافية = اعراب الكافية، ج 3، ص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خلاصة الاعراب = شرح المصباح في</w:t>
      </w:r>
    </w:p>
    <w:p>
      <w:pPr>
        <w:pStyle w:val="BookText"/>
      </w:pPr>
      <w:r>
        <w:rPr>
          <w:rFonts w:ascii="IRNazanin" w:hAnsi="IRNazanin" w:eastAsia="IRNazanin" w:cs="IRNazanin"/>
          <w:lang w:bidi="fa-IR"/>
          <w:color w:val="111111"/>
          <w:sz w:val="28"/>
          <w:szCs w:val="28"/>
          <w:rtl/>
        </w:rPr>
        <w:t xml:space="preserve">النحو، ج7، ص 74.</w:t>
      </w:r>
    </w:p>
    <w:p>
      <w:pPr>
        <w:pStyle w:val="BookText"/>
      </w:pPr>
      <w:r>
        <w:rPr>
          <w:rFonts w:ascii="Amiri" w:hAnsi="Amiri" w:eastAsia="Amiri" w:cs="Amiri"/>
          <w:lang w:bidi="ar-SA"/>
          <w:color w:val="111111"/>
          <w:sz w:val="28"/>
          <w:szCs w:val="28"/>
          <w:rtl/>
        </w:rPr>
        <w:t xml:space="preserve">3 .الكافية في النحو، ج13، ص 68.</w:t>
      </w:r>
    </w:p>
    <w:p>
      <w:pPr>
        <w:pStyle w:val="BookText"/>
      </w:pPr>
      <w:r>
        <w:rPr>
          <w:rFonts w:ascii="Amiri" w:hAnsi="Amiri" w:eastAsia="Amiri" w:cs="Amiri"/>
          <w:lang w:bidi="ar-SA"/>
          <w:color w:val="111111"/>
          <w:sz w:val="28"/>
          <w:szCs w:val="28"/>
          <w:rtl/>
        </w:rPr>
        <w:t xml:space="preserve">4 .الكافية في شرح المصباح، ج13،</w:t>
      </w:r>
    </w:p>
    <w:p>
      <w:pPr>
        <w:pStyle w:val="BookText"/>
      </w:pPr>
      <w:r>
        <w:rPr>
          <w:rFonts w:ascii="IRNazanin" w:hAnsi="IRNazanin" w:eastAsia="IRNazanin" w:cs="IRNazanin"/>
          <w:lang w:bidi="fa-IR"/>
          <w:color w:val="111111"/>
          <w:sz w:val="28"/>
          <w:szCs w:val="28"/>
          <w:rtl/>
        </w:rPr>
        <w:t xml:space="preserve">ص 58 .</w:t>
      </w:r>
    </w:p>
    <w:p>
      <w:pPr>
        <w:pStyle w:val="BookText"/>
      </w:pPr>
      <w:r>
        <w:rPr>
          <w:rFonts w:ascii="Amiri" w:hAnsi="Amiri" w:eastAsia="Amiri" w:cs="Amiri"/>
          <w:lang w:bidi="ar-SA"/>
          <w:color w:val="111111"/>
          <w:sz w:val="28"/>
          <w:szCs w:val="28"/>
          <w:rtl/>
        </w:rPr>
        <w:t xml:space="preserve">5 .مأة كاملة في شرح مأة عاملة =</w:t>
      </w:r>
    </w:p>
    <w:p>
      <w:pPr>
        <w:pStyle w:val="BookText"/>
      </w:pPr>
      <w:r>
        <w:rPr>
          <w:rFonts w:ascii="Amiri" w:hAnsi="Amiri" w:eastAsia="Amiri" w:cs="Amiri"/>
          <w:lang w:bidi="ar-SA"/>
          <w:color w:val="111111"/>
          <w:sz w:val="28"/>
          <w:szCs w:val="28"/>
          <w:rtl/>
        </w:rPr>
        <w:t xml:space="preserve">شرح العوامل المأة، ج13، ص 697.</w:t>
      </w:r>
    </w:p>
    <w:p>
      <w:pPr>
        <w:pStyle w:val="BookText"/>
      </w:pPr>
      <w:r>
        <w:rPr>
          <w:rFonts w:ascii="Amiri" w:hAnsi="Amiri" w:eastAsia="Amiri" w:cs="Amiri"/>
          <w:lang w:bidi="ar-SA"/>
          <w:color w:val="111111"/>
          <w:sz w:val="28"/>
          <w:szCs w:val="28"/>
          <w:rtl/>
        </w:rPr>
        <w:t xml:space="preserve">طوسي، ابراهيم بن عبد الكريم - طوسوي ،</w:t>
      </w:r>
    </w:p>
    <w:p>
      <w:pPr>
        <w:pStyle w:val="BookText"/>
      </w:pPr>
      <w:r>
        <w:rPr>
          <w:rFonts w:ascii="Amiri" w:hAnsi="Amiri" w:eastAsia="Amiri" w:cs="Amiri"/>
          <w:lang w:bidi="ar-SA"/>
          <w:color w:val="111111"/>
          <w:sz w:val="28"/>
          <w:szCs w:val="28"/>
          <w:rtl/>
        </w:rPr>
        <w:t xml:space="preserve">ابراهيم بن عبدالكريم</w:t>
      </w:r>
    </w:p>
    <w:p>
      <w:pPr>
        <w:pStyle w:val="Heading2"/>
      </w:pPr>
      <w:bookmarkStart w:id="5673" w:name="_Toc4775"/>
      <w:r>
        <w:t>طوسي، ابراهيم بن عثمان</w:t>
      </w:r>
      <w:bookmarkEnd w:id="5673"/>
    </w:p>
    <w:p>
      <w:pPr>
        <w:pStyle w:val="BookText"/>
      </w:pPr>
      <w:r>
        <w:rPr>
          <w:rFonts w:ascii="Amiri" w:hAnsi="Amiri" w:eastAsia="Amiri" w:cs="Amiri"/>
          <w:lang w:bidi="ar-SA"/>
          <w:color w:val="111111"/>
          <w:sz w:val="28"/>
          <w:szCs w:val="28"/>
          <w:rtl/>
        </w:rPr>
        <w:t xml:space="preserve">الرسالة السلطانية في شرح كتاب</w:t>
      </w:r>
    </w:p>
    <w:p>
      <w:pPr>
        <w:pStyle w:val="BookText"/>
      </w:pPr>
      <w:r>
        <w:rPr>
          <w:rFonts w:ascii="Amiri" w:hAnsi="Amiri" w:eastAsia="Amiri" w:cs="Amiri"/>
          <w:lang w:bidi="ar-SA"/>
          <w:color w:val="111111"/>
          <w:sz w:val="28"/>
          <w:szCs w:val="28"/>
          <w:rtl/>
        </w:rPr>
        <w:t xml:space="preserve">النورانية، ج8، ص210.</w:t>
      </w:r>
    </w:p>
    <w:p>
      <w:pPr>
        <w:pStyle w:val="BookText"/>
      </w:pPr>
      <w:r>
        <w:rPr>
          <w:rFonts w:ascii="Amiri" w:hAnsi="Amiri" w:eastAsia="Amiri" w:cs="Amiri"/>
          <w:lang w:bidi="ar-SA"/>
          <w:color w:val="111111"/>
          <w:sz w:val="28"/>
          <w:szCs w:val="28"/>
          <w:rtl/>
        </w:rPr>
        <w:t xml:space="preserve">طوسي ، ابوالحسن -طوسي ، محمّد بن</w:t>
      </w:r>
    </w:p>
    <w:p>
      <w:pPr>
        <w:pStyle w:val="BookText"/>
      </w:pPr>
      <w:r>
        <w:rPr>
          <w:rFonts w:ascii="IRNazanin" w:hAnsi="IRNazanin" w:eastAsia="IRNazanin" w:cs="IRNazanin"/>
          <w:lang w:bidi="fa-IR"/>
          <w:color w:val="111111"/>
          <w:sz w:val="28"/>
          <w:szCs w:val="28"/>
          <w:rtl/>
        </w:rPr>
        <w:t xml:space="preserve">اسلم</w:t>
      </w:r>
    </w:p>
    <w:p>
      <w:pPr>
        <w:pStyle w:val="BookText"/>
      </w:pPr>
      <w:r>
        <w:rPr>
          <w:rFonts w:ascii="Amiri" w:hAnsi="Amiri" w:eastAsia="Amiri" w:cs="Amiri"/>
          <w:lang w:bidi="ar-SA"/>
          <w:color w:val="111111"/>
          <w:sz w:val="28"/>
          <w:szCs w:val="28"/>
          <w:rtl/>
        </w:rPr>
        <w:t xml:space="preserve">طوسي، احمد بن حسن -طوسي ، احمد</w:t>
      </w:r>
    </w:p>
    <w:p>
      <w:pPr>
        <w:pStyle w:val="BookText"/>
      </w:pPr>
      <w:r>
        <w:rPr>
          <w:rFonts w:ascii="Amiri" w:hAnsi="Amiri" w:eastAsia="Amiri" w:cs="Amiri"/>
          <w:lang w:bidi="ar-SA"/>
          <w:color w:val="111111"/>
          <w:sz w:val="28"/>
          <w:szCs w:val="28"/>
          <w:rtl/>
        </w:rPr>
        <w:t xml:space="preserve">بن حسين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09" w:name="pg7742_70702"/>
    <w:bookmarkEnd w:id="709"/>
    <w:p>
      <w:pPr>
        <w:pStyle w:val="Heading2"/>
      </w:pPr>
      <w:bookmarkStart w:id="5674" w:name="_Toc4776"/>
      <w:r>
        <w:t>طوسي، احمد بن حسين قرن 5 ه-</w:t>
      </w:r>
      <w:bookmarkEnd w:id="5674"/>
    </w:p>
    <w:p>
      <w:pPr>
        <w:pStyle w:val="BookText"/>
      </w:pPr>
      <w:r>
        <w:rPr>
          <w:rFonts w:ascii="Amiri" w:hAnsi="Amiri" w:eastAsia="Amiri" w:cs="Amiri"/>
          <w:lang w:bidi="ar-SA"/>
          <w:color w:val="111111"/>
          <w:sz w:val="28"/>
          <w:szCs w:val="28"/>
          <w:rtl/>
        </w:rPr>
        <w:t xml:space="preserve">الاربعون حديثاً في فضل الفقراء و</w:t>
      </w:r>
    </w:p>
    <w:p>
      <w:pPr>
        <w:pStyle w:val="BookText"/>
      </w:pPr>
      <w:r>
        <w:rPr>
          <w:rFonts w:ascii="IRNazanin" w:hAnsi="IRNazanin" w:eastAsia="IRNazanin" w:cs="IRNazanin"/>
          <w:lang w:bidi="fa-IR"/>
          <w:color w:val="111111"/>
          <w:sz w:val="28"/>
          <w:szCs w:val="28"/>
          <w:rtl/>
        </w:rPr>
        <w:t xml:space="preserve">اهل التصوف - اربعین خویشاوند ج 1، ص 728.</w:t>
      </w:r>
    </w:p>
    <w:p>
      <w:pPr>
        <w:pStyle w:val="Heading2"/>
      </w:pPr>
      <w:bookmarkStart w:id="5675" w:name="_Toc4777"/>
      <w:r>
        <w:t>طوسي، احمد بن محمّد قرن 6 ه-</w:t>
      </w:r>
      <w:bookmarkEnd w:id="5675"/>
    </w:p>
    <w:p>
      <w:pPr>
        <w:pStyle w:val="BookText"/>
      </w:pPr>
      <w:r>
        <w:rPr>
          <w:rFonts w:ascii="Amiri" w:hAnsi="Amiri" w:eastAsia="Amiri" w:cs="Amiri"/>
          <w:lang w:bidi="ar-SA"/>
          <w:color w:val="111111"/>
          <w:sz w:val="28"/>
          <w:szCs w:val="28"/>
          <w:rtl/>
        </w:rPr>
        <w:t xml:space="preserve">بوارق الإلماع في تكفير من يحرم السماع، ج 3، ص 445 .</w:t>
      </w:r>
    </w:p>
    <w:p>
      <w:pPr>
        <w:pStyle w:val="BookText"/>
      </w:pPr>
      <w:r>
        <w:rPr>
          <w:rFonts w:ascii="Amiri" w:hAnsi="Amiri" w:eastAsia="Amiri" w:cs="Amiri"/>
          <w:lang w:bidi="ar-SA"/>
          <w:color w:val="111111"/>
          <w:sz w:val="28"/>
          <w:szCs w:val="28"/>
          <w:rtl/>
        </w:rPr>
        <w:t xml:space="preserve">طوسي اصفهاني ، رجبعلي بن محمّد صادق -طوسي اصفهاني ، رجبعلي بن محمّد صالح</w:t>
      </w:r>
    </w:p>
    <w:p>
      <w:pPr>
        <w:pStyle w:val="Heading2"/>
      </w:pPr>
      <w:bookmarkStart w:id="5676" w:name="_Toc4778"/>
      <w:r>
        <w:t>طوسي اصفهاني ، رجبعلي بن محمّد صالح</w:t>
      </w:r>
      <w:bookmarkEnd w:id="5676"/>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اربعون حديث = شرح اربعين حديثا ترجمه اربعين حديثا، ج 1، ص 710.</w:t>
      </w:r>
    </w:p>
    <w:p>
      <w:pPr>
        <w:pStyle w:val="BookText"/>
      </w:pPr>
      <w:r>
        <w:rPr>
          <w:rFonts w:ascii="Amiri" w:hAnsi="Amiri" w:eastAsia="Amiri" w:cs="Amiri"/>
          <w:lang w:bidi="ar-SA"/>
          <w:color w:val="111111"/>
          <w:sz w:val="28"/>
          <w:szCs w:val="28"/>
          <w:rtl/>
        </w:rPr>
        <w:t xml:space="preserve">طوسي، حاجي بابا بن</w:t>
      </w:r>
    </w:p>
    <w:p>
      <w:pPr>
        <w:pStyle w:val="BookText"/>
      </w:pPr>
      <w:r>
        <w:rPr>
          <w:rFonts w:ascii="Amiri" w:hAnsi="Amiri" w:eastAsia="Amiri" w:cs="Amiri"/>
          <w:lang w:bidi="ar-SA"/>
          <w:color w:val="111111"/>
          <w:sz w:val="28"/>
          <w:szCs w:val="28"/>
          <w:rtl/>
        </w:rPr>
        <w:t xml:space="preserve">عبد الكريم - طوسوي ، ابراهيم بن عبدالكريم</w:t>
      </w:r>
    </w:p>
    <w:p>
      <w:pPr>
        <w:pStyle w:val="BookText"/>
      </w:pPr>
      <w:r>
        <w:rPr>
          <w:rFonts w:ascii="Amiri" w:hAnsi="Amiri" w:eastAsia="Amiri" w:cs="Amiri"/>
          <w:lang w:bidi="ar-SA"/>
          <w:color w:val="111111"/>
          <w:sz w:val="28"/>
          <w:szCs w:val="28"/>
          <w:rtl/>
        </w:rPr>
        <w:t xml:space="preserve">طوسي ، حسن بن علي- نظام الملك ،</w:t>
      </w:r>
    </w:p>
    <w:p>
      <w:pPr>
        <w:pStyle w:val="BookText"/>
      </w:pPr>
      <w:r>
        <w:rPr>
          <w:rFonts w:ascii="Amiri" w:hAnsi="Amiri" w:eastAsia="Amiri" w:cs="Amiri"/>
          <w:lang w:bidi="ar-SA"/>
          <w:color w:val="111111"/>
          <w:sz w:val="28"/>
          <w:szCs w:val="28"/>
          <w:rtl/>
        </w:rPr>
        <w:t xml:space="preserve">حسن بن علي</w:t>
      </w:r>
    </w:p>
    <w:p>
      <w:pPr>
        <w:pStyle w:val="BookText"/>
      </w:pPr>
      <w:r>
        <w:rPr>
          <w:rFonts w:ascii="Amiri" w:hAnsi="Amiri" w:eastAsia="Amiri" w:cs="Amiri"/>
          <w:lang w:bidi="ar-SA"/>
          <w:color w:val="111111"/>
          <w:sz w:val="28"/>
          <w:szCs w:val="28"/>
          <w:rtl/>
        </w:rPr>
        <w:t xml:space="preserve">طوسي ، حمزة بن علي- آذري طوسي ،</w:t>
      </w:r>
    </w:p>
    <w:p>
      <w:pPr>
        <w:pStyle w:val="BookText"/>
      </w:pPr>
      <w:r>
        <w:rPr>
          <w:rFonts w:ascii="Amiri" w:hAnsi="Amiri" w:eastAsia="Amiri" w:cs="Amiri"/>
          <w:lang w:bidi="ar-SA"/>
          <w:color w:val="111111"/>
          <w:sz w:val="28"/>
          <w:szCs w:val="28"/>
          <w:rtl/>
        </w:rPr>
        <w:t xml:space="preserve">حمزة بن علي</w:t>
      </w:r>
    </w:p>
    <w:p>
      <w:pPr>
        <w:pStyle w:val="BookText"/>
      </w:pPr>
      <w:r>
        <w:rPr>
          <w:rFonts w:ascii="Amiri" w:hAnsi="Amiri" w:eastAsia="Amiri" w:cs="Amiri"/>
          <w:lang w:bidi="ar-SA"/>
          <w:color w:val="111111"/>
          <w:sz w:val="28"/>
          <w:szCs w:val="28"/>
          <w:rtl/>
        </w:rPr>
        <w:t xml:space="preserve">طوسي خراساني ، جابر بن حيان- جابر بن</w:t>
      </w:r>
    </w:p>
    <w:p>
      <w:pPr>
        <w:pStyle w:val="BookText"/>
      </w:pPr>
      <w:r>
        <w:rPr>
          <w:rFonts w:ascii="Amiri" w:hAnsi="Amiri" w:eastAsia="Amiri" w:cs="Amiri"/>
          <w:lang w:bidi="ar-SA"/>
          <w:color w:val="111111"/>
          <w:sz w:val="28"/>
          <w:szCs w:val="28"/>
          <w:rtl/>
        </w:rPr>
        <w:t xml:space="preserve">حيان</w:t>
      </w:r>
    </w:p>
    <w:p>
      <w:pPr>
        <w:pStyle w:val="BookText"/>
      </w:pPr>
      <w:r>
        <w:rPr>
          <w:rFonts w:ascii="IRNazanin" w:hAnsi="IRNazanin" w:eastAsia="IRNazanin" w:cs="IRNazanin"/>
          <w:lang w:bidi="fa-IR"/>
          <w:color w:val="111111"/>
          <w:sz w:val="28"/>
          <w:szCs w:val="28"/>
          <w:rtl/>
        </w:rPr>
        <w:t xml:space="preserve">طوسي خراساني ، محمّد کاظم بن حسين- آخوند خراساني ، محمّد کاظم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طوسي، رجبعلي بن محمّد صادق -طوسي اصفهاني ، رجبعلي بن محمّد صالح</w:t>
      </w:r>
    </w:p>
    <w:p>
      <w:pPr>
        <w:pStyle w:val="Heading2"/>
      </w:pPr>
      <w:bookmarkStart w:id="5677" w:name="_Toc4779"/>
      <w:r>
        <w:t>طوسي ، شرف الدين، 7 ه-</w:t>
      </w:r>
      <w:bookmarkEnd w:id="5677"/>
    </w:p>
    <w:p>
      <w:pPr>
        <w:pStyle w:val="BookText"/>
      </w:pPr>
      <w:r>
        <w:rPr>
          <w:rFonts w:ascii="Amiri" w:hAnsi="Amiri" w:eastAsia="Amiri" w:cs="Amiri"/>
          <w:lang w:bidi="ar-SA"/>
          <w:color w:val="111111"/>
          <w:sz w:val="28"/>
          <w:szCs w:val="28"/>
          <w:rtl/>
        </w:rPr>
        <w:t xml:space="preserve">الخطين الذين لا يلتقيان (رسالة في)</w:t>
      </w:r>
    </w:p>
    <w:p>
      <w:pPr>
        <w:pStyle w:val="BookText"/>
      </w:pPr>
      <w:r>
        <w:rPr>
          <w:rFonts w:ascii="IRNazanin" w:hAnsi="IRNazanin" w:eastAsia="IRNazanin" w:cs="IRNazanin"/>
          <w:lang w:bidi="fa-IR"/>
          <w:color w:val="111111"/>
          <w:sz w:val="28"/>
          <w:szCs w:val="28"/>
          <w:rtl/>
        </w:rPr>
        <w:t xml:space="preserve">ج 7، ص 65.</w:t>
      </w:r>
    </w:p>
    <w:p>
      <w:pPr>
        <w:pStyle w:val="BookText"/>
      </w:pPr>
      <w:r>
        <w:rPr>
          <w:rFonts w:ascii="Amiri" w:hAnsi="Amiri" w:eastAsia="Amiri" w:cs="Amiri"/>
          <w:lang w:bidi="ar-SA"/>
          <w:color w:val="111111"/>
          <w:sz w:val="28"/>
          <w:szCs w:val="28"/>
          <w:rtl/>
        </w:rPr>
        <w:t xml:space="preserve">طوسي ، عبد الخالق بن عبدالرحمن -يزدي</w:t>
      </w:r>
    </w:p>
    <w:p>
      <w:pPr>
        <w:pStyle w:val="BookText"/>
      </w:pPr>
      <w:r>
        <w:rPr>
          <w:rFonts w:ascii="Amiri" w:hAnsi="Amiri" w:eastAsia="Amiri" w:cs="Amiri"/>
          <w:lang w:bidi="ar-SA"/>
          <w:color w:val="111111"/>
          <w:sz w:val="28"/>
          <w:szCs w:val="28"/>
          <w:rtl/>
        </w:rPr>
        <w:t xml:space="preserve">، عبدالخالق بن عبدالرحيم</w:t>
      </w:r>
    </w:p>
    <w:p>
      <w:pPr>
        <w:pStyle w:val="Heading2"/>
      </w:pPr>
      <w:bookmarkStart w:id="5678" w:name="_Toc4780"/>
      <w:r>
        <w:t>طوسي، عبدالعزيز بن محمد - 706 ه-</w:t>
      </w:r>
      <w:bookmarkEnd w:id="5678"/>
    </w:p>
    <w:p>
      <w:pPr>
        <w:pStyle w:val="BookText"/>
      </w:pPr>
      <w:r>
        <w:rPr>
          <w:rFonts w:ascii="Amiri" w:hAnsi="Amiri" w:eastAsia="Amiri" w:cs="Amiri"/>
          <w:lang w:bidi="ar-SA"/>
          <w:color w:val="111111"/>
          <w:sz w:val="28"/>
          <w:szCs w:val="28"/>
          <w:rtl/>
        </w:rPr>
        <w:t xml:space="preserve">1 .كاشف الرموز و مظهر الكنوز</w:t>
      </w:r>
    </w:p>
    <w:p>
      <w:pPr>
        <w:pStyle w:val="BookText"/>
      </w:pPr>
      <w:r>
        <w:rPr>
          <w:rFonts w:ascii="IRNazanin" w:hAnsi="IRNazanin" w:eastAsia="IRNazanin" w:cs="IRNazanin"/>
          <w:lang w:bidi="fa-IR"/>
          <w:color w:val="111111"/>
          <w:sz w:val="28"/>
          <w:szCs w:val="28"/>
          <w:rtl/>
        </w:rPr>
        <w:t xml:space="preserve">ج 13، ص 9.</w:t>
      </w:r>
    </w:p>
    <w:p>
      <w:pPr>
        <w:pStyle w:val="BookText"/>
      </w:pPr>
      <w:r>
        <w:rPr>
          <w:rFonts w:ascii="Amiri" w:hAnsi="Amiri" w:eastAsia="Amiri" w:cs="Amiri"/>
          <w:lang w:bidi="ar-SA"/>
          <w:color w:val="111111"/>
          <w:sz w:val="28"/>
          <w:szCs w:val="28"/>
          <w:rtl/>
        </w:rPr>
        <w:t xml:space="preserve">2 .مصباح الحاوي = المصباح، ج 14،</w:t>
      </w:r>
    </w:p>
    <w:p>
      <w:pPr>
        <w:pStyle w:val="BookText"/>
      </w:pPr>
      <w:r>
        <w:rPr>
          <w:rFonts w:ascii="IRNazanin" w:hAnsi="IRNazanin" w:eastAsia="IRNazanin" w:cs="IRNazanin"/>
          <w:lang w:bidi="fa-IR"/>
          <w:color w:val="111111"/>
          <w:sz w:val="28"/>
          <w:szCs w:val="28"/>
          <w:rtl/>
        </w:rPr>
        <w:t xml:space="preserve">ص 704.</w:t>
      </w:r>
    </w:p>
    <w:p>
      <w:pPr>
        <w:pStyle w:val="Heading2"/>
      </w:pPr>
      <w:bookmarkStart w:id="5679" w:name="_Toc4781"/>
      <w:r>
        <w:t>طوسي ، عبدالله بن احمد - 568 ه-</w:t>
      </w:r>
      <w:bookmarkEnd w:id="5679"/>
    </w:p>
    <w:p>
      <w:pPr>
        <w:pStyle w:val="BookText"/>
      </w:pPr>
      <w:r>
        <w:rPr>
          <w:rFonts w:ascii="Amiri" w:hAnsi="Amiri" w:eastAsia="Amiri" w:cs="Amiri"/>
          <w:lang w:bidi="ar-SA"/>
          <w:color w:val="111111"/>
          <w:sz w:val="28"/>
          <w:szCs w:val="28"/>
          <w:rtl/>
        </w:rPr>
        <w:t xml:space="preserve">رسالة منتخبة مما جمعه الشيخ</w:t>
      </w:r>
    </w:p>
    <w:p>
      <w:pPr>
        <w:pStyle w:val="BookText"/>
      </w:pPr>
      <w:r>
        <w:rPr>
          <w:rFonts w:ascii="Amiri" w:hAnsi="Amiri" w:eastAsia="Amiri" w:cs="Amiri"/>
          <w:lang w:bidi="ar-SA"/>
          <w:color w:val="111111"/>
          <w:sz w:val="28"/>
          <w:szCs w:val="28"/>
          <w:rtl/>
        </w:rPr>
        <w:t xml:space="preserve">الطوسي، ج8، ص279.</w:t>
      </w:r>
    </w:p>
    <w:p>
      <w:pPr>
        <w:pStyle w:val="BookText"/>
      </w:pPr>
      <w:r>
        <w:rPr>
          <w:rFonts w:ascii="Amiri" w:hAnsi="Amiri" w:eastAsia="Amiri" w:cs="Amiri"/>
          <w:lang w:bidi="ar-SA"/>
          <w:color w:val="111111"/>
          <w:sz w:val="28"/>
          <w:szCs w:val="28"/>
          <w:rtl/>
        </w:rPr>
        <w:t xml:space="preserve">طوسي ، علاء الدين علي- طوسي ، علي بن</w:t>
      </w:r>
    </w:p>
    <w:p>
      <w:pPr>
        <w:pStyle w:val="BookText"/>
      </w:pPr>
      <w:r>
        <w:rPr>
          <w:rFonts w:ascii="Amiri" w:hAnsi="Amiri" w:eastAsia="Amiri" w:cs="Amiri"/>
          <w:lang w:bidi="ar-SA"/>
          <w:color w:val="111111"/>
          <w:sz w:val="28"/>
          <w:szCs w:val="28"/>
          <w:rtl/>
        </w:rPr>
        <w:t xml:space="preserve">محمّد</w:t>
      </w:r>
    </w:p>
    <w:p>
      <w:pPr>
        <w:pStyle w:val="Heading2"/>
      </w:pPr>
      <w:bookmarkStart w:id="5680" w:name="_Toc4782"/>
      <w:r>
        <w:t>طوسي ، علي بن محمّد - 877 ؟ ه-</w:t>
      </w:r>
      <w:bookmarkEnd w:id="5680"/>
    </w:p>
    <w:p>
      <w:pPr>
        <w:pStyle w:val="BookText"/>
      </w:pPr>
      <w:r>
        <w:rPr>
          <w:rFonts w:ascii="Amiri" w:hAnsi="Amiri" w:eastAsia="Amiri" w:cs="Amiri"/>
          <w:lang w:bidi="ar-SA"/>
          <w:color w:val="111111"/>
          <w:sz w:val="28"/>
          <w:szCs w:val="28"/>
          <w:rtl/>
        </w:rPr>
        <w:t xml:space="preserve">1 .تهافت الفلاسفة = الذخر =تهافت</w:t>
      </w:r>
    </w:p>
    <w:p>
      <w:pPr>
        <w:pStyle w:val="BookText"/>
      </w:pPr>
      <w:r>
        <w:rPr>
          <w:rFonts w:ascii="IRNazanin" w:hAnsi="IRNazanin" w:eastAsia="IRNazanin" w:cs="IRNazanin"/>
          <w:lang w:bidi="fa-IR"/>
          <w:color w:val="111111"/>
          <w:sz w:val="28"/>
          <w:szCs w:val="28"/>
          <w:rtl/>
        </w:rPr>
        <w:t xml:space="preserve">التهافت، ج 5، ص 84.</w:t>
      </w:r>
    </w:p>
    <w:p>
      <w:pPr>
        <w:pStyle w:val="BookText"/>
      </w:pPr>
      <w:r>
        <w:rPr>
          <w:rFonts w:ascii="Amiri" w:hAnsi="Amiri" w:eastAsia="Amiri" w:cs="Amiri"/>
          <w:lang w:bidi="ar-SA"/>
          <w:color w:val="111111"/>
          <w:sz w:val="28"/>
          <w:szCs w:val="28"/>
          <w:rtl/>
        </w:rPr>
        <w:t xml:space="preserve">2 .حاشية شرح المواقف، ج6، ص198.</w:t>
      </w:r>
    </w:p>
    <w:p>
      <w:pPr>
        <w:pStyle w:val="BookText"/>
      </w:pPr>
      <w:r>
        <w:rPr>
          <w:rFonts w:ascii="Amiri" w:hAnsi="Amiri" w:eastAsia="Amiri" w:cs="Amiri"/>
          <w:lang w:bidi="ar-SA"/>
          <w:color w:val="111111"/>
          <w:sz w:val="28"/>
          <w:szCs w:val="28"/>
          <w:rtl/>
        </w:rPr>
        <w:t xml:space="preserve">طوسي ، عماد الدين محمّد بن علي -ابن</w:t>
      </w:r>
    </w:p>
    <w:p>
      <w:pPr>
        <w:pStyle w:val="BookText"/>
      </w:pPr>
      <w:r>
        <w:rPr>
          <w:rFonts w:ascii="Amiri" w:hAnsi="Amiri" w:eastAsia="Amiri" w:cs="Amiri"/>
          <w:lang w:bidi="ar-SA"/>
          <w:color w:val="111111"/>
          <w:sz w:val="28"/>
          <w:szCs w:val="28"/>
          <w:rtl/>
        </w:rPr>
        <w:t xml:space="preserve">حمزه ، محمّد بن علي</w:t>
      </w:r>
    </w:p>
    <w:p>
      <w:pPr>
        <w:pStyle w:val="BookText"/>
      </w:pPr>
      <w:r>
        <w:rPr>
          <w:rFonts w:ascii="Amiri" w:hAnsi="Amiri" w:eastAsia="Amiri" w:cs="Amiri"/>
          <w:lang w:bidi="ar-SA"/>
          <w:color w:val="111111"/>
          <w:sz w:val="28"/>
          <w:szCs w:val="28"/>
          <w:rtl/>
        </w:rPr>
        <w:t xml:space="preserve">طوسي غزالي ، احمد بن محمّد- غزالي ،</w:t>
      </w:r>
    </w:p>
    <w:p>
      <w:pPr>
        <w:pStyle w:val="BookText"/>
      </w:pPr>
      <w:r>
        <w:rPr>
          <w:rFonts w:ascii="IRNazanin" w:hAnsi="IRNazanin" w:eastAsia="IRNazanin" w:cs="IRNazanin"/>
          <w:lang w:bidi="fa-IR"/>
          <w:color w:val="111111"/>
          <w:sz w:val="28"/>
          <w:szCs w:val="28"/>
          <w:rtl/>
        </w:rPr>
        <w:t xml:space="preserve">احمد بن محمّد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10" w:name="pg7742_70703"/>
    <w:bookmarkEnd w:id="710"/>
    <w:p>
      <w:pPr>
        <w:pStyle w:val="BookText"/>
      </w:pPr>
      <w:r>
        <w:rPr>
          <w:rFonts w:ascii="Amiri" w:hAnsi="Amiri" w:eastAsia="Amiri" w:cs="Amiri"/>
          <w:lang w:bidi="ar-SA"/>
          <w:color w:val="111111"/>
          <w:sz w:val="28"/>
          <w:szCs w:val="28"/>
          <w:rtl/>
        </w:rPr>
        <w:t xml:space="preserve">طوسي كرباسي ، محمّد جعفر بن محمّد</w:t>
      </w:r>
    </w:p>
    <w:p>
      <w:pPr>
        <w:pStyle w:val="BookText"/>
      </w:pPr>
      <w:r>
        <w:rPr>
          <w:rFonts w:ascii="Amiri" w:hAnsi="Amiri" w:eastAsia="Amiri" w:cs="Amiri"/>
          <w:lang w:bidi="ar-SA"/>
          <w:color w:val="111111"/>
          <w:sz w:val="28"/>
          <w:szCs w:val="28"/>
          <w:rtl/>
        </w:rPr>
        <w:t xml:space="preserve">طاهر- خراساني ، محمّد جعفر بن محمّد طاهر</w:t>
      </w:r>
    </w:p>
    <w:p>
      <w:pPr>
        <w:pStyle w:val="BookText"/>
      </w:pPr>
      <w:r>
        <w:rPr>
          <w:rFonts w:ascii="Amiri" w:hAnsi="Amiri" w:eastAsia="Amiri" w:cs="Amiri"/>
          <w:lang w:bidi="ar-SA"/>
          <w:color w:val="111111"/>
          <w:sz w:val="28"/>
          <w:szCs w:val="28"/>
          <w:rtl/>
        </w:rPr>
        <w:t xml:space="preserve">طوسي محمّد بن ابي الحسن- موسوي ،</w:t>
      </w:r>
    </w:p>
    <w:p>
      <w:pPr>
        <w:pStyle w:val="BookText"/>
      </w:pPr>
      <w:r>
        <w:rPr>
          <w:rFonts w:ascii="Amiri" w:hAnsi="Amiri" w:eastAsia="Amiri" w:cs="Amiri"/>
          <w:lang w:bidi="ar-SA"/>
          <w:color w:val="111111"/>
          <w:sz w:val="28"/>
          <w:szCs w:val="28"/>
          <w:rtl/>
        </w:rPr>
        <w:t xml:space="preserve">طوسي محمّد بن ابي الحسن</w:t>
      </w:r>
    </w:p>
    <w:p>
      <w:pPr>
        <w:pStyle w:val="Heading2"/>
      </w:pPr>
      <w:bookmarkStart w:id="5681" w:name="_Toc4783"/>
      <w:r>
        <w:t>طوسي ، محمّد بن اسلم - 242 ه-</w:t>
      </w:r>
      <w:bookmarkEnd w:id="5681"/>
    </w:p>
    <w:p>
      <w:pPr>
        <w:pStyle w:val="BookText"/>
      </w:pPr>
      <w:r>
        <w:rPr>
          <w:rFonts w:ascii="Amiri" w:hAnsi="Amiri" w:eastAsia="Amiri" w:cs="Amiri"/>
          <w:lang w:bidi="ar-SA"/>
          <w:color w:val="111111"/>
          <w:sz w:val="28"/>
          <w:szCs w:val="28"/>
          <w:rtl/>
        </w:rPr>
        <w:t xml:space="preserve">1 .الأربعون حديثاً، ج 1، ص 680.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تفسير القرآن الكريم - تفسير أبي</w:t>
      </w:r>
    </w:p>
    <w:p>
      <w:pPr>
        <w:pStyle w:val="BookText"/>
      </w:pPr>
      <w:r>
        <w:rPr>
          <w:rFonts w:ascii="Amiri" w:hAnsi="Amiri" w:eastAsia="Amiri" w:cs="Amiri"/>
          <w:lang w:bidi="ar-SA"/>
          <w:color w:val="111111"/>
          <w:sz w:val="28"/>
          <w:szCs w:val="28"/>
          <w:rtl/>
        </w:rPr>
        <w:t xml:space="preserve">الحسن الطوسي، ج 4، ص 655 .</w:t>
      </w:r>
    </w:p>
    <w:p>
      <w:pPr>
        <w:pStyle w:val="BookText"/>
      </w:pPr>
      <w:r>
        <w:rPr>
          <w:rFonts w:ascii="Amiri" w:hAnsi="Amiri" w:eastAsia="Amiri" w:cs="Amiri"/>
          <w:lang w:bidi="ar-SA"/>
          <w:color w:val="111111"/>
          <w:sz w:val="28"/>
          <w:szCs w:val="28"/>
          <w:rtl/>
        </w:rPr>
        <w:t xml:space="preserve">طوسي ، محمّد بن حسن -طوسي</w:t>
      </w:r>
    </w:p>
    <w:p>
      <w:pPr>
        <w:pStyle w:val="BookText"/>
      </w:pPr>
      <w:r>
        <w:rPr>
          <w:rFonts w:ascii="Amiri" w:hAnsi="Amiri" w:eastAsia="Amiri" w:cs="Amiri"/>
          <w:lang w:bidi="ar-SA"/>
          <w:color w:val="111111"/>
          <w:sz w:val="28"/>
          <w:szCs w:val="28"/>
          <w:rtl/>
        </w:rPr>
        <w:t xml:space="preserve">مشهدي ، محمّد بن حسن</w:t>
      </w:r>
    </w:p>
    <w:p>
      <w:pPr>
        <w:pStyle w:val="Heading2"/>
      </w:pPr>
      <w:bookmarkStart w:id="5682" w:name="_Toc4784"/>
      <w:r>
        <w:t>طوسي ، محمّد بن حسن</w:t>
      </w:r>
      <w:bookmarkEnd w:id="5682"/>
    </w:p>
    <w:p>
      <w:pPr>
        <w:pStyle w:val="BookText"/>
      </w:pPr>
      <w:r>
        <w:rPr>
          <w:rFonts w:ascii="Amiri" w:hAnsi="Amiri" w:eastAsia="Amiri" w:cs="Amiri"/>
          <w:lang w:bidi="ar-SA"/>
          <w:color w:val="111111"/>
          <w:sz w:val="28"/>
          <w:szCs w:val="28"/>
          <w:rtl/>
        </w:rPr>
        <w:t xml:space="preserve">شرح الدرة النجفية، ج 9، ص 455.</w:t>
      </w:r>
    </w:p>
    <w:p>
      <w:pPr>
        <w:pStyle w:val="BookText"/>
      </w:pPr>
      <w:r>
        <w:rPr>
          <w:rFonts w:ascii="Amiri" w:hAnsi="Amiri" w:eastAsia="Amiri" w:cs="Amiri"/>
          <w:lang w:bidi="ar-SA"/>
          <w:color w:val="111111"/>
          <w:sz w:val="28"/>
          <w:szCs w:val="28"/>
          <w:rtl/>
        </w:rPr>
        <w:t xml:space="preserve">طوسي ، محمّد بن حسن (شيخ الطائفه)- شيخ طوسي ، محمّد بن حسن</w:t>
      </w:r>
    </w:p>
    <w:p>
      <w:pPr>
        <w:pStyle w:val="BookText"/>
      </w:pPr>
      <w:r>
        <w:rPr>
          <w:rFonts w:ascii="Amiri" w:hAnsi="Amiri" w:eastAsia="Amiri" w:cs="Amiri"/>
          <w:lang w:bidi="ar-SA"/>
          <w:color w:val="111111"/>
          <w:sz w:val="28"/>
          <w:szCs w:val="28"/>
          <w:rtl/>
        </w:rPr>
        <w:t xml:space="preserve">طوسي، محمّد بن علي- ابن حمزه ، محمّد بن علي</w:t>
      </w:r>
    </w:p>
    <w:p>
      <w:pPr>
        <w:pStyle w:val="Heading2"/>
      </w:pPr>
      <w:bookmarkStart w:id="5683" w:name="_Toc4785"/>
      <w:r>
        <w:t>طوسي ، محمّد بن علي اصغر، قرن 13 ه-</w:t>
      </w:r>
      <w:bookmarkEnd w:id="5683"/>
    </w:p>
    <w:p>
      <w:pPr>
        <w:pStyle w:val="BookText"/>
      </w:pPr>
      <w:r>
        <w:rPr>
          <w:rFonts w:ascii="Amiri" w:hAnsi="Amiri" w:eastAsia="Amiri" w:cs="Amiri"/>
          <w:lang w:bidi="ar-SA"/>
          <w:color w:val="111111"/>
          <w:sz w:val="28"/>
          <w:szCs w:val="28"/>
          <w:rtl/>
        </w:rPr>
        <w:t xml:space="preserve">تذكرة العابدين، ج4، ص 195.</w:t>
      </w:r>
    </w:p>
    <w:p>
      <w:pPr>
        <w:pStyle w:val="BookText"/>
      </w:pPr>
      <w:r>
        <w:rPr>
          <w:rFonts w:ascii="IRNazanin" w:hAnsi="IRNazanin" w:eastAsia="IRNazanin" w:cs="IRNazanin"/>
          <w:lang w:bidi="fa-IR"/>
          <w:color w:val="111111"/>
          <w:sz w:val="28"/>
          <w:szCs w:val="28"/>
          <w:rtl/>
        </w:rPr>
        <w:t xml:space="preserve">طوسي ، محمّد بن محمّد -نصیرالدین</w:t>
      </w:r>
    </w:p>
    <w:p>
      <w:pPr>
        <w:pStyle w:val="BookText"/>
      </w:pPr>
      <w:r>
        <w:rPr>
          <w:rFonts w:ascii="Amiri" w:hAnsi="Amiri" w:eastAsia="Amiri" w:cs="Amiri"/>
          <w:lang w:bidi="ar-SA"/>
          <w:color w:val="111111"/>
          <w:sz w:val="28"/>
          <w:szCs w:val="28"/>
          <w:rtl/>
        </w:rPr>
        <w:t xml:space="preserve">طوسي ، محمّد بن محمّد</w:t>
      </w:r>
    </w:p>
    <w:p>
      <w:pPr>
        <w:pStyle w:val="Heading2"/>
      </w:pPr>
      <w:bookmarkStart w:id="5684" w:name="_Toc4786"/>
      <w:r>
        <w:t>طوسي ، محمّد بن محمود</w:t>
      </w:r>
      <w:bookmarkEnd w:id="5684"/>
    </w:p>
    <w:p>
      <w:pPr>
        <w:pStyle w:val="BookText"/>
      </w:pPr>
      <w:r>
        <w:rPr>
          <w:rFonts w:ascii="IRNazanin" w:hAnsi="IRNazanin" w:eastAsia="IRNazanin" w:cs="IRNazanin"/>
          <w:lang w:bidi="fa-IR"/>
          <w:color w:val="111111"/>
          <w:sz w:val="28"/>
          <w:szCs w:val="28"/>
          <w:rtl/>
        </w:rPr>
        <w:t xml:space="preserve">الفصول بالاصول، ج 11، ص 844.</w:t>
      </w:r>
    </w:p>
    <w:p>
      <w:pPr>
        <w:pStyle w:val="BookText"/>
      </w:pPr>
      <w:r>
        <w:rPr>
          <w:rFonts w:ascii="Amiri" w:hAnsi="Amiri" w:eastAsia="Amiri" w:cs="Amiri"/>
          <w:lang w:bidi="ar-SA"/>
          <w:color w:val="111111"/>
          <w:sz w:val="28"/>
          <w:szCs w:val="28"/>
          <w:rtl/>
        </w:rPr>
        <w:t xml:space="preserve">طوسي ، محمّد رضا بن عبد الحسين - نصيري طوسي ، محمّد رضا بن</w:t>
      </w:r>
    </w:p>
    <w:p>
      <w:pPr>
        <w:pStyle w:val="BookText"/>
      </w:pPr>
      <w:r>
        <w:rPr>
          <w:rFonts w:ascii="Amiri" w:hAnsi="Amiri" w:eastAsia="Amiri" w:cs="Amiri"/>
          <w:lang w:bidi="ar-SA"/>
          <w:color w:val="111111"/>
          <w:sz w:val="28"/>
          <w:szCs w:val="28"/>
          <w:rtl/>
        </w:rPr>
        <w:t xml:space="preserve">عبد الحسين</w:t>
      </w:r>
    </w:p>
    <w:p>
      <w:pPr>
        <w:pStyle w:val="BookText"/>
      </w:pPr>
      <w:r>
        <w:rPr>
          <w:rFonts w:ascii="Amiri" w:hAnsi="Amiri" w:eastAsia="Amiri" w:cs="Amiri"/>
          <w:lang w:bidi="ar-SA"/>
          <w:color w:val="111111"/>
          <w:sz w:val="28"/>
          <w:szCs w:val="28"/>
          <w:rtl/>
        </w:rPr>
        <w:t xml:space="preserve">طوسي مشهدي ، افضل الدين محمّد -تركه طوسي ، افضل الدين محمّد</w:t>
      </w:r>
    </w:p>
    <w:p>
      <w:pPr>
        <w:pStyle w:val="Heading2"/>
      </w:pPr>
      <w:bookmarkStart w:id="5685" w:name="_Toc4787"/>
      <w:r>
        <w:t>طوسي مشهدي، محمّد بن حسن -</w:t>
      </w:r>
      <w:bookmarkEnd w:id="5685"/>
    </w:p>
    <w:p>
      <w:pPr>
        <w:pStyle w:val="BookText"/>
      </w:pPr>
      <w:r>
        <w:rPr>
          <w:rFonts w:ascii="IRNazanin" w:hAnsi="IRNazanin" w:eastAsia="IRNazanin" w:cs="IRNazanin"/>
          <w:lang w:bidi="fa-IR"/>
          <w:color w:val="111111"/>
          <w:sz w:val="28"/>
          <w:szCs w:val="28"/>
          <w:rtl/>
        </w:rPr>
        <w:t xml:space="preserve">1257 ه-</w:t>
      </w:r>
    </w:p>
    <w:p>
      <w:pPr>
        <w:pStyle w:val="BookText"/>
      </w:pPr>
      <w:r>
        <w:rPr>
          <w:rFonts w:ascii="IRNazanin" w:hAnsi="IRNazanin" w:eastAsia="IRNazanin" w:cs="IRNazanin"/>
          <w:lang w:bidi="fa-IR"/>
          <w:color w:val="111111"/>
          <w:sz w:val="28"/>
          <w:szCs w:val="28"/>
          <w:rtl/>
        </w:rPr>
        <w:t xml:space="preserve">1 .الشرق والبرق، ج 10، ص 353 .</w:t>
      </w:r>
    </w:p>
    <w:p>
      <w:pPr>
        <w:pStyle w:val="BookText"/>
      </w:pPr>
      <w:r>
        <w:rPr>
          <w:rFonts w:ascii="IRNazanin" w:hAnsi="IRNazanin" w:eastAsia="IRNazanin" w:cs="IRNazanin"/>
          <w:lang w:bidi="fa-IR"/>
          <w:color w:val="111111"/>
          <w:sz w:val="28"/>
          <w:szCs w:val="28"/>
          <w:rtl/>
        </w:rPr>
        <w:t xml:space="preserve">2.الفيروزجة الطوسية في شرح الدرة النجفية = شرح دره غرویه، ج 12،</w:t>
      </w:r>
    </w:p>
    <w:p>
      <w:pPr>
        <w:pStyle w:val="BookText"/>
      </w:pPr>
      <w:r>
        <w:rPr>
          <w:rFonts w:ascii="IRNazanin" w:hAnsi="IRNazanin" w:eastAsia="IRNazanin" w:cs="IRNazanin"/>
          <w:lang w:bidi="fa-IR"/>
          <w:color w:val="111111"/>
          <w:sz w:val="28"/>
          <w:szCs w:val="28"/>
          <w:rtl/>
        </w:rPr>
        <w:t xml:space="preserve">ص 303.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الذهب، ج 13، ص 416.</w:t>
      </w:r>
    </w:p>
    <w:p>
      <w:pPr>
        <w:pStyle w:val="BookText"/>
      </w:pPr>
      <w:r>
        <w:rPr>
          <w:rFonts w:ascii="Amiri" w:hAnsi="Amiri" w:eastAsia="Amiri" w:cs="Amiri"/>
          <w:lang w:bidi="ar-SA"/>
          <w:color w:val="111111"/>
          <w:sz w:val="28"/>
          <w:szCs w:val="28"/>
          <w:rtl/>
        </w:rPr>
        <w:t xml:space="preserve">طوسي مشهدي ، محمّد بن محمّد رضا -قمي مشهدي ، محمّد بن محمّد رضا</w:t>
      </w:r>
    </w:p>
    <w:p>
      <w:pPr>
        <w:pStyle w:val="Heading2"/>
      </w:pPr>
      <w:bookmarkStart w:id="5686" w:name="_Toc4788"/>
      <w:r>
        <w:t>طوسي ، مؤيد بن محمّد - 242 ه-</w:t>
      </w:r>
      <w:bookmarkEnd w:id="5686"/>
    </w:p>
    <w:p>
      <w:pPr>
        <w:pStyle w:val="BookText"/>
      </w:pPr>
      <w:r>
        <w:rPr>
          <w:rFonts w:ascii="Amiri" w:hAnsi="Amiri" w:eastAsia="Amiri" w:cs="Amiri"/>
          <w:lang w:bidi="ar-SA"/>
          <w:color w:val="111111"/>
          <w:sz w:val="28"/>
          <w:szCs w:val="28"/>
          <w:rtl/>
        </w:rPr>
        <w:t xml:space="preserve">الاربعين عن مشايخ الاربعين عن</w:t>
      </w:r>
    </w:p>
    <w:p>
      <w:pPr>
        <w:pStyle w:val="BookText"/>
      </w:pPr>
      <w:r>
        <w:rPr>
          <w:rFonts w:ascii="Amiri" w:hAnsi="Amiri" w:eastAsia="Amiri" w:cs="Amiri"/>
          <w:lang w:bidi="ar-SA"/>
          <w:color w:val="111111"/>
          <w:sz w:val="28"/>
          <w:szCs w:val="28"/>
          <w:rtl/>
        </w:rPr>
        <w:t xml:space="preserve">الاربعين صحابيا و صحابية، ج1،</w:t>
      </w:r>
    </w:p>
    <w:p>
      <w:pPr>
        <w:pStyle w:val="BookText"/>
      </w:pPr>
      <w:r>
        <w:rPr>
          <w:rFonts w:ascii="IRNazanin" w:hAnsi="IRNazanin" w:eastAsia="IRNazanin" w:cs="IRNazanin"/>
          <w:lang w:bidi="fa-IR"/>
          <w:color w:val="111111"/>
          <w:sz w:val="28"/>
          <w:szCs w:val="28"/>
          <w:rtl/>
        </w:rPr>
        <w:t xml:space="preserve">ص 741 .</w:t>
      </w:r>
    </w:p>
    <w:p>
      <w:pPr>
        <w:pStyle w:val="BookText"/>
      </w:pPr>
      <w:r>
        <w:rPr>
          <w:rFonts w:ascii="Amiri" w:hAnsi="Amiri" w:eastAsia="Amiri" w:cs="Amiri"/>
          <w:lang w:bidi="ar-SA"/>
          <w:color w:val="111111"/>
          <w:sz w:val="28"/>
          <w:szCs w:val="28"/>
          <w:rtl/>
        </w:rPr>
        <w:t xml:space="preserve">طوسي ميامني ، محمّد بن حسن- طوسي</w:t>
      </w:r>
    </w:p>
    <w:p>
      <w:pPr>
        <w:pStyle w:val="BookText"/>
      </w:pPr>
      <w:r>
        <w:rPr>
          <w:rFonts w:ascii="Amiri" w:hAnsi="Amiri" w:eastAsia="Amiri" w:cs="Amiri"/>
          <w:lang w:bidi="ar-SA"/>
          <w:color w:val="111111"/>
          <w:sz w:val="28"/>
          <w:szCs w:val="28"/>
          <w:rtl/>
        </w:rPr>
        <w:t xml:space="preserve">مشهدي ، محمّد بن حسن</w:t>
      </w:r>
    </w:p>
    <w:p>
      <w:pPr>
        <w:pStyle w:val="BookText"/>
      </w:pPr>
      <w:r>
        <w:rPr>
          <w:rFonts w:ascii="Amiri" w:hAnsi="Amiri" w:eastAsia="Amiri" w:cs="Amiri"/>
          <w:lang w:bidi="ar-SA"/>
          <w:color w:val="111111"/>
          <w:sz w:val="28"/>
          <w:szCs w:val="28"/>
          <w:rtl/>
        </w:rPr>
        <w:t xml:space="preserve">طوسي ، نصيرالدين - نصيرالدين طوسي</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طوسي ، نظام الملك -نظام الملك ، حسن</w:t>
      </w:r>
    </w:p>
    <w:p>
      <w:pPr>
        <w:pStyle w:val="BookText"/>
      </w:pPr>
      <w:r>
        <w:rPr>
          <w:rFonts w:ascii="Amiri" w:hAnsi="Amiri" w:eastAsia="Amiri" w:cs="Amiri"/>
          <w:lang w:bidi="ar-SA"/>
          <w:color w:val="111111"/>
          <w:sz w:val="28"/>
          <w:szCs w:val="28"/>
          <w:rtl/>
        </w:rPr>
        <w:t xml:space="preserve">بن علي</w:t>
      </w:r>
    </w:p>
    <w:p>
      <w:pPr>
        <w:pStyle w:val="BookText"/>
      </w:pPr>
      <w:r>
        <w:rPr>
          <w:rFonts w:ascii="IRNazanin" w:hAnsi="IRNazanin" w:eastAsia="IRNazanin" w:cs="IRNazanin"/>
          <w:lang w:bidi="fa-IR"/>
          <w:color w:val="111111"/>
          <w:sz w:val="28"/>
          <w:szCs w:val="28"/>
          <w:rtl/>
        </w:rPr>
        <w:t xml:space="preserve">طوسي هروي، محمّد کاظم بن حسین- آخوند خراساني ، محمّد کاظم بن حسين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11" w:name="pg7742_70704"/>
    <w:bookmarkEnd w:id="711"/>
    <w:p>
      <w:pPr>
        <w:pStyle w:val="BookText"/>
      </w:pPr>
      <w:r>
        <w:rPr>
          <w:rFonts w:ascii="Amiri" w:hAnsi="Amiri" w:eastAsia="Amiri" w:cs="Amiri"/>
          <w:lang w:bidi="ar-SA"/>
          <w:color w:val="111111"/>
          <w:sz w:val="28"/>
          <w:szCs w:val="28"/>
          <w:rtl/>
        </w:rPr>
        <w:t xml:space="preserve">طوسيه وي ، ابراهيم بن</w:t>
      </w:r>
    </w:p>
    <w:p>
      <w:pPr>
        <w:pStyle w:val="BookText"/>
      </w:pPr>
      <w:r>
        <w:rPr>
          <w:rFonts w:ascii="Amiri" w:hAnsi="Amiri" w:eastAsia="Amiri" w:cs="Amiri"/>
          <w:lang w:bidi="ar-SA"/>
          <w:color w:val="111111"/>
          <w:sz w:val="28"/>
          <w:szCs w:val="28"/>
          <w:rtl/>
        </w:rPr>
        <w:t xml:space="preserve">عبد الكريم- طوسوي ، ابراهيم بن عبدالكريم</w:t>
      </w:r>
    </w:p>
    <w:p>
      <w:pPr>
        <w:pStyle w:val="BookText"/>
      </w:pPr>
      <w:r>
        <w:rPr>
          <w:rFonts w:ascii="IRNazanin" w:hAnsi="IRNazanin" w:eastAsia="IRNazanin" w:cs="IRNazanin"/>
          <w:lang w:bidi="fa-IR"/>
          <w:color w:val="111111"/>
          <w:sz w:val="28"/>
          <w:szCs w:val="28"/>
          <w:rtl/>
        </w:rPr>
        <w:t xml:space="preserve">طولوزان- دکتر طلوزان</w:t>
      </w:r>
    </w:p>
    <w:p>
      <w:pPr>
        <w:pStyle w:val="BookText"/>
      </w:pPr>
      <w:r>
        <w:rPr>
          <w:rFonts w:ascii="Amiri" w:hAnsi="Amiri" w:eastAsia="Amiri" w:cs="Amiri"/>
          <w:lang w:bidi="ar-SA"/>
          <w:color w:val="111111"/>
          <w:sz w:val="28"/>
          <w:szCs w:val="28"/>
          <w:rtl/>
        </w:rPr>
        <w:t xml:space="preserve">طولوني ، حسن- طولوني ، حسن بن احمد</w:t>
      </w:r>
    </w:p>
    <w:p>
      <w:pPr>
        <w:pStyle w:val="Heading2"/>
      </w:pPr>
      <w:bookmarkStart w:id="5687" w:name="_Toc4789"/>
      <w:r>
        <w:t>طولوني ، حسن بن احمد - 909 ه-</w:t>
      </w:r>
      <w:bookmarkEnd w:id="5687"/>
    </w:p>
    <w:p>
      <w:pPr>
        <w:pStyle w:val="BookText"/>
      </w:pPr>
      <w:r>
        <w:rPr>
          <w:rFonts w:ascii="Amiri" w:hAnsi="Amiri" w:eastAsia="Amiri" w:cs="Amiri"/>
          <w:lang w:bidi="ar-SA"/>
          <w:color w:val="111111"/>
          <w:sz w:val="28"/>
          <w:szCs w:val="28"/>
          <w:rtl/>
        </w:rPr>
        <w:t xml:space="preserve">المنقيات من الحديث النبوي الشريف</w:t>
      </w:r>
    </w:p>
    <w:p>
      <w:pPr>
        <w:pStyle w:val="BookText"/>
      </w:pPr>
      <w:r>
        <w:rPr>
          <w:rFonts w:ascii="IRNazanin" w:hAnsi="IRNazanin" w:eastAsia="IRNazanin" w:cs="IRNazanin"/>
          <w:lang w:bidi="fa-IR"/>
          <w:color w:val="111111"/>
          <w:sz w:val="28"/>
          <w:szCs w:val="28"/>
          <w:rtl/>
        </w:rPr>
        <w:t xml:space="preserve">ج 15 ، ص 740.</w:t>
      </w:r>
    </w:p>
    <w:p>
      <w:pPr>
        <w:pStyle w:val="Heading2"/>
      </w:pPr>
      <w:bookmarkStart w:id="5688" w:name="_Toc4790"/>
      <w:r>
        <w:t>طولوني ، عبدالله بن عبد الرحمن، قرن 12</w:t>
      </w:r>
      <w:bookmarkEnd w:id="5688"/>
    </w:p>
    <w:p>
      <w:pPr>
        <w:pStyle w:val="BookText"/>
      </w:pPr>
      <w:r>
        <w:rPr>
          <w:rFonts w:ascii="Amiri" w:hAnsi="Amiri" w:eastAsia="Amiri" w:cs="Amiri"/>
          <w:lang w:bidi="ar-SA"/>
          <w:color w:val="111111"/>
          <w:sz w:val="28"/>
          <w:szCs w:val="28"/>
          <w:rtl/>
        </w:rPr>
        <w:t xml:space="preserve">معرفة وضع ساعات الحلزون (رسالة</w:t>
      </w:r>
    </w:p>
    <w:p>
      <w:pPr>
        <w:pStyle w:val="BookText"/>
      </w:pPr>
      <w:r>
        <w:rPr>
          <w:rFonts w:ascii="Amiri" w:hAnsi="Amiri" w:eastAsia="Amiri" w:cs="Amiri"/>
          <w:lang w:bidi="ar-SA"/>
          <w:color w:val="111111"/>
          <w:sz w:val="28"/>
          <w:szCs w:val="28"/>
          <w:rtl/>
        </w:rPr>
        <w:t xml:space="preserve">في)، ج 15 ، ص 76 .</w:t>
      </w:r>
    </w:p>
    <w:p>
      <w:pPr>
        <w:pStyle w:val="Heading2"/>
      </w:pPr>
      <w:bookmarkStart w:id="5689" w:name="_Toc4791"/>
      <w:r>
        <w:t>طولوني ، عيسى بن موسى</w:t>
      </w:r>
      <w:bookmarkEnd w:id="5689"/>
    </w:p>
    <w:p>
      <w:pPr>
        <w:pStyle w:val="BookText"/>
      </w:pPr>
      <w:r>
        <w:rPr>
          <w:rFonts w:ascii="IRNazanin" w:hAnsi="IRNazanin" w:eastAsia="IRNazanin" w:cs="IRNazanin"/>
          <w:lang w:bidi="fa-IR"/>
          <w:color w:val="111111"/>
          <w:sz w:val="28"/>
          <w:szCs w:val="28"/>
          <w:rtl/>
        </w:rPr>
        <w:t xml:space="preserve">طبقات الاقطاب، ج 10، ص 772</w:t>
      </w:r>
    </w:p>
    <w:p>
      <w:pPr>
        <w:pStyle w:val="Heading2"/>
      </w:pPr>
      <w:bookmarkStart w:id="5690" w:name="_Toc4792"/>
      <w:r>
        <w:t>طويراني ، حسن بن حسين عارف - 1315</w:t>
      </w:r>
      <w:bookmarkEnd w:id="5690"/>
    </w:p>
    <w:p>
      <w:pPr>
        <w:pStyle w:val="BookText"/>
      </w:pPr>
      <w:r>
        <w:rPr>
          <w:rFonts w:ascii="Amiri" w:hAnsi="Amiri" w:eastAsia="Amiri" w:cs="Amiri"/>
          <w:lang w:bidi="ar-SA"/>
          <w:color w:val="111111"/>
          <w:sz w:val="28"/>
          <w:szCs w:val="28"/>
          <w:rtl/>
        </w:rPr>
        <w:t xml:space="preserve">نظرة في جريدة النيل، ج 16، ص 325.</w:t>
      </w:r>
    </w:p>
    <w:p>
      <w:pPr>
        <w:pStyle w:val="Heading2"/>
      </w:pPr>
      <w:bookmarkStart w:id="5691" w:name="_Toc4793"/>
      <w:r>
        <w:t>طيالسي ، جعفر بن محمّد قرن 4 ه-</w:t>
      </w:r>
      <w:bookmarkEnd w:id="5691"/>
    </w:p>
    <w:p>
      <w:pPr>
        <w:pStyle w:val="BookText"/>
      </w:pPr>
      <w:r>
        <w:rPr>
          <w:rFonts w:ascii="Amiri" w:hAnsi="Amiri" w:eastAsia="Amiri" w:cs="Amiri"/>
          <w:lang w:bidi="ar-SA"/>
          <w:color w:val="111111"/>
          <w:sz w:val="28"/>
          <w:szCs w:val="28"/>
          <w:rtl/>
        </w:rPr>
        <w:t xml:space="preserve">المكاثرة عند المذاكرة، ج 15 ، ص 410.</w:t>
      </w:r>
    </w:p>
    <w:p>
      <w:pPr>
        <w:pStyle w:val="Heading2"/>
      </w:pPr>
      <w:bookmarkStart w:id="5692" w:name="_Toc4794"/>
      <w:r>
        <w:t>طيالسي ، سليمان بن داود 133 - 204 ه-</w:t>
      </w:r>
      <w:bookmarkEnd w:id="5692"/>
    </w:p>
    <w:p>
      <w:pPr>
        <w:pStyle w:val="BookText"/>
      </w:pPr>
      <w:r>
        <w:rPr>
          <w:rFonts w:ascii="Amiri" w:hAnsi="Amiri" w:eastAsia="Amiri" w:cs="Amiri"/>
          <w:lang w:bidi="ar-SA"/>
          <w:color w:val="111111"/>
          <w:sz w:val="28"/>
          <w:szCs w:val="28"/>
          <w:rtl/>
        </w:rPr>
        <w:t xml:space="preserve">مسند الطيالسي ج 14 ، ص 600 .</w:t>
      </w:r>
    </w:p>
    <w:p>
      <w:pPr>
        <w:pStyle w:val="BookText"/>
      </w:pPr>
      <w:r>
        <w:rPr>
          <w:rFonts w:ascii="Amiri" w:hAnsi="Amiri" w:eastAsia="Amiri" w:cs="Amiri"/>
          <w:lang w:bidi="ar-SA"/>
          <w:color w:val="111111"/>
          <w:sz w:val="28"/>
          <w:szCs w:val="28"/>
          <w:rtl/>
        </w:rPr>
        <w:t xml:space="preserve">طيب بن ابي بكر حضرمي- حضرمي ،</w:t>
      </w:r>
    </w:p>
    <w:p>
      <w:pPr>
        <w:pStyle w:val="BookText"/>
      </w:pPr>
      <w:r>
        <w:rPr>
          <w:rFonts w:ascii="Amiri" w:hAnsi="Amiri" w:eastAsia="Amiri" w:cs="Amiri"/>
          <w:lang w:bidi="ar-SA"/>
          <w:color w:val="111111"/>
          <w:sz w:val="28"/>
          <w:szCs w:val="28"/>
          <w:rtl/>
        </w:rPr>
        <w:t xml:space="preserve">طيب بن ابي بكر</w:t>
      </w:r>
    </w:p>
    <w:p>
      <w:pPr>
        <w:pStyle w:val="BookText"/>
      </w:pPr>
      <w:r>
        <w:rPr>
          <w:rFonts w:ascii="Amiri" w:hAnsi="Amiri" w:eastAsia="Amiri" w:cs="Amiri"/>
          <w:lang w:bidi="ar-SA"/>
          <w:color w:val="111111"/>
          <w:sz w:val="28"/>
          <w:szCs w:val="28"/>
          <w:rtl/>
        </w:rPr>
        <w:t xml:space="preserve">طيب ، حسين بن علي -حسيني همداني ،</w:t>
      </w:r>
    </w:p>
    <w:p>
      <w:pPr>
        <w:pStyle w:val="BookText"/>
      </w:pPr>
      <w:r>
        <w:rPr>
          <w:rFonts w:ascii="Amiri" w:hAnsi="Amiri" w:eastAsia="Amiri" w:cs="Amiri"/>
          <w:lang w:bidi="ar-SA"/>
          <w:color w:val="111111"/>
          <w:sz w:val="28"/>
          <w:szCs w:val="28"/>
          <w:rtl/>
        </w:rPr>
        <w:t xml:space="preserve">حسين بن علي</w:t>
      </w:r>
    </w:p>
    <w:p>
      <w:pPr>
        <w:pStyle w:val="Heading2"/>
      </w:pPr>
      <w:bookmarkStart w:id="5693" w:name="_Toc4795"/>
      <w:r>
        <w:t>طيب ، عبد الله</w:t>
      </w:r>
      <w:bookmarkEnd w:id="5693"/>
    </w:p>
    <w:p>
      <w:pPr>
        <w:pStyle w:val="BookText"/>
      </w:pPr>
      <w:r>
        <w:rPr>
          <w:rFonts w:ascii="Amiri" w:hAnsi="Amiri" w:eastAsia="Amiri" w:cs="Amiri"/>
          <w:lang w:bidi="ar-SA"/>
          <w:color w:val="111111"/>
          <w:sz w:val="28"/>
          <w:szCs w:val="28"/>
          <w:rtl/>
        </w:rPr>
        <w:t xml:space="preserve">منتخب الشفائية، ج 15 ، ص 606 .</w:t>
      </w:r>
    </w:p>
    <w:p>
      <w:pPr>
        <w:pStyle w:val="BookText"/>
      </w:pPr>
      <w:r>
        <w:rPr>
          <w:rFonts w:ascii="Amiri" w:hAnsi="Amiri" w:eastAsia="Amiri" w:cs="Amiri"/>
          <w:lang w:bidi="ar-SA"/>
          <w:color w:val="111111"/>
          <w:sz w:val="28"/>
          <w:szCs w:val="28"/>
          <w:rtl/>
        </w:rPr>
        <w:t xml:space="preserve">طيب ، محمّد بن محمّد -طبیب ، محمّد بن محمّد</w:t>
      </w:r>
    </w:p>
    <w:p>
      <w:pPr>
        <w:pStyle w:val="Heading2"/>
      </w:pPr>
      <w:bookmarkStart w:id="5694" w:name="_Toc4796"/>
      <w:r>
        <w:t>طيبغا ، اشرفي، - 797 ه-</w:t>
      </w:r>
      <w:bookmarkEnd w:id="5694"/>
    </w:p>
    <w:p>
      <w:pPr>
        <w:pStyle w:val="BookText"/>
      </w:pPr>
      <w:r>
        <w:rPr>
          <w:rFonts w:ascii="Amiri" w:hAnsi="Amiri" w:eastAsia="Amiri" w:cs="Amiri"/>
          <w:lang w:bidi="ar-SA"/>
          <w:color w:val="111111"/>
          <w:sz w:val="28"/>
          <w:szCs w:val="28"/>
          <w:rtl/>
        </w:rPr>
        <w:t xml:space="preserve">1 .بغية المرامي لمن يروم الرمي</w:t>
      </w:r>
    </w:p>
    <w:p>
      <w:pPr>
        <w:pStyle w:val="BookText"/>
      </w:pPr>
      <w:r>
        <w:rPr>
          <w:rFonts w:ascii="IRNazanin" w:hAnsi="IRNazanin" w:eastAsia="IRNazanin" w:cs="IRNazanin"/>
          <w:lang w:bidi="fa-IR"/>
          <w:color w:val="111111"/>
          <w:sz w:val="28"/>
          <w:szCs w:val="28"/>
          <w:rtl/>
        </w:rPr>
        <w:t xml:space="preserve">بالسهام، ج3، ص 375.</w:t>
      </w:r>
    </w:p>
    <w:p>
      <w:pPr>
        <w:pStyle w:val="BookText"/>
      </w:pPr>
      <w:r>
        <w:rPr>
          <w:rFonts w:ascii="Amiri" w:hAnsi="Amiri" w:eastAsia="Amiri" w:cs="Amiri"/>
          <w:lang w:bidi="ar-SA"/>
          <w:color w:val="111111"/>
          <w:sz w:val="28"/>
          <w:szCs w:val="28"/>
          <w:rtl/>
        </w:rPr>
        <w:t xml:space="preserve">2 .بغية المرامي و غاية الغرام للمعاني</w:t>
      </w:r>
    </w:p>
    <w:p>
      <w:pPr>
        <w:pStyle w:val="BookText"/>
      </w:pPr>
      <w:r>
        <w:rPr>
          <w:rFonts w:ascii="IRNazanin" w:hAnsi="IRNazanin" w:eastAsia="IRNazanin" w:cs="IRNazanin"/>
          <w:lang w:bidi="fa-IR"/>
          <w:color w:val="111111"/>
          <w:sz w:val="28"/>
          <w:szCs w:val="28"/>
          <w:rtl/>
        </w:rPr>
        <w:t xml:space="preserve">ج 3، ص 375.</w:t>
      </w:r>
    </w:p>
    <w:p>
      <w:pPr>
        <w:pStyle w:val="BookText"/>
      </w:pPr>
      <w:r>
        <w:rPr>
          <w:rFonts w:ascii="Amiri" w:hAnsi="Amiri" w:eastAsia="Amiri" w:cs="Amiri"/>
          <w:lang w:bidi="ar-SA"/>
          <w:color w:val="111111"/>
          <w:sz w:val="28"/>
          <w:szCs w:val="28"/>
          <w:rtl/>
        </w:rPr>
        <w:t xml:space="preserve">3 .شرح بغية المرامي وغاية الغرام</w:t>
      </w:r>
    </w:p>
    <w:p>
      <w:pPr>
        <w:pStyle w:val="BookText"/>
      </w:pPr>
      <w:r>
        <w:rPr>
          <w:rFonts w:ascii="Amiri" w:hAnsi="Amiri" w:eastAsia="Amiri" w:cs="Amiri"/>
          <w:lang w:bidi="ar-SA"/>
          <w:color w:val="111111"/>
          <w:sz w:val="28"/>
          <w:szCs w:val="28"/>
          <w:rtl/>
        </w:rPr>
        <w:t xml:space="preserve">للمعاني، ج 9، ص287.</w:t>
      </w:r>
    </w:p>
    <w:p>
      <w:pPr>
        <w:pStyle w:val="Heading2"/>
      </w:pPr>
      <w:bookmarkStart w:id="5695" w:name="_Toc4797"/>
      <w:r>
        <w:t>طيبي ، ابراهيم بن يحيى 1154 - 1214</w:t>
      </w:r>
      <w:bookmarkEnd w:id="5695"/>
    </w:p>
    <w:p>
      <w:pPr>
        <w:pStyle w:val="BookText"/>
      </w:pPr>
      <w:r>
        <w:rPr>
          <w:rFonts w:ascii="Amiri" w:hAnsi="Amiri" w:eastAsia="Amiri" w:cs="Amiri"/>
          <w:lang w:bidi="ar-SA"/>
          <w:color w:val="111111"/>
          <w:sz w:val="28"/>
          <w:szCs w:val="28"/>
          <w:rtl/>
        </w:rPr>
        <w:t xml:space="preserve">1 .تخميس قصيدة أبي فراس</w:t>
      </w:r>
    </w:p>
    <w:p>
      <w:pPr>
        <w:pStyle w:val="BookText"/>
      </w:pPr>
      <w:r>
        <w:rPr>
          <w:rFonts w:ascii="Amiri" w:hAnsi="Amiri" w:eastAsia="Amiri" w:cs="Amiri"/>
          <w:lang w:bidi="ar-SA"/>
          <w:color w:val="111111"/>
          <w:sz w:val="28"/>
          <w:szCs w:val="28"/>
          <w:rtl/>
        </w:rPr>
        <w:t xml:space="preserve">الحمداني، ج 4، ص 113.</w:t>
      </w:r>
    </w:p>
    <w:p>
      <w:pPr>
        <w:pStyle w:val="BookText"/>
      </w:pPr>
      <w:r>
        <w:rPr>
          <w:rFonts w:ascii="Amiri" w:hAnsi="Amiri" w:eastAsia="Amiri" w:cs="Amiri"/>
          <w:lang w:bidi="ar-SA"/>
          <w:color w:val="111111"/>
          <w:sz w:val="28"/>
          <w:szCs w:val="28"/>
          <w:rtl/>
        </w:rPr>
        <w:t xml:space="preserve">2 .ديوان الطيبي، ج 7، ص 701.</w:t>
      </w:r>
    </w:p>
    <w:p>
      <w:pPr>
        <w:pStyle w:val="BookText"/>
      </w:pPr>
      <w:r>
        <w:rPr>
          <w:rFonts w:ascii="Amiri" w:hAnsi="Amiri" w:eastAsia="Amiri" w:cs="Amiri"/>
          <w:lang w:bidi="ar-SA"/>
          <w:color w:val="111111"/>
          <w:sz w:val="28"/>
          <w:szCs w:val="28"/>
          <w:rtl/>
        </w:rPr>
        <w:t xml:space="preserve">طيبي ، احمد بن احمد- طيبي دمشقي</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طيبي ، حسن بن خليل- كراديسي ، حسن</w:t>
      </w:r>
    </w:p>
    <w:p>
      <w:pPr>
        <w:pStyle w:val="BookText"/>
      </w:pPr>
      <w:r>
        <w:rPr>
          <w:rFonts w:ascii="Amiri" w:hAnsi="Amiri" w:eastAsia="Amiri" w:cs="Amiri"/>
          <w:lang w:bidi="ar-SA"/>
          <w:color w:val="111111"/>
          <w:sz w:val="28"/>
          <w:szCs w:val="28"/>
          <w:rtl/>
        </w:rPr>
        <w:t xml:space="preserve">بن خليل</w:t>
      </w:r>
    </w:p>
    <w:p>
      <w:pPr>
        <w:pStyle w:val="Heading2"/>
      </w:pPr>
      <w:bookmarkStart w:id="5696" w:name="_Toc4798"/>
      <w:r>
        <w:t>طيبي ، حسن بن محمّد - 743ه-</w:t>
      </w:r>
      <w:bookmarkEnd w:id="5696"/>
    </w:p>
    <w:p>
      <w:pPr>
        <w:pStyle w:val="BookText"/>
      </w:pPr>
      <w:r>
        <w:rPr>
          <w:rFonts w:ascii="Amiri" w:hAnsi="Amiri" w:eastAsia="Amiri" w:cs="Amiri"/>
          <w:lang w:bidi="ar-SA"/>
          <w:color w:val="111111"/>
          <w:sz w:val="28"/>
          <w:szCs w:val="28"/>
          <w:rtl/>
        </w:rPr>
        <w:t xml:space="preserve">اصول علم الحديث (خلاصة في)، ج2،</w:t>
      </w:r>
    </w:p>
    <w:p>
      <w:pPr>
        <w:pStyle w:val="BookText"/>
      </w:pPr>
      <w:r>
        <w:rPr>
          <w:rFonts w:ascii="IRNazanin" w:hAnsi="IRNazanin" w:eastAsia="IRNazanin" w:cs="IRNazanin"/>
          <w:lang w:bidi="fa-IR"/>
          <w:color w:val="111111"/>
          <w:sz w:val="28"/>
          <w:szCs w:val="28"/>
          <w:rtl/>
        </w:rPr>
        <w:t xml:space="preserve">ص 429 .</w:t>
      </w:r>
    </w:p>
    <w:p>
      <w:pPr>
        <w:pStyle w:val="BookText"/>
      </w:pPr>
      <w:r>
        <w:rPr>
          <w:rFonts w:ascii="Amiri" w:hAnsi="Amiri" w:eastAsia="Amiri" w:cs="Amiri"/>
          <w:lang w:bidi="ar-SA"/>
          <w:color w:val="111111"/>
          <w:sz w:val="28"/>
          <w:szCs w:val="28"/>
          <w:rtl/>
        </w:rPr>
        <w:t xml:space="preserve">طيبي ، حسين بن عبدالله -طيبي ، حسين</w:t>
      </w:r>
    </w:p>
    <w:p>
      <w:pPr>
        <w:pStyle w:val="BookText"/>
      </w:pPr>
      <w:r>
        <w:rPr>
          <w:rFonts w:ascii="Amiri" w:hAnsi="Amiri" w:eastAsia="Amiri" w:cs="Amiri"/>
          <w:lang w:bidi="ar-SA"/>
          <w:color w:val="111111"/>
          <w:sz w:val="28"/>
          <w:szCs w:val="28"/>
          <w:rtl/>
        </w:rPr>
        <w:t xml:space="preserve">بن محمّد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12" w:name="pg7742_70705"/>
    <w:bookmarkEnd w:id="712"/>
    <w:p>
      <w:pPr>
        <w:pStyle w:val="Heading2"/>
      </w:pPr>
      <w:bookmarkStart w:id="5697" w:name="_Toc4799"/>
      <w:r>
        <w:t>طيبي ، حسين بن محمّد - 743 ؟ ه-</w:t>
      </w:r>
      <w:bookmarkEnd w:id="5697"/>
    </w:p>
    <w:p>
      <w:pPr>
        <w:pStyle w:val="BookText"/>
      </w:pPr>
      <w:r>
        <w:rPr>
          <w:rFonts w:ascii="IRNazanin" w:hAnsi="IRNazanin" w:eastAsia="IRNazanin" w:cs="IRNazanin"/>
          <w:lang w:bidi="fa-IR"/>
          <w:color w:val="111111"/>
          <w:sz w:val="28"/>
          <w:szCs w:val="28"/>
          <w:rtl/>
        </w:rPr>
        <w:t xml:space="preserve">1 .اسماء الرجال، ج 2، ص221.</w:t>
      </w:r>
    </w:p>
    <w:p>
      <w:pPr>
        <w:pStyle w:val="BookText"/>
      </w:pPr>
      <w:r>
        <w:rPr>
          <w:rFonts w:ascii="Amiri" w:hAnsi="Amiri" w:eastAsia="Amiri" w:cs="Amiri"/>
          <w:lang w:bidi="ar-SA"/>
          <w:color w:val="111111"/>
          <w:sz w:val="28"/>
          <w:szCs w:val="28"/>
          <w:rtl/>
        </w:rPr>
        <w:t xml:space="preserve">2 .التبيان في المعاني والبيان، ج3،</w:t>
      </w:r>
    </w:p>
    <w:p>
      <w:pPr>
        <w:pStyle w:val="BookText"/>
      </w:pPr>
      <w:r>
        <w:rPr>
          <w:rFonts w:ascii="IRNazanin" w:hAnsi="IRNazanin" w:eastAsia="IRNazanin" w:cs="IRNazanin"/>
          <w:lang w:bidi="fa-IR"/>
          <w:color w:val="111111"/>
          <w:sz w:val="28"/>
          <w:szCs w:val="28"/>
          <w:rtl/>
        </w:rPr>
        <w:t xml:space="preserve">ص661.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الكشاف = فتوح الغيب في الكشف عن قناع الريب = حاشيه طيبي، ج 6، ص 324.</w:t>
      </w:r>
    </w:p>
    <w:p>
      <w:pPr>
        <w:pStyle w:val="BookText"/>
      </w:pPr>
      <w:r>
        <w:rPr>
          <w:rFonts w:ascii="Amiri" w:hAnsi="Amiri" w:eastAsia="Amiri" w:cs="Amiri"/>
          <w:lang w:bidi="ar-SA"/>
          <w:color w:val="111111"/>
          <w:sz w:val="28"/>
          <w:szCs w:val="28"/>
          <w:rtl/>
        </w:rPr>
        <w:t xml:space="preserve">4 .الخلاصة في معرفة الحديث مختصر في اصول الحديث، ج7،</w:t>
      </w:r>
    </w:p>
    <w:p>
      <w:pPr>
        <w:pStyle w:val="BookText"/>
      </w:pPr>
      <w:r>
        <w:rPr>
          <w:rFonts w:ascii="IRNazanin" w:hAnsi="IRNazanin" w:eastAsia="IRNazanin" w:cs="IRNazanin"/>
          <w:lang w:bidi="fa-IR"/>
          <w:color w:val="111111"/>
          <w:sz w:val="28"/>
          <w:szCs w:val="28"/>
          <w:rtl/>
        </w:rPr>
        <w:t xml:space="preserve">ص 134 .</w:t>
      </w:r>
    </w:p>
    <w:p>
      <w:pPr>
        <w:pStyle w:val="BookText"/>
      </w:pPr>
      <w:r>
        <w:rPr>
          <w:rFonts w:ascii="Amiri" w:hAnsi="Amiri" w:eastAsia="Amiri" w:cs="Amiri"/>
          <w:lang w:bidi="ar-SA"/>
          <w:color w:val="111111"/>
          <w:sz w:val="28"/>
          <w:szCs w:val="28"/>
          <w:rtl/>
        </w:rPr>
        <w:t xml:space="preserve">5 .شرح المشكاة في اصول الحديث</w:t>
      </w:r>
    </w:p>
    <w:p>
      <w:pPr>
        <w:pStyle w:val="BookText"/>
      </w:pPr>
      <w:r>
        <w:rPr>
          <w:rFonts w:ascii="IRNazanin" w:hAnsi="IRNazanin" w:eastAsia="IRNazanin" w:cs="IRNazanin"/>
          <w:lang w:bidi="fa-IR"/>
          <w:color w:val="111111"/>
          <w:sz w:val="28"/>
          <w:szCs w:val="28"/>
          <w:rtl/>
        </w:rPr>
        <w:t xml:space="preserve">ج 10، ص139.</w:t>
      </w:r>
    </w:p>
    <w:p>
      <w:pPr>
        <w:pStyle w:val="BookText"/>
      </w:pPr>
      <w:r>
        <w:rPr>
          <w:rFonts w:ascii="Amiri" w:hAnsi="Amiri" w:eastAsia="Amiri" w:cs="Amiri"/>
          <w:lang w:bidi="ar-SA"/>
          <w:color w:val="111111"/>
          <w:sz w:val="28"/>
          <w:szCs w:val="28"/>
          <w:rtl/>
        </w:rPr>
        <w:t xml:space="preserve">6 .الكاشف عن حقايق السنن = شرح مشكاة المصابيح، ج13، ص11.</w:t>
      </w:r>
    </w:p>
    <w:p>
      <w:pPr>
        <w:pStyle w:val="Heading2"/>
      </w:pPr>
      <w:bookmarkStart w:id="5698" w:name="_Toc4800"/>
      <w:r>
        <w:t>طيبي دمشقي ، احمد بن احمد 910 -</w:t>
      </w:r>
      <w:bookmarkEnd w:id="5698"/>
    </w:p>
    <w:p>
      <w:pPr>
        <w:pStyle w:val="BookText"/>
      </w:pPr>
      <w:r>
        <w:rPr>
          <w:rFonts w:ascii="IRNazanin" w:hAnsi="IRNazanin" w:eastAsia="IRNazanin" w:cs="IRNazanin"/>
          <w:lang w:bidi="fa-IR"/>
          <w:color w:val="111111"/>
          <w:sz w:val="28"/>
          <w:szCs w:val="28"/>
          <w:rtl/>
        </w:rPr>
        <w:t xml:space="preserve">979؟ ه-</w:t>
      </w:r>
    </w:p>
    <w:p>
      <w:pPr>
        <w:pStyle w:val="BookText"/>
      </w:pPr>
      <w:r>
        <w:rPr>
          <w:rFonts w:ascii="Amiri" w:hAnsi="Amiri" w:eastAsia="Amiri" w:cs="Amiri"/>
          <w:lang w:bidi="ar-SA"/>
          <w:color w:val="111111"/>
          <w:sz w:val="28"/>
          <w:szCs w:val="28"/>
          <w:rtl/>
        </w:rPr>
        <w:t xml:space="preserve">1.أرجوزة الصحيفة فيما يحتاج اليه</w:t>
      </w:r>
    </w:p>
    <w:p>
      <w:pPr>
        <w:pStyle w:val="BookText"/>
      </w:pPr>
      <w:r>
        <w:rPr>
          <w:rFonts w:ascii="Amiri" w:hAnsi="Amiri" w:eastAsia="Amiri" w:cs="Amiri"/>
          <w:lang w:bidi="ar-SA"/>
          <w:color w:val="111111"/>
          <w:sz w:val="28"/>
          <w:szCs w:val="28"/>
          <w:rtl/>
        </w:rPr>
        <w:t xml:space="preserve">الشافعي من التقليد للامام أبي</w:t>
      </w:r>
    </w:p>
    <w:p>
      <w:pPr>
        <w:pStyle w:val="BookText"/>
      </w:pPr>
      <w:r>
        <w:rPr>
          <w:rFonts w:ascii="Amiri" w:hAnsi="Amiri" w:eastAsia="Amiri" w:cs="Amiri"/>
          <w:lang w:bidi="ar-SA"/>
          <w:color w:val="111111"/>
          <w:sz w:val="28"/>
          <w:szCs w:val="28"/>
          <w:rtl/>
        </w:rPr>
        <w:t xml:space="preserve">حنيفة، ج 1، ص 766.</w:t>
      </w:r>
    </w:p>
    <w:p>
      <w:pPr>
        <w:pStyle w:val="BookText"/>
      </w:pPr>
      <w:r>
        <w:rPr>
          <w:rFonts w:ascii="Amiri" w:hAnsi="Amiri" w:eastAsia="Amiri" w:cs="Amiri"/>
          <w:lang w:bidi="ar-SA"/>
          <w:color w:val="111111"/>
          <w:sz w:val="28"/>
          <w:szCs w:val="28"/>
          <w:rtl/>
        </w:rPr>
        <w:t xml:space="preserve">2 .بلوغ الاماني في قرائة ورش عن طريق الأصبهاني = بغية الأماني في رواية ورش عن طريق الاصفهاني - قراءة ورش من طريق الاصفهاني</w:t>
      </w:r>
    </w:p>
    <w:p>
      <w:pPr>
        <w:pStyle w:val="BookText"/>
      </w:pPr>
      <w:r>
        <w:rPr>
          <w:rFonts w:ascii="Amiri" w:hAnsi="Amiri" w:eastAsia="Amiri" w:cs="Amiri"/>
          <w:lang w:bidi="ar-SA"/>
          <w:color w:val="111111"/>
          <w:sz w:val="28"/>
          <w:szCs w:val="28"/>
          <w:rtl/>
        </w:rPr>
        <w:t xml:space="preserve">(قصيدة في)، ج 3، ص 397.</w:t>
      </w:r>
    </w:p>
    <w:p>
      <w:pPr>
        <w:pStyle w:val="BookText"/>
      </w:pPr>
      <w:r>
        <w:rPr>
          <w:rFonts w:ascii="Amiri" w:hAnsi="Amiri" w:eastAsia="Amiri" w:cs="Amiri"/>
          <w:lang w:bidi="ar-SA"/>
          <w:color w:val="111111"/>
          <w:sz w:val="28"/>
          <w:szCs w:val="28"/>
          <w:rtl/>
        </w:rPr>
        <w:t xml:space="preserve">3 .توضيح منظومة السخاوي في</w:t>
      </w:r>
    </w:p>
    <w:p>
      <w:pPr>
        <w:pStyle w:val="BookText"/>
      </w:pPr>
      <w:r>
        <w:rPr>
          <w:rFonts w:ascii="IRNazanin" w:hAnsi="IRNazanin" w:eastAsia="IRNazanin" w:cs="IRNazanin"/>
          <w:lang w:bidi="fa-IR"/>
          <w:color w:val="111111"/>
          <w:sz w:val="28"/>
          <w:szCs w:val="28"/>
          <w:rtl/>
        </w:rPr>
        <w:t xml:space="preserve">المتشابه، ج 5، ص 183.</w:t>
      </w:r>
    </w:p>
    <w:p>
      <w:pPr>
        <w:pStyle w:val="BookText"/>
      </w:pPr>
      <w:r>
        <w:rPr>
          <w:rFonts w:ascii="Amiri" w:hAnsi="Amiri" w:eastAsia="Amiri" w:cs="Amiri"/>
          <w:lang w:bidi="ar-SA"/>
          <w:color w:val="111111"/>
          <w:sz w:val="28"/>
          <w:szCs w:val="28"/>
          <w:rtl/>
        </w:rPr>
        <w:t xml:space="preserve">4 .شرح الرسالة الرسلانية، ج 9،</w:t>
      </w:r>
    </w:p>
    <w:p>
      <w:pPr>
        <w:pStyle w:val="BookText"/>
      </w:pPr>
      <w:r>
        <w:rPr>
          <w:rFonts w:ascii="IRNazanin" w:hAnsi="IRNazanin" w:eastAsia="IRNazanin" w:cs="IRNazanin"/>
          <w:lang w:bidi="fa-IR"/>
          <w:color w:val="111111"/>
          <w:sz w:val="28"/>
          <w:szCs w:val="28"/>
          <w:rtl/>
        </w:rPr>
        <w:t xml:space="preserve">ص 533 .</w:t>
      </w:r>
    </w:p>
    <w:p>
      <w:pPr>
        <w:pStyle w:val="BookText"/>
      </w:pPr>
      <w:r>
        <w:rPr>
          <w:rFonts w:ascii="Amiri" w:hAnsi="Amiri" w:eastAsia="Amiri" w:cs="Amiri"/>
          <w:lang w:bidi="ar-SA"/>
          <w:color w:val="111111"/>
          <w:sz w:val="28"/>
          <w:szCs w:val="28"/>
          <w:rtl/>
        </w:rPr>
        <w:t xml:space="preserve">5 .المنظومة، ج 15، ص 713.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نجاح الناسك في ايضاح المناسك،</w:t>
      </w:r>
    </w:p>
    <w:p>
      <w:pPr>
        <w:pStyle w:val="BookText"/>
      </w:pPr>
      <w:r>
        <w:rPr>
          <w:rFonts w:ascii="IRNazanin" w:hAnsi="IRNazanin" w:eastAsia="IRNazanin" w:cs="IRNazanin"/>
          <w:lang w:bidi="fa-IR"/>
          <w:color w:val="111111"/>
          <w:sz w:val="28"/>
          <w:szCs w:val="28"/>
          <w:rtl/>
        </w:rPr>
        <w:t xml:space="preserve">ج 16، ص 153 .</w:t>
      </w:r>
    </w:p>
    <w:p>
      <w:pPr>
        <w:pStyle w:val="BookText"/>
      </w:pPr>
      <w:r>
        <w:rPr>
          <w:rFonts w:ascii="Amiri" w:hAnsi="Amiri" w:eastAsia="Amiri" w:cs="Amiri"/>
          <w:lang w:bidi="ar-SA"/>
          <w:color w:val="111111"/>
          <w:sz w:val="28"/>
          <w:szCs w:val="28"/>
          <w:rtl/>
        </w:rPr>
        <w:t xml:space="preserve">طيبي شيرازي ، محمود -طبسي ، محمود</w:t>
      </w:r>
    </w:p>
    <w:p>
      <w:pPr>
        <w:pStyle w:val="BookText"/>
      </w:pPr>
      <w:r>
        <w:rPr>
          <w:rFonts w:ascii="Amiri" w:hAnsi="Amiri" w:eastAsia="Amiri" w:cs="Amiri"/>
          <w:lang w:bidi="ar-SA"/>
          <w:color w:val="111111"/>
          <w:sz w:val="28"/>
          <w:szCs w:val="28"/>
          <w:rtl/>
        </w:rPr>
        <w:t xml:space="preserve">بن غلام علي</w:t>
      </w:r>
    </w:p>
    <w:p>
      <w:pPr>
        <w:pStyle w:val="BookText"/>
      </w:pPr>
      <w:r>
        <w:rPr>
          <w:rFonts w:ascii="Amiri" w:hAnsi="Amiri" w:eastAsia="Amiri" w:cs="Amiri"/>
          <w:lang w:bidi="ar-SA"/>
          <w:color w:val="111111"/>
          <w:sz w:val="28"/>
          <w:szCs w:val="28"/>
          <w:rtl/>
        </w:rPr>
        <w:t xml:space="preserve">طيبي ، علي -طيبي كراديسي ، علي</w:t>
      </w:r>
    </w:p>
    <w:p>
      <w:pPr>
        <w:pStyle w:val="Heading2"/>
      </w:pPr>
      <w:bookmarkStart w:id="5699" w:name="_Toc4801"/>
      <w:r>
        <w:t>طيبي ، فضل بن يحيى ، قرن 7 ه-</w:t>
      </w:r>
      <w:bookmarkEnd w:id="5699"/>
    </w:p>
    <w:p>
      <w:pPr>
        <w:pStyle w:val="BookText"/>
      </w:pPr>
      <w:r>
        <w:rPr>
          <w:rFonts w:ascii="Amiri" w:hAnsi="Amiri" w:eastAsia="Amiri" w:cs="Amiri"/>
          <w:lang w:bidi="ar-SA"/>
          <w:color w:val="111111"/>
          <w:sz w:val="28"/>
          <w:szCs w:val="28"/>
          <w:rtl/>
        </w:rPr>
        <w:t xml:space="preserve">الجزيرة الخضراء = حكاية جزيرة</w:t>
      </w:r>
    </w:p>
    <w:p>
      <w:pPr>
        <w:pStyle w:val="BookText"/>
      </w:pPr>
      <w:r>
        <w:rPr>
          <w:rFonts w:ascii="IRNazanin" w:hAnsi="IRNazanin" w:eastAsia="IRNazanin" w:cs="IRNazanin"/>
          <w:lang w:bidi="fa-IR"/>
          <w:color w:val="111111"/>
          <w:sz w:val="28"/>
          <w:szCs w:val="28"/>
          <w:rtl/>
        </w:rPr>
        <w:t xml:space="preserve">الخضراء، ج 5، ص 385.</w:t>
      </w:r>
    </w:p>
    <w:p>
      <w:pPr>
        <w:pStyle w:val="Heading2"/>
      </w:pPr>
      <w:bookmarkStart w:id="5700" w:name="_Toc4802"/>
      <w:r>
        <w:t>طيبي كراديسي ، علي</w:t>
      </w:r>
      <w:bookmarkEnd w:id="5700"/>
    </w:p>
    <w:p>
      <w:pPr>
        <w:pStyle w:val="BookText"/>
      </w:pPr>
      <w:r>
        <w:rPr>
          <w:rFonts w:ascii="Amiri" w:hAnsi="Amiri" w:eastAsia="Amiri" w:cs="Amiri"/>
          <w:lang w:bidi="ar-SA"/>
          <w:color w:val="111111"/>
          <w:sz w:val="28"/>
          <w:szCs w:val="28"/>
          <w:rtl/>
        </w:rPr>
        <w:t xml:space="preserve">العمل بخيط المساترة (رسالة في)</w:t>
      </w:r>
    </w:p>
    <w:p>
      <w:pPr>
        <w:pStyle w:val="BookText"/>
      </w:pPr>
      <w:r>
        <w:rPr>
          <w:rFonts w:ascii="IRNazanin" w:hAnsi="IRNazanin" w:eastAsia="IRNazanin" w:cs="IRNazanin"/>
          <w:lang w:bidi="fa-IR"/>
          <w:color w:val="111111"/>
          <w:sz w:val="28"/>
          <w:szCs w:val="28"/>
          <w:rtl/>
        </w:rPr>
        <w:t xml:space="preserve">ج 11، ص 312.</w:t>
      </w:r>
    </w:p>
    <w:p>
      <w:pPr>
        <w:pStyle w:val="BookText"/>
      </w:pPr>
      <w:r>
        <w:rPr>
          <w:rFonts w:ascii="Amiri" w:hAnsi="Amiri" w:eastAsia="Amiri" w:cs="Amiri"/>
          <w:lang w:bidi="ar-SA"/>
          <w:color w:val="111111"/>
          <w:sz w:val="28"/>
          <w:szCs w:val="28"/>
          <w:rtl/>
        </w:rPr>
        <w:t xml:space="preserve">طيفور ، احمد بن ابي طاهر- ابن ابي</w:t>
      </w:r>
    </w:p>
    <w:p>
      <w:pPr>
        <w:pStyle w:val="BookText"/>
      </w:pPr>
      <w:r>
        <w:rPr>
          <w:rFonts w:ascii="Amiri" w:hAnsi="Amiri" w:eastAsia="Amiri" w:cs="Amiri"/>
          <w:lang w:bidi="ar-SA"/>
          <w:color w:val="111111"/>
          <w:sz w:val="28"/>
          <w:szCs w:val="28"/>
          <w:rtl/>
        </w:rPr>
        <w:t xml:space="preserve">طاهر ، احمد بن ابي طاهر</w:t>
      </w:r>
    </w:p>
    <w:p>
      <w:pPr>
        <w:pStyle w:val="BookText"/>
      </w:pPr>
      <w:r>
        <w:rPr>
          <w:rFonts w:ascii="Amiri" w:hAnsi="Amiri" w:eastAsia="Amiri" w:cs="Amiri"/>
          <w:lang w:bidi="ar-SA"/>
          <w:color w:val="111111"/>
          <w:sz w:val="28"/>
          <w:szCs w:val="28"/>
          <w:rtl/>
        </w:rPr>
        <w:t xml:space="preserve">طيفور بن عيسى البسطامي -بايزيد بسطامي ، طيفور بن عيسى</w:t>
      </w:r>
    </w:p>
    <w:p>
      <w:pPr>
        <w:pStyle w:val="Heading2"/>
      </w:pPr>
      <w:bookmarkStart w:id="5701" w:name="_Toc4803"/>
      <w:r>
        <w:t>طيلوني مصري ، محمّد بن علاء الدين</w:t>
      </w:r>
      <w:bookmarkEnd w:id="5701"/>
    </w:p>
    <w:p>
      <w:pPr>
        <w:pStyle w:val="BookText"/>
      </w:pPr>
      <w:r>
        <w:rPr>
          <w:rFonts w:ascii="Amiri" w:hAnsi="Amiri" w:eastAsia="Amiri" w:cs="Amiri"/>
          <w:lang w:bidi="ar-SA"/>
          <w:color w:val="111111"/>
          <w:sz w:val="28"/>
          <w:szCs w:val="28"/>
          <w:rtl/>
        </w:rPr>
        <w:t xml:space="preserve">1 .الجفر (رسالة في)، ج 5، ص 393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معرفة الملوك والسلاطين والوزراء</w:t>
      </w:r>
    </w:p>
    <w:p>
      <w:pPr>
        <w:pStyle w:val="BookText"/>
      </w:pPr>
      <w:r>
        <w:rPr>
          <w:rFonts w:ascii="IRNazanin" w:hAnsi="IRNazanin" w:eastAsia="IRNazanin" w:cs="IRNazanin"/>
          <w:lang w:bidi="fa-IR"/>
          <w:color w:val="111111"/>
          <w:sz w:val="28"/>
          <w:szCs w:val="28"/>
          <w:rtl/>
        </w:rPr>
        <w:t xml:space="preserve">ج 15، ص 72.</w:t>
      </w:r>
    </w:p>
    <w:p>
      <w:pPr>
        <w:pStyle w:val="BookText"/>
      </w:pPr>
      <w:r>
        <w:rPr>
          <w:rFonts w:ascii="Amiri" w:hAnsi="Amiri" w:eastAsia="Amiri" w:cs="Amiri"/>
          <w:lang w:bidi="ar-SA"/>
          <w:color w:val="111111"/>
          <w:sz w:val="28"/>
          <w:szCs w:val="28"/>
          <w:rtl/>
        </w:rPr>
        <w:t xml:space="preserve">ظافر، ابن شمس الدين حسن- ابن ظافر</w:t>
      </w:r>
    </w:p>
    <w:p>
      <w:pPr>
        <w:pStyle w:val="BookText"/>
      </w:pPr>
      <w:r>
        <w:rPr>
          <w:rFonts w:ascii="Amiri" w:hAnsi="Amiri" w:eastAsia="Amiri" w:cs="Amiri"/>
          <w:lang w:bidi="ar-SA"/>
          <w:color w:val="111111"/>
          <w:sz w:val="28"/>
          <w:szCs w:val="28"/>
          <w:rtl/>
        </w:rPr>
        <w:t xml:space="preserve">ابن شمس الدين حسن</w:t>
      </w:r>
    </w:p>
    <w:p>
      <w:pPr>
        <w:pStyle w:val="BookText"/>
      </w:pPr>
      <w:r>
        <w:rPr>
          <w:rFonts w:ascii="Amiri" w:hAnsi="Amiri" w:eastAsia="Amiri" w:cs="Amiri"/>
          <w:lang w:bidi="ar-SA"/>
          <w:color w:val="111111"/>
          <w:sz w:val="28"/>
          <w:szCs w:val="28"/>
          <w:rtl/>
        </w:rPr>
        <w:t xml:space="preserve">ظافر بن قاسم الحداد الاسكندري- حداد ظافر بن قاسم</w:t>
      </w:r>
    </w:p>
    <w:p>
      <w:pPr>
        <w:pStyle w:val="BookText"/>
      </w:pPr>
      <w:r>
        <w:rPr>
          <w:rFonts w:ascii="Amiri" w:hAnsi="Amiri" w:eastAsia="Amiri" w:cs="Amiri"/>
          <w:lang w:bidi="ar-SA"/>
          <w:color w:val="111111"/>
          <w:sz w:val="28"/>
          <w:szCs w:val="28"/>
          <w:rtl/>
        </w:rPr>
        <w:t xml:space="preserve">ظالمي ، محمود بن محمّد -ذهب</w:t>
      </w:r>
    </w:p>
    <w:p>
      <w:pPr>
        <w:pStyle w:val="BookText"/>
      </w:pPr>
      <w:r>
        <w:rPr>
          <w:rFonts w:ascii="IRNazanin" w:hAnsi="IRNazanin" w:eastAsia="IRNazanin" w:cs="IRNazanin"/>
          <w:lang w:bidi="fa-IR"/>
          <w:color w:val="111111"/>
          <w:sz w:val="28"/>
          <w:szCs w:val="28"/>
          <w:rtl/>
        </w:rPr>
        <w:t xml:space="preserve">محمود بن محمّد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13" w:name="pg7742_70706"/>
    <w:bookmarkEnd w:id="713"/>
    <w:p>
      <w:pPr>
        <w:pStyle w:val="BookText"/>
      </w:pPr>
      <w:r>
        <w:rPr>
          <w:rFonts w:ascii="IRNazanin" w:hAnsi="IRNazanin" w:eastAsia="IRNazanin" w:cs="IRNazanin"/>
          <w:lang w:bidi="fa-IR"/>
          <w:color w:val="111111"/>
          <w:sz w:val="28"/>
          <w:szCs w:val="28"/>
          <w:rtl/>
        </w:rPr>
        <w:t xml:space="preserve">ظاهري، ابوبکر محمّد بن داود- ظاهري</w:t>
      </w:r>
    </w:p>
    <w:p>
      <w:pPr>
        <w:pStyle w:val="BookText"/>
      </w:pPr>
      <w:r>
        <w:rPr>
          <w:rFonts w:ascii="IRNazanin" w:hAnsi="IRNazanin" w:eastAsia="IRNazanin" w:cs="IRNazanin"/>
          <w:lang w:bidi="fa-IR"/>
          <w:color w:val="111111"/>
          <w:sz w:val="28"/>
          <w:szCs w:val="28"/>
          <w:rtl/>
        </w:rPr>
        <w:t xml:space="preserve">، محمّد بن داود</w:t>
      </w:r>
    </w:p>
    <w:p>
      <w:pPr>
        <w:pStyle w:val="BookText"/>
      </w:pPr>
      <w:r>
        <w:rPr>
          <w:rFonts w:ascii="Amiri" w:hAnsi="Amiri" w:eastAsia="Amiri" w:cs="Amiri"/>
          <w:lang w:bidi="ar-SA"/>
          <w:color w:val="111111"/>
          <w:sz w:val="28"/>
          <w:szCs w:val="28"/>
          <w:rtl/>
        </w:rPr>
        <w:t xml:space="preserve">ظاهري ، احمد بن سيف الدين بيبلبك -ابن بيلبك ، أحمد بن سيف الدين</w:t>
      </w:r>
    </w:p>
    <w:p>
      <w:pPr>
        <w:pStyle w:val="BookText"/>
      </w:pPr>
      <w:r>
        <w:rPr>
          <w:rFonts w:ascii="Amiri" w:hAnsi="Amiri" w:eastAsia="Amiri" w:cs="Amiri"/>
          <w:lang w:bidi="ar-SA"/>
          <w:color w:val="111111"/>
          <w:sz w:val="28"/>
          <w:szCs w:val="28"/>
          <w:rtl/>
        </w:rPr>
        <w:t xml:space="preserve">ظاهري ، غرس الدين خليل بن شاهين- ابن شاهين ، خليل بن شاهين</w:t>
      </w:r>
    </w:p>
    <w:p>
      <w:pPr>
        <w:pStyle w:val="BookText"/>
      </w:pPr>
      <w:r>
        <w:rPr>
          <w:rFonts w:ascii="IRNazanin" w:hAnsi="IRNazanin" w:eastAsia="IRNazanin" w:cs="IRNazanin"/>
          <w:lang w:bidi="fa-IR"/>
          <w:color w:val="111111"/>
          <w:sz w:val="28"/>
          <w:szCs w:val="28"/>
          <w:rtl/>
        </w:rPr>
        <w:t xml:space="preserve">255 ه-</w:t>
      </w:r>
    </w:p>
    <w:p>
      <w:pPr>
        <w:pStyle w:val="Heading2"/>
      </w:pPr>
      <w:bookmarkStart w:id="5702" w:name="_Toc4804"/>
      <w:r>
        <w:t>ظاهري، محمّد بن داود 255 - 297</w:t>
      </w:r>
      <w:bookmarkEnd w:id="5702"/>
    </w:p>
    <w:p>
      <w:pPr>
        <w:pStyle w:val="BookText"/>
      </w:pPr>
      <w:r>
        <w:rPr>
          <w:rFonts w:ascii="Amiri" w:hAnsi="Amiri" w:eastAsia="Amiri" w:cs="Amiri"/>
          <w:lang w:bidi="ar-SA"/>
          <w:color w:val="111111"/>
          <w:sz w:val="28"/>
          <w:szCs w:val="28"/>
          <w:rtl/>
        </w:rPr>
        <w:t xml:space="preserve">الزهرة، ج 8، ص 618 .</w:t>
      </w:r>
    </w:p>
    <w:p>
      <w:pPr>
        <w:pStyle w:val="Heading2"/>
      </w:pPr>
      <w:bookmarkStart w:id="5703" w:name="_Toc4805"/>
      <w:r>
        <w:t>ظريف اعظمي ، حسين</w:t>
      </w:r>
      <w:bookmarkEnd w:id="5703"/>
    </w:p>
    <w:p>
      <w:pPr>
        <w:pStyle w:val="BookText"/>
      </w:pPr>
      <w:r>
        <w:rPr>
          <w:rFonts w:ascii="Amiri" w:hAnsi="Amiri" w:eastAsia="Amiri" w:cs="Amiri"/>
          <w:lang w:bidi="ar-SA"/>
          <w:color w:val="111111"/>
          <w:sz w:val="28"/>
          <w:szCs w:val="28"/>
          <w:rtl/>
        </w:rPr>
        <w:t xml:space="preserve">مجموعة ظريف الأعظمي، ج 14، ص 43.</w:t>
      </w:r>
    </w:p>
    <w:p>
      <w:pPr>
        <w:pStyle w:val="BookText"/>
      </w:pPr>
      <w:r>
        <w:rPr>
          <w:rFonts w:ascii="Amiri" w:hAnsi="Amiri" w:eastAsia="Amiri" w:cs="Amiri"/>
          <w:lang w:bidi="ar-SA"/>
          <w:color w:val="111111"/>
          <w:sz w:val="28"/>
          <w:szCs w:val="28"/>
          <w:rtl/>
        </w:rPr>
        <w:t xml:space="preserve">ظريف بن الناصح - ظريف بن ناصح</w:t>
      </w:r>
    </w:p>
    <w:p>
      <w:pPr>
        <w:pStyle w:val="BookText"/>
      </w:pPr>
      <w:r>
        <w:rPr>
          <w:rFonts w:ascii="Amiri" w:hAnsi="Amiri" w:eastAsia="Amiri" w:cs="Amiri"/>
          <w:lang w:bidi="ar-SA"/>
          <w:color w:val="111111"/>
          <w:sz w:val="28"/>
          <w:szCs w:val="28"/>
          <w:rtl/>
        </w:rPr>
        <w:t xml:space="preserve">كوفي بغدادي</w:t>
      </w:r>
    </w:p>
    <w:p>
      <w:pPr>
        <w:pStyle w:val="BookText"/>
      </w:pPr>
      <w:r>
        <w:rPr>
          <w:rFonts w:ascii="Amiri" w:hAnsi="Amiri" w:eastAsia="Amiri" w:cs="Amiri"/>
          <w:lang w:bidi="ar-SA"/>
          <w:color w:val="111111"/>
          <w:sz w:val="28"/>
          <w:szCs w:val="28"/>
          <w:rtl/>
        </w:rPr>
        <w:t xml:space="preserve">ظريف بن ناصح -ظريف بن ناصح كوفي</w:t>
      </w:r>
    </w:p>
    <w:p>
      <w:pPr>
        <w:pStyle w:val="BookText"/>
      </w:pPr>
      <w:r>
        <w:rPr>
          <w:rFonts w:ascii="Amiri" w:hAnsi="Amiri" w:eastAsia="Amiri" w:cs="Amiri"/>
          <w:lang w:bidi="ar-SA"/>
          <w:color w:val="111111"/>
          <w:sz w:val="28"/>
          <w:szCs w:val="28"/>
          <w:rtl/>
        </w:rPr>
        <w:t xml:space="preserve">بغدادي</w:t>
      </w:r>
    </w:p>
    <w:p>
      <w:pPr>
        <w:pStyle w:val="Heading2"/>
      </w:pPr>
      <w:bookmarkStart w:id="5704" w:name="_Toc4806"/>
      <w:r>
        <w:t>ظريف بن ناصح كوفي بغدادي، قرن 3 ه-</w:t>
      </w:r>
      <w:bookmarkEnd w:id="5704"/>
    </w:p>
    <w:p>
      <w:pPr>
        <w:pStyle w:val="BookText"/>
      </w:pPr>
      <w:r>
        <w:rPr>
          <w:rFonts w:ascii="Amiri" w:hAnsi="Amiri" w:eastAsia="Amiri" w:cs="Amiri"/>
          <w:lang w:bidi="ar-SA"/>
          <w:color w:val="111111"/>
          <w:sz w:val="28"/>
          <w:szCs w:val="28"/>
          <w:rtl/>
        </w:rPr>
        <w:t xml:space="preserve">1 .اصل ظريف بن ناصح = اصل عبدالله بن جبر = كتاب الديات</w:t>
      </w:r>
    </w:p>
    <w:p>
      <w:pPr>
        <w:pStyle w:val="BookText"/>
      </w:pPr>
      <w:r>
        <w:rPr>
          <w:rFonts w:ascii="IRNazanin" w:hAnsi="IRNazanin" w:eastAsia="IRNazanin" w:cs="IRNazanin"/>
          <w:lang w:bidi="fa-IR"/>
          <w:color w:val="111111"/>
          <w:sz w:val="28"/>
          <w:szCs w:val="28"/>
          <w:rtl/>
        </w:rPr>
        <w:t xml:space="preserve">ج 2، ص390.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الديات، ج 7، ص 493.</w:t>
      </w:r>
    </w:p>
    <w:p>
      <w:pPr>
        <w:pStyle w:val="BookText"/>
      </w:pPr>
      <w:r>
        <w:rPr>
          <w:rFonts w:ascii="Amiri" w:hAnsi="Amiri" w:eastAsia="Amiri" w:cs="Amiri"/>
          <w:lang w:bidi="ar-SA"/>
          <w:color w:val="111111"/>
          <w:sz w:val="28"/>
          <w:szCs w:val="28"/>
          <w:rtl/>
        </w:rPr>
        <w:t xml:space="preserve">ظفاري ، محمّد- ظفاري ، محمّد بن</w:t>
      </w:r>
    </w:p>
    <w:p>
      <w:pPr>
        <w:pStyle w:val="BookText"/>
      </w:pPr>
      <w:r>
        <w:rPr>
          <w:rFonts w:ascii="IRNazanin" w:hAnsi="IRNazanin" w:eastAsia="IRNazanin" w:cs="IRNazanin"/>
          <w:lang w:bidi="fa-IR"/>
          <w:color w:val="111111"/>
          <w:sz w:val="28"/>
          <w:szCs w:val="28"/>
          <w:rtl/>
        </w:rPr>
        <w:t xml:space="preserve">عبدالله</w:t>
      </w:r>
    </w:p>
    <w:p>
      <w:pPr>
        <w:pStyle w:val="Heading2"/>
      </w:pPr>
      <w:bookmarkStart w:id="5705" w:name="_Toc4807"/>
      <w:r>
        <w:t>ظفاري ، محمّد بن عبدالله - 691 ه-</w:t>
      </w:r>
      <w:bookmarkEnd w:id="5705"/>
    </w:p>
    <w:p>
      <w:pPr>
        <w:pStyle w:val="BookText"/>
      </w:pPr>
      <w:r>
        <w:rPr>
          <w:rFonts w:ascii="Amiri" w:hAnsi="Amiri" w:eastAsia="Amiri" w:cs="Amiri"/>
          <w:lang w:bidi="ar-SA"/>
          <w:color w:val="111111"/>
          <w:sz w:val="28"/>
          <w:szCs w:val="28"/>
          <w:rtl/>
        </w:rPr>
        <w:t xml:space="preserve">تخميس قصيدة بانت سعاد ج4،</w:t>
      </w:r>
    </w:p>
    <w:p>
      <w:pPr>
        <w:pStyle w:val="BookText"/>
      </w:pPr>
      <w:r>
        <w:rPr>
          <w:rFonts w:ascii="IRNazanin" w:hAnsi="IRNazanin" w:eastAsia="IRNazanin" w:cs="IRNazanin"/>
          <w:lang w:bidi="fa-IR"/>
          <w:color w:val="111111"/>
          <w:sz w:val="28"/>
          <w:szCs w:val="28"/>
          <w:rtl/>
        </w:rPr>
        <w:t xml:space="preserve">ص 114.</w:t>
      </w:r>
    </w:p>
    <w:p>
      <w:pPr>
        <w:pStyle w:val="BookText"/>
      </w:pPr>
      <w:r>
        <w:rPr>
          <w:rFonts w:ascii="Amiri" w:hAnsi="Amiri" w:eastAsia="Amiri" w:cs="Amiri"/>
          <w:lang w:bidi="ar-SA"/>
          <w:color w:val="111111"/>
          <w:sz w:val="28"/>
          <w:szCs w:val="28"/>
          <w:rtl/>
        </w:rPr>
        <w:t xml:space="preserve">ظفري، علي بن عقيل -ابن عقيل ، علي</w:t>
      </w:r>
    </w:p>
    <w:p>
      <w:pPr>
        <w:pStyle w:val="BookText"/>
      </w:pPr>
      <w:r>
        <w:rPr>
          <w:rFonts w:ascii="Amiri" w:hAnsi="Amiri" w:eastAsia="Amiri" w:cs="Amiri"/>
          <w:lang w:bidi="ar-SA"/>
          <w:color w:val="111111"/>
          <w:sz w:val="28"/>
          <w:szCs w:val="28"/>
          <w:rtl/>
        </w:rPr>
        <w:t xml:space="preserve">بن عقيل</w:t>
      </w:r>
    </w:p>
    <w:p>
      <w:pPr>
        <w:pStyle w:val="Heading2"/>
      </w:pPr>
      <w:bookmarkStart w:id="5706" w:name="_Toc4808"/>
      <w:r>
        <w:t>ظفيري ، لطف الله بن محمّد غیاث</w:t>
      </w:r>
      <w:bookmarkEnd w:id="5706"/>
    </w:p>
    <w:p>
      <w:pPr>
        <w:pStyle w:val="BookText"/>
      </w:pPr>
      <w:r>
        <w:rPr>
          <w:rFonts w:ascii="IRNazanin" w:hAnsi="IRNazanin" w:eastAsia="IRNazanin" w:cs="IRNazanin"/>
          <w:lang w:bidi="fa-IR"/>
          <w:color w:val="111111"/>
          <w:sz w:val="28"/>
          <w:szCs w:val="28"/>
          <w:rtl/>
        </w:rPr>
        <w:t xml:space="preserve">1035ه-</w:t>
      </w:r>
    </w:p>
    <w:p>
      <w:pPr>
        <w:pStyle w:val="BookText"/>
      </w:pPr>
      <w:r>
        <w:rPr>
          <w:rFonts w:ascii="Amiri" w:hAnsi="Amiri" w:eastAsia="Amiri" w:cs="Amiri"/>
          <w:lang w:bidi="ar-SA"/>
          <w:color w:val="111111"/>
          <w:sz w:val="28"/>
          <w:szCs w:val="28"/>
          <w:rtl/>
        </w:rPr>
        <w:t xml:space="preserve">1 .الايجاز في علم الاعجاز، ج 3، ص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مختصر المعاني، ج 6، ص 362.</w:t>
      </w:r>
    </w:p>
    <w:p>
      <w:pPr>
        <w:pStyle w:val="BookText"/>
      </w:pPr>
      <w:r>
        <w:rPr>
          <w:rFonts w:ascii="Amiri" w:hAnsi="Amiri" w:eastAsia="Amiri" w:cs="Amiri"/>
          <w:lang w:bidi="ar-SA"/>
          <w:color w:val="111111"/>
          <w:sz w:val="28"/>
          <w:szCs w:val="28"/>
          <w:rtl/>
        </w:rPr>
        <w:t xml:space="preserve">3.المناهل الصافية لذوي العقول الصادية إلى كشف معاني الشافية</w:t>
      </w:r>
    </w:p>
    <w:p>
      <w:pPr>
        <w:pStyle w:val="BookText"/>
      </w:pPr>
      <w:r>
        <w:rPr>
          <w:rFonts w:ascii="IRNazanin" w:hAnsi="IRNazanin" w:eastAsia="IRNazanin" w:cs="IRNazanin"/>
          <w:lang w:bidi="fa-IR"/>
          <w:color w:val="111111"/>
          <w:sz w:val="28"/>
          <w:szCs w:val="28"/>
          <w:rtl/>
        </w:rPr>
        <w:t xml:space="preserve">ج 15، ص 577.</w:t>
      </w:r>
    </w:p>
    <w:p>
      <w:pPr>
        <w:pStyle w:val="Heading2"/>
      </w:pPr>
      <w:bookmarkStart w:id="5707" w:name="_Toc4809"/>
      <w:r>
        <w:t>ظهراني ، عبدالله</w:t>
      </w:r>
      <w:bookmarkEnd w:id="5707"/>
    </w:p>
    <w:p>
      <w:pPr>
        <w:pStyle w:val="BookText"/>
      </w:pPr>
      <w:r>
        <w:rPr>
          <w:rFonts w:ascii="Amiri" w:hAnsi="Amiri" w:eastAsia="Amiri" w:cs="Amiri"/>
          <w:lang w:bidi="ar-SA"/>
          <w:color w:val="111111"/>
          <w:sz w:val="28"/>
          <w:szCs w:val="28"/>
          <w:rtl/>
        </w:rPr>
        <w:t xml:space="preserve">تخميس قصيدة للشافعي، ج4،</w:t>
      </w:r>
    </w:p>
    <w:p>
      <w:pPr>
        <w:pStyle w:val="BookText"/>
      </w:pPr>
      <w:r>
        <w:rPr>
          <w:rFonts w:ascii="IRNazanin" w:hAnsi="IRNazanin" w:eastAsia="IRNazanin" w:cs="IRNazanin"/>
          <w:lang w:bidi="fa-IR"/>
          <w:color w:val="111111"/>
          <w:sz w:val="28"/>
          <w:szCs w:val="28"/>
          <w:rtl/>
        </w:rPr>
        <w:t xml:space="preserve">ص 139.</w:t>
      </w:r>
    </w:p>
    <w:p>
      <w:pPr>
        <w:pStyle w:val="Heading2"/>
      </w:pPr>
      <w:bookmarkStart w:id="5708" w:name="_Toc4810"/>
      <w:r>
        <w:t>ظهوري ترشيزي، نورالدین محمّد -</w:t>
      </w:r>
      <w:bookmarkEnd w:id="5708"/>
    </w:p>
    <w:p>
      <w:pPr>
        <w:pStyle w:val="BookText"/>
      </w:pPr>
      <w:r>
        <w:rPr>
          <w:rFonts w:ascii="IRNazanin" w:hAnsi="IRNazanin" w:eastAsia="IRNazanin" w:cs="IRNazanin"/>
          <w:lang w:bidi="fa-IR"/>
          <w:color w:val="111111"/>
          <w:sz w:val="28"/>
          <w:szCs w:val="28"/>
          <w:rtl/>
        </w:rPr>
        <w:t xml:space="preserve">1026؟ ه-</w:t>
      </w:r>
    </w:p>
    <w:p>
      <w:pPr>
        <w:pStyle w:val="BookText"/>
      </w:pPr>
      <w:r>
        <w:rPr>
          <w:rFonts w:ascii="IRNazanin" w:hAnsi="IRNazanin" w:eastAsia="IRNazanin" w:cs="IRNazanin"/>
          <w:lang w:bidi="fa-IR"/>
          <w:color w:val="111111"/>
          <w:sz w:val="28"/>
          <w:szCs w:val="28"/>
          <w:rtl/>
        </w:rPr>
        <w:t xml:space="preserve">1 .انشاء، ج 2، ص810.</w:t>
      </w:r>
    </w:p>
    <w:p>
      <w:pPr>
        <w:pStyle w:val="BookText"/>
      </w:pPr>
      <w:r>
        <w:rPr>
          <w:rFonts w:ascii="IRNazanin" w:hAnsi="IRNazanin" w:eastAsia="IRNazanin" w:cs="IRNazanin"/>
          <w:lang w:bidi="fa-IR"/>
          <w:color w:val="111111"/>
          <w:sz w:val="28"/>
          <w:szCs w:val="28"/>
          <w:rtl/>
        </w:rPr>
        <w:t xml:space="preserve">2 .گلزار ابراهیم - دیباچه گلزار</w:t>
      </w:r>
    </w:p>
    <w:p>
      <w:pPr>
        <w:pStyle w:val="BookText"/>
      </w:pPr>
      <w:r>
        <w:rPr>
          <w:rFonts w:ascii="IRNazanin" w:hAnsi="IRNazanin" w:eastAsia="IRNazanin" w:cs="IRNazanin"/>
          <w:lang w:bidi="fa-IR"/>
          <w:color w:val="111111"/>
          <w:sz w:val="28"/>
          <w:szCs w:val="28"/>
          <w:rtl/>
        </w:rPr>
        <w:t xml:space="preserve">ابراهیم، ج13، ص 498.</w:t>
      </w:r>
    </w:p>
    <w:p>
      <w:pPr>
        <w:pStyle w:val="BookText"/>
      </w:pPr>
      <w:r>
        <w:rPr>
          <w:rFonts w:ascii="Amiri" w:hAnsi="Amiri" w:eastAsia="Amiri" w:cs="Amiri"/>
          <w:lang w:bidi="ar-SA"/>
          <w:color w:val="111111"/>
          <w:sz w:val="28"/>
          <w:szCs w:val="28"/>
          <w:rtl/>
        </w:rPr>
        <w:t xml:space="preserve">ظهوري ، محمّد بن احمد- فاروقي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5709" w:name="_Toc4811"/>
      <w:r>
        <w:t>ظهوري ، محمّد بن احمد، 728 - 791</w:t>
      </w:r>
      <w:bookmarkEnd w:id="5709"/>
    </w:p>
    <w:p>
      <w:pPr>
        <w:pStyle w:val="BookText"/>
      </w:pPr>
      <w:r>
        <w:rPr>
          <w:rFonts w:ascii="Amiri" w:hAnsi="Amiri" w:eastAsia="Amiri" w:cs="Amiri"/>
          <w:lang w:bidi="ar-SA"/>
          <w:color w:val="111111"/>
          <w:sz w:val="28"/>
          <w:szCs w:val="28"/>
          <w:rtl/>
        </w:rPr>
        <w:t xml:space="preserve">1 .الاوراد البهائية = اوراد و ادعية</w:t>
      </w:r>
    </w:p>
    <w:p>
      <w:pPr>
        <w:pStyle w:val="BookText"/>
      </w:pPr>
      <w:r>
        <w:rPr>
          <w:rFonts w:ascii="IRNazanin" w:hAnsi="IRNazanin" w:eastAsia="IRNazanin" w:cs="IRNazanin"/>
          <w:lang w:bidi="fa-IR"/>
          <w:color w:val="111111"/>
          <w:sz w:val="28"/>
          <w:szCs w:val="28"/>
          <w:rtl/>
        </w:rPr>
        <w:t xml:space="preserve">ج 3، ص 64 .</w:t>
      </w:r>
    </w:p>
    <w:p>
      <w:pPr>
        <w:pStyle w:val="BookText"/>
      </w:pPr>
      <w:r>
        <w:rPr>
          <w:rFonts w:ascii="Amiri" w:hAnsi="Amiri" w:eastAsia="Amiri" w:cs="Amiri"/>
          <w:lang w:bidi="ar-SA"/>
          <w:color w:val="111111"/>
          <w:sz w:val="28"/>
          <w:szCs w:val="28"/>
          <w:rtl/>
        </w:rPr>
        <w:t xml:space="preserve">2 .تنبيه الغافلين، ج 5، ص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ظهوري، ج 7، ص 702.</w:t>
      </w:r>
    </w:p>
    <w:p>
      <w:pPr>
        <w:pStyle w:val="BookText"/>
      </w:pPr>
      <w:r>
        <w:rPr>
          <w:rFonts w:ascii="Amiri" w:hAnsi="Amiri" w:eastAsia="Amiri" w:cs="Amiri"/>
          <w:lang w:bidi="ar-SA"/>
          <w:color w:val="111111"/>
          <w:sz w:val="28"/>
          <w:szCs w:val="28"/>
          <w:rtl/>
        </w:rPr>
        <w:t xml:space="preserve">ظهوري ، نورالدين محمّد- ظهوري</w:t>
      </w:r>
    </w:p>
    <w:p>
      <w:pPr>
        <w:pStyle w:val="BookText"/>
      </w:pPr>
      <w:r>
        <w:rPr>
          <w:rFonts w:ascii="Amiri" w:hAnsi="Amiri" w:eastAsia="Amiri" w:cs="Amiri"/>
          <w:lang w:bidi="ar-SA"/>
          <w:color w:val="111111"/>
          <w:sz w:val="28"/>
          <w:szCs w:val="28"/>
          <w:rtl/>
        </w:rPr>
        <w:t xml:space="preserve">ترشيزي ، نورالدين محمّد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14" w:name="pg7742_70707"/>
    <w:bookmarkEnd w:id="714"/>
    <w:p>
      <w:pPr>
        <w:pStyle w:val="BookText"/>
      </w:pPr>
      <w:r>
        <w:rPr>
          <w:rFonts w:ascii="Amiri" w:hAnsi="Amiri" w:eastAsia="Amiri" w:cs="Amiri"/>
          <w:lang w:bidi="ar-SA"/>
          <w:color w:val="111111"/>
          <w:sz w:val="28"/>
          <w:szCs w:val="28"/>
          <w:rtl/>
        </w:rPr>
        <w:t xml:space="preserve">ظهير الدين كازروني ، علي بن</w:t>
      </w:r>
    </w:p>
    <w:p>
      <w:pPr>
        <w:pStyle w:val="BookText"/>
      </w:pPr>
      <w:r>
        <w:rPr>
          <w:rFonts w:ascii="IRNazanin" w:hAnsi="IRNazanin" w:eastAsia="IRNazanin" w:cs="IRNazanin"/>
          <w:lang w:bidi="fa-IR"/>
          <w:color w:val="111111"/>
          <w:sz w:val="28"/>
          <w:szCs w:val="28"/>
          <w:rtl/>
        </w:rPr>
        <w:t xml:space="preserve">محمّد- کازروني ، علي بن محمّد</w:t>
      </w:r>
    </w:p>
    <w:p>
      <w:pPr>
        <w:pStyle w:val="BookText"/>
      </w:pPr>
      <w:r>
        <w:rPr>
          <w:rFonts w:ascii="Amiri" w:hAnsi="Amiri" w:eastAsia="Amiri" w:cs="Amiri"/>
          <w:lang w:bidi="ar-SA"/>
          <w:color w:val="111111"/>
          <w:sz w:val="28"/>
          <w:szCs w:val="28"/>
          <w:rtl/>
        </w:rPr>
        <w:t xml:space="preserve">ظهير حسيني استرآبادي ، محمّد تقي بن</w:t>
      </w:r>
    </w:p>
    <w:p>
      <w:pPr>
        <w:pStyle w:val="BookText"/>
      </w:pPr>
      <w:r>
        <w:rPr>
          <w:rFonts w:ascii="Amiri" w:hAnsi="Amiri" w:eastAsia="Amiri" w:cs="Amiri"/>
          <w:lang w:bidi="ar-SA"/>
          <w:color w:val="111111"/>
          <w:sz w:val="28"/>
          <w:szCs w:val="28"/>
          <w:rtl/>
        </w:rPr>
        <w:t xml:space="preserve">حسن -حسيني استرآبادي، محمّد تقي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ظهير ، طاهر بن محمّد- ظهير فاريابي ،</w:t>
      </w:r>
    </w:p>
    <w:p>
      <w:pPr>
        <w:pStyle w:val="BookText"/>
      </w:pPr>
      <w:r>
        <w:rPr>
          <w:rFonts w:ascii="IRNazanin" w:hAnsi="IRNazanin" w:eastAsia="IRNazanin" w:cs="IRNazanin"/>
          <w:lang w:bidi="fa-IR"/>
          <w:color w:val="111111"/>
          <w:sz w:val="28"/>
          <w:szCs w:val="28"/>
          <w:rtl/>
        </w:rPr>
        <w:t xml:space="preserve">طاهر بن محمّد</w:t>
      </w:r>
    </w:p>
    <w:p>
      <w:pPr>
        <w:pStyle w:val="BookText"/>
      </w:pPr>
      <w:r>
        <w:rPr>
          <w:rFonts w:ascii="Amiri" w:hAnsi="Amiri" w:eastAsia="Amiri" w:cs="Amiri"/>
          <w:lang w:bidi="ar-SA"/>
          <w:color w:val="111111"/>
          <w:sz w:val="28"/>
          <w:szCs w:val="28"/>
          <w:rtl/>
        </w:rPr>
        <w:t xml:space="preserve">ظهير فاريابي ، ابوالفضل طاهر بن محمّد- ظهير فاريابي ، طاهر بن محمّد</w:t>
      </w:r>
    </w:p>
    <w:p>
      <w:pPr>
        <w:pStyle w:val="Heading2"/>
      </w:pPr>
      <w:bookmarkStart w:id="5710" w:name="_Toc4812"/>
      <w:r>
        <w:t>ظهير فاريابي ، طاهر بن محمّد - 598 ه-</w:t>
      </w:r>
      <w:bookmarkEnd w:id="5710"/>
    </w:p>
    <w:p>
      <w:pPr>
        <w:pStyle w:val="BookText"/>
      </w:pPr>
      <w:r>
        <w:rPr>
          <w:rFonts w:ascii="IRNazanin" w:hAnsi="IRNazanin" w:eastAsia="IRNazanin" w:cs="IRNazanin"/>
          <w:lang w:bidi="fa-IR"/>
          <w:color w:val="111111"/>
          <w:sz w:val="28"/>
          <w:szCs w:val="28"/>
          <w:rtl/>
        </w:rPr>
        <w:t xml:space="preserve">دیوان ظهیر فاريابي، ج 7، ص702.</w:t>
      </w:r>
    </w:p>
    <w:p>
      <w:pPr>
        <w:pStyle w:val="BookText"/>
      </w:pPr>
      <w:r>
        <w:rPr>
          <w:rFonts w:ascii="Amiri" w:hAnsi="Amiri" w:eastAsia="Amiri" w:cs="Amiri"/>
          <w:lang w:bidi="ar-SA"/>
          <w:color w:val="111111"/>
          <w:sz w:val="28"/>
          <w:szCs w:val="28"/>
          <w:rtl/>
        </w:rPr>
        <w:t xml:space="preserve">ظهيري، محمّد -ابن ظهير ، محمّد</w:t>
      </w:r>
    </w:p>
    <w:p>
      <w:pPr>
        <w:pStyle w:val="BookText"/>
      </w:pPr>
      <w:r>
        <w:rPr>
          <w:rFonts w:ascii="Amiri" w:hAnsi="Amiri" w:eastAsia="Amiri" w:cs="Amiri"/>
          <w:lang w:bidi="ar-SA"/>
          <w:color w:val="111111"/>
          <w:sz w:val="28"/>
          <w:szCs w:val="28"/>
          <w:rtl/>
        </w:rPr>
        <w:t xml:space="preserve">عائدي ، حسين بن علي</w:t>
      </w:r>
    </w:p>
    <w:p>
      <w:pPr>
        <w:pStyle w:val="BookText"/>
      </w:pPr>
      <w:r>
        <w:rPr>
          <w:rFonts w:ascii="Amiri" w:hAnsi="Amiri" w:eastAsia="Amiri" w:cs="Amiri"/>
          <w:lang w:bidi="ar-SA"/>
          <w:color w:val="111111"/>
          <w:sz w:val="28"/>
          <w:szCs w:val="28"/>
          <w:rtl/>
        </w:rPr>
        <w:t xml:space="preserve">شرح ديوان ذي الرمة، ج 9، ص 489.</w:t>
      </w:r>
    </w:p>
    <w:p>
      <w:pPr>
        <w:pStyle w:val="BookText"/>
      </w:pPr>
      <w:r>
        <w:rPr>
          <w:rFonts w:ascii="Amiri" w:hAnsi="Amiri" w:eastAsia="Amiri" w:cs="Amiri"/>
          <w:lang w:bidi="ar-SA"/>
          <w:color w:val="111111"/>
          <w:sz w:val="28"/>
          <w:szCs w:val="28"/>
          <w:rtl/>
        </w:rPr>
        <w:t xml:space="preserve">عائذ بن محصن- مثقب عبدي ، عائذ بن</w:t>
      </w:r>
    </w:p>
    <w:p>
      <w:pPr>
        <w:pStyle w:val="BookText"/>
      </w:pPr>
      <w:r>
        <w:rPr>
          <w:rFonts w:ascii="IRNazanin" w:hAnsi="IRNazanin" w:eastAsia="IRNazanin" w:cs="IRNazanin"/>
          <w:lang w:bidi="fa-IR"/>
          <w:color w:val="111111"/>
          <w:sz w:val="28"/>
          <w:szCs w:val="28"/>
          <w:rtl/>
        </w:rPr>
        <w:t xml:space="preserve">محصن</w:t>
      </w:r>
    </w:p>
    <w:p>
      <w:pPr>
        <w:pStyle w:val="BookText"/>
      </w:pPr>
      <w:r>
        <w:rPr>
          <w:rFonts w:ascii="Amiri" w:hAnsi="Amiri" w:eastAsia="Amiri" w:cs="Amiri"/>
          <w:lang w:bidi="ar-SA"/>
          <w:color w:val="111111"/>
          <w:sz w:val="28"/>
          <w:szCs w:val="28"/>
          <w:rtl/>
        </w:rPr>
        <w:t xml:space="preserve">عائشه بنت يوسف باعونيه- باعونيه ،</w:t>
      </w:r>
    </w:p>
    <w:p>
      <w:pPr>
        <w:pStyle w:val="BookText"/>
      </w:pPr>
      <w:r>
        <w:rPr>
          <w:rFonts w:ascii="Amiri" w:hAnsi="Amiri" w:eastAsia="Amiri" w:cs="Amiri"/>
          <w:lang w:bidi="ar-SA"/>
          <w:color w:val="111111"/>
          <w:sz w:val="28"/>
          <w:szCs w:val="28"/>
          <w:rtl/>
        </w:rPr>
        <w:t xml:space="preserve">عائشه بنت يوسف</w:t>
      </w:r>
    </w:p>
    <w:p>
      <w:pPr>
        <w:pStyle w:val="BookText"/>
      </w:pPr>
      <w:r>
        <w:rPr>
          <w:rFonts w:ascii="Amiri" w:hAnsi="Amiri" w:eastAsia="Amiri" w:cs="Amiri"/>
          <w:lang w:bidi="ar-SA"/>
          <w:color w:val="111111"/>
          <w:sz w:val="28"/>
          <w:szCs w:val="28"/>
          <w:rtl/>
        </w:rPr>
        <w:t xml:space="preserve">عابد بن داوود كشميري -كشميري ، عابد</w:t>
      </w:r>
    </w:p>
    <w:p>
      <w:pPr>
        <w:pStyle w:val="BookText"/>
      </w:pPr>
      <w:r>
        <w:rPr>
          <w:rFonts w:ascii="IRNazanin" w:hAnsi="IRNazanin" w:eastAsia="IRNazanin" w:cs="IRNazanin"/>
          <w:lang w:bidi="fa-IR"/>
          <w:color w:val="111111"/>
          <w:sz w:val="28"/>
          <w:szCs w:val="28"/>
          <w:rtl/>
        </w:rPr>
        <w:t xml:space="preserve">بن داوود</w:t>
      </w:r>
    </w:p>
    <w:p>
      <w:pPr>
        <w:pStyle w:val="BookText"/>
      </w:pPr>
      <w:r>
        <w:rPr>
          <w:rFonts w:ascii="Amiri" w:hAnsi="Amiri" w:eastAsia="Amiri" w:cs="Amiri"/>
          <w:lang w:bidi="ar-SA"/>
          <w:color w:val="111111"/>
          <w:sz w:val="28"/>
          <w:szCs w:val="28"/>
          <w:rtl/>
        </w:rPr>
        <w:t xml:space="preserve">عائشه بنت يوسف باعونيه- باعونيه ،</w:t>
      </w:r>
    </w:p>
    <w:p>
      <w:pPr>
        <w:pStyle w:val="BookText"/>
      </w:pPr>
      <w:r>
        <w:rPr>
          <w:rFonts w:ascii="Amiri" w:hAnsi="Amiri" w:eastAsia="Amiri" w:cs="Amiri"/>
          <w:lang w:bidi="ar-SA"/>
          <w:color w:val="111111"/>
          <w:sz w:val="28"/>
          <w:szCs w:val="28"/>
          <w:rtl/>
        </w:rPr>
        <w:t xml:space="preserve">عائشه بنت يوسف</w:t>
      </w:r>
    </w:p>
    <w:p>
      <w:pPr>
        <w:pStyle w:val="BookText"/>
      </w:pPr>
      <w:r>
        <w:rPr>
          <w:rFonts w:ascii="Amiri" w:hAnsi="Amiri" w:eastAsia="Amiri" w:cs="Amiri"/>
          <w:lang w:bidi="ar-SA"/>
          <w:color w:val="111111"/>
          <w:sz w:val="28"/>
          <w:szCs w:val="28"/>
          <w:rtl/>
        </w:rPr>
        <w:t xml:space="preserve">عابد بن داوود كشميري -كشميري ، عابد</w:t>
      </w:r>
    </w:p>
    <w:p>
      <w:pPr>
        <w:pStyle w:val="BookText"/>
      </w:pPr>
      <w:r>
        <w:rPr>
          <w:rFonts w:ascii="IRNazanin" w:hAnsi="IRNazanin" w:eastAsia="IRNazanin" w:cs="IRNazanin"/>
          <w:lang w:bidi="fa-IR"/>
          <w:color w:val="111111"/>
          <w:sz w:val="28"/>
          <w:szCs w:val="28"/>
          <w:rtl/>
        </w:rPr>
        <w:t xml:space="preserve">بن داوود</w:t>
      </w:r>
    </w:p>
    <w:p>
      <w:pPr>
        <w:pStyle w:val="BookText"/>
      </w:pPr>
      <w:r>
        <w:rPr>
          <w:rFonts w:ascii="IRNazanin" w:hAnsi="IRNazanin" w:eastAsia="IRNazanin" w:cs="IRNazanin"/>
          <w:lang w:bidi="fa-IR"/>
          <w:color w:val="111111"/>
          <w:sz w:val="28"/>
          <w:szCs w:val="28"/>
          <w:rtl/>
        </w:rPr>
        <w:t xml:space="preserve">عابد حسين بن بخش حسين سهارنپوري- سهارنپوري ، عابد حسین بن</w:t>
      </w:r>
    </w:p>
    <w:p>
      <w:pPr>
        <w:pStyle w:val="BookText"/>
      </w:pPr>
      <w:r>
        <w:rPr>
          <w:rFonts w:ascii="IRNazanin" w:hAnsi="IRNazanin" w:eastAsia="IRNazanin" w:cs="IRNazanin"/>
          <w:lang w:bidi="fa-IR"/>
          <w:color w:val="111111"/>
          <w:sz w:val="28"/>
          <w:szCs w:val="28"/>
          <w:rtl/>
        </w:rPr>
        <w:t xml:space="preserve">بخش حسین</w:t>
      </w:r>
    </w:p>
    <w:p>
      <w:pPr>
        <w:pStyle w:val="BookText"/>
      </w:pPr>
      <w:r>
        <w:rPr>
          <w:rFonts w:ascii="Amiri" w:hAnsi="Amiri" w:eastAsia="Amiri" w:cs="Amiri"/>
          <w:lang w:bidi="ar-SA"/>
          <w:color w:val="111111"/>
          <w:sz w:val="28"/>
          <w:szCs w:val="28"/>
          <w:rtl/>
        </w:rPr>
        <w:t xml:space="preserve">عابد سليمان مشوخي -مشوخي ، عابد</w:t>
      </w:r>
    </w:p>
    <w:p>
      <w:pPr>
        <w:pStyle w:val="BookText"/>
      </w:pPr>
      <w:r>
        <w:rPr>
          <w:rFonts w:ascii="Amiri" w:hAnsi="Amiri" w:eastAsia="Amiri" w:cs="Amiri"/>
          <w:lang w:bidi="ar-SA"/>
          <w:color w:val="111111"/>
          <w:sz w:val="28"/>
          <w:szCs w:val="28"/>
          <w:rtl/>
        </w:rPr>
        <w:t xml:space="preserve">سليمان</w:t>
      </w:r>
    </w:p>
    <w:p>
      <w:pPr>
        <w:pStyle w:val="BookText"/>
      </w:pPr>
      <w:r>
        <w:rPr>
          <w:rFonts w:ascii="Amiri" w:hAnsi="Amiri" w:eastAsia="Amiri" w:cs="Amiri"/>
          <w:lang w:bidi="ar-SA"/>
          <w:color w:val="111111"/>
          <w:sz w:val="28"/>
          <w:szCs w:val="28"/>
          <w:rtl/>
        </w:rPr>
        <w:t xml:space="preserve">عابدي، سليمان بن علي- تلمساني ، سليمان بن علي</w:t>
      </w:r>
    </w:p>
    <w:p>
      <w:pPr>
        <w:pStyle w:val="Heading2"/>
      </w:pPr>
      <w:bookmarkStart w:id="5711" w:name="_Toc4813"/>
      <w:r>
        <w:t>عابدين ، محمّد قرن 13 ه-</w:t>
      </w:r>
      <w:bookmarkEnd w:id="5711"/>
    </w:p>
    <w:p>
      <w:pPr>
        <w:pStyle w:val="BookText"/>
      </w:pPr>
      <w:r>
        <w:rPr>
          <w:rFonts w:ascii="Amiri" w:hAnsi="Amiri" w:eastAsia="Amiri" w:cs="Amiri"/>
          <w:lang w:bidi="ar-SA"/>
          <w:color w:val="111111"/>
          <w:sz w:val="28"/>
          <w:szCs w:val="28"/>
          <w:rtl/>
        </w:rPr>
        <w:t xml:space="preserve">نشر العرف في بناء بعض الاحكام على</w:t>
      </w:r>
    </w:p>
    <w:p>
      <w:pPr>
        <w:pStyle w:val="BookText"/>
      </w:pPr>
      <w:r>
        <w:rPr>
          <w:rFonts w:ascii="IRNazanin" w:hAnsi="IRNazanin" w:eastAsia="IRNazanin" w:cs="IRNazanin"/>
          <w:lang w:bidi="fa-IR"/>
          <w:color w:val="111111"/>
          <w:sz w:val="28"/>
          <w:szCs w:val="28"/>
          <w:rtl/>
        </w:rPr>
        <w:t xml:space="preserve">العرف، ج 16، ص 287.</w:t>
      </w:r>
    </w:p>
    <w:p>
      <w:pPr>
        <w:pStyle w:val="BookText"/>
      </w:pPr>
      <w:r>
        <w:rPr>
          <w:rFonts w:ascii="IRNazanin" w:hAnsi="IRNazanin" w:eastAsia="IRNazanin" w:cs="IRNazanin"/>
          <w:lang w:bidi="fa-IR"/>
          <w:color w:val="111111"/>
          <w:sz w:val="28"/>
          <w:szCs w:val="28"/>
          <w:rtl/>
        </w:rPr>
        <w:t xml:space="preserve">عابدین ، محمّد امين بن عمر -ابن</w:t>
      </w:r>
    </w:p>
    <w:p>
      <w:pPr>
        <w:pStyle w:val="BookText"/>
      </w:pPr>
      <w:r>
        <w:rPr>
          <w:rFonts w:ascii="IRNazanin" w:hAnsi="IRNazanin" w:eastAsia="IRNazanin" w:cs="IRNazanin"/>
          <w:lang w:bidi="fa-IR"/>
          <w:color w:val="111111"/>
          <w:sz w:val="28"/>
          <w:szCs w:val="28"/>
          <w:rtl/>
        </w:rPr>
        <w:t xml:space="preserve">عابدين ، محمّد امین بن عمر</w:t>
      </w:r>
    </w:p>
    <w:p>
      <w:pPr>
        <w:pStyle w:val="BookText"/>
      </w:pPr>
      <w:r>
        <w:rPr>
          <w:rFonts w:ascii="Amiri" w:hAnsi="Amiri" w:eastAsia="Amiri" w:cs="Amiri"/>
          <w:lang w:bidi="ar-SA"/>
          <w:color w:val="111111"/>
          <w:sz w:val="28"/>
          <w:szCs w:val="28"/>
          <w:rtl/>
        </w:rPr>
        <w:t xml:space="preserve">عابر بن محمّد انصاري- انصاري ، عابر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عاتكي ، علي بن يوسف- بصروي ، علي بن</w:t>
      </w:r>
    </w:p>
    <w:p>
      <w:pPr>
        <w:pStyle w:val="BookText"/>
      </w:pPr>
      <w:r>
        <w:rPr>
          <w:rFonts w:ascii="Amiri" w:hAnsi="Amiri" w:eastAsia="Amiri" w:cs="Amiri"/>
          <w:lang w:bidi="ar-SA"/>
          <w:color w:val="111111"/>
          <w:sz w:val="28"/>
          <w:szCs w:val="28"/>
          <w:rtl/>
        </w:rPr>
        <w:t xml:space="preserve">يوسف</w:t>
      </w:r>
    </w:p>
    <w:p>
      <w:pPr>
        <w:pStyle w:val="Heading2"/>
      </w:pPr>
      <w:bookmarkStart w:id="5712" w:name="_Toc4814"/>
      <w:r>
        <w:t>عارضي ، معمر بن عمر، قرن 8 ه-</w:t>
      </w:r>
      <w:bookmarkEnd w:id="5712"/>
    </w:p>
    <w:p>
      <w:pPr>
        <w:pStyle w:val="BookText"/>
      </w:pPr>
      <w:r>
        <w:rPr>
          <w:rFonts w:ascii="Amiri" w:hAnsi="Amiri" w:eastAsia="Amiri" w:cs="Amiri"/>
          <w:lang w:bidi="ar-SA"/>
          <w:color w:val="111111"/>
          <w:sz w:val="28"/>
          <w:szCs w:val="28"/>
          <w:rtl/>
        </w:rPr>
        <w:t xml:space="preserve">الكفاية في الطب، ج13، ص 326.</w:t>
      </w:r>
    </w:p>
    <w:p>
      <w:pPr>
        <w:pStyle w:val="Heading2"/>
      </w:pPr>
      <w:bookmarkStart w:id="5713" w:name="_Toc4815"/>
      <w:r>
        <w:t>عارف بالله ، محمّد بن عمر قرن 14 ه-</w:t>
      </w:r>
      <w:bookmarkEnd w:id="5713"/>
    </w:p>
    <w:p>
      <w:pPr>
        <w:pStyle w:val="BookText"/>
      </w:pPr>
      <w:r>
        <w:rPr>
          <w:rFonts w:ascii="Amiri" w:hAnsi="Amiri" w:eastAsia="Amiri" w:cs="Amiri"/>
          <w:lang w:bidi="ar-SA"/>
          <w:color w:val="111111"/>
          <w:sz w:val="28"/>
          <w:szCs w:val="28"/>
          <w:rtl/>
        </w:rPr>
        <w:t xml:space="preserve">سهام الربط في المخمس الخالي الوسط</w:t>
      </w:r>
    </w:p>
    <w:p>
      <w:pPr>
        <w:pStyle w:val="BookText"/>
      </w:pPr>
      <w:r>
        <w:rPr>
          <w:rFonts w:ascii="IRNazanin" w:hAnsi="IRNazanin" w:eastAsia="IRNazanin" w:cs="IRNazanin"/>
          <w:lang w:bidi="fa-IR"/>
          <w:color w:val="111111"/>
          <w:sz w:val="28"/>
          <w:szCs w:val="28"/>
          <w:rtl/>
        </w:rPr>
        <w:t xml:space="preserve">ج 8، ص 850.</w:t>
      </w:r>
    </w:p>
    <w:p>
      <w:pPr>
        <w:pStyle w:val="BookText"/>
      </w:pPr>
      <w:r>
        <w:rPr>
          <w:rFonts w:ascii="IRNazanin" w:hAnsi="IRNazanin" w:eastAsia="IRNazanin" w:cs="IRNazanin"/>
          <w:lang w:bidi="fa-IR"/>
          <w:color w:val="111111"/>
          <w:sz w:val="28"/>
          <w:szCs w:val="28"/>
          <w:rtl/>
        </w:rPr>
        <w:t xml:space="preserve">عارف چشتي -گيسو دراز ، محمّد بن</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عارف شيرازي ، شاه محمّد- دارابي ، شاه</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عاري- سديد السلطنه ، محمّد علي بن</w:t>
      </w:r>
    </w:p>
    <w:p>
      <w:pPr>
        <w:pStyle w:val="BookText"/>
      </w:pPr>
      <w:r>
        <w:rPr>
          <w:rFonts w:ascii="IRNazanin" w:hAnsi="IRNazanin" w:eastAsia="IRNazanin" w:cs="IRNazanin"/>
          <w:lang w:bidi="fa-IR"/>
          <w:color w:val="111111"/>
          <w:sz w:val="28"/>
          <w:szCs w:val="28"/>
          <w:rtl/>
        </w:rPr>
        <w:t xml:space="preserve">احمد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15" w:name="pg7742_70708"/>
    <w:bookmarkEnd w:id="715"/>
    <w:p>
      <w:pPr>
        <w:pStyle w:val="BookText"/>
      </w:pPr>
      <w:r>
        <w:rPr>
          <w:rFonts w:ascii="Amiri" w:hAnsi="Amiri" w:eastAsia="Amiri" w:cs="Amiri"/>
          <w:lang w:bidi="ar-SA"/>
          <w:color w:val="111111"/>
          <w:sz w:val="28"/>
          <w:szCs w:val="28"/>
          <w:rtl/>
        </w:rPr>
        <w:t xml:space="preserve">عاز محمّد كمرائي -كمرائي ، غاز محمّد</w:t>
      </w:r>
    </w:p>
    <w:p>
      <w:pPr>
        <w:pStyle w:val="BookText"/>
      </w:pPr>
      <w:r>
        <w:rPr>
          <w:rFonts w:ascii="Amiri" w:hAnsi="Amiri" w:eastAsia="Amiri" w:cs="Amiri"/>
          <w:lang w:bidi="ar-SA"/>
          <w:color w:val="111111"/>
          <w:sz w:val="28"/>
          <w:szCs w:val="28"/>
          <w:rtl/>
        </w:rPr>
        <w:t xml:space="preserve">عاشق ، احمد بن لطف الله- منجم باشي</w:t>
      </w:r>
    </w:p>
    <w:p>
      <w:pPr>
        <w:pStyle w:val="BookText"/>
      </w:pPr>
      <w:r>
        <w:rPr>
          <w:rFonts w:ascii="IRNazanin" w:hAnsi="IRNazanin" w:eastAsia="IRNazanin" w:cs="IRNazanin"/>
          <w:lang w:bidi="fa-IR"/>
          <w:color w:val="111111"/>
          <w:sz w:val="28"/>
          <w:szCs w:val="28"/>
          <w:rtl/>
        </w:rPr>
        <w:t xml:space="preserve">احمد بن لطف الله</w:t>
      </w:r>
    </w:p>
    <w:p>
      <w:pPr>
        <w:pStyle w:val="Heading2"/>
      </w:pPr>
      <w:bookmarkStart w:id="5714" w:name="_Toc4816"/>
      <w:r>
        <w:t>عاشق اصفهاني ، محمّد، 1101 - 1181 ه-</w:t>
      </w:r>
      <w:bookmarkEnd w:id="5714"/>
    </w:p>
    <w:p>
      <w:pPr>
        <w:pStyle w:val="BookText"/>
      </w:pPr>
      <w:r>
        <w:rPr>
          <w:rFonts w:ascii="IRNazanin" w:hAnsi="IRNazanin" w:eastAsia="IRNazanin" w:cs="IRNazanin"/>
          <w:lang w:bidi="fa-IR"/>
          <w:color w:val="111111"/>
          <w:sz w:val="28"/>
          <w:szCs w:val="28"/>
          <w:rtl/>
        </w:rPr>
        <w:t xml:space="preserve">دیوان عاشق اصفهاني، ج 7، ص703.</w:t>
      </w:r>
    </w:p>
    <w:p>
      <w:pPr>
        <w:pStyle w:val="BookText"/>
      </w:pPr>
      <w:r>
        <w:rPr>
          <w:rFonts w:ascii="Amiri" w:hAnsi="Amiri" w:eastAsia="Amiri" w:cs="Amiri"/>
          <w:lang w:bidi="ar-SA"/>
          <w:color w:val="111111"/>
          <w:sz w:val="28"/>
          <w:szCs w:val="28"/>
          <w:rtl/>
        </w:rPr>
        <w:t xml:space="preserve">عاشق بن قاسم ازنيقي رومي- ازنيقي</w:t>
      </w:r>
    </w:p>
    <w:p>
      <w:pPr>
        <w:pStyle w:val="BookText"/>
      </w:pPr>
      <w:r>
        <w:rPr>
          <w:rFonts w:ascii="IRNazanin" w:hAnsi="IRNazanin" w:eastAsia="IRNazanin" w:cs="IRNazanin"/>
          <w:lang w:bidi="fa-IR"/>
          <w:color w:val="111111"/>
          <w:sz w:val="28"/>
          <w:szCs w:val="28"/>
          <w:rtl/>
        </w:rPr>
        <w:t xml:space="preserve">اشق قاسم</w:t>
      </w:r>
    </w:p>
    <w:p>
      <w:pPr>
        <w:pStyle w:val="Heading2"/>
      </w:pPr>
      <w:bookmarkStart w:id="5715" w:name="_Toc4817"/>
      <w:r>
        <w:t>عاشور فياض ، علي</w:t>
      </w:r>
      <w:bookmarkEnd w:id="5715"/>
    </w:p>
    <w:p>
      <w:pPr>
        <w:pStyle w:val="BookText"/>
      </w:pPr>
      <w:r>
        <w:rPr>
          <w:rFonts w:ascii="Amiri" w:hAnsi="Amiri" w:eastAsia="Amiri" w:cs="Amiri"/>
          <w:lang w:bidi="ar-SA"/>
          <w:color w:val="111111"/>
          <w:sz w:val="28"/>
          <w:szCs w:val="28"/>
          <w:rtl/>
        </w:rPr>
        <w:t xml:space="preserve">فتح الرحمن في بدء خلق الأنسان</w:t>
      </w:r>
    </w:p>
    <w:p>
      <w:pPr>
        <w:pStyle w:val="BookText"/>
      </w:pPr>
      <w:r>
        <w:rPr>
          <w:rFonts w:ascii="IRNazanin" w:hAnsi="IRNazanin" w:eastAsia="IRNazanin" w:cs="IRNazanin"/>
          <w:lang w:bidi="fa-IR"/>
          <w:color w:val="111111"/>
          <w:sz w:val="28"/>
          <w:szCs w:val="28"/>
          <w:rtl/>
        </w:rPr>
        <w:t xml:space="preserve">ج 11، ص 654.</w:t>
      </w:r>
    </w:p>
    <w:p>
      <w:pPr>
        <w:pStyle w:val="BookText"/>
      </w:pPr>
      <w:r>
        <w:rPr>
          <w:rFonts w:ascii="Amiri" w:hAnsi="Amiri" w:eastAsia="Amiri" w:cs="Amiri"/>
          <w:lang w:bidi="ar-SA"/>
          <w:color w:val="111111"/>
          <w:sz w:val="28"/>
          <w:szCs w:val="28"/>
          <w:rtl/>
        </w:rPr>
        <w:t xml:space="preserve">عاصم بن ابراهيم حيدري - حيدري ،</w:t>
      </w:r>
    </w:p>
    <w:p>
      <w:pPr>
        <w:pStyle w:val="BookText"/>
      </w:pPr>
      <w:r>
        <w:rPr>
          <w:rFonts w:ascii="Amiri" w:hAnsi="Amiri" w:eastAsia="Amiri" w:cs="Amiri"/>
          <w:lang w:bidi="ar-SA"/>
          <w:color w:val="111111"/>
          <w:sz w:val="28"/>
          <w:szCs w:val="28"/>
          <w:rtl/>
        </w:rPr>
        <w:t xml:space="preserve">عاصم بن ابراهيم</w:t>
      </w:r>
    </w:p>
    <w:p>
      <w:pPr>
        <w:pStyle w:val="BookText"/>
      </w:pPr>
      <w:r>
        <w:rPr>
          <w:rFonts w:ascii="Amiri" w:hAnsi="Amiri" w:eastAsia="Amiri" w:cs="Amiri"/>
          <w:lang w:bidi="ar-SA"/>
          <w:color w:val="111111"/>
          <w:sz w:val="28"/>
          <w:szCs w:val="28"/>
          <w:rtl/>
        </w:rPr>
        <w:t xml:space="preserve">عاصم بن الحميد الحناط الكوفي - حناط</w:t>
      </w:r>
    </w:p>
    <w:p>
      <w:pPr>
        <w:pStyle w:val="BookText"/>
      </w:pPr>
      <w:r>
        <w:rPr>
          <w:rFonts w:ascii="Amiri" w:hAnsi="Amiri" w:eastAsia="Amiri" w:cs="Amiri"/>
          <w:lang w:bidi="ar-SA"/>
          <w:color w:val="111111"/>
          <w:sz w:val="28"/>
          <w:szCs w:val="28"/>
          <w:rtl/>
        </w:rPr>
        <w:t xml:space="preserve">كوفي ، عاصم بن حميد</w:t>
      </w:r>
    </w:p>
    <w:p>
      <w:pPr>
        <w:pStyle w:val="BookText"/>
      </w:pPr>
      <w:r>
        <w:rPr>
          <w:rFonts w:ascii="Amiri" w:hAnsi="Amiri" w:eastAsia="Amiri" w:cs="Amiri"/>
          <w:lang w:bidi="ar-SA"/>
          <w:color w:val="111111"/>
          <w:sz w:val="28"/>
          <w:szCs w:val="28"/>
          <w:rtl/>
        </w:rPr>
        <w:t xml:space="preserve">عاصم بن ايوب البطليوسي - بطليوسي</w:t>
      </w:r>
    </w:p>
    <w:p>
      <w:pPr>
        <w:pStyle w:val="BookText"/>
      </w:pPr>
      <w:r>
        <w:rPr>
          <w:rFonts w:ascii="IRNazanin" w:hAnsi="IRNazanin" w:eastAsia="IRNazanin" w:cs="IRNazanin"/>
          <w:lang w:bidi="fa-IR"/>
          <w:color w:val="111111"/>
          <w:sz w:val="28"/>
          <w:szCs w:val="28"/>
          <w:rtl/>
        </w:rPr>
        <w:t xml:space="preserve">عاصم بن ایوب</w:t>
      </w:r>
    </w:p>
    <w:p>
      <w:pPr>
        <w:pStyle w:val="BookText"/>
      </w:pPr>
      <w:r>
        <w:rPr>
          <w:rFonts w:ascii="Amiri" w:hAnsi="Amiri" w:eastAsia="Amiri" w:cs="Amiri"/>
          <w:lang w:bidi="ar-SA"/>
          <w:color w:val="111111"/>
          <w:sz w:val="28"/>
          <w:szCs w:val="28"/>
          <w:rtl/>
        </w:rPr>
        <w:t xml:space="preserve">عاصم بن حميد حناط كوفي -حناط كوفي ،</w:t>
      </w:r>
    </w:p>
    <w:p>
      <w:pPr>
        <w:pStyle w:val="BookText"/>
      </w:pPr>
      <w:r>
        <w:rPr>
          <w:rFonts w:ascii="Amiri" w:hAnsi="Amiri" w:eastAsia="Amiri" w:cs="Amiri"/>
          <w:lang w:bidi="ar-SA"/>
          <w:color w:val="111111"/>
          <w:sz w:val="28"/>
          <w:szCs w:val="28"/>
          <w:rtl/>
        </w:rPr>
        <w:t xml:space="preserve">عاصم بن حميد</w:t>
      </w:r>
    </w:p>
    <w:p>
      <w:pPr>
        <w:pStyle w:val="BookText"/>
      </w:pPr>
      <w:r>
        <w:rPr>
          <w:rFonts w:ascii="Amiri" w:hAnsi="Amiri" w:eastAsia="Amiri" w:cs="Amiri"/>
          <w:lang w:bidi="ar-SA"/>
          <w:color w:val="111111"/>
          <w:sz w:val="28"/>
          <w:szCs w:val="28"/>
          <w:rtl/>
        </w:rPr>
        <w:t xml:space="preserve">عاصم صفوي- حيدري ، عاصم بن</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Amiri" w:hAnsi="Amiri" w:eastAsia="Amiri" w:cs="Amiri"/>
          <w:lang w:bidi="ar-SA"/>
          <w:color w:val="111111"/>
          <w:sz w:val="28"/>
          <w:szCs w:val="28"/>
          <w:rtl/>
        </w:rPr>
        <w:t xml:space="preserve">عاصمي ، احمد بن ابراهيم -ابن زبير</w:t>
      </w:r>
    </w:p>
    <w:p>
      <w:pPr>
        <w:pStyle w:val="BookText"/>
      </w:pPr>
      <w:r>
        <w:rPr>
          <w:rFonts w:ascii="Amiri" w:hAnsi="Amiri" w:eastAsia="Amiri" w:cs="Amiri"/>
          <w:lang w:bidi="ar-SA"/>
          <w:color w:val="111111"/>
          <w:sz w:val="28"/>
          <w:szCs w:val="28"/>
          <w:rtl/>
        </w:rPr>
        <w:t xml:space="preserve">احمد بن ابراهيم</w:t>
      </w:r>
    </w:p>
    <w:p>
      <w:pPr>
        <w:pStyle w:val="Heading2"/>
      </w:pPr>
      <w:bookmarkStart w:id="5716" w:name="_Toc4818"/>
      <w:r>
        <w:t>عاصمي ، احمد بن محمّد قرن 4 ه-</w:t>
      </w:r>
      <w:bookmarkEnd w:id="5716"/>
    </w:p>
    <w:p>
      <w:pPr>
        <w:pStyle w:val="BookText"/>
      </w:pPr>
      <w:r>
        <w:rPr>
          <w:rFonts w:ascii="Amiri" w:hAnsi="Amiri" w:eastAsia="Amiri" w:cs="Amiri"/>
          <w:lang w:bidi="ar-SA"/>
          <w:color w:val="111111"/>
          <w:sz w:val="28"/>
          <w:szCs w:val="28"/>
          <w:rtl/>
        </w:rPr>
        <w:t xml:space="preserve">زين الفتي في تفسير هل أتى، ج8، ص 665 .</w:t>
      </w:r>
    </w:p>
    <w:p>
      <w:pPr>
        <w:pStyle w:val="Heading2"/>
      </w:pPr>
      <w:bookmarkStart w:id="5717" w:name="_Toc4819"/>
      <w:r>
        <w:t>عامي</w:t>
      </w:r>
      <w:bookmarkEnd w:id="5717"/>
    </w:p>
    <w:p>
      <w:pPr>
        <w:pStyle w:val="BookText"/>
      </w:pPr>
      <w:r>
        <w:rPr>
          <w:rFonts w:ascii="Amiri" w:hAnsi="Amiri" w:eastAsia="Amiri" w:cs="Amiri"/>
          <w:lang w:bidi="ar-SA"/>
          <w:color w:val="111111"/>
          <w:sz w:val="28"/>
          <w:szCs w:val="28"/>
          <w:rtl/>
        </w:rPr>
        <w:t xml:space="preserve">تخميس عاصي (معصوم) على قصيدة</w:t>
      </w:r>
    </w:p>
    <w:p>
      <w:pPr>
        <w:pStyle w:val="BookText"/>
      </w:pPr>
      <w:r>
        <w:rPr>
          <w:rFonts w:ascii="Amiri" w:hAnsi="Amiri" w:eastAsia="Amiri" w:cs="Amiri"/>
          <w:lang w:bidi="ar-SA"/>
          <w:color w:val="111111"/>
          <w:sz w:val="28"/>
          <w:szCs w:val="28"/>
          <w:rtl/>
        </w:rPr>
        <w:t xml:space="preserve">السيد احمد النقيب، ج 4، ص 109.</w:t>
      </w:r>
    </w:p>
    <w:p>
      <w:pPr>
        <w:pStyle w:val="Heading2"/>
      </w:pPr>
      <w:bookmarkStart w:id="5718" w:name="_Toc4820"/>
      <w:r>
        <w:t>عاصي ، عبدالله، قرن 11 ه-</w:t>
      </w:r>
      <w:bookmarkEnd w:id="5718"/>
    </w:p>
    <w:p>
      <w:pPr>
        <w:pStyle w:val="BookText"/>
      </w:pPr>
      <w:r>
        <w:rPr>
          <w:rFonts w:ascii="Amiri" w:hAnsi="Amiri" w:eastAsia="Amiri" w:cs="Amiri"/>
          <w:lang w:bidi="ar-SA"/>
          <w:color w:val="111111"/>
          <w:sz w:val="28"/>
          <w:szCs w:val="28"/>
          <w:rtl/>
        </w:rPr>
        <w:t xml:space="preserve">شرح الروضة البهية في شرح اللمعة</w:t>
      </w:r>
    </w:p>
    <w:p>
      <w:pPr>
        <w:pStyle w:val="BookText"/>
      </w:pPr>
      <w:r>
        <w:rPr>
          <w:rFonts w:ascii="Amiri" w:hAnsi="Amiri" w:eastAsia="Amiri" w:cs="Amiri"/>
          <w:lang w:bidi="ar-SA"/>
          <w:color w:val="111111"/>
          <w:sz w:val="28"/>
          <w:szCs w:val="28"/>
          <w:rtl/>
        </w:rPr>
        <w:t xml:space="preserve">الدمشقية، ج9، ص 571</w:t>
      </w:r>
    </w:p>
    <w:p>
      <w:pPr>
        <w:pStyle w:val="BookText"/>
      </w:pPr>
      <w:r>
        <w:rPr>
          <w:rFonts w:ascii="Amiri" w:hAnsi="Amiri" w:eastAsia="Amiri" w:cs="Amiri"/>
          <w:lang w:bidi="ar-SA"/>
          <w:color w:val="111111"/>
          <w:sz w:val="28"/>
          <w:szCs w:val="28"/>
          <w:rtl/>
        </w:rPr>
        <w:t xml:space="preserve">عاصي عبد الله بن ابي الحسن- عاصي</w:t>
      </w:r>
    </w:p>
    <w:p>
      <w:pPr>
        <w:pStyle w:val="BookText"/>
      </w:pPr>
      <w:r>
        <w:rPr>
          <w:rFonts w:ascii="IRNazanin" w:hAnsi="IRNazanin" w:eastAsia="IRNazanin" w:cs="IRNazanin"/>
          <w:lang w:bidi="fa-IR"/>
          <w:color w:val="111111"/>
          <w:sz w:val="28"/>
          <w:szCs w:val="28"/>
          <w:rtl/>
        </w:rPr>
        <w:t xml:space="preserve">عبدالله</w:t>
      </w:r>
    </w:p>
    <w:p>
      <w:pPr>
        <w:pStyle w:val="Heading2"/>
      </w:pPr>
      <w:bookmarkStart w:id="5719" w:name="_Toc4821"/>
      <w:r>
        <w:t>عاصي ، محمّد رضا</w:t>
      </w:r>
      <w:bookmarkEnd w:id="5719"/>
    </w:p>
    <w:p>
      <w:pPr>
        <w:pStyle w:val="BookText"/>
      </w:pPr>
      <w:r>
        <w:rPr>
          <w:rFonts w:ascii="Amiri" w:hAnsi="Amiri" w:eastAsia="Amiri" w:cs="Amiri"/>
          <w:lang w:bidi="ar-SA"/>
          <w:color w:val="111111"/>
          <w:sz w:val="28"/>
          <w:szCs w:val="28"/>
          <w:rtl/>
        </w:rPr>
        <w:t xml:space="preserve">رسائل في اصل النيل والفرات ودجلة</w:t>
      </w:r>
    </w:p>
    <w:p>
      <w:pPr>
        <w:pStyle w:val="BookText"/>
      </w:pPr>
      <w:r>
        <w:rPr>
          <w:rFonts w:ascii="IRNazanin" w:hAnsi="IRNazanin" w:eastAsia="IRNazanin" w:cs="IRNazanin"/>
          <w:lang w:bidi="fa-IR"/>
          <w:color w:val="111111"/>
          <w:sz w:val="28"/>
          <w:szCs w:val="28"/>
          <w:rtl/>
        </w:rPr>
        <w:t xml:space="preserve">و سیحون و جیحون، ج8، ص 147.</w:t>
      </w:r>
    </w:p>
    <w:p>
      <w:pPr>
        <w:pStyle w:val="BookText"/>
      </w:pPr>
      <w:r>
        <w:rPr>
          <w:rFonts w:ascii="Amiri" w:hAnsi="Amiri" w:eastAsia="Amiri" w:cs="Amiri"/>
          <w:lang w:bidi="ar-SA"/>
          <w:color w:val="111111"/>
          <w:sz w:val="28"/>
          <w:szCs w:val="28"/>
          <w:rtl/>
        </w:rPr>
        <w:t xml:space="preserve">عاصي ، ميرزا احمد نقاش- نقاش اصفهاني ، ميرزا احمد</w:t>
      </w:r>
    </w:p>
    <w:p>
      <w:pPr>
        <w:pStyle w:val="Heading2"/>
      </w:pPr>
      <w:bookmarkStart w:id="5720" w:name="_Toc4822"/>
      <w:r>
        <w:t>عاقولي ، محمّد بن محمّد - 797 ه-</w:t>
      </w:r>
      <w:bookmarkEnd w:id="5720"/>
    </w:p>
    <w:p>
      <w:pPr>
        <w:pStyle w:val="BookText"/>
      </w:pPr>
      <w:r>
        <w:rPr>
          <w:rFonts w:ascii="Amiri" w:hAnsi="Amiri" w:eastAsia="Amiri" w:cs="Amiri"/>
          <w:lang w:bidi="ar-SA"/>
          <w:color w:val="111111"/>
          <w:sz w:val="28"/>
          <w:szCs w:val="28"/>
          <w:rtl/>
        </w:rPr>
        <w:t xml:space="preserve">الرصف لما روي عن النبي (ص) من</w:t>
      </w:r>
    </w:p>
    <w:p>
      <w:pPr>
        <w:pStyle w:val="BookText"/>
      </w:pPr>
      <w:r>
        <w:rPr>
          <w:rFonts w:ascii="IRNazanin" w:hAnsi="IRNazanin" w:eastAsia="IRNazanin" w:cs="IRNazanin"/>
          <w:lang w:bidi="fa-IR"/>
          <w:color w:val="111111"/>
          <w:sz w:val="28"/>
          <w:szCs w:val="28"/>
          <w:rtl/>
        </w:rPr>
        <w:t xml:space="preserve">الفضل والوصف، ج8، ص 316.</w:t>
      </w:r>
    </w:p>
    <w:p>
      <w:pPr>
        <w:pStyle w:val="BookText"/>
      </w:pPr>
      <w:r>
        <w:rPr>
          <w:rFonts w:ascii="Amiri" w:hAnsi="Amiri" w:eastAsia="Amiri" w:cs="Amiri"/>
          <w:lang w:bidi="ar-SA"/>
          <w:color w:val="111111"/>
          <w:sz w:val="28"/>
          <w:szCs w:val="28"/>
          <w:rtl/>
        </w:rPr>
        <w:t xml:space="preserve">عالم بن علاء حنفي اندريتي - اندريتي ،</w:t>
      </w:r>
    </w:p>
    <w:p>
      <w:pPr>
        <w:pStyle w:val="BookText"/>
      </w:pPr>
      <w:r>
        <w:rPr>
          <w:rFonts w:ascii="IRNazanin" w:hAnsi="IRNazanin" w:eastAsia="IRNazanin" w:cs="IRNazanin"/>
          <w:lang w:bidi="fa-IR"/>
          <w:color w:val="111111"/>
          <w:sz w:val="28"/>
          <w:szCs w:val="28"/>
          <w:rtl/>
        </w:rPr>
        <w:t xml:space="preserve">عالم بن علاء</w:t>
      </w:r>
    </w:p>
    <w:p>
      <w:pPr>
        <w:pStyle w:val="Heading2"/>
      </w:pPr>
      <w:bookmarkStart w:id="5721" w:name="_Toc4823"/>
      <w:r>
        <w:t>عالم ، محمّد صالح</w:t>
      </w:r>
      <w:bookmarkEnd w:id="5721"/>
    </w:p>
    <w:p>
      <w:pPr>
        <w:pStyle w:val="BookText"/>
      </w:pPr>
      <w:r>
        <w:rPr>
          <w:rFonts w:ascii="Amiri" w:hAnsi="Amiri" w:eastAsia="Amiri" w:cs="Amiri"/>
          <w:lang w:bidi="ar-SA"/>
          <w:color w:val="111111"/>
          <w:sz w:val="28"/>
          <w:szCs w:val="28"/>
          <w:rtl/>
        </w:rPr>
        <w:t xml:space="preserve">رسالة النتيجة على فتاوى السيد</w:t>
      </w:r>
    </w:p>
    <w:p>
      <w:pPr>
        <w:pStyle w:val="BookText"/>
      </w:pPr>
      <w:r>
        <w:rPr>
          <w:rFonts w:ascii="Amiri" w:hAnsi="Amiri" w:eastAsia="Amiri" w:cs="Amiri"/>
          <w:lang w:bidi="ar-SA"/>
          <w:color w:val="111111"/>
          <w:sz w:val="28"/>
          <w:szCs w:val="28"/>
          <w:rtl/>
        </w:rPr>
        <w:t xml:space="preserve">مهدي القزويني، ج8، ص289.</w:t>
      </w:r>
    </w:p>
    <w:p>
      <w:pPr>
        <w:pStyle w:val="BookText"/>
      </w:pPr>
      <w:r>
        <w:rPr>
          <w:rFonts w:ascii="Amiri" w:hAnsi="Amiri" w:eastAsia="Amiri" w:cs="Amiri"/>
          <w:lang w:bidi="ar-SA"/>
          <w:color w:val="111111"/>
          <w:sz w:val="28"/>
          <w:szCs w:val="28"/>
          <w:rtl/>
        </w:rPr>
        <w:t xml:space="preserve">عالم ، عمر بن عبدالعزيز -كرماني ، عمر</w:t>
      </w:r>
    </w:p>
    <w:p>
      <w:pPr>
        <w:pStyle w:val="BookText"/>
      </w:pPr>
      <w:r>
        <w:rPr>
          <w:rFonts w:ascii="Amiri" w:hAnsi="Amiri" w:eastAsia="Amiri" w:cs="Amiri"/>
          <w:lang w:bidi="ar-SA"/>
          <w:color w:val="111111"/>
          <w:sz w:val="28"/>
          <w:szCs w:val="28"/>
          <w:rtl/>
        </w:rPr>
        <w:t xml:space="preserve">بن عبدالعزيز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16" w:name="pg7742_70709"/>
    <w:bookmarkEnd w:id="716"/>
    <w:p>
      <w:pPr>
        <w:pStyle w:val="Heading2"/>
      </w:pPr>
      <w:bookmarkStart w:id="5722" w:name="_Toc4824"/>
      <w:r>
        <w:t>عالي افندي</w:t>
      </w:r>
      <w:bookmarkEnd w:id="5722"/>
    </w:p>
    <w:p>
      <w:pPr>
        <w:pStyle w:val="BookText"/>
      </w:pPr>
      <w:r>
        <w:rPr>
          <w:rFonts w:ascii="Amiri" w:hAnsi="Amiri" w:eastAsia="Amiri" w:cs="Amiri"/>
          <w:lang w:bidi="ar-SA"/>
          <w:color w:val="111111"/>
          <w:sz w:val="28"/>
          <w:szCs w:val="28"/>
          <w:rtl/>
        </w:rPr>
        <w:t xml:space="preserve">حلبة الرجال، ج 6 ، ص 773.</w:t>
      </w:r>
    </w:p>
    <w:p>
      <w:pPr>
        <w:pStyle w:val="BookText"/>
      </w:pPr>
      <w:r>
        <w:rPr>
          <w:rFonts w:ascii="Amiri" w:hAnsi="Amiri" w:eastAsia="Amiri" w:cs="Amiri"/>
          <w:lang w:bidi="ar-SA"/>
          <w:color w:val="111111"/>
          <w:sz w:val="28"/>
          <w:szCs w:val="28"/>
          <w:rtl/>
        </w:rPr>
        <w:t xml:space="preserve">عالي بخت- محمّد اسلم</w:t>
      </w:r>
    </w:p>
    <w:p>
      <w:pPr>
        <w:pStyle w:val="BookText"/>
      </w:pPr>
      <w:r>
        <w:rPr>
          <w:rFonts w:ascii="Amiri" w:hAnsi="Amiri" w:eastAsia="Amiri" w:cs="Amiri"/>
          <w:lang w:bidi="ar-SA"/>
          <w:color w:val="111111"/>
          <w:sz w:val="28"/>
          <w:szCs w:val="28"/>
          <w:rtl/>
        </w:rPr>
        <w:t xml:space="preserve">عالي دفتري ، مصطفى بن احمد -عالي</w:t>
      </w:r>
    </w:p>
    <w:p>
      <w:pPr>
        <w:pStyle w:val="BookText"/>
      </w:pPr>
      <w:r>
        <w:rPr>
          <w:rFonts w:ascii="IRNazanin" w:hAnsi="IRNazanin" w:eastAsia="IRNazanin" w:cs="IRNazanin"/>
          <w:lang w:bidi="fa-IR"/>
          <w:color w:val="111111"/>
          <w:sz w:val="28"/>
          <w:szCs w:val="28"/>
          <w:rtl/>
        </w:rPr>
        <w:t xml:space="preserve">مصطفى بن احمد</w:t>
      </w:r>
    </w:p>
    <w:p>
      <w:pPr>
        <w:pStyle w:val="Heading2"/>
      </w:pPr>
      <w:bookmarkStart w:id="5723" w:name="_Toc4825"/>
      <w:r>
        <w:t>عالي شيرازي ، محمّد - 1121 ؟ ه-</w:t>
      </w:r>
      <w:bookmarkEnd w:id="5723"/>
    </w:p>
    <w:p>
      <w:pPr>
        <w:pStyle w:val="BookText"/>
      </w:pPr>
      <w:r>
        <w:rPr>
          <w:rFonts w:ascii="IRNazanin" w:hAnsi="IRNazanin" w:eastAsia="IRNazanin" w:cs="IRNazanin"/>
          <w:lang w:bidi="fa-IR"/>
          <w:color w:val="111111"/>
          <w:sz w:val="28"/>
          <w:szCs w:val="28"/>
          <w:rtl/>
        </w:rPr>
        <w:t xml:space="preserve">خوان نعمت ج 7، ص 185.</w:t>
      </w:r>
    </w:p>
    <w:p>
      <w:pPr>
        <w:pStyle w:val="Heading2"/>
      </w:pPr>
      <w:bookmarkStart w:id="5724" w:name="_Toc4826"/>
      <w:r>
        <w:t>عالي، مصطفى بن احمد، 948 - 1008 ه-</w:t>
      </w:r>
      <w:bookmarkEnd w:id="5724"/>
    </w:p>
    <w:p>
      <w:pPr>
        <w:pStyle w:val="BookText"/>
      </w:pPr>
      <w:r>
        <w:rPr>
          <w:rFonts w:ascii="IRNazanin" w:hAnsi="IRNazanin" w:eastAsia="IRNazanin" w:cs="IRNazanin"/>
          <w:lang w:bidi="fa-IR"/>
          <w:color w:val="111111"/>
          <w:sz w:val="28"/>
          <w:szCs w:val="28"/>
          <w:rtl/>
        </w:rPr>
        <w:t xml:space="preserve">1 .فرصت نامه، ج 11، ص783</w:t>
      </w:r>
    </w:p>
    <w:p>
      <w:pPr>
        <w:pStyle w:val="BookText"/>
      </w:pPr>
      <w:r>
        <w:rPr>
          <w:rFonts w:ascii="IRNazanin" w:hAnsi="IRNazanin" w:eastAsia="IRNazanin" w:cs="IRNazanin"/>
          <w:lang w:bidi="fa-IR"/>
          <w:color w:val="111111"/>
          <w:sz w:val="28"/>
          <w:szCs w:val="28"/>
          <w:rtl/>
        </w:rPr>
        <w:t xml:space="preserve">2 .قدرت نامه، ج 12، ص 383.</w:t>
      </w:r>
    </w:p>
    <w:p>
      <w:pPr>
        <w:pStyle w:val="BookText"/>
      </w:pPr>
      <w:r>
        <w:rPr>
          <w:rFonts w:ascii="Amiri" w:hAnsi="Amiri" w:eastAsia="Amiri" w:cs="Amiri"/>
          <w:lang w:bidi="ar-SA"/>
          <w:color w:val="111111"/>
          <w:sz w:val="28"/>
          <w:szCs w:val="28"/>
          <w:rtl/>
        </w:rPr>
        <w:t xml:space="preserve">3.كنه الاخبار = تاريخ عالي، ج 13،</w:t>
      </w:r>
    </w:p>
    <w:p>
      <w:pPr>
        <w:pStyle w:val="BookText"/>
      </w:pPr>
      <w:r>
        <w:rPr>
          <w:rFonts w:ascii="IRNazanin" w:hAnsi="IRNazanin" w:eastAsia="IRNazanin" w:cs="IRNazanin"/>
          <w:lang w:bidi="fa-IR"/>
          <w:color w:val="111111"/>
          <w:sz w:val="28"/>
          <w:szCs w:val="28"/>
          <w:rtl/>
        </w:rPr>
        <w:t xml:space="preserve">ص 445 .</w:t>
      </w:r>
    </w:p>
    <w:p>
      <w:pPr>
        <w:pStyle w:val="BookText"/>
      </w:pPr>
      <w:r>
        <w:rPr>
          <w:rFonts w:ascii="Amiri" w:hAnsi="Amiri" w:eastAsia="Amiri" w:cs="Amiri"/>
          <w:lang w:bidi="ar-SA"/>
          <w:color w:val="111111"/>
          <w:sz w:val="28"/>
          <w:szCs w:val="28"/>
          <w:rtl/>
        </w:rPr>
        <w:t xml:space="preserve">4 .نصرة ،نامه، ج 16، ص 307.</w:t>
      </w:r>
    </w:p>
    <w:p>
      <w:pPr>
        <w:pStyle w:val="BookText"/>
      </w:pPr>
      <w:r>
        <w:rPr>
          <w:rFonts w:ascii="IRNazanin" w:hAnsi="IRNazanin" w:eastAsia="IRNazanin" w:cs="IRNazanin"/>
          <w:lang w:bidi="fa-IR"/>
          <w:color w:val="111111"/>
          <w:sz w:val="28"/>
          <w:szCs w:val="28"/>
          <w:rtl/>
        </w:rPr>
        <w:t xml:space="preserve">عالي ، ميرزا نورالدین محمّد بن فتح</w:t>
      </w:r>
    </w:p>
    <w:p>
      <w:pPr>
        <w:pStyle w:val="BookText"/>
      </w:pPr>
      <w:r>
        <w:rPr>
          <w:rFonts w:ascii="Amiri" w:hAnsi="Amiri" w:eastAsia="Amiri" w:cs="Amiri"/>
          <w:lang w:bidi="ar-SA"/>
          <w:color w:val="111111"/>
          <w:sz w:val="28"/>
          <w:szCs w:val="28"/>
          <w:rtl/>
        </w:rPr>
        <w:t xml:space="preserve">الدين- عالي شيرازي ، محمّد</w:t>
      </w:r>
    </w:p>
    <w:p>
      <w:pPr>
        <w:pStyle w:val="BookText"/>
      </w:pPr>
      <w:r>
        <w:rPr>
          <w:rFonts w:ascii="Amiri" w:hAnsi="Amiri" w:eastAsia="Amiri" w:cs="Amiri"/>
          <w:lang w:bidi="ar-SA"/>
          <w:color w:val="111111"/>
          <w:sz w:val="28"/>
          <w:szCs w:val="28"/>
          <w:rtl/>
        </w:rPr>
        <w:t xml:space="preserve">عالي ، نعمت خان -عالي شيرازي ، محمّد</w:t>
      </w:r>
    </w:p>
    <w:p>
      <w:pPr>
        <w:pStyle w:val="BookText"/>
      </w:pPr>
      <w:r>
        <w:rPr>
          <w:rFonts w:ascii="Amiri" w:hAnsi="Amiri" w:eastAsia="Amiri" w:cs="Amiri"/>
          <w:lang w:bidi="ar-SA"/>
          <w:color w:val="111111"/>
          <w:sz w:val="28"/>
          <w:szCs w:val="28"/>
          <w:rtl/>
        </w:rPr>
        <w:t xml:space="preserve">عامر بن عمران ضبي- ضبي ، عامر بن</w:t>
      </w:r>
    </w:p>
    <w:p>
      <w:pPr>
        <w:pStyle w:val="BookText"/>
      </w:pPr>
      <w:r>
        <w:rPr>
          <w:rFonts w:ascii="IRNazanin" w:hAnsi="IRNazanin" w:eastAsia="IRNazanin" w:cs="IRNazanin"/>
          <w:lang w:bidi="fa-IR"/>
          <w:color w:val="111111"/>
          <w:sz w:val="28"/>
          <w:szCs w:val="28"/>
          <w:rtl/>
        </w:rPr>
        <w:t xml:space="preserve">عمران</w:t>
      </w:r>
    </w:p>
    <w:p>
      <w:pPr>
        <w:pStyle w:val="BookText"/>
      </w:pPr>
      <w:r>
        <w:rPr>
          <w:rFonts w:ascii="Amiri" w:hAnsi="Amiri" w:eastAsia="Amiri" w:cs="Amiri"/>
          <w:lang w:bidi="ar-SA"/>
          <w:color w:val="111111"/>
          <w:sz w:val="28"/>
          <w:szCs w:val="28"/>
          <w:rtl/>
        </w:rPr>
        <w:t xml:space="preserve">عامر سعد- معمري ، عامر سعيد</w:t>
      </w:r>
    </w:p>
    <w:p>
      <w:pPr>
        <w:pStyle w:val="BookText"/>
      </w:pPr>
      <w:r>
        <w:rPr>
          <w:rFonts w:ascii="Amiri" w:hAnsi="Amiri" w:eastAsia="Amiri" w:cs="Amiri"/>
          <w:lang w:bidi="ar-SA"/>
          <w:color w:val="111111"/>
          <w:sz w:val="28"/>
          <w:szCs w:val="28"/>
          <w:rtl/>
        </w:rPr>
        <w:t xml:space="preserve">عامر سعيد بلمس معمري- معمري ،</w:t>
      </w:r>
    </w:p>
    <w:p>
      <w:pPr>
        <w:pStyle w:val="BookText"/>
      </w:pPr>
      <w:r>
        <w:rPr>
          <w:rFonts w:ascii="Amiri" w:hAnsi="Amiri" w:eastAsia="Amiri" w:cs="Amiri"/>
          <w:lang w:bidi="ar-SA"/>
          <w:color w:val="111111"/>
          <w:sz w:val="28"/>
          <w:szCs w:val="28"/>
          <w:rtl/>
        </w:rPr>
        <w:t xml:space="preserve">عامر سعيد</w:t>
      </w:r>
    </w:p>
    <w:p>
      <w:pPr>
        <w:pStyle w:val="BookText"/>
      </w:pPr>
      <w:r>
        <w:rPr>
          <w:rFonts w:ascii="Amiri" w:hAnsi="Amiri" w:eastAsia="Amiri" w:cs="Amiri"/>
          <w:lang w:bidi="ar-SA"/>
          <w:color w:val="111111"/>
          <w:sz w:val="28"/>
          <w:szCs w:val="28"/>
          <w:rtl/>
        </w:rPr>
        <w:t xml:space="preserve">عامري، ابراهيم بن عامر -عبيدي ،</w:t>
      </w:r>
    </w:p>
    <w:p>
      <w:pPr>
        <w:pStyle w:val="BookText"/>
      </w:pPr>
      <w:r>
        <w:rPr>
          <w:rFonts w:ascii="Amiri" w:hAnsi="Amiri" w:eastAsia="Amiri" w:cs="Amiri"/>
          <w:lang w:bidi="ar-SA"/>
          <w:color w:val="111111"/>
          <w:sz w:val="28"/>
          <w:szCs w:val="28"/>
          <w:rtl/>
        </w:rPr>
        <w:t xml:space="preserve">ابراهيم بن عامر</w:t>
      </w:r>
    </w:p>
    <w:p>
      <w:pPr>
        <w:pStyle w:val="BookText"/>
      </w:pPr>
      <w:r>
        <w:rPr>
          <w:rFonts w:ascii="Amiri" w:hAnsi="Amiri" w:eastAsia="Amiri" w:cs="Amiri"/>
          <w:lang w:bidi="ar-SA"/>
          <w:color w:val="111111"/>
          <w:sz w:val="28"/>
          <w:szCs w:val="28"/>
          <w:rtl/>
        </w:rPr>
        <w:t xml:space="preserve">عامري ، ابوالحسن- عامري ، محمّد بن</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عامري ، احمد بن عبد الكريم - غزي ،</w:t>
      </w:r>
    </w:p>
    <w:p>
      <w:pPr>
        <w:pStyle w:val="BookText"/>
      </w:pPr>
      <w:r>
        <w:rPr>
          <w:rFonts w:ascii="Amiri" w:hAnsi="Amiri" w:eastAsia="Amiri" w:cs="Amiri"/>
          <w:lang w:bidi="ar-SA"/>
          <w:color w:val="111111"/>
          <w:sz w:val="28"/>
          <w:szCs w:val="28"/>
          <w:rtl/>
        </w:rPr>
        <w:t xml:space="preserve">احمد بن عبدالكريم</w:t>
      </w:r>
    </w:p>
    <w:p>
      <w:pPr>
        <w:pStyle w:val="BookText"/>
      </w:pPr>
      <w:r>
        <w:rPr>
          <w:rFonts w:ascii="Amiri" w:hAnsi="Amiri" w:eastAsia="Amiri" w:cs="Amiri"/>
          <w:lang w:bidi="ar-SA"/>
          <w:color w:val="111111"/>
          <w:sz w:val="28"/>
          <w:szCs w:val="28"/>
          <w:rtl/>
        </w:rPr>
        <w:t xml:space="preserve">عامري ، احمد بن عبد الله -غزي ، احمد</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عامري اسفرايني ، محمّد بن عبد الله -اسفرايني ، محمّد بن عبدالله</w:t>
      </w:r>
    </w:p>
    <w:p>
      <w:pPr>
        <w:pStyle w:val="BookText"/>
      </w:pPr>
      <w:r>
        <w:rPr>
          <w:rFonts w:ascii="Amiri" w:hAnsi="Amiri" w:eastAsia="Amiri" w:cs="Amiri"/>
          <w:lang w:bidi="ar-SA"/>
          <w:color w:val="111111"/>
          <w:sz w:val="28"/>
          <w:szCs w:val="28"/>
          <w:rtl/>
        </w:rPr>
        <w:t xml:space="preserve">عامري ، توبة بن الحمير -عقيلي ، توبة بن</w:t>
      </w:r>
    </w:p>
    <w:p>
      <w:pPr>
        <w:pStyle w:val="BookText"/>
      </w:pPr>
      <w:r>
        <w:rPr>
          <w:rFonts w:ascii="Amiri" w:hAnsi="Amiri" w:eastAsia="Amiri" w:cs="Amiri"/>
          <w:lang w:bidi="ar-SA"/>
          <w:color w:val="111111"/>
          <w:sz w:val="28"/>
          <w:szCs w:val="28"/>
          <w:rtl/>
        </w:rPr>
        <w:t xml:space="preserve">الحمير</w:t>
      </w:r>
    </w:p>
    <w:p>
      <w:pPr>
        <w:pStyle w:val="BookText"/>
      </w:pPr>
      <w:r>
        <w:rPr>
          <w:rFonts w:ascii="Amiri" w:hAnsi="Amiri" w:eastAsia="Amiri" w:cs="Amiri"/>
          <w:lang w:bidi="ar-SA"/>
          <w:color w:val="111111"/>
          <w:sz w:val="28"/>
          <w:szCs w:val="28"/>
          <w:rtl/>
        </w:rPr>
        <w:t xml:space="preserve">عامري حرضي ، يحيى بن ابي بكر- عامري ، يحيى بن ابي بكر</w:t>
      </w:r>
    </w:p>
    <w:p>
      <w:pPr>
        <w:pStyle w:val="BookText"/>
      </w:pPr>
      <w:r>
        <w:rPr>
          <w:rFonts w:ascii="Amiri" w:hAnsi="Amiri" w:eastAsia="Amiri" w:cs="Amiri"/>
          <w:lang w:bidi="ar-SA"/>
          <w:color w:val="111111"/>
          <w:sz w:val="28"/>
          <w:szCs w:val="28"/>
          <w:rtl/>
        </w:rPr>
        <w:t xml:space="preserve">عامري ، حسين بن عثمان -عامري كوفي ،</w:t>
      </w:r>
    </w:p>
    <w:p>
      <w:pPr>
        <w:pStyle w:val="BookText"/>
      </w:pPr>
      <w:r>
        <w:rPr>
          <w:rFonts w:ascii="Amiri" w:hAnsi="Amiri" w:eastAsia="Amiri" w:cs="Amiri"/>
          <w:lang w:bidi="ar-SA"/>
          <w:color w:val="111111"/>
          <w:sz w:val="28"/>
          <w:szCs w:val="28"/>
          <w:rtl/>
        </w:rPr>
        <w:t xml:space="preserve">حسين بن عثمان</w:t>
      </w:r>
    </w:p>
    <w:p>
      <w:pPr>
        <w:pStyle w:val="BookText"/>
      </w:pPr>
      <w:r>
        <w:rPr>
          <w:rFonts w:ascii="Amiri" w:hAnsi="Amiri" w:eastAsia="Amiri" w:cs="Amiri"/>
          <w:lang w:bidi="ar-SA"/>
          <w:color w:val="111111"/>
          <w:sz w:val="28"/>
          <w:szCs w:val="28"/>
          <w:rtl/>
        </w:rPr>
        <w:t xml:space="preserve">عامري ، عبدالحميد بن</w:t>
      </w:r>
    </w:p>
    <w:p>
      <w:pPr>
        <w:pStyle w:val="BookText"/>
      </w:pPr>
      <w:r>
        <w:rPr>
          <w:rFonts w:ascii="Amiri" w:hAnsi="Amiri" w:eastAsia="Amiri" w:cs="Amiri"/>
          <w:lang w:bidi="ar-SA"/>
          <w:color w:val="111111"/>
          <w:sz w:val="28"/>
          <w:szCs w:val="28"/>
          <w:rtl/>
        </w:rPr>
        <w:t xml:space="preserve">يحيى -عبد الحميد بن يحيى كاتب</w:t>
      </w:r>
    </w:p>
    <w:p>
      <w:pPr>
        <w:pStyle w:val="BookText"/>
      </w:pPr>
      <w:r>
        <w:rPr>
          <w:rFonts w:ascii="Amiri" w:hAnsi="Amiri" w:eastAsia="Amiri" w:cs="Amiri"/>
          <w:lang w:bidi="ar-SA"/>
          <w:color w:val="111111"/>
          <w:sz w:val="28"/>
          <w:szCs w:val="28"/>
          <w:rtl/>
        </w:rPr>
        <w:t xml:space="preserve">عامري ، قيس بن ملوح -مجنون ، قيس</w:t>
      </w:r>
    </w:p>
    <w:p>
      <w:pPr>
        <w:pStyle w:val="BookText"/>
      </w:pPr>
      <w:r>
        <w:rPr>
          <w:rFonts w:ascii="IRNazanin" w:hAnsi="IRNazanin" w:eastAsia="IRNazanin" w:cs="IRNazanin"/>
          <w:lang w:bidi="fa-IR"/>
          <w:color w:val="111111"/>
          <w:sz w:val="28"/>
          <w:szCs w:val="28"/>
          <w:rtl/>
        </w:rPr>
        <w:t xml:space="preserve">بن الملوح</w:t>
      </w:r>
    </w:p>
    <w:p>
      <w:pPr>
        <w:pStyle w:val="Heading2"/>
      </w:pPr>
      <w:bookmarkStart w:id="5725" w:name="_Toc4827"/>
      <w:r>
        <w:t>عامري كوفي ، حسين بن عثمان قرن 2 ه-</w:t>
      </w:r>
      <w:bookmarkEnd w:id="5725"/>
    </w:p>
    <w:p>
      <w:pPr>
        <w:pStyle w:val="BookText"/>
      </w:pPr>
      <w:r>
        <w:rPr>
          <w:rFonts w:ascii="Amiri" w:hAnsi="Amiri" w:eastAsia="Amiri" w:cs="Amiri"/>
          <w:lang w:bidi="ar-SA"/>
          <w:color w:val="111111"/>
          <w:sz w:val="28"/>
          <w:szCs w:val="28"/>
          <w:rtl/>
        </w:rPr>
        <w:t xml:space="preserve">اصل حسين بن عثمان بن شريك = كتاب حسين بن عثمان بن شريك، ج 2، ص 382.</w:t>
      </w:r>
    </w:p>
    <w:p>
      <w:pPr>
        <w:pStyle w:val="BookText"/>
      </w:pPr>
      <w:r>
        <w:rPr>
          <w:rFonts w:ascii="Amiri" w:hAnsi="Amiri" w:eastAsia="Amiri" w:cs="Amiri"/>
          <w:lang w:bidi="ar-SA"/>
          <w:color w:val="111111"/>
          <w:sz w:val="28"/>
          <w:szCs w:val="28"/>
          <w:rtl/>
        </w:rPr>
        <w:t xml:space="preserve">عامري ، لبيد بن ربيعه- لبيد بن ربيعه</w:t>
      </w:r>
    </w:p>
    <w:p>
      <w:pPr>
        <w:pStyle w:val="BookText"/>
      </w:pPr>
      <w:r>
        <w:rPr>
          <w:rFonts w:ascii="Amiri" w:hAnsi="Amiri" w:eastAsia="Amiri" w:cs="Amiri"/>
          <w:lang w:bidi="ar-SA"/>
          <w:color w:val="111111"/>
          <w:sz w:val="28"/>
          <w:szCs w:val="28"/>
          <w:rtl/>
        </w:rPr>
        <w:t xml:space="preserve">عامري ، مجنون -مجنون ، قيس بن الملوح</w:t>
      </w:r>
    </w:p>
    <w:p>
      <w:pPr>
        <w:pStyle w:val="BookText"/>
      </w:pPr>
      <w:r>
        <w:rPr>
          <w:rFonts w:ascii="Amiri" w:hAnsi="Amiri" w:eastAsia="Amiri" w:cs="Amiri"/>
          <w:lang w:bidi="ar-SA"/>
          <w:color w:val="111111"/>
          <w:sz w:val="28"/>
          <w:szCs w:val="28"/>
          <w:rtl/>
        </w:rPr>
        <w:t xml:space="preserve">عامري ، محمّد بن عبدالله - اسفرايني ،</w:t>
      </w:r>
    </w:p>
    <w:p>
      <w:pPr>
        <w:pStyle w:val="BookText"/>
      </w:pPr>
      <w:r>
        <w:rPr>
          <w:rFonts w:ascii="IRNazanin" w:hAnsi="IRNazanin" w:eastAsia="IRNazanin" w:cs="IRNazanin"/>
          <w:lang w:bidi="fa-IR"/>
          <w:color w:val="111111"/>
          <w:sz w:val="28"/>
          <w:szCs w:val="28"/>
          <w:rtl/>
        </w:rPr>
        <w:t xml:space="preserve">محمّد بن عبدالله</w:t>
      </w:r>
    </w:p>
    <w:p>
      <w:pPr>
        <w:pStyle w:val="BookText"/>
      </w:pPr>
      <w:r>
        <w:rPr>
          <w:rFonts w:ascii="Amiri" w:hAnsi="Amiri" w:eastAsia="Amiri" w:cs="Amiri"/>
          <w:lang w:bidi="ar-SA"/>
          <w:color w:val="111111"/>
          <w:sz w:val="28"/>
          <w:szCs w:val="28"/>
          <w:rtl/>
        </w:rPr>
        <w:t xml:space="preserve">عامري ، محمّد بن محمّد- غزي عامري ،</w:t>
      </w:r>
    </w:p>
    <w:p>
      <w:pPr>
        <w:pStyle w:val="BookText"/>
      </w:pPr>
      <w:r>
        <w:rPr>
          <w:rFonts w:ascii="IRNazanin" w:hAnsi="IRNazanin" w:eastAsia="IRNazanin" w:cs="IRNazanin"/>
          <w:lang w:bidi="fa-IR"/>
          <w:color w:val="111111"/>
          <w:sz w:val="28"/>
          <w:szCs w:val="28"/>
          <w:rtl/>
        </w:rPr>
        <w:t xml:space="preserve">محمد بن محمّد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17" w:name="pg7742_70710"/>
    <w:bookmarkEnd w:id="717"/>
    <w:p>
      <w:pPr>
        <w:pStyle w:val="Heading2"/>
      </w:pPr>
      <w:bookmarkStart w:id="5726" w:name="_Toc4828"/>
      <w:r>
        <w:t>عامري ، محمّد بن يوسف - 381 ه-</w:t>
      </w:r>
      <w:bookmarkEnd w:id="5726"/>
    </w:p>
    <w:p>
      <w:pPr>
        <w:pStyle w:val="BookText"/>
      </w:pPr>
      <w:r>
        <w:rPr>
          <w:rFonts w:ascii="IRNazanin" w:hAnsi="IRNazanin" w:eastAsia="IRNazanin" w:cs="IRNazanin"/>
          <w:lang w:bidi="fa-IR"/>
          <w:color w:val="111111"/>
          <w:sz w:val="28"/>
          <w:szCs w:val="28"/>
          <w:rtl/>
        </w:rPr>
        <w:t xml:space="preserve">1 .الأمد على الأبد، ج 2، ص 758</w:t>
      </w:r>
    </w:p>
    <w:p>
      <w:pPr>
        <w:pStyle w:val="BookText"/>
      </w:pPr>
      <w:r>
        <w:rPr>
          <w:rFonts w:ascii="IRNazanin" w:hAnsi="IRNazanin" w:eastAsia="IRNazanin" w:cs="IRNazanin"/>
          <w:lang w:bidi="fa-IR"/>
          <w:color w:val="111111"/>
          <w:sz w:val="28"/>
          <w:szCs w:val="28"/>
          <w:rtl/>
        </w:rPr>
        <w:t xml:space="preserve">2 .انقاذ البشر من الجبر والقدر، ج2،</w:t>
      </w:r>
    </w:p>
    <w:p>
      <w:pPr>
        <w:pStyle w:val="BookText"/>
      </w:pPr>
      <w:r>
        <w:rPr>
          <w:rFonts w:ascii="IRNazanin" w:hAnsi="IRNazanin" w:eastAsia="IRNazanin" w:cs="IRNazanin"/>
          <w:lang w:bidi="fa-IR"/>
          <w:color w:val="111111"/>
          <w:sz w:val="28"/>
          <w:szCs w:val="28"/>
          <w:rtl/>
        </w:rPr>
        <w:t xml:space="preserve">ص 823.</w:t>
      </w:r>
    </w:p>
    <w:p>
      <w:pPr>
        <w:pStyle w:val="Heading2"/>
      </w:pPr>
      <w:bookmarkStart w:id="5727" w:name="_Toc4829"/>
      <w:r>
        <w:t>عامري ، نجم الدين</w:t>
      </w:r>
      <w:bookmarkEnd w:id="5727"/>
    </w:p>
    <w:p>
      <w:pPr>
        <w:pStyle w:val="BookText"/>
      </w:pPr>
      <w:r>
        <w:rPr>
          <w:rFonts w:ascii="Amiri" w:hAnsi="Amiri" w:eastAsia="Amiri" w:cs="Amiri"/>
          <w:lang w:bidi="ar-SA"/>
          <w:color w:val="111111"/>
          <w:sz w:val="28"/>
          <w:szCs w:val="28"/>
          <w:rtl/>
        </w:rPr>
        <w:t xml:space="preserve">الفقه (رسالة في)، ج 12، ص 54.</w:t>
      </w:r>
    </w:p>
    <w:p>
      <w:pPr>
        <w:pStyle w:val="BookText"/>
      </w:pPr>
      <w:r>
        <w:rPr>
          <w:rFonts w:ascii="Amiri" w:hAnsi="Amiri" w:eastAsia="Amiri" w:cs="Amiri"/>
          <w:lang w:bidi="ar-SA"/>
          <w:color w:val="111111"/>
          <w:sz w:val="28"/>
          <w:szCs w:val="28"/>
          <w:rtl/>
        </w:rPr>
        <w:t xml:space="preserve">عامري نيشابوري - عامري ، محمّد بن</w:t>
      </w:r>
    </w:p>
    <w:p>
      <w:pPr>
        <w:pStyle w:val="BookText"/>
      </w:pPr>
      <w:r>
        <w:rPr>
          <w:rFonts w:ascii="Amiri" w:hAnsi="Amiri" w:eastAsia="Amiri" w:cs="Amiri"/>
          <w:lang w:bidi="ar-SA"/>
          <w:color w:val="111111"/>
          <w:sz w:val="28"/>
          <w:szCs w:val="28"/>
          <w:rtl/>
        </w:rPr>
        <w:t xml:space="preserve">يوسف</w:t>
      </w:r>
    </w:p>
    <w:p>
      <w:pPr>
        <w:pStyle w:val="Heading2"/>
      </w:pPr>
      <w:bookmarkStart w:id="5728" w:name="_Toc4830"/>
      <w:r>
        <w:t>عامري، يحيى بن ابي بكر، 816 - 893 ه-</w:t>
      </w:r>
      <w:bookmarkEnd w:id="5728"/>
    </w:p>
    <w:p>
      <w:pPr>
        <w:pStyle w:val="BookText"/>
      </w:pPr>
      <w:r>
        <w:rPr>
          <w:rFonts w:ascii="Amiri" w:hAnsi="Amiri" w:eastAsia="Amiri" w:cs="Amiri"/>
          <w:lang w:bidi="ar-SA"/>
          <w:color w:val="111111"/>
          <w:sz w:val="28"/>
          <w:szCs w:val="28"/>
          <w:rtl/>
        </w:rPr>
        <w:t xml:space="preserve">1 .بهجة المحافل في السير و المعجزات</w:t>
      </w:r>
    </w:p>
    <w:p>
      <w:pPr>
        <w:pStyle w:val="BookText"/>
      </w:pPr>
      <w:r>
        <w:rPr>
          <w:rFonts w:ascii="IRNazanin" w:hAnsi="IRNazanin" w:eastAsia="IRNazanin" w:cs="IRNazanin"/>
          <w:lang w:bidi="fa-IR"/>
          <w:color w:val="111111"/>
          <w:sz w:val="28"/>
          <w:szCs w:val="28"/>
          <w:rtl/>
        </w:rPr>
        <w:t xml:space="preserve">و الشمائل، ج 3، ص 423.</w:t>
      </w:r>
    </w:p>
    <w:p>
      <w:pPr>
        <w:pStyle w:val="BookText"/>
      </w:pPr>
      <w:r>
        <w:rPr>
          <w:rFonts w:ascii="Amiri" w:hAnsi="Amiri" w:eastAsia="Amiri" w:cs="Amiri"/>
          <w:lang w:bidi="ar-SA"/>
          <w:color w:val="111111"/>
          <w:sz w:val="28"/>
          <w:szCs w:val="28"/>
          <w:rtl/>
        </w:rPr>
        <w:t xml:space="preserve">2 .بيان الاعتقاد في ما يكثر اليه احتياج</w:t>
      </w:r>
    </w:p>
    <w:p>
      <w:pPr>
        <w:pStyle w:val="BookText"/>
      </w:pPr>
      <w:r>
        <w:rPr>
          <w:rFonts w:ascii="IRNazanin" w:hAnsi="IRNazanin" w:eastAsia="IRNazanin" w:cs="IRNazanin"/>
          <w:lang w:bidi="fa-IR"/>
          <w:color w:val="111111"/>
          <w:sz w:val="28"/>
          <w:szCs w:val="28"/>
          <w:rtl/>
        </w:rPr>
        <w:t xml:space="preserve">العباد، ج 3، ص 460.</w:t>
      </w:r>
    </w:p>
    <w:p>
      <w:pPr>
        <w:pStyle w:val="BookText"/>
      </w:pPr>
      <w:r>
        <w:rPr>
          <w:rFonts w:ascii="Amiri" w:hAnsi="Amiri" w:eastAsia="Amiri" w:cs="Amiri"/>
          <w:lang w:bidi="ar-SA"/>
          <w:color w:val="111111"/>
          <w:sz w:val="28"/>
          <w:szCs w:val="28"/>
          <w:rtl/>
        </w:rPr>
        <w:t xml:space="preserve">3.التحفة الجامعة المفردات الطب</w:t>
      </w:r>
    </w:p>
    <w:p>
      <w:pPr>
        <w:pStyle w:val="BookText"/>
      </w:pPr>
      <w:r>
        <w:rPr>
          <w:rFonts w:ascii="Amiri" w:hAnsi="Amiri" w:eastAsia="Amiri" w:cs="Amiri"/>
          <w:lang w:bidi="ar-SA"/>
          <w:color w:val="111111"/>
          <w:sz w:val="28"/>
          <w:szCs w:val="28"/>
          <w:rtl/>
        </w:rPr>
        <w:t xml:space="preserve">النافعة، ج 3، ص817.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رسائل، ج8، ص 119.</w:t>
      </w:r>
    </w:p>
    <w:p>
      <w:pPr>
        <w:pStyle w:val="BookText"/>
      </w:pPr>
      <w:r>
        <w:rPr>
          <w:rFonts w:ascii="IRNazanin" w:hAnsi="IRNazanin" w:eastAsia="IRNazanin" w:cs="IRNazanin"/>
          <w:lang w:bidi="fa-IR"/>
          <w:color w:val="111111"/>
          <w:sz w:val="28"/>
          <w:szCs w:val="28"/>
          <w:rtl/>
        </w:rPr>
        <w:t xml:space="preserve">5.العقائد، ج 11، ص131.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الفرائض (ارجوزة في )= منظومة في</w:t>
      </w:r>
    </w:p>
    <w:p>
      <w:pPr>
        <w:pStyle w:val="BookText"/>
      </w:pPr>
      <w:r>
        <w:rPr>
          <w:rFonts w:ascii="IRNazanin" w:hAnsi="IRNazanin" w:eastAsia="IRNazanin" w:cs="IRNazanin"/>
          <w:lang w:bidi="fa-IR"/>
          <w:color w:val="111111"/>
          <w:sz w:val="28"/>
          <w:szCs w:val="28"/>
          <w:rtl/>
        </w:rPr>
        <w:t xml:space="preserve">الفرائض، ج 11، ص 750 .</w:t>
      </w:r>
    </w:p>
    <w:p>
      <w:pPr>
        <w:pStyle w:val="Heading2"/>
      </w:pPr>
      <w:bookmarkStart w:id="5729" w:name="_Toc4831"/>
      <w:r>
        <w:t>عاملي ، ابراهيم قرن 14 ه-</w:t>
      </w:r>
      <w:bookmarkEnd w:id="5729"/>
    </w:p>
    <w:p>
      <w:pPr>
        <w:pStyle w:val="BookText"/>
      </w:pPr>
      <w:r>
        <w:rPr>
          <w:rFonts w:ascii="Amiri" w:hAnsi="Amiri" w:eastAsia="Amiri" w:cs="Amiri"/>
          <w:lang w:bidi="ar-SA"/>
          <w:color w:val="111111"/>
          <w:sz w:val="28"/>
          <w:szCs w:val="28"/>
          <w:rtl/>
        </w:rPr>
        <w:t xml:space="preserve">محاسن الشام (رسالة في)، ج 14،</w:t>
      </w:r>
    </w:p>
    <w:p>
      <w:pPr>
        <w:pStyle w:val="BookText"/>
      </w:pPr>
      <w:r>
        <w:rPr>
          <w:rFonts w:ascii="IRNazanin" w:hAnsi="IRNazanin" w:eastAsia="IRNazanin" w:cs="IRNazanin"/>
          <w:lang w:bidi="fa-IR"/>
          <w:color w:val="111111"/>
          <w:sz w:val="28"/>
          <w:szCs w:val="28"/>
          <w:rtl/>
        </w:rPr>
        <w:t xml:space="preserve">ص 93.</w:t>
      </w:r>
    </w:p>
    <w:p>
      <w:pPr>
        <w:pStyle w:val="BookText"/>
      </w:pPr>
      <w:r>
        <w:rPr>
          <w:rFonts w:ascii="Amiri" w:hAnsi="Amiri" w:eastAsia="Amiri" w:cs="Amiri"/>
          <w:lang w:bidi="ar-SA"/>
          <w:color w:val="111111"/>
          <w:sz w:val="28"/>
          <w:szCs w:val="28"/>
          <w:rtl/>
        </w:rPr>
        <w:t xml:space="preserve">عاملي، ابراهيم بن علي- كفعمي ،</w:t>
      </w:r>
    </w:p>
    <w:p>
      <w:pPr>
        <w:pStyle w:val="BookText"/>
      </w:pPr>
      <w:r>
        <w:rPr>
          <w:rFonts w:ascii="Amiri" w:hAnsi="Amiri" w:eastAsia="Amiri" w:cs="Amiri"/>
          <w:lang w:bidi="ar-SA"/>
          <w:color w:val="111111"/>
          <w:sz w:val="28"/>
          <w:szCs w:val="28"/>
          <w:rtl/>
        </w:rPr>
        <w:t xml:space="preserve">ابراهيم بن علي</w:t>
      </w:r>
    </w:p>
    <w:p>
      <w:pPr>
        <w:pStyle w:val="BookText"/>
      </w:pPr>
      <w:r>
        <w:rPr>
          <w:rFonts w:ascii="Amiri" w:hAnsi="Amiri" w:eastAsia="Amiri" w:cs="Amiri"/>
          <w:lang w:bidi="ar-SA"/>
          <w:color w:val="111111"/>
          <w:sz w:val="28"/>
          <w:szCs w:val="28"/>
          <w:rtl/>
        </w:rPr>
        <w:t xml:space="preserve">عاملي، ابراهيم بن يحيى- طيبي</w:t>
      </w:r>
    </w:p>
    <w:p>
      <w:pPr>
        <w:pStyle w:val="BookText"/>
      </w:pPr>
      <w:r>
        <w:rPr>
          <w:rFonts w:ascii="Amiri" w:hAnsi="Amiri" w:eastAsia="Amiri" w:cs="Amiri"/>
          <w:lang w:bidi="ar-SA"/>
          <w:color w:val="111111"/>
          <w:sz w:val="28"/>
          <w:szCs w:val="28"/>
          <w:rtl/>
        </w:rPr>
        <w:t xml:space="preserve">ابراهيم بن يحيى</w:t>
      </w:r>
    </w:p>
    <w:p>
      <w:pPr>
        <w:pStyle w:val="Heading2"/>
      </w:pPr>
      <w:bookmarkStart w:id="5730" w:name="_Toc4832"/>
      <w:r>
        <w:t>عاملي، ابراهيم صادق</w:t>
      </w:r>
      <w:bookmarkEnd w:id="5730"/>
    </w:p>
    <w:p>
      <w:pPr>
        <w:pStyle w:val="BookText"/>
      </w:pPr>
      <w:r>
        <w:rPr>
          <w:rFonts w:ascii="IRNazanin" w:hAnsi="IRNazanin" w:eastAsia="IRNazanin" w:cs="IRNazanin"/>
          <w:lang w:bidi="fa-IR"/>
          <w:color w:val="111111"/>
          <w:sz w:val="28"/>
          <w:szCs w:val="28"/>
          <w:rtl/>
        </w:rPr>
        <w:t xml:space="preserve">دیوان ابراهیم صادق، ج 7، ص 511</w:t>
      </w:r>
    </w:p>
    <w:p>
      <w:pPr>
        <w:pStyle w:val="BookText"/>
      </w:pPr>
      <w:r>
        <w:rPr>
          <w:rFonts w:ascii="Amiri" w:hAnsi="Amiri" w:eastAsia="Amiri" w:cs="Amiri"/>
          <w:lang w:bidi="ar-SA"/>
          <w:color w:val="111111"/>
          <w:sz w:val="28"/>
          <w:szCs w:val="28"/>
          <w:rtl/>
        </w:rPr>
        <w:t xml:space="preserve">عاملي ، ابوالحسن بن محمّد طاهر - فتوني</w:t>
      </w:r>
    </w:p>
    <w:p>
      <w:pPr>
        <w:pStyle w:val="BookText"/>
      </w:pPr>
      <w:r>
        <w:rPr>
          <w:rFonts w:ascii="Amiri" w:hAnsi="Amiri" w:eastAsia="Amiri" w:cs="Amiri"/>
          <w:lang w:bidi="ar-SA"/>
          <w:color w:val="111111"/>
          <w:sz w:val="28"/>
          <w:szCs w:val="28"/>
          <w:rtl/>
        </w:rPr>
        <w:t xml:space="preserve">اصفهاني ، ابوالحسن بن محمّد طاهر</w:t>
      </w:r>
    </w:p>
    <w:p>
      <w:pPr>
        <w:pStyle w:val="BookText"/>
      </w:pPr>
      <w:r>
        <w:rPr>
          <w:rFonts w:ascii="Amiri" w:hAnsi="Amiri" w:eastAsia="Amiri" w:cs="Amiri"/>
          <w:lang w:bidi="ar-SA"/>
          <w:color w:val="111111"/>
          <w:sz w:val="28"/>
          <w:szCs w:val="28"/>
          <w:rtl/>
        </w:rPr>
        <w:t xml:space="preserve">عاملي ، احمد بن حسن -حر عاملي ،</w:t>
      </w:r>
    </w:p>
    <w:p>
      <w:pPr>
        <w:pStyle w:val="BookText"/>
      </w:pPr>
      <w:r>
        <w:rPr>
          <w:rFonts w:ascii="IRNazanin" w:hAnsi="IRNazanin" w:eastAsia="IRNazanin" w:cs="IRNazanin"/>
          <w:lang w:bidi="fa-IR"/>
          <w:color w:val="111111"/>
          <w:sz w:val="28"/>
          <w:szCs w:val="28"/>
          <w:rtl/>
        </w:rPr>
        <w:t xml:space="preserve">احمد بن حسن</w:t>
      </w:r>
    </w:p>
    <w:p>
      <w:pPr>
        <w:pStyle w:val="BookText"/>
      </w:pPr>
      <w:r>
        <w:rPr>
          <w:rFonts w:ascii="Amiri" w:hAnsi="Amiri" w:eastAsia="Amiri" w:cs="Amiri"/>
          <w:lang w:bidi="ar-SA"/>
          <w:color w:val="111111"/>
          <w:sz w:val="28"/>
          <w:szCs w:val="28"/>
          <w:rtl/>
        </w:rPr>
        <w:t xml:space="preserve">عاملي ، احمد بن زين العابدين -علوي</w:t>
      </w:r>
    </w:p>
    <w:p>
      <w:pPr>
        <w:pStyle w:val="BookText"/>
      </w:pPr>
      <w:r>
        <w:rPr>
          <w:rFonts w:ascii="Amiri" w:hAnsi="Amiri" w:eastAsia="Amiri" w:cs="Amiri"/>
          <w:lang w:bidi="ar-SA"/>
          <w:color w:val="111111"/>
          <w:sz w:val="28"/>
          <w:szCs w:val="28"/>
          <w:rtl/>
        </w:rPr>
        <w:t xml:space="preserve">عاملي ، احمد بن زين العابدين</w:t>
      </w:r>
    </w:p>
    <w:p>
      <w:pPr>
        <w:pStyle w:val="Heading2"/>
      </w:pPr>
      <w:bookmarkStart w:id="5731" w:name="_Toc4833"/>
      <w:r>
        <w:t>عاملي، احمد بن محمّد قرن 11 ه-</w:t>
      </w:r>
      <w:bookmarkEnd w:id="5731"/>
    </w:p>
    <w:p>
      <w:pPr>
        <w:pStyle w:val="BookText"/>
      </w:pPr>
      <w:r>
        <w:rPr>
          <w:rFonts w:ascii="Amiri" w:hAnsi="Amiri" w:eastAsia="Amiri" w:cs="Amiri"/>
          <w:lang w:bidi="ar-SA"/>
          <w:color w:val="111111"/>
          <w:sz w:val="28"/>
          <w:szCs w:val="28"/>
          <w:rtl/>
        </w:rPr>
        <w:t xml:space="preserve">كنز العارفين = كشكول شيخ بهائي (ترجمه)، ج13، ص 423 .</w:t>
      </w:r>
    </w:p>
    <w:p>
      <w:pPr>
        <w:pStyle w:val="Heading2"/>
      </w:pPr>
      <w:bookmarkStart w:id="5732" w:name="_Toc4834"/>
      <w:r>
        <w:t>عاملي ، اسماعيل بن محمّد</w:t>
      </w:r>
      <w:bookmarkEnd w:id="5732"/>
    </w:p>
    <w:p>
      <w:pPr>
        <w:pStyle w:val="BookText"/>
      </w:pPr>
      <w:r>
        <w:rPr>
          <w:rFonts w:ascii="Amiri" w:hAnsi="Amiri" w:eastAsia="Amiri" w:cs="Amiri"/>
          <w:lang w:bidi="ar-SA"/>
          <w:color w:val="111111"/>
          <w:sz w:val="28"/>
          <w:szCs w:val="28"/>
          <w:rtl/>
        </w:rPr>
        <w:t xml:space="preserve">مختصر شرح الشهاب للقضاعي، ج 14</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Amiri" w:hAnsi="Amiri" w:eastAsia="Amiri" w:cs="Amiri"/>
          <w:lang w:bidi="ar-SA"/>
          <w:color w:val="111111"/>
          <w:sz w:val="28"/>
          <w:szCs w:val="28"/>
          <w:rtl/>
        </w:rPr>
        <w:t xml:space="preserve">عاملي اصفهاني ، صدر الدين بن صالح -عاملي اصفهاني ، محمّد بن صالح</w:t>
      </w:r>
    </w:p>
    <w:p>
      <w:pPr>
        <w:pStyle w:val="Heading2"/>
      </w:pPr>
      <w:bookmarkStart w:id="5733" w:name="_Toc4835"/>
      <w:r>
        <w:t>عاملي اصفهاني ، محمّد بن صالح، 1193 -</w:t>
      </w:r>
      <w:bookmarkEnd w:id="5733"/>
    </w:p>
    <w:p>
      <w:pPr>
        <w:pStyle w:val="BookText"/>
      </w:pPr>
      <w:r>
        <w:rPr>
          <w:rFonts w:ascii="IRNazanin" w:hAnsi="IRNazanin" w:eastAsia="IRNazanin" w:cs="IRNazanin"/>
          <w:lang w:bidi="fa-IR"/>
          <w:color w:val="111111"/>
          <w:sz w:val="28"/>
          <w:szCs w:val="28"/>
          <w:rtl/>
        </w:rPr>
        <w:t xml:space="preserve">1263ه-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الرضاع (منظومة في) مع شرحها،</w:t>
      </w:r>
    </w:p>
    <w:p>
      <w:pPr>
        <w:pStyle w:val="BookText"/>
      </w:pPr>
      <w:r>
        <w:rPr>
          <w:rFonts w:ascii="IRNazanin" w:hAnsi="IRNazanin" w:eastAsia="IRNazanin" w:cs="IRNazanin"/>
          <w:lang w:bidi="fa-IR"/>
          <w:color w:val="111111"/>
          <w:sz w:val="28"/>
          <w:szCs w:val="28"/>
          <w:rtl/>
        </w:rPr>
        <w:t xml:space="preserve">ج 8، ص319.</w:t>
      </w:r>
    </w:p>
    <w:p>
      <w:pPr>
        <w:pStyle w:val="BookText"/>
      </w:pPr>
      <w:r>
        <w:rPr>
          <w:rFonts w:ascii="Amiri" w:hAnsi="Amiri" w:eastAsia="Amiri" w:cs="Amiri"/>
          <w:lang w:bidi="ar-SA"/>
          <w:color w:val="111111"/>
          <w:sz w:val="28"/>
          <w:szCs w:val="28"/>
          <w:rtl/>
        </w:rPr>
        <w:t xml:space="preserve">2 .الرضاعية =( ارجوزة في) الرضاع، ج8،</w:t>
      </w:r>
    </w:p>
    <w:p>
      <w:pPr>
        <w:pStyle w:val="BookText"/>
      </w:pPr>
      <w:r>
        <w:rPr>
          <w:rFonts w:ascii="IRNazanin" w:hAnsi="IRNazanin" w:eastAsia="IRNazanin" w:cs="IRNazanin"/>
          <w:lang w:bidi="fa-IR"/>
          <w:color w:val="111111"/>
          <w:sz w:val="28"/>
          <w:szCs w:val="28"/>
          <w:rtl/>
        </w:rPr>
        <w:t xml:space="preserve">ص 326.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الرضاعية = شرح ارجوزة</w:t>
      </w:r>
    </w:p>
    <w:p>
      <w:pPr>
        <w:pStyle w:val="BookText"/>
      </w:pPr>
      <w:r>
        <w:rPr>
          <w:rFonts w:ascii="Amiri" w:hAnsi="Amiri" w:eastAsia="Amiri" w:cs="Amiri"/>
          <w:lang w:bidi="ar-SA"/>
          <w:color w:val="111111"/>
          <w:sz w:val="28"/>
          <w:szCs w:val="28"/>
          <w:rtl/>
        </w:rPr>
        <w:t xml:space="preserve">الرضاعية، ج 9، ص 570.</w:t>
      </w:r>
    </w:p>
    <w:p>
      <w:pPr>
        <w:pStyle w:val="BookText"/>
      </w:pPr>
      <w:r>
        <w:rPr>
          <w:rFonts w:ascii="Amiri" w:hAnsi="Amiri" w:eastAsia="Amiri" w:cs="Amiri"/>
          <w:lang w:bidi="ar-SA"/>
          <w:color w:val="111111"/>
          <w:sz w:val="28"/>
          <w:szCs w:val="28"/>
          <w:rtl/>
        </w:rPr>
        <w:t xml:space="preserve">4 .قرة العين، ج 12، ص 567.</w:t>
      </w:r>
    </w:p>
    <w:p>
      <w:pPr>
        <w:pStyle w:val="BookText"/>
      </w:pPr>
      <w:r>
        <w:rPr>
          <w:rFonts w:ascii="Amiri" w:hAnsi="Amiri" w:eastAsia="Amiri" w:cs="Amiri"/>
          <w:lang w:bidi="ar-SA"/>
          <w:color w:val="111111"/>
          <w:sz w:val="28"/>
          <w:szCs w:val="28"/>
          <w:rtl/>
        </w:rPr>
        <w:t xml:space="preserve">5 .نكت الرجال على منتهي المقال =</w:t>
      </w:r>
    </w:p>
    <w:p>
      <w:pPr>
        <w:pStyle w:val="BookText"/>
      </w:pPr>
      <w:r>
        <w:rPr>
          <w:rFonts w:ascii="Amiri" w:hAnsi="Amiri" w:eastAsia="Amiri" w:cs="Amiri"/>
          <w:lang w:bidi="ar-SA"/>
          <w:color w:val="111111"/>
          <w:sz w:val="28"/>
          <w:szCs w:val="28"/>
          <w:rtl/>
        </w:rPr>
        <w:t xml:space="preserve">الحواشي على منتهي المقال في احوال الرجال، ج 16، ص 463.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18" w:name="pg7742_70711"/>
    <w:bookmarkEnd w:id="718"/>
    <w:p>
      <w:pPr>
        <w:pStyle w:val="Heading2"/>
      </w:pPr>
      <w:bookmarkStart w:id="5734" w:name="_Toc4836"/>
      <w:r>
        <w:t>عاملي ، بهاء الدين محمّد قرن 14 ه-</w:t>
      </w:r>
      <w:bookmarkEnd w:id="5734"/>
    </w:p>
    <w:p>
      <w:pPr>
        <w:pStyle w:val="BookText"/>
      </w:pPr>
      <w:r>
        <w:rPr>
          <w:rFonts w:ascii="Amiri" w:hAnsi="Amiri" w:eastAsia="Amiri" w:cs="Amiri"/>
          <w:lang w:bidi="ar-SA"/>
          <w:color w:val="111111"/>
          <w:sz w:val="28"/>
          <w:szCs w:val="28"/>
          <w:rtl/>
        </w:rPr>
        <w:t xml:space="preserve">حاشية زبدة الاصول، ج 6، ص 2.</w:t>
      </w:r>
    </w:p>
    <w:p>
      <w:pPr>
        <w:pStyle w:val="BookText"/>
      </w:pPr>
      <w:r>
        <w:rPr>
          <w:rFonts w:ascii="Amiri" w:hAnsi="Amiri" w:eastAsia="Amiri" w:cs="Amiri"/>
          <w:lang w:bidi="ar-SA"/>
          <w:color w:val="111111"/>
          <w:sz w:val="28"/>
          <w:szCs w:val="28"/>
          <w:rtl/>
        </w:rPr>
        <w:t xml:space="preserve">عاملي ، تقي الدين ابراهيم - كفعمي ،</w:t>
      </w:r>
    </w:p>
    <w:p>
      <w:pPr>
        <w:pStyle w:val="BookText"/>
      </w:pPr>
      <w:r>
        <w:rPr>
          <w:rFonts w:ascii="Amiri" w:hAnsi="Amiri" w:eastAsia="Amiri" w:cs="Amiri"/>
          <w:lang w:bidi="ar-SA"/>
          <w:color w:val="111111"/>
          <w:sz w:val="28"/>
          <w:szCs w:val="28"/>
          <w:rtl/>
        </w:rPr>
        <w:t xml:space="preserve">ابراهيم بن علي</w:t>
      </w:r>
    </w:p>
    <w:p>
      <w:pPr>
        <w:pStyle w:val="BookText"/>
      </w:pPr>
      <w:r>
        <w:rPr>
          <w:rFonts w:ascii="Amiri" w:hAnsi="Amiri" w:eastAsia="Amiri" w:cs="Amiri"/>
          <w:lang w:bidi="ar-SA"/>
          <w:color w:val="111111"/>
          <w:sz w:val="28"/>
          <w:szCs w:val="28"/>
          <w:rtl/>
        </w:rPr>
        <w:t xml:space="preserve">عاملي ، جواد بن سعد -فاضل جواد ،</w:t>
      </w:r>
    </w:p>
    <w:p>
      <w:pPr>
        <w:pStyle w:val="BookText"/>
      </w:pPr>
      <w:r>
        <w:rPr>
          <w:rFonts w:ascii="Amiri" w:hAnsi="Amiri" w:eastAsia="Amiri" w:cs="Amiri"/>
          <w:lang w:bidi="ar-SA"/>
          <w:color w:val="111111"/>
          <w:sz w:val="28"/>
          <w:szCs w:val="28"/>
          <w:rtl/>
        </w:rPr>
        <w:t xml:space="preserve">جواد بن سعيد</w:t>
      </w:r>
    </w:p>
    <w:p>
      <w:pPr>
        <w:pStyle w:val="BookText"/>
      </w:pPr>
      <w:r>
        <w:rPr>
          <w:rFonts w:ascii="Amiri" w:hAnsi="Amiri" w:eastAsia="Amiri" w:cs="Amiri"/>
          <w:lang w:bidi="ar-SA"/>
          <w:color w:val="111111"/>
          <w:sz w:val="28"/>
          <w:szCs w:val="28"/>
          <w:rtl/>
        </w:rPr>
        <w:t xml:space="preserve">عاملي ، جواد بن علي- آل ابي جامع</w:t>
      </w:r>
    </w:p>
    <w:p>
      <w:pPr>
        <w:pStyle w:val="BookText"/>
      </w:pPr>
      <w:r>
        <w:rPr>
          <w:rFonts w:ascii="IRNazanin" w:hAnsi="IRNazanin" w:eastAsia="IRNazanin" w:cs="IRNazanin"/>
          <w:lang w:bidi="fa-IR"/>
          <w:color w:val="111111"/>
          <w:sz w:val="28"/>
          <w:szCs w:val="28"/>
          <w:rtl/>
        </w:rPr>
        <w:t xml:space="preserve">جواد بن على</w:t>
      </w:r>
    </w:p>
    <w:p>
      <w:pPr>
        <w:pStyle w:val="BookText"/>
      </w:pPr>
      <w:r>
        <w:rPr>
          <w:rFonts w:ascii="Amiri" w:hAnsi="Amiri" w:eastAsia="Amiri" w:cs="Amiri"/>
          <w:lang w:bidi="ar-SA"/>
          <w:color w:val="111111"/>
          <w:sz w:val="28"/>
          <w:szCs w:val="28"/>
          <w:rtl/>
        </w:rPr>
        <w:t xml:space="preserve">عاملي ، جواد بن محمّد -عاملي غروي ،</w:t>
      </w:r>
    </w:p>
    <w:p>
      <w:pPr>
        <w:pStyle w:val="BookText"/>
      </w:pPr>
      <w:r>
        <w:rPr>
          <w:rFonts w:ascii="IRNazanin" w:hAnsi="IRNazanin" w:eastAsia="IRNazanin" w:cs="IRNazanin"/>
          <w:lang w:bidi="fa-IR"/>
          <w:color w:val="111111"/>
          <w:sz w:val="28"/>
          <w:szCs w:val="28"/>
          <w:rtl/>
        </w:rPr>
        <w:t xml:space="preserve">جواد بن محمّد</w:t>
      </w:r>
    </w:p>
    <w:p>
      <w:pPr>
        <w:pStyle w:val="BookText"/>
      </w:pPr>
      <w:r>
        <w:rPr>
          <w:rFonts w:ascii="Amiri" w:hAnsi="Amiri" w:eastAsia="Amiri" w:cs="Amiri"/>
          <w:lang w:bidi="ar-SA"/>
          <w:color w:val="111111"/>
          <w:sz w:val="28"/>
          <w:szCs w:val="28"/>
          <w:rtl/>
        </w:rPr>
        <w:t xml:space="preserve">عاملي جيلي ، علي بن محمّد-ابن مكي</w:t>
      </w:r>
    </w:p>
    <w:p>
      <w:pPr>
        <w:pStyle w:val="BookText"/>
      </w:pPr>
      <w:r>
        <w:rPr>
          <w:rFonts w:ascii="Amiri" w:hAnsi="Amiri" w:eastAsia="Amiri" w:cs="Amiri"/>
          <w:lang w:bidi="ar-SA"/>
          <w:color w:val="111111"/>
          <w:sz w:val="28"/>
          <w:szCs w:val="28"/>
          <w:rtl/>
        </w:rPr>
        <w:t xml:space="preserve">علي بن محمّد</w:t>
      </w:r>
    </w:p>
    <w:p>
      <w:pPr>
        <w:pStyle w:val="Heading2"/>
      </w:pPr>
      <w:bookmarkStart w:id="5735" w:name="_Toc4837"/>
      <w:r>
        <w:t>عاملي حانيني ، حسن بن علي، قرن 11 ه-</w:t>
      </w:r>
      <w:bookmarkEnd w:id="5735"/>
    </w:p>
    <w:p>
      <w:pPr>
        <w:pStyle w:val="BookText"/>
      </w:pPr>
      <w:r>
        <w:rPr>
          <w:rFonts w:ascii="IRNazanin" w:hAnsi="IRNazanin" w:eastAsia="IRNazanin" w:cs="IRNazanin"/>
          <w:lang w:bidi="fa-IR"/>
          <w:color w:val="111111"/>
          <w:sz w:val="28"/>
          <w:szCs w:val="28"/>
          <w:rtl/>
        </w:rPr>
        <w:t xml:space="preserve">دیوان حانيني، ج 7، ص 618.</w:t>
      </w:r>
    </w:p>
    <w:p>
      <w:pPr>
        <w:pStyle w:val="BookText"/>
      </w:pPr>
      <w:r>
        <w:rPr>
          <w:rFonts w:ascii="IRNazanin" w:hAnsi="IRNazanin" w:eastAsia="IRNazanin" w:cs="IRNazanin"/>
          <w:lang w:bidi="fa-IR"/>
          <w:color w:val="111111"/>
          <w:sz w:val="28"/>
          <w:szCs w:val="28"/>
          <w:rtl/>
        </w:rPr>
        <w:t xml:space="preserve">عاملي ، حبیب بن اوس- ابو تمام ، حبيب</w:t>
      </w:r>
    </w:p>
    <w:p>
      <w:pPr>
        <w:pStyle w:val="BookText"/>
      </w:pPr>
      <w:r>
        <w:rPr>
          <w:rFonts w:ascii="IRNazanin" w:hAnsi="IRNazanin" w:eastAsia="IRNazanin" w:cs="IRNazanin"/>
          <w:lang w:bidi="fa-IR"/>
          <w:color w:val="111111"/>
          <w:sz w:val="28"/>
          <w:szCs w:val="28"/>
          <w:rtl/>
        </w:rPr>
        <w:t xml:space="preserve">بن اوس</w:t>
      </w:r>
    </w:p>
    <w:p>
      <w:pPr>
        <w:pStyle w:val="Heading2"/>
      </w:pPr>
      <w:bookmarkStart w:id="5736" w:name="_Toc4838"/>
      <w:r>
        <w:t>عاملي ، حسن بن زين الدين 959 -</w:t>
      </w:r>
      <w:bookmarkEnd w:id="5736"/>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1 .الاثنى عشرية في الصلاة، ج 1،</w:t>
      </w:r>
    </w:p>
    <w:p>
      <w:pPr>
        <w:pStyle w:val="BookText"/>
      </w:pPr>
      <w:r>
        <w:rPr>
          <w:rFonts w:ascii="IRNazanin" w:hAnsi="IRNazanin" w:eastAsia="IRNazanin" w:cs="IRNazanin"/>
          <w:lang w:bidi="fa-IR"/>
          <w:color w:val="111111"/>
          <w:sz w:val="28"/>
          <w:szCs w:val="28"/>
          <w:rtl/>
        </w:rPr>
        <w:t xml:space="preserve">ص 185.</w:t>
      </w:r>
    </w:p>
    <w:p>
      <w:pPr>
        <w:pStyle w:val="BookText"/>
      </w:pPr>
      <w:r>
        <w:rPr>
          <w:rFonts w:ascii="Amiri" w:hAnsi="Amiri" w:eastAsia="Amiri" w:cs="Amiri"/>
          <w:lang w:bidi="ar-SA"/>
          <w:color w:val="111111"/>
          <w:sz w:val="28"/>
          <w:szCs w:val="28"/>
          <w:rtl/>
        </w:rPr>
        <w:t xml:space="preserve">2 .اجازة كبيرة، ج 1، ص227.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اجازة للسيد نجم بن محمد الحسيني و لولديه ابي عبدالله محمد و ابي الصلاح علي، ج1،</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Amiri" w:hAnsi="Amiri" w:eastAsia="Amiri" w:cs="Amiri"/>
          <w:lang w:bidi="ar-SA"/>
          <w:color w:val="111111"/>
          <w:sz w:val="28"/>
          <w:szCs w:val="28"/>
          <w:rtl/>
        </w:rPr>
        <w:t xml:space="preserve">4 .الاجتهاد والتقليد (فائدة في)، ج1،</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Amiri" w:hAnsi="Amiri" w:eastAsia="Amiri" w:cs="Amiri"/>
          <w:lang w:bidi="ar-SA"/>
          <w:color w:val="111111"/>
          <w:sz w:val="28"/>
          <w:szCs w:val="28"/>
          <w:rtl/>
        </w:rPr>
        <w:t xml:space="preserve">5 .اجوبة المسائل المدنيات الأولى اجوبة المسائل الفقهية = المسائل</w:t>
      </w:r>
    </w:p>
    <w:p>
      <w:pPr>
        <w:pStyle w:val="BookText"/>
      </w:pPr>
      <w:r>
        <w:rPr>
          <w:rFonts w:ascii="Amiri" w:hAnsi="Amiri" w:eastAsia="Amiri" w:cs="Amiri"/>
          <w:lang w:bidi="ar-SA"/>
          <w:color w:val="111111"/>
          <w:sz w:val="28"/>
          <w:szCs w:val="28"/>
          <w:rtl/>
        </w:rPr>
        <w:t xml:space="preserve">المدنيات الأولى، ج 1، ص 370.</w:t>
      </w:r>
    </w:p>
    <w:p>
      <w:pPr>
        <w:pStyle w:val="BookText"/>
      </w:pPr>
      <w:r>
        <w:rPr>
          <w:rFonts w:ascii="Amiri" w:hAnsi="Amiri" w:eastAsia="Amiri" w:cs="Amiri"/>
          <w:lang w:bidi="ar-SA"/>
          <w:color w:val="111111"/>
          <w:sz w:val="28"/>
          <w:szCs w:val="28"/>
          <w:rtl/>
        </w:rPr>
        <w:t xml:space="preserve">6 .اجوبة المسائل المدنيات الثانية = اجوبة المسائل الفقهية - المسائل</w:t>
      </w:r>
    </w:p>
    <w:p>
      <w:pPr>
        <w:pStyle w:val="BookText"/>
      </w:pPr>
      <w:r>
        <w:rPr>
          <w:rFonts w:ascii="Amiri" w:hAnsi="Amiri" w:eastAsia="Amiri" w:cs="Amiri"/>
          <w:lang w:bidi="ar-SA"/>
          <w:color w:val="111111"/>
          <w:sz w:val="28"/>
          <w:szCs w:val="28"/>
          <w:rtl/>
        </w:rPr>
        <w:t xml:space="preserve">المدنيات الثانية، ج 1، ص 371.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التحرير الطاووسي، ج 3، ص 737.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ترتيب مشيخة من لا يحضره الفقيه</w:t>
      </w:r>
    </w:p>
    <w:p>
      <w:pPr>
        <w:pStyle w:val="BookText"/>
      </w:pPr>
      <w:r>
        <w:rPr>
          <w:rFonts w:ascii="IRNazanin" w:hAnsi="IRNazanin" w:eastAsia="IRNazanin" w:cs="IRNazanin"/>
          <w:lang w:bidi="fa-IR"/>
          <w:color w:val="111111"/>
          <w:sz w:val="28"/>
          <w:szCs w:val="28"/>
          <w:rtl/>
        </w:rPr>
        <w:t xml:space="preserve">ج 4 ، ص 246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الفوائد الاثنى عشر الرجالية =</w:t>
      </w:r>
    </w:p>
    <w:p>
      <w:pPr>
        <w:pStyle w:val="BookText"/>
      </w:pPr>
      <w:r>
        <w:rPr>
          <w:rFonts w:ascii="Amiri" w:hAnsi="Amiri" w:eastAsia="Amiri" w:cs="Amiri"/>
          <w:lang w:bidi="ar-SA"/>
          <w:color w:val="111111"/>
          <w:sz w:val="28"/>
          <w:szCs w:val="28"/>
          <w:rtl/>
        </w:rPr>
        <w:t xml:space="preserve">الفوائد الرجالية، ج 12، ص 176.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القصيدة الموسومة بالنفحة الغروية في مدح خير البرية، ج 12،</w:t>
      </w:r>
    </w:p>
    <w:p>
      <w:pPr>
        <w:pStyle w:val="BookText"/>
      </w:pPr>
      <w:r>
        <w:rPr>
          <w:rFonts w:ascii="IRNazanin" w:hAnsi="IRNazanin" w:eastAsia="IRNazanin" w:cs="IRNazanin"/>
          <w:lang w:bidi="fa-IR"/>
          <w:color w:val="111111"/>
          <w:sz w:val="28"/>
          <w:szCs w:val="28"/>
          <w:rtl/>
        </w:rPr>
        <w:t xml:space="preserve">ص 717.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الكلمات النفيسة، ج13، ص371.</w:t>
      </w:r>
    </w:p>
    <w:p>
      <w:pPr>
        <w:pStyle w:val="BookText"/>
      </w:pPr>
      <w:r>
        <w:rPr>
          <w:rFonts w:ascii="Amiri" w:hAnsi="Amiri" w:eastAsia="Amiri" w:cs="Amiri"/>
          <w:lang w:bidi="ar-SA"/>
          <w:color w:val="111111"/>
          <w:sz w:val="28"/>
          <w:szCs w:val="28"/>
          <w:rtl/>
        </w:rPr>
        <w:t xml:space="preserve">12 .معالم الاصول = معالم الدين و</w:t>
      </w:r>
    </w:p>
    <w:p>
      <w:pPr>
        <w:pStyle w:val="BookText"/>
      </w:pPr>
      <w:r>
        <w:rPr>
          <w:rFonts w:ascii="Amiri" w:hAnsi="Amiri" w:eastAsia="Amiri" w:cs="Amiri"/>
          <w:lang w:bidi="ar-SA"/>
          <w:color w:val="111111"/>
          <w:sz w:val="28"/>
          <w:szCs w:val="28"/>
          <w:rtl/>
        </w:rPr>
        <w:t xml:space="preserve">ملاذ المجتهدين، ج 14، ص 854.</w:t>
      </w:r>
    </w:p>
    <w:p>
      <w:pPr>
        <w:pStyle w:val="BookText"/>
      </w:pPr>
      <w:r>
        <w:rPr>
          <w:rFonts w:ascii="Amiri" w:hAnsi="Amiri" w:eastAsia="Amiri" w:cs="Amiri"/>
          <w:lang w:bidi="ar-SA"/>
          <w:color w:val="111111"/>
          <w:sz w:val="28"/>
          <w:szCs w:val="28"/>
          <w:rtl/>
        </w:rPr>
        <w:t xml:space="preserve">13 .مناهج اليقين إلى كنوز معالم</w:t>
      </w:r>
    </w:p>
    <w:p>
      <w:pPr>
        <w:pStyle w:val="BookText"/>
      </w:pPr>
      <w:r>
        <w:rPr>
          <w:rFonts w:ascii="Amiri" w:hAnsi="Amiri" w:eastAsia="Amiri" w:cs="Amiri"/>
          <w:lang w:bidi="ar-SA"/>
          <w:color w:val="111111"/>
          <w:sz w:val="28"/>
          <w:szCs w:val="28"/>
          <w:rtl/>
        </w:rPr>
        <w:t xml:space="preserve">الدين، ج 15 ، ص 575.</w:t>
      </w:r>
    </w:p>
    <w:p>
      <w:pPr>
        <w:pStyle w:val="BookText"/>
      </w:pPr>
      <w:r>
        <w:rPr>
          <w:rFonts w:ascii="Amiri" w:hAnsi="Amiri" w:eastAsia="Amiri" w:cs="Amiri"/>
          <w:lang w:bidi="ar-SA"/>
          <w:color w:val="111111"/>
          <w:sz w:val="28"/>
          <w:szCs w:val="28"/>
          <w:rtl/>
        </w:rPr>
        <w:t xml:space="preserve">14 .منتقي الجمان في الاحاديث الصحاح و الحسان، ج 15 ، ص 625.</w:t>
      </w:r>
    </w:p>
    <w:p>
      <w:pPr>
        <w:pStyle w:val="BookText"/>
      </w:pPr>
      <w:r>
        <w:rPr>
          <w:rFonts w:ascii="Amiri" w:hAnsi="Amiri" w:eastAsia="Amiri" w:cs="Amiri"/>
          <w:lang w:bidi="ar-SA"/>
          <w:color w:val="111111"/>
          <w:sz w:val="28"/>
          <w:szCs w:val="28"/>
          <w:rtl/>
        </w:rPr>
        <w:t xml:space="preserve">15 .نسيم الصبا (منتخب)، ج 16،</w:t>
      </w:r>
    </w:p>
    <w:p>
      <w:pPr>
        <w:pStyle w:val="BookText"/>
      </w:pPr>
      <w:r>
        <w:rPr>
          <w:rFonts w:ascii="IRNazanin" w:hAnsi="IRNazanin" w:eastAsia="IRNazanin" w:cs="IRNazanin"/>
          <w:lang w:bidi="fa-IR"/>
          <w:color w:val="111111"/>
          <w:sz w:val="28"/>
          <w:szCs w:val="28"/>
          <w:rtl/>
        </w:rPr>
        <w:t xml:space="preserve">ص 285</w:t>
      </w:r>
    </w:p>
    <w:p>
      <w:pPr>
        <w:pStyle w:val="Heading2"/>
      </w:pPr>
      <w:bookmarkStart w:id="5737" w:name="_Toc4839"/>
      <w:r>
        <w:t>عاملي ، حسن بن سليمان قرن 13 ه-</w:t>
      </w:r>
      <w:bookmarkEnd w:id="5737"/>
    </w:p>
    <w:p>
      <w:pPr>
        <w:pStyle w:val="BookText"/>
      </w:pPr>
      <w:r>
        <w:rPr>
          <w:rFonts w:ascii="Amiri" w:hAnsi="Amiri" w:eastAsia="Amiri" w:cs="Amiri"/>
          <w:lang w:bidi="ar-SA"/>
          <w:color w:val="111111"/>
          <w:sz w:val="28"/>
          <w:szCs w:val="28"/>
          <w:rtl/>
        </w:rPr>
        <w:t xml:space="preserve">المقادير (رسالة في)، ج 15، ص 266.</w:t>
      </w:r>
    </w:p>
    <w:p>
      <w:pPr>
        <w:pStyle w:val="BookText"/>
      </w:pPr>
      <w:r>
        <w:rPr>
          <w:rFonts w:ascii="Amiri" w:hAnsi="Amiri" w:eastAsia="Amiri" w:cs="Amiri"/>
          <w:lang w:bidi="ar-SA"/>
          <w:color w:val="111111"/>
          <w:sz w:val="28"/>
          <w:szCs w:val="28"/>
          <w:rtl/>
        </w:rPr>
        <w:t xml:space="preserve">عاملي ، حسن بن هادي -صدر ، حسن بن</w:t>
      </w:r>
    </w:p>
    <w:p>
      <w:pPr>
        <w:pStyle w:val="BookText"/>
      </w:pPr>
      <w:r>
        <w:rPr>
          <w:rFonts w:ascii="Amiri" w:hAnsi="Amiri" w:eastAsia="Amiri" w:cs="Amiri"/>
          <w:lang w:bidi="ar-SA"/>
          <w:color w:val="111111"/>
          <w:sz w:val="28"/>
          <w:szCs w:val="28"/>
          <w:rtl/>
        </w:rPr>
        <w:t xml:space="preserve">هادي</w:t>
      </w:r>
    </w:p>
    <w:p>
      <w:pPr>
        <w:pStyle w:val="BookText"/>
      </w:pPr>
      <w:r>
        <w:rPr>
          <w:rFonts w:ascii="Amiri" w:hAnsi="Amiri" w:eastAsia="Amiri" w:cs="Amiri"/>
          <w:lang w:bidi="ar-SA"/>
          <w:color w:val="111111"/>
          <w:sz w:val="28"/>
          <w:szCs w:val="28"/>
          <w:rtl/>
        </w:rPr>
        <w:t xml:space="preserve">عاملي ، حسين بن شهاب الدين- كركي</w:t>
      </w:r>
    </w:p>
    <w:p>
      <w:pPr>
        <w:pStyle w:val="BookText"/>
      </w:pPr>
      <w:r>
        <w:rPr>
          <w:rFonts w:ascii="Amiri" w:hAnsi="Amiri" w:eastAsia="Amiri" w:cs="Amiri"/>
          <w:lang w:bidi="ar-SA"/>
          <w:color w:val="111111"/>
          <w:sz w:val="28"/>
          <w:szCs w:val="28"/>
          <w:rtl/>
        </w:rPr>
        <w:t xml:space="preserve">حسين بن شهاب الدين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19" w:name="pg7742_70712"/>
    <w:bookmarkEnd w:id="719"/>
    <w:p>
      <w:pPr>
        <w:pStyle w:val="Heading2"/>
      </w:pPr>
      <w:bookmarkStart w:id="5738" w:name="_Toc4840"/>
      <w:r>
        <w:t>عاملي ، حسين بن عبد الصمد، 918 - 984</w:t>
      </w:r>
      <w:bookmarkEnd w:id="5738"/>
    </w:p>
    <w:p>
      <w:pPr>
        <w:pStyle w:val="BookText"/>
      </w:pPr>
      <w:r>
        <w:rPr>
          <w:rFonts w:ascii="Amiri" w:hAnsi="Amiri" w:eastAsia="Amiri" w:cs="Amiri"/>
          <w:lang w:bidi="ar-SA"/>
          <w:color w:val="111111"/>
          <w:sz w:val="28"/>
          <w:szCs w:val="28"/>
          <w:rtl/>
        </w:rPr>
        <w:t xml:space="preserve">1 .اجازة للشيخ البهائي و اخيه</w:t>
      </w:r>
    </w:p>
    <w:p>
      <w:pPr>
        <w:pStyle w:val="BookText"/>
      </w:pPr>
      <w:r>
        <w:rPr>
          <w:rFonts w:ascii="IRNazanin" w:hAnsi="IRNazanin" w:eastAsia="IRNazanin" w:cs="IRNazanin"/>
          <w:lang w:bidi="fa-IR"/>
          <w:color w:val="111111"/>
          <w:sz w:val="28"/>
          <w:szCs w:val="28"/>
          <w:rtl/>
        </w:rPr>
        <w:t xml:space="preserve">عبد الصمد، ج 1، ص 264.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الاربعون حديثاً = اربعين حديث =</w:t>
      </w:r>
    </w:p>
    <w:p>
      <w:pPr>
        <w:pStyle w:val="BookText"/>
      </w:pPr>
      <w:r>
        <w:rPr>
          <w:rFonts w:ascii="IRNazanin" w:hAnsi="IRNazanin" w:eastAsia="IRNazanin" w:cs="IRNazanin"/>
          <w:lang w:bidi="fa-IR"/>
          <w:color w:val="111111"/>
          <w:sz w:val="28"/>
          <w:szCs w:val="28"/>
          <w:rtl/>
        </w:rPr>
        <w:t xml:space="preserve">چهل حدیث، ج 1، ص 698.</w:t>
      </w:r>
    </w:p>
    <w:p>
      <w:pPr>
        <w:pStyle w:val="BookText"/>
      </w:pPr>
      <w:r>
        <w:rPr>
          <w:rFonts w:ascii="Amiri" w:hAnsi="Amiri" w:eastAsia="Amiri" w:cs="Amiri"/>
          <w:lang w:bidi="ar-SA"/>
          <w:color w:val="111111"/>
          <w:sz w:val="28"/>
          <w:szCs w:val="28"/>
          <w:rtl/>
        </w:rPr>
        <w:t xml:space="preserve">3 تحفة اهل الايمان في قبلة عراق العجم و خراسان، ج3، ص811</w:t>
      </w:r>
    </w:p>
    <w:p>
      <w:pPr>
        <w:pStyle w:val="BookText"/>
      </w:pPr>
      <w:r>
        <w:rPr>
          <w:rFonts w:ascii="Amiri" w:hAnsi="Amiri" w:eastAsia="Amiri" w:cs="Amiri"/>
          <w:lang w:bidi="ar-SA"/>
          <w:color w:val="111111"/>
          <w:sz w:val="28"/>
          <w:szCs w:val="28"/>
          <w:rtl/>
        </w:rPr>
        <w:t xml:space="preserve">4 التشيع (رسالة في)، ج 4 ، ص 394 .</w:t>
      </w:r>
    </w:p>
    <w:p>
      <w:pPr>
        <w:pStyle w:val="BookText"/>
      </w:pPr>
      <w:r>
        <w:rPr>
          <w:rFonts w:ascii="Amiri" w:hAnsi="Amiri" w:eastAsia="Amiri" w:cs="Amiri"/>
          <w:lang w:bidi="ar-SA"/>
          <w:color w:val="111111"/>
          <w:sz w:val="28"/>
          <w:szCs w:val="28"/>
          <w:rtl/>
        </w:rPr>
        <w:t xml:space="preserve">5 .تطهير الحصر و البواري و صرف مال الامام حال الغيبة = مسئلتان ج 4، ص 442.</w:t>
      </w:r>
    </w:p>
    <w:p>
      <w:pPr>
        <w:pStyle w:val="BookText"/>
      </w:pPr>
      <w:r>
        <w:rPr>
          <w:rFonts w:ascii="Amiri" w:hAnsi="Amiri" w:eastAsia="Amiri" w:cs="Amiri"/>
          <w:lang w:bidi="ar-SA"/>
          <w:color w:val="111111"/>
          <w:sz w:val="28"/>
          <w:szCs w:val="28"/>
          <w:rtl/>
        </w:rPr>
        <w:t xml:space="preserve">6 .تقديم الشياع الظني على اليد جع</w:t>
      </w:r>
    </w:p>
    <w:p>
      <w:pPr>
        <w:pStyle w:val="BookText"/>
      </w:pPr>
      <w:r>
        <w:rPr>
          <w:rFonts w:ascii="IRNazanin" w:hAnsi="IRNazanin" w:eastAsia="IRNazanin" w:cs="IRNazanin"/>
          <w:lang w:bidi="fa-IR"/>
          <w:color w:val="111111"/>
          <w:sz w:val="28"/>
          <w:szCs w:val="28"/>
          <w:rtl/>
        </w:rPr>
        <w:t xml:space="preserve">ص 720</w:t>
      </w:r>
    </w:p>
    <w:p>
      <w:pPr>
        <w:pStyle w:val="BookText"/>
      </w:pPr>
      <w:r>
        <w:rPr>
          <w:rFonts w:ascii="Amiri" w:hAnsi="Amiri" w:eastAsia="Amiri" w:cs="Amiri"/>
          <w:lang w:bidi="ar-SA"/>
          <w:color w:val="111111"/>
          <w:sz w:val="28"/>
          <w:szCs w:val="28"/>
          <w:rtl/>
        </w:rPr>
        <w:t xml:space="preserve">7 .حاشية ارشاد الاذهان، ج 5، ص 661.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حاشية الالفية، ج 5، ص 668.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حكم الحربي البالغ في حال الغيبة</w:t>
      </w:r>
    </w:p>
    <w:p>
      <w:pPr>
        <w:pStyle w:val="BookText"/>
      </w:pPr>
      <w:r>
        <w:rPr>
          <w:rFonts w:ascii="IRNazanin" w:hAnsi="IRNazanin" w:eastAsia="IRNazanin" w:cs="IRNazanin"/>
          <w:lang w:bidi="fa-IR"/>
          <w:color w:val="111111"/>
          <w:sz w:val="28"/>
          <w:szCs w:val="28"/>
          <w:rtl/>
        </w:rPr>
        <w:t xml:space="preserve">ج 6 ، ص 754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دراية الحديث، ج 7، ص218</w:t>
      </w:r>
    </w:p>
    <w:p>
      <w:pPr>
        <w:pStyle w:val="BookText"/>
      </w:pPr>
      <w:r>
        <w:rPr>
          <w:rFonts w:ascii="Amiri" w:hAnsi="Amiri" w:eastAsia="Amiri" w:cs="Amiri"/>
          <w:lang w:bidi="ar-SA"/>
          <w:color w:val="111111"/>
          <w:sz w:val="28"/>
          <w:szCs w:val="28"/>
          <w:rtl/>
        </w:rPr>
        <w:t xml:space="preserve">11.ديوان عاملي، ج 7، ص 704.</w:t>
      </w:r>
    </w:p>
    <w:p>
      <w:pPr>
        <w:pStyle w:val="BookText"/>
      </w:pPr>
      <w:r>
        <w:rPr>
          <w:rFonts w:ascii="Amiri" w:hAnsi="Amiri" w:eastAsia="Amiri" w:cs="Amiri"/>
          <w:lang w:bidi="ar-SA"/>
          <w:color w:val="111111"/>
          <w:sz w:val="28"/>
          <w:szCs w:val="28"/>
          <w:rtl/>
        </w:rPr>
        <w:t xml:space="preserve">12 . الرضاع (رسالة في)، ج8، ص318.</w:t>
      </w:r>
    </w:p>
    <w:p>
      <w:pPr>
        <w:pStyle w:val="BookText"/>
      </w:pPr>
      <w:r>
        <w:rPr>
          <w:rFonts w:ascii="Amiri" w:hAnsi="Amiri" w:eastAsia="Amiri" w:cs="Amiri"/>
          <w:lang w:bidi="ar-SA"/>
          <w:color w:val="111111"/>
          <w:sz w:val="28"/>
          <w:szCs w:val="28"/>
          <w:rtl/>
        </w:rPr>
        <w:t xml:space="preserve">13 .رضاعية = الرسالة الرضاعية، ج8،</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Amiri" w:hAnsi="Amiri" w:eastAsia="Amiri" w:cs="Amiri"/>
          <w:lang w:bidi="ar-SA"/>
          <w:color w:val="111111"/>
          <w:sz w:val="28"/>
          <w:szCs w:val="28"/>
          <w:rtl/>
        </w:rPr>
        <w:t xml:space="preserve">14 . شرح الالفية في فقه الصلاة</w:t>
      </w:r>
    </w:p>
    <w:p>
      <w:pPr>
        <w:pStyle w:val="BookText"/>
      </w:pPr>
      <w:r>
        <w:rPr>
          <w:rFonts w:ascii="Amiri" w:hAnsi="Amiri" w:eastAsia="Amiri" w:cs="Amiri"/>
          <w:lang w:bidi="ar-SA"/>
          <w:color w:val="111111"/>
          <w:sz w:val="28"/>
          <w:szCs w:val="28"/>
          <w:rtl/>
        </w:rPr>
        <w:t xml:space="preserve">اليومية، ج 9، ص228.</w:t>
      </w:r>
    </w:p>
    <w:p>
      <w:pPr>
        <w:pStyle w:val="BookText"/>
      </w:pPr>
      <w:r>
        <w:rPr>
          <w:rFonts w:ascii="Amiri" w:hAnsi="Amiri" w:eastAsia="Amiri" w:cs="Amiri"/>
          <w:lang w:bidi="ar-SA"/>
          <w:color w:val="111111"/>
          <w:sz w:val="28"/>
          <w:szCs w:val="28"/>
          <w:rtl/>
        </w:rPr>
        <w:t xml:space="preserve">15 .شرح حديث حبب إلى من</w:t>
      </w:r>
    </w:p>
    <w:p>
      <w:pPr>
        <w:pStyle w:val="BookText"/>
      </w:pPr>
      <w:r>
        <w:rPr>
          <w:rFonts w:ascii="Amiri" w:hAnsi="Amiri" w:eastAsia="Amiri" w:cs="Amiri"/>
          <w:lang w:bidi="ar-SA"/>
          <w:color w:val="111111"/>
          <w:sz w:val="28"/>
          <w:szCs w:val="28"/>
          <w:rtl/>
        </w:rPr>
        <w:t xml:space="preserve">ديناكم ثلاث، ج9، ص387</w:t>
      </w:r>
    </w:p>
    <w:p>
      <w:pPr>
        <w:pStyle w:val="BookText"/>
      </w:pPr>
      <w:r>
        <w:rPr>
          <w:rFonts w:ascii="Amiri" w:hAnsi="Amiri" w:eastAsia="Amiri" w:cs="Amiri"/>
          <w:lang w:bidi="ar-SA"/>
          <w:color w:val="111111"/>
          <w:sz w:val="28"/>
          <w:szCs w:val="28"/>
          <w:rtl/>
        </w:rPr>
        <w:t xml:space="preserve">16 .صلاة الجمعة = وجوب صلاة</w:t>
      </w:r>
    </w:p>
    <w:p>
      <w:pPr>
        <w:pStyle w:val="BookText"/>
      </w:pPr>
      <w:r>
        <w:rPr>
          <w:rFonts w:ascii="Amiri" w:hAnsi="Amiri" w:eastAsia="Amiri" w:cs="Amiri"/>
          <w:lang w:bidi="ar-SA"/>
          <w:color w:val="111111"/>
          <w:sz w:val="28"/>
          <w:szCs w:val="28"/>
          <w:rtl/>
        </w:rPr>
        <w:t xml:space="preserve">الجمعة، ج 10، ص 599.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العقد الطهماسبي = العقد الحسيني = وسواسيه، ج11،</w:t>
      </w:r>
    </w:p>
    <w:p>
      <w:pPr>
        <w:pStyle w:val="BookText"/>
      </w:pPr>
      <w:r>
        <w:rPr>
          <w:rFonts w:ascii="IRNazanin" w:hAnsi="IRNazanin" w:eastAsia="IRNazanin" w:cs="IRNazanin"/>
          <w:lang w:bidi="fa-IR"/>
          <w:color w:val="111111"/>
          <w:sz w:val="28"/>
          <w:szCs w:val="28"/>
          <w:rtl/>
        </w:rPr>
        <w:t xml:space="preserve">ص 166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القبلة، ج 12، ص 375.</w:t>
      </w:r>
    </w:p>
    <w:p>
      <w:pPr>
        <w:pStyle w:val="BookText"/>
      </w:pPr>
      <w:r>
        <w:rPr>
          <w:rFonts w:ascii="Amiri" w:hAnsi="Amiri" w:eastAsia="Amiri" w:cs="Amiri"/>
          <w:lang w:bidi="ar-SA"/>
          <w:color w:val="111111"/>
          <w:sz w:val="28"/>
          <w:szCs w:val="28"/>
          <w:rtl/>
        </w:rPr>
        <w:t xml:space="preserve">عاملي ، بهاء الدين - عاملي ، شمس الدين</w:t>
      </w:r>
    </w:p>
    <w:p>
      <w:pPr>
        <w:pStyle w:val="BookText"/>
      </w:pPr>
      <w:r>
        <w:rPr>
          <w:rFonts w:ascii="Amiri" w:hAnsi="Amiri" w:eastAsia="Amiri" w:cs="Amiri"/>
          <w:lang w:bidi="ar-SA"/>
          <w:color w:val="111111"/>
          <w:sz w:val="28"/>
          <w:szCs w:val="28"/>
          <w:rtl/>
        </w:rPr>
        <w:t xml:space="preserve">19 .المسائل التسع الفقهية، ج 14،</w:t>
      </w:r>
    </w:p>
    <w:p>
      <w:pPr>
        <w:pStyle w:val="BookText"/>
      </w:pPr>
      <w:r>
        <w:rPr>
          <w:rFonts w:ascii="IRNazanin" w:hAnsi="IRNazanin" w:eastAsia="IRNazanin" w:cs="IRNazanin"/>
          <w:lang w:bidi="fa-IR"/>
          <w:color w:val="111111"/>
          <w:sz w:val="28"/>
          <w:szCs w:val="28"/>
          <w:rtl/>
        </w:rPr>
        <w:t xml:space="preserve">ص 440.</w:t>
      </w:r>
    </w:p>
    <w:p>
      <w:pPr>
        <w:pStyle w:val="BookText"/>
      </w:pPr>
      <w:r>
        <w:rPr>
          <w:rFonts w:ascii="Amiri" w:hAnsi="Amiri" w:eastAsia="Amiri" w:cs="Amiri"/>
          <w:lang w:bidi="ar-SA"/>
          <w:color w:val="111111"/>
          <w:sz w:val="28"/>
          <w:szCs w:val="28"/>
          <w:rtl/>
        </w:rPr>
        <w:t xml:space="preserve">20 .مسألتين في الظهار و حق الإمام</w:t>
      </w:r>
    </w:p>
    <w:p>
      <w:pPr>
        <w:pStyle w:val="BookText"/>
      </w:pPr>
      <w:r>
        <w:rPr>
          <w:rFonts w:ascii="IRNazanin" w:hAnsi="IRNazanin" w:eastAsia="IRNazanin" w:cs="IRNazanin"/>
          <w:lang w:bidi="fa-IR"/>
          <w:color w:val="111111"/>
          <w:sz w:val="28"/>
          <w:szCs w:val="28"/>
          <w:rtl/>
        </w:rPr>
        <w:t xml:space="preserve">ج 14، ص 548 .</w:t>
      </w:r>
    </w:p>
    <w:p>
      <w:pPr>
        <w:pStyle w:val="BookText"/>
      </w:pPr>
      <w:r>
        <w:rPr>
          <w:rFonts w:ascii="Amiri" w:hAnsi="Amiri" w:eastAsia="Amiri" w:cs="Amiri"/>
          <w:lang w:bidi="ar-SA"/>
          <w:color w:val="111111"/>
          <w:sz w:val="28"/>
          <w:szCs w:val="28"/>
          <w:rtl/>
        </w:rPr>
        <w:t xml:space="preserve">21.المسح على الرجلين = المسح على</w:t>
      </w:r>
    </w:p>
    <w:p>
      <w:pPr>
        <w:pStyle w:val="BookText"/>
      </w:pPr>
      <w:r>
        <w:rPr>
          <w:rFonts w:ascii="Amiri" w:hAnsi="Amiri" w:eastAsia="Amiri" w:cs="Amiri"/>
          <w:lang w:bidi="ar-SA"/>
          <w:color w:val="111111"/>
          <w:sz w:val="28"/>
          <w:szCs w:val="28"/>
          <w:rtl/>
        </w:rPr>
        <w:t xml:space="preserve">القدمين، ج 14، ص 572.</w:t>
      </w:r>
    </w:p>
    <w:p>
      <w:pPr>
        <w:pStyle w:val="BookText"/>
      </w:pPr>
      <w:r>
        <w:rPr>
          <w:rFonts w:ascii="Amiri" w:hAnsi="Amiri" w:eastAsia="Amiri" w:cs="Amiri"/>
          <w:lang w:bidi="ar-SA"/>
          <w:color w:val="111111"/>
          <w:sz w:val="28"/>
          <w:szCs w:val="28"/>
          <w:rtl/>
        </w:rPr>
        <w:t xml:space="preserve">22 .معرفة مشايخ الشيعة = تراجم</w:t>
      </w:r>
    </w:p>
    <w:p>
      <w:pPr>
        <w:pStyle w:val="BookText"/>
      </w:pPr>
      <w:r>
        <w:rPr>
          <w:rFonts w:ascii="Amiri" w:hAnsi="Amiri" w:eastAsia="Amiri" w:cs="Amiri"/>
          <w:lang w:bidi="ar-SA"/>
          <w:color w:val="111111"/>
          <w:sz w:val="28"/>
          <w:szCs w:val="28"/>
          <w:rtl/>
        </w:rPr>
        <w:t xml:space="preserve">مشايخ الشيعة = تذكرة</w:t>
      </w:r>
    </w:p>
    <w:p>
      <w:pPr>
        <w:pStyle w:val="BookText"/>
      </w:pPr>
      <w:r>
        <w:rPr>
          <w:rFonts w:ascii="Amiri" w:hAnsi="Amiri" w:eastAsia="Amiri" w:cs="Amiri"/>
          <w:lang w:bidi="ar-SA"/>
          <w:color w:val="111111"/>
          <w:sz w:val="28"/>
          <w:szCs w:val="28"/>
          <w:rtl/>
        </w:rPr>
        <w:t xml:space="preserve">المجتهدين، ج 15، ص 70.</w:t>
      </w:r>
    </w:p>
    <w:p>
      <w:pPr>
        <w:pStyle w:val="BookText"/>
      </w:pPr>
      <w:r>
        <w:rPr>
          <w:rFonts w:ascii="Amiri" w:hAnsi="Amiri" w:eastAsia="Amiri" w:cs="Amiri"/>
          <w:lang w:bidi="ar-SA"/>
          <w:color w:val="111111"/>
          <w:sz w:val="28"/>
          <w:szCs w:val="28"/>
          <w:rtl/>
        </w:rPr>
        <w:t xml:space="preserve">23 .مناظرة مع بعض علماء الحلب مناظره = مناظرة مع بعض العامة</w:t>
      </w:r>
    </w:p>
    <w:p>
      <w:pPr>
        <w:pStyle w:val="BookText"/>
      </w:pPr>
      <w:r>
        <w:rPr>
          <w:rFonts w:ascii="IRNazanin" w:hAnsi="IRNazanin" w:eastAsia="IRNazanin" w:cs="IRNazanin"/>
          <w:lang w:bidi="fa-IR"/>
          <w:color w:val="111111"/>
          <w:sz w:val="28"/>
          <w:szCs w:val="28"/>
          <w:rtl/>
        </w:rPr>
        <w:t xml:space="preserve">ج 15، ص 523.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الواجبات العلمية و العملية = الواجبات الملكية، ج 16، ص 674.</w:t>
      </w:r>
    </w:p>
    <w:p>
      <w:pPr>
        <w:pStyle w:val="BookText"/>
      </w:pPr>
      <w:r>
        <w:rPr>
          <w:rFonts w:ascii="Amiri" w:hAnsi="Amiri" w:eastAsia="Amiri" w:cs="Amiri"/>
          <w:lang w:bidi="ar-SA"/>
          <w:color w:val="111111"/>
          <w:sz w:val="28"/>
          <w:szCs w:val="28"/>
          <w:rtl/>
        </w:rPr>
        <w:t xml:space="preserve">عاملي ، حيدر علي بن محمّد- شيرواني</w:t>
      </w:r>
    </w:p>
    <w:p>
      <w:pPr>
        <w:pStyle w:val="BookText"/>
      </w:pPr>
      <w:r>
        <w:rPr>
          <w:rFonts w:ascii="Amiri" w:hAnsi="Amiri" w:eastAsia="Amiri" w:cs="Amiri"/>
          <w:lang w:bidi="ar-SA"/>
          <w:color w:val="111111"/>
          <w:sz w:val="28"/>
          <w:szCs w:val="28"/>
          <w:rtl/>
        </w:rPr>
        <w:t xml:space="preserve">حيدر علي بن محمّد</w:t>
      </w:r>
    </w:p>
    <w:p>
      <w:pPr>
        <w:pStyle w:val="BookText"/>
      </w:pPr>
      <w:r>
        <w:rPr>
          <w:rFonts w:ascii="Amiri" w:hAnsi="Amiri" w:eastAsia="Amiri" w:cs="Amiri"/>
          <w:lang w:bidi="ar-SA"/>
          <w:color w:val="111111"/>
          <w:sz w:val="28"/>
          <w:szCs w:val="28"/>
          <w:rtl/>
        </w:rPr>
        <w:t xml:space="preserve">عاملي، رضي الدين بن محمّد علي- موسوي</w:t>
      </w:r>
    </w:p>
    <w:p>
      <w:pPr>
        <w:pStyle w:val="BookText"/>
      </w:pPr>
      <w:r>
        <w:rPr>
          <w:rFonts w:ascii="Amiri" w:hAnsi="Amiri" w:eastAsia="Amiri" w:cs="Amiri"/>
          <w:lang w:bidi="ar-SA"/>
          <w:color w:val="111111"/>
          <w:sz w:val="28"/>
          <w:szCs w:val="28"/>
          <w:rtl/>
        </w:rPr>
        <w:t xml:space="preserve">عاملي ، رضي الدين بن محمّد علي</w:t>
      </w:r>
    </w:p>
    <w:p>
      <w:pPr>
        <w:pStyle w:val="BookText"/>
      </w:pPr>
      <w:r>
        <w:rPr>
          <w:rFonts w:ascii="Amiri" w:hAnsi="Amiri" w:eastAsia="Amiri" w:cs="Amiri"/>
          <w:lang w:bidi="ar-SA"/>
          <w:color w:val="111111"/>
          <w:sz w:val="28"/>
          <w:szCs w:val="28"/>
          <w:rtl/>
        </w:rPr>
        <w:t xml:space="preserve">عاملي، زين الدين بن علي- شهيد ثاني ،</w:t>
      </w:r>
    </w:p>
    <w:p>
      <w:pPr>
        <w:pStyle w:val="BookText"/>
      </w:pPr>
      <w:r>
        <w:rPr>
          <w:rFonts w:ascii="Amiri" w:hAnsi="Amiri" w:eastAsia="Amiri" w:cs="Amiri"/>
          <w:lang w:bidi="ar-SA"/>
          <w:color w:val="111111"/>
          <w:sz w:val="28"/>
          <w:szCs w:val="28"/>
          <w:rtl/>
        </w:rPr>
        <w:t xml:space="preserve">زين الدين بن علي</w:t>
      </w:r>
    </w:p>
    <w:p>
      <w:pPr>
        <w:pStyle w:val="Heading2"/>
      </w:pPr>
      <w:bookmarkStart w:id="5739" w:name="_Toc4841"/>
      <w:r>
        <w:t>عاملي، زين الدين بن محسن قرن 10 ه-</w:t>
      </w:r>
      <w:bookmarkEnd w:id="5739"/>
    </w:p>
    <w:p>
      <w:pPr>
        <w:pStyle w:val="BookText"/>
      </w:pPr>
      <w:r>
        <w:rPr>
          <w:rFonts w:ascii="Amiri" w:hAnsi="Amiri" w:eastAsia="Amiri" w:cs="Amiri"/>
          <w:lang w:bidi="ar-SA"/>
          <w:color w:val="111111"/>
          <w:sz w:val="28"/>
          <w:szCs w:val="28"/>
          <w:rtl/>
        </w:rPr>
        <w:t xml:space="preserve">ايضاح البيان في تحقيق الايمان</w:t>
      </w:r>
    </w:p>
    <w:p>
      <w:pPr>
        <w:pStyle w:val="BookText"/>
      </w:pPr>
      <w:r>
        <w:rPr>
          <w:rFonts w:ascii="Amiri" w:hAnsi="Amiri" w:eastAsia="Amiri" w:cs="Amiri"/>
          <w:lang w:bidi="ar-SA"/>
          <w:color w:val="111111"/>
          <w:sz w:val="28"/>
          <w:szCs w:val="28"/>
          <w:rtl/>
        </w:rPr>
        <w:t xml:space="preserve">الكفر والايمان = الاسلام و الايمان =</w:t>
      </w:r>
    </w:p>
    <w:p>
      <w:pPr>
        <w:pStyle w:val="BookText"/>
      </w:pPr>
      <w:r>
        <w:rPr>
          <w:rFonts w:ascii="Amiri" w:hAnsi="Amiri" w:eastAsia="Amiri" w:cs="Amiri"/>
          <w:lang w:bidi="ar-SA"/>
          <w:color w:val="111111"/>
          <w:sz w:val="28"/>
          <w:szCs w:val="28"/>
          <w:rtl/>
        </w:rPr>
        <w:t xml:space="preserve">تحقيق الاسلام و الايمان = حقائق الايمان - حقيقة الايمان، ج3، ص113.</w:t>
      </w:r>
    </w:p>
    <w:p>
      <w:pPr>
        <w:pStyle w:val="BookText"/>
      </w:pPr>
      <w:r>
        <w:rPr>
          <w:rFonts w:ascii="Amiri" w:hAnsi="Amiri" w:eastAsia="Amiri" w:cs="Amiri"/>
          <w:lang w:bidi="ar-SA"/>
          <w:color w:val="111111"/>
          <w:sz w:val="28"/>
          <w:szCs w:val="28"/>
          <w:rtl/>
        </w:rPr>
        <w:t xml:space="preserve">عاملي ، شمس الدين محمّد- عاملي</w:t>
      </w:r>
    </w:p>
    <w:p>
      <w:pPr>
        <w:pStyle w:val="BookText"/>
      </w:pPr>
      <w:r>
        <w:rPr>
          <w:rFonts w:ascii="Amiri" w:hAnsi="Amiri" w:eastAsia="Amiri" w:cs="Amiri"/>
          <w:lang w:bidi="ar-SA"/>
          <w:color w:val="111111"/>
          <w:sz w:val="28"/>
          <w:szCs w:val="28"/>
          <w:rtl/>
        </w:rPr>
        <w:t xml:space="preserve">محمّد بن مكي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20" w:name="pg7742_70713"/>
    <w:bookmarkEnd w:id="720"/>
    <w:p>
      <w:pPr>
        <w:pStyle w:val="BookText"/>
      </w:pPr>
      <w:r>
        <w:rPr>
          <w:rFonts w:ascii="Amiri" w:hAnsi="Amiri" w:eastAsia="Amiri" w:cs="Amiri"/>
          <w:lang w:bidi="ar-SA"/>
          <w:color w:val="111111"/>
          <w:sz w:val="28"/>
          <w:szCs w:val="28"/>
          <w:rtl/>
        </w:rPr>
        <w:t xml:space="preserve">عاملي شيعي ، علي بن محمّد- بياضي</w:t>
      </w:r>
    </w:p>
    <w:p>
      <w:pPr>
        <w:pStyle w:val="BookText"/>
      </w:pPr>
      <w:r>
        <w:rPr>
          <w:rFonts w:ascii="Amiri" w:hAnsi="Amiri" w:eastAsia="Amiri" w:cs="Amiri"/>
          <w:lang w:bidi="ar-SA"/>
          <w:color w:val="111111"/>
          <w:sz w:val="28"/>
          <w:szCs w:val="28"/>
          <w:rtl/>
        </w:rPr>
        <w:t xml:space="preserve">علي بن محمّد</w:t>
      </w:r>
    </w:p>
    <w:p>
      <w:pPr>
        <w:pStyle w:val="Heading2"/>
      </w:pPr>
      <w:bookmarkStart w:id="5740" w:name="_Toc4842"/>
      <w:r>
        <w:t>عاملي ، صالح بن محمّد</w:t>
      </w:r>
      <w:bookmarkEnd w:id="5740"/>
    </w:p>
    <w:p>
      <w:pPr>
        <w:pStyle w:val="BookText"/>
      </w:pPr>
      <w:r>
        <w:rPr>
          <w:rFonts w:ascii="IRNazanin" w:hAnsi="IRNazanin" w:eastAsia="IRNazanin" w:cs="IRNazanin"/>
          <w:lang w:bidi="fa-IR"/>
          <w:color w:val="111111"/>
          <w:sz w:val="28"/>
          <w:szCs w:val="28"/>
          <w:rtl/>
        </w:rPr>
        <w:t xml:space="preserve">دیوان صالح عاملي، ج 7، ص 684 .</w:t>
      </w:r>
    </w:p>
    <w:p>
      <w:pPr>
        <w:pStyle w:val="BookText"/>
      </w:pPr>
      <w:r>
        <w:rPr>
          <w:rFonts w:ascii="Amiri" w:hAnsi="Amiri" w:eastAsia="Amiri" w:cs="Amiri"/>
          <w:lang w:bidi="ar-SA"/>
          <w:color w:val="111111"/>
          <w:sz w:val="28"/>
          <w:szCs w:val="28"/>
          <w:rtl/>
        </w:rPr>
        <w:t xml:space="preserve">عاملي ، صدر الدين بن صالح- عاملي</w:t>
      </w:r>
    </w:p>
    <w:p>
      <w:pPr>
        <w:pStyle w:val="BookText"/>
      </w:pPr>
      <w:r>
        <w:rPr>
          <w:rFonts w:ascii="Amiri" w:hAnsi="Amiri" w:eastAsia="Amiri" w:cs="Amiri"/>
          <w:lang w:bidi="ar-SA"/>
          <w:color w:val="111111"/>
          <w:sz w:val="28"/>
          <w:szCs w:val="28"/>
          <w:rtl/>
        </w:rPr>
        <w:t xml:space="preserve">اصفهاني ، محمّد بن صالح</w:t>
      </w:r>
    </w:p>
    <w:p>
      <w:pPr>
        <w:pStyle w:val="BookText"/>
      </w:pPr>
      <w:r>
        <w:rPr>
          <w:rFonts w:ascii="Amiri" w:hAnsi="Amiri" w:eastAsia="Amiri" w:cs="Amiri"/>
          <w:lang w:bidi="ar-SA"/>
          <w:color w:val="111111"/>
          <w:sz w:val="28"/>
          <w:szCs w:val="28"/>
          <w:rtl/>
        </w:rPr>
        <w:t xml:space="preserve">عاملي ، عبد الحسيب بن احمد -حسيني</w:t>
      </w:r>
    </w:p>
    <w:p>
      <w:pPr>
        <w:pStyle w:val="BookText"/>
      </w:pPr>
      <w:r>
        <w:rPr>
          <w:rFonts w:ascii="Amiri" w:hAnsi="Amiri" w:eastAsia="Amiri" w:cs="Amiri"/>
          <w:lang w:bidi="ar-SA"/>
          <w:color w:val="111111"/>
          <w:sz w:val="28"/>
          <w:szCs w:val="28"/>
          <w:rtl/>
        </w:rPr>
        <w:t xml:space="preserve">علوي ، محمّد بن احمد</w:t>
      </w:r>
    </w:p>
    <w:p>
      <w:pPr>
        <w:pStyle w:val="Heading2"/>
      </w:pPr>
      <w:bookmarkStart w:id="5741" w:name="_Toc4843"/>
      <w:r>
        <w:t>عاملي ، عبدالحسين بن ابراهيم</w:t>
      </w:r>
      <w:bookmarkEnd w:id="5741"/>
    </w:p>
    <w:p>
      <w:pPr>
        <w:pStyle w:val="BookText"/>
      </w:pPr>
      <w:r>
        <w:rPr>
          <w:rFonts w:ascii="Amiri" w:hAnsi="Amiri" w:eastAsia="Amiri" w:cs="Amiri"/>
          <w:lang w:bidi="ar-SA"/>
          <w:color w:val="111111"/>
          <w:sz w:val="28"/>
          <w:szCs w:val="28"/>
          <w:rtl/>
        </w:rPr>
        <w:t xml:space="preserve">شرح نبعة الاحكام ونجعة الافهام</w:t>
      </w:r>
    </w:p>
    <w:p>
      <w:pPr>
        <w:pStyle w:val="BookText"/>
      </w:pPr>
      <w:r>
        <w:rPr>
          <w:rFonts w:ascii="IRNazanin" w:hAnsi="IRNazanin" w:eastAsia="IRNazanin" w:cs="IRNazanin"/>
          <w:lang w:bidi="fa-IR"/>
          <w:color w:val="111111"/>
          <w:sz w:val="28"/>
          <w:szCs w:val="28"/>
          <w:rtl/>
        </w:rPr>
        <w:t xml:space="preserve">ج 10، ص279.</w:t>
      </w:r>
    </w:p>
    <w:p>
      <w:pPr>
        <w:pStyle w:val="BookText"/>
      </w:pPr>
      <w:r>
        <w:rPr>
          <w:rFonts w:ascii="Amiri" w:hAnsi="Amiri" w:eastAsia="Amiri" w:cs="Amiri"/>
          <w:lang w:bidi="ar-SA"/>
          <w:color w:val="111111"/>
          <w:sz w:val="28"/>
          <w:szCs w:val="28"/>
          <w:rtl/>
        </w:rPr>
        <w:t xml:space="preserve">عاملي ، عبدالحسين بن قاسم -جامعي ،</w:t>
      </w:r>
    </w:p>
    <w:p>
      <w:pPr>
        <w:pStyle w:val="BookText"/>
      </w:pPr>
      <w:r>
        <w:rPr>
          <w:rFonts w:ascii="Amiri" w:hAnsi="Amiri" w:eastAsia="Amiri" w:cs="Amiri"/>
          <w:lang w:bidi="ar-SA"/>
          <w:color w:val="111111"/>
          <w:sz w:val="28"/>
          <w:szCs w:val="28"/>
          <w:rtl/>
        </w:rPr>
        <w:t xml:space="preserve">عبد الحسين بن قاسم</w:t>
      </w:r>
    </w:p>
    <w:p>
      <w:pPr>
        <w:pStyle w:val="BookText"/>
      </w:pPr>
      <w:r>
        <w:rPr>
          <w:rFonts w:ascii="Amiri" w:hAnsi="Amiri" w:eastAsia="Amiri" w:cs="Amiri"/>
          <w:lang w:bidi="ar-SA"/>
          <w:color w:val="111111"/>
          <w:sz w:val="28"/>
          <w:szCs w:val="28"/>
          <w:rtl/>
        </w:rPr>
        <w:t xml:space="preserve">عاملي ، عبد الحسين شرف الدين- شرف</w:t>
      </w:r>
    </w:p>
    <w:p>
      <w:pPr>
        <w:pStyle w:val="BookText"/>
      </w:pPr>
      <w:r>
        <w:rPr>
          <w:rFonts w:ascii="Amiri" w:hAnsi="Amiri" w:eastAsia="Amiri" w:cs="Amiri"/>
          <w:lang w:bidi="ar-SA"/>
          <w:color w:val="111111"/>
          <w:sz w:val="28"/>
          <w:szCs w:val="28"/>
          <w:rtl/>
        </w:rPr>
        <w:t xml:space="preserve">الدين ، عبدالحسين</w:t>
      </w:r>
    </w:p>
    <w:p>
      <w:pPr>
        <w:pStyle w:val="Heading2"/>
      </w:pPr>
      <w:bookmarkStart w:id="5742" w:name="_Toc4844"/>
      <w:r>
        <w:t>عاملي ، عبد السلام بن محمّد قرن 11 ه-</w:t>
      </w:r>
      <w:bookmarkEnd w:id="5742"/>
    </w:p>
    <w:p>
      <w:pPr>
        <w:pStyle w:val="BookText"/>
      </w:pPr>
      <w:r>
        <w:rPr>
          <w:rFonts w:ascii="Amiri" w:hAnsi="Amiri" w:eastAsia="Amiri" w:cs="Amiri"/>
          <w:lang w:bidi="ar-SA"/>
          <w:color w:val="111111"/>
          <w:sz w:val="28"/>
          <w:szCs w:val="28"/>
          <w:rtl/>
        </w:rPr>
        <w:t xml:space="preserve">ارشاد المنصف البصير، ج 2، ص 53.</w:t>
      </w:r>
    </w:p>
    <w:p>
      <w:pPr>
        <w:pStyle w:val="Heading2"/>
      </w:pPr>
      <w:bookmarkStart w:id="5743" w:name="_Toc4845"/>
      <w:r>
        <w:t>عاملي، عبدالصمد بن محمّد - 935 ه-</w:t>
      </w:r>
      <w:bookmarkEnd w:id="5743"/>
    </w:p>
    <w:p>
      <w:pPr>
        <w:pStyle w:val="BookText"/>
      </w:pPr>
      <w:r>
        <w:rPr>
          <w:rFonts w:ascii="Amiri" w:hAnsi="Amiri" w:eastAsia="Amiri" w:cs="Amiri"/>
          <w:lang w:bidi="ar-SA"/>
          <w:color w:val="111111"/>
          <w:sz w:val="28"/>
          <w:szCs w:val="28"/>
          <w:rtl/>
        </w:rPr>
        <w:t xml:space="preserve">الأربعون حديثاً في مناقب الائمة (ع)،</w:t>
      </w:r>
    </w:p>
    <w:p>
      <w:pPr>
        <w:pStyle w:val="BookText"/>
      </w:pPr>
      <w:r>
        <w:rPr>
          <w:rFonts w:ascii="IRNazanin" w:hAnsi="IRNazanin" w:eastAsia="IRNazanin" w:cs="IRNazanin"/>
          <w:lang w:bidi="fa-IR"/>
          <w:color w:val="111111"/>
          <w:sz w:val="28"/>
          <w:szCs w:val="28"/>
          <w:rtl/>
        </w:rPr>
        <w:t xml:space="preserve">ج 1، ص 730.</w:t>
      </w:r>
    </w:p>
    <w:p>
      <w:pPr>
        <w:pStyle w:val="Heading2"/>
      </w:pPr>
      <w:bookmarkStart w:id="5744" w:name="_Toc4846"/>
      <w:r>
        <w:t>عاملي ، عبداللطيف بن علي - 1050ه-</w:t>
      </w:r>
      <w:bookmarkEnd w:id="5744"/>
    </w:p>
    <w:p>
      <w:pPr>
        <w:pStyle w:val="BookText"/>
      </w:pPr>
      <w:r>
        <w:rPr>
          <w:rFonts w:ascii="Amiri" w:hAnsi="Amiri" w:eastAsia="Amiri" w:cs="Amiri"/>
          <w:lang w:bidi="ar-SA"/>
          <w:color w:val="111111"/>
          <w:sz w:val="28"/>
          <w:szCs w:val="28"/>
          <w:rtl/>
        </w:rPr>
        <w:t xml:space="preserve">1 .تقليد الميت، ج4، ص792.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الرجال، ج 8، ص 46.</w:t>
      </w:r>
    </w:p>
    <w:p>
      <w:pPr>
        <w:pStyle w:val="BookText"/>
      </w:pPr>
      <w:r>
        <w:rPr>
          <w:rFonts w:ascii="Amiri" w:hAnsi="Amiri" w:eastAsia="Amiri" w:cs="Amiri"/>
          <w:lang w:bidi="ar-SA"/>
          <w:color w:val="111111"/>
          <w:sz w:val="28"/>
          <w:szCs w:val="28"/>
          <w:rtl/>
        </w:rPr>
        <w:t xml:space="preserve">عاملي ، عبدالله بن محمّد تقي- مجلسي</w:t>
      </w:r>
    </w:p>
    <w:p>
      <w:pPr>
        <w:pStyle w:val="BookText"/>
      </w:pPr>
      <w:r>
        <w:rPr>
          <w:rFonts w:ascii="Amiri" w:hAnsi="Amiri" w:eastAsia="Amiri" w:cs="Amiri"/>
          <w:lang w:bidi="ar-SA"/>
          <w:color w:val="111111"/>
          <w:sz w:val="28"/>
          <w:szCs w:val="28"/>
          <w:rtl/>
        </w:rPr>
        <w:t xml:space="preserve">عبدالله بن محمّد تقي</w:t>
      </w:r>
    </w:p>
    <w:p>
      <w:pPr>
        <w:pStyle w:val="Heading2"/>
      </w:pPr>
      <w:bookmarkStart w:id="5745" w:name="_Toc4847"/>
      <w:r>
        <w:t>عاملي ، عدي بن رقاع - 95؟ ه-</w:t>
      </w:r>
      <w:bookmarkEnd w:id="5745"/>
    </w:p>
    <w:p>
      <w:pPr>
        <w:pStyle w:val="BookText"/>
      </w:pPr>
      <w:r>
        <w:rPr>
          <w:rFonts w:ascii="IRNazanin" w:hAnsi="IRNazanin" w:eastAsia="IRNazanin" w:cs="IRNazanin"/>
          <w:lang w:bidi="fa-IR"/>
          <w:color w:val="111111"/>
          <w:sz w:val="28"/>
          <w:szCs w:val="28"/>
          <w:rtl/>
        </w:rPr>
        <w:t xml:space="preserve">دیوان عاملي، ج 7، ص703.</w:t>
      </w:r>
    </w:p>
    <w:p>
      <w:pPr>
        <w:pStyle w:val="BookText"/>
      </w:pPr>
      <w:r>
        <w:rPr>
          <w:rFonts w:ascii="Amiri" w:hAnsi="Amiri" w:eastAsia="Amiri" w:cs="Amiri"/>
          <w:lang w:bidi="ar-SA"/>
          <w:color w:val="111111"/>
          <w:sz w:val="28"/>
          <w:szCs w:val="28"/>
          <w:rtl/>
        </w:rPr>
        <w:t xml:space="preserve">عاملي ، علي بن ابي جعفر محمّد -عاملي ،</w:t>
      </w:r>
    </w:p>
    <w:p>
      <w:pPr>
        <w:pStyle w:val="BookText"/>
      </w:pPr>
      <w:r>
        <w:rPr>
          <w:rFonts w:ascii="Amiri" w:hAnsi="Amiri" w:eastAsia="Amiri" w:cs="Amiri"/>
          <w:lang w:bidi="ar-SA"/>
          <w:color w:val="111111"/>
          <w:sz w:val="28"/>
          <w:szCs w:val="28"/>
          <w:rtl/>
        </w:rPr>
        <w:t xml:space="preserve">علي بن محمّد</w:t>
      </w:r>
    </w:p>
    <w:p>
      <w:pPr>
        <w:pStyle w:val="Heading2"/>
      </w:pPr>
      <w:bookmarkStart w:id="5746" w:name="_Toc4848"/>
      <w:r>
        <w:t>عاملي ، علي بن احمد قرن 11 ه-</w:t>
      </w:r>
      <w:bookmarkEnd w:id="5746"/>
    </w:p>
    <w:p>
      <w:pPr>
        <w:pStyle w:val="BookText"/>
      </w:pPr>
      <w:r>
        <w:rPr>
          <w:rFonts w:ascii="Amiri" w:hAnsi="Amiri" w:eastAsia="Amiri" w:cs="Amiri"/>
          <w:lang w:bidi="ar-SA"/>
          <w:color w:val="111111"/>
          <w:sz w:val="28"/>
          <w:szCs w:val="28"/>
          <w:rtl/>
        </w:rPr>
        <w:t xml:space="preserve">تحريم الغيبة، ج3، ص 762.</w:t>
      </w:r>
    </w:p>
    <w:p>
      <w:pPr>
        <w:pStyle w:val="BookText"/>
      </w:pPr>
      <w:r>
        <w:rPr>
          <w:rFonts w:ascii="Amiri" w:hAnsi="Amiri" w:eastAsia="Amiri" w:cs="Amiri"/>
          <w:lang w:bidi="ar-SA"/>
          <w:color w:val="111111"/>
          <w:sz w:val="28"/>
          <w:szCs w:val="28"/>
          <w:rtl/>
        </w:rPr>
        <w:t xml:space="preserve">عاملي ، علي بن حسين- موسوي عاملي</w:t>
      </w:r>
    </w:p>
    <w:p>
      <w:pPr>
        <w:pStyle w:val="BookText"/>
      </w:pPr>
      <w:r>
        <w:rPr>
          <w:rFonts w:ascii="Amiri" w:hAnsi="Amiri" w:eastAsia="Amiri" w:cs="Amiri"/>
          <w:lang w:bidi="ar-SA"/>
          <w:color w:val="111111"/>
          <w:sz w:val="28"/>
          <w:szCs w:val="28"/>
          <w:rtl/>
        </w:rPr>
        <w:t xml:space="preserve">علي بن حسين</w:t>
      </w:r>
    </w:p>
    <w:p>
      <w:pPr>
        <w:pStyle w:val="Heading2"/>
      </w:pPr>
      <w:bookmarkStart w:id="5747" w:name="_Toc4849"/>
      <w:r>
        <w:t>عاملي، علي بن حسين، 1070 - 1135 ه-</w:t>
      </w:r>
      <w:bookmarkEnd w:id="5747"/>
    </w:p>
    <w:p>
      <w:pPr>
        <w:pStyle w:val="BookText"/>
      </w:pPr>
      <w:r>
        <w:rPr>
          <w:rFonts w:ascii="Amiri" w:hAnsi="Amiri" w:eastAsia="Amiri" w:cs="Amiri"/>
          <w:lang w:bidi="ar-SA"/>
          <w:color w:val="111111"/>
          <w:sz w:val="28"/>
          <w:szCs w:val="28"/>
          <w:rtl/>
        </w:rPr>
        <w:t xml:space="preserve">1 .إجازة للشيخ محمّد بن فخر الدين</w:t>
      </w:r>
    </w:p>
    <w:p>
      <w:pPr>
        <w:pStyle w:val="BookText"/>
      </w:pPr>
      <w:r>
        <w:rPr>
          <w:rFonts w:ascii="Amiri" w:hAnsi="Amiri" w:eastAsia="Amiri" w:cs="Amiri"/>
          <w:lang w:bidi="ar-SA"/>
          <w:color w:val="111111"/>
          <w:sz w:val="28"/>
          <w:szCs w:val="28"/>
          <w:rtl/>
        </w:rPr>
        <w:t xml:space="preserve">الأردكاني، ج1، ص271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اجزاء القضية، ج 1، ص 309.</w:t>
      </w:r>
    </w:p>
    <w:p>
      <w:pPr>
        <w:pStyle w:val="BookText"/>
      </w:pPr>
      <w:r>
        <w:rPr>
          <w:rFonts w:ascii="Amiri" w:hAnsi="Amiri" w:eastAsia="Amiri" w:cs="Amiri"/>
          <w:lang w:bidi="ar-SA"/>
          <w:color w:val="111111"/>
          <w:sz w:val="28"/>
          <w:szCs w:val="28"/>
          <w:rtl/>
        </w:rPr>
        <w:t xml:space="preserve">3.تبصرة المبتدي في الهيئة، ج3،</w:t>
      </w:r>
    </w:p>
    <w:p>
      <w:pPr>
        <w:pStyle w:val="BookText"/>
      </w:pPr>
      <w:r>
        <w:rPr>
          <w:rFonts w:ascii="IRNazanin" w:hAnsi="IRNazanin" w:eastAsia="IRNazanin" w:cs="IRNazanin"/>
          <w:lang w:bidi="fa-IR"/>
          <w:color w:val="111111"/>
          <w:sz w:val="28"/>
          <w:szCs w:val="28"/>
          <w:rtl/>
        </w:rPr>
        <w:t xml:space="preserve">ص 641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تتميم الفوائد و تبيين المقاصد = شرح حاشية الملا نجم الدين، ج3،</w:t>
      </w:r>
    </w:p>
    <w:p>
      <w:pPr>
        <w:pStyle w:val="BookText"/>
      </w:pPr>
      <w:r>
        <w:rPr>
          <w:rFonts w:ascii="IRNazanin" w:hAnsi="IRNazanin" w:eastAsia="IRNazanin" w:cs="IRNazanin"/>
          <w:lang w:bidi="fa-IR"/>
          <w:color w:val="111111"/>
          <w:sz w:val="28"/>
          <w:szCs w:val="28"/>
          <w:rtl/>
        </w:rPr>
        <w:t xml:space="preserve">ص 677 .</w:t>
      </w:r>
    </w:p>
    <w:p>
      <w:pPr>
        <w:pStyle w:val="BookText"/>
      </w:pPr>
      <w:r>
        <w:rPr>
          <w:rFonts w:ascii="Amiri" w:hAnsi="Amiri" w:eastAsia="Amiri" w:cs="Amiri"/>
          <w:lang w:bidi="ar-SA"/>
          <w:color w:val="111111"/>
          <w:sz w:val="28"/>
          <w:szCs w:val="28"/>
          <w:rtl/>
        </w:rPr>
        <w:t xml:space="preserve">5 .شرح تحفة المبتدي، ج 9، ص 320.</w:t>
      </w:r>
    </w:p>
    <w:p>
      <w:pPr>
        <w:pStyle w:val="BookText"/>
      </w:pPr>
      <w:r>
        <w:rPr>
          <w:rFonts w:ascii="Amiri" w:hAnsi="Amiri" w:eastAsia="Amiri" w:cs="Amiri"/>
          <w:lang w:bidi="ar-SA"/>
          <w:color w:val="111111"/>
          <w:sz w:val="28"/>
          <w:szCs w:val="28"/>
          <w:rtl/>
        </w:rPr>
        <w:t xml:space="preserve">6 .الوجيزة في تفسير القرآن العزيز</w:t>
      </w:r>
    </w:p>
    <w:p>
      <w:pPr>
        <w:pStyle w:val="BookText"/>
      </w:pPr>
      <w:r>
        <w:rPr>
          <w:rFonts w:ascii="IRNazanin" w:hAnsi="IRNazanin" w:eastAsia="IRNazanin" w:cs="IRNazanin"/>
          <w:lang w:bidi="fa-IR"/>
          <w:color w:val="111111"/>
          <w:sz w:val="28"/>
          <w:szCs w:val="28"/>
          <w:rtl/>
        </w:rPr>
        <w:t xml:space="preserve">ج 16، ص 744.</w:t>
      </w:r>
    </w:p>
    <w:p>
      <w:pPr>
        <w:pStyle w:val="Heading2"/>
      </w:pPr>
      <w:bookmarkStart w:id="5748" w:name="_Toc4850"/>
      <w:r>
        <w:t>عاملي، علي بن زين الدين - 1104 ه-</w:t>
      </w:r>
      <w:bookmarkEnd w:id="5748"/>
    </w:p>
    <w:p>
      <w:pPr>
        <w:pStyle w:val="BookText"/>
      </w:pPr>
      <w:r>
        <w:rPr>
          <w:rFonts w:ascii="Amiri" w:hAnsi="Amiri" w:eastAsia="Amiri" w:cs="Amiri"/>
          <w:lang w:bidi="ar-SA"/>
          <w:color w:val="111111"/>
          <w:sz w:val="28"/>
          <w:szCs w:val="28"/>
          <w:rtl/>
        </w:rPr>
        <w:t xml:space="preserve">1 .حاشية الروضة البهية في شرح اللمعة الدمشقية، ج 5، ص878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21" w:name="pg7742_70714"/>
    <w:bookmarkEnd w:id="72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الصحيفة السجادية، ج 9،</w:t>
      </w:r>
    </w:p>
    <w:p>
      <w:pPr>
        <w:pStyle w:val="BookText"/>
      </w:pPr>
      <w:r>
        <w:rPr>
          <w:rFonts w:ascii="IRNazanin" w:hAnsi="IRNazanin" w:eastAsia="IRNazanin" w:cs="IRNazanin"/>
          <w:lang w:bidi="fa-IR"/>
          <w:color w:val="111111"/>
          <w:sz w:val="28"/>
          <w:szCs w:val="28"/>
          <w:rtl/>
        </w:rPr>
        <w:t xml:space="preserve">ص669.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اللمعة الدمشقية، ج10،</w:t>
      </w:r>
    </w:p>
    <w:p>
      <w:pPr>
        <w:pStyle w:val="BookText"/>
      </w:pPr>
      <w:r>
        <w:rPr>
          <w:rFonts w:ascii="IRNazanin" w:hAnsi="IRNazanin" w:eastAsia="IRNazanin" w:cs="IRNazanin"/>
          <w:lang w:bidi="fa-IR"/>
          <w:color w:val="111111"/>
          <w:sz w:val="28"/>
          <w:szCs w:val="28"/>
          <w:rtl/>
        </w:rPr>
        <w:t xml:space="preserve">ص 84.</w:t>
      </w:r>
    </w:p>
    <w:p>
      <w:pPr>
        <w:pStyle w:val="BookText"/>
      </w:pPr>
      <w:r>
        <w:rPr>
          <w:rFonts w:ascii="Amiri" w:hAnsi="Amiri" w:eastAsia="Amiri" w:cs="Amiri"/>
          <w:lang w:bidi="ar-SA"/>
          <w:color w:val="111111"/>
          <w:sz w:val="28"/>
          <w:szCs w:val="28"/>
          <w:rtl/>
        </w:rPr>
        <w:t xml:space="preserve">4.فرايد اللآلي في مدح الموالي، ج11،</w:t>
      </w:r>
    </w:p>
    <w:p>
      <w:pPr>
        <w:pStyle w:val="BookText"/>
      </w:pPr>
      <w:r>
        <w:rPr>
          <w:rFonts w:ascii="IRNazanin" w:hAnsi="IRNazanin" w:eastAsia="IRNazanin" w:cs="IRNazanin"/>
          <w:lang w:bidi="fa-IR"/>
          <w:color w:val="111111"/>
          <w:sz w:val="28"/>
          <w:szCs w:val="28"/>
          <w:rtl/>
        </w:rPr>
        <w:t xml:space="preserve">ص 745.</w:t>
      </w:r>
    </w:p>
    <w:p>
      <w:pPr>
        <w:pStyle w:val="BookText"/>
      </w:pPr>
      <w:r>
        <w:rPr>
          <w:rFonts w:ascii="Amiri" w:hAnsi="Amiri" w:eastAsia="Amiri" w:cs="Amiri"/>
          <w:lang w:bidi="ar-SA"/>
          <w:color w:val="111111"/>
          <w:sz w:val="28"/>
          <w:szCs w:val="28"/>
          <w:rtl/>
        </w:rPr>
        <w:t xml:space="preserve">عاملي ، علي بن عبد العالي -ميسي ، علي</w:t>
      </w:r>
    </w:p>
    <w:p>
      <w:pPr>
        <w:pStyle w:val="BookText"/>
      </w:pPr>
      <w:r>
        <w:rPr>
          <w:rFonts w:ascii="Amiri" w:hAnsi="Amiri" w:eastAsia="Amiri" w:cs="Amiri"/>
          <w:lang w:bidi="ar-SA"/>
          <w:color w:val="111111"/>
          <w:sz w:val="28"/>
          <w:szCs w:val="28"/>
          <w:rtl/>
        </w:rPr>
        <w:t xml:space="preserve">بن عبد العالي</w:t>
      </w:r>
    </w:p>
    <w:p>
      <w:pPr>
        <w:pStyle w:val="BookText"/>
      </w:pPr>
      <w:r>
        <w:rPr>
          <w:rFonts w:ascii="Amiri" w:hAnsi="Amiri" w:eastAsia="Amiri" w:cs="Amiri"/>
          <w:lang w:bidi="ar-SA"/>
          <w:color w:val="111111"/>
          <w:sz w:val="28"/>
          <w:szCs w:val="28"/>
          <w:rtl/>
        </w:rPr>
        <w:t xml:space="preserve">عاملي ، علي بن علي- موسوي عاملي ،</w:t>
      </w:r>
    </w:p>
    <w:p>
      <w:pPr>
        <w:pStyle w:val="BookText"/>
      </w:pPr>
      <w:r>
        <w:rPr>
          <w:rFonts w:ascii="Amiri" w:hAnsi="Amiri" w:eastAsia="Amiri" w:cs="Amiri"/>
          <w:lang w:bidi="ar-SA"/>
          <w:color w:val="111111"/>
          <w:sz w:val="28"/>
          <w:szCs w:val="28"/>
          <w:rtl/>
        </w:rPr>
        <w:t xml:space="preserve">علي بن علي</w:t>
      </w:r>
    </w:p>
    <w:p>
      <w:pPr>
        <w:pStyle w:val="BookText"/>
      </w:pPr>
      <w:r>
        <w:rPr>
          <w:rFonts w:ascii="Amiri" w:hAnsi="Amiri" w:eastAsia="Amiri" w:cs="Amiri"/>
          <w:lang w:bidi="ar-SA"/>
          <w:color w:val="111111"/>
          <w:sz w:val="28"/>
          <w:szCs w:val="28"/>
          <w:rtl/>
        </w:rPr>
        <w:t xml:space="preserve">عاملي ، علي بن محمّد- ابن مكي ،محمّد</w:t>
      </w:r>
    </w:p>
    <w:p>
      <w:pPr>
        <w:pStyle w:val="Heading2"/>
      </w:pPr>
      <w:bookmarkStart w:id="5749" w:name="_Toc4851"/>
      <w:r>
        <w:t>عاملي، علي بن محمّد، 1013 - 1104 1226ه-</w:t>
      </w:r>
      <w:bookmarkEnd w:id="5749"/>
    </w:p>
    <w:p>
      <w:pPr>
        <w:pStyle w:val="BookText"/>
      </w:pPr>
      <w:r>
        <w:rPr>
          <w:rFonts w:ascii="Amiri" w:hAnsi="Amiri" w:eastAsia="Amiri" w:cs="Amiri"/>
          <w:lang w:bidi="ar-SA"/>
          <w:color w:val="111111"/>
          <w:sz w:val="28"/>
          <w:szCs w:val="28"/>
          <w:rtl/>
        </w:rPr>
        <w:t xml:space="preserve">1 .حاشية حاشية خليفه سلطان علي</w:t>
      </w:r>
    </w:p>
    <w:p>
      <w:pPr>
        <w:pStyle w:val="BookText"/>
      </w:pPr>
      <w:r>
        <w:rPr>
          <w:rFonts w:ascii="Amiri" w:hAnsi="Amiri" w:eastAsia="Amiri" w:cs="Amiri"/>
          <w:lang w:bidi="ar-SA"/>
          <w:color w:val="111111"/>
          <w:sz w:val="28"/>
          <w:szCs w:val="28"/>
          <w:rtl/>
        </w:rPr>
        <w:t xml:space="preserve">الروضة البهية - جواب اعتراضات</w:t>
      </w:r>
    </w:p>
    <w:p>
      <w:pPr>
        <w:pStyle w:val="BookText"/>
      </w:pPr>
      <w:r>
        <w:rPr>
          <w:rFonts w:ascii="IRNazanin" w:hAnsi="IRNazanin" w:eastAsia="IRNazanin" w:cs="IRNazanin"/>
          <w:lang w:bidi="fa-IR"/>
          <w:color w:val="111111"/>
          <w:sz w:val="28"/>
          <w:szCs w:val="28"/>
          <w:rtl/>
        </w:rPr>
        <w:t xml:space="preserve">سلطان العلماء، ج 5، ص 803</w:t>
      </w:r>
    </w:p>
    <w:p>
      <w:pPr>
        <w:pStyle w:val="BookText"/>
      </w:pPr>
      <w:r>
        <w:rPr>
          <w:rFonts w:ascii="Amiri" w:hAnsi="Amiri" w:eastAsia="Amiri" w:cs="Amiri"/>
          <w:lang w:bidi="ar-SA"/>
          <w:color w:val="111111"/>
          <w:sz w:val="28"/>
          <w:szCs w:val="28"/>
          <w:rtl/>
        </w:rPr>
        <w:t xml:space="preserve">2 .حاشية شرائع الاسلام في المسائل الحلال والحرام، ج6، ص8.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اللمعة، ج 6، ص 163.</w:t>
      </w:r>
    </w:p>
    <w:p>
      <w:pPr>
        <w:pStyle w:val="BookText"/>
      </w:pPr>
      <w:r>
        <w:rPr>
          <w:rFonts w:ascii="Amiri" w:hAnsi="Amiri" w:eastAsia="Amiri" w:cs="Amiri"/>
          <w:lang w:bidi="ar-SA"/>
          <w:color w:val="111111"/>
          <w:sz w:val="28"/>
          <w:szCs w:val="28"/>
          <w:rtl/>
        </w:rPr>
        <w:t xml:space="preserve">4 .الدر المنثور من الخبر المأثور وغير</w:t>
      </w:r>
    </w:p>
    <w:p>
      <w:pPr>
        <w:pStyle w:val="BookText"/>
      </w:pPr>
      <w:r>
        <w:rPr>
          <w:rFonts w:ascii="IRNazanin" w:hAnsi="IRNazanin" w:eastAsia="IRNazanin" w:cs="IRNazanin"/>
          <w:lang w:bidi="fa-IR"/>
          <w:color w:val="111111"/>
          <w:sz w:val="28"/>
          <w:szCs w:val="28"/>
          <w:rtl/>
        </w:rPr>
        <w:t xml:space="preserve">المأثور، ج 7، ص 347.</w:t>
      </w:r>
    </w:p>
    <w:p>
      <w:pPr>
        <w:pStyle w:val="BookText"/>
      </w:pPr>
      <w:r>
        <w:rPr>
          <w:rFonts w:ascii="Amiri" w:hAnsi="Amiri" w:eastAsia="Amiri" w:cs="Amiri"/>
          <w:lang w:bidi="ar-SA"/>
          <w:color w:val="111111"/>
          <w:sz w:val="28"/>
          <w:szCs w:val="28"/>
          <w:rtl/>
        </w:rPr>
        <w:t xml:space="preserve">5 .الدر المنظوم من كلام المعصوم، ج7،</w:t>
      </w:r>
    </w:p>
    <w:p>
      <w:pPr>
        <w:pStyle w:val="BookText"/>
      </w:pPr>
      <w:r>
        <w:rPr>
          <w:rFonts w:ascii="IRNazanin" w:hAnsi="IRNazanin" w:eastAsia="IRNazanin" w:cs="IRNazanin"/>
          <w:lang w:bidi="fa-IR"/>
          <w:color w:val="111111"/>
          <w:sz w:val="28"/>
          <w:szCs w:val="28"/>
          <w:rtl/>
        </w:rPr>
        <w:t xml:space="preserve">ص 354 .</w:t>
      </w:r>
    </w:p>
    <w:p>
      <w:pPr>
        <w:pStyle w:val="BookText"/>
      </w:pPr>
      <w:r>
        <w:rPr>
          <w:rFonts w:ascii="Amiri" w:hAnsi="Amiri" w:eastAsia="Amiri" w:cs="Amiri"/>
          <w:lang w:bidi="ar-SA"/>
          <w:color w:val="111111"/>
          <w:sz w:val="28"/>
          <w:szCs w:val="28"/>
          <w:rtl/>
        </w:rPr>
        <w:t xml:space="preserve">6 .دفع ايرادات خليفة سلطان، ج7،</w:t>
      </w:r>
    </w:p>
    <w:p>
      <w:pPr>
        <w:pStyle w:val="BookText"/>
      </w:pPr>
      <w:r>
        <w:rPr>
          <w:rFonts w:ascii="IRNazanin" w:hAnsi="IRNazanin" w:eastAsia="IRNazanin" w:cs="IRNazanin"/>
          <w:lang w:bidi="fa-IR"/>
          <w:color w:val="111111"/>
          <w:sz w:val="28"/>
          <w:szCs w:val="28"/>
          <w:rtl/>
        </w:rPr>
        <w:t xml:space="preserve">ص 421.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الزهرات الزوية في شرح الروضة</w:t>
      </w:r>
    </w:p>
    <w:p>
      <w:pPr>
        <w:pStyle w:val="BookText"/>
      </w:pPr>
      <w:r>
        <w:rPr>
          <w:rFonts w:ascii="Amiri" w:hAnsi="Amiri" w:eastAsia="Amiri" w:cs="Amiri"/>
          <w:lang w:bidi="ar-SA"/>
          <w:color w:val="111111"/>
          <w:sz w:val="28"/>
          <w:szCs w:val="28"/>
          <w:rtl/>
        </w:rPr>
        <w:t xml:space="preserve">البهية، ج 8، ص 615.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اصول الكافي، ج 9، ص207.</w:t>
      </w:r>
    </w:p>
    <w:p>
      <w:pPr>
        <w:pStyle w:val="BookText"/>
      </w:pPr>
      <w:r>
        <w:rPr>
          <w:rFonts w:ascii="Amiri" w:hAnsi="Amiri" w:eastAsia="Amiri" w:cs="Amiri"/>
          <w:lang w:bidi="ar-SA"/>
          <w:color w:val="111111"/>
          <w:sz w:val="28"/>
          <w:szCs w:val="28"/>
          <w:rtl/>
        </w:rPr>
        <w:t xml:space="preserve">عاملي ، علي بن محمّد -حسين شيخ بهائي</w:t>
      </w:r>
    </w:p>
    <w:p>
      <w:pPr>
        <w:pStyle w:val="BookText"/>
      </w:pPr>
      <w:r>
        <w:rPr>
          <w:rFonts w:ascii="Amiri" w:hAnsi="Amiri" w:eastAsia="Amiri" w:cs="Amiri"/>
          <w:lang w:bidi="ar-SA"/>
          <w:color w:val="111111"/>
          <w:sz w:val="28"/>
          <w:szCs w:val="28"/>
          <w:rtl/>
        </w:rPr>
        <w:t xml:space="preserve">، محمّد بن حسين</w:t>
      </w:r>
    </w:p>
    <w:p>
      <w:pPr>
        <w:pStyle w:val="BookText"/>
      </w:pPr>
      <w:r>
        <w:rPr>
          <w:rFonts w:ascii="Amiri" w:hAnsi="Amiri" w:eastAsia="Amiri" w:cs="Amiri"/>
          <w:lang w:bidi="ar-SA"/>
          <w:color w:val="111111"/>
          <w:sz w:val="28"/>
          <w:szCs w:val="28"/>
          <w:rtl/>
        </w:rPr>
        <w:t xml:space="preserve">عاملي ، علي بن محمّد طاهر -فتوني</w:t>
      </w:r>
    </w:p>
    <w:p>
      <w:pPr>
        <w:pStyle w:val="BookText"/>
      </w:pPr>
      <w:r>
        <w:rPr>
          <w:rFonts w:ascii="Amiri" w:hAnsi="Amiri" w:eastAsia="Amiri" w:cs="Amiri"/>
          <w:lang w:bidi="ar-SA"/>
          <w:color w:val="111111"/>
          <w:sz w:val="28"/>
          <w:szCs w:val="28"/>
          <w:rtl/>
        </w:rPr>
        <w:t xml:space="preserve">اصفهاني ، ابوالحسن بن محمّد طاهر</w:t>
      </w:r>
    </w:p>
    <w:p>
      <w:pPr>
        <w:pStyle w:val="BookText"/>
      </w:pPr>
      <w:r>
        <w:rPr>
          <w:rFonts w:ascii="Amiri" w:hAnsi="Amiri" w:eastAsia="Amiri" w:cs="Amiri"/>
          <w:lang w:bidi="ar-SA"/>
          <w:color w:val="111111"/>
          <w:sz w:val="28"/>
          <w:szCs w:val="28"/>
          <w:rtl/>
        </w:rPr>
        <w:t xml:space="preserve">عاملي ، علي بن يونس- بياضي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عاملي عينائي - عينائي ، حسين بن علي</w:t>
      </w:r>
    </w:p>
    <w:p>
      <w:pPr>
        <w:pStyle w:val="BookText"/>
      </w:pPr>
      <w:r>
        <w:rPr>
          <w:rFonts w:ascii="Amiri" w:hAnsi="Amiri" w:eastAsia="Amiri" w:cs="Amiri"/>
          <w:lang w:bidi="ar-SA"/>
          <w:color w:val="111111"/>
          <w:sz w:val="28"/>
          <w:szCs w:val="28"/>
          <w:rtl/>
        </w:rPr>
        <w:t xml:space="preserve">عاملي عينائي ، احمد بن محمّد- ابن</w:t>
      </w:r>
    </w:p>
    <w:p>
      <w:pPr>
        <w:pStyle w:val="BookText"/>
      </w:pPr>
      <w:r>
        <w:rPr>
          <w:rFonts w:ascii="IRNazanin" w:hAnsi="IRNazanin" w:eastAsia="IRNazanin" w:cs="IRNazanin"/>
          <w:lang w:bidi="fa-IR"/>
          <w:color w:val="111111"/>
          <w:sz w:val="28"/>
          <w:szCs w:val="28"/>
          <w:rtl/>
        </w:rPr>
        <w:t xml:space="preserve">خاتون ، احمد بن محمّد</w:t>
      </w:r>
    </w:p>
    <w:p>
      <w:pPr>
        <w:pStyle w:val="BookText"/>
      </w:pPr>
      <w:r>
        <w:rPr>
          <w:rFonts w:ascii="Amiri" w:hAnsi="Amiri" w:eastAsia="Amiri" w:cs="Amiri"/>
          <w:lang w:bidi="ar-SA"/>
          <w:color w:val="111111"/>
          <w:sz w:val="28"/>
          <w:szCs w:val="28"/>
          <w:rtl/>
        </w:rPr>
        <w:t xml:space="preserve">عاملي عينائي ، احمد بن نعمت الله- ابن</w:t>
      </w:r>
    </w:p>
    <w:p>
      <w:pPr>
        <w:pStyle w:val="BookText"/>
      </w:pPr>
      <w:r>
        <w:rPr>
          <w:rFonts w:ascii="IRNazanin" w:hAnsi="IRNazanin" w:eastAsia="IRNazanin" w:cs="IRNazanin"/>
          <w:lang w:bidi="fa-IR"/>
          <w:color w:val="111111"/>
          <w:sz w:val="28"/>
          <w:szCs w:val="28"/>
          <w:rtl/>
        </w:rPr>
        <w:t xml:space="preserve">خاتون ، احمد بن نعمت الله</w:t>
      </w:r>
    </w:p>
    <w:p>
      <w:pPr>
        <w:pStyle w:val="BookText"/>
      </w:pPr>
      <w:r>
        <w:rPr>
          <w:rFonts w:ascii="Amiri" w:hAnsi="Amiri" w:eastAsia="Amiri" w:cs="Amiri"/>
          <w:lang w:bidi="ar-SA"/>
          <w:color w:val="111111"/>
          <w:sz w:val="28"/>
          <w:szCs w:val="28"/>
          <w:rtl/>
        </w:rPr>
        <w:t xml:space="preserve">عينائي ، محمّد بن محمّد- عينائي</w:t>
      </w:r>
    </w:p>
    <w:p>
      <w:pPr>
        <w:pStyle w:val="BookText"/>
      </w:pPr>
      <w:r>
        <w:rPr>
          <w:rFonts w:ascii="Amiri" w:hAnsi="Amiri" w:eastAsia="Amiri" w:cs="Amiri"/>
          <w:lang w:bidi="ar-SA"/>
          <w:color w:val="111111"/>
          <w:sz w:val="28"/>
          <w:szCs w:val="28"/>
          <w:rtl/>
        </w:rPr>
        <w:t xml:space="preserve">محمّد بن محمّد</w:t>
      </w:r>
    </w:p>
    <w:p>
      <w:pPr>
        <w:pStyle w:val="Heading2"/>
      </w:pPr>
      <w:bookmarkStart w:id="5750" w:name="_Toc4852"/>
      <w:r>
        <w:t>عاملي غروي ، جواد بن محمّد، 1152؟ -</w:t>
      </w:r>
      <w:bookmarkEnd w:id="5750"/>
    </w:p>
    <w:p>
      <w:pPr>
        <w:pStyle w:val="BookText"/>
      </w:pPr>
      <w:r>
        <w:rPr>
          <w:rFonts w:ascii="Amiri" w:hAnsi="Amiri" w:eastAsia="Amiri" w:cs="Amiri"/>
          <w:lang w:bidi="ar-SA"/>
          <w:color w:val="111111"/>
          <w:sz w:val="28"/>
          <w:szCs w:val="28"/>
          <w:rtl/>
        </w:rPr>
        <w:t xml:space="preserve">1 .إجازة للشيخ محمّد جواد بن</w:t>
      </w:r>
    </w:p>
    <w:p>
      <w:pPr>
        <w:pStyle w:val="BookText"/>
      </w:pPr>
      <w:r>
        <w:rPr>
          <w:rFonts w:ascii="Amiri" w:hAnsi="Amiri" w:eastAsia="Amiri" w:cs="Amiri"/>
          <w:lang w:bidi="ar-SA"/>
          <w:color w:val="111111"/>
          <w:sz w:val="28"/>
          <w:szCs w:val="28"/>
          <w:rtl/>
        </w:rPr>
        <w:t xml:space="preserve">محمّد تقي ملا كتاب، ج1،</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الحديث، ج 9، ص 380.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الوافي، ج 10، ص320.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مشكاة المقتبس، ج 14، ص 644.</w:t>
      </w:r>
    </w:p>
    <w:p>
      <w:pPr>
        <w:pStyle w:val="BookText"/>
      </w:pPr>
      <w:r>
        <w:rPr>
          <w:rFonts w:ascii="Amiri" w:hAnsi="Amiri" w:eastAsia="Amiri" w:cs="Amiri"/>
          <w:lang w:bidi="ar-SA"/>
          <w:color w:val="111111"/>
          <w:sz w:val="28"/>
          <w:szCs w:val="28"/>
          <w:rtl/>
        </w:rPr>
        <w:t xml:space="preserve">5 .مفتاح الكرامة في شرح قواعد الاحكام، ج 15 ، ص 221 .</w:t>
      </w:r>
    </w:p>
    <w:p>
      <w:pPr>
        <w:pStyle w:val="Heading2"/>
      </w:pPr>
      <w:bookmarkStart w:id="5751" w:name="_Toc4853"/>
      <w:r>
        <w:t>عاملي فتوني ، محمّد مهدي</w:t>
      </w:r>
      <w:bookmarkEnd w:id="5751"/>
    </w:p>
    <w:p>
      <w:pPr>
        <w:pStyle w:val="BookText"/>
      </w:pPr>
      <w:r>
        <w:rPr>
          <w:rFonts w:ascii="Amiri" w:hAnsi="Amiri" w:eastAsia="Amiri" w:cs="Amiri"/>
          <w:lang w:bidi="ar-SA"/>
          <w:color w:val="111111"/>
          <w:sz w:val="28"/>
          <w:szCs w:val="28"/>
          <w:rtl/>
        </w:rPr>
        <w:t xml:space="preserve">اجازة للسيّد بحر العلوم، ج 1، ص 249 .</w:t>
      </w:r>
    </w:p>
    <w:p>
      <w:pPr>
        <w:pStyle w:val="BookText"/>
      </w:pPr>
      <w:r>
        <w:rPr>
          <w:rFonts w:ascii="Amiri" w:hAnsi="Amiri" w:eastAsia="Amiri" w:cs="Amiri"/>
          <w:lang w:bidi="ar-SA"/>
          <w:color w:val="111111"/>
          <w:sz w:val="28"/>
          <w:szCs w:val="28"/>
          <w:rtl/>
        </w:rPr>
        <w:t xml:space="preserve">عاملي ، فخر الدين محمّد بن حسن- ابن</w:t>
      </w:r>
    </w:p>
    <w:p>
      <w:pPr>
        <w:pStyle w:val="BookText"/>
      </w:pPr>
      <w:r>
        <w:rPr>
          <w:rFonts w:ascii="Amiri" w:hAnsi="Amiri" w:eastAsia="Amiri" w:cs="Amiri"/>
          <w:lang w:bidi="ar-SA"/>
          <w:color w:val="111111"/>
          <w:sz w:val="28"/>
          <w:szCs w:val="28"/>
          <w:rtl/>
        </w:rPr>
        <w:t xml:space="preserve">طي ، محمّد بن حسن</w:t>
      </w:r>
    </w:p>
    <w:p>
      <w:pPr>
        <w:pStyle w:val="BookText"/>
      </w:pPr>
      <w:r>
        <w:rPr>
          <w:rFonts w:ascii="Amiri" w:hAnsi="Amiri" w:eastAsia="Amiri" w:cs="Amiri"/>
          <w:lang w:bidi="ar-SA"/>
          <w:color w:val="111111"/>
          <w:sz w:val="28"/>
          <w:szCs w:val="28"/>
          <w:rtl/>
        </w:rPr>
        <w:t xml:space="preserve">عاملي فقعاني ، علي بن علي -ابن طي</w:t>
      </w:r>
    </w:p>
    <w:p>
      <w:pPr>
        <w:pStyle w:val="BookText"/>
      </w:pPr>
      <w:r>
        <w:rPr>
          <w:rFonts w:ascii="Amiri" w:hAnsi="Amiri" w:eastAsia="Amiri" w:cs="Amiri"/>
          <w:lang w:bidi="ar-SA"/>
          <w:color w:val="111111"/>
          <w:sz w:val="28"/>
          <w:szCs w:val="28"/>
          <w:rtl/>
        </w:rPr>
        <w:t xml:space="preserve">علي بن علي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22" w:name="pg7742_70715"/>
    <w:bookmarkEnd w:id="722"/>
    <w:p>
      <w:pPr>
        <w:pStyle w:val="Heading2"/>
      </w:pPr>
      <w:bookmarkStart w:id="5752" w:name="_Toc4854"/>
      <w:r>
        <w:t>عاملي ، قاسم بن حسن - 1375 ه-</w:t>
      </w:r>
      <w:bookmarkEnd w:id="5752"/>
    </w:p>
    <w:p>
      <w:pPr>
        <w:pStyle w:val="BookText"/>
      </w:pPr>
      <w:r>
        <w:rPr>
          <w:rFonts w:ascii="Amiri" w:hAnsi="Amiri" w:eastAsia="Amiri" w:cs="Amiri"/>
          <w:lang w:bidi="ar-SA"/>
          <w:color w:val="111111"/>
          <w:sz w:val="28"/>
          <w:szCs w:val="28"/>
          <w:rtl/>
        </w:rPr>
        <w:t xml:space="preserve">1 .الشعر المقبول في رثاء الرسول صل الله عليه و آله و سلم، ج 10،</w:t>
      </w:r>
    </w:p>
    <w:p>
      <w:pPr>
        <w:pStyle w:val="BookText"/>
      </w:pPr>
      <w:r>
        <w:rPr>
          <w:rFonts w:ascii="IRNazanin" w:hAnsi="IRNazanin" w:eastAsia="IRNazanin" w:cs="IRNazanin"/>
          <w:lang w:bidi="fa-IR"/>
          <w:color w:val="111111"/>
          <w:sz w:val="28"/>
          <w:szCs w:val="28"/>
          <w:rtl/>
        </w:rPr>
        <w:t xml:space="preserve">ص 369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الفقه، ج 12، ص 52.</w:t>
      </w:r>
    </w:p>
    <w:p>
      <w:pPr>
        <w:pStyle w:val="BookText"/>
      </w:pPr>
      <w:r>
        <w:rPr>
          <w:rFonts w:ascii="Amiri" w:hAnsi="Amiri" w:eastAsia="Amiri" w:cs="Amiri"/>
          <w:lang w:bidi="ar-SA"/>
          <w:color w:val="111111"/>
          <w:sz w:val="28"/>
          <w:szCs w:val="28"/>
          <w:rtl/>
        </w:rPr>
        <w:t xml:space="preserve">عاملي كركي ، حسن بن جعفر- كركي</w:t>
      </w:r>
    </w:p>
    <w:p>
      <w:pPr>
        <w:pStyle w:val="BookText"/>
      </w:pPr>
      <w:r>
        <w:rPr>
          <w:rFonts w:ascii="IRNazanin" w:hAnsi="IRNazanin" w:eastAsia="IRNazanin" w:cs="IRNazanin"/>
          <w:lang w:bidi="fa-IR"/>
          <w:color w:val="111111"/>
          <w:sz w:val="28"/>
          <w:szCs w:val="28"/>
          <w:rtl/>
        </w:rPr>
        <w:t xml:space="preserve">حسن بن جعفر</w:t>
      </w:r>
    </w:p>
    <w:p>
      <w:pPr>
        <w:pStyle w:val="BookText"/>
      </w:pPr>
      <w:r>
        <w:rPr>
          <w:rFonts w:ascii="Amiri" w:hAnsi="Amiri" w:eastAsia="Amiri" w:cs="Amiri"/>
          <w:lang w:bidi="ar-SA"/>
          <w:color w:val="111111"/>
          <w:sz w:val="28"/>
          <w:szCs w:val="28"/>
          <w:rtl/>
        </w:rPr>
        <w:t xml:space="preserve">عاملي كركي ، محمّد بن علي- حرفوشي</w:t>
      </w:r>
    </w:p>
    <w:p>
      <w:pPr>
        <w:pStyle w:val="BookText"/>
      </w:pPr>
      <w:r>
        <w:rPr>
          <w:rFonts w:ascii="Amiri" w:hAnsi="Amiri" w:eastAsia="Amiri" w:cs="Amiri"/>
          <w:lang w:bidi="ar-SA"/>
          <w:color w:val="111111"/>
          <w:sz w:val="28"/>
          <w:szCs w:val="28"/>
          <w:rtl/>
        </w:rPr>
        <w:t xml:space="preserve">محمّد بن علي</w:t>
      </w:r>
    </w:p>
    <w:p>
      <w:pPr>
        <w:pStyle w:val="Heading2"/>
      </w:pPr>
      <w:bookmarkStart w:id="5753" w:name="_Toc4855"/>
      <w:r>
        <w:t>عاملي، كمال الدين بن حيدر قرن 12 ه-</w:t>
      </w:r>
      <w:bookmarkEnd w:id="5753"/>
    </w:p>
    <w:p>
      <w:pPr>
        <w:pStyle w:val="BookText"/>
      </w:pPr>
      <w:r>
        <w:rPr>
          <w:rFonts w:ascii="IRNazanin" w:hAnsi="IRNazanin" w:eastAsia="IRNazanin" w:cs="IRNazanin"/>
          <w:lang w:bidi="fa-IR"/>
          <w:color w:val="111111"/>
          <w:sz w:val="28"/>
          <w:szCs w:val="28"/>
          <w:rtl/>
        </w:rPr>
        <w:t xml:space="preserve">مشيخة التلعكبری، ج 14، ص 652 .</w:t>
      </w:r>
    </w:p>
    <w:p>
      <w:pPr>
        <w:pStyle w:val="BookText"/>
      </w:pPr>
      <w:r>
        <w:rPr>
          <w:rFonts w:ascii="Amiri" w:hAnsi="Amiri" w:eastAsia="Amiri" w:cs="Amiri"/>
          <w:lang w:bidi="ar-SA"/>
          <w:color w:val="111111"/>
          <w:sz w:val="28"/>
          <w:szCs w:val="28"/>
          <w:rtl/>
        </w:rPr>
        <w:t xml:space="preserve">عاملي ، لطف الله بن عبد الكريم- ميسي ،</w:t>
      </w:r>
    </w:p>
    <w:p>
      <w:pPr>
        <w:pStyle w:val="BookText"/>
      </w:pPr>
      <w:r>
        <w:rPr>
          <w:rFonts w:ascii="Amiri" w:hAnsi="Amiri" w:eastAsia="Amiri" w:cs="Amiri"/>
          <w:lang w:bidi="ar-SA"/>
          <w:color w:val="111111"/>
          <w:sz w:val="28"/>
          <w:szCs w:val="28"/>
          <w:rtl/>
        </w:rPr>
        <w:t xml:space="preserve">لطف الله بن عبدالكريم</w:t>
      </w:r>
    </w:p>
    <w:p>
      <w:pPr>
        <w:pStyle w:val="Heading2"/>
      </w:pPr>
      <w:bookmarkStart w:id="5754" w:name="_Toc4856"/>
      <w:r>
        <w:t>عاملي ، محسن بن عبدالكريم</w:t>
      </w:r>
      <w:bookmarkEnd w:id="5754"/>
    </w:p>
    <w:p>
      <w:pPr>
        <w:pStyle w:val="BookText"/>
      </w:pPr>
      <w:r>
        <w:rPr>
          <w:rFonts w:ascii="Amiri" w:hAnsi="Amiri" w:eastAsia="Amiri" w:cs="Amiri"/>
          <w:lang w:bidi="ar-SA"/>
          <w:color w:val="111111"/>
          <w:sz w:val="28"/>
          <w:szCs w:val="28"/>
          <w:rtl/>
        </w:rPr>
        <w:t xml:space="preserve">نظم علاقات المجاز على سبيل الاختصار و الايجاز، ج 16، ص 350.</w:t>
      </w:r>
    </w:p>
    <w:p>
      <w:pPr>
        <w:pStyle w:val="BookText"/>
      </w:pPr>
      <w:r>
        <w:rPr>
          <w:rFonts w:ascii="Amiri" w:hAnsi="Amiri" w:eastAsia="Amiri" w:cs="Amiri"/>
          <w:lang w:bidi="ar-SA"/>
          <w:color w:val="111111"/>
          <w:sz w:val="28"/>
          <w:szCs w:val="28"/>
          <w:rtl/>
        </w:rPr>
        <w:t xml:space="preserve">عاملي ، محمّد- موسوي عاملي ، محمّد</w:t>
      </w:r>
    </w:p>
    <w:p>
      <w:pPr>
        <w:pStyle w:val="BookText"/>
      </w:pPr>
      <w:r>
        <w:rPr>
          <w:rFonts w:ascii="Amiri" w:hAnsi="Amiri" w:eastAsia="Amiri" w:cs="Amiri"/>
          <w:lang w:bidi="ar-SA"/>
          <w:color w:val="111111"/>
          <w:sz w:val="28"/>
          <w:szCs w:val="28"/>
          <w:rtl/>
        </w:rPr>
        <w:t xml:space="preserve">بن علي</w:t>
      </w:r>
    </w:p>
    <w:p>
      <w:pPr>
        <w:pStyle w:val="Heading2"/>
      </w:pPr>
      <w:bookmarkStart w:id="5755" w:name="_Toc4857"/>
      <w:r>
        <w:t>عاملي ، محمّد، قرن 11 ه-</w:t>
      </w:r>
      <w:bookmarkEnd w:id="5755"/>
    </w:p>
    <w:p>
      <w:pPr>
        <w:pStyle w:val="BookText"/>
      </w:pPr>
      <w:r>
        <w:rPr>
          <w:rFonts w:ascii="Amiri" w:hAnsi="Amiri" w:eastAsia="Amiri" w:cs="Amiri"/>
          <w:lang w:bidi="ar-SA"/>
          <w:color w:val="111111"/>
          <w:sz w:val="28"/>
          <w:szCs w:val="28"/>
          <w:rtl/>
        </w:rPr>
        <w:t xml:space="preserve">اجوبة المسائل، ج 1، ص 334.</w:t>
      </w:r>
    </w:p>
    <w:p>
      <w:pPr>
        <w:pStyle w:val="Heading2"/>
      </w:pPr>
      <w:bookmarkStart w:id="5756" w:name="_Toc4858"/>
      <w:r>
        <w:t>عاملي ، محمّد</w:t>
      </w:r>
      <w:bookmarkEnd w:id="5756"/>
    </w:p>
    <w:p>
      <w:pPr>
        <w:pStyle w:val="BookText"/>
      </w:pPr>
      <w:r>
        <w:rPr>
          <w:rFonts w:ascii="Amiri" w:hAnsi="Amiri" w:eastAsia="Amiri" w:cs="Amiri"/>
          <w:lang w:bidi="ar-SA"/>
          <w:color w:val="111111"/>
          <w:sz w:val="28"/>
          <w:szCs w:val="28"/>
          <w:rtl/>
        </w:rPr>
        <w:t xml:space="preserve">ترجمة شرح الاربعين، ج4، ص278.</w:t>
      </w:r>
    </w:p>
    <w:p>
      <w:pPr>
        <w:pStyle w:val="Heading2"/>
      </w:pPr>
      <w:bookmarkStart w:id="5757" w:name="_Toc4859"/>
      <w:r>
        <w:t>عاملي ، محمّد ابراهيم</w:t>
      </w:r>
      <w:bookmarkEnd w:id="5757"/>
    </w:p>
    <w:p>
      <w:pPr>
        <w:pStyle w:val="BookText"/>
      </w:pPr>
      <w:r>
        <w:rPr>
          <w:rFonts w:ascii="Amiri" w:hAnsi="Amiri" w:eastAsia="Amiri" w:cs="Amiri"/>
          <w:lang w:bidi="ar-SA"/>
          <w:color w:val="111111"/>
          <w:sz w:val="28"/>
          <w:szCs w:val="28"/>
          <w:rtl/>
        </w:rPr>
        <w:t xml:space="preserve">1 .المختار من كتب أمير المؤمنين (ع)</w:t>
      </w:r>
    </w:p>
    <w:p>
      <w:pPr>
        <w:pStyle w:val="BookText"/>
      </w:pPr>
      <w:r>
        <w:rPr>
          <w:rFonts w:ascii="IRNazanin" w:hAnsi="IRNazanin" w:eastAsia="IRNazanin" w:cs="IRNazanin"/>
          <w:lang w:bidi="fa-IR"/>
          <w:color w:val="111111"/>
          <w:sz w:val="28"/>
          <w:szCs w:val="28"/>
          <w:rtl/>
        </w:rPr>
        <w:t xml:space="preserve">ج 14، ص 164.</w:t>
      </w:r>
    </w:p>
    <w:p>
      <w:pPr>
        <w:pStyle w:val="BookText"/>
      </w:pPr>
      <w:r>
        <w:rPr>
          <w:rFonts w:ascii="Amiri" w:hAnsi="Amiri" w:eastAsia="Amiri" w:cs="Amiri"/>
          <w:lang w:bidi="ar-SA"/>
          <w:color w:val="111111"/>
          <w:sz w:val="28"/>
          <w:szCs w:val="28"/>
          <w:rtl/>
        </w:rPr>
        <w:t xml:space="preserve">2 .المنتزع من خطب اميرالمؤمنين (ع)</w:t>
      </w:r>
    </w:p>
    <w:p>
      <w:pPr>
        <w:pStyle w:val="BookText"/>
      </w:pPr>
      <w:r>
        <w:rPr>
          <w:rFonts w:ascii="IRNazanin" w:hAnsi="IRNazanin" w:eastAsia="IRNazanin" w:cs="IRNazanin"/>
          <w:lang w:bidi="fa-IR"/>
          <w:color w:val="111111"/>
          <w:sz w:val="28"/>
          <w:szCs w:val="28"/>
          <w:rtl/>
        </w:rPr>
        <w:t xml:space="preserve">ج 15 ، ص 620 .</w:t>
      </w:r>
    </w:p>
    <w:p>
      <w:pPr>
        <w:pStyle w:val="Heading2"/>
      </w:pPr>
      <w:bookmarkStart w:id="5758" w:name="_Toc4860"/>
      <w:r>
        <w:t>عاملي ، محمّد امين، 13 ه-</w:t>
      </w:r>
      <w:bookmarkEnd w:id="5758"/>
    </w:p>
    <w:p>
      <w:pPr>
        <w:pStyle w:val="BookText"/>
      </w:pPr>
      <w:r>
        <w:rPr>
          <w:rFonts w:ascii="IRNazanin" w:hAnsi="IRNazanin" w:eastAsia="IRNazanin" w:cs="IRNazanin"/>
          <w:lang w:bidi="fa-IR"/>
          <w:color w:val="111111"/>
          <w:sz w:val="28"/>
          <w:szCs w:val="28"/>
          <w:rtl/>
        </w:rPr>
        <w:t xml:space="preserve">شرح المختصر النافع، ج 10، ص127.</w:t>
      </w:r>
    </w:p>
    <w:p>
      <w:pPr>
        <w:pStyle w:val="Heading2"/>
      </w:pPr>
      <w:bookmarkStart w:id="5759" w:name="_Toc4861"/>
      <w:r>
        <w:t>عاملي ، محمّد بن احمد - 1008 ؟</w:t>
      </w:r>
      <w:bookmarkEnd w:id="5759"/>
    </w:p>
    <w:p>
      <w:pPr>
        <w:pStyle w:val="BookText"/>
      </w:pPr>
      <w:r>
        <w:rPr>
          <w:rFonts w:ascii="Amiri" w:hAnsi="Amiri" w:eastAsia="Amiri" w:cs="Amiri"/>
          <w:lang w:bidi="ar-SA"/>
          <w:color w:val="111111"/>
          <w:sz w:val="28"/>
          <w:szCs w:val="28"/>
          <w:rtl/>
        </w:rPr>
        <w:t xml:space="preserve">1 .اجازة لابراهيم بن حسين همداني</w:t>
      </w:r>
    </w:p>
    <w:p>
      <w:pPr>
        <w:pStyle w:val="BookText"/>
      </w:pPr>
      <w:r>
        <w:rPr>
          <w:rFonts w:ascii="IRNazanin" w:hAnsi="IRNazanin" w:eastAsia="IRNazanin" w:cs="IRNazanin"/>
          <w:lang w:bidi="fa-IR"/>
          <w:color w:val="111111"/>
          <w:sz w:val="28"/>
          <w:szCs w:val="28"/>
          <w:rtl/>
        </w:rPr>
        <w:t xml:space="preserve">ج 1، ص228.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قواعد الشهيد الاول، ج 10،</w:t>
      </w:r>
    </w:p>
    <w:p>
      <w:pPr>
        <w:pStyle w:val="BookText"/>
      </w:pPr>
      <w:r>
        <w:rPr>
          <w:rFonts w:ascii="IRNazanin" w:hAnsi="IRNazanin" w:eastAsia="IRNazanin" w:cs="IRNazanin"/>
          <w:lang w:bidi="fa-IR"/>
          <w:color w:val="111111"/>
          <w:sz w:val="28"/>
          <w:szCs w:val="28"/>
          <w:rtl/>
        </w:rPr>
        <w:t xml:space="preserve">ص 21</w:t>
      </w:r>
    </w:p>
    <w:p>
      <w:pPr>
        <w:pStyle w:val="Heading2"/>
      </w:pPr>
      <w:bookmarkStart w:id="5760" w:name="_Toc4862"/>
      <w:r>
        <w:t>عاملي ، محمّد بن بهاء الدين</w:t>
      </w:r>
      <w:bookmarkEnd w:id="5760"/>
    </w:p>
    <w:p>
      <w:pPr>
        <w:pStyle w:val="BookText"/>
      </w:pPr>
      <w:r>
        <w:rPr>
          <w:rFonts w:ascii="Amiri" w:hAnsi="Amiri" w:eastAsia="Amiri" w:cs="Amiri"/>
          <w:lang w:bidi="ar-SA"/>
          <w:color w:val="111111"/>
          <w:sz w:val="28"/>
          <w:szCs w:val="28"/>
          <w:rtl/>
        </w:rPr>
        <w:t xml:space="preserve">مسائل ادعي الشيخ الطوسي فيها الأجماع (رسالة) في)، ج 14 ، ص 434 .</w:t>
      </w:r>
    </w:p>
    <w:p>
      <w:pPr>
        <w:pStyle w:val="BookText"/>
      </w:pPr>
      <w:r>
        <w:rPr>
          <w:rFonts w:ascii="IRNazanin" w:hAnsi="IRNazanin" w:eastAsia="IRNazanin" w:cs="IRNazanin"/>
          <w:lang w:bidi="fa-IR"/>
          <w:color w:val="111111"/>
          <w:sz w:val="28"/>
          <w:szCs w:val="28"/>
          <w:rtl/>
        </w:rPr>
        <w:t xml:space="preserve">عاملي ، محمّد بن حسن بن زین الدين- سبط الشهيد ، محمّد بن حسن</w:t>
      </w:r>
    </w:p>
    <w:p>
      <w:pPr>
        <w:pStyle w:val="BookText"/>
      </w:pPr>
      <w:r>
        <w:rPr>
          <w:rFonts w:ascii="Amiri" w:hAnsi="Amiri" w:eastAsia="Amiri" w:cs="Amiri"/>
          <w:lang w:bidi="ar-SA"/>
          <w:color w:val="111111"/>
          <w:sz w:val="28"/>
          <w:szCs w:val="28"/>
          <w:rtl/>
        </w:rPr>
        <w:t xml:space="preserve">عاملي ، محمّد بن حسين -شيخ بهائي ،</w:t>
      </w:r>
    </w:p>
    <w:p>
      <w:pPr>
        <w:pStyle w:val="BookText"/>
      </w:pPr>
      <w:r>
        <w:rPr>
          <w:rFonts w:ascii="Amiri" w:hAnsi="Amiri" w:eastAsia="Amiri" w:cs="Amiri"/>
          <w:lang w:bidi="ar-SA"/>
          <w:color w:val="111111"/>
          <w:sz w:val="28"/>
          <w:szCs w:val="28"/>
          <w:rtl/>
        </w:rPr>
        <w:t xml:space="preserve">محمّد بن حسين</w:t>
      </w:r>
    </w:p>
    <w:p>
      <w:pPr>
        <w:pStyle w:val="BookText"/>
      </w:pPr>
      <w:r>
        <w:rPr>
          <w:rFonts w:ascii="Amiri" w:hAnsi="Amiri" w:eastAsia="Amiri" w:cs="Amiri"/>
          <w:lang w:bidi="ar-SA"/>
          <w:color w:val="111111"/>
          <w:sz w:val="28"/>
          <w:szCs w:val="28"/>
          <w:rtl/>
        </w:rPr>
        <w:t xml:space="preserve">عاملي ، محمّد بن صالح -عاملي اصفهاني</w:t>
      </w:r>
    </w:p>
    <w:p>
      <w:pPr>
        <w:pStyle w:val="BookText"/>
      </w:pPr>
      <w:r>
        <w:rPr>
          <w:rFonts w:ascii="IRNazanin" w:hAnsi="IRNazanin" w:eastAsia="IRNazanin" w:cs="IRNazanin"/>
          <w:lang w:bidi="fa-IR"/>
          <w:color w:val="111111"/>
          <w:sz w:val="28"/>
          <w:szCs w:val="28"/>
          <w:rtl/>
        </w:rPr>
        <w:t xml:space="preserve">محمّد بن صالح</w:t>
      </w:r>
    </w:p>
    <w:p>
      <w:pPr>
        <w:pStyle w:val="Heading2"/>
      </w:pPr>
      <w:bookmarkStart w:id="5761" w:name="_Toc4863"/>
      <w:r>
        <w:t>عاملي ، محمّد بن عبدالعال</w:t>
      </w:r>
      <w:bookmarkEnd w:id="5761"/>
    </w:p>
    <w:p>
      <w:pPr>
        <w:pStyle w:val="BookText"/>
      </w:pPr>
      <w:r>
        <w:rPr>
          <w:rFonts w:ascii="Amiri" w:hAnsi="Amiri" w:eastAsia="Amiri" w:cs="Amiri"/>
          <w:lang w:bidi="ar-SA"/>
          <w:color w:val="111111"/>
          <w:sz w:val="28"/>
          <w:szCs w:val="28"/>
          <w:rtl/>
        </w:rPr>
        <w:t xml:space="preserve">حاشية الفصول النصيرية، ج 6، ص 269.</w:t>
      </w:r>
    </w:p>
    <w:p>
      <w:pPr>
        <w:pStyle w:val="BookText"/>
      </w:pPr>
      <w:r>
        <w:rPr>
          <w:rFonts w:ascii="Amiri" w:hAnsi="Amiri" w:eastAsia="Amiri" w:cs="Amiri"/>
          <w:lang w:bidi="ar-SA"/>
          <w:color w:val="111111"/>
          <w:sz w:val="28"/>
          <w:szCs w:val="28"/>
          <w:rtl/>
        </w:rPr>
        <w:t xml:space="preserve">عاملي ، محمّد بن علي- ابن خاتون ، محمّد بن علي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23" w:name="pg7742_70716"/>
    <w:bookmarkEnd w:id="723"/>
    <w:p>
      <w:pPr>
        <w:pStyle w:val="BookText"/>
      </w:pPr>
      <w:r>
        <w:rPr>
          <w:rFonts w:ascii="Amiri" w:hAnsi="Amiri" w:eastAsia="Amiri" w:cs="Amiri"/>
          <w:lang w:bidi="ar-SA"/>
          <w:color w:val="111111"/>
          <w:sz w:val="28"/>
          <w:szCs w:val="28"/>
          <w:rtl/>
        </w:rPr>
        <w:t xml:space="preserve">عاملي ، محمّد بن علي -ابن خاتون عاملي</w:t>
      </w:r>
    </w:p>
    <w:p>
      <w:pPr>
        <w:pStyle w:val="BookText"/>
      </w:pPr>
      <w:r>
        <w:rPr>
          <w:rFonts w:ascii="Amiri" w:hAnsi="Amiri" w:eastAsia="Amiri" w:cs="Amiri"/>
          <w:lang w:bidi="ar-SA"/>
          <w:color w:val="111111"/>
          <w:sz w:val="28"/>
          <w:szCs w:val="28"/>
          <w:rtl/>
        </w:rPr>
        <w:t xml:space="preserve">، محمّد بن علي</w:t>
      </w:r>
    </w:p>
    <w:p>
      <w:pPr>
        <w:pStyle w:val="BookText"/>
      </w:pPr>
      <w:r>
        <w:rPr>
          <w:rFonts w:ascii="Amiri" w:hAnsi="Amiri" w:eastAsia="Amiri" w:cs="Amiri"/>
          <w:lang w:bidi="ar-SA"/>
          <w:color w:val="111111"/>
          <w:sz w:val="28"/>
          <w:szCs w:val="28"/>
          <w:rtl/>
        </w:rPr>
        <w:t xml:space="preserve">عاملي ، محمّد بن علي- موسوي عاملي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عاملي ، محمّد بن محمّد -عينائي ، محمّد</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عاملي ، محمّد بن مكي -شهيد اوّل</w:t>
      </w:r>
    </w:p>
    <w:p>
      <w:pPr>
        <w:pStyle w:val="BookText"/>
      </w:pPr>
      <w:r>
        <w:rPr>
          <w:rFonts w:ascii="Amiri" w:hAnsi="Amiri" w:eastAsia="Amiri" w:cs="Amiri"/>
          <w:lang w:bidi="ar-SA"/>
          <w:color w:val="111111"/>
          <w:sz w:val="28"/>
          <w:szCs w:val="28"/>
          <w:rtl/>
        </w:rPr>
        <w:t xml:space="preserve">محمّد بن مكي</w:t>
      </w:r>
    </w:p>
    <w:p>
      <w:pPr>
        <w:pStyle w:val="Heading2"/>
      </w:pPr>
      <w:bookmarkStart w:id="5762" w:name="_Toc4864"/>
      <w:r>
        <w:t>عاملي ، محمّد بن مكي - 938 ه-</w:t>
      </w:r>
      <w:bookmarkEnd w:id="5762"/>
    </w:p>
    <w:p>
      <w:pPr>
        <w:pStyle w:val="BookText"/>
      </w:pPr>
      <w:r>
        <w:rPr>
          <w:rFonts w:ascii="Amiri" w:hAnsi="Amiri" w:eastAsia="Amiri" w:cs="Amiri"/>
          <w:lang w:bidi="ar-SA"/>
          <w:color w:val="111111"/>
          <w:sz w:val="28"/>
          <w:szCs w:val="28"/>
          <w:rtl/>
        </w:rPr>
        <w:t xml:space="preserve">غاية القصد في معرفة الفصد، ج11،</w:t>
      </w:r>
    </w:p>
    <w:p>
      <w:pPr>
        <w:pStyle w:val="BookText"/>
      </w:pPr>
      <w:r>
        <w:rPr>
          <w:rFonts w:ascii="IRNazanin" w:hAnsi="IRNazanin" w:eastAsia="IRNazanin" w:cs="IRNazanin"/>
          <w:lang w:bidi="fa-IR"/>
          <w:color w:val="111111"/>
          <w:sz w:val="28"/>
          <w:szCs w:val="28"/>
          <w:rtl/>
        </w:rPr>
        <w:t xml:space="preserve">ص 440.</w:t>
      </w:r>
    </w:p>
    <w:p>
      <w:pPr>
        <w:pStyle w:val="Heading2"/>
      </w:pPr>
      <w:bookmarkStart w:id="5763" w:name="_Toc4865"/>
      <w:r>
        <w:t>عاملي ، محمّد بن نورالدين</w:t>
      </w:r>
      <w:bookmarkEnd w:id="5763"/>
    </w:p>
    <w:p>
      <w:pPr>
        <w:pStyle w:val="BookText"/>
      </w:pPr>
      <w:r>
        <w:rPr>
          <w:rFonts w:ascii="IRNazanin" w:hAnsi="IRNazanin" w:eastAsia="IRNazanin" w:cs="IRNazanin"/>
          <w:lang w:bidi="fa-IR"/>
          <w:color w:val="111111"/>
          <w:sz w:val="28"/>
          <w:szCs w:val="28"/>
          <w:rtl/>
        </w:rPr>
        <w:t xml:space="preserve">ص 367 .</w:t>
      </w:r>
    </w:p>
    <w:p>
      <w:pPr>
        <w:pStyle w:val="BookText"/>
      </w:pPr>
      <w:r>
        <w:rPr>
          <w:rFonts w:ascii="Amiri" w:hAnsi="Amiri" w:eastAsia="Amiri" w:cs="Amiri"/>
          <w:lang w:bidi="ar-SA"/>
          <w:color w:val="111111"/>
          <w:sz w:val="28"/>
          <w:szCs w:val="28"/>
          <w:rtl/>
        </w:rPr>
        <w:t xml:space="preserve">بغية الطالب في حال ابي الطالب، ج3،</w:t>
      </w:r>
    </w:p>
    <w:p>
      <w:pPr>
        <w:pStyle w:val="BookText"/>
      </w:pPr>
      <w:r>
        <w:rPr>
          <w:rFonts w:ascii="Amiri" w:hAnsi="Amiri" w:eastAsia="Amiri" w:cs="Amiri"/>
          <w:lang w:bidi="ar-SA"/>
          <w:color w:val="111111"/>
          <w:sz w:val="28"/>
          <w:szCs w:val="28"/>
          <w:rtl/>
        </w:rPr>
        <w:t xml:space="preserve">عاملي ، محمّد بن يوسف- آل محي الدين</w:t>
      </w:r>
    </w:p>
    <w:p>
      <w:pPr>
        <w:pStyle w:val="BookText"/>
      </w:pPr>
      <w:r>
        <w:rPr>
          <w:rFonts w:ascii="Amiri" w:hAnsi="Amiri" w:eastAsia="Amiri" w:cs="Amiri"/>
          <w:lang w:bidi="ar-SA"/>
          <w:color w:val="111111"/>
          <w:sz w:val="28"/>
          <w:szCs w:val="28"/>
          <w:rtl/>
        </w:rPr>
        <w:t xml:space="preserve">عاملي ، محمّد بن يوسف</w:t>
      </w:r>
    </w:p>
    <w:p>
      <w:pPr>
        <w:pStyle w:val="Heading2"/>
      </w:pPr>
      <w:bookmarkStart w:id="5764" w:name="_Toc4866"/>
      <w:r>
        <w:t>عاملي ، محمّد جواد بن حسن قرن 13</w:t>
      </w:r>
      <w:bookmarkEnd w:id="5764"/>
    </w:p>
    <w:p>
      <w:pPr>
        <w:pStyle w:val="BookText"/>
      </w:pPr>
      <w:r>
        <w:rPr>
          <w:rFonts w:ascii="Amiri" w:hAnsi="Amiri" w:eastAsia="Amiri" w:cs="Amiri"/>
          <w:lang w:bidi="ar-SA"/>
          <w:color w:val="111111"/>
          <w:sz w:val="28"/>
          <w:szCs w:val="28"/>
          <w:rtl/>
        </w:rPr>
        <w:t xml:space="preserve">1 .التجويد = علم التجويد (رسالة</w:t>
      </w:r>
    </w:p>
    <w:p>
      <w:pPr>
        <w:pStyle w:val="BookText"/>
      </w:pPr>
      <w:r>
        <w:rPr>
          <w:rFonts w:ascii="Amiri" w:hAnsi="Amiri" w:eastAsia="Amiri" w:cs="Amiri"/>
          <w:lang w:bidi="ar-SA"/>
          <w:color w:val="111111"/>
          <w:sz w:val="28"/>
          <w:szCs w:val="28"/>
          <w:rtl/>
        </w:rPr>
        <w:t xml:space="preserve">في)، ج 3، ص 707.</w:t>
      </w:r>
    </w:p>
    <w:p>
      <w:pPr>
        <w:pStyle w:val="BookText"/>
      </w:pPr>
      <w:r>
        <w:rPr>
          <w:rFonts w:ascii="Amiri" w:hAnsi="Amiri" w:eastAsia="Amiri" w:cs="Amiri"/>
          <w:lang w:bidi="ar-SA"/>
          <w:color w:val="111111"/>
          <w:sz w:val="28"/>
          <w:szCs w:val="28"/>
          <w:rtl/>
        </w:rPr>
        <w:t xml:space="preserve">2 .مرآة الفضل و الإستقامة، ج 14،</w:t>
      </w:r>
    </w:p>
    <w:p>
      <w:pPr>
        <w:pStyle w:val="BookText"/>
      </w:pPr>
      <w:r>
        <w:rPr>
          <w:rFonts w:ascii="IRNazanin" w:hAnsi="IRNazanin" w:eastAsia="IRNazanin" w:cs="IRNazanin"/>
          <w:lang w:bidi="fa-IR"/>
          <w:color w:val="111111"/>
          <w:sz w:val="28"/>
          <w:szCs w:val="28"/>
          <w:rtl/>
        </w:rPr>
        <w:t xml:space="preserve">ص 360.</w:t>
      </w:r>
    </w:p>
    <w:p>
      <w:pPr>
        <w:pStyle w:val="Heading2"/>
      </w:pPr>
      <w:bookmarkStart w:id="5765" w:name="_Toc4867"/>
      <w:r>
        <w:t>عاملي ، محمّد طالب بن محمّد جعفر</w:t>
      </w:r>
      <w:bookmarkEnd w:id="5765"/>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وسيلة النجاة و ذريعة المعاد، ج 16،</w:t>
      </w:r>
    </w:p>
    <w:p>
      <w:pPr>
        <w:pStyle w:val="BookText"/>
      </w:pPr>
      <w:r>
        <w:rPr>
          <w:rFonts w:ascii="IRNazanin" w:hAnsi="IRNazanin" w:eastAsia="IRNazanin" w:cs="IRNazanin"/>
          <w:lang w:bidi="fa-IR"/>
          <w:color w:val="111111"/>
          <w:sz w:val="28"/>
          <w:szCs w:val="28"/>
          <w:rtl/>
        </w:rPr>
        <w:t xml:space="preserve">ص 792.</w:t>
      </w:r>
    </w:p>
    <w:p>
      <w:pPr>
        <w:pStyle w:val="BookText"/>
      </w:pPr>
      <w:r>
        <w:rPr>
          <w:rFonts w:ascii="Amiri" w:hAnsi="Amiri" w:eastAsia="Amiri" w:cs="Amiri"/>
          <w:lang w:bidi="ar-SA"/>
          <w:color w:val="111111"/>
          <w:sz w:val="28"/>
          <w:szCs w:val="28"/>
          <w:rtl/>
        </w:rPr>
        <w:t xml:space="preserve">عاملي ، محمّد علي بن ابوالحسن -موسوي عاملي ، محّد علي بن ابوالحسن</w:t>
      </w:r>
    </w:p>
    <w:p>
      <w:pPr>
        <w:pStyle w:val="Heading2"/>
      </w:pPr>
      <w:bookmarkStart w:id="5766" w:name="_Toc4868"/>
      <w:r>
        <w:t>عاملي، محمّد مهدي بن محمّد - 1183</w:t>
      </w:r>
      <w:bookmarkEnd w:id="5766"/>
    </w:p>
    <w:p>
      <w:pPr>
        <w:pStyle w:val="BookText"/>
      </w:pPr>
      <w:r>
        <w:rPr>
          <w:rFonts w:ascii="Amiri" w:hAnsi="Amiri" w:eastAsia="Amiri" w:cs="Amiri"/>
          <w:lang w:bidi="ar-SA"/>
          <w:color w:val="111111"/>
          <w:sz w:val="28"/>
          <w:szCs w:val="28"/>
          <w:rtl/>
        </w:rPr>
        <w:t xml:space="preserve">1 .اجازة للسيد بحر العلوم، ج1،</w:t>
      </w:r>
    </w:p>
    <w:p>
      <w:pPr>
        <w:pStyle w:val="BookText"/>
      </w:pPr>
      <w:r>
        <w:rPr>
          <w:rFonts w:ascii="IRNazanin" w:hAnsi="IRNazanin" w:eastAsia="IRNazanin" w:cs="IRNazanin"/>
          <w:lang w:bidi="fa-IR"/>
          <w:color w:val="111111"/>
          <w:sz w:val="28"/>
          <w:szCs w:val="28"/>
          <w:rtl/>
        </w:rPr>
        <w:t xml:space="preserve">ص 246 .</w:t>
      </w:r>
    </w:p>
    <w:p>
      <w:pPr>
        <w:pStyle w:val="BookText"/>
      </w:pPr>
      <w:r>
        <w:rPr>
          <w:rFonts w:ascii="Amiri" w:hAnsi="Amiri" w:eastAsia="Amiri" w:cs="Amiri"/>
          <w:lang w:bidi="ar-SA"/>
          <w:color w:val="111111"/>
          <w:sz w:val="28"/>
          <w:szCs w:val="28"/>
          <w:rtl/>
        </w:rPr>
        <w:t xml:space="preserve">2 .تاريخ المعصومين الاربعة عشر (ارجوزة في)، ج 3، ص 607.</w:t>
      </w:r>
    </w:p>
    <w:p>
      <w:pPr>
        <w:pStyle w:val="BookText"/>
      </w:pPr>
      <w:r>
        <w:rPr>
          <w:rFonts w:ascii="Amiri" w:hAnsi="Amiri" w:eastAsia="Amiri" w:cs="Amiri"/>
          <w:lang w:bidi="ar-SA"/>
          <w:color w:val="111111"/>
          <w:sz w:val="28"/>
          <w:szCs w:val="28"/>
          <w:rtl/>
        </w:rPr>
        <w:t xml:space="preserve">عاملي مشغري ، احمد بن حسن- حر عاملي ، احمد بن حسن</w:t>
      </w:r>
    </w:p>
    <w:p>
      <w:pPr>
        <w:pStyle w:val="BookText"/>
      </w:pPr>
      <w:r>
        <w:rPr>
          <w:rFonts w:ascii="Amiri" w:hAnsi="Amiri" w:eastAsia="Amiri" w:cs="Amiri"/>
          <w:lang w:bidi="ar-SA"/>
          <w:color w:val="111111"/>
          <w:sz w:val="28"/>
          <w:szCs w:val="28"/>
          <w:rtl/>
        </w:rPr>
        <w:t xml:space="preserve">عاملي، موسى بن امين- شراره عاملي</w:t>
      </w:r>
    </w:p>
    <w:p>
      <w:pPr>
        <w:pStyle w:val="BookText"/>
      </w:pPr>
      <w:r>
        <w:rPr>
          <w:rFonts w:ascii="IRNazanin" w:hAnsi="IRNazanin" w:eastAsia="IRNazanin" w:cs="IRNazanin"/>
          <w:lang w:bidi="fa-IR"/>
          <w:color w:val="111111"/>
          <w:sz w:val="28"/>
          <w:szCs w:val="28"/>
          <w:rtl/>
        </w:rPr>
        <w:t xml:space="preserve">موسی بن امین</w:t>
      </w:r>
    </w:p>
    <w:p>
      <w:pPr>
        <w:pStyle w:val="BookText"/>
      </w:pPr>
      <w:r>
        <w:rPr>
          <w:rFonts w:ascii="IRNazanin" w:hAnsi="IRNazanin" w:eastAsia="IRNazanin" w:cs="IRNazanin"/>
          <w:lang w:bidi="fa-IR"/>
          <w:color w:val="111111"/>
          <w:sz w:val="28"/>
          <w:szCs w:val="28"/>
          <w:rtl/>
        </w:rPr>
        <w:t xml:space="preserve">عاملي، موسى بن شريف- جامعي موسى بن شریف</w:t>
      </w:r>
    </w:p>
    <w:p>
      <w:pPr>
        <w:pStyle w:val="BookText"/>
      </w:pPr>
      <w:r>
        <w:rPr>
          <w:rFonts w:ascii="Amiri" w:hAnsi="Amiri" w:eastAsia="Amiri" w:cs="Amiri"/>
          <w:lang w:bidi="ar-SA"/>
          <w:color w:val="111111"/>
          <w:sz w:val="28"/>
          <w:szCs w:val="28"/>
          <w:rtl/>
        </w:rPr>
        <w:t xml:space="preserve">عاملي ميسي ، ابراهيم بن علي- ابن مفلح</w:t>
      </w:r>
    </w:p>
    <w:p>
      <w:pPr>
        <w:pStyle w:val="BookText"/>
      </w:pPr>
      <w:r>
        <w:rPr>
          <w:rFonts w:ascii="Amiri" w:hAnsi="Amiri" w:eastAsia="Amiri" w:cs="Amiri"/>
          <w:lang w:bidi="ar-SA"/>
          <w:color w:val="111111"/>
          <w:sz w:val="28"/>
          <w:szCs w:val="28"/>
          <w:rtl/>
        </w:rPr>
        <w:t xml:space="preserve">، ابراهيم بن علي</w:t>
      </w:r>
    </w:p>
    <w:p>
      <w:pPr>
        <w:pStyle w:val="Heading2"/>
      </w:pPr>
      <w:bookmarkStart w:id="5767" w:name="_Toc4869"/>
      <w:r>
        <w:t>عاملي ، نعمة الله بن حسين - 1096 ه-</w:t>
      </w:r>
      <w:bookmarkEnd w:id="5767"/>
    </w:p>
    <w:p>
      <w:pPr>
        <w:pStyle w:val="BookText"/>
      </w:pPr>
      <w:r>
        <w:rPr>
          <w:rFonts w:ascii="IRNazanin" w:hAnsi="IRNazanin" w:eastAsia="IRNazanin" w:cs="IRNazanin"/>
          <w:lang w:bidi="fa-IR"/>
          <w:color w:val="111111"/>
          <w:sz w:val="28"/>
          <w:szCs w:val="28"/>
          <w:rtl/>
        </w:rPr>
        <w:t xml:space="preserve">الاجازات، ج1، ص198.</w:t>
      </w:r>
    </w:p>
    <w:p>
      <w:pPr>
        <w:pStyle w:val="BookText"/>
      </w:pPr>
      <w:r>
        <w:rPr>
          <w:rFonts w:ascii="Amiri" w:hAnsi="Amiri" w:eastAsia="Amiri" w:cs="Amiri"/>
          <w:lang w:bidi="ar-SA"/>
          <w:color w:val="111111"/>
          <w:sz w:val="28"/>
          <w:szCs w:val="28"/>
          <w:rtl/>
        </w:rPr>
        <w:t xml:space="preserve">عاملي ، نورالدين علي بن علي- موسوي</w:t>
      </w:r>
    </w:p>
    <w:p>
      <w:pPr>
        <w:pStyle w:val="BookText"/>
      </w:pPr>
      <w:r>
        <w:rPr>
          <w:rFonts w:ascii="Amiri" w:hAnsi="Amiri" w:eastAsia="Amiri" w:cs="Amiri"/>
          <w:lang w:bidi="ar-SA"/>
          <w:color w:val="111111"/>
          <w:sz w:val="28"/>
          <w:szCs w:val="28"/>
          <w:rtl/>
        </w:rPr>
        <w:t xml:space="preserve">عاملي ، علي بن علي</w:t>
      </w:r>
    </w:p>
    <w:p>
      <w:pPr>
        <w:pStyle w:val="Heading2"/>
      </w:pPr>
      <w:bookmarkStart w:id="5768" w:name="_Toc4870"/>
      <w:r>
        <w:t>عاملي ، يحيى</w:t>
      </w:r>
      <w:bookmarkEnd w:id="5768"/>
    </w:p>
    <w:p>
      <w:pPr>
        <w:pStyle w:val="BookText"/>
      </w:pPr>
      <w:r>
        <w:rPr>
          <w:rFonts w:ascii="Amiri" w:hAnsi="Amiri" w:eastAsia="Amiri" w:cs="Amiri"/>
          <w:lang w:bidi="ar-SA"/>
          <w:color w:val="111111"/>
          <w:sz w:val="28"/>
          <w:szCs w:val="28"/>
          <w:rtl/>
        </w:rPr>
        <w:t xml:space="preserve">ديوان يحيى العاملي، ج7، ص799.</w:t>
      </w:r>
    </w:p>
    <w:p>
      <w:pPr>
        <w:pStyle w:val="BookText"/>
      </w:pPr>
      <w:r>
        <w:rPr>
          <w:rFonts w:ascii="Amiri" w:hAnsi="Amiri" w:eastAsia="Amiri" w:cs="Amiri"/>
          <w:lang w:bidi="ar-SA"/>
          <w:color w:val="111111"/>
          <w:sz w:val="28"/>
          <w:szCs w:val="28"/>
          <w:rtl/>
        </w:rPr>
        <w:t xml:space="preserve">عاملي ، يوسف بن حاتم -شامي ، يوسف</w:t>
      </w:r>
    </w:p>
    <w:p>
      <w:pPr>
        <w:pStyle w:val="BookText"/>
      </w:pPr>
      <w:r>
        <w:rPr>
          <w:rFonts w:ascii="IRNazanin" w:hAnsi="IRNazanin" w:eastAsia="IRNazanin" w:cs="IRNazanin"/>
          <w:lang w:bidi="fa-IR"/>
          <w:color w:val="111111"/>
          <w:sz w:val="28"/>
          <w:szCs w:val="28"/>
          <w:rtl/>
        </w:rPr>
        <w:t xml:space="preserve">بن حاتم</w:t>
      </w:r>
    </w:p>
    <w:p>
      <w:pPr>
        <w:pStyle w:val="BookText"/>
      </w:pPr>
      <w:r>
        <w:rPr>
          <w:rFonts w:ascii="Amiri" w:hAnsi="Amiri" w:eastAsia="Amiri" w:cs="Amiri"/>
          <w:lang w:bidi="ar-SA"/>
          <w:color w:val="111111"/>
          <w:sz w:val="28"/>
          <w:szCs w:val="28"/>
          <w:rtl/>
        </w:rPr>
        <w:t xml:space="preserve">عاملي ، يوسف بن محمّد -عاملي ، يوسف</w:t>
      </w:r>
    </w:p>
    <w:p>
      <w:pPr>
        <w:pStyle w:val="BookText"/>
      </w:pPr>
      <w:r>
        <w:rPr>
          <w:rFonts w:ascii="Amiri" w:hAnsi="Amiri" w:eastAsia="Amiri" w:cs="Amiri"/>
          <w:lang w:bidi="ar-SA"/>
          <w:color w:val="111111"/>
          <w:sz w:val="28"/>
          <w:szCs w:val="28"/>
          <w:rtl/>
        </w:rPr>
        <w:t xml:space="preserve">بن محمّد حسين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24" w:name="pg7742_70717"/>
    <w:bookmarkEnd w:id="724"/>
    <w:p>
      <w:pPr>
        <w:pStyle w:val="Heading2"/>
      </w:pPr>
      <w:bookmarkStart w:id="5769" w:name="_Toc4871"/>
      <w:r>
        <w:t>عاملي ، يوسف بن محمّد حسين - 982 ه-؟</w:t>
      </w:r>
      <w:bookmarkEnd w:id="5769"/>
    </w:p>
    <w:p>
      <w:pPr>
        <w:pStyle w:val="BookText"/>
      </w:pPr>
      <w:r>
        <w:rPr>
          <w:rFonts w:ascii="Amiri" w:hAnsi="Amiri" w:eastAsia="Amiri" w:cs="Amiri"/>
          <w:lang w:bidi="ar-SA"/>
          <w:color w:val="111111"/>
          <w:sz w:val="28"/>
          <w:szCs w:val="28"/>
          <w:rtl/>
        </w:rPr>
        <w:t xml:space="preserve">الجامع للاقوال في احوال الرجال : جامع الاقوال في معرفة الرجال، ج5،</w:t>
      </w:r>
    </w:p>
    <w:p>
      <w:pPr>
        <w:pStyle w:val="BookText"/>
      </w:pPr>
      <w:r>
        <w:rPr>
          <w:rFonts w:ascii="IRNazanin" w:hAnsi="IRNazanin" w:eastAsia="IRNazanin" w:cs="IRNazanin"/>
          <w:lang w:bidi="fa-IR"/>
          <w:color w:val="111111"/>
          <w:sz w:val="28"/>
          <w:szCs w:val="28"/>
          <w:rtl/>
        </w:rPr>
        <w:t xml:space="preserve">ص321.</w:t>
      </w:r>
    </w:p>
    <w:p>
      <w:pPr>
        <w:pStyle w:val="BookText"/>
      </w:pPr>
      <w:r>
        <w:rPr>
          <w:rFonts w:ascii="Amiri" w:hAnsi="Amiri" w:eastAsia="Amiri" w:cs="Amiri"/>
          <w:lang w:bidi="ar-SA"/>
          <w:color w:val="111111"/>
          <w:sz w:val="28"/>
          <w:szCs w:val="28"/>
          <w:rtl/>
        </w:rPr>
        <w:t xml:space="preserve">عاني ، خضر بن يوسف- بغدادي ، خضر</w:t>
      </w:r>
    </w:p>
    <w:p>
      <w:pPr>
        <w:pStyle w:val="BookText"/>
      </w:pPr>
      <w:r>
        <w:rPr>
          <w:rFonts w:ascii="Amiri" w:hAnsi="Amiri" w:eastAsia="Amiri" w:cs="Amiri"/>
          <w:lang w:bidi="ar-SA"/>
          <w:color w:val="111111"/>
          <w:sz w:val="28"/>
          <w:szCs w:val="28"/>
          <w:rtl/>
        </w:rPr>
        <w:t xml:space="preserve">بن يوسف</w:t>
      </w:r>
    </w:p>
    <w:p>
      <w:pPr>
        <w:pStyle w:val="Heading2"/>
      </w:pPr>
      <w:bookmarkStart w:id="5770" w:name="_Toc4872"/>
      <w:r>
        <w:t>عاني ، صالح بن محمّد قرن 13 ه-</w:t>
      </w:r>
      <w:bookmarkEnd w:id="5770"/>
    </w:p>
    <w:p>
      <w:pPr>
        <w:pStyle w:val="BookText"/>
      </w:pPr>
      <w:r>
        <w:rPr>
          <w:rFonts w:ascii="Amiri" w:hAnsi="Amiri" w:eastAsia="Amiri" w:cs="Amiri"/>
          <w:lang w:bidi="ar-SA"/>
          <w:color w:val="111111"/>
          <w:sz w:val="28"/>
          <w:szCs w:val="28"/>
          <w:rtl/>
        </w:rPr>
        <w:t xml:space="preserve">نخبة الافهام في مباني الاسلام على كفاية</w:t>
      </w:r>
    </w:p>
    <w:p>
      <w:pPr>
        <w:pStyle w:val="BookText"/>
      </w:pPr>
      <w:r>
        <w:rPr>
          <w:rFonts w:ascii="Amiri" w:hAnsi="Amiri" w:eastAsia="Amiri" w:cs="Amiri"/>
          <w:lang w:bidi="ar-SA"/>
          <w:color w:val="111111"/>
          <w:sz w:val="28"/>
          <w:szCs w:val="28"/>
          <w:rtl/>
        </w:rPr>
        <w:t xml:space="preserve">الغلام في اركان الاسلام، ج 16، ص 196.</w:t>
      </w:r>
    </w:p>
    <w:p>
      <w:pPr>
        <w:pStyle w:val="Heading2"/>
      </w:pPr>
      <w:bookmarkStart w:id="5771" w:name="_Toc4873"/>
      <w:r>
        <w:t>عاني ، قاسم بن محمّد قرن 14 ه-</w:t>
      </w:r>
      <w:bookmarkEnd w:id="57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الجواهر والعقود في مدح شهاب الدین محمود، ج 5، ص 606.</w:t>
      </w:r>
    </w:p>
    <w:p>
      <w:pPr>
        <w:pStyle w:val="BookText"/>
      </w:pPr>
      <w:r>
        <w:rPr>
          <w:rFonts w:ascii="Amiri" w:hAnsi="Amiri" w:eastAsia="Amiri" w:cs="Amiri"/>
          <w:lang w:bidi="ar-SA"/>
          <w:color w:val="111111"/>
          <w:sz w:val="28"/>
          <w:szCs w:val="28"/>
          <w:rtl/>
        </w:rPr>
        <w:t xml:space="preserve">2 .الفوائد الدرية في الادعية الخيرية</w:t>
      </w:r>
    </w:p>
    <w:p>
      <w:pPr>
        <w:pStyle w:val="BookText"/>
      </w:pPr>
      <w:r>
        <w:rPr>
          <w:rFonts w:ascii="IRNazanin" w:hAnsi="IRNazanin" w:eastAsia="IRNazanin" w:cs="IRNazanin"/>
          <w:lang w:bidi="fa-IR"/>
          <w:color w:val="111111"/>
          <w:sz w:val="28"/>
          <w:szCs w:val="28"/>
          <w:rtl/>
        </w:rPr>
        <w:t xml:space="preserve">ج 12، ص203.</w:t>
      </w:r>
    </w:p>
    <w:p>
      <w:pPr>
        <w:pStyle w:val="Heading2"/>
      </w:pPr>
      <w:bookmarkStart w:id="5772" w:name="_Toc4874"/>
      <w:r>
        <w:t>عباجي، ابراهيم بن موسى - 1103 ه-</w:t>
      </w:r>
      <w:bookmarkEnd w:id="5772"/>
    </w:p>
    <w:p>
      <w:pPr>
        <w:pStyle w:val="BookText"/>
      </w:pPr>
      <w:r>
        <w:rPr>
          <w:rFonts w:ascii="Amiri" w:hAnsi="Amiri" w:eastAsia="Amiri" w:cs="Amiri"/>
          <w:lang w:bidi="ar-SA"/>
          <w:color w:val="111111"/>
          <w:sz w:val="28"/>
          <w:szCs w:val="28"/>
          <w:rtl/>
        </w:rPr>
        <w:t xml:space="preserve">الجنة الواقية و الجنة الباقية في سيرة الأئمة الاثنى عشر عليهم السلام، جه، ص 469.</w:t>
      </w:r>
    </w:p>
    <w:p>
      <w:pPr>
        <w:pStyle w:val="BookText"/>
      </w:pPr>
      <w:r>
        <w:rPr>
          <w:rFonts w:ascii="IRNazanin" w:hAnsi="IRNazanin" w:eastAsia="IRNazanin" w:cs="IRNazanin"/>
          <w:lang w:bidi="fa-IR"/>
          <w:color w:val="111111"/>
          <w:sz w:val="28"/>
          <w:szCs w:val="28"/>
          <w:rtl/>
        </w:rPr>
        <w:t xml:space="preserve">عباد بن احمد بن اسماعيل حسيني- حسيني گلستانه ، عباد بن احمد</w:t>
      </w:r>
    </w:p>
    <w:p>
      <w:pPr>
        <w:pStyle w:val="BookText"/>
      </w:pPr>
      <w:r>
        <w:rPr>
          <w:rFonts w:ascii="Amiri" w:hAnsi="Amiri" w:eastAsia="Amiri" w:cs="Amiri"/>
          <w:lang w:bidi="ar-SA"/>
          <w:color w:val="111111"/>
          <w:sz w:val="28"/>
          <w:szCs w:val="28"/>
          <w:rtl/>
        </w:rPr>
        <w:t xml:space="preserve">عباد عصفري ، ابوسعيد كوفي- عصفري ،</w:t>
      </w:r>
    </w:p>
    <w:p>
      <w:pPr>
        <w:pStyle w:val="BookText"/>
      </w:pPr>
      <w:r>
        <w:rPr>
          <w:rFonts w:ascii="IRNazanin" w:hAnsi="IRNazanin" w:eastAsia="IRNazanin" w:cs="IRNazanin"/>
          <w:lang w:bidi="fa-IR"/>
          <w:color w:val="111111"/>
          <w:sz w:val="28"/>
          <w:szCs w:val="28"/>
          <w:rtl/>
        </w:rPr>
        <w:t xml:space="preserve">ابوسعید عباد</w:t>
      </w:r>
    </w:p>
    <w:p>
      <w:pPr>
        <w:pStyle w:val="Heading2"/>
      </w:pPr>
      <w:bookmarkStart w:id="5773" w:name="_Toc4875"/>
      <w:r>
        <w:t>عباده ، عبد الحميد بن بكر 1308 -</w:t>
      </w:r>
      <w:bookmarkEnd w:id="5773"/>
    </w:p>
    <w:p>
      <w:pPr>
        <w:pStyle w:val="BookText"/>
      </w:pPr>
      <w:r>
        <w:rPr>
          <w:rFonts w:ascii="IRNazanin" w:hAnsi="IRNazanin" w:eastAsia="IRNazanin" w:cs="IRNazanin"/>
          <w:lang w:bidi="fa-IR"/>
          <w:color w:val="111111"/>
          <w:sz w:val="28"/>
          <w:szCs w:val="28"/>
          <w:rtl/>
        </w:rPr>
        <w:t xml:space="preserve">1349 ه-</w:t>
      </w:r>
    </w:p>
    <w:p>
      <w:pPr>
        <w:pStyle w:val="BookText"/>
      </w:pPr>
      <w:r>
        <w:rPr>
          <w:rFonts w:ascii="Amiri" w:hAnsi="Amiri" w:eastAsia="Amiri" w:cs="Amiri"/>
          <w:lang w:bidi="ar-SA"/>
          <w:color w:val="111111"/>
          <w:sz w:val="28"/>
          <w:szCs w:val="28"/>
          <w:rtl/>
        </w:rPr>
        <w:t xml:space="preserve">العقد اللامع في آثار بغداد و المساجد</w:t>
      </w:r>
    </w:p>
    <w:p>
      <w:pPr>
        <w:pStyle w:val="BookText"/>
      </w:pPr>
      <w:r>
        <w:rPr>
          <w:rFonts w:ascii="IRNazanin" w:hAnsi="IRNazanin" w:eastAsia="IRNazanin" w:cs="IRNazanin"/>
          <w:lang w:bidi="fa-IR"/>
          <w:color w:val="111111"/>
          <w:sz w:val="28"/>
          <w:szCs w:val="28"/>
          <w:rtl/>
        </w:rPr>
        <w:t xml:space="preserve">و الجوامع، ج11، ص 174.</w:t>
      </w:r>
    </w:p>
    <w:p>
      <w:pPr>
        <w:pStyle w:val="BookText"/>
      </w:pPr>
      <w:r>
        <w:rPr>
          <w:rFonts w:ascii="Amiri" w:hAnsi="Amiri" w:eastAsia="Amiri" w:cs="Amiri"/>
          <w:lang w:bidi="ar-SA"/>
          <w:color w:val="111111"/>
          <w:sz w:val="28"/>
          <w:szCs w:val="28"/>
          <w:rtl/>
        </w:rPr>
        <w:t xml:space="preserve">عبادي ، ابوبكر بن علي -حدادي عبادي ،</w:t>
      </w:r>
    </w:p>
    <w:p>
      <w:pPr>
        <w:pStyle w:val="BookText"/>
      </w:pPr>
      <w:r>
        <w:rPr>
          <w:rFonts w:ascii="Amiri" w:hAnsi="Amiri" w:eastAsia="Amiri" w:cs="Amiri"/>
          <w:lang w:bidi="ar-SA"/>
          <w:color w:val="111111"/>
          <w:sz w:val="28"/>
          <w:szCs w:val="28"/>
          <w:rtl/>
        </w:rPr>
        <w:t xml:space="preserve">ابوبكر بن علي</w:t>
      </w:r>
    </w:p>
    <w:p>
      <w:pPr>
        <w:pStyle w:val="BookText"/>
      </w:pPr>
      <w:r>
        <w:rPr>
          <w:rFonts w:ascii="Amiri" w:hAnsi="Amiri" w:eastAsia="Amiri" w:cs="Amiri"/>
          <w:lang w:bidi="ar-SA"/>
          <w:color w:val="111111"/>
          <w:sz w:val="28"/>
          <w:szCs w:val="28"/>
          <w:rtl/>
        </w:rPr>
        <w:t xml:space="preserve">عبادي ، ابوزيد حنين بن اسحاق-حنين</w:t>
      </w:r>
    </w:p>
    <w:p>
      <w:pPr>
        <w:pStyle w:val="BookText"/>
      </w:pPr>
      <w:r>
        <w:rPr>
          <w:rFonts w:ascii="IRNazanin" w:hAnsi="IRNazanin" w:eastAsia="IRNazanin" w:cs="IRNazanin"/>
          <w:lang w:bidi="fa-IR"/>
          <w:color w:val="111111"/>
          <w:sz w:val="28"/>
          <w:szCs w:val="28"/>
          <w:rtl/>
        </w:rPr>
        <w:t xml:space="preserve">بن اسحاق</w:t>
      </w:r>
    </w:p>
    <w:p>
      <w:pPr>
        <w:pStyle w:val="Heading2"/>
      </w:pPr>
      <w:bookmarkStart w:id="5774" w:name="_Toc4876"/>
      <w:r>
        <w:t>عبادي ، احمد بن قاسم، - 994 ه-</w:t>
      </w:r>
      <w:bookmarkEnd w:id="5774"/>
    </w:p>
    <w:p>
      <w:pPr>
        <w:pStyle w:val="BookText"/>
      </w:pPr>
      <w:r>
        <w:rPr>
          <w:rFonts w:ascii="Amiri" w:hAnsi="Amiri" w:eastAsia="Amiri" w:cs="Amiri"/>
          <w:lang w:bidi="ar-SA"/>
          <w:color w:val="111111"/>
          <w:sz w:val="28"/>
          <w:szCs w:val="28"/>
          <w:rtl/>
        </w:rPr>
        <w:t xml:space="preserve">1 .الآيات البينات على شرح جمع الجوامع = حاشية على شرح جمع</w:t>
      </w:r>
    </w:p>
    <w:p>
      <w:pPr>
        <w:pStyle w:val="BookText"/>
      </w:pPr>
      <w:r>
        <w:rPr>
          <w:rFonts w:ascii="IRNazanin" w:hAnsi="IRNazanin" w:eastAsia="IRNazanin" w:cs="IRNazanin"/>
          <w:lang w:bidi="fa-IR"/>
          <w:color w:val="111111"/>
          <w:sz w:val="28"/>
          <w:szCs w:val="28"/>
          <w:rtl/>
        </w:rPr>
        <w:t xml:space="preserve">الجوامع، ج1، ص73.</w:t>
      </w:r>
    </w:p>
    <w:p>
      <w:pPr>
        <w:pStyle w:val="BookText"/>
      </w:pPr>
      <w:r>
        <w:rPr>
          <w:rFonts w:ascii="Amiri" w:hAnsi="Amiri" w:eastAsia="Amiri" w:cs="Amiri"/>
          <w:lang w:bidi="ar-SA"/>
          <w:color w:val="111111"/>
          <w:sz w:val="28"/>
          <w:szCs w:val="28"/>
          <w:rtl/>
        </w:rPr>
        <w:t xml:space="preserve">2 .اسم الفاعل (رسالة في)، ج2،</w:t>
      </w:r>
    </w:p>
    <w:p>
      <w:pPr>
        <w:pStyle w:val="BookText"/>
      </w:pPr>
      <w:r>
        <w:rPr>
          <w:rFonts w:ascii="IRNazanin" w:hAnsi="IRNazanin" w:eastAsia="IRNazanin" w:cs="IRNazanin"/>
          <w:lang w:bidi="fa-IR"/>
          <w:color w:val="111111"/>
          <w:sz w:val="28"/>
          <w:szCs w:val="28"/>
          <w:rtl/>
        </w:rPr>
        <w:t xml:space="preserve">ص 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المطول، ج 6، ص 387.</w:t>
      </w:r>
    </w:p>
    <w:p>
      <w:pPr>
        <w:pStyle w:val="BookText"/>
      </w:pPr>
      <w:r>
        <w:rPr>
          <w:rFonts w:ascii="Amiri" w:hAnsi="Amiri" w:eastAsia="Amiri" w:cs="Amiri"/>
          <w:lang w:bidi="ar-SA"/>
          <w:color w:val="111111"/>
          <w:sz w:val="28"/>
          <w:szCs w:val="28"/>
          <w:rtl/>
        </w:rPr>
        <w:t xml:space="preserve">4 .حاشية تحفة المحتاج لشرح المنهاج</w:t>
      </w:r>
    </w:p>
    <w:p>
      <w:pPr>
        <w:pStyle w:val="BookText"/>
      </w:pPr>
      <w:r>
        <w:rPr>
          <w:rFonts w:ascii="IRNazanin" w:hAnsi="IRNazanin" w:eastAsia="IRNazanin" w:cs="IRNazanin"/>
          <w:lang w:bidi="fa-IR"/>
          <w:color w:val="111111"/>
          <w:sz w:val="28"/>
          <w:szCs w:val="28"/>
          <w:rtl/>
        </w:rPr>
        <w:t xml:space="preserve">ج 5، ص 732</w:t>
      </w:r>
    </w:p>
    <w:p>
      <w:pPr>
        <w:pStyle w:val="BookText"/>
      </w:pPr>
      <w:r>
        <w:rPr>
          <w:rFonts w:ascii="Amiri" w:hAnsi="Amiri" w:eastAsia="Amiri" w:cs="Amiri"/>
          <w:lang w:bidi="ar-SA"/>
          <w:color w:val="111111"/>
          <w:sz w:val="28"/>
          <w:szCs w:val="28"/>
          <w:rtl/>
        </w:rPr>
        <w:t xml:space="preserve">5 .حاشية حاشية شرح التصريف</w:t>
      </w:r>
    </w:p>
    <w:p>
      <w:pPr>
        <w:pStyle w:val="BookText"/>
      </w:pPr>
      <w:r>
        <w:rPr>
          <w:rFonts w:ascii="Amiri" w:hAnsi="Amiri" w:eastAsia="Amiri" w:cs="Amiri"/>
          <w:lang w:bidi="ar-SA"/>
          <w:color w:val="111111"/>
          <w:sz w:val="28"/>
          <w:szCs w:val="28"/>
          <w:rtl/>
        </w:rPr>
        <w:t xml:space="preserve">العزي، ج 5، ص 829.</w:t>
      </w:r>
    </w:p>
    <w:p>
      <w:pPr>
        <w:pStyle w:val="BookText"/>
      </w:pPr>
      <w:r>
        <w:rPr>
          <w:rFonts w:ascii="Amiri" w:hAnsi="Amiri" w:eastAsia="Amiri" w:cs="Amiri"/>
          <w:lang w:bidi="ar-SA"/>
          <w:color w:val="111111"/>
          <w:sz w:val="28"/>
          <w:szCs w:val="28"/>
          <w:rtl/>
        </w:rPr>
        <w:t xml:space="preserve">6.حاشية شرح التصريف العزي، ج 6،</w:t>
      </w:r>
    </w:p>
    <w:p>
      <w:pPr>
        <w:pStyle w:val="BookText"/>
      </w:pPr>
      <w:r>
        <w:rPr>
          <w:rFonts w:ascii="IRNazanin" w:hAnsi="IRNazanin" w:eastAsia="IRNazanin" w:cs="IRNazanin"/>
          <w:lang w:bidi="fa-IR"/>
          <w:color w:val="111111"/>
          <w:sz w:val="28"/>
          <w:szCs w:val="28"/>
          <w:rtl/>
        </w:rPr>
        <w:t xml:space="preserve">ص 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حاشية شرح المختصر، ج 6، ص 167.</w:t>
      </w:r>
    </w:p>
    <w:p>
      <w:pPr>
        <w:pStyle w:val="BookText"/>
      </w:pPr>
      <w:r>
        <w:rPr>
          <w:rFonts w:ascii="Amiri" w:hAnsi="Amiri" w:eastAsia="Amiri" w:cs="Amiri"/>
          <w:lang w:bidi="ar-SA"/>
          <w:color w:val="111111"/>
          <w:sz w:val="28"/>
          <w:szCs w:val="28"/>
          <w:rtl/>
        </w:rPr>
        <w:t xml:space="preserve">8 .حاشية مختصر المعاني، ج6، ص 361 .</w:t>
      </w:r>
    </w:p>
    <w:p>
      <w:pPr>
        <w:pStyle w:val="BookText"/>
      </w:pPr>
      <w:r>
        <w:rPr>
          <w:rFonts w:ascii="Amiri" w:hAnsi="Amiri" w:eastAsia="Amiri" w:cs="Amiri"/>
          <w:lang w:bidi="ar-SA"/>
          <w:color w:val="111111"/>
          <w:sz w:val="28"/>
          <w:szCs w:val="28"/>
          <w:rtl/>
        </w:rPr>
        <w:t xml:space="preserve">9 .الشرح الكبير على شرح الورقات</w:t>
      </w:r>
    </w:p>
    <w:p>
      <w:pPr>
        <w:pStyle w:val="BookText"/>
      </w:pPr>
      <w:r>
        <w:rPr>
          <w:rFonts w:ascii="IRNazanin" w:hAnsi="IRNazanin" w:eastAsia="IRNazanin" w:cs="IRNazanin"/>
          <w:lang w:bidi="fa-IR"/>
          <w:color w:val="111111"/>
          <w:sz w:val="28"/>
          <w:szCs w:val="28"/>
          <w:rtl/>
        </w:rPr>
        <w:t xml:space="preserve">ج 10، ص 42.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غاية المأمول في شرح ورقات</w:t>
      </w:r>
    </w:p>
    <w:p>
      <w:pPr>
        <w:pStyle w:val="BookText"/>
      </w:pPr>
      <w:r>
        <w:rPr>
          <w:rFonts w:ascii="IRNazanin" w:hAnsi="IRNazanin" w:eastAsia="IRNazanin" w:cs="IRNazanin"/>
          <w:lang w:bidi="fa-IR"/>
          <w:color w:val="111111"/>
          <w:sz w:val="28"/>
          <w:szCs w:val="28"/>
          <w:rtl/>
        </w:rPr>
        <w:t xml:space="preserve">الاصول، ج 11، ص 446 .</w:t>
      </w:r>
    </w:p>
    <w:p>
      <w:pPr>
        <w:pStyle w:val="BookText"/>
      </w:pPr>
      <w:r>
        <w:rPr>
          <w:rFonts w:ascii="IRNazanin" w:hAnsi="IRNazanin" w:eastAsia="IRNazanin" w:cs="IRNazanin"/>
          <w:lang w:bidi="fa-IR"/>
          <w:color w:val="111111"/>
          <w:sz w:val="28"/>
          <w:szCs w:val="28"/>
          <w:rtl/>
        </w:rPr>
        <w:t xml:space="preserve">11 .مختصر الفتاوى، ج 14، ص 206.</w:t>
      </w:r>
    </w:p>
    <w:p>
      <w:pPr>
        <w:pStyle w:val="BookText"/>
      </w:pPr>
      <w:r>
        <w:rPr>
          <w:rFonts w:ascii="Amiri" w:hAnsi="Amiri" w:eastAsia="Amiri" w:cs="Amiri"/>
          <w:lang w:bidi="ar-SA"/>
          <w:color w:val="111111"/>
          <w:sz w:val="28"/>
          <w:szCs w:val="28"/>
          <w:rtl/>
        </w:rPr>
        <w:t xml:space="preserve">عبادي ، اسحاق بن حنين -اسحاق بن</w:t>
      </w:r>
    </w:p>
    <w:p>
      <w:pPr>
        <w:pStyle w:val="BookText"/>
      </w:pPr>
      <w:r>
        <w:rPr>
          <w:rFonts w:ascii="Amiri" w:hAnsi="Amiri" w:eastAsia="Amiri" w:cs="Amiri"/>
          <w:lang w:bidi="ar-SA"/>
          <w:color w:val="111111"/>
          <w:sz w:val="28"/>
          <w:szCs w:val="28"/>
          <w:rtl/>
        </w:rPr>
        <w:t xml:space="preserve">حنين</w:t>
      </w:r>
    </w:p>
    <w:p>
      <w:pPr>
        <w:pStyle w:val="BookText"/>
      </w:pPr>
      <w:r>
        <w:rPr>
          <w:rFonts w:ascii="Amiri" w:hAnsi="Amiri" w:eastAsia="Amiri" w:cs="Amiri"/>
          <w:lang w:bidi="ar-SA"/>
          <w:color w:val="111111"/>
          <w:sz w:val="28"/>
          <w:szCs w:val="28"/>
          <w:rtl/>
        </w:rPr>
        <w:t xml:space="preserve">عبادي حجازي، احمد بن محمّد -حجازي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عبادي ، عبد اللطيف بن عبدالرحمن- ابن</w:t>
      </w:r>
    </w:p>
    <w:p>
      <w:pPr>
        <w:pStyle w:val="BookText"/>
      </w:pPr>
      <w:r>
        <w:rPr>
          <w:rFonts w:ascii="Amiri" w:hAnsi="Amiri" w:eastAsia="Amiri" w:cs="Amiri"/>
          <w:lang w:bidi="ar-SA"/>
          <w:color w:val="111111"/>
          <w:sz w:val="28"/>
          <w:szCs w:val="28"/>
          <w:rtl/>
        </w:rPr>
        <w:t xml:space="preserve">غانم ، عبد اللطيف بن عبدالرحمن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25" w:name="pg7742_70718"/>
    <w:bookmarkEnd w:id="725"/>
    <w:p>
      <w:pPr>
        <w:pStyle w:val="BookText"/>
      </w:pPr>
      <w:r>
        <w:rPr>
          <w:rFonts w:ascii="Amiri" w:hAnsi="Amiri" w:eastAsia="Amiri" w:cs="Amiri"/>
          <w:lang w:bidi="ar-SA"/>
          <w:color w:val="111111"/>
          <w:sz w:val="28"/>
          <w:szCs w:val="28"/>
          <w:rtl/>
        </w:rPr>
        <w:t xml:space="preserve">عبادي ، علي بن محمّد -حداد ، علي بن محمّد</w:t>
      </w:r>
    </w:p>
    <w:p>
      <w:pPr>
        <w:pStyle w:val="BookText"/>
      </w:pPr>
      <w:r>
        <w:rPr>
          <w:rFonts w:ascii="Amiri" w:hAnsi="Amiri" w:eastAsia="Amiri" w:cs="Amiri"/>
          <w:lang w:bidi="ar-SA"/>
          <w:color w:val="111111"/>
          <w:sz w:val="28"/>
          <w:szCs w:val="28"/>
          <w:rtl/>
        </w:rPr>
        <w:t xml:space="preserve">عبادي قاهري، احمد بن قاسم- عبادي ، احمد بن قاسم</w:t>
      </w:r>
    </w:p>
    <w:p>
      <w:pPr>
        <w:pStyle w:val="Heading2"/>
      </w:pPr>
      <w:bookmarkStart w:id="5775" w:name="_Toc4877"/>
      <w:r>
        <w:t>عبادي، محمّد بن احمد، 375 - 458 ه-</w:t>
      </w:r>
      <w:bookmarkEnd w:id="5775"/>
    </w:p>
    <w:p>
      <w:pPr>
        <w:pStyle w:val="BookText"/>
      </w:pPr>
      <w:r>
        <w:rPr>
          <w:rFonts w:ascii="Amiri" w:hAnsi="Amiri" w:eastAsia="Amiri" w:cs="Amiri"/>
          <w:lang w:bidi="ar-SA"/>
          <w:color w:val="111111"/>
          <w:sz w:val="28"/>
          <w:szCs w:val="28"/>
          <w:rtl/>
        </w:rPr>
        <w:t xml:space="preserve">إرشاد السائل إلى المرشد الكاهل =</w:t>
      </w:r>
    </w:p>
    <w:p>
      <w:pPr>
        <w:pStyle w:val="BookText"/>
      </w:pPr>
      <w:r>
        <w:rPr>
          <w:rFonts w:ascii="Amiri" w:hAnsi="Amiri" w:eastAsia="Amiri" w:cs="Amiri"/>
          <w:lang w:bidi="ar-SA"/>
          <w:color w:val="111111"/>
          <w:sz w:val="28"/>
          <w:szCs w:val="28"/>
          <w:rtl/>
        </w:rPr>
        <w:t xml:space="preserve">ارجوزة، ج 2، ص20.</w:t>
      </w:r>
    </w:p>
    <w:p>
      <w:pPr>
        <w:pStyle w:val="BookText"/>
      </w:pPr>
      <w:r>
        <w:rPr>
          <w:rFonts w:ascii="Amiri" w:hAnsi="Amiri" w:eastAsia="Amiri" w:cs="Amiri"/>
          <w:lang w:bidi="ar-SA"/>
          <w:color w:val="111111"/>
          <w:sz w:val="28"/>
          <w:szCs w:val="28"/>
          <w:rtl/>
        </w:rPr>
        <w:t xml:space="preserve">عبادي ، محمّد بن صلاح- لاري انصاري</w:t>
      </w:r>
    </w:p>
    <w:p>
      <w:pPr>
        <w:pStyle w:val="BookText"/>
      </w:pPr>
      <w:r>
        <w:rPr>
          <w:rFonts w:ascii="IRNazanin" w:hAnsi="IRNazanin" w:eastAsia="IRNazanin" w:cs="IRNazanin"/>
          <w:lang w:bidi="fa-IR"/>
          <w:color w:val="111111"/>
          <w:sz w:val="28"/>
          <w:szCs w:val="28"/>
          <w:rtl/>
        </w:rPr>
        <w:t xml:space="preserve">محمّد بن صلاح</w:t>
      </w:r>
    </w:p>
    <w:p>
      <w:pPr>
        <w:pStyle w:val="Heading2"/>
      </w:pPr>
      <w:bookmarkStart w:id="5776" w:name="_Toc4878"/>
      <w:r>
        <w:t>عبادي ، محمّد بن قاسم - 992 ه-</w:t>
      </w:r>
      <w:bookmarkEnd w:id="5776"/>
    </w:p>
    <w:p>
      <w:pPr>
        <w:pStyle w:val="BookText"/>
      </w:pPr>
      <w:r>
        <w:rPr>
          <w:rFonts w:ascii="Amiri" w:hAnsi="Amiri" w:eastAsia="Amiri" w:cs="Amiri"/>
          <w:lang w:bidi="ar-SA"/>
          <w:color w:val="111111"/>
          <w:sz w:val="28"/>
          <w:szCs w:val="28"/>
          <w:rtl/>
        </w:rPr>
        <w:t xml:space="preserve">1 .حاشية الدرة المضيئة في شرح</w:t>
      </w:r>
    </w:p>
    <w:p>
      <w:pPr>
        <w:pStyle w:val="BookText"/>
      </w:pPr>
      <w:r>
        <w:rPr>
          <w:rFonts w:ascii="Amiri" w:hAnsi="Amiri" w:eastAsia="Amiri" w:cs="Amiri"/>
          <w:lang w:bidi="ar-SA"/>
          <w:color w:val="111111"/>
          <w:sz w:val="28"/>
          <w:szCs w:val="28"/>
          <w:rtl/>
        </w:rPr>
        <w:t xml:space="preserve">الالفية، ج 5، ص 866.</w:t>
      </w:r>
    </w:p>
    <w:p>
      <w:pPr>
        <w:pStyle w:val="BookText"/>
      </w:pPr>
      <w:r>
        <w:rPr>
          <w:rFonts w:ascii="Amiri" w:hAnsi="Amiri" w:eastAsia="Amiri" w:cs="Amiri"/>
          <w:lang w:bidi="ar-SA"/>
          <w:color w:val="111111"/>
          <w:sz w:val="28"/>
          <w:szCs w:val="28"/>
          <w:rtl/>
        </w:rPr>
        <w:t xml:space="preserve">2 .حاشية شرح جمع الجوامع، ج 6،</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Amiri" w:hAnsi="Amiri" w:eastAsia="Amiri" w:cs="Amiri"/>
          <w:lang w:bidi="ar-SA"/>
          <w:color w:val="111111"/>
          <w:sz w:val="28"/>
          <w:szCs w:val="28"/>
          <w:rtl/>
        </w:rPr>
        <w:t xml:space="preserve">عبادي ، يوسف بن محمّد- سرمري</w:t>
      </w:r>
    </w:p>
    <w:p>
      <w:pPr>
        <w:pStyle w:val="BookText"/>
      </w:pPr>
      <w:r>
        <w:rPr>
          <w:rFonts w:ascii="Amiri" w:hAnsi="Amiri" w:eastAsia="Amiri" w:cs="Amiri"/>
          <w:lang w:bidi="ar-SA"/>
          <w:color w:val="111111"/>
          <w:sz w:val="28"/>
          <w:szCs w:val="28"/>
          <w:rtl/>
        </w:rPr>
        <w:t xml:space="preserve">يوسف بن محمّد</w:t>
      </w:r>
    </w:p>
    <w:p>
      <w:pPr>
        <w:pStyle w:val="BookText"/>
      </w:pPr>
      <w:r>
        <w:rPr>
          <w:rFonts w:ascii="Amiri" w:hAnsi="Amiri" w:eastAsia="Amiri" w:cs="Amiri"/>
          <w:lang w:bidi="ar-SA"/>
          <w:color w:val="111111"/>
          <w:sz w:val="28"/>
          <w:szCs w:val="28"/>
          <w:rtl/>
        </w:rPr>
        <w:t xml:space="preserve">عباس آل حاجي علي سراج - سراج ، عباس</w:t>
      </w:r>
    </w:p>
    <w:p>
      <w:pPr>
        <w:pStyle w:val="BookText"/>
      </w:pPr>
      <w:r>
        <w:rPr>
          <w:rFonts w:ascii="Amiri" w:hAnsi="Amiri" w:eastAsia="Amiri" w:cs="Amiri"/>
          <w:lang w:bidi="ar-SA"/>
          <w:color w:val="111111"/>
          <w:sz w:val="28"/>
          <w:szCs w:val="28"/>
          <w:rtl/>
        </w:rPr>
        <w:t xml:space="preserve">آل حاجي</w:t>
      </w:r>
    </w:p>
    <w:p>
      <w:pPr>
        <w:pStyle w:val="BookText"/>
      </w:pPr>
      <w:r>
        <w:rPr>
          <w:rFonts w:ascii="Amiri" w:hAnsi="Amiri" w:eastAsia="Amiri" w:cs="Amiri"/>
          <w:lang w:bidi="ar-SA"/>
          <w:color w:val="111111"/>
          <w:sz w:val="28"/>
          <w:szCs w:val="28"/>
          <w:rtl/>
        </w:rPr>
        <w:t xml:space="preserve">عباس بن جبرئيل حسيني برغاني - حسيني</w:t>
      </w:r>
    </w:p>
    <w:p>
      <w:pPr>
        <w:pStyle w:val="BookText"/>
      </w:pPr>
      <w:r>
        <w:rPr>
          <w:rFonts w:ascii="Amiri" w:hAnsi="Amiri" w:eastAsia="Amiri" w:cs="Amiri"/>
          <w:lang w:bidi="ar-SA"/>
          <w:color w:val="111111"/>
          <w:sz w:val="28"/>
          <w:szCs w:val="28"/>
          <w:rtl/>
        </w:rPr>
        <w:t xml:space="preserve">برغاني ، عباس بن جبرئيل</w:t>
      </w:r>
    </w:p>
    <w:p>
      <w:pPr>
        <w:pStyle w:val="BookText"/>
      </w:pPr>
      <w:r>
        <w:rPr>
          <w:rFonts w:ascii="Amiri" w:hAnsi="Amiri" w:eastAsia="Amiri" w:cs="Amiri"/>
          <w:lang w:bidi="ar-SA"/>
          <w:color w:val="111111"/>
          <w:sz w:val="28"/>
          <w:szCs w:val="28"/>
          <w:rtl/>
        </w:rPr>
        <w:t xml:space="preserve">عباس بن جواد بغدادي- بغدادي ، عباس</w:t>
      </w:r>
    </w:p>
    <w:p>
      <w:pPr>
        <w:pStyle w:val="BookText"/>
      </w:pPr>
      <w:r>
        <w:rPr>
          <w:rFonts w:ascii="IRNazanin" w:hAnsi="IRNazanin" w:eastAsia="IRNazanin" w:cs="IRNazanin"/>
          <w:lang w:bidi="fa-IR"/>
          <w:color w:val="111111"/>
          <w:sz w:val="28"/>
          <w:szCs w:val="28"/>
          <w:rtl/>
        </w:rPr>
        <w:t xml:space="preserve">بن جواد</w:t>
      </w:r>
    </w:p>
    <w:p>
      <w:pPr>
        <w:pStyle w:val="BookText"/>
      </w:pPr>
      <w:r>
        <w:rPr>
          <w:rFonts w:ascii="Amiri" w:hAnsi="Amiri" w:eastAsia="Amiri" w:cs="Amiri"/>
          <w:lang w:bidi="ar-SA"/>
          <w:color w:val="111111"/>
          <w:sz w:val="28"/>
          <w:szCs w:val="28"/>
          <w:rtl/>
        </w:rPr>
        <w:t xml:space="preserve">عباس بن حسن بن عباس بلاغي</w:t>
      </w:r>
    </w:p>
    <w:p>
      <w:pPr>
        <w:pStyle w:val="BookText"/>
      </w:pPr>
      <w:r>
        <w:rPr>
          <w:rFonts w:ascii="Amiri" w:hAnsi="Amiri" w:eastAsia="Amiri" w:cs="Amiri"/>
          <w:lang w:bidi="ar-SA"/>
          <w:color w:val="111111"/>
          <w:sz w:val="28"/>
          <w:szCs w:val="28"/>
          <w:rtl/>
        </w:rPr>
        <w:t xml:space="preserve">نجفي -بلاغي ، عباس بن حسن</w:t>
      </w:r>
    </w:p>
    <w:p>
      <w:pPr>
        <w:pStyle w:val="BookText"/>
      </w:pPr>
      <w:r>
        <w:rPr>
          <w:rFonts w:ascii="Amiri" w:hAnsi="Amiri" w:eastAsia="Amiri" w:cs="Amiri"/>
          <w:lang w:bidi="ar-SA"/>
          <w:color w:val="111111"/>
          <w:sz w:val="28"/>
          <w:szCs w:val="28"/>
          <w:rtl/>
        </w:rPr>
        <w:t xml:space="preserve">عباس بن حسن امامي نجفي- امامي ،</w:t>
      </w:r>
    </w:p>
    <w:p>
      <w:pPr>
        <w:pStyle w:val="BookText"/>
      </w:pPr>
      <w:r>
        <w:rPr>
          <w:rFonts w:ascii="Amiri" w:hAnsi="Amiri" w:eastAsia="Amiri" w:cs="Amiri"/>
          <w:lang w:bidi="ar-SA"/>
          <w:color w:val="111111"/>
          <w:sz w:val="28"/>
          <w:szCs w:val="28"/>
          <w:rtl/>
        </w:rPr>
        <w:t xml:space="preserve">عباس بن حسن بلاغي- بلاغي، عباس بن</w:t>
      </w:r>
    </w:p>
    <w:p>
      <w:pPr>
        <w:pStyle w:val="BookText"/>
      </w:pPr>
      <w:r>
        <w:rPr>
          <w:rFonts w:ascii="IRNazanin" w:hAnsi="IRNazanin" w:eastAsia="IRNazanin" w:cs="IRNazanin"/>
          <w:lang w:bidi="fa-IR"/>
          <w:color w:val="111111"/>
          <w:sz w:val="28"/>
          <w:szCs w:val="28"/>
          <w:rtl/>
        </w:rPr>
        <w:t xml:space="preserve">عباس بن حسن</w:t>
      </w:r>
    </w:p>
    <w:p>
      <w:pPr>
        <w:pStyle w:val="BookText"/>
      </w:pPr>
      <w:r>
        <w:rPr>
          <w:rFonts w:ascii="IRNazanin" w:hAnsi="IRNazanin" w:eastAsia="IRNazanin" w:cs="IRNazanin"/>
          <w:lang w:bidi="fa-IR"/>
          <w:color w:val="111111"/>
          <w:sz w:val="28"/>
          <w:szCs w:val="28"/>
          <w:rtl/>
        </w:rPr>
        <w:t xml:space="preserve">عباس بن حسن کاشف الغطاء -كاشف الغطاء ، عباس بن حسن</w:t>
      </w:r>
    </w:p>
    <w:p>
      <w:pPr>
        <w:pStyle w:val="BookText"/>
      </w:pPr>
      <w:r>
        <w:rPr>
          <w:rFonts w:ascii="Amiri" w:hAnsi="Amiri" w:eastAsia="Amiri" w:cs="Amiri"/>
          <w:lang w:bidi="ar-SA"/>
          <w:color w:val="111111"/>
          <w:sz w:val="28"/>
          <w:szCs w:val="28"/>
          <w:rtl/>
        </w:rPr>
        <w:t xml:space="preserve">عباس بن سعيد بن ناصر حويزي- ابن</w:t>
      </w:r>
    </w:p>
    <w:p>
      <w:pPr>
        <w:pStyle w:val="BookText"/>
      </w:pPr>
      <w:r>
        <w:rPr>
          <w:rFonts w:ascii="Amiri" w:hAnsi="Amiri" w:eastAsia="Amiri" w:cs="Amiri"/>
          <w:lang w:bidi="ar-SA"/>
          <w:color w:val="111111"/>
          <w:sz w:val="28"/>
          <w:szCs w:val="28"/>
          <w:rtl/>
        </w:rPr>
        <w:t xml:space="preserve">رحمت حويزي ، عباس بن سعيد</w:t>
      </w:r>
    </w:p>
    <w:p>
      <w:pPr>
        <w:pStyle w:val="BookText"/>
      </w:pPr>
      <w:r>
        <w:rPr>
          <w:rFonts w:ascii="Amiri" w:hAnsi="Amiri" w:eastAsia="Amiri" w:cs="Amiri"/>
          <w:lang w:bidi="ar-SA"/>
          <w:color w:val="111111"/>
          <w:sz w:val="28"/>
          <w:szCs w:val="28"/>
          <w:rtl/>
        </w:rPr>
        <w:t xml:space="preserve">عباس بن سعيد حويزي بصري- ابن</w:t>
      </w:r>
    </w:p>
    <w:p>
      <w:pPr>
        <w:pStyle w:val="BookText"/>
      </w:pPr>
      <w:r>
        <w:rPr>
          <w:rFonts w:ascii="Amiri" w:hAnsi="Amiri" w:eastAsia="Amiri" w:cs="Amiri"/>
          <w:lang w:bidi="ar-SA"/>
          <w:color w:val="111111"/>
          <w:sz w:val="28"/>
          <w:szCs w:val="28"/>
          <w:rtl/>
        </w:rPr>
        <w:t xml:space="preserve">رحمت حويزي ، عباس بن سعيد</w:t>
      </w:r>
    </w:p>
    <w:p>
      <w:pPr>
        <w:pStyle w:val="BookText"/>
      </w:pPr>
      <w:r>
        <w:rPr>
          <w:rFonts w:ascii="Amiri" w:hAnsi="Amiri" w:eastAsia="Amiri" w:cs="Amiri"/>
          <w:lang w:bidi="ar-SA"/>
          <w:color w:val="111111"/>
          <w:sz w:val="28"/>
          <w:szCs w:val="28"/>
          <w:rtl/>
        </w:rPr>
        <w:t xml:space="preserve">عباس بن عبد الله صبري كروي- صبري</w:t>
      </w:r>
    </w:p>
    <w:p>
      <w:pPr>
        <w:pStyle w:val="BookText"/>
      </w:pPr>
      <w:r>
        <w:rPr>
          <w:rFonts w:ascii="IRNazanin" w:hAnsi="IRNazanin" w:eastAsia="IRNazanin" w:cs="IRNazanin"/>
          <w:lang w:bidi="fa-IR"/>
          <w:color w:val="111111"/>
          <w:sz w:val="28"/>
          <w:szCs w:val="28"/>
          <w:rtl/>
        </w:rPr>
        <w:t xml:space="preserve">عباس بن عبدالله</w:t>
      </w:r>
    </w:p>
    <w:p>
      <w:pPr>
        <w:pStyle w:val="Heading2"/>
      </w:pPr>
      <w:bookmarkStart w:id="5777" w:name="_Toc4879"/>
      <w:r>
        <w:t>عباس بن علي قرن 13 ه-</w:t>
      </w:r>
      <w:bookmarkEnd w:id="5777"/>
    </w:p>
    <w:p>
      <w:pPr>
        <w:pStyle w:val="BookText"/>
      </w:pPr>
      <w:r>
        <w:rPr>
          <w:rFonts w:ascii="Amiri" w:hAnsi="Amiri" w:eastAsia="Amiri" w:cs="Amiri"/>
          <w:lang w:bidi="ar-SA"/>
          <w:color w:val="111111"/>
          <w:sz w:val="28"/>
          <w:szCs w:val="28"/>
          <w:rtl/>
        </w:rPr>
        <w:t xml:space="preserve">صومية (ترجمه)، ج 10، ص 670 .</w:t>
      </w:r>
    </w:p>
    <w:p>
      <w:pPr>
        <w:pStyle w:val="Heading2"/>
      </w:pPr>
      <w:bookmarkStart w:id="5778" w:name="_Toc4880"/>
      <w:r>
        <w:t>عباس بن علي بن نجف علي</w:t>
      </w:r>
      <w:bookmarkEnd w:id="5778"/>
    </w:p>
    <w:p>
      <w:pPr>
        <w:pStyle w:val="BookText"/>
      </w:pPr>
      <w:r>
        <w:rPr>
          <w:rFonts w:ascii="Amiri" w:hAnsi="Amiri" w:eastAsia="Amiri" w:cs="Amiri"/>
          <w:lang w:bidi="ar-SA"/>
          <w:color w:val="111111"/>
          <w:sz w:val="28"/>
          <w:szCs w:val="28"/>
          <w:rtl/>
        </w:rPr>
        <w:t xml:space="preserve">الفرق بين الظلين و الجيبين (رسالة</w:t>
      </w:r>
    </w:p>
    <w:p>
      <w:pPr>
        <w:pStyle w:val="BookText"/>
      </w:pPr>
      <w:r>
        <w:rPr>
          <w:rFonts w:ascii="Amiri" w:hAnsi="Amiri" w:eastAsia="Amiri" w:cs="Amiri"/>
          <w:lang w:bidi="ar-SA"/>
          <w:color w:val="111111"/>
          <w:sz w:val="28"/>
          <w:szCs w:val="28"/>
          <w:rtl/>
        </w:rPr>
        <w:t xml:space="preserve">في)، ج 11، ص 793.</w:t>
      </w:r>
    </w:p>
    <w:p>
      <w:pPr>
        <w:pStyle w:val="BookText"/>
      </w:pPr>
      <w:r>
        <w:rPr>
          <w:rFonts w:ascii="Amiri" w:hAnsi="Amiri" w:eastAsia="Amiri" w:cs="Amiri"/>
          <w:lang w:bidi="ar-SA"/>
          <w:color w:val="111111"/>
          <w:sz w:val="28"/>
          <w:szCs w:val="28"/>
          <w:rtl/>
        </w:rPr>
        <w:t xml:space="preserve">عباس بن علي حلي بغدادي -عذاري</w:t>
      </w:r>
    </w:p>
    <w:p>
      <w:pPr>
        <w:pStyle w:val="BookText"/>
      </w:pPr>
      <w:r>
        <w:rPr>
          <w:rFonts w:ascii="Amiri" w:hAnsi="Amiri" w:eastAsia="Amiri" w:cs="Amiri"/>
          <w:lang w:bidi="ar-SA"/>
          <w:color w:val="111111"/>
          <w:sz w:val="28"/>
          <w:szCs w:val="28"/>
          <w:rtl/>
        </w:rPr>
        <w:t xml:space="preserve">عباس بن علي</w:t>
      </w:r>
    </w:p>
    <w:p>
      <w:pPr>
        <w:pStyle w:val="BookText"/>
      </w:pPr>
      <w:r>
        <w:rPr>
          <w:rFonts w:ascii="Amiri" w:hAnsi="Amiri" w:eastAsia="Amiri" w:cs="Amiri"/>
          <w:lang w:bidi="ar-SA"/>
          <w:color w:val="111111"/>
          <w:sz w:val="28"/>
          <w:szCs w:val="28"/>
          <w:rtl/>
        </w:rPr>
        <w:t xml:space="preserve">عباس بن علي رسولي -غساني ، عباس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عباس بن علي غساني -غساني ، عباس بن علي</w:t>
      </w:r>
    </w:p>
    <w:p>
      <w:pPr>
        <w:pStyle w:val="BookText"/>
      </w:pPr>
      <w:r>
        <w:rPr>
          <w:rFonts w:ascii="Amiri" w:hAnsi="Amiri" w:eastAsia="Amiri" w:cs="Amiri"/>
          <w:lang w:bidi="ar-SA"/>
          <w:color w:val="111111"/>
          <w:sz w:val="28"/>
          <w:szCs w:val="28"/>
          <w:rtl/>
        </w:rPr>
        <w:t xml:space="preserve">عباس بن محمّد جعفر نجفي</w:t>
      </w:r>
    </w:p>
    <w:p>
      <w:pPr>
        <w:pStyle w:val="BookText"/>
      </w:pPr>
      <w:r>
        <w:rPr>
          <w:rFonts w:ascii="Amiri" w:hAnsi="Amiri" w:eastAsia="Amiri" w:cs="Amiri"/>
          <w:lang w:bidi="ar-SA"/>
          <w:color w:val="111111"/>
          <w:sz w:val="28"/>
          <w:szCs w:val="28"/>
          <w:rtl/>
        </w:rPr>
        <w:t xml:space="preserve">غروي -نجفي غروي ، عباس بن محمّد جعفر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26" w:name="pg7742_70719"/>
    <w:bookmarkEnd w:id="726"/>
    <w:p>
      <w:pPr>
        <w:pStyle w:val="BookText"/>
      </w:pPr>
      <w:r>
        <w:rPr>
          <w:rFonts w:ascii="Amiri" w:hAnsi="Amiri" w:eastAsia="Amiri" w:cs="Amiri"/>
          <w:lang w:bidi="ar-SA"/>
          <w:color w:val="111111"/>
          <w:sz w:val="28"/>
          <w:szCs w:val="28"/>
          <w:rtl/>
        </w:rPr>
        <w:t xml:space="preserve">عباس بن محمّد جواد حلي-حلي ، عباس</w:t>
      </w:r>
    </w:p>
    <w:p>
      <w:pPr>
        <w:pStyle w:val="BookText"/>
      </w:pPr>
      <w:r>
        <w:rPr>
          <w:rFonts w:ascii="IRNazanin" w:hAnsi="IRNazanin" w:eastAsia="IRNazanin" w:cs="IRNazanin"/>
          <w:lang w:bidi="fa-IR"/>
          <w:color w:val="111111"/>
          <w:sz w:val="28"/>
          <w:szCs w:val="28"/>
          <w:rtl/>
        </w:rPr>
        <w:t xml:space="preserve">بن محمّد جواد</w:t>
      </w:r>
    </w:p>
    <w:p>
      <w:pPr>
        <w:pStyle w:val="BookText"/>
      </w:pPr>
      <w:r>
        <w:rPr>
          <w:rFonts w:ascii="Amiri" w:hAnsi="Amiri" w:eastAsia="Amiri" w:cs="Amiri"/>
          <w:lang w:bidi="ar-SA"/>
          <w:color w:val="111111"/>
          <w:sz w:val="28"/>
          <w:szCs w:val="28"/>
          <w:rtl/>
        </w:rPr>
        <w:t xml:space="preserve">عباس بن محمّد حسين جصاني- جصاني ،</w:t>
      </w:r>
    </w:p>
    <w:p>
      <w:pPr>
        <w:pStyle w:val="BookText"/>
      </w:pPr>
      <w:r>
        <w:rPr>
          <w:rFonts w:ascii="IRNazanin" w:hAnsi="IRNazanin" w:eastAsia="IRNazanin" w:cs="IRNazanin"/>
          <w:lang w:bidi="fa-IR"/>
          <w:color w:val="111111"/>
          <w:sz w:val="28"/>
          <w:szCs w:val="28"/>
          <w:rtl/>
        </w:rPr>
        <w:t xml:space="preserve">عباس بن محمّد حسین</w:t>
      </w:r>
    </w:p>
    <w:p>
      <w:pPr>
        <w:pStyle w:val="BookText"/>
      </w:pPr>
      <w:r>
        <w:rPr>
          <w:rFonts w:ascii="Amiri" w:hAnsi="Amiri" w:eastAsia="Amiri" w:cs="Amiri"/>
          <w:lang w:bidi="ar-SA"/>
          <w:color w:val="111111"/>
          <w:sz w:val="28"/>
          <w:szCs w:val="28"/>
          <w:rtl/>
        </w:rPr>
        <w:t xml:space="preserve">عباس بن محمّد شبر حسيني- شبر ، عباس</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عباس بن موسى بسطامي- فروغي ،</w:t>
      </w:r>
    </w:p>
    <w:p>
      <w:pPr>
        <w:pStyle w:val="BookText"/>
      </w:pPr>
      <w:r>
        <w:rPr>
          <w:rFonts w:ascii="IRNazanin" w:hAnsi="IRNazanin" w:eastAsia="IRNazanin" w:cs="IRNazanin"/>
          <w:lang w:bidi="fa-IR"/>
          <w:color w:val="111111"/>
          <w:sz w:val="28"/>
          <w:szCs w:val="28"/>
          <w:rtl/>
        </w:rPr>
        <w:t xml:space="preserve">عباس بن موسى</w:t>
      </w:r>
    </w:p>
    <w:p>
      <w:pPr>
        <w:pStyle w:val="BookText"/>
      </w:pPr>
      <w:r>
        <w:rPr>
          <w:rFonts w:ascii="Amiri" w:hAnsi="Amiri" w:eastAsia="Amiri" w:cs="Amiri"/>
          <w:lang w:bidi="ar-SA"/>
          <w:color w:val="111111"/>
          <w:sz w:val="28"/>
          <w:szCs w:val="28"/>
          <w:rtl/>
        </w:rPr>
        <w:t xml:space="preserve">عباس بن مهدي ابوالطوس- ابوالطوس</w:t>
      </w:r>
    </w:p>
    <w:p>
      <w:pPr>
        <w:pStyle w:val="BookText"/>
      </w:pPr>
      <w:r>
        <w:rPr>
          <w:rFonts w:ascii="Amiri" w:hAnsi="Amiri" w:eastAsia="Amiri" w:cs="Amiri"/>
          <w:lang w:bidi="ar-SA"/>
          <w:color w:val="111111"/>
          <w:sz w:val="28"/>
          <w:szCs w:val="28"/>
          <w:rtl/>
        </w:rPr>
        <w:t xml:space="preserve">عباس بن مهدي</w:t>
      </w:r>
    </w:p>
    <w:p>
      <w:pPr>
        <w:pStyle w:val="BookText"/>
      </w:pPr>
      <w:r>
        <w:rPr>
          <w:rFonts w:ascii="Amiri" w:hAnsi="Amiri" w:eastAsia="Amiri" w:cs="Amiri"/>
          <w:lang w:bidi="ar-SA"/>
          <w:color w:val="111111"/>
          <w:sz w:val="28"/>
          <w:szCs w:val="28"/>
          <w:rtl/>
        </w:rPr>
        <w:t xml:space="preserve">عباس تستري- تستري ، عباس</w:t>
      </w:r>
    </w:p>
    <w:p>
      <w:pPr>
        <w:pStyle w:val="BookText"/>
      </w:pPr>
      <w:r>
        <w:rPr>
          <w:rFonts w:ascii="Amiri" w:hAnsi="Amiri" w:eastAsia="Amiri" w:cs="Amiri"/>
          <w:lang w:bidi="ar-SA"/>
          <w:color w:val="111111"/>
          <w:sz w:val="28"/>
          <w:szCs w:val="28"/>
          <w:rtl/>
        </w:rPr>
        <w:t xml:space="preserve">عباس زيوري بغدادي حلي -زيوري</w:t>
      </w:r>
    </w:p>
    <w:p>
      <w:pPr>
        <w:pStyle w:val="BookText"/>
      </w:pPr>
      <w:r>
        <w:rPr>
          <w:rFonts w:ascii="Amiri" w:hAnsi="Amiri" w:eastAsia="Amiri" w:cs="Amiri"/>
          <w:lang w:bidi="ar-SA"/>
          <w:color w:val="111111"/>
          <w:sz w:val="28"/>
          <w:szCs w:val="28"/>
          <w:rtl/>
        </w:rPr>
        <w:t xml:space="preserve">بغدادي ، عباس بن جاسم</w:t>
      </w:r>
    </w:p>
    <w:p>
      <w:pPr>
        <w:pStyle w:val="BookText"/>
      </w:pPr>
      <w:r>
        <w:rPr>
          <w:rFonts w:ascii="Amiri" w:hAnsi="Amiri" w:eastAsia="Amiri" w:cs="Amiri"/>
          <w:lang w:bidi="ar-SA"/>
          <w:color w:val="111111"/>
          <w:sz w:val="28"/>
          <w:szCs w:val="28"/>
          <w:rtl/>
        </w:rPr>
        <w:t xml:space="preserve">عباسعلي بن نجفعلي تبريزي رياضي- تبريزي رياضي ، عباسعلي بن نجفعلي</w:t>
      </w:r>
    </w:p>
    <w:p>
      <w:pPr>
        <w:pStyle w:val="BookText"/>
      </w:pPr>
      <w:r>
        <w:rPr>
          <w:rFonts w:ascii="Amiri" w:hAnsi="Amiri" w:eastAsia="Amiri" w:cs="Amiri"/>
          <w:lang w:bidi="ar-SA"/>
          <w:color w:val="111111"/>
          <w:sz w:val="28"/>
          <w:szCs w:val="28"/>
          <w:rtl/>
        </w:rPr>
        <w:t xml:space="preserve">عباسعلي تبريزي -تبريزي ، عباسعلي</w:t>
      </w:r>
    </w:p>
    <w:p>
      <w:pPr>
        <w:pStyle w:val="BookText"/>
      </w:pPr>
      <w:r>
        <w:rPr>
          <w:rFonts w:ascii="Amiri" w:hAnsi="Amiri" w:eastAsia="Amiri" w:cs="Amiri"/>
          <w:lang w:bidi="ar-SA"/>
          <w:color w:val="111111"/>
          <w:sz w:val="28"/>
          <w:szCs w:val="28"/>
          <w:rtl/>
        </w:rPr>
        <w:t xml:space="preserve">عباس قريشي -قريشي ، عباس</w:t>
      </w:r>
    </w:p>
    <w:p>
      <w:pPr>
        <w:pStyle w:val="BookText"/>
      </w:pPr>
      <w:r>
        <w:rPr>
          <w:rFonts w:ascii="Amiri" w:hAnsi="Amiri" w:eastAsia="Amiri" w:cs="Amiri"/>
          <w:lang w:bidi="ar-SA"/>
          <w:color w:val="111111"/>
          <w:sz w:val="28"/>
          <w:szCs w:val="28"/>
          <w:rtl/>
        </w:rPr>
        <w:t xml:space="preserve">عباسقلي بن ميرزا محمّد ثاني قدسي- قدسي ، عباسقلي بن ميرزا محمّد ثاني</w:t>
      </w:r>
    </w:p>
    <w:p>
      <w:pPr>
        <w:pStyle w:val="BookText"/>
      </w:pPr>
      <w:r>
        <w:rPr>
          <w:rFonts w:ascii="Amiri" w:hAnsi="Amiri" w:eastAsia="Amiri" w:cs="Amiri"/>
          <w:lang w:bidi="ar-SA"/>
          <w:color w:val="111111"/>
          <w:sz w:val="28"/>
          <w:szCs w:val="28"/>
          <w:rtl/>
        </w:rPr>
        <w:t xml:space="preserve">عباس موسوي- مولوي ، عباس</w:t>
      </w:r>
    </w:p>
    <w:p>
      <w:pPr>
        <w:pStyle w:val="BookText"/>
      </w:pPr>
      <w:r>
        <w:rPr>
          <w:rFonts w:ascii="Amiri" w:hAnsi="Amiri" w:eastAsia="Amiri" w:cs="Amiri"/>
          <w:lang w:bidi="ar-SA"/>
          <w:color w:val="111111"/>
          <w:sz w:val="28"/>
          <w:szCs w:val="28"/>
          <w:rtl/>
        </w:rPr>
        <w:t xml:space="preserve">عباسه اي شهرستاني يزدي- معين الدين</w:t>
      </w:r>
    </w:p>
    <w:p>
      <w:pPr>
        <w:pStyle w:val="BookText"/>
      </w:pPr>
      <w:r>
        <w:rPr>
          <w:rFonts w:ascii="Amiri" w:hAnsi="Amiri" w:eastAsia="Amiri" w:cs="Amiri"/>
          <w:lang w:bidi="ar-SA"/>
          <w:color w:val="111111"/>
          <w:sz w:val="28"/>
          <w:szCs w:val="28"/>
          <w:rtl/>
        </w:rPr>
        <w:t xml:space="preserve">يزدي ، علي بن محمّد</w:t>
      </w:r>
    </w:p>
    <w:p>
      <w:pPr>
        <w:pStyle w:val="BookText"/>
      </w:pPr>
      <w:r>
        <w:rPr>
          <w:rFonts w:ascii="Amiri" w:hAnsi="Amiri" w:eastAsia="Amiri" w:cs="Amiri"/>
          <w:lang w:bidi="ar-SA"/>
          <w:color w:val="111111"/>
          <w:sz w:val="28"/>
          <w:szCs w:val="28"/>
          <w:rtl/>
        </w:rPr>
        <w:t xml:space="preserve">عباسي، ابراهيم بن احمد -حلبي</w:t>
      </w:r>
    </w:p>
    <w:p>
      <w:pPr>
        <w:pStyle w:val="BookText"/>
      </w:pPr>
      <w:r>
        <w:rPr>
          <w:rFonts w:ascii="Amiri" w:hAnsi="Amiri" w:eastAsia="Amiri" w:cs="Amiri"/>
          <w:lang w:bidi="ar-SA"/>
          <w:color w:val="111111"/>
          <w:sz w:val="28"/>
          <w:szCs w:val="28"/>
          <w:rtl/>
        </w:rPr>
        <w:t xml:space="preserve">ابراهيم بن احمد</w:t>
      </w:r>
    </w:p>
    <w:p>
      <w:pPr>
        <w:pStyle w:val="Heading2"/>
      </w:pPr>
      <w:bookmarkStart w:id="5779" w:name="_Toc4881"/>
      <w:r>
        <w:t>عباسي ، احمد بن محمّد - 901 ه-</w:t>
      </w:r>
      <w:bookmarkEnd w:id="5779"/>
    </w:p>
    <w:p>
      <w:pPr>
        <w:pStyle w:val="BookText"/>
      </w:pPr>
      <w:r>
        <w:rPr>
          <w:rFonts w:ascii="Amiri" w:hAnsi="Amiri" w:eastAsia="Amiri" w:cs="Amiri"/>
          <w:lang w:bidi="ar-SA"/>
          <w:color w:val="111111"/>
          <w:sz w:val="28"/>
          <w:szCs w:val="28"/>
          <w:rtl/>
        </w:rPr>
        <w:t xml:space="preserve">تحفة السائل في أجوبة المسائل، ج3، ص843.</w:t>
      </w:r>
    </w:p>
    <w:p>
      <w:pPr>
        <w:pStyle w:val="BookText"/>
      </w:pPr>
      <w:r>
        <w:rPr>
          <w:rFonts w:ascii="Amiri" w:hAnsi="Amiri" w:eastAsia="Amiri" w:cs="Amiri"/>
          <w:lang w:bidi="ar-SA"/>
          <w:color w:val="111111"/>
          <w:sz w:val="28"/>
          <w:szCs w:val="28"/>
          <w:rtl/>
        </w:rPr>
        <w:t xml:space="preserve">عباسي ، احمد بن يوسف- كوازي ، احمد</w:t>
      </w:r>
    </w:p>
    <w:p>
      <w:pPr>
        <w:pStyle w:val="BookText"/>
      </w:pPr>
      <w:r>
        <w:rPr>
          <w:rFonts w:ascii="Amiri" w:hAnsi="Amiri" w:eastAsia="Amiri" w:cs="Amiri"/>
          <w:lang w:bidi="ar-SA"/>
          <w:color w:val="111111"/>
          <w:sz w:val="28"/>
          <w:szCs w:val="28"/>
          <w:rtl/>
        </w:rPr>
        <w:t xml:space="preserve">بن يوسف</w:t>
      </w:r>
    </w:p>
    <w:p>
      <w:pPr>
        <w:pStyle w:val="Heading2"/>
      </w:pPr>
      <w:bookmarkStart w:id="5780" w:name="_Toc4882"/>
      <w:r>
        <w:t>عباسي ، حسن بن عبدالله قرن 8 ه-</w:t>
      </w:r>
      <w:bookmarkEnd w:id="5780"/>
    </w:p>
    <w:p>
      <w:pPr>
        <w:pStyle w:val="BookText"/>
      </w:pPr>
      <w:r>
        <w:rPr>
          <w:rFonts w:ascii="Amiri" w:hAnsi="Amiri" w:eastAsia="Amiri" w:cs="Amiri"/>
          <w:lang w:bidi="ar-SA"/>
          <w:color w:val="111111"/>
          <w:sz w:val="28"/>
          <w:szCs w:val="28"/>
          <w:rtl/>
        </w:rPr>
        <w:t xml:space="preserve">آثار الاول في ترتيب الدول، ج 1، ص 6.</w:t>
      </w:r>
    </w:p>
    <w:p>
      <w:pPr>
        <w:pStyle w:val="BookText"/>
      </w:pPr>
      <w:r>
        <w:rPr>
          <w:rFonts w:ascii="Amiri" w:hAnsi="Amiri" w:eastAsia="Amiri" w:cs="Amiri"/>
          <w:lang w:bidi="ar-SA"/>
          <w:color w:val="111111"/>
          <w:sz w:val="28"/>
          <w:szCs w:val="28"/>
          <w:rtl/>
        </w:rPr>
        <w:t xml:space="preserve">عباسي ، عبدالرحيم بن احمد - عباسي ،</w:t>
      </w:r>
    </w:p>
    <w:p>
      <w:pPr>
        <w:pStyle w:val="BookText"/>
      </w:pPr>
      <w:r>
        <w:rPr>
          <w:rFonts w:ascii="Amiri" w:hAnsi="Amiri" w:eastAsia="Amiri" w:cs="Amiri"/>
          <w:lang w:bidi="ar-SA"/>
          <w:color w:val="111111"/>
          <w:sz w:val="28"/>
          <w:szCs w:val="28"/>
          <w:rtl/>
        </w:rPr>
        <w:t xml:space="preserve">عبد الرحيم بن عبدالرحمن</w:t>
      </w:r>
    </w:p>
    <w:p>
      <w:pPr>
        <w:pStyle w:val="Heading2"/>
      </w:pPr>
      <w:bookmarkStart w:id="5781" w:name="_Toc4883"/>
      <w:r>
        <w:t>عباسي ، عبد الرحيم بن عبد الرحمن 866</w:t>
      </w:r>
      <w:bookmarkEnd w:id="57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963 ه-</w:t>
      </w:r>
    </w:p>
    <w:p>
      <w:pPr>
        <w:pStyle w:val="BookText"/>
      </w:pPr>
      <w:r>
        <w:rPr>
          <w:rFonts w:ascii="Amiri" w:hAnsi="Amiri" w:eastAsia="Amiri" w:cs="Amiri"/>
          <w:lang w:bidi="ar-SA"/>
          <w:color w:val="111111"/>
          <w:sz w:val="28"/>
          <w:szCs w:val="28"/>
          <w:rtl/>
        </w:rPr>
        <w:t xml:space="preserve">1 .فيض الباري بشرح غريب صحيح</w:t>
      </w:r>
    </w:p>
    <w:p>
      <w:pPr>
        <w:pStyle w:val="BookText"/>
      </w:pPr>
      <w:r>
        <w:rPr>
          <w:rFonts w:ascii="Amiri" w:hAnsi="Amiri" w:eastAsia="Amiri" w:cs="Amiri"/>
          <w:lang w:bidi="ar-SA"/>
          <w:color w:val="111111"/>
          <w:sz w:val="28"/>
          <w:szCs w:val="28"/>
          <w:rtl/>
        </w:rPr>
        <w:t xml:space="preserve">البخاري، ج 12، ص 307.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معاهد التنصيص على شواهد</w:t>
      </w:r>
    </w:p>
    <w:p>
      <w:pPr>
        <w:pStyle w:val="BookText"/>
      </w:pPr>
      <w:r>
        <w:rPr>
          <w:rFonts w:ascii="Amiri" w:hAnsi="Amiri" w:eastAsia="Amiri" w:cs="Amiri"/>
          <w:lang w:bidi="ar-SA"/>
          <w:color w:val="111111"/>
          <w:sz w:val="28"/>
          <w:szCs w:val="28"/>
          <w:rtl/>
        </w:rPr>
        <w:t xml:space="preserve">التلخيص، ج 14، ص 893.</w:t>
      </w:r>
    </w:p>
    <w:p>
      <w:pPr>
        <w:pStyle w:val="BookText"/>
      </w:pPr>
      <w:r>
        <w:rPr>
          <w:rFonts w:ascii="Amiri" w:hAnsi="Amiri" w:eastAsia="Amiri" w:cs="Amiri"/>
          <w:lang w:bidi="ar-SA"/>
          <w:color w:val="111111"/>
          <w:sz w:val="28"/>
          <w:szCs w:val="28"/>
          <w:rtl/>
        </w:rPr>
        <w:t xml:space="preserve">عباسي ، عبدالرحيم بن محمّد</w:t>
      </w:r>
    </w:p>
    <w:p>
      <w:pPr>
        <w:pStyle w:val="BookText"/>
      </w:pPr>
      <w:r>
        <w:rPr>
          <w:rFonts w:ascii="Amiri" w:hAnsi="Amiri" w:eastAsia="Amiri" w:cs="Amiri"/>
          <w:lang w:bidi="ar-SA"/>
          <w:color w:val="111111"/>
          <w:sz w:val="28"/>
          <w:szCs w:val="28"/>
          <w:rtl/>
        </w:rPr>
        <w:t xml:space="preserve">سعيد -سويدي ، عبد الرحيم بن محمّد سعيد</w:t>
      </w:r>
    </w:p>
    <w:p>
      <w:pPr>
        <w:pStyle w:val="BookText"/>
      </w:pPr>
      <w:r>
        <w:rPr>
          <w:rFonts w:ascii="IRNazanin" w:hAnsi="IRNazanin" w:eastAsia="IRNazanin" w:cs="IRNazanin"/>
          <w:lang w:bidi="fa-IR"/>
          <w:color w:val="111111"/>
          <w:sz w:val="28"/>
          <w:szCs w:val="28"/>
          <w:rtl/>
        </w:rPr>
        <w:t xml:space="preserve">عباسي ، عبد اللطيف بن عبدالله -عباسي گجراتي ، عبداللطيف بن عبدالله</w:t>
      </w:r>
    </w:p>
    <w:p>
      <w:pPr>
        <w:pStyle w:val="Heading2"/>
      </w:pPr>
      <w:bookmarkStart w:id="5782" w:name="_Toc4884"/>
      <w:r>
        <w:t>عباسي ، علي بن عبد القادر - 1070 ه-</w:t>
      </w:r>
      <w:bookmarkEnd w:id="5782"/>
    </w:p>
    <w:p>
      <w:pPr>
        <w:pStyle w:val="BookText"/>
      </w:pPr>
      <w:r>
        <w:rPr>
          <w:rFonts w:ascii="Amiri" w:hAnsi="Amiri" w:eastAsia="Amiri" w:cs="Amiri"/>
          <w:lang w:bidi="ar-SA"/>
          <w:color w:val="111111"/>
          <w:sz w:val="28"/>
          <w:szCs w:val="28"/>
          <w:rtl/>
        </w:rPr>
        <w:t xml:space="preserve">مناقب الكوازين، ج 15 ، ص 553</w:t>
      </w:r>
    </w:p>
    <w:p>
      <w:pPr>
        <w:pStyle w:val="BookText"/>
      </w:pPr>
      <w:r>
        <w:rPr>
          <w:rFonts w:ascii="Amiri" w:hAnsi="Amiri" w:eastAsia="Amiri" w:cs="Amiri"/>
          <w:lang w:bidi="ar-SA"/>
          <w:color w:val="111111"/>
          <w:sz w:val="28"/>
          <w:szCs w:val="28"/>
          <w:rtl/>
        </w:rPr>
        <w:t xml:space="preserve">عباسي ، علي بن محمّد سعيد- سويدي ،</w:t>
      </w:r>
    </w:p>
    <w:p>
      <w:pPr>
        <w:pStyle w:val="BookText"/>
      </w:pPr>
      <w:r>
        <w:rPr>
          <w:rFonts w:ascii="Amiri" w:hAnsi="Amiri" w:eastAsia="Amiri" w:cs="Amiri"/>
          <w:lang w:bidi="ar-SA"/>
          <w:color w:val="111111"/>
          <w:sz w:val="28"/>
          <w:szCs w:val="28"/>
          <w:rtl/>
        </w:rPr>
        <w:t xml:space="preserve">علي بن محمّد سعيد</w:t>
      </w:r>
    </w:p>
    <w:p>
      <w:pPr>
        <w:pStyle w:val="Heading2"/>
      </w:pPr>
      <w:bookmarkStart w:id="5783" w:name="_Toc4885"/>
      <w:r>
        <w:t>عباسي ، فضل بن محمّد</w:t>
      </w:r>
      <w:bookmarkEnd w:id="5783"/>
    </w:p>
    <w:p>
      <w:pPr>
        <w:pStyle w:val="BookText"/>
      </w:pPr>
      <w:r>
        <w:rPr>
          <w:rFonts w:ascii="Amiri" w:hAnsi="Amiri" w:eastAsia="Amiri" w:cs="Amiri"/>
          <w:lang w:bidi="ar-SA"/>
          <w:color w:val="111111"/>
          <w:sz w:val="28"/>
          <w:szCs w:val="28"/>
          <w:rtl/>
        </w:rPr>
        <w:t xml:space="preserve">الفائدة في التعديل، ج 11، ص574.</w:t>
      </w:r>
    </w:p>
    <w:p>
      <w:pPr>
        <w:pStyle w:val="BookText"/>
      </w:pPr>
      <w:r>
        <w:rPr>
          <w:rFonts w:ascii="IRNazanin" w:hAnsi="IRNazanin" w:eastAsia="IRNazanin" w:cs="IRNazanin"/>
          <w:lang w:bidi="fa-IR"/>
          <w:color w:val="111111"/>
          <w:sz w:val="28"/>
          <w:szCs w:val="28"/>
          <w:rtl/>
        </w:rPr>
        <w:t xml:space="preserve">ص 843.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27" w:name="pg7742_70720"/>
    <w:bookmarkEnd w:id="727"/>
    <w:p>
      <w:pPr>
        <w:pStyle w:val="Heading2"/>
      </w:pPr>
      <w:bookmarkStart w:id="5784" w:name="_Toc4886"/>
      <w:r>
        <w:t>عباسي گجراتي ، عبد اللطيف بن عبدالله -</w:t>
      </w:r>
      <w:bookmarkEnd w:id="5784"/>
    </w:p>
    <w:p>
      <w:pPr>
        <w:pStyle w:val="BookText"/>
      </w:pPr>
      <w:r>
        <w:rPr>
          <w:rFonts w:ascii="IRNazanin" w:hAnsi="IRNazanin" w:eastAsia="IRNazanin" w:cs="IRNazanin"/>
          <w:lang w:bidi="fa-IR"/>
          <w:color w:val="111111"/>
          <w:sz w:val="28"/>
          <w:szCs w:val="28"/>
          <w:rtl/>
        </w:rPr>
        <w:t xml:space="preserve">1048 ه-</w:t>
      </w:r>
    </w:p>
    <w:p>
      <w:pPr>
        <w:pStyle w:val="BookText"/>
      </w:pPr>
      <w:r>
        <w:rPr>
          <w:rFonts w:ascii="IRNazanin" w:hAnsi="IRNazanin" w:eastAsia="IRNazanin" w:cs="IRNazanin"/>
          <w:lang w:bidi="fa-IR"/>
          <w:color w:val="111111"/>
          <w:sz w:val="28"/>
          <w:szCs w:val="28"/>
          <w:rtl/>
        </w:rPr>
        <w:t xml:space="preserve">لطايف اللغات - فرهنگ لغات</w:t>
      </w:r>
    </w:p>
    <w:p>
      <w:pPr>
        <w:pStyle w:val="BookText"/>
      </w:pPr>
      <w:r>
        <w:rPr>
          <w:rFonts w:ascii="Amiri" w:hAnsi="Amiri" w:eastAsia="Amiri" w:cs="Amiri"/>
          <w:lang w:bidi="ar-SA"/>
          <w:color w:val="111111"/>
          <w:sz w:val="28"/>
          <w:szCs w:val="28"/>
          <w:rtl/>
        </w:rPr>
        <w:t xml:space="preserve">مثنوي، ج 13، ص 581.</w:t>
      </w:r>
    </w:p>
    <w:p>
      <w:pPr>
        <w:pStyle w:val="BookText"/>
      </w:pPr>
      <w:r>
        <w:rPr>
          <w:rFonts w:ascii="Amiri" w:hAnsi="Amiri" w:eastAsia="Amiri" w:cs="Amiri"/>
          <w:lang w:bidi="ar-SA"/>
          <w:color w:val="111111"/>
          <w:sz w:val="28"/>
          <w:szCs w:val="28"/>
          <w:rtl/>
        </w:rPr>
        <w:t xml:space="preserve">عباسي لاهوري ، محمّد باقر بن شرف الدين- لاهوري، محمّد باقر بن شرف الدين</w:t>
      </w:r>
    </w:p>
    <w:p>
      <w:pPr>
        <w:pStyle w:val="BookText"/>
      </w:pPr>
      <w:r>
        <w:rPr>
          <w:rFonts w:ascii="Amiri" w:hAnsi="Amiri" w:eastAsia="Amiri" w:cs="Amiri"/>
          <w:lang w:bidi="ar-SA"/>
          <w:color w:val="111111"/>
          <w:sz w:val="28"/>
          <w:szCs w:val="28"/>
          <w:rtl/>
        </w:rPr>
        <w:t xml:space="preserve">عباسي ، محمّد امين بن علي -سويدي ،</w:t>
      </w:r>
    </w:p>
    <w:p>
      <w:pPr>
        <w:pStyle w:val="BookText"/>
      </w:pPr>
      <w:r>
        <w:rPr>
          <w:rFonts w:ascii="Amiri" w:hAnsi="Amiri" w:eastAsia="Amiri" w:cs="Amiri"/>
          <w:lang w:bidi="ar-SA"/>
          <w:color w:val="111111"/>
          <w:sz w:val="28"/>
          <w:szCs w:val="28"/>
          <w:rtl/>
        </w:rPr>
        <w:t xml:space="preserve">محمد امين بن علي</w:t>
      </w:r>
    </w:p>
    <w:p>
      <w:pPr>
        <w:pStyle w:val="BookText"/>
      </w:pPr>
      <w:r>
        <w:rPr>
          <w:rFonts w:ascii="Amiri" w:hAnsi="Amiri" w:eastAsia="Amiri" w:cs="Amiri"/>
          <w:lang w:bidi="ar-SA"/>
          <w:color w:val="111111"/>
          <w:sz w:val="28"/>
          <w:szCs w:val="28"/>
          <w:rtl/>
        </w:rPr>
        <w:t xml:space="preserve">عباسي ، محمود بن ابراهيم -كوازي ،</w:t>
      </w:r>
    </w:p>
    <w:p>
      <w:pPr>
        <w:pStyle w:val="BookText"/>
      </w:pPr>
      <w:r>
        <w:rPr>
          <w:rFonts w:ascii="Amiri" w:hAnsi="Amiri" w:eastAsia="Amiri" w:cs="Amiri"/>
          <w:lang w:bidi="ar-SA"/>
          <w:color w:val="111111"/>
          <w:sz w:val="28"/>
          <w:szCs w:val="28"/>
          <w:rtl/>
        </w:rPr>
        <w:t xml:space="preserve">محمود بن ابراهيم</w:t>
      </w:r>
    </w:p>
    <w:p>
      <w:pPr>
        <w:pStyle w:val="BookText"/>
      </w:pPr>
      <w:r>
        <w:rPr>
          <w:rFonts w:ascii="Amiri" w:hAnsi="Amiri" w:eastAsia="Amiri" w:cs="Amiri"/>
          <w:lang w:bidi="ar-SA"/>
          <w:color w:val="111111"/>
          <w:sz w:val="28"/>
          <w:szCs w:val="28"/>
          <w:rtl/>
        </w:rPr>
        <w:t xml:space="preserve">عباسي هاشمي ، محمّد بن محمّد- ابن</w:t>
      </w:r>
    </w:p>
    <w:p>
      <w:pPr>
        <w:pStyle w:val="BookText"/>
      </w:pPr>
      <w:r>
        <w:rPr>
          <w:rFonts w:ascii="Amiri" w:hAnsi="Amiri" w:eastAsia="Amiri" w:cs="Amiri"/>
          <w:lang w:bidi="ar-SA"/>
          <w:color w:val="111111"/>
          <w:sz w:val="28"/>
          <w:szCs w:val="28"/>
          <w:rtl/>
        </w:rPr>
        <w:t xml:space="preserve">هباريه ، محمّد بن محمّد</w:t>
      </w:r>
    </w:p>
    <w:p>
      <w:pPr>
        <w:pStyle w:val="BookText"/>
      </w:pPr>
      <w:r>
        <w:rPr>
          <w:rFonts w:ascii="IRNazanin" w:hAnsi="IRNazanin" w:eastAsia="IRNazanin" w:cs="IRNazanin"/>
          <w:lang w:bidi="fa-IR"/>
          <w:color w:val="111111"/>
          <w:sz w:val="28"/>
          <w:szCs w:val="28"/>
          <w:rtl/>
        </w:rPr>
        <w:t xml:space="preserve">عبايچي -كوفي ، محمّد بن عبود</w:t>
      </w:r>
    </w:p>
    <w:p>
      <w:pPr>
        <w:pStyle w:val="BookText"/>
      </w:pPr>
      <w:r>
        <w:rPr>
          <w:rFonts w:ascii="Amiri" w:hAnsi="Amiri" w:eastAsia="Amiri" w:cs="Amiri"/>
          <w:lang w:bidi="ar-SA"/>
          <w:color w:val="111111"/>
          <w:sz w:val="28"/>
          <w:szCs w:val="28"/>
          <w:rtl/>
        </w:rPr>
        <w:t xml:space="preserve">عبد الامير بن علي حويزي -حويزي ،</w:t>
      </w:r>
    </w:p>
    <w:p>
      <w:pPr>
        <w:pStyle w:val="BookText"/>
      </w:pPr>
      <w:r>
        <w:rPr>
          <w:rFonts w:ascii="Amiri" w:hAnsi="Amiri" w:eastAsia="Amiri" w:cs="Amiri"/>
          <w:lang w:bidi="ar-SA"/>
          <w:color w:val="111111"/>
          <w:sz w:val="28"/>
          <w:szCs w:val="28"/>
          <w:rtl/>
        </w:rPr>
        <w:t xml:space="preserve">عبدالامير بن علي</w:t>
      </w:r>
    </w:p>
    <w:p>
      <w:pPr>
        <w:pStyle w:val="BookText"/>
      </w:pPr>
      <w:r>
        <w:rPr>
          <w:rFonts w:ascii="Amiri" w:hAnsi="Amiri" w:eastAsia="Amiri" w:cs="Amiri"/>
          <w:lang w:bidi="ar-SA"/>
          <w:color w:val="111111"/>
          <w:sz w:val="28"/>
          <w:szCs w:val="28"/>
          <w:rtl/>
        </w:rPr>
        <w:t xml:space="preserve">عبد الامير بن هادي جواهري -جواهري ،</w:t>
      </w:r>
    </w:p>
    <w:p>
      <w:pPr>
        <w:pStyle w:val="BookText"/>
      </w:pPr>
      <w:r>
        <w:rPr>
          <w:rFonts w:ascii="Amiri" w:hAnsi="Amiri" w:eastAsia="Amiri" w:cs="Amiri"/>
          <w:lang w:bidi="ar-SA"/>
          <w:color w:val="111111"/>
          <w:sz w:val="28"/>
          <w:szCs w:val="28"/>
          <w:rtl/>
        </w:rPr>
        <w:t xml:space="preserve">عبد الامير بن هادي</w:t>
      </w:r>
    </w:p>
    <w:p>
      <w:pPr>
        <w:pStyle w:val="BookText"/>
      </w:pPr>
      <w:r>
        <w:rPr>
          <w:rFonts w:ascii="Amiri" w:hAnsi="Amiri" w:eastAsia="Amiri" w:cs="Amiri"/>
          <w:lang w:bidi="ar-SA"/>
          <w:color w:val="111111"/>
          <w:sz w:val="28"/>
          <w:szCs w:val="28"/>
          <w:rtl/>
        </w:rPr>
        <w:t xml:space="preserve">عبد الباري بن عبدالرحمن الصعيدي - صعيدي ، عبدالباري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عبد الباري عشماوي -عشماوي ، عبد الباري</w:t>
      </w:r>
    </w:p>
    <w:p>
      <w:pPr>
        <w:pStyle w:val="BookText"/>
      </w:pPr>
      <w:r>
        <w:rPr>
          <w:rFonts w:ascii="Amiri" w:hAnsi="Amiri" w:eastAsia="Amiri" w:cs="Amiri"/>
          <w:lang w:bidi="ar-SA"/>
          <w:color w:val="111111"/>
          <w:sz w:val="28"/>
          <w:szCs w:val="28"/>
          <w:rtl/>
        </w:rPr>
        <w:t xml:space="preserve">عبد الباسط بن خليل ملطي- ابن وزير ،</w:t>
      </w:r>
    </w:p>
    <w:p>
      <w:pPr>
        <w:pStyle w:val="BookText"/>
      </w:pPr>
      <w:r>
        <w:rPr>
          <w:rFonts w:ascii="Amiri" w:hAnsi="Amiri" w:eastAsia="Amiri" w:cs="Amiri"/>
          <w:lang w:bidi="ar-SA"/>
          <w:color w:val="111111"/>
          <w:sz w:val="28"/>
          <w:szCs w:val="28"/>
          <w:rtl/>
        </w:rPr>
        <w:t xml:space="preserve">عبد الباسط بن خليل</w:t>
      </w:r>
    </w:p>
    <w:p>
      <w:pPr>
        <w:pStyle w:val="BookText"/>
      </w:pPr>
      <w:r>
        <w:rPr>
          <w:rFonts w:ascii="Amiri" w:hAnsi="Amiri" w:eastAsia="Amiri" w:cs="Amiri"/>
          <w:lang w:bidi="ar-SA"/>
          <w:color w:val="111111"/>
          <w:sz w:val="28"/>
          <w:szCs w:val="28"/>
          <w:rtl/>
        </w:rPr>
        <w:t xml:space="preserve">عبد الباسط علموي -علموي، عبدالباسط</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عبد الباقي بعلي حنبلي -بعلي ، عبد الباقي</w:t>
      </w:r>
    </w:p>
    <w:p>
      <w:pPr>
        <w:pStyle w:val="BookText"/>
      </w:pPr>
      <w:r>
        <w:rPr>
          <w:rFonts w:ascii="Amiri" w:hAnsi="Amiri" w:eastAsia="Amiri" w:cs="Amiri"/>
          <w:lang w:bidi="ar-SA"/>
          <w:color w:val="111111"/>
          <w:sz w:val="28"/>
          <w:szCs w:val="28"/>
          <w:rtl/>
        </w:rPr>
        <w:t xml:space="preserve">عبد الباقي بن احمد بن ابراهيم رومي -رومي ، عبدالباقي بن احمد</w:t>
      </w:r>
    </w:p>
    <w:p>
      <w:pPr>
        <w:pStyle w:val="BookText"/>
      </w:pPr>
      <w:r>
        <w:rPr>
          <w:rFonts w:ascii="Amiri" w:hAnsi="Amiri" w:eastAsia="Amiri" w:cs="Amiri"/>
          <w:lang w:bidi="ar-SA"/>
          <w:color w:val="111111"/>
          <w:sz w:val="28"/>
          <w:szCs w:val="28"/>
          <w:rtl/>
        </w:rPr>
        <w:t xml:space="preserve">عبد الباقي بن سليمان عمري -فاروقي ،</w:t>
      </w:r>
    </w:p>
    <w:p>
      <w:pPr>
        <w:pStyle w:val="BookText"/>
      </w:pPr>
      <w:r>
        <w:rPr>
          <w:rFonts w:ascii="Amiri" w:hAnsi="Amiri" w:eastAsia="Amiri" w:cs="Amiri"/>
          <w:lang w:bidi="ar-SA"/>
          <w:color w:val="111111"/>
          <w:sz w:val="28"/>
          <w:szCs w:val="28"/>
          <w:rtl/>
        </w:rPr>
        <w:t xml:space="preserve">عبد الباقي بن سليمان</w:t>
      </w:r>
    </w:p>
    <w:p>
      <w:pPr>
        <w:pStyle w:val="BookText"/>
      </w:pPr>
      <w:r>
        <w:rPr>
          <w:rFonts w:ascii="Amiri" w:hAnsi="Amiri" w:eastAsia="Amiri" w:cs="Amiri"/>
          <w:lang w:bidi="ar-SA"/>
          <w:color w:val="111111"/>
          <w:sz w:val="28"/>
          <w:szCs w:val="28"/>
          <w:rtl/>
        </w:rPr>
        <w:t xml:space="preserve">عبد الباقي بن قانع اموي بغدادي- ابن</w:t>
      </w:r>
    </w:p>
    <w:p>
      <w:pPr>
        <w:pStyle w:val="BookText"/>
      </w:pPr>
      <w:r>
        <w:rPr>
          <w:rFonts w:ascii="Amiri" w:hAnsi="Amiri" w:eastAsia="Amiri" w:cs="Amiri"/>
          <w:lang w:bidi="ar-SA"/>
          <w:color w:val="111111"/>
          <w:sz w:val="28"/>
          <w:szCs w:val="28"/>
          <w:rtl/>
        </w:rPr>
        <w:t xml:space="preserve">مرزوق ، عبد الباقي بن قانع</w:t>
      </w:r>
    </w:p>
    <w:p>
      <w:pPr>
        <w:pStyle w:val="BookText"/>
      </w:pPr>
      <w:r>
        <w:rPr>
          <w:rFonts w:ascii="Amiri" w:hAnsi="Amiri" w:eastAsia="Amiri" w:cs="Amiri"/>
          <w:lang w:bidi="ar-SA"/>
          <w:color w:val="111111"/>
          <w:sz w:val="28"/>
          <w:szCs w:val="28"/>
          <w:rtl/>
        </w:rPr>
        <w:t xml:space="preserve">عبد الباقي بن محمّد اسيري زاده- اسيري</w:t>
      </w:r>
    </w:p>
    <w:p>
      <w:pPr>
        <w:pStyle w:val="BookText"/>
      </w:pPr>
      <w:r>
        <w:rPr>
          <w:rFonts w:ascii="Amiri" w:hAnsi="Amiri" w:eastAsia="Amiri" w:cs="Amiri"/>
          <w:lang w:bidi="ar-SA"/>
          <w:color w:val="111111"/>
          <w:sz w:val="28"/>
          <w:szCs w:val="28"/>
          <w:rtl/>
        </w:rPr>
        <w:t xml:space="preserve">زاده ، عبد الباقي بن محمّد</w:t>
      </w:r>
    </w:p>
    <w:p>
      <w:pPr>
        <w:pStyle w:val="BookText"/>
      </w:pPr>
      <w:r>
        <w:rPr>
          <w:rFonts w:ascii="Amiri" w:hAnsi="Amiri" w:eastAsia="Amiri" w:cs="Amiri"/>
          <w:lang w:bidi="ar-SA"/>
          <w:color w:val="111111"/>
          <w:sz w:val="28"/>
          <w:szCs w:val="28"/>
          <w:rtl/>
        </w:rPr>
        <w:t xml:space="preserve">عبد الباقي بن محمّد حاجي- صيرامي ،</w:t>
      </w:r>
    </w:p>
    <w:p>
      <w:pPr>
        <w:pStyle w:val="BookText"/>
      </w:pPr>
      <w:r>
        <w:rPr>
          <w:rFonts w:ascii="Amiri" w:hAnsi="Amiri" w:eastAsia="Amiri" w:cs="Amiri"/>
          <w:lang w:bidi="ar-SA"/>
          <w:color w:val="111111"/>
          <w:sz w:val="28"/>
          <w:szCs w:val="28"/>
          <w:rtl/>
        </w:rPr>
        <w:t xml:space="preserve">عبد الباقي بن محمّد حاجي</w:t>
      </w:r>
    </w:p>
    <w:p>
      <w:pPr>
        <w:pStyle w:val="BookText"/>
      </w:pPr>
      <w:r>
        <w:rPr>
          <w:rFonts w:ascii="Amiri" w:hAnsi="Amiri" w:eastAsia="Amiri" w:cs="Amiri"/>
          <w:lang w:bidi="ar-SA"/>
          <w:color w:val="111111"/>
          <w:sz w:val="28"/>
          <w:szCs w:val="28"/>
          <w:rtl/>
        </w:rPr>
        <w:t xml:space="preserve">عبد الباقي بن محمّد حسين حسني حسيني</w:t>
      </w:r>
    </w:p>
    <w:p>
      <w:pPr>
        <w:pStyle w:val="BookText"/>
      </w:pPr>
      <w:r>
        <w:rPr>
          <w:rFonts w:ascii="Amiri" w:hAnsi="Amiri" w:eastAsia="Amiri" w:cs="Amiri"/>
          <w:lang w:bidi="ar-SA"/>
          <w:color w:val="111111"/>
          <w:sz w:val="28"/>
          <w:szCs w:val="28"/>
          <w:rtl/>
        </w:rPr>
        <w:t xml:space="preserve">خاتون آبادي - خاتون آبادي ، عبدالباقي بن</w:t>
      </w:r>
    </w:p>
    <w:p>
      <w:pPr>
        <w:pStyle w:val="BookText"/>
      </w:pPr>
      <w:r>
        <w:rPr>
          <w:rFonts w:ascii="Amiri" w:hAnsi="Amiri" w:eastAsia="Amiri" w:cs="Amiri"/>
          <w:lang w:bidi="ar-SA"/>
          <w:color w:val="111111"/>
          <w:sz w:val="28"/>
          <w:szCs w:val="28"/>
          <w:rtl/>
        </w:rPr>
        <w:t xml:space="preserve">محمّد حسين</w:t>
      </w:r>
    </w:p>
    <w:p>
      <w:pPr>
        <w:pStyle w:val="BookText"/>
      </w:pPr>
      <w:r>
        <w:rPr>
          <w:rFonts w:ascii="IRNazanin" w:hAnsi="IRNazanin" w:eastAsia="IRNazanin" w:cs="IRNazanin"/>
          <w:lang w:bidi="fa-IR"/>
          <w:color w:val="111111"/>
          <w:sz w:val="28"/>
          <w:szCs w:val="28"/>
          <w:rtl/>
        </w:rPr>
        <w:t xml:space="preserve">عبد الباقي بن محمّد حسین خاتون آبادي - خاتون آبادي ، عبدالباقي بن محمّد حسين</w:t>
      </w:r>
    </w:p>
    <w:p>
      <w:pPr>
        <w:pStyle w:val="BookText"/>
      </w:pPr>
      <w:r>
        <w:rPr>
          <w:rFonts w:ascii="Amiri" w:hAnsi="Amiri" w:eastAsia="Amiri" w:cs="Amiri"/>
          <w:lang w:bidi="ar-SA"/>
          <w:color w:val="111111"/>
          <w:sz w:val="28"/>
          <w:szCs w:val="28"/>
          <w:rtl/>
        </w:rPr>
        <w:t xml:space="preserve">عبد الباقي بن محمود آلوسي- آلوسي ،</w:t>
      </w:r>
    </w:p>
    <w:p>
      <w:pPr>
        <w:pStyle w:val="BookText"/>
      </w:pPr>
      <w:r>
        <w:rPr>
          <w:rFonts w:ascii="Amiri" w:hAnsi="Amiri" w:eastAsia="Amiri" w:cs="Amiri"/>
          <w:lang w:bidi="ar-SA"/>
          <w:color w:val="111111"/>
          <w:sz w:val="28"/>
          <w:szCs w:val="28"/>
          <w:rtl/>
        </w:rPr>
        <w:t xml:space="preserve">عبد الباقي بن محمود</w:t>
      </w:r>
    </w:p>
    <w:p>
      <w:pPr>
        <w:pStyle w:val="BookText"/>
      </w:pPr>
      <w:r>
        <w:rPr>
          <w:rFonts w:ascii="Amiri" w:hAnsi="Amiri" w:eastAsia="Amiri" w:cs="Amiri"/>
          <w:lang w:bidi="ar-SA"/>
          <w:color w:val="111111"/>
          <w:sz w:val="28"/>
          <w:szCs w:val="28"/>
          <w:rtl/>
        </w:rPr>
        <w:t xml:space="preserve">عبد الباقي فاروقي عمري- فاروقي</w:t>
      </w:r>
    </w:p>
    <w:p>
      <w:pPr>
        <w:pStyle w:val="BookText"/>
      </w:pPr>
      <w:r>
        <w:rPr>
          <w:rFonts w:ascii="Amiri" w:hAnsi="Amiri" w:eastAsia="Amiri" w:cs="Amiri"/>
          <w:lang w:bidi="ar-SA"/>
          <w:color w:val="111111"/>
          <w:sz w:val="28"/>
          <w:szCs w:val="28"/>
          <w:rtl/>
        </w:rPr>
        <w:t xml:space="preserve">عبد الباقي بن سليمان</w:t>
      </w:r>
    </w:p>
    <w:p>
      <w:pPr>
        <w:pStyle w:val="Heading2"/>
      </w:pPr>
      <w:bookmarkStart w:id="5785" w:name="_Toc4887"/>
      <w:r>
        <w:t>عبد الباقي ، محمّد افضل</w:t>
      </w:r>
      <w:bookmarkEnd w:id="5785"/>
    </w:p>
    <w:p>
      <w:pPr>
        <w:pStyle w:val="BookText"/>
      </w:pPr>
      <w:r>
        <w:rPr>
          <w:rFonts w:ascii="Amiri" w:hAnsi="Amiri" w:eastAsia="Amiri" w:cs="Amiri"/>
          <w:lang w:bidi="ar-SA"/>
          <w:color w:val="111111"/>
          <w:sz w:val="28"/>
          <w:szCs w:val="28"/>
          <w:rtl/>
        </w:rPr>
        <w:t xml:space="preserve">تلخيص اسباب انقطاع العلاقات</w:t>
      </w:r>
    </w:p>
    <w:p>
      <w:pPr>
        <w:pStyle w:val="BookText"/>
      </w:pPr>
      <w:r>
        <w:rPr>
          <w:rFonts w:ascii="Amiri" w:hAnsi="Amiri" w:eastAsia="Amiri" w:cs="Amiri"/>
          <w:lang w:bidi="ar-SA"/>
          <w:color w:val="111111"/>
          <w:sz w:val="28"/>
          <w:szCs w:val="28"/>
          <w:rtl/>
        </w:rPr>
        <w:t xml:space="preserve">الودية بين بريطانيا و الدولة العثمانية</w:t>
      </w:r>
    </w:p>
    <w:p>
      <w:pPr>
        <w:pStyle w:val="BookText"/>
      </w:pPr>
      <w:r>
        <w:rPr>
          <w:rFonts w:ascii="IRNazanin" w:hAnsi="IRNazanin" w:eastAsia="IRNazanin" w:cs="IRNazanin"/>
          <w:lang w:bidi="fa-IR"/>
          <w:color w:val="111111"/>
          <w:sz w:val="28"/>
          <w:szCs w:val="28"/>
          <w:rtl/>
        </w:rPr>
        <w:t xml:space="preserve">ج 4، ص 835.</w:t>
      </w:r>
    </w:p>
    <w:p>
      <w:pPr>
        <w:pStyle w:val="Heading2"/>
      </w:pPr>
      <w:bookmarkStart w:id="5786" w:name="_Toc4888"/>
      <w:r>
        <w:t>عبدالبر</w:t>
      </w:r>
      <w:bookmarkEnd w:id="5786"/>
    </w:p>
    <w:p>
      <w:pPr>
        <w:pStyle w:val="BookText"/>
      </w:pPr>
      <w:r>
        <w:rPr>
          <w:rFonts w:ascii="Amiri" w:hAnsi="Amiri" w:eastAsia="Amiri" w:cs="Amiri"/>
          <w:lang w:bidi="ar-SA"/>
          <w:color w:val="111111"/>
          <w:sz w:val="28"/>
          <w:szCs w:val="28"/>
          <w:rtl/>
        </w:rPr>
        <w:t xml:space="preserve">البيان بدليل القرآن، ج 3، ص 463.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28" w:name="pg7742_70721"/>
    <w:bookmarkEnd w:id="728"/>
    <w:p>
      <w:pPr>
        <w:pStyle w:val="BookText"/>
      </w:pPr>
      <w:r>
        <w:rPr>
          <w:rFonts w:ascii="Amiri" w:hAnsi="Amiri" w:eastAsia="Amiri" w:cs="Amiri"/>
          <w:lang w:bidi="ar-SA"/>
          <w:color w:val="111111"/>
          <w:sz w:val="28"/>
          <w:szCs w:val="28"/>
          <w:rtl/>
        </w:rPr>
        <w:t xml:space="preserve">عبد البر بن عبد القادر فيومي- فيومي</w:t>
      </w:r>
    </w:p>
    <w:p>
      <w:pPr>
        <w:pStyle w:val="BookText"/>
      </w:pPr>
      <w:r>
        <w:rPr>
          <w:rFonts w:ascii="IRNazanin" w:hAnsi="IRNazanin" w:eastAsia="IRNazanin" w:cs="IRNazanin"/>
          <w:lang w:bidi="fa-IR"/>
          <w:color w:val="111111"/>
          <w:sz w:val="28"/>
          <w:szCs w:val="28"/>
          <w:rtl/>
        </w:rPr>
        <w:t xml:space="preserve">عبد البر بن عبد القادر</w:t>
      </w:r>
    </w:p>
    <w:p>
      <w:pPr>
        <w:pStyle w:val="BookText"/>
      </w:pPr>
      <w:r>
        <w:rPr>
          <w:rFonts w:ascii="IRNazanin" w:hAnsi="IRNazanin" w:eastAsia="IRNazanin" w:cs="IRNazanin"/>
          <w:lang w:bidi="fa-IR"/>
          <w:color w:val="111111"/>
          <w:sz w:val="28"/>
          <w:szCs w:val="28"/>
          <w:rtl/>
        </w:rPr>
        <w:t xml:space="preserve">عبد البر بن محمّد بن حارث -ابن حارث ،</w:t>
      </w:r>
    </w:p>
    <w:p>
      <w:pPr>
        <w:pStyle w:val="BookText"/>
      </w:pPr>
      <w:r>
        <w:rPr>
          <w:rFonts w:ascii="IRNazanin" w:hAnsi="IRNazanin" w:eastAsia="IRNazanin" w:cs="IRNazanin"/>
          <w:lang w:bidi="fa-IR"/>
          <w:color w:val="111111"/>
          <w:sz w:val="28"/>
          <w:szCs w:val="28"/>
          <w:rtl/>
        </w:rPr>
        <w:t xml:space="preserve">عبدالبر بن محمّد</w:t>
      </w:r>
    </w:p>
    <w:p>
      <w:pPr>
        <w:pStyle w:val="BookText"/>
      </w:pPr>
      <w:r>
        <w:rPr>
          <w:rFonts w:ascii="Amiri" w:hAnsi="Amiri" w:eastAsia="Amiri" w:cs="Amiri"/>
          <w:lang w:bidi="ar-SA"/>
          <w:color w:val="111111"/>
          <w:sz w:val="28"/>
          <w:szCs w:val="28"/>
          <w:rtl/>
        </w:rPr>
        <w:t xml:space="preserve">عبدالبر بن محمّد حلبي -ابن شحنه ،</w:t>
      </w:r>
    </w:p>
    <w:p>
      <w:pPr>
        <w:pStyle w:val="BookText"/>
      </w:pPr>
      <w:r>
        <w:rPr>
          <w:rFonts w:ascii="IRNazanin" w:hAnsi="IRNazanin" w:eastAsia="IRNazanin" w:cs="IRNazanin"/>
          <w:lang w:bidi="fa-IR"/>
          <w:color w:val="111111"/>
          <w:sz w:val="28"/>
          <w:szCs w:val="28"/>
          <w:rtl/>
        </w:rPr>
        <w:t xml:space="preserve">عبدالبر بن محمّد</w:t>
      </w:r>
    </w:p>
    <w:p>
      <w:pPr>
        <w:pStyle w:val="Heading2"/>
      </w:pPr>
      <w:bookmarkStart w:id="5787" w:name="_Toc4889"/>
      <w:r>
        <w:t>عبد البسطامي ، جمال الدین ابوالمحاسن</w:t>
      </w:r>
      <w:bookmarkEnd w:id="5787"/>
    </w:p>
    <w:p>
      <w:pPr>
        <w:pStyle w:val="BookText"/>
      </w:pPr>
      <w:r>
        <w:rPr>
          <w:rFonts w:ascii="Amiri" w:hAnsi="Amiri" w:eastAsia="Amiri" w:cs="Amiri"/>
          <w:lang w:bidi="ar-SA"/>
          <w:color w:val="111111"/>
          <w:sz w:val="28"/>
          <w:szCs w:val="28"/>
          <w:rtl/>
        </w:rPr>
        <w:t xml:space="preserve">بن حسنليه</w:t>
      </w:r>
    </w:p>
    <w:p>
      <w:pPr>
        <w:pStyle w:val="BookText"/>
      </w:pPr>
      <w:r>
        <w:rPr>
          <w:rFonts w:ascii="Amiri" w:hAnsi="Amiri" w:eastAsia="Amiri" w:cs="Amiri"/>
          <w:lang w:bidi="ar-SA"/>
          <w:color w:val="111111"/>
          <w:sz w:val="28"/>
          <w:szCs w:val="28"/>
          <w:rtl/>
        </w:rPr>
        <w:t xml:space="preserve">1.شرح بيتين لابن عربي (رسالة في)</w:t>
      </w:r>
    </w:p>
    <w:p>
      <w:pPr>
        <w:pStyle w:val="BookText"/>
      </w:pPr>
      <w:r>
        <w:rPr>
          <w:rFonts w:ascii="IRNazanin" w:hAnsi="IRNazanin" w:eastAsia="IRNazanin" w:cs="IRNazanin"/>
          <w:lang w:bidi="fa-IR"/>
          <w:color w:val="111111"/>
          <w:sz w:val="28"/>
          <w:szCs w:val="28"/>
          <w:rtl/>
        </w:rPr>
        <w:t xml:space="preserve">ج 9، ص 296 .</w:t>
      </w:r>
    </w:p>
    <w:p>
      <w:pPr>
        <w:pStyle w:val="BookText"/>
      </w:pPr>
      <w:r>
        <w:rPr>
          <w:rFonts w:ascii="Amiri" w:hAnsi="Amiri" w:eastAsia="Amiri" w:cs="Amiri"/>
          <w:lang w:bidi="ar-SA"/>
          <w:color w:val="111111"/>
          <w:sz w:val="28"/>
          <w:szCs w:val="28"/>
          <w:rtl/>
        </w:rPr>
        <w:t xml:space="preserve">2 .شرح عروض الأندلسي، ج9، ص 690.</w:t>
      </w:r>
    </w:p>
    <w:p>
      <w:pPr>
        <w:pStyle w:val="BookText"/>
      </w:pPr>
      <w:r>
        <w:rPr>
          <w:rFonts w:ascii="IRNazanin" w:hAnsi="IRNazanin" w:eastAsia="IRNazanin" w:cs="IRNazanin"/>
          <w:lang w:bidi="fa-IR"/>
          <w:color w:val="111111"/>
          <w:sz w:val="28"/>
          <w:szCs w:val="28"/>
          <w:rtl/>
        </w:rPr>
        <w:t xml:space="preserve">عبد البقاء بن بهاءالدین مخدوم اعظم -كاساني ، ابوالبقاء بن بهاء الدين</w:t>
      </w:r>
    </w:p>
    <w:p>
      <w:pPr>
        <w:pStyle w:val="Heading2"/>
      </w:pPr>
      <w:bookmarkStart w:id="5788" w:name="_Toc4890"/>
      <w:r>
        <w:t>عبدالجبار احمد ، سليمان بن سليمان</w:t>
      </w:r>
      <w:bookmarkEnd w:id="5788"/>
    </w:p>
    <w:p>
      <w:pPr>
        <w:pStyle w:val="BookText"/>
      </w:pPr>
      <w:r>
        <w:rPr>
          <w:rFonts w:ascii="Amiri" w:hAnsi="Amiri" w:eastAsia="Amiri" w:cs="Amiri"/>
          <w:lang w:bidi="ar-SA"/>
          <w:color w:val="111111"/>
          <w:sz w:val="28"/>
          <w:szCs w:val="28"/>
          <w:rtl/>
        </w:rPr>
        <w:t xml:space="preserve">المواقيت (رسالة في)، ج 15 ، ص 879.</w:t>
      </w:r>
    </w:p>
    <w:p>
      <w:pPr>
        <w:pStyle w:val="BookText"/>
      </w:pPr>
      <w:r>
        <w:rPr>
          <w:rFonts w:ascii="Amiri" w:hAnsi="Amiri" w:eastAsia="Amiri" w:cs="Amiri"/>
          <w:lang w:bidi="ar-SA"/>
          <w:color w:val="111111"/>
          <w:sz w:val="28"/>
          <w:szCs w:val="28"/>
          <w:rtl/>
        </w:rPr>
        <w:t xml:space="preserve">عبد الجبار الهمداني- همداني ، عبد الجبار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عبد الجبار بن ابي بكر صقلي سرقوسي- ابن</w:t>
      </w:r>
    </w:p>
    <w:p>
      <w:pPr>
        <w:pStyle w:val="BookText"/>
      </w:pPr>
      <w:r>
        <w:rPr>
          <w:rFonts w:ascii="Amiri" w:hAnsi="Amiri" w:eastAsia="Amiri" w:cs="Amiri"/>
          <w:lang w:bidi="ar-SA"/>
          <w:color w:val="111111"/>
          <w:sz w:val="28"/>
          <w:szCs w:val="28"/>
          <w:rtl/>
        </w:rPr>
        <w:t xml:space="preserve">حمديس ، عبدالجبار بن ابي بكر</w:t>
      </w:r>
    </w:p>
    <w:p>
      <w:pPr>
        <w:pStyle w:val="BookText"/>
      </w:pPr>
      <w:r>
        <w:rPr>
          <w:rFonts w:ascii="Amiri" w:hAnsi="Amiri" w:eastAsia="Amiri" w:cs="Amiri"/>
          <w:lang w:bidi="ar-SA"/>
          <w:color w:val="111111"/>
          <w:sz w:val="28"/>
          <w:szCs w:val="28"/>
          <w:rtl/>
        </w:rPr>
        <w:t xml:space="preserve">عبد الجبار بن احمد -همداني ، عبدالجبار بن احمد</w:t>
      </w:r>
    </w:p>
    <w:p>
      <w:pPr>
        <w:pStyle w:val="BookText"/>
      </w:pPr>
      <w:r>
        <w:rPr>
          <w:rFonts w:ascii="Amiri" w:hAnsi="Amiri" w:eastAsia="Amiri" w:cs="Amiri"/>
          <w:lang w:bidi="ar-SA"/>
          <w:color w:val="111111"/>
          <w:sz w:val="28"/>
          <w:szCs w:val="28"/>
          <w:rtl/>
        </w:rPr>
        <w:t xml:space="preserve">عبد الجبار حمديس- ابن حمديس ،</w:t>
      </w:r>
    </w:p>
    <w:p>
      <w:pPr>
        <w:pStyle w:val="BookText"/>
      </w:pPr>
      <w:r>
        <w:rPr>
          <w:rFonts w:ascii="Amiri" w:hAnsi="Amiri" w:eastAsia="Amiri" w:cs="Amiri"/>
          <w:lang w:bidi="ar-SA"/>
          <w:color w:val="111111"/>
          <w:sz w:val="28"/>
          <w:szCs w:val="28"/>
          <w:rtl/>
        </w:rPr>
        <w:t xml:space="preserve">عبدالجبار بن ابي بكر</w:t>
      </w:r>
    </w:p>
    <w:p>
      <w:pPr>
        <w:pStyle w:val="BookText"/>
      </w:pPr>
      <w:r>
        <w:rPr>
          <w:rFonts w:ascii="Amiri" w:hAnsi="Amiri" w:eastAsia="Amiri" w:cs="Amiri"/>
          <w:lang w:bidi="ar-SA"/>
          <w:color w:val="111111"/>
          <w:sz w:val="28"/>
          <w:szCs w:val="28"/>
          <w:rtl/>
        </w:rPr>
        <w:t xml:space="preserve">عبدالجبار خجندي- خجندي ، عبد الجبار</w:t>
      </w:r>
    </w:p>
    <w:p>
      <w:pPr>
        <w:pStyle w:val="Heading2"/>
      </w:pPr>
      <w:bookmarkStart w:id="5789" w:name="_Toc4891"/>
      <w:r>
        <w:t>عبد الجبار عبدالرحمن</w:t>
      </w:r>
      <w:bookmarkEnd w:id="5789"/>
    </w:p>
    <w:p>
      <w:pPr>
        <w:pStyle w:val="BookText"/>
      </w:pPr>
      <w:r>
        <w:rPr>
          <w:rFonts w:ascii="Amiri" w:hAnsi="Amiri" w:eastAsia="Amiri" w:cs="Amiri"/>
          <w:lang w:bidi="ar-SA"/>
          <w:color w:val="111111"/>
          <w:sz w:val="28"/>
          <w:szCs w:val="28"/>
          <w:rtl/>
        </w:rPr>
        <w:t xml:space="preserve">في مكتبة جامعة يوتا الامريكية، ج 12،</w:t>
      </w:r>
    </w:p>
    <w:p>
      <w:pPr>
        <w:pStyle w:val="BookText"/>
      </w:pPr>
      <w:r>
        <w:rPr>
          <w:rFonts w:ascii="IRNazanin" w:hAnsi="IRNazanin" w:eastAsia="IRNazanin" w:cs="IRNazanin"/>
          <w:lang w:bidi="fa-IR"/>
          <w:color w:val="111111"/>
          <w:sz w:val="28"/>
          <w:szCs w:val="28"/>
          <w:rtl/>
        </w:rPr>
        <w:t xml:space="preserve">ص 319.</w:t>
      </w:r>
    </w:p>
    <w:p>
      <w:pPr>
        <w:pStyle w:val="Heading2"/>
      </w:pPr>
      <w:bookmarkStart w:id="5790" w:name="_Toc4892"/>
      <w:r>
        <w:t>عبد الجبار ، علي بن احمد</w:t>
      </w:r>
      <w:bookmarkEnd w:id="5790"/>
    </w:p>
    <w:p>
      <w:pPr>
        <w:pStyle w:val="BookText"/>
      </w:pPr>
      <w:r>
        <w:rPr>
          <w:rFonts w:ascii="Amiri" w:hAnsi="Amiri" w:eastAsia="Amiri" w:cs="Amiri"/>
          <w:lang w:bidi="ar-SA"/>
          <w:color w:val="111111"/>
          <w:sz w:val="28"/>
          <w:szCs w:val="28"/>
          <w:rtl/>
        </w:rPr>
        <w:t xml:space="preserve">الأصول الخمسة (منظومة في)، ج2،</w:t>
      </w:r>
    </w:p>
    <w:p>
      <w:pPr>
        <w:pStyle w:val="BookText"/>
      </w:pPr>
      <w:r>
        <w:rPr>
          <w:rFonts w:ascii="IRNazanin" w:hAnsi="IRNazanin" w:eastAsia="IRNazanin" w:cs="IRNazanin"/>
          <w:lang w:bidi="fa-IR"/>
          <w:color w:val="111111"/>
          <w:sz w:val="28"/>
          <w:szCs w:val="28"/>
          <w:rtl/>
        </w:rPr>
        <w:t xml:space="preserve">ص 409.</w:t>
      </w:r>
    </w:p>
    <w:p>
      <w:pPr>
        <w:pStyle w:val="Heading2"/>
      </w:pPr>
      <w:bookmarkStart w:id="5791" w:name="_Toc4893"/>
      <w:r>
        <w:t>عبد الجليل</w:t>
      </w:r>
      <w:bookmarkEnd w:id="5791"/>
    </w:p>
    <w:p>
      <w:pPr>
        <w:pStyle w:val="BookText"/>
      </w:pPr>
      <w:r>
        <w:rPr>
          <w:rFonts w:ascii="Amiri" w:hAnsi="Amiri" w:eastAsia="Amiri" w:cs="Amiri"/>
          <w:lang w:bidi="ar-SA"/>
          <w:color w:val="111111"/>
          <w:sz w:val="28"/>
          <w:szCs w:val="28"/>
          <w:rtl/>
        </w:rPr>
        <w:t xml:space="preserve">نزهة الاخوان في وقعة بلد المقتول</w:t>
      </w:r>
    </w:p>
    <w:p>
      <w:pPr>
        <w:pStyle w:val="BookText"/>
      </w:pPr>
      <w:r>
        <w:rPr>
          <w:rFonts w:ascii="IRNazanin" w:hAnsi="IRNazanin" w:eastAsia="IRNazanin" w:cs="IRNazanin"/>
          <w:lang w:bidi="fa-IR"/>
          <w:color w:val="111111"/>
          <w:sz w:val="28"/>
          <w:szCs w:val="28"/>
          <w:rtl/>
        </w:rPr>
        <w:t xml:space="preserve">العطشان، ج 16، ص 216.</w:t>
      </w:r>
    </w:p>
    <w:p>
      <w:pPr>
        <w:pStyle w:val="BookText"/>
      </w:pPr>
      <w:r>
        <w:rPr>
          <w:rFonts w:ascii="Amiri" w:hAnsi="Amiri" w:eastAsia="Amiri" w:cs="Amiri"/>
          <w:lang w:bidi="ar-SA"/>
          <w:color w:val="111111"/>
          <w:sz w:val="28"/>
          <w:szCs w:val="28"/>
          <w:rtl/>
        </w:rPr>
        <w:t xml:space="preserve">عبد الجليل بن احمد حسيني</w:t>
      </w:r>
    </w:p>
    <w:p>
      <w:pPr>
        <w:pStyle w:val="BookText"/>
      </w:pPr>
      <w:r>
        <w:rPr>
          <w:rFonts w:ascii="Amiri" w:hAnsi="Amiri" w:eastAsia="Amiri" w:cs="Amiri"/>
          <w:lang w:bidi="ar-SA"/>
          <w:color w:val="111111"/>
          <w:sz w:val="28"/>
          <w:szCs w:val="28"/>
          <w:rtl/>
        </w:rPr>
        <w:t xml:space="preserve">قاري -حسيني قاري ، عبدالجليل بن احمد</w:t>
      </w:r>
    </w:p>
    <w:p>
      <w:pPr>
        <w:pStyle w:val="Heading2"/>
      </w:pPr>
      <w:bookmarkStart w:id="5792" w:name="_Toc4894"/>
      <w:r>
        <w:t>عبد الجليل بن عبد الرحمن</w:t>
      </w:r>
      <w:bookmarkEnd w:id="5792"/>
    </w:p>
    <w:p>
      <w:pPr>
        <w:pStyle w:val="BookText"/>
      </w:pPr>
      <w:r>
        <w:rPr>
          <w:rFonts w:ascii="Amiri" w:hAnsi="Amiri" w:eastAsia="Amiri" w:cs="Amiri"/>
          <w:lang w:bidi="ar-SA"/>
          <w:color w:val="111111"/>
          <w:sz w:val="28"/>
          <w:szCs w:val="28"/>
          <w:rtl/>
        </w:rPr>
        <w:t xml:space="preserve">مختصر في السماع، ج 14، ص 214.</w:t>
      </w:r>
    </w:p>
    <w:p>
      <w:pPr>
        <w:pStyle w:val="BookText"/>
      </w:pPr>
      <w:r>
        <w:rPr>
          <w:rFonts w:ascii="Amiri" w:hAnsi="Amiri" w:eastAsia="Amiri" w:cs="Amiri"/>
          <w:lang w:bidi="ar-SA"/>
          <w:color w:val="111111"/>
          <w:sz w:val="28"/>
          <w:szCs w:val="28"/>
          <w:rtl/>
        </w:rPr>
        <w:t xml:space="preserve">عبد الجليل بن عبد السلام برادة اليمني -برادة ، عبد الجليل بن عبد السلام</w:t>
      </w:r>
    </w:p>
    <w:p>
      <w:pPr>
        <w:pStyle w:val="BookText"/>
      </w:pPr>
      <w:r>
        <w:rPr>
          <w:rFonts w:ascii="Amiri" w:hAnsi="Amiri" w:eastAsia="Amiri" w:cs="Amiri"/>
          <w:lang w:bidi="ar-SA"/>
          <w:color w:val="111111"/>
          <w:sz w:val="28"/>
          <w:szCs w:val="28"/>
          <w:rtl/>
        </w:rPr>
        <w:t xml:space="preserve">عبد الجليل بن عبدالمواهب دمشقي- دمشقي ، عبدالجليل بن عبدالمواهب</w:t>
      </w:r>
    </w:p>
    <w:p>
      <w:pPr>
        <w:pStyle w:val="BookText"/>
      </w:pPr>
      <w:r>
        <w:rPr>
          <w:rFonts w:ascii="Amiri" w:hAnsi="Amiri" w:eastAsia="Amiri" w:cs="Amiri"/>
          <w:lang w:bidi="ar-SA"/>
          <w:color w:val="111111"/>
          <w:sz w:val="28"/>
          <w:szCs w:val="28"/>
          <w:rtl/>
        </w:rPr>
        <w:t xml:space="preserve">عبد الجليل بن عبد الهادي عمري- ابن عبدالهادي ، عبد الجليل بن محمّد</w:t>
      </w:r>
    </w:p>
    <w:p>
      <w:pPr>
        <w:pStyle w:val="BookText"/>
      </w:pPr>
      <w:r>
        <w:rPr>
          <w:rFonts w:ascii="Amiri" w:hAnsi="Amiri" w:eastAsia="Amiri" w:cs="Amiri"/>
          <w:lang w:bidi="ar-SA"/>
          <w:color w:val="111111"/>
          <w:sz w:val="28"/>
          <w:szCs w:val="28"/>
          <w:rtl/>
        </w:rPr>
        <w:t xml:space="preserve">عبد الجليل بن محمّد ابو المواهب</w:t>
      </w:r>
    </w:p>
    <w:p>
      <w:pPr>
        <w:pStyle w:val="BookText"/>
      </w:pPr>
      <w:r>
        <w:rPr>
          <w:rFonts w:ascii="Amiri" w:hAnsi="Amiri" w:eastAsia="Amiri" w:cs="Amiri"/>
          <w:lang w:bidi="ar-SA"/>
          <w:color w:val="111111"/>
          <w:sz w:val="28"/>
          <w:szCs w:val="28"/>
          <w:rtl/>
        </w:rPr>
        <w:t xml:space="preserve">بعلي- بعلي ، عبدالجليل بن محمّد</w:t>
      </w:r>
    </w:p>
    <w:p>
      <w:pPr>
        <w:pStyle w:val="BookText"/>
      </w:pPr>
      <w:r>
        <w:rPr>
          <w:rFonts w:ascii="Amiri" w:hAnsi="Amiri" w:eastAsia="Amiri" w:cs="Amiri"/>
          <w:lang w:bidi="ar-SA"/>
          <w:color w:val="111111"/>
          <w:sz w:val="28"/>
          <w:szCs w:val="28"/>
          <w:rtl/>
        </w:rPr>
        <w:t xml:space="preserve">عبد الجليل بن محمّد بعلي دمشقي- بعلي</w:t>
      </w:r>
    </w:p>
    <w:p>
      <w:pPr>
        <w:pStyle w:val="BookText"/>
      </w:pPr>
      <w:r>
        <w:rPr>
          <w:rFonts w:ascii="Amiri" w:hAnsi="Amiri" w:eastAsia="Amiri" w:cs="Amiri"/>
          <w:lang w:bidi="ar-SA"/>
          <w:color w:val="111111"/>
          <w:sz w:val="28"/>
          <w:szCs w:val="28"/>
          <w:rtl/>
        </w:rPr>
        <w:t xml:space="preserve">عبد الجليل بن محمّد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29" w:name="pg7742_70722"/>
    <w:bookmarkEnd w:id="729"/>
    <w:p>
      <w:pPr>
        <w:pStyle w:val="BookText"/>
      </w:pPr>
      <w:r>
        <w:rPr>
          <w:rFonts w:ascii="IRNazanin" w:hAnsi="IRNazanin" w:eastAsia="IRNazanin" w:cs="IRNazanin"/>
          <w:lang w:bidi="fa-IR"/>
          <w:color w:val="111111"/>
          <w:sz w:val="28"/>
          <w:szCs w:val="28"/>
          <w:rtl/>
        </w:rPr>
        <w:t xml:space="preserve">عبدالجليل بن محمّد بن کوشاه- ابن</w:t>
      </w:r>
    </w:p>
    <w:p>
      <w:pPr>
        <w:pStyle w:val="BookText"/>
      </w:pPr>
      <w:r>
        <w:rPr>
          <w:rFonts w:ascii="IRNazanin" w:hAnsi="IRNazanin" w:eastAsia="IRNazanin" w:cs="IRNazanin"/>
          <w:lang w:bidi="fa-IR"/>
          <w:color w:val="111111"/>
          <w:sz w:val="28"/>
          <w:szCs w:val="28"/>
          <w:rtl/>
        </w:rPr>
        <w:t xml:space="preserve">کوشاه ، عبد الجليل بن محمّد</w:t>
      </w:r>
    </w:p>
    <w:p>
      <w:pPr>
        <w:pStyle w:val="BookText"/>
      </w:pPr>
      <w:r>
        <w:rPr>
          <w:rFonts w:ascii="Amiri" w:hAnsi="Amiri" w:eastAsia="Amiri" w:cs="Amiri"/>
          <w:lang w:bidi="ar-SA"/>
          <w:color w:val="111111"/>
          <w:sz w:val="28"/>
          <w:szCs w:val="28"/>
          <w:rtl/>
        </w:rPr>
        <w:t xml:space="preserve">عبد الجليل بن محمّد عمري- ابن</w:t>
      </w:r>
    </w:p>
    <w:p>
      <w:pPr>
        <w:pStyle w:val="BookText"/>
      </w:pPr>
      <w:r>
        <w:rPr>
          <w:rFonts w:ascii="Amiri" w:hAnsi="Amiri" w:eastAsia="Amiri" w:cs="Amiri"/>
          <w:lang w:bidi="ar-SA"/>
          <w:color w:val="111111"/>
          <w:sz w:val="28"/>
          <w:szCs w:val="28"/>
          <w:rtl/>
        </w:rPr>
        <w:t xml:space="preserve">عبدالهادي ، عبد الجليل بن محمد</w:t>
      </w:r>
    </w:p>
    <w:p>
      <w:pPr>
        <w:pStyle w:val="BookText"/>
      </w:pPr>
      <w:r>
        <w:rPr>
          <w:rFonts w:ascii="Amiri" w:hAnsi="Amiri" w:eastAsia="Amiri" w:cs="Amiri"/>
          <w:lang w:bidi="ar-SA"/>
          <w:color w:val="111111"/>
          <w:sz w:val="28"/>
          <w:szCs w:val="28"/>
          <w:rtl/>
        </w:rPr>
        <w:t xml:space="preserve">عبد الجليل بن محمّد مرادي قيرواني- قيرواني، عبدالجليل بن محمّد</w:t>
      </w:r>
    </w:p>
    <w:p>
      <w:pPr>
        <w:pStyle w:val="Heading2"/>
      </w:pPr>
      <w:bookmarkStart w:id="5793" w:name="_Toc4895"/>
      <w:r>
        <w:t>عبد الجليل بن مصطفى</w:t>
      </w:r>
      <w:bookmarkEnd w:id="5793"/>
    </w:p>
    <w:p>
      <w:pPr>
        <w:pStyle w:val="BookText"/>
      </w:pPr>
      <w:r>
        <w:rPr>
          <w:rFonts w:ascii="Amiri" w:hAnsi="Amiri" w:eastAsia="Amiri" w:cs="Amiri"/>
          <w:lang w:bidi="ar-SA"/>
          <w:color w:val="111111"/>
          <w:sz w:val="28"/>
          <w:szCs w:val="28"/>
          <w:rtl/>
        </w:rPr>
        <w:t xml:space="preserve">الفيض الرحماني في التفسير القرآني</w:t>
      </w:r>
    </w:p>
    <w:p>
      <w:pPr>
        <w:pStyle w:val="BookText"/>
      </w:pPr>
      <w:r>
        <w:rPr>
          <w:rFonts w:ascii="IRNazanin" w:hAnsi="IRNazanin" w:eastAsia="IRNazanin" w:cs="IRNazanin"/>
          <w:lang w:bidi="fa-IR"/>
          <w:color w:val="111111"/>
          <w:sz w:val="28"/>
          <w:szCs w:val="28"/>
          <w:rtl/>
        </w:rPr>
        <w:t xml:space="preserve">ج 12، ص309.</w:t>
      </w:r>
    </w:p>
    <w:p>
      <w:pPr>
        <w:pStyle w:val="BookText"/>
      </w:pPr>
      <w:r>
        <w:rPr>
          <w:rFonts w:ascii="Amiri" w:hAnsi="Amiri" w:eastAsia="Amiri" w:cs="Amiri"/>
          <w:lang w:bidi="ar-SA"/>
          <w:color w:val="111111"/>
          <w:sz w:val="28"/>
          <w:szCs w:val="28"/>
          <w:rtl/>
        </w:rPr>
        <w:t xml:space="preserve">عبد الجليل بن ياسين بصري - طباطبائي ،</w:t>
      </w:r>
    </w:p>
    <w:p>
      <w:pPr>
        <w:pStyle w:val="BookText"/>
      </w:pPr>
      <w:r>
        <w:rPr>
          <w:rFonts w:ascii="Amiri" w:hAnsi="Amiri" w:eastAsia="Amiri" w:cs="Amiri"/>
          <w:lang w:bidi="ar-SA"/>
          <w:color w:val="111111"/>
          <w:sz w:val="28"/>
          <w:szCs w:val="28"/>
          <w:rtl/>
        </w:rPr>
        <w:t xml:space="preserve">عبد الجليل بن ياسين</w:t>
      </w:r>
    </w:p>
    <w:p>
      <w:pPr>
        <w:pStyle w:val="BookText"/>
      </w:pPr>
      <w:r>
        <w:rPr>
          <w:rFonts w:ascii="Amiri" w:hAnsi="Amiri" w:eastAsia="Amiri" w:cs="Amiri"/>
          <w:lang w:bidi="ar-SA"/>
          <w:color w:val="111111"/>
          <w:sz w:val="28"/>
          <w:szCs w:val="28"/>
          <w:rtl/>
        </w:rPr>
        <w:t xml:space="preserve">عبد الجميل موصلي شافعي</w:t>
      </w:r>
    </w:p>
    <w:p>
      <w:pPr>
        <w:pStyle w:val="BookText"/>
      </w:pPr>
      <w:r>
        <w:rPr>
          <w:rFonts w:ascii="Amiri" w:hAnsi="Amiri" w:eastAsia="Amiri" w:cs="Amiri"/>
          <w:lang w:bidi="ar-SA"/>
          <w:color w:val="111111"/>
          <w:sz w:val="28"/>
          <w:szCs w:val="28"/>
          <w:rtl/>
        </w:rPr>
        <w:t xml:space="preserve">قادري -موصلي ، عبدالجميل</w:t>
      </w:r>
    </w:p>
    <w:p>
      <w:pPr>
        <w:pStyle w:val="BookText"/>
      </w:pPr>
      <w:r>
        <w:rPr>
          <w:rFonts w:ascii="Amiri" w:hAnsi="Amiri" w:eastAsia="Amiri" w:cs="Amiri"/>
          <w:lang w:bidi="ar-SA"/>
          <w:color w:val="111111"/>
          <w:sz w:val="28"/>
          <w:szCs w:val="28"/>
          <w:rtl/>
        </w:rPr>
        <w:t xml:space="preserve">عبد الجواد بن ابراهيم طريني مالكي</w:t>
      </w:r>
    </w:p>
    <w:p>
      <w:pPr>
        <w:pStyle w:val="BookText"/>
      </w:pPr>
      <w:r>
        <w:rPr>
          <w:rFonts w:ascii="Amiri" w:hAnsi="Amiri" w:eastAsia="Amiri" w:cs="Amiri"/>
          <w:lang w:bidi="ar-SA"/>
          <w:color w:val="111111"/>
          <w:sz w:val="28"/>
          <w:szCs w:val="28"/>
          <w:rtl/>
        </w:rPr>
        <w:t xml:space="preserve">ازهري - طريني ، عبد الجواد بن ابراهيم</w:t>
      </w:r>
    </w:p>
    <w:p>
      <w:pPr>
        <w:pStyle w:val="BookText"/>
      </w:pPr>
      <w:r>
        <w:rPr>
          <w:rFonts w:ascii="Amiri" w:hAnsi="Amiri" w:eastAsia="Amiri" w:cs="Amiri"/>
          <w:lang w:bidi="ar-SA"/>
          <w:color w:val="111111"/>
          <w:sz w:val="28"/>
          <w:szCs w:val="28"/>
          <w:rtl/>
        </w:rPr>
        <w:t xml:space="preserve">عبد الجواد بن عبد الرحيم</w:t>
      </w:r>
    </w:p>
    <w:p>
      <w:pPr>
        <w:pStyle w:val="BookText"/>
      </w:pPr>
      <w:r>
        <w:rPr>
          <w:rFonts w:ascii="Amiri" w:hAnsi="Amiri" w:eastAsia="Amiri" w:cs="Amiri"/>
          <w:lang w:bidi="ar-SA"/>
          <w:color w:val="111111"/>
          <w:sz w:val="28"/>
          <w:szCs w:val="28"/>
          <w:rtl/>
        </w:rPr>
        <w:t xml:space="preserve">اصفهاني- اصفهاني ، عبدالجواد بن عبدالرحيم</w:t>
      </w:r>
    </w:p>
    <w:p>
      <w:pPr>
        <w:pStyle w:val="BookText"/>
      </w:pPr>
      <w:r>
        <w:rPr>
          <w:rFonts w:ascii="Amiri" w:hAnsi="Amiri" w:eastAsia="Amiri" w:cs="Amiri"/>
          <w:lang w:bidi="ar-SA"/>
          <w:color w:val="111111"/>
          <w:sz w:val="28"/>
          <w:szCs w:val="28"/>
          <w:rtl/>
        </w:rPr>
        <w:t xml:space="preserve">عبد الجواد بن محمّد مهدي كرباسي اصفهاني -كرباسي، عبد الجواد بن محمّد</w:t>
      </w:r>
    </w:p>
    <w:p>
      <w:pPr>
        <w:pStyle w:val="BookText"/>
      </w:pPr>
      <w:r>
        <w:rPr>
          <w:rFonts w:ascii="Amiri" w:hAnsi="Amiri" w:eastAsia="Amiri" w:cs="Amiri"/>
          <w:lang w:bidi="ar-SA"/>
          <w:color w:val="111111"/>
          <w:sz w:val="28"/>
          <w:szCs w:val="28"/>
          <w:rtl/>
        </w:rPr>
        <w:t xml:space="preserve">مهدي</w:t>
      </w:r>
    </w:p>
    <w:p>
      <w:pPr>
        <w:pStyle w:val="Heading2"/>
      </w:pPr>
      <w:bookmarkStart w:id="5794" w:name="_Toc4896"/>
      <w:r>
        <w:t>عبد الحسن بن سليمان بن محمّد</w:t>
      </w:r>
      <w:bookmarkEnd w:id="5794"/>
    </w:p>
    <w:p>
      <w:pPr>
        <w:pStyle w:val="BookText"/>
      </w:pPr>
      <w:r>
        <w:rPr>
          <w:rFonts w:ascii="Amiri" w:hAnsi="Amiri" w:eastAsia="Amiri" w:cs="Amiri"/>
          <w:lang w:bidi="ar-SA"/>
          <w:color w:val="111111"/>
          <w:sz w:val="28"/>
          <w:szCs w:val="28"/>
          <w:rtl/>
        </w:rPr>
        <w:t xml:space="preserve">مناصب الائمة الانجاب، ج15، ص510.</w:t>
      </w:r>
    </w:p>
    <w:p>
      <w:pPr>
        <w:pStyle w:val="Heading2"/>
      </w:pPr>
      <w:bookmarkStart w:id="5795" w:name="_Toc4897"/>
      <w:r>
        <w:t>عبد الحسين، قرن 14 ه-</w:t>
      </w:r>
      <w:bookmarkEnd w:id="5795"/>
    </w:p>
    <w:p>
      <w:pPr>
        <w:pStyle w:val="BookText"/>
      </w:pPr>
      <w:r>
        <w:rPr>
          <w:rFonts w:ascii="IRNazanin" w:hAnsi="IRNazanin" w:eastAsia="IRNazanin" w:cs="IRNazanin"/>
          <w:lang w:bidi="fa-IR"/>
          <w:color w:val="111111"/>
          <w:sz w:val="28"/>
          <w:szCs w:val="28"/>
          <w:rtl/>
        </w:rPr>
        <w:t xml:space="preserve">لابل گابریل = جبريل ،زیبا، ج13، ص524.</w:t>
      </w:r>
    </w:p>
    <w:p>
      <w:pPr>
        <w:pStyle w:val="BookText"/>
      </w:pPr>
      <w:r>
        <w:rPr>
          <w:rFonts w:ascii="Amiri" w:hAnsi="Amiri" w:eastAsia="Amiri" w:cs="Amiri"/>
          <w:lang w:bidi="ar-SA"/>
          <w:color w:val="111111"/>
          <w:sz w:val="28"/>
          <w:szCs w:val="28"/>
          <w:rtl/>
        </w:rPr>
        <w:t xml:space="preserve">عبد الحسين ابراهيم العاملي -عاملي</w:t>
      </w:r>
    </w:p>
    <w:p>
      <w:pPr>
        <w:pStyle w:val="BookText"/>
      </w:pPr>
      <w:r>
        <w:rPr>
          <w:rFonts w:ascii="Amiri" w:hAnsi="Amiri" w:eastAsia="Amiri" w:cs="Amiri"/>
          <w:lang w:bidi="ar-SA"/>
          <w:color w:val="111111"/>
          <w:sz w:val="28"/>
          <w:szCs w:val="28"/>
          <w:rtl/>
        </w:rPr>
        <w:t xml:space="preserve">عبد الحسين بن ابراهيم</w:t>
      </w:r>
    </w:p>
    <w:p>
      <w:pPr>
        <w:pStyle w:val="BookText"/>
      </w:pPr>
      <w:r>
        <w:rPr>
          <w:rFonts w:ascii="IRNazanin" w:hAnsi="IRNazanin" w:eastAsia="IRNazanin" w:cs="IRNazanin"/>
          <w:lang w:bidi="fa-IR"/>
          <w:color w:val="111111"/>
          <w:sz w:val="28"/>
          <w:szCs w:val="28"/>
          <w:rtl/>
        </w:rPr>
        <w:t xml:space="preserve">عبد الحسين بن احمد شکر -شکر</w:t>
      </w:r>
    </w:p>
    <w:p>
      <w:pPr>
        <w:pStyle w:val="BookText"/>
      </w:pPr>
      <w:r>
        <w:rPr>
          <w:rFonts w:ascii="Amiri" w:hAnsi="Amiri" w:eastAsia="Amiri" w:cs="Amiri"/>
          <w:lang w:bidi="ar-SA"/>
          <w:color w:val="111111"/>
          <w:sz w:val="28"/>
          <w:szCs w:val="28"/>
          <w:rtl/>
        </w:rPr>
        <w:t xml:space="preserve">عبد الحسين بن احمد</w:t>
      </w:r>
    </w:p>
    <w:p>
      <w:pPr>
        <w:pStyle w:val="BookText"/>
      </w:pPr>
      <w:r>
        <w:rPr>
          <w:rFonts w:ascii="Amiri" w:hAnsi="Amiri" w:eastAsia="Amiri" w:cs="Amiri"/>
          <w:lang w:bidi="ar-SA"/>
          <w:color w:val="111111"/>
          <w:sz w:val="28"/>
          <w:szCs w:val="28"/>
          <w:rtl/>
        </w:rPr>
        <w:t xml:space="preserve">عبد الحسين بن حسن علي كعبي- كعبي</w:t>
      </w:r>
    </w:p>
    <w:p>
      <w:pPr>
        <w:pStyle w:val="BookText"/>
      </w:pPr>
      <w:r>
        <w:rPr>
          <w:rFonts w:ascii="Amiri" w:hAnsi="Amiri" w:eastAsia="Amiri" w:cs="Amiri"/>
          <w:lang w:bidi="ar-SA"/>
          <w:color w:val="111111"/>
          <w:sz w:val="28"/>
          <w:szCs w:val="28"/>
          <w:rtl/>
        </w:rPr>
        <w:t xml:space="preserve">عبد الحسين بن حسن</w:t>
      </w:r>
    </w:p>
    <w:p>
      <w:pPr>
        <w:pStyle w:val="BookText"/>
      </w:pPr>
      <w:r>
        <w:rPr>
          <w:rFonts w:ascii="Amiri" w:hAnsi="Amiri" w:eastAsia="Amiri" w:cs="Amiri"/>
          <w:lang w:bidi="ar-SA"/>
          <w:color w:val="111111"/>
          <w:sz w:val="28"/>
          <w:szCs w:val="28"/>
          <w:rtl/>
        </w:rPr>
        <w:t xml:space="preserve">علي عبد الحسين بن عباس جواهري-جواهري</w:t>
      </w:r>
    </w:p>
    <w:p>
      <w:pPr>
        <w:pStyle w:val="BookText"/>
      </w:pPr>
      <w:r>
        <w:rPr>
          <w:rFonts w:ascii="Amiri" w:hAnsi="Amiri" w:eastAsia="Amiri" w:cs="Amiri"/>
          <w:lang w:bidi="ar-SA"/>
          <w:color w:val="111111"/>
          <w:sz w:val="28"/>
          <w:szCs w:val="28"/>
          <w:rtl/>
        </w:rPr>
        <w:t xml:space="preserve">، عبد الحسين بن عباس</w:t>
      </w:r>
    </w:p>
    <w:p>
      <w:pPr>
        <w:pStyle w:val="BookText"/>
      </w:pPr>
      <w:r>
        <w:rPr>
          <w:rFonts w:ascii="Amiri" w:hAnsi="Amiri" w:eastAsia="Amiri" w:cs="Amiri"/>
          <w:lang w:bidi="ar-SA"/>
          <w:color w:val="111111"/>
          <w:sz w:val="28"/>
          <w:szCs w:val="28"/>
          <w:rtl/>
        </w:rPr>
        <w:t xml:space="preserve">عبد الحسين بن عبدالرحمن</w:t>
      </w:r>
    </w:p>
    <w:p>
      <w:pPr>
        <w:pStyle w:val="BookText"/>
      </w:pPr>
      <w:r>
        <w:rPr>
          <w:rFonts w:ascii="Amiri" w:hAnsi="Amiri" w:eastAsia="Amiri" w:cs="Amiri"/>
          <w:lang w:bidi="ar-SA"/>
          <w:color w:val="111111"/>
          <w:sz w:val="28"/>
          <w:szCs w:val="28"/>
          <w:rtl/>
        </w:rPr>
        <w:t xml:space="preserve">البغدادي - بغدادي ، عبدالحسين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عبد الحسين بن علي الكليدار- كليدار ،</w:t>
      </w:r>
    </w:p>
    <w:p>
      <w:pPr>
        <w:pStyle w:val="BookText"/>
      </w:pPr>
      <w:r>
        <w:rPr>
          <w:rFonts w:ascii="Amiri" w:hAnsi="Amiri" w:eastAsia="Amiri" w:cs="Amiri"/>
          <w:lang w:bidi="ar-SA"/>
          <w:color w:val="111111"/>
          <w:sz w:val="28"/>
          <w:szCs w:val="28"/>
          <w:rtl/>
        </w:rPr>
        <w:t xml:space="preserve">عبد الحسين بن علي</w:t>
      </w:r>
    </w:p>
    <w:p>
      <w:pPr>
        <w:pStyle w:val="BookText"/>
      </w:pPr>
      <w:r>
        <w:rPr>
          <w:rFonts w:ascii="IRNazanin" w:hAnsi="IRNazanin" w:eastAsia="IRNazanin" w:cs="IRNazanin"/>
          <w:lang w:bidi="fa-IR"/>
          <w:color w:val="111111"/>
          <w:sz w:val="28"/>
          <w:szCs w:val="28"/>
          <w:rtl/>
        </w:rPr>
        <w:t xml:space="preserve">عبد الحسين بن علي كليدار زاده -کليدار ،</w:t>
      </w:r>
    </w:p>
    <w:p>
      <w:pPr>
        <w:pStyle w:val="BookText"/>
      </w:pPr>
      <w:r>
        <w:rPr>
          <w:rFonts w:ascii="Amiri" w:hAnsi="Amiri" w:eastAsia="Amiri" w:cs="Amiri"/>
          <w:lang w:bidi="ar-SA"/>
          <w:color w:val="111111"/>
          <w:sz w:val="28"/>
          <w:szCs w:val="28"/>
          <w:rtl/>
        </w:rPr>
        <w:t xml:space="preserve">عبد الحسين بن علي</w:t>
      </w:r>
    </w:p>
    <w:p>
      <w:pPr>
        <w:pStyle w:val="BookText"/>
      </w:pPr>
      <w:r>
        <w:rPr>
          <w:rFonts w:ascii="Amiri" w:hAnsi="Amiri" w:eastAsia="Amiri" w:cs="Amiri"/>
          <w:lang w:bidi="ar-SA"/>
          <w:color w:val="111111"/>
          <w:sz w:val="28"/>
          <w:szCs w:val="28"/>
          <w:rtl/>
        </w:rPr>
        <w:t xml:space="preserve">عبد الحسين بن عمران حويزي -حويزي ،</w:t>
      </w:r>
    </w:p>
    <w:p>
      <w:pPr>
        <w:pStyle w:val="BookText"/>
      </w:pPr>
      <w:r>
        <w:rPr>
          <w:rFonts w:ascii="Amiri" w:hAnsi="Amiri" w:eastAsia="Amiri" w:cs="Amiri"/>
          <w:lang w:bidi="ar-SA"/>
          <w:color w:val="111111"/>
          <w:sz w:val="28"/>
          <w:szCs w:val="28"/>
          <w:rtl/>
        </w:rPr>
        <w:t xml:space="preserve">عبد الحسين بن عمران</w:t>
      </w:r>
    </w:p>
    <w:p>
      <w:pPr>
        <w:pStyle w:val="BookText"/>
      </w:pPr>
      <w:r>
        <w:rPr>
          <w:rFonts w:ascii="Amiri" w:hAnsi="Amiri" w:eastAsia="Amiri" w:cs="Amiri"/>
          <w:lang w:bidi="ar-SA"/>
          <w:color w:val="111111"/>
          <w:sz w:val="28"/>
          <w:szCs w:val="28"/>
          <w:rtl/>
        </w:rPr>
        <w:t xml:space="preserve">عبد الحسين بن قاسم جامعي</w:t>
      </w:r>
    </w:p>
    <w:p>
      <w:pPr>
        <w:pStyle w:val="BookText"/>
      </w:pPr>
      <w:r>
        <w:rPr>
          <w:rFonts w:ascii="Amiri" w:hAnsi="Amiri" w:eastAsia="Amiri" w:cs="Amiri"/>
          <w:lang w:bidi="ar-SA"/>
          <w:color w:val="111111"/>
          <w:sz w:val="28"/>
          <w:szCs w:val="28"/>
          <w:rtl/>
        </w:rPr>
        <w:t xml:space="preserve">عاملي - جامعي ، عبد الحسين بن قاسم</w:t>
      </w:r>
    </w:p>
    <w:p>
      <w:pPr>
        <w:pStyle w:val="BookText"/>
      </w:pPr>
      <w:r>
        <w:rPr>
          <w:rFonts w:ascii="Amiri" w:hAnsi="Amiri" w:eastAsia="Amiri" w:cs="Amiri"/>
          <w:lang w:bidi="ar-SA"/>
          <w:color w:val="111111"/>
          <w:sz w:val="28"/>
          <w:szCs w:val="28"/>
          <w:rtl/>
        </w:rPr>
        <w:t xml:space="preserve">عبد الحسين بن قاسم حلي نجفي- حلي</w:t>
      </w:r>
    </w:p>
    <w:p>
      <w:pPr>
        <w:pStyle w:val="BookText"/>
      </w:pPr>
      <w:r>
        <w:rPr>
          <w:rFonts w:ascii="Amiri" w:hAnsi="Amiri" w:eastAsia="Amiri" w:cs="Amiri"/>
          <w:lang w:bidi="ar-SA"/>
          <w:color w:val="111111"/>
          <w:sz w:val="28"/>
          <w:szCs w:val="28"/>
          <w:rtl/>
        </w:rPr>
        <w:t xml:space="preserve">نجفي ، عبد الحسين بن قاسم</w:t>
      </w:r>
    </w:p>
    <w:p>
      <w:pPr>
        <w:pStyle w:val="BookText"/>
      </w:pPr>
      <w:r>
        <w:rPr>
          <w:rFonts w:ascii="Amiri" w:hAnsi="Amiri" w:eastAsia="Amiri" w:cs="Amiri"/>
          <w:lang w:bidi="ar-SA"/>
          <w:color w:val="111111"/>
          <w:sz w:val="28"/>
          <w:szCs w:val="28"/>
          <w:rtl/>
        </w:rPr>
        <w:t xml:space="preserve">عبد الحسين بن مؤيد الدوله قاجار- قاجار</w:t>
      </w:r>
    </w:p>
    <w:p>
      <w:pPr>
        <w:pStyle w:val="BookText"/>
      </w:pPr>
      <w:r>
        <w:rPr>
          <w:rFonts w:ascii="Amiri" w:hAnsi="Amiri" w:eastAsia="Amiri" w:cs="Amiri"/>
          <w:lang w:bidi="ar-SA"/>
          <w:color w:val="111111"/>
          <w:sz w:val="28"/>
          <w:szCs w:val="28"/>
          <w:rtl/>
        </w:rPr>
        <w:t xml:space="preserve">، عبدالحسين بن مؤيد الدوله</w:t>
      </w:r>
    </w:p>
    <w:p>
      <w:pPr>
        <w:pStyle w:val="Heading2"/>
      </w:pPr>
      <w:bookmarkStart w:id="5796" w:name="_Toc4898"/>
      <w:r>
        <w:t>عبد الحسين بن محمّد</w:t>
      </w:r>
      <w:bookmarkEnd w:id="5796"/>
    </w:p>
    <w:p>
      <w:pPr>
        <w:pStyle w:val="BookText"/>
      </w:pPr>
      <w:r>
        <w:rPr>
          <w:rFonts w:ascii="IRNazanin" w:hAnsi="IRNazanin" w:eastAsia="IRNazanin" w:cs="IRNazanin"/>
          <w:lang w:bidi="fa-IR"/>
          <w:color w:val="111111"/>
          <w:sz w:val="28"/>
          <w:szCs w:val="28"/>
          <w:rtl/>
        </w:rPr>
        <w:t xml:space="preserve">شرح واجب الاعتقاد، ج 10، ص319</w:t>
      </w:r>
    </w:p>
    <w:p>
      <w:pPr>
        <w:pStyle w:val="BookText"/>
      </w:pPr>
      <w:r>
        <w:rPr>
          <w:rFonts w:ascii="IRNazanin" w:hAnsi="IRNazanin" w:eastAsia="IRNazanin" w:cs="IRNazanin"/>
          <w:lang w:bidi="fa-IR"/>
          <w:color w:val="111111"/>
          <w:sz w:val="28"/>
          <w:szCs w:val="28"/>
          <w:rtl/>
        </w:rPr>
        <w:t xml:space="preserve">ص 524 .</w:t>
      </w:r>
    </w:p>
    <w:p>
      <w:pPr>
        <w:pStyle w:val="BookText"/>
      </w:pPr>
      <w:r>
        <w:rPr>
          <w:rFonts w:ascii="Amiri" w:hAnsi="Amiri" w:eastAsia="Amiri" w:cs="Amiri"/>
          <w:lang w:bidi="ar-SA"/>
          <w:color w:val="111111"/>
          <w:sz w:val="28"/>
          <w:szCs w:val="28"/>
          <w:rtl/>
        </w:rPr>
        <w:t xml:space="preserve">عبد الحسين بن محمّد باقر بهبهاني -بهبهاني ، عبد الحسين بن محمّد باقر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30" w:name="pg7742_70723"/>
    <w:bookmarkEnd w:id="730"/>
    <w:p>
      <w:pPr>
        <w:pStyle w:val="BookText"/>
      </w:pPr>
      <w:r>
        <w:rPr>
          <w:rFonts w:ascii="Amiri" w:hAnsi="Amiri" w:eastAsia="Amiri" w:cs="Amiri"/>
          <w:lang w:bidi="ar-SA"/>
          <w:color w:val="111111"/>
          <w:sz w:val="28"/>
          <w:szCs w:val="28"/>
          <w:rtl/>
        </w:rPr>
        <w:t xml:space="preserve">عبد الحسين بن محمّد علي اعسم</w:t>
      </w:r>
    </w:p>
    <w:p>
      <w:pPr>
        <w:pStyle w:val="BookText"/>
      </w:pPr>
      <w:r>
        <w:rPr>
          <w:rFonts w:ascii="Amiri" w:hAnsi="Amiri" w:eastAsia="Amiri" w:cs="Amiri"/>
          <w:lang w:bidi="ar-SA"/>
          <w:color w:val="111111"/>
          <w:sz w:val="28"/>
          <w:szCs w:val="28"/>
          <w:rtl/>
        </w:rPr>
        <w:t xml:space="preserve">نجفي- اعسم نجفي ، عبدالحسين بن محمّد</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عبد الحسين بن محمّدرضا تستري -تستري</w:t>
      </w:r>
    </w:p>
    <w:p>
      <w:pPr>
        <w:pStyle w:val="BookText"/>
      </w:pPr>
      <w:r>
        <w:rPr>
          <w:rFonts w:ascii="Amiri" w:hAnsi="Amiri" w:eastAsia="Amiri" w:cs="Amiri"/>
          <w:lang w:bidi="ar-SA"/>
          <w:color w:val="111111"/>
          <w:sz w:val="28"/>
          <w:szCs w:val="28"/>
          <w:rtl/>
        </w:rPr>
        <w:t xml:space="preserve">، عبد الحسين بن محمّدرضا</w:t>
      </w:r>
    </w:p>
    <w:p>
      <w:pPr>
        <w:pStyle w:val="BookText"/>
      </w:pPr>
      <w:r>
        <w:rPr>
          <w:rFonts w:ascii="IRNazanin" w:hAnsi="IRNazanin" w:eastAsia="IRNazanin" w:cs="IRNazanin"/>
          <w:lang w:bidi="fa-IR"/>
          <w:color w:val="111111"/>
          <w:sz w:val="28"/>
          <w:szCs w:val="28"/>
          <w:rtl/>
        </w:rPr>
        <w:t xml:space="preserve">عبد الحسين بن مصطفی قهرمان -قهرمان</w:t>
      </w:r>
    </w:p>
    <w:p>
      <w:pPr>
        <w:pStyle w:val="BookText"/>
      </w:pPr>
      <w:r>
        <w:rPr>
          <w:rFonts w:ascii="Amiri" w:hAnsi="Amiri" w:eastAsia="Amiri" w:cs="Amiri"/>
          <w:lang w:bidi="ar-SA"/>
          <w:color w:val="111111"/>
          <w:sz w:val="28"/>
          <w:szCs w:val="28"/>
          <w:rtl/>
        </w:rPr>
        <w:t xml:space="preserve">، عبدالحسين بن مصطفى</w:t>
      </w:r>
    </w:p>
    <w:p>
      <w:pPr>
        <w:pStyle w:val="BookText"/>
      </w:pPr>
      <w:r>
        <w:rPr>
          <w:rFonts w:ascii="Amiri" w:hAnsi="Amiri" w:eastAsia="Amiri" w:cs="Amiri"/>
          <w:lang w:bidi="ar-SA"/>
          <w:color w:val="111111"/>
          <w:sz w:val="28"/>
          <w:szCs w:val="28"/>
          <w:rtl/>
        </w:rPr>
        <w:t xml:space="preserve">عبد الحسين بن وحيد بهبهاني- بهبهاني ،</w:t>
      </w:r>
    </w:p>
    <w:p>
      <w:pPr>
        <w:pStyle w:val="BookText"/>
      </w:pPr>
      <w:r>
        <w:rPr>
          <w:rFonts w:ascii="Amiri" w:hAnsi="Amiri" w:eastAsia="Amiri" w:cs="Amiri"/>
          <w:lang w:bidi="ar-SA"/>
          <w:color w:val="111111"/>
          <w:sz w:val="28"/>
          <w:szCs w:val="28"/>
          <w:rtl/>
        </w:rPr>
        <w:t xml:space="preserve">عبد الحسين بن محمّد باقر</w:t>
      </w:r>
    </w:p>
    <w:p>
      <w:pPr>
        <w:pStyle w:val="BookText"/>
      </w:pPr>
      <w:r>
        <w:rPr>
          <w:rFonts w:ascii="Amiri" w:hAnsi="Amiri" w:eastAsia="Amiri" w:cs="Amiri"/>
          <w:lang w:bidi="ar-SA"/>
          <w:color w:val="111111"/>
          <w:sz w:val="28"/>
          <w:szCs w:val="28"/>
          <w:rtl/>
        </w:rPr>
        <w:t xml:space="preserve">عبد الحسين حسن علي كعبي- كعبي</w:t>
      </w:r>
    </w:p>
    <w:p>
      <w:pPr>
        <w:pStyle w:val="BookText"/>
      </w:pPr>
      <w:r>
        <w:rPr>
          <w:rFonts w:ascii="Amiri" w:hAnsi="Amiri" w:eastAsia="Amiri" w:cs="Amiri"/>
          <w:lang w:bidi="ar-SA"/>
          <w:color w:val="111111"/>
          <w:sz w:val="28"/>
          <w:szCs w:val="28"/>
          <w:rtl/>
        </w:rPr>
        <w:t xml:space="preserve">عبدالحسين بن حسن علي</w:t>
      </w:r>
    </w:p>
    <w:p>
      <w:pPr>
        <w:pStyle w:val="BookText"/>
      </w:pPr>
      <w:r>
        <w:rPr>
          <w:rFonts w:ascii="Amiri" w:hAnsi="Amiri" w:eastAsia="Amiri" w:cs="Amiri"/>
          <w:lang w:bidi="ar-SA"/>
          <w:color w:val="111111"/>
          <w:sz w:val="28"/>
          <w:szCs w:val="28"/>
          <w:rtl/>
        </w:rPr>
        <w:t xml:space="preserve">عبد الحسين حسيني آل كمونه- حسيني</w:t>
      </w:r>
    </w:p>
    <w:p>
      <w:pPr>
        <w:pStyle w:val="BookText"/>
      </w:pPr>
      <w:r>
        <w:rPr>
          <w:rFonts w:ascii="Amiri" w:hAnsi="Amiri" w:eastAsia="Amiri" w:cs="Amiri"/>
          <w:lang w:bidi="ar-SA"/>
          <w:color w:val="111111"/>
          <w:sz w:val="28"/>
          <w:szCs w:val="28"/>
          <w:rtl/>
        </w:rPr>
        <w:t xml:space="preserve">آل كمونه ، عبد الحسين بن علي</w:t>
      </w:r>
    </w:p>
    <w:p>
      <w:pPr>
        <w:pStyle w:val="BookText"/>
      </w:pPr>
      <w:r>
        <w:rPr>
          <w:rFonts w:ascii="Amiri" w:hAnsi="Amiri" w:eastAsia="Amiri" w:cs="Amiri"/>
          <w:lang w:bidi="ar-SA"/>
          <w:color w:val="111111"/>
          <w:sz w:val="28"/>
          <w:szCs w:val="28"/>
          <w:rtl/>
        </w:rPr>
        <w:t xml:space="preserve">عبد الحسين رشتي -رشتي ، عبدالحسين بن</w:t>
      </w:r>
    </w:p>
    <w:p>
      <w:pPr>
        <w:pStyle w:val="BookText"/>
      </w:pPr>
      <w:r>
        <w:rPr>
          <w:rFonts w:ascii="Amiri" w:hAnsi="Amiri" w:eastAsia="Amiri" w:cs="Amiri"/>
          <w:lang w:bidi="ar-SA"/>
          <w:color w:val="111111"/>
          <w:sz w:val="28"/>
          <w:szCs w:val="28"/>
          <w:rtl/>
        </w:rPr>
        <w:t xml:space="preserve">عيسى</w:t>
      </w:r>
    </w:p>
    <w:p>
      <w:pPr>
        <w:pStyle w:val="BookText"/>
      </w:pPr>
      <w:r>
        <w:rPr>
          <w:rFonts w:ascii="Amiri" w:hAnsi="Amiri" w:eastAsia="Amiri" w:cs="Amiri"/>
          <w:lang w:bidi="ar-SA"/>
          <w:color w:val="111111"/>
          <w:sz w:val="28"/>
          <w:szCs w:val="28"/>
          <w:rtl/>
        </w:rPr>
        <w:t xml:space="preserve">عبد الحسين شرف الدين- شرف الدين ،</w:t>
      </w:r>
    </w:p>
    <w:p>
      <w:pPr>
        <w:pStyle w:val="BookText"/>
      </w:pPr>
      <w:r>
        <w:rPr>
          <w:rFonts w:ascii="Amiri" w:hAnsi="Amiri" w:eastAsia="Amiri" w:cs="Amiri"/>
          <w:lang w:bidi="ar-SA"/>
          <w:color w:val="111111"/>
          <w:sz w:val="28"/>
          <w:szCs w:val="28"/>
          <w:rtl/>
        </w:rPr>
        <w:t xml:space="preserve">عبد الحسين</w:t>
      </w:r>
    </w:p>
    <w:p>
      <w:pPr>
        <w:pStyle w:val="BookText"/>
      </w:pPr>
      <w:r>
        <w:rPr>
          <w:rFonts w:ascii="Amiri" w:hAnsi="Amiri" w:eastAsia="Amiri" w:cs="Amiri"/>
          <w:lang w:bidi="ar-SA"/>
          <w:color w:val="111111"/>
          <w:sz w:val="28"/>
          <w:szCs w:val="28"/>
          <w:rtl/>
        </w:rPr>
        <w:t xml:space="preserve">عبد الحسين صلاحي -صلاحي ، عبدالحسين</w:t>
      </w:r>
    </w:p>
    <w:p>
      <w:pPr>
        <w:pStyle w:val="BookText"/>
      </w:pPr>
      <w:r>
        <w:rPr>
          <w:rFonts w:ascii="Amiri" w:hAnsi="Amiri" w:eastAsia="Amiri" w:cs="Amiri"/>
          <w:lang w:bidi="ar-SA"/>
          <w:color w:val="111111"/>
          <w:sz w:val="28"/>
          <w:szCs w:val="28"/>
          <w:rtl/>
        </w:rPr>
        <w:t xml:space="preserve">عبد الحسين مولى -مولى ، عبد الحسين</w:t>
      </w:r>
    </w:p>
    <w:p>
      <w:pPr>
        <w:pStyle w:val="BookText"/>
      </w:pPr>
      <w:r>
        <w:rPr>
          <w:rFonts w:ascii="Amiri" w:hAnsi="Amiri" w:eastAsia="Amiri" w:cs="Amiri"/>
          <w:lang w:bidi="ar-SA"/>
          <w:color w:val="111111"/>
          <w:sz w:val="28"/>
          <w:szCs w:val="28"/>
          <w:rtl/>
        </w:rPr>
        <w:t xml:space="preserve">عبد الحق بن سيف الدين دهلوي- دهلوي ، عبد الحق بن سيف الدين</w:t>
      </w:r>
    </w:p>
    <w:p>
      <w:pPr>
        <w:pStyle w:val="BookText"/>
      </w:pPr>
      <w:r>
        <w:rPr>
          <w:rFonts w:ascii="Amiri" w:hAnsi="Amiri" w:eastAsia="Amiri" w:cs="Amiri"/>
          <w:lang w:bidi="ar-SA"/>
          <w:color w:val="111111"/>
          <w:sz w:val="28"/>
          <w:szCs w:val="28"/>
          <w:rtl/>
        </w:rPr>
        <w:t xml:space="preserve">عبد الحق بن عبد الرحمن اشبيلي -ابن</w:t>
      </w:r>
    </w:p>
    <w:p>
      <w:pPr>
        <w:pStyle w:val="BookText"/>
      </w:pPr>
      <w:r>
        <w:rPr>
          <w:rFonts w:ascii="IRNazanin" w:hAnsi="IRNazanin" w:eastAsia="IRNazanin" w:cs="IRNazanin"/>
          <w:lang w:bidi="fa-IR"/>
          <w:color w:val="111111"/>
          <w:sz w:val="28"/>
          <w:szCs w:val="28"/>
          <w:rtl/>
        </w:rPr>
        <w:t xml:space="preserve">خراط ، عبد الحق بن عبدالرحمن</w:t>
      </w:r>
    </w:p>
    <w:p>
      <w:pPr>
        <w:pStyle w:val="BookText"/>
      </w:pPr>
      <w:r>
        <w:rPr>
          <w:rFonts w:ascii="Amiri" w:hAnsi="Amiri" w:eastAsia="Amiri" w:cs="Amiri"/>
          <w:lang w:bidi="ar-SA"/>
          <w:color w:val="111111"/>
          <w:sz w:val="28"/>
          <w:szCs w:val="28"/>
          <w:rtl/>
        </w:rPr>
        <w:t xml:space="preserve">عبد الحق بن غالب محاربي غرناطي -ابن</w:t>
      </w:r>
    </w:p>
    <w:p>
      <w:pPr>
        <w:pStyle w:val="BookText"/>
      </w:pPr>
      <w:r>
        <w:rPr>
          <w:rFonts w:ascii="Amiri" w:hAnsi="Amiri" w:eastAsia="Amiri" w:cs="Amiri"/>
          <w:lang w:bidi="ar-SA"/>
          <w:color w:val="111111"/>
          <w:sz w:val="28"/>
          <w:szCs w:val="28"/>
          <w:rtl/>
        </w:rPr>
        <w:t xml:space="preserve">عطيه ، عبد الحق بن غالب</w:t>
      </w:r>
    </w:p>
    <w:p>
      <w:pPr>
        <w:pStyle w:val="BookText"/>
      </w:pPr>
      <w:r>
        <w:rPr>
          <w:rFonts w:ascii="Amiri" w:hAnsi="Amiri" w:eastAsia="Amiri" w:cs="Amiri"/>
          <w:lang w:bidi="ar-SA"/>
          <w:color w:val="111111"/>
          <w:sz w:val="28"/>
          <w:szCs w:val="28"/>
          <w:rtl/>
        </w:rPr>
        <w:t xml:space="preserve">عبد الحق جنيدي- جنيدي ، عبد الحق</w:t>
      </w:r>
    </w:p>
    <w:p>
      <w:pPr>
        <w:pStyle w:val="BookText"/>
      </w:pPr>
      <w:r>
        <w:rPr>
          <w:rFonts w:ascii="Amiri" w:hAnsi="Amiri" w:eastAsia="Amiri" w:cs="Amiri"/>
          <w:lang w:bidi="ar-SA"/>
          <w:color w:val="111111"/>
          <w:sz w:val="28"/>
          <w:szCs w:val="28"/>
          <w:rtl/>
        </w:rPr>
        <w:t xml:space="preserve">عبد الحق دهلوي ، ابوالمجد عبد الحق بن سيف الدين- دهلوي ، عبد الحق بن سيف الدين</w:t>
      </w:r>
    </w:p>
    <w:p>
      <w:pPr>
        <w:pStyle w:val="BookText"/>
      </w:pPr>
      <w:r>
        <w:rPr>
          <w:rFonts w:ascii="Amiri" w:hAnsi="Amiri" w:eastAsia="Amiri" w:cs="Amiri"/>
          <w:lang w:bidi="ar-SA"/>
          <w:color w:val="111111"/>
          <w:sz w:val="28"/>
          <w:szCs w:val="28"/>
          <w:rtl/>
        </w:rPr>
        <w:t xml:space="preserve">عبد الحق دهلوي ، عبد الحق بن سيف الدين -دهلوي ، عبد الحق بن سيف الدين</w:t>
      </w:r>
    </w:p>
    <w:p>
      <w:pPr>
        <w:pStyle w:val="BookText"/>
      </w:pPr>
      <w:r>
        <w:rPr>
          <w:rFonts w:ascii="Amiri" w:hAnsi="Amiri" w:eastAsia="Amiri" w:cs="Amiri"/>
          <w:lang w:bidi="ar-SA"/>
          <w:color w:val="111111"/>
          <w:sz w:val="28"/>
          <w:szCs w:val="28"/>
          <w:rtl/>
        </w:rPr>
        <w:t xml:space="preserve">عبدالحق شرنبلالي حنفي- شرنبلالي ،</w:t>
      </w:r>
    </w:p>
    <w:p>
      <w:pPr>
        <w:pStyle w:val="BookText"/>
      </w:pPr>
      <w:r>
        <w:rPr>
          <w:rFonts w:ascii="Amiri" w:hAnsi="Amiri" w:eastAsia="Amiri" w:cs="Amiri"/>
          <w:lang w:bidi="ar-SA"/>
          <w:color w:val="111111"/>
          <w:sz w:val="28"/>
          <w:szCs w:val="28"/>
          <w:rtl/>
        </w:rPr>
        <w:t xml:space="preserve">عبد الحي بن عبدالحق</w:t>
      </w:r>
    </w:p>
    <w:p>
      <w:pPr>
        <w:pStyle w:val="BookText"/>
      </w:pPr>
      <w:r>
        <w:rPr>
          <w:rFonts w:ascii="Amiri" w:hAnsi="Amiri" w:eastAsia="Amiri" w:cs="Amiri"/>
          <w:lang w:bidi="ar-SA"/>
          <w:color w:val="111111"/>
          <w:sz w:val="28"/>
          <w:szCs w:val="28"/>
          <w:rtl/>
        </w:rPr>
        <w:t xml:space="preserve">عبد الحكيم السيالكوتي - سيالكوتي ،</w:t>
      </w:r>
    </w:p>
    <w:p>
      <w:pPr>
        <w:pStyle w:val="BookText"/>
      </w:pPr>
      <w:r>
        <w:rPr>
          <w:rFonts w:ascii="Amiri" w:hAnsi="Amiri" w:eastAsia="Amiri" w:cs="Amiri"/>
          <w:lang w:bidi="ar-SA"/>
          <w:color w:val="111111"/>
          <w:sz w:val="28"/>
          <w:szCs w:val="28"/>
          <w:rtl/>
        </w:rPr>
        <w:t xml:space="preserve">عبدالحكيم بن شمس الدين</w:t>
      </w:r>
    </w:p>
    <w:p>
      <w:pPr>
        <w:pStyle w:val="BookText"/>
      </w:pPr>
      <w:r>
        <w:rPr>
          <w:rFonts w:ascii="Amiri" w:hAnsi="Amiri" w:eastAsia="Amiri" w:cs="Amiri"/>
          <w:lang w:bidi="ar-SA"/>
          <w:color w:val="111111"/>
          <w:sz w:val="28"/>
          <w:szCs w:val="28"/>
          <w:rtl/>
        </w:rPr>
        <w:t xml:space="preserve">عبد الحكيم بن شمس الدين سيالكوتي- سيالكوتي ، عبدالحكيم بن شمس</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عبد الحكيم بن شمس الدين كوفي- كوفي ، عبد الحكيم بن شمس الدين</w:t>
      </w:r>
    </w:p>
    <w:p>
      <w:pPr>
        <w:pStyle w:val="BookText"/>
      </w:pPr>
      <w:r>
        <w:rPr>
          <w:rFonts w:ascii="IRNazanin" w:hAnsi="IRNazanin" w:eastAsia="IRNazanin" w:cs="IRNazanin"/>
          <w:lang w:bidi="fa-IR"/>
          <w:color w:val="111111"/>
          <w:sz w:val="28"/>
          <w:szCs w:val="28"/>
          <w:rtl/>
        </w:rPr>
        <w:t xml:space="preserve">عبد الحليم بن احمد الحافي - حافي ، عبدالحلیم بن احمد</w:t>
      </w:r>
    </w:p>
    <w:p>
      <w:pPr>
        <w:pStyle w:val="BookText"/>
      </w:pPr>
      <w:r>
        <w:rPr>
          <w:rFonts w:ascii="Amiri" w:hAnsi="Amiri" w:eastAsia="Amiri" w:cs="Amiri"/>
          <w:lang w:bidi="ar-SA"/>
          <w:color w:val="111111"/>
          <w:sz w:val="28"/>
          <w:szCs w:val="28"/>
          <w:rtl/>
        </w:rPr>
        <w:t xml:space="preserve">عبد الحليم بن احمد حافاتي -حافي</w:t>
      </w:r>
    </w:p>
    <w:p>
      <w:pPr>
        <w:pStyle w:val="BookText"/>
      </w:pPr>
      <w:r>
        <w:rPr>
          <w:rFonts w:ascii="Amiri" w:hAnsi="Amiri" w:eastAsia="Amiri" w:cs="Amiri"/>
          <w:lang w:bidi="ar-SA"/>
          <w:color w:val="111111"/>
          <w:sz w:val="28"/>
          <w:szCs w:val="28"/>
          <w:rtl/>
        </w:rPr>
        <w:t xml:space="preserve">عبد الحليم بن احمد</w:t>
      </w:r>
    </w:p>
    <w:p>
      <w:pPr>
        <w:pStyle w:val="BookText"/>
      </w:pPr>
      <w:r>
        <w:rPr>
          <w:rFonts w:ascii="Amiri" w:hAnsi="Amiri" w:eastAsia="Amiri" w:cs="Amiri"/>
          <w:lang w:bidi="ar-SA"/>
          <w:color w:val="111111"/>
          <w:sz w:val="28"/>
          <w:szCs w:val="28"/>
          <w:rtl/>
        </w:rPr>
        <w:t xml:space="preserve">عبد الحليم بن احمد حافي بغدادي- حافي</w:t>
      </w:r>
    </w:p>
    <w:p>
      <w:pPr>
        <w:pStyle w:val="BookText"/>
      </w:pPr>
      <w:r>
        <w:rPr>
          <w:rFonts w:ascii="IRNazanin" w:hAnsi="IRNazanin" w:eastAsia="IRNazanin" w:cs="IRNazanin"/>
          <w:lang w:bidi="fa-IR"/>
          <w:color w:val="111111"/>
          <w:sz w:val="28"/>
          <w:szCs w:val="28"/>
          <w:rtl/>
        </w:rPr>
        <w:t xml:space="preserve">عبدالحلیم بن احمد</w:t>
      </w:r>
    </w:p>
    <w:p>
      <w:pPr>
        <w:pStyle w:val="BookText"/>
      </w:pPr>
      <w:r>
        <w:rPr>
          <w:rFonts w:ascii="IRNazanin" w:hAnsi="IRNazanin" w:eastAsia="IRNazanin" w:cs="IRNazanin"/>
          <w:lang w:bidi="fa-IR"/>
          <w:color w:val="111111"/>
          <w:sz w:val="28"/>
          <w:szCs w:val="28"/>
          <w:rtl/>
        </w:rPr>
        <w:t xml:space="preserve">عبدالحلیم بن پیشقدم رومي -ابن پیشقدم ، عبد الحلیم بن پیشقدم رومي</w:t>
      </w:r>
    </w:p>
    <w:p>
      <w:pPr>
        <w:pStyle w:val="Heading2"/>
      </w:pPr>
      <w:bookmarkStart w:id="5797" w:name="_Toc4899"/>
      <w:r>
        <w:t>عبدالحليم بن عبدالله قرن 11 ه-</w:t>
      </w:r>
      <w:bookmarkEnd w:id="5797"/>
    </w:p>
    <w:p>
      <w:pPr>
        <w:pStyle w:val="BookText"/>
      </w:pPr>
      <w:r>
        <w:rPr>
          <w:rFonts w:ascii="IRNazanin" w:hAnsi="IRNazanin" w:eastAsia="IRNazanin" w:cs="IRNazanin"/>
          <w:lang w:bidi="fa-IR"/>
          <w:color w:val="111111"/>
          <w:sz w:val="28"/>
          <w:szCs w:val="28"/>
          <w:rtl/>
        </w:rPr>
        <w:t xml:space="preserve">مجمع البحار = شرح ملتقى الابحر</w:t>
      </w:r>
    </w:p>
    <w:p>
      <w:pPr>
        <w:pStyle w:val="BookText"/>
      </w:pPr>
      <w:r>
        <w:rPr>
          <w:rFonts w:ascii="IRNazanin" w:hAnsi="IRNazanin" w:eastAsia="IRNazanin" w:cs="IRNazanin"/>
          <w:lang w:bidi="fa-IR"/>
          <w:color w:val="111111"/>
          <w:sz w:val="28"/>
          <w:szCs w:val="28"/>
          <w:rtl/>
        </w:rPr>
        <w:t xml:space="preserve">ج 13، ص 829.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31" w:name="pg7742_70724"/>
    <w:bookmarkEnd w:id="731"/>
    <w:p>
      <w:pPr>
        <w:pStyle w:val="BookText"/>
      </w:pPr>
      <w:r>
        <w:rPr>
          <w:rFonts w:ascii="Amiri" w:hAnsi="Amiri" w:eastAsia="Amiri" w:cs="Amiri"/>
          <w:lang w:bidi="ar-SA"/>
          <w:color w:val="111111"/>
          <w:sz w:val="28"/>
          <w:szCs w:val="28"/>
          <w:rtl/>
        </w:rPr>
        <w:t xml:space="preserve">عبد الحليم بن عبد الله مسكري - مسكري</w:t>
      </w:r>
    </w:p>
    <w:p>
      <w:pPr>
        <w:pStyle w:val="BookText"/>
      </w:pPr>
      <w:r>
        <w:rPr>
          <w:rFonts w:ascii="IRNazanin" w:hAnsi="IRNazanin" w:eastAsia="IRNazanin" w:cs="IRNazanin"/>
          <w:lang w:bidi="fa-IR"/>
          <w:color w:val="111111"/>
          <w:sz w:val="28"/>
          <w:szCs w:val="28"/>
          <w:rtl/>
        </w:rPr>
        <w:t xml:space="preserve">عبدالحلیم بن عبدالله</w:t>
      </w:r>
    </w:p>
    <w:p>
      <w:pPr>
        <w:pStyle w:val="BookText"/>
      </w:pPr>
      <w:r>
        <w:rPr>
          <w:rFonts w:ascii="Amiri" w:hAnsi="Amiri" w:eastAsia="Amiri" w:cs="Amiri"/>
          <w:lang w:bidi="ar-SA"/>
          <w:color w:val="111111"/>
          <w:sz w:val="28"/>
          <w:szCs w:val="28"/>
          <w:rtl/>
        </w:rPr>
        <w:t xml:space="preserve">عبد الحليم بن لطف الله -قاضي بوسنه ،</w:t>
      </w:r>
    </w:p>
    <w:p>
      <w:pPr>
        <w:pStyle w:val="BookText"/>
      </w:pPr>
      <w:r>
        <w:rPr>
          <w:rFonts w:ascii="Amiri" w:hAnsi="Amiri" w:eastAsia="Amiri" w:cs="Amiri"/>
          <w:lang w:bidi="ar-SA"/>
          <w:color w:val="111111"/>
          <w:sz w:val="28"/>
          <w:szCs w:val="28"/>
          <w:rtl/>
        </w:rPr>
        <w:t xml:space="preserve">عبد الحليم بن لطف الله</w:t>
      </w:r>
    </w:p>
    <w:p>
      <w:pPr>
        <w:pStyle w:val="BookText"/>
      </w:pPr>
      <w:r>
        <w:rPr>
          <w:rFonts w:ascii="Amiri" w:hAnsi="Amiri" w:eastAsia="Amiri" w:cs="Amiri"/>
          <w:lang w:bidi="ar-SA"/>
          <w:color w:val="111111"/>
          <w:sz w:val="28"/>
          <w:szCs w:val="28"/>
          <w:rtl/>
        </w:rPr>
        <w:t xml:space="preserve">عبد الحليم بن لطف الله قاضي بوسنه -قاضي بوسنه ، عبد الحليم بن لطف</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عبد الحليم بن محمّد اخي زاده- اخي</w:t>
      </w:r>
    </w:p>
    <w:p>
      <w:pPr>
        <w:pStyle w:val="BookText"/>
      </w:pPr>
      <w:r>
        <w:rPr>
          <w:rFonts w:ascii="IRNazanin" w:hAnsi="IRNazanin" w:eastAsia="IRNazanin" w:cs="IRNazanin"/>
          <w:lang w:bidi="fa-IR"/>
          <w:color w:val="111111"/>
          <w:sz w:val="28"/>
          <w:szCs w:val="28"/>
          <w:rtl/>
        </w:rPr>
        <w:t xml:space="preserve">زاده، عبدالحلیم بن محمّد</w:t>
      </w:r>
    </w:p>
    <w:p>
      <w:pPr>
        <w:pStyle w:val="BookText"/>
      </w:pPr>
      <w:r>
        <w:rPr>
          <w:rFonts w:ascii="Amiri" w:hAnsi="Amiri" w:eastAsia="Amiri" w:cs="Amiri"/>
          <w:lang w:bidi="ar-SA"/>
          <w:color w:val="111111"/>
          <w:sz w:val="28"/>
          <w:szCs w:val="28"/>
          <w:rtl/>
        </w:rPr>
        <w:t xml:space="preserve">عبد الحليم قيصري -قيصري ، عبد الحليم</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عبد الحمید- مولوي عبد الحميد</w:t>
      </w:r>
    </w:p>
    <w:p>
      <w:pPr>
        <w:pStyle w:val="Heading2"/>
      </w:pPr>
      <w:bookmarkStart w:id="5798" w:name="_Toc4900"/>
      <w:r>
        <w:t>عبد الحميد</w:t>
      </w:r>
      <w:bookmarkEnd w:id="5798"/>
    </w:p>
    <w:p>
      <w:pPr>
        <w:pStyle w:val="BookText"/>
      </w:pPr>
      <w:r>
        <w:rPr>
          <w:rFonts w:ascii="Amiri" w:hAnsi="Amiri" w:eastAsia="Amiri" w:cs="Amiri"/>
          <w:lang w:bidi="ar-SA"/>
          <w:color w:val="111111"/>
          <w:sz w:val="28"/>
          <w:szCs w:val="28"/>
          <w:rtl/>
        </w:rPr>
        <w:t xml:space="preserve">رسالة الفضل بن شاذان (مختصر)</w:t>
      </w:r>
    </w:p>
    <w:p>
      <w:pPr>
        <w:pStyle w:val="BookText"/>
      </w:pPr>
      <w:r>
        <w:rPr>
          <w:rFonts w:ascii="IRNazanin" w:hAnsi="IRNazanin" w:eastAsia="IRNazanin" w:cs="IRNazanin"/>
          <w:lang w:bidi="fa-IR"/>
          <w:color w:val="111111"/>
          <w:sz w:val="28"/>
          <w:szCs w:val="28"/>
          <w:rtl/>
        </w:rPr>
        <w:t xml:space="preserve">ج 8، ص 236.</w:t>
      </w:r>
    </w:p>
    <w:p>
      <w:pPr>
        <w:pStyle w:val="BookText"/>
      </w:pPr>
      <w:r>
        <w:rPr>
          <w:rFonts w:ascii="Amiri" w:hAnsi="Amiri" w:eastAsia="Amiri" w:cs="Amiri"/>
          <w:lang w:bidi="ar-SA"/>
          <w:color w:val="111111"/>
          <w:sz w:val="28"/>
          <w:szCs w:val="28"/>
          <w:rtl/>
        </w:rPr>
        <w:t xml:space="preserve">عبد الحميد البريفكاني القادري -بريفكاني</w:t>
      </w:r>
    </w:p>
    <w:p>
      <w:pPr>
        <w:pStyle w:val="BookText"/>
      </w:pPr>
      <w:r>
        <w:rPr>
          <w:rFonts w:ascii="IRNazanin" w:hAnsi="IRNazanin" w:eastAsia="IRNazanin" w:cs="IRNazanin"/>
          <w:lang w:bidi="fa-IR"/>
          <w:color w:val="111111"/>
          <w:sz w:val="28"/>
          <w:szCs w:val="28"/>
          <w:rtl/>
        </w:rPr>
        <w:t xml:space="preserve">عبدالحمید</w:t>
      </w:r>
    </w:p>
    <w:p>
      <w:pPr>
        <w:pStyle w:val="BookText"/>
      </w:pPr>
      <w:r>
        <w:rPr>
          <w:rFonts w:ascii="Amiri" w:hAnsi="Amiri" w:eastAsia="Amiri" w:cs="Amiri"/>
          <w:lang w:bidi="ar-SA"/>
          <w:color w:val="111111"/>
          <w:sz w:val="28"/>
          <w:szCs w:val="28"/>
          <w:rtl/>
        </w:rPr>
        <w:t xml:space="preserve">عبد الحميد بن احمد حديثي- حديثي</w:t>
      </w:r>
    </w:p>
    <w:p>
      <w:pPr>
        <w:pStyle w:val="BookText"/>
      </w:pPr>
      <w:r>
        <w:rPr>
          <w:rFonts w:ascii="Amiri" w:hAnsi="Amiri" w:eastAsia="Amiri" w:cs="Amiri"/>
          <w:lang w:bidi="ar-SA"/>
          <w:color w:val="111111"/>
          <w:sz w:val="28"/>
          <w:szCs w:val="28"/>
          <w:rtl/>
        </w:rPr>
        <w:t xml:space="preserve">عبد الحميد بن احمد</w:t>
      </w:r>
    </w:p>
    <w:p>
      <w:pPr>
        <w:pStyle w:val="BookText"/>
      </w:pPr>
      <w:r>
        <w:rPr>
          <w:rFonts w:ascii="Amiri" w:hAnsi="Amiri" w:eastAsia="Amiri" w:cs="Amiri"/>
          <w:lang w:bidi="ar-SA"/>
          <w:color w:val="111111"/>
          <w:sz w:val="28"/>
          <w:szCs w:val="28"/>
          <w:rtl/>
        </w:rPr>
        <w:t xml:space="preserve">عبد الحميد بن بكر صدقي عبادة البغدادي- عباده ، عبدالحميد بن بكر</w:t>
      </w:r>
    </w:p>
    <w:p>
      <w:pPr>
        <w:pStyle w:val="BookText"/>
      </w:pPr>
      <w:r>
        <w:rPr>
          <w:rFonts w:ascii="Amiri" w:hAnsi="Amiri" w:eastAsia="Amiri" w:cs="Amiri"/>
          <w:lang w:bidi="ar-SA"/>
          <w:color w:val="111111"/>
          <w:sz w:val="28"/>
          <w:szCs w:val="28"/>
          <w:rtl/>
        </w:rPr>
        <w:t xml:space="preserve">عبد الحميد بن عبدالرحمن</w:t>
      </w:r>
    </w:p>
    <w:p>
      <w:pPr>
        <w:pStyle w:val="BookText"/>
      </w:pPr>
      <w:r>
        <w:rPr>
          <w:rFonts w:ascii="Amiri" w:hAnsi="Amiri" w:eastAsia="Amiri" w:cs="Amiri"/>
          <w:lang w:bidi="ar-SA"/>
          <w:color w:val="111111"/>
          <w:sz w:val="28"/>
          <w:szCs w:val="28"/>
          <w:rtl/>
        </w:rPr>
        <w:t xml:space="preserve">انكوري- آنقروي ، عبد الحميد بن عبدالرحمن</w:t>
      </w:r>
    </w:p>
    <w:p>
      <w:pPr>
        <w:pStyle w:val="BookText"/>
      </w:pPr>
      <w:r>
        <w:rPr>
          <w:rFonts w:ascii="Amiri" w:hAnsi="Amiri" w:eastAsia="Amiri" w:cs="Amiri"/>
          <w:lang w:bidi="ar-SA"/>
          <w:color w:val="111111"/>
          <w:sz w:val="28"/>
          <w:szCs w:val="28"/>
          <w:rtl/>
        </w:rPr>
        <w:t xml:space="preserve">عبد الحميد بن عبدالله آلوسي- آلوسي ،</w:t>
      </w:r>
    </w:p>
    <w:p>
      <w:pPr>
        <w:pStyle w:val="BookText"/>
      </w:pPr>
      <w:r>
        <w:rPr>
          <w:rFonts w:ascii="Amiri" w:hAnsi="Amiri" w:eastAsia="Amiri" w:cs="Amiri"/>
          <w:lang w:bidi="ar-SA"/>
          <w:color w:val="111111"/>
          <w:sz w:val="28"/>
          <w:szCs w:val="28"/>
          <w:rtl/>
        </w:rPr>
        <w:t xml:space="preserve">عبدالحميد بن عبدالله</w:t>
      </w:r>
    </w:p>
    <w:p>
      <w:pPr>
        <w:pStyle w:val="BookText"/>
      </w:pPr>
      <w:r>
        <w:rPr>
          <w:rFonts w:ascii="Amiri" w:hAnsi="Amiri" w:eastAsia="Amiri" w:cs="Amiri"/>
          <w:lang w:bidi="ar-SA"/>
          <w:color w:val="111111"/>
          <w:sz w:val="28"/>
          <w:szCs w:val="28"/>
          <w:rtl/>
        </w:rPr>
        <w:t xml:space="preserve">عبدالحميد بن عبدالله رحبي بغدادي -رحبي ، عبد الحميد بن عبدالله</w:t>
      </w:r>
    </w:p>
    <w:p>
      <w:pPr>
        <w:pStyle w:val="Heading2"/>
      </w:pPr>
      <w:bookmarkStart w:id="5799" w:name="_Toc4901"/>
      <w:r>
        <w:t>عبد الحميد بن عبد المجيد، قرن 13 ه-</w:t>
      </w:r>
      <w:bookmarkEnd w:id="5799"/>
    </w:p>
    <w:p>
      <w:pPr>
        <w:pStyle w:val="BookText"/>
      </w:pPr>
      <w:r>
        <w:rPr>
          <w:rFonts w:ascii="Amiri" w:hAnsi="Amiri" w:eastAsia="Amiri" w:cs="Amiri"/>
          <w:lang w:bidi="ar-SA"/>
          <w:color w:val="111111"/>
          <w:sz w:val="28"/>
          <w:szCs w:val="28"/>
          <w:rtl/>
        </w:rPr>
        <w:t xml:space="preserve">هداية الطالبين إلى الحق المبين، ج 16،</w:t>
      </w:r>
    </w:p>
    <w:p>
      <w:pPr>
        <w:pStyle w:val="BookText"/>
      </w:pPr>
      <w:r>
        <w:rPr>
          <w:rFonts w:ascii="IRNazanin" w:hAnsi="IRNazanin" w:eastAsia="IRNazanin" w:cs="IRNazanin"/>
          <w:lang w:bidi="fa-IR"/>
          <w:color w:val="111111"/>
          <w:sz w:val="28"/>
          <w:szCs w:val="28"/>
          <w:rtl/>
        </w:rPr>
        <w:t xml:space="preserve">ص 613.</w:t>
      </w:r>
    </w:p>
    <w:p>
      <w:pPr>
        <w:pStyle w:val="BookText"/>
      </w:pPr>
      <w:r>
        <w:rPr>
          <w:rFonts w:ascii="Amiri" w:hAnsi="Amiri" w:eastAsia="Amiri" w:cs="Amiri"/>
          <w:lang w:bidi="ar-SA"/>
          <w:color w:val="111111"/>
          <w:sz w:val="28"/>
          <w:szCs w:val="28"/>
          <w:rtl/>
        </w:rPr>
        <w:t xml:space="preserve">عبد الحميد بن هبة الله ، ابن ابي الحديد -ابن ابي الحديد ، عبد الحميد بن هبة</w:t>
      </w:r>
    </w:p>
    <w:p>
      <w:pPr>
        <w:pStyle w:val="BookText"/>
      </w:pPr>
      <w:r>
        <w:rPr>
          <w:rFonts w:ascii="IRNazanin" w:hAnsi="IRNazanin" w:eastAsia="IRNazanin" w:cs="IRNazanin"/>
          <w:lang w:bidi="fa-IR"/>
          <w:color w:val="111111"/>
          <w:sz w:val="28"/>
          <w:szCs w:val="28"/>
          <w:rtl/>
        </w:rPr>
        <w:t xml:space="preserve">الله</w:t>
      </w:r>
    </w:p>
    <w:p>
      <w:pPr>
        <w:pStyle w:val="Heading2"/>
      </w:pPr>
      <w:bookmarkStart w:id="5800" w:name="_Toc4902"/>
      <w:r>
        <w:t>عبد الحميد بن يحيى كاتب - 132 ه-</w:t>
      </w:r>
      <w:bookmarkEnd w:id="5800"/>
    </w:p>
    <w:p>
      <w:pPr>
        <w:pStyle w:val="BookText"/>
      </w:pPr>
      <w:r>
        <w:rPr>
          <w:rFonts w:ascii="Amiri" w:hAnsi="Amiri" w:eastAsia="Amiri" w:cs="Amiri"/>
          <w:lang w:bidi="ar-SA"/>
          <w:color w:val="111111"/>
          <w:sz w:val="28"/>
          <w:szCs w:val="28"/>
          <w:rtl/>
        </w:rPr>
        <w:t xml:space="preserve">رسالة ادبية، ج8، ص 162 .</w:t>
      </w:r>
    </w:p>
    <w:p>
      <w:pPr>
        <w:pStyle w:val="BookText"/>
      </w:pPr>
      <w:r>
        <w:rPr>
          <w:rFonts w:ascii="IRNazanin" w:hAnsi="IRNazanin" w:eastAsia="IRNazanin" w:cs="IRNazanin"/>
          <w:lang w:bidi="fa-IR"/>
          <w:color w:val="111111"/>
          <w:sz w:val="28"/>
          <w:szCs w:val="28"/>
          <w:rtl/>
        </w:rPr>
        <w:t xml:space="preserve">عبد الحميد حمدي -خرپوتي ، عبدالحميد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IRNazanin" w:hAnsi="IRNazanin" w:eastAsia="IRNazanin" w:cs="IRNazanin"/>
          <w:lang w:bidi="fa-IR"/>
          <w:color w:val="111111"/>
          <w:sz w:val="28"/>
          <w:szCs w:val="28"/>
          <w:rtl/>
        </w:rPr>
        <w:t xml:space="preserve">عبد الحميد حميد بن عبدالر حمن انگوري- آنقروي ، عبدالحميد بن عبدالرحمن</w:t>
      </w:r>
    </w:p>
    <w:p>
      <w:pPr>
        <w:pStyle w:val="BookText"/>
      </w:pPr>
      <w:r>
        <w:rPr>
          <w:rFonts w:ascii="IRNazanin" w:hAnsi="IRNazanin" w:eastAsia="IRNazanin" w:cs="IRNazanin"/>
          <w:lang w:bidi="fa-IR"/>
          <w:color w:val="111111"/>
          <w:sz w:val="28"/>
          <w:szCs w:val="28"/>
          <w:rtl/>
        </w:rPr>
        <w:t xml:space="preserve">عبد الحميد عبادة -عباده ، عبدالحمید بن</w:t>
      </w:r>
    </w:p>
    <w:p>
      <w:pPr>
        <w:pStyle w:val="BookText"/>
      </w:pPr>
      <w:r>
        <w:rPr>
          <w:rFonts w:ascii="Amiri" w:hAnsi="Amiri" w:eastAsia="Amiri" w:cs="Amiri"/>
          <w:lang w:bidi="ar-SA"/>
          <w:color w:val="111111"/>
          <w:sz w:val="28"/>
          <w:szCs w:val="28"/>
          <w:rtl/>
        </w:rPr>
        <w:t xml:space="preserve">بكر</w:t>
      </w:r>
    </w:p>
    <w:p>
      <w:pPr>
        <w:pStyle w:val="BookText"/>
      </w:pPr>
      <w:r>
        <w:rPr>
          <w:rFonts w:ascii="IRNazanin" w:hAnsi="IRNazanin" w:eastAsia="IRNazanin" w:cs="IRNazanin"/>
          <w:lang w:bidi="fa-IR"/>
          <w:color w:val="111111"/>
          <w:sz w:val="28"/>
          <w:szCs w:val="28"/>
          <w:rtl/>
        </w:rPr>
        <w:t xml:space="preserve">عبد الحمید عزالدين ، ابن ابي الحديد- ابن</w:t>
      </w:r>
    </w:p>
    <w:p>
      <w:pPr>
        <w:pStyle w:val="BookText"/>
      </w:pPr>
      <w:r>
        <w:rPr>
          <w:rFonts w:ascii="Amiri" w:hAnsi="Amiri" w:eastAsia="Amiri" w:cs="Amiri"/>
          <w:lang w:bidi="ar-SA"/>
          <w:color w:val="111111"/>
          <w:sz w:val="28"/>
          <w:szCs w:val="28"/>
          <w:rtl/>
        </w:rPr>
        <w:t xml:space="preserve">ابي الحديد ، عبد الحميد بن هبة الله</w:t>
      </w:r>
    </w:p>
    <w:p>
      <w:pPr>
        <w:pStyle w:val="BookText"/>
      </w:pPr>
      <w:r>
        <w:rPr>
          <w:rFonts w:ascii="Amiri" w:hAnsi="Amiri" w:eastAsia="Amiri" w:cs="Amiri"/>
          <w:lang w:bidi="ar-SA"/>
          <w:color w:val="111111"/>
          <w:sz w:val="28"/>
          <w:szCs w:val="28"/>
          <w:rtl/>
        </w:rPr>
        <w:t xml:space="preserve">عبد الحميد فراهي- فراهي ، عبد الحميد</w:t>
      </w:r>
    </w:p>
    <w:p>
      <w:pPr>
        <w:pStyle w:val="BookText"/>
      </w:pPr>
      <w:r>
        <w:rPr>
          <w:rFonts w:ascii="IRNazanin" w:hAnsi="IRNazanin" w:eastAsia="IRNazanin" w:cs="IRNazanin"/>
          <w:lang w:bidi="fa-IR"/>
          <w:color w:val="111111"/>
          <w:sz w:val="28"/>
          <w:szCs w:val="28"/>
          <w:rtl/>
        </w:rPr>
        <w:t xml:space="preserve">بن عبدالوهاب</w:t>
      </w:r>
    </w:p>
    <w:p>
      <w:pPr>
        <w:pStyle w:val="BookText"/>
      </w:pPr>
      <w:r>
        <w:rPr>
          <w:rFonts w:ascii="Amiri" w:hAnsi="Amiri" w:eastAsia="Amiri" w:cs="Amiri"/>
          <w:lang w:bidi="ar-SA"/>
          <w:color w:val="111111"/>
          <w:sz w:val="28"/>
          <w:szCs w:val="28"/>
          <w:rtl/>
        </w:rPr>
        <w:t xml:space="preserve">عبد الحميد قيرواني -ابن رشيق قيرواني ،</w:t>
      </w:r>
    </w:p>
    <w:p>
      <w:pPr>
        <w:pStyle w:val="BookText"/>
      </w:pPr>
      <w:r>
        <w:rPr>
          <w:rFonts w:ascii="Amiri" w:hAnsi="Amiri" w:eastAsia="Amiri" w:cs="Amiri"/>
          <w:lang w:bidi="ar-SA"/>
          <w:color w:val="111111"/>
          <w:sz w:val="28"/>
          <w:szCs w:val="28"/>
          <w:rtl/>
        </w:rPr>
        <w:t xml:space="preserve">عبدالحميد بن حسين</w:t>
      </w:r>
    </w:p>
    <w:p>
      <w:pPr>
        <w:pStyle w:val="BookText"/>
      </w:pPr>
      <w:r>
        <w:rPr>
          <w:rFonts w:ascii="Amiri" w:hAnsi="Amiri" w:eastAsia="Amiri" w:cs="Amiri"/>
          <w:lang w:bidi="ar-SA"/>
          <w:color w:val="111111"/>
          <w:sz w:val="28"/>
          <w:szCs w:val="28"/>
          <w:rtl/>
        </w:rPr>
        <w:t xml:space="preserve">عبد الحميد كاتب- عبد الحميد بن يحيى</w:t>
      </w:r>
    </w:p>
    <w:p>
      <w:pPr>
        <w:pStyle w:val="BookText"/>
      </w:pPr>
      <w:r>
        <w:rPr>
          <w:rFonts w:ascii="Amiri" w:hAnsi="Amiri" w:eastAsia="Amiri" w:cs="Amiri"/>
          <w:lang w:bidi="ar-SA"/>
          <w:color w:val="111111"/>
          <w:sz w:val="28"/>
          <w:szCs w:val="28"/>
          <w:rtl/>
        </w:rPr>
        <w:t xml:space="preserve">كاتب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32" w:name="pg7742_70725"/>
    <w:bookmarkEnd w:id="732"/>
    <w:p>
      <w:pPr>
        <w:pStyle w:val="Heading2"/>
      </w:pPr>
      <w:bookmarkStart w:id="5801" w:name="_Toc4903"/>
      <w:r>
        <w:t>عبد الحميد ، محسن</w:t>
      </w:r>
      <w:bookmarkEnd w:id="5801"/>
    </w:p>
    <w:p>
      <w:pPr>
        <w:pStyle w:val="BookText"/>
      </w:pPr>
      <w:r>
        <w:rPr>
          <w:rFonts w:ascii="Amiri" w:hAnsi="Amiri" w:eastAsia="Amiri" w:cs="Amiri"/>
          <w:lang w:bidi="ar-SA"/>
          <w:color w:val="111111"/>
          <w:sz w:val="28"/>
          <w:szCs w:val="28"/>
          <w:rtl/>
        </w:rPr>
        <w:t xml:space="preserve">تفسير آيات الصفات بين المفوضة و</w:t>
      </w:r>
    </w:p>
    <w:p>
      <w:pPr>
        <w:pStyle w:val="BookText"/>
      </w:pPr>
      <w:r>
        <w:rPr>
          <w:rFonts w:ascii="Amiri" w:hAnsi="Amiri" w:eastAsia="Amiri" w:cs="Amiri"/>
          <w:lang w:bidi="ar-SA"/>
          <w:color w:val="111111"/>
          <w:sz w:val="28"/>
          <w:szCs w:val="28"/>
          <w:rtl/>
        </w:rPr>
        <w:t xml:space="preserve">المؤولة، ج 4، ص 574.</w:t>
      </w:r>
    </w:p>
    <w:p>
      <w:pPr>
        <w:pStyle w:val="BookText"/>
      </w:pPr>
      <w:r>
        <w:rPr>
          <w:rFonts w:ascii="Amiri" w:hAnsi="Amiri" w:eastAsia="Amiri" w:cs="Amiri"/>
          <w:lang w:bidi="ar-SA"/>
          <w:color w:val="111111"/>
          <w:sz w:val="28"/>
          <w:szCs w:val="28"/>
          <w:rtl/>
        </w:rPr>
        <w:t xml:space="preserve">عبد الحميد منجم -منجم ، عبد الحميد</w:t>
      </w:r>
    </w:p>
    <w:p>
      <w:pPr>
        <w:pStyle w:val="BookText"/>
      </w:pPr>
      <w:r>
        <w:rPr>
          <w:rFonts w:ascii="Amiri" w:hAnsi="Amiri" w:eastAsia="Amiri" w:cs="Amiri"/>
          <w:lang w:bidi="ar-SA"/>
          <w:color w:val="111111"/>
          <w:sz w:val="28"/>
          <w:szCs w:val="28"/>
          <w:rtl/>
        </w:rPr>
        <w:t xml:space="preserve">عبد الحميد نجم التوليه- منجم</w:t>
      </w:r>
    </w:p>
    <w:p>
      <w:pPr>
        <w:pStyle w:val="BookText"/>
      </w:pPr>
      <w:r>
        <w:rPr>
          <w:rFonts w:ascii="IRNazanin" w:hAnsi="IRNazanin" w:eastAsia="IRNazanin" w:cs="IRNazanin"/>
          <w:lang w:bidi="fa-IR"/>
          <w:color w:val="111111"/>
          <w:sz w:val="28"/>
          <w:szCs w:val="28"/>
          <w:rtl/>
        </w:rPr>
        <w:t xml:space="preserve">عبدالحمید</w:t>
      </w:r>
    </w:p>
    <w:p>
      <w:pPr>
        <w:pStyle w:val="BookText"/>
      </w:pPr>
      <w:r>
        <w:rPr>
          <w:rFonts w:ascii="IRNazanin" w:hAnsi="IRNazanin" w:eastAsia="IRNazanin" w:cs="IRNazanin"/>
          <w:lang w:bidi="fa-IR"/>
          <w:color w:val="111111"/>
          <w:sz w:val="28"/>
          <w:szCs w:val="28"/>
          <w:rtl/>
        </w:rPr>
        <w:t xml:space="preserve">عبد الحميد ، نظام الدین بن مجدالدین محمّد اعرجي- اعرجي ، نظام الدين محمّد</w:t>
      </w:r>
    </w:p>
    <w:p>
      <w:pPr>
        <w:pStyle w:val="BookText"/>
      </w:pPr>
      <w:r>
        <w:rPr>
          <w:rFonts w:ascii="Amiri" w:hAnsi="Amiri" w:eastAsia="Amiri" w:cs="Amiri"/>
          <w:lang w:bidi="ar-SA"/>
          <w:color w:val="111111"/>
          <w:sz w:val="28"/>
          <w:szCs w:val="28"/>
          <w:rtl/>
        </w:rPr>
        <w:t xml:space="preserve">عبد الحي الحسني -حسني ، عبدالحي</w:t>
      </w:r>
    </w:p>
    <w:p>
      <w:pPr>
        <w:pStyle w:val="BookText"/>
      </w:pPr>
      <w:r>
        <w:rPr>
          <w:rFonts w:ascii="Amiri" w:hAnsi="Amiri" w:eastAsia="Amiri" w:cs="Amiri"/>
          <w:lang w:bidi="ar-SA"/>
          <w:color w:val="111111"/>
          <w:sz w:val="28"/>
          <w:szCs w:val="28"/>
          <w:rtl/>
        </w:rPr>
        <w:t xml:space="preserve">عبد الحي الندوي -حسني ، عبد الحي</w:t>
      </w:r>
    </w:p>
    <w:p>
      <w:pPr>
        <w:pStyle w:val="BookText"/>
      </w:pPr>
      <w:r>
        <w:rPr>
          <w:rFonts w:ascii="Amiri" w:hAnsi="Amiri" w:eastAsia="Amiri" w:cs="Amiri"/>
          <w:lang w:bidi="ar-SA"/>
          <w:color w:val="111111"/>
          <w:sz w:val="28"/>
          <w:szCs w:val="28"/>
          <w:rtl/>
        </w:rPr>
        <w:t xml:space="preserve">عبد الحي بن عبدالرزاق رضوي كاشاني- رضوي كاشاني ، عبد الحي بن عبدالرزاق</w:t>
      </w:r>
    </w:p>
    <w:p>
      <w:pPr>
        <w:pStyle w:val="BookText"/>
      </w:pPr>
      <w:r>
        <w:rPr>
          <w:rFonts w:ascii="Amiri" w:hAnsi="Amiri" w:eastAsia="Amiri" w:cs="Amiri"/>
          <w:lang w:bidi="ar-SA"/>
          <w:color w:val="111111"/>
          <w:sz w:val="28"/>
          <w:szCs w:val="28"/>
          <w:rtl/>
        </w:rPr>
        <w:t xml:space="preserve">عبد الحي بن عبدالوهاب اشرفي استرآبادي- اشرفي جرجاني ، عبدالحي بن عبد الوهاب</w:t>
      </w:r>
    </w:p>
    <w:p>
      <w:pPr>
        <w:pStyle w:val="BookText"/>
      </w:pPr>
      <w:r>
        <w:rPr>
          <w:rFonts w:ascii="Amiri" w:hAnsi="Amiri" w:eastAsia="Amiri" w:cs="Amiri"/>
          <w:lang w:bidi="ar-SA"/>
          <w:color w:val="111111"/>
          <w:sz w:val="28"/>
          <w:szCs w:val="28"/>
          <w:rtl/>
        </w:rPr>
        <w:t xml:space="preserve">عبد الحي حسيني زاهدي- زاهدي لاري ،</w:t>
      </w:r>
    </w:p>
    <w:p>
      <w:pPr>
        <w:pStyle w:val="BookText"/>
      </w:pPr>
      <w:r>
        <w:rPr>
          <w:rFonts w:ascii="Amiri" w:hAnsi="Amiri" w:eastAsia="Amiri" w:cs="Amiri"/>
          <w:lang w:bidi="ar-SA"/>
          <w:color w:val="111111"/>
          <w:sz w:val="28"/>
          <w:szCs w:val="28"/>
          <w:rtl/>
        </w:rPr>
        <w:t xml:space="preserve">عبد الحي بن عزالدين</w:t>
      </w:r>
    </w:p>
    <w:p>
      <w:pPr>
        <w:pStyle w:val="BookText"/>
      </w:pPr>
      <w:r>
        <w:rPr>
          <w:rFonts w:ascii="Amiri" w:hAnsi="Amiri" w:eastAsia="Amiri" w:cs="Amiri"/>
          <w:lang w:bidi="ar-SA"/>
          <w:color w:val="111111"/>
          <w:sz w:val="28"/>
          <w:szCs w:val="28"/>
          <w:rtl/>
        </w:rPr>
        <w:t xml:space="preserve">عبد الحي سليمي -سليمي ، عبدالحي بن</w:t>
      </w:r>
    </w:p>
    <w:p>
      <w:pPr>
        <w:pStyle w:val="BookText"/>
      </w:pPr>
      <w:r>
        <w:rPr>
          <w:rFonts w:ascii="Amiri" w:hAnsi="Amiri" w:eastAsia="Amiri" w:cs="Amiri"/>
          <w:lang w:bidi="ar-SA"/>
          <w:color w:val="111111"/>
          <w:sz w:val="28"/>
          <w:szCs w:val="28"/>
          <w:rtl/>
        </w:rPr>
        <w:t xml:space="preserve">ابي بكر</w:t>
      </w:r>
    </w:p>
    <w:p>
      <w:pPr>
        <w:pStyle w:val="BookText"/>
      </w:pPr>
      <w:r>
        <w:rPr>
          <w:rFonts w:ascii="Amiri" w:hAnsi="Amiri" w:eastAsia="Amiri" w:cs="Amiri"/>
          <w:lang w:bidi="ar-SA"/>
          <w:color w:val="111111"/>
          <w:sz w:val="28"/>
          <w:szCs w:val="28"/>
          <w:rtl/>
        </w:rPr>
        <w:t xml:space="preserve">عبد الخالق بن عبد الرحيم يزدي- يزدي ،</w:t>
      </w:r>
    </w:p>
    <w:p>
      <w:pPr>
        <w:pStyle w:val="BookText"/>
      </w:pPr>
      <w:r>
        <w:rPr>
          <w:rFonts w:ascii="Amiri" w:hAnsi="Amiri" w:eastAsia="Amiri" w:cs="Amiri"/>
          <w:lang w:bidi="ar-SA"/>
          <w:color w:val="111111"/>
          <w:sz w:val="28"/>
          <w:szCs w:val="28"/>
          <w:rtl/>
        </w:rPr>
        <w:t xml:space="preserve">عبد الخالق بن عبدالرحيم</w:t>
      </w:r>
    </w:p>
    <w:p>
      <w:pPr>
        <w:pStyle w:val="BookText"/>
      </w:pPr>
      <w:r>
        <w:rPr>
          <w:rFonts w:ascii="Amiri" w:hAnsi="Amiri" w:eastAsia="Amiri" w:cs="Amiri"/>
          <w:lang w:bidi="ar-SA"/>
          <w:color w:val="111111"/>
          <w:sz w:val="28"/>
          <w:szCs w:val="28"/>
          <w:rtl/>
        </w:rPr>
        <w:t xml:space="preserve">عبد الخالق كرهرودي- قاضي زاده</w:t>
      </w:r>
    </w:p>
    <w:p>
      <w:pPr>
        <w:pStyle w:val="BookText"/>
      </w:pPr>
      <w:r>
        <w:rPr>
          <w:rFonts w:ascii="IRNazanin" w:hAnsi="IRNazanin" w:eastAsia="IRNazanin" w:cs="IRNazanin"/>
          <w:lang w:bidi="fa-IR"/>
          <w:color w:val="111111"/>
          <w:sz w:val="28"/>
          <w:szCs w:val="28"/>
          <w:rtl/>
        </w:rPr>
        <w:t xml:space="preserve">کرهرودي، عبدالخالق</w:t>
      </w:r>
    </w:p>
    <w:p>
      <w:pPr>
        <w:pStyle w:val="BookText"/>
      </w:pPr>
      <w:r>
        <w:rPr>
          <w:rFonts w:ascii="Amiri" w:hAnsi="Amiri" w:eastAsia="Amiri" w:cs="Amiri"/>
          <w:lang w:bidi="ar-SA"/>
          <w:color w:val="111111"/>
          <w:sz w:val="28"/>
          <w:szCs w:val="28"/>
          <w:rtl/>
        </w:rPr>
        <w:t xml:space="preserve">عبدالدائم بن علي حديدي-حديدي ،</w:t>
      </w:r>
    </w:p>
    <w:p>
      <w:pPr>
        <w:pStyle w:val="BookText"/>
      </w:pPr>
      <w:r>
        <w:rPr>
          <w:rFonts w:ascii="Amiri" w:hAnsi="Amiri" w:eastAsia="Amiri" w:cs="Amiri"/>
          <w:lang w:bidi="ar-SA"/>
          <w:color w:val="111111"/>
          <w:sz w:val="28"/>
          <w:szCs w:val="28"/>
          <w:rtl/>
        </w:rPr>
        <w:t xml:space="preserve">عبدالدائم بن علي</w:t>
      </w:r>
    </w:p>
    <w:p>
      <w:pPr>
        <w:pStyle w:val="BookText"/>
      </w:pPr>
      <w:r>
        <w:rPr>
          <w:rFonts w:ascii="Amiri" w:hAnsi="Amiri" w:eastAsia="Amiri" w:cs="Amiri"/>
          <w:lang w:bidi="ar-SA"/>
          <w:color w:val="111111"/>
          <w:sz w:val="28"/>
          <w:szCs w:val="28"/>
          <w:rtl/>
        </w:rPr>
        <w:t xml:space="preserve">عبد الرؤف بن حسين الجدحفصي- بحراني ،</w:t>
      </w:r>
    </w:p>
    <w:p>
      <w:pPr>
        <w:pStyle w:val="BookText"/>
      </w:pPr>
      <w:r>
        <w:rPr>
          <w:rFonts w:ascii="Amiri" w:hAnsi="Amiri" w:eastAsia="Amiri" w:cs="Amiri"/>
          <w:lang w:bidi="ar-SA"/>
          <w:color w:val="111111"/>
          <w:sz w:val="28"/>
          <w:szCs w:val="28"/>
          <w:rtl/>
        </w:rPr>
        <w:t xml:space="preserve">عبدالرؤف بن حسين</w:t>
      </w:r>
    </w:p>
    <w:p>
      <w:pPr>
        <w:pStyle w:val="BookText"/>
      </w:pPr>
      <w:r>
        <w:rPr>
          <w:rFonts w:ascii="Amiri" w:hAnsi="Amiri" w:eastAsia="Amiri" w:cs="Amiri"/>
          <w:lang w:bidi="ar-SA"/>
          <w:color w:val="111111"/>
          <w:sz w:val="28"/>
          <w:szCs w:val="28"/>
          <w:rtl/>
        </w:rPr>
        <w:t xml:space="preserve">عبد الرؤف بن علي بن زين الدين مناوي حدادي -مناوي ، محمّد عبدالرؤف بن علي</w:t>
      </w:r>
    </w:p>
    <w:p>
      <w:pPr>
        <w:pStyle w:val="BookText"/>
      </w:pPr>
      <w:r>
        <w:rPr>
          <w:rFonts w:ascii="Amiri" w:hAnsi="Amiri" w:eastAsia="Amiri" w:cs="Amiri"/>
          <w:lang w:bidi="ar-SA"/>
          <w:color w:val="111111"/>
          <w:sz w:val="28"/>
          <w:szCs w:val="28"/>
          <w:rtl/>
        </w:rPr>
        <w:t xml:space="preserve">عبد الرؤف مناوي حدادي- مناوي ، محمّد</w:t>
      </w:r>
    </w:p>
    <w:p>
      <w:pPr>
        <w:pStyle w:val="BookText"/>
      </w:pPr>
      <w:r>
        <w:rPr>
          <w:rFonts w:ascii="Amiri" w:hAnsi="Amiri" w:eastAsia="Amiri" w:cs="Amiri"/>
          <w:lang w:bidi="ar-SA"/>
          <w:color w:val="111111"/>
          <w:sz w:val="28"/>
          <w:szCs w:val="28"/>
          <w:rtl/>
        </w:rPr>
        <w:t xml:space="preserve">عبدالرؤف بن علي</w:t>
      </w:r>
    </w:p>
    <w:p>
      <w:pPr>
        <w:pStyle w:val="BookText"/>
      </w:pPr>
      <w:r>
        <w:rPr>
          <w:rFonts w:ascii="Amiri" w:hAnsi="Amiri" w:eastAsia="Amiri" w:cs="Amiri"/>
          <w:lang w:bidi="ar-SA"/>
          <w:color w:val="111111"/>
          <w:sz w:val="28"/>
          <w:szCs w:val="28"/>
          <w:rtl/>
        </w:rPr>
        <w:t xml:space="preserve">عبدالرئوف بن يحيى واعظ مكي- واعظ</w:t>
      </w:r>
    </w:p>
    <w:p>
      <w:pPr>
        <w:pStyle w:val="BookText"/>
      </w:pPr>
      <w:r>
        <w:rPr>
          <w:rFonts w:ascii="Amiri" w:hAnsi="Amiri" w:eastAsia="Amiri" w:cs="Amiri"/>
          <w:lang w:bidi="ar-SA"/>
          <w:color w:val="111111"/>
          <w:sz w:val="28"/>
          <w:szCs w:val="28"/>
          <w:rtl/>
        </w:rPr>
        <w:t xml:space="preserve">مكي، عبدالرئوف بن يحيى</w:t>
      </w:r>
    </w:p>
    <w:p>
      <w:pPr>
        <w:pStyle w:val="BookText"/>
      </w:pPr>
      <w:r>
        <w:rPr>
          <w:rFonts w:ascii="Amiri" w:hAnsi="Amiri" w:eastAsia="Amiri" w:cs="Amiri"/>
          <w:lang w:bidi="ar-SA"/>
          <w:color w:val="111111"/>
          <w:sz w:val="28"/>
          <w:szCs w:val="28"/>
          <w:rtl/>
        </w:rPr>
        <w:t xml:space="preserve">عبد الرحمان بن ابي بكر سيوطي -سيوطي</w:t>
      </w:r>
    </w:p>
    <w:p>
      <w:pPr>
        <w:pStyle w:val="BookText"/>
      </w:pPr>
      <w:r>
        <w:rPr>
          <w:rFonts w:ascii="Amiri" w:hAnsi="Amiri" w:eastAsia="Amiri" w:cs="Amiri"/>
          <w:lang w:bidi="ar-SA"/>
          <w:color w:val="111111"/>
          <w:sz w:val="28"/>
          <w:szCs w:val="28"/>
          <w:rtl/>
        </w:rPr>
        <w:t xml:space="preserve">، عبدالرحمن بن ابي بكر</w:t>
      </w:r>
    </w:p>
    <w:p>
      <w:pPr>
        <w:pStyle w:val="BookText"/>
      </w:pPr>
      <w:r>
        <w:rPr>
          <w:rFonts w:ascii="Amiri" w:hAnsi="Amiri" w:eastAsia="Amiri" w:cs="Amiri"/>
          <w:lang w:bidi="ar-SA"/>
          <w:color w:val="111111"/>
          <w:sz w:val="28"/>
          <w:szCs w:val="28"/>
          <w:rtl/>
        </w:rPr>
        <w:t xml:space="preserve">عبدالرحمان بن احمد جامي -جامي ،</w:t>
      </w:r>
    </w:p>
    <w:p>
      <w:pPr>
        <w:pStyle w:val="BookText"/>
      </w:pPr>
      <w:r>
        <w:rPr>
          <w:rFonts w:ascii="IRNazanin" w:hAnsi="IRNazanin" w:eastAsia="IRNazanin" w:cs="IRNazanin"/>
          <w:lang w:bidi="fa-IR"/>
          <w:color w:val="111111"/>
          <w:sz w:val="28"/>
          <w:szCs w:val="28"/>
          <w:rtl/>
        </w:rPr>
        <w:t xml:space="preserve">عبدالرحمن بن احمد</w:t>
      </w:r>
    </w:p>
    <w:p>
      <w:pPr>
        <w:pStyle w:val="BookText"/>
      </w:pPr>
      <w:r>
        <w:rPr>
          <w:rFonts w:ascii="Amiri" w:hAnsi="Amiri" w:eastAsia="Amiri" w:cs="Amiri"/>
          <w:lang w:bidi="ar-SA"/>
          <w:color w:val="111111"/>
          <w:sz w:val="28"/>
          <w:szCs w:val="28"/>
          <w:rtl/>
        </w:rPr>
        <w:t xml:space="preserve">عبدالرحمان بن احمد عضدي</w:t>
      </w:r>
    </w:p>
    <w:p>
      <w:pPr>
        <w:pStyle w:val="BookText"/>
      </w:pPr>
      <w:r>
        <w:rPr>
          <w:rFonts w:ascii="Amiri" w:hAnsi="Amiri" w:eastAsia="Amiri" w:cs="Amiri"/>
          <w:lang w:bidi="ar-SA"/>
          <w:color w:val="111111"/>
          <w:sz w:val="28"/>
          <w:szCs w:val="28"/>
          <w:rtl/>
        </w:rPr>
        <w:t xml:space="preserve">ايجي -عضد الدين ايجي ، عبدالرحمن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عبد الرحمان بن اسماعيل مقدسي (ابوشامه) -ابوشامه ، عبدالرحمن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عبد الرحمان بن حسن جبرتي عقيلي - جبرتي ، عبدالرحمان بن حسن</w:t>
      </w:r>
    </w:p>
    <w:p>
      <w:pPr>
        <w:pStyle w:val="BookText"/>
      </w:pPr>
      <w:r>
        <w:rPr>
          <w:rFonts w:ascii="Amiri" w:hAnsi="Amiri" w:eastAsia="Amiri" w:cs="Amiri"/>
          <w:lang w:bidi="ar-SA"/>
          <w:color w:val="111111"/>
          <w:sz w:val="28"/>
          <w:szCs w:val="28"/>
          <w:rtl/>
        </w:rPr>
        <w:t xml:space="preserve">عبدالرحمان بن عبد الله سهيلي- سهيلي ،</w:t>
      </w:r>
    </w:p>
    <w:p>
      <w:pPr>
        <w:pStyle w:val="BookText"/>
      </w:pPr>
      <w:r>
        <w:rPr>
          <w:rFonts w:ascii="IRNazanin" w:hAnsi="IRNazanin" w:eastAsia="IRNazanin" w:cs="IRNazanin"/>
          <w:lang w:bidi="fa-IR"/>
          <w:color w:val="111111"/>
          <w:sz w:val="28"/>
          <w:szCs w:val="28"/>
          <w:rtl/>
        </w:rPr>
        <w:t xml:space="preserve">عبدالرحمن بن عبدالله</w:t>
      </w:r>
    </w:p>
    <w:p>
      <w:pPr>
        <w:pStyle w:val="BookText"/>
      </w:pPr>
      <w:r>
        <w:rPr>
          <w:rFonts w:ascii="Amiri" w:hAnsi="Amiri" w:eastAsia="Amiri" w:cs="Amiri"/>
          <w:lang w:bidi="ar-SA"/>
          <w:color w:val="111111"/>
          <w:sz w:val="28"/>
          <w:szCs w:val="28"/>
          <w:rtl/>
        </w:rPr>
        <w:t xml:space="preserve">عبدالرحمان بن علي مكودي -مكودي .</w:t>
      </w:r>
    </w:p>
    <w:p>
      <w:pPr>
        <w:pStyle w:val="BookText"/>
      </w:pPr>
      <w:r>
        <w:rPr>
          <w:rFonts w:ascii="Amiri" w:hAnsi="Amiri" w:eastAsia="Amiri" w:cs="Amiri"/>
          <w:lang w:bidi="ar-SA"/>
          <w:color w:val="111111"/>
          <w:sz w:val="28"/>
          <w:szCs w:val="28"/>
          <w:rtl/>
        </w:rPr>
        <w:t xml:space="preserve">عبد الرحمن بن علي</w:t>
      </w:r>
    </w:p>
    <w:p>
      <w:pPr>
        <w:pStyle w:val="BookText"/>
      </w:pPr>
      <w:r>
        <w:rPr>
          <w:rFonts w:ascii="Amiri" w:hAnsi="Amiri" w:eastAsia="Amiri" w:cs="Amiri"/>
          <w:lang w:bidi="ar-SA"/>
          <w:color w:val="111111"/>
          <w:sz w:val="28"/>
          <w:szCs w:val="28"/>
          <w:rtl/>
        </w:rPr>
        <w:t xml:space="preserve">عبدالرحمان بن مأمون متولي -متولي ،</w:t>
      </w:r>
    </w:p>
    <w:p>
      <w:pPr>
        <w:pStyle w:val="BookText"/>
      </w:pPr>
      <w:r>
        <w:rPr>
          <w:rFonts w:ascii="IRNazanin" w:hAnsi="IRNazanin" w:eastAsia="IRNazanin" w:cs="IRNazanin"/>
          <w:lang w:bidi="fa-IR"/>
          <w:color w:val="111111"/>
          <w:sz w:val="28"/>
          <w:szCs w:val="28"/>
          <w:rtl/>
        </w:rPr>
        <w:t xml:space="preserve">عبدالرحمان بن مأمون</w:t>
      </w:r>
    </w:p>
    <w:p>
      <w:pPr>
        <w:pStyle w:val="BookText"/>
      </w:pPr>
      <w:r>
        <w:rPr>
          <w:rFonts w:ascii="IRNazanin" w:hAnsi="IRNazanin" w:eastAsia="IRNazanin" w:cs="IRNazanin"/>
          <w:lang w:bidi="fa-IR"/>
          <w:color w:val="111111"/>
          <w:sz w:val="28"/>
          <w:szCs w:val="28"/>
          <w:rtl/>
        </w:rPr>
        <w:t xml:space="preserve">عبد الرحمان بن محمّد</w:t>
      </w:r>
    </w:p>
    <w:p>
      <w:pPr>
        <w:pStyle w:val="BookText"/>
      </w:pPr>
      <w:r>
        <w:rPr>
          <w:rFonts w:ascii="Amiri" w:hAnsi="Amiri" w:eastAsia="Amiri" w:cs="Amiri"/>
          <w:lang w:bidi="ar-SA"/>
          <w:color w:val="111111"/>
          <w:sz w:val="28"/>
          <w:szCs w:val="28"/>
          <w:rtl/>
        </w:rPr>
        <w:t xml:space="preserve">بسطامي- بسطامي ، عبدالرحمن بن محمّد</w:t>
      </w:r>
    </w:p>
    <w:p>
      <w:pPr>
        <w:pStyle w:val="BookText"/>
      </w:pPr>
      <w:r>
        <w:rPr>
          <w:rFonts w:ascii="Amiri" w:hAnsi="Amiri" w:eastAsia="Amiri" w:cs="Amiri"/>
          <w:lang w:bidi="ar-SA"/>
          <w:color w:val="111111"/>
          <w:sz w:val="28"/>
          <w:szCs w:val="28"/>
          <w:rtl/>
        </w:rPr>
        <w:t xml:space="preserve">عبد الرحمان بن محمّد ثعالبي- ثعالبي</w:t>
      </w:r>
    </w:p>
    <w:p>
      <w:pPr>
        <w:pStyle w:val="BookText"/>
      </w:pPr>
      <w:r>
        <w:rPr>
          <w:rFonts w:ascii="IRNazanin" w:hAnsi="IRNazanin" w:eastAsia="IRNazanin" w:cs="IRNazanin"/>
          <w:lang w:bidi="fa-IR"/>
          <w:color w:val="111111"/>
          <w:sz w:val="28"/>
          <w:szCs w:val="28"/>
          <w:rtl/>
        </w:rPr>
        <w:t xml:space="preserve">عبد الرحمن بن محمّد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33" w:name="pg7742_70726"/>
    <w:bookmarkEnd w:id="733"/>
    <w:p>
      <w:pPr>
        <w:pStyle w:val="BookText"/>
      </w:pPr>
      <w:r>
        <w:rPr>
          <w:rFonts w:ascii="Amiri" w:hAnsi="Amiri" w:eastAsia="Amiri" w:cs="Amiri"/>
          <w:lang w:bidi="ar-SA"/>
          <w:color w:val="111111"/>
          <w:sz w:val="28"/>
          <w:szCs w:val="28"/>
          <w:rtl/>
        </w:rPr>
        <w:t xml:space="preserve">عبدالرحمان بن محمّد عتايقي - عتايقي ،</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عبد الرحمان بن محمّد مقدسي</w:t>
      </w:r>
    </w:p>
    <w:p>
      <w:pPr>
        <w:pStyle w:val="BookText"/>
      </w:pPr>
      <w:r>
        <w:rPr>
          <w:rFonts w:ascii="Amiri" w:hAnsi="Amiri" w:eastAsia="Amiri" w:cs="Amiri"/>
          <w:lang w:bidi="ar-SA"/>
          <w:color w:val="111111"/>
          <w:sz w:val="28"/>
          <w:szCs w:val="28"/>
          <w:rtl/>
        </w:rPr>
        <w:t xml:space="preserve">جماعيلي- ابن قدامه مقدسي ، عبدالرحمن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 الرحمان صوفي ، عبدالرحمان بن</w:t>
      </w:r>
    </w:p>
    <w:p>
      <w:pPr>
        <w:pStyle w:val="BookText"/>
      </w:pPr>
      <w:r>
        <w:rPr>
          <w:rFonts w:ascii="Amiri" w:hAnsi="Amiri" w:eastAsia="Amiri" w:cs="Amiri"/>
          <w:lang w:bidi="ar-SA"/>
          <w:color w:val="111111"/>
          <w:sz w:val="28"/>
          <w:szCs w:val="28"/>
          <w:rtl/>
        </w:rPr>
        <w:t xml:space="preserve">عمر -صوفي ، عبد الرحمن بن عمر</w:t>
      </w:r>
    </w:p>
    <w:p>
      <w:pPr>
        <w:pStyle w:val="BookText"/>
      </w:pPr>
      <w:r>
        <w:rPr>
          <w:rFonts w:ascii="Amiri" w:hAnsi="Amiri" w:eastAsia="Amiri" w:cs="Amiri"/>
          <w:lang w:bidi="ar-SA"/>
          <w:color w:val="111111"/>
          <w:sz w:val="28"/>
          <w:szCs w:val="28"/>
          <w:rtl/>
        </w:rPr>
        <w:t xml:space="preserve">عبد الرحمن آلوسي -آلوسي ، عبدالرحمن</w:t>
      </w:r>
    </w:p>
    <w:p>
      <w:pPr>
        <w:pStyle w:val="BookText"/>
      </w:pPr>
      <w:r>
        <w:rPr>
          <w:rFonts w:ascii="Amiri" w:hAnsi="Amiri" w:eastAsia="Amiri" w:cs="Amiri"/>
          <w:lang w:bidi="ar-SA"/>
          <w:color w:val="111111"/>
          <w:sz w:val="28"/>
          <w:szCs w:val="28"/>
          <w:rtl/>
        </w:rPr>
        <w:t xml:space="preserve">عبد الرحمن آمدي- آمدي ، عبدالرحمن</w:t>
      </w:r>
    </w:p>
    <w:p>
      <w:pPr>
        <w:pStyle w:val="BookText"/>
      </w:pPr>
      <w:r>
        <w:rPr>
          <w:rFonts w:ascii="Amiri" w:hAnsi="Amiri" w:eastAsia="Amiri" w:cs="Amiri"/>
          <w:lang w:bidi="ar-SA"/>
          <w:color w:val="111111"/>
          <w:sz w:val="28"/>
          <w:szCs w:val="28"/>
          <w:rtl/>
        </w:rPr>
        <w:t xml:space="preserve">عبد الرحمن احسائي -احسائي ، عبدالرحمن</w:t>
      </w:r>
    </w:p>
    <w:p>
      <w:pPr>
        <w:pStyle w:val="BookText"/>
      </w:pPr>
      <w:r>
        <w:rPr>
          <w:rFonts w:ascii="Amiri" w:hAnsi="Amiri" w:eastAsia="Amiri" w:cs="Amiri"/>
          <w:lang w:bidi="ar-SA"/>
          <w:color w:val="111111"/>
          <w:sz w:val="28"/>
          <w:szCs w:val="28"/>
          <w:rtl/>
        </w:rPr>
        <w:t xml:space="preserve">عبدالرحمن اسفرايني - اسفرايني</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عبد الرحمن افندي سليمان -افندي ،</w:t>
      </w:r>
    </w:p>
    <w:p>
      <w:pPr>
        <w:pStyle w:val="BookText"/>
      </w:pPr>
      <w:r>
        <w:rPr>
          <w:rFonts w:ascii="Amiri" w:hAnsi="Amiri" w:eastAsia="Amiri" w:cs="Amiri"/>
          <w:lang w:bidi="ar-SA"/>
          <w:color w:val="111111"/>
          <w:sz w:val="28"/>
          <w:szCs w:val="28"/>
          <w:rtl/>
        </w:rPr>
        <w:t xml:space="preserve">عبدالرحمن سليمان</w:t>
      </w:r>
    </w:p>
    <w:p>
      <w:pPr>
        <w:pStyle w:val="Heading2"/>
      </w:pPr>
      <w:bookmarkStart w:id="5802" w:name="_Toc4904"/>
      <w:r>
        <w:t>عبد الرحمن الامام قرن 11 ه-</w:t>
      </w:r>
      <w:bookmarkEnd w:id="5802"/>
    </w:p>
    <w:p>
      <w:pPr>
        <w:pStyle w:val="BookText"/>
      </w:pPr>
      <w:r>
        <w:rPr>
          <w:rFonts w:ascii="Amiri" w:hAnsi="Amiri" w:eastAsia="Amiri" w:cs="Amiri"/>
          <w:lang w:bidi="ar-SA"/>
          <w:color w:val="111111"/>
          <w:sz w:val="28"/>
          <w:szCs w:val="28"/>
          <w:rtl/>
        </w:rPr>
        <w:t xml:space="preserve">مكتوب كبائر، ج 15 ، ص 425.</w:t>
      </w:r>
    </w:p>
    <w:p>
      <w:pPr>
        <w:pStyle w:val="BookText"/>
      </w:pPr>
      <w:r>
        <w:rPr>
          <w:rFonts w:ascii="Amiri" w:hAnsi="Amiri" w:eastAsia="Amiri" w:cs="Amiri"/>
          <w:lang w:bidi="ar-SA"/>
          <w:color w:val="111111"/>
          <w:sz w:val="28"/>
          <w:szCs w:val="28"/>
          <w:rtl/>
        </w:rPr>
        <w:t xml:space="preserve">عبد الرحمن بسطامي- بسطامي ،</w:t>
      </w:r>
    </w:p>
    <w:p>
      <w:pPr>
        <w:pStyle w:val="BookText"/>
      </w:pPr>
      <w:r>
        <w:rPr>
          <w:rFonts w:ascii="IRNazanin" w:hAnsi="IRNazanin" w:eastAsia="IRNazanin" w:cs="IRNazanin"/>
          <w:lang w:bidi="fa-IR"/>
          <w:color w:val="111111"/>
          <w:sz w:val="28"/>
          <w:szCs w:val="28"/>
          <w:rtl/>
        </w:rPr>
        <w:t xml:space="preserve">عبد الرحمن بن محمّد</w:t>
      </w:r>
    </w:p>
    <w:p>
      <w:pPr>
        <w:pStyle w:val="Heading2"/>
      </w:pPr>
      <w:bookmarkStart w:id="5803" w:name="_Toc4905"/>
      <w:r>
        <w:t>عبد الرحمن بن ابراهيم</w:t>
      </w:r>
      <w:bookmarkEnd w:id="5803"/>
    </w:p>
    <w:p>
      <w:pPr>
        <w:pStyle w:val="BookText"/>
      </w:pPr>
      <w:r>
        <w:rPr>
          <w:rFonts w:ascii="Amiri" w:hAnsi="Amiri" w:eastAsia="Amiri" w:cs="Amiri"/>
          <w:lang w:bidi="ar-SA"/>
          <w:color w:val="111111"/>
          <w:sz w:val="28"/>
          <w:szCs w:val="28"/>
          <w:rtl/>
        </w:rPr>
        <w:t xml:space="preserve">1 .حاشية في التفسير، ج 1، ص 293.</w:t>
      </w:r>
    </w:p>
    <w:p>
      <w:pPr>
        <w:pStyle w:val="BookText"/>
      </w:pPr>
      <w:r>
        <w:rPr>
          <w:rFonts w:ascii="Amiri" w:hAnsi="Amiri" w:eastAsia="Amiri" w:cs="Amiri"/>
          <w:lang w:bidi="ar-SA"/>
          <w:color w:val="111111"/>
          <w:sz w:val="28"/>
          <w:szCs w:val="28"/>
          <w:rtl/>
        </w:rPr>
        <w:t xml:space="preserve">2 .الطلاق( منظومة في)، ج 10، ص 845</w:t>
      </w:r>
    </w:p>
    <w:p>
      <w:pPr>
        <w:pStyle w:val="BookText"/>
      </w:pPr>
      <w:r>
        <w:rPr>
          <w:rFonts w:ascii="IRNazanin" w:hAnsi="IRNazanin" w:eastAsia="IRNazanin" w:cs="IRNazanin"/>
          <w:lang w:bidi="fa-IR"/>
          <w:color w:val="111111"/>
          <w:sz w:val="28"/>
          <w:szCs w:val="28"/>
          <w:rtl/>
        </w:rPr>
        <w:t xml:space="preserve">عبدالرحمن بن ابراهیم فرکاح- فرکاح</w:t>
      </w:r>
    </w:p>
    <w:p>
      <w:pPr>
        <w:pStyle w:val="BookText"/>
      </w:pPr>
      <w:r>
        <w:rPr>
          <w:rFonts w:ascii="Amiri" w:hAnsi="Amiri" w:eastAsia="Amiri" w:cs="Amiri"/>
          <w:lang w:bidi="ar-SA"/>
          <w:color w:val="111111"/>
          <w:sz w:val="28"/>
          <w:szCs w:val="28"/>
          <w:rtl/>
        </w:rPr>
        <w:t xml:space="preserve">عبد الرحمن بن ابراهيم</w:t>
      </w:r>
    </w:p>
    <w:p>
      <w:pPr>
        <w:pStyle w:val="BookText"/>
      </w:pPr>
      <w:r>
        <w:rPr>
          <w:rFonts w:ascii="Amiri" w:hAnsi="Amiri" w:eastAsia="Amiri" w:cs="Amiri"/>
          <w:lang w:bidi="ar-SA"/>
          <w:color w:val="111111"/>
          <w:sz w:val="28"/>
          <w:szCs w:val="28"/>
          <w:rtl/>
        </w:rPr>
        <w:t xml:space="preserve">عبدالرحمن بن ابي بكر بن داود -ابن</w:t>
      </w:r>
    </w:p>
    <w:p>
      <w:pPr>
        <w:pStyle w:val="BookText"/>
      </w:pPr>
      <w:r>
        <w:rPr>
          <w:rFonts w:ascii="Amiri" w:hAnsi="Amiri" w:eastAsia="Amiri" w:cs="Amiri"/>
          <w:lang w:bidi="ar-SA"/>
          <w:color w:val="111111"/>
          <w:sz w:val="28"/>
          <w:szCs w:val="28"/>
          <w:rtl/>
        </w:rPr>
        <w:t xml:space="preserve">داود ، عبدالرحمن بن ابي بكر</w:t>
      </w:r>
    </w:p>
    <w:p>
      <w:pPr>
        <w:pStyle w:val="BookText"/>
      </w:pPr>
      <w:r>
        <w:rPr>
          <w:rFonts w:ascii="Amiri" w:hAnsi="Amiri" w:eastAsia="Amiri" w:cs="Amiri"/>
          <w:lang w:bidi="ar-SA"/>
          <w:color w:val="111111"/>
          <w:sz w:val="28"/>
          <w:szCs w:val="28"/>
          <w:rtl/>
        </w:rPr>
        <w:t xml:space="preserve">عبدالرحمن بن ابي بكر بن محمّد دمشقي- ابن العيني ، عبدالرحمن بن ابي بكر</w:t>
      </w:r>
    </w:p>
    <w:p>
      <w:pPr>
        <w:pStyle w:val="BookText"/>
      </w:pPr>
      <w:r>
        <w:rPr>
          <w:rFonts w:ascii="Amiri" w:hAnsi="Amiri" w:eastAsia="Amiri" w:cs="Amiri"/>
          <w:lang w:bidi="ar-SA"/>
          <w:color w:val="111111"/>
          <w:sz w:val="28"/>
          <w:szCs w:val="28"/>
          <w:rtl/>
        </w:rPr>
        <w:t xml:space="preserve">عبد الرحمن بن ابي بكر قرشي- ابن فحام ، عبدالرحمن بن ابي بكر</w:t>
      </w:r>
    </w:p>
    <w:p>
      <w:pPr>
        <w:pStyle w:val="BookText"/>
      </w:pPr>
      <w:r>
        <w:rPr>
          <w:rFonts w:ascii="Amiri" w:hAnsi="Amiri" w:eastAsia="Amiri" w:cs="Amiri"/>
          <w:lang w:bidi="ar-SA"/>
          <w:color w:val="111111"/>
          <w:sz w:val="28"/>
          <w:szCs w:val="28"/>
          <w:rtl/>
        </w:rPr>
        <w:t xml:space="preserve">عبدالرحمن بن ابي سعيد فزاري- فزاري ،</w:t>
      </w:r>
    </w:p>
    <w:p>
      <w:pPr>
        <w:pStyle w:val="BookText"/>
      </w:pPr>
      <w:r>
        <w:rPr>
          <w:rFonts w:ascii="Amiri" w:hAnsi="Amiri" w:eastAsia="Amiri" w:cs="Amiri"/>
          <w:lang w:bidi="ar-SA"/>
          <w:color w:val="111111"/>
          <w:sz w:val="28"/>
          <w:szCs w:val="28"/>
          <w:rtl/>
        </w:rPr>
        <w:t xml:space="preserve">عبد الرحمن بن ابي سعيد</w:t>
      </w:r>
    </w:p>
    <w:p>
      <w:pPr>
        <w:pStyle w:val="BookText"/>
      </w:pPr>
      <w:r>
        <w:rPr>
          <w:rFonts w:ascii="Amiri" w:hAnsi="Amiri" w:eastAsia="Amiri" w:cs="Amiri"/>
          <w:lang w:bidi="ar-SA"/>
          <w:color w:val="111111"/>
          <w:sz w:val="28"/>
          <w:szCs w:val="28"/>
          <w:rtl/>
        </w:rPr>
        <w:t xml:space="preserve">عبدالرحمن بن احمد بخاري- بخاري</w:t>
      </w:r>
    </w:p>
    <w:p>
      <w:pPr>
        <w:pStyle w:val="BookText"/>
      </w:pPr>
      <w:r>
        <w:rPr>
          <w:rFonts w:ascii="IRNazanin" w:hAnsi="IRNazanin" w:eastAsia="IRNazanin" w:cs="IRNazanin"/>
          <w:lang w:bidi="fa-IR"/>
          <w:color w:val="111111"/>
          <w:sz w:val="28"/>
          <w:szCs w:val="28"/>
          <w:rtl/>
        </w:rPr>
        <w:t xml:space="preserve">عبد الرحمن بن احمد</w:t>
      </w:r>
    </w:p>
    <w:p>
      <w:pPr>
        <w:pStyle w:val="BookText"/>
      </w:pPr>
      <w:r>
        <w:rPr>
          <w:rFonts w:ascii="Amiri" w:hAnsi="Amiri" w:eastAsia="Amiri" w:cs="Amiri"/>
          <w:lang w:bidi="ar-SA"/>
          <w:color w:val="111111"/>
          <w:sz w:val="28"/>
          <w:szCs w:val="28"/>
          <w:rtl/>
        </w:rPr>
        <w:t xml:space="preserve">عبد الرحمن بن احمد دمشقي (ابن رجب) -ابن رجب ، عبدالرحمن بن احمد</w:t>
      </w:r>
    </w:p>
    <w:p>
      <w:pPr>
        <w:pStyle w:val="BookText"/>
      </w:pPr>
      <w:r>
        <w:rPr>
          <w:rFonts w:ascii="Amiri" w:hAnsi="Amiri" w:eastAsia="Amiri" w:cs="Amiri"/>
          <w:lang w:bidi="ar-SA"/>
          <w:color w:val="111111"/>
          <w:sz w:val="28"/>
          <w:szCs w:val="28"/>
          <w:rtl/>
        </w:rPr>
        <w:t xml:space="preserve">عبدالرحمن بن احمد سخاوي -ابن مسك</w:t>
      </w:r>
    </w:p>
    <w:p>
      <w:pPr>
        <w:pStyle w:val="BookText"/>
      </w:pPr>
      <w:r>
        <w:rPr>
          <w:rFonts w:ascii="IRNazanin" w:hAnsi="IRNazanin" w:eastAsia="IRNazanin" w:cs="IRNazanin"/>
          <w:lang w:bidi="fa-IR"/>
          <w:color w:val="111111"/>
          <w:sz w:val="28"/>
          <w:szCs w:val="28"/>
          <w:rtl/>
        </w:rPr>
        <w:t xml:space="preserve">عبد الرحمن بن احمد</w:t>
      </w:r>
    </w:p>
    <w:p>
      <w:pPr>
        <w:pStyle w:val="BookText"/>
      </w:pPr>
      <w:r>
        <w:rPr>
          <w:rFonts w:ascii="Amiri" w:hAnsi="Amiri" w:eastAsia="Amiri" w:cs="Amiri"/>
          <w:lang w:bidi="ar-SA"/>
          <w:color w:val="111111"/>
          <w:sz w:val="28"/>
          <w:szCs w:val="28"/>
          <w:rtl/>
        </w:rPr>
        <w:t xml:space="preserve">عبد الرحمن بن اسحاق زجاجي نهاوندي</w:t>
      </w:r>
    </w:p>
    <w:p>
      <w:pPr>
        <w:pStyle w:val="BookText"/>
      </w:pPr>
      <w:r>
        <w:rPr>
          <w:rFonts w:ascii="Amiri" w:hAnsi="Amiri" w:eastAsia="Amiri" w:cs="Amiri"/>
          <w:lang w:bidi="ar-SA"/>
          <w:color w:val="111111"/>
          <w:sz w:val="28"/>
          <w:szCs w:val="28"/>
          <w:rtl/>
        </w:rPr>
        <w:t xml:space="preserve">نحوي -زجاجي ، عبدالرحمن بن اسحاق</w:t>
      </w:r>
    </w:p>
    <w:p>
      <w:pPr>
        <w:pStyle w:val="BookText"/>
      </w:pPr>
      <w:r>
        <w:rPr>
          <w:rFonts w:ascii="Amiri" w:hAnsi="Amiri" w:eastAsia="Amiri" w:cs="Amiri"/>
          <w:lang w:bidi="ar-SA"/>
          <w:color w:val="111111"/>
          <w:sz w:val="28"/>
          <w:szCs w:val="28"/>
          <w:rtl/>
        </w:rPr>
        <w:t xml:space="preserve">عبد الرحمن بن اسماعيل مقدسي (ابوشامه) -ابوشامه ، عبدالرحمن بن</w:t>
      </w:r>
    </w:p>
    <w:p>
      <w:pPr>
        <w:pStyle w:val="BookText"/>
      </w:pPr>
      <w:r>
        <w:rPr>
          <w:rFonts w:ascii="Amiri" w:hAnsi="Amiri" w:eastAsia="Amiri" w:cs="Amiri"/>
          <w:lang w:bidi="ar-SA"/>
          <w:color w:val="111111"/>
          <w:sz w:val="28"/>
          <w:szCs w:val="28"/>
          <w:rtl/>
        </w:rPr>
        <w:t xml:space="preserve">اسماعيل</w:t>
      </w:r>
    </w:p>
    <w:p>
      <w:pPr>
        <w:pStyle w:val="BookText"/>
      </w:pPr>
      <w:r>
        <w:rPr>
          <w:rFonts w:ascii="IRNazanin" w:hAnsi="IRNazanin" w:eastAsia="IRNazanin" w:cs="IRNazanin"/>
          <w:lang w:bidi="fa-IR"/>
          <w:color w:val="111111"/>
          <w:sz w:val="28"/>
          <w:szCs w:val="28"/>
          <w:rtl/>
        </w:rPr>
        <w:t xml:space="preserve">عبدالرحمن بن ایوب خصالي -خصالي</w:t>
      </w:r>
    </w:p>
    <w:p>
      <w:pPr>
        <w:pStyle w:val="BookText"/>
      </w:pPr>
      <w:r>
        <w:rPr>
          <w:rFonts w:ascii="Amiri" w:hAnsi="Amiri" w:eastAsia="Amiri" w:cs="Amiri"/>
          <w:lang w:bidi="ar-SA"/>
          <w:color w:val="111111"/>
          <w:sz w:val="28"/>
          <w:szCs w:val="28"/>
          <w:rtl/>
        </w:rPr>
        <w:t xml:space="preserve">عبد الرحمن بن ايوب</w:t>
      </w:r>
    </w:p>
    <w:p>
      <w:pPr>
        <w:pStyle w:val="Heading2"/>
      </w:pPr>
      <w:bookmarkStart w:id="5804" w:name="_Toc4906"/>
      <w:r>
        <w:t>عبدالرحمن بن تريكي</w:t>
      </w:r>
      <w:bookmarkEnd w:id="5804"/>
    </w:p>
    <w:p>
      <w:pPr>
        <w:pStyle w:val="BookText"/>
      </w:pPr>
      <w:r>
        <w:rPr>
          <w:rFonts w:ascii="Amiri" w:hAnsi="Amiri" w:eastAsia="Amiri" w:cs="Amiri"/>
          <w:lang w:bidi="ar-SA"/>
          <w:color w:val="111111"/>
          <w:sz w:val="28"/>
          <w:szCs w:val="28"/>
          <w:rtl/>
        </w:rPr>
        <w:t xml:space="preserve">الجفر = علم الجفر (رسالة في)، جه،</w:t>
      </w:r>
    </w:p>
    <w:p>
      <w:pPr>
        <w:pStyle w:val="BookText"/>
      </w:pPr>
      <w:r>
        <w:rPr>
          <w:rFonts w:ascii="IRNazanin" w:hAnsi="IRNazanin" w:eastAsia="IRNazanin" w:cs="IRNazanin"/>
          <w:lang w:bidi="fa-IR"/>
          <w:color w:val="111111"/>
          <w:sz w:val="28"/>
          <w:szCs w:val="28"/>
          <w:rtl/>
        </w:rPr>
        <w:t xml:space="preserve">ص393.</w:t>
      </w:r>
    </w:p>
    <w:p>
      <w:pPr>
        <w:pStyle w:val="BookText"/>
      </w:pPr>
      <w:r>
        <w:rPr>
          <w:rFonts w:ascii="Amiri" w:hAnsi="Amiri" w:eastAsia="Amiri" w:cs="Amiri"/>
          <w:lang w:bidi="ar-SA"/>
          <w:color w:val="111111"/>
          <w:sz w:val="28"/>
          <w:szCs w:val="28"/>
          <w:rtl/>
        </w:rPr>
        <w:t xml:space="preserve">عبد الرحمن بن حسين روزبهاني- روزبهاني</w:t>
      </w:r>
    </w:p>
    <w:p>
      <w:pPr>
        <w:pStyle w:val="BookText"/>
      </w:pPr>
      <w:r>
        <w:rPr>
          <w:rFonts w:ascii="Amiri" w:hAnsi="Amiri" w:eastAsia="Amiri" w:cs="Amiri"/>
          <w:lang w:bidi="ar-SA"/>
          <w:color w:val="111111"/>
          <w:sz w:val="28"/>
          <w:szCs w:val="28"/>
          <w:rtl/>
        </w:rPr>
        <w:t xml:space="preserve">، عبد الرحمن بن حسين</w:t>
      </w:r>
    </w:p>
    <w:p>
      <w:pPr>
        <w:pStyle w:val="BookText"/>
      </w:pPr>
      <w:r>
        <w:rPr>
          <w:rFonts w:ascii="Amiri" w:hAnsi="Amiri" w:eastAsia="Amiri" w:cs="Amiri"/>
          <w:lang w:bidi="ar-SA"/>
          <w:color w:val="111111"/>
          <w:sz w:val="28"/>
          <w:szCs w:val="28"/>
          <w:rtl/>
        </w:rPr>
        <w:t xml:space="preserve">عبدالرحمن بن حسين واسطي- واسطي</w:t>
      </w:r>
    </w:p>
    <w:p>
      <w:pPr>
        <w:pStyle w:val="BookText"/>
      </w:pPr>
      <w:r>
        <w:rPr>
          <w:rFonts w:ascii="Amiri" w:hAnsi="Amiri" w:eastAsia="Amiri" w:cs="Amiri"/>
          <w:lang w:bidi="ar-SA"/>
          <w:color w:val="111111"/>
          <w:sz w:val="28"/>
          <w:szCs w:val="28"/>
          <w:rtl/>
        </w:rPr>
        <w:t xml:space="preserve">عبد الرحمن بن حسين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خليل رومي -رومي</w:t>
      </w:r>
    </w:p>
    <w:p>
      <w:pPr>
        <w:pStyle w:val="BookText"/>
      </w:pPr>
      <w:r>
        <w:rPr>
          <w:rFonts w:ascii="Amiri" w:hAnsi="Amiri" w:eastAsia="Amiri" w:cs="Amiri"/>
          <w:lang w:bidi="ar-SA"/>
          <w:color w:val="111111"/>
          <w:sz w:val="28"/>
          <w:szCs w:val="28"/>
          <w:rtl/>
        </w:rPr>
        <w:t xml:space="preserve">عبد الرحمن بن خليل</w:t>
      </w:r>
    </w:p>
    <w:p>
      <w:pPr>
        <w:pStyle w:val="BookText"/>
      </w:pPr>
      <w:r>
        <w:rPr>
          <w:rFonts w:ascii="Amiri" w:hAnsi="Amiri" w:eastAsia="Amiri" w:cs="Amiri"/>
          <w:lang w:bidi="ar-SA"/>
          <w:color w:val="111111"/>
          <w:sz w:val="28"/>
          <w:szCs w:val="28"/>
          <w:rtl/>
        </w:rPr>
        <w:t xml:space="preserve">عبد الرحمن بن سعيد حسني</w:t>
      </w:r>
    </w:p>
    <w:p>
      <w:pPr>
        <w:pStyle w:val="BookText"/>
      </w:pPr>
      <w:r>
        <w:rPr>
          <w:rFonts w:ascii="Amiri" w:hAnsi="Amiri" w:eastAsia="Amiri" w:cs="Amiri"/>
          <w:lang w:bidi="ar-SA"/>
          <w:color w:val="111111"/>
          <w:sz w:val="28"/>
          <w:szCs w:val="28"/>
          <w:rtl/>
        </w:rPr>
        <w:t xml:space="preserve">جزري -حسيني جزري، حيدر بن عبدالرحمن</w:t>
      </w:r>
    </w:p>
    <w:p>
      <w:pPr>
        <w:pStyle w:val="BookText"/>
      </w:pPr>
      <w:r>
        <w:rPr>
          <w:rFonts w:ascii="Amiri" w:hAnsi="Amiri" w:eastAsia="Amiri" w:cs="Amiri"/>
          <w:lang w:bidi="ar-SA"/>
          <w:color w:val="111111"/>
          <w:sz w:val="28"/>
          <w:szCs w:val="28"/>
          <w:rtl/>
        </w:rPr>
        <w:t xml:space="preserve">عبد الرحمن بن عبدالسلام صفوري شافعي -صفوري ، عبدالرحمن بن عبد السلام</w:t>
      </w:r>
    </w:p>
    <w:p>
      <w:pPr>
        <w:pStyle w:val="BookText"/>
      </w:pPr>
      <w:r>
        <w:rPr>
          <w:rFonts w:ascii="Amiri" w:hAnsi="Amiri" w:eastAsia="Amiri" w:cs="Amiri"/>
          <w:lang w:bidi="ar-SA"/>
          <w:color w:val="111111"/>
          <w:sz w:val="28"/>
          <w:szCs w:val="28"/>
          <w:rtl/>
        </w:rPr>
        <w:t xml:space="preserve">عبدالرحمن بن عبد القادر هاشمي</w:t>
      </w:r>
    </w:p>
    <w:p>
      <w:pPr>
        <w:pStyle w:val="BookText"/>
      </w:pPr>
      <w:r>
        <w:rPr>
          <w:rFonts w:ascii="IRNazanin" w:hAnsi="IRNazanin" w:eastAsia="IRNazanin" w:cs="IRNazanin"/>
          <w:lang w:bidi="fa-IR"/>
          <w:color w:val="111111"/>
          <w:sz w:val="28"/>
          <w:szCs w:val="28"/>
          <w:rtl/>
        </w:rPr>
        <w:t xml:space="preserve">گيلاني- گيلاني ، عبدالرحمن بن عبد القادر</w:t>
      </w:r>
    </w:p>
    <w:p>
      <w:pPr>
        <w:pStyle w:val="BookText"/>
      </w:pPr>
      <w:r>
        <w:rPr>
          <w:rFonts w:ascii="Amiri" w:hAnsi="Amiri" w:eastAsia="Amiri" w:cs="Amiri"/>
          <w:lang w:bidi="ar-SA"/>
          <w:color w:val="111111"/>
          <w:sz w:val="28"/>
          <w:szCs w:val="28"/>
          <w:rtl/>
        </w:rPr>
        <w:t xml:space="preserve">عبدالرحمن بن عبدالله اسكري -اسكري</w:t>
      </w:r>
    </w:p>
    <w:p>
      <w:pPr>
        <w:pStyle w:val="BookText"/>
      </w:pPr>
      <w:r>
        <w:rPr>
          <w:rFonts w:ascii="IRNazanin" w:hAnsi="IRNazanin" w:eastAsia="IRNazanin" w:cs="IRNazanin"/>
          <w:lang w:bidi="fa-IR"/>
          <w:color w:val="111111"/>
          <w:sz w:val="28"/>
          <w:szCs w:val="28"/>
          <w:rtl/>
        </w:rPr>
        <w:t xml:space="preserve">عبدالرحمن بن عبدالله</w:t>
      </w:r>
    </w:p>
    <w:p>
      <w:pPr>
        <w:pStyle w:val="BookText"/>
      </w:pPr>
      <w:r>
        <w:rPr>
          <w:rFonts w:ascii="Amiri" w:hAnsi="Amiri" w:eastAsia="Amiri" w:cs="Amiri"/>
          <w:lang w:bidi="ar-SA"/>
          <w:color w:val="111111"/>
          <w:sz w:val="28"/>
          <w:szCs w:val="28"/>
          <w:rtl/>
        </w:rPr>
        <w:t xml:space="preserve">عبد الرحمن بن عبدالله حلبي- حلبي</w:t>
      </w:r>
    </w:p>
    <w:p>
      <w:pPr>
        <w:pStyle w:val="BookText"/>
      </w:pPr>
      <w:r>
        <w:rPr>
          <w:rFonts w:ascii="IRNazanin" w:hAnsi="IRNazanin" w:eastAsia="IRNazanin" w:cs="IRNazanin"/>
          <w:lang w:bidi="fa-IR"/>
          <w:color w:val="111111"/>
          <w:sz w:val="28"/>
          <w:szCs w:val="28"/>
          <w:rtl/>
        </w:rPr>
        <w:t xml:space="preserve">عبدالرحمن بن عبدالله</w:t>
      </w:r>
    </w:p>
    <w:p>
      <w:pPr>
        <w:pStyle w:val="BookText"/>
      </w:pPr>
      <w:r>
        <w:rPr>
          <w:rFonts w:ascii="Amiri" w:hAnsi="Amiri" w:eastAsia="Amiri" w:cs="Amiri"/>
          <w:lang w:bidi="ar-SA"/>
          <w:color w:val="111111"/>
          <w:sz w:val="28"/>
          <w:szCs w:val="28"/>
          <w:rtl/>
        </w:rPr>
        <w:t xml:space="preserve">عبد الرحمن بن عبد الله سويدي -سويدي ،</w:t>
      </w:r>
    </w:p>
    <w:p>
      <w:pPr>
        <w:pStyle w:val="BookText"/>
      </w:pPr>
      <w:r>
        <w:rPr>
          <w:rFonts w:ascii="IRNazanin" w:hAnsi="IRNazanin" w:eastAsia="IRNazanin" w:cs="IRNazanin"/>
          <w:lang w:bidi="fa-IR"/>
          <w:color w:val="111111"/>
          <w:sz w:val="28"/>
          <w:szCs w:val="28"/>
          <w:rtl/>
        </w:rPr>
        <w:t xml:space="preserve">عبدالرحمن بن عبدالله</w:t>
      </w:r>
    </w:p>
    <w:p>
      <w:pPr>
        <w:pStyle w:val="BookText"/>
      </w:pPr>
      <w:r>
        <w:rPr>
          <w:rFonts w:ascii="Amiri" w:hAnsi="Amiri" w:eastAsia="Amiri" w:cs="Amiri"/>
          <w:lang w:bidi="ar-SA"/>
          <w:color w:val="111111"/>
          <w:sz w:val="28"/>
          <w:szCs w:val="28"/>
          <w:rtl/>
        </w:rPr>
        <w:t xml:space="preserve">عبد الرحمن بن عبد الله مصري قرشي- ابن</w:t>
      </w:r>
    </w:p>
    <w:p>
      <w:pPr>
        <w:pStyle w:val="BookText"/>
      </w:pPr>
      <w:r>
        <w:rPr>
          <w:rFonts w:ascii="IRNazanin" w:hAnsi="IRNazanin" w:eastAsia="IRNazanin" w:cs="IRNazanin"/>
          <w:lang w:bidi="fa-IR"/>
          <w:color w:val="111111"/>
          <w:sz w:val="28"/>
          <w:szCs w:val="28"/>
          <w:rtl/>
        </w:rPr>
        <w:t xml:space="preserve">عبدالحکم، عبدالرحمن بن عبدالله</w:t>
      </w:r>
    </w:p>
    <w:p>
      <w:pPr>
        <w:pStyle w:val="BookText"/>
      </w:pPr>
      <w:r>
        <w:rPr>
          <w:rFonts w:ascii="IRNazanin" w:hAnsi="IRNazanin" w:eastAsia="IRNazanin" w:cs="IRNazanin"/>
          <w:lang w:bidi="fa-IR"/>
          <w:color w:val="111111"/>
          <w:sz w:val="28"/>
          <w:szCs w:val="28"/>
          <w:rtl/>
        </w:rPr>
        <w:t xml:space="preserve">عبد الرحمن بن عبدالمحسن</w:t>
      </w:r>
    </w:p>
    <w:p>
      <w:pPr>
        <w:pStyle w:val="BookText"/>
      </w:pPr>
      <w:r>
        <w:rPr>
          <w:rFonts w:ascii="Amiri" w:hAnsi="Amiri" w:eastAsia="Amiri" w:cs="Amiri"/>
          <w:lang w:bidi="ar-SA"/>
          <w:color w:val="111111"/>
          <w:sz w:val="28"/>
          <w:szCs w:val="28"/>
          <w:rtl/>
        </w:rPr>
        <w:t xml:space="preserve">واسطي- واسطي ، عبدالرحمن بن</w:t>
      </w:r>
    </w:p>
    <w:p>
      <w:pPr>
        <w:pStyle w:val="BookText"/>
      </w:pPr>
      <w:r>
        <w:rPr>
          <w:rFonts w:ascii="IRNazanin" w:hAnsi="IRNazanin" w:eastAsia="IRNazanin" w:cs="IRNazanin"/>
          <w:lang w:bidi="fa-IR"/>
          <w:color w:val="111111"/>
          <w:sz w:val="28"/>
          <w:szCs w:val="28"/>
          <w:rtl/>
        </w:rPr>
        <w:t xml:space="preserve">عبد المحسن</w:t>
      </w:r>
    </w:p>
    <w:p>
      <w:pPr>
        <w:pStyle w:val="BookText"/>
      </w:pPr>
      <w:r>
        <w:rPr>
          <w:rFonts w:ascii="Amiri" w:hAnsi="Amiri" w:eastAsia="Amiri" w:cs="Amiri"/>
          <w:lang w:bidi="ar-SA"/>
          <w:color w:val="111111"/>
          <w:sz w:val="28"/>
          <w:szCs w:val="28"/>
          <w:rtl/>
        </w:rPr>
        <w:t xml:space="preserve">عبد الرحمن بن عبيد الله حرفي -حرفي ،</w:t>
      </w:r>
    </w:p>
    <w:p>
      <w:pPr>
        <w:pStyle w:val="BookText"/>
      </w:pPr>
      <w:r>
        <w:rPr>
          <w:rFonts w:ascii="IRNazanin" w:hAnsi="IRNazanin" w:eastAsia="IRNazanin" w:cs="IRNazanin"/>
          <w:lang w:bidi="fa-IR"/>
          <w:color w:val="111111"/>
          <w:sz w:val="28"/>
          <w:szCs w:val="28"/>
          <w:rtl/>
        </w:rPr>
        <w:t xml:space="preserve">عبدالرحمن بن عبیدالله</w:t>
      </w:r>
    </w:p>
    <w:p>
      <w:pPr>
        <w:pStyle w:val="BookText"/>
      </w:pPr>
      <w:r>
        <w:rPr>
          <w:rFonts w:ascii="Amiri" w:hAnsi="Amiri" w:eastAsia="Amiri" w:cs="Amiri"/>
          <w:lang w:bidi="ar-SA"/>
          <w:color w:val="111111"/>
          <w:sz w:val="28"/>
          <w:szCs w:val="28"/>
          <w:rtl/>
        </w:rPr>
        <w:t xml:space="preserve">عبد الرحمن بن علي اقفهسي- اقفهسي</w:t>
      </w:r>
    </w:p>
    <w:p>
      <w:pPr>
        <w:pStyle w:val="BookText"/>
      </w:pPr>
      <w:r>
        <w:rPr>
          <w:rFonts w:ascii="Amiri" w:hAnsi="Amiri" w:eastAsia="Amiri" w:cs="Amiri"/>
          <w:lang w:bidi="ar-SA"/>
          <w:color w:val="111111"/>
          <w:sz w:val="28"/>
          <w:szCs w:val="28"/>
          <w:rtl/>
        </w:rPr>
        <w:t xml:space="preserve">عبد الرحمن بن علي</w:t>
      </w:r>
    </w:p>
    <w:p>
      <w:pPr>
        <w:pStyle w:val="BookText"/>
      </w:pPr>
      <w:r>
        <w:rPr>
          <w:rFonts w:ascii="Amiri" w:hAnsi="Amiri" w:eastAsia="Amiri" w:cs="Amiri"/>
          <w:lang w:bidi="ar-SA"/>
          <w:color w:val="111111"/>
          <w:sz w:val="28"/>
          <w:szCs w:val="28"/>
          <w:rtl/>
        </w:rPr>
        <w:t xml:space="preserve">عبد الرحمن بن علي بن احمد قرشي- قرشي ، عبدالرحمن بن علي</w:t>
      </w:r>
    </w:p>
    <w:p>
      <w:pPr>
        <w:pStyle w:val="BookText"/>
      </w:pPr>
      <w:r>
        <w:rPr>
          <w:rFonts w:ascii="Amiri" w:hAnsi="Amiri" w:eastAsia="Amiri" w:cs="Amiri"/>
          <w:lang w:bidi="ar-SA"/>
          <w:color w:val="111111"/>
          <w:sz w:val="28"/>
          <w:szCs w:val="28"/>
          <w:rtl/>
        </w:rPr>
        <w:t xml:space="preserve">عبد الرحمن بن علي جوزي بغدادي- ابن</w:t>
      </w:r>
    </w:p>
    <w:p>
      <w:pPr>
        <w:pStyle w:val="BookText"/>
      </w:pPr>
      <w:r>
        <w:rPr>
          <w:rFonts w:ascii="Amiri" w:hAnsi="Amiri" w:eastAsia="Amiri" w:cs="Amiri"/>
          <w:lang w:bidi="ar-SA"/>
          <w:color w:val="111111"/>
          <w:sz w:val="28"/>
          <w:szCs w:val="28"/>
          <w:rtl/>
        </w:rPr>
        <w:t xml:space="preserve">جوزي ، عبدالرحمن بن علي</w:t>
      </w:r>
    </w:p>
    <w:p>
      <w:pPr>
        <w:pStyle w:val="BookText"/>
      </w:pPr>
      <w:r>
        <w:rPr>
          <w:rFonts w:ascii="Amiri" w:hAnsi="Amiri" w:eastAsia="Amiri" w:cs="Amiri"/>
          <w:lang w:bidi="ar-SA"/>
          <w:color w:val="111111"/>
          <w:sz w:val="28"/>
          <w:szCs w:val="28"/>
          <w:rtl/>
        </w:rPr>
        <w:t xml:space="preserve">عبد الرحمن بن علي شيباني زبيدي- ابن</w:t>
      </w:r>
    </w:p>
    <w:p>
      <w:pPr>
        <w:pStyle w:val="BookText"/>
      </w:pPr>
      <w:r>
        <w:rPr>
          <w:rFonts w:ascii="Amiri" w:hAnsi="Amiri" w:eastAsia="Amiri" w:cs="Amiri"/>
          <w:lang w:bidi="ar-SA"/>
          <w:color w:val="111111"/>
          <w:sz w:val="28"/>
          <w:szCs w:val="28"/>
          <w:rtl/>
        </w:rPr>
        <w:t xml:space="preserve">ديبع ، عبدالرحمن بن علي</w:t>
      </w:r>
    </w:p>
    <w:p>
      <w:pPr>
        <w:pStyle w:val="BookText"/>
      </w:pPr>
      <w:r>
        <w:rPr>
          <w:rFonts w:ascii="Amiri" w:hAnsi="Amiri" w:eastAsia="Amiri" w:cs="Amiri"/>
          <w:lang w:bidi="ar-SA"/>
          <w:color w:val="111111"/>
          <w:sz w:val="28"/>
          <w:szCs w:val="28"/>
          <w:rtl/>
        </w:rPr>
        <w:t xml:space="preserve">عبد الرحمن بن علي يزدادي -يزدادي</w:t>
      </w:r>
    </w:p>
    <w:p>
      <w:pPr>
        <w:pStyle w:val="BookText"/>
      </w:pPr>
      <w:r>
        <w:rPr>
          <w:rFonts w:ascii="Amiri" w:hAnsi="Amiri" w:eastAsia="Amiri" w:cs="Amiri"/>
          <w:lang w:bidi="ar-SA"/>
          <w:color w:val="111111"/>
          <w:sz w:val="28"/>
          <w:szCs w:val="28"/>
          <w:rtl/>
        </w:rPr>
        <w:t xml:space="preserve">عبد الرحمن بن علي</w:t>
      </w:r>
    </w:p>
    <w:p>
      <w:pPr>
        <w:pStyle w:val="BookText"/>
      </w:pPr>
      <w:r>
        <w:rPr>
          <w:rFonts w:ascii="IRNazanin" w:hAnsi="IRNazanin" w:eastAsia="IRNazanin" w:cs="IRNazanin"/>
          <w:lang w:bidi="fa-IR"/>
          <w:color w:val="111111"/>
          <w:sz w:val="28"/>
          <w:szCs w:val="28"/>
          <w:rtl/>
        </w:rPr>
        <w:t xml:space="preserve">عبد الرحمن بن عمر بزاز- ابن نحاس</w:t>
      </w:r>
    </w:p>
    <w:p>
      <w:pPr>
        <w:pStyle w:val="BookText"/>
      </w:pPr>
      <w:r>
        <w:rPr>
          <w:rFonts w:ascii="IRNazanin" w:hAnsi="IRNazanin" w:eastAsia="IRNazanin" w:cs="IRNazanin"/>
          <w:lang w:bidi="fa-IR"/>
          <w:color w:val="111111"/>
          <w:sz w:val="28"/>
          <w:szCs w:val="28"/>
          <w:rtl/>
        </w:rPr>
        <w:t xml:space="preserve">عبد الرحمن بن عمر</w:t>
      </w:r>
    </w:p>
    <w:p>
      <w:pPr>
        <w:pStyle w:val="BookText"/>
      </w:pPr>
      <w:r>
        <w:rPr>
          <w:rFonts w:ascii="Amiri" w:hAnsi="Amiri" w:eastAsia="Amiri" w:cs="Amiri"/>
          <w:lang w:bidi="ar-SA"/>
          <w:color w:val="111111"/>
          <w:sz w:val="28"/>
          <w:szCs w:val="28"/>
          <w:rtl/>
        </w:rPr>
        <w:t xml:space="preserve">عبد الرحمن بن عمر جوبري دمشقي- جوبري ، عبدالرحمن بن عمر</w:t>
      </w:r>
    </w:p>
    <w:p>
      <w:pPr>
        <w:pStyle w:val="BookText"/>
      </w:pPr>
      <w:r>
        <w:rPr>
          <w:rFonts w:ascii="Amiri" w:hAnsi="Amiri" w:eastAsia="Amiri" w:cs="Amiri"/>
          <w:lang w:bidi="ar-SA"/>
          <w:color w:val="111111"/>
          <w:sz w:val="28"/>
          <w:szCs w:val="28"/>
          <w:rtl/>
        </w:rPr>
        <w:t xml:space="preserve">عبد الرحمن بن عمر كناني بلقيني قاهري- بلقيني ، عبدالرحمن بن عمر</w:t>
      </w:r>
    </w:p>
    <w:p>
      <w:pPr>
        <w:pStyle w:val="BookText"/>
      </w:pPr>
      <w:r>
        <w:rPr>
          <w:rFonts w:ascii="Amiri" w:hAnsi="Amiri" w:eastAsia="Amiri" w:cs="Amiri"/>
          <w:lang w:bidi="ar-SA"/>
          <w:color w:val="111111"/>
          <w:sz w:val="28"/>
          <w:szCs w:val="28"/>
          <w:rtl/>
        </w:rPr>
        <w:t xml:space="preserve">عبد الرحمن بن عمرو نصري دمشقي -ابوزرعه ، عبدالرحمن بن عمرو</w:t>
      </w:r>
    </w:p>
    <w:p>
      <w:pPr>
        <w:pStyle w:val="BookText"/>
      </w:pPr>
      <w:r>
        <w:rPr>
          <w:rFonts w:ascii="Amiri" w:hAnsi="Amiri" w:eastAsia="Amiri" w:cs="Amiri"/>
          <w:lang w:bidi="ar-SA"/>
          <w:color w:val="111111"/>
          <w:sz w:val="28"/>
          <w:szCs w:val="28"/>
          <w:rtl/>
        </w:rPr>
        <w:t xml:space="preserve">عبد الرحمن بن عيسى بن حماد همداني- همداني ، عبدالرحمن بن عيسى</w:t>
      </w:r>
    </w:p>
    <w:p>
      <w:pPr>
        <w:pStyle w:val="BookText"/>
      </w:pPr>
      <w:r>
        <w:rPr>
          <w:rFonts w:ascii="Amiri" w:hAnsi="Amiri" w:eastAsia="Amiri" w:cs="Amiri"/>
          <w:lang w:bidi="ar-SA"/>
          <w:color w:val="111111"/>
          <w:sz w:val="28"/>
          <w:szCs w:val="28"/>
          <w:rtl/>
        </w:rPr>
        <w:t xml:space="preserve">عبد الرحمن بن عيسى كاتب همداني- همداني ، عبدالرحمن بن عيسى</w:t>
      </w:r>
    </w:p>
    <w:p>
      <w:pPr>
        <w:pStyle w:val="BookText"/>
      </w:pPr>
      <w:r>
        <w:rPr>
          <w:rFonts w:ascii="Amiri" w:hAnsi="Amiri" w:eastAsia="Amiri" w:cs="Amiri"/>
          <w:lang w:bidi="ar-SA"/>
          <w:color w:val="111111"/>
          <w:sz w:val="28"/>
          <w:szCs w:val="28"/>
          <w:rtl/>
        </w:rPr>
        <w:t xml:space="preserve">عبد الرحمن بن عيسى مرشدي -مرشدي ،</w:t>
      </w:r>
    </w:p>
    <w:p>
      <w:pPr>
        <w:pStyle w:val="BookText"/>
      </w:pPr>
      <w:r>
        <w:rPr>
          <w:rFonts w:ascii="Amiri" w:hAnsi="Amiri" w:eastAsia="Amiri" w:cs="Amiri"/>
          <w:lang w:bidi="ar-SA"/>
          <w:color w:val="111111"/>
          <w:sz w:val="28"/>
          <w:szCs w:val="28"/>
          <w:rtl/>
        </w:rPr>
        <w:t xml:space="preserve">عبد الرحمن بن عيسى</w:t>
      </w:r>
    </w:p>
    <w:p>
      <w:pPr>
        <w:pStyle w:val="BookText"/>
      </w:pPr>
      <w:r>
        <w:rPr>
          <w:rFonts w:ascii="Amiri" w:hAnsi="Amiri" w:eastAsia="Amiri" w:cs="Amiri"/>
          <w:lang w:bidi="ar-SA"/>
          <w:color w:val="111111"/>
          <w:sz w:val="28"/>
          <w:szCs w:val="28"/>
          <w:rtl/>
        </w:rPr>
        <w:t xml:space="preserve">عبد الرحمن بن محمّد ابي حاتم تميمي حنظلي رازي- ابن ابي حاتم ، عبدالرحمن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عبدالرحمن بن محمّد اشبيلي ابن</w:t>
      </w:r>
    </w:p>
    <w:p>
      <w:pPr>
        <w:pStyle w:val="BookText"/>
      </w:pPr>
      <w:r>
        <w:rPr>
          <w:rFonts w:ascii="IRNazanin" w:hAnsi="IRNazanin" w:eastAsia="IRNazanin" w:cs="IRNazanin"/>
          <w:lang w:bidi="fa-IR"/>
          <w:color w:val="111111"/>
          <w:sz w:val="28"/>
          <w:szCs w:val="28"/>
          <w:rtl/>
        </w:rPr>
        <w:t xml:space="preserve">خلدون- ابن خلدون ، عبدالرحمن بن محمّد</w:t>
      </w:r>
    </w:p>
    <w:p>
      <w:pPr>
        <w:pStyle w:val="BookText"/>
      </w:pPr>
      <w:r>
        <w:rPr>
          <w:rFonts w:ascii="Amiri" w:hAnsi="Amiri" w:eastAsia="Amiri" w:cs="Amiri"/>
          <w:lang w:bidi="ar-SA"/>
          <w:color w:val="111111"/>
          <w:sz w:val="28"/>
          <w:szCs w:val="28"/>
          <w:rtl/>
        </w:rPr>
        <w:t xml:space="preserve">عبد الرحمن بن محمّد القره داغي - قره</w:t>
      </w:r>
    </w:p>
    <w:p>
      <w:pPr>
        <w:pStyle w:val="BookText"/>
      </w:pPr>
      <w:r>
        <w:rPr>
          <w:rFonts w:ascii="Amiri" w:hAnsi="Amiri" w:eastAsia="Amiri" w:cs="Amiri"/>
          <w:lang w:bidi="ar-SA"/>
          <w:color w:val="111111"/>
          <w:sz w:val="28"/>
          <w:szCs w:val="28"/>
          <w:rtl/>
        </w:rPr>
        <w:t xml:space="preserve">داغي ، عبدالرحمن بن محمّد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34" w:name="pg7742_70728"/>
    <w:bookmarkEnd w:id="734"/>
    <w:p>
      <w:pPr>
        <w:pStyle w:val="BookText"/>
      </w:pPr>
      <w:r>
        <w:rPr>
          <w:rFonts w:ascii="Amiri" w:hAnsi="Amiri" w:eastAsia="Amiri" w:cs="Amiri"/>
          <w:lang w:bidi="ar-SA"/>
          <w:color w:val="111111"/>
          <w:sz w:val="28"/>
          <w:szCs w:val="28"/>
          <w:rtl/>
        </w:rPr>
        <w:t xml:space="preserve">عبد الرحمن بن محمّد انصاري- ابن انباري</w:t>
      </w:r>
    </w:p>
    <w:p>
      <w:pPr>
        <w:pStyle w:val="BookText"/>
      </w:pPr>
      <w:r>
        <w:rPr>
          <w:rFonts w:ascii="IRNazanin" w:hAnsi="IRNazanin" w:eastAsia="IRNazanin" w:cs="IRNazanin"/>
          <w:lang w:bidi="fa-IR"/>
          <w:color w:val="111111"/>
          <w:sz w:val="28"/>
          <w:szCs w:val="28"/>
          <w:rtl/>
        </w:rPr>
        <w:t xml:space="preserve">، عبدالرحمن بن محمّد</w:t>
      </w:r>
    </w:p>
    <w:p>
      <w:pPr>
        <w:pStyle w:val="BookText"/>
      </w:pPr>
      <w:r>
        <w:rPr>
          <w:rFonts w:ascii="Amiri" w:hAnsi="Amiri" w:eastAsia="Amiri" w:cs="Amiri"/>
          <w:lang w:bidi="ar-SA"/>
          <w:color w:val="111111"/>
          <w:sz w:val="28"/>
          <w:szCs w:val="28"/>
          <w:rtl/>
        </w:rPr>
        <w:t xml:space="preserve">عبد الرحمن بن محمّد انصاري مرسي- ابن</w:t>
      </w:r>
    </w:p>
    <w:p>
      <w:pPr>
        <w:pStyle w:val="BookText"/>
      </w:pPr>
      <w:r>
        <w:rPr>
          <w:rFonts w:ascii="Amiri" w:hAnsi="Amiri" w:eastAsia="Amiri" w:cs="Amiri"/>
          <w:lang w:bidi="ar-SA"/>
          <w:color w:val="111111"/>
          <w:sz w:val="28"/>
          <w:szCs w:val="28"/>
          <w:rtl/>
        </w:rPr>
        <w:t xml:space="preserve">جبيش ، عبد الرحمن بن محمّد</w:t>
      </w:r>
    </w:p>
    <w:p>
      <w:pPr>
        <w:pStyle w:val="BookText"/>
      </w:pPr>
      <w:r>
        <w:rPr>
          <w:rFonts w:ascii="Amiri" w:hAnsi="Amiri" w:eastAsia="Amiri" w:cs="Amiri"/>
          <w:lang w:bidi="ar-SA"/>
          <w:color w:val="111111"/>
          <w:sz w:val="28"/>
          <w:szCs w:val="28"/>
          <w:rtl/>
        </w:rPr>
        <w:t xml:space="preserve">عبد الرحمن بن محمّد بتروني-بتروني ،</w:t>
      </w:r>
    </w:p>
    <w:p>
      <w:pPr>
        <w:pStyle w:val="BookText"/>
      </w:pPr>
      <w:r>
        <w:rPr>
          <w:rFonts w:ascii="IRNazanin" w:hAnsi="IRNazanin" w:eastAsia="IRNazanin" w:cs="IRNazanin"/>
          <w:lang w:bidi="fa-IR"/>
          <w:color w:val="111111"/>
          <w:sz w:val="28"/>
          <w:szCs w:val="28"/>
          <w:rtl/>
        </w:rPr>
        <w:t xml:space="preserve">عبد الرحمن بن محمّد</w:t>
      </w:r>
    </w:p>
    <w:p>
      <w:pPr>
        <w:pStyle w:val="Heading2"/>
      </w:pPr>
      <w:bookmarkStart w:id="5805" w:name="_Toc4907"/>
      <w:r>
        <w:t>عبدالرحمن بن محمّد بك، 1800 - 1866</w:t>
      </w:r>
      <w:bookmarkEnd w:id="5805"/>
    </w:p>
    <w:p>
      <w:pPr>
        <w:pStyle w:val="BookText"/>
      </w:pPr>
      <w:r>
        <w:rPr>
          <w:rFonts w:ascii="IRNazanin" w:hAnsi="IRNazanin" w:eastAsia="IRNazanin" w:cs="IRNazanin"/>
          <w:lang w:bidi="fa-IR"/>
          <w:color w:val="111111"/>
          <w:sz w:val="28"/>
          <w:szCs w:val="28"/>
          <w:rtl/>
        </w:rPr>
        <w:t xml:space="preserve">دیوان سالم، ج7، ص 649.</w:t>
      </w:r>
    </w:p>
    <w:p>
      <w:pPr>
        <w:pStyle w:val="BookText"/>
      </w:pPr>
      <w:r>
        <w:rPr>
          <w:rFonts w:ascii="Amiri" w:hAnsi="Amiri" w:eastAsia="Amiri" w:cs="Amiri"/>
          <w:lang w:bidi="ar-SA"/>
          <w:color w:val="111111"/>
          <w:sz w:val="28"/>
          <w:szCs w:val="28"/>
          <w:rtl/>
        </w:rPr>
        <w:t xml:space="preserve">عبد الرحمن بن محمّد بن ابراهيم رشيدي</w:t>
      </w:r>
    </w:p>
    <w:p>
      <w:pPr>
        <w:pStyle w:val="BookText"/>
      </w:pPr>
      <w:r>
        <w:rPr>
          <w:rFonts w:ascii="Amiri" w:hAnsi="Amiri" w:eastAsia="Amiri" w:cs="Amiri"/>
          <w:lang w:bidi="ar-SA"/>
          <w:color w:val="111111"/>
          <w:sz w:val="28"/>
          <w:szCs w:val="28"/>
          <w:rtl/>
        </w:rPr>
        <w:t xml:space="preserve">مصري - رشيدي ، عبدالرحمن بن محمّد</w:t>
      </w:r>
    </w:p>
    <w:p>
      <w:pPr>
        <w:pStyle w:val="BookText"/>
      </w:pPr>
      <w:r>
        <w:rPr>
          <w:rFonts w:ascii="IRNazanin" w:hAnsi="IRNazanin" w:eastAsia="IRNazanin" w:cs="IRNazanin"/>
          <w:lang w:bidi="fa-IR"/>
          <w:color w:val="111111"/>
          <w:sz w:val="28"/>
          <w:szCs w:val="28"/>
          <w:rtl/>
        </w:rPr>
        <w:t xml:space="preserve">عبد الرحمن بن محمّد بن خلدون -ابن</w:t>
      </w:r>
    </w:p>
    <w:p>
      <w:pPr>
        <w:pStyle w:val="BookText"/>
      </w:pPr>
      <w:r>
        <w:rPr>
          <w:rFonts w:ascii="IRNazanin" w:hAnsi="IRNazanin" w:eastAsia="IRNazanin" w:cs="IRNazanin"/>
          <w:lang w:bidi="fa-IR"/>
          <w:color w:val="111111"/>
          <w:sz w:val="28"/>
          <w:szCs w:val="28"/>
          <w:rtl/>
        </w:rPr>
        <w:t xml:space="preserve">خلدون، عبد الرحمن بن محمّد</w:t>
      </w:r>
    </w:p>
    <w:p>
      <w:pPr>
        <w:pStyle w:val="BookText"/>
      </w:pPr>
      <w:r>
        <w:rPr>
          <w:rFonts w:ascii="Amiri" w:hAnsi="Amiri" w:eastAsia="Amiri" w:cs="Amiri"/>
          <w:lang w:bidi="ar-SA"/>
          <w:color w:val="111111"/>
          <w:sz w:val="28"/>
          <w:szCs w:val="28"/>
          <w:rtl/>
        </w:rPr>
        <w:t xml:space="preserve">عبد الرحمن بن محمّد بن عبد الحق شامي- شامي ، عبدالرحمن بن محمّد</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بينجويني -بينجويني ، عبدالرحمن بن محمّد</w:t>
      </w:r>
    </w:p>
    <w:p>
      <w:pPr>
        <w:pStyle w:val="BookText"/>
      </w:pPr>
      <w:r>
        <w:rPr>
          <w:rFonts w:ascii="Amiri" w:hAnsi="Amiri" w:eastAsia="Amiri" w:cs="Amiri"/>
          <w:lang w:bidi="ar-SA"/>
          <w:color w:val="111111"/>
          <w:sz w:val="28"/>
          <w:szCs w:val="28"/>
          <w:rtl/>
        </w:rPr>
        <w:t xml:space="preserve">عبد الرحمن بن محمّد جزائري- اخضري ،</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عبدالرحمن بن محمّد حسيني- ابن داود</w:t>
      </w:r>
    </w:p>
    <w:p>
      <w:pPr>
        <w:pStyle w:val="BookText"/>
      </w:pPr>
      <w:r>
        <w:rPr>
          <w:rFonts w:ascii="Amiri" w:hAnsi="Amiri" w:eastAsia="Amiri" w:cs="Amiri"/>
          <w:lang w:bidi="ar-SA"/>
          <w:color w:val="111111"/>
          <w:sz w:val="28"/>
          <w:szCs w:val="28"/>
          <w:rtl/>
        </w:rPr>
        <w:t xml:space="preserve">عبدالرحمن بن ابي بكر</w:t>
      </w:r>
    </w:p>
    <w:p>
      <w:pPr>
        <w:pStyle w:val="BookText"/>
      </w:pPr>
      <w:r>
        <w:rPr>
          <w:rFonts w:ascii="Amiri" w:hAnsi="Amiri" w:eastAsia="Amiri" w:cs="Amiri"/>
          <w:lang w:bidi="ar-SA"/>
          <w:color w:val="111111"/>
          <w:sz w:val="28"/>
          <w:szCs w:val="28"/>
          <w:rtl/>
        </w:rPr>
        <w:t xml:space="preserve">عبد الرحمن بن محمّد حلمي سهروردي - سهروردي ، عبد الرحمن بن محمّد</w:t>
      </w:r>
    </w:p>
    <w:p>
      <w:pPr>
        <w:pStyle w:val="BookText"/>
      </w:pPr>
      <w:r>
        <w:rPr>
          <w:rFonts w:ascii="IRNazanin" w:hAnsi="IRNazanin" w:eastAsia="IRNazanin" w:cs="IRNazanin"/>
          <w:lang w:bidi="fa-IR"/>
          <w:color w:val="111111"/>
          <w:sz w:val="28"/>
          <w:szCs w:val="28"/>
          <w:rtl/>
        </w:rPr>
        <w:t xml:space="preserve">عبد الرحمن بن محمّد سعید بن</w:t>
      </w:r>
    </w:p>
    <w:p>
      <w:pPr>
        <w:pStyle w:val="BookText"/>
      </w:pPr>
      <w:r>
        <w:rPr>
          <w:rFonts w:ascii="IRNazanin" w:hAnsi="IRNazanin" w:eastAsia="IRNazanin" w:cs="IRNazanin"/>
          <w:lang w:bidi="fa-IR"/>
          <w:color w:val="111111"/>
          <w:sz w:val="28"/>
          <w:szCs w:val="28"/>
          <w:rtl/>
        </w:rPr>
        <w:t xml:space="preserve">عبد الرزاق- ابن عبد الرزاق ، عبدالرحمن بن محمّد سعید</w:t>
      </w:r>
    </w:p>
    <w:p>
      <w:pPr>
        <w:pStyle w:val="Heading2"/>
      </w:pPr>
      <w:bookmarkStart w:id="5806" w:name="_Toc4908"/>
      <w:r>
        <w:t>عبد الرحمن محمّد بن سليمان - 974 ه-</w:t>
      </w:r>
      <w:bookmarkEnd w:id="5806"/>
    </w:p>
    <w:p>
      <w:pPr>
        <w:pStyle w:val="BookText"/>
      </w:pPr>
      <w:r>
        <w:rPr>
          <w:rFonts w:ascii="Amiri" w:hAnsi="Amiri" w:eastAsia="Amiri" w:cs="Amiri"/>
          <w:lang w:bidi="ar-SA"/>
          <w:color w:val="111111"/>
          <w:sz w:val="28"/>
          <w:szCs w:val="28"/>
          <w:rtl/>
        </w:rPr>
        <w:t xml:space="preserve">معين القضاة، ج 15، ص 107.</w:t>
      </w:r>
    </w:p>
    <w:p>
      <w:pPr>
        <w:pStyle w:val="BookText"/>
      </w:pPr>
      <w:r>
        <w:rPr>
          <w:rFonts w:ascii="Amiri" w:hAnsi="Amiri" w:eastAsia="Amiri" w:cs="Amiri"/>
          <w:lang w:bidi="ar-SA"/>
          <w:color w:val="111111"/>
          <w:sz w:val="28"/>
          <w:szCs w:val="28"/>
          <w:rtl/>
        </w:rPr>
        <w:t xml:space="preserve">عبد الرحمن بن محمّد عليمي -ابواليمن</w:t>
      </w:r>
    </w:p>
    <w:p>
      <w:pPr>
        <w:pStyle w:val="BookText"/>
      </w:pPr>
      <w:r>
        <w:rPr>
          <w:rFonts w:ascii="Amiri" w:hAnsi="Amiri" w:eastAsia="Amiri" w:cs="Amiri"/>
          <w:lang w:bidi="ar-SA"/>
          <w:color w:val="111111"/>
          <w:sz w:val="28"/>
          <w:szCs w:val="28"/>
          <w:rtl/>
        </w:rPr>
        <w:t xml:space="preserve">عليمي ، عبدالرحمن بن محمّد</w:t>
      </w:r>
    </w:p>
    <w:p>
      <w:pPr>
        <w:pStyle w:val="BookText"/>
      </w:pPr>
      <w:r>
        <w:rPr>
          <w:rFonts w:ascii="Amiri" w:hAnsi="Amiri" w:eastAsia="Amiri" w:cs="Amiri"/>
          <w:lang w:bidi="ar-SA"/>
          <w:color w:val="111111"/>
          <w:sz w:val="28"/>
          <w:szCs w:val="28"/>
          <w:rtl/>
        </w:rPr>
        <w:t xml:space="preserve">عبد الرحمن بن محمّد عمادي- عمادي ،</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عبد الرحمن بن محمّد قرداغي -ابن خياط</w:t>
      </w:r>
    </w:p>
    <w:p>
      <w:pPr>
        <w:pStyle w:val="BookText"/>
      </w:pPr>
      <w:r>
        <w:rPr>
          <w:rFonts w:ascii="Amiri" w:hAnsi="Amiri" w:eastAsia="Amiri" w:cs="Amiri"/>
          <w:lang w:bidi="ar-SA"/>
          <w:color w:val="111111"/>
          <w:sz w:val="28"/>
          <w:szCs w:val="28"/>
          <w:rtl/>
        </w:rPr>
        <w:t xml:space="preserve">قرداغي ، عبدالرحمن بن محمّد</w:t>
      </w:r>
    </w:p>
    <w:p>
      <w:pPr>
        <w:pStyle w:val="BookText"/>
      </w:pPr>
      <w:r>
        <w:rPr>
          <w:rFonts w:ascii="Amiri" w:hAnsi="Amiri" w:eastAsia="Amiri" w:cs="Amiri"/>
          <w:lang w:bidi="ar-SA"/>
          <w:color w:val="111111"/>
          <w:sz w:val="28"/>
          <w:szCs w:val="28"/>
          <w:rtl/>
        </w:rPr>
        <w:t xml:space="preserve">عبدالرحمن بن محمّد قرشي -قرشي</w:t>
      </w:r>
    </w:p>
    <w:p>
      <w:pPr>
        <w:pStyle w:val="BookText"/>
      </w:pPr>
      <w:r>
        <w:rPr>
          <w:rFonts w:ascii="Amiri" w:hAnsi="Amiri" w:eastAsia="Amiri" w:cs="Amiri"/>
          <w:lang w:bidi="ar-SA"/>
          <w:color w:val="111111"/>
          <w:sz w:val="28"/>
          <w:szCs w:val="28"/>
          <w:rtl/>
        </w:rPr>
        <w:t xml:space="preserve">مرجاني، عبدالرحمن بن محمّد</w:t>
      </w:r>
    </w:p>
    <w:p>
      <w:pPr>
        <w:pStyle w:val="BookText"/>
      </w:pPr>
      <w:r>
        <w:rPr>
          <w:rFonts w:ascii="Amiri" w:hAnsi="Amiri" w:eastAsia="Amiri" w:cs="Amiri"/>
          <w:lang w:bidi="ar-SA"/>
          <w:color w:val="111111"/>
          <w:sz w:val="28"/>
          <w:szCs w:val="28"/>
          <w:rtl/>
        </w:rPr>
        <w:t xml:space="preserve">عبدالرحمن بن محمّد كزبري- كزبري</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IRNazanin" w:hAnsi="IRNazanin" w:eastAsia="IRNazanin" w:cs="IRNazanin"/>
          <w:lang w:bidi="fa-IR"/>
          <w:color w:val="111111"/>
          <w:sz w:val="28"/>
          <w:szCs w:val="28"/>
          <w:rtl/>
        </w:rPr>
        <w:t xml:space="preserve">، عبد الرحمن بن مروان</w:t>
      </w:r>
    </w:p>
    <w:p>
      <w:pPr>
        <w:pStyle w:val="BookText"/>
      </w:pPr>
      <w:r>
        <w:rPr>
          <w:rFonts w:ascii="Amiri" w:hAnsi="Amiri" w:eastAsia="Amiri" w:cs="Amiri"/>
          <w:lang w:bidi="ar-SA"/>
          <w:color w:val="111111"/>
          <w:sz w:val="28"/>
          <w:szCs w:val="28"/>
          <w:rtl/>
        </w:rPr>
        <w:t xml:space="preserve">عبدالرحمن بن مروان تنوجي -ابن منجم عبدالرحمن بن مروان</w:t>
      </w:r>
    </w:p>
    <w:p>
      <w:pPr>
        <w:pStyle w:val="BookText"/>
      </w:pPr>
      <w:r>
        <w:rPr>
          <w:rFonts w:ascii="Amiri" w:hAnsi="Amiri" w:eastAsia="Amiri" w:cs="Amiri"/>
          <w:lang w:bidi="ar-SA"/>
          <w:color w:val="111111"/>
          <w:sz w:val="28"/>
          <w:szCs w:val="28"/>
          <w:rtl/>
        </w:rPr>
        <w:t xml:space="preserve">عبدالرحمن بن مروان خطيب مغربي -ابن</w:t>
      </w:r>
    </w:p>
    <w:p>
      <w:pPr>
        <w:pStyle w:val="BookText"/>
      </w:pPr>
      <w:r>
        <w:rPr>
          <w:rFonts w:ascii="IRNazanin" w:hAnsi="IRNazanin" w:eastAsia="IRNazanin" w:cs="IRNazanin"/>
          <w:lang w:bidi="fa-IR"/>
          <w:color w:val="111111"/>
          <w:sz w:val="28"/>
          <w:szCs w:val="28"/>
          <w:rtl/>
        </w:rPr>
        <w:t xml:space="preserve">منجم ، عبدالرحمن بن مروان</w:t>
      </w:r>
    </w:p>
    <w:p>
      <w:pPr>
        <w:pStyle w:val="BookText"/>
      </w:pPr>
      <w:r>
        <w:rPr>
          <w:rFonts w:ascii="IRNazanin" w:hAnsi="IRNazanin" w:eastAsia="IRNazanin" w:cs="IRNazanin"/>
          <w:lang w:bidi="fa-IR"/>
          <w:color w:val="111111"/>
          <w:sz w:val="28"/>
          <w:szCs w:val="28"/>
          <w:rtl/>
        </w:rPr>
        <w:t xml:space="preserve">عبد الرحمن بن مصطفى</w:t>
      </w:r>
    </w:p>
    <w:p>
      <w:pPr>
        <w:pStyle w:val="BookText"/>
      </w:pPr>
      <w:r>
        <w:rPr>
          <w:rFonts w:ascii="Amiri" w:hAnsi="Amiri" w:eastAsia="Amiri" w:cs="Amiri"/>
          <w:lang w:bidi="ar-SA"/>
          <w:color w:val="111111"/>
          <w:sz w:val="28"/>
          <w:szCs w:val="28"/>
          <w:rtl/>
        </w:rPr>
        <w:t xml:space="preserve">عيدروس- عيدروس ، عبدالرحمن بن مصطفى</w:t>
      </w:r>
    </w:p>
    <w:p>
      <w:pPr>
        <w:pStyle w:val="BookText"/>
      </w:pPr>
      <w:r>
        <w:rPr>
          <w:rFonts w:ascii="Amiri" w:hAnsi="Amiri" w:eastAsia="Amiri" w:cs="Amiri"/>
          <w:lang w:bidi="ar-SA"/>
          <w:color w:val="111111"/>
          <w:sz w:val="28"/>
          <w:szCs w:val="28"/>
          <w:rtl/>
        </w:rPr>
        <w:t xml:space="preserve">عبد الرحمن بن نصر شيزري طبري- شيزري ، عبدالرحمن بن نصر</w:t>
      </w:r>
    </w:p>
    <w:p>
      <w:pPr>
        <w:pStyle w:val="BookText"/>
      </w:pPr>
      <w:r>
        <w:rPr>
          <w:rFonts w:ascii="Amiri" w:hAnsi="Amiri" w:eastAsia="Amiri" w:cs="Amiri"/>
          <w:lang w:bidi="ar-SA"/>
          <w:color w:val="111111"/>
          <w:sz w:val="28"/>
          <w:szCs w:val="28"/>
          <w:rtl/>
        </w:rPr>
        <w:t xml:space="preserve">عبدالرحمن بن يحيى قرشي- قرشي ،</w:t>
      </w:r>
    </w:p>
    <w:p>
      <w:pPr>
        <w:pStyle w:val="BookText"/>
      </w:pPr>
      <w:r>
        <w:rPr>
          <w:rFonts w:ascii="Amiri" w:hAnsi="Amiri" w:eastAsia="Amiri" w:cs="Amiri"/>
          <w:lang w:bidi="ar-SA"/>
          <w:color w:val="111111"/>
          <w:sz w:val="28"/>
          <w:szCs w:val="28"/>
          <w:rtl/>
        </w:rPr>
        <w:t xml:space="preserve">عبد الرحمن بن يحيى</w:t>
      </w:r>
    </w:p>
    <w:p>
      <w:pPr>
        <w:pStyle w:val="BookText"/>
      </w:pPr>
      <w:r>
        <w:rPr>
          <w:rFonts w:ascii="Amiri" w:hAnsi="Amiri" w:eastAsia="Amiri" w:cs="Amiri"/>
          <w:lang w:bidi="ar-SA"/>
          <w:color w:val="111111"/>
          <w:sz w:val="28"/>
          <w:szCs w:val="28"/>
          <w:rtl/>
        </w:rPr>
        <w:t xml:space="preserve">عبدالرحمن بن يحيى ملاح -ملاح</w:t>
      </w:r>
    </w:p>
    <w:p>
      <w:pPr>
        <w:pStyle w:val="BookText"/>
      </w:pPr>
      <w:r>
        <w:rPr>
          <w:rFonts w:ascii="Amiri" w:hAnsi="Amiri" w:eastAsia="Amiri" w:cs="Amiri"/>
          <w:lang w:bidi="ar-SA"/>
          <w:color w:val="111111"/>
          <w:sz w:val="28"/>
          <w:szCs w:val="28"/>
          <w:rtl/>
        </w:rPr>
        <w:t xml:space="preserve">عبد الرحمن بن يحيى</w:t>
      </w:r>
    </w:p>
    <w:p>
      <w:pPr>
        <w:pStyle w:val="BookText"/>
      </w:pPr>
      <w:r>
        <w:rPr>
          <w:rFonts w:ascii="Amiri" w:hAnsi="Amiri" w:eastAsia="Amiri" w:cs="Amiri"/>
          <w:lang w:bidi="ar-SA"/>
          <w:color w:val="111111"/>
          <w:sz w:val="28"/>
          <w:szCs w:val="28"/>
          <w:rtl/>
        </w:rPr>
        <w:t xml:space="preserve">عبدالرحمن بن يخلفتن- ابن يخلفتن</w:t>
      </w:r>
    </w:p>
    <w:p>
      <w:pPr>
        <w:pStyle w:val="BookText"/>
      </w:pPr>
      <w:r>
        <w:rPr>
          <w:rFonts w:ascii="Amiri" w:hAnsi="Amiri" w:eastAsia="Amiri" w:cs="Amiri"/>
          <w:lang w:bidi="ar-SA"/>
          <w:color w:val="111111"/>
          <w:sz w:val="28"/>
          <w:szCs w:val="28"/>
          <w:rtl/>
        </w:rPr>
        <w:t xml:space="preserve">عبد الرحمن بن يخلفتن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35" w:name="pg7742_70729"/>
    <w:bookmarkEnd w:id="735"/>
    <w:p>
      <w:pPr>
        <w:pStyle w:val="BookText"/>
      </w:pPr>
      <w:r>
        <w:rPr>
          <w:rFonts w:ascii="Amiri" w:hAnsi="Amiri" w:eastAsia="Amiri" w:cs="Amiri"/>
          <w:lang w:bidi="ar-SA"/>
          <w:color w:val="111111"/>
          <w:sz w:val="28"/>
          <w:szCs w:val="28"/>
          <w:rtl/>
        </w:rPr>
        <w:t xml:space="preserve">عبدالرحمن بن يوسف أقسرائي - أقسرائي ،</w:t>
      </w:r>
    </w:p>
    <w:p>
      <w:pPr>
        <w:pStyle w:val="BookText"/>
      </w:pPr>
      <w:r>
        <w:rPr>
          <w:rFonts w:ascii="Amiri" w:hAnsi="Amiri" w:eastAsia="Amiri" w:cs="Amiri"/>
          <w:lang w:bidi="ar-SA"/>
          <w:color w:val="111111"/>
          <w:sz w:val="28"/>
          <w:szCs w:val="28"/>
          <w:rtl/>
        </w:rPr>
        <w:t xml:space="preserve">عبد الرحمن بن يوسف</w:t>
      </w:r>
    </w:p>
    <w:p>
      <w:pPr>
        <w:pStyle w:val="BookText"/>
      </w:pPr>
      <w:r>
        <w:rPr>
          <w:rFonts w:ascii="IRNazanin" w:hAnsi="IRNazanin" w:eastAsia="IRNazanin" w:cs="IRNazanin"/>
          <w:lang w:bidi="fa-IR"/>
          <w:color w:val="111111"/>
          <w:sz w:val="28"/>
          <w:szCs w:val="28"/>
          <w:rtl/>
        </w:rPr>
        <w:t xml:space="preserve">عبد الرحمن بن یوسف اصفوني -اصفوني ،</w:t>
      </w:r>
    </w:p>
    <w:p>
      <w:pPr>
        <w:pStyle w:val="BookText"/>
      </w:pPr>
      <w:r>
        <w:rPr>
          <w:rFonts w:ascii="Amiri" w:hAnsi="Amiri" w:eastAsia="Amiri" w:cs="Amiri"/>
          <w:lang w:bidi="ar-SA"/>
          <w:color w:val="111111"/>
          <w:sz w:val="28"/>
          <w:szCs w:val="28"/>
          <w:rtl/>
        </w:rPr>
        <w:t xml:space="preserve">عبد الرحمن بن يوسف</w:t>
      </w:r>
    </w:p>
    <w:p>
      <w:pPr>
        <w:pStyle w:val="BookText"/>
      </w:pPr>
      <w:r>
        <w:rPr>
          <w:rFonts w:ascii="Amiri" w:hAnsi="Amiri" w:eastAsia="Amiri" w:cs="Amiri"/>
          <w:lang w:bidi="ar-SA"/>
          <w:color w:val="111111"/>
          <w:sz w:val="28"/>
          <w:szCs w:val="28"/>
          <w:rtl/>
        </w:rPr>
        <w:t xml:space="preserve">عبد الرحمن بن يوسف بن صائغ -ابن</w:t>
      </w:r>
    </w:p>
    <w:p>
      <w:pPr>
        <w:pStyle w:val="BookText"/>
      </w:pPr>
      <w:r>
        <w:rPr>
          <w:rFonts w:ascii="Amiri" w:hAnsi="Amiri" w:eastAsia="Amiri" w:cs="Amiri"/>
          <w:lang w:bidi="ar-SA"/>
          <w:color w:val="111111"/>
          <w:sz w:val="28"/>
          <w:szCs w:val="28"/>
          <w:rtl/>
        </w:rPr>
        <w:t xml:space="preserve">صائغ ، عبدالرحمن بن يوسف</w:t>
      </w:r>
    </w:p>
    <w:p>
      <w:pPr>
        <w:pStyle w:val="BookText"/>
      </w:pPr>
      <w:r>
        <w:rPr>
          <w:rFonts w:ascii="Amiri" w:hAnsi="Amiri" w:eastAsia="Amiri" w:cs="Amiri"/>
          <w:lang w:bidi="ar-SA"/>
          <w:color w:val="111111"/>
          <w:sz w:val="28"/>
          <w:szCs w:val="28"/>
          <w:rtl/>
        </w:rPr>
        <w:t xml:space="preserve">عبد الرحمن بن يوسف بن عبدالرحمن</w:t>
      </w:r>
    </w:p>
    <w:p>
      <w:pPr>
        <w:pStyle w:val="BookText"/>
      </w:pPr>
      <w:r>
        <w:rPr>
          <w:rFonts w:ascii="Amiri" w:hAnsi="Amiri" w:eastAsia="Amiri" w:cs="Amiri"/>
          <w:lang w:bidi="ar-SA"/>
          <w:color w:val="111111"/>
          <w:sz w:val="28"/>
          <w:szCs w:val="28"/>
          <w:rtl/>
        </w:rPr>
        <w:t xml:space="preserve">بجائي -بجائي ، عبدالرحمن بن يوسف</w:t>
      </w:r>
    </w:p>
    <w:p>
      <w:pPr>
        <w:pStyle w:val="BookText"/>
      </w:pPr>
      <w:r>
        <w:rPr>
          <w:rFonts w:ascii="Amiri" w:hAnsi="Amiri" w:eastAsia="Amiri" w:cs="Amiri"/>
          <w:lang w:bidi="ar-SA"/>
          <w:color w:val="111111"/>
          <w:sz w:val="28"/>
          <w:szCs w:val="28"/>
          <w:rtl/>
        </w:rPr>
        <w:t xml:space="preserve">عبد الرحمن بن يوسف مزي -مزي</w:t>
      </w:r>
    </w:p>
    <w:p>
      <w:pPr>
        <w:pStyle w:val="BookText"/>
      </w:pPr>
      <w:r>
        <w:rPr>
          <w:rFonts w:ascii="Amiri" w:hAnsi="Amiri" w:eastAsia="Amiri" w:cs="Amiri"/>
          <w:lang w:bidi="ar-SA"/>
          <w:color w:val="111111"/>
          <w:sz w:val="28"/>
          <w:szCs w:val="28"/>
          <w:rtl/>
        </w:rPr>
        <w:t xml:space="preserve">عبدالرحمن بن يوسف</w:t>
      </w:r>
    </w:p>
    <w:p>
      <w:pPr>
        <w:pStyle w:val="BookText"/>
      </w:pPr>
      <w:r>
        <w:rPr>
          <w:rFonts w:ascii="IRNazanin" w:hAnsi="IRNazanin" w:eastAsia="IRNazanin" w:cs="IRNazanin"/>
          <w:lang w:bidi="fa-IR"/>
          <w:color w:val="111111"/>
          <w:sz w:val="28"/>
          <w:szCs w:val="28"/>
          <w:rtl/>
        </w:rPr>
        <w:t xml:space="preserve">عبدالرحمن پنجوني -پنجوني ، عبدالرحمن</w:t>
      </w:r>
    </w:p>
    <w:p>
      <w:pPr>
        <w:pStyle w:val="BookText"/>
      </w:pPr>
      <w:r>
        <w:rPr>
          <w:rFonts w:ascii="Amiri" w:hAnsi="Amiri" w:eastAsia="Amiri" w:cs="Amiri"/>
          <w:lang w:bidi="ar-SA"/>
          <w:color w:val="111111"/>
          <w:sz w:val="28"/>
          <w:szCs w:val="28"/>
          <w:rtl/>
        </w:rPr>
        <w:t xml:space="preserve">عبد الرحمن تاجوري - تاجوري ،</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عبد الرحمن جامي -جامي ، عبدالرحمن</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عبدالرحمن جرجاني - جرجاني ،</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عبد الرحمن حنبلي- حنبلي ، عبدالرحمن</w:t>
      </w:r>
    </w:p>
    <w:p>
      <w:pPr>
        <w:pStyle w:val="BookText"/>
      </w:pPr>
      <w:r>
        <w:rPr>
          <w:rFonts w:ascii="Amiri" w:hAnsi="Amiri" w:eastAsia="Amiri" w:cs="Amiri"/>
          <w:lang w:bidi="ar-SA"/>
          <w:color w:val="111111"/>
          <w:sz w:val="28"/>
          <w:szCs w:val="28"/>
          <w:rtl/>
        </w:rPr>
        <w:t xml:space="preserve">عبد الرحمن سلمي -سلمي ، محمّد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عبد الرحمن عبد الحكم -ابن عبد الحكم</w:t>
      </w:r>
    </w:p>
    <w:p>
      <w:pPr>
        <w:pStyle w:val="BookText"/>
      </w:pPr>
      <w:r>
        <w:rPr>
          <w:rFonts w:ascii="IRNazanin" w:hAnsi="IRNazanin" w:eastAsia="IRNazanin" w:cs="IRNazanin"/>
          <w:lang w:bidi="fa-IR"/>
          <w:color w:val="111111"/>
          <w:sz w:val="28"/>
          <w:szCs w:val="28"/>
          <w:rtl/>
        </w:rPr>
        <w:t xml:space="preserve">عبدالرحمن بن عبدالله</w:t>
      </w:r>
    </w:p>
    <w:p>
      <w:pPr>
        <w:pStyle w:val="BookText"/>
      </w:pPr>
      <w:r>
        <w:rPr>
          <w:rFonts w:ascii="Amiri" w:hAnsi="Amiri" w:eastAsia="Amiri" w:cs="Amiri"/>
          <w:lang w:bidi="ar-SA"/>
          <w:color w:val="111111"/>
          <w:sz w:val="28"/>
          <w:szCs w:val="28"/>
          <w:rtl/>
        </w:rPr>
        <w:t xml:space="preserve">عبدالرحمن عبدي باشا الرومي - عبدي</w:t>
      </w:r>
    </w:p>
    <w:p>
      <w:pPr>
        <w:pStyle w:val="BookText"/>
      </w:pPr>
      <w:r>
        <w:rPr>
          <w:rFonts w:ascii="IRNazanin" w:hAnsi="IRNazanin" w:eastAsia="IRNazanin" w:cs="IRNazanin"/>
          <w:lang w:bidi="fa-IR"/>
          <w:color w:val="111111"/>
          <w:sz w:val="28"/>
          <w:szCs w:val="28"/>
          <w:rtl/>
        </w:rPr>
        <w:t xml:space="preserve">پاشا ، عبدالرحمن</w:t>
      </w:r>
    </w:p>
    <w:p>
      <w:pPr>
        <w:pStyle w:val="BookText"/>
      </w:pPr>
      <w:r>
        <w:rPr>
          <w:rFonts w:ascii="Amiri" w:hAnsi="Amiri" w:eastAsia="Amiri" w:cs="Amiri"/>
          <w:lang w:bidi="ar-SA"/>
          <w:color w:val="111111"/>
          <w:sz w:val="28"/>
          <w:szCs w:val="28"/>
          <w:rtl/>
        </w:rPr>
        <w:t xml:space="preserve">عبد الرحمن عدساني- عدساني ،</w:t>
      </w:r>
    </w:p>
    <w:p>
      <w:pPr>
        <w:pStyle w:val="BookText"/>
      </w:pPr>
      <w:r>
        <w:rPr>
          <w:rFonts w:ascii="IRNazanin" w:hAnsi="IRNazanin" w:eastAsia="IRNazanin" w:cs="IRNazanin"/>
          <w:lang w:bidi="fa-IR"/>
          <w:color w:val="111111"/>
          <w:sz w:val="28"/>
          <w:szCs w:val="28"/>
          <w:rtl/>
        </w:rPr>
        <w:t xml:space="preserve">عبدالرحمن</w:t>
      </w:r>
    </w:p>
    <w:p>
      <w:pPr>
        <w:pStyle w:val="BookText"/>
      </w:pPr>
      <w:r>
        <w:rPr>
          <w:rFonts w:ascii="Amiri" w:hAnsi="Amiri" w:eastAsia="Amiri" w:cs="Amiri"/>
          <w:lang w:bidi="ar-SA"/>
          <w:color w:val="111111"/>
          <w:sz w:val="28"/>
          <w:szCs w:val="28"/>
          <w:rtl/>
        </w:rPr>
        <w:t xml:space="preserve">عبد الرحمن عقراوي - عقراوي ،</w:t>
      </w:r>
    </w:p>
    <w:p>
      <w:pPr>
        <w:pStyle w:val="BookText"/>
      </w:pPr>
      <w:r>
        <w:rPr>
          <w:rFonts w:ascii="IRNazanin" w:hAnsi="IRNazanin" w:eastAsia="IRNazanin" w:cs="IRNazanin"/>
          <w:lang w:bidi="fa-IR"/>
          <w:color w:val="111111"/>
          <w:sz w:val="28"/>
          <w:szCs w:val="28"/>
          <w:rtl/>
        </w:rPr>
        <w:t xml:space="preserve">عبدالرحمن</w:t>
      </w:r>
    </w:p>
    <w:p>
      <w:pPr>
        <w:pStyle w:val="BookText"/>
      </w:pPr>
      <w:r>
        <w:rPr>
          <w:rFonts w:ascii="Amiri" w:hAnsi="Amiri" w:eastAsia="Amiri" w:cs="Amiri"/>
          <w:lang w:bidi="ar-SA"/>
          <w:color w:val="111111"/>
          <w:sz w:val="28"/>
          <w:szCs w:val="28"/>
          <w:rtl/>
        </w:rPr>
        <w:t xml:space="preserve">عبد الرحمن عيني- ابن العيني ،</w:t>
      </w:r>
    </w:p>
    <w:p>
      <w:pPr>
        <w:pStyle w:val="BookText"/>
      </w:pPr>
      <w:r>
        <w:rPr>
          <w:rFonts w:ascii="Amiri" w:hAnsi="Amiri" w:eastAsia="Amiri" w:cs="Amiri"/>
          <w:lang w:bidi="ar-SA"/>
          <w:color w:val="111111"/>
          <w:sz w:val="28"/>
          <w:szCs w:val="28"/>
          <w:rtl/>
        </w:rPr>
        <w:t xml:space="preserve">عبدالرحمن بن ابي بكر</w:t>
      </w:r>
    </w:p>
    <w:p>
      <w:pPr>
        <w:pStyle w:val="BookText"/>
      </w:pPr>
      <w:r>
        <w:rPr>
          <w:rFonts w:ascii="Amiri" w:hAnsi="Amiri" w:eastAsia="Amiri" w:cs="Amiri"/>
          <w:lang w:bidi="ar-SA"/>
          <w:color w:val="111111"/>
          <w:sz w:val="28"/>
          <w:szCs w:val="28"/>
          <w:rtl/>
        </w:rPr>
        <w:t xml:space="preserve">عبد الرحمن قادري -ابن داود ،</w:t>
      </w:r>
    </w:p>
    <w:p>
      <w:pPr>
        <w:pStyle w:val="BookText"/>
      </w:pPr>
      <w:r>
        <w:rPr>
          <w:rFonts w:ascii="Amiri" w:hAnsi="Amiri" w:eastAsia="Amiri" w:cs="Amiri"/>
          <w:lang w:bidi="ar-SA"/>
          <w:color w:val="111111"/>
          <w:sz w:val="28"/>
          <w:szCs w:val="28"/>
          <w:rtl/>
        </w:rPr>
        <w:t xml:space="preserve">عبد الرحمن بن ابي بكر</w:t>
      </w:r>
    </w:p>
    <w:p>
      <w:pPr>
        <w:pStyle w:val="BookText"/>
      </w:pPr>
      <w:r>
        <w:rPr>
          <w:rFonts w:ascii="Amiri" w:hAnsi="Amiri" w:eastAsia="Amiri" w:cs="Amiri"/>
          <w:lang w:bidi="ar-SA"/>
          <w:color w:val="111111"/>
          <w:sz w:val="28"/>
          <w:szCs w:val="28"/>
          <w:rtl/>
        </w:rPr>
        <w:t xml:space="preserve">عبد الرحمن قرماني- قرماني ، عبدالرحمن</w:t>
      </w:r>
    </w:p>
    <w:p>
      <w:pPr>
        <w:pStyle w:val="BookText"/>
      </w:pPr>
      <w:r>
        <w:rPr>
          <w:rFonts w:ascii="Amiri" w:hAnsi="Amiri" w:eastAsia="Amiri" w:cs="Amiri"/>
          <w:lang w:bidi="ar-SA"/>
          <w:color w:val="111111"/>
          <w:sz w:val="28"/>
          <w:szCs w:val="28"/>
          <w:rtl/>
        </w:rPr>
        <w:t xml:space="preserve">عبد الرحمن كلوري -كلوري ، عبدالرحمن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عبد الرحمن مفنصير -مفنصير ،</w:t>
      </w:r>
    </w:p>
    <w:p>
      <w:pPr>
        <w:pStyle w:val="BookText"/>
      </w:pPr>
      <w:r>
        <w:rPr>
          <w:rFonts w:ascii="Amiri" w:hAnsi="Amiri" w:eastAsia="Amiri" w:cs="Amiri"/>
          <w:lang w:bidi="ar-SA"/>
          <w:color w:val="111111"/>
          <w:sz w:val="28"/>
          <w:szCs w:val="28"/>
          <w:rtl/>
        </w:rPr>
        <w:t xml:space="preserve">عبد الرحمن وراق حلبي- حلبي</w:t>
      </w:r>
    </w:p>
    <w:p>
      <w:pPr>
        <w:pStyle w:val="BookText"/>
      </w:pPr>
      <w:r>
        <w:rPr>
          <w:rFonts w:ascii="IRNazanin" w:hAnsi="IRNazanin" w:eastAsia="IRNazanin" w:cs="IRNazanin"/>
          <w:lang w:bidi="fa-IR"/>
          <w:color w:val="111111"/>
          <w:sz w:val="28"/>
          <w:szCs w:val="28"/>
          <w:rtl/>
        </w:rPr>
        <w:t xml:space="preserve">عبدالرحمن وراق</w:t>
      </w:r>
    </w:p>
    <w:p>
      <w:pPr>
        <w:pStyle w:val="Heading2"/>
      </w:pPr>
      <w:bookmarkStart w:id="5807" w:name="_Toc4909"/>
      <w:r>
        <w:t>عبد الرحيم قرن 11 ه-</w:t>
      </w:r>
      <w:bookmarkEnd w:id="5807"/>
    </w:p>
    <w:p>
      <w:pPr>
        <w:pStyle w:val="BookText"/>
      </w:pPr>
      <w:r>
        <w:rPr>
          <w:rFonts w:ascii="IRNazanin" w:hAnsi="IRNazanin" w:eastAsia="IRNazanin" w:cs="IRNazanin"/>
          <w:lang w:bidi="fa-IR"/>
          <w:color w:val="111111"/>
          <w:sz w:val="28"/>
          <w:szCs w:val="28"/>
          <w:rtl/>
        </w:rPr>
        <w:t xml:space="preserve">1 .صرف منظوم، ج 10، ص 558.</w:t>
      </w:r>
    </w:p>
    <w:p>
      <w:pPr>
        <w:pStyle w:val="BookText"/>
      </w:pPr>
      <w:r>
        <w:rPr>
          <w:rFonts w:ascii="Amiri" w:hAnsi="Amiri" w:eastAsia="Amiri" w:cs="Amiri"/>
          <w:lang w:bidi="ar-SA"/>
          <w:color w:val="111111"/>
          <w:sz w:val="28"/>
          <w:szCs w:val="28"/>
          <w:rtl/>
        </w:rPr>
        <w:t xml:space="preserve">2 .القضايا الفقهية، ج 12، ص 742.</w:t>
      </w:r>
    </w:p>
    <w:p>
      <w:pPr>
        <w:pStyle w:val="BookText"/>
      </w:pPr>
      <w:r>
        <w:rPr>
          <w:rFonts w:ascii="Amiri" w:hAnsi="Amiri" w:eastAsia="Amiri" w:cs="Amiri"/>
          <w:lang w:bidi="ar-SA"/>
          <w:color w:val="111111"/>
          <w:sz w:val="28"/>
          <w:szCs w:val="28"/>
          <w:rtl/>
        </w:rPr>
        <w:t xml:space="preserve">عبد الرحيم احمد قاضي- قاضي</w:t>
      </w:r>
    </w:p>
    <w:p>
      <w:pPr>
        <w:pStyle w:val="BookText"/>
      </w:pPr>
      <w:r>
        <w:rPr>
          <w:rFonts w:ascii="Amiri" w:hAnsi="Amiri" w:eastAsia="Amiri" w:cs="Amiri"/>
          <w:lang w:bidi="ar-SA"/>
          <w:color w:val="111111"/>
          <w:sz w:val="28"/>
          <w:szCs w:val="28"/>
          <w:rtl/>
        </w:rPr>
        <w:t xml:space="preserve">عبدالرحيم بن احمد</w:t>
      </w:r>
    </w:p>
    <w:p>
      <w:pPr>
        <w:pStyle w:val="BookText"/>
      </w:pPr>
      <w:r>
        <w:rPr>
          <w:rFonts w:ascii="Amiri" w:hAnsi="Amiri" w:eastAsia="Amiri" w:cs="Amiri"/>
          <w:lang w:bidi="ar-SA"/>
          <w:color w:val="111111"/>
          <w:sz w:val="28"/>
          <w:szCs w:val="28"/>
          <w:rtl/>
        </w:rPr>
        <w:t xml:space="preserve">عبد الرحيم اوجلي -اوجلي مغربي ،</w:t>
      </w:r>
    </w:p>
    <w:p>
      <w:pPr>
        <w:pStyle w:val="BookText"/>
      </w:pPr>
      <w:r>
        <w:rPr>
          <w:rFonts w:ascii="Amiri" w:hAnsi="Amiri" w:eastAsia="Amiri" w:cs="Amiri"/>
          <w:lang w:bidi="ar-SA"/>
          <w:color w:val="111111"/>
          <w:sz w:val="28"/>
          <w:szCs w:val="28"/>
          <w:rtl/>
        </w:rPr>
        <w:t xml:space="preserve">عبد الرحيم</w:t>
      </w:r>
    </w:p>
    <w:p>
      <w:pPr>
        <w:pStyle w:val="BookText"/>
      </w:pPr>
      <w:r>
        <w:rPr>
          <w:rFonts w:ascii="IRNazanin" w:hAnsi="IRNazanin" w:eastAsia="IRNazanin" w:cs="IRNazanin"/>
          <w:lang w:bidi="fa-IR"/>
          <w:color w:val="111111"/>
          <w:sz w:val="28"/>
          <w:szCs w:val="28"/>
          <w:rtl/>
        </w:rPr>
        <w:t xml:space="preserve">عبدالرحیم بردعي يماني- بردعي ،</w:t>
      </w:r>
    </w:p>
    <w:p>
      <w:pPr>
        <w:pStyle w:val="BookText"/>
      </w:pPr>
      <w:r>
        <w:rPr>
          <w:rFonts w:ascii="Amiri" w:hAnsi="Amiri" w:eastAsia="Amiri" w:cs="Amiri"/>
          <w:lang w:bidi="ar-SA"/>
          <w:color w:val="111111"/>
          <w:sz w:val="28"/>
          <w:szCs w:val="28"/>
          <w:rtl/>
        </w:rPr>
        <w:t xml:space="preserve">عبد الرحيم</w:t>
      </w:r>
    </w:p>
    <w:p>
      <w:pPr>
        <w:pStyle w:val="BookText"/>
      </w:pPr>
      <w:r>
        <w:rPr>
          <w:rFonts w:ascii="IRNazanin" w:hAnsi="IRNazanin" w:eastAsia="IRNazanin" w:cs="IRNazanin"/>
          <w:lang w:bidi="fa-IR"/>
          <w:color w:val="111111"/>
          <w:sz w:val="28"/>
          <w:szCs w:val="28"/>
          <w:rtl/>
        </w:rPr>
        <w:t xml:space="preserve">عبدالرحيم بن آدي گوزل مراغي -گوزل ،</w:t>
      </w:r>
    </w:p>
    <w:p>
      <w:pPr>
        <w:pStyle w:val="BookText"/>
      </w:pPr>
      <w:r>
        <w:rPr>
          <w:rFonts w:ascii="Amiri" w:hAnsi="Amiri" w:eastAsia="Amiri" w:cs="Amiri"/>
          <w:lang w:bidi="ar-SA"/>
          <w:color w:val="111111"/>
          <w:sz w:val="28"/>
          <w:szCs w:val="28"/>
          <w:rtl/>
        </w:rPr>
        <w:t xml:space="preserve">عبدالرحيم بن ادي</w:t>
      </w:r>
    </w:p>
    <w:p>
      <w:pPr>
        <w:pStyle w:val="BookText"/>
      </w:pPr>
      <w:r>
        <w:rPr>
          <w:rFonts w:ascii="Amiri" w:hAnsi="Amiri" w:eastAsia="Amiri" w:cs="Amiri"/>
          <w:lang w:bidi="ar-SA"/>
          <w:color w:val="111111"/>
          <w:sz w:val="28"/>
          <w:szCs w:val="28"/>
          <w:rtl/>
        </w:rPr>
        <w:t xml:space="preserve">عبد الرحيم بن ابراهيم البارزي -ابن بارزي</w:t>
      </w:r>
    </w:p>
    <w:p>
      <w:pPr>
        <w:pStyle w:val="BookText"/>
      </w:pPr>
      <w:r>
        <w:rPr>
          <w:rFonts w:ascii="Amiri" w:hAnsi="Amiri" w:eastAsia="Amiri" w:cs="Amiri"/>
          <w:lang w:bidi="ar-SA"/>
          <w:color w:val="111111"/>
          <w:sz w:val="28"/>
          <w:szCs w:val="28"/>
          <w:rtl/>
        </w:rPr>
        <w:t xml:space="preserve">، عبدالرحيم بن ابراهيم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36" w:name="pg7742_70730"/>
    <w:bookmarkEnd w:id="736"/>
    <w:p>
      <w:pPr>
        <w:pStyle w:val="BookText"/>
      </w:pPr>
      <w:r>
        <w:rPr>
          <w:rFonts w:ascii="Amiri" w:hAnsi="Amiri" w:eastAsia="Amiri" w:cs="Amiri"/>
          <w:lang w:bidi="ar-SA"/>
          <w:color w:val="111111"/>
          <w:sz w:val="28"/>
          <w:szCs w:val="28"/>
          <w:rtl/>
        </w:rPr>
        <w:t xml:space="preserve">عبد الرحيم بن ابراهيم بن هبة الله -ابن</w:t>
      </w:r>
    </w:p>
    <w:p>
      <w:pPr>
        <w:pStyle w:val="BookText"/>
      </w:pPr>
      <w:r>
        <w:rPr>
          <w:rFonts w:ascii="Amiri" w:hAnsi="Amiri" w:eastAsia="Amiri" w:cs="Amiri"/>
          <w:lang w:bidi="ar-SA"/>
          <w:color w:val="111111"/>
          <w:sz w:val="28"/>
          <w:szCs w:val="28"/>
          <w:rtl/>
        </w:rPr>
        <w:t xml:space="preserve">بارزي، عبد الرحيم بن ابراهيم</w:t>
      </w:r>
    </w:p>
    <w:p>
      <w:pPr>
        <w:pStyle w:val="BookText"/>
      </w:pPr>
      <w:r>
        <w:rPr>
          <w:rFonts w:ascii="Amiri" w:hAnsi="Amiri" w:eastAsia="Amiri" w:cs="Amiri"/>
          <w:lang w:bidi="ar-SA"/>
          <w:color w:val="111111"/>
          <w:sz w:val="28"/>
          <w:szCs w:val="28"/>
          <w:rtl/>
        </w:rPr>
        <w:t xml:space="preserve">عبد الرحيم بن ابي بكر مرعشي -مرعشي</w:t>
      </w:r>
    </w:p>
    <w:p>
      <w:pPr>
        <w:pStyle w:val="BookText"/>
      </w:pPr>
      <w:r>
        <w:rPr>
          <w:rFonts w:ascii="Amiri" w:hAnsi="Amiri" w:eastAsia="Amiri" w:cs="Amiri"/>
          <w:lang w:bidi="ar-SA"/>
          <w:color w:val="111111"/>
          <w:sz w:val="28"/>
          <w:szCs w:val="28"/>
          <w:rtl/>
        </w:rPr>
        <w:t xml:space="preserve">عبد الرحيم بن ابي بكر</w:t>
      </w:r>
    </w:p>
    <w:p>
      <w:pPr>
        <w:pStyle w:val="BookText"/>
      </w:pPr>
      <w:r>
        <w:rPr>
          <w:rFonts w:ascii="Amiri" w:hAnsi="Amiri" w:eastAsia="Amiri" w:cs="Amiri"/>
          <w:lang w:bidi="ar-SA"/>
          <w:color w:val="111111"/>
          <w:sz w:val="28"/>
          <w:szCs w:val="28"/>
          <w:rtl/>
        </w:rPr>
        <w:t xml:space="preserve">عبد الرحيم بن أبي بكر مرغيناني- مرغيناني</w:t>
      </w:r>
    </w:p>
    <w:p>
      <w:pPr>
        <w:pStyle w:val="BookText"/>
      </w:pPr>
      <w:r>
        <w:rPr>
          <w:rFonts w:ascii="Amiri" w:hAnsi="Amiri" w:eastAsia="Amiri" w:cs="Amiri"/>
          <w:lang w:bidi="ar-SA"/>
          <w:color w:val="111111"/>
          <w:sz w:val="28"/>
          <w:szCs w:val="28"/>
          <w:rtl/>
        </w:rPr>
        <w:t xml:space="preserve">، عبدالرحيم بن ابي بكر</w:t>
      </w:r>
    </w:p>
    <w:p>
      <w:pPr>
        <w:pStyle w:val="BookText"/>
      </w:pPr>
      <w:r>
        <w:rPr>
          <w:rFonts w:ascii="Amiri" w:hAnsi="Amiri" w:eastAsia="Amiri" w:cs="Amiri"/>
          <w:lang w:bidi="ar-SA"/>
          <w:color w:val="111111"/>
          <w:sz w:val="28"/>
          <w:szCs w:val="28"/>
          <w:rtl/>
        </w:rPr>
        <w:t xml:space="preserve">عبد الرحيم بن احمد الشرواني الرومي -شرواني ، عبدالرحيم بن احمد</w:t>
      </w:r>
    </w:p>
    <w:p>
      <w:pPr>
        <w:pStyle w:val="BookText"/>
      </w:pPr>
      <w:r>
        <w:rPr>
          <w:rFonts w:ascii="Amiri" w:hAnsi="Amiri" w:eastAsia="Amiri" w:cs="Amiri"/>
          <w:lang w:bidi="ar-SA"/>
          <w:color w:val="111111"/>
          <w:sz w:val="28"/>
          <w:szCs w:val="28"/>
          <w:rtl/>
        </w:rPr>
        <w:t xml:space="preserve">عبد الرحيم بن احمد القاضي- قاضي</w:t>
      </w:r>
    </w:p>
    <w:p>
      <w:pPr>
        <w:pStyle w:val="BookText"/>
      </w:pPr>
      <w:r>
        <w:rPr>
          <w:rFonts w:ascii="Amiri" w:hAnsi="Amiri" w:eastAsia="Amiri" w:cs="Amiri"/>
          <w:lang w:bidi="ar-SA"/>
          <w:color w:val="111111"/>
          <w:sz w:val="28"/>
          <w:szCs w:val="28"/>
          <w:rtl/>
        </w:rPr>
        <w:t xml:space="preserve">عبد الرحيم بن احمد</w:t>
      </w:r>
    </w:p>
    <w:p>
      <w:pPr>
        <w:pStyle w:val="BookText"/>
      </w:pPr>
      <w:r>
        <w:rPr>
          <w:rFonts w:ascii="Amiri" w:hAnsi="Amiri" w:eastAsia="Amiri" w:cs="Amiri"/>
          <w:lang w:bidi="ar-SA"/>
          <w:color w:val="111111"/>
          <w:sz w:val="28"/>
          <w:szCs w:val="28"/>
          <w:rtl/>
        </w:rPr>
        <w:t xml:space="preserve">عبد الرحيم بن احمد برعي -برعي ، عبدالرحيم بن احمد</w:t>
      </w:r>
    </w:p>
    <w:p>
      <w:pPr>
        <w:pStyle w:val="BookText"/>
      </w:pPr>
      <w:r>
        <w:rPr>
          <w:rFonts w:ascii="Amiri" w:hAnsi="Amiri" w:eastAsia="Amiri" w:cs="Amiri"/>
          <w:lang w:bidi="ar-SA"/>
          <w:color w:val="111111"/>
          <w:sz w:val="28"/>
          <w:szCs w:val="28"/>
          <w:rtl/>
        </w:rPr>
        <w:t xml:space="preserve">عبدالرحيم بن احمد سوربهاري- سوربهاري، عبدالرحيم بن احمد</w:t>
      </w:r>
    </w:p>
    <w:p>
      <w:pPr>
        <w:pStyle w:val="BookText"/>
      </w:pPr>
      <w:r>
        <w:rPr>
          <w:rFonts w:ascii="IRNazanin" w:hAnsi="IRNazanin" w:eastAsia="IRNazanin" w:cs="IRNazanin"/>
          <w:lang w:bidi="fa-IR"/>
          <w:color w:val="111111"/>
          <w:sz w:val="28"/>
          <w:szCs w:val="28"/>
          <w:rtl/>
        </w:rPr>
        <w:t xml:space="preserve">عبد الرحيم بن ادي گوزل- گوزل</w:t>
      </w:r>
    </w:p>
    <w:p>
      <w:pPr>
        <w:pStyle w:val="BookText"/>
      </w:pPr>
      <w:r>
        <w:rPr>
          <w:rFonts w:ascii="Amiri" w:hAnsi="Amiri" w:eastAsia="Amiri" w:cs="Amiri"/>
          <w:lang w:bidi="ar-SA"/>
          <w:color w:val="111111"/>
          <w:sz w:val="28"/>
          <w:szCs w:val="28"/>
          <w:rtl/>
        </w:rPr>
        <w:t xml:space="preserve">عبد الرحيم بن ادي</w:t>
      </w:r>
    </w:p>
    <w:p>
      <w:pPr>
        <w:pStyle w:val="BookText"/>
      </w:pPr>
      <w:r>
        <w:rPr>
          <w:rFonts w:ascii="Amiri" w:hAnsi="Amiri" w:eastAsia="Amiri" w:cs="Amiri"/>
          <w:lang w:bidi="ar-SA"/>
          <w:color w:val="111111"/>
          <w:sz w:val="28"/>
          <w:szCs w:val="28"/>
          <w:rtl/>
        </w:rPr>
        <w:t xml:space="preserve">عبد الرحيم بن جيلي- ابن جيلي ،</w:t>
      </w:r>
    </w:p>
    <w:p>
      <w:pPr>
        <w:pStyle w:val="BookText"/>
      </w:pPr>
      <w:r>
        <w:rPr>
          <w:rFonts w:ascii="Amiri" w:hAnsi="Amiri" w:eastAsia="Amiri" w:cs="Amiri"/>
          <w:lang w:bidi="ar-SA"/>
          <w:color w:val="111111"/>
          <w:sz w:val="28"/>
          <w:szCs w:val="28"/>
          <w:rtl/>
        </w:rPr>
        <w:t xml:space="preserve">عبد الرحيم بن جيلي عبد الرحيم بن حسن رضوي</w:t>
      </w:r>
    </w:p>
    <w:p>
      <w:pPr>
        <w:pStyle w:val="BookText"/>
      </w:pPr>
      <w:r>
        <w:rPr>
          <w:rFonts w:ascii="Amiri" w:hAnsi="Amiri" w:eastAsia="Amiri" w:cs="Amiri"/>
          <w:lang w:bidi="ar-SA"/>
          <w:color w:val="111111"/>
          <w:sz w:val="28"/>
          <w:szCs w:val="28"/>
          <w:rtl/>
        </w:rPr>
        <w:t xml:space="preserve">حسيني- رضوي حسيني ، عبدالرحيم بن حسن</w:t>
      </w:r>
    </w:p>
    <w:p>
      <w:pPr>
        <w:pStyle w:val="BookText"/>
      </w:pPr>
      <w:r>
        <w:rPr>
          <w:rFonts w:ascii="Amiri" w:hAnsi="Amiri" w:eastAsia="Amiri" w:cs="Amiri"/>
          <w:lang w:bidi="ar-SA"/>
          <w:color w:val="111111"/>
          <w:sz w:val="28"/>
          <w:szCs w:val="28"/>
          <w:rtl/>
        </w:rPr>
        <w:t xml:space="preserve">عبد الرحيم بن حسين اسنوي- اسنوي</w:t>
      </w:r>
    </w:p>
    <w:p>
      <w:pPr>
        <w:pStyle w:val="BookText"/>
      </w:pPr>
      <w:r>
        <w:rPr>
          <w:rFonts w:ascii="Amiri" w:hAnsi="Amiri" w:eastAsia="Amiri" w:cs="Amiri"/>
          <w:lang w:bidi="ar-SA"/>
          <w:color w:val="111111"/>
          <w:sz w:val="28"/>
          <w:szCs w:val="28"/>
          <w:rtl/>
        </w:rPr>
        <w:t xml:space="preserve">عبد الرحيم بن حسن</w:t>
      </w:r>
    </w:p>
    <w:p>
      <w:pPr>
        <w:pStyle w:val="BookText"/>
      </w:pPr>
      <w:r>
        <w:rPr>
          <w:rFonts w:ascii="Amiri" w:hAnsi="Amiri" w:eastAsia="Amiri" w:cs="Amiri"/>
          <w:lang w:bidi="ar-SA"/>
          <w:color w:val="111111"/>
          <w:sz w:val="28"/>
          <w:szCs w:val="28"/>
          <w:rtl/>
        </w:rPr>
        <w:t xml:space="preserve">عبد الرحيم بن عبد الحسين حائري- حائري عبد الرحيم بن عبد الحسين</w:t>
      </w:r>
    </w:p>
    <w:p>
      <w:pPr>
        <w:pStyle w:val="BookText"/>
      </w:pPr>
      <w:r>
        <w:rPr>
          <w:rFonts w:ascii="Amiri" w:hAnsi="Amiri" w:eastAsia="Amiri" w:cs="Amiri"/>
          <w:lang w:bidi="ar-SA"/>
          <w:color w:val="111111"/>
          <w:sz w:val="28"/>
          <w:szCs w:val="28"/>
          <w:rtl/>
        </w:rPr>
        <w:t xml:space="preserve">عبد الرحيم بن عبدالرحمن عباسي حموي -عباسي ، عبدالرحيم بن عبدالرحمن</w:t>
      </w:r>
    </w:p>
    <w:p>
      <w:pPr>
        <w:pStyle w:val="BookText"/>
      </w:pPr>
      <w:r>
        <w:rPr>
          <w:rFonts w:ascii="IRNazanin" w:hAnsi="IRNazanin" w:eastAsia="IRNazanin" w:cs="IRNazanin"/>
          <w:lang w:bidi="fa-IR"/>
          <w:color w:val="111111"/>
          <w:sz w:val="28"/>
          <w:szCs w:val="28"/>
          <w:rtl/>
        </w:rPr>
        <w:t xml:space="preserve">عبد الرحيم بن عبدالكريم صفي پوري -صفي پوري، عبدالرحیم بن عبدالكريم</w:t>
      </w:r>
    </w:p>
    <w:p>
      <w:pPr>
        <w:pStyle w:val="BookText"/>
      </w:pPr>
      <w:r>
        <w:rPr>
          <w:rFonts w:ascii="Amiri" w:hAnsi="Amiri" w:eastAsia="Amiri" w:cs="Amiri"/>
          <w:lang w:bidi="ar-SA"/>
          <w:color w:val="111111"/>
          <w:sz w:val="28"/>
          <w:szCs w:val="28"/>
          <w:rtl/>
        </w:rPr>
        <w:t xml:space="preserve">عبد الرحيم بن عبدالله حسيني -حسيني ،</w:t>
      </w:r>
    </w:p>
    <w:p>
      <w:pPr>
        <w:pStyle w:val="BookText"/>
      </w:pPr>
      <w:r>
        <w:rPr>
          <w:rFonts w:ascii="Amiri" w:hAnsi="Amiri" w:eastAsia="Amiri" w:cs="Amiri"/>
          <w:lang w:bidi="ar-SA"/>
          <w:color w:val="111111"/>
          <w:sz w:val="28"/>
          <w:szCs w:val="28"/>
          <w:rtl/>
        </w:rPr>
        <w:t xml:space="preserve">عبدالرحيم بن عبدالله</w:t>
      </w:r>
    </w:p>
    <w:p>
      <w:pPr>
        <w:pStyle w:val="BookText"/>
      </w:pPr>
      <w:r>
        <w:rPr>
          <w:rFonts w:ascii="Amiri" w:hAnsi="Amiri" w:eastAsia="Amiri" w:cs="Amiri"/>
          <w:lang w:bidi="ar-SA"/>
          <w:color w:val="111111"/>
          <w:sz w:val="28"/>
          <w:szCs w:val="28"/>
          <w:rtl/>
        </w:rPr>
        <w:t xml:space="preserve">عبد الرحيم بن عبد الله معلاني - معلاني ،</w:t>
      </w:r>
    </w:p>
    <w:p>
      <w:pPr>
        <w:pStyle w:val="BookText"/>
      </w:pPr>
      <w:r>
        <w:rPr>
          <w:rFonts w:ascii="Amiri" w:hAnsi="Amiri" w:eastAsia="Amiri" w:cs="Amiri"/>
          <w:lang w:bidi="ar-SA"/>
          <w:color w:val="111111"/>
          <w:sz w:val="28"/>
          <w:szCs w:val="28"/>
          <w:rtl/>
        </w:rPr>
        <w:t xml:space="preserve">عبدالرحيم بن عبدالله</w:t>
      </w:r>
    </w:p>
    <w:p>
      <w:pPr>
        <w:pStyle w:val="Heading2"/>
      </w:pPr>
      <w:bookmarkStart w:id="5808" w:name="_Toc4910"/>
      <w:r>
        <w:t>عبد الرحيم بن علي قرن 14 ه-</w:t>
      </w:r>
      <w:bookmarkEnd w:id="5808"/>
    </w:p>
    <w:p>
      <w:pPr>
        <w:pStyle w:val="BookText"/>
      </w:pPr>
      <w:r>
        <w:rPr>
          <w:rFonts w:ascii="Amiri" w:hAnsi="Amiri" w:eastAsia="Amiri" w:cs="Amiri"/>
          <w:lang w:bidi="ar-SA"/>
          <w:color w:val="111111"/>
          <w:sz w:val="28"/>
          <w:szCs w:val="28"/>
          <w:rtl/>
        </w:rPr>
        <w:t xml:space="preserve">صلاة المسافر، ج 10، ص 615.</w:t>
      </w:r>
    </w:p>
    <w:p>
      <w:pPr>
        <w:pStyle w:val="BookText"/>
      </w:pPr>
      <w:r>
        <w:rPr>
          <w:rFonts w:ascii="Amiri" w:hAnsi="Amiri" w:eastAsia="Amiri" w:cs="Amiri"/>
          <w:lang w:bidi="ar-SA"/>
          <w:color w:val="111111"/>
          <w:sz w:val="28"/>
          <w:szCs w:val="28"/>
          <w:rtl/>
        </w:rPr>
        <w:t xml:space="preserve">عبد الرحيم بن علي آمدي- آمدي ،</w:t>
      </w:r>
    </w:p>
    <w:p>
      <w:pPr>
        <w:pStyle w:val="BookText"/>
      </w:pPr>
      <w:r>
        <w:rPr>
          <w:rFonts w:ascii="Amiri" w:hAnsi="Amiri" w:eastAsia="Amiri" w:cs="Amiri"/>
          <w:lang w:bidi="ar-SA"/>
          <w:color w:val="111111"/>
          <w:sz w:val="28"/>
          <w:szCs w:val="28"/>
          <w:rtl/>
        </w:rPr>
        <w:t xml:space="preserve">عبدالرحيم بن علي</w:t>
      </w:r>
    </w:p>
    <w:p>
      <w:pPr>
        <w:pStyle w:val="BookText"/>
      </w:pPr>
      <w:r>
        <w:rPr>
          <w:rFonts w:ascii="Amiri" w:hAnsi="Amiri" w:eastAsia="Amiri" w:cs="Amiri"/>
          <w:lang w:bidi="ar-SA"/>
          <w:color w:val="111111"/>
          <w:sz w:val="28"/>
          <w:szCs w:val="28"/>
          <w:rtl/>
        </w:rPr>
        <w:t xml:space="preserve">عبد الرحيم بن علي دخوار -دخوار ، عبد الرحيم بن علي</w:t>
      </w:r>
    </w:p>
    <w:p>
      <w:pPr>
        <w:pStyle w:val="BookText"/>
      </w:pPr>
      <w:r>
        <w:rPr>
          <w:rFonts w:ascii="IRNazanin" w:hAnsi="IRNazanin" w:eastAsia="IRNazanin" w:cs="IRNazanin"/>
          <w:lang w:bidi="fa-IR"/>
          <w:color w:val="111111"/>
          <w:sz w:val="28"/>
          <w:szCs w:val="28"/>
          <w:rtl/>
        </w:rPr>
        <w:t xml:space="preserve">عبد الرحيم بن علي شيخ زاده -شیخ زاده عبد الرحيم بن علي</w:t>
      </w:r>
    </w:p>
    <w:p>
      <w:pPr>
        <w:pStyle w:val="BookText"/>
      </w:pPr>
      <w:r>
        <w:rPr>
          <w:rFonts w:ascii="Amiri" w:hAnsi="Amiri" w:eastAsia="Amiri" w:cs="Amiri"/>
          <w:lang w:bidi="ar-SA"/>
          <w:color w:val="111111"/>
          <w:sz w:val="28"/>
          <w:szCs w:val="28"/>
          <w:rtl/>
        </w:rPr>
        <w:t xml:space="preserve">عبد الرحيم بن علي نجف آبادي</w:t>
      </w:r>
    </w:p>
    <w:p>
      <w:pPr>
        <w:pStyle w:val="BookText"/>
      </w:pPr>
      <w:r>
        <w:rPr>
          <w:rFonts w:ascii="Amiri" w:hAnsi="Amiri" w:eastAsia="Amiri" w:cs="Amiri"/>
          <w:lang w:bidi="ar-SA"/>
          <w:color w:val="111111"/>
          <w:sz w:val="28"/>
          <w:szCs w:val="28"/>
          <w:rtl/>
        </w:rPr>
        <w:t xml:space="preserve">اصفهاني - نجف آبادي اصفهاني ، عبدالرحيم</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عبد الرحيم بن عمر الترجماني- ترجماني</w:t>
      </w:r>
    </w:p>
    <w:p>
      <w:pPr>
        <w:pStyle w:val="BookText"/>
      </w:pPr>
      <w:r>
        <w:rPr>
          <w:rFonts w:ascii="Amiri" w:hAnsi="Amiri" w:eastAsia="Amiri" w:cs="Amiri"/>
          <w:lang w:bidi="ar-SA"/>
          <w:color w:val="111111"/>
          <w:sz w:val="28"/>
          <w:szCs w:val="28"/>
          <w:rtl/>
        </w:rPr>
        <w:t xml:space="preserve">عبد الرحيم بن عمر</w:t>
      </w:r>
    </w:p>
    <w:p>
      <w:pPr>
        <w:pStyle w:val="BookText"/>
      </w:pPr>
      <w:r>
        <w:rPr>
          <w:rFonts w:ascii="Amiri" w:hAnsi="Amiri" w:eastAsia="Amiri" w:cs="Amiri"/>
          <w:lang w:bidi="ar-SA"/>
          <w:color w:val="111111"/>
          <w:sz w:val="28"/>
          <w:szCs w:val="28"/>
          <w:rtl/>
        </w:rPr>
        <w:t xml:space="preserve">عبد الرحيم بن قاضي فاضل -ابن قاضي فاضل ، عبدالرحيم بن علي</w:t>
      </w:r>
    </w:p>
    <w:p>
      <w:pPr>
        <w:pStyle w:val="BookText"/>
      </w:pPr>
      <w:r>
        <w:rPr>
          <w:rFonts w:ascii="IRNazanin" w:hAnsi="IRNazanin" w:eastAsia="IRNazanin" w:cs="IRNazanin"/>
          <w:lang w:bidi="fa-IR"/>
          <w:color w:val="111111"/>
          <w:sz w:val="28"/>
          <w:szCs w:val="28"/>
          <w:rtl/>
        </w:rPr>
        <w:t xml:space="preserve">عبد الرحيم بن محمّد باقر قراباغي-قراباغي ، عبدالرحیم بن محمّد باقر</w:t>
      </w:r>
    </w:p>
    <w:p>
      <w:pPr>
        <w:pStyle w:val="BookText"/>
      </w:pPr>
      <w:r>
        <w:rPr>
          <w:rFonts w:ascii="Amiri" w:hAnsi="Amiri" w:eastAsia="Amiri" w:cs="Amiri"/>
          <w:lang w:bidi="ar-SA"/>
          <w:color w:val="111111"/>
          <w:sz w:val="28"/>
          <w:szCs w:val="28"/>
          <w:rtl/>
        </w:rPr>
        <w:t xml:space="preserve">عبد الرحيم بن محمّد سعيد السويدي</w:t>
      </w:r>
    </w:p>
    <w:p>
      <w:pPr>
        <w:pStyle w:val="BookText"/>
      </w:pPr>
      <w:r>
        <w:rPr>
          <w:rFonts w:ascii="Amiri" w:hAnsi="Amiri" w:eastAsia="Amiri" w:cs="Amiri"/>
          <w:lang w:bidi="ar-SA"/>
          <w:color w:val="111111"/>
          <w:sz w:val="28"/>
          <w:szCs w:val="28"/>
          <w:rtl/>
        </w:rPr>
        <w:t xml:space="preserve">العباسي - سويدي ، عبد الرحيم بن محمّد</w:t>
      </w:r>
    </w:p>
    <w:p>
      <w:pPr>
        <w:pStyle w:val="BookText"/>
      </w:pPr>
      <w:r>
        <w:rPr>
          <w:rFonts w:ascii="Amiri" w:hAnsi="Amiri" w:eastAsia="Amiri" w:cs="Amiri"/>
          <w:lang w:bidi="ar-SA"/>
          <w:color w:val="111111"/>
          <w:sz w:val="28"/>
          <w:szCs w:val="28"/>
          <w:rtl/>
        </w:rPr>
        <w:t xml:space="preserve">سعيد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الرحيم بن محمّد شريف البغدادي -شريف ، عبدالرحيم بن محمّد</w:t>
      </w:r>
    </w:p>
    <w:p>
      <w:pPr>
        <w:pStyle w:val="BookText"/>
      </w:pPr>
      <w:r>
        <w:rPr>
          <w:rFonts w:ascii="Amiri" w:hAnsi="Amiri" w:eastAsia="Amiri" w:cs="Amiri"/>
          <w:lang w:bidi="ar-SA"/>
          <w:color w:val="111111"/>
          <w:sz w:val="28"/>
          <w:szCs w:val="28"/>
          <w:rtl/>
        </w:rPr>
        <w:t xml:space="preserve">عبد الرحيم بن محمّد علي</w:t>
      </w:r>
    </w:p>
    <w:p>
      <w:pPr>
        <w:pStyle w:val="BookText"/>
      </w:pPr>
      <w:r>
        <w:rPr>
          <w:rFonts w:ascii="Amiri" w:hAnsi="Amiri" w:eastAsia="Amiri" w:cs="Amiri"/>
          <w:lang w:bidi="ar-SA"/>
          <w:color w:val="111111"/>
          <w:sz w:val="28"/>
          <w:szCs w:val="28"/>
          <w:rtl/>
        </w:rPr>
        <w:t xml:space="preserve">شوشتري -شوشتري ، عبدالرحيم بن محمّد</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عبد الرحيم بن محمّد غراوي -غراوي</w:t>
      </w:r>
    </w:p>
    <w:p>
      <w:pPr>
        <w:pStyle w:val="BookText"/>
      </w:pPr>
      <w:r>
        <w:rPr>
          <w:rFonts w:ascii="Amiri" w:hAnsi="Amiri" w:eastAsia="Amiri" w:cs="Amiri"/>
          <w:lang w:bidi="ar-SA"/>
          <w:color w:val="111111"/>
          <w:sz w:val="28"/>
          <w:szCs w:val="28"/>
          <w:rtl/>
        </w:rPr>
        <w:t xml:space="preserve">عبدالرحيم بن محمّد</w:t>
      </w:r>
    </w:p>
    <w:p>
      <w:pPr>
        <w:pStyle w:val="BookText"/>
      </w:pPr>
      <w:r>
        <w:rPr>
          <w:rFonts w:ascii="Amiri" w:hAnsi="Amiri" w:eastAsia="Amiri" w:cs="Amiri"/>
          <w:lang w:bidi="ar-SA"/>
          <w:color w:val="111111"/>
          <w:sz w:val="28"/>
          <w:szCs w:val="28"/>
          <w:rtl/>
        </w:rPr>
        <w:t xml:space="preserve">عبد الرحيم بن محمّد فارقي ابن نباته- ابن نباته ، عبدالرحيم بن محمّد</w:t>
      </w:r>
    </w:p>
    <w:p>
      <w:pPr>
        <w:pStyle w:val="BookText"/>
      </w:pPr>
      <w:r>
        <w:rPr>
          <w:rFonts w:ascii="Amiri" w:hAnsi="Amiri" w:eastAsia="Amiri" w:cs="Amiri"/>
          <w:lang w:bidi="ar-SA"/>
          <w:color w:val="111111"/>
          <w:sz w:val="28"/>
          <w:szCs w:val="28"/>
          <w:rtl/>
        </w:rPr>
        <w:t xml:space="preserve">عبد الرحيم بن محمّد نزاني - نزاني</w:t>
      </w:r>
    </w:p>
    <w:p>
      <w:pPr>
        <w:pStyle w:val="BookText"/>
      </w:pPr>
      <w:r>
        <w:rPr>
          <w:rFonts w:ascii="Amiri" w:hAnsi="Amiri" w:eastAsia="Amiri" w:cs="Amiri"/>
          <w:lang w:bidi="ar-SA"/>
          <w:color w:val="111111"/>
          <w:sz w:val="28"/>
          <w:szCs w:val="28"/>
          <w:rtl/>
        </w:rPr>
        <w:t xml:space="preserve">عبد الرحيم بن محمّد</w:t>
      </w:r>
    </w:p>
    <w:p>
      <w:pPr>
        <w:pStyle w:val="BookText"/>
      </w:pPr>
      <w:r>
        <w:rPr>
          <w:rFonts w:ascii="Amiri" w:hAnsi="Amiri" w:eastAsia="Amiri" w:cs="Amiri"/>
          <w:lang w:bidi="ar-SA"/>
          <w:color w:val="111111"/>
          <w:sz w:val="28"/>
          <w:szCs w:val="28"/>
          <w:rtl/>
        </w:rPr>
        <w:t xml:space="preserve">عبدالرحيم بن محمود عيني- عيني</w:t>
      </w:r>
    </w:p>
    <w:p>
      <w:pPr>
        <w:pStyle w:val="BookText"/>
      </w:pPr>
      <w:r>
        <w:rPr>
          <w:rFonts w:ascii="Amiri" w:hAnsi="Amiri" w:eastAsia="Amiri" w:cs="Amiri"/>
          <w:lang w:bidi="ar-SA"/>
          <w:color w:val="111111"/>
          <w:sz w:val="28"/>
          <w:szCs w:val="28"/>
          <w:rtl/>
        </w:rPr>
        <w:t xml:space="preserve">عبد الرحيم بن محمود</w:t>
      </w:r>
    </w:p>
    <w:p>
      <w:pPr>
        <w:pStyle w:val="BookText"/>
      </w:pPr>
      <w:r>
        <w:rPr>
          <w:rFonts w:ascii="Amiri" w:hAnsi="Amiri" w:eastAsia="Amiri" w:cs="Amiri"/>
          <w:lang w:bidi="ar-SA"/>
          <w:color w:val="111111"/>
          <w:sz w:val="28"/>
          <w:szCs w:val="28"/>
          <w:rtl/>
        </w:rPr>
        <w:t xml:space="preserve">عبدالرحيم بن معروف- كيلاني ،</w:t>
      </w:r>
    </w:p>
    <w:p>
      <w:pPr>
        <w:pStyle w:val="BookText"/>
      </w:pPr>
      <w:r>
        <w:rPr>
          <w:rFonts w:ascii="Amiri" w:hAnsi="Amiri" w:eastAsia="Amiri" w:cs="Amiri"/>
          <w:lang w:bidi="ar-SA"/>
          <w:color w:val="111111"/>
          <w:sz w:val="28"/>
          <w:szCs w:val="28"/>
          <w:rtl/>
        </w:rPr>
        <w:t xml:space="preserve">عبد الرحيم بن معروف</w:t>
      </w:r>
    </w:p>
    <w:p>
      <w:pPr>
        <w:pStyle w:val="BookText"/>
      </w:pPr>
      <w:r>
        <w:rPr>
          <w:rFonts w:ascii="IRNazanin" w:hAnsi="IRNazanin" w:eastAsia="IRNazanin" w:cs="IRNazanin"/>
          <w:lang w:bidi="fa-IR"/>
          <w:color w:val="111111"/>
          <w:sz w:val="28"/>
          <w:szCs w:val="28"/>
          <w:rtl/>
        </w:rPr>
        <w:t xml:space="preserve">عبد الرحيم بن معروف گيلاني- گيلاني ،</w:t>
      </w:r>
    </w:p>
    <w:p>
      <w:pPr>
        <w:pStyle w:val="BookText"/>
      </w:pPr>
      <w:r>
        <w:rPr>
          <w:rFonts w:ascii="Amiri" w:hAnsi="Amiri" w:eastAsia="Amiri" w:cs="Amiri"/>
          <w:lang w:bidi="ar-SA"/>
          <w:color w:val="111111"/>
          <w:sz w:val="28"/>
          <w:szCs w:val="28"/>
          <w:rtl/>
        </w:rPr>
        <w:t xml:space="preserve">عبدالرحيم بن معروف</w:t>
      </w:r>
    </w:p>
    <w:p>
      <w:pPr>
        <w:pStyle w:val="BookText"/>
      </w:pPr>
      <w:r>
        <w:rPr>
          <w:rFonts w:ascii="Amiri" w:hAnsi="Amiri" w:eastAsia="Amiri" w:cs="Amiri"/>
          <w:lang w:bidi="ar-SA"/>
          <w:color w:val="111111"/>
          <w:sz w:val="28"/>
          <w:szCs w:val="28"/>
          <w:rtl/>
        </w:rPr>
        <w:t xml:space="preserve">عبد الرحيم بن نصر الله انصاري جابري قراجه داغي- انصاري ، عبد الرحيم بن نصر</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عبد الرحيم سعيد مفتي زاده- مفتي زاده</w:t>
      </w:r>
    </w:p>
    <w:p>
      <w:pPr>
        <w:pStyle w:val="BookText"/>
      </w:pPr>
      <w:r>
        <w:rPr>
          <w:rFonts w:ascii="IRNazanin" w:hAnsi="IRNazanin" w:eastAsia="IRNazanin" w:cs="IRNazanin"/>
          <w:lang w:bidi="fa-IR"/>
          <w:color w:val="111111"/>
          <w:sz w:val="28"/>
          <w:szCs w:val="28"/>
          <w:rtl/>
        </w:rPr>
        <w:t xml:space="preserve">، عبدالرحیم سعید</w:t>
      </w:r>
    </w:p>
    <w:p>
      <w:pPr>
        <w:pStyle w:val="BookText"/>
      </w:pPr>
      <w:r>
        <w:rPr>
          <w:rFonts w:ascii="Amiri" w:hAnsi="Amiri" w:eastAsia="Amiri" w:cs="Amiri"/>
          <w:lang w:bidi="ar-SA"/>
          <w:color w:val="111111"/>
          <w:sz w:val="28"/>
          <w:szCs w:val="28"/>
          <w:rtl/>
        </w:rPr>
        <w:t xml:space="preserve">عبد الرحيم سوداني -سوداني ، عبد الرحيم</w:t>
      </w:r>
    </w:p>
    <w:p>
      <w:pPr>
        <w:pStyle w:val="BookText"/>
      </w:pPr>
      <w:r>
        <w:rPr>
          <w:rFonts w:ascii="IRNazanin" w:hAnsi="IRNazanin" w:eastAsia="IRNazanin" w:cs="IRNazanin"/>
          <w:lang w:bidi="fa-IR"/>
          <w:color w:val="111111"/>
          <w:sz w:val="28"/>
          <w:szCs w:val="28"/>
          <w:rtl/>
        </w:rPr>
        <w:t xml:space="preserve">عبد الرحيم سيادت- سيادت ، عبدالرحیم</w:t>
      </w:r>
    </w:p>
    <w:p>
      <w:pPr>
        <w:pStyle w:val="BookText"/>
      </w:pPr>
      <w:r>
        <w:rPr>
          <w:rFonts w:ascii="Amiri" w:hAnsi="Amiri" w:eastAsia="Amiri" w:cs="Amiri"/>
          <w:lang w:bidi="ar-SA"/>
          <w:color w:val="111111"/>
          <w:sz w:val="28"/>
          <w:szCs w:val="28"/>
          <w:rtl/>
        </w:rPr>
        <w:t xml:space="preserve">عبد الرحيم شريف اصفهاني- فتوني</w:t>
      </w:r>
    </w:p>
    <w:p>
      <w:pPr>
        <w:pStyle w:val="BookText"/>
      </w:pPr>
      <w:r>
        <w:rPr>
          <w:rFonts w:ascii="Amiri" w:hAnsi="Amiri" w:eastAsia="Amiri" w:cs="Amiri"/>
          <w:lang w:bidi="ar-SA"/>
          <w:color w:val="111111"/>
          <w:sz w:val="28"/>
          <w:szCs w:val="28"/>
          <w:rtl/>
        </w:rPr>
        <w:t xml:space="preserve">اصفهاني ، ابوالحسن بن محمّد طاهر</w:t>
      </w:r>
    </w:p>
    <w:p>
      <w:pPr>
        <w:pStyle w:val="BookText"/>
      </w:pPr>
      <w:r>
        <w:rPr>
          <w:rFonts w:ascii="Amiri" w:hAnsi="Amiri" w:eastAsia="Amiri" w:cs="Amiri"/>
          <w:lang w:bidi="ar-SA"/>
          <w:color w:val="111111"/>
          <w:sz w:val="28"/>
          <w:szCs w:val="28"/>
          <w:rtl/>
        </w:rPr>
        <w:t xml:space="preserve">عبد الرحيم شوشتري -شوشتري ،</w:t>
      </w:r>
    </w:p>
    <w:p>
      <w:pPr>
        <w:pStyle w:val="BookText"/>
      </w:pPr>
      <w:r>
        <w:rPr>
          <w:rFonts w:ascii="Amiri" w:hAnsi="Amiri" w:eastAsia="Amiri" w:cs="Amiri"/>
          <w:lang w:bidi="ar-SA"/>
          <w:color w:val="111111"/>
          <w:sz w:val="28"/>
          <w:szCs w:val="28"/>
          <w:rtl/>
        </w:rPr>
        <w:t xml:space="preserve">عبد الرحيم بن محمّد علي</w:t>
      </w:r>
    </w:p>
    <w:p>
      <w:pPr>
        <w:pStyle w:val="BookText"/>
      </w:pPr>
      <w:r>
        <w:rPr>
          <w:rFonts w:ascii="Amiri" w:hAnsi="Amiri" w:eastAsia="Amiri" w:cs="Amiri"/>
          <w:lang w:bidi="ar-SA"/>
          <w:color w:val="111111"/>
          <w:sz w:val="28"/>
          <w:szCs w:val="28"/>
          <w:rtl/>
        </w:rPr>
        <w:t xml:space="preserve">عبد الرحيم شيرواني-شرواني ، عبد الرحيم</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عبد الرحيم وفائي- وفائي ، عبدالرحيم</w:t>
      </w:r>
    </w:p>
    <w:p>
      <w:pPr>
        <w:pStyle w:val="BookText"/>
      </w:pPr>
      <w:r>
        <w:rPr>
          <w:rFonts w:ascii="IRNazanin" w:hAnsi="IRNazanin" w:eastAsia="IRNazanin" w:cs="IRNazanin"/>
          <w:lang w:bidi="fa-IR"/>
          <w:color w:val="111111"/>
          <w:sz w:val="28"/>
          <w:szCs w:val="28"/>
          <w:rtl/>
        </w:rPr>
        <w:t xml:space="preserve">عبد الرزاق بن تاج الدین احمد شيباني حنبلي -ابن فوطي ، عبد الرزاق بن احمد</w:t>
      </w:r>
    </w:p>
    <w:p>
      <w:pPr>
        <w:pStyle w:val="BookText"/>
      </w:pPr>
      <w:r>
        <w:rPr>
          <w:rFonts w:ascii="Amiri" w:hAnsi="Amiri" w:eastAsia="Amiri" w:cs="Amiri"/>
          <w:lang w:bidi="ar-SA"/>
          <w:color w:val="111111"/>
          <w:sz w:val="28"/>
          <w:szCs w:val="28"/>
          <w:rtl/>
        </w:rPr>
        <w:t xml:space="preserve">عبد الرزاق بن حمزة طرابلسي - طرابلسي ،</w:t>
      </w:r>
    </w:p>
    <w:p>
      <w:pPr>
        <w:pStyle w:val="BookText"/>
      </w:pPr>
      <w:r>
        <w:rPr>
          <w:rFonts w:ascii="Amiri" w:hAnsi="Amiri" w:eastAsia="Amiri" w:cs="Amiri"/>
          <w:lang w:bidi="ar-SA"/>
          <w:color w:val="111111"/>
          <w:sz w:val="28"/>
          <w:szCs w:val="28"/>
          <w:rtl/>
        </w:rPr>
        <w:t xml:space="preserve">عبدالرزاق بن حمزة</w:t>
      </w:r>
    </w:p>
    <w:p>
      <w:pPr>
        <w:pStyle w:val="BookText"/>
      </w:pPr>
      <w:r>
        <w:rPr>
          <w:rFonts w:ascii="Amiri" w:hAnsi="Amiri" w:eastAsia="Amiri" w:cs="Amiri"/>
          <w:lang w:bidi="ar-SA"/>
          <w:color w:val="111111"/>
          <w:sz w:val="28"/>
          <w:szCs w:val="28"/>
          <w:rtl/>
        </w:rPr>
        <w:t xml:space="preserve">عبدالرزاق بن رزق الله رسعني - رسعني ،</w:t>
      </w:r>
    </w:p>
    <w:p>
      <w:pPr>
        <w:pStyle w:val="BookText"/>
      </w:pPr>
      <w:r>
        <w:rPr>
          <w:rFonts w:ascii="IRNazanin" w:hAnsi="IRNazanin" w:eastAsia="IRNazanin" w:cs="IRNazanin"/>
          <w:lang w:bidi="fa-IR"/>
          <w:color w:val="111111"/>
          <w:sz w:val="28"/>
          <w:szCs w:val="28"/>
          <w:rtl/>
        </w:rPr>
        <w:t xml:space="preserve">عبدالرزاق بن رزق الله</w:t>
      </w:r>
    </w:p>
    <w:p>
      <w:pPr>
        <w:pStyle w:val="BookText"/>
      </w:pPr>
      <w:r>
        <w:rPr>
          <w:rFonts w:ascii="IRNazanin" w:hAnsi="IRNazanin" w:eastAsia="IRNazanin" w:cs="IRNazanin"/>
          <w:lang w:bidi="fa-IR"/>
          <w:color w:val="111111"/>
          <w:sz w:val="28"/>
          <w:szCs w:val="28"/>
          <w:rtl/>
        </w:rPr>
        <w:t xml:space="preserve">عبد الرزاق بن سلوم -ابن سلوم ،</w:t>
      </w:r>
    </w:p>
    <w:p>
      <w:pPr>
        <w:pStyle w:val="BookText"/>
      </w:pPr>
      <w:r>
        <w:rPr>
          <w:rFonts w:ascii="IRNazanin" w:hAnsi="IRNazanin" w:eastAsia="IRNazanin" w:cs="IRNazanin"/>
          <w:lang w:bidi="fa-IR"/>
          <w:color w:val="111111"/>
          <w:sz w:val="28"/>
          <w:szCs w:val="28"/>
          <w:rtl/>
        </w:rPr>
        <w:t xml:space="preserve">عبد الرزاق بن محمّد</w:t>
      </w:r>
    </w:p>
    <w:p>
      <w:pPr>
        <w:pStyle w:val="BookText"/>
      </w:pPr>
      <w:r>
        <w:rPr>
          <w:rFonts w:ascii="Amiri" w:hAnsi="Amiri" w:eastAsia="Amiri" w:cs="Amiri"/>
          <w:lang w:bidi="ar-SA"/>
          <w:color w:val="111111"/>
          <w:sz w:val="28"/>
          <w:szCs w:val="28"/>
          <w:rtl/>
        </w:rPr>
        <w:t xml:space="preserve">عبد الرزاق بن علي لاهيجي- لاهيجي</w:t>
      </w:r>
    </w:p>
    <w:p>
      <w:pPr>
        <w:pStyle w:val="BookText"/>
      </w:pPr>
      <w:r>
        <w:rPr>
          <w:rFonts w:ascii="Amiri" w:hAnsi="Amiri" w:eastAsia="Amiri" w:cs="Amiri"/>
          <w:lang w:bidi="ar-SA"/>
          <w:color w:val="111111"/>
          <w:sz w:val="28"/>
          <w:szCs w:val="28"/>
          <w:rtl/>
        </w:rPr>
        <w:t xml:space="preserve">عبد الرزاق بن علي</w:t>
      </w:r>
    </w:p>
    <w:p>
      <w:pPr>
        <w:pStyle w:val="BookText"/>
      </w:pPr>
      <w:r>
        <w:rPr>
          <w:rFonts w:ascii="Amiri" w:hAnsi="Amiri" w:eastAsia="Amiri" w:cs="Amiri"/>
          <w:lang w:bidi="ar-SA"/>
          <w:color w:val="111111"/>
          <w:sz w:val="28"/>
          <w:szCs w:val="28"/>
          <w:rtl/>
        </w:rPr>
        <w:t xml:space="preserve">عبد الرزاق بن عليرضا اصفهاني حائري همداني- اصفهاني حائري همداني ، عبدالرزاق بن عليرضا</w:t>
      </w:r>
    </w:p>
    <w:p>
      <w:pPr>
        <w:pStyle w:val="BookText"/>
      </w:pPr>
      <w:r>
        <w:rPr>
          <w:rFonts w:ascii="Amiri" w:hAnsi="Amiri" w:eastAsia="Amiri" w:cs="Amiri"/>
          <w:lang w:bidi="ar-SA"/>
          <w:color w:val="111111"/>
          <w:sz w:val="28"/>
          <w:szCs w:val="28"/>
          <w:rtl/>
        </w:rPr>
        <w:t xml:space="preserve">عبد الرزاق بن فرج بن أبي السرور- ابن ابي</w:t>
      </w:r>
    </w:p>
    <w:p>
      <w:pPr>
        <w:pStyle w:val="BookText"/>
      </w:pPr>
      <w:r>
        <w:rPr>
          <w:rFonts w:ascii="IRNazanin" w:hAnsi="IRNazanin" w:eastAsia="IRNazanin" w:cs="IRNazanin"/>
          <w:lang w:bidi="fa-IR"/>
          <w:color w:val="111111"/>
          <w:sz w:val="28"/>
          <w:szCs w:val="28"/>
          <w:rtl/>
        </w:rPr>
        <w:t xml:space="preserve">سرور ، عبدالرزاق بن فرج</w:t>
      </w:r>
    </w:p>
    <w:p>
      <w:pPr>
        <w:pStyle w:val="BookText"/>
      </w:pPr>
      <w:r>
        <w:rPr>
          <w:rFonts w:ascii="Amiri" w:hAnsi="Amiri" w:eastAsia="Amiri" w:cs="Amiri"/>
          <w:lang w:bidi="ar-SA"/>
          <w:color w:val="111111"/>
          <w:sz w:val="28"/>
          <w:szCs w:val="28"/>
          <w:rtl/>
        </w:rPr>
        <w:t xml:space="preserve">عبد الرزاق بن محمّد تميمي - ابن سلوم ، عبد الرزاق بن محمّد</w:t>
      </w:r>
    </w:p>
    <w:p>
      <w:pPr>
        <w:pStyle w:val="BookText"/>
      </w:pPr>
      <w:r>
        <w:rPr>
          <w:rFonts w:ascii="Amiri" w:hAnsi="Amiri" w:eastAsia="Amiri" w:cs="Amiri"/>
          <w:lang w:bidi="ar-SA"/>
          <w:color w:val="111111"/>
          <w:sz w:val="28"/>
          <w:szCs w:val="28"/>
          <w:rtl/>
        </w:rPr>
        <w:t xml:space="preserve">عبد الرزاق بن ميرزا عليرضا اصفهاني حائري همداني- اصفهاني حائري همداني ، عبدالرزاق</w:t>
      </w:r>
    </w:p>
    <w:p>
      <w:pPr>
        <w:pStyle w:val="BookText"/>
      </w:pPr>
      <w:r>
        <w:rPr>
          <w:rFonts w:ascii="Amiri" w:hAnsi="Amiri" w:eastAsia="Amiri" w:cs="Amiri"/>
          <w:lang w:bidi="ar-SA"/>
          <w:color w:val="111111"/>
          <w:sz w:val="28"/>
          <w:szCs w:val="28"/>
          <w:rtl/>
        </w:rPr>
        <w:t xml:space="preserve">بن عليرضا</w:t>
      </w:r>
    </w:p>
    <w:p>
      <w:pPr>
        <w:pStyle w:val="BookText"/>
      </w:pPr>
      <w:r>
        <w:rPr>
          <w:rFonts w:ascii="Amiri" w:hAnsi="Amiri" w:eastAsia="Amiri" w:cs="Amiri"/>
          <w:lang w:bidi="ar-SA"/>
          <w:color w:val="111111"/>
          <w:sz w:val="28"/>
          <w:szCs w:val="28"/>
          <w:rtl/>
        </w:rPr>
        <w:t xml:space="preserve">عبد الرزاق بن نجفقلي مفتون</w:t>
      </w:r>
    </w:p>
    <w:p>
      <w:pPr>
        <w:pStyle w:val="BookText"/>
      </w:pPr>
      <w:r>
        <w:rPr>
          <w:rFonts w:ascii="Amiri" w:hAnsi="Amiri" w:eastAsia="Amiri" w:cs="Amiri"/>
          <w:lang w:bidi="ar-SA"/>
          <w:color w:val="111111"/>
          <w:sz w:val="28"/>
          <w:szCs w:val="28"/>
          <w:rtl/>
        </w:rPr>
        <w:t xml:space="preserve">دنبلي -مفتون دنبلي ، عبد الرزاق بن نجفقلي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37" w:name="pg7742_70732"/>
    <w:bookmarkEnd w:id="737"/>
    <w:p>
      <w:pPr>
        <w:pStyle w:val="BookText"/>
      </w:pPr>
      <w:r>
        <w:rPr>
          <w:rFonts w:ascii="Amiri" w:hAnsi="Amiri" w:eastAsia="Amiri" w:cs="Amiri"/>
          <w:lang w:bidi="ar-SA"/>
          <w:color w:val="111111"/>
          <w:sz w:val="28"/>
          <w:szCs w:val="28"/>
          <w:rtl/>
        </w:rPr>
        <w:t xml:space="preserve">عبد الرزاق بن همام صنعاني- صنعاني ،</w:t>
      </w:r>
    </w:p>
    <w:p>
      <w:pPr>
        <w:pStyle w:val="BookText"/>
      </w:pPr>
      <w:r>
        <w:rPr>
          <w:rFonts w:ascii="IRNazanin" w:hAnsi="IRNazanin" w:eastAsia="IRNazanin" w:cs="IRNazanin"/>
          <w:lang w:bidi="fa-IR"/>
          <w:color w:val="111111"/>
          <w:sz w:val="28"/>
          <w:szCs w:val="28"/>
          <w:rtl/>
        </w:rPr>
        <w:t xml:space="preserve">عبد الرزاق بن همام</w:t>
      </w:r>
    </w:p>
    <w:p>
      <w:pPr>
        <w:pStyle w:val="BookText"/>
      </w:pPr>
      <w:r>
        <w:rPr>
          <w:rFonts w:ascii="Amiri" w:hAnsi="Amiri" w:eastAsia="Amiri" w:cs="Amiri"/>
          <w:lang w:bidi="ar-SA"/>
          <w:color w:val="111111"/>
          <w:sz w:val="28"/>
          <w:szCs w:val="28"/>
          <w:rtl/>
        </w:rPr>
        <w:t xml:space="preserve">عبدالرزاق بيك دنبلي- مفتون دنبلي ،</w:t>
      </w:r>
    </w:p>
    <w:p>
      <w:pPr>
        <w:pStyle w:val="BookText"/>
      </w:pPr>
      <w:r>
        <w:rPr>
          <w:rFonts w:ascii="Amiri" w:hAnsi="Amiri" w:eastAsia="Amiri" w:cs="Amiri"/>
          <w:lang w:bidi="ar-SA"/>
          <w:color w:val="111111"/>
          <w:sz w:val="28"/>
          <w:szCs w:val="28"/>
          <w:rtl/>
        </w:rPr>
        <w:t xml:space="preserve">عبد الرزاق بن نجفقلي</w:t>
      </w:r>
    </w:p>
    <w:p>
      <w:pPr>
        <w:pStyle w:val="BookText"/>
      </w:pPr>
      <w:r>
        <w:rPr>
          <w:rFonts w:ascii="Amiri" w:hAnsi="Amiri" w:eastAsia="Amiri" w:cs="Amiri"/>
          <w:lang w:bidi="ar-SA"/>
          <w:color w:val="111111"/>
          <w:sz w:val="28"/>
          <w:szCs w:val="28"/>
          <w:rtl/>
        </w:rPr>
        <w:t xml:space="preserve">عبد الرزاق دنبلي- مفتون دنبلي</w:t>
      </w:r>
    </w:p>
    <w:p>
      <w:pPr>
        <w:pStyle w:val="BookText"/>
      </w:pPr>
      <w:r>
        <w:rPr>
          <w:rFonts w:ascii="Amiri" w:hAnsi="Amiri" w:eastAsia="Amiri" w:cs="Amiri"/>
          <w:lang w:bidi="ar-SA"/>
          <w:color w:val="111111"/>
          <w:sz w:val="28"/>
          <w:szCs w:val="28"/>
          <w:rtl/>
        </w:rPr>
        <w:t xml:space="preserve">عبد الرزاق بن نجفقلي</w:t>
      </w:r>
    </w:p>
    <w:p>
      <w:pPr>
        <w:pStyle w:val="Heading2"/>
      </w:pPr>
      <w:bookmarkStart w:id="5809" w:name="_Toc4911"/>
      <w:r>
        <w:t>عبد الرزاق شاگرد قطب الدین محمّد قرن</w:t>
      </w:r>
      <w:bookmarkEnd w:id="5809"/>
    </w:p>
    <w:p>
      <w:pPr>
        <w:pStyle w:val="BookText"/>
      </w:pPr>
      <w:r>
        <w:rPr>
          <w:rFonts w:ascii="IRNazanin" w:hAnsi="IRNazanin" w:eastAsia="IRNazanin" w:cs="IRNazanin"/>
          <w:lang w:bidi="fa-IR"/>
          <w:color w:val="111111"/>
          <w:sz w:val="28"/>
          <w:szCs w:val="28"/>
          <w:rtl/>
        </w:rPr>
        <w:t xml:space="preserve">10ه-</w:t>
      </w:r>
    </w:p>
    <w:p>
      <w:pPr>
        <w:pStyle w:val="BookText"/>
      </w:pPr>
      <w:r>
        <w:rPr>
          <w:rFonts w:ascii="Amiri" w:hAnsi="Amiri" w:eastAsia="Amiri" w:cs="Amiri"/>
          <w:lang w:bidi="ar-SA"/>
          <w:color w:val="111111"/>
          <w:sz w:val="28"/>
          <w:szCs w:val="28"/>
          <w:rtl/>
        </w:rPr>
        <w:t xml:space="preserve">خلاصة التشريح = تشريح الابدان =</w:t>
      </w:r>
    </w:p>
    <w:p>
      <w:pPr>
        <w:pStyle w:val="BookText"/>
      </w:pPr>
      <w:r>
        <w:rPr>
          <w:rFonts w:ascii="Amiri" w:hAnsi="Amiri" w:eastAsia="Amiri" w:cs="Amiri"/>
          <w:lang w:bidi="ar-SA"/>
          <w:color w:val="111111"/>
          <w:sz w:val="28"/>
          <w:szCs w:val="28"/>
          <w:rtl/>
        </w:rPr>
        <w:t xml:space="preserve">علم تشريح الاعضاء، ج 7، ص87.</w:t>
      </w:r>
    </w:p>
    <w:p>
      <w:pPr>
        <w:pStyle w:val="BookText"/>
      </w:pPr>
      <w:r>
        <w:rPr>
          <w:rFonts w:ascii="Amiri" w:hAnsi="Amiri" w:eastAsia="Amiri" w:cs="Amiri"/>
          <w:lang w:bidi="ar-SA"/>
          <w:color w:val="111111"/>
          <w:sz w:val="28"/>
          <w:szCs w:val="28"/>
          <w:rtl/>
        </w:rPr>
        <w:t xml:space="preserve">عبدالرزاق علي بن حسين آمجي- آمجي</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عبد الرزاق فضلي -فضلي ، عبدالرزاق</w:t>
      </w:r>
    </w:p>
    <w:p>
      <w:pPr>
        <w:pStyle w:val="BookText"/>
      </w:pPr>
      <w:r>
        <w:rPr>
          <w:rFonts w:ascii="Amiri" w:hAnsi="Amiri" w:eastAsia="Amiri" w:cs="Amiri"/>
          <w:lang w:bidi="ar-SA"/>
          <w:color w:val="111111"/>
          <w:sz w:val="28"/>
          <w:szCs w:val="28"/>
          <w:rtl/>
        </w:rPr>
        <w:t xml:space="preserve">عبدالرزاق قادري نقشبندي -قادري ،</w:t>
      </w:r>
    </w:p>
    <w:p>
      <w:pPr>
        <w:pStyle w:val="BookText"/>
      </w:pPr>
      <w:r>
        <w:rPr>
          <w:rFonts w:ascii="IRNazanin" w:hAnsi="IRNazanin" w:eastAsia="IRNazanin" w:cs="IRNazanin"/>
          <w:lang w:bidi="fa-IR"/>
          <w:color w:val="111111"/>
          <w:sz w:val="28"/>
          <w:szCs w:val="28"/>
          <w:rtl/>
        </w:rPr>
        <w:t xml:space="preserve">عبدالرزاق</w:t>
      </w:r>
    </w:p>
    <w:p>
      <w:pPr>
        <w:pStyle w:val="Heading2"/>
      </w:pPr>
      <w:bookmarkStart w:id="5810" w:name="_Toc4912"/>
      <w:r>
        <w:t>عبد الرزاق كاشي ، عبدالرزاق بن احمد</w:t>
      </w:r>
      <w:bookmarkEnd w:id="5810"/>
    </w:p>
    <w:p>
      <w:pPr>
        <w:pStyle w:val="BookText"/>
      </w:pPr>
      <w:r>
        <w:rPr>
          <w:rFonts w:ascii="IRNazanin" w:hAnsi="IRNazanin" w:eastAsia="IRNazanin" w:cs="IRNazanin"/>
          <w:lang w:bidi="fa-IR"/>
          <w:color w:val="111111"/>
          <w:sz w:val="28"/>
          <w:szCs w:val="28"/>
          <w:rtl/>
        </w:rPr>
        <w:t xml:space="preserve">730؟ ه-</w:t>
      </w:r>
    </w:p>
    <w:p>
      <w:pPr>
        <w:pStyle w:val="BookText"/>
      </w:pPr>
      <w:r>
        <w:rPr>
          <w:rFonts w:ascii="Amiri" w:hAnsi="Amiri" w:eastAsia="Amiri" w:cs="Amiri"/>
          <w:lang w:bidi="ar-SA"/>
          <w:color w:val="111111"/>
          <w:sz w:val="28"/>
          <w:szCs w:val="28"/>
          <w:rtl/>
        </w:rPr>
        <w:t xml:space="preserve">1 .اصطلاحات الصوفية = اصطلاحات بن علي</w:t>
      </w:r>
    </w:p>
    <w:p>
      <w:pPr>
        <w:pStyle w:val="BookText"/>
      </w:pPr>
      <w:r>
        <w:rPr>
          <w:rFonts w:ascii="IRNazanin" w:hAnsi="IRNazanin" w:eastAsia="IRNazanin" w:cs="IRNazanin"/>
          <w:lang w:bidi="fa-IR"/>
          <w:color w:val="111111"/>
          <w:sz w:val="28"/>
          <w:szCs w:val="28"/>
          <w:rtl/>
        </w:rPr>
        <w:t xml:space="preserve">صوفیان، ج2، ص 365 .</w:t>
      </w:r>
    </w:p>
    <w:p>
      <w:pPr>
        <w:pStyle w:val="BookText"/>
      </w:pPr>
      <w:r>
        <w:rPr>
          <w:rFonts w:ascii="Amiri" w:hAnsi="Amiri" w:eastAsia="Amiri" w:cs="Amiri"/>
          <w:lang w:bidi="ar-SA"/>
          <w:color w:val="111111"/>
          <w:sz w:val="28"/>
          <w:szCs w:val="28"/>
          <w:rtl/>
        </w:rPr>
        <w:t xml:space="preserve">2 .الإلهي و الطبيعي( رسالة في)، ج2،</w:t>
      </w:r>
    </w:p>
    <w:p>
      <w:pPr>
        <w:pStyle w:val="BookText"/>
      </w:pPr>
      <w:r>
        <w:rPr>
          <w:rFonts w:ascii="IRNazanin" w:hAnsi="IRNazanin" w:eastAsia="IRNazanin" w:cs="IRNazanin"/>
          <w:lang w:bidi="fa-IR"/>
          <w:color w:val="111111"/>
          <w:sz w:val="28"/>
          <w:szCs w:val="28"/>
          <w:rtl/>
        </w:rPr>
        <w:t xml:space="preserve">ص 701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التأويلات = تأويل الآيات، ج3،</w:t>
      </w:r>
    </w:p>
    <w:p>
      <w:pPr>
        <w:pStyle w:val="BookText"/>
      </w:pPr>
      <w:r>
        <w:rPr>
          <w:rFonts w:ascii="IRNazanin" w:hAnsi="IRNazanin" w:eastAsia="IRNazanin" w:cs="IRNazanin"/>
          <w:lang w:bidi="fa-IR"/>
          <w:color w:val="111111"/>
          <w:sz w:val="28"/>
          <w:szCs w:val="28"/>
          <w:rtl/>
        </w:rPr>
        <w:t xml:space="preserve">ص 626.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تفسير آية الكرسي، ج4، ص 581</w:t>
      </w:r>
    </w:p>
    <w:p>
      <w:pPr>
        <w:pStyle w:val="BookText"/>
      </w:pPr>
      <w:r>
        <w:rPr>
          <w:rFonts w:ascii="IRNazanin" w:hAnsi="IRNazanin" w:eastAsia="IRNazanin" w:cs="IRNazanin"/>
          <w:lang w:bidi="fa-IR"/>
          <w:color w:val="111111"/>
          <w:sz w:val="28"/>
          <w:szCs w:val="28"/>
          <w:rtl/>
        </w:rPr>
        <w:t xml:space="preserve">عبد الرسول</w:t>
      </w:r>
    </w:p>
    <w:p>
      <w:pPr>
        <w:pStyle w:val="BookText"/>
      </w:pPr>
      <w:r>
        <w:rPr>
          <w:rFonts w:ascii="Amiri" w:hAnsi="Amiri" w:eastAsia="Amiri" w:cs="Amiri"/>
          <w:lang w:bidi="ar-SA"/>
          <w:color w:val="111111"/>
          <w:sz w:val="28"/>
          <w:szCs w:val="28"/>
          <w:rtl/>
        </w:rPr>
        <w:t xml:space="preserve">قصيدة في مدح العروة الوثقى و</w:t>
      </w:r>
    </w:p>
    <w:p>
      <w:pPr>
        <w:pStyle w:val="BookText"/>
      </w:pPr>
      <w:r>
        <w:rPr>
          <w:rFonts w:ascii="IRNazanin" w:hAnsi="IRNazanin" w:eastAsia="IRNazanin" w:cs="IRNazanin"/>
          <w:lang w:bidi="fa-IR"/>
          <w:color w:val="111111"/>
          <w:sz w:val="28"/>
          <w:szCs w:val="28"/>
          <w:rtl/>
        </w:rPr>
        <w:t xml:space="preserve">مؤلفها، ج 12، ص 699.</w:t>
      </w:r>
    </w:p>
    <w:p>
      <w:pPr>
        <w:pStyle w:val="BookText"/>
      </w:pPr>
      <w:r>
        <w:rPr>
          <w:rFonts w:ascii="Amiri" w:hAnsi="Amiri" w:eastAsia="Amiri" w:cs="Amiri"/>
          <w:lang w:bidi="ar-SA"/>
          <w:color w:val="111111"/>
          <w:sz w:val="28"/>
          <w:szCs w:val="28"/>
          <w:rtl/>
        </w:rPr>
        <w:t xml:space="preserve">عبد الرسول جواهري - جواهري ، عبد الرسول</w:t>
      </w:r>
    </w:p>
    <w:p>
      <w:pPr>
        <w:pStyle w:val="BookText"/>
      </w:pPr>
      <w:r>
        <w:rPr>
          <w:rFonts w:ascii="Amiri" w:hAnsi="Amiri" w:eastAsia="Amiri" w:cs="Amiri"/>
          <w:lang w:bidi="ar-SA"/>
          <w:color w:val="111111"/>
          <w:sz w:val="28"/>
          <w:szCs w:val="28"/>
          <w:rtl/>
        </w:rPr>
        <w:t xml:space="preserve">5 .تفسير سورة الفاتحة، ج 4، ص 634 .</w:t>
      </w:r>
    </w:p>
    <w:p>
      <w:pPr>
        <w:pStyle w:val="BookText"/>
      </w:pPr>
      <w:r>
        <w:rPr>
          <w:rFonts w:ascii="Amiri" w:hAnsi="Amiri" w:eastAsia="Amiri" w:cs="Amiri"/>
          <w:lang w:bidi="ar-SA"/>
          <w:color w:val="111111"/>
          <w:sz w:val="28"/>
          <w:szCs w:val="28"/>
          <w:rtl/>
        </w:rPr>
        <w:t xml:space="preserve">6 .التوحيد (رسالة في)، ج 5، ص 151.</w:t>
      </w:r>
    </w:p>
    <w:p>
      <w:pPr>
        <w:pStyle w:val="BookText"/>
      </w:pPr>
      <w:r>
        <w:rPr>
          <w:rFonts w:ascii="Amiri" w:hAnsi="Amiri" w:eastAsia="Amiri" w:cs="Amiri"/>
          <w:lang w:bidi="ar-SA"/>
          <w:color w:val="111111"/>
          <w:sz w:val="28"/>
          <w:szCs w:val="28"/>
          <w:rtl/>
        </w:rPr>
        <w:t xml:space="preserve">7 .شرح آية رب أرني انظر اليك»،</w:t>
      </w:r>
    </w:p>
    <w:p>
      <w:pPr>
        <w:pStyle w:val="BookText"/>
      </w:pPr>
      <w:r>
        <w:rPr>
          <w:rFonts w:ascii="IRNazanin" w:hAnsi="IRNazanin" w:eastAsia="IRNazanin" w:cs="IRNazanin"/>
          <w:lang w:bidi="fa-IR"/>
          <w:color w:val="111111"/>
          <w:sz w:val="28"/>
          <w:szCs w:val="28"/>
          <w:rtl/>
        </w:rPr>
        <w:t xml:space="preserve">ج 9، ص 141.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شرح اصطلاحات ،صوفیان، ج9،</w:t>
      </w:r>
    </w:p>
    <w:p>
      <w:pPr>
        <w:pStyle w:val="BookText"/>
      </w:pPr>
      <w:r>
        <w:rPr>
          <w:rFonts w:ascii="IRNazanin" w:hAnsi="IRNazanin" w:eastAsia="IRNazanin" w:cs="IRNazanin"/>
          <w:lang w:bidi="fa-IR"/>
          <w:color w:val="111111"/>
          <w:sz w:val="28"/>
          <w:szCs w:val="28"/>
          <w:rtl/>
        </w:rPr>
        <w:t xml:space="preserve">ص 205.</w:t>
      </w:r>
    </w:p>
    <w:p>
      <w:pPr>
        <w:pStyle w:val="BookText"/>
      </w:pPr>
      <w:r>
        <w:rPr>
          <w:rFonts w:ascii="Amiri" w:hAnsi="Amiri" w:eastAsia="Amiri" w:cs="Amiri"/>
          <w:lang w:bidi="ar-SA"/>
          <w:color w:val="111111"/>
          <w:sz w:val="28"/>
          <w:szCs w:val="28"/>
          <w:rtl/>
        </w:rPr>
        <w:t xml:space="preserve">9 .شرح الحديث النبوي الراحمون يرحمهم الرحمن»، ج 9، ص 404.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حديث الحقيقة = الكميلية</w:t>
      </w:r>
    </w:p>
    <w:p>
      <w:pPr>
        <w:pStyle w:val="BookText"/>
      </w:pPr>
      <w:r>
        <w:rPr>
          <w:rFonts w:ascii="IRNazanin" w:hAnsi="IRNazanin" w:eastAsia="IRNazanin" w:cs="IRNazanin"/>
          <w:lang w:bidi="fa-IR"/>
          <w:color w:val="111111"/>
          <w:sz w:val="28"/>
          <w:szCs w:val="28"/>
          <w:rtl/>
        </w:rPr>
        <w:t xml:space="preserve">ج 9، ص 387.</w:t>
      </w:r>
    </w:p>
    <w:p>
      <w:pPr>
        <w:pStyle w:val="BookText"/>
      </w:pPr>
      <w:r>
        <w:rPr>
          <w:rFonts w:ascii="IRNazanin" w:hAnsi="IRNazanin" w:eastAsia="IRNazanin" w:cs="IRNazanin"/>
          <w:lang w:bidi="fa-IR"/>
          <w:color w:val="111111"/>
          <w:sz w:val="28"/>
          <w:szCs w:val="28"/>
          <w:rtl/>
        </w:rPr>
        <w:t xml:space="preserve">11 .شرح حدیث « ثلاث مهلكات و</w:t>
      </w:r>
    </w:p>
    <w:p>
      <w:pPr>
        <w:pStyle w:val="BookText"/>
      </w:pPr>
      <w:r>
        <w:rPr>
          <w:rFonts w:ascii="Amiri" w:hAnsi="Amiri" w:eastAsia="Amiri" w:cs="Amiri"/>
          <w:lang w:bidi="ar-SA"/>
          <w:color w:val="111111"/>
          <w:sz w:val="28"/>
          <w:szCs w:val="28"/>
          <w:rtl/>
        </w:rPr>
        <w:t xml:space="preserve">ثلاث منجيات »، ج 9، ص 386.</w:t>
      </w:r>
    </w:p>
    <w:p>
      <w:pPr>
        <w:pStyle w:val="BookText"/>
      </w:pPr>
      <w:r>
        <w:rPr>
          <w:rFonts w:ascii="Amiri" w:hAnsi="Amiri" w:eastAsia="Amiri" w:cs="Amiri"/>
          <w:lang w:bidi="ar-SA"/>
          <w:color w:val="111111"/>
          <w:sz w:val="28"/>
          <w:szCs w:val="28"/>
          <w:rtl/>
        </w:rPr>
        <w:t xml:space="preserve">12 .شرح فصوص الحكم، ج9، ص791</w:t>
      </w:r>
    </w:p>
    <w:p>
      <w:pPr>
        <w:pStyle w:val="BookText"/>
      </w:pPr>
      <w:r>
        <w:rPr>
          <w:rFonts w:ascii="Amiri" w:hAnsi="Amiri" w:eastAsia="Amiri" w:cs="Amiri"/>
          <w:lang w:bidi="ar-SA"/>
          <w:color w:val="111111"/>
          <w:sz w:val="28"/>
          <w:szCs w:val="28"/>
          <w:rtl/>
        </w:rPr>
        <w:t xml:space="preserve">13 .شرح منازل السائرين، ج10،</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القضاء والقدر = المختصر في القضاء والقدر = الجبر و الاختيار</w:t>
      </w:r>
    </w:p>
    <w:p>
      <w:pPr>
        <w:pStyle w:val="BookText"/>
      </w:pPr>
      <w:r>
        <w:rPr>
          <w:rFonts w:ascii="IRNazanin" w:hAnsi="IRNazanin" w:eastAsia="IRNazanin" w:cs="IRNazanin"/>
          <w:lang w:bidi="fa-IR"/>
          <w:color w:val="111111"/>
          <w:sz w:val="28"/>
          <w:szCs w:val="28"/>
          <w:rtl/>
        </w:rPr>
        <w:t xml:space="preserve">ج 12، ص 738.</w:t>
      </w:r>
    </w:p>
    <w:p>
      <w:pPr>
        <w:pStyle w:val="BookText"/>
      </w:pPr>
      <w:r>
        <w:rPr>
          <w:rFonts w:ascii="Amiri" w:hAnsi="Amiri" w:eastAsia="Amiri" w:cs="Amiri"/>
          <w:lang w:bidi="ar-SA"/>
          <w:color w:val="111111"/>
          <w:sz w:val="28"/>
          <w:szCs w:val="28"/>
          <w:rtl/>
        </w:rPr>
        <w:t xml:space="preserve">15 .منبع معرفة الكبائر و</w:t>
      </w:r>
    </w:p>
    <w:p>
      <w:pPr>
        <w:pStyle w:val="BookText"/>
      </w:pPr>
      <w:r>
        <w:rPr>
          <w:rFonts w:ascii="Amiri" w:hAnsi="Amiri" w:eastAsia="Amiri" w:cs="Amiri"/>
          <w:lang w:bidi="ar-SA"/>
          <w:color w:val="111111"/>
          <w:sz w:val="28"/>
          <w:szCs w:val="28"/>
          <w:rtl/>
        </w:rPr>
        <w:t xml:space="preserve">الصغائر (رسالة في)، ج 15 ، ص 588.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وحدة الوجود (رسالة في)، ج 16،</w:t>
      </w:r>
    </w:p>
    <w:p>
      <w:pPr>
        <w:pStyle w:val="BookText"/>
      </w:pPr>
      <w:r>
        <w:rPr>
          <w:rFonts w:ascii="IRNazanin" w:hAnsi="IRNazanin" w:eastAsia="IRNazanin" w:cs="IRNazanin"/>
          <w:lang w:bidi="fa-IR"/>
          <w:color w:val="111111"/>
          <w:sz w:val="28"/>
          <w:szCs w:val="28"/>
          <w:rtl/>
        </w:rPr>
        <w:t xml:space="preserve">ص 755 .</w:t>
      </w:r>
    </w:p>
    <w:p>
      <w:pPr>
        <w:pStyle w:val="BookText"/>
      </w:pPr>
      <w:r>
        <w:rPr>
          <w:rFonts w:ascii="Amiri" w:hAnsi="Amiri" w:eastAsia="Amiri" w:cs="Amiri"/>
          <w:lang w:bidi="ar-SA"/>
          <w:color w:val="111111"/>
          <w:sz w:val="28"/>
          <w:szCs w:val="28"/>
          <w:rtl/>
        </w:rPr>
        <w:t xml:space="preserve">عبد الرزاق كاشي ، عبدالرزاق بن جلال الدين-</w:t>
      </w:r>
    </w:p>
    <w:p>
      <w:pPr>
        <w:pStyle w:val="BookText"/>
      </w:pPr>
      <w:r>
        <w:rPr>
          <w:rFonts w:ascii="Amiri" w:hAnsi="Amiri" w:eastAsia="Amiri" w:cs="Amiri"/>
          <w:lang w:bidi="ar-SA"/>
          <w:color w:val="111111"/>
          <w:sz w:val="28"/>
          <w:szCs w:val="28"/>
          <w:rtl/>
        </w:rPr>
        <w:t xml:space="preserve">عبد الرزاق كاشي ، عبد الرزاق بن احمد</w:t>
      </w:r>
    </w:p>
    <w:p>
      <w:pPr>
        <w:pStyle w:val="BookText"/>
      </w:pPr>
      <w:r>
        <w:rPr>
          <w:rFonts w:ascii="Amiri" w:hAnsi="Amiri" w:eastAsia="Amiri" w:cs="Amiri"/>
          <w:lang w:bidi="ar-SA"/>
          <w:color w:val="111111"/>
          <w:sz w:val="28"/>
          <w:szCs w:val="28"/>
          <w:rtl/>
        </w:rPr>
        <w:t xml:space="preserve">عبد الرزاق لاهيجي- لاهيجي ، عبد الرزاق</w:t>
      </w:r>
    </w:p>
    <w:p>
      <w:pPr>
        <w:pStyle w:val="BookText"/>
      </w:pPr>
      <w:r>
        <w:rPr>
          <w:rFonts w:ascii="Amiri" w:hAnsi="Amiri" w:eastAsia="Amiri" w:cs="Amiri"/>
          <w:lang w:bidi="ar-SA"/>
          <w:color w:val="111111"/>
          <w:sz w:val="28"/>
          <w:szCs w:val="28"/>
          <w:rtl/>
        </w:rPr>
        <w:t xml:space="preserve">عبد الرشيد بن عبد الغفور حسيني مدني تتوي- رشيدي ، عبد الرشيد بن عبدالغفور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38" w:name="pg7742_70733"/>
    <w:bookmarkEnd w:id="738"/>
    <w:p>
      <w:pPr>
        <w:pStyle w:val="BookText"/>
      </w:pPr>
      <w:r>
        <w:rPr>
          <w:rFonts w:ascii="Amiri" w:hAnsi="Amiri" w:eastAsia="Amiri" w:cs="Amiri"/>
          <w:lang w:bidi="ar-SA"/>
          <w:color w:val="111111"/>
          <w:sz w:val="28"/>
          <w:szCs w:val="28"/>
          <w:rtl/>
        </w:rPr>
        <w:t xml:space="preserve">عبد الرشيد بن مصطفى</w:t>
      </w:r>
    </w:p>
    <w:p>
      <w:pPr>
        <w:pStyle w:val="BookText"/>
      </w:pPr>
      <w:r>
        <w:rPr>
          <w:rFonts w:ascii="Amiri" w:hAnsi="Amiri" w:eastAsia="Amiri" w:cs="Amiri"/>
          <w:lang w:bidi="ar-SA"/>
          <w:color w:val="111111"/>
          <w:sz w:val="28"/>
          <w:szCs w:val="28"/>
          <w:rtl/>
        </w:rPr>
        <w:t xml:space="preserve">الجونفوري- جونفوري ، عبدالرشيد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عبدالرضا بن زين العابدين حسيني مرعشي</w:t>
      </w:r>
    </w:p>
    <w:p>
      <w:pPr>
        <w:pStyle w:val="BookText"/>
      </w:pPr>
      <w:r>
        <w:rPr>
          <w:rFonts w:ascii="Amiri" w:hAnsi="Amiri" w:eastAsia="Amiri" w:cs="Amiri"/>
          <w:lang w:bidi="ar-SA"/>
          <w:color w:val="111111"/>
          <w:sz w:val="28"/>
          <w:szCs w:val="28"/>
          <w:rtl/>
        </w:rPr>
        <w:t xml:space="preserve">شهرستاني - حسيني مرعشي ، عبدالرضا بن</w:t>
      </w:r>
    </w:p>
    <w:p>
      <w:pPr>
        <w:pStyle w:val="BookText"/>
      </w:pPr>
      <w:r>
        <w:rPr>
          <w:rFonts w:ascii="Amiri" w:hAnsi="Amiri" w:eastAsia="Amiri" w:cs="Amiri"/>
          <w:lang w:bidi="ar-SA"/>
          <w:color w:val="111111"/>
          <w:sz w:val="28"/>
          <w:szCs w:val="28"/>
          <w:rtl/>
        </w:rPr>
        <w:t xml:space="preserve">زين العابدين</w:t>
      </w:r>
    </w:p>
    <w:p>
      <w:pPr>
        <w:pStyle w:val="BookText"/>
      </w:pPr>
      <w:r>
        <w:rPr>
          <w:rFonts w:ascii="Amiri" w:hAnsi="Amiri" w:eastAsia="Amiri" w:cs="Amiri"/>
          <w:lang w:bidi="ar-SA"/>
          <w:color w:val="111111"/>
          <w:sz w:val="28"/>
          <w:szCs w:val="28"/>
          <w:rtl/>
        </w:rPr>
        <w:t xml:space="preserve">عبدالرضا بن زين العابدين</w:t>
      </w:r>
    </w:p>
    <w:p>
      <w:pPr>
        <w:pStyle w:val="BookText"/>
      </w:pPr>
      <w:r>
        <w:rPr>
          <w:rFonts w:ascii="Amiri" w:hAnsi="Amiri" w:eastAsia="Amiri" w:cs="Amiri"/>
          <w:lang w:bidi="ar-SA"/>
          <w:color w:val="111111"/>
          <w:sz w:val="28"/>
          <w:szCs w:val="28"/>
          <w:rtl/>
        </w:rPr>
        <w:t xml:space="preserve">شهرستاني -شهرستاني ، عبدالرضا بن زين</w:t>
      </w:r>
    </w:p>
    <w:p>
      <w:pPr>
        <w:pStyle w:val="BookText"/>
      </w:pPr>
      <w:r>
        <w:rPr>
          <w:rFonts w:ascii="Amiri" w:hAnsi="Amiri" w:eastAsia="Amiri" w:cs="Amiri"/>
          <w:lang w:bidi="ar-SA"/>
          <w:color w:val="111111"/>
          <w:sz w:val="28"/>
          <w:szCs w:val="28"/>
          <w:rtl/>
        </w:rPr>
        <w:t xml:space="preserve">العابدين عبد الرضا بن محمّد اوالي بحراني- اوالي</w:t>
      </w:r>
    </w:p>
    <w:p>
      <w:pPr>
        <w:pStyle w:val="BookText"/>
      </w:pPr>
      <w:r>
        <w:rPr>
          <w:rFonts w:ascii="IRNazanin" w:hAnsi="IRNazanin" w:eastAsia="IRNazanin" w:cs="IRNazanin"/>
          <w:lang w:bidi="fa-IR"/>
          <w:color w:val="111111"/>
          <w:sz w:val="28"/>
          <w:szCs w:val="28"/>
          <w:rtl/>
        </w:rPr>
        <w:t xml:space="preserve">عبدالرضا بن محمّد</w:t>
      </w:r>
    </w:p>
    <w:p>
      <w:pPr>
        <w:pStyle w:val="BookText"/>
      </w:pPr>
      <w:r>
        <w:rPr>
          <w:rFonts w:ascii="Amiri" w:hAnsi="Amiri" w:eastAsia="Amiri" w:cs="Amiri"/>
          <w:lang w:bidi="ar-SA"/>
          <w:color w:val="111111"/>
          <w:sz w:val="28"/>
          <w:szCs w:val="28"/>
          <w:rtl/>
        </w:rPr>
        <w:t xml:space="preserve">عبد الرضا حسيني -حسيني ، عبدالرضا</w:t>
      </w:r>
    </w:p>
    <w:p>
      <w:pPr>
        <w:pStyle w:val="BookText"/>
      </w:pPr>
      <w:r>
        <w:rPr>
          <w:rFonts w:ascii="Amiri" w:hAnsi="Amiri" w:eastAsia="Amiri" w:cs="Amiri"/>
          <w:lang w:bidi="ar-SA"/>
          <w:color w:val="111111"/>
          <w:sz w:val="28"/>
          <w:szCs w:val="28"/>
          <w:rtl/>
        </w:rPr>
        <w:t xml:space="preserve">عبد الرضا طفيلي -طفيلي ، عبدالرضا</w:t>
      </w:r>
    </w:p>
    <w:p>
      <w:pPr>
        <w:pStyle w:val="BookText"/>
      </w:pPr>
      <w:r>
        <w:rPr>
          <w:rFonts w:ascii="Amiri" w:hAnsi="Amiri" w:eastAsia="Amiri" w:cs="Amiri"/>
          <w:lang w:bidi="ar-SA"/>
          <w:color w:val="111111"/>
          <w:sz w:val="28"/>
          <w:szCs w:val="28"/>
          <w:rtl/>
        </w:rPr>
        <w:t xml:space="preserve">عبد الرضا مقري - مقري ، عبد الرضا</w:t>
      </w:r>
    </w:p>
    <w:p>
      <w:pPr>
        <w:pStyle w:val="BookText"/>
      </w:pPr>
      <w:r>
        <w:rPr>
          <w:rFonts w:ascii="Amiri" w:hAnsi="Amiri" w:eastAsia="Amiri" w:cs="Amiri"/>
          <w:lang w:bidi="ar-SA"/>
          <w:color w:val="111111"/>
          <w:sz w:val="28"/>
          <w:szCs w:val="28"/>
          <w:rtl/>
        </w:rPr>
        <w:t xml:space="preserve">عبد الزهراء الصغير- عبد الزهراء حسين</w:t>
      </w:r>
    </w:p>
    <w:p>
      <w:pPr>
        <w:pStyle w:val="BookText"/>
      </w:pPr>
      <w:r>
        <w:rPr>
          <w:rFonts w:ascii="Amiri" w:hAnsi="Amiri" w:eastAsia="Amiri" w:cs="Amiri"/>
          <w:lang w:bidi="ar-SA"/>
          <w:color w:val="111111"/>
          <w:sz w:val="28"/>
          <w:szCs w:val="28"/>
          <w:rtl/>
        </w:rPr>
        <w:t xml:space="preserve">الصغير</w:t>
      </w:r>
    </w:p>
    <w:p>
      <w:pPr>
        <w:pStyle w:val="Heading2"/>
      </w:pPr>
      <w:bookmarkStart w:id="5811" w:name="_Toc4913"/>
      <w:r>
        <w:t>عبد الزهراء حسين الصغير، 1338 ه-</w:t>
      </w:r>
      <w:bookmarkEnd w:id="5811"/>
    </w:p>
    <w:p>
      <w:pPr>
        <w:pStyle w:val="BookText"/>
      </w:pPr>
      <w:r>
        <w:rPr>
          <w:rFonts w:ascii="Amiri" w:hAnsi="Amiri" w:eastAsia="Amiri" w:cs="Amiri"/>
          <w:lang w:bidi="ar-SA"/>
          <w:color w:val="111111"/>
          <w:sz w:val="28"/>
          <w:szCs w:val="28"/>
          <w:rtl/>
        </w:rPr>
        <w:t xml:space="preserve">1 .الاحاجي و الالغاز، ج 1، ص 385.</w:t>
      </w:r>
    </w:p>
    <w:p>
      <w:pPr>
        <w:pStyle w:val="BookText"/>
      </w:pPr>
      <w:r>
        <w:rPr>
          <w:rFonts w:ascii="Amiri" w:hAnsi="Amiri" w:eastAsia="Amiri" w:cs="Amiri"/>
          <w:lang w:bidi="ar-SA"/>
          <w:color w:val="111111"/>
          <w:sz w:val="28"/>
          <w:szCs w:val="28"/>
          <w:rtl/>
        </w:rPr>
        <w:t xml:space="preserve">2 .الاخلاق بين الدين و الآداب، ج 1،</w:t>
      </w:r>
    </w:p>
    <w:p>
      <w:pPr>
        <w:pStyle w:val="BookText"/>
      </w:pPr>
      <w:r>
        <w:rPr>
          <w:rFonts w:ascii="IRNazanin" w:hAnsi="IRNazanin" w:eastAsia="IRNazanin" w:cs="IRNazanin"/>
          <w:lang w:bidi="fa-IR"/>
          <w:color w:val="111111"/>
          <w:sz w:val="28"/>
          <w:szCs w:val="28"/>
          <w:rtl/>
        </w:rPr>
        <w:t xml:space="preserve">ص 576.</w:t>
      </w:r>
    </w:p>
    <w:p>
      <w:pPr>
        <w:pStyle w:val="BookText"/>
      </w:pPr>
      <w:r>
        <w:rPr>
          <w:rFonts w:ascii="IRNazanin" w:hAnsi="IRNazanin" w:eastAsia="IRNazanin" w:cs="IRNazanin"/>
          <w:lang w:bidi="fa-IR"/>
          <w:color w:val="111111"/>
          <w:sz w:val="28"/>
          <w:szCs w:val="28"/>
          <w:rtl/>
        </w:rPr>
        <w:t xml:space="preserve">3 .اکاذیب و خرافات في الكتب، ج 2،</w:t>
      </w:r>
    </w:p>
    <w:p>
      <w:pPr>
        <w:pStyle w:val="BookText"/>
      </w:pPr>
      <w:r>
        <w:rPr>
          <w:rFonts w:ascii="IRNazanin" w:hAnsi="IRNazanin" w:eastAsia="IRNazanin" w:cs="IRNazanin"/>
          <w:lang w:bidi="fa-IR"/>
          <w:color w:val="111111"/>
          <w:sz w:val="28"/>
          <w:szCs w:val="28"/>
          <w:rtl/>
        </w:rPr>
        <w:t xml:space="preserve">ص 638 .</w:t>
      </w:r>
    </w:p>
    <w:p>
      <w:pPr>
        <w:pStyle w:val="BookText"/>
      </w:pPr>
      <w:r>
        <w:rPr>
          <w:rFonts w:ascii="Amiri" w:hAnsi="Amiri" w:eastAsia="Amiri" w:cs="Amiri"/>
          <w:lang w:bidi="ar-SA"/>
          <w:color w:val="111111"/>
          <w:sz w:val="28"/>
          <w:szCs w:val="28"/>
          <w:rtl/>
        </w:rPr>
        <w:t xml:space="preserve">4 .البهائية تضليل و تجسس لا مبدا و</w:t>
      </w:r>
    </w:p>
    <w:p>
      <w:pPr>
        <w:pStyle w:val="BookText"/>
      </w:pPr>
      <w:r>
        <w:rPr>
          <w:rFonts w:ascii="Amiri" w:hAnsi="Amiri" w:eastAsia="Amiri" w:cs="Amiri"/>
          <w:lang w:bidi="ar-SA"/>
          <w:color w:val="111111"/>
          <w:sz w:val="28"/>
          <w:szCs w:val="28"/>
          <w:rtl/>
        </w:rPr>
        <w:t xml:space="preserve">عقيدة، ج 3، ص 411.</w:t>
      </w:r>
    </w:p>
    <w:p>
      <w:pPr>
        <w:pStyle w:val="BookText"/>
      </w:pPr>
      <w:r>
        <w:rPr>
          <w:rFonts w:ascii="Amiri" w:hAnsi="Amiri" w:eastAsia="Amiri" w:cs="Amiri"/>
          <w:lang w:bidi="ar-SA"/>
          <w:color w:val="111111"/>
          <w:sz w:val="28"/>
          <w:szCs w:val="28"/>
          <w:rtl/>
        </w:rPr>
        <w:t xml:space="preserve">5 .تربية الطفل، ج 4، ص 234.</w:t>
      </w:r>
    </w:p>
    <w:p>
      <w:pPr>
        <w:pStyle w:val="BookText"/>
      </w:pPr>
      <w:r>
        <w:rPr>
          <w:rFonts w:ascii="IRNazanin" w:hAnsi="IRNazanin" w:eastAsia="IRNazanin" w:cs="IRNazanin"/>
          <w:lang w:bidi="fa-IR"/>
          <w:color w:val="111111"/>
          <w:sz w:val="28"/>
          <w:szCs w:val="28"/>
          <w:rtl/>
        </w:rPr>
        <w:t xml:space="preserve">6 .خواطر ،بغداد، ج 7، ص 184.</w:t>
      </w:r>
    </w:p>
    <w:p>
      <w:pPr>
        <w:pStyle w:val="BookText"/>
      </w:pPr>
      <w:r>
        <w:rPr>
          <w:rFonts w:ascii="Amiri" w:hAnsi="Amiri" w:eastAsia="Amiri" w:cs="Amiri"/>
          <w:lang w:bidi="ar-SA"/>
          <w:color w:val="111111"/>
          <w:sz w:val="28"/>
          <w:szCs w:val="28"/>
          <w:rtl/>
        </w:rPr>
        <w:t xml:space="preserve">7 .ذو الجناحين جعفر، ج 7، ص 868.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الشبيبي في حاضره و ماضيه، ج 9،</w:t>
      </w:r>
    </w:p>
    <w:p>
      <w:pPr>
        <w:pStyle w:val="BookText"/>
      </w:pPr>
      <w:r>
        <w:rPr>
          <w:rFonts w:ascii="IRNazanin" w:hAnsi="IRNazanin" w:eastAsia="IRNazanin" w:cs="IRNazanin"/>
          <w:lang w:bidi="fa-IR"/>
          <w:color w:val="111111"/>
          <w:sz w:val="28"/>
          <w:szCs w:val="28"/>
          <w:rtl/>
        </w:rPr>
        <w:t xml:space="preserve">ص 74 .</w:t>
      </w:r>
    </w:p>
    <w:p>
      <w:pPr>
        <w:pStyle w:val="BookText"/>
      </w:pPr>
      <w:r>
        <w:rPr>
          <w:rFonts w:ascii="Amiri" w:hAnsi="Amiri" w:eastAsia="Amiri" w:cs="Amiri"/>
          <w:lang w:bidi="ar-SA"/>
          <w:color w:val="111111"/>
          <w:sz w:val="28"/>
          <w:szCs w:val="28"/>
          <w:rtl/>
        </w:rPr>
        <w:t xml:space="preserve">9 .الطلاسم تحليل لاراء ايليا ابو ماضي</w:t>
      </w:r>
    </w:p>
    <w:p>
      <w:pPr>
        <w:pStyle w:val="BookText"/>
      </w:pPr>
      <w:r>
        <w:rPr>
          <w:rFonts w:ascii="IRNazanin" w:hAnsi="IRNazanin" w:eastAsia="IRNazanin" w:cs="IRNazanin"/>
          <w:lang w:bidi="fa-IR"/>
          <w:color w:val="111111"/>
          <w:sz w:val="28"/>
          <w:szCs w:val="28"/>
          <w:rtl/>
        </w:rPr>
        <w:t xml:space="preserve">ج 10، ص 843.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المثاني، ج 13، ص 767 .</w:t>
      </w:r>
    </w:p>
    <w:p>
      <w:pPr>
        <w:pStyle w:val="BookText"/>
      </w:pPr>
      <w:r>
        <w:rPr>
          <w:rFonts w:ascii="Amiri" w:hAnsi="Amiri" w:eastAsia="Amiri" w:cs="Amiri"/>
          <w:lang w:bidi="ar-SA"/>
          <w:color w:val="111111"/>
          <w:sz w:val="28"/>
          <w:szCs w:val="28"/>
          <w:rtl/>
        </w:rPr>
        <w:t xml:space="preserve">11 .وادي الشعر، ج 16، ص 678.</w:t>
      </w:r>
    </w:p>
    <w:p>
      <w:pPr>
        <w:pStyle w:val="BookText"/>
      </w:pPr>
      <w:r>
        <w:rPr>
          <w:rFonts w:ascii="IRNazanin" w:hAnsi="IRNazanin" w:eastAsia="IRNazanin" w:cs="IRNazanin"/>
          <w:lang w:bidi="fa-IR"/>
          <w:color w:val="111111"/>
          <w:sz w:val="28"/>
          <w:szCs w:val="28"/>
          <w:rtl/>
        </w:rPr>
        <w:t xml:space="preserve">عبد الستار بن عبدالوهاب</w:t>
      </w:r>
    </w:p>
    <w:p>
      <w:pPr>
        <w:pStyle w:val="BookText"/>
      </w:pPr>
      <w:r>
        <w:rPr>
          <w:rFonts w:ascii="Amiri" w:hAnsi="Amiri" w:eastAsia="Amiri" w:cs="Amiri"/>
          <w:lang w:bidi="ar-SA"/>
          <w:color w:val="111111"/>
          <w:sz w:val="28"/>
          <w:szCs w:val="28"/>
          <w:rtl/>
        </w:rPr>
        <w:t xml:space="preserve">دهلوي- دهلوي ، عبدالستار بن عبدالوهاب</w:t>
      </w:r>
    </w:p>
    <w:p>
      <w:pPr>
        <w:pStyle w:val="BookText"/>
      </w:pPr>
      <w:r>
        <w:rPr>
          <w:rFonts w:ascii="IRNazanin" w:hAnsi="IRNazanin" w:eastAsia="IRNazanin" w:cs="IRNazanin"/>
          <w:lang w:bidi="fa-IR"/>
          <w:color w:val="111111"/>
          <w:sz w:val="28"/>
          <w:szCs w:val="28"/>
          <w:rtl/>
        </w:rPr>
        <w:t xml:space="preserve">عبد السلام -ملا عبد السلام</w:t>
      </w:r>
    </w:p>
    <w:p>
      <w:pPr>
        <w:pStyle w:val="BookText"/>
      </w:pPr>
      <w:r>
        <w:rPr>
          <w:rFonts w:ascii="Amiri" w:hAnsi="Amiri" w:eastAsia="Amiri" w:cs="Amiri"/>
          <w:lang w:bidi="ar-SA"/>
          <w:color w:val="111111"/>
          <w:sz w:val="28"/>
          <w:szCs w:val="28"/>
          <w:rtl/>
        </w:rPr>
        <w:t xml:space="preserve">عبد السلام بن ابراهيم لقاني - لقاني ،</w:t>
      </w:r>
    </w:p>
    <w:p>
      <w:pPr>
        <w:pStyle w:val="BookText"/>
      </w:pPr>
      <w:r>
        <w:rPr>
          <w:rFonts w:ascii="Amiri" w:hAnsi="Amiri" w:eastAsia="Amiri" w:cs="Amiri"/>
          <w:lang w:bidi="ar-SA"/>
          <w:color w:val="111111"/>
          <w:sz w:val="28"/>
          <w:szCs w:val="28"/>
          <w:rtl/>
        </w:rPr>
        <w:t xml:space="preserve">عبد السلام بن ابراهيم</w:t>
      </w:r>
    </w:p>
    <w:p>
      <w:pPr>
        <w:pStyle w:val="BookText"/>
      </w:pPr>
      <w:r>
        <w:rPr>
          <w:rFonts w:ascii="Amiri" w:hAnsi="Amiri" w:eastAsia="Amiri" w:cs="Amiri"/>
          <w:lang w:bidi="ar-SA"/>
          <w:color w:val="111111"/>
          <w:sz w:val="28"/>
          <w:szCs w:val="28"/>
          <w:rtl/>
        </w:rPr>
        <w:t xml:space="preserve">عبد السلام بن احمد بصري- بصري</w:t>
      </w:r>
    </w:p>
    <w:p>
      <w:pPr>
        <w:pStyle w:val="BookText"/>
      </w:pPr>
      <w:r>
        <w:rPr>
          <w:rFonts w:ascii="IRNazanin" w:hAnsi="IRNazanin" w:eastAsia="IRNazanin" w:cs="IRNazanin"/>
          <w:lang w:bidi="fa-IR"/>
          <w:color w:val="111111"/>
          <w:sz w:val="28"/>
          <w:szCs w:val="28"/>
          <w:rtl/>
        </w:rPr>
        <w:t xml:space="preserve">عبدالسلام بن احمد</w:t>
      </w:r>
    </w:p>
    <w:p>
      <w:pPr>
        <w:pStyle w:val="BookText"/>
      </w:pPr>
      <w:r>
        <w:rPr>
          <w:rFonts w:ascii="Amiri" w:hAnsi="Amiri" w:eastAsia="Amiri" w:cs="Amiri"/>
          <w:lang w:bidi="ar-SA"/>
          <w:color w:val="111111"/>
          <w:sz w:val="28"/>
          <w:szCs w:val="28"/>
          <w:rtl/>
        </w:rPr>
        <w:t xml:space="preserve">عبد السلام بن ادريس المراكشي- مراكشي</w:t>
      </w:r>
    </w:p>
    <w:p>
      <w:pPr>
        <w:pStyle w:val="BookText"/>
      </w:pPr>
      <w:r>
        <w:rPr>
          <w:rFonts w:ascii="IRNazanin" w:hAnsi="IRNazanin" w:eastAsia="IRNazanin" w:cs="IRNazanin"/>
          <w:lang w:bidi="fa-IR"/>
          <w:color w:val="111111"/>
          <w:sz w:val="28"/>
          <w:szCs w:val="28"/>
          <w:rtl/>
        </w:rPr>
        <w:t xml:space="preserve">عبد السلام بن ادریس</w:t>
      </w:r>
    </w:p>
    <w:p>
      <w:pPr>
        <w:pStyle w:val="BookText"/>
      </w:pPr>
      <w:r>
        <w:rPr>
          <w:rFonts w:ascii="Amiri" w:hAnsi="Amiri" w:eastAsia="Amiri" w:cs="Amiri"/>
          <w:lang w:bidi="ar-SA"/>
          <w:color w:val="111111"/>
          <w:sz w:val="28"/>
          <w:szCs w:val="28"/>
          <w:rtl/>
        </w:rPr>
        <w:t xml:space="preserve">عبد السلام بن رغبان ديك الجن- ديك</w:t>
      </w:r>
    </w:p>
    <w:p>
      <w:pPr>
        <w:pStyle w:val="BookText"/>
      </w:pPr>
      <w:r>
        <w:rPr>
          <w:rFonts w:ascii="IRNazanin" w:hAnsi="IRNazanin" w:eastAsia="IRNazanin" w:cs="IRNazanin"/>
          <w:lang w:bidi="fa-IR"/>
          <w:color w:val="111111"/>
          <w:sz w:val="28"/>
          <w:szCs w:val="28"/>
          <w:rtl/>
        </w:rPr>
        <w:t xml:space="preserve">الجن ، عبدالسلام بن رغبان</w:t>
      </w:r>
    </w:p>
    <w:p>
      <w:pPr>
        <w:pStyle w:val="BookText"/>
      </w:pPr>
      <w:r>
        <w:rPr>
          <w:rFonts w:ascii="Amiri" w:hAnsi="Amiri" w:eastAsia="Amiri" w:cs="Amiri"/>
          <w:lang w:bidi="ar-SA"/>
          <w:color w:val="111111"/>
          <w:sz w:val="28"/>
          <w:szCs w:val="28"/>
          <w:rtl/>
        </w:rPr>
        <w:t xml:space="preserve">عبد السلام بن سعيد كبيسي</w:t>
      </w:r>
    </w:p>
    <w:p>
      <w:pPr>
        <w:pStyle w:val="BookText"/>
      </w:pPr>
      <w:r>
        <w:rPr>
          <w:rFonts w:ascii="Amiri" w:hAnsi="Amiri" w:eastAsia="Amiri" w:cs="Amiri"/>
          <w:lang w:bidi="ar-SA"/>
          <w:color w:val="111111"/>
          <w:sz w:val="28"/>
          <w:szCs w:val="28"/>
          <w:rtl/>
        </w:rPr>
        <w:t xml:space="preserve">بغدادي- شواف زاده ، عبدالسلام بن سعيد</w:t>
      </w:r>
    </w:p>
    <w:p>
      <w:pPr>
        <w:pStyle w:val="BookText"/>
      </w:pPr>
      <w:r>
        <w:rPr>
          <w:rFonts w:ascii="IRNazanin" w:hAnsi="IRNazanin" w:eastAsia="IRNazanin" w:cs="IRNazanin"/>
          <w:lang w:bidi="fa-IR"/>
          <w:color w:val="111111"/>
          <w:sz w:val="28"/>
          <w:szCs w:val="28"/>
          <w:rtl/>
        </w:rPr>
        <w:t xml:space="preserve">عبد السلام بن عبد الغالب بن غلاب -ابن</w:t>
      </w:r>
    </w:p>
    <w:p>
      <w:pPr>
        <w:pStyle w:val="BookText"/>
      </w:pPr>
      <w:r>
        <w:rPr>
          <w:rFonts w:ascii="IRNazanin" w:hAnsi="IRNazanin" w:eastAsia="IRNazanin" w:cs="IRNazanin"/>
          <w:lang w:bidi="fa-IR"/>
          <w:color w:val="111111"/>
          <w:sz w:val="28"/>
          <w:szCs w:val="28"/>
          <w:rtl/>
        </w:rPr>
        <w:t xml:space="preserve">غلاب ، عبد السلام بن عبد الغالب</w:t>
      </w:r>
    </w:p>
    <w:p>
      <w:pPr>
        <w:pStyle w:val="BookText"/>
      </w:pPr>
      <w:r>
        <w:rPr>
          <w:rFonts w:ascii="Amiri" w:hAnsi="Amiri" w:eastAsia="Amiri" w:cs="Amiri"/>
          <w:lang w:bidi="ar-SA"/>
          <w:color w:val="111111"/>
          <w:sz w:val="28"/>
          <w:szCs w:val="28"/>
          <w:rtl/>
        </w:rPr>
        <w:t xml:space="preserve">عبد السلام بن عبدالله حراني (ابن تيميه)- ابن تيميه ، عبدالسلام بن عبدالله</w:t>
      </w:r>
    </w:p>
    <w:p>
      <w:pPr>
        <w:pStyle w:val="BookText"/>
      </w:pPr>
      <w:r>
        <w:rPr>
          <w:rFonts w:ascii="Amiri" w:hAnsi="Amiri" w:eastAsia="Amiri" w:cs="Amiri"/>
          <w:lang w:bidi="ar-SA"/>
          <w:color w:val="111111"/>
          <w:sz w:val="28"/>
          <w:szCs w:val="28"/>
          <w:rtl/>
        </w:rPr>
        <w:t xml:space="preserve">عبد السلام بن عبدالله نزيلي -نزيلي ،</w:t>
      </w:r>
    </w:p>
    <w:p>
      <w:pPr>
        <w:pStyle w:val="BookText"/>
      </w:pPr>
      <w:r>
        <w:rPr>
          <w:rFonts w:ascii="IRNazanin" w:hAnsi="IRNazanin" w:eastAsia="IRNazanin" w:cs="IRNazanin"/>
          <w:lang w:bidi="fa-IR"/>
          <w:color w:val="111111"/>
          <w:sz w:val="28"/>
          <w:szCs w:val="28"/>
          <w:rtl/>
        </w:rPr>
        <w:t xml:space="preserve">عبد السلام بن عبدالله</w:t>
      </w:r>
    </w:p>
    <w:p>
      <w:pPr>
        <w:pStyle w:val="BookText"/>
      </w:pPr>
      <w:r>
        <w:rPr>
          <w:rFonts w:ascii="Amiri" w:hAnsi="Amiri" w:eastAsia="Amiri" w:cs="Amiri"/>
          <w:lang w:bidi="ar-SA"/>
          <w:color w:val="111111"/>
          <w:sz w:val="28"/>
          <w:szCs w:val="28"/>
          <w:rtl/>
        </w:rPr>
        <w:t xml:space="preserve">عبد السلام بن عمر الزاكي -زاكي عبدالسلام بن عمر</w:t>
      </w:r>
    </w:p>
    <w:p>
      <w:pPr>
        <w:pStyle w:val="BookText"/>
      </w:pPr>
      <w:r>
        <w:rPr>
          <w:rFonts w:ascii="Amiri" w:hAnsi="Amiri" w:eastAsia="Amiri" w:cs="Amiri"/>
          <w:lang w:bidi="ar-SA"/>
          <w:color w:val="111111"/>
          <w:sz w:val="28"/>
          <w:szCs w:val="28"/>
          <w:rtl/>
        </w:rPr>
        <w:t xml:space="preserve">عبدالسلام بن محمّد حجي- حجي ،</w:t>
      </w:r>
    </w:p>
    <w:p>
      <w:pPr>
        <w:pStyle w:val="BookText"/>
      </w:pPr>
      <w:r>
        <w:rPr>
          <w:rFonts w:ascii="IRNazanin" w:hAnsi="IRNazanin" w:eastAsia="IRNazanin" w:cs="IRNazanin"/>
          <w:lang w:bidi="fa-IR"/>
          <w:color w:val="111111"/>
          <w:sz w:val="28"/>
          <w:szCs w:val="28"/>
          <w:rtl/>
        </w:rPr>
        <w:t xml:space="preserve">عبدالسلام بن محمّد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39" w:name="pg7742_70734"/>
    <w:bookmarkEnd w:id="739"/>
    <w:p>
      <w:pPr>
        <w:pStyle w:val="BookText"/>
      </w:pPr>
      <w:r>
        <w:rPr>
          <w:rFonts w:ascii="Amiri" w:hAnsi="Amiri" w:eastAsia="Amiri" w:cs="Amiri"/>
          <w:lang w:bidi="ar-SA"/>
          <w:color w:val="111111"/>
          <w:sz w:val="28"/>
          <w:szCs w:val="28"/>
          <w:rtl/>
        </w:rPr>
        <w:t xml:space="preserve">عبد السلام بن محمّد حر عاملي -عاملي</w:t>
      </w:r>
    </w:p>
    <w:p>
      <w:pPr>
        <w:pStyle w:val="BookText"/>
      </w:pPr>
      <w:r>
        <w:rPr>
          <w:rFonts w:ascii="IRNazanin" w:hAnsi="IRNazanin" w:eastAsia="IRNazanin" w:cs="IRNazanin"/>
          <w:lang w:bidi="fa-IR"/>
          <w:color w:val="111111"/>
          <w:sz w:val="28"/>
          <w:szCs w:val="28"/>
          <w:rtl/>
        </w:rPr>
        <w:t xml:space="preserve">عبد السلام بن محمّد</w:t>
      </w:r>
    </w:p>
    <w:p>
      <w:pPr>
        <w:pStyle w:val="BookText"/>
      </w:pPr>
      <w:r>
        <w:rPr>
          <w:rFonts w:ascii="Amiri" w:hAnsi="Amiri" w:eastAsia="Amiri" w:cs="Amiri"/>
          <w:lang w:bidi="ar-SA"/>
          <w:color w:val="111111"/>
          <w:sz w:val="28"/>
          <w:szCs w:val="28"/>
          <w:rtl/>
        </w:rPr>
        <w:t xml:space="preserve">عبد السلام بن محمود بن ابي الربيع- ابن</w:t>
      </w:r>
    </w:p>
    <w:p>
      <w:pPr>
        <w:pStyle w:val="BookText"/>
      </w:pPr>
      <w:r>
        <w:rPr>
          <w:rFonts w:ascii="Amiri" w:hAnsi="Amiri" w:eastAsia="Amiri" w:cs="Amiri"/>
          <w:lang w:bidi="ar-SA"/>
          <w:color w:val="111111"/>
          <w:sz w:val="28"/>
          <w:szCs w:val="28"/>
          <w:rtl/>
        </w:rPr>
        <w:t xml:space="preserve">ابي ربيع ، عبد السلام بن محمود</w:t>
      </w:r>
    </w:p>
    <w:p>
      <w:pPr>
        <w:pStyle w:val="BookText"/>
      </w:pPr>
      <w:r>
        <w:rPr>
          <w:rFonts w:ascii="Amiri" w:hAnsi="Amiri" w:eastAsia="Amiri" w:cs="Amiri"/>
          <w:lang w:bidi="ar-SA"/>
          <w:color w:val="111111"/>
          <w:sz w:val="28"/>
          <w:szCs w:val="28"/>
          <w:rtl/>
        </w:rPr>
        <w:t xml:space="preserve">عبد السلام بن مشيش حسني- ابن مشيش</w:t>
      </w:r>
    </w:p>
    <w:p>
      <w:pPr>
        <w:pStyle w:val="BookText"/>
      </w:pPr>
      <w:r>
        <w:rPr>
          <w:rFonts w:ascii="Amiri" w:hAnsi="Amiri" w:eastAsia="Amiri" w:cs="Amiri"/>
          <w:lang w:bidi="ar-SA"/>
          <w:color w:val="111111"/>
          <w:sz w:val="28"/>
          <w:szCs w:val="28"/>
          <w:rtl/>
        </w:rPr>
        <w:t xml:space="preserve">، عبدالسلام بن مشيش</w:t>
      </w:r>
    </w:p>
    <w:p>
      <w:pPr>
        <w:pStyle w:val="BookText"/>
      </w:pPr>
      <w:r>
        <w:rPr>
          <w:rFonts w:ascii="IRNazanin" w:hAnsi="IRNazanin" w:eastAsia="IRNazanin" w:cs="IRNazanin"/>
          <w:lang w:bidi="fa-IR"/>
          <w:color w:val="111111"/>
          <w:sz w:val="28"/>
          <w:szCs w:val="28"/>
          <w:rtl/>
        </w:rPr>
        <w:t xml:space="preserve">عبد السلام علوي -علوي گجراتي ، وجيه</w:t>
      </w:r>
    </w:p>
    <w:p>
      <w:pPr>
        <w:pStyle w:val="BookText"/>
      </w:pPr>
      <w:r>
        <w:rPr>
          <w:rFonts w:ascii="IRNazanin" w:hAnsi="IRNazanin" w:eastAsia="IRNazanin" w:cs="IRNazanin"/>
          <w:lang w:bidi="fa-IR"/>
          <w:color w:val="111111"/>
          <w:sz w:val="28"/>
          <w:szCs w:val="28"/>
          <w:rtl/>
        </w:rPr>
        <w:t xml:space="preserve">الدین احمد بن نصر الله</w:t>
      </w:r>
    </w:p>
    <w:p>
      <w:pPr>
        <w:pStyle w:val="BookText"/>
      </w:pPr>
      <w:r>
        <w:rPr>
          <w:rFonts w:ascii="Amiri" w:hAnsi="Amiri" w:eastAsia="Amiri" w:cs="Amiri"/>
          <w:lang w:bidi="ar-SA"/>
          <w:color w:val="111111"/>
          <w:sz w:val="28"/>
          <w:szCs w:val="28"/>
          <w:rtl/>
        </w:rPr>
        <w:t xml:space="preserve">عبد السميع بن احمد البرزنجي -برزنجي</w:t>
      </w:r>
    </w:p>
    <w:p>
      <w:pPr>
        <w:pStyle w:val="BookText"/>
      </w:pPr>
      <w:r>
        <w:rPr>
          <w:rFonts w:ascii="Amiri" w:hAnsi="Amiri" w:eastAsia="Amiri" w:cs="Amiri"/>
          <w:lang w:bidi="ar-SA"/>
          <w:color w:val="111111"/>
          <w:sz w:val="28"/>
          <w:szCs w:val="28"/>
          <w:rtl/>
        </w:rPr>
        <w:t xml:space="preserve">عبد السميع بن احمد</w:t>
      </w:r>
    </w:p>
    <w:p>
      <w:pPr>
        <w:pStyle w:val="BookText"/>
      </w:pPr>
      <w:r>
        <w:rPr>
          <w:rFonts w:ascii="Amiri" w:hAnsi="Amiri" w:eastAsia="Amiri" w:cs="Amiri"/>
          <w:lang w:bidi="ar-SA"/>
          <w:color w:val="111111"/>
          <w:sz w:val="28"/>
          <w:szCs w:val="28"/>
          <w:rtl/>
        </w:rPr>
        <w:t xml:space="preserve">عبد السميع بن فياض اسدي حلي- اسدي ،</w:t>
      </w:r>
    </w:p>
    <w:p>
      <w:pPr>
        <w:pStyle w:val="BookText"/>
      </w:pPr>
      <w:r>
        <w:rPr>
          <w:rFonts w:ascii="Amiri" w:hAnsi="Amiri" w:eastAsia="Amiri" w:cs="Amiri"/>
          <w:lang w:bidi="ar-SA"/>
          <w:color w:val="111111"/>
          <w:sz w:val="28"/>
          <w:szCs w:val="28"/>
          <w:rtl/>
        </w:rPr>
        <w:t xml:space="preserve">عبد السميع بن فياض</w:t>
      </w:r>
    </w:p>
    <w:p>
      <w:pPr>
        <w:pStyle w:val="BookText"/>
      </w:pPr>
      <w:r>
        <w:rPr>
          <w:rFonts w:ascii="Amiri" w:hAnsi="Amiri" w:eastAsia="Amiri" w:cs="Amiri"/>
          <w:lang w:bidi="ar-SA"/>
          <w:color w:val="111111"/>
          <w:sz w:val="28"/>
          <w:szCs w:val="28"/>
          <w:rtl/>
        </w:rPr>
        <w:t xml:space="preserve">عبد السميع بن محمّد علي بن احمد يزدي- يزدي ، عبد السميع بن محمّد علي</w:t>
      </w:r>
    </w:p>
    <w:p>
      <w:pPr>
        <w:pStyle w:val="BookText"/>
      </w:pPr>
      <w:r>
        <w:rPr>
          <w:rFonts w:ascii="Amiri" w:hAnsi="Amiri" w:eastAsia="Amiri" w:cs="Amiri"/>
          <w:lang w:bidi="ar-SA"/>
          <w:color w:val="111111"/>
          <w:sz w:val="28"/>
          <w:szCs w:val="28"/>
          <w:rtl/>
        </w:rPr>
        <w:t xml:space="preserve">عبد السميع حائري -حائري ، عبد السميع</w:t>
      </w:r>
    </w:p>
    <w:p>
      <w:pPr>
        <w:pStyle w:val="BookText"/>
      </w:pPr>
      <w:r>
        <w:rPr>
          <w:rFonts w:ascii="IRNazanin" w:hAnsi="IRNazanin" w:eastAsia="IRNazanin" w:cs="IRNazanin"/>
          <w:lang w:bidi="fa-IR"/>
          <w:color w:val="111111"/>
          <w:sz w:val="28"/>
          <w:szCs w:val="28"/>
          <w:rtl/>
        </w:rPr>
        <w:t xml:space="preserve">عبد الصاحب بن حسن</w:t>
      </w:r>
    </w:p>
    <w:p>
      <w:pPr>
        <w:pStyle w:val="BookText"/>
      </w:pPr>
      <w:r>
        <w:rPr>
          <w:rFonts w:ascii="Amiri" w:hAnsi="Amiri" w:eastAsia="Amiri" w:cs="Amiri"/>
          <w:lang w:bidi="ar-SA"/>
          <w:color w:val="111111"/>
          <w:sz w:val="28"/>
          <w:szCs w:val="28"/>
          <w:rtl/>
        </w:rPr>
        <w:t xml:space="preserve">الجواهري - جواهري ، عبدالصاحب بن حسن</w:t>
      </w:r>
    </w:p>
    <w:p>
      <w:pPr>
        <w:pStyle w:val="BookText"/>
      </w:pPr>
      <w:r>
        <w:rPr>
          <w:rFonts w:ascii="Amiri" w:hAnsi="Amiri" w:eastAsia="Amiri" w:cs="Amiri"/>
          <w:lang w:bidi="ar-SA"/>
          <w:color w:val="111111"/>
          <w:sz w:val="28"/>
          <w:szCs w:val="28"/>
          <w:rtl/>
        </w:rPr>
        <w:t xml:space="preserve">عبد الصاحب بن محمّد سعيد</w:t>
      </w:r>
    </w:p>
    <w:p>
      <w:pPr>
        <w:pStyle w:val="BookText"/>
      </w:pPr>
      <w:r>
        <w:rPr>
          <w:rFonts w:ascii="Amiri" w:hAnsi="Amiri" w:eastAsia="Amiri" w:cs="Amiri"/>
          <w:lang w:bidi="ar-SA"/>
          <w:color w:val="111111"/>
          <w:sz w:val="28"/>
          <w:szCs w:val="28"/>
          <w:rtl/>
        </w:rPr>
        <w:t xml:space="preserve">فضلي- فضلي ، عبد الصاحب</w:t>
      </w:r>
    </w:p>
    <w:p>
      <w:pPr>
        <w:pStyle w:val="BookText"/>
      </w:pPr>
      <w:r>
        <w:rPr>
          <w:rFonts w:ascii="Amiri" w:hAnsi="Amiri" w:eastAsia="Amiri" w:cs="Amiri"/>
          <w:lang w:bidi="ar-SA"/>
          <w:color w:val="111111"/>
          <w:sz w:val="28"/>
          <w:szCs w:val="28"/>
          <w:rtl/>
        </w:rPr>
        <w:t xml:space="preserve">عبد الصاحب شبر حسيني -شبر حسيني ،عبد الصاحب</w:t>
      </w:r>
    </w:p>
    <w:p>
      <w:pPr>
        <w:pStyle w:val="BookText"/>
      </w:pPr>
      <w:r>
        <w:rPr>
          <w:rFonts w:ascii="Amiri" w:hAnsi="Amiri" w:eastAsia="Amiri" w:cs="Amiri"/>
          <w:lang w:bidi="ar-SA"/>
          <w:color w:val="111111"/>
          <w:sz w:val="28"/>
          <w:szCs w:val="28"/>
          <w:rtl/>
        </w:rPr>
        <w:t xml:space="preserve">عبد الصاحب فضلي- فضلي ، عبد الصاحب</w:t>
      </w:r>
    </w:p>
    <w:p>
      <w:pPr>
        <w:pStyle w:val="BookText"/>
      </w:pPr>
      <w:r>
        <w:rPr>
          <w:rFonts w:ascii="Amiri" w:hAnsi="Amiri" w:eastAsia="Amiri" w:cs="Amiri"/>
          <w:lang w:bidi="ar-SA"/>
          <w:color w:val="111111"/>
          <w:sz w:val="28"/>
          <w:szCs w:val="28"/>
          <w:rtl/>
        </w:rPr>
        <w:t xml:space="preserve">عبد الصاحب نراقي -نراقي ، عبد الصاحب</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عبد الصمد بن الفقيه حسين البصري- ابن</w:t>
      </w:r>
    </w:p>
    <w:p>
      <w:pPr>
        <w:pStyle w:val="BookText"/>
      </w:pPr>
      <w:r>
        <w:rPr>
          <w:rFonts w:ascii="Amiri" w:hAnsi="Amiri" w:eastAsia="Amiri" w:cs="Amiri"/>
          <w:lang w:bidi="ar-SA"/>
          <w:color w:val="111111"/>
          <w:sz w:val="28"/>
          <w:szCs w:val="28"/>
          <w:rtl/>
        </w:rPr>
        <w:t xml:space="preserve">فقيه ، عبدالصمد بن حسين</w:t>
      </w:r>
    </w:p>
    <w:p>
      <w:pPr>
        <w:pStyle w:val="Heading2"/>
      </w:pPr>
      <w:bookmarkStart w:id="5812" w:name="_Toc4914"/>
      <w:r>
        <w:t>عبد الصمد بن ابوالحسن</w:t>
      </w:r>
      <w:bookmarkEnd w:id="5812"/>
    </w:p>
    <w:p>
      <w:pPr>
        <w:pStyle w:val="BookText"/>
      </w:pPr>
      <w:r>
        <w:rPr>
          <w:rFonts w:ascii="IRNazanin" w:hAnsi="IRNazanin" w:eastAsia="IRNazanin" w:cs="IRNazanin"/>
          <w:lang w:bidi="fa-IR"/>
          <w:color w:val="111111"/>
          <w:sz w:val="28"/>
          <w:szCs w:val="28"/>
          <w:rtl/>
        </w:rPr>
        <w:t xml:space="preserve">احادیث، ج1، ص392.</w:t>
      </w:r>
    </w:p>
    <w:p>
      <w:pPr>
        <w:pStyle w:val="BookText"/>
      </w:pPr>
      <w:r>
        <w:rPr>
          <w:rFonts w:ascii="Amiri" w:hAnsi="Amiri" w:eastAsia="Amiri" w:cs="Amiri"/>
          <w:lang w:bidi="ar-SA"/>
          <w:color w:val="111111"/>
          <w:sz w:val="28"/>
          <w:szCs w:val="28"/>
          <w:rtl/>
        </w:rPr>
        <w:t xml:space="preserve">عبد الصمد بن حسين البصري- ابن فقيه</w:t>
      </w:r>
    </w:p>
    <w:p>
      <w:pPr>
        <w:pStyle w:val="BookText"/>
      </w:pPr>
      <w:r>
        <w:rPr>
          <w:rFonts w:ascii="Amiri" w:hAnsi="Amiri" w:eastAsia="Amiri" w:cs="Amiri"/>
          <w:lang w:bidi="ar-SA"/>
          <w:color w:val="111111"/>
          <w:sz w:val="28"/>
          <w:szCs w:val="28"/>
          <w:rtl/>
        </w:rPr>
        <w:t xml:space="preserve">عبدالصمد بن حسين</w:t>
      </w:r>
    </w:p>
    <w:p>
      <w:pPr>
        <w:pStyle w:val="BookText"/>
      </w:pPr>
      <w:r>
        <w:rPr>
          <w:rFonts w:ascii="Amiri" w:hAnsi="Amiri" w:eastAsia="Amiri" w:cs="Amiri"/>
          <w:lang w:bidi="ar-SA"/>
          <w:color w:val="111111"/>
          <w:sz w:val="28"/>
          <w:szCs w:val="28"/>
          <w:rtl/>
        </w:rPr>
        <w:t xml:space="preserve">عبد الصمد بن عبد الغفار حنفي- حنفي ،</w:t>
      </w:r>
    </w:p>
    <w:p>
      <w:pPr>
        <w:pStyle w:val="BookText"/>
      </w:pPr>
      <w:r>
        <w:rPr>
          <w:rFonts w:ascii="IRNazanin" w:hAnsi="IRNazanin" w:eastAsia="IRNazanin" w:cs="IRNazanin"/>
          <w:lang w:bidi="fa-IR"/>
          <w:color w:val="111111"/>
          <w:sz w:val="28"/>
          <w:szCs w:val="28"/>
          <w:rtl/>
        </w:rPr>
        <w:t xml:space="preserve">عبد الصمد بن عبدالغفار</w:t>
      </w:r>
    </w:p>
    <w:p>
      <w:pPr>
        <w:pStyle w:val="BookText"/>
      </w:pPr>
      <w:r>
        <w:rPr>
          <w:rFonts w:ascii="Amiri" w:hAnsi="Amiri" w:eastAsia="Amiri" w:cs="Amiri"/>
          <w:lang w:bidi="ar-SA"/>
          <w:color w:val="111111"/>
          <w:sz w:val="28"/>
          <w:szCs w:val="28"/>
          <w:rtl/>
        </w:rPr>
        <w:t xml:space="preserve">عبد الصمد بن عبدالله علوي دامغاني- علوي ، عبدالصمد بن عبدالله</w:t>
      </w:r>
    </w:p>
    <w:p>
      <w:pPr>
        <w:pStyle w:val="BookText"/>
      </w:pPr>
      <w:r>
        <w:rPr>
          <w:rFonts w:ascii="Amiri" w:hAnsi="Amiri" w:eastAsia="Amiri" w:cs="Amiri"/>
          <w:lang w:bidi="ar-SA"/>
          <w:color w:val="111111"/>
          <w:sz w:val="28"/>
          <w:szCs w:val="28"/>
          <w:rtl/>
        </w:rPr>
        <w:t xml:space="preserve">عبد الصمد بن عبدالله مصري -مصري ،</w:t>
      </w:r>
    </w:p>
    <w:p>
      <w:pPr>
        <w:pStyle w:val="BookText"/>
      </w:pPr>
      <w:r>
        <w:rPr>
          <w:rFonts w:ascii="IRNazanin" w:hAnsi="IRNazanin" w:eastAsia="IRNazanin" w:cs="IRNazanin"/>
          <w:lang w:bidi="fa-IR"/>
          <w:color w:val="111111"/>
          <w:sz w:val="28"/>
          <w:szCs w:val="28"/>
          <w:rtl/>
        </w:rPr>
        <w:t xml:space="preserve">عبدالصمد بن عبدالله</w:t>
      </w:r>
    </w:p>
    <w:p>
      <w:pPr>
        <w:pStyle w:val="BookText"/>
      </w:pPr>
      <w:r>
        <w:rPr>
          <w:rFonts w:ascii="Amiri" w:hAnsi="Amiri" w:eastAsia="Amiri" w:cs="Amiri"/>
          <w:lang w:bidi="ar-SA"/>
          <w:color w:val="111111"/>
          <w:sz w:val="28"/>
          <w:szCs w:val="28"/>
          <w:rtl/>
        </w:rPr>
        <w:t xml:space="preserve">عبد الصمد بن عبد الله همداني- همداني ،</w:t>
      </w:r>
    </w:p>
    <w:p>
      <w:pPr>
        <w:pStyle w:val="BookText"/>
      </w:pPr>
      <w:r>
        <w:rPr>
          <w:rFonts w:ascii="Amiri" w:hAnsi="Amiri" w:eastAsia="Amiri" w:cs="Amiri"/>
          <w:lang w:bidi="ar-SA"/>
          <w:color w:val="111111"/>
          <w:sz w:val="28"/>
          <w:szCs w:val="28"/>
          <w:rtl/>
        </w:rPr>
        <w:t xml:space="preserve">عبدالصمد بن محمّد حسين</w:t>
      </w:r>
    </w:p>
    <w:p>
      <w:pPr>
        <w:pStyle w:val="BookText"/>
      </w:pPr>
      <w:r>
        <w:rPr>
          <w:rFonts w:ascii="Amiri" w:hAnsi="Amiri" w:eastAsia="Amiri" w:cs="Amiri"/>
          <w:lang w:bidi="ar-SA"/>
          <w:color w:val="111111"/>
          <w:sz w:val="28"/>
          <w:szCs w:val="28"/>
          <w:rtl/>
        </w:rPr>
        <w:t xml:space="preserve">عبد الصمد بن عبد الوهاب دمشقي- ابن</w:t>
      </w:r>
    </w:p>
    <w:p>
      <w:pPr>
        <w:pStyle w:val="BookText"/>
      </w:pPr>
      <w:r>
        <w:rPr>
          <w:rFonts w:ascii="IRNazanin" w:hAnsi="IRNazanin" w:eastAsia="IRNazanin" w:cs="IRNazanin"/>
          <w:lang w:bidi="fa-IR"/>
          <w:color w:val="111111"/>
          <w:sz w:val="28"/>
          <w:szCs w:val="28"/>
          <w:rtl/>
        </w:rPr>
        <w:t xml:space="preserve">عساکر ، عبدالصمد بن عبدالوهاب</w:t>
      </w:r>
    </w:p>
    <w:p>
      <w:pPr>
        <w:pStyle w:val="BookText"/>
      </w:pPr>
      <w:r>
        <w:rPr>
          <w:rFonts w:ascii="Amiri" w:hAnsi="Amiri" w:eastAsia="Amiri" w:cs="Amiri"/>
          <w:lang w:bidi="ar-SA"/>
          <w:color w:val="111111"/>
          <w:sz w:val="28"/>
          <w:szCs w:val="28"/>
          <w:rtl/>
        </w:rPr>
        <w:t xml:space="preserve">عبدالصمد بن علي ديار بكري- ديار بكري</w:t>
      </w:r>
    </w:p>
    <w:p>
      <w:pPr>
        <w:pStyle w:val="BookText"/>
      </w:pPr>
      <w:r>
        <w:rPr>
          <w:rFonts w:ascii="Amiri" w:hAnsi="Amiri" w:eastAsia="Amiri" w:cs="Amiri"/>
          <w:lang w:bidi="ar-SA"/>
          <w:color w:val="111111"/>
          <w:sz w:val="28"/>
          <w:szCs w:val="28"/>
          <w:rtl/>
        </w:rPr>
        <w:t xml:space="preserve">، عبدالصمد بن علي</w:t>
      </w:r>
    </w:p>
    <w:p>
      <w:pPr>
        <w:pStyle w:val="BookText"/>
      </w:pPr>
      <w:r>
        <w:rPr>
          <w:rFonts w:ascii="Amiri" w:hAnsi="Amiri" w:eastAsia="Amiri" w:cs="Amiri"/>
          <w:lang w:bidi="ar-SA"/>
          <w:color w:val="111111"/>
          <w:sz w:val="28"/>
          <w:szCs w:val="28"/>
          <w:rtl/>
        </w:rPr>
        <w:t xml:space="preserve">عبد الصمد بن كمال حافظي</w:t>
      </w:r>
    </w:p>
    <w:p>
      <w:pPr>
        <w:pStyle w:val="BookText"/>
      </w:pPr>
      <w:r>
        <w:rPr>
          <w:rFonts w:ascii="Amiri" w:hAnsi="Amiri" w:eastAsia="Amiri" w:cs="Amiri"/>
          <w:lang w:bidi="ar-SA"/>
          <w:color w:val="111111"/>
          <w:sz w:val="28"/>
          <w:szCs w:val="28"/>
          <w:rtl/>
        </w:rPr>
        <w:t xml:space="preserve">كاشاني- حافظي كاشاني ، عبدالصمد بن كمال</w:t>
      </w:r>
    </w:p>
    <w:p>
      <w:pPr>
        <w:pStyle w:val="BookText"/>
      </w:pPr>
      <w:r>
        <w:rPr>
          <w:rFonts w:ascii="Amiri" w:hAnsi="Amiri" w:eastAsia="Amiri" w:cs="Amiri"/>
          <w:lang w:bidi="ar-SA"/>
          <w:color w:val="111111"/>
          <w:sz w:val="28"/>
          <w:szCs w:val="28"/>
          <w:rtl/>
        </w:rPr>
        <w:t xml:space="preserve">عبد الصمد بن محمّد بن علي العاملي-</w:t>
      </w:r>
    </w:p>
    <w:p>
      <w:pPr>
        <w:pStyle w:val="BookText"/>
      </w:pPr>
      <w:r>
        <w:rPr>
          <w:rFonts w:ascii="Amiri" w:hAnsi="Amiri" w:eastAsia="Amiri" w:cs="Amiri"/>
          <w:lang w:bidi="ar-SA"/>
          <w:color w:val="111111"/>
          <w:sz w:val="28"/>
          <w:szCs w:val="28"/>
          <w:rtl/>
        </w:rPr>
        <w:t xml:space="preserve">عاملي ، عبدالصمد بن محمّد</w:t>
      </w:r>
    </w:p>
    <w:p>
      <w:pPr>
        <w:pStyle w:val="BookText"/>
      </w:pPr>
      <w:r>
        <w:rPr>
          <w:rFonts w:ascii="Amiri" w:hAnsi="Amiri" w:eastAsia="Amiri" w:cs="Amiri"/>
          <w:lang w:bidi="ar-SA"/>
          <w:color w:val="111111"/>
          <w:sz w:val="28"/>
          <w:szCs w:val="28"/>
          <w:rtl/>
        </w:rPr>
        <w:t xml:space="preserve">عبد الصمد بن محمود غزنوي -غزنوي ، عبد الصمد بن محمود</w:t>
      </w:r>
    </w:p>
    <w:p>
      <w:pPr>
        <w:pStyle w:val="BookText"/>
      </w:pPr>
      <w:r>
        <w:rPr>
          <w:rFonts w:ascii="Amiri" w:hAnsi="Amiri" w:eastAsia="Amiri" w:cs="Amiri"/>
          <w:lang w:bidi="ar-SA"/>
          <w:color w:val="111111"/>
          <w:sz w:val="28"/>
          <w:szCs w:val="28"/>
          <w:rtl/>
        </w:rPr>
        <w:t xml:space="preserve">عبد الصمد همداني حائري - همداني ،</w:t>
      </w:r>
    </w:p>
    <w:p>
      <w:pPr>
        <w:pStyle w:val="BookText"/>
      </w:pPr>
      <w:r>
        <w:rPr>
          <w:rFonts w:ascii="Amiri" w:hAnsi="Amiri" w:eastAsia="Amiri" w:cs="Amiri"/>
          <w:lang w:bidi="ar-SA"/>
          <w:color w:val="111111"/>
          <w:sz w:val="28"/>
          <w:szCs w:val="28"/>
          <w:rtl/>
        </w:rPr>
        <w:t xml:space="preserve">عبد الصمد بن محمد حسين</w:t>
      </w:r>
    </w:p>
    <w:p>
      <w:pPr>
        <w:pStyle w:val="BookText"/>
      </w:pPr>
      <w:r>
        <w:rPr>
          <w:rFonts w:ascii="Amiri" w:hAnsi="Amiri" w:eastAsia="Amiri" w:cs="Amiri"/>
          <w:lang w:bidi="ar-SA"/>
          <w:color w:val="111111"/>
          <w:sz w:val="28"/>
          <w:szCs w:val="28"/>
          <w:rtl/>
        </w:rPr>
        <w:t xml:space="preserve">عبد العالي بن علي كركي عاملي -كركي</w:t>
      </w:r>
    </w:p>
    <w:p>
      <w:pPr>
        <w:pStyle w:val="BookText"/>
      </w:pPr>
      <w:r>
        <w:rPr>
          <w:rFonts w:ascii="Amiri" w:hAnsi="Amiri" w:eastAsia="Amiri" w:cs="Amiri"/>
          <w:lang w:bidi="ar-SA"/>
          <w:color w:val="111111"/>
          <w:sz w:val="28"/>
          <w:szCs w:val="28"/>
          <w:rtl/>
        </w:rPr>
        <w:t xml:space="preserve">عبد العالي بن علي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40" w:name="pg7742_70735"/>
    <w:bookmarkEnd w:id="740"/>
    <w:p>
      <w:pPr>
        <w:pStyle w:val="Heading2"/>
      </w:pPr>
      <w:bookmarkStart w:id="5813" w:name="_Toc4915"/>
      <w:r>
        <w:t>عبد العزيز اول ، سلطان عثماني، 1245 -</w:t>
      </w:r>
      <w:bookmarkEnd w:id="5813"/>
    </w:p>
    <w:p>
      <w:pPr>
        <w:pStyle w:val="BookText"/>
      </w:pPr>
      <w:r>
        <w:rPr>
          <w:rFonts w:ascii="IRNazanin" w:hAnsi="IRNazanin" w:eastAsia="IRNazanin" w:cs="IRNazanin"/>
          <w:lang w:bidi="fa-IR"/>
          <w:color w:val="111111"/>
          <w:sz w:val="28"/>
          <w:szCs w:val="28"/>
          <w:rtl/>
        </w:rPr>
        <w:t xml:space="preserve">1292 ه-</w:t>
      </w:r>
    </w:p>
    <w:p>
      <w:pPr>
        <w:pStyle w:val="BookText"/>
      </w:pPr>
      <w:r>
        <w:rPr>
          <w:rFonts w:ascii="IRNazanin" w:hAnsi="IRNazanin" w:eastAsia="IRNazanin" w:cs="IRNazanin"/>
          <w:lang w:bidi="fa-IR"/>
          <w:color w:val="111111"/>
          <w:sz w:val="28"/>
          <w:szCs w:val="28"/>
          <w:rtl/>
        </w:rPr>
        <w:t xml:space="preserve">فرمان ج 11، ص803.</w:t>
      </w:r>
    </w:p>
    <w:p>
      <w:pPr>
        <w:pStyle w:val="Heading2"/>
      </w:pPr>
      <w:bookmarkStart w:id="5814" w:name="_Toc4916"/>
      <w:r>
        <w:t>عبد العزيز بن احمد ، قرن 7 ه-</w:t>
      </w:r>
      <w:bookmarkEnd w:id="5814"/>
    </w:p>
    <w:p>
      <w:pPr>
        <w:pStyle w:val="BookText"/>
      </w:pPr>
      <w:r>
        <w:rPr>
          <w:rFonts w:ascii="Amiri" w:hAnsi="Amiri" w:eastAsia="Amiri" w:cs="Amiri"/>
          <w:lang w:bidi="ar-SA"/>
          <w:color w:val="111111"/>
          <w:sz w:val="28"/>
          <w:szCs w:val="28"/>
          <w:rtl/>
        </w:rPr>
        <w:t xml:space="preserve">اليواقيت في علم المواقيت ج 16، ص 904.</w:t>
      </w:r>
    </w:p>
    <w:p>
      <w:pPr>
        <w:pStyle w:val="BookText"/>
      </w:pPr>
      <w:r>
        <w:rPr>
          <w:rFonts w:ascii="Amiri" w:hAnsi="Amiri" w:eastAsia="Amiri" w:cs="Amiri"/>
          <w:lang w:bidi="ar-SA"/>
          <w:color w:val="111111"/>
          <w:sz w:val="28"/>
          <w:szCs w:val="28"/>
          <w:rtl/>
        </w:rPr>
        <w:t xml:space="preserve">عبدالعزيز بن احمد بن بخاري- بخاري ،</w:t>
      </w:r>
    </w:p>
    <w:p>
      <w:pPr>
        <w:pStyle w:val="BookText"/>
      </w:pPr>
      <w:r>
        <w:rPr>
          <w:rFonts w:ascii="Amiri" w:hAnsi="Amiri" w:eastAsia="Amiri" w:cs="Amiri"/>
          <w:lang w:bidi="ar-SA"/>
          <w:color w:val="111111"/>
          <w:sz w:val="28"/>
          <w:szCs w:val="28"/>
          <w:rtl/>
        </w:rPr>
        <w:t xml:space="preserve">عبدالعزيز بن احمد</w:t>
      </w:r>
    </w:p>
    <w:p>
      <w:pPr>
        <w:pStyle w:val="BookText"/>
      </w:pPr>
      <w:r>
        <w:rPr>
          <w:rFonts w:ascii="Amiri" w:hAnsi="Amiri" w:eastAsia="Amiri" w:cs="Amiri"/>
          <w:lang w:bidi="ar-SA"/>
          <w:color w:val="111111"/>
          <w:sz w:val="28"/>
          <w:szCs w:val="28"/>
          <w:rtl/>
        </w:rPr>
        <w:t xml:space="preserve">عبدالعزيز بن احمد ديريني -ديريني ،</w:t>
      </w:r>
    </w:p>
    <w:p>
      <w:pPr>
        <w:pStyle w:val="BookText"/>
      </w:pPr>
      <w:r>
        <w:rPr>
          <w:rFonts w:ascii="Amiri" w:hAnsi="Amiri" w:eastAsia="Amiri" w:cs="Amiri"/>
          <w:lang w:bidi="ar-SA"/>
          <w:color w:val="111111"/>
          <w:sz w:val="28"/>
          <w:szCs w:val="28"/>
          <w:rtl/>
        </w:rPr>
        <w:t xml:space="preserve">عبدالعزيز بن احمد</w:t>
      </w:r>
    </w:p>
    <w:p>
      <w:pPr>
        <w:pStyle w:val="BookText"/>
      </w:pPr>
      <w:r>
        <w:rPr>
          <w:rFonts w:ascii="IRNazanin" w:hAnsi="IRNazanin" w:eastAsia="IRNazanin" w:cs="IRNazanin"/>
          <w:lang w:bidi="fa-IR"/>
          <w:color w:val="111111"/>
          <w:sz w:val="28"/>
          <w:szCs w:val="28"/>
          <w:rtl/>
        </w:rPr>
        <w:t xml:space="preserve">عبد العزيز بن بحر -ابن براج ، عبدالعزيز بن تحریر</w:t>
      </w:r>
    </w:p>
    <w:p>
      <w:pPr>
        <w:pStyle w:val="Heading2"/>
      </w:pPr>
      <w:bookmarkStart w:id="5815" w:name="_Toc4917"/>
      <w:r>
        <w:t>عبدالعزيز بن ،رضوان قرن 8 ه-</w:t>
      </w:r>
      <w:bookmarkEnd w:id="5815"/>
    </w:p>
    <w:p>
      <w:pPr>
        <w:pStyle w:val="BookText"/>
      </w:pPr>
      <w:r>
        <w:rPr>
          <w:rFonts w:ascii="Amiri" w:hAnsi="Amiri" w:eastAsia="Amiri" w:cs="Amiri"/>
          <w:lang w:bidi="ar-SA"/>
          <w:color w:val="111111"/>
          <w:sz w:val="28"/>
          <w:szCs w:val="28"/>
          <w:rtl/>
        </w:rPr>
        <w:t xml:space="preserve">مطلع النيرين مختصر الجمع بين</w:t>
      </w:r>
    </w:p>
    <w:p>
      <w:pPr>
        <w:pStyle w:val="BookText"/>
      </w:pPr>
      <w:r>
        <w:rPr>
          <w:rFonts w:ascii="Amiri" w:hAnsi="Amiri" w:eastAsia="Amiri" w:cs="Amiri"/>
          <w:lang w:bidi="ar-SA"/>
          <w:color w:val="111111"/>
          <w:sz w:val="28"/>
          <w:szCs w:val="28"/>
          <w:rtl/>
        </w:rPr>
        <w:t xml:space="preserve">الصحيحين، ج 14، ص 800.</w:t>
      </w:r>
    </w:p>
    <w:p>
      <w:pPr>
        <w:pStyle w:val="BookText"/>
      </w:pPr>
      <w:r>
        <w:rPr>
          <w:rFonts w:ascii="Amiri" w:hAnsi="Amiri" w:eastAsia="Amiri" w:cs="Amiri"/>
          <w:lang w:bidi="ar-SA"/>
          <w:color w:val="111111"/>
          <w:sz w:val="28"/>
          <w:szCs w:val="28"/>
          <w:rtl/>
        </w:rPr>
        <w:t xml:space="preserve">عبد العزيز بن زين الدين</w:t>
      </w:r>
    </w:p>
    <w:p>
      <w:pPr>
        <w:pStyle w:val="BookText"/>
      </w:pPr>
      <w:r>
        <w:rPr>
          <w:rFonts w:ascii="Amiri" w:hAnsi="Amiri" w:eastAsia="Amiri" w:cs="Amiri"/>
          <w:lang w:bidi="ar-SA"/>
          <w:color w:val="111111"/>
          <w:sz w:val="28"/>
          <w:szCs w:val="28"/>
          <w:rtl/>
        </w:rPr>
        <w:t xml:space="preserve">مليباري- مليباري ، عبدالعزيز بن زين الدين</w:t>
      </w:r>
    </w:p>
    <w:p>
      <w:pPr>
        <w:pStyle w:val="BookText"/>
      </w:pPr>
      <w:r>
        <w:rPr>
          <w:rFonts w:ascii="Amiri" w:hAnsi="Amiri" w:eastAsia="Amiri" w:cs="Amiri"/>
          <w:lang w:bidi="ar-SA"/>
          <w:color w:val="111111"/>
          <w:sz w:val="28"/>
          <w:szCs w:val="28"/>
          <w:rtl/>
        </w:rPr>
        <w:t xml:space="preserve">عبدالعزيز بن سرايا حلي- صفي الدين</w:t>
      </w:r>
    </w:p>
    <w:p>
      <w:pPr>
        <w:pStyle w:val="BookText"/>
      </w:pPr>
      <w:r>
        <w:rPr>
          <w:rFonts w:ascii="Amiri" w:hAnsi="Amiri" w:eastAsia="Amiri" w:cs="Amiri"/>
          <w:lang w:bidi="ar-SA"/>
          <w:color w:val="111111"/>
          <w:sz w:val="28"/>
          <w:szCs w:val="28"/>
          <w:rtl/>
        </w:rPr>
        <w:t xml:space="preserve">حلي ، عبد العزيز بن سرايا</w:t>
      </w:r>
    </w:p>
    <w:p>
      <w:pPr>
        <w:pStyle w:val="BookText"/>
      </w:pPr>
      <w:r>
        <w:rPr>
          <w:rFonts w:ascii="Amiri" w:hAnsi="Amiri" w:eastAsia="Amiri" w:cs="Amiri"/>
          <w:lang w:bidi="ar-SA"/>
          <w:color w:val="111111"/>
          <w:sz w:val="28"/>
          <w:szCs w:val="28"/>
          <w:rtl/>
        </w:rPr>
        <w:t xml:space="preserve">عبدالعزيز بن شاه ولي الله احمد دهلوي- دهلوي ، عبدالعزيز بن احمد</w:t>
      </w:r>
    </w:p>
    <w:p>
      <w:pPr>
        <w:pStyle w:val="BookText"/>
      </w:pPr>
      <w:r>
        <w:rPr>
          <w:rFonts w:ascii="Amiri" w:hAnsi="Amiri" w:eastAsia="Amiri" w:cs="Amiri"/>
          <w:lang w:bidi="ar-SA"/>
          <w:color w:val="111111"/>
          <w:sz w:val="28"/>
          <w:szCs w:val="28"/>
          <w:rtl/>
        </w:rPr>
        <w:t xml:space="preserve">عبد العزيز بن عبد السلام سلمي- ابن</w:t>
      </w:r>
    </w:p>
    <w:p>
      <w:pPr>
        <w:pStyle w:val="BookText"/>
      </w:pPr>
      <w:r>
        <w:rPr>
          <w:rFonts w:ascii="Amiri" w:hAnsi="Amiri" w:eastAsia="Amiri" w:cs="Amiri"/>
          <w:lang w:bidi="ar-SA"/>
          <w:color w:val="111111"/>
          <w:sz w:val="28"/>
          <w:szCs w:val="28"/>
          <w:rtl/>
        </w:rPr>
        <w:t xml:space="preserve">عبد السلام ، عبدالعزيز بن عبد السلام</w:t>
      </w:r>
    </w:p>
    <w:p>
      <w:pPr>
        <w:pStyle w:val="BookText"/>
      </w:pPr>
      <w:r>
        <w:rPr>
          <w:rFonts w:ascii="Amiri" w:hAnsi="Amiri" w:eastAsia="Amiri" w:cs="Amiri"/>
          <w:lang w:bidi="ar-SA"/>
          <w:color w:val="111111"/>
          <w:sz w:val="28"/>
          <w:szCs w:val="28"/>
          <w:rtl/>
        </w:rPr>
        <w:t xml:space="preserve">عبد العزيز بن عبد الواحد بن محمّد</w:t>
      </w:r>
    </w:p>
    <w:p>
      <w:pPr>
        <w:pStyle w:val="BookText"/>
      </w:pPr>
      <w:r>
        <w:rPr>
          <w:rFonts w:ascii="Amiri" w:hAnsi="Amiri" w:eastAsia="Amiri" w:cs="Amiri"/>
          <w:lang w:bidi="ar-SA"/>
          <w:color w:val="111111"/>
          <w:sz w:val="28"/>
          <w:szCs w:val="28"/>
          <w:rtl/>
        </w:rPr>
        <w:t xml:space="preserve">المكناسي -مكناسي ، عبدالعزيز بن عبد الواحد</w:t>
      </w:r>
    </w:p>
    <w:p>
      <w:pPr>
        <w:pStyle w:val="BookText"/>
      </w:pPr>
      <w:r>
        <w:rPr>
          <w:rFonts w:ascii="Amiri" w:hAnsi="Amiri" w:eastAsia="Amiri" w:cs="Amiri"/>
          <w:lang w:bidi="ar-SA"/>
          <w:color w:val="111111"/>
          <w:sz w:val="28"/>
          <w:szCs w:val="28"/>
          <w:rtl/>
        </w:rPr>
        <w:t xml:space="preserve">عبد العزيز بن عثمان القبيصي الهاشمي - قبيصي ، عبد العزيز بن عثمان</w:t>
      </w:r>
    </w:p>
    <w:p>
      <w:pPr>
        <w:pStyle w:val="BookText"/>
      </w:pPr>
      <w:r>
        <w:rPr>
          <w:rFonts w:ascii="Amiri" w:hAnsi="Amiri" w:eastAsia="Amiri" w:cs="Amiri"/>
          <w:lang w:bidi="ar-SA"/>
          <w:color w:val="111111"/>
          <w:sz w:val="28"/>
          <w:szCs w:val="28"/>
          <w:rtl/>
        </w:rPr>
        <w:t xml:space="preserve">عبد العزيز بن علي بن اشتهي- اشتهي عبدالعزيز بن علي</w:t>
      </w:r>
    </w:p>
    <w:p>
      <w:pPr>
        <w:pStyle w:val="BookText"/>
      </w:pPr>
      <w:r>
        <w:rPr>
          <w:rFonts w:ascii="Amiri" w:hAnsi="Amiri" w:eastAsia="Amiri" w:cs="Amiri"/>
          <w:lang w:bidi="ar-SA"/>
          <w:color w:val="111111"/>
          <w:sz w:val="28"/>
          <w:szCs w:val="28"/>
          <w:rtl/>
        </w:rPr>
        <w:t xml:space="preserve">عبد العزيز بن علي زمزمي- زمزمي</w:t>
      </w:r>
    </w:p>
    <w:p>
      <w:pPr>
        <w:pStyle w:val="BookText"/>
      </w:pPr>
      <w:r>
        <w:rPr>
          <w:rFonts w:ascii="Amiri" w:hAnsi="Amiri" w:eastAsia="Amiri" w:cs="Amiri"/>
          <w:lang w:bidi="ar-SA"/>
          <w:color w:val="111111"/>
          <w:sz w:val="28"/>
          <w:szCs w:val="28"/>
          <w:rtl/>
        </w:rPr>
        <w:t xml:space="preserve">عبد العزيز بن علي</w:t>
      </w:r>
    </w:p>
    <w:p>
      <w:pPr>
        <w:pStyle w:val="BookText"/>
      </w:pPr>
      <w:r>
        <w:rPr>
          <w:rFonts w:ascii="Amiri" w:hAnsi="Amiri" w:eastAsia="Amiri" w:cs="Amiri"/>
          <w:lang w:bidi="ar-SA"/>
          <w:color w:val="111111"/>
          <w:sz w:val="28"/>
          <w:szCs w:val="28"/>
          <w:rtl/>
        </w:rPr>
        <w:t xml:space="preserve">عبد العزيز بن مبارك بن غنام -ابن غنام ، عبدالعزيز بن مبارك</w:t>
      </w:r>
    </w:p>
    <w:p>
      <w:pPr>
        <w:pStyle w:val="BookText"/>
      </w:pPr>
      <w:r>
        <w:rPr>
          <w:rFonts w:ascii="Amiri" w:hAnsi="Amiri" w:eastAsia="Amiri" w:cs="Amiri"/>
          <w:lang w:bidi="ar-SA"/>
          <w:color w:val="111111"/>
          <w:sz w:val="28"/>
          <w:szCs w:val="28"/>
          <w:rtl/>
        </w:rPr>
        <w:t xml:space="preserve">عبد العزيز بن محمّد الرحبي</w:t>
      </w:r>
    </w:p>
    <w:p>
      <w:pPr>
        <w:pStyle w:val="BookText"/>
      </w:pPr>
      <w:r>
        <w:rPr>
          <w:rFonts w:ascii="Amiri" w:hAnsi="Amiri" w:eastAsia="Amiri" w:cs="Amiri"/>
          <w:lang w:bidi="ar-SA"/>
          <w:color w:val="111111"/>
          <w:sz w:val="28"/>
          <w:szCs w:val="28"/>
          <w:rtl/>
        </w:rPr>
        <w:t xml:space="preserve">البغدادي - رحبي ، عبدالعزيز بن محمّد</w:t>
      </w:r>
    </w:p>
    <w:p>
      <w:pPr>
        <w:pStyle w:val="BookText"/>
      </w:pPr>
      <w:r>
        <w:rPr>
          <w:rFonts w:ascii="Amiri" w:hAnsi="Amiri" w:eastAsia="Amiri" w:cs="Amiri"/>
          <w:lang w:bidi="ar-SA"/>
          <w:color w:val="111111"/>
          <w:sz w:val="28"/>
          <w:szCs w:val="28"/>
          <w:rtl/>
        </w:rPr>
        <w:t xml:space="preserve">عبد العزيز بن محمّد طوسي -طوسي عبدالعزيز بن محمّد</w:t>
      </w:r>
    </w:p>
    <w:p>
      <w:pPr>
        <w:pStyle w:val="BookText"/>
      </w:pPr>
      <w:r>
        <w:rPr>
          <w:rFonts w:ascii="Amiri" w:hAnsi="Amiri" w:eastAsia="Amiri" w:cs="Amiri"/>
          <w:lang w:bidi="ar-SA"/>
          <w:color w:val="111111"/>
          <w:sz w:val="28"/>
          <w:szCs w:val="28"/>
          <w:rtl/>
        </w:rPr>
        <w:t xml:space="preserve">عبد العزيز بن محمّد كنعاني- ابن جماعه ،</w:t>
      </w:r>
    </w:p>
    <w:p>
      <w:pPr>
        <w:pStyle w:val="BookText"/>
      </w:pPr>
      <w:r>
        <w:rPr>
          <w:rFonts w:ascii="Amiri" w:hAnsi="Amiri" w:eastAsia="Amiri" w:cs="Amiri"/>
          <w:lang w:bidi="ar-SA"/>
          <w:color w:val="111111"/>
          <w:sz w:val="28"/>
          <w:szCs w:val="28"/>
          <w:rtl/>
        </w:rPr>
        <w:t xml:space="preserve">عبد العزيز بن محمّد</w:t>
      </w:r>
    </w:p>
    <w:p>
      <w:pPr>
        <w:pStyle w:val="BookText"/>
      </w:pPr>
      <w:r>
        <w:rPr>
          <w:rFonts w:ascii="Amiri" w:hAnsi="Amiri" w:eastAsia="Amiri" w:cs="Amiri"/>
          <w:lang w:bidi="ar-SA"/>
          <w:color w:val="111111"/>
          <w:sz w:val="28"/>
          <w:szCs w:val="28"/>
          <w:rtl/>
        </w:rPr>
        <w:t xml:space="preserve">عبد العزيز بن محمّد وفائي قاهري -وفائي ،</w:t>
      </w:r>
    </w:p>
    <w:p>
      <w:pPr>
        <w:pStyle w:val="BookText"/>
      </w:pPr>
      <w:r>
        <w:rPr>
          <w:rFonts w:ascii="Amiri" w:hAnsi="Amiri" w:eastAsia="Amiri" w:cs="Amiri"/>
          <w:lang w:bidi="ar-SA"/>
          <w:color w:val="111111"/>
          <w:sz w:val="28"/>
          <w:szCs w:val="28"/>
          <w:rtl/>
        </w:rPr>
        <w:t xml:space="preserve">عبد العزيز بن محمّد</w:t>
      </w:r>
    </w:p>
    <w:p>
      <w:pPr>
        <w:pStyle w:val="BookText"/>
      </w:pPr>
      <w:r>
        <w:rPr>
          <w:rFonts w:ascii="Amiri" w:hAnsi="Amiri" w:eastAsia="Amiri" w:cs="Amiri"/>
          <w:lang w:bidi="ar-SA"/>
          <w:color w:val="111111"/>
          <w:sz w:val="28"/>
          <w:szCs w:val="28"/>
          <w:rtl/>
        </w:rPr>
        <w:t xml:space="preserve">عبد العزيز بن تحرير طرابلسي - ابن براج ،</w:t>
      </w:r>
    </w:p>
    <w:p>
      <w:pPr>
        <w:pStyle w:val="BookText"/>
      </w:pPr>
      <w:r>
        <w:rPr>
          <w:rFonts w:ascii="Amiri" w:hAnsi="Amiri" w:eastAsia="Amiri" w:cs="Amiri"/>
          <w:lang w:bidi="ar-SA"/>
          <w:color w:val="111111"/>
          <w:sz w:val="28"/>
          <w:szCs w:val="28"/>
          <w:rtl/>
        </w:rPr>
        <w:t xml:space="preserve">عبد العزيز بن تحرير</w:t>
      </w:r>
    </w:p>
    <w:p>
      <w:pPr>
        <w:pStyle w:val="BookText"/>
      </w:pPr>
      <w:r>
        <w:rPr>
          <w:rFonts w:ascii="Amiri" w:hAnsi="Amiri" w:eastAsia="Amiri" w:cs="Amiri"/>
          <w:lang w:bidi="ar-SA"/>
          <w:color w:val="111111"/>
          <w:sz w:val="28"/>
          <w:szCs w:val="28"/>
          <w:rtl/>
        </w:rPr>
        <w:t xml:space="preserve">عبد العزيز خاضع بن احمد -عبدالعزيز بن احمد</w:t>
      </w:r>
    </w:p>
    <w:p>
      <w:pPr>
        <w:pStyle w:val="BookText"/>
      </w:pPr>
      <w:r>
        <w:rPr>
          <w:rFonts w:ascii="Amiri" w:hAnsi="Amiri" w:eastAsia="Amiri" w:cs="Amiri"/>
          <w:lang w:bidi="ar-SA"/>
          <w:color w:val="111111"/>
          <w:sz w:val="28"/>
          <w:szCs w:val="28"/>
          <w:rtl/>
        </w:rPr>
        <w:t xml:space="preserve">عبد العزيز ملجي- ملجي ، عبدالعزيز</w:t>
      </w:r>
    </w:p>
    <w:p>
      <w:pPr>
        <w:pStyle w:val="BookText"/>
      </w:pPr>
      <w:r>
        <w:rPr>
          <w:rFonts w:ascii="Amiri" w:hAnsi="Amiri" w:eastAsia="Amiri" w:cs="Amiri"/>
          <w:lang w:bidi="ar-SA"/>
          <w:color w:val="111111"/>
          <w:sz w:val="28"/>
          <w:szCs w:val="28"/>
          <w:rtl/>
        </w:rPr>
        <w:t xml:space="preserve">عبد العزيز نقشبندي اغطاشي- نقشبندي ،</w:t>
      </w:r>
    </w:p>
    <w:p>
      <w:pPr>
        <w:pStyle w:val="BookText"/>
      </w:pPr>
      <w:r>
        <w:rPr>
          <w:rFonts w:ascii="Amiri" w:hAnsi="Amiri" w:eastAsia="Amiri" w:cs="Amiri"/>
          <w:lang w:bidi="ar-SA"/>
          <w:color w:val="111111"/>
          <w:sz w:val="28"/>
          <w:szCs w:val="28"/>
          <w:rtl/>
        </w:rPr>
        <w:t xml:space="preserve">عبدالعزيز</w:t>
      </w:r>
    </w:p>
    <w:p>
      <w:pPr>
        <w:pStyle w:val="BookText"/>
      </w:pPr>
      <w:r>
        <w:rPr>
          <w:rFonts w:ascii="Amiri" w:hAnsi="Amiri" w:eastAsia="Amiri" w:cs="Amiri"/>
          <w:lang w:bidi="ar-SA"/>
          <w:color w:val="111111"/>
          <w:sz w:val="28"/>
          <w:szCs w:val="28"/>
          <w:rtl/>
        </w:rPr>
        <w:t xml:space="preserve">عبد العظيم بن ابي الاصبع -ابن ابي الاصبع</w:t>
      </w:r>
    </w:p>
    <w:p>
      <w:pPr>
        <w:pStyle w:val="BookText"/>
      </w:pPr>
      <w:r>
        <w:rPr>
          <w:rFonts w:ascii="Amiri" w:hAnsi="Amiri" w:eastAsia="Amiri" w:cs="Amiri"/>
          <w:lang w:bidi="ar-SA"/>
          <w:color w:val="111111"/>
          <w:sz w:val="28"/>
          <w:szCs w:val="28"/>
          <w:rtl/>
        </w:rPr>
        <w:t xml:space="preserve">، عبد العظيم بن عبدالواحد</w:t>
      </w:r>
    </w:p>
    <w:p>
      <w:pPr>
        <w:pStyle w:val="BookText"/>
      </w:pPr>
      <w:r>
        <w:rPr>
          <w:rFonts w:ascii="IRNazanin" w:hAnsi="IRNazanin" w:eastAsia="IRNazanin" w:cs="IRNazanin"/>
          <w:lang w:bidi="fa-IR"/>
          <w:color w:val="111111"/>
          <w:sz w:val="28"/>
          <w:szCs w:val="28"/>
          <w:rtl/>
        </w:rPr>
        <w:t xml:space="preserve">عبد العظيم بن حسين بيدگلي كاشاني - بيدگلي كاشاني ، عبدالعظيم بن حسين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41" w:name="pg7742_70736"/>
    <w:bookmarkEnd w:id="741"/>
    <w:p>
      <w:pPr>
        <w:pStyle w:val="BookText"/>
      </w:pPr>
      <w:r>
        <w:rPr>
          <w:rFonts w:ascii="Amiri" w:hAnsi="Amiri" w:eastAsia="Amiri" w:cs="Amiri"/>
          <w:lang w:bidi="ar-SA"/>
          <w:color w:val="111111"/>
          <w:sz w:val="28"/>
          <w:szCs w:val="28"/>
          <w:rtl/>
        </w:rPr>
        <w:t xml:space="preserve">عبدالعظيم بن عبدالغني حسيني- حسيني ، عبد العظيم بن عبدالغني</w:t>
      </w:r>
    </w:p>
    <w:p>
      <w:pPr>
        <w:pStyle w:val="BookText"/>
      </w:pPr>
      <w:r>
        <w:rPr>
          <w:rFonts w:ascii="Amiri" w:hAnsi="Amiri" w:eastAsia="Amiri" w:cs="Amiri"/>
          <w:lang w:bidi="ar-SA"/>
          <w:color w:val="111111"/>
          <w:sz w:val="28"/>
          <w:szCs w:val="28"/>
          <w:rtl/>
        </w:rPr>
        <w:t xml:space="preserve">عبد العظيم بن عبد القوي منذري- منذري</w:t>
      </w:r>
    </w:p>
    <w:p>
      <w:pPr>
        <w:pStyle w:val="BookText"/>
      </w:pPr>
      <w:r>
        <w:rPr>
          <w:rFonts w:ascii="Amiri" w:hAnsi="Amiri" w:eastAsia="Amiri" w:cs="Amiri"/>
          <w:lang w:bidi="ar-SA"/>
          <w:color w:val="111111"/>
          <w:sz w:val="28"/>
          <w:szCs w:val="28"/>
          <w:rtl/>
        </w:rPr>
        <w:t xml:space="preserve">، عبد العظيم بن عبد القوي</w:t>
      </w:r>
    </w:p>
    <w:p>
      <w:pPr>
        <w:pStyle w:val="BookText"/>
      </w:pPr>
      <w:r>
        <w:rPr>
          <w:rFonts w:ascii="Amiri" w:hAnsi="Amiri" w:eastAsia="Amiri" w:cs="Amiri"/>
          <w:lang w:bidi="ar-SA"/>
          <w:color w:val="111111"/>
          <w:sz w:val="28"/>
          <w:szCs w:val="28"/>
          <w:rtl/>
        </w:rPr>
        <w:t xml:space="preserve">عبد العظيم بن عبد الواحد عدواني- ابن</w:t>
      </w:r>
    </w:p>
    <w:p>
      <w:pPr>
        <w:pStyle w:val="BookText"/>
      </w:pPr>
      <w:r>
        <w:rPr>
          <w:rFonts w:ascii="Amiri" w:hAnsi="Amiri" w:eastAsia="Amiri" w:cs="Amiri"/>
          <w:lang w:bidi="ar-SA"/>
          <w:color w:val="111111"/>
          <w:sz w:val="28"/>
          <w:szCs w:val="28"/>
          <w:rtl/>
        </w:rPr>
        <w:t xml:space="preserve">ابي الاصبع ، عبد العظيم بن عبدالواحد</w:t>
      </w:r>
    </w:p>
    <w:p>
      <w:pPr>
        <w:pStyle w:val="BookText"/>
      </w:pPr>
      <w:r>
        <w:rPr>
          <w:rFonts w:ascii="Amiri" w:hAnsi="Amiri" w:eastAsia="Amiri" w:cs="Amiri"/>
          <w:lang w:bidi="ar-SA"/>
          <w:color w:val="111111"/>
          <w:sz w:val="28"/>
          <w:szCs w:val="28"/>
          <w:rtl/>
        </w:rPr>
        <w:t xml:space="preserve">عبد العظيم بن عليرضا حسيني اصفهاني - حسيني اصفهاني ، عبد العظيم بن</w:t>
      </w:r>
    </w:p>
    <w:p>
      <w:pPr>
        <w:pStyle w:val="BookText"/>
      </w:pPr>
      <w:r>
        <w:rPr>
          <w:rFonts w:ascii="Amiri" w:hAnsi="Amiri" w:eastAsia="Amiri" w:cs="Amiri"/>
          <w:lang w:bidi="ar-SA"/>
          <w:color w:val="111111"/>
          <w:sz w:val="28"/>
          <w:szCs w:val="28"/>
          <w:rtl/>
        </w:rPr>
        <w:t xml:space="preserve">عليرضا</w:t>
      </w:r>
    </w:p>
    <w:p>
      <w:pPr>
        <w:pStyle w:val="Heading2"/>
      </w:pPr>
      <w:bookmarkStart w:id="5816" w:name="_Toc4918"/>
      <w:r>
        <w:t>عبد العظيم بن محمّد معصوم قرن 12</w:t>
      </w:r>
      <w:bookmarkEnd w:id="5816"/>
    </w:p>
    <w:p>
      <w:pPr>
        <w:pStyle w:val="BookText"/>
      </w:pPr>
      <w:r>
        <w:rPr>
          <w:rFonts w:ascii="Amiri" w:hAnsi="Amiri" w:eastAsia="Amiri" w:cs="Amiri"/>
          <w:lang w:bidi="ar-SA"/>
          <w:color w:val="111111"/>
          <w:sz w:val="28"/>
          <w:szCs w:val="28"/>
          <w:rtl/>
        </w:rPr>
        <w:t xml:space="preserve">الجنة الواقية و الجنة الباقية</w:t>
      </w:r>
    </w:p>
    <w:p>
      <w:pPr>
        <w:pStyle w:val="BookText"/>
      </w:pPr>
      <w:r>
        <w:rPr>
          <w:rFonts w:ascii="IRNazanin" w:hAnsi="IRNazanin" w:eastAsia="IRNazanin" w:cs="IRNazanin"/>
          <w:lang w:bidi="fa-IR"/>
          <w:color w:val="111111"/>
          <w:sz w:val="28"/>
          <w:szCs w:val="28"/>
          <w:rtl/>
        </w:rPr>
        <w:t xml:space="preserve">(ترجمه)، ج 5، ص 469.</w:t>
      </w:r>
    </w:p>
    <w:p>
      <w:pPr>
        <w:pStyle w:val="BookText"/>
      </w:pPr>
      <w:r>
        <w:rPr>
          <w:rFonts w:ascii="Amiri" w:hAnsi="Amiri" w:eastAsia="Amiri" w:cs="Amiri"/>
          <w:lang w:bidi="ar-SA"/>
          <w:color w:val="111111"/>
          <w:sz w:val="28"/>
          <w:szCs w:val="28"/>
          <w:rtl/>
        </w:rPr>
        <w:t xml:space="preserve">عبد العظيم بن محمّد معصوم</w:t>
      </w:r>
    </w:p>
    <w:p>
      <w:pPr>
        <w:pStyle w:val="BookText"/>
      </w:pPr>
      <w:r>
        <w:rPr>
          <w:rFonts w:ascii="Amiri" w:hAnsi="Amiri" w:eastAsia="Amiri" w:cs="Amiri"/>
          <w:lang w:bidi="ar-SA"/>
          <w:color w:val="111111"/>
          <w:sz w:val="28"/>
          <w:szCs w:val="28"/>
          <w:rtl/>
        </w:rPr>
        <w:t xml:space="preserve">رازي - عبد العظيم بن محمّد معصوم</w:t>
      </w:r>
    </w:p>
    <w:p>
      <w:pPr>
        <w:pStyle w:val="BookText"/>
      </w:pPr>
      <w:r>
        <w:rPr>
          <w:rFonts w:ascii="Amiri" w:hAnsi="Amiri" w:eastAsia="Amiri" w:cs="Amiri"/>
          <w:lang w:bidi="ar-SA"/>
          <w:color w:val="111111"/>
          <w:sz w:val="28"/>
          <w:szCs w:val="28"/>
          <w:rtl/>
        </w:rPr>
        <w:t xml:space="preserve">عبد العظيم حسيني -حسيني ، عبد العظيم بن عبدالغني</w:t>
      </w:r>
    </w:p>
    <w:p>
      <w:pPr>
        <w:pStyle w:val="Heading2"/>
      </w:pPr>
      <w:bookmarkStart w:id="5817" w:name="_Toc4919"/>
      <w:r>
        <w:t>عبد العظيمي ، حسين بن احمد، 1315 ه-</w:t>
      </w:r>
      <w:bookmarkEnd w:id="5817"/>
    </w:p>
    <w:p>
      <w:pPr>
        <w:pStyle w:val="BookText"/>
      </w:pPr>
      <w:r>
        <w:rPr>
          <w:rFonts w:ascii="Amiri" w:hAnsi="Amiri" w:eastAsia="Amiri" w:cs="Amiri"/>
          <w:lang w:bidi="ar-SA"/>
          <w:color w:val="111111"/>
          <w:sz w:val="28"/>
          <w:szCs w:val="28"/>
          <w:rtl/>
        </w:rPr>
        <w:t xml:space="preserve">تفسير الاثنى عشري، ج4، ص 597.</w:t>
      </w:r>
    </w:p>
    <w:p>
      <w:pPr>
        <w:pStyle w:val="BookText"/>
      </w:pPr>
      <w:r>
        <w:rPr>
          <w:rFonts w:ascii="Amiri" w:hAnsi="Amiri" w:eastAsia="Amiri" w:cs="Amiri"/>
          <w:lang w:bidi="ar-SA"/>
          <w:color w:val="111111"/>
          <w:sz w:val="28"/>
          <w:szCs w:val="28"/>
          <w:rtl/>
        </w:rPr>
        <w:t xml:space="preserve">عبد العظيمي نجفي ، محمّد علي بن محمّد- شاه عبدالعظيمي ، محمّد علي بن</w:t>
      </w:r>
    </w:p>
    <w:p>
      <w:pPr>
        <w:pStyle w:val="BookText"/>
      </w:pPr>
      <w:r>
        <w:rPr>
          <w:rFonts w:ascii="Amiri" w:hAnsi="Amiri" w:eastAsia="Amiri" w:cs="Amiri"/>
          <w:lang w:bidi="ar-SA"/>
          <w:color w:val="111111"/>
          <w:sz w:val="28"/>
          <w:szCs w:val="28"/>
          <w:rtl/>
        </w:rPr>
        <w:t xml:space="preserve">محمّد</w:t>
      </w:r>
    </w:p>
    <w:p>
      <w:pPr>
        <w:pStyle w:val="Heading2"/>
      </w:pPr>
      <w:bookmarkStart w:id="5818" w:name="_Toc4920"/>
      <w:r>
        <w:t>عبد العلي، قرن 13 ه-</w:t>
      </w:r>
      <w:bookmarkEnd w:id="5818"/>
    </w:p>
    <w:p>
      <w:pPr>
        <w:pStyle w:val="BookText"/>
      </w:pPr>
      <w:r>
        <w:rPr>
          <w:rFonts w:ascii="Amiri" w:hAnsi="Amiri" w:eastAsia="Amiri" w:cs="Amiri"/>
          <w:lang w:bidi="ar-SA"/>
          <w:color w:val="111111"/>
          <w:sz w:val="28"/>
          <w:szCs w:val="28"/>
          <w:rtl/>
        </w:rPr>
        <w:t xml:space="preserve">عديم الادب في دعاء شهر رجب (ترجمه)، ج 11، ص70.</w:t>
      </w:r>
    </w:p>
    <w:p>
      <w:pPr>
        <w:pStyle w:val="BookText"/>
      </w:pPr>
      <w:r>
        <w:rPr>
          <w:rFonts w:ascii="IRNazanin" w:hAnsi="IRNazanin" w:eastAsia="IRNazanin" w:cs="IRNazanin"/>
          <w:lang w:bidi="fa-IR"/>
          <w:color w:val="111111"/>
          <w:sz w:val="28"/>
          <w:szCs w:val="28"/>
          <w:rtl/>
        </w:rPr>
        <w:t xml:space="preserve">عبد العلي بن احمد تبريزي گوگاني- کوکاني</w:t>
      </w:r>
    </w:p>
    <w:p>
      <w:pPr>
        <w:pStyle w:val="BookText"/>
      </w:pPr>
      <w:r>
        <w:rPr>
          <w:rFonts w:ascii="Amiri" w:hAnsi="Amiri" w:eastAsia="Amiri" w:cs="Amiri"/>
          <w:lang w:bidi="ar-SA"/>
          <w:color w:val="111111"/>
          <w:sz w:val="28"/>
          <w:szCs w:val="28"/>
          <w:rtl/>
        </w:rPr>
        <w:t xml:space="preserve">، عبدالعلي بن احمد</w:t>
      </w:r>
    </w:p>
    <w:p>
      <w:pPr>
        <w:pStyle w:val="Heading2"/>
      </w:pPr>
      <w:bookmarkStart w:id="5819" w:name="_Toc4921"/>
      <w:r>
        <w:t>عبد العلي بن عبدالوهاب</w:t>
      </w:r>
      <w:bookmarkEnd w:id="5819"/>
    </w:p>
    <w:p>
      <w:pPr>
        <w:pStyle w:val="BookText"/>
      </w:pPr>
      <w:r>
        <w:rPr>
          <w:rFonts w:ascii="Amiri" w:hAnsi="Amiri" w:eastAsia="Amiri" w:cs="Amiri"/>
          <w:lang w:bidi="ar-SA"/>
          <w:color w:val="111111"/>
          <w:sz w:val="28"/>
          <w:szCs w:val="28"/>
          <w:rtl/>
        </w:rPr>
        <w:t xml:space="preserve">شرح الألفية، ج 9، ص 215.</w:t>
      </w:r>
    </w:p>
    <w:p>
      <w:pPr>
        <w:pStyle w:val="BookText"/>
      </w:pPr>
      <w:r>
        <w:rPr>
          <w:rFonts w:ascii="IRNazanin" w:hAnsi="IRNazanin" w:eastAsia="IRNazanin" w:cs="IRNazanin"/>
          <w:lang w:bidi="fa-IR"/>
          <w:color w:val="111111"/>
          <w:sz w:val="28"/>
          <w:szCs w:val="28"/>
          <w:rtl/>
        </w:rPr>
        <w:t xml:space="preserve">عبد العلي بن محمّد باقر موبد بيدگلي - موبد بيدگلي ، عبدالعلي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عبدالعلي بن محمّد بن حسين -بيرجندي ،</w:t>
      </w:r>
    </w:p>
    <w:p>
      <w:pPr>
        <w:pStyle w:val="BookText"/>
      </w:pPr>
      <w:r>
        <w:rPr>
          <w:rFonts w:ascii="Amiri" w:hAnsi="Amiri" w:eastAsia="Amiri" w:cs="Amiri"/>
          <w:lang w:bidi="ar-SA"/>
          <w:color w:val="111111"/>
          <w:sz w:val="28"/>
          <w:szCs w:val="28"/>
          <w:rtl/>
        </w:rPr>
        <w:t xml:space="preserve">عبدالعلي بن محمّد</w:t>
      </w:r>
    </w:p>
    <w:p>
      <w:pPr>
        <w:pStyle w:val="BookText"/>
      </w:pPr>
      <w:r>
        <w:rPr>
          <w:rFonts w:ascii="Amiri" w:hAnsi="Amiri" w:eastAsia="Amiri" w:cs="Amiri"/>
          <w:lang w:bidi="ar-SA"/>
          <w:color w:val="111111"/>
          <w:sz w:val="28"/>
          <w:szCs w:val="28"/>
          <w:rtl/>
        </w:rPr>
        <w:t xml:space="preserve">عبد العلي بيرجندي- بيرجندي ، عبد العلي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 العلي دامغاني- دامغاني ، عبدالعلي</w:t>
      </w:r>
    </w:p>
    <w:p>
      <w:pPr>
        <w:pStyle w:val="BookText"/>
      </w:pPr>
      <w:r>
        <w:rPr>
          <w:rFonts w:ascii="Amiri" w:hAnsi="Amiri" w:eastAsia="Amiri" w:cs="Amiri"/>
          <w:lang w:bidi="ar-SA"/>
          <w:color w:val="111111"/>
          <w:sz w:val="28"/>
          <w:szCs w:val="28"/>
          <w:rtl/>
        </w:rPr>
        <w:t xml:space="preserve">عبد الغفار بن ابي بكر كردي- كردي ،</w:t>
      </w:r>
    </w:p>
    <w:p>
      <w:pPr>
        <w:pStyle w:val="BookText"/>
      </w:pPr>
      <w:r>
        <w:rPr>
          <w:rFonts w:ascii="Amiri" w:hAnsi="Amiri" w:eastAsia="Amiri" w:cs="Amiri"/>
          <w:lang w:bidi="ar-SA"/>
          <w:color w:val="111111"/>
          <w:sz w:val="28"/>
          <w:szCs w:val="28"/>
          <w:rtl/>
        </w:rPr>
        <w:t xml:space="preserve">عبدالغفار بن ابي بكر</w:t>
      </w:r>
    </w:p>
    <w:p>
      <w:pPr>
        <w:pStyle w:val="BookText"/>
      </w:pPr>
      <w:r>
        <w:rPr>
          <w:rFonts w:ascii="Amiri" w:hAnsi="Amiri" w:eastAsia="Amiri" w:cs="Amiri"/>
          <w:lang w:bidi="ar-SA"/>
          <w:color w:val="111111"/>
          <w:sz w:val="28"/>
          <w:szCs w:val="28"/>
          <w:rtl/>
        </w:rPr>
        <w:t xml:space="preserve">عبد الغفار بن عبد الكريم قزويني- قزويني</w:t>
      </w:r>
    </w:p>
    <w:p>
      <w:pPr>
        <w:pStyle w:val="BookText"/>
      </w:pPr>
      <w:r>
        <w:rPr>
          <w:rFonts w:ascii="Amiri" w:hAnsi="Amiri" w:eastAsia="Amiri" w:cs="Amiri"/>
          <w:lang w:bidi="ar-SA"/>
          <w:color w:val="111111"/>
          <w:sz w:val="28"/>
          <w:szCs w:val="28"/>
          <w:rtl/>
        </w:rPr>
        <w:t xml:space="preserve">عبد الغفار بن عبدالكريم</w:t>
      </w:r>
    </w:p>
    <w:p>
      <w:pPr>
        <w:pStyle w:val="BookText"/>
      </w:pPr>
      <w:r>
        <w:rPr>
          <w:rFonts w:ascii="IRNazanin" w:hAnsi="IRNazanin" w:eastAsia="IRNazanin" w:cs="IRNazanin"/>
          <w:lang w:bidi="fa-IR"/>
          <w:color w:val="111111"/>
          <w:sz w:val="28"/>
          <w:szCs w:val="28"/>
          <w:rtl/>
        </w:rPr>
        <w:t xml:space="preserve">عبد الغفار بن عبد الواحد الاخرس -اخرس</w:t>
      </w:r>
    </w:p>
    <w:p>
      <w:pPr>
        <w:pStyle w:val="BookText"/>
      </w:pPr>
      <w:r>
        <w:rPr>
          <w:rFonts w:ascii="IRNazanin" w:hAnsi="IRNazanin" w:eastAsia="IRNazanin" w:cs="IRNazanin"/>
          <w:lang w:bidi="fa-IR"/>
          <w:color w:val="111111"/>
          <w:sz w:val="28"/>
          <w:szCs w:val="28"/>
          <w:rtl/>
        </w:rPr>
        <w:t xml:space="preserve">عبد الغفار بن عبد الواحد</w:t>
      </w:r>
    </w:p>
    <w:p>
      <w:pPr>
        <w:pStyle w:val="BookText"/>
      </w:pPr>
      <w:r>
        <w:rPr>
          <w:rFonts w:ascii="IRNazanin" w:hAnsi="IRNazanin" w:eastAsia="IRNazanin" w:cs="IRNazanin"/>
          <w:lang w:bidi="fa-IR"/>
          <w:color w:val="111111"/>
          <w:sz w:val="28"/>
          <w:szCs w:val="28"/>
          <w:rtl/>
        </w:rPr>
        <w:t xml:space="preserve">عبد الغفار بن محمّد بن یحیی رشتي- رشتي ، عبدالغفار بن محمّد</w:t>
      </w:r>
    </w:p>
    <w:p>
      <w:pPr>
        <w:pStyle w:val="BookText"/>
      </w:pPr>
      <w:r>
        <w:rPr>
          <w:rFonts w:ascii="Amiri" w:hAnsi="Amiri" w:eastAsia="Amiri" w:cs="Amiri"/>
          <w:lang w:bidi="ar-SA"/>
          <w:color w:val="111111"/>
          <w:sz w:val="28"/>
          <w:szCs w:val="28"/>
          <w:rtl/>
        </w:rPr>
        <w:t xml:space="preserve">عبدالغفار تويسركاني -تويسركاني</w:t>
      </w:r>
    </w:p>
    <w:p>
      <w:pPr>
        <w:pStyle w:val="BookText"/>
      </w:pPr>
      <w:r>
        <w:rPr>
          <w:rFonts w:ascii="IRNazanin" w:hAnsi="IRNazanin" w:eastAsia="IRNazanin" w:cs="IRNazanin"/>
          <w:lang w:bidi="fa-IR"/>
          <w:color w:val="111111"/>
          <w:sz w:val="28"/>
          <w:szCs w:val="28"/>
          <w:rtl/>
        </w:rPr>
        <w:t xml:space="preserve">عبد الغفار بن محمّد حسن</w:t>
      </w:r>
    </w:p>
    <w:p>
      <w:pPr>
        <w:pStyle w:val="Heading2"/>
      </w:pPr>
      <w:bookmarkStart w:id="5820" w:name="_Toc4922"/>
      <w:r>
        <w:t>عبدالغفار ، حسن بن احمد</w:t>
      </w:r>
      <w:bookmarkEnd w:id="5820"/>
    </w:p>
    <w:p>
      <w:pPr>
        <w:pStyle w:val="BookText"/>
      </w:pPr>
      <w:r>
        <w:rPr>
          <w:rFonts w:ascii="Amiri" w:hAnsi="Amiri" w:eastAsia="Amiri" w:cs="Amiri"/>
          <w:lang w:bidi="ar-SA"/>
          <w:color w:val="111111"/>
          <w:sz w:val="28"/>
          <w:szCs w:val="28"/>
          <w:rtl/>
        </w:rPr>
        <w:t xml:space="preserve">المسائل الشيرازيات، ج 14، ص 456.</w:t>
      </w:r>
    </w:p>
    <w:p>
      <w:pPr>
        <w:pStyle w:val="BookText"/>
      </w:pPr>
      <w:r>
        <w:rPr>
          <w:rFonts w:ascii="Amiri" w:hAnsi="Amiri" w:eastAsia="Amiri" w:cs="Amiri"/>
          <w:lang w:bidi="ar-SA"/>
          <w:color w:val="111111"/>
          <w:sz w:val="28"/>
          <w:szCs w:val="28"/>
          <w:rtl/>
        </w:rPr>
        <w:t xml:space="preserve">عبد الغفور بن لقمان كردري- كردري ،</w:t>
      </w:r>
    </w:p>
    <w:p>
      <w:pPr>
        <w:pStyle w:val="BookText"/>
      </w:pPr>
      <w:r>
        <w:rPr>
          <w:rFonts w:ascii="IRNazanin" w:hAnsi="IRNazanin" w:eastAsia="IRNazanin" w:cs="IRNazanin"/>
          <w:lang w:bidi="fa-IR"/>
          <w:color w:val="111111"/>
          <w:sz w:val="28"/>
          <w:szCs w:val="28"/>
          <w:rtl/>
        </w:rPr>
        <w:t xml:space="preserve">عبدالغفور بن لقمان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42" w:name="pg7742_70737"/>
    <w:bookmarkEnd w:id="742"/>
    <w:p>
      <w:pPr>
        <w:pStyle w:val="BookText"/>
      </w:pPr>
      <w:r>
        <w:rPr>
          <w:rFonts w:ascii="Amiri" w:hAnsi="Amiri" w:eastAsia="Amiri" w:cs="Amiri"/>
          <w:lang w:bidi="ar-SA"/>
          <w:color w:val="111111"/>
          <w:sz w:val="28"/>
          <w:szCs w:val="28"/>
          <w:rtl/>
        </w:rPr>
        <w:t xml:space="preserve">عبد الغفور بن محمّد اسماعيل حسيني</w:t>
      </w:r>
    </w:p>
    <w:p>
      <w:pPr>
        <w:pStyle w:val="BookText"/>
      </w:pPr>
      <w:r>
        <w:rPr>
          <w:rFonts w:ascii="Amiri" w:hAnsi="Amiri" w:eastAsia="Amiri" w:cs="Amiri"/>
          <w:lang w:bidi="ar-SA"/>
          <w:color w:val="111111"/>
          <w:sz w:val="28"/>
          <w:szCs w:val="28"/>
          <w:rtl/>
        </w:rPr>
        <w:t xml:space="preserve">يزدي غروي - حسيني يزدي ، عبدالغفور بن</w:t>
      </w:r>
    </w:p>
    <w:p>
      <w:pPr>
        <w:pStyle w:val="BookText"/>
      </w:pPr>
      <w:r>
        <w:rPr>
          <w:rFonts w:ascii="Amiri" w:hAnsi="Amiri" w:eastAsia="Amiri" w:cs="Amiri"/>
          <w:lang w:bidi="ar-SA"/>
          <w:color w:val="111111"/>
          <w:sz w:val="28"/>
          <w:szCs w:val="28"/>
          <w:rtl/>
        </w:rPr>
        <w:t xml:space="preserve">محمّد اسماعيل</w:t>
      </w:r>
    </w:p>
    <w:p>
      <w:pPr>
        <w:pStyle w:val="Heading2"/>
      </w:pPr>
      <w:bookmarkStart w:id="5821" w:name="_Toc4923"/>
      <w:r>
        <w:t>عبد الغفور بن ملا محمّد قرن 13 ه-</w:t>
      </w:r>
      <w:bookmarkEnd w:id="5821"/>
    </w:p>
    <w:p>
      <w:pPr>
        <w:pStyle w:val="BookText"/>
      </w:pPr>
      <w:r>
        <w:rPr>
          <w:rFonts w:ascii="Amiri" w:hAnsi="Amiri" w:eastAsia="Amiri" w:cs="Amiri"/>
          <w:lang w:bidi="ar-SA"/>
          <w:color w:val="111111"/>
          <w:sz w:val="28"/>
          <w:szCs w:val="28"/>
          <w:rtl/>
        </w:rPr>
        <w:t xml:space="preserve">سير السلوك، ج 9، ص27.</w:t>
      </w:r>
    </w:p>
    <w:p>
      <w:pPr>
        <w:pStyle w:val="BookText"/>
      </w:pPr>
      <w:r>
        <w:rPr>
          <w:rFonts w:ascii="Amiri" w:hAnsi="Amiri" w:eastAsia="Amiri" w:cs="Amiri"/>
          <w:lang w:bidi="ar-SA"/>
          <w:color w:val="111111"/>
          <w:sz w:val="28"/>
          <w:szCs w:val="28"/>
          <w:rtl/>
        </w:rPr>
        <w:t xml:space="preserve">عبد الغفور لاري- لاري ، رضي الدين</w:t>
      </w:r>
    </w:p>
    <w:p>
      <w:pPr>
        <w:pStyle w:val="BookText"/>
      </w:pPr>
      <w:r>
        <w:rPr>
          <w:rFonts w:ascii="IRNazanin" w:hAnsi="IRNazanin" w:eastAsia="IRNazanin" w:cs="IRNazanin"/>
          <w:lang w:bidi="fa-IR"/>
          <w:color w:val="111111"/>
          <w:sz w:val="28"/>
          <w:szCs w:val="28"/>
          <w:rtl/>
        </w:rPr>
        <w:t xml:space="preserve">عبد الغفور</w:t>
      </w:r>
    </w:p>
    <w:p>
      <w:pPr>
        <w:pStyle w:val="BookText"/>
      </w:pPr>
      <w:r>
        <w:rPr>
          <w:rFonts w:ascii="Amiri" w:hAnsi="Amiri" w:eastAsia="Amiri" w:cs="Amiri"/>
          <w:lang w:bidi="ar-SA"/>
          <w:color w:val="111111"/>
          <w:sz w:val="28"/>
          <w:szCs w:val="28"/>
          <w:rtl/>
        </w:rPr>
        <w:t xml:space="preserve">عبد الغني بن اسماعيل نابلسي- نابلسي</w:t>
      </w:r>
    </w:p>
    <w:p>
      <w:pPr>
        <w:pStyle w:val="BookText"/>
      </w:pPr>
      <w:r>
        <w:rPr>
          <w:rFonts w:ascii="Amiri" w:hAnsi="Amiri" w:eastAsia="Amiri" w:cs="Amiri"/>
          <w:lang w:bidi="ar-SA"/>
          <w:color w:val="111111"/>
          <w:sz w:val="28"/>
          <w:szCs w:val="28"/>
          <w:rtl/>
        </w:rPr>
        <w:t xml:space="preserve">عبدالغني بن اسماعيل</w:t>
      </w:r>
    </w:p>
    <w:p>
      <w:pPr>
        <w:pStyle w:val="Heading2"/>
      </w:pPr>
      <w:bookmarkStart w:id="5822" w:name="_Toc4924"/>
      <w:r>
        <w:t>عبد الغني بن جميل - 1279 ه-</w:t>
      </w:r>
      <w:bookmarkEnd w:id="5822"/>
    </w:p>
    <w:p>
      <w:pPr>
        <w:pStyle w:val="BookText"/>
      </w:pPr>
      <w:r>
        <w:rPr>
          <w:rFonts w:ascii="Amiri" w:hAnsi="Amiri" w:eastAsia="Amiri" w:cs="Amiri"/>
          <w:lang w:bidi="ar-SA"/>
          <w:color w:val="111111"/>
          <w:sz w:val="28"/>
          <w:szCs w:val="28"/>
          <w:rtl/>
        </w:rPr>
        <w:t xml:space="preserve">ديوان عبدالغني جميل، ج7، ص712.</w:t>
      </w:r>
    </w:p>
    <w:p>
      <w:pPr>
        <w:pStyle w:val="BookText"/>
      </w:pPr>
      <w:r>
        <w:rPr>
          <w:rFonts w:ascii="Amiri" w:hAnsi="Amiri" w:eastAsia="Amiri" w:cs="Amiri"/>
          <w:lang w:bidi="ar-SA"/>
          <w:color w:val="111111"/>
          <w:sz w:val="28"/>
          <w:szCs w:val="28"/>
          <w:rtl/>
        </w:rPr>
        <w:t xml:space="preserve">عبد الغني بن سعيد الأزدي المصري- ازدي</w:t>
      </w:r>
    </w:p>
    <w:p>
      <w:pPr>
        <w:pStyle w:val="BookText"/>
      </w:pPr>
      <w:r>
        <w:rPr>
          <w:rFonts w:ascii="Amiri" w:hAnsi="Amiri" w:eastAsia="Amiri" w:cs="Amiri"/>
          <w:lang w:bidi="ar-SA"/>
          <w:color w:val="111111"/>
          <w:sz w:val="28"/>
          <w:szCs w:val="28"/>
          <w:rtl/>
        </w:rPr>
        <w:t xml:space="preserve">عبدالغني بن سعيد</w:t>
      </w:r>
    </w:p>
    <w:p>
      <w:pPr>
        <w:pStyle w:val="BookText"/>
      </w:pPr>
      <w:r>
        <w:rPr>
          <w:rFonts w:ascii="Amiri" w:hAnsi="Amiri" w:eastAsia="Amiri" w:cs="Amiri"/>
          <w:lang w:bidi="ar-SA"/>
          <w:color w:val="111111"/>
          <w:sz w:val="28"/>
          <w:szCs w:val="28"/>
          <w:rtl/>
        </w:rPr>
        <w:t xml:space="preserve">عبد الغني بن طالب ميداني غنيمي -</w:t>
      </w:r>
    </w:p>
    <w:p>
      <w:pPr>
        <w:pStyle w:val="BookText"/>
      </w:pPr>
      <w:r>
        <w:rPr>
          <w:rFonts w:ascii="Amiri" w:hAnsi="Amiri" w:eastAsia="Amiri" w:cs="Amiri"/>
          <w:lang w:bidi="ar-SA"/>
          <w:color w:val="111111"/>
          <w:sz w:val="28"/>
          <w:szCs w:val="28"/>
          <w:rtl/>
        </w:rPr>
        <w:t xml:space="preserve">ميداني ، عبدالغني بن طالب</w:t>
      </w:r>
    </w:p>
    <w:p>
      <w:pPr>
        <w:pStyle w:val="Heading2"/>
      </w:pPr>
      <w:bookmarkStart w:id="5823" w:name="_Toc4925"/>
      <w:r>
        <w:t>عبدالغني بن عبدالجليل</w:t>
      </w:r>
      <w:bookmarkEnd w:id="5823"/>
    </w:p>
    <w:p>
      <w:pPr>
        <w:pStyle w:val="BookText"/>
      </w:pPr>
      <w:r>
        <w:rPr>
          <w:rFonts w:ascii="Amiri" w:hAnsi="Amiri" w:eastAsia="Amiri" w:cs="Amiri"/>
          <w:lang w:bidi="ar-SA"/>
          <w:color w:val="111111"/>
          <w:sz w:val="28"/>
          <w:szCs w:val="28"/>
          <w:rtl/>
        </w:rPr>
        <w:t xml:space="preserve">خواص ايام الاسبوع (رسالة)، ج7،</w:t>
      </w:r>
    </w:p>
    <w:p>
      <w:pPr>
        <w:pStyle w:val="BookText"/>
      </w:pPr>
      <w:r>
        <w:rPr>
          <w:rFonts w:ascii="IRNazanin" w:hAnsi="IRNazanin" w:eastAsia="IRNazanin" w:cs="IRNazanin"/>
          <w:lang w:bidi="fa-IR"/>
          <w:color w:val="111111"/>
          <w:sz w:val="28"/>
          <w:szCs w:val="28"/>
          <w:rtl/>
        </w:rPr>
        <w:t xml:space="preserve">ص 173.</w:t>
      </w:r>
    </w:p>
    <w:p>
      <w:pPr>
        <w:pStyle w:val="BookText"/>
      </w:pPr>
      <w:r>
        <w:rPr>
          <w:rFonts w:ascii="Amiri" w:hAnsi="Amiri" w:eastAsia="Amiri" w:cs="Amiri"/>
          <w:lang w:bidi="ar-SA"/>
          <w:color w:val="111111"/>
          <w:sz w:val="28"/>
          <w:szCs w:val="28"/>
          <w:rtl/>
        </w:rPr>
        <w:t xml:space="preserve">عبد الغني بن عبدالواحد مقدسي</w:t>
      </w:r>
    </w:p>
    <w:p>
      <w:pPr>
        <w:pStyle w:val="BookText"/>
      </w:pPr>
      <w:r>
        <w:rPr>
          <w:rFonts w:ascii="Amiri" w:hAnsi="Amiri" w:eastAsia="Amiri" w:cs="Amiri"/>
          <w:lang w:bidi="ar-SA"/>
          <w:color w:val="111111"/>
          <w:sz w:val="28"/>
          <w:szCs w:val="28"/>
          <w:rtl/>
        </w:rPr>
        <w:t xml:space="preserve">جماعيلي - جماعيلي ، عبدالغني بن عبد الواحد</w:t>
      </w:r>
    </w:p>
    <w:p>
      <w:pPr>
        <w:pStyle w:val="BookText"/>
      </w:pPr>
      <w:r>
        <w:rPr>
          <w:rFonts w:ascii="Amiri" w:hAnsi="Amiri" w:eastAsia="Amiri" w:cs="Amiri"/>
          <w:lang w:bidi="ar-SA"/>
          <w:color w:val="111111"/>
          <w:sz w:val="28"/>
          <w:szCs w:val="28"/>
          <w:rtl/>
        </w:rPr>
        <w:t xml:space="preserve">عبد الغني بن علي شنواني -شنواني</w:t>
      </w:r>
    </w:p>
    <w:p>
      <w:pPr>
        <w:pStyle w:val="BookText"/>
      </w:pPr>
      <w:r>
        <w:rPr>
          <w:rFonts w:ascii="Amiri" w:hAnsi="Amiri" w:eastAsia="Amiri" w:cs="Amiri"/>
          <w:lang w:bidi="ar-SA"/>
          <w:color w:val="111111"/>
          <w:sz w:val="28"/>
          <w:szCs w:val="28"/>
          <w:rtl/>
        </w:rPr>
        <w:t xml:space="preserve">عبدالغني بن علي</w:t>
      </w:r>
    </w:p>
    <w:p>
      <w:pPr>
        <w:pStyle w:val="BookText"/>
      </w:pPr>
      <w:r>
        <w:rPr>
          <w:rFonts w:ascii="Amiri" w:hAnsi="Amiri" w:eastAsia="Amiri" w:cs="Amiri"/>
          <w:lang w:bidi="ar-SA"/>
          <w:color w:val="111111"/>
          <w:sz w:val="28"/>
          <w:szCs w:val="28"/>
          <w:rtl/>
        </w:rPr>
        <w:t xml:space="preserve">عبد الغني بن محمّد بن حسين آل عبد اللطيف راوي آل عبد اللطيف راوي عبدالغني بن محمّد</w:t>
      </w:r>
    </w:p>
    <w:p>
      <w:pPr>
        <w:pStyle w:val="Heading2"/>
      </w:pPr>
      <w:bookmarkStart w:id="5824" w:name="_Toc4926"/>
      <w:r>
        <w:t>عبد الغني بن محمّد رضا قرن 13 ه-</w:t>
      </w:r>
      <w:bookmarkEnd w:id="5824"/>
    </w:p>
    <w:p>
      <w:pPr>
        <w:pStyle w:val="BookText"/>
      </w:pPr>
      <w:r>
        <w:rPr>
          <w:rFonts w:ascii="Amiri" w:hAnsi="Amiri" w:eastAsia="Amiri" w:cs="Amiri"/>
          <w:lang w:bidi="ar-SA"/>
          <w:color w:val="111111"/>
          <w:sz w:val="28"/>
          <w:szCs w:val="28"/>
          <w:rtl/>
        </w:rPr>
        <w:t xml:space="preserve">إحكام النبوة (رسالة في)، ج 1، ص 487 .</w:t>
      </w:r>
    </w:p>
    <w:p>
      <w:pPr>
        <w:pStyle w:val="BookText"/>
      </w:pPr>
      <w:r>
        <w:rPr>
          <w:rFonts w:ascii="Amiri" w:hAnsi="Amiri" w:eastAsia="Amiri" w:cs="Amiri"/>
          <w:lang w:bidi="ar-SA"/>
          <w:color w:val="111111"/>
          <w:sz w:val="28"/>
          <w:szCs w:val="28"/>
          <w:rtl/>
        </w:rPr>
        <w:t xml:space="preserve">عبد الغني بن مراد افندي - افندي ،</w:t>
      </w:r>
    </w:p>
    <w:p>
      <w:pPr>
        <w:pStyle w:val="BookText"/>
      </w:pPr>
      <w:r>
        <w:rPr>
          <w:rFonts w:ascii="Amiri" w:hAnsi="Amiri" w:eastAsia="Amiri" w:cs="Amiri"/>
          <w:lang w:bidi="ar-SA"/>
          <w:color w:val="111111"/>
          <w:sz w:val="28"/>
          <w:szCs w:val="28"/>
          <w:rtl/>
        </w:rPr>
        <w:t xml:space="preserve">عبد الغني بن مراد</w:t>
      </w:r>
    </w:p>
    <w:p>
      <w:pPr>
        <w:pStyle w:val="BookText"/>
      </w:pPr>
      <w:r>
        <w:rPr>
          <w:rFonts w:ascii="Amiri" w:hAnsi="Amiri" w:eastAsia="Amiri" w:cs="Amiri"/>
          <w:lang w:bidi="ar-SA"/>
          <w:color w:val="111111"/>
          <w:sz w:val="28"/>
          <w:szCs w:val="28"/>
          <w:rtl/>
        </w:rPr>
        <w:t xml:space="preserve">عبد الغني حر عاملي -حر عاملي ،</w:t>
      </w:r>
    </w:p>
    <w:p>
      <w:pPr>
        <w:pStyle w:val="BookText"/>
      </w:pPr>
      <w:r>
        <w:rPr>
          <w:rFonts w:ascii="Amiri" w:hAnsi="Amiri" w:eastAsia="Amiri" w:cs="Amiri"/>
          <w:lang w:bidi="ar-SA"/>
          <w:color w:val="111111"/>
          <w:sz w:val="28"/>
          <w:szCs w:val="28"/>
          <w:rtl/>
        </w:rPr>
        <w:t xml:space="preserve">عبد الغني</w:t>
      </w:r>
    </w:p>
    <w:p>
      <w:pPr>
        <w:pStyle w:val="BookText"/>
      </w:pPr>
      <w:r>
        <w:rPr>
          <w:rFonts w:ascii="Amiri" w:hAnsi="Amiri" w:eastAsia="Amiri" w:cs="Amiri"/>
          <w:lang w:bidi="ar-SA"/>
          <w:color w:val="111111"/>
          <w:sz w:val="28"/>
          <w:szCs w:val="28"/>
          <w:rtl/>
        </w:rPr>
        <w:t xml:space="preserve">عبد الغني خراساني- خراساني ، عبدالغني</w:t>
      </w:r>
    </w:p>
    <w:p>
      <w:pPr>
        <w:pStyle w:val="Heading2"/>
      </w:pPr>
      <w:bookmarkStart w:id="5825" w:name="_Toc4927"/>
      <w:r>
        <w:t>عبدالغني ، محمّد</w:t>
      </w:r>
      <w:bookmarkEnd w:id="5825"/>
    </w:p>
    <w:p>
      <w:pPr>
        <w:pStyle w:val="BookText"/>
      </w:pPr>
      <w:r>
        <w:rPr>
          <w:rFonts w:ascii="Amiri" w:hAnsi="Amiri" w:eastAsia="Amiri" w:cs="Amiri"/>
          <w:lang w:bidi="ar-SA"/>
          <w:color w:val="111111"/>
          <w:sz w:val="28"/>
          <w:szCs w:val="28"/>
          <w:rtl/>
        </w:rPr>
        <w:t xml:space="preserve">المستدرك، ج 14، ص 551.</w:t>
      </w:r>
    </w:p>
    <w:p>
      <w:pPr>
        <w:pStyle w:val="BookText"/>
      </w:pPr>
      <w:r>
        <w:rPr>
          <w:rFonts w:ascii="Amiri" w:hAnsi="Amiri" w:eastAsia="Amiri" w:cs="Amiri"/>
          <w:lang w:bidi="ar-SA"/>
          <w:color w:val="111111"/>
          <w:sz w:val="28"/>
          <w:szCs w:val="28"/>
          <w:rtl/>
        </w:rPr>
        <w:t xml:space="preserve">عبد الغني ملاح- ملاح ، عبدالغني</w:t>
      </w:r>
    </w:p>
    <w:p>
      <w:pPr>
        <w:pStyle w:val="BookText"/>
      </w:pPr>
      <w:r>
        <w:rPr>
          <w:rFonts w:ascii="Amiri" w:hAnsi="Amiri" w:eastAsia="Amiri" w:cs="Amiri"/>
          <w:lang w:bidi="ar-SA"/>
          <w:color w:val="111111"/>
          <w:sz w:val="28"/>
          <w:szCs w:val="28"/>
          <w:rtl/>
        </w:rPr>
        <w:t xml:space="preserve">عبد الغني هندي- هندي ، عبدالغني</w:t>
      </w:r>
    </w:p>
    <w:p>
      <w:pPr>
        <w:pStyle w:val="BookText"/>
      </w:pPr>
      <w:r>
        <w:rPr>
          <w:rFonts w:ascii="Amiri" w:hAnsi="Amiri" w:eastAsia="Amiri" w:cs="Amiri"/>
          <w:lang w:bidi="ar-SA"/>
          <w:color w:val="111111"/>
          <w:sz w:val="28"/>
          <w:szCs w:val="28"/>
          <w:rtl/>
        </w:rPr>
        <w:t xml:space="preserve">عبد الفتاح بن سعيد شواف -شواف</w:t>
      </w:r>
    </w:p>
    <w:p>
      <w:pPr>
        <w:pStyle w:val="BookText"/>
      </w:pPr>
      <w:r>
        <w:rPr>
          <w:rFonts w:ascii="Amiri" w:hAnsi="Amiri" w:eastAsia="Amiri" w:cs="Amiri"/>
          <w:lang w:bidi="ar-SA"/>
          <w:color w:val="111111"/>
          <w:sz w:val="28"/>
          <w:szCs w:val="28"/>
          <w:rtl/>
        </w:rPr>
        <w:t xml:space="preserve">عبد الفتاح بن سعيد</w:t>
      </w:r>
    </w:p>
    <w:p>
      <w:pPr>
        <w:pStyle w:val="BookText"/>
      </w:pPr>
      <w:r>
        <w:rPr>
          <w:rFonts w:ascii="Amiri" w:hAnsi="Amiri" w:eastAsia="Amiri" w:cs="Amiri"/>
          <w:lang w:bidi="ar-SA"/>
          <w:color w:val="111111"/>
          <w:sz w:val="28"/>
          <w:szCs w:val="28"/>
          <w:rtl/>
        </w:rPr>
        <w:t xml:space="preserve">عبد الفتاح بن محمّد شيث</w:t>
      </w:r>
    </w:p>
    <w:p>
      <w:pPr>
        <w:pStyle w:val="BookText"/>
      </w:pPr>
      <w:r>
        <w:rPr>
          <w:rFonts w:ascii="Amiri" w:hAnsi="Amiri" w:eastAsia="Amiri" w:cs="Amiri"/>
          <w:lang w:bidi="ar-SA"/>
          <w:color w:val="111111"/>
          <w:sz w:val="28"/>
          <w:szCs w:val="28"/>
          <w:rtl/>
        </w:rPr>
        <w:t xml:space="preserve">الجومرد -جومرد ، عبد الفتاح بن محمّد شيث</w:t>
      </w:r>
    </w:p>
    <w:p>
      <w:pPr>
        <w:pStyle w:val="BookText"/>
      </w:pPr>
      <w:r>
        <w:rPr>
          <w:rFonts w:ascii="Amiri" w:hAnsi="Amiri" w:eastAsia="Amiri" w:cs="Amiri"/>
          <w:lang w:bidi="ar-SA"/>
          <w:color w:val="111111"/>
          <w:sz w:val="28"/>
          <w:szCs w:val="28"/>
          <w:rtl/>
        </w:rPr>
        <w:t xml:space="preserve">عبد الفتاح بن مصطفى لاذقي- لاذقي ، عبد الفتاح بن مصطفى</w:t>
      </w:r>
    </w:p>
    <w:p>
      <w:pPr>
        <w:pStyle w:val="BookText"/>
      </w:pPr>
      <w:r>
        <w:rPr>
          <w:rFonts w:ascii="Amiri" w:hAnsi="Amiri" w:eastAsia="Amiri" w:cs="Amiri"/>
          <w:lang w:bidi="ar-SA"/>
          <w:color w:val="111111"/>
          <w:sz w:val="28"/>
          <w:szCs w:val="28"/>
          <w:rtl/>
        </w:rPr>
        <w:t xml:space="preserve">عبد الفتاح شيراوي- شيراوي ، عبد الفتاح</w:t>
      </w:r>
    </w:p>
    <w:p>
      <w:pPr>
        <w:pStyle w:val="BookText"/>
      </w:pPr>
      <w:r>
        <w:rPr>
          <w:rFonts w:ascii="Amiri" w:hAnsi="Amiri" w:eastAsia="Amiri" w:cs="Amiri"/>
          <w:lang w:bidi="ar-SA"/>
          <w:color w:val="111111"/>
          <w:sz w:val="28"/>
          <w:szCs w:val="28"/>
          <w:rtl/>
        </w:rPr>
        <w:t xml:space="preserve">عبد الفتاح مراغي - حسيني مراغي</w:t>
      </w:r>
    </w:p>
    <w:p>
      <w:pPr>
        <w:pStyle w:val="BookText"/>
      </w:pPr>
      <w:r>
        <w:rPr>
          <w:rFonts w:ascii="Amiri" w:hAnsi="Amiri" w:eastAsia="Amiri" w:cs="Amiri"/>
          <w:lang w:bidi="ar-SA"/>
          <w:color w:val="111111"/>
          <w:sz w:val="28"/>
          <w:szCs w:val="28"/>
          <w:rtl/>
        </w:rPr>
        <w:t xml:space="preserve">عبد الفتاح بن علي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43" w:name="pg7742_70738"/>
    <w:bookmarkEnd w:id="743"/>
    <w:p>
      <w:pPr>
        <w:pStyle w:val="Heading2"/>
      </w:pPr>
      <w:bookmarkStart w:id="5826" w:name="_Toc4928"/>
      <w:r>
        <w:t>عبد القادر</w:t>
      </w:r>
      <w:bookmarkEnd w:id="5826"/>
    </w:p>
    <w:p>
      <w:pPr>
        <w:pStyle w:val="BookText"/>
      </w:pPr>
      <w:r>
        <w:rPr>
          <w:rFonts w:ascii="Amiri" w:hAnsi="Amiri" w:eastAsia="Amiri" w:cs="Amiri"/>
          <w:lang w:bidi="ar-SA"/>
          <w:color w:val="111111"/>
          <w:sz w:val="28"/>
          <w:szCs w:val="28"/>
          <w:rtl/>
        </w:rPr>
        <w:t xml:space="preserve">شرح كتاب العقائد، ج 10، ص 47.</w:t>
      </w:r>
    </w:p>
    <w:p>
      <w:pPr>
        <w:pStyle w:val="BookText"/>
      </w:pPr>
      <w:r>
        <w:rPr>
          <w:rFonts w:ascii="IRNazanin" w:hAnsi="IRNazanin" w:eastAsia="IRNazanin" w:cs="IRNazanin"/>
          <w:lang w:bidi="fa-IR"/>
          <w:color w:val="111111"/>
          <w:sz w:val="28"/>
          <w:szCs w:val="28"/>
          <w:rtl/>
        </w:rPr>
        <w:t xml:space="preserve">عبد القادر ارطان - ارطان ، عبد القادر</w:t>
      </w:r>
    </w:p>
    <w:p>
      <w:pPr>
        <w:pStyle w:val="BookText"/>
      </w:pPr>
      <w:r>
        <w:rPr>
          <w:rFonts w:ascii="Amiri" w:hAnsi="Amiri" w:eastAsia="Amiri" w:cs="Amiri"/>
          <w:lang w:bidi="ar-SA"/>
          <w:color w:val="111111"/>
          <w:sz w:val="28"/>
          <w:szCs w:val="28"/>
          <w:rtl/>
        </w:rPr>
        <w:t xml:space="preserve">عبد القادر باكثير -باكثير ، عبد القادر</w:t>
      </w:r>
    </w:p>
    <w:p>
      <w:pPr>
        <w:pStyle w:val="BookText"/>
      </w:pPr>
      <w:r>
        <w:rPr>
          <w:rFonts w:ascii="Amiri" w:hAnsi="Amiri" w:eastAsia="Amiri" w:cs="Amiri"/>
          <w:lang w:bidi="ar-SA"/>
          <w:color w:val="111111"/>
          <w:sz w:val="28"/>
          <w:szCs w:val="28"/>
          <w:rtl/>
        </w:rPr>
        <w:t xml:space="preserve">عبد القادر بغدادي قادري- بغدادي قادري</w:t>
      </w:r>
    </w:p>
    <w:p>
      <w:pPr>
        <w:pStyle w:val="BookText"/>
      </w:pPr>
      <w:r>
        <w:rPr>
          <w:rFonts w:ascii="IRNazanin" w:hAnsi="IRNazanin" w:eastAsia="IRNazanin" w:cs="IRNazanin"/>
          <w:lang w:bidi="fa-IR"/>
          <w:color w:val="111111"/>
          <w:sz w:val="28"/>
          <w:szCs w:val="28"/>
          <w:rtl/>
        </w:rPr>
        <w:t xml:space="preserve">، عبد القادر</w:t>
      </w:r>
    </w:p>
    <w:p>
      <w:pPr>
        <w:pStyle w:val="BookText"/>
      </w:pPr>
      <w:r>
        <w:rPr>
          <w:rFonts w:ascii="IRNazanin" w:hAnsi="IRNazanin" w:eastAsia="IRNazanin" w:cs="IRNazanin"/>
          <w:lang w:bidi="fa-IR"/>
          <w:color w:val="111111"/>
          <w:sz w:val="28"/>
          <w:szCs w:val="28"/>
          <w:rtl/>
        </w:rPr>
        <w:t xml:space="preserve">عبد القادر بن ابي صالح جنگ گیلي علوي حسيني حنبلي - عبد القادر جيلاني ، عبد القادر</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IRNazanin" w:hAnsi="IRNazanin" w:eastAsia="IRNazanin" w:cs="IRNazanin"/>
          <w:lang w:bidi="fa-IR"/>
          <w:color w:val="111111"/>
          <w:sz w:val="28"/>
          <w:szCs w:val="28"/>
          <w:rtl/>
        </w:rPr>
        <w:t xml:space="preserve">عبد القادر بن ابي صالح گيلاني - عبد القادر</w:t>
      </w:r>
    </w:p>
    <w:p>
      <w:pPr>
        <w:pStyle w:val="BookText"/>
      </w:pPr>
      <w:r>
        <w:rPr>
          <w:rFonts w:ascii="Amiri" w:hAnsi="Amiri" w:eastAsia="Amiri" w:cs="Amiri"/>
          <w:lang w:bidi="ar-SA"/>
          <w:color w:val="111111"/>
          <w:sz w:val="28"/>
          <w:szCs w:val="28"/>
          <w:rtl/>
        </w:rPr>
        <w:t xml:space="preserve">جيلاني ، عبد القادر بن موسى</w:t>
      </w:r>
    </w:p>
    <w:p>
      <w:pPr>
        <w:pStyle w:val="BookText"/>
      </w:pPr>
      <w:r>
        <w:rPr>
          <w:rFonts w:ascii="IRNazanin" w:hAnsi="IRNazanin" w:eastAsia="IRNazanin" w:cs="IRNazanin"/>
          <w:lang w:bidi="fa-IR"/>
          <w:color w:val="111111"/>
          <w:sz w:val="28"/>
          <w:szCs w:val="28"/>
          <w:rtl/>
        </w:rPr>
        <w:t xml:space="preserve">عبد القادر بن احمد - کرهر ، عبد القادر بن عبد القادراحمد</w:t>
      </w:r>
    </w:p>
    <w:p>
      <w:pPr>
        <w:pStyle w:val="Heading2"/>
      </w:pPr>
      <w:bookmarkStart w:id="5827" w:name="_Toc4929"/>
      <w:r>
        <w:t>عبد القادر بن احمد</w:t>
      </w:r>
      <w:bookmarkEnd w:id="5827"/>
    </w:p>
    <w:p>
      <w:pPr>
        <w:pStyle w:val="BookText"/>
      </w:pPr>
      <w:r>
        <w:rPr>
          <w:rFonts w:ascii="Amiri" w:hAnsi="Amiri" w:eastAsia="Amiri" w:cs="Amiri"/>
          <w:lang w:bidi="ar-SA"/>
          <w:color w:val="111111"/>
          <w:sz w:val="28"/>
          <w:szCs w:val="28"/>
          <w:rtl/>
        </w:rPr>
        <w:t xml:space="preserve">منية الفقير المتجرد، ج 15، ص 823.</w:t>
      </w:r>
    </w:p>
    <w:p>
      <w:pPr>
        <w:pStyle w:val="BookText"/>
      </w:pPr>
      <w:r>
        <w:rPr>
          <w:rFonts w:ascii="Amiri" w:hAnsi="Amiri" w:eastAsia="Amiri" w:cs="Amiri"/>
          <w:lang w:bidi="ar-SA"/>
          <w:color w:val="111111"/>
          <w:sz w:val="28"/>
          <w:szCs w:val="28"/>
          <w:rtl/>
        </w:rPr>
        <w:t xml:space="preserve">عبد القادر بن احمد البصري- بصري ،</w:t>
      </w:r>
    </w:p>
    <w:p>
      <w:pPr>
        <w:pStyle w:val="BookText"/>
      </w:pPr>
      <w:r>
        <w:rPr>
          <w:rFonts w:ascii="IRNazanin" w:hAnsi="IRNazanin" w:eastAsia="IRNazanin" w:cs="IRNazanin"/>
          <w:lang w:bidi="fa-IR"/>
          <w:color w:val="111111"/>
          <w:sz w:val="28"/>
          <w:szCs w:val="28"/>
          <w:rtl/>
        </w:rPr>
        <w:t xml:space="preserve">عبد القادر بن احمد</w:t>
      </w:r>
    </w:p>
    <w:p>
      <w:pPr>
        <w:pStyle w:val="BookText"/>
      </w:pPr>
      <w:r>
        <w:rPr>
          <w:rFonts w:ascii="Amiri" w:hAnsi="Amiri" w:eastAsia="Amiri" w:cs="Amiri"/>
          <w:lang w:bidi="ar-SA"/>
          <w:color w:val="111111"/>
          <w:sz w:val="28"/>
          <w:szCs w:val="28"/>
          <w:rtl/>
        </w:rPr>
        <w:t xml:space="preserve">عبد القادر بن احمد البصري- بصري ،</w:t>
      </w:r>
    </w:p>
    <w:p>
      <w:pPr>
        <w:pStyle w:val="BookText"/>
      </w:pPr>
      <w:r>
        <w:rPr>
          <w:rFonts w:ascii="IRNazanin" w:hAnsi="IRNazanin" w:eastAsia="IRNazanin" w:cs="IRNazanin"/>
          <w:lang w:bidi="fa-IR"/>
          <w:color w:val="111111"/>
          <w:sz w:val="28"/>
          <w:szCs w:val="28"/>
          <w:rtl/>
        </w:rPr>
        <w:t xml:space="preserve">عبد القادر بن احمد</w:t>
      </w:r>
    </w:p>
    <w:p>
      <w:pPr>
        <w:pStyle w:val="BookText"/>
      </w:pPr>
      <w:r>
        <w:rPr>
          <w:rFonts w:ascii="Amiri" w:hAnsi="Amiri" w:eastAsia="Amiri" w:cs="Amiri"/>
          <w:lang w:bidi="ar-SA"/>
          <w:color w:val="111111"/>
          <w:sz w:val="28"/>
          <w:szCs w:val="28"/>
          <w:rtl/>
        </w:rPr>
        <w:t xml:space="preserve">عبد القادر بن احمد فاكهي- فاكهي</w:t>
      </w:r>
    </w:p>
    <w:p>
      <w:pPr>
        <w:pStyle w:val="BookText"/>
      </w:pPr>
      <w:r>
        <w:rPr>
          <w:rFonts w:ascii="Amiri" w:hAnsi="Amiri" w:eastAsia="Amiri" w:cs="Amiri"/>
          <w:lang w:bidi="ar-SA"/>
          <w:color w:val="111111"/>
          <w:sz w:val="28"/>
          <w:szCs w:val="28"/>
          <w:rtl/>
        </w:rPr>
        <w:t xml:space="preserve">، عبدالقادر بن علي</w:t>
      </w:r>
    </w:p>
    <w:p>
      <w:pPr>
        <w:pStyle w:val="BookText"/>
      </w:pPr>
      <w:r>
        <w:rPr>
          <w:rFonts w:ascii="Amiri" w:hAnsi="Amiri" w:eastAsia="Amiri" w:cs="Amiri"/>
          <w:lang w:bidi="ar-SA"/>
          <w:color w:val="111111"/>
          <w:sz w:val="28"/>
          <w:szCs w:val="28"/>
          <w:rtl/>
        </w:rPr>
        <w:t xml:space="preserve">عبد القادر بن جار الله بن امين -ابن امين ، عبد القادر بن جار الله</w:t>
      </w:r>
    </w:p>
    <w:p>
      <w:pPr>
        <w:pStyle w:val="BookText"/>
      </w:pPr>
      <w:r>
        <w:rPr>
          <w:rFonts w:ascii="Amiri" w:hAnsi="Amiri" w:eastAsia="Amiri" w:cs="Amiri"/>
          <w:lang w:bidi="ar-SA"/>
          <w:color w:val="111111"/>
          <w:sz w:val="28"/>
          <w:szCs w:val="28"/>
          <w:rtl/>
        </w:rPr>
        <w:t xml:space="preserve">عبد القادر بن حسن روياني لاهيجي - روياني لاهيجي ، عبد القادر بن حسن</w:t>
      </w:r>
    </w:p>
    <w:p>
      <w:pPr>
        <w:pStyle w:val="BookText"/>
      </w:pPr>
      <w:r>
        <w:rPr>
          <w:rFonts w:ascii="Amiri" w:hAnsi="Amiri" w:eastAsia="Amiri" w:cs="Amiri"/>
          <w:lang w:bidi="ar-SA"/>
          <w:color w:val="111111"/>
          <w:sz w:val="28"/>
          <w:szCs w:val="28"/>
          <w:rtl/>
        </w:rPr>
        <w:t xml:space="preserve">عبد القادر بن ذالنون بن محّمد حصني</w:t>
      </w:r>
    </w:p>
    <w:p>
      <w:pPr>
        <w:pStyle w:val="BookText"/>
      </w:pPr>
      <w:r>
        <w:rPr>
          <w:rFonts w:ascii="Amiri" w:hAnsi="Amiri" w:eastAsia="Amiri" w:cs="Amiri"/>
          <w:lang w:bidi="ar-SA"/>
          <w:color w:val="111111"/>
          <w:sz w:val="28"/>
          <w:szCs w:val="28"/>
          <w:rtl/>
        </w:rPr>
        <w:t xml:space="preserve">كيفي- حصني ، عبد القادر بن ذالنون</w:t>
      </w:r>
    </w:p>
    <w:p>
      <w:pPr>
        <w:pStyle w:val="BookText"/>
      </w:pPr>
      <w:r>
        <w:rPr>
          <w:rFonts w:ascii="Amiri" w:hAnsi="Amiri" w:eastAsia="Amiri" w:cs="Amiri"/>
          <w:lang w:bidi="ar-SA"/>
          <w:color w:val="111111"/>
          <w:sz w:val="28"/>
          <w:szCs w:val="28"/>
          <w:rtl/>
        </w:rPr>
        <w:t xml:space="preserve">عبد القادر بن ذالنون حصني كفي -حصني ، عبدالقادر بن ذالنون</w:t>
      </w:r>
    </w:p>
    <w:p>
      <w:pPr>
        <w:pStyle w:val="BookText"/>
      </w:pPr>
      <w:r>
        <w:rPr>
          <w:rFonts w:ascii="Amiri" w:hAnsi="Amiri" w:eastAsia="Amiri" w:cs="Amiri"/>
          <w:lang w:bidi="ar-SA"/>
          <w:color w:val="111111"/>
          <w:sz w:val="28"/>
          <w:szCs w:val="28"/>
          <w:rtl/>
        </w:rPr>
        <w:t xml:space="preserve">عبد القادر بن شيخ عيدروس -عيدروسي ،</w:t>
      </w:r>
    </w:p>
    <w:p>
      <w:pPr>
        <w:pStyle w:val="BookText"/>
      </w:pPr>
      <w:r>
        <w:rPr>
          <w:rFonts w:ascii="IRNazanin" w:hAnsi="IRNazanin" w:eastAsia="IRNazanin" w:cs="IRNazanin"/>
          <w:lang w:bidi="fa-IR"/>
          <w:color w:val="111111"/>
          <w:sz w:val="28"/>
          <w:szCs w:val="28"/>
          <w:rtl/>
        </w:rPr>
        <w:t xml:space="preserve">عبد القادر بن عبدالله</w:t>
      </w:r>
    </w:p>
    <w:p>
      <w:pPr>
        <w:pStyle w:val="Heading2"/>
      </w:pPr>
      <w:bookmarkStart w:id="5828" w:name="_Toc4930"/>
      <w:r>
        <w:t>عبد القادر بن عبد الفتاح بن عبد الصمد</w:t>
      </w:r>
      <w:bookmarkEnd w:id="5828"/>
    </w:p>
    <w:p>
      <w:pPr>
        <w:pStyle w:val="BookText"/>
      </w:pPr>
      <w:r>
        <w:rPr>
          <w:rFonts w:ascii="IRNazanin" w:hAnsi="IRNazanin" w:eastAsia="IRNazanin" w:cs="IRNazanin"/>
          <w:lang w:bidi="fa-IR"/>
          <w:color w:val="111111"/>
          <w:sz w:val="28"/>
          <w:szCs w:val="28"/>
          <w:rtl/>
        </w:rPr>
        <w:t xml:space="preserve">قرن 10 ه-</w:t>
      </w:r>
    </w:p>
    <w:p>
      <w:pPr>
        <w:pStyle w:val="BookText"/>
      </w:pPr>
      <w:r>
        <w:rPr>
          <w:rFonts w:ascii="Amiri" w:hAnsi="Amiri" w:eastAsia="Amiri" w:cs="Amiri"/>
          <w:lang w:bidi="ar-SA"/>
          <w:color w:val="111111"/>
          <w:sz w:val="28"/>
          <w:szCs w:val="28"/>
          <w:rtl/>
        </w:rPr>
        <w:t xml:space="preserve">استخارة في حروف القرآن، ج 2،</w:t>
      </w:r>
    </w:p>
    <w:p>
      <w:pPr>
        <w:pStyle w:val="BookText"/>
      </w:pPr>
      <w:r>
        <w:rPr>
          <w:rFonts w:ascii="IRNazanin" w:hAnsi="IRNazanin" w:eastAsia="IRNazanin" w:cs="IRNazanin"/>
          <w:lang w:bidi="fa-IR"/>
          <w:color w:val="111111"/>
          <w:sz w:val="28"/>
          <w:szCs w:val="28"/>
          <w:rtl/>
        </w:rPr>
        <w:t xml:space="preserve">ص 120 .</w:t>
      </w:r>
    </w:p>
    <w:p>
      <w:pPr>
        <w:pStyle w:val="BookText"/>
      </w:pPr>
      <w:r>
        <w:rPr>
          <w:rFonts w:ascii="IRNazanin" w:hAnsi="IRNazanin" w:eastAsia="IRNazanin" w:cs="IRNazanin"/>
          <w:lang w:bidi="fa-IR"/>
          <w:color w:val="111111"/>
          <w:sz w:val="28"/>
          <w:szCs w:val="28"/>
          <w:rtl/>
        </w:rPr>
        <w:t xml:space="preserve">عبد القادر بن عبدالله</w:t>
      </w:r>
    </w:p>
    <w:p>
      <w:pPr>
        <w:pStyle w:val="BookText"/>
      </w:pPr>
      <w:r>
        <w:rPr>
          <w:rFonts w:ascii="Amiri" w:hAnsi="Amiri" w:eastAsia="Amiri" w:cs="Amiri"/>
          <w:lang w:bidi="ar-SA"/>
          <w:color w:val="111111"/>
          <w:sz w:val="28"/>
          <w:szCs w:val="28"/>
          <w:rtl/>
        </w:rPr>
        <w:t xml:space="preserve">العيدروس - عيدروسي ، عبد القادر بن عبدالله</w:t>
      </w:r>
    </w:p>
    <w:p>
      <w:pPr>
        <w:pStyle w:val="BookText"/>
      </w:pPr>
      <w:r>
        <w:rPr>
          <w:rFonts w:ascii="Amiri" w:hAnsi="Amiri" w:eastAsia="Amiri" w:cs="Amiri"/>
          <w:lang w:bidi="ar-SA"/>
          <w:color w:val="111111"/>
          <w:sz w:val="28"/>
          <w:szCs w:val="28"/>
          <w:rtl/>
        </w:rPr>
        <w:t xml:space="preserve">عبد القادر بن عبدالله رهاوي</w:t>
      </w:r>
    </w:p>
    <w:p>
      <w:pPr>
        <w:pStyle w:val="BookText"/>
      </w:pPr>
      <w:r>
        <w:rPr>
          <w:rFonts w:ascii="Amiri" w:hAnsi="Amiri" w:eastAsia="Amiri" w:cs="Amiri"/>
          <w:lang w:bidi="ar-SA"/>
          <w:color w:val="111111"/>
          <w:sz w:val="28"/>
          <w:szCs w:val="28"/>
          <w:rtl/>
        </w:rPr>
        <w:t xml:space="preserve">حراني- رهاوي ، عبد القادر بن عبدالله</w:t>
      </w:r>
    </w:p>
    <w:p>
      <w:pPr>
        <w:pStyle w:val="Heading2"/>
      </w:pPr>
      <w:bookmarkStart w:id="5829" w:name="_Toc4931"/>
      <w:r>
        <w:t>عبد القادر بن عبد المؤمن</w:t>
      </w:r>
      <w:bookmarkEnd w:id="5829"/>
    </w:p>
    <w:p>
      <w:pPr>
        <w:pStyle w:val="BookText"/>
      </w:pPr>
      <w:r>
        <w:rPr>
          <w:rFonts w:ascii="Amiri" w:hAnsi="Amiri" w:eastAsia="Amiri" w:cs="Amiri"/>
          <w:lang w:bidi="ar-SA"/>
          <w:color w:val="111111"/>
          <w:sz w:val="28"/>
          <w:szCs w:val="28"/>
          <w:rtl/>
        </w:rPr>
        <w:t xml:space="preserve">زبدة الحكمة = حاشية على رسالة</w:t>
      </w:r>
    </w:p>
    <w:p>
      <w:pPr>
        <w:pStyle w:val="BookText"/>
      </w:pPr>
      <w:r>
        <w:rPr>
          <w:rFonts w:ascii="Amiri" w:hAnsi="Amiri" w:eastAsia="Amiri" w:cs="Amiri"/>
          <w:lang w:bidi="ar-SA"/>
          <w:color w:val="111111"/>
          <w:sz w:val="28"/>
          <w:szCs w:val="28"/>
          <w:rtl/>
        </w:rPr>
        <w:t xml:space="preserve">مصطلح الحكمة، ج8، ص 572.</w:t>
      </w:r>
    </w:p>
    <w:p>
      <w:pPr>
        <w:pStyle w:val="BookText"/>
      </w:pPr>
      <w:r>
        <w:rPr>
          <w:rFonts w:ascii="Amiri" w:hAnsi="Amiri" w:eastAsia="Amiri" w:cs="Amiri"/>
          <w:lang w:bidi="ar-SA"/>
          <w:color w:val="111111"/>
          <w:sz w:val="28"/>
          <w:szCs w:val="28"/>
          <w:rtl/>
        </w:rPr>
        <w:t xml:space="preserve">عبد القادر بن علي بن شعبان- ابن شعبان</w:t>
      </w:r>
    </w:p>
    <w:p>
      <w:pPr>
        <w:pStyle w:val="BookText"/>
      </w:pPr>
      <w:r>
        <w:rPr>
          <w:rFonts w:ascii="Amiri" w:hAnsi="Amiri" w:eastAsia="Amiri" w:cs="Amiri"/>
          <w:lang w:bidi="ar-SA"/>
          <w:color w:val="111111"/>
          <w:sz w:val="28"/>
          <w:szCs w:val="28"/>
          <w:rtl/>
        </w:rPr>
        <w:t xml:space="preserve">عبد القادر بن علي</w:t>
      </w:r>
    </w:p>
    <w:p>
      <w:pPr>
        <w:pStyle w:val="BookText"/>
      </w:pPr>
      <w:r>
        <w:rPr>
          <w:rFonts w:ascii="Amiri" w:hAnsi="Amiri" w:eastAsia="Amiri" w:cs="Amiri"/>
          <w:lang w:bidi="ar-SA"/>
          <w:color w:val="111111"/>
          <w:sz w:val="28"/>
          <w:szCs w:val="28"/>
          <w:rtl/>
        </w:rPr>
        <w:t xml:space="preserve">عبد القادر بن علي سخاوي</w:t>
      </w:r>
    </w:p>
    <w:p>
      <w:pPr>
        <w:pStyle w:val="BookText"/>
      </w:pPr>
      <w:r>
        <w:rPr>
          <w:rFonts w:ascii="Amiri" w:hAnsi="Amiri" w:eastAsia="Amiri" w:cs="Amiri"/>
          <w:lang w:bidi="ar-SA"/>
          <w:color w:val="111111"/>
          <w:sz w:val="28"/>
          <w:szCs w:val="28"/>
          <w:rtl/>
        </w:rPr>
        <w:t xml:space="preserve">عبد القادر بن احمد شافعي -سخاوي ،</w:t>
      </w:r>
    </w:p>
    <w:p>
      <w:pPr>
        <w:pStyle w:val="BookText"/>
      </w:pPr>
      <w:r>
        <w:rPr>
          <w:rFonts w:ascii="Amiri" w:hAnsi="Amiri" w:eastAsia="Amiri" w:cs="Amiri"/>
          <w:lang w:bidi="ar-SA"/>
          <w:color w:val="111111"/>
          <w:sz w:val="28"/>
          <w:szCs w:val="28"/>
          <w:rtl/>
        </w:rPr>
        <w:t xml:space="preserve">عبد القادر بن عمر البغدادي - بغدادي ،</w:t>
      </w:r>
    </w:p>
    <w:p>
      <w:pPr>
        <w:pStyle w:val="BookText"/>
      </w:pPr>
      <w:r>
        <w:rPr>
          <w:rFonts w:ascii="IRNazanin" w:hAnsi="IRNazanin" w:eastAsia="IRNazanin" w:cs="IRNazanin"/>
          <w:lang w:bidi="fa-IR"/>
          <w:color w:val="111111"/>
          <w:sz w:val="28"/>
          <w:szCs w:val="28"/>
          <w:rtl/>
        </w:rPr>
        <w:t xml:space="preserve">عبد القادر بن عمر</w:t>
      </w:r>
    </w:p>
    <w:p>
      <w:pPr>
        <w:pStyle w:val="Heading2"/>
      </w:pPr>
      <w:bookmarkStart w:id="5830" w:name="_Toc4932"/>
      <w:r>
        <w:t>عبد القادر بن عمر بن جرجيس، قرن 13</w:t>
      </w:r>
      <w:bookmarkEnd w:id="5830"/>
    </w:p>
    <w:p>
      <w:pPr>
        <w:pStyle w:val="BookText"/>
      </w:pPr>
      <w:r>
        <w:rPr>
          <w:rFonts w:ascii="Amiri" w:hAnsi="Amiri" w:eastAsia="Amiri" w:cs="Amiri"/>
          <w:lang w:bidi="ar-SA"/>
          <w:color w:val="111111"/>
          <w:sz w:val="28"/>
          <w:szCs w:val="28"/>
          <w:rtl/>
        </w:rPr>
        <w:t xml:space="preserve">منظومة ثالثة، ج 15، ص 719.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44" w:name="pg7742_70739"/>
    <w:bookmarkEnd w:id="744"/>
    <w:p>
      <w:pPr>
        <w:pStyle w:val="BookText"/>
      </w:pPr>
      <w:r>
        <w:rPr>
          <w:rFonts w:ascii="Amiri" w:hAnsi="Amiri" w:eastAsia="Amiri" w:cs="Amiri"/>
          <w:lang w:bidi="ar-SA"/>
          <w:color w:val="111111"/>
          <w:sz w:val="28"/>
          <w:szCs w:val="28"/>
          <w:rtl/>
        </w:rPr>
        <w:t xml:space="preserve">عبد القادر بن عمر تغلبي شيباني - تغلبي</w:t>
      </w:r>
    </w:p>
    <w:p>
      <w:pPr>
        <w:pStyle w:val="BookText"/>
      </w:pPr>
      <w:r>
        <w:rPr>
          <w:rFonts w:ascii="IRNazanin" w:hAnsi="IRNazanin" w:eastAsia="IRNazanin" w:cs="IRNazanin"/>
          <w:lang w:bidi="fa-IR"/>
          <w:color w:val="111111"/>
          <w:sz w:val="28"/>
          <w:szCs w:val="28"/>
          <w:rtl/>
        </w:rPr>
        <w:t xml:space="preserve">عبد القادر بن عمر</w:t>
      </w:r>
    </w:p>
    <w:p>
      <w:pPr>
        <w:pStyle w:val="BookText"/>
      </w:pPr>
      <w:r>
        <w:rPr>
          <w:rFonts w:ascii="Amiri" w:hAnsi="Amiri" w:eastAsia="Amiri" w:cs="Amiri"/>
          <w:lang w:bidi="ar-SA"/>
          <w:color w:val="111111"/>
          <w:sz w:val="28"/>
          <w:szCs w:val="28"/>
          <w:rtl/>
        </w:rPr>
        <w:t xml:space="preserve">عبد القادر بن محمّد الشاذلي -شاذلي</w:t>
      </w:r>
    </w:p>
    <w:p>
      <w:pPr>
        <w:pStyle w:val="BookText"/>
      </w:pPr>
      <w:r>
        <w:rPr>
          <w:rFonts w:ascii="IRNazanin" w:hAnsi="IRNazanin" w:eastAsia="IRNazanin" w:cs="IRNazanin"/>
          <w:lang w:bidi="fa-IR"/>
          <w:color w:val="111111"/>
          <w:sz w:val="28"/>
          <w:szCs w:val="28"/>
          <w:rtl/>
        </w:rPr>
        <w:t xml:space="preserve">عبد القادر بن محمّد</w:t>
      </w:r>
    </w:p>
    <w:p>
      <w:pPr>
        <w:pStyle w:val="BookText"/>
      </w:pPr>
      <w:r>
        <w:rPr>
          <w:rFonts w:ascii="IRNazanin" w:hAnsi="IRNazanin" w:eastAsia="IRNazanin" w:cs="IRNazanin"/>
          <w:lang w:bidi="fa-IR"/>
          <w:color w:val="111111"/>
          <w:sz w:val="28"/>
          <w:szCs w:val="28"/>
          <w:rtl/>
        </w:rPr>
        <w:t xml:space="preserve">عبدالقادر بن محمّد الفتال - فتال</w:t>
      </w:r>
    </w:p>
    <w:p>
      <w:pPr>
        <w:pStyle w:val="BookText"/>
      </w:pPr>
      <w:r>
        <w:rPr>
          <w:rFonts w:ascii="IRNazanin" w:hAnsi="IRNazanin" w:eastAsia="IRNazanin" w:cs="IRNazanin"/>
          <w:lang w:bidi="fa-IR"/>
          <w:color w:val="111111"/>
          <w:sz w:val="28"/>
          <w:szCs w:val="28"/>
          <w:rtl/>
        </w:rPr>
        <w:t xml:space="preserve">عبد القادر بن محمّد</w:t>
      </w:r>
    </w:p>
    <w:p>
      <w:pPr>
        <w:pStyle w:val="BookText"/>
      </w:pPr>
      <w:r>
        <w:rPr>
          <w:rFonts w:ascii="Amiri" w:hAnsi="Amiri" w:eastAsia="Amiri" w:cs="Amiri"/>
          <w:lang w:bidi="ar-SA"/>
          <w:color w:val="111111"/>
          <w:sz w:val="28"/>
          <w:szCs w:val="28"/>
          <w:rtl/>
        </w:rPr>
        <w:t xml:space="preserve">عبد القادر بن محمّد بن حبيب صفدي -صفدي، عبد القادر بن محمّد</w:t>
      </w:r>
    </w:p>
    <w:p>
      <w:pPr>
        <w:pStyle w:val="BookText"/>
      </w:pPr>
      <w:r>
        <w:rPr>
          <w:rFonts w:ascii="IRNazanin" w:hAnsi="IRNazanin" w:eastAsia="IRNazanin" w:cs="IRNazanin"/>
          <w:lang w:bidi="fa-IR"/>
          <w:color w:val="111111"/>
          <w:sz w:val="28"/>
          <w:szCs w:val="28"/>
          <w:rtl/>
        </w:rPr>
        <w:t xml:space="preserve">عبد القادر بن محمّد سعيد تختي کردستاني- کردي ، عبد القادر بن محمّد سعید</w:t>
      </w:r>
    </w:p>
    <w:p>
      <w:pPr>
        <w:pStyle w:val="BookText"/>
      </w:pPr>
      <w:r>
        <w:rPr>
          <w:rFonts w:ascii="Amiri" w:hAnsi="Amiri" w:eastAsia="Amiri" w:cs="Amiri"/>
          <w:lang w:bidi="ar-SA"/>
          <w:color w:val="111111"/>
          <w:sz w:val="28"/>
          <w:szCs w:val="28"/>
          <w:rtl/>
        </w:rPr>
        <w:t xml:space="preserve">عبد القادر بن محمّد سعيد -عبد القادر بن</w:t>
      </w:r>
    </w:p>
    <w:p>
      <w:pPr>
        <w:pStyle w:val="BookText"/>
      </w:pPr>
      <w:r>
        <w:rPr>
          <w:rFonts w:ascii="IRNazanin" w:hAnsi="IRNazanin" w:eastAsia="IRNazanin" w:cs="IRNazanin"/>
          <w:lang w:bidi="fa-IR"/>
          <w:color w:val="111111"/>
          <w:sz w:val="28"/>
          <w:szCs w:val="28"/>
          <w:rtl/>
        </w:rPr>
        <w:t xml:space="preserve">عبد المؤمن</w:t>
      </w:r>
    </w:p>
    <w:p>
      <w:pPr>
        <w:pStyle w:val="BookText"/>
      </w:pPr>
      <w:r>
        <w:rPr>
          <w:rFonts w:ascii="IRNazanin" w:hAnsi="IRNazanin" w:eastAsia="IRNazanin" w:cs="IRNazanin"/>
          <w:lang w:bidi="fa-IR"/>
          <w:color w:val="111111"/>
          <w:sz w:val="28"/>
          <w:szCs w:val="28"/>
          <w:rtl/>
        </w:rPr>
        <w:t xml:space="preserve">عبد القادر بن محمّد</w:t>
      </w:r>
    </w:p>
    <w:p>
      <w:pPr>
        <w:pStyle w:val="BookText"/>
      </w:pPr>
      <w:r>
        <w:rPr>
          <w:rFonts w:ascii="Amiri" w:hAnsi="Amiri" w:eastAsia="Amiri" w:cs="Amiri"/>
          <w:lang w:bidi="ar-SA"/>
          <w:color w:val="111111"/>
          <w:sz w:val="28"/>
          <w:szCs w:val="28"/>
          <w:rtl/>
        </w:rPr>
        <w:t xml:space="preserve">شيخلماريني - شيخلماريني ، عبدالقادر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عبد القادر بن محمّد طبري- طبري</w:t>
      </w:r>
    </w:p>
    <w:p>
      <w:pPr>
        <w:pStyle w:val="BookText"/>
      </w:pPr>
      <w:r>
        <w:rPr>
          <w:rFonts w:ascii="IRNazanin" w:hAnsi="IRNazanin" w:eastAsia="IRNazanin" w:cs="IRNazanin"/>
          <w:lang w:bidi="fa-IR"/>
          <w:color w:val="111111"/>
          <w:sz w:val="28"/>
          <w:szCs w:val="28"/>
          <w:rtl/>
        </w:rPr>
        <w:t xml:space="preserve">عبد القادر بن محمّد</w:t>
      </w:r>
    </w:p>
    <w:p>
      <w:pPr>
        <w:pStyle w:val="BookText"/>
      </w:pPr>
      <w:r>
        <w:rPr>
          <w:rFonts w:ascii="Amiri" w:hAnsi="Amiri" w:eastAsia="Amiri" w:cs="Amiri"/>
          <w:lang w:bidi="ar-SA"/>
          <w:color w:val="111111"/>
          <w:sz w:val="28"/>
          <w:szCs w:val="28"/>
          <w:rtl/>
        </w:rPr>
        <w:t xml:space="preserve">عبد القادر بن محمّد عمري شافعي -عمري ، عبد القادر بن محمّد</w:t>
      </w:r>
    </w:p>
    <w:p>
      <w:pPr>
        <w:pStyle w:val="BookText"/>
      </w:pPr>
      <w:r>
        <w:rPr>
          <w:rFonts w:ascii="Amiri" w:hAnsi="Amiri" w:eastAsia="Amiri" w:cs="Amiri"/>
          <w:lang w:bidi="ar-SA"/>
          <w:color w:val="111111"/>
          <w:sz w:val="28"/>
          <w:szCs w:val="28"/>
          <w:rtl/>
        </w:rPr>
        <w:t xml:space="preserve">عبد القادر بن مختار خطيبي</w:t>
      </w:r>
    </w:p>
    <w:p>
      <w:pPr>
        <w:pStyle w:val="BookText"/>
      </w:pPr>
      <w:r>
        <w:rPr>
          <w:rFonts w:ascii="Amiri" w:hAnsi="Amiri" w:eastAsia="Amiri" w:cs="Amiri"/>
          <w:lang w:bidi="ar-SA"/>
          <w:color w:val="111111"/>
          <w:sz w:val="28"/>
          <w:szCs w:val="28"/>
          <w:rtl/>
        </w:rPr>
        <w:t xml:space="preserve">شهراباني- خطيبي ، عبد القادر بن ملا مختار</w:t>
      </w:r>
    </w:p>
    <w:p>
      <w:pPr>
        <w:pStyle w:val="BookText"/>
      </w:pPr>
      <w:r>
        <w:rPr>
          <w:rFonts w:ascii="Amiri" w:hAnsi="Amiri" w:eastAsia="Amiri" w:cs="Amiri"/>
          <w:lang w:bidi="ar-SA"/>
          <w:color w:val="111111"/>
          <w:sz w:val="28"/>
          <w:szCs w:val="28"/>
          <w:rtl/>
        </w:rPr>
        <w:t xml:space="preserve">عبد القادر بن مصطفى الصفوري- صفوري</w:t>
      </w:r>
    </w:p>
    <w:p>
      <w:pPr>
        <w:pStyle w:val="BookText"/>
      </w:pPr>
      <w:r>
        <w:rPr>
          <w:rFonts w:ascii="IRNazanin" w:hAnsi="IRNazanin" w:eastAsia="IRNazanin" w:cs="IRNazanin"/>
          <w:lang w:bidi="fa-IR"/>
          <w:color w:val="111111"/>
          <w:sz w:val="28"/>
          <w:szCs w:val="28"/>
          <w:rtl/>
        </w:rPr>
        <w:t xml:space="preserve">، عبد القادر بن مصطفى</w:t>
      </w:r>
    </w:p>
    <w:p>
      <w:pPr>
        <w:pStyle w:val="BookText"/>
      </w:pPr>
      <w:r>
        <w:rPr>
          <w:rFonts w:ascii="IRNazanin" w:hAnsi="IRNazanin" w:eastAsia="IRNazanin" w:cs="IRNazanin"/>
          <w:lang w:bidi="fa-IR"/>
          <w:color w:val="111111"/>
          <w:sz w:val="28"/>
          <w:szCs w:val="28"/>
          <w:rtl/>
        </w:rPr>
        <w:t xml:space="preserve">عبد القادر بن موسی گیلاني- عبد القادر</w:t>
      </w:r>
    </w:p>
    <w:p>
      <w:pPr>
        <w:pStyle w:val="BookText"/>
      </w:pPr>
      <w:r>
        <w:rPr>
          <w:rFonts w:ascii="Amiri" w:hAnsi="Amiri" w:eastAsia="Amiri" w:cs="Amiri"/>
          <w:lang w:bidi="ar-SA"/>
          <w:color w:val="111111"/>
          <w:sz w:val="28"/>
          <w:szCs w:val="28"/>
          <w:rtl/>
        </w:rPr>
        <w:t xml:space="preserve">جيلاني ، عبدالقادر بن موسى</w:t>
      </w:r>
    </w:p>
    <w:p>
      <w:pPr>
        <w:pStyle w:val="BookText"/>
      </w:pPr>
      <w:r>
        <w:rPr>
          <w:rFonts w:ascii="Amiri" w:hAnsi="Amiri" w:eastAsia="Amiri" w:cs="Amiri"/>
          <w:lang w:bidi="ar-SA"/>
          <w:color w:val="111111"/>
          <w:sz w:val="28"/>
          <w:szCs w:val="28"/>
          <w:rtl/>
        </w:rPr>
        <w:t xml:space="preserve">عبد القادر بن يحيى بصير- بصير ،</w:t>
      </w:r>
    </w:p>
    <w:p>
      <w:pPr>
        <w:pStyle w:val="BookText"/>
      </w:pPr>
      <w:r>
        <w:rPr>
          <w:rFonts w:ascii="Amiri" w:hAnsi="Amiri" w:eastAsia="Amiri" w:cs="Amiri"/>
          <w:lang w:bidi="ar-SA"/>
          <w:color w:val="111111"/>
          <w:sz w:val="28"/>
          <w:szCs w:val="28"/>
          <w:rtl/>
        </w:rPr>
        <w:t xml:space="preserve">عبد القادر بن يحيى</w:t>
      </w:r>
    </w:p>
    <w:p>
      <w:pPr>
        <w:pStyle w:val="BookText"/>
      </w:pPr>
      <w:r>
        <w:rPr>
          <w:rFonts w:ascii="IRNazanin" w:hAnsi="IRNazanin" w:eastAsia="IRNazanin" w:cs="IRNazanin"/>
          <w:lang w:bidi="fa-IR"/>
          <w:color w:val="111111"/>
          <w:sz w:val="28"/>
          <w:szCs w:val="28"/>
          <w:rtl/>
        </w:rPr>
        <w:t xml:space="preserve">عبد القادر بن يوسف نقيب- ابن نقیب</w:t>
      </w:r>
    </w:p>
    <w:p>
      <w:pPr>
        <w:pStyle w:val="BookText"/>
      </w:pPr>
      <w:r>
        <w:rPr>
          <w:rFonts w:ascii="Amiri" w:hAnsi="Amiri" w:eastAsia="Amiri" w:cs="Amiri"/>
          <w:lang w:bidi="ar-SA"/>
          <w:color w:val="111111"/>
          <w:sz w:val="28"/>
          <w:szCs w:val="28"/>
          <w:rtl/>
        </w:rPr>
        <w:t xml:space="preserve">عبد القادر بن يوسف</w:t>
      </w:r>
    </w:p>
    <w:p>
      <w:pPr>
        <w:pStyle w:val="BookText"/>
      </w:pPr>
      <w:r>
        <w:rPr>
          <w:rFonts w:ascii="IRNazanin" w:hAnsi="IRNazanin" w:eastAsia="IRNazanin" w:cs="IRNazanin"/>
          <w:lang w:bidi="fa-IR"/>
          <w:color w:val="111111"/>
          <w:sz w:val="28"/>
          <w:szCs w:val="28"/>
          <w:rtl/>
        </w:rPr>
        <w:t xml:space="preserve">عبد القادر بیدل -بيدل دهلوي</w:t>
      </w:r>
    </w:p>
    <w:p>
      <w:pPr>
        <w:pStyle w:val="BookText"/>
      </w:pPr>
      <w:r>
        <w:rPr>
          <w:rFonts w:ascii="IRNazanin" w:hAnsi="IRNazanin" w:eastAsia="IRNazanin" w:cs="IRNazanin"/>
          <w:lang w:bidi="fa-IR"/>
          <w:color w:val="111111"/>
          <w:sz w:val="28"/>
          <w:szCs w:val="28"/>
          <w:rtl/>
        </w:rPr>
        <w:t xml:space="preserve">عبدالقادر بن عبد الخالق</w:t>
      </w:r>
    </w:p>
    <w:p>
      <w:pPr>
        <w:pStyle w:val="BookText"/>
      </w:pPr>
      <w:r>
        <w:rPr>
          <w:rFonts w:ascii="Amiri" w:hAnsi="Amiri" w:eastAsia="Amiri" w:cs="Amiri"/>
          <w:lang w:bidi="ar-SA"/>
          <w:color w:val="111111"/>
          <w:sz w:val="28"/>
          <w:szCs w:val="28"/>
          <w:rtl/>
        </w:rPr>
        <w:t xml:space="preserve">عبد القادر جويني - جويني ، عبد القادر</w:t>
      </w:r>
    </w:p>
    <w:p>
      <w:pPr>
        <w:pStyle w:val="BookText"/>
      </w:pPr>
      <w:r>
        <w:rPr>
          <w:rFonts w:ascii="Amiri" w:hAnsi="Amiri" w:eastAsia="Amiri" w:cs="Amiri"/>
          <w:lang w:bidi="ar-SA"/>
          <w:color w:val="111111"/>
          <w:sz w:val="28"/>
          <w:szCs w:val="28"/>
          <w:rtl/>
        </w:rPr>
        <w:t xml:space="preserve">عبد القادر جيلاني ، عبد القادر بن ابي صالح -</w:t>
      </w:r>
    </w:p>
    <w:p>
      <w:pPr>
        <w:pStyle w:val="BookText"/>
      </w:pPr>
      <w:r>
        <w:rPr>
          <w:rFonts w:ascii="Amiri" w:hAnsi="Amiri" w:eastAsia="Amiri" w:cs="Amiri"/>
          <w:lang w:bidi="ar-SA"/>
          <w:color w:val="111111"/>
          <w:sz w:val="28"/>
          <w:szCs w:val="28"/>
          <w:rtl/>
        </w:rPr>
        <w:t xml:space="preserve">عبدالقادر جيلاني ، عبدالقادر بن</w:t>
      </w:r>
    </w:p>
    <w:p>
      <w:pPr>
        <w:pStyle w:val="BookText"/>
      </w:pPr>
      <w:r>
        <w:rPr>
          <w:rFonts w:ascii="IRNazanin" w:hAnsi="IRNazanin" w:eastAsia="IRNazanin" w:cs="IRNazanin"/>
          <w:lang w:bidi="fa-IR"/>
          <w:color w:val="111111"/>
          <w:sz w:val="28"/>
          <w:szCs w:val="28"/>
          <w:rtl/>
        </w:rPr>
        <w:t xml:space="preserve">موسى</w:t>
      </w:r>
    </w:p>
    <w:p>
      <w:pPr>
        <w:pStyle w:val="Heading2"/>
      </w:pPr>
      <w:bookmarkStart w:id="5831" w:name="_Toc4933"/>
      <w:r>
        <w:t>عبد القادر جيلاني ، عبد القادر بن موسى</w:t>
      </w:r>
      <w:bookmarkEnd w:id="5831"/>
    </w:p>
    <w:p>
      <w:pPr>
        <w:pStyle w:val="BookText"/>
      </w:pPr>
      <w:r>
        <w:rPr>
          <w:rFonts w:ascii="IRNazanin" w:hAnsi="IRNazanin" w:eastAsia="IRNazanin" w:cs="IRNazanin"/>
          <w:lang w:bidi="fa-IR"/>
          <w:color w:val="111111"/>
          <w:sz w:val="28"/>
          <w:szCs w:val="28"/>
          <w:rtl/>
        </w:rPr>
        <w:t xml:space="preserve">471 - 561 ه-</w:t>
      </w:r>
    </w:p>
    <w:p>
      <w:pPr>
        <w:pStyle w:val="BookText"/>
      </w:pPr>
      <w:r>
        <w:rPr>
          <w:rFonts w:ascii="Amiri" w:hAnsi="Amiri" w:eastAsia="Amiri" w:cs="Amiri"/>
          <w:lang w:bidi="ar-SA"/>
          <w:color w:val="111111"/>
          <w:sz w:val="28"/>
          <w:szCs w:val="28"/>
          <w:rtl/>
        </w:rPr>
        <w:t xml:space="preserve">1 .ادعية، ج 1، ص 603.</w:t>
      </w:r>
    </w:p>
    <w:p>
      <w:pPr>
        <w:pStyle w:val="BookText"/>
      </w:pPr>
      <w:r>
        <w:rPr>
          <w:rFonts w:ascii="Amiri" w:hAnsi="Amiri" w:eastAsia="Amiri" w:cs="Amiri"/>
          <w:lang w:bidi="ar-SA"/>
          <w:color w:val="111111"/>
          <w:sz w:val="28"/>
          <w:szCs w:val="28"/>
          <w:rtl/>
        </w:rPr>
        <w:t xml:space="preserve">2 .اسماء الطريقة المنسوبة، ج2،</w:t>
      </w:r>
    </w:p>
    <w:p>
      <w:pPr>
        <w:pStyle w:val="BookText"/>
      </w:pPr>
      <w:r>
        <w:rPr>
          <w:rFonts w:ascii="IRNazanin" w:hAnsi="IRNazanin" w:eastAsia="IRNazanin" w:cs="IRNazanin"/>
          <w:lang w:bidi="fa-IR"/>
          <w:color w:val="111111"/>
          <w:sz w:val="28"/>
          <w:szCs w:val="28"/>
          <w:rtl/>
        </w:rPr>
        <w:t xml:space="preserve">ص 231 .</w:t>
      </w:r>
    </w:p>
    <w:p>
      <w:pPr>
        <w:pStyle w:val="BookText"/>
      </w:pPr>
      <w:r>
        <w:rPr>
          <w:rFonts w:ascii="Amiri" w:hAnsi="Amiri" w:eastAsia="Amiri" w:cs="Amiri"/>
          <w:lang w:bidi="ar-SA"/>
          <w:color w:val="111111"/>
          <w:sz w:val="28"/>
          <w:szCs w:val="28"/>
          <w:rtl/>
        </w:rPr>
        <w:t xml:space="preserve">3 .الاسماء للطريقة القادرية، ج 2،</w:t>
      </w:r>
    </w:p>
    <w:p>
      <w:pPr>
        <w:pStyle w:val="BookText"/>
      </w:pPr>
      <w:r>
        <w:rPr>
          <w:rFonts w:ascii="IRNazanin" w:hAnsi="IRNazanin" w:eastAsia="IRNazanin" w:cs="IRNazanin"/>
          <w:lang w:bidi="fa-IR"/>
          <w:color w:val="111111"/>
          <w:sz w:val="28"/>
          <w:szCs w:val="28"/>
          <w:rtl/>
        </w:rPr>
        <w:t xml:space="preserve">ص 233.</w:t>
      </w:r>
    </w:p>
    <w:p>
      <w:pPr>
        <w:pStyle w:val="BookText"/>
      </w:pPr>
      <w:r>
        <w:rPr>
          <w:rFonts w:ascii="Amiri" w:hAnsi="Amiri" w:eastAsia="Amiri" w:cs="Amiri"/>
          <w:lang w:bidi="ar-SA"/>
          <w:color w:val="111111"/>
          <w:sz w:val="28"/>
          <w:szCs w:val="28"/>
          <w:rtl/>
        </w:rPr>
        <w:t xml:space="preserve">4 .الاكسير الاعظم، ج 2، ص 644 .</w:t>
      </w:r>
    </w:p>
    <w:p>
      <w:pPr>
        <w:pStyle w:val="BookText"/>
      </w:pPr>
      <w:r>
        <w:rPr>
          <w:rFonts w:ascii="IRNazanin" w:hAnsi="IRNazanin" w:eastAsia="IRNazanin" w:cs="IRNazanin"/>
          <w:lang w:bidi="fa-IR"/>
          <w:color w:val="111111"/>
          <w:sz w:val="28"/>
          <w:szCs w:val="28"/>
          <w:rtl/>
        </w:rPr>
        <w:t xml:space="preserve">5 .بصائر البصائر، ج3، ص 343.</w:t>
      </w:r>
    </w:p>
    <w:p>
      <w:pPr>
        <w:pStyle w:val="BookText"/>
      </w:pPr>
      <w:r>
        <w:rPr>
          <w:rFonts w:ascii="Amiri" w:hAnsi="Amiri" w:eastAsia="Amiri" w:cs="Amiri"/>
          <w:lang w:bidi="ar-SA"/>
          <w:color w:val="111111"/>
          <w:sz w:val="28"/>
          <w:szCs w:val="28"/>
          <w:rtl/>
        </w:rPr>
        <w:t xml:space="preserve">6 .تذكرة الشفيق الجامعة لمعرفة</w:t>
      </w:r>
    </w:p>
    <w:p>
      <w:pPr>
        <w:pStyle w:val="BookText"/>
      </w:pPr>
      <w:r>
        <w:rPr>
          <w:rFonts w:ascii="Amiri" w:hAnsi="Amiri" w:eastAsia="Amiri" w:cs="Amiri"/>
          <w:lang w:bidi="ar-SA"/>
          <w:color w:val="111111"/>
          <w:sz w:val="28"/>
          <w:szCs w:val="28"/>
          <w:rtl/>
        </w:rPr>
        <w:t xml:space="preserve">الطريق، ج4، ص 193.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التصوف (كتاب في)، ج4، ص 426.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جلاء الخاطر، ج 5، ص 406.</w:t>
      </w:r>
    </w:p>
    <w:p>
      <w:pPr>
        <w:pStyle w:val="BookText"/>
      </w:pPr>
      <w:r>
        <w:rPr>
          <w:rFonts w:ascii="IRNazanin" w:hAnsi="IRNazanin" w:eastAsia="IRNazanin" w:cs="IRNazanin"/>
          <w:lang w:bidi="fa-IR"/>
          <w:color w:val="111111"/>
          <w:sz w:val="28"/>
          <w:szCs w:val="28"/>
          <w:rtl/>
        </w:rPr>
        <w:t xml:space="preserve">9 .حزب الابتهال، ج 6، ص 624 .</w:t>
      </w:r>
    </w:p>
    <w:p>
      <w:pPr>
        <w:pStyle w:val="BookText"/>
      </w:pPr>
      <w:r>
        <w:rPr>
          <w:rFonts w:ascii="Amiri" w:hAnsi="Amiri" w:eastAsia="Amiri" w:cs="Amiri"/>
          <w:lang w:bidi="ar-SA"/>
          <w:color w:val="111111"/>
          <w:sz w:val="28"/>
          <w:szCs w:val="28"/>
          <w:rtl/>
        </w:rPr>
        <w:t xml:space="preserve">10 .حزب الكيلاني، ج 6 ، ص 631.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الخلاصة، ج 7، ص 66 .</w:t>
      </w:r>
    </w:p>
    <w:p>
      <w:pPr>
        <w:pStyle w:val="BookText"/>
      </w:pPr>
      <w:r>
        <w:rPr>
          <w:rFonts w:ascii="Amiri" w:hAnsi="Amiri" w:eastAsia="Amiri" w:cs="Amiri"/>
          <w:lang w:bidi="ar-SA"/>
          <w:color w:val="111111"/>
          <w:sz w:val="28"/>
          <w:szCs w:val="28"/>
          <w:rtl/>
        </w:rPr>
        <w:t xml:space="preserve">12 .خواص فاتحة الكتاب (رسالة في)</w:t>
      </w:r>
    </w:p>
    <w:p>
      <w:pPr>
        <w:pStyle w:val="BookText"/>
      </w:pPr>
      <w:r>
        <w:rPr>
          <w:rFonts w:ascii="IRNazanin" w:hAnsi="IRNazanin" w:eastAsia="IRNazanin" w:cs="IRNazanin"/>
          <w:lang w:bidi="fa-IR"/>
          <w:color w:val="111111"/>
          <w:sz w:val="28"/>
          <w:szCs w:val="28"/>
          <w:rtl/>
        </w:rPr>
        <w:t xml:space="preserve">ج 7، ص178. 13. دعاء، ج 7، ص387.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دیوان عبدالقادر جيلاني، ج7،</w:t>
      </w:r>
    </w:p>
    <w:p>
      <w:pPr>
        <w:pStyle w:val="BookText"/>
      </w:pPr>
      <w:r>
        <w:rPr>
          <w:rFonts w:ascii="IRNazanin" w:hAnsi="IRNazanin" w:eastAsia="IRNazanin" w:cs="IRNazanin"/>
          <w:lang w:bidi="fa-IR"/>
          <w:color w:val="111111"/>
          <w:sz w:val="28"/>
          <w:szCs w:val="28"/>
          <w:rtl/>
        </w:rPr>
        <w:t xml:space="preserve">ص 713 .</w:t>
      </w:r>
    </w:p>
    <w:p>
      <w:pPr>
        <w:pStyle w:val="BookText"/>
      </w:pPr>
      <w:r>
        <w:rPr>
          <w:rFonts w:ascii="Amiri" w:hAnsi="Amiri" w:eastAsia="Amiri" w:cs="Amiri"/>
          <w:lang w:bidi="ar-SA"/>
          <w:color w:val="111111"/>
          <w:sz w:val="28"/>
          <w:szCs w:val="28"/>
          <w:rtl/>
        </w:rPr>
        <w:t xml:space="preserve">15 .رسالة، ج8، ص 156.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.سر الاسرار، ج8، ص 746.</w:t>
      </w:r>
    </w:p>
    <w:p>
      <w:pPr>
        <w:pStyle w:val="BookText"/>
      </w:pPr>
      <w:r>
        <w:rPr>
          <w:rFonts w:ascii="Amiri" w:hAnsi="Amiri" w:eastAsia="Amiri" w:cs="Amiri"/>
          <w:lang w:bidi="ar-SA"/>
          <w:color w:val="111111"/>
          <w:sz w:val="28"/>
          <w:szCs w:val="28"/>
          <w:rtl/>
        </w:rPr>
        <w:t xml:space="preserve">17 .شروط الصلاة، ج 10، ص 360 .</w:t>
      </w:r>
    </w:p>
    <w:p>
      <w:pPr>
        <w:pStyle w:val="BookText"/>
      </w:pPr>
      <w:r>
        <w:rPr>
          <w:rFonts w:ascii="Amiri" w:hAnsi="Amiri" w:eastAsia="Amiri" w:cs="Amiri"/>
          <w:lang w:bidi="ar-SA"/>
          <w:color w:val="111111"/>
          <w:sz w:val="28"/>
          <w:szCs w:val="28"/>
          <w:rtl/>
        </w:rPr>
        <w:t xml:space="preserve">18 .صلوات الشيخ عبد القادر الكيلاني</w:t>
      </w:r>
    </w:p>
    <w:p>
      <w:pPr>
        <w:pStyle w:val="BookText"/>
      </w:pPr>
      <w:r>
        <w:rPr>
          <w:rFonts w:ascii="IRNazanin" w:hAnsi="IRNazanin" w:eastAsia="IRNazanin" w:cs="IRNazanin"/>
          <w:lang w:bidi="fa-IR"/>
          <w:color w:val="111111"/>
          <w:sz w:val="28"/>
          <w:szCs w:val="28"/>
          <w:rtl/>
        </w:rPr>
        <w:t xml:space="preserve">ج 10، ص 628.</w:t>
      </w:r>
    </w:p>
    <w:p>
      <w:pPr>
        <w:pStyle w:val="BookText"/>
      </w:pPr>
      <w:r>
        <w:rPr>
          <w:rFonts w:ascii="Amiri" w:hAnsi="Amiri" w:eastAsia="Amiri" w:cs="Amiri"/>
          <w:lang w:bidi="ar-SA"/>
          <w:color w:val="111111"/>
          <w:sz w:val="28"/>
          <w:szCs w:val="28"/>
          <w:rtl/>
        </w:rPr>
        <w:t xml:space="preserve">19 .الصلوات المباركة، ج 10، ص 630 .</w:t>
      </w:r>
    </w:p>
    <w:p>
      <w:pPr>
        <w:pStyle w:val="BookText"/>
      </w:pPr>
      <w:r>
        <w:rPr>
          <w:rFonts w:ascii="Amiri" w:hAnsi="Amiri" w:eastAsia="Amiri" w:cs="Amiri"/>
          <w:lang w:bidi="ar-SA"/>
          <w:color w:val="111111"/>
          <w:sz w:val="28"/>
          <w:szCs w:val="28"/>
          <w:rtl/>
        </w:rPr>
        <w:t xml:space="preserve">20 .عقيدة الامامة (رسالة في)، ج11،</w:t>
      </w:r>
    </w:p>
    <w:p>
      <w:pPr>
        <w:pStyle w:val="BookText"/>
      </w:pPr>
      <w:r>
        <w:rPr>
          <w:rFonts w:ascii="IRNazanin" w:hAnsi="IRNazanin" w:eastAsia="IRNazanin" w:cs="IRNazanin"/>
          <w:lang w:bidi="fa-IR"/>
          <w:color w:val="111111"/>
          <w:sz w:val="28"/>
          <w:szCs w:val="28"/>
          <w:rtl/>
        </w:rPr>
        <w:t xml:space="preserve">ص198.</w:t>
      </w:r>
    </w:p>
    <w:p>
      <w:pPr>
        <w:pStyle w:val="BookText"/>
      </w:pPr>
      <w:r>
        <w:rPr>
          <w:rFonts w:ascii="Amiri" w:hAnsi="Amiri" w:eastAsia="Amiri" w:cs="Amiri"/>
          <w:lang w:bidi="ar-SA"/>
          <w:color w:val="111111"/>
          <w:sz w:val="28"/>
          <w:szCs w:val="28"/>
          <w:rtl/>
        </w:rPr>
        <w:t xml:space="preserve">21 .عهد الشيخ عبدالقادر الكيلاني</w:t>
      </w:r>
    </w:p>
    <w:p>
      <w:pPr>
        <w:pStyle w:val="BookText"/>
      </w:pPr>
      <w:r>
        <w:rPr>
          <w:rFonts w:ascii="IRNazanin" w:hAnsi="IRNazanin" w:eastAsia="IRNazanin" w:cs="IRNazanin"/>
          <w:lang w:bidi="fa-IR"/>
          <w:color w:val="111111"/>
          <w:sz w:val="28"/>
          <w:szCs w:val="28"/>
          <w:rtl/>
        </w:rPr>
        <w:t xml:space="preserve">ج 11، ص 343.</w:t>
      </w:r>
    </w:p>
    <w:p>
      <w:pPr>
        <w:pStyle w:val="BookText"/>
      </w:pPr>
      <w:r>
        <w:rPr>
          <w:rFonts w:ascii="Amiri" w:hAnsi="Amiri" w:eastAsia="Amiri" w:cs="Amiri"/>
          <w:lang w:bidi="ar-SA"/>
          <w:color w:val="111111"/>
          <w:sz w:val="28"/>
          <w:szCs w:val="28"/>
          <w:rtl/>
        </w:rPr>
        <w:t xml:space="preserve">22 .غاشية الاولياء، ج11، ص 422.</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الغنيه لطالب تجريد الحق = غنية</w:t>
      </w:r>
    </w:p>
    <w:p>
      <w:pPr>
        <w:pStyle w:val="BookText"/>
      </w:pPr>
      <w:r>
        <w:rPr>
          <w:rFonts w:ascii="Amiri" w:hAnsi="Amiri" w:eastAsia="Amiri" w:cs="Amiri"/>
          <w:lang w:bidi="ar-SA"/>
          <w:color w:val="111111"/>
          <w:sz w:val="28"/>
          <w:szCs w:val="28"/>
          <w:rtl/>
        </w:rPr>
        <w:t xml:space="preserve">الطالبين لطريق الحق، ج11،</w:t>
      </w:r>
    </w:p>
    <w:p>
      <w:pPr>
        <w:pStyle w:val="BookText"/>
      </w:pPr>
      <w:r>
        <w:rPr>
          <w:rFonts w:ascii="IRNazanin" w:hAnsi="IRNazanin" w:eastAsia="IRNazanin" w:cs="IRNazanin"/>
          <w:lang w:bidi="fa-IR"/>
          <w:color w:val="111111"/>
          <w:sz w:val="28"/>
          <w:szCs w:val="28"/>
          <w:rtl/>
        </w:rPr>
        <w:t xml:space="preserve">ص 539.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الغوثية = الرسالة الغوثية</w:t>
      </w:r>
    </w:p>
    <w:p>
      <w:pPr>
        <w:pStyle w:val="BookText"/>
      </w:pPr>
      <w:r>
        <w:rPr>
          <w:rFonts w:ascii="IRNazanin" w:hAnsi="IRNazanin" w:eastAsia="IRNazanin" w:cs="IRNazanin"/>
          <w:lang w:bidi="fa-IR"/>
          <w:color w:val="111111"/>
          <w:sz w:val="28"/>
          <w:szCs w:val="28"/>
          <w:rtl/>
        </w:rPr>
        <w:t xml:space="preserve">الواردات، ج 11 ، ص 542 .</w:t>
      </w:r>
    </w:p>
    <w:p>
      <w:pPr>
        <w:pStyle w:val="BookText"/>
      </w:pPr>
      <w:r>
        <w:rPr>
          <w:rFonts w:ascii="Amiri" w:hAnsi="Amiri" w:eastAsia="Amiri" w:cs="Amiri"/>
          <w:lang w:bidi="ar-SA"/>
          <w:color w:val="111111"/>
          <w:sz w:val="28"/>
          <w:szCs w:val="28"/>
          <w:rtl/>
        </w:rPr>
        <w:t xml:space="preserve">25 .الغوثية - الرسالة الغوثية</w:t>
      </w:r>
    </w:p>
    <w:p>
      <w:pPr>
        <w:pStyle w:val="BookText"/>
      </w:pPr>
      <w:r>
        <w:rPr>
          <w:rFonts w:ascii="Amiri" w:hAnsi="Amiri" w:eastAsia="Amiri" w:cs="Amiri"/>
          <w:lang w:bidi="ar-SA"/>
          <w:color w:val="111111"/>
          <w:sz w:val="28"/>
          <w:szCs w:val="28"/>
          <w:rtl/>
        </w:rPr>
        <w:t xml:space="preserve">القادرية، ج 11، ص 543.</w:t>
      </w:r>
    </w:p>
    <w:p>
      <w:pPr>
        <w:pStyle w:val="BookText"/>
      </w:pPr>
      <w:r>
        <w:rPr>
          <w:rFonts w:ascii="Amiri" w:hAnsi="Amiri" w:eastAsia="Amiri" w:cs="Amiri"/>
          <w:lang w:bidi="ar-SA"/>
          <w:color w:val="111111"/>
          <w:sz w:val="28"/>
          <w:szCs w:val="28"/>
          <w:rtl/>
        </w:rPr>
        <w:t xml:space="preserve">26 .فتوح الغيب، ج 11، ص 713.</w:t>
      </w:r>
    </w:p>
    <w:p>
      <w:pPr>
        <w:pStyle w:val="BookText"/>
      </w:pPr>
      <w:r>
        <w:rPr>
          <w:rFonts w:ascii="Amiri" w:hAnsi="Amiri" w:eastAsia="Amiri" w:cs="Amiri"/>
          <w:lang w:bidi="ar-SA"/>
          <w:color w:val="111111"/>
          <w:sz w:val="28"/>
          <w:szCs w:val="28"/>
          <w:rtl/>
        </w:rPr>
        <w:t xml:space="preserve">27 .الفيوضات الربانية في الاوراد القادرية، ج 12، ص320.</w:t>
      </w:r>
    </w:p>
    <w:p>
      <w:pPr>
        <w:pStyle w:val="BookText"/>
      </w:pPr>
      <w:r>
        <w:rPr>
          <w:rFonts w:ascii="Amiri" w:hAnsi="Amiri" w:eastAsia="Amiri" w:cs="Amiri"/>
          <w:lang w:bidi="ar-SA"/>
          <w:color w:val="111111"/>
          <w:sz w:val="28"/>
          <w:szCs w:val="28"/>
          <w:rtl/>
        </w:rPr>
        <w:t xml:space="preserve">28 .القصيدة التصوفية، ج 12، ص 662.</w:t>
      </w:r>
    </w:p>
    <w:p>
      <w:pPr>
        <w:pStyle w:val="BookText"/>
      </w:pPr>
      <w:r>
        <w:rPr>
          <w:rFonts w:ascii="Amiri" w:hAnsi="Amiri" w:eastAsia="Amiri" w:cs="Amiri"/>
          <w:lang w:bidi="ar-SA"/>
          <w:color w:val="111111"/>
          <w:sz w:val="28"/>
          <w:szCs w:val="28"/>
          <w:rtl/>
        </w:rPr>
        <w:t xml:space="preserve">29 .القصيدة الغوثية = القادرية = الخمرية = قصيدة لامية، ج 12،</w:t>
      </w:r>
    </w:p>
    <w:p>
      <w:pPr>
        <w:pStyle w:val="BookText"/>
      </w:pPr>
      <w:r>
        <w:rPr>
          <w:rFonts w:ascii="IRNazanin" w:hAnsi="IRNazanin" w:eastAsia="IRNazanin" w:cs="IRNazanin"/>
          <w:lang w:bidi="fa-IR"/>
          <w:color w:val="111111"/>
          <w:sz w:val="28"/>
          <w:szCs w:val="28"/>
          <w:rtl/>
        </w:rPr>
        <w:t xml:space="preserve">ص 688 .</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30 .الكهف و الرقيم في شرح «بسم الرحمن الرحيم»، ج 13، ص 448.</w:t>
      </w:r>
    </w:p>
    <w:p>
      <w:pPr>
        <w:pStyle w:val="BookText"/>
      </w:pPr>
      <w:r>
        <w:rPr>
          <w:rFonts w:ascii="Amiri" w:hAnsi="Amiri" w:eastAsia="Amiri" w:cs="Amiri"/>
          <w:lang w:bidi="ar-SA"/>
          <w:color w:val="111111"/>
          <w:sz w:val="28"/>
          <w:szCs w:val="28"/>
          <w:rtl/>
        </w:rPr>
        <w:t xml:space="preserve">31 .كيمياء السعادة لمن اراد الحسنى</w:t>
      </w:r>
    </w:p>
    <w:p>
      <w:pPr>
        <w:pStyle w:val="BookText"/>
      </w:pPr>
      <w:r>
        <w:rPr>
          <w:rFonts w:ascii="Amiri" w:hAnsi="Amiri" w:eastAsia="Amiri" w:cs="Amiri"/>
          <w:lang w:bidi="ar-SA"/>
          <w:color w:val="111111"/>
          <w:sz w:val="28"/>
          <w:szCs w:val="28"/>
          <w:rtl/>
        </w:rPr>
        <w:t xml:space="preserve">و زيادة، ج 13، ص 490.</w:t>
      </w:r>
    </w:p>
    <w:p>
      <w:pPr>
        <w:pStyle w:val="BookText"/>
      </w:pPr>
      <w:r>
        <w:rPr>
          <w:rFonts w:ascii="Amiri" w:hAnsi="Amiri" w:eastAsia="Amiri" w:cs="Amiri"/>
          <w:lang w:bidi="ar-SA"/>
          <w:color w:val="111111"/>
          <w:sz w:val="28"/>
          <w:szCs w:val="28"/>
          <w:rtl/>
        </w:rPr>
        <w:t xml:space="preserve">32 .مجموعة الخطب، ج 14، ص 28.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المحكم المربوط فيما يلزم اهل</w:t>
      </w:r>
    </w:p>
    <w:p>
      <w:pPr>
        <w:pStyle w:val="BookText"/>
      </w:pPr>
      <w:r>
        <w:rPr>
          <w:rFonts w:ascii="Amiri" w:hAnsi="Amiri" w:eastAsia="Amiri" w:cs="Amiri"/>
          <w:lang w:bidi="ar-SA"/>
          <w:color w:val="111111"/>
          <w:sz w:val="28"/>
          <w:szCs w:val="28"/>
          <w:rtl/>
        </w:rPr>
        <w:t xml:space="preserve">طريق الله من الشروط، ج 14،</w:t>
      </w:r>
    </w:p>
    <w:p>
      <w:pPr>
        <w:pStyle w:val="BookText"/>
      </w:pPr>
      <w:r>
        <w:rPr>
          <w:rFonts w:ascii="IRNazanin" w:hAnsi="IRNazanin" w:eastAsia="IRNazanin" w:cs="IRNazanin"/>
          <w:lang w:bidi="fa-IR"/>
          <w:color w:val="111111"/>
          <w:sz w:val="28"/>
          <w:szCs w:val="28"/>
          <w:rtl/>
        </w:rPr>
        <w:t xml:space="preserve">ص 130.</w:t>
      </w:r>
    </w:p>
    <w:p>
      <w:pPr>
        <w:pStyle w:val="BookText"/>
      </w:pPr>
      <w:r>
        <w:rPr>
          <w:rFonts w:ascii="Amiri" w:hAnsi="Amiri" w:eastAsia="Amiri" w:cs="Amiri"/>
          <w:lang w:bidi="ar-SA"/>
          <w:color w:val="111111"/>
          <w:sz w:val="28"/>
          <w:szCs w:val="28"/>
          <w:rtl/>
        </w:rPr>
        <w:t xml:space="preserve">34 .مختصر في علم الدين ج 14</w:t>
      </w:r>
    </w:p>
    <w:p>
      <w:pPr>
        <w:pStyle w:val="BookText"/>
      </w:pPr>
      <w:r>
        <w:rPr>
          <w:rFonts w:ascii="Amiri" w:hAnsi="Amiri" w:eastAsia="Amiri" w:cs="Amiri"/>
          <w:lang w:bidi="ar-SA"/>
          <w:color w:val="111111"/>
          <w:sz w:val="28"/>
          <w:szCs w:val="28"/>
          <w:rtl/>
        </w:rPr>
        <w:t xml:space="preserve">35 .مكاتبات، ج 15، ص 401.</w:t>
      </w:r>
    </w:p>
    <w:p>
      <w:pPr>
        <w:pStyle w:val="BookText"/>
      </w:pPr>
      <w:r>
        <w:rPr>
          <w:rFonts w:ascii="Amiri" w:hAnsi="Amiri" w:eastAsia="Amiri" w:cs="Amiri"/>
          <w:lang w:bidi="ar-SA"/>
          <w:color w:val="111111"/>
          <w:sz w:val="28"/>
          <w:szCs w:val="28"/>
          <w:rtl/>
        </w:rPr>
        <w:t xml:space="preserve">36 .مناجاة عبد القادر الكيلاني، ج 15</w:t>
      </w:r>
    </w:p>
    <w:p>
      <w:pPr>
        <w:pStyle w:val="BookText"/>
      </w:pPr>
      <w:r>
        <w:rPr>
          <w:rFonts w:ascii="IRNazanin" w:hAnsi="IRNazanin" w:eastAsia="IRNazanin" w:cs="IRNazanin"/>
          <w:lang w:bidi="fa-IR"/>
          <w:color w:val="111111"/>
          <w:sz w:val="28"/>
          <w:szCs w:val="28"/>
          <w:rtl/>
        </w:rPr>
        <w:t xml:space="preserve">ص 478 .</w:t>
      </w:r>
    </w:p>
    <w:p>
      <w:pPr>
        <w:pStyle w:val="BookText"/>
      </w:pPr>
      <w:r>
        <w:rPr>
          <w:rFonts w:ascii="Amiri" w:hAnsi="Amiri" w:eastAsia="Amiri" w:cs="Amiri"/>
          <w:lang w:bidi="ar-SA"/>
          <w:color w:val="111111"/>
          <w:sz w:val="28"/>
          <w:szCs w:val="28"/>
          <w:rtl/>
        </w:rPr>
        <w:t xml:space="preserve">37 .الورد القادري، ج 16، ص 761.</w:t>
      </w:r>
    </w:p>
    <w:p>
      <w:pPr>
        <w:pStyle w:val="BookText"/>
      </w:pPr>
      <w:r>
        <w:rPr>
          <w:rFonts w:ascii="IRNazanin" w:hAnsi="IRNazanin" w:eastAsia="IRNazanin" w:cs="IRNazanin"/>
          <w:lang w:bidi="fa-IR"/>
          <w:color w:val="111111"/>
          <w:sz w:val="28"/>
          <w:szCs w:val="28"/>
          <w:rtl/>
        </w:rPr>
        <w:t xml:space="preserve">38 .ورد باسماء الله تعالى، ج 16</w:t>
      </w:r>
    </w:p>
    <w:p>
      <w:pPr>
        <w:pStyle w:val="BookText"/>
      </w:pPr>
      <w:r>
        <w:rPr>
          <w:rFonts w:ascii="IRNazanin" w:hAnsi="IRNazanin" w:eastAsia="IRNazanin" w:cs="IRNazanin"/>
          <w:lang w:bidi="fa-IR"/>
          <w:color w:val="111111"/>
          <w:sz w:val="28"/>
          <w:szCs w:val="28"/>
          <w:rtl/>
        </w:rPr>
        <w:t xml:space="preserve">ص 760 .</w:t>
      </w:r>
    </w:p>
    <w:p>
      <w:pPr>
        <w:pStyle w:val="BookText"/>
      </w:pPr>
      <w:r>
        <w:rPr>
          <w:rFonts w:ascii="Amiri" w:hAnsi="Amiri" w:eastAsia="Amiri" w:cs="Amiri"/>
          <w:lang w:bidi="ar-SA"/>
          <w:color w:val="111111"/>
          <w:sz w:val="28"/>
          <w:szCs w:val="28"/>
          <w:rtl/>
        </w:rPr>
        <w:t xml:space="preserve">39 .وصية عبد القادر، ج 16، ص817</w:t>
      </w:r>
    </w:p>
    <w:p>
      <w:pPr>
        <w:pStyle w:val="BookText"/>
      </w:pPr>
      <w:r>
        <w:rPr>
          <w:rFonts w:ascii="Amiri" w:hAnsi="Amiri" w:eastAsia="Amiri" w:cs="Amiri"/>
          <w:lang w:bidi="ar-SA"/>
          <w:color w:val="111111"/>
          <w:sz w:val="28"/>
          <w:szCs w:val="28"/>
          <w:rtl/>
        </w:rPr>
        <w:t xml:space="preserve">عبد القادر خطيب نبي الله</w:t>
      </w:r>
    </w:p>
    <w:p>
      <w:pPr>
        <w:pStyle w:val="BookText"/>
      </w:pPr>
      <w:r>
        <w:rPr>
          <w:rFonts w:ascii="Amiri" w:hAnsi="Amiri" w:eastAsia="Amiri" w:cs="Amiri"/>
          <w:lang w:bidi="ar-SA"/>
          <w:color w:val="111111"/>
          <w:sz w:val="28"/>
          <w:szCs w:val="28"/>
          <w:rtl/>
        </w:rPr>
        <w:t xml:space="preserve">جرجيس - عبد القادر بن عمر بن جرجيس</w:t>
      </w:r>
    </w:p>
    <w:p>
      <w:pPr>
        <w:pStyle w:val="BookText"/>
      </w:pPr>
      <w:r>
        <w:rPr>
          <w:rFonts w:ascii="Amiri" w:hAnsi="Amiri" w:eastAsia="Amiri" w:cs="Amiri"/>
          <w:lang w:bidi="ar-SA"/>
          <w:color w:val="111111"/>
          <w:sz w:val="28"/>
          <w:szCs w:val="28"/>
          <w:rtl/>
        </w:rPr>
        <w:t xml:space="preserve">عبد القادر رومي- رومي ، عبد القادر</w:t>
      </w:r>
    </w:p>
    <w:p>
      <w:pPr>
        <w:pStyle w:val="BookText"/>
      </w:pPr>
      <w:r>
        <w:rPr>
          <w:rFonts w:ascii="Amiri" w:hAnsi="Amiri" w:eastAsia="Amiri" w:cs="Amiri"/>
          <w:lang w:bidi="ar-SA"/>
          <w:color w:val="111111"/>
          <w:sz w:val="28"/>
          <w:szCs w:val="28"/>
          <w:rtl/>
        </w:rPr>
        <w:t xml:space="preserve">عبد القادر صدقي بغدادي - صدقي</w:t>
      </w:r>
    </w:p>
    <w:p>
      <w:pPr>
        <w:pStyle w:val="BookText"/>
      </w:pPr>
      <w:r>
        <w:rPr>
          <w:rFonts w:ascii="IRNazanin" w:hAnsi="IRNazanin" w:eastAsia="IRNazanin" w:cs="IRNazanin"/>
          <w:lang w:bidi="fa-IR"/>
          <w:color w:val="111111"/>
          <w:sz w:val="28"/>
          <w:szCs w:val="28"/>
          <w:rtl/>
        </w:rPr>
        <w:t xml:space="preserve">عبدالقادر</w:t>
      </w:r>
    </w:p>
    <w:p>
      <w:pPr>
        <w:pStyle w:val="BookText"/>
      </w:pPr>
      <w:r>
        <w:rPr>
          <w:rFonts w:ascii="Amiri" w:hAnsi="Amiri" w:eastAsia="Amiri" w:cs="Amiri"/>
          <w:lang w:bidi="ar-SA"/>
          <w:color w:val="111111"/>
          <w:sz w:val="28"/>
          <w:szCs w:val="28"/>
          <w:rtl/>
        </w:rPr>
        <w:t xml:space="preserve">عبد القادر صدقي -صدقي ، عبد القادر</w:t>
      </w:r>
    </w:p>
    <w:p>
      <w:pPr>
        <w:pStyle w:val="BookText"/>
      </w:pPr>
      <w:r>
        <w:rPr>
          <w:rFonts w:ascii="Amiri" w:hAnsi="Amiri" w:eastAsia="Amiri" w:cs="Amiri"/>
          <w:lang w:bidi="ar-SA"/>
          <w:color w:val="111111"/>
          <w:sz w:val="28"/>
          <w:szCs w:val="28"/>
          <w:rtl/>
        </w:rPr>
        <w:t xml:space="preserve">عبد القادر صفائي موصلي -صفائي موصلي ،</w:t>
      </w:r>
    </w:p>
    <w:p>
      <w:pPr>
        <w:pStyle w:val="BookText"/>
      </w:pPr>
      <w:r>
        <w:rPr>
          <w:rFonts w:ascii="IRNazanin" w:hAnsi="IRNazanin" w:eastAsia="IRNazanin" w:cs="IRNazanin"/>
          <w:lang w:bidi="fa-IR"/>
          <w:color w:val="111111"/>
          <w:sz w:val="28"/>
          <w:szCs w:val="28"/>
          <w:rtl/>
        </w:rPr>
        <w:t xml:space="preserve">عبدالقادر</w:t>
      </w:r>
    </w:p>
    <w:p>
      <w:pPr>
        <w:pStyle w:val="BookText"/>
      </w:pPr>
      <w:r>
        <w:rPr>
          <w:rFonts w:ascii="Amiri" w:hAnsi="Amiri" w:eastAsia="Amiri" w:cs="Amiri"/>
          <w:lang w:bidi="ar-SA"/>
          <w:color w:val="111111"/>
          <w:sz w:val="28"/>
          <w:szCs w:val="28"/>
          <w:rtl/>
        </w:rPr>
        <w:t xml:space="preserve">عبد القادر طبري - طبري ، عبد القادر</w:t>
      </w:r>
    </w:p>
    <w:p>
      <w:pPr>
        <w:pStyle w:val="BookText"/>
      </w:pPr>
      <w:r>
        <w:rPr>
          <w:rFonts w:ascii="IRNazanin" w:hAnsi="IRNazanin" w:eastAsia="IRNazanin" w:cs="IRNazanin"/>
          <w:lang w:bidi="fa-IR"/>
          <w:color w:val="111111"/>
          <w:sz w:val="28"/>
          <w:szCs w:val="28"/>
          <w:rtl/>
        </w:rPr>
        <w:t xml:space="preserve">عبد القادر گيلاني ، عبد القادر بن موسى-</w:t>
      </w:r>
    </w:p>
    <w:p>
      <w:pPr>
        <w:pStyle w:val="BookText"/>
      </w:pPr>
      <w:r>
        <w:rPr>
          <w:rFonts w:ascii="Amiri" w:hAnsi="Amiri" w:eastAsia="Amiri" w:cs="Amiri"/>
          <w:lang w:bidi="ar-SA"/>
          <w:color w:val="111111"/>
          <w:sz w:val="28"/>
          <w:szCs w:val="28"/>
          <w:rtl/>
        </w:rPr>
        <w:t xml:space="preserve">عبد القادر جيلاني ، عبد القادر بن</w:t>
      </w:r>
    </w:p>
    <w:p>
      <w:pPr>
        <w:pStyle w:val="BookText"/>
      </w:pPr>
      <w:r>
        <w:rPr>
          <w:rFonts w:ascii="IRNazanin" w:hAnsi="IRNazanin" w:eastAsia="IRNazanin" w:cs="IRNazanin"/>
          <w:lang w:bidi="fa-IR"/>
          <w:color w:val="111111"/>
          <w:sz w:val="28"/>
          <w:szCs w:val="28"/>
          <w:rtl/>
        </w:rPr>
        <w:t xml:space="preserve">موسى</w:t>
      </w:r>
    </w:p>
    <w:p>
      <w:pPr>
        <w:pStyle w:val="BookText"/>
      </w:pPr>
      <w:r>
        <w:rPr>
          <w:rFonts w:ascii="Amiri" w:hAnsi="Amiri" w:eastAsia="Amiri" w:cs="Amiri"/>
          <w:lang w:bidi="ar-SA"/>
          <w:color w:val="111111"/>
          <w:sz w:val="28"/>
          <w:szCs w:val="28"/>
          <w:rtl/>
        </w:rPr>
        <w:t xml:space="preserve">عبد القاهر بن طاهر بغدادي اسفرايني- بغدادي ، عبد القاهر بن طاهر</w:t>
      </w:r>
    </w:p>
    <w:p>
      <w:pPr>
        <w:pStyle w:val="BookText"/>
      </w:pPr>
      <w:r>
        <w:rPr>
          <w:rFonts w:ascii="IRNazanin" w:hAnsi="IRNazanin" w:eastAsia="IRNazanin" w:cs="IRNazanin"/>
          <w:lang w:bidi="fa-IR"/>
          <w:color w:val="111111"/>
          <w:sz w:val="28"/>
          <w:szCs w:val="28"/>
          <w:rtl/>
        </w:rPr>
        <w:t xml:space="preserve">عبد القاهر بن عبد الرحمن</w:t>
      </w:r>
    </w:p>
    <w:p>
      <w:pPr>
        <w:pStyle w:val="BookText"/>
      </w:pPr>
      <w:r>
        <w:rPr>
          <w:rFonts w:ascii="Amiri" w:hAnsi="Amiri" w:eastAsia="Amiri" w:cs="Amiri"/>
          <w:lang w:bidi="ar-SA"/>
          <w:color w:val="111111"/>
          <w:sz w:val="28"/>
          <w:szCs w:val="28"/>
          <w:rtl/>
        </w:rPr>
        <w:t xml:space="preserve">جرجاني -جرجاني ، عبد القاهر بن عبدالرحمن</w:t>
      </w:r>
    </w:p>
    <w:p>
      <w:pPr>
        <w:pStyle w:val="BookText"/>
      </w:pPr>
      <w:r>
        <w:rPr>
          <w:rFonts w:ascii="IRNazanin" w:hAnsi="IRNazanin" w:eastAsia="IRNazanin" w:cs="IRNazanin"/>
          <w:lang w:bidi="fa-IR"/>
          <w:color w:val="111111"/>
          <w:sz w:val="28"/>
          <w:szCs w:val="28"/>
          <w:rtl/>
        </w:rPr>
        <w:t xml:space="preserve">عبد القاهر بن عبدالله</w:t>
      </w:r>
    </w:p>
    <w:p>
      <w:pPr>
        <w:pStyle w:val="BookText"/>
      </w:pPr>
      <w:r>
        <w:rPr>
          <w:rFonts w:ascii="Amiri" w:hAnsi="Amiri" w:eastAsia="Amiri" w:cs="Amiri"/>
          <w:lang w:bidi="ar-SA"/>
          <w:color w:val="111111"/>
          <w:sz w:val="28"/>
          <w:szCs w:val="28"/>
          <w:rtl/>
        </w:rPr>
        <w:t xml:space="preserve">سهروردي - سهروردي ، عبد القاهر بن عبدالله</w:t>
      </w:r>
    </w:p>
    <w:p>
      <w:pPr>
        <w:pStyle w:val="BookText"/>
      </w:pPr>
      <w:r>
        <w:rPr>
          <w:rFonts w:ascii="Amiri" w:hAnsi="Amiri" w:eastAsia="Amiri" w:cs="Amiri"/>
          <w:lang w:bidi="ar-SA"/>
          <w:color w:val="111111"/>
          <w:sz w:val="28"/>
          <w:szCs w:val="28"/>
          <w:rtl/>
        </w:rPr>
        <w:t xml:space="preserve">عبد الكاظم بن عبد العلي كيلاني تنكابني- تنكابني ، عبد الكاظم بن عبدالعلي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45" w:name="pg7742_70741"/>
    <w:bookmarkEnd w:id="745"/>
    <w:p>
      <w:pPr>
        <w:pStyle w:val="BookText"/>
      </w:pPr>
      <w:r>
        <w:rPr>
          <w:rFonts w:ascii="Amiri" w:hAnsi="Amiri" w:eastAsia="Amiri" w:cs="Amiri"/>
          <w:lang w:bidi="ar-SA"/>
          <w:color w:val="111111"/>
          <w:sz w:val="28"/>
          <w:szCs w:val="28"/>
          <w:rtl/>
        </w:rPr>
        <w:t xml:space="preserve">عبد الكريم المدرس -مدرس ، عبد الكريم</w:t>
      </w:r>
    </w:p>
    <w:p>
      <w:pPr>
        <w:pStyle w:val="BookText"/>
      </w:pPr>
      <w:r>
        <w:rPr>
          <w:rFonts w:ascii="Amiri" w:hAnsi="Amiri" w:eastAsia="Amiri" w:cs="Amiri"/>
          <w:lang w:bidi="ar-SA"/>
          <w:color w:val="111111"/>
          <w:sz w:val="28"/>
          <w:szCs w:val="28"/>
          <w:rtl/>
        </w:rPr>
        <w:t xml:space="preserve">عبد الكريم بن ابراهيم جيلاني- جيلاني ،</w:t>
      </w:r>
    </w:p>
    <w:p>
      <w:pPr>
        <w:pStyle w:val="BookText"/>
      </w:pPr>
      <w:r>
        <w:rPr>
          <w:rFonts w:ascii="Amiri" w:hAnsi="Amiri" w:eastAsia="Amiri" w:cs="Amiri"/>
          <w:lang w:bidi="ar-SA"/>
          <w:color w:val="111111"/>
          <w:sz w:val="28"/>
          <w:szCs w:val="28"/>
          <w:rtl/>
        </w:rPr>
        <w:t xml:space="preserve">عبد الكريم بن ابراهيم</w:t>
      </w:r>
    </w:p>
    <w:p>
      <w:pPr>
        <w:pStyle w:val="BookText"/>
      </w:pPr>
      <w:r>
        <w:rPr>
          <w:rFonts w:ascii="Amiri" w:hAnsi="Amiri" w:eastAsia="Amiri" w:cs="Amiri"/>
          <w:lang w:bidi="ar-SA"/>
          <w:color w:val="111111"/>
          <w:sz w:val="28"/>
          <w:szCs w:val="28"/>
          <w:rtl/>
        </w:rPr>
        <w:t xml:space="preserve">عبد الكريم بن أبي القاسم ايرواني- ايرواني ،</w:t>
      </w:r>
    </w:p>
    <w:p>
      <w:pPr>
        <w:pStyle w:val="BookText"/>
      </w:pPr>
      <w:r>
        <w:rPr>
          <w:rFonts w:ascii="Amiri" w:hAnsi="Amiri" w:eastAsia="Amiri" w:cs="Amiri"/>
          <w:lang w:bidi="ar-SA"/>
          <w:color w:val="111111"/>
          <w:sz w:val="28"/>
          <w:szCs w:val="28"/>
          <w:rtl/>
        </w:rPr>
        <w:t xml:space="preserve">عبد الكريم بن أبي القاسم</w:t>
      </w:r>
    </w:p>
    <w:p>
      <w:pPr>
        <w:pStyle w:val="BookText"/>
      </w:pPr>
      <w:r>
        <w:rPr>
          <w:rFonts w:ascii="Amiri" w:hAnsi="Amiri" w:eastAsia="Amiri" w:cs="Amiri"/>
          <w:lang w:bidi="ar-SA"/>
          <w:color w:val="111111"/>
          <w:sz w:val="28"/>
          <w:szCs w:val="28"/>
          <w:rtl/>
        </w:rPr>
        <w:t xml:space="preserve">عبد الكريم بن احمد حلي (ابن</w:t>
      </w:r>
    </w:p>
    <w:p>
      <w:pPr>
        <w:pStyle w:val="BookText"/>
      </w:pPr>
      <w:r>
        <w:rPr>
          <w:rFonts w:ascii="Amiri" w:hAnsi="Amiri" w:eastAsia="Amiri" w:cs="Amiri"/>
          <w:lang w:bidi="ar-SA"/>
          <w:color w:val="111111"/>
          <w:sz w:val="28"/>
          <w:szCs w:val="28"/>
          <w:rtl/>
        </w:rPr>
        <w:t xml:space="preserve">طاووس) -ابن طاوس ، عبدالكريم بن احمد</w:t>
      </w:r>
    </w:p>
    <w:p>
      <w:pPr>
        <w:pStyle w:val="BookText"/>
      </w:pPr>
      <w:r>
        <w:rPr>
          <w:rFonts w:ascii="Amiri" w:hAnsi="Amiri" w:eastAsia="Amiri" w:cs="Amiri"/>
          <w:lang w:bidi="ar-SA"/>
          <w:color w:val="111111"/>
          <w:sz w:val="28"/>
          <w:szCs w:val="28"/>
          <w:rtl/>
        </w:rPr>
        <w:t xml:space="preserve">عبدالكريم بن حسن حسيني اعرجي كاظمي- اعرجي ، عبدالكريم بن حسن</w:t>
      </w:r>
    </w:p>
    <w:p>
      <w:pPr>
        <w:pStyle w:val="BookText"/>
      </w:pPr>
      <w:r>
        <w:rPr>
          <w:rFonts w:ascii="Amiri" w:hAnsi="Amiri" w:eastAsia="Amiri" w:cs="Amiri"/>
          <w:lang w:bidi="ar-SA"/>
          <w:color w:val="111111"/>
          <w:sz w:val="28"/>
          <w:szCs w:val="28"/>
          <w:rtl/>
        </w:rPr>
        <w:t xml:space="preserve">عبد الكريم بن ضرغام طرائفي- طرائفي</w:t>
      </w:r>
    </w:p>
    <w:p>
      <w:pPr>
        <w:pStyle w:val="BookText"/>
      </w:pPr>
      <w:r>
        <w:rPr>
          <w:rFonts w:ascii="Amiri" w:hAnsi="Amiri" w:eastAsia="Amiri" w:cs="Amiri"/>
          <w:lang w:bidi="ar-SA"/>
          <w:color w:val="111111"/>
          <w:sz w:val="28"/>
          <w:szCs w:val="28"/>
          <w:rtl/>
        </w:rPr>
        <w:t xml:space="preserve">عبدالكريم بن ضرغام</w:t>
      </w:r>
    </w:p>
    <w:p>
      <w:pPr>
        <w:pStyle w:val="BookText"/>
      </w:pPr>
      <w:r>
        <w:rPr>
          <w:rFonts w:ascii="Amiri" w:hAnsi="Amiri" w:eastAsia="Amiri" w:cs="Amiri"/>
          <w:lang w:bidi="ar-SA"/>
          <w:color w:val="111111"/>
          <w:sz w:val="28"/>
          <w:szCs w:val="28"/>
          <w:rtl/>
        </w:rPr>
        <w:t xml:space="preserve">عبد الكريم بن عبدالصمد قطان طبري -قطان ، عبدالكريم بن عبد الصمد</w:t>
      </w:r>
    </w:p>
    <w:p>
      <w:pPr>
        <w:pStyle w:val="BookText"/>
      </w:pPr>
      <w:r>
        <w:rPr>
          <w:rFonts w:ascii="Amiri" w:hAnsi="Amiri" w:eastAsia="Amiri" w:cs="Amiri"/>
          <w:lang w:bidi="ar-SA"/>
          <w:color w:val="111111"/>
          <w:sz w:val="28"/>
          <w:szCs w:val="28"/>
          <w:rtl/>
        </w:rPr>
        <w:t xml:space="preserve">عبد الكريم بن عبدالنور حلبي- حلبي</w:t>
      </w:r>
    </w:p>
    <w:p>
      <w:pPr>
        <w:pStyle w:val="BookText"/>
      </w:pPr>
      <w:r>
        <w:rPr>
          <w:rFonts w:ascii="Amiri" w:hAnsi="Amiri" w:eastAsia="Amiri" w:cs="Amiri"/>
          <w:lang w:bidi="ar-SA"/>
          <w:color w:val="111111"/>
          <w:sz w:val="28"/>
          <w:szCs w:val="28"/>
          <w:rtl/>
        </w:rPr>
        <w:t xml:space="preserve">عبدالكريم بن عبدالنور</w:t>
      </w:r>
    </w:p>
    <w:p>
      <w:pPr>
        <w:pStyle w:val="BookText"/>
      </w:pPr>
      <w:r>
        <w:rPr>
          <w:rFonts w:ascii="Amiri" w:hAnsi="Amiri" w:eastAsia="Amiri" w:cs="Amiri"/>
          <w:lang w:bidi="ar-SA"/>
          <w:color w:val="111111"/>
          <w:sz w:val="28"/>
          <w:szCs w:val="28"/>
          <w:rtl/>
        </w:rPr>
        <w:t xml:space="preserve">عبد الكريم بن عزيز عذاري- عذاري ،</w:t>
      </w:r>
    </w:p>
    <w:p>
      <w:pPr>
        <w:pStyle w:val="BookText"/>
      </w:pPr>
      <w:r>
        <w:rPr>
          <w:rFonts w:ascii="Amiri" w:hAnsi="Amiri" w:eastAsia="Amiri" w:cs="Amiri"/>
          <w:lang w:bidi="ar-SA"/>
          <w:color w:val="111111"/>
          <w:sz w:val="28"/>
          <w:szCs w:val="28"/>
          <w:rtl/>
        </w:rPr>
        <w:t xml:space="preserve">عبدالكريم بن عزيز</w:t>
      </w:r>
    </w:p>
    <w:p>
      <w:pPr>
        <w:pStyle w:val="BookText"/>
      </w:pPr>
      <w:r>
        <w:rPr>
          <w:rFonts w:ascii="Amiri" w:hAnsi="Amiri" w:eastAsia="Amiri" w:cs="Amiri"/>
          <w:lang w:bidi="ar-SA"/>
          <w:color w:val="111111"/>
          <w:sz w:val="28"/>
          <w:szCs w:val="28"/>
          <w:rtl/>
        </w:rPr>
        <w:t xml:space="preserve">عبد الكريم بن علي انصاري عراقي- عراقي</w:t>
      </w:r>
    </w:p>
    <w:p>
      <w:pPr>
        <w:pStyle w:val="BookText"/>
      </w:pPr>
      <w:r>
        <w:rPr>
          <w:rFonts w:ascii="Amiri" w:hAnsi="Amiri" w:eastAsia="Amiri" w:cs="Amiri"/>
          <w:lang w:bidi="ar-SA"/>
          <w:color w:val="111111"/>
          <w:sz w:val="28"/>
          <w:szCs w:val="28"/>
          <w:rtl/>
        </w:rPr>
        <w:t xml:space="preserve">، عبدالكريم بن علي</w:t>
      </w:r>
    </w:p>
    <w:p>
      <w:pPr>
        <w:pStyle w:val="Heading2"/>
      </w:pPr>
      <w:bookmarkStart w:id="5832" w:name="_Toc4934"/>
      <w:r>
        <w:t>عبدالكريم بن فارس</w:t>
      </w:r>
      <w:bookmarkEnd w:id="5832"/>
    </w:p>
    <w:p>
      <w:pPr>
        <w:pStyle w:val="BookText"/>
      </w:pPr>
      <w:r>
        <w:rPr>
          <w:rFonts w:ascii="Amiri" w:hAnsi="Amiri" w:eastAsia="Amiri" w:cs="Amiri"/>
          <w:lang w:bidi="ar-SA"/>
          <w:color w:val="111111"/>
          <w:sz w:val="28"/>
          <w:szCs w:val="28"/>
          <w:rtl/>
        </w:rPr>
        <w:t xml:space="preserve">قصيدة، ج 12 ، ص 641 .</w:t>
      </w:r>
    </w:p>
    <w:p>
      <w:pPr>
        <w:pStyle w:val="BookText"/>
      </w:pPr>
      <w:r>
        <w:rPr>
          <w:rFonts w:ascii="Amiri" w:hAnsi="Amiri" w:eastAsia="Amiri" w:cs="Amiri"/>
          <w:lang w:bidi="ar-SA"/>
          <w:color w:val="111111"/>
          <w:sz w:val="28"/>
          <w:szCs w:val="28"/>
          <w:rtl/>
        </w:rPr>
        <w:t xml:space="preserve">عبد الكريم بن محب الدين قطبي- قطبي</w:t>
      </w:r>
    </w:p>
    <w:p>
      <w:pPr>
        <w:pStyle w:val="BookText"/>
      </w:pPr>
      <w:r>
        <w:rPr>
          <w:rFonts w:ascii="Amiri" w:hAnsi="Amiri" w:eastAsia="Amiri" w:cs="Amiri"/>
          <w:lang w:bidi="ar-SA"/>
          <w:color w:val="111111"/>
          <w:sz w:val="28"/>
          <w:szCs w:val="28"/>
          <w:rtl/>
        </w:rPr>
        <w:t xml:space="preserve">، عبدالكريم بن محب الدين</w:t>
      </w:r>
    </w:p>
    <w:p>
      <w:pPr>
        <w:pStyle w:val="BookText"/>
      </w:pPr>
      <w:r>
        <w:rPr>
          <w:rFonts w:ascii="Amiri" w:hAnsi="Amiri" w:eastAsia="Amiri" w:cs="Amiri"/>
          <w:lang w:bidi="ar-SA"/>
          <w:color w:val="111111"/>
          <w:sz w:val="28"/>
          <w:szCs w:val="28"/>
          <w:rtl/>
        </w:rPr>
        <w:t xml:space="preserve">عبد الكريم بن محمّد جعفر مهرجردي</w:t>
      </w:r>
    </w:p>
    <w:p>
      <w:pPr>
        <w:pStyle w:val="BookText"/>
      </w:pPr>
      <w:r>
        <w:rPr>
          <w:rFonts w:ascii="Amiri" w:hAnsi="Amiri" w:eastAsia="Amiri" w:cs="Amiri"/>
          <w:lang w:bidi="ar-SA"/>
          <w:color w:val="111111"/>
          <w:sz w:val="28"/>
          <w:szCs w:val="28"/>
          <w:rtl/>
        </w:rPr>
        <w:t xml:space="preserve">يزدي -يزدي ، عبدالكريم بن محمّد جعفر</w:t>
      </w:r>
    </w:p>
    <w:p>
      <w:pPr>
        <w:pStyle w:val="BookText"/>
      </w:pPr>
      <w:r>
        <w:rPr>
          <w:rFonts w:ascii="Amiri" w:hAnsi="Amiri" w:eastAsia="Amiri" w:cs="Amiri"/>
          <w:lang w:bidi="ar-SA"/>
          <w:color w:val="111111"/>
          <w:sz w:val="28"/>
          <w:szCs w:val="28"/>
          <w:rtl/>
        </w:rPr>
        <w:t xml:space="preserve">عبد الكريم بن محمّد جواد موسوي جزائري- موسوي جزائري، عبدالكريم بن محمّد جواد</w:t>
      </w:r>
    </w:p>
    <w:p>
      <w:pPr>
        <w:pStyle w:val="BookText"/>
      </w:pPr>
      <w:r>
        <w:rPr>
          <w:rFonts w:ascii="Amiri" w:hAnsi="Amiri" w:eastAsia="Amiri" w:cs="Amiri"/>
          <w:lang w:bidi="ar-SA"/>
          <w:color w:val="111111"/>
          <w:sz w:val="28"/>
          <w:szCs w:val="28"/>
          <w:rtl/>
        </w:rPr>
        <w:t xml:space="preserve">عبدالكريم بن محمّد رافعي قزويني- رافعي قزويني ، عبدالكريم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عبد الكريم بن محمّد سكندري دري -دري</w:t>
      </w:r>
    </w:p>
    <w:p>
      <w:pPr>
        <w:pStyle w:val="BookText"/>
      </w:pPr>
      <w:r>
        <w:rPr>
          <w:rFonts w:ascii="Amiri" w:hAnsi="Amiri" w:eastAsia="Amiri" w:cs="Amiri"/>
          <w:lang w:bidi="ar-SA"/>
          <w:color w:val="111111"/>
          <w:sz w:val="28"/>
          <w:szCs w:val="28"/>
          <w:rtl/>
        </w:rPr>
        <w:t xml:space="preserve">، عبدالكريم بن محمّد</w:t>
      </w:r>
    </w:p>
    <w:p>
      <w:pPr>
        <w:pStyle w:val="BookText"/>
      </w:pPr>
      <w:r>
        <w:rPr>
          <w:rFonts w:ascii="Amiri" w:hAnsi="Amiri" w:eastAsia="Amiri" w:cs="Amiri"/>
          <w:lang w:bidi="ar-SA"/>
          <w:color w:val="111111"/>
          <w:sz w:val="28"/>
          <w:szCs w:val="28"/>
          <w:rtl/>
        </w:rPr>
        <w:t xml:space="preserve">عبد الكريم بن محمّد سمعاني مروزي -سمعاني ، عبد الكريم بن محمّد</w:t>
      </w:r>
    </w:p>
    <w:p>
      <w:pPr>
        <w:pStyle w:val="BookText"/>
      </w:pPr>
      <w:r>
        <w:rPr>
          <w:rFonts w:ascii="Amiri" w:hAnsi="Amiri" w:eastAsia="Amiri" w:cs="Amiri"/>
          <w:lang w:bidi="ar-SA"/>
          <w:color w:val="111111"/>
          <w:sz w:val="28"/>
          <w:szCs w:val="28"/>
          <w:rtl/>
        </w:rPr>
        <w:t xml:space="preserve">عبد الكريم بن ملا مهدي -بن ملامهدي ،</w:t>
      </w:r>
    </w:p>
    <w:p>
      <w:pPr>
        <w:pStyle w:val="BookText"/>
      </w:pPr>
      <w:r>
        <w:rPr>
          <w:rFonts w:ascii="Amiri" w:hAnsi="Amiri" w:eastAsia="Amiri" w:cs="Amiri"/>
          <w:lang w:bidi="ar-SA"/>
          <w:color w:val="111111"/>
          <w:sz w:val="28"/>
          <w:szCs w:val="28"/>
          <w:rtl/>
        </w:rPr>
        <w:t xml:space="preserve">عبد الكريم</w:t>
      </w:r>
    </w:p>
    <w:p>
      <w:pPr>
        <w:pStyle w:val="BookText"/>
      </w:pPr>
      <w:r>
        <w:rPr>
          <w:rFonts w:ascii="Amiri" w:hAnsi="Amiri" w:eastAsia="Amiri" w:cs="Amiri"/>
          <w:lang w:bidi="ar-SA"/>
          <w:color w:val="111111"/>
          <w:sz w:val="28"/>
          <w:szCs w:val="28"/>
          <w:rtl/>
        </w:rPr>
        <w:t xml:space="preserve">عبد الكريم بن هوازن نيشابوري قشيري- قشيري ، عبد الكريم بن هوازن</w:t>
      </w:r>
    </w:p>
    <w:p>
      <w:pPr>
        <w:pStyle w:val="BookText"/>
      </w:pPr>
      <w:r>
        <w:rPr>
          <w:rFonts w:ascii="Amiri" w:hAnsi="Amiri" w:eastAsia="Amiri" w:cs="Amiri"/>
          <w:lang w:bidi="ar-SA"/>
          <w:color w:val="111111"/>
          <w:sz w:val="28"/>
          <w:szCs w:val="28"/>
          <w:rtl/>
        </w:rPr>
        <w:t xml:space="preserve">عبد الكريم جيلي- جيلاني ، عبدالكريم بن</w:t>
      </w:r>
    </w:p>
    <w:p>
      <w:pPr>
        <w:pStyle w:val="BookText"/>
      </w:pPr>
      <w:r>
        <w:rPr>
          <w:rFonts w:ascii="IRNazanin" w:hAnsi="IRNazanin" w:eastAsia="IRNazanin" w:cs="IRNazanin"/>
          <w:lang w:bidi="fa-IR"/>
          <w:color w:val="111111"/>
          <w:sz w:val="28"/>
          <w:szCs w:val="28"/>
          <w:rtl/>
        </w:rPr>
        <w:t xml:space="preserve">ابراهیم عبد الكريم محمّد المدرس -مدرس ،</w:t>
      </w:r>
    </w:p>
    <w:p>
      <w:pPr>
        <w:pStyle w:val="BookText"/>
      </w:pPr>
      <w:r>
        <w:rPr>
          <w:rFonts w:ascii="Amiri" w:hAnsi="Amiri" w:eastAsia="Amiri" w:cs="Amiri"/>
          <w:lang w:bidi="ar-SA"/>
          <w:color w:val="111111"/>
          <w:sz w:val="28"/>
          <w:szCs w:val="28"/>
          <w:rtl/>
        </w:rPr>
        <w:t xml:space="preserve">عبد الكريم</w:t>
      </w:r>
    </w:p>
    <w:p>
      <w:pPr>
        <w:pStyle w:val="Heading2"/>
      </w:pPr>
      <w:bookmarkStart w:id="5833" w:name="_Toc4935"/>
      <w:r>
        <w:t>عبد اللطيف</w:t>
      </w:r>
      <w:bookmarkEnd w:id="5833"/>
    </w:p>
    <w:p>
      <w:pPr>
        <w:pStyle w:val="BookText"/>
      </w:pPr>
      <w:r>
        <w:rPr>
          <w:rFonts w:ascii="Amiri" w:hAnsi="Amiri" w:eastAsia="Amiri" w:cs="Amiri"/>
          <w:lang w:bidi="ar-SA"/>
          <w:color w:val="111111"/>
          <w:sz w:val="28"/>
          <w:szCs w:val="28"/>
          <w:rtl/>
        </w:rPr>
        <w:t xml:space="preserve">حاشية عبد اللطيف، ج 6، ص 227.</w:t>
      </w:r>
    </w:p>
    <w:p>
      <w:pPr>
        <w:pStyle w:val="Heading2"/>
      </w:pPr>
      <w:bookmarkStart w:id="5834" w:name="_Toc4936"/>
      <w:r>
        <w:t>عبداللطيف بغدادي ، عبداللطيف بن</w:t>
      </w:r>
      <w:bookmarkEnd w:id="5834"/>
    </w:p>
    <w:p>
      <w:pPr>
        <w:pStyle w:val="BookText"/>
      </w:pPr>
      <w:r>
        <w:rPr>
          <w:rFonts w:ascii="IRNazanin" w:hAnsi="IRNazanin" w:eastAsia="IRNazanin" w:cs="IRNazanin"/>
          <w:lang w:bidi="fa-IR"/>
          <w:color w:val="111111"/>
          <w:sz w:val="28"/>
          <w:szCs w:val="28"/>
          <w:rtl/>
        </w:rPr>
        <w:t xml:space="preserve">،یوسف، 557 - 629 ه-</w:t>
      </w:r>
    </w:p>
    <w:p>
      <w:pPr>
        <w:pStyle w:val="BookText"/>
      </w:pPr>
      <w:r>
        <w:rPr>
          <w:rFonts w:ascii="Amiri" w:hAnsi="Amiri" w:eastAsia="Amiri" w:cs="Amiri"/>
          <w:lang w:bidi="ar-SA"/>
          <w:color w:val="111111"/>
          <w:sz w:val="28"/>
          <w:szCs w:val="28"/>
          <w:rtl/>
        </w:rPr>
        <w:t xml:space="preserve">المجرد في غريب الحديث، ج 13،</w:t>
      </w:r>
    </w:p>
    <w:p>
      <w:pPr>
        <w:pStyle w:val="BookText"/>
      </w:pPr>
      <w:r>
        <w:rPr>
          <w:rFonts w:ascii="IRNazanin" w:hAnsi="IRNazanin" w:eastAsia="IRNazanin" w:cs="IRNazanin"/>
          <w:lang w:bidi="fa-IR"/>
          <w:color w:val="111111"/>
          <w:sz w:val="28"/>
          <w:szCs w:val="28"/>
          <w:rtl/>
        </w:rPr>
        <w:t xml:space="preserve">ص 815</w:t>
      </w:r>
    </w:p>
    <w:p>
      <w:pPr>
        <w:pStyle w:val="BookText"/>
      </w:pPr>
      <w:r>
        <w:rPr>
          <w:rFonts w:ascii="Amiri" w:hAnsi="Amiri" w:eastAsia="Amiri" w:cs="Amiri"/>
          <w:lang w:bidi="ar-SA"/>
          <w:color w:val="111111"/>
          <w:sz w:val="28"/>
          <w:szCs w:val="28"/>
          <w:rtl/>
        </w:rPr>
        <w:t xml:space="preserve">عبداللطيف بن احمد دمشقي كتبي ازهري -كتبي ، عبداللطيف بن احمد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46" w:name="pg7742_70742"/>
    <w:bookmarkEnd w:id="746"/>
    <w:p>
      <w:pPr>
        <w:pStyle w:val="BookText"/>
      </w:pPr>
      <w:r>
        <w:rPr>
          <w:rFonts w:ascii="Amiri" w:hAnsi="Amiri" w:eastAsia="Amiri" w:cs="Amiri"/>
          <w:lang w:bidi="ar-SA"/>
          <w:color w:val="111111"/>
          <w:sz w:val="28"/>
          <w:szCs w:val="28"/>
          <w:rtl/>
        </w:rPr>
        <w:t xml:space="preserve">عبد اللطيف بن جعفر بن زهره -ابن زهرة</w:t>
      </w:r>
    </w:p>
    <w:p>
      <w:pPr>
        <w:pStyle w:val="BookText"/>
      </w:pPr>
      <w:r>
        <w:rPr>
          <w:rFonts w:ascii="Amiri" w:hAnsi="Amiri" w:eastAsia="Amiri" w:cs="Amiri"/>
          <w:lang w:bidi="ar-SA"/>
          <w:color w:val="111111"/>
          <w:sz w:val="28"/>
          <w:szCs w:val="28"/>
          <w:rtl/>
        </w:rPr>
        <w:t xml:space="preserve">عبداللطيف بن جعفر</w:t>
      </w:r>
    </w:p>
    <w:p>
      <w:pPr>
        <w:pStyle w:val="BookText"/>
      </w:pPr>
      <w:r>
        <w:rPr>
          <w:rFonts w:ascii="Amiri" w:hAnsi="Amiri" w:eastAsia="Amiri" w:cs="Amiri"/>
          <w:lang w:bidi="ar-SA"/>
          <w:color w:val="111111"/>
          <w:sz w:val="28"/>
          <w:szCs w:val="28"/>
          <w:rtl/>
        </w:rPr>
        <w:t xml:space="preserve">عبد اللطيف بن حافظ مفتي زاده -مفتي</w:t>
      </w:r>
    </w:p>
    <w:p>
      <w:pPr>
        <w:pStyle w:val="BookText"/>
      </w:pPr>
      <w:r>
        <w:rPr>
          <w:rFonts w:ascii="Amiri" w:hAnsi="Amiri" w:eastAsia="Amiri" w:cs="Amiri"/>
          <w:lang w:bidi="ar-SA"/>
          <w:color w:val="111111"/>
          <w:sz w:val="28"/>
          <w:szCs w:val="28"/>
          <w:rtl/>
        </w:rPr>
        <w:t xml:space="preserve">زاده ، عبد اللطيف بن حافظ</w:t>
      </w:r>
    </w:p>
    <w:p>
      <w:pPr>
        <w:pStyle w:val="BookText"/>
      </w:pPr>
      <w:r>
        <w:rPr>
          <w:rFonts w:ascii="Amiri" w:hAnsi="Amiri" w:eastAsia="Amiri" w:cs="Amiri"/>
          <w:lang w:bidi="ar-SA"/>
          <w:color w:val="111111"/>
          <w:sz w:val="28"/>
          <w:szCs w:val="28"/>
          <w:rtl/>
        </w:rPr>
        <w:t xml:space="preserve">عبد اللطيف بن شاه حسين</w:t>
      </w:r>
    </w:p>
    <w:p>
      <w:pPr>
        <w:pStyle w:val="BookText"/>
      </w:pPr>
      <w:r>
        <w:rPr>
          <w:rFonts w:ascii="IRNazanin" w:hAnsi="IRNazanin" w:eastAsia="IRNazanin" w:cs="IRNazanin"/>
          <w:lang w:bidi="fa-IR"/>
          <w:color w:val="111111"/>
          <w:sz w:val="28"/>
          <w:szCs w:val="28"/>
          <w:rtl/>
        </w:rPr>
        <w:t xml:space="preserve">عجمي -عجمي ، عبداللطیف شاه حسین</w:t>
      </w:r>
    </w:p>
    <w:p>
      <w:pPr>
        <w:pStyle w:val="BookText"/>
      </w:pPr>
      <w:r>
        <w:rPr>
          <w:rFonts w:ascii="Amiri" w:hAnsi="Amiri" w:eastAsia="Amiri" w:cs="Amiri"/>
          <w:lang w:bidi="ar-SA"/>
          <w:color w:val="111111"/>
          <w:sz w:val="28"/>
          <w:szCs w:val="28"/>
          <w:rtl/>
        </w:rPr>
        <w:t xml:space="preserve">عبد اللطيف بن شرف الدين عشماوي انصاري -عشماوي ، عبد اللطيف بن شرف</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عبد اللطيف بن عبدالرحمن النجدي- نجدي ، عبد اللطيف بن عبدالرحمن</w:t>
      </w:r>
    </w:p>
    <w:p>
      <w:pPr>
        <w:pStyle w:val="BookText"/>
      </w:pPr>
      <w:r>
        <w:rPr>
          <w:rFonts w:ascii="Amiri" w:hAnsi="Amiri" w:eastAsia="Amiri" w:cs="Amiri"/>
          <w:lang w:bidi="ar-SA"/>
          <w:color w:val="111111"/>
          <w:sz w:val="28"/>
          <w:szCs w:val="28"/>
          <w:rtl/>
        </w:rPr>
        <w:t xml:space="preserve">عبد اللطيف بن عبدالرحمن بن</w:t>
      </w:r>
    </w:p>
    <w:p>
      <w:pPr>
        <w:pStyle w:val="BookText"/>
      </w:pPr>
      <w:r>
        <w:rPr>
          <w:rFonts w:ascii="Amiri" w:hAnsi="Amiri" w:eastAsia="Amiri" w:cs="Amiri"/>
          <w:lang w:bidi="ar-SA"/>
          <w:color w:val="111111"/>
          <w:sz w:val="28"/>
          <w:szCs w:val="28"/>
          <w:rtl/>
        </w:rPr>
        <w:t xml:space="preserve">ثنيان- ثنيان ، عبد اللطيف بن عبدالرحمن</w:t>
      </w:r>
    </w:p>
    <w:p>
      <w:pPr>
        <w:pStyle w:val="BookText"/>
      </w:pPr>
      <w:r>
        <w:rPr>
          <w:rFonts w:ascii="Amiri" w:hAnsi="Amiri" w:eastAsia="Amiri" w:cs="Amiri"/>
          <w:lang w:bidi="ar-SA"/>
          <w:color w:val="111111"/>
          <w:sz w:val="28"/>
          <w:szCs w:val="28"/>
          <w:rtl/>
        </w:rPr>
        <w:t xml:space="preserve">عبد اللطيف بن عبدالرحمن بن غانم</w:t>
      </w:r>
    </w:p>
    <w:p>
      <w:pPr>
        <w:pStyle w:val="BookText"/>
      </w:pPr>
      <w:r>
        <w:rPr>
          <w:rFonts w:ascii="Amiri" w:hAnsi="Amiri" w:eastAsia="Amiri" w:cs="Amiri"/>
          <w:lang w:bidi="ar-SA"/>
          <w:color w:val="111111"/>
          <w:sz w:val="28"/>
          <w:szCs w:val="28"/>
          <w:rtl/>
        </w:rPr>
        <w:t xml:space="preserve">مقدسي شافعي- ابن غانم ، عبداللطيف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عبد اللطيف بن عبد الرحيم- برزنجي ،</w:t>
      </w:r>
    </w:p>
    <w:p>
      <w:pPr>
        <w:pStyle w:val="BookText"/>
      </w:pPr>
      <w:r>
        <w:rPr>
          <w:rFonts w:ascii="Amiri" w:hAnsi="Amiri" w:eastAsia="Amiri" w:cs="Amiri"/>
          <w:lang w:bidi="ar-SA"/>
          <w:color w:val="111111"/>
          <w:sz w:val="28"/>
          <w:szCs w:val="28"/>
          <w:rtl/>
        </w:rPr>
        <w:t xml:space="preserve">عبد اللطيف بن عبدالرحيم</w:t>
      </w:r>
    </w:p>
    <w:p>
      <w:pPr>
        <w:pStyle w:val="BookText"/>
      </w:pPr>
      <w:r>
        <w:rPr>
          <w:rFonts w:ascii="Amiri" w:hAnsi="Amiri" w:eastAsia="Amiri" w:cs="Amiri"/>
          <w:lang w:bidi="ar-SA"/>
          <w:color w:val="111111"/>
          <w:sz w:val="28"/>
          <w:szCs w:val="28"/>
          <w:rtl/>
        </w:rPr>
        <w:t xml:space="preserve">عبد اللطيف بن عبدالعزيز ابن</w:t>
      </w:r>
    </w:p>
    <w:p>
      <w:pPr>
        <w:pStyle w:val="BookText"/>
      </w:pPr>
      <w:r>
        <w:rPr>
          <w:rFonts w:ascii="Amiri" w:hAnsi="Amiri" w:eastAsia="Amiri" w:cs="Amiri"/>
          <w:lang w:bidi="ar-SA"/>
          <w:color w:val="111111"/>
          <w:sz w:val="28"/>
          <w:szCs w:val="28"/>
          <w:rtl/>
        </w:rPr>
        <w:t xml:space="preserve">فرشته- ابن فرشته ، عبداللطيف بن</w:t>
      </w:r>
    </w:p>
    <w:p>
      <w:pPr>
        <w:pStyle w:val="BookText"/>
      </w:pPr>
      <w:r>
        <w:rPr>
          <w:rFonts w:ascii="Amiri" w:hAnsi="Amiri" w:eastAsia="Amiri" w:cs="Amiri"/>
          <w:lang w:bidi="ar-SA"/>
          <w:color w:val="111111"/>
          <w:sz w:val="28"/>
          <w:szCs w:val="28"/>
          <w:rtl/>
        </w:rPr>
        <w:t xml:space="preserve">عبد العزيز</w:t>
      </w:r>
    </w:p>
    <w:p>
      <w:pPr>
        <w:pStyle w:val="BookText"/>
      </w:pPr>
      <w:r>
        <w:rPr>
          <w:rFonts w:ascii="Amiri" w:hAnsi="Amiri" w:eastAsia="Amiri" w:cs="Amiri"/>
          <w:lang w:bidi="ar-SA"/>
          <w:color w:val="111111"/>
          <w:sz w:val="28"/>
          <w:szCs w:val="28"/>
          <w:rtl/>
        </w:rPr>
        <w:t xml:space="preserve">عبد اللطيف بن عبد الله كبير عباسي - عباسي</w:t>
      </w:r>
    </w:p>
    <w:p>
      <w:pPr>
        <w:pStyle w:val="BookText"/>
      </w:pPr>
      <w:r>
        <w:rPr>
          <w:rFonts w:ascii="IRNazanin" w:hAnsi="IRNazanin" w:eastAsia="IRNazanin" w:cs="IRNazanin"/>
          <w:lang w:bidi="fa-IR"/>
          <w:color w:val="111111"/>
          <w:sz w:val="28"/>
          <w:szCs w:val="28"/>
          <w:rtl/>
        </w:rPr>
        <w:t xml:space="preserve">گجراتي ، عبداللطيف بن عبدالله</w:t>
      </w:r>
    </w:p>
    <w:p>
      <w:pPr>
        <w:pStyle w:val="BookText"/>
      </w:pPr>
      <w:r>
        <w:rPr>
          <w:rFonts w:ascii="Amiri" w:hAnsi="Amiri" w:eastAsia="Amiri" w:cs="Amiri"/>
          <w:lang w:bidi="ar-SA"/>
          <w:color w:val="111111"/>
          <w:sz w:val="28"/>
          <w:szCs w:val="28"/>
          <w:rtl/>
        </w:rPr>
        <w:t xml:space="preserve">عبد اللطيف بن عبدالله لطيفي قسطموني- لطيفي ، لطف الله بن عبدالله</w:t>
      </w:r>
    </w:p>
    <w:p>
      <w:pPr>
        <w:pStyle w:val="BookText"/>
      </w:pPr>
      <w:r>
        <w:rPr>
          <w:rFonts w:ascii="Amiri" w:hAnsi="Amiri" w:eastAsia="Amiri" w:cs="Amiri"/>
          <w:lang w:bidi="ar-SA"/>
          <w:color w:val="111111"/>
          <w:sz w:val="28"/>
          <w:szCs w:val="28"/>
          <w:rtl/>
        </w:rPr>
        <w:t xml:space="preserve">عبد اللطيف بن عبدالمؤمن احمدي جامي- جامي ، عبداللطيف بن عبدالمؤمن</w:t>
      </w:r>
    </w:p>
    <w:p>
      <w:pPr>
        <w:pStyle w:val="BookText"/>
      </w:pPr>
      <w:r>
        <w:rPr>
          <w:rFonts w:ascii="Amiri" w:hAnsi="Amiri" w:eastAsia="Amiri" w:cs="Amiri"/>
          <w:lang w:bidi="ar-SA"/>
          <w:color w:val="111111"/>
          <w:sz w:val="28"/>
          <w:szCs w:val="28"/>
          <w:rtl/>
        </w:rPr>
        <w:t xml:space="preserve">عبداللطيف بن علي عاملي- عاملي</w:t>
      </w:r>
    </w:p>
    <w:p>
      <w:pPr>
        <w:pStyle w:val="BookText"/>
      </w:pPr>
      <w:r>
        <w:rPr>
          <w:rFonts w:ascii="Amiri" w:hAnsi="Amiri" w:eastAsia="Amiri" w:cs="Amiri"/>
          <w:lang w:bidi="ar-SA"/>
          <w:color w:val="111111"/>
          <w:sz w:val="28"/>
          <w:szCs w:val="28"/>
          <w:rtl/>
        </w:rPr>
        <w:t xml:space="preserve">عبداللطيف بن علي</w:t>
      </w:r>
    </w:p>
    <w:p>
      <w:pPr>
        <w:pStyle w:val="BookText"/>
      </w:pPr>
      <w:r>
        <w:rPr>
          <w:rFonts w:ascii="Amiri" w:hAnsi="Amiri" w:eastAsia="Amiri" w:cs="Amiri"/>
          <w:lang w:bidi="ar-SA"/>
          <w:color w:val="111111"/>
          <w:sz w:val="28"/>
          <w:szCs w:val="28"/>
          <w:rtl/>
        </w:rPr>
        <w:t xml:space="preserve">عبد اللطيف بن علي همداني- عاملي</w:t>
      </w:r>
    </w:p>
    <w:p>
      <w:pPr>
        <w:pStyle w:val="BookText"/>
      </w:pPr>
      <w:r>
        <w:rPr>
          <w:rFonts w:ascii="Amiri" w:hAnsi="Amiri" w:eastAsia="Amiri" w:cs="Amiri"/>
          <w:lang w:bidi="ar-SA"/>
          <w:color w:val="111111"/>
          <w:sz w:val="28"/>
          <w:szCs w:val="28"/>
          <w:rtl/>
        </w:rPr>
        <w:t xml:space="preserve">عبد اللطيف بن علي</w:t>
      </w:r>
    </w:p>
    <w:p>
      <w:pPr>
        <w:pStyle w:val="BookText"/>
      </w:pPr>
      <w:r>
        <w:rPr>
          <w:rFonts w:ascii="Amiri" w:hAnsi="Amiri" w:eastAsia="Amiri" w:cs="Amiri"/>
          <w:lang w:bidi="ar-SA"/>
          <w:color w:val="111111"/>
          <w:sz w:val="28"/>
          <w:szCs w:val="28"/>
          <w:rtl/>
        </w:rPr>
        <w:t xml:space="preserve">عبد اللطيف بن فرشته- ابن فرشته</w:t>
      </w:r>
    </w:p>
    <w:p>
      <w:pPr>
        <w:pStyle w:val="BookText"/>
      </w:pPr>
      <w:r>
        <w:rPr>
          <w:rFonts w:ascii="Amiri" w:hAnsi="Amiri" w:eastAsia="Amiri" w:cs="Amiri"/>
          <w:lang w:bidi="ar-SA"/>
          <w:color w:val="111111"/>
          <w:sz w:val="28"/>
          <w:szCs w:val="28"/>
          <w:rtl/>
        </w:rPr>
        <w:t xml:space="preserve">عبد اللطيف بن عبدالعزيز</w:t>
      </w:r>
    </w:p>
    <w:p>
      <w:pPr>
        <w:pStyle w:val="BookText"/>
      </w:pPr>
      <w:r>
        <w:rPr>
          <w:rFonts w:ascii="Amiri" w:hAnsi="Amiri" w:eastAsia="Amiri" w:cs="Amiri"/>
          <w:lang w:bidi="ar-SA"/>
          <w:color w:val="111111"/>
          <w:sz w:val="28"/>
          <w:szCs w:val="28"/>
          <w:rtl/>
        </w:rPr>
        <w:t xml:space="preserve">عبداللطيف بن محمّد برسوي- غزي زاده</w:t>
      </w:r>
    </w:p>
    <w:p>
      <w:pPr>
        <w:pStyle w:val="BookText"/>
      </w:pPr>
      <w:r>
        <w:rPr>
          <w:rFonts w:ascii="Amiri" w:hAnsi="Amiri" w:eastAsia="Amiri" w:cs="Amiri"/>
          <w:lang w:bidi="ar-SA"/>
          <w:color w:val="111111"/>
          <w:sz w:val="28"/>
          <w:szCs w:val="28"/>
          <w:rtl/>
        </w:rPr>
        <w:t xml:space="preserve">، عبد اللطيف بن محمّد</w:t>
      </w:r>
    </w:p>
    <w:p>
      <w:pPr>
        <w:pStyle w:val="BookText"/>
      </w:pPr>
      <w:r>
        <w:rPr>
          <w:rFonts w:ascii="Amiri" w:hAnsi="Amiri" w:eastAsia="Amiri" w:cs="Amiri"/>
          <w:lang w:bidi="ar-SA"/>
          <w:color w:val="111111"/>
          <w:sz w:val="28"/>
          <w:szCs w:val="28"/>
          <w:rtl/>
        </w:rPr>
        <w:t xml:space="preserve">عبد اللطيف بن نور الدين جامعي- عاملي</w:t>
      </w:r>
    </w:p>
    <w:p>
      <w:pPr>
        <w:pStyle w:val="BookText"/>
      </w:pPr>
      <w:r>
        <w:rPr>
          <w:rFonts w:ascii="Amiri" w:hAnsi="Amiri" w:eastAsia="Amiri" w:cs="Amiri"/>
          <w:lang w:bidi="ar-SA"/>
          <w:color w:val="111111"/>
          <w:sz w:val="28"/>
          <w:szCs w:val="28"/>
          <w:rtl/>
        </w:rPr>
        <w:t xml:space="preserve">عبداللطيف بن علي</w:t>
      </w:r>
    </w:p>
    <w:p>
      <w:pPr>
        <w:pStyle w:val="BookText"/>
      </w:pPr>
      <w:r>
        <w:rPr>
          <w:rFonts w:ascii="Amiri" w:hAnsi="Amiri" w:eastAsia="Amiri" w:cs="Amiri"/>
          <w:lang w:bidi="ar-SA"/>
          <w:color w:val="111111"/>
          <w:sz w:val="28"/>
          <w:szCs w:val="28"/>
          <w:rtl/>
        </w:rPr>
        <w:t xml:space="preserve">عبد اللطيف بن يوسف موصلي بغدادي - عبداللطيف بغدادي ، عبداللطيف</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عبد اللطيف شاه حسين عجمي-عجمي عبداللطيف شاه حسين</w:t>
      </w:r>
    </w:p>
    <w:p>
      <w:pPr>
        <w:pStyle w:val="BookText"/>
      </w:pPr>
      <w:r>
        <w:rPr>
          <w:rFonts w:ascii="IRNazanin" w:hAnsi="IRNazanin" w:eastAsia="IRNazanin" w:cs="IRNazanin"/>
          <w:lang w:bidi="fa-IR"/>
          <w:color w:val="111111"/>
          <w:sz w:val="28"/>
          <w:szCs w:val="28"/>
          <w:rtl/>
        </w:rPr>
        <w:t xml:space="preserve">عبداللطيف عباسي- عباسي گجراتي ،</w:t>
      </w:r>
    </w:p>
    <w:p>
      <w:pPr>
        <w:pStyle w:val="BookText"/>
      </w:pPr>
      <w:r>
        <w:rPr>
          <w:rFonts w:ascii="Amiri" w:hAnsi="Amiri" w:eastAsia="Amiri" w:cs="Amiri"/>
          <w:lang w:bidi="ar-SA"/>
          <w:color w:val="111111"/>
          <w:sz w:val="28"/>
          <w:szCs w:val="28"/>
          <w:rtl/>
        </w:rPr>
        <w:t xml:space="preserve">عبداللطيف بن عبدالله</w:t>
      </w:r>
    </w:p>
    <w:p>
      <w:pPr>
        <w:pStyle w:val="BookText"/>
      </w:pPr>
      <w:r>
        <w:rPr>
          <w:rFonts w:ascii="Amiri" w:hAnsi="Amiri" w:eastAsia="Amiri" w:cs="Amiri"/>
          <w:lang w:bidi="ar-SA"/>
          <w:color w:val="111111"/>
          <w:sz w:val="28"/>
          <w:szCs w:val="28"/>
          <w:rtl/>
        </w:rPr>
        <w:t xml:space="preserve">عبد اللطيف لطيفي -بيرجندي</w:t>
      </w:r>
    </w:p>
    <w:p>
      <w:pPr>
        <w:pStyle w:val="BookText"/>
      </w:pPr>
      <w:r>
        <w:rPr>
          <w:rFonts w:ascii="Amiri" w:hAnsi="Amiri" w:eastAsia="Amiri" w:cs="Amiri"/>
          <w:lang w:bidi="ar-SA"/>
          <w:color w:val="111111"/>
          <w:sz w:val="28"/>
          <w:szCs w:val="28"/>
          <w:rtl/>
        </w:rPr>
        <w:t xml:space="preserve">عبد اللطيف بن علي</w:t>
      </w:r>
    </w:p>
    <w:p>
      <w:pPr>
        <w:pStyle w:val="Heading2"/>
      </w:pPr>
      <w:bookmarkStart w:id="5835" w:name="_Toc4937"/>
      <w:r>
        <w:t>عبدالله</w:t>
      </w:r>
      <w:bookmarkEnd w:id="5835"/>
    </w:p>
    <w:p>
      <w:pPr>
        <w:pStyle w:val="BookText"/>
      </w:pPr>
      <w:r>
        <w:rPr>
          <w:rFonts w:ascii="Amiri" w:hAnsi="Amiri" w:eastAsia="Amiri" w:cs="Amiri"/>
          <w:lang w:bidi="ar-SA"/>
          <w:color w:val="111111"/>
          <w:sz w:val="28"/>
          <w:szCs w:val="28"/>
          <w:rtl/>
        </w:rPr>
        <w:t xml:space="preserve">العوامل المائة، ج 11، ص 367.</w:t>
      </w:r>
    </w:p>
    <w:p>
      <w:pPr>
        <w:pStyle w:val="BookText"/>
      </w:pPr>
      <w:r>
        <w:rPr>
          <w:rFonts w:ascii="Amiri" w:hAnsi="Amiri" w:eastAsia="Amiri" w:cs="Amiri"/>
          <w:lang w:bidi="ar-SA"/>
          <w:color w:val="111111"/>
          <w:sz w:val="28"/>
          <w:szCs w:val="28"/>
          <w:rtl/>
        </w:rPr>
        <w:t xml:space="preserve">عبدالله اردبيلي- اردبيلي ، عبدالله</w:t>
      </w:r>
    </w:p>
    <w:p>
      <w:pPr>
        <w:pStyle w:val="Heading2"/>
      </w:pPr>
      <w:bookmarkStart w:id="5836" w:name="_Toc4938"/>
      <w:r>
        <w:t>عبدالله اسماعيل بن اميرالمؤمنين</w:t>
      </w:r>
      <w:bookmarkEnd w:id="5836"/>
    </w:p>
    <w:p>
      <w:pPr>
        <w:pStyle w:val="BookText"/>
      </w:pPr>
      <w:r>
        <w:rPr>
          <w:rFonts w:ascii="Amiri" w:hAnsi="Amiri" w:eastAsia="Amiri" w:cs="Amiri"/>
          <w:lang w:bidi="ar-SA"/>
          <w:color w:val="111111"/>
          <w:sz w:val="28"/>
          <w:szCs w:val="28"/>
          <w:rtl/>
        </w:rPr>
        <w:t xml:space="preserve">العقيدة الصحيحة = عقيدة الفرقة الناجية، ج11، ص204.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47" w:name="pg7742_70743"/>
    <w:bookmarkEnd w:id="747"/>
    <w:p>
      <w:pPr>
        <w:pStyle w:val="BookText"/>
      </w:pPr>
      <w:r>
        <w:rPr>
          <w:rFonts w:ascii="IRNazanin" w:hAnsi="IRNazanin" w:eastAsia="IRNazanin" w:cs="IRNazanin"/>
          <w:lang w:bidi="fa-IR"/>
          <w:color w:val="111111"/>
          <w:sz w:val="28"/>
          <w:szCs w:val="28"/>
          <w:rtl/>
        </w:rPr>
        <w:t xml:space="preserve">عبد الله افندي - افندي ، پرویز</w:t>
      </w:r>
    </w:p>
    <w:p>
      <w:pPr>
        <w:pStyle w:val="BookText"/>
      </w:pPr>
      <w:r>
        <w:rPr>
          <w:rFonts w:ascii="Amiri" w:hAnsi="Amiri" w:eastAsia="Amiri" w:cs="Amiri"/>
          <w:lang w:bidi="ar-SA"/>
          <w:color w:val="111111"/>
          <w:sz w:val="28"/>
          <w:szCs w:val="28"/>
          <w:rtl/>
        </w:rPr>
        <w:t xml:space="preserve">عبد الله افندي -بسنوي ، عبدالله بن محمّد</w:t>
      </w:r>
    </w:p>
    <w:p>
      <w:pPr>
        <w:pStyle w:val="BookText"/>
      </w:pPr>
      <w:r>
        <w:rPr>
          <w:rFonts w:ascii="Amiri" w:hAnsi="Amiri" w:eastAsia="Amiri" w:cs="Amiri"/>
          <w:lang w:bidi="ar-SA"/>
          <w:color w:val="111111"/>
          <w:sz w:val="28"/>
          <w:szCs w:val="28"/>
          <w:rtl/>
        </w:rPr>
        <w:t xml:space="preserve">عبدالله افندي صلاحي -صلاحي ، عبدالله</w:t>
      </w:r>
    </w:p>
    <w:p>
      <w:pPr>
        <w:pStyle w:val="BookText"/>
      </w:pPr>
      <w:r>
        <w:rPr>
          <w:rFonts w:ascii="Amiri" w:hAnsi="Amiri" w:eastAsia="Amiri" w:cs="Amiri"/>
          <w:lang w:bidi="ar-SA"/>
          <w:color w:val="111111"/>
          <w:sz w:val="28"/>
          <w:szCs w:val="28"/>
          <w:rtl/>
        </w:rPr>
        <w:t xml:space="preserve">بن عبدالعزيز</w:t>
      </w:r>
    </w:p>
    <w:p>
      <w:pPr>
        <w:pStyle w:val="BookText"/>
      </w:pPr>
      <w:r>
        <w:rPr>
          <w:rFonts w:ascii="Amiri" w:hAnsi="Amiri" w:eastAsia="Amiri" w:cs="Amiri"/>
          <w:lang w:bidi="ar-SA"/>
          <w:color w:val="111111"/>
          <w:sz w:val="28"/>
          <w:szCs w:val="28"/>
          <w:rtl/>
        </w:rPr>
        <w:t xml:space="preserve">عبدالله افندي يكيشهري- يكيشهري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انصاري -انصاري ، عبدالله بن محمّد</w:t>
      </w:r>
    </w:p>
    <w:p>
      <w:pPr>
        <w:pStyle w:val="BookText"/>
      </w:pPr>
      <w:r>
        <w:rPr>
          <w:rFonts w:ascii="Amiri" w:hAnsi="Amiri" w:eastAsia="Amiri" w:cs="Amiri"/>
          <w:lang w:bidi="ar-SA"/>
          <w:color w:val="111111"/>
          <w:sz w:val="28"/>
          <w:szCs w:val="28"/>
          <w:rtl/>
        </w:rPr>
        <w:t xml:space="preserve">عبدالله ايوبي -ايوبي ، عبد الله بن محمّد صالح</w:t>
      </w:r>
    </w:p>
    <w:p>
      <w:pPr>
        <w:pStyle w:val="BookText"/>
      </w:pPr>
      <w:r>
        <w:rPr>
          <w:rFonts w:ascii="Amiri" w:hAnsi="Amiri" w:eastAsia="Amiri" w:cs="Amiri"/>
          <w:lang w:bidi="ar-SA"/>
          <w:color w:val="111111"/>
          <w:sz w:val="28"/>
          <w:szCs w:val="28"/>
          <w:rtl/>
        </w:rPr>
        <w:t xml:space="preserve">عبدالله باشعالم موصلي عمري- موصلي</w:t>
      </w:r>
    </w:p>
    <w:p>
      <w:pPr>
        <w:pStyle w:val="BookText"/>
      </w:pPr>
      <w:r>
        <w:rPr>
          <w:rFonts w:ascii="Amiri" w:hAnsi="Amiri" w:eastAsia="Amiri" w:cs="Amiri"/>
          <w:lang w:bidi="ar-SA"/>
          <w:color w:val="111111"/>
          <w:sz w:val="28"/>
          <w:szCs w:val="28"/>
          <w:rtl/>
        </w:rPr>
        <w:t xml:space="preserve">عمري ، عبدالله باشعالم</w:t>
      </w:r>
    </w:p>
    <w:p>
      <w:pPr>
        <w:pStyle w:val="BookText"/>
      </w:pPr>
      <w:r>
        <w:rPr>
          <w:rFonts w:ascii="Amiri" w:hAnsi="Amiri" w:eastAsia="Amiri" w:cs="Amiri"/>
          <w:lang w:bidi="ar-SA"/>
          <w:color w:val="111111"/>
          <w:sz w:val="28"/>
          <w:szCs w:val="28"/>
          <w:rtl/>
        </w:rPr>
        <w:t xml:space="preserve">عبد الله بك آل ياسين افندي المفتي- افندي</w:t>
      </w:r>
    </w:p>
    <w:p>
      <w:pPr>
        <w:pStyle w:val="BookText"/>
      </w:pPr>
      <w:r>
        <w:rPr>
          <w:rFonts w:ascii="IRNazanin" w:hAnsi="IRNazanin" w:eastAsia="IRNazanin" w:cs="IRNazanin"/>
          <w:lang w:bidi="fa-IR"/>
          <w:color w:val="111111"/>
          <w:sz w:val="28"/>
          <w:szCs w:val="28"/>
          <w:rtl/>
        </w:rPr>
        <w:t xml:space="preserve">زاده ، عبدالله بن محمّد امین</w:t>
      </w:r>
    </w:p>
    <w:p>
      <w:pPr>
        <w:pStyle w:val="BookText"/>
      </w:pPr>
      <w:r>
        <w:rPr>
          <w:rFonts w:ascii="Amiri" w:hAnsi="Amiri" w:eastAsia="Amiri" w:cs="Amiri"/>
          <w:lang w:bidi="ar-SA"/>
          <w:color w:val="111111"/>
          <w:sz w:val="28"/>
          <w:szCs w:val="28"/>
          <w:rtl/>
        </w:rPr>
        <w:t xml:space="preserve">عبدالله بلياني -بلياني ، عبدالله بن مسعود</w:t>
      </w:r>
    </w:p>
    <w:p>
      <w:pPr>
        <w:pStyle w:val="BookText"/>
      </w:pPr>
      <w:r>
        <w:rPr>
          <w:rFonts w:ascii="IRNazanin" w:hAnsi="IRNazanin" w:eastAsia="IRNazanin" w:cs="IRNazanin"/>
          <w:lang w:bidi="fa-IR"/>
          <w:color w:val="111111"/>
          <w:sz w:val="28"/>
          <w:szCs w:val="28"/>
          <w:rtl/>
        </w:rPr>
        <w:t xml:space="preserve">عبد الله بن ابراهيم الحسيني الجرمكي -چته چي ، عبدالله بن ابراهيم</w:t>
      </w:r>
    </w:p>
    <w:p>
      <w:pPr>
        <w:pStyle w:val="BookText"/>
      </w:pPr>
      <w:r>
        <w:rPr>
          <w:rFonts w:ascii="Amiri" w:hAnsi="Amiri" w:eastAsia="Amiri" w:cs="Amiri"/>
          <w:lang w:bidi="ar-SA"/>
          <w:color w:val="111111"/>
          <w:sz w:val="28"/>
          <w:szCs w:val="28"/>
          <w:rtl/>
        </w:rPr>
        <w:t xml:space="preserve">عبد الله بن ابراهيم الخبري- خبري ، عبد الله</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عبد الله بن ابراهيم جزري -جزري ،</w:t>
      </w:r>
    </w:p>
    <w:p>
      <w:pPr>
        <w:pStyle w:val="BookText"/>
      </w:pPr>
      <w:r>
        <w:rPr>
          <w:rFonts w:ascii="Amiri" w:hAnsi="Amiri" w:eastAsia="Amiri" w:cs="Amiri"/>
          <w:lang w:bidi="ar-SA"/>
          <w:color w:val="111111"/>
          <w:sz w:val="28"/>
          <w:szCs w:val="28"/>
          <w:rtl/>
        </w:rPr>
        <w:t xml:space="preserve">عبدالله بن ابراهيم</w:t>
      </w:r>
    </w:p>
    <w:p>
      <w:pPr>
        <w:pStyle w:val="BookText"/>
      </w:pPr>
      <w:r>
        <w:rPr>
          <w:rFonts w:ascii="Amiri" w:hAnsi="Amiri" w:eastAsia="Amiri" w:cs="Amiri"/>
          <w:lang w:bidi="ar-SA"/>
          <w:color w:val="111111"/>
          <w:sz w:val="28"/>
          <w:szCs w:val="28"/>
          <w:rtl/>
        </w:rPr>
        <w:t xml:space="preserve">عبدالله بن ابراهيم حمدوه السناري -سناري ، عبدالله بن ابراهيم</w:t>
      </w:r>
    </w:p>
    <w:p>
      <w:pPr>
        <w:pStyle w:val="BookText"/>
      </w:pPr>
      <w:r>
        <w:rPr>
          <w:rFonts w:ascii="Amiri" w:hAnsi="Amiri" w:eastAsia="Amiri" w:cs="Amiri"/>
          <w:lang w:bidi="ar-SA"/>
          <w:color w:val="111111"/>
          <w:sz w:val="28"/>
          <w:szCs w:val="28"/>
          <w:rtl/>
        </w:rPr>
        <w:t xml:space="preserve">عبدالله بن ابراهيم غملاس - غملاس ،</w:t>
      </w:r>
    </w:p>
    <w:p>
      <w:pPr>
        <w:pStyle w:val="BookText"/>
      </w:pPr>
      <w:r>
        <w:rPr>
          <w:rFonts w:ascii="Amiri" w:hAnsi="Amiri" w:eastAsia="Amiri" w:cs="Amiri"/>
          <w:lang w:bidi="ar-SA"/>
          <w:color w:val="111111"/>
          <w:sz w:val="28"/>
          <w:szCs w:val="28"/>
          <w:rtl/>
        </w:rPr>
        <w:t xml:space="preserve">عبدالله بن ابراهيم</w:t>
      </w:r>
    </w:p>
    <w:p>
      <w:pPr>
        <w:pStyle w:val="BookText"/>
      </w:pPr>
      <w:r>
        <w:rPr>
          <w:rFonts w:ascii="Amiri" w:hAnsi="Amiri" w:eastAsia="Amiri" w:cs="Amiri"/>
          <w:lang w:bidi="ar-SA"/>
          <w:color w:val="111111"/>
          <w:sz w:val="28"/>
          <w:szCs w:val="28"/>
          <w:rtl/>
        </w:rPr>
        <w:t xml:space="preserve">عبدالله بن ابراهيم مير غني حسيني- مير</w:t>
      </w:r>
    </w:p>
    <w:p>
      <w:pPr>
        <w:pStyle w:val="BookText"/>
      </w:pPr>
      <w:r>
        <w:rPr>
          <w:rFonts w:ascii="Amiri" w:hAnsi="Amiri" w:eastAsia="Amiri" w:cs="Amiri"/>
          <w:lang w:bidi="ar-SA"/>
          <w:color w:val="111111"/>
          <w:sz w:val="28"/>
          <w:szCs w:val="28"/>
          <w:rtl/>
        </w:rPr>
        <w:t xml:space="preserve">غني حسيني ، عبد الله بن ابراهيم</w:t>
      </w:r>
    </w:p>
    <w:p>
      <w:pPr>
        <w:pStyle w:val="BookText"/>
      </w:pPr>
      <w:r>
        <w:rPr>
          <w:rFonts w:ascii="Amiri" w:hAnsi="Amiri" w:eastAsia="Amiri" w:cs="Amiri"/>
          <w:lang w:bidi="ar-SA"/>
          <w:color w:val="111111"/>
          <w:sz w:val="28"/>
          <w:szCs w:val="28"/>
          <w:rtl/>
        </w:rPr>
        <w:t xml:space="preserve">عبدالله بن ابواسحاق كرماني- كرماني ، عبدالله بن عبدالله</w:t>
      </w:r>
    </w:p>
    <w:p>
      <w:pPr>
        <w:pStyle w:val="BookText"/>
      </w:pPr>
      <w:r>
        <w:rPr>
          <w:rFonts w:ascii="Amiri" w:hAnsi="Amiri" w:eastAsia="Amiri" w:cs="Amiri"/>
          <w:lang w:bidi="ar-SA"/>
          <w:color w:val="111111"/>
          <w:sz w:val="28"/>
          <w:szCs w:val="28"/>
          <w:rtl/>
        </w:rPr>
        <w:t xml:space="preserve">عبدالله بن ابي الدنيا -ابن ابي الدنيا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ابي بكر عيدروسي- عيدروسي</w:t>
      </w:r>
    </w:p>
    <w:p>
      <w:pPr>
        <w:pStyle w:val="BookText"/>
      </w:pPr>
      <w:r>
        <w:rPr>
          <w:rFonts w:ascii="Amiri" w:hAnsi="Amiri" w:eastAsia="Amiri" w:cs="Amiri"/>
          <w:lang w:bidi="ar-SA"/>
          <w:color w:val="111111"/>
          <w:sz w:val="28"/>
          <w:szCs w:val="28"/>
          <w:rtl/>
        </w:rPr>
        <w:t xml:space="preserve">عبدالله بن ابي بكر</w:t>
      </w:r>
    </w:p>
    <w:p>
      <w:pPr>
        <w:pStyle w:val="BookText"/>
      </w:pPr>
      <w:r>
        <w:rPr>
          <w:rFonts w:ascii="Amiri" w:hAnsi="Amiri" w:eastAsia="Amiri" w:cs="Amiri"/>
          <w:lang w:bidi="ar-SA"/>
          <w:color w:val="111111"/>
          <w:sz w:val="28"/>
          <w:szCs w:val="28"/>
          <w:rtl/>
        </w:rPr>
        <w:t xml:space="preserve">عبدالله بن ابي تراب حسيني طباطبائي - حسيني ، عبدالله بن ابي تراب</w:t>
      </w:r>
    </w:p>
    <w:p>
      <w:pPr>
        <w:pStyle w:val="Heading2"/>
      </w:pPr>
      <w:bookmarkStart w:id="5837" w:name="_Toc4939"/>
      <w:r>
        <w:t>عبدالله بن احمد</w:t>
      </w:r>
      <w:bookmarkEnd w:id="5837"/>
    </w:p>
    <w:p>
      <w:pPr>
        <w:pStyle w:val="BookText"/>
      </w:pPr>
      <w:r>
        <w:rPr>
          <w:rFonts w:ascii="Amiri" w:hAnsi="Amiri" w:eastAsia="Amiri" w:cs="Amiri"/>
          <w:lang w:bidi="ar-SA"/>
          <w:color w:val="111111"/>
          <w:sz w:val="28"/>
          <w:szCs w:val="28"/>
          <w:rtl/>
        </w:rPr>
        <w:t xml:space="preserve">اعقاد الدرر في ايضاح شواهد المختصر في البلاغة، ج 2، ص 550 .</w:t>
      </w:r>
    </w:p>
    <w:p>
      <w:pPr>
        <w:pStyle w:val="BookText"/>
      </w:pPr>
      <w:r>
        <w:rPr>
          <w:rFonts w:ascii="Amiri" w:hAnsi="Amiri" w:eastAsia="Amiri" w:cs="Amiri"/>
          <w:lang w:bidi="ar-SA"/>
          <w:color w:val="111111"/>
          <w:sz w:val="28"/>
          <w:szCs w:val="28"/>
          <w:rtl/>
        </w:rPr>
        <w:t xml:space="preserve">عبدالله بن احمد ازهري حنبلي ازهري ،</w:t>
      </w:r>
    </w:p>
    <w:p>
      <w:pPr>
        <w:pStyle w:val="BookText"/>
      </w:pPr>
      <w:r>
        <w:rPr>
          <w:rFonts w:ascii="IRNazanin" w:hAnsi="IRNazanin" w:eastAsia="IRNazanin" w:cs="IRNazanin"/>
          <w:lang w:bidi="fa-IR"/>
          <w:color w:val="111111"/>
          <w:sz w:val="28"/>
          <w:szCs w:val="28"/>
          <w:rtl/>
        </w:rPr>
        <w:t xml:space="preserve">عبدالله بن احمد عبد الله بن احمد بن حنبل -ابن حنبل ،</w:t>
      </w:r>
    </w:p>
    <w:p>
      <w:pPr>
        <w:pStyle w:val="BookText"/>
      </w:pPr>
      <w:r>
        <w:rPr>
          <w:rFonts w:ascii="IRNazanin" w:hAnsi="IRNazanin" w:eastAsia="IRNazanin" w:cs="IRNazanin"/>
          <w:lang w:bidi="fa-IR"/>
          <w:color w:val="111111"/>
          <w:sz w:val="28"/>
          <w:szCs w:val="28"/>
          <w:rtl/>
        </w:rPr>
        <w:t xml:space="preserve">عبدالله بن احمد</w:t>
      </w:r>
    </w:p>
    <w:p>
      <w:pPr>
        <w:pStyle w:val="BookText"/>
      </w:pPr>
      <w:r>
        <w:rPr>
          <w:rFonts w:ascii="IRNazanin" w:hAnsi="IRNazanin" w:eastAsia="IRNazanin" w:cs="IRNazanin"/>
          <w:lang w:bidi="fa-IR"/>
          <w:color w:val="111111"/>
          <w:sz w:val="28"/>
          <w:szCs w:val="28"/>
          <w:rtl/>
        </w:rPr>
        <w:t xml:space="preserve">عبدالله بن احمد بن خشاب-ابن خشاب</w:t>
      </w:r>
    </w:p>
    <w:p>
      <w:pPr>
        <w:pStyle w:val="BookText"/>
      </w:pPr>
      <w:r>
        <w:rPr>
          <w:rFonts w:ascii="Amiri" w:hAnsi="Amiri" w:eastAsia="Amiri" w:cs="Amiri"/>
          <w:lang w:bidi="ar-SA"/>
          <w:color w:val="111111"/>
          <w:sz w:val="28"/>
          <w:szCs w:val="28"/>
          <w:rtl/>
        </w:rPr>
        <w:t xml:space="preserve">يمني ، محمّد بن احمد</w:t>
      </w:r>
    </w:p>
    <w:p>
      <w:pPr>
        <w:pStyle w:val="BookText"/>
      </w:pPr>
      <w:r>
        <w:rPr>
          <w:rFonts w:ascii="Amiri" w:hAnsi="Amiri" w:eastAsia="Amiri" w:cs="Amiri"/>
          <w:lang w:bidi="ar-SA"/>
          <w:color w:val="111111"/>
          <w:sz w:val="28"/>
          <w:szCs w:val="28"/>
          <w:rtl/>
        </w:rPr>
        <w:t xml:space="preserve">عبدالله بن احمد بن صالح ستري بحراني - ستري بحراني ، عبدالله بن احمد</w:t>
      </w:r>
    </w:p>
    <w:p>
      <w:pPr>
        <w:pStyle w:val="BookText"/>
      </w:pPr>
      <w:r>
        <w:rPr>
          <w:rFonts w:ascii="Amiri" w:hAnsi="Amiri" w:eastAsia="Amiri" w:cs="Amiri"/>
          <w:lang w:bidi="ar-SA"/>
          <w:color w:val="111111"/>
          <w:sz w:val="28"/>
          <w:szCs w:val="28"/>
          <w:rtl/>
        </w:rPr>
        <w:t xml:space="preserve">عبد الله بن احمد بن عبد الحميد -حسيني</w:t>
      </w:r>
    </w:p>
    <w:p>
      <w:pPr>
        <w:pStyle w:val="BookText"/>
      </w:pPr>
      <w:r>
        <w:rPr>
          <w:rFonts w:ascii="IRNazanin" w:hAnsi="IRNazanin" w:eastAsia="IRNazanin" w:cs="IRNazanin"/>
          <w:lang w:bidi="fa-IR"/>
          <w:color w:val="111111"/>
          <w:sz w:val="28"/>
          <w:szCs w:val="28"/>
          <w:rtl/>
        </w:rPr>
        <w:t xml:space="preserve">، عبدالله بن احمد</w:t>
      </w:r>
    </w:p>
    <w:p>
      <w:pPr>
        <w:pStyle w:val="BookText"/>
      </w:pPr>
      <w:r>
        <w:rPr>
          <w:rFonts w:ascii="Amiri" w:hAnsi="Amiri" w:eastAsia="Amiri" w:cs="Amiri"/>
          <w:lang w:bidi="ar-SA"/>
          <w:color w:val="111111"/>
          <w:sz w:val="28"/>
          <w:szCs w:val="28"/>
          <w:rtl/>
        </w:rPr>
        <w:t xml:space="preserve">عبد الله بن احمد بن محمود نسفي- نسفي ، عبدالله بن احمد</w:t>
      </w:r>
    </w:p>
    <w:p>
      <w:pPr>
        <w:pStyle w:val="BookText"/>
      </w:pPr>
      <w:r>
        <w:rPr>
          <w:rFonts w:ascii="Amiri" w:hAnsi="Amiri" w:eastAsia="Amiri" w:cs="Amiri"/>
          <w:lang w:bidi="ar-SA"/>
          <w:color w:val="111111"/>
          <w:sz w:val="28"/>
          <w:szCs w:val="28"/>
          <w:rtl/>
        </w:rPr>
        <w:t xml:space="preserve">عبدالله بن احمد جلبي -جلبي ، عبدالله</w:t>
      </w:r>
    </w:p>
    <w:p>
      <w:pPr>
        <w:pStyle w:val="BookText"/>
      </w:pPr>
      <w:r>
        <w:rPr>
          <w:rFonts w:ascii="Amiri" w:hAnsi="Amiri" w:eastAsia="Amiri" w:cs="Amiri"/>
          <w:lang w:bidi="ar-SA"/>
          <w:color w:val="111111"/>
          <w:sz w:val="28"/>
          <w:szCs w:val="28"/>
          <w:rtl/>
        </w:rPr>
        <w:t xml:space="preserve">بن احمد عبدالله بن احمد حسيني- حسيني ،</w:t>
      </w:r>
    </w:p>
    <w:p>
      <w:pPr>
        <w:pStyle w:val="BookText"/>
      </w:pPr>
      <w:r>
        <w:rPr>
          <w:rFonts w:ascii="IRNazanin" w:hAnsi="IRNazanin" w:eastAsia="IRNazanin" w:cs="IRNazanin"/>
          <w:lang w:bidi="fa-IR"/>
          <w:color w:val="111111"/>
          <w:sz w:val="28"/>
          <w:szCs w:val="28"/>
          <w:rtl/>
        </w:rPr>
        <w:t xml:space="preserve">عبدالله بن احمد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48" w:name="pg7742_70744"/>
    <w:bookmarkEnd w:id="748"/>
    <w:p>
      <w:pPr>
        <w:pStyle w:val="BookText"/>
      </w:pPr>
      <w:r>
        <w:rPr>
          <w:rFonts w:ascii="Amiri" w:hAnsi="Amiri" w:eastAsia="Amiri" w:cs="Amiri"/>
          <w:lang w:bidi="ar-SA"/>
          <w:color w:val="111111"/>
          <w:sz w:val="28"/>
          <w:szCs w:val="28"/>
          <w:rtl/>
        </w:rPr>
        <w:t xml:space="preserve">عبدالله بن أحمد حيدري - حيدري ،</w:t>
      </w:r>
    </w:p>
    <w:p>
      <w:pPr>
        <w:pStyle w:val="BookText"/>
      </w:pPr>
      <w:r>
        <w:rPr>
          <w:rFonts w:ascii="IRNazanin" w:hAnsi="IRNazanin" w:eastAsia="IRNazanin" w:cs="IRNazanin"/>
          <w:lang w:bidi="fa-IR"/>
          <w:color w:val="111111"/>
          <w:sz w:val="28"/>
          <w:szCs w:val="28"/>
          <w:rtl/>
        </w:rPr>
        <w:t xml:space="preserve">عبدالله بن احمد</w:t>
      </w:r>
    </w:p>
    <w:p>
      <w:pPr>
        <w:pStyle w:val="BookText"/>
      </w:pPr>
      <w:r>
        <w:rPr>
          <w:rFonts w:ascii="Amiri" w:hAnsi="Amiri" w:eastAsia="Amiri" w:cs="Amiri"/>
          <w:lang w:bidi="ar-SA"/>
          <w:color w:val="111111"/>
          <w:sz w:val="28"/>
          <w:szCs w:val="28"/>
          <w:rtl/>
        </w:rPr>
        <w:t xml:space="preserve">عبدالله بن احمد ربتكي موصلي- ربتكي ، عبدالله بن احمد</w:t>
      </w:r>
    </w:p>
    <w:p>
      <w:pPr>
        <w:pStyle w:val="BookText"/>
      </w:pPr>
      <w:r>
        <w:rPr>
          <w:rFonts w:ascii="Amiri" w:hAnsi="Amiri" w:eastAsia="Amiri" w:cs="Amiri"/>
          <w:lang w:bidi="ar-SA"/>
          <w:color w:val="111111"/>
          <w:sz w:val="28"/>
          <w:szCs w:val="28"/>
          <w:rtl/>
        </w:rPr>
        <w:t xml:space="preserve">عبدالله بن احمد كوفي همداني-ابن فصيح</w:t>
      </w:r>
    </w:p>
    <w:p>
      <w:pPr>
        <w:pStyle w:val="BookText"/>
      </w:pPr>
      <w:r>
        <w:rPr>
          <w:rFonts w:ascii="IRNazanin" w:hAnsi="IRNazanin" w:eastAsia="IRNazanin" w:cs="IRNazanin"/>
          <w:lang w:bidi="fa-IR"/>
          <w:color w:val="111111"/>
          <w:sz w:val="28"/>
          <w:szCs w:val="28"/>
          <w:rtl/>
        </w:rPr>
        <w:t xml:space="preserve">، عبدالله بن احمد</w:t>
      </w:r>
    </w:p>
    <w:p>
      <w:pPr>
        <w:pStyle w:val="BookText"/>
      </w:pPr>
      <w:r>
        <w:rPr>
          <w:rFonts w:ascii="Amiri" w:hAnsi="Amiri" w:eastAsia="Amiri" w:cs="Amiri"/>
          <w:lang w:bidi="ar-SA"/>
          <w:color w:val="111111"/>
          <w:sz w:val="28"/>
          <w:szCs w:val="28"/>
          <w:rtl/>
        </w:rPr>
        <w:t xml:space="preserve">عبدالله بن احمد مقدسي ابن قدامه -ابن قدامه ، عبدالله بن احمد</w:t>
      </w:r>
    </w:p>
    <w:p>
      <w:pPr>
        <w:pStyle w:val="BookText"/>
      </w:pPr>
      <w:r>
        <w:rPr>
          <w:rFonts w:ascii="Amiri" w:hAnsi="Amiri" w:eastAsia="Amiri" w:cs="Amiri"/>
          <w:lang w:bidi="ar-SA"/>
          <w:color w:val="111111"/>
          <w:sz w:val="28"/>
          <w:szCs w:val="28"/>
          <w:rtl/>
        </w:rPr>
        <w:t xml:space="preserve">عبدالله بن احمد مناوي- مناوي ، عبدالله</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عبدالله بن احمد نباتي مالقي عشاب- ابن</w:t>
      </w:r>
    </w:p>
    <w:p>
      <w:pPr>
        <w:pStyle w:val="BookText"/>
      </w:pPr>
      <w:r>
        <w:rPr>
          <w:rFonts w:ascii="Amiri" w:hAnsi="Amiri" w:eastAsia="Amiri" w:cs="Amiri"/>
          <w:lang w:bidi="ar-SA"/>
          <w:color w:val="111111"/>
          <w:sz w:val="28"/>
          <w:szCs w:val="28"/>
          <w:rtl/>
        </w:rPr>
        <w:t xml:space="preserve">بيطار ، عبدالله بن احمد</w:t>
      </w:r>
    </w:p>
    <w:p>
      <w:pPr>
        <w:pStyle w:val="BookText"/>
      </w:pPr>
      <w:r>
        <w:rPr>
          <w:rFonts w:ascii="Amiri" w:hAnsi="Amiri" w:eastAsia="Amiri" w:cs="Amiri"/>
          <w:lang w:bidi="ar-SA"/>
          <w:color w:val="111111"/>
          <w:sz w:val="28"/>
          <w:szCs w:val="28"/>
          <w:rtl/>
        </w:rPr>
        <w:t xml:space="preserve">عبد الله بناري -ابن ابي كراب حسيني ،</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IRNazanin" w:hAnsi="IRNazanin" w:eastAsia="IRNazanin" w:cs="IRNazanin"/>
          <w:lang w:bidi="fa-IR"/>
          <w:color w:val="111111"/>
          <w:sz w:val="28"/>
          <w:szCs w:val="28"/>
          <w:rtl/>
        </w:rPr>
        <w:t xml:space="preserve">عبد الله بن استطال- ابن استطال ، عبدالله</w:t>
      </w:r>
    </w:p>
    <w:p>
      <w:pPr>
        <w:pStyle w:val="BookText"/>
      </w:pPr>
      <w:r>
        <w:rPr>
          <w:rFonts w:ascii="Amiri" w:hAnsi="Amiri" w:eastAsia="Amiri" w:cs="Amiri"/>
          <w:lang w:bidi="ar-SA"/>
          <w:color w:val="111111"/>
          <w:sz w:val="28"/>
          <w:szCs w:val="28"/>
          <w:rtl/>
        </w:rPr>
        <w:t xml:space="preserve">عبد الله بن اسعد يافعي -يافعي، عبدالله</w:t>
      </w:r>
    </w:p>
    <w:p>
      <w:pPr>
        <w:pStyle w:val="BookText"/>
      </w:pPr>
      <w:r>
        <w:rPr>
          <w:rFonts w:ascii="Amiri" w:hAnsi="Amiri" w:eastAsia="Amiri" w:cs="Amiri"/>
          <w:lang w:bidi="ar-SA"/>
          <w:color w:val="111111"/>
          <w:sz w:val="28"/>
          <w:szCs w:val="28"/>
          <w:rtl/>
        </w:rPr>
        <w:t xml:space="preserve">عبد الله بن اسماعيل بن عبدالله ابن</w:t>
      </w:r>
    </w:p>
    <w:p>
      <w:pPr>
        <w:pStyle w:val="BookText"/>
      </w:pPr>
      <w:r>
        <w:rPr>
          <w:rFonts w:ascii="IRNazanin" w:hAnsi="IRNazanin" w:eastAsia="IRNazanin" w:cs="IRNazanin"/>
          <w:lang w:bidi="fa-IR"/>
          <w:color w:val="111111"/>
          <w:sz w:val="28"/>
          <w:szCs w:val="28"/>
          <w:rtl/>
        </w:rPr>
        <w:t xml:space="preserve">حلل -ابن حلل ، عبدالله بن اسمعیل</w:t>
      </w:r>
    </w:p>
    <w:p>
      <w:pPr>
        <w:pStyle w:val="BookText"/>
      </w:pPr>
      <w:r>
        <w:rPr>
          <w:rFonts w:ascii="IRNazanin" w:hAnsi="IRNazanin" w:eastAsia="IRNazanin" w:cs="IRNazanin"/>
          <w:lang w:bidi="fa-IR"/>
          <w:color w:val="111111"/>
          <w:sz w:val="28"/>
          <w:szCs w:val="28"/>
          <w:rtl/>
        </w:rPr>
        <w:t xml:space="preserve">عبدالله بن اسمعیل بن عبدالله ابن حلل- ابن حلل ، عبدالله بن اسمعیل</w:t>
      </w:r>
    </w:p>
    <w:p>
      <w:pPr>
        <w:pStyle w:val="BookText"/>
      </w:pPr>
      <w:r>
        <w:rPr>
          <w:rFonts w:ascii="IRNazanin" w:hAnsi="IRNazanin" w:eastAsia="IRNazanin" w:cs="IRNazanin"/>
          <w:lang w:bidi="fa-IR"/>
          <w:color w:val="111111"/>
          <w:sz w:val="28"/>
          <w:szCs w:val="28"/>
          <w:rtl/>
        </w:rPr>
        <w:t xml:space="preserve">عبد الله بن استطال- ابن استطال ، عبدالله</w:t>
      </w:r>
    </w:p>
    <w:p>
      <w:pPr>
        <w:pStyle w:val="BookText"/>
      </w:pPr>
      <w:r>
        <w:rPr>
          <w:rFonts w:ascii="Amiri" w:hAnsi="Amiri" w:eastAsia="Amiri" w:cs="Amiri"/>
          <w:lang w:bidi="ar-SA"/>
          <w:color w:val="111111"/>
          <w:sz w:val="28"/>
          <w:szCs w:val="28"/>
          <w:rtl/>
        </w:rPr>
        <w:t xml:space="preserve">عبد الله بن احمد طوسي- طوسي ، عبد الله</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5838" w:name="_Toc4940"/>
      <w:r>
        <w:t>عبدالله بن الحلي الراسي</w:t>
      </w:r>
      <w:bookmarkEnd w:id="5838"/>
    </w:p>
    <w:p>
      <w:pPr>
        <w:pStyle w:val="BookText"/>
      </w:pPr>
      <w:r>
        <w:rPr>
          <w:rFonts w:ascii="Amiri" w:hAnsi="Amiri" w:eastAsia="Amiri" w:cs="Amiri"/>
          <w:lang w:bidi="ar-SA"/>
          <w:color w:val="111111"/>
          <w:sz w:val="28"/>
          <w:szCs w:val="28"/>
          <w:rtl/>
        </w:rPr>
        <w:t xml:space="preserve">وسيلة الوصول لساحة عناية الرسول</w:t>
      </w:r>
    </w:p>
    <w:p>
      <w:pPr>
        <w:pStyle w:val="BookText"/>
      </w:pPr>
      <w:r>
        <w:rPr>
          <w:rFonts w:ascii="IRNazanin" w:hAnsi="IRNazanin" w:eastAsia="IRNazanin" w:cs="IRNazanin"/>
          <w:lang w:bidi="fa-IR"/>
          <w:color w:val="111111"/>
          <w:sz w:val="28"/>
          <w:szCs w:val="28"/>
          <w:rtl/>
        </w:rPr>
        <w:t xml:space="preserve">ج 16، ص 793.</w:t>
      </w:r>
    </w:p>
    <w:p>
      <w:pPr>
        <w:pStyle w:val="BookText"/>
      </w:pPr>
      <w:r>
        <w:rPr>
          <w:rFonts w:ascii="Amiri" w:hAnsi="Amiri" w:eastAsia="Amiri" w:cs="Amiri"/>
          <w:lang w:bidi="ar-SA"/>
          <w:color w:val="111111"/>
          <w:sz w:val="28"/>
          <w:szCs w:val="28"/>
          <w:rtl/>
        </w:rPr>
        <w:t xml:space="preserve">عبدالله بن اشرف قادري رومي- رومي ،</w:t>
      </w:r>
    </w:p>
    <w:p>
      <w:pPr>
        <w:pStyle w:val="BookText"/>
      </w:pPr>
      <w:r>
        <w:rPr>
          <w:rFonts w:ascii="IRNazanin" w:hAnsi="IRNazanin" w:eastAsia="IRNazanin" w:cs="IRNazanin"/>
          <w:lang w:bidi="fa-IR"/>
          <w:color w:val="111111"/>
          <w:sz w:val="28"/>
          <w:szCs w:val="28"/>
          <w:rtl/>
        </w:rPr>
        <w:t xml:space="preserve">عبدالله بن اشرف</w:t>
      </w:r>
    </w:p>
    <w:p>
      <w:pPr>
        <w:pStyle w:val="BookText"/>
      </w:pPr>
      <w:r>
        <w:rPr>
          <w:rFonts w:ascii="Amiri" w:hAnsi="Amiri" w:eastAsia="Amiri" w:cs="Amiri"/>
          <w:lang w:bidi="ar-SA"/>
          <w:color w:val="111111"/>
          <w:sz w:val="28"/>
          <w:szCs w:val="28"/>
          <w:rtl/>
        </w:rPr>
        <w:t xml:space="preserve">عبدالله بن احمد فاكهي- فاكهي ، عبدالله</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عبدالله بن الياس كلكودي- كلكودي عبدالله بن الياس</w:t>
      </w:r>
    </w:p>
    <w:p>
      <w:pPr>
        <w:pStyle w:val="BookText"/>
      </w:pPr>
      <w:r>
        <w:rPr>
          <w:rFonts w:ascii="Amiri" w:hAnsi="Amiri" w:eastAsia="Amiri" w:cs="Amiri"/>
          <w:lang w:bidi="ar-SA"/>
          <w:color w:val="111111"/>
          <w:sz w:val="28"/>
          <w:szCs w:val="28"/>
          <w:rtl/>
        </w:rPr>
        <w:t xml:space="preserve">عبدالله بن بري مقدسي- ابن بري ، عبدالله</w:t>
      </w:r>
    </w:p>
    <w:p>
      <w:pPr>
        <w:pStyle w:val="BookText"/>
      </w:pPr>
      <w:r>
        <w:rPr>
          <w:rFonts w:ascii="Amiri" w:hAnsi="Amiri" w:eastAsia="Amiri" w:cs="Amiri"/>
          <w:lang w:bidi="ar-SA"/>
          <w:color w:val="111111"/>
          <w:sz w:val="28"/>
          <w:szCs w:val="28"/>
          <w:rtl/>
        </w:rPr>
        <w:t xml:space="preserve">بن بري</w:t>
      </w:r>
    </w:p>
    <w:p>
      <w:pPr>
        <w:pStyle w:val="BookText"/>
      </w:pPr>
      <w:r>
        <w:rPr>
          <w:rFonts w:ascii="IRNazanin" w:hAnsi="IRNazanin" w:eastAsia="IRNazanin" w:cs="IRNazanin"/>
          <w:lang w:bidi="fa-IR"/>
          <w:color w:val="111111"/>
          <w:sz w:val="28"/>
          <w:szCs w:val="28"/>
          <w:rtl/>
        </w:rPr>
        <w:t xml:space="preserve">عبد الله بن جبرئيل بن بختیشوع -ابن</w:t>
      </w:r>
    </w:p>
    <w:p>
      <w:pPr>
        <w:pStyle w:val="BookText"/>
      </w:pPr>
      <w:r>
        <w:rPr>
          <w:rFonts w:ascii="IRNazanin" w:hAnsi="IRNazanin" w:eastAsia="IRNazanin" w:cs="IRNazanin"/>
          <w:lang w:bidi="fa-IR"/>
          <w:color w:val="111111"/>
          <w:sz w:val="28"/>
          <w:szCs w:val="28"/>
          <w:rtl/>
        </w:rPr>
        <w:t xml:space="preserve">بختیشوع ، عبدالله بن جبرئيل</w:t>
      </w:r>
    </w:p>
    <w:p>
      <w:pPr>
        <w:pStyle w:val="BookText"/>
      </w:pPr>
      <w:r>
        <w:rPr>
          <w:rFonts w:ascii="Amiri" w:hAnsi="Amiri" w:eastAsia="Amiri" w:cs="Amiri"/>
          <w:lang w:bidi="ar-SA"/>
          <w:color w:val="111111"/>
          <w:sz w:val="28"/>
          <w:szCs w:val="28"/>
          <w:rtl/>
        </w:rPr>
        <w:t xml:space="preserve">عبدالله بن جعفر باعلوي يمني -باعلوي ،</w:t>
      </w:r>
    </w:p>
    <w:p>
      <w:pPr>
        <w:pStyle w:val="BookText"/>
      </w:pPr>
      <w:r>
        <w:rPr>
          <w:rFonts w:ascii="IRNazanin" w:hAnsi="IRNazanin" w:eastAsia="IRNazanin" w:cs="IRNazanin"/>
          <w:lang w:bidi="fa-IR"/>
          <w:color w:val="111111"/>
          <w:sz w:val="28"/>
          <w:szCs w:val="28"/>
          <w:rtl/>
        </w:rPr>
        <w:t xml:space="preserve">عبدالله بن جعفر</w:t>
      </w:r>
    </w:p>
    <w:p>
      <w:pPr>
        <w:pStyle w:val="BookText"/>
      </w:pPr>
      <w:r>
        <w:rPr>
          <w:rFonts w:ascii="Amiri" w:hAnsi="Amiri" w:eastAsia="Amiri" w:cs="Amiri"/>
          <w:lang w:bidi="ar-SA"/>
          <w:color w:val="111111"/>
          <w:sz w:val="28"/>
          <w:szCs w:val="28"/>
          <w:rtl/>
        </w:rPr>
        <w:t xml:space="preserve">عبدالله بن جمال الدين بن احمد مقري -مقري ، عبدالله بن جمال الدين</w:t>
      </w:r>
    </w:p>
    <w:p>
      <w:pPr>
        <w:pStyle w:val="BookText"/>
      </w:pPr>
      <w:r>
        <w:rPr>
          <w:rFonts w:ascii="Amiri" w:hAnsi="Amiri" w:eastAsia="Amiri" w:cs="Amiri"/>
          <w:lang w:bidi="ar-SA"/>
          <w:color w:val="111111"/>
          <w:sz w:val="28"/>
          <w:szCs w:val="28"/>
          <w:rtl/>
        </w:rPr>
        <w:t xml:space="preserve">عبد الله بن حجازي شرقاوي</w:t>
      </w:r>
    </w:p>
    <w:p>
      <w:pPr>
        <w:pStyle w:val="BookText"/>
      </w:pPr>
      <w:r>
        <w:rPr>
          <w:rFonts w:ascii="Amiri" w:hAnsi="Amiri" w:eastAsia="Amiri" w:cs="Amiri"/>
          <w:lang w:bidi="ar-SA"/>
          <w:color w:val="111111"/>
          <w:sz w:val="28"/>
          <w:szCs w:val="28"/>
          <w:rtl/>
        </w:rPr>
        <w:t xml:space="preserve">ازهري -شرقاوي ، عبدالله بن حجازي</w:t>
      </w:r>
    </w:p>
    <w:p>
      <w:pPr>
        <w:pStyle w:val="BookText"/>
      </w:pPr>
      <w:r>
        <w:rPr>
          <w:rFonts w:ascii="Amiri" w:hAnsi="Amiri" w:eastAsia="Amiri" w:cs="Amiri"/>
          <w:lang w:bidi="ar-SA"/>
          <w:color w:val="111111"/>
          <w:sz w:val="28"/>
          <w:szCs w:val="28"/>
          <w:rtl/>
        </w:rPr>
        <w:t xml:space="preserve">عبدالله بن حديده انصاري خزرجي</w:t>
      </w:r>
    </w:p>
    <w:p>
      <w:pPr>
        <w:pStyle w:val="BookText"/>
      </w:pPr>
      <w:r>
        <w:rPr>
          <w:rFonts w:ascii="Amiri" w:hAnsi="Amiri" w:eastAsia="Amiri" w:cs="Amiri"/>
          <w:lang w:bidi="ar-SA"/>
          <w:color w:val="111111"/>
          <w:sz w:val="28"/>
          <w:szCs w:val="28"/>
          <w:rtl/>
        </w:rPr>
        <w:t xml:space="preserve">مصري- انصاري ، عبدالله بن حديده</w:t>
      </w:r>
    </w:p>
    <w:p>
      <w:pPr>
        <w:pStyle w:val="BookText"/>
      </w:pPr>
      <w:r>
        <w:rPr>
          <w:rFonts w:ascii="IRNazanin" w:hAnsi="IRNazanin" w:eastAsia="IRNazanin" w:cs="IRNazanin"/>
          <w:lang w:bidi="fa-IR"/>
          <w:color w:val="111111"/>
          <w:sz w:val="28"/>
          <w:szCs w:val="28"/>
          <w:rtl/>
        </w:rPr>
        <w:t xml:space="preserve">بن اسعد</w:t>
      </w:r>
    </w:p>
    <w:p>
      <w:pPr>
        <w:pStyle w:val="Heading2"/>
      </w:pPr>
      <w:bookmarkStart w:id="5839" w:name="_Toc4941"/>
      <w:r>
        <w:t>عبدالله بن حر</w:t>
      </w:r>
      <w:bookmarkEnd w:id="5839"/>
    </w:p>
    <w:p>
      <w:pPr>
        <w:pStyle w:val="BookText"/>
      </w:pPr>
      <w:r>
        <w:rPr>
          <w:rFonts w:ascii="Amiri" w:hAnsi="Amiri" w:eastAsia="Amiri" w:cs="Amiri"/>
          <w:lang w:bidi="ar-SA"/>
          <w:color w:val="111111"/>
          <w:sz w:val="28"/>
          <w:szCs w:val="28"/>
          <w:rtl/>
        </w:rPr>
        <w:t xml:space="preserve">كتاب عبدالله بن الحر، ج13، ص108.</w:t>
      </w:r>
    </w:p>
    <w:p>
      <w:pPr>
        <w:pStyle w:val="BookText"/>
      </w:pPr>
      <w:r>
        <w:rPr>
          <w:rFonts w:ascii="Amiri" w:hAnsi="Amiri" w:eastAsia="Amiri" w:cs="Amiri"/>
          <w:lang w:bidi="ar-SA"/>
          <w:color w:val="111111"/>
          <w:sz w:val="28"/>
          <w:szCs w:val="28"/>
          <w:rtl/>
        </w:rPr>
        <w:t xml:space="preserve">عبدالله بن حسن بن علي مكي حسني</w:t>
      </w:r>
    </w:p>
    <w:p>
      <w:pPr>
        <w:pStyle w:val="BookText"/>
      </w:pPr>
      <w:r>
        <w:rPr>
          <w:rFonts w:ascii="IRNazanin" w:hAnsi="IRNazanin" w:eastAsia="IRNazanin" w:cs="IRNazanin"/>
          <w:lang w:bidi="fa-IR"/>
          <w:color w:val="111111"/>
          <w:sz w:val="28"/>
          <w:szCs w:val="28"/>
          <w:rtl/>
        </w:rPr>
        <w:t xml:space="preserve">گيلاني- مكي حسيني ، عبدالله بن حسن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49" w:name="pg7742_70745"/>
    <w:bookmarkEnd w:id="749"/>
    <w:p>
      <w:pPr>
        <w:pStyle w:val="BookText"/>
      </w:pPr>
      <w:r>
        <w:rPr>
          <w:rFonts w:ascii="Amiri" w:hAnsi="Amiri" w:eastAsia="Amiri" w:cs="Amiri"/>
          <w:lang w:bidi="ar-SA"/>
          <w:color w:val="111111"/>
          <w:sz w:val="28"/>
          <w:szCs w:val="28"/>
          <w:rtl/>
        </w:rPr>
        <w:t xml:space="preserve">عبدالله بن حسن حجازي -حجازي ،</w:t>
      </w:r>
    </w:p>
    <w:p>
      <w:pPr>
        <w:pStyle w:val="BookText"/>
      </w:pPr>
      <w:r>
        <w:rPr>
          <w:rFonts w:ascii="IRNazanin" w:hAnsi="IRNazanin" w:eastAsia="IRNazanin" w:cs="IRNazanin"/>
          <w:lang w:bidi="fa-IR"/>
          <w:color w:val="111111"/>
          <w:sz w:val="28"/>
          <w:szCs w:val="28"/>
          <w:rtl/>
        </w:rPr>
        <w:t xml:space="preserve">عبدالله بن حسن</w:t>
      </w:r>
    </w:p>
    <w:p>
      <w:pPr>
        <w:pStyle w:val="BookText"/>
      </w:pPr>
      <w:r>
        <w:rPr>
          <w:rFonts w:ascii="Amiri" w:hAnsi="Amiri" w:eastAsia="Amiri" w:cs="Amiri"/>
          <w:lang w:bidi="ar-SA"/>
          <w:color w:val="111111"/>
          <w:sz w:val="28"/>
          <w:szCs w:val="28"/>
          <w:rtl/>
        </w:rPr>
        <w:t xml:space="preserve">عبدالله بن حسن حسيني علوي مصري -حسيني علوي ، عبدالله بن حسن</w:t>
      </w:r>
    </w:p>
    <w:p>
      <w:pPr>
        <w:pStyle w:val="BookText"/>
      </w:pPr>
      <w:r>
        <w:rPr>
          <w:rFonts w:ascii="Amiri" w:hAnsi="Amiri" w:eastAsia="Amiri" w:cs="Amiri"/>
          <w:lang w:bidi="ar-SA"/>
          <w:color w:val="111111"/>
          <w:sz w:val="28"/>
          <w:szCs w:val="28"/>
          <w:rtl/>
        </w:rPr>
        <w:t xml:space="preserve">عبدالله بن حسن دواري- دواري ، عبدالله</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عبدالله بن حسن مكي جيلاني- مكي</w:t>
      </w:r>
    </w:p>
    <w:p>
      <w:pPr>
        <w:pStyle w:val="BookText"/>
      </w:pPr>
      <w:r>
        <w:rPr>
          <w:rFonts w:ascii="Amiri" w:hAnsi="Amiri" w:eastAsia="Amiri" w:cs="Amiri"/>
          <w:lang w:bidi="ar-SA"/>
          <w:color w:val="111111"/>
          <w:sz w:val="28"/>
          <w:szCs w:val="28"/>
          <w:rtl/>
        </w:rPr>
        <w:t xml:space="preserve">حسيني ، عبدالله بن حسن</w:t>
      </w:r>
    </w:p>
    <w:p>
      <w:pPr>
        <w:pStyle w:val="Heading2"/>
      </w:pPr>
      <w:bookmarkStart w:id="5840" w:name="_Toc4942"/>
      <w:r>
        <w:t>عبدالله بن حيدر بن احمد</w:t>
      </w:r>
      <w:bookmarkEnd w:id="5840"/>
    </w:p>
    <w:p>
      <w:pPr>
        <w:pStyle w:val="BookText"/>
      </w:pPr>
      <w:r>
        <w:rPr>
          <w:rFonts w:ascii="Amiri" w:hAnsi="Amiri" w:eastAsia="Amiri" w:cs="Amiri"/>
          <w:lang w:bidi="ar-SA"/>
          <w:color w:val="111111"/>
          <w:sz w:val="28"/>
          <w:szCs w:val="28"/>
          <w:rtl/>
        </w:rPr>
        <w:t xml:space="preserve">حاشية حاشية اللاري على شرح هداية الحكمة، ج 5، ص 844.</w:t>
      </w:r>
    </w:p>
    <w:p>
      <w:pPr>
        <w:pStyle w:val="BookText"/>
      </w:pPr>
      <w:r>
        <w:rPr>
          <w:rFonts w:ascii="Amiri" w:hAnsi="Amiri" w:eastAsia="Amiri" w:cs="Amiri"/>
          <w:lang w:bidi="ar-SA"/>
          <w:color w:val="111111"/>
          <w:sz w:val="28"/>
          <w:szCs w:val="28"/>
          <w:rtl/>
        </w:rPr>
        <w:t xml:space="preserve">عبدالله بن حسين تستري- شوشتري</w:t>
      </w:r>
    </w:p>
    <w:p>
      <w:pPr>
        <w:pStyle w:val="BookText"/>
      </w:pPr>
      <w:r>
        <w:rPr>
          <w:rFonts w:ascii="Amiri" w:hAnsi="Amiri" w:eastAsia="Amiri" w:cs="Amiri"/>
          <w:lang w:bidi="ar-SA"/>
          <w:color w:val="111111"/>
          <w:sz w:val="28"/>
          <w:szCs w:val="28"/>
          <w:rtl/>
        </w:rPr>
        <w:t xml:space="preserve">عبدالله بن حسين سويدي -سويدي عبدالله بن حسين</w:t>
      </w:r>
    </w:p>
    <w:p>
      <w:pPr>
        <w:pStyle w:val="BookText"/>
      </w:pPr>
      <w:r>
        <w:rPr>
          <w:rFonts w:ascii="IRNazanin" w:hAnsi="IRNazanin" w:eastAsia="IRNazanin" w:cs="IRNazanin"/>
          <w:lang w:bidi="fa-IR"/>
          <w:color w:val="111111"/>
          <w:sz w:val="28"/>
          <w:szCs w:val="28"/>
          <w:rtl/>
        </w:rPr>
        <w:t xml:space="preserve">عبدالله بن حسين عبدالله بن حسین شاه آبادي يزدي -يزدي ، ملاعبدالله بن حسين</w:t>
      </w:r>
    </w:p>
    <w:p>
      <w:pPr>
        <w:pStyle w:val="BookText"/>
      </w:pPr>
      <w:r>
        <w:rPr>
          <w:rFonts w:ascii="Amiri" w:hAnsi="Amiri" w:eastAsia="Amiri" w:cs="Amiri"/>
          <w:lang w:bidi="ar-SA"/>
          <w:color w:val="111111"/>
          <w:sz w:val="28"/>
          <w:szCs w:val="28"/>
          <w:rtl/>
        </w:rPr>
        <w:t xml:space="preserve">عبدالله بن حسين عكبري -عكبري ، عبدالله بن حسين</w:t>
      </w:r>
    </w:p>
    <w:p>
      <w:pPr>
        <w:pStyle w:val="BookText"/>
      </w:pPr>
      <w:r>
        <w:rPr>
          <w:rFonts w:ascii="Amiri" w:hAnsi="Amiri" w:eastAsia="Amiri" w:cs="Amiri"/>
          <w:lang w:bidi="ar-SA"/>
          <w:color w:val="111111"/>
          <w:sz w:val="28"/>
          <w:szCs w:val="28"/>
          <w:rtl/>
        </w:rPr>
        <w:t xml:space="preserve">عبدالله بن حسين ناصحي -ناصحي ،</w:t>
      </w:r>
    </w:p>
    <w:p>
      <w:pPr>
        <w:pStyle w:val="BookText"/>
      </w:pPr>
      <w:r>
        <w:rPr>
          <w:rFonts w:ascii="Amiri" w:hAnsi="Amiri" w:eastAsia="Amiri" w:cs="Amiri"/>
          <w:lang w:bidi="ar-SA"/>
          <w:color w:val="111111"/>
          <w:sz w:val="28"/>
          <w:szCs w:val="28"/>
          <w:rtl/>
        </w:rPr>
        <w:t xml:space="preserve">عبدالله بن حسين</w:t>
      </w:r>
    </w:p>
    <w:p>
      <w:pPr>
        <w:pStyle w:val="BookText"/>
      </w:pPr>
      <w:r>
        <w:rPr>
          <w:rFonts w:ascii="Amiri" w:hAnsi="Amiri" w:eastAsia="Amiri" w:cs="Amiri"/>
          <w:lang w:bidi="ar-SA"/>
          <w:color w:val="111111"/>
          <w:sz w:val="28"/>
          <w:szCs w:val="28"/>
          <w:rtl/>
        </w:rPr>
        <w:t xml:space="preserve">عبدالله بن حسين هكيري - هكيري ،</w:t>
      </w:r>
    </w:p>
    <w:p>
      <w:pPr>
        <w:pStyle w:val="BookText"/>
      </w:pPr>
      <w:r>
        <w:rPr>
          <w:rFonts w:ascii="IRNazanin" w:hAnsi="IRNazanin" w:eastAsia="IRNazanin" w:cs="IRNazanin"/>
          <w:lang w:bidi="fa-IR"/>
          <w:color w:val="111111"/>
          <w:sz w:val="28"/>
          <w:szCs w:val="28"/>
          <w:rtl/>
        </w:rPr>
        <w:t xml:space="preserve">ابو البقاء</w:t>
      </w:r>
    </w:p>
    <w:p>
      <w:pPr>
        <w:pStyle w:val="BookText"/>
      </w:pPr>
      <w:r>
        <w:rPr>
          <w:rFonts w:ascii="Amiri" w:hAnsi="Amiri" w:eastAsia="Amiri" w:cs="Amiri"/>
          <w:lang w:bidi="ar-SA"/>
          <w:color w:val="111111"/>
          <w:sz w:val="28"/>
          <w:szCs w:val="28"/>
          <w:rtl/>
        </w:rPr>
        <w:t xml:space="preserve">عبدالله بن حسين يسري ي-سري ، عبد الله</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عبدالله بن حماه الله -غلاوي ، عبدالله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عبدالله بن حمزه حسني يمني- منصور</w:t>
      </w:r>
    </w:p>
    <w:p>
      <w:pPr>
        <w:pStyle w:val="BookText"/>
      </w:pPr>
      <w:r>
        <w:rPr>
          <w:rFonts w:ascii="IRNazanin" w:hAnsi="IRNazanin" w:eastAsia="IRNazanin" w:cs="IRNazanin"/>
          <w:lang w:bidi="fa-IR"/>
          <w:color w:val="111111"/>
          <w:sz w:val="28"/>
          <w:szCs w:val="28"/>
          <w:rtl/>
        </w:rPr>
        <w:t xml:space="preserve">بالله ، عبدالله بن حمزه</w:t>
      </w:r>
    </w:p>
    <w:p>
      <w:pPr>
        <w:pStyle w:val="BookText"/>
      </w:pPr>
      <w:r>
        <w:rPr>
          <w:rFonts w:ascii="Amiri" w:hAnsi="Amiri" w:eastAsia="Amiri" w:cs="Amiri"/>
          <w:lang w:bidi="ar-SA"/>
          <w:color w:val="111111"/>
          <w:sz w:val="28"/>
          <w:szCs w:val="28"/>
          <w:rtl/>
        </w:rPr>
        <w:t xml:space="preserve">عبدالله بن حيان اصفهاني- اصفهاني ،</w:t>
      </w:r>
    </w:p>
    <w:p>
      <w:pPr>
        <w:pStyle w:val="BookText"/>
      </w:pPr>
      <w:r>
        <w:rPr>
          <w:rFonts w:ascii="IRNazanin" w:hAnsi="IRNazanin" w:eastAsia="IRNazanin" w:cs="IRNazanin"/>
          <w:lang w:bidi="fa-IR"/>
          <w:color w:val="111111"/>
          <w:sz w:val="28"/>
          <w:szCs w:val="28"/>
          <w:rtl/>
        </w:rPr>
        <w:t xml:space="preserve">عبدالله بن حیان</w:t>
      </w:r>
    </w:p>
    <w:p>
      <w:pPr>
        <w:pStyle w:val="BookText"/>
      </w:pPr>
      <w:r>
        <w:rPr>
          <w:rFonts w:ascii="Amiri" w:hAnsi="Amiri" w:eastAsia="Amiri" w:cs="Amiri"/>
          <w:lang w:bidi="ar-SA"/>
          <w:color w:val="111111"/>
          <w:sz w:val="28"/>
          <w:szCs w:val="28"/>
          <w:rtl/>
        </w:rPr>
        <w:t xml:space="preserve">عبدالله بن حيدر سهراني- سهراني ، عبد الله</w:t>
      </w:r>
    </w:p>
    <w:p>
      <w:pPr>
        <w:pStyle w:val="BookText"/>
      </w:pPr>
      <w:r>
        <w:rPr>
          <w:rFonts w:ascii="Amiri" w:hAnsi="Amiri" w:eastAsia="Amiri" w:cs="Amiri"/>
          <w:lang w:bidi="ar-SA"/>
          <w:color w:val="111111"/>
          <w:sz w:val="28"/>
          <w:szCs w:val="28"/>
          <w:rtl/>
        </w:rPr>
        <w:t xml:space="preserve">بن حيدر</w:t>
      </w:r>
    </w:p>
    <w:p>
      <w:pPr>
        <w:pStyle w:val="BookText"/>
      </w:pPr>
      <w:r>
        <w:rPr>
          <w:rFonts w:ascii="Amiri" w:hAnsi="Amiri" w:eastAsia="Amiri" w:cs="Amiri"/>
          <w:lang w:bidi="ar-SA"/>
          <w:color w:val="111111"/>
          <w:sz w:val="28"/>
          <w:szCs w:val="28"/>
          <w:rtl/>
        </w:rPr>
        <w:t xml:space="preserve">عبدالله بن حيدر كردي حسين</w:t>
      </w:r>
    </w:p>
    <w:p>
      <w:pPr>
        <w:pStyle w:val="BookText"/>
      </w:pPr>
      <w:r>
        <w:rPr>
          <w:rFonts w:ascii="Amiri" w:hAnsi="Amiri" w:eastAsia="Amiri" w:cs="Amiri"/>
          <w:lang w:bidi="ar-SA"/>
          <w:color w:val="111111"/>
          <w:sz w:val="28"/>
          <w:szCs w:val="28"/>
          <w:rtl/>
        </w:rPr>
        <w:t xml:space="preserve">آبادي -كردي حسين آبادي ، عبدالله بن حيدر</w:t>
      </w:r>
    </w:p>
    <w:p>
      <w:pPr>
        <w:pStyle w:val="BookText"/>
      </w:pPr>
      <w:r>
        <w:rPr>
          <w:rFonts w:ascii="Amiri" w:hAnsi="Amiri" w:eastAsia="Amiri" w:cs="Amiri"/>
          <w:lang w:bidi="ar-SA"/>
          <w:color w:val="111111"/>
          <w:sz w:val="28"/>
          <w:szCs w:val="28"/>
          <w:rtl/>
        </w:rPr>
        <w:t xml:space="preserve">عبد الله بن خضر كردي -ردي ، عبدالله بن</w:t>
      </w:r>
    </w:p>
    <w:p>
      <w:pPr>
        <w:pStyle w:val="BookText"/>
      </w:pPr>
      <w:r>
        <w:rPr>
          <w:rFonts w:ascii="IRNazanin" w:hAnsi="IRNazanin" w:eastAsia="IRNazanin" w:cs="IRNazanin"/>
          <w:lang w:bidi="fa-IR"/>
          <w:color w:val="111111"/>
          <w:sz w:val="28"/>
          <w:szCs w:val="28"/>
          <w:rtl/>
        </w:rPr>
        <w:t xml:space="preserve">خضر</w:t>
      </w:r>
    </w:p>
    <w:p>
      <w:pPr>
        <w:pStyle w:val="Heading2"/>
      </w:pPr>
      <w:bookmarkStart w:id="5841" w:name="_Toc4943"/>
      <w:r>
        <w:t>عبدالله بن خليل قرن 11 ه-</w:t>
      </w:r>
      <w:bookmarkEnd w:id="5841"/>
    </w:p>
    <w:p>
      <w:pPr>
        <w:pStyle w:val="BookText"/>
      </w:pPr>
      <w:r>
        <w:rPr>
          <w:rFonts w:ascii="Amiri" w:hAnsi="Amiri" w:eastAsia="Amiri" w:cs="Amiri"/>
          <w:lang w:bidi="ar-SA"/>
          <w:color w:val="111111"/>
          <w:sz w:val="28"/>
          <w:szCs w:val="28"/>
          <w:rtl/>
        </w:rPr>
        <w:t xml:space="preserve">الارث = رسالة في المواريث، ج 1، ص 750</w:t>
      </w:r>
    </w:p>
    <w:p>
      <w:pPr>
        <w:pStyle w:val="BookText"/>
      </w:pPr>
      <w:r>
        <w:rPr>
          <w:rFonts w:ascii="Amiri" w:hAnsi="Amiri" w:eastAsia="Amiri" w:cs="Amiri"/>
          <w:lang w:bidi="ar-SA"/>
          <w:color w:val="111111"/>
          <w:sz w:val="28"/>
          <w:szCs w:val="28"/>
          <w:rtl/>
        </w:rPr>
        <w:t xml:space="preserve">عبدالله بن خليل مارداني- مارديني ، عبدالله بن خليل</w:t>
      </w:r>
    </w:p>
    <w:p>
      <w:pPr>
        <w:pStyle w:val="BookText"/>
      </w:pPr>
      <w:r>
        <w:rPr>
          <w:rFonts w:ascii="Amiri" w:hAnsi="Amiri" w:eastAsia="Amiri" w:cs="Amiri"/>
          <w:lang w:bidi="ar-SA"/>
          <w:color w:val="111111"/>
          <w:sz w:val="28"/>
          <w:szCs w:val="28"/>
          <w:rtl/>
        </w:rPr>
        <w:t xml:space="preserve">عبدالله بن رضوان جلبي -جلبي ، عبدالله</w:t>
      </w:r>
    </w:p>
    <w:p>
      <w:pPr>
        <w:pStyle w:val="BookText"/>
      </w:pPr>
      <w:r>
        <w:rPr>
          <w:rFonts w:ascii="IRNazanin" w:hAnsi="IRNazanin" w:eastAsia="IRNazanin" w:cs="IRNazanin"/>
          <w:lang w:bidi="fa-IR"/>
          <w:color w:val="111111"/>
          <w:sz w:val="28"/>
          <w:szCs w:val="28"/>
          <w:rtl/>
        </w:rPr>
        <w:t xml:space="preserve">بن رضوان</w:t>
      </w:r>
    </w:p>
    <w:p>
      <w:pPr>
        <w:pStyle w:val="BookText"/>
      </w:pPr>
      <w:r>
        <w:rPr>
          <w:rFonts w:ascii="Amiri" w:hAnsi="Amiri" w:eastAsia="Amiri" w:cs="Amiri"/>
          <w:lang w:bidi="ar-SA"/>
          <w:color w:val="111111"/>
          <w:sz w:val="28"/>
          <w:szCs w:val="28"/>
          <w:rtl/>
        </w:rPr>
        <w:t xml:space="preserve">عبد الله بن زين الدين عمري عجلوني -عمري ، عبدالله بن زين الدين</w:t>
      </w:r>
    </w:p>
    <w:p>
      <w:pPr>
        <w:pStyle w:val="BookText"/>
      </w:pPr>
      <w:r>
        <w:rPr>
          <w:rFonts w:ascii="Amiri" w:hAnsi="Amiri" w:eastAsia="Amiri" w:cs="Amiri"/>
          <w:lang w:bidi="ar-SA"/>
          <w:color w:val="111111"/>
          <w:sz w:val="28"/>
          <w:szCs w:val="28"/>
          <w:rtl/>
        </w:rPr>
        <w:t xml:space="preserve">عبدالله بن زين العابدين مالي -مالي</w:t>
      </w:r>
    </w:p>
    <w:p>
      <w:pPr>
        <w:pStyle w:val="BookText"/>
      </w:pPr>
      <w:r>
        <w:rPr>
          <w:rFonts w:ascii="IRNazanin" w:hAnsi="IRNazanin" w:eastAsia="IRNazanin" w:cs="IRNazanin"/>
          <w:lang w:bidi="fa-IR"/>
          <w:color w:val="111111"/>
          <w:sz w:val="28"/>
          <w:szCs w:val="28"/>
          <w:rtl/>
        </w:rPr>
        <w:t xml:space="preserve">عبدالله بن زین العابدين</w:t>
      </w:r>
    </w:p>
    <w:p>
      <w:pPr>
        <w:pStyle w:val="BookText"/>
      </w:pPr>
      <w:r>
        <w:rPr>
          <w:rFonts w:ascii="IRNazanin" w:hAnsi="IRNazanin" w:eastAsia="IRNazanin" w:cs="IRNazanin"/>
          <w:lang w:bidi="fa-IR"/>
          <w:color w:val="111111"/>
          <w:sz w:val="28"/>
          <w:szCs w:val="28"/>
          <w:rtl/>
        </w:rPr>
        <w:t xml:space="preserve">عبد الله بن سالم -ابن سالم ، عبدالله بن</w:t>
      </w:r>
    </w:p>
    <w:p>
      <w:pPr>
        <w:pStyle w:val="BookText"/>
      </w:pPr>
      <w:r>
        <w:rPr>
          <w:rFonts w:ascii="IRNazanin" w:hAnsi="IRNazanin" w:eastAsia="IRNazanin" w:cs="IRNazanin"/>
          <w:lang w:bidi="fa-IR"/>
          <w:color w:val="111111"/>
          <w:sz w:val="28"/>
          <w:szCs w:val="28"/>
          <w:rtl/>
        </w:rPr>
        <w:t xml:space="preserve">سالم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50" w:name="pg7742_70746"/>
    <w:bookmarkEnd w:id="750"/>
    <w:p>
      <w:pPr>
        <w:pStyle w:val="BookText"/>
      </w:pPr>
      <w:r>
        <w:rPr>
          <w:rFonts w:ascii="Amiri" w:hAnsi="Amiri" w:eastAsia="Amiri" w:cs="Amiri"/>
          <w:lang w:bidi="ar-SA"/>
          <w:color w:val="111111"/>
          <w:sz w:val="28"/>
          <w:szCs w:val="28"/>
          <w:rtl/>
        </w:rPr>
        <w:t xml:space="preserve">عبدالله بن سعد ازدي اندلسي ابن ابي جمره- ابن ابي جمرة ، عبدالله بن سعد</w:t>
      </w:r>
    </w:p>
    <w:p>
      <w:pPr>
        <w:pStyle w:val="BookText"/>
      </w:pPr>
      <w:r>
        <w:rPr>
          <w:rFonts w:ascii="Amiri" w:hAnsi="Amiri" w:eastAsia="Amiri" w:cs="Amiri"/>
          <w:lang w:bidi="ar-SA"/>
          <w:color w:val="111111"/>
          <w:sz w:val="28"/>
          <w:szCs w:val="28"/>
          <w:rtl/>
        </w:rPr>
        <w:t xml:space="preserve">عبدالله بن سعد بن ابي حمزه- ابن ابي</w:t>
      </w:r>
    </w:p>
    <w:p>
      <w:pPr>
        <w:pStyle w:val="BookText"/>
      </w:pPr>
      <w:r>
        <w:rPr>
          <w:rFonts w:ascii="Amiri" w:hAnsi="Amiri" w:eastAsia="Amiri" w:cs="Amiri"/>
          <w:lang w:bidi="ar-SA"/>
          <w:color w:val="111111"/>
          <w:sz w:val="28"/>
          <w:szCs w:val="28"/>
          <w:rtl/>
        </w:rPr>
        <w:t xml:space="preserve">جمرة ، عبدالله بن سعد</w:t>
      </w:r>
    </w:p>
    <w:p>
      <w:pPr>
        <w:pStyle w:val="BookText"/>
      </w:pPr>
      <w:r>
        <w:rPr>
          <w:rFonts w:ascii="Amiri" w:hAnsi="Amiri" w:eastAsia="Amiri" w:cs="Amiri"/>
          <w:lang w:bidi="ar-SA"/>
          <w:color w:val="111111"/>
          <w:sz w:val="28"/>
          <w:szCs w:val="28"/>
          <w:rtl/>
        </w:rPr>
        <w:t xml:space="preserve">عبدالله بن سعد عمراوي</w:t>
      </w:r>
    </w:p>
    <w:p>
      <w:pPr>
        <w:pStyle w:val="BookText"/>
      </w:pPr>
      <w:r>
        <w:rPr>
          <w:rFonts w:ascii="Amiri" w:hAnsi="Amiri" w:eastAsia="Amiri" w:cs="Amiri"/>
          <w:lang w:bidi="ar-SA"/>
          <w:color w:val="111111"/>
          <w:sz w:val="28"/>
          <w:szCs w:val="28"/>
          <w:rtl/>
        </w:rPr>
        <w:t xml:space="preserve">حرفوش -حريفيش ، شعيب بن سعد</w:t>
      </w:r>
    </w:p>
    <w:p>
      <w:pPr>
        <w:pStyle w:val="BookText"/>
      </w:pPr>
      <w:r>
        <w:rPr>
          <w:rFonts w:ascii="Amiri" w:hAnsi="Amiri" w:eastAsia="Amiri" w:cs="Amiri"/>
          <w:lang w:bidi="ar-SA"/>
          <w:color w:val="111111"/>
          <w:sz w:val="28"/>
          <w:szCs w:val="28"/>
          <w:rtl/>
        </w:rPr>
        <w:t xml:space="preserve">عبدالله بن سعيد بن حسين - حلبي</w:t>
      </w:r>
    </w:p>
    <w:p>
      <w:pPr>
        <w:pStyle w:val="BookText"/>
      </w:pPr>
      <w:r>
        <w:rPr>
          <w:rFonts w:ascii="Amiri" w:hAnsi="Amiri" w:eastAsia="Amiri" w:cs="Amiri"/>
          <w:lang w:bidi="ar-SA"/>
          <w:color w:val="111111"/>
          <w:sz w:val="28"/>
          <w:szCs w:val="28"/>
          <w:rtl/>
        </w:rPr>
        <w:t xml:space="preserve">عبدالله بن حسين</w:t>
      </w:r>
    </w:p>
    <w:p>
      <w:pPr>
        <w:pStyle w:val="BookText"/>
      </w:pPr>
      <w:r>
        <w:rPr>
          <w:rFonts w:ascii="Amiri" w:hAnsi="Amiri" w:eastAsia="Amiri" w:cs="Amiri"/>
          <w:lang w:bidi="ar-SA"/>
          <w:color w:val="111111"/>
          <w:sz w:val="28"/>
          <w:szCs w:val="28"/>
          <w:rtl/>
        </w:rPr>
        <w:t xml:space="preserve">ب عبدالله بن سعيد بن حصين كندي- اشج ، عبدالله بن سعيد</w:t>
      </w:r>
    </w:p>
    <w:p>
      <w:pPr>
        <w:pStyle w:val="BookText"/>
      </w:pPr>
      <w:r>
        <w:rPr>
          <w:rFonts w:ascii="Amiri" w:hAnsi="Amiri" w:eastAsia="Amiri" w:cs="Amiri"/>
          <w:lang w:bidi="ar-SA"/>
          <w:color w:val="111111"/>
          <w:sz w:val="28"/>
          <w:szCs w:val="28"/>
          <w:rtl/>
        </w:rPr>
        <w:t xml:space="preserve">عبدالله بن سعيد حلي-حلي ، عبدالله بن سعيد</w:t>
      </w:r>
    </w:p>
    <w:p>
      <w:pPr>
        <w:pStyle w:val="Heading2"/>
      </w:pPr>
      <w:bookmarkStart w:id="5842" w:name="_Toc4944"/>
      <w:r>
        <w:t>عبدالله بن سلام - 43 ه-</w:t>
      </w:r>
      <w:bookmarkEnd w:id="5842"/>
    </w:p>
    <w:p>
      <w:pPr>
        <w:pStyle w:val="BookText"/>
      </w:pPr>
      <w:r>
        <w:rPr>
          <w:rFonts w:ascii="IRNazanin" w:hAnsi="IRNazanin" w:eastAsia="IRNazanin" w:cs="IRNazanin"/>
          <w:lang w:bidi="fa-IR"/>
          <w:color w:val="111111"/>
          <w:sz w:val="28"/>
          <w:szCs w:val="28"/>
          <w:rtl/>
        </w:rPr>
        <w:t xml:space="preserve">مسائل عبدالله بن سلام، ج 14، ص 458 .</w:t>
      </w:r>
    </w:p>
    <w:p>
      <w:pPr>
        <w:pStyle w:val="BookText"/>
      </w:pPr>
      <w:r>
        <w:rPr>
          <w:rFonts w:ascii="IRNazanin" w:hAnsi="IRNazanin" w:eastAsia="IRNazanin" w:cs="IRNazanin"/>
          <w:lang w:bidi="fa-IR"/>
          <w:color w:val="111111"/>
          <w:sz w:val="28"/>
          <w:szCs w:val="28"/>
          <w:rtl/>
        </w:rPr>
        <w:t xml:space="preserve">عبدالله بن سلام بن الحارث- عبدالله بن سلام</w:t>
      </w:r>
    </w:p>
    <w:p>
      <w:pPr>
        <w:pStyle w:val="BookText"/>
      </w:pPr>
      <w:r>
        <w:rPr>
          <w:rFonts w:ascii="Amiri" w:hAnsi="Amiri" w:eastAsia="Amiri" w:cs="Amiri"/>
          <w:lang w:bidi="ar-SA"/>
          <w:color w:val="111111"/>
          <w:sz w:val="28"/>
          <w:szCs w:val="28"/>
          <w:rtl/>
        </w:rPr>
        <w:t xml:space="preserve">سلام عبدالله بن سليمان سجستاني - سجستاني ،</w:t>
      </w:r>
    </w:p>
    <w:p>
      <w:pPr>
        <w:pStyle w:val="BookText"/>
      </w:pPr>
      <w:r>
        <w:rPr>
          <w:rFonts w:ascii="Amiri" w:hAnsi="Amiri" w:eastAsia="Amiri" w:cs="Amiri"/>
          <w:lang w:bidi="ar-SA"/>
          <w:color w:val="111111"/>
          <w:sz w:val="28"/>
          <w:szCs w:val="28"/>
          <w:rtl/>
        </w:rPr>
        <w:t xml:space="preserve">عبدالله بن سليمان</w:t>
      </w:r>
    </w:p>
    <w:p>
      <w:pPr>
        <w:pStyle w:val="BookText"/>
      </w:pPr>
      <w:r>
        <w:rPr>
          <w:rFonts w:ascii="IRNazanin" w:hAnsi="IRNazanin" w:eastAsia="IRNazanin" w:cs="IRNazanin"/>
          <w:lang w:bidi="fa-IR"/>
          <w:color w:val="111111"/>
          <w:sz w:val="28"/>
          <w:szCs w:val="28"/>
          <w:rtl/>
        </w:rPr>
        <w:t xml:space="preserve">عبدالله بن سليمان مزي -مزي ، عبد الله بن سلیمان</w:t>
      </w:r>
    </w:p>
    <w:p>
      <w:pPr>
        <w:pStyle w:val="BookText"/>
      </w:pPr>
      <w:r>
        <w:rPr>
          <w:rFonts w:ascii="Amiri" w:hAnsi="Amiri" w:eastAsia="Amiri" w:cs="Amiri"/>
          <w:lang w:bidi="ar-SA"/>
          <w:color w:val="111111"/>
          <w:sz w:val="28"/>
          <w:szCs w:val="28"/>
          <w:rtl/>
        </w:rPr>
        <w:t xml:space="preserve">عبدالله بن سهيل نحوي- ابن سهيل</w:t>
      </w:r>
    </w:p>
    <w:p>
      <w:pPr>
        <w:pStyle w:val="BookText"/>
      </w:pPr>
      <w:r>
        <w:rPr>
          <w:rFonts w:ascii="Amiri" w:hAnsi="Amiri" w:eastAsia="Amiri" w:cs="Amiri"/>
          <w:lang w:bidi="ar-SA"/>
          <w:color w:val="111111"/>
          <w:sz w:val="28"/>
          <w:szCs w:val="28"/>
          <w:rtl/>
        </w:rPr>
        <w:t xml:space="preserve">عبدالله بن سهيل نحوي</w:t>
      </w:r>
    </w:p>
    <w:p>
      <w:pPr>
        <w:pStyle w:val="Heading2"/>
      </w:pPr>
      <w:bookmarkStart w:id="5843" w:name="_Toc4945"/>
      <w:r>
        <w:t>عبدالله بن شمس الدين قرن 12 ه-</w:t>
      </w:r>
      <w:bookmarkEnd w:id="5843"/>
    </w:p>
    <w:p>
      <w:pPr>
        <w:pStyle w:val="BookText"/>
      </w:pPr>
      <w:r>
        <w:rPr>
          <w:rFonts w:ascii="Amiri" w:hAnsi="Amiri" w:eastAsia="Amiri" w:cs="Amiri"/>
          <w:lang w:bidi="ar-SA"/>
          <w:color w:val="111111"/>
          <w:sz w:val="28"/>
          <w:szCs w:val="28"/>
          <w:rtl/>
        </w:rPr>
        <w:t xml:space="preserve">ذات الشفاء في سيرة المصطفى و من</w:t>
      </w:r>
    </w:p>
    <w:p>
      <w:pPr>
        <w:pStyle w:val="BookText"/>
      </w:pPr>
      <w:r>
        <w:rPr>
          <w:rFonts w:ascii="IRNazanin" w:hAnsi="IRNazanin" w:eastAsia="IRNazanin" w:cs="IRNazanin"/>
          <w:lang w:bidi="fa-IR"/>
          <w:color w:val="111111"/>
          <w:sz w:val="28"/>
          <w:szCs w:val="28"/>
          <w:rtl/>
        </w:rPr>
        <w:t xml:space="preserve">بعده من الخلفاء (ترجمه)، ج7،</w:t>
      </w:r>
    </w:p>
    <w:p>
      <w:pPr>
        <w:pStyle w:val="BookText"/>
      </w:pPr>
      <w:r>
        <w:rPr>
          <w:rFonts w:ascii="IRNazanin" w:hAnsi="IRNazanin" w:eastAsia="IRNazanin" w:cs="IRNazanin"/>
          <w:lang w:bidi="fa-IR"/>
          <w:color w:val="111111"/>
          <w:sz w:val="28"/>
          <w:szCs w:val="28"/>
          <w:rtl/>
        </w:rPr>
        <w:t xml:space="preserve">ص 808.</w:t>
      </w:r>
    </w:p>
    <w:p>
      <w:pPr>
        <w:pStyle w:val="BookText"/>
      </w:pPr>
      <w:r>
        <w:rPr>
          <w:rFonts w:ascii="IRNazanin" w:hAnsi="IRNazanin" w:eastAsia="IRNazanin" w:cs="IRNazanin"/>
          <w:lang w:bidi="fa-IR"/>
          <w:color w:val="111111"/>
          <w:sz w:val="28"/>
          <w:szCs w:val="28"/>
          <w:rtl/>
        </w:rPr>
        <w:t xml:space="preserve">عبدالله بن شمس الدین محمّد گيلاني- گيلاني ، عبدالله بن محمّد</w:t>
      </w:r>
    </w:p>
    <w:p>
      <w:pPr>
        <w:pStyle w:val="BookText"/>
      </w:pPr>
      <w:r>
        <w:rPr>
          <w:rFonts w:ascii="Amiri" w:hAnsi="Amiri" w:eastAsia="Amiri" w:cs="Amiri"/>
          <w:lang w:bidi="ar-SA"/>
          <w:color w:val="111111"/>
          <w:sz w:val="28"/>
          <w:szCs w:val="28"/>
          <w:rtl/>
        </w:rPr>
        <w:t xml:space="preserve">عبد الله بن صالح الاوالي- اوالي ، عبد الله بن</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Amiri" w:hAnsi="Amiri" w:eastAsia="Amiri" w:cs="Amiri"/>
          <w:lang w:bidi="ar-SA"/>
          <w:color w:val="111111"/>
          <w:sz w:val="28"/>
          <w:szCs w:val="28"/>
          <w:rtl/>
        </w:rPr>
        <w:t xml:space="preserve">عبد الله بن صالح السماهيجي -سماهيجي</w:t>
      </w:r>
    </w:p>
    <w:p>
      <w:pPr>
        <w:pStyle w:val="BookText"/>
      </w:pPr>
      <w:r>
        <w:rPr>
          <w:rFonts w:ascii="IRNazanin" w:hAnsi="IRNazanin" w:eastAsia="IRNazanin" w:cs="IRNazanin"/>
          <w:lang w:bidi="fa-IR"/>
          <w:color w:val="111111"/>
          <w:sz w:val="28"/>
          <w:szCs w:val="28"/>
          <w:rtl/>
        </w:rPr>
        <w:t xml:space="preserve">، عبدالله بن صالح</w:t>
      </w:r>
    </w:p>
    <w:p>
      <w:pPr>
        <w:pStyle w:val="BookText"/>
      </w:pPr>
      <w:r>
        <w:rPr>
          <w:rFonts w:ascii="Amiri" w:hAnsi="Amiri" w:eastAsia="Amiri" w:cs="Amiri"/>
          <w:lang w:bidi="ar-SA"/>
          <w:color w:val="111111"/>
          <w:sz w:val="28"/>
          <w:szCs w:val="28"/>
          <w:rtl/>
        </w:rPr>
        <w:t xml:space="preserve">عبد الله بن صالح -ايوبي ، عبد الله بن</w:t>
      </w:r>
    </w:p>
    <w:p>
      <w:pPr>
        <w:pStyle w:val="BookText"/>
      </w:pPr>
      <w:r>
        <w:rPr>
          <w:rFonts w:ascii="Amiri" w:hAnsi="Amiri" w:eastAsia="Amiri" w:cs="Amiri"/>
          <w:lang w:bidi="ar-SA"/>
          <w:color w:val="111111"/>
          <w:sz w:val="28"/>
          <w:szCs w:val="28"/>
          <w:rtl/>
        </w:rPr>
        <w:t xml:space="preserve">محمّد صالح</w:t>
      </w:r>
    </w:p>
    <w:p>
      <w:pPr>
        <w:pStyle w:val="BookText"/>
      </w:pPr>
      <w:r>
        <w:rPr>
          <w:rFonts w:ascii="Amiri" w:hAnsi="Amiri" w:eastAsia="Amiri" w:cs="Amiri"/>
          <w:lang w:bidi="ar-SA"/>
          <w:color w:val="111111"/>
          <w:sz w:val="28"/>
          <w:szCs w:val="28"/>
          <w:rtl/>
        </w:rPr>
        <w:t xml:space="preserve">عبد الله بن ضياء الدين مسعود- بلياني</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Amiri" w:hAnsi="Amiri" w:eastAsia="Amiri" w:cs="Amiri"/>
          <w:lang w:bidi="ar-SA"/>
          <w:color w:val="111111"/>
          <w:sz w:val="28"/>
          <w:szCs w:val="28"/>
          <w:rtl/>
        </w:rPr>
        <w:t xml:space="preserve">عبدالله بن طيب جاثليق عراقي -عراقي</w:t>
      </w:r>
    </w:p>
    <w:p>
      <w:pPr>
        <w:pStyle w:val="BookText"/>
      </w:pPr>
      <w:r>
        <w:rPr>
          <w:rFonts w:ascii="Amiri" w:hAnsi="Amiri" w:eastAsia="Amiri" w:cs="Amiri"/>
          <w:lang w:bidi="ar-SA"/>
          <w:color w:val="111111"/>
          <w:sz w:val="28"/>
          <w:szCs w:val="28"/>
          <w:rtl/>
        </w:rPr>
        <w:t xml:space="preserve">عبدالله بن طيب</w:t>
      </w:r>
    </w:p>
    <w:p>
      <w:pPr>
        <w:pStyle w:val="BookText"/>
      </w:pPr>
      <w:r>
        <w:rPr>
          <w:rFonts w:ascii="IRNazanin" w:hAnsi="IRNazanin" w:eastAsia="IRNazanin" w:cs="IRNazanin"/>
          <w:lang w:bidi="fa-IR"/>
          <w:color w:val="111111"/>
          <w:sz w:val="28"/>
          <w:szCs w:val="28"/>
          <w:rtl/>
        </w:rPr>
        <w:t xml:space="preserve">عبد الله بن عباس- ابن عباس ، عبدالله بن</w:t>
      </w:r>
    </w:p>
    <w:p>
      <w:pPr>
        <w:pStyle w:val="BookText"/>
      </w:pPr>
      <w:r>
        <w:rPr>
          <w:rFonts w:ascii="IRNazanin" w:hAnsi="IRNazanin" w:eastAsia="IRNazanin" w:cs="IRNazanin"/>
          <w:lang w:bidi="fa-IR"/>
          <w:color w:val="111111"/>
          <w:sz w:val="28"/>
          <w:szCs w:val="28"/>
          <w:rtl/>
        </w:rPr>
        <w:t xml:space="preserve">عباس</w:t>
      </w:r>
    </w:p>
    <w:p>
      <w:pPr>
        <w:pStyle w:val="Heading2"/>
      </w:pPr>
      <w:bookmarkStart w:id="5844" w:name="_Toc4946"/>
      <w:r>
        <w:t>عبدالله بن عباس</w:t>
      </w:r>
      <w:bookmarkEnd w:id="5844"/>
    </w:p>
    <w:p>
      <w:pPr>
        <w:pStyle w:val="BookText"/>
      </w:pPr>
      <w:r>
        <w:rPr>
          <w:rFonts w:ascii="Amiri" w:hAnsi="Amiri" w:eastAsia="Amiri" w:cs="Amiri"/>
          <w:lang w:bidi="ar-SA"/>
          <w:color w:val="111111"/>
          <w:sz w:val="28"/>
          <w:szCs w:val="28"/>
          <w:rtl/>
        </w:rPr>
        <w:t xml:space="preserve">العروض (منظومة)، ج11، ص98.</w:t>
      </w:r>
    </w:p>
    <w:p>
      <w:pPr>
        <w:pStyle w:val="BookText"/>
      </w:pPr>
      <w:r>
        <w:rPr>
          <w:rFonts w:ascii="Amiri" w:hAnsi="Amiri" w:eastAsia="Amiri" w:cs="Amiri"/>
          <w:lang w:bidi="ar-SA"/>
          <w:color w:val="111111"/>
          <w:sz w:val="28"/>
          <w:szCs w:val="28"/>
          <w:rtl/>
        </w:rPr>
        <w:t xml:space="preserve">عبدالله بن عباس ستري بحراني- ستري</w:t>
      </w:r>
    </w:p>
    <w:p>
      <w:pPr>
        <w:pStyle w:val="BookText"/>
      </w:pPr>
      <w:r>
        <w:rPr>
          <w:rFonts w:ascii="Amiri" w:hAnsi="Amiri" w:eastAsia="Amiri" w:cs="Amiri"/>
          <w:lang w:bidi="ar-SA"/>
          <w:color w:val="111111"/>
          <w:sz w:val="28"/>
          <w:szCs w:val="28"/>
          <w:rtl/>
        </w:rPr>
        <w:t xml:space="preserve">بحراني ، عبدالله بن عباس</w:t>
      </w:r>
    </w:p>
    <w:p>
      <w:pPr>
        <w:pStyle w:val="BookText"/>
      </w:pPr>
      <w:r>
        <w:rPr>
          <w:rFonts w:ascii="Amiri" w:hAnsi="Amiri" w:eastAsia="Amiri" w:cs="Amiri"/>
          <w:lang w:bidi="ar-SA"/>
          <w:color w:val="111111"/>
          <w:sz w:val="28"/>
          <w:szCs w:val="28"/>
          <w:rtl/>
        </w:rPr>
        <w:t xml:space="preserve">عبدالله بن عبد الحي زبير -زبير ، عبدالله</w:t>
      </w:r>
    </w:p>
    <w:p>
      <w:pPr>
        <w:pStyle w:val="BookText"/>
      </w:pPr>
      <w:r>
        <w:rPr>
          <w:rFonts w:ascii="Amiri" w:hAnsi="Amiri" w:eastAsia="Amiri" w:cs="Amiri"/>
          <w:lang w:bidi="ar-SA"/>
          <w:color w:val="111111"/>
          <w:sz w:val="28"/>
          <w:szCs w:val="28"/>
          <w:rtl/>
        </w:rPr>
        <w:t xml:space="preserve">بن عبدالحي</w:t>
      </w:r>
    </w:p>
    <w:p>
      <w:pPr>
        <w:pStyle w:val="BookText"/>
      </w:pPr>
      <w:r>
        <w:rPr>
          <w:rFonts w:ascii="Amiri" w:hAnsi="Amiri" w:eastAsia="Amiri" w:cs="Amiri"/>
          <w:lang w:bidi="ar-SA"/>
          <w:color w:val="111111"/>
          <w:sz w:val="28"/>
          <w:szCs w:val="28"/>
          <w:rtl/>
        </w:rPr>
        <w:t xml:space="preserve">عبد الله بن عبد الرحمن -عفيف الدين</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عبد الله بن عبد الرحمن الجلي- جلي ،</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عبدالله بن عبدالرحمن حضرمي مذحجي -بافضل ، عبدالله بن عبدالرحمن</w:t>
      </w:r>
    </w:p>
    <w:p>
      <w:pPr>
        <w:pStyle w:val="BookText"/>
      </w:pPr>
      <w:r>
        <w:rPr>
          <w:rFonts w:ascii="Amiri" w:hAnsi="Amiri" w:eastAsia="Amiri" w:cs="Amiri"/>
          <w:lang w:bidi="ar-SA"/>
          <w:color w:val="111111"/>
          <w:sz w:val="28"/>
          <w:szCs w:val="28"/>
          <w:rtl/>
        </w:rPr>
        <w:t xml:space="preserve">عبدالله بن عبدالرحمن حنبلي ميقاتي حلبي -ميقاتي ، عبدالله بن عبدالرحمن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عبدالرحمن ديباجي- ديباجي ،</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عبدالله بن عبد الرحمن راوي - راوي ،</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عبد الله بن عبد الرحمن طولوني - طولوني ،</w:t>
      </w:r>
    </w:p>
    <w:p>
      <w:pPr>
        <w:pStyle w:val="BookText"/>
      </w:pPr>
      <w:r>
        <w:rPr>
          <w:rFonts w:ascii="IRNazanin" w:hAnsi="IRNazanin" w:eastAsia="IRNazanin" w:cs="IRNazanin"/>
          <w:lang w:bidi="fa-IR"/>
          <w:color w:val="111111"/>
          <w:sz w:val="28"/>
          <w:szCs w:val="28"/>
          <w:rtl/>
        </w:rPr>
        <w:t xml:space="preserve">عبدالله بن عبدالرحمن</w:t>
      </w:r>
    </w:p>
    <w:p>
      <w:pPr>
        <w:pStyle w:val="BookText"/>
      </w:pPr>
      <w:r>
        <w:rPr>
          <w:rFonts w:ascii="Amiri" w:hAnsi="Amiri" w:eastAsia="Amiri" w:cs="Amiri"/>
          <w:lang w:bidi="ar-SA"/>
          <w:color w:val="111111"/>
          <w:sz w:val="28"/>
          <w:szCs w:val="28"/>
          <w:rtl/>
        </w:rPr>
        <w:t xml:space="preserve">عبدالله بن عبدالرحمن قيرواني</w:t>
      </w:r>
    </w:p>
    <w:p>
      <w:pPr>
        <w:pStyle w:val="BookText"/>
      </w:pPr>
      <w:r>
        <w:rPr>
          <w:rFonts w:ascii="Amiri" w:hAnsi="Amiri" w:eastAsia="Amiri" w:cs="Amiri"/>
          <w:lang w:bidi="ar-SA"/>
          <w:color w:val="111111"/>
          <w:sz w:val="28"/>
          <w:szCs w:val="28"/>
          <w:rtl/>
        </w:rPr>
        <w:t xml:space="preserve">نفزاوي- ابن ابي زيد ، عبدالله بن عبدالرحمن</w:t>
      </w:r>
    </w:p>
    <w:p>
      <w:pPr>
        <w:pStyle w:val="BookText"/>
      </w:pPr>
      <w:r>
        <w:rPr>
          <w:rFonts w:ascii="Amiri" w:hAnsi="Amiri" w:eastAsia="Amiri" w:cs="Amiri"/>
          <w:lang w:bidi="ar-SA"/>
          <w:color w:val="111111"/>
          <w:sz w:val="28"/>
          <w:szCs w:val="28"/>
          <w:rtl/>
        </w:rPr>
        <w:t xml:space="preserve">عبدالله بن عبد الرحمن هاشمي ابن عقيل- ابن عقيل ، عبدالله بن عبدالرحمن</w:t>
      </w:r>
    </w:p>
    <w:p>
      <w:pPr>
        <w:pStyle w:val="BookText"/>
      </w:pPr>
      <w:r>
        <w:rPr>
          <w:rFonts w:ascii="Amiri" w:hAnsi="Amiri" w:eastAsia="Amiri" w:cs="Amiri"/>
          <w:lang w:bidi="ar-SA"/>
          <w:color w:val="111111"/>
          <w:sz w:val="28"/>
          <w:szCs w:val="28"/>
          <w:rtl/>
        </w:rPr>
        <w:t xml:space="preserve">عبدالله بن عبدالعزيز ابوالقاسم</w:t>
      </w:r>
    </w:p>
    <w:p>
      <w:pPr>
        <w:pStyle w:val="BookText"/>
      </w:pPr>
      <w:r>
        <w:rPr>
          <w:rFonts w:ascii="Amiri" w:hAnsi="Amiri" w:eastAsia="Amiri" w:cs="Amiri"/>
          <w:lang w:bidi="ar-SA"/>
          <w:color w:val="111111"/>
          <w:sz w:val="28"/>
          <w:szCs w:val="28"/>
          <w:rtl/>
        </w:rPr>
        <w:t xml:space="preserve">الضرير -ضرير ، عبدالله بن عبدالعزيز -</w:t>
      </w:r>
    </w:p>
    <w:p>
      <w:pPr>
        <w:pStyle w:val="BookText"/>
      </w:pPr>
      <w:r>
        <w:rPr>
          <w:rFonts w:ascii="Amiri" w:hAnsi="Amiri" w:eastAsia="Amiri" w:cs="Amiri"/>
          <w:lang w:bidi="ar-SA"/>
          <w:color w:val="111111"/>
          <w:sz w:val="28"/>
          <w:szCs w:val="28"/>
          <w:rtl/>
        </w:rPr>
        <w:t xml:space="preserve">عبدالله بن عبدالعزيز</w:t>
      </w:r>
    </w:p>
    <w:p>
      <w:pPr>
        <w:pStyle w:val="BookText"/>
      </w:pPr>
      <w:r>
        <w:rPr>
          <w:rFonts w:ascii="Amiri" w:hAnsi="Amiri" w:eastAsia="Amiri" w:cs="Amiri"/>
          <w:lang w:bidi="ar-SA"/>
          <w:color w:val="111111"/>
          <w:sz w:val="28"/>
          <w:szCs w:val="28"/>
          <w:rtl/>
        </w:rPr>
        <w:t xml:space="preserve">اسكندري -اسكندري ، عبدالله بن عبدالعزيز بن علي</w:t>
      </w:r>
    </w:p>
    <w:p>
      <w:pPr>
        <w:pStyle w:val="BookText"/>
      </w:pPr>
      <w:r>
        <w:rPr>
          <w:rFonts w:ascii="Amiri" w:hAnsi="Amiri" w:eastAsia="Amiri" w:cs="Amiri"/>
          <w:lang w:bidi="ar-SA"/>
          <w:color w:val="111111"/>
          <w:sz w:val="28"/>
          <w:szCs w:val="28"/>
          <w:rtl/>
        </w:rPr>
        <w:t xml:space="preserve">عبدالله بن عبدالعزيز بكري- بكري</w:t>
      </w:r>
    </w:p>
    <w:p>
      <w:pPr>
        <w:pStyle w:val="BookText"/>
      </w:pPr>
      <w:r>
        <w:rPr>
          <w:rFonts w:ascii="Amiri" w:hAnsi="Amiri" w:eastAsia="Amiri" w:cs="Amiri"/>
          <w:lang w:bidi="ar-SA"/>
          <w:color w:val="111111"/>
          <w:sz w:val="28"/>
          <w:szCs w:val="28"/>
          <w:rtl/>
        </w:rPr>
        <w:t xml:space="preserve">عبدالله بن عبد العزيز عشاقي -صلاحي</w:t>
      </w:r>
    </w:p>
    <w:p>
      <w:pPr>
        <w:pStyle w:val="BookText"/>
      </w:pPr>
      <w:r>
        <w:rPr>
          <w:rFonts w:ascii="Amiri" w:hAnsi="Amiri" w:eastAsia="Amiri" w:cs="Amiri"/>
          <w:lang w:bidi="ar-SA"/>
          <w:color w:val="111111"/>
          <w:sz w:val="28"/>
          <w:szCs w:val="28"/>
          <w:rtl/>
        </w:rPr>
        <w:t xml:space="preserve">عبدالله بن عبدالعزيز</w:t>
      </w:r>
    </w:p>
    <w:p>
      <w:pPr>
        <w:pStyle w:val="BookText"/>
      </w:pPr>
      <w:r>
        <w:rPr>
          <w:rFonts w:ascii="Amiri" w:hAnsi="Amiri" w:eastAsia="Amiri" w:cs="Amiri"/>
          <w:lang w:bidi="ar-SA"/>
          <w:color w:val="111111"/>
          <w:sz w:val="28"/>
          <w:szCs w:val="28"/>
          <w:rtl/>
        </w:rPr>
        <w:t xml:space="preserve">عبدالله بن عبد اللطيف بشاوري- بشاوري ، عبدالله بن عبداللطيف</w:t>
      </w:r>
    </w:p>
    <w:p>
      <w:pPr>
        <w:pStyle w:val="BookText"/>
      </w:pPr>
      <w:r>
        <w:rPr>
          <w:rFonts w:ascii="Amiri" w:hAnsi="Amiri" w:eastAsia="Amiri" w:cs="Amiri"/>
          <w:lang w:bidi="ar-SA"/>
          <w:color w:val="111111"/>
          <w:sz w:val="28"/>
          <w:szCs w:val="28"/>
          <w:rtl/>
        </w:rPr>
        <w:t xml:space="preserve">عبد الله بن عبدالله ادكاوي- ادكاوي</w:t>
      </w:r>
    </w:p>
    <w:p>
      <w:pPr>
        <w:pStyle w:val="BookText"/>
      </w:pPr>
      <w:r>
        <w:rPr>
          <w:rFonts w:ascii="IRNazanin" w:hAnsi="IRNazanin" w:eastAsia="IRNazanin" w:cs="IRNazanin"/>
          <w:lang w:bidi="fa-IR"/>
          <w:color w:val="111111"/>
          <w:sz w:val="28"/>
          <w:szCs w:val="28"/>
          <w:rtl/>
        </w:rPr>
        <w:t xml:space="preserve">عبدالله بن عبدالله</w:t>
      </w:r>
    </w:p>
    <w:p>
      <w:pPr>
        <w:pStyle w:val="BookText"/>
      </w:pPr>
      <w:r>
        <w:rPr>
          <w:rFonts w:ascii="IRNazanin" w:hAnsi="IRNazanin" w:eastAsia="IRNazanin" w:cs="IRNazanin"/>
          <w:lang w:bidi="fa-IR"/>
          <w:color w:val="111111"/>
          <w:sz w:val="28"/>
          <w:szCs w:val="28"/>
          <w:rtl/>
        </w:rPr>
        <w:t xml:space="preserve">عبدالله بن عبدالله پرویز -پرویز ، عبدالله</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عبد الله بن عبد الواحد كوازي- بصري ،</w:t>
      </w:r>
    </w:p>
    <w:p>
      <w:pPr>
        <w:pStyle w:val="BookText"/>
      </w:pPr>
      <w:r>
        <w:rPr>
          <w:rFonts w:ascii="IRNazanin" w:hAnsi="IRNazanin" w:eastAsia="IRNazanin" w:cs="IRNazanin"/>
          <w:lang w:bidi="fa-IR"/>
          <w:color w:val="111111"/>
          <w:sz w:val="28"/>
          <w:szCs w:val="28"/>
          <w:rtl/>
        </w:rPr>
        <w:t xml:space="preserve">عبدالله بن عبدالواح</w:t>
      </w:r>
    </w:p>
    <w:p>
      <w:pPr>
        <w:pStyle w:val="BookText"/>
      </w:pPr>
      <w:r>
        <w:rPr>
          <w:rFonts w:ascii="IRNazanin" w:hAnsi="IRNazanin" w:eastAsia="IRNazanin" w:cs="IRNazanin"/>
          <w:lang w:bidi="fa-IR"/>
          <w:color w:val="111111"/>
          <w:sz w:val="28"/>
          <w:szCs w:val="28"/>
          <w:rtl/>
        </w:rPr>
        <w:t xml:space="preserve">عبدالله بن عثمان مستچي زاده-مستچي</w:t>
      </w:r>
    </w:p>
    <w:p>
      <w:pPr>
        <w:pStyle w:val="BookText"/>
      </w:pPr>
      <w:r>
        <w:rPr>
          <w:rFonts w:ascii="IRNazanin" w:hAnsi="IRNazanin" w:eastAsia="IRNazanin" w:cs="IRNazanin"/>
          <w:lang w:bidi="fa-IR"/>
          <w:color w:val="111111"/>
          <w:sz w:val="28"/>
          <w:szCs w:val="28"/>
          <w:rtl/>
        </w:rPr>
        <w:t xml:space="preserve">زاده ، عبدالله بن عثمان</w:t>
      </w:r>
    </w:p>
    <w:p>
      <w:pPr>
        <w:pStyle w:val="BookText"/>
      </w:pPr>
      <w:r>
        <w:rPr>
          <w:rFonts w:ascii="Amiri" w:hAnsi="Amiri" w:eastAsia="Amiri" w:cs="Amiri"/>
          <w:lang w:bidi="ar-SA"/>
          <w:color w:val="111111"/>
          <w:sz w:val="28"/>
          <w:szCs w:val="28"/>
          <w:rtl/>
        </w:rPr>
        <w:t xml:space="preserve">عبدالله بن عدي جرجاني -ابن عدي ،</w:t>
      </w:r>
    </w:p>
    <w:p>
      <w:pPr>
        <w:pStyle w:val="BookText"/>
      </w:pPr>
      <w:r>
        <w:rPr>
          <w:rFonts w:ascii="Amiri" w:hAnsi="Amiri" w:eastAsia="Amiri" w:cs="Amiri"/>
          <w:lang w:bidi="ar-SA"/>
          <w:color w:val="111111"/>
          <w:sz w:val="28"/>
          <w:szCs w:val="28"/>
          <w:rtl/>
        </w:rPr>
        <w:t xml:space="preserve">عبدالله بن عدي</w:t>
      </w:r>
    </w:p>
    <w:p>
      <w:pPr>
        <w:pStyle w:val="BookText"/>
      </w:pPr>
      <w:r>
        <w:rPr>
          <w:rFonts w:ascii="Amiri" w:hAnsi="Amiri" w:eastAsia="Amiri" w:cs="Amiri"/>
          <w:lang w:bidi="ar-SA"/>
          <w:color w:val="111111"/>
          <w:sz w:val="28"/>
          <w:szCs w:val="28"/>
          <w:rtl/>
        </w:rPr>
        <w:t xml:space="preserve">عبدالله بن عرفان افندي- افندي ، عبدالله</w:t>
      </w:r>
    </w:p>
    <w:p>
      <w:pPr>
        <w:pStyle w:val="BookText"/>
      </w:pPr>
      <w:r>
        <w:rPr>
          <w:rFonts w:ascii="IRNazanin" w:hAnsi="IRNazanin" w:eastAsia="IRNazanin" w:cs="IRNazanin"/>
          <w:lang w:bidi="fa-IR"/>
          <w:color w:val="111111"/>
          <w:sz w:val="28"/>
          <w:szCs w:val="28"/>
          <w:rtl/>
        </w:rPr>
        <w:t xml:space="preserve">بن عرفان</w:t>
      </w:r>
    </w:p>
    <w:p>
      <w:pPr>
        <w:pStyle w:val="BookText"/>
      </w:pPr>
      <w:r>
        <w:rPr>
          <w:rFonts w:ascii="Amiri" w:hAnsi="Amiri" w:eastAsia="Amiri" w:cs="Amiri"/>
          <w:lang w:bidi="ar-SA"/>
          <w:color w:val="111111"/>
          <w:sz w:val="28"/>
          <w:szCs w:val="28"/>
          <w:rtl/>
        </w:rPr>
        <w:t xml:space="preserve">عبدالله بن علوي حسيني</w:t>
      </w:r>
    </w:p>
    <w:p>
      <w:pPr>
        <w:pStyle w:val="BookText"/>
      </w:pPr>
      <w:r>
        <w:rPr>
          <w:rFonts w:ascii="Amiri" w:hAnsi="Amiri" w:eastAsia="Amiri" w:cs="Amiri"/>
          <w:lang w:bidi="ar-SA"/>
          <w:color w:val="111111"/>
          <w:sz w:val="28"/>
          <w:szCs w:val="28"/>
          <w:rtl/>
        </w:rPr>
        <w:t xml:space="preserve">حضر مي -حدادي ، عبدالله بن علوي</w:t>
      </w:r>
    </w:p>
    <w:p>
      <w:pPr>
        <w:pStyle w:val="BookText"/>
      </w:pPr>
      <w:r>
        <w:rPr>
          <w:rFonts w:ascii="Amiri" w:hAnsi="Amiri" w:eastAsia="Amiri" w:cs="Amiri"/>
          <w:lang w:bidi="ar-SA"/>
          <w:color w:val="111111"/>
          <w:sz w:val="28"/>
          <w:szCs w:val="28"/>
          <w:rtl/>
        </w:rPr>
        <w:t xml:space="preserve">عبد الله بن علي ابن غانم- ابن غانم ،</w:t>
      </w:r>
    </w:p>
    <w:p>
      <w:pPr>
        <w:pStyle w:val="BookText"/>
      </w:pPr>
      <w:r>
        <w:rPr>
          <w:rFonts w:ascii="Amiri" w:hAnsi="Amiri" w:eastAsia="Amiri" w:cs="Amiri"/>
          <w:lang w:bidi="ar-SA"/>
          <w:color w:val="111111"/>
          <w:sz w:val="28"/>
          <w:szCs w:val="28"/>
          <w:rtl/>
        </w:rPr>
        <w:t xml:space="preserve">عبدالله بن علي</w:t>
      </w:r>
    </w:p>
    <w:p>
      <w:pPr>
        <w:pStyle w:val="BookText"/>
      </w:pPr>
      <w:r>
        <w:rPr>
          <w:rFonts w:ascii="Amiri" w:hAnsi="Amiri" w:eastAsia="Amiri" w:cs="Amiri"/>
          <w:lang w:bidi="ar-SA"/>
          <w:color w:val="111111"/>
          <w:sz w:val="28"/>
          <w:szCs w:val="28"/>
          <w:rtl/>
        </w:rPr>
        <w:t xml:space="preserve">عبد الله بن علي العنزي -عنزي ، عبد الله بن علي</w:t>
      </w:r>
    </w:p>
    <w:p>
      <w:pPr>
        <w:pStyle w:val="BookText"/>
      </w:pPr>
      <w:r>
        <w:rPr>
          <w:rFonts w:ascii="Amiri" w:hAnsi="Amiri" w:eastAsia="Amiri" w:cs="Amiri"/>
          <w:lang w:bidi="ar-SA"/>
          <w:color w:val="111111"/>
          <w:sz w:val="28"/>
          <w:szCs w:val="28"/>
          <w:rtl/>
        </w:rPr>
        <w:t xml:space="preserve">عبدالله بن علي بحراني -بحراني ، عبد الله بن علي</w:t>
      </w:r>
    </w:p>
    <w:p>
      <w:pPr>
        <w:pStyle w:val="BookText"/>
      </w:pPr>
      <w:r>
        <w:rPr>
          <w:rFonts w:ascii="Amiri" w:hAnsi="Amiri" w:eastAsia="Amiri" w:cs="Amiri"/>
          <w:lang w:bidi="ar-SA"/>
          <w:color w:val="111111"/>
          <w:sz w:val="28"/>
          <w:szCs w:val="28"/>
          <w:rtl/>
        </w:rPr>
        <w:t xml:space="preserve">عبدالله بن علي بن عبيدالله</w:t>
      </w:r>
    </w:p>
    <w:p>
      <w:pPr>
        <w:pStyle w:val="BookText"/>
      </w:pPr>
      <w:r>
        <w:rPr>
          <w:rFonts w:ascii="Amiri" w:hAnsi="Amiri" w:eastAsia="Amiri" w:cs="Amiri"/>
          <w:lang w:bidi="ar-SA"/>
          <w:color w:val="111111"/>
          <w:sz w:val="28"/>
          <w:szCs w:val="28"/>
          <w:rtl/>
        </w:rPr>
        <w:t xml:space="preserve">طامذي -طامذي ، عبدالله بن علي</w:t>
      </w:r>
    </w:p>
    <w:p>
      <w:pPr>
        <w:pStyle w:val="BookText"/>
      </w:pPr>
      <w:r>
        <w:rPr>
          <w:rFonts w:ascii="Amiri" w:hAnsi="Amiri" w:eastAsia="Amiri" w:cs="Amiri"/>
          <w:lang w:bidi="ar-SA"/>
          <w:color w:val="111111"/>
          <w:sz w:val="28"/>
          <w:szCs w:val="28"/>
          <w:rtl/>
        </w:rPr>
        <w:t xml:space="preserve">عبد الله بن علي سبط الخياط -سبط</w:t>
      </w:r>
    </w:p>
    <w:p>
      <w:pPr>
        <w:pStyle w:val="BookText"/>
      </w:pPr>
      <w:r>
        <w:rPr>
          <w:rFonts w:ascii="Amiri" w:hAnsi="Amiri" w:eastAsia="Amiri" w:cs="Amiri"/>
          <w:lang w:bidi="ar-SA"/>
          <w:color w:val="111111"/>
          <w:sz w:val="28"/>
          <w:szCs w:val="28"/>
          <w:rtl/>
        </w:rPr>
        <w:t xml:space="preserve">الخياط ، عبدالله بن علي</w:t>
      </w:r>
    </w:p>
    <w:p>
      <w:pPr>
        <w:pStyle w:val="BookText"/>
      </w:pPr>
      <w:r>
        <w:rPr>
          <w:rFonts w:ascii="Amiri" w:hAnsi="Amiri" w:eastAsia="Amiri" w:cs="Amiri"/>
          <w:lang w:bidi="ar-SA"/>
          <w:color w:val="111111"/>
          <w:sz w:val="28"/>
          <w:szCs w:val="28"/>
          <w:rtl/>
        </w:rPr>
        <w:t xml:space="preserve">عبد الله بن علي صيمري -صيمري ، عبد الله بن علي</w:t>
      </w:r>
    </w:p>
    <w:p>
      <w:pPr>
        <w:pStyle w:val="BookText"/>
      </w:pPr>
      <w:r>
        <w:rPr>
          <w:rFonts w:ascii="Amiri" w:hAnsi="Amiri" w:eastAsia="Amiri" w:cs="Amiri"/>
          <w:lang w:bidi="ar-SA"/>
          <w:color w:val="111111"/>
          <w:sz w:val="28"/>
          <w:szCs w:val="28"/>
          <w:rtl/>
        </w:rPr>
        <w:t xml:space="preserve">عبدالله بن علي فلك علاي تبريزي- فلك</w:t>
      </w:r>
    </w:p>
    <w:p>
      <w:pPr>
        <w:pStyle w:val="BookText"/>
      </w:pPr>
      <w:r>
        <w:rPr>
          <w:rFonts w:ascii="Amiri" w:hAnsi="Amiri" w:eastAsia="Amiri" w:cs="Amiri"/>
          <w:lang w:bidi="ar-SA"/>
          <w:color w:val="111111"/>
          <w:sz w:val="28"/>
          <w:szCs w:val="28"/>
          <w:rtl/>
        </w:rPr>
        <w:t xml:space="preserve">علاي تبريزي ، عبدالله بن علي</w:t>
      </w:r>
    </w:p>
    <w:p>
      <w:pPr>
        <w:pStyle w:val="BookText"/>
      </w:pPr>
      <w:r>
        <w:rPr>
          <w:rFonts w:ascii="Amiri" w:hAnsi="Amiri" w:eastAsia="Amiri" w:cs="Amiri"/>
          <w:lang w:bidi="ar-SA"/>
          <w:color w:val="111111"/>
          <w:sz w:val="28"/>
          <w:szCs w:val="28"/>
          <w:rtl/>
        </w:rPr>
        <w:t xml:space="preserve">عبد الله بن عمر افيوني -فيوني ، عبدالله بن عمر</w:t>
      </w:r>
    </w:p>
    <w:p>
      <w:pPr>
        <w:pStyle w:val="BookText"/>
      </w:pPr>
      <w:r>
        <w:rPr>
          <w:rFonts w:ascii="Amiri" w:hAnsi="Amiri" w:eastAsia="Amiri" w:cs="Amiri"/>
          <w:lang w:bidi="ar-SA"/>
          <w:color w:val="111111"/>
          <w:sz w:val="28"/>
          <w:szCs w:val="28"/>
          <w:rtl/>
        </w:rPr>
        <w:t xml:space="preserve">عبد الله بن عمر الخليل اليمني- خليل</w:t>
      </w:r>
    </w:p>
    <w:p>
      <w:pPr>
        <w:pStyle w:val="BookText"/>
      </w:pPr>
      <w:r>
        <w:rPr>
          <w:rFonts w:ascii="IRNazanin" w:hAnsi="IRNazanin" w:eastAsia="IRNazanin" w:cs="IRNazanin"/>
          <w:lang w:bidi="fa-IR"/>
          <w:color w:val="111111"/>
          <w:sz w:val="28"/>
          <w:szCs w:val="28"/>
          <w:rtl/>
        </w:rPr>
        <w:t xml:space="preserve">عبدالله بن عمر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51" w:name="pg7742_70748"/>
    <w:bookmarkEnd w:id="751"/>
    <w:p>
      <w:pPr>
        <w:pStyle w:val="BookText"/>
      </w:pPr>
      <w:r>
        <w:rPr>
          <w:rFonts w:ascii="IRNazanin" w:hAnsi="IRNazanin" w:eastAsia="IRNazanin" w:cs="IRNazanin"/>
          <w:lang w:bidi="fa-IR"/>
          <w:color w:val="111111"/>
          <w:sz w:val="28"/>
          <w:szCs w:val="28"/>
          <w:rtl/>
        </w:rPr>
        <w:t xml:space="preserve">عبدالله بن عمر با مخرمه -بامخرمه</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Amiri" w:hAnsi="Amiri" w:eastAsia="Amiri" w:cs="Amiri"/>
          <w:lang w:bidi="ar-SA"/>
          <w:color w:val="111111"/>
          <w:sz w:val="28"/>
          <w:szCs w:val="28"/>
          <w:rtl/>
        </w:rPr>
        <w:t xml:space="preserve">عبدالله بن عمر بيضاوي -بيضاوي ،</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Amiri" w:hAnsi="Amiri" w:eastAsia="Amiri" w:cs="Amiri"/>
          <w:lang w:bidi="ar-SA"/>
          <w:color w:val="111111"/>
          <w:sz w:val="28"/>
          <w:szCs w:val="28"/>
          <w:rtl/>
        </w:rPr>
        <w:t xml:space="preserve">عبد الله بن عمر دبوسي سمرقندي- دبوسي</w:t>
      </w:r>
    </w:p>
    <w:p>
      <w:pPr>
        <w:pStyle w:val="BookText"/>
      </w:pPr>
      <w:r>
        <w:rPr>
          <w:rFonts w:ascii="IRNazanin" w:hAnsi="IRNazanin" w:eastAsia="IRNazanin" w:cs="IRNazanin"/>
          <w:lang w:bidi="fa-IR"/>
          <w:color w:val="111111"/>
          <w:sz w:val="28"/>
          <w:szCs w:val="28"/>
          <w:rtl/>
        </w:rPr>
        <w:t xml:space="preserve">، عبدالله بن عمر</w:t>
      </w:r>
    </w:p>
    <w:p>
      <w:pPr>
        <w:pStyle w:val="BookText"/>
      </w:pPr>
      <w:r>
        <w:rPr>
          <w:rFonts w:ascii="Amiri" w:hAnsi="Amiri" w:eastAsia="Amiri" w:cs="Amiri"/>
          <w:lang w:bidi="ar-SA"/>
          <w:color w:val="111111"/>
          <w:sz w:val="28"/>
          <w:szCs w:val="28"/>
          <w:rtl/>
        </w:rPr>
        <w:t xml:space="preserve">عبدالله بن عمر عرجي اموي</w:t>
      </w:r>
    </w:p>
    <w:p>
      <w:pPr>
        <w:pStyle w:val="BookText"/>
      </w:pPr>
      <w:r>
        <w:rPr>
          <w:rFonts w:ascii="Amiri" w:hAnsi="Amiri" w:eastAsia="Amiri" w:cs="Amiri"/>
          <w:lang w:bidi="ar-SA"/>
          <w:color w:val="111111"/>
          <w:sz w:val="28"/>
          <w:szCs w:val="28"/>
          <w:rtl/>
        </w:rPr>
        <w:t xml:space="preserve">قرشي - عرجي ، عبدالله بن عمر</w:t>
      </w:r>
    </w:p>
    <w:p>
      <w:pPr>
        <w:pStyle w:val="BookText"/>
      </w:pPr>
      <w:r>
        <w:rPr>
          <w:rFonts w:ascii="Amiri" w:hAnsi="Amiri" w:eastAsia="Amiri" w:cs="Amiri"/>
          <w:lang w:bidi="ar-SA"/>
          <w:color w:val="111111"/>
          <w:sz w:val="28"/>
          <w:szCs w:val="28"/>
          <w:rtl/>
        </w:rPr>
        <w:t xml:space="preserve">عبدالله بن عيسى بن اسماعيل- ابن</w:t>
      </w:r>
    </w:p>
    <w:p>
      <w:pPr>
        <w:pStyle w:val="BookText"/>
      </w:pPr>
      <w:r>
        <w:rPr>
          <w:rFonts w:ascii="Amiri" w:hAnsi="Amiri" w:eastAsia="Amiri" w:cs="Amiri"/>
          <w:lang w:bidi="ar-SA"/>
          <w:color w:val="111111"/>
          <w:sz w:val="28"/>
          <w:szCs w:val="28"/>
          <w:rtl/>
        </w:rPr>
        <w:t xml:space="preserve">اسماعيل ، عبدالله بن عيسى</w:t>
      </w:r>
    </w:p>
    <w:p>
      <w:pPr>
        <w:pStyle w:val="BookText"/>
      </w:pPr>
      <w:r>
        <w:rPr>
          <w:rFonts w:ascii="IRNazanin" w:hAnsi="IRNazanin" w:eastAsia="IRNazanin" w:cs="IRNazanin"/>
          <w:lang w:bidi="fa-IR"/>
          <w:color w:val="111111"/>
          <w:sz w:val="28"/>
          <w:szCs w:val="28"/>
          <w:rtl/>
        </w:rPr>
        <w:t xml:space="preserve">عبدالله بن عيسی بیگ افندي-افندي</w:t>
      </w:r>
    </w:p>
    <w:p>
      <w:pPr>
        <w:pStyle w:val="BookText"/>
      </w:pPr>
      <w:r>
        <w:rPr>
          <w:rFonts w:ascii="IRNazanin" w:hAnsi="IRNazanin" w:eastAsia="IRNazanin" w:cs="IRNazanin"/>
          <w:lang w:bidi="fa-IR"/>
          <w:color w:val="111111"/>
          <w:sz w:val="28"/>
          <w:szCs w:val="28"/>
          <w:rtl/>
        </w:rPr>
        <w:t xml:space="preserve">عبدالله بن عیسی بیگ</w:t>
      </w:r>
    </w:p>
    <w:p>
      <w:pPr>
        <w:pStyle w:val="BookText"/>
      </w:pPr>
      <w:r>
        <w:rPr>
          <w:rFonts w:ascii="IRNazanin" w:hAnsi="IRNazanin" w:eastAsia="IRNazanin" w:cs="IRNazanin"/>
          <w:lang w:bidi="fa-IR"/>
          <w:color w:val="111111"/>
          <w:sz w:val="28"/>
          <w:szCs w:val="28"/>
          <w:rtl/>
        </w:rPr>
        <w:t xml:space="preserve">عبدالله بن عيسی بیگ ا-فندي ، عبدالله</w:t>
      </w:r>
    </w:p>
    <w:p>
      <w:pPr>
        <w:pStyle w:val="BookText"/>
      </w:pPr>
      <w:r>
        <w:rPr>
          <w:rFonts w:ascii="IRNazanin" w:hAnsi="IRNazanin" w:eastAsia="IRNazanin" w:cs="IRNazanin"/>
          <w:lang w:bidi="fa-IR"/>
          <w:color w:val="111111"/>
          <w:sz w:val="28"/>
          <w:szCs w:val="28"/>
          <w:rtl/>
        </w:rPr>
        <w:t xml:space="preserve">بن عیسی بیگ</w:t>
      </w:r>
    </w:p>
    <w:p>
      <w:pPr>
        <w:pStyle w:val="BookText"/>
      </w:pPr>
      <w:r>
        <w:rPr>
          <w:rFonts w:ascii="Amiri" w:hAnsi="Amiri" w:eastAsia="Amiri" w:cs="Amiri"/>
          <w:lang w:bidi="ar-SA"/>
          <w:color w:val="111111"/>
          <w:sz w:val="28"/>
          <w:szCs w:val="28"/>
          <w:rtl/>
        </w:rPr>
        <w:t xml:space="preserve">عبد الله بن فتح الله كاتب بغدادي- كاتب</w:t>
      </w:r>
    </w:p>
    <w:p>
      <w:pPr>
        <w:pStyle w:val="BookText"/>
      </w:pPr>
      <w:r>
        <w:rPr>
          <w:rFonts w:ascii="Amiri" w:hAnsi="Amiri" w:eastAsia="Amiri" w:cs="Amiri"/>
          <w:lang w:bidi="ar-SA"/>
          <w:color w:val="111111"/>
          <w:sz w:val="28"/>
          <w:szCs w:val="28"/>
          <w:rtl/>
        </w:rPr>
        <w:t xml:space="preserve">بغدادي ، عبدالله بن فتح الله</w:t>
      </w:r>
    </w:p>
    <w:p>
      <w:pPr>
        <w:pStyle w:val="BookText"/>
      </w:pPr>
      <w:r>
        <w:rPr>
          <w:rFonts w:ascii="Amiri" w:hAnsi="Amiri" w:eastAsia="Amiri" w:cs="Amiri"/>
          <w:lang w:bidi="ar-SA"/>
          <w:color w:val="111111"/>
          <w:sz w:val="28"/>
          <w:szCs w:val="28"/>
          <w:rtl/>
        </w:rPr>
        <w:t xml:space="preserve">عبدالله بن فخرالدين حسيني موصلي- حسيني موصلي ، عبدالله بن</w:t>
      </w:r>
    </w:p>
    <w:p>
      <w:pPr>
        <w:pStyle w:val="BookText"/>
      </w:pPr>
      <w:r>
        <w:rPr>
          <w:rFonts w:ascii="IRNazanin" w:hAnsi="IRNazanin" w:eastAsia="IRNazanin" w:cs="IRNazanin"/>
          <w:lang w:bidi="fa-IR"/>
          <w:color w:val="111111"/>
          <w:sz w:val="28"/>
          <w:szCs w:val="28"/>
          <w:rtl/>
        </w:rPr>
        <w:t xml:space="preserve">فخرالدین</w:t>
      </w:r>
    </w:p>
    <w:p>
      <w:pPr>
        <w:pStyle w:val="BookText"/>
      </w:pPr>
      <w:r>
        <w:rPr>
          <w:rFonts w:ascii="Amiri" w:hAnsi="Amiri" w:eastAsia="Amiri" w:cs="Amiri"/>
          <w:lang w:bidi="ar-SA"/>
          <w:color w:val="111111"/>
          <w:sz w:val="28"/>
          <w:szCs w:val="28"/>
          <w:rtl/>
        </w:rPr>
        <w:t xml:space="preserve">عبدالله بن فرج قطيفي- قطيفي ، عبد الله بن فرج</w:t>
      </w:r>
    </w:p>
    <w:p>
      <w:pPr>
        <w:pStyle w:val="BookText"/>
      </w:pPr>
      <w:r>
        <w:rPr>
          <w:rFonts w:ascii="IRNazanin" w:hAnsi="IRNazanin" w:eastAsia="IRNazanin" w:cs="IRNazanin"/>
          <w:lang w:bidi="fa-IR"/>
          <w:color w:val="111111"/>
          <w:sz w:val="28"/>
          <w:szCs w:val="28"/>
          <w:rtl/>
        </w:rPr>
        <w:t xml:space="preserve">عبد الله بن فرحون -ابن فرحون ، عبد الله عبدالله بن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عبدالله بن فضل الله شيرازي وصاف الحضره -وصاف الحضره ، عبدالله بن فضل</w:t>
      </w:r>
    </w:p>
    <w:p>
      <w:pPr>
        <w:pStyle w:val="BookText"/>
      </w:pPr>
      <w:r>
        <w:rPr>
          <w:rFonts w:ascii="IRNazanin" w:hAnsi="IRNazanin" w:eastAsia="IRNazanin" w:cs="IRNazanin"/>
          <w:lang w:bidi="fa-IR"/>
          <w:color w:val="111111"/>
          <w:sz w:val="28"/>
          <w:szCs w:val="28"/>
          <w:rtl/>
        </w:rPr>
        <w:t xml:space="preserve">الله</w:t>
      </w:r>
    </w:p>
    <w:p>
      <w:pPr>
        <w:pStyle w:val="BookText"/>
      </w:pPr>
      <w:r>
        <w:rPr>
          <w:rFonts w:ascii="Amiri" w:hAnsi="Amiri" w:eastAsia="Amiri" w:cs="Amiri"/>
          <w:lang w:bidi="ar-SA"/>
          <w:color w:val="111111"/>
          <w:sz w:val="28"/>
          <w:szCs w:val="28"/>
          <w:rtl/>
        </w:rPr>
        <w:t xml:space="preserve">عبدالله بن قاسم اشبيلي حريري -حريري ،عبدالله بن قاسم</w:t>
      </w:r>
    </w:p>
    <w:p>
      <w:pPr>
        <w:pStyle w:val="BookText"/>
      </w:pPr>
      <w:r>
        <w:rPr>
          <w:rFonts w:ascii="Amiri" w:hAnsi="Amiri" w:eastAsia="Amiri" w:cs="Amiri"/>
          <w:lang w:bidi="ar-SA"/>
          <w:color w:val="111111"/>
          <w:sz w:val="28"/>
          <w:szCs w:val="28"/>
          <w:rtl/>
        </w:rPr>
        <w:t xml:space="preserve">عبدالله بن قاسم شهرزوري - شهرزوري ،</w:t>
      </w:r>
    </w:p>
    <w:p>
      <w:pPr>
        <w:pStyle w:val="BookText"/>
      </w:pPr>
      <w:r>
        <w:rPr>
          <w:rFonts w:ascii="IRNazanin" w:hAnsi="IRNazanin" w:eastAsia="IRNazanin" w:cs="IRNazanin"/>
          <w:lang w:bidi="fa-IR"/>
          <w:color w:val="111111"/>
          <w:sz w:val="28"/>
          <w:szCs w:val="28"/>
          <w:rtl/>
        </w:rPr>
        <w:t xml:space="preserve">عبدالله بن قاسم</w:t>
      </w:r>
    </w:p>
    <w:p>
      <w:pPr>
        <w:pStyle w:val="BookText"/>
      </w:pPr>
      <w:r>
        <w:rPr>
          <w:rFonts w:ascii="Amiri" w:hAnsi="Amiri" w:eastAsia="Amiri" w:cs="Amiri"/>
          <w:lang w:bidi="ar-SA"/>
          <w:color w:val="111111"/>
          <w:sz w:val="28"/>
          <w:szCs w:val="28"/>
          <w:rtl/>
        </w:rPr>
        <w:t xml:space="preserve">عبدالله بن كمال الدين حسين قرن 10 ه-</w:t>
      </w:r>
    </w:p>
    <w:p>
      <w:pPr>
        <w:pStyle w:val="BookText"/>
      </w:pPr>
      <w:r>
        <w:rPr>
          <w:rFonts w:ascii="Amiri" w:hAnsi="Amiri" w:eastAsia="Amiri" w:cs="Amiri"/>
          <w:lang w:bidi="ar-SA"/>
          <w:color w:val="111111"/>
          <w:sz w:val="28"/>
          <w:szCs w:val="28"/>
          <w:rtl/>
        </w:rPr>
        <w:t xml:space="preserve">تحفة البيان في حفظ ابدان الانسان</w:t>
      </w:r>
    </w:p>
    <w:p>
      <w:pPr>
        <w:pStyle w:val="BookText"/>
      </w:pPr>
      <w:r>
        <w:rPr>
          <w:rFonts w:ascii="IRNazanin" w:hAnsi="IRNazanin" w:eastAsia="IRNazanin" w:cs="IRNazanin"/>
          <w:lang w:bidi="fa-IR"/>
          <w:color w:val="111111"/>
          <w:sz w:val="28"/>
          <w:szCs w:val="28"/>
          <w:rtl/>
        </w:rPr>
        <w:t xml:space="preserve">ج 3، ص 816.</w:t>
      </w:r>
    </w:p>
    <w:p>
      <w:pPr>
        <w:pStyle w:val="Heading2"/>
      </w:pPr>
      <w:bookmarkStart w:id="5845" w:name="_Toc4947"/>
      <w:r>
        <w:t>عبدالله بن مبارك</w:t>
      </w:r>
      <w:bookmarkEnd w:id="5845"/>
    </w:p>
    <w:p>
      <w:pPr>
        <w:pStyle w:val="BookText"/>
      </w:pPr>
      <w:r>
        <w:rPr>
          <w:rFonts w:ascii="Amiri" w:hAnsi="Amiri" w:eastAsia="Amiri" w:cs="Amiri"/>
          <w:lang w:bidi="ar-SA"/>
          <w:color w:val="111111"/>
          <w:sz w:val="28"/>
          <w:szCs w:val="28"/>
          <w:rtl/>
        </w:rPr>
        <w:t xml:space="preserve">قصيدة، ج 12، ص 642.</w:t>
      </w:r>
    </w:p>
    <w:p>
      <w:pPr>
        <w:pStyle w:val="BookText"/>
      </w:pPr>
      <w:r>
        <w:rPr>
          <w:rFonts w:ascii="Amiri" w:hAnsi="Amiri" w:eastAsia="Amiri" w:cs="Amiri"/>
          <w:lang w:bidi="ar-SA"/>
          <w:color w:val="111111"/>
          <w:sz w:val="28"/>
          <w:szCs w:val="28"/>
          <w:rtl/>
        </w:rPr>
        <w:t xml:space="preserve">عبدالله بن مبارك حنظلي تميمي مروزي -ابن مبارك ، عبدالله بن مبارك</w:t>
      </w:r>
    </w:p>
    <w:p>
      <w:pPr>
        <w:pStyle w:val="BookText"/>
      </w:pPr>
      <w:r>
        <w:rPr>
          <w:rFonts w:ascii="Amiri" w:hAnsi="Amiri" w:eastAsia="Amiri" w:cs="Amiri"/>
          <w:lang w:bidi="ar-SA"/>
          <w:color w:val="111111"/>
          <w:sz w:val="28"/>
          <w:szCs w:val="28"/>
          <w:rtl/>
        </w:rPr>
        <w:t xml:space="preserve">عبدالله بن مثنى سرجي قرشي- شرجي</w:t>
      </w:r>
    </w:p>
    <w:p>
      <w:pPr>
        <w:pStyle w:val="BookText"/>
      </w:pPr>
      <w:r>
        <w:rPr>
          <w:rFonts w:ascii="IRNazanin" w:hAnsi="IRNazanin" w:eastAsia="IRNazanin" w:cs="IRNazanin"/>
          <w:lang w:bidi="fa-IR"/>
          <w:color w:val="111111"/>
          <w:sz w:val="28"/>
          <w:szCs w:val="28"/>
          <w:rtl/>
        </w:rPr>
        <w:t xml:space="preserve">عبدالله بن عبدالله</w:t>
      </w:r>
    </w:p>
    <w:p>
      <w:pPr>
        <w:pStyle w:val="BookText"/>
      </w:pPr>
      <w:r>
        <w:rPr>
          <w:rFonts w:ascii="IRNazanin" w:hAnsi="IRNazanin" w:eastAsia="IRNazanin" w:cs="IRNazanin"/>
          <w:lang w:bidi="fa-IR"/>
          <w:color w:val="111111"/>
          <w:sz w:val="28"/>
          <w:szCs w:val="28"/>
          <w:rtl/>
        </w:rPr>
        <w:t xml:space="preserve">عبدالله بن محفوف منجم -ابن منجم ،</w:t>
      </w:r>
    </w:p>
    <w:p>
      <w:pPr>
        <w:pStyle w:val="BookText"/>
      </w:pPr>
      <w:r>
        <w:rPr>
          <w:rFonts w:ascii="IRNazanin" w:hAnsi="IRNazanin" w:eastAsia="IRNazanin" w:cs="IRNazanin"/>
          <w:lang w:bidi="fa-IR"/>
          <w:color w:val="111111"/>
          <w:sz w:val="28"/>
          <w:szCs w:val="28"/>
          <w:rtl/>
        </w:rPr>
        <w:t xml:space="preserve">عبدالله بن محفوف</w:t>
      </w:r>
    </w:p>
    <w:p>
      <w:pPr>
        <w:pStyle w:val="BookText"/>
      </w:pPr>
      <w:r>
        <w:rPr>
          <w:rFonts w:ascii="Amiri" w:hAnsi="Amiri" w:eastAsia="Amiri" w:cs="Amiri"/>
          <w:lang w:bidi="ar-SA"/>
          <w:color w:val="111111"/>
          <w:sz w:val="28"/>
          <w:szCs w:val="28"/>
          <w:rtl/>
        </w:rPr>
        <w:t xml:space="preserve">عبدالله بن محمّد -شريف ، عبدالله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عبد الله بن محمّد -كردي ، عبدالله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عبدالله بن محمّد أماسي اخسخه وي- افندي زاده ، يوسف</w:t>
      </w:r>
    </w:p>
    <w:p>
      <w:pPr>
        <w:pStyle w:val="BookText"/>
      </w:pPr>
      <w:r>
        <w:rPr>
          <w:rFonts w:ascii="IRNazanin" w:hAnsi="IRNazanin" w:eastAsia="IRNazanin" w:cs="IRNazanin"/>
          <w:lang w:bidi="fa-IR"/>
          <w:color w:val="111111"/>
          <w:sz w:val="28"/>
          <w:szCs w:val="28"/>
          <w:rtl/>
        </w:rPr>
        <w:t xml:space="preserve">عبدالله بن محمّد اسپهبدي- اسپهبدي ، عبدالله بن محمّد</w:t>
      </w:r>
    </w:p>
    <w:p>
      <w:pPr>
        <w:pStyle w:val="BookText"/>
      </w:pPr>
      <w:r>
        <w:rPr>
          <w:rFonts w:ascii="Amiri" w:hAnsi="Amiri" w:eastAsia="Amiri" w:cs="Amiri"/>
          <w:lang w:bidi="ar-SA"/>
          <w:color w:val="111111"/>
          <w:sz w:val="28"/>
          <w:szCs w:val="28"/>
          <w:rtl/>
        </w:rPr>
        <w:t xml:space="preserve">عبدالله بن محمّد افندي -افندي زاده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 الله بن محمّد الارقاصي- ارقاصي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الزكي- ابن حنبلي ،</w:t>
      </w:r>
    </w:p>
    <w:p>
      <w:pPr>
        <w:pStyle w:val="BookText"/>
      </w:pPr>
      <w:r>
        <w:rPr>
          <w:rFonts w:ascii="IRNazanin" w:hAnsi="IRNazanin" w:eastAsia="IRNazanin" w:cs="IRNazanin"/>
          <w:lang w:bidi="fa-IR"/>
          <w:color w:val="111111"/>
          <w:sz w:val="28"/>
          <w:szCs w:val="28"/>
          <w:rtl/>
        </w:rPr>
        <w:t xml:space="preserve">عبد الله بن بن محمّد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52" w:name="pg7742_70749"/>
    <w:bookmarkEnd w:id="752"/>
    <w:p>
      <w:pPr>
        <w:pStyle w:val="BookText"/>
      </w:pPr>
      <w:r>
        <w:rPr>
          <w:rFonts w:ascii="Amiri" w:hAnsi="Amiri" w:eastAsia="Amiri" w:cs="Amiri"/>
          <w:lang w:bidi="ar-SA"/>
          <w:color w:val="111111"/>
          <w:sz w:val="28"/>
          <w:szCs w:val="28"/>
          <w:rtl/>
        </w:rPr>
        <w:t xml:space="preserve">عبدالله بن محمّد السيد</w:t>
      </w:r>
    </w:p>
    <w:p>
      <w:pPr>
        <w:pStyle w:val="BookText"/>
      </w:pPr>
      <w:r>
        <w:rPr>
          <w:rFonts w:ascii="Amiri" w:hAnsi="Amiri" w:eastAsia="Amiri" w:cs="Amiri"/>
          <w:lang w:bidi="ar-SA"/>
          <w:color w:val="111111"/>
          <w:sz w:val="28"/>
          <w:szCs w:val="28"/>
          <w:rtl/>
        </w:rPr>
        <w:t xml:space="preserve">البطليوسي - بطليوسي ، عبدالله بن محمّد</w:t>
      </w:r>
    </w:p>
    <w:p>
      <w:pPr>
        <w:pStyle w:val="BookText"/>
      </w:pPr>
      <w:r>
        <w:rPr>
          <w:rFonts w:ascii="IRNazanin" w:hAnsi="IRNazanin" w:eastAsia="IRNazanin" w:cs="IRNazanin"/>
          <w:lang w:bidi="fa-IR"/>
          <w:color w:val="111111"/>
          <w:sz w:val="28"/>
          <w:szCs w:val="28"/>
          <w:rtl/>
        </w:rPr>
        <w:t xml:space="preserve">عبدالله بن محمّد امین افندي زاده</w:t>
      </w:r>
    </w:p>
    <w:p>
      <w:pPr>
        <w:pStyle w:val="BookText"/>
      </w:pPr>
      <w:r>
        <w:rPr>
          <w:rFonts w:ascii="IRNazanin" w:hAnsi="IRNazanin" w:eastAsia="IRNazanin" w:cs="IRNazanin"/>
          <w:lang w:bidi="fa-IR"/>
          <w:color w:val="111111"/>
          <w:sz w:val="28"/>
          <w:szCs w:val="28"/>
          <w:rtl/>
        </w:rPr>
        <w:t xml:space="preserve">موصلي -افندي زاده ، عبدالله بن محمّد امین</w:t>
      </w:r>
    </w:p>
    <w:p>
      <w:pPr>
        <w:pStyle w:val="BookText"/>
      </w:pPr>
      <w:r>
        <w:rPr>
          <w:rFonts w:ascii="Amiri" w:hAnsi="Amiri" w:eastAsia="Amiri" w:cs="Amiri"/>
          <w:lang w:bidi="ar-SA"/>
          <w:color w:val="111111"/>
          <w:sz w:val="28"/>
          <w:szCs w:val="28"/>
          <w:rtl/>
        </w:rPr>
        <w:t xml:space="preserve">عبدالله بن محمّد بطليوسي-بطليوسي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 الله بن محمّد بغدادي ظاهري ابن</w:t>
      </w:r>
    </w:p>
    <w:p>
      <w:pPr>
        <w:pStyle w:val="BookText"/>
      </w:pPr>
      <w:r>
        <w:rPr>
          <w:rFonts w:ascii="Amiri" w:hAnsi="Amiri" w:eastAsia="Amiri" w:cs="Amiri"/>
          <w:lang w:bidi="ar-SA"/>
          <w:color w:val="111111"/>
          <w:sz w:val="28"/>
          <w:szCs w:val="28"/>
          <w:rtl/>
        </w:rPr>
        <w:t xml:space="preserve">ناقيا- ابن ناقيا ، عبدالله بن محمّد</w:t>
      </w:r>
    </w:p>
    <w:p>
      <w:pPr>
        <w:pStyle w:val="BookText"/>
      </w:pPr>
      <w:r>
        <w:rPr>
          <w:rFonts w:ascii="Amiri" w:hAnsi="Amiri" w:eastAsia="Amiri" w:cs="Amiri"/>
          <w:lang w:bidi="ar-SA"/>
          <w:color w:val="111111"/>
          <w:sz w:val="28"/>
          <w:szCs w:val="28"/>
          <w:rtl/>
        </w:rPr>
        <w:t xml:space="preserve">عبدالله بن محمّد بغوي -بغوي ، عبدالله</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عبدالله بن محمّد بن ابراهيم طلباني -طلباني ، عبدالله بن محمّد</w:t>
      </w:r>
    </w:p>
    <w:p>
      <w:pPr>
        <w:pStyle w:val="BookText"/>
      </w:pPr>
      <w:r>
        <w:rPr>
          <w:rFonts w:ascii="Amiri" w:hAnsi="Amiri" w:eastAsia="Amiri" w:cs="Amiri"/>
          <w:lang w:bidi="ar-SA"/>
          <w:color w:val="111111"/>
          <w:sz w:val="28"/>
          <w:szCs w:val="28"/>
          <w:rtl/>
        </w:rPr>
        <w:t xml:space="preserve">عبدالله بن محمّد بن ابي شيبه- ابن ابي</w:t>
      </w:r>
    </w:p>
    <w:p>
      <w:pPr>
        <w:pStyle w:val="BookText"/>
      </w:pPr>
      <w:r>
        <w:rPr>
          <w:rFonts w:ascii="IRNazanin" w:hAnsi="IRNazanin" w:eastAsia="IRNazanin" w:cs="IRNazanin"/>
          <w:lang w:bidi="fa-IR"/>
          <w:color w:val="111111"/>
          <w:sz w:val="28"/>
          <w:szCs w:val="28"/>
          <w:rtl/>
        </w:rPr>
        <w:t xml:space="preserve">شیبه ، عبدالله بن محمّد</w:t>
      </w:r>
    </w:p>
    <w:p>
      <w:pPr>
        <w:pStyle w:val="BookText"/>
      </w:pPr>
      <w:r>
        <w:rPr>
          <w:rFonts w:ascii="Amiri" w:hAnsi="Amiri" w:eastAsia="Amiri" w:cs="Amiri"/>
          <w:lang w:bidi="ar-SA"/>
          <w:color w:val="111111"/>
          <w:sz w:val="28"/>
          <w:szCs w:val="28"/>
          <w:rtl/>
        </w:rPr>
        <w:t xml:space="preserve">عبدالله بن محمّد بن بنت منيع- بغوي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 الله بن محمّد بن جعفر ابوالشيخ- ابوالشيخ ، عبدالله بن محمّد</w:t>
      </w:r>
    </w:p>
    <w:p>
      <w:pPr>
        <w:pStyle w:val="BookText"/>
      </w:pPr>
      <w:r>
        <w:rPr>
          <w:rFonts w:ascii="Amiri" w:hAnsi="Amiri" w:eastAsia="Amiri" w:cs="Amiri"/>
          <w:lang w:bidi="ar-SA"/>
          <w:color w:val="111111"/>
          <w:sz w:val="28"/>
          <w:szCs w:val="28"/>
          <w:rtl/>
        </w:rPr>
        <w:t xml:space="preserve">عبد الله بن محمّد بن حجاج ابن ياسمين -ابن ياسمين ، عبدالله بن محمّد</w:t>
      </w:r>
    </w:p>
    <w:p>
      <w:pPr>
        <w:pStyle w:val="BookText"/>
      </w:pPr>
      <w:r>
        <w:rPr>
          <w:rFonts w:ascii="Amiri" w:hAnsi="Amiri" w:eastAsia="Amiri" w:cs="Amiri"/>
          <w:lang w:bidi="ar-SA"/>
          <w:color w:val="111111"/>
          <w:sz w:val="28"/>
          <w:szCs w:val="28"/>
          <w:rtl/>
        </w:rPr>
        <w:t xml:space="preserve">عبدالله بن محمّد بن زكي الدين- زكي</w:t>
      </w:r>
    </w:p>
    <w:p>
      <w:pPr>
        <w:pStyle w:val="BookText"/>
      </w:pPr>
      <w:r>
        <w:rPr>
          <w:rFonts w:ascii="Amiri" w:hAnsi="Amiri" w:eastAsia="Amiri" w:cs="Amiri"/>
          <w:lang w:bidi="ar-SA"/>
          <w:color w:val="111111"/>
          <w:sz w:val="28"/>
          <w:szCs w:val="28"/>
          <w:rtl/>
        </w:rPr>
        <w:t xml:space="preserve">الدين خزرجي ، عبدالله بن محمّد</w:t>
      </w:r>
    </w:p>
    <w:p>
      <w:pPr>
        <w:pStyle w:val="BookText"/>
      </w:pPr>
      <w:r>
        <w:rPr>
          <w:rFonts w:ascii="Amiri" w:hAnsi="Amiri" w:eastAsia="Amiri" w:cs="Amiri"/>
          <w:lang w:bidi="ar-SA"/>
          <w:color w:val="111111"/>
          <w:sz w:val="28"/>
          <w:szCs w:val="28"/>
          <w:rtl/>
        </w:rPr>
        <w:t xml:space="preserve">عبدالله بن محمّد بن سكري -ابن سكري</w:t>
      </w:r>
    </w:p>
    <w:p>
      <w:pPr>
        <w:pStyle w:val="BookText"/>
      </w:pPr>
      <w:r>
        <w:rPr>
          <w:rFonts w:ascii="IRNazanin" w:hAnsi="IRNazanin" w:eastAsia="IRNazanin" w:cs="IRNazanin"/>
          <w:lang w:bidi="fa-IR"/>
          <w:color w:val="111111"/>
          <w:sz w:val="28"/>
          <w:szCs w:val="28"/>
          <w:rtl/>
        </w:rPr>
        <w:t xml:space="preserve">عبدالله بن محمّد</w:t>
      </w:r>
    </w:p>
    <w:p>
      <w:pPr>
        <w:pStyle w:val="Heading2"/>
      </w:pPr>
      <w:bookmarkStart w:id="5846" w:name="_Toc4948"/>
      <w:r>
        <w:t>عبدالله بن محمّد بن عبد اللطيف، قرن 12</w:t>
      </w:r>
      <w:bookmarkEnd w:id="5846"/>
    </w:p>
    <w:p>
      <w:pPr>
        <w:pStyle w:val="BookText"/>
      </w:pPr>
      <w:r>
        <w:rPr>
          <w:rFonts w:ascii="Amiri" w:hAnsi="Amiri" w:eastAsia="Amiri" w:cs="Amiri"/>
          <w:lang w:bidi="ar-SA"/>
          <w:color w:val="111111"/>
          <w:sz w:val="28"/>
          <w:szCs w:val="28"/>
          <w:rtl/>
        </w:rPr>
        <w:t xml:space="preserve">الرد على الوهابية (رسالة في)، ج8،</w:t>
      </w:r>
    </w:p>
    <w:p>
      <w:pPr>
        <w:pStyle w:val="BookText"/>
      </w:pPr>
      <w:r>
        <w:rPr>
          <w:rFonts w:ascii="IRNazanin" w:hAnsi="IRNazanin" w:eastAsia="IRNazanin" w:cs="IRNazanin"/>
          <w:lang w:bidi="fa-IR"/>
          <w:color w:val="111111"/>
          <w:sz w:val="28"/>
          <w:szCs w:val="28"/>
          <w:rtl/>
        </w:rPr>
        <w:t xml:space="preserve">ص 107 .</w:t>
      </w:r>
    </w:p>
    <w:p>
      <w:pPr>
        <w:pStyle w:val="BookText"/>
      </w:pPr>
      <w:r>
        <w:rPr>
          <w:rFonts w:ascii="Amiri" w:hAnsi="Amiri" w:eastAsia="Amiri" w:cs="Amiri"/>
          <w:lang w:bidi="ar-SA"/>
          <w:color w:val="111111"/>
          <w:sz w:val="28"/>
          <w:szCs w:val="28"/>
          <w:rtl/>
        </w:rPr>
        <w:t xml:space="preserve">عبدالله بن محمّد بن مفتاح نجري</w:t>
      </w:r>
    </w:p>
    <w:p>
      <w:pPr>
        <w:pStyle w:val="BookText"/>
      </w:pPr>
      <w:r>
        <w:rPr>
          <w:rFonts w:ascii="Amiri" w:hAnsi="Amiri" w:eastAsia="Amiri" w:cs="Amiri"/>
          <w:lang w:bidi="ar-SA"/>
          <w:color w:val="111111"/>
          <w:sz w:val="28"/>
          <w:szCs w:val="28"/>
          <w:rtl/>
        </w:rPr>
        <w:t xml:space="preserve">زيدي -نجري ، عبدالله بن محمّد</w:t>
      </w:r>
    </w:p>
    <w:p>
      <w:pPr>
        <w:pStyle w:val="BookText"/>
      </w:pPr>
      <w:r>
        <w:rPr>
          <w:rFonts w:ascii="IRNazanin" w:hAnsi="IRNazanin" w:eastAsia="IRNazanin" w:cs="IRNazanin"/>
          <w:lang w:bidi="fa-IR"/>
          <w:color w:val="111111"/>
          <w:sz w:val="28"/>
          <w:szCs w:val="28"/>
          <w:rtl/>
        </w:rPr>
        <w:t xml:space="preserve">عبد الله بن محمّد بن محمّد</w:t>
      </w:r>
    </w:p>
    <w:p>
      <w:pPr>
        <w:pStyle w:val="BookText"/>
      </w:pPr>
      <w:r>
        <w:rPr>
          <w:rFonts w:ascii="Amiri" w:hAnsi="Amiri" w:eastAsia="Amiri" w:cs="Amiri"/>
          <w:lang w:bidi="ar-SA"/>
          <w:color w:val="111111"/>
          <w:sz w:val="28"/>
          <w:szCs w:val="28"/>
          <w:rtl/>
        </w:rPr>
        <w:t xml:space="preserve">شريف- شريف ، عبدالله بن محمّد</w:t>
      </w:r>
    </w:p>
    <w:p>
      <w:pPr>
        <w:pStyle w:val="BookText"/>
      </w:pPr>
      <w:r>
        <w:rPr>
          <w:rFonts w:ascii="Amiri" w:hAnsi="Amiri" w:eastAsia="Amiri" w:cs="Amiri"/>
          <w:lang w:bidi="ar-SA"/>
          <w:color w:val="111111"/>
          <w:sz w:val="28"/>
          <w:szCs w:val="28"/>
          <w:rtl/>
        </w:rPr>
        <w:t xml:space="preserve">عبدالله بن محمّد بهبهاني -بهبهاني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بيتوشي كردي- بيتوشي</w:t>
      </w:r>
    </w:p>
    <w:p>
      <w:pPr>
        <w:pStyle w:val="BookText"/>
      </w:pPr>
      <w:r>
        <w:rPr>
          <w:rFonts w:ascii="Amiri" w:hAnsi="Amiri" w:eastAsia="Amiri" w:cs="Amiri"/>
          <w:lang w:bidi="ar-SA"/>
          <w:color w:val="111111"/>
          <w:sz w:val="28"/>
          <w:szCs w:val="28"/>
          <w:rtl/>
        </w:rPr>
        <w:t xml:space="preserve">كردي ، عبدالله بن محمّد</w:t>
      </w:r>
    </w:p>
    <w:p>
      <w:pPr>
        <w:pStyle w:val="BookText"/>
      </w:pPr>
      <w:r>
        <w:rPr>
          <w:rFonts w:ascii="Amiri" w:hAnsi="Amiri" w:eastAsia="Amiri" w:cs="Amiri"/>
          <w:lang w:bidi="ar-SA"/>
          <w:color w:val="111111"/>
          <w:sz w:val="28"/>
          <w:szCs w:val="28"/>
          <w:rtl/>
        </w:rPr>
        <w:t xml:space="preserve">عبدالله بن محمّد تقي مجلسي -مجلسي ،</w:t>
      </w:r>
    </w:p>
    <w:p>
      <w:pPr>
        <w:pStyle w:val="BookText"/>
      </w:pPr>
      <w:r>
        <w:rPr>
          <w:rFonts w:ascii="Amiri" w:hAnsi="Amiri" w:eastAsia="Amiri" w:cs="Amiri"/>
          <w:lang w:bidi="ar-SA"/>
          <w:color w:val="111111"/>
          <w:sz w:val="28"/>
          <w:szCs w:val="28"/>
          <w:rtl/>
        </w:rPr>
        <w:t xml:space="preserve">عبدالله بن محمّد تقي</w:t>
      </w:r>
    </w:p>
    <w:p>
      <w:pPr>
        <w:pStyle w:val="BookText"/>
      </w:pPr>
      <w:r>
        <w:rPr>
          <w:rFonts w:ascii="Amiri" w:hAnsi="Amiri" w:eastAsia="Amiri" w:cs="Amiri"/>
          <w:lang w:bidi="ar-SA"/>
          <w:color w:val="111111"/>
          <w:sz w:val="28"/>
          <w:szCs w:val="28"/>
          <w:rtl/>
        </w:rPr>
        <w:t xml:space="preserve">عبدالله بن محمّد تلمساني- تلمساني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توني بشروي -توني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حجازي ابن قضيب البان -ابن قضيب البان ، عبدالله بن محمّد</w:t>
      </w:r>
    </w:p>
    <w:p>
      <w:pPr>
        <w:pStyle w:val="BookText"/>
      </w:pPr>
      <w:r>
        <w:rPr>
          <w:rFonts w:ascii="Amiri" w:hAnsi="Amiri" w:eastAsia="Amiri" w:cs="Amiri"/>
          <w:lang w:bidi="ar-SA"/>
          <w:color w:val="111111"/>
          <w:sz w:val="28"/>
          <w:szCs w:val="28"/>
          <w:rtl/>
        </w:rPr>
        <w:t xml:space="preserve">عبدالله بن محمّد حجازي- ابن قضيب</w:t>
      </w:r>
    </w:p>
    <w:p>
      <w:pPr>
        <w:pStyle w:val="BookText"/>
      </w:pPr>
      <w:r>
        <w:rPr>
          <w:rFonts w:ascii="IRNazanin" w:hAnsi="IRNazanin" w:eastAsia="IRNazanin" w:cs="IRNazanin"/>
          <w:lang w:bidi="fa-IR"/>
          <w:color w:val="111111"/>
          <w:sz w:val="28"/>
          <w:szCs w:val="28"/>
          <w:rtl/>
        </w:rPr>
        <w:t xml:space="preserve">البان ، عبدالله بن محمّد</w:t>
      </w:r>
    </w:p>
    <w:p>
      <w:pPr>
        <w:pStyle w:val="BookText"/>
      </w:pPr>
      <w:r>
        <w:rPr>
          <w:rFonts w:ascii="Amiri" w:hAnsi="Amiri" w:eastAsia="Amiri" w:cs="Amiri"/>
          <w:lang w:bidi="ar-SA"/>
          <w:color w:val="111111"/>
          <w:sz w:val="28"/>
          <w:szCs w:val="28"/>
          <w:rtl/>
        </w:rPr>
        <w:t xml:space="preserve">عبد الله بن محمّد حسن خوراسكاني</w:t>
      </w:r>
    </w:p>
    <w:p>
      <w:pPr>
        <w:pStyle w:val="BookText"/>
      </w:pPr>
      <w:r>
        <w:rPr>
          <w:rFonts w:ascii="Amiri" w:hAnsi="Amiri" w:eastAsia="Amiri" w:cs="Amiri"/>
          <w:lang w:bidi="ar-SA"/>
          <w:color w:val="111111"/>
          <w:sz w:val="28"/>
          <w:szCs w:val="28"/>
          <w:rtl/>
        </w:rPr>
        <w:t xml:space="preserve">اصفهاني -خوراسكاني اصفهاني ، عبدالله بن</w:t>
      </w:r>
    </w:p>
    <w:p>
      <w:pPr>
        <w:pStyle w:val="BookText"/>
      </w:pPr>
      <w:r>
        <w:rPr>
          <w:rFonts w:ascii="Amiri" w:hAnsi="Amiri" w:eastAsia="Amiri" w:cs="Amiri"/>
          <w:lang w:bidi="ar-SA"/>
          <w:color w:val="111111"/>
          <w:sz w:val="28"/>
          <w:szCs w:val="28"/>
          <w:rtl/>
        </w:rPr>
        <w:t xml:space="preserve">محمّد حسن</w:t>
      </w:r>
    </w:p>
    <w:p>
      <w:pPr>
        <w:pStyle w:val="BookText"/>
      </w:pPr>
      <w:r>
        <w:rPr>
          <w:rFonts w:ascii="Amiri" w:hAnsi="Amiri" w:eastAsia="Amiri" w:cs="Amiri"/>
          <w:lang w:bidi="ar-SA"/>
          <w:color w:val="111111"/>
          <w:sz w:val="28"/>
          <w:szCs w:val="28"/>
          <w:rtl/>
        </w:rPr>
        <w:t xml:space="preserve">عبدالله بن محمّد حسن مامقاني -مامقاني</w:t>
      </w:r>
    </w:p>
    <w:p>
      <w:pPr>
        <w:pStyle w:val="BookText"/>
      </w:pPr>
      <w:r>
        <w:rPr>
          <w:rFonts w:ascii="IRNazanin" w:hAnsi="IRNazanin" w:eastAsia="IRNazanin" w:cs="IRNazanin"/>
          <w:lang w:bidi="fa-IR"/>
          <w:color w:val="111111"/>
          <w:sz w:val="28"/>
          <w:szCs w:val="28"/>
          <w:rtl/>
        </w:rPr>
        <w:t xml:space="preserve">عبدالله بن محمّد حسن</w:t>
      </w:r>
    </w:p>
    <w:p>
      <w:pPr>
        <w:pStyle w:val="BookText"/>
      </w:pPr>
      <w:r>
        <w:rPr>
          <w:rFonts w:ascii="Amiri" w:hAnsi="Amiri" w:eastAsia="Amiri" w:cs="Amiri"/>
          <w:lang w:bidi="ar-SA"/>
          <w:color w:val="111111"/>
          <w:sz w:val="28"/>
          <w:szCs w:val="28"/>
          <w:rtl/>
        </w:rPr>
        <w:t xml:space="preserve">عبدالله بن محمّد حسيني- ابن سكري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 الله بن محمّد حميدي زولي -حميدي</w:t>
      </w:r>
    </w:p>
    <w:p>
      <w:pPr>
        <w:pStyle w:val="BookText"/>
      </w:pPr>
      <w:r>
        <w:rPr>
          <w:rFonts w:ascii="Amiri" w:hAnsi="Amiri" w:eastAsia="Amiri" w:cs="Amiri"/>
          <w:lang w:bidi="ar-SA"/>
          <w:color w:val="111111"/>
          <w:sz w:val="28"/>
          <w:szCs w:val="28"/>
          <w:rtl/>
        </w:rPr>
        <w:t xml:space="preserve">زولي ، عبدالله بن محمّد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محمّد خياط هاروشي -هاروشي ، عبدالله بن محمّد</w:t>
      </w:r>
    </w:p>
    <w:p>
      <w:pPr>
        <w:pStyle w:val="BookText"/>
      </w:pPr>
      <w:r>
        <w:rPr>
          <w:rFonts w:ascii="Amiri" w:hAnsi="Amiri" w:eastAsia="Amiri" w:cs="Amiri"/>
          <w:lang w:bidi="ar-SA"/>
          <w:color w:val="111111"/>
          <w:sz w:val="28"/>
          <w:szCs w:val="28"/>
          <w:rtl/>
        </w:rPr>
        <w:t xml:space="preserve">عبدالله بن محمّد رازي- نجم رازي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IRNazanin" w:hAnsi="IRNazanin" w:eastAsia="IRNazanin" w:cs="IRNazanin"/>
          <w:lang w:bidi="fa-IR"/>
          <w:color w:val="111111"/>
          <w:sz w:val="28"/>
          <w:szCs w:val="28"/>
          <w:rtl/>
        </w:rPr>
        <w:t xml:space="preserve">عبد الله بن محمّد رضا بن محمّد بن احمد</w:t>
      </w:r>
    </w:p>
    <w:p>
      <w:pPr>
        <w:pStyle w:val="BookText"/>
      </w:pPr>
      <w:r>
        <w:rPr>
          <w:rFonts w:ascii="Amiri" w:hAnsi="Amiri" w:eastAsia="Amiri" w:cs="Amiri"/>
          <w:lang w:bidi="ar-SA"/>
          <w:color w:val="111111"/>
          <w:sz w:val="28"/>
          <w:szCs w:val="28"/>
          <w:rtl/>
        </w:rPr>
        <w:t xml:space="preserve">حسيني علوي كاظمي- شبر ، عبدالله بن</w:t>
      </w:r>
    </w:p>
    <w:p>
      <w:pPr>
        <w:pStyle w:val="BookText"/>
      </w:pPr>
      <w:r>
        <w:rPr>
          <w:rFonts w:ascii="Amiri" w:hAnsi="Amiri" w:eastAsia="Amiri" w:cs="Amiri"/>
          <w:lang w:bidi="ar-SA"/>
          <w:color w:val="111111"/>
          <w:sz w:val="28"/>
          <w:szCs w:val="28"/>
          <w:rtl/>
        </w:rPr>
        <w:t xml:space="preserve">محمّد رضا</w:t>
      </w:r>
    </w:p>
    <w:p>
      <w:pPr>
        <w:pStyle w:val="BookText"/>
      </w:pPr>
      <w:r>
        <w:rPr>
          <w:rFonts w:ascii="Amiri" w:hAnsi="Amiri" w:eastAsia="Amiri" w:cs="Amiri"/>
          <w:lang w:bidi="ar-SA"/>
          <w:color w:val="111111"/>
          <w:sz w:val="28"/>
          <w:szCs w:val="28"/>
          <w:rtl/>
        </w:rPr>
        <w:t xml:space="preserve">عبدالله بن محمّد رضا حسيني- شبر ،</w:t>
      </w:r>
    </w:p>
    <w:p>
      <w:pPr>
        <w:pStyle w:val="BookText"/>
      </w:pPr>
      <w:r>
        <w:rPr>
          <w:rFonts w:ascii="IRNazanin" w:hAnsi="IRNazanin" w:eastAsia="IRNazanin" w:cs="IRNazanin"/>
          <w:lang w:bidi="fa-IR"/>
          <w:color w:val="111111"/>
          <w:sz w:val="28"/>
          <w:szCs w:val="28"/>
          <w:rtl/>
        </w:rPr>
        <w:t xml:space="preserve">عبدالله بن محمّد رضا</w:t>
      </w:r>
    </w:p>
    <w:p>
      <w:pPr>
        <w:pStyle w:val="BookText"/>
      </w:pPr>
      <w:r>
        <w:rPr>
          <w:rFonts w:ascii="Amiri" w:hAnsi="Amiri" w:eastAsia="Amiri" w:cs="Amiri"/>
          <w:lang w:bidi="ar-SA"/>
          <w:color w:val="111111"/>
          <w:sz w:val="28"/>
          <w:szCs w:val="28"/>
          <w:rtl/>
        </w:rPr>
        <w:t xml:space="preserve">عبدالله بن محمّد رضا شبر حسيني -شبر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عبدالله بن محمّد زوزني- زوزني ،عبدالله بن محمّد</w:t>
      </w:r>
    </w:p>
    <w:p>
      <w:pPr>
        <w:pStyle w:val="BookText"/>
      </w:pPr>
      <w:r>
        <w:rPr>
          <w:rFonts w:ascii="Amiri" w:hAnsi="Amiri" w:eastAsia="Amiri" w:cs="Amiri"/>
          <w:lang w:bidi="ar-SA"/>
          <w:color w:val="111111"/>
          <w:sz w:val="28"/>
          <w:szCs w:val="28"/>
          <w:rtl/>
        </w:rPr>
        <w:t xml:space="preserve">عبد الله بن محمّد سمرقندي -سمرقندي الاكبر ، عبدالله بن محمّد</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شافعي -شافعي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شبراوي -شبراوي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شنشوري ازهري- شنشوري ، عبدالله بن محمّد</w:t>
      </w:r>
    </w:p>
    <w:p>
      <w:pPr>
        <w:pStyle w:val="BookText"/>
      </w:pPr>
      <w:r>
        <w:rPr>
          <w:rFonts w:ascii="Amiri" w:hAnsi="Amiri" w:eastAsia="Amiri" w:cs="Amiri"/>
          <w:lang w:bidi="ar-SA"/>
          <w:color w:val="111111"/>
          <w:sz w:val="28"/>
          <w:szCs w:val="28"/>
          <w:rtl/>
        </w:rPr>
        <w:t xml:space="preserve">عبد الله بن محمّد طالب آملي- طالب آملي عبدالله بن محمّد</w:t>
      </w:r>
    </w:p>
    <w:p>
      <w:pPr>
        <w:pStyle w:val="BookText"/>
      </w:pPr>
      <w:r>
        <w:rPr>
          <w:rFonts w:ascii="Amiri" w:hAnsi="Amiri" w:eastAsia="Amiri" w:cs="Amiri"/>
          <w:lang w:bidi="ar-SA"/>
          <w:color w:val="111111"/>
          <w:sz w:val="28"/>
          <w:szCs w:val="28"/>
          <w:rtl/>
        </w:rPr>
        <w:t xml:space="preserve">عبد الله بن محمّد عمري موصلي -عمري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 الله بن محمّد قسطني</w:t>
      </w:r>
    </w:p>
    <w:p>
      <w:pPr>
        <w:pStyle w:val="BookText"/>
      </w:pPr>
      <w:r>
        <w:rPr>
          <w:rFonts w:ascii="Amiri" w:hAnsi="Amiri" w:eastAsia="Amiri" w:cs="Amiri"/>
          <w:lang w:bidi="ar-SA"/>
          <w:color w:val="111111"/>
          <w:sz w:val="28"/>
          <w:szCs w:val="28"/>
          <w:rtl/>
        </w:rPr>
        <w:t xml:space="preserve">عروضي -عروضي ، عبدالله بن محمّد</w:t>
      </w:r>
    </w:p>
    <w:p>
      <w:pPr>
        <w:pStyle w:val="BookText"/>
      </w:pPr>
      <w:r>
        <w:rPr>
          <w:rFonts w:ascii="Amiri" w:hAnsi="Amiri" w:eastAsia="Amiri" w:cs="Amiri"/>
          <w:lang w:bidi="ar-SA"/>
          <w:color w:val="111111"/>
          <w:sz w:val="28"/>
          <w:szCs w:val="28"/>
          <w:rtl/>
        </w:rPr>
        <w:t xml:space="preserve">عبدالله بن محمّد قيوجاني -قيوجاقي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كاشغري- كاشغري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بن محمّد كاظم تبريزي- تبريزي</w:t>
      </w:r>
    </w:p>
    <w:p>
      <w:pPr>
        <w:pStyle w:val="BookText"/>
      </w:pPr>
      <w:r>
        <w:rPr>
          <w:rFonts w:ascii="IRNazanin" w:hAnsi="IRNazanin" w:eastAsia="IRNazanin" w:cs="IRNazanin"/>
          <w:lang w:bidi="fa-IR"/>
          <w:color w:val="111111"/>
          <w:sz w:val="28"/>
          <w:szCs w:val="28"/>
          <w:rtl/>
        </w:rPr>
        <w:t xml:space="preserve">عبدالله بن محمّد کاظم</w:t>
      </w:r>
    </w:p>
    <w:p>
      <w:pPr>
        <w:pStyle w:val="BookText"/>
      </w:pPr>
      <w:r>
        <w:rPr>
          <w:rFonts w:ascii="Amiri" w:hAnsi="Amiri" w:eastAsia="Amiri" w:cs="Amiri"/>
          <w:lang w:bidi="ar-SA"/>
          <w:color w:val="111111"/>
          <w:sz w:val="28"/>
          <w:szCs w:val="28"/>
          <w:rtl/>
        </w:rPr>
        <w:t xml:space="preserve">عبدالله بن محمّد مطري -مطري ، عبد الله</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عبدالله بن محمّد مقري- مقري ، عبد الله</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عبدالله بن محمّد ميانجي همداني عين عبدالله القضاة- عين القضاة ، عبدالله بن محمّد</w:t>
      </w:r>
    </w:p>
    <w:p>
      <w:pPr>
        <w:pStyle w:val="BookText"/>
      </w:pPr>
      <w:r>
        <w:rPr>
          <w:rFonts w:ascii="Amiri" w:hAnsi="Amiri" w:eastAsia="Amiri" w:cs="Amiri"/>
          <w:lang w:bidi="ar-SA"/>
          <w:color w:val="111111"/>
          <w:sz w:val="28"/>
          <w:szCs w:val="28"/>
          <w:rtl/>
        </w:rPr>
        <w:t xml:space="preserve">عبدالله بن محمّد ناشئي الاكبر -ناشي الاكبرعبدالله بن محمّد</w:t>
      </w:r>
    </w:p>
    <w:p>
      <w:pPr>
        <w:pStyle w:val="BookText"/>
      </w:pPr>
      <w:r>
        <w:rPr>
          <w:rFonts w:ascii="IRNazanin" w:hAnsi="IRNazanin" w:eastAsia="IRNazanin" w:cs="IRNazanin"/>
          <w:lang w:bidi="fa-IR"/>
          <w:color w:val="111111"/>
          <w:sz w:val="28"/>
          <w:szCs w:val="28"/>
          <w:rtl/>
        </w:rPr>
        <w:t xml:space="preserve">عبدالله بن محمّد نصير جيلاني مازندراني- گيلاني ، عبدالله بن محمّد</w:t>
      </w:r>
    </w:p>
    <w:p>
      <w:pPr>
        <w:pStyle w:val="BookText"/>
      </w:pPr>
      <w:r>
        <w:rPr>
          <w:rFonts w:ascii="IRNazanin" w:hAnsi="IRNazanin" w:eastAsia="IRNazanin" w:cs="IRNazanin"/>
          <w:lang w:bidi="fa-IR"/>
          <w:color w:val="111111"/>
          <w:sz w:val="28"/>
          <w:szCs w:val="28"/>
          <w:rtl/>
        </w:rPr>
        <w:t xml:space="preserve">نصير عبدالله بن محمّد نقره کار- نقره کار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 الله بن محمّد هاتفي خبوشاني- هاتفي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 عبدالله بن محمّد هادي هرندي- هرندي</w:t>
      </w:r>
    </w:p>
    <w:p>
      <w:pPr>
        <w:pStyle w:val="BookText"/>
      </w:pPr>
      <w:r>
        <w:rPr>
          <w:rFonts w:ascii="IRNazanin" w:hAnsi="IRNazanin" w:eastAsia="IRNazanin" w:cs="IRNazanin"/>
          <w:lang w:bidi="fa-IR"/>
          <w:color w:val="111111"/>
          <w:sz w:val="28"/>
          <w:szCs w:val="28"/>
          <w:rtl/>
        </w:rPr>
        <w:t xml:space="preserve">، عبدالله بن محمّد</w:t>
      </w:r>
    </w:p>
    <w:p>
      <w:pPr>
        <w:pStyle w:val="BookText"/>
      </w:pPr>
      <w:r>
        <w:rPr>
          <w:rFonts w:ascii="Amiri" w:hAnsi="Amiri" w:eastAsia="Amiri" w:cs="Amiri"/>
          <w:lang w:bidi="ar-SA"/>
          <w:color w:val="111111"/>
          <w:sz w:val="28"/>
          <w:szCs w:val="28"/>
          <w:rtl/>
        </w:rPr>
        <w:t xml:space="preserve">عبدالله بن محمّد هروي انصاري -انصاري</w:t>
      </w:r>
    </w:p>
    <w:p>
      <w:pPr>
        <w:pStyle w:val="BookText"/>
      </w:pPr>
      <w:r>
        <w:rPr>
          <w:rFonts w:ascii="IRNazanin" w:hAnsi="IRNazanin" w:eastAsia="IRNazanin" w:cs="IRNazanin"/>
          <w:lang w:bidi="fa-IR"/>
          <w:color w:val="111111"/>
          <w:sz w:val="28"/>
          <w:szCs w:val="28"/>
          <w:rtl/>
        </w:rPr>
        <w:t xml:space="preserve">، عبدالله بن محمّد</w:t>
      </w:r>
    </w:p>
    <w:p>
      <w:pPr>
        <w:pStyle w:val="BookText"/>
      </w:pPr>
      <w:r>
        <w:rPr>
          <w:rFonts w:ascii="Amiri" w:hAnsi="Amiri" w:eastAsia="Amiri" w:cs="Amiri"/>
          <w:lang w:bidi="ar-SA"/>
          <w:color w:val="111111"/>
          <w:sz w:val="28"/>
          <w:szCs w:val="28"/>
          <w:rtl/>
        </w:rPr>
        <w:t xml:space="preserve">عبدالله بن محمود آشني- آشني ، عبدالله</w:t>
      </w:r>
    </w:p>
    <w:p>
      <w:pPr>
        <w:pStyle w:val="BookText"/>
      </w:pPr>
      <w:r>
        <w:rPr>
          <w:rFonts w:ascii="IRNazanin" w:hAnsi="IRNazanin" w:eastAsia="IRNazanin" w:cs="IRNazanin"/>
          <w:lang w:bidi="fa-IR"/>
          <w:color w:val="111111"/>
          <w:sz w:val="28"/>
          <w:szCs w:val="28"/>
          <w:rtl/>
        </w:rPr>
        <w:t xml:space="preserve">بن محمود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53" w:name="pg7742_70751"/>
    <w:bookmarkEnd w:id="753"/>
    <w:p>
      <w:pPr>
        <w:pStyle w:val="BookText"/>
      </w:pPr>
      <w:r>
        <w:rPr>
          <w:rFonts w:ascii="Amiri" w:hAnsi="Amiri" w:eastAsia="Amiri" w:cs="Amiri"/>
          <w:lang w:bidi="ar-SA"/>
          <w:color w:val="111111"/>
          <w:sz w:val="28"/>
          <w:szCs w:val="28"/>
          <w:rtl/>
        </w:rPr>
        <w:t xml:space="preserve">عبدالله بن محمود آلوسي- آلوسي ، عبد الله</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عبد الله بن محمود موصلي- ابن بلدجي ،</w:t>
      </w:r>
    </w:p>
    <w:p>
      <w:pPr>
        <w:pStyle w:val="BookText"/>
      </w:pPr>
      <w:r>
        <w:rPr>
          <w:rFonts w:ascii="IRNazanin" w:hAnsi="IRNazanin" w:eastAsia="IRNazanin" w:cs="IRNazanin"/>
          <w:lang w:bidi="fa-IR"/>
          <w:color w:val="111111"/>
          <w:sz w:val="28"/>
          <w:szCs w:val="28"/>
          <w:rtl/>
        </w:rPr>
        <w:t xml:space="preserve">عبدالله بن محمود</w:t>
      </w:r>
    </w:p>
    <w:p>
      <w:pPr>
        <w:pStyle w:val="BookText"/>
      </w:pPr>
      <w:r>
        <w:rPr>
          <w:rFonts w:ascii="IRNazanin" w:hAnsi="IRNazanin" w:eastAsia="IRNazanin" w:cs="IRNazanin"/>
          <w:lang w:bidi="fa-IR"/>
          <w:color w:val="111111"/>
          <w:sz w:val="28"/>
          <w:szCs w:val="28"/>
          <w:rtl/>
        </w:rPr>
        <w:t xml:space="preserve">عبدالله بن مسعود بن تاج</w:t>
      </w:r>
    </w:p>
    <w:p>
      <w:pPr>
        <w:pStyle w:val="BookText"/>
      </w:pPr>
      <w:r>
        <w:rPr>
          <w:rFonts w:ascii="Amiri" w:hAnsi="Amiri" w:eastAsia="Amiri" w:cs="Amiri"/>
          <w:lang w:bidi="ar-SA"/>
          <w:color w:val="111111"/>
          <w:sz w:val="28"/>
          <w:szCs w:val="28"/>
          <w:rtl/>
        </w:rPr>
        <w:t xml:space="preserve">الشريعه - صدر الشريعة الثاني ، عبيد الله بن</w:t>
      </w:r>
    </w:p>
    <w:p>
      <w:pPr>
        <w:pStyle w:val="BookText"/>
      </w:pPr>
      <w:r>
        <w:rPr>
          <w:rFonts w:ascii="IRNazanin" w:hAnsi="IRNazanin" w:eastAsia="IRNazanin" w:cs="IRNazanin"/>
          <w:lang w:bidi="fa-IR"/>
          <w:color w:val="111111"/>
          <w:sz w:val="28"/>
          <w:szCs w:val="28"/>
          <w:rtl/>
        </w:rPr>
        <w:t xml:space="preserve">مسعود</w:t>
      </w:r>
    </w:p>
    <w:p>
      <w:pPr>
        <w:pStyle w:val="BookText"/>
      </w:pPr>
      <w:r>
        <w:rPr>
          <w:rFonts w:ascii="Amiri" w:hAnsi="Amiri" w:eastAsia="Amiri" w:cs="Amiri"/>
          <w:lang w:bidi="ar-SA"/>
          <w:color w:val="111111"/>
          <w:sz w:val="28"/>
          <w:szCs w:val="28"/>
          <w:rtl/>
        </w:rPr>
        <w:t xml:space="preserve">عبدالله بن مسلم بن قتيبه- ابن قتيبه</w:t>
      </w:r>
    </w:p>
    <w:p>
      <w:pPr>
        <w:pStyle w:val="BookText"/>
      </w:pPr>
      <w:r>
        <w:rPr>
          <w:rFonts w:ascii="IRNazanin" w:hAnsi="IRNazanin" w:eastAsia="IRNazanin" w:cs="IRNazanin"/>
          <w:lang w:bidi="fa-IR"/>
          <w:color w:val="111111"/>
          <w:sz w:val="28"/>
          <w:szCs w:val="28"/>
          <w:rtl/>
        </w:rPr>
        <w:t xml:space="preserve">عبدالله بن مسلم</w:t>
      </w:r>
    </w:p>
    <w:p>
      <w:pPr>
        <w:pStyle w:val="BookText"/>
      </w:pPr>
      <w:r>
        <w:rPr>
          <w:rFonts w:ascii="Amiri" w:hAnsi="Amiri" w:eastAsia="Amiri" w:cs="Amiri"/>
          <w:lang w:bidi="ar-SA"/>
          <w:color w:val="111111"/>
          <w:sz w:val="28"/>
          <w:szCs w:val="28"/>
          <w:rtl/>
        </w:rPr>
        <w:t xml:space="preserve">عبدالله بن مصطفى جاني زاده -جاني زاده</w:t>
      </w:r>
    </w:p>
    <w:p>
      <w:pPr>
        <w:pStyle w:val="BookText"/>
      </w:pPr>
      <w:r>
        <w:rPr>
          <w:rFonts w:ascii="IRNazanin" w:hAnsi="IRNazanin" w:eastAsia="IRNazanin" w:cs="IRNazanin"/>
          <w:lang w:bidi="fa-IR"/>
          <w:color w:val="111111"/>
          <w:sz w:val="28"/>
          <w:szCs w:val="28"/>
          <w:rtl/>
        </w:rPr>
        <w:t xml:space="preserve">، عبدالله بن مصطفى</w:t>
      </w:r>
    </w:p>
    <w:p>
      <w:pPr>
        <w:pStyle w:val="BookText"/>
      </w:pPr>
      <w:r>
        <w:rPr>
          <w:rFonts w:ascii="Amiri" w:hAnsi="Amiri" w:eastAsia="Amiri" w:cs="Amiri"/>
          <w:lang w:bidi="ar-SA"/>
          <w:color w:val="111111"/>
          <w:sz w:val="28"/>
          <w:szCs w:val="28"/>
          <w:rtl/>
        </w:rPr>
        <w:t xml:space="preserve">عبد الله بن مصطفى دملوجي- دملوجي</w:t>
      </w:r>
    </w:p>
    <w:p>
      <w:pPr>
        <w:pStyle w:val="BookText"/>
      </w:pPr>
      <w:r>
        <w:rPr>
          <w:rFonts w:ascii="IRNazanin" w:hAnsi="IRNazanin" w:eastAsia="IRNazanin" w:cs="IRNazanin"/>
          <w:lang w:bidi="fa-IR"/>
          <w:color w:val="111111"/>
          <w:sz w:val="28"/>
          <w:szCs w:val="28"/>
          <w:rtl/>
        </w:rPr>
        <w:t xml:space="preserve">عبدالله بن مصطفى</w:t>
      </w:r>
    </w:p>
    <w:p>
      <w:pPr>
        <w:pStyle w:val="BookText"/>
      </w:pPr>
      <w:r>
        <w:rPr>
          <w:rFonts w:ascii="IRNazanin" w:hAnsi="IRNazanin" w:eastAsia="IRNazanin" w:cs="IRNazanin"/>
          <w:lang w:bidi="fa-IR"/>
          <w:color w:val="111111"/>
          <w:sz w:val="28"/>
          <w:szCs w:val="28"/>
          <w:rtl/>
        </w:rPr>
        <w:t xml:space="preserve">عبدالله بن مصطفی کوپریلي- کوپريلي ،عبدالله بن مصطفى</w:t>
      </w:r>
    </w:p>
    <w:p>
      <w:pPr>
        <w:pStyle w:val="BookText"/>
      </w:pPr>
      <w:r>
        <w:rPr>
          <w:rFonts w:ascii="Amiri" w:hAnsi="Amiri" w:eastAsia="Amiri" w:cs="Amiri"/>
          <w:lang w:bidi="ar-SA"/>
          <w:color w:val="111111"/>
          <w:sz w:val="28"/>
          <w:szCs w:val="28"/>
          <w:rtl/>
        </w:rPr>
        <w:t xml:space="preserve">عبدالله بن معتوق خطى -خطي ، عبدالله</w:t>
      </w:r>
    </w:p>
    <w:p>
      <w:pPr>
        <w:pStyle w:val="BookText"/>
      </w:pPr>
      <w:r>
        <w:rPr>
          <w:rFonts w:ascii="IRNazanin" w:hAnsi="IRNazanin" w:eastAsia="IRNazanin" w:cs="IRNazanin"/>
          <w:lang w:bidi="fa-IR"/>
          <w:color w:val="111111"/>
          <w:sz w:val="28"/>
          <w:szCs w:val="28"/>
          <w:rtl/>
        </w:rPr>
        <w:t xml:space="preserve">بن معتوق</w:t>
      </w:r>
    </w:p>
    <w:p>
      <w:pPr>
        <w:pStyle w:val="Heading2"/>
      </w:pPr>
      <w:bookmarkStart w:id="5847" w:name="_Toc4949"/>
      <w:r>
        <w:t>عبدالله بن مغيرة - 1355 ه-</w:t>
      </w:r>
      <w:bookmarkEnd w:id="5847"/>
    </w:p>
    <w:p>
      <w:pPr>
        <w:pStyle w:val="BookText"/>
      </w:pPr>
      <w:r>
        <w:rPr>
          <w:rFonts w:ascii="Amiri" w:hAnsi="Amiri" w:eastAsia="Amiri" w:cs="Amiri"/>
          <w:lang w:bidi="ar-SA"/>
          <w:color w:val="111111"/>
          <w:sz w:val="28"/>
          <w:szCs w:val="28"/>
          <w:rtl/>
        </w:rPr>
        <w:t xml:space="preserve">تاريخ العرب، ج 3، ص 582 .</w:t>
      </w:r>
    </w:p>
    <w:p>
      <w:pPr>
        <w:pStyle w:val="BookText"/>
      </w:pPr>
      <w:r>
        <w:rPr>
          <w:rFonts w:ascii="IRNazanin" w:hAnsi="IRNazanin" w:eastAsia="IRNazanin" w:cs="IRNazanin"/>
          <w:lang w:bidi="fa-IR"/>
          <w:color w:val="111111"/>
          <w:sz w:val="28"/>
          <w:szCs w:val="28"/>
          <w:rtl/>
        </w:rPr>
        <w:t xml:space="preserve">عبد الله بن مقفع- ابن مقفع ، عبدالله بن</w:t>
      </w:r>
    </w:p>
    <w:p>
      <w:pPr>
        <w:pStyle w:val="BookText"/>
      </w:pPr>
      <w:r>
        <w:rPr>
          <w:rFonts w:ascii="IRNazanin" w:hAnsi="IRNazanin" w:eastAsia="IRNazanin" w:cs="IRNazanin"/>
          <w:lang w:bidi="fa-IR"/>
          <w:color w:val="111111"/>
          <w:sz w:val="28"/>
          <w:szCs w:val="28"/>
          <w:rtl/>
        </w:rPr>
        <w:t xml:space="preserve">دادویه</w:t>
      </w:r>
    </w:p>
    <w:p>
      <w:pPr>
        <w:pStyle w:val="BookText"/>
      </w:pPr>
      <w:r>
        <w:rPr>
          <w:rFonts w:ascii="Amiri" w:hAnsi="Amiri" w:eastAsia="Amiri" w:cs="Amiri"/>
          <w:lang w:bidi="ar-SA"/>
          <w:color w:val="111111"/>
          <w:sz w:val="28"/>
          <w:szCs w:val="28"/>
          <w:rtl/>
        </w:rPr>
        <w:t xml:space="preserve">عبد الله بن مهدي بروجردي - بروجردي ،</w:t>
      </w:r>
    </w:p>
    <w:p>
      <w:pPr>
        <w:pStyle w:val="BookText"/>
      </w:pPr>
      <w:r>
        <w:rPr>
          <w:rFonts w:ascii="Amiri" w:hAnsi="Amiri" w:eastAsia="Amiri" w:cs="Amiri"/>
          <w:lang w:bidi="ar-SA"/>
          <w:color w:val="111111"/>
          <w:sz w:val="28"/>
          <w:szCs w:val="28"/>
          <w:rtl/>
        </w:rPr>
        <w:t xml:space="preserve">عبدالله بن نوروز علي</w:t>
      </w:r>
    </w:p>
    <w:p>
      <w:pPr>
        <w:pStyle w:val="BookText"/>
      </w:pPr>
      <w:r>
        <w:rPr>
          <w:rFonts w:ascii="Amiri" w:hAnsi="Amiri" w:eastAsia="Amiri" w:cs="Amiri"/>
          <w:lang w:bidi="ar-SA"/>
          <w:color w:val="111111"/>
          <w:sz w:val="28"/>
          <w:szCs w:val="28"/>
          <w:rtl/>
        </w:rPr>
        <w:t xml:space="preserve">عبدالله بن مهدي نجفي بافقي- بافقي ،</w:t>
      </w:r>
    </w:p>
    <w:p>
      <w:pPr>
        <w:pStyle w:val="BookText"/>
      </w:pPr>
      <w:r>
        <w:rPr>
          <w:rFonts w:ascii="Amiri" w:hAnsi="Amiri" w:eastAsia="Amiri" w:cs="Amiri"/>
          <w:lang w:bidi="ar-SA"/>
          <w:color w:val="111111"/>
          <w:sz w:val="28"/>
          <w:szCs w:val="28"/>
          <w:rtl/>
        </w:rPr>
        <w:t xml:space="preserve">عبدالله بن مهدي</w:t>
      </w:r>
    </w:p>
    <w:p>
      <w:pPr>
        <w:pStyle w:val="BookText"/>
      </w:pPr>
      <w:r>
        <w:rPr>
          <w:rFonts w:ascii="IRNazanin" w:hAnsi="IRNazanin" w:eastAsia="IRNazanin" w:cs="IRNazanin"/>
          <w:lang w:bidi="fa-IR"/>
          <w:color w:val="111111"/>
          <w:sz w:val="28"/>
          <w:szCs w:val="28"/>
          <w:rtl/>
        </w:rPr>
        <w:t xml:space="preserve">عبدالله بن نجم الدین محمّد بن</w:t>
      </w:r>
    </w:p>
    <w:p>
      <w:pPr>
        <w:pStyle w:val="BookText"/>
      </w:pPr>
      <w:r>
        <w:rPr>
          <w:rFonts w:ascii="IRNazanin" w:hAnsi="IRNazanin" w:eastAsia="IRNazanin" w:cs="IRNazanin"/>
          <w:lang w:bidi="fa-IR"/>
          <w:color w:val="111111"/>
          <w:sz w:val="28"/>
          <w:szCs w:val="28"/>
          <w:rtl/>
        </w:rPr>
        <w:t xml:space="preserve">شاس -ابن شاس ، عبدالله بن نجم الدین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عبدالله بن نجم خلال جذامي سعدي -خلال ، عبدالله بن نجم</w:t>
      </w:r>
    </w:p>
    <w:p>
      <w:pPr>
        <w:pStyle w:val="BookText"/>
      </w:pPr>
      <w:r>
        <w:rPr>
          <w:rFonts w:ascii="Amiri" w:hAnsi="Amiri" w:eastAsia="Amiri" w:cs="Amiri"/>
          <w:lang w:bidi="ar-SA"/>
          <w:color w:val="111111"/>
          <w:sz w:val="28"/>
          <w:szCs w:val="28"/>
          <w:rtl/>
        </w:rPr>
        <w:t xml:space="preserve">عبدالله بن نصير الدين</w:t>
      </w:r>
    </w:p>
    <w:p>
      <w:pPr>
        <w:pStyle w:val="BookText"/>
      </w:pPr>
      <w:r>
        <w:rPr>
          <w:rFonts w:ascii="Amiri" w:hAnsi="Amiri" w:eastAsia="Amiri" w:cs="Amiri"/>
          <w:lang w:bidi="ar-SA"/>
          <w:color w:val="111111"/>
          <w:sz w:val="28"/>
          <w:szCs w:val="28"/>
          <w:rtl/>
        </w:rPr>
        <w:t xml:space="preserve">مازندراني- مازندراني ، عبدالله بن نصير الدين</w:t>
      </w:r>
    </w:p>
    <w:p>
      <w:pPr>
        <w:pStyle w:val="BookText"/>
      </w:pPr>
      <w:r>
        <w:rPr>
          <w:rFonts w:ascii="Amiri" w:hAnsi="Amiri" w:eastAsia="Amiri" w:cs="Amiri"/>
          <w:lang w:bidi="ar-SA"/>
          <w:color w:val="111111"/>
          <w:sz w:val="28"/>
          <w:szCs w:val="28"/>
          <w:rtl/>
        </w:rPr>
        <w:t xml:space="preserve">عبدالله بن نعمت الله بن عبدالله موسوي جزائري تستري- موسوي جزائري ، عبدالله بن</w:t>
      </w:r>
    </w:p>
    <w:p>
      <w:pPr>
        <w:pStyle w:val="BookText"/>
      </w:pPr>
      <w:r>
        <w:rPr>
          <w:rFonts w:ascii="IRNazanin" w:hAnsi="IRNazanin" w:eastAsia="IRNazanin" w:cs="IRNazanin"/>
          <w:lang w:bidi="fa-IR"/>
          <w:color w:val="111111"/>
          <w:sz w:val="28"/>
          <w:szCs w:val="28"/>
          <w:rtl/>
        </w:rPr>
        <w:t xml:space="preserve">نعمت الله</w:t>
      </w:r>
    </w:p>
    <w:p>
      <w:pPr>
        <w:pStyle w:val="BookText"/>
      </w:pPr>
      <w:r>
        <w:rPr>
          <w:rFonts w:ascii="Amiri" w:hAnsi="Amiri" w:eastAsia="Amiri" w:cs="Amiri"/>
          <w:lang w:bidi="ar-SA"/>
          <w:color w:val="111111"/>
          <w:sz w:val="28"/>
          <w:szCs w:val="28"/>
          <w:rtl/>
        </w:rPr>
        <w:t xml:space="preserve">عبد الله بن نورالدين بن نعمة الله</w:t>
      </w:r>
    </w:p>
    <w:p>
      <w:pPr>
        <w:pStyle w:val="BookText"/>
      </w:pPr>
      <w:r>
        <w:rPr>
          <w:rFonts w:ascii="Amiri" w:hAnsi="Amiri" w:eastAsia="Amiri" w:cs="Amiri"/>
          <w:lang w:bidi="ar-SA"/>
          <w:color w:val="111111"/>
          <w:sz w:val="28"/>
          <w:szCs w:val="28"/>
          <w:rtl/>
        </w:rPr>
        <w:t xml:space="preserve">حسيني موسوي جزائري تستري- جزايري ، عبدالله بن</w:t>
      </w:r>
    </w:p>
    <w:p>
      <w:pPr>
        <w:pStyle w:val="BookText"/>
      </w:pPr>
      <w:r>
        <w:rPr>
          <w:rFonts w:ascii="IRNazanin" w:hAnsi="IRNazanin" w:eastAsia="IRNazanin" w:cs="IRNazanin"/>
          <w:lang w:bidi="fa-IR"/>
          <w:color w:val="111111"/>
          <w:sz w:val="28"/>
          <w:szCs w:val="28"/>
          <w:rtl/>
        </w:rPr>
        <w:t xml:space="preserve">نورالدین</w:t>
      </w:r>
    </w:p>
    <w:p>
      <w:pPr>
        <w:pStyle w:val="BookText"/>
      </w:pPr>
      <w:r>
        <w:rPr>
          <w:rFonts w:ascii="IRNazanin" w:hAnsi="IRNazanin" w:eastAsia="IRNazanin" w:cs="IRNazanin"/>
          <w:lang w:bidi="fa-IR"/>
          <w:color w:val="111111"/>
          <w:sz w:val="28"/>
          <w:szCs w:val="28"/>
          <w:rtl/>
        </w:rPr>
        <w:t xml:space="preserve">عبدالله بن نورالدین موسوي</w:t>
      </w:r>
    </w:p>
    <w:p>
      <w:pPr>
        <w:pStyle w:val="BookText"/>
      </w:pPr>
      <w:r>
        <w:rPr>
          <w:rFonts w:ascii="Amiri" w:hAnsi="Amiri" w:eastAsia="Amiri" w:cs="Amiri"/>
          <w:lang w:bidi="ar-SA"/>
          <w:color w:val="111111"/>
          <w:sz w:val="28"/>
          <w:szCs w:val="28"/>
          <w:rtl/>
        </w:rPr>
        <w:t xml:space="preserve">جزائري- جزايري ، عبد الله بن نورالدين</w:t>
      </w:r>
    </w:p>
    <w:p>
      <w:pPr>
        <w:pStyle w:val="Heading2"/>
      </w:pPr>
      <w:bookmarkStart w:id="5848" w:name="_Toc4950"/>
      <w:r>
        <w:t>عبدالله بن نورالله</w:t>
      </w:r>
      <w:bookmarkEnd w:id="5848"/>
    </w:p>
    <w:p>
      <w:pPr>
        <w:pStyle w:val="BookText"/>
      </w:pPr>
      <w:r>
        <w:rPr>
          <w:rFonts w:ascii="Amiri" w:hAnsi="Amiri" w:eastAsia="Amiri" w:cs="Amiri"/>
          <w:lang w:bidi="ar-SA"/>
          <w:color w:val="111111"/>
          <w:sz w:val="28"/>
          <w:szCs w:val="28"/>
          <w:rtl/>
        </w:rPr>
        <w:t xml:space="preserve">السيرة النبوية و الاداب المروية، ج 9،</w:t>
      </w:r>
    </w:p>
    <w:p>
      <w:pPr>
        <w:pStyle w:val="BookText"/>
      </w:pPr>
      <w:r>
        <w:rPr>
          <w:rFonts w:ascii="IRNazanin" w:hAnsi="IRNazanin" w:eastAsia="IRNazanin" w:cs="IRNazanin"/>
          <w:lang w:bidi="fa-IR"/>
          <w:color w:val="111111"/>
          <w:sz w:val="28"/>
          <w:szCs w:val="28"/>
          <w:rtl/>
        </w:rPr>
        <w:t xml:space="preserve">ص 24 .</w:t>
      </w:r>
    </w:p>
    <w:p>
      <w:pPr>
        <w:pStyle w:val="Heading2"/>
      </w:pPr>
      <w:bookmarkStart w:id="5849" w:name="_Toc4951"/>
      <w:r>
        <w:t>عبدالله بن نور الله قرن 11 ه-</w:t>
      </w:r>
      <w:bookmarkEnd w:id="5849"/>
    </w:p>
    <w:p>
      <w:pPr>
        <w:pStyle w:val="BookText"/>
      </w:pPr>
      <w:r>
        <w:rPr>
          <w:rFonts w:ascii="IRNazanin" w:hAnsi="IRNazanin" w:eastAsia="IRNazanin" w:cs="IRNazanin"/>
          <w:lang w:bidi="fa-IR"/>
          <w:color w:val="111111"/>
          <w:sz w:val="28"/>
          <w:szCs w:val="28"/>
          <w:rtl/>
        </w:rPr>
        <w:t xml:space="preserve">مقتل العوالم ، ج 15 ، ص 343 .</w:t>
      </w:r>
    </w:p>
    <w:p>
      <w:pPr>
        <w:pStyle w:val="BookText"/>
      </w:pPr>
      <w:r>
        <w:rPr>
          <w:rFonts w:ascii="Amiri" w:hAnsi="Amiri" w:eastAsia="Amiri" w:cs="Amiri"/>
          <w:lang w:bidi="ar-SA"/>
          <w:color w:val="111111"/>
          <w:sz w:val="28"/>
          <w:szCs w:val="28"/>
          <w:rtl/>
        </w:rPr>
        <w:t xml:space="preserve">عبدالله بن نوروز علي بروجردي - بروجردي ، عبدالله بن نوروز علي</w:t>
      </w:r>
    </w:p>
    <w:p>
      <w:pPr>
        <w:pStyle w:val="BookText"/>
      </w:pPr>
      <w:r>
        <w:rPr>
          <w:rFonts w:ascii="Amiri" w:hAnsi="Amiri" w:eastAsia="Amiri" w:cs="Amiri"/>
          <w:lang w:bidi="ar-SA"/>
          <w:color w:val="111111"/>
          <w:sz w:val="28"/>
          <w:szCs w:val="28"/>
          <w:rtl/>
        </w:rPr>
        <w:t xml:space="preserve">عبدالله بن هارون الرشيد- مأمون ، خليفه</w:t>
      </w:r>
    </w:p>
    <w:p>
      <w:pPr>
        <w:pStyle w:val="BookText"/>
      </w:pPr>
      <w:r>
        <w:rPr>
          <w:rFonts w:ascii="Amiri" w:hAnsi="Amiri" w:eastAsia="Amiri" w:cs="Amiri"/>
          <w:lang w:bidi="ar-SA"/>
          <w:color w:val="111111"/>
          <w:sz w:val="28"/>
          <w:szCs w:val="28"/>
          <w:rtl/>
        </w:rPr>
        <w:t xml:space="preserve">عباسي</w:t>
      </w:r>
    </w:p>
    <w:p>
      <w:pPr>
        <w:pStyle w:val="BookText"/>
      </w:pPr>
      <w:r>
        <w:rPr>
          <w:rFonts w:ascii="Amiri" w:hAnsi="Amiri" w:eastAsia="Amiri" w:cs="Amiri"/>
          <w:lang w:bidi="ar-SA"/>
          <w:color w:val="111111"/>
          <w:sz w:val="28"/>
          <w:szCs w:val="28"/>
          <w:rtl/>
        </w:rPr>
        <w:t xml:space="preserve">عبدالله بن هداد عثماني طلبني- ابن هداد</w:t>
      </w:r>
    </w:p>
    <w:p>
      <w:pPr>
        <w:pStyle w:val="BookText"/>
      </w:pPr>
      <w:r>
        <w:rPr>
          <w:rFonts w:ascii="IRNazanin" w:hAnsi="IRNazanin" w:eastAsia="IRNazanin" w:cs="IRNazanin"/>
          <w:lang w:bidi="fa-IR"/>
          <w:color w:val="111111"/>
          <w:sz w:val="28"/>
          <w:szCs w:val="28"/>
          <w:rtl/>
        </w:rPr>
        <w:t xml:space="preserve">، عبدالله بن هداد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54" w:name="pg7742_70752"/>
    <w:bookmarkEnd w:id="754"/>
    <w:p>
      <w:pPr>
        <w:pStyle w:val="Heading2"/>
      </w:pPr>
      <w:bookmarkStart w:id="5850" w:name="_Toc4952"/>
      <w:r>
        <w:t>عبدالله بن هلال</w:t>
      </w:r>
      <w:bookmarkEnd w:id="5850"/>
    </w:p>
    <w:p>
      <w:pPr>
        <w:pStyle w:val="BookText"/>
      </w:pPr>
      <w:r>
        <w:rPr>
          <w:rFonts w:ascii="Amiri" w:hAnsi="Amiri" w:eastAsia="Amiri" w:cs="Amiri"/>
          <w:lang w:bidi="ar-SA"/>
          <w:color w:val="111111"/>
          <w:sz w:val="28"/>
          <w:szCs w:val="28"/>
          <w:rtl/>
        </w:rPr>
        <w:t xml:space="preserve">نور المقل في اعمال ابواب الروحانية</w:t>
      </w:r>
    </w:p>
    <w:p>
      <w:pPr>
        <w:pStyle w:val="BookText"/>
      </w:pPr>
      <w:r>
        <w:rPr>
          <w:rFonts w:ascii="Amiri" w:hAnsi="Amiri" w:eastAsia="Amiri" w:cs="Amiri"/>
          <w:lang w:bidi="ar-SA"/>
          <w:color w:val="111111"/>
          <w:sz w:val="28"/>
          <w:szCs w:val="28"/>
          <w:rtl/>
        </w:rPr>
        <w:t xml:space="preserve">ولدك والحيل، ج 16 ، ص 568.</w:t>
      </w:r>
    </w:p>
    <w:p>
      <w:pPr>
        <w:pStyle w:val="BookText"/>
      </w:pPr>
      <w:r>
        <w:rPr>
          <w:rFonts w:ascii="Amiri" w:hAnsi="Amiri" w:eastAsia="Amiri" w:cs="Amiri"/>
          <w:lang w:bidi="ar-SA"/>
          <w:color w:val="111111"/>
          <w:sz w:val="28"/>
          <w:szCs w:val="28"/>
          <w:rtl/>
        </w:rPr>
        <w:t xml:space="preserve">عبدالله بن وهب فهري- ابن وهب ،</w:t>
      </w:r>
    </w:p>
    <w:p>
      <w:pPr>
        <w:pStyle w:val="BookText"/>
      </w:pPr>
      <w:r>
        <w:rPr>
          <w:rFonts w:ascii="IRNazanin" w:hAnsi="IRNazanin" w:eastAsia="IRNazanin" w:cs="IRNazanin"/>
          <w:lang w:bidi="fa-IR"/>
          <w:color w:val="111111"/>
          <w:sz w:val="28"/>
          <w:szCs w:val="28"/>
          <w:rtl/>
        </w:rPr>
        <w:t xml:space="preserve">عبدالله بن وهب</w:t>
      </w:r>
    </w:p>
    <w:p>
      <w:pPr>
        <w:pStyle w:val="BookText"/>
      </w:pPr>
      <w:r>
        <w:rPr>
          <w:rFonts w:ascii="Amiri" w:hAnsi="Amiri" w:eastAsia="Amiri" w:cs="Amiri"/>
          <w:lang w:bidi="ar-SA"/>
          <w:color w:val="111111"/>
          <w:sz w:val="28"/>
          <w:szCs w:val="28"/>
          <w:rtl/>
        </w:rPr>
        <w:t xml:space="preserve">عبدالله بن يحيى الكاهلي - كاهلي ،</w:t>
      </w:r>
    </w:p>
    <w:p>
      <w:pPr>
        <w:pStyle w:val="BookText"/>
      </w:pPr>
      <w:r>
        <w:rPr>
          <w:rFonts w:ascii="Amiri" w:hAnsi="Amiri" w:eastAsia="Amiri" w:cs="Amiri"/>
          <w:lang w:bidi="ar-SA"/>
          <w:color w:val="111111"/>
          <w:sz w:val="28"/>
          <w:szCs w:val="28"/>
          <w:rtl/>
        </w:rPr>
        <w:t xml:space="preserve">عبدالله بن يحيى</w:t>
      </w:r>
    </w:p>
    <w:p>
      <w:pPr>
        <w:pStyle w:val="BookText"/>
      </w:pPr>
      <w:r>
        <w:rPr>
          <w:rFonts w:ascii="Amiri" w:hAnsi="Amiri" w:eastAsia="Amiri" w:cs="Amiri"/>
          <w:lang w:bidi="ar-SA"/>
          <w:color w:val="111111"/>
          <w:sz w:val="28"/>
          <w:szCs w:val="28"/>
          <w:rtl/>
        </w:rPr>
        <w:t xml:space="preserve">عبدالله بن يحيى بن شرف الدين- ابن</w:t>
      </w:r>
    </w:p>
    <w:p>
      <w:pPr>
        <w:pStyle w:val="BookText"/>
      </w:pPr>
      <w:r>
        <w:rPr>
          <w:rFonts w:ascii="Amiri" w:hAnsi="Amiri" w:eastAsia="Amiri" w:cs="Amiri"/>
          <w:lang w:bidi="ar-SA"/>
          <w:color w:val="111111"/>
          <w:sz w:val="28"/>
          <w:szCs w:val="28"/>
          <w:rtl/>
        </w:rPr>
        <w:t xml:space="preserve">شرف الدين ، عبدالله بن يحيى</w:t>
      </w:r>
    </w:p>
    <w:p>
      <w:pPr>
        <w:pStyle w:val="Heading2"/>
      </w:pPr>
      <w:bookmarkStart w:id="5851" w:name="_Toc4953"/>
      <w:r>
        <w:t>عبدالله بن يوسف، قرن 12 ه-</w:t>
      </w:r>
      <w:bookmarkEnd w:id="5851"/>
    </w:p>
    <w:p>
      <w:pPr>
        <w:pStyle w:val="BookText"/>
      </w:pPr>
      <w:r>
        <w:rPr>
          <w:rFonts w:ascii="Amiri" w:hAnsi="Amiri" w:eastAsia="Amiri" w:cs="Amiri"/>
          <w:lang w:bidi="ar-SA"/>
          <w:color w:val="111111"/>
          <w:sz w:val="28"/>
          <w:szCs w:val="28"/>
          <w:rtl/>
        </w:rPr>
        <w:t xml:space="preserve">كافي التجويد، ج13، ص 48.</w:t>
      </w:r>
    </w:p>
    <w:p>
      <w:pPr>
        <w:pStyle w:val="BookText"/>
      </w:pPr>
      <w:r>
        <w:rPr>
          <w:rFonts w:ascii="Amiri" w:hAnsi="Amiri" w:eastAsia="Amiri" w:cs="Amiri"/>
          <w:lang w:bidi="ar-SA"/>
          <w:color w:val="111111"/>
          <w:sz w:val="28"/>
          <w:szCs w:val="28"/>
          <w:rtl/>
        </w:rPr>
        <w:t xml:space="preserve">عبدالله بن يوسف ابن هشام- ابن</w:t>
      </w:r>
    </w:p>
    <w:p>
      <w:pPr>
        <w:pStyle w:val="BookText"/>
      </w:pPr>
      <w:r>
        <w:rPr>
          <w:rFonts w:ascii="Amiri" w:hAnsi="Amiri" w:eastAsia="Amiri" w:cs="Amiri"/>
          <w:lang w:bidi="ar-SA"/>
          <w:color w:val="111111"/>
          <w:sz w:val="28"/>
          <w:szCs w:val="28"/>
          <w:rtl/>
        </w:rPr>
        <w:t xml:space="preserve">هشام ، عبدالله بن يوسف</w:t>
      </w:r>
    </w:p>
    <w:p>
      <w:pPr>
        <w:pStyle w:val="BookText"/>
      </w:pPr>
      <w:r>
        <w:rPr>
          <w:rFonts w:ascii="Amiri" w:hAnsi="Amiri" w:eastAsia="Amiri" w:cs="Amiri"/>
          <w:lang w:bidi="ar-SA"/>
          <w:color w:val="111111"/>
          <w:sz w:val="28"/>
          <w:szCs w:val="28"/>
          <w:rtl/>
        </w:rPr>
        <w:t xml:space="preserve">عبد الله بن يوسف جويني - جويني ،</w:t>
      </w:r>
    </w:p>
    <w:p>
      <w:pPr>
        <w:pStyle w:val="BookText"/>
      </w:pPr>
      <w:r>
        <w:rPr>
          <w:rFonts w:ascii="Amiri" w:hAnsi="Amiri" w:eastAsia="Amiri" w:cs="Amiri"/>
          <w:lang w:bidi="ar-SA"/>
          <w:color w:val="111111"/>
          <w:sz w:val="28"/>
          <w:szCs w:val="28"/>
          <w:rtl/>
        </w:rPr>
        <w:t xml:space="preserve">عبدالله بن يوسف</w:t>
      </w:r>
    </w:p>
    <w:p>
      <w:pPr>
        <w:pStyle w:val="BookText"/>
      </w:pPr>
      <w:r>
        <w:rPr>
          <w:rFonts w:ascii="Amiri" w:hAnsi="Amiri" w:eastAsia="Amiri" w:cs="Amiri"/>
          <w:lang w:bidi="ar-SA"/>
          <w:color w:val="111111"/>
          <w:sz w:val="28"/>
          <w:szCs w:val="28"/>
          <w:rtl/>
        </w:rPr>
        <w:t xml:space="preserve">عبد الله بن يوسف يوسفي حلبي -يوسفي</w:t>
      </w:r>
    </w:p>
    <w:p>
      <w:pPr>
        <w:pStyle w:val="BookText"/>
      </w:pPr>
      <w:r>
        <w:rPr>
          <w:rFonts w:ascii="Amiri" w:hAnsi="Amiri" w:eastAsia="Amiri" w:cs="Amiri"/>
          <w:lang w:bidi="ar-SA"/>
          <w:color w:val="111111"/>
          <w:sz w:val="28"/>
          <w:szCs w:val="28"/>
          <w:rtl/>
        </w:rPr>
        <w:t xml:space="preserve">، عبدالله بن يوسف</w:t>
      </w:r>
    </w:p>
    <w:p>
      <w:pPr>
        <w:pStyle w:val="BookText"/>
      </w:pPr>
      <w:r>
        <w:rPr>
          <w:rFonts w:ascii="Amiri" w:hAnsi="Amiri" w:eastAsia="Amiri" w:cs="Amiri"/>
          <w:lang w:bidi="ar-SA"/>
          <w:color w:val="111111"/>
          <w:sz w:val="28"/>
          <w:szCs w:val="28"/>
          <w:rtl/>
        </w:rPr>
        <w:t xml:space="preserve">عبد الله بهابادي يزدي -يزدي ، ملا عبد الله</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عبدالله تازي -تازي ، عبدالله بن فارس</w:t>
      </w:r>
    </w:p>
    <w:p>
      <w:pPr>
        <w:pStyle w:val="BookText"/>
      </w:pPr>
      <w:r>
        <w:rPr>
          <w:rFonts w:ascii="Amiri" w:hAnsi="Amiri" w:eastAsia="Amiri" w:cs="Amiri"/>
          <w:lang w:bidi="ar-SA"/>
          <w:color w:val="111111"/>
          <w:sz w:val="28"/>
          <w:szCs w:val="28"/>
          <w:rtl/>
        </w:rPr>
        <w:t xml:space="preserve">عبد الله جلي زاده -جلي زاده ، عبدالله</w:t>
      </w:r>
    </w:p>
    <w:p>
      <w:pPr>
        <w:pStyle w:val="BookText"/>
      </w:pPr>
      <w:r>
        <w:rPr>
          <w:rFonts w:ascii="IRNazanin" w:hAnsi="IRNazanin" w:eastAsia="IRNazanin" w:cs="IRNazanin"/>
          <w:lang w:bidi="fa-IR"/>
          <w:color w:val="111111"/>
          <w:sz w:val="28"/>
          <w:szCs w:val="28"/>
          <w:rtl/>
        </w:rPr>
        <w:t xml:space="preserve">عبدالله جيلاني مازندراني- گيلاني ، عبد الله</w:t>
      </w:r>
    </w:p>
    <w:p>
      <w:pPr>
        <w:pStyle w:val="BookText"/>
      </w:pPr>
      <w:r>
        <w:rPr>
          <w:rFonts w:ascii="IRNazanin" w:hAnsi="IRNazanin" w:eastAsia="IRNazanin" w:cs="IRNazanin"/>
          <w:lang w:bidi="fa-IR"/>
          <w:color w:val="111111"/>
          <w:sz w:val="28"/>
          <w:szCs w:val="28"/>
          <w:rtl/>
        </w:rPr>
        <w:t xml:space="preserve">بن محمّد نصیر</w:t>
      </w:r>
    </w:p>
    <w:p>
      <w:pPr>
        <w:pStyle w:val="BookText"/>
      </w:pPr>
      <w:r>
        <w:rPr>
          <w:rFonts w:ascii="IRNazanin" w:hAnsi="IRNazanin" w:eastAsia="IRNazanin" w:cs="IRNazanin"/>
          <w:lang w:bidi="fa-IR"/>
          <w:color w:val="111111"/>
          <w:sz w:val="28"/>
          <w:szCs w:val="28"/>
          <w:rtl/>
        </w:rPr>
        <w:t xml:space="preserve">عبدالله حسن -حسن ، عبدالله</w:t>
      </w:r>
    </w:p>
    <w:p>
      <w:pPr>
        <w:pStyle w:val="BookText"/>
      </w:pPr>
      <w:r>
        <w:rPr>
          <w:rFonts w:ascii="Amiri" w:hAnsi="Amiri" w:eastAsia="Amiri" w:cs="Amiri"/>
          <w:lang w:bidi="ar-SA"/>
          <w:color w:val="111111"/>
          <w:sz w:val="28"/>
          <w:szCs w:val="28"/>
          <w:rtl/>
        </w:rPr>
        <w:t xml:space="preserve">عبدالله حويزي -حويزي ، عبدالله</w:t>
      </w:r>
    </w:p>
    <w:p>
      <w:pPr>
        <w:pStyle w:val="BookText"/>
      </w:pPr>
      <w:r>
        <w:rPr>
          <w:rFonts w:ascii="Amiri" w:hAnsi="Amiri" w:eastAsia="Amiri" w:cs="Amiri"/>
          <w:lang w:bidi="ar-SA"/>
          <w:color w:val="111111"/>
          <w:sz w:val="28"/>
          <w:szCs w:val="28"/>
          <w:rtl/>
        </w:rPr>
        <w:t xml:space="preserve">عبد الله حيدري -حيدري ، عبدالله</w:t>
      </w:r>
    </w:p>
    <w:p>
      <w:pPr>
        <w:pStyle w:val="BookText"/>
      </w:pPr>
      <w:r>
        <w:rPr>
          <w:rFonts w:ascii="Amiri" w:hAnsi="Amiri" w:eastAsia="Amiri" w:cs="Amiri"/>
          <w:lang w:bidi="ar-SA"/>
          <w:color w:val="111111"/>
          <w:sz w:val="28"/>
          <w:szCs w:val="28"/>
          <w:rtl/>
        </w:rPr>
        <w:t xml:space="preserve">عبدالله حيدري كردي- حيدري ، عبدالله</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عبدالله خزرجي -زكي الدين خزرجي ،</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عبدالله درني -درني ، عبدالله</w:t>
      </w:r>
    </w:p>
    <w:p>
      <w:pPr>
        <w:pStyle w:val="BookText"/>
      </w:pPr>
      <w:r>
        <w:rPr>
          <w:rFonts w:ascii="Amiri" w:hAnsi="Amiri" w:eastAsia="Amiri" w:cs="Amiri"/>
          <w:lang w:bidi="ar-SA"/>
          <w:color w:val="111111"/>
          <w:sz w:val="28"/>
          <w:szCs w:val="28"/>
          <w:rtl/>
        </w:rPr>
        <w:t xml:space="preserve">عبد الله راوي -راوي بغدادي ، عبدالله</w:t>
      </w:r>
    </w:p>
    <w:p>
      <w:pPr>
        <w:pStyle w:val="BookText"/>
      </w:pPr>
      <w:r>
        <w:rPr>
          <w:rFonts w:ascii="Amiri" w:hAnsi="Amiri" w:eastAsia="Amiri" w:cs="Amiri"/>
          <w:lang w:bidi="ar-SA"/>
          <w:color w:val="111111"/>
          <w:sz w:val="28"/>
          <w:szCs w:val="28"/>
          <w:rtl/>
        </w:rPr>
        <w:t xml:space="preserve">عبدالله سرميني شافعي -سرميني ، عبدالله</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عبدالله سعدي زاده- سعدي زاده ، عبدالله</w:t>
      </w:r>
    </w:p>
    <w:p>
      <w:pPr>
        <w:pStyle w:val="BookText"/>
      </w:pPr>
      <w:r>
        <w:rPr>
          <w:rFonts w:ascii="IRNazanin" w:hAnsi="IRNazanin" w:eastAsia="IRNazanin" w:cs="IRNazanin"/>
          <w:lang w:bidi="fa-IR"/>
          <w:color w:val="111111"/>
          <w:sz w:val="28"/>
          <w:szCs w:val="28"/>
          <w:rtl/>
        </w:rPr>
        <w:t xml:space="preserve">عبدالله شبر -شبر ، عبدالله بن محمّد رضا</w:t>
      </w:r>
    </w:p>
    <w:p>
      <w:pPr>
        <w:pStyle w:val="BookText"/>
      </w:pPr>
      <w:r>
        <w:rPr>
          <w:rFonts w:ascii="Amiri" w:hAnsi="Amiri" w:eastAsia="Amiri" w:cs="Amiri"/>
          <w:lang w:bidi="ar-SA"/>
          <w:color w:val="111111"/>
          <w:sz w:val="28"/>
          <w:szCs w:val="28"/>
          <w:rtl/>
        </w:rPr>
        <w:t xml:space="preserve">عبدالله شبراوي - شبراوي ، عبد الله</w:t>
      </w:r>
    </w:p>
    <w:p>
      <w:pPr>
        <w:pStyle w:val="BookText"/>
      </w:pPr>
      <w:r>
        <w:rPr>
          <w:rFonts w:ascii="Amiri" w:hAnsi="Amiri" w:eastAsia="Amiri" w:cs="Amiri"/>
          <w:lang w:bidi="ar-SA"/>
          <w:color w:val="111111"/>
          <w:sz w:val="28"/>
          <w:szCs w:val="28"/>
          <w:rtl/>
        </w:rPr>
        <w:t xml:space="preserve">عبدالله شريف حسيني- حسيني ، عبد الله</w:t>
      </w:r>
    </w:p>
    <w:p>
      <w:pPr>
        <w:pStyle w:val="BookText"/>
      </w:pPr>
      <w:r>
        <w:rPr>
          <w:rFonts w:ascii="Amiri" w:hAnsi="Amiri" w:eastAsia="Amiri" w:cs="Amiri"/>
          <w:lang w:bidi="ar-SA"/>
          <w:color w:val="111111"/>
          <w:sz w:val="28"/>
          <w:szCs w:val="28"/>
          <w:rtl/>
        </w:rPr>
        <w:t xml:space="preserve">شريف عبدالله شكري- شكري ، عبدالله بن</w:t>
      </w:r>
    </w:p>
    <w:p>
      <w:pPr>
        <w:pStyle w:val="BookText"/>
      </w:pPr>
      <w:r>
        <w:rPr>
          <w:rFonts w:ascii="Amiri" w:hAnsi="Amiri" w:eastAsia="Amiri" w:cs="Amiri"/>
          <w:lang w:bidi="ar-SA"/>
          <w:color w:val="111111"/>
          <w:sz w:val="28"/>
          <w:szCs w:val="28"/>
          <w:rtl/>
        </w:rPr>
        <w:t xml:space="preserve">عبد الكريم</w:t>
      </w:r>
    </w:p>
    <w:p>
      <w:pPr>
        <w:pStyle w:val="BookText"/>
      </w:pPr>
      <w:r>
        <w:rPr>
          <w:rFonts w:ascii="Amiri" w:hAnsi="Amiri" w:eastAsia="Amiri" w:cs="Amiri"/>
          <w:lang w:bidi="ar-SA"/>
          <w:color w:val="111111"/>
          <w:sz w:val="28"/>
          <w:szCs w:val="28"/>
          <w:rtl/>
        </w:rPr>
        <w:t xml:space="preserve">عبدالله شكري قونوي- شكري ، عبدالله بن</w:t>
      </w:r>
    </w:p>
    <w:p>
      <w:pPr>
        <w:pStyle w:val="BookText"/>
      </w:pPr>
      <w:r>
        <w:rPr>
          <w:rFonts w:ascii="Amiri" w:hAnsi="Amiri" w:eastAsia="Amiri" w:cs="Amiri"/>
          <w:lang w:bidi="ar-SA"/>
          <w:color w:val="111111"/>
          <w:sz w:val="28"/>
          <w:szCs w:val="28"/>
          <w:rtl/>
        </w:rPr>
        <w:t xml:space="preserve">عبد الكريم</w:t>
      </w:r>
    </w:p>
    <w:p>
      <w:pPr>
        <w:pStyle w:val="BookText"/>
      </w:pPr>
      <w:r>
        <w:rPr>
          <w:rFonts w:ascii="Amiri" w:hAnsi="Amiri" w:eastAsia="Amiri" w:cs="Amiri"/>
          <w:lang w:bidi="ar-SA"/>
          <w:color w:val="111111"/>
          <w:sz w:val="28"/>
          <w:szCs w:val="28"/>
          <w:rtl/>
        </w:rPr>
        <w:t xml:space="preserve">عبد الله طبيب- طبيب ، عبدالله</w:t>
      </w:r>
    </w:p>
    <w:p>
      <w:pPr>
        <w:pStyle w:val="BookText"/>
      </w:pPr>
      <w:r>
        <w:rPr>
          <w:rFonts w:ascii="Amiri" w:hAnsi="Amiri" w:eastAsia="Amiri" w:cs="Amiri"/>
          <w:lang w:bidi="ar-SA"/>
          <w:color w:val="111111"/>
          <w:sz w:val="28"/>
          <w:szCs w:val="28"/>
          <w:rtl/>
        </w:rPr>
        <w:t xml:space="preserve">عبدالله طيب -طيب ، عبد الله</w:t>
      </w:r>
    </w:p>
    <w:p>
      <w:pPr>
        <w:pStyle w:val="BookText"/>
      </w:pPr>
      <w:r>
        <w:rPr>
          <w:rFonts w:ascii="Amiri" w:hAnsi="Amiri" w:eastAsia="Amiri" w:cs="Amiri"/>
          <w:lang w:bidi="ar-SA"/>
          <w:color w:val="111111"/>
          <w:sz w:val="28"/>
          <w:szCs w:val="28"/>
          <w:rtl/>
        </w:rPr>
        <w:t xml:space="preserve">عبدالله ظهراني -ظهراني ، عبدالله</w:t>
      </w:r>
    </w:p>
    <w:p>
      <w:pPr>
        <w:pStyle w:val="BookText"/>
      </w:pPr>
      <w:r>
        <w:rPr>
          <w:rFonts w:ascii="Amiri" w:hAnsi="Amiri" w:eastAsia="Amiri" w:cs="Amiri"/>
          <w:lang w:bidi="ar-SA"/>
          <w:color w:val="111111"/>
          <w:sz w:val="28"/>
          <w:szCs w:val="28"/>
          <w:rtl/>
        </w:rPr>
        <w:t xml:space="preserve">عبدالله عاصي-عاصي ، عبد الله</w:t>
      </w:r>
    </w:p>
    <w:p>
      <w:pPr>
        <w:pStyle w:val="BookText"/>
      </w:pPr>
      <w:r>
        <w:rPr>
          <w:rFonts w:ascii="Amiri" w:hAnsi="Amiri" w:eastAsia="Amiri" w:cs="Amiri"/>
          <w:lang w:bidi="ar-SA"/>
          <w:color w:val="111111"/>
          <w:sz w:val="28"/>
          <w:szCs w:val="28"/>
          <w:rtl/>
        </w:rPr>
        <w:t xml:space="preserve">عبد الله عبيدي- عبيدي ، عبيد الله بن عبد الكافي</w:t>
      </w:r>
    </w:p>
    <w:p>
      <w:pPr>
        <w:pStyle w:val="BookText"/>
      </w:pPr>
      <w:r>
        <w:rPr>
          <w:rFonts w:ascii="Amiri" w:hAnsi="Amiri" w:eastAsia="Amiri" w:cs="Amiri"/>
          <w:lang w:bidi="ar-SA"/>
          <w:color w:val="111111"/>
          <w:sz w:val="28"/>
          <w:szCs w:val="28"/>
          <w:rtl/>
        </w:rPr>
        <w:t xml:space="preserve">عبدالله عشماوي-عشماوي ، عبدالله</w:t>
      </w:r>
    </w:p>
    <w:p>
      <w:pPr>
        <w:pStyle w:val="BookText"/>
      </w:pPr>
      <w:r>
        <w:rPr>
          <w:rFonts w:ascii="Amiri" w:hAnsi="Amiri" w:eastAsia="Amiri" w:cs="Amiri"/>
          <w:lang w:bidi="ar-SA"/>
          <w:color w:val="111111"/>
          <w:sz w:val="28"/>
          <w:szCs w:val="28"/>
          <w:rtl/>
        </w:rPr>
        <w:t xml:space="preserve">عبدالله عمري زاده -عمري زاده ، عبدالله</w:t>
      </w:r>
    </w:p>
    <w:p>
      <w:pPr>
        <w:pStyle w:val="BookText"/>
      </w:pPr>
      <w:r>
        <w:rPr>
          <w:rFonts w:ascii="Amiri" w:hAnsi="Amiri" w:eastAsia="Amiri" w:cs="Amiri"/>
          <w:lang w:bidi="ar-SA"/>
          <w:color w:val="111111"/>
          <w:sz w:val="28"/>
          <w:szCs w:val="28"/>
          <w:rtl/>
        </w:rPr>
        <w:t xml:space="preserve">عبدالله عياشي -عياشي ، عبدالله</w:t>
      </w:r>
    </w:p>
    <w:p>
      <w:pPr>
        <w:pStyle w:val="BookText"/>
      </w:pPr>
      <w:r>
        <w:rPr>
          <w:rFonts w:ascii="Amiri" w:hAnsi="Amiri" w:eastAsia="Amiri" w:cs="Amiri"/>
          <w:lang w:bidi="ar-SA"/>
          <w:color w:val="111111"/>
          <w:sz w:val="28"/>
          <w:szCs w:val="28"/>
          <w:rtl/>
        </w:rPr>
        <w:t xml:space="preserve">عبد الله فخري- فخري ، عبدالله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55" w:name="pg7742_70753"/>
    <w:bookmarkEnd w:id="755"/>
    <w:p>
      <w:pPr>
        <w:pStyle w:val="BookText"/>
      </w:pPr>
      <w:r>
        <w:rPr>
          <w:rFonts w:ascii="Amiri" w:hAnsi="Amiri" w:eastAsia="Amiri" w:cs="Amiri"/>
          <w:lang w:bidi="ar-SA"/>
          <w:color w:val="111111"/>
          <w:sz w:val="28"/>
          <w:szCs w:val="28"/>
          <w:rtl/>
        </w:rPr>
        <w:t xml:space="preserve">عبدالله فخري زاده موصلي -حسيني</w:t>
      </w:r>
    </w:p>
    <w:p>
      <w:pPr>
        <w:pStyle w:val="BookText"/>
      </w:pPr>
      <w:r>
        <w:rPr>
          <w:rFonts w:ascii="Amiri" w:hAnsi="Amiri" w:eastAsia="Amiri" w:cs="Amiri"/>
          <w:lang w:bidi="ar-SA"/>
          <w:color w:val="111111"/>
          <w:sz w:val="28"/>
          <w:szCs w:val="28"/>
          <w:rtl/>
        </w:rPr>
        <w:t xml:space="preserve">موصلي ، عبدالله بن فخرالدين</w:t>
      </w:r>
    </w:p>
    <w:p>
      <w:pPr>
        <w:pStyle w:val="BookText"/>
      </w:pPr>
      <w:r>
        <w:rPr>
          <w:rFonts w:ascii="Amiri" w:hAnsi="Amiri" w:eastAsia="Amiri" w:cs="Amiri"/>
          <w:lang w:bidi="ar-SA"/>
          <w:color w:val="111111"/>
          <w:sz w:val="28"/>
          <w:szCs w:val="28"/>
          <w:rtl/>
        </w:rPr>
        <w:t xml:space="preserve">عبدالله فرهادي -فرهادي ، عبدالله</w:t>
      </w:r>
    </w:p>
    <w:p>
      <w:pPr>
        <w:pStyle w:val="BookText"/>
      </w:pPr>
      <w:r>
        <w:rPr>
          <w:rFonts w:ascii="Amiri" w:hAnsi="Amiri" w:eastAsia="Amiri" w:cs="Amiri"/>
          <w:lang w:bidi="ar-SA"/>
          <w:color w:val="111111"/>
          <w:sz w:val="28"/>
          <w:szCs w:val="28"/>
          <w:rtl/>
        </w:rPr>
        <w:t xml:space="preserve">عبدالله قطب- قطب الدين شيرازي</w:t>
      </w:r>
    </w:p>
    <w:p>
      <w:pPr>
        <w:pStyle w:val="BookText"/>
      </w:pPr>
      <w:r>
        <w:rPr>
          <w:rFonts w:ascii="Amiri" w:hAnsi="Amiri" w:eastAsia="Amiri" w:cs="Amiri"/>
          <w:lang w:bidi="ar-SA"/>
          <w:color w:val="111111"/>
          <w:sz w:val="28"/>
          <w:szCs w:val="28"/>
          <w:rtl/>
        </w:rPr>
        <w:t xml:space="preserve">عبدالله بن محيي الدين محمّد</w:t>
      </w:r>
    </w:p>
    <w:p>
      <w:pPr>
        <w:pStyle w:val="BookText"/>
      </w:pPr>
      <w:r>
        <w:rPr>
          <w:rFonts w:ascii="Amiri" w:hAnsi="Amiri" w:eastAsia="Amiri" w:cs="Amiri"/>
          <w:lang w:bidi="ar-SA"/>
          <w:color w:val="111111"/>
          <w:sz w:val="28"/>
          <w:szCs w:val="28"/>
          <w:rtl/>
        </w:rPr>
        <w:t xml:space="preserve">عبدالله قطب شيرازي- قطب الدين شيرازي ، عبدالله بن محيي الدين محمّد</w:t>
      </w:r>
    </w:p>
    <w:p>
      <w:pPr>
        <w:pStyle w:val="BookText"/>
      </w:pPr>
      <w:r>
        <w:rPr>
          <w:rFonts w:ascii="Amiri" w:hAnsi="Amiri" w:eastAsia="Amiri" w:cs="Amiri"/>
          <w:lang w:bidi="ar-SA"/>
          <w:color w:val="111111"/>
          <w:sz w:val="28"/>
          <w:szCs w:val="28"/>
          <w:rtl/>
        </w:rPr>
        <w:t xml:space="preserve">عبدالله قنوي- قنوي ، عبدالله</w:t>
      </w:r>
    </w:p>
    <w:p>
      <w:pPr>
        <w:pStyle w:val="BookText"/>
      </w:pPr>
      <w:r>
        <w:rPr>
          <w:rFonts w:ascii="Amiri" w:hAnsi="Amiri" w:eastAsia="Amiri" w:cs="Amiri"/>
          <w:lang w:bidi="ar-SA"/>
          <w:color w:val="111111"/>
          <w:sz w:val="28"/>
          <w:szCs w:val="28"/>
          <w:rtl/>
        </w:rPr>
        <w:t xml:space="preserve">عبد الله كابلي -كابلي ، عبدالله</w:t>
      </w:r>
    </w:p>
    <w:p>
      <w:pPr>
        <w:pStyle w:val="BookText"/>
      </w:pPr>
      <w:r>
        <w:rPr>
          <w:rFonts w:ascii="Amiri" w:hAnsi="Amiri" w:eastAsia="Amiri" w:cs="Amiri"/>
          <w:lang w:bidi="ar-SA"/>
          <w:color w:val="111111"/>
          <w:sz w:val="28"/>
          <w:szCs w:val="28"/>
          <w:rtl/>
        </w:rPr>
        <w:t xml:space="preserve">عبدالله كردي احسائي-- كردي احسائي ،</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عبدالله مآلي- مآلي ، عبدالله</w:t>
      </w:r>
    </w:p>
    <w:p>
      <w:pPr>
        <w:pStyle w:val="BookText"/>
      </w:pPr>
      <w:r>
        <w:rPr>
          <w:rFonts w:ascii="Amiri" w:hAnsi="Amiri" w:eastAsia="Amiri" w:cs="Amiri"/>
          <w:lang w:bidi="ar-SA"/>
          <w:color w:val="111111"/>
          <w:sz w:val="28"/>
          <w:szCs w:val="28"/>
          <w:rtl/>
        </w:rPr>
        <w:t xml:space="preserve">عبدالله محمّد بن ابي محمّد قرشي صقلي -ابن ظفر، محمّد بن عبدالله</w:t>
      </w:r>
    </w:p>
    <w:p>
      <w:pPr>
        <w:pStyle w:val="BookText"/>
      </w:pPr>
      <w:r>
        <w:rPr>
          <w:rFonts w:ascii="IRNazanin" w:hAnsi="IRNazanin" w:eastAsia="IRNazanin" w:cs="IRNazanin"/>
          <w:lang w:bidi="fa-IR"/>
          <w:color w:val="111111"/>
          <w:sz w:val="28"/>
          <w:szCs w:val="28"/>
          <w:rtl/>
        </w:rPr>
        <w:t xml:space="preserve">عبدالله مدرس -مدرس ، عبدالله</w:t>
      </w:r>
    </w:p>
    <w:p>
      <w:pPr>
        <w:pStyle w:val="BookText"/>
      </w:pPr>
      <w:r>
        <w:rPr>
          <w:rFonts w:ascii="Amiri" w:hAnsi="Amiri" w:eastAsia="Amiri" w:cs="Amiri"/>
          <w:lang w:bidi="ar-SA"/>
          <w:color w:val="111111"/>
          <w:sz w:val="28"/>
          <w:szCs w:val="28"/>
          <w:rtl/>
        </w:rPr>
        <w:t xml:space="preserve">عبدالله مغاوري- مغاوري ، عبدالله</w:t>
      </w:r>
    </w:p>
    <w:p>
      <w:pPr>
        <w:pStyle w:val="BookText"/>
      </w:pPr>
      <w:r>
        <w:rPr>
          <w:rFonts w:ascii="IRNazanin" w:hAnsi="IRNazanin" w:eastAsia="IRNazanin" w:cs="IRNazanin"/>
          <w:lang w:bidi="fa-IR"/>
          <w:color w:val="111111"/>
          <w:sz w:val="28"/>
          <w:szCs w:val="28"/>
          <w:rtl/>
        </w:rPr>
        <w:t xml:space="preserve">عبدالله نجم بن شهاب- ابن شهاب</w:t>
      </w:r>
    </w:p>
    <w:p>
      <w:pPr>
        <w:pStyle w:val="BookText"/>
      </w:pPr>
      <w:r>
        <w:rPr>
          <w:rFonts w:ascii="IRNazanin" w:hAnsi="IRNazanin" w:eastAsia="IRNazanin" w:cs="IRNazanin"/>
          <w:lang w:bidi="fa-IR"/>
          <w:color w:val="111111"/>
          <w:sz w:val="28"/>
          <w:szCs w:val="28"/>
          <w:rtl/>
        </w:rPr>
        <w:t xml:space="preserve">عبدالله نجم</w:t>
      </w:r>
    </w:p>
    <w:p>
      <w:pPr>
        <w:pStyle w:val="BookText"/>
      </w:pPr>
      <w:r>
        <w:rPr>
          <w:rFonts w:ascii="Amiri" w:hAnsi="Amiri" w:eastAsia="Amiri" w:cs="Amiri"/>
          <w:lang w:bidi="ar-SA"/>
          <w:color w:val="111111"/>
          <w:sz w:val="28"/>
          <w:szCs w:val="28"/>
          <w:rtl/>
        </w:rPr>
        <w:t xml:space="preserve">عبدالله هيتي- هيتي ، عبدالله</w:t>
      </w:r>
    </w:p>
    <w:p>
      <w:pPr>
        <w:pStyle w:val="BookText"/>
      </w:pPr>
      <w:r>
        <w:rPr>
          <w:rFonts w:ascii="IRNazanin" w:hAnsi="IRNazanin" w:eastAsia="IRNazanin" w:cs="IRNazanin"/>
          <w:lang w:bidi="fa-IR"/>
          <w:color w:val="111111"/>
          <w:sz w:val="28"/>
          <w:szCs w:val="28"/>
          <w:rtl/>
        </w:rPr>
        <w:t xml:space="preserve">عبدالله يكن بغدادي- بغدادي ، عبدالله یکن</w:t>
      </w:r>
    </w:p>
    <w:p>
      <w:pPr>
        <w:pStyle w:val="BookText"/>
      </w:pPr>
      <w:r>
        <w:rPr>
          <w:rFonts w:ascii="Amiri" w:hAnsi="Amiri" w:eastAsia="Amiri" w:cs="Amiri"/>
          <w:lang w:bidi="ar-SA"/>
          <w:color w:val="111111"/>
          <w:sz w:val="28"/>
          <w:szCs w:val="28"/>
          <w:rtl/>
        </w:rPr>
        <w:t xml:space="preserve">عبدالله يكيشهري- يكيشهري ، عبد الله بن محمّد</w:t>
      </w:r>
    </w:p>
    <w:p>
      <w:pPr>
        <w:pStyle w:val="BookText"/>
      </w:pPr>
      <w:r>
        <w:rPr>
          <w:rFonts w:ascii="Amiri" w:hAnsi="Amiri" w:eastAsia="Amiri" w:cs="Amiri"/>
          <w:lang w:bidi="ar-SA"/>
          <w:color w:val="111111"/>
          <w:sz w:val="28"/>
          <w:szCs w:val="28"/>
          <w:rtl/>
        </w:rPr>
        <w:t xml:space="preserve">عبد المؤمن بن هبة الله مغربي</w:t>
      </w:r>
    </w:p>
    <w:p>
      <w:pPr>
        <w:pStyle w:val="BookText"/>
      </w:pPr>
      <w:r>
        <w:rPr>
          <w:rFonts w:ascii="Amiri" w:hAnsi="Amiri" w:eastAsia="Amiri" w:cs="Amiri"/>
          <w:lang w:bidi="ar-SA"/>
          <w:color w:val="111111"/>
          <w:sz w:val="28"/>
          <w:szCs w:val="28"/>
          <w:rtl/>
        </w:rPr>
        <w:t xml:space="preserve">اصفهاني- شقروه ، عبدالمؤمن بن هبة الله</w:t>
      </w:r>
    </w:p>
    <w:p>
      <w:pPr>
        <w:pStyle w:val="BookText"/>
      </w:pPr>
      <w:r>
        <w:rPr>
          <w:rFonts w:ascii="Amiri" w:hAnsi="Amiri" w:eastAsia="Amiri" w:cs="Amiri"/>
          <w:lang w:bidi="ar-SA"/>
          <w:color w:val="111111"/>
          <w:sz w:val="28"/>
          <w:szCs w:val="28"/>
          <w:rtl/>
        </w:rPr>
        <w:t xml:space="preserve">عبد المؤمن بن يوسف ارموي -صفي الدين</w:t>
      </w:r>
    </w:p>
    <w:p>
      <w:pPr>
        <w:pStyle w:val="BookText"/>
      </w:pPr>
      <w:r>
        <w:rPr>
          <w:rFonts w:ascii="Amiri" w:hAnsi="Amiri" w:eastAsia="Amiri" w:cs="Amiri"/>
          <w:lang w:bidi="ar-SA"/>
          <w:color w:val="111111"/>
          <w:sz w:val="28"/>
          <w:szCs w:val="28"/>
          <w:rtl/>
        </w:rPr>
        <w:t xml:space="preserve">ارموي ، عبدالمؤمن بن يوسف</w:t>
      </w:r>
    </w:p>
    <w:p>
      <w:pPr>
        <w:pStyle w:val="BookText"/>
      </w:pPr>
      <w:r>
        <w:rPr>
          <w:rFonts w:ascii="IRNazanin" w:hAnsi="IRNazanin" w:eastAsia="IRNazanin" w:cs="IRNazanin"/>
          <w:lang w:bidi="fa-IR"/>
          <w:color w:val="111111"/>
          <w:sz w:val="28"/>
          <w:szCs w:val="28"/>
          <w:rtl/>
        </w:rPr>
        <w:t xml:space="preserve">عبد المؤمن تركستاني- اشکي تركستاني ،</w:t>
      </w:r>
    </w:p>
    <w:p>
      <w:pPr>
        <w:pStyle w:val="BookText"/>
      </w:pPr>
      <w:r>
        <w:rPr>
          <w:rFonts w:ascii="IRNazanin" w:hAnsi="IRNazanin" w:eastAsia="IRNazanin" w:cs="IRNazanin"/>
          <w:lang w:bidi="fa-IR"/>
          <w:color w:val="111111"/>
          <w:sz w:val="28"/>
          <w:szCs w:val="28"/>
          <w:rtl/>
        </w:rPr>
        <w:t xml:space="preserve">عبد المؤمن</w:t>
      </w:r>
    </w:p>
    <w:p>
      <w:pPr>
        <w:pStyle w:val="BookText"/>
      </w:pPr>
      <w:r>
        <w:rPr>
          <w:rFonts w:ascii="Amiri" w:hAnsi="Amiri" w:eastAsia="Amiri" w:cs="Amiri"/>
          <w:lang w:bidi="ar-SA"/>
          <w:color w:val="111111"/>
          <w:sz w:val="28"/>
          <w:szCs w:val="28"/>
          <w:rtl/>
        </w:rPr>
        <w:t xml:space="preserve">عبد المجيد اسماعيل الخطيب -خطيب ،</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عبد المجيد بن عبد الله بن عبدون- ابن</w:t>
      </w:r>
    </w:p>
    <w:p>
      <w:pPr>
        <w:pStyle w:val="BookText"/>
      </w:pPr>
      <w:r>
        <w:rPr>
          <w:rFonts w:ascii="IRNazanin" w:hAnsi="IRNazanin" w:eastAsia="IRNazanin" w:cs="IRNazanin"/>
          <w:lang w:bidi="fa-IR"/>
          <w:color w:val="111111"/>
          <w:sz w:val="28"/>
          <w:szCs w:val="28"/>
          <w:rtl/>
        </w:rPr>
        <w:t xml:space="preserve">عبدون ، عبدالمجید بن عبدالله</w:t>
      </w:r>
    </w:p>
    <w:p>
      <w:pPr>
        <w:pStyle w:val="Heading2"/>
      </w:pPr>
      <w:bookmarkStart w:id="5852" w:name="_Toc4954"/>
      <w:r>
        <w:t>عبد المجيد بن لقمان</w:t>
      </w:r>
      <w:bookmarkEnd w:id="5852"/>
    </w:p>
    <w:p>
      <w:pPr>
        <w:pStyle w:val="BookText"/>
      </w:pPr>
      <w:r>
        <w:rPr>
          <w:rFonts w:ascii="Amiri" w:hAnsi="Amiri" w:eastAsia="Amiri" w:cs="Amiri"/>
          <w:lang w:bidi="ar-SA"/>
          <w:color w:val="111111"/>
          <w:sz w:val="28"/>
          <w:szCs w:val="28"/>
          <w:rtl/>
        </w:rPr>
        <w:t xml:space="preserve">شرح ديباجة الرسالة الشمسية (رسالة</w:t>
      </w:r>
    </w:p>
    <w:p>
      <w:pPr>
        <w:pStyle w:val="BookText"/>
      </w:pPr>
      <w:r>
        <w:rPr>
          <w:rFonts w:ascii="Amiri" w:hAnsi="Amiri" w:eastAsia="Amiri" w:cs="Amiri"/>
          <w:lang w:bidi="ar-SA"/>
          <w:color w:val="111111"/>
          <w:sz w:val="28"/>
          <w:szCs w:val="28"/>
          <w:rtl/>
        </w:rPr>
        <w:t xml:space="preserve">في)، ج 9، ص 473 .</w:t>
      </w:r>
    </w:p>
    <w:p>
      <w:pPr>
        <w:pStyle w:val="BookText"/>
      </w:pPr>
      <w:r>
        <w:rPr>
          <w:rFonts w:ascii="Amiri" w:hAnsi="Amiri" w:eastAsia="Amiri" w:cs="Amiri"/>
          <w:lang w:bidi="ar-SA"/>
          <w:color w:val="111111"/>
          <w:sz w:val="28"/>
          <w:szCs w:val="28"/>
          <w:rtl/>
        </w:rPr>
        <w:t xml:space="preserve">عبد المجيد بن محرم شيخي السيواسي- سيواسي ، عبد المجيد بن محرم</w:t>
      </w:r>
    </w:p>
    <w:p>
      <w:pPr>
        <w:pStyle w:val="BookText"/>
      </w:pPr>
      <w:r>
        <w:rPr>
          <w:rFonts w:ascii="Amiri" w:hAnsi="Amiri" w:eastAsia="Amiri" w:cs="Amiri"/>
          <w:lang w:bidi="ar-SA"/>
          <w:color w:val="111111"/>
          <w:sz w:val="28"/>
          <w:szCs w:val="28"/>
          <w:rtl/>
        </w:rPr>
        <w:t xml:space="preserve">عبد المجيد بن محمّد الخاني الخالدي- خاني ، عبد المجيد بن محمّد</w:t>
      </w:r>
    </w:p>
    <w:p>
      <w:pPr>
        <w:pStyle w:val="BookText"/>
      </w:pPr>
      <w:r>
        <w:rPr>
          <w:rFonts w:ascii="Amiri" w:hAnsi="Amiri" w:eastAsia="Amiri" w:cs="Amiri"/>
          <w:lang w:bidi="ar-SA"/>
          <w:color w:val="111111"/>
          <w:sz w:val="28"/>
          <w:szCs w:val="28"/>
          <w:rtl/>
        </w:rPr>
        <w:t xml:space="preserve">عبد المجيد بن نصوح بن اسرائيل- لادكي</w:t>
      </w:r>
    </w:p>
    <w:p>
      <w:pPr>
        <w:pStyle w:val="BookText"/>
      </w:pPr>
      <w:r>
        <w:rPr>
          <w:rFonts w:ascii="Amiri" w:hAnsi="Amiri" w:eastAsia="Amiri" w:cs="Amiri"/>
          <w:lang w:bidi="ar-SA"/>
          <w:color w:val="111111"/>
          <w:sz w:val="28"/>
          <w:szCs w:val="28"/>
          <w:rtl/>
        </w:rPr>
        <w:t xml:space="preserve">عبد المجيد بن نصوح</w:t>
      </w:r>
    </w:p>
    <w:p>
      <w:pPr>
        <w:pStyle w:val="Heading2"/>
      </w:pPr>
      <w:bookmarkStart w:id="5853" w:name="_Toc4955"/>
      <w:r>
        <w:t>عبد المجيد بن نعمان</w:t>
      </w:r>
      <w:bookmarkEnd w:id="5853"/>
    </w:p>
    <w:p>
      <w:pPr>
        <w:pStyle w:val="BookText"/>
      </w:pPr>
      <w:r>
        <w:rPr>
          <w:rFonts w:ascii="Amiri" w:hAnsi="Amiri" w:eastAsia="Amiri" w:cs="Amiri"/>
          <w:lang w:bidi="ar-SA"/>
          <w:color w:val="111111"/>
          <w:sz w:val="28"/>
          <w:szCs w:val="28"/>
          <w:rtl/>
        </w:rPr>
        <w:t xml:space="preserve">اللطائف السنية في شرح ديباجة الرسالة الشمسية، ج 13، ص 578.</w:t>
      </w:r>
    </w:p>
    <w:p>
      <w:pPr>
        <w:pStyle w:val="Heading2"/>
      </w:pPr>
      <w:bookmarkStart w:id="5854" w:name="_Toc4956"/>
      <w:r>
        <w:t>عبد المجيد دوم، سلطان عثماني، 1283 - 1363ه-</w:t>
      </w:r>
      <w:bookmarkEnd w:id="5854"/>
    </w:p>
    <w:p>
      <w:pPr>
        <w:pStyle w:val="BookText"/>
      </w:pPr>
      <w:r>
        <w:rPr>
          <w:rFonts w:ascii="IRNazanin" w:hAnsi="IRNazanin" w:eastAsia="IRNazanin" w:cs="IRNazanin"/>
          <w:lang w:bidi="fa-IR"/>
          <w:color w:val="111111"/>
          <w:sz w:val="28"/>
          <w:szCs w:val="28"/>
          <w:rtl/>
        </w:rPr>
        <w:t xml:space="preserve">فرمان ج 11، ص 803</w:t>
      </w:r>
    </w:p>
    <w:p>
      <w:pPr>
        <w:pStyle w:val="BookText"/>
      </w:pPr>
      <w:r>
        <w:rPr>
          <w:rFonts w:ascii="Amiri" w:hAnsi="Amiri" w:eastAsia="Amiri" w:cs="Amiri"/>
          <w:lang w:bidi="ar-SA"/>
          <w:color w:val="111111"/>
          <w:sz w:val="28"/>
          <w:szCs w:val="28"/>
          <w:rtl/>
        </w:rPr>
        <w:t xml:space="preserve">عبد المجيد مصري -مصري ، عبد المجيد</w:t>
      </w:r>
    </w:p>
    <w:p>
      <w:pPr>
        <w:pStyle w:val="BookText"/>
      </w:pPr>
      <w:r>
        <w:rPr>
          <w:rFonts w:ascii="Amiri" w:hAnsi="Amiri" w:eastAsia="Amiri" w:cs="Amiri"/>
          <w:lang w:bidi="ar-SA"/>
          <w:color w:val="111111"/>
          <w:sz w:val="28"/>
          <w:szCs w:val="28"/>
          <w:rtl/>
        </w:rPr>
        <w:t xml:space="preserve">عبد المحسن بن سليمان الكوراني- كوراني</w:t>
      </w:r>
    </w:p>
    <w:p>
      <w:pPr>
        <w:pStyle w:val="BookText"/>
      </w:pPr>
      <w:r>
        <w:rPr>
          <w:rFonts w:ascii="Amiri" w:hAnsi="Amiri" w:eastAsia="Amiri" w:cs="Amiri"/>
          <w:lang w:bidi="ar-SA"/>
          <w:color w:val="111111"/>
          <w:sz w:val="28"/>
          <w:szCs w:val="28"/>
          <w:rtl/>
        </w:rPr>
        <w:t xml:space="preserve">عبد المحسن بن سليمان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56" w:name="pg7742_70754"/>
    <w:bookmarkEnd w:id="756"/>
    <w:p>
      <w:pPr>
        <w:pStyle w:val="BookText"/>
      </w:pPr>
      <w:r>
        <w:rPr>
          <w:rFonts w:ascii="Amiri" w:hAnsi="Amiri" w:eastAsia="Amiri" w:cs="Amiri"/>
          <w:lang w:bidi="ar-SA"/>
          <w:color w:val="111111"/>
          <w:sz w:val="28"/>
          <w:szCs w:val="28"/>
          <w:rtl/>
        </w:rPr>
        <w:t xml:space="preserve">عبد المحسن بن عبد الغني شاذلي- شاذلي</w:t>
      </w:r>
    </w:p>
    <w:p>
      <w:pPr>
        <w:pStyle w:val="BookText"/>
      </w:pPr>
      <w:r>
        <w:rPr>
          <w:rFonts w:ascii="Amiri" w:hAnsi="Amiri" w:eastAsia="Amiri" w:cs="Amiri"/>
          <w:lang w:bidi="ar-SA"/>
          <w:color w:val="111111"/>
          <w:sz w:val="28"/>
          <w:szCs w:val="28"/>
          <w:rtl/>
        </w:rPr>
        <w:t xml:space="preserve">عبد المحسن بن عبدالغني</w:t>
      </w:r>
    </w:p>
    <w:p>
      <w:pPr>
        <w:pStyle w:val="BookText"/>
      </w:pPr>
      <w:r>
        <w:rPr>
          <w:rFonts w:ascii="Amiri" w:hAnsi="Amiri" w:eastAsia="Amiri" w:cs="Amiri"/>
          <w:lang w:bidi="ar-SA"/>
          <w:color w:val="111111"/>
          <w:sz w:val="28"/>
          <w:szCs w:val="28"/>
          <w:rtl/>
        </w:rPr>
        <w:t xml:space="preserve">عبد المحسن بن عثمان تنيسي - تنيسي ،</w:t>
      </w:r>
    </w:p>
    <w:p>
      <w:pPr>
        <w:pStyle w:val="BookText"/>
      </w:pPr>
      <w:r>
        <w:rPr>
          <w:rFonts w:ascii="IRNazanin" w:hAnsi="IRNazanin" w:eastAsia="IRNazanin" w:cs="IRNazanin"/>
          <w:lang w:bidi="fa-IR"/>
          <w:color w:val="111111"/>
          <w:sz w:val="28"/>
          <w:szCs w:val="28"/>
          <w:rtl/>
        </w:rPr>
        <w:t xml:space="preserve">عبد المحسن بن عثمان</w:t>
      </w:r>
    </w:p>
    <w:p>
      <w:pPr>
        <w:pStyle w:val="BookText"/>
      </w:pPr>
      <w:r>
        <w:rPr>
          <w:rFonts w:ascii="IRNazanin" w:hAnsi="IRNazanin" w:eastAsia="IRNazanin" w:cs="IRNazanin"/>
          <w:lang w:bidi="fa-IR"/>
          <w:color w:val="111111"/>
          <w:sz w:val="28"/>
          <w:szCs w:val="28"/>
          <w:rtl/>
        </w:rPr>
        <w:t xml:space="preserve">عبد المحسن بن مجدالدین محمّد القيصري - قيصري ، عبد المحسن بن محمّد</w:t>
      </w:r>
    </w:p>
    <w:p>
      <w:pPr>
        <w:pStyle w:val="BookText"/>
      </w:pPr>
      <w:r>
        <w:rPr>
          <w:rFonts w:ascii="Amiri" w:hAnsi="Amiri" w:eastAsia="Amiri" w:cs="Amiri"/>
          <w:lang w:bidi="ar-SA"/>
          <w:color w:val="111111"/>
          <w:sz w:val="28"/>
          <w:szCs w:val="28"/>
          <w:rtl/>
        </w:rPr>
        <w:t xml:space="preserve">عبد المحسن بن محمّد احسائي لويمي- لويمي ، عبد المحسن بن محمّد</w:t>
      </w:r>
    </w:p>
    <w:p>
      <w:pPr>
        <w:pStyle w:val="BookText"/>
      </w:pPr>
      <w:r>
        <w:rPr>
          <w:rFonts w:ascii="Amiri" w:hAnsi="Amiri" w:eastAsia="Amiri" w:cs="Amiri"/>
          <w:lang w:bidi="ar-SA"/>
          <w:color w:val="111111"/>
          <w:sz w:val="28"/>
          <w:szCs w:val="28"/>
          <w:rtl/>
        </w:rPr>
        <w:t xml:space="preserve">عبد المحسن بن محمّد صوري - صوري ،</w:t>
      </w:r>
    </w:p>
    <w:p>
      <w:pPr>
        <w:pStyle w:val="BookText"/>
      </w:pPr>
      <w:r>
        <w:rPr>
          <w:rFonts w:ascii="IRNazanin" w:hAnsi="IRNazanin" w:eastAsia="IRNazanin" w:cs="IRNazanin"/>
          <w:lang w:bidi="fa-IR"/>
          <w:color w:val="111111"/>
          <w:sz w:val="28"/>
          <w:szCs w:val="28"/>
          <w:rtl/>
        </w:rPr>
        <w:t xml:space="preserve">عبد المحسن بن محمّد</w:t>
      </w:r>
    </w:p>
    <w:p>
      <w:pPr>
        <w:pStyle w:val="BookText"/>
      </w:pPr>
      <w:r>
        <w:rPr>
          <w:rFonts w:ascii="IRNazanin" w:hAnsi="IRNazanin" w:eastAsia="IRNazanin" w:cs="IRNazanin"/>
          <w:lang w:bidi="fa-IR"/>
          <w:color w:val="111111"/>
          <w:sz w:val="28"/>
          <w:szCs w:val="28"/>
          <w:rtl/>
        </w:rPr>
        <w:t xml:space="preserve">عبد المحسن بن محمود (حمود)</w:t>
      </w:r>
    </w:p>
    <w:p>
      <w:pPr>
        <w:pStyle w:val="BookText"/>
      </w:pPr>
      <w:r>
        <w:rPr>
          <w:rFonts w:ascii="Amiri" w:hAnsi="Amiri" w:eastAsia="Amiri" w:cs="Amiri"/>
          <w:lang w:bidi="ar-SA"/>
          <w:color w:val="111111"/>
          <w:sz w:val="28"/>
          <w:szCs w:val="28"/>
          <w:rtl/>
        </w:rPr>
        <w:t xml:space="preserve">تنوخي -تنوخي ، عبدالمحسن بن حمود</w:t>
      </w:r>
    </w:p>
    <w:p>
      <w:pPr>
        <w:pStyle w:val="BookText"/>
      </w:pPr>
      <w:r>
        <w:rPr>
          <w:rFonts w:ascii="Amiri" w:hAnsi="Amiri" w:eastAsia="Amiri" w:cs="Amiri"/>
          <w:lang w:bidi="ar-SA"/>
          <w:color w:val="111111"/>
          <w:sz w:val="28"/>
          <w:szCs w:val="28"/>
          <w:rtl/>
        </w:rPr>
        <w:t xml:space="preserve">عبد المحسن قيصري -قيصري ، عبد المحسن</w:t>
      </w:r>
    </w:p>
    <w:p>
      <w:pPr>
        <w:pStyle w:val="BookText"/>
      </w:pPr>
      <w:r>
        <w:rPr>
          <w:rFonts w:ascii="Amiri" w:hAnsi="Amiri" w:eastAsia="Amiri" w:cs="Amiri"/>
          <w:lang w:bidi="ar-SA"/>
          <w:color w:val="111111"/>
          <w:sz w:val="28"/>
          <w:szCs w:val="28"/>
          <w:rtl/>
        </w:rPr>
        <w:t xml:space="preserve">بن محمّد</w:t>
      </w:r>
    </w:p>
    <w:p>
      <w:pPr>
        <w:pStyle w:val="Heading2"/>
      </w:pPr>
      <w:bookmarkStart w:id="5855" w:name="_Toc4957"/>
      <w:r>
        <w:t>عبد المحمود</w:t>
      </w:r>
      <w:bookmarkEnd w:id="5855"/>
    </w:p>
    <w:p>
      <w:pPr>
        <w:pStyle w:val="BookText"/>
      </w:pPr>
      <w:r>
        <w:rPr>
          <w:rFonts w:ascii="IRNazanin" w:hAnsi="IRNazanin" w:eastAsia="IRNazanin" w:cs="IRNazanin"/>
          <w:lang w:bidi="fa-IR"/>
          <w:color w:val="111111"/>
          <w:sz w:val="28"/>
          <w:szCs w:val="28"/>
          <w:rtl/>
        </w:rPr>
        <w:t xml:space="preserve">طرائق، ج 10، ص803.</w:t>
      </w:r>
    </w:p>
    <w:p>
      <w:pPr>
        <w:pStyle w:val="BookText"/>
      </w:pPr>
      <w:r>
        <w:rPr>
          <w:rFonts w:ascii="Amiri" w:hAnsi="Amiri" w:eastAsia="Amiri" w:cs="Amiri"/>
          <w:lang w:bidi="ar-SA"/>
          <w:color w:val="111111"/>
          <w:sz w:val="28"/>
          <w:szCs w:val="28"/>
          <w:rtl/>
        </w:rPr>
        <w:t xml:space="preserve">عبد المطلب بن حسن اصفهاني- اصفهاني ،</w:t>
      </w:r>
    </w:p>
    <w:p>
      <w:pPr>
        <w:pStyle w:val="BookText"/>
      </w:pPr>
      <w:r>
        <w:rPr>
          <w:rFonts w:ascii="IRNazanin" w:hAnsi="IRNazanin" w:eastAsia="IRNazanin" w:cs="IRNazanin"/>
          <w:lang w:bidi="fa-IR"/>
          <w:color w:val="111111"/>
          <w:sz w:val="28"/>
          <w:szCs w:val="28"/>
          <w:rtl/>
        </w:rPr>
        <w:t xml:space="preserve">عبد المطلب بن حسن</w:t>
      </w:r>
    </w:p>
    <w:p>
      <w:pPr>
        <w:pStyle w:val="BookText"/>
      </w:pPr>
      <w:r>
        <w:rPr>
          <w:rFonts w:ascii="Amiri" w:hAnsi="Amiri" w:eastAsia="Amiri" w:cs="Amiri"/>
          <w:lang w:bidi="ar-SA"/>
          <w:color w:val="111111"/>
          <w:sz w:val="28"/>
          <w:szCs w:val="28"/>
          <w:rtl/>
        </w:rPr>
        <w:t xml:space="preserve">عبد المطلب بن محمّد اعرجي حلي- اعرجي حلي ، عبد المطلب بن محمّد</w:t>
      </w:r>
    </w:p>
    <w:p>
      <w:pPr>
        <w:pStyle w:val="BookText"/>
      </w:pPr>
      <w:r>
        <w:rPr>
          <w:rFonts w:ascii="Amiri" w:hAnsi="Amiri" w:eastAsia="Amiri" w:cs="Amiri"/>
          <w:lang w:bidi="ar-SA"/>
          <w:color w:val="111111"/>
          <w:sz w:val="28"/>
          <w:szCs w:val="28"/>
          <w:rtl/>
        </w:rPr>
        <w:t xml:space="preserve">عبد المطلب بن مرتضى حسيني جزري -حسيني جزري، عبد المطلب بن</w:t>
      </w:r>
    </w:p>
    <w:p>
      <w:pPr>
        <w:pStyle w:val="BookText"/>
      </w:pPr>
      <w:r>
        <w:rPr>
          <w:rFonts w:ascii="IRNazanin" w:hAnsi="IRNazanin" w:eastAsia="IRNazanin" w:cs="IRNazanin"/>
          <w:lang w:bidi="fa-IR"/>
          <w:color w:val="111111"/>
          <w:sz w:val="28"/>
          <w:szCs w:val="28"/>
          <w:rtl/>
        </w:rPr>
        <w:t xml:space="preserve">مرتضى</w:t>
      </w:r>
    </w:p>
    <w:p>
      <w:pPr>
        <w:pStyle w:val="BookText"/>
      </w:pPr>
      <w:r>
        <w:rPr>
          <w:rFonts w:ascii="IRNazanin" w:hAnsi="IRNazanin" w:eastAsia="IRNazanin" w:cs="IRNazanin"/>
          <w:lang w:bidi="fa-IR"/>
          <w:color w:val="111111"/>
          <w:sz w:val="28"/>
          <w:szCs w:val="28"/>
          <w:rtl/>
        </w:rPr>
        <w:t xml:space="preserve">عبد المطلب حسن بن محمّد</w:t>
      </w:r>
    </w:p>
    <w:p>
      <w:pPr>
        <w:pStyle w:val="BookText"/>
      </w:pPr>
      <w:r>
        <w:rPr>
          <w:rFonts w:ascii="Amiri" w:hAnsi="Amiri" w:eastAsia="Amiri" w:cs="Amiri"/>
          <w:lang w:bidi="ar-SA"/>
          <w:color w:val="111111"/>
          <w:sz w:val="28"/>
          <w:szCs w:val="28"/>
          <w:rtl/>
        </w:rPr>
        <w:t xml:space="preserve">اصفهاني -اصفهاني ، عبد المطلب بن حسن</w:t>
      </w:r>
    </w:p>
    <w:p>
      <w:pPr>
        <w:pStyle w:val="BookText"/>
      </w:pPr>
      <w:r>
        <w:rPr>
          <w:rFonts w:ascii="Amiri" w:hAnsi="Amiri" w:eastAsia="Amiri" w:cs="Amiri"/>
          <w:lang w:bidi="ar-SA"/>
          <w:color w:val="111111"/>
          <w:sz w:val="28"/>
          <w:szCs w:val="28"/>
          <w:rtl/>
        </w:rPr>
        <w:t xml:space="preserve">عبد المطلب حسيني موسوي -حسيني</w:t>
      </w:r>
    </w:p>
    <w:p>
      <w:pPr>
        <w:pStyle w:val="BookText"/>
      </w:pPr>
      <w:r>
        <w:rPr>
          <w:rFonts w:ascii="Amiri" w:hAnsi="Amiri" w:eastAsia="Amiri" w:cs="Amiri"/>
          <w:lang w:bidi="ar-SA"/>
          <w:color w:val="111111"/>
          <w:sz w:val="28"/>
          <w:szCs w:val="28"/>
          <w:rtl/>
        </w:rPr>
        <w:t xml:space="preserve">موسوي ، عبد المطلب</w:t>
      </w:r>
    </w:p>
    <w:p>
      <w:pPr>
        <w:pStyle w:val="BookText"/>
      </w:pPr>
      <w:r>
        <w:rPr>
          <w:rFonts w:ascii="Amiri" w:hAnsi="Amiri" w:eastAsia="Amiri" w:cs="Amiri"/>
          <w:lang w:bidi="ar-SA"/>
          <w:color w:val="111111"/>
          <w:sz w:val="28"/>
          <w:szCs w:val="28"/>
          <w:rtl/>
        </w:rPr>
        <w:t xml:space="preserve">عبد المعطي بن سالم شلبي سملاوي -سملاوي ، عبد المعطي بن سالم</w:t>
      </w:r>
    </w:p>
    <w:p>
      <w:pPr>
        <w:pStyle w:val="BookText"/>
      </w:pPr>
      <w:r>
        <w:rPr>
          <w:rFonts w:ascii="Amiri" w:hAnsi="Amiri" w:eastAsia="Amiri" w:cs="Amiri"/>
          <w:lang w:bidi="ar-SA"/>
          <w:color w:val="111111"/>
          <w:sz w:val="28"/>
          <w:szCs w:val="28"/>
          <w:rtl/>
        </w:rPr>
        <w:t xml:space="preserve">عبد المعين بن البكا -ابن بكاء ، عبدالمعين</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عبد الملك بن جمال الدين عصامي اسفراييني- اسفرائيني ، عبدالملك بن جمال</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عبد الملك بن حسين عصامي -عصامي</w:t>
      </w:r>
    </w:p>
    <w:p>
      <w:pPr>
        <w:pStyle w:val="BookText"/>
      </w:pPr>
      <w:r>
        <w:rPr>
          <w:rFonts w:ascii="Amiri" w:hAnsi="Amiri" w:eastAsia="Amiri" w:cs="Amiri"/>
          <w:lang w:bidi="ar-SA"/>
          <w:color w:val="111111"/>
          <w:sz w:val="28"/>
          <w:szCs w:val="28"/>
          <w:rtl/>
        </w:rPr>
        <w:t xml:space="preserve">عبدالملك بن حسين</w:t>
      </w:r>
    </w:p>
    <w:p>
      <w:pPr>
        <w:pStyle w:val="BookText"/>
      </w:pPr>
      <w:r>
        <w:rPr>
          <w:rFonts w:ascii="Amiri" w:hAnsi="Amiri" w:eastAsia="Amiri" w:cs="Amiri"/>
          <w:lang w:bidi="ar-SA"/>
          <w:color w:val="111111"/>
          <w:sz w:val="28"/>
          <w:szCs w:val="28"/>
          <w:rtl/>
        </w:rPr>
        <w:t xml:space="preserve">عبد الملك بن حكيم الخثعمي الكوفي -ختعمي كوفي ، عبدالملك بن حكيم</w:t>
      </w:r>
    </w:p>
    <w:p>
      <w:pPr>
        <w:pStyle w:val="BookText"/>
      </w:pPr>
      <w:r>
        <w:rPr>
          <w:rFonts w:ascii="Amiri" w:hAnsi="Amiri" w:eastAsia="Amiri" w:cs="Amiri"/>
          <w:lang w:bidi="ar-SA"/>
          <w:color w:val="111111"/>
          <w:sz w:val="28"/>
          <w:szCs w:val="28"/>
          <w:rtl/>
        </w:rPr>
        <w:t xml:space="preserve">عبد الملك بن عبد السلام بن عبد الحفيظ بن</w:t>
      </w:r>
    </w:p>
    <w:p>
      <w:pPr>
        <w:pStyle w:val="BookText"/>
      </w:pPr>
      <w:r>
        <w:rPr>
          <w:rFonts w:ascii="Amiri" w:hAnsi="Amiri" w:eastAsia="Amiri" w:cs="Amiri"/>
          <w:lang w:bidi="ar-SA"/>
          <w:color w:val="111111"/>
          <w:sz w:val="28"/>
          <w:szCs w:val="28"/>
          <w:rtl/>
        </w:rPr>
        <w:t xml:space="preserve">دعسين الاموي -ابن دعسين ، عبدالملك بن</w:t>
      </w:r>
    </w:p>
    <w:p>
      <w:pPr>
        <w:pStyle w:val="BookText"/>
      </w:pPr>
      <w:r>
        <w:rPr>
          <w:rFonts w:ascii="IRNazanin" w:hAnsi="IRNazanin" w:eastAsia="IRNazanin" w:cs="IRNazanin"/>
          <w:lang w:bidi="fa-IR"/>
          <w:color w:val="111111"/>
          <w:sz w:val="28"/>
          <w:szCs w:val="28"/>
          <w:rtl/>
        </w:rPr>
        <w:t xml:space="preserve">عبد السلام</w:t>
      </w:r>
    </w:p>
    <w:p>
      <w:pPr>
        <w:pStyle w:val="BookText"/>
      </w:pPr>
      <w:r>
        <w:rPr>
          <w:rFonts w:ascii="Amiri" w:hAnsi="Amiri" w:eastAsia="Amiri" w:cs="Amiri"/>
          <w:lang w:bidi="ar-SA"/>
          <w:color w:val="111111"/>
          <w:sz w:val="28"/>
          <w:szCs w:val="28"/>
          <w:rtl/>
        </w:rPr>
        <w:t xml:space="preserve">عبدالملك بن عبد الله اشبيلي سبتي- ابن</w:t>
      </w:r>
    </w:p>
    <w:p>
      <w:pPr>
        <w:pStyle w:val="BookText"/>
      </w:pPr>
      <w:r>
        <w:rPr>
          <w:rFonts w:ascii="Amiri" w:hAnsi="Amiri" w:eastAsia="Amiri" w:cs="Amiri"/>
          <w:lang w:bidi="ar-SA"/>
          <w:color w:val="111111"/>
          <w:sz w:val="28"/>
          <w:szCs w:val="28"/>
          <w:rtl/>
        </w:rPr>
        <w:t xml:space="preserve">بدرون ، عبدالملك بن عبدالله</w:t>
      </w:r>
    </w:p>
    <w:p>
      <w:pPr>
        <w:pStyle w:val="BookText"/>
      </w:pPr>
      <w:r>
        <w:rPr>
          <w:rFonts w:ascii="Amiri" w:hAnsi="Amiri" w:eastAsia="Amiri" w:cs="Amiri"/>
          <w:lang w:bidi="ar-SA"/>
          <w:color w:val="111111"/>
          <w:sz w:val="28"/>
          <w:szCs w:val="28"/>
          <w:rtl/>
        </w:rPr>
        <w:t xml:space="preserve">عبد الملك بن عبدالله بن بدرون خضرمي</w:t>
      </w:r>
    </w:p>
    <w:p>
      <w:pPr>
        <w:pStyle w:val="BookText"/>
      </w:pPr>
      <w:r>
        <w:rPr>
          <w:rFonts w:ascii="Amiri" w:hAnsi="Amiri" w:eastAsia="Amiri" w:cs="Amiri"/>
          <w:lang w:bidi="ar-SA"/>
          <w:color w:val="111111"/>
          <w:sz w:val="28"/>
          <w:szCs w:val="28"/>
          <w:rtl/>
        </w:rPr>
        <w:t xml:space="preserve">اشبيلي سبتي- ابن بدرون ، عبدالملك بن عبدالله</w:t>
      </w:r>
    </w:p>
    <w:p>
      <w:pPr>
        <w:pStyle w:val="BookText"/>
      </w:pPr>
      <w:r>
        <w:rPr>
          <w:rFonts w:ascii="Amiri" w:hAnsi="Amiri" w:eastAsia="Amiri" w:cs="Amiri"/>
          <w:lang w:bidi="ar-SA"/>
          <w:color w:val="111111"/>
          <w:sz w:val="28"/>
          <w:szCs w:val="28"/>
          <w:rtl/>
        </w:rPr>
        <w:t xml:space="preserve">عبد الملك بن عبدالله بن عبدالرحمن كرابيسي-كرابيسي ، عبدالملك بن عبدالله</w:t>
      </w:r>
    </w:p>
    <w:p>
      <w:pPr>
        <w:pStyle w:val="BookText"/>
      </w:pPr>
      <w:r>
        <w:rPr>
          <w:rFonts w:ascii="Amiri" w:hAnsi="Amiri" w:eastAsia="Amiri" w:cs="Amiri"/>
          <w:lang w:bidi="ar-SA"/>
          <w:color w:val="111111"/>
          <w:sz w:val="28"/>
          <w:szCs w:val="28"/>
          <w:rtl/>
        </w:rPr>
        <w:t xml:space="preserve">عبدالملك بن عبدالله جويني- امام الحرمين</w:t>
      </w:r>
    </w:p>
    <w:p>
      <w:pPr>
        <w:pStyle w:val="BookText"/>
      </w:pPr>
      <w:r>
        <w:rPr>
          <w:rFonts w:ascii="Amiri" w:hAnsi="Amiri" w:eastAsia="Amiri" w:cs="Amiri"/>
          <w:lang w:bidi="ar-SA"/>
          <w:color w:val="111111"/>
          <w:sz w:val="28"/>
          <w:szCs w:val="28"/>
          <w:rtl/>
        </w:rPr>
        <w:t xml:space="preserve">، عبدالملك بن عبدالله</w:t>
      </w:r>
    </w:p>
    <w:p>
      <w:pPr>
        <w:pStyle w:val="BookText"/>
      </w:pPr>
      <w:r>
        <w:rPr>
          <w:rFonts w:ascii="Amiri" w:hAnsi="Amiri" w:eastAsia="Amiri" w:cs="Amiri"/>
          <w:lang w:bidi="ar-SA"/>
          <w:color w:val="111111"/>
          <w:sz w:val="28"/>
          <w:szCs w:val="28"/>
          <w:rtl/>
        </w:rPr>
        <w:t xml:space="preserve">عبد الملك بن عبدالله كرابيسي- كرابيسي</w:t>
      </w:r>
    </w:p>
    <w:p>
      <w:pPr>
        <w:pStyle w:val="BookText"/>
      </w:pPr>
      <w:r>
        <w:rPr>
          <w:rFonts w:ascii="Amiri" w:hAnsi="Amiri" w:eastAsia="Amiri" w:cs="Amiri"/>
          <w:lang w:bidi="ar-SA"/>
          <w:color w:val="111111"/>
          <w:sz w:val="28"/>
          <w:szCs w:val="28"/>
          <w:rtl/>
        </w:rPr>
        <w:t xml:space="preserve">عبدالملك بن عبدالله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57" w:name="pg7742_70756"/>
    <w:bookmarkEnd w:id="757"/>
    <w:p>
      <w:pPr>
        <w:pStyle w:val="BookText"/>
      </w:pPr>
      <w:r>
        <w:rPr>
          <w:rFonts w:ascii="Amiri" w:hAnsi="Amiri" w:eastAsia="Amiri" w:cs="Amiri"/>
          <w:lang w:bidi="ar-SA"/>
          <w:color w:val="111111"/>
          <w:sz w:val="28"/>
          <w:szCs w:val="28"/>
          <w:rtl/>
        </w:rPr>
        <w:t xml:space="preserve">عبدالملك بن علي بكري صديقي- بكري ،</w:t>
      </w:r>
    </w:p>
    <w:p>
      <w:pPr>
        <w:pStyle w:val="BookText"/>
      </w:pPr>
      <w:r>
        <w:rPr>
          <w:rFonts w:ascii="Amiri" w:hAnsi="Amiri" w:eastAsia="Amiri" w:cs="Amiri"/>
          <w:lang w:bidi="ar-SA"/>
          <w:color w:val="111111"/>
          <w:sz w:val="28"/>
          <w:szCs w:val="28"/>
          <w:rtl/>
        </w:rPr>
        <w:t xml:space="preserve">عبدالملك بن علي</w:t>
      </w:r>
    </w:p>
    <w:p>
      <w:pPr>
        <w:pStyle w:val="BookText"/>
      </w:pPr>
      <w:r>
        <w:rPr>
          <w:rFonts w:ascii="Amiri" w:hAnsi="Amiri" w:eastAsia="Amiri" w:cs="Amiri"/>
          <w:lang w:bidi="ar-SA"/>
          <w:color w:val="111111"/>
          <w:sz w:val="28"/>
          <w:szCs w:val="28"/>
          <w:rtl/>
        </w:rPr>
        <w:t xml:space="preserve">عبدالملك بن قريب اصمعي- اصمعي ،</w:t>
      </w:r>
    </w:p>
    <w:p>
      <w:pPr>
        <w:pStyle w:val="BookText"/>
      </w:pPr>
      <w:r>
        <w:rPr>
          <w:rFonts w:ascii="Amiri" w:hAnsi="Amiri" w:eastAsia="Amiri" w:cs="Amiri"/>
          <w:lang w:bidi="ar-SA"/>
          <w:color w:val="111111"/>
          <w:sz w:val="28"/>
          <w:szCs w:val="28"/>
          <w:rtl/>
        </w:rPr>
        <w:t xml:space="preserve">عبد الملك بن قريب</w:t>
      </w:r>
    </w:p>
    <w:p>
      <w:pPr>
        <w:pStyle w:val="BookText"/>
      </w:pPr>
      <w:r>
        <w:rPr>
          <w:rFonts w:ascii="Amiri" w:hAnsi="Amiri" w:eastAsia="Amiri" w:cs="Amiri"/>
          <w:lang w:bidi="ar-SA"/>
          <w:color w:val="111111"/>
          <w:sz w:val="28"/>
          <w:szCs w:val="28"/>
          <w:rtl/>
        </w:rPr>
        <w:t xml:space="preserve">عبدالملك بن قريب الاصمعي-اصمعي ،</w:t>
      </w:r>
    </w:p>
    <w:p>
      <w:pPr>
        <w:pStyle w:val="BookText"/>
      </w:pPr>
      <w:r>
        <w:rPr>
          <w:rFonts w:ascii="Amiri" w:hAnsi="Amiri" w:eastAsia="Amiri" w:cs="Amiri"/>
          <w:lang w:bidi="ar-SA"/>
          <w:color w:val="111111"/>
          <w:sz w:val="28"/>
          <w:szCs w:val="28"/>
          <w:rtl/>
        </w:rPr>
        <w:t xml:space="preserve">عبدالملك بن قريب</w:t>
      </w:r>
    </w:p>
    <w:p>
      <w:pPr>
        <w:pStyle w:val="BookText"/>
      </w:pPr>
      <w:r>
        <w:rPr>
          <w:rFonts w:ascii="Amiri" w:hAnsi="Amiri" w:eastAsia="Amiri" w:cs="Amiri"/>
          <w:lang w:bidi="ar-SA"/>
          <w:color w:val="111111"/>
          <w:sz w:val="28"/>
          <w:szCs w:val="28"/>
          <w:rtl/>
        </w:rPr>
        <w:t xml:space="preserve">عبد الملك بن محمّد بن بشران- ابن بشران</w:t>
      </w:r>
    </w:p>
    <w:p>
      <w:pPr>
        <w:pStyle w:val="BookText"/>
      </w:pPr>
      <w:r>
        <w:rPr>
          <w:rFonts w:ascii="Amiri" w:hAnsi="Amiri" w:eastAsia="Amiri" w:cs="Amiri"/>
          <w:lang w:bidi="ar-SA"/>
          <w:color w:val="111111"/>
          <w:sz w:val="28"/>
          <w:szCs w:val="28"/>
          <w:rtl/>
        </w:rPr>
        <w:t xml:space="preserve">، عبدالملك بن محمّد</w:t>
      </w:r>
    </w:p>
    <w:p>
      <w:pPr>
        <w:pStyle w:val="BookText"/>
      </w:pPr>
      <w:r>
        <w:rPr>
          <w:rFonts w:ascii="Amiri" w:hAnsi="Amiri" w:eastAsia="Amiri" w:cs="Amiri"/>
          <w:lang w:bidi="ar-SA"/>
          <w:color w:val="111111"/>
          <w:sz w:val="28"/>
          <w:szCs w:val="28"/>
          <w:rtl/>
        </w:rPr>
        <w:t xml:space="preserve">عبد الملك بن محمّد ثعالبي- ثعالبي</w:t>
      </w:r>
    </w:p>
    <w:p>
      <w:pPr>
        <w:pStyle w:val="BookText"/>
      </w:pPr>
      <w:r>
        <w:rPr>
          <w:rFonts w:ascii="Amiri" w:hAnsi="Amiri" w:eastAsia="Amiri" w:cs="Amiri"/>
          <w:lang w:bidi="ar-SA"/>
          <w:color w:val="111111"/>
          <w:sz w:val="28"/>
          <w:szCs w:val="28"/>
          <w:rtl/>
        </w:rPr>
        <w:t xml:space="preserve">عبدالملك بن محمّد</w:t>
      </w:r>
    </w:p>
    <w:p>
      <w:pPr>
        <w:pStyle w:val="BookText"/>
      </w:pPr>
      <w:r>
        <w:rPr>
          <w:rFonts w:ascii="Amiri" w:hAnsi="Amiri" w:eastAsia="Amiri" w:cs="Amiri"/>
          <w:lang w:bidi="ar-SA"/>
          <w:color w:val="111111"/>
          <w:sz w:val="28"/>
          <w:szCs w:val="28"/>
          <w:rtl/>
        </w:rPr>
        <w:t xml:space="preserve">عبد الملك بن محمّد خركوشي- خركوشي</w:t>
      </w:r>
    </w:p>
    <w:p>
      <w:pPr>
        <w:pStyle w:val="BookText"/>
      </w:pPr>
      <w:r>
        <w:rPr>
          <w:rFonts w:ascii="Amiri" w:hAnsi="Amiri" w:eastAsia="Amiri" w:cs="Amiri"/>
          <w:lang w:bidi="ar-SA"/>
          <w:color w:val="111111"/>
          <w:sz w:val="28"/>
          <w:szCs w:val="28"/>
          <w:rtl/>
        </w:rPr>
        <w:t xml:space="preserve">عبدالملك بن محمّد</w:t>
      </w:r>
    </w:p>
    <w:p>
      <w:pPr>
        <w:pStyle w:val="BookText"/>
      </w:pPr>
      <w:r>
        <w:rPr>
          <w:rFonts w:ascii="Amiri" w:hAnsi="Amiri" w:eastAsia="Amiri" w:cs="Amiri"/>
          <w:lang w:bidi="ar-SA"/>
          <w:color w:val="111111"/>
          <w:sz w:val="28"/>
          <w:szCs w:val="28"/>
          <w:rtl/>
        </w:rPr>
        <w:t xml:space="preserve">عبد الملك بن هشام ابن- هشام ، عبدالملك عبد</w:t>
      </w:r>
    </w:p>
    <w:p>
      <w:pPr>
        <w:pStyle w:val="BookText"/>
      </w:pPr>
      <w:r>
        <w:rPr>
          <w:rFonts w:ascii="IRNazanin" w:hAnsi="IRNazanin" w:eastAsia="IRNazanin" w:cs="IRNazanin"/>
          <w:lang w:bidi="fa-IR"/>
          <w:color w:val="111111"/>
          <w:sz w:val="28"/>
          <w:szCs w:val="28"/>
          <w:rtl/>
        </w:rPr>
        <w:t xml:space="preserve">بن هشام</w:t>
      </w:r>
    </w:p>
    <w:p>
      <w:pPr>
        <w:pStyle w:val="BookText"/>
      </w:pPr>
      <w:r>
        <w:rPr>
          <w:rFonts w:ascii="Amiri" w:hAnsi="Amiri" w:eastAsia="Amiri" w:cs="Amiri"/>
          <w:lang w:bidi="ar-SA"/>
          <w:color w:val="111111"/>
          <w:sz w:val="28"/>
          <w:szCs w:val="28"/>
          <w:rtl/>
        </w:rPr>
        <w:t xml:space="preserve">عبد المنعم بن عبدالله فراوي</w:t>
      </w:r>
    </w:p>
    <w:p>
      <w:pPr>
        <w:pStyle w:val="BookText"/>
      </w:pPr>
      <w:r>
        <w:rPr>
          <w:rFonts w:ascii="Amiri" w:hAnsi="Amiri" w:eastAsia="Amiri" w:cs="Amiri"/>
          <w:lang w:bidi="ar-SA"/>
          <w:color w:val="111111"/>
          <w:sz w:val="28"/>
          <w:szCs w:val="28"/>
          <w:rtl/>
        </w:rPr>
        <w:t xml:space="preserve">صاعدي- فراوي ، عبد المنعم بن عبدالله</w:t>
      </w:r>
    </w:p>
    <w:p>
      <w:pPr>
        <w:pStyle w:val="BookText"/>
      </w:pPr>
      <w:r>
        <w:rPr>
          <w:rFonts w:ascii="Amiri" w:hAnsi="Amiri" w:eastAsia="Amiri" w:cs="Amiri"/>
          <w:lang w:bidi="ar-SA"/>
          <w:color w:val="111111"/>
          <w:sz w:val="28"/>
          <w:szCs w:val="28"/>
          <w:rtl/>
        </w:rPr>
        <w:t xml:space="preserve">عبد المنعم بن عبد الوهاب حراني- حراني ،</w:t>
      </w:r>
    </w:p>
    <w:p>
      <w:pPr>
        <w:pStyle w:val="BookText"/>
      </w:pPr>
      <w:r>
        <w:rPr>
          <w:rFonts w:ascii="IRNazanin" w:hAnsi="IRNazanin" w:eastAsia="IRNazanin" w:cs="IRNazanin"/>
          <w:lang w:bidi="fa-IR"/>
          <w:color w:val="111111"/>
          <w:sz w:val="28"/>
          <w:szCs w:val="28"/>
          <w:rtl/>
        </w:rPr>
        <w:t xml:space="preserve">عبد المنعم بن عبدالوهاب</w:t>
      </w:r>
    </w:p>
    <w:p>
      <w:pPr>
        <w:pStyle w:val="BookText"/>
      </w:pPr>
      <w:r>
        <w:rPr>
          <w:rFonts w:ascii="Amiri" w:hAnsi="Amiri" w:eastAsia="Amiri" w:cs="Amiri"/>
          <w:lang w:bidi="ar-SA"/>
          <w:color w:val="111111"/>
          <w:sz w:val="28"/>
          <w:szCs w:val="28"/>
          <w:rtl/>
        </w:rPr>
        <w:t xml:space="preserve">عبد المنعم بن عمر جلياني - جلياني ،</w:t>
      </w:r>
    </w:p>
    <w:p>
      <w:pPr>
        <w:pStyle w:val="BookText"/>
      </w:pPr>
      <w:r>
        <w:rPr>
          <w:rFonts w:ascii="IRNazanin" w:hAnsi="IRNazanin" w:eastAsia="IRNazanin" w:cs="IRNazanin"/>
          <w:lang w:bidi="fa-IR"/>
          <w:color w:val="111111"/>
          <w:sz w:val="28"/>
          <w:szCs w:val="28"/>
          <w:rtl/>
        </w:rPr>
        <w:t xml:space="preserve">عبد المنعم بن عمر</w:t>
      </w:r>
    </w:p>
    <w:p>
      <w:pPr>
        <w:pStyle w:val="BookText"/>
      </w:pPr>
      <w:r>
        <w:rPr>
          <w:rFonts w:ascii="Amiri" w:hAnsi="Amiri" w:eastAsia="Amiri" w:cs="Amiri"/>
          <w:lang w:bidi="ar-SA"/>
          <w:color w:val="111111"/>
          <w:sz w:val="28"/>
          <w:szCs w:val="28"/>
          <w:rtl/>
        </w:rPr>
        <w:t xml:space="preserve">عبد المنعم بن محمّد عطاري-عطاري</w:t>
      </w:r>
    </w:p>
    <w:p>
      <w:pPr>
        <w:pStyle w:val="BookText"/>
      </w:pPr>
      <w:r>
        <w:rPr>
          <w:rFonts w:ascii="IRNazanin" w:hAnsi="IRNazanin" w:eastAsia="IRNazanin" w:cs="IRNazanin"/>
          <w:lang w:bidi="fa-IR"/>
          <w:color w:val="111111"/>
          <w:sz w:val="28"/>
          <w:szCs w:val="28"/>
          <w:rtl/>
        </w:rPr>
        <w:t xml:space="preserve">عبد المنعم بن محمّد</w:t>
      </w:r>
    </w:p>
    <w:p>
      <w:pPr>
        <w:pStyle w:val="BookText"/>
      </w:pPr>
      <w:r>
        <w:rPr>
          <w:rFonts w:ascii="Amiri" w:hAnsi="Amiri" w:eastAsia="Amiri" w:cs="Amiri"/>
          <w:lang w:bidi="ar-SA"/>
          <w:color w:val="111111"/>
          <w:sz w:val="28"/>
          <w:szCs w:val="28"/>
          <w:rtl/>
        </w:rPr>
        <w:t xml:space="preserve">عبد المنعم دنوشري -دنوشري ، عبد المنعم</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عبد المنعم زرقاني ابن فجله- زرقاني ،</w:t>
      </w:r>
    </w:p>
    <w:p>
      <w:pPr>
        <w:pStyle w:val="BookText"/>
      </w:pPr>
      <w:r>
        <w:rPr>
          <w:rFonts w:ascii="IRNazanin" w:hAnsi="IRNazanin" w:eastAsia="IRNazanin" w:cs="IRNazanin"/>
          <w:lang w:bidi="fa-IR"/>
          <w:color w:val="111111"/>
          <w:sz w:val="28"/>
          <w:szCs w:val="28"/>
          <w:rtl/>
        </w:rPr>
        <w:t xml:space="preserve">عبد المنعم</w:t>
      </w:r>
    </w:p>
    <w:p>
      <w:pPr>
        <w:pStyle w:val="BookText"/>
      </w:pPr>
      <w:r>
        <w:rPr>
          <w:rFonts w:ascii="Amiri" w:hAnsi="Amiri" w:eastAsia="Amiri" w:cs="Amiri"/>
          <w:lang w:bidi="ar-SA"/>
          <w:color w:val="111111"/>
          <w:sz w:val="28"/>
          <w:szCs w:val="28"/>
          <w:rtl/>
        </w:rPr>
        <w:t xml:space="preserve">عبد المهدي حنفي - حنفي خوشابي ، مهدي</w:t>
      </w:r>
    </w:p>
    <w:p>
      <w:pPr>
        <w:pStyle w:val="Heading2"/>
      </w:pPr>
      <w:bookmarkStart w:id="5856" w:name="_Toc4958"/>
      <w:r>
        <w:t>عبد النافع</w:t>
      </w:r>
      <w:bookmarkEnd w:id="5856"/>
    </w:p>
    <w:p>
      <w:pPr>
        <w:pStyle w:val="BookText"/>
      </w:pPr>
      <w:r>
        <w:rPr>
          <w:rFonts w:ascii="Amiri" w:hAnsi="Amiri" w:eastAsia="Amiri" w:cs="Amiri"/>
          <w:lang w:bidi="ar-SA"/>
          <w:color w:val="111111"/>
          <w:sz w:val="28"/>
          <w:szCs w:val="28"/>
          <w:rtl/>
        </w:rPr>
        <w:t xml:space="preserve">اجازة علمية، ج 1، ص 221.</w:t>
      </w:r>
    </w:p>
    <w:p>
      <w:pPr>
        <w:pStyle w:val="BookText"/>
      </w:pPr>
      <w:r>
        <w:rPr>
          <w:rFonts w:ascii="Amiri" w:hAnsi="Amiri" w:eastAsia="Amiri" w:cs="Amiri"/>
          <w:lang w:bidi="ar-SA"/>
          <w:color w:val="111111"/>
          <w:sz w:val="28"/>
          <w:szCs w:val="28"/>
          <w:rtl/>
        </w:rPr>
        <w:t xml:space="preserve">عبد النبي بغدادي - بغدادي ، عبدالنبي</w:t>
      </w:r>
    </w:p>
    <w:p>
      <w:pPr>
        <w:pStyle w:val="BookText"/>
      </w:pPr>
      <w:r>
        <w:rPr>
          <w:rFonts w:ascii="Amiri" w:hAnsi="Amiri" w:eastAsia="Amiri" w:cs="Amiri"/>
          <w:lang w:bidi="ar-SA"/>
          <w:color w:val="111111"/>
          <w:sz w:val="28"/>
          <w:szCs w:val="28"/>
          <w:rtl/>
        </w:rPr>
        <w:t xml:space="preserve">عبد النبي بن احمد بحراني- بحراني</w:t>
      </w:r>
    </w:p>
    <w:p>
      <w:pPr>
        <w:pStyle w:val="BookText"/>
      </w:pPr>
      <w:r>
        <w:rPr>
          <w:rFonts w:ascii="Amiri" w:hAnsi="Amiri" w:eastAsia="Amiri" w:cs="Amiri"/>
          <w:lang w:bidi="ar-SA"/>
          <w:color w:val="111111"/>
          <w:sz w:val="28"/>
          <w:szCs w:val="28"/>
          <w:rtl/>
        </w:rPr>
        <w:t xml:space="preserve">عبدالنبي بن احمد</w:t>
      </w:r>
    </w:p>
    <w:p>
      <w:pPr>
        <w:pStyle w:val="BookText"/>
      </w:pPr>
      <w:r>
        <w:rPr>
          <w:rFonts w:ascii="Amiri" w:hAnsi="Amiri" w:eastAsia="Amiri" w:cs="Amiri"/>
          <w:lang w:bidi="ar-SA"/>
          <w:color w:val="111111"/>
          <w:sz w:val="28"/>
          <w:szCs w:val="28"/>
          <w:rtl/>
        </w:rPr>
        <w:t xml:space="preserve">عبد النبي بن حسين البحراني الشاخوري- بحراني شاخوري ، عبدالنبي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عبد النبي بن رضي بعدادي- بغدادي</w:t>
      </w:r>
    </w:p>
    <w:p>
      <w:pPr>
        <w:pStyle w:val="BookText"/>
      </w:pPr>
      <w:r>
        <w:rPr>
          <w:rFonts w:ascii="Amiri" w:hAnsi="Amiri" w:eastAsia="Amiri" w:cs="Amiri"/>
          <w:lang w:bidi="ar-SA"/>
          <w:color w:val="111111"/>
          <w:sz w:val="28"/>
          <w:szCs w:val="28"/>
          <w:rtl/>
        </w:rPr>
        <w:t xml:space="preserve">عبد النبي بن الرضي</w:t>
      </w:r>
    </w:p>
    <w:p>
      <w:pPr>
        <w:pStyle w:val="BookText"/>
      </w:pPr>
      <w:r>
        <w:rPr>
          <w:rFonts w:ascii="Amiri" w:hAnsi="Amiri" w:eastAsia="Amiri" w:cs="Amiri"/>
          <w:lang w:bidi="ar-SA"/>
          <w:color w:val="111111"/>
          <w:sz w:val="28"/>
          <w:szCs w:val="28"/>
          <w:rtl/>
        </w:rPr>
        <w:t xml:space="preserve">عبد النبي بن سعد جزايري- جزايري النبي بن سعد</w:t>
      </w:r>
    </w:p>
    <w:p>
      <w:pPr>
        <w:pStyle w:val="BookText"/>
      </w:pPr>
      <w:r>
        <w:rPr>
          <w:rFonts w:ascii="Amiri" w:hAnsi="Amiri" w:eastAsia="Amiri" w:cs="Amiri"/>
          <w:lang w:bidi="ar-SA"/>
          <w:color w:val="111111"/>
          <w:sz w:val="28"/>
          <w:szCs w:val="28"/>
          <w:rtl/>
        </w:rPr>
        <w:t xml:space="preserve">عبدالنبي بن علي استرآبادي -استرآبادي ،</w:t>
      </w:r>
    </w:p>
    <w:p>
      <w:pPr>
        <w:pStyle w:val="BookText"/>
      </w:pPr>
      <w:r>
        <w:rPr>
          <w:rFonts w:ascii="Amiri" w:hAnsi="Amiri" w:eastAsia="Amiri" w:cs="Amiri"/>
          <w:lang w:bidi="ar-SA"/>
          <w:color w:val="111111"/>
          <w:sz w:val="28"/>
          <w:szCs w:val="28"/>
          <w:rtl/>
        </w:rPr>
        <w:t xml:space="preserve">عبد النبي بن علي</w:t>
      </w:r>
    </w:p>
    <w:p>
      <w:pPr>
        <w:pStyle w:val="BookText"/>
      </w:pPr>
      <w:r>
        <w:rPr>
          <w:rFonts w:ascii="Amiri" w:hAnsi="Amiri" w:eastAsia="Amiri" w:cs="Amiri"/>
          <w:lang w:bidi="ar-SA"/>
          <w:color w:val="111111"/>
          <w:sz w:val="28"/>
          <w:szCs w:val="28"/>
          <w:rtl/>
        </w:rPr>
        <w:t xml:space="preserve">عبد النبي بن علي كاظمي- كاظمي ،</w:t>
      </w:r>
    </w:p>
    <w:p>
      <w:pPr>
        <w:pStyle w:val="BookText"/>
      </w:pPr>
      <w:r>
        <w:rPr>
          <w:rFonts w:ascii="Amiri" w:hAnsi="Amiri" w:eastAsia="Amiri" w:cs="Amiri"/>
          <w:lang w:bidi="ar-SA"/>
          <w:color w:val="111111"/>
          <w:sz w:val="28"/>
          <w:szCs w:val="28"/>
          <w:rtl/>
        </w:rPr>
        <w:t xml:space="preserve">عبد النبي بن علي</w:t>
      </w:r>
    </w:p>
    <w:p>
      <w:pPr>
        <w:pStyle w:val="BookText"/>
      </w:pPr>
      <w:r>
        <w:rPr>
          <w:rFonts w:ascii="Amiri" w:hAnsi="Amiri" w:eastAsia="Amiri" w:cs="Amiri"/>
          <w:lang w:bidi="ar-SA"/>
          <w:color w:val="111111"/>
          <w:sz w:val="28"/>
          <w:szCs w:val="28"/>
          <w:rtl/>
        </w:rPr>
        <w:t xml:space="preserve">عبد النبي بن محمّد تقي قزويني- قزويني</w:t>
      </w:r>
    </w:p>
    <w:p>
      <w:pPr>
        <w:pStyle w:val="BookText"/>
      </w:pPr>
      <w:r>
        <w:rPr>
          <w:rFonts w:ascii="Amiri" w:hAnsi="Amiri" w:eastAsia="Amiri" w:cs="Amiri"/>
          <w:lang w:bidi="ar-SA"/>
          <w:color w:val="111111"/>
          <w:sz w:val="28"/>
          <w:szCs w:val="28"/>
          <w:rtl/>
        </w:rPr>
        <w:t xml:space="preserve">، عبدالنبي بن محمّد تقي</w:t>
      </w:r>
    </w:p>
    <w:p>
      <w:pPr>
        <w:pStyle w:val="BookText"/>
      </w:pPr>
      <w:r>
        <w:rPr>
          <w:rFonts w:ascii="Amiri" w:hAnsi="Amiri" w:eastAsia="Amiri" w:cs="Amiri"/>
          <w:lang w:bidi="ar-SA"/>
          <w:color w:val="111111"/>
          <w:sz w:val="28"/>
          <w:szCs w:val="28"/>
          <w:rtl/>
        </w:rPr>
        <w:t xml:space="preserve">عبد النبي بن محمّد مفيد بن حسين شيرازي- شيرازي ، عبدالنبي بن محمّد مفيد</w:t>
      </w:r>
    </w:p>
    <w:p>
      <w:pPr>
        <w:pStyle w:val="BookText"/>
      </w:pPr>
      <w:r>
        <w:rPr>
          <w:rFonts w:ascii="Amiri" w:hAnsi="Amiri" w:eastAsia="Amiri" w:cs="Amiri"/>
          <w:lang w:bidi="ar-SA"/>
          <w:color w:val="111111"/>
          <w:sz w:val="28"/>
          <w:szCs w:val="28"/>
          <w:rtl/>
        </w:rPr>
        <w:t xml:space="preserve">عبد النبي نابلسي- نابلسي ، عبدالنبي</w:t>
      </w:r>
    </w:p>
    <w:p>
      <w:pPr>
        <w:pStyle w:val="BookText"/>
      </w:pPr>
      <w:r>
        <w:rPr>
          <w:rFonts w:ascii="Amiri" w:hAnsi="Amiri" w:eastAsia="Amiri" w:cs="Amiri"/>
          <w:lang w:bidi="ar-SA"/>
          <w:color w:val="111111"/>
          <w:sz w:val="28"/>
          <w:szCs w:val="28"/>
          <w:rtl/>
        </w:rPr>
        <w:t xml:space="preserve">عبد النصير غزالي -غزالي ، عبد النصير بن</w:t>
      </w:r>
    </w:p>
    <w:p>
      <w:pPr>
        <w:pStyle w:val="BookText"/>
      </w:pPr>
      <w:r>
        <w:rPr>
          <w:rFonts w:ascii="Amiri" w:hAnsi="Amiri" w:eastAsia="Amiri" w:cs="Amiri"/>
          <w:lang w:bidi="ar-SA"/>
          <w:color w:val="111111"/>
          <w:sz w:val="28"/>
          <w:szCs w:val="28"/>
          <w:rtl/>
        </w:rPr>
        <w:t xml:space="preserve">ابراهيم</w:t>
      </w:r>
    </w:p>
    <w:p>
      <w:pPr>
        <w:pStyle w:val="BookText"/>
      </w:pPr>
      <w:r>
        <w:rPr>
          <w:rFonts w:ascii="IRNazanin" w:hAnsi="IRNazanin" w:eastAsia="IRNazanin" w:cs="IRNazanin"/>
          <w:lang w:bidi="fa-IR"/>
          <w:color w:val="111111"/>
          <w:sz w:val="28"/>
          <w:szCs w:val="28"/>
          <w:rtl/>
        </w:rPr>
        <w:t xml:space="preserve">عبد الواحد الحسان -حسان ، عبدالواحد</w:t>
      </w:r>
    </w:p>
    <w:p>
      <w:pPr>
        <w:pStyle w:val="BookText"/>
      </w:pPr>
      <w:r>
        <w:rPr>
          <w:rFonts w:ascii="Amiri" w:hAnsi="Amiri" w:eastAsia="Amiri" w:cs="Amiri"/>
          <w:lang w:bidi="ar-SA"/>
          <w:color w:val="111111"/>
          <w:sz w:val="28"/>
          <w:szCs w:val="28"/>
          <w:rtl/>
        </w:rPr>
        <w:t xml:space="preserve">عبد الواحد بن اسماعيل روياني طبري - روياني ، عبدالواحد بن اسماعيل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58" w:name="pg7742_70758"/>
    <w:bookmarkEnd w:id="758"/>
    <w:p>
      <w:pPr>
        <w:pStyle w:val="BookText"/>
      </w:pPr>
      <w:r>
        <w:rPr>
          <w:rFonts w:ascii="Amiri" w:hAnsi="Amiri" w:eastAsia="Amiri" w:cs="Amiri"/>
          <w:lang w:bidi="ar-SA"/>
          <w:color w:val="111111"/>
          <w:sz w:val="28"/>
          <w:szCs w:val="28"/>
          <w:rtl/>
        </w:rPr>
        <w:t xml:space="preserve">عبدالواحد بن صفي نعماني- نعماني</w:t>
      </w:r>
    </w:p>
    <w:p>
      <w:pPr>
        <w:pStyle w:val="BookText"/>
      </w:pPr>
      <w:r>
        <w:rPr>
          <w:rFonts w:ascii="Amiri" w:hAnsi="Amiri" w:eastAsia="Amiri" w:cs="Amiri"/>
          <w:lang w:bidi="ar-SA"/>
          <w:color w:val="111111"/>
          <w:sz w:val="28"/>
          <w:szCs w:val="28"/>
          <w:rtl/>
        </w:rPr>
        <w:t xml:space="preserve">عبدالواحد بن صفي</w:t>
      </w:r>
    </w:p>
    <w:p>
      <w:pPr>
        <w:pStyle w:val="BookText"/>
      </w:pPr>
      <w:r>
        <w:rPr>
          <w:rFonts w:ascii="Amiri" w:hAnsi="Amiri" w:eastAsia="Amiri" w:cs="Amiri"/>
          <w:lang w:bidi="ar-SA"/>
          <w:color w:val="111111"/>
          <w:sz w:val="28"/>
          <w:szCs w:val="28"/>
          <w:rtl/>
        </w:rPr>
        <w:t xml:space="preserve">عبد الواحد بن عبد المنعم النزيلي- نزيلي</w:t>
      </w:r>
    </w:p>
    <w:p>
      <w:pPr>
        <w:pStyle w:val="BookText"/>
      </w:pPr>
      <w:r>
        <w:rPr>
          <w:rFonts w:ascii="IRNazanin" w:hAnsi="IRNazanin" w:eastAsia="IRNazanin" w:cs="IRNazanin"/>
          <w:lang w:bidi="fa-IR"/>
          <w:color w:val="111111"/>
          <w:sz w:val="28"/>
          <w:szCs w:val="28"/>
          <w:rtl/>
        </w:rPr>
        <w:t xml:space="preserve">عبد الواحد بن عبد المنعم</w:t>
      </w:r>
    </w:p>
    <w:p>
      <w:pPr>
        <w:pStyle w:val="BookText"/>
      </w:pPr>
      <w:r>
        <w:rPr>
          <w:rFonts w:ascii="Amiri" w:hAnsi="Amiri" w:eastAsia="Amiri" w:cs="Amiri"/>
          <w:lang w:bidi="ar-SA"/>
          <w:color w:val="111111"/>
          <w:sz w:val="28"/>
          <w:szCs w:val="28"/>
          <w:rtl/>
        </w:rPr>
        <w:t xml:space="preserve">عبد الواحد بن قاسم بن عبدالله مغربي -مغربي ، عبدالواحد بن قاسم</w:t>
      </w:r>
    </w:p>
    <w:p>
      <w:pPr>
        <w:pStyle w:val="BookText"/>
      </w:pPr>
      <w:r>
        <w:rPr>
          <w:rFonts w:ascii="Amiri" w:hAnsi="Amiri" w:eastAsia="Amiri" w:cs="Amiri"/>
          <w:lang w:bidi="ar-SA"/>
          <w:color w:val="111111"/>
          <w:sz w:val="28"/>
          <w:szCs w:val="28"/>
          <w:rtl/>
        </w:rPr>
        <w:t xml:space="preserve">عبد الواحد بن محمّد الغافقي الباهلي- باهلي ، عبد الواحد بن محمّد</w:t>
      </w:r>
    </w:p>
    <w:p>
      <w:pPr>
        <w:pStyle w:val="BookText"/>
      </w:pPr>
      <w:r>
        <w:rPr>
          <w:rFonts w:ascii="IRNazanin" w:hAnsi="IRNazanin" w:eastAsia="IRNazanin" w:cs="IRNazanin"/>
          <w:lang w:bidi="fa-IR"/>
          <w:color w:val="111111"/>
          <w:sz w:val="28"/>
          <w:szCs w:val="28"/>
          <w:rtl/>
        </w:rPr>
        <w:t xml:space="preserve">عبدالواحد بن محمّد بن دلاج -ابن دلاج ،</w:t>
      </w:r>
    </w:p>
    <w:p>
      <w:pPr>
        <w:pStyle w:val="BookText"/>
      </w:pPr>
      <w:r>
        <w:rPr>
          <w:rFonts w:ascii="IRNazanin" w:hAnsi="IRNazanin" w:eastAsia="IRNazanin" w:cs="IRNazanin"/>
          <w:lang w:bidi="fa-IR"/>
          <w:color w:val="111111"/>
          <w:sz w:val="28"/>
          <w:szCs w:val="28"/>
          <w:rtl/>
        </w:rPr>
        <w:t xml:space="preserve">عبد الواحد بن محمّد</w:t>
      </w:r>
    </w:p>
    <w:p>
      <w:pPr>
        <w:pStyle w:val="BookText"/>
      </w:pPr>
      <w:r>
        <w:rPr>
          <w:rFonts w:ascii="Amiri" w:hAnsi="Amiri" w:eastAsia="Amiri" w:cs="Amiri"/>
          <w:lang w:bidi="ar-SA"/>
          <w:color w:val="111111"/>
          <w:sz w:val="28"/>
          <w:szCs w:val="28"/>
          <w:rtl/>
        </w:rPr>
        <w:t xml:space="preserve">عبدالواحد بن محمّد تميمي آمدي- آمدي ، عبدالواحد بن محمّد</w:t>
      </w:r>
    </w:p>
    <w:p>
      <w:pPr>
        <w:pStyle w:val="BookText"/>
      </w:pPr>
      <w:r>
        <w:rPr>
          <w:rFonts w:ascii="Amiri" w:hAnsi="Amiri" w:eastAsia="Amiri" w:cs="Amiri"/>
          <w:lang w:bidi="ar-SA"/>
          <w:color w:val="111111"/>
          <w:sz w:val="28"/>
          <w:szCs w:val="28"/>
          <w:rtl/>
        </w:rPr>
        <w:t xml:space="preserve">عبد الواحد بن محمّد جوزجاني -جوزجاني ،</w:t>
      </w:r>
    </w:p>
    <w:p>
      <w:pPr>
        <w:pStyle w:val="BookText"/>
      </w:pPr>
      <w:r>
        <w:rPr>
          <w:rFonts w:ascii="IRNazanin" w:hAnsi="IRNazanin" w:eastAsia="IRNazanin" w:cs="IRNazanin"/>
          <w:lang w:bidi="fa-IR"/>
          <w:color w:val="111111"/>
          <w:sz w:val="28"/>
          <w:szCs w:val="28"/>
          <w:rtl/>
        </w:rPr>
        <w:t xml:space="preserve">عبد الواحد بن محمّد</w:t>
      </w:r>
    </w:p>
    <w:p>
      <w:pPr>
        <w:pStyle w:val="BookText"/>
      </w:pPr>
      <w:r>
        <w:rPr>
          <w:rFonts w:ascii="Amiri" w:hAnsi="Amiri" w:eastAsia="Amiri" w:cs="Amiri"/>
          <w:lang w:bidi="ar-SA"/>
          <w:color w:val="111111"/>
          <w:sz w:val="28"/>
          <w:szCs w:val="28"/>
          <w:rtl/>
        </w:rPr>
        <w:t xml:space="preserve">عبد الواحد بن محمّد مقدسي</w:t>
      </w:r>
    </w:p>
    <w:p>
      <w:pPr>
        <w:pStyle w:val="BookText"/>
      </w:pPr>
      <w:r>
        <w:rPr>
          <w:rFonts w:ascii="Amiri" w:hAnsi="Amiri" w:eastAsia="Amiri" w:cs="Amiri"/>
          <w:lang w:bidi="ar-SA"/>
          <w:color w:val="111111"/>
          <w:sz w:val="28"/>
          <w:szCs w:val="28"/>
          <w:rtl/>
        </w:rPr>
        <w:t xml:space="preserve">شيرازي - ابوالفرج شيرازي ، عبد الواحد بن</w:t>
      </w:r>
    </w:p>
    <w:p>
      <w:pPr>
        <w:pStyle w:val="BookText"/>
      </w:pPr>
      <w:r>
        <w:rPr>
          <w:rFonts w:ascii="Amiri" w:hAnsi="Amiri" w:eastAsia="Amiri" w:cs="Amiri"/>
          <w:lang w:bidi="ar-SA"/>
          <w:color w:val="111111"/>
          <w:sz w:val="28"/>
          <w:szCs w:val="28"/>
          <w:rtl/>
        </w:rPr>
        <w:t xml:space="preserve">محمّد</w:t>
      </w:r>
    </w:p>
    <w:p>
      <w:pPr>
        <w:pStyle w:val="Heading2"/>
      </w:pPr>
      <w:bookmarkStart w:id="5857" w:name="_Toc4959"/>
      <w:r>
        <w:t>عبد الوهاب، قرن 11 ه-</w:t>
      </w:r>
      <w:bookmarkEnd w:id="5857"/>
    </w:p>
    <w:p>
      <w:pPr>
        <w:pStyle w:val="BookText"/>
      </w:pPr>
      <w:r>
        <w:rPr>
          <w:rFonts w:ascii="IRNazanin" w:hAnsi="IRNazanin" w:eastAsia="IRNazanin" w:cs="IRNazanin"/>
          <w:lang w:bidi="fa-IR"/>
          <w:color w:val="111111"/>
          <w:sz w:val="28"/>
          <w:szCs w:val="28"/>
          <w:rtl/>
        </w:rPr>
        <w:t xml:space="preserve">1 عقائد و ردود، ج 11، ص 154</w:t>
      </w:r>
    </w:p>
    <w:p>
      <w:pPr>
        <w:pStyle w:val="BookText"/>
      </w:pPr>
      <w:r>
        <w:rPr>
          <w:rFonts w:ascii="Amiri" w:hAnsi="Amiri" w:eastAsia="Amiri" w:cs="Amiri"/>
          <w:lang w:bidi="ar-SA"/>
          <w:color w:val="111111"/>
          <w:sz w:val="28"/>
          <w:szCs w:val="28"/>
          <w:rtl/>
        </w:rPr>
        <w:t xml:space="preserve">2 .مناظرة لبعض الفضلاء في الهند</w:t>
      </w:r>
    </w:p>
    <w:p>
      <w:pPr>
        <w:pStyle w:val="BookText"/>
      </w:pPr>
      <w:r>
        <w:rPr>
          <w:rFonts w:ascii="IRNazanin" w:hAnsi="IRNazanin" w:eastAsia="IRNazanin" w:cs="IRNazanin"/>
          <w:lang w:bidi="fa-IR"/>
          <w:color w:val="111111"/>
          <w:sz w:val="28"/>
          <w:szCs w:val="28"/>
          <w:rtl/>
        </w:rPr>
        <w:t xml:space="preserve">ج 15 ، ص 521.</w:t>
      </w:r>
    </w:p>
    <w:p>
      <w:pPr>
        <w:pStyle w:val="BookText"/>
      </w:pPr>
      <w:r>
        <w:rPr>
          <w:rFonts w:ascii="Amiri" w:hAnsi="Amiri" w:eastAsia="Amiri" w:cs="Amiri"/>
          <w:lang w:bidi="ar-SA"/>
          <w:color w:val="111111"/>
          <w:sz w:val="28"/>
          <w:szCs w:val="28"/>
          <w:rtl/>
        </w:rPr>
        <w:t xml:space="preserve">عبد الوهاب بغدادي مالكي- بغدادي</w:t>
      </w:r>
    </w:p>
    <w:p>
      <w:pPr>
        <w:pStyle w:val="BookText"/>
      </w:pPr>
      <w:r>
        <w:rPr>
          <w:rFonts w:ascii="IRNazanin" w:hAnsi="IRNazanin" w:eastAsia="IRNazanin" w:cs="IRNazanin"/>
          <w:lang w:bidi="fa-IR"/>
          <w:color w:val="111111"/>
          <w:sz w:val="28"/>
          <w:szCs w:val="28"/>
          <w:rtl/>
        </w:rPr>
        <w:t xml:space="preserve">عبد الوهاب</w:t>
      </w:r>
    </w:p>
    <w:p>
      <w:pPr>
        <w:pStyle w:val="BookText"/>
      </w:pPr>
      <w:r>
        <w:rPr>
          <w:rFonts w:ascii="Amiri" w:hAnsi="Amiri" w:eastAsia="Amiri" w:cs="Amiri"/>
          <w:lang w:bidi="ar-SA"/>
          <w:color w:val="111111"/>
          <w:sz w:val="28"/>
          <w:szCs w:val="28"/>
          <w:rtl/>
        </w:rPr>
        <w:t xml:space="preserve">عبد الوهاب بن ابراهيم حلبي عرضي -عرضي ، عبدالوهاب بن ابراهيم</w:t>
      </w:r>
    </w:p>
    <w:p>
      <w:pPr>
        <w:pStyle w:val="BookText"/>
      </w:pPr>
      <w:r>
        <w:rPr>
          <w:rFonts w:ascii="IRNazanin" w:hAnsi="IRNazanin" w:eastAsia="IRNazanin" w:cs="IRNazanin"/>
          <w:lang w:bidi="fa-IR"/>
          <w:color w:val="111111"/>
          <w:sz w:val="28"/>
          <w:szCs w:val="28"/>
          <w:rtl/>
        </w:rPr>
        <w:t xml:space="preserve">عبد الوهاب بن ابراهیم زنجاني -زنجاني ،</w:t>
      </w:r>
    </w:p>
    <w:p>
      <w:pPr>
        <w:pStyle w:val="BookText"/>
      </w:pPr>
      <w:r>
        <w:rPr>
          <w:rFonts w:ascii="Amiri" w:hAnsi="Amiri" w:eastAsia="Amiri" w:cs="Amiri"/>
          <w:lang w:bidi="ar-SA"/>
          <w:color w:val="111111"/>
          <w:sz w:val="28"/>
          <w:szCs w:val="28"/>
          <w:rtl/>
        </w:rPr>
        <w:t xml:space="preserve">عبد الوهاب بن ابراهيم</w:t>
      </w:r>
    </w:p>
    <w:p>
      <w:pPr>
        <w:pStyle w:val="BookText"/>
      </w:pPr>
      <w:r>
        <w:rPr>
          <w:rFonts w:ascii="Amiri" w:hAnsi="Amiri" w:eastAsia="Amiri" w:cs="Amiri"/>
          <w:lang w:bidi="ar-SA"/>
          <w:color w:val="111111"/>
          <w:sz w:val="28"/>
          <w:szCs w:val="28"/>
          <w:rtl/>
        </w:rPr>
        <w:t xml:space="preserve">عبد الوهاب بن ابراهيم شعراني مصري -شعراني ، عبدالوهاب بن احمد</w:t>
      </w:r>
    </w:p>
    <w:p>
      <w:pPr>
        <w:pStyle w:val="BookText"/>
      </w:pPr>
      <w:r>
        <w:rPr>
          <w:rFonts w:ascii="Amiri" w:hAnsi="Amiri" w:eastAsia="Amiri" w:cs="Amiri"/>
          <w:lang w:bidi="ar-SA"/>
          <w:color w:val="111111"/>
          <w:sz w:val="28"/>
          <w:szCs w:val="28"/>
          <w:rtl/>
        </w:rPr>
        <w:t xml:space="preserve">عبد الوهاب بن ابي بركات احمدي شافعي -احمدي ، عبدالوهاب بن ابي بركات</w:t>
      </w:r>
    </w:p>
    <w:p>
      <w:pPr>
        <w:pStyle w:val="BookText"/>
      </w:pPr>
      <w:r>
        <w:rPr>
          <w:rFonts w:ascii="Amiri" w:hAnsi="Amiri" w:eastAsia="Amiri" w:cs="Amiri"/>
          <w:lang w:bidi="ar-SA"/>
          <w:color w:val="111111"/>
          <w:sz w:val="28"/>
          <w:szCs w:val="28"/>
          <w:rtl/>
        </w:rPr>
        <w:t xml:space="preserve">عبدالوهاب بن احمد بن وهبان دمشقي -ابن وهبان ، عبدالوهاب بن احمد</w:t>
      </w:r>
    </w:p>
    <w:p>
      <w:pPr>
        <w:pStyle w:val="BookText"/>
      </w:pPr>
      <w:r>
        <w:rPr>
          <w:rFonts w:ascii="Amiri" w:hAnsi="Amiri" w:eastAsia="Amiri" w:cs="Amiri"/>
          <w:lang w:bidi="ar-SA"/>
          <w:color w:val="111111"/>
          <w:sz w:val="28"/>
          <w:szCs w:val="28"/>
          <w:rtl/>
        </w:rPr>
        <w:t xml:space="preserve">عبد الوهاب بن احمد شعراني - شعراني ،</w:t>
      </w:r>
    </w:p>
    <w:p>
      <w:pPr>
        <w:pStyle w:val="BookText"/>
      </w:pPr>
      <w:r>
        <w:rPr>
          <w:rFonts w:ascii="IRNazanin" w:hAnsi="IRNazanin" w:eastAsia="IRNazanin" w:cs="IRNazanin"/>
          <w:lang w:bidi="fa-IR"/>
          <w:color w:val="111111"/>
          <w:sz w:val="28"/>
          <w:szCs w:val="28"/>
          <w:rtl/>
        </w:rPr>
        <w:t xml:space="preserve">عبدالوهاب بن احمد</w:t>
      </w:r>
    </w:p>
    <w:p>
      <w:pPr>
        <w:pStyle w:val="BookText"/>
      </w:pPr>
      <w:r>
        <w:rPr>
          <w:rFonts w:ascii="Amiri" w:hAnsi="Amiri" w:eastAsia="Amiri" w:cs="Amiri"/>
          <w:lang w:bidi="ar-SA"/>
          <w:color w:val="111111"/>
          <w:sz w:val="28"/>
          <w:szCs w:val="28"/>
          <w:rtl/>
        </w:rPr>
        <w:t xml:space="preserve">عبد الوهاب بن احمد موسوي نقشبندي</w:t>
      </w:r>
    </w:p>
    <w:p>
      <w:pPr>
        <w:pStyle w:val="BookText"/>
      </w:pPr>
      <w:r>
        <w:rPr>
          <w:rFonts w:ascii="Amiri" w:hAnsi="Amiri" w:eastAsia="Amiri" w:cs="Amiri"/>
          <w:lang w:bidi="ar-SA"/>
          <w:color w:val="111111"/>
          <w:sz w:val="28"/>
          <w:szCs w:val="28"/>
          <w:rtl/>
        </w:rPr>
        <w:t xml:space="preserve">بغدادي -موسوي ، عبدالوهاب بن احمد</w:t>
      </w:r>
    </w:p>
    <w:p>
      <w:pPr>
        <w:pStyle w:val="Heading2"/>
      </w:pPr>
      <w:bookmarkStart w:id="5858" w:name="_Toc4960"/>
      <w:r>
        <w:t>عبد الوهاب بن تقي الدين - 771 ه-</w:t>
      </w:r>
      <w:bookmarkEnd w:id="5858"/>
    </w:p>
    <w:p>
      <w:pPr>
        <w:pStyle w:val="BookText"/>
      </w:pPr>
      <w:r>
        <w:rPr>
          <w:rFonts w:ascii="IRNazanin" w:hAnsi="IRNazanin" w:eastAsia="IRNazanin" w:cs="IRNazanin"/>
          <w:lang w:bidi="fa-IR"/>
          <w:color w:val="111111"/>
          <w:sz w:val="28"/>
          <w:szCs w:val="28"/>
          <w:rtl/>
        </w:rPr>
        <w:t xml:space="preserve">جمع الجوامع (مختصر)، ج 5، ص 437.</w:t>
      </w:r>
    </w:p>
    <w:p>
      <w:pPr>
        <w:pStyle w:val="BookText"/>
      </w:pPr>
      <w:r>
        <w:rPr>
          <w:rFonts w:ascii="Amiri" w:hAnsi="Amiri" w:eastAsia="Amiri" w:cs="Amiri"/>
          <w:lang w:bidi="ar-SA"/>
          <w:color w:val="111111"/>
          <w:sz w:val="28"/>
          <w:szCs w:val="28"/>
          <w:rtl/>
        </w:rPr>
        <w:t xml:space="preserve">عبد الوهاب بن حسين وراق بهنسي- وراق</w:t>
      </w:r>
    </w:p>
    <w:p>
      <w:pPr>
        <w:pStyle w:val="BookText"/>
      </w:pPr>
      <w:r>
        <w:rPr>
          <w:rFonts w:ascii="Amiri" w:hAnsi="Amiri" w:eastAsia="Amiri" w:cs="Amiri"/>
          <w:lang w:bidi="ar-SA"/>
          <w:color w:val="111111"/>
          <w:sz w:val="28"/>
          <w:szCs w:val="28"/>
          <w:rtl/>
        </w:rPr>
        <w:t xml:space="preserve">، عبدالوهاب بن حسين</w:t>
      </w:r>
    </w:p>
    <w:p>
      <w:pPr>
        <w:pStyle w:val="BookText"/>
      </w:pPr>
      <w:r>
        <w:rPr>
          <w:rFonts w:ascii="Amiri" w:hAnsi="Amiri" w:eastAsia="Amiri" w:cs="Amiri"/>
          <w:lang w:bidi="ar-SA"/>
          <w:color w:val="111111"/>
          <w:sz w:val="28"/>
          <w:szCs w:val="28"/>
          <w:rtl/>
        </w:rPr>
        <w:t xml:space="preserve">عبد الوهاب بن طاهر بن علي حسيني استرآبادي- حسيني استرآبادي ، عبدالوهاب</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عبد الوهاب بن عبدالرزاق الحسيني البغدادي - حسيني بغدادي ، عبدالوهاب بن</w:t>
      </w:r>
    </w:p>
    <w:p>
      <w:pPr>
        <w:pStyle w:val="BookText"/>
      </w:pPr>
      <w:r>
        <w:rPr>
          <w:rFonts w:ascii="IRNazanin" w:hAnsi="IRNazanin" w:eastAsia="IRNazanin" w:cs="IRNazanin"/>
          <w:lang w:bidi="fa-IR"/>
          <w:color w:val="111111"/>
          <w:sz w:val="28"/>
          <w:szCs w:val="28"/>
          <w:rtl/>
        </w:rPr>
        <w:t xml:space="preserve">عبدالرزاق</w:t>
      </w:r>
    </w:p>
    <w:p>
      <w:pPr>
        <w:pStyle w:val="BookText"/>
      </w:pPr>
      <w:r>
        <w:rPr>
          <w:rFonts w:ascii="Amiri" w:hAnsi="Amiri" w:eastAsia="Amiri" w:cs="Amiri"/>
          <w:lang w:bidi="ar-SA"/>
          <w:color w:val="111111"/>
          <w:sz w:val="28"/>
          <w:szCs w:val="28"/>
          <w:rtl/>
        </w:rPr>
        <w:t xml:space="preserve">عبد الوهاب بن عبدالفتاح البغدادي</w:t>
      </w:r>
    </w:p>
    <w:p>
      <w:pPr>
        <w:pStyle w:val="BookText"/>
      </w:pPr>
      <w:r>
        <w:rPr>
          <w:rFonts w:ascii="Amiri" w:hAnsi="Amiri" w:eastAsia="Amiri" w:cs="Amiri"/>
          <w:lang w:bidi="ar-SA"/>
          <w:color w:val="111111"/>
          <w:sz w:val="28"/>
          <w:szCs w:val="28"/>
          <w:rtl/>
        </w:rPr>
        <w:t xml:space="preserve">الحجاوي- حجاوي ، عبدالوهاب بن</w:t>
      </w:r>
    </w:p>
    <w:p>
      <w:pPr>
        <w:pStyle w:val="BookText"/>
      </w:pPr>
      <w:r>
        <w:rPr>
          <w:rFonts w:ascii="IRNazanin" w:hAnsi="IRNazanin" w:eastAsia="IRNazanin" w:cs="IRNazanin"/>
          <w:lang w:bidi="fa-IR"/>
          <w:color w:val="111111"/>
          <w:sz w:val="28"/>
          <w:szCs w:val="28"/>
          <w:rtl/>
        </w:rPr>
        <w:t xml:space="preserve">عبد الفتاح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59" w:name="pg7742_70760"/>
    <w:bookmarkEnd w:id="759"/>
    <w:p>
      <w:pPr>
        <w:pStyle w:val="BookText"/>
      </w:pPr>
      <w:r>
        <w:rPr>
          <w:rFonts w:ascii="Amiri" w:hAnsi="Amiri" w:eastAsia="Amiri" w:cs="Amiri"/>
          <w:lang w:bidi="ar-SA"/>
          <w:color w:val="111111"/>
          <w:sz w:val="28"/>
          <w:szCs w:val="28"/>
          <w:rtl/>
        </w:rPr>
        <w:t xml:space="preserve">عبد الوهاب بن عبد القادر العبيدي النائب- نائب ، عبد الوهاب بن عبد القادر</w:t>
      </w:r>
    </w:p>
    <w:p>
      <w:pPr>
        <w:pStyle w:val="BookText"/>
      </w:pPr>
      <w:r>
        <w:rPr>
          <w:rFonts w:ascii="Amiri" w:hAnsi="Amiri" w:eastAsia="Amiri" w:cs="Amiri"/>
          <w:lang w:bidi="ar-SA"/>
          <w:color w:val="111111"/>
          <w:sz w:val="28"/>
          <w:szCs w:val="28"/>
          <w:rtl/>
        </w:rPr>
        <w:t xml:space="preserve">عبد الوهاب بن عبد الله عمري -عمري ،</w:t>
      </w:r>
    </w:p>
    <w:p>
      <w:pPr>
        <w:pStyle w:val="BookText"/>
      </w:pPr>
      <w:r>
        <w:rPr>
          <w:rFonts w:ascii="IRNazanin" w:hAnsi="IRNazanin" w:eastAsia="IRNazanin" w:cs="IRNazanin"/>
          <w:lang w:bidi="fa-IR"/>
          <w:color w:val="111111"/>
          <w:sz w:val="28"/>
          <w:szCs w:val="28"/>
          <w:rtl/>
        </w:rPr>
        <w:t xml:space="preserve">عبد الوهاب بن عبدالله</w:t>
      </w:r>
    </w:p>
    <w:p>
      <w:pPr>
        <w:pStyle w:val="BookText"/>
      </w:pPr>
      <w:r>
        <w:rPr>
          <w:rFonts w:ascii="Amiri" w:hAnsi="Amiri" w:eastAsia="Amiri" w:cs="Amiri"/>
          <w:lang w:bidi="ar-SA"/>
          <w:color w:val="111111"/>
          <w:sz w:val="28"/>
          <w:szCs w:val="28"/>
          <w:rtl/>
        </w:rPr>
        <w:t xml:space="preserve">عبد الوهاب بن عبد الواحد حنبيطي -حنبيطي ، عبدالوهاب بن عبدالواحد</w:t>
      </w:r>
    </w:p>
    <w:p>
      <w:pPr>
        <w:pStyle w:val="BookText"/>
      </w:pPr>
      <w:r>
        <w:rPr>
          <w:rFonts w:ascii="Amiri" w:hAnsi="Amiri" w:eastAsia="Amiri" w:cs="Amiri"/>
          <w:lang w:bidi="ar-SA"/>
          <w:color w:val="111111"/>
          <w:sz w:val="28"/>
          <w:szCs w:val="28"/>
          <w:rtl/>
        </w:rPr>
        <w:t xml:space="preserve">عبد الوهاب بن علي حسيني استرآبادي -حسيني استرآبادي ، عبدالوهاب بن علي</w:t>
      </w:r>
    </w:p>
    <w:p>
      <w:pPr>
        <w:pStyle w:val="BookText"/>
      </w:pPr>
      <w:r>
        <w:rPr>
          <w:rFonts w:ascii="Amiri" w:hAnsi="Amiri" w:eastAsia="Amiri" w:cs="Amiri"/>
          <w:lang w:bidi="ar-SA"/>
          <w:color w:val="111111"/>
          <w:sz w:val="28"/>
          <w:szCs w:val="28"/>
          <w:rtl/>
        </w:rPr>
        <w:t xml:space="preserve">عبد الوهاب بن علي سبكي انصاري -سبكي</w:t>
      </w:r>
    </w:p>
    <w:p>
      <w:pPr>
        <w:pStyle w:val="BookText"/>
      </w:pPr>
      <w:r>
        <w:rPr>
          <w:rFonts w:ascii="Amiri" w:hAnsi="Amiri" w:eastAsia="Amiri" w:cs="Amiri"/>
          <w:lang w:bidi="ar-SA"/>
          <w:color w:val="111111"/>
          <w:sz w:val="28"/>
          <w:szCs w:val="28"/>
          <w:rtl/>
        </w:rPr>
        <w:t xml:space="preserve">، عبدالوهاب بن علي</w:t>
      </w:r>
    </w:p>
    <w:p>
      <w:pPr>
        <w:pStyle w:val="BookText"/>
      </w:pPr>
      <w:r>
        <w:rPr>
          <w:rFonts w:ascii="IRNazanin" w:hAnsi="IRNazanin" w:eastAsia="IRNazanin" w:cs="IRNazanin"/>
          <w:lang w:bidi="fa-IR"/>
          <w:color w:val="111111"/>
          <w:sz w:val="28"/>
          <w:szCs w:val="28"/>
          <w:rtl/>
        </w:rPr>
        <w:t xml:space="preserve">عبد الوهاب بن محمّد رحیم نشاط</w:t>
      </w:r>
    </w:p>
    <w:p>
      <w:pPr>
        <w:pStyle w:val="BookText"/>
      </w:pPr>
      <w:r>
        <w:rPr>
          <w:rFonts w:ascii="Amiri" w:hAnsi="Amiri" w:eastAsia="Amiri" w:cs="Amiri"/>
          <w:lang w:bidi="ar-SA"/>
          <w:color w:val="111111"/>
          <w:sz w:val="28"/>
          <w:szCs w:val="28"/>
          <w:rtl/>
        </w:rPr>
        <w:t xml:space="preserve">اصفهاني- نشاط اصفهاني ، عبدالوهاب بن</w:t>
      </w:r>
    </w:p>
    <w:p>
      <w:pPr>
        <w:pStyle w:val="BookText"/>
      </w:pPr>
      <w:r>
        <w:rPr>
          <w:rFonts w:ascii="Amiri" w:hAnsi="Amiri" w:eastAsia="Amiri" w:cs="Amiri"/>
          <w:lang w:bidi="ar-SA"/>
          <w:color w:val="111111"/>
          <w:sz w:val="28"/>
          <w:szCs w:val="28"/>
          <w:rtl/>
        </w:rPr>
        <w:t xml:space="preserve">محمّد رحیم</w:t>
      </w:r>
    </w:p>
    <w:p>
      <w:pPr>
        <w:pStyle w:val="BookText"/>
      </w:pPr>
      <w:r>
        <w:rPr>
          <w:rFonts w:ascii="Amiri" w:hAnsi="Amiri" w:eastAsia="Amiri" w:cs="Amiri"/>
          <w:lang w:bidi="ar-SA"/>
          <w:color w:val="111111"/>
          <w:sz w:val="28"/>
          <w:szCs w:val="28"/>
          <w:rtl/>
        </w:rPr>
        <w:t xml:space="preserve">عبد الوهاب بن محمّد علي</w:t>
      </w:r>
    </w:p>
    <w:p>
      <w:pPr>
        <w:pStyle w:val="BookText"/>
      </w:pPr>
      <w:r>
        <w:rPr>
          <w:rFonts w:ascii="Amiri" w:hAnsi="Amiri" w:eastAsia="Amiri" w:cs="Amiri"/>
          <w:lang w:bidi="ar-SA"/>
          <w:color w:val="111111"/>
          <w:sz w:val="28"/>
          <w:szCs w:val="28"/>
          <w:rtl/>
        </w:rPr>
        <w:t xml:space="preserve">قزويني -قزويني ، عبدالوهاب بن محمد علي</w:t>
      </w:r>
    </w:p>
    <w:p>
      <w:pPr>
        <w:pStyle w:val="BookText"/>
      </w:pPr>
      <w:r>
        <w:rPr>
          <w:rFonts w:ascii="Amiri" w:hAnsi="Amiri" w:eastAsia="Amiri" w:cs="Amiri"/>
          <w:lang w:bidi="ar-SA"/>
          <w:color w:val="111111"/>
          <w:sz w:val="28"/>
          <w:szCs w:val="28"/>
          <w:rtl/>
        </w:rPr>
        <w:t xml:space="preserve">عبدالوهاب بن يوسف بنواني -كردي</w:t>
      </w:r>
    </w:p>
    <w:p>
      <w:pPr>
        <w:pStyle w:val="BookText"/>
      </w:pPr>
      <w:r>
        <w:rPr>
          <w:rFonts w:ascii="Amiri" w:hAnsi="Amiri" w:eastAsia="Amiri" w:cs="Amiri"/>
          <w:lang w:bidi="ar-SA"/>
          <w:color w:val="111111"/>
          <w:sz w:val="28"/>
          <w:szCs w:val="28"/>
          <w:rtl/>
        </w:rPr>
        <w:t xml:space="preserve">عبد الوهاب بن يوسف</w:t>
      </w:r>
    </w:p>
    <w:p>
      <w:pPr>
        <w:pStyle w:val="BookText"/>
      </w:pPr>
      <w:r>
        <w:rPr>
          <w:rFonts w:ascii="Amiri" w:hAnsi="Amiri" w:eastAsia="Amiri" w:cs="Amiri"/>
          <w:lang w:bidi="ar-SA"/>
          <w:color w:val="111111"/>
          <w:sz w:val="28"/>
          <w:szCs w:val="28"/>
          <w:rtl/>
        </w:rPr>
        <w:t xml:space="preserve">عبد الوهاب شيرازي- شيرازي ، عبدالوهاب</w:t>
      </w:r>
    </w:p>
    <w:p>
      <w:pPr>
        <w:pStyle w:val="BookText"/>
      </w:pPr>
      <w:r>
        <w:rPr>
          <w:rFonts w:ascii="Amiri" w:hAnsi="Amiri" w:eastAsia="Amiri" w:cs="Amiri"/>
          <w:lang w:bidi="ar-SA"/>
          <w:color w:val="111111"/>
          <w:sz w:val="28"/>
          <w:szCs w:val="28"/>
          <w:rtl/>
        </w:rPr>
        <w:t xml:space="preserve">عبد الوهاب عمري- عمري ، عبد الوهاب</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عبد الوهاب نيازي -حسيني بغدادي ،</w:t>
      </w:r>
    </w:p>
    <w:p>
      <w:pPr>
        <w:pStyle w:val="BookText"/>
      </w:pPr>
      <w:r>
        <w:rPr>
          <w:rFonts w:ascii="IRNazanin" w:hAnsi="IRNazanin" w:eastAsia="IRNazanin" w:cs="IRNazanin"/>
          <w:lang w:bidi="fa-IR"/>
          <w:color w:val="111111"/>
          <w:sz w:val="28"/>
          <w:szCs w:val="28"/>
          <w:rtl/>
        </w:rPr>
        <w:t xml:space="preserve">عبد الوهاب بن عبدالرزاق</w:t>
      </w:r>
    </w:p>
    <w:p>
      <w:pPr>
        <w:pStyle w:val="BookText"/>
      </w:pPr>
      <w:r>
        <w:rPr>
          <w:rFonts w:ascii="Amiri" w:hAnsi="Amiri" w:eastAsia="Amiri" w:cs="Amiri"/>
          <w:lang w:bidi="ar-SA"/>
          <w:color w:val="111111"/>
          <w:sz w:val="28"/>
          <w:szCs w:val="28"/>
          <w:rtl/>
        </w:rPr>
        <w:t xml:space="preserve">عبد الهادي ابياري - ابياري ، عبدالهادي بن</w:t>
      </w:r>
    </w:p>
    <w:p>
      <w:pPr>
        <w:pStyle w:val="BookText"/>
      </w:pPr>
      <w:r>
        <w:rPr>
          <w:rFonts w:ascii="IRNazanin" w:hAnsi="IRNazanin" w:eastAsia="IRNazanin" w:cs="IRNazanin"/>
          <w:lang w:bidi="fa-IR"/>
          <w:color w:val="111111"/>
          <w:sz w:val="28"/>
          <w:szCs w:val="28"/>
          <w:rtl/>
        </w:rPr>
        <w:t xml:space="preserve">رضوان</w:t>
      </w:r>
    </w:p>
    <w:p>
      <w:pPr>
        <w:pStyle w:val="BookText"/>
      </w:pPr>
      <w:r>
        <w:rPr>
          <w:rFonts w:ascii="Amiri" w:hAnsi="Amiri" w:eastAsia="Amiri" w:cs="Amiri"/>
          <w:lang w:bidi="ar-SA"/>
          <w:color w:val="111111"/>
          <w:sz w:val="28"/>
          <w:szCs w:val="28"/>
          <w:rtl/>
        </w:rPr>
        <w:t xml:space="preserve">عبدالهادي بغدادي نجفي -بغدادي نجفي ، عبدالهادي</w:t>
      </w:r>
    </w:p>
    <w:p>
      <w:pPr>
        <w:pStyle w:val="BookText"/>
      </w:pPr>
      <w:r>
        <w:rPr>
          <w:rFonts w:ascii="Amiri" w:hAnsi="Amiri" w:eastAsia="Amiri" w:cs="Amiri"/>
          <w:lang w:bidi="ar-SA"/>
          <w:color w:val="111111"/>
          <w:sz w:val="28"/>
          <w:szCs w:val="28"/>
          <w:rtl/>
        </w:rPr>
        <w:t xml:space="preserve">عبد الهادي بن جواد بن شليلة- ابن شليلة</w:t>
      </w:r>
    </w:p>
    <w:p>
      <w:pPr>
        <w:pStyle w:val="BookText"/>
      </w:pPr>
      <w:r>
        <w:rPr>
          <w:rFonts w:ascii="Amiri" w:hAnsi="Amiri" w:eastAsia="Amiri" w:cs="Amiri"/>
          <w:lang w:bidi="ar-SA"/>
          <w:color w:val="111111"/>
          <w:sz w:val="28"/>
          <w:szCs w:val="28"/>
          <w:rtl/>
        </w:rPr>
        <w:t xml:space="preserve">، عبدالهادي بن جواد</w:t>
      </w:r>
    </w:p>
    <w:p>
      <w:pPr>
        <w:pStyle w:val="BookText"/>
      </w:pPr>
      <w:r>
        <w:rPr>
          <w:rFonts w:ascii="Amiri" w:hAnsi="Amiri" w:eastAsia="Amiri" w:cs="Amiri"/>
          <w:lang w:bidi="ar-SA"/>
          <w:color w:val="111111"/>
          <w:sz w:val="28"/>
          <w:szCs w:val="28"/>
          <w:rtl/>
        </w:rPr>
        <w:t xml:space="preserve">عبد الهادي بن رضوان ابياري - ابياري</w:t>
      </w:r>
    </w:p>
    <w:p>
      <w:pPr>
        <w:pStyle w:val="BookText"/>
      </w:pPr>
      <w:r>
        <w:rPr>
          <w:rFonts w:ascii="Amiri" w:hAnsi="Amiri" w:eastAsia="Amiri" w:cs="Amiri"/>
          <w:lang w:bidi="ar-SA"/>
          <w:color w:val="111111"/>
          <w:sz w:val="28"/>
          <w:szCs w:val="28"/>
          <w:rtl/>
        </w:rPr>
        <w:t xml:space="preserve">، عبدالهادي بن كاظم</w:t>
      </w:r>
    </w:p>
    <w:p>
      <w:pPr>
        <w:pStyle w:val="BookText"/>
      </w:pPr>
      <w:r>
        <w:rPr>
          <w:rFonts w:ascii="Amiri" w:hAnsi="Amiri" w:eastAsia="Amiri" w:cs="Amiri"/>
          <w:lang w:bidi="ar-SA"/>
          <w:color w:val="111111"/>
          <w:sz w:val="28"/>
          <w:szCs w:val="28"/>
          <w:rtl/>
        </w:rPr>
        <w:t xml:space="preserve">عبد الهادي شليله همداني -شليله همداني عبدالهادي بن رضوان</w:t>
      </w:r>
    </w:p>
    <w:p>
      <w:pPr>
        <w:pStyle w:val="BookText"/>
      </w:pPr>
      <w:r>
        <w:rPr>
          <w:rFonts w:ascii="Amiri" w:hAnsi="Amiri" w:eastAsia="Amiri" w:cs="Amiri"/>
          <w:lang w:bidi="ar-SA"/>
          <w:color w:val="111111"/>
          <w:sz w:val="28"/>
          <w:szCs w:val="28"/>
          <w:rtl/>
        </w:rPr>
        <w:t xml:space="preserve">عبد الهاشم بن زين العابدين- كافي ملكي ،</w:t>
      </w:r>
    </w:p>
    <w:p>
      <w:pPr>
        <w:pStyle w:val="BookText"/>
      </w:pPr>
      <w:r>
        <w:rPr>
          <w:rFonts w:ascii="Amiri" w:hAnsi="Amiri" w:eastAsia="Amiri" w:cs="Amiri"/>
          <w:lang w:bidi="ar-SA"/>
          <w:color w:val="111111"/>
          <w:sz w:val="28"/>
          <w:szCs w:val="28"/>
          <w:rtl/>
        </w:rPr>
        <w:t xml:space="preserve">عبدالهاشم بن زين العابدين</w:t>
      </w:r>
    </w:p>
    <w:p>
      <w:pPr>
        <w:pStyle w:val="BookText"/>
      </w:pPr>
      <w:r>
        <w:rPr>
          <w:rFonts w:ascii="Amiri" w:hAnsi="Amiri" w:eastAsia="Amiri" w:cs="Amiri"/>
          <w:lang w:bidi="ar-SA"/>
          <w:color w:val="111111"/>
          <w:sz w:val="28"/>
          <w:szCs w:val="28"/>
          <w:rtl/>
        </w:rPr>
        <w:t xml:space="preserve">عبد بن احمد بن سماك خراساني- ابوذر</w:t>
      </w:r>
    </w:p>
    <w:p>
      <w:pPr>
        <w:pStyle w:val="BookText"/>
      </w:pPr>
      <w:r>
        <w:rPr>
          <w:rFonts w:ascii="Amiri" w:hAnsi="Amiri" w:eastAsia="Amiri" w:cs="Amiri"/>
          <w:lang w:bidi="ar-SA"/>
          <w:color w:val="111111"/>
          <w:sz w:val="28"/>
          <w:szCs w:val="28"/>
          <w:rtl/>
        </w:rPr>
        <w:t xml:space="preserve">هروي، عبد بن احمد</w:t>
      </w:r>
    </w:p>
    <w:p>
      <w:pPr>
        <w:pStyle w:val="BookText"/>
      </w:pPr>
      <w:r>
        <w:rPr>
          <w:rFonts w:ascii="Amiri" w:hAnsi="Amiri" w:eastAsia="Amiri" w:cs="Amiri"/>
          <w:lang w:bidi="ar-SA"/>
          <w:color w:val="111111"/>
          <w:sz w:val="28"/>
          <w:szCs w:val="28"/>
          <w:rtl/>
        </w:rPr>
        <w:t xml:space="preserve">عبد بن محمّد رضا حسني- حسني ، عبد</w:t>
      </w:r>
    </w:p>
    <w:p>
      <w:pPr>
        <w:pStyle w:val="BookText"/>
      </w:pPr>
      <w:r>
        <w:rPr>
          <w:rFonts w:ascii="Amiri" w:hAnsi="Amiri" w:eastAsia="Amiri" w:cs="Amiri"/>
          <w:lang w:bidi="ar-SA"/>
          <w:color w:val="111111"/>
          <w:sz w:val="28"/>
          <w:szCs w:val="28"/>
          <w:rtl/>
        </w:rPr>
        <w:t xml:space="preserve">بن محمّد رضا</w:t>
      </w:r>
    </w:p>
    <w:p>
      <w:pPr>
        <w:pStyle w:val="BookText"/>
      </w:pPr>
      <w:r>
        <w:rPr>
          <w:rFonts w:ascii="Amiri" w:hAnsi="Amiri" w:eastAsia="Amiri" w:cs="Amiri"/>
          <w:lang w:bidi="ar-SA"/>
          <w:color w:val="111111"/>
          <w:sz w:val="28"/>
          <w:szCs w:val="28"/>
          <w:rtl/>
        </w:rPr>
        <w:t xml:space="preserve">عبد بني الحسحاس ، سحيم -سحيم</w:t>
      </w:r>
    </w:p>
    <w:p>
      <w:pPr>
        <w:pStyle w:val="Heading2"/>
      </w:pPr>
      <w:bookmarkStart w:id="5859" w:name="_Toc4961"/>
      <w:r>
        <w:t>عبدري ، احمد بن علي - 678 ه-</w:t>
      </w:r>
      <w:bookmarkEnd w:id="5859"/>
    </w:p>
    <w:p>
      <w:pPr>
        <w:pStyle w:val="BookText"/>
      </w:pPr>
      <w:r>
        <w:rPr>
          <w:rFonts w:ascii="Amiri" w:hAnsi="Amiri" w:eastAsia="Amiri" w:cs="Amiri"/>
          <w:lang w:bidi="ar-SA"/>
          <w:color w:val="111111"/>
          <w:sz w:val="28"/>
          <w:szCs w:val="28"/>
          <w:rtl/>
        </w:rPr>
        <w:t xml:space="preserve">بهجة المهج في بعض فضائل الطائف و</w:t>
      </w:r>
    </w:p>
    <w:p>
      <w:pPr>
        <w:pStyle w:val="BookText"/>
      </w:pPr>
      <w:r>
        <w:rPr>
          <w:rFonts w:ascii="IRNazanin" w:hAnsi="IRNazanin" w:eastAsia="IRNazanin" w:cs="IRNazanin"/>
          <w:lang w:bidi="fa-IR"/>
          <w:color w:val="111111"/>
          <w:sz w:val="28"/>
          <w:szCs w:val="28"/>
          <w:rtl/>
        </w:rPr>
        <w:t xml:space="preserve">وج، ج 3، ص 439.</w:t>
      </w:r>
    </w:p>
    <w:p>
      <w:pPr>
        <w:pStyle w:val="Heading2"/>
      </w:pPr>
      <w:bookmarkStart w:id="5860" w:name="_Toc4962"/>
      <w:r>
        <w:t>العبد ، شمس</w:t>
      </w:r>
      <w:bookmarkEnd w:id="5860"/>
    </w:p>
    <w:p>
      <w:pPr>
        <w:pStyle w:val="BookText"/>
      </w:pPr>
      <w:r>
        <w:rPr>
          <w:rFonts w:ascii="Amiri" w:hAnsi="Amiri" w:eastAsia="Amiri" w:cs="Amiri"/>
          <w:lang w:bidi="ar-SA"/>
          <w:color w:val="111111"/>
          <w:sz w:val="28"/>
          <w:szCs w:val="28"/>
          <w:rtl/>
        </w:rPr>
        <w:t xml:space="preserve">المناقب لبني هاشم و مثالب ج 15</w:t>
      </w:r>
    </w:p>
    <w:p>
      <w:pPr>
        <w:pStyle w:val="BookText"/>
      </w:pPr>
      <w:r>
        <w:rPr>
          <w:rFonts w:ascii="IRNazanin" w:hAnsi="IRNazanin" w:eastAsia="IRNazanin" w:cs="IRNazanin"/>
          <w:lang w:bidi="fa-IR"/>
          <w:color w:val="111111"/>
          <w:sz w:val="28"/>
          <w:szCs w:val="28"/>
          <w:rtl/>
        </w:rPr>
        <w:t xml:space="preserve">ص 553 .</w:t>
      </w:r>
    </w:p>
    <w:p>
      <w:pPr>
        <w:pStyle w:val="Heading2"/>
      </w:pPr>
      <w:bookmarkStart w:id="5861" w:name="_Toc4963"/>
      <w:r>
        <w:t>عبد عباس بیمقدار محمّد قرن 13 ه-</w:t>
      </w:r>
      <w:bookmarkEnd w:id="5861"/>
    </w:p>
    <w:p>
      <w:pPr>
        <w:pStyle w:val="BookText"/>
      </w:pPr>
      <w:r>
        <w:rPr>
          <w:rFonts w:ascii="Amiri" w:hAnsi="Amiri" w:eastAsia="Amiri" w:cs="Amiri"/>
          <w:lang w:bidi="ar-SA"/>
          <w:color w:val="111111"/>
          <w:sz w:val="28"/>
          <w:szCs w:val="28"/>
          <w:rtl/>
        </w:rPr>
        <w:t xml:space="preserve">ايساغوجي (ترجمه)، ج 3، ص 104.</w:t>
      </w:r>
    </w:p>
    <w:p>
      <w:pPr>
        <w:pStyle w:val="BookText"/>
      </w:pPr>
      <w:r>
        <w:rPr>
          <w:rFonts w:ascii="Amiri" w:hAnsi="Amiri" w:eastAsia="Amiri" w:cs="Amiri"/>
          <w:lang w:bidi="ar-SA"/>
          <w:color w:val="111111"/>
          <w:sz w:val="28"/>
          <w:szCs w:val="28"/>
          <w:rtl/>
        </w:rPr>
        <w:t xml:space="preserve">عبد علي بن احمد درازي بحراني- درازي</w:t>
      </w:r>
    </w:p>
    <w:p>
      <w:pPr>
        <w:pStyle w:val="BookText"/>
      </w:pPr>
      <w:r>
        <w:rPr>
          <w:rFonts w:ascii="Amiri" w:hAnsi="Amiri" w:eastAsia="Amiri" w:cs="Amiri"/>
          <w:lang w:bidi="ar-SA"/>
          <w:color w:val="111111"/>
          <w:sz w:val="28"/>
          <w:szCs w:val="28"/>
          <w:rtl/>
        </w:rPr>
        <w:t xml:space="preserve">بحراني ، عبد علي بن احمد</w:t>
      </w:r>
    </w:p>
    <w:p>
      <w:pPr>
        <w:pStyle w:val="BookText"/>
      </w:pPr>
      <w:r>
        <w:rPr>
          <w:rFonts w:ascii="Amiri" w:hAnsi="Amiri" w:eastAsia="Amiri" w:cs="Amiri"/>
          <w:lang w:bidi="ar-SA"/>
          <w:color w:val="111111"/>
          <w:sz w:val="28"/>
          <w:szCs w:val="28"/>
          <w:rtl/>
        </w:rPr>
        <w:t xml:space="preserve">عبد علي بن جمعه عروسي</w:t>
      </w:r>
    </w:p>
    <w:p>
      <w:pPr>
        <w:pStyle w:val="BookText"/>
      </w:pPr>
      <w:r>
        <w:rPr>
          <w:rFonts w:ascii="Amiri" w:hAnsi="Amiri" w:eastAsia="Amiri" w:cs="Amiri"/>
          <w:lang w:bidi="ar-SA"/>
          <w:color w:val="111111"/>
          <w:sz w:val="28"/>
          <w:szCs w:val="28"/>
          <w:rtl/>
        </w:rPr>
        <w:t xml:space="preserve">حويزي- حويزي ، عبد علي بن جمعه</w:t>
      </w:r>
    </w:p>
    <w:p>
      <w:pPr>
        <w:pStyle w:val="BookText"/>
      </w:pPr>
      <w:r>
        <w:rPr>
          <w:rFonts w:ascii="Amiri" w:hAnsi="Amiri" w:eastAsia="Amiri" w:cs="Amiri"/>
          <w:lang w:bidi="ar-SA"/>
          <w:color w:val="111111"/>
          <w:sz w:val="28"/>
          <w:szCs w:val="28"/>
          <w:rtl/>
        </w:rPr>
        <w:t xml:space="preserve">عبد علي بن محمّد بحراني- بحراني ، عبد</w:t>
      </w:r>
    </w:p>
    <w:p>
      <w:pPr>
        <w:pStyle w:val="BookText"/>
      </w:pPr>
      <w:r>
        <w:rPr>
          <w:rFonts w:ascii="Amiri" w:hAnsi="Amiri" w:eastAsia="Amiri" w:cs="Amiri"/>
          <w:lang w:bidi="ar-SA"/>
          <w:color w:val="111111"/>
          <w:sz w:val="28"/>
          <w:szCs w:val="28"/>
          <w:rtl/>
        </w:rPr>
        <w:t xml:space="preserve">علي بن محمّد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60" w:name="pg7742_70763"/>
    <w:bookmarkEnd w:id="760"/>
    <w:p>
      <w:pPr>
        <w:pStyle w:val="Heading2"/>
      </w:pPr>
      <w:bookmarkStart w:id="5862" w:name="_Toc4964"/>
      <w:r>
        <w:t>عبدلاني ، حسن بن ،رسول قرن 14 ه-</w:t>
      </w:r>
      <w:bookmarkEnd w:id="5862"/>
    </w:p>
    <w:p>
      <w:pPr>
        <w:pStyle w:val="BookText"/>
      </w:pPr>
      <w:r>
        <w:rPr>
          <w:rFonts w:ascii="Amiri" w:hAnsi="Amiri" w:eastAsia="Amiri" w:cs="Amiri"/>
          <w:lang w:bidi="ar-SA"/>
          <w:color w:val="111111"/>
          <w:sz w:val="28"/>
          <w:szCs w:val="28"/>
          <w:rtl/>
        </w:rPr>
        <w:t xml:space="preserve">الدرة البيضاء و الياقوتة الحمراء، ج 7،</w:t>
      </w:r>
    </w:p>
    <w:p>
      <w:pPr>
        <w:pStyle w:val="BookText"/>
      </w:pPr>
      <w:r>
        <w:rPr>
          <w:rFonts w:ascii="IRNazanin" w:hAnsi="IRNazanin" w:eastAsia="IRNazanin" w:cs="IRNazanin"/>
          <w:lang w:bidi="fa-IR"/>
          <w:color w:val="111111"/>
          <w:sz w:val="28"/>
          <w:szCs w:val="28"/>
          <w:rtl/>
        </w:rPr>
        <w:t xml:space="preserve">ص230.</w:t>
      </w:r>
    </w:p>
    <w:p>
      <w:pPr>
        <w:pStyle w:val="Heading2"/>
      </w:pPr>
      <w:bookmarkStart w:id="5863" w:name="_Toc4965"/>
      <w:r>
        <w:t>عبدلي ، محمّد بن قاسم - 1156 ه-</w:t>
      </w:r>
      <w:bookmarkEnd w:id="58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الاجازة، ج 1، ص 209.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اجازة لعبد الهادي بن الحاج</w:t>
      </w:r>
    </w:p>
    <w:p>
      <w:pPr>
        <w:pStyle w:val="BookText"/>
      </w:pPr>
      <w:r>
        <w:rPr>
          <w:rFonts w:ascii="IRNazanin" w:hAnsi="IRNazanin" w:eastAsia="IRNazanin" w:cs="IRNazanin"/>
          <w:lang w:bidi="fa-IR"/>
          <w:color w:val="111111"/>
          <w:sz w:val="28"/>
          <w:szCs w:val="28"/>
          <w:rtl/>
        </w:rPr>
        <w:t xml:space="preserve">عبد الرزاق، ج1، ص279.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بهجة الطلاب، ج 5، ص 706.</w:t>
      </w:r>
    </w:p>
    <w:p>
      <w:pPr>
        <w:pStyle w:val="BookText"/>
      </w:pPr>
      <w:r>
        <w:rPr>
          <w:rFonts w:ascii="Amiri" w:hAnsi="Amiri" w:eastAsia="Amiri" w:cs="Amiri"/>
          <w:lang w:bidi="ar-SA"/>
          <w:color w:val="111111"/>
          <w:sz w:val="28"/>
          <w:szCs w:val="28"/>
          <w:rtl/>
        </w:rPr>
        <w:t xml:space="preserve">4 .الحديث المروي عن خير البرية المسلسل بالأئمة السادة الحنفية</w:t>
      </w:r>
    </w:p>
    <w:p>
      <w:pPr>
        <w:pStyle w:val="BookText"/>
      </w:pPr>
      <w:r>
        <w:rPr>
          <w:rFonts w:ascii="IRNazanin" w:hAnsi="IRNazanin" w:eastAsia="IRNazanin" w:cs="IRNazanin"/>
          <w:lang w:bidi="fa-IR"/>
          <w:color w:val="111111"/>
          <w:sz w:val="28"/>
          <w:szCs w:val="28"/>
          <w:rtl/>
        </w:rPr>
        <w:t xml:space="preserve">ج 6 ، ص 578.</w:t>
      </w:r>
    </w:p>
    <w:p>
      <w:pPr>
        <w:pStyle w:val="BookText"/>
      </w:pPr>
      <w:r>
        <w:rPr>
          <w:rFonts w:ascii="Amiri" w:hAnsi="Amiri" w:eastAsia="Amiri" w:cs="Amiri"/>
          <w:lang w:bidi="ar-SA"/>
          <w:color w:val="111111"/>
          <w:sz w:val="28"/>
          <w:szCs w:val="28"/>
          <w:rtl/>
        </w:rPr>
        <w:t xml:space="preserve">5 .الزيج (فوائد في)، ج8، ص 655.</w:t>
      </w:r>
    </w:p>
    <w:p>
      <w:pPr>
        <w:pStyle w:val="BookText"/>
      </w:pPr>
      <w:r>
        <w:rPr>
          <w:rFonts w:ascii="Amiri" w:hAnsi="Amiri" w:eastAsia="Amiri" w:cs="Amiri"/>
          <w:lang w:bidi="ar-SA"/>
          <w:color w:val="111111"/>
          <w:sz w:val="28"/>
          <w:szCs w:val="28"/>
          <w:rtl/>
        </w:rPr>
        <w:t xml:space="preserve">6 .ما ورد في الثلج و الحمد و البرد (رسالة في)، ج 13، ص 691.</w:t>
      </w:r>
    </w:p>
    <w:p>
      <w:pPr>
        <w:pStyle w:val="Heading2"/>
      </w:pPr>
      <w:bookmarkStart w:id="5864" w:name="_Toc4966"/>
      <w:r>
        <w:t>عبده ، محمّد، 1266 - 1323 ه-</w:t>
      </w:r>
      <w:bookmarkEnd w:id="5864"/>
    </w:p>
    <w:p>
      <w:pPr>
        <w:pStyle w:val="BookText"/>
      </w:pPr>
      <w:r>
        <w:rPr>
          <w:rFonts w:ascii="Amiri" w:hAnsi="Amiri" w:eastAsia="Amiri" w:cs="Amiri"/>
          <w:lang w:bidi="ar-SA"/>
          <w:color w:val="111111"/>
          <w:sz w:val="28"/>
          <w:szCs w:val="28"/>
          <w:rtl/>
        </w:rPr>
        <w:t xml:space="preserve">ابطال مذهب الدهريين و اثبات</w:t>
      </w:r>
    </w:p>
    <w:p>
      <w:pPr>
        <w:pStyle w:val="BookText"/>
      </w:pPr>
      <w:r>
        <w:rPr>
          <w:rFonts w:ascii="Amiri" w:hAnsi="Amiri" w:eastAsia="Amiri" w:cs="Amiri"/>
          <w:lang w:bidi="ar-SA"/>
          <w:color w:val="111111"/>
          <w:sz w:val="28"/>
          <w:szCs w:val="28"/>
          <w:rtl/>
        </w:rPr>
        <w:t xml:space="preserve">الدين، ج 1، ص 104.</w:t>
      </w:r>
    </w:p>
    <w:p>
      <w:pPr>
        <w:pStyle w:val="Heading2"/>
      </w:pPr>
      <w:bookmarkStart w:id="5865" w:name="_Toc4967"/>
      <w:r>
        <w:t>عبدي قرن 9 ه-</w:t>
      </w:r>
      <w:bookmarkEnd w:id="5865"/>
    </w:p>
    <w:p>
      <w:pPr>
        <w:pStyle w:val="BookText"/>
      </w:pPr>
      <w:r>
        <w:rPr>
          <w:rFonts w:ascii="Amiri" w:hAnsi="Amiri" w:eastAsia="Amiri" w:cs="Amiri"/>
          <w:lang w:bidi="ar-SA"/>
          <w:color w:val="111111"/>
          <w:sz w:val="28"/>
          <w:szCs w:val="28"/>
          <w:rtl/>
        </w:rPr>
        <w:t xml:space="preserve">ديوان العبدي، ج 7، ص 715.</w:t>
      </w:r>
    </w:p>
    <w:p>
      <w:pPr>
        <w:pStyle w:val="BookText"/>
      </w:pPr>
      <w:r>
        <w:rPr>
          <w:rFonts w:ascii="Amiri" w:hAnsi="Amiri" w:eastAsia="Amiri" w:cs="Amiri"/>
          <w:lang w:bidi="ar-SA"/>
          <w:color w:val="111111"/>
          <w:sz w:val="28"/>
          <w:szCs w:val="28"/>
          <w:rtl/>
        </w:rPr>
        <w:t xml:space="preserve">عبدي، بشر بن عوانة -عبدي جاهلي</w:t>
      </w:r>
    </w:p>
    <w:p>
      <w:pPr>
        <w:pStyle w:val="BookText"/>
      </w:pPr>
      <w:r>
        <w:rPr>
          <w:rFonts w:ascii="Amiri" w:hAnsi="Amiri" w:eastAsia="Amiri" w:cs="Amiri"/>
          <w:lang w:bidi="ar-SA"/>
          <w:color w:val="111111"/>
          <w:sz w:val="28"/>
          <w:szCs w:val="28"/>
          <w:rtl/>
        </w:rPr>
        <w:t xml:space="preserve">بشر بن عوانة</w:t>
      </w:r>
    </w:p>
    <w:p>
      <w:pPr>
        <w:pStyle w:val="Heading2"/>
      </w:pPr>
      <w:bookmarkStart w:id="5866" w:name="_Toc4968"/>
      <w:r>
        <w:t>عبدي ،پاشا ، عبدالرحمن - 1103 ه-</w:t>
      </w:r>
      <w:bookmarkEnd w:id="5866"/>
    </w:p>
    <w:p>
      <w:pPr>
        <w:pStyle w:val="BookText"/>
      </w:pPr>
      <w:r>
        <w:rPr>
          <w:rFonts w:ascii="IRNazanin" w:hAnsi="IRNazanin" w:eastAsia="IRNazanin" w:cs="IRNazanin"/>
          <w:lang w:bidi="fa-IR"/>
          <w:color w:val="111111"/>
          <w:sz w:val="28"/>
          <w:szCs w:val="28"/>
          <w:rtl/>
        </w:rPr>
        <w:t xml:space="preserve">شرح بند عطار = شرح پندنامه ج9، ص290.</w:t>
      </w:r>
    </w:p>
    <w:p>
      <w:pPr>
        <w:pStyle w:val="BookText"/>
      </w:pPr>
      <w:r>
        <w:rPr>
          <w:rFonts w:ascii="IRNazanin" w:hAnsi="IRNazanin" w:eastAsia="IRNazanin" w:cs="IRNazanin"/>
          <w:lang w:bidi="fa-IR"/>
          <w:color w:val="111111"/>
          <w:sz w:val="28"/>
          <w:szCs w:val="28"/>
          <w:rtl/>
        </w:rPr>
        <w:t xml:space="preserve">عبدي پاشا ، عبدالله- عبدي پاشا ،</w:t>
      </w:r>
    </w:p>
    <w:p>
      <w:pPr>
        <w:pStyle w:val="BookText"/>
      </w:pPr>
      <w:r>
        <w:rPr>
          <w:rFonts w:ascii="IRNazanin" w:hAnsi="IRNazanin" w:eastAsia="IRNazanin" w:cs="IRNazanin"/>
          <w:lang w:bidi="fa-IR"/>
          <w:color w:val="111111"/>
          <w:sz w:val="28"/>
          <w:szCs w:val="28"/>
          <w:rtl/>
        </w:rPr>
        <w:t xml:space="preserve">عبد الرحمن</w:t>
      </w:r>
    </w:p>
    <w:p>
      <w:pPr>
        <w:pStyle w:val="Heading2"/>
      </w:pPr>
      <w:bookmarkStart w:id="5867" w:name="_Toc4969"/>
      <w:r>
        <w:t>عبدي جاهلي ، بشر بن عوانة</w:t>
      </w:r>
      <w:bookmarkEnd w:id="5867"/>
    </w:p>
    <w:p>
      <w:pPr>
        <w:pStyle w:val="BookText"/>
      </w:pPr>
      <w:r>
        <w:rPr>
          <w:rFonts w:ascii="IRNazanin" w:hAnsi="IRNazanin" w:eastAsia="IRNazanin" w:cs="IRNazanin"/>
          <w:lang w:bidi="fa-IR"/>
          <w:color w:val="111111"/>
          <w:sz w:val="28"/>
          <w:szCs w:val="28"/>
          <w:rtl/>
        </w:rPr>
        <w:t xml:space="preserve">نظم، ج 16، ص 327.</w:t>
      </w:r>
    </w:p>
    <w:p>
      <w:pPr>
        <w:pStyle w:val="BookText"/>
      </w:pPr>
      <w:r>
        <w:rPr>
          <w:rFonts w:ascii="Amiri" w:hAnsi="Amiri" w:eastAsia="Amiri" w:cs="Amiri"/>
          <w:lang w:bidi="ar-SA"/>
          <w:color w:val="111111"/>
          <w:sz w:val="28"/>
          <w:szCs w:val="28"/>
          <w:rtl/>
        </w:rPr>
        <w:t xml:space="preserve">عبدي ، جعفر بن محمّد -خطي ، جعفر بن محمّد</w:t>
      </w:r>
    </w:p>
    <w:p>
      <w:pPr>
        <w:pStyle w:val="Heading2"/>
      </w:pPr>
      <w:bookmarkStart w:id="5868" w:name="_Toc4970"/>
      <w:r>
        <w:t>عبدي ، حسن بن عرفه - 257 ه-</w:t>
      </w:r>
      <w:bookmarkEnd w:id="5868"/>
    </w:p>
    <w:p>
      <w:pPr>
        <w:pStyle w:val="BookText"/>
      </w:pPr>
      <w:r>
        <w:rPr>
          <w:rFonts w:ascii="IRNazanin" w:hAnsi="IRNazanin" w:eastAsia="IRNazanin" w:cs="IRNazanin"/>
          <w:lang w:bidi="fa-IR"/>
          <w:color w:val="111111"/>
          <w:sz w:val="28"/>
          <w:szCs w:val="28"/>
          <w:rtl/>
        </w:rPr>
        <w:t xml:space="preserve">احادیث ابن عرفه، ج 1، ص 404.</w:t>
      </w:r>
    </w:p>
    <w:p>
      <w:pPr>
        <w:pStyle w:val="BookText"/>
      </w:pPr>
      <w:r>
        <w:rPr>
          <w:rFonts w:ascii="Amiri" w:hAnsi="Amiri" w:eastAsia="Amiri" w:cs="Amiri"/>
          <w:lang w:bidi="ar-SA"/>
          <w:color w:val="111111"/>
          <w:sz w:val="28"/>
          <w:szCs w:val="28"/>
          <w:rtl/>
        </w:rPr>
        <w:t xml:space="preserve">عبدي ، حسن بن علي- واسطي ، حسن</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عبديشوع-مار عبديشوع</w:t>
      </w:r>
    </w:p>
    <w:p>
      <w:pPr>
        <w:pStyle w:val="Heading2"/>
      </w:pPr>
      <w:bookmarkStart w:id="5869" w:name="_Toc4971"/>
      <w:r>
        <w:t>عبديشوع بن ابراهيم</w:t>
      </w:r>
      <w:bookmarkEnd w:id="5869"/>
    </w:p>
    <w:p>
      <w:pPr>
        <w:pStyle w:val="BookText"/>
      </w:pPr>
      <w:r>
        <w:rPr>
          <w:rFonts w:ascii="Amiri" w:hAnsi="Amiri" w:eastAsia="Amiri" w:cs="Amiri"/>
          <w:lang w:bidi="ar-SA"/>
          <w:color w:val="111111"/>
          <w:sz w:val="28"/>
          <w:szCs w:val="28"/>
          <w:rtl/>
        </w:rPr>
        <w:t xml:space="preserve">كتاب عبد يشوع ابن ابراهيم ابن</w:t>
      </w:r>
    </w:p>
    <w:p>
      <w:pPr>
        <w:pStyle w:val="BookText"/>
      </w:pPr>
      <w:r>
        <w:rPr>
          <w:rFonts w:ascii="Amiri" w:hAnsi="Amiri" w:eastAsia="Amiri" w:cs="Amiri"/>
          <w:lang w:bidi="ar-SA"/>
          <w:color w:val="111111"/>
          <w:sz w:val="28"/>
          <w:szCs w:val="28"/>
          <w:rtl/>
        </w:rPr>
        <w:t xml:space="preserve">اليامن من ملطية الشريف القديس</w:t>
      </w:r>
    </w:p>
    <w:p>
      <w:pPr>
        <w:pStyle w:val="BookText"/>
      </w:pPr>
      <w:r>
        <w:rPr>
          <w:rFonts w:ascii="IRNazanin" w:hAnsi="IRNazanin" w:eastAsia="IRNazanin" w:cs="IRNazanin"/>
          <w:lang w:bidi="fa-IR"/>
          <w:color w:val="111111"/>
          <w:sz w:val="28"/>
          <w:szCs w:val="28"/>
          <w:rtl/>
        </w:rPr>
        <w:t xml:space="preserve">ج 13، ص 109.</w:t>
      </w:r>
    </w:p>
    <w:p>
      <w:pPr>
        <w:pStyle w:val="BookText"/>
      </w:pPr>
      <w:r>
        <w:rPr>
          <w:rFonts w:ascii="Amiri" w:hAnsi="Amiri" w:eastAsia="Amiri" w:cs="Amiri"/>
          <w:lang w:bidi="ar-SA"/>
          <w:color w:val="111111"/>
          <w:sz w:val="28"/>
          <w:szCs w:val="28"/>
          <w:rtl/>
        </w:rPr>
        <w:t xml:space="preserve">عبديشوع بن بريخيا -صوباوي،</w:t>
      </w:r>
    </w:p>
    <w:p>
      <w:pPr>
        <w:pStyle w:val="BookText"/>
      </w:pPr>
      <w:r>
        <w:rPr>
          <w:rFonts w:ascii="Amiri" w:hAnsi="Amiri" w:eastAsia="Amiri" w:cs="Amiri"/>
          <w:lang w:bidi="ar-SA"/>
          <w:color w:val="111111"/>
          <w:sz w:val="28"/>
          <w:szCs w:val="28"/>
          <w:rtl/>
        </w:rPr>
        <w:t xml:space="preserve">عبديشوع بن بريخيا</w:t>
      </w:r>
    </w:p>
    <w:p>
      <w:pPr>
        <w:pStyle w:val="BookText"/>
      </w:pPr>
      <w:r>
        <w:rPr>
          <w:rFonts w:ascii="Amiri" w:hAnsi="Amiri" w:eastAsia="Amiri" w:cs="Amiri"/>
          <w:lang w:bidi="ar-SA"/>
          <w:color w:val="111111"/>
          <w:sz w:val="28"/>
          <w:szCs w:val="28"/>
          <w:rtl/>
        </w:rPr>
        <w:t xml:space="preserve">عبدي ، عبدالله بن محمّد - بسنوي</w:t>
      </w:r>
    </w:p>
    <w:p>
      <w:pPr>
        <w:pStyle w:val="BookText"/>
      </w:pPr>
      <w:r>
        <w:rPr>
          <w:rFonts w:ascii="IRNazanin" w:hAnsi="IRNazanin" w:eastAsia="IRNazanin" w:cs="IRNazanin"/>
          <w:lang w:bidi="fa-IR"/>
          <w:color w:val="111111"/>
          <w:sz w:val="28"/>
          <w:szCs w:val="28"/>
          <w:rtl/>
        </w:rPr>
        <w:t xml:space="preserve">عبدالله بن محمّد</w:t>
      </w:r>
    </w:p>
    <w:p>
      <w:pPr>
        <w:pStyle w:val="BookText"/>
      </w:pPr>
      <w:r>
        <w:rPr>
          <w:rFonts w:ascii="Amiri" w:hAnsi="Amiri" w:eastAsia="Amiri" w:cs="Amiri"/>
          <w:lang w:bidi="ar-SA"/>
          <w:color w:val="111111"/>
          <w:sz w:val="28"/>
          <w:szCs w:val="28"/>
          <w:rtl/>
        </w:rPr>
        <w:t xml:space="preserve">عبدي مآلي -مآلي ، عبدالله</w:t>
      </w:r>
    </w:p>
    <w:p>
      <w:pPr>
        <w:pStyle w:val="BookText"/>
      </w:pPr>
      <w:r>
        <w:rPr>
          <w:rFonts w:ascii="Amiri" w:hAnsi="Amiri" w:eastAsia="Amiri" w:cs="Amiri"/>
          <w:lang w:bidi="ar-SA"/>
          <w:color w:val="111111"/>
          <w:sz w:val="28"/>
          <w:szCs w:val="28"/>
          <w:rtl/>
        </w:rPr>
        <w:t xml:space="preserve">عبدي ، محمّد بن احمد -غطريفي محمّد بن احمد</w:t>
      </w:r>
    </w:p>
    <w:p>
      <w:pPr>
        <w:pStyle w:val="BookText"/>
      </w:pPr>
      <w:r>
        <w:rPr>
          <w:rFonts w:ascii="Amiri" w:hAnsi="Amiri" w:eastAsia="Amiri" w:cs="Amiri"/>
          <w:lang w:bidi="ar-SA"/>
          <w:color w:val="111111"/>
          <w:sz w:val="28"/>
          <w:szCs w:val="28"/>
          <w:rtl/>
        </w:rPr>
        <w:t xml:space="preserve">عبدي ، محمّد بن اسحاق- ابن منده ،</w:t>
      </w:r>
    </w:p>
    <w:p>
      <w:pPr>
        <w:pStyle w:val="BookText"/>
      </w:pPr>
      <w:r>
        <w:rPr>
          <w:rFonts w:ascii="IRNazanin" w:hAnsi="IRNazanin" w:eastAsia="IRNazanin" w:cs="IRNazanin"/>
          <w:lang w:bidi="fa-IR"/>
          <w:color w:val="111111"/>
          <w:sz w:val="28"/>
          <w:szCs w:val="28"/>
          <w:rtl/>
        </w:rPr>
        <w:t xml:space="preserve">محمّد بن اسحاق</w:t>
      </w:r>
    </w:p>
    <w:p>
      <w:pPr>
        <w:pStyle w:val="BookText"/>
      </w:pPr>
      <w:r>
        <w:rPr>
          <w:rFonts w:ascii="Amiri" w:hAnsi="Amiri" w:eastAsia="Amiri" w:cs="Amiri"/>
          <w:lang w:bidi="ar-SA"/>
          <w:color w:val="111111"/>
          <w:sz w:val="28"/>
          <w:szCs w:val="28"/>
          <w:rtl/>
        </w:rPr>
        <w:t xml:space="preserve">عبدي ، محمّد بن هذيل -علاف ، محمّد</w:t>
      </w:r>
    </w:p>
    <w:p>
      <w:pPr>
        <w:pStyle w:val="BookText"/>
      </w:pPr>
      <w:r>
        <w:rPr>
          <w:rFonts w:ascii="Amiri" w:hAnsi="Amiri" w:eastAsia="Amiri" w:cs="Amiri"/>
          <w:lang w:bidi="ar-SA"/>
          <w:color w:val="111111"/>
          <w:sz w:val="28"/>
          <w:szCs w:val="28"/>
          <w:rtl/>
        </w:rPr>
        <w:t xml:space="preserve">بن هذيل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61" w:name="pg7742_70765"/>
    <w:bookmarkEnd w:id="761"/>
    <w:p>
      <w:pPr>
        <w:pStyle w:val="BookText"/>
      </w:pPr>
      <w:r>
        <w:rPr>
          <w:rFonts w:ascii="Amiri" w:hAnsi="Amiri" w:eastAsia="Amiri" w:cs="Amiri"/>
          <w:lang w:bidi="ar-SA"/>
          <w:color w:val="111111"/>
          <w:sz w:val="28"/>
          <w:szCs w:val="28"/>
          <w:rtl/>
        </w:rPr>
        <w:t xml:space="preserve">عبدي هروي، احمد بن محمّد -ابو عبيد</w:t>
      </w:r>
    </w:p>
    <w:p>
      <w:pPr>
        <w:pStyle w:val="BookText"/>
      </w:pPr>
      <w:r>
        <w:rPr>
          <w:rFonts w:ascii="Amiri" w:hAnsi="Amiri" w:eastAsia="Amiri" w:cs="Amiri"/>
          <w:lang w:bidi="ar-SA"/>
          <w:color w:val="111111"/>
          <w:sz w:val="28"/>
          <w:szCs w:val="28"/>
          <w:rtl/>
        </w:rPr>
        <w:t xml:space="preserve">هروي، احمد بن محمّد</w:t>
      </w:r>
    </w:p>
    <w:p>
      <w:pPr>
        <w:pStyle w:val="Heading2"/>
      </w:pPr>
      <w:bookmarkStart w:id="5870" w:name="_Toc4972"/>
      <w:r>
        <w:t>عبري ، عبيد الله بن محمّد - 743 ه-</w:t>
      </w:r>
      <w:bookmarkEnd w:id="5870"/>
    </w:p>
    <w:p>
      <w:pPr>
        <w:pStyle w:val="BookText"/>
      </w:pPr>
      <w:r>
        <w:rPr>
          <w:rFonts w:ascii="Amiri" w:hAnsi="Amiri" w:eastAsia="Amiri" w:cs="Amiri"/>
          <w:lang w:bidi="ar-SA"/>
          <w:color w:val="111111"/>
          <w:sz w:val="28"/>
          <w:szCs w:val="28"/>
          <w:rtl/>
        </w:rPr>
        <w:t xml:space="preserve">1 .شرح الغاية القصوي في مختصر</w:t>
      </w:r>
    </w:p>
    <w:p>
      <w:pPr>
        <w:pStyle w:val="BookText"/>
      </w:pPr>
      <w:r>
        <w:rPr>
          <w:rFonts w:ascii="Amiri" w:hAnsi="Amiri" w:eastAsia="Amiri" w:cs="Amiri"/>
          <w:lang w:bidi="ar-SA"/>
          <w:color w:val="111111"/>
          <w:sz w:val="28"/>
          <w:szCs w:val="28"/>
          <w:rtl/>
        </w:rPr>
        <w:t xml:space="preserve">الوسيط، ج9، ص 768.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شرح طوالع الانوار، ج 9، ص 682 .</w:t>
      </w:r>
    </w:p>
    <w:p>
      <w:pPr>
        <w:pStyle w:val="BookText"/>
      </w:pPr>
      <w:r>
        <w:rPr>
          <w:rFonts w:ascii="IRNazanin" w:hAnsi="IRNazanin" w:eastAsia="IRNazanin" w:cs="IRNazanin"/>
          <w:lang w:bidi="fa-IR"/>
          <w:color w:val="111111"/>
          <w:sz w:val="28"/>
          <w:szCs w:val="28"/>
          <w:rtl/>
        </w:rPr>
        <w:t xml:space="preserve">3.شرح منهاج الوصول إلى علم الاصول، ج 10، ص 265.</w:t>
      </w:r>
    </w:p>
    <w:p>
      <w:pPr>
        <w:pStyle w:val="BookText"/>
      </w:pPr>
      <w:r>
        <w:rPr>
          <w:rFonts w:ascii="Amiri" w:hAnsi="Amiri" w:eastAsia="Amiri" w:cs="Amiri"/>
          <w:lang w:bidi="ar-SA"/>
          <w:color w:val="111111"/>
          <w:sz w:val="28"/>
          <w:szCs w:val="28"/>
          <w:rtl/>
        </w:rPr>
        <w:t xml:space="preserve">عبسي ، ابوجعفر محمّد بن عثمان- عبسي</w:t>
      </w:r>
    </w:p>
    <w:p>
      <w:pPr>
        <w:pStyle w:val="BookText"/>
      </w:pPr>
      <w:r>
        <w:rPr>
          <w:rFonts w:ascii="IRNazanin" w:hAnsi="IRNazanin" w:eastAsia="IRNazanin" w:cs="IRNazanin"/>
          <w:lang w:bidi="fa-IR"/>
          <w:color w:val="111111"/>
          <w:sz w:val="28"/>
          <w:szCs w:val="28"/>
          <w:rtl/>
        </w:rPr>
        <w:t xml:space="preserve">، محمّد بن عثمان</w:t>
      </w:r>
    </w:p>
    <w:p>
      <w:pPr>
        <w:pStyle w:val="BookText"/>
      </w:pPr>
      <w:r>
        <w:rPr>
          <w:rFonts w:ascii="Amiri" w:hAnsi="Amiri" w:eastAsia="Amiri" w:cs="Amiri"/>
          <w:lang w:bidi="ar-SA"/>
          <w:color w:val="111111"/>
          <w:sz w:val="28"/>
          <w:szCs w:val="28"/>
          <w:rtl/>
        </w:rPr>
        <w:t xml:space="preserve">عبسي ، جرول بن اوس -حطينه ، جرول</w:t>
      </w:r>
    </w:p>
    <w:p>
      <w:pPr>
        <w:pStyle w:val="BookText"/>
      </w:pPr>
      <w:r>
        <w:rPr>
          <w:rFonts w:ascii="IRNazanin" w:hAnsi="IRNazanin" w:eastAsia="IRNazanin" w:cs="IRNazanin"/>
          <w:lang w:bidi="fa-IR"/>
          <w:color w:val="111111"/>
          <w:sz w:val="28"/>
          <w:szCs w:val="28"/>
          <w:rtl/>
        </w:rPr>
        <w:t xml:space="preserve">بن أوس</w:t>
      </w:r>
    </w:p>
    <w:p>
      <w:pPr>
        <w:pStyle w:val="BookText"/>
      </w:pPr>
      <w:r>
        <w:rPr>
          <w:rFonts w:ascii="Amiri" w:hAnsi="Amiri" w:eastAsia="Amiri" w:cs="Amiri"/>
          <w:lang w:bidi="ar-SA"/>
          <w:color w:val="111111"/>
          <w:sz w:val="28"/>
          <w:szCs w:val="28"/>
          <w:rtl/>
        </w:rPr>
        <w:t xml:space="preserve">عبسي ، عنتره -عنترة بن شداد</w:t>
      </w:r>
    </w:p>
    <w:p>
      <w:pPr>
        <w:pStyle w:val="Heading2"/>
      </w:pPr>
      <w:bookmarkStart w:id="5871" w:name="_Toc4973"/>
      <w:r>
        <w:t>عبسي ، محمّد بن عثمان - 297 ه-</w:t>
      </w:r>
      <w:bookmarkEnd w:id="5871"/>
    </w:p>
    <w:p>
      <w:pPr>
        <w:pStyle w:val="BookText"/>
      </w:pPr>
      <w:r>
        <w:rPr>
          <w:rFonts w:ascii="Amiri" w:hAnsi="Amiri" w:eastAsia="Amiri" w:cs="Amiri"/>
          <w:lang w:bidi="ar-SA"/>
          <w:color w:val="111111"/>
          <w:sz w:val="28"/>
          <w:szCs w:val="28"/>
          <w:rtl/>
        </w:rPr>
        <w:t xml:space="preserve">مسائل ابي جعفر محمّد بن عثمان بن</w:t>
      </w:r>
    </w:p>
    <w:p>
      <w:pPr>
        <w:pStyle w:val="BookText"/>
      </w:pPr>
      <w:r>
        <w:rPr>
          <w:rFonts w:ascii="Amiri" w:hAnsi="Amiri" w:eastAsia="Amiri" w:cs="Amiri"/>
          <w:lang w:bidi="ar-SA"/>
          <w:color w:val="111111"/>
          <w:sz w:val="28"/>
          <w:szCs w:val="28"/>
          <w:rtl/>
        </w:rPr>
        <w:t xml:space="preserve">محمد ابن ابي شيبه، ج 14، ص 432.</w:t>
      </w:r>
    </w:p>
    <w:p>
      <w:pPr>
        <w:pStyle w:val="BookText"/>
      </w:pPr>
      <w:r>
        <w:rPr>
          <w:rFonts w:ascii="Amiri" w:hAnsi="Amiri" w:eastAsia="Amiri" w:cs="Amiri"/>
          <w:lang w:bidi="ar-SA"/>
          <w:color w:val="111111"/>
          <w:sz w:val="28"/>
          <w:szCs w:val="28"/>
          <w:rtl/>
        </w:rPr>
        <w:t xml:space="preserve">عبود العبادي -عبود عبادي</w:t>
      </w:r>
    </w:p>
    <w:p>
      <w:pPr>
        <w:pStyle w:val="BookText"/>
      </w:pPr>
      <w:r>
        <w:rPr>
          <w:rFonts w:ascii="Amiri" w:hAnsi="Amiri" w:eastAsia="Amiri" w:cs="Amiri"/>
          <w:lang w:bidi="ar-SA"/>
          <w:color w:val="111111"/>
          <w:sz w:val="28"/>
          <w:szCs w:val="28"/>
          <w:rtl/>
        </w:rPr>
        <w:t xml:space="preserve">عبود بن درويش بن ابراهيم</w:t>
      </w:r>
    </w:p>
    <w:p>
      <w:pPr>
        <w:pStyle w:val="BookText"/>
      </w:pPr>
      <w:r>
        <w:rPr>
          <w:rFonts w:ascii="Amiri" w:hAnsi="Amiri" w:eastAsia="Amiri" w:cs="Amiri"/>
          <w:lang w:bidi="ar-SA"/>
          <w:color w:val="111111"/>
          <w:sz w:val="28"/>
          <w:szCs w:val="28"/>
          <w:rtl/>
        </w:rPr>
        <w:t xml:space="preserve">انصاري- انصاري ، عبود بن درويش</w:t>
      </w:r>
    </w:p>
    <w:p>
      <w:pPr>
        <w:pStyle w:val="Heading2"/>
      </w:pPr>
      <w:bookmarkStart w:id="5872" w:name="_Toc4974"/>
      <w:r>
        <w:t>عبود عبادي قرن 14 ه-</w:t>
      </w:r>
      <w:bookmarkEnd w:id="5872"/>
    </w:p>
    <w:p>
      <w:pPr>
        <w:pStyle w:val="BookText"/>
      </w:pPr>
      <w:r>
        <w:rPr>
          <w:rFonts w:ascii="Amiri" w:hAnsi="Amiri" w:eastAsia="Amiri" w:cs="Amiri"/>
          <w:lang w:bidi="ar-SA"/>
          <w:color w:val="111111"/>
          <w:sz w:val="28"/>
          <w:szCs w:val="28"/>
          <w:rtl/>
        </w:rPr>
        <w:t xml:space="preserve">زيارة الحسين في ليلة القدر ويومي</w:t>
      </w:r>
    </w:p>
    <w:p>
      <w:pPr>
        <w:pStyle w:val="BookText"/>
      </w:pPr>
      <w:r>
        <w:rPr>
          <w:rFonts w:ascii="Amiri" w:hAnsi="Amiri" w:eastAsia="Amiri" w:cs="Amiri"/>
          <w:lang w:bidi="ar-SA"/>
          <w:color w:val="111111"/>
          <w:sz w:val="28"/>
          <w:szCs w:val="28"/>
          <w:rtl/>
        </w:rPr>
        <w:t xml:space="preserve">العيدين، ج8، ص 651.</w:t>
      </w:r>
    </w:p>
    <w:p>
      <w:pPr>
        <w:pStyle w:val="BookText"/>
      </w:pPr>
      <w:r>
        <w:rPr>
          <w:rFonts w:ascii="Amiri" w:hAnsi="Amiri" w:eastAsia="Amiri" w:cs="Amiri"/>
          <w:lang w:bidi="ar-SA"/>
          <w:color w:val="111111"/>
          <w:sz w:val="28"/>
          <w:szCs w:val="28"/>
          <w:rtl/>
        </w:rPr>
        <w:t xml:space="preserve">عبيد الله بن ابي عطاء محمّد -ابن ابي عطاء</w:t>
      </w:r>
    </w:p>
    <w:p>
      <w:pPr>
        <w:pStyle w:val="BookText"/>
      </w:pPr>
      <w:r>
        <w:rPr>
          <w:rFonts w:ascii="IRNazanin" w:hAnsi="IRNazanin" w:eastAsia="IRNazanin" w:cs="IRNazanin"/>
          <w:lang w:bidi="fa-IR"/>
          <w:color w:val="111111"/>
          <w:sz w:val="28"/>
          <w:szCs w:val="28"/>
          <w:rtl/>
        </w:rPr>
        <w:t xml:space="preserve">، عبیدالله بن محمد</w:t>
      </w:r>
    </w:p>
    <w:p>
      <w:pPr>
        <w:pStyle w:val="Heading2"/>
      </w:pPr>
      <w:bookmarkStart w:id="5873" w:name="_Toc4975"/>
      <w:r>
        <w:t>عبیدالله بن خليل</w:t>
      </w:r>
      <w:bookmarkEnd w:id="5873"/>
    </w:p>
    <w:p>
      <w:pPr>
        <w:pStyle w:val="BookText"/>
      </w:pPr>
      <w:r>
        <w:rPr>
          <w:rFonts w:ascii="Amiri" w:hAnsi="Amiri" w:eastAsia="Amiri" w:cs="Amiri"/>
          <w:lang w:bidi="ar-SA"/>
          <w:color w:val="111111"/>
          <w:sz w:val="28"/>
          <w:szCs w:val="28"/>
          <w:rtl/>
        </w:rPr>
        <w:t xml:space="preserve">لذة العيش في حل رسالة ابي الجيش</w:t>
      </w:r>
    </w:p>
    <w:p>
      <w:pPr>
        <w:pStyle w:val="BookText"/>
      </w:pPr>
      <w:r>
        <w:rPr>
          <w:rFonts w:ascii="IRNazanin" w:hAnsi="IRNazanin" w:eastAsia="IRNazanin" w:cs="IRNazanin"/>
          <w:lang w:bidi="fa-IR"/>
          <w:color w:val="111111"/>
          <w:sz w:val="28"/>
          <w:szCs w:val="28"/>
          <w:rtl/>
        </w:rPr>
        <w:t xml:space="preserve">ج 13، ص 566.</w:t>
      </w:r>
    </w:p>
    <w:p>
      <w:pPr>
        <w:pStyle w:val="BookText"/>
      </w:pPr>
      <w:r>
        <w:rPr>
          <w:rFonts w:ascii="Amiri" w:hAnsi="Amiri" w:eastAsia="Amiri" w:cs="Amiri"/>
          <w:lang w:bidi="ar-SA"/>
          <w:color w:val="111111"/>
          <w:sz w:val="28"/>
          <w:szCs w:val="28"/>
          <w:rtl/>
        </w:rPr>
        <w:t xml:space="preserve">عبيد الله بن خليل البصيري</w:t>
      </w:r>
    </w:p>
    <w:p>
      <w:pPr>
        <w:pStyle w:val="BookText"/>
      </w:pPr>
      <w:r>
        <w:rPr>
          <w:rFonts w:ascii="Amiri" w:hAnsi="Amiri" w:eastAsia="Amiri" w:cs="Amiri"/>
          <w:lang w:bidi="ar-SA"/>
          <w:color w:val="111111"/>
          <w:sz w:val="28"/>
          <w:szCs w:val="28"/>
          <w:rtl/>
        </w:rPr>
        <w:t xml:space="preserve">الحسيني- بصيري ، عبيد الله بن خليل</w:t>
      </w:r>
    </w:p>
    <w:p>
      <w:pPr>
        <w:pStyle w:val="BookText"/>
      </w:pPr>
      <w:r>
        <w:rPr>
          <w:rFonts w:ascii="Amiri" w:hAnsi="Amiri" w:eastAsia="Amiri" w:cs="Amiri"/>
          <w:lang w:bidi="ar-SA"/>
          <w:color w:val="111111"/>
          <w:sz w:val="28"/>
          <w:szCs w:val="28"/>
          <w:rtl/>
        </w:rPr>
        <w:t xml:space="preserve">عبيد الله بن صبغة الله</w:t>
      </w:r>
    </w:p>
    <w:p>
      <w:pPr>
        <w:pStyle w:val="BookText"/>
      </w:pPr>
      <w:r>
        <w:rPr>
          <w:rFonts w:ascii="Amiri" w:hAnsi="Amiri" w:eastAsia="Amiri" w:cs="Amiri"/>
          <w:lang w:bidi="ar-SA"/>
          <w:color w:val="111111"/>
          <w:sz w:val="28"/>
          <w:szCs w:val="28"/>
          <w:rtl/>
        </w:rPr>
        <w:t xml:space="preserve">حيدري بغدادي -حيدري ، عبيد الله بن صبغة الله</w:t>
      </w:r>
    </w:p>
    <w:p>
      <w:pPr>
        <w:pStyle w:val="BookText"/>
      </w:pPr>
      <w:r>
        <w:rPr>
          <w:rFonts w:ascii="Amiri" w:hAnsi="Amiri" w:eastAsia="Amiri" w:cs="Amiri"/>
          <w:lang w:bidi="ar-SA"/>
          <w:color w:val="111111"/>
          <w:sz w:val="28"/>
          <w:szCs w:val="28"/>
          <w:rtl/>
        </w:rPr>
        <w:t xml:space="preserve">عبيد الله بن عبد الكافي عبيدي- عبيدي ، عبيد الله بن عبد الكافي</w:t>
      </w:r>
    </w:p>
    <w:p>
      <w:pPr>
        <w:pStyle w:val="BookText"/>
      </w:pPr>
      <w:r>
        <w:rPr>
          <w:rFonts w:ascii="Amiri" w:hAnsi="Amiri" w:eastAsia="Amiri" w:cs="Amiri"/>
          <w:lang w:bidi="ar-SA"/>
          <w:color w:val="111111"/>
          <w:sz w:val="28"/>
          <w:szCs w:val="28"/>
          <w:rtl/>
        </w:rPr>
        <w:t xml:space="preserve">عبيد الله بن عبدالله سعد آبادي- سعد</w:t>
      </w:r>
    </w:p>
    <w:p>
      <w:pPr>
        <w:pStyle w:val="BookText"/>
      </w:pPr>
      <w:r>
        <w:rPr>
          <w:rFonts w:ascii="Amiri" w:hAnsi="Amiri" w:eastAsia="Amiri" w:cs="Amiri"/>
          <w:lang w:bidi="ar-SA"/>
          <w:color w:val="111111"/>
          <w:sz w:val="28"/>
          <w:szCs w:val="28"/>
          <w:rtl/>
        </w:rPr>
        <w:t xml:space="preserve">آبادي ، عبيد الله بن عبدالله</w:t>
      </w:r>
    </w:p>
    <w:p>
      <w:pPr>
        <w:pStyle w:val="BookText"/>
      </w:pPr>
      <w:r>
        <w:rPr>
          <w:rFonts w:ascii="IRNazanin" w:hAnsi="IRNazanin" w:eastAsia="IRNazanin" w:cs="IRNazanin"/>
          <w:lang w:bidi="fa-IR"/>
          <w:color w:val="111111"/>
          <w:sz w:val="28"/>
          <w:szCs w:val="28"/>
          <w:rtl/>
        </w:rPr>
        <w:t xml:space="preserve">عبیدالله بن عمر دبوسي- دبوسي ، عبدالله</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عبيد الله بن عمر واسطي -واسطي</w:t>
      </w:r>
    </w:p>
    <w:p>
      <w:pPr>
        <w:pStyle w:val="BookText"/>
      </w:pPr>
      <w:r>
        <w:rPr>
          <w:rFonts w:ascii="IRNazanin" w:hAnsi="IRNazanin" w:eastAsia="IRNazanin" w:cs="IRNazanin"/>
          <w:lang w:bidi="fa-IR"/>
          <w:color w:val="111111"/>
          <w:sz w:val="28"/>
          <w:szCs w:val="28"/>
          <w:rtl/>
        </w:rPr>
        <w:t xml:space="preserve">عبیدالله بن عمر</w:t>
      </w:r>
    </w:p>
    <w:p>
      <w:pPr>
        <w:pStyle w:val="BookText"/>
      </w:pPr>
      <w:r>
        <w:rPr>
          <w:rFonts w:ascii="Amiri" w:hAnsi="Amiri" w:eastAsia="Amiri" w:cs="Amiri"/>
          <w:lang w:bidi="ar-SA"/>
          <w:color w:val="111111"/>
          <w:sz w:val="28"/>
          <w:szCs w:val="28"/>
          <w:rtl/>
        </w:rPr>
        <w:t xml:space="preserve">عبيد الله بن فضل الله خبيصي- خبيصي</w:t>
      </w:r>
    </w:p>
    <w:p>
      <w:pPr>
        <w:pStyle w:val="BookText"/>
      </w:pPr>
      <w:r>
        <w:rPr>
          <w:rFonts w:ascii="IRNazanin" w:hAnsi="IRNazanin" w:eastAsia="IRNazanin" w:cs="IRNazanin"/>
          <w:lang w:bidi="fa-IR"/>
          <w:color w:val="111111"/>
          <w:sz w:val="28"/>
          <w:szCs w:val="28"/>
          <w:rtl/>
        </w:rPr>
        <w:t xml:space="preserve">عبیدالله بن فضل الله</w:t>
      </w:r>
    </w:p>
    <w:p>
      <w:pPr>
        <w:pStyle w:val="BookText"/>
      </w:pPr>
      <w:r>
        <w:rPr>
          <w:rFonts w:ascii="IRNazanin" w:hAnsi="IRNazanin" w:eastAsia="IRNazanin" w:cs="IRNazanin"/>
          <w:lang w:bidi="fa-IR"/>
          <w:color w:val="111111"/>
          <w:sz w:val="28"/>
          <w:szCs w:val="28"/>
          <w:rtl/>
        </w:rPr>
        <w:t xml:space="preserve">عبیدالله بن محمّد فرغاني- عبري ، عبيد الله</w:t>
      </w:r>
    </w:p>
    <w:p>
      <w:pPr>
        <w:pStyle w:val="BookText"/>
      </w:pPr>
      <w:r>
        <w:rPr>
          <w:rFonts w:ascii="IRNazanin" w:hAnsi="IRNazanin" w:eastAsia="IRNazanin" w:cs="IRNazanin"/>
          <w:lang w:bidi="fa-IR"/>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عبیدالله بن مسعود محبوبي بخاري (صدر</w:t>
      </w:r>
    </w:p>
    <w:p>
      <w:pPr>
        <w:pStyle w:val="BookText"/>
      </w:pPr>
      <w:r>
        <w:rPr>
          <w:rFonts w:ascii="Amiri" w:hAnsi="Amiri" w:eastAsia="Amiri" w:cs="Amiri"/>
          <w:lang w:bidi="ar-SA"/>
          <w:color w:val="111111"/>
          <w:sz w:val="28"/>
          <w:szCs w:val="28"/>
          <w:rtl/>
        </w:rPr>
        <w:t xml:space="preserve">الشريعه اصغر) -صدر الشريعة الثاني ،</w:t>
      </w:r>
    </w:p>
    <w:p>
      <w:pPr>
        <w:pStyle w:val="BookText"/>
      </w:pPr>
      <w:r>
        <w:rPr>
          <w:rFonts w:ascii="IRNazanin" w:hAnsi="IRNazanin" w:eastAsia="IRNazanin" w:cs="IRNazanin"/>
          <w:lang w:bidi="fa-IR"/>
          <w:color w:val="111111"/>
          <w:sz w:val="28"/>
          <w:szCs w:val="28"/>
          <w:rtl/>
        </w:rPr>
        <w:t xml:space="preserve">عبیدالله بن مسعود</w:t>
      </w:r>
    </w:p>
    <w:p>
      <w:pPr>
        <w:pStyle w:val="BookText"/>
      </w:pPr>
      <w:r>
        <w:rPr>
          <w:rFonts w:ascii="Amiri" w:hAnsi="Amiri" w:eastAsia="Amiri" w:cs="Amiri"/>
          <w:lang w:bidi="ar-SA"/>
          <w:color w:val="111111"/>
          <w:sz w:val="28"/>
          <w:szCs w:val="28"/>
          <w:rtl/>
        </w:rPr>
        <w:t xml:space="preserve">عبيدر -عبيد زاكاني ، عبيدالله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62" w:name="pg7742_70767"/>
    <w:bookmarkEnd w:id="762"/>
    <w:p>
      <w:pPr>
        <w:pStyle w:val="Heading2"/>
      </w:pPr>
      <w:bookmarkStart w:id="5874" w:name="_Toc4976"/>
      <w:r>
        <w:t>عبيد زاكاني ، عبيدالله - 772 ه-</w:t>
      </w:r>
      <w:bookmarkEnd w:id="5874"/>
    </w:p>
    <w:p>
      <w:pPr>
        <w:pStyle w:val="BookText"/>
      </w:pPr>
      <w:r>
        <w:rPr>
          <w:rFonts w:ascii="IRNazanin" w:hAnsi="IRNazanin" w:eastAsia="IRNazanin" w:cs="IRNazanin"/>
          <w:lang w:bidi="fa-IR"/>
          <w:color w:val="111111"/>
          <w:sz w:val="28"/>
          <w:szCs w:val="28"/>
          <w:rtl/>
        </w:rPr>
        <w:t xml:space="preserve">1 .اخلاق الاشراف، ج 1، ص 575.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دلگشا، ج7، ص 464.</w:t>
      </w:r>
    </w:p>
    <w:p>
      <w:pPr>
        <w:pStyle w:val="BookText"/>
      </w:pPr>
      <w:r>
        <w:rPr>
          <w:rFonts w:ascii="Amiri" w:hAnsi="Amiri" w:eastAsia="Amiri" w:cs="Amiri"/>
          <w:lang w:bidi="ar-SA"/>
          <w:color w:val="111111"/>
          <w:sz w:val="28"/>
          <w:szCs w:val="28"/>
          <w:rtl/>
        </w:rPr>
        <w:t xml:space="preserve">عبيدلي ، عبيد الله بن محمّد -عبري ،</w:t>
      </w:r>
    </w:p>
    <w:p>
      <w:pPr>
        <w:pStyle w:val="BookText"/>
      </w:pPr>
      <w:r>
        <w:rPr>
          <w:rFonts w:ascii="IRNazanin" w:hAnsi="IRNazanin" w:eastAsia="IRNazanin" w:cs="IRNazanin"/>
          <w:lang w:bidi="fa-IR"/>
          <w:color w:val="111111"/>
          <w:sz w:val="28"/>
          <w:szCs w:val="28"/>
          <w:rtl/>
        </w:rPr>
        <w:t xml:space="preserve">عبیدالله بن محمّد</w:t>
      </w:r>
    </w:p>
    <w:p>
      <w:pPr>
        <w:pStyle w:val="BookText"/>
      </w:pPr>
      <w:r>
        <w:rPr>
          <w:rFonts w:ascii="Amiri" w:hAnsi="Amiri" w:eastAsia="Amiri" w:cs="Amiri"/>
          <w:lang w:bidi="ar-SA"/>
          <w:color w:val="111111"/>
          <w:sz w:val="28"/>
          <w:szCs w:val="28"/>
          <w:rtl/>
        </w:rPr>
        <w:t xml:space="preserve">عبيدلي، محمّد بن ابي جعفر محمّد -حسيني علوي ، محمّد بن محمّد</w:t>
      </w:r>
    </w:p>
    <w:p>
      <w:pPr>
        <w:pStyle w:val="BookText"/>
      </w:pPr>
      <w:r>
        <w:rPr>
          <w:rFonts w:ascii="Amiri" w:hAnsi="Amiri" w:eastAsia="Amiri" w:cs="Amiri"/>
          <w:lang w:bidi="ar-SA"/>
          <w:color w:val="111111"/>
          <w:sz w:val="28"/>
          <w:szCs w:val="28"/>
          <w:rtl/>
        </w:rPr>
        <w:t xml:space="preserve">عبيدلي ، محمّد بن محمّد -حسيني علوي</w:t>
      </w:r>
    </w:p>
    <w:p>
      <w:pPr>
        <w:pStyle w:val="BookText"/>
      </w:pPr>
      <w:r>
        <w:rPr>
          <w:rFonts w:ascii="Amiri" w:hAnsi="Amiri" w:eastAsia="Amiri" w:cs="Amiri"/>
          <w:lang w:bidi="ar-SA"/>
          <w:color w:val="111111"/>
          <w:sz w:val="28"/>
          <w:szCs w:val="28"/>
          <w:rtl/>
        </w:rPr>
        <w:t xml:space="preserve">، محمّد بن محمّد</w:t>
      </w:r>
    </w:p>
    <w:p>
      <w:pPr>
        <w:pStyle w:val="BookText"/>
      </w:pPr>
      <w:r>
        <w:rPr>
          <w:rFonts w:ascii="Amiri" w:hAnsi="Amiri" w:eastAsia="Amiri" w:cs="Amiri"/>
          <w:lang w:bidi="ar-SA"/>
          <w:color w:val="111111"/>
          <w:sz w:val="28"/>
          <w:szCs w:val="28"/>
          <w:rtl/>
        </w:rPr>
        <w:t xml:space="preserve">عبيدي آملي ، حيدر بن علي- آملي ، حيدر</w:t>
      </w:r>
    </w:p>
    <w:p>
      <w:pPr>
        <w:pStyle w:val="BookText"/>
      </w:pPr>
      <w:r>
        <w:rPr>
          <w:rFonts w:ascii="Amiri" w:hAnsi="Amiri" w:eastAsia="Amiri" w:cs="Amiri"/>
          <w:lang w:bidi="ar-SA"/>
          <w:color w:val="111111"/>
          <w:sz w:val="28"/>
          <w:szCs w:val="28"/>
          <w:rtl/>
        </w:rPr>
        <w:t xml:space="preserve">بن علي</w:t>
      </w:r>
    </w:p>
    <w:p>
      <w:pPr>
        <w:pStyle w:val="Heading2"/>
      </w:pPr>
      <w:bookmarkStart w:id="5875" w:name="_Toc4977"/>
      <w:r>
        <w:t>عبيدي، ابراهيم بن عامر - 1091 ه-</w:t>
      </w:r>
      <w:bookmarkEnd w:id="5875"/>
    </w:p>
    <w:p>
      <w:pPr>
        <w:pStyle w:val="BookText"/>
      </w:pPr>
      <w:r>
        <w:rPr>
          <w:rFonts w:ascii="IRNazanin" w:hAnsi="IRNazanin" w:eastAsia="IRNazanin" w:cs="IRNazanin"/>
          <w:lang w:bidi="fa-IR"/>
          <w:color w:val="111111"/>
          <w:sz w:val="28"/>
          <w:szCs w:val="28"/>
          <w:rtl/>
        </w:rPr>
        <w:t xml:space="preserve">ألغاز، ج 2، ص 669 .</w:t>
      </w:r>
    </w:p>
    <w:p>
      <w:pPr>
        <w:pStyle w:val="BookText"/>
      </w:pPr>
      <w:r>
        <w:rPr>
          <w:rFonts w:ascii="Amiri" w:hAnsi="Amiri" w:eastAsia="Amiri" w:cs="Amiri"/>
          <w:lang w:bidi="ar-SA"/>
          <w:color w:val="111111"/>
          <w:sz w:val="28"/>
          <w:szCs w:val="28"/>
          <w:rtl/>
        </w:rPr>
        <w:t xml:space="preserve">عبيدي ، ابوسعيد محمّد بن</w:t>
      </w:r>
    </w:p>
    <w:p>
      <w:pPr>
        <w:pStyle w:val="BookText"/>
      </w:pPr>
      <w:r>
        <w:rPr>
          <w:rFonts w:ascii="Amiri" w:hAnsi="Amiri" w:eastAsia="Amiri" w:cs="Amiri"/>
          <w:lang w:bidi="ar-SA"/>
          <w:color w:val="111111"/>
          <w:sz w:val="28"/>
          <w:szCs w:val="28"/>
          <w:rtl/>
        </w:rPr>
        <w:t xml:space="preserve">احمد -عميدي ، محمّد بن احمد</w:t>
      </w:r>
    </w:p>
    <w:p>
      <w:pPr>
        <w:pStyle w:val="BookText"/>
      </w:pPr>
      <w:r>
        <w:rPr>
          <w:rFonts w:ascii="Amiri" w:hAnsi="Amiri" w:eastAsia="Amiri" w:cs="Amiri"/>
          <w:lang w:bidi="ar-SA"/>
          <w:color w:val="111111"/>
          <w:sz w:val="28"/>
          <w:szCs w:val="28"/>
          <w:rtl/>
        </w:rPr>
        <w:t xml:space="preserve">عبيدي ، احمد بن علي -مقريزي ، احمد</w:t>
      </w:r>
    </w:p>
    <w:p>
      <w:pPr>
        <w:pStyle w:val="BookText"/>
      </w:pPr>
      <w:r>
        <w:rPr>
          <w:rFonts w:ascii="Amiri" w:hAnsi="Amiri" w:eastAsia="Amiri" w:cs="Amiri"/>
          <w:lang w:bidi="ar-SA"/>
          <w:color w:val="111111"/>
          <w:sz w:val="28"/>
          <w:szCs w:val="28"/>
          <w:rtl/>
        </w:rPr>
        <w:t xml:space="preserve">عبيدي ، جلال الدين فضل الله -عبيدي</w:t>
      </w:r>
    </w:p>
    <w:p>
      <w:pPr>
        <w:pStyle w:val="BookText"/>
      </w:pPr>
      <w:r>
        <w:rPr>
          <w:rFonts w:ascii="Amiri" w:hAnsi="Amiri" w:eastAsia="Amiri" w:cs="Amiri"/>
          <w:lang w:bidi="ar-SA"/>
          <w:color w:val="111111"/>
          <w:sz w:val="28"/>
          <w:szCs w:val="28"/>
          <w:rtl/>
        </w:rPr>
        <w:t xml:space="preserve">فضل الله بن عبد الرحيم</w:t>
      </w:r>
    </w:p>
    <w:p>
      <w:pPr>
        <w:pStyle w:val="Heading2"/>
      </w:pPr>
      <w:bookmarkStart w:id="5876" w:name="_Toc4978"/>
      <w:r>
        <w:t>عبيدي، سليمان بن عبدالله</w:t>
      </w:r>
      <w:bookmarkEnd w:id="5876"/>
    </w:p>
    <w:p>
      <w:pPr>
        <w:pStyle w:val="BookText"/>
      </w:pPr>
      <w:r>
        <w:rPr>
          <w:rFonts w:ascii="IRNazanin" w:hAnsi="IRNazanin" w:eastAsia="IRNazanin" w:cs="IRNazanin"/>
          <w:lang w:bidi="fa-IR"/>
          <w:color w:val="111111"/>
          <w:sz w:val="28"/>
          <w:szCs w:val="28"/>
          <w:rtl/>
        </w:rPr>
        <w:t xml:space="preserve">نظم متن قطر الندى، ج 16، ص 361. 790؟ ه-</w:t>
      </w:r>
    </w:p>
    <w:p>
      <w:pPr>
        <w:pStyle w:val="BookText"/>
      </w:pPr>
      <w:r>
        <w:rPr>
          <w:rFonts w:ascii="Amiri" w:hAnsi="Amiri" w:eastAsia="Amiri" w:cs="Amiri"/>
          <w:lang w:bidi="ar-SA"/>
          <w:color w:val="111111"/>
          <w:sz w:val="28"/>
          <w:szCs w:val="28"/>
          <w:rtl/>
        </w:rPr>
        <w:t xml:space="preserve">عبيدي ، عبدالله بن عبد الكافي- عبيدي ،</w:t>
      </w:r>
    </w:p>
    <w:p>
      <w:pPr>
        <w:pStyle w:val="BookText"/>
      </w:pPr>
      <w:r>
        <w:rPr>
          <w:rFonts w:ascii="Amiri" w:hAnsi="Amiri" w:eastAsia="Amiri" w:cs="Amiri"/>
          <w:lang w:bidi="ar-SA"/>
          <w:color w:val="111111"/>
          <w:sz w:val="28"/>
          <w:szCs w:val="28"/>
          <w:rtl/>
        </w:rPr>
        <w:t xml:space="preserve">عبيدالله بن عبدالكافي</w:t>
      </w:r>
    </w:p>
    <w:p>
      <w:pPr>
        <w:pStyle w:val="BookText"/>
      </w:pPr>
      <w:r>
        <w:rPr>
          <w:rFonts w:ascii="Amiri" w:hAnsi="Amiri" w:eastAsia="Amiri" w:cs="Amiri"/>
          <w:lang w:bidi="ar-SA"/>
          <w:color w:val="111111"/>
          <w:sz w:val="28"/>
          <w:szCs w:val="28"/>
          <w:rtl/>
        </w:rPr>
        <w:t xml:space="preserve">عبيدي ، عبدالوهاب بن عبد القادر -نائب</w:t>
      </w:r>
    </w:p>
    <w:p>
      <w:pPr>
        <w:pStyle w:val="BookText"/>
      </w:pPr>
      <w:r>
        <w:rPr>
          <w:rFonts w:ascii="IRNazanin" w:hAnsi="IRNazanin" w:eastAsia="IRNazanin" w:cs="IRNazanin"/>
          <w:lang w:bidi="fa-IR"/>
          <w:color w:val="111111"/>
          <w:sz w:val="28"/>
          <w:szCs w:val="28"/>
          <w:rtl/>
        </w:rPr>
        <w:t xml:space="preserve">، عبدالوهاب بن عبد القادر</w:t>
      </w:r>
    </w:p>
    <w:p>
      <w:pPr>
        <w:pStyle w:val="Heading2"/>
      </w:pPr>
      <w:bookmarkStart w:id="5877" w:name="_Toc4979"/>
      <w:r>
        <w:t>عبيدي ، عبيدالله بن عبدالكافي، قرن 8 ه-</w:t>
      </w:r>
      <w:bookmarkEnd w:id="5877"/>
    </w:p>
    <w:p>
      <w:pPr>
        <w:pStyle w:val="BookText"/>
      </w:pPr>
      <w:r>
        <w:rPr>
          <w:rFonts w:ascii="Amiri" w:hAnsi="Amiri" w:eastAsia="Amiri" w:cs="Amiri"/>
          <w:lang w:bidi="ar-SA"/>
          <w:color w:val="111111"/>
          <w:sz w:val="28"/>
          <w:szCs w:val="28"/>
          <w:rtl/>
        </w:rPr>
        <w:t xml:space="preserve">1 .الرسالة اللزومية، ج8، ص258.</w:t>
      </w:r>
    </w:p>
    <w:p>
      <w:pPr>
        <w:pStyle w:val="BookText"/>
      </w:pPr>
      <w:r>
        <w:rPr>
          <w:rFonts w:ascii="Amiri" w:hAnsi="Amiri" w:eastAsia="Amiri" w:cs="Amiri"/>
          <w:lang w:bidi="ar-SA"/>
          <w:color w:val="111111"/>
          <w:sz w:val="28"/>
          <w:szCs w:val="28"/>
          <w:rtl/>
        </w:rPr>
        <w:t xml:space="preserve">2 .الكافي في علمي العروض والقوافي - شرح القصيدة الساوية - شرح عروض الساوي، ج 13، ص 52.</w:t>
      </w:r>
    </w:p>
    <w:p>
      <w:pPr>
        <w:pStyle w:val="Heading2"/>
      </w:pPr>
      <w:bookmarkStart w:id="5878" w:name="_Toc4980"/>
      <w:r>
        <w:t>عبيدي ، فضل الله بن عبد الرحيم قرن 8</w:t>
      </w:r>
      <w:bookmarkEnd w:id="5878"/>
    </w:p>
    <w:p>
      <w:pPr>
        <w:pStyle w:val="BookText"/>
      </w:pPr>
      <w:r>
        <w:rPr>
          <w:rFonts w:ascii="Amiri" w:hAnsi="Amiri" w:eastAsia="Amiri" w:cs="Amiri"/>
          <w:lang w:bidi="ar-SA"/>
          <w:color w:val="111111"/>
          <w:sz w:val="28"/>
          <w:szCs w:val="28"/>
          <w:rtl/>
        </w:rPr>
        <w:t xml:space="preserve">1 .شرح الملخص في الهيئة = حاشية</w:t>
      </w:r>
    </w:p>
    <w:p>
      <w:pPr>
        <w:pStyle w:val="BookText"/>
      </w:pPr>
      <w:r>
        <w:rPr>
          <w:rFonts w:ascii="IRNazanin" w:hAnsi="IRNazanin" w:eastAsia="IRNazanin" w:cs="IRNazanin"/>
          <w:lang w:bidi="fa-IR"/>
          <w:color w:val="111111"/>
          <w:sz w:val="28"/>
          <w:szCs w:val="28"/>
          <w:rtl/>
        </w:rPr>
        <w:t xml:space="preserve">الملخص، ج10، ص217.</w:t>
      </w:r>
    </w:p>
    <w:p>
      <w:pPr>
        <w:pStyle w:val="BookText"/>
      </w:pPr>
      <w:r>
        <w:rPr>
          <w:rFonts w:ascii="Amiri" w:hAnsi="Amiri" w:eastAsia="Amiri" w:cs="Amiri"/>
          <w:lang w:bidi="ar-SA"/>
          <w:color w:val="111111"/>
          <w:sz w:val="28"/>
          <w:szCs w:val="28"/>
          <w:rtl/>
        </w:rPr>
        <w:t xml:space="preserve">2 .مختصر في معرفة مقادير الابعاد و</w:t>
      </w:r>
    </w:p>
    <w:p>
      <w:pPr>
        <w:pStyle w:val="BookText"/>
      </w:pPr>
      <w:r>
        <w:rPr>
          <w:rFonts w:ascii="IRNazanin" w:hAnsi="IRNazanin" w:eastAsia="IRNazanin" w:cs="IRNazanin"/>
          <w:lang w:bidi="fa-IR"/>
          <w:color w:val="111111"/>
          <w:sz w:val="28"/>
          <w:szCs w:val="28"/>
          <w:rtl/>
        </w:rPr>
        <w:t xml:space="preserve">الاجرام، ج14، ص228.</w:t>
      </w:r>
    </w:p>
    <w:p>
      <w:pPr>
        <w:pStyle w:val="BookText"/>
      </w:pPr>
      <w:r>
        <w:rPr>
          <w:rFonts w:ascii="Amiri" w:hAnsi="Amiri" w:eastAsia="Amiri" w:cs="Amiri"/>
          <w:lang w:bidi="ar-SA"/>
          <w:color w:val="111111"/>
          <w:sz w:val="28"/>
          <w:szCs w:val="28"/>
          <w:rtl/>
        </w:rPr>
        <w:t xml:space="preserve">عبيدي ، محمّد بن اسد -جواني ، محمّد</w:t>
      </w:r>
    </w:p>
    <w:p>
      <w:pPr>
        <w:pStyle w:val="BookText"/>
      </w:pPr>
      <w:r>
        <w:rPr>
          <w:rFonts w:ascii="IRNazanin" w:hAnsi="IRNazanin" w:eastAsia="IRNazanin" w:cs="IRNazanin"/>
          <w:lang w:bidi="fa-IR"/>
          <w:color w:val="111111"/>
          <w:sz w:val="28"/>
          <w:szCs w:val="28"/>
          <w:rtl/>
        </w:rPr>
        <w:t xml:space="preserve">بن اسعد</w:t>
      </w:r>
    </w:p>
    <w:p>
      <w:pPr>
        <w:pStyle w:val="BookText"/>
      </w:pPr>
      <w:r>
        <w:rPr>
          <w:rFonts w:ascii="Amiri" w:hAnsi="Amiri" w:eastAsia="Amiri" w:cs="Amiri"/>
          <w:lang w:bidi="ar-SA"/>
          <w:color w:val="111111"/>
          <w:sz w:val="28"/>
          <w:szCs w:val="28"/>
          <w:rtl/>
        </w:rPr>
        <w:t xml:space="preserve">عبيدي هروي، احمد بن محمّد- ابوعبيد</w:t>
      </w:r>
    </w:p>
    <w:p>
      <w:pPr>
        <w:pStyle w:val="BookText"/>
      </w:pPr>
      <w:r>
        <w:rPr>
          <w:rFonts w:ascii="Amiri" w:hAnsi="Amiri" w:eastAsia="Amiri" w:cs="Amiri"/>
          <w:lang w:bidi="ar-SA"/>
          <w:color w:val="111111"/>
          <w:sz w:val="28"/>
          <w:szCs w:val="28"/>
          <w:rtl/>
        </w:rPr>
        <w:t xml:space="preserve">هروي ، احمد بن محمّد</w:t>
      </w:r>
    </w:p>
    <w:p>
      <w:pPr>
        <w:pStyle w:val="BookText"/>
      </w:pPr>
      <w:r>
        <w:rPr>
          <w:rFonts w:ascii="Amiri" w:hAnsi="Amiri" w:eastAsia="Amiri" w:cs="Amiri"/>
          <w:lang w:bidi="ar-SA"/>
          <w:color w:val="111111"/>
          <w:sz w:val="28"/>
          <w:szCs w:val="28"/>
          <w:rtl/>
        </w:rPr>
        <w:t xml:space="preserve">عبيدي ، وليد بن عبدالكريم- اعظمي</w:t>
      </w:r>
    </w:p>
    <w:p>
      <w:pPr>
        <w:pStyle w:val="BookText"/>
      </w:pPr>
      <w:r>
        <w:rPr>
          <w:rFonts w:ascii="Amiri" w:hAnsi="Amiri" w:eastAsia="Amiri" w:cs="Amiri"/>
          <w:lang w:bidi="ar-SA"/>
          <w:color w:val="111111"/>
          <w:sz w:val="28"/>
          <w:szCs w:val="28"/>
          <w:rtl/>
        </w:rPr>
        <w:t xml:space="preserve">وليد بن عبدالكريم</w:t>
      </w:r>
    </w:p>
    <w:p>
      <w:pPr>
        <w:pStyle w:val="BookText"/>
      </w:pPr>
      <w:r>
        <w:rPr>
          <w:rFonts w:ascii="Amiri" w:hAnsi="Amiri" w:eastAsia="Amiri" w:cs="Amiri"/>
          <w:lang w:bidi="ar-SA"/>
          <w:color w:val="111111"/>
          <w:sz w:val="28"/>
          <w:szCs w:val="28"/>
          <w:rtl/>
        </w:rPr>
        <w:t xml:space="preserve">عتائقي ، عبد الرحمن بن محمّد- عتايقي</w:t>
      </w:r>
    </w:p>
    <w:p>
      <w:pPr>
        <w:pStyle w:val="BookText"/>
      </w:pPr>
      <w:r>
        <w:rPr>
          <w:rFonts w:ascii="IRNazanin" w:hAnsi="IRNazanin" w:eastAsia="IRNazanin" w:cs="IRNazanin"/>
          <w:lang w:bidi="fa-IR"/>
          <w:color w:val="111111"/>
          <w:sz w:val="28"/>
          <w:szCs w:val="28"/>
          <w:rtl/>
        </w:rPr>
        <w:t xml:space="preserve">عبد الرحمن بن محمّد</w:t>
      </w:r>
    </w:p>
    <w:p>
      <w:pPr>
        <w:pStyle w:val="BookText"/>
      </w:pPr>
      <w:r>
        <w:rPr>
          <w:rFonts w:ascii="Amiri" w:hAnsi="Amiri" w:eastAsia="Amiri" w:cs="Amiri"/>
          <w:lang w:bidi="ar-SA"/>
          <w:color w:val="111111"/>
          <w:sz w:val="28"/>
          <w:szCs w:val="28"/>
          <w:rtl/>
        </w:rPr>
        <w:t xml:space="preserve">عتائقي حلي ، عبدالرحمان بن محمّد -عتايقي ، عبد الرحمن بن محمّد</w:t>
      </w:r>
    </w:p>
    <w:p>
      <w:pPr>
        <w:pStyle w:val="Heading2"/>
      </w:pPr>
      <w:bookmarkStart w:id="5879" w:name="_Toc4981"/>
      <w:r>
        <w:t>عتايقي ، عبد الرحمن بن محمّد 699 -</w:t>
      </w:r>
      <w:bookmarkEnd w:id="5879"/>
    </w:p>
    <w:p>
      <w:pPr>
        <w:pStyle w:val="BookText"/>
      </w:pPr>
      <w:r>
        <w:rPr>
          <w:rFonts w:ascii="Amiri" w:hAnsi="Amiri" w:eastAsia="Amiri" w:cs="Amiri"/>
          <w:lang w:bidi="ar-SA"/>
          <w:color w:val="111111"/>
          <w:sz w:val="28"/>
          <w:szCs w:val="28"/>
          <w:rtl/>
        </w:rPr>
        <w:t xml:space="preserve">1 .الارشاد في معرفة تقادير الابعاد</w:t>
      </w:r>
    </w:p>
    <w:p>
      <w:pPr>
        <w:pStyle w:val="BookText"/>
      </w:pPr>
      <w:r>
        <w:rPr>
          <w:rFonts w:ascii="IRNazanin" w:hAnsi="IRNazanin" w:eastAsia="IRNazanin" w:cs="IRNazanin"/>
          <w:lang w:bidi="fa-IR"/>
          <w:color w:val="111111"/>
          <w:sz w:val="28"/>
          <w:szCs w:val="28"/>
          <w:rtl/>
        </w:rPr>
        <w:t xml:space="preserve">ج 2، ص 41.</w:t>
      </w:r>
    </w:p>
    <w:p>
      <w:pPr>
        <w:pStyle w:val="BookText"/>
      </w:pPr>
      <w:r>
        <w:rPr>
          <w:rFonts w:ascii="Amiri" w:hAnsi="Amiri" w:eastAsia="Amiri" w:cs="Amiri"/>
          <w:lang w:bidi="ar-SA"/>
          <w:color w:val="111111"/>
          <w:sz w:val="28"/>
          <w:szCs w:val="28"/>
          <w:rtl/>
        </w:rPr>
        <w:t xml:space="preserve">2 .الاماقي في شرح كتاب الايلاقي، ج 2،</w:t>
      </w:r>
    </w:p>
    <w:p>
      <w:pPr>
        <w:pStyle w:val="BookText"/>
      </w:pPr>
      <w:r>
        <w:rPr>
          <w:rFonts w:ascii="IRNazanin" w:hAnsi="IRNazanin" w:eastAsia="IRNazanin" w:cs="IRNazanin"/>
          <w:lang w:bidi="fa-IR"/>
          <w:color w:val="111111"/>
          <w:sz w:val="28"/>
          <w:szCs w:val="28"/>
          <w:rtl/>
        </w:rPr>
        <w:t xml:space="preserve">ص 704.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الإيضاح و التبيين في شرح منهاج</w:t>
      </w:r>
    </w:p>
    <w:p>
      <w:pPr>
        <w:pStyle w:val="BookText"/>
      </w:pPr>
      <w:r>
        <w:rPr>
          <w:rFonts w:ascii="Amiri" w:hAnsi="Amiri" w:eastAsia="Amiri" w:cs="Amiri"/>
          <w:lang w:bidi="ar-SA"/>
          <w:color w:val="111111"/>
          <w:sz w:val="28"/>
          <w:szCs w:val="28"/>
          <w:rtl/>
        </w:rPr>
        <w:t xml:space="preserve">اليقين، ج 3، ص 140.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63" w:name="pg7742_70770"/>
    <w:bookmarkEnd w:id="763"/>
    <w:p>
      <w:pPr>
        <w:pStyle w:val="BookText"/>
      </w:pPr>
      <w:r>
        <w:rPr>
          <w:rFonts w:ascii="Amiri" w:hAnsi="Amiri" w:eastAsia="Amiri" w:cs="Amiri"/>
          <w:lang w:bidi="ar-SA"/>
          <w:color w:val="111111"/>
          <w:sz w:val="28"/>
          <w:szCs w:val="28"/>
          <w:rtl/>
        </w:rPr>
        <w:t xml:space="preserve">4 .البسط و البيان في شرح تجريد</w:t>
      </w:r>
    </w:p>
    <w:p>
      <w:pPr>
        <w:pStyle w:val="BookText"/>
      </w:pPr>
      <w:r>
        <w:rPr>
          <w:rFonts w:ascii="Amiri" w:hAnsi="Amiri" w:eastAsia="Amiri" w:cs="Amiri"/>
          <w:lang w:bidi="ar-SA"/>
          <w:color w:val="111111"/>
          <w:sz w:val="28"/>
          <w:szCs w:val="28"/>
          <w:rtl/>
        </w:rPr>
        <w:t xml:space="preserve">الميزان، ج 3، ص330.</w:t>
      </w:r>
    </w:p>
    <w:p>
      <w:pPr>
        <w:pStyle w:val="BookText"/>
      </w:pPr>
      <w:r>
        <w:rPr>
          <w:rFonts w:ascii="Amiri" w:hAnsi="Amiri" w:eastAsia="Amiri" w:cs="Amiri"/>
          <w:lang w:bidi="ar-SA"/>
          <w:color w:val="111111"/>
          <w:sz w:val="28"/>
          <w:szCs w:val="28"/>
          <w:rtl/>
        </w:rPr>
        <w:t xml:space="preserve">5 .البلاغة (مختصر في) = البديع -</w:t>
      </w:r>
    </w:p>
    <w:p>
      <w:pPr>
        <w:pStyle w:val="BookText"/>
      </w:pPr>
      <w:r>
        <w:rPr>
          <w:rFonts w:ascii="Amiri" w:hAnsi="Amiri" w:eastAsia="Amiri" w:cs="Amiri"/>
          <w:lang w:bidi="ar-SA"/>
          <w:color w:val="111111"/>
          <w:sz w:val="28"/>
          <w:szCs w:val="28"/>
          <w:rtl/>
        </w:rPr>
        <w:t xml:space="preserve">البيان، ج 3، ص 382.</w:t>
      </w:r>
    </w:p>
    <w:p>
      <w:pPr>
        <w:pStyle w:val="BookText"/>
      </w:pPr>
      <w:r>
        <w:rPr>
          <w:rFonts w:ascii="Amiri" w:hAnsi="Amiri" w:eastAsia="Amiri" w:cs="Amiri"/>
          <w:lang w:bidi="ar-SA"/>
          <w:color w:val="111111"/>
          <w:sz w:val="28"/>
          <w:szCs w:val="28"/>
          <w:rtl/>
        </w:rPr>
        <w:t xml:space="preserve">6 .تجريد النية من الرسالة الفخرية</w:t>
      </w:r>
    </w:p>
    <w:p>
      <w:pPr>
        <w:pStyle w:val="BookText"/>
      </w:pPr>
      <w:r>
        <w:rPr>
          <w:rFonts w:ascii="IRNazanin" w:hAnsi="IRNazanin" w:eastAsia="IRNazanin" w:cs="IRNazanin"/>
          <w:lang w:bidi="fa-IR"/>
          <w:color w:val="111111"/>
          <w:sz w:val="28"/>
          <w:szCs w:val="28"/>
          <w:rtl/>
        </w:rPr>
        <w:t xml:space="preserve">ج 3، ص 694 .</w:t>
      </w:r>
    </w:p>
    <w:p>
      <w:pPr>
        <w:pStyle w:val="BookText"/>
      </w:pPr>
      <w:r>
        <w:rPr>
          <w:rFonts w:ascii="Amiri" w:hAnsi="Amiri" w:eastAsia="Amiri" w:cs="Amiri"/>
          <w:lang w:bidi="ar-SA"/>
          <w:color w:val="111111"/>
          <w:sz w:val="28"/>
          <w:szCs w:val="28"/>
          <w:rtl/>
        </w:rPr>
        <w:t xml:space="preserve">7 .التصريح في شرح التلويح إلى أسرار</w:t>
      </w:r>
    </w:p>
    <w:p>
      <w:pPr>
        <w:pStyle w:val="BookText"/>
      </w:pPr>
      <w:r>
        <w:rPr>
          <w:rFonts w:ascii="Amiri" w:hAnsi="Amiri" w:eastAsia="Amiri" w:cs="Amiri"/>
          <w:lang w:bidi="ar-SA"/>
          <w:color w:val="111111"/>
          <w:sz w:val="28"/>
          <w:szCs w:val="28"/>
          <w:rtl/>
        </w:rPr>
        <w:t xml:space="preserve">التنقيح في الطب، ج4، ص 411.</w:t>
      </w:r>
    </w:p>
    <w:p>
      <w:pPr>
        <w:pStyle w:val="BookText"/>
      </w:pPr>
      <w:r>
        <w:rPr>
          <w:rFonts w:ascii="Amiri" w:hAnsi="Amiri" w:eastAsia="Amiri" w:cs="Amiri"/>
          <w:lang w:bidi="ar-SA"/>
          <w:color w:val="111111"/>
          <w:sz w:val="28"/>
          <w:szCs w:val="28"/>
          <w:rtl/>
        </w:rPr>
        <w:t xml:space="preserve">8 .الحدود النحوية و المآخذ الحاجية</w:t>
      </w:r>
    </w:p>
    <w:p>
      <w:pPr>
        <w:pStyle w:val="BookText"/>
      </w:pPr>
      <w:r>
        <w:rPr>
          <w:rFonts w:ascii="IRNazanin" w:hAnsi="IRNazanin" w:eastAsia="IRNazanin" w:cs="IRNazanin"/>
          <w:lang w:bidi="fa-IR"/>
          <w:color w:val="111111"/>
          <w:sz w:val="28"/>
          <w:szCs w:val="28"/>
          <w:rtl/>
        </w:rPr>
        <w:t xml:space="preserve">ج 6 ، ص 551.</w:t>
      </w:r>
    </w:p>
    <w:p>
      <w:pPr>
        <w:pStyle w:val="BookText"/>
      </w:pPr>
      <w:r>
        <w:rPr>
          <w:rFonts w:ascii="Amiri" w:hAnsi="Amiri" w:eastAsia="Amiri" w:cs="Amiri"/>
          <w:lang w:bidi="ar-SA"/>
          <w:color w:val="111111"/>
          <w:sz w:val="28"/>
          <w:szCs w:val="28"/>
          <w:rtl/>
        </w:rPr>
        <w:t xml:space="preserve">9 .الدر المنتخب في لباب الأدب، ج 7،</w:t>
      </w:r>
    </w:p>
    <w:p>
      <w:pPr>
        <w:pStyle w:val="BookText"/>
      </w:pPr>
      <w:r>
        <w:rPr>
          <w:rFonts w:ascii="IRNazanin" w:hAnsi="IRNazanin" w:eastAsia="IRNazanin" w:cs="IRNazanin"/>
          <w:lang w:bidi="fa-IR"/>
          <w:color w:val="111111"/>
          <w:sz w:val="28"/>
          <w:szCs w:val="28"/>
          <w:rtl/>
        </w:rPr>
        <w:t xml:space="preserve">ص 339.</w:t>
      </w:r>
    </w:p>
    <w:p>
      <w:pPr>
        <w:pStyle w:val="BookText"/>
      </w:pPr>
      <w:r>
        <w:rPr>
          <w:rFonts w:ascii="Amiri" w:hAnsi="Amiri" w:eastAsia="Amiri" w:cs="Amiri"/>
          <w:lang w:bidi="ar-SA"/>
          <w:color w:val="111111"/>
          <w:sz w:val="28"/>
          <w:szCs w:val="28"/>
          <w:rtl/>
        </w:rPr>
        <w:t xml:space="preserve">10 .الرسالة الفارقة و الملحة الفائقة</w:t>
      </w:r>
    </w:p>
    <w:p>
      <w:pPr>
        <w:pStyle w:val="BookText"/>
      </w:pPr>
      <w:r>
        <w:rPr>
          <w:rFonts w:ascii="Amiri" w:hAnsi="Amiri" w:eastAsia="Amiri" w:cs="Amiri"/>
          <w:lang w:bidi="ar-SA"/>
          <w:color w:val="111111"/>
          <w:sz w:val="28"/>
          <w:szCs w:val="28"/>
          <w:rtl/>
        </w:rPr>
        <w:t xml:space="preserve">في بيان فرق المسلمين، ج8،</w:t>
      </w:r>
    </w:p>
    <w:p>
      <w:pPr>
        <w:pStyle w:val="BookText"/>
      </w:pPr>
      <w:r>
        <w:rPr>
          <w:rFonts w:ascii="IRNazanin" w:hAnsi="IRNazanin" w:eastAsia="IRNazanin" w:cs="IRNazanin"/>
          <w:lang w:bidi="fa-IR"/>
          <w:color w:val="111111"/>
          <w:sz w:val="28"/>
          <w:szCs w:val="28"/>
          <w:rtl/>
        </w:rPr>
        <w:t xml:space="preserve">ص 235 .</w:t>
      </w:r>
    </w:p>
    <w:p>
      <w:pPr>
        <w:pStyle w:val="BookText"/>
      </w:pPr>
      <w:r>
        <w:rPr>
          <w:rFonts w:ascii="Amiri" w:hAnsi="Amiri" w:eastAsia="Amiri" w:cs="Amiri"/>
          <w:lang w:bidi="ar-SA"/>
          <w:color w:val="111111"/>
          <w:sz w:val="28"/>
          <w:szCs w:val="28"/>
          <w:rtl/>
        </w:rPr>
        <w:t xml:space="preserve">11 .الرسالة المعينة لكل طالب في</w:t>
      </w:r>
    </w:p>
    <w:p>
      <w:pPr>
        <w:pStyle w:val="BookText"/>
      </w:pPr>
      <w:r>
        <w:rPr>
          <w:rFonts w:ascii="Amiri" w:hAnsi="Amiri" w:eastAsia="Amiri" w:cs="Amiri"/>
          <w:lang w:bidi="ar-SA"/>
          <w:color w:val="111111"/>
          <w:sz w:val="28"/>
          <w:szCs w:val="28"/>
          <w:rtl/>
        </w:rPr>
        <w:t xml:space="preserve">معرفة مقدار أبعاد الأفلاك</w:t>
      </w:r>
    </w:p>
    <w:p>
      <w:pPr>
        <w:pStyle w:val="BookText"/>
      </w:pPr>
      <w:r>
        <w:rPr>
          <w:rFonts w:ascii="Amiri" w:hAnsi="Amiri" w:eastAsia="Amiri" w:cs="Amiri"/>
          <w:lang w:bidi="ar-SA"/>
          <w:color w:val="111111"/>
          <w:sz w:val="28"/>
          <w:szCs w:val="28"/>
          <w:rtl/>
        </w:rPr>
        <w:t xml:space="preserve">الكواكب، ج8، ص 275</w:t>
      </w:r>
    </w:p>
    <w:p>
      <w:pPr>
        <w:pStyle w:val="BookText"/>
      </w:pPr>
      <w:r>
        <w:rPr>
          <w:rFonts w:ascii="Amiri" w:hAnsi="Amiri" w:eastAsia="Amiri" w:cs="Amiri"/>
          <w:lang w:bidi="ar-SA"/>
          <w:color w:val="111111"/>
          <w:sz w:val="28"/>
          <w:szCs w:val="28"/>
          <w:rtl/>
        </w:rPr>
        <w:t xml:space="preserve">12 .الرسالة المفردة في الأدوية المفردة</w:t>
      </w:r>
    </w:p>
    <w:p>
      <w:pPr>
        <w:pStyle w:val="BookText"/>
      </w:pPr>
      <w:r>
        <w:rPr>
          <w:rFonts w:ascii="IRNazanin" w:hAnsi="IRNazanin" w:eastAsia="IRNazanin" w:cs="IRNazanin"/>
          <w:lang w:bidi="fa-IR"/>
          <w:color w:val="111111"/>
          <w:sz w:val="28"/>
          <w:szCs w:val="28"/>
          <w:rtl/>
        </w:rPr>
        <w:t xml:space="preserve">، ج 8، ص 275.</w:t>
      </w:r>
    </w:p>
    <w:p>
      <w:pPr>
        <w:pStyle w:val="BookText"/>
      </w:pPr>
      <w:r>
        <w:rPr>
          <w:rFonts w:ascii="Amiri" w:hAnsi="Amiri" w:eastAsia="Amiri" w:cs="Amiri"/>
          <w:lang w:bidi="ar-SA"/>
          <w:color w:val="111111"/>
          <w:sz w:val="28"/>
          <w:szCs w:val="28"/>
          <w:rtl/>
        </w:rPr>
        <w:t xml:space="preserve">13 .زبدة رسالة العلم، ج8، ص 576.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القانون في الطب، ج 9،</w:t>
      </w:r>
    </w:p>
    <w:p>
      <w:pPr>
        <w:pStyle w:val="BookText"/>
      </w:pPr>
      <w:r>
        <w:rPr>
          <w:rFonts w:ascii="IRNazanin" w:hAnsi="IRNazanin" w:eastAsia="IRNazanin" w:cs="IRNazanin"/>
          <w:lang w:bidi="fa-IR"/>
          <w:color w:val="111111"/>
          <w:sz w:val="28"/>
          <w:szCs w:val="28"/>
          <w:rtl/>
        </w:rPr>
        <w:t xml:space="preserve">ص 819.</w:t>
      </w:r>
    </w:p>
    <w:p>
      <w:pPr>
        <w:pStyle w:val="BookText"/>
      </w:pPr>
      <w:r>
        <w:rPr>
          <w:rFonts w:ascii="Amiri" w:hAnsi="Amiri" w:eastAsia="Amiri" w:cs="Amiri"/>
          <w:lang w:bidi="ar-SA"/>
          <w:color w:val="111111"/>
          <w:sz w:val="28"/>
          <w:szCs w:val="28"/>
          <w:rtl/>
        </w:rPr>
        <w:t xml:space="preserve">15 .شرح القصيدة الساسانية، ج9، ص869.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الملخص في الهيئة، ج10،</w:t>
      </w:r>
    </w:p>
    <w:p>
      <w:pPr>
        <w:pStyle w:val="BookText"/>
      </w:pPr>
      <w:r>
        <w:rPr>
          <w:rFonts w:ascii="Amiri" w:hAnsi="Amiri" w:eastAsia="Amiri" w:cs="Amiri"/>
          <w:lang w:bidi="ar-SA"/>
          <w:color w:val="111111"/>
          <w:sz w:val="28"/>
          <w:szCs w:val="28"/>
          <w:rtl/>
        </w:rPr>
        <w:t xml:space="preserve">افندي</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IRNazanin" w:hAnsi="IRNazanin" w:eastAsia="IRNazanin" w:cs="IRNazanin"/>
          <w:lang w:bidi="fa-IR"/>
          <w:color w:val="111111"/>
          <w:sz w:val="28"/>
          <w:szCs w:val="28"/>
          <w:rtl/>
        </w:rPr>
        <w:t xml:space="preserve">17 .شرح دیوان أبي الطيب المتنبي</w:t>
      </w:r>
    </w:p>
    <w:p>
      <w:pPr>
        <w:pStyle w:val="BookText"/>
      </w:pPr>
      <w:r>
        <w:rPr>
          <w:rFonts w:ascii="IRNazanin" w:hAnsi="IRNazanin" w:eastAsia="IRNazanin" w:cs="IRNazanin"/>
          <w:lang w:bidi="fa-IR"/>
          <w:color w:val="111111"/>
          <w:sz w:val="28"/>
          <w:szCs w:val="28"/>
          <w:rtl/>
        </w:rPr>
        <w:t xml:space="preserve">ج 9، ص 481.</w:t>
      </w:r>
    </w:p>
    <w:p>
      <w:pPr>
        <w:pStyle w:val="BookText"/>
      </w:pPr>
      <w:r>
        <w:rPr>
          <w:rFonts w:ascii="Amiri" w:hAnsi="Amiri" w:eastAsia="Amiri" w:cs="Amiri"/>
          <w:lang w:bidi="ar-SA"/>
          <w:color w:val="111111"/>
          <w:sz w:val="28"/>
          <w:szCs w:val="28"/>
          <w:rtl/>
        </w:rPr>
        <w:t xml:space="preserve">18 .الشهدة في شرح تعريب، ج10،</w:t>
      </w:r>
    </w:p>
    <w:p>
      <w:pPr>
        <w:pStyle w:val="BookText"/>
      </w:pPr>
      <w:r>
        <w:rPr>
          <w:rFonts w:ascii="IRNazanin" w:hAnsi="IRNazanin" w:eastAsia="IRNazanin" w:cs="IRNazanin"/>
          <w:lang w:bidi="fa-IR"/>
          <w:color w:val="111111"/>
          <w:sz w:val="28"/>
          <w:szCs w:val="28"/>
          <w:rtl/>
        </w:rPr>
        <w:t xml:space="preserve">ص 435 .</w:t>
      </w:r>
    </w:p>
    <w:p>
      <w:pPr>
        <w:pStyle w:val="BookText"/>
      </w:pPr>
      <w:r>
        <w:rPr>
          <w:rFonts w:ascii="Amiri" w:hAnsi="Amiri" w:eastAsia="Amiri" w:cs="Amiri"/>
          <w:lang w:bidi="ar-SA"/>
          <w:color w:val="111111"/>
          <w:sz w:val="28"/>
          <w:szCs w:val="28"/>
          <w:rtl/>
        </w:rPr>
        <w:t xml:space="preserve">19 .صفة الصفوة للعارف، ج10،</w:t>
      </w:r>
    </w:p>
    <w:p>
      <w:pPr>
        <w:pStyle w:val="BookText"/>
      </w:pPr>
      <w:r>
        <w:rPr>
          <w:rFonts w:ascii="IRNazanin" w:hAnsi="IRNazanin" w:eastAsia="IRNazanin" w:cs="IRNazanin"/>
          <w:lang w:bidi="fa-IR"/>
          <w:color w:val="111111"/>
          <w:sz w:val="28"/>
          <w:szCs w:val="28"/>
          <w:rtl/>
        </w:rPr>
        <w:t xml:space="preserve">ص 569.</w:t>
      </w:r>
    </w:p>
    <w:p>
      <w:pPr>
        <w:pStyle w:val="BookText"/>
      </w:pPr>
      <w:r>
        <w:rPr>
          <w:rFonts w:ascii="Amiri" w:hAnsi="Amiri" w:eastAsia="Amiri" w:cs="Amiri"/>
          <w:lang w:bidi="ar-SA"/>
          <w:color w:val="111111"/>
          <w:sz w:val="28"/>
          <w:szCs w:val="28"/>
          <w:rtl/>
        </w:rPr>
        <w:t xml:space="preserve">20 .القسطاس المستقيم و النهج</w:t>
      </w:r>
    </w:p>
    <w:p>
      <w:pPr>
        <w:pStyle w:val="BookText"/>
      </w:pPr>
      <w:r>
        <w:rPr>
          <w:rFonts w:ascii="Amiri" w:hAnsi="Amiri" w:eastAsia="Amiri" w:cs="Amiri"/>
          <w:lang w:bidi="ar-SA"/>
          <w:color w:val="111111"/>
          <w:sz w:val="28"/>
          <w:szCs w:val="28"/>
          <w:rtl/>
        </w:rPr>
        <w:t xml:space="preserve">القويم، ج 12، ص 584.</w:t>
      </w:r>
    </w:p>
    <w:p>
      <w:pPr>
        <w:pStyle w:val="BookText"/>
      </w:pPr>
      <w:r>
        <w:rPr>
          <w:rFonts w:ascii="Amiri" w:hAnsi="Amiri" w:eastAsia="Amiri" w:cs="Amiri"/>
          <w:lang w:bidi="ar-SA"/>
          <w:color w:val="111111"/>
          <w:sz w:val="28"/>
          <w:szCs w:val="28"/>
          <w:rtl/>
        </w:rPr>
        <w:t xml:space="preserve">21 .مختصر شرح حكمة الإشراق</w:t>
      </w:r>
    </w:p>
    <w:p>
      <w:pPr>
        <w:pStyle w:val="BookText"/>
      </w:pPr>
      <w:r>
        <w:rPr>
          <w:rFonts w:ascii="IRNazanin" w:hAnsi="IRNazanin" w:eastAsia="IRNazanin" w:cs="IRNazanin"/>
          <w:lang w:bidi="fa-IR"/>
          <w:color w:val="111111"/>
          <w:sz w:val="28"/>
          <w:szCs w:val="28"/>
          <w:rtl/>
        </w:rPr>
        <w:t xml:space="preserve">ج 14، ص 199.</w:t>
      </w:r>
    </w:p>
    <w:p>
      <w:pPr>
        <w:pStyle w:val="BookText"/>
      </w:pPr>
      <w:r>
        <w:rPr>
          <w:rFonts w:ascii="Amiri" w:hAnsi="Amiri" w:eastAsia="Amiri" w:cs="Amiri"/>
          <w:lang w:bidi="ar-SA"/>
          <w:color w:val="111111"/>
          <w:sz w:val="28"/>
          <w:szCs w:val="28"/>
          <w:rtl/>
        </w:rPr>
        <w:t xml:space="preserve">22 .معرفة مقادير الابعاد و الاجرام</w:t>
      </w:r>
    </w:p>
    <w:p>
      <w:pPr>
        <w:pStyle w:val="BookText"/>
      </w:pPr>
      <w:r>
        <w:rPr>
          <w:rFonts w:ascii="IRNazanin" w:hAnsi="IRNazanin" w:eastAsia="IRNazanin" w:cs="IRNazanin"/>
          <w:lang w:bidi="fa-IR"/>
          <w:color w:val="111111"/>
          <w:sz w:val="28"/>
          <w:szCs w:val="28"/>
          <w:rtl/>
        </w:rPr>
        <w:t xml:space="preserve">ج 15، ص 71.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المناظرات، ج 15 ، ص 511.</w:t>
      </w:r>
    </w:p>
    <w:p>
      <w:pPr>
        <w:pStyle w:val="BookText"/>
      </w:pPr>
      <w:r>
        <w:rPr>
          <w:rFonts w:ascii="IRNazanin" w:hAnsi="IRNazanin" w:eastAsia="IRNazanin" w:cs="IRNazanin"/>
          <w:lang w:bidi="fa-IR"/>
          <w:color w:val="111111"/>
          <w:sz w:val="28"/>
          <w:szCs w:val="28"/>
          <w:rtl/>
        </w:rPr>
        <w:t xml:space="preserve">24 .الناسخ والمنسوخ، ج 16، ص87.</w:t>
      </w:r>
    </w:p>
    <w:p>
      <w:pPr>
        <w:pStyle w:val="BookText"/>
      </w:pPr>
      <w:r>
        <w:rPr>
          <w:rFonts w:ascii="Amiri" w:hAnsi="Amiri" w:eastAsia="Amiri" w:cs="Amiri"/>
          <w:lang w:bidi="ar-SA"/>
          <w:color w:val="111111"/>
          <w:sz w:val="28"/>
          <w:szCs w:val="28"/>
          <w:rtl/>
        </w:rPr>
        <w:t xml:space="preserve">عتبي ، ابونصر محمّد بن عبد الجبار -عتبي ، محمّد بن عبدالجبار</w:t>
      </w:r>
    </w:p>
    <w:p>
      <w:pPr>
        <w:pStyle w:val="Heading2"/>
      </w:pPr>
      <w:bookmarkStart w:id="5880" w:name="_Toc4982"/>
      <w:r>
        <w:t>عتبي ، محمّد بن عبد الجبار، 350 - 427</w:t>
      </w:r>
      <w:bookmarkEnd w:id="5880"/>
    </w:p>
    <w:p>
      <w:pPr>
        <w:pStyle w:val="BookText"/>
      </w:pPr>
      <w:r>
        <w:rPr>
          <w:rFonts w:ascii="IRNazanin" w:hAnsi="IRNazanin" w:eastAsia="IRNazanin" w:cs="IRNazanin"/>
          <w:lang w:bidi="fa-IR"/>
          <w:color w:val="111111"/>
          <w:sz w:val="28"/>
          <w:szCs w:val="28"/>
          <w:rtl/>
        </w:rPr>
        <w:t xml:space="preserve">؟ ه-</w:t>
      </w:r>
    </w:p>
    <w:p>
      <w:pPr>
        <w:pStyle w:val="BookText"/>
      </w:pPr>
      <w:r>
        <w:rPr>
          <w:rFonts w:ascii="Amiri" w:hAnsi="Amiri" w:eastAsia="Amiri" w:cs="Amiri"/>
          <w:lang w:bidi="ar-SA"/>
          <w:color w:val="111111"/>
          <w:sz w:val="28"/>
          <w:szCs w:val="28"/>
          <w:rtl/>
        </w:rPr>
        <w:t xml:space="preserve">تاريخ اليميني = تاريخ عتبي = معجز</w:t>
      </w:r>
    </w:p>
    <w:p>
      <w:pPr>
        <w:pStyle w:val="BookText"/>
      </w:pPr>
      <w:r>
        <w:rPr>
          <w:rFonts w:ascii="Amiri" w:hAnsi="Amiri" w:eastAsia="Amiri" w:cs="Amiri"/>
          <w:lang w:bidi="ar-SA"/>
          <w:color w:val="111111"/>
          <w:sz w:val="28"/>
          <w:szCs w:val="28"/>
          <w:rtl/>
        </w:rPr>
        <w:t xml:space="preserve">الكتاب و محرز الاداب، ج 3، ص 615.</w:t>
      </w:r>
    </w:p>
    <w:p>
      <w:pPr>
        <w:pStyle w:val="BookText"/>
      </w:pPr>
      <w:r>
        <w:rPr>
          <w:rFonts w:ascii="Amiri" w:hAnsi="Amiri" w:eastAsia="Amiri" w:cs="Amiri"/>
          <w:lang w:bidi="ar-SA"/>
          <w:color w:val="111111"/>
          <w:sz w:val="28"/>
          <w:szCs w:val="28"/>
          <w:rtl/>
        </w:rPr>
        <w:t xml:space="preserve">عتكي ازدي، ابراهيم بن محمّد -نفطويه</w:t>
      </w:r>
    </w:p>
    <w:p>
      <w:pPr>
        <w:pStyle w:val="BookText"/>
      </w:pPr>
      <w:r>
        <w:rPr>
          <w:rFonts w:ascii="Amiri" w:hAnsi="Amiri" w:eastAsia="Amiri" w:cs="Amiri"/>
          <w:lang w:bidi="ar-SA"/>
          <w:color w:val="111111"/>
          <w:sz w:val="28"/>
          <w:szCs w:val="28"/>
          <w:rtl/>
        </w:rPr>
        <w:t xml:space="preserve">ابراهيم بن محمّد</w:t>
      </w:r>
    </w:p>
    <w:p>
      <w:pPr>
        <w:pStyle w:val="BookText"/>
      </w:pPr>
      <w:r>
        <w:rPr>
          <w:rFonts w:ascii="Amiri" w:hAnsi="Amiri" w:eastAsia="Amiri" w:cs="Amiri"/>
          <w:lang w:bidi="ar-SA"/>
          <w:color w:val="111111"/>
          <w:sz w:val="28"/>
          <w:szCs w:val="28"/>
          <w:rtl/>
        </w:rPr>
        <w:t xml:space="preserve">عتكي ، زهير بن محمّد- بهاء زهير ، زهير بن محمّد</w:t>
      </w:r>
    </w:p>
    <w:p>
      <w:pPr>
        <w:pStyle w:val="BookText"/>
      </w:pPr>
      <w:r>
        <w:rPr>
          <w:rFonts w:ascii="IRNazanin" w:hAnsi="IRNazanin" w:eastAsia="IRNazanin" w:cs="IRNazanin"/>
          <w:lang w:bidi="fa-IR"/>
          <w:color w:val="111111"/>
          <w:sz w:val="28"/>
          <w:szCs w:val="28"/>
          <w:rtl/>
        </w:rPr>
        <w:t xml:space="preserve">عثمان- عثمان بن عفان</w:t>
      </w:r>
    </w:p>
    <w:p>
      <w:pPr>
        <w:pStyle w:val="BookText"/>
      </w:pPr>
      <w:r>
        <w:rPr>
          <w:rFonts w:ascii="Amiri" w:hAnsi="Amiri" w:eastAsia="Amiri" w:cs="Amiri"/>
          <w:lang w:bidi="ar-SA"/>
          <w:color w:val="111111"/>
          <w:sz w:val="28"/>
          <w:szCs w:val="28"/>
          <w:rtl/>
        </w:rPr>
        <w:t xml:space="preserve">عثمان افندي رومي -رومي ، عثمان</w:t>
      </w:r>
    </w:p>
    <w:p>
      <w:pPr>
        <w:pStyle w:val="BookText"/>
      </w:pPr>
      <w:r>
        <w:rPr>
          <w:rFonts w:ascii="Amiri" w:hAnsi="Amiri" w:eastAsia="Amiri" w:cs="Amiri"/>
          <w:lang w:bidi="ar-SA"/>
          <w:color w:val="111111"/>
          <w:sz w:val="28"/>
          <w:szCs w:val="28"/>
          <w:rtl/>
        </w:rPr>
        <w:t xml:space="preserve">عثمان بن ابراهيم بن تركماني- تركماني ،</w:t>
      </w:r>
    </w:p>
    <w:p>
      <w:pPr>
        <w:pStyle w:val="BookText"/>
      </w:pPr>
      <w:r>
        <w:rPr>
          <w:rFonts w:ascii="Amiri" w:hAnsi="Amiri" w:eastAsia="Amiri" w:cs="Amiri"/>
          <w:lang w:bidi="ar-SA"/>
          <w:color w:val="111111"/>
          <w:sz w:val="28"/>
          <w:szCs w:val="28"/>
          <w:rtl/>
        </w:rPr>
        <w:t xml:space="preserve">عثمان بن ابراهيم</w:t>
      </w:r>
    </w:p>
    <w:p>
      <w:pPr>
        <w:pStyle w:val="BookText"/>
      </w:pPr>
      <w:r>
        <w:rPr>
          <w:rFonts w:ascii="Amiri" w:hAnsi="Amiri" w:eastAsia="Amiri" w:cs="Amiri"/>
          <w:lang w:bidi="ar-SA"/>
          <w:color w:val="111111"/>
          <w:sz w:val="28"/>
          <w:szCs w:val="28"/>
          <w:rtl/>
        </w:rPr>
        <w:t xml:space="preserve">عثمان بن ابي عبدالله الارحم -ارحم ،</w:t>
      </w:r>
    </w:p>
    <w:p>
      <w:pPr>
        <w:pStyle w:val="BookText"/>
      </w:pPr>
      <w:r>
        <w:rPr>
          <w:rFonts w:ascii="Amiri" w:hAnsi="Amiri" w:eastAsia="Amiri" w:cs="Amiri"/>
          <w:lang w:bidi="ar-SA"/>
          <w:color w:val="111111"/>
          <w:sz w:val="28"/>
          <w:szCs w:val="28"/>
          <w:rtl/>
        </w:rPr>
        <w:t xml:space="preserve">عثمان بن ابي عبدالله</w:t>
      </w:r>
    </w:p>
    <w:p>
      <w:pPr>
        <w:pStyle w:val="BookText"/>
      </w:pPr>
      <w:r>
        <w:rPr>
          <w:rFonts w:ascii="Amiri" w:hAnsi="Amiri" w:eastAsia="Amiri" w:cs="Amiri"/>
          <w:lang w:bidi="ar-SA"/>
          <w:color w:val="111111"/>
          <w:sz w:val="28"/>
          <w:szCs w:val="28"/>
          <w:rtl/>
        </w:rPr>
        <w:t xml:space="preserve">عثمان بن احمد الكريدي- كريدي</w:t>
      </w:r>
    </w:p>
    <w:p>
      <w:pPr>
        <w:pStyle w:val="BookText"/>
      </w:pPr>
      <w:r>
        <w:rPr>
          <w:rFonts w:ascii="IRNazanin" w:hAnsi="IRNazanin" w:eastAsia="IRNazanin" w:cs="IRNazanin"/>
          <w:lang w:bidi="fa-IR"/>
          <w:color w:val="111111"/>
          <w:sz w:val="28"/>
          <w:szCs w:val="28"/>
          <w:rtl/>
        </w:rPr>
        <w:t xml:space="preserve">عثمان بن احمد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64" w:name="pg7742_70772"/>
    <w:bookmarkEnd w:id="764"/>
    <w:p>
      <w:pPr>
        <w:pStyle w:val="BookText"/>
      </w:pPr>
      <w:r>
        <w:rPr>
          <w:rFonts w:ascii="Amiri" w:hAnsi="Amiri" w:eastAsia="Amiri" w:cs="Amiri"/>
          <w:lang w:bidi="ar-SA"/>
          <w:color w:val="111111"/>
          <w:sz w:val="28"/>
          <w:szCs w:val="28"/>
          <w:rtl/>
        </w:rPr>
        <w:t xml:space="preserve">عثمان بن احمد سمرقندي -سمرقندي</w:t>
      </w:r>
    </w:p>
    <w:p>
      <w:pPr>
        <w:pStyle w:val="BookText"/>
      </w:pPr>
      <w:r>
        <w:rPr>
          <w:rFonts w:ascii="IRNazanin" w:hAnsi="IRNazanin" w:eastAsia="IRNazanin" w:cs="IRNazanin"/>
          <w:lang w:bidi="fa-IR"/>
          <w:color w:val="111111"/>
          <w:sz w:val="28"/>
          <w:szCs w:val="28"/>
          <w:rtl/>
        </w:rPr>
        <w:t xml:space="preserve">عثمان بن احمد</w:t>
      </w:r>
    </w:p>
    <w:p>
      <w:pPr>
        <w:pStyle w:val="BookText"/>
      </w:pPr>
      <w:r>
        <w:rPr>
          <w:rFonts w:ascii="Amiri" w:hAnsi="Amiri" w:eastAsia="Amiri" w:cs="Amiri"/>
          <w:lang w:bidi="ar-SA"/>
          <w:color w:val="111111"/>
          <w:sz w:val="28"/>
          <w:szCs w:val="28"/>
          <w:rtl/>
        </w:rPr>
        <w:t xml:space="preserve">عثمان بن احمد نجدي -ابن قائد ، عثمان</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عثمان بن جني -ابن جني ، عثمان بن</w:t>
      </w:r>
    </w:p>
    <w:p>
      <w:pPr>
        <w:pStyle w:val="BookText"/>
      </w:pPr>
      <w:r>
        <w:rPr>
          <w:rFonts w:ascii="Amiri" w:hAnsi="Amiri" w:eastAsia="Amiri" w:cs="Amiri"/>
          <w:lang w:bidi="ar-SA"/>
          <w:color w:val="111111"/>
          <w:sz w:val="28"/>
          <w:szCs w:val="28"/>
          <w:rtl/>
        </w:rPr>
        <w:t xml:space="preserve">جني</w:t>
      </w:r>
    </w:p>
    <w:p>
      <w:pPr>
        <w:pStyle w:val="BookText"/>
      </w:pPr>
      <w:r>
        <w:rPr>
          <w:rFonts w:ascii="Amiri" w:hAnsi="Amiri" w:eastAsia="Amiri" w:cs="Amiri"/>
          <w:lang w:bidi="ar-SA"/>
          <w:color w:val="111111"/>
          <w:sz w:val="28"/>
          <w:szCs w:val="28"/>
          <w:rtl/>
        </w:rPr>
        <w:t xml:space="preserve">عثمان بن حبيب قارصي- قارصي ، عثمان</w:t>
      </w:r>
    </w:p>
    <w:p>
      <w:pPr>
        <w:pStyle w:val="BookText"/>
      </w:pPr>
      <w:r>
        <w:rPr>
          <w:rFonts w:ascii="Amiri" w:hAnsi="Amiri" w:eastAsia="Amiri" w:cs="Amiri"/>
          <w:lang w:bidi="ar-SA"/>
          <w:color w:val="111111"/>
          <w:sz w:val="28"/>
          <w:szCs w:val="28"/>
          <w:rtl/>
        </w:rPr>
        <w:t xml:space="preserve">بن حبيب</w:t>
      </w:r>
    </w:p>
    <w:p>
      <w:pPr>
        <w:pStyle w:val="BookText"/>
      </w:pPr>
      <w:r>
        <w:rPr>
          <w:rFonts w:ascii="IRNazanin" w:hAnsi="IRNazanin" w:eastAsia="IRNazanin" w:cs="IRNazanin"/>
          <w:lang w:bidi="fa-IR"/>
          <w:color w:val="111111"/>
          <w:sz w:val="28"/>
          <w:szCs w:val="28"/>
          <w:rtl/>
        </w:rPr>
        <w:t xml:space="preserve">عثمان بن حسن شاکر خوبوي</w:t>
      </w:r>
    </w:p>
    <w:p>
      <w:pPr>
        <w:pStyle w:val="BookText"/>
      </w:pPr>
      <w:r>
        <w:rPr>
          <w:rFonts w:ascii="IRNazanin" w:hAnsi="IRNazanin" w:eastAsia="IRNazanin" w:cs="IRNazanin"/>
          <w:lang w:bidi="fa-IR"/>
          <w:color w:val="111111"/>
          <w:sz w:val="28"/>
          <w:szCs w:val="28"/>
          <w:rtl/>
        </w:rPr>
        <w:t xml:space="preserve">رومي- شاکر ، عثمان بن حسن</w:t>
      </w:r>
    </w:p>
    <w:p>
      <w:pPr>
        <w:pStyle w:val="BookText"/>
      </w:pPr>
      <w:r>
        <w:rPr>
          <w:rFonts w:ascii="Amiri" w:hAnsi="Amiri" w:eastAsia="Amiri" w:cs="Amiri"/>
          <w:lang w:bidi="ar-SA"/>
          <w:color w:val="111111"/>
          <w:sz w:val="28"/>
          <w:szCs w:val="28"/>
          <w:rtl/>
        </w:rPr>
        <w:t xml:space="preserve">عثمان بن سعيد بن صيرفي -داني ، عثمان</w:t>
      </w:r>
    </w:p>
    <w:p>
      <w:pPr>
        <w:pStyle w:val="BookText"/>
      </w:pPr>
      <w:r>
        <w:rPr>
          <w:rFonts w:ascii="Amiri" w:hAnsi="Amiri" w:eastAsia="Amiri" w:cs="Amiri"/>
          <w:lang w:bidi="ar-SA"/>
          <w:color w:val="111111"/>
          <w:sz w:val="28"/>
          <w:szCs w:val="28"/>
          <w:rtl/>
        </w:rPr>
        <w:t xml:space="preserve">بن سعيد</w:t>
      </w:r>
    </w:p>
    <w:p>
      <w:pPr>
        <w:pStyle w:val="BookText"/>
      </w:pPr>
      <w:r>
        <w:rPr>
          <w:rFonts w:ascii="Amiri" w:hAnsi="Amiri" w:eastAsia="Amiri" w:cs="Amiri"/>
          <w:lang w:bidi="ar-SA"/>
          <w:color w:val="111111"/>
          <w:sz w:val="28"/>
          <w:szCs w:val="28"/>
          <w:rtl/>
        </w:rPr>
        <w:t xml:space="preserve">عثمان بن سعيد داني- داني ، عثمان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سعيد</w:t>
      </w:r>
    </w:p>
    <w:p>
      <w:pPr>
        <w:pStyle w:val="BookText"/>
      </w:pPr>
      <w:r>
        <w:rPr>
          <w:rFonts w:ascii="Amiri" w:hAnsi="Amiri" w:eastAsia="Amiri" w:cs="Amiri"/>
          <w:lang w:bidi="ar-SA"/>
          <w:color w:val="111111"/>
          <w:sz w:val="28"/>
          <w:szCs w:val="28"/>
          <w:rtl/>
        </w:rPr>
        <w:t xml:space="preserve">عثمان بن سليمان حيائي- حياتي ، عثمان</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عثمان بن سند بصري وائلي- وائلي</w:t>
      </w:r>
    </w:p>
    <w:p>
      <w:pPr>
        <w:pStyle w:val="BookText"/>
      </w:pPr>
      <w:r>
        <w:rPr>
          <w:rFonts w:ascii="IRNazanin" w:hAnsi="IRNazanin" w:eastAsia="IRNazanin" w:cs="IRNazanin"/>
          <w:lang w:bidi="fa-IR"/>
          <w:color w:val="111111"/>
          <w:sz w:val="28"/>
          <w:szCs w:val="28"/>
          <w:rtl/>
        </w:rPr>
        <w:t xml:space="preserve">عثمان بن سند</w:t>
      </w:r>
    </w:p>
    <w:p>
      <w:pPr>
        <w:pStyle w:val="BookText"/>
      </w:pPr>
      <w:r>
        <w:rPr>
          <w:rFonts w:ascii="Amiri" w:hAnsi="Amiri" w:eastAsia="Amiri" w:cs="Amiri"/>
          <w:lang w:bidi="ar-SA"/>
          <w:color w:val="111111"/>
          <w:sz w:val="28"/>
          <w:szCs w:val="28"/>
          <w:rtl/>
        </w:rPr>
        <w:t xml:space="preserve">عثمان بن صلاح كردي شهرزوري- ابن</w:t>
      </w:r>
    </w:p>
    <w:p>
      <w:pPr>
        <w:pStyle w:val="BookText"/>
      </w:pPr>
      <w:r>
        <w:rPr>
          <w:rFonts w:ascii="IRNazanin" w:hAnsi="IRNazanin" w:eastAsia="IRNazanin" w:cs="IRNazanin"/>
          <w:lang w:bidi="fa-IR"/>
          <w:color w:val="111111"/>
          <w:sz w:val="28"/>
          <w:szCs w:val="28"/>
          <w:rtl/>
        </w:rPr>
        <w:t xml:space="preserve">صلاح ، عثمان بن عبدالرحمن</w:t>
      </w:r>
    </w:p>
    <w:p>
      <w:pPr>
        <w:pStyle w:val="BookText"/>
      </w:pPr>
      <w:r>
        <w:rPr>
          <w:rFonts w:ascii="IRNazanin" w:hAnsi="IRNazanin" w:eastAsia="IRNazanin" w:cs="IRNazanin"/>
          <w:lang w:bidi="fa-IR"/>
          <w:color w:val="111111"/>
          <w:sz w:val="28"/>
          <w:szCs w:val="28"/>
          <w:rtl/>
        </w:rPr>
        <w:t xml:space="preserve">عثمان بن عبد الرحمن بن صلاح- ابن</w:t>
      </w:r>
    </w:p>
    <w:p>
      <w:pPr>
        <w:pStyle w:val="BookText"/>
      </w:pPr>
      <w:r>
        <w:rPr>
          <w:rFonts w:ascii="IRNazanin" w:hAnsi="IRNazanin" w:eastAsia="IRNazanin" w:cs="IRNazanin"/>
          <w:lang w:bidi="fa-IR"/>
          <w:color w:val="111111"/>
          <w:sz w:val="28"/>
          <w:szCs w:val="28"/>
          <w:rtl/>
        </w:rPr>
        <w:t xml:space="preserve">صلاح ، عثمان بن عبدالرحمن</w:t>
      </w:r>
    </w:p>
    <w:p>
      <w:pPr>
        <w:pStyle w:val="BookText"/>
      </w:pPr>
      <w:r>
        <w:rPr>
          <w:rFonts w:ascii="Amiri" w:hAnsi="Amiri" w:eastAsia="Amiri" w:cs="Amiri"/>
          <w:lang w:bidi="ar-SA"/>
          <w:color w:val="111111"/>
          <w:sz w:val="28"/>
          <w:szCs w:val="28"/>
          <w:rtl/>
        </w:rPr>
        <w:t xml:space="preserve">عثمان بن عبدالله اسكوبي ادرنه</w:t>
      </w:r>
    </w:p>
    <w:p>
      <w:pPr>
        <w:pStyle w:val="BookText"/>
      </w:pPr>
      <w:r>
        <w:rPr>
          <w:rFonts w:ascii="Amiri" w:hAnsi="Amiri" w:eastAsia="Amiri" w:cs="Amiri"/>
          <w:lang w:bidi="ar-SA"/>
          <w:color w:val="111111"/>
          <w:sz w:val="28"/>
          <w:szCs w:val="28"/>
          <w:rtl/>
        </w:rPr>
        <w:t xml:space="preserve">وي -وحدتي ، عثمان بن عبدالله</w:t>
      </w:r>
    </w:p>
    <w:p>
      <w:pPr>
        <w:pStyle w:val="BookText"/>
      </w:pPr>
      <w:r>
        <w:rPr>
          <w:rFonts w:ascii="IRNazanin" w:hAnsi="IRNazanin" w:eastAsia="IRNazanin" w:cs="IRNazanin"/>
          <w:lang w:bidi="fa-IR"/>
          <w:color w:val="111111"/>
          <w:sz w:val="28"/>
          <w:szCs w:val="28"/>
          <w:rtl/>
        </w:rPr>
        <w:t xml:space="preserve">عثمان بن عبد الله جلبي بغدادي - چلبي</w:t>
      </w:r>
    </w:p>
    <w:p>
      <w:pPr>
        <w:pStyle w:val="BookText"/>
      </w:pPr>
      <w:r>
        <w:rPr>
          <w:rFonts w:ascii="Amiri" w:hAnsi="Amiri" w:eastAsia="Amiri" w:cs="Amiri"/>
          <w:lang w:bidi="ar-SA"/>
          <w:color w:val="111111"/>
          <w:sz w:val="28"/>
          <w:szCs w:val="28"/>
          <w:rtl/>
        </w:rPr>
        <w:t xml:space="preserve">بغدادي ، عثمان بن عبدالله</w:t>
      </w:r>
    </w:p>
    <w:p>
      <w:pPr>
        <w:pStyle w:val="BookText"/>
      </w:pPr>
      <w:r>
        <w:rPr>
          <w:rFonts w:ascii="Amiri" w:hAnsi="Amiri" w:eastAsia="Amiri" w:cs="Amiri"/>
          <w:lang w:bidi="ar-SA"/>
          <w:color w:val="111111"/>
          <w:sz w:val="28"/>
          <w:szCs w:val="28"/>
          <w:rtl/>
        </w:rPr>
        <w:t xml:space="preserve">عثمان بن عبدالله خطايي -خطايي ،</w:t>
      </w:r>
    </w:p>
    <w:p>
      <w:pPr>
        <w:pStyle w:val="BookText"/>
      </w:pPr>
      <w:r>
        <w:rPr>
          <w:rFonts w:ascii="IRNazanin" w:hAnsi="IRNazanin" w:eastAsia="IRNazanin" w:cs="IRNazanin"/>
          <w:lang w:bidi="fa-IR"/>
          <w:color w:val="111111"/>
          <w:sz w:val="28"/>
          <w:szCs w:val="28"/>
          <w:rtl/>
        </w:rPr>
        <w:t xml:space="preserve">عثمان بن عبدالله</w:t>
      </w:r>
    </w:p>
    <w:p>
      <w:pPr>
        <w:pStyle w:val="BookText"/>
      </w:pPr>
      <w:r>
        <w:rPr>
          <w:rFonts w:ascii="Amiri" w:hAnsi="Amiri" w:eastAsia="Amiri" w:cs="Amiri"/>
          <w:lang w:bidi="ar-SA"/>
          <w:color w:val="111111"/>
          <w:sz w:val="28"/>
          <w:szCs w:val="28"/>
          <w:rtl/>
        </w:rPr>
        <w:t xml:space="preserve">عثمان بن عبدالله كليسي عرياني- عرياني ،</w:t>
      </w:r>
    </w:p>
    <w:p>
      <w:pPr>
        <w:pStyle w:val="BookText"/>
      </w:pPr>
      <w:r>
        <w:rPr>
          <w:rFonts w:ascii="IRNazanin" w:hAnsi="IRNazanin" w:eastAsia="IRNazanin" w:cs="IRNazanin"/>
          <w:lang w:bidi="fa-IR"/>
          <w:color w:val="111111"/>
          <w:sz w:val="28"/>
          <w:szCs w:val="28"/>
          <w:rtl/>
        </w:rPr>
        <w:t xml:space="preserve">عثمان بن عبدالله</w:t>
      </w:r>
    </w:p>
    <w:p>
      <w:pPr>
        <w:pStyle w:val="BookText"/>
      </w:pPr>
      <w:r>
        <w:rPr>
          <w:rFonts w:ascii="Amiri" w:hAnsi="Amiri" w:eastAsia="Amiri" w:cs="Amiri"/>
          <w:lang w:bidi="ar-SA"/>
          <w:color w:val="111111"/>
          <w:sz w:val="28"/>
          <w:szCs w:val="28"/>
          <w:rtl/>
        </w:rPr>
        <w:t xml:space="preserve">عثمان بن عبد المنان الصندو قلي- صندو قلي</w:t>
      </w:r>
    </w:p>
    <w:p>
      <w:pPr>
        <w:pStyle w:val="BookText"/>
      </w:pPr>
      <w:r>
        <w:rPr>
          <w:rFonts w:ascii="IRNazanin" w:hAnsi="IRNazanin" w:eastAsia="IRNazanin" w:cs="IRNazanin"/>
          <w:lang w:bidi="fa-IR"/>
          <w:color w:val="111111"/>
          <w:sz w:val="28"/>
          <w:szCs w:val="28"/>
          <w:rtl/>
        </w:rPr>
        <w:t xml:space="preserve">، عثمان بن عبدالمنان</w:t>
      </w:r>
    </w:p>
    <w:p>
      <w:pPr>
        <w:pStyle w:val="Heading2"/>
      </w:pPr>
      <w:bookmarkStart w:id="5881" w:name="_Toc4983"/>
      <w:r>
        <w:t>عثمان بن عفان - 35 ه-</w:t>
      </w:r>
      <w:bookmarkEnd w:id="5881"/>
    </w:p>
    <w:p>
      <w:pPr>
        <w:pStyle w:val="BookText"/>
      </w:pPr>
      <w:r>
        <w:rPr>
          <w:rFonts w:ascii="Amiri" w:hAnsi="Amiri" w:eastAsia="Amiri" w:cs="Amiri"/>
          <w:lang w:bidi="ar-SA"/>
          <w:color w:val="111111"/>
          <w:sz w:val="28"/>
          <w:szCs w:val="28"/>
          <w:rtl/>
        </w:rPr>
        <w:t xml:space="preserve">مائة كلمة، ج13، ص 698.</w:t>
      </w:r>
    </w:p>
    <w:p>
      <w:pPr>
        <w:pStyle w:val="BookText"/>
      </w:pPr>
      <w:r>
        <w:rPr>
          <w:rFonts w:ascii="Amiri" w:hAnsi="Amiri" w:eastAsia="Amiri" w:cs="Amiri"/>
          <w:lang w:bidi="ar-SA"/>
          <w:color w:val="111111"/>
          <w:sz w:val="28"/>
          <w:szCs w:val="28"/>
          <w:rtl/>
        </w:rPr>
        <w:t xml:space="preserve">عثمان بن علي زيلعي- زيلعي ، عثمان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عثمان بن علي عمري- عمري ، عثمان بن</w:t>
      </w:r>
    </w:p>
    <w:p>
      <w:pPr>
        <w:pStyle w:val="BookText"/>
      </w:pPr>
      <w:r>
        <w:rPr>
          <w:rFonts w:ascii="Amiri" w:hAnsi="Amiri" w:eastAsia="Amiri" w:cs="Amiri"/>
          <w:lang w:bidi="ar-SA"/>
          <w:color w:val="111111"/>
          <w:sz w:val="28"/>
          <w:szCs w:val="28"/>
          <w:rtl/>
        </w:rPr>
        <w:t xml:space="preserve">عثمان بن علي كوه كيلوني- كوه كيلوني ،</w:t>
      </w:r>
    </w:p>
    <w:p>
      <w:pPr>
        <w:pStyle w:val="BookText"/>
      </w:pPr>
      <w:r>
        <w:rPr>
          <w:rFonts w:ascii="Amiri" w:hAnsi="Amiri" w:eastAsia="Amiri" w:cs="Amiri"/>
          <w:lang w:bidi="ar-SA"/>
          <w:color w:val="111111"/>
          <w:sz w:val="28"/>
          <w:szCs w:val="28"/>
          <w:rtl/>
        </w:rPr>
        <w:t xml:space="preserve">عثمان بن علي</w:t>
      </w:r>
    </w:p>
    <w:p>
      <w:pPr>
        <w:pStyle w:val="BookText"/>
      </w:pPr>
      <w:r>
        <w:rPr>
          <w:rFonts w:ascii="Amiri" w:hAnsi="Amiri" w:eastAsia="Amiri" w:cs="Amiri"/>
          <w:lang w:bidi="ar-SA"/>
          <w:color w:val="111111"/>
          <w:sz w:val="28"/>
          <w:szCs w:val="28"/>
          <w:rtl/>
        </w:rPr>
        <w:t xml:space="preserve">عثمان بن عمر بكتاش -بكتاش ، عثمان</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عثمان بن عمر زرنوجي- زرنوجي ، عثمان</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عثمان بن عمر مالكي دمشقي اسكندري</w:t>
      </w:r>
    </w:p>
    <w:p>
      <w:pPr>
        <w:pStyle w:val="BookText"/>
      </w:pPr>
      <w:r>
        <w:rPr>
          <w:rFonts w:ascii="Amiri" w:hAnsi="Amiri" w:eastAsia="Amiri" w:cs="Amiri"/>
          <w:lang w:bidi="ar-SA"/>
          <w:color w:val="111111"/>
          <w:sz w:val="28"/>
          <w:szCs w:val="28"/>
          <w:rtl/>
        </w:rPr>
        <w:t xml:space="preserve">كردي- ابن حاجب ، عثمان بن عمر</w:t>
      </w:r>
    </w:p>
    <w:p>
      <w:pPr>
        <w:pStyle w:val="BookText"/>
      </w:pPr>
      <w:r>
        <w:rPr>
          <w:rFonts w:ascii="Amiri" w:hAnsi="Amiri" w:eastAsia="Amiri" w:cs="Amiri"/>
          <w:lang w:bidi="ar-SA"/>
          <w:color w:val="111111"/>
          <w:sz w:val="28"/>
          <w:szCs w:val="28"/>
          <w:rtl/>
        </w:rPr>
        <w:t xml:space="preserve">عثمان بن عمر ناشري شافعي- ناشري ،</w:t>
      </w:r>
    </w:p>
    <w:p>
      <w:pPr>
        <w:pStyle w:val="BookText"/>
      </w:pPr>
      <w:r>
        <w:rPr>
          <w:rFonts w:ascii="IRNazanin" w:hAnsi="IRNazanin" w:eastAsia="IRNazanin" w:cs="IRNazanin"/>
          <w:lang w:bidi="fa-IR"/>
          <w:color w:val="111111"/>
          <w:sz w:val="28"/>
          <w:szCs w:val="28"/>
          <w:rtl/>
        </w:rPr>
        <w:t xml:space="preserve">عثمان بن عمر</w:t>
      </w:r>
    </w:p>
    <w:p>
      <w:pPr>
        <w:pStyle w:val="BookText"/>
      </w:pPr>
      <w:r>
        <w:rPr>
          <w:rFonts w:ascii="Amiri" w:hAnsi="Amiri" w:eastAsia="Amiri" w:cs="Amiri"/>
          <w:lang w:bidi="ar-SA"/>
          <w:color w:val="111111"/>
          <w:sz w:val="28"/>
          <w:szCs w:val="28"/>
          <w:rtl/>
        </w:rPr>
        <w:t xml:space="preserve">عثمان بن عيسى بلطي- بلطي ، عثمان</w:t>
      </w:r>
    </w:p>
    <w:p>
      <w:pPr>
        <w:pStyle w:val="BookText"/>
      </w:pPr>
      <w:r>
        <w:rPr>
          <w:rFonts w:ascii="Amiri" w:hAnsi="Amiri" w:eastAsia="Amiri" w:cs="Amiri"/>
          <w:lang w:bidi="ar-SA"/>
          <w:color w:val="111111"/>
          <w:sz w:val="28"/>
          <w:szCs w:val="28"/>
          <w:rtl/>
        </w:rPr>
        <w:t xml:space="preserve">بن عيسى</w:t>
      </w:r>
    </w:p>
    <w:p>
      <w:pPr>
        <w:pStyle w:val="BookText"/>
      </w:pPr>
      <w:r>
        <w:rPr>
          <w:rFonts w:ascii="Amiri" w:hAnsi="Amiri" w:eastAsia="Amiri" w:cs="Amiri"/>
          <w:lang w:bidi="ar-SA"/>
          <w:color w:val="111111"/>
          <w:sz w:val="28"/>
          <w:szCs w:val="28"/>
          <w:rtl/>
        </w:rPr>
        <w:t xml:space="preserve">عثمان بن يعقوب كماخي اسلامبولي -كماخي ، عثمان بن يعقوب</w:t>
      </w:r>
    </w:p>
    <w:p>
      <w:pPr>
        <w:pStyle w:val="BookText"/>
      </w:pPr>
      <w:r>
        <w:rPr>
          <w:rFonts w:ascii="Amiri" w:hAnsi="Amiri" w:eastAsia="Amiri" w:cs="Amiri"/>
          <w:lang w:bidi="ar-SA"/>
          <w:color w:val="111111"/>
          <w:sz w:val="28"/>
          <w:szCs w:val="28"/>
          <w:rtl/>
        </w:rPr>
        <w:t xml:space="preserve">عثمان بن يوسف الحموي- حموي ،</w:t>
      </w:r>
    </w:p>
    <w:p>
      <w:pPr>
        <w:pStyle w:val="BookText"/>
      </w:pPr>
      <w:r>
        <w:rPr>
          <w:rFonts w:ascii="Amiri" w:hAnsi="Amiri" w:eastAsia="Amiri" w:cs="Amiri"/>
          <w:lang w:bidi="ar-SA"/>
          <w:color w:val="111111"/>
          <w:sz w:val="28"/>
          <w:szCs w:val="28"/>
          <w:rtl/>
        </w:rPr>
        <w:t xml:space="preserve">عثمان بن يوسف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65" w:name="pg7742_70774"/>
    <w:bookmarkEnd w:id="765"/>
    <w:p>
      <w:pPr>
        <w:pStyle w:val="BookText"/>
      </w:pPr>
      <w:r>
        <w:rPr>
          <w:rFonts w:ascii="Amiri" w:hAnsi="Amiri" w:eastAsia="Amiri" w:cs="Amiri"/>
          <w:lang w:bidi="ar-SA"/>
          <w:color w:val="111111"/>
          <w:sz w:val="28"/>
          <w:szCs w:val="28"/>
          <w:rtl/>
        </w:rPr>
        <w:t xml:space="preserve">عثمان بن يوسف موصلي -خطيب موصلي</w:t>
      </w:r>
    </w:p>
    <w:p>
      <w:pPr>
        <w:pStyle w:val="BookText"/>
      </w:pPr>
      <w:r>
        <w:rPr>
          <w:rFonts w:ascii="Amiri" w:hAnsi="Amiri" w:eastAsia="Amiri" w:cs="Amiri"/>
          <w:lang w:bidi="ar-SA"/>
          <w:color w:val="111111"/>
          <w:sz w:val="28"/>
          <w:szCs w:val="28"/>
          <w:rtl/>
        </w:rPr>
        <w:t xml:space="preserve">، عثمان بن يوسف</w:t>
      </w:r>
    </w:p>
    <w:p>
      <w:pPr>
        <w:pStyle w:val="BookText"/>
      </w:pPr>
      <w:r>
        <w:rPr>
          <w:rFonts w:ascii="Amiri" w:hAnsi="Amiri" w:eastAsia="Amiri" w:cs="Amiri"/>
          <w:lang w:bidi="ar-SA"/>
          <w:color w:val="111111"/>
          <w:sz w:val="28"/>
          <w:szCs w:val="28"/>
          <w:rtl/>
        </w:rPr>
        <w:t xml:space="preserve">عثمان حافظ الكتاب- رومي ، عثمان</w:t>
      </w:r>
    </w:p>
    <w:p>
      <w:pPr>
        <w:pStyle w:val="BookText"/>
      </w:pPr>
      <w:r>
        <w:rPr>
          <w:rFonts w:ascii="Amiri" w:hAnsi="Amiri" w:eastAsia="Amiri" w:cs="Amiri"/>
          <w:lang w:bidi="ar-SA"/>
          <w:color w:val="111111"/>
          <w:sz w:val="28"/>
          <w:szCs w:val="28"/>
          <w:rtl/>
        </w:rPr>
        <w:t xml:space="preserve">عثمان خطيب موصلي- قادري ، عثمان</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عثمان ديوه جي -ديوه جي ، عثمان</w:t>
      </w:r>
    </w:p>
    <w:p>
      <w:pPr>
        <w:pStyle w:val="Heading2"/>
      </w:pPr>
      <w:bookmarkStart w:id="5882" w:name="_Toc4984"/>
      <w:r>
        <w:t>عثمان زاده، احمد تائب بن عثمان</w:t>
      </w:r>
      <w:bookmarkEnd w:id="5882"/>
    </w:p>
    <w:p>
      <w:pPr>
        <w:pStyle w:val="BookText"/>
      </w:pPr>
      <w:r>
        <w:rPr>
          <w:rFonts w:ascii="IRNazanin" w:hAnsi="IRNazanin" w:eastAsia="IRNazanin" w:cs="IRNazanin"/>
          <w:lang w:bidi="fa-IR"/>
          <w:color w:val="111111"/>
          <w:sz w:val="28"/>
          <w:szCs w:val="28"/>
          <w:rtl/>
        </w:rPr>
        <w:t xml:space="preserve">1136ه-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تلخيص نصيحة الملوك ترغيبا</w:t>
      </w:r>
    </w:p>
    <w:p>
      <w:pPr>
        <w:pStyle w:val="BookText"/>
      </w:pPr>
      <w:r>
        <w:rPr>
          <w:rFonts w:ascii="Amiri" w:hAnsi="Amiri" w:eastAsia="Amiri" w:cs="Amiri"/>
          <w:lang w:bidi="ar-SA"/>
          <w:color w:val="111111"/>
          <w:sz w:val="28"/>
          <w:szCs w:val="28"/>
          <w:rtl/>
        </w:rPr>
        <w:t xml:space="preserve">الحسن السلوك، ج 4، ص 865.</w:t>
      </w:r>
    </w:p>
    <w:p>
      <w:pPr>
        <w:pStyle w:val="BookText"/>
      </w:pPr>
      <w:r>
        <w:rPr>
          <w:rFonts w:ascii="Amiri" w:hAnsi="Amiri" w:eastAsia="Amiri" w:cs="Amiri"/>
          <w:lang w:bidi="ar-SA"/>
          <w:color w:val="111111"/>
          <w:sz w:val="28"/>
          <w:szCs w:val="28"/>
          <w:rtl/>
        </w:rPr>
        <w:t xml:space="preserve">2 .حديقة الوزراء، ج 6، ص 598.</w:t>
      </w:r>
    </w:p>
    <w:p>
      <w:pPr>
        <w:pStyle w:val="BookText"/>
      </w:pPr>
      <w:r>
        <w:rPr>
          <w:rFonts w:ascii="Amiri" w:hAnsi="Amiri" w:eastAsia="Amiri" w:cs="Amiri"/>
          <w:lang w:bidi="ar-SA"/>
          <w:color w:val="111111"/>
          <w:sz w:val="28"/>
          <w:szCs w:val="28"/>
          <w:rtl/>
        </w:rPr>
        <w:t xml:space="preserve">عثمان شاكر -شاكر ، عثمان بن حسن</w:t>
      </w:r>
    </w:p>
    <w:p>
      <w:pPr>
        <w:pStyle w:val="BookText"/>
      </w:pPr>
      <w:r>
        <w:rPr>
          <w:rFonts w:ascii="IRNazanin" w:hAnsi="IRNazanin" w:eastAsia="IRNazanin" w:cs="IRNazanin"/>
          <w:lang w:bidi="fa-IR"/>
          <w:color w:val="111111"/>
          <w:sz w:val="28"/>
          <w:szCs w:val="28"/>
          <w:rtl/>
        </w:rPr>
        <w:t xml:space="preserve">عثماني اکرم پوري ، عماد الدين- عثماني</w:t>
      </w:r>
    </w:p>
    <w:p>
      <w:pPr>
        <w:pStyle w:val="BookText"/>
      </w:pPr>
      <w:r>
        <w:rPr>
          <w:rFonts w:ascii="Amiri" w:hAnsi="Amiri" w:eastAsia="Amiri" w:cs="Amiri"/>
          <w:lang w:bidi="ar-SA"/>
          <w:color w:val="111111"/>
          <w:sz w:val="28"/>
          <w:szCs w:val="28"/>
          <w:rtl/>
        </w:rPr>
        <w:t xml:space="preserve">لبكني ، عماد الدين</w:t>
      </w:r>
    </w:p>
    <w:p>
      <w:pPr>
        <w:pStyle w:val="Heading2"/>
      </w:pPr>
      <w:bookmarkStart w:id="5883" w:name="_Toc4985"/>
      <w:r>
        <w:t>عثماني ، تاج الدين بن زكريا - 1050ه-</w:t>
      </w:r>
      <w:bookmarkEnd w:id="58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آداب المشيخه و المريدين = آداب</w:t>
      </w:r>
    </w:p>
    <w:p>
      <w:pPr>
        <w:pStyle w:val="BookText"/>
      </w:pPr>
      <w:r>
        <w:rPr>
          <w:rFonts w:ascii="Amiri" w:hAnsi="Amiri" w:eastAsia="Amiri" w:cs="Amiri"/>
          <w:lang w:bidi="ar-SA"/>
          <w:color w:val="111111"/>
          <w:sz w:val="28"/>
          <w:szCs w:val="28"/>
          <w:rtl/>
        </w:rPr>
        <w:t xml:space="preserve">المريدين، ج1، ص 57.</w:t>
      </w:r>
    </w:p>
    <w:p>
      <w:pPr>
        <w:pStyle w:val="BookText"/>
      </w:pPr>
      <w:r>
        <w:rPr>
          <w:rFonts w:ascii="Amiri" w:hAnsi="Amiri" w:eastAsia="Amiri" w:cs="Amiri"/>
          <w:lang w:bidi="ar-SA"/>
          <w:color w:val="111111"/>
          <w:sz w:val="28"/>
          <w:szCs w:val="28"/>
          <w:rtl/>
        </w:rPr>
        <w:t xml:space="preserve">2 .شرح قصيدة «من ذاق طعم شراب</w:t>
      </w:r>
    </w:p>
    <w:p>
      <w:pPr>
        <w:pStyle w:val="BookText"/>
      </w:pPr>
      <w:r>
        <w:rPr>
          <w:rFonts w:ascii="Amiri" w:hAnsi="Amiri" w:eastAsia="Amiri" w:cs="Amiri"/>
          <w:lang w:bidi="ar-SA"/>
          <w:color w:val="111111"/>
          <w:sz w:val="28"/>
          <w:szCs w:val="28"/>
          <w:rtl/>
        </w:rPr>
        <w:t xml:space="preserve">القوم يدريه»، ج 9، ص 895.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الفقه (رسالة في)، ج 12، ص 43.</w:t>
      </w:r>
    </w:p>
    <w:p>
      <w:pPr>
        <w:pStyle w:val="BookText"/>
      </w:pPr>
      <w:r>
        <w:rPr>
          <w:rFonts w:ascii="IRNazanin" w:hAnsi="IRNazanin" w:eastAsia="IRNazanin" w:cs="IRNazanin"/>
          <w:lang w:bidi="fa-IR"/>
          <w:color w:val="111111"/>
          <w:sz w:val="28"/>
          <w:szCs w:val="28"/>
          <w:rtl/>
        </w:rPr>
        <w:t xml:space="preserve">4 .الوضوء، ج 16، ص 834.</w:t>
      </w:r>
    </w:p>
    <w:p>
      <w:pPr>
        <w:pStyle w:val="BookText"/>
      </w:pPr>
      <w:r>
        <w:rPr>
          <w:rFonts w:ascii="Amiri" w:hAnsi="Amiri" w:eastAsia="Amiri" w:cs="Amiri"/>
          <w:lang w:bidi="ar-SA"/>
          <w:color w:val="111111"/>
          <w:sz w:val="28"/>
          <w:szCs w:val="28"/>
          <w:rtl/>
        </w:rPr>
        <w:t xml:space="preserve">عثماني ، تاج الدين زكريا -عثماني ، تاج</w:t>
      </w:r>
    </w:p>
    <w:p>
      <w:pPr>
        <w:pStyle w:val="BookText"/>
      </w:pPr>
      <w:r>
        <w:rPr>
          <w:rFonts w:ascii="Amiri" w:hAnsi="Amiri" w:eastAsia="Amiri" w:cs="Amiri"/>
          <w:lang w:bidi="ar-SA"/>
          <w:color w:val="111111"/>
          <w:sz w:val="28"/>
          <w:szCs w:val="28"/>
          <w:rtl/>
        </w:rPr>
        <w:t xml:space="preserve">الدين بن زكريا</w:t>
      </w:r>
    </w:p>
    <w:p>
      <w:pPr>
        <w:pStyle w:val="BookText"/>
      </w:pPr>
      <w:r>
        <w:rPr>
          <w:rFonts w:ascii="Amiri" w:hAnsi="Amiri" w:eastAsia="Amiri" w:cs="Amiri"/>
          <w:lang w:bidi="ar-SA"/>
          <w:color w:val="111111"/>
          <w:sz w:val="28"/>
          <w:szCs w:val="28"/>
          <w:rtl/>
        </w:rPr>
        <w:t xml:space="preserve">عثماني حافظ- بلغرادي ، خليل باشا</w:t>
      </w:r>
    </w:p>
    <w:p>
      <w:pPr>
        <w:pStyle w:val="BookText"/>
      </w:pPr>
      <w:r>
        <w:rPr>
          <w:rFonts w:ascii="Amiri" w:hAnsi="Amiri" w:eastAsia="Amiri" w:cs="Amiri"/>
          <w:lang w:bidi="ar-SA"/>
          <w:color w:val="111111"/>
          <w:sz w:val="28"/>
          <w:szCs w:val="28"/>
          <w:rtl/>
        </w:rPr>
        <w:t xml:space="preserve">عثماني طلبسني ، عبدالله بن الهداد -ابن</w:t>
      </w:r>
    </w:p>
    <w:p>
      <w:pPr>
        <w:pStyle w:val="BookText"/>
      </w:pPr>
      <w:r>
        <w:rPr>
          <w:rFonts w:ascii="IRNazanin" w:hAnsi="IRNazanin" w:eastAsia="IRNazanin" w:cs="IRNazanin"/>
          <w:lang w:bidi="fa-IR"/>
          <w:color w:val="111111"/>
          <w:sz w:val="28"/>
          <w:szCs w:val="28"/>
          <w:rtl/>
        </w:rPr>
        <w:t xml:space="preserve">هداد ، عبدالله بن هداد</w:t>
      </w:r>
    </w:p>
    <w:p>
      <w:pPr>
        <w:pStyle w:val="BookText"/>
      </w:pPr>
      <w:r>
        <w:rPr>
          <w:rFonts w:ascii="Amiri" w:hAnsi="Amiri" w:eastAsia="Amiri" w:cs="Amiri"/>
          <w:lang w:bidi="ar-SA"/>
          <w:color w:val="111111"/>
          <w:sz w:val="28"/>
          <w:szCs w:val="28"/>
          <w:rtl/>
        </w:rPr>
        <w:t xml:space="preserve">عثماني طلنبي ، عبدالله بن هداد- ابن</w:t>
      </w:r>
    </w:p>
    <w:p>
      <w:pPr>
        <w:pStyle w:val="BookText"/>
      </w:pPr>
      <w:r>
        <w:rPr>
          <w:rFonts w:ascii="IRNazanin" w:hAnsi="IRNazanin" w:eastAsia="IRNazanin" w:cs="IRNazanin"/>
          <w:lang w:bidi="fa-IR"/>
          <w:color w:val="111111"/>
          <w:sz w:val="28"/>
          <w:szCs w:val="28"/>
          <w:rtl/>
        </w:rPr>
        <w:t xml:space="preserve">هداد ، عبدالله بن هداد</w:t>
      </w:r>
    </w:p>
    <w:p>
      <w:pPr>
        <w:pStyle w:val="BookText"/>
      </w:pPr>
      <w:r>
        <w:rPr>
          <w:rFonts w:ascii="IRNazanin" w:hAnsi="IRNazanin" w:eastAsia="IRNazanin" w:cs="IRNazanin"/>
          <w:lang w:bidi="fa-IR"/>
          <w:color w:val="111111"/>
          <w:sz w:val="28"/>
          <w:szCs w:val="28"/>
          <w:rtl/>
        </w:rPr>
        <w:t xml:space="preserve">عثماني ، عبدالعزيز بن محمود -عبدالعزیز</w:t>
      </w:r>
    </w:p>
    <w:p>
      <w:pPr>
        <w:pStyle w:val="BookText"/>
      </w:pPr>
      <w:r>
        <w:rPr>
          <w:rFonts w:ascii="Amiri" w:hAnsi="Amiri" w:eastAsia="Amiri" w:cs="Amiri"/>
          <w:lang w:bidi="ar-SA"/>
          <w:color w:val="111111"/>
          <w:sz w:val="28"/>
          <w:szCs w:val="28"/>
          <w:rtl/>
        </w:rPr>
        <w:t xml:space="preserve">اوّل ، سلطان عثماني</w:t>
      </w:r>
    </w:p>
    <w:p>
      <w:pPr>
        <w:pStyle w:val="BookText"/>
      </w:pPr>
      <w:r>
        <w:rPr>
          <w:rFonts w:ascii="Amiri" w:hAnsi="Amiri" w:eastAsia="Amiri" w:cs="Amiri"/>
          <w:lang w:bidi="ar-SA"/>
          <w:color w:val="111111"/>
          <w:sz w:val="28"/>
          <w:szCs w:val="28"/>
          <w:rtl/>
        </w:rPr>
        <w:t xml:space="preserve">عثماني ، عبدالله بن عبدالرحمن- ديباجي عبدالله بن عبدالرحمن</w:t>
      </w:r>
    </w:p>
    <w:p>
      <w:pPr>
        <w:pStyle w:val="BookText"/>
      </w:pPr>
      <w:r>
        <w:rPr>
          <w:rFonts w:ascii="Amiri" w:hAnsi="Amiri" w:eastAsia="Amiri" w:cs="Amiri"/>
          <w:lang w:bidi="ar-SA"/>
          <w:color w:val="111111"/>
          <w:sz w:val="28"/>
          <w:szCs w:val="28"/>
          <w:rtl/>
        </w:rPr>
        <w:t xml:space="preserve">عثماني ، عبدالله بن هداد- ابن هداد</w:t>
      </w:r>
    </w:p>
    <w:p>
      <w:pPr>
        <w:pStyle w:val="BookText"/>
      </w:pPr>
      <w:r>
        <w:rPr>
          <w:rFonts w:ascii="IRNazanin" w:hAnsi="IRNazanin" w:eastAsia="IRNazanin" w:cs="IRNazanin"/>
          <w:lang w:bidi="fa-IR"/>
          <w:color w:val="111111"/>
          <w:sz w:val="28"/>
          <w:szCs w:val="28"/>
          <w:rtl/>
        </w:rPr>
        <w:t xml:space="preserve">عبدالله بن هداد</w:t>
      </w:r>
    </w:p>
    <w:p>
      <w:pPr>
        <w:pStyle w:val="BookText"/>
      </w:pPr>
      <w:r>
        <w:rPr>
          <w:rFonts w:ascii="Amiri" w:hAnsi="Amiri" w:eastAsia="Amiri" w:cs="Amiri"/>
          <w:lang w:bidi="ar-SA"/>
          <w:color w:val="111111"/>
          <w:sz w:val="28"/>
          <w:szCs w:val="28"/>
          <w:rtl/>
        </w:rPr>
        <w:t xml:space="preserve">عثماني ، عبد المجيد بن</w:t>
      </w:r>
    </w:p>
    <w:p>
      <w:pPr>
        <w:pStyle w:val="BookText"/>
      </w:pPr>
      <w:r>
        <w:rPr>
          <w:rFonts w:ascii="Amiri" w:hAnsi="Amiri" w:eastAsia="Amiri" w:cs="Amiri"/>
          <w:lang w:bidi="ar-SA"/>
          <w:color w:val="111111"/>
          <w:sz w:val="28"/>
          <w:szCs w:val="28"/>
          <w:rtl/>
        </w:rPr>
        <w:t xml:space="preserve">عبد العزيز -عبد المجيد دوم، سلطان عثماني</w:t>
      </w:r>
    </w:p>
    <w:p>
      <w:pPr>
        <w:pStyle w:val="BookText"/>
      </w:pPr>
      <w:r>
        <w:rPr>
          <w:rFonts w:ascii="Amiri" w:hAnsi="Amiri" w:eastAsia="Amiri" w:cs="Amiri"/>
          <w:lang w:bidi="ar-SA"/>
          <w:color w:val="111111"/>
          <w:sz w:val="28"/>
          <w:szCs w:val="28"/>
          <w:rtl/>
        </w:rPr>
        <w:t xml:space="preserve">عثماني ، عماد الدين- عثماني لبكني ، عماد</w:t>
      </w:r>
    </w:p>
    <w:p>
      <w:pPr>
        <w:pStyle w:val="BookText"/>
      </w:pPr>
      <w:r>
        <w:rPr>
          <w:rFonts w:ascii="Amiri" w:hAnsi="Amiri" w:eastAsia="Amiri" w:cs="Amiri"/>
          <w:lang w:bidi="ar-SA"/>
          <w:color w:val="111111"/>
          <w:sz w:val="28"/>
          <w:szCs w:val="28"/>
          <w:rtl/>
        </w:rPr>
        <w:t xml:space="preserve">الدين</w:t>
      </w:r>
    </w:p>
    <w:p>
      <w:pPr>
        <w:pStyle w:val="Heading2"/>
      </w:pPr>
      <w:bookmarkStart w:id="5884" w:name="_Toc4986"/>
      <w:r>
        <w:t>عثماني لبكني ، عماد الدين قرن 13 ه-</w:t>
      </w:r>
      <w:bookmarkEnd w:id="5884"/>
    </w:p>
    <w:p>
      <w:pPr>
        <w:pStyle w:val="BookText"/>
      </w:pPr>
      <w:r>
        <w:rPr>
          <w:rFonts w:ascii="Amiri" w:hAnsi="Amiri" w:eastAsia="Amiri" w:cs="Amiri"/>
          <w:lang w:bidi="ar-SA"/>
          <w:color w:val="111111"/>
          <w:sz w:val="28"/>
          <w:szCs w:val="28"/>
          <w:rtl/>
        </w:rPr>
        <w:t xml:space="preserve">1 .الجذر الابكم، ج 5، ص 375.</w:t>
      </w:r>
    </w:p>
    <w:p>
      <w:pPr>
        <w:pStyle w:val="BookText"/>
      </w:pPr>
      <w:r>
        <w:rPr>
          <w:rFonts w:ascii="Amiri" w:hAnsi="Amiri" w:eastAsia="Amiri" w:cs="Amiri"/>
          <w:lang w:bidi="ar-SA"/>
          <w:color w:val="111111"/>
          <w:sz w:val="28"/>
          <w:szCs w:val="28"/>
          <w:rtl/>
        </w:rPr>
        <w:t xml:space="preserve">2 .العشرة الكاملة والهداية الشاملة</w:t>
      </w:r>
    </w:p>
    <w:p>
      <w:pPr>
        <w:pStyle w:val="BookText"/>
      </w:pPr>
      <w:r>
        <w:rPr>
          <w:rFonts w:ascii="IRNazanin" w:hAnsi="IRNazanin" w:eastAsia="IRNazanin" w:cs="IRNazanin"/>
          <w:lang w:bidi="fa-IR"/>
          <w:color w:val="111111"/>
          <w:sz w:val="28"/>
          <w:szCs w:val="28"/>
          <w:rtl/>
        </w:rPr>
        <w:t xml:space="preserve">ج 11، ص 119.</w:t>
      </w:r>
    </w:p>
    <w:p>
      <w:pPr>
        <w:pStyle w:val="Heading2"/>
      </w:pPr>
      <w:bookmarkStart w:id="5885" w:name="_Toc4987"/>
      <w:r>
        <w:t>عثماني ، محمّد بن علي قرن 12 ه-</w:t>
      </w:r>
      <w:bookmarkEnd w:id="5885"/>
    </w:p>
    <w:p>
      <w:pPr>
        <w:pStyle w:val="BookText"/>
      </w:pPr>
      <w:r>
        <w:rPr>
          <w:rFonts w:ascii="Amiri" w:hAnsi="Amiri" w:eastAsia="Amiri" w:cs="Amiri"/>
          <w:lang w:bidi="ar-SA"/>
          <w:color w:val="111111"/>
          <w:sz w:val="28"/>
          <w:szCs w:val="28"/>
          <w:rtl/>
        </w:rPr>
        <w:t xml:space="preserve">لب القواعد في حل المقاصد، ج13،</w:t>
      </w:r>
    </w:p>
    <w:p>
      <w:pPr>
        <w:pStyle w:val="BookText"/>
      </w:pPr>
      <w:r>
        <w:rPr>
          <w:rFonts w:ascii="IRNazanin" w:hAnsi="IRNazanin" w:eastAsia="IRNazanin" w:cs="IRNazanin"/>
          <w:lang w:bidi="fa-IR"/>
          <w:color w:val="111111"/>
          <w:sz w:val="28"/>
          <w:szCs w:val="28"/>
          <w:rtl/>
        </w:rPr>
        <w:t xml:space="preserve">ص561.</w:t>
      </w:r>
    </w:p>
    <w:p>
      <w:pPr>
        <w:pStyle w:val="Heading2"/>
      </w:pPr>
      <w:bookmarkStart w:id="5886" w:name="_Toc4988"/>
      <w:r>
        <w:t>عثماني ، محمّد بن عمر - 618 ه-</w:t>
      </w:r>
      <w:bookmarkEnd w:id="5886"/>
    </w:p>
    <w:p>
      <w:pPr>
        <w:pStyle w:val="BookText"/>
      </w:pPr>
      <w:r>
        <w:rPr>
          <w:rFonts w:ascii="Amiri" w:hAnsi="Amiri" w:eastAsia="Amiri" w:cs="Amiri"/>
          <w:lang w:bidi="ar-SA"/>
          <w:color w:val="111111"/>
          <w:sz w:val="28"/>
          <w:szCs w:val="28"/>
          <w:rtl/>
        </w:rPr>
        <w:t xml:space="preserve">فوائد خرسان من العوالي الصحاح</w:t>
      </w:r>
    </w:p>
    <w:p>
      <w:pPr>
        <w:pStyle w:val="BookText"/>
      </w:pPr>
      <w:r>
        <w:rPr>
          <w:rFonts w:ascii="IRNazanin" w:hAnsi="IRNazanin" w:eastAsia="IRNazanin" w:cs="IRNazanin"/>
          <w:lang w:bidi="fa-IR"/>
          <w:color w:val="111111"/>
          <w:sz w:val="28"/>
          <w:szCs w:val="28"/>
          <w:rtl/>
        </w:rPr>
        <w:t xml:space="preserve">ج 12، ص203.</w:t>
      </w:r>
    </w:p>
    <w:p>
      <w:pPr>
        <w:pStyle w:val="BookText"/>
      </w:pPr>
      <w:r>
        <w:rPr>
          <w:rFonts w:ascii="Amiri" w:hAnsi="Amiri" w:eastAsia="Amiri" w:cs="Amiri"/>
          <w:lang w:bidi="ar-SA"/>
          <w:color w:val="111111"/>
          <w:sz w:val="28"/>
          <w:szCs w:val="28"/>
          <w:rtl/>
        </w:rPr>
        <w:t xml:space="preserve">عثماني ، محمّد بن محمّد- دلجي ، محمّد</w:t>
      </w:r>
    </w:p>
    <w:p>
      <w:pPr>
        <w:pStyle w:val="BookText"/>
      </w:pPr>
      <w:r>
        <w:rPr>
          <w:rFonts w:ascii="Amiri" w:hAnsi="Amiri" w:eastAsia="Amiri" w:cs="Amiri"/>
          <w:lang w:bidi="ar-SA"/>
          <w:color w:val="111111"/>
          <w:sz w:val="28"/>
          <w:szCs w:val="28"/>
          <w:rtl/>
        </w:rPr>
        <w:t xml:space="preserve">بن محمّد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66" w:name="pg7742_70776"/>
    <w:bookmarkEnd w:id="766"/>
    <w:p>
      <w:pPr>
        <w:pStyle w:val="Heading2"/>
      </w:pPr>
      <w:bookmarkStart w:id="5887" w:name="_Toc4989"/>
      <w:r>
        <w:t>عثماني ، محمّد بن مسعود - 1214 ه-</w:t>
      </w:r>
      <w:bookmarkEnd w:id="5887"/>
    </w:p>
    <w:p>
      <w:pPr>
        <w:pStyle w:val="BookText"/>
      </w:pPr>
      <w:r>
        <w:rPr>
          <w:rFonts w:ascii="Amiri" w:hAnsi="Amiri" w:eastAsia="Amiri" w:cs="Amiri"/>
          <w:lang w:bidi="ar-SA"/>
          <w:color w:val="111111"/>
          <w:sz w:val="28"/>
          <w:szCs w:val="28"/>
          <w:rtl/>
        </w:rPr>
        <w:t xml:space="preserve">مختصر الفقه علي المذاهب الاربعة</w:t>
      </w:r>
    </w:p>
    <w:p>
      <w:pPr>
        <w:pStyle w:val="BookText"/>
      </w:pPr>
      <w:r>
        <w:rPr>
          <w:rFonts w:ascii="IRNazanin" w:hAnsi="IRNazanin" w:eastAsia="IRNazanin" w:cs="IRNazanin"/>
          <w:lang w:bidi="fa-IR"/>
          <w:color w:val="111111"/>
          <w:sz w:val="28"/>
          <w:szCs w:val="28"/>
          <w:rtl/>
        </w:rPr>
        <w:t xml:space="preserve">ج 14، ص 208.</w:t>
      </w:r>
    </w:p>
    <w:p>
      <w:pPr>
        <w:pStyle w:val="BookText"/>
      </w:pPr>
      <w:r>
        <w:rPr>
          <w:rFonts w:ascii="Amiri" w:hAnsi="Amiri" w:eastAsia="Amiri" w:cs="Amiri"/>
          <w:lang w:bidi="ar-SA"/>
          <w:color w:val="111111"/>
          <w:sz w:val="28"/>
          <w:szCs w:val="28"/>
          <w:rtl/>
        </w:rPr>
        <w:t xml:space="preserve">عثماني نقشبندي ، تاج الدين- عثماني</w:t>
      </w:r>
    </w:p>
    <w:p>
      <w:pPr>
        <w:pStyle w:val="BookText"/>
      </w:pPr>
      <w:r>
        <w:rPr>
          <w:rFonts w:ascii="Amiri" w:hAnsi="Amiri" w:eastAsia="Amiri" w:cs="Amiri"/>
          <w:lang w:bidi="ar-SA"/>
          <w:color w:val="111111"/>
          <w:sz w:val="28"/>
          <w:szCs w:val="28"/>
          <w:rtl/>
        </w:rPr>
        <w:t xml:space="preserve">تاج الدين بن زكريا</w:t>
      </w:r>
    </w:p>
    <w:p>
      <w:pPr>
        <w:pStyle w:val="Heading2"/>
      </w:pPr>
      <w:bookmarkStart w:id="5888" w:name="_Toc4990"/>
      <w:r>
        <w:t>عجدواني ، محمود بن علي قرن 10 ه-</w:t>
      </w:r>
      <w:bookmarkEnd w:id="5888"/>
    </w:p>
    <w:p>
      <w:pPr>
        <w:pStyle w:val="BookText"/>
      </w:pPr>
      <w:r>
        <w:rPr>
          <w:rFonts w:ascii="Amiri" w:hAnsi="Amiri" w:eastAsia="Amiri" w:cs="Amiri"/>
          <w:lang w:bidi="ar-SA"/>
          <w:color w:val="111111"/>
          <w:sz w:val="28"/>
          <w:szCs w:val="28"/>
          <w:rtl/>
        </w:rPr>
        <w:t xml:space="preserve">مفتاح الطالبين، ج 15 ، ص 202.</w:t>
      </w:r>
    </w:p>
    <w:p>
      <w:pPr>
        <w:pStyle w:val="BookText"/>
      </w:pPr>
      <w:r>
        <w:rPr>
          <w:rFonts w:ascii="Amiri" w:hAnsi="Amiri" w:eastAsia="Amiri" w:cs="Amiri"/>
          <w:lang w:bidi="ar-SA"/>
          <w:color w:val="111111"/>
          <w:sz w:val="28"/>
          <w:szCs w:val="28"/>
          <w:rtl/>
        </w:rPr>
        <w:t xml:space="preserve">عجلون ، محمّد بن عبدالله -ابن قاضي</w:t>
      </w:r>
    </w:p>
    <w:p>
      <w:pPr>
        <w:pStyle w:val="BookText"/>
      </w:pPr>
      <w:r>
        <w:rPr>
          <w:rFonts w:ascii="IRNazanin" w:hAnsi="IRNazanin" w:eastAsia="IRNazanin" w:cs="IRNazanin"/>
          <w:lang w:bidi="fa-IR"/>
          <w:color w:val="111111"/>
          <w:sz w:val="28"/>
          <w:szCs w:val="28"/>
          <w:rtl/>
        </w:rPr>
        <w:t xml:space="preserve">عجلون ، محمّد بن عبدالله</w:t>
      </w:r>
    </w:p>
    <w:p>
      <w:pPr>
        <w:pStyle w:val="Heading2"/>
      </w:pPr>
      <w:bookmarkStart w:id="5889" w:name="_Toc4991"/>
      <w:r>
        <w:t>عجلوني، اسماعيل بن محمّد، 1087 -</w:t>
      </w:r>
      <w:bookmarkEnd w:id="5889"/>
    </w:p>
    <w:p>
      <w:pPr>
        <w:pStyle w:val="BookText"/>
      </w:pPr>
      <w:r>
        <w:rPr>
          <w:rFonts w:ascii="IRNazanin" w:hAnsi="IRNazanin" w:eastAsia="IRNazanin" w:cs="IRNazanin"/>
          <w:lang w:bidi="fa-IR"/>
          <w:color w:val="111111"/>
          <w:sz w:val="28"/>
          <w:szCs w:val="28"/>
          <w:rtl/>
        </w:rPr>
        <w:t xml:space="preserve">1162ه-</w:t>
      </w:r>
    </w:p>
    <w:p>
      <w:pPr>
        <w:pStyle w:val="BookText"/>
      </w:pPr>
      <w:r>
        <w:rPr>
          <w:rFonts w:ascii="Amiri" w:hAnsi="Amiri" w:eastAsia="Amiri" w:cs="Amiri"/>
          <w:lang w:bidi="ar-SA"/>
          <w:color w:val="111111"/>
          <w:sz w:val="28"/>
          <w:szCs w:val="28"/>
          <w:rtl/>
        </w:rPr>
        <w:t xml:space="preserve">1 .الأربعون حديثاً، ج 1، ص708.</w:t>
      </w:r>
    </w:p>
    <w:p>
      <w:pPr>
        <w:pStyle w:val="BookText"/>
      </w:pPr>
      <w:r>
        <w:rPr>
          <w:rFonts w:ascii="Amiri" w:hAnsi="Amiri" w:eastAsia="Amiri" w:cs="Amiri"/>
          <w:lang w:bidi="ar-SA"/>
          <w:color w:val="111111"/>
          <w:sz w:val="28"/>
          <w:szCs w:val="28"/>
          <w:rtl/>
        </w:rPr>
        <w:t xml:space="preserve">2 .حلية اهل الفضل و الكمال باتصال</w:t>
      </w:r>
    </w:p>
    <w:p>
      <w:pPr>
        <w:pStyle w:val="BookText"/>
      </w:pPr>
      <w:r>
        <w:rPr>
          <w:rFonts w:ascii="Amiri" w:hAnsi="Amiri" w:eastAsia="Amiri" w:cs="Amiri"/>
          <w:lang w:bidi="ar-SA"/>
          <w:color w:val="111111"/>
          <w:sz w:val="28"/>
          <w:szCs w:val="28"/>
          <w:rtl/>
        </w:rPr>
        <w:t xml:space="preserve">الاسانيد بكمل الرجال، ج 6، ص 813.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اربعين حديثاً، ج9، ص 171</w:t>
      </w:r>
    </w:p>
    <w:p>
      <w:pPr>
        <w:pStyle w:val="BookText"/>
      </w:pPr>
      <w:r>
        <w:rPr>
          <w:rFonts w:ascii="Amiri" w:hAnsi="Amiri" w:eastAsia="Amiri" w:cs="Amiri"/>
          <w:lang w:bidi="ar-SA"/>
          <w:color w:val="111111"/>
          <w:sz w:val="28"/>
          <w:szCs w:val="28"/>
          <w:rtl/>
        </w:rPr>
        <w:t xml:space="preserve">4 .عقد الجوهر الثمين في اربعين حديثا من احاديث سيّد المرسلين من اوائل كتب الاحاديث، ج 11،</w:t>
      </w:r>
    </w:p>
    <w:p>
      <w:pPr>
        <w:pStyle w:val="BookText"/>
      </w:pPr>
      <w:r>
        <w:rPr>
          <w:rFonts w:ascii="IRNazanin" w:hAnsi="IRNazanin" w:eastAsia="IRNazanin" w:cs="IRNazanin"/>
          <w:lang w:bidi="fa-IR"/>
          <w:color w:val="111111"/>
          <w:sz w:val="28"/>
          <w:szCs w:val="28"/>
          <w:rtl/>
        </w:rPr>
        <w:t xml:space="preserve">ص 160 .</w:t>
      </w:r>
    </w:p>
    <w:p>
      <w:pPr>
        <w:pStyle w:val="BookText"/>
      </w:pPr>
      <w:r>
        <w:rPr>
          <w:rFonts w:ascii="Amiri" w:hAnsi="Amiri" w:eastAsia="Amiri" w:cs="Amiri"/>
          <w:lang w:bidi="ar-SA"/>
          <w:color w:val="111111"/>
          <w:sz w:val="28"/>
          <w:szCs w:val="28"/>
          <w:rtl/>
        </w:rPr>
        <w:t xml:space="preserve">5 .كتاب مسند الامام المحدث اسماعيل العجلوني، ج 13، ص123.</w:t>
      </w:r>
    </w:p>
    <w:p>
      <w:pPr>
        <w:pStyle w:val="BookText"/>
      </w:pPr>
      <w:r>
        <w:rPr>
          <w:rFonts w:ascii="Amiri" w:hAnsi="Amiri" w:eastAsia="Amiri" w:cs="Amiri"/>
          <w:lang w:bidi="ar-SA"/>
          <w:color w:val="111111"/>
          <w:sz w:val="28"/>
          <w:szCs w:val="28"/>
          <w:rtl/>
        </w:rPr>
        <w:t xml:space="preserve">6 .كشف الخفا و مزيل الالباس عما اشتهر من الأحاديث على السنة الناس، ج 13، ص209.</w:t>
      </w:r>
    </w:p>
    <w:p>
      <w:pPr>
        <w:pStyle w:val="BookText"/>
      </w:pPr>
      <w:r>
        <w:rPr>
          <w:rFonts w:ascii="Amiri" w:hAnsi="Amiri" w:eastAsia="Amiri" w:cs="Amiri"/>
          <w:lang w:bidi="ar-SA"/>
          <w:color w:val="111111"/>
          <w:sz w:val="28"/>
          <w:szCs w:val="28"/>
          <w:rtl/>
        </w:rPr>
        <w:t xml:space="preserve">عجلوني ، سعد الدين- بارزي عجلوني ،</w:t>
      </w:r>
    </w:p>
    <w:p>
      <w:pPr>
        <w:pStyle w:val="BookText"/>
      </w:pPr>
      <w:r>
        <w:rPr>
          <w:rFonts w:ascii="Amiri" w:hAnsi="Amiri" w:eastAsia="Amiri" w:cs="Amiri"/>
          <w:lang w:bidi="ar-SA"/>
          <w:color w:val="111111"/>
          <w:sz w:val="28"/>
          <w:szCs w:val="28"/>
          <w:rtl/>
        </w:rPr>
        <w:t xml:space="preserve">سعد الدين</w:t>
      </w:r>
    </w:p>
    <w:p>
      <w:pPr>
        <w:pStyle w:val="BookText"/>
      </w:pPr>
      <w:r>
        <w:rPr>
          <w:rFonts w:ascii="Amiri" w:hAnsi="Amiri" w:eastAsia="Amiri" w:cs="Amiri"/>
          <w:lang w:bidi="ar-SA"/>
          <w:color w:val="111111"/>
          <w:sz w:val="28"/>
          <w:szCs w:val="28"/>
          <w:rtl/>
        </w:rPr>
        <w:t xml:space="preserve">عجلوني ، عبدالله بن زين الدين- عمري ، عبدالله بن زين الدين</w:t>
      </w:r>
    </w:p>
    <w:p>
      <w:pPr>
        <w:pStyle w:val="Heading2"/>
      </w:pPr>
      <w:bookmarkStart w:id="5890" w:name="_Toc4992"/>
      <w:r>
        <w:t>عجلوني ، محمّد بن خليل 1060 - 1148</w:t>
      </w:r>
      <w:bookmarkEnd w:id="5890"/>
    </w:p>
    <w:p>
      <w:pPr>
        <w:pStyle w:val="BookText"/>
      </w:pPr>
      <w:r>
        <w:rPr>
          <w:rFonts w:ascii="Amiri" w:hAnsi="Amiri" w:eastAsia="Amiri" w:cs="Amiri"/>
          <w:lang w:bidi="ar-SA"/>
          <w:color w:val="111111"/>
          <w:sz w:val="28"/>
          <w:szCs w:val="28"/>
          <w:rtl/>
        </w:rPr>
        <w:t xml:space="preserve">اجازة للشيخ محمّد العبدلي، ج1،</w:t>
      </w:r>
    </w:p>
    <w:p>
      <w:pPr>
        <w:pStyle w:val="BookText"/>
      </w:pPr>
      <w:r>
        <w:rPr>
          <w:rFonts w:ascii="IRNazanin" w:hAnsi="IRNazanin" w:eastAsia="IRNazanin" w:cs="IRNazanin"/>
          <w:lang w:bidi="fa-IR"/>
          <w:color w:val="111111"/>
          <w:sz w:val="28"/>
          <w:szCs w:val="28"/>
          <w:rtl/>
        </w:rPr>
        <w:t xml:space="preserve">ص 275.</w:t>
      </w:r>
    </w:p>
    <w:p>
      <w:pPr>
        <w:pStyle w:val="BookText"/>
      </w:pPr>
      <w:r>
        <w:rPr>
          <w:rFonts w:ascii="Amiri" w:hAnsi="Amiri" w:eastAsia="Amiri" w:cs="Amiri"/>
          <w:lang w:bidi="ar-SA"/>
          <w:color w:val="111111"/>
          <w:sz w:val="28"/>
          <w:szCs w:val="28"/>
          <w:rtl/>
        </w:rPr>
        <w:t xml:space="preserve">عجلوني ، محمّد بن علي -بلالي ، محمّد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عجلوني ، محمّد بن ولي الله -ابن قاضي</w:t>
      </w:r>
    </w:p>
    <w:p>
      <w:pPr>
        <w:pStyle w:val="BookText"/>
      </w:pPr>
      <w:r>
        <w:rPr>
          <w:rFonts w:ascii="IRNazanin" w:hAnsi="IRNazanin" w:eastAsia="IRNazanin" w:cs="IRNazanin"/>
          <w:lang w:bidi="fa-IR"/>
          <w:color w:val="111111"/>
          <w:sz w:val="28"/>
          <w:szCs w:val="28"/>
          <w:rtl/>
        </w:rPr>
        <w:t xml:space="preserve">عجلون ، محمّد بن عبدالله</w:t>
      </w:r>
    </w:p>
    <w:p>
      <w:pPr>
        <w:pStyle w:val="BookText"/>
      </w:pPr>
      <w:r>
        <w:rPr>
          <w:rFonts w:ascii="IRNazanin" w:hAnsi="IRNazanin" w:eastAsia="IRNazanin" w:cs="IRNazanin"/>
          <w:lang w:bidi="fa-IR"/>
          <w:color w:val="111111"/>
          <w:sz w:val="28"/>
          <w:szCs w:val="28"/>
          <w:rtl/>
        </w:rPr>
        <w:t xml:space="preserve">عجلي ، ابراهيم بن ادهم -ابراهیم ادهم</w:t>
      </w:r>
    </w:p>
    <w:p>
      <w:pPr>
        <w:pStyle w:val="BookText"/>
      </w:pPr>
      <w:r>
        <w:rPr>
          <w:rFonts w:ascii="Amiri" w:hAnsi="Amiri" w:eastAsia="Amiri" w:cs="Amiri"/>
          <w:lang w:bidi="ar-SA"/>
          <w:color w:val="111111"/>
          <w:sz w:val="28"/>
          <w:szCs w:val="28"/>
          <w:rtl/>
        </w:rPr>
        <w:t xml:space="preserve">عجلي ، ابوالفتوح منتجب</w:t>
      </w:r>
    </w:p>
    <w:p>
      <w:pPr>
        <w:pStyle w:val="BookText"/>
      </w:pPr>
      <w:r>
        <w:rPr>
          <w:rFonts w:ascii="Amiri" w:hAnsi="Amiri" w:eastAsia="Amiri" w:cs="Amiri"/>
          <w:lang w:bidi="ar-SA"/>
          <w:color w:val="111111"/>
          <w:sz w:val="28"/>
          <w:szCs w:val="28"/>
          <w:rtl/>
        </w:rPr>
        <w:t xml:space="preserve">الدين -ابوالفتوح اصفهاني ، اسعد بن محمود</w:t>
      </w:r>
    </w:p>
    <w:p>
      <w:pPr>
        <w:pStyle w:val="BookText"/>
      </w:pPr>
      <w:r>
        <w:rPr>
          <w:rFonts w:ascii="Amiri" w:hAnsi="Amiri" w:eastAsia="Amiri" w:cs="Amiri"/>
          <w:lang w:bidi="ar-SA"/>
          <w:color w:val="111111"/>
          <w:sz w:val="28"/>
          <w:szCs w:val="28"/>
          <w:rtl/>
        </w:rPr>
        <w:t xml:space="preserve">عجلي ، اسعد بن محمود -ابوالفتوح</w:t>
      </w:r>
    </w:p>
    <w:p>
      <w:pPr>
        <w:pStyle w:val="BookText"/>
      </w:pPr>
      <w:r>
        <w:rPr>
          <w:rFonts w:ascii="Amiri" w:hAnsi="Amiri" w:eastAsia="Amiri" w:cs="Amiri"/>
          <w:lang w:bidi="ar-SA"/>
          <w:color w:val="111111"/>
          <w:sz w:val="28"/>
          <w:szCs w:val="28"/>
          <w:rtl/>
        </w:rPr>
        <w:t xml:space="preserve">اصفهاني ، اسعد بن محمود</w:t>
      </w:r>
    </w:p>
    <w:p>
      <w:pPr>
        <w:pStyle w:val="BookText"/>
      </w:pPr>
      <w:r>
        <w:rPr>
          <w:rFonts w:ascii="Amiri" w:hAnsi="Amiri" w:eastAsia="Amiri" w:cs="Amiri"/>
          <w:lang w:bidi="ar-SA"/>
          <w:color w:val="111111"/>
          <w:sz w:val="28"/>
          <w:szCs w:val="28"/>
          <w:rtl/>
        </w:rPr>
        <w:t xml:space="preserve">عجلي ، علي بن هبة الله -ابن ماكولا ، علي</w:t>
      </w:r>
    </w:p>
    <w:p>
      <w:pPr>
        <w:pStyle w:val="BookText"/>
      </w:pPr>
      <w:r>
        <w:rPr>
          <w:rFonts w:ascii="Amiri" w:hAnsi="Amiri" w:eastAsia="Amiri" w:cs="Amiri"/>
          <w:lang w:bidi="ar-SA"/>
          <w:color w:val="111111"/>
          <w:sz w:val="28"/>
          <w:szCs w:val="28"/>
          <w:rtl/>
        </w:rPr>
        <w:t xml:space="preserve">بن هبة الله</w:t>
      </w:r>
    </w:p>
    <w:p>
      <w:pPr>
        <w:pStyle w:val="Heading2"/>
      </w:pPr>
      <w:bookmarkStart w:id="5891" w:name="_Toc4993"/>
      <w:r>
        <w:t>عجلي ، فضل بن قدامه - 130 ه-</w:t>
      </w:r>
      <w:bookmarkEnd w:id="5891"/>
    </w:p>
    <w:p>
      <w:pPr>
        <w:pStyle w:val="BookText"/>
      </w:pPr>
      <w:r>
        <w:rPr>
          <w:rFonts w:ascii="Amiri" w:hAnsi="Amiri" w:eastAsia="Amiri" w:cs="Amiri"/>
          <w:lang w:bidi="ar-SA"/>
          <w:color w:val="111111"/>
          <w:sz w:val="28"/>
          <w:szCs w:val="28"/>
          <w:rtl/>
        </w:rPr>
        <w:t xml:space="preserve">أرجوزة، ج 1، ص 760.</w:t>
      </w:r>
    </w:p>
    <w:p>
      <w:pPr>
        <w:pStyle w:val="BookText"/>
      </w:pPr>
      <w:r>
        <w:rPr>
          <w:rFonts w:ascii="Amiri" w:hAnsi="Amiri" w:eastAsia="Amiri" w:cs="Amiri"/>
          <w:lang w:bidi="ar-SA"/>
          <w:color w:val="111111"/>
          <w:sz w:val="28"/>
          <w:szCs w:val="28"/>
          <w:rtl/>
        </w:rPr>
        <w:t xml:space="preserve">عجلي ، محمّد بن احمد- ابن ادريس</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عجلي ، مفضل بن قدامه -عجلي ، فضل</w:t>
      </w:r>
    </w:p>
    <w:p>
      <w:pPr>
        <w:pStyle w:val="BookText"/>
      </w:pPr>
      <w:r>
        <w:rPr>
          <w:rFonts w:ascii="IRNazanin" w:hAnsi="IRNazanin" w:eastAsia="IRNazanin" w:cs="IRNazanin"/>
          <w:lang w:bidi="fa-IR"/>
          <w:color w:val="111111"/>
          <w:sz w:val="28"/>
          <w:szCs w:val="28"/>
          <w:rtl/>
        </w:rPr>
        <w:t xml:space="preserve">بن قدامه</w:t>
      </w:r>
    </w:p>
    <w:p>
      <w:pPr>
        <w:pStyle w:val="Heading2"/>
      </w:pPr>
      <w:bookmarkStart w:id="5892" w:name="_Toc4994"/>
      <w:r>
        <w:t>عجم اوغلي ، محمّد بن علي قرن 9 ه-</w:t>
      </w:r>
      <w:bookmarkEnd w:id="5892"/>
    </w:p>
    <w:p>
      <w:pPr>
        <w:pStyle w:val="BookText"/>
      </w:pPr>
      <w:r>
        <w:rPr>
          <w:rFonts w:ascii="Amiri" w:hAnsi="Amiri" w:eastAsia="Amiri" w:cs="Amiri"/>
          <w:lang w:bidi="ar-SA"/>
          <w:color w:val="111111"/>
          <w:sz w:val="28"/>
          <w:szCs w:val="28"/>
          <w:rtl/>
        </w:rPr>
        <w:t xml:space="preserve">حاشية شرح السراجية، ج 6، ص 125.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67" w:name="pg7742_70778"/>
    <w:bookmarkEnd w:id="767"/>
    <w:p>
      <w:pPr>
        <w:pStyle w:val="BookText"/>
      </w:pPr>
      <w:r>
        <w:rPr>
          <w:rFonts w:ascii="Amiri" w:hAnsi="Amiri" w:eastAsia="Amiri" w:cs="Amiri"/>
          <w:lang w:bidi="ar-SA"/>
          <w:color w:val="111111"/>
          <w:sz w:val="28"/>
          <w:szCs w:val="28"/>
          <w:rtl/>
        </w:rPr>
        <w:t xml:space="preserve">عجمي ، ابراهيم - عجمي ، شيخ ابراهيم</w:t>
      </w:r>
    </w:p>
    <w:p>
      <w:pPr>
        <w:pStyle w:val="BookText"/>
      </w:pPr>
      <w:r>
        <w:rPr>
          <w:rFonts w:ascii="Amiri" w:hAnsi="Amiri" w:eastAsia="Amiri" w:cs="Amiri"/>
          <w:lang w:bidi="ar-SA"/>
          <w:color w:val="111111"/>
          <w:sz w:val="28"/>
          <w:szCs w:val="28"/>
          <w:rtl/>
        </w:rPr>
        <w:t xml:space="preserve">عجمي ، ابراهيم بن محمّد- سبط ابن</w:t>
      </w:r>
    </w:p>
    <w:p>
      <w:pPr>
        <w:pStyle w:val="BookText"/>
      </w:pPr>
      <w:r>
        <w:rPr>
          <w:rFonts w:ascii="Amiri" w:hAnsi="Amiri" w:eastAsia="Amiri" w:cs="Amiri"/>
          <w:lang w:bidi="ar-SA"/>
          <w:color w:val="111111"/>
          <w:sz w:val="28"/>
          <w:szCs w:val="28"/>
          <w:rtl/>
        </w:rPr>
        <w:t xml:space="preserve">عجمي ، ابراهيم بن محمّد</w:t>
      </w:r>
    </w:p>
    <w:p>
      <w:pPr>
        <w:pStyle w:val="Heading2"/>
      </w:pPr>
      <w:bookmarkStart w:id="5893" w:name="_Toc4995"/>
      <w:r>
        <w:t>عجمي ، احمد بن احمد، 1014 - 1086</w:t>
      </w:r>
      <w:bookmarkEnd w:id="5893"/>
    </w:p>
    <w:p>
      <w:pPr>
        <w:pStyle w:val="BookText"/>
      </w:pPr>
      <w:r>
        <w:rPr>
          <w:rFonts w:ascii="Amiri" w:hAnsi="Amiri" w:eastAsia="Amiri" w:cs="Amiri"/>
          <w:lang w:bidi="ar-SA"/>
          <w:color w:val="111111"/>
          <w:sz w:val="28"/>
          <w:szCs w:val="28"/>
          <w:rtl/>
        </w:rPr>
        <w:t xml:space="preserve">1 .ذيل لب اللباب في تحرير الانساب</w:t>
      </w:r>
    </w:p>
    <w:p>
      <w:pPr>
        <w:pStyle w:val="BookText"/>
      </w:pPr>
      <w:r>
        <w:rPr>
          <w:rFonts w:ascii="IRNazanin" w:hAnsi="IRNazanin" w:eastAsia="IRNazanin" w:cs="IRNazanin"/>
          <w:lang w:bidi="fa-IR"/>
          <w:color w:val="111111"/>
          <w:sz w:val="28"/>
          <w:szCs w:val="28"/>
          <w:rtl/>
        </w:rPr>
        <w:t xml:space="preserve">ج 7، ص 881</w:t>
      </w:r>
    </w:p>
    <w:p>
      <w:pPr>
        <w:pStyle w:val="BookText"/>
      </w:pPr>
      <w:r>
        <w:rPr>
          <w:rFonts w:ascii="Amiri" w:hAnsi="Amiri" w:eastAsia="Amiri" w:cs="Amiri"/>
          <w:lang w:bidi="ar-SA"/>
          <w:color w:val="111111"/>
          <w:sz w:val="28"/>
          <w:szCs w:val="28"/>
          <w:rtl/>
        </w:rPr>
        <w:t xml:space="preserve">2 .عنوان السعادة الابدية بتراجم</w:t>
      </w:r>
    </w:p>
    <w:p>
      <w:pPr>
        <w:pStyle w:val="BookText"/>
      </w:pPr>
      <w:r>
        <w:rPr>
          <w:rFonts w:ascii="Amiri" w:hAnsi="Amiri" w:eastAsia="Amiri" w:cs="Amiri"/>
          <w:lang w:bidi="ar-SA"/>
          <w:color w:val="111111"/>
          <w:sz w:val="28"/>
          <w:szCs w:val="28"/>
          <w:rtl/>
        </w:rPr>
        <w:t xml:space="preserve">السادات الوفائية = عنوان السادات الابدية بتراجم السادات الوفائية، ج 11، ص 337.</w:t>
      </w:r>
    </w:p>
    <w:p>
      <w:pPr>
        <w:pStyle w:val="BookText"/>
      </w:pPr>
      <w:r>
        <w:rPr>
          <w:rFonts w:ascii="Amiri" w:hAnsi="Amiri" w:eastAsia="Amiri" w:cs="Amiri"/>
          <w:lang w:bidi="ar-SA"/>
          <w:color w:val="111111"/>
          <w:sz w:val="28"/>
          <w:szCs w:val="28"/>
          <w:rtl/>
        </w:rPr>
        <w:t xml:space="preserve">عجمي، احمد بن محمّد- عجمي ، احمد بن احمد</w:t>
      </w:r>
    </w:p>
    <w:p>
      <w:pPr>
        <w:pStyle w:val="BookText"/>
      </w:pPr>
      <w:r>
        <w:rPr>
          <w:rFonts w:ascii="Amiri" w:hAnsi="Amiri" w:eastAsia="Amiri" w:cs="Amiri"/>
          <w:lang w:bidi="ar-SA"/>
          <w:color w:val="111111"/>
          <w:sz w:val="28"/>
          <w:szCs w:val="28"/>
          <w:rtl/>
        </w:rPr>
        <w:t xml:space="preserve">عجمي رومي ، احمد بن محمّد -ابن</w:t>
      </w:r>
    </w:p>
    <w:p>
      <w:pPr>
        <w:pStyle w:val="BookText"/>
      </w:pPr>
      <w:r>
        <w:rPr>
          <w:rFonts w:ascii="IRNazanin" w:hAnsi="IRNazanin" w:eastAsia="IRNazanin" w:cs="IRNazanin"/>
          <w:lang w:bidi="fa-IR"/>
          <w:color w:val="111111"/>
          <w:sz w:val="28"/>
          <w:szCs w:val="28"/>
          <w:rtl/>
        </w:rPr>
        <w:t xml:space="preserve">عربشاه ، احمد بن محمّد</w:t>
      </w:r>
    </w:p>
    <w:p>
      <w:pPr>
        <w:pStyle w:val="Heading2"/>
      </w:pPr>
      <w:bookmarkStart w:id="5894" w:name="_Toc4996"/>
      <w:r>
        <w:t>عجمي ، سيد علي - 860 ه-</w:t>
      </w:r>
      <w:bookmarkEnd w:id="5894"/>
    </w:p>
    <w:p>
      <w:pPr>
        <w:pStyle w:val="BookText"/>
      </w:pPr>
      <w:r>
        <w:rPr>
          <w:rFonts w:ascii="Amiri" w:hAnsi="Amiri" w:eastAsia="Amiri" w:cs="Amiri"/>
          <w:lang w:bidi="ar-SA"/>
          <w:color w:val="111111"/>
          <w:sz w:val="28"/>
          <w:szCs w:val="28"/>
          <w:rtl/>
        </w:rPr>
        <w:t xml:space="preserve">1 .حاشية حاشية الجرجاني على تحرير القواعد المنطقية، جه،</w:t>
      </w:r>
    </w:p>
    <w:p>
      <w:pPr>
        <w:pStyle w:val="BookText"/>
      </w:pPr>
      <w:r>
        <w:rPr>
          <w:rFonts w:ascii="IRNazanin" w:hAnsi="IRNazanin" w:eastAsia="IRNazanin" w:cs="IRNazanin"/>
          <w:lang w:bidi="fa-IR"/>
          <w:color w:val="111111"/>
          <w:sz w:val="28"/>
          <w:szCs w:val="28"/>
          <w:rtl/>
        </w:rPr>
        <w:t xml:space="preserve">ص 774</w:t>
      </w:r>
    </w:p>
    <w:p>
      <w:pPr>
        <w:pStyle w:val="BookText"/>
      </w:pPr>
      <w:r>
        <w:rPr>
          <w:rFonts w:ascii="Amiri" w:hAnsi="Amiri" w:eastAsia="Amiri" w:cs="Amiri"/>
          <w:lang w:bidi="ar-SA"/>
          <w:color w:val="111111"/>
          <w:sz w:val="28"/>
          <w:szCs w:val="28"/>
          <w:rtl/>
        </w:rPr>
        <w:t xml:space="preserve">2 .حاشية حاشية الجرجاني على لوامع</w:t>
      </w:r>
    </w:p>
    <w:p>
      <w:pPr>
        <w:pStyle w:val="BookText"/>
      </w:pPr>
      <w:r>
        <w:rPr>
          <w:rFonts w:ascii="Amiri" w:hAnsi="Amiri" w:eastAsia="Amiri" w:cs="Amiri"/>
          <w:lang w:bidi="ar-SA"/>
          <w:color w:val="111111"/>
          <w:sz w:val="28"/>
          <w:szCs w:val="28"/>
          <w:rtl/>
        </w:rPr>
        <w:t xml:space="preserve">الاسرار في شرح مطالع الانوار، ج5،</w:t>
      </w:r>
    </w:p>
    <w:p>
      <w:pPr>
        <w:pStyle w:val="BookText"/>
      </w:pPr>
      <w:r>
        <w:rPr>
          <w:rFonts w:ascii="IRNazanin" w:hAnsi="IRNazanin" w:eastAsia="IRNazanin" w:cs="IRNazanin"/>
          <w:lang w:bidi="fa-IR"/>
          <w:color w:val="111111"/>
          <w:sz w:val="28"/>
          <w:szCs w:val="28"/>
          <w:rtl/>
        </w:rPr>
        <w:t xml:space="preserve">ص 787 .</w:t>
      </w:r>
    </w:p>
    <w:p>
      <w:pPr>
        <w:pStyle w:val="BookText"/>
      </w:pPr>
      <w:r>
        <w:rPr>
          <w:rFonts w:ascii="Amiri" w:hAnsi="Amiri" w:eastAsia="Amiri" w:cs="Amiri"/>
          <w:lang w:bidi="ar-SA"/>
          <w:color w:val="111111"/>
          <w:sz w:val="28"/>
          <w:szCs w:val="28"/>
          <w:rtl/>
        </w:rPr>
        <w:t xml:space="preserve">3 .حاشية شرح ديباجة الشمسية، ج 6،</w:t>
      </w:r>
    </w:p>
    <w:p>
      <w:pPr>
        <w:pStyle w:val="BookText"/>
      </w:pPr>
      <w:r>
        <w:rPr>
          <w:rFonts w:ascii="IRNazanin" w:hAnsi="IRNazanin" w:eastAsia="IRNazanin" w:cs="IRNazanin"/>
          <w:lang w:bidi="fa-IR"/>
          <w:color w:val="111111"/>
          <w:sz w:val="28"/>
          <w:szCs w:val="28"/>
          <w:rtl/>
        </w:rPr>
        <w:t xml:space="preserve">ص 93 .</w:t>
      </w:r>
    </w:p>
    <w:p>
      <w:pPr>
        <w:pStyle w:val="BookText"/>
      </w:pPr>
      <w:r>
        <w:rPr>
          <w:rFonts w:ascii="Amiri" w:hAnsi="Amiri" w:eastAsia="Amiri" w:cs="Amiri"/>
          <w:lang w:bidi="ar-SA"/>
          <w:color w:val="111111"/>
          <w:sz w:val="28"/>
          <w:szCs w:val="28"/>
          <w:rtl/>
        </w:rPr>
        <w:t xml:space="preserve">عجمي ، سيدي علي -عجمي ، سيّد علي</w:t>
      </w:r>
    </w:p>
    <w:p>
      <w:pPr>
        <w:pStyle w:val="BookText"/>
      </w:pPr>
      <w:r>
        <w:rPr>
          <w:rFonts w:ascii="Amiri" w:hAnsi="Amiri" w:eastAsia="Amiri" w:cs="Amiri"/>
          <w:lang w:bidi="ar-SA"/>
          <w:color w:val="111111"/>
          <w:sz w:val="28"/>
          <w:szCs w:val="28"/>
          <w:rtl/>
        </w:rPr>
        <w:t xml:space="preserve">عجمي ، شرف الدين حسن شاه -بقال ،</w:t>
      </w:r>
    </w:p>
    <w:p>
      <w:pPr>
        <w:pStyle w:val="BookText"/>
      </w:pPr>
      <w:r>
        <w:rPr>
          <w:rFonts w:ascii="IRNazanin" w:hAnsi="IRNazanin" w:eastAsia="IRNazanin" w:cs="IRNazanin"/>
          <w:lang w:bidi="fa-IR"/>
          <w:color w:val="111111"/>
          <w:sz w:val="28"/>
          <w:szCs w:val="28"/>
          <w:rtl/>
        </w:rPr>
        <w:t xml:space="preserve">شرف الدین حسن شاه</w:t>
      </w:r>
    </w:p>
    <w:p>
      <w:pPr>
        <w:pStyle w:val="Heading2"/>
      </w:pPr>
      <w:bookmarkStart w:id="5895" w:name="_Toc4997"/>
      <w:r>
        <w:t>عجمي ، شمس الدین احمد</w:t>
      </w:r>
      <w:bookmarkEnd w:id="5895"/>
    </w:p>
    <w:p>
      <w:pPr>
        <w:pStyle w:val="BookText"/>
      </w:pPr>
      <w:r>
        <w:rPr>
          <w:rFonts w:ascii="Amiri" w:hAnsi="Amiri" w:eastAsia="Amiri" w:cs="Amiri"/>
          <w:lang w:bidi="ar-SA"/>
          <w:color w:val="111111"/>
          <w:sz w:val="28"/>
          <w:szCs w:val="28"/>
          <w:rtl/>
        </w:rPr>
        <w:t xml:space="preserve">قمر الاقمار في كشف الاسرار، ج 12،</w:t>
      </w:r>
    </w:p>
    <w:p>
      <w:pPr>
        <w:pStyle w:val="BookText"/>
      </w:pPr>
      <w:r>
        <w:rPr>
          <w:rFonts w:ascii="IRNazanin" w:hAnsi="IRNazanin" w:eastAsia="IRNazanin" w:cs="IRNazanin"/>
          <w:lang w:bidi="fa-IR"/>
          <w:color w:val="111111"/>
          <w:sz w:val="28"/>
          <w:szCs w:val="28"/>
          <w:rtl/>
        </w:rPr>
        <w:t xml:space="preserve">ص 768 .</w:t>
      </w:r>
    </w:p>
    <w:p>
      <w:pPr>
        <w:pStyle w:val="Heading2"/>
      </w:pPr>
      <w:bookmarkStart w:id="5896" w:name="_Toc4998"/>
      <w:r>
        <w:t>عجمي ، شيخ ابراهيم</w:t>
      </w:r>
      <w:bookmarkEnd w:id="5896"/>
    </w:p>
    <w:p>
      <w:pPr>
        <w:pStyle w:val="BookText"/>
      </w:pPr>
      <w:r>
        <w:rPr>
          <w:rFonts w:ascii="Amiri" w:hAnsi="Amiri" w:eastAsia="Amiri" w:cs="Amiri"/>
          <w:lang w:bidi="ar-SA"/>
          <w:color w:val="111111"/>
          <w:sz w:val="28"/>
          <w:szCs w:val="28"/>
          <w:rtl/>
        </w:rPr>
        <w:t xml:space="preserve">حاشية ملاعبدالله = شرح تهذيب</w:t>
      </w:r>
    </w:p>
    <w:p>
      <w:pPr>
        <w:pStyle w:val="BookText"/>
      </w:pPr>
      <w:r>
        <w:rPr>
          <w:rFonts w:ascii="IRNazanin" w:hAnsi="IRNazanin" w:eastAsia="IRNazanin" w:cs="IRNazanin"/>
          <w:lang w:bidi="fa-IR"/>
          <w:color w:val="111111"/>
          <w:sz w:val="28"/>
          <w:szCs w:val="28"/>
          <w:rtl/>
        </w:rPr>
        <w:t xml:space="preserve">المنطق، ج 6، ص 421.</w:t>
      </w:r>
    </w:p>
    <w:p>
      <w:pPr>
        <w:pStyle w:val="BookText"/>
      </w:pPr>
      <w:r>
        <w:rPr>
          <w:rFonts w:ascii="IRNazanin" w:hAnsi="IRNazanin" w:eastAsia="IRNazanin" w:cs="IRNazanin"/>
          <w:lang w:bidi="fa-IR"/>
          <w:color w:val="111111"/>
          <w:sz w:val="28"/>
          <w:szCs w:val="28"/>
          <w:rtl/>
        </w:rPr>
        <w:t xml:space="preserve">عجمي ، عبداللطيف بن شاه حسين- عجمي ، عبد اللطيف شاه حسین</w:t>
      </w:r>
    </w:p>
    <w:p>
      <w:pPr>
        <w:pStyle w:val="Heading2"/>
      </w:pPr>
      <w:bookmarkStart w:id="5897" w:name="_Toc4999"/>
      <w:r>
        <w:t>عجمي ، عبداللطيف شاه حسین - 920</w:t>
      </w:r>
      <w:bookmarkEnd w:id="5897"/>
    </w:p>
    <w:p>
      <w:pPr>
        <w:pStyle w:val="BookText"/>
      </w:pPr>
      <w:r>
        <w:rPr>
          <w:rFonts w:ascii="Amiri" w:hAnsi="Amiri" w:eastAsia="Amiri" w:cs="Amiri"/>
          <w:lang w:bidi="ar-SA"/>
          <w:color w:val="111111"/>
          <w:sz w:val="28"/>
          <w:szCs w:val="28"/>
          <w:rtl/>
        </w:rPr>
        <w:t xml:space="preserve">1 .حاشية حاشية شرح آداب البحث</w:t>
      </w:r>
    </w:p>
    <w:p>
      <w:pPr>
        <w:pStyle w:val="BookText"/>
      </w:pPr>
      <w:r>
        <w:rPr>
          <w:rFonts w:ascii="Amiri" w:hAnsi="Amiri" w:eastAsia="Amiri" w:cs="Amiri"/>
          <w:lang w:bidi="ar-SA"/>
          <w:color w:val="111111"/>
          <w:sz w:val="28"/>
          <w:szCs w:val="28"/>
          <w:rtl/>
        </w:rPr>
        <w:t xml:space="preserve">كشف الابكار في علم الافكار -</w:t>
      </w:r>
    </w:p>
    <w:p>
      <w:pPr>
        <w:pStyle w:val="BookText"/>
      </w:pPr>
      <w:r>
        <w:rPr>
          <w:rFonts w:ascii="Amiri" w:hAnsi="Amiri" w:eastAsia="Amiri" w:cs="Amiri"/>
          <w:lang w:bidi="ar-SA"/>
          <w:color w:val="111111"/>
          <w:sz w:val="28"/>
          <w:szCs w:val="28"/>
          <w:rtl/>
        </w:rPr>
        <w:t xml:space="preserve">حاشية على حاشية الوغ بيك، ج 5،</w:t>
      </w:r>
    </w:p>
    <w:p>
      <w:pPr>
        <w:pStyle w:val="BookText"/>
      </w:pPr>
      <w:r>
        <w:rPr>
          <w:rFonts w:ascii="IRNazanin" w:hAnsi="IRNazanin" w:eastAsia="IRNazanin" w:cs="IRNazanin"/>
          <w:lang w:bidi="fa-IR"/>
          <w:color w:val="111111"/>
          <w:sz w:val="28"/>
          <w:szCs w:val="28"/>
          <w:rtl/>
        </w:rPr>
        <w:t xml:space="preserve">ص 822.</w:t>
      </w:r>
    </w:p>
    <w:p>
      <w:pPr>
        <w:pStyle w:val="BookText"/>
      </w:pPr>
      <w:r>
        <w:rPr>
          <w:rFonts w:ascii="Amiri" w:hAnsi="Amiri" w:eastAsia="Amiri" w:cs="Amiri"/>
          <w:lang w:bidi="ar-SA"/>
          <w:color w:val="111111"/>
          <w:sz w:val="28"/>
          <w:szCs w:val="28"/>
          <w:rtl/>
        </w:rPr>
        <w:t xml:space="preserve">2.حاشية شرح آداب البحث</w:t>
      </w:r>
    </w:p>
    <w:p>
      <w:pPr>
        <w:pStyle w:val="BookText"/>
      </w:pPr>
      <w:r>
        <w:rPr>
          <w:rFonts w:ascii="Amiri" w:hAnsi="Amiri" w:eastAsia="Amiri" w:cs="Amiri"/>
          <w:lang w:bidi="ar-SA"/>
          <w:color w:val="111111"/>
          <w:sz w:val="28"/>
          <w:szCs w:val="28"/>
          <w:rtl/>
        </w:rPr>
        <w:t xml:space="preserve">السمرقندية، ج 6، ص 14.</w:t>
      </w:r>
    </w:p>
    <w:p>
      <w:pPr>
        <w:pStyle w:val="BookText"/>
      </w:pPr>
      <w:r>
        <w:rPr>
          <w:rFonts w:ascii="Amiri" w:hAnsi="Amiri" w:eastAsia="Amiri" w:cs="Amiri"/>
          <w:lang w:bidi="ar-SA"/>
          <w:color w:val="111111"/>
          <w:sz w:val="28"/>
          <w:szCs w:val="28"/>
          <w:rtl/>
        </w:rPr>
        <w:t xml:space="preserve">عجمي ، علي بن حمزه -كسائي ، علي بن</w:t>
      </w:r>
    </w:p>
    <w:p>
      <w:pPr>
        <w:pStyle w:val="BookText"/>
      </w:pPr>
      <w:r>
        <w:rPr>
          <w:rFonts w:ascii="IRNazanin" w:hAnsi="IRNazanin" w:eastAsia="IRNazanin" w:cs="IRNazanin"/>
          <w:lang w:bidi="fa-IR"/>
          <w:color w:val="111111"/>
          <w:sz w:val="28"/>
          <w:szCs w:val="28"/>
          <w:rtl/>
        </w:rPr>
        <w:t xml:space="preserve">حمزه</w:t>
      </w:r>
    </w:p>
    <w:p>
      <w:pPr>
        <w:pStyle w:val="BookText"/>
      </w:pPr>
      <w:r>
        <w:rPr>
          <w:rFonts w:ascii="IRNazanin" w:hAnsi="IRNazanin" w:eastAsia="IRNazanin" w:cs="IRNazanin"/>
          <w:lang w:bidi="fa-IR"/>
          <w:color w:val="111111"/>
          <w:sz w:val="28"/>
          <w:szCs w:val="28"/>
          <w:rtl/>
        </w:rPr>
        <w:t xml:space="preserve">عجمي ، محمّد ابراهيم -كرباسي ، محمّد ابراهیم بن محمّد حسن</w:t>
      </w:r>
    </w:p>
    <w:p>
      <w:pPr>
        <w:pStyle w:val="Heading2"/>
      </w:pPr>
      <w:bookmarkStart w:id="5898" w:name="_Toc5000"/>
      <w:r>
        <w:t>عجمي ، محمّد بن عبدالله</w:t>
      </w:r>
      <w:bookmarkEnd w:id="5898"/>
    </w:p>
    <w:p>
      <w:pPr>
        <w:pStyle w:val="BookText"/>
      </w:pPr>
      <w:r>
        <w:rPr>
          <w:rFonts w:ascii="Amiri" w:hAnsi="Amiri" w:eastAsia="Amiri" w:cs="Amiri"/>
          <w:lang w:bidi="ar-SA"/>
          <w:color w:val="111111"/>
          <w:sz w:val="28"/>
          <w:szCs w:val="28"/>
          <w:rtl/>
        </w:rPr>
        <w:t xml:space="preserve">كتب الأربعين على الأربعين، ج13،</w:t>
      </w:r>
    </w:p>
    <w:p>
      <w:pPr>
        <w:pStyle w:val="BookText"/>
      </w:pPr>
      <w:r>
        <w:rPr>
          <w:rFonts w:ascii="IRNazanin" w:hAnsi="IRNazanin" w:eastAsia="IRNazanin" w:cs="IRNazanin"/>
          <w:lang w:bidi="fa-IR"/>
          <w:color w:val="111111"/>
          <w:sz w:val="28"/>
          <w:szCs w:val="28"/>
          <w:rtl/>
        </w:rPr>
        <w:t xml:space="preserve">ص 147 .</w:t>
      </w:r>
    </w:p>
    <w:p>
      <w:pPr>
        <w:pStyle w:val="Heading2"/>
      </w:pPr>
      <w:bookmarkStart w:id="5899" w:name="_Toc5001"/>
      <w:r>
        <w:t>عجمي محمّد شمس الدين</w:t>
      </w:r>
      <w:bookmarkEnd w:id="5899"/>
    </w:p>
    <w:p>
      <w:pPr>
        <w:pStyle w:val="BookText"/>
      </w:pPr>
      <w:r>
        <w:rPr>
          <w:rFonts w:ascii="Amiri" w:hAnsi="Amiri" w:eastAsia="Amiri" w:cs="Amiri"/>
          <w:lang w:bidi="ar-SA"/>
          <w:color w:val="111111"/>
          <w:sz w:val="28"/>
          <w:szCs w:val="28"/>
          <w:rtl/>
        </w:rPr>
        <w:t xml:space="preserve">منية النفوس في تلخيص كتاب شمس</w:t>
      </w:r>
    </w:p>
    <w:p>
      <w:pPr>
        <w:pStyle w:val="BookText"/>
      </w:pPr>
      <w:r>
        <w:rPr>
          <w:rFonts w:ascii="IRNazanin" w:hAnsi="IRNazanin" w:eastAsia="IRNazanin" w:cs="IRNazanin"/>
          <w:lang w:bidi="fa-IR"/>
          <w:color w:val="111111"/>
          <w:sz w:val="28"/>
          <w:szCs w:val="28"/>
          <w:rtl/>
        </w:rPr>
        <w:t xml:space="preserve">الشموس، ج 15 ، ص 836.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68" w:name="pg7742_70780"/>
    <w:bookmarkEnd w:id="768"/>
    <w:p>
      <w:pPr>
        <w:pStyle w:val="Heading2"/>
      </w:pPr>
      <w:bookmarkStart w:id="5900" w:name="_Toc5002"/>
      <w:r>
        <w:t>عجمي ، نجم الدين سعيد</w:t>
      </w:r>
      <w:bookmarkEnd w:id="5900"/>
    </w:p>
    <w:p>
      <w:pPr>
        <w:pStyle w:val="BookText"/>
      </w:pPr>
      <w:r>
        <w:rPr>
          <w:rFonts w:ascii="Amiri" w:hAnsi="Amiri" w:eastAsia="Amiri" w:cs="Amiri"/>
          <w:lang w:bidi="ar-SA"/>
          <w:color w:val="111111"/>
          <w:sz w:val="28"/>
          <w:szCs w:val="28"/>
          <w:rtl/>
        </w:rPr>
        <w:t xml:space="preserve">شرح الكافية = الشرح السعيدي</w:t>
      </w:r>
    </w:p>
    <w:p>
      <w:pPr>
        <w:pStyle w:val="BookText"/>
      </w:pPr>
      <w:r>
        <w:rPr>
          <w:rFonts w:ascii="IRNazanin" w:hAnsi="IRNazanin" w:eastAsia="IRNazanin" w:cs="IRNazanin"/>
          <w:lang w:bidi="fa-IR"/>
          <w:color w:val="111111"/>
          <w:sz w:val="28"/>
          <w:szCs w:val="28"/>
          <w:rtl/>
        </w:rPr>
        <w:t xml:space="preserve">ج 10، ص 33.</w:t>
      </w:r>
    </w:p>
    <w:p>
      <w:pPr>
        <w:pStyle w:val="Heading2"/>
      </w:pPr>
      <w:bookmarkStart w:id="5901" w:name="_Toc5003"/>
      <w:r>
        <w:t>؟ عجمي ، يوسف بن عبدالله - 768 ه-</w:t>
      </w:r>
      <w:bookmarkEnd w:id="5901"/>
    </w:p>
    <w:p>
      <w:pPr>
        <w:pStyle w:val="BookText"/>
      </w:pPr>
      <w:r>
        <w:rPr>
          <w:rFonts w:ascii="Amiri" w:hAnsi="Amiri" w:eastAsia="Amiri" w:cs="Amiri"/>
          <w:lang w:bidi="ar-SA"/>
          <w:color w:val="111111"/>
          <w:sz w:val="28"/>
          <w:szCs w:val="28"/>
          <w:rtl/>
        </w:rPr>
        <w:t xml:space="preserve">1 .بيان اسرار الطالبين بتوفيق رب العالمين = بيان الاسرار للطالبين ج 3، ص 457.</w:t>
      </w:r>
    </w:p>
    <w:p>
      <w:pPr>
        <w:pStyle w:val="BookText"/>
      </w:pPr>
      <w:r>
        <w:rPr>
          <w:rFonts w:ascii="Amiri" w:hAnsi="Amiri" w:eastAsia="Amiri" w:cs="Amiri"/>
          <w:lang w:bidi="ar-SA"/>
          <w:color w:val="111111"/>
          <w:sz w:val="28"/>
          <w:szCs w:val="28"/>
          <w:rtl/>
        </w:rPr>
        <w:t xml:space="preserve">2 .ريحان القلوب في التوصل إلى</w:t>
      </w:r>
    </w:p>
    <w:p>
      <w:pPr>
        <w:pStyle w:val="BookText"/>
      </w:pPr>
      <w:r>
        <w:rPr>
          <w:rFonts w:ascii="IRNazanin" w:hAnsi="IRNazanin" w:eastAsia="IRNazanin" w:cs="IRNazanin"/>
          <w:lang w:bidi="fa-IR"/>
          <w:color w:val="111111"/>
          <w:sz w:val="28"/>
          <w:szCs w:val="28"/>
          <w:rtl/>
        </w:rPr>
        <w:t xml:space="preserve">المحبوب، ج8، ص 522.</w:t>
      </w:r>
    </w:p>
    <w:p>
      <w:pPr>
        <w:pStyle w:val="BookText"/>
      </w:pPr>
      <w:r>
        <w:rPr>
          <w:rFonts w:ascii="Amiri" w:hAnsi="Amiri" w:eastAsia="Amiri" w:cs="Amiri"/>
          <w:lang w:bidi="ar-SA"/>
          <w:color w:val="111111"/>
          <w:sz w:val="28"/>
          <w:szCs w:val="28"/>
          <w:rtl/>
        </w:rPr>
        <w:t xml:space="preserve">عجمي ، يعقوب بن علي -بلخي ، يعقوب</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عجيسي ، محمّد بن احمد- ابن مرزوق</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عجيسي ، محمّد بن احمد- تلمساني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5902" w:name="_Toc5004"/>
      <w:r>
        <w:t>عجيلي ، احمد بن عبد القادر، 1140 -</w:t>
      </w:r>
      <w:bookmarkEnd w:id="5902"/>
    </w:p>
    <w:p>
      <w:pPr>
        <w:pStyle w:val="BookText"/>
      </w:pPr>
      <w:r>
        <w:rPr>
          <w:rFonts w:ascii="IRNazanin" w:hAnsi="IRNazanin" w:eastAsia="IRNazanin" w:cs="IRNazanin"/>
          <w:lang w:bidi="fa-IR"/>
          <w:color w:val="111111"/>
          <w:sz w:val="28"/>
          <w:szCs w:val="28"/>
          <w:rtl/>
        </w:rPr>
        <w:t xml:space="preserve">1228 ه-</w:t>
      </w:r>
    </w:p>
    <w:p>
      <w:pPr>
        <w:pStyle w:val="BookText"/>
      </w:pPr>
      <w:r>
        <w:rPr>
          <w:rFonts w:ascii="Amiri" w:hAnsi="Amiri" w:eastAsia="Amiri" w:cs="Amiri"/>
          <w:lang w:bidi="ar-SA"/>
          <w:color w:val="111111"/>
          <w:sz w:val="28"/>
          <w:szCs w:val="28"/>
          <w:rtl/>
        </w:rPr>
        <w:t xml:space="preserve">ذخيرة المآل في شرح عقد اللآل، ج7،</w:t>
      </w:r>
    </w:p>
    <w:p>
      <w:pPr>
        <w:pStyle w:val="BookText"/>
      </w:pPr>
      <w:r>
        <w:rPr>
          <w:rFonts w:ascii="IRNazanin" w:hAnsi="IRNazanin" w:eastAsia="IRNazanin" w:cs="IRNazanin"/>
          <w:lang w:bidi="fa-IR"/>
          <w:color w:val="111111"/>
          <w:sz w:val="28"/>
          <w:szCs w:val="28"/>
          <w:rtl/>
        </w:rPr>
        <w:t xml:space="preserve">ص 832.</w:t>
      </w:r>
    </w:p>
    <w:p>
      <w:pPr>
        <w:pStyle w:val="Heading2"/>
      </w:pPr>
      <w:bookmarkStart w:id="5903" w:name="_Toc5005"/>
      <w:r>
        <w:t>عجيمي ، حسن بن علي 1049 - 1113</w:t>
      </w:r>
      <w:bookmarkEnd w:id="5903"/>
    </w:p>
    <w:p>
      <w:pPr>
        <w:pStyle w:val="BookText"/>
      </w:pPr>
      <w:r>
        <w:rPr>
          <w:rFonts w:ascii="Amiri" w:hAnsi="Amiri" w:eastAsia="Amiri" w:cs="Amiri"/>
          <w:lang w:bidi="ar-SA"/>
          <w:color w:val="111111"/>
          <w:sz w:val="28"/>
          <w:szCs w:val="28"/>
          <w:rtl/>
        </w:rPr>
        <w:t xml:space="preserve">املاءات العجيمي = العقائد (رسالة</w:t>
      </w:r>
    </w:p>
    <w:p>
      <w:pPr>
        <w:pStyle w:val="BookText"/>
      </w:pPr>
      <w:r>
        <w:rPr>
          <w:rFonts w:ascii="Amiri" w:hAnsi="Amiri" w:eastAsia="Amiri" w:cs="Amiri"/>
          <w:lang w:bidi="ar-SA"/>
          <w:color w:val="111111"/>
          <w:sz w:val="28"/>
          <w:szCs w:val="28"/>
          <w:rtl/>
        </w:rPr>
        <w:t xml:space="preserve">في)، ج2، ص 766 .</w:t>
      </w:r>
    </w:p>
    <w:p>
      <w:pPr>
        <w:pStyle w:val="Heading2"/>
      </w:pPr>
      <w:bookmarkStart w:id="5904" w:name="_Toc5006"/>
      <w:r>
        <w:t>عجيمي، محمّد بن محمود قرن 11 ه-</w:t>
      </w:r>
      <w:bookmarkEnd w:id="5904"/>
    </w:p>
    <w:p>
      <w:pPr>
        <w:pStyle w:val="BookText"/>
      </w:pPr>
      <w:r>
        <w:rPr>
          <w:rFonts w:ascii="Amiri" w:hAnsi="Amiri" w:eastAsia="Amiri" w:cs="Amiri"/>
          <w:lang w:bidi="ar-SA"/>
          <w:color w:val="111111"/>
          <w:sz w:val="28"/>
          <w:szCs w:val="28"/>
          <w:rtl/>
        </w:rPr>
        <w:t xml:space="preserve">شرح عقيدة علوان الحموي، ج 9،</w:t>
      </w:r>
    </w:p>
    <w:p>
      <w:pPr>
        <w:pStyle w:val="BookText"/>
      </w:pPr>
      <w:r>
        <w:rPr>
          <w:rFonts w:ascii="IRNazanin" w:hAnsi="IRNazanin" w:eastAsia="IRNazanin" w:cs="IRNazanin"/>
          <w:lang w:bidi="fa-IR"/>
          <w:color w:val="111111"/>
          <w:sz w:val="28"/>
          <w:szCs w:val="28"/>
          <w:rtl/>
        </w:rPr>
        <w:t xml:space="preserve">ص 745.</w:t>
      </w:r>
    </w:p>
    <w:p>
      <w:pPr>
        <w:pStyle w:val="BookText"/>
      </w:pPr>
      <w:r>
        <w:rPr>
          <w:rFonts w:ascii="Amiri" w:hAnsi="Amiri" w:eastAsia="Amiri" w:cs="Amiri"/>
          <w:lang w:bidi="ar-SA"/>
          <w:color w:val="111111"/>
          <w:sz w:val="28"/>
          <w:szCs w:val="28"/>
          <w:rtl/>
        </w:rPr>
        <w:t xml:space="preserve">عجيمي يمني ، ابو علي حسن بن علي -</w:t>
      </w:r>
    </w:p>
    <w:p>
      <w:pPr>
        <w:pStyle w:val="BookText"/>
      </w:pPr>
      <w:r>
        <w:rPr>
          <w:rFonts w:ascii="Amiri" w:hAnsi="Amiri" w:eastAsia="Amiri" w:cs="Amiri"/>
          <w:lang w:bidi="ar-SA"/>
          <w:color w:val="111111"/>
          <w:sz w:val="28"/>
          <w:szCs w:val="28"/>
          <w:rtl/>
        </w:rPr>
        <w:t xml:space="preserve">عجيمي ، حسن بن علي</w:t>
      </w:r>
    </w:p>
    <w:p>
      <w:pPr>
        <w:pStyle w:val="Heading2"/>
      </w:pPr>
      <w:bookmarkStart w:id="5905" w:name="_Toc5007"/>
      <w:r>
        <w:t>عدساني ، عبدالرحمن</w:t>
      </w:r>
      <w:bookmarkEnd w:id="5905"/>
    </w:p>
    <w:p>
      <w:pPr>
        <w:pStyle w:val="BookText"/>
      </w:pPr>
      <w:r>
        <w:rPr>
          <w:rFonts w:ascii="Amiri" w:hAnsi="Amiri" w:eastAsia="Amiri" w:cs="Amiri"/>
          <w:lang w:bidi="ar-SA"/>
          <w:color w:val="111111"/>
          <w:sz w:val="28"/>
          <w:szCs w:val="28"/>
          <w:rtl/>
        </w:rPr>
        <w:t xml:space="preserve">احكام الحل في بيان حكم النوى في</w:t>
      </w:r>
    </w:p>
    <w:p>
      <w:pPr>
        <w:pStyle w:val="BookText"/>
      </w:pPr>
      <w:r>
        <w:rPr>
          <w:rFonts w:ascii="IRNazanin" w:hAnsi="IRNazanin" w:eastAsia="IRNazanin" w:cs="IRNazanin"/>
          <w:lang w:bidi="fa-IR"/>
          <w:color w:val="111111"/>
          <w:sz w:val="28"/>
          <w:szCs w:val="28"/>
          <w:rtl/>
        </w:rPr>
        <w:t xml:space="preserve">الخل، ج 1، ص 465.</w:t>
      </w:r>
    </w:p>
    <w:p>
      <w:pPr>
        <w:pStyle w:val="BookText"/>
      </w:pPr>
      <w:r>
        <w:rPr>
          <w:rFonts w:ascii="Amiri" w:hAnsi="Amiri" w:eastAsia="Amiri" w:cs="Amiri"/>
          <w:lang w:bidi="ar-SA"/>
          <w:color w:val="111111"/>
          <w:sz w:val="28"/>
          <w:szCs w:val="28"/>
          <w:rtl/>
        </w:rPr>
        <w:t xml:space="preserve">عدنان بن شبر -غريفي ، عدنان</w:t>
      </w:r>
    </w:p>
    <w:p>
      <w:pPr>
        <w:pStyle w:val="BookText"/>
      </w:pPr>
      <w:r>
        <w:rPr>
          <w:rFonts w:ascii="Amiri" w:hAnsi="Amiri" w:eastAsia="Amiri" w:cs="Amiri"/>
          <w:lang w:bidi="ar-SA"/>
          <w:color w:val="111111"/>
          <w:sz w:val="28"/>
          <w:szCs w:val="28"/>
          <w:rtl/>
        </w:rPr>
        <w:t xml:space="preserve">عدنان بن نصر زربي -عين زربي ، عدنان</w:t>
      </w:r>
    </w:p>
    <w:p>
      <w:pPr>
        <w:pStyle w:val="BookText"/>
      </w:pPr>
      <w:r>
        <w:rPr>
          <w:rFonts w:ascii="IRNazanin" w:hAnsi="IRNazanin" w:eastAsia="IRNazanin" w:cs="IRNazanin"/>
          <w:lang w:bidi="fa-IR"/>
          <w:color w:val="111111"/>
          <w:sz w:val="28"/>
          <w:szCs w:val="28"/>
          <w:rtl/>
        </w:rPr>
        <w:t xml:space="preserve">بن نصر</w:t>
      </w:r>
    </w:p>
    <w:p>
      <w:pPr>
        <w:pStyle w:val="BookText"/>
      </w:pPr>
      <w:r>
        <w:rPr>
          <w:rFonts w:ascii="Amiri" w:hAnsi="Amiri" w:eastAsia="Amiri" w:cs="Amiri"/>
          <w:lang w:bidi="ar-SA"/>
          <w:color w:val="111111"/>
          <w:sz w:val="28"/>
          <w:szCs w:val="28"/>
          <w:rtl/>
        </w:rPr>
        <w:t xml:space="preserve">عدناني ، جعفر بن محمّد -خطي ، جعفر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عدني ، عبدالكريم بن محب الدين- قطبي</w:t>
      </w:r>
    </w:p>
    <w:p>
      <w:pPr>
        <w:pStyle w:val="BookText"/>
      </w:pPr>
      <w:r>
        <w:rPr>
          <w:rFonts w:ascii="Amiri" w:hAnsi="Amiri" w:eastAsia="Amiri" w:cs="Amiri"/>
          <w:lang w:bidi="ar-SA"/>
          <w:color w:val="111111"/>
          <w:sz w:val="28"/>
          <w:szCs w:val="28"/>
          <w:rtl/>
        </w:rPr>
        <w:t xml:space="preserve">، عبدالكريم بن محب الدين</w:t>
      </w:r>
    </w:p>
    <w:p>
      <w:pPr>
        <w:pStyle w:val="Heading2"/>
      </w:pPr>
      <w:bookmarkStart w:id="5906" w:name="_Toc5008"/>
      <w:r>
        <w:t>عدني ، محمّد بن يحيى</w:t>
      </w:r>
      <w:bookmarkEnd w:id="5906"/>
    </w:p>
    <w:p>
      <w:pPr>
        <w:pStyle w:val="BookText"/>
      </w:pPr>
      <w:r>
        <w:rPr>
          <w:rFonts w:ascii="Amiri" w:hAnsi="Amiri" w:eastAsia="Amiri" w:cs="Amiri"/>
          <w:lang w:bidi="ar-SA"/>
          <w:color w:val="111111"/>
          <w:sz w:val="28"/>
          <w:szCs w:val="28"/>
          <w:rtl/>
        </w:rPr>
        <w:t xml:space="preserve">الايمان = كتاب الايمان، ج3، ص 154 .</w:t>
      </w:r>
    </w:p>
    <w:p>
      <w:pPr>
        <w:pStyle w:val="BookText"/>
      </w:pPr>
      <w:r>
        <w:rPr>
          <w:rFonts w:ascii="Amiri" w:hAnsi="Amiri" w:eastAsia="Amiri" w:cs="Amiri"/>
          <w:lang w:bidi="ar-SA"/>
          <w:color w:val="111111"/>
          <w:sz w:val="28"/>
          <w:szCs w:val="28"/>
          <w:rtl/>
        </w:rPr>
        <w:t xml:space="preserve">عدواني ، عبد العظيم بن عبد الواحد- ابن</w:t>
      </w:r>
    </w:p>
    <w:p>
      <w:pPr>
        <w:pStyle w:val="BookText"/>
      </w:pPr>
      <w:r>
        <w:rPr>
          <w:rFonts w:ascii="Amiri" w:hAnsi="Amiri" w:eastAsia="Amiri" w:cs="Amiri"/>
          <w:lang w:bidi="ar-SA"/>
          <w:color w:val="111111"/>
          <w:sz w:val="28"/>
          <w:szCs w:val="28"/>
          <w:rtl/>
        </w:rPr>
        <w:t xml:space="preserve">ابي الاصبع ، عبد العظيم بن عبد الواحد</w:t>
      </w:r>
    </w:p>
    <w:p>
      <w:pPr>
        <w:pStyle w:val="BookText"/>
      </w:pPr>
      <w:r>
        <w:rPr>
          <w:rFonts w:ascii="Amiri" w:hAnsi="Amiri" w:eastAsia="Amiri" w:cs="Amiri"/>
          <w:lang w:bidi="ar-SA"/>
          <w:color w:val="111111"/>
          <w:sz w:val="28"/>
          <w:szCs w:val="28"/>
          <w:rtl/>
        </w:rPr>
        <w:t xml:space="preserve">عدوي ، ابراهيم برهان الدين-خالعي ،</w:t>
      </w:r>
    </w:p>
    <w:p>
      <w:pPr>
        <w:pStyle w:val="BookText"/>
      </w:pPr>
      <w:r>
        <w:rPr>
          <w:rFonts w:ascii="Amiri" w:hAnsi="Amiri" w:eastAsia="Amiri" w:cs="Amiri"/>
          <w:lang w:bidi="ar-SA"/>
          <w:color w:val="111111"/>
          <w:sz w:val="28"/>
          <w:szCs w:val="28"/>
          <w:rtl/>
        </w:rPr>
        <w:t xml:space="preserve">ابراهيم</w:t>
      </w:r>
    </w:p>
    <w:p>
      <w:pPr>
        <w:pStyle w:val="Heading2"/>
      </w:pPr>
      <w:bookmarkStart w:id="5907" w:name="_Toc5009"/>
      <w:r>
        <w:t>عدوي، ابراهيم بن اسماعيل - 1099 ه-</w:t>
      </w:r>
      <w:bookmarkEnd w:id="5907"/>
    </w:p>
    <w:p>
      <w:pPr>
        <w:pStyle w:val="BookText"/>
      </w:pPr>
      <w:r>
        <w:rPr>
          <w:rFonts w:ascii="Amiri" w:hAnsi="Amiri" w:eastAsia="Amiri" w:cs="Amiri"/>
          <w:lang w:bidi="ar-SA"/>
          <w:color w:val="111111"/>
          <w:sz w:val="28"/>
          <w:szCs w:val="28"/>
          <w:rtl/>
        </w:rPr>
        <w:t xml:space="preserve">1 .الرسالة العدوية في الياءات الاضافية = مختصر النشرت في</w:t>
      </w:r>
    </w:p>
    <w:p>
      <w:pPr>
        <w:pStyle w:val="BookText"/>
      </w:pPr>
      <w:r>
        <w:rPr>
          <w:rFonts w:ascii="IRNazanin" w:hAnsi="IRNazanin" w:eastAsia="IRNazanin" w:cs="IRNazanin"/>
          <w:lang w:bidi="fa-IR"/>
          <w:color w:val="111111"/>
          <w:sz w:val="28"/>
          <w:szCs w:val="28"/>
          <w:rtl/>
        </w:rPr>
        <w:t xml:space="preserve">القرآت العشر، ج8، ص221</w:t>
      </w:r>
    </w:p>
    <w:p>
      <w:pPr>
        <w:pStyle w:val="BookText"/>
      </w:pPr>
      <w:r>
        <w:rPr>
          <w:rFonts w:ascii="Amiri" w:hAnsi="Amiri" w:eastAsia="Amiri" w:cs="Amiri"/>
          <w:lang w:bidi="ar-SA"/>
          <w:color w:val="111111"/>
          <w:sz w:val="28"/>
          <w:szCs w:val="28"/>
          <w:rtl/>
        </w:rPr>
        <w:t xml:space="preserve">2 .القواعد السنية في قرائة حفص عن عاصم من طريق الشاطبية، ج12،</w:t>
      </w:r>
    </w:p>
    <w:p>
      <w:pPr>
        <w:pStyle w:val="BookText"/>
      </w:pPr>
      <w:r>
        <w:rPr>
          <w:rFonts w:ascii="IRNazanin" w:hAnsi="IRNazanin" w:eastAsia="IRNazanin" w:cs="IRNazanin"/>
          <w:lang w:bidi="fa-IR"/>
          <w:color w:val="111111"/>
          <w:sz w:val="28"/>
          <w:szCs w:val="28"/>
          <w:rtl/>
        </w:rPr>
        <w:t xml:space="preserve">ص 793.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69" w:name="pg7742_70782"/>
    <w:bookmarkEnd w:id="769"/>
    <w:p>
      <w:pPr>
        <w:pStyle w:val="BookText"/>
      </w:pPr>
      <w:r>
        <w:rPr>
          <w:rFonts w:ascii="Amiri" w:hAnsi="Amiri" w:eastAsia="Amiri" w:cs="Amiri"/>
          <w:lang w:bidi="ar-SA"/>
          <w:color w:val="111111"/>
          <w:sz w:val="28"/>
          <w:szCs w:val="28"/>
          <w:rtl/>
        </w:rPr>
        <w:t xml:space="preserve">عدوي ، احمد بن علي -منيني ، احمد بن علي</w:t>
      </w:r>
    </w:p>
    <w:p>
      <w:pPr>
        <w:pStyle w:val="BookText"/>
      </w:pPr>
      <w:r>
        <w:rPr>
          <w:rFonts w:ascii="IRNazanin" w:hAnsi="IRNazanin" w:eastAsia="IRNazanin" w:cs="IRNazanin"/>
          <w:lang w:bidi="fa-IR"/>
          <w:color w:val="111111"/>
          <w:sz w:val="28"/>
          <w:szCs w:val="28"/>
          <w:rtl/>
        </w:rPr>
        <w:t xml:space="preserve">عدوي ، احمد بن محمّد-دردیر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عدوي ، احمد بن محمّد- ابن بناء ، احمد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عدوي ، احمد بن موسى- بيلي ، احمد بن موسى</w:t>
      </w:r>
    </w:p>
    <w:p>
      <w:pPr>
        <w:pStyle w:val="Heading2"/>
      </w:pPr>
      <w:bookmarkStart w:id="5908" w:name="_Toc5010"/>
      <w:r>
        <w:t>عدوي ، حسن، 91221 - 1303 ه-</w:t>
      </w:r>
      <w:bookmarkEnd w:id="5908"/>
    </w:p>
    <w:p>
      <w:pPr>
        <w:pStyle w:val="BookText"/>
      </w:pPr>
      <w:r>
        <w:rPr>
          <w:rFonts w:ascii="Amiri" w:hAnsi="Amiri" w:eastAsia="Amiri" w:cs="Amiri"/>
          <w:lang w:bidi="ar-SA"/>
          <w:color w:val="111111"/>
          <w:sz w:val="28"/>
          <w:szCs w:val="28"/>
          <w:rtl/>
        </w:rPr>
        <w:t xml:space="preserve">كنز الطالب في فضل البيت و الحجر الشذروان و ما في القبر من المآرب ج 13 ، ص 433 .</w:t>
      </w:r>
    </w:p>
    <w:p>
      <w:pPr>
        <w:pStyle w:val="BookText"/>
      </w:pPr>
      <w:r>
        <w:rPr>
          <w:rFonts w:ascii="Amiri" w:hAnsi="Amiri" w:eastAsia="Amiri" w:cs="Amiri"/>
          <w:lang w:bidi="ar-SA"/>
          <w:color w:val="111111"/>
          <w:sz w:val="28"/>
          <w:szCs w:val="28"/>
          <w:rtl/>
        </w:rPr>
        <w:t xml:space="preserve">عدوي ، حسن بن محمّد- صاغاني ، حسن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عدوي حمزاوي ، حسن -عدوي ، حسن</w:t>
      </w:r>
    </w:p>
    <w:p>
      <w:pPr>
        <w:pStyle w:val="Heading2"/>
      </w:pPr>
      <w:bookmarkStart w:id="5909" w:name="_Toc5011"/>
      <w:r>
        <w:t>عدوي ، علي</w:t>
      </w:r>
      <w:bookmarkEnd w:id="5909"/>
    </w:p>
    <w:p>
      <w:pPr>
        <w:pStyle w:val="BookText"/>
      </w:pPr>
      <w:r>
        <w:rPr>
          <w:rFonts w:ascii="Amiri" w:hAnsi="Amiri" w:eastAsia="Amiri" w:cs="Amiri"/>
          <w:lang w:bidi="ar-SA"/>
          <w:color w:val="111111"/>
          <w:sz w:val="28"/>
          <w:szCs w:val="28"/>
          <w:rtl/>
        </w:rPr>
        <w:t xml:space="preserve">حاشية على الرسالة الفقهية لابن أبي</w:t>
      </w:r>
    </w:p>
    <w:p>
      <w:pPr>
        <w:pStyle w:val="BookText"/>
      </w:pPr>
      <w:r>
        <w:rPr>
          <w:rFonts w:ascii="Amiri" w:hAnsi="Amiri" w:eastAsia="Amiri" w:cs="Amiri"/>
          <w:lang w:bidi="ar-SA"/>
          <w:color w:val="111111"/>
          <w:sz w:val="28"/>
          <w:szCs w:val="28"/>
          <w:rtl/>
        </w:rPr>
        <w:t xml:space="preserve">زيد القيرواني، ج 6، ص 242.</w:t>
      </w:r>
    </w:p>
    <w:p>
      <w:pPr>
        <w:pStyle w:val="BookText"/>
      </w:pPr>
      <w:r>
        <w:rPr>
          <w:rFonts w:ascii="Amiri" w:hAnsi="Amiri" w:eastAsia="Amiri" w:cs="Amiri"/>
          <w:lang w:bidi="ar-SA"/>
          <w:color w:val="111111"/>
          <w:sz w:val="28"/>
          <w:szCs w:val="28"/>
          <w:rtl/>
        </w:rPr>
        <w:t xml:space="preserve">عدوي ، علي بن احمد -صعيدي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عدوي ، علي بن عبيد الله- ابن حماد ، علي</w:t>
      </w:r>
    </w:p>
    <w:p>
      <w:pPr>
        <w:pStyle w:val="BookText"/>
      </w:pPr>
      <w:r>
        <w:rPr>
          <w:rFonts w:ascii="IRNazanin" w:hAnsi="IRNazanin" w:eastAsia="IRNazanin" w:cs="IRNazanin"/>
          <w:lang w:bidi="fa-IR"/>
          <w:color w:val="111111"/>
          <w:sz w:val="28"/>
          <w:szCs w:val="28"/>
          <w:rtl/>
        </w:rPr>
        <w:t xml:space="preserve">بن عبیدالله</w:t>
      </w:r>
    </w:p>
    <w:p>
      <w:pPr>
        <w:pStyle w:val="BookText"/>
      </w:pPr>
      <w:r>
        <w:rPr>
          <w:rFonts w:ascii="Amiri" w:hAnsi="Amiri" w:eastAsia="Amiri" w:cs="Amiri"/>
          <w:lang w:bidi="ar-SA"/>
          <w:color w:val="111111"/>
          <w:sz w:val="28"/>
          <w:szCs w:val="28"/>
          <w:rtl/>
        </w:rPr>
        <w:t xml:space="preserve">عدوي علي بن عثمان -ابن قاصح ، علي</w:t>
      </w:r>
    </w:p>
    <w:p>
      <w:pPr>
        <w:pStyle w:val="BookText"/>
      </w:pPr>
      <w:r>
        <w:rPr>
          <w:rFonts w:ascii="IRNazanin" w:hAnsi="IRNazanin" w:eastAsia="IRNazanin" w:cs="IRNazanin"/>
          <w:lang w:bidi="fa-IR"/>
          <w:color w:val="111111"/>
          <w:sz w:val="28"/>
          <w:szCs w:val="28"/>
          <w:rtl/>
        </w:rPr>
        <w:t xml:space="preserve">بن عثمان</w:t>
      </w:r>
    </w:p>
    <w:p>
      <w:pPr>
        <w:pStyle w:val="BookText"/>
      </w:pPr>
      <w:r>
        <w:rPr>
          <w:rFonts w:ascii="Amiri" w:hAnsi="Amiri" w:eastAsia="Amiri" w:cs="Amiri"/>
          <w:lang w:bidi="ar-SA"/>
          <w:color w:val="111111"/>
          <w:sz w:val="28"/>
          <w:szCs w:val="28"/>
          <w:rtl/>
        </w:rPr>
        <w:t xml:space="preserve">عدوي ، علي بن محمّد -شمشاطي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عدوي عمري، احمد بن يحيى- ابن فضل</w:t>
      </w:r>
    </w:p>
    <w:p>
      <w:pPr>
        <w:pStyle w:val="BookText"/>
      </w:pPr>
      <w:r>
        <w:rPr>
          <w:rFonts w:ascii="IRNazanin" w:hAnsi="IRNazanin" w:eastAsia="IRNazanin" w:cs="IRNazanin"/>
          <w:lang w:bidi="fa-IR"/>
          <w:color w:val="111111"/>
          <w:sz w:val="28"/>
          <w:szCs w:val="28"/>
          <w:rtl/>
        </w:rPr>
        <w:t xml:space="preserve">الله عمری، احمد بن يحيى</w:t>
      </w:r>
    </w:p>
    <w:p>
      <w:pPr>
        <w:pStyle w:val="BookText"/>
      </w:pPr>
      <w:r>
        <w:rPr>
          <w:rFonts w:ascii="Amiri" w:hAnsi="Amiri" w:eastAsia="Amiri" w:cs="Amiri"/>
          <w:lang w:bidi="ar-SA"/>
          <w:color w:val="111111"/>
          <w:sz w:val="28"/>
          <w:szCs w:val="28"/>
          <w:rtl/>
        </w:rPr>
        <w:t xml:space="preserve">عدوي محمّد بن طلحه-نصيبي ، محمّد بن طلحه</w:t>
      </w:r>
    </w:p>
    <w:p>
      <w:pPr>
        <w:pStyle w:val="Heading2"/>
      </w:pPr>
      <w:bookmarkStart w:id="5910" w:name="_Toc5012"/>
      <w:r>
        <w:t>عدوي ، محمّد بن عباده - 1193 ه-</w:t>
      </w:r>
      <w:bookmarkEnd w:id="5910"/>
    </w:p>
    <w:p>
      <w:pPr>
        <w:pStyle w:val="BookText"/>
      </w:pPr>
      <w:r>
        <w:rPr>
          <w:rFonts w:ascii="Amiri" w:hAnsi="Amiri" w:eastAsia="Amiri" w:cs="Amiri"/>
          <w:lang w:bidi="ar-SA"/>
          <w:color w:val="111111"/>
          <w:sz w:val="28"/>
          <w:szCs w:val="28"/>
          <w:rtl/>
        </w:rPr>
        <w:t xml:space="preserve">حواشي على شرح ابن جماعة، ج 6،</w:t>
      </w:r>
    </w:p>
    <w:p>
      <w:pPr>
        <w:pStyle w:val="BookText"/>
      </w:pPr>
      <w:r>
        <w:rPr>
          <w:rFonts w:ascii="IRNazanin" w:hAnsi="IRNazanin" w:eastAsia="IRNazanin" w:cs="IRNazanin"/>
          <w:lang w:bidi="fa-IR"/>
          <w:color w:val="111111"/>
          <w:sz w:val="28"/>
          <w:szCs w:val="28"/>
          <w:rtl/>
        </w:rPr>
        <w:t xml:space="preserve">ص 835.</w:t>
      </w:r>
    </w:p>
    <w:p>
      <w:pPr>
        <w:pStyle w:val="BookText"/>
      </w:pPr>
      <w:r>
        <w:rPr>
          <w:rFonts w:ascii="Amiri" w:hAnsi="Amiri" w:eastAsia="Amiri" w:cs="Amiri"/>
          <w:lang w:bidi="ar-SA"/>
          <w:color w:val="111111"/>
          <w:sz w:val="28"/>
          <w:szCs w:val="28"/>
          <w:rtl/>
        </w:rPr>
        <w:t xml:space="preserve">عدوي ، محمّد بن محمّد -عمري عدوي ، محمّد بن محمّد</w:t>
      </w:r>
    </w:p>
    <w:p>
      <w:pPr>
        <w:pStyle w:val="Heading2"/>
      </w:pPr>
      <w:bookmarkStart w:id="5911" w:name="_Toc5013"/>
      <w:r>
        <w:t>عدوي ، محمّد قطه - 1864 م</w:t>
      </w:r>
      <w:bookmarkEnd w:id="5911"/>
    </w:p>
    <w:p>
      <w:pPr>
        <w:pStyle w:val="BookText"/>
      </w:pPr>
      <w:r>
        <w:rPr>
          <w:rFonts w:ascii="Amiri" w:hAnsi="Amiri" w:eastAsia="Amiri" w:cs="Amiri"/>
          <w:lang w:bidi="ar-SA"/>
          <w:color w:val="111111"/>
          <w:sz w:val="28"/>
          <w:szCs w:val="28"/>
          <w:rtl/>
        </w:rPr>
        <w:t xml:space="preserve">تتميم الفوائد بشرح أبيات الشواهد ج 3، ص 677.</w:t>
      </w:r>
    </w:p>
    <w:p>
      <w:pPr>
        <w:pStyle w:val="Heading2"/>
      </w:pPr>
      <w:bookmarkStart w:id="5912" w:name="_Toc5014"/>
      <w:r>
        <w:t>عدوي ، محمود بن محمّد قرن 11 ه-</w:t>
      </w:r>
      <w:bookmarkEnd w:id="5912"/>
    </w:p>
    <w:p>
      <w:pPr>
        <w:pStyle w:val="BookText"/>
      </w:pPr>
      <w:r>
        <w:rPr>
          <w:rFonts w:ascii="IRNazanin" w:hAnsi="IRNazanin" w:eastAsia="IRNazanin" w:cs="IRNazanin"/>
          <w:lang w:bidi="fa-IR"/>
          <w:color w:val="111111"/>
          <w:sz w:val="28"/>
          <w:szCs w:val="28"/>
          <w:rtl/>
        </w:rPr>
        <w:t xml:space="preserve">اجازة لشمس الدین محمّد بن نورالدین محمود المناشيري، ج1،</w:t>
      </w:r>
    </w:p>
    <w:p>
      <w:pPr>
        <w:pStyle w:val="BookText"/>
      </w:pPr>
      <w:r>
        <w:rPr>
          <w:rFonts w:ascii="IRNazanin" w:hAnsi="IRNazanin" w:eastAsia="IRNazanin" w:cs="IRNazanin"/>
          <w:lang w:bidi="fa-IR"/>
          <w:color w:val="111111"/>
          <w:sz w:val="28"/>
          <w:szCs w:val="28"/>
          <w:rtl/>
        </w:rPr>
        <w:t xml:space="preserve">ص 262.</w:t>
      </w:r>
    </w:p>
    <w:p>
      <w:pPr>
        <w:pStyle w:val="BookText"/>
      </w:pPr>
      <w:r>
        <w:rPr>
          <w:rFonts w:ascii="Amiri" w:hAnsi="Amiri" w:eastAsia="Amiri" w:cs="Amiri"/>
          <w:lang w:bidi="ar-SA"/>
          <w:color w:val="111111"/>
          <w:sz w:val="28"/>
          <w:szCs w:val="28"/>
          <w:rtl/>
        </w:rPr>
        <w:t xml:space="preserve">عدي بن رقاع عاملي -عاملي ، عدي بن رقاع</w:t>
      </w:r>
    </w:p>
    <w:p>
      <w:pPr>
        <w:pStyle w:val="BookText"/>
      </w:pPr>
      <w:r>
        <w:rPr>
          <w:rFonts w:ascii="Amiri" w:hAnsi="Amiri" w:eastAsia="Amiri" w:cs="Amiri"/>
          <w:lang w:bidi="ar-SA"/>
          <w:color w:val="111111"/>
          <w:sz w:val="28"/>
          <w:szCs w:val="28"/>
          <w:rtl/>
        </w:rPr>
        <w:t xml:space="preserve">عدي بن مسافر اموي شامي هكاري -اموي ، عدي بن مسافر</w:t>
      </w:r>
    </w:p>
    <w:p>
      <w:pPr>
        <w:pStyle w:val="Heading2"/>
      </w:pPr>
      <w:bookmarkStart w:id="5913" w:name="_Toc5015"/>
      <w:r>
        <w:t>عذاري ، عباس بن علي - 1318 ه-</w:t>
      </w:r>
      <w:bookmarkEnd w:id="5913"/>
    </w:p>
    <w:p>
      <w:pPr>
        <w:pStyle w:val="BookText"/>
      </w:pPr>
      <w:r>
        <w:rPr>
          <w:rFonts w:ascii="Amiri" w:hAnsi="Amiri" w:eastAsia="Amiri" w:cs="Amiri"/>
          <w:lang w:bidi="ar-SA"/>
          <w:color w:val="111111"/>
          <w:sz w:val="28"/>
          <w:szCs w:val="28"/>
          <w:rtl/>
        </w:rPr>
        <w:t xml:space="preserve">1 .تشطير أبيات للميرزا جعفر القزويني، ج4، ص383.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ديوان شيخ عباس عذاري، ج7،</w:t>
      </w:r>
    </w:p>
    <w:p>
      <w:pPr>
        <w:pStyle w:val="BookText"/>
      </w:pPr>
      <w:r>
        <w:rPr>
          <w:rFonts w:ascii="IRNazanin" w:hAnsi="IRNazanin" w:eastAsia="IRNazanin" w:cs="IRNazanin"/>
          <w:lang w:bidi="fa-IR"/>
          <w:color w:val="111111"/>
          <w:sz w:val="28"/>
          <w:szCs w:val="28"/>
          <w:rtl/>
        </w:rPr>
        <w:t xml:space="preserve">ص 675 .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70" w:name="pg7742_70784"/>
    <w:bookmarkEnd w:id="770"/>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في تهنئة السيد نعمان الآلوسي بالعيد، ج 12، ص 690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قصيدة لتهنئة نعمان الآلوسي بقدوم من الآستانه، ج12، ص707.</w:t>
      </w:r>
    </w:p>
    <w:p>
      <w:pPr>
        <w:pStyle w:val="Heading2"/>
      </w:pPr>
      <w:bookmarkStart w:id="5914" w:name="_Toc5016"/>
      <w:r>
        <w:t>عذري ، مرت مريم</w:t>
      </w:r>
      <w:bookmarkEnd w:id="5914"/>
    </w:p>
    <w:p>
      <w:pPr>
        <w:pStyle w:val="BookText"/>
      </w:pPr>
      <w:r>
        <w:rPr>
          <w:rFonts w:ascii="IRNazanin" w:hAnsi="IRNazanin" w:eastAsia="IRNazanin" w:cs="IRNazanin"/>
          <w:lang w:bidi="fa-IR"/>
          <w:color w:val="111111"/>
          <w:sz w:val="28"/>
          <w:szCs w:val="28"/>
          <w:rtl/>
        </w:rPr>
        <w:t xml:space="preserve">1 .رسالتان ج8، ص171 .</w:t>
      </w:r>
    </w:p>
    <w:p>
      <w:pPr>
        <w:pStyle w:val="BookText"/>
      </w:pPr>
      <w:r>
        <w:rPr>
          <w:rFonts w:ascii="Amiri" w:hAnsi="Amiri" w:eastAsia="Amiri" w:cs="Amiri"/>
          <w:lang w:bidi="ar-SA"/>
          <w:color w:val="111111"/>
          <w:sz w:val="28"/>
          <w:szCs w:val="28"/>
          <w:rtl/>
        </w:rPr>
        <w:t xml:space="preserve">2.عجائب الست مرت مريم ج 11</w:t>
      </w:r>
    </w:p>
    <w:p>
      <w:pPr>
        <w:pStyle w:val="BookText"/>
      </w:pPr>
      <w:r>
        <w:rPr>
          <w:rFonts w:ascii="IRNazanin" w:hAnsi="IRNazanin" w:eastAsia="IRNazanin" w:cs="IRNazanin"/>
          <w:lang w:bidi="fa-IR"/>
          <w:color w:val="111111"/>
          <w:sz w:val="28"/>
          <w:szCs w:val="28"/>
          <w:rtl/>
        </w:rPr>
        <w:t xml:space="preserve">ص 33.</w:t>
      </w:r>
    </w:p>
    <w:p>
      <w:pPr>
        <w:pStyle w:val="Heading2"/>
      </w:pPr>
      <w:bookmarkStart w:id="5915" w:name="_Toc5017"/>
      <w:r>
        <w:t>عذاري ، عبد الكريم بن عزيز</w:t>
      </w:r>
      <w:bookmarkEnd w:id="5915"/>
    </w:p>
    <w:p>
      <w:pPr>
        <w:pStyle w:val="BookText"/>
      </w:pPr>
      <w:r>
        <w:rPr>
          <w:rFonts w:ascii="Amiri" w:hAnsi="Amiri" w:eastAsia="Amiri" w:cs="Amiri"/>
          <w:lang w:bidi="ar-SA"/>
          <w:color w:val="111111"/>
          <w:sz w:val="28"/>
          <w:szCs w:val="28"/>
          <w:rtl/>
        </w:rPr>
        <w:t xml:space="preserve">العروض والقوافي (رسالة في)، ج11،</w:t>
      </w:r>
    </w:p>
    <w:p>
      <w:pPr>
        <w:pStyle w:val="BookText"/>
      </w:pPr>
      <w:r>
        <w:rPr>
          <w:rFonts w:ascii="IRNazanin" w:hAnsi="IRNazanin" w:eastAsia="IRNazanin" w:cs="IRNazanin"/>
          <w:lang w:bidi="fa-IR"/>
          <w:color w:val="111111"/>
          <w:sz w:val="28"/>
          <w:szCs w:val="28"/>
          <w:rtl/>
        </w:rPr>
        <w:t xml:space="preserve">ص 104.</w:t>
      </w:r>
    </w:p>
    <w:p>
      <w:pPr>
        <w:pStyle w:val="BookText"/>
      </w:pPr>
      <w:r>
        <w:rPr>
          <w:rFonts w:ascii="Amiri" w:hAnsi="Amiri" w:eastAsia="Amiri" w:cs="Amiri"/>
          <w:lang w:bidi="ar-SA"/>
          <w:color w:val="111111"/>
          <w:sz w:val="28"/>
          <w:szCs w:val="28"/>
          <w:rtl/>
        </w:rPr>
        <w:t xml:space="preserve">عذري ، علي بن عثمان- ابن قاصح ، علي بن عثمان</w:t>
      </w:r>
    </w:p>
    <w:p>
      <w:pPr>
        <w:pStyle w:val="Heading2"/>
      </w:pPr>
      <w:bookmarkStart w:id="5916" w:name="_Toc5018"/>
      <w:r>
        <w:t>عراقي ، ابراهيم بن بزرگمهر 610 - 688</w:t>
      </w:r>
      <w:bookmarkEnd w:id="5916"/>
    </w:p>
    <w:p>
      <w:pPr>
        <w:pStyle w:val="BookText"/>
      </w:pPr>
      <w:r>
        <w:rPr>
          <w:rFonts w:ascii="IRNazanin" w:hAnsi="IRNazanin" w:eastAsia="IRNazanin" w:cs="IRNazanin"/>
          <w:lang w:bidi="fa-IR"/>
          <w:color w:val="111111"/>
          <w:sz w:val="28"/>
          <w:szCs w:val="28"/>
          <w:rtl/>
        </w:rPr>
        <w:t xml:space="preserve">المعات، ج13، ص 613.</w:t>
      </w:r>
    </w:p>
    <w:p>
      <w:pPr>
        <w:pStyle w:val="BookText"/>
      </w:pPr>
      <w:r>
        <w:rPr>
          <w:rFonts w:ascii="Amiri" w:hAnsi="Amiri" w:eastAsia="Amiri" w:cs="Amiri"/>
          <w:lang w:bidi="ar-SA"/>
          <w:color w:val="111111"/>
          <w:sz w:val="28"/>
          <w:szCs w:val="28"/>
          <w:rtl/>
        </w:rPr>
        <w:t xml:space="preserve">عراقي ابراهيم بن علي- ابوالوفاء عراقي</w:t>
      </w:r>
    </w:p>
    <w:p>
      <w:pPr>
        <w:pStyle w:val="BookText"/>
      </w:pPr>
      <w:r>
        <w:rPr>
          <w:rFonts w:ascii="Amiri" w:hAnsi="Amiri" w:eastAsia="Amiri" w:cs="Amiri"/>
          <w:lang w:bidi="ar-SA"/>
          <w:color w:val="111111"/>
          <w:sz w:val="28"/>
          <w:szCs w:val="28"/>
          <w:rtl/>
        </w:rPr>
        <w:t xml:space="preserve">ابراهيم بن علي</w:t>
      </w:r>
    </w:p>
    <w:p>
      <w:pPr>
        <w:pStyle w:val="Heading2"/>
      </w:pPr>
      <w:bookmarkStart w:id="5917" w:name="_Toc5019"/>
      <w:r>
        <w:t>عراقي ، ابوزرعة</w:t>
      </w:r>
      <w:bookmarkEnd w:id="5917"/>
    </w:p>
    <w:p>
      <w:pPr>
        <w:pStyle w:val="BookText"/>
      </w:pPr>
      <w:r>
        <w:rPr>
          <w:rFonts w:ascii="Amiri" w:hAnsi="Amiri" w:eastAsia="Amiri" w:cs="Amiri"/>
          <w:lang w:bidi="ar-SA"/>
          <w:color w:val="111111"/>
          <w:sz w:val="28"/>
          <w:szCs w:val="28"/>
          <w:rtl/>
        </w:rPr>
        <w:t xml:space="preserve">غيبة الهامع في شرح جمع الجوامع</w:t>
      </w:r>
    </w:p>
    <w:p>
      <w:pPr>
        <w:pStyle w:val="BookText"/>
      </w:pPr>
      <w:r>
        <w:rPr>
          <w:rFonts w:ascii="IRNazanin" w:hAnsi="IRNazanin" w:eastAsia="IRNazanin" w:cs="IRNazanin"/>
          <w:lang w:bidi="fa-IR"/>
          <w:color w:val="111111"/>
          <w:sz w:val="28"/>
          <w:szCs w:val="28"/>
          <w:rtl/>
        </w:rPr>
        <w:t xml:space="preserve">ج 11، ص 554.</w:t>
      </w:r>
    </w:p>
    <w:p>
      <w:pPr>
        <w:pStyle w:val="BookText"/>
      </w:pPr>
      <w:r>
        <w:rPr>
          <w:rFonts w:ascii="Amiri" w:hAnsi="Amiri" w:eastAsia="Amiri" w:cs="Amiri"/>
          <w:lang w:bidi="ar-SA"/>
          <w:color w:val="111111"/>
          <w:sz w:val="28"/>
          <w:szCs w:val="28"/>
          <w:rtl/>
        </w:rPr>
        <w:t xml:space="preserve">عراقي ، ابي القاسم محمّد بن</w:t>
      </w:r>
    </w:p>
    <w:p>
      <w:pPr>
        <w:pStyle w:val="BookText"/>
      </w:pPr>
      <w:r>
        <w:rPr>
          <w:rFonts w:ascii="Amiri" w:hAnsi="Amiri" w:eastAsia="Amiri" w:cs="Amiri"/>
          <w:lang w:bidi="ar-SA"/>
          <w:color w:val="111111"/>
          <w:sz w:val="28"/>
          <w:szCs w:val="28"/>
          <w:rtl/>
        </w:rPr>
        <w:t xml:space="preserve">احمد -عراقي ، محمّد بن احمد</w:t>
      </w:r>
    </w:p>
    <w:p>
      <w:pPr>
        <w:pStyle w:val="Heading2"/>
      </w:pPr>
      <w:bookmarkStart w:id="5918" w:name="_Toc5020"/>
      <w:r>
        <w:t>عراقي ، احمد بن حسين</w:t>
      </w:r>
      <w:bookmarkEnd w:id="5918"/>
    </w:p>
    <w:p>
      <w:pPr>
        <w:pStyle w:val="BookText"/>
      </w:pPr>
      <w:r>
        <w:rPr>
          <w:rFonts w:ascii="Amiri" w:hAnsi="Amiri" w:eastAsia="Amiri" w:cs="Amiri"/>
          <w:lang w:bidi="ar-SA"/>
          <w:color w:val="111111"/>
          <w:sz w:val="28"/>
          <w:szCs w:val="28"/>
          <w:rtl/>
        </w:rPr>
        <w:t xml:space="preserve">حاشية فوائد الاصول، ج 6، ص 271.</w:t>
      </w:r>
    </w:p>
    <w:p>
      <w:pPr>
        <w:pStyle w:val="BookText"/>
      </w:pPr>
      <w:r>
        <w:rPr>
          <w:rFonts w:ascii="Amiri" w:hAnsi="Amiri" w:eastAsia="Amiri" w:cs="Amiri"/>
          <w:lang w:bidi="ar-SA"/>
          <w:color w:val="111111"/>
          <w:sz w:val="28"/>
          <w:szCs w:val="28"/>
          <w:rtl/>
        </w:rPr>
        <w:t xml:space="preserve">عراقي ، احمد بن عبد الرحيم -ابن عراقي</w:t>
      </w:r>
    </w:p>
    <w:p>
      <w:pPr>
        <w:pStyle w:val="BookText"/>
      </w:pPr>
      <w:r>
        <w:rPr>
          <w:rFonts w:ascii="Amiri" w:hAnsi="Amiri" w:eastAsia="Amiri" w:cs="Amiri"/>
          <w:lang w:bidi="ar-SA"/>
          <w:color w:val="111111"/>
          <w:sz w:val="28"/>
          <w:szCs w:val="28"/>
          <w:rtl/>
        </w:rPr>
        <w:t xml:space="preserve">، احمد بن عبدالرحيم</w:t>
      </w:r>
    </w:p>
    <w:p>
      <w:pPr>
        <w:pStyle w:val="BookText"/>
      </w:pPr>
      <w:r>
        <w:rPr>
          <w:rFonts w:ascii="Amiri" w:hAnsi="Amiri" w:eastAsia="Amiri" w:cs="Amiri"/>
          <w:lang w:bidi="ar-SA"/>
          <w:color w:val="111111"/>
          <w:sz w:val="28"/>
          <w:szCs w:val="28"/>
          <w:rtl/>
        </w:rPr>
        <w:t xml:space="preserve">عراقي ، احمد بن محمّد -عراقي ، محمّد بن احمد</w:t>
      </w:r>
    </w:p>
    <w:p>
      <w:pPr>
        <w:pStyle w:val="Heading2"/>
      </w:pPr>
      <w:bookmarkStart w:id="5919" w:name="_Toc5021"/>
      <w:r>
        <w:t>عراقي ، جواد بن جلال الدين قرن 14 ه-</w:t>
      </w:r>
      <w:bookmarkEnd w:id="5919"/>
    </w:p>
    <w:p>
      <w:pPr>
        <w:pStyle w:val="BookText"/>
      </w:pPr>
      <w:r>
        <w:rPr>
          <w:rFonts w:ascii="Amiri" w:hAnsi="Amiri" w:eastAsia="Amiri" w:cs="Amiri"/>
          <w:lang w:bidi="ar-SA"/>
          <w:color w:val="111111"/>
          <w:sz w:val="28"/>
          <w:szCs w:val="28"/>
          <w:rtl/>
        </w:rPr>
        <w:t xml:space="preserve">سفينه عراقي، ج8، ص782</w:t>
      </w:r>
    </w:p>
    <w:p>
      <w:pPr>
        <w:pStyle w:val="BookText"/>
      </w:pPr>
      <w:r>
        <w:rPr>
          <w:rFonts w:ascii="Amiri" w:hAnsi="Amiri" w:eastAsia="Amiri" w:cs="Amiri"/>
          <w:lang w:bidi="ar-SA"/>
          <w:color w:val="111111"/>
          <w:sz w:val="28"/>
          <w:szCs w:val="28"/>
          <w:rtl/>
        </w:rPr>
        <w:t xml:space="preserve">عراقي، زين الدين- عراقي ، عبد الرحيم</w:t>
      </w:r>
    </w:p>
    <w:p>
      <w:pPr>
        <w:pStyle w:val="BookText"/>
      </w:pPr>
      <w:r>
        <w:rPr>
          <w:rFonts w:ascii="Amiri" w:hAnsi="Amiri" w:eastAsia="Amiri" w:cs="Amiri"/>
          <w:lang w:bidi="ar-SA"/>
          <w:color w:val="111111"/>
          <w:sz w:val="28"/>
          <w:szCs w:val="28"/>
          <w:rtl/>
        </w:rPr>
        <w:t xml:space="preserve">بن حسين</w:t>
      </w:r>
    </w:p>
    <w:p>
      <w:pPr>
        <w:pStyle w:val="BookText"/>
      </w:pPr>
      <w:r>
        <w:rPr>
          <w:rFonts w:ascii="Amiri" w:hAnsi="Amiri" w:eastAsia="Amiri" w:cs="Amiri"/>
          <w:lang w:bidi="ar-SA"/>
          <w:color w:val="111111"/>
          <w:sz w:val="28"/>
          <w:szCs w:val="28"/>
          <w:rtl/>
        </w:rPr>
        <w:t xml:space="preserve">عراقي ، ضياء الدين علي محمّد علي- آقا</w:t>
      </w:r>
    </w:p>
    <w:p>
      <w:pPr>
        <w:pStyle w:val="BookText"/>
      </w:pPr>
      <w:r>
        <w:rPr>
          <w:rFonts w:ascii="Amiri" w:hAnsi="Amiri" w:eastAsia="Amiri" w:cs="Amiri"/>
          <w:lang w:bidi="ar-SA"/>
          <w:color w:val="111111"/>
          <w:sz w:val="28"/>
          <w:szCs w:val="28"/>
          <w:rtl/>
        </w:rPr>
        <w:t xml:space="preserve">ضياء عراقي</w:t>
      </w:r>
    </w:p>
    <w:p>
      <w:pPr>
        <w:pStyle w:val="Heading2"/>
      </w:pPr>
      <w:bookmarkStart w:id="5920" w:name="_Toc5022"/>
      <w:r>
        <w:t>عراقي ، طاهر</w:t>
      </w:r>
      <w:bookmarkEnd w:id="5920"/>
    </w:p>
    <w:p>
      <w:pPr>
        <w:pStyle w:val="BookText"/>
      </w:pPr>
      <w:r>
        <w:rPr>
          <w:rFonts w:ascii="Amiri" w:hAnsi="Amiri" w:eastAsia="Amiri" w:cs="Amiri"/>
          <w:lang w:bidi="ar-SA"/>
          <w:color w:val="111111"/>
          <w:sz w:val="28"/>
          <w:szCs w:val="28"/>
          <w:rtl/>
        </w:rPr>
        <w:t xml:space="preserve">1 .قصيدة، ج 12، ص 642.</w:t>
      </w:r>
    </w:p>
    <w:p>
      <w:pPr>
        <w:pStyle w:val="BookText"/>
      </w:pPr>
      <w:r>
        <w:rPr>
          <w:rFonts w:ascii="Amiri" w:hAnsi="Amiri" w:eastAsia="Amiri" w:cs="Amiri"/>
          <w:lang w:bidi="ar-SA"/>
          <w:color w:val="111111"/>
          <w:sz w:val="28"/>
          <w:szCs w:val="28"/>
          <w:rtl/>
        </w:rPr>
        <w:t xml:space="preserve">2 .قصيدة طاهر العراقي، ج12،</w:t>
      </w:r>
    </w:p>
    <w:p>
      <w:pPr>
        <w:pStyle w:val="BookText"/>
      </w:pPr>
      <w:r>
        <w:rPr>
          <w:rFonts w:ascii="IRNazanin" w:hAnsi="IRNazanin" w:eastAsia="IRNazanin" w:cs="IRNazanin"/>
          <w:lang w:bidi="fa-IR"/>
          <w:color w:val="111111"/>
          <w:sz w:val="28"/>
          <w:szCs w:val="28"/>
          <w:rtl/>
        </w:rPr>
        <w:t xml:space="preserve">ص 681 .</w:t>
      </w:r>
    </w:p>
    <w:p>
      <w:pPr>
        <w:pStyle w:val="BookText"/>
      </w:pPr>
      <w:r>
        <w:rPr>
          <w:rFonts w:ascii="Amiri" w:hAnsi="Amiri" w:eastAsia="Amiri" w:cs="Amiri"/>
          <w:lang w:bidi="ar-SA"/>
          <w:color w:val="111111"/>
          <w:sz w:val="28"/>
          <w:szCs w:val="28"/>
          <w:rtl/>
        </w:rPr>
        <w:t xml:space="preserve">عراقي، عبدالرحيم بن ابي بكر عراقي ،</w:t>
      </w:r>
    </w:p>
    <w:p>
      <w:pPr>
        <w:pStyle w:val="BookText"/>
      </w:pPr>
      <w:r>
        <w:rPr>
          <w:rFonts w:ascii="Amiri" w:hAnsi="Amiri" w:eastAsia="Amiri" w:cs="Amiri"/>
          <w:lang w:bidi="ar-SA"/>
          <w:color w:val="111111"/>
          <w:sz w:val="28"/>
          <w:szCs w:val="28"/>
          <w:rtl/>
        </w:rPr>
        <w:t xml:space="preserve">عبدالرحيم بن حسين</w:t>
      </w:r>
    </w:p>
    <w:p>
      <w:pPr>
        <w:pStyle w:val="Heading2"/>
      </w:pPr>
      <w:bookmarkStart w:id="5921" w:name="_Toc5023"/>
      <w:r>
        <w:t>عراقي ، عبدالرحيم بن حسين 725 - 806</w:t>
      </w:r>
      <w:bookmarkEnd w:id="5921"/>
    </w:p>
    <w:p>
      <w:pPr>
        <w:pStyle w:val="BookText"/>
      </w:pPr>
      <w:r>
        <w:rPr>
          <w:rFonts w:ascii="Amiri" w:hAnsi="Amiri" w:eastAsia="Amiri" w:cs="Amiri"/>
          <w:lang w:bidi="ar-SA"/>
          <w:color w:val="111111"/>
          <w:sz w:val="28"/>
          <w:szCs w:val="28"/>
          <w:rtl/>
        </w:rPr>
        <w:t xml:space="preserve">1 .الارجوزة، ج 1، ص 760.</w:t>
      </w:r>
    </w:p>
    <w:p>
      <w:pPr>
        <w:pStyle w:val="BookText"/>
      </w:pPr>
      <w:r>
        <w:rPr>
          <w:rFonts w:ascii="Amiri" w:hAnsi="Amiri" w:eastAsia="Amiri" w:cs="Amiri"/>
          <w:lang w:bidi="ar-SA"/>
          <w:color w:val="111111"/>
          <w:sz w:val="28"/>
          <w:szCs w:val="28"/>
          <w:rtl/>
        </w:rPr>
        <w:t xml:space="preserve">2 .الفية العراقي في غريب القرآن، ج2،</w:t>
      </w:r>
    </w:p>
    <w:p>
      <w:pPr>
        <w:pStyle w:val="BookText"/>
      </w:pPr>
      <w:r>
        <w:rPr>
          <w:rFonts w:ascii="IRNazanin" w:hAnsi="IRNazanin" w:eastAsia="IRNazanin" w:cs="IRNazanin"/>
          <w:lang w:bidi="fa-IR"/>
          <w:color w:val="111111"/>
          <w:sz w:val="28"/>
          <w:szCs w:val="28"/>
          <w:rtl/>
        </w:rPr>
        <w:t xml:space="preserve">ص 684 .</w:t>
      </w:r>
    </w:p>
    <w:p>
      <w:pPr>
        <w:pStyle w:val="BookText"/>
      </w:pPr>
      <w:r>
        <w:rPr>
          <w:rFonts w:ascii="Amiri" w:hAnsi="Amiri" w:eastAsia="Amiri" w:cs="Amiri"/>
          <w:lang w:bidi="ar-SA"/>
          <w:color w:val="111111"/>
          <w:sz w:val="28"/>
          <w:szCs w:val="28"/>
          <w:rtl/>
        </w:rPr>
        <w:t xml:space="preserve">3 .الالفية في سيرة النبي - الدرر</w:t>
      </w:r>
    </w:p>
    <w:p>
      <w:pPr>
        <w:pStyle w:val="BookText"/>
      </w:pPr>
      <w:r>
        <w:rPr>
          <w:rFonts w:ascii="Amiri" w:hAnsi="Amiri" w:eastAsia="Amiri" w:cs="Amiri"/>
          <w:lang w:bidi="ar-SA"/>
          <w:color w:val="111111"/>
          <w:sz w:val="28"/>
          <w:szCs w:val="28"/>
          <w:rtl/>
        </w:rPr>
        <w:t xml:space="preserve">السنية في نظم السيرة الزكية، ج2،</w:t>
      </w:r>
    </w:p>
    <w:p>
      <w:pPr>
        <w:pStyle w:val="BookText"/>
      </w:pPr>
      <w:r>
        <w:rPr>
          <w:rFonts w:ascii="IRNazanin" w:hAnsi="IRNazanin" w:eastAsia="IRNazanin" w:cs="IRNazanin"/>
          <w:lang w:bidi="fa-IR"/>
          <w:color w:val="111111"/>
          <w:sz w:val="28"/>
          <w:szCs w:val="28"/>
          <w:rtl/>
        </w:rPr>
        <w:t xml:space="preserve">ص 686.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71" w:name="pg7742_70786"/>
    <w:bookmarkEnd w:id="771"/>
    <w:p>
      <w:pPr>
        <w:pStyle w:val="BookText"/>
      </w:pPr>
      <w:r>
        <w:rPr>
          <w:rFonts w:ascii="Amiri" w:hAnsi="Amiri" w:eastAsia="Amiri" w:cs="Amiri"/>
          <w:lang w:bidi="ar-SA"/>
          <w:color w:val="111111"/>
          <w:sz w:val="28"/>
          <w:szCs w:val="28"/>
          <w:rtl/>
        </w:rPr>
        <w:t xml:space="preserve">4 .التذكرة والتبصرة في الحديث =</w:t>
      </w:r>
    </w:p>
    <w:p>
      <w:pPr>
        <w:pStyle w:val="BookText"/>
      </w:pPr>
      <w:r>
        <w:rPr>
          <w:rFonts w:ascii="Amiri" w:hAnsi="Amiri" w:eastAsia="Amiri" w:cs="Amiri"/>
          <w:lang w:bidi="ar-SA"/>
          <w:color w:val="111111"/>
          <w:sz w:val="28"/>
          <w:szCs w:val="28"/>
          <w:rtl/>
        </w:rPr>
        <w:t xml:space="preserve">الالفية في اصول الحديث = تبصرة المبتدي و تذكرة المنتهي ج4</w:t>
      </w:r>
    </w:p>
    <w:p>
      <w:pPr>
        <w:pStyle w:val="BookText"/>
      </w:pPr>
      <w:r>
        <w:rPr>
          <w:rFonts w:ascii="IRNazanin" w:hAnsi="IRNazanin" w:eastAsia="IRNazanin" w:cs="IRNazanin"/>
          <w:lang w:bidi="fa-IR"/>
          <w:color w:val="111111"/>
          <w:sz w:val="28"/>
          <w:szCs w:val="28"/>
          <w:rtl/>
        </w:rPr>
        <w:t xml:space="preserve">ص 217</w:t>
      </w:r>
    </w:p>
    <w:p>
      <w:pPr>
        <w:pStyle w:val="BookText"/>
      </w:pPr>
      <w:r>
        <w:rPr>
          <w:rFonts w:ascii="Amiri" w:hAnsi="Amiri" w:eastAsia="Amiri" w:cs="Amiri"/>
          <w:lang w:bidi="ar-SA"/>
          <w:color w:val="111111"/>
          <w:sz w:val="28"/>
          <w:szCs w:val="28"/>
          <w:rtl/>
        </w:rPr>
        <w:t xml:space="preserve">5 .تقريب الأسانيد و ترتيب المسانيد</w:t>
      </w:r>
    </w:p>
    <w:p>
      <w:pPr>
        <w:pStyle w:val="BookText"/>
      </w:pPr>
      <w:r>
        <w:rPr>
          <w:rFonts w:ascii="IRNazanin" w:hAnsi="IRNazanin" w:eastAsia="IRNazanin" w:cs="IRNazanin"/>
          <w:lang w:bidi="fa-IR"/>
          <w:color w:val="111111"/>
          <w:sz w:val="28"/>
          <w:szCs w:val="28"/>
          <w:rtl/>
        </w:rPr>
        <w:t xml:space="preserve">ج 4، ص 723 .</w:t>
      </w:r>
    </w:p>
    <w:p>
      <w:pPr>
        <w:pStyle w:val="BookText"/>
      </w:pPr>
      <w:r>
        <w:rPr>
          <w:rFonts w:ascii="Amiri" w:hAnsi="Amiri" w:eastAsia="Amiri" w:cs="Amiri"/>
          <w:lang w:bidi="ar-SA"/>
          <w:color w:val="111111"/>
          <w:sz w:val="28"/>
          <w:szCs w:val="28"/>
          <w:rtl/>
        </w:rPr>
        <w:t xml:space="preserve">6 .التقييد و الايضاح لما اطلق و اغلق</w:t>
      </w:r>
    </w:p>
    <w:p>
      <w:pPr>
        <w:pStyle w:val="BookText"/>
      </w:pPr>
      <w:r>
        <w:rPr>
          <w:rFonts w:ascii="Amiri" w:hAnsi="Amiri" w:eastAsia="Amiri" w:cs="Amiri"/>
          <w:lang w:bidi="ar-SA"/>
          <w:color w:val="111111"/>
          <w:sz w:val="28"/>
          <w:szCs w:val="28"/>
          <w:rtl/>
        </w:rPr>
        <w:t xml:space="preserve">من كتاب ابن الصلاح، ج 4</w:t>
      </w:r>
    </w:p>
    <w:p>
      <w:pPr>
        <w:pStyle w:val="BookText"/>
      </w:pPr>
      <w:r>
        <w:rPr>
          <w:rFonts w:ascii="IRNazanin" w:hAnsi="IRNazanin" w:eastAsia="IRNazanin" w:cs="IRNazanin"/>
          <w:lang w:bidi="fa-IR"/>
          <w:color w:val="111111"/>
          <w:sz w:val="28"/>
          <w:szCs w:val="28"/>
          <w:rtl/>
        </w:rPr>
        <w:t xml:space="preserve">ص 809.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جزء النيل، ج 5، ص 384.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الدرر الثمين في سيرة السيد المرسلين، ج 7، ص 287</w:t>
      </w:r>
    </w:p>
    <w:p>
      <w:pPr>
        <w:pStyle w:val="BookText"/>
      </w:pPr>
      <w:r>
        <w:rPr>
          <w:rFonts w:ascii="Amiri" w:hAnsi="Amiri" w:eastAsia="Amiri" w:cs="Amiri"/>
          <w:lang w:bidi="ar-SA"/>
          <w:color w:val="111111"/>
          <w:sz w:val="28"/>
          <w:szCs w:val="28"/>
          <w:rtl/>
        </w:rPr>
        <w:t xml:space="preserve">9 .ذيل ميزان الاعتدال في نقد الرجال</w:t>
      </w:r>
    </w:p>
    <w:p>
      <w:pPr>
        <w:pStyle w:val="BookText"/>
      </w:pPr>
      <w:r>
        <w:rPr>
          <w:rFonts w:ascii="IRNazanin" w:hAnsi="IRNazanin" w:eastAsia="IRNazanin" w:cs="IRNazanin"/>
          <w:lang w:bidi="fa-IR"/>
          <w:color w:val="111111"/>
          <w:sz w:val="28"/>
          <w:szCs w:val="28"/>
          <w:rtl/>
        </w:rPr>
        <w:t xml:space="preserve">ج 7، ص 882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نظم الدرر السنية في السيرة</w:t>
      </w:r>
    </w:p>
    <w:p>
      <w:pPr>
        <w:pStyle w:val="BookText"/>
      </w:pPr>
      <w:r>
        <w:rPr>
          <w:rFonts w:ascii="Amiri" w:hAnsi="Amiri" w:eastAsia="Amiri" w:cs="Amiri"/>
          <w:lang w:bidi="ar-SA"/>
          <w:color w:val="111111"/>
          <w:sz w:val="28"/>
          <w:szCs w:val="28"/>
          <w:rtl/>
        </w:rPr>
        <w:t xml:space="preserve">الزكية، ج 10، ص289.</w:t>
      </w:r>
    </w:p>
    <w:p>
      <w:pPr>
        <w:pStyle w:val="BookText"/>
      </w:pPr>
      <w:r>
        <w:rPr>
          <w:rFonts w:ascii="Amiri" w:hAnsi="Amiri" w:eastAsia="Amiri" w:cs="Amiri"/>
          <w:lang w:bidi="ar-SA"/>
          <w:color w:val="111111"/>
          <w:sz w:val="28"/>
          <w:szCs w:val="28"/>
          <w:rtl/>
        </w:rPr>
        <w:t xml:space="preserve">11 .غريب الفاظ القرآن (منظومة في )</w:t>
      </w:r>
    </w:p>
    <w:p>
      <w:pPr>
        <w:pStyle w:val="BookText"/>
      </w:pPr>
      <w:r>
        <w:rPr>
          <w:rFonts w:ascii="Amiri" w:hAnsi="Amiri" w:eastAsia="Amiri" w:cs="Amiri"/>
          <w:lang w:bidi="ar-SA"/>
          <w:color w:val="111111"/>
          <w:sz w:val="28"/>
          <w:szCs w:val="28"/>
          <w:rtl/>
        </w:rPr>
        <w:t xml:space="preserve">ألفية في غريب القرآن، ج11،</w:t>
      </w:r>
    </w:p>
    <w:p>
      <w:pPr>
        <w:pStyle w:val="BookText"/>
      </w:pPr>
      <w:r>
        <w:rPr>
          <w:rFonts w:ascii="IRNazanin" w:hAnsi="IRNazanin" w:eastAsia="IRNazanin" w:cs="IRNazanin"/>
          <w:lang w:bidi="fa-IR"/>
          <w:color w:val="111111"/>
          <w:sz w:val="28"/>
          <w:szCs w:val="28"/>
          <w:rtl/>
        </w:rPr>
        <w:t xml:space="preserve">ص 490 .</w:t>
      </w:r>
    </w:p>
    <w:p>
      <w:pPr>
        <w:pStyle w:val="BookText"/>
      </w:pPr>
      <w:r>
        <w:rPr>
          <w:rFonts w:ascii="Amiri" w:hAnsi="Amiri" w:eastAsia="Amiri" w:cs="Amiri"/>
          <w:lang w:bidi="ar-SA"/>
          <w:color w:val="111111"/>
          <w:sz w:val="28"/>
          <w:szCs w:val="28"/>
          <w:rtl/>
        </w:rPr>
        <w:t xml:space="preserve">12 .فتح المغيث بشرح الفية مصطلح</w:t>
      </w:r>
    </w:p>
    <w:p>
      <w:pPr>
        <w:pStyle w:val="BookText"/>
      </w:pPr>
      <w:r>
        <w:rPr>
          <w:rFonts w:ascii="Amiri" w:hAnsi="Amiri" w:eastAsia="Amiri" w:cs="Amiri"/>
          <w:lang w:bidi="ar-SA"/>
          <w:color w:val="111111"/>
          <w:sz w:val="28"/>
          <w:szCs w:val="28"/>
          <w:rtl/>
        </w:rPr>
        <w:t xml:space="preserve">الحديث = شرح التبصرة و</w:t>
      </w:r>
    </w:p>
    <w:p>
      <w:pPr>
        <w:pStyle w:val="BookText"/>
      </w:pPr>
      <w:r>
        <w:rPr>
          <w:rFonts w:ascii="Amiri" w:hAnsi="Amiri" w:eastAsia="Amiri" w:cs="Amiri"/>
          <w:lang w:bidi="ar-SA"/>
          <w:color w:val="111111"/>
          <w:sz w:val="28"/>
          <w:szCs w:val="28"/>
          <w:rtl/>
        </w:rPr>
        <w:t xml:space="preserve">التذكرة، ج 11، ص 681 .</w:t>
      </w:r>
    </w:p>
    <w:p>
      <w:pPr>
        <w:pStyle w:val="BookText"/>
      </w:pPr>
      <w:r>
        <w:rPr>
          <w:rFonts w:ascii="Amiri" w:hAnsi="Amiri" w:eastAsia="Amiri" w:cs="Amiri"/>
          <w:lang w:bidi="ar-SA"/>
          <w:color w:val="111111"/>
          <w:sz w:val="28"/>
          <w:szCs w:val="28"/>
          <w:rtl/>
        </w:rPr>
        <w:t xml:space="preserve">13 .محجة القرب في محبة العرب</w:t>
      </w:r>
    </w:p>
    <w:p>
      <w:pPr>
        <w:pStyle w:val="BookText"/>
      </w:pPr>
      <w:r>
        <w:rPr>
          <w:rFonts w:ascii="IRNazanin" w:hAnsi="IRNazanin" w:eastAsia="IRNazanin" w:cs="IRNazanin"/>
          <w:lang w:bidi="fa-IR"/>
          <w:color w:val="111111"/>
          <w:sz w:val="28"/>
          <w:szCs w:val="28"/>
          <w:rtl/>
        </w:rPr>
        <w:t xml:space="preserve">ج 14، ص 114.</w:t>
      </w:r>
    </w:p>
    <w:p>
      <w:pPr>
        <w:pStyle w:val="BookText"/>
      </w:pPr>
      <w:r>
        <w:rPr>
          <w:rFonts w:ascii="Amiri" w:hAnsi="Amiri" w:eastAsia="Amiri" w:cs="Amiri"/>
          <w:lang w:bidi="ar-SA"/>
          <w:color w:val="111111"/>
          <w:sz w:val="28"/>
          <w:szCs w:val="28"/>
          <w:rtl/>
        </w:rPr>
        <w:t xml:space="preserve">14 .المغني عن حمل الاسفار في الاسفار في تخريج ما في الإحياء من</w:t>
      </w:r>
    </w:p>
    <w:p>
      <w:pPr>
        <w:pStyle w:val="BookText"/>
      </w:pPr>
      <w:r>
        <w:rPr>
          <w:rFonts w:ascii="IRNazanin" w:hAnsi="IRNazanin" w:eastAsia="IRNazanin" w:cs="IRNazanin"/>
          <w:lang w:bidi="fa-IR"/>
          <w:color w:val="111111"/>
          <w:sz w:val="28"/>
          <w:szCs w:val="28"/>
          <w:rtl/>
        </w:rPr>
        <w:t xml:space="preserve">الأخبار، ج 15، ص 120 .</w:t>
      </w:r>
    </w:p>
    <w:p>
      <w:pPr>
        <w:pStyle w:val="BookText"/>
      </w:pPr>
      <w:r>
        <w:rPr>
          <w:rFonts w:ascii="Amiri" w:hAnsi="Amiri" w:eastAsia="Amiri" w:cs="Amiri"/>
          <w:lang w:bidi="ar-SA"/>
          <w:color w:val="111111"/>
          <w:sz w:val="28"/>
          <w:szCs w:val="28"/>
          <w:rtl/>
        </w:rPr>
        <w:t xml:space="preserve">15 .المقاصد المهمة في مصطلح الحديث - ألفية في مصطلح</w:t>
      </w:r>
    </w:p>
    <w:p>
      <w:pPr>
        <w:pStyle w:val="BookText"/>
      </w:pPr>
      <w:r>
        <w:rPr>
          <w:rFonts w:ascii="Amiri" w:hAnsi="Amiri" w:eastAsia="Amiri" w:cs="Amiri"/>
          <w:lang w:bidi="ar-SA"/>
          <w:color w:val="111111"/>
          <w:sz w:val="28"/>
          <w:szCs w:val="28"/>
          <w:rtl/>
        </w:rPr>
        <w:t xml:space="preserve">الحديث، ج 15، ص 277.</w:t>
      </w:r>
    </w:p>
    <w:p>
      <w:pPr>
        <w:pStyle w:val="Heading2"/>
      </w:pPr>
      <w:bookmarkStart w:id="5922" w:name="_Toc5024"/>
      <w:r>
        <w:t>عراقي ، عبدالكريم بن علي 623 - 704</w:t>
      </w:r>
      <w:bookmarkEnd w:id="5922"/>
    </w:p>
    <w:p>
      <w:pPr>
        <w:pStyle w:val="BookText"/>
      </w:pPr>
      <w:r>
        <w:rPr>
          <w:rFonts w:ascii="Amiri" w:hAnsi="Amiri" w:eastAsia="Amiri" w:cs="Amiri"/>
          <w:lang w:bidi="ar-SA"/>
          <w:color w:val="111111"/>
          <w:sz w:val="28"/>
          <w:szCs w:val="28"/>
          <w:rtl/>
        </w:rPr>
        <w:t xml:space="preserve">انصاف الحكم بين الكشاف و</w:t>
      </w:r>
    </w:p>
    <w:p>
      <w:pPr>
        <w:pStyle w:val="BookText"/>
      </w:pPr>
      <w:r>
        <w:rPr>
          <w:rFonts w:ascii="IRNazanin" w:hAnsi="IRNazanin" w:eastAsia="IRNazanin" w:cs="IRNazanin"/>
          <w:lang w:bidi="fa-IR"/>
          <w:color w:val="111111"/>
          <w:sz w:val="28"/>
          <w:szCs w:val="28"/>
          <w:rtl/>
        </w:rPr>
        <w:t xml:space="preserve">الانتصاف، ج2، ص 817</w:t>
      </w:r>
    </w:p>
    <w:p>
      <w:pPr>
        <w:pStyle w:val="BookText"/>
      </w:pPr>
      <w:r>
        <w:rPr>
          <w:rFonts w:ascii="Amiri" w:hAnsi="Amiri" w:eastAsia="Amiri" w:cs="Amiri"/>
          <w:lang w:bidi="ar-SA"/>
          <w:color w:val="111111"/>
          <w:sz w:val="28"/>
          <w:szCs w:val="28"/>
          <w:rtl/>
        </w:rPr>
        <w:t xml:space="preserve">عراقي ، عبد الله بن طبيب - عراقي ، عبدالله بن طيب</w:t>
      </w:r>
    </w:p>
    <w:p>
      <w:pPr>
        <w:pStyle w:val="Heading2"/>
      </w:pPr>
      <w:bookmarkStart w:id="5923" w:name="_Toc5025"/>
      <w:r>
        <w:t>عراقي ، عبد الله بن طيب، - 434 ؟ ه-</w:t>
      </w:r>
      <w:bookmarkEnd w:id="5923"/>
    </w:p>
    <w:p>
      <w:pPr>
        <w:pStyle w:val="BookText"/>
      </w:pPr>
      <w:r>
        <w:rPr>
          <w:rFonts w:ascii="Amiri" w:hAnsi="Amiri" w:eastAsia="Amiri" w:cs="Amiri"/>
          <w:lang w:bidi="ar-SA"/>
          <w:color w:val="111111"/>
          <w:sz w:val="28"/>
          <w:szCs w:val="28"/>
          <w:rtl/>
        </w:rPr>
        <w:t xml:space="preserve">القوى الطبيعية، ج 12، ص 869.</w:t>
      </w:r>
    </w:p>
    <w:p>
      <w:pPr>
        <w:pStyle w:val="BookText"/>
      </w:pPr>
      <w:r>
        <w:rPr>
          <w:rFonts w:ascii="Amiri" w:hAnsi="Amiri" w:eastAsia="Amiri" w:cs="Amiri"/>
          <w:lang w:bidi="ar-SA"/>
          <w:color w:val="111111"/>
          <w:sz w:val="28"/>
          <w:szCs w:val="28"/>
          <w:rtl/>
        </w:rPr>
        <w:t xml:space="preserve">عراقي، فخر الدين ابراهيم- عراقي</w:t>
      </w:r>
    </w:p>
    <w:p>
      <w:pPr>
        <w:pStyle w:val="BookText"/>
      </w:pPr>
      <w:r>
        <w:rPr>
          <w:rFonts w:ascii="IRNazanin" w:hAnsi="IRNazanin" w:eastAsia="IRNazanin" w:cs="IRNazanin"/>
          <w:lang w:bidi="fa-IR"/>
          <w:color w:val="111111"/>
          <w:sz w:val="28"/>
          <w:szCs w:val="28"/>
          <w:rtl/>
        </w:rPr>
        <w:t xml:space="preserve">ابراهیم بن بزرگمهر</w:t>
      </w:r>
    </w:p>
    <w:p>
      <w:pPr>
        <w:pStyle w:val="BookText"/>
      </w:pPr>
      <w:r>
        <w:rPr>
          <w:rFonts w:ascii="Amiri" w:hAnsi="Amiri" w:eastAsia="Amiri" w:cs="Amiri"/>
          <w:lang w:bidi="ar-SA"/>
          <w:color w:val="111111"/>
          <w:sz w:val="28"/>
          <w:szCs w:val="28"/>
          <w:rtl/>
        </w:rPr>
        <w:t xml:space="preserve">عراقي كردي ، عبدالرحيم بن حسين -عراقي ، عبدالرحيم بن حسين</w:t>
      </w:r>
    </w:p>
    <w:p>
      <w:pPr>
        <w:pStyle w:val="Heading2"/>
      </w:pPr>
      <w:bookmarkStart w:id="5924" w:name="_Toc5026"/>
      <w:r>
        <w:t>عراقي ، محمّد بن احمد ، محمّد بن احمد، - 580 ؟ ه-</w:t>
      </w:r>
      <w:bookmarkEnd w:id="5924"/>
    </w:p>
    <w:p>
      <w:pPr>
        <w:pStyle w:val="BookText"/>
      </w:pPr>
      <w:r>
        <w:rPr>
          <w:rFonts w:ascii="IRNazanin" w:hAnsi="IRNazanin" w:eastAsia="IRNazanin" w:cs="IRNazanin"/>
          <w:lang w:bidi="fa-IR"/>
          <w:color w:val="111111"/>
          <w:sz w:val="28"/>
          <w:szCs w:val="28"/>
          <w:rtl/>
        </w:rPr>
        <w:t xml:space="preserve">1 .عيون الحقایق و ايضاح الطرائق</w:t>
      </w:r>
    </w:p>
    <w:p>
      <w:pPr>
        <w:pStyle w:val="BookText"/>
      </w:pPr>
      <w:r>
        <w:rPr>
          <w:rFonts w:ascii="IRNazanin" w:hAnsi="IRNazanin" w:eastAsia="IRNazanin" w:cs="IRNazanin"/>
          <w:lang w:bidi="fa-IR"/>
          <w:color w:val="111111"/>
          <w:sz w:val="28"/>
          <w:szCs w:val="28"/>
          <w:rtl/>
        </w:rPr>
        <w:t xml:space="preserve">ج 11، ص 403 .</w:t>
      </w:r>
    </w:p>
    <w:p>
      <w:pPr>
        <w:pStyle w:val="BookText"/>
      </w:pPr>
      <w:r>
        <w:rPr>
          <w:rFonts w:ascii="Amiri" w:hAnsi="Amiri" w:eastAsia="Amiri" w:cs="Amiri"/>
          <w:lang w:bidi="ar-SA"/>
          <w:color w:val="111111"/>
          <w:sz w:val="28"/>
          <w:szCs w:val="28"/>
          <w:rtl/>
        </w:rPr>
        <w:t xml:space="preserve">2 .كشف الدك، ج 13، ص210.</w:t>
      </w:r>
    </w:p>
    <w:p>
      <w:pPr>
        <w:pStyle w:val="BookText"/>
      </w:pPr>
      <w:r>
        <w:rPr>
          <w:rFonts w:ascii="Amiri" w:hAnsi="Amiri" w:eastAsia="Amiri" w:cs="Amiri"/>
          <w:lang w:bidi="ar-SA"/>
          <w:color w:val="111111"/>
          <w:sz w:val="28"/>
          <w:szCs w:val="28"/>
          <w:rtl/>
        </w:rPr>
        <w:t xml:space="preserve">عراقي ، محمّد بن علي-ابن حمدان ،</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عراقي ، محمّد بن علي -ابن سلوم ،</w:t>
      </w:r>
    </w:p>
    <w:p>
      <w:pPr>
        <w:pStyle w:val="BookText"/>
      </w:pPr>
      <w:r>
        <w:rPr>
          <w:rFonts w:ascii="Amiri" w:hAnsi="Amiri" w:eastAsia="Amiri" w:cs="Amiri"/>
          <w:lang w:bidi="ar-SA"/>
          <w:color w:val="111111"/>
          <w:sz w:val="28"/>
          <w:szCs w:val="28"/>
          <w:rtl/>
        </w:rPr>
        <w:t xml:space="preserve">محمّد بن علي</w:t>
      </w:r>
    </w:p>
    <w:p>
      <w:pPr>
        <w:pStyle w:val="Heading2"/>
      </w:pPr>
      <w:bookmarkStart w:id="5925" w:name="_Toc5027"/>
      <w:r>
        <w:t>عراقي ، محمود بن جعفر، 1240 - 1308</w:t>
      </w:r>
      <w:bookmarkEnd w:id="5925"/>
    </w:p>
    <w:p>
      <w:pPr>
        <w:pStyle w:val="BookText"/>
      </w:pPr>
      <w:r>
        <w:rPr>
          <w:rFonts w:ascii="IRNazanin" w:hAnsi="IRNazanin" w:eastAsia="IRNazanin" w:cs="IRNazanin"/>
          <w:lang w:bidi="fa-IR"/>
          <w:color w:val="111111"/>
          <w:sz w:val="28"/>
          <w:szCs w:val="28"/>
          <w:rtl/>
        </w:rPr>
        <w:t xml:space="preserve">1 .جوامع الشتات - جوامع الاصول</w:t>
      </w:r>
    </w:p>
    <w:p>
      <w:pPr>
        <w:pStyle w:val="BookText"/>
      </w:pPr>
      <w:r>
        <w:rPr>
          <w:rFonts w:ascii="IRNazanin" w:hAnsi="IRNazanin" w:eastAsia="IRNazanin" w:cs="IRNazanin"/>
          <w:lang w:bidi="fa-IR"/>
          <w:color w:val="111111"/>
          <w:sz w:val="28"/>
          <w:szCs w:val="28"/>
          <w:rtl/>
        </w:rPr>
        <w:t xml:space="preserve">ج 5، ص 528.</w:t>
      </w:r>
    </w:p>
    <w:p>
      <w:pPr>
        <w:pStyle w:val="BookText"/>
      </w:pPr>
      <w:r>
        <w:rPr>
          <w:rFonts w:ascii="Amiri" w:hAnsi="Amiri" w:eastAsia="Amiri" w:cs="Amiri"/>
          <w:lang w:bidi="ar-SA"/>
          <w:color w:val="111111"/>
          <w:sz w:val="28"/>
          <w:szCs w:val="28"/>
          <w:rtl/>
        </w:rPr>
        <w:t xml:space="preserve">2 .كفاية الراشدين في الرد على جماعة</w:t>
      </w:r>
    </w:p>
    <w:p>
      <w:pPr>
        <w:pStyle w:val="BookText"/>
      </w:pPr>
      <w:r>
        <w:rPr>
          <w:rFonts w:ascii="Amiri" w:hAnsi="Amiri" w:eastAsia="Amiri" w:cs="Amiri"/>
          <w:lang w:bidi="ar-SA"/>
          <w:color w:val="111111"/>
          <w:sz w:val="28"/>
          <w:szCs w:val="28"/>
          <w:rtl/>
        </w:rPr>
        <w:t xml:space="preserve">من المبتدعين، ج13، ص313.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لوامع النكات الحاوي لما افاده</w:t>
      </w:r>
    </w:p>
    <w:p>
      <w:pPr>
        <w:pStyle w:val="BookText"/>
      </w:pPr>
      <w:r>
        <w:rPr>
          <w:rFonts w:ascii="Amiri" w:hAnsi="Amiri" w:eastAsia="Amiri" w:cs="Amiri"/>
          <w:lang w:bidi="ar-SA"/>
          <w:color w:val="111111"/>
          <w:sz w:val="28"/>
          <w:szCs w:val="28"/>
          <w:rtl/>
        </w:rPr>
        <w:t xml:space="preserve">شيخنا الانصاري في المباحث الفقهية من الافادات = لوامع</w:t>
      </w:r>
    </w:p>
    <w:p>
      <w:pPr>
        <w:pStyle w:val="BookText"/>
      </w:pPr>
      <w:r>
        <w:rPr>
          <w:rFonts w:ascii="Amiri" w:hAnsi="Amiri" w:eastAsia="Amiri" w:cs="Amiri"/>
          <w:lang w:bidi="ar-SA"/>
          <w:color w:val="111111"/>
          <w:sz w:val="28"/>
          <w:szCs w:val="28"/>
          <w:rtl/>
        </w:rPr>
        <w:t xml:space="preserve">الاحكام، ج13، ص 658.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72" w:name="pg7742_70789"/>
    <w:bookmarkEnd w:id="772"/>
    <w:p>
      <w:pPr>
        <w:pStyle w:val="BookText"/>
      </w:pPr>
      <w:r>
        <w:rPr>
          <w:rFonts w:ascii="Amiri" w:hAnsi="Amiri" w:eastAsia="Amiri" w:cs="Amiri"/>
          <w:lang w:bidi="ar-SA"/>
          <w:color w:val="111111"/>
          <w:sz w:val="28"/>
          <w:szCs w:val="28"/>
          <w:rtl/>
        </w:rPr>
        <w:t xml:space="preserve">عراقي ، نعيم بن حماد- مروزي، نعيم بن حماد</w:t>
      </w:r>
    </w:p>
    <w:p>
      <w:pPr>
        <w:pStyle w:val="BookText"/>
      </w:pPr>
      <w:r>
        <w:rPr>
          <w:rFonts w:ascii="Amiri" w:hAnsi="Amiri" w:eastAsia="Amiri" w:cs="Amiri"/>
          <w:lang w:bidi="ar-SA"/>
          <w:color w:val="111111"/>
          <w:sz w:val="28"/>
          <w:szCs w:val="28"/>
          <w:rtl/>
        </w:rPr>
        <w:t xml:space="preserve">عراقي همداني ، فخر الدين</w:t>
      </w:r>
    </w:p>
    <w:p>
      <w:pPr>
        <w:pStyle w:val="BookText"/>
      </w:pPr>
      <w:r>
        <w:rPr>
          <w:rFonts w:ascii="IRNazanin" w:hAnsi="IRNazanin" w:eastAsia="IRNazanin" w:cs="IRNazanin"/>
          <w:lang w:bidi="fa-IR"/>
          <w:color w:val="111111"/>
          <w:sz w:val="28"/>
          <w:szCs w:val="28"/>
          <w:rtl/>
        </w:rPr>
        <w:t xml:space="preserve">ابراهيم -عراقي، ابراهيم بن بزرگمهر</w:t>
      </w:r>
    </w:p>
    <w:p>
      <w:pPr>
        <w:pStyle w:val="Heading2"/>
      </w:pPr>
      <w:bookmarkStart w:id="5926" w:name="_Toc5028"/>
      <w:r>
        <w:t>عرب زاده، محمّد بن خليل - 1130 ه-</w:t>
      </w:r>
      <w:bookmarkEnd w:id="5926"/>
    </w:p>
    <w:p>
      <w:pPr>
        <w:pStyle w:val="BookText"/>
      </w:pPr>
      <w:r>
        <w:rPr>
          <w:rFonts w:ascii="IRNazanin" w:hAnsi="IRNazanin" w:eastAsia="IRNazanin" w:cs="IRNazanin"/>
          <w:lang w:bidi="fa-IR"/>
          <w:color w:val="111111"/>
          <w:sz w:val="28"/>
          <w:szCs w:val="28"/>
          <w:rtl/>
        </w:rPr>
        <w:t xml:space="preserve">مجمع الدرر و الغرر، ج13، ص 850</w:t>
      </w:r>
    </w:p>
    <w:p>
      <w:pPr>
        <w:pStyle w:val="Heading2"/>
      </w:pPr>
      <w:bookmarkStart w:id="5927" w:name="_Toc5029"/>
      <w:r>
        <w:t>عرب زاده، محمّد بن محمّد - 969 ه-</w:t>
      </w:r>
      <w:bookmarkEnd w:id="5927"/>
    </w:p>
    <w:p>
      <w:pPr>
        <w:pStyle w:val="BookText"/>
      </w:pPr>
      <w:r>
        <w:rPr>
          <w:rFonts w:ascii="Amiri" w:hAnsi="Amiri" w:eastAsia="Amiri" w:cs="Amiri"/>
          <w:lang w:bidi="ar-SA"/>
          <w:color w:val="111111"/>
          <w:sz w:val="28"/>
          <w:szCs w:val="28"/>
          <w:rtl/>
        </w:rPr>
        <w:t xml:space="preserve">حاشية انوار التنزيل – حاشية تفسير البيضاوي، ج 5، ص 687 .</w:t>
      </w:r>
    </w:p>
    <w:p>
      <w:pPr>
        <w:pStyle w:val="Heading2"/>
      </w:pPr>
      <w:bookmarkStart w:id="5928" w:name="_Toc5030"/>
      <w:r>
        <w:t>عرب ، سعيد بن عبدالله</w:t>
      </w:r>
      <w:bookmarkEnd w:id="5928"/>
    </w:p>
    <w:p>
      <w:pPr>
        <w:pStyle w:val="BookText"/>
      </w:pPr>
      <w:r>
        <w:rPr>
          <w:rFonts w:ascii="Amiri" w:hAnsi="Amiri" w:eastAsia="Amiri" w:cs="Amiri"/>
          <w:lang w:bidi="ar-SA"/>
          <w:color w:val="111111"/>
          <w:sz w:val="28"/>
          <w:szCs w:val="28"/>
          <w:rtl/>
        </w:rPr>
        <w:t xml:space="preserve">ترجمة الشيخ عبدالله بن احمد و نجله محسن البحراني، ج4، ص281</w:t>
      </w:r>
    </w:p>
    <w:p>
      <w:pPr>
        <w:pStyle w:val="Heading2"/>
      </w:pPr>
      <w:bookmarkStart w:id="5929" w:name="_Toc5031"/>
      <w:r>
        <w:t>؟ عربي طائي ، عساف بن حمد، قرن 13</w:t>
      </w:r>
      <w:bookmarkEnd w:id="5929"/>
    </w:p>
    <w:p>
      <w:pPr>
        <w:pStyle w:val="BookText"/>
      </w:pPr>
      <w:r>
        <w:rPr>
          <w:rFonts w:ascii="Amiri" w:hAnsi="Amiri" w:eastAsia="Amiri" w:cs="Amiri"/>
          <w:lang w:bidi="ar-SA"/>
          <w:color w:val="111111"/>
          <w:sz w:val="28"/>
          <w:szCs w:val="28"/>
          <w:rtl/>
        </w:rPr>
        <w:t xml:space="preserve">منظومة، ج 15، ص 714.</w:t>
      </w:r>
    </w:p>
    <w:p>
      <w:pPr>
        <w:pStyle w:val="BookText"/>
      </w:pPr>
      <w:r>
        <w:rPr>
          <w:rFonts w:ascii="Amiri" w:hAnsi="Amiri" w:eastAsia="Amiri" w:cs="Amiri"/>
          <w:lang w:bidi="ar-SA"/>
          <w:color w:val="111111"/>
          <w:sz w:val="28"/>
          <w:szCs w:val="28"/>
          <w:rtl/>
        </w:rPr>
        <w:t xml:space="preserve">عربي قصري ، محمّد بن يوسف- فاسي قصري</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Amiri" w:hAnsi="Amiri" w:eastAsia="Amiri" w:cs="Amiri"/>
          <w:lang w:bidi="ar-SA"/>
          <w:color w:val="111111"/>
          <w:sz w:val="28"/>
          <w:szCs w:val="28"/>
          <w:rtl/>
        </w:rPr>
        <w:t xml:space="preserve">عربي ، محيي الدين- ابن عربي ، محمّد بن علي</w:t>
      </w:r>
    </w:p>
    <w:p>
      <w:pPr>
        <w:pStyle w:val="Heading2"/>
      </w:pPr>
      <w:bookmarkStart w:id="5930" w:name="_Toc5032"/>
      <w:r>
        <w:t>عرجي ، عبدالله بن عمر، - 120 ؟ ه-</w:t>
      </w:r>
      <w:bookmarkEnd w:id="5930"/>
    </w:p>
    <w:p>
      <w:pPr>
        <w:pStyle w:val="BookText"/>
      </w:pPr>
      <w:r>
        <w:rPr>
          <w:rFonts w:ascii="Amiri" w:hAnsi="Amiri" w:eastAsia="Amiri" w:cs="Amiri"/>
          <w:lang w:bidi="ar-SA"/>
          <w:color w:val="111111"/>
          <w:sz w:val="28"/>
          <w:szCs w:val="28"/>
          <w:rtl/>
        </w:rPr>
        <w:t xml:space="preserve">ديوان العرجي، ج 7، ص 716.</w:t>
      </w:r>
    </w:p>
    <w:p>
      <w:pPr>
        <w:pStyle w:val="Heading2"/>
      </w:pPr>
      <w:bookmarkStart w:id="5931" w:name="_Toc5033"/>
      <w:r>
        <w:t>عرشي ، حسين بن احمد قرن 14 ه-</w:t>
      </w:r>
      <w:bookmarkEnd w:id="5931"/>
    </w:p>
    <w:p>
      <w:pPr>
        <w:pStyle w:val="BookText"/>
      </w:pPr>
      <w:r>
        <w:rPr>
          <w:rFonts w:ascii="Amiri" w:hAnsi="Amiri" w:eastAsia="Amiri" w:cs="Amiri"/>
          <w:lang w:bidi="ar-SA"/>
          <w:color w:val="111111"/>
          <w:sz w:val="28"/>
          <w:szCs w:val="28"/>
          <w:rtl/>
        </w:rPr>
        <w:t xml:space="preserve">بلوغ المرام في شرح مسك الختام فيمن تولي ملك اليمن من ملك و امام، ج3،</w:t>
      </w:r>
    </w:p>
    <w:p>
      <w:pPr>
        <w:pStyle w:val="BookText"/>
      </w:pPr>
      <w:r>
        <w:rPr>
          <w:rFonts w:ascii="IRNazanin" w:hAnsi="IRNazanin" w:eastAsia="IRNazanin" w:cs="IRNazanin"/>
          <w:lang w:bidi="fa-IR"/>
          <w:color w:val="111111"/>
          <w:sz w:val="28"/>
          <w:szCs w:val="28"/>
          <w:rtl/>
        </w:rPr>
        <w:t xml:space="preserve">ص 402 .</w:t>
      </w:r>
    </w:p>
    <w:p>
      <w:pPr>
        <w:pStyle w:val="Heading2"/>
      </w:pPr>
      <w:bookmarkStart w:id="5932" w:name="_Toc5034"/>
      <w:r>
        <w:t>عرشي هاشمي ، محمّد هاشم بن محمّد</w:t>
      </w:r>
      <w:bookmarkEnd w:id="5932"/>
    </w:p>
    <w:p>
      <w:pPr>
        <w:pStyle w:val="BookText"/>
      </w:pPr>
      <w:r>
        <w:rPr>
          <w:rFonts w:ascii="IRNazanin" w:hAnsi="IRNazanin" w:eastAsia="IRNazanin" w:cs="IRNazanin"/>
          <w:lang w:bidi="fa-IR"/>
          <w:color w:val="111111"/>
          <w:sz w:val="28"/>
          <w:szCs w:val="28"/>
          <w:rtl/>
        </w:rPr>
        <w:t xml:space="preserve">مؤمن، 1072 - 1100 ه-</w:t>
      </w:r>
    </w:p>
    <w:p>
      <w:pPr>
        <w:pStyle w:val="BookText"/>
      </w:pPr>
      <w:r>
        <w:rPr>
          <w:rFonts w:ascii="Amiri" w:hAnsi="Amiri" w:eastAsia="Amiri" w:cs="Amiri"/>
          <w:lang w:bidi="ar-SA"/>
          <w:color w:val="111111"/>
          <w:sz w:val="28"/>
          <w:szCs w:val="28"/>
          <w:rtl/>
        </w:rPr>
        <w:t xml:space="preserve">الالفية في الفقه، ج 2، ص 687.</w:t>
      </w:r>
    </w:p>
    <w:p>
      <w:pPr>
        <w:pStyle w:val="BookText"/>
      </w:pPr>
      <w:r>
        <w:rPr>
          <w:rFonts w:ascii="Amiri" w:hAnsi="Amiri" w:eastAsia="Amiri" w:cs="Amiri"/>
          <w:lang w:bidi="ar-SA"/>
          <w:color w:val="111111"/>
          <w:sz w:val="28"/>
          <w:szCs w:val="28"/>
          <w:rtl/>
        </w:rPr>
        <w:t xml:space="preserve">عرض زوزني ، محمّد بن عثمان -زوزني ، محمّد بن عثمان</w:t>
      </w:r>
    </w:p>
    <w:p>
      <w:pPr>
        <w:pStyle w:val="Heading2"/>
      </w:pPr>
      <w:bookmarkStart w:id="5933" w:name="_Toc5035"/>
      <w:r>
        <w:t>عرضي ، عبدالوهاب بن ابراهيم - 967</w:t>
      </w:r>
      <w:bookmarkEnd w:id="5933"/>
    </w:p>
    <w:p>
      <w:pPr>
        <w:pStyle w:val="BookText"/>
      </w:pPr>
      <w:r>
        <w:rPr>
          <w:rFonts w:ascii="Amiri" w:hAnsi="Amiri" w:eastAsia="Amiri" w:cs="Amiri"/>
          <w:lang w:bidi="ar-SA"/>
          <w:color w:val="111111"/>
          <w:sz w:val="28"/>
          <w:szCs w:val="28"/>
          <w:rtl/>
        </w:rPr>
        <w:t xml:space="preserve">مصباح المشكاة في عدم الحرج بالزكاة</w:t>
      </w:r>
    </w:p>
    <w:p>
      <w:pPr>
        <w:pStyle w:val="BookText"/>
      </w:pPr>
      <w:r>
        <w:rPr>
          <w:rFonts w:ascii="IRNazanin" w:hAnsi="IRNazanin" w:eastAsia="IRNazanin" w:cs="IRNazanin"/>
          <w:lang w:bidi="fa-IR"/>
          <w:color w:val="111111"/>
          <w:sz w:val="28"/>
          <w:szCs w:val="28"/>
          <w:rtl/>
        </w:rPr>
        <w:t xml:space="preserve">ج 14 ، ص 738.</w:t>
      </w:r>
    </w:p>
    <w:p>
      <w:pPr>
        <w:pStyle w:val="Heading2"/>
      </w:pPr>
      <w:bookmarkStart w:id="5934" w:name="_Toc5036"/>
      <w:r>
        <w:t>عرضي ، عمر بن عبدالوهاب 950 -</w:t>
      </w:r>
      <w:bookmarkEnd w:id="5934"/>
    </w:p>
    <w:p>
      <w:pPr>
        <w:pStyle w:val="BookText"/>
      </w:pPr>
      <w:r>
        <w:rPr>
          <w:rFonts w:ascii="IRNazanin" w:hAnsi="IRNazanin" w:eastAsia="IRNazanin" w:cs="IRNazanin"/>
          <w:lang w:bidi="fa-IR"/>
          <w:color w:val="111111"/>
          <w:sz w:val="28"/>
          <w:szCs w:val="28"/>
          <w:rtl/>
        </w:rPr>
        <w:t xml:space="preserve">1024ه-</w:t>
      </w:r>
    </w:p>
    <w:p>
      <w:pPr>
        <w:pStyle w:val="BookText"/>
      </w:pPr>
      <w:r>
        <w:rPr>
          <w:rFonts w:ascii="Amiri" w:hAnsi="Amiri" w:eastAsia="Amiri" w:cs="Amiri"/>
          <w:lang w:bidi="ar-SA"/>
          <w:color w:val="111111"/>
          <w:sz w:val="28"/>
          <w:szCs w:val="28"/>
          <w:rtl/>
        </w:rPr>
        <w:t xml:space="preserve">اجازة لعبد الكافي بن تقي الدين الشهير بابن البركات، ج 1، ص278.</w:t>
      </w:r>
    </w:p>
    <w:p>
      <w:pPr>
        <w:pStyle w:val="BookText"/>
      </w:pPr>
      <w:r>
        <w:rPr>
          <w:rFonts w:ascii="Amiri" w:hAnsi="Amiri" w:eastAsia="Amiri" w:cs="Amiri"/>
          <w:lang w:bidi="ar-SA"/>
          <w:color w:val="111111"/>
          <w:sz w:val="28"/>
          <w:szCs w:val="28"/>
          <w:rtl/>
        </w:rPr>
        <w:t xml:space="preserve">عرضي ، محمّد بن عمر- ابوالوفاء حلبي ،</w:t>
      </w:r>
    </w:p>
    <w:p>
      <w:pPr>
        <w:pStyle w:val="BookText"/>
      </w:pPr>
      <w:r>
        <w:rPr>
          <w:rFonts w:ascii="Amiri" w:hAnsi="Amiri" w:eastAsia="Amiri" w:cs="Amiri"/>
          <w:lang w:bidi="ar-SA"/>
          <w:color w:val="111111"/>
          <w:sz w:val="28"/>
          <w:szCs w:val="28"/>
          <w:rtl/>
        </w:rPr>
        <w:t xml:space="preserve">محمّد بن عمر</w:t>
      </w:r>
    </w:p>
    <w:p>
      <w:pPr>
        <w:pStyle w:val="BookText"/>
      </w:pPr>
      <w:r>
        <w:rPr>
          <w:rFonts w:ascii="IRNazanin" w:hAnsi="IRNazanin" w:eastAsia="IRNazanin" w:cs="IRNazanin"/>
          <w:lang w:bidi="fa-IR"/>
          <w:color w:val="111111"/>
          <w:sz w:val="28"/>
          <w:szCs w:val="28"/>
          <w:rtl/>
        </w:rPr>
        <w:t xml:space="preserve">عرفان ، مطیع بن محمود- عرفان يزدي ،</w:t>
      </w:r>
    </w:p>
    <w:p>
      <w:pPr>
        <w:pStyle w:val="BookText"/>
      </w:pPr>
      <w:r>
        <w:rPr>
          <w:rFonts w:ascii="IRNazanin" w:hAnsi="IRNazanin" w:eastAsia="IRNazanin" w:cs="IRNazanin"/>
          <w:lang w:bidi="fa-IR"/>
          <w:color w:val="111111"/>
          <w:sz w:val="28"/>
          <w:szCs w:val="28"/>
          <w:rtl/>
        </w:rPr>
        <w:t xml:space="preserve">مطیع بن محمود</w:t>
      </w:r>
    </w:p>
    <w:p>
      <w:pPr>
        <w:pStyle w:val="Heading2"/>
      </w:pPr>
      <w:bookmarkStart w:id="5935" w:name="_Toc5037"/>
      <w:r>
        <w:t>عرفان يزدي، مطيع بن محمود قرن 12</w:t>
      </w:r>
      <w:bookmarkEnd w:id="5935"/>
    </w:p>
    <w:p>
      <w:pPr>
        <w:pStyle w:val="BookText"/>
      </w:pPr>
      <w:r>
        <w:rPr>
          <w:rFonts w:ascii="Amiri" w:hAnsi="Amiri" w:eastAsia="Amiri" w:cs="Amiri"/>
          <w:lang w:bidi="ar-SA"/>
          <w:color w:val="111111"/>
          <w:sz w:val="28"/>
          <w:szCs w:val="28"/>
          <w:rtl/>
        </w:rPr>
        <w:t xml:space="preserve">شرح و ترجمة الصحيفة السجادية</w:t>
      </w:r>
    </w:p>
    <w:p>
      <w:pPr>
        <w:pStyle w:val="BookText"/>
      </w:pPr>
      <w:r>
        <w:rPr>
          <w:rFonts w:ascii="IRNazanin" w:hAnsi="IRNazanin" w:eastAsia="IRNazanin" w:cs="IRNazanin"/>
          <w:lang w:bidi="fa-IR"/>
          <w:color w:val="111111"/>
          <w:sz w:val="28"/>
          <w:szCs w:val="28"/>
          <w:rtl/>
        </w:rPr>
        <w:t xml:space="preserve">ج 10، ص322</w:t>
      </w:r>
    </w:p>
    <w:p>
      <w:pPr>
        <w:pStyle w:val="BookText"/>
      </w:pPr>
      <w:r>
        <w:rPr>
          <w:rFonts w:ascii="Amiri" w:hAnsi="Amiri" w:eastAsia="Amiri" w:cs="Amiri"/>
          <w:lang w:bidi="ar-SA"/>
          <w:color w:val="111111"/>
          <w:sz w:val="28"/>
          <w:szCs w:val="28"/>
          <w:rtl/>
        </w:rPr>
        <w:t xml:space="preserve">عرفة ارموي- ارموي ، عرفة بن محمّد</w:t>
      </w:r>
    </w:p>
    <w:p>
      <w:pPr>
        <w:pStyle w:val="BookText"/>
      </w:pPr>
      <w:r>
        <w:rPr>
          <w:rFonts w:ascii="Amiri" w:hAnsi="Amiri" w:eastAsia="Amiri" w:cs="Amiri"/>
          <w:lang w:bidi="ar-SA"/>
          <w:color w:val="111111"/>
          <w:sz w:val="28"/>
          <w:szCs w:val="28"/>
          <w:rtl/>
        </w:rPr>
        <w:t xml:space="preserve">عرفي شيرازي ، جمال الدين محمّد- عرفي</w:t>
      </w:r>
    </w:p>
    <w:p>
      <w:pPr>
        <w:pStyle w:val="BookText"/>
      </w:pPr>
      <w:r>
        <w:rPr>
          <w:rFonts w:ascii="Amiri" w:hAnsi="Amiri" w:eastAsia="Amiri" w:cs="Amiri"/>
          <w:lang w:bidi="ar-SA"/>
          <w:color w:val="111111"/>
          <w:sz w:val="28"/>
          <w:szCs w:val="28"/>
          <w:rtl/>
        </w:rPr>
        <w:t xml:space="preserve">شيرازي ، محمّد بن علي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73" w:name="pg7742_70791"/>
    <w:bookmarkEnd w:id="773"/>
    <w:p>
      <w:pPr>
        <w:pStyle w:val="Heading2"/>
      </w:pPr>
      <w:bookmarkStart w:id="5936" w:name="_Toc5038"/>
      <w:r>
        <w:t>عرفي شيرازي ، محمّد بن علي 963 -</w:t>
      </w:r>
      <w:bookmarkEnd w:id="5936"/>
    </w:p>
    <w:p>
      <w:pPr>
        <w:pStyle w:val="BookText"/>
      </w:pPr>
      <w:r>
        <w:rPr>
          <w:rFonts w:ascii="IRNazanin" w:hAnsi="IRNazanin" w:eastAsia="IRNazanin" w:cs="IRNazanin"/>
          <w:lang w:bidi="fa-IR"/>
          <w:color w:val="111111"/>
          <w:sz w:val="28"/>
          <w:szCs w:val="28"/>
          <w:rtl/>
        </w:rPr>
        <w:t xml:space="preserve">999 ه-</w:t>
      </w:r>
    </w:p>
    <w:p>
      <w:pPr>
        <w:pStyle w:val="BookText"/>
      </w:pPr>
      <w:r>
        <w:rPr>
          <w:rFonts w:ascii="IRNazanin" w:hAnsi="IRNazanin" w:eastAsia="IRNazanin" w:cs="IRNazanin"/>
          <w:lang w:bidi="fa-IR"/>
          <w:color w:val="111111"/>
          <w:sz w:val="28"/>
          <w:szCs w:val="28"/>
          <w:rtl/>
        </w:rPr>
        <w:t xml:space="preserve">1 .خسرو و شيرين - فرهاد و شیرین</w:t>
      </w:r>
    </w:p>
    <w:p>
      <w:pPr>
        <w:pStyle w:val="BookText"/>
      </w:pPr>
      <w:r>
        <w:rPr>
          <w:rFonts w:ascii="IRNazanin" w:hAnsi="IRNazanin" w:eastAsia="IRNazanin" w:cs="IRNazanin"/>
          <w:lang w:bidi="fa-IR"/>
          <w:color w:val="111111"/>
          <w:sz w:val="28"/>
          <w:szCs w:val="28"/>
          <w:rtl/>
        </w:rPr>
        <w:t xml:space="preserve">ج 7، ص28.</w:t>
      </w:r>
    </w:p>
    <w:p>
      <w:pPr>
        <w:pStyle w:val="BookText"/>
      </w:pPr>
      <w:r>
        <w:rPr>
          <w:rFonts w:ascii="Amiri" w:hAnsi="Amiri" w:eastAsia="Amiri" w:cs="Amiri"/>
          <w:lang w:bidi="ar-SA"/>
          <w:color w:val="111111"/>
          <w:sz w:val="28"/>
          <w:szCs w:val="28"/>
          <w:rtl/>
        </w:rPr>
        <w:t xml:space="preserve">2 .ديوان عرفي شيرازي، ج 7، ص717.</w:t>
      </w:r>
    </w:p>
    <w:p>
      <w:pPr>
        <w:pStyle w:val="Heading2"/>
      </w:pPr>
      <w:bookmarkStart w:id="5937" w:name="_Toc5039"/>
      <w:r>
        <w:t>عرفي ، علي بن عبدالله - 1305 ه-</w:t>
      </w:r>
      <w:bookmarkEnd w:id="5937"/>
    </w:p>
    <w:p>
      <w:pPr>
        <w:pStyle w:val="BookText"/>
      </w:pPr>
      <w:r>
        <w:rPr>
          <w:rFonts w:ascii="IRNazanin" w:hAnsi="IRNazanin" w:eastAsia="IRNazanin" w:cs="IRNazanin"/>
          <w:lang w:bidi="fa-IR"/>
          <w:color w:val="111111"/>
          <w:sz w:val="28"/>
          <w:szCs w:val="28"/>
          <w:rtl/>
        </w:rPr>
        <w:t xml:space="preserve">دیوان عرفي، ج 7، ص717.</w:t>
      </w:r>
    </w:p>
    <w:p>
      <w:pPr>
        <w:pStyle w:val="BookText"/>
      </w:pPr>
      <w:r>
        <w:rPr>
          <w:rFonts w:ascii="IRNazanin" w:hAnsi="IRNazanin" w:eastAsia="IRNazanin" w:cs="IRNazanin"/>
          <w:lang w:bidi="fa-IR"/>
          <w:color w:val="111111"/>
          <w:sz w:val="28"/>
          <w:szCs w:val="28"/>
          <w:rtl/>
        </w:rPr>
        <w:t xml:space="preserve">عرفي ، محمّد بن خواجه زین الدین</w:t>
      </w:r>
    </w:p>
    <w:p>
      <w:pPr>
        <w:pStyle w:val="BookText"/>
      </w:pPr>
      <w:r>
        <w:rPr>
          <w:rFonts w:ascii="Amiri" w:hAnsi="Amiri" w:eastAsia="Amiri" w:cs="Amiri"/>
          <w:lang w:bidi="ar-SA"/>
          <w:color w:val="111111"/>
          <w:sz w:val="28"/>
          <w:szCs w:val="28"/>
          <w:rtl/>
        </w:rPr>
        <w:t xml:space="preserve">علي -عرفي شيرازي ، محمّد بن علي</w:t>
      </w:r>
    </w:p>
    <w:p>
      <w:pPr>
        <w:pStyle w:val="Heading2"/>
      </w:pPr>
      <w:bookmarkStart w:id="5938" w:name="_Toc5040"/>
      <w:r>
        <w:t>عرنب ، علي</w:t>
      </w:r>
      <w:bookmarkEnd w:id="5938"/>
    </w:p>
    <w:p>
      <w:pPr>
        <w:pStyle w:val="BookText"/>
      </w:pPr>
      <w:r>
        <w:rPr>
          <w:rFonts w:ascii="Amiri" w:hAnsi="Amiri" w:eastAsia="Amiri" w:cs="Amiri"/>
          <w:lang w:bidi="ar-SA"/>
          <w:color w:val="111111"/>
          <w:sz w:val="28"/>
          <w:szCs w:val="28"/>
          <w:rtl/>
        </w:rPr>
        <w:t xml:space="preserve">شرح الرسالة الرسلانية، ج 9، ص 533.</w:t>
      </w:r>
    </w:p>
    <w:p>
      <w:pPr>
        <w:pStyle w:val="BookText"/>
      </w:pPr>
      <w:r>
        <w:rPr>
          <w:rFonts w:ascii="Amiri" w:hAnsi="Amiri" w:eastAsia="Amiri" w:cs="Amiri"/>
          <w:lang w:bidi="ar-SA"/>
          <w:color w:val="111111"/>
          <w:sz w:val="28"/>
          <w:szCs w:val="28"/>
          <w:rtl/>
        </w:rPr>
        <w:t xml:space="preserve">عروسي حويزي ، عبد علي بن جمعه -حويزي ، عبد علي بن جمعه</w:t>
      </w:r>
    </w:p>
    <w:p>
      <w:pPr>
        <w:pStyle w:val="BookText"/>
      </w:pPr>
      <w:r>
        <w:rPr>
          <w:rFonts w:ascii="Amiri" w:hAnsi="Amiri" w:eastAsia="Amiri" w:cs="Amiri"/>
          <w:lang w:bidi="ar-SA"/>
          <w:color w:val="111111"/>
          <w:sz w:val="28"/>
          <w:szCs w:val="28"/>
          <w:rtl/>
        </w:rPr>
        <w:t xml:space="preserve">عروضي سمرقندي ، احمد بن</w:t>
      </w:r>
    </w:p>
    <w:p>
      <w:pPr>
        <w:pStyle w:val="BookText"/>
      </w:pPr>
      <w:r>
        <w:rPr>
          <w:rFonts w:ascii="Amiri" w:hAnsi="Amiri" w:eastAsia="Amiri" w:cs="Amiri"/>
          <w:lang w:bidi="ar-SA"/>
          <w:color w:val="111111"/>
          <w:sz w:val="28"/>
          <w:szCs w:val="28"/>
          <w:rtl/>
        </w:rPr>
        <w:t xml:space="preserve">عمر -نظامي ، احمد بن عمر</w:t>
      </w:r>
    </w:p>
    <w:p>
      <w:pPr>
        <w:pStyle w:val="Heading2"/>
      </w:pPr>
      <w:bookmarkStart w:id="5939" w:name="_Toc5041"/>
      <w:r>
        <w:t>عروضي ، عبدالله بن محمّد</w:t>
      </w:r>
      <w:bookmarkEnd w:id="5939"/>
    </w:p>
    <w:p>
      <w:pPr>
        <w:pStyle w:val="BookText"/>
      </w:pPr>
      <w:r>
        <w:rPr>
          <w:rFonts w:ascii="Amiri" w:hAnsi="Amiri" w:eastAsia="Amiri" w:cs="Amiri"/>
          <w:lang w:bidi="ar-SA"/>
          <w:color w:val="111111"/>
          <w:sz w:val="28"/>
          <w:szCs w:val="28"/>
          <w:rtl/>
        </w:rPr>
        <w:t xml:space="preserve">القصيدة الرشيقة، ج 12، ص 677.</w:t>
      </w:r>
    </w:p>
    <w:p>
      <w:pPr>
        <w:pStyle w:val="Heading2"/>
      </w:pPr>
      <w:bookmarkStart w:id="5940" w:name="_Toc5042"/>
      <w:r>
        <w:t>عرياني ، عثمان بن عبدالله - 1168 ه-</w:t>
      </w:r>
      <w:bookmarkEnd w:id="5940"/>
    </w:p>
    <w:p>
      <w:pPr>
        <w:pStyle w:val="BookText"/>
      </w:pPr>
      <w:r>
        <w:rPr>
          <w:rFonts w:ascii="Amiri" w:hAnsi="Amiri" w:eastAsia="Amiri" w:cs="Amiri"/>
          <w:lang w:bidi="ar-SA"/>
          <w:color w:val="111111"/>
          <w:sz w:val="28"/>
          <w:szCs w:val="28"/>
          <w:rtl/>
        </w:rPr>
        <w:t xml:space="preserve">خير القلائد شرح جواهر العقائد شرح القصيدة النونية في العقائد، ج7،</w:t>
      </w:r>
    </w:p>
    <w:p>
      <w:pPr>
        <w:pStyle w:val="BookText"/>
      </w:pPr>
      <w:r>
        <w:rPr>
          <w:rFonts w:ascii="IRNazanin" w:hAnsi="IRNazanin" w:eastAsia="IRNazanin" w:cs="IRNazanin"/>
          <w:lang w:bidi="fa-IR"/>
          <w:color w:val="111111"/>
          <w:sz w:val="28"/>
          <w:szCs w:val="28"/>
          <w:rtl/>
        </w:rPr>
        <w:t xml:space="preserve">ص 195.</w:t>
      </w:r>
    </w:p>
    <w:p>
      <w:pPr>
        <w:pStyle w:val="BookText"/>
      </w:pPr>
      <w:r>
        <w:rPr>
          <w:rFonts w:ascii="Amiri" w:hAnsi="Amiri" w:eastAsia="Amiri" w:cs="Amiri"/>
          <w:lang w:bidi="ar-SA"/>
          <w:color w:val="111111"/>
          <w:sz w:val="28"/>
          <w:szCs w:val="28"/>
          <w:rtl/>
        </w:rPr>
        <w:t xml:space="preserve">عريضي ، ابوالحسن- عريضي ، علي بن</w:t>
      </w:r>
    </w:p>
    <w:p>
      <w:pPr>
        <w:pStyle w:val="BookText"/>
      </w:pPr>
      <w:r>
        <w:rPr>
          <w:rFonts w:ascii="IRNazanin" w:hAnsi="IRNazanin" w:eastAsia="IRNazanin" w:cs="IRNazanin"/>
          <w:lang w:bidi="fa-IR"/>
          <w:color w:val="111111"/>
          <w:sz w:val="28"/>
          <w:szCs w:val="28"/>
          <w:rtl/>
        </w:rPr>
        <w:t xml:space="preserve">جعفر</w:t>
      </w:r>
    </w:p>
    <w:p>
      <w:pPr>
        <w:pStyle w:val="BookText"/>
      </w:pPr>
      <w:r>
        <w:rPr>
          <w:rFonts w:ascii="Amiri" w:hAnsi="Amiri" w:eastAsia="Amiri" w:cs="Amiri"/>
          <w:lang w:bidi="ar-SA"/>
          <w:color w:val="111111"/>
          <w:sz w:val="28"/>
          <w:szCs w:val="28"/>
          <w:rtl/>
        </w:rPr>
        <w:t xml:space="preserve">عريضي بشروي ، حسن بن محمّد باقر -بشروي خراساني ، حسن بن محمّد باقر</w:t>
      </w:r>
    </w:p>
    <w:p>
      <w:pPr>
        <w:pStyle w:val="Heading2"/>
      </w:pPr>
      <w:bookmarkStart w:id="5941" w:name="_Toc5043"/>
      <w:r>
        <w:t>عريضي ، علي بن جعفر 135؟ - 220؟</w:t>
      </w:r>
      <w:bookmarkEnd w:id="5941"/>
    </w:p>
    <w:p>
      <w:pPr>
        <w:pStyle w:val="BookText"/>
      </w:pPr>
      <w:r>
        <w:rPr>
          <w:rFonts w:ascii="Amiri" w:hAnsi="Amiri" w:eastAsia="Amiri" w:cs="Amiri"/>
          <w:lang w:bidi="ar-SA"/>
          <w:color w:val="111111"/>
          <w:sz w:val="28"/>
          <w:szCs w:val="28"/>
          <w:rtl/>
        </w:rPr>
        <w:t xml:space="preserve">1 .كتاب علي بن جعفر إلى أخيه</w:t>
      </w:r>
    </w:p>
    <w:p>
      <w:pPr>
        <w:pStyle w:val="BookText"/>
      </w:pPr>
      <w:r>
        <w:rPr>
          <w:rFonts w:ascii="IRNazanin" w:hAnsi="IRNazanin" w:eastAsia="IRNazanin" w:cs="IRNazanin"/>
          <w:lang w:bidi="fa-IR"/>
          <w:color w:val="111111"/>
          <w:sz w:val="28"/>
          <w:szCs w:val="28"/>
          <w:rtl/>
        </w:rPr>
        <w:t xml:space="preserve">ج 13، ص 110.</w:t>
      </w:r>
    </w:p>
    <w:p>
      <w:pPr>
        <w:pStyle w:val="BookText"/>
      </w:pPr>
      <w:r>
        <w:rPr>
          <w:rFonts w:ascii="Amiri" w:hAnsi="Amiri" w:eastAsia="Amiri" w:cs="Amiri"/>
          <w:lang w:bidi="ar-SA"/>
          <w:color w:val="111111"/>
          <w:sz w:val="28"/>
          <w:szCs w:val="28"/>
          <w:rtl/>
        </w:rPr>
        <w:t xml:space="preserve">2 .مسائل علي بن جعفر = كتاب</w:t>
      </w:r>
    </w:p>
    <w:p>
      <w:pPr>
        <w:pStyle w:val="BookText"/>
      </w:pPr>
      <w:r>
        <w:rPr>
          <w:rFonts w:ascii="IRNazanin" w:hAnsi="IRNazanin" w:eastAsia="IRNazanin" w:cs="IRNazanin"/>
          <w:lang w:bidi="fa-IR"/>
          <w:color w:val="111111"/>
          <w:sz w:val="28"/>
          <w:szCs w:val="28"/>
          <w:rtl/>
        </w:rPr>
        <w:t xml:space="preserve">المسائل، ج 14، ص 459.</w:t>
      </w:r>
    </w:p>
    <w:p>
      <w:pPr>
        <w:pStyle w:val="BookText"/>
      </w:pPr>
      <w:r>
        <w:rPr>
          <w:rFonts w:ascii="Amiri" w:hAnsi="Amiri" w:eastAsia="Amiri" w:cs="Amiri"/>
          <w:lang w:bidi="ar-SA"/>
          <w:color w:val="111111"/>
          <w:sz w:val="28"/>
          <w:szCs w:val="28"/>
          <w:rtl/>
        </w:rPr>
        <w:t xml:space="preserve">عريضي ، محمّد مهدي بن ابراهيم -علوي</w:t>
      </w:r>
    </w:p>
    <w:p>
      <w:pPr>
        <w:pStyle w:val="BookText"/>
      </w:pPr>
      <w:r>
        <w:rPr>
          <w:rFonts w:ascii="Amiri" w:hAnsi="Amiri" w:eastAsia="Amiri" w:cs="Amiri"/>
          <w:lang w:bidi="ar-SA"/>
          <w:color w:val="111111"/>
          <w:sz w:val="28"/>
          <w:szCs w:val="28"/>
          <w:rtl/>
        </w:rPr>
        <w:t xml:space="preserve">سبزواري، محمّد مهدي بن ابراهيم</w:t>
      </w:r>
    </w:p>
    <w:p>
      <w:pPr>
        <w:pStyle w:val="BookText"/>
      </w:pPr>
      <w:r>
        <w:rPr>
          <w:rFonts w:ascii="Amiri" w:hAnsi="Amiri" w:eastAsia="Amiri" w:cs="Amiri"/>
          <w:lang w:bidi="ar-SA"/>
          <w:color w:val="111111"/>
          <w:sz w:val="28"/>
          <w:szCs w:val="28"/>
          <w:rtl/>
        </w:rPr>
        <w:t xml:space="preserve">عريضي ، معمر بن عمر- عارضي ، معمر</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عزالدين آبي ، حسن بن ابي طالب- آبي ،</w:t>
      </w:r>
    </w:p>
    <w:p>
      <w:pPr>
        <w:pStyle w:val="BookText"/>
      </w:pPr>
      <w:r>
        <w:rPr>
          <w:rFonts w:ascii="Amiri" w:hAnsi="Amiri" w:eastAsia="Amiri" w:cs="Amiri"/>
          <w:lang w:bidi="ar-SA"/>
          <w:color w:val="111111"/>
          <w:sz w:val="28"/>
          <w:szCs w:val="28"/>
          <w:rtl/>
        </w:rPr>
        <w:t xml:space="preserve">حسن بن ابي طالب</w:t>
      </w:r>
    </w:p>
    <w:p>
      <w:pPr>
        <w:pStyle w:val="BookText"/>
      </w:pPr>
      <w:r>
        <w:rPr>
          <w:rFonts w:ascii="IRNazanin" w:hAnsi="IRNazanin" w:eastAsia="IRNazanin" w:cs="IRNazanin"/>
          <w:lang w:bidi="fa-IR"/>
          <w:color w:val="111111"/>
          <w:sz w:val="28"/>
          <w:szCs w:val="28"/>
          <w:rtl/>
        </w:rPr>
        <w:t xml:space="preserve">عزالدین بن جعفر آملي- آملي ، عزالدين</w:t>
      </w:r>
    </w:p>
    <w:p>
      <w:pPr>
        <w:pStyle w:val="BookText"/>
      </w:pPr>
      <w:r>
        <w:rPr>
          <w:rFonts w:ascii="IRNazanin" w:hAnsi="IRNazanin" w:eastAsia="IRNazanin" w:cs="IRNazanin"/>
          <w:lang w:bidi="fa-IR"/>
          <w:color w:val="111111"/>
          <w:sz w:val="28"/>
          <w:szCs w:val="28"/>
          <w:rtl/>
        </w:rPr>
        <w:t xml:space="preserve">بن جعفر</w:t>
      </w:r>
    </w:p>
    <w:p>
      <w:pPr>
        <w:pStyle w:val="BookText"/>
      </w:pPr>
      <w:r>
        <w:rPr>
          <w:rFonts w:ascii="Amiri" w:hAnsi="Amiri" w:eastAsia="Amiri" w:cs="Amiri"/>
          <w:lang w:bidi="ar-SA"/>
          <w:color w:val="111111"/>
          <w:sz w:val="28"/>
          <w:szCs w:val="28"/>
          <w:rtl/>
        </w:rPr>
        <w:t xml:space="preserve">عزالدين بن عبد السلام بن احمد مقدسي- ابن غانم ، عبدالسلام بن احمد</w:t>
      </w:r>
    </w:p>
    <w:p>
      <w:pPr>
        <w:pStyle w:val="BookText"/>
      </w:pPr>
      <w:r>
        <w:rPr>
          <w:rFonts w:ascii="IRNazanin" w:hAnsi="IRNazanin" w:eastAsia="IRNazanin" w:cs="IRNazanin"/>
          <w:lang w:bidi="fa-IR"/>
          <w:color w:val="111111"/>
          <w:sz w:val="28"/>
          <w:szCs w:val="28"/>
          <w:rtl/>
        </w:rPr>
        <w:t xml:space="preserve">عز الدين بن محمّد بن عزالدين ابي صلاح- ابن عزالدين ، عزالدین بن محمّد</w:t>
      </w:r>
    </w:p>
    <w:p>
      <w:pPr>
        <w:pStyle w:val="BookText"/>
      </w:pPr>
      <w:r>
        <w:rPr>
          <w:rFonts w:ascii="Amiri" w:hAnsi="Amiri" w:eastAsia="Amiri" w:cs="Amiri"/>
          <w:lang w:bidi="ar-SA"/>
          <w:color w:val="111111"/>
          <w:sz w:val="28"/>
          <w:szCs w:val="28"/>
          <w:rtl/>
        </w:rPr>
        <w:t xml:space="preserve">عزالدين بن محمّد كمال الدين</w:t>
      </w:r>
    </w:p>
    <w:p>
      <w:pPr>
        <w:pStyle w:val="BookText"/>
      </w:pPr>
      <w:r>
        <w:rPr>
          <w:rFonts w:ascii="Amiri" w:hAnsi="Amiri" w:eastAsia="Amiri" w:cs="Amiri"/>
          <w:lang w:bidi="ar-SA"/>
          <w:color w:val="111111"/>
          <w:sz w:val="28"/>
          <w:szCs w:val="28"/>
          <w:rtl/>
        </w:rPr>
        <w:t xml:space="preserve">حلبي -ابن مغربل ، عزالدين بن كمال الدين</w:t>
      </w:r>
    </w:p>
    <w:p>
      <w:pPr>
        <w:pStyle w:val="BookText"/>
      </w:pPr>
      <w:r>
        <w:rPr>
          <w:rFonts w:ascii="IRNazanin" w:hAnsi="IRNazanin" w:eastAsia="IRNazanin" w:cs="IRNazanin"/>
          <w:lang w:bidi="fa-IR"/>
          <w:color w:val="111111"/>
          <w:sz w:val="28"/>
          <w:szCs w:val="28"/>
          <w:rtl/>
        </w:rPr>
        <w:t xml:space="preserve">عزالدین حسن بن سليمان حلي- حلي</w:t>
      </w:r>
    </w:p>
    <w:p>
      <w:pPr>
        <w:pStyle w:val="BookText"/>
      </w:pPr>
      <w:r>
        <w:rPr>
          <w:rFonts w:ascii="Amiri" w:hAnsi="Amiri" w:eastAsia="Amiri" w:cs="Amiri"/>
          <w:lang w:bidi="ar-SA"/>
          <w:color w:val="111111"/>
          <w:sz w:val="28"/>
          <w:szCs w:val="28"/>
          <w:rtl/>
        </w:rPr>
        <w:t xml:space="preserve">حسن بن سليمان</w:t>
      </w:r>
    </w:p>
    <w:p>
      <w:pPr>
        <w:pStyle w:val="BookText"/>
      </w:pPr>
      <w:r>
        <w:rPr>
          <w:rFonts w:ascii="Amiri" w:hAnsi="Amiri" w:eastAsia="Amiri" w:cs="Amiri"/>
          <w:lang w:bidi="ar-SA"/>
          <w:color w:val="111111"/>
          <w:sz w:val="28"/>
          <w:szCs w:val="28"/>
          <w:rtl/>
        </w:rPr>
        <w:t xml:space="preserve">عزالدين حموي، محمّد بن ابي بكر- ابن</w:t>
      </w:r>
    </w:p>
    <w:p>
      <w:pPr>
        <w:pStyle w:val="BookText"/>
      </w:pPr>
      <w:r>
        <w:rPr>
          <w:rFonts w:ascii="Amiri" w:hAnsi="Amiri" w:eastAsia="Amiri" w:cs="Amiri"/>
          <w:lang w:bidi="ar-SA"/>
          <w:color w:val="111111"/>
          <w:sz w:val="28"/>
          <w:szCs w:val="28"/>
          <w:rtl/>
        </w:rPr>
        <w:t xml:space="preserve">جماعه ، محمّد بن ابي بكر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74" w:name="pg7742_70793"/>
    <w:bookmarkEnd w:id="774"/>
    <w:p>
      <w:pPr>
        <w:pStyle w:val="BookText"/>
      </w:pPr>
      <w:r>
        <w:rPr>
          <w:rFonts w:ascii="IRNazanin" w:hAnsi="IRNazanin" w:eastAsia="IRNazanin" w:cs="IRNazanin"/>
          <w:lang w:bidi="fa-IR"/>
          <w:color w:val="111111"/>
          <w:sz w:val="28"/>
          <w:szCs w:val="28"/>
          <w:rtl/>
        </w:rPr>
        <w:t xml:space="preserve">عزالدین زنجاني ، ابراهيم بن</w:t>
      </w:r>
    </w:p>
    <w:p>
      <w:pPr>
        <w:pStyle w:val="BookText"/>
      </w:pPr>
      <w:r>
        <w:rPr>
          <w:rFonts w:ascii="Amiri" w:hAnsi="Amiri" w:eastAsia="Amiri" w:cs="Amiri"/>
          <w:lang w:bidi="ar-SA"/>
          <w:color w:val="111111"/>
          <w:sz w:val="28"/>
          <w:szCs w:val="28"/>
          <w:rtl/>
        </w:rPr>
        <w:t xml:space="preserve">عبد الوهاب -زنجاني ، عبدالوهاب بن ابراهيم</w:t>
      </w:r>
    </w:p>
    <w:p>
      <w:pPr>
        <w:pStyle w:val="BookText"/>
      </w:pPr>
      <w:r>
        <w:rPr>
          <w:rFonts w:ascii="Amiri" w:hAnsi="Amiri" w:eastAsia="Amiri" w:cs="Amiri"/>
          <w:lang w:bidi="ar-SA"/>
          <w:color w:val="111111"/>
          <w:sz w:val="28"/>
          <w:szCs w:val="28"/>
          <w:rtl/>
        </w:rPr>
        <w:t xml:space="preserve">عزالدين سويدي ، ابراهيم بن</w:t>
      </w:r>
    </w:p>
    <w:p>
      <w:pPr>
        <w:pStyle w:val="BookText"/>
      </w:pPr>
      <w:r>
        <w:rPr>
          <w:rFonts w:ascii="Amiri" w:hAnsi="Amiri" w:eastAsia="Amiri" w:cs="Amiri"/>
          <w:lang w:bidi="ar-SA"/>
          <w:color w:val="111111"/>
          <w:sz w:val="28"/>
          <w:szCs w:val="28"/>
          <w:rtl/>
        </w:rPr>
        <w:t xml:space="preserve">محمّد- سويدي ، ابراهيم بن محمّد</w:t>
      </w:r>
    </w:p>
    <w:p>
      <w:pPr>
        <w:pStyle w:val="BookText"/>
      </w:pPr>
      <w:r>
        <w:rPr>
          <w:rFonts w:ascii="Amiri" w:hAnsi="Amiri" w:eastAsia="Amiri" w:cs="Amiri"/>
          <w:lang w:bidi="ar-SA"/>
          <w:color w:val="111111"/>
          <w:sz w:val="28"/>
          <w:szCs w:val="28"/>
          <w:rtl/>
        </w:rPr>
        <w:t xml:space="preserve">عز الدين عاملي ، حسين بن</w:t>
      </w:r>
    </w:p>
    <w:p>
      <w:pPr>
        <w:pStyle w:val="BookText"/>
      </w:pPr>
      <w:r>
        <w:rPr>
          <w:rFonts w:ascii="Amiri" w:hAnsi="Amiri" w:eastAsia="Amiri" w:cs="Amiri"/>
          <w:lang w:bidi="ar-SA"/>
          <w:color w:val="111111"/>
          <w:sz w:val="28"/>
          <w:szCs w:val="28"/>
          <w:rtl/>
        </w:rPr>
        <w:t xml:space="preserve">عبد الصمد- عاملي ، حسين بن عبدالصمد</w:t>
      </w:r>
    </w:p>
    <w:p>
      <w:pPr>
        <w:pStyle w:val="BookText"/>
      </w:pPr>
      <w:r>
        <w:rPr>
          <w:rFonts w:ascii="Amiri" w:hAnsi="Amiri" w:eastAsia="Amiri" w:cs="Amiri"/>
          <w:lang w:bidi="ar-SA"/>
          <w:color w:val="111111"/>
          <w:sz w:val="28"/>
          <w:szCs w:val="28"/>
          <w:rtl/>
        </w:rPr>
        <w:t xml:space="preserve">عز الدين ، عبدالعزيز بن عبد السلام -ابن</w:t>
      </w:r>
    </w:p>
    <w:p>
      <w:pPr>
        <w:pStyle w:val="BookText"/>
      </w:pPr>
      <w:r>
        <w:rPr>
          <w:rFonts w:ascii="Amiri" w:hAnsi="Amiri" w:eastAsia="Amiri" w:cs="Amiri"/>
          <w:lang w:bidi="ar-SA"/>
          <w:color w:val="111111"/>
          <w:sz w:val="28"/>
          <w:szCs w:val="28"/>
          <w:rtl/>
        </w:rPr>
        <w:t xml:space="preserve">عبد السلام ، عبدالعزيز بن عبدالسلام</w:t>
      </w:r>
    </w:p>
    <w:p>
      <w:pPr>
        <w:pStyle w:val="BookText"/>
      </w:pPr>
      <w:r>
        <w:rPr>
          <w:rFonts w:ascii="Amiri" w:hAnsi="Amiri" w:eastAsia="Amiri" w:cs="Amiri"/>
          <w:lang w:bidi="ar-SA"/>
          <w:color w:val="111111"/>
          <w:sz w:val="28"/>
          <w:szCs w:val="28"/>
          <w:rtl/>
        </w:rPr>
        <w:t xml:space="preserve">عز الدين قراباغي ، محمّد بن علي- قره</w:t>
      </w:r>
    </w:p>
    <w:p>
      <w:pPr>
        <w:pStyle w:val="BookText"/>
      </w:pPr>
      <w:r>
        <w:rPr>
          <w:rFonts w:ascii="Amiri" w:hAnsi="Amiri" w:eastAsia="Amiri" w:cs="Amiri"/>
          <w:lang w:bidi="ar-SA"/>
          <w:color w:val="111111"/>
          <w:sz w:val="28"/>
          <w:szCs w:val="28"/>
          <w:rtl/>
        </w:rPr>
        <w:t xml:space="preserve">باغي ، محمّد بن علي</w:t>
      </w:r>
    </w:p>
    <w:p>
      <w:pPr>
        <w:pStyle w:val="BookText"/>
      </w:pPr>
      <w:r>
        <w:rPr>
          <w:rFonts w:ascii="IRNazanin" w:hAnsi="IRNazanin" w:eastAsia="IRNazanin" w:cs="IRNazanin"/>
          <w:lang w:bidi="fa-IR"/>
          <w:color w:val="111111"/>
          <w:sz w:val="28"/>
          <w:szCs w:val="28"/>
          <w:rtl/>
        </w:rPr>
        <w:t xml:space="preserve">عز الدين کاشاني، محمود بن علي -نطنزي</w:t>
      </w:r>
    </w:p>
    <w:p>
      <w:pPr>
        <w:pStyle w:val="BookText"/>
      </w:pPr>
      <w:r>
        <w:rPr>
          <w:rFonts w:ascii="Amiri" w:hAnsi="Amiri" w:eastAsia="Amiri" w:cs="Amiri"/>
          <w:lang w:bidi="ar-SA"/>
          <w:color w:val="111111"/>
          <w:sz w:val="28"/>
          <w:szCs w:val="28"/>
          <w:rtl/>
        </w:rPr>
        <w:t xml:space="preserve">، محمود بن علي</w:t>
      </w:r>
    </w:p>
    <w:p>
      <w:pPr>
        <w:pStyle w:val="BookText"/>
      </w:pPr>
      <w:r>
        <w:rPr>
          <w:rFonts w:ascii="Amiri" w:hAnsi="Amiri" w:eastAsia="Amiri" w:cs="Amiri"/>
          <w:lang w:bidi="ar-SA"/>
          <w:color w:val="111111"/>
          <w:sz w:val="28"/>
          <w:szCs w:val="28"/>
          <w:rtl/>
        </w:rPr>
        <w:t xml:space="preserve">عز الدين كنعاني ، عبدالعزيز بن</w:t>
      </w:r>
    </w:p>
    <w:p>
      <w:pPr>
        <w:pStyle w:val="BookText"/>
      </w:pPr>
      <w:r>
        <w:rPr>
          <w:rFonts w:ascii="Amiri" w:hAnsi="Amiri" w:eastAsia="Amiri" w:cs="Amiri"/>
          <w:lang w:bidi="ar-SA"/>
          <w:color w:val="111111"/>
          <w:sz w:val="28"/>
          <w:szCs w:val="28"/>
          <w:rtl/>
        </w:rPr>
        <w:t xml:space="preserve">محمّد -ابن جماعه ، عبدالعزيز بن محمّد</w:t>
      </w:r>
    </w:p>
    <w:p>
      <w:pPr>
        <w:pStyle w:val="BookText"/>
      </w:pPr>
      <w:r>
        <w:rPr>
          <w:rFonts w:ascii="Amiri" w:hAnsi="Amiri" w:eastAsia="Amiri" w:cs="Amiri"/>
          <w:lang w:bidi="ar-SA"/>
          <w:color w:val="111111"/>
          <w:sz w:val="28"/>
          <w:szCs w:val="28"/>
          <w:rtl/>
        </w:rPr>
        <w:t xml:space="preserve">عزالدين نطنزي ، محمود بن علي- نطنزي</w:t>
      </w:r>
    </w:p>
    <w:p>
      <w:pPr>
        <w:pStyle w:val="BookText"/>
      </w:pPr>
      <w:r>
        <w:rPr>
          <w:rFonts w:ascii="Amiri" w:hAnsi="Amiri" w:eastAsia="Amiri" w:cs="Amiri"/>
          <w:lang w:bidi="ar-SA"/>
          <w:color w:val="111111"/>
          <w:sz w:val="28"/>
          <w:szCs w:val="28"/>
          <w:rtl/>
        </w:rPr>
        <w:t xml:space="preserve">، محمود بن علي</w:t>
      </w:r>
    </w:p>
    <w:p>
      <w:pPr>
        <w:pStyle w:val="BookText"/>
      </w:pPr>
      <w:r>
        <w:rPr>
          <w:rFonts w:ascii="Amiri" w:hAnsi="Amiri" w:eastAsia="Amiri" w:cs="Amiri"/>
          <w:lang w:bidi="ar-SA"/>
          <w:color w:val="111111"/>
          <w:sz w:val="28"/>
          <w:szCs w:val="28"/>
          <w:rtl/>
        </w:rPr>
        <w:t xml:space="preserve">عز الدين وفائي ، عبد العزيز بن محمّد- وفائي ، عبدالعزيز بن محمّد</w:t>
      </w:r>
    </w:p>
    <w:p>
      <w:pPr>
        <w:pStyle w:val="Heading2"/>
      </w:pPr>
      <w:bookmarkStart w:id="5942" w:name="_Toc5044"/>
      <w:r>
        <w:t>عزاوي ، عباس، 1888 م</w:t>
      </w:r>
      <w:bookmarkEnd w:id="5942"/>
    </w:p>
    <w:p>
      <w:pPr>
        <w:pStyle w:val="BookText"/>
      </w:pPr>
      <w:r>
        <w:rPr>
          <w:rFonts w:ascii="Amiri" w:hAnsi="Amiri" w:eastAsia="Amiri" w:cs="Amiri"/>
          <w:lang w:bidi="ar-SA"/>
          <w:color w:val="111111"/>
          <w:sz w:val="28"/>
          <w:szCs w:val="28"/>
          <w:rtl/>
        </w:rPr>
        <w:t xml:space="preserve">1 .أمثال البادية، ج2، ص 745 .</w:t>
      </w:r>
    </w:p>
    <w:p>
      <w:pPr>
        <w:pStyle w:val="BookText"/>
      </w:pPr>
      <w:r>
        <w:rPr>
          <w:rFonts w:ascii="Amiri" w:hAnsi="Amiri" w:eastAsia="Amiri" w:cs="Amiri"/>
          <w:lang w:bidi="ar-SA"/>
          <w:color w:val="111111"/>
          <w:sz w:val="28"/>
          <w:szCs w:val="28"/>
          <w:rtl/>
        </w:rPr>
        <w:t xml:space="preserve">2 .البنود العراقية، ج 3، ص 409.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تاريخ نجد، ج 3، ص 612 .</w:t>
      </w:r>
    </w:p>
    <w:p>
      <w:pPr>
        <w:pStyle w:val="BookText"/>
      </w:pPr>
      <w:r>
        <w:rPr>
          <w:rFonts w:ascii="Amiri" w:hAnsi="Amiri" w:eastAsia="Amiri" w:cs="Amiri"/>
          <w:lang w:bidi="ar-SA"/>
          <w:color w:val="111111"/>
          <w:sz w:val="28"/>
          <w:szCs w:val="28"/>
          <w:rtl/>
        </w:rPr>
        <w:t xml:space="preserve">4 .النقود العراقية في مختلف العهود</w:t>
      </w:r>
    </w:p>
    <w:p>
      <w:pPr>
        <w:pStyle w:val="BookText"/>
      </w:pPr>
      <w:r>
        <w:rPr>
          <w:rFonts w:ascii="Amiri" w:hAnsi="Amiri" w:eastAsia="Amiri" w:cs="Amiri"/>
          <w:lang w:bidi="ar-SA"/>
          <w:color w:val="111111"/>
          <w:sz w:val="28"/>
          <w:szCs w:val="28"/>
          <w:rtl/>
        </w:rPr>
        <w:t xml:space="preserve">الاسلامية، ج 16، ص 427.</w:t>
      </w:r>
    </w:p>
    <w:p>
      <w:pPr>
        <w:pStyle w:val="BookText"/>
      </w:pPr>
      <w:r>
        <w:rPr>
          <w:rFonts w:ascii="Amiri" w:hAnsi="Amiri" w:eastAsia="Amiri" w:cs="Amiri"/>
          <w:lang w:bidi="ar-SA"/>
          <w:color w:val="111111"/>
          <w:sz w:val="28"/>
          <w:szCs w:val="28"/>
          <w:rtl/>
        </w:rPr>
        <w:t xml:space="preserve">5 .نقود المتغلبة في العهد العباسي</w:t>
      </w:r>
    </w:p>
    <w:p>
      <w:pPr>
        <w:pStyle w:val="BookText"/>
      </w:pPr>
      <w:r>
        <w:rPr>
          <w:rFonts w:ascii="IRNazanin" w:hAnsi="IRNazanin" w:eastAsia="IRNazanin" w:cs="IRNazanin"/>
          <w:lang w:bidi="fa-IR"/>
          <w:color w:val="111111"/>
          <w:sz w:val="28"/>
          <w:szCs w:val="28"/>
          <w:rtl/>
        </w:rPr>
        <w:t xml:space="preserve">الأول، ج 16، ص 427.</w:t>
      </w:r>
    </w:p>
    <w:p>
      <w:pPr>
        <w:pStyle w:val="BookText"/>
      </w:pPr>
      <w:r>
        <w:rPr>
          <w:rFonts w:ascii="IRNazanin" w:hAnsi="IRNazanin" w:eastAsia="IRNazanin" w:cs="IRNazanin"/>
          <w:lang w:bidi="fa-IR"/>
          <w:color w:val="111111"/>
          <w:sz w:val="28"/>
          <w:szCs w:val="28"/>
          <w:rtl/>
        </w:rPr>
        <w:t xml:space="preserve">عزت رامپوري ، محمّد غیاث الدين- غياث الدين رامپوری ، محمّد بن جلال الدين</w:t>
      </w:r>
    </w:p>
    <w:p>
      <w:pPr>
        <w:pStyle w:val="Heading2"/>
      </w:pPr>
      <w:bookmarkStart w:id="5943" w:name="_Toc5045"/>
      <w:r>
        <w:t>عزمي زاده ، مصطفی بن محمّد، 977 -</w:t>
      </w:r>
      <w:bookmarkEnd w:id="5943"/>
    </w:p>
    <w:p>
      <w:pPr>
        <w:pStyle w:val="BookText"/>
      </w:pPr>
      <w:r>
        <w:rPr>
          <w:rFonts w:ascii="IRNazanin" w:hAnsi="IRNazanin" w:eastAsia="IRNazanin" w:cs="IRNazanin"/>
          <w:lang w:bidi="fa-IR"/>
          <w:color w:val="111111"/>
          <w:sz w:val="28"/>
          <w:szCs w:val="28"/>
          <w:rtl/>
        </w:rPr>
        <w:t xml:space="preserve">1040ه-</w:t>
      </w:r>
    </w:p>
    <w:p>
      <w:pPr>
        <w:pStyle w:val="BookText"/>
      </w:pPr>
      <w:r>
        <w:rPr>
          <w:rFonts w:ascii="Amiri" w:hAnsi="Amiri" w:eastAsia="Amiri" w:cs="Amiri"/>
          <w:lang w:bidi="ar-SA"/>
          <w:color w:val="111111"/>
          <w:sz w:val="28"/>
          <w:szCs w:val="28"/>
          <w:rtl/>
        </w:rPr>
        <w:t xml:space="preserve">1 .حاشية درر الحكام في شرح غرر</w:t>
      </w:r>
    </w:p>
    <w:p>
      <w:pPr>
        <w:pStyle w:val="BookText"/>
      </w:pPr>
      <w:r>
        <w:rPr>
          <w:rFonts w:ascii="Amiri" w:hAnsi="Amiri" w:eastAsia="Amiri" w:cs="Amiri"/>
          <w:lang w:bidi="ar-SA"/>
          <w:color w:val="111111"/>
          <w:sz w:val="28"/>
          <w:szCs w:val="28"/>
          <w:rtl/>
        </w:rPr>
        <w:t xml:space="preserve">الاحكام، ج 5، ص 868</w:t>
      </w:r>
    </w:p>
    <w:p>
      <w:pPr>
        <w:pStyle w:val="BookText"/>
      </w:pPr>
      <w:r>
        <w:rPr>
          <w:rFonts w:ascii="Amiri" w:hAnsi="Amiri" w:eastAsia="Amiri" w:cs="Amiri"/>
          <w:lang w:bidi="ar-SA"/>
          <w:color w:val="111111"/>
          <w:sz w:val="28"/>
          <w:szCs w:val="28"/>
          <w:rtl/>
        </w:rPr>
        <w:t xml:space="preserve">2 .نتائج الأفكار = حاشية شرح منار</w:t>
      </w:r>
    </w:p>
    <w:p>
      <w:pPr>
        <w:pStyle w:val="BookText"/>
      </w:pPr>
      <w:r>
        <w:rPr>
          <w:rFonts w:ascii="IRNazanin" w:hAnsi="IRNazanin" w:eastAsia="IRNazanin" w:cs="IRNazanin"/>
          <w:lang w:bidi="fa-IR"/>
          <w:color w:val="111111"/>
          <w:sz w:val="28"/>
          <w:szCs w:val="28"/>
          <w:rtl/>
        </w:rPr>
        <w:t xml:space="preserve">الانوار، ج 16، ص 124.</w:t>
      </w:r>
    </w:p>
    <w:p>
      <w:pPr>
        <w:pStyle w:val="BookText"/>
      </w:pPr>
      <w:r>
        <w:rPr>
          <w:rFonts w:ascii="Amiri" w:hAnsi="Amiri" w:eastAsia="Amiri" w:cs="Amiri"/>
          <w:lang w:bidi="ar-SA"/>
          <w:color w:val="111111"/>
          <w:sz w:val="28"/>
          <w:szCs w:val="28"/>
          <w:rtl/>
        </w:rPr>
        <w:t xml:space="preserve">عزمي، مصطفى بن محمّد- عزمي زاده</w:t>
      </w:r>
    </w:p>
    <w:p>
      <w:pPr>
        <w:pStyle w:val="BookText"/>
      </w:pPr>
      <w:r>
        <w:rPr>
          <w:rFonts w:ascii="IRNazanin" w:hAnsi="IRNazanin" w:eastAsia="IRNazanin" w:cs="IRNazanin"/>
          <w:lang w:bidi="fa-IR"/>
          <w:color w:val="111111"/>
          <w:sz w:val="28"/>
          <w:szCs w:val="28"/>
          <w:rtl/>
        </w:rPr>
        <w:t xml:space="preserve">مصطفى بن محمّد</w:t>
      </w:r>
    </w:p>
    <w:p>
      <w:pPr>
        <w:pStyle w:val="Heading2"/>
      </w:pPr>
      <w:bookmarkStart w:id="5944" w:name="_Toc5046"/>
      <w:r>
        <w:t>عزه ، كثير بن عبد الرحمن - 105ه-</w:t>
      </w:r>
      <w:bookmarkEnd w:id="5944"/>
    </w:p>
    <w:p>
      <w:pPr>
        <w:pStyle w:val="BookText"/>
      </w:pPr>
      <w:r>
        <w:rPr>
          <w:rFonts w:ascii="Amiri" w:hAnsi="Amiri" w:eastAsia="Amiri" w:cs="Amiri"/>
          <w:lang w:bidi="ar-SA"/>
          <w:color w:val="111111"/>
          <w:sz w:val="28"/>
          <w:szCs w:val="28"/>
          <w:rtl/>
        </w:rPr>
        <w:t xml:space="preserve">ديوان كثير عزة، ج 7، ص 740 .</w:t>
      </w:r>
    </w:p>
    <w:p>
      <w:pPr>
        <w:pStyle w:val="Heading2"/>
      </w:pPr>
      <w:bookmarkStart w:id="5945" w:name="_Toc5047"/>
      <w:r>
        <w:t>عزي ، ابراهيم بن عثمان</w:t>
      </w:r>
      <w:bookmarkEnd w:id="5945"/>
    </w:p>
    <w:p>
      <w:pPr>
        <w:pStyle w:val="BookText"/>
      </w:pPr>
      <w:r>
        <w:rPr>
          <w:rFonts w:ascii="Amiri" w:hAnsi="Amiri" w:eastAsia="Amiri" w:cs="Amiri"/>
          <w:lang w:bidi="ar-SA"/>
          <w:color w:val="111111"/>
          <w:sz w:val="28"/>
          <w:szCs w:val="28"/>
          <w:rtl/>
        </w:rPr>
        <w:t xml:space="preserve">ديوان العزي، ج 7، ص 719.</w:t>
      </w:r>
    </w:p>
    <w:p>
      <w:pPr>
        <w:pStyle w:val="Heading2"/>
      </w:pPr>
      <w:bookmarkStart w:id="5946" w:name="_Toc5048"/>
      <w:r>
        <w:t>عزي ، ابوالوفاء، قرن 10 ه-</w:t>
      </w:r>
      <w:bookmarkEnd w:id="5946"/>
    </w:p>
    <w:p>
      <w:pPr>
        <w:pStyle w:val="BookText"/>
      </w:pPr>
      <w:r>
        <w:rPr>
          <w:rFonts w:ascii="Amiri" w:hAnsi="Amiri" w:eastAsia="Amiri" w:cs="Amiri"/>
          <w:lang w:bidi="ar-SA"/>
          <w:color w:val="111111"/>
          <w:sz w:val="28"/>
          <w:szCs w:val="28"/>
          <w:rtl/>
        </w:rPr>
        <w:t xml:space="preserve">الدر النضيد في قراءة ابي عمرو و</w:t>
      </w:r>
    </w:p>
    <w:p>
      <w:pPr>
        <w:pStyle w:val="BookText"/>
      </w:pPr>
      <w:r>
        <w:rPr>
          <w:rFonts w:ascii="Amiri" w:hAnsi="Amiri" w:eastAsia="Amiri" w:cs="Amiri"/>
          <w:lang w:bidi="ar-SA"/>
          <w:color w:val="111111"/>
          <w:sz w:val="28"/>
          <w:szCs w:val="28"/>
          <w:rtl/>
        </w:rPr>
        <w:t xml:space="preserve">التجويد، ج7، ص 358.</w:t>
      </w:r>
    </w:p>
    <w:p>
      <w:pPr>
        <w:pStyle w:val="BookText"/>
      </w:pPr>
      <w:r>
        <w:rPr>
          <w:rFonts w:ascii="IRNazanin" w:hAnsi="IRNazanin" w:eastAsia="IRNazanin" w:cs="IRNazanin"/>
          <w:lang w:bidi="fa-IR"/>
          <w:color w:val="111111"/>
          <w:sz w:val="28"/>
          <w:szCs w:val="28"/>
          <w:rtl/>
        </w:rPr>
        <w:t xml:space="preserve">عزیزالدین نسفي- نسفي ، عزيز الدين بن</w:t>
      </w:r>
    </w:p>
    <w:p>
      <w:pPr>
        <w:pStyle w:val="BookText"/>
      </w:pPr>
      <w:r>
        <w:rPr>
          <w:rFonts w:ascii="Amiri" w:hAnsi="Amiri" w:eastAsia="Amiri" w:cs="Amiri"/>
          <w:lang w:bidi="ar-SA"/>
          <w:color w:val="111111"/>
          <w:sz w:val="28"/>
          <w:szCs w:val="28"/>
          <w:rtl/>
        </w:rPr>
        <w:t xml:space="preserve">محمّد</w:t>
      </w:r>
    </w:p>
    <w:p>
      <w:pPr>
        <w:pStyle w:val="Heading2"/>
      </w:pPr>
      <w:bookmarkStart w:id="5947" w:name="_Toc5049"/>
      <w:r>
        <w:t>عزيز العزي</w:t>
      </w:r>
      <w:bookmarkEnd w:id="5947"/>
    </w:p>
    <w:p>
      <w:pPr>
        <w:pStyle w:val="BookText"/>
      </w:pPr>
      <w:r>
        <w:rPr>
          <w:rFonts w:ascii="Amiri" w:hAnsi="Amiri" w:eastAsia="Amiri" w:cs="Amiri"/>
          <w:lang w:bidi="ar-SA"/>
          <w:color w:val="111111"/>
          <w:sz w:val="28"/>
          <w:szCs w:val="28"/>
          <w:rtl/>
        </w:rPr>
        <w:t xml:space="preserve">فهرس مخطوطات الخزانة العزية في</w:t>
      </w:r>
    </w:p>
    <w:p>
      <w:pPr>
        <w:pStyle w:val="BookText"/>
      </w:pPr>
      <w:r>
        <w:rPr>
          <w:rFonts w:ascii="IRNazanin" w:hAnsi="IRNazanin" w:eastAsia="IRNazanin" w:cs="IRNazanin"/>
          <w:lang w:bidi="fa-IR"/>
          <w:color w:val="111111"/>
          <w:sz w:val="28"/>
          <w:szCs w:val="28"/>
          <w:rtl/>
        </w:rPr>
        <w:t xml:space="preserve">بغداد، ج 12، ص 162.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75" w:name="pg7742_70795"/>
    <w:bookmarkEnd w:id="775"/>
    <w:p>
      <w:pPr>
        <w:pStyle w:val="BookText"/>
      </w:pPr>
      <w:r>
        <w:rPr>
          <w:rFonts w:ascii="IRNazanin" w:hAnsi="IRNazanin" w:eastAsia="IRNazanin" w:cs="IRNazanin"/>
          <w:lang w:bidi="fa-IR"/>
          <w:color w:val="111111"/>
          <w:sz w:val="28"/>
          <w:szCs w:val="28"/>
          <w:rtl/>
        </w:rPr>
        <w:t xml:space="preserve">عزيز بطرس شماس- شماس ، عزیز بطرس</w:t>
      </w:r>
    </w:p>
    <w:p>
      <w:pPr>
        <w:pStyle w:val="BookText"/>
      </w:pPr>
      <w:r>
        <w:rPr>
          <w:rFonts w:ascii="Amiri" w:hAnsi="Amiri" w:eastAsia="Amiri" w:cs="Amiri"/>
          <w:lang w:bidi="ar-SA"/>
          <w:color w:val="111111"/>
          <w:sz w:val="28"/>
          <w:szCs w:val="28"/>
          <w:rtl/>
        </w:rPr>
        <w:t xml:space="preserve">عزيز علي مصري -مصري ، عزيز علي</w:t>
      </w:r>
    </w:p>
    <w:p>
      <w:pPr>
        <w:pStyle w:val="BookText"/>
      </w:pPr>
      <w:r>
        <w:rPr>
          <w:rFonts w:ascii="Amiri" w:hAnsi="Amiri" w:eastAsia="Amiri" w:cs="Amiri"/>
          <w:lang w:bidi="ar-SA"/>
          <w:color w:val="111111"/>
          <w:sz w:val="28"/>
          <w:szCs w:val="28"/>
          <w:rtl/>
        </w:rPr>
        <w:t xml:space="preserve">عزيز محمود هدائي رومي- هدائي رومي ،</w:t>
      </w:r>
    </w:p>
    <w:p>
      <w:pPr>
        <w:pStyle w:val="BookText"/>
      </w:pPr>
      <w:r>
        <w:rPr>
          <w:rFonts w:ascii="IRNazanin" w:hAnsi="IRNazanin" w:eastAsia="IRNazanin" w:cs="IRNazanin"/>
          <w:lang w:bidi="fa-IR"/>
          <w:color w:val="111111"/>
          <w:sz w:val="28"/>
          <w:szCs w:val="28"/>
          <w:rtl/>
        </w:rPr>
        <w:t xml:space="preserve">محمود بن فضل الله</w:t>
      </w:r>
    </w:p>
    <w:p>
      <w:pPr>
        <w:pStyle w:val="BookText"/>
      </w:pPr>
      <w:r>
        <w:rPr>
          <w:rFonts w:ascii="Amiri" w:hAnsi="Amiri" w:eastAsia="Amiri" w:cs="Amiri"/>
          <w:lang w:bidi="ar-SA"/>
          <w:color w:val="111111"/>
          <w:sz w:val="28"/>
          <w:szCs w:val="28"/>
          <w:rtl/>
        </w:rPr>
        <w:t xml:space="preserve">عزيزي الجوذري، ابوعلي منصور- جوذري عزيزي ، منصور</w:t>
      </w:r>
    </w:p>
    <w:p>
      <w:pPr>
        <w:pStyle w:val="BookText"/>
      </w:pPr>
      <w:r>
        <w:rPr>
          <w:rFonts w:ascii="Amiri" w:hAnsi="Amiri" w:eastAsia="Amiri" w:cs="Amiri"/>
          <w:lang w:bidi="ar-SA"/>
          <w:color w:val="111111"/>
          <w:sz w:val="28"/>
          <w:szCs w:val="28"/>
          <w:rtl/>
        </w:rPr>
        <w:t xml:space="preserve">عزيزي بن عبد الملك شيذله- شيذله</w:t>
      </w:r>
    </w:p>
    <w:p>
      <w:pPr>
        <w:pStyle w:val="BookText"/>
      </w:pPr>
      <w:r>
        <w:rPr>
          <w:rFonts w:ascii="Amiri" w:hAnsi="Amiri" w:eastAsia="Amiri" w:cs="Amiri"/>
          <w:lang w:bidi="ar-SA"/>
          <w:color w:val="111111"/>
          <w:sz w:val="28"/>
          <w:szCs w:val="28"/>
          <w:rtl/>
        </w:rPr>
        <w:t xml:space="preserve">بغدادي ، عزيزي بن عبدالملك</w:t>
      </w:r>
    </w:p>
    <w:p>
      <w:pPr>
        <w:pStyle w:val="Heading2"/>
      </w:pPr>
      <w:bookmarkStart w:id="5948" w:name="_Toc5050"/>
      <w:r>
        <w:t>عزيزي ، علي بن احمد - 1070 ه-</w:t>
      </w:r>
      <w:bookmarkEnd w:id="5948"/>
    </w:p>
    <w:p>
      <w:pPr>
        <w:pStyle w:val="BookText"/>
      </w:pPr>
      <w:r>
        <w:rPr>
          <w:rFonts w:ascii="Amiri" w:hAnsi="Amiri" w:eastAsia="Amiri" w:cs="Amiri"/>
          <w:lang w:bidi="ar-SA"/>
          <w:color w:val="111111"/>
          <w:sz w:val="28"/>
          <w:szCs w:val="28"/>
          <w:rtl/>
        </w:rPr>
        <w:t xml:space="preserve">السراج المنير بشرح الجامع الصغير</w:t>
      </w:r>
    </w:p>
    <w:p>
      <w:pPr>
        <w:pStyle w:val="BookText"/>
      </w:pPr>
      <w:r>
        <w:rPr>
          <w:rFonts w:ascii="IRNazanin" w:hAnsi="IRNazanin" w:eastAsia="IRNazanin" w:cs="IRNazanin"/>
          <w:lang w:bidi="fa-IR"/>
          <w:color w:val="111111"/>
          <w:sz w:val="28"/>
          <w:szCs w:val="28"/>
          <w:rtl/>
        </w:rPr>
        <w:t xml:space="preserve">ج 8، ص 740.</w:t>
      </w:r>
    </w:p>
    <w:p>
      <w:pPr>
        <w:pStyle w:val="BookText"/>
      </w:pPr>
      <w:r>
        <w:rPr>
          <w:rFonts w:ascii="Amiri" w:hAnsi="Amiri" w:eastAsia="Amiri" w:cs="Amiri"/>
          <w:lang w:bidi="ar-SA"/>
          <w:color w:val="111111"/>
          <w:sz w:val="28"/>
          <w:szCs w:val="28"/>
          <w:rtl/>
        </w:rPr>
        <w:t xml:space="preserve">عزيزي ، علي بن محمّد -عزيزي ، علي بن احمد</w:t>
      </w:r>
    </w:p>
    <w:p>
      <w:pPr>
        <w:pStyle w:val="BookText"/>
      </w:pPr>
      <w:r>
        <w:rPr>
          <w:rFonts w:ascii="Amiri" w:hAnsi="Amiri" w:eastAsia="Amiri" w:cs="Amiri"/>
          <w:lang w:bidi="ar-SA"/>
          <w:color w:val="111111"/>
          <w:sz w:val="28"/>
          <w:szCs w:val="28"/>
          <w:rtl/>
        </w:rPr>
        <w:t xml:space="preserve">عزيزي ، منصور الجوذري-جوذري عزيزي</w:t>
      </w:r>
    </w:p>
    <w:p>
      <w:pPr>
        <w:pStyle w:val="BookText"/>
      </w:pPr>
      <w:r>
        <w:rPr>
          <w:rFonts w:ascii="IRNazanin" w:hAnsi="IRNazanin" w:eastAsia="IRNazanin" w:cs="IRNazanin"/>
          <w:lang w:bidi="fa-IR"/>
          <w:color w:val="111111"/>
          <w:sz w:val="28"/>
          <w:szCs w:val="28"/>
          <w:rtl/>
        </w:rPr>
        <w:t xml:space="preserve">، منصور</w:t>
      </w:r>
    </w:p>
    <w:p>
      <w:pPr>
        <w:pStyle w:val="Heading2"/>
      </w:pPr>
      <w:bookmarkStart w:id="5949" w:name="_Toc5051"/>
      <w:r>
        <w:t>عزي قادري ، ابوالعون، قرن 13 ه-</w:t>
      </w:r>
      <w:bookmarkEnd w:id="5949"/>
    </w:p>
    <w:p>
      <w:pPr>
        <w:pStyle w:val="BookText"/>
      </w:pPr>
      <w:r>
        <w:rPr>
          <w:rFonts w:ascii="Amiri" w:hAnsi="Amiri" w:eastAsia="Amiri" w:cs="Amiri"/>
          <w:lang w:bidi="ar-SA"/>
          <w:color w:val="111111"/>
          <w:sz w:val="28"/>
          <w:szCs w:val="28"/>
          <w:rtl/>
        </w:rPr>
        <w:t xml:space="preserve">اجازة للشيخ عبد الرحمن بن الشيخ</w:t>
      </w:r>
    </w:p>
    <w:p>
      <w:pPr>
        <w:pStyle w:val="BookText"/>
      </w:pPr>
      <w:r>
        <w:rPr>
          <w:rFonts w:ascii="Amiri" w:hAnsi="Amiri" w:eastAsia="Amiri" w:cs="Amiri"/>
          <w:lang w:bidi="ar-SA"/>
          <w:color w:val="111111"/>
          <w:sz w:val="28"/>
          <w:szCs w:val="28"/>
          <w:rtl/>
        </w:rPr>
        <w:t xml:space="preserve">سليمان الجراعي، ج 1، ص 267.</w:t>
      </w:r>
    </w:p>
    <w:p>
      <w:pPr>
        <w:pStyle w:val="Heading2"/>
      </w:pPr>
      <w:bookmarkStart w:id="5950" w:name="_Toc5052"/>
      <w:r>
        <w:t>عزي مخللاتي ، محمّد حنفي بن علي</w:t>
      </w:r>
      <w:bookmarkEnd w:id="5950"/>
    </w:p>
    <w:p>
      <w:pPr>
        <w:pStyle w:val="BookText"/>
      </w:pPr>
      <w:r>
        <w:rPr>
          <w:rFonts w:ascii="Amiri" w:hAnsi="Amiri" w:eastAsia="Amiri" w:cs="Amiri"/>
          <w:lang w:bidi="ar-SA"/>
          <w:color w:val="111111"/>
          <w:sz w:val="28"/>
          <w:szCs w:val="28"/>
          <w:rtl/>
        </w:rPr>
        <w:t xml:space="preserve">شرح الرسالة الوضعية العضدية، ج 9،</w:t>
      </w:r>
    </w:p>
    <w:p>
      <w:pPr>
        <w:pStyle w:val="BookText"/>
      </w:pPr>
      <w:r>
        <w:rPr>
          <w:rFonts w:ascii="IRNazanin" w:hAnsi="IRNazanin" w:eastAsia="IRNazanin" w:cs="IRNazanin"/>
          <w:lang w:bidi="fa-IR"/>
          <w:color w:val="111111"/>
          <w:sz w:val="28"/>
          <w:szCs w:val="28"/>
          <w:rtl/>
        </w:rPr>
        <w:t xml:space="preserve">ص 568.</w:t>
      </w:r>
    </w:p>
    <w:p>
      <w:pPr>
        <w:pStyle w:val="BookText"/>
      </w:pPr>
      <w:r>
        <w:rPr>
          <w:rFonts w:ascii="Amiri" w:hAnsi="Amiri" w:eastAsia="Amiri" w:cs="Amiri"/>
          <w:lang w:bidi="ar-SA"/>
          <w:color w:val="111111"/>
          <w:sz w:val="28"/>
          <w:szCs w:val="28"/>
          <w:rtl/>
        </w:rPr>
        <w:t xml:space="preserve">عساف بن حمد عربي طائي- عربي طائي ،</w:t>
      </w:r>
    </w:p>
    <w:p>
      <w:pPr>
        <w:pStyle w:val="BookText"/>
      </w:pPr>
      <w:r>
        <w:rPr>
          <w:rFonts w:ascii="IRNazanin" w:hAnsi="IRNazanin" w:eastAsia="IRNazanin" w:cs="IRNazanin"/>
          <w:lang w:bidi="fa-IR"/>
          <w:color w:val="111111"/>
          <w:sz w:val="28"/>
          <w:szCs w:val="28"/>
          <w:rtl/>
        </w:rPr>
        <w:t xml:space="preserve">عساف بن حمد</w:t>
      </w:r>
    </w:p>
    <w:p>
      <w:pPr>
        <w:pStyle w:val="BookText"/>
      </w:pPr>
      <w:r>
        <w:rPr>
          <w:rFonts w:ascii="Amiri" w:hAnsi="Amiri" w:eastAsia="Amiri" w:cs="Amiri"/>
          <w:lang w:bidi="ar-SA"/>
          <w:color w:val="111111"/>
          <w:sz w:val="28"/>
          <w:szCs w:val="28"/>
          <w:rtl/>
        </w:rPr>
        <w:t xml:space="preserve">عسقلاني ، ابوسعد بن ابي السرور- عفيف</w:t>
      </w:r>
    </w:p>
    <w:p>
      <w:pPr>
        <w:pStyle w:val="BookText"/>
      </w:pPr>
      <w:r>
        <w:rPr>
          <w:rFonts w:ascii="Amiri" w:hAnsi="Amiri" w:eastAsia="Amiri" w:cs="Amiri"/>
          <w:lang w:bidi="ar-SA"/>
          <w:color w:val="111111"/>
          <w:sz w:val="28"/>
          <w:szCs w:val="28"/>
          <w:rtl/>
        </w:rPr>
        <w:t xml:space="preserve">عسقلاني ، احمد بن حجر -ابن حجر</w:t>
      </w:r>
    </w:p>
    <w:p>
      <w:pPr>
        <w:pStyle w:val="BookText"/>
      </w:pPr>
      <w:r>
        <w:rPr>
          <w:rFonts w:ascii="Amiri" w:hAnsi="Amiri" w:eastAsia="Amiri" w:cs="Amiri"/>
          <w:lang w:bidi="ar-SA"/>
          <w:color w:val="111111"/>
          <w:sz w:val="28"/>
          <w:szCs w:val="28"/>
          <w:rtl/>
        </w:rPr>
        <w:t xml:space="preserve">عسقلاني ، احمد بن علي</w:t>
      </w:r>
    </w:p>
    <w:p>
      <w:pPr>
        <w:pStyle w:val="BookText"/>
      </w:pPr>
      <w:r>
        <w:rPr>
          <w:rFonts w:ascii="Amiri" w:hAnsi="Amiri" w:eastAsia="Amiri" w:cs="Amiri"/>
          <w:lang w:bidi="ar-SA"/>
          <w:color w:val="111111"/>
          <w:sz w:val="28"/>
          <w:szCs w:val="28"/>
          <w:rtl/>
        </w:rPr>
        <w:t xml:space="preserve">عسقلاني ، احمد بن علي- ابن حجر</w:t>
      </w:r>
    </w:p>
    <w:p>
      <w:pPr>
        <w:pStyle w:val="BookText"/>
      </w:pPr>
      <w:r>
        <w:rPr>
          <w:rFonts w:ascii="Amiri" w:hAnsi="Amiri" w:eastAsia="Amiri" w:cs="Amiri"/>
          <w:lang w:bidi="ar-SA"/>
          <w:color w:val="111111"/>
          <w:sz w:val="28"/>
          <w:szCs w:val="28"/>
          <w:rtl/>
        </w:rPr>
        <w:t xml:space="preserve">عسقلاني ، احمد بن علي</w:t>
      </w:r>
    </w:p>
    <w:p>
      <w:pPr>
        <w:pStyle w:val="BookText"/>
      </w:pPr>
      <w:r>
        <w:rPr>
          <w:rFonts w:ascii="Amiri" w:hAnsi="Amiri" w:eastAsia="Amiri" w:cs="Amiri"/>
          <w:lang w:bidi="ar-SA"/>
          <w:color w:val="111111"/>
          <w:sz w:val="28"/>
          <w:szCs w:val="28"/>
          <w:rtl/>
        </w:rPr>
        <w:t xml:space="preserve">عسقلاني ، عبد الرحيم بن علي -ابن قاضي فاضل ، عبد الرحيم بن علي</w:t>
      </w:r>
    </w:p>
    <w:p>
      <w:pPr>
        <w:pStyle w:val="Heading2"/>
      </w:pPr>
      <w:bookmarkStart w:id="5951" w:name="_Toc5053"/>
      <w:r>
        <w:t>عسقلاني ، علي بن محمّد قرن 8 ه-</w:t>
      </w:r>
      <w:bookmarkEnd w:id="5951"/>
    </w:p>
    <w:p>
      <w:pPr>
        <w:pStyle w:val="BookText"/>
      </w:pPr>
      <w:r>
        <w:rPr>
          <w:rFonts w:ascii="Amiri" w:hAnsi="Amiri" w:eastAsia="Amiri" w:cs="Amiri"/>
          <w:lang w:bidi="ar-SA"/>
          <w:color w:val="111111"/>
          <w:sz w:val="28"/>
          <w:szCs w:val="28"/>
          <w:rtl/>
        </w:rPr>
        <w:t xml:space="preserve">شرح مختصر روضة الناظر و جنة المناظر = شقايق الروض الناضر و سواد عين الباصر = سواد الناظر و شقايق الروض الناضر، ج 10، ص 116 .</w:t>
      </w:r>
    </w:p>
    <w:p>
      <w:pPr>
        <w:pStyle w:val="BookText"/>
      </w:pPr>
      <w:r>
        <w:rPr>
          <w:rFonts w:ascii="Amiri" w:hAnsi="Amiri" w:eastAsia="Amiri" w:cs="Amiri"/>
          <w:lang w:bidi="ar-SA"/>
          <w:color w:val="111111"/>
          <w:sz w:val="28"/>
          <w:szCs w:val="28"/>
          <w:rtl/>
        </w:rPr>
        <w:t xml:space="preserve">عسقلاني ، محمّد بن محمّد- ابن امام ،</w:t>
      </w:r>
    </w:p>
    <w:p>
      <w:pPr>
        <w:pStyle w:val="BookText"/>
      </w:pPr>
      <w:r>
        <w:rPr>
          <w:rFonts w:ascii="Amiri" w:hAnsi="Amiri" w:eastAsia="Amiri" w:cs="Amiri"/>
          <w:lang w:bidi="ar-SA"/>
          <w:color w:val="111111"/>
          <w:sz w:val="28"/>
          <w:szCs w:val="28"/>
          <w:rtl/>
        </w:rPr>
        <w:t xml:space="preserve">محمّد بن محمّد</w:t>
      </w:r>
    </w:p>
    <w:p>
      <w:pPr>
        <w:pStyle w:val="Heading2"/>
      </w:pPr>
      <w:bookmarkStart w:id="5952" w:name="_Toc5054"/>
      <w:r>
        <w:t>عسكري ، ابراهيم بن حرب، قرن 3 ه-</w:t>
      </w:r>
      <w:bookmarkEnd w:id="5952"/>
    </w:p>
    <w:p>
      <w:pPr>
        <w:pStyle w:val="BookText"/>
      </w:pPr>
      <w:r>
        <w:rPr>
          <w:rFonts w:ascii="Amiri" w:hAnsi="Amiri" w:eastAsia="Amiri" w:cs="Amiri"/>
          <w:lang w:bidi="ar-SA"/>
          <w:color w:val="111111"/>
          <w:sz w:val="28"/>
          <w:szCs w:val="28"/>
          <w:rtl/>
        </w:rPr>
        <w:t xml:space="preserve">مسند ابي هريرة، ج 14 ، ص 593 .</w:t>
      </w:r>
    </w:p>
    <w:p>
      <w:pPr>
        <w:pStyle w:val="BookText"/>
      </w:pPr>
      <w:r>
        <w:rPr>
          <w:rFonts w:ascii="IRNazanin" w:hAnsi="IRNazanin" w:eastAsia="IRNazanin" w:cs="IRNazanin"/>
          <w:lang w:bidi="fa-IR"/>
          <w:color w:val="111111"/>
          <w:sz w:val="28"/>
          <w:szCs w:val="28"/>
          <w:rtl/>
        </w:rPr>
        <w:t xml:space="preserve">عسكري ، ابو محمّد حسن بن علي -حسن بن علي (ع) ، امام یازدهم</w:t>
      </w:r>
    </w:p>
    <w:p>
      <w:pPr>
        <w:pStyle w:val="BookText"/>
      </w:pPr>
      <w:r>
        <w:rPr>
          <w:rFonts w:ascii="Amiri" w:hAnsi="Amiri" w:eastAsia="Amiri" w:cs="Amiri"/>
          <w:lang w:bidi="ar-SA"/>
          <w:color w:val="111111"/>
          <w:sz w:val="28"/>
          <w:szCs w:val="28"/>
          <w:rtl/>
        </w:rPr>
        <w:t xml:space="preserve">عسكري ، ابوهلال حسن بن عبدالله -ابوهلال</w:t>
      </w:r>
    </w:p>
    <w:p>
      <w:pPr>
        <w:pStyle w:val="BookText"/>
      </w:pPr>
      <w:r>
        <w:rPr>
          <w:rFonts w:ascii="Amiri" w:hAnsi="Amiri" w:eastAsia="Amiri" w:cs="Amiri"/>
          <w:lang w:bidi="ar-SA"/>
          <w:color w:val="111111"/>
          <w:sz w:val="28"/>
          <w:szCs w:val="28"/>
          <w:rtl/>
        </w:rPr>
        <w:t xml:space="preserve">عسكري ، حسن بن عبدالله عسكري ، امام حسن- حسن بن علي (ع)</w:t>
      </w:r>
    </w:p>
    <w:p>
      <w:pPr>
        <w:pStyle w:val="BookText"/>
      </w:pPr>
      <w:r>
        <w:rPr>
          <w:rFonts w:ascii="IRNazanin" w:hAnsi="IRNazanin" w:eastAsia="IRNazanin" w:cs="IRNazanin"/>
          <w:lang w:bidi="fa-IR"/>
          <w:color w:val="111111"/>
          <w:sz w:val="28"/>
          <w:szCs w:val="28"/>
          <w:rtl/>
        </w:rPr>
        <w:t xml:space="preserve">، امام یازدهم</w:t>
      </w:r>
    </w:p>
    <w:p>
      <w:pPr>
        <w:pStyle w:val="Heading2"/>
      </w:pPr>
      <w:bookmarkStart w:id="5953" w:name="_Toc5055"/>
      <w:r>
        <w:t>عسكري ، حرز بن علي، قرن 10 ه-</w:t>
      </w:r>
      <w:bookmarkEnd w:id="5953"/>
    </w:p>
    <w:p>
      <w:pPr>
        <w:pStyle w:val="BookText"/>
      </w:pPr>
      <w:r>
        <w:rPr>
          <w:rFonts w:ascii="Amiri" w:hAnsi="Amiri" w:eastAsia="Amiri" w:cs="Amiri"/>
          <w:lang w:bidi="ar-SA"/>
          <w:color w:val="111111"/>
          <w:sz w:val="28"/>
          <w:szCs w:val="28"/>
          <w:rtl/>
        </w:rPr>
        <w:t xml:space="preserve">1 .ذكر القائم (ع) و غيبته، ج7،</w:t>
      </w:r>
    </w:p>
    <w:p>
      <w:pPr>
        <w:pStyle w:val="BookText"/>
      </w:pPr>
      <w:r>
        <w:rPr>
          <w:rFonts w:ascii="IRNazanin" w:hAnsi="IRNazanin" w:eastAsia="IRNazanin" w:cs="IRNazanin"/>
          <w:lang w:bidi="fa-IR"/>
          <w:color w:val="111111"/>
          <w:sz w:val="28"/>
          <w:szCs w:val="28"/>
          <w:rtl/>
        </w:rPr>
        <w:t xml:space="preserve">ص 856.</w:t>
      </w:r>
    </w:p>
    <w:p>
      <w:pPr>
        <w:pStyle w:val="BookText"/>
      </w:pPr>
      <w:r>
        <w:rPr>
          <w:rFonts w:ascii="Amiri" w:hAnsi="Amiri" w:eastAsia="Amiri" w:cs="Amiri"/>
          <w:lang w:bidi="ar-SA"/>
          <w:color w:val="111111"/>
          <w:sz w:val="28"/>
          <w:szCs w:val="28"/>
          <w:rtl/>
        </w:rPr>
        <w:t xml:space="preserve">2 .مقتل امير المؤمنين (ع)، ج 15،</w:t>
      </w:r>
    </w:p>
    <w:p>
      <w:pPr>
        <w:pStyle w:val="BookText"/>
      </w:pPr>
      <w:r>
        <w:rPr>
          <w:rFonts w:ascii="Amiri" w:hAnsi="Amiri" w:eastAsia="Amiri" w:cs="Amiri"/>
          <w:lang w:bidi="ar-SA"/>
          <w:color w:val="111111"/>
          <w:sz w:val="28"/>
          <w:szCs w:val="28"/>
          <w:rtl/>
        </w:rPr>
        <w:t xml:space="preserve">، ابوسعد بن أبي السرور</w:t>
      </w:r>
    </w:p>
    <w:p>
      <w:pPr>
        <w:pStyle w:val="BookText"/>
      </w:pPr>
      <w:r>
        <w:rPr>
          <w:rFonts w:ascii="IRNazanin" w:hAnsi="IRNazanin" w:eastAsia="IRNazanin" w:cs="IRNazanin"/>
          <w:lang w:bidi="fa-IR"/>
          <w:color w:val="111111"/>
          <w:sz w:val="28"/>
          <w:szCs w:val="28"/>
          <w:rtl/>
        </w:rPr>
        <w:t xml:space="preserve">ص 336.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76" w:name="pg7742_70797"/>
    <w:bookmarkEnd w:id="776"/>
    <w:p>
      <w:pPr>
        <w:pStyle w:val="BookText"/>
      </w:pPr>
      <w:r>
        <w:rPr>
          <w:rFonts w:ascii="Amiri" w:hAnsi="Amiri" w:eastAsia="Amiri" w:cs="Amiri"/>
          <w:lang w:bidi="ar-SA"/>
          <w:color w:val="111111"/>
          <w:sz w:val="28"/>
          <w:szCs w:val="28"/>
          <w:rtl/>
        </w:rPr>
        <w:t xml:space="preserve">عسكري ، حسن بن عبدالله- ابوهلال</w:t>
      </w:r>
    </w:p>
    <w:p>
      <w:pPr>
        <w:pStyle w:val="BookText"/>
      </w:pPr>
      <w:r>
        <w:rPr>
          <w:rFonts w:ascii="Amiri" w:hAnsi="Amiri" w:eastAsia="Amiri" w:cs="Amiri"/>
          <w:lang w:bidi="ar-SA"/>
          <w:color w:val="111111"/>
          <w:sz w:val="28"/>
          <w:szCs w:val="28"/>
          <w:rtl/>
        </w:rPr>
        <w:t xml:space="preserve">عسكري ، حسن بن عبدالله</w:t>
      </w:r>
    </w:p>
    <w:p>
      <w:pPr>
        <w:pStyle w:val="Heading2"/>
      </w:pPr>
      <w:bookmarkStart w:id="5954" w:name="_Toc5056"/>
      <w:r>
        <w:t>عسكري ، حسن بن عبد الله 293 - 382</w:t>
      </w:r>
      <w:bookmarkEnd w:id="5954"/>
    </w:p>
    <w:p>
      <w:pPr>
        <w:pStyle w:val="BookText"/>
      </w:pPr>
      <w:r>
        <w:rPr>
          <w:rFonts w:ascii="Amiri" w:hAnsi="Amiri" w:eastAsia="Amiri" w:cs="Amiri"/>
          <w:lang w:bidi="ar-SA"/>
          <w:color w:val="111111"/>
          <w:sz w:val="28"/>
          <w:szCs w:val="28"/>
          <w:rtl/>
        </w:rPr>
        <w:t xml:space="preserve">تصحيفات المحدثين في غريب</w:t>
      </w:r>
    </w:p>
    <w:p>
      <w:pPr>
        <w:pStyle w:val="BookText"/>
      </w:pPr>
      <w:r>
        <w:rPr>
          <w:rFonts w:ascii="Amiri" w:hAnsi="Amiri" w:eastAsia="Amiri" w:cs="Amiri"/>
          <w:lang w:bidi="ar-SA"/>
          <w:color w:val="111111"/>
          <w:sz w:val="28"/>
          <w:szCs w:val="28"/>
          <w:rtl/>
        </w:rPr>
        <w:t xml:space="preserve">الحديث، ج4، ص 400 .</w:t>
      </w:r>
    </w:p>
    <w:p>
      <w:pPr>
        <w:pStyle w:val="Heading2"/>
      </w:pPr>
      <w:bookmarkStart w:id="5955" w:name="_Toc5057"/>
      <w:r>
        <w:t>عسكري ، علي بن عمر</w:t>
      </w:r>
      <w:bookmarkEnd w:id="5955"/>
    </w:p>
    <w:p>
      <w:pPr>
        <w:pStyle w:val="BookText"/>
      </w:pPr>
      <w:r>
        <w:rPr>
          <w:rFonts w:ascii="Amiri" w:hAnsi="Amiri" w:eastAsia="Amiri" w:cs="Amiri"/>
          <w:lang w:bidi="ar-SA"/>
          <w:color w:val="111111"/>
          <w:sz w:val="28"/>
          <w:szCs w:val="28"/>
          <w:rtl/>
        </w:rPr>
        <w:t xml:space="preserve">الامالي، ج 2، ص 725.</w:t>
      </w:r>
    </w:p>
    <w:p>
      <w:pPr>
        <w:pStyle w:val="Heading2"/>
      </w:pPr>
      <w:bookmarkStart w:id="5956" w:name="_Toc5058"/>
      <w:r>
        <w:t>عسكري ، محمّد بن رجبعلي</w:t>
      </w:r>
      <w:bookmarkEnd w:id="5956"/>
    </w:p>
    <w:p>
      <w:pPr>
        <w:pStyle w:val="BookText"/>
      </w:pPr>
      <w:r>
        <w:rPr>
          <w:rFonts w:ascii="Amiri" w:hAnsi="Amiri" w:eastAsia="Amiri" w:cs="Amiri"/>
          <w:lang w:bidi="ar-SA"/>
          <w:color w:val="111111"/>
          <w:sz w:val="28"/>
          <w:szCs w:val="28"/>
          <w:rtl/>
        </w:rPr>
        <w:t xml:space="preserve">رسالة إلى السيد حسين القزويني</w:t>
      </w:r>
    </w:p>
    <w:p>
      <w:pPr>
        <w:pStyle w:val="BookText"/>
      </w:pPr>
      <w:r>
        <w:rPr>
          <w:rFonts w:ascii="Amiri" w:hAnsi="Amiri" w:eastAsia="Amiri" w:cs="Amiri"/>
          <w:lang w:bidi="ar-SA"/>
          <w:color w:val="111111"/>
          <w:sz w:val="28"/>
          <w:szCs w:val="28"/>
          <w:rtl/>
        </w:rPr>
        <w:t xml:space="preserve">الكربلائي، ج8، ص 169.</w:t>
      </w:r>
    </w:p>
    <w:p>
      <w:pPr>
        <w:pStyle w:val="BookText"/>
      </w:pPr>
      <w:r>
        <w:rPr>
          <w:rFonts w:ascii="Amiri" w:hAnsi="Amiri" w:eastAsia="Amiri" w:cs="Amiri"/>
          <w:lang w:bidi="ar-SA"/>
          <w:color w:val="111111"/>
          <w:sz w:val="28"/>
          <w:szCs w:val="28"/>
          <w:rtl/>
        </w:rPr>
        <w:t xml:space="preserve">عسكري ، محمّد بن يوسف -بحراني ،</w:t>
      </w:r>
    </w:p>
    <w:p>
      <w:pPr>
        <w:pStyle w:val="BookText"/>
      </w:pPr>
      <w:r>
        <w:rPr>
          <w:rFonts w:ascii="Amiri" w:hAnsi="Amiri" w:eastAsia="Amiri" w:cs="Amiri"/>
          <w:lang w:bidi="ar-SA"/>
          <w:color w:val="111111"/>
          <w:sz w:val="28"/>
          <w:szCs w:val="28"/>
          <w:rtl/>
        </w:rPr>
        <w:t xml:space="preserve">محمّد بن يوسف</w:t>
      </w:r>
    </w:p>
    <w:p>
      <w:pPr>
        <w:pStyle w:val="Heading2"/>
      </w:pPr>
      <w:bookmarkStart w:id="5957" w:name="_Toc5059"/>
      <w:r>
        <w:t>عسكري ، محمّد حسن بن هدایت الله</w:t>
      </w:r>
      <w:bookmarkEnd w:id="5957"/>
    </w:p>
    <w:p>
      <w:pPr>
        <w:pStyle w:val="BookText"/>
      </w:pPr>
      <w:r>
        <w:rPr>
          <w:rFonts w:ascii="IRNazanin" w:hAnsi="IRNazanin" w:eastAsia="IRNazanin" w:cs="IRNazanin"/>
          <w:lang w:bidi="fa-IR"/>
          <w:color w:val="111111"/>
          <w:sz w:val="28"/>
          <w:szCs w:val="28"/>
          <w:rtl/>
        </w:rPr>
        <w:t xml:space="preserve">1211 - 1280 ه-</w:t>
      </w:r>
    </w:p>
    <w:p>
      <w:pPr>
        <w:pStyle w:val="BookText"/>
      </w:pPr>
      <w:r>
        <w:rPr>
          <w:rFonts w:ascii="Amiri" w:hAnsi="Amiri" w:eastAsia="Amiri" w:cs="Amiri"/>
          <w:lang w:bidi="ar-SA"/>
          <w:color w:val="111111"/>
          <w:sz w:val="28"/>
          <w:szCs w:val="28"/>
          <w:rtl/>
        </w:rPr>
        <w:t xml:space="preserve">مسألتان فقهيتان، ج 14، ص 537.</w:t>
      </w:r>
    </w:p>
    <w:p>
      <w:pPr>
        <w:pStyle w:val="BookText"/>
      </w:pPr>
      <w:r>
        <w:rPr>
          <w:rFonts w:ascii="IRNazanin" w:hAnsi="IRNazanin" w:eastAsia="IRNazanin" w:cs="IRNazanin"/>
          <w:lang w:bidi="fa-IR"/>
          <w:color w:val="111111"/>
          <w:sz w:val="28"/>
          <w:szCs w:val="28"/>
          <w:rtl/>
        </w:rPr>
        <w:t xml:space="preserve">عسكري مشهدي ، محمّد حسين بن هدایت الله-</w:t>
      </w:r>
    </w:p>
    <w:p>
      <w:pPr>
        <w:pStyle w:val="BookText"/>
      </w:pPr>
      <w:r>
        <w:rPr>
          <w:rFonts w:ascii="IRNazanin" w:hAnsi="IRNazanin" w:eastAsia="IRNazanin" w:cs="IRNazanin"/>
          <w:lang w:bidi="fa-IR"/>
          <w:color w:val="111111"/>
          <w:sz w:val="28"/>
          <w:szCs w:val="28"/>
          <w:rtl/>
        </w:rPr>
        <w:t xml:space="preserve">عسكري ، محمّد حسن بن هدایت الله</w:t>
      </w:r>
    </w:p>
    <w:p>
      <w:pPr>
        <w:pStyle w:val="BookText"/>
      </w:pPr>
      <w:r>
        <w:rPr>
          <w:rFonts w:ascii="Amiri" w:hAnsi="Amiri" w:eastAsia="Amiri" w:cs="Amiri"/>
          <w:lang w:bidi="ar-SA"/>
          <w:color w:val="111111"/>
          <w:sz w:val="28"/>
          <w:szCs w:val="28"/>
          <w:rtl/>
        </w:rPr>
        <w:t xml:space="preserve">عسيري ، احمد بن عبد القادر- عجيلي</w:t>
      </w:r>
    </w:p>
    <w:p>
      <w:pPr>
        <w:pStyle w:val="BookText"/>
      </w:pPr>
      <w:r>
        <w:rPr>
          <w:rFonts w:ascii="IRNazanin" w:hAnsi="IRNazanin" w:eastAsia="IRNazanin" w:cs="IRNazanin"/>
          <w:lang w:bidi="fa-IR"/>
          <w:color w:val="111111"/>
          <w:sz w:val="28"/>
          <w:szCs w:val="28"/>
          <w:rtl/>
        </w:rPr>
        <w:t xml:space="preserve">احمد بن عبدالقادر</w:t>
      </w:r>
    </w:p>
    <w:p>
      <w:pPr>
        <w:pStyle w:val="BookText"/>
      </w:pPr>
      <w:r>
        <w:rPr>
          <w:rFonts w:ascii="Amiri" w:hAnsi="Amiri" w:eastAsia="Amiri" w:cs="Amiri"/>
          <w:lang w:bidi="ar-SA"/>
          <w:color w:val="111111"/>
          <w:sz w:val="28"/>
          <w:szCs w:val="28"/>
          <w:rtl/>
        </w:rPr>
        <w:t xml:space="preserve">عسيلي شافعي ، علي بن محمّد- عسيلي</w:t>
      </w:r>
    </w:p>
    <w:p>
      <w:pPr>
        <w:pStyle w:val="BookText"/>
      </w:pPr>
      <w:r>
        <w:rPr>
          <w:rFonts w:ascii="Amiri" w:hAnsi="Amiri" w:eastAsia="Amiri" w:cs="Amiri"/>
          <w:lang w:bidi="ar-SA"/>
          <w:color w:val="111111"/>
          <w:sz w:val="28"/>
          <w:szCs w:val="28"/>
          <w:rtl/>
        </w:rPr>
        <w:t xml:space="preserve">علي بن محمّد</w:t>
      </w:r>
    </w:p>
    <w:p>
      <w:pPr>
        <w:pStyle w:val="Heading2"/>
      </w:pPr>
      <w:bookmarkStart w:id="5958" w:name="_Toc5060"/>
      <w:r>
        <w:t>عسيلي ، علي بن محمّد - 993 ه-</w:t>
      </w:r>
      <w:bookmarkEnd w:id="5958"/>
    </w:p>
    <w:p>
      <w:pPr>
        <w:pStyle w:val="BookText"/>
      </w:pPr>
      <w:r>
        <w:rPr>
          <w:rFonts w:ascii="Amiri" w:hAnsi="Amiri" w:eastAsia="Amiri" w:cs="Amiri"/>
          <w:lang w:bidi="ar-SA"/>
          <w:color w:val="111111"/>
          <w:sz w:val="28"/>
          <w:szCs w:val="28"/>
          <w:rtl/>
        </w:rPr>
        <w:t xml:space="preserve">مقامة، ج 15 ص 311.</w:t>
      </w:r>
    </w:p>
    <w:p>
      <w:pPr>
        <w:pStyle w:val="BookText"/>
      </w:pPr>
      <w:r>
        <w:rPr>
          <w:rFonts w:ascii="IRNazanin" w:hAnsi="IRNazanin" w:eastAsia="IRNazanin" w:cs="IRNazanin"/>
          <w:lang w:bidi="fa-IR"/>
          <w:color w:val="111111"/>
          <w:sz w:val="28"/>
          <w:szCs w:val="28"/>
          <w:rtl/>
        </w:rPr>
        <w:t xml:space="preserve">عشاب ، عبدالله بن احمد -ابن بیطار ،</w:t>
      </w:r>
    </w:p>
    <w:p>
      <w:pPr>
        <w:pStyle w:val="BookText"/>
      </w:pPr>
      <w:r>
        <w:rPr>
          <w:rFonts w:ascii="IRNazanin" w:hAnsi="IRNazanin" w:eastAsia="IRNazanin" w:cs="IRNazanin"/>
          <w:lang w:bidi="fa-IR"/>
          <w:color w:val="111111"/>
          <w:sz w:val="28"/>
          <w:szCs w:val="28"/>
          <w:rtl/>
        </w:rPr>
        <w:t xml:space="preserve">عبدالله بن احمد</w:t>
      </w:r>
    </w:p>
    <w:p>
      <w:pPr>
        <w:pStyle w:val="Heading2"/>
      </w:pPr>
      <w:bookmarkStart w:id="5959" w:name="_Toc5061"/>
      <w:r>
        <w:t>عشاري ، حسين بن علي 1150 - 1195 ؟</w:t>
      </w:r>
      <w:bookmarkEnd w:id="5959"/>
    </w:p>
    <w:p>
      <w:pPr>
        <w:pStyle w:val="BookText"/>
      </w:pPr>
      <w:r>
        <w:rPr>
          <w:rFonts w:ascii="Amiri" w:hAnsi="Amiri" w:eastAsia="Amiri" w:cs="Amiri"/>
          <w:lang w:bidi="ar-SA"/>
          <w:color w:val="111111"/>
          <w:sz w:val="28"/>
          <w:szCs w:val="28"/>
          <w:rtl/>
        </w:rPr>
        <w:t xml:space="preserve">1 .الابحاث الرفيعة في نقد عقائد</w:t>
      </w:r>
    </w:p>
    <w:p>
      <w:pPr>
        <w:pStyle w:val="BookText"/>
      </w:pPr>
      <w:r>
        <w:rPr>
          <w:rFonts w:ascii="Amiri" w:hAnsi="Amiri" w:eastAsia="Amiri" w:cs="Amiri"/>
          <w:lang w:bidi="ar-SA"/>
          <w:color w:val="111111"/>
          <w:sz w:val="28"/>
          <w:szCs w:val="28"/>
          <w:rtl/>
        </w:rPr>
        <w:t xml:space="preserve">الشيعة، ج 1، ص 94 .</w:t>
      </w:r>
    </w:p>
    <w:p>
      <w:pPr>
        <w:pStyle w:val="BookText"/>
      </w:pPr>
      <w:r>
        <w:rPr>
          <w:rFonts w:ascii="Amiri" w:hAnsi="Amiri" w:eastAsia="Amiri" w:cs="Amiri"/>
          <w:lang w:bidi="ar-SA"/>
          <w:color w:val="111111"/>
          <w:sz w:val="28"/>
          <w:szCs w:val="28"/>
          <w:rtl/>
        </w:rPr>
        <w:t xml:space="preserve">2 .الاجتهاد والتقليد (فائدة في)، ج1،</w:t>
      </w:r>
    </w:p>
    <w:p>
      <w:pPr>
        <w:pStyle w:val="BookText"/>
      </w:pPr>
      <w:r>
        <w:rPr>
          <w:rFonts w:ascii="IRNazanin" w:hAnsi="IRNazanin" w:eastAsia="IRNazanin" w:cs="IRNazanin"/>
          <w:lang w:bidi="fa-IR"/>
          <w:color w:val="111111"/>
          <w:sz w:val="28"/>
          <w:szCs w:val="28"/>
          <w:rtl/>
        </w:rPr>
        <w:t xml:space="preserve">ص 302.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تقريضان على كتاب محمود بن</w:t>
      </w:r>
    </w:p>
    <w:p>
      <w:pPr>
        <w:pStyle w:val="BookText"/>
      </w:pPr>
      <w:r>
        <w:rPr>
          <w:rFonts w:ascii="Amiri" w:hAnsi="Amiri" w:eastAsia="Amiri" w:cs="Amiri"/>
          <w:lang w:bidi="ar-SA"/>
          <w:color w:val="111111"/>
          <w:sz w:val="28"/>
          <w:szCs w:val="28"/>
          <w:rtl/>
        </w:rPr>
        <w:t xml:space="preserve">ابراهيم العباسي، ج4، ص781.</w:t>
      </w:r>
    </w:p>
    <w:p>
      <w:pPr>
        <w:pStyle w:val="BookText"/>
      </w:pPr>
      <w:r>
        <w:rPr>
          <w:rFonts w:ascii="Amiri" w:hAnsi="Amiri" w:eastAsia="Amiri" w:cs="Amiri"/>
          <w:lang w:bidi="ar-SA"/>
          <w:color w:val="111111"/>
          <w:sz w:val="28"/>
          <w:szCs w:val="28"/>
          <w:rtl/>
        </w:rPr>
        <w:t xml:space="preserve">4 .حاشية شرح المقدمة الحضرمية</w:t>
      </w:r>
    </w:p>
    <w:p>
      <w:pPr>
        <w:pStyle w:val="BookText"/>
      </w:pPr>
      <w:r>
        <w:rPr>
          <w:rFonts w:ascii="IRNazanin" w:hAnsi="IRNazanin" w:eastAsia="IRNazanin" w:cs="IRNazanin"/>
          <w:lang w:bidi="fa-IR"/>
          <w:color w:val="111111"/>
          <w:sz w:val="28"/>
          <w:szCs w:val="28"/>
          <w:rtl/>
        </w:rPr>
        <w:t xml:space="preserve">ج 6، ص 186 .</w:t>
      </w:r>
    </w:p>
    <w:p>
      <w:pPr>
        <w:pStyle w:val="BookText"/>
      </w:pPr>
      <w:r>
        <w:rPr>
          <w:rFonts w:ascii="IRNazanin" w:hAnsi="IRNazanin" w:eastAsia="IRNazanin" w:cs="IRNazanin"/>
          <w:lang w:bidi="fa-IR"/>
          <w:color w:val="111111"/>
          <w:sz w:val="28"/>
          <w:szCs w:val="28"/>
          <w:rtl/>
        </w:rPr>
        <w:t xml:space="preserve">5 .حزب الاوقات و ورد ،الساعات ج 6،</w:t>
      </w:r>
    </w:p>
    <w:p>
      <w:pPr>
        <w:pStyle w:val="BookText"/>
      </w:pPr>
      <w:r>
        <w:rPr>
          <w:rFonts w:ascii="IRNazanin" w:hAnsi="IRNazanin" w:eastAsia="IRNazanin" w:cs="IRNazanin"/>
          <w:lang w:bidi="fa-IR"/>
          <w:color w:val="111111"/>
          <w:sz w:val="28"/>
          <w:szCs w:val="28"/>
          <w:rtl/>
        </w:rPr>
        <w:t xml:space="preserve">ص 626 .</w:t>
      </w:r>
    </w:p>
    <w:p>
      <w:pPr>
        <w:pStyle w:val="BookText"/>
      </w:pPr>
      <w:r>
        <w:rPr>
          <w:rFonts w:ascii="Amiri" w:hAnsi="Amiri" w:eastAsia="Amiri" w:cs="Amiri"/>
          <w:lang w:bidi="ar-SA"/>
          <w:color w:val="111111"/>
          <w:sz w:val="28"/>
          <w:szCs w:val="28"/>
          <w:rtl/>
        </w:rPr>
        <w:t xml:space="preserve">6 .ديوان العشاري، ج 7، ص 719.</w:t>
      </w:r>
    </w:p>
    <w:p>
      <w:pPr>
        <w:pStyle w:val="BookText"/>
      </w:pPr>
      <w:r>
        <w:rPr>
          <w:rFonts w:ascii="Amiri" w:hAnsi="Amiri" w:eastAsia="Amiri" w:cs="Amiri"/>
          <w:lang w:bidi="ar-SA"/>
          <w:color w:val="111111"/>
          <w:sz w:val="28"/>
          <w:szCs w:val="28"/>
          <w:rtl/>
        </w:rPr>
        <w:t xml:space="preserve">7 .فوائد و مطالب لحسين العشاري</w:t>
      </w:r>
    </w:p>
    <w:p>
      <w:pPr>
        <w:pStyle w:val="BookText"/>
      </w:pPr>
      <w:r>
        <w:rPr>
          <w:rFonts w:ascii="IRNazanin" w:hAnsi="IRNazanin" w:eastAsia="IRNazanin" w:cs="IRNazanin"/>
          <w:lang w:bidi="fa-IR"/>
          <w:color w:val="111111"/>
          <w:sz w:val="28"/>
          <w:szCs w:val="28"/>
          <w:rtl/>
        </w:rPr>
        <w:t xml:space="preserve">ج 12، ص 291</w:t>
      </w:r>
    </w:p>
    <w:p>
      <w:pPr>
        <w:pStyle w:val="BookText"/>
      </w:pPr>
      <w:r>
        <w:rPr>
          <w:rFonts w:ascii="Amiri" w:hAnsi="Amiri" w:eastAsia="Amiri" w:cs="Amiri"/>
          <w:lang w:bidi="ar-SA"/>
          <w:color w:val="111111"/>
          <w:sz w:val="28"/>
          <w:szCs w:val="28"/>
          <w:rtl/>
        </w:rPr>
        <w:t xml:space="preserve">عشاق ، محمّد طاهر بن شاه احمد- بيدوازي ، محمّد طاهر بن احمد</w:t>
      </w:r>
    </w:p>
    <w:p>
      <w:pPr>
        <w:pStyle w:val="BookText"/>
      </w:pPr>
      <w:r>
        <w:rPr>
          <w:rFonts w:ascii="Amiri" w:hAnsi="Amiri" w:eastAsia="Amiri" w:cs="Amiri"/>
          <w:lang w:bidi="ar-SA"/>
          <w:color w:val="111111"/>
          <w:sz w:val="28"/>
          <w:szCs w:val="28"/>
          <w:rtl/>
        </w:rPr>
        <w:t xml:space="preserve">عشاقي ، صلاح الدين- صلاحي ، عبد الله</w:t>
      </w:r>
    </w:p>
    <w:p>
      <w:pPr>
        <w:pStyle w:val="BookText"/>
      </w:pPr>
      <w:r>
        <w:rPr>
          <w:rFonts w:ascii="Amiri" w:hAnsi="Amiri" w:eastAsia="Amiri" w:cs="Amiri"/>
          <w:lang w:bidi="ar-SA"/>
          <w:color w:val="111111"/>
          <w:sz w:val="28"/>
          <w:szCs w:val="28"/>
          <w:rtl/>
        </w:rPr>
        <w:t xml:space="preserve">بن عبدالعزيز</w:t>
      </w:r>
    </w:p>
    <w:p>
      <w:pPr>
        <w:pStyle w:val="BookText"/>
      </w:pPr>
      <w:r>
        <w:rPr>
          <w:rFonts w:ascii="Amiri" w:hAnsi="Amiri" w:eastAsia="Amiri" w:cs="Amiri"/>
          <w:lang w:bidi="ar-SA"/>
          <w:color w:val="111111"/>
          <w:sz w:val="28"/>
          <w:szCs w:val="28"/>
          <w:rtl/>
        </w:rPr>
        <w:t xml:space="preserve">عشاقي ، عبدالله بن عبدالعزيز -صلاحي ،</w:t>
      </w:r>
    </w:p>
    <w:p>
      <w:pPr>
        <w:pStyle w:val="BookText"/>
      </w:pPr>
      <w:r>
        <w:rPr>
          <w:rFonts w:ascii="Amiri" w:hAnsi="Amiri" w:eastAsia="Amiri" w:cs="Amiri"/>
          <w:lang w:bidi="ar-SA"/>
          <w:color w:val="111111"/>
          <w:sz w:val="28"/>
          <w:szCs w:val="28"/>
          <w:rtl/>
        </w:rPr>
        <w:t xml:space="preserve">عبدالله بن عبدالعزيز</w:t>
      </w:r>
    </w:p>
    <w:p>
      <w:pPr>
        <w:pStyle w:val="Heading2"/>
      </w:pPr>
      <w:bookmarkStart w:id="5960" w:name="_Toc5062"/>
      <w:r>
        <w:t>عشاقي ، مصطفى بن محمّبد - 1101 ه-</w:t>
      </w:r>
      <w:bookmarkEnd w:id="5960"/>
    </w:p>
    <w:p>
      <w:pPr>
        <w:pStyle w:val="BookText"/>
      </w:pPr>
      <w:r>
        <w:rPr>
          <w:rFonts w:ascii="IRNazanin" w:hAnsi="IRNazanin" w:eastAsia="IRNazanin" w:cs="IRNazanin"/>
          <w:lang w:bidi="fa-IR"/>
          <w:color w:val="111111"/>
          <w:sz w:val="28"/>
          <w:szCs w:val="28"/>
          <w:rtl/>
        </w:rPr>
        <w:t xml:space="preserve">شرح ملتقى الابحر، ج 10، ص 214.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77" w:name="pg7742_70799"/>
    <w:bookmarkEnd w:id="777"/>
    <w:p>
      <w:pPr>
        <w:pStyle w:val="Heading2"/>
      </w:pPr>
      <w:bookmarkStart w:id="5961" w:name="_Toc5063"/>
      <w:r>
        <w:t>عشقي ، محمّد رضا بن ابوالقاسم، 1312</w:t>
      </w:r>
      <w:bookmarkEnd w:id="59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1342 ه-</w:t>
      </w:r>
    </w:p>
    <w:p>
      <w:pPr>
        <w:pStyle w:val="BookText"/>
      </w:pPr>
      <w:r>
        <w:rPr>
          <w:rFonts w:ascii="IRNazanin" w:hAnsi="IRNazanin" w:eastAsia="IRNazanin" w:cs="IRNazanin"/>
          <w:lang w:bidi="fa-IR"/>
          <w:color w:val="111111"/>
          <w:sz w:val="28"/>
          <w:szCs w:val="28"/>
          <w:rtl/>
        </w:rPr>
        <w:t xml:space="preserve">دیوان عشقي، ج7، ص721.</w:t>
      </w:r>
    </w:p>
    <w:p>
      <w:pPr>
        <w:pStyle w:val="Heading2"/>
      </w:pPr>
      <w:bookmarkStart w:id="5962" w:name="_Toc5064"/>
      <w:r>
        <w:t>عشماوي ، عبدالباري، قرن 11 ه-</w:t>
      </w:r>
      <w:bookmarkEnd w:id="5962"/>
    </w:p>
    <w:p>
      <w:pPr>
        <w:pStyle w:val="BookText"/>
      </w:pPr>
      <w:r>
        <w:rPr>
          <w:rFonts w:ascii="Amiri" w:hAnsi="Amiri" w:eastAsia="Amiri" w:cs="Amiri"/>
          <w:lang w:bidi="ar-SA"/>
          <w:color w:val="111111"/>
          <w:sz w:val="28"/>
          <w:szCs w:val="28"/>
          <w:rtl/>
        </w:rPr>
        <w:t xml:space="preserve">1 .الفقه على مذهب الأمام مالك</w:t>
      </w:r>
    </w:p>
    <w:p>
      <w:pPr>
        <w:pStyle w:val="BookText"/>
      </w:pPr>
      <w:r>
        <w:rPr>
          <w:rFonts w:ascii="Amiri" w:hAnsi="Amiri" w:eastAsia="Amiri" w:cs="Amiri"/>
          <w:lang w:bidi="ar-SA"/>
          <w:color w:val="111111"/>
          <w:sz w:val="28"/>
          <w:szCs w:val="28"/>
          <w:rtl/>
        </w:rPr>
        <w:t xml:space="preserve">(رسالة في)، ج 12، ص 110.</w:t>
      </w:r>
    </w:p>
    <w:p>
      <w:pPr>
        <w:pStyle w:val="BookText"/>
      </w:pPr>
      <w:r>
        <w:rPr>
          <w:rFonts w:ascii="Amiri" w:hAnsi="Amiri" w:eastAsia="Amiri" w:cs="Amiri"/>
          <w:lang w:bidi="ar-SA"/>
          <w:color w:val="111111"/>
          <w:sz w:val="28"/>
          <w:szCs w:val="28"/>
          <w:rtl/>
        </w:rPr>
        <w:t xml:space="preserve">2 .مقدمة في الفقه على مذهب الامام</w:t>
      </w:r>
    </w:p>
    <w:p>
      <w:pPr>
        <w:pStyle w:val="BookText"/>
      </w:pPr>
      <w:r>
        <w:rPr>
          <w:rFonts w:ascii="Amiri" w:hAnsi="Amiri" w:eastAsia="Amiri" w:cs="Amiri"/>
          <w:lang w:bidi="ar-SA"/>
          <w:color w:val="111111"/>
          <w:sz w:val="28"/>
          <w:szCs w:val="28"/>
          <w:rtl/>
        </w:rPr>
        <w:t xml:space="preserve">مالك، ج 15، ص 368.</w:t>
      </w:r>
    </w:p>
    <w:p>
      <w:pPr>
        <w:pStyle w:val="Heading2"/>
      </w:pPr>
      <w:bookmarkStart w:id="5963" w:name="_Toc5065"/>
      <w:r>
        <w:t>عشماوي ، عبد اللطيف بن شرف الدين،</w:t>
      </w:r>
      <w:bookmarkEnd w:id="5963"/>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1 .العشماوية (المقدمة) في فقه</w:t>
      </w:r>
    </w:p>
    <w:p>
      <w:pPr>
        <w:pStyle w:val="BookText"/>
      </w:pPr>
      <w:r>
        <w:rPr>
          <w:rFonts w:ascii="Amiri" w:hAnsi="Amiri" w:eastAsia="Amiri" w:cs="Amiri"/>
          <w:lang w:bidi="ar-SA"/>
          <w:color w:val="111111"/>
          <w:sz w:val="28"/>
          <w:szCs w:val="28"/>
          <w:rtl/>
        </w:rPr>
        <w:t xml:space="preserve">المالكية، ج 11، ص 120.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نظم البحور، ج 16 ، ص331.</w:t>
      </w:r>
    </w:p>
    <w:p>
      <w:pPr>
        <w:pStyle w:val="Heading2"/>
      </w:pPr>
      <w:bookmarkStart w:id="5964" w:name="_Toc5066"/>
      <w:r>
        <w:t>عشماوي ، عبدالله</w:t>
      </w:r>
      <w:bookmarkEnd w:id="5964"/>
    </w:p>
    <w:p>
      <w:pPr>
        <w:pStyle w:val="BookText"/>
      </w:pPr>
      <w:r>
        <w:rPr>
          <w:rFonts w:ascii="Amiri" w:hAnsi="Amiri" w:eastAsia="Amiri" w:cs="Amiri"/>
          <w:lang w:bidi="ar-SA"/>
          <w:color w:val="111111"/>
          <w:sz w:val="28"/>
          <w:szCs w:val="28"/>
          <w:rtl/>
        </w:rPr>
        <w:t xml:space="preserve">حاشية على متن الآجرومية، ج 6،</w:t>
      </w:r>
    </w:p>
    <w:p>
      <w:pPr>
        <w:pStyle w:val="BookText"/>
      </w:pPr>
      <w:r>
        <w:rPr>
          <w:rFonts w:ascii="IRNazanin" w:hAnsi="IRNazanin" w:eastAsia="IRNazanin" w:cs="IRNazanin"/>
          <w:lang w:bidi="fa-IR"/>
          <w:color w:val="111111"/>
          <w:sz w:val="28"/>
          <w:szCs w:val="28"/>
          <w:rtl/>
        </w:rPr>
        <w:t xml:space="preserve">ص 252 .</w:t>
      </w:r>
    </w:p>
    <w:p>
      <w:pPr>
        <w:pStyle w:val="BookText"/>
      </w:pPr>
      <w:r>
        <w:rPr>
          <w:rFonts w:ascii="Amiri" w:hAnsi="Amiri" w:eastAsia="Amiri" w:cs="Amiri"/>
          <w:lang w:bidi="ar-SA"/>
          <w:color w:val="111111"/>
          <w:sz w:val="28"/>
          <w:szCs w:val="28"/>
          <w:rtl/>
        </w:rPr>
        <w:t xml:space="preserve">عصام اسفرايني ، ابراهيم بن</w:t>
      </w:r>
    </w:p>
    <w:p>
      <w:pPr>
        <w:pStyle w:val="BookText"/>
      </w:pPr>
      <w:r>
        <w:rPr>
          <w:rFonts w:ascii="Amiri" w:hAnsi="Amiri" w:eastAsia="Amiri" w:cs="Amiri"/>
          <w:lang w:bidi="ar-SA"/>
          <w:color w:val="111111"/>
          <w:sz w:val="28"/>
          <w:szCs w:val="28"/>
          <w:rtl/>
        </w:rPr>
        <w:t xml:space="preserve">محمّد -عصام الدين اسفرايني ، ابراهيم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عصام الدين ابراهيم -عصام الدين</w:t>
      </w:r>
    </w:p>
    <w:p>
      <w:pPr>
        <w:pStyle w:val="BookText"/>
      </w:pPr>
      <w:r>
        <w:rPr>
          <w:rFonts w:ascii="Amiri" w:hAnsi="Amiri" w:eastAsia="Amiri" w:cs="Amiri"/>
          <w:lang w:bidi="ar-SA"/>
          <w:color w:val="111111"/>
          <w:sz w:val="28"/>
          <w:szCs w:val="28"/>
          <w:rtl/>
        </w:rPr>
        <w:t xml:space="preserve">اسفرايني ، ابراهيم بن محمّد</w:t>
      </w:r>
    </w:p>
    <w:p>
      <w:pPr>
        <w:pStyle w:val="Heading2"/>
      </w:pPr>
      <w:bookmarkStart w:id="5965" w:name="_Toc5067"/>
      <w:r>
        <w:t>عصام الدين اسفرايني، ابراهيم بن</w:t>
      </w:r>
      <w:bookmarkEnd w:id="5965"/>
    </w:p>
    <w:p>
      <w:pPr>
        <w:pStyle w:val="BookText"/>
      </w:pPr>
      <w:r>
        <w:rPr>
          <w:rFonts w:ascii="Amiri" w:hAnsi="Amiri" w:eastAsia="Amiri" w:cs="Amiri"/>
          <w:lang w:bidi="ar-SA"/>
          <w:color w:val="111111"/>
          <w:sz w:val="28"/>
          <w:szCs w:val="28"/>
          <w:rtl/>
        </w:rPr>
        <w:t xml:space="preserve">محمّد 73 - 951 ه-</w:t>
      </w:r>
    </w:p>
    <w:p>
      <w:pPr>
        <w:pStyle w:val="BookText"/>
      </w:pPr>
      <w:r>
        <w:rPr>
          <w:rFonts w:ascii="Amiri" w:hAnsi="Amiri" w:eastAsia="Amiri" w:cs="Amiri"/>
          <w:lang w:bidi="ar-SA"/>
          <w:color w:val="111111"/>
          <w:sz w:val="28"/>
          <w:szCs w:val="28"/>
          <w:rtl/>
        </w:rPr>
        <w:t xml:space="preserve">1 .الاستعارات (رسالة في)، ج2،</w:t>
      </w:r>
    </w:p>
    <w:p>
      <w:pPr>
        <w:pStyle w:val="BookText"/>
      </w:pPr>
      <w:r>
        <w:rPr>
          <w:rFonts w:ascii="IRNazanin" w:hAnsi="IRNazanin" w:eastAsia="IRNazanin" w:cs="IRNazanin"/>
          <w:lang w:bidi="fa-IR"/>
          <w:color w:val="111111"/>
          <w:sz w:val="28"/>
          <w:szCs w:val="28"/>
          <w:rtl/>
        </w:rPr>
        <w:t xml:space="preserve">ص 136.</w:t>
      </w:r>
    </w:p>
    <w:p>
      <w:pPr>
        <w:pStyle w:val="BookText"/>
      </w:pPr>
      <w:r>
        <w:rPr>
          <w:rFonts w:ascii="Amiri" w:hAnsi="Amiri" w:eastAsia="Amiri" w:cs="Amiri"/>
          <w:lang w:bidi="ar-SA"/>
          <w:color w:val="111111"/>
          <w:sz w:val="28"/>
          <w:szCs w:val="28"/>
          <w:rtl/>
        </w:rPr>
        <w:t xml:space="preserve">2 .الاطول = شرح تلخيص المفتاح، ج2،</w:t>
      </w:r>
    </w:p>
    <w:p>
      <w:pPr>
        <w:pStyle w:val="BookText"/>
      </w:pPr>
      <w:r>
        <w:rPr>
          <w:rFonts w:ascii="IRNazanin" w:hAnsi="IRNazanin" w:eastAsia="IRNazanin" w:cs="IRNazanin"/>
          <w:lang w:bidi="fa-IR"/>
          <w:color w:val="111111"/>
          <w:sz w:val="28"/>
          <w:szCs w:val="28"/>
          <w:rtl/>
        </w:rPr>
        <w:t xml:space="preserve">ص 486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بحث النسب (رسالة في)، ج3،</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Amiri" w:hAnsi="Amiri" w:eastAsia="Amiri" w:cs="Amiri"/>
          <w:lang w:bidi="ar-SA"/>
          <w:color w:val="111111"/>
          <w:sz w:val="28"/>
          <w:szCs w:val="28"/>
          <w:rtl/>
        </w:rPr>
        <w:t xml:space="preserve">4 .برهان سديد لبيان النسب بين</w:t>
      </w:r>
    </w:p>
    <w:p>
      <w:pPr>
        <w:pStyle w:val="BookText"/>
      </w:pPr>
      <w:r>
        <w:rPr>
          <w:rFonts w:ascii="IRNazanin" w:hAnsi="IRNazanin" w:eastAsia="IRNazanin" w:cs="IRNazanin"/>
          <w:lang w:bidi="fa-IR"/>
          <w:color w:val="111111"/>
          <w:sz w:val="28"/>
          <w:szCs w:val="28"/>
          <w:rtl/>
        </w:rPr>
        <w:t xml:space="preserve">النقائض، ج 3، ص 307.</w:t>
      </w:r>
    </w:p>
    <w:p>
      <w:pPr>
        <w:pStyle w:val="BookText"/>
      </w:pPr>
      <w:r>
        <w:rPr>
          <w:rFonts w:ascii="IRNazanin" w:hAnsi="IRNazanin" w:eastAsia="IRNazanin" w:cs="IRNazanin"/>
          <w:lang w:bidi="fa-IR"/>
          <w:color w:val="111111"/>
          <w:sz w:val="28"/>
          <w:szCs w:val="28"/>
          <w:rtl/>
        </w:rPr>
        <w:t xml:space="preserve">5.بلاغت، ج 3، ص383.</w:t>
      </w:r>
    </w:p>
    <w:p>
      <w:pPr>
        <w:pStyle w:val="BookText"/>
      </w:pPr>
      <w:r>
        <w:rPr>
          <w:rFonts w:ascii="Amiri" w:hAnsi="Amiri" w:eastAsia="Amiri" w:cs="Amiri"/>
          <w:lang w:bidi="ar-SA"/>
          <w:color w:val="111111"/>
          <w:sz w:val="28"/>
          <w:szCs w:val="28"/>
          <w:rtl/>
        </w:rPr>
        <w:t xml:space="preserve">6 .تعريب الكبرى في المنطق = ترجمة الكبرى في المنطق = معرب الكبرى</w:t>
      </w:r>
    </w:p>
    <w:p>
      <w:pPr>
        <w:pStyle w:val="BookText"/>
      </w:pPr>
      <w:r>
        <w:rPr>
          <w:rFonts w:ascii="Amiri" w:hAnsi="Amiri" w:eastAsia="Amiri" w:cs="Amiri"/>
          <w:lang w:bidi="ar-SA"/>
          <w:color w:val="111111"/>
          <w:sz w:val="28"/>
          <w:szCs w:val="28"/>
          <w:rtl/>
        </w:rPr>
        <w:t xml:space="preserve">في المنطق = تعريب رسالة الكبرى</w:t>
      </w:r>
    </w:p>
    <w:p>
      <w:pPr>
        <w:pStyle w:val="BookText"/>
      </w:pPr>
      <w:r>
        <w:rPr>
          <w:rFonts w:ascii="Amiri" w:hAnsi="Amiri" w:eastAsia="Amiri" w:cs="Amiri"/>
          <w:lang w:bidi="ar-SA"/>
          <w:color w:val="111111"/>
          <w:sz w:val="28"/>
          <w:szCs w:val="28"/>
          <w:rtl/>
        </w:rPr>
        <w:t xml:space="preserve">في المنطق، ج4، ص 465.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حاشية الشمسية، ج 6، ص220.</w:t>
      </w:r>
    </w:p>
    <w:p>
      <w:pPr>
        <w:pStyle w:val="BookText"/>
      </w:pPr>
      <w:r>
        <w:rPr>
          <w:rFonts w:ascii="Amiri" w:hAnsi="Amiri" w:eastAsia="Amiri" w:cs="Amiri"/>
          <w:lang w:bidi="ar-SA"/>
          <w:color w:val="111111"/>
          <w:sz w:val="28"/>
          <w:szCs w:val="28"/>
          <w:rtl/>
        </w:rPr>
        <w:t xml:space="preserve">حاشية الفوائد الضيائية في شرح</w:t>
      </w:r>
    </w:p>
    <w:p>
      <w:pPr>
        <w:pStyle w:val="BookText"/>
      </w:pPr>
      <w:r>
        <w:rPr>
          <w:rFonts w:ascii="Amiri" w:hAnsi="Amiri" w:eastAsia="Amiri" w:cs="Amiri"/>
          <w:lang w:bidi="ar-SA"/>
          <w:color w:val="111111"/>
          <w:sz w:val="28"/>
          <w:szCs w:val="28"/>
          <w:rtl/>
        </w:rPr>
        <w:t xml:space="preserve">8.الكافية = حاشيه شرح جامي حاشيه عصام الدين، ج 6، ص 276.</w:t>
      </w:r>
    </w:p>
    <w:p>
      <w:pPr>
        <w:pStyle w:val="BookText"/>
      </w:pPr>
      <w:r>
        <w:rPr>
          <w:rFonts w:ascii="Amiri" w:hAnsi="Amiri" w:eastAsia="Amiri" w:cs="Amiri"/>
          <w:lang w:bidi="ar-SA"/>
          <w:color w:val="111111"/>
          <w:sz w:val="28"/>
          <w:szCs w:val="28"/>
          <w:rtl/>
        </w:rPr>
        <w:t xml:space="preserve">9 .حاشية انوار التنزيل = حاشيه تفسير بيضاوي، ج 5، ص 685 .</w:t>
      </w:r>
    </w:p>
    <w:p>
      <w:pPr>
        <w:pStyle w:val="BookText"/>
      </w:pPr>
      <w:r>
        <w:rPr>
          <w:rFonts w:ascii="Amiri" w:hAnsi="Amiri" w:eastAsia="Amiri" w:cs="Amiri"/>
          <w:lang w:bidi="ar-SA"/>
          <w:color w:val="111111"/>
          <w:sz w:val="28"/>
          <w:szCs w:val="28"/>
          <w:rtl/>
        </w:rPr>
        <w:t xml:space="preserve">10 .حاشية تحرير القواعد المنطقية في شرح الشمسية = حاشية شرح الشمسية، ج 5، ص 726.</w:t>
      </w:r>
    </w:p>
    <w:p>
      <w:pPr>
        <w:pStyle w:val="BookText"/>
      </w:pPr>
      <w:r>
        <w:rPr>
          <w:rFonts w:ascii="Amiri" w:hAnsi="Amiri" w:eastAsia="Amiri" w:cs="Amiri"/>
          <w:lang w:bidi="ar-SA"/>
          <w:color w:val="111111"/>
          <w:sz w:val="28"/>
          <w:szCs w:val="28"/>
          <w:rtl/>
        </w:rPr>
        <w:t xml:space="preserve">11 .حاشية شرح الشرواني على آداب</w:t>
      </w:r>
    </w:p>
    <w:p>
      <w:pPr>
        <w:pStyle w:val="BookText"/>
      </w:pPr>
      <w:r>
        <w:rPr>
          <w:rFonts w:ascii="IRNazanin" w:hAnsi="IRNazanin" w:eastAsia="IRNazanin" w:cs="IRNazanin"/>
          <w:lang w:bidi="fa-IR"/>
          <w:color w:val="111111"/>
          <w:sz w:val="28"/>
          <w:szCs w:val="28"/>
          <w:rtl/>
        </w:rPr>
        <w:t xml:space="preserve">البحث، ج 6، ص 130.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حاشية شرح العقائد النسفية حاشية شرح عقائد النسفي، ج 6،</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13 حقیقت و مجاز = استعاره، ج 6،</w:t>
      </w:r>
    </w:p>
    <w:p>
      <w:pPr>
        <w:pStyle w:val="BookText"/>
      </w:pPr>
      <w:r>
        <w:rPr>
          <w:rFonts w:ascii="IRNazanin" w:hAnsi="IRNazanin" w:eastAsia="IRNazanin" w:cs="IRNazanin"/>
          <w:lang w:bidi="fa-IR"/>
          <w:color w:val="111111"/>
          <w:sz w:val="28"/>
          <w:szCs w:val="28"/>
          <w:rtl/>
        </w:rPr>
        <w:t xml:space="preserve">ص 715.</w:t>
      </w:r>
    </w:p>
    <w:p>
      <w:pPr>
        <w:pStyle w:val="BookText"/>
      </w:pPr>
      <w:r>
        <w:rPr>
          <w:rFonts w:ascii="Amiri" w:hAnsi="Amiri" w:eastAsia="Amiri" w:cs="Amiri"/>
          <w:lang w:bidi="ar-SA"/>
          <w:color w:val="111111"/>
          <w:sz w:val="28"/>
          <w:szCs w:val="28"/>
          <w:rtl/>
        </w:rPr>
        <w:t xml:space="preserve">14 .خلاصة المنطق، ج 7، ص138.</w:t>
      </w:r>
    </w:p>
    <w:p>
      <w:pPr>
        <w:pStyle w:val="BookText"/>
      </w:pPr>
      <w:r>
        <w:rPr>
          <w:rFonts w:ascii="IRNazanin" w:hAnsi="IRNazanin" w:eastAsia="IRNazanin" w:cs="IRNazanin"/>
          <w:lang w:bidi="fa-IR"/>
          <w:color w:val="111111"/>
          <w:sz w:val="28"/>
          <w:szCs w:val="28"/>
          <w:rtl/>
        </w:rPr>
        <w:t xml:space="preserve">15 .شرح آداب البحث، ج 9، ص127.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شرح الرسالة الحنفية في آداب</w:t>
      </w:r>
    </w:p>
    <w:p>
      <w:pPr>
        <w:pStyle w:val="BookText"/>
      </w:pPr>
      <w:r>
        <w:rPr>
          <w:rFonts w:ascii="IRNazanin" w:hAnsi="IRNazanin" w:eastAsia="IRNazanin" w:cs="IRNazanin"/>
          <w:lang w:bidi="fa-IR"/>
          <w:color w:val="111111"/>
          <w:sz w:val="28"/>
          <w:szCs w:val="28"/>
          <w:rtl/>
        </w:rPr>
        <w:t xml:space="preserve">البحث، ج9، ص 532.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شرح الرسالة الوضعية العضدية = شرح رسالة في الوضع، ج 9، ص 562.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شرح العقائد العضدية، ج 9،</w:t>
      </w:r>
    </w:p>
    <w:p>
      <w:pPr>
        <w:pStyle w:val="BookText"/>
      </w:pPr>
      <w:r>
        <w:rPr>
          <w:rFonts w:ascii="IRNazanin" w:hAnsi="IRNazanin" w:eastAsia="IRNazanin" w:cs="IRNazanin"/>
          <w:lang w:bidi="fa-IR"/>
          <w:color w:val="111111"/>
          <w:sz w:val="28"/>
          <w:szCs w:val="28"/>
          <w:rtl/>
        </w:rPr>
        <w:t xml:space="preserve">ص 726 .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78" w:name="pg7742_70801"/>
    <w:bookmarkEnd w:id="778"/>
    <w:p>
      <w:pPr>
        <w:pStyle w:val="BookText"/>
      </w:pPr>
      <w:r>
        <w:rPr>
          <w:rFonts w:ascii="Amiri" w:hAnsi="Amiri" w:eastAsia="Amiri" w:cs="Amiri"/>
          <w:lang w:bidi="ar-SA"/>
          <w:color w:val="111111"/>
          <w:sz w:val="28"/>
          <w:szCs w:val="28"/>
          <w:rtl/>
        </w:rPr>
        <w:t xml:space="preserve">19 .شرح القصيدة النونية، ج 9،</w:t>
      </w:r>
    </w:p>
    <w:p>
      <w:pPr>
        <w:pStyle w:val="BookText"/>
      </w:pPr>
      <w:r>
        <w:rPr>
          <w:rFonts w:ascii="IRNazanin" w:hAnsi="IRNazanin" w:eastAsia="IRNazanin" w:cs="IRNazanin"/>
          <w:lang w:bidi="fa-IR"/>
          <w:color w:val="111111"/>
          <w:sz w:val="28"/>
          <w:szCs w:val="28"/>
          <w:rtl/>
        </w:rPr>
        <w:t xml:space="preserve">ص 902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شرح الكافية، ج 10، ص 35.</w:t>
      </w:r>
    </w:p>
    <w:p>
      <w:pPr>
        <w:pStyle w:val="BookText"/>
      </w:pPr>
      <w:r>
        <w:rPr>
          <w:rFonts w:ascii="Amiri" w:hAnsi="Amiri" w:eastAsia="Amiri" w:cs="Amiri"/>
          <w:lang w:bidi="ar-SA"/>
          <w:color w:val="111111"/>
          <w:sz w:val="28"/>
          <w:szCs w:val="28"/>
          <w:rtl/>
        </w:rPr>
        <w:t xml:space="preserve">21 .شرح رسالة الاستعارة = شرح الرسالة السمرقندية، ج 9، ص 512.</w:t>
      </w:r>
    </w:p>
    <w:p>
      <w:pPr>
        <w:pStyle w:val="BookText"/>
      </w:pPr>
      <w:r>
        <w:rPr>
          <w:rFonts w:ascii="Amiri" w:hAnsi="Amiri" w:eastAsia="Amiri" w:cs="Amiri"/>
          <w:lang w:bidi="ar-SA"/>
          <w:color w:val="111111"/>
          <w:sz w:val="28"/>
          <w:szCs w:val="28"/>
          <w:rtl/>
        </w:rPr>
        <w:t xml:space="preserve">22 .شرح عصام الدين، ج 9، ص719.</w:t>
      </w:r>
    </w:p>
    <w:p>
      <w:pPr>
        <w:pStyle w:val="BookText"/>
      </w:pPr>
      <w:r>
        <w:rPr>
          <w:rFonts w:ascii="Amiri" w:hAnsi="Amiri" w:eastAsia="Amiri" w:cs="Amiri"/>
          <w:lang w:bidi="ar-SA"/>
          <w:color w:val="111111"/>
          <w:sz w:val="28"/>
          <w:szCs w:val="28"/>
          <w:rtl/>
        </w:rPr>
        <w:t xml:space="preserve">23 .شرح كبرى في المنطق، ج 10،</w:t>
      </w:r>
    </w:p>
    <w:p>
      <w:pPr>
        <w:pStyle w:val="BookText"/>
      </w:pPr>
      <w:r>
        <w:rPr>
          <w:rFonts w:ascii="IRNazanin" w:hAnsi="IRNazanin" w:eastAsia="IRNazanin" w:cs="IRNazanin"/>
          <w:lang w:bidi="fa-IR"/>
          <w:color w:val="111111"/>
          <w:sz w:val="28"/>
          <w:szCs w:val="28"/>
          <w:rtl/>
        </w:rPr>
        <w:t xml:space="preserve">ص 40 .</w:t>
      </w:r>
    </w:p>
    <w:p>
      <w:pPr>
        <w:pStyle w:val="BookText"/>
      </w:pPr>
      <w:r>
        <w:rPr>
          <w:rFonts w:ascii="Amiri" w:hAnsi="Amiri" w:eastAsia="Amiri" w:cs="Amiri"/>
          <w:lang w:bidi="ar-SA"/>
          <w:color w:val="111111"/>
          <w:sz w:val="28"/>
          <w:szCs w:val="28"/>
          <w:rtl/>
        </w:rPr>
        <w:t xml:space="preserve">24 .شرح منظومة الالغاز النحوية</w:t>
      </w:r>
    </w:p>
    <w:p>
      <w:pPr>
        <w:pStyle w:val="BookText"/>
      </w:pPr>
      <w:r>
        <w:rPr>
          <w:rFonts w:ascii="IRNazanin" w:hAnsi="IRNazanin" w:eastAsia="IRNazanin" w:cs="IRNazanin"/>
          <w:lang w:bidi="fa-IR"/>
          <w:color w:val="111111"/>
          <w:sz w:val="28"/>
          <w:szCs w:val="28"/>
          <w:rtl/>
        </w:rPr>
        <w:t xml:space="preserve">ج 10، ص 243.</w:t>
      </w:r>
    </w:p>
    <w:p>
      <w:pPr>
        <w:pStyle w:val="BookText"/>
      </w:pPr>
      <w:r>
        <w:rPr>
          <w:rFonts w:ascii="Amiri" w:hAnsi="Amiri" w:eastAsia="Amiri" w:cs="Amiri"/>
          <w:lang w:bidi="ar-SA"/>
          <w:color w:val="111111"/>
          <w:sz w:val="28"/>
          <w:szCs w:val="28"/>
          <w:rtl/>
        </w:rPr>
        <w:t xml:space="preserve">25 .شرح وقاية الرواية في مسائل</w:t>
      </w:r>
    </w:p>
    <w:p>
      <w:pPr>
        <w:pStyle w:val="BookText"/>
      </w:pPr>
      <w:r>
        <w:rPr>
          <w:rFonts w:ascii="Amiri" w:hAnsi="Amiri" w:eastAsia="Amiri" w:cs="Amiri"/>
          <w:lang w:bidi="ar-SA"/>
          <w:color w:val="111111"/>
          <w:sz w:val="28"/>
          <w:szCs w:val="28"/>
          <w:rtl/>
        </w:rPr>
        <w:t xml:space="preserve">الهداية، ج 10، ص 341.</w:t>
      </w:r>
    </w:p>
    <w:p>
      <w:pPr>
        <w:pStyle w:val="BookText"/>
      </w:pPr>
      <w:r>
        <w:rPr>
          <w:rFonts w:ascii="IRNazanin" w:hAnsi="IRNazanin" w:eastAsia="IRNazanin" w:cs="IRNazanin"/>
          <w:lang w:bidi="fa-IR"/>
          <w:color w:val="111111"/>
          <w:sz w:val="28"/>
          <w:szCs w:val="28"/>
          <w:rtl/>
        </w:rPr>
        <w:t xml:space="preserve">26 .شفاء الصدور بشرح الشذور</w:t>
      </w:r>
    </w:p>
    <w:p>
      <w:pPr>
        <w:pStyle w:val="BookText"/>
      </w:pPr>
      <w:r>
        <w:rPr>
          <w:rFonts w:ascii="IRNazanin" w:hAnsi="IRNazanin" w:eastAsia="IRNazanin" w:cs="IRNazanin"/>
          <w:lang w:bidi="fa-IR"/>
          <w:color w:val="111111"/>
          <w:sz w:val="28"/>
          <w:szCs w:val="28"/>
          <w:rtl/>
        </w:rPr>
        <w:t xml:space="preserve">ج 10، ص 384.</w:t>
      </w:r>
    </w:p>
    <w:p>
      <w:pPr>
        <w:pStyle w:val="BookText"/>
      </w:pPr>
      <w:r>
        <w:rPr>
          <w:rFonts w:ascii="IRNazanin" w:hAnsi="IRNazanin" w:eastAsia="IRNazanin" w:cs="IRNazanin"/>
          <w:lang w:bidi="fa-IR"/>
          <w:color w:val="111111"/>
          <w:sz w:val="28"/>
          <w:szCs w:val="28"/>
          <w:rtl/>
        </w:rPr>
        <w:t xml:space="preserve">27 .میزان الادب في قواعد الفاظ</w:t>
      </w:r>
    </w:p>
    <w:p>
      <w:pPr>
        <w:pStyle w:val="BookText"/>
      </w:pPr>
      <w:r>
        <w:rPr>
          <w:rFonts w:ascii="IRNazanin" w:hAnsi="IRNazanin" w:eastAsia="IRNazanin" w:cs="IRNazanin"/>
          <w:lang w:bidi="fa-IR"/>
          <w:color w:val="111111"/>
          <w:sz w:val="28"/>
          <w:szCs w:val="28"/>
          <w:rtl/>
        </w:rPr>
        <w:t xml:space="preserve">العرب، ج 16، ص 64.</w:t>
      </w:r>
    </w:p>
    <w:p>
      <w:pPr>
        <w:pStyle w:val="BookText"/>
      </w:pPr>
      <w:r>
        <w:rPr>
          <w:rFonts w:ascii="Amiri" w:hAnsi="Amiri" w:eastAsia="Amiri" w:cs="Amiri"/>
          <w:lang w:bidi="ar-SA"/>
          <w:color w:val="111111"/>
          <w:sz w:val="28"/>
          <w:szCs w:val="28"/>
          <w:rtl/>
        </w:rPr>
        <w:t xml:space="preserve">28 .النقيض (رسالة في)، ج 16، ص 455.</w:t>
      </w:r>
    </w:p>
    <w:p>
      <w:pPr>
        <w:pStyle w:val="BookText"/>
      </w:pPr>
      <w:r>
        <w:rPr>
          <w:rFonts w:ascii="IRNazanin" w:hAnsi="IRNazanin" w:eastAsia="IRNazanin" w:cs="IRNazanin"/>
          <w:lang w:bidi="fa-IR"/>
          <w:color w:val="111111"/>
          <w:sz w:val="28"/>
          <w:szCs w:val="28"/>
          <w:rtl/>
        </w:rPr>
        <w:t xml:space="preserve">عصام الدين طاشكبرى زاده- طاش کبری</w:t>
      </w:r>
    </w:p>
    <w:p>
      <w:pPr>
        <w:pStyle w:val="BookText"/>
      </w:pPr>
      <w:r>
        <w:rPr>
          <w:rFonts w:ascii="IRNazanin" w:hAnsi="IRNazanin" w:eastAsia="IRNazanin" w:cs="IRNazanin"/>
          <w:lang w:bidi="fa-IR"/>
          <w:color w:val="111111"/>
          <w:sz w:val="28"/>
          <w:szCs w:val="28"/>
          <w:rtl/>
        </w:rPr>
        <w:t xml:space="preserve">زاده، احمد بن مصطفى</w:t>
      </w:r>
    </w:p>
    <w:p>
      <w:pPr>
        <w:pStyle w:val="BookText"/>
      </w:pPr>
      <w:r>
        <w:rPr>
          <w:rFonts w:ascii="Amiri" w:hAnsi="Amiri" w:eastAsia="Amiri" w:cs="Amiri"/>
          <w:lang w:bidi="ar-SA"/>
          <w:color w:val="111111"/>
          <w:sz w:val="28"/>
          <w:szCs w:val="28"/>
          <w:rtl/>
        </w:rPr>
        <w:t xml:space="preserve">عصام الدين عمري -عمري ، عثمان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عصام الدين نعمان بن عثمان عمري</w:t>
      </w:r>
    </w:p>
    <w:p>
      <w:pPr>
        <w:pStyle w:val="BookText"/>
      </w:pPr>
      <w:r>
        <w:rPr>
          <w:rFonts w:ascii="Amiri" w:hAnsi="Amiri" w:eastAsia="Amiri" w:cs="Amiri"/>
          <w:lang w:bidi="ar-SA"/>
          <w:color w:val="111111"/>
          <w:sz w:val="28"/>
          <w:szCs w:val="28"/>
          <w:rtl/>
        </w:rPr>
        <w:t xml:space="preserve">موصلي -عمري ، نعمان بن عثمان</w:t>
      </w:r>
    </w:p>
    <w:p>
      <w:pPr>
        <w:pStyle w:val="BookText"/>
      </w:pPr>
      <w:r>
        <w:rPr>
          <w:rFonts w:ascii="Amiri" w:hAnsi="Amiri" w:eastAsia="Amiri" w:cs="Amiri"/>
          <w:lang w:bidi="ar-SA"/>
          <w:color w:val="111111"/>
          <w:sz w:val="28"/>
          <w:szCs w:val="28"/>
          <w:rtl/>
        </w:rPr>
        <w:t xml:space="preserve">عصامي ، عبدالملك بن جمال الدين- اسفرائيني ، عبدالملك بن جمال الدين</w:t>
      </w:r>
    </w:p>
    <w:p>
      <w:pPr>
        <w:pStyle w:val="Heading2"/>
      </w:pPr>
      <w:bookmarkStart w:id="5966" w:name="_Toc5068"/>
      <w:r>
        <w:t>عصامي ، عبدالملك بن حسين 1049 -</w:t>
      </w:r>
      <w:bookmarkEnd w:id="5966"/>
    </w:p>
    <w:p>
      <w:pPr>
        <w:pStyle w:val="BookText"/>
      </w:pPr>
      <w:r>
        <w:rPr>
          <w:rFonts w:ascii="IRNazanin" w:hAnsi="IRNazanin" w:eastAsia="IRNazanin" w:cs="IRNazanin"/>
          <w:lang w:bidi="fa-IR"/>
          <w:color w:val="111111"/>
          <w:sz w:val="28"/>
          <w:szCs w:val="28"/>
          <w:rtl/>
        </w:rPr>
        <w:t xml:space="preserve">1111 ه-</w:t>
      </w:r>
    </w:p>
    <w:p>
      <w:pPr>
        <w:pStyle w:val="BookText"/>
      </w:pPr>
      <w:r>
        <w:rPr>
          <w:rFonts w:ascii="Amiri" w:hAnsi="Amiri" w:eastAsia="Amiri" w:cs="Amiri"/>
          <w:lang w:bidi="ar-SA"/>
          <w:color w:val="111111"/>
          <w:sz w:val="28"/>
          <w:szCs w:val="28"/>
          <w:rtl/>
        </w:rPr>
        <w:t xml:space="preserve">سمط النجوم العوالي في انباء الاوائل و التوالي = تاريخ العصامي، ج8، ص832.</w:t>
      </w:r>
    </w:p>
    <w:p>
      <w:pPr>
        <w:pStyle w:val="Heading2"/>
      </w:pPr>
      <w:bookmarkStart w:id="5967" w:name="_Toc5069"/>
      <w:r>
        <w:t>عصامي ، علي بن اسماعيل - 1007 ه-</w:t>
      </w:r>
      <w:bookmarkEnd w:id="5967"/>
    </w:p>
    <w:p>
      <w:pPr>
        <w:pStyle w:val="BookText"/>
      </w:pPr>
      <w:r>
        <w:rPr>
          <w:rFonts w:ascii="Amiri" w:hAnsi="Amiri" w:eastAsia="Amiri" w:cs="Amiri"/>
          <w:lang w:bidi="ar-SA"/>
          <w:color w:val="111111"/>
          <w:sz w:val="28"/>
          <w:szCs w:val="28"/>
          <w:rtl/>
        </w:rPr>
        <w:t xml:space="preserve">1 .تعريب رسالة الاستعارات للسمرقندي، ج4، ص 464.</w:t>
      </w:r>
    </w:p>
    <w:p>
      <w:pPr>
        <w:pStyle w:val="BookText"/>
      </w:pPr>
      <w:r>
        <w:rPr>
          <w:rFonts w:ascii="Amiri" w:hAnsi="Amiri" w:eastAsia="Amiri" w:cs="Amiri"/>
          <w:lang w:bidi="ar-SA"/>
          <w:color w:val="111111"/>
          <w:sz w:val="28"/>
          <w:szCs w:val="28"/>
          <w:rtl/>
        </w:rPr>
        <w:t xml:space="preserve">2 .حاشية شرح رسالة الاستعارة، ج 6،</w:t>
      </w:r>
    </w:p>
    <w:p>
      <w:pPr>
        <w:pStyle w:val="BookText"/>
      </w:pPr>
      <w:r>
        <w:rPr>
          <w:rFonts w:ascii="IRNazanin" w:hAnsi="IRNazanin" w:eastAsia="IRNazanin" w:cs="IRNazanin"/>
          <w:lang w:bidi="fa-IR"/>
          <w:color w:val="111111"/>
          <w:sz w:val="28"/>
          <w:szCs w:val="28"/>
          <w:rtl/>
        </w:rPr>
        <w:t xml:space="preserve">ص 95.</w:t>
      </w:r>
    </w:p>
    <w:p>
      <w:pPr>
        <w:pStyle w:val="Heading2"/>
      </w:pPr>
      <w:bookmarkStart w:id="5968" w:name="_Toc5070"/>
      <w:r>
        <w:t>عصامي ، محمّد بن صالح قرن 13 ه-</w:t>
      </w:r>
      <w:bookmarkEnd w:id="5968"/>
    </w:p>
    <w:p>
      <w:pPr>
        <w:pStyle w:val="BookText"/>
      </w:pPr>
      <w:r>
        <w:rPr>
          <w:rFonts w:ascii="Amiri" w:hAnsi="Amiri" w:eastAsia="Amiri" w:cs="Amiri"/>
          <w:lang w:bidi="ar-SA"/>
          <w:color w:val="111111"/>
          <w:sz w:val="28"/>
          <w:szCs w:val="28"/>
          <w:rtl/>
        </w:rPr>
        <w:t xml:space="preserve">مسالك الابصار في اخبار ممالك الامصار وعيوم الاخبار و عجائب الاثار و نفائس الاشعار، ج 14، ص 504.</w:t>
      </w:r>
    </w:p>
    <w:p>
      <w:pPr>
        <w:pStyle w:val="Heading2"/>
      </w:pPr>
      <w:bookmarkStart w:id="5969" w:name="_Toc5071"/>
      <w:r>
        <w:t>عصفري ، ابوسعید عباد، قرن 3 ه-</w:t>
      </w:r>
      <w:bookmarkEnd w:id="5969"/>
    </w:p>
    <w:p>
      <w:pPr>
        <w:pStyle w:val="BookText"/>
      </w:pPr>
      <w:r>
        <w:rPr>
          <w:rFonts w:ascii="Amiri" w:hAnsi="Amiri" w:eastAsia="Amiri" w:cs="Amiri"/>
          <w:lang w:bidi="ar-SA"/>
          <w:color w:val="111111"/>
          <w:sz w:val="28"/>
          <w:szCs w:val="28"/>
          <w:rtl/>
        </w:rPr>
        <w:t xml:space="preserve">اصل عباد العصفري = كتاب ابي سعيد</w:t>
      </w:r>
    </w:p>
    <w:p>
      <w:pPr>
        <w:pStyle w:val="BookText"/>
      </w:pPr>
      <w:r>
        <w:rPr>
          <w:rFonts w:ascii="Amiri" w:hAnsi="Amiri" w:eastAsia="Amiri" w:cs="Amiri"/>
          <w:lang w:bidi="ar-SA"/>
          <w:color w:val="111111"/>
          <w:sz w:val="28"/>
          <w:szCs w:val="28"/>
          <w:rtl/>
        </w:rPr>
        <w:t xml:space="preserve">عباد العصفري، ج 2، ص391.</w:t>
      </w:r>
    </w:p>
    <w:p>
      <w:pPr>
        <w:pStyle w:val="BookText"/>
      </w:pPr>
      <w:r>
        <w:rPr>
          <w:rFonts w:ascii="IRNazanin" w:hAnsi="IRNazanin" w:eastAsia="IRNazanin" w:cs="IRNazanin"/>
          <w:lang w:bidi="fa-IR"/>
          <w:color w:val="111111"/>
          <w:sz w:val="28"/>
          <w:szCs w:val="28"/>
          <w:rtl/>
        </w:rPr>
        <w:t xml:space="preserve">عصفري ، خليفه بن خیاط- خلیفه بن</w:t>
      </w:r>
    </w:p>
    <w:p>
      <w:pPr>
        <w:pStyle w:val="BookText"/>
      </w:pPr>
      <w:r>
        <w:rPr>
          <w:rFonts w:ascii="IRNazanin" w:hAnsi="IRNazanin" w:eastAsia="IRNazanin" w:cs="IRNazanin"/>
          <w:lang w:bidi="fa-IR"/>
          <w:color w:val="111111"/>
          <w:sz w:val="28"/>
          <w:szCs w:val="28"/>
          <w:rtl/>
        </w:rPr>
        <w:t xml:space="preserve">خیاط</w:t>
      </w:r>
    </w:p>
    <w:p>
      <w:pPr>
        <w:pStyle w:val="BookText"/>
      </w:pPr>
      <w:r>
        <w:rPr>
          <w:rFonts w:ascii="Amiri" w:hAnsi="Amiri" w:eastAsia="Amiri" w:cs="Amiri"/>
          <w:lang w:bidi="ar-SA"/>
          <w:color w:val="111111"/>
          <w:sz w:val="28"/>
          <w:szCs w:val="28"/>
          <w:rtl/>
        </w:rPr>
        <w:t xml:space="preserve">عصفور بحراني ، احمد بن ابراهيم- آل</w:t>
      </w:r>
    </w:p>
    <w:p>
      <w:pPr>
        <w:pStyle w:val="BookText"/>
      </w:pPr>
      <w:r>
        <w:rPr>
          <w:rFonts w:ascii="Amiri" w:hAnsi="Amiri" w:eastAsia="Amiri" w:cs="Amiri"/>
          <w:lang w:bidi="ar-SA"/>
          <w:color w:val="111111"/>
          <w:sz w:val="28"/>
          <w:szCs w:val="28"/>
          <w:rtl/>
        </w:rPr>
        <w:t xml:space="preserve">عصفور بحراني ، احمد بن ابراهيم</w:t>
      </w:r>
    </w:p>
    <w:p>
      <w:pPr>
        <w:pStyle w:val="BookText"/>
      </w:pPr>
      <w:r>
        <w:rPr>
          <w:rFonts w:ascii="Amiri" w:hAnsi="Amiri" w:eastAsia="Amiri" w:cs="Amiri"/>
          <w:lang w:bidi="ar-SA"/>
          <w:color w:val="111111"/>
          <w:sz w:val="28"/>
          <w:szCs w:val="28"/>
          <w:rtl/>
        </w:rPr>
        <w:t xml:space="preserve">عصفوري بحراني ، حسين بن محمّد- آل</w:t>
      </w:r>
    </w:p>
    <w:p>
      <w:pPr>
        <w:pStyle w:val="BookText"/>
      </w:pPr>
      <w:r>
        <w:rPr>
          <w:rFonts w:ascii="Amiri" w:hAnsi="Amiri" w:eastAsia="Amiri" w:cs="Amiri"/>
          <w:lang w:bidi="ar-SA"/>
          <w:color w:val="111111"/>
          <w:sz w:val="28"/>
          <w:szCs w:val="28"/>
          <w:rtl/>
        </w:rPr>
        <w:t xml:space="preserve">عصفور ، حسين بن محمّد</w:t>
      </w:r>
    </w:p>
    <w:p>
      <w:pPr>
        <w:pStyle w:val="BookText"/>
      </w:pPr>
      <w:r>
        <w:rPr>
          <w:rFonts w:ascii="Amiri" w:hAnsi="Amiri" w:eastAsia="Amiri" w:cs="Amiri"/>
          <w:lang w:bidi="ar-SA"/>
          <w:color w:val="111111"/>
          <w:sz w:val="28"/>
          <w:szCs w:val="28"/>
          <w:rtl/>
        </w:rPr>
        <w:t xml:space="preserve">عصفور ، حسين بن محمّد- آل عصفور ،</w:t>
      </w:r>
    </w:p>
    <w:p>
      <w:pPr>
        <w:pStyle w:val="BookText"/>
      </w:pPr>
      <w:r>
        <w:rPr>
          <w:rFonts w:ascii="Amiri" w:hAnsi="Amiri" w:eastAsia="Amiri" w:cs="Amiri"/>
          <w:lang w:bidi="ar-SA"/>
          <w:color w:val="111111"/>
          <w:sz w:val="28"/>
          <w:szCs w:val="28"/>
          <w:rtl/>
        </w:rPr>
        <w:t xml:space="preserve">حسين بن محمّد</w:t>
      </w:r>
    </w:p>
    <w:p>
      <w:pPr>
        <w:pStyle w:val="BookText"/>
      </w:pPr>
      <w:r>
        <w:rPr>
          <w:rFonts w:ascii="Amiri" w:hAnsi="Amiri" w:eastAsia="Amiri" w:cs="Amiri"/>
          <w:lang w:bidi="ar-SA"/>
          <w:color w:val="111111"/>
          <w:sz w:val="28"/>
          <w:szCs w:val="28"/>
          <w:rtl/>
        </w:rPr>
        <w:t xml:space="preserve">عصمت الله بخارائي -عصمت بخاري</w:t>
      </w:r>
    </w:p>
    <w:p>
      <w:pPr>
        <w:pStyle w:val="BookText"/>
      </w:pPr>
      <w:r>
        <w:rPr>
          <w:rFonts w:ascii="IRNazanin" w:hAnsi="IRNazanin" w:eastAsia="IRNazanin" w:cs="IRNazanin"/>
          <w:lang w:bidi="fa-IR"/>
          <w:color w:val="111111"/>
          <w:sz w:val="28"/>
          <w:szCs w:val="28"/>
          <w:rtl/>
        </w:rPr>
        <w:t xml:space="preserve">عصمة الله بن اعظم بن عبد الرسول سهارنپوري- سهارنپوری ، عصمة الله بن اعظم</w:t>
      </w:r>
    </w:p>
    <w:p>
      <w:pPr>
        <w:pStyle w:val="BookText"/>
      </w:pPr>
      <w:r>
        <w:rPr>
          <w:rFonts w:ascii="Amiri" w:hAnsi="Amiri" w:eastAsia="Amiri" w:cs="Amiri"/>
          <w:lang w:bidi="ar-SA"/>
          <w:color w:val="111111"/>
          <w:sz w:val="28"/>
          <w:szCs w:val="28"/>
          <w:rtl/>
        </w:rPr>
        <w:t xml:space="preserve">عصمت الله بن مسعود بخاري - عصمت</w:t>
      </w:r>
    </w:p>
    <w:p>
      <w:pPr>
        <w:pStyle w:val="BookText"/>
      </w:pPr>
      <w:r>
        <w:rPr>
          <w:rFonts w:ascii="Amiri" w:hAnsi="Amiri" w:eastAsia="Amiri" w:cs="Amiri"/>
          <w:lang w:bidi="ar-SA"/>
          <w:color w:val="111111"/>
          <w:sz w:val="28"/>
          <w:szCs w:val="28"/>
          <w:rtl/>
        </w:rPr>
        <w:t xml:space="preserve">بخاري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779" w:name="pg7742_70803"/>
    <w:bookmarkEnd w:id="779"/>
    <w:p>
      <w:pPr>
        <w:pStyle w:val="Heading2"/>
      </w:pPr>
      <w:bookmarkStart w:id="5970" w:name="_Toc5072"/>
      <w:r>
        <w:t>عصمت بخاري - 840؟ ه-</w:t>
      </w:r>
      <w:bookmarkEnd w:id="5970"/>
    </w:p>
    <w:p>
      <w:pPr>
        <w:pStyle w:val="BookText"/>
      </w:pPr>
      <w:r>
        <w:rPr>
          <w:rFonts w:ascii="Amiri" w:hAnsi="Amiri" w:eastAsia="Amiri" w:cs="Amiri"/>
          <w:lang w:bidi="ar-SA"/>
          <w:color w:val="111111"/>
          <w:sz w:val="28"/>
          <w:szCs w:val="28"/>
          <w:rtl/>
        </w:rPr>
        <w:t xml:space="preserve">شرح التصرفات = شرح مقدمة الادب</w:t>
      </w:r>
    </w:p>
    <w:p>
      <w:pPr>
        <w:pStyle w:val="BookText"/>
      </w:pPr>
      <w:r>
        <w:rPr>
          <w:rFonts w:ascii="IRNazanin" w:hAnsi="IRNazanin" w:eastAsia="IRNazanin" w:cs="IRNazanin"/>
          <w:lang w:bidi="fa-IR"/>
          <w:color w:val="111111"/>
          <w:sz w:val="28"/>
          <w:szCs w:val="28"/>
          <w:rtl/>
        </w:rPr>
        <w:t xml:space="preserve">ج 9، ص 336 .</w:t>
      </w:r>
    </w:p>
    <w:p>
      <w:pPr>
        <w:pStyle w:val="BookText"/>
      </w:pPr>
      <w:r>
        <w:rPr>
          <w:rFonts w:ascii="Amiri" w:hAnsi="Amiri" w:eastAsia="Amiri" w:cs="Amiri"/>
          <w:lang w:bidi="ar-SA"/>
          <w:color w:val="111111"/>
          <w:sz w:val="28"/>
          <w:szCs w:val="28"/>
          <w:rtl/>
        </w:rPr>
        <w:t xml:space="preserve">عصمتي ، محمّد سعيد- كاتب الزعماء.</w:t>
      </w:r>
    </w:p>
    <w:p>
      <w:pPr>
        <w:pStyle w:val="BookText"/>
      </w:pPr>
      <w:r>
        <w:rPr>
          <w:rFonts w:ascii="Amiri" w:hAnsi="Amiri" w:eastAsia="Amiri" w:cs="Amiri"/>
          <w:lang w:bidi="ar-SA"/>
          <w:color w:val="111111"/>
          <w:sz w:val="28"/>
          <w:szCs w:val="28"/>
          <w:rtl/>
        </w:rPr>
        <w:t xml:space="preserve">محمّد سعید</w:t>
      </w:r>
    </w:p>
    <w:p>
      <w:pPr>
        <w:pStyle w:val="Heading2"/>
      </w:pPr>
      <w:bookmarkStart w:id="5971" w:name="_Toc5073"/>
      <w:r>
        <w:t>عضد الدين ايجي ، عبدالرحمن بن احمد</w:t>
      </w:r>
      <w:bookmarkEnd w:id="5971"/>
    </w:p>
    <w:p>
      <w:pPr>
        <w:pStyle w:val="BookText"/>
      </w:pPr>
      <w:r>
        <w:rPr>
          <w:rFonts w:ascii="IRNazanin" w:hAnsi="IRNazanin" w:eastAsia="IRNazanin" w:cs="IRNazanin"/>
          <w:lang w:bidi="fa-IR"/>
          <w:color w:val="111111"/>
          <w:sz w:val="28"/>
          <w:szCs w:val="28"/>
          <w:rtl/>
        </w:rPr>
        <w:t xml:space="preserve">700؟ - 756 ه-</w:t>
      </w:r>
    </w:p>
    <w:p>
      <w:pPr>
        <w:pStyle w:val="BookText"/>
      </w:pPr>
      <w:r>
        <w:rPr>
          <w:rFonts w:ascii="Amiri" w:hAnsi="Amiri" w:eastAsia="Amiri" w:cs="Amiri"/>
          <w:lang w:bidi="ar-SA"/>
          <w:color w:val="111111"/>
          <w:sz w:val="28"/>
          <w:szCs w:val="28"/>
          <w:rtl/>
        </w:rPr>
        <w:t xml:space="preserve">1 .آداب البحث والمناظرة، ج 1،</w:t>
      </w:r>
    </w:p>
    <w:p>
      <w:pPr>
        <w:pStyle w:val="BookText"/>
      </w:pPr>
      <w:r>
        <w:rPr>
          <w:rFonts w:ascii="IRNazanin" w:hAnsi="IRNazanin" w:eastAsia="IRNazanin" w:cs="IRNazanin"/>
          <w:lang w:bidi="fa-IR"/>
          <w:color w:val="111111"/>
          <w:sz w:val="28"/>
          <w:szCs w:val="28"/>
          <w:rtl/>
        </w:rPr>
        <w:t xml:space="preserve">ص 26.</w:t>
      </w:r>
    </w:p>
    <w:p>
      <w:pPr>
        <w:pStyle w:val="BookText"/>
      </w:pPr>
      <w:r>
        <w:rPr>
          <w:rFonts w:ascii="Amiri" w:hAnsi="Amiri" w:eastAsia="Amiri" w:cs="Amiri"/>
          <w:lang w:bidi="ar-SA"/>
          <w:color w:val="111111"/>
          <w:sz w:val="28"/>
          <w:szCs w:val="28"/>
          <w:rtl/>
        </w:rPr>
        <w:t xml:space="preserve">2 .الاخلاق = الحكمة العملية = اخلاق</w:t>
      </w:r>
    </w:p>
    <w:p>
      <w:pPr>
        <w:pStyle w:val="BookText"/>
      </w:pPr>
      <w:r>
        <w:rPr>
          <w:rFonts w:ascii="Amiri" w:hAnsi="Amiri" w:eastAsia="Amiri" w:cs="Amiri"/>
          <w:lang w:bidi="ar-SA"/>
          <w:color w:val="111111"/>
          <w:sz w:val="28"/>
          <w:szCs w:val="28"/>
          <w:rtl/>
        </w:rPr>
        <w:t xml:space="preserve">العضدية = لب اللباب، ج 1، ص 570.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الاستعارة، ج 2، ص139</w:t>
      </w:r>
    </w:p>
    <w:p>
      <w:pPr>
        <w:pStyle w:val="BookText"/>
      </w:pPr>
      <w:r>
        <w:rPr>
          <w:rFonts w:ascii="IRNazanin" w:hAnsi="IRNazanin" w:eastAsia="IRNazanin" w:cs="IRNazanin"/>
          <w:lang w:bidi="fa-IR"/>
          <w:color w:val="111111"/>
          <w:sz w:val="28"/>
          <w:szCs w:val="28"/>
          <w:rtl/>
        </w:rPr>
        <w:t xml:space="preserve">4 .حل التناقض، ج 6 ، ص 776.</w:t>
      </w:r>
    </w:p>
    <w:p>
      <w:pPr>
        <w:pStyle w:val="BookText"/>
      </w:pPr>
      <w:r>
        <w:rPr>
          <w:rFonts w:ascii="Amiri" w:hAnsi="Amiri" w:eastAsia="Amiri" w:cs="Amiri"/>
          <w:lang w:bidi="ar-SA"/>
          <w:color w:val="111111"/>
          <w:sz w:val="28"/>
          <w:szCs w:val="28"/>
          <w:rtl/>
        </w:rPr>
        <w:t xml:space="preserve">5 .الرسالة الوضعية = الرسالة العضدية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رسالة في الوضع، ج8، ص 294.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شرح مختصر الاصول = شرح</w:t>
      </w:r>
    </w:p>
    <w:p>
      <w:pPr>
        <w:pStyle w:val="BookText"/>
      </w:pPr>
      <w:r>
        <w:rPr>
          <w:rFonts w:ascii="Amiri" w:hAnsi="Amiri" w:eastAsia="Amiri" w:cs="Amiri"/>
          <w:lang w:bidi="ar-SA"/>
          <w:color w:val="111111"/>
          <w:sz w:val="28"/>
          <w:szCs w:val="28"/>
          <w:rtl/>
        </w:rPr>
        <w:t xml:space="preserve">مختصر المنتهي، ج 10، ص 107.</w:t>
      </w:r>
    </w:p>
    <w:p>
      <w:pPr>
        <w:pStyle w:val="BookText"/>
      </w:pPr>
      <w:r>
        <w:rPr>
          <w:rFonts w:ascii="Amiri" w:hAnsi="Amiri" w:eastAsia="Amiri" w:cs="Amiri"/>
          <w:lang w:bidi="ar-SA"/>
          <w:color w:val="111111"/>
          <w:sz w:val="28"/>
          <w:szCs w:val="28"/>
          <w:rtl/>
        </w:rPr>
        <w:t xml:space="preserve">7 .فن المطالعة (رسالة في)، ج12،</w:t>
      </w:r>
    </w:p>
    <w:p>
      <w:pPr>
        <w:pStyle w:val="BookText"/>
      </w:pPr>
      <w:r>
        <w:rPr>
          <w:rFonts w:ascii="IRNazanin" w:hAnsi="IRNazanin" w:eastAsia="IRNazanin" w:cs="IRNazanin"/>
          <w:lang w:bidi="fa-IR"/>
          <w:color w:val="111111"/>
          <w:sz w:val="28"/>
          <w:szCs w:val="28"/>
          <w:rtl/>
        </w:rPr>
        <w:t xml:space="preserve">ص 138.</w:t>
      </w:r>
    </w:p>
    <w:p>
      <w:pPr>
        <w:pStyle w:val="BookText"/>
      </w:pPr>
      <w:r>
        <w:rPr>
          <w:rFonts w:ascii="Amiri" w:hAnsi="Amiri" w:eastAsia="Amiri" w:cs="Amiri"/>
          <w:lang w:bidi="ar-SA"/>
          <w:color w:val="111111"/>
          <w:sz w:val="28"/>
          <w:szCs w:val="28"/>
          <w:rtl/>
        </w:rPr>
        <w:t xml:space="preserve">عطاء الله بن يحيى نوعي زاده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الفوائد الغياثية، ج 12، ص 252.</w:t>
      </w:r>
    </w:p>
    <w:p>
      <w:pPr>
        <w:pStyle w:val="BookText"/>
      </w:pPr>
      <w:r>
        <w:rPr>
          <w:rFonts w:ascii="Amiri" w:hAnsi="Amiri" w:eastAsia="Amiri" w:cs="Amiri"/>
          <w:lang w:bidi="ar-SA"/>
          <w:color w:val="111111"/>
          <w:sz w:val="28"/>
          <w:szCs w:val="28"/>
          <w:rtl/>
        </w:rPr>
        <w:t xml:space="preserve">9 .المدخل في المعاني والبيان، ج 14،</w:t>
      </w:r>
    </w:p>
    <w:p>
      <w:pPr>
        <w:pStyle w:val="BookText"/>
      </w:pPr>
      <w:r>
        <w:rPr>
          <w:rFonts w:ascii="IRNazanin" w:hAnsi="IRNazanin" w:eastAsia="IRNazanin" w:cs="IRNazanin"/>
          <w:lang w:bidi="fa-IR"/>
          <w:color w:val="111111"/>
          <w:sz w:val="28"/>
          <w:szCs w:val="28"/>
          <w:rtl/>
        </w:rPr>
        <w:t xml:space="preserve">ص 331</w:t>
      </w:r>
    </w:p>
    <w:p>
      <w:pPr>
        <w:pStyle w:val="BookText"/>
      </w:pPr>
      <w:r>
        <w:rPr>
          <w:rFonts w:ascii="IRNazanin" w:hAnsi="IRNazanin" w:eastAsia="IRNazanin" w:cs="IRNazanin"/>
          <w:lang w:bidi="fa-IR"/>
          <w:color w:val="111111"/>
          <w:sz w:val="28"/>
          <w:szCs w:val="28"/>
          <w:rtl/>
        </w:rPr>
        <w:t xml:space="preserve">10 .المواقف، ج 15، ص878.</w:t>
      </w:r>
    </w:p>
    <w:p>
      <w:pPr>
        <w:pStyle w:val="BookText"/>
      </w:pPr>
      <w:r>
        <w:rPr>
          <w:rFonts w:ascii="Amiri" w:hAnsi="Amiri" w:eastAsia="Amiri" w:cs="Amiri"/>
          <w:lang w:bidi="ar-SA"/>
          <w:color w:val="111111"/>
          <w:sz w:val="28"/>
          <w:szCs w:val="28"/>
          <w:rtl/>
        </w:rPr>
        <w:t xml:space="preserve">عضدي ، عبدالرحمن بن</w:t>
      </w:r>
    </w:p>
    <w:p>
      <w:pPr>
        <w:pStyle w:val="BookText"/>
      </w:pPr>
      <w:r>
        <w:rPr>
          <w:rFonts w:ascii="Amiri" w:hAnsi="Amiri" w:eastAsia="Amiri" w:cs="Amiri"/>
          <w:lang w:bidi="ar-SA"/>
          <w:color w:val="111111"/>
          <w:sz w:val="28"/>
          <w:szCs w:val="28"/>
          <w:rtl/>
        </w:rPr>
        <w:t xml:space="preserve">احمد -عضد الدين ايجي ، عبدالرحمن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5972" w:name="_Toc5074"/>
      <w:r>
        <w:t>عطاء الله، قرن 10 ه-</w:t>
      </w:r>
      <w:bookmarkEnd w:id="5972"/>
    </w:p>
    <w:p>
      <w:pPr>
        <w:pStyle w:val="BookText"/>
      </w:pPr>
      <w:r>
        <w:rPr>
          <w:rFonts w:ascii="Amiri" w:hAnsi="Amiri" w:eastAsia="Amiri" w:cs="Amiri"/>
          <w:lang w:bidi="ar-SA"/>
          <w:color w:val="111111"/>
          <w:sz w:val="28"/>
          <w:szCs w:val="28"/>
          <w:rtl/>
        </w:rPr>
        <w:t xml:space="preserve">تعليقات على حاشية كنز العرفان في فقه القرآن = حاشية مختصرة على كنز العرفان في فقه القرآن، ج4، ص497.</w:t>
      </w:r>
    </w:p>
    <w:p>
      <w:pPr>
        <w:pStyle w:val="BookText"/>
      </w:pPr>
      <w:r>
        <w:rPr>
          <w:rFonts w:ascii="IRNazanin" w:hAnsi="IRNazanin" w:eastAsia="IRNazanin" w:cs="IRNazanin"/>
          <w:lang w:bidi="fa-IR"/>
          <w:color w:val="111111"/>
          <w:sz w:val="28"/>
          <w:szCs w:val="28"/>
          <w:rtl/>
        </w:rPr>
        <w:t xml:space="preserve">عطاء الله بن ابراهيم- عطائي ، عطاء الله بن ابراهیم</w:t>
      </w:r>
    </w:p>
    <w:p>
      <w:pPr>
        <w:pStyle w:val="BookText"/>
      </w:pPr>
      <w:r>
        <w:rPr>
          <w:rFonts w:ascii="Amiri" w:hAnsi="Amiri" w:eastAsia="Amiri" w:cs="Amiri"/>
          <w:lang w:bidi="ar-SA"/>
          <w:color w:val="111111"/>
          <w:sz w:val="28"/>
          <w:szCs w:val="28"/>
          <w:rtl/>
        </w:rPr>
        <w:t xml:space="preserve">عطاء الله بن احمد مصري ازهري- مصري ، عطاء الله بن احمد</w:t>
      </w:r>
    </w:p>
    <w:p>
      <w:pPr>
        <w:pStyle w:val="BookText"/>
      </w:pPr>
      <w:r>
        <w:rPr>
          <w:rFonts w:ascii="Amiri" w:hAnsi="Amiri" w:eastAsia="Amiri" w:cs="Amiri"/>
          <w:lang w:bidi="ar-SA"/>
          <w:color w:val="111111"/>
          <w:sz w:val="28"/>
          <w:szCs w:val="28"/>
          <w:rtl/>
        </w:rPr>
        <w:t xml:space="preserve">عطاء الله بن فضل الله حسيني- جمال</w:t>
      </w:r>
    </w:p>
    <w:p>
      <w:pPr>
        <w:pStyle w:val="BookText"/>
      </w:pPr>
      <w:r>
        <w:rPr>
          <w:rFonts w:ascii="Amiri" w:hAnsi="Amiri" w:eastAsia="Amiri" w:cs="Amiri"/>
          <w:lang w:bidi="ar-SA"/>
          <w:color w:val="111111"/>
          <w:sz w:val="28"/>
          <w:szCs w:val="28"/>
          <w:rtl/>
        </w:rPr>
        <w:t xml:space="preserve">حسيني عطاء الله بن فضل الله</w:t>
      </w:r>
    </w:p>
    <w:p>
      <w:pPr>
        <w:pStyle w:val="BookText"/>
      </w:pPr>
      <w:r>
        <w:rPr>
          <w:rFonts w:ascii="Amiri" w:hAnsi="Amiri" w:eastAsia="Amiri" w:cs="Amiri"/>
          <w:lang w:bidi="ar-SA"/>
          <w:color w:val="111111"/>
          <w:sz w:val="28"/>
          <w:szCs w:val="28"/>
          <w:rtl/>
        </w:rPr>
        <w:t xml:space="preserve">عطاء الله بن كمال الدين حسين</w:t>
      </w:r>
    </w:p>
    <w:p>
      <w:pPr>
        <w:pStyle w:val="BookText"/>
      </w:pPr>
      <w:r>
        <w:rPr>
          <w:rFonts w:ascii="Amiri" w:hAnsi="Amiri" w:eastAsia="Amiri" w:cs="Amiri"/>
          <w:lang w:bidi="ar-SA"/>
          <w:color w:val="111111"/>
          <w:sz w:val="28"/>
          <w:szCs w:val="28"/>
          <w:rtl/>
        </w:rPr>
        <w:t xml:space="preserve">الحكيم- طباطبائي ، كريم بن حسين</w:t>
      </w:r>
    </w:p>
    <w:p>
      <w:pPr>
        <w:pStyle w:val="BookText"/>
      </w:pPr>
      <w:r>
        <w:rPr>
          <w:rFonts w:ascii="Amiri" w:hAnsi="Amiri" w:eastAsia="Amiri" w:cs="Amiri"/>
          <w:lang w:bidi="ar-SA"/>
          <w:color w:val="111111"/>
          <w:sz w:val="28"/>
          <w:szCs w:val="28"/>
          <w:rtl/>
        </w:rPr>
        <w:t xml:space="preserve">عطاء الله بن محمود حسيني -حسيني</w:t>
      </w:r>
    </w:p>
    <w:p>
      <w:pPr>
        <w:pStyle w:val="BookText"/>
      </w:pPr>
      <w:r>
        <w:rPr>
          <w:rFonts w:ascii="IRNazanin" w:hAnsi="IRNazanin" w:eastAsia="IRNazanin" w:cs="IRNazanin"/>
          <w:lang w:bidi="fa-IR"/>
          <w:color w:val="111111"/>
          <w:sz w:val="28"/>
          <w:szCs w:val="28"/>
          <w:rtl/>
        </w:rPr>
        <w:t xml:space="preserve">عطاء الله بن محمود</w:t>
      </w:r>
    </w:p>
    <w:p>
      <w:pPr>
        <w:pStyle w:val="BookText"/>
      </w:pPr>
      <w:r>
        <w:rPr>
          <w:rFonts w:ascii="IRNazanin" w:hAnsi="IRNazanin" w:eastAsia="IRNazanin" w:cs="IRNazanin"/>
          <w:lang w:bidi="fa-IR"/>
          <w:color w:val="111111"/>
          <w:sz w:val="28"/>
          <w:szCs w:val="28"/>
          <w:rtl/>
        </w:rPr>
        <w:t xml:space="preserve">عطاء الله بن مسیح آملي -آملي ، عطاء الله</w:t>
      </w:r>
    </w:p>
    <w:p>
      <w:pPr>
        <w:pStyle w:val="BookText"/>
      </w:pPr>
      <w:r>
        <w:rPr>
          <w:rFonts w:ascii="Amiri" w:hAnsi="Amiri" w:eastAsia="Amiri" w:cs="Amiri"/>
          <w:lang w:bidi="ar-SA"/>
          <w:color w:val="111111"/>
          <w:sz w:val="28"/>
          <w:szCs w:val="28"/>
          <w:rtl/>
        </w:rPr>
        <w:t xml:space="preserve">بن مسيح</w:t>
      </w:r>
    </w:p>
    <w:p>
      <w:pPr>
        <w:pStyle w:val="BookText"/>
      </w:pPr>
      <w:r>
        <w:rPr>
          <w:rFonts w:ascii="Amiri" w:hAnsi="Amiri" w:eastAsia="Amiri" w:cs="Amiri"/>
          <w:lang w:bidi="ar-SA"/>
          <w:color w:val="111111"/>
          <w:sz w:val="28"/>
          <w:szCs w:val="28"/>
          <w:rtl/>
        </w:rPr>
        <w:t xml:space="preserve">عطاء الله بن مسيح بن ابراهيم بن حسن بن كرم الله آملي- آملي ، عطاء الله بن مسيح</w:t>
      </w:r>
    </w:p>
    <w:p>
      <w:pPr>
        <w:pStyle w:val="BookText"/>
      </w:pPr>
      <w:r>
        <w:rPr>
          <w:rFonts w:ascii="Amiri" w:hAnsi="Amiri" w:eastAsia="Amiri" w:cs="Amiri"/>
          <w:lang w:bidi="ar-SA"/>
          <w:color w:val="111111"/>
          <w:sz w:val="28"/>
          <w:szCs w:val="28"/>
          <w:rtl/>
        </w:rPr>
        <w:t xml:space="preserve">عطاء الله بن يحيى نوعي زاده ،عطائي- نوعي زاده عطاء الله بن يحيى ،</w:t>
      </w:r>
    </w:p>
    <w:p>
      <w:pPr>
        <w:pStyle w:val="Heading2"/>
      </w:pPr>
      <w:bookmarkStart w:id="5973" w:name="_Toc5075"/>
      <w:r>
        <w:t>عطائي ، عطاء الله بن ابراهيم - 1127 ه-</w:t>
      </w:r>
      <w:bookmarkEnd w:id="5973"/>
    </w:p>
    <w:p>
      <w:pPr>
        <w:pStyle w:val="BookText"/>
      </w:pPr>
      <w:r>
        <w:rPr>
          <w:rFonts w:ascii="Amiri" w:hAnsi="Amiri" w:eastAsia="Amiri" w:cs="Amiri"/>
          <w:lang w:bidi="ar-SA"/>
          <w:color w:val="111111"/>
          <w:sz w:val="28"/>
          <w:szCs w:val="28"/>
          <w:rtl/>
        </w:rPr>
        <w:t xml:space="preserve">الفتاوى = فتاواي عطاءالله افندي =</w:t>
      </w:r>
    </w:p>
    <w:p>
      <w:pPr>
        <w:pStyle w:val="BookText"/>
      </w:pPr>
      <w:r>
        <w:rPr>
          <w:rFonts w:ascii="Amiri" w:hAnsi="Amiri" w:eastAsia="Amiri" w:cs="Amiri"/>
          <w:lang w:bidi="ar-SA"/>
          <w:color w:val="111111"/>
          <w:sz w:val="28"/>
          <w:szCs w:val="28"/>
          <w:rtl/>
        </w:rPr>
        <w:t xml:space="preserve">الفتاوى العطائية، ج 11، ص 599.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780" w:name="pg7742_70805"/>
    <w:bookmarkEnd w:id="780"/>
    <w:p>
      <w:pPr>
        <w:pStyle w:val="BookText"/>
      </w:pPr>
      <w:r>
        <w:rPr>
          <w:rFonts w:ascii="Amiri" w:hAnsi="Amiri" w:eastAsia="Amiri" w:cs="Amiri"/>
          <w:lang w:bidi="ar-SA"/>
          <w:color w:val="111111"/>
          <w:sz w:val="28"/>
          <w:szCs w:val="28"/>
          <w:rtl/>
        </w:rPr>
        <w:t xml:space="preserve">عطائي ، عطاء الله بن محمود- حسيني</w:t>
      </w:r>
    </w:p>
    <w:p>
      <w:pPr>
        <w:pStyle w:val="BookText"/>
      </w:pPr>
      <w:r>
        <w:rPr>
          <w:rFonts w:ascii="IRNazanin" w:hAnsi="IRNazanin" w:eastAsia="IRNazanin" w:cs="IRNazanin"/>
          <w:lang w:bidi="fa-IR"/>
          <w:color w:val="111111"/>
          <w:sz w:val="28"/>
          <w:szCs w:val="28"/>
          <w:rtl/>
        </w:rPr>
        <w:t xml:space="preserve">عطاء الله بن محمود</w:t>
      </w:r>
    </w:p>
    <w:p>
      <w:pPr>
        <w:pStyle w:val="BookText"/>
      </w:pPr>
      <w:r>
        <w:rPr>
          <w:rFonts w:ascii="Amiri" w:hAnsi="Amiri" w:eastAsia="Amiri" w:cs="Amiri"/>
          <w:lang w:bidi="ar-SA"/>
          <w:color w:val="111111"/>
          <w:sz w:val="28"/>
          <w:szCs w:val="28"/>
          <w:rtl/>
        </w:rPr>
        <w:t xml:space="preserve">عطائي ، عطاء الله بن يحيى -نوعي زاده ،</w:t>
      </w:r>
    </w:p>
    <w:p>
      <w:pPr>
        <w:pStyle w:val="BookText"/>
      </w:pPr>
      <w:r>
        <w:rPr>
          <w:rFonts w:ascii="Amiri" w:hAnsi="Amiri" w:eastAsia="Amiri" w:cs="Amiri"/>
          <w:lang w:bidi="ar-SA"/>
          <w:color w:val="111111"/>
          <w:sz w:val="28"/>
          <w:szCs w:val="28"/>
          <w:rtl/>
        </w:rPr>
        <w:t xml:space="preserve">عطاء الله بن يحيى</w:t>
      </w:r>
    </w:p>
    <w:p>
      <w:pPr>
        <w:pStyle w:val="BookText"/>
      </w:pPr>
      <w:r>
        <w:rPr>
          <w:rFonts w:ascii="IRNazanin" w:hAnsi="IRNazanin" w:eastAsia="IRNazanin" w:cs="IRNazanin"/>
          <w:lang w:bidi="fa-IR"/>
          <w:color w:val="111111"/>
          <w:sz w:val="28"/>
          <w:szCs w:val="28"/>
          <w:rtl/>
        </w:rPr>
        <w:t xml:space="preserve">عطائي نيشابوري ، برهان الدین عطاء الله بن محمود -حسيني ، عطاء الله بن محمود</w:t>
      </w:r>
    </w:p>
    <w:p>
      <w:pPr>
        <w:pStyle w:val="BookText"/>
      </w:pPr>
      <w:r>
        <w:rPr>
          <w:rFonts w:ascii="Amiri" w:hAnsi="Amiri" w:eastAsia="Amiri" w:cs="Amiri"/>
          <w:lang w:bidi="ar-SA"/>
          <w:color w:val="111111"/>
          <w:sz w:val="28"/>
          <w:szCs w:val="28"/>
          <w:rtl/>
        </w:rPr>
        <w:t xml:space="preserve">عطاء ، يوسف بن محمّد -آل عطاء ،</w:t>
      </w:r>
    </w:p>
    <w:p>
      <w:pPr>
        <w:pStyle w:val="BookText"/>
      </w:pPr>
      <w:r>
        <w:rPr>
          <w:rFonts w:ascii="IRNazanin" w:hAnsi="IRNazanin" w:eastAsia="IRNazanin" w:cs="IRNazanin"/>
          <w:lang w:bidi="fa-IR"/>
          <w:color w:val="111111"/>
          <w:sz w:val="28"/>
          <w:szCs w:val="28"/>
          <w:rtl/>
        </w:rPr>
        <w:t xml:space="preserve">يوسف بن محمّد نجیب</w:t>
      </w:r>
    </w:p>
    <w:p>
      <w:pPr>
        <w:pStyle w:val="Heading2"/>
      </w:pPr>
      <w:bookmarkStart w:id="5974" w:name="_Toc5076"/>
      <w:r>
        <w:t>عطار ، احمد بن حسن</w:t>
      </w:r>
      <w:bookmarkEnd w:id="5974"/>
    </w:p>
    <w:p>
      <w:pPr>
        <w:pStyle w:val="BookText"/>
      </w:pPr>
      <w:r>
        <w:rPr>
          <w:rFonts w:ascii="Amiri" w:hAnsi="Amiri" w:eastAsia="Amiri" w:cs="Amiri"/>
          <w:lang w:bidi="ar-SA"/>
          <w:color w:val="111111"/>
          <w:sz w:val="28"/>
          <w:szCs w:val="28"/>
          <w:rtl/>
        </w:rPr>
        <w:t xml:space="preserve">عيون المعجزات، ج11، ص 412.</w:t>
      </w:r>
    </w:p>
    <w:p>
      <w:pPr>
        <w:pStyle w:val="Heading2"/>
      </w:pPr>
      <w:bookmarkStart w:id="5975" w:name="_Toc5077"/>
      <w:r>
        <w:t>عطار ، احمد بن عبید الله، 1138 - 1218</w:t>
      </w:r>
      <w:bookmarkEnd w:id="5975"/>
    </w:p>
    <w:p>
      <w:pPr>
        <w:pStyle w:val="BookText"/>
      </w:pPr>
      <w:r>
        <w:rPr>
          <w:rFonts w:ascii="Amiri" w:hAnsi="Amiri" w:eastAsia="Amiri" w:cs="Amiri"/>
          <w:lang w:bidi="ar-SA"/>
          <w:color w:val="111111"/>
          <w:sz w:val="28"/>
          <w:szCs w:val="28"/>
          <w:rtl/>
        </w:rPr>
        <w:t xml:space="preserve">اجازة لنعمان الآلوسي، ج1، ص292.</w:t>
      </w:r>
    </w:p>
    <w:p>
      <w:pPr>
        <w:pStyle w:val="Heading2"/>
      </w:pPr>
      <w:bookmarkStart w:id="5976" w:name="_Toc5078"/>
      <w:r>
        <w:t>عطار ، احمد بن محمّد، 1128 - 1215 ه-</w:t>
      </w:r>
      <w:bookmarkEnd w:id="5976"/>
    </w:p>
    <w:p>
      <w:pPr>
        <w:pStyle w:val="BookText"/>
      </w:pPr>
      <w:r>
        <w:rPr>
          <w:rFonts w:ascii="Amiri" w:hAnsi="Amiri" w:eastAsia="Amiri" w:cs="Amiri"/>
          <w:lang w:bidi="ar-SA"/>
          <w:color w:val="111111"/>
          <w:sz w:val="28"/>
          <w:szCs w:val="28"/>
          <w:rtl/>
        </w:rPr>
        <w:t xml:space="preserve">1 .ارجوزة الجمال عن حال الرجال</w:t>
      </w:r>
    </w:p>
    <w:p>
      <w:pPr>
        <w:pStyle w:val="BookText"/>
      </w:pPr>
      <w:r>
        <w:rPr>
          <w:rFonts w:ascii="IRNazanin" w:hAnsi="IRNazanin" w:eastAsia="IRNazanin" w:cs="IRNazanin"/>
          <w:lang w:bidi="fa-IR"/>
          <w:color w:val="111111"/>
          <w:sz w:val="28"/>
          <w:szCs w:val="28"/>
          <w:rtl/>
        </w:rPr>
        <w:t xml:space="preserve">ج 1، ص 765.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التحقيق، ج 4، ص 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تحقيق المسائل الفقهية على طريقة الفرقة الناجية الامامية، ج 4، ص 75.</w:t>
      </w:r>
    </w:p>
    <w:p>
      <w:pPr>
        <w:pStyle w:val="BookText"/>
      </w:pPr>
      <w:r>
        <w:rPr>
          <w:rFonts w:ascii="Amiri" w:hAnsi="Amiri" w:eastAsia="Amiri" w:cs="Amiri"/>
          <w:lang w:bidi="ar-SA"/>
          <w:color w:val="111111"/>
          <w:sz w:val="28"/>
          <w:szCs w:val="28"/>
          <w:rtl/>
        </w:rPr>
        <w:t xml:space="preserve">4 .التحقيق في حجية الكتاب، ج 4،</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Amiri" w:hAnsi="Amiri" w:eastAsia="Amiri" w:cs="Amiri"/>
          <w:lang w:bidi="ar-SA"/>
          <w:color w:val="111111"/>
          <w:sz w:val="28"/>
          <w:szCs w:val="28"/>
          <w:rtl/>
        </w:rPr>
        <w:t xml:space="preserve">5 .ديوان السيّد أحمد العطار، ج7،</w:t>
      </w:r>
    </w:p>
    <w:p>
      <w:pPr>
        <w:pStyle w:val="BookText"/>
      </w:pPr>
      <w:r>
        <w:rPr>
          <w:rFonts w:ascii="IRNazanin" w:hAnsi="IRNazanin" w:eastAsia="IRNazanin" w:cs="IRNazanin"/>
          <w:lang w:bidi="fa-IR"/>
          <w:color w:val="111111"/>
          <w:sz w:val="28"/>
          <w:szCs w:val="28"/>
          <w:rtl/>
        </w:rPr>
        <w:t xml:space="preserve">ص 657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الرائق، ج8، ص 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الرجال ارجوزة في = ارجوزة في</w:t>
      </w:r>
    </w:p>
    <w:p>
      <w:pPr>
        <w:pStyle w:val="BookText"/>
      </w:pPr>
      <w:r>
        <w:rPr>
          <w:rFonts w:ascii="IRNazanin" w:hAnsi="IRNazanin" w:eastAsia="IRNazanin" w:cs="IRNazanin"/>
          <w:lang w:bidi="fa-IR"/>
          <w:color w:val="111111"/>
          <w:sz w:val="28"/>
          <w:szCs w:val="28"/>
          <w:rtl/>
        </w:rPr>
        <w:t xml:space="preserve">الرجال، ج 8، ص 48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رياض الجنان، ج 8، ص 480 .</w:t>
      </w:r>
    </w:p>
    <w:p>
      <w:pPr>
        <w:pStyle w:val="BookText"/>
      </w:pPr>
      <w:r>
        <w:rPr>
          <w:rFonts w:ascii="Amiri" w:hAnsi="Amiri" w:eastAsia="Amiri" w:cs="Amiri"/>
          <w:lang w:bidi="ar-SA"/>
          <w:color w:val="111111"/>
          <w:sz w:val="28"/>
          <w:szCs w:val="28"/>
          <w:rtl/>
        </w:rPr>
        <w:t xml:space="preserve">9 .شرح الأرجوزة في الرجال = شرح منظومة في الرجال، ج9، ص181.</w:t>
      </w:r>
    </w:p>
    <w:p>
      <w:pPr>
        <w:pStyle w:val="Heading2"/>
      </w:pPr>
      <w:bookmarkStart w:id="5977" w:name="_Toc5079"/>
      <w:r>
        <w:t>عطار اسرائيلي ، داود بن ابي نصر ، قرن 7</w:t>
      </w:r>
      <w:bookmarkEnd w:id="5977"/>
    </w:p>
    <w:p>
      <w:pPr>
        <w:pStyle w:val="BookText"/>
      </w:pPr>
      <w:r>
        <w:rPr>
          <w:rFonts w:ascii="Amiri" w:hAnsi="Amiri" w:eastAsia="Amiri" w:cs="Amiri"/>
          <w:lang w:bidi="ar-SA"/>
          <w:color w:val="111111"/>
          <w:sz w:val="28"/>
          <w:szCs w:val="28"/>
          <w:rtl/>
        </w:rPr>
        <w:t xml:space="preserve">منهاج الدكان و دستور الاعيان في</w:t>
      </w:r>
    </w:p>
    <w:p>
      <w:pPr>
        <w:pStyle w:val="BookText"/>
      </w:pPr>
      <w:r>
        <w:rPr>
          <w:rFonts w:ascii="Amiri" w:hAnsi="Amiri" w:eastAsia="Amiri" w:cs="Amiri"/>
          <w:lang w:bidi="ar-SA"/>
          <w:color w:val="111111"/>
          <w:sz w:val="28"/>
          <w:szCs w:val="28"/>
          <w:rtl/>
        </w:rPr>
        <w:t xml:space="preserve">اعمال و تراكيب الادوية النافعة للانسان = مغني الاحبة و المكفي عن الاطبة، ج 15، ص 754.</w:t>
      </w:r>
    </w:p>
    <w:p>
      <w:pPr>
        <w:pStyle w:val="BookText"/>
      </w:pPr>
      <w:r>
        <w:rPr>
          <w:rFonts w:ascii="Amiri" w:hAnsi="Amiri" w:eastAsia="Amiri" w:cs="Amiri"/>
          <w:lang w:bidi="ar-SA"/>
          <w:color w:val="111111"/>
          <w:sz w:val="28"/>
          <w:szCs w:val="28"/>
          <w:rtl/>
        </w:rPr>
        <w:t xml:space="preserve">عطار اسرائيلي ، منير بن ابي نصر -عطار اسرائيلي ، داود بن ابي نصر</w:t>
      </w:r>
    </w:p>
    <w:p>
      <w:pPr>
        <w:pStyle w:val="BookText"/>
      </w:pPr>
      <w:r>
        <w:rPr>
          <w:rFonts w:ascii="IRNazanin" w:hAnsi="IRNazanin" w:eastAsia="IRNazanin" w:cs="IRNazanin"/>
          <w:lang w:bidi="fa-IR"/>
          <w:color w:val="111111"/>
          <w:sz w:val="28"/>
          <w:szCs w:val="28"/>
          <w:rtl/>
        </w:rPr>
        <w:t xml:space="preserve">عطار ، اسماعیل بن عبد الله - زبيدي ،</w:t>
      </w:r>
    </w:p>
    <w:p>
      <w:pPr>
        <w:pStyle w:val="BookText"/>
      </w:pPr>
      <w:r>
        <w:rPr>
          <w:rFonts w:ascii="Amiri" w:hAnsi="Amiri" w:eastAsia="Amiri" w:cs="Amiri"/>
          <w:lang w:bidi="ar-SA"/>
          <w:color w:val="111111"/>
          <w:sz w:val="28"/>
          <w:szCs w:val="28"/>
          <w:rtl/>
        </w:rPr>
        <w:t xml:space="preserve">عطار ، احمد بن عبيد-عطار ، احمد بن</w:t>
      </w:r>
    </w:p>
    <w:p>
      <w:pPr>
        <w:pStyle w:val="BookText"/>
      </w:pPr>
      <w:r>
        <w:rPr>
          <w:rFonts w:ascii="IRNazanin" w:hAnsi="IRNazanin" w:eastAsia="IRNazanin" w:cs="IRNazanin"/>
          <w:lang w:bidi="fa-IR"/>
          <w:color w:val="111111"/>
          <w:sz w:val="28"/>
          <w:szCs w:val="28"/>
          <w:rtl/>
        </w:rPr>
        <w:t xml:space="preserve">عبیدالله</w:t>
      </w:r>
    </w:p>
    <w:p>
      <w:pPr>
        <w:pStyle w:val="BookText"/>
      </w:pPr>
      <w:r>
        <w:rPr>
          <w:rFonts w:ascii="Amiri" w:hAnsi="Amiri" w:eastAsia="Amiri" w:cs="Amiri"/>
          <w:lang w:bidi="ar-SA"/>
          <w:color w:val="111111"/>
          <w:sz w:val="28"/>
          <w:szCs w:val="28"/>
          <w:rtl/>
        </w:rPr>
        <w:t xml:space="preserve">اسماعيل بن عبدالله</w:t>
      </w:r>
    </w:p>
    <w:p>
      <w:pPr>
        <w:pStyle w:val="BookText"/>
      </w:pPr>
      <w:r>
        <w:rPr>
          <w:rFonts w:ascii="Amiri" w:hAnsi="Amiri" w:eastAsia="Amiri" w:cs="Amiri"/>
          <w:lang w:bidi="ar-SA"/>
          <w:color w:val="111111"/>
          <w:sz w:val="28"/>
          <w:szCs w:val="28"/>
          <w:rtl/>
        </w:rPr>
        <w:t xml:space="preserve">عطار ، حسن -شريفيان عطار ، حسن</w:t>
      </w:r>
    </w:p>
    <w:p>
      <w:pPr>
        <w:pStyle w:val="BookText"/>
      </w:pPr>
      <w:r>
        <w:rPr>
          <w:rFonts w:ascii="Amiri" w:hAnsi="Amiri" w:eastAsia="Amiri" w:cs="Amiri"/>
          <w:lang w:bidi="ar-SA"/>
          <w:color w:val="111111"/>
          <w:sz w:val="28"/>
          <w:szCs w:val="28"/>
          <w:rtl/>
        </w:rPr>
        <w:t xml:space="preserve">عطار ، حسن بن احمد- عطار همداني ،</w:t>
      </w:r>
    </w:p>
    <w:p>
      <w:pPr>
        <w:pStyle w:val="BookText"/>
      </w:pPr>
      <w:r>
        <w:rPr>
          <w:rFonts w:ascii="IRNazanin" w:hAnsi="IRNazanin" w:eastAsia="IRNazanin" w:cs="IRNazanin"/>
          <w:lang w:bidi="fa-IR"/>
          <w:color w:val="111111"/>
          <w:sz w:val="28"/>
          <w:szCs w:val="28"/>
          <w:rtl/>
        </w:rPr>
        <w:t xml:space="preserve">حسن بن احمد</w:t>
      </w:r>
    </w:p>
    <w:p>
      <w:pPr>
        <w:pStyle w:val="Heading2"/>
      </w:pPr>
      <w:bookmarkStart w:id="5978" w:name="_Toc5080"/>
      <w:r>
        <w:t>عطار ، حسن بن محمّد، 91190 - 1250</w:t>
      </w:r>
      <w:bookmarkEnd w:id="5978"/>
    </w:p>
    <w:p>
      <w:pPr>
        <w:pStyle w:val="BookText"/>
      </w:pPr>
      <w:r>
        <w:rPr>
          <w:rFonts w:ascii="Amiri" w:hAnsi="Amiri" w:eastAsia="Amiri" w:cs="Amiri"/>
          <w:lang w:bidi="ar-SA"/>
          <w:color w:val="111111"/>
          <w:sz w:val="28"/>
          <w:szCs w:val="28"/>
          <w:rtl/>
        </w:rPr>
        <w:t xml:space="preserve">1 .حاشية الشيخ العطار على مقولة</w:t>
      </w:r>
    </w:p>
    <w:p>
      <w:pPr>
        <w:pStyle w:val="BookText"/>
      </w:pPr>
      <w:r>
        <w:rPr>
          <w:rFonts w:ascii="Amiri" w:hAnsi="Amiri" w:eastAsia="Amiri" w:cs="Amiri"/>
          <w:lang w:bidi="ar-SA"/>
          <w:color w:val="111111"/>
          <w:sz w:val="28"/>
          <w:szCs w:val="28"/>
          <w:rtl/>
        </w:rPr>
        <w:t xml:space="preserve">السجاعي، ج6، ص223.</w:t>
      </w:r>
    </w:p>
    <w:p>
      <w:pPr>
        <w:pStyle w:val="BookText"/>
      </w:pPr>
      <w:r>
        <w:rPr>
          <w:rFonts w:ascii="Amiri" w:hAnsi="Amiri" w:eastAsia="Amiri" w:cs="Amiri"/>
          <w:lang w:bidi="ar-SA"/>
          <w:color w:val="111111"/>
          <w:sz w:val="28"/>
          <w:szCs w:val="28"/>
          <w:rtl/>
        </w:rPr>
        <w:t xml:space="preserve">2 .حاشية على ولدية المرعشي في فن المناظرة و آداب البحث، ج 6،</w:t>
      </w:r>
    </w:p>
    <w:p>
      <w:pPr>
        <w:pStyle w:val="BookText"/>
      </w:pPr>
      <w:r>
        <w:rPr>
          <w:rFonts w:ascii="IRNazanin" w:hAnsi="IRNazanin" w:eastAsia="IRNazanin" w:cs="IRNazanin"/>
          <w:lang w:bidi="fa-IR"/>
          <w:color w:val="111111"/>
          <w:sz w:val="28"/>
          <w:szCs w:val="28"/>
          <w:rtl/>
        </w:rPr>
        <w:t xml:space="preserve">ص 257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علم الوضع( منظومة في) = منظومة في علم الوضع، ج11،</w:t>
      </w:r>
    </w:p>
    <w:p>
      <w:pPr>
        <w:pStyle w:val="BookText"/>
      </w:pPr>
      <w:r>
        <w:rPr>
          <w:rFonts w:ascii="IRNazanin" w:hAnsi="IRNazanin" w:eastAsia="IRNazanin" w:cs="IRNazanin"/>
          <w:lang w:bidi="fa-IR"/>
          <w:color w:val="111111"/>
          <w:sz w:val="28"/>
          <w:szCs w:val="28"/>
          <w:rtl/>
        </w:rPr>
        <w:t xml:space="preserve">ص 270.</w:t>
      </w:r>
    </w:p>
    <w:p>
      <w:pPr>
        <w:pStyle w:val="BookText"/>
      </w:pPr>
      <w:r>
        <w:rPr>
          <w:rFonts w:ascii="Amiri" w:hAnsi="Amiri" w:eastAsia="Amiri" w:cs="Amiri"/>
          <w:lang w:bidi="ar-SA"/>
          <w:color w:val="111111"/>
          <w:sz w:val="28"/>
          <w:szCs w:val="28"/>
          <w:rtl/>
        </w:rPr>
        <w:t xml:space="preserve">4 .النحو (منظومة في)، ج 16، ص 172.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781" w:name="pg7742_70808"/>
    <w:bookmarkEnd w:id="781"/>
    <w:p>
      <w:pPr>
        <w:pStyle w:val="BookText"/>
      </w:pPr>
      <w:r>
        <w:rPr>
          <w:rFonts w:ascii="Amiri" w:hAnsi="Amiri" w:eastAsia="Amiri" w:cs="Amiri"/>
          <w:lang w:bidi="ar-SA"/>
          <w:color w:val="111111"/>
          <w:sz w:val="28"/>
          <w:szCs w:val="28"/>
          <w:rtl/>
        </w:rPr>
        <w:t xml:space="preserve">عطارد بن محمّد البابلي- بابلي ، عطارد بن محمّد</w:t>
      </w:r>
    </w:p>
    <w:p>
      <w:pPr>
        <w:pStyle w:val="BookText"/>
      </w:pPr>
      <w:r>
        <w:rPr>
          <w:rFonts w:ascii="Amiri" w:hAnsi="Amiri" w:eastAsia="Amiri" w:cs="Amiri"/>
          <w:lang w:bidi="ar-SA"/>
          <w:color w:val="111111"/>
          <w:sz w:val="28"/>
          <w:szCs w:val="28"/>
          <w:rtl/>
        </w:rPr>
        <w:t xml:space="preserve">عطار دمشقي ، علي بن ابراهيم- عطار ،</w:t>
      </w:r>
    </w:p>
    <w:p>
      <w:pPr>
        <w:pStyle w:val="BookText"/>
      </w:pPr>
      <w:r>
        <w:rPr>
          <w:rFonts w:ascii="Amiri" w:hAnsi="Amiri" w:eastAsia="Amiri" w:cs="Amiri"/>
          <w:lang w:bidi="ar-SA"/>
          <w:color w:val="111111"/>
          <w:sz w:val="28"/>
          <w:szCs w:val="28"/>
          <w:rtl/>
        </w:rPr>
        <w:t xml:space="preserve">علي بن ابراهيم</w:t>
      </w:r>
    </w:p>
    <w:p>
      <w:pPr>
        <w:pStyle w:val="BookText"/>
      </w:pPr>
      <w:r>
        <w:rPr>
          <w:rFonts w:ascii="Amiri" w:hAnsi="Amiri" w:eastAsia="Amiri" w:cs="Amiri"/>
          <w:lang w:bidi="ar-SA"/>
          <w:color w:val="111111"/>
          <w:sz w:val="28"/>
          <w:szCs w:val="28"/>
          <w:rtl/>
        </w:rPr>
        <w:t xml:space="preserve">عطار، زين العابدين علي بن حسين- زين</w:t>
      </w:r>
    </w:p>
    <w:p>
      <w:pPr>
        <w:pStyle w:val="BookText"/>
      </w:pPr>
      <w:r>
        <w:rPr>
          <w:rFonts w:ascii="Amiri" w:hAnsi="Amiri" w:eastAsia="Amiri" w:cs="Amiri"/>
          <w:lang w:bidi="ar-SA"/>
          <w:color w:val="111111"/>
          <w:sz w:val="28"/>
          <w:szCs w:val="28"/>
          <w:rtl/>
        </w:rPr>
        <w:t xml:space="preserve">العابدين عطار ، علي بن حسين</w:t>
      </w:r>
    </w:p>
    <w:p>
      <w:pPr>
        <w:pStyle w:val="Heading2"/>
      </w:pPr>
      <w:bookmarkStart w:id="5979" w:name="_Toc5081"/>
      <w:r>
        <w:t>عطار ، سیّد ابراهیم</w:t>
      </w:r>
      <w:bookmarkEnd w:id="5979"/>
    </w:p>
    <w:p>
      <w:pPr>
        <w:pStyle w:val="BookText"/>
      </w:pPr>
      <w:r>
        <w:rPr>
          <w:rFonts w:ascii="Amiri" w:hAnsi="Amiri" w:eastAsia="Amiri" w:cs="Amiri"/>
          <w:lang w:bidi="ar-SA"/>
          <w:color w:val="111111"/>
          <w:sz w:val="28"/>
          <w:szCs w:val="28"/>
          <w:rtl/>
        </w:rPr>
        <w:t xml:space="preserve">ديوان السيّد ابراهيم العطار، ج7،</w:t>
      </w:r>
    </w:p>
    <w:p>
      <w:pPr>
        <w:pStyle w:val="BookText"/>
      </w:pPr>
      <w:r>
        <w:rPr>
          <w:rFonts w:ascii="IRNazanin" w:hAnsi="IRNazanin" w:eastAsia="IRNazanin" w:cs="IRNazanin"/>
          <w:lang w:bidi="fa-IR"/>
          <w:color w:val="111111"/>
          <w:sz w:val="28"/>
          <w:szCs w:val="28"/>
          <w:rtl/>
        </w:rPr>
        <w:t xml:space="preserve">ص 656 .</w:t>
      </w:r>
    </w:p>
    <w:p>
      <w:pPr>
        <w:pStyle w:val="Heading2"/>
      </w:pPr>
      <w:bookmarkStart w:id="5980" w:name="_Toc5082"/>
      <w:r>
        <w:t>عطار ، سیّد حیدر</w:t>
      </w:r>
      <w:bookmarkEnd w:id="5980"/>
    </w:p>
    <w:p>
      <w:pPr>
        <w:pStyle w:val="BookText"/>
      </w:pPr>
      <w:r>
        <w:rPr>
          <w:rFonts w:ascii="Amiri" w:hAnsi="Amiri" w:eastAsia="Amiri" w:cs="Amiri"/>
          <w:lang w:bidi="ar-SA"/>
          <w:color w:val="111111"/>
          <w:sz w:val="28"/>
          <w:szCs w:val="28"/>
          <w:rtl/>
        </w:rPr>
        <w:t xml:space="preserve">رسالة يدافع فيها عن الشيخ أحمد</w:t>
      </w:r>
    </w:p>
    <w:p>
      <w:pPr>
        <w:pStyle w:val="BookText"/>
      </w:pPr>
      <w:r>
        <w:rPr>
          <w:rFonts w:ascii="Amiri" w:hAnsi="Amiri" w:eastAsia="Amiri" w:cs="Amiri"/>
          <w:lang w:bidi="ar-SA"/>
          <w:color w:val="111111"/>
          <w:sz w:val="28"/>
          <w:szCs w:val="28"/>
          <w:rtl/>
        </w:rPr>
        <w:t xml:space="preserve">الاحساني، ج8، ص298.</w:t>
      </w:r>
    </w:p>
    <w:p>
      <w:pPr>
        <w:pStyle w:val="Heading2"/>
      </w:pPr>
      <w:bookmarkStart w:id="5981" w:name="_Toc5083"/>
      <w:r>
        <w:t>عطار ، علي بن ابراهيم، 654 - 724 ه-</w:t>
      </w:r>
      <w:bookmarkEnd w:id="5981"/>
    </w:p>
    <w:p>
      <w:pPr>
        <w:pStyle w:val="BookText"/>
      </w:pPr>
      <w:r>
        <w:rPr>
          <w:rFonts w:ascii="Amiri" w:hAnsi="Amiri" w:eastAsia="Amiri" w:cs="Amiri"/>
          <w:lang w:bidi="ar-SA"/>
          <w:color w:val="111111"/>
          <w:sz w:val="28"/>
          <w:szCs w:val="28"/>
          <w:rtl/>
        </w:rPr>
        <w:t xml:space="preserve">1 .السماع (رسالة في)، ج 8، ص829.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عيون المسائل المهمة = الفتاوى</w:t>
      </w:r>
    </w:p>
    <w:p>
      <w:pPr>
        <w:pStyle w:val="BookText"/>
      </w:pPr>
      <w:r>
        <w:rPr>
          <w:rFonts w:ascii="IRNazanin" w:hAnsi="IRNazanin" w:eastAsia="IRNazanin" w:cs="IRNazanin"/>
          <w:lang w:bidi="fa-IR"/>
          <w:color w:val="111111"/>
          <w:sz w:val="28"/>
          <w:szCs w:val="28"/>
          <w:rtl/>
        </w:rPr>
        <w:t xml:space="preserve">ج 11، ص 410.</w:t>
      </w:r>
    </w:p>
    <w:p>
      <w:pPr>
        <w:pStyle w:val="Heading2"/>
      </w:pPr>
      <w:bookmarkStart w:id="5982" w:name="_Toc5084"/>
      <w:r>
        <w:t>عطار ، عمر افندي</w:t>
      </w:r>
      <w:bookmarkEnd w:id="5982"/>
    </w:p>
    <w:p>
      <w:pPr>
        <w:pStyle w:val="BookText"/>
      </w:pPr>
      <w:r>
        <w:rPr>
          <w:rFonts w:ascii="Amiri" w:hAnsi="Amiri" w:eastAsia="Amiri" w:cs="Amiri"/>
          <w:lang w:bidi="ar-SA"/>
          <w:color w:val="111111"/>
          <w:sz w:val="28"/>
          <w:szCs w:val="28"/>
          <w:rtl/>
        </w:rPr>
        <w:t xml:space="preserve">معنى الوجود رسالة في تحقيق)</w:t>
      </w:r>
    </w:p>
    <w:p>
      <w:pPr>
        <w:pStyle w:val="BookText"/>
      </w:pPr>
      <w:r>
        <w:rPr>
          <w:rFonts w:ascii="IRNazanin" w:hAnsi="IRNazanin" w:eastAsia="IRNazanin" w:cs="IRNazanin"/>
          <w:lang w:bidi="fa-IR"/>
          <w:color w:val="111111"/>
          <w:sz w:val="28"/>
          <w:szCs w:val="28"/>
          <w:rtl/>
        </w:rPr>
        <w:t xml:space="preserve">ج 15، ص 98.</w:t>
      </w:r>
    </w:p>
    <w:p>
      <w:pPr>
        <w:pStyle w:val="Heading2"/>
      </w:pPr>
      <w:bookmarkStart w:id="5983" w:name="_Toc5085"/>
      <w:r>
        <w:t>عطار ، عمر بن ،محمّد قرن 5 ه-</w:t>
      </w:r>
      <w:bookmarkEnd w:id="5983"/>
    </w:p>
    <w:p>
      <w:pPr>
        <w:pStyle w:val="BookText"/>
      </w:pPr>
      <w:r>
        <w:rPr>
          <w:rFonts w:ascii="Amiri" w:hAnsi="Amiri" w:eastAsia="Amiri" w:cs="Amiri"/>
          <w:lang w:bidi="ar-SA"/>
          <w:color w:val="111111"/>
          <w:sz w:val="28"/>
          <w:szCs w:val="28"/>
          <w:rtl/>
        </w:rPr>
        <w:t xml:space="preserve">التبيان في معرفة تنزيل القرآن، ج3،</w:t>
      </w:r>
    </w:p>
    <w:p>
      <w:pPr>
        <w:pStyle w:val="BookText"/>
      </w:pPr>
      <w:r>
        <w:rPr>
          <w:rFonts w:ascii="IRNazanin" w:hAnsi="IRNazanin" w:eastAsia="IRNazanin" w:cs="IRNazanin"/>
          <w:lang w:bidi="fa-IR"/>
          <w:color w:val="111111"/>
          <w:sz w:val="28"/>
          <w:szCs w:val="28"/>
          <w:rtl/>
        </w:rPr>
        <w:t xml:space="preserve">ص 662 .</w:t>
      </w:r>
    </w:p>
    <w:p>
      <w:pPr>
        <w:pStyle w:val="BookText"/>
      </w:pPr>
      <w:r>
        <w:rPr>
          <w:rFonts w:ascii="IRNazanin" w:hAnsi="IRNazanin" w:eastAsia="IRNazanin" w:cs="IRNazanin"/>
          <w:lang w:bidi="fa-IR"/>
          <w:color w:val="111111"/>
          <w:sz w:val="28"/>
          <w:szCs w:val="28"/>
          <w:rtl/>
        </w:rPr>
        <w:t xml:space="preserve">عطار ، فرید الدین محمّد -عطار ، محمّد</w:t>
      </w:r>
    </w:p>
    <w:p>
      <w:pPr>
        <w:pStyle w:val="BookText"/>
      </w:pPr>
      <w:r>
        <w:rPr>
          <w:rFonts w:ascii="Amiri" w:hAnsi="Amiri" w:eastAsia="Amiri" w:cs="Amiri"/>
          <w:lang w:bidi="ar-SA"/>
          <w:color w:val="111111"/>
          <w:sz w:val="28"/>
          <w:szCs w:val="28"/>
          <w:rtl/>
        </w:rPr>
        <w:t xml:space="preserve">بن ابراهيم</w:t>
      </w:r>
    </w:p>
    <w:p>
      <w:pPr>
        <w:pStyle w:val="Heading2"/>
      </w:pPr>
      <w:bookmarkStart w:id="5984" w:name="_Toc5086"/>
      <w:r>
        <w:t>عطار ، محمّد</w:t>
      </w:r>
      <w:bookmarkEnd w:id="5984"/>
    </w:p>
    <w:p>
      <w:pPr>
        <w:pStyle w:val="BookText"/>
      </w:pPr>
      <w:r>
        <w:rPr>
          <w:rFonts w:ascii="Amiri" w:hAnsi="Amiri" w:eastAsia="Amiri" w:cs="Amiri"/>
          <w:lang w:bidi="ar-SA"/>
          <w:color w:val="111111"/>
          <w:sz w:val="28"/>
          <w:szCs w:val="28"/>
          <w:rtl/>
        </w:rPr>
        <w:t xml:space="preserve">رنة الاوتار في جداول الافكار في فن</w:t>
      </w:r>
    </w:p>
    <w:p>
      <w:pPr>
        <w:pStyle w:val="BookText"/>
      </w:pPr>
      <w:r>
        <w:rPr>
          <w:rFonts w:ascii="Amiri" w:hAnsi="Amiri" w:eastAsia="Amiri" w:cs="Amiri"/>
          <w:lang w:bidi="ar-SA"/>
          <w:color w:val="111111"/>
          <w:sz w:val="28"/>
          <w:szCs w:val="28"/>
          <w:rtl/>
        </w:rPr>
        <w:t xml:space="preserve">الموسيقار، ج 8، ص 368.</w:t>
      </w:r>
    </w:p>
    <w:p>
      <w:pPr>
        <w:pStyle w:val="Heading2"/>
      </w:pPr>
      <w:bookmarkStart w:id="5985" w:name="_Toc5087"/>
      <w:r>
        <w:t>عطار ، محمّد بن ابراهيم 537؟ - 627 ؟</w:t>
      </w:r>
      <w:bookmarkEnd w:id="5985"/>
    </w:p>
    <w:p>
      <w:pPr>
        <w:pStyle w:val="BookText"/>
      </w:pPr>
      <w:r>
        <w:rPr>
          <w:rFonts w:ascii="IRNazanin" w:hAnsi="IRNazanin" w:eastAsia="IRNazanin" w:cs="IRNazanin"/>
          <w:lang w:bidi="fa-IR"/>
          <w:color w:val="111111"/>
          <w:sz w:val="28"/>
          <w:szCs w:val="28"/>
          <w:rtl/>
        </w:rPr>
        <w:t xml:space="preserve">1 .اخبار اسکندر، ج1، ص522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الهي نامه، ج 2، ص 701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پندنامه = نصایح = ولدنامه =</w:t>
      </w:r>
    </w:p>
    <w:p>
      <w:pPr>
        <w:pStyle w:val="BookText"/>
      </w:pPr>
      <w:r>
        <w:rPr>
          <w:rFonts w:ascii="IRNazanin" w:hAnsi="IRNazanin" w:eastAsia="IRNazanin" w:cs="IRNazanin"/>
          <w:lang w:bidi="fa-IR"/>
          <w:color w:val="111111"/>
          <w:sz w:val="28"/>
          <w:szCs w:val="28"/>
          <w:rtl/>
        </w:rPr>
        <w:t xml:space="preserve">پسرنامه ج 3، ص522</w:t>
      </w:r>
    </w:p>
    <w:p>
      <w:pPr>
        <w:pStyle w:val="BookText"/>
      </w:pPr>
      <w:r>
        <w:rPr>
          <w:rFonts w:ascii="Amiri" w:hAnsi="Amiri" w:eastAsia="Amiri" w:cs="Amiri"/>
          <w:lang w:bidi="ar-SA"/>
          <w:color w:val="111111"/>
          <w:sz w:val="28"/>
          <w:szCs w:val="28"/>
          <w:rtl/>
        </w:rPr>
        <w:t xml:space="preserve">4 .تذكرة الاولياء، ج 4، ص 179.</w:t>
      </w:r>
    </w:p>
    <w:p>
      <w:pPr>
        <w:pStyle w:val="BookText"/>
      </w:pPr>
      <w:r>
        <w:rPr>
          <w:rFonts w:ascii="IRNazanin" w:hAnsi="IRNazanin" w:eastAsia="IRNazanin" w:cs="IRNazanin"/>
          <w:lang w:bidi="fa-IR"/>
          <w:color w:val="111111"/>
          <w:sz w:val="28"/>
          <w:szCs w:val="28"/>
          <w:rtl/>
        </w:rPr>
        <w:t xml:space="preserve">5 .جواهر الخمس، ج 5، ص 545.</w:t>
      </w:r>
    </w:p>
    <w:p>
      <w:pPr>
        <w:pStyle w:val="BookText"/>
      </w:pPr>
      <w:r>
        <w:rPr>
          <w:rFonts w:ascii="IRNazanin" w:hAnsi="IRNazanin" w:eastAsia="IRNazanin" w:cs="IRNazanin"/>
          <w:lang w:bidi="fa-IR"/>
          <w:color w:val="111111"/>
          <w:sz w:val="28"/>
          <w:szCs w:val="28"/>
          <w:rtl/>
        </w:rPr>
        <w:t xml:space="preserve">6 .جوهر ذات - جواهر ذات جواهر نامه - جوهر الذات، ج 5،</w:t>
      </w:r>
    </w:p>
    <w:p>
      <w:pPr>
        <w:pStyle w:val="BookText"/>
      </w:pPr>
      <w:r>
        <w:rPr>
          <w:rFonts w:ascii="IRNazanin" w:hAnsi="IRNazanin" w:eastAsia="IRNazanin" w:cs="IRNazanin"/>
          <w:lang w:bidi="fa-IR"/>
          <w:color w:val="111111"/>
          <w:sz w:val="28"/>
          <w:szCs w:val="28"/>
          <w:rtl/>
        </w:rPr>
        <w:t xml:space="preserve">ص 621 .</w:t>
      </w:r>
    </w:p>
    <w:p>
      <w:pPr>
        <w:pStyle w:val="BookText"/>
      </w:pPr>
      <w:r>
        <w:rPr>
          <w:rFonts w:ascii="Amiri" w:hAnsi="Amiri" w:eastAsia="Amiri" w:cs="Amiri"/>
          <w:lang w:bidi="ar-SA"/>
          <w:color w:val="111111"/>
          <w:sz w:val="28"/>
          <w:szCs w:val="28"/>
          <w:rtl/>
        </w:rPr>
        <w:t xml:space="preserve">7 .ديوان عطار نيشابوري، ج7،</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رباعيات عطار، ج8، ص20.</w:t>
      </w:r>
    </w:p>
    <w:p>
      <w:pPr>
        <w:pStyle w:val="BookText"/>
      </w:pPr>
      <w:r>
        <w:rPr>
          <w:rFonts w:ascii="IRNazanin" w:hAnsi="IRNazanin" w:eastAsia="IRNazanin" w:cs="IRNazanin"/>
          <w:lang w:bidi="fa-IR"/>
          <w:color w:val="111111"/>
          <w:sz w:val="28"/>
          <w:szCs w:val="28"/>
          <w:rtl/>
        </w:rPr>
        <w:t xml:space="preserve">9 .گل و خسرو = خسرونامه = خسرو</w:t>
      </w:r>
    </w:p>
    <w:p>
      <w:pPr>
        <w:pStyle w:val="BookText"/>
      </w:pPr>
      <w:r>
        <w:rPr>
          <w:rFonts w:ascii="IRNazanin" w:hAnsi="IRNazanin" w:eastAsia="IRNazanin" w:cs="IRNazanin"/>
          <w:lang w:bidi="fa-IR"/>
          <w:color w:val="111111"/>
          <w:sz w:val="28"/>
          <w:szCs w:val="28"/>
          <w:rtl/>
        </w:rPr>
        <w:t xml:space="preserve">و گل، ج13، ص 505.</w:t>
      </w:r>
    </w:p>
    <w:p>
      <w:pPr>
        <w:pStyle w:val="BookText"/>
      </w:pPr>
      <w:r>
        <w:rPr>
          <w:rFonts w:ascii="IRNazanin" w:hAnsi="IRNazanin" w:eastAsia="IRNazanin" w:cs="IRNazanin"/>
          <w:lang w:bidi="fa-IR"/>
          <w:color w:val="111111"/>
          <w:sz w:val="28"/>
          <w:szCs w:val="28"/>
          <w:rtl/>
        </w:rPr>
        <w:t xml:space="preserve">10 .مختارنامه، ج 14، ص 165.</w:t>
      </w:r>
    </w:p>
    <w:p>
      <w:pPr>
        <w:pStyle w:val="BookText"/>
      </w:pPr>
      <w:r>
        <w:rPr>
          <w:rFonts w:ascii="IRNazanin" w:hAnsi="IRNazanin" w:eastAsia="IRNazanin" w:cs="IRNazanin"/>
          <w:lang w:bidi="fa-IR"/>
          <w:color w:val="111111"/>
          <w:sz w:val="28"/>
          <w:szCs w:val="28"/>
          <w:rtl/>
        </w:rPr>
        <w:t xml:space="preserve">11 .مصیبت نامه ج 14، ص 753</w:t>
      </w:r>
    </w:p>
    <w:p>
      <w:pPr>
        <w:pStyle w:val="BookText"/>
      </w:pPr>
      <w:r>
        <w:rPr>
          <w:rFonts w:ascii="IRNazanin" w:hAnsi="IRNazanin" w:eastAsia="IRNazanin" w:cs="IRNazanin"/>
          <w:lang w:bidi="fa-IR"/>
          <w:color w:val="111111"/>
          <w:sz w:val="28"/>
          <w:szCs w:val="28"/>
          <w:rtl/>
        </w:rPr>
        <w:t xml:space="preserve">12 .مناقب منصور الحلاج، ج 15</w:t>
      </w:r>
    </w:p>
    <w:p>
      <w:pPr>
        <w:pStyle w:val="BookText"/>
      </w:pPr>
      <w:r>
        <w:rPr>
          <w:rFonts w:ascii="IRNazanin" w:hAnsi="IRNazanin" w:eastAsia="IRNazanin" w:cs="IRNazanin"/>
          <w:lang w:bidi="fa-IR"/>
          <w:color w:val="111111"/>
          <w:sz w:val="28"/>
          <w:szCs w:val="28"/>
          <w:rtl/>
        </w:rPr>
        <w:t xml:space="preserve">ص 555.</w:t>
      </w:r>
    </w:p>
    <w:p>
      <w:pPr>
        <w:pStyle w:val="BookText"/>
      </w:pPr>
      <w:r>
        <w:rPr>
          <w:rFonts w:ascii="Amiri" w:hAnsi="Amiri" w:eastAsia="Amiri" w:cs="Amiri"/>
          <w:lang w:bidi="ar-SA"/>
          <w:color w:val="111111"/>
          <w:sz w:val="28"/>
          <w:szCs w:val="28"/>
          <w:rtl/>
        </w:rPr>
        <w:t xml:space="preserve">13 .منطق الطير = مقامات الطيور</w:t>
      </w:r>
    </w:p>
    <w:p>
      <w:pPr>
        <w:pStyle w:val="BookText"/>
      </w:pPr>
      <w:r>
        <w:rPr>
          <w:rFonts w:ascii="IRNazanin" w:hAnsi="IRNazanin" w:eastAsia="IRNazanin" w:cs="IRNazanin"/>
          <w:lang w:bidi="fa-IR"/>
          <w:color w:val="111111"/>
          <w:sz w:val="28"/>
          <w:szCs w:val="28"/>
          <w:rtl/>
        </w:rPr>
        <w:t xml:space="preserve">ج 15 ، ص 709.</w:t>
      </w:r>
    </w:p>
    <w:p>
      <w:pPr>
        <w:pStyle w:val="BookText"/>
      </w:pPr>
      <w:r>
        <w:rPr>
          <w:rFonts w:ascii="Amiri" w:hAnsi="Amiri" w:eastAsia="Amiri" w:cs="Amiri"/>
          <w:lang w:bidi="ar-SA"/>
          <w:color w:val="111111"/>
          <w:sz w:val="28"/>
          <w:szCs w:val="28"/>
          <w:rtl/>
        </w:rPr>
        <w:t xml:space="preserve">14 .منطق الطير (منتخب)، ج 15،</w:t>
      </w:r>
    </w:p>
    <w:p>
      <w:pPr>
        <w:pStyle w:val="BookText"/>
      </w:pPr>
      <w:r>
        <w:rPr>
          <w:rFonts w:ascii="IRNazanin" w:hAnsi="IRNazanin" w:eastAsia="IRNazanin" w:cs="IRNazanin"/>
          <w:lang w:bidi="fa-IR"/>
          <w:color w:val="111111"/>
          <w:sz w:val="28"/>
          <w:szCs w:val="28"/>
          <w:rtl/>
        </w:rPr>
        <w:t xml:space="preserve">ص 709.</w:t>
      </w:r>
    </w:p>
    <w:p>
      <w:pPr>
        <w:pStyle w:val="BookText"/>
      </w:pPr>
      <w:r>
        <w:rPr>
          <w:rFonts w:ascii="IRNazanin" w:hAnsi="IRNazanin" w:eastAsia="IRNazanin" w:cs="IRNazanin"/>
          <w:lang w:bidi="fa-IR"/>
          <w:color w:val="111111"/>
          <w:sz w:val="28"/>
          <w:szCs w:val="28"/>
          <w:rtl/>
        </w:rPr>
        <w:t xml:space="preserve">عطار ، محمّد بن ابوبکر- عطار ، محمّد</w:t>
      </w:r>
    </w:p>
    <w:p>
      <w:pPr>
        <w:pStyle w:val="BookText"/>
      </w:pPr>
      <w:r>
        <w:rPr>
          <w:rFonts w:ascii="Amiri" w:hAnsi="Amiri" w:eastAsia="Amiri" w:cs="Amiri"/>
          <w:lang w:bidi="ar-SA"/>
          <w:color w:val="111111"/>
          <w:sz w:val="28"/>
          <w:szCs w:val="28"/>
          <w:rtl/>
        </w:rPr>
        <w:t xml:space="preserve">بن ابراهيم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782" w:name="pg7742_70810"/>
    <w:bookmarkEnd w:id="782"/>
    <w:p>
      <w:pPr>
        <w:pStyle w:val="BookText"/>
      </w:pPr>
      <w:r>
        <w:rPr>
          <w:rFonts w:ascii="Amiri" w:hAnsi="Amiri" w:eastAsia="Amiri" w:cs="Amiri"/>
          <w:lang w:bidi="ar-SA"/>
          <w:color w:val="111111"/>
          <w:sz w:val="28"/>
          <w:szCs w:val="28"/>
          <w:rtl/>
        </w:rPr>
        <w:t xml:space="preserve">عطار مصري ، حسن بن محمّد- عطار</w:t>
      </w:r>
    </w:p>
    <w:p>
      <w:pPr>
        <w:pStyle w:val="BookText"/>
      </w:pPr>
      <w:r>
        <w:rPr>
          <w:rFonts w:ascii="Amiri" w:hAnsi="Amiri" w:eastAsia="Amiri" w:cs="Amiri"/>
          <w:lang w:bidi="ar-SA"/>
          <w:color w:val="111111"/>
          <w:sz w:val="28"/>
          <w:szCs w:val="28"/>
          <w:rtl/>
        </w:rPr>
        <w:t xml:space="preserve">حسن بن محمّد</w:t>
      </w:r>
    </w:p>
    <w:p>
      <w:pPr>
        <w:pStyle w:val="BookText"/>
      </w:pPr>
      <w:r>
        <w:rPr>
          <w:rFonts w:ascii="IRNazanin" w:hAnsi="IRNazanin" w:eastAsia="IRNazanin" w:cs="IRNazanin"/>
          <w:lang w:bidi="fa-IR"/>
          <w:color w:val="111111"/>
          <w:sz w:val="28"/>
          <w:szCs w:val="28"/>
          <w:rtl/>
        </w:rPr>
        <w:t xml:space="preserve">عطار ، نصر بن مزاحم -نصر بن مزاحم</w:t>
      </w:r>
    </w:p>
    <w:p>
      <w:pPr>
        <w:pStyle w:val="BookText"/>
      </w:pPr>
      <w:r>
        <w:rPr>
          <w:rFonts w:ascii="IRNazanin" w:hAnsi="IRNazanin" w:eastAsia="IRNazanin" w:cs="IRNazanin"/>
          <w:lang w:bidi="fa-IR"/>
          <w:color w:val="111111"/>
          <w:sz w:val="28"/>
          <w:szCs w:val="28"/>
          <w:rtl/>
        </w:rPr>
        <w:t xml:space="preserve">عطار نیشابوري ، فريد الدين محمّد -عطار ، محمّد بن ابراهیم</w:t>
      </w:r>
    </w:p>
    <w:p>
      <w:pPr>
        <w:pStyle w:val="Heading2"/>
      </w:pPr>
      <w:bookmarkStart w:id="5986" w:name="_Toc5088"/>
      <w:r>
        <w:t>عطار همداني</w:t>
      </w:r>
      <w:bookmarkEnd w:id="5986"/>
    </w:p>
    <w:p>
      <w:pPr>
        <w:pStyle w:val="BookText"/>
      </w:pPr>
      <w:r>
        <w:rPr>
          <w:rFonts w:ascii="Amiri" w:hAnsi="Amiri" w:eastAsia="Amiri" w:cs="Amiri"/>
          <w:lang w:bidi="ar-SA"/>
          <w:color w:val="111111"/>
          <w:sz w:val="28"/>
          <w:szCs w:val="28"/>
          <w:rtl/>
        </w:rPr>
        <w:t xml:space="preserve">منطق الطير، ج 15 ، ص 710.</w:t>
      </w:r>
    </w:p>
    <w:p>
      <w:pPr>
        <w:pStyle w:val="Heading2"/>
      </w:pPr>
      <w:bookmarkStart w:id="5987" w:name="_Toc5089"/>
      <w:r>
        <w:t>عطار همداني ، حسن بن احمد 488 -</w:t>
      </w:r>
      <w:bookmarkEnd w:id="5987"/>
    </w:p>
    <w:p>
      <w:pPr>
        <w:pStyle w:val="BookText"/>
      </w:pPr>
      <w:r>
        <w:rPr>
          <w:rFonts w:ascii="IRNazanin" w:hAnsi="IRNazanin" w:eastAsia="IRNazanin" w:cs="IRNazanin"/>
          <w:lang w:bidi="fa-IR"/>
          <w:color w:val="111111"/>
          <w:sz w:val="28"/>
          <w:szCs w:val="28"/>
          <w:rtl/>
        </w:rPr>
        <w:t xml:space="preserve">569 ه-</w:t>
      </w:r>
    </w:p>
    <w:p>
      <w:pPr>
        <w:pStyle w:val="BookText"/>
      </w:pPr>
      <w:r>
        <w:rPr>
          <w:rFonts w:ascii="IRNazanin" w:hAnsi="IRNazanin" w:eastAsia="IRNazanin" w:cs="IRNazanin"/>
          <w:lang w:bidi="fa-IR"/>
          <w:color w:val="111111"/>
          <w:sz w:val="28"/>
          <w:szCs w:val="28"/>
          <w:rtl/>
        </w:rPr>
        <w:t xml:space="preserve">1 .زاد المسافر و عتاد المسامر، ج8،</w:t>
      </w:r>
    </w:p>
    <w:p>
      <w:pPr>
        <w:pStyle w:val="BookText"/>
      </w:pPr>
      <w:r>
        <w:rPr>
          <w:rFonts w:ascii="IRNazanin" w:hAnsi="IRNazanin" w:eastAsia="IRNazanin" w:cs="IRNazanin"/>
          <w:lang w:bidi="fa-IR"/>
          <w:color w:val="111111"/>
          <w:sz w:val="28"/>
          <w:szCs w:val="28"/>
          <w:rtl/>
        </w:rPr>
        <w:t xml:space="preserve">ص 529 .</w:t>
      </w:r>
    </w:p>
    <w:p>
      <w:pPr>
        <w:pStyle w:val="BookText"/>
      </w:pPr>
      <w:r>
        <w:rPr>
          <w:rFonts w:ascii="Amiri" w:hAnsi="Amiri" w:eastAsia="Amiri" w:cs="Amiri"/>
          <w:lang w:bidi="ar-SA"/>
          <w:color w:val="111111"/>
          <w:sz w:val="28"/>
          <w:szCs w:val="28"/>
          <w:rtl/>
        </w:rPr>
        <w:t xml:space="preserve">2 .مسندات علي بن ابي طالب، ج 14،</w:t>
      </w:r>
    </w:p>
    <w:p>
      <w:pPr>
        <w:pStyle w:val="BookText"/>
      </w:pPr>
      <w:r>
        <w:rPr>
          <w:rFonts w:ascii="IRNazanin" w:hAnsi="IRNazanin" w:eastAsia="IRNazanin" w:cs="IRNazanin"/>
          <w:lang w:bidi="fa-IR"/>
          <w:color w:val="111111"/>
          <w:sz w:val="28"/>
          <w:szCs w:val="28"/>
          <w:rtl/>
        </w:rPr>
        <w:t xml:space="preserve">ص 594 .</w:t>
      </w:r>
    </w:p>
    <w:p>
      <w:pPr>
        <w:pStyle w:val="Heading2"/>
      </w:pPr>
      <w:bookmarkStart w:id="5988" w:name="_Toc5090"/>
      <w:r>
        <w:t>عطاري ، عبد المنعم بن محمّد</w:t>
      </w:r>
      <w:bookmarkEnd w:id="5988"/>
    </w:p>
    <w:p>
      <w:pPr>
        <w:pStyle w:val="BookText"/>
      </w:pPr>
      <w:r>
        <w:rPr>
          <w:rFonts w:ascii="Amiri" w:hAnsi="Amiri" w:eastAsia="Amiri" w:cs="Amiri"/>
          <w:lang w:bidi="ar-SA"/>
          <w:color w:val="111111"/>
          <w:sz w:val="28"/>
          <w:szCs w:val="28"/>
          <w:rtl/>
        </w:rPr>
        <w:t xml:space="preserve">النسب الموسيقية، ج 16، ص 273.</w:t>
      </w:r>
    </w:p>
    <w:p>
      <w:pPr>
        <w:pStyle w:val="BookText"/>
      </w:pPr>
      <w:r>
        <w:rPr>
          <w:rFonts w:ascii="Amiri" w:hAnsi="Amiri" w:eastAsia="Amiri" w:cs="Amiri"/>
          <w:lang w:bidi="ar-SA"/>
          <w:color w:val="111111"/>
          <w:sz w:val="28"/>
          <w:szCs w:val="28"/>
          <w:rtl/>
        </w:rPr>
        <w:t xml:space="preserve">عطاري ، معين الدين بن محمود -معيني</w:t>
      </w:r>
    </w:p>
    <w:p>
      <w:pPr>
        <w:pStyle w:val="BookText"/>
      </w:pPr>
      <w:r>
        <w:rPr>
          <w:rFonts w:ascii="Amiri" w:hAnsi="Amiri" w:eastAsia="Amiri" w:cs="Amiri"/>
          <w:lang w:bidi="ar-SA"/>
          <w:color w:val="111111"/>
          <w:sz w:val="28"/>
          <w:szCs w:val="28"/>
          <w:rtl/>
        </w:rPr>
        <w:t xml:space="preserve">كشميري ، معين الدين بن محمود</w:t>
      </w:r>
    </w:p>
    <w:p>
      <w:pPr>
        <w:pStyle w:val="Heading2"/>
      </w:pPr>
      <w:bookmarkStart w:id="5989" w:name="_Toc5091"/>
      <w:r>
        <w:t>عطوفي ، خضر بن عمر، - 948 ه-</w:t>
      </w:r>
      <w:bookmarkEnd w:id="5989"/>
    </w:p>
    <w:p>
      <w:pPr>
        <w:pStyle w:val="BookText"/>
      </w:pPr>
      <w:r>
        <w:rPr>
          <w:rFonts w:ascii="Amiri" w:hAnsi="Amiri" w:eastAsia="Amiri" w:cs="Amiri"/>
          <w:lang w:bidi="ar-SA"/>
          <w:color w:val="111111"/>
          <w:sz w:val="28"/>
          <w:szCs w:val="28"/>
          <w:rtl/>
        </w:rPr>
        <w:t xml:space="preserve">مرآت التأويل حاشية على تفسير البيضاوي، ج 14، ص 347.</w:t>
      </w:r>
    </w:p>
    <w:p>
      <w:pPr>
        <w:pStyle w:val="BookText"/>
      </w:pPr>
      <w:r>
        <w:rPr>
          <w:rFonts w:ascii="Amiri" w:hAnsi="Amiri" w:eastAsia="Amiri" w:cs="Amiri"/>
          <w:lang w:bidi="ar-SA"/>
          <w:color w:val="111111"/>
          <w:sz w:val="28"/>
          <w:szCs w:val="28"/>
          <w:rtl/>
        </w:rPr>
        <w:t xml:space="preserve">عطوفي ، خضر بن محمود -عطوفي ، خضر</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عطوي ، ابو عبد الرحمن- عطوي ، محمّد</w:t>
      </w:r>
    </w:p>
    <w:p>
      <w:pPr>
        <w:pStyle w:val="BookText"/>
      </w:pPr>
      <w:r>
        <w:rPr>
          <w:rFonts w:ascii="IRNazanin" w:hAnsi="IRNazanin" w:eastAsia="IRNazanin" w:cs="IRNazanin"/>
          <w:lang w:bidi="fa-IR"/>
          <w:color w:val="111111"/>
          <w:sz w:val="28"/>
          <w:szCs w:val="28"/>
          <w:rtl/>
        </w:rPr>
        <w:t xml:space="preserve">بن عبدالرحمن</w:t>
      </w:r>
    </w:p>
    <w:p>
      <w:pPr>
        <w:pStyle w:val="Heading2"/>
      </w:pPr>
      <w:bookmarkStart w:id="5990" w:name="_Toc5092"/>
      <w:r>
        <w:t>عطوي، محمّد بن عبد الرحمن - 250 ؟</w:t>
      </w:r>
      <w:bookmarkEnd w:id="5990"/>
    </w:p>
    <w:p>
      <w:pPr>
        <w:pStyle w:val="BookText"/>
      </w:pPr>
      <w:r>
        <w:rPr>
          <w:rFonts w:ascii="Amiri" w:hAnsi="Amiri" w:eastAsia="Amiri" w:cs="Amiri"/>
          <w:lang w:bidi="ar-SA"/>
          <w:color w:val="111111"/>
          <w:sz w:val="28"/>
          <w:szCs w:val="28"/>
          <w:rtl/>
        </w:rPr>
        <w:t xml:space="preserve">قصيدة إلى المعتضد، ج 12، ص 652.</w:t>
      </w:r>
    </w:p>
    <w:p>
      <w:pPr>
        <w:pStyle w:val="BookText"/>
      </w:pPr>
      <w:r>
        <w:rPr>
          <w:rFonts w:ascii="Amiri" w:hAnsi="Amiri" w:eastAsia="Amiri" w:cs="Amiri"/>
          <w:lang w:bidi="ar-SA"/>
          <w:color w:val="111111"/>
          <w:sz w:val="28"/>
          <w:szCs w:val="28"/>
          <w:rtl/>
        </w:rPr>
        <w:t xml:space="preserve">عطية بن احمد قهوتي-قهوتي ، عطية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عطيه بن عطيه برهاني اجهوري-اجهوري</w:t>
      </w:r>
    </w:p>
    <w:p>
      <w:pPr>
        <w:pStyle w:val="BookText"/>
      </w:pPr>
      <w:r>
        <w:rPr>
          <w:rFonts w:ascii="Amiri" w:hAnsi="Amiri" w:eastAsia="Amiri" w:cs="Amiri"/>
          <w:lang w:bidi="ar-SA"/>
          <w:color w:val="111111"/>
          <w:sz w:val="28"/>
          <w:szCs w:val="28"/>
          <w:rtl/>
        </w:rPr>
        <w:t xml:space="preserve">عطية الله بن عطية</w:t>
      </w:r>
    </w:p>
    <w:p>
      <w:pPr>
        <w:pStyle w:val="Heading2"/>
      </w:pPr>
      <w:bookmarkStart w:id="5991" w:name="_Toc5093"/>
      <w:r>
        <w:t>عظم، جميل بن مصطفی، 1287 - 1352</w:t>
      </w:r>
      <w:bookmarkEnd w:id="59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أثمار الأسفار، ج 1، ص178.</w:t>
      </w:r>
    </w:p>
    <w:p>
      <w:pPr>
        <w:pStyle w:val="BookText"/>
      </w:pPr>
      <w:r>
        <w:rPr>
          <w:rFonts w:ascii="IRNazanin" w:hAnsi="IRNazanin" w:eastAsia="IRNazanin" w:cs="IRNazanin"/>
          <w:lang w:bidi="fa-IR"/>
          <w:color w:val="111111"/>
          <w:sz w:val="28"/>
          <w:szCs w:val="28"/>
          <w:rtl/>
        </w:rPr>
        <w:t xml:space="preserve">2 .الاسفار عن العلوم و الاسفار، ج 2،</w:t>
      </w:r>
    </w:p>
    <w:p>
      <w:pPr>
        <w:pStyle w:val="BookText"/>
      </w:pPr>
      <w:r>
        <w:rPr>
          <w:rFonts w:ascii="IRNazanin" w:hAnsi="IRNazanin" w:eastAsia="IRNazanin" w:cs="IRNazanin"/>
          <w:lang w:bidi="fa-IR"/>
          <w:color w:val="111111"/>
          <w:sz w:val="28"/>
          <w:szCs w:val="28"/>
          <w:rtl/>
        </w:rPr>
        <w:t xml:space="preserve">ص 203.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اشعار، ج 2، ص 287.</w:t>
      </w:r>
    </w:p>
    <w:p>
      <w:pPr>
        <w:pStyle w:val="BookText"/>
      </w:pPr>
      <w:r>
        <w:rPr>
          <w:rFonts w:ascii="Amiri" w:hAnsi="Amiri" w:eastAsia="Amiri" w:cs="Amiri"/>
          <w:lang w:bidi="ar-SA"/>
          <w:color w:val="111111"/>
          <w:sz w:val="28"/>
          <w:szCs w:val="28"/>
          <w:rtl/>
        </w:rPr>
        <w:t xml:space="preserve">4 .تاريخ الادب العربي، ج 3، ص 545.</w:t>
      </w:r>
    </w:p>
    <w:p>
      <w:pPr>
        <w:pStyle w:val="BookText"/>
      </w:pPr>
      <w:r>
        <w:rPr>
          <w:rFonts w:ascii="Amiri" w:hAnsi="Amiri" w:eastAsia="Amiri" w:cs="Amiri"/>
          <w:lang w:bidi="ar-SA"/>
          <w:color w:val="111111"/>
          <w:sz w:val="28"/>
          <w:szCs w:val="28"/>
          <w:rtl/>
        </w:rPr>
        <w:t xml:space="preserve">5 .ذيل كشف الظنون، ج 7، ص880.</w:t>
      </w:r>
    </w:p>
    <w:p>
      <w:pPr>
        <w:pStyle w:val="BookText"/>
      </w:pPr>
      <w:r>
        <w:rPr>
          <w:rFonts w:ascii="Amiri" w:hAnsi="Amiri" w:eastAsia="Amiri" w:cs="Amiri"/>
          <w:lang w:bidi="ar-SA"/>
          <w:color w:val="111111"/>
          <w:sz w:val="28"/>
          <w:szCs w:val="28"/>
          <w:rtl/>
        </w:rPr>
        <w:t xml:space="preserve">6 .رائد الواردين إلى كتب النبي و</w:t>
      </w:r>
    </w:p>
    <w:p>
      <w:pPr>
        <w:pStyle w:val="BookText"/>
      </w:pPr>
      <w:r>
        <w:rPr>
          <w:rFonts w:ascii="Amiri" w:hAnsi="Amiri" w:eastAsia="Amiri" w:cs="Amiri"/>
          <w:lang w:bidi="ar-SA"/>
          <w:color w:val="111111"/>
          <w:sz w:val="28"/>
          <w:szCs w:val="28"/>
          <w:rtl/>
        </w:rPr>
        <w:t xml:space="preserve">الخلفاء الراشدين، ج8، ص3.</w:t>
      </w:r>
    </w:p>
    <w:p>
      <w:pPr>
        <w:pStyle w:val="BookText"/>
      </w:pPr>
      <w:r>
        <w:rPr>
          <w:rFonts w:ascii="Amiri" w:hAnsi="Amiri" w:eastAsia="Amiri" w:cs="Amiri"/>
          <w:lang w:bidi="ar-SA"/>
          <w:color w:val="111111"/>
          <w:sz w:val="28"/>
          <w:szCs w:val="28"/>
          <w:rtl/>
        </w:rPr>
        <w:t xml:space="preserve">عظيم آبادي ، حسن بن امان الله -دهلوي</w:t>
      </w:r>
    </w:p>
    <w:p>
      <w:pPr>
        <w:pStyle w:val="BookText"/>
      </w:pPr>
      <w:r>
        <w:rPr>
          <w:rFonts w:ascii="IRNazanin" w:hAnsi="IRNazanin" w:eastAsia="IRNazanin" w:cs="IRNazanin"/>
          <w:lang w:bidi="fa-IR"/>
          <w:color w:val="111111"/>
          <w:sz w:val="28"/>
          <w:szCs w:val="28"/>
          <w:rtl/>
        </w:rPr>
        <w:t xml:space="preserve">، حسن بن امان الله</w:t>
      </w:r>
    </w:p>
    <w:p>
      <w:pPr>
        <w:pStyle w:val="BookText"/>
      </w:pPr>
      <w:r>
        <w:rPr>
          <w:rFonts w:ascii="IRNazanin" w:hAnsi="IRNazanin" w:eastAsia="IRNazanin" w:cs="IRNazanin"/>
          <w:lang w:bidi="fa-IR"/>
          <w:color w:val="111111"/>
          <w:sz w:val="28"/>
          <w:szCs w:val="28"/>
          <w:rtl/>
        </w:rPr>
        <w:t xml:space="preserve">عظیم آبادي ، عبد القاهر بن عبد الخالق- بيدل دهلوي ، عبد القادر بن</w:t>
      </w:r>
    </w:p>
    <w:p>
      <w:pPr>
        <w:pStyle w:val="BookText"/>
      </w:pPr>
      <w:r>
        <w:rPr>
          <w:rFonts w:ascii="IRNazanin" w:hAnsi="IRNazanin" w:eastAsia="IRNazanin" w:cs="IRNazanin"/>
          <w:lang w:bidi="fa-IR"/>
          <w:color w:val="111111"/>
          <w:sz w:val="28"/>
          <w:szCs w:val="28"/>
          <w:rtl/>
        </w:rPr>
        <w:t xml:space="preserve">عبد الخالق</w:t>
      </w:r>
    </w:p>
    <w:p>
      <w:pPr>
        <w:pStyle w:val="Heading2"/>
      </w:pPr>
      <w:bookmarkStart w:id="5992" w:name="_Toc5094"/>
      <w:r>
        <w:t>عظيم بن قيدي بن نظيري</w:t>
      </w:r>
      <w:bookmarkEnd w:id="5992"/>
    </w:p>
    <w:p>
      <w:pPr>
        <w:pStyle w:val="BookText"/>
      </w:pPr>
      <w:r>
        <w:rPr>
          <w:rFonts w:ascii="Amiri" w:hAnsi="Amiri" w:eastAsia="Amiri" w:cs="Amiri"/>
          <w:lang w:bidi="ar-SA"/>
          <w:color w:val="111111"/>
          <w:sz w:val="28"/>
          <w:szCs w:val="28"/>
          <w:rtl/>
        </w:rPr>
        <w:t xml:space="preserve">فوز عظيم، ج 12، ص302.</w:t>
      </w:r>
    </w:p>
    <w:p>
      <w:pPr>
        <w:pStyle w:val="Heading2"/>
      </w:pPr>
      <w:bookmarkStart w:id="5993" w:name="_Toc5095"/>
      <w:r>
        <w:t>عظيمي ، محمّد بن علي - 556 ه-</w:t>
      </w:r>
      <w:bookmarkEnd w:id="5993"/>
    </w:p>
    <w:p>
      <w:pPr>
        <w:pStyle w:val="BookText"/>
      </w:pPr>
      <w:r>
        <w:rPr>
          <w:rFonts w:ascii="Amiri" w:hAnsi="Amiri" w:eastAsia="Amiri" w:cs="Amiri"/>
          <w:lang w:bidi="ar-SA"/>
          <w:color w:val="111111"/>
          <w:sz w:val="28"/>
          <w:szCs w:val="28"/>
          <w:rtl/>
        </w:rPr>
        <w:t xml:space="preserve">تاريخ العظيمي = وقايع نامه = تاريخ السلاجقة، ج 3، ص 583.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783" w:name="pg7742_70812"/>
    <w:bookmarkEnd w:id="783"/>
    <w:p>
      <w:pPr>
        <w:pStyle w:val="Heading2"/>
      </w:pPr>
      <w:bookmarkStart w:id="5994" w:name="_Toc5096"/>
      <w:r>
        <w:t>عفالقي محمّد بن عبد الرحمن -1164ه-</w:t>
      </w:r>
      <w:bookmarkEnd w:id="5994"/>
    </w:p>
    <w:p>
      <w:pPr>
        <w:pStyle w:val="BookText"/>
      </w:pPr>
      <w:r>
        <w:rPr>
          <w:rFonts w:ascii="IRNazanin" w:hAnsi="IRNazanin" w:eastAsia="IRNazanin" w:cs="IRNazanin"/>
          <w:lang w:bidi="fa-IR"/>
          <w:color w:val="111111"/>
          <w:sz w:val="28"/>
          <w:szCs w:val="28"/>
          <w:rtl/>
        </w:rPr>
        <w:t xml:space="preserve">1 .سلم العروج إلى المنازل والبروج</w:t>
      </w:r>
    </w:p>
    <w:p>
      <w:pPr>
        <w:pStyle w:val="BookText"/>
      </w:pPr>
      <w:r>
        <w:rPr>
          <w:rFonts w:ascii="IRNazanin" w:hAnsi="IRNazanin" w:eastAsia="IRNazanin" w:cs="IRNazanin"/>
          <w:lang w:bidi="fa-IR"/>
          <w:color w:val="111111"/>
          <w:sz w:val="28"/>
          <w:szCs w:val="28"/>
          <w:rtl/>
        </w:rPr>
        <w:t xml:space="preserve">ج 8، ص 814.</w:t>
      </w:r>
    </w:p>
    <w:p>
      <w:pPr>
        <w:pStyle w:val="BookText"/>
      </w:pPr>
      <w:r>
        <w:rPr>
          <w:rFonts w:ascii="Amiri" w:hAnsi="Amiri" w:eastAsia="Amiri" w:cs="Amiri"/>
          <w:lang w:bidi="ar-SA"/>
          <w:color w:val="111111"/>
          <w:sz w:val="28"/>
          <w:szCs w:val="28"/>
          <w:rtl/>
        </w:rPr>
        <w:t xml:space="preserve">2 .الفلك( رسالة في)، ج 12، ص 130.</w:t>
      </w:r>
    </w:p>
    <w:p>
      <w:pPr>
        <w:pStyle w:val="BookText"/>
      </w:pPr>
      <w:r>
        <w:rPr>
          <w:rFonts w:ascii="Amiri" w:hAnsi="Amiri" w:eastAsia="Amiri" w:cs="Amiri"/>
          <w:lang w:bidi="ar-SA"/>
          <w:color w:val="111111"/>
          <w:sz w:val="28"/>
          <w:szCs w:val="28"/>
          <w:rtl/>
        </w:rPr>
        <w:t xml:space="preserve">عفان بن مسلم صفار انصاري- صفار</w:t>
      </w:r>
    </w:p>
    <w:p>
      <w:pPr>
        <w:pStyle w:val="BookText"/>
      </w:pPr>
      <w:r>
        <w:rPr>
          <w:rFonts w:ascii="Amiri" w:hAnsi="Amiri" w:eastAsia="Amiri" w:cs="Amiri"/>
          <w:lang w:bidi="ar-SA"/>
          <w:color w:val="111111"/>
          <w:sz w:val="28"/>
          <w:szCs w:val="28"/>
          <w:rtl/>
        </w:rPr>
        <w:t xml:space="preserve">انصاري ، عفان بن مسلم</w:t>
      </w:r>
    </w:p>
    <w:p>
      <w:pPr>
        <w:pStyle w:val="Heading2"/>
      </w:pPr>
      <w:bookmarkStart w:id="5995" w:name="_Toc5097"/>
      <w:r>
        <w:t>عفكاوي خضر بن شلال 21180-1255ه-</w:t>
      </w:r>
      <w:bookmarkEnd w:id="5995"/>
    </w:p>
    <w:p>
      <w:pPr>
        <w:pStyle w:val="BookText"/>
      </w:pPr>
      <w:r>
        <w:rPr>
          <w:rFonts w:ascii="Amiri" w:hAnsi="Amiri" w:eastAsia="Amiri" w:cs="Amiri"/>
          <w:lang w:bidi="ar-SA"/>
          <w:color w:val="111111"/>
          <w:sz w:val="28"/>
          <w:szCs w:val="28"/>
          <w:rtl/>
        </w:rPr>
        <w:t xml:space="preserve">1 .ابواب الجنان و بشاير الرضوان =</w:t>
      </w:r>
    </w:p>
    <w:p>
      <w:pPr>
        <w:pStyle w:val="BookText"/>
      </w:pPr>
      <w:r>
        <w:rPr>
          <w:rFonts w:ascii="IRNazanin" w:hAnsi="IRNazanin" w:eastAsia="IRNazanin" w:cs="IRNazanin"/>
          <w:lang w:bidi="fa-IR"/>
          <w:color w:val="111111"/>
          <w:sz w:val="28"/>
          <w:szCs w:val="28"/>
          <w:rtl/>
        </w:rPr>
        <w:t xml:space="preserve">مزار شیخ، ج1، ص113.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إجازة للآخوند ملا عبدالكريم الكرماني النجفي، ج 1، ص227.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التحفة الغروية في شرح اللمعة</w:t>
      </w:r>
    </w:p>
    <w:p>
      <w:pPr>
        <w:pStyle w:val="BookText"/>
      </w:pPr>
      <w:r>
        <w:rPr>
          <w:rFonts w:ascii="Amiri" w:hAnsi="Amiri" w:eastAsia="Amiri" w:cs="Amiri"/>
          <w:lang w:bidi="ar-SA"/>
          <w:color w:val="111111"/>
          <w:sz w:val="28"/>
          <w:szCs w:val="28"/>
          <w:rtl/>
        </w:rPr>
        <w:t xml:space="preserve">الدمشقية، ج3، ص872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جنة الخلد، ج 5، ص 464.</w:t>
      </w:r>
    </w:p>
    <w:p>
      <w:pPr>
        <w:pStyle w:val="BookText"/>
      </w:pPr>
      <w:r>
        <w:rPr>
          <w:rFonts w:ascii="Amiri" w:hAnsi="Amiri" w:eastAsia="Amiri" w:cs="Amiri"/>
          <w:lang w:bidi="ar-SA"/>
          <w:color w:val="111111"/>
          <w:sz w:val="28"/>
          <w:szCs w:val="28"/>
          <w:rtl/>
        </w:rPr>
        <w:t xml:space="preserve">5 .كتاب الجع، ج 13، ص 97.</w:t>
      </w:r>
    </w:p>
    <w:p>
      <w:pPr>
        <w:pStyle w:val="BookText"/>
      </w:pPr>
      <w:r>
        <w:rPr>
          <w:rFonts w:ascii="IRNazanin" w:hAnsi="IRNazanin" w:eastAsia="IRNazanin" w:cs="IRNazanin"/>
          <w:lang w:bidi="fa-IR"/>
          <w:color w:val="111111"/>
          <w:sz w:val="28"/>
          <w:szCs w:val="28"/>
          <w:rtl/>
        </w:rPr>
        <w:t xml:space="preserve">6 .مصباح الرشاد، ج 14، ص 705.</w:t>
      </w:r>
    </w:p>
    <w:p>
      <w:pPr>
        <w:pStyle w:val="Heading2"/>
      </w:pPr>
      <w:bookmarkStart w:id="5996" w:name="_Toc5098"/>
      <w:r>
        <w:t>عفيف ، ابوسعد بن أبي السرور</w:t>
      </w:r>
      <w:bookmarkEnd w:id="5996"/>
    </w:p>
    <w:p>
      <w:pPr>
        <w:pStyle w:val="BookText"/>
      </w:pPr>
      <w:r>
        <w:rPr>
          <w:rFonts w:ascii="Amiri" w:hAnsi="Amiri" w:eastAsia="Amiri" w:cs="Amiri"/>
          <w:lang w:bidi="ar-SA"/>
          <w:color w:val="111111"/>
          <w:sz w:val="28"/>
          <w:szCs w:val="28"/>
          <w:rtl/>
        </w:rPr>
        <w:t xml:space="preserve">اللمحة العفيفية في الاسباب و العلامات = مختصر الإيلاقي، ج13،</w:t>
      </w:r>
    </w:p>
    <w:p>
      <w:pPr>
        <w:pStyle w:val="BookText"/>
      </w:pPr>
      <w:r>
        <w:rPr>
          <w:rFonts w:ascii="IRNazanin" w:hAnsi="IRNazanin" w:eastAsia="IRNazanin" w:cs="IRNazanin"/>
          <w:lang w:bidi="fa-IR"/>
          <w:color w:val="111111"/>
          <w:sz w:val="28"/>
          <w:szCs w:val="28"/>
          <w:rtl/>
        </w:rPr>
        <w:t xml:space="preserve">ص610.</w:t>
      </w:r>
    </w:p>
    <w:p>
      <w:pPr>
        <w:pStyle w:val="Heading2"/>
      </w:pPr>
      <w:bookmarkStart w:id="5997" w:name="_Toc5099"/>
      <w:r>
        <w:t>عفيف الدين بن مبارك قرن 6 ه-</w:t>
      </w:r>
      <w:bookmarkEnd w:id="5997"/>
    </w:p>
    <w:p>
      <w:pPr>
        <w:pStyle w:val="BookText"/>
      </w:pPr>
      <w:r>
        <w:rPr>
          <w:rFonts w:ascii="Amiri" w:hAnsi="Amiri" w:eastAsia="Amiri" w:cs="Amiri"/>
          <w:lang w:bidi="ar-SA"/>
          <w:color w:val="111111"/>
          <w:sz w:val="28"/>
          <w:szCs w:val="28"/>
          <w:rtl/>
        </w:rPr>
        <w:t xml:space="preserve">الفتح الرباني و الفيض الرحماني = مواهب رحماني و فتوح رباني، ج 11،</w:t>
      </w:r>
    </w:p>
    <w:p>
      <w:pPr>
        <w:pStyle w:val="BookText"/>
      </w:pPr>
      <w:r>
        <w:rPr>
          <w:rFonts w:ascii="IRNazanin" w:hAnsi="IRNazanin" w:eastAsia="IRNazanin" w:cs="IRNazanin"/>
          <w:lang w:bidi="fa-IR"/>
          <w:color w:val="111111"/>
          <w:sz w:val="28"/>
          <w:szCs w:val="28"/>
          <w:rtl/>
        </w:rPr>
        <w:t xml:space="preserve">ص 648.</w:t>
      </w:r>
    </w:p>
    <w:p>
      <w:pPr>
        <w:pStyle w:val="Heading2"/>
      </w:pPr>
      <w:bookmarkStart w:id="5998" w:name="_Toc5100"/>
      <w:r>
        <w:t>عفيف الدين عبد الله بن عبدالرحمن</w:t>
      </w:r>
      <w:bookmarkEnd w:id="5998"/>
    </w:p>
    <w:p>
      <w:pPr>
        <w:pStyle w:val="BookText"/>
      </w:pPr>
      <w:r>
        <w:rPr>
          <w:rFonts w:ascii="Amiri" w:hAnsi="Amiri" w:eastAsia="Amiri" w:cs="Amiri"/>
          <w:lang w:bidi="ar-SA"/>
          <w:color w:val="111111"/>
          <w:sz w:val="28"/>
          <w:szCs w:val="28"/>
          <w:rtl/>
        </w:rPr>
        <w:t xml:space="preserve">التعليم بقواعد الدين القويم، جع،</w:t>
      </w:r>
    </w:p>
    <w:p>
      <w:pPr>
        <w:pStyle w:val="BookText"/>
      </w:pPr>
      <w:r>
        <w:rPr>
          <w:rFonts w:ascii="IRNazanin" w:hAnsi="IRNazanin" w:eastAsia="IRNazanin" w:cs="IRNazanin"/>
          <w:lang w:bidi="fa-IR"/>
          <w:color w:val="111111"/>
          <w:sz w:val="28"/>
          <w:szCs w:val="28"/>
          <w:rtl/>
        </w:rPr>
        <w:t xml:space="preserve">ص 557.</w:t>
      </w:r>
    </w:p>
    <w:p>
      <w:pPr>
        <w:pStyle w:val="Heading2"/>
      </w:pPr>
      <w:bookmarkStart w:id="5999" w:name="_Toc5101"/>
      <w:r>
        <w:t>عقباوي، مصطفى بن احمد - 1221 ه-</w:t>
      </w:r>
      <w:bookmarkEnd w:id="5999"/>
    </w:p>
    <w:p>
      <w:pPr>
        <w:pStyle w:val="BookText"/>
      </w:pPr>
      <w:r>
        <w:rPr>
          <w:rFonts w:ascii="Amiri" w:hAnsi="Amiri" w:eastAsia="Amiri" w:cs="Amiri"/>
          <w:lang w:bidi="ar-SA"/>
          <w:color w:val="111111"/>
          <w:sz w:val="28"/>
          <w:szCs w:val="28"/>
          <w:rtl/>
        </w:rPr>
        <w:t xml:space="preserve">عقيدة العوام من اهل الاسلام =</w:t>
      </w:r>
    </w:p>
    <w:p>
      <w:pPr>
        <w:pStyle w:val="BookText"/>
      </w:pPr>
      <w:r>
        <w:rPr>
          <w:rFonts w:ascii="Amiri" w:hAnsi="Amiri" w:eastAsia="Amiri" w:cs="Amiri"/>
          <w:lang w:bidi="ar-SA"/>
          <w:color w:val="111111"/>
          <w:sz w:val="28"/>
          <w:szCs w:val="28"/>
          <w:rtl/>
        </w:rPr>
        <w:t xml:space="preserve">عقيدة العقباوي، ج 11، ص 205.</w:t>
      </w:r>
    </w:p>
    <w:p>
      <w:pPr>
        <w:pStyle w:val="Heading2"/>
      </w:pPr>
      <w:bookmarkStart w:id="6000" w:name="_Toc5102"/>
      <w:r>
        <w:t>عقدائي، اسماعيل بن محمّد، 1188 -</w:t>
      </w:r>
      <w:bookmarkEnd w:id="6000"/>
    </w:p>
    <w:p>
      <w:pPr>
        <w:pStyle w:val="BookText"/>
      </w:pPr>
      <w:r>
        <w:rPr>
          <w:rFonts w:ascii="IRNazanin" w:hAnsi="IRNazanin" w:eastAsia="IRNazanin" w:cs="IRNazanin"/>
          <w:lang w:bidi="fa-IR"/>
          <w:color w:val="111111"/>
          <w:sz w:val="28"/>
          <w:szCs w:val="28"/>
          <w:rtl/>
        </w:rPr>
        <w:t xml:space="preserve">130 ه-</w:t>
      </w:r>
    </w:p>
    <w:p>
      <w:pPr>
        <w:pStyle w:val="BookText"/>
      </w:pPr>
      <w:r>
        <w:rPr>
          <w:rFonts w:ascii="Amiri" w:hAnsi="Amiri" w:eastAsia="Amiri" w:cs="Amiri"/>
          <w:lang w:bidi="ar-SA"/>
          <w:color w:val="111111"/>
          <w:sz w:val="28"/>
          <w:szCs w:val="28"/>
          <w:rtl/>
        </w:rPr>
        <w:t xml:space="preserve">معارج الوصول إلى حقايق الاصول =</w:t>
      </w:r>
    </w:p>
    <w:p>
      <w:pPr>
        <w:pStyle w:val="BookText"/>
      </w:pPr>
      <w:r>
        <w:rPr>
          <w:rFonts w:ascii="Amiri" w:hAnsi="Amiri" w:eastAsia="Amiri" w:cs="Amiri"/>
          <w:lang w:bidi="ar-SA"/>
          <w:color w:val="111111"/>
          <w:sz w:val="28"/>
          <w:szCs w:val="28"/>
          <w:rtl/>
        </w:rPr>
        <w:t xml:space="preserve">حقايق الأصول للوصول إلى المأمول</w:t>
      </w:r>
    </w:p>
    <w:p>
      <w:pPr>
        <w:pStyle w:val="BookText"/>
      </w:pPr>
      <w:r>
        <w:rPr>
          <w:rFonts w:ascii="IRNazanin" w:hAnsi="IRNazanin" w:eastAsia="IRNazanin" w:cs="IRNazanin"/>
          <w:lang w:bidi="fa-IR"/>
          <w:color w:val="111111"/>
          <w:sz w:val="28"/>
          <w:szCs w:val="28"/>
          <w:rtl/>
        </w:rPr>
        <w:t xml:space="preserve">ج 14، ص 840.</w:t>
      </w:r>
    </w:p>
    <w:p>
      <w:pPr>
        <w:pStyle w:val="Heading2"/>
      </w:pPr>
      <w:bookmarkStart w:id="6001" w:name="_Toc5103"/>
      <w:r>
        <w:t>عقراوي ، عبد الرحمن</w:t>
      </w:r>
      <w:bookmarkEnd w:id="6001"/>
    </w:p>
    <w:p>
      <w:pPr>
        <w:pStyle w:val="BookText"/>
      </w:pPr>
      <w:r>
        <w:rPr>
          <w:rFonts w:ascii="Amiri" w:hAnsi="Amiri" w:eastAsia="Amiri" w:cs="Amiri"/>
          <w:lang w:bidi="ar-SA"/>
          <w:color w:val="111111"/>
          <w:sz w:val="28"/>
          <w:szCs w:val="28"/>
          <w:rtl/>
        </w:rPr>
        <w:t xml:space="preserve">الكنز الفريد في قواعد التجويد، ج13،</w:t>
      </w:r>
    </w:p>
    <w:p>
      <w:pPr>
        <w:pStyle w:val="BookText"/>
      </w:pPr>
      <w:r>
        <w:rPr>
          <w:rFonts w:ascii="IRNazanin" w:hAnsi="IRNazanin" w:eastAsia="IRNazanin" w:cs="IRNazanin"/>
          <w:lang w:bidi="fa-IR"/>
          <w:color w:val="111111"/>
          <w:sz w:val="28"/>
          <w:szCs w:val="28"/>
          <w:rtl/>
        </w:rPr>
        <w:t xml:space="preserve">ص 430 .</w:t>
      </w:r>
    </w:p>
    <w:p>
      <w:pPr>
        <w:pStyle w:val="BookText"/>
      </w:pPr>
      <w:r>
        <w:rPr>
          <w:rFonts w:ascii="Amiri" w:hAnsi="Amiri" w:eastAsia="Amiri" w:cs="Amiri"/>
          <w:lang w:bidi="ar-SA"/>
          <w:color w:val="111111"/>
          <w:sz w:val="28"/>
          <w:szCs w:val="28"/>
          <w:rtl/>
        </w:rPr>
        <w:t xml:space="preserve">عقري ، محمّد بن بدر الدين- بصري ،</w:t>
      </w:r>
    </w:p>
    <w:p>
      <w:pPr>
        <w:pStyle w:val="BookText"/>
      </w:pPr>
      <w:r>
        <w:rPr>
          <w:rFonts w:ascii="IRNazanin" w:hAnsi="IRNazanin" w:eastAsia="IRNazanin" w:cs="IRNazanin"/>
          <w:lang w:bidi="fa-IR"/>
          <w:color w:val="111111"/>
          <w:sz w:val="28"/>
          <w:szCs w:val="28"/>
          <w:rtl/>
        </w:rPr>
        <w:t xml:space="preserve">محمّد بن بدرالدین</w:t>
      </w:r>
    </w:p>
    <w:p>
      <w:pPr>
        <w:pStyle w:val="Heading2"/>
      </w:pPr>
      <w:bookmarkStart w:id="6002" w:name="_Toc5104"/>
      <w:r>
        <w:t>عقيبي ، علي بن محمّد</w:t>
      </w:r>
      <w:bookmarkEnd w:id="6002"/>
    </w:p>
    <w:p>
      <w:pPr>
        <w:pStyle w:val="BookText"/>
      </w:pPr>
      <w:r>
        <w:rPr>
          <w:rFonts w:ascii="Amiri" w:hAnsi="Amiri" w:eastAsia="Amiri" w:cs="Amiri"/>
          <w:lang w:bidi="ar-SA"/>
          <w:color w:val="111111"/>
          <w:sz w:val="28"/>
          <w:szCs w:val="28"/>
          <w:rtl/>
        </w:rPr>
        <w:t xml:space="preserve">كشف الثماني بحل غاية الاماني، ج13،</w:t>
      </w:r>
    </w:p>
    <w:p>
      <w:pPr>
        <w:pStyle w:val="BookText"/>
      </w:pPr>
      <w:r>
        <w:rPr>
          <w:rFonts w:ascii="IRNazanin" w:hAnsi="IRNazanin" w:eastAsia="IRNazanin" w:cs="IRNazanin"/>
          <w:lang w:bidi="fa-IR"/>
          <w:color w:val="111111"/>
          <w:sz w:val="28"/>
          <w:szCs w:val="28"/>
          <w:rtl/>
        </w:rPr>
        <w:t xml:space="preserve">ص 199.</w:t>
      </w:r>
    </w:p>
    <w:p>
      <w:pPr>
        <w:pStyle w:val="BookText"/>
      </w:pPr>
      <w:r>
        <w:rPr>
          <w:rFonts w:ascii="Amiri" w:hAnsi="Amiri" w:eastAsia="Amiri" w:cs="Amiri"/>
          <w:lang w:bidi="ar-SA"/>
          <w:color w:val="111111"/>
          <w:sz w:val="28"/>
          <w:szCs w:val="28"/>
          <w:rtl/>
        </w:rPr>
        <w:t xml:space="preserve">عقيله مكي ، محمّد بن احمد -ابن عقيله</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عقيلي ، اسماعيل بن ابراهيم- يمني</w:t>
      </w:r>
    </w:p>
    <w:p>
      <w:pPr>
        <w:pStyle w:val="BookText"/>
      </w:pPr>
      <w:r>
        <w:rPr>
          <w:rFonts w:ascii="Amiri" w:hAnsi="Amiri" w:eastAsia="Amiri" w:cs="Amiri"/>
          <w:lang w:bidi="ar-SA"/>
          <w:color w:val="111111"/>
          <w:sz w:val="28"/>
          <w:szCs w:val="28"/>
          <w:rtl/>
        </w:rPr>
        <w:t xml:space="preserve">اسماعيل بن ابراهيم</w:t>
      </w:r>
    </w:p>
    <w:p>
      <w:pPr>
        <w:pStyle w:val="Heading2"/>
      </w:pPr>
      <w:bookmarkStart w:id="6003" w:name="_Toc5105"/>
      <w:r>
        <w:t>عقيلي ، توبة بن الحمير - 64 ه-</w:t>
      </w:r>
      <w:bookmarkEnd w:id="6003"/>
    </w:p>
    <w:p>
      <w:pPr>
        <w:pStyle w:val="BookText"/>
      </w:pPr>
      <w:r>
        <w:rPr>
          <w:rFonts w:ascii="Amiri" w:hAnsi="Amiri" w:eastAsia="Amiri" w:cs="Amiri"/>
          <w:lang w:bidi="ar-SA"/>
          <w:color w:val="111111"/>
          <w:sz w:val="28"/>
          <w:szCs w:val="28"/>
          <w:rtl/>
        </w:rPr>
        <w:t xml:space="preserve">ديوان توبة بن الحمير، ج 7، ص 603.</w:t>
      </w:r>
    </w:p>
    <w:p>
      <w:pPr>
        <w:pStyle w:val="BookText"/>
      </w:pPr>
      <w:r>
        <w:rPr>
          <w:rFonts w:ascii="Amiri" w:hAnsi="Amiri" w:eastAsia="Amiri" w:cs="Amiri"/>
          <w:lang w:bidi="ar-SA"/>
          <w:color w:val="111111"/>
          <w:sz w:val="28"/>
          <w:szCs w:val="28"/>
          <w:rtl/>
        </w:rPr>
        <w:t xml:space="preserve">عقيلي ، حسن بن ابراهيم- جبرتي ، حسن</w:t>
      </w:r>
    </w:p>
    <w:p>
      <w:pPr>
        <w:pStyle w:val="BookText"/>
      </w:pPr>
      <w:r>
        <w:rPr>
          <w:rFonts w:ascii="Amiri" w:hAnsi="Amiri" w:eastAsia="Amiri" w:cs="Amiri"/>
          <w:lang w:bidi="ar-SA"/>
          <w:color w:val="111111"/>
          <w:sz w:val="28"/>
          <w:szCs w:val="28"/>
          <w:rtl/>
        </w:rPr>
        <w:t xml:space="preserve">بن ابراهيم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784" w:name="pg7742_70813"/>
    <w:bookmarkEnd w:id="784"/>
    <w:p>
      <w:pPr>
        <w:pStyle w:val="Heading2"/>
      </w:pPr>
      <w:bookmarkStart w:id="6004" w:name="_Toc5106"/>
      <w:r>
        <w:t>عقيلي شيرازي ، محمّد حسین بن محمّد</w:t>
      </w:r>
      <w:bookmarkEnd w:id="6004"/>
    </w:p>
    <w:p>
      <w:pPr>
        <w:pStyle w:val="BookText"/>
      </w:pPr>
      <w:r>
        <w:rPr>
          <w:rFonts w:ascii="Amiri" w:hAnsi="Amiri" w:eastAsia="Amiri" w:cs="Amiri"/>
          <w:lang w:bidi="ar-SA"/>
          <w:color w:val="111111"/>
          <w:sz w:val="28"/>
          <w:szCs w:val="28"/>
          <w:rtl/>
        </w:rPr>
        <w:t xml:space="preserve">هادي قرن 12 ه-</w:t>
      </w:r>
    </w:p>
    <w:p>
      <w:pPr>
        <w:pStyle w:val="BookText"/>
      </w:pPr>
      <w:r>
        <w:rPr>
          <w:rFonts w:ascii="Amiri" w:hAnsi="Amiri" w:eastAsia="Amiri" w:cs="Amiri"/>
          <w:lang w:bidi="ar-SA"/>
          <w:color w:val="111111"/>
          <w:sz w:val="28"/>
          <w:szCs w:val="28"/>
          <w:rtl/>
        </w:rPr>
        <w:t xml:space="preserve">1 .خلاصة الحكمة، ج 7، ص 110.</w:t>
      </w:r>
    </w:p>
    <w:p>
      <w:pPr>
        <w:pStyle w:val="BookText"/>
      </w:pPr>
      <w:r>
        <w:rPr>
          <w:rFonts w:ascii="Amiri" w:hAnsi="Amiri" w:eastAsia="Amiri" w:cs="Amiri"/>
          <w:lang w:bidi="ar-SA"/>
          <w:color w:val="111111"/>
          <w:sz w:val="28"/>
          <w:szCs w:val="28"/>
          <w:rtl/>
        </w:rPr>
        <w:t xml:space="preserve">2 .خلاصة الطب، ج 7، ص 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خلاصة القوانين، ج 7، ص 135.</w:t>
      </w:r>
    </w:p>
    <w:p>
      <w:pPr>
        <w:pStyle w:val="BookText"/>
      </w:pPr>
      <w:r>
        <w:rPr>
          <w:rFonts w:ascii="Amiri" w:hAnsi="Amiri" w:eastAsia="Amiri" w:cs="Amiri"/>
          <w:lang w:bidi="ar-SA"/>
          <w:color w:val="111111"/>
          <w:sz w:val="28"/>
          <w:szCs w:val="28"/>
          <w:rtl/>
        </w:rPr>
        <w:t xml:space="preserve">4 .دستور شفائي = بيست ،باب ج7،</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IRNazanin" w:hAnsi="IRNazanin" w:eastAsia="IRNazanin" w:cs="IRNazanin"/>
          <w:lang w:bidi="fa-IR"/>
          <w:color w:val="111111"/>
          <w:sz w:val="28"/>
          <w:szCs w:val="28"/>
          <w:rtl/>
        </w:rPr>
        <w:t xml:space="preserve">5 .طب، ج 10، ص 742 .</w:t>
      </w:r>
    </w:p>
    <w:p>
      <w:pPr>
        <w:pStyle w:val="BookText"/>
      </w:pPr>
      <w:r>
        <w:rPr>
          <w:rFonts w:ascii="IRNazanin" w:hAnsi="IRNazanin" w:eastAsia="IRNazanin" w:cs="IRNazanin"/>
          <w:lang w:bidi="fa-IR"/>
          <w:color w:val="111111"/>
          <w:sz w:val="28"/>
          <w:szCs w:val="28"/>
          <w:rtl/>
        </w:rPr>
        <w:t xml:space="preserve">6 .قرابادین = مجمع الجوامع و ذخائر</w:t>
      </w:r>
    </w:p>
    <w:p>
      <w:pPr>
        <w:pStyle w:val="BookText"/>
      </w:pPr>
      <w:r>
        <w:rPr>
          <w:rFonts w:ascii="Amiri" w:hAnsi="Amiri" w:eastAsia="Amiri" w:cs="Amiri"/>
          <w:lang w:bidi="ar-SA"/>
          <w:color w:val="111111"/>
          <w:sz w:val="28"/>
          <w:szCs w:val="28"/>
          <w:rtl/>
        </w:rPr>
        <w:t xml:space="preserve">التراكيب، ج12، ص 553.</w:t>
      </w:r>
    </w:p>
    <w:p>
      <w:pPr>
        <w:pStyle w:val="BookText"/>
      </w:pPr>
      <w:r>
        <w:rPr>
          <w:rFonts w:ascii="Amiri" w:hAnsi="Amiri" w:eastAsia="Amiri" w:cs="Amiri"/>
          <w:lang w:bidi="ar-SA"/>
          <w:color w:val="111111"/>
          <w:sz w:val="28"/>
          <w:szCs w:val="28"/>
          <w:rtl/>
        </w:rPr>
        <w:t xml:space="preserve">7 .مخزن الادويه = تذكرة اولي النهى</w:t>
      </w:r>
    </w:p>
    <w:p>
      <w:pPr>
        <w:pStyle w:val="BookText"/>
      </w:pPr>
      <w:r>
        <w:rPr>
          <w:rFonts w:ascii="IRNazanin" w:hAnsi="IRNazanin" w:eastAsia="IRNazanin" w:cs="IRNazanin"/>
          <w:lang w:bidi="fa-IR"/>
          <w:color w:val="111111"/>
          <w:sz w:val="28"/>
          <w:szCs w:val="28"/>
          <w:rtl/>
        </w:rPr>
        <w:t xml:space="preserve">ج 14، ص 288.</w:t>
      </w:r>
    </w:p>
    <w:p>
      <w:pPr>
        <w:pStyle w:val="BookText"/>
      </w:pPr>
      <w:r>
        <w:rPr>
          <w:rFonts w:ascii="Amiri" w:hAnsi="Amiri" w:eastAsia="Amiri" w:cs="Amiri"/>
          <w:lang w:bidi="ar-SA"/>
          <w:color w:val="111111"/>
          <w:sz w:val="28"/>
          <w:szCs w:val="28"/>
          <w:rtl/>
        </w:rPr>
        <w:t xml:space="preserve">عقيلي ، عبدالرحمان بن حسن- جبرتي ،</w:t>
      </w:r>
    </w:p>
    <w:p>
      <w:pPr>
        <w:pStyle w:val="BookText"/>
      </w:pPr>
      <w:r>
        <w:rPr>
          <w:rFonts w:ascii="IRNazanin" w:hAnsi="IRNazanin" w:eastAsia="IRNazanin" w:cs="IRNazanin"/>
          <w:lang w:bidi="fa-IR"/>
          <w:color w:val="111111"/>
          <w:sz w:val="28"/>
          <w:szCs w:val="28"/>
          <w:rtl/>
        </w:rPr>
        <w:t xml:space="preserve">عبدالرحمان بن حسن</w:t>
      </w:r>
    </w:p>
    <w:p>
      <w:pPr>
        <w:pStyle w:val="BookText"/>
      </w:pPr>
      <w:r>
        <w:rPr>
          <w:rFonts w:ascii="Amiri" w:hAnsi="Amiri" w:eastAsia="Amiri" w:cs="Amiri"/>
          <w:lang w:bidi="ar-SA"/>
          <w:color w:val="111111"/>
          <w:sz w:val="28"/>
          <w:szCs w:val="28"/>
          <w:rtl/>
        </w:rPr>
        <w:t xml:space="preserve">عقيلي ، عمر بن عبد العزيز -ابن عديم ،</w:t>
      </w:r>
    </w:p>
    <w:p>
      <w:pPr>
        <w:pStyle w:val="BookText"/>
      </w:pPr>
      <w:r>
        <w:rPr>
          <w:rFonts w:ascii="IRNazanin" w:hAnsi="IRNazanin" w:eastAsia="IRNazanin" w:cs="IRNazanin"/>
          <w:lang w:bidi="fa-IR"/>
          <w:color w:val="111111"/>
          <w:sz w:val="28"/>
          <w:szCs w:val="28"/>
          <w:rtl/>
        </w:rPr>
        <w:t xml:space="preserve">عمر بن احمد</w:t>
      </w:r>
    </w:p>
    <w:p>
      <w:pPr>
        <w:pStyle w:val="Heading2"/>
      </w:pPr>
      <w:bookmarkStart w:id="6005" w:name="_Toc5107"/>
      <w:r>
        <w:t>عقيلي ، محمّد - 1332 ه-</w:t>
      </w:r>
      <w:bookmarkEnd w:id="6005"/>
    </w:p>
    <w:p>
      <w:pPr>
        <w:pStyle w:val="BookText"/>
      </w:pPr>
      <w:r>
        <w:rPr>
          <w:rFonts w:ascii="Amiri" w:hAnsi="Amiri" w:eastAsia="Amiri" w:cs="Amiri"/>
          <w:lang w:bidi="ar-SA"/>
          <w:color w:val="111111"/>
          <w:sz w:val="28"/>
          <w:szCs w:val="28"/>
          <w:rtl/>
        </w:rPr>
        <w:t xml:space="preserve">فضل الحاكم في النزاع و التخاصم</w:t>
      </w:r>
    </w:p>
    <w:p>
      <w:pPr>
        <w:pStyle w:val="BookText"/>
      </w:pPr>
      <w:r>
        <w:rPr>
          <w:rFonts w:ascii="IRNazanin" w:hAnsi="IRNazanin" w:eastAsia="IRNazanin" w:cs="IRNazanin"/>
          <w:lang w:bidi="fa-IR"/>
          <w:color w:val="111111"/>
          <w:sz w:val="28"/>
          <w:szCs w:val="28"/>
          <w:rtl/>
        </w:rPr>
        <w:t xml:space="preserve">ج 12، ص 23 .</w:t>
      </w:r>
    </w:p>
    <w:p>
      <w:pPr>
        <w:pStyle w:val="Heading2"/>
      </w:pPr>
      <w:bookmarkStart w:id="6006" w:name="_Toc5108"/>
      <w:r>
        <w:t>عقيلي ، محمّد</w:t>
      </w:r>
      <w:bookmarkEnd w:id="6006"/>
    </w:p>
    <w:p>
      <w:pPr>
        <w:pStyle w:val="BookText"/>
      </w:pPr>
      <w:r>
        <w:rPr>
          <w:rFonts w:ascii="Amiri" w:hAnsi="Amiri" w:eastAsia="Amiri" w:cs="Amiri"/>
          <w:lang w:bidi="ar-SA"/>
          <w:color w:val="111111"/>
          <w:sz w:val="28"/>
          <w:szCs w:val="28"/>
          <w:rtl/>
        </w:rPr>
        <w:t xml:space="preserve">ملخص كتاب النزاع و التخاصم، ج 15 ،</w:t>
      </w:r>
    </w:p>
    <w:p>
      <w:pPr>
        <w:pStyle w:val="BookText"/>
      </w:pPr>
      <w:r>
        <w:rPr>
          <w:rFonts w:ascii="IRNazanin" w:hAnsi="IRNazanin" w:eastAsia="IRNazanin" w:cs="IRNazanin"/>
          <w:lang w:bidi="fa-IR"/>
          <w:color w:val="111111"/>
          <w:sz w:val="28"/>
          <w:szCs w:val="28"/>
          <w:rtl/>
        </w:rPr>
        <w:t xml:space="preserve">ص 462 .</w:t>
      </w:r>
    </w:p>
    <w:p>
      <w:pPr>
        <w:pStyle w:val="BookText"/>
      </w:pPr>
      <w:r>
        <w:rPr>
          <w:rFonts w:ascii="Amiri" w:hAnsi="Amiri" w:eastAsia="Amiri" w:cs="Amiri"/>
          <w:lang w:bidi="ar-SA"/>
          <w:color w:val="111111"/>
          <w:sz w:val="28"/>
          <w:szCs w:val="28"/>
          <w:rtl/>
        </w:rPr>
        <w:t xml:space="preserve">عقيلي ، محمّد بن عبد الرحمن - بهنسي ،</w:t>
      </w:r>
    </w:p>
    <w:p>
      <w:pPr>
        <w:pStyle w:val="BookText"/>
      </w:pPr>
      <w:r>
        <w:rPr>
          <w:rFonts w:ascii="IRNazanin" w:hAnsi="IRNazanin" w:eastAsia="IRNazanin" w:cs="IRNazanin"/>
          <w:lang w:bidi="fa-IR"/>
          <w:color w:val="111111"/>
          <w:sz w:val="28"/>
          <w:szCs w:val="28"/>
          <w:rtl/>
        </w:rPr>
        <w:t xml:space="preserve">محمّد بن عبدالرحمن</w:t>
      </w:r>
    </w:p>
    <w:p>
      <w:pPr>
        <w:pStyle w:val="Heading2"/>
      </w:pPr>
      <w:bookmarkStart w:id="6007" w:name="_Toc5109"/>
      <w:r>
        <w:t>عقيلي ، محمّد بن عمرو - 322 ه-</w:t>
      </w:r>
      <w:bookmarkEnd w:id="6007"/>
    </w:p>
    <w:p>
      <w:pPr>
        <w:pStyle w:val="BookText"/>
      </w:pPr>
      <w:r>
        <w:rPr>
          <w:rFonts w:ascii="Amiri" w:hAnsi="Amiri" w:eastAsia="Amiri" w:cs="Amiri"/>
          <w:lang w:bidi="ar-SA"/>
          <w:color w:val="111111"/>
          <w:sz w:val="28"/>
          <w:szCs w:val="28"/>
          <w:rtl/>
        </w:rPr>
        <w:t xml:space="preserve">اسماء الضعفاء في رواة الحديث، ج 2،</w:t>
      </w:r>
    </w:p>
    <w:p>
      <w:pPr>
        <w:pStyle w:val="BookText"/>
      </w:pPr>
      <w:r>
        <w:rPr>
          <w:rFonts w:ascii="IRNazanin" w:hAnsi="IRNazanin" w:eastAsia="IRNazanin" w:cs="IRNazanin"/>
          <w:lang w:bidi="fa-IR"/>
          <w:color w:val="111111"/>
          <w:sz w:val="28"/>
          <w:szCs w:val="28"/>
          <w:rtl/>
        </w:rPr>
        <w:t xml:space="preserve">ص230.</w:t>
      </w:r>
    </w:p>
    <w:p>
      <w:pPr>
        <w:pStyle w:val="BookText"/>
      </w:pPr>
      <w:r>
        <w:rPr>
          <w:rFonts w:ascii="Amiri" w:hAnsi="Amiri" w:eastAsia="Amiri" w:cs="Amiri"/>
          <w:lang w:bidi="ar-SA"/>
          <w:color w:val="111111"/>
          <w:sz w:val="28"/>
          <w:szCs w:val="28"/>
          <w:rtl/>
        </w:rPr>
        <w:t xml:space="preserve">عقيلي نويري ، محمّد بن محمّد- نويري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عقيلي ، يوسف بن محمّد -سرمري ،</w:t>
      </w:r>
    </w:p>
    <w:p>
      <w:pPr>
        <w:pStyle w:val="BookText"/>
      </w:pPr>
      <w:r>
        <w:rPr>
          <w:rFonts w:ascii="Amiri" w:hAnsi="Amiri" w:eastAsia="Amiri" w:cs="Amiri"/>
          <w:lang w:bidi="ar-SA"/>
          <w:color w:val="111111"/>
          <w:sz w:val="28"/>
          <w:szCs w:val="28"/>
          <w:rtl/>
        </w:rPr>
        <w:t xml:space="preserve">يوسف بن محمّد</w:t>
      </w:r>
    </w:p>
    <w:p>
      <w:pPr>
        <w:pStyle w:val="Heading2"/>
      </w:pPr>
      <w:bookmarkStart w:id="6008" w:name="_Toc5110"/>
      <w:r>
        <w:t>عکبری عبدالله بن حسين، 538 - 616 ه-</w:t>
      </w:r>
      <w:bookmarkEnd w:id="6008"/>
    </w:p>
    <w:p>
      <w:pPr>
        <w:pStyle w:val="BookText"/>
      </w:pPr>
      <w:r>
        <w:rPr>
          <w:rFonts w:ascii="Amiri" w:hAnsi="Amiri" w:eastAsia="Amiri" w:cs="Amiri"/>
          <w:lang w:bidi="ar-SA"/>
          <w:color w:val="111111"/>
          <w:sz w:val="28"/>
          <w:szCs w:val="28"/>
          <w:rtl/>
        </w:rPr>
        <w:t xml:space="preserve">1 .إعراب الحديث النبوي، ج 2،</w:t>
      </w:r>
    </w:p>
    <w:p>
      <w:pPr>
        <w:pStyle w:val="BookText"/>
      </w:pPr>
      <w:r>
        <w:rPr>
          <w:rFonts w:ascii="IRNazanin" w:hAnsi="IRNazanin" w:eastAsia="IRNazanin" w:cs="IRNazanin"/>
          <w:lang w:bidi="fa-IR"/>
          <w:color w:val="111111"/>
          <w:sz w:val="28"/>
          <w:szCs w:val="28"/>
          <w:rtl/>
        </w:rPr>
        <w:t xml:space="preserve">ص 533.</w:t>
      </w:r>
    </w:p>
    <w:p>
      <w:pPr>
        <w:pStyle w:val="BookText"/>
      </w:pPr>
      <w:r>
        <w:rPr>
          <w:rFonts w:ascii="Amiri" w:hAnsi="Amiri" w:eastAsia="Amiri" w:cs="Amiri"/>
          <w:lang w:bidi="ar-SA"/>
          <w:color w:val="111111"/>
          <w:sz w:val="28"/>
          <w:szCs w:val="28"/>
          <w:rtl/>
        </w:rPr>
        <w:t xml:space="preserve">2 .التبيان في اعراب القرآن = املاء ما من به الرحمن من وجوه الاعراب</w:t>
      </w:r>
    </w:p>
    <w:p>
      <w:pPr>
        <w:pStyle w:val="BookText"/>
      </w:pPr>
      <w:r>
        <w:rPr>
          <w:rFonts w:ascii="Amiri" w:hAnsi="Amiri" w:eastAsia="Amiri" w:cs="Amiri"/>
          <w:lang w:bidi="ar-SA"/>
          <w:color w:val="111111"/>
          <w:sz w:val="28"/>
          <w:szCs w:val="28"/>
          <w:rtl/>
        </w:rPr>
        <w:t xml:space="preserve">و القراءات في جميع القرآن</w:t>
      </w:r>
    </w:p>
    <w:p>
      <w:pPr>
        <w:pStyle w:val="BookText"/>
      </w:pPr>
      <w:r>
        <w:rPr>
          <w:rFonts w:ascii="IRNazanin" w:hAnsi="IRNazanin" w:eastAsia="IRNazanin" w:cs="IRNazanin"/>
          <w:lang w:bidi="fa-IR"/>
          <w:color w:val="111111"/>
          <w:sz w:val="28"/>
          <w:szCs w:val="28"/>
          <w:rtl/>
        </w:rPr>
        <w:t xml:space="preserve">اعراب ابوالبقاء، ج 3، ص 653 .</w:t>
      </w:r>
    </w:p>
    <w:p>
      <w:pPr>
        <w:pStyle w:val="BookText"/>
      </w:pPr>
      <w:r>
        <w:rPr>
          <w:rFonts w:ascii="Amiri" w:hAnsi="Amiri" w:eastAsia="Amiri" w:cs="Amiri"/>
          <w:lang w:bidi="ar-SA"/>
          <w:color w:val="111111"/>
          <w:sz w:val="28"/>
          <w:szCs w:val="28"/>
          <w:rtl/>
        </w:rPr>
        <w:t xml:space="preserve">3 .شرح قصيدة لامية العرب، ج 9،</w:t>
      </w:r>
    </w:p>
    <w:p>
      <w:pPr>
        <w:pStyle w:val="BookText"/>
      </w:pPr>
      <w:r>
        <w:rPr>
          <w:rFonts w:ascii="IRNazanin" w:hAnsi="IRNazanin" w:eastAsia="IRNazanin" w:cs="IRNazanin"/>
          <w:lang w:bidi="fa-IR"/>
          <w:color w:val="111111"/>
          <w:sz w:val="28"/>
          <w:szCs w:val="28"/>
          <w:rtl/>
        </w:rPr>
        <w:t xml:space="preserve">ص 890</w:t>
      </w:r>
    </w:p>
    <w:p>
      <w:pPr>
        <w:pStyle w:val="BookText"/>
      </w:pPr>
      <w:r>
        <w:rPr>
          <w:rFonts w:ascii="Amiri" w:hAnsi="Amiri" w:eastAsia="Amiri" w:cs="Amiri"/>
          <w:lang w:bidi="ar-SA"/>
          <w:color w:val="111111"/>
          <w:sz w:val="28"/>
          <w:szCs w:val="28"/>
          <w:rtl/>
        </w:rPr>
        <w:t xml:space="preserve">4 .شرح لامية العجم، ج 10، ص 74 .</w:t>
      </w:r>
    </w:p>
    <w:p>
      <w:pPr>
        <w:pStyle w:val="BookText"/>
      </w:pPr>
      <w:r>
        <w:rPr>
          <w:rFonts w:ascii="Amiri" w:hAnsi="Amiri" w:eastAsia="Amiri" w:cs="Amiri"/>
          <w:lang w:bidi="ar-SA"/>
          <w:color w:val="111111"/>
          <w:sz w:val="28"/>
          <w:szCs w:val="28"/>
          <w:rtl/>
        </w:rPr>
        <w:t xml:space="preserve">5 .شرح لامية العرب، ج 10، ص 76.</w:t>
      </w:r>
    </w:p>
    <w:p>
      <w:pPr>
        <w:pStyle w:val="BookText"/>
      </w:pPr>
      <w:r>
        <w:rPr>
          <w:rFonts w:ascii="Amiri" w:hAnsi="Amiri" w:eastAsia="Amiri" w:cs="Amiri"/>
          <w:lang w:bidi="ar-SA"/>
          <w:color w:val="111111"/>
          <w:sz w:val="28"/>
          <w:szCs w:val="28"/>
          <w:rtl/>
        </w:rPr>
        <w:t xml:space="preserve">6 .شرح مقامات الحريري، ج 10،</w:t>
      </w:r>
    </w:p>
    <w:p>
      <w:pPr>
        <w:pStyle w:val="BookText"/>
      </w:pPr>
      <w:r>
        <w:rPr>
          <w:rFonts w:ascii="IRNazanin" w:hAnsi="IRNazanin" w:eastAsia="IRNazanin" w:cs="IRNazanin"/>
          <w:lang w:bidi="fa-IR"/>
          <w:color w:val="111111"/>
          <w:sz w:val="28"/>
          <w:szCs w:val="28"/>
          <w:rtl/>
        </w:rPr>
        <w:t xml:space="preserve">ص 177.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المسائل الخلافية في النحو، ج 14،</w:t>
      </w:r>
    </w:p>
    <w:p>
      <w:pPr>
        <w:pStyle w:val="BookText"/>
      </w:pPr>
      <w:r>
        <w:rPr>
          <w:rFonts w:ascii="IRNazanin" w:hAnsi="IRNazanin" w:eastAsia="IRNazanin" w:cs="IRNazanin"/>
          <w:lang w:bidi="fa-IR"/>
          <w:color w:val="111111"/>
          <w:sz w:val="28"/>
          <w:szCs w:val="28"/>
          <w:rtl/>
        </w:rPr>
        <w:t xml:space="preserve">ص 450.</w:t>
      </w:r>
    </w:p>
    <w:p>
      <w:pPr>
        <w:pStyle w:val="Heading2"/>
      </w:pPr>
      <w:bookmarkStart w:id="6009" w:name="_Toc5111"/>
      <w:r>
        <w:t>عکبری ، محمّد بن بشر - 332 ه-</w:t>
      </w:r>
      <w:bookmarkEnd w:id="6009"/>
    </w:p>
    <w:p>
      <w:pPr>
        <w:pStyle w:val="BookText"/>
      </w:pPr>
      <w:r>
        <w:rPr>
          <w:rFonts w:ascii="Amiri" w:hAnsi="Amiri" w:eastAsia="Amiri" w:cs="Amiri"/>
          <w:lang w:bidi="ar-SA"/>
          <w:color w:val="111111"/>
          <w:sz w:val="28"/>
          <w:szCs w:val="28"/>
          <w:rtl/>
        </w:rPr>
        <w:t xml:space="preserve">فوائد الزبيري، ج 12، ص 206.</w:t>
      </w:r>
    </w:p>
    <w:p>
      <w:pPr>
        <w:pStyle w:val="Heading2"/>
      </w:pPr>
      <w:bookmarkStart w:id="6010" w:name="_Toc5112"/>
      <w:r>
        <w:t>عکبری ، محمّد بن عبدالرحمن</w:t>
      </w:r>
      <w:bookmarkEnd w:id="6010"/>
    </w:p>
    <w:p>
      <w:pPr>
        <w:pStyle w:val="BookText"/>
      </w:pPr>
      <w:r>
        <w:rPr>
          <w:rFonts w:ascii="Amiri" w:hAnsi="Amiri" w:eastAsia="Amiri" w:cs="Amiri"/>
          <w:lang w:bidi="ar-SA"/>
          <w:color w:val="111111"/>
          <w:sz w:val="28"/>
          <w:szCs w:val="28"/>
          <w:rtl/>
        </w:rPr>
        <w:t xml:space="preserve">مجمع الاقوال في معاني الامثال، ج13،</w:t>
      </w:r>
    </w:p>
    <w:p>
      <w:pPr>
        <w:pStyle w:val="BookText"/>
      </w:pPr>
      <w:r>
        <w:rPr>
          <w:rFonts w:ascii="IRNazanin" w:hAnsi="IRNazanin" w:eastAsia="IRNazanin" w:cs="IRNazanin"/>
          <w:lang w:bidi="fa-IR"/>
          <w:color w:val="111111"/>
          <w:sz w:val="28"/>
          <w:szCs w:val="28"/>
          <w:rtl/>
        </w:rPr>
        <w:t xml:space="preserve">ص 825.</w:t>
      </w:r>
    </w:p>
    <w:p>
      <w:pPr>
        <w:pStyle w:val="Heading2"/>
      </w:pPr>
      <w:bookmarkStart w:id="6011" w:name="_Toc5113"/>
      <w:r>
        <w:t>عكوك ، علي بن جبله 160 - 213 ه-</w:t>
      </w:r>
      <w:bookmarkEnd w:id="6011"/>
    </w:p>
    <w:p>
      <w:pPr>
        <w:pStyle w:val="BookText"/>
      </w:pPr>
      <w:r>
        <w:rPr>
          <w:rFonts w:ascii="Amiri" w:hAnsi="Amiri" w:eastAsia="Amiri" w:cs="Amiri"/>
          <w:lang w:bidi="ar-SA"/>
          <w:color w:val="111111"/>
          <w:sz w:val="28"/>
          <w:szCs w:val="28"/>
          <w:rtl/>
        </w:rPr>
        <w:t xml:space="preserve">الدرة اليتيمة، ج7، ص273.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785" w:name="pg7742_70815"/>
    <w:bookmarkEnd w:id="785"/>
    <w:p>
      <w:pPr>
        <w:pStyle w:val="Heading2"/>
      </w:pPr>
      <w:bookmarkStart w:id="6012" w:name="_Toc5114"/>
      <w:r>
        <w:t>علاء الدوله سمناني ، احمد بن محمّد</w:t>
      </w:r>
      <w:bookmarkEnd w:id="6012"/>
    </w:p>
    <w:p>
      <w:pPr>
        <w:pStyle w:val="BookText"/>
      </w:pPr>
      <w:r>
        <w:rPr>
          <w:rFonts w:ascii="IRNazanin" w:hAnsi="IRNazanin" w:eastAsia="IRNazanin" w:cs="IRNazanin"/>
          <w:lang w:bidi="fa-IR"/>
          <w:color w:val="111111"/>
          <w:sz w:val="28"/>
          <w:szCs w:val="28"/>
          <w:rtl/>
        </w:rPr>
        <w:t xml:space="preserve">659 - 736 ه- ؟</w:t>
      </w:r>
    </w:p>
    <w:p>
      <w:pPr>
        <w:pStyle w:val="BookText"/>
      </w:pPr>
      <w:r>
        <w:rPr>
          <w:rFonts w:ascii="IRNazanin" w:hAnsi="IRNazanin" w:eastAsia="IRNazanin" w:cs="IRNazanin"/>
          <w:lang w:bidi="fa-IR"/>
          <w:color w:val="111111"/>
          <w:sz w:val="28"/>
          <w:szCs w:val="28"/>
          <w:rtl/>
        </w:rPr>
        <w:t xml:space="preserve">1 .جواهر الأسرار، ج 5، ص 537</w:t>
      </w:r>
    </w:p>
    <w:p>
      <w:pPr>
        <w:pStyle w:val="BookText"/>
      </w:pPr>
      <w:r>
        <w:rPr>
          <w:rFonts w:ascii="Amiri" w:hAnsi="Amiri" w:eastAsia="Amiri" w:cs="Amiri"/>
          <w:lang w:bidi="ar-SA"/>
          <w:color w:val="111111"/>
          <w:sz w:val="28"/>
          <w:szCs w:val="28"/>
          <w:rtl/>
        </w:rPr>
        <w:t xml:space="preserve">2 .حاشية مرموزات باغنوي ج 6،</w:t>
      </w:r>
    </w:p>
    <w:p>
      <w:pPr>
        <w:pStyle w:val="BookText"/>
      </w:pPr>
      <w:r>
        <w:rPr>
          <w:rFonts w:ascii="IRNazanin" w:hAnsi="IRNazanin" w:eastAsia="IRNazanin" w:cs="IRNazanin"/>
          <w:lang w:bidi="fa-IR"/>
          <w:color w:val="111111"/>
          <w:sz w:val="28"/>
          <w:szCs w:val="28"/>
          <w:rtl/>
        </w:rPr>
        <w:t xml:space="preserve">ص 368.</w:t>
      </w:r>
    </w:p>
    <w:p>
      <w:pPr>
        <w:pStyle w:val="BookText"/>
      </w:pPr>
      <w:r>
        <w:rPr>
          <w:rFonts w:ascii="IRNazanin" w:hAnsi="IRNazanin" w:eastAsia="IRNazanin" w:cs="IRNazanin"/>
          <w:lang w:bidi="fa-IR"/>
          <w:color w:val="111111"/>
          <w:sz w:val="28"/>
          <w:szCs w:val="28"/>
          <w:rtl/>
        </w:rPr>
        <w:t xml:space="preserve">3 .صدائف اللطائف، ج 10، ص 536.</w:t>
      </w:r>
    </w:p>
    <w:p>
      <w:pPr>
        <w:pStyle w:val="BookText"/>
      </w:pPr>
      <w:r>
        <w:rPr>
          <w:rFonts w:ascii="IRNazanin" w:hAnsi="IRNazanin" w:eastAsia="IRNazanin" w:cs="IRNazanin"/>
          <w:lang w:bidi="fa-IR"/>
          <w:color w:val="111111"/>
          <w:sz w:val="28"/>
          <w:szCs w:val="28"/>
          <w:rtl/>
        </w:rPr>
        <w:t xml:space="preserve">4 .الفلاح لاهل الصلاح، ج 12، ص 125.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فوائد العقائد، ج 12، ص 245.</w:t>
      </w:r>
    </w:p>
    <w:p>
      <w:pPr>
        <w:pStyle w:val="BookText"/>
      </w:pPr>
      <w:r>
        <w:rPr>
          <w:rFonts w:ascii="IRNazanin" w:hAnsi="IRNazanin" w:eastAsia="IRNazanin" w:cs="IRNazanin"/>
          <w:lang w:bidi="fa-IR"/>
          <w:color w:val="111111"/>
          <w:sz w:val="28"/>
          <w:szCs w:val="28"/>
          <w:rtl/>
        </w:rPr>
        <w:t xml:space="preserve">6 .موارد الشوارد، ج 15، ص 852.</w:t>
      </w:r>
    </w:p>
    <w:p>
      <w:pPr>
        <w:pStyle w:val="BookText"/>
      </w:pPr>
      <w:r>
        <w:rPr>
          <w:rFonts w:ascii="IRNazanin" w:hAnsi="IRNazanin" w:eastAsia="IRNazanin" w:cs="IRNazanin"/>
          <w:lang w:bidi="fa-IR"/>
          <w:color w:val="111111"/>
          <w:sz w:val="28"/>
          <w:szCs w:val="28"/>
          <w:rtl/>
        </w:rPr>
        <w:t xml:space="preserve">علاء الدین اسفرايني ، محمّد بن احمد -بهشتي اسفرايني ، محمّد بن احمد</w:t>
      </w:r>
    </w:p>
    <w:p>
      <w:pPr>
        <w:pStyle w:val="Heading2"/>
      </w:pPr>
      <w:bookmarkStart w:id="6013" w:name="_Toc5115"/>
      <w:r>
        <w:t>علاء الدين بن علي حنفي</w:t>
      </w:r>
      <w:bookmarkEnd w:id="6013"/>
    </w:p>
    <w:p>
      <w:pPr>
        <w:pStyle w:val="BookText"/>
      </w:pPr>
      <w:r>
        <w:rPr>
          <w:rFonts w:ascii="Amiri" w:hAnsi="Amiri" w:eastAsia="Amiri" w:cs="Amiri"/>
          <w:lang w:bidi="ar-SA"/>
          <w:color w:val="111111"/>
          <w:sz w:val="28"/>
          <w:szCs w:val="28"/>
          <w:rtl/>
        </w:rPr>
        <w:t xml:space="preserve">مفاتيح الازهار، ج 15 ، ص 144</w:t>
      </w:r>
    </w:p>
    <w:p>
      <w:pPr>
        <w:pStyle w:val="Heading2"/>
      </w:pPr>
      <w:bookmarkStart w:id="6014" w:name="_Toc5116"/>
      <w:r>
        <w:t>علاء الدين تبريزي ، علي بن اسماعيل</w:t>
      </w:r>
      <w:bookmarkEnd w:id="6014"/>
    </w:p>
    <w:p>
      <w:pPr>
        <w:pStyle w:val="BookText"/>
      </w:pPr>
      <w:r>
        <w:rPr>
          <w:rFonts w:ascii="IRNazanin" w:hAnsi="IRNazanin" w:eastAsia="IRNazanin" w:cs="IRNazanin"/>
          <w:lang w:bidi="fa-IR"/>
          <w:color w:val="111111"/>
          <w:sz w:val="28"/>
          <w:szCs w:val="28"/>
          <w:rtl/>
        </w:rPr>
        <w:t xml:space="preserve">668 - 720ه-</w:t>
      </w:r>
    </w:p>
    <w:p>
      <w:pPr>
        <w:pStyle w:val="BookText"/>
      </w:pPr>
      <w:r>
        <w:rPr>
          <w:rFonts w:ascii="Amiri" w:hAnsi="Amiri" w:eastAsia="Amiri" w:cs="Amiri"/>
          <w:lang w:bidi="ar-SA"/>
          <w:color w:val="111111"/>
          <w:sz w:val="28"/>
          <w:szCs w:val="28"/>
          <w:rtl/>
        </w:rPr>
        <w:t xml:space="preserve">1 .حسن التصرف في شرح التعرف المذهب التصوف، ج 6، ص 651.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الحاوي في الفتاوى، ج 9،</w:t>
      </w:r>
    </w:p>
    <w:p>
      <w:pPr>
        <w:pStyle w:val="BookText"/>
      </w:pPr>
      <w:r>
        <w:rPr>
          <w:rFonts w:ascii="IRNazanin" w:hAnsi="IRNazanin" w:eastAsia="IRNazanin" w:cs="IRNazanin"/>
          <w:lang w:bidi="fa-IR"/>
          <w:color w:val="111111"/>
          <w:sz w:val="28"/>
          <w:szCs w:val="28"/>
          <w:rtl/>
        </w:rPr>
        <w:t xml:space="preserve">ص 378.</w:t>
      </w:r>
    </w:p>
    <w:p>
      <w:pPr>
        <w:pStyle w:val="Heading2"/>
      </w:pPr>
      <w:bookmarkStart w:id="6015" w:name="_Toc5117"/>
      <w:r>
        <w:t>علاء الدين حكيم</w:t>
      </w:r>
      <w:bookmarkEnd w:id="6015"/>
    </w:p>
    <w:p>
      <w:pPr>
        <w:pStyle w:val="BookText"/>
      </w:pPr>
      <w:r>
        <w:rPr>
          <w:rFonts w:ascii="Amiri" w:hAnsi="Amiri" w:eastAsia="Amiri" w:cs="Amiri"/>
          <w:lang w:bidi="ar-SA"/>
          <w:color w:val="111111"/>
          <w:sz w:val="28"/>
          <w:szCs w:val="28"/>
          <w:rtl/>
        </w:rPr>
        <w:t xml:space="preserve">شرح الايجاز، ج9، ص 247.</w:t>
      </w:r>
    </w:p>
    <w:p>
      <w:pPr>
        <w:pStyle w:val="BookText"/>
      </w:pPr>
      <w:r>
        <w:rPr>
          <w:rFonts w:ascii="Amiri" w:hAnsi="Amiri" w:eastAsia="Amiri" w:cs="Amiri"/>
          <w:lang w:bidi="ar-SA"/>
          <w:color w:val="111111"/>
          <w:sz w:val="28"/>
          <w:szCs w:val="28"/>
          <w:rtl/>
        </w:rPr>
        <w:t xml:space="preserve">علاء الدين قونوي ، علي بن اسماعيل - علاء الدين تبريزي ، علي بن اسماعيل</w:t>
      </w:r>
    </w:p>
    <w:p>
      <w:pPr>
        <w:pStyle w:val="Heading2"/>
      </w:pPr>
      <w:bookmarkStart w:id="6016" w:name="_Toc5118"/>
      <w:r>
        <w:t>علاء الدين كاشاني ، ابوبکر بن مسعود</w:t>
      </w:r>
      <w:bookmarkEnd w:id="6016"/>
    </w:p>
    <w:p>
      <w:pPr>
        <w:pStyle w:val="BookText"/>
      </w:pPr>
      <w:r>
        <w:rPr>
          <w:rFonts w:ascii="IRNazanin" w:hAnsi="IRNazanin" w:eastAsia="IRNazanin" w:cs="IRNazanin"/>
          <w:lang w:bidi="fa-IR"/>
          <w:color w:val="111111"/>
          <w:sz w:val="28"/>
          <w:szCs w:val="28"/>
          <w:rtl/>
        </w:rPr>
        <w:t xml:space="preserve">587 ه-</w:t>
      </w:r>
    </w:p>
    <w:p>
      <w:pPr>
        <w:pStyle w:val="BookText"/>
      </w:pPr>
      <w:r>
        <w:rPr>
          <w:rFonts w:ascii="Amiri" w:hAnsi="Amiri" w:eastAsia="Amiri" w:cs="Amiri"/>
          <w:lang w:bidi="ar-SA"/>
          <w:color w:val="111111"/>
          <w:sz w:val="28"/>
          <w:szCs w:val="28"/>
          <w:rtl/>
        </w:rPr>
        <w:t xml:space="preserve">بدائع الصنائع في ترتيب الشرايع =</w:t>
      </w:r>
    </w:p>
    <w:p>
      <w:pPr>
        <w:pStyle w:val="BookText"/>
      </w:pPr>
      <w:r>
        <w:rPr>
          <w:rFonts w:ascii="Amiri" w:hAnsi="Amiri" w:eastAsia="Amiri" w:cs="Amiri"/>
          <w:lang w:bidi="ar-SA"/>
          <w:color w:val="111111"/>
          <w:sz w:val="28"/>
          <w:szCs w:val="28"/>
          <w:rtl/>
        </w:rPr>
        <w:t xml:space="preserve">شرح تحفة الفقهاء، ج 3، ص 260.</w:t>
      </w:r>
    </w:p>
    <w:p>
      <w:pPr>
        <w:pStyle w:val="BookText"/>
      </w:pPr>
      <w:r>
        <w:rPr>
          <w:rFonts w:ascii="IRNazanin" w:hAnsi="IRNazanin" w:eastAsia="IRNazanin" w:cs="IRNazanin"/>
          <w:lang w:bidi="fa-IR"/>
          <w:color w:val="111111"/>
          <w:sz w:val="28"/>
          <w:szCs w:val="28"/>
          <w:rtl/>
        </w:rPr>
        <w:t xml:space="preserve">علاء الدین گلستانه ، محمّد بن محمّد علي</w:t>
      </w:r>
    </w:p>
    <w:p>
      <w:pPr>
        <w:pStyle w:val="BookText"/>
      </w:pPr>
      <w:r>
        <w:rPr>
          <w:rFonts w:ascii="IRNazanin" w:hAnsi="IRNazanin" w:eastAsia="IRNazanin" w:cs="IRNazanin"/>
          <w:lang w:bidi="fa-IR"/>
          <w:color w:val="111111"/>
          <w:sz w:val="28"/>
          <w:szCs w:val="28"/>
          <w:rtl/>
        </w:rPr>
        <w:t xml:space="preserve">شاه -گلستانه اصفهاني ، محمّد بن ابي تراب</w:t>
      </w:r>
    </w:p>
    <w:p>
      <w:pPr>
        <w:pStyle w:val="BookText"/>
      </w:pPr>
      <w:r>
        <w:rPr>
          <w:rFonts w:ascii="Amiri" w:hAnsi="Amiri" w:eastAsia="Amiri" w:cs="Amiri"/>
          <w:lang w:bidi="ar-SA"/>
          <w:color w:val="111111"/>
          <w:sz w:val="28"/>
          <w:szCs w:val="28"/>
          <w:rtl/>
        </w:rPr>
        <w:t xml:space="preserve">علاء الدين محمّد طبيب- طبيب ، علاء</w:t>
      </w:r>
    </w:p>
    <w:p>
      <w:pPr>
        <w:pStyle w:val="BookText"/>
      </w:pPr>
      <w:r>
        <w:rPr>
          <w:rFonts w:ascii="Amiri" w:hAnsi="Amiri" w:eastAsia="Amiri" w:cs="Amiri"/>
          <w:lang w:bidi="ar-SA"/>
          <w:color w:val="111111"/>
          <w:sz w:val="28"/>
          <w:szCs w:val="28"/>
          <w:rtl/>
        </w:rPr>
        <w:t xml:space="preserve">الدین محمّد</w:t>
      </w:r>
    </w:p>
    <w:p>
      <w:pPr>
        <w:pStyle w:val="Heading2"/>
      </w:pPr>
      <w:bookmarkStart w:id="6017" w:name="_Toc5119"/>
      <w:r>
        <w:t>علاء الملك فاضل خان</w:t>
      </w:r>
      <w:bookmarkEnd w:id="6017"/>
    </w:p>
    <w:p>
      <w:pPr>
        <w:pStyle w:val="BookText"/>
      </w:pPr>
      <w:r>
        <w:rPr>
          <w:rFonts w:ascii="IRNazanin" w:hAnsi="IRNazanin" w:eastAsia="IRNazanin" w:cs="IRNazanin"/>
          <w:lang w:bidi="fa-IR"/>
          <w:color w:val="111111"/>
          <w:sz w:val="28"/>
          <w:szCs w:val="28"/>
          <w:rtl/>
        </w:rPr>
        <w:t xml:space="preserve">شاه جهان نامه ج 9، ص 68.</w:t>
      </w:r>
    </w:p>
    <w:p>
      <w:pPr>
        <w:pStyle w:val="BookText"/>
      </w:pPr>
      <w:r>
        <w:rPr>
          <w:rFonts w:ascii="Amiri" w:hAnsi="Amiri" w:eastAsia="Amiri" w:cs="Amiri"/>
          <w:lang w:bidi="ar-SA"/>
          <w:color w:val="111111"/>
          <w:sz w:val="28"/>
          <w:szCs w:val="28"/>
          <w:rtl/>
        </w:rPr>
        <w:t xml:space="preserve">علاء بن رزين قلاء ثقفي -ثقفي ، علاء بن</w:t>
      </w:r>
    </w:p>
    <w:p>
      <w:pPr>
        <w:pStyle w:val="BookText"/>
      </w:pPr>
      <w:r>
        <w:rPr>
          <w:rFonts w:ascii="IRNazanin" w:hAnsi="IRNazanin" w:eastAsia="IRNazanin" w:cs="IRNazanin"/>
          <w:lang w:bidi="fa-IR"/>
          <w:color w:val="111111"/>
          <w:sz w:val="28"/>
          <w:szCs w:val="28"/>
          <w:rtl/>
        </w:rPr>
        <w:t xml:space="preserve">رزین قلاء</w:t>
      </w:r>
    </w:p>
    <w:p>
      <w:pPr>
        <w:pStyle w:val="BookText"/>
      </w:pPr>
      <w:r>
        <w:rPr>
          <w:rFonts w:ascii="Amiri" w:hAnsi="Amiri" w:eastAsia="Amiri" w:cs="Amiri"/>
          <w:lang w:bidi="ar-SA"/>
          <w:color w:val="111111"/>
          <w:sz w:val="28"/>
          <w:szCs w:val="28"/>
          <w:rtl/>
        </w:rPr>
        <w:t xml:space="preserve">علاء ، علي بن احمد- خجندي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علاء ، نورالله - طبيب تبريزي ، علاء الدين</w:t>
      </w:r>
    </w:p>
    <w:p>
      <w:pPr>
        <w:pStyle w:val="BookText"/>
      </w:pPr>
      <w:r>
        <w:rPr>
          <w:rFonts w:ascii="IRNazanin" w:hAnsi="IRNazanin" w:eastAsia="IRNazanin" w:cs="IRNazanin"/>
          <w:lang w:bidi="fa-IR"/>
          <w:color w:val="111111"/>
          <w:sz w:val="28"/>
          <w:szCs w:val="28"/>
          <w:rtl/>
        </w:rPr>
        <w:t xml:space="preserve">نور الله</w:t>
      </w:r>
    </w:p>
    <w:p>
      <w:pPr>
        <w:pStyle w:val="BookText"/>
      </w:pPr>
      <w:r>
        <w:rPr>
          <w:rFonts w:ascii="Amiri" w:hAnsi="Amiri" w:eastAsia="Amiri" w:cs="Amiri"/>
          <w:lang w:bidi="ar-SA"/>
          <w:color w:val="111111"/>
          <w:sz w:val="28"/>
          <w:szCs w:val="28"/>
          <w:rtl/>
        </w:rPr>
        <w:t xml:space="preserve">علائي ، ابوسعيد بن ابراهيم -مغربي علائي</w:t>
      </w:r>
    </w:p>
    <w:p>
      <w:pPr>
        <w:pStyle w:val="BookText"/>
      </w:pPr>
      <w:r>
        <w:rPr>
          <w:rFonts w:ascii="Amiri" w:hAnsi="Amiri" w:eastAsia="Amiri" w:cs="Amiri"/>
          <w:lang w:bidi="ar-SA"/>
          <w:color w:val="111111"/>
          <w:sz w:val="28"/>
          <w:szCs w:val="28"/>
          <w:rtl/>
        </w:rPr>
        <w:t xml:space="preserve">، ابوسعيد بن ابراهيم</w:t>
      </w:r>
    </w:p>
    <w:p>
      <w:pPr>
        <w:pStyle w:val="BookText"/>
      </w:pPr>
      <w:r>
        <w:rPr>
          <w:rFonts w:ascii="Amiri" w:hAnsi="Amiri" w:eastAsia="Amiri" w:cs="Amiri"/>
          <w:lang w:bidi="ar-SA"/>
          <w:color w:val="111111"/>
          <w:sz w:val="28"/>
          <w:szCs w:val="28"/>
          <w:rtl/>
        </w:rPr>
        <w:t xml:space="preserve">علائي بخاري، عليشاه بن محمّد -بخاري</w:t>
      </w:r>
    </w:p>
    <w:p>
      <w:pPr>
        <w:pStyle w:val="BookText"/>
      </w:pPr>
      <w:r>
        <w:rPr>
          <w:rFonts w:ascii="Amiri" w:hAnsi="Amiri" w:eastAsia="Amiri" w:cs="Amiri"/>
          <w:lang w:bidi="ar-SA"/>
          <w:color w:val="111111"/>
          <w:sz w:val="28"/>
          <w:szCs w:val="28"/>
          <w:rtl/>
        </w:rPr>
        <w:t xml:space="preserve">خوارزمي ، عليشاه بن محمّد</w:t>
      </w:r>
    </w:p>
    <w:p>
      <w:pPr>
        <w:pStyle w:val="Heading2"/>
      </w:pPr>
      <w:bookmarkStart w:id="6018" w:name="_Toc5120"/>
      <w:r>
        <w:t>علائي بن محبي شريف شيرازي، قرن 10 ه-</w:t>
      </w:r>
      <w:bookmarkEnd w:id="6018"/>
    </w:p>
    <w:p>
      <w:pPr>
        <w:pStyle w:val="BookText"/>
      </w:pPr>
      <w:r>
        <w:rPr>
          <w:rFonts w:ascii="Amiri" w:hAnsi="Amiri" w:eastAsia="Amiri" w:cs="Amiri"/>
          <w:lang w:bidi="ar-SA"/>
          <w:color w:val="111111"/>
          <w:sz w:val="28"/>
          <w:szCs w:val="28"/>
          <w:rtl/>
        </w:rPr>
        <w:t xml:space="preserve">ازهار مثنوي و انوار ،معنوي ج 2</w:t>
      </w:r>
    </w:p>
    <w:p>
      <w:pPr>
        <w:pStyle w:val="BookText"/>
      </w:pPr>
      <w:r>
        <w:rPr>
          <w:rFonts w:ascii="IRNazanin" w:hAnsi="IRNazanin" w:eastAsia="IRNazanin" w:cs="IRNazanin"/>
          <w:lang w:bidi="fa-IR"/>
          <w:color w:val="111111"/>
          <w:sz w:val="28"/>
          <w:szCs w:val="28"/>
          <w:rtl/>
        </w:rPr>
        <w:t xml:space="preserve">ص 67 .</w:t>
      </w:r>
    </w:p>
    <w:p>
      <w:pPr>
        <w:pStyle w:val="BookText"/>
      </w:pPr>
      <w:r>
        <w:rPr>
          <w:rFonts w:ascii="Amiri" w:hAnsi="Amiri" w:eastAsia="Amiri" w:cs="Amiri"/>
          <w:lang w:bidi="ar-SA"/>
          <w:color w:val="111111"/>
          <w:sz w:val="28"/>
          <w:szCs w:val="28"/>
          <w:rtl/>
        </w:rPr>
        <w:t xml:space="preserve">علائي ، حسين بن اسد الله - بهبهاني غروي ،</w:t>
      </w:r>
    </w:p>
    <w:p>
      <w:pPr>
        <w:pStyle w:val="BookText"/>
      </w:pPr>
      <w:r>
        <w:rPr>
          <w:rFonts w:ascii="Amiri" w:hAnsi="Amiri" w:eastAsia="Amiri" w:cs="Amiri"/>
          <w:lang w:bidi="ar-SA"/>
          <w:color w:val="111111"/>
          <w:sz w:val="28"/>
          <w:szCs w:val="28"/>
          <w:rtl/>
        </w:rPr>
        <w:t xml:space="preserve">حسين بن اسد الله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786" w:name="pg7742_70817"/>
    <w:bookmarkEnd w:id="786"/>
    <w:p>
      <w:pPr>
        <w:pStyle w:val="Heading2"/>
      </w:pPr>
      <w:bookmarkStart w:id="6019" w:name="_Toc5121"/>
      <w:r>
        <w:t>علائي ، خليل بن كيكلدي، 694 - 761 ه-</w:t>
      </w:r>
      <w:bookmarkEnd w:id="6019"/>
    </w:p>
    <w:p>
      <w:pPr>
        <w:pStyle w:val="BookText"/>
      </w:pPr>
      <w:r>
        <w:rPr>
          <w:rFonts w:ascii="Amiri" w:hAnsi="Amiri" w:eastAsia="Amiri" w:cs="Amiri"/>
          <w:lang w:bidi="ar-SA"/>
          <w:color w:val="111111"/>
          <w:sz w:val="28"/>
          <w:szCs w:val="28"/>
          <w:rtl/>
        </w:rPr>
        <w:t xml:space="preserve">1 .تهذيب الاصول في احاديث الرسول</w:t>
      </w:r>
    </w:p>
    <w:p>
      <w:pPr>
        <w:pStyle w:val="BookText"/>
      </w:pPr>
      <w:r>
        <w:rPr>
          <w:rFonts w:ascii="IRNazanin" w:hAnsi="IRNazanin" w:eastAsia="IRNazanin" w:cs="IRNazanin"/>
          <w:lang w:bidi="fa-IR"/>
          <w:color w:val="111111"/>
          <w:sz w:val="28"/>
          <w:szCs w:val="28"/>
          <w:rtl/>
        </w:rPr>
        <w:t xml:space="preserve">ج 5، ص 109.</w:t>
      </w:r>
    </w:p>
    <w:p>
      <w:pPr>
        <w:pStyle w:val="BookText"/>
      </w:pPr>
      <w:r>
        <w:rPr>
          <w:rFonts w:ascii="Amiri" w:hAnsi="Amiri" w:eastAsia="Amiri" w:cs="Amiri"/>
          <w:lang w:bidi="ar-SA"/>
          <w:color w:val="111111"/>
          <w:sz w:val="28"/>
          <w:szCs w:val="28"/>
          <w:rtl/>
        </w:rPr>
        <w:t xml:space="preserve">2 .جامع التحصيل في احكام المراسيل</w:t>
      </w:r>
    </w:p>
    <w:p>
      <w:pPr>
        <w:pStyle w:val="BookText"/>
      </w:pPr>
      <w:r>
        <w:rPr>
          <w:rFonts w:ascii="IRNazanin" w:hAnsi="IRNazanin" w:eastAsia="IRNazanin" w:cs="IRNazanin"/>
          <w:lang w:bidi="fa-IR"/>
          <w:color w:val="111111"/>
          <w:sz w:val="28"/>
          <w:szCs w:val="28"/>
          <w:rtl/>
        </w:rPr>
        <w:t xml:space="preserve">ج 5، ص 257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المجموع المذهب في قواعد</w:t>
      </w:r>
    </w:p>
    <w:p>
      <w:pPr>
        <w:pStyle w:val="BookText"/>
      </w:pPr>
      <w:r>
        <w:rPr>
          <w:rFonts w:ascii="IRNazanin" w:hAnsi="IRNazanin" w:eastAsia="IRNazanin" w:cs="IRNazanin"/>
          <w:lang w:bidi="fa-IR"/>
          <w:color w:val="111111"/>
          <w:sz w:val="28"/>
          <w:szCs w:val="28"/>
          <w:rtl/>
        </w:rPr>
        <w:t xml:space="preserve">المذهب، ج 14، ص 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المسلسلات، ج 14، ص 579</w:t>
      </w:r>
    </w:p>
    <w:p>
      <w:pPr>
        <w:pStyle w:val="BookText"/>
      </w:pPr>
      <w:r>
        <w:rPr>
          <w:rFonts w:ascii="Amiri" w:hAnsi="Amiri" w:eastAsia="Amiri" w:cs="Amiri"/>
          <w:lang w:bidi="ar-SA"/>
          <w:color w:val="111111"/>
          <w:sz w:val="28"/>
          <w:szCs w:val="28"/>
          <w:rtl/>
        </w:rPr>
        <w:t xml:space="preserve">علائي ، سيّد علي- همداني ، علي بن محمّد</w:t>
      </w:r>
    </w:p>
    <w:p>
      <w:pPr>
        <w:pStyle w:val="Heading2"/>
      </w:pPr>
      <w:bookmarkStart w:id="6020" w:name="_Toc5122"/>
      <w:r>
        <w:t>علائي ، سيّد محمّد</w:t>
      </w:r>
      <w:bookmarkEnd w:id="6020"/>
    </w:p>
    <w:p>
      <w:pPr>
        <w:pStyle w:val="BookText"/>
      </w:pPr>
      <w:r>
        <w:rPr>
          <w:rFonts w:ascii="Amiri" w:hAnsi="Amiri" w:eastAsia="Amiri" w:cs="Amiri"/>
          <w:lang w:bidi="ar-SA"/>
          <w:color w:val="111111"/>
          <w:sz w:val="28"/>
          <w:szCs w:val="28"/>
          <w:rtl/>
        </w:rPr>
        <w:t xml:space="preserve">حاشية شرح المجامع، ج 6، ص 165.</w:t>
      </w:r>
    </w:p>
    <w:p>
      <w:pPr>
        <w:pStyle w:val="BookText"/>
      </w:pPr>
      <w:r>
        <w:rPr>
          <w:rFonts w:ascii="Amiri" w:hAnsi="Amiri" w:eastAsia="Amiri" w:cs="Amiri"/>
          <w:lang w:bidi="ar-SA"/>
          <w:color w:val="111111"/>
          <w:sz w:val="28"/>
          <w:szCs w:val="28"/>
          <w:rtl/>
        </w:rPr>
        <w:t xml:space="preserve">علائي طبيب ، علاء الدين محمّد - طبيب</w:t>
      </w:r>
    </w:p>
    <w:p>
      <w:pPr>
        <w:pStyle w:val="BookText"/>
      </w:pPr>
      <w:r>
        <w:rPr>
          <w:rFonts w:ascii="Amiri" w:hAnsi="Amiri" w:eastAsia="Amiri" w:cs="Amiri"/>
          <w:lang w:bidi="ar-SA"/>
          <w:color w:val="111111"/>
          <w:sz w:val="28"/>
          <w:szCs w:val="28"/>
          <w:rtl/>
        </w:rPr>
        <w:t xml:space="preserve">علاء الدين محمّد</w:t>
      </w:r>
    </w:p>
    <w:p>
      <w:pPr>
        <w:pStyle w:val="BookText"/>
      </w:pPr>
      <w:r>
        <w:rPr>
          <w:rFonts w:ascii="Amiri" w:hAnsi="Amiri" w:eastAsia="Amiri" w:cs="Amiri"/>
          <w:lang w:bidi="ar-SA"/>
          <w:color w:val="111111"/>
          <w:sz w:val="28"/>
          <w:szCs w:val="28"/>
          <w:rtl/>
        </w:rPr>
        <w:t xml:space="preserve">علائي ، يحيى بن عم- منقاري زاده ،</w:t>
      </w:r>
    </w:p>
    <w:p>
      <w:pPr>
        <w:pStyle w:val="BookText"/>
      </w:pPr>
      <w:r>
        <w:rPr>
          <w:rFonts w:ascii="Amiri" w:hAnsi="Amiri" w:eastAsia="Amiri" w:cs="Amiri"/>
          <w:lang w:bidi="ar-SA"/>
          <w:color w:val="111111"/>
          <w:sz w:val="28"/>
          <w:szCs w:val="28"/>
          <w:rtl/>
        </w:rPr>
        <w:t xml:space="preserve">يحيى بن عمر</w:t>
      </w:r>
    </w:p>
    <w:p>
      <w:pPr>
        <w:pStyle w:val="Heading2"/>
      </w:pPr>
      <w:bookmarkStart w:id="6021" w:name="_Toc5123"/>
      <w:r>
        <w:t>علا ، ابوبكر بن محمّد قرن 13 ه-</w:t>
      </w:r>
      <w:bookmarkEnd w:id="6021"/>
    </w:p>
    <w:p>
      <w:pPr>
        <w:pStyle w:val="BookText"/>
      </w:pPr>
      <w:r>
        <w:rPr>
          <w:rFonts w:ascii="Amiri" w:hAnsi="Amiri" w:eastAsia="Amiri" w:cs="Amiri"/>
          <w:lang w:bidi="ar-SA"/>
          <w:color w:val="111111"/>
          <w:sz w:val="28"/>
          <w:szCs w:val="28"/>
          <w:rtl/>
        </w:rPr>
        <w:t xml:space="preserve">الحاف الناسك باذكار المناسك، ج2،</w:t>
      </w:r>
    </w:p>
    <w:p>
      <w:pPr>
        <w:pStyle w:val="BookText"/>
      </w:pPr>
      <w:r>
        <w:rPr>
          <w:rFonts w:ascii="IRNazanin" w:hAnsi="IRNazanin" w:eastAsia="IRNazanin" w:cs="IRNazanin"/>
          <w:lang w:bidi="fa-IR"/>
          <w:color w:val="111111"/>
          <w:sz w:val="28"/>
          <w:szCs w:val="28"/>
          <w:rtl/>
        </w:rPr>
        <w:t xml:space="preserve">ص 663 .</w:t>
      </w:r>
    </w:p>
    <w:p>
      <w:pPr>
        <w:pStyle w:val="Heading2"/>
      </w:pPr>
      <w:bookmarkStart w:id="6022" w:name="_Toc5124"/>
      <w:r>
        <w:t>علاف، محمّد بن هذيل، 131؟ - 235 ه-</w:t>
      </w:r>
      <w:bookmarkEnd w:id="6022"/>
    </w:p>
    <w:p>
      <w:pPr>
        <w:pStyle w:val="BookText"/>
      </w:pPr>
      <w:r>
        <w:rPr>
          <w:rFonts w:ascii="Amiri" w:hAnsi="Amiri" w:eastAsia="Amiri" w:cs="Amiri"/>
          <w:lang w:bidi="ar-SA"/>
          <w:color w:val="111111"/>
          <w:sz w:val="28"/>
          <w:szCs w:val="28"/>
          <w:rtl/>
        </w:rPr>
        <w:t xml:space="preserve">1 .مناظرة ابي الهذيل مع علوي، ج 15</w:t>
      </w:r>
    </w:p>
    <w:p>
      <w:pPr>
        <w:pStyle w:val="BookText"/>
      </w:pPr>
      <w:r>
        <w:rPr>
          <w:rFonts w:ascii="IRNazanin" w:hAnsi="IRNazanin" w:eastAsia="IRNazanin" w:cs="IRNazanin"/>
          <w:lang w:bidi="fa-IR"/>
          <w:color w:val="111111"/>
          <w:sz w:val="28"/>
          <w:szCs w:val="28"/>
          <w:rtl/>
        </w:rPr>
        <w:t xml:space="preserve">ص 515.</w:t>
      </w:r>
    </w:p>
    <w:p>
      <w:pPr>
        <w:pStyle w:val="BookText"/>
      </w:pPr>
      <w:r>
        <w:rPr>
          <w:rFonts w:ascii="Amiri" w:hAnsi="Amiri" w:eastAsia="Amiri" w:cs="Amiri"/>
          <w:lang w:bidi="ar-SA"/>
          <w:color w:val="111111"/>
          <w:sz w:val="28"/>
          <w:szCs w:val="28"/>
          <w:rtl/>
        </w:rPr>
        <w:t xml:space="preserve">2 .مناظرة ابي الهذيل و مجنون الدير</w:t>
      </w:r>
    </w:p>
    <w:p>
      <w:pPr>
        <w:pStyle w:val="BookText"/>
      </w:pPr>
      <w:r>
        <w:rPr>
          <w:rFonts w:ascii="IRNazanin" w:hAnsi="IRNazanin" w:eastAsia="IRNazanin" w:cs="IRNazanin"/>
          <w:lang w:bidi="fa-IR"/>
          <w:color w:val="111111"/>
          <w:sz w:val="28"/>
          <w:szCs w:val="28"/>
          <w:rtl/>
        </w:rPr>
        <w:t xml:space="preserve">ج 15، ص 515.</w:t>
      </w:r>
    </w:p>
    <w:p>
      <w:pPr>
        <w:pStyle w:val="BookText"/>
      </w:pPr>
      <w:r>
        <w:rPr>
          <w:rFonts w:ascii="Amiri" w:hAnsi="Amiri" w:eastAsia="Amiri" w:cs="Amiri"/>
          <w:lang w:bidi="ar-SA"/>
          <w:color w:val="111111"/>
          <w:sz w:val="28"/>
          <w:szCs w:val="28"/>
          <w:rtl/>
        </w:rPr>
        <w:t xml:space="preserve">علام فيومي ، احمد بن محمّد -فيومي</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6023" w:name="_Toc5125"/>
      <w:r>
        <w:t>علامه بلاغي</w:t>
      </w:r>
      <w:bookmarkEnd w:id="6023"/>
    </w:p>
    <w:p>
      <w:pPr>
        <w:pStyle w:val="BookText"/>
      </w:pPr>
      <w:r>
        <w:rPr>
          <w:rFonts w:ascii="IRNazanin" w:hAnsi="IRNazanin" w:eastAsia="IRNazanin" w:cs="IRNazanin"/>
          <w:lang w:bidi="fa-IR"/>
          <w:color w:val="111111"/>
          <w:sz w:val="28"/>
          <w:szCs w:val="28"/>
          <w:rtl/>
        </w:rPr>
        <w:t xml:space="preserve">المتاجر، ج 13، ص 746.</w:t>
      </w:r>
    </w:p>
    <w:p>
      <w:pPr>
        <w:pStyle w:val="Heading2"/>
      </w:pPr>
      <w:bookmarkStart w:id="6024" w:name="_Toc5126"/>
      <w:r>
        <w:t>علامه حلي ، حسن بن يوسف، 648 -</w:t>
      </w:r>
      <w:bookmarkEnd w:id="6024"/>
    </w:p>
    <w:p>
      <w:pPr>
        <w:pStyle w:val="BookText"/>
      </w:pPr>
      <w:r>
        <w:rPr>
          <w:rFonts w:ascii="IRNazanin" w:hAnsi="IRNazanin" w:eastAsia="IRNazanin" w:cs="IRNazanin"/>
          <w:lang w:bidi="fa-IR"/>
          <w:color w:val="111111"/>
          <w:sz w:val="28"/>
          <w:szCs w:val="28"/>
          <w:rtl/>
        </w:rPr>
        <w:t xml:space="preserve">726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الابحاث المفيدة في تحصيل</w:t>
      </w:r>
    </w:p>
    <w:p>
      <w:pPr>
        <w:pStyle w:val="BookText"/>
      </w:pPr>
      <w:r>
        <w:rPr>
          <w:rFonts w:ascii="Amiri" w:hAnsi="Amiri" w:eastAsia="Amiri" w:cs="Amiri"/>
          <w:lang w:bidi="ar-SA"/>
          <w:color w:val="111111"/>
          <w:sz w:val="28"/>
          <w:szCs w:val="28"/>
          <w:rtl/>
        </w:rPr>
        <w:t xml:space="preserve">العقيدة، ج 1 ، ص 95 .</w:t>
      </w:r>
    </w:p>
    <w:p>
      <w:pPr>
        <w:pStyle w:val="BookText"/>
      </w:pPr>
      <w:r>
        <w:rPr>
          <w:rFonts w:ascii="Amiri" w:hAnsi="Amiri" w:eastAsia="Amiri" w:cs="Amiri"/>
          <w:lang w:bidi="ar-SA"/>
          <w:color w:val="111111"/>
          <w:sz w:val="28"/>
          <w:szCs w:val="28"/>
          <w:rtl/>
        </w:rPr>
        <w:t xml:space="preserve">2 .اجازة لبني زهرة، ج 1، ص 232.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إجازة لزين الدين علي بن إسماعيل بن إبراهيم بن فتوح، ج 1، ص 244.</w:t>
      </w:r>
    </w:p>
    <w:p>
      <w:pPr>
        <w:pStyle w:val="BookText"/>
      </w:pPr>
      <w:r>
        <w:rPr>
          <w:rFonts w:ascii="Amiri" w:hAnsi="Amiri" w:eastAsia="Amiri" w:cs="Amiri"/>
          <w:lang w:bidi="ar-SA"/>
          <w:color w:val="111111"/>
          <w:sz w:val="28"/>
          <w:szCs w:val="28"/>
          <w:rtl/>
        </w:rPr>
        <w:t xml:space="preserve">4 .اجازة لسادات، ج 1، ص 244.</w:t>
      </w:r>
    </w:p>
    <w:p>
      <w:pPr>
        <w:pStyle w:val="BookText"/>
      </w:pPr>
      <w:r>
        <w:rPr>
          <w:rFonts w:ascii="Amiri" w:hAnsi="Amiri" w:eastAsia="Amiri" w:cs="Amiri"/>
          <w:lang w:bidi="ar-SA"/>
          <w:color w:val="111111"/>
          <w:sz w:val="28"/>
          <w:szCs w:val="28"/>
          <w:rtl/>
        </w:rPr>
        <w:t xml:space="preserve">5 .إجازة لقطب الدين الرازي، ج 1،</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Amiri" w:hAnsi="Amiri" w:eastAsia="Amiri" w:cs="Amiri"/>
          <w:lang w:bidi="ar-SA"/>
          <w:color w:val="111111"/>
          <w:sz w:val="28"/>
          <w:szCs w:val="28"/>
          <w:rtl/>
        </w:rPr>
        <w:t xml:space="preserve">6 .إجازة للسيّد حسين بن محمّد بن</w:t>
      </w:r>
    </w:p>
    <w:p>
      <w:pPr>
        <w:pStyle w:val="BookText"/>
      </w:pPr>
      <w:r>
        <w:rPr>
          <w:rFonts w:ascii="Amiri" w:hAnsi="Amiri" w:eastAsia="Amiri" w:cs="Amiri"/>
          <w:lang w:bidi="ar-SA"/>
          <w:color w:val="111111"/>
          <w:sz w:val="28"/>
          <w:szCs w:val="28"/>
          <w:rtl/>
        </w:rPr>
        <w:t xml:space="preserve">علي العلوي الحسيني الطوسي</w:t>
      </w:r>
    </w:p>
    <w:p>
      <w:pPr>
        <w:pStyle w:val="BookText"/>
      </w:pPr>
      <w:r>
        <w:rPr>
          <w:rFonts w:ascii="IRNazanin" w:hAnsi="IRNazanin" w:eastAsia="IRNazanin" w:cs="IRNazanin"/>
          <w:lang w:bidi="fa-IR"/>
          <w:color w:val="111111"/>
          <w:sz w:val="28"/>
          <w:szCs w:val="28"/>
          <w:rtl/>
        </w:rPr>
        <w:t xml:space="preserve">ج 1، ص 249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اجازة للسيّد مهنا بن سنان علوي</w:t>
      </w:r>
    </w:p>
    <w:p>
      <w:pPr>
        <w:pStyle w:val="BookText"/>
      </w:pPr>
      <w:r>
        <w:rPr>
          <w:rFonts w:ascii="IRNazanin" w:hAnsi="IRNazanin" w:eastAsia="IRNazanin" w:cs="IRNazanin"/>
          <w:lang w:bidi="fa-IR"/>
          <w:color w:val="111111"/>
          <w:sz w:val="28"/>
          <w:szCs w:val="28"/>
          <w:rtl/>
        </w:rPr>
        <w:t xml:space="preserve">(الأولى)، ج 1، ص 257 .</w:t>
      </w:r>
    </w:p>
    <w:p>
      <w:pPr>
        <w:pStyle w:val="BookText"/>
      </w:pPr>
      <w:r>
        <w:rPr>
          <w:rFonts w:ascii="Amiri" w:hAnsi="Amiri" w:eastAsia="Amiri" w:cs="Amiri"/>
          <w:lang w:bidi="ar-SA"/>
          <w:color w:val="111111"/>
          <w:sz w:val="28"/>
          <w:szCs w:val="28"/>
          <w:rtl/>
        </w:rPr>
        <w:t xml:space="preserve">8 .اجازة للسيد مهنا بن سنان علوي</w:t>
      </w:r>
    </w:p>
    <w:p>
      <w:pPr>
        <w:pStyle w:val="BookText"/>
      </w:pPr>
      <w:r>
        <w:rPr>
          <w:rFonts w:ascii="Amiri" w:hAnsi="Amiri" w:eastAsia="Amiri" w:cs="Amiri"/>
          <w:lang w:bidi="ar-SA"/>
          <w:color w:val="111111"/>
          <w:sz w:val="28"/>
          <w:szCs w:val="28"/>
          <w:rtl/>
        </w:rPr>
        <w:t xml:space="preserve">(الثانية)، ج 1، ص 258.</w:t>
      </w:r>
    </w:p>
    <w:p>
      <w:pPr>
        <w:pStyle w:val="BookText"/>
      </w:pPr>
      <w:r>
        <w:rPr>
          <w:rFonts w:ascii="Amiri" w:hAnsi="Amiri" w:eastAsia="Amiri" w:cs="Amiri"/>
          <w:lang w:bidi="ar-SA"/>
          <w:color w:val="111111"/>
          <w:sz w:val="28"/>
          <w:szCs w:val="28"/>
          <w:rtl/>
        </w:rPr>
        <w:t xml:space="preserve">9 .اجوبة المسائل المهنائية، ج1،</w:t>
      </w:r>
    </w:p>
    <w:p>
      <w:pPr>
        <w:pStyle w:val="BookText"/>
      </w:pPr>
      <w:r>
        <w:rPr>
          <w:rFonts w:ascii="IRNazanin" w:hAnsi="IRNazanin" w:eastAsia="IRNazanin" w:cs="IRNazanin"/>
          <w:lang w:bidi="fa-IR"/>
          <w:color w:val="111111"/>
          <w:sz w:val="28"/>
          <w:szCs w:val="28"/>
          <w:rtl/>
        </w:rPr>
        <w:t xml:space="preserve">ص 375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اجوبة المسائل المهنائية الأولى</w:t>
      </w:r>
    </w:p>
    <w:p>
      <w:pPr>
        <w:pStyle w:val="BookText"/>
      </w:pPr>
      <w:r>
        <w:rPr>
          <w:rFonts w:ascii="IRNazanin" w:hAnsi="IRNazanin" w:eastAsia="IRNazanin" w:cs="IRNazanin"/>
          <w:lang w:bidi="fa-IR"/>
          <w:color w:val="111111"/>
          <w:sz w:val="28"/>
          <w:szCs w:val="28"/>
          <w:rtl/>
        </w:rPr>
        <w:t xml:space="preserve">ج 1، ص 376.</w:t>
      </w:r>
    </w:p>
    <w:p>
      <w:pPr>
        <w:pStyle w:val="BookText"/>
      </w:pPr>
      <w:r>
        <w:rPr>
          <w:rFonts w:ascii="Amiri" w:hAnsi="Amiri" w:eastAsia="Amiri" w:cs="Amiri"/>
          <w:lang w:bidi="ar-SA"/>
          <w:color w:val="111111"/>
          <w:sz w:val="28"/>
          <w:szCs w:val="28"/>
          <w:rtl/>
        </w:rPr>
        <w:t xml:space="preserve">11 .اجوبة مسائل فخر المحققين، ج1،</w:t>
      </w:r>
    </w:p>
    <w:p>
      <w:pPr>
        <w:pStyle w:val="BookText"/>
      </w:pPr>
      <w:r>
        <w:rPr>
          <w:rFonts w:ascii="IRNazanin" w:hAnsi="IRNazanin" w:eastAsia="IRNazanin" w:cs="IRNazanin"/>
          <w:lang w:bidi="fa-IR"/>
          <w:color w:val="111111"/>
          <w:sz w:val="28"/>
          <w:szCs w:val="28"/>
          <w:rtl/>
        </w:rPr>
        <w:t xml:space="preserve">ص 366.</w:t>
      </w:r>
    </w:p>
    <w:p>
      <w:pPr>
        <w:pStyle w:val="BookText"/>
      </w:pPr>
      <w:r>
        <w:rPr>
          <w:rFonts w:ascii="Amiri" w:hAnsi="Amiri" w:eastAsia="Amiri" w:cs="Amiri"/>
          <w:lang w:bidi="ar-SA"/>
          <w:color w:val="111111"/>
          <w:sz w:val="28"/>
          <w:szCs w:val="28"/>
          <w:rtl/>
        </w:rPr>
        <w:t xml:space="preserve">12 .ارشاد الاذهان إلى احكام الايمان</w:t>
      </w:r>
    </w:p>
    <w:p>
      <w:pPr>
        <w:pStyle w:val="BookText"/>
      </w:pPr>
      <w:r>
        <w:rPr>
          <w:rFonts w:ascii="IRNazanin" w:hAnsi="IRNazanin" w:eastAsia="IRNazanin" w:cs="IRNazanin"/>
          <w:lang w:bidi="fa-IR"/>
          <w:color w:val="111111"/>
          <w:sz w:val="28"/>
          <w:szCs w:val="28"/>
          <w:rtl/>
        </w:rPr>
        <w:t xml:space="preserve">ج 2، ص 3.</w:t>
      </w:r>
    </w:p>
    <w:p>
      <w:pPr>
        <w:pStyle w:val="BookText"/>
      </w:pPr>
      <w:r>
        <w:rPr>
          <w:rFonts w:ascii="Amiri" w:hAnsi="Amiri" w:eastAsia="Amiri" w:cs="Amiri"/>
          <w:lang w:bidi="ar-SA"/>
          <w:color w:val="111111"/>
          <w:sz w:val="28"/>
          <w:szCs w:val="28"/>
          <w:rtl/>
        </w:rPr>
        <w:t xml:space="preserve">13 .استقصاء النظر في البحث عن القضاء والقدر، ج 2، ص 152.</w:t>
      </w:r>
    </w:p>
    <w:p>
      <w:pPr>
        <w:pStyle w:val="BookText"/>
      </w:pPr>
      <w:r>
        <w:rPr>
          <w:rFonts w:ascii="Amiri" w:hAnsi="Amiri" w:eastAsia="Amiri" w:cs="Amiri"/>
          <w:lang w:bidi="ar-SA"/>
          <w:color w:val="111111"/>
          <w:sz w:val="28"/>
          <w:szCs w:val="28"/>
          <w:rtl/>
        </w:rPr>
        <w:t xml:space="preserve">14 . الاسرار الخفية في العلوم العقلية</w:t>
      </w:r>
    </w:p>
    <w:p>
      <w:pPr>
        <w:pStyle w:val="BookText"/>
      </w:pPr>
      <w:r>
        <w:rPr>
          <w:rFonts w:ascii="IRNazanin" w:hAnsi="IRNazanin" w:eastAsia="IRNazanin" w:cs="IRNazanin"/>
          <w:lang w:bidi="fa-IR"/>
          <w:color w:val="111111"/>
          <w:sz w:val="28"/>
          <w:szCs w:val="28"/>
          <w:rtl/>
        </w:rPr>
        <w:t xml:space="preserve">ج 2، ص 167.</w:t>
      </w:r>
    </w:p>
    <w:p>
      <w:pPr>
        <w:pStyle w:val="BookText"/>
      </w:pPr>
      <w:r>
        <w:rPr>
          <w:rFonts w:ascii="IRNazanin" w:hAnsi="IRNazanin" w:eastAsia="IRNazanin" w:cs="IRNazanin"/>
          <w:lang w:bidi="fa-IR"/>
          <w:color w:val="111111"/>
          <w:sz w:val="28"/>
          <w:szCs w:val="28"/>
          <w:rtl/>
        </w:rPr>
        <w:t xml:space="preserve">15 .أصول العقائد، ج 2، ص 426.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الالفين الفارق بين الصدق و المين</w:t>
      </w:r>
    </w:p>
    <w:p>
      <w:pPr>
        <w:pStyle w:val="BookText"/>
      </w:pPr>
      <w:r>
        <w:rPr>
          <w:rFonts w:ascii="IRNazanin" w:hAnsi="IRNazanin" w:eastAsia="IRNazanin" w:cs="IRNazanin"/>
          <w:lang w:bidi="fa-IR"/>
          <w:color w:val="111111"/>
          <w:sz w:val="28"/>
          <w:szCs w:val="28"/>
          <w:rtl/>
        </w:rPr>
        <w:t xml:space="preserve">ج 2، ص 691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الالفين في امامة امير المومنين، ج2،</w:t>
      </w:r>
    </w:p>
    <w:p>
      <w:pPr>
        <w:pStyle w:val="BookText"/>
      </w:pPr>
      <w:r>
        <w:rPr>
          <w:rFonts w:ascii="IRNazanin" w:hAnsi="IRNazanin" w:eastAsia="IRNazanin" w:cs="IRNazanin"/>
          <w:lang w:bidi="fa-IR"/>
          <w:color w:val="111111"/>
          <w:sz w:val="28"/>
          <w:szCs w:val="28"/>
          <w:rtl/>
        </w:rPr>
        <w:t xml:space="preserve">ص 693 .</w:t>
      </w:r>
    </w:p>
    <w:p>
      <w:pPr>
        <w:pStyle w:val="BookText"/>
      </w:pPr>
      <w:r>
        <w:rPr>
          <w:rFonts w:ascii="Amiri" w:hAnsi="Amiri" w:eastAsia="Amiri" w:cs="Amiri"/>
          <w:lang w:bidi="ar-SA"/>
          <w:color w:val="111111"/>
          <w:sz w:val="28"/>
          <w:szCs w:val="28"/>
          <w:rtl/>
        </w:rPr>
        <w:t xml:space="preserve">18 .انوار الملكوت في شرح الياقوت</w:t>
      </w:r>
    </w:p>
    <w:p>
      <w:pPr>
        <w:pStyle w:val="BookText"/>
      </w:pPr>
      <w:r>
        <w:rPr>
          <w:rFonts w:ascii="IRNazanin" w:hAnsi="IRNazanin" w:eastAsia="IRNazanin" w:cs="IRNazanin"/>
          <w:lang w:bidi="fa-IR"/>
          <w:color w:val="111111"/>
          <w:sz w:val="28"/>
          <w:szCs w:val="28"/>
          <w:rtl/>
        </w:rPr>
        <w:t xml:space="preserve">ج 3، ص 25.</w:t>
      </w:r>
    </w:p>
    <w:p>
      <w:pPr>
        <w:pStyle w:val="BookText"/>
      </w:pPr>
      <w:r>
        <w:rPr>
          <w:rFonts w:ascii="Amiri" w:hAnsi="Amiri" w:eastAsia="Amiri" w:cs="Amiri"/>
          <w:lang w:bidi="ar-SA"/>
          <w:color w:val="111111"/>
          <w:sz w:val="28"/>
          <w:szCs w:val="28"/>
          <w:rtl/>
        </w:rPr>
        <w:t xml:space="preserve">19 .ايضاح الاشتباه في اسماء الرواة</w:t>
      </w:r>
    </w:p>
    <w:p>
      <w:pPr>
        <w:pStyle w:val="BookText"/>
      </w:pPr>
      <w:r>
        <w:rPr>
          <w:rFonts w:ascii="IRNazanin" w:hAnsi="IRNazanin" w:eastAsia="IRNazanin" w:cs="IRNazanin"/>
          <w:lang w:bidi="fa-IR"/>
          <w:color w:val="111111"/>
          <w:sz w:val="28"/>
          <w:szCs w:val="28"/>
          <w:rtl/>
        </w:rPr>
        <w:t xml:space="preserve">ج 3، ص108.</w:t>
      </w:r>
    </w:p>
    <w:p>
      <w:pPr>
        <w:pStyle w:val="BookText"/>
      </w:pPr>
      <w:r>
        <w:rPr>
          <w:rFonts w:ascii="Amiri" w:hAnsi="Amiri" w:eastAsia="Amiri" w:cs="Amiri"/>
          <w:lang w:bidi="ar-SA"/>
          <w:color w:val="111111"/>
          <w:sz w:val="28"/>
          <w:szCs w:val="28"/>
          <w:rtl/>
        </w:rPr>
        <w:t xml:space="preserve">20 .الايضاح باستار غموض قواعد</w:t>
      </w:r>
    </w:p>
    <w:p>
      <w:pPr>
        <w:pStyle w:val="BookText"/>
      </w:pPr>
      <w:r>
        <w:rPr>
          <w:rFonts w:ascii="IRNazanin" w:hAnsi="IRNazanin" w:eastAsia="IRNazanin" w:cs="IRNazanin"/>
          <w:lang w:bidi="fa-IR"/>
          <w:color w:val="111111"/>
          <w:sz w:val="28"/>
          <w:szCs w:val="28"/>
          <w:rtl/>
        </w:rPr>
        <w:t xml:space="preserve">الاسلام، ج3، ص112.</w:t>
      </w:r>
    </w:p>
    <w:p>
      <w:pPr>
        <w:pStyle w:val="BookText"/>
      </w:pPr>
      <w:r>
        <w:rPr>
          <w:rFonts w:ascii="Amiri" w:hAnsi="Amiri" w:eastAsia="Amiri" w:cs="Amiri"/>
          <w:lang w:bidi="ar-SA"/>
          <w:color w:val="111111"/>
          <w:sz w:val="28"/>
          <w:szCs w:val="28"/>
          <w:rtl/>
        </w:rPr>
        <w:t xml:space="preserve">21 .الباب الحادي عشر، ج3، ص170.</w:t>
      </w:r>
    </w:p>
    <w:p>
      <w:pPr>
        <w:pStyle w:val="BookText"/>
      </w:pPr>
      <w:r>
        <w:rPr>
          <w:rFonts w:ascii="Amiri" w:hAnsi="Amiri" w:eastAsia="Amiri" w:cs="Amiri"/>
          <w:lang w:bidi="ar-SA"/>
          <w:color w:val="111111"/>
          <w:sz w:val="28"/>
          <w:szCs w:val="28"/>
          <w:rtl/>
        </w:rPr>
        <w:t xml:space="preserve">22 .البراهين من القرآن، ج3، ص298</w:t>
      </w:r>
    </w:p>
    <w:p>
      <w:pPr>
        <w:pStyle w:val="BookText"/>
      </w:pPr>
      <w:r>
        <w:rPr>
          <w:rFonts w:ascii="Amiri" w:hAnsi="Amiri" w:eastAsia="Amiri" w:cs="Amiri"/>
          <w:lang w:bidi="ar-SA"/>
          <w:color w:val="111111"/>
          <w:sz w:val="28"/>
          <w:szCs w:val="28"/>
          <w:rtl/>
        </w:rPr>
        <w:t xml:space="preserve">23 .بغية اللبيب في شرح التهذيب</w:t>
      </w:r>
    </w:p>
    <w:p>
      <w:pPr>
        <w:pStyle w:val="BookText"/>
      </w:pPr>
      <w:r>
        <w:rPr>
          <w:rFonts w:ascii="IRNazanin" w:hAnsi="IRNazanin" w:eastAsia="IRNazanin" w:cs="IRNazanin"/>
          <w:lang w:bidi="fa-IR"/>
          <w:color w:val="111111"/>
          <w:sz w:val="28"/>
          <w:szCs w:val="28"/>
          <w:rtl/>
        </w:rPr>
        <w:t xml:space="preserve">ج 3، ص 375.</w:t>
      </w:r>
    </w:p>
    <w:p>
      <w:pPr>
        <w:pStyle w:val="BookText"/>
      </w:pPr>
      <w:r>
        <w:rPr>
          <w:rFonts w:ascii="Amiri" w:hAnsi="Amiri" w:eastAsia="Amiri" w:cs="Amiri"/>
          <w:lang w:bidi="ar-SA"/>
          <w:color w:val="111111"/>
          <w:sz w:val="28"/>
          <w:szCs w:val="28"/>
          <w:rtl/>
        </w:rPr>
        <w:t xml:space="preserve">24 .تبصرة المتعلمين في احكام الدين</w:t>
      </w:r>
    </w:p>
    <w:p>
      <w:pPr>
        <w:pStyle w:val="BookText"/>
      </w:pPr>
      <w:r>
        <w:rPr>
          <w:rFonts w:ascii="IRNazanin" w:hAnsi="IRNazanin" w:eastAsia="IRNazanin" w:cs="IRNazanin"/>
          <w:lang w:bidi="fa-IR"/>
          <w:color w:val="111111"/>
          <w:sz w:val="28"/>
          <w:szCs w:val="28"/>
          <w:rtl/>
        </w:rPr>
        <w:t xml:space="preserve">ج 3، ص 644 .</w:t>
      </w:r>
    </w:p>
    <w:p>
      <w:pPr>
        <w:pStyle w:val="BookText"/>
      </w:pPr>
      <w:r>
        <w:rPr>
          <w:rFonts w:ascii="Amiri" w:hAnsi="Amiri" w:eastAsia="Amiri" w:cs="Amiri"/>
          <w:lang w:bidi="ar-SA"/>
          <w:color w:val="111111"/>
          <w:sz w:val="28"/>
          <w:szCs w:val="28"/>
          <w:rtl/>
        </w:rPr>
        <w:t xml:space="preserve">25 .تحرير الاحكام الشرعية على مذهب الامامية، ج 3، ص 726.</w:t>
      </w:r>
    </w:p>
    <w:p>
      <w:pPr>
        <w:pStyle w:val="BookText"/>
      </w:pPr>
      <w:r>
        <w:rPr>
          <w:rFonts w:ascii="Amiri" w:hAnsi="Amiri" w:eastAsia="Amiri" w:cs="Amiri"/>
          <w:lang w:bidi="ar-SA"/>
          <w:color w:val="111111"/>
          <w:sz w:val="28"/>
          <w:szCs w:val="28"/>
          <w:rtl/>
        </w:rPr>
        <w:t xml:space="preserve">26 .تذكرة الفقهاء في تلخيص فتاوى</w:t>
      </w:r>
    </w:p>
    <w:p>
      <w:pPr>
        <w:pStyle w:val="BookText"/>
      </w:pPr>
      <w:r>
        <w:rPr>
          <w:rFonts w:ascii="IRNazanin" w:hAnsi="IRNazanin" w:eastAsia="IRNazanin" w:cs="IRNazanin"/>
          <w:lang w:bidi="fa-IR"/>
          <w:color w:val="111111"/>
          <w:sz w:val="28"/>
          <w:szCs w:val="28"/>
          <w:rtl/>
        </w:rPr>
        <w:t xml:space="preserve">العلماء، ج 4، ص 199.</w:t>
      </w:r>
    </w:p>
    <w:p>
      <w:pPr>
        <w:pStyle w:val="BookText"/>
      </w:pPr>
      <w:r>
        <w:rPr>
          <w:rFonts w:ascii="Amiri" w:hAnsi="Amiri" w:eastAsia="Amiri" w:cs="Amiri"/>
          <w:lang w:bidi="ar-SA"/>
          <w:color w:val="111111"/>
          <w:sz w:val="28"/>
          <w:szCs w:val="28"/>
          <w:rtl/>
        </w:rPr>
        <w:t xml:space="preserve">27 .تسليك النفس إلى حظيرة القدس</w:t>
      </w:r>
    </w:p>
    <w:p>
      <w:pPr>
        <w:pStyle w:val="BookText"/>
      </w:pPr>
      <w:r>
        <w:rPr>
          <w:rFonts w:ascii="IRNazanin" w:hAnsi="IRNazanin" w:eastAsia="IRNazanin" w:cs="IRNazanin"/>
          <w:lang w:bidi="fa-IR"/>
          <w:color w:val="111111"/>
          <w:sz w:val="28"/>
          <w:szCs w:val="28"/>
          <w:rtl/>
        </w:rPr>
        <w:t xml:space="preserve">ج 4، ص 345.</w:t>
      </w:r>
    </w:p>
    <w:p>
      <w:pPr>
        <w:pStyle w:val="BookText"/>
      </w:pPr>
      <w:r>
        <w:rPr>
          <w:rFonts w:ascii="Amiri" w:hAnsi="Amiri" w:eastAsia="Amiri" w:cs="Amiri"/>
          <w:lang w:bidi="ar-SA"/>
          <w:color w:val="111111"/>
          <w:sz w:val="28"/>
          <w:szCs w:val="28"/>
          <w:rtl/>
        </w:rPr>
        <w:t xml:space="preserve">28 .تلخيص المرام في معرفة الاحكام</w:t>
      </w:r>
    </w:p>
    <w:p>
      <w:pPr>
        <w:pStyle w:val="BookText"/>
      </w:pPr>
      <w:r>
        <w:rPr>
          <w:rFonts w:ascii="IRNazanin" w:hAnsi="IRNazanin" w:eastAsia="IRNazanin" w:cs="IRNazanin"/>
          <w:lang w:bidi="fa-IR"/>
          <w:color w:val="111111"/>
          <w:sz w:val="28"/>
          <w:szCs w:val="28"/>
          <w:rtl/>
        </w:rPr>
        <w:t xml:space="preserve">ج 4، ص 857.</w:t>
      </w:r>
    </w:p>
    <w:p>
      <w:pPr>
        <w:pStyle w:val="BookText"/>
      </w:pPr>
      <w:r>
        <w:rPr>
          <w:rFonts w:ascii="Amiri" w:hAnsi="Amiri" w:eastAsia="Amiri" w:cs="Amiri"/>
          <w:lang w:bidi="ar-SA"/>
          <w:color w:val="111111"/>
          <w:sz w:val="28"/>
          <w:szCs w:val="28"/>
          <w:rtl/>
        </w:rPr>
        <w:t xml:space="preserve">29 .تهذيب الوصول إلى علم الاصول</w:t>
      </w:r>
    </w:p>
    <w:p>
      <w:pPr>
        <w:pStyle w:val="BookText"/>
      </w:pPr>
      <w:r>
        <w:rPr>
          <w:rFonts w:ascii="IRNazanin" w:hAnsi="IRNazanin" w:eastAsia="IRNazanin" w:cs="IRNazanin"/>
          <w:lang w:bidi="fa-IR"/>
          <w:color w:val="111111"/>
          <w:sz w:val="28"/>
          <w:szCs w:val="28"/>
          <w:rtl/>
        </w:rPr>
        <w:t xml:space="preserve">ج 5، ص 130.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التوضيح و البنين في معرفة الله</w:t>
      </w:r>
    </w:p>
    <w:p>
      <w:pPr>
        <w:pStyle w:val="BookText"/>
      </w:pPr>
      <w:r>
        <w:rPr>
          <w:rFonts w:ascii="IRNazanin" w:hAnsi="IRNazanin" w:eastAsia="IRNazanin" w:cs="IRNazanin"/>
          <w:lang w:bidi="fa-IR"/>
          <w:color w:val="111111"/>
          <w:sz w:val="28"/>
          <w:szCs w:val="28"/>
          <w:rtl/>
        </w:rPr>
        <w:t xml:space="preserve">ج 5، ص 184.</w:t>
      </w:r>
    </w:p>
    <w:p>
      <w:pPr>
        <w:pStyle w:val="BookText"/>
      </w:pPr>
      <w:r>
        <w:rPr>
          <w:rFonts w:ascii="Amiri" w:hAnsi="Amiri" w:eastAsia="Amiri" w:cs="Amiri"/>
          <w:lang w:bidi="ar-SA"/>
          <w:color w:val="111111"/>
          <w:sz w:val="28"/>
          <w:szCs w:val="28"/>
          <w:rtl/>
        </w:rPr>
        <w:t xml:space="preserve">31 .الجوهر النضيد في شرح منطق</w:t>
      </w:r>
    </w:p>
    <w:p>
      <w:pPr>
        <w:pStyle w:val="BookText"/>
      </w:pPr>
      <w:r>
        <w:rPr>
          <w:rFonts w:ascii="Amiri" w:hAnsi="Amiri" w:eastAsia="Amiri" w:cs="Amiri"/>
          <w:lang w:bidi="ar-SA"/>
          <w:color w:val="111111"/>
          <w:sz w:val="28"/>
          <w:szCs w:val="28"/>
          <w:rtl/>
        </w:rPr>
        <w:t xml:space="preserve">التجريد، ج 5، ص 628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الحساب، ج 6 ، ص 635.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خلاصة الاقوال في معرفة احوال</w:t>
      </w:r>
    </w:p>
    <w:p>
      <w:pPr>
        <w:pStyle w:val="BookText"/>
      </w:pPr>
      <w:r>
        <w:rPr>
          <w:rFonts w:ascii="IRNazanin" w:hAnsi="IRNazanin" w:eastAsia="IRNazanin" w:cs="IRNazanin"/>
          <w:lang w:bidi="fa-IR"/>
          <w:color w:val="111111"/>
          <w:sz w:val="28"/>
          <w:szCs w:val="28"/>
          <w:rtl/>
        </w:rPr>
        <w:t xml:space="preserve">الرجال، ج 7، ص 75 .</w:t>
      </w:r>
    </w:p>
    <w:p>
      <w:pPr>
        <w:pStyle w:val="BookText"/>
      </w:pPr>
      <w:r>
        <w:rPr>
          <w:rFonts w:ascii="Amiri" w:hAnsi="Amiri" w:eastAsia="Amiri" w:cs="Amiri"/>
          <w:lang w:bidi="ar-SA"/>
          <w:color w:val="111111"/>
          <w:sz w:val="28"/>
          <w:szCs w:val="28"/>
          <w:rtl/>
        </w:rPr>
        <w:t xml:space="preserve">34 .خلاصة العلامة، ج 7، ص118.</w:t>
      </w:r>
    </w:p>
    <w:p>
      <w:pPr>
        <w:pStyle w:val="BookText"/>
      </w:pPr>
      <w:r>
        <w:rPr>
          <w:rFonts w:ascii="Amiri" w:hAnsi="Amiri" w:eastAsia="Amiri" w:cs="Amiri"/>
          <w:lang w:bidi="ar-SA"/>
          <w:color w:val="111111"/>
          <w:sz w:val="28"/>
          <w:szCs w:val="28"/>
          <w:rtl/>
        </w:rPr>
        <w:t xml:space="preserve">35 .الدلائل البرهانية في تصحيح الحضرة الغروية، ج 7، ص 448.</w:t>
      </w:r>
    </w:p>
    <w:p>
      <w:pPr>
        <w:pStyle w:val="BookText"/>
      </w:pPr>
      <w:r>
        <w:rPr>
          <w:rFonts w:ascii="IRNazanin" w:hAnsi="IRNazanin" w:eastAsia="IRNazanin" w:cs="IRNazanin"/>
          <w:lang w:bidi="fa-IR"/>
          <w:color w:val="111111"/>
          <w:sz w:val="28"/>
          <w:szCs w:val="28"/>
          <w:rtl/>
        </w:rPr>
        <w:t xml:space="preserve">36 .رسائل، ج8، ص119.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السعدية، ج8، ص774.</w:t>
      </w:r>
    </w:p>
    <w:p>
      <w:pPr>
        <w:pStyle w:val="BookText"/>
      </w:pPr>
      <w:r>
        <w:rPr>
          <w:rFonts w:ascii="Amiri" w:hAnsi="Amiri" w:eastAsia="Amiri" w:cs="Amiri"/>
          <w:lang w:bidi="ar-SA"/>
          <w:color w:val="111111"/>
          <w:sz w:val="28"/>
          <w:szCs w:val="28"/>
          <w:rtl/>
        </w:rPr>
        <w:t xml:space="preserve">38 .شرح تجريد الاعتقاد، ج 9، ص 306.</w:t>
      </w:r>
    </w:p>
    <w:p>
      <w:pPr>
        <w:pStyle w:val="BookText"/>
      </w:pPr>
      <w:r>
        <w:rPr>
          <w:rFonts w:ascii="Amiri" w:hAnsi="Amiri" w:eastAsia="Amiri" w:cs="Amiri"/>
          <w:lang w:bidi="ar-SA"/>
          <w:color w:val="111111"/>
          <w:sz w:val="28"/>
          <w:szCs w:val="28"/>
          <w:rtl/>
        </w:rPr>
        <w:t xml:space="preserve">39 .علم الناسخ والمنسوخ (رسالة في)،</w:t>
      </w:r>
    </w:p>
    <w:p>
      <w:pPr>
        <w:pStyle w:val="BookText"/>
      </w:pPr>
      <w:r>
        <w:rPr>
          <w:rFonts w:ascii="IRNazanin" w:hAnsi="IRNazanin" w:eastAsia="IRNazanin" w:cs="IRNazanin"/>
          <w:lang w:bidi="fa-IR"/>
          <w:color w:val="111111"/>
          <w:sz w:val="28"/>
          <w:szCs w:val="28"/>
          <w:rtl/>
        </w:rPr>
        <w:t xml:space="preserve">ج 11، ص 263.</w:t>
      </w:r>
    </w:p>
    <w:p>
      <w:pPr>
        <w:pStyle w:val="BookText"/>
      </w:pPr>
      <w:r>
        <w:rPr>
          <w:rFonts w:ascii="Amiri" w:hAnsi="Amiri" w:eastAsia="Amiri" w:cs="Amiri"/>
          <w:lang w:bidi="ar-SA"/>
          <w:color w:val="111111"/>
          <w:sz w:val="28"/>
          <w:szCs w:val="28"/>
          <w:rtl/>
        </w:rPr>
        <w:t xml:space="preserve">40 .غاية الوصول و ايضاح السبل في</w:t>
      </w:r>
    </w:p>
    <w:p>
      <w:pPr>
        <w:pStyle w:val="BookText"/>
      </w:pPr>
      <w:r>
        <w:rPr>
          <w:rFonts w:ascii="Amiri" w:hAnsi="Amiri" w:eastAsia="Amiri" w:cs="Amiri"/>
          <w:lang w:bidi="ar-SA"/>
          <w:color w:val="111111"/>
          <w:sz w:val="28"/>
          <w:szCs w:val="28"/>
          <w:rtl/>
        </w:rPr>
        <w:t xml:space="preserve">شرح مختصر منتهي السؤل و الأمل، ج 11، ص 459.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فقه، ج 12، ص 40.</w:t>
      </w:r>
    </w:p>
    <w:p>
      <w:pPr>
        <w:pStyle w:val="BookText"/>
      </w:pPr>
      <w:r>
        <w:rPr>
          <w:rFonts w:ascii="Amiri" w:hAnsi="Amiri" w:eastAsia="Amiri" w:cs="Amiri"/>
          <w:lang w:bidi="ar-SA"/>
          <w:color w:val="111111"/>
          <w:sz w:val="28"/>
          <w:szCs w:val="28"/>
          <w:rtl/>
        </w:rPr>
        <w:t xml:space="preserve">42 .فوائد العلامة الحلي، ج12،</w:t>
      </w:r>
    </w:p>
    <w:p>
      <w:pPr>
        <w:pStyle w:val="BookText"/>
      </w:pPr>
      <w:r>
        <w:rPr>
          <w:rFonts w:ascii="IRNazanin" w:hAnsi="IRNazanin" w:eastAsia="IRNazanin" w:cs="IRNazanin"/>
          <w:lang w:bidi="fa-IR"/>
          <w:color w:val="111111"/>
          <w:sz w:val="28"/>
          <w:szCs w:val="28"/>
          <w:rtl/>
        </w:rPr>
        <w:t xml:space="preserve">ص 245 .</w:t>
      </w:r>
    </w:p>
    <w:p>
      <w:pPr>
        <w:pStyle w:val="BookText"/>
      </w:pPr>
      <w:r>
        <w:rPr>
          <w:rFonts w:ascii="Amiri" w:hAnsi="Amiri" w:eastAsia="Amiri" w:cs="Amiri"/>
          <w:lang w:bidi="ar-SA"/>
          <w:color w:val="111111"/>
          <w:sz w:val="28"/>
          <w:szCs w:val="28"/>
          <w:rtl/>
        </w:rPr>
        <w:t xml:space="preserve">43 .قواعد الاحكام في معرفة (مسائل) الحلال والحرام، ج12، ص 775 .</w:t>
      </w:r>
    </w:p>
    <w:p>
      <w:pPr>
        <w:pStyle w:val="BookText"/>
      </w:pPr>
      <w:r>
        <w:rPr>
          <w:rFonts w:ascii="Amiri" w:hAnsi="Amiri" w:eastAsia="Amiri" w:cs="Amiri"/>
          <w:lang w:bidi="ar-SA"/>
          <w:color w:val="111111"/>
          <w:sz w:val="28"/>
          <w:szCs w:val="28"/>
          <w:rtl/>
        </w:rPr>
        <w:t xml:space="preserve">44 .قوانين الاحكام، ج12، ص817</w:t>
      </w:r>
    </w:p>
    <w:p>
      <w:pPr>
        <w:pStyle w:val="BookText"/>
      </w:pPr>
      <w:r>
        <w:rPr>
          <w:rFonts w:ascii="Amiri" w:hAnsi="Amiri" w:eastAsia="Amiri" w:cs="Amiri"/>
          <w:lang w:bidi="ar-SA"/>
          <w:color w:val="111111"/>
          <w:sz w:val="28"/>
          <w:szCs w:val="28"/>
          <w:rtl/>
        </w:rPr>
        <w:t xml:space="preserve">45 .كشف الفوائد في شرح قواعد</w:t>
      </w:r>
    </w:p>
    <w:p>
      <w:pPr>
        <w:pStyle w:val="BookText"/>
      </w:pPr>
      <w:r>
        <w:rPr>
          <w:rFonts w:ascii="IRNazanin" w:hAnsi="IRNazanin" w:eastAsia="IRNazanin" w:cs="IRNazanin"/>
          <w:lang w:bidi="fa-IR"/>
          <w:color w:val="111111"/>
          <w:sz w:val="28"/>
          <w:szCs w:val="28"/>
          <w:rtl/>
        </w:rPr>
        <w:t xml:space="preserve">العقائد، ج 13، ص 246.</w:t>
      </w:r>
    </w:p>
    <w:p>
      <w:pPr>
        <w:pStyle w:val="BookText"/>
      </w:pPr>
      <w:r>
        <w:rPr>
          <w:rFonts w:ascii="Amiri" w:hAnsi="Amiri" w:eastAsia="Amiri" w:cs="Amiri"/>
          <w:lang w:bidi="ar-SA"/>
          <w:color w:val="111111"/>
          <w:sz w:val="28"/>
          <w:szCs w:val="28"/>
          <w:rtl/>
        </w:rPr>
        <w:t xml:space="preserve">46 .كشف المراد في شرح تجريد الاعتقاد، ج 13، ص 266.</w:t>
      </w:r>
    </w:p>
    <w:p>
      <w:pPr>
        <w:pStyle w:val="BookText"/>
      </w:pPr>
      <w:r>
        <w:rPr>
          <w:rFonts w:ascii="Amiri" w:hAnsi="Amiri" w:eastAsia="Amiri" w:cs="Amiri"/>
          <w:lang w:bidi="ar-SA"/>
          <w:color w:val="111111"/>
          <w:sz w:val="28"/>
          <w:szCs w:val="28"/>
          <w:rtl/>
        </w:rPr>
        <w:t xml:space="preserve">47 .كشف النقاب في فضل السادات</w:t>
      </w:r>
    </w:p>
    <w:p>
      <w:pPr>
        <w:pStyle w:val="BookText"/>
      </w:pPr>
      <w:r>
        <w:rPr>
          <w:rFonts w:ascii="IRNazanin" w:hAnsi="IRNazanin" w:eastAsia="IRNazanin" w:cs="IRNazanin"/>
          <w:lang w:bidi="fa-IR"/>
          <w:color w:val="111111"/>
          <w:sz w:val="28"/>
          <w:szCs w:val="28"/>
          <w:rtl/>
        </w:rPr>
        <w:t xml:space="preserve">الانجاب، ج13، ص272.</w:t>
      </w:r>
    </w:p>
    <w:p>
      <w:pPr>
        <w:pStyle w:val="BookText"/>
      </w:pPr>
      <w:r>
        <w:rPr>
          <w:rFonts w:ascii="Amiri" w:hAnsi="Amiri" w:eastAsia="Amiri" w:cs="Amiri"/>
          <w:lang w:bidi="ar-SA"/>
          <w:color w:val="111111"/>
          <w:sz w:val="28"/>
          <w:szCs w:val="28"/>
          <w:rtl/>
        </w:rPr>
        <w:t xml:space="preserve">48 .كشف اليقين في فضائل امير المؤمنين، ج13، ص283.</w:t>
      </w:r>
    </w:p>
    <w:p>
      <w:pPr>
        <w:pStyle w:val="BookText"/>
      </w:pPr>
      <w:r>
        <w:rPr>
          <w:rFonts w:ascii="Amiri" w:hAnsi="Amiri" w:eastAsia="Amiri" w:cs="Amiri"/>
          <w:lang w:bidi="ar-SA"/>
          <w:color w:val="111111"/>
          <w:sz w:val="28"/>
          <w:szCs w:val="28"/>
          <w:rtl/>
        </w:rPr>
        <w:t xml:space="preserve">49.مبادي الوصول إلى علم الاصول</w:t>
      </w:r>
    </w:p>
    <w:p>
      <w:pPr>
        <w:pStyle w:val="BookText"/>
      </w:pPr>
      <w:r>
        <w:rPr>
          <w:rFonts w:ascii="IRNazanin" w:hAnsi="IRNazanin" w:eastAsia="IRNazanin" w:cs="IRNazanin"/>
          <w:lang w:bidi="fa-IR"/>
          <w:color w:val="111111"/>
          <w:sz w:val="28"/>
          <w:szCs w:val="28"/>
          <w:rtl/>
        </w:rPr>
        <w:t xml:space="preserve">ج 13، ص 723.</w:t>
      </w:r>
    </w:p>
    <w:p>
      <w:pPr>
        <w:pStyle w:val="BookText"/>
      </w:pPr>
      <w:r>
        <w:rPr>
          <w:rFonts w:ascii="Amiri" w:hAnsi="Amiri" w:eastAsia="Amiri" w:cs="Amiri"/>
          <w:lang w:bidi="ar-SA"/>
          <w:color w:val="111111"/>
          <w:sz w:val="28"/>
          <w:szCs w:val="28"/>
          <w:rtl/>
        </w:rPr>
        <w:t xml:space="preserve">50 .مختلف الشيعة في احكام</w:t>
      </w:r>
    </w:p>
    <w:p>
      <w:pPr>
        <w:pStyle w:val="BookText"/>
      </w:pPr>
      <w:r>
        <w:rPr>
          <w:rFonts w:ascii="Amiri" w:hAnsi="Amiri" w:eastAsia="Amiri" w:cs="Amiri"/>
          <w:lang w:bidi="ar-SA"/>
          <w:color w:val="111111"/>
          <w:sz w:val="28"/>
          <w:szCs w:val="28"/>
          <w:rtl/>
        </w:rPr>
        <w:t xml:space="preserve">الشريعة، ج 14، ص 280 .</w:t>
      </w:r>
    </w:p>
    <w:p>
      <w:pPr>
        <w:pStyle w:val="BookText"/>
      </w:pPr>
      <w:r>
        <w:rPr>
          <w:rFonts w:ascii="Amiri" w:hAnsi="Amiri" w:eastAsia="Amiri" w:cs="Amiri"/>
          <w:lang w:bidi="ar-SA"/>
          <w:color w:val="111111"/>
          <w:sz w:val="28"/>
          <w:szCs w:val="28"/>
          <w:rtl/>
        </w:rPr>
        <w:t xml:space="preserve">51 .مسائل ابن زهرة و اجوبة العلامة</w:t>
      </w:r>
    </w:p>
    <w:p>
      <w:pPr>
        <w:pStyle w:val="BookText"/>
      </w:pPr>
      <w:r>
        <w:rPr>
          <w:rFonts w:ascii="Amiri" w:hAnsi="Amiri" w:eastAsia="Amiri" w:cs="Amiri"/>
          <w:lang w:bidi="ar-SA"/>
          <w:color w:val="111111"/>
          <w:sz w:val="28"/>
          <w:szCs w:val="28"/>
          <w:rtl/>
        </w:rPr>
        <w:t xml:space="preserve">الحلي و فخر المحققين، ج 14،</w:t>
      </w:r>
    </w:p>
    <w:p>
      <w:pPr>
        <w:pStyle w:val="BookText"/>
      </w:pPr>
      <w:r>
        <w:rPr>
          <w:rFonts w:ascii="IRNazanin" w:hAnsi="IRNazanin" w:eastAsia="IRNazanin" w:cs="IRNazanin"/>
          <w:lang w:bidi="fa-IR"/>
          <w:color w:val="111111"/>
          <w:sz w:val="28"/>
          <w:szCs w:val="28"/>
          <w:rtl/>
        </w:rPr>
        <w:t xml:space="preserve">ص 431 .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787" w:name="pg7742_70821"/>
    <w:bookmarkEnd w:id="787"/>
    <w:p>
      <w:pPr>
        <w:pStyle w:val="BookText"/>
      </w:pPr>
      <w:r>
        <w:rPr>
          <w:rFonts w:ascii="Amiri" w:hAnsi="Amiri" w:eastAsia="Amiri" w:cs="Amiri"/>
          <w:lang w:bidi="ar-SA"/>
          <w:color w:val="111111"/>
          <w:sz w:val="28"/>
          <w:szCs w:val="28"/>
          <w:rtl/>
        </w:rPr>
        <w:t xml:space="preserve">52 .مسائل الاصولية من نهج الحق</w:t>
      </w:r>
    </w:p>
    <w:p>
      <w:pPr>
        <w:pStyle w:val="BookText"/>
      </w:pPr>
      <w:r>
        <w:rPr>
          <w:rFonts w:ascii="IRNazanin" w:hAnsi="IRNazanin" w:eastAsia="IRNazanin" w:cs="IRNazanin"/>
          <w:lang w:bidi="fa-IR"/>
          <w:color w:val="111111"/>
          <w:sz w:val="28"/>
          <w:szCs w:val="28"/>
          <w:rtl/>
        </w:rPr>
        <w:t xml:space="preserve">ج 14، ص 437.</w:t>
      </w:r>
    </w:p>
    <w:p>
      <w:pPr>
        <w:pStyle w:val="BookText"/>
      </w:pPr>
      <w:r>
        <w:rPr>
          <w:rFonts w:ascii="Amiri" w:hAnsi="Amiri" w:eastAsia="Amiri" w:cs="Amiri"/>
          <w:lang w:bidi="ar-SA"/>
          <w:color w:val="111111"/>
          <w:sz w:val="28"/>
          <w:szCs w:val="28"/>
          <w:rtl/>
        </w:rPr>
        <w:t xml:space="preserve">53 .مسائل السيد مهنا بن سنان</w:t>
      </w:r>
    </w:p>
    <w:p>
      <w:pPr>
        <w:pStyle w:val="BookText"/>
      </w:pPr>
      <w:r>
        <w:rPr>
          <w:rFonts w:ascii="IRNazanin" w:hAnsi="IRNazanin" w:eastAsia="IRNazanin" w:cs="IRNazanin"/>
          <w:lang w:bidi="fa-IR"/>
          <w:color w:val="111111"/>
          <w:sz w:val="28"/>
          <w:szCs w:val="28"/>
          <w:rtl/>
        </w:rPr>
        <w:t xml:space="preserve">ج 14، ص 454.</w:t>
      </w:r>
    </w:p>
    <w:p>
      <w:pPr>
        <w:pStyle w:val="BookText"/>
      </w:pPr>
      <w:r>
        <w:rPr>
          <w:rFonts w:ascii="Amiri" w:hAnsi="Amiri" w:eastAsia="Amiri" w:cs="Amiri"/>
          <w:lang w:bidi="ar-SA"/>
          <w:color w:val="111111"/>
          <w:sz w:val="28"/>
          <w:szCs w:val="28"/>
          <w:rtl/>
        </w:rPr>
        <w:t xml:space="preserve">54 .المسائل الفقهية من نهج الحق</w:t>
      </w:r>
    </w:p>
    <w:p>
      <w:pPr>
        <w:pStyle w:val="BookText"/>
      </w:pPr>
      <w:r>
        <w:rPr>
          <w:rFonts w:ascii="IRNazanin" w:hAnsi="IRNazanin" w:eastAsia="IRNazanin" w:cs="IRNazanin"/>
          <w:lang w:bidi="fa-IR"/>
          <w:color w:val="111111"/>
          <w:sz w:val="28"/>
          <w:szCs w:val="28"/>
          <w:rtl/>
        </w:rPr>
        <w:t xml:space="preserve">ج 14، ص 468.</w:t>
      </w:r>
    </w:p>
    <w:p>
      <w:pPr>
        <w:pStyle w:val="BookText"/>
      </w:pPr>
      <w:r>
        <w:rPr>
          <w:rFonts w:ascii="Amiri" w:hAnsi="Amiri" w:eastAsia="Amiri" w:cs="Amiri"/>
          <w:lang w:bidi="ar-SA"/>
          <w:color w:val="111111"/>
          <w:sz w:val="28"/>
          <w:szCs w:val="28"/>
          <w:rtl/>
        </w:rPr>
        <w:t xml:space="preserve">55 .مسالة في حسن كتابة القرآن و خلق ابليس، ج 14، ص 543.</w:t>
      </w:r>
    </w:p>
    <w:p>
      <w:pPr>
        <w:pStyle w:val="BookText"/>
      </w:pPr>
      <w:r>
        <w:rPr>
          <w:rFonts w:ascii="Amiri" w:hAnsi="Amiri" w:eastAsia="Amiri" w:cs="Amiri"/>
          <w:lang w:bidi="ar-SA"/>
          <w:color w:val="111111"/>
          <w:sz w:val="28"/>
          <w:szCs w:val="28"/>
          <w:rtl/>
        </w:rPr>
        <w:t xml:space="preserve">علامه حلي - علم الهدي ، علي بن حسين</w:t>
      </w:r>
    </w:p>
    <w:p>
      <w:pPr>
        <w:pStyle w:val="BookText"/>
      </w:pPr>
      <w:r>
        <w:rPr>
          <w:rFonts w:ascii="Amiri" w:hAnsi="Amiri" w:eastAsia="Amiri" w:cs="Amiri"/>
          <w:lang w:bidi="ar-SA"/>
          <w:color w:val="111111"/>
          <w:sz w:val="28"/>
          <w:szCs w:val="28"/>
          <w:rtl/>
        </w:rPr>
        <w:t xml:space="preserve">56 .معارج الفهم في شرح النظم، ج 14،</w:t>
      </w:r>
    </w:p>
    <w:p>
      <w:pPr>
        <w:pStyle w:val="BookText"/>
      </w:pPr>
      <w:r>
        <w:rPr>
          <w:rFonts w:ascii="IRNazanin" w:hAnsi="IRNazanin" w:eastAsia="IRNazanin" w:cs="IRNazanin"/>
          <w:lang w:bidi="fa-IR"/>
          <w:color w:val="111111"/>
          <w:sz w:val="28"/>
          <w:szCs w:val="28"/>
          <w:rtl/>
        </w:rPr>
        <w:t xml:space="preserve">ص838.</w:t>
      </w:r>
    </w:p>
    <w:p>
      <w:pPr>
        <w:pStyle w:val="BookText"/>
      </w:pPr>
      <w:r>
        <w:rPr>
          <w:rFonts w:ascii="Amiri" w:hAnsi="Amiri" w:eastAsia="Amiri" w:cs="Amiri"/>
          <w:lang w:bidi="ar-SA"/>
          <w:color w:val="111111"/>
          <w:sz w:val="28"/>
          <w:szCs w:val="28"/>
          <w:rtl/>
        </w:rPr>
        <w:t xml:space="preserve">57 .معرفة اصول الدين ج 15 ، ص 44.</w:t>
      </w:r>
    </w:p>
    <w:p>
      <w:pPr>
        <w:pStyle w:val="BookText"/>
      </w:pPr>
      <w:r>
        <w:rPr>
          <w:rFonts w:ascii="Amiri" w:hAnsi="Amiri" w:eastAsia="Amiri" w:cs="Amiri"/>
          <w:lang w:bidi="ar-SA"/>
          <w:color w:val="111111"/>
          <w:sz w:val="28"/>
          <w:szCs w:val="28"/>
          <w:rtl/>
        </w:rPr>
        <w:t xml:space="preserve">58 .مقدمة الاقتصاد في شرح الإرشاد</w:t>
      </w:r>
    </w:p>
    <w:p>
      <w:pPr>
        <w:pStyle w:val="BookText"/>
      </w:pPr>
      <w:r>
        <w:rPr>
          <w:rFonts w:ascii="IRNazanin" w:hAnsi="IRNazanin" w:eastAsia="IRNazanin" w:cs="IRNazanin"/>
          <w:lang w:bidi="fa-IR"/>
          <w:color w:val="111111"/>
          <w:sz w:val="28"/>
          <w:szCs w:val="28"/>
          <w:rtl/>
        </w:rPr>
        <w:t xml:space="preserve">ج 15، ص 349.</w:t>
      </w:r>
    </w:p>
    <w:p>
      <w:pPr>
        <w:pStyle w:val="BookText"/>
      </w:pPr>
      <w:r>
        <w:rPr>
          <w:rFonts w:ascii="Amiri" w:hAnsi="Amiri" w:eastAsia="Amiri" w:cs="Amiri"/>
          <w:lang w:bidi="ar-SA"/>
          <w:color w:val="111111"/>
          <w:sz w:val="28"/>
          <w:szCs w:val="28"/>
          <w:rtl/>
        </w:rPr>
        <w:t xml:space="preserve">59 .مناهج اليقين في أصول الدين</w:t>
      </w:r>
    </w:p>
    <w:p>
      <w:pPr>
        <w:pStyle w:val="BookText"/>
      </w:pPr>
      <w:r>
        <w:rPr>
          <w:rFonts w:ascii="IRNazanin" w:hAnsi="IRNazanin" w:eastAsia="IRNazanin" w:cs="IRNazanin"/>
          <w:lang w:bidi="fa-IR"/>
          <w:color w:val="111111"/>
          <w:sz w:val="28"/>
          <w:szCs w:val="28"/>
          <w:rtl/>
        </w:rPr>
        <w:t xml:space="preserve">ج 15، ص 576.</w:t>
      </w:r>
    </w:p>
    <w:p>
      <w:pPr>
        <w:pStyle w:val="BookText"/>
      </w:pPr>
      <w:r>
        <w:rPr>
          <w:rFonts w:ascii="Amiri" w:hAnsi="Amiri" w:eastAsia="Amiri" w:cs="Amiri"/>
          <w:lang w:bidi="ar-SA"/>
          <w:color w:val="111111"/>
          <w:sz w:val="28"/>
          <w:szCs w:val="28"/>
          <w:rtl/>
        </w:rPr>
        <w:t xml:space="preserve">60 .منتهي المطلب في تحقيق المذهب</w:t>
      </w:r>
    </w:p>
    <w:p>
      <w:pPr>
        <w:pStyle w:val="BookText"/>
      </w:pPr>
      <w:r>
        <w:rPr>
          <w:rFonts w:ascii="IRNazanin" w:hAnsi="IRNazanin" w:eastAsia="IRNazanin" w:cs="IRNazanin"/>
          <w:lang w:bidi="fa-IR"/>
          <w:color w:val="111111"/>
          <w:sz w:val="28"/>
          <w:szCs w:val="28"/>
          <w:rtl/>
        </w:rPr>
        <w:t xml:space="preserve">ج 15 ، ص 641 .</w:t>
      </w:r>
    </w:p>
    <w:p>
      <w:pPr>
        <w:pStyle w:val="BookText"/>
      </w:pPr>
      <w:r>
        <w:rPr>
          <w:rFonts w:ascii="Amiri" w:hAnsi="Amiri" w:eastAsia="Amiri" w:cs="Amiri"/>
          <w:lang w:bidi="ar-SA"/>
          <w:color w:val="111111"/>
          <w:sz w:val="28"/>
          <w:szCs w:val="28"/>
          <w:rtl/>
        </w:rPr>
        <w:t xml:space="preserve">61 . منهاج الصلاح في اختصار المصباح</w:t>
      </w:r>
    </w:p>
    <w:p>
      <w:pPr>
        <w:pStyle w:val="BookText"/>
      </w:pPr>
      <w:r>
        <w:rPr>
          <w:rFonts w:ascii="IRNazanin" w:hAnsi="IRNazanin" w:eastAsia="IRNazanin" w:cs="IRNazanin"/>
          <w:lang w:bidi="fa-IR"/>
          <w:color w:val="111111"/>
          <w:sz w:val="28"/>
          <w:szCs w:val="28"/>
          <w:rtl/>
        </w:rPr>
        <w:t xml:space="preserve">ج 15، ص 759.</w:t>
      </w:r>
    </w:p>
    <w:p>
      <w:pPr>
        <w:pStyle w:val="BookText"/>
      </w:pPr>
      <w:r>
        <w:rPr>
          <w:rFonts w:ascii="Amiri" w:hAnsi="Amiri" w:eastAsia="Amiri" w:cs="Amiri"/>
          <w:lang w:bidi="ar-SA"/>
          <w:color w:val="111111"/>
          <w:sz w:val="28"/>
          <w:szCs w:val="28"/>
          <w:rtl/>
        </w:rPr>
        <w:t xml:space="preserve">62 .منهاج الكرامة في اثبات الامامة</w:t>
      </w:r>
    </w:p>
    <w:p>
      <w:pPr>
        <w:pStyle w:val="BookText"/>
      </w:pPr>
      <w:r>
        <w:rPr>
          <w:rFonts w:ascii="IRNazanin" w:hAnsi="IRNazanin" w:eastAsia="IRNazanin" w:cs="IRNazanin"/>
          <w:lang w:bidi="fa-IR"/>
          <w:color w:val="111111"/>
          <w:sz w:val="28"/>
          <w:szCs w:val="28"/>
          <w:rtl/>
        </w:rPr>
        <w:t xml:space="preserve">ج 15 ، ص 773.</w:t>
      </w:r>
    </w:p>
    <w:p>
      <w:pPr>
        <w:pStyle w:val="BookText"/>
      </w:pPr>
      <w:r>
        <w:rPr>
          <w:rFonts w:ascii="IRNazanin" w:hAnsi="IRNazanin" w:eastAsia="IRNazanin" w:cs="IRNazanin"/>
          <w:lang w:bidi="fa-IR"/>
          <w:color w:val="111111"/>
          <w:sz w:val="28"/>
          <w:szCs w:val="28"/>
          <w:rtl/>
        </w:rPr>
        <w:t xml:space="preserve">63 .منهج السداد إلى شرح واجب</w:t>
      </w:r>
    </w:p>
    <w:p>
      <w:pPr>
        <w:pStyle w:val="BookText"/>
      </w:pPr>
      <w:r>
        <w:rPr>
          <w:rFonts w:ascii="IRNazanin" w:hAnsi="IRNazanin" w:eastAsia="IRNazanin" w:cs="IRNazanin"/>
          <w:lang w:bidi="fa-IR"/>
          <w:color w:val="111111"/>
          <w:sz w:val="28"/>
          <w:szCs w:val="28"/>
          <w:rtl/>
        </w:rPr>
        <w:t xml:space="preserve">الاعتقاد، ج 15، ص 799.</w:t>
      </w:r>
    </w:p>
    <w:p>
      <w:pPr>
        <w:pStyle w:val="BookText"/>
      </w:pPr>
      <w:r>
        <w:rPr>
          <w:rFonts w:ascii="Amiri" w:hAnsi="Amiri" w:eastAsia="Amiri" w:cs="Amiri"/>
          <w:lang w:bidi="ar-SA"/>
          <w:color w:val="111111"/>
          <w:sz w:val="28"/>
          <w:szCs w:val="28"/>
          <w:rtl/>
        </w:rPr>
        <w:t xml:space="preserve">64 . منية المؤمن، ج 15، ص 829.</w:t>
      </w:r>
    </w:p>
    <w:p>
      <w:pPr>
        <w:pStyle w:val="BookText"/>
      </w:pPr>
      <w:r>
        <w:rPr>
          <w:rFonts w:ascii="Amiri" w:hAnsi="Amiri" w:eastAsia="Amiri" w:cs="Amiri"/>
          <w:lang w:bidi="ar-SA"/>
          <w:color w:val="111111"/>
          <w:sz w:val="28"/>
          <w:szCs w:val="28"/>
          <w:rtl/>
        </w:rPr>
        <w:t xml:space="preserve">65 .نظم البراهين في اصول الدين</w:t>
      </w:r>
    </w:p>
    <w:p>
      <w:pPr>
        <w:pStyle w:val="BookText"/>
      </w:pPr>
      <w:r>
        <w:rPr>
          <w:rFonts w:ascii="IRNazanin" w:hAnsi="IRNazanin" w:eastAsia="IRNazanin" w:cs="IRNazanin"/>
          <w:lang w:bidi="fa-IR"/>
          <w:color w:val="111111"/>
          <w:sz w:val="28"/>
          <w:szCs w:val="28"/>
          <w:rtl/>
        </w:rPr>
        <w:t xml:space="preserve">ج 16، ص 332.</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نهاية الاحكام في معرفة الاحكام</w:t>
      </w:r>
    </w:p>
    <w:p>
      <w:pPr>
        <w:pStyle w:val="BookText"/>
      </w:pPr>
      <w:r>
        <w:rPr>
          <w:rFonts w:ascii="IRNazanin" w:hAnsi="IRNazanin" w:eastAsia="IRNazanin" w:cs="IRNazanin"/>
          <w:lang w:bidi="fa-IR"/>
          <w:color w:val="111111"/>
          <w:sz w:val="28"/>
          <w:szCs w:val="28"/>
          <w:rtl/>
        </w:rPr>
        <w:t xml:space="preserve">ج 16، ص 480 .</w:t>
      </w:r>
    </w:p>
    <w:p>
      <w:pPr>
        <w:pStyle w:val="BookText"/>
      </w:pPr>
      <w:r>
        <w:rPr>
          <w:rFonts w:ascii="Amiri" w:hAnsi="Amiri" w:eastAsia="Amiri" w:cs="Amiri"/>
          <w:lang w:bidi="ar-SA"/>
          <w:color w:val="111111"/>
          <w:sz w:val="28"/>
          <w:szCs w:val="28"/>
          <w:rtl/>
        </w:rPr>
        <w:t xml:space="preserve">67 .نهاية المرام في علم الكلام، ج 16</w:t>
      </w:r>
    </w:p>
    <w:p>
      <w:pPr>
        <w:pStyle w:val="BookText"/>
      </w:pPr>
      <w:r>
        <w:rPr>
          <w:rFonts w:ascii="IRNazanin" w:hAnsi="IRNazanin" w:eastAsia="IRNazanin" w:cs="IRNazanin"/>
          <w:lang w:bidi="fa-IR"/>
          <w:color w:val="111111"/>
          <w:sz w:val="28"/>
          <w:szCs w:val="28"/>
          <w:rtl/>
        </w:rPr>
        <w:t xml:space="preserve">ص 509.</w:t>
      </w:r>
    </w:p>
    <w:p>
      <w:pPr>
        <w:pStyle w:val="BookText"/>
      </w:pPr>
      <w:r>
        <w:rPr>
          <w:rFonts w:ascii="Amiri" w:hAnsi="Amiri" w:eastAsia="Amiri" w:cs="Amiri"/>
          <w:lang w:bidi="ar-SA"/>
          <w:color w:val="111111"/>
          <w:sz w:val="28"/>
          <w:szCs w:val="28"/>
          <w:rtl/>
        </w:rPr>
        <w:t xml:space="preserve">68 .نهاية الوصول إلى علم الاصول</w:t>
      </w:r>
    </w:p>
    <w:p>
      <w:pPr>
        <w:pStyle w:val="BookText"/>
      </w:pPr>
      <w:r>
        <w:rPr>
          <w:rFonts w:ascii="IRNazanin" w:hAnsi="IRNazanin" w:eastAsia="IRNazanin" w:cs="IRNazanin"/>
          <w:lang w:bidi="fa-IR"/>
          <w:color w:val="111111"/>
          <w:sz w:val="28"/>
          <w:szCs w:val="28"/>
          <w:rtl/>
        </w:rPr>
        <w:t xml:space="preserve">ج 16، ص 512.</w:t>
      </w:r>
    </w:p>
    <w:p>
      <w:pPr>
        <w:pStyle w:val="BookText"/>
      </w:pPr>
      <w:r>
        <w:rPr>
          <w:rFonts w:ascii="Amiri" w:hAnsi="Amiri" w:eastAsia="Amiri" w:cs="Amiri"/>
          <w:lang w:bidi="ar-SA"/>
          <w:color w:val="111111"/>
          <w:sz w:val="28"/>
          <w:szCs w:val="28"/>
          <w:rtl/>
        </w:rPr>
        <w:t xml:space="preserve">69 .نهج الحق و كشف الصدق، ج 16،</w:t>
      </w:r>
    </w:p>
    <w:p>
      <w:pPr>
        <w:pStyle w:val="BookText"/>
      </w:pPr>
      <w:r>
        <w:rPr>
          <w:rFonts w:ascii="IRNazanin" w:hAnsi="IRNazanin" w:eastAsia="IRNazanin" w:cs="IRNazanin"/>
          <w:lang w:bidi="fa-IR"/>
          <w:color w:val="111111"/>
          <w:sz w:val="28"/>
          <w:szCs w:val="28"/>
          <w:rtl/>
        </w:rPr>
        <w:t xml:space="preserve">ص 524.</w:t>
      </w:r>
    </w:p>
    <w:p>
      <w:pPr>
        <w:pStyle w:val="BookText"/>
      </w:pPr>
      <w:r>
        <w:rPr>
          <w:rFonts w:ascii="Amiri" w:hAnsi="Amiri" w:eastAsia="Amiri" w:cs="Amiri"/>
          <w:lang w:bidi="ar-SA"/>
          <w:color w:val="111111"/>
          <w:sz w:val="28"/>
          <w:szCs w:val="28"/>
          <w:rtl/>
        </w:rPr>
        <w:t xml:space="preserve">70 .نهج المسترشدين في اصول الدين</w:t>
      </w:r>
    </w:p>
    <w:p>
      <w:pPr>
        <w:pStyle w:val="BookText"/>
      </w:pPr>
      <w:r>
        <w:rPr>
          <w:rFonts w:ascii="IRNazanin" w:hAnsi="IRNazanin" w:eastAsia="IRNazanin" w:cs="IRNazanin"/>
          <w:lang w:bidi="fa-IR"/>
          <w:color w:val="111111"/>
          <w:sz w:val="28"/>
          <w:szCs w:val="28"/>
          <w:rtl/>
        </w:rPr>
        <w:t xml:space="preserve">ج 16، ص 531.</w:t>
      </w:r>
    </w:p>
    <w:p>
      <w:pPr>
        <w:pStyle w:val="BookText"/>
      </w:pPr>
      <w:r>
        <w:rPr>
          <w:rFonts w:ascii="Amiri" w:hAnsi="Amiri" w:eastAsia="Amiri" w:cs="Amiri"/>
          <w:lang w:bidi="ar-SA"/>
          <w:color w:val="111111"/>
          <w:sz w:val="28"/>
          <w:szCs w:val="28"/>
          <w:rtl/>
        </w:rPr>
        <w:t xml:space="preserve">71 .واجب الاعتقاد على جميع العباد</w:t>
      </w:r>
    </w:p>
    <w:p>
      <w:pPr>
        <w:pStyle w:val="BookText"/>
      </w:pPr>
      <w:r>
        <w:rPr>
          <w:rFonts w:ascii="IRNazanin" w:hAnsi="IRNazanin" w:eastAsia="IRNazanin" w:cs="IRNazanin"/>
          <w:lang w:bidi="fa-IR"/>
          <w:color w:val="111111"/>
          <w:sz w:val="28"/>
          <w:szCs w:val="28"/>
          <w:rtl/>
        </w:rPr>
        <w:t xml:space="preserve">ج 16، ص 676.</w:t>
      </w:r>
    </w:p>
    <w:p>
      <w:pPr>
        <w:pStyle w:val="BookText"/>
      </w:pPr>
      <w:r>
        <w:rPr>
          <w:rFonts w:ascii="Amiri" w:hAnsi="Amiri" w:eastAsia="Amiri" w:cs="Amiri"/>
          <w:lang w:bidi="ar-SA"/>
          <w:color w:val="111111"/>
          <w:sz w:val="28"/>
          <w:szCs w:val="28"/>
          <w:rtl/>
        </w:rPr>
        <w:t xml:space="preserve">علفي، احمد بن محمّد- سري الدين طبيب ، احمد بن محمّد</w:t>
      </w:r>
    </w:p>
    <w:p>
      <w:pPr>
        <w:pStyle w:val="Heading2"/>
      </w:pPr>
      <w:bookmarkStart w:id="6025" w:name="_Toc5127"/>
      <w:r>
        <w:t>علقمة الفحل - 20 ؟ قبل الهجرة</w:t>
      </w:r>
      <w:bookmarkEnd w:id="6025"/>
    </w:p>
    <w:p>
      <w:pPr>
        <w:pStyle w:val="BookText"/>
      </w:pPr>
      <w:r>
        <w:rPr>
          <w:rFonts w:ascii="IRNazanin" w:hAnsi="IRNazanin" w:eastAsia="IRNazanin" w:cs="IRNazanin"/>
          <w:lang w:bidi="fa-IR"/>
          <w:color w:val="111111"/>
          <w:sz w:val="28"/>
          <w:szCs w:val="28"/>
          <w:rtl/>
        </w:rPr>
        <w:t xml:space="preserve">دیوان علقمة، ج 7، ص722.</w:t>
      </w:r>
    </w:p>
    <w:p>
      <w:pPr>
        <w:pStyle w:val="Heading2"/>
      </w:pPr>
      <w:bookmarkStart w:id="6026" w:name="_Toc5128"/>
      <w:r>
        <w:t>علقمي ، محمّد بن عبد الرحمن، 897 -</w:t>
      </w:r>
      <w:bookmarkEnd w:id="6026"/>
    </w:p>
    <w:p>
      <w:pPr>
        <w:pStyle w:val="BookText"/>
      </w:pPr>
      <w:r>
        <w:rPr>
          <w:rFonts w:ascii="IRNazanin" w:hAnsi="IRNazanin" w:eastAsia="IRNazanin" w:cs="IRNazanin"/>
          <w:lang w:bidi="fa-IR"/>
          <w:color w:val="111111"/>
          <w:sz w:val="28"/>
          <w:szCs w:val="28"/>
          <w:rtl/>
        </w:rPr>
        <w:t xml:space="preserve">963؟ ه-</w:t>
      </w:r>
    </w:p>
    <w:p>
      <w:pPr>
        <w:pStyle w:val="BookText"/>
      </w:pPr>
      <w:r>
        <w:rPr>
          <w:rFonts w:ascii="Amiri" w:hAnsi="Amiri" w:eastAsia="Amiri" w:cs="Amiri"/>
          <w:lang w:bidi="ar-SA"/>
          <w:color w:val="111111"/>
          <w:sz w:val="28"/>
          <w:szCs w:val="28"/>
          <w:rtl/>
        </w:rPr>
        <w:t xml:space="preserve">1 .كلمات الامام اميرالمؤمنين (ع)</w:t>
      </w:r>
    </w:p>
    <w:p>
      <w:pPr>
        <w:pStyle w:val="BookText"/>
      </w:pPr>
      <w:r>
        <w:rPr>
          <w:rFonts w:ascii="IRNazanin" w:hAnsi="IRNazanin" w:eastAsia="IRNazanin" w:cs="IRNazanin"/>
          <w:lang w:bidi="fa-IR"/>
          <w:color w:val="111111"/>
          <w:sz w:val="28"/>
          <w:szCs w:val="28"/>
          <w:rtl/>
        </w:rPr>
        <w:t xml:space="preserve">ج 13، ص 363.</w:t>
      </w:r>
    </w:p>
    <w:p>
      <w:pPr>
        <w:pStyle w:val="BookText"/>
      </w:pPr>
      <w:r>
        <w:rPr>
          <w:rFonts w:ascii="Amiri" w:hAnsi="Amiri" w:eastAsia="Amiri" w:cs="Amiri"/>
          <w:lang w:bidi="ar-SA"/>
          <w:color w:val="111111"/>
          <w:sz w:val="28"/>
          <w:szCs w:val="28"/>
          <w:rtl/>
        </w:rPr>
        <w:t xml:space="preserve">2 .الكوكب المنير بشرح الجامع الصغير</w:t>
      </w:r>
    </w:p>
    <w:p>
      <w:pPr>
        <w:pStyle w:val="BookText"/>
      </w:pPr>
      <w:r>
        <w:rPr>
          <w:rFonts w:ascii="IRNazanin" w:hAnsi="IRNazanin" w:eastAsia="IRNazanin" w:cs="IRNazanin"/>
          <w:lang w:bidi="fa-IR"/>
          <w:color w:val="111111"/>
          <w:sz w:val="28"/>
          <w:szCs w:val="28"/>
          <w:rtl/>
        </w:rPr>
        <w:t xml:space="preserve">ج 13، ص 475.</w:t>
      </w:r>
    </w:p>
    <w:p>
      <w:pPr>
        <w:pStyle w:val="Heading2"/>
      </w:pPr>
      <w:bookmarkStart w:id="6027" w:name="_Toc5129"/>
      <w:r>
        <w:t>علم الهدى علي بن حسين 355-436 ه-</w:t>
      </w:r>
      <w:bookmarkEnd w:id="6027"/>
    </w:p>
    <w:p>
      <w:pPr>
        <w:pStyle w:val="BookText"/>
      </w:pPr>
      <w:r>
        <w:rPr>
          <w:rFonts w:ascii="Amiri" w:hAnsi="Amiri" w:eastAsia="Amiri" w:cs="Amiri"/>
          <w:lang w:bidi="ar-SA"/>
          <w:color w:val="111111"/>
          <w:sz w:val="28"/>
          <w:szCs w:val="28"/>
          <w:rtl/>
        </w:rPr>
        <w:t xml:space="preserve">1 .آيات الناسخة و المنسوخة، ج1،</w:t>
      </w:r>
    </w:p>
    <w:p>
      <w:pPr>
        <w:pStyle w:val="BookText"/>
      </w:pPr>
      <w:r>
        <w:rPr>
          <w:rFonts w:ascii="IRNazanin" w:hAnsi="IRNazanin" w:eastAsia="IRNazanin" w:cs="IRNazanin"/>
          <w:lang w:bidi="fa-IR"/>
          <w:color w:val="111111"/>
          <w:sz w:val="28"/>
          <w:szCs w:val="28"/>
          <w:rtl/>
        </w:rPr>
        <w:t xml:space="preserve">ص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ابطال العمل باخبار الآحاد، ج 1،</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اجوبة المسائل، ج 1، ص 331</w:t>
      </w:r>
    </w:p>
    <w:p>
      <w:pPr>
        <w:pStyle w:val="BookText"/>
      </w:pPr>
      <w:r>
        <w:rPr>
          <w:rFonts w:ascii="Amiri" w:hAnsi="Amiri" w:eastAsia="Amiri" w:cs="Amiri"/>
          <w:lang w:bidi="ar-SA"/>
          <w:color w:val="111111"/>
          <w:sz w:val="28"/>
          <w:szCs w:val="28"/>
          <w:rtl/>
        </w:rPr>
        <w:t xml:space="preserve">4 .اجوبة المسائل التبانيات في حرمة العمل بأخبار الآحاد، ج 1، ص 343.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اجوبة المسائل الرازية، ج 1، ص 347.</w:t>
      </w:r>
    </w:p>
    <w:p>
      <w:pPr>
        <w:pStyle w:val="BookText"/>
      </w:pPr>
      <w:r>
        <w:rPr>
          <w:rFonts w:ascii="Amiri" w:hAnsi="Amiri" w:eastAsia="Amiri" w:cs="Amiri"/>
          <w:lang w:bidi="ar-SA"/>
          <w:color w:val="111111"/>
          <w:sz w:val="28"/>
          <w:szCs w:val="28"/>
          <w:rtl/>
        </w:rPr>
        <w:t xml:space="preserve">6 .اجوبة المسائل الرسية الأولى و</w:t>
      </w:r>
    </w:p>
    <w:p>
      <w:pPr>
        <w:pStyle w:val="BookText"/>
      </w:pPr>
      <w:r>
        <w:rPr>
          <w:rFonts w:ascii="Amiri" w:hAnsi="Amiri" w:eastAsia="Amiri" w:cs="Amiri"/>
          <w:lang w:bidi="ar-SA"/>
          <w:color w:val="111111"/>
          <w:sz w:val="28"/>
          <w:szCs w:val="28"/>
          <w:rtl/>
        </w:rPr>
        <w:t xml:space="preserve">الثانية، ج 1، ص 348.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اجوبة المسائل السلارية، ج1،</w:t>
      </w:r>
    </w:p>
    <w:p>
      <w:pPr>
        <w:pStyle w:val="BookText"/>
      </w:pPr>
      <w:r>
        <w:rPr>
          <w:rFonts w:ascii="IRNazanin" w:hAnsi="IRNazanin" w:eastAsia="IRNazanin" w:cs="IRNazanin"/>
          <w:lang w:bidi="fa-IR"/>
          <w:color w:val="111111"/>
          <w:sz w:val="28"/>
          <w:szCs w:val="28"/>
          <w:rtl/>
        </w:rPr>
        <w:t xml:space="preserve">ص 350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اجوبة المسائل الطبرية، ج1،</w:t>
      </w:r>
    </w:p>
    <w:p>
      <w:pPr>
        <w:pStyle w:val="BookText"/>
      </w:pPr>
      <w:r>
        <w:rPr>
          <w:rFonts w:ascii="IRNazanin" w:hAnsi="IRNazanin" w:eastAsia="IRNazanin" w:cs="IRNazanin"/>
          <w:lang w:bidi="fa-IR"/>
          <w:color w:val="111111"/>
          <w:sz w:val="28"/>
          <w:szCs w:val="28"/>
          <w:rtl/>
        </w:rPr>
        <w:t xml:space="preserve">ص 359.</w:t>
      </w:r>
    </w:p>
    <w:p>
      <w:pPr>
        <w:pStyle w:val="BookText"/>
      </w:pPr>
      <w:r>
        <w:rPr>
          <w:rFonts w:ascii="Amiri" w:hAnsi="Amiri" w:eastAsia="Amiri" w:cs="Amiri"/>
          <w:lang w:bidi="ar-SA"/>
          <w:color w:val="111111"/>
          <w:sz w:val="28"/>
          <w:szCs w:val="28"/>
          <w:rtl/>
        </w:rPr>
        <w:t xml:space="preserve">9 .أجوبة المسائل الطرابلسيات الأولى</w:t>
      </w:r>
    </w:p>
    <w:p>
      <w:pPr>
        <w:pStyle w:val="BookText"/>
      </w:pPr>
      <w:r>
        <w:rPr>
          <w:rFonts w:ascii="IRNazanin" w:hAnsi="IRNazanin" w:eastAsia="IRNazanin" w:cs="IRNazanin"/>
          <w:lang w:bidi="fa-IR"/>
          <w:color w:val="111111"/>
          <w:sz w:val="28"/>
          <w:szCs w:val="28"/>
          <w:rtl/>
        </w:rPr>
        <w:t xml:space="preserve">ج 1 ، ص 359.</w:t>
      </w:r>
    </w:p>
    <w:p>
      <w:pPr>
        <w:pStyle w:val="BookText"/>
      </w:pPr>
      <w:r>
        <w:rPr>
          <w:rFonts w:ascii="Amiri" w:hAnsi="Amiri" w:eastAsia="Amiri" w:cs="Amiri"/>
          <w:lang w:bidi="ar-SA"/>
          <w:color w:val="111111"/>
          <w:sz w:val="28"/>
          <w:szCs w:val="28"/>
          <w:rtl/>
        </w:rPr>
        <w:t xml:space="preserve">10.أجوبة المسائل الطرابلسيات</w:t>
      </w:r>
    </w:p>
    <w:p>
      <w:pPr>
        <w:pStyle w:val="BookText"/>
      </w:pPr>
      <w:r>
        <w:rPr>
          <w:rFonts w:ascii="Amiri" w:hAnsi="Amiri" w:eastAsia="Amiri" w:cs="Amiri"/>
          <w:lang w:bidi="ar-SA"/>
          <w:color w:val="111111"/>
          <w:sz w:val="28"/>
          <w:szCs w:val="28"/>
          <w:rtl/>
        </w:rPr>
        <w:t xml:space="preserve">الثالثة، ج 1، ص 360.</w:t>
      </w:r>
    </w:p>
    <w:p>
      <w:pPr>
        <w:pStyle w:val="BookText"/>
      </w:pPr>
      <w:r>
        <w:rPr>
          <w:rFonts w:ascii="Amiri" w:hAnsi="Amiri" w:eastAsia="Amiri" w:cs="Amiri"/>
          <w:lang w:bidi="ar-SA"/>
          <w:color w:val="111111"/>
          <w:sz w:val="28"/>
          <w:szCs w:val="28"/>
          <w:rtl/>
        </w:rPr>
        <w:t xml:space="preserve">11 .أجوبة المسائل الطرابلسيات</w:t>
      </w:r>
    </w:p>
    <w:p>
      <w:pPr>
        <w:pStyle w:val="BookText"/>
      </w:pPr>
      <w:r>
        <w:rPr>
          <w:rFonts w:ascii="Amiri" w:hAnsi="Amiri" w:eastAsia="Amiri" w:cs="Amiri"/>
          <w:lang w:bidi="ar-SA"/>
          <w:color w:val="111111"/>
          <w:sz w:val="28"/>
          <w:szCs w:val="28"/>
          <w:rtl/>
        </w:rPr>
        <w:t xml:space="preserve">الثانية، ج 1، ص 360 .</w:t>
      </w:r>
    </w:p>
    <w:p>
      <w:pPr>
        <w:pStyle w:val="BookText"/>
      </w:pPr>
      <w:r>
        <w:rPr>
          <w:rFonts w:ascii="Amiri" w:hAnsi="Amiri" w:eastAsia="Amiri" w:cs="Amiri"/>
          <w:lang w:bidi="ar-SA"/>
          <w:color w:val="111111"/>
          <w:sz w:val="28"/>
          <w:szCs w:val="28"/>
          <w:rtl/>
        </w:rPr>
        <w:t xml:space="preserve">12 .اجوبة المسائل الموصليات</w:t>
      </w:r>
    </w:p>
    <w:p>
      <w:pPr>
        <w:pStyle w:val="BookText"/>
      </w:pPr>
      <w:r>
        <w:rPr>
          <w:rFonts w:ascii="Amiri" w:hAnsi="Amiri" w:eastAsia="Amiri" w:cs="Amiri"/>
          <w:lang w:bidi="ar-SA"/>
          <w:color w:val="111111"/>
          <w:sz w:val="28"/>
          <w:szCs w:val="28"/>
          <w:rtl/>
        </w:rPr>
        <w:t xml:space="preserve">الثالثة)، ج 1، ص 374.</w:t>
      </w:r>
    </w:p>
    <w:p>
      <w:pPr>
        <w:pStyle w:val="BookText"/>
      </w:pPr>
      <w:r>
        <w:rPr>
          <w:rFonts w:ascii="Amiri" w:hAnsi="Amiri" w:eastAsia="Amiri" w:cs="Amiri"/>
          <w:lang w:bidi="ar-SA"/>
          <w:color w:val="111111"/>
          <w:sz w:val="28"/>
          <w:szCs w:val="28"/>
          <w:rtl/>
        </w:rPr>
        <w:t xml:space="preserve">13 .اجوبة المسائل الموصليات (الثانية)، ج1، ص 374.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اجوبة المسائل الميافارقيات، ج1،</w:t>
      </w:r>
    </w:p>
    <w:p>
      <w:pPr>
        <w:pStyle w:val="BookText"/>
      </w:pPr>
      <w:r>
        <w:rPr>
          <w:rFonts w:ascii="IRNazanin" w:hAnsi="IRNazanin" w:eastAsia="IRNazanin" w:cs="IRNazanin"/>
          <w:lang w:bidi="fa-IR"/>
          <w:color w:val="111111"/>
          <w:sz w:val="28"/>
          <w:szCs w:val="28"/>
          <w:rtl/>
        </w:rPr>
        <w:t xml:space="preserve">ص 376.</w:t>
      </w:r>
    </w:p>
    <w:p>
      <w:pPr>
        <w:pStyle w:val="BookText"/>
      </w:pPr>
      <w:r>
        <w:rPr>
          <w:rFonts w:ascii="Amiri" w:hAnsi="Amiri" w:eastAsia="Amiri" w:cs="Amiri"/>
          <w:lang w:bidi="ar-SA"/>
          <w:color w:val="111111"/>
          <w:sz w:val="28"/>
          <w:szCs w:val="28"/>
          <w:rtl/>
        </w:rPr>
        <w:t xml:space="preserve">15 .اجوبة المسائل النيليات، ج1،</w:t>
      </w:r>
    </w:p>
    <w:p>
      <w:pPr>
        <w:pStyle w:val="BookText"/>
      </w:pPr>
      <w:r>
        <w:rPr>
          <w:rFonts w:ascii="IRNazanin" w:hAnsi="IRNazanin" w:eastAsia="IRNazanin" w:cs="IRNazanin"/>
          <w:lang w:bidi="fa-IR"/>
          <w:color w:val="111111"/>
          <w:sz w:val="28"/>
          <w:szCs w:val="28"/>
          <w:rtl/>
        </w:rPr>
        <w:t xml:space="preserve">ص 381.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اجوبة المسائل الواسطيات، ج1،</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Amiri" w:hAnsi="Amiri" w:eastAsia="Amiri" w:cs="Amiri"/>
          <w:lang w:bidi="ar-SA"/>
          <w:color w:val="111111"/>
          <w:sz w:val="28"/>
          <w:szCs w:val="28"/>
          <w:rtl/>
        </w:rPr>
        <w:t xml:space="preserve">17 .احكام اهل الآخرة، ج 1، ص 458.</w:t>
      </w:r>
    </w:p>
    <w:p>
      <w:pPr>
        <w:pStyle w:val="BookText"/>
      </w:pPr>
      <w:r>
        <w:rPr>
          <w:rFonts w:ascii="IRNazanin" w:hAnsi="IRNazanin" w:eastAsia="IRNazanin" w:cs="IRNazanin"/>
          <w:lang w:bidi="fa-IR"/>
          <w:color w:val="111111"/>
          <w:sz w:val="28"/>
          <w:szCs w:val="28"/>
          <w:rtl/>
        </w:rPr>
        <w:t xml:space="preserve">18 .الاستثناء المعقب للجمل، ج 2،</w:t>
      </w:r>
    </w:p>
    <w:p>
      <w:pPr>
        <w:pStyle w:val="BookText"/>
      </w:pPr>
      <w:r>
        <w:rPr>
          <w:rFonts w:ascii="IRNazanin" w:hAnsi="IRNazanin" w:eastAsia="IRNazanin" w:cs="IRNazanin"/>
          <w:lang w:bidi="fa-IR"/>
          <w:color w:val="111111"/>
          <w:sz w:val="28"/>
          <w:szCs w:val="28"/>
          <w:rtl/>
        </w:rPr>
        <w:t xml:space="preserve">ص 117.</w:t>
      </w:r>
    </w:p>
    <w:p>
      <w:pPr>
        <w:pStyle w:val="BookText"/>
      </w:pPr>
      <w:r>
        <w:rPr>
          <w:rFonts w:ascii="Amiri" w:hAnsi="Amiri" w:eastAsia="Amiri" w:cs="Amiri"/>
          <w:lang w:bidi="ar-SA"/>
          <w:color w:val="111111"/>
          <w:sz w:val="28"/>
          <w:szCs w:val="28"/>
          <w:rtl/>
        </w:rPr>
        <w:t xml:space="preserve">19 .أصل البرائة فيما لم يقيم علية دليل من الشروع، ج 2، ص 379.</w:t>
      </w:r>
    </w:p>
    <w:p>
      <w:pPr>
        <w:pStyle w:val="BookText"/>
      </w:pPr>
      <w:r>
        <w:rPr>
          <w:rFonts w:ascii="Amiri" w:hAnsi="Amiri" w:eastAsia="Amiri" w:cs="Amiri"/>
          <w:lang w:bidi="ar-SA"/>
          <w:color w:val="111111"/>
          <w:sz w:val="28"/>
          <w:szCs w:val="28"/>
          <w:rtl/>
        </w:rPr>
        <w:t xml:space="preserve">20 .اصول الفقه (كتاب في)، ج2،</w:t>
      </w:r>
    </w:p>
    <w:p>
      <w:pPr>
        <w:pStyle w:val="BookText"/>
      </w:pPr>
      <w:r>
        <w:rPr>
          <w:rFonts w:ascii="IRNazanin" w:hAnsi="IRNazanin" w:eastAsia="IRNazanin" w:cs="IRNazanin"/>
          <w:lang w:bidi="fa-IR"/>
          <w:color w:val="111111"/>
          <w:sz w:val="28"/>
          <w:szCs w:val="28"/>
          <w:rtl/>
        </w:rPr>
        <w:t xml:space="preserve">ص 430 .</w:t>
      </w:r>
    </w:p>
    <w:p>
      <w:pPr>
        <w:pStyle w:val="BookText"/>
      </w:pPr>
      <w:r>
        <w:rPr>
          <w:rFonts w:ascii="IRNazanin" w:hAnsi="IRNazanin" w:eastAsia="IRNazanin" w:cs="IRNazanin"/>
          <w:lang w:bidi="fa-IR"/>
          <w:color w:val="111111"/>
          <w:sz w:val="28"/>
          <w:szCs w:val="28"/>
          <w:rtl/>
        </w:rPr>
        <w:t xml:space="preserve">21.الافعال</w:t>
      </w:r>
    </w:p>
    <w:p>
      <w:pPr>
        <w:pStyle w:val="BookText"/>
      </w:pPr>
      <w:r>
        <w:rPr>
          <w:rFonts w:ascii="IRNazanin" w:hAnsi="IRNazanin" w:eastAsia="IRNazanin" w:cs="IRNazanin"/>
          <w:lang w:bidi="fa-IR"/>
          <w:color w:val="111111"/>
          <w:sz w:val="28"/>
          <w:szCs w:val="28"/>
          <w:rtl/>
        </w:rPr>
        <w:t xml:space="preserve">مع اللطف، ج 2، ص 602 .</w:t>
      </w:r>
    </w:p>
    <w:p>
      <w:pPr>
        <w:pStyle w:val="BookText"/>
      </w:pPr>
      <w:r>
        <w:rPr>
          <w:rFonts w:ascii="Amiri" w:hAnsi="Amiri" w:eastAsia="Amiri" w:cs="Amiri"/>
          <w:lang w:bidi="ar-SA"/>
          <w:color w:val="111111"/>
          <w:sz w:val="28"/>
          <w:szCs w:val="28"/>
          <w:rtl/>
        </w:rPr>
        <w:t xml:space="preserve">22 .الألم و وجه الحسن فيه، ج2،</w:t>
      </w:r>
    </w:p>
    <w:p>
      <w:pPr>
        <w:pStyle w:val="BookText"/>
      </w:pPr>
      <w:r>
        <w:rPr>
          <w:rFonts w:ascii="IRNazanin" w:hAnsi="IRNazanin" w:eastAsia="IRNazanin" w:cs="IRNazanin"/>
          <w:lang w:bidi="fa-IR"/>
          <w:color w:val="111111"/>
          <w:sz w:val="28"/>
          <w:szCs w:val="28"/>
          <w:rtl/>
        </w:rPr>
        <w:t xml:space="preserve">ص 696 .</w:t>
      </w:r>
    </w:p>
    <w:p>
      <w:pPr>
        <w:pStyle w:val="BookText"/>
      </w:pPr>
      <w:r>
        <w:rPr>
          <w:rFonts w:ascii="Amiri" w:hAnsi="Amiri" w:eastAsia="Amiri" w:cs="Amiri"/>
          <w:lang w:bidi="ar-SA"/>
          <w:color w:val="111111"/>
          <w:sz w:val="28"/>
          <w:szCs w:val="28"/>
          <w:rtl/>
        </w:rPr>
        <w:t xml:space="preserve">23 .الانتصار في مفردات الامامية، ج 2،</w:t>
      </w:r>
    </w:p>
    <w:p>
      <w:pPr>
        <w:pStyle w:val="BookText"/>
      </w:pPr>
      <w:r>
        <w:rPr>
          <w:rFonts w:ascii="IRNazanin" w:hAnsi="IRNazanin" w:eastAsia="IRNazanin" w:cs="IRNazanin"/>
          <w:lang w:bidi="fa-IR"/>
          <w:color w:val="111111"/>
          <w:sz w:val="28"/>
          <w:szCs w:val="28"/>
          <w:rtl/>
        </w:rPr>
        <w:t xml:space="preserve">ص 786 .</w:t>
      </w:r>
    </w:p>
    <w:p>
      <w:pPr>
        <w:pStyle w:val="BookText"/>
      </w:pPr>
      <w:r>
        <w:rPr>
          <w:rFonts w:ascii="IRNazanin" w:hAnsi="IRNazanin" w:eastAsia="IRNazanin" w:cs="IRNazanin"/>
          <w:lang w:bidi="fa-IR"/>
          <w:color w:val="111111"/>
          <w:sz w:val="28"/>
          <w:szCs w:val="28"/>
          <w:rtl/>
        </w:rPr>
        <w:t xml:space="preserve">24 .انقاذ البشر من الجبر والقدر</w:t>
      </w:r>
    </w:p>
    <w:p>
      <w:pPr>
        <w:pStyle w:val="BookText"/>
      </w:pPr>
      <w:r>
        <w:rPr>
          <w:rFonts w:ascii="IRNazanin" w:hAnsi="IRNazanin" w:eastAsia="IRNazanin" w:cs="IRNazanin"/>
          <w:lang w:bidi="fa-IR"/>
          <w:color w:val="111111"/>
          <w:sz w:val="28"/>
          <w:szCs w:val="28"/>
          <w:rtl/>
        </w:rPr>
        <w:t xml:space="preserve">ج 2، ص 824.</w:t>
      </w:r>
    </w:p>
    <w:p>
      <w:pPr>
        <w:pStyle w:val="BookText"/>
      </w:pPr>
      <w:r>
        <w:rPr>
          <w:rFonts w:ascii="IRNazanin" w:hAnsi="IRNazanin" w:eastAsia="IRNazanin" w:cs="IRNazanin"/>
          <w:lang w:bidi="fa-IR"/>
          <w:color w:val="111111"/>
          <w:sz w:val="28"/>
          <w:szCs w:val="28"/>
          <w:rtl/>
        </w:rPr>
        <w:t xml:space="preserve">25 .اول الواجبات النظر، ج 3، ص89.</w:t>
      </w:r>
    </w:p>
    <w:p>
      <w:pPr>
        <w:pStyle w:val="BookText"/>
      </w:pPr>
      <w:r>
        <w:rPr>
          <w:rFonts w:ascii="Amiri" w:hAnsi="Amiri" w:eastAsia="Amiri" w:cs="Amiri"/>
          <w:lang w:bidi="ar-SA"/>
          <w:color w:val="111111"/>
          <w:sz w:val="28"/>
          <w:szCs w:val="28"/>
          <w:rtl/>
        </w:rPr>
        <w:t xml:space="preserve">26 .ايمان ابي طالب عم النبي «ص»</w:t>
      </w:r>
    </w:p>
    <w:p>
      <w:pPr>
        <w:pStyle w:val="BookText"/>
      </w:pPr>
      <w:r>
        <w:rPr>
          <w:rFonts w:ascii="Amiri" w:hAnsi="Amiri" w:eastAsia="Amiri" w:cs="Amiri"/>
          <w:lang w:bidi="ar-SA"/>
          <w:color w:val="111111"/>
          <w:sz w:val="28"/>
          <w:szCs w:val="28"/>
          <w:rtl/>
        </w:rPr>
        <w:t xml:space="preserve">(رسالة في)، ج 3، ص 158.</w:t>
      </w:r>
    </w:p>
    <w:p>
      <w:pPr>
        <w:pStyle w:val="BookText"/>
      </w:pPr>
      <w:r>
        <w:rPr>
          <w:rFonts w:ascii="Amiri" w:hAnsi="Amiri" w:eastAsia="Amiri" w:cs="Amiri"/>
          <w:lang w:bidi="ar-SA"/>
          <w:color w:val="111111"/>
          <w:sz w:val="28"/>
          <w:szCs w:val="28"/>
          <w:rtl/>
        </w:rPr>
        <w:t xml:space="preserve">27 .تأويل آية شهر رمضان الذي انزل فيه القرآن»، ج 3، ص 624.</w:t>
      </w:r>
    </w:p>
    <w:p>
      <w:pPr>
        <w:pStyle w:val="BookText"/>
      </w:pPr>
      <w:r>
        <w:rPr>
          <w:rFonts w:ascii="Amiri" w:hAnsi="Amiri" w:eastAsia="Amiri" w:cs="Amiri"/>
          <w:lang w:bidi="ar-SA"/>
          <w:color w:val="111111"/>
          <w:sz w:val="28"/>
          <w:szCs w:val="28"/>
          <w:rtl/>
        </w:rPr>
        <w:t xml:space="preserve">28 .تأويل آية و اذ اخذ ربك من بني آدم من ظهورهم ذريتهم»</w:t>
      </w:r>
    </w:p>
    <w:p>
      <w:pPr>
        <w:pStyle w:val="BookText"/>
      </w:pPr>
      <w:r>
        <w:rPr>
          <w:rFonts w:ascii="IRNazanin" w:hAnsi="IRNazanin" w:eastAsia="IRNazanin" w:cs="IRNazanin"/>
          <w:lang w:bidi="fa-IR"/>
          <w:color w:val="111111"/>
          <w:sz w:val="28"/>
          <w:szCs w:val="28"/>
          <w:rtl/>
        </w:rPr>
        <w:t xml:space="preserve">ج 3، ص 625.</w:t>
      </w:r>
    </w:p>
    <w:p>
      <w:pPr>
        <w:pStyle w:val="BookText"/>
      </w:pPr>
      <w:r>
        <w:rPr>
          <w:rFonts w:ascii="Amiri" w:hAnsi="Amiri" w:eastAsia="Amiri" w:cs="Amiri"/>
          <w:lang w:bidi="ar-SA"/>
          <w:color w:val="111111"/>
          <w:sz w:val="28"/>
          <w:szCs w:val="28"/>
          <w:rtl/>
        </w:rPr>
        <w:t xml:space="preserve">29 .تأويل آية «و لقد همّت به و هم</w:t>
      </w:r>
    </w:p>
    <w:p>
      <w:pPr>
        <w:pStyle w:val="BookText"/>
      </w:pPr>
      <w:r>
        <w:rPr>
          <w:rFonts w:ascii="IRNazanin" w:hAnsi="IRNazanin" w:eastAsia="IRNazanin" w:cs="IRNazanin"/>
          <w:lang w:bidi="fa-IR"/>
          <w:color w:val="111111"/>
          <w:sz w:val="28"/>
          <w:szCs w:val="28"/>
          <w:rtl/>
        </w:rPr>
        <w:t xml:space="preserve">بها»، ج 3، ص 625.</w:t>
      </w:r>
    </w:p>
    <w:p>
      <w:pPr>
        <w:pStyle w:val="BookText"/>
      </w:pPr>
      <w:r>
        <w:rPr>
          <w:rFonts w:ascii="Amiri" w:hAnsi="Amiri" w:eastAsia="Amiri" w:cs="Amiri"/>
          <w:lang w:bidi="ar-SA"/>
          <w:color w:val="111111"/>
          <w:sz w:val="28"/>
          <w:szCs w:val="28"/>
          <w:rtl/>
        </w:rPr>
        <w:t xml:space="preserve">30 .تأويل آية: «و ما كان لبشر أن يكلمه الله الا وحيا»، ج 3، ص 625.</w:t>
      </w:r>
    </w:p>
    <w:p>
      <w:pPr>
        <w:pStyle w:val="BookText"/>
      </w:pPr>
      <w:r>
        <w:rPr>
          <w:rFonts w:ascii="Amiri" w:hAnsi="Amiri" w:eastAsia="Amiri" w:cs="Amiri"/>
          <w:lang w:bidi="ar-SA"/>
          <w:color w:val="111111"/>
          <w:sz w:val="28"/>
          <w:szCs w:val="28"/>
          <w:rtl/>
        </w:rPr>
        <w:t xml:space="preserve">31 .تأويل قول النبي (ص): «كل مولود يولد على الفطرة»، ج 3،</w:t>
      </w:r>
    </w:p>
    <w:p>
      <w:pPr>
        <w:pStyle w:val="BookText"/>
      </w:pPr>
      <w:r>
        <w:rPr>
          <w:rFonts w:ascii="IRNazanin" w:hAnsi="IRNazanin" w:eastAsia="IRNazanin" w:cs="IRNazanin"/>
          <w:lang w:bidi="fa-IR"/>
          <w:color w:val="111111"/>
          <w:sz w:val="28"/>
          <w:szCs w:val="28"/>
          <w:rtl/>
        </w:rPr>
        <w:t xml:space="preserve">ص 628 .</w:t>
      </w:r>
    </w:p>
    <w:p>
      <w:pPr>
        <w:pStyle w:val="BookText"/>
      </w:pPr>
      <w:r>
        <w:rPr>
          <w:rFonts w:ascii="Amiri" w:hAnsi="Amiri" w:eastAsia="Amiri" w:cs="Amiri"/>
          <w:lang w:bidi="ar-SA"/>
          <w:color w:val="111111"/>
          <w:sz w:val="28"/>
          <w:szCs w:val="28"/>
          <w:rtl/>
        </w:rPr>
        <w:t xml:space="preserve">32 .تتمة الدرر و الغرر، ج 3، ص 673 .</w:t>
      </w:r>
    </w:p>
    <w:p>
      <w:pPr>
        <w:pStyle w:val="BookText"/>
      </w:pPr>
      <w:r>
        <w:rPr>
          <w:rFonts w:ascii="Amiri" w:hAnsi="Amiri" w:eastAsia="Amiri" w:cs="Amiri"/>
          <w:lang w:bidi="ar-SA"/>
          <w:color w:val="111111"/>
          <w:sz w:val="28"/>
          <w:szCs w:val="28"/>
          <w:rtl/>
        </w:rPr>
        <w:t xml:space="preserve">33 .ترجمة السيد الحميري، جع،</w:t>
      </w:r>
    </w:p>
    <w:p>
      <w:pPr>
        <w:pStyle w:val="BookText"/>
      </w:pPr>
      <w:r>
        <w:rPr>
          <w:rFonts w:ascii="IRNazanin" w:hAnsi="IRNazanin" w:eastAsia="IRNazanin" w:cs="IRNazanin"/>
          <w:lang w:bidi="fa-IR"/>
          <w:color w:val="111111"/>
          <w:sz w:val="28"/>
          <w:szCs w:val="28"/>
          <w:rtl/>
        </w:rPr>
        <w:t xml:space="preserve">ص 274.</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تزويج علي (ع) بنته من عمر</w:t>
      </w:r>
    </w:p>
    <w:p>
      <w:pPr>
        <w:pStyle w:val="BookText"/>
      </w:pPr>
      <w:r>
        <w:rPr>
          <w:rFonts w:ascii="IRNazanin" w:hAnsi="IRNazanin" w:eastAsia="IRNazanin" w:cs="IRNazanin"/>
          <w:lang w:bidi="fa-IR"/>
          <w:color w:val="111111"/>
          <w:sz w:val="28"/>
          <w:szCs w:val="28"/>
          <w:rtl/>
        </w:rPr>
        <w:t xml:space="preserve">ج 4، ص 323.</w:t>
      </w:r>
    </w:p>
    <w:p>
      <w:pPr>
        <w:pStyle w:val="BookText"/>
      </w:pPr>
      <w:r>
        <w:rPr>
          <w:rFonts w:ascii="Amiri" w:hAnsi="Amiri" w:eastAsia="Amiri" w:cs="Amiri"/>
          <w:lang w:bidi="ar-SA"/>
          <w:color w:val="111111"/>
          <w:sz w:val="28"/>
          <w:szCs w:val="28"/>
          <w:rtl/>
        </w:rPr>
        <w:t xml:space="preserve">35 .تفضيل الانبياء على الملائكة، جع،</w:t>
      </w:r>
    </w:p>
    <w:p>
      <w:pPr>
        <w:pStyle w:val="BookText"/>
      </w:pPr>
      <w:r>
        <w:rPr>
          <w:rFonts w:ascii="IRNazanin" w:hAnsi="IRNazanin" w:eastAsia="IRNazanin" w:cs="IRNazanin"/>
          <w:lang w:bidi="fa-IR"/>
          <w:color w:val="111111"/>
          <w:sz w:val="28"/>
          <w:szCs w:val="28"/>
          <w:rtl/>
        </w:rPr>
        <w:t xml:space="preserve">ص 708.</w:t>
      </w:r>
    </w:p>
    <w:p>
      <w:pPr>
        <w:pStyle w:val="BookText"/>
      </w:pPr>
      <w:r>
        <w:rPr>
          <w:rFonts w:ascii="Amiri" w:hAnsi="Amiri" w:eastAsia="Amiri" w:cs="Amiri"/>
          <w:lang w:bidi="ar-SA"/>
          <w:color w:val="111111"/>
          <w:sz w:val="28"/>
          <w:szCs w:val="28"/>
          <w:rtl/>
        </w:rPr>
        <w:t xml:space="preserve">36 .تقدم الايجاب على القبول في</w:t>
      </w:r>
    </w:p>
    <w:p>
      <w:pPr>
        <w:pStyle w:val="BookText"/>
      </w:pPr>
      <w:r>
        <w:rPr>
          <w:rFonts w:ascii="IRNazanin" w:hAnsi="IRNazanin" w:eastAsia="IRNazanin" w:cs="IRNazanin"/>
          <w:lang w:bidi="fa-IR"/>
          <w:color w:val="111111"/>
          <w:sz w:val="28"/>
          <w:szCs w:val="28"/>
          <w:rtl/>
        </w:rPr>
        <w:t xml:space="preserve">العقود، ج4، ص717.</w:t>
      </w:r>
    </w:p>
    <w:p>
      <w:pPr>
        <w:pStyle w:val="BookText"/>
      </w:pPr>
      <w:r>
        <w:rPr>
          <w:rFonts w:ascii="Amiri" w:hAnsi="Amiri" w:eastAsia="Amiri" w:cs="Amiri"/>
          <w:lang w:bidi="ar-SA"/>
          <w:color w:val="111111"/>
          <w:sz w:val="28"/>
          <w:szCs w:val="28"/>
          <w:rtl/>
        </w:rPr>
        <w:t xml:space="preserve">37 .تكملة امالي المرتضى = تكملة</w:t>
      </w:r>
    </w:p>
    <w:p>
      <w:pPr>
        <w:pStyle w:val="BookText"/>
      </w:pPr>
      <w:r>
        <w:rPr>
          <w:rFonts w:ascii="IRNazanin" w:hAnsi="IRNazanin" w:eastAsia="IRNazanin" w:cs="IRNazanin"/>
          <w:lang w:bidi="fa-IR"/>
          <w:color w:val="111111"/>
          <w:sz w:val="28"/>
          <w:szCs w:val="28"/>
          <w:rtl/>
        </w:rPr>
        <w:t xml:space="preserve">الدرر و الغرر، ج4، ص813.</w:t>
      </w:r>
    </w:p>
    <w:p>
      <w:pPr>
        <w:pStyle w:val="BookText"/>
      </w:pPr>
      <w:r>
        <w:rPr>
          <w:rFonts w:ascii="Amiri" w:hAnsi="Amiri" w:eastAsia="Amiri" w:cs="Amiri"/>
          <w:lang w:bidi="ar-SA"/>
          <w:color w:val="111111"/>
          <w:sz w:val="28"/>
          <w:szCs w:val="28"/>
          <w:rtl/>
        </w:rPr>
        <w:t xml:space="preserve">38 .تنبيه الغافلين في فضائل الطالبين</w:t>
      </w:r>
    </w:p>
    <w:p>
      <w:pPr>
        <w:pStyle w:val="BookText"/>
      </w:pPr>
      <w:r>
        <w:rPr>
          <w:rFonts w:ascii="IRNazanin" w:hAnsi="IRNazanin" w:eastAsia="IRNazanin" w:cs="IRNazanin"/>
          <w:lang w:bidi="fa-IR"/>
          <w:color w:val="111111"/>
          <w:sz w:val="28"/>
          <w:szCs w:val="28"/>
          <w:rtl/>
        </w:rPr>
        <w:t xml:space="preserve">ج 5، ص 39.</w:t>
      </w:r>
    </w:p>
    <w:p>
      <w:pPr>
        <w:pStyle w:val="BookText"/>
      </w:pPr>
      <w:r>
        <w:rPr>
          <w:rFonts w:ascii="Amiri" w:hAnsi="Amiri" w:eastAsia="Amiri" w:cs="Amiri"/>
          <w:lang w:bidi="ar-SA"/>
          <w:color w:val="111111"/>
          <w:sz w:val="28"/>
          <w:szCs w:val="28"/>
          <w:rtl/>
        </w:rPr>
        <w:t xml:space="preserve">39 .تنزيه الانبياء و الائمة، ج 5، ص 53 .</w:t>
      </w:r>
    </w:p>
    <w:p>
      <w:pPr>
        <w:pStyle w:val="BookText"/>
      </w:pPr>
      <w:r>
        <w:rPr>
          <w:rFonts w:ascii="Amiri" w:hAnsi="Amiri" w:eastAsia="Amiri" w:cs="Amiri"/>
          <w:lang w:bidi="ar-SA"/>
          <w:color w:val="111111"/>
          <w:sz w:val="28"/>
          <w:szCs w:val="28"/>
          <w:rtl/>
        </w:rPr>
        <w:t xml:space="preserve">40 .الجسم مع الصفة، ج 5، ص 385.</w:t>
      </w:r>
    </w:p>
    <w:p>
      <w:pPr>
        <w:pStyle w:val="BookText"/>
      </w:pPr>
      <w:r>
        <w:rPr>
          <w:rFonts w:ascii="IRNazanin" w:hAnsi="IRNazanin" w:eastAsia="IRNazanin" w:cs="IRNazanin"/>
          <w:lang w:bidi="fa-IR"/>
          <w:color w:val="111111"/>
          <w:sz w:val="28"/>
          <w:szCs w:val="28"/>
          <w:rtl/>
        </w:rPr>
        <w:t xml:space="preserve">41 .جمل العلم و العمل، ج 5، ص 443 .</w:t>
      </w:r>
    </w:p>
    <w:p>
      <w:pPr>
        <w:pStyle w:val="BookText"/>
      </w:pPr>
      <w:r>
        <w:rPr>
          <w:rFonts w:ascii="Amiri" w:hAnsi="Amiri" w:eastAsia="Amiri" w:cs="Amiri"/>
          <w:lang w:bidi="ar-SA"/>
          <w:color w:val="111111"/>
          <w:sz w:val="28"/>
          <w:szCs w:val="28"/>
          <w:rtl/>
        </w:rPr>
        <w:t xml:space="preserve">42 .جواب مسألة تأثير النجوم، ج5،</w:t>
      </w:r>
    </w:p>
    <w:p>
      <w:pPr>
        <w:pStyle w:val="BookText"/>
      </w:pPr>
      <w:r>
        <w:rPr>
          <w:rFonts w:ascii="IRNazanin" w:hAnsi="IRNazanin" w:eastAsia="IRNazanin" w:cs="IRNazanin"/>
          <w:lang w:bidi="fa-IR"/>
          <w:color w:val="111111"/>
          <w:sz w:val="28"/>
          <w:szCs w:val="28"/>
          <w:rtl/>
        </w:rPr>
        <w:t xml:space="preserve">ص 510.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الجوهر و العرض وغيرهما، ج5،</w:t>
      </w:r>
    </w:p>
    <w:p>
      <w:pPr>
        <w:pStyle w:val="BookText"/>
      </w:pPr>
      <w:r>
        <w:rPr>
          <w:rFonts w:ascii="IRNazanin" w:hAnsi="IRNazanin" w:eastAsia="IRNazanin" w:cs="IRNazanin"/>
          <w:lang w:bidi="fa-IR"/>
          <w:color w:val="111111"/>
          <w:sz w:val="28"/>
          <w:szCs w:val="28"/>
          <w:rtl/>
        </w:rPr>
        <w:t xml:space="preserve">ص 631.</w:t>
      </w:r>
    </w:p>
    <w:p>
      <w:pPr>
        <w:pStyle w:val="BookText"/>
      </w:pPr>
      <w:r>
        <w:rPr>
          <w:rFonts w:ascii="IRNazanin" w:hAnsi="IRNazanin" w:eastAsia="IRNazanin" w:cs="IRNazanin"/>
          <w:lang w:bidi="fa-IR"/>
          <w:color w:val="111111"/>
          <w:sz w:val="28"/>
          <w:szCs w:val="28"/>
          <w:rtl/>
        </w:rPr>
        <w:t xml:space="preserve">44 .حدوث الاجسام من الجواهر، ج 6،</w:t>
      </w:r>
    </w:p>
    <w:p>
      <w:pPr>
        <w:pStyle w:val="BookText"/>
      </w:pPr>
      <w:r>
        <w:rPr>
          <w:rFonts w:ascii="IRNazanin" w:hAnsi="IRNazanin" w:eastAsia="IRNazanin" w:cs="IRNazanin"/>
          <w:lang w:bidi="fa-IR"/>
          <w:color w:val="111111"/>
          <w:sz w:val="28"/>
          <w:szCs w:val="28"/>
          <w:rtl/>
        </w:rPr>
        <w:t xml:space="preserve">ص 543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الحدود و الحقايق 1، ج 6،</w:t>
      </w:r>
    </w:p>
    <w:p>
      <w:pPr>
        <w:pStyle w:val="BookText"/>
      </w:pPr>
      <w:r>
        <w:rPr>
          <w:rFonts w:ascii="IRNazanin" w:hAnsi="IRNazanin" w:eastAsia="IRNazanin" w:cs="IRNazanin"/>
          <w:lang w:bidi="fa-IR"/>
          <w:color w:val="111111"/>
          <w:sz w:val="28"/>
          <w:szCs w:val="28"/>
          <w:rtl/>
        </w:rPr>
        <w:t xml:space="preserve">ص 552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حقيقة الجوهر، ج 6، ص708.</w:t>
      </w:r>
    </w:p>
    <w:p>
      <w:pPr>
        <w:pStyle w:val="BookText"/>
      </w:pPr>
      <w:r>
        <w:rPr>
          <w:rFonts w:ascii="Amiri" w:hAnsi="Amiri" w:eastAsia="Amiri" w:cs="Amiri"/>
          <w:lang w:bidi="ar-SA"/>
          <w:color w:val="111111"/>
          <w:sz w:val="28"/>
          <w:szCs w:val="28"/>
          <w:rtl/>
        </w:rPr>
        <w:t xml:space="preserve">47 .حكايات الشيخ المفيد، ج 6،</w:t>
      </w:r>
    </w:p>
    <w:p>
      <w:pPr>
        <w:pStyle w:val="BookText"/>
      </w:pPr>
      <w:r>
        <w:rPr>
          <w:rFonts w:ascii="IRNazanin" w:hAnsi="IRNazanin" w:eastAsia="IRNazanin" w:cs="IRNazanin"/>
          <w:lang w:bidi="fa-IR"/>
          <w:color w:val="111111"/>
          <w:sz w:val="28"/>
          <w:szCs w:val="28"/>
          <w:rtl/>
        </w:rPr>
        <w:t xml:space="preserve">ص 721.</w:t>
      </w:r>
    </w:p>
    <w:p>
      <w:pPr>
        <w:pStyle w:val="BookText"/>
      </w:pPr>
      <w:r>
        <w:rPr>
          <w:rFonts w:ascii="Amiri" w:hAnsi="Amiri" w:eastAsia="Amiri" w:cs="Amiri"/>
          <w:lang w:bidi="ar-SA"/>
          <w:color w:val="111111"/>
          <w:sz w:val="28"/>
          <w:szCs w:val="28"/>
          <w:rtl/>
        </w:rPr>
        <w:t xml:space="preserve">48 .خلاصة الانتصار، ج 7، ص81</w:t>
      </w:r>
    </w:p>
    <w:p>
      <w:pPr>
        <w:pStyle w:val="BookText"/>
      </w:pPr>
      <w:r>
        <w:rPr>
          <w:rFonts w:ascii="Amiri" w:hAnsi="Amiri" w:eastAsia="Amiri" w:cs="Amiri"/>
          <w:lang w:bidi="ar-SA"/>
          <w:color w:val="111111"/>
          <w:sz w:val="28"/>
          <w:szCs w:val="28"/>
          <w:rtl/>
        </w:rPr>
        <w:t xml:space="preserve">49 .خلود الكفار، ج 7، ص 158.</w:t>
      </w:r>
    </w:p>
    <w:p>
      <w:pPr>
        <w:pStyle w:val="BookText"/>
      </w:pPr>
      <w:r>
        <w:rPr>
          <w:rFonts w:ascii="Amiri" w:hAnsi="Amiri" w:eastAsia="Amiri" w:cs="Amiri"/>
          <w:lang w:bidi="ar-SA"/>
          <w:color w:val="111111"/>
          <w:sz w:val="28"/>
          <w:szCs w:val="28"/>
          <w:rtl/>
        </w:rPr>
        <w:t xml:space="preserve">50 .ديوان سيد مرتضى، ج 7، ص 662.</w:t>
      </w:r>
    </w:p>
    <w:p>
      <w:pPr>
        <w:pStyle w:val="BookText"/>
      </w:pPr>
      <w:r>
        <w:rPr>
          <w:rFonts w:ascii="Amiri" w:hAnsi="Amiri" w:eastAsia="Amiri" w:cs="Amiri"/>
          <w:lang w:bidi="ar-SA"/>
          <w:color w:val="111111"/>
          <w:sz w:val="28"/>
          <w:szCs w:val="28"/>
          <w:rtl/>
        </w:rPr>
        <w:t xml:space="preserve">51 .الذريعة إلى اصول الشريعة ، ج7،</w:t>
      </w:r>
    </w:p>
    <w:p>
      <w:pPr>
        <w:pStyle w:val="BookText"/>
      </w:pPr>
      <w:r>
        <w:rPr>
          <w:rFonts w:ascii="IRNazanin" w:hAnsi="IRNazanin" w:eastAsia="IRNazanin" w:cs="IRNazanin"/>
          <w:lang w:bidi="fa-IR"/>
          <w:color w:val="111111"/>
          <w:sz w:val="28"/>
          <w:szCs w:val="28"/>
          <w:rtl/>
        </w:rPr>
        <w:t xml:space="preserve">ص 846.</w:t>
      </w:r>
    </w:p>
    <w:p>
      <w:pPr>
        <w:pStyle w:val="BookText"/>
      </w:pPr>
      <w:r>
        <w:rPr>
          <w:rFonts w:ascii="IRNazanin" w:hAnsi="IRNazanin" w:eastAsia="IRNazanin" w:cs="IRNazanin"/>
          <w:lang w:bidi="fa-IR"/>
          <w:color w:val="111111"/>
          <w:sz w:val="28"/>
          <w:szCs w:val="28"/>
          <w:rtl/>
        </w:rPr>
        <w:t xml:space="preserve">52 .الرد على اصحاب العدد، ج8،</w:t>
      </w:r>
    </w:p>
    <w:p>
      <w:pPr>
        <w:pStyle w:val="BookText"/>
      </w:pPr>
      <w:r>
        <w:rPr>
          <w:rFonts w:ascii="IRNazanin" w:hAnsi="IRNazanin" w:eastAsia="IRNazanin" w:cs="IRNazanin"/>
          <w:lang w:bidi="fa-IR"/>
          <w:color w:val="111111"/>
          <w:sz w:val="28"/>
          <w:szCs w:val="28"/>
          <w:rtl/>
        </w:rPr>
        <w:t xml:space="preserve">ص 90</w:t>
      </w:r>
    </w:p>
    <w:p>
      <w:pPr>
        <w:pStyle w:val="BookText"/>
      </w:pPr>
      <w:r>
        <w:rPr>
          <w:rFonts w:ascii="IRNazanin" w:hAnsi="IRNazanin" w:eastAsia="IRNazanin" w:cs="IRNazanin"/>
          <w:lang w:bidi="fa-IR"/>
          <w:color w:val="111111"/>
          <w:sz w:val="28"/>
          <w:szCs w:val="28"/>
          <w:rtl/>
        </w:rPr>
        <w:t xml:space="preserve">53 .رسائل، ج 8، ص118</w:t>
      </w:r>
    </w:p>
    <w:p>
      <w:pPr>
        <w:pStyle w:val="BookText"/>
      </w:pPr>
      <w:r>
        <w:rPr>
          <w:rFonts w:ascii="Amiri" w:hAnsi="Amiri" w:eastAsia="Amiri" w:cs="Amiri"/>
          <w:lang w:bidi="ar-SA"/>
          <w:color w:val="111111"/>
          <w:sz w:val="28"/>
          <w:szCs w:val="28"/>
          <w:rtl/>
        </w:rPr>
        <w:t xml:space="preserve">54 .رسالة الوجود بعد الحمد، ج8،</w:t>
      </w:r>
    </w:p>
    <w:p>
      <w:pPr>
        <w:pStyle w:val="BookText"/>
      </w:pPr>
      <w:r>
        <w:rPr>
          <w:rFonts w:ascii="IRNazanin" w:hAnsi="IRNazanin" w:eastAsia="IRNazanin" w:cs="IRNazanin"/>
          <w:lang w:bidi="fa-IR"/>
          <w:color w:val="111111"/>
          <w:sz w:val="28"/>
          <w:szCs w:val="28"/>
          <w:rtl/>
        </w:rPr>
        <w:t xml:space="preserve">ص 293.</w:t>
      </w:r>
    </w:p>
    <w:p>
      <w:pPr>
        <w:pStyle w:val="BookText"/>
      </w:pPr>
      <w:r>
        <w:rPr>
          <w:rFonts w:ascii="Amiri" w:hAnsi="Amiri" w:eastAsia="Amiri" w:cs="Amiri"/>
          <w:lang w:bidi="ar-SA"/>
          <w:color w:val="111111"/>
          <w:sz w:val="28"/>
          <w:szCs w:val="28"/>
          <w:rtl/>
        </w:rPr>
        <w:t xml:space="preserve">55 .الشافي في الامامة و ابطال حجج</w:t>
      </w:r>
    </w:p>
    <w:p>
      <w:pPr>
        <w:pStyle w:val="BookText"/>
      </w:pPr>
      <w:r>
        <w:rPr>
          <w:rFonts w:ascii="Amiri" w:hAnsi="Amiri" w:eastAsia="Amiri" w:cs="Amiri"/>
          <w:lang w:bidi="ar-SA"/>
          <w:color w:val="111111"/>
          <w:sz w:val="28"/>
          <w:szCs w:val="28"/>
          <w:rtl/>
        </w:rPr>
        <w:t xml:space="preserve">العامة، ج 9، ص 62.</w:t>
      </w:r>
    </w:p>
    <w:p>
      <w:pPr>
        <w:pStyle w:val="BookText"/>
      </w:pPr>
      <w:r>
        <w:rPr>
          <w:rFonts w:ascii="Amiri" w:hAnsi="Amiri" w:eastAsia="Amiri" w:cs="Amiri"/>
          <w:lang w:bidi="ar-SA"/>
          <w:color w:val="111111"/>
          <w:sz w:val="28"/>
          <w:szCs w:val="28"/>
          <w:rtl/>
        </w:rPr>
        <w:t xml:space="preserve">56 .شرح القصيدة المذهبية، ج9،</w:t>
      </w:r>
    </w:p>
    <w:p>
      <w:pPr>
        <w:pStyle w:val="BookText"/>
      </w:pPr>
      <w:r>
        <w:rPr>
          <w:rFonts w:ascii="IRNazanin" w:hAnsi="IRNazanin" w:eastAsia="IRNazanin" w:cs="IRNazanin"/>
          <w:lang w:bidi="fa-IR"/>
          <w:color w:val="111111"/>
          <w:sz w:val="28"/>
          <w:szCs w:val="28"/>
          <w:rtl/>
        </w:rPr>
        <w:t xml:space="preserve">ص 893</w:t>
      </w:r>
    </w:p>
    <w:p>
      <w:pPr>
        <w:pStyle w:val="BookText"/>
      </w:pPr>
      <w:r>
        <w:rPr>
          <w:rFonts w:ascii="Amiri" w:hAnsi="Amiri" w:eastAsia="Amiri" w:cs="Amiri"/>
          <w:lang w:bidi="ar-SA"/>
          <w:color w:val="111111"/>
          <w:sz w:val="28"/>
          <w:szCs w:val="28"/>
          <w:rtl/>
        </w:rPr>
        <w:t xml:space="preserve">57 .شرح حديث «نية المؤمن خير من</w:t>
      </w:r>
    </w:p>
    <w:p>
      <w:pPr>
        <w:pStyle w:val="BookText"/>
      </w:pPr>
      <w:r>
        <w:rPr>
          <w:rFonts w:ascii="IRNazanin" w:hAnsi="IRNazanin" w:eastAsia="IRNazanin" w:cs="IRNazanin"/>
          <w:lang w:bidi="fa-IR"/>
          <w:color w:val="111111"/>
          <w:sz w:val="28"/>
          <w:szCs w:val="28"/>
          <w:rtl/>
        </w:rPr>
        <w:t xml:space="preserve">عمله»، ج 9، ص 405.</w:t>
      </w:r>
    </w:p>
    <w:p>
      <w:pPr>
        <w:pStyle w:val="BookText"/>
      </w:pPr>
      <w:r>
        <w:rPr>
          <w:rFonts w:ascii="Amiri" w:hAnsi="Amiri" w:eastAsia="Amiri" w:cs="Amiri"/>
          <w:lang w:bidi="ar-SA"/>
          <w:color w:val="111111"/>
          <w:sz w:val="28"/>
          <w:szCs w:val="28"/>
          <w:rtl/>
        </w:rPr>
        <w:t xml:space="preserve">58 .شرح قصيدة الحميري البائية - شرح القصيدة المذهبة، ج 9،</w:t>
      </w:r>
    </w:p>
    <w:p>
      <w:pPr>
        <w:pStyle w:val="BookText"/>
      </w:pPr>
      <w:r>
        <w:rPr>
          <w:rFonts w:ascii="IRNazanin" w:hAnsi="IRNazanin" w:eastAsia="IRNazanin" w:cs="IRNazanin"/>
          <w:lang w:bidi="fa-IR"/>
          <w:color w:val="111111"/>
          <w:sz w:val="28"/>
          <w:szCs w:val="28"/>
          <w:rtl/>
        </w:rPr>
        <w:t xml:space="preserve">ص 860.</w:t>
      </w:r>
    </w:p>
    <w:p>
      <w:pPr>
        <w:pStyle w:val="BookText"/>
      </w:pPr>
      <w:r>
        <w:rPr>
          <w:rFonts w:ascii="Amiri" w:hAnsi="Amiri" w:eastAsia="Amiri" w:cs="Amiri"/>
          <w:lang w:bidi="ar-SA"/>
          <w:color w:val="111111"/>
          <w:sz w:val="28"/>
          <w:szCs w:val="28"/>
          <w:rtl/>
        </w:rPr>
        <w:t xml:space="preserve">59 .طريق الاستدلال على فروع</w:t>
      </w:r>
    </w:p>
    <w:p>
      <w:pPr>
        <w:pStyle w:val="BookText"/>
      </w:pPr>
      <w:r>
        <w:rPr>
          <w:rFonts w:ascii="Amiri" w:hAnsi="Amiri" w:eastAsia="Amiri" w:cs="Amiri"/>
          <w:lang w:bidi="ar-SA"/>
          <w:color w:val="111111"/>
          <w:sz w:val="28"/>
          <w:szCs w:val="28"/>
          <w:rtl/>
        </w:rPr>
        <w:t xml:space="preserve">الامامية، ج 10، ص817</w:t>
      </w:r>
    </w:p>
    <w:p>
      <w:pPr>
        <w:pStyle w:val="BookText"/>
      </w:pPr>
      <w:r>
        <w:rPr>
          <w:rFonts w:ascii="IRNazanin" w:hAnsi="IRNazanin" w:eastAsia="IRNazanin" w:cs="IRNazanin"/>
          <w:lang w:bidi="fa-IR"/>
          <w:color w:val="111111"/>
          <w:sz w:val="28"/>
          <w:szCs w:val="28"/>
          <w:rtl/>
        </w:rPr>
        <w:t xml:space="preserve">60 . عجائب الاغلاط، ج11، ص32.</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العصمة، ج11، ص123.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العمل السلطان، ج 11،</w:t>
      </w:r>
    </w:p>
    <w:p>
      <w:pPr>
        <w:pStyle w:val="BookText"/>
      </w:pPr>
      <w:r>
        <w:rPr>
          <w:rFonts w:ascii="IRNazanin" w:hAnsi="IRNazanin" w:eastAsia="IRNazanin" w:cs="IRNazanin"/>
          <w:lang w:bidi="fa-IR"/>
          <w:color w:val="111111"/>
          <w:sz w:val="28"/>
          <w:szCs w:val="28"/>
          <w:rtl/>
        </w:rPr>
        <w:t xml:space="preserve">ص 324.</w:t>
      </w:r>
    </w:p>
    <w:p>
      <w:pPr>
        <w:pStyle w:val="BookText"/>
      </w:pPr>
      <w:r>
        <w:rPr>
          <w:rFonts w:ascii="Amiri" w:hAnsi="Amiri" w:eastAsia="Amiri" w:cs="Amiri"/>
          <w:lang w:bidi="ar-SA"/>
          <w:color w:val="111111"/>
          <w:sz w:val="28"/>
          <w:szCs w:val="28"/>
          <w:rtl/>
        </w:rPr>
        <w:t xml:space="preserve">63 .غرر الفرائد (الفوائد) و درر القلائد = امالي سيّد مرتضى، ج 11،</w:t>
      </w:r>
    </w:p>
    <w:p>
      <w:pPr>
        <w:pStyle w:val="BookText"/>
      </w:pPr>
      <w:r>
        <w:rPr>
          <w:rFonts w:ascii="IRNazanin" w:hAnsi="IRNazanin" w:eastAsia="IRNazanin" w:cs="IRNazanin"/>
          <w:lang w:bidi="fa-IR"/>
          <w:color w:val="111111"/>
          <w:sz w:val="28"/>
          <w:szCs w:val="28"/>
          <w:rtl/>
        </w:rPr>
        <w:t xml:space="preserve">ص 483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الغيبة = زيادة المكمل بها كتاب</w:t>
      </w:r>
    </w:p>
    <w:p>
      <w:pPr>
        <w:pStyle w:val="BookText"/>
      </w:pPr>
      <w:r>
        <w:rPr>
          <w:rFonts w:ascii="IRNazanin" w:hAnsi="IRNazanin" w:eastAsia="IRNazanin" w:cs="IRNazanin"/>
          <w:lang w:bidi="fa-IR"/>
          <w:color w:val="111111"/>
          <w:sz w:val="28"/>
          <w:szCs w:val="28"/>
          <w:rtl/>
        </w:rPr>
        <w:t xml:space="preserve">المقنع، ج11، ص 552.</w:t>
      </w:r>
    </w:p>
    <w:p>
      <w:pPr>
        <w:pStyle w:val="BookText"/>
      </w:pPr>
      <w:r>
        <w:rPr>
          <w:rFonts w:ascii="Amiri" w:hAnsi="Amiri" w:eastAsia="Amiri" w:cs="Amiri"/>
          <w:lang w:bidi="ar-SA"/>
          <w:color w:val="111111"/>
          <w:sz w:val="28"/>
          <w:szCs w:val="28"/>
          <w:rtl/>
        </w:rPr>
        <w:t xml:space="preserve">65 .الفصول المختارة من العيون و</w:t>
      </w:r>
    </w:p>
    <w:p>
      <w:pPr>
        <w:pStyle w:val="BookText"/>
      </w:pPr>
      <w:r>
        <w:rPr>
          <w:rFonts w:ascii="IRNazanin" w:hAnsi="IRNazanin" w:eastAsia="IRNazanin" w:cs="IRNazanin"/>
          <w:lang w:bidi="fa-IR"/>
          <w:color w:val="111111"/>
          <w:sz w:val="28"/>
          <w:szCs w:val="28"/>
          <w:rtl/>
        </w:rPr>
        <w:t xml:space="preserve">المحاسن، ج 11، ص 861.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القدر (رسالة في)، ج 12، ص382.</w:t>
      </w:r>
    </w:p>
    <w:p>
      <w:pPr>
        <w:pStyle w:val="BookText"/>
      </w:pPr>
      <w:r>
        <w:rPr>
          <w:rFonts w:ascii="Amiri" w:hAnsi="Amiri" w:eastAsia="Amiri" w:cs="Amiri"/>
          <w:lang w:bidi="ar-SA"/>
          <w:color w:val="111111"/>
          <w:sz w:val="28"/>
          <w:szCs w:val="28"/>
          <w:rtl/>
        </w:rPr>
        <w:t xml:space="preserve">67 . القديم لا يفعل القبيح، ج12،</w:t>
      </w:r>
    </w:p>
    <w:p>
      <w:pPr>
        <w:pStyle w:val="BookText"/>
      </w:pPr>
      <w:r>
        <w:rPr>
          <w:rFonts w:ascii="IRNazanin" w:hAnsi="IRNazanin" w:eastAsia="IRNazanin" w:cs="IRNazanin"/>
          <w:lang w:bidi="fa-IR"/>
          <w:color w:val="111111"/>
          <w:sz w:val="28"/>
          <w:szCs w:val="28"/>
          <w:rtl/>
        </w:rPr>
        <w:t xml:space="preserve">ص 385.</w:t>
      </w:r>
    </w:p>
    <w:p>
      <w:pPr>
        <w:pStyle w:val="BookText"/>
      </w:pPr>
      <w:r>
        <w:rPr>
          <w:rFonts w:ascii="Amiri" w:hAnsi="Amiri" w:eastAsia="Amiri" w:cs="Amiri"/>
          <w:lang w:bidi="ar-SA"/>
          <w:color w:val="111111"/>
          <w:sz w:val="28"/>
          <w:szCs w:val="28"/>
          <w:rtl/>
        </w:rPr>
        <w:t xml:space="preserve">68 .كون الصفة بالفاعل، ج 13</w:t>
      </w:r>
    </w:p>
    <w:p>
      <w:pPr>
        <w:pStyle w:val="BookText"/>
      </w:pPr>
      <w:r>
        <w:rPr>
          <w:rFonts w:ascii="IRNazanin" w:hAnsi="IRNazanin" w:eastAsia="IRNazanin" w:cs="IRNazanin"/>
          <w:lang w:bidi="fa-IR"/>
          <w:color w:val="111111"/>
          <w:sz w:val="28"/>
          <w:szCs w:val="28"/>
          <w:rtl/>
        </w:rPr>
        <w:t xml:space="preserve">ص 477 .</w:t>
      </w:r>
    </w:p>
    <w:p>
      <w:pPr>
        <w:pStyle w:val="BookText"/>
      </w:pPr>
      <w:r>
        <w:rPr>
          <w:rFonts w:ascii="Amiri" w:hAnsi="Amiri" w:eastAsia="Amiri" w:cs="Amiri"/>
          <w:lang w:bidi="ar-SA"/>
          <w:color w:val="111111"/>
          <w:sz w:val="28"/>
          <w:szCs w:val="28"/>
          <w:rtl/>
        </w:rPr>
        <w:t xml:space="preserve">69 .المتولي لغسل الامام، ج13،</w:t>
      </w:r>
    </w:p>
    <w:p>
      <w:pPr>
        <w:pStyle w:val="BookText"/>
      </w:pPr>
      <w:r>
        <w:rPr>
          <w:rFonts w:ascii="IRNazanin" w:hAnsi="IRNazanin" w:eastAsia="IRNazanin" w:cs="IRNazanin"/>
          <w:lang w:bidi="fa-IR"/>
          <w:color w:val="111111"/>
          <w:sz w:val="28"/>
          <w:szCs w:val="28"/>
          <w:rtl/>
        </w:rPr>
        <w:t xml:space="preserve">ص 764 .</w:t>
      </w:r>
    </w:p>
    <w:p>
      <w:pPr>
        <w:pStyle w:val="BookText"/>
      </w:pPr>
      <w:r>
        <w:rPr>
          <w:rFonts w:ascii="Amiri" w:hAnsi="Amiri" w:eastAsia="Amiri" w:cs="Amiri"/>
          <w:lang w:bidi="ar-SA"/>
          <w:color w:val="111111"/>
          <w:sz w:val="28"/>
          <w:szCs w:val="28"/>
          <w:rtl/>
        </w:rPr>
        <w:t xml:space="preserve">70 .مجالس الشريف الموسوي، ج 13،</w:t>
      </w:r>
    </w:p>
    <w:p>
      <w:pPr>
        <w:pStyle w:val="BookText"/>
      </w:pPr>
      <w:r>
        <w:rPr>
          <w:rFonts w:ascii="IRNazanin" w:hAnsi="IRNazanin" w:eastAsia="IRNazanin" w:cs="IRNazanin"/>
          <w:lang w:bidi="fa-IR"/>
          <w:color w:val="111111"/>
          <w:sz w:val="28"/>
          <w:szCs w:val="28"/>
          <w:rtl/>
        </w:rPr>
        <w:t xml:space="preserve">ص 795 .</w:t>
      </w:r>
    </w:p>
    <w:p>
      <w:pPr>
        <w:pStyle w:val="BookText"/>
      </w:pPr>
      <w:r>
        <w:rPr>
          <w:rFonts w:ascii="Amiri" w:hAnsi="Amiri" w:eastAsia="Amiri" w:cs="Amiri"/>
          <w:lang w:bidi="ar-SA"/>
          <w:color w:val="111111"/>
          <w:sz w:val="28"/>
          <w:szCs w:val="28"/>
          <w:rtl/>
        </w:rPr>
        <w:t xml:space="preserve">71 .مجموعة رسائل و قسم من</w:t>
      </w:r>
    </w:p>
    <w:p>
      <w:pPr>
        <w:pStyle w:val="BookText"/>
      </w:pPr>
      <w:r>
        <w:rPr>
          <w:rFonts w:ascii="Amiri" w:hAnsi="Amiri" w:eastAsia="Amiri" w:cs="Amiri"/>
          <w:lang w:bidi="ar-SA"/>
          <w:color w:val="111111"/>
          <w:sz w:val="28"/>
          <w:szCs w:val="28"/>
          <w:rtl/>
        </w:rPr>
        <w:t xml:space="preserve">ديوان، ج 14، ص 36 .</w:t>
      </w:r>
    </w:p>
    <w:p>
      <w:pPr>
        <w:pStyle w:val="BookText"/>
      </w:pPr>
      <w:r>
        <w:rPr>
          <w:rFonts w:ascii="Amiri" w:hAnsi="Amiri" w:eastAsia="Amiri" w:cs="Amiri"/>
          <w:lang w:bidi="ar-SA"/>
          <w:color w:val="111111"/>
          <w:sz w:val="28"/>
          <w:szCs w:val="28"/>
          <w:rtl/>
        </w:rPr>
        <w:t xml:space="preserve">72 .مجموعة في فنون علم الكلام</w:t>
      </w:r>
    </w:p>
    <w:p>
      <w:pPr>
        <w:pStyle w:val="BookText"/>
      </w:pPr>
      <w:r>
        <w:rPr>
          <w:rFonts w:ascii="IRNazanin" w:hAnsi="IRNazanin" w:eastAsia="IRNazanin" w:cs="IRNazanin"/>
          <w:lang w:bidi="fa-IR"/>
          <w:color w:val="111111"/>
          <w:sz w:val="28"/>
          <w:szCs w:val="28"/>
          <w:rtl/>
        </w:rPr>
        <w:t xml:space="preserve">ج 14 ، ص 51</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المحكم والمتشابه، ج 14، ص 130.</w:t>
      </w:r>
    </w:p>
    <w:p>
      <w:pPr>
        <w:pStyle w:val="BookText"/>
      </w:pPr>
      <w:r>
        <w:rPr>
          <w:rFonts w:ascii="Amiri" w:hAnsi="Amiri" w:eastAsia="Amiri" w:cs="Amiri"/>
          <w:lang w:bidi="ar-SA"/>
          <w:color w:val="111111"/>
          <w:sz w:val="28"/>
          <w:szCs w:val="28"/>
          <w:rtl/>
        </w:rPr>
        <w:t xml:space="preserve">74 .المسائل المتفرقة، ج 14، ص 482.</w:t>
      </w:r>
    </w:p>
    <w:p>
      <w:pPr>
        <w:pStyle w:val="BookText"/>
      </w:pPr>
      <w:r>
        <w:rPr>
          <w:rFonts w:ascii="Amiri" w:hAnsi="Amiri" w:eastAsia="Amiri" w:cs="Amiri"/>
          <w:lang w:bidi="ar-SA"/>
          <w:color w:val="111111"/>
          <w:sz w:val="28"/>
          <w:szCs w:val="28"/>
          <w:rtl/>
        </w:rPr>
        <w:t xml:space="preserve">75 .المسائل الناصريات، ج 14، ص 493.</w:t>
      </w:r>
    </w:p>
    <w:p>
      <w:pPr>
        <w:pStyle w:val="BookText"/>
      </w:pPr>
      <w:r>
        <w:rPr>
          <w:rFonts w:ascii="IRNazanin" w:hAnsi="IRNazanin" w:eastAsia="IRNazanin" w:cs="IRNazanin"/>
          <w:lang w:bidi="fa-IR"/>
          <w:color w:val="111111"/>
          <w:sz w:val="28"/>
          <w:szCs w:val="28"/>
          <w:rtl/>
        </w:rPr>
        <w:t xml:space="preserve">76 .مسائل و أجوبتها، ج 14، ص 496.</w:t>
      </w:r>
    </w:p>
    <w:p>
      <w:pPr>
        <w:pStyle w:val="BookText"/>
      </w:pPr>
      <w:r>
        <w:rPr>
          <w:rFonts w:ascii="Amiri" w:hAnsi="Amiri" w:eastAsia="Amiri" w:cs="Amiri"/>
          <w:lang w:bidi="ar-SA"/>
          <w:color w:val="111111"/>
          <w:sz w:val="28"/>
          <w:szCs w:val="28"/>
          <w:rtl/>
        </w:rPr>
        <w:t xml:space="preserve">77 .مسالة في الكر، ج 14، ص 544.</w:t>
      </w:r>
    </w:p>
    <w:p>
      <w:pPr>
        <w:pStyle w:val="BookText"/>
      </w:pPr>
      <w:r>
        <w:rPr>
          <w:rFonts w:ascii="Amiri" w:hAnsi="Amiri" w:eastAsia="Amiri" w:cs="Amiri"/>
          <w:lang w:bidi="ar-SA"/>
          <w:color w:val="111111"/>
          <w:sz w:val="28"/>
          <w:szCs w:val="28"/>
          <w:rtl/>
        </w:rPr>
        <w:t xml:space="preserve">78 .مسألة في المناسبات، ج 14،</w:t>
      </w:r>
    </w:p>
    <w:p>
      <w:pPr>
        <w:pStyle w:val="BookText"/>
      </w:pPr>
      <w:r>
        <w:rPr>
          <w:rFonts w:ascii="IRNazanin" w:hAnsi="IRNazanin" w:eastAsia="IRNazanin" w:cs="IRNazanin"/>
          <w:lang w:bidi="fa-IR"/>
          <w:color w:val="111111"/>
          <w:sz w:val="28"/>
          <w:szCs w:val="28"/>
          <w:rtl/>
        </w:rPr>
        <w:t xml:space="preserve">ص 545.</w:t>
      </w:r>
    </w:p>
    <w:p>
      <w:pPr>
        <w:pStyle w:val="BookText"/>
      </w:pPr>
      <w:r>
        <w:rPr>
          <w:rFonts w:ascii="Amiri" w:hAnsi="Amiri" w:eastAsia="Amiri" w:cs="Amiri"/>
          <w:lang w:bidi="ar-SA"/>
          <w:color w:val="111111"/>
          <w:sz w:val="28"/>
          <w:szCs w:val="28"/>
          <w:rtl/>
        </w:rPr>
        <w:t xml:space="preserve">79 .مسألة من نوي العصر من شهر رمضان لا يبطل صومه، ج 14، ص 547 .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788" w:name="pg7742_70828"/>
    <w:bookmarkEnd w:id="788"/>
    <w:p>
      <w:pPr>
        <w:pStyle w:val="BookText"/>
      </w:pPr>
      <w:r>
        <w:rPr>
          <w:rFonts w:ascii="Amiri" w:hAnsi="Amiri" w:eastAsia="Amiri" w:cs="Amiri"/>
          <w:lang w:bidi="ar-SA"/>
          <w:color w:val="111111"/>
          <w:sz w:val="28"/>
          <w:szCs w:val="28"/>
          <w:rtl/>
        </w:rPr>
        <w:t xml:space="preserve">80 .المسح على الخفين، ج 14، ص 570.</w:t>
      </w:r>
    </w:p>
    <w:p>
      <w:pPr>
        <w:pStyle w:val="BookText"/>
      </w:pPr>
      <w:r>
        <w:rPr>
          <w:rFonts w:ascii="Amiri" w:hAnsi="Amiri" w:eastAsia="Amiri" w:cs="Amiri"/>
          <w:lang w:bidi="ar-SA"/>
          <w:color w:val="111111"/>
          <w:sz w:val="28"/>
          <w:szCs w:val="28"/>
          <w:rtl/>
        </w:rPr>
        <w:t xml:space="preserve">81 .معنى الباء في قوله تعالى «و امسحو برؤوسكم»، ج 15، ص 90.</w:t>
      </w:r>
    </w:p>
    <w:p>
      <w:pPr>
        <w:pStyle w:val="BookText"/>
      </w:pPr>
      <w:r>
        <w:rPr>
          <w:rFonts w:ascii="Amiri" w:hAnsi="Amiri" w:eastAsia="Amiri" w:cs="Amiri"/>
          <w:lang w:bidi="ar-SA"/>
          <w:color w:val="111111"/>
          <w:sz w:val="28"/>
          <w:szCs w:val="28"/>
          <w:rtl/>
        </w:rPr>
        <w:t xml:space="preserve">82.مقدمة الواجب (رسالة في)، ج 15،</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Amiri" w:hAnsi="Amiri" w:eastAsia="Amiri" w:cs="Amiri"/>
          <w:lang w:bidi="ar-SA"/>
          <w:color w:val="111111"/>
          <w:sz w:val="28"/>
          <w:szCs w:val="28"/>
          <w:rtl/>
        </w:rPr>
        <w:t xml:space="preserve">83 .مقدمة في الاصول، ج 15 ، ص 362.</w:t>
      </w:r>
    </w:p>
    <w:p>
      <w:pPr>
        <w:pStyle w:val="BookText"/>
      </w:pPr>
      <w:r>
        <w:rPr>
          <w:rFonts w:ascii="Amiri" w:hAnsi="Amiri" w:eastAsia="Amiri" w:cs="Amiri"/>
          <w:lang w:bidi="ar-SA"/>
          <w:color w:val="111111"/>
          <w:sz w:val="28"/>
          <w:szCs w:val="28"/>
          <w:rtl/>
        </w:rPr>
        <w:t xml:space="preserve">84 .المقنع في الغيبة، ج 15، ص398.</w:t>
      </w:r>
    </w:p>
    <w:p>
      <w:pPr>
        <w:pStyle w:val="BookText"/>
      </w:pPr>
      <w:r>
        <w:rPr>
          <w:rFonts w:ascii="Amiri" w:hAnsi="Amiri" w:eastAsia="Amiri" w:cs="Amiri"/>
          <w:lang w:bidi="ar-SA"/>
          <w:color w:val="111111"/>
          <w:sz w:val="28"/>
          <w:szCs w:val="28"/>
          <w:rtl/>
        </w:rPr>
        <w:t xml:space="preserve">85 .مناقشة رأي المجبرة و المشبهة</w:t>
      </w:r>
    </w:p>
    <w:p>
      <w:pPr>
        <w:pStyle w:val="BookText"/>
      </w:pPr>
      <w:r>
        <w:rPr>
          <w:rFonts w:ascii="IRNazanin" w:hAnsi="IRNazanin" w:eastAsia="IRNazanin" w:cs="IRNazanin"/>
          <w:lang w:bidi="fa-IR"/>
          <w:color w:val="111111"/>
          <w:sz w:val="28"/>
          <w:szCs w:val="28"/>
          <w:rtl/>
        </w:rPr>
        <w:t xml:space="preserve">ج 15، ص 557.</w:t>
      </w:r>
    </w:p>
    <w:p>
      <w:pPr>
        <w:pStyle w:val="BookText"/>
      </w:pPr>
      <w:r>
        <w:rPr>
          <w:rFonts w:ascii="IRNazanin" w:hAnsi="IRNazanin" w:eastAsia="IRNazanin" w:cs="IRNazanin"/>
          <w:lang w:bidi="fa-IR"/>
          <w:color w:val="111111"/>
          <w:sz w:val="28"/>
          <w:szCs w:val="28"/>
          <w:rtl/>
        </w:rPr>
        <w:t xml:space="preserve">86 .المنامات = جوابات السلار، ج 15</w:t>
      </w:r>
    </w:p>
    <w:p>
      <w:pPr>
        <w:pStyle w:val="BookText"/>
      </w:pPr>
      <w:r>
        <w:rPr>
          <w:rFonts w:ascii="IRNazanin" w:hAnsi="IRNazanin" w:eastAsia="IRNazanin" w:cs="IRNazanin"/>
          <w:lang w:bidi="fa-IR"/>
          <w:color w:val="111111"/>
          <w:sz w:val="28"/>
          <w:szCs w:val="28"/>
          <w:rtl/>
        </w:rPr>
        <w:t xml:space="preserve">ص 558.</w:t>
      </w:r>
    </w:p>
    <w:p>
      <w:pPr>
        <w:pStyle w:val="BookText"/>
      </w:pPr>
      <w:r>
        <w:rPr>
          <w:rFonts w:ascii="Amiri" w:hAnsi="Amiri" w:eastAsia="Amiri" w:cs="Amiri"/>
          <w:lang w:bidi="ar-SA"/>
          <w:color w:val="111111"/>
          <w:sz w:val="28"/>
          <w:szCs w:val="28"/>
          <w:rtl/>
        </w:rPr>
        <w:t xml:space="preserve">87.نكاح المتعة، ج 16، ص 459.</w:t>
      </w:r>
    </w:p>
    <w:p>
      <w:pPr>
        <w:pStyle w:val="Heading2"/>
      </w:pPr>
      <w:bookmarkStart w:id="6028" w:name="_Toc5130"/>
      <w:r>
        <w:t>علم الهدى ، محمّد بن محسن 1039 -</w:t>
      </w:r>
      <w:bookmarkEnd w:id="6028"/>
    </w:p>
    <w:p>
      <w:pPr>
        <w:pStyle w:val="BookText"/>
      </w:pPr>
      <w:r>
        <w:rPr>
          <w:rFonts w:ascii="IRNazanin" w:hAnsi="IRNazanin" w:eastAsia="IRNazanin" w:cs="IRNazanin"/>
          <w:lang w:bidi="fa-IR"/>
          <w:color w:val="111111"/>
          <w:sz w:val="28"/>
          <w:szCs w:val="28"/>
          <w:rtl/>
        </w:rPr>
        <w:t xml:space="preserve">1115ه-</w:t>
      </w:r>
    </w:p>
    <w:p>
      <w:pPr>
        <w:pStyle w:val="BookText"/>
      </w:pPr>
      <w:r>
        <w:rPr>
          <w:rFonts w:ascii="IRNazanin" w:hAnsi="IRNazanin" w:eastAsia="IRNazanin" w:cs="IRNazanin"/>
          <w:lang w:bidi="fa-IR"/>
          <w:color w:val="111111"/>
          <w:sz w:val="28"/>
          <w:szCs w:val="28"/>
          <w:rtl/>
        </w:rPr>
        <w:t xml:space="preserve">1 .زبور آگهي، ج8، ص197.</w:t>
      </w:r>
    </w:p>
    <w:p>
      <w:pPr>
        <w:pStyle w:val="BookText"/>
      </w:pPr>
      <w:r>
        <w:rPr>
          <w:rFonts w:ascii="Amiri" w:hAnsi="Amiri" w:eastAsia="Amiri" w:cs="Amiri"/>
          <w:lang w:bidi="ar-SA"/>
          <w:color w:val="111111"/>
          <w:sz w:val="28"/>
          <w:szCs w:val="28"/>
          <w:rtl/>
        </w:rPr>
        <w:t xml:space="preserve">2 الضوابط الخمس في احكام الشك و</w:t>
      </w:r>
    </w:p>
    <w:p>
      <w:pPr>
        <w:pStyle w:val="BookText"/>
      </w:pPr>
      <w:r>
        <w:rPr>
          <w:rFonts w:ascii="Amiri" w:hAnsi="Amiri" w:eastAsia="Amiri" w:cs="Amiri"/>
          <w:lang w:bidi="ar-SA"/>
          <w:color w:val="111111"/>
          <w:sz w:val="28"/>
          <w:szCs w:val="28"/>
          <w:rtl/>
        </w:rPr>
        <w:t xml:space="preserve">السهو والنسيان في الصلاة (ترجمه)، ج 10، ص710.</w:t>
      </w:r>
    </w:p>
    <w:p>
      <w:pPr>
        <w:pStyle w:val="BookText"/>
      </w:pPr>
      <w:r>
        <w:rPr>
          <w:rFonts w:ascii="IRNazanin" w:hAnsi="IRNazanin" w:eastAsia="IRNazanin" w:cs="IRNazanin"/>
          <w:lang w:bidi="fa-IR"/>
          <w:color w:val="111111"/>
          <w:sz w:val="28"/>
          <w:szCs w:val="28"/>
          <w:rtl/>
        </w:rPr>
        <w:t xml:space="preserve">3 .مرقات الجنان إلى روضات الجنان</w:t>
      </w:r>
    </w:p>
    <w:p>
      <w:pPr>
        <w:pStyle w:val="BookText"/>
      </w:pPr>
      <w:r>
        <w:rPr>
          <w:rFonts w:ascii="IRNazanin" w:hAnsi="IRNazanin" w:eastAsia="IRNazanin" w:cs="IRNazanin"/>
          <w:lang w:bidi="fa-IR"/>
          <w:color w:val="111111"/>
          <w:sz w:val="28"/>
          <w:szCs w:val="28"/>
          <w:rtl/>
        </w:rPr>
        <w:t xml:space="preserve">ج 14، ص 404 .</w:t>
      </w:r>
    </w:p>
    <w:p>
      <w:pPr>
        <w:pStyle w:val="BookText"/>
      </w:pPr>
      <w:r>
        <w:rPr>
          <w:rFonts w:ascii="Amiri" w:hAnsi="Amiri" w:eastAsia="Amiri" w:cs="Amiri"/>
          <w:lang w:bidi="ar-SA"/>
          <w:color w:val="111111"/>
          <w:sz w:val="28"/>
          <w:szCs w:val="28"/>
          <w:rtl/>
        </w:rPr>
        <w:t xml:space="preserve">4 .معادن الحكمة في مكاتيب الائمة</w:t>
      </w:r>
    </w:p>
    <w:p>
      <w:pPr>
        <w:pStyle w:val="BookText"/>
      </w:pPr>
      <w:r>
        <w:rPr>
          <w:rFonts w:ascii="IRNazanin" w:hAnsi="IRNazanin" w:eastAsia="IRNazanin" w:cs="IRNazanin"/>
          <w:lang w:bidi="fa-IR"/>
          <w:color w:val="111111"/>
          <w:sz w:val="28"/>
          <w:szCs w:val="28"/>
          <w:rtl/>
        </w:rPr>
        <w:t xml:space="preserve">ج 14، ص 832.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نضد الايضاح في ترتيب ايضاح</w:t>
      </w:r>
    </w:p>
    <w:p>
      <w:pPr>
        <w:pStyle w:val="BookText"/>
      </w:pPr>
      <w:r>
        <w:rPr>
          <w:rFonts w:ascii="IRNazanin" w:hAnsi="IRNazanin" w:eastAsia="IRNazanin" w:cs="IRNazanin"/>
          <w:lang w:bidi="fa-IR"/>
          <w:color w:val="111111"/>
          <w:sz w:val="28"/>
          <w:szCs w:val="28"/>
          <w:rtl/>
        </w:rPr>
        <w:t xml:space="preserve">الاشتباه، ج 16، ص 317.</w:t>
      </w:r>
    </w:p>
    <w:p>
      <w:pPr>
        <w:pStyle w:val="Heading2"/>
      </w:pPr>
      <w:bookmarkStart w:id="6029" w:name="_Toc5131"/>
      <w:r>
        <w:t>علم الهدی ، مرتضی بن ،داعي قرن 6 ه-</w:t>
      </w:r>
      <w:bookmarkEnd w:id="6029"/>
    </w:p>
    <w:p>
      <w:pPr>
        <w:pStyle w:val="BookText"/>
      </w:pPr>
      <w:r>
        <w:rPr>
          <w:rFonts w:ascii="Amiri" w:hAnsi="Amiri" w:eastAsia="Amiri" w:cs="Amiri"/>
          <w:lang w:bidi="ar-SA"/>
          <w:color w:val="111111"/>
          <w:sz w:val="28"/>
          <w:szCs w:val="28"/>
          <w:rtl/>
        </w:rPr>
        <w:t xml:space="preserve">تبصرة العوام في معرفة مقالات الانام</w:t>
      </w:r>
    </w:p>
    <w:p>
      <w:pPr>
        <w:pStyle w:val="BookText"/>
      </w:pPr>
      <w:r>
        <w:rPr>
          <w:rFonts w:ascii="IRNazanin" w:hAnsi="IRNazanin" w:eastAsia="IRNazanin" w:cs="IRNazanin"/>
          <w:lang w:bidi="fa-IR"/>
          <w:color w:val="111111"/>
          <w:sz w:val="28"/>
          <w:szCs w:val="28"/>
          <w:rtl/>
        </w:rPr>
        <w:t xml:space="preserve">ج 3، ص 638 .</w:t>
      </w:r>
    </w:p>
    <w:p>
      <w:pPr>
        <w:pStyle w:val="BookText"/>
      </w:pPr>
      <w:r>
        <w:rPr>
          <w:rFonts w:ascii="Amiri" w:hAnsi="Amiri" w:eastAsia="Amiri" w:cs="Amiri"/>
          <w:lang w:bidi="ar-SA"/>
          <w:color w:val="111111"/>
          <w:sz w:val="28"/>
          <w:szCs w:val="28"/>
          <w:rtl/>
        </w:rPr>
        <w:t xml:space="preserve">علم بن سيف نجفي -حلي ، علم بن</w:t>
      </w:r>
    </w:p>
    <w:p>
      <w:pPr>
        <w:pStyle w:val="BookText"/>
      </w:pPr>
      <w:r>
        <w:rPr>
          <w:rFonts w:ascii="Amiri" w:hAnsi="Amiri" w:eastAsia="Amiri" w:cs="Amiri"/>
          <w:lang w:bidi="ar-SA"/>
          <w:color w:val="111111"/>
          <w:sz w:val="28"/>
          <w:szCs w:val="28"/>
          <w:rtl/>
        </w:rPr>
        <w:t xml:space="preserve">سيف</w:t>
      </w:r>
    </w:p>
    <w:p>
      <w:pPr>
        <w:pStyle w:val="Heading2"/>
      </w:pPr>
      <w:bookmarkStart w:id="6030" w:name="_Toc5132"/>
      <w:r>
        <w:t>علموي، عبد الباسط بن موسى 907 -</w:t>
      </w:r>
      <w:bookmarkEnd w:id="6030"/>
    </w:p>
    <w:p>
      <w:pPr>
        <w:pStyle w:val="BookText"/>
      </w:pPr>
      <w:r>
        <w:rPr>
          <w:rFonts w:ascii="IRNazanin" w:hAnsi="IRNazanin" w:eastAsia="IRNazanin" w:cs="IRNazanin"/>
          <w:lang w:bidi="fa-IR"/>
          <w:color w:val="111111"/>
          <w:sz w:val="28"/>
          <w:szCs w:val="28"/>
          <w:rtl/>
        </w:rPr>
        <w:t xml:space="preserve">981 ه-</w:t>
      </w:r>
    </w:p>
    <w:p>
      <w:pPr>
        <w:pStyle w:val="BookText"/>
      </w:pPr>
      <w:r>
        <w:rPr>
          <w:rFonts w:ascii="Amiri" w:hAnsi="Amiri" w:eastAsia="Amiri" w:cs="Amiri"/>
          <w:lang w:bidi="ar-SA"/>
          <w:color w:val="111111"/>
          <w:sz w:val="28"/>
          <w:szCs w:val="28"/>
          <w:rtl/>
        </w:rPr>
        <w:t xml:space="preserve">مختصر تنبيه الطالب و ارشاد الدارس</w:t>
      </w:r>
    </w:p>
    <w:p>
      <w:pPr>
        <w:pStyle w:val="BookText"/>
      </w:pPr>
      <w:r>
        <w:rPr>
          <w:rFonts w:ascii="Amiri" w:hAnsi="Amiri" w:eastAsia="Amiri" w:cs="Amiri"/>
          <w:lang w:bidi="ar-SA"/>
          <w:color w:val="111111"/>
          <w:sz w:val="28"/>
          <w:szCs w:val="28"/>
          <w:rtl/>
        </w:rPr>
        <w:t xml:space="preserve">فيما بدمشق من الجوامع و المدارس ج 14، ص 183.</w:t>
      </w:r>
    </w:p>
    <w:p>
      <w:pPr>
        <w:pStyle w:val="BookText"/>
      </w:pPr>
      <w:r>
        <w:rPr>
          <w:rFonts w:ascii="Amiri" w:hAnsi="Amiri" w:eastAsia="Amiri" w:cs="Amiri"/>
          <w:lang w:bidi="ar-SA"/>
          <w:color w:val="111111"/>
          <w:sz w:val="28"/>
          <w:szCs w:val="28"/>
          <w:rtl/>
        </w:rPr>
        <w:t xml:space="preserve">علمي ادرنه وي ، محمّد- رمزي زاده ،</w:t>
      </w:r>
    </w:p>
    <w:p>
      <w:pPr>
        <w:pStyle w:val="BookText"/>
      </w:pPr>
      <w:r>
        <w:rPr>
          <w:rFonts w:ascii="Amiri" w:hAnsi="Amiri" w:eastAsia="Amiri" w:cs="Amiri"/>
          <w:lang w:bidi="ar-SA"/>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علمي قاضي زاده، محمّد بن مصطفى-قاضي زاده ، محمّد بن مصطفی</w:t>
      </w:r>
    </w:p>
    <w:p>
      <w:pPr>
        <w:pStyle w:val="Heading2"/>
      </w:pPr>
      <w:bookmarkStart w:id="6031" w:name="_Toc5133"/>
      <w:r>
        <w:t>علمي ، محمّد بن عمر - 1038 ه-</w:t>
      </w:r>
      <w:bookmarkEnd w:id="6031"/>
    </w:p>
    <w:p>
      <w:pPr>
        <w:pStyle w:val="BookText"/>
      </w:pPr>
      <w:r>
        <w:rPr>
          <w:rFonts w:ascii="Amiri" w:hAnsi="Amiri" w:eastAsia="Amiri" w:cs="Amiri"/>
          <w:lang w:bidi="ar-SA"/>
          <w:color w:val="111111"/>
          <w:sz w:val="28"/>
          <w:szCs w:val="28"/>
          <w:rtl/>
        </w:rPr>
        <w:t xml:space="preserve">1 .ديوان العلمي، ج 7، ص722.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الاستغفارية المولية للخيرات</w:t>
      </w:r>
    </w:p>
    <w:p>
      <w:pPr>
        <w:pStyle w:val="BookText"/>
      </w:pPr>
      <w:r>
        <w:rPr>
          <w:rFonts w:ascii="IRNazanin" w:hAnsi="IRNazanin" w:eastAsia="IRNazanin" w:cs="IRNazanin"/>
          <w:lang w:bidi="fa-IR"/>
          <w:color w:val="111111"/>
          <w:sz w:val="28"/>
          <w:szCs w:val="28"/>
          <w:rtl/>
        </w:rPr>
        <w:t xml:space="preserve">ج 9، ص 195.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ديوان ابن الفارض ج9،</w:t>
      </w:r>
    </w:p>
    <w:p>
      <w:pPr>
        <w:pStyle w:val="BookText"/>
      </w:pPr>
      <w:r>
        <w:rPr>
          <w:rFonts w:ascii="IRNazanin" w:hAnsi="IRNazanin" w:eastAsia="IRNazanin" w:cs="IRNazanin"/>
          <w:lang w:bidi="fa-IR"/>
          <w:color w:val="111111"/>
          <w:sz w:val="28"/>
          <w:szCs w:val="28"/>
          <w:rtl/>
        </w:rPr>
        <w:t xml:space="preserve">ص 480 .</w:t>
      </w:r>
    </w:p>
    <w:p>
      <w:pPr>
        <w:pStyle w:val="BookText"/>
      </w:pPr>
      <w:r>
        <w:rPr>
          <w:rFonts w:ascii="Amiri" w:hAnsi="Amiri" w:eastAsia="Amiri" w:cs="Amiri"/>
          <w:lang w:bidi="ar-SA"/>
          <w:color w:val="111111"/>
          <w:sz w:val="28"/>
          <w:szCs w:val="28"/>
          <w:rtl/>
        </w:rPr>
        <w:t xml:space="preserve">4 .نصيحة منهج التحقيق لطالب الهدية و الطريق، ج 16، ص 316.</w:t>
      </w:r>
    </w:p>
    <w:p>
      <w:pPr>
        <w:pStyle w:val="BookText"/>
      </w:pPr>
      <w:r>
        <w:rPr>
          <w:rFonts w:ascii="Amiri" w:hAnsi="Amiri" w:eastAsia="Amiri" w:cs="Amiri"/>
          <w:lang w:bidi="ar-SA"/>
          <w:color w:val="111111"/>
          <w:sz w:val="28"/>
          <w:szCs w:val="28"/>
          <w:rtl/>
        </w:rPr>
        <w:t xml:space="preserve">علوان حموي ، احمد بن عمر- حمامي ،</w:t>
      </w:r>
    </w:p>
    <w:p>
      <w:pPr>
        <w:pStyle w:val="BookText"/>
      </w:pPr>
      <w:r>
        <w:rPr>
          <w:rFonts w:ascii="IRNazanin" w:hAnsi="IRNazanin" w:eastAsia="IRNazanin" w:cs="IRNazanin"/>
          <w:lang w:bidi="fa-IR"/>
          <w:color w:val="111111"/>
          <w:sz w:val="28"/>
          <w:szCs w:val="28"/>
          <w:rtl/>
        </w:rPr>
        <w:t xml:space="preserve">احمد بن عمر</w:t>
      </w:r>
    </w:p>
    <w:p>
      <w:pPr>
        <w:pStyle w:val="Heading2"/>
      </w:pPr>
      <w:bookmarkStart w:id="6032" w:name="_Toc5134"/>
      <w:r>
        <w:t>علوان ، علي بن عطيه، 873 - 936 ه-</w:t>
      </w:r>
      <w:bookmarkEnd w:id="6032"/>
    </w:p>
    <w:p>
      <w:pPr>
        <w:pStyle w:val="BookText"/>
      </w:pPr>
      <w:r>
        <w:rPr>
          <w:rFonts w:ascii="Amiri" w:hAnsi="Amiri" w:eastAsia="Amiri" w:cs="Amiri"/>
          <w:lang w:bidi="ar-SA"/>
          <w:color w:val="111111"/>
          <w:sz w:val="28"/>
          <w:szCs w:val="28"/>
          <w:rtl/>
        </w:rPr>
        <w:t xml:space="preserve">1 .أسنى المقاصد في تعظيم المساجد</w:t>
      </w:r>
    </w:p>
    <w:p>
      <w:pPr>
        <w:pStyle w:val="BookText"/>
      </w:pPr>
      <w:r>
        <w:rPr>
          <w:rFonts w:ascii="IRNazanin" w:hAnsi="IRNazanin" w:eastAsia="IRNazanin" w:cs="IRNazanin"/>
          <w:lang w:bidi="fa-IR"/>
          <w:color w:val="111111"/>
          <w:sz w:val="28"/>
          <w:szCs w:val="28"/>
          <w:rtl/>
        </w:rPr>
        <w:t xml:space="preserve">ج 2،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بديع المعاني في شرح عقيدة</w:t>
      </w:r>
    </w:p>
    <w:p>
      <w:pPr>
        <w:pStyle w:val="BookText"/>
      </w:pPr>
      <w:r>
        <w:rPr>
          <w:rFonts w:ascii="Amiri" w:hAnsi="Amiri" w:eastAsia="Amiri" w:cs="Amiri"/>
          <w:lang w:bidi="ar-SA"/>
          <w:color w:val="111111"/>
          <w:sz w:val="28"/>
          <w:szCs w:val="28"/>
          <w:rtl/>
        </w:rPr>
        <w:t xml:space="preserve">الشيباني، ج3، ص283.</w:t>
      </w:r>
    </w:p>
    <w:p>
      <w:pPr>
        <w:pStyle w:val="BookText"/>
      </w:pPr>
      <w:r>
        <w:rPr>
          <w:rFonts w:ascii="Amiri" w:hAnsi="Amiri" w:eastAsia="Amiri" w:cs="Amiri"/>
          <w:lang w:bidi="ar-SA"/>
          <w:color w:val="111111"/>
          <w:sz w:val="28"/>
          <w:szCs w:val="28"/>
          <w:rtl/>
        </w:rPr>
        <w:t xml:space="preserve">3 .تحفة الاخوان في مسائل الايمان</w:t>
      </w:r>
    </w:p>
    <w:p>
      <w:pPr>
        <w:pStyle w:val="BookText"/>
      </w:pPr>
      <w:r>
        <w:rPr>
          <w:rFonts w:ascii="IRNazanin" w:hAnsi="IRNazanin" w:eastAsia="IRNazanin" w:cs="IRNazanin"/>
          <w:lang w:bidi="fa-IR"/>
          <w:color w:val="111111"/>
          <w:sz w:val="28"/>
          <w:szCs w:val="28"/>
          <w:rtl/>
        </w:rPr>
        <w:t xml:space="preserve">ج 3، ص790.</w:t>
      </w:r>
    </w:p>
    <w:p>
      <w:pPr>
        <w:pStyle w:val="BookText"/>
      </w:pPr>
      <w:r>
        <w:rPr>
          <w:rFonts w:ascii="Amiri" w:hAnsi="Amiri" w:eastAsia="Amiri" w:cs="Amiri"/>
          <w:lang w:bidi="ar-SA"/>
          <w:color w:val="111111"/>
          <w:sz w:val="28"/>
          <w:szCs w:val="28"/>
          <w:rtl/>
        </w:rPr>
        <w:t xml:space="preserve">4 .تقريب الفوائد و تسهيل المقاصد</w:t>
      </w:r>
    </w:p>
    <w:p>
      <w:pPr>
        <w:pStyle w:val="BookText"/>
      </w:pPr>
      <w:r>
        <w:rPr>
          <w:rFonts w:ascii="IRNazanin" w:hAnsi="IRNazanin" w:eastAsia="IRNazanin" w:cs="IRNazanin"/>
          <w:lang w:bidi="fa-IR"/>
          <w:color w:val="111111"/>
          <w:sz w:val="28"/>
          <w:szCs w:val="28"/>
          <w:rtl/>
        </w:rPr>
        <w:t xml:space="preserve">ج 4، ص 725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789" w:name="pg7742_70830"/>
    <w:bookmarkEnd w:id="78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الجوهر المحبوك بالحلج المسبوك في طريقه السلوك، ج 5، ص 624.</w:t>
      </w:r>
    </w:p>
    <w:p>
      <w:pPr>
        <w:pStyle w:val="BookText"/>
      </w:pPr>
      <w:r>
        <w:rPr>
          <w:rFonts w:ascii="Amiri" w:hAnsi="Amiri" w:eastAsia="Amiri" w:cs="Amiri"/>
          <w:lang w:bidi="ar-SA"/>
          <w:color w:val="111111"/>
          <w:sz w:val="28"/>
          <w:szCs w:val="28"/>
          <w:rtl/>
        </w:rPr>
        <w:t xml:space="preserve">6 .شرح الرسالة الرسلانية، ج9،</w:t>
      </w:r>
    </w:p>
    <w:p>
      <w:pPr>
        <w:pStyle w:val="BookText"/>
      </w:pPr>
      <w:r>
        <w:rPr>
          <w:rFonts w:ascii="IRNazanin" w:hAnsi="IRNazanin" w:eastAsia="IRNazanin" w:cs="IRNazanin"/>
          <w:lang w:bidi="fa-IR"/>
          <w:color w:val="111111"/>
          <w:sz w:val="28"/>
          <w:szCs w:val="28"/>
          <w:rtl/>
        </w:rPr>
        <w:t xml:space="preserve">ص 532 .</w:t>
      </w:r>
    </w:p>
    <w:p>
      <w:pPr>
        <w:pStyle w:val="BookText"/>
      </w:pPr>
      <w:r>
        <w:rPr>
          <w:rFonts w:ascii="Amiri" w:hAnsi="Amiri" w:eastAsia="Amiri" w:cs="Amiri"/>
          <w:lang w:bidi="ar-SA"/>
          <w:color w:val="111111"/>
          <w:sz w:val="28"/>
          <w:szCs w:val="28"/>
          <w:rtl/>
        </w:rPr>
        <w:t xml:space="preserve">7 .كشف الرين و نزح الشين و نور</w:t>
      </w:r>
    </w:p>
    <w:p>
      <w:pPr>
        <w:pStyle w:val="BookText"/>
      </w:pPr>
      <w:r>
        <w:rPr>
          <w:rFonts w:ascii="Amiri" w:hAnsi="Amiri" w:eastAsia="Amiri" w:cs="Amiri"/>
          <w:lang w:bidi="ar-SA"/>
          <w:color w:val="111111"/>
          <w:sz w:val="28"/>
          <w:szCs w:val="28"/>
          <w:rtl/>
        </w:rPr>
        <w:t xml:space="preserve">العين، ج13، ص217.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كفاية العامل و هداية العاقل</w:t>
      </w:r>
    </w:p>
    <w:p>
      <w:pPr>
        <w:pStyle w:val="BookText"/>
      </w:pPr>
      <w:r>
        <w:rPr>
          <w:rFonts w:ascii="IRNazanin" w:hAnsi="IRNazanin" w:eastAsia="IRNazanin" w:cs="IRNazanin"/>
          <w:lang w:bidi="fa-IR"/>
          <w:color w:val="111111"/>
          <w:sz w:val="28"/>
          <w:szCs w:val="28"/>
          <w:rtl/>
        </w:rPr>
        <w:t xml:space="preserve">ج 13، ص 322.</w:t>
      </w:r>
    </w:p>
    <w:p>
      <w:pPr>
        <w:pStyle w:val="BookText"/>
      </w:pPr>
      <w:r>
        <w:rPr>
          <w:rFonts w:ascii="Amiri" w:hAnsi="Amiri" w:eastAsia="Amiri" w:cs="Amiri"/>
          <w:lang w:bidi="ar-SA"/>
          <w:color w:val="111111"/>
          <w:sz w:val="28"/>
          <w:szCs w:val="28"/>
          <w:rtl/>
        </w:rPr>
        <w:t xml:space="preserve">9 .المدد الفائض و الكشف العارض</w:t>
      </w:r>
    </w:p>
    <w:p>
      <w:pPr>
        <w:pStyle w:val="BookText"/>
      </w:pPr>
      <w:r>
        <w:rPr>
          <w:rFonts w:ascii="IRNazanin" w:hAnsi="IRNazanin" w:eastAsia="IRNazanin" w:cs="IRNazanin"/>
          <w:lang w:bidi="fa-IR"/>
          <w:color w:val="111111"/>
          <w:sz w:val="28"/>
          <w:szCs w:val="28"/>
          <w:rtl/>
        </w:rPr>
        <w:t xml:space="preserve">ج 14، ص 333.</w:t>
      </w:r>
    </w:p>
    <w:p>
      <w:pPr>
        <w:pStyle w:val="BookText"/>
      </w:pPr>
      <w:r>
        <w:rPr>
          <w:rFonts w:ascii="Amiri" w:hAnsi="Amiri" w:eastAsia="Amiri" w:cs="Amiri"/>
          <w:lang w:bidi="ar-SA"/>
          <w:color w:val="111111"/>
          <w:sz w:val="28"/>
          <w:szCs w:val="28"/>
          <w:rtl/>
        </w:rPr>
        <w:t xml:space="preserve">10 .مصباح الهداية ومفتاح الولاية</w:t>
      </w:r>
    </w:p>
    <w:p>
      <w:pPr>
        <w:pStyle w:val="BookText"/>
      </w:pPr>
      <w:r>
        <w:rPr>
          <w:rFonts w:ascii="IRNazanin" w:hAnsi="IRNazanin" w:eastAsia="IRNazanin" w:cs="IRNazanin"/>
          <w:lang w:bidi="fa-IR"/>
          <w:color w:val="111111"/>
          <w:sz w:val="28"/>
          <w:szCs w:val="28"/>
          <w:rtl/>
        </w:rPr>
        <w:t xml:space="preserve">ج 14 ، ص 742 .</w:t>
      </w:r>
    </w:p>
    <w:p>
      <w:pPr>
        <w:pStyle w:val="BookText"/>
      </w:pPr>
      <w:r>
        <w:rPr>
          <w:rFonts w:ascii="Amiri" w:hAnsi="Amiri" w:eastAsia="Amiri" w:cs="Amiri"/>
          <w:lang w:bidi="ar-SA"/>
          <w:color w:val="111111"/>
          <w:sz w:val="28"/>
          <w:szCs w:val="28"/>
          <w:rtl/>
        </w:rPr>
        <w:t xml:space="preserve">11 .الميمية، ج 16، ص 78.</w:t>
      </w:r>
    </w:p>
    <w:p>
      <w:pPr>
        <w:pStyle w:val="BookText"/>
      </w:pPr>
      <w:r>
        <w:rPr>
          <w:rFonts w:ascii="Amiri" w:hAnsi="Amiri" w:eastAsia="Amiri" w:cs="Amiri"/>
          <w:lang w:bidi="ar-SA"/>
          <w:color w:val="111111"/>
          <w:sz w:val="28"/>
          <w:szCs w:val="28"/>
          <w:rtl/>
        </w:rPr>
        <w:t xml:space="preserve">12 .نزهة الاسرار في محاورة الليل</w:t>
      </w:r>
    </w:p>
    <w:p>
      <w:pPr>
        <w:pStyle w:val="BookText"/>
      </w:pPr>
      <w:r>
        <w:rPr>
          <w:rFonts w:ascii="IRNazanin" w:hAnsi="IRNazanin" w:eastAsia="IRNazanin" w:cs="IRNazanin"/>
          <w:lang w:bidi="fa-IR"/>
          <w:color w:val="111111"/>
          <w:sz w:val="28"/>
          <w:szCs w:val="28"/>
          <w:rtl/>
        </w:rPr>
        <w:t xml:space="preserve">ج 16، ص 221.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نسمات الاسحار في كرامات الاولياء</w:t>
      </w:r>
    </w:p>
    <w:p>
      <w:pPr>
        <w:pStyle w:val="BookText"/>
      </w:pPr>
      <w:r>
        <w:rPr>
          <w:rFonts w:ascii="Amiri" w:hAnsi="Amiri" w:eastAsia="Amiri" w:cs="Amiri"/>
          <w:lang w:bidi="ar-SA"/>
          <w:color w:val="111111"/>
          <w:sz w:val="28"/>
          <w:szCs w:val="28"/>
          <w:rtl/>
        </w:rPr>
        <w:t xml:space="preserve">الاخيار، ج 16، ص 277.</w:t>
      </w:r>
    </w:p>
    <w:p>
      <w:pPr>
        <w:pStyle w:val="BookText"/>
      </w:pPr>
      <w:r>
        <w:rPr>
          <w:rFonts w:ascii="Amiri" w:hAnsi="Amiri" w:eastAsia="Amiri" w:cs="Amiri"/>
          <w:lang w:bidi="ar-SA"/>
          <w:color w:val="111111"/>
          <w:sz w:val="28"/>
          <w:szCs w:val="28"/>
          <w:rtl/>
        </w:rPr>
        <w:t xml:space="preserve">14 .نور العين في شرح سلك العين</w:t>
      </w:r>
    </w:p>
    <w:p>
      <w:pPr>
        <w:pStyle w:val="BookText"/>
      </w:pPr>
      <w:r>
        <w:rPr>
          <w:rFonts w:ascii="Amiri" w:hAnsi="Amiri" w:eastAsia="Amiri" w:cs="Amiri"/>
          <w:lang w:bidi="ar-SA"/>
          <w:color w:val="111111"/>
          <w:sz w:val="28"/>
          <w:szCs w:val="28"/>
          <w:rtl/>
        </w:rPr>
        <w:t xml:space="preserve">شرح التائية، ج 16، ص 564.</w:t>
      </w:r>
    </w:p>
    <w:p>
      <w:pPr>
        <w:pStyle w:val="BookText"/>
      </w:pPr>
      <w:r>
        <w:rPr>
          <w:rFonts w:ascii="Amiri" w:hAnsi="Amiri" w:eastAsia="Amiri" w:cs="Amiri"/>
          <w:lang w:bidi="ar-SA"/>
          <w:color w:val="111111"/>
          <w:sz w:val="28"/>
          <w:szCs w:val="28"/>
          <w:rtl/>
        </w:rPr>
        <w:t xml:space="preserve">علواني ، احمد بن عمر -حمامي ، احمد</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علواني ، محمّد بن ابي بكر- محب الدين</w:t>
      </w:r>
    </w:p>
    <w:p>
      <w:pPr>
        <w:pStyle w:val="BookText"/>
      </w:pPr>
      <w:r>
        <w:rPr>
          <w:rFonts w:ascii="Amiri" w:hAnsi="Amiri" w:eastAsia="Amiri" w:cs="Amiri"/>
          <w:lang w:bidi="ar-SA"/>
          <w:color w:val="111111"/>
          <w:sz w:val="28"/>
          <w:szCs w:val="28"/>
          <w:rtl/>
        </w:rPr>
        <w:t xml:space="preserve">حموي ، محمّد بن ابي بكر</w:t>
      </w:r>
    </w:p>
    <w:p>
      <w:pPr>
        <w:pStyle w:val="BookText"/>
      </w:pPr>
      <w:r>
        <w:rPr>
          <w:rFonts w:ascii="Amiri" w:hAnsi="Amiri" w:eastAsia="Amiri" w:cs="Amiri"/>
          <w:lang w:bidi="ar-SA"/>
          <w:color w:val="111111"/>
          <w:sz w:val="28"/>
          <w:szCs w:val="28"/>
          <w:rtl/>
        </w:rPr>
        <w:t xml:space="preserve">علومي كوفي ، علي بن احمد- كوفي ، علي</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6033" w:name="_Toc5135"/>
      <w:r>
        <w:t>علوي ، ابراهيم بن محمّد</w:t>
      </w:r>
      <w:bookmarkEnd w:id="6033"/>
    </w:p>
    <w:p>
      <w:pPr>
        <w:pStyle w:val="BookText"/>
      </w:pPr>
      <w:r>
        <w:rPr>
          <w:rFonts w:ascii="Amiri" w:hAnsi="Amiri" w:eastAsia="Amiri" w:cs="Amiri"/>
          <w:lang w:bidi="ar-SA"/>
          <w:color w:val="111111"/>
          <w:sz w:val="28"/>
          <w:szCs w:val="28"/>
          <w:rtl/>
        </w:rPr>
        <w:t xml:space="preserve">سلسلة الذهب الابريز و الاكسير</w:t>
      </w:r>
    </w:p>
    <w:p>
      <w:pPr>
        <w:pStyle w:val="BookText"/>
      </w:pPr>
      <w:r>
        <w:rPr>
          <w:rFonts w:ascii="Amiri" w:hAnsi="Amiri" w:eastAsia="Amiri" w:cs="Amiri"/>
          <w:lang w:bidi="ar-SA"/>
          <w:color w:val="111111"/>
          <w:sz w:val="28"/>
          <w:szCs w:val="28"/>
          <w:rtl/>
        </w:rPr>
        <w:t xml:space="preserve">العزيز، ج8، ص 804.</w:t>
      </w:r>
    </w:p>
    <w:p>
      <w:pPr>
        <w:pStyle w:val="Heading2"/>
      </w:pPr>
      <w:bookmarkStart w:id="6034" w:name="_Toc5136"/>
      <w:r>
        <w:t>علوي ، ابوالحسن بن احمد ، قرن 7 ه-</w:t>
      </w:r>
      <w:bookmarkEnd w:id="6034"/>
    </w:p>
    <w:p>
      <w:pPr>
        <w:pStyle w:val="BookText"/>
      </w:pPr>
      <w:r>
        <w:rPr>
          <w:rFonts w:ascii="Amiri" w:hAnsi="Amiri" w:eastAsia="Amiri" w:cs="Amiri"/>
          <w:lang w:bidi="ar-SA"/>
          <w:color w:val="111111"/>
          <w:sz w:val="28"/>
          <w:szCs w:val="28"/>
          <w:rtl/>
        </w:rPr>
        <w:t xml:space="preserve">شرح تنزيل الشمس في المنازل، ج9،</w:t>
      </w:r>
    </w:p>
    <w:p>
      <w:pPr>
        <w:pStyle w:val="BookText"/>
      </w:pPr>
      <w:r>
        <w:rPr>
          <w:rFonts w:ascii="IRNazanin" w:hAnsi="IRNazanin" w:eastAsia="IRNazanin" w:cs="IRNazanin"/>
          <w:lang w:bidi="fa-IR"/>
          <w:color w:val="111111"/>
          <w:sz w:val="28"/>
          <w:szCs w:val="28"/>
          <w:rtl/>
        </w:rPr>
        <w:t xml:space="preserve">ص 346 .</w:t>
      </w:r>
    </w:p>
    <w:p>
      <w:pPr>
        <w:pStyle w:val="BookText"/>
      </w:pPr>
      <w:r>
        <w:rPr>
          <w:rFonts w:ascii="Amiri" w:hAnsi="Amiri" w:eastAsia="Amiri" w:cs="Amiri"/>
          <w:lang w:bidi="ar-SA"/>
          <w:color w:val="111111"/>
          <w:sz w:val="28"/>
          <w:szCs w:val="28"/>
          <w:rtl/>
        </w:rPr>
        <w:t xml:space="preserve">علوي ، ابوبكر بن يوسف- قاسمي</w:t>
      </w:r>
    </w:p>
    <w:p>
      <w:pPr>
        <w:pStyle w:val="BookText"/>
      </w:pPr>
      <w:r>
        <w:rPr>
          <w:rFonts w:ascii="Amiri" w:hAnsi="Amiri" w:eastAsia="Amiri" w:cs="Amiri"/>
          <w:lang w:bidi="ar-SA"/>
          <w:color w:val="111111"/>
          <w:sz w:val="28"/>
          <w:szCs w:val="28"/>
          <w:rtl/>
        </w:rPr>
        <w:t xml:space="preserve">ابوبكر بن يوسف</w:t>
      </w:r>
    </w:p>
    <w:p>
      <w:pPr>
        <w:pStyle w:val="BookText"/>
      </w:pPr>
      <w:r>
        <w:rPr>
          <w:rFonts w:ascii="Amiri" w:hAnsi="Amiri" w:eastAsia="Amiri" w:cs="Amiri"/>
          <w:lang w:bidi="ar-SA"/>
          <w:color w:val="111111"/>
          <w:sz w:val="28"/>
          <w:szCs w:val="28"/>
          <w:rtl/>
        </w:rPr>
        <w:t xml:space="preserve">علوي استرآبادي ، محمّد بن علي- استرآبادي ، محمّد بن علي</w:t>
      </w:r>
    </w:p>
    <w:p>
      <w:pPr>
        <w:pStyle w:val="Heading2"/>
      </w:pPr>
      <w:bookmarkStart w:id="6035" w:name="_Toc5137"/>
      <w:r>
        <w:t>علوي، اسماعيل بن ابراهيم قرن 11 ه-</w:t>
      </w:r>
      <w:bookmarkEnd w:id="6035"/>
    </w:p>
    <w:p>
      <w:pPr>
        <w:pStyle w:val="BookText"/>
      </w:pPr>
      <w:r>
        <w:rPr>
          <w:rFonts w:ascii="Amiri" w:hAnsi="Amiri" w:eastAsia="Amiri" w:cs="Amiri"/>
          <w:lang w:bidi="ar-SA"/>
          <w:color w:val="111111"/>
          <w:sz w:val="28"/>
          <w:szCs w:val="28"/>
          <w:rtl/>
        </w:rPr>
        <w:t xml:space="preserve">السراج المنير في شرح الجامع الصغير</w:t>
      </w:r>
    </w:p>
    <w:p>
      <w:pPr>
        <w:pStyle w:val="BookText"/>
      </w:pPr>
      <w:r>
        <w:rPr>
          <w:rFonts w:ascii="IRNazanin" w:hAnsi="IRNazanin" w:eastAsia="IRNazanin" w:cs="IRNazanin"/>
          <w:lang w:bidi="fa-IR"/>
          <w:color w:val="111111"/>
          <w:sz w:val="28"/>
          <w:szCs w:val="28"/>
          <w:rtl/>
        </w:rPr>
        <w:t xml:space="preserve">ج 8، ص 740.</w:t>
      </w:r>
    </w:p>
    <w:p>
      <w:pPr>
        <w:pStyle w:val="BookText"/>
      </w:pPr>
      <w:r>
        <w:rPr>
          <w:rFonts w:ascii="Amiri" w:hAnsi="Amiri" w:eastAsia="Amiri" w:cs="Amiri"/>
          <w:lang w:bidi="ar-SA"/>
          <w:color w:val="111111"/>
          <w:sz w:val="28"/>
          <w:szCs w:val="28"/>
          <w:rtl/>
        </w:rPr>
        <w:t xml:space="preserve">علوي اصفهاني ، محمّد بن احمد- ابن</w:t>
      </w:r>
    </w:p>
    <w:p>
      <w:pPr>
        <w:pStyle w:val="BookText"/>
      </w:pPr>
      <w:r>
        <w:rPr>
          <w:rFonts w:ascii="IRNazanin" w:hAnsi="IRNazanin" w:eastAsia="IRNazanin" w:cs="IRNazanin"/>
          <w:lang w:bidi="fa-IR"/>
          <w:color w:val="111111"/>
          <w:sz w:val="28"/>
          <w:szCs w:val="28"/>
          <w:rtl/>
        </w:rPr>
        <w:t xml:space="preserve">طباطبا ، محمّد بن احمد</w:t>
      </w:r>
    </w:p>
    <w:p>
      <w:pPr>
        <w:pStyle w:val="Heading2"/>
      </w:pPr>
      <w:bookmarkStart w:id="6036" w:name="_Toc5138"/>
      <w:r>
        <w:t>علوي اصفهاني، مصطفى بن عقیل قرن</w:t>
      </w:r>
      <w:bookmarkEnd w:id="6036"/>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بدائع الحكم ناصري، ج 3، ص 258.</w:t>
      </w:r>
    </w:p>
    <w:p>
      <w:pPr>
        <w:pStyle w:val="BookText"/>
      </w:pPr>
      <w:r>
        <w:rPr>
          <w:rFonts w:ascii="Amiri" w:hAnsi="Amiri" w:eastAsia="Amiri" w:cs="Amiri"/>
          <w:lang w:bidi="ar-SA"/>
          <w:color w:val="111111"/>
          <w:sz w:val="28"/>
          <w:szCs w:val="28"/>
          <w:rtl/>
        </w:rPr>
        <w:t xml:space="preserve">علوي بخارائي ، محمّد شريف- حسيني</w:t>
      </w:r>
    </w:p>
    <w:p>
      <w:pPr>
        <w:pStyle w:val="BookText"/>
      </w:pPr>
      <w:r>
        <w:rPr>
          <w:rFonts w:ascii="Amiri" w:hAnsi="Amiri" w:eastAsia="Amiri" w:cs="Amiri"/>
          <w:lang w:bidi="ar-SA"/>
          <w:color w:val="111111"/>
          <w:sz w:val="28"/>
          <w:szCs w:val="28"/>
          <w:rtl/>
        </w:rPr>
        <w:t xml:space="preserve">علوي ، محمّد شريف بن محمّد</w:t>
      </w:r>
    </w:p>
    <w:p>
      <w:pPr>
        <w:pStyle w:val="BookText"/>
      </w:pPr>
      <w:r>
        <w:rPr>
          <w:rFonts w:ascii="Amiri" w:hAnsi="Amiri" w:eastAsia="Amiri" w:cs="Amiri"/>
          <w:lang w:bidi="ar-SA"/>
          <w:color w:val="111111"/>
          <w:sz w:val="28"/>
          <w:szCs w:val="28"/>
          <w:rtl/>
        </w:rPr>
        <w:t xml:space="preserve">علوي بروجردي ، حسين بن رضا- بروجردي ، حسين بن محمّد رضا</w:t>
      </w:r>
    </w:p>
    <w:p>
      <w:pPr>
        <w:pStyle w:val="BookText"/>
      </w:pPr>
      <w:r>
        <w:rPr>
          <w:rFonts w:ascii="Amiri" w:hAnsi="Amiri" w:eastAsia="Amiri" w:cs="Amiri"/>
          <w:lang w:bidi="ar-SA"/>
          <w:color w:val="111111"/>
          <w:sz w:val="28"/>
          <w:szCs w:val="28"/>
          <w:rtl/>
        </w:rPr>
        <w:t xml:space="preserve">علوي بغدادي ، عمر بن ابراهيم -كوفي ،</w:t>
      </w:r>
    </w:p>
    <w:p>
      <w:pPr>
        <w:pStyle w:val="BookText"/>
      </w:pPr>
      <w:r>
        <w:rPr>
          <w:rFonts w:ascii="Amiri" w:hAnsi="Amiri" w:eastAsia="Amiri" w:cs="Amiri"/>
          <w:lang w:bidi="ar-SA"/>
          <w:color w:val="111111"/>
          <w:sz w:val="28"/>
          <w:szCs w:val="28"/>
          <w:rtl/>
        </w:rPr>
        <w:t xml:space="preserve">عمر بن ابراهيم</w:t>
      </w:r>
    </w:p>
    <w:p>
      <w:pPr>
        <w:pStyle w:val="BookText"/>
      </w:pPr>
      <w:r>
        <w:rPr>
          <w:rFonts w:ascii="Amiri" w:hAnsi="Amiri" w:eastAsia="Amiri" w:cs="Amiri"/>
          <w:lang w:bidi="ar-SA"/>
          <w:color w:val="111111"/>
          <w:sz w:val="28"/>
          <w:szCs w:val="28"/>
          <w:rtl/>
        </w:rPr>
        <w:t xml:space="preserve">علوي ، حبيب عبدالله -حدادي ، عبدالله</w:t>
      </w:r>
    </w:p>
    <w:p>
      <w:pPr>
        <w:pStyle w:val="BookText"/>
      </w:pPr>
      <w:r>
        <w:rPr>
          <w:rFonts w:ascii="Amiri" w:hAnsi="Amiri" w:eastAsia="Amiri" w:cs="Amiri"/>
          <w:lang w:bidi="ar-SA"/>
          <w:color w:val="111111"/>
          <w:sz w:val="28"/>
          <w:szCs w:val="28"/>
          <w:rtl/>
        </w:rPr>
        <w:t xml:space="preserve">بن علوي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790" w:name="pg7742_70833"/>
    <w:bookmarkEnd w:id="790"/>
    <w:p>
      <w:pPr>
        <w:pStyle w:val="Heading2"/>
      </w:pPr>
      <w:bookmarkStart w:id="6037" w:name="_Toc5139"/>
      <w:r>
        <w:t>علوي ، حسن بن محمّد - 670 ه-</w:t>
      </w:r>
      <w:bookmarkEnd w:id="6037"/>
    </w:p>
    <w:p>
      <w:pPr>
        <w:pStyle w:val="BookText"/>
      </w:pPr>
      <w:r>
        <w:rPr>
          <w:rFonts w:ascii="Amiri" w:hAnsi="Amiri" w:eastAsia="Amiri" w:cs="Amiri"/>
          <w:lang w:bidi="ar-SA"/>
          <w:color w:val="111111"/>
          <w:sz w:val="28"/>
          <w:szCs w:val="28"/>
          <w:rtl/>
        </w:rPr>
        <w:t xml:space="preserve">1 .انوار اليقين = المربعة، ج 3، ص31.</w:t>
      </w:r>
    </w:p>
    <w:p>
      <w:pPr>
        <w:pStyle w:val="BookText"/>
      </w:pPr>
      <w:r>
        <w:rPr>
          <w:rFonts w:ascii="Amiri" w:hAnsi="Amiri" w:eastAsia="Amiri" w:cs="Amiri"/>
          <w:lang w:bidi="ar-SA"/>
          <w:color w:val="111111"/>
          <w:sz w:val="28"/>
          <w:szCs w:val="28"/>
          <w:rtl/>
        </w:rPr>
        <w:t xml:space="preserve">2 .انوار اليقين في امامة امير المؤمنين = شرح انوار اليقين، ج3، ص31.</w:t>
      </w:r>
    </w:p>
    <w:p>
      <w:pPr>
        <w:pStyle w:val="Heading2"/>
      </w:pPr>
      <w:bookmarkStart w:id="6038" w:name="_Toc5140"/>
      <w:r>
        <w:t>علوي ، حسين بن امان الله</w:t>
      </w:r>
      <w:bookmarkEnd w:id="6038"/>
    </w:p>
    <w:p>
      <w:pPr>
        <w:pStyle w:val="BookText"/>
      </w:pPr>
      <w:r>
        <w:rPr>
          <w:rFonts w:ascii="Amiri" w:hAnsi="Amiri" w:eastAsia="Amiri" w:cs="Amiri"/>
          <w:lang w:bidi="ar-SA"/>
          <w:color w:val="111111"/>
          <w:sz w:val="28"/>
          <w:szCs w:val="28"/>
          <w:rtl/>
        </w:rPr>
        <w:t xml:space="preserve">حكم مال الامام في الغيبة (رسالة في)</w:t>
      </w:r>
    </w:p>
    <w:p>
      <w:pPr>
        <w:pStyle w:val="BookText"/>
      </w:pPr>
      <w:r>
        <w:rPr>
          <w:rFonts w:ascii="IRNazanin" w:hAnsi="IRNazanin" w:eastAsia="IRNazanin" w:cs="IRNazanin"/>
          <w:lang w:bidi="fa-IR"/>
          <w:color w:val="111111"/>
          <w:sz w:val="28"/>
          <w:szCs w:val="28"/>
          <w:rtl/>
        </w:rPr>
        <w:t xml:space="preserve">ج 6، ص 763 .</w:t>
      </w:r>
    </w:p>
    <w:p>
      <w:pPr>
        <w:pStyle w:val="BookText"/>
      </w:pPr>
      <w:r>
        <w:rPr>
          <w:rFonts w:ascii="Amiri" w:hAnsi="Amiri" w:eastAsia="Amiri" w:cs="Amiri"/>
          <w:lang w:bidi="ar-SA"/>
          <w:color w:val="111111"/>
          <w:sz w:val="28"/>
          <w:szCs w:val="28"/>
          <w:rtl/>
        </w:rPr>
        <w:t xml:space="preserve">علوي ، حسين بن عبد الرحمن -ابن اهدل</w:t>
      </w:r>
    </w:p>
    <w:p>
      <w:pPr>
        <w:pStyle w:val="BookText"/>
      </w:pPr>
      <w:r>
        <w:rPr>
          <w:rFonts w:ascii="Amiri" w:hAnsi="Amiri" w:eastAsia="Amiri" w:cs="Amiri"/>
          <w:lang w:bidi="ar-SA"/>
          <w:color w:val="111111"/>
          <w:sz w:val="28"/>
          <w:szCs w:val="28"/>
          <w:rtl/>
        </w:rPr>
        <w:t xml:space="preserve">، حسين بن عبدالرحمن</w:t>
      </w:r>
    </w:p>
    <w:p>
      <w:pPr>
        <w:pStyle w:val="BookText"/>
      </w:pPr>
      <w:r>
        <w:rPr>
          <w:rFonts w:ascii="Amiri" w:hAnsi="Amiri" w:eastAsia="Amiri" w:cs="Amiri"/>
          <w:lang w:bidi="ar-SA"/>
          <w:color w:val="111111"/>
          <w:sz w:val="28"/>
          <w:szCs w:val="28"/>
          <w:rtl/>
        </w:rPr>
        <w:t xml:space="preserve">علوي ، حسين بن محمّد علي -موسوي ،</w:t>
      </w:r>
    </w:p>
    <w:p>
      <w:pPr>
        <w:pStyle w:val="BookText"/>
      </w:pPr>
      <w:r>
        <w:rPr>
          <w:rFonts w:ascii="Amiri" w:hAnsi="Amiri" w:eastAsia="Amiri" w:cs="Amiri"/>
          <w:lang w:bidi="ar-SA"/>
          <w:color w:val="111111"/>
          <w:sz w:val="28"/>
          <w:szCs w:val="28"/>
          <w:rtl/>
        </w:rPr>
        <w:t xml:space="preserve">حسين بن محمّد علي</w:t>
      </w:r>
    </w:p>
    <w:p>
      <w:pPr>
        <w:pStyle w:val="BookText"/>
      </w:pPr>
      <w:r>
        <w:rPr>
          <w:rFonts w:ascii="Amiri" w:hAnsi="Amiri" w:eastAsia="Amiri" w:cs="Amiri"/>
          <w:lang w:bidi="ar-SA"/>
          <w:color w:val="111111"/>
          <w:sz w:val="28"/>
          <w:szCs w:val="28"/>
          <w:rtl/>
        </w:rPr>
        <w:t xml:space="preserve">علوي حسيني ، حسن بن</w:t>
      </w:r>
    </w:p>
    <w:p>
      <w:pPr>
        <w:pStyle w:val="BookText"/>
      </w:pPr>
      <w:r>
        <w:rPr>
          <w:rFonts w:ascii="Amiri" w:hAnsi="Amiri" w:eastAsia="Amiri" w:cs="Amiri"/>
          <w:lang w:bidi="ar-SA"/>
          <w:color w:val="111111"/>
          <w:sz w:val="28"/>
          <w:szCs w:val="28"/>
          <w:rtl/>
        </w:rPr>
        <w:t xml:space="preserve">محمّد- استرآبادي ، حسن بن محمّد</w:t>
      </w:r>
    </w:p>
    <w:p>
      <w:pPr>
        <w:pStyle w:val="BookText"/>
      </w:pPr>
      <w:r>
        <w:rPr>
          <w:rFonts w:ascii="Amiri" w:hAnsi="Amiri" w:eastAsia="Amiri" w:cs="Amiri"/>
          <w:lang w:bidi="ar-SA"/>
          <w:color w:val="111111"/>
          <w:sz w:val="28"/>
          <w:szCs w:val="28"/>
          <w:rtl/>
        </w:rPr>
        <w:t xml:space="preserve">علوي حسيني ، عبدالحسيب بن</w:t>
      </w:r>
    </w:p>
    <w:p>
      <w:pPr>
        <w:pStyle w:val="BookText"/>
      </w:pPr>
      <w:r>
        <w:rPr>
          <w:rFonts w:ascii="Amiri" w:hAnsi="Amiri" w:eastAsia="Amiri" w:cs="Amiri"/>
          <w:lang w:bidi="ar-SA"/>
          <w:color w:val="111111"/>
          <w:sz w:val="28"/>
          <w:szCs w:val="28"/>
          <w:rtl/>
        </w:rPr>
        <w:t xml:space="preserve">احمد -حسيني علوي ، محمّد بن احمد</w:t>
      </w:r>
    </w:p>
    <w:p>
      <w:pPr>
        <w:pStyle w:val="BookText"/>
      </w:pPr>
      <w:r>
        <w:rPr>
          <w:rFonts w:ascii="IRNazanin" w:hAnsi="IRNazanin" w:eastAsia="IRNazanin" w:cs="IRNazanin"/>
          <w:lang w:bidi="fa-IR"/>
          <w:color w:val="111111"/>
          <w:sz w:val="28"/>
          <w:szCs w:val="28"/>
          <w:rtl/>
        </w:rPr>
        <w:t xml:space="preserve">علوي حسيني گيلاني ، عبدالقادر بن ابي ،صالح -عبد القادر جيلاني ، عبد القادر بن</w:t>
      </w:r>
    </w:p>
    <w:p>
      <w:pPr>
        <w:pStyle w:val="BookText"/>
      </w:pPr>
      <w:r>
        <w:rPr>
          <w:rFonts w:ascii="IRNazanin" w:hAnsi="IRNazanin" w:eastAsia="IRNazanin" w:cs="IRNazanin"/>
          <w:lang w:bidi="fa-IR"/>
          <w:color w:val="111111"/>
          <w:sz w:val="28"/>
          <w:szCs w:val="28"/>
          <w:rtl/>
        </w:rPr>
        <w:t xml:space="preserve">موسى</w:t>
      </w:r>
    </w:p>
    <w:p>
      <w:pPr>
        <w:pStyle w:val="Heading2"/>
      </w:pPr>
      <w:bookmarkStart w:id="6039" w:name="_Toc5141"/>
      <w:r>
        <w:t>علوي حسيني ، محمّد بن علي - 445 ه-</w:t>
      </w:r>
      <w:bookmarkEnd w:id="60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فضل اهل الكوفة وفضل اهلها</w:t>
      </w:r>
    </w:p>
    <w:p>
      <w:pPr>
        <w:pStyle w:val="BookText"/>
      </w:pPr>
      <w:r>
        <w:rPr>
          <w:rFonts w:ascii="IRNazanin" w:hAnsi="IRNazanin" w:eastAsia="IRNazanin" w:cs="IRNazanin"/>
          <w:lang w:bidi="fa-IR"/>
          <w:color w:val="111111"/>
          <w:sz w:val="28"/>
          <w:szCs w:val="28"/>
          <w:rtl/>
        </w:rPr>
        <w:t xml:space="preserve">ج 12، ص 22.</w:t>
      </w:r>
    </w:p>
    <w:p>
      <w:pPr>
        <w:pStyle w:val="BookText"/>
      </w:pPr>
      <w:r>
        <w:rPr>
          <w:rFonts w:ascii="Amiri" w:hAnsi="Amiri" w:eastAsia="Amiri" w:cs="Amiri"/>
          <w:lang w:bidi="ar-SA"/>
          <w:color w:val="111111"/>
          <w:sz w:val="28"/>
          <w:szCs w:val="28"/>
          <w:rtl/>
        </w:rPr>
        <w:t xml:space="preserve">2 .فضل زيارة الحسين عليه السلام</w:t>
      </w:r>
    </w:p>
    <w:p>
      <w:pPr>
        <w:pStyle w:val="BookText"/>
      </w:pPr>
      <w:r>
        <w:rPr>
          <w:rFonts w:ascii="IRNazanin" w:hAnsi="IRNazanin" w:eastAsia="IRNazanin" w:cs="IRNazanin"/>
          <w:lang w:bidi="fa-IR"/>
          <w:color w:val="111111"/>
          <w:sz w:val="28"/>
          <w:szCs w:val="28"/>
          <w:rtl/>
        </w:rPr>
        <w:t xml:space="preserve">ج 12، ص 24 .</w:t>
      </w:r>
    </w:p>
    <w:p>
      <w:pPr>
        <w:pStyle w:val="BookText"/>
      </w:pPr>
      <w:r>
        <w:rPr>
          <w:rFonts w:ascii="Amiri" w:hAnsi="Amiri" w:eastAsia="Amiri" w:cs="Amiri"/>
          <w:lang w:bidi="ar-SA"/>
          <w:color w:val="111111"/>
          <w:sz w:val="28"/>
          <w:szCs w:val="28"/>
          <w:rtl/>
        </w:rPr>
        <w:t xml:space="preserve">علوي حسيني ، محمّد بن محمّد- حسيني</w:t>
      </w:r>
    </w:p>
    <w:p>
      <w:pPr>
        <w:pStyle w:val="BookText"/>
      </w:pPr>
      <w:r>
        <w:rPr>
          <w:rFonts w:ascii="Amiri" w:hAnsi="Amiri" w:eastAsia="Amiri" w:cs="Amiri"/>
          <w:lang w:bidi="ar-SA"/>
          <w:color w:val="111111"/>
          <w:sz w:val="28"/>
          <w:szCs w:val="28"/>
          <w:rtl/>
        </w:rPr>
        <w:t xml:space="preserve">علوي ، محمّد بن محمّد</w:t>
      </w:r>
    </w:p>
    <w:p>
      <w:pPr>
        <w:pStyle w:val="Heading2"/>
      </w:pPr>
      <w:bookmarkStart w:id="6040" w:name="_Toc5142"/>
      <w:r>
        <w:t>علوي حسيني، مظفر بن فضل - 656 ه-</w:t>
      </w:r>
      <w:bookmarkEnd w:id="6040"/>
    </w:p>
    <w:p>
      <w:pPr>
        <w:pStyle w:val="BookText"/>
      </w:pPr>
      <w:r>
        <w:rPr>
          <w:rFonts w:ascii="Amiri" w:hAnsi="Amiri" w:eastAsia="Amiri" w:cs="Amiri"/>
          <w:lang w:bidi="ar-SA"/>
          <w:color w:val="111111"/>
          <w:sz w:val="28"/>
          <w:szCs w:val="28"/>
          <w:rtl/>
        </w:rPr>
        <w:t xml:space="preserve">نضرة الإغريض في نصرة القريض</w:t>
      </w:r>
    </w:p>
    <w:p>
      <w:pPr>
        <w:pStyle w:val="BookText"/>
      </w:pPr>
      <w:r>
        <w:rPr>
          <w:rFonts w:ascii="IRNazanin" w:hAnsi="IRNazanin" w:eastAsia="IRNazanin" w:cs="IRNazanin"/>
          <w:lang w:bidi="fa-IR"/>
          <w:color w:val="111111"/>
          <w:sz w:val="28"/>
          <w:szCs w:val="28"/>
          <w:rtl/>
        </w:rPr>
        <w:t xml:space="preserve">ج 16، ص 319.</w:t>
      </w:r>
    </w:p>
    <w:p>
      <w:pPr>
        <w:pStyle w:val="BookText"/>
      </w:pPr>
      <w:r>
        <w:rPr>
          <w:rFonts w:ascii="IRNazanin" w:hAnsi="IRNazanin" w:eastAsia="IRNazanin" w:cs="IRNazanin"/>
          <w:lang w:bidi="fa-IR"/>
          <w:color w:val="111111"/>
          <w:sz w:val="28"/>
          <w:szCs w:val="28"/>
          <w:rtl/>
        </w:rPr>
        <w:t xml:space="preserve">علوي حلي ، احمد بن موسی -ابن طاوس ، احمد بن موسى</w:t>
      </w:r>
    </w:p>
    <w:p>
      <w:pPr>
        <w:pStyle w:val="BookText"/>
      </w:pPr>
      <w:r>
        <w:rPr>
          <w:rFonts w:ascii="Amiri" w:hAnsi="Amiri" w:eastAsia="Amiri" w:cs="Amiri"/>
          <w:lang w:bidi="ar-SA"/>
          <w:color w:val="111111"/>
          <w:sz w:val="28"/>
          <w:szCs w:val="28"/>
          <w:rtl/>
        </w:rPr>
        <w:t xml:space="preserve">علوي ، حيدر بن علي -آملي ، حيدر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علوي خراساني شيرازي ، محمّد حسين- عقيلي شيرازي ، محمّد حسين بن محمّد هادي</w:t>
      </w:r>
    </w:p>
    <w:p>
      <w:pPr>
        <w:pStyle w:val="Heading2"/>
      </w:pPr>
      <w:bookmarkStart w:id="6041" w:name="_Toc5143"/>
      <w:r>
        <w:t>علوي سبزواري، محمّد باقر بن محمّد</w:t>
      </w:r>
      <w:bookmarkEnd w:id="6041"/>
    </w:p>
    <w:p>
      <w:pPr>
        <w:pStyle w:val="BookText"/>
      </w:pPr>
      <w:r>
        <w:rPr>
          <w:rFonts w:ascii="Amiri" w:hAnsi="Amiri" w:eastAsia="Amiri" w:cs="Amiri"/>
          <w:lang w:bidi="ar-SA"/>
          <w:color w:val="111111"/>
          <w:sz w:val="28"/>
          <w:szCs w:val="28"/>
          <w:rtl/>
        </w:rPr>
        <w:t xml:space="preserve">علي قرن 14ه-</w:t>
      </w:r>
    </w:p>
    <w:p>
      <w:pPr>
        <w:pStyle w:val="BookText"/>
      </w:pPr>
      <w:r>
        <w:rPr>
          <w:rFonts w:ascii="Amiri" w:hAnsi="Amiri" w:eastAsia="Amiri" w:cs="Amiri"/>
          <w:lang w:bidi="ar-SA"/>
          <w:color w:val="111111"/>
          <w:sz w:val="28"/>
          <w:szCs w:val="28"/>
          <w:rtl/>
        </w:rPr>
        <w:t xml:space="preserve">الشهاب الثاقب في الرد على امام</w:t>
      </w:r>
    </w:p>
    <w:p>
      <w:pPr>
        <w:pStyle w:val="BookText"/>
      </w:pPr>
      <w:r>
        <w:rPr>
          <w:rFonts w:ascii="IRNazanin" w:hAnsi="IRNazanin" w:eastAsia="IRNazanin" w:cs="IRNazanin"/>
          <w:lang w:bidi="fa-IR"/>
          <w:color w:val="111111"/>
          <w:sz w:val="28"/>
          <w:szCs w:val="28"/>
          <w:rtl/>
        </w:rPr>
        <w:t xml:space="preserve">النواصب، ج 10، ص 428.</w:t>
      </w:r>
    </w:p>
    <w:p>
      <w:pPr>
        <w:pStyle w:val="Heading2"/>
      </w:pPr>
      <w:bookmarkStart w:id="6042" w:name="_Toc5144"/>
      <w:r>
        <w:t>علوي سبزواري ، محمّد مهدي بن</w:t>
      </w:r>
      <w:bookmarkEnd w:id="6042"/>
    </w:p>
    <w:p>
      <w:pPr>
        <w:pStyle w:val="BookText"/>
      </w:pPr>
      <w:r>
        <w:rPr>
          <w:rFonts w:ascii="Amiri" w:hAnsi="Amiri" w:eastAsia="Amiri" w:cs="Amiri"/>
          <w:lang w:bidi="ar-SA"/>
          <w:color w:val="111111"/>
          <w:sz w:val="28"/>
          <w:szCs w:val="28"/>
          <w:rtl/>
        </w:rPr>
        <w:t xml:space="preserve">ابراهيم، 1326 - 1350 ه-</w:t>
      </w:r>
    </w:p>
    <w:p>
      <w:pPr>
        <w:pStyle w:val="BookText"/>
      </w:pPr>
      <w:r>
        <w:rPr>
          <w:rFonts w:ascii="Amiri" w:hAnsi="Amiri" w:eastAsia="Amiri" w:cs="Amiri"/>
          <w:lang w:bidi="ar-SA"/>
          <w:color w:val="111111"/>
          <w:sz w:val="28"/>
          <w:szCs w:val="28"/>
          <w:rtl/>
        </w:rPr>
        <w:t xml:space="preserve">1 .خير التحف في جواز السجود على</w:t>
      </w:r>
    </w:p>
    <w:p>
      <w:pPr>
        <w:pStyle w:val="BookText"/>
      </w:pPr>
      <w:r>
        <w:rPr>
          <w:rFonts w:ascii="IRNazanin" w:hAnsi="IRNazanin" w:eastAsia="IRNazanin" w:cs="IRNazanin"/>
          <w:lang w:bidi="fa-IR"/>
          <w:color w:val="111111"/>
          <w:sz w:val="28"/>
          <w:szCs w:val="28"/>
          <w:rtl/>
        </w:rPr>
        <w:t xml:space="preserve">الآجر و الخزف، ج 7، ص192.</w:t>
      </w:r>
    </w:p>
    <w:p>
      <w:pPr>
        <w:pStyle w:val="BookText"/>
      </w:pPr>
      <w:r>
        <w:rPr>
          <w:rFonts w:ascii="Amiri" w:hAnsi="Amiri" w:eastAsia="Amiri" w:cs="Amiri"/>
          <w:lang w:bidi="ar-SA"/>
          <w:color w:val="111111"/>
          <w:sz w:val="28"/>
          <w:szCs w:val="28"/>
          <w:rtl/>
        </w:rPr>
        <w:t xml:space="preserve">2 .سمير الخواص في اوهام درة الغواص، ج8، ص 836.</w:t>
      </w:r>
    </w:p>
    <w:p>
      <w:pPr>
        <w:pStyle w:val="BookText"/>
      </w:pPr>
      <w:r>
        <w:rPr>
          <w:rFonts w:ascii="Amiri" w:hAnsi="Amiri" w:eastAsia="Amiri" w:cs="Amiri"/>
          <w:lang w:bidi="ar-SA"/>
          <w:color w:val="111111"/>
          <w:sz w:val="28"/>
          <w:szCs w:val="28"/>
          <w:rtl/>
        </w:rPr>
        <w:t xml:space="preserve">علوي ، شهاب الدين- مليسي ، شهاب</w:t>
      </w:r>
    </w:p>
    <w:p>
      <w:pPr>
        <w:pStyle w:val="BookText"/>
      </w:pPr>
      <w:r>
        <w:rPr>
          <w:rFonts w:ascii="Amiri" w:hAnsi="Amiri" w:eastAsia="Amiri" w:cs="Amiri"/>
          <w:lang w:bidi="ar-SA"/>
          <w:color w:val="111111"/>
          <w:sz w:val="28"/>
          <w:szCs w:val="28"/>
          <w:rtl/>
        </w:rPr>
        <w:t xml:space="preserve">علوي ، شيخ بن محمّد- جفري ، شيخ بن</w:t>
      </w:r>
    </w:p>
    <w:p>
      <w:pPr>
        <w:pStyle w:val="BookText"/>
      </w:pPr>
      <w:r>
        <w:rPr>
          <w:rFonts w:ascii="Amiri" w:hAnsi="Amiri" w:eastAsia="Amiri" w:cs="Amiri"/>
          <w:lang w:bidi="ar-SA"/>
          <w:color w:val="111111"/>
          <w:sz w:val="28"/>
          <w:szCs w:val="28"/>
          <w:rtl/>
        </w:rPr>
        <w:t xml:space="preserve">محمّد</w:t>
      </w:r>
    </w:p>
    <w:p>
      <w:pPr>
        <w:pStyle w:val="Heading2"/>
      </w:pPr>
      <w:bookmarkStart w:id="6043" w:name="_Toc5145"/>
      <w:r>
        <w:t>علوي شيرازي، ابوالحسين بن محمّد</w:t>
      </w:r>
      <w:bookmarkEnd w:id="6043"/>
    </w:p>
    <w:p>
      <w:pPr>
        <w:pStyle w:val="BookText"/>
      </w:pPr>
      <w:r>
        <w:rPr>
          <w:rFonts w:ascii="Amiri" w:hAnsi="Amiri" w:eastAsia="Amiri" w:cs="Amiri"/>
          <w:lang w:bidi="ar-SA"/>
          <w:color w:val="111111"/>
          <w:sz w:val="28"/>
          <w:szCs w:val="28"/>
          <w:rtl/>
        </w:rPr>
        <w:t xml:space="preserve">هادي</w:t>
      </w:r>
    </w:p>
    <w:p>
      <w:pPr>
        <w:pStyle w:val="BookText"/>
      </w:pPr>
      <w:r>
        <w:rPr>
          <w:rFonts w:ascii="Amiri" w:hAnsi="Amiri" w:eastAsia="Amiri" w:cs="Amiri"/>
          <w:lang w:bidi="ar-SA"/>
          <w:color w:val="111111"/>
          <w:sz w:val="28"/>
          <w:szCs w:val="28"/>
          <w:rtl/>
        </w:rPr>
        <w:t xml:space="preserve">خلاصة الطب، ج 7، ص 116.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791" w:name="pg7742_70835"/>
    <w:bookmarkEnd w:id="791"/>
    <w:p>
      <w:pPr>
        <w:pStyle w:val="Heading2"/>
      </w:pPr>
      <w:bookmarkStart w:id="6044" w:name="_Toc5146"/>
      <w:r>
        <w:t>علوي عاملي ، احمد بن زين العابدين</w:t>
      </w:r>
      <w:bookmarkEnd w:id="6044"/>
    </w:p>
    <w:p>
      <w:pPr>
        <w:pStyle w:val="BookText"/>
      </w:pPr>
      <w:r>
        <w:rPr>
          <w:rFonts w:ascii="IRNazanin" w:hAnsi="IRNazanin" w:eastAsia="IRNazanin" w:cs="IRNazanin"/>
          <w:lang w:bidi="fa-IR"/>
          <w:color w:val="111111"/>
          <w:sz w:val="28"/>
          <w:szCs w:val="28"/>
          <w:rtl/>
        </w:rPr>
        <w:t xml:space="preserve">1054ه-</w:t>
      </w:r>
    </w:p>
    <w:p>
      <w:pPr>
        <w:pStyle w:val="BookText"/>
      </w:pPr>
      <w:r>
        <w:rPr>
          <w:rFonts w:ascii="IRNazanin" w:hAnsi="IRNazanin" w:eastAsia="IRNazanin" w:cs="IRNazanin"/>
          <w:lang w:bidi="fa-IR"/>
          <w:color w:val="111111"/>
          <w:sz w:val="28"/>
          <w:szCs w:val="28"/>
          <w:rtl/>
        </w:rPr>
        <w:t xml:space="preserve">1 .بيان الحق و تبیان الصدق، ج3،</w:t>
      </w:r>
    </w:p>
    <w:p>
      <w:pPr>
        <w:pStyle w:val="BookText"/>
      </w:pPr>
      <w:r>
        <w:rPr>
          <w:rFonts w:ascii="IRNazanin" w:hAnsi="IRNazanin" w:eastAsia="IRNazanin" w:cs="IRNazanin"/>
          <w:lang w:bidi="fa-IR"/>
          <w:color w:val="111111"/>
          <w:sz w:val="28"/>
          <w:szCs w:val="28"/>
          <w:rtl/>
        </w:rPr>
        <w:t xml:space="preserve">ص 469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حظيرة الانس من اركان رياض القدس = حاشية شرح التجريد ج 6 ، ص 674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اصول الكافي، ج 9، ص207.</w:t>
      </w:r>
    </w:p>
    <w:p>
      <w:pPr>
        <w:pStyle w:val="BookText"/>
      </w:pPr>
      <w:r>
        <w:rPr>
          <w:rFonts w:ascii="Amiri" w:hAnsi="Amiri" w:eastAsia="Amiri" w:cs="Amiri"/>
          <w:lang w:bidi="ar-SA"/>
          <w:color w:val="111111"/>
          <w:sz w:val="28"/>
          <w:szCs w:val="28"/>
          <w:rtl/>
        </w:rPr>
        <w:t xml:space="preserve">4 .لوامع رباني در رد شبهات نصراني = اللوامع الربانية في رد الشبهات النصرانية، ج 13، ص 652.</w:t>
      </w:r>
    </w:p>
    <w:p>
      <w:pPr>
        <w:pStyle w:val="BookText"/>
      </w:pPr>
      <w:r>
        <w:rPr>
          <w:rFonts w:ascii="Amiri" w:hAnsi="Amiri" w:eastAsia="Amiri" w:cs="Amiri"/>
          <w:lang w:bidi="ar-SA"/>
          <w:color w:val="111111"/>
          <w:sz w:val="28"/>
          <w:szCs w:val="28"/>
          <w:rtl/>
        </w:rPr>
        <w:t xml:space="preserve">علوي عاملي ، محمّد بن احمد -حسيني</w:t>
      </w:r>
    </w:p>
    <w:p>
      <w:pPr>
        <w:pStyle w:val="BookText"/>
      </w:pPr>
      <w:r>
        <w:rPr>
          <w:rFonts w:ascii="Amiri" w:hAnsi="Amiri" w:eastAsia="Amiri" w:cs="Amiri"/>
          <w:lang w:bidi="ar-SA"/>
          <w:color w:val="111111"/>
          <w:sz w:val="28"/>
          <w:szCs w:val="28"/>
          <w:rtl/>
        </w:rPr>
        <w:t xml:space="preserve">علوي ، محمّد بن احمد</w:t>
      </w:r>
    </w:p>
    <w:p>
      <w:pPr>
        <w:pStyle w:val="BookText"/>
      </w:pPr>
      <w:r>
        <w:rPr>
          <w:rFonts w:ascii="IRNazanin" w:hAnsi="IRNazanin" w:eastAsia="IRNazanin" w:cs="IRNazanin"/>
          <w:lang w:bidi="fa-IR"/>
          <w:color w:val="111111"/>
          <w:sz w:val="28"/>
          <w:szCs w:val="28"/>
          <w:rtl/>
        </w:rPr>
        <w:t xml:space="preserve">علوي عاملي ، محمّد عبدالحسیب بن احمد- حسيني</w:t>
      </w:r>
    </w:p>
    <w:p>
      <w:pPr>
        <w:pStyle w:val="BookText"/>
      </w:pPr>
      <w:r>
        <w:rPr>
          <w:rFonts w:ascii="Amiri" w:hAnsi="Amiri" w:eastAsia="Amiri" w:cs="Amiri"/>
          <w:lang w:bidi="ar-SA"/>
          <w:color w:val="111111"/>
          <w:sz w:val="28"/>
          <w:szCs w:val="28"/>
          <w:rtl/>
        </w:rPr>
        <w:t xml:space="preserve">علوي ، محمّد بن احمد</w:t>
      </w:r>
    </w:p>
    <w:p>
      <w:pPr>
        <w:pStyle w:val="BookText"/>
      </w:pPr>
      <w:r>
        <w:rPr>
          <w:rFonts w:ascii="Amiri" w:hAnsi="Amiri" w:eastAsia="Amiri" w:cs="Amiri"/>
          <w:lang w:bidi="ar-SA"/>
          <w:color w:val="111111"/>
          <w:sz w:val="28"/>
          <w:szCs w:val="28"/>
          <w:rtl/>
        </w:rPr>
        <w:t xml:space="preserve">علوي ، عبد الحسيب بن احمد -حسيني</w:t>
      </w:r>
    </w:p>
    <w:p>
      <w:pPr>
        <w:pStyle w:val="BookText"/>
      </w:pPr>
      <w:r>
        <w:rPr>
          <w:rFonts w:ascii="Amiri" w:hAnsi="Amiri" w:eastAsia="Amiri" w:cs="Amiri"/>
          <w:lang w:bidi="ar-SA"/>
          <w:color w:val="111111"/>
          <w:sz w:val="28"/>
          <w:szCs w:val="28"/>
          <w:rtl/>
        </w:rPr>
        <w:t xml:space="preserve">علوي ، محمّد بن احمد</w:t>
      </w:r>
    </w:p>
    <w:p>
      <w:pPr>
        <w:pStyle w:val="Heading2"/>
      </w:pPr>
      <w:bookmarkStart w:id="6045" w:name="_Toc5147"/>
      <w:r>
        <w:t>علوي، عبدالصمد بن عبدالله قرن 10 ه-</w:t>
      </w:r>
      <w:bookmarkEnd w:id="6045"/>
    </w:p>
    <w:p>
      <w:pPr>
        <w:pStyle w:val="BookText"/>
      </w:pPr>
      <w:r>
        <w:rPr>
          <w:rFonts w:ascii="Amiri" w:hAnsi="Amiri" w:eastAsia="Amiri" w:cs="Amiri"/>
          <w:lang w:bidi="ar-SA"/>
          <w:color w:val="111111"/>
          <w:sz w:val="28"/>
          <w:szCs w:val="28"/>
          <w:rtl/>
        </w:rPr>
        <w:t xml:space="preserve">الجوهرة الخالصة من الشوائب في العقائد الناقمة على جميع المذاهب ج 5 ، ص 613 .</w:t>
      </w:r>
    </w:p>
    <w:p>
      <w:pPr>
        <w:pStyle w:val="BookText"/>
      </w:pPr>
      <w:r>
        <w:rPr>
          <w:rFonts w:ascii="Amiri" w:hAnsi="Amiri" w:eastAsia="Amiri" w:cs="Amiri"/>
          <w:lang w:bidi="ar-SA"/>
          <w:color w:val="111111"/>
          <w:sz w:val="28"/>
          <w:szCs w:val="28"/>
          <w:rtl/>
        </w:rPr>
        <w:t xml:space="preserve">علوي ، عبد الكريم بن احمد- ابن طاوس</w:t>
      </w:r>
    </w:p>
    <w:p>
      <w:pPr>
        <w:pStyle w:val="BookText"/>
      </w:pPr>
      <w:r>
        <w:rPr>
          <w:rFonts w:ascii="IRNazanin" w:hAnsi="IRNazanin" w:eastAsia="IRNazanin" w:cs="IRNazanin"/>
          <w:lang w:bidi="fa-IR"/>
          <w:color w:val="111111"/>
          <w:sz w:val="28"/>
          <w:szCs w:val="28"/>
          <w:rtl/>
        </w:rPr>
        <w:t xml:space="preserve">عبدالکریم بن احمد</w:t>
      </w:r>
    </w:p>
    <w:p>
      <w:pPr>
        <w:pStyle w:val="BookText"/>
      </w:pPr>
      <w:r>
        <w:rPr>
          <w:rFonts w:ascii="IRNazanin" w:hAnsi="IRNazanin" w:eastAsia="IRNazanin" w:cs="IRNazanin"/>
          <w:lang w:bidi="fa-IR"/>
          <w:color w:val="111111"/>
          <w:sz w:val="28"/>
          <w:szCs w:val="28"/>
          <w:rtl/>
        </w:rPr>
        <w:t xml:space="preserve">علوي عقيلي ، محمّد حسین بن محمّد</w:t>
      </w:r>
    </w:p>
    <w:p>
      <w:pPr>
        <w:pStyle w:val="BookText"/>
      </w:pPr>
      <w:r>
        <w:rPr>
          <w:rFonts w:ascii="Amiri" w:hAnsi="Amiri" w:eastAsia="Amiri" w:cs="Amiri"/>
          <w:lang w:bidi="ar-SA"/>
          <w:color w:val="111111"/>
          <w:sz w:val="28"/>
          <w:szCs w:val="28"/>
          <w:rtl/>
        </w:rPr>
        <w:t xml:space="preserve">هادي- عقيلي شيرازي ، محمّد حسين بن محمّد هادي</w:t>
      </w:r>
    </w:p>
    <w:p>
      <w:pPr>
        <w:pStyle w:val="BookText"/>
      </w:pPr>
      <w:r>
        <w:rPr>
          <w:rFonts w:ascii="Amiri" w:hAnsi="Amiri" w:eastAsia="Amiri" w:cs="Amiri"/>
          <w:lang w:bidi="ar-SA"/>
          <w:color w:val="111111"/>
          <w:sz w:val="28"/>
          <w:szCs w:val="28"/>
          <w:rtl/>
        </w:rPr>
        <w:t xml:space="preserve">علوي ، علي بن ابي بكر- سقاف ، علي بن</w:t>
      </w:r>
    </w:p>
    <w:p>
      <w:pPr>
        <w:pStyle w:val="BookText"/>
      </w:pPr>
      <w:r>
        <w:rPr>
          <w:rFonts w:ascii="Amiri" w:hAnsi="Amiri" w:eastAsia="Amiri" w:cs="Amiri"/>
          <w:lang w:bidi="ar-SA"/>
          <w:color w:val="111111"/>
          <w:sz w:val="28"/>
          <w:szCs w:val="28"/>
          <w:rtl/>
        </w:rPr>
        <w:t xml:space="preserve">ابي بكر</w:t>
      </w:r>
    </w:p>
    <w:p>
      <w:pPr>
        <w:pStyle w:val="Heading2"/>
      </w:pPr>
      <w:bookmarkStart w:id="6046" w:name="_Toc5148"/>
      <w:r>
        <w:t>علوي ، علي بن عبد الرحمن</w:t>
      </w:r>
      <w:bookmarkEnd w:id="6046"/>
    </w:p>
    <w:p>
      <w:pPr>
        <w:pStyle w:val="BookText"/>
      </w:pPr>
      <w:r>
        <w:rPr>
          <w:rFonts w:ascii="Amiri" w:hAnsi="Amiri" w:eastAsia="Amiri" w:cs="Amiri"/>
          <w:lang w:bidi="ar-SA"/>
          <w:color w:val="111111"/>
          <w:sz w:val="28"/>
          <w:szCs w:val="28"/>
          <w:rtl/>
        </w:rPr>
        <w:t xml:space="preserve">جزء من انتخاب أبي عبدالله الصوري</w:t>
      </w:r>
    </w:p>
    <w:p>
      <w:pPr>
        <w:pStyle w:val="BookText"/>
      </w:pPr>
      <w:r>
        <w:rPr>
          <w:rFonts w:ascii="IRNazanin" w:hAnsi="IRNazanin" w:eastAsia="IRNazanin" w:cs="IRNazanin"/>
          <w:lang w:bidi="fa-IR"/>
          <w:color w:val="111111"/>
          <w:sz w:val="28"/>
          <w:szCs w:val="28"/>
          <w:rtl/>
        </w:rPr>
        <w:t xml:space="preserve">ج 5، ص 383.</w:t>
      </w:r>
    </w:p>
    <w:p>
      <w:pPr>
        <w:pStyle w:val="Heading2"/>
      </w:pPr>
      <w:bookmarkStart w:id="6047" w:name="_Toc5149"/>
      <w:r>
        <w:t>علوي ، عمر بن علي، 664 - 703 ه-</w:t>
      </w:r>
      <w:bookmarkEnd w:id="6047"/>
    </w:p>
    <w:p>
      <w:pPr>
        <w:pStyle w:val="BookText"/>
      </w:pPr>
      <w:r>
        <w:rPr>
          <w:rFonts w:ascii="Amiri" w:hAnsi="Amiri" w:eastAsia="Amiri" w:cs="Amiri"/>
          <w:lang w:bidi="ar-SA"/>
          <w:color w:val="111111"/>
          <w:sz w:val="28"/>
          <w:szCs w:val="28"/>
          <w:rtl/>
        </w:rPr>
        <w:t xml:space="preserve">التبر المسبوق لخزانة سيد الملوك : المنتخب من الفنون الجامع للمحاسن</w:t>
      </w:r>
    </w:p>
    <w:p>
      <w:pPr>
        <w:pStyle w:val="BookText"/>
      </w:pPr>
      <w:r>
        <w:rPr>
          <w:rFonts w:ascii="Amiri" w:hAnsi="Amiri" w:eastAsia="Amiri" w:cs="Amiri"/>
          <w:lang w:bidi="ar-SA"/>
          <w:color w:val="111111"/>
          <w:sz w:val="28"/>
          <w:szCs w:val="28"/>
          <w:rtl/>
        </w:rPr>
        <w:t xml:space="preserve">و العيون، ج 3، ص 633.</w:t>
      </w:r>
    </w:p>
    <w:p>
      <w:pPr>
        <w:pStyle w:val="BookText"/>
      </w:pPr>
      <w:r>
        <w:rPr>
          <w:rFonts w:ascii="Amiri" w:hAnsi="Amiri" w:eastAsia="Amiri" w:cs="Amiri"/>
          <w:lang w:bidi="ar-SA"/>
          <w:color w:val="111111"/>
          <w:sz w:val="28"/>
          <w:szCs w:val="28"/>
          <w:rtl/>
        </w:rPr>
        <w:t xml:space="preserve">علوي فاطمي ، ابوالقاسم بن محمد رضا -حسيني ، ابوالقاسم بن محمّد رضا</w:t>
      </w:r>
    </w:p>
    <w:p>
      <w:pPr>
        <w:pStyle w:val="BookText"/>
      </w:pPr>
      <w:r>
        <w:rPr>
          <w:rFonts w:ascii="Amiri" w:hAnsi="Amiri" w:eastAsia="Amiri" w:cs="Amiri"/>
          <w:lang w:bidi="ar-SA"/>
          <w:color w:val="111111"/>
          <w:sz w:val="28"/>
          <w:szCs w:val="28"/>
          <w:rtl/>
        </w:rPr>
        <w:t xml:space="preserve">علوي ، قاسم بن محمّد- منصور بالله</w:t>
      </w:r>
    </w:p>
    <w:p>
      <w:pPr>
        <w:pStyle w:val="BookText"/>
      </w:pPr>
      <w:r>
        <w:rPr>
          <w:rFonts w:ascii="IRNazanin" w:hAnsi="IRNazanin" w:eastAsia="IRNazanin" w:cs="IRNazanin"/>
          <w:lang w:bidi="fa-IR"/>
          <w:color w:val="111111"/>
          <w:sz w:val="28"/>
          <w:szCs w:val="28"/>
          <w:rtl/>
        </w:rPr>
        <w:t xml:space="preserve">قاسم بن محمّد</w:t>
      </w:r>
    </w:p>
    <w:p>
      <w:pPr>
        <w:pStyle w:val="BookText"/>
      </w:pPr>
      <w:r>
        <w:rPr>
          <w:rFonts w:ascii="Amiri" w:hAnsi="Amiri" w:eastAsia="Amiri" w:cs="Amiri"/>
          <w:lang w:bidi="ar-SA"/>
          <w:color w:val="111111"/>
          <w:sz w:val="28"/>
          <w:szCs w:val="28"/>
          <w:rtl/>
        </w:rPr>
        <w:t xml:space="preserve">علوي كوفي ، علي بن احمد -كوفي ، علي</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6048" w:name="_Toc5150"/>
      <w:r>
        <w:t>علوي گجراتي وجيه الدين، 911-998 ه-</w:t>
      </w:r>
      <w:bookmarkEnd w:id="6048"/>
    </w:p>
    <w:p>
      <w:pPr>
        <w:pStyle w:val="BookText"/>
      </w:pPr>
      <w:r>
        <w:rPr>
          <w:rFonts w:ascii="Amiri" w:hAnsi="Amiri" w:eastAsia="Amiri" w:cs="Amiri"/>
          <w:lang w:bidi="ar-SA"/>
          <w:color w:val="111111"/>
          <w:sz w:val="28"/>
          <w:szCs w:val="28"/>
          <w:rtl/>
        </w:rPr>
        <w:t xml:space="preserve">شرح نخبة الفكر في مصطلح اهل</w:t>
      </w:r>
    </w:p>
    <w:p>
      <w:pPr>
        <w:pStyle w:val="BookText"/>
      </w:pPr>
      <w:r>
        <w:rPr>
          <w:rFonts w:ascii="IRNazanin" w:hAnsi="IRNazanin" w:eastAsia="IRNazanin" w:cs="IRNazanin"/>
          <w:lang w:bidi="fa-IR"/>
          <w:color w:val="111111"/>
          <w:sz w:val="28"/>
          <w:szCs w:val="28"/>
          <w:rtl/>
        </w:rPr>
        <w:t xml:space="preserve">الاثر، ج 10، ص 283.</w:t>
      </w:r>
    </w:p>
    <w:p>
      <w:pPr>
        <w:pStyle w:val="BookText"/>
      </w:pPr>
      <w:r>
        <w:rPr>
          <w:rFonts w:ascii="Amiri" w:hAnsi="Amiri" w:eastAsia="Amiri" w:cs="Amiri"/>
          <w:lang w:bidi="ar-SA"/>
          <w:color w:val="111111"/>
          <w:sz w:val="28"/>
          <w:szCs w:val="28"/>
          <w:rtl/>
        </w:rPr>
        <w:t xml:space="preserve">علوي مازندراني ، نظام الدين- حسيني</w:t>
      </w:r>
    </w:p>
    <w:p>
      <w:pPr>
        <w:pStyle w:val="BookText"/>
      </w:pPr>
      <w:r>
        <w:rPr>
          <w:rFonts w:ascii="Amiri" w:hAnsi="Amiri" w:eastAsia="Amiri" w:cs="Amiri"/>
          <w:lang w:bidi="ar-SA"/>
          <w:color w:val="111111"/>
          <w:sz w:val="28"/>
          <w:szCs w:val="28"/>
          <w:rtl/>
        </w:rPr>
        <w:t xml:space="preserve">علوي ، نظام الدين</w:t>
      </w:r>
    </w:p>
    <w:p>
      <w:pPr>
        <w:pStyle w:val="Heading2"/>
      </w:pPr>
      <w:bookmarkStart w:id="6049" w:name="_Toc5151"/>
      <w:r>
        <w:t>علوي ، محمّد بن ابي الرضا - 1330 ه-</w:t>
      </w:r>
      <w:bookmarkEnd w:id="6049"/>
    </w:p>
    <w:p>
      <w:pPr>
        <w:pStyle w:val="BookText"/>
      </w:pPr>
      <w:r>
        <w:rPr>
          <w:rFonts w:ascii="Amiri" w:hAnsi="Amiri" w:eastAsia="Amiri" w:cs="Amiri"/>
          <w:lang w:bidi="ar-SA"/>
          <w:color w:val="111111"/>
          <w:sz w:val="28"/>
          <w:szCs w:val="28"/>
          <w:rtl/>
        </w:rPr>
        <w:t xml:space="preserve">التنبيهات على معاني السبع العلويات</w:t>
      </w:r>
    </w:p>
    <w:p>
      <w:pPr>
        <w:pStyle w:val="BookText"/>
      </w:pPr>
      <w:r>
        <w:rPr>
          <w:rFonts w:ascii="IRNazanin" w:hAnsi="IRNazanin" w:eastAsia="IRNazanin" w:cs="IRNazanin"/>
          <w:lang w:bidi="fa-IR"/>
          <w:color w:val="111111"/>
          <w:sz w:val="28"/>
          <w:szCs w:val="28"/>
          <w:rtl/>
        </w:rPr>
        <w:t xml:space="preserve">ج 5، ص 20.</w:t>
      </w:r>
    </w:p>
    <w:p>
      <w:pPr>
        <w:pStyle w:val="BookText"/>
      </w:pPr>
      <w:r>
        <w:rPr>
          <w:rFonts w:ascii="Amiri" w:hAnsi="Amiri" w:eastAsia="Amiri" w:cs="Amiri"/>
          <w:lang w:bidi="ar-SA"/>
          <w:color w:val="111111"/>
          <w:sz w:val="28"/>
          <w:szCs w:val="28"/>
          <w:rtl/>
        </w:rPr>
        <w:t xml:space="preserve">علوي ، محمّد بن حسن- راوندي ، محمد</w:t>
      </w:r>
    </w:p>
    <w:p>
      <w:pPr>
        <w:pStyle w:val="BookText"/>
      </w:pPr>
      <w:r>
        <w:rPr>
          <w:rFonts w:ascii="IRNazanin" w:hAnsi="IRNazanin" w:eastAsia="IRNazanin" w:cs="IRNazanin"/>
          <w:lang w:bidi="fa-IR"/>
          <w:color w:val="111111"/>
          <w:sz w:val="28"/>
          <w:szCs w:val="28"/>
          <w:rtl/>
        </w:rPr>
        <w:t xml:space="preserve">بن حسن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792" w:name="pg7742_70837"/>
    <w:bookmarkEnd w:id="792"/>
    <w:p>
      <w:pPr>
        <w:pStyle w:val="Heading2"/>
      </w:pPr>
      <w:bookmarkStart w:id="6050" w:name="_Toc5152"/>
      <w:r>
        <w:t>علوي ، محمّد بن علي بن حسن</w:t>
      </w:r>
      <w:bookmarkEnd w:id="6050"/>
    </w:p>
    <w:p>
      <w:pPr>
        <w:pStyle w:val="BookText"/>
      </w:pPr>
      <w:r>
        <w:rPr>
          <w:rFonts w:ascii="Amiri" w:hAnsi="Amiri" w:eastAsia="Amiri" w:cs="Amiri"/>
          <w:lang w:bidi="ar-SA"/>
          <w:color w:val="111111"/>
          <w:sz w:val="28"/>
          <w:szCs w:val="28"/>
          <w:rtl/>
        </w:rPr>
        <w:t xml:space="preserve">من كتاب التعازي، ج 15 ، ص 741.</w:t>
      </w:r>
    </w:p>
    <w:p>
      <w:pPr>
        <w:pStyle w:val="BookText"/>
      </w:pPr>
      <w:r>
        <w:rPr>
          <w:rFonts w:ascii="Amiri" w:hAnsi="Amiri" w:eastAsia="Amiri" w:cs="Amiri"/>
          <w:lang w:bidi="ar-SA"/>
          <w:color w:val="111111"/>
          <w:sz w:val="28"/>
          <w:szCs w:val="28"/>
          <w:rtl/>
        </w:rPr>
        <w:t xml:space="preserve">علوي ، محمّد بن مصطفى قرن 11 ه-</w:t>
      </w:r>
    </w:p>
    <w:p>
      <w:pPr>
        <w:pStyle w:val="BookText"/>
      </w:pPr>
      <w:r>
        <w:rPr>
          <w:rFonts w:ascii="Amiri" w:hAnsi="Amiri" w:eastAsia="Amiri" w:cs="Amiri"/>
          <w:lang w:bidi="ar-SA"/>
          <w:color w:val="111111"/>
          <w:sz w:val="28"/>
          <w:szCs w:val="28"/>
          <w:rtl/>
        </w:rPr>
        <w:t xml:space="preserve">1 .نظم الفريدة للسمرقندي، ج 16،</w:t>
      </w:r>
    </w:p>
    <w:p>
      <w:pPr>
        <w:pStyle w:val="BookText"/>
      </w:pPr>
      <w:r>
        <w:rPr>
          <w:rFonts w:ascii="IRNazanin" w:hAnsi="IRNazanin" w:eastAsia="IRNazanin" w:cs="IRNazanin"/>
          <w:lang w:bidi="fa-IR"/>
          <w:color w:val="111111"/>
          <w:sz w:val="28"/>
          <w:szCs w:val="28"/>
          <w:rtl/>
        </w:rPr>
        <w:t xml:space="preserve">ص 352.</w:t>
      </w:r>
    </w:p>
    <w:p>
      <w:pPr>
        <w:pStyle w:val="BookText"/>
      </w:pPr>
      <w:r>
        <w:rPr>
          <w:rFonts w:ascii="Amiri" w:hAnsi="Amiri" w:eastAsia="Amiri" w:cs="Amiri"/>
          <w:lang w:bidi="ar-SA"/>
          <w:color w:val="111111"/>
          <w:sz w:val="28"/>
          <w:szCs w:val="28"/>
          <w:rtl/>
        </w:rPr>
        <w:t xml:space="preserve">2 .نظم عوامل الجرجاني، ج 16،</w:t>
      </w:r>
    </w:p>
    <w:p>
      <w:pPr>
        <w:pStyle w:val="BookText"/>
      </w:pPr>
      <w:r>
        <w:rPr>
          <w:rFonts w:ascii="IRNazanin" w:hAnsi="IRNazanin" w:eastAsia="IRNazanin" w:cs="IRNazanin"/>
          <w:lang w:bidi="fa-IR"/>
          <w:color w:val="111111"/>
          <w:sz w:val="28"/>
          <w:szCs w:val="28"/>
          <w:rtl/>
        </w:rPr>
        <w:t xml:space="preserve">ص 351.</w:t>
      </w:r>
    </w:p>
    <w:p>
      <w:pPr>
        <w:pStyle w:val="Heading2"/>
      </w:pPr>
      <w:bookmarkStart w:id="6051" w:name="_Toc5153"/>
      <w:r>
        <w:t>علوي ، محمّد بن هاشم 1380 ه-</w:t>
      </w:r>
      <w:bookmarkEnd w:id="6051"/>
    </w:p>
    <w:p>
      <w:pPr>
        <w:pStyle w:val="BookText"/>
      </w:pPr>
      <w:r>
        <w:rPr>
          <w:rFonts w:ascii="Amiri" w:hAnsi="Amiri" w:eastAsia="Amiri" w:cs="Amiri"/>
          <w:lang w:bidi="ar-SA"/>
          <w:color w:val="111111"/>
          <w:sz w:val="28"/>
          <w:szCs w:val="28"/>
          <w:rtl/>
        </w:rPr>
        <w:t xml:space="preserve">تكملة تشريح الأفلاك، ج 4، ص 815.</w:t>
      </w:r>
    </w:p>
    <w:p>
      <w:pPr>
        <w:pStyle w:val="BookText"/>
      </w:pPr>
      <w:r>
        <w:rPr>
          <w:rFonts w:ascii="IRNazanin" w:hAnsi="IRNazanin" w:eastAsia="IRNazanin" w:cs="IRNazanin"/>
          <w:lang w:bidi="fa-IR"/>
          <w:color w:val="111111"/>
          <w:sz w:val="28"/>
          <w:szCs w:val="28"/>
          <w:rtl/>
        </w:rPr>
        <w:t xml:space="preserve">علوي ، محمّد حسین بن محمّد هادي- عقيلي شيرازي ، محمّد حسين بن</w:t>
      </w:r>
    </w:p>
    <w:p>
      <w:pPr>
        <w:pStyle w:val="BookText"/>
      </w:pPr>
      <w:r>
        <w:rPr>
          <w:rFonts w:ascii="Amiri" w:hAnsi="Amiri" w:eastAsia="Amiri" w:cs="Amiri"/>
          <w:lang w:bidi="ar-SA"/>
          <w:color w:val="111111"/>
          <w:sz w:val="28"/>
          <w:szCs w:val="28"/>
          <w:rtl/>
        </w:rPr>
        <w:t xml:space="preserve">محمّد هادي</w:t>
      </w:r>
    </w:p>
    <w:p>
      <w:pPr>
        <w:pStyle w:val="BookText"/>
      </w:pPr>
      <w:r>
        <w:rPr>
          <w:rFonts w:ascii="Amiri" w:hAnsi="Amiri" w:eastAsia="Amiri" w:cs="Amiri"/>
          <w:lang w:bidi="ar-SA"/>
          <w:color w:val="111111"/>
          <w:sz w:val="28"/>
          <w:szCs w:val="28"/>
          <w:rtl/>
        </w:rPr>
        <w:t xml:space="preserve">علوي مدني ، محمّد بن حسين -جفري ،</w:t>
      </w:r>
    </w:p>
    <w:p>
      <w:pPr>
        <w:pStyle w:val="BookText"/>
      </w:pPr>
      <w:r>
        <w:rPr>
          <w:rFonts w:ascii="Amiri" w:hAnsi="Amiri" w:eastAsia="Amiri" w:cs="Amiri"/>
          <w:lang w:bidi="ar-SA"/>
          <w:color w:val="111111"/>
          <w:sz w:val="28"/>
          <w:szCs w:val="28"/>
          <w:rtl/>
        </w:rPr>
        <w:t xml:space="preserve">محمّد بن حسين</w:t>
      </w:r>
    </w:p>
    <w:p>
      <w:pPr>
        <w:pStyle w:val="BookText"/>
      </w:pPr>
      <w:r>
        <w:rPr>
          <w:rFonts w:ascii="Amiri" w:hAnsi="Amiri" w:eastAsia="Amiri" w:cs="Amiri"/>
          <w:lang w:bidi="ar-SA"/>
          <w:color w:val="111111"/>
          <w:sz w:val="28"/>
          <w:szCs w:val="28"/>
          <w:rtl/>
        </w:rPr>
        <w:t xml:space="preserve">علوي مصري ، عبد الله بن حسن -حسيني</w:t>
      </w:r>
    </w:p>
    <w:p>
      <w:pPr>
        <w:pStyle w:val="BookText"/>
      </w:pPr>
      <w:r>
        <w:rPr>
          <w:rFonts w:ascii="Amiri" w:hAnsi="Amiri" w:eastAsia="Amiri" w:cs="Amiri"/>
          <w:lang w:bidi="ar-SA"/>
          <w:color w:val="111111"/>
          <w:sz w:val="28"/>
          <w:szCs w:val="28"/>
          <w:rtl/>
        </w:rPr>
        <w:t xml:space="preserve">علوي ، عبدالله بن حسن</w:t>
      </w:r>
    </w:p>
    <w:p>
      <w:pPr>
        <w:pStyle w:val="BookText"/>
      </w:pPr>
      <w:r>
        <w:rPr>
          <w:rFonts w:ascii="Amiri" w:hAnsi="Amiri" w:eastAsia="Amiri" w:cs="Amiri"/>
          <w:lang w:bidi="ar-SA"/>
          <w:color w:val="111111"/>
          <w:sz w:val="28"/>
          <w:szCs w:val="28"/>
          <w:rtl/>
        </w:rPr>
        <w:t xml:space="preserve">علوي ، مظفر بن فضل- علوي حسيني</w:t>
      </w:r>
    </w:p>
    <w:p>
      <w:pPr>
        <w:pStyle w:val="BookText"/>
      </w:pPr>
      <w:r>
        <w:rPr>
          <w:rFonts w:ascii="IRNazanin" w:hAnsi="IRNazanin" w:eastAsia="IRNazanin" w:cs="IRNazanin"/>
          <w:lang w:bidi="fa-IR"/>
          <w:color w:val="111111"/>
          <w:sz w:val="28"/>
          <w:szCs w:val="28"/>
          <w:rtl/>
        </w:rPr>
        <w:t xml:space="preserve">مظفر بن فضل</w:t>
      </w:r>
    </w:p>
    <w:p>
      <w:pPr>
        <w:pStyle w:val="BookText"/>
      </w:pPr>
      <w:r>
        <w:rPr>
          <w:rFonts w:ascii="Amiri" w:hAnsi="Amiri" w:eastAsia="Amiri" w:cs="Amiri"/>
          <w:lang w:bidi="ar-SA"/>
          <w:color w:val="111111"/>
          <w:sz w:val="28"/>
          <w:szCs w:val="28"/>
          <w:rtl/>
        </w:rPr>
        <w:t xml:space="preserve">علوي موسوي ، جعفر بن ابي اسحاق -كشفي ، جعفر بن ابي اسحاق</w:t>
      </w:r>
    </w:p>
    <w:p>
      <w:pPr>
        <w:pStyle w:val="Heading2"/>
      </w:pPr>
      <w:bookmarkStart w:id="6052" w:name="_Toc5154"/>
      <w:r>
        <w:t>علوي موسوي، مصطفى بن اسماعیل</w:t>
      </w:r>
      <w:bookmarkEnd w:id="6052"/>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اللوامع المحمّدية، ج13، ص 657.</w:t>
      </w:r>
    </w:p>
    <w:p>
      <w:pPr>
        <w:pStyle w:val="BookText"/>
      </w:pPr>
      <w:r>
        <w:rPr>
          <w:rFonts w:ascii="Amiri" w:hAnsi="Amiri" w:eastAsia="Amiri" w:cs="Amiri"/>
          <w:lang w:bidi="ar-SA"/>
          <w:color w:val="111111"/>
          <w:sz w:val="28"/>
          <w:szCs w:val="28"/>
          <w:rtl/>
        </w:rPr>
        <w:t xml:space="preserve">علوي ، يحيى بن قاسم -فاضل يمني ،</w:t>
      </w:r>
    </w:p>
    <w:p>
      <w:pPr>
        <w:pStyle w:val="BookText"/>
      </w:pPr>
      <w:r>
        <w:rPr>
          <w:rFonts w:ascii="Amiri" w:hAnsi="Amiri" w:eastAsia="Amiri" w:cs="Amiri"/>
          <w:lang w:bidi="ar-SA"/>
          <w:color w:val="111111"/>
          <w:sz w:val="28"/>
          <w:szCs w:val="28"/>
          <w:rtl/>
        </w:rPr>
        <w:t xml:space="preserve">يحيى بن قاسم</w:t>
      </w:r>
    </w:p>
    <w:p>
      <w:pPr>
        <w:pStyle w:val="BookText"/>
      </w:pPr>
      <w:r>
        <w:rPr>
          <w:rFonts w:ascii="Amiri" w:hAnsi="Amiri" w:eastAsia="Amiri" w:cs="Amiri"/>
          <w:lang w:bidi="ar-SA"/>
          <w:color w:val="111111"/>
          <w:sz w:val="28"/>
          <w:szCs w:val="28"/>
          <w:rtl/>
        </w:rPr>
        <w:t xml:space="preserve">علوي يماني صنعاني ، يحيى بن</w:t>
      </w:r>
    </w:p>
    <w:p>
      <w:pPr>
        <w:pStyle w:val="BookText"/>
      </w:pPr>
      <w:r>
        <w:rPr>
          <w:rFonts w:ascii="Amiri" w:hAnsi="Amiri" w:eastAsia="Amiri" w:cs="Amiri"/>
          <w:lang w:bidi="ar-SA"/>
          <w:color w:val="111111"/>
          <w:sz w:val="28"/>
          <w:szCs w:val="28"/>
          <w:rtl/>
        </w:rPr>
        <w:t xml:space="preserve">قاسم- فاضل يمني ، يحيى بن قاسم</w:t>
      </w:r>
    </w:p>
    <w:p>
      <w:pPr>
        <w:pStyle w:val="Heading2"/>
      </w:pPr>
      <w:bookmarkStart w:id="6053" w:name="_Toc5155"/>
      <w:r>
        <w:t>علوي يماني ، محمّد</w:t>
      </w:r>
      <w:bookmarkEnd w:id="6053"/>
    </w:p>
    <w:p>
      <w:pPr>
        <w:pStyle w:val="BookText"/>
      </w:pPr>
      <w:r>
        <w:rPr>
          <w:rFonts w:ascii="Amiri" w:hAnsi="Amiri" w:eastAsia="Amiri" w:cs="Amiri"/>
          <w:lang w:bidi="ar-SA"/>
          <w:color w:val="111111"/>
          <w:sz w:val="28"/>
          <w:szCs w:val="28"/>
          <w:rtl/>
        </w:rPr>
        <w:t xml:space="preserve">مشكاة النحو، ج 14، ص 644.</w:t>
      </w:r>
    </w:p>
    <w:p>
      <w:pPr>
        <w:pStyle w:val="BookText"/>
      </w:pPr>
      <w:r>
        <w:rPr>
          <w:rFonts w:ascii="Amiri" w:hAnsi="Amiri" w:eastAsia="Amiri" w:cs="Amiri"/>
          <w:lang w:bidi="ar-SA"/>
          <w:color w:val="111111"/>
          <w:sz w:val="28"/>
          <w:szCs w:val="28"/>
          <w:rtl/>
        </w:rPr>
        <w:t xml:space="preserve">علي آبادي مازندراني ، محمّد تقي بن</w:t>
      </w:r>
    </w:p>
    <w:p>
      <w:pPr>
        <w:pStyle w:val="BookText"/>
      </w:pPr>
      <w:r>
        <w:rPr>
          <w:rFonts w:ascii="Amiri" w:hAnsi="Amiri" w:eastAsia="Amiri" w:cs="Amiri"/>
          <w:lang w:bidi="ar-SA"/>
          <w:color w:val="111111"/>
          <w:sz w:val="28"/>
          <w:szCs w:val="28"/>
          <w:rtl/>
        </w:rPr>
        <w:t xml:space="preserve">محمّد زكي -صاحب مازندراني ، محمّد تقي</w:t>
      </w:r>
    </w:p>
    <w:p>
      <w:pPr>
        <w:pStyle w:val="BookText"/>
      </w:pPr>
      <w:r>
        <w:rPr>
          <w:rFonts w:ascii="Amiri" w:hAnsi="Amiri" w:eastAsia="Amiri" w:cs="Amiri"/>
          <w:lang w:bidi="ar-SA"/>
          <w:color w:val="111111"/>
          <w:sz w:val="28"/>
          <w:szCs w:val="28"/>
          <w:rtl/>
        </w:rPr>
        <w:t xml:space="preserve">بن محمّد زكي</w:t>
      </w:r>
    </w:p>
    <w:p>
      <w:pPr>
        <w:pStyle w:val="BookText"/>
      </w:pPr>
      <w:r>
        <w:rPr>
          <w:rFonts w:ascii="Amiri" w:hAnsi="Amiri" w:eastAsia="Amiri" w:cs="Amiri"/>
          <w:lang w:bidi="ar-SA"/>
          <w:color w:val="111111"/>
          <w:sz w:val="28"/>
          <w:szCs w:val="28"/>
          <w:rtl/>
        </w:rPr>
        <w:t xml:space="preserve">علي آبادي ، محمّد تقي بن محمّد زكي -صاحب مازندراني ، محمّد تقي بن محمّد زكي</w:t>
      </w:r>
    </w:p>
    <w:p>
      <w:pPr>
        <w:pStyle w:val="BookText"/>
      </w:pPr>
      <w:r>
        <w:rPr>
          <w:rFonts w:ascii="Amiri" w:hAnsi="Amiri" w:eastAsia="Amiri" w:cs="Amiri"/>
          <w:lang w:bidi="ar-SA"/>
          <w:color w:val="111111"/>
          <w:sz w:val="28"/>
          <w:szCs w:val="28"/>
          <w:rtl/>
        </w:rPr>
        <w:t xml:space="preserve">علي ابو الصفا شنواني -شنواني ، علي</w:t>
      </w:r>
    </w:p>
    <w:p>
      <w:pPr>
        <w:pStyle w:val="BookText"/>
      </w:pPr>
      <w:r>
        <w:rPr>
          <w:rFonts w:ascii="IRNazanin" w:hAnsi="IRNazanin" w:eastAsia="IRNazanin" w:cs="IRNazanin"/>
          <w:lang w:bidi="fa-IR"/>
          <w:color w:val="111111"/>
          <w:sz w:val="28"/>
          <w:szCs w:val="28"/>
          <w:rtl/>
        </w:rPr>
        <w:t xml:space="preserve">ابوالصفا</w:t>
      </w:r>
    </w:p>
    <w:p>
      <w:pPr>
        <w:pStyle w:val="BookText"/>
      </w:pPr>
      <w:r>
        <w:rPr>
          <w:rFonts w:ascii="Amiri" w:hAnsi="Amiri" w:eastAsia="Amiri" w:cs="Amiri"/>
          <w:lang w:bidi="ar-SA"/>
          <w:color w:val="111111"/>
          <w:sz w:val="28"/>
          <w:szCs w:val="28"/>
          <w:rtl/>
        </w:rPr>
        <w:t xml:space="preserve">علي ابي الحسن مالكي- مالكي ، علي ابي</w:t>
      </w:r>
    </w:p>
    <w:p>
      <w:pPr>
        <w:pStyle w:val="BookText"/>
      </w:pPr>
      <w:r>
        <w:rPr>
          <w:rFonts w:ascii="IRNazanin" w:hAnsi="IRNazanin" w:eastAsia="IRNazanin" w:cs="IRNazanin"/>
          <w:lang w:bidi="fa-IR"/>
          <w:color w:val="111111"/>
          <w:sz w:val="28"/>
          <w:szCs w:val="28"/>
          <w:rtl/>
        </w:rPr>
        <w:t xml:space="preserve">الحسن</w:t>
      </w:r>
    </w:p>
    <w:p>
      <w:pPr>
        <w:pStyle w:val="BookText"/>
      </w:pPr>
      <w:r>
        <w:rPr>
          <w:rFonts w:ascii="Amiri" w:hAnsi="Amiri" w:eastAsia="Amiri" w:cs="Amiri"/>
          <w:lang w:bidi="ar-SA"/>
          <w:color w:val="111111"/>
          <w:sz w:val="28"/>
          <w:szCs w:val="28"/>
          <w:rtl/>
        </w:rPr>
        <w:t xml:space="preserve">علي احمد بن اسماعيل</w:t>
      </w:r>
    </w:p>
    <w:p>
      <w:pPr>
        <w:pStyle w:val="BookText"/>
      </w:pPr>
      <w:r>
        <w:rPr>
          <w:rFonts w:ascii="Amiri" w:hAnsi="Amiri" w:eastAsia="Amiri" w:cs="Amiri"/>
          <w:lang w:bidi="ar-SA"/>
          <w:color w:val="111111"/>
          <w:sz w:val="28"/>
          <w:szCs w:val="28"/>
          <w:rtl/>
        </w:rPr>
        <w:t xml:space="preserve">اشتهاردي- اشتهاردي ، علي احمد بن</w:t>
      </w:r>
    </w:p>
    <w:p>
      <w:pPr>
        <w:pStyle w:val="BookText"/>
      </w:pPr>
      <w:r>
        <w:rPr>
          <w:rFonts w:ascii="IRNazanin" w:hAnsi="IRNazanin" w:eastAsia="IRNazanin" w:cs="IRNazanin"/>
          <w:lang w:bidi="fa-IR"/>
          <w:color w:val="111111"/>
          <w:sz w:val="28"/>
          <w:szCs w:val="28"/>
          <w:rtl/>
        </w:rPr>
        <w:t xml:space="preserve">اسماعیل علي ارموي -ارموي ، علي</w:t>
      </w:r>
    </w:p>
    <w:p>
      <w:pPr>
        <w:pStyle w:val="Heading2"/>
      </w:pPr>
      <w:bookmarkStart w:id="6054" w:name="_Toc5156"/>
      <w:r>
        <w:t>علياري، محمّد حسن بن علي - 1358 ه-</w:t>
      </w:r>
      <w:bookmarkEnd w:id="6054"/>
    </w:p>
    <w:p>
      <w:pPr>
        <w:pStyle w:val="BookText"/>
      </w:pPr>
      <w:r>
        <w:rPr>
          <w:rFonts w:ascii="IRNazanin" w:hAnsi="IRNazanin" w:eastAsia="IRNazanin" w:cs="IRNazanin"/>
          <w:lang w:bidi="fa-IR"/>
          <w:color w:val="111111"/>
          <w:sz w:val="28"/>
          <w:szCs w:val="28"/>
          <w:rtl/>
        </w:rPr>
        <w:t xml:space="preserve">المقال فهرست بهجه الامال (مختصر)</w:t>
      </w:r>
    </w:p>
    <w:p>
      <w:pPr>
        <w:pStyle w:val="BookText"/>
      </w:pPr>
      <w:r>
        <w:rPr>
          <w:rFonts w:ascii="IRNazanin" w:hAnsi="IRNazanin" w:eastAsia="IRNazanin" w:cs="IRNazanin"/>
          <w:lang w:bidi="fa-IR"/>
          <w:color w:val="111111"/>
          <w:sz w:val="28"/>
          <w:szCs w:val="28"/>
          <w:rtl/>
        </w:rPr>
        <w:t xml:space="preserve">ج 15، ص 287.</w:t>
      </w:r>
    </w:p>
    <w:p>
      <w:pPr>
        <w:pStyle w:val="BookText"/>
      </w:pPr>
      <w:r>
        <w:rPr>
          <w:rFonts w:ascii="Amiri" w:hAnsi="Amiri" w:eastAsia="Amiri" w:cs="Amiri"/>
          <w:lang w:bidi="ar-SA"/>
          <w:color w:val="111111"/>
          <w:sz w:val="28"/>
          <w:szCs w:val="28"/>
          <w:rtl/>
        </w:rPr>
        <w:t xml:space="preserve">علي از نيقي- ازنيقي ، علي</w:t>
      </w:r>
    </w:p>
    <w:p>
      <w:pPr>
        <w:pStyle w:val="BookText"/>
      </w:pPr>
      <w:r>
        <w:rPr>
          <w:rFonts w:ascii="Amiri" w:hAnsi="Amiri" w:eastAsia="Amiri" w:cs="Amiri"/>
          <w:lang w:bidi="ar-SA"/>
          <w:color w:val="111111"/>
          <w:sz w:val="28"/>
          <w:szCs w:val="28"/>
          <w:rtl/>
        </w:rPr>
        <w:t xml:space="preserve">علي اسيوطي- اسيوطي ، علي</w:t>
      </w:r>
    </w:p>
    <w:p>
      <w:pPr>
        <w:pStyle w:val="BookText"/>
      </w:pPr>
      <w:r>
        <w:rPr>
          <w:rFonts w:ascii="Amiri" w:hAnsi="Amiri" w:eastAsia="Amiri" w:cs="Amiri"/>
          <w:lang w:bidi="ar-SA"/>
          <w:color w:val="111111"/>
          <w:sz w:val="28"/>
          <w:szCs w:val="28"/>
          <w:rtl/>
        </w:rPr>
        <w:t xml:space="preserve">علي اصغر بن علي اكبر بروجردي -نير</w:t>
      </w:r>
    </w:p>
    <w:p>
      <w:pPr>
        <w:pStyle w:val="BookText"/>
      </w:pPr>
      <w:r>
        <w:rPr>
          <w:rFonts w:ascii="Amiri" w:hAnsi="Amiri" w:eastAsia="Amiri" w:cs="Amiri"/>
          <w:lang w:bidi="ar-SA"/>
          <w:color w:val="111111"/>
          <w:sz w:val="28"/>
          <w:szCs w:val="28"/>
          <w:rtl/>
        </w:rPr>
        <w:t xml:space="preserve">بروجردي ، علي اصغر بن علي اكبر</w:t>
      </w:r>
    </w:p>
    <w:p>
      <w:pPr>
        <w:pStyle w:val="BookText"/>
      </w:pPr>
      <w:r>
        <w:rPr>
          <w:rFonts w:ascii="Amiri" w:hAnsi="Amiri" w:eastAsia="Amiri" w:cs="Amiri"/>
          <w:lang w:bidi="ar-SA"/>
          <w:color w:val="111111"/>
          <w:sz w:val="28"/>
          <w:szCs w:val="28"/>
          <w:rtl/>
        </w:rPr>
        <w:t xml:space="preserve">علي اصغر بن محمّد حسين بفروئي يزدي ب-فروئي يزدي ، علي اصغر بن محمّد</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علي اصغر بن محمّد شفيع جابلقي بروجردي - چاپلقي ، علي اصغر بن محمّد</w:t>
      </w:r>
    </w:p>
    <w:p>
      <w:pPr>
        <w:pStyle w:val="BookText"/>
      </w:pPr>
      <w:r>
        <w:rPr>
          <w:rFonts w:ascii="IRNazanin" w:hAnsi="IRNazanin" w:eastAsia="IRNazanin" w:cs="IRNazanin"/>
          <w:lang w:bidi="fa-IR"/>
          <w:color w:val="111111"/>
          <w:sz w:val="28"/>
          <w:szCs w:val="28"/>
          <w:rtl/>
        </w:rPr>
        <w:t xml:space="preserve">شفیع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793" w:name="pg7742_70839"/>
    <w:bookmarkEnd w:id="793"/>
    <w:p>
      <w:pPr>
        <w:pStyle w:val="BookText"/>
      </w:pPr>
      <w:r>
        <w:rPr>
          <w:rFonts w:ascii="Amiri" w:hAnsi="Amiri" w:eastAsia="Amiri" w:cs="Amiri"/>
          <w:lang w:bidi="ar-SA"/>
          <w:color w:val="111111"/>
          <w:sz w:val="28"/>
          <w:szCs w:val="28"/>
          <w:rtl/>
        </w:rPr>
        <w:t xml:space="preserve">علي اصغر بن محمّد يوسف قزويني- قزويني ، علي اصغر بن محمّد يوسف</w:t>
      </w:r>
    </w:p>
    <w:p>
      <w:pPr>
        <w:pStyle w:val="BookText"/>
      </w:pPr>
      <w:r>
        <w:rPr>
          <w:rFonts w:ascii="Amiri" w:hAnsi="Amiri" w:eastAsia="Amiri" w:cs="Amiri"/>
          <w:lang w:bidi="ar-SA"/>
          <w:color w:val="111111"/>
          <w:sz w:val="28"/>
          <w:szCs w:val="28"/>
          <w:rtl/>
        </w:rPr>
        <w:t xml:space="preserve">علي افندي -افندي ، علي</w:t>
      </w:r>
    </w:p>
    <w:p>
      <w:pPr>
        <w:pStyle w:val="Heading2"/>
      </w:pPr>
      <w:bookmarkStart w:id="6055" w:name="_Toc5157"/>
      <w:r>
        <w:t>علي افندي، علي بن محمّد - 1103 ه-</w:t>
      </w:r>
      <w:bookmarkEnd w:id="6055"/>
    </w:p>
    <w:p>
      <w:pPr>
        <w:pStyle w:val="BookText"/>
      </w:pPr>
      <w:r>
        <w:rPr>
          <w:rFonts w:ascii="Amiri" w:hAnsi="Amiri" w:eastAsia="Amiri" w:cs="Amiri"/>
          <w:lang w:bidi="ar-SA"/>
          <w:color w:val="111111"/>
          <w:sz w:val="28"/>
          <w:szCs w:val="28"/>
          <w:rtl/>
        </w:rPr>
        <w:t xml:space="preserve">فتاوى شيخ الاسلام، ج11، ص 616 .</w:t>
      </w:r>
    </w:p>
    <w:p>
      <w:pPr>
        <w:pStyle w:val="BookText"/>
      </w:pPr>
      <w:r>
        <w:rPr>
          <w:rFonts w:ascii="Amiri" w:hAnsi="Amiri" w:eastAsia="Amiri" w:cs="Amiri"/>
          <w:lang w:bidi="ar-SA"/>
          <w:color w:val="111111"/>
          <w:sz w:val="28"/>
          <w:szCs w:val="28"/>
          <w:rtl/>
        </w:rPr>
        <w:t xml:space="preserve">علي اكبر اصفهاني -اصفهاني ، علي اكبر</w:t>
      </w:r>
    </w:p>
    <w:p>
      <w:pPr>
        <w:pStyle w:val="BookText"/>
      </w:pPr>
      <w:r>
        <w:rPr>
          <w:rFonts w:ascii="Amiri" w:hAnsi="Amiri" w:eastAsia="Amiri" w:cs="Amiri"/>
          <w:lang w:bidi="ar-SA"/>
          <w:color w:val="111111"/>
          <w:sz w:val="28"/>
          <w:szCs w:val="28"/>
          <w:rtl/>
        </w:rPr>
        <w:t xml:space="preserve">علي اكبر بن رجبعلي زنجاني -زنجاني ، علي</w:t>
      </w:r>
    </w:p>
    <w:p>
      <w:pPr>
        <w:pStyle w:val="BookText"/>
      </w:pPr>
      <w:r>
        <w:rPr>
          <w:rFonts w:ascii="Amiri" w:hAnsi="Amiri" w:eastAsia="Amiri" w:cs="Amiri"/>
          <w:lang w:bidi="ar-SA"/>
          <w:color w:val="111111"/>
          <w:sz w:val="28"/>
          <w:szCs w:val="28"/>
          <w:rtl/>
        </w:rPr>
        <w:t xml:space="preserve">اكبر بن رجبعلي</w:t>
      </w:r>
    </w:p>
    <w:p>
      <w:pPr>
        <w:pStyle w:val="BookText"/>
      </w:pPr>
      <w:r>
        <w:rPr>
          <w:rFonts w:ascii="Amiri" w:hAnsi="Amiri" w:eastAsia="Amiri" w:cs="Amiri"/>
          <w:lang w:bidi="ar-SA"/>
          <w:color w:val="111111"/>
          <w:sz w:val="28"/>
          <w:szCs w:val="28"/>
          <w:rtl/>
        </w:rPr>
        <w:t xml:space="preserve">علي اكبر بن رضي الدين برقعي -برقعي</w:t>
      </w:r>
    </w:p>
    <w:p>
      <w:pPr>
        <w:pStyle w:val="BookText"/>
      </w:pPr>
      <w:r>
        <w:rPr>
          <w:rFonts w:ascii="Amiri" w:hAnsi="Amiri" w:eastAsia="Amiri" w:cs="Amiri"/>
          <w:lang w:bidi="ar-SA"/>
          <w:color w:val="111111"/>
          <w:sz w:val="28"/>
          <w:szCs w:val="28"/>
          <w:rtl/>
        </w:rPr>
        <w:t xml:space="preserve">علي اكبر بن رضي الدين</w:t>
      </w:r>
    </w:p>
    <w:p>
      <w:pPr>
        <w:pStyle w:val="BookText"/>
      </w:pPr>
      <w:r>
        <w:rPr>
          <w:rFonts w:ascii="Amiri" w:hAnsi="Amiri" w:eastAsia="Amiri" w:cs="Amiri"/>
          <w:lang w:bidi="ar-SA"/>
          <w:color w:val="111111"/>
          <w:sz w:val="28"/>
          <w:szCs w:val="28"/>
          <w:rtl/>
        </w:rPr>
        <w:t xml:space="preserve">علي اكبر بن عبدالله مدني -مدني ، علي</w:t>
      </w:r>
    </w:p>
    <w:p>
      <w:pPr>
        <w:pStyle w:val="BookText"/>
      </w:pPr>
      <w:r>
        <w:rPr>
          <w:rFonts w:ascii="IRNazanin" w:hAnsi="IRNazanin" w:eastAsia="IRNazanin" w:cs="IRNazanin"/>
          <w:lang w:bidi="fa-IR"/>
          <w:color w:val="111111"/>
          <w:sz w:val="28"/>
          <w:szCs w:val="28"/>
          <w:rtl/>
        </w:rPr>
        <w:t xml:space="preserve">اکبر بن عبدالله</w:t>
      </w:r>
    </w:p>
    <w:p>
      <w:pPr>
        <w:pStyle w:val="BookText"/>
      </w:pPr>
      <w:r>
        <w:rPr>
          <w:rFonts w:ascii="Amiri" w:hAnsi="Amiri" w:eastAsia="Amiri" w:cs="Amiri"/>
          <w:lang w:bidi="ar-SA"/>
          <w:color w:val="111111"/>
          <w:sz w:val="28"/>
          <w:szCs w:val="28"/>
          <w:rtl/>
        </w:rPr>
        <w:t xml:space="preserve">علي اكبر بن عبد الوهاب قدسي - قدسي ،</w:t>
      </w:r>
    </w:p>
    <w:p>
      <w:pPr>
        <w:pStyle w:val="BookText"/>
      </w:pPr>
      <w:r>
        <w:rPr>
          <w:rFonts w:ascii="Amiri" w:hAnsi="Amiri" w:eastAsia="Amiri" w:cs="Amiri"/>
          <w:lang w:bidi="ar-SA"/>
          <w:color w:val="111111"/>
          <w:sz w:val="28"/>
          <w:szCs w:val="28"/>
          <w:rtl/>
        </w:rPr>
        <w:t xml:space="preserve">علي اكبر بن عبدالوهاب</w:t>
      </w:r>
    </w:p>
    <w:p>
      <w:pPr>
        <w:pStyle w:val="BookText"/>
      </w:pPr>
      <w:r>
        <w:rPr>
          <w:rFonts w:ascii="IRNazanin" w:hAnsi="IRNazanin" w:eastAsia="IRNazanin" w:cs="IRNazanin"/>
          <w:lang w:bidi="fa-IR"/>
          <w:color w:val="111111"/>
          <w:sz w:val="28"/>
          <w:szCs w:val="28"/>
          <w:rtl/>
        </w:rPr>
        <w:t xml:space="preserve">علي اكبر بن محمّد كريم سالياني گيلاني -طبيب سالياني ، علي اكبر بن محمّد كريم</w:t>
      </w:r>
    </w:p>
    <w:p>
      <w:pPr>
        <w:pStyle w:val="BookText"/>
      </w:pPr>
      <w:r>
        <w:rPr>
          <w:rFonts w:ascii="Amiri" w:hAnsi="Amiri" w:eastAsia="Amiri" w:cs="Amiri"/>
          <w:lang w:bidi="ar-SA"/>
          <w:color w:val="111111"/>
          <w:sz w:val="28"/>
          <w:szCs w:val="28"/>
          <w:rtl/>
        </w:rPr>
        <w:t xml:space="preserve">علي اكبر بن محمّد كريم طبيب سالياني- طبيب سالياني ، علي اكبر بن محمّد كريم</w:t>
      </w:r>
    </w:p>
    <w:p>
      <w:pPr>
        <w:pStyle w:val="BookText"/>
      </w:pPr>
      <w:r>
        <w:rPr>
          <w:rFonts w:ascii="Amiri" w:hAnsi="Amiri" w:eastAsia="Amiri" w:cs="Amiri"/>
          <w:lang w:bidi="ar-SA"/>
          <w:color w:val="111111"/>
          <w:sz w:val="28"/>
          <w:szCs w:val="28"/>
          <w:rtl/>
        </w:rPr>
        <w:t xml:space="preserve">علي اكبر بن هاشم يزدي- يزدي ، علي</w:t>
      </w:r>
    </w:p>
    <w:p>
      <w:pPr>
        <w:pStyle w:val="BookText"/>
      </w:pPr>
      <w:r>
        <w:rPr>
          <w:rFonts w:ascii="Amiri" w:hAnsi="Amiri" w:eastAsia="Amiri" w:cs="Amiri"/>
          <w:lang w:bidi="ar-SA"/>
          <w:color w:val="111111"/>
          <w:sz w:val="28"/>
          <w:szCs w:val="28"/>
          <w:rtl/>
        </w:rPr>
        <w:t xml:space="preserve">اكبر بن هاشم علي اكبر خوانساري نجفي -خوانساري</w:t>
      </w:r>
    </w:p>
    <w:p>
      <w:pPr>
        <w:pStyle w:val="BookText"/>
      </w:pPr>
      <w:r>
        <w:rPr>
          <w:rFonts w:ascii="Amiri" w:hAnsi="Amiri" w:eastAsia="Amiri" w:cs="Amiri"/>
          <w:lang w:bidi="ar-SA"/>
          <w:color w:val="111111"/>
          <w:sz w:val="28"/>
          <w:szCs w:val="28"/>
          <w:rtl/>
        </w:rPr>
        <w:t xml:space="preserve">نجفي ، علي اكبر</w:t>
      </w:r>
    </w:p>
    <w:p>
      <w:pPr>
        <w:pStyle w:val="BookText"/>
      </w:pPr>
      <w:r>
        <w:rPr>
          <w:rFonts w:ascii="Amiri" w:hAnsi="Amiri" w:eastAsia="Amiri" w:cs="Amiri"/>
          <w:lang w:bidi="ar-SA"/>
          <w:color w:val="111111"/>
          <w:sz w:val="28"/>
          <w:szCs w:val="28"/>
          <w:rtl/>
        </w:rPr>
        <w:t xml:space="preserve">علي اكبر كربلائي -كربلائي ، علي بن حسين</w:t>
      </w:r>
    </w:p>
    <w:p>
      <w:pPr>
        <w:pStyle w:val="BookText"/>
      </w:pPr>
      <w:r>
        <w:rPr>
          <w:rFonts w:ascii="Amiri" w:hAnsi="Amiri" w:eastAsia="Amiri" w:cs="Amiri"/>
          <w:lang w:bidi="ar-SA"/>
          <w:color w:val="111111"/>
          <w:sz w:val="28"/>
          <w:szCs w:val="28"/>
          <w:rtl/>
        </w:rPr>
        <w:t xml:space="preserve">علي اكبر يزدي بن محمّد صالح يزدي - شريف يزدي ، علي اكبر بن محمّد</w:t>
      </w:r>
    </w:p>
    <w:p>
      <w:pPr>
        <w:pStyle w:val="BookText"/>
      </w:pPr>
      <w:r>
        <w:rPr>
          <w:rFonts w:ascii="IRNazanin" w:hAnsi="IRNazanin" w:eastAsia="IRNazanin" w:cs="IRNazanin"/>
          <w:lang w:bidi="fa-IR"/>
          <w:color w:val="111111"/>
          <w:sz w:val="28"/>
          <w:szCs w:val="28"/>
          <w:rtl/>
        </w:rPr>
        <w:t xml:space="preserve">صالح</w:t>
      </w:r>
    </w:p>
    <w:p>
      <w:pPr>
        <w:pStyle w:val="BookText"/>
      </w:pPr>
      <w:r>
        <w:rPr>
          <w:rFonts w:ascii="IRNazanin" w:hAnsi="IRNazanin" w:eastAsia="IRNazanin" w:cs="IRNazanin"/>
          <w:lang w:bidi="fa-IR"/>
          <w:color w:val="111111"/>
          <w:sz w:val="28"/>
          <w:szCs w:val="28"/>
          <w:rtl/>
        </w:rPr>
        <w:t xml:space="preserve">علي اكبر يزدي حائري -يزدي حائري ، علي اکبر</w:t>
      </w:r>
    </w:p>
    <w:p>
      <w:pPr>
        <w:pStyle w:val="Heading2"/>
      </w:pPr>
      <w:bookmarkStart w:id="6056" w:name="_Toc5158"/>
      <w:r>
        <w:t>علي البناء</w:t>
      </w:r>
      <w:bookmarkEnd w:id="6056"/>
    </w:p>
    <w:p>
      <w:pPr>
        <w:pStyle w:val="BookText"/>
      </w:pPr>
      <w:r>
        <w:rPr>
          <w:rFonts w:ascii="Amiri" w:hAnsi="Amiri" w:eastAsia="Amiri" w:cs="Amiri"/>
          <w:lang w:bidi="ar-SA"/>
          <w:color w:val="111111"/>
          <w:sz w:val="28"/>
          <w:szCs w:val="28"/>
          <w:rtl/>
        </w:rPr>
        <w:t xml:space="preserve">1 .قصائد في حب اهل البيت (ع)</w:t>
      </w:r>
    </w:p>
    <w:p>
      <w:pPr>
        <w:pStyle w:val="BookText"/>
      </w:pPr>
      <w:r>
        <w:rPr>
          <w:rFonts w:ascii="IRNazanin" w:hAnsi="IRNazanin" w:eastAsia="IRNazanin" w:cs="IRNazanin"/>
          <w:lang w:bidi="fa-IR"/>
          <w:color w:val="111111"/>
          <w:sz w:val="28"/>
          <w:szCs w:val="28"/>
          <w:rtl/>
        </w:rPr>
        <w:t xml:space="preserve">ج 12، ص 593.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قصيدة في الحسين و اهل البيت</w:t>
      </w:r>
    </w:p>
    <w:p>
      <w:pPr>
        <w:pStyle w:val="BookText"/>
      </w:pPr>
      <w:r>
        <w:rPr>
          <w:rFonts w:ascii="IRNazanin" w:hAnsi="IRNazanin" w:eastAsia="IRNazanin" w:cs="IRNazanin"/>
          <w:lang w:bidi="fa-IR"/>
          <w:color w:val="111111"/>
          <w:sz w:val="28"/>
          <w:szCs w:val="28"/>
          <w:rtl/>
        </w:rPr>
        <w:t xml:space="preserve">(ع)، ج 12 ، ص 692 .</w:t>
      </w:r>
    </w:p>
    <w:p>
      <w:pPr>
        <w:pStyle w:val="Heading2"/>
      </w:pPr>
      <w:bookmarkStart w:id="6057" w:name="_Toc5159"/>
      <w:r>
        <w:t>علي المحتضر السعيد</w:t>
      </w:r>
      <w:bookmarkEnd w:id="6057"/>
    </w:p>
    <w:p>
      <w:pPr>
        <w:pStyle w:val="BookText"/>
      </w:pPr>
      <w:r>
        <w:rPr>
          <w:rFonts w:ascii="IRNazanin" w:hAnsi="IRNazanin" w:eastAsia="IRNazanin" w:cs="IRNazanin"/>
          <w:lang w:bidi="fa-IR"/>
          <w:color w:val="111111"/>
          <w:sz w:val="28"/>
          <w:szCs w:val="28"/>
          <w:rtl/>
        </w:rPr>
        <w:t xml:space="preserve">منتخب الغزوات، ج 15 ، ص 607.</w:t>
      </w:r>
    </w:p>
    <w:p>
      <w:pPr>
        <w:pStyle w:val="BookText"/>
      </w:pPr>
      <w:r>
        <w:rPr>
          <w:rFonts w:ascii="Amiri" w:hAnsi="Amiri" w:eastAsia="Amiri" w:cs="Amiri"/>
          <w:lang w:bidi="ar-SA"/>
          <w:color w:val="111111"/>
          <w:sz w:val="28"/>
          <w:szCs w:val="28"/>
          <w:rtl/>
        </w:rPr>
        <w:t xml:space="preserve">علي امين طائي- امين طائي ، علي</w:t>
      </w:r>
    </w:p>
    <w:p>
      <w:pPr>
        <w:pStyle w:val="BookText"/>
      </w:pPr>
      <w:r>
        <w:rPr>
          <w:rFonts w:ascii="Amiri" w:hAnsi="Amiri" w:eastAsia="Amiri" w:cs="Amiri"/>
          <w:lang w:bidi="ar-SA"/>
          <w:color w:val="111111"/>
          <w:sz w:val="28"/>
          <w:szCs w:val="28"/>
          <w:rtl/>
        </w:rPr>
        <w:t xml:space="preserve">علي بخاري- بخاري ، علي</w:t>
      </w:r>
    </w:p>
    <w:p>
      <w:pPr>
        <w:pStyle w:val="BookText"/>
      </w:pPr>
      <w:r>
        <w:rPr>
          <w:rFonts w:ascii="Amiri" w:hAnsi="Amiri" w:eastAsia="Amiri" w:cs="Amiri"/>
          <w:lang w:bidi="ar-SA"/>
          <w:color w:val="111111"/>
          <w:sz w:val="28"/>
          <w:szCs w:val="28"/>
          <w:rtl/>
        </w:rPr>
        <w:t xml:space="preserve">علي بخش بن اسكندر بن عباس شاه بن</w:t>
      </w:r>
    </w:p>
    <w:p>
      <w:pPr>
        <w:pStyle w:val="BookText"/>
      </w:pPr>
      <w:r>
        <w:rPr>
          <w:rFonts w:ascii="IRNazanin" w:hAnsi="IRNazanin" w:eastAsia="IRNazanin" w:cs="IRNazanin"/>
          <w:lang w:bidi="fa-IR"/>
          <w:color w:val="111111"/>
          <w:sz w:val="28"/>
          <w:szCs w:val="28"/>
          <w:rtl/>
        </w:rPr>
        <w:t xml:space="preserve">فتحعلي شاه قاجار- علي بخش میرزا قاجار</w:t>
      </w:r>
    </w:p>
    <w:p>
      <w:pPr>
        <w:pStyle w:val="Heading2"/>
      </w:pPr>
      <w:bookmarkStart w:id="6058" w:name="_Toc5160"/>
      <w:r>
        <w:t>علي بخش میرزا قاجار 1254 ه-</w:t>
      </w:r>
      <w:bookmarkEnd w:id="6058"/>
    </w:p>
    <w:p>
      <w:pPr>
        <w:pStyle w:val="BookText"/>
      </w:pPr>
      <w:r>
        <w:rPr>
          <w:rFonts w:ascii="Amiri" w:hAnsi="Amiri" w:eastAsia="Amiri" w:cs="Amiri"/>
          <w:lang w:bidi="ar-SA"/>
          <w:color w:val="111111"/>
          <w:sz w:val="28"/>
          <w:szCs w:val="28"/>
          <w:rtl/>
        </w:rPr>
        <w:t xml:space="preserve">جانورشناسي، ج 5، ص 355.</w:t>
      </w:r>
    </w:p>
    <w:p>
      <w:pPr>
        <w:pStyle w:val="BookText"/>
      </w:pPr>
      <w:r>
        <w:rPr>
          <w:rFonts w:ascii="Amiri" w:hAnsi="Amiri" w:eastAsia="Amiri" w:cs="Amiri"/>
          <w:lang w:bidi="ar-SA"/>
          <w:color w:val="111111"/>
          <w:sz w:val="28"/>
          <w:szCs w:val="28"/>
          <w:rtl/>
        </w:rPr>
        <w:t xml:space="preserve">علي بن ابراهيم انصاري فلكي- ابن شاطر</w:t>
      </w:r>
    </w:p>
    <w:p>
      <w:pPr>
        <w:pStyle w:val="BookText"/>
      </w:pPr>
      <w:r>
        <w:rPr>
          <w:rFonts w:ascii="Amiri" w:hAnsi="Amiri" w:eastAsia="Amiri" w:cs="Amiri"/>
          <w:lang w:bidi="ar-SA"/>
          <w:color w:val="111111"/>
          <w:sz w:val="28"/>
          <w:szCs w:val="28"/>
          <w:rtl/>
        </w:rPr>
        <w:t xml:space="preserve">علي بن ابراهيم</w:t>
      </w:r>
    </w:p>
    <w:p>
      <w:pPr>
        <w:pStyle w:val="BookText"/>
      </w:pPr>
      <w:r>
        <w:rPr>
          <w:rFonts w:ascii="Amiri" w:hAnsi="Amiri" w:eastAsia="Amiri" w:cs="Amiri"/>
          <w:lang w:bidi="ar-SA"/>
          <w:color w:val="111111"/>
          <w:sz w:val="28"/>
          <w:szCs w:val="28"/>
          <w:rtl/>
        </w:rPr>
        <w:t xml:space="preserve">علي بن ابراهيم بن داود دمشقي</w:t>
      </w:r>
    </w:p>
    <w:p>
      <w:pPr>
        <w:pStyle w:val="BookText"/>
      </w:pPr>
      <w:r>
        <w:rPr>
          <w:rFonts w:ascii="Amiri" w:hAnsi="Amiri" w:eastAsia="Amiri" w:cs="Amiri"/>
          <w:lang w:bidi="ar-SA"/>
          <w:color w:val="111111"/>
          <w:sz w:val="28"/>
          <w:szCs w:val="28"/>
          <w:rtl/>
        </w:rPr>
        <w:t xml:space="preserve">عطار -عطار ، علي بن ابراهيم</w:t>
      </w:r>
    </w:p>
    <w:p>
      <w:pPr>
        <w:pStyle w:val="BookText"/>
      </w:pPr>
      <w:r>
        <w:rPr>
          <w:rFonts w:ascii="Amiri" w:hAnsi="Amiri" w:eastAsia="Amiri" w:cs="Amiri"/>
          <w:lang w:bidi="ar-SA"/>
          <w:color w:val="111111"/>
          <w:sz w:val="28"/>
          <w:szCs w:val="28"/>
          <w:rtl/>
        </w:rPr>
        <w:t xml:space="preserve">علي بن ابراهيم بن علي بحراني- بحراني ،</w:t>
      </w:r>
    </w:p>
    <w:p>
      <w:pPr>
        <w:pStyle w:val="BookText"/>
      </w:pPr>
      <w:r>
        <w:rPr>
          <w:rFonts w:ascii="Amiri" w:hAnsi="Amiri" w:eastAsia="Amiri" w:cs="Amiri"/>
          <w:lang w:bidi="ar-SA"/>
          <w:color w:val="111111"/>
          <w:sz w:val="28"/>
          <w:szCs w:val="28"/>
          <w:rtl/>
        </w:rPr>
        <w:t xml:space="preserve">علي بن ابراهيم</w:t>
      </w:r>
    </w:p>
    <w:p>
      <w:pPr>
        <w:pStyle w:val="BookText"/>
      </w:pPr>
      <w:r>
        <w:rPr>
          <w:rFonts w:ascii="Amiri" w:hAnsi="Amiri" w:eastAsia="Amiri" w:cs="Amiri"/>
          <w:lang w:bidi="ar-SA"/>
          <w:color w:val="111111"/>
          <w:sz w:val="28"/>
          <w:szCs w:val="28"/>
          <w:rtl/>
        </w:rPr>
        <w:t xml:space="preserve">علي بن ابراهيم بندنيجي</w:t>
      </w:r>
    </w:p>
    <w:p>
      <w:pPr>
        <w:pStyle w:val="BookText"/>
      </w:pPr>
      <w:r>
        <w:rPr>
          <w:rFonts w:ascii="Amiri" w:hAnsi="Amiri" w:eastAsia="Amiri" w:cs="Amiri"/>
          <w:lang w:bidi="ar-SA"/>
          <w:color w:val="111111"/>
          <w:sz w:val="28"/>
          <w:szCs w:val="28"/>
          <w:rtl/>
        </w:rPr>
        <w:t xml:space="preserve">بغدادي -بندنيجي ، علي بن ابراهيم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794" w:name="pg7742_70841"/>
    <w:bookmarkEnd w:id="794"/>
    <w:p>
      <w:pPr>
        <w:pStyle w:val="Heading2"/>
      </w:pPr>
      <w:bookmarkStart w:id="6059" w:name="_Toc5161"/>
      <w:r>
        <w:t>علي بن ابراهيم بن هاشم</w:t>
      </w:r>
      <w:bookmarkEnd w:id="6059"/>
    </w:p>
    <w:p>
      <w:pPr>
        <w:pStyle w:val="BookText"/>
      </w:pPr>
      <w:r>
        <w:rPr>
          <w:rFonts w:ascii="Amiri" w:hAnsi="Amiri" w:eastAsia="Amiri" w:cs="Amiri"/>
          <w:lang w:bidi="ar-SA"/>
          <w:color w:val="111111"/>
          <w:sz w:val="28"/>
          <w:szCs w:val="28"/>
          <w:rtl/>
        </w:rPr>
        <w:t xml:space="preserve">معرفة مشايخ الشيعه (رسالة في)</w:t>
      </w:r>
    </w:p>
    <w:p>
      <w:pPr>
        <w:pStyle w:val="BookText"/>
      </w:pPr>
      <w:r>
        <w:rPr>
          <w:rFonts w:ascii="IRNazanin" w:hAnsi="IRNazanin" w:eastAsia="IRNazanin" w:cs="IRNazanin"/>
          <w:lang w:bidi="fa-IR"/>
          <w:color w:val="111111"/>
          <w:sz w:val="28"/>
          <w:szCs w:val="28"/>
          <w:rtl/>
        </w:rPr>
        <w:t xml:space="preserve">ج 15، ص 71.</w:t>
      </w:r>
    </w:p>
    <w:p>
      <w:pPr>
        <w:pStyle w:val="BookText"/>
      </w:pPr>
      <w:r>
        <w:rPr>
          <w:rFonts w:ascii="Amiri" w:hAnsi="Amiri" w:eastAsia="Amiri" w:cs="Amiri"/>
          <w:lang w:bidi="ar-SA"/>
          <w:color w:val="111111"/>
          <w:sz w:val="28"/>
          <w:szCs w:val="28"/>
          <w:rtl/>
        </w:rPr>
        <w:t xml:space="preserve">علي بن ابراهيم حلبي -حلبي ، علي بن</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علي بن ابراهيم درویش برهان- درویش</w:t>
      </w:r>
    </w:p>
    <w:p>
      <w:pPr>
        <w:pStyle w:val="BookText"/>
      </w:pPr>
      <w:r>
        <w:rPr>
          <w:rFonts w:ascii="Amiri" w:hAnsi="Amiri" w:eastAsia="Amiri" w:cs="Amiri"/>
          <w:lang w:bidi="ar-SA"/>
          <w:color w:val="111111"/>
          <w:sz w:val="28"/>
          <w:szCs w:val="28"/>
          <w:rtl/>
        </w:rPr>
        <w:t xml:space="preserve">برهان ، علي بن ابراهيم</w:t>
      </w:r>
    </w:p>
    <w:p>
      <w:pPr>
        <w:pStyle w:val="BookText"/>
      </w:pPr>
      <w:r>
        <w:rPr>
          <w:rFonts w:ascii="Amiri" w:hAnsi="Amiri" w:eastAsia="Amiri" w:cs="Amiri"/>
          <w:lang w:bidi="ar-SA"/>
          <w:color w:val="111111"/>
          <w:sz w:val="28"/>
          <w:szCs w:val="28"/>
          <w:rtl/>
        </w:rPr>
        <w:t xml:space="preserve">علي بن ابراهيم ساوجي- حسيني ساوجي</w:t>
      </w:r>
    </w:p>
    <w:p>
      <w:pPr>
        <w:pStyle w:val="BookText"/>
      </w:pPr>
      <w:r>
        <w:rPr>
          <w:rFonts w:ascii="Amiri" w:hAnsi="Amiri" w:eastAsia="Amiri" w:cs="Amiri"/>
          <w:lang w:bidi="ar-SA"/>
          <w:color w:val="111111"/>
          <w:sz w:val="28"/>
          <w:szCs w:val="28"/>
          <w:rtl/>
        </w:rPr>
        <w:t xml:space="preserve">، علي بن ابراهيم</w:t>
      </w:r>
    </w:p>
    <w:p>
      <w:pPr>
        <w:pStyle w:val="BookText"/>
      </w:pPr>
      <w:r>
        <w:rPr>
          <w:rFonts w:ascii="Amiri" w:hAnsi="Amiri" w:eastAsia="Amiri" w:cs="Amiri"/>
          <w:lang w:bidi="ar-SA"/>
          <w:color w:val="111111"/>
          <w:sz w:val="28"/>
          <w:szCs w:val="28"/>
          <w:rtl/>
        </w:rPr>
        <w:t xml:space="preserve">علي بن ابراهيم عطار - عطار ، علي بن ابراهيم</w:t>
      </w:r>
    </w:p>
    <w:p>
      <w:pPr>
        <w:pStyle w:val="BookText"/>
      </w:pPr>
      <w:r>
        <w:rPr>
          <w:rFonts w:ascii="Amiri" w:hAnsi="Amiri" w:eastAsia="Amiri" w:cs="Amiri"/>
          <w:lang w:bidi="ar-SA"/>
          <w:color w:val="111111"/>
          <w:sz w:val="28"/>
          <w:szCs w:val="28"/>
          <w:rtl/>
        </w:rPr>
        <w:t xml:space="preserve">علي بن ابراهيم قمي -قمي ، علي بن</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Amiri" w:hAnsi="Amiri" w:eastAsia="Amiri" w:cs="Amiri"/>
          <w:lang w:bidi="ar-SA"/>
          <w:color w:val="111111"/>
          <w:sz w:val="28"/>
          <w:szCs w:val="28"/>
          <w:rtl/>
        </w:rPr>
        <w:t xml:space="preserve">علي بن ابوسعيد عبدالرحمن بن احمد</w:t>
      </w:r>
    </w:p>
    <w:p>
      <w:pPr>
        <w:pStyle w:val="BookText"/>
      </w:pPr>
      <w:r>
        <w:rPr>
          <w:rFonts w:ascii="Amiri" w:hAnsi="Amiri" w:eastAsia="Amiri" w:cs="Amiri"/>
          <w:lang w:bidi="ar-SA"/>
          <w:color w:val="111111"/>
          <w:sz w:val="28"/>
          <w:szCs w:val="28"/>
          <w:rtl/>
        </w:rPr>
        <w:t xml:space="preserve">صدفي( ابن يونس)- ابن يونس ، علي بن</w:t>
      </w:r>
    </w:p>
    <w:p>
      <w:pPr>
        <w:pStyle w:val="BookText"/>
      </w:pPr>
      <w:r>
        <w:rPr>
          <w:rFonts w:ascii="IRNazanin" w:hAnsi="IRNazanin" w:eastAsia="IRNazanin" w:cs="IRNazanin"/>
          <w:lang w:bidi="fa-IR"/>
          <w:color w:val="111111"/>
          <w:sz w:val="28"/>
          <w:szCs w:val="28"/>
          <w:rtl/>
        </w:rPr>
        <w:t xml:space="preserve">عبد الرحمن</w:t>
      </w:r>
    </w:p>
    <w:p>
      <w:pPr>
        <w:pStyle w:val="BookText"/>
      </w:pPr>
      <w:r>
        <w:rPr>
          <w:rFonts w:ascii="Amiri" w:hAnsi="Amiri" w:eastAsia="Amiri" w:cs="Amiri"/>
          <w:lang w:bidi="ar-SA"/>
          <w:color w:val="111111"/>
          <w:sz w:val="28"/>
          <w:szCs w:val="28"/>
          <w:rtl/>
        </w:rPr>
        <w:t xml:space="preserve">علي بن ابي الحزم قرشي نفيسي- ابن نفيس</w:t>
      </w:r>
    </w:p>
    <w:p>
      <w:pPr>
        <w:pStyle w:val="BookText"/>
      </w:pPr>
      <w:r>
        <w:rPr>
          <w:rFonts w:ascii="Amiri" w:hAnsi="Amiri" w:eastAsia="Amiri" w:cs="Amiri"/>
          <w:lang w:bidi="ar-SA"/>
          <w:color w:val="111111"/>
          <w:sz w:val="28"/>
          <w:szCs w:val="28"/>
          <w:rtl/>
        </w:rPr>
        <w:t xml:space="preserve">، علي بن ابي الحزم</w:t>
      </w:r>
    </w:p>
    <w:p>
      <w:pPr>
        <w:pStyle w:val="BookText"/>
      </w:pPr>
      <w:r>
        <w:rPr>
          <w:rFonts w:ascii="Amiri" w:hAnsi="Amiri" w:eastAsia="Amiri" w:cs="Amiri"/>
          <w:lang w:bidi="ar-SA"/>
          <w:color w:val="111111"/>
          <w:sz w:val="28"/>
          <w:szCs w:val="28"/>
          <w:rtl/>
        </w:rPr>
        <w:t xml:space="preserve">علي بن ابي الرجال كاتب شيباني- شيباني</w:t>
      </w:r>
    </w:p>
    <w:p>
      <w:pPr>
        <w:pStyle w:val="BookText"/>
      </w:pPr>
      <w:r>
        <w:rPr>
          <w:rFonts w:ascii="Amiri" w:hAnsi="Amiri" w:eastAsia="Amiri" w:cs="Amiri"/>
          <w:lang w:bidi="ar-SA"/>
          <w:color w:val="111111"/>
          <w:sz w:val="28"/>
          <w:szCs w:val="28"/>
          <w:rtl/>
        </w:rPr>
        <w:t xml:space="preserve">علي بن ابي الرجال</w:t>
      </w:r>
    </w:p>
    <w:p>
      <w:pPr>
        <w:pStyle w:val="BookText"/>
      </w:pPr>
      <w:r>
        <w:rPr>
          <w:rFonts w:ascii="Amiri" w:hAnsi="Amiri" w:eastAsia="Amiri" w:cs="Amiri"/>
          <w:lang w:bidi="ar-SA"/>
          <w:color w:val="111111"/>
          <w:sz w:val="28"/>
          <w:szCs w:val="28"/>
          <w:rtl/>
        </w:rPr>
        <w:t xml:space="preserve">علي بن ابي العز -ابن ابي العز ، علي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علي بن ابي الفرج قيسي- قيسي ، علي بن</w:t>
      </w:r>
    </w:p>
    <w:p>
      <w:pPr>
        <w:pStyle w:val="BookText"/>
      </w:pPr>
      <w:r>
        <w:rPr>
          <w:rFonts w:ascii="Amiri" w:hAnsi="Amiri" w:eastAsia="Amiri" w:cs="Amiri"/>
          <w:lang w:bidi="ar-SA"/>
          <w:color w:val="111111"/>
          <w:sz w:val="28"/>
          <w:szCs w:val="28"/>
          <w:rtl/>
        </w:rPr>
        <w:t xml:space="preserve">ابي الفرج</w:t>
      </w:r>
    </w:p>
    <w:p>
      <w:pPr>
        <w:pStyle w:val="Heading2"/>
      </w:pPr>
      <w:bookmarkStart w:id="6060" w:name="_Toc5162"/>
      <w:r>
        <w:t>علي بن ابي القاسم</w:t>
      </w:r>
      <w:bookmarkEnd w:id="6060"/>
    </w:p>
    <w:p>
      <w:pPr>
        <w:pStyle w:val="BookText"/>
      </w:pPr>
      <w:r>
        <w:rPr>
          <w:rFonts w:ascii="Amiri" w:hAnsi="Amiri" w:eastAsia="Amiri" w:cs="Amiri"/>
          <w:lang w:bidi="ar-SA"/>
          <w:color w:val="111111"/>
          <w:sz w:val="28"/>
          <w:szCs w:val="28"/>
          <w:rtl/>
        </w:rPr>
        <w:t xml:space="preserve">المحيط في الفقه، ج 14، ص 137.</w:t>
      </w:r>
    </w:p>
    <w:p>
      <w:pPr>
        <w:pStyle w:val="BookText"/>
      </w:pPr>
      <w:r>
        <w:rPr>
          <w:rFonts w:ascii="Amiri" w:hAnsi="Amiri" w:eastAsia="Amiri" w:cs="Amiri"/>
          <w:lang w:bidi="ar-SA"/>
          <w:color w:val="111111"/>
          <w:sz w:val="28"/>
          <w:szCs w:val="28"/>
          <w:rtl/>
        </w:rPr>
        <w:t xml:space="preserve">علي بن ابي بكر انصاري خزرجي ابن</w:t>
      </w:r>
    </w:p>
    <w:p>
      <w:pPr>
        <w:pStyle w:val="BookText"/>
      </w:pPr>
      <w:r>
        <w:rPr>
          <w:rFonts w:ascii="Amiri" w:hAnsi="Amiri" w:eastAsia="Amiri" w:cs="Amiri"/>
          <w:lang w:bidi="ar-SA"/>
          <w:color w:val="111111"/>
          <w:sz w:val="28"/>
          <w:szCs w:val="28"/>
          <w:rtl/>
        </w:rPr>
        <w:t xml:space="preserve">جمال -ابن جمال ، علي بن ابي بكر</w:t>
      </w:r>
    </w:p>
    <w:p>
      <w:pPr>
        <w:pStyle w:val="BookText"/>
      </w:pPr>
      <w:r>
        <w:rPr>
          <w:rFonts w:ascii="Amiri" w:hAnsi="Amiri" w:eastAsia="Amiri" w:cs="Amiri"/>
          <w:lang w:bidi="ar-SA"/>
          <w:color w:val="111111"/>
          <w:sz w:val="28"/>
          <w:szCs w:val="28"/>
          <w:rtl/>
        </w:rPr>
        <w:t xml:space="preserve">علي بن ابي بكر فرغاني مرغيناني- مرغيناني</w:t>
      </w:r>
    </w:p>
    <w:p>
      <w:pPr>
        <w:pStyle w:val="BookText"/>
      </w:pPr>
      <w:r>
        <w:rPr>
          <w:rFonts w:ascii="Amiri" w:hAnsi="Amiri" w:eastAsia="Amiri" w:cs="Amiri"/>
          <w:lang w:bidi="ar-SA"/>
          <w:color w:val="111111"/>
          <w:sz w:val="28"/>
          <w:szCs w:val="28"/>
          <w:rtl/>
        </w:rPr>
        <w:t xml:space="preserve">، علي بن ابي بكر</w:t>
      </w:r>
    </w:p>
    <w:p>
      <w:pPr>
        <w:pStyle w:val="BookText"/>
      </w:pPr>
      <w:r>
        <w:rPr>
          <w:rFonts w:ascii="Amiri" w:hAnsi="Amiri" w:eastAsia="Amiri" w:cs="Amiri"/>
          <w:lang w:bidi="ar-SA"/>
          <w:color w:val="111111"/>
          <w:sz w:val="28"/>
          <w:szCs w:val="28"/>
          <w:rtl/>
        </w:rPr>
        <w:t xml:space="preserve">علي بن ابي بكر هروي -هروي ، علي بن</w:t>
      </w:r>
    </w:p>
    <w:p>
      <w:pPr>
        <w:pStyle w:val="BookText"/>
      </w:pPr>
      <w:r>
        <w:rPr>
          <w:rFonts w:ascii="Amiri" w:hAnsi="Amiri" w:eastAsia="Amiri" w:cs="Amiri"/>
          <w:lang w:bidi="ar-SA"/>
          <w:color w:val="111111"/>
          <w:sz w:val="28"/>
          <w:szCs w:val="28"/>
          <w:rtl/>
        </w:rPr>
        <w:t xml:space="preserve">ابي بكر</w:t>
      </w:r>
    </w:p>
    <w:p>
      <w:pPr>
        <w:pStyle w:val="BookText"/>
      </w:pPr>
      <w:r>
        <w:rPr>
          <w:rFonts w:ascii="Amiri" w:hAnsi="Amiri" w:eastAsia="Amiri" w:cs="Amiri"/>
          <w:lang w:bidi="ar-SA"/>
          <w:color w:val="111111"/>
          <w:sz w:val="28"/>
          <w:szCs w:val="28"/>
          <w:rtl/>
        </w:rPr>
        <w:t xml:space="preserve">علي بن ابي بكر هيثمي- هيثمي ، علي بن</w:t>
      </w:r>
    </w:p>
    <w:p>
      <w:pPr>
        <w:pStyle w:val="BookText"/>
      </w:pPr>
      <w:r>
        <w:rPr>
          <w:rFonts w:ascii="Amiri" w:hAnsi="Amiri" w:eastAsia="Amiri" w:cs="Amiri"/>
          <w:lang w:bidi="ar-SA"/>
          <w:color w:val="111111"/>
          <w:sz w:val="28"/>
          <w:szCs w:val="28"/>
          <w:rtl/>
        </w:rPr>
        <w:t xml:space="preserve">ابي بكر</w:t>
      </w:r>
    </w:p>
    <w:p>
      <w:pPr>
        <w:pStyle w:val="Heading2"/>
      </w:pPr>
      <w:bookmarkStart w:id="6061" w:name="_Toc5163"/>
      <w:r>
        <w:t>علي بن ابي طالب امير المؤمنين (ع) -</w:t>
      </w:r>
      <w:bookmarkEnd w:id="6061"/>
    </w:p>
    <w:p>
      <w:pPr>
        <w:pStyle w:val="BookText"/>
      </w:pPr>
      <w:r>
        <w:rPr>
          <w:rFonts w:ascii="IRNazanin" w:hAnsi="IRNazanin" w:eastAsia="IRNazanin" w:cs="IRNazanin"/>
          <w:lang w:bidi="fa-IR"/>
          <w:color w:val="111111"/>
          <w:sz w:val="28"/>
          <w:szCs w:val="28"/>
          <w:rtl/>
        </w:rPr>
        <w:t xml:space="preserve">40 ه-</w:t>
      </w:r>
    </w:p>
    <w:p>
      <w:pPr>
        <w:pStyle w:val="BookText"/>
      </w:pPr>
      <w:r>
        <w:rPr>
          <w:rFonts w:ascii="Amiri" w:hAnsi="Amiri" w:eastAsia="Amiri" w:cs="Amiri"/>
          <w:lang w:bidi="ar-SA"/>
          <w:color w:val="111111"/>
          <w:sz w:val="28"/>
          <w:szCs w:val="28"/>
          <w:rtl/>
        </w:rPr>
        <w:t xml:space="preserve">1 .أبيات منسوبة للامام علي كرم الله</w:t>
      </w:r>
    </w:p>
    <w:p>
      <w:pPr>
        <w:pStyle w:val="BookText"/>
      </w:pPr>
      <w:r>
        <w:rPr>
          <w:rFonts w:ascii="IRNazanin" w:hAnsi="IRNazanin" w:eastAsia="IRNazanin" w:cs="IRNazanin"/>
          <w:lang w:bidi="fa-IR"/>
          <w:color w:val="111111"/>
          <w:sz w:val="28"/>
          <w:szCs w:val="28"/>
          <w:rtl/>
        </w:rPr>
        <w:t xml:space="preserve">وجهه، ج 1، ص 120.</w:t>
      </w:r>
    </w:p>
    <w:p>
      <w:pPr>
        <w:pStyle w:val="BookText"/>
      </w:pPr>
      <w:r>
        <w:rPr>
          <w:rFonts w:ascii="Amiri" w:hAnsi="Amiri" w:eastAsia="Amiri" w:cs="Amiri"/>
          <w:lang w:bidi="ar-SA"/>
          <w:color w:val="111111"/>
          <w:sz w:val="28"/>
          <w:szCs w:val="28"/>
          <w:rtl/>
        </w:rPr>
        <w:t xml:space="preserve">2.الاحاديث القدسية = اربعون سورة</w:t>
      </w:r>
    </w:p>
    <w:p>
      <w:pPr>
        <w:pStyle w:val="BookText"/>
      </w:pPr>
      <w:r>
        <w:rPr>
          <w:rFonts w:ascii="Amiri" w:hAnsi="Amiri" w:eastAsia="Amiri" w:cs="Amiri"/>
          <w:lang w:bidi="ar-SA"/>
          <w:color w:val="111111"/>
          <w:sz w:val="28"/>
          <w:szCs w:val="28"/>
          <w:rtl/>
        </w:rPr>
        <w:t xml:space="preserve">من التوراة = الصحائف الاربعون</w:t>
      </w:r>
    </w:p>
    <w:p>
      <w:pPr>
        <w:pStyle w:val="BookText"/>
      </w:pPr>
      <w:r>
        <w:rPr>
          <w:rFonts w:ascii="IRNazanin" w:hAnsi="IRNazanin" w:eastAsia="IRNazanin" w:cs="IRNazanin"/>
          <w:lang w:bidi="fa-IR"/>
          <w:color w:val="111111"/>
          <w:sz w:val="28"/>
          <w:szCs w:val="28"/>
          <w:rtl/>
        </w:rPr>
        <w:t xml:space="preserve">ج 1، ص 414.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ادعية، ج 1، ص 602.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الاعراب (رسالة في)، ج 2، ص 528.</w:t>
      </w:r>
    </w:p>
    <w:p>
      <w:pPr>
        <w:pStyle w:val="BookText"/>
      </w:pPr>
      <w:r>
        <w:rPr>
          <w:rFonts w:ascii="Amiri" w:hAnsi="Amiri" w:eastAsia="Amiri" w:cs="Amiri"/>
          <w:lang w:bidi="ar-SA"/>
          <w:color w:val="111111"/>
          <w:sz w:val="28"/>
          <w:szCs w:val="28"/>
          <w:rtl/>
        </w:rPr>
        <w:t xml:space="preserve">5 .الف كلمة من كلام الامام علي بن</w:t>
      </w:r>
    </w:p>
    <w:p>
      <w:pPr>
        <w:pStyle w:val="BookText"/>
      </w:pPr>
      <w:r>
        <w:rPr>
          <w:rFonts w:ascii="Amiri" w:hAnsi="Amiri" w:eastAsia="Amiri" w:cs="Amiri"/>
          <w:lang w:bidi="ar-SA"/>
          <w:color w:val="111111"/>
          <w:sz w:val="28"/>
          <w:szCs w:val="28"/>
          <w:rtl/>
        </w:rPr>
        <w:t xml:space="preserve">ابي طالب، ج 2، ص 682.</w:t>
      </w:r>
    </w:p>
    <w:p>
      <w:pPr>
        <w:pStyle w:val="BookText"/>
      </w:pPr>
      <w:r>
        <w:rPr>
          <w:rFonts w:ascii="IRNazanin" w:hAnsi="IRNazanin" w:eastAsia="IRNazanin" w:cs="IRNazanin"/>
          <w:lang w:bidi="fa-IR"/>
          <w:color w:val="111111"/>
          <w:sz w:val="28"/>
          <w:szCs w:val="28"/>
          <w:rtl/>
        </w:rPr>
        <w:t xml:space="preserve">6 .أمارات الساعة منسوبة للامام (علي کرم الله وجهه)، ج2، ص703.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ثلاث خطب لأمير المؤمنين (ع)، جه،</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جفر جامع مرتضوي، ج 5، ص399</w:t>
      </w:r>
    </w:p>
    <w:p>
      <w:pPr>
        <w:pStyle w:val="BookText"/>
      </w:pPr>
      <w:r>
        <w:rPr>
          <w:rFonts w:ascii="Amiri" w:hAnsi="Amiri" w:eastAsia="Amiri" w:cs="Amiri"/>
          <w:lang w:bidi="ar-SA"/>
          <w:color w:val="111111"/>
          <w:sz w:val="28"/>
          <w:szCs w:val="28"/>
          <w:rtl/>
        </w:rPr>
        <w:t xml:space="preserve">9 .جنة الاسماء، ج 5، ص 459.</w:t>
      </w:r>
    </w:p>
    <w:p>
      <w:pPr>
        <w:pStyle w:val="BookText"/>
      </w:pPr>
      <w:r>
        <w:rPr>
          <w:rFonts w:ascii="Amiri" w:hAnsi="Amiri" w:eastAsia="Amiri" w:cs="Amiri"/>
          <w:lang w:bidi="ar-SA"/>
          <w:color w:val="111111"/>
          <w:sz w:val="28"/>
          <w:szCs w:val="28"/>
          <w:rtl/>
        </w:rPr>
        <w:t xml:space="preserve">10 .حديث، ج 6، ص 554.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الخطب، ج 7، ص 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خطبة، ج 7، ص 46.</w:t>
      </w:r>
    </w:p>
    <w:p>
      <w:pPr>
        <w:pStyle w:val="BookText"/>
      </w:pPr>
      <w:r>
        <w:rPr>
          <w:rFonts w:ascii="Amiri" w:hAnsi="Amiri" w:eastAsia="Amiri" w:cs="Amiri"/>
          <w:lang w:bidi="ar-SA"/>
          <w:color w:val="111111"/>
          <w:sz w:val="28"/>
          <w:szCs w:val="28"/>
          <w:rtl/>
        </w:rPr>
        <w:t xml:space="preserve">13 .خطبة البيان = خطبة الافتخار =</w:t>
      </w:r>
    </w:p>
    <w:p>
      <w:pPr>
        <w:pStyle w:val="BookText"/>
      </w:pPr>
      <w:r>
        <w:rPr>
          <w:rFonts w:ascii="Amiri" w:hAnsi="Amiri" w:eastAsia="Amiri" w:cs="Amiri"/>
          <w:lang w:bidi="ar-SA"/>
          <w:color w:val="111111"/>
          <w:sz w:val="28"/>
          <w:szCs w:val="28"/>
          <w:rtl/>
        </w:rPr>
        <w:t xml:space="preserve">الملحمة، ج 7، ص 48.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795" w:name="pg7742_70843"/>
    <w:bookmarkEnd w:id="795"/>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خطبة البيان و خطب أخرى، ج7،</w:t>
      </w:r>
    </w:p>
    <w:p>
      <w:pPr>
        <w:pStyle w:val="BookText"/>
      </w:pPr>
      <w:r>
        <w:rPr>
          <w:rFonts w:ascii="IRNazanin" w:hAnsi="IRNazanin" w:eastAsia="IRNazanin" w:cs="IRNazanin"/>
          <w:lang w:bidi="fa-IR"/>
          <w:color w:val="111111"/>
          <w:sz w:val="28"/>
          <w:szCs w:val="28"/>
          <w:rtl/>
        </w:rPr>
        <w:t xml:space="preserve">ص 49.</w:t>
      </w:r>
    </w:p>
    <w:p>
      <w:pPr>
        <w:pStyle w:val="BookText"/>
      </w:pPr>
      <w:r>
        <w:rPr>
          <w:rFonts w:ascii="Amiri" w:hAnsi="Amiri" w:eastAsia="Amiri" w:cs="Amiri"/>
          <w:lang w:bidi="ar-SA"/>
          <w:color w:val="111111"/>
          <w:sz w:val="28"/>
          <w:szCs w:val="28"/>
          <w:rtl/>
        </w:rPr>
        <w:t xml:space="preserve">15 .الخطبة المونقة، ج7، ص 55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خطبة بدون الف، ج 7، ص 48.</w:t>
      </w:r>
    </w:p>
    <w:p>
      <w:pPr>
        <w:pStyle w:val="BookText"/>
      </w:pPr>
      <w:r>
        <w:rPr>
          <w:rFonts w:ascii="Amiri" w:hAnsi="Amiri" w:eastAsia="Amiri" w:cs="Amiri"/>
          <w:lang w:bidi="ar-SA"/>
          <w:color w:val="111111"/>
          <w:sz w:val="28"/>
          <w:szCs w:val="28"/>
          <w:rtl/>
        </w:rPr>
        <w:t xml:space="preserve">17 .خطبة في التوحيد، ج7، ص 53.</w:t>
      </w:r>
    </w:p>
    <w:p>
      <w:pPr>
        <w:pStyle w:val="BookText"/>
      </w:pPr>
      <w:r>
        <w:rPr>
          <w:rFonts w:ascii="Amiri" w:hAnsi="Amiri" w:eastAsia="Amiri" w:cs="Amiri"/>
          <w:lang w:bidi="ar-SA"/>
          <w:color w:val="111111"/>
          <w:sz w:val="28"/>
          <w:szCs w:val="28"/>
          <w:rtl/>
        </w:rPr>
        <w:t xml:space="preserve">18 .خطبة في النكاح، ج 7، ص 53.</w:t>
      </w:r>
    </w:p>
    <w:p>
      <w:pPr>
        <w:pStyle w:val="BookText"/>
      </w:pPr>
      <w:r>
        <w:rPr>
          <w:rFonts w:ascii="Amiri" w:hAnsi="Amiri" w:eastAsia="Amiri" w:cs="Amiri"/>
          <w:lang w:bidi="ar-SA"/>
          <w:color w:val="111111"/>
          <w:sz w:val="28"/>
          <w:szCs w:val="28"/>
          <w:rtl/>
        </w:rPr>
        <w:t xml:space="preserve">19 .خطبه الشقشقية (با ترجمه)، ج7،</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IRNazanin" w:hAnsi="IRNazanin" w:eastAsia="IRNazanin" w:cs="IRNazanin"/>
          <w:lang w:bidi="fa-IR"/>
          <w:color w:val="111111"/>
          <w:sz w:val="28"/>
          <w:szCs w:val="28"/>
          <w:rtl/>
        </w:rPr>
        <w:t xml:space="preserve">20 .دعاء الاحتجاب، ج 7، ص391.</w:t>
      </w:r>
    </w:p>
    <w:p>
      <w:pPr>
        <w:pStyle w:val="BookText"/>
      </w:pPr>
      <w:r>
        <w:rPr>
          <w:rFonts w:ascii="Amiri" w:hAnsi="Amiri" w:eastAsia="Amiri" w:cs="Amiri"/>
          <w:lang w:bidi="ar-SA"/>
          <w:color w:val="111111"/>
          <w:sz w:val="28"/>
          <w:szCs w:val="28"/>
          <w:rtl/>
        </w:rPr>
        <w:t xml:space="preserve">21 .دعاء السيفي = اعتصام السيفي</w:t>
      </w:r>
    </w:p>
    <w:p>
      <w:pPr>
        <w:pStyle w:val="BookText"/>
      </w:pPr>
      <w:r>
        <w:rPr>
          <w:rFonts w:ascii="Amiri" w:hAnsi="Amiri" w:eastAsia="Amiri" w:cs="Amiri"/>
          <w:lang w:bidi="ar-SA"/>
          <w:color w:val="111111"/>
          <w:sz w:val="28"/>
          <w:szCs w:val="28"/>
          <w:rtl/>
        </w:rPr>
        <w:t xml:space="preserve">الحرز اليماني، ج7، ص399.</w:t>
      </w:r>
    </w:p>
    <w:p>
      <w:pPr>
        <w:pStyle w:val="BookText"/>
      </w:pPr>
      <w:r>
        <w:rPr>
          <w:rFonts w:ascii="IRNazanin" w:hAnsi="IRNazanin" w:eastAsia="IRNazanin" w:cs="IRNazanin"/>
          <w:lang w:bidi="fa-IR"/>
          <w:color w:val="111111"/>
          <w:sz w:val="28"/>
          <w:szCs w:val="28"/>
          <w:rtl/>
        </w:rPr>
        <w:t xml:space="preserve">22 .دعاء الصباح، ج 7، ص 401.</w:t>
      </w:r>
    </w:p>
    <w:p>
      <w:pPr>
        <w:pStyle w:val="BookText"/>
      </w:pPr>
      <w:r>
        <w:rPr>
          <w:rFonts w:ascii="Amiri" w:hAnsi="Amiri" w:eastAsia="Amiri" w:cs="Amiri"/>
          <w:lang w:bidi="ar-SA"/>
          <w:color w:val="111111"/>
          <w:sz w:val="28"/>
          <w:szCs w:val="28"/>
          <w:rtl/>
        </w:rPr>
        <w:t xml:space="preserve">23 .دعاء علي بن ابي طالب (ع)، ج 7،</w:t>
      </w:r>
    </w:p>
    <w:p>
      <w:pPr>
        <w:pStyle w:val="BookText"/>
      </w:pPr>
      <w:r>
        <w:rPr>
          <w:rFonts w:ascii="IRNazanin" w:hAnsi="IRNazanin" w:eastAsia="IRNazanin" w:cs="IRNazanin"/>
          <w:lang w:bidi="fa-IR"/>
          <w:color w:val="111111"/>
          <w:sz w:val="28"/>
          <w:szCs w:val="28"/>
          <w:rtl/>
        </w:rPr>
        <w:t xml:space="preserve">ص 404 .</w:t>
      </w:r>
    </w:p>
    <w:p>
      <w:pPr>
        <w:pStyle w:val="BookText"/>
      </w:pPr>
      <w:r>
        <w:rPr>
          <w:rFonts w:ascii="Amiri" w:hAnsi="Amiri" w:eastAsia="Amiri" w:cs="Amiri"/>
          <w:lang w:bidi="ar-SA"/>
          <w:color w:val="111111"/>
          <w:sz w:val="28"/>
          <w:szCs w:val="28"/>
          <w:rtl/>
        </w:rPr>
        <w:t xml:space="preserve">24 دعاء كميل، ج 7، ص 407.</w:t>
      </w:r>
    </w:p>
    <w:p>
      <w:pPr>
        <w:pStyle w:val="BookText"/>
      </w:pPr>
      <w:r>
        <w:rPr>
          <w:rFonts w:ascii="IRNazanin" w:hAnsi="IRNazanin" w:eastAsia="IRNazanin" w:cs="IRNazanin"/>
          <w:lang w:bidi="fa-IR"/>
          <w:color w:val="111111"/>
          <w:sz w:val="28"/>
          <w:szCs w:val="28"/>
          <w:rtl/>
        </w:rPr>
        <w:t xml:space="preserve">25 .دیوان امير المؤمنين علي عليه</w:t>
      </w:r>
    </w:p>
    <w:p>
      <w:pPr>
        <w:pStyle w:val="BookText"/>
      </w:pPr>
      <w:r>
        <w:rPr>
          <w:rFonts w:ascii="IRNazanin" w:hAnsi="IRNazanin" w:eastAsia="IRNazanin" w:cs="IRNazanin"/>
          <w:lang w:bidi="fa-IR"/>
          <w:color w:val="111111"/>
          <w:sz w:val="28"/>
          <w:szCs w:val="28"/>
          <w:rtl/>
        </w:rPr>
        <w:t xml:space="preserve">السلام، ج 7، ص 577.</w:t>
      </w:r>
    </w:p>
    <w:p>
      <w:pPr>
        <w:pStyle w:val="BookText"/>
      </w:pPr>
      <w:r>
        <w:rPr>
          <w:rFonts w:ascii="Amiri" w:hAnsi="Amiri" w:eastAsia="Amiri" w:cs="Amiri"/>
          <w:lang w:bidi="ar-SA"/>
          <w:color w:val="111111"/>
          <w:sz w:val="28"/>
          <w:szCs w:val="28"/>
          <w:rtl/>
        </w:rPr>
        <w:t xml:space="preserve">26 .رسالة منسوبة إلى الامام علي عن</w:t>
      </w:r>
    </w:p>
    <w:p>
      <w:pPr>
        <w:pStyle w:val="BookText"/>
      </w:pPr>
      <w:r>
        <w:rPr>
          <w:rFonts w:ascii="Amiri" w:hAnsi="Amiri" w:eastAsia="Amiri" w:cs="Amiri"/>
          <w:lang w:bidi="ar-SA"/>
          <w:color w:val="111111"/>
          <w:sz w:val="28"/>
          <w:szCs w:val="28"/>
          <w:rtl/>
        </w:rPr>
        <w:t xml:space="preserve">الدار التي اشتراها، ج8، ص280</w:t>
      </w:r>
    </w:p>
    <w:p>
      <w:pPr>
        <w:pStyle w:val="BookText"/>
      </w:pPr>
      <w:r>
        <w:rPr>
          <w:rFonts w:ascii="Amiri" w:hAnsi="Amiri" w:eastAsia="Amiri" w:cs="Amiri"/>
          <w:lang w:bidi="ar-SA"/>
          <w:color w:val="111111"/>
          <w:sz w:val="28"/>
          <w:szCs w:val="28"/>
          <w:rtl/>
        </w:rPr>
        <w:t xml:space="preserve">27 .رواية منسوبة للامام علي كرم وجهه في التفاؤل بالقرآن العظيم</w:t>
      </w:r>
    </w:p>
    <w:p>
      <w:pPr>
        <w:pStyle w:val="BookText"/>
      </w:pPr>
      <w:r>
        <w:rPr>
          <w:rFonts w:ascii="IRNazanin" w:hAnsi="IRNazanin" w:eastAsia="IRNazanin" w:cs="IRNazanin"/>
          <w:lang w:bidi="fa-IR"/>
          <w:color w:val="111111"/>
          <w:sz w:val="28"/>
          <w:szCs w:val="28"/>
          <w:rtl/>
        </w:rPr>
        <w:t xml:space="preserve">ج 8، ص 373.</w:t>
      </w:r>
    </w:p>
    <w:p>
      <w:pPr>
        <w:pStyle w:val="BookText"/>
      </w:pPr>
      <w:r>
        <w:rPr>
          <w:rFonts w:ascii="Amiri" w:hAnsi="Amiri" w:eastAsia="Amiri" w:cs="Amiri"/>
          <w:lang w:bidi="ar-SA"/>
          <w:color w:val="111111"/>
          <w:sz w:val="28"/>
          <w:szCs w:val="28"/>
          <w:rtl/>
        </w:rPr>
        <w:t xml:space="preserve">28 .زينية، ج 8، ص 665.</w:t>
      </w:r>
    </w:p>
    <w:p>
      <w:pPr>
        <w:pStyle w:val="BookText"/>
      </w:pPr>
      <w:r>
        <w:rPr>
          <w:rFonts w:ascii="IRNazanin" w:hAnsi="IRNazanin" w:eastAsia="IRNazanin" w:cs="IRNazanin"/>
          <w:lang w:bidi="fa-IR"/>
          <w:color w:val="111111"/>
          <w:sz w:val="28"/>
          <w:szCs w:val="28"/>
          <w:rtl/>
        </w:rPr>
        <w:t xml:space="preserve">29 .شعر، ج 10، ص 366.</w:t>
      </w:r>
    </w:p>
    <w:p>
      <w:pPr>
        <w:pStyle w:val="BookText"/>
      </w:pPr>
      <w:r>
        <w:rPr>
          <w:rFonts w:ascii="Amiri" w:hAnsi="Amiri" w:eastAsia="Amiri" w:cs="Amiri"/>
          <w:lang w:bidi="ar-SA"/>
          <w:color w:val="111111"/>
          <w:sz w:val="28"/>
          <w:szCs w:val="28"/>
          <w:rtl/>
        </w:rPr>
        <w:t xml:space="preserve">30 .صد كلمة، ج 10، ص 539.</w:t>
      </w:r>
    </w:p>
    <w:p>
      <w:pPr>
        <w:pStyle w:val="BookText"/>
      </w:pPr>
      <w:r>
        <w:rPr>
          <w:rFonts w:ascii="IRNazanin" w:hAnsi="IRNazanin" w:eastAsia="IRNazanin" w:cs="IRNazanin"/>
          <w:lang w:bidi="fa-IR"/>
          <w:color w:val="111111"/>
          <w:sz w:val="28"/>
          <w:szCs w:val="28"/>
          <w:rtl/>
        </w:rPr>
        <w:t xml:space="preserve">31 .العهد المكتوب بدير حزقیل(مترجم)، ج 11، ص 344.</w:t>
      </w:r>
    </w:p>
    <w:p>
      <w:pPr>
        <w:pStyle w:val="BookText"/>
      </w:pPr>
      <w:r>
        <w:rPr>
          <w:rFonts w:ascii="Amiri" w:hAnsi="Amiri" w:eastAsia="Amiri" w:cs="Amiri"/>
          <w:lang w:bidi="ar-SA"/>
          <w:color w:val="111111"/>
          <w:sz w:val="28"/>
          <w:szCs w:val="28"/>
          <w:rtl/>
        </w:rPr>
        <w:t xml:space="preserve">32 .فائدة للحفظ، ج 11، ص 576.</w:t>
      </w:r>
    </w:p>
    <w:p>
      <w:pPr>
        <w:pStyle w:val="BookText"/>
      </w:pPr>
      <w:r>
        <w:rPr>
          <w:rFonts w:ascii="Amiri" w:hAnsi="Amiri" w:eastAsia="Amiri" w:cs="Amiri"/>
          <w:lang w:bidi="ar-SA"/>
          <w:color w:val="111111"/>
          <w:sz w:val="28"/>
          <w:szCs w:val="28"/>
          <w:rtl/>
        </w:rPr>
        <w:t xml:space="preserve">33 .قصيدة الجلجلوتية، ج 12، ص 663.</w:t>
      </w:r>
    </w:p>
    <w:p>
      <w:pPr>
        <w:pStyle w:val="BookText"/>
      </w:pPr>
      <w:r>
        <w:rPr>
          <w:rFonts w:ascii="Amiri" w:hAnsi="Amiri" w:eastAsia="Amiri" w:cs="Amiri"/>
          <w:lang w:bidi="ar-SA"/>
          <w:color w:val="111111"/>
          <w:sz w:val="28"/>
          <w:szCs w:val="28"/>
          <w:rtl/>
        </w:rPr>
        <w:t xml:space="preserve">34 .القصيدة الزينبية، ج 12، ص 678.</w:t>
      </w:r>
    </w:p>
    <w:p>
      <w:pPr>
        <w:pStyle w:val="BookText"/>
      </w:pPr>
      <w:r>
        <w:rPr>
          <w:rFonts w:ascii="Amiri" w:hAnsi="Amiri" w:eastAsia="Amiri" w:cs="Amiri"/>
          <w:lang w:bidi="ar-SA"/>
          <w:color w:val="111111"/>
          <w:sz w:val="28"/>
          <w:szCs w:val="28"/>
          <w:rtl/>
        </w:rPr>
        <w:t xml:space="preserve">35 .القصيدة العينية في المناجاة، ج 12،</w:t>
      </w:r>
    </w:p>
    <w:p>
      <w:pPr>
        <w:pStyle w:val="BookText"/>
      </w:pPr>
      <w:r>
        <w:rPr>
          <w:rFonts w:ascii="IRNazanin" w:hAnsi="IRNazanin" w:eastAsia="IRNazanin" w:cs="IRNazanin"/>
          <w:lang w:bidi="fa-IR"/>
          <w:color w:val="111111"/>
          <w:sz w:val="28"/>
          <w:szCs w:val="28"/>
          <w:rtl/>
        </w:rPr>
        <w:t xml:space="preserve">ص 687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قصيدة في المناجاة، ج 12، ص 702.</w:t>
      </w:r>
    </w:p>
    <w:p>
      <w:pPr>
        <w:pStyle w:val="BookText"/>
      </w:pPr>
      <w:r>
        <w:rPr>
          <w:rFonts w:ascii="IRNazanin" w:hAnsi="IRNazanin" w:eastAsia="IRNazanin" w:cs="IRNazanin"/>
          <w:lang w:bidi="fa-IR"/>
          <w:color w:val="111111"/>
          <w:sz w:val="28"/>
          <w:szCs w:val="28"/>
          <w:rtl/>
        </w:rPr>
        <w:t xml:space="preserve">37 .قواعد الجفر، ج 12، ص791.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كشف الرموزات (رسالة في)، ج 13،</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IRNazanin" w:hAnsi="IRNazanin" w:eastAsia="IRNazanin" w:cs="IRNazanin"/>
          <w:lang w:bidi="fa-IR"/>
          <w:color w:val="111111"/>
          <w:sz w:val="28"/>
          <w:szCs w:val="28"/>
          <w:rtl/>
        </w:rPr>
        <w:t xml:space="preserve">39 .کلمات امیر المؤمنين (ع)، ج 13،</w:t>
      </w:r>
    </w:p>
    <w:p>
      <w:pPr>
        <w:pStyle w:val="BookText"/>
      </w:pPr>
      <w:r>
        <w:rPr>
          <w:rFonts w:ascii="IRNazanin" w:hAnsi="IRNazanin" w:eastAsia="IRNazanin" w:cs="IRNazanin"/>
          <w:lang w:bidi="fa-IR"/>
          <w:color w:val="111111"/>
          <w:sz w:val="28"/>
          <w:szCs w:val="28"/>
          <w:rtl/>
        </w:rPr>
        <w:t xml:space="preserve">ص 363.</w:t>
      </w:r>
    </w:p>
    <w:p>
      <w:pPr>
        <w:pStyle w:val="BookText"/>
      </w:pPr>
      <w:r>
        <w:rPr>
          <w:rFonts w:ascii="Amiri" w:hAnsi="Amiri" w:eastAsia="Amiri" w:cs="Amiri"/>
          <w:lang w:bidi="ar-SA"/>
          <w:color w:val="111111"/>
          <w:sz w:val="28"/>
          <w:szCs w:val="28"/>
          <w:rtl/>
        </w:rPr>
        <w:t xml:space="preserve">40 .مائة كلمة، ج13، ص 698.</w:t>
      </w:r>
    </w:p>
    <w:p>
      <w:pPr>
        <w:pStyle w:val="BookText"/>
      </w:pPr>
      <w:r>
        <w:rPr>
          <w:rFonts w:ascii="Amiri" w:hAnsi="Amiri" w:eastAsia="Amiri" w:cs="Amiri"/>
          <w:lang w:bidi="ar-SA"/>
          <w:color w:val="111111"/>
          <w:sz w:val="28"/>
          <w:szCs w:val="28"/>
          <w:rtl/>
        </w:rPr>
        <w:t xml:space="preserve">41 .مجموعة الخبر، ج 14، ص 28.</w:t>
      </w:r>
    </w:p>
    <w:p>
      <w:pPr>
        <w:pStyle w:val="BookText"/>
      </w:pPr>
      <w:r>
        <w:rPr>
          <w:rFonts w:ascii="Amiri" w:hAnsi="Amiri" w:eastAsia="Amiri" w:cs="Amiri"/>
          <w:lang w:bidi="ar-SA"/>
          <w:color w:val="111111"/>
          <w:sz w:val="28"/>
          <w:szCs w:val="28"/>
          <w:rtl/>
        </w:rPr>
        <w:t xml:space="preserve">42 .مناجاة امير المؤمنين (ع)، ج 15</w:t>
      </w:r>
    </w:p>
    <w:p>
      <w:pPr>
        <w:pStyle w:val="BookText"/>
      </w:pPr>
      <w:r>
        <w:rPr>
          <w:rFonts w:ascii="IRNazanin" w:hAnsi="IRNazanin" w:eastAsia="IRNazanin" w:cs="IRNazanin"/>
          <w:lang w:bidi="fa-IR"/>
          <w:color w:val="111111"/>
          <w:sz w:val="28"/>
          <w:szCs w:val="28"/>
          <w:rtl/>
        </w:rPr>
        <w:t xml:space="preserve">ص 475.</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من أقوال الامام علي كرم الله</w:t>
      </w:r>
    </w:p>
    <w:p>
      <w:pPr>
        <w:pStyle w:val="BookText"/>
      </w:pPr>
      <w:r>
        <w:rPr>
          <w:rFonts w:ascii="IRNazanin" w:hAnsi="IRNazanin" w:eastAsia="IRNazanin" w:cs="IRNazanin"/>
          <w:lang w:bidi="fa-IR"/>
          <w:color w:val="111111"/>
          <w:sz w:val="28"/>
          <w:szCs w:val="28"/>
          <w:rtl/>
        </w:rPr>
        <w:t xml:space="preserve">وجهه، ج 15، ص 558.</w:t>
      </w:r>
    </w:p>
    <w:p>
      <w:pPr>
        <w:pStyle w:val="BookText"/>
      </w:pPr>
      <w:r>
        <w:rPr>
          <w:rFonts w:ascii="Amiri" w:hAnsi="Amiri" w:eastAsia="Amiri" w:cs="Amiri"/>
          <w:lang w:bidi="ar-SA"/>
          <w:color w:val="111111"/>
          <w:sz w:val="28"/>
          <w:szCs w:val="28"/>
          <w:rtl/>
        </w:rPr>
        <w:t xml:space="preserve">44 .من حكم الإمام علي (ع)، ج 15،</w:t>
      </w:r>
    </w:p>
    <w:p>
      <w:pPr>
        <w:pStyle w:val="BookText"/>
      </w:pPr>
      <w:r>
        <w:rPr>
          <w:rFonts w:ascii="IRNazanin" w:hAnsi="IRNazanin" w:eastAsia="IRNazanin" w:cs="IRNazanin"/>
          <w:lang w:bidi="fa-IR"/>
          <w:color w:val="111111"/>
          <w:sz w:val="28"/>
          <w:szCs w:val="28"/>
          <w:rtl/>
        </w:rPr>
        <w:t xml:space="preserve">ص 674 .</w:t>
      </w:r>
    </w:p>
    <w:p>
      <w:pPr>
        <w:pStyle w:val="BookText"/>
      </w:pPr>
      <w:r>
        <w:rPr>
          <w:rFonts w:ascii="Amiri" w:hAnsi="Amiri" w:eastAsia="Amiri" w:cs="Amiri"/>
          <w:lang w:bidi="ar-SA"/>
          <w:color w:val="111111"/>
          <w:sz w:val="28"/>
          <w:szCs w:val="28"/>
          <w:rtl/>
        </w:rPr>
        <w:t xml:space="preserve">45 .وصية الامام علي (رضي الله عنه)</w:t>
      </w:r>
    </w:p>
    <w:p>
      <w:pPr>
        <w:pStyle w:val="BookText"/>
      </w:pPr>
      <w:r>
        <w:rPr>
          <w:rFonts w:ascii="IRNazanin" w:hAnsi="IRNazanin" w:eastAsia="IRNazanin" w:cs="IRNazanin"/>
          <w:lang w:bidi="fa-IR"/>
          <w:color w:val="111111"/>
          <w:sz w:val="28"/>
          <w:szCs w:val="28"/>
          <w:rtl/>
        </w:rPr>
        <w:t xml:space="preserve">ج 16، ص 814.</w:t>
      </w:r>
    </w:p>
    <w:p>
      <w:pPr>
        <w:pStyle w:val="BookText"/>
      </w:pPr>
      <w:r>
        <w:rPr>
          <w:rFonts w:ascii="Amiri" w:hAnsi="Amiri" w:eastAsia="Amiri" w:cs="Amiri"/>
          <w:lang w:bidi="ar-SA"/>
          <w:color w:val="111111"/>
          <w:sz w:val="28"/>
          <w:szCs w:val="28"/>
          <w:rtl/>
        </w:rPr>
        <w:t xml:space="preserve">علي بن ابي طالب بن عبدالله</w:t>
      </w:r>
    </w:p>
    <w:p>
      <w:pPr>
        <w:pStyle w:val="BookText"/>
      </w:pPr>
      <w:r>
        <w:rPr>
          <w:rFonts w:ascii="IRNazanin" w:hAnsi="IRNazanin" w:eastAsia="IRNazanin" w:cs="IRNazanin"/>
          <w:lang w:bidi="fa-IR"/>
          <w:color w:val="111111"/>
          <w:sz w:val="28"/>
          <w:szCs w:val="28"/>
          <w:rtl/>
        </w:rPr>
        <w:t xml:space="preserve">جيلاني- گيلاني ، علي بن ابي طالب</w:t>
      </w:r>
    </w:p>
    <w:p>
      <w:pPr>
        <w:pStyle w:val="BookText"/>
      </w:pPr>
      <w:r>
        <w:rPr>
          <w:rFonts w:ascii="Amiri" w:hAnsi="Amiri" w:eastAsia="Amiri" w:cs="Amiri"/>
          <w:lang w:bidi="ar-SA"/>
          <w:color w:val="111111"/>
          <w:sz w:val="28"/>
          <w:szCs w:val="28"/>
          <w:rtl/>
        </w:rPr>
        <w:t xml:space="preserve">علي بن اثردي -ابن اثردي ، علي بن هبة الله</w:t>
      </w:r>
    </w:p>
    <w:p>
      <w:pPr>
        <w:pStyle w:val="BookText"/>
      </w:pPr>
      <w:r>
        <w:rPr>
          <w:rFonts w:ascii="Amiri" w:hAnsi="Amiri" w:eastAsia="Amiri" w:cs="Amiri"/>
          <w:lang w:bidi="ar-SA"/>
          <w:color w:val="111111"/>
          <w:sz w:val="28"/>
          <w:szCs w:val="28"/>
          <w:rtl/>
        </w:rPr>
        <w:t xml:space="preserve">علي بن احمد بن حزم -ابن حزم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بن خاتون عاملي - خاتون ، علي بن احمد</w:t>
      </w:r>
    </w:p>
    <w:p>
      <w:pPr>
        <w:pStyle w:val="Heading2"/>
      </w:pPr>
      <w:bookmarkStart w:id="6062" w:name="_Toc5164"/>
      <w:r>
        <w:t>علي بن احمد بن محمّد خان</w:t>
      </w:r>
      <w:bookmarkEnd w:id="6062"/>
    </w:p>
    <w:p>
      <w:pPr>
        <w:pStyle w:val="BookText"/>
      </w:pPr>
      <w:r>
        <w:rPr>
          <w:rFonts w:ascii="Amiri" w:hAnsi="Amiri" w:eastAsia="Amiri" w:cs="Amiri"/>
          <w:lang w:bidi="ar-SA"/>
          <w:color w:val="111111"/>
          <w:sz w:val="28"/>
          <w:szCs w:val="28"/>
          <w:rtl/>
        </w:rPr>
        <w:t xml:space="preserve">تخميس قصيدة البردة، ج 4، ص 125.</w:t>
      </w:r>
    </w:p>
    <w:p>
      <w:pPr>
        <w:pStyle w:val="BookText"/>
      </w:pPr>
      <w:r>
        <w:rPr>
          <w:rFonts w:ascii="Amiri" w:hAnsi="Amiri" w:eastAsia="Amiri" w:cs="Amiri"/>
          <w:lang w:bidi="ar-SA"/>
          <w:color w:val="111111"/>
          <w:sz w:val="28"/>
          <w:szCs w:val="28"/>
          <w:rtl/>
        </w:rPr>
        <w:t xml:space="preserve">علي بن احمد تقي الدين صالح بن مشرف</w:t>
      </w:r>
    </w:p>
    <w:p>
      <w:pPr>
        <w:pStyle w:val="BookText"/>
      </w:pPr>
      <w:r>
        <w:rPr>
          <w:rFonts w:ascii="Amiri" w:hAnsi="Amiri" w:eastAsia="Amiri" w:cs="Amiri"/>
          <w:lang w:bidi="ar-SA"/>
          <w:color w:val="111111"/>
          <w:sz w:val="28"/>
          <w:szCs w:val="28"/>
          <w:rtl/>
        </w:rPr>
        <w:t xml:space="preserve">الدين- عاملي ، علي بن احمد</w:t>
      </w:r>
    </w:p>
    <w:p>
      <w:pPr>
        <w:pStyle w:val="BookText"/>
      </w:pPr>
      <w:r>
        <w:rPr>
          <w:rFonts w:ascii="Amiri" w:hAnsi="Amiri" w:eastAsia="Amiri" w:cs="Amiri"/>
          <w:lang w:bidi="ar-SA"/>
          <w:color w:val="111111"/>
          <w:sz w:val="28"/>
          <w:szCs w:val="28"/>
          <w:rtl/>
        </w:rPr>
        <w:t xml:space="preserve">علي بن احمد جمالي زنبيلي -جمالي زنبيلي علي بن احمد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احمد حسني حسيني مدني -مدني</w:t>
      </w:r>
    </w:p>
    <w:p>
      <w:pPr>
        <w:pStyle w:val="BookText"/>
      </w:pPr>
      <w:r>
        <w:rPr>
          <w:rFonts w:ascii="Amiri" w:hAnsi="Amiri" w:eastAsia="Amiri" w:cs="Amiri"/>
          <w:lang w:bidi="ar-SA"/>
          <w:color w:val="111111"/>
          <w:sz w:val="28"/>
          <w:szCs w:val="28"/>
          <w:rtl/>
        </w:rPr>
        <w:t xml:space="preserve">، علي خان بن احمد</w:t>
      </w:r>
    </w:p>
    <w:p>
      <w:pPr>
        <w:pStyle w:val="BookText"/>
      </w:pPr>
      <w:r>
        <w:rPr>
          <w:rFonts w:ascii="Amiri" w:hAnsi="Amiri" w:eastAsia="Amiri" w:cs="Amiri"/>
          <w:lang w:bidi="ar-SA"/>
          <w:color w:val="111111"/>
          <w:sz w:val="28"/>
          <w:szCs w:val="28"/>
          <w:rtl/>
        </w:rPr>
        <w:t xml:space="preserve">علي بن احمد خجندي -خجندي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خلاطي- ابن هبل ، علي بن احمد</w:t>
      </w:r>
    </w:p>
    <w:p>
      <w:pPr>
        <w:pStyle w:val="BookText"/>
      </w:pPr>
      <w:r>
        <w:rPr>
          <w:rFonts w:ascii="Amiri" w:hAnsi="Amiri" w:eastAsia="Amiri" w:cs="Amiri"/>
          <w:lang w:bidi="ar-SA"/>
          <w:color w:val="111111"/>
          <w:sz w:val="28"/>
          <w:szCs w:val="28"/>
          <w:rtl/>
        </w:rPr>
        <w:t xml:space="preserve">علي بن احمد شيرازي- شيرازي ،</w:t>
      </w:r>
    </w:p>
    <w:p>
      <w:pPr>
        <w:pStyle w:val="BookText"/>
      </w:pPr>
      <w:r>
        <w:rPr>
          <w:rFonts w:ascii="Amiri" w:hAnsi="Amiri" w:eastAsia="Amiri" w:cs="Amiri"/>
          <w:lang w:bidi="ar-SA"/>
          <w:color w:val="111111"/>
          <w:sz w:val="28"/>
          <w:szCs w:val="28"/>
          <w:rtl/>
        </w:rPr>
        <w:t xml:space="preserve">صدر الدين علي بن احمد</w:t>
      </w:r>
    </w:p>
    <w:p>
      <w:pPr>
        <w:pStyle w:val="BookText"/>
      </w:pPr>
      <w:r>
        <w:rPr>
          <w:rFonts w:ascii="Amiri" w:hAnsi="Amiri" w:eastAsia="Amiri" w:cs="Amiri"/>
          <w:lang w:bidi="ar-SA"/>
          <w:color w:val="111111"/>
          <w:sz w:val="28"/>
          <w:szCs w:val="28"/>
          <w:rtl/>
        </w:rPr>
        <w:t xml:space="preserve">علي بن احمد عزيزي بولاقي- عزيزي ،</w:t>
      </w:r>
    </w:p>
    <w:p>
      <w:pPr>
        <w:pStyle w:val="BookText"/>
      </w:pPr>
      <w:r>
        <w:rPr>
          <w:rFonts w:ascii="Amiri" w:hAnsi="Amiri" w:eastAsia="Amiri" w:cs="Amiri"/>
          <w:lang w:bidi="ar-SA"/>
          <w:color w:val="111111"/>
          <w:sz w:val="28"/>
          <w:szCs w:val="28"/>
          <w:rtl/>
        </w:rPr>
        <w:t xml:space="preserve">علي بن احمد</w:t>
      </w:r>
    </w:p>
    <w:p>
      <w:pPr>
        <w:pStyle w:val="BookText"/>
      </w:pPr>
      <w:r>
        <w:rPr>
          <w:rFonts w:ascii="Amiri" w:hAnsi="Amiri" w:eastAsia="Amiri" w:cs="Amiri"/>
          <w:lang w:bidi="ar-SA"/>
          <w:color w:val="111111"/>
          <w:sz w:val="28"/>
          <w:szCs w:val="28"/>
          <w:rtl/>
        </w:rPr>
        <w:t xml:space="preserve">علي بن احمد علوي -كوفي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غوري- غوري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فلكي -فلكي ، علي بن احمد</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علي بن احمد قرافي انصاري- قرافي ، علي</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علي بن احمد قمي -ابن رازي ، جعفر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علي بن احمد موسوي بغدادي -موسوي</w:t>
      </w:r>
    </w:p>
    <w:p>
      <w:pPr>
        <w:pStyle w:val="BookText"/>
      </w:pPr>
      <w:r>
        <w:rPr>
          <w:rFonts w:ascii="Amiri" w:hAnsi="Amiri" w:eastAsia="Amiri" w:cs="Amiri"/>
          <w:lang w:bidi="ar-SA"/>
          <w:color w:val="111111"/>
          <w:sz w:val="28"/>
          <w:szCs w:val="28"/>
          <w:rtl/>
        </w:rPr>
        <w:t xml:space="preserve">بغدادي ، علي بن احمد</w:t>
      </w:r>
    </w:p>
    <w:p>
      <w:pPr>
        <w:pStyle w:val="BookText"/>
      </w:pPr>
      <w:r>
        <w:rPr>
          <w:rFonts w:ascii="Amiri" w:hAnsi="Amiri" w:eastAsia="Amiri" w:cs="Amiri"/>
          <w:lang w:bidi="ar-SA"/>
          <w:color w:val="111111"/>
          <w:sz w:val="28"/>
          <w:szCs w:val="28"/>
          <w:rtl/>
        </w:rPr>
        <w:t xml:space="preserve">علي بن احمد مهايمي- مهائمي ، علي بن بن بسام</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ناصري- ابن بلبان ، علي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علي بن احمد واحدي نيشابوري- واحدي</w:t>
      </w:r>
    </w:p>
    <w:p>
      <w:pPr>
        <w:pStyle w:val="BookText"/>
      </w:pPr>
      <w:r>
        <w:rPr>
          <w:rFonts w:ascii="Amiri" w:hAnsi="Amiri" w:eastAsia="Amiri" w:cs="Amiri"/>
          <w:lang w:bidi="ar-SA"/>
          <w:color w:val="111111"/>
          <w:sz w:val="28"/>
          <w:szCs w:val="28"/>
          <w:rtl/>
        </w:rPr>
        <w:t xml:space="preserve">علي بن احمد</w:t>
      </w:r>
    </w:p>
    <w:p>
      <w:pPr>
        <w:pStyle w:val="BookText"/>
      </w:pPr>
      <w:r>
        <w:rPr>
          <w:rFonts w:ascii="Amiri" w:hAnsi="Amiri" w:eastAsia="Amiri" w:cs="Amiri"/>
          <w:lang w:bidi="ar-SA"/>
          <w:color w:val="111111"/>
          <w:sz w:val="28"/>
          <w:szCs w:val="28"/>
          <w:rtl/>
        </w:rPr>
        <w:t xml:space="preserve">علي بن احمد هيتي- هيتمي ، علي بن احمد</w:t>
      </w:r>
    </w:p>
    <w:p>
      <w:pPr>
        <w:pStyle w:val="BookText"/>
      </w:pPr>
      <w:r>
        <w:rPr>
          <w:rFonts w:ascii="Amiri" w:hAnsi="Amiri" w:eastAsia="Amiri" w:cs="Amiri"/>
          <w:lang w:bidi="ar-SA"/>
          <w:color w:val="111111"/>
          <w:sz w:val="28"/>
          <w:szCs w:val="28"/>
          <w:rtl/>
        </w:rPr>
        <w:t xml:space="preserve">علي بن اسحاق انوري ابيوري - انوري ، علي بن احمد</w:t>
      </w:r>
    </w:p>
    <w:p>
      <w:pPr>
        <w:pStyle w:val="BookText"/>
      </w:pPr>
      <w:r>
        <w:rPr>
          <w:rFonts w:ascii="Amiri" w:hAnsi="Amiri" w:eastAsia="Amiri" w:cs="Amiri"/>
          <w:lang w:bidi="ar-SA"/>
          <w:color w:val="111111"/>
          <w:sz w:val="28"/>
          <w:szCs w:val="28"/>
          <w:rtl/>
        </w:rPr>
        <w:t xml:space="preserve">علي بن اسحاق زاهي -زاهي ، علي بن اسحاق</w:t>
      </w:r>
    </w:p>
    <w:p>
      <w:pPr>
        <w:pStyle w:val="BookText"/>
      </w:pPr>
      <w:r>
        <w:rPr>
          <w:rFonts w:ascii="Amiri" w:hAnsi="Amiri" w:eastAsia="Amiri" w:cs="Amiri"/>
          <w:lang w:bidi="ar-SA"/>
          <w:color w:val="111111"/>
          <w:sz w:val="28"/>
          <w:szCs w:val="28"/>
          <w:rtl/>
        </w:rPr>
        <w:t xml:space="preserve">علي بن اسماعيل ابن سيده-ابن سيده ،</w:t>
      </w:r>
    </w:p>
    <w:p>
      <w:pPr>
        <w:pStyle w:val="BookText"/>
      </w:pPr>
      <w:r>
        <w:rPr>
          <w:rFonts w:ascii="Amiri" w:hAnsi="Amiri" w:eastAsia="Amiri" w:cs="Amiri"/>
          <w:lang w:bidi="ar-SA"/>
          <w:color w:val="111111"/>
          <w:sz w:val="28"/>
          <w:szCs w:val="28"/>
          <w:rtl/>
        </w:rPr>
        <w:t xml:space="preserve">علي بن اسماعيل</w:t>
      </w:r>
    </w:p>
    <w:p>
      <w:pPr>
        <w:pStyle w:val="BookText"/>
      </w:pPr>
      <w:r>
        <w:rPr>
          <w:rFonts w:ascii="Amiri" w:hAnsi="Amiri" w:eastAsia="Amiri" w:cs="Amiri"/>
          <w:lang w:bidi="ar-SA"/>
          <w:color w:val="111111"/>
          <w:sz w:val="28"/>
          <w:szCs w:val="28"/>
          <w:rtl/>
        </w:rPr>
        <w:t xml:space="preserve">علي بن اسماعيل اشعري- اشعري ، علي بن اسماعيل</w:t>
      </w:r>
    </w:p>
    <w:p>
      <w:pPr>
        <w:pStyle w:val="BookText"/>
      </w:pPr>
      <w:r>
        <w:rPr>
          <w:rFonts w:ascii="Amiri" w:hAnsi="Amiri" w:eastAsia="Amiri" w:cs="Amiri"/>
          <w:lang w:bidi="ar-SA"/>
          <w:color w:val="111111"/>
          <w:sz w:val="28"/>
          <w:szCs w:val="28"/>
          <w:rtl/>
        </w:rPr>
        <w:t xml:space="preserve">علي بن اسماعيل تبريزي- علاء الدين</w:t>
      </w:r>
    </w:p>
    <w:p>
      <w:pPr>
        <w:pStyle w:val="BookText"/>
      </w:pPr>
      <w:r>
        <w:rPr>
          <w:rFonts w:ascii="Amiri" w:hAnsi="Amiri" w:eastAsia="Amiri" w:cs="Amiri"/>
          <w:lang w:bidi="ar-SA"/>
          <w:color w:val="111111"/>
          <w:sz w:val="28"/>
          <w:szCs w:val="28"/>
          <w:rtl/>
        </w:rPr>
        <w:t xml:space="preserve">تبريزي ، علي بن اسماعيل</w:t>
      </w:r>
    </w:p>
    <w:p>
      <w:pPr>
        <w:pStyle w:val="BookText"/>
      </w:pPr>
      <w:r>
        <w:rPr>
          <w:rFonts w:ascii="Amiri" w:hAnsi="Amiri" w:eastAsia="Amiri" w:cs="Amiri"/>
          <w:lang w:bidi="ar-SA"/>
          <w:color w:val="111111"/>
          <w:sz w:val="28"/>
          <w:szCs w:val="28"/>
          <w:rtl/>
        </w:rPr>
        <w:t xml:space="preserve">علي بن اسماعيل موسوي قزويني- قزويني ، علي بن اسماعيل</w:t>
      </w:r>
    </w:p>
    <w:p>
      <w:pPr>
        <w:pStyle w:val="BookText"/>
      </w:pPr>
      <w:r>
        <w:rPr>
          <w:rFonts w:ascii="Amiri" w:hAnsi="Amiri" w:eastAsia="Amiri" w:cs="Amiri"/>
          <w:lang w:bidi="ar-SA"/>
          <w:color w:val="111111"/>
          <w:sz w:val="28"/>
          <w:szCs w:val="28"/>
          <w:rtl/>
        </w:rPr>
        <w:t xml:space="preserve">علي بن امر الله حنائي- ابن حنائي ، علي بن امر الله</w:t>
      </w:r>
    </w:p>
    <w:p>
      <w:pPr>
        <w:pStyle w:val="BookText"/>
      </w:pPr>
      <w:r>
        <w:rPr>
          <w:rFonts w:ascii="Amiri" w:hAnsi="Amiri" w:eastAsia="Amiri" w:cs="Amiri"/>
          <w:lang w:bidi="ar-SA"/>
          <w:color w:val="111111"/>
          <w:sz w:val="28"/>
          <w:szCs w:val="28"/>
          <w:rtl/>
        </w:rPr>
        <w:t xml:space="preserve">علي بن انجب بن عثمان بغدادي ابن</w:t>
      </w:r>
    </w:p>
    <w:p>
      <w:pPr>
        <w:pStyle w:val="BookText"/>
      </w:pPr>
      <w:r>
        <w:rPr>
          <w:rFonts w:ascii="Amiri" w:hAnsi="Amiri" w:eastAsia="Amiri" w:cs="Amiri"/>
          <w:lang w:bidi="ar-SA"/>
          <w:color w:val="111111"/>
          <w:sz w:val="28"/>
          <w:szCs w:val="28"/>
          <w:rtl/>
        </w:rPr>
        <w:t xml:space="preserve">علي بن احمد كيزواني حموي حموي ، ساعي-ابن ساعي ، علي بن انجب</w:t>
      </w:r>
    </w:p>
    <w:p>
      <w:pPr>
        <w:pStyle w:val="BookText"/>
      </w:pPr>
      <w:r>
        <w:rPr>
          <w:rFonts w:ascii="Amiri" w:hAnsi="Amiri" w:eastAsia="Amiri" w:cs="Amiri"/>
          <w:lang w:bidi="ar-SA"/>
          <w:color w:val="111111"/>
          <w:sz w:val="28"/>
          <w:szCs w:val="28"/>
          <w:rtl/>
        </w:rPr>
        <w:t xml:space="preserve">علي بن بحر عامي- جاحظ ، عمرو بن</w:t>
      </w:r>
    </w:p>
    <w:p>
      <w:pPr>
        <w:pStyle w:val="BookText"/>
      </w:pPr>
      <w:r>
        <w:rPr>
          <w:rFonts w:ascii="IRNazanin" w:hAnsi="IRNazanin" w:eastAsia="IRNazanin" w:cs="IRNazanin"/>
          <w:lang w:bidi="fa-IR"/>
          <w:color w:val="111111"/>
          <w:sz w:val="28"/>
          <w:szCs w:val="28"/>
          <w:rtl/>
        </w:rPr>
        <w:t xml:space="preserve">بحر</w:t>
      </w:r>
    </w:p>
    <w:p>
      <w:pPr>
        <w:pStyle w:val="BookText"/>
      </w:pPr>
      <w:r>
        <w:rPr>
          <w:rFonts w:ascii="Amiri" w:hAnsi="Amiri" w:eastAsia="Amiri" w:cs="Amiri"/>
          <w:lang w:bidi="ar-SA"/>
          <w:color w:val="111111"/>
          <w:sz w:val="28"/>
          <w:szCs w:val="28"/>
          <w:rtl/>
        </w:rPr>
        <w:t xml:space="preserve">علي بن بسام شنتريني- ابن بسام ، علي</w:t>
      </w:r>
    </w:p>
    <w:p>
      <w:pPr>
        <w:pStyle w:val="BookText"/>
      </w:pPr>
      <w:r>
        <w:rPr>
          <w:rFonts w:ascii="Amiri" w:hAnsi="Amiri" w:eastAsia="Amiri" w:cs="Amiri"/>
          <w:lang w:bidi="ar-SA"/>
          <w:color w:val="111111"/>
          <w:sz w:val="28"/>
          <w:szCs w:val="28"/>
          <w:rtl/>
        </w:rPr>
        <w:t xml:space="preserve">علي بن بلبان فارسي- ابن بلبان ، علي بن</w:t>
      </w:r>
    </w:p>
    <w:p>
      <w:pPr>
        <w:pStyle w:val="BookText"/>
      </w:pPr>
      <w:r>
        <w:rPr>
          <w:rFonts w:ascii="IRNazanin" w:hAnsi="IRNazanin" w:eastAsia="IRNazanin" w:cs="IRNazanin"/>
          <w:lang w:bidi="fa-IR"/>
          <w:color w:val="111111"/>
          <w:sz w:val="28"/>
          <w:szCs w:val="28"/>
          <w:rtl/>
        </w:rPr>
        <w:t xml:space="preserve">بلبان</w:t>
      </w:r>
    </w:p>
    <w:p>
      <w:pPr>
        <w:pStyle w:val="BookText"/>
      </w:pPr>
      <w:r>
        <w:rPr>
          <w:rFonts w:ascii="Amiri" w:hAnsi="Amiri" w:eastAsia="Amiri" w:cs="Amiri"/>
          <w:lang w:bidi="ar-SA"/>
          <w:color w:val="111111"/>
          <w:sz w:val="28"/>
          <w:szCs w:val="28"/>
          <w:rtl/>
        </w:rPr>
        <w:t xml:space="preserve">علي بن جابر وفائي- وفائي ، علي بن جابر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796" w:name="pg7742_70848"/>
    <w:bookmarkEnd w:id="796"/>
    <w:p>
      <w:pPr>
        <w:pStyle w:val="BookText"/>
      </w:pPr>
      <w:r>
        <w:rPr>
          <w:rFonts w:ascii="Amiri" w:hAnsi="Amiri" w:eastAsia="Amiri" w:cs="Amiri"/>
          <w:lang w:bidi="ar-SA"/>
          <w:color w:val="111111"/>
          <w:sz w:val="28"/>
          <w:szCs w:val="28"/>
          <w:rtl/>
        </w:rPr>
        <w:t xml:space="preserve">علي بن جار الله مخزومي- مخزومي ، علي بن جار الله</w:t>
      </w:r>
    </w:p>
    <w:p>
      <w:pPr>
        <w:pStyle w:val="BookText"/>
      </w:pPr>
      <w:r>
        <w:rPr>
          <w:rFonts w:ascii="Amiri" w:hAnsi="Amiri" w:eastAsia="Amiri" w:cs="Amiri"/>
          <w:lang w:bidi="ar-SA"/>
          <w:color w:val="111111"/>
          <w:sz w:val="28"/>
          <w:szCs w:val="28"/>
          <w:rtl/>
        </w:rPr>
        <w:t xml:space="preserve">علي بن جبله بن مسلم ابناوي</w:t>
      </w:r>
    </w:p>
    <w:p>
      <w:pPr>
        <w:pStyle w:val="BookText"/>
      </w:pPr>
      <w:r>
        <w:rPr>
          <w:rFonts w:ascii="Amiri" w:hAnsi="Amiri" w:eastAsia="Amiri" w:cs="Amiri"/>
          <w:lang w:bidi="ar-SA"/>
          <w:color w:val="111111"/>
          <w:sz w:val="28"/>
          <w:szCs w:val="28"/>
          <w:rtl/>
        </w:rPr>
        <w:t xml:space="preserve">عكوك- عكوك ، علي بن جبله</w:t>
      </w:r>
    </w:p>
    <w:p>
      <w:pPr>
        <w:pStyle w:val="BookText"/>
      </w:pPr>
      <w:r>
        <w:rPr>
          <w:rFonts w:ascii="Amiri" w:hAnsi="Amiri" w:eastAsia="Amiri" w:cs="Amiri"/>
          <w:lang w:bidi="ar-SA"/>
          <w:color w:val="111111"/>
          <w:sz w:val="28"/>
          <w:szCs w:val="28"/>
          <w:rtl/>
        </w:rPr>
        <w:t xml:space="preserve">علي بن حجة الله</w:t>
      </w:r>
    </w:p>
    <w:p>
      <w:pPr>
        <w:pStyle w:val="BookText"/>
      </w:pPr>
      <w:r>
        <w:rPr>
          <w:rFonts w:ascii="Amiri" w:hAnsi="Amiri" w:eastAsia="Amiri" w:cs="Amiri"/>
          <w:lang w:bidi="ar-SA"/>
          <w:color w:val="111111"/>
          <w:sz w:val="28"/>
          <w:szCs w:val="28"/>
          <w:rtl/>
        </w:rPr>
        <w:t xml:space="preserve">علي بن جزاز ابن جزاز ، علي بن جزاز</w:t>
      </w:r>
    </w:p>
    <w:p>
      <w:pPr>
        <w:pStyle w:val="Heading2"/>
      </w:pPr>
      <w:bookmarkStart w:id="6063" w:name="_Toc5165"/>
      <w:r>
        <w:t>علي بن جعفر</w:t>
      </w:r>
      <w:bookmarkEnd w:id="60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احكام التقليد، ج 1، ص 463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الجعفريات، ج 5، ص 386.</w:t>
      </w:r>
    </w:p>
    <w:p>
      <w:pPr>
        <w:pStyle w:val="BookText"/>
      </w:pPr>
      <w:r>
        <w:rPr>
          <w:rFonts w:ascii="Amiri" w:hAnsi="Amiri" w:eastAsia="Amiri" w:cs="Amiri"/>
          <w:lang w:bidi="ar-SA"/>
          <w:color w:val="111111"/>
          <w:sz w:val="28"/>
          <w:szCs w:val="28"/>
          <w:rtl/>
        </w:rPr>
        <w:t xml:space="preserve">علي بن جعفر بن علي شنتريني سعدي</w:t>
      </w:r>
    </w:p>
    <w:p>
      <w:pPr>
        <w:pStyle w:val="BookText"/>
      </w:pPr>
      <w:r>
        <w:rPr>
          <w:rFonts w:ascii="Amiri" w:hAnsi="Amiri" w:eastAsia="Amiri" w:cs="Amiri"/>
          <w:lang w:bidi="ar-SA"/>
          <w:color w:val="111111"/>
          <w:sz w:val="28"/>
          <w:szCs w:val="28"/>
          <w:rtl/>
        </w:rPr>
        <w:t xml:space="preserve">صقلي- ابن قطاع ، علي بن جعفر</w:t>
      </w:r>
    </w:p>
    <w:p>
      <w:pPr>
        <w:pStyle w:val="Heading2"/>
      </w:pPr>
      <w:bookmarkStart w:id="6064" w:name="_Toc5166"/>
      <w:r>
        <w:t>علي بن جلي</w:t>
      </w:r>
      <w:bookmarkEnd w:id="6064"/>
    </w:p>
    <w:p>
      <w:pPr>
        <w:pStyle w:val="BookText"/>
      </w:pPr>
      <w:r>
        <w:rPr>
          <w:rFonts w:ascii="Amiri" w:hAnsi="Amiri" w:eastAsia="Amiri" w:cs="Amiri"/>
          <w:lang w:bidi="ar-SA"/>
          <w:color w:val="111111"/>
          <w:sz w:val="28"/>
          <w:szCs w:val="28"/>
          <w:rtl/>
        </w:rPr>
        <w:t xml:space="preserve">حاشية على رسالة العمل بربع المقنطرات، ج 6، ص 242.</w:t>
      </w:r>
    </w:p>
    <w:p>
      <w:pPr>
        <w:pStyle w:val="BookText"/>
      </w:pPr>
      <w:r>
        <w:rPr>
          <w:rFonts w:ascii="Amiri" w:hAnsi="Amiri" w:eastAsia="Amiri" w:cs="Amiri"/>
          <w:lang w:bidi="ar-SA"/>
          <w:color w:val="111111"/>
          <w:sz w:val="28"/>
          <w:szCs w:val="28"/>
          <w:rtl/>
        </w:rPr>
        <w:t xml:space="preserve">علي بن جمشيد نوري -نوري ، علي بن</w:t>
      </w:r>
    </w:p>
    <w:p>
      <w:pPr>
        <w:pStyle w:val="BookText"/>
      </w:pPr>
      <w:r>
        <w:rPr>
          <w:rFonts w:ascii="IRNazanin" w:hAnsi="IRNazanin" w:eastAsia="IRNazanin" w:cs="IRNazanin"/>
          <w:lang w:bidi="fa-IR"/>
          <w:color w:val="111111"/>
          <w:sz w:val="28"/>
          <w:szCs w:val="28"/>
          <w:rtl/>
        </w:rPr>
        <w:t xml:space="preserve">جمشید</w:t>
      </w:r>
    </w:p>
    <w:p>
      <w:pPr>
        <w:pStyle w:val="BookText"/>
      </w:pPr>
      <w:r>
        <w:rPr>
          <w:rFonts w:ascii="Amiri" w:hAnsi="Amiri" w:eastAsia="Amiri" w:cs="Amiri"/>
          <w:lang w:bidi="ar-SA"/>
          <w:color w:val="111111"/>
          <w:sz w:val="28"/>
          <w:szCs w:val="28"/>
          <w:rtl/>
        </w:rPr>
        <w:t xml:space="preserve">علي بن جواد مرندي -مرندي ، علي بن</w:t>
      </w:r>
    </w:p>
    <w:p>
      <w:pPr>
        <w:pStyle w:val="BookText"/>
      </w:pPr>
      <w:r>
        <w:rPr>
          <w:rFonts w:ascii="IRNazanin" w:hAnsi="IRNazanin" w:eastAsia="IRNazanin" w:cs="IRNazanin"/>
          <w:lang w:bidi="fa-IR"/>
          <w:color w:val="111111"/>
          <w:sz w:val="28"/>
          <w:szCs w:val="28"/>
          <w:rtl/>
        </w:rPr>
        <w:t xml:space="preserve">جواد</w:t>
      </w:r>
    </w:p>
    <w:p>
      <w:pPr>
        <w:pStyle w:val="BookText"/>
      </w:pPr>
      <w:r>
        <w:rPr>
          <w:rFonts w:ascii="Amiri" w:hAnsi="Amiri" w:eastAsia="Amiri" w:cs="Amiri"/>
          <w:lang w:bidi="ar-SA"/>
          <w:color w:val="111111"/>
          <w:sz w:val="28"/>
          <w:szCs w:val="28"/>
          <w:rtl/>
        </w:rPr>
        <w:t xml:space="preserve">علي بن جولوغ فرخي سيستاني- فرخي</w:t>
      </w:r>
    </w:p>
    <w:p>
      <w:pPr>
        <w:pStyle w:val="BookText"/>
      </w:pPr>
      <w:r>
        <w:rPr>
          <w:rFonts w:ascii="IRNazanin" w:hAnsi="IRNazanin" w:eastAsia="IRNazanin" w:cs="IRNazanin"/>
          <w:lang w:bidi="fa-IR"/>
          <w:color w:val="111111"/>
          <w:sz w:val="28"/>
          <w:szCs w:val="28"/>
          <w:rtl/>
        </w:rPr>
        <w:t xml:space="preserve">سیستاني ، علي بن جولوغ</w:t>
      </w:r>
    </w:p>
    <w:p>
      <w:pPr>
        <w:pStyle w:val="BookText"/>
      </w:pPr>
      <w:r>
        <w:rPr>
          <w:rFonts w:ascii="Amiri" w:hAnsi="Amiri" w:eastAsia="Amiri" w:cs="Amiri"/>
          <w:lang w:bidi="ar-SA"/>
          <w:color w:val="111111"/>
          <w:sz w:val="28"/>
          <w:szCs w:val="28"/>
          <w:rtl/>
        </w:rPr>
        <w:t xml:space="preserve">علي بن جوهر سكري- سكري ، علي بن</w:t>
      </w:r>
    </w:p>
    <w:p>
      <w:pPr>
        <w:pStyle w:val="BookText"/>
      </w:pPr>
      <w:r>
        <w:rPr>
          <w:rFonts w:ascii="IRNazanin" w:hAnsi="IRNazanin" w:eastAsia="IRNazanin" w:cs="IRNazanin"/>
          <w:lang w:bidi="fa-IR"/>
          <w:color w:val="111111"/>
          <w:sz w:val="28"/>
          <w:szCs w:val="28"/>
          <w:rtl/>
        </w:rPr>
        <w:t xml:space="preserve">جوهر</w:t>
      </w:r>
    </w:p>
    <w:p>
      <w:pPr>
        <w:pStyle w:val="BookText"/>
      </w:pPr>
      <w:r>
        <w:rPr>
          <w:rFonts w:ascii="Amiri" w:hAnsi="Amiri" w:eastAsia="Amiri" w:cs="Amiri"/>
          <w:lang w:bidi="ar-SA"/>
          <w:color w:val="111111"/>
          <w:sz w:val="28"/>
          <w:szCs w:val="28"/>
          <w:rtl/>
        </w:rPr>
        <w:t xml:space="preserve">علي بن حامد اشنوي (اشنهي)- اشنوي</w:t>
      </w:r>
    </w:p>
    <w:p>
      <w:pPr>
        <w:pStyle w:val="BookText"/>
      </w:pPr>
      <w:r>
        <w:rPr>
          <w:rFonts w:ascii="Amiri" w:hAnsi="Amiri" w:eastAsia="Amiri" w:cs="Amiri"/>
          <w:lang w:bidi="ar-SA"/>
          <w:color w:val="111111"/>
          <w:sz w:val="28"/>
          <w:szCs w:val="28"/>
          <w:rtl/>
        </w:rPr>
        <w:t xml:space="preserve">علي بن حامد</w:t>
      </w:r>
    </w:p>
    <w:p>
      <w:pPr>
        <w:pStyle w:val="BookText"/>
      </w:pPr>
      <w:r>
        <w:rPr>
          <w:rFonts w:ascii="Amiri" w:hAnsi="Amiri" w:eastAsia="Amiri" w:cs="Amiri"/>
          <w:lang w:bidi="ar-SA"/>
          <w:color w:val="111111"/>
          <w:sz w:val="28"/>
          <w:szCs w:val="28"/>
          <w:rtl/>
        </w:rPr>
        <w:t xml:space="preserve">علي بن حامد شيخاني- شيخاني ، علي بن حامد</w:t>
      </w:r>
    </w:p>
    <w:p>
      <w:pPr>
        <w:pStyle w:val="BookText"/>
      </w:pPr>
      <w:r>
        <w:rPr>
          <w:rFonts w:ascii="Amiri" w:hAnsi="Amiri" w:eastAsia="Amiri" w:cs="Amiri"/>
          <w:lang w:bidi="ar-SA"/>
          <w:color w:val="111111"/>
          <w:sz w:val="28"/>
          <w:szCs w:val="28"/>
          <w:rtl/>
        </w:rPr>
        <w:t xml:space="preserve">علي بن حجة الله شولستاني- شولستاني</w:t>
      </w:r>
    </w:p>
    <w:p>
      <w:pPr>
        <w:pStyle w:val="BookText"/>
      </w:pPr>
      <w:r>
        <w:rPr>
          <w:rFonts w:ascii="Amiri" w:hAnsi="Amiri" w:eastAsia="Amiri" w:cs="Amiri"/>
          <w:lang w:bidi="ar-SA"/>
          <w:color w:val="111111"/>
          <w:sz w:val="28"/>
          <w:szCs w:val="28"/>
          <w:rtl/>
        </w:rPr>
        <w:t xml:space="preserve">علي بن حرب طائي- طائي ، علي بن حرب</w:t>
      </w:r>
    </w:p>
    <w:p>
      <w:pPr>
        <w:pStyle w:val="BookText"/>
      </w:pPr>
      <w:r>
        <w:rPr>
          <w:rFonts w:ascii="Amiri" w:hAnsi="Amiri" w:eastAsia="Amiri" w:cs="Amiri"/>
          <w:lang w:bidi="ar-SA"/>
          <w:color w:val="111111"/>
          <w:sz w:val="28"/>
          <w:szCs w:val="28"/>
          <w:rtl/>
        </w:rPr>
        <w:t xml:space="preserve">علي بن حسام الدين متقي هندي -متقي ، علي بن حسام الدين</w:t>
      </w:r>
    </w:p>
    <w:p>
      <w:pPr>
        <w:pStyle w:val="Heading2"/>
      </w:pPr>
      <w:bookmarkStart w:id="6065" w:name="_Toc5167"/>
      <w:r>
        <w:t>علي بن حسن</w:t>
      </w:r>
      <w:bookmarkEnd w:id="6065"/>
    </w:p>
    <w:p>
      <w:pPr>
        <w:pStyle w:val="BookText"/>
      </w:pPr>
      <w:r>
        <w:rPr>
          <w:rFonts w:ascii="Amiri" w:hAnsi="Amiri" w:eastAsia="Amiri" w:cs="Amiri"/>
          <w:lang w:bidi="ar-SA"/>
          <w:color w:val="111111"/>
          <w:sz w:val="28"/>
          <w:szCs w:val="28"/>
          <w:rtl/>
        </w:rPr>
        <w:t xml:space="preserve">شرح وصية الامام الاعظم، ج 10، ص 331.</w:t>
      </w:r>
    </w:p>
    <w:p>
      <w:pPr>
        <w:pStyle w:val="BookText"/>
      </w:pPr>
      <w:r>
        <w:rPr>
          <w:rFonts w:ascii="Amiri" w:hAnsi="Amiri" w:eastAsia="Amiri" w:cs="Amiri"/>
          <w:lang w:bidi="ar-SA"/>
          <w:color w:val="111111"/>
          <w:sz w:val="28"/>
          <w:szCs w:val="28"/>
          <w:rtl/>
        </w:rPr>
        <w:t xml:space="preserve">علي بن حسن ابن ويسين- ابن ويسين ،</w:t>
      </w:r>
    </w:p>
    <w:p>
      <w:pPr>
        <w:pStyle w:val="BookText"/>
      </w:pPr>
      <w:r>
        <w:rPr>
          <w:rFonts w:ascii="Amiri" w:hAnsi="Amiri" w:eastAsia="Amiri" w:cs="Amiri"/>
          <w:lang w:bidi="ar-SA"/>
          <w:color w:val="111111"/>
          <w:sz w:val="28"/>
          <w:szCs w:val="28"/>
          <w:rtl/>
        </w:rPr>
        <w:t xml:space="preserve">علي بن حسن</w:t>
      </w:r>
    </w:p>
    <w:p>
      <w:pPr>
        <w:pStyle w:val="BookText"/>
      </w:pPr>
      <w:r>
        <w:rPr>
          <w:rFonts w:ascii="Amiri" w:hAnsi="Amiri" w:eastAsia="Amiri" w:cs="Amiri"/>
          <w:lang w:bidi="ar-SA"/>
          <w:color w:val="111111"/>
          <w:sz w:val="28"/>
          <w:szCs w:val="28"/>
          <w:rtl/>
        </w:rPr>
        <w:t xml:space="preserve">علي بن حسن برزنجي-برزنجي ، علي بن حسن</w:t>
      </w:r>
    </w:p>
    <w:p>
      <w:pPr>
        <w:pStyle w:val="BookText"/>
      </w:pPr>
      <w:r>
        <w:rPr>
          <w:rFonts w:ascii="Amiri" w:hAnsi="Amiri" w:eastAsia="Amiri" w:cs="Amiri"/>
          <w:lang w:bidi="ar-SA"/>
          <w:color w:val="111111"/>
          <w:sz w:val="28"/>
          <w:szCs w:val="28"/>
          <w:rtl/>
        </w:rPr>
        <w:t xml:space="preserve">علي بن حسن بن شدقم- ابن شدقم ،</w:t>
      </w:r>
    </w:p>
    <w:p>
      <w:pPr>
        <w:pStyle w:val="BookText"/>
      </w:pPr>
      <w:r>
        <w:rPr>
          <w:rFonts w:ascii="Amiri" w:hAnsi="Amiri" w:eastAsia="Amiri" w:cs="Amiri"/>
          <w:lang w:bidi="ar-SA"/>
          <w:color w:val="111111"/>
          <w:sz w:val="28"/>
          <w:szCs w:val="28"/>
          <w:rtl/>
        </w:rPr>
        <w:t xml:space="preserve">علي بن حسن</w:t>
      </w:r>
    </w:p>
    <w:p>
      <w:pPr>
        <w:pStyle w:val="BookText"/>
      </w:pPr>
      <w:r>
        <w:rPr>
          <w:rFonts w:ascii="Amiri" w:hAnsi="Amiri" w:eastAsia="Amiri" w:cs="Amiri"/>
          <w:lang w:bidi="ar-SA"/>
          <w:color w:val="111111"/>
          <w:sz w:val="28"/>
          <w:szCs w:val="28"/>
          <w:rtl/>
        </w:rPr>
        <w:t xml:space="preserve">علي بن حسن حلبي -حلبي ، علي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علي بن حسن حلي-حلي ، علي بن حسن</w:t>
      </w:r>
    </w:p>
    <w:p>
      <w:pPr>
        <w:pStyle w:val="BookText"/>
      </w:pPr>
      <w:r>
        <w:rPr>
          <w:rFonts w:ascii="Amiri" w:hAnsi="Amiri" w:eastAsia="Amiri" w:cs="Amiri"/>
          <w:lang w:bidi="ar-SA"/>
          <w:color w:val="111111"/>
          <w:sz w:val="28"/>
          <w:szCs w:val="28"/>
          <w:rtl/>
        </w:rPr>
        <w:t xml:space="preserve">علي بن حسن زواره اي- زواره اي ، علي</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علي بن حسن سفياني مالكي -سفياني ، علي</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علي بن حسن صباغ- صباغ ، علي بن</w:t>
      </w:r>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علي بن حسن مصري هنائي ازدي دوسي -كراع النمل ، علي بن حسن</w:t>
      </w:r>
    </w:p>
    <w:p>
      <w:pPr>
        <w:pStyle w:val="BookText"/>
      </w:pPr>
      <w:r>
        <w:rPr>
          <w:rFonts w:ascii="Amiri" w:hAnsi="Amiri" w:eastAsia="Amiri" w:cs="Amiri"/>
          <w:lang w:bidi="ar-SA"/>
          <w:color w:val="111111"/>
          <w:sz w:val="28"/>
          <w:szCs w:val="28"/>
          <w:rtl/>
        </w:rPr>
        <w:t xml:space="preserve">علي بن حسن واسطي- واسطي ، علي بن حسن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797" w:name="pg7742_70850"/>
    <w:bookmarkEnd w:id="797"/>
    <w:p>
      <w:pPr>
        <w:pStyle w:val="BookText"/>
      </w:pPr>
      <w:r>
        <w:rPr>
          <w:rFonts w:ascii="Amiri" w:hAnsi="Amiri" w:eastAsia="Amiri" w:cs="Amiri"/>
          <w:lang w:bidi="ar-SA"/>
          <w:color w:val="111111"/>
          <w:sz w:val="28"/>
          <w:szCs w:val="28"/>
          <w:rtl/>
        </w:rPr>
        <w:t xml:space="preserve">علي بن حسين آمجي- آمجي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حسين انصاري (زين</w:t>
      </w:r>
    </w:p>
    <w:p>
      <w:pPr>
        <w:pStyle w:val="BookText"/>
      </w:pPr>
      <w:r>
        <w:rPr>
          <w:rFonts w:ascii="Amiri" w:hAnsi="Amiri" w:eastAsia="Amiri" w:cs="Amiri"/>
          <w:lang w:bidi="ar-SA"/>
          <w:color w:val="111111"/>
          <w:sz w:val="28"/>
          <w:szCs w:val="28"/>
          <w:rtl/>
        </w:rPr>
        <w:t xml:space="preserve">العطار) -زين العابدين عطار ، علي بن حسين</w:t>
      </w:r>
    </w:p>
    <w:p>
      <w:pPr>
        <w:pStyle w:val="BookText"/>
      </w:pPr>
      <w:r>
        <w:rPr>
          <w:rFonts w:ascii="Amiri" w:hAnsi="Amiri" w:eastAsia="Amiri" w:cs="Amiri"/>
          <w:lang w:bidi="ar-SA"/>
          <w:color w:val="111111"/>
          <w:sz w:val="28"/>
          <w:szCs w:val="28"/>
          <w:rtl/>
        </w:rPr>
        <w:t xml:space="preserve">علي بن حسين بحراني ماحوزي- بحراني ،</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علي بن حسين بن باقي قرشي- ابن باقي</w:t>
      </w:r>
    </w:p>
    <w:p>
      <w:pPr>
        <w:pStyle w:val="BookText"/>
      </w:pPr>
      <w:r>
        <w:rPr>
          <w:rFonts w:ascii="Amiri" w:hAnsi="Amiri" w:eastAsia="Amiri" w:cs="Amiri"/>
          <w:lang w:bidi="ar-SA"/>
          <w:color w:val="111111"/>
          <w:sz w:val="28"/>
          <w:szCs w:val="28"/>
          <w:rtl/>
        </w:rPr>
        <w:t xml:space="preserve">علي بن حسين</w:t>
      </w:r>
    </w:p>
    <w:p>
      <w:pPr>
        <w:pStyle w:val="Heading2"/>
      </w:pPr>
      <w:bookmarkStart w:id="6066" w:name="_Toc5168"/>
      <w:r>
        <w:t>علي بن حسين بن علي، قرن 13 ه-</w:t>
      </w:r>
      <w:bookmarkEnd w:id="6066"/>
    </w:p>
    <w:p>
      <w:pPr>
        <w:pStyle w:val="BookText"/>
      </w:pPr>
      <w:r>
        <w:rPr>
          <w:rFonts w:ascii="Amiri" w:hAnsi="Amiri" w:eastAsia="Amiri" w:cs="Amiri"/>
          <w:lang w:bidi="ar-SA"/>
          <w:color w:val="111111"/>
          <w:sz w:val="28"/>
          <w:szCs w:val="28"/>
          <w:rtl/>
        </w:rPr>
        <w:t xml:space="preserve">كتاب علي، ج 13، ص 110.</w:t>
      </w:r>
    </w:p>
    <w:p>
      <w:pPr>
        <w:pStyle w:val="BookText"/>
      </w:pPr>
      <w:r>
        <w:rPr>
          <w:rFonts w:ascii="IRNazanin" w:hAnsi="IRNazanin" w:eastAsia="IRNazanin" w:cs="IRNazanin"/>
          <w:lang w:bidi="fa-IR"/>
          <w:color w:val="111111"/>
          <w:sz w:val="28"/>
          <w:szCs w:val="28"/>
          <w:rtl/>
        </w:rPr>
        <w:t xml:space="preserve">علي بن حسين بن موسى -بابویه ابن</w:t>
      </w:r>
    </w:p>
    <w:p>
      <w:pPr>
        <w:pStyle w:val="BookText"/>
      </w:pPr>
      <w:r>
        <w:rPr>
          <w:rFonts w:ascii="Amiri" w:hAnsi="Amiri" w:eastAsia="Amiri" w:cs="Amiri"/>
          <w:lang w:bidi="ar-SA"/>
          <w:color w:val="111111"/>
          <w:sz w:val="28"/>
          <w:szCs w:val="28"/>
          <w:rtl/>
        </w:rPr>
        <w:t xml:space="preserve">بابويه ، علي بن حسين</w:t>
      </w:r>
    </w:p>
    <w:p>
      <w:pPr>
        <w:pStyle w:val="BookText"/>
      </w:pPr>
      <w:r>
        <w:rPr>
          <w:rFonts w:ascii="Amiri" w:hAnsi="Amiri" w:eastAsia="Amiri" w:cs="Amiri"/>
          <w:lang w:bidi="ar-SA"/>
          <w:color w:val="111111"/>
          <w:sz w:val="28"/>
          <w:szCs w:val="28"/>
          <w:rtl/>
        </w:rPr>
        <w:t xml:space="preserve">علي بن حسين بن هندوي رازي -ابن</w:t>
      </w:r>
    </w:p>
    <w:p>
      <w:pPr>
        <w:pStyle w:val="BookText"/>
      </w:pPr>
      <w:r>
        <w:rPr>
          <w:rFonts w:ascii="Amiri" w:hAnsi="Amiri" w:eastAsia="Amiri" w:cs="Amiri"/>
          <w:lang w:bidi="ar-SA"/>
          <w:color w:val="111111"/>
          <w:sz w:val="28"/>
          <w:szCs w:val="28"/>
          <w:rtl/>
        </w:rPr>
        <w:t xml:space="preserve">هندو ، علي بن حسين</w:t>
      </w:r>
    </w:p>
    <w:p>
      <w:pPr>
        <w:pStyle w:val="Heading2"/>
      </w:pPr>
      <w:bookmarkStart w:id="6067" w:name="_Toc5169"/>
      <w:r>
        <w:t>علي بن حسين بن موسى</w:t>
      </w:r>
      <w:bookmarkEnd w:id="6067"/>
    </w:p>
    <w:p>
      <w:pPr>
        <w:pStyle w:val="BookText"/>
      </w:pPr>
      <w:r>
        <w:rPr>
          <w:rFonts w:ascii="Amiri" w:hAnsi="Amiri" w:eastAsia="Amiri" w:cs="Amiri"/>
          <w:lang w:bidi="ar-SA"/>
          <w:color w:val="111111"/>
          <w:sz w:val="28"/>
          <w:szCs w:val="28"/>
          <w:rtl/>
        </w:rPr>
        <w:t xml:space="preserve">تاء التأنيث الساكنة (رسالة في)، ج3،</w:t>
      </w:r>
    </w:p>
    <w:p>
      <w:pPr>
        <w:pStyle w:val="BookText"/>
      </w:pPr>
      <w:r>
        <w:rPr>
          <w:rFonts w:ascii="IRNazanin" w:hAnsi="IRNazanin" w:eastAsia="IRNazanin" w:cs="IRNazanin"/>
          <w:lang w:bidi="fa-IR"/>
          <w:color w:val="111111"/>
          <w:sz w:val="28"/>
          <w:szCs w:val="28"/>
          <w:rtl/>
        </w:rPr>
        <w:t xml:space="preserve">ص 527 .</w:t>
      </w:r>
    </w:p>
    <w:p>
      <w:pPr>
        <w:pStyle w:val="BookText"/>
      </w:pPr>
      <w:r>
        <w:rPr>
          <w:rFonts w:ascii="Amiri" w:hAnsi="Amiri" w:eastAsia="Amiri" w:cs="Amiri"/>
          <w:lang w:bidi="ar-SA"/>
          <w:color w:val="111111"/>
          <w:sz w:val="28"/>
          <w:szCs w:val="28"/>
          <w:rtl/>
        </w:rPr>
        <w:t xml:space="preserve">علي بن حسين حسيني- حسيني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حسين خاقاني- خاقاني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حسين رجائي سعاوي -سعاوي</w:t>
      </w:r>
    </w:p>
    <w:p>
      <w:pPr>
        <w:pStyle w:val="BookText"/>
      </w:pPr>
      <w:r>
        <w:rPr>
          <w:rFonts w:ascii="Amiri" w:hAnsi="Amiri" w:eastAsia="Amiri" w:cs="Amiri"/>
          <w:lang w:bidi="ar-SA"/>
          <w:color w:val="111111"/>
          <w:sz w:val="28"/>
          <w:szCs w:val="28"/>
          <w:rtl/>
        </w:rPr>
        <w:t xml:space="preserve">علي بن حسين</w:t>
      </w:r>
    </w:p>
    <w:p>
      <w:pPr>
        <w:pStyle w:val="Heading2"/>
      </w:pPr>
      <w:bookmarkStart w:id="6068" w:name="_Toc5170"/>
      <w:r>
        <w:t>علي بن حسين السجاد (ع)، 38 - 94 ه-</w:t>
      </w:r>
      <w:bookmarkEnd w:id="6068"/>
    </w:p>
    <w:p>
      <w:pPr>
        <w:pStyle w:val="BookText"/>
      </w:pPr>
      <w:r>
        <w:rPr>
          <w:rFonts w:ascii="Amiri" w:hAnsi="Amiri" w:eastAsia="Amiri" w:cs="Amiri"/>
          <w:lang w:bidi="ar-SA"/>
          <w:color w:val="111111"/>
          <w:sz w:val="28"/>
          <w:szCs w:val="28"/>
          <w:rtl/>
        </w:rPr>
        <w:t xml:space="preserve">1 .الادعية، ج 1، ص 603.</w:t>
      </w:r>
    </w:p>
    <w:p>
      <w:pPr>
        <w:pStyle w:val="BookText"/>
      </w:pPr>
      <w:r>
        <w:rPr>
          <w:rFonts w:ascii="Amiri" w:hAnsi="Amiri" w:eastAsia="Amiri" w:cs="Amiri"/>
          <w:lang w:bidi="ar-SA"/>
          <w:color w:val="111111"/>
          <w:sz w:val="28"/>
          <w:szCs w:val="28"/>
          <w:rtl/>
        </w:rPr>
        <w:t xml:space="preserve">2 .دعاء أبي حمزة الثمالي، ج 7، ص390.</w:t>
      </w:r>
    </w:p>
    <w:p>
      <w:pPr>
        <w:pStyle w:val="BookText"/>
      </w:pPr>
      <w:r>
        <w:rPr>
          <w:rFonts w:ascii="Amiri" w:hAnsi="Amiri" w:eastAsia="Amiri" w:cs="Amiri"/>
          <w:lang w:bidi="ar-SA"/>
          <w:color w:val="111111"/>
          <w:sz w:val="28"/>
          <w:szCs w:val="28"/>
          <w:rtl/>
        </w:rPr>
        <w:t xml:space="preserve">3 .ديوان الامام السجاد عليه السلام</w:t>
      </w:r>
    </w:p>
    <w:p>
      <w:pPr>
        <w:pStyle w:val="BookText"/>
      </w:pPr>
      <w:r>
        <w:rPr>
          <w:rFonts w:ascii="IRNazanin" w:hAnsi="IRNazanin" w:eastAsia="IRNazanin" w:cs="IRNazanin"/>
          <w:lang w:bidi="fa-IR"/>
          <w:color w:val="111111"/>
          <w:sz w:val="28"/>
          <w:szCs w:val="28"/>
          <w:rtl/>
        </w:rPr>
        <w:t xml:space="preserve">ج 7 ، ص 576 .</w:t>
      </w:r>
    </w:p>
    <w:p>
      <w:pPr>
        <w:pStyle w:val="BookText"/>
      </w:pPr>
      <w:r>
        <w:rPr>
          <w:rFonts w:ascii="Amiri" w:hAnsi="Amiri" w:eastAsia="Amiri" w:cs="Amiri"/>
          <w:lang w:bidi="ar-SA"/>
          <w:color w:val="111111"/>
          <w:sz w:val="28"/>
          <w:szCs w:val="28"/>
          <w:rtl/>
        </w:rPr>
        <w:t xml:space="preserve">4 .الصحيفة الكاملة السجادية - الصحيفة السجادية، ج 10، ص 520.</w:t>
      </w:r>
    </w:p>
    <w:p>
      <w:pPr>
        <w:pStyle w:val="BookText"/>
      </w:pPr>
      <w:r>
        <w:rPr>
          <w:rFonts w:ascii="Amiri" w:hAnsi="Amiri" w:eastAsia="Amiri" w:cs="Amiri"/>
          <w:lang w:bidi="ar-SA"/>
          <w:color w:val="111111"/>
          <w:sz w:val="28"/>
          <w:szCs w:val="28"/>
          <w:rtl/>
        </w:rPr>
        <w:t xml:space="preserve">5 .الصحيفة الكاملة السجادية</w:t>
      </w:r>
    </w:p>
    <w:p>
      <w:pPr>
        <w:pStyle w:val="BookText"/>
      </w:pPr>
      <w:r>
        <w:rPr>
          <w:rFonts w:ascii="IRNazanin" w:hAnsi="IRNazanin" w:eastAsia="IRNazanin" w:cs="IRNazanin"/>
          <w:lang w:bidi="fa-IR"/>
          <w:color w:val="111111"/>
          <w:sz w:val="28"/>
          <w:szCs w:val="28"/>
          <w:rtl/>
        </w:rPr>
        <w:t xml:space="preserve">(مترجم)، ج 10، ص 532.</w:t>
      </w:r>
    </w:p>
    <w:p>
      <w:pPr>
        <w:pStyle w:val="BookText"/>
      </w:pPr>
      <w:r>
        <w:rPr>
          <w:rFonts w:ascii="Amiri" w:hAnsi="Amiri" w:eastAsia="Amiri" w:cs="Amiri"/>
          <w:lang w:bidi="ar-SA"/>
          <w:color w:val="111111"/>
          <w:sz w:val="28"/>
          <w:szCs w:val="28"/>
          <w:rtl/>
        </w:rPr>
        <w:t xml:space="preserve">6 .قصيدة، ج 12 ، ص 632.</w:t>
      </w:r>
    </w:p>
    <w:p>
      <w:pPr>
        <w:pStyle w:val="BookText"/>
      </w:pPr>
      <w:r>
        <w:rPr>
          <w:rFonts w:ascii="Amiri" w:hAnsi="Amiri" w:eastAsia="Amiri" w:cs="Amiri"/>
          <w:lang w:bidi="ar-SA"/>
          <w:color w:val="111111"/>
          <w:sz w:val="28"/>
          <w:szCs w:val="28"/>
          <w:rtl/>
        </w:rPr>
        <w:t xml:space="preserve">7 .كلام الامام السجاد، ج13، ص 355.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المناجات، ج 15 ، ص 472 .</w:t>
      </w:r>
    </w:p>
    <w:p>
      <w:pPr>
        <w:pStyle w:val="BookText"/>
      </w:pPr>
      <w:r>
        <w:rPr>
          <w:rFonts w:ascii="Amiri" w:hAnsi="Amiri" w:eastAsia="Amiri" w:cs="Amiri"/>
          <w:lang w:bidi="ar-SA"/>
          <w:color w:val="111111"/>
          <w:sz w:val="28"/>
          <w:szCs w:val="28"/>
          <w:rtl/>
        </w:rPr>
        <w:t xml:space="preserve">9 .المناجاة الانجيلية، ج 15 ، ص 475.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المناجات الخمسة عشر، ج 15 ،</w:t>
      </w:r>
    </w:p>
    <w:p>
      <w:pPr>
        <w:pStyle w:val="BookText"/>
      </w:pPr>
      <w:r>
        <w:rPr>
          <w:rFonts w:ascii="IRNazanin" w:hAnsi="IRNazanin" w:eastAsia="IRNazanin" w:cs="IRNazanin"/>
          <w:lang w:bidi="fa-IR"/>
          <w:color w:val="111111"/>
          <w:sz w:val="28"/>
          <w:szCs w:val="28"/>
          <w:rtl/>
        </w:rPr>
        <w:t xml:space="preserve">ص 475 .</w:t>
      </w:r>
    </w:p>
    <w:p>
      <w:pPr>
        <w:pStyle w:val="BookText"/>
      </w:pPr>
      <w:r>
        <w:rPr>
          <w:rFonts w:ascii="Amiri" w:hAnsi="Amiri" w:eastAsia="Amiri" w:cs="Amiri"/>
          <w:lang w:bidi="ar-SA"/>
          <w:color w:val="111111"/>
          <w:sz w:val="28"/>
          <w:szCs w:val="28"/>
          <w:rtl/>
        </w:rPr>
        <w:t xml:space="preserve">11 .المناجاة المنظومة، ج 15، ص 479.</w:t>
      </w:r>
    </w:p>
    <w:p>
      <w:pPr>
        <w:pStyle w:val="BookText"/>
      </w:pPr>
      <w:r>
        <w:rPr>
          <w:rFonts w:ascii="Amiri" w:hAnsi="Amiri" w:eastAsia="Amiri" w:cs="Amiri"/>
          <w:lang w:bidi="ar-SA"/>
          <w:color w:val="111111"/>
          <w:sz w:val="28"/>
          <w:szCs w:val="28"/>
          <w:rtl/>
        </w:rPr>
        <w:t xml:space="preserve">12 .مناجاة سيد الساجدين، ج 15</w:t>
      </w:r>
    </w:p>
    <w:p>
      <w:pPr>
        <w:pStyle w:val="BookText"/>
      </w:pPr>
      <w:r>
        <w:rPr>
          <w:rFonts w:ascii="IRNazanin" w:hAnsi="IRNazanin" w:eastAsia="IRNazanin" w:cs="IRNazanin"/>
          <w:lang w:bidi="fa-IR"/>
          <w:color w:val="111111"/>
          <w:sz w:val="28"/>
          <w:szCs w:val="28"/>
          <w:rtl/>
        </w:rPr>
        <w:t xml:space="preserve">ص 477 .</w:t>
      </w:r>
    </w:p>
    <w:p>
      <w:pPr>
        <w:pStyle w:val="BookText"/>
      </w:pPr>
      <w:r>
        <w:rPr>
          <w:rFonts w:ascii="Amiri" w:hAnsi="Amiri" w:eastAsia="Amiri" w:cs="Amiri"/>
          <w:lang w:bidi="ar-SA"/>
          <w:color w:val="111111"/>
          <w:sz w:val="28"/>
          <w:szCs w:val="28"/>
          <w:rtl/>
        </w:rPr>
        <w:t xml:space="preserve">13 .من ادعية الإمام السجاد، ج 15</w:t>
      </w:r>
    </w:p>
    <w:p>
      <w:pPr>
        <w:pStyle w:val="BookText"/>
      </w:pPr>
      <w:r>
        <w:rPr>
          <w:rFonts w:ascii="IRNazanin" w:hAnsi="IRNazanin" w:eastAsia="IRNazanin" w:cs="IRNazanin"/>
          <w:lang w:bidi="fa-IR"/>
          <w:color w:val="111111"/>
          <w:sz w:val="28"/>
          <w:szCs w:val="28"/>
          <w:rtl/>
        </w:rPr>
        <w:t xml:space="preserve">ص 482 .</w:t>
      </w:r>
    </w:p>
    <w:p>
      <w:pPr>
        <w:pStyle w:val="BookText"/>
      </w:pPr>
      <w:r>
        <w:rPr>
          <w:rFonts w:ascii="Amiri" w:hAnsi="Amiri" w:eastAsia="Amiri" w:cs="Amiri"/>
          <w:lang w:bidi="ar-SA"/>
          <w:color w:val="111111"/>
          <w:sz w:val="28"/>
          <w:szCs w:val="28"/>
          <w:rtl/>
        </w:rPr>
        <w:t xml:space="preserve">علي بن حسين سغدي- سغدي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حسين فرضي حلي -فرضي حلي ،</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علي بن حسين كربلائي -كربلائي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حسين مروي -مروي ،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حسين مسعودي هذلي- مسعودي ، علي بن حسين</w:t>
      </w:r>
    </w:p>
    <w:p>
      <w:pPr>
        <w:pStyle w:val="BookText"/>
      </w:pPr>
      <w:r>
        <w:rPr>
          <w:rFonts w:ascii="Amiri" w:hAnsi="Amiri" w:eastAsia="Amiri" w:cs="Amiri"/>
          <w:lang w:bidi="ar-SA"/>
          <w:color w:val="111111"/>
          <w:sz w:val="28"/>
          <w:szCs w:val="28"/>
          <w:rtl/>
        </w:rPr>
        <w:t xml:space="preserve">علي بن حسين موسوي عاملي- موسوي</w:t>
      </w:r>
    </w:p>
    <w:p>
      <w:pPr>
        <w:pStyle w:val="BookText"/>
      </w:pPr>
      <w:r>
        <w:rPr>
          <w:rFonts w:ascii="Amiri" w:hAnsi="Amiri" w:eastAsia="Amiri" w:cs="Amiri"/>
          <w:lang w:bidi="ar-SA"/>
          <w:color w:val="111111"/>
          <w:sz w:val="28"/>
          <w:szCs w:val="28"/>
          <w:rtl/>
        </w:rPr>
        <w:t xml:space="preserve">عاملي ، علي بن حسين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798" w:name="pg7742_70852"/>
    <w:bookmarkEnd w:id="798"/>
    <w:p>
      <w:pPr>
        <w:pStyle w:val="BookText"/>
      </w:pPr>
      <w:r>
        <w:rPr>
          <w:rFonts w:ascii="Amiri" w:hAnsi="Amiri" w:eastAsia="Amiri" w:cs="Amiri"/>
          <w:lang w:bidi="ar-SA"/>
          <w:color w:val="111111"/>
          <w:sz w:val="28"/>
          <w:szCs w:val="28"/>
          <w:rtl/>
        </w:rPr>
        <w:t xml:space="preserve">علي بن حسين موصلي حنبلي -موصلي</w:t>
      </w:r>
    </w:p>
    <w:p>
      <w:pPr>
        <w:pStyle w:val="BookText"/>
      </w:pPr>
      <w:r>
        <w:rPr>
          <w:rFonts w:ascii="Amiri" w:hAnsi="Amiri" w:eastAsia="Amiri" w:cs="Amiri"/>
          <w:lang w:bidi="ar-SA"/>
          <w:color w:val="111111"/>
          <w:sz w:val="28"/>
          <w:szCs w:val="28"/>
          <w:rtl/>
        </w:rPr>
        <w:t xml:space="preserve">علي بن حسين</w:t>
      </w:r>
    </w:p>
    <w:p>
      <w:pPr>
        <w:pStyle w:val="BookText"/>
      </w:pPr>
      <w:r>
        <w:rPr>
          <w:rFonts w:ascii="Amiri" w:hAnsi="Amiri" w:eastAsia="Amiri" w:cs="Amiri"/>
          <w:lang w:bidi="ar-SA"/>
          <w:color w:val="111111"/>
          <w:sz w:val="28"/>
          <w:szCs w:val="28"/>
          <w:rtl/>
        </w:rPr>
        <w:t xml:space="preserve">علي بن حسين هاشمي -هاشمي ، علي بن حسين</w:t>
      </w:r>
    </w:p>
    <w:p>
      <w:pPr>
        <w:pStyle w:val="BookText"/>
      </w:pPr>
      <w:r>
        <w:rPr>
          <w:rFonts w:ascii="Amiri" w:hAnsi="Amiri" w:eastAsia="Amiri" w:cs="Amiri"/>
          <w:lang w:bidi="ar-SA"/>
          <w:color w:val="111111"/>
          <w:sz w:val="28"/>
          <w:szCs w:val="28"/>
          <w:rtl/>
        </w:rPr>
        <w:t xml:space="preserve">علي بن حسين يزدي -يزدي ، شاه علي بن</w:t>
      </w:r>
    </w:p>
    <w:p>
      <w:pPr>
        <w:pStyle w:val="BookText"/>
      </w:pPr>
      <w:r>
        <w:rPr>
          <w:rFonts w:ascii="Amiri" w:hAnsi="Amiri" w:eastAsia="Amiri" w:cs="Amiri"/>
          <w:lang w:bidi="ar-SA"/>
          <w:color w:val="111111"/>
          <w:sz w:val="28"/>
          <w:szCs w:val="28"/>
          <w:rtl/>
        </w:rPr>
        <w:t xml:space="preserve">حسين</w:t>
      </w:r>
    </w:p>
    <w:p>
      <w:pPr>
        <w:pStyle w:val="BookText"/>
      </w:pPr>
      <w:r>
        <w:rPr>
          <w:rFonts w:ascii="Amiri" w:hAnsi="Amiri" w:eastAsia="Amiri" w:cs="Amiri"/>
          <w:lang w:bidi="ar-SA"/>
          <w:color w:val="111111"/>
          <w:sz w:val="28"/>
          <w:szCs w:val="28"/>
          <w:rtl/>
        </w:rPr>
        <w:t xml:space="preserve">علي بن حمد حسيني حلي -حسيني حلي</w:t>
      </w:r>
    </w:p>
    <w:p>
      <w:pPr>
        <w:pStyle w:val="BookText"/>
      </w:pPr>
      <w:r>
        <w:rPr>
          <w:rFonts w:ascii="Amiri" w:hAnsi="Amiri" w:eastAsia="Amiri" w:cs="Amiri"/>
          <w:lang w:bidi="ar-SA"/>
          <w:color w:val="111111"/>
          <w:sz w:val="28"/>
          <w:szCs w:val="28"/>
          <w:rtl/>
        </w:rPr>
        <w:t xml:space="preserve">، علي بن حمد</w:t>
      </w:r>
    </w:p>
    <w:p>
      <w:pPr>
        <w:pStyle w:val="BookText"/>
      </w:pPr>
      <w:r>
        <w:rPr>
          <w:rFonts w:ascii="Amiri" w:hAnsi="Amiri" w:eastAsia="Amiri" w:cs="Amiri"/>
          <w:lang w:bidi="ar-SA"/>
          <w:color w:val="111111"/>
          <w:sz w:val="28"/>
          <w:szCs w:val="28"/>
          <w:rtl/>
        </w:rPr>
        <w:t xml:space="preserve">علي بن حمزه بصري (ابن حمزه) -بصري</w:t>
      </w:r>
    </w:p>
    <w:p>
      <w:pPr>
        <w:pStyle w:val="BookText"/>
      </w:pPr>
      <w:r>
        <w:rPr>
          <w:rFonts w:ascii="Amiri" w:hAnsi="Amiri" w:eastAsia="Amiri" w:cs="Amiri"/>
          <w:lang w:bidi="ar-SA"/>
          <w:color w:val="111111"/>
          <w:sz w:val="28"/>
          <w:szCs w:val="28"/>
          <w:rtl/>
        </w:rPr>
        <w:t xml:space="preserve">علي بن حمزه</w:t>
      </w:r>
    </w:p>
    <w:p>
      <w:pPr>
        <w:pStyle w:val="BookText"/>
      </w:pPr>
      <w:r>
        <w:rPr>
          <w:rFonts w:ascii="Amiri" w:hAnsi="Amiri" w:eastAsia="Amiri" w:cs="Amiri"/>
          <w:lang w:bidi="ar-SA"/>
          <w:color w:val="111111"/>
          <w:sz w:val="28"/>
          <w:szCs w:val="28"/>
          <w:rtl/>
        </w:rPr>
        <w:t xml:space="preserve">علي بن حمزه عجمي كسائي -كسائي ، علي</w:t>
      </w:r>
    </w:p>
    <w:p>
      <w:pPr>
        <w:pStyle w:val="BookText"/>
      </w:pPr>
      <w:r>
        <w:rPr>
          <w:rFonts w:ascii="IRNazanin" w:hAnsi="IRNazanin" w:eastAsia="IRNazanin" w:cs="IRNazanin"/>
          <w:lang w:bidi="fa-IR"/>
          <w:color w:val="111111"/>
          <w:sz w:val="28"/>
          <w:szCs w:val="28"/>
          <w:rtl/>
        </w:rPr>
        <w:t xml:space="preserve">بن حمزه</w:t>
      </w:r>
    </w:p>
    <w:p>
      <w:pPr>
        <w:pStyle w:val="BookText"/>
      </w:pPr>
      <w:r>
        <w:rPr>
          <w:rFonts w:ascii="Amiri" w:hAnsi="Amiri" w:eastAsia="Amiri" w:cs="Amiri"/>
          <w:lang w:bidi="ar-SA"/>
          <w:color w:val="111111"/>
          <w:sz w:val="28"/>
          <w:szCs w:val="28"/>
          <w:rtl/>
        </w:rPr>
        <w:t xml:space="preserve">علي بن حيدر شروقي نجفي- شروقي</w:t>
      </w:r>
    </w:p>
    <w:p>
      <w:pPr>
        <w:pStyle w:val="BookText"/>
      </w:pPr>
      <w:r>
        <w:rPr>
          <w:rFonts w:ascii="Amiri" w:hAnsi="Amiri" w:eastAsia="Amiri" w:cs="Amiri"/>
          <w:lang w:bidi="ar-SA"/>
          <w:color w:val="111111"/>
          <w:sz w:val="28"/>
          <w:szCs w:val="28"/>
          <w:rtl/>
        </w:rPr>
        <w:t xml:space="preserve">علي بن حيدر</w:t>
      </w:r>
    </w:p>
    <w:p>
      <w:pPr>
        <w:pStyle w:val="BookText"/>
      </w:pPr>
      <w:r>
        <w:rPr>
          <w:rFonts w:ascii="Amiri" w:hAnsi="Amiri" w:eastAsia="Amiri" w:cs="Amiri"/>
          <w:lang w:bidi="ar-SA"/>
          <w:color w:val="111111"/>
          <w:sz w:val="28"/>
          <w:szCs w:val="28"/>
          <w:rtl/>
        </w:rPr>
        <w:t xml:space="preserve">علي بن حيدر علي منعل قمي- منعل</w:t>
      </w:r>
    </w:p>
    <w:p>
      <w:pPr>
        <w:pStyle w:val="BookText"/>
      </w:pPr>
      <w:r>
        <w:rPr>
          <w:rFonts w:ascii="Amiri" w:hAnsi="Amiri" w:eastAsia="Amiri" w:cs="Amiri"/>
          <w:lang w:bidi="ar-SA"/>
          <w:color w:val="111111"/>
          <w:sz w:val="28"/>
          <w:szCs w:val="28"/>
          <w:rtl/>
        </w:rPr>
        <w:t xml:space="preserve">قمي ، علي بن علي</w:t>
      </w:r>
    </w:p>
    <w:p>
      <w:pPr>
        <w:pStyle w:val="BookText"/>
      </w:pPr>
      <w:r>
        <w:rPr>
          <w:rFonts w:ascii="Amiri" w:hAnsi="Amiri" w:eastAsia="Amiri" w:cs="Amiri"/>
          <w:lang w:bidi="ar-SA"/>
          <w:color w:val="111111"/>
          <w:sz w:val="28"/>
          <w:szCs w:val="28"/>
          <w:rtl/>
        </w:rPr>
        <w:t xml:space="preserve">علي بن خضر بن احمد العمروسي - عمروسي ، علي بن خضر</w:t>
      </w:r>
    </w:p>
    <w:p>
      <w:pPr>
        <w:pStyle w:val="BookText"/>
      </w:pPr>
      <w:r>
        <w:rPr>
          <w:rFonts w:ascii="Amiri" w:hAnsi="Amiri" w:eastAsia="Amiri" w:cs="Amiri"/>
          <w:lang w:bidi="ar-SA"/>
          <w:color w:val="111111"/>
          <w:sz w:val="28"/>
          <w:szCs w:val="28"/>
          <w:rtl/>
        </w:rPr>
        <w:t xml:space="preserve">علي بن خليفه بن يونس خزرجي انصاري- ابن ابي اصيبعه ، علي بن خليفه</w:t>
      </w:r>
    </w:p>
    <w:p>
      <w:pPr>
        <w:pStyle w:val="BookText"/>
      </w:pPr>
      <w:r>
        <w:rPr>
          <w:rFonts w:ascii="Amiri" w:hAnsi="Amiri" w:eastAsia="Amiri" w:cs="Amiri"/>
          <w:lang w:bidi="ar-SA"/>
          <w:color w:val="111111"/>
          <w:sz w:val="28"/>
          <w:szCs w:val="28"/>
          <w:rtl/>
        </w:rPr>
        <w:t xml:space="preserve">علي بن خليل تهراني نجفي- تهراني ، علي</w:t>
      </w:r>
    </w:p>
    <w:p>
      <w:pPr>
        <w:pStyle w:val="BookText"/>
      </w:pPr>
      <w:r>
        <w:rPr>
          <w:rFonts w:ascii="Amiri" w:hAnsi="Amiri" w:eastAsia="Amiri" w:cs="Amiri"/>
          <w:lang w:bidi="ar-SA"/>
          <w:color w:val="111111"/>
          <w:sz w:val="28"/>
          <w:szCs w:val="28"/>
          <w:rtl/>
        </w:rPr>
        <w:t xml:space="preserve">بن خليل</w:t>
      </w:r>
    </w:p>
    <w:p>
      <w:pPr>
        <w:pStyle w:val="BookText"/>
      </w:pPr>
      <w:r>
        <w:rPr>
          <w:rFonts w:ascii="Amiri" w:hAnsi="Amiri" w:eastAsia="Amiri" w:cs="Amiri"/>
          <w:lang w:bidi="ar-SA"/>
          <w:color w:val="111111"/>
          <w:sz w:val="28"/>
          <w:szCs w:val="28"/>
          <w:rtl/>
        </w:rPr>
        <w:t xml:space="preserve">علي بن خليل طرابلسي- طرابلسي ، علي</w:t>
      </w:r>
    </w:p>
    <w:p>
      <w:pPr>
        <w:pStyle w:val="BookText"/>
      </w:pPr>
      <w:r>
        <w:rPr>
          <w:rFonts w:ascii="Amiri" w:hAnsi="Amiri" w:eastAsia="Amiri" w:cs="Amiri"/>
          <w:lang w:bidi="ar-SA"/>
          <w:color w:val="111111"/>
          <w:sz w:val="28"/>
          <w:szCs w:val="28"/>
          <w:rtl/>
        </w:rPr>
        <w:t xml:space="preserve">بن خليل</w:t>
      </w:r>
    </w:p>
    <w:p>
      <w:pPr>
        <w:pStyle w:val="BookText"/>
      </w:pPr>
      <w:r>
        <w:rPr>
          <w:rFonts w:ascii="Amiri" w:hAnsi="Amiri" w:eastAsia="Amiri" w:cs="Amiri"/>
          <w:lang w:bidi="ar-SA"/>
          <w:color w:val="111111"/>
          <w:sz w:val="28"/>
          <w:szCs w:val="28"/>
          <w:rtl/>
        </w:rPr>
        <w:t xml:space="preserve">علي بن خليل موصلي- موصلي ، خليل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علي بن داود خادم استرآبادي -خادم</w:t>
      </w:r>
    </w:p>
    <w:p>
      <w:pPr>
        <w:pStyle w:val="BookText"/>
      </w:pPr>
      <w:r>
        <w:rPr>
          <w:rFonts w:ascii="Amiri" w:hAnsi="Amiri" w:eastAsia="Amiri" w:cs="Amiri"/>
          <w:lang w:bidi="ar-SA"/>
          <w:color w:val="111111"/>
          <w:sz w:val="28"/>
          <w:szCs w:val="28"/>
          <w:rtl/>
        </w:rPr>
        <w:t xml:space="preserve">استرآبادي ، علي بن داوود</w:t>
      </w:r>
    </w:p>
    <w:p>
      <w:pPr>
        <w:pStyle w:val="BookText"/>
      </w:pPr>
      <w:r>
        <w:rPr>
          <w:rFonts w:ascii="Amiri" w:hAnsi="Amiri" w:eastAsia="Amiri" w:cs="Amiri"/>
          <w:lang w:bidi="ar-SA"/>
          <w:color w:val="111111"/>
          <w:sz w:val="28"/>
          <w:szCs w:val="28"/>
          <w:rtl/>
        </w:rPr>
        <w:t xml:space="preserve">علي بن دهان حسيني -حسيني ، علي بن</w:t>
      </w:r>
    </w:p>
    <w:p>
      <w:pPr>
        <w:pStyle w:val="BookText"/>
      </w:pPr>
      <w:r>
        <w:rPr>
          <w:rFonts w:ascii="IRNazanin" w:hAnsi="IRNazanin" w:eastAsia="IRNazanin" w:cs="IRNazanin"/>
          <w:lang w:bidi="fa-IR"/>
          <w:color w:val="111111"/>
          <w:sz w:val="28"/>
          <w:szCs w:val="28"/>
          <w:rtl/>
        </w:rPr>
        <w:t xml:space="preserve">دهان</w:t>
      </w:r>
    </w:p>
    <w:p>
      <w:pPr>
        <w:pStyle w:val="BookText"/>
      </w:pPr>
      <w:r>
        <w:rPr>
          <w:rFonts w:ascii="Amiri" w:hAnsi="Amiri" w:eastAsia="Amiri" w:cs="Amiri"/>
          <w:lang w:bidi="ar-SA"/>
          <w:color w:val="111111"/>
          <w:sz w:val="28"/>
          <w:szCs w:val="28"/>
          <w:rtl/>
        </w:rPr>
        <w:t xml:space="preserve">علي بن رضوان متطبب- ابن رضوان ، علي بن رضوان</w:t>
      </w:r>
    </w:p>
    <w:p>
      <w:pPr>
        <w:pStyle w:val="BookText"/>
      </w:pPr>
      <w:r>
        <w:rPr>
          <w:rFonts w:ascii="Amiri" w:hAnsi="Amiri" w:eastAsia="Amiri" w:cs="Amiri"/>
          <w:lang w:bidi="ar-SA"/>
          <w:color w:val="111111"/>
          <w:sz w:val="28"/>
          <w:szCs w:val="28"/>
          <w:rtl/>
        </w:rPr>
        <w:t xml:space="preserve">علي بن رضوان مصري- ابن رضوان ، علي</w:t>
      </w:r>
    </w:p>
    <w:p>
      <w:pPr>
        <w:pStyle w:val="BookText"/>
      </w:pPr>
      <w:r>
        <w:rPr>
          <w:rFonts w:ascii="IRNazanin" w:hAnsi="IRNazanin" w:eastAsia="IRNazanin" w:cs="IRNazanin"/>
          <w:lang w:bidi="fa-IR"/>
          <w:color w:val="111111"/>
          <w:sz w:val="28"/>
          <w:szCs w:val="28"/>
          <w:rtl/>
        </w:rPr>
        <w:t xml:space="preserve">بن رضوان</w:t>
      </w:r>
    </w:p>
    <w:p>
      <w:pPr>
        <w:pStyle w:val="BookText"/>
      </w:pPr>
      <w:r>
        <w:rPr>
          <w:rFonts w:ascii="Amiri" w:hAnsi="Amiri" w:eastAsia="Amiri" w:cs="Amiri"/>
          <w:lang w:bidi="ar-SA"/>
          <w:color w:val="111111"/>
          <w:sz w:val="28"/>
          <w:szCs w:val="28"/>
          <w:rtl/>
        </w:rPr>
        <w:t xml:space="preserve">علي بن زكريا بن مسعود انصاري- انصاري</w:t>
      </w:r>
    </w:p>
    <w:p>
      <w:pPr>
        <w:pStyle w:val="BookText"/>
      </w:pPr>
      <w:r>
        <w:rPr>
          <w:rFonts w:ascii="Amiri" w:hAnsi="Amiri" w:eastAsia="Amiri" w:cs="Amiri"/>
          <w:lang w:bidi="ar-SA"/>
          <w:color w:val="111111"/>
          <w:sz w:val="28"/>
          <w:szCs w:val="28"/>
          <w:rtl/>
        </w:rPr>
        <w:t xml:space="preserve">، علي بن زكريا</w:t>
      </w:r>
    </w:p>
    <w:p>
      <w:pPr>
        <w:pStyle w:val="BookText"/>
      </w:pPr>
      <w:r>
        <w:rPr>
          <w:rFonts w:ascii="Amiri" w:hAnsi="Amiri" w:eastAsia="Amiri" w:cs="Amiri"/>
          <w:lang w:bidi="ar-SA"/>
          <w:color w:val="111111"/>
          <w:sz w:val="28"/>
          <w:szCs w:val="28"/>
          <w:rtl/>
        </w:rPr>
        <w:t xml:space="preserve">علي بن زيد بيهقي( ابن فندق) -بيهقي</w:t>
      </w:r>
    </w:p>
    <w:p>
      <w:pPr>
        <w:pStyle w:val="BookText"/>
      </w:pPr>
      <w:r>
        <w:rPr>
          <w:rFonts w:ascii="Amiri" w:hAnsi="Amiri" w:eastAsia="Amiri" w:cs="Amiri"/>
          <w:lang w:bidi="ar-SA"/>
          <w:color w:val="111111"/>
          <w:sz w:val="28"/>
          <w:szCs w:val="28"/>
          <w:rtl/>
        </w:rPr>
        <w:t xml:space="preserve">علي بن زيد</w:t>
      </w:r>
    </w:p>
    <w:p>
      <w:pPr>
        <w:pStyle w:val="BookText"/>
      </w:pPr>
      <w:r>
        <w:rPr>
          <w:rFonts w:ascii="Amiri" w:hAnsi="Amiri" w:eastAsia="Amiri" w:cs="Amiri"/>
          <w:lang w:bidi="ar-SA"/>
          <w:color w:val="111111"/>
          <w:sz w:val="28"/>
          <w:szCs w:val="28"/>
          <w:rtl/>
        </w:rPr>
        <w:t xml:space="preserve">علي بن زين الدين بن محمّد حسن</w:t>
      </w:r>
    </w:p>
    <w:p>
      <w:pPr>
        <w:pStyle w:val="BookText"/>
      </w:pPr>
      <w:r>
        <w:rPr>
          <w:rFonts w:ascii="Amiri" w:hAnsi="Amiri" w:eastAsia="Amiri" w:cs="Amiri"/>
          <w:lang w:bidi="ar-SA"/>
          <w:color w:val="111111"/>
          <w:sz w:val="28"/>
          <w:szCs w:val="28"/>
          <w:rtl/>
        </w:rPr>
        <w:t xml:space="preserve">عاملي- عاملي ، علي بن زين الدين</w:t>
      </w:r>
    </w:p>
    <w:p>
      <w:pPr>
        <w:pStyle w:val="BookText"/>
      </w:pPr>
      <w:r>
        <w:rPr>
          <w:rFonts w:ascii="Amiri" w:hAnsi="Amiri" w:eastAsia="Amiri" w:cs="Amiri"/>
          <w:lang w:bidi="ar-SA"/>
          <w:color w:val="111111"/>
          <w:sz w:val="28"/>
          <w:szCs w:val="28"/>
          <w:rtl/>
        </w:rPr>
        <w:t xml:space="preserve">علي بن زين العابدين بارجيني حائري- يزدي بارجيني ، علي بن زين العابدين</w:t>
      </w:r>
    </w:p>
    <w:p>
      <w:pPr>
        <w:pStyle w:val="BookText"/>
      </w:pPr>
      <w:r>
        <w:rPr>
          <w:rFonts w:ascii="Amiri" w:hAnsi="Amiri" w:eastAsia="Amiri" w:cs="Amiri"/>
          <w:lang w:bidi="ar-SA"/>
          <w:color w:val="111111"/>
          <w:sz w:val="28"/>
          <w:szCs w:val="28"/>
          <w:rtl/>
        </w:rPr>
        <w:t xml:space="preserve">علي بن زين العابدين يزدى -يزدي ، علي</w:t>
      </w:r>
    </w:p>
    <w:p>
      <w:pPr>
        <w:pStyle w:val="BookText"/>
      </w:pPr>
      <w:r>
        <w:rPr>
          <w:rFonts w:ascii="Amiri" w:hAnsi="Amiri" w:eastAsia="Amiri" w:cs="Amiri"/>
          <w:lang w:bidi="ar-SA"/>
          <w:color w:val="111111"/>
          <w:sz w:val="28"/>
          <w:szCs w:val="28"/>
          <w:rtl/>
        </w:rPr>
        <w:t xml:space="preserve">بن زين العابدين</w:t>
      </w:r>
    </w:p>
    <w:p>
      <w:pPr>
        <w:pStyle w:val="Heading2"/>
      </w:pPr>
      <w:bookmarkStart w:id="6069" w:name="_Toc5171"/>
      <w:r>
        <w:t>علي بن سعيد بن محمّد</w:t>
      </w:r>
      <w:bookmarkEnd w:id="6069"/>
    </w:p>
    <w:p>
      <w:pPr>
        <w:pStyle w:val="BookText"/>
      </w:pPr>
      <w:r>
        <w:rPr>
          <w:rFonts w:ascii="IRNazanin" w:hAnsi="IRNazanin" w:eastAsia="IRNazanin" w:cs="IRNazanin"/>
          <w:lang w:bidi="fa-IR"/>
          <w:color w:val="111111"/>
          <w:sz w:val="28"/>
          <w:szCs w:val="28"/>
          <w:rtl/>
        </w:rPr>
        <w:t xml:space="preserve">مهذب الأقوال، ج 15 ، ص 844.</w:t>
      </w:r>
    </w:p>
    <w:p>
      <w:pPr>
        <w:pStyle w:val="BookText"/>
      </w:pPr>
      <w:r>
        <w:rPr>
          <w:rFonts w:ascii="Amiri" w:hAnsi="Amiri" w:eastAsia="Amiri" w:cs="Amiri"/>
          <w:lang w:bidi="ar-SA"/>
          <w:color w:val="111111"/>
          <w:sz w:val="28"/>
          <w:szCs w:val="28"/>
          <w:rtl/>
        </w:rPr>
        <w:t xml:space="preserve">علي بن سعيد بن محمّد بن عبدالملك</w:t>
      </w:r>
    </w:p>
    <w:p>
      <w:pPr>
        <w:pStyle w:val="BookText"/>
      </w:pPr>
      <w:r>
        <w:rPr>
          <w:rFonts w:ascii="Amiri" w:hAnsi="Amiri" w:eastAsia="Amiri" w:cs="Amiri"/>
          <w:lang w:bidi="ar-SA"/>
          <w:color w:val="111111"/>
          <w:sz w:val="28"/>
          <w:szCs w:val="28"/>
          <w:rtl/>
        </w:rPr>
        <w:t xml:space="preserve">المغربي- ابن سعيد ، علي بن سعيد</w:t>
      </w:r>
    </w:p>
    <w:p>
      <w:pPr>
        <w:pStyle w:val="BookText"/>
      </w:pPr>
      <w:r>
        <w:rPr>
          <w:rFonts w:ascii="Amiri" w:hAnsi="Amiri" w:eastAsia="Amiri" w:cs="Amiri"/>
          <w:lang w:bidi="ar-SA"/>
          <w:color w:val="111111"/>
          <w:sz w:val="28"/>
          <w:szCs w:val="28"/>
          <w:rtl/>
        </w:rPr>
        <w:t xml:space="preserve">علي بن سلطان محمّد قادري هروي -قاري هروي ، علي بن سلطان محمّد</w:t>
      </w:r>
    </w:p>
    <w:p>
      <w:pPr>
        <w:pStyle w:val="BookText"/>
      </w:pPr>
      <w:r>
        <w:rPr>
          <w:rFonts w:ascii="Amiri" w:hAnsi="Amiri" w:eastAsia="Amiri" w:cs="Amiri"/>
          <w:lang w:bidi="ar-SA"/>
          <w:color w:val="111111"/>
          <w:sz w:val="28"/>
          <w:szCs w:val="28"/>
          <w:rtl/>
        </w:rPr>
        <w:t xml:space="preserve">علي بن سليمان القحطاني- قحطاني ، علي</w:t>
      </w:r>
    </w:p>
    <w:p>
      <w:pPr>
        <w:pStyle w:val="BookText"/>
      </w:pPr>
      <w:r>
        <w:rPr>
          <w:rFonts w:ascii="IRNazanin" w:hAnsi="IRNazanin" w:eastAsia="IRNazanin" w:cs="IRNazanin"/>
          <w:lang w:bidi="fa-IR"/>
          <w:color w:val="111111"/>
          <w:sz w:val="28"/>
          <w:szCs w:val="28"/>
          <w:rtl/>
        </w:rPr>
        <w:t xml:space="preserve">بن سلیمان</w:t>
      </w:r>
    </w:p>
    <w:p>
      <w:pPr>
        <w:pStyle w:val="BookText"/>
      </w:pPr>
      <w:r>
        <w:rPr>
          <w:rFonts w:ascii="Amiri" w:hAnsi="Amiri" w:eastAsia="Amiri" w:cs="Amiri"/>
          <w:lang w:bidi="ar-SA"/>
          <w:color w:val="111111"/>
          <w:sz w:val="28"/>
          <w:szCs w:val="28"/>
          <w:rtl/>
        </w:rPr>
        <w:t xml:space="preserve">علي بن سليمان بحراني- بحراني ، علي بن</w:t>
      </w:r>
    </w:p>
    <w:p>
      <w:pPr>
        <w:pStyle w:val="BookText"/>
      </w:pPr>
      <w:r>
        <w:rPr>
          <w:rFonts w:ascii="IRNazanin" w:hAnsi="IRNazanin" w:eastAsia="IRNazanin" w:cs="IRNazanin"/>
          <w:lang w:bidi="fa-IR"/>
          <w:color w:val="111111"/>
          <w:sz w:val="28"/>
          <w:szCs w:val="28"/>
          <w:rtl/>
        </w:rPr>
        <w:t xml:space="preserve">سلیمان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سليمان دمنتي -دمناتي ، علي بن</w:t>
      </w:r>
    </w:p>
    <w:p>
      <w:pPr>
        <w:pStyle w:val="BookText"/>
      </w:pPr>
      <w:r>
        <w:rPr>
          <w:rFonts w:ascii="IRNazanin" w:hAnsi="IRNazanin" w:eastAsia="IRNazanin" w:cs="IRNazanin"/>
          <w:lang w:bidi="fa-IR"/>
          <w:color w:val="111111"/>
          <w:sz w:val="28"/>
          <w:szCs w:val="28"/>
          <w:rtl/>
        </w:rPr>
        <w:t xml:space="preserve">سلیمان</w:t>
      </w:r>
    </w:p>
    <w:p>
      <w:pPr>
        <w:pStyle w:val="BookText"/>
      </w:pPr>
      <w:r>
        <w:rPr>
          <w:rFonts w:ascii="Amiri" w:hAnsi="Amiri" w:eastAsia="Amiri" w:cs="Amiri"/>
          <w:lang w:bidi="ar-SA"/>
          <w:color w:val="111111"/>
          <w:sz w:val="28"/>
          <w:szCs w:val="28"/>
          <w:rtl/>
        </w:rPr>
        <w:t xml:space="preserve">علي بن سليمان مرداوي- مرداوي ، علي</w:t>
      </w:r>
    </w:p>
    <w:p>
      <w:pPr>
        <w:pStyle w:val="BookText"/>
      </w:pPr>
      <w:r>
        <w:rPr>
          <w:rFonts w:ascii="IRNazanin" w:hAnsi="IRNazanin" w:eastAsia="IRNazanin" w:cs="IRNazanin"/>
          <w:lang w:bidi="fa-IR"/>
          <w:color w:val="111111"/>
          <w:sz w:val="28"/>
          <w:szCs w:val="28"/>
          <w:rtl/>
        </w:rPr>
        <w:t xml:space="preserve">بن سلیمان</w:t>
      </w:r>
    </w:p>
    <w:p>
      <w:pPr>
        <w:pStyle w:val="BookText"/>
      </w:pPr>
      <w:r>
        <w:rPr>
          <w:rFonts w:ascii="Amiri" w:hAnsi="Amiri" w:eastAsia="Amiri" w:cs="Amiri"/>
          <w:lang w:bidi="ar-SA"/>
          <w:color w:val="111111"/>
          <w:sz w:val="28"/>
          <w:szCs w:val="28"/>
          <w:rtl/>
        </w:rPr>
        <w:t xml:space="preserve">علي بن سليمان منصوري- منصوري ، علي</w:t>
      </w:r>
    </w:p>
    <w:p>
      <w:pPr>
        <w:pStyle w:val="BookText"/>
      </w:pPr>
      <w:r>
        <w:rPr>
          <w:rFonts w:ascii="IRNazanin" w:hAnsi="IRNazanin" w:eastAsia="IRNazanin" w:cs="IRNazanin"/>
          <w:lang w:bidi="fa-IR"/>
          <w:color w:val="111111"/>
          <w:sz w:val="28"/>
          <w:szCs w:val="28"/>
          <w:rtl/>
        </w:rPr>
        <w:t xml:space="preserve">بن سلیمان</w:t>
      </w:r>
    </w:p>
    <w:p>
      <w:pPr>
        <w:pStyle w:val="BookText"/>
      </w:pPr>
      <w:r>
        <w:rPr>
          <w:rFonts w:ascii="IRNazanin" w:hAnsi="IRNazanin" w:eastAsia="IRNazanin" w:cs="IRNazanin"/>
          <w:lang w:bidi="fa-IR"/>
          <w:color w:val="111111"/>
          <w:sz w:val="28"/>
          <w:szCs w:val="28"/>
          <w:rtl/>
        </w:rPr>
        <w:t xml:space="preserve">علي بن سليمان واعظ ارمناکي -ارمناکي ،</w:t>
      </w:r>
    </w:p>
    <w:p>
      <w:pPr>
        <w:pStyle w:val="BookText"/>
      </w:pPr>
      <w:r>
        <w:rPr>
          <w:rFonts w:ascii="Amiri" w:hAnsi="Amiri" w:eastAsia="Amiri" w:cs="Amiri"/>
          <w:lang w:bidi="ar-SA"/>
          <w:color w:val="111111"/>
          <w:sz w:val="28"/>
          <w:szCs w:val="28"/>
          <w:rtl/>
        </w:rPr>
        <w:t xml:space="preserve">علي بن سليمان</w:t>
      </w:r>
    </w:p>
    <w:p>
      <w:pPr>
        <w:pStyle w:val="BookText"/>
      </w:pPr>
      <w:r>
        <w:rPr>
          <w:rFonts w:ascii="Amiri" w:hAnsi="Amiri" w:eastAsia="Amiri" w:cs="Amiri"/>
          <w:lang w:bidi="ar-SA"/>
          <w:color w:val="111111"/>
          <w:sz w:val="28"/>
          <w:szCs w:val="28"/>
          <w:rtl/>
        </w:rPr>
        <w:t xml:space="preserve">علي بن سودون بشبغاوي- ابن سودون</w:t>
      </w:r>
    </w:p>
    <w:p>
      <w:pPr>
        <w:pStyle w:val="BookText"/>
      </w:pPr>
      <w:r>
        <w:rPr>
          <w:rFonts w:ascii="Amiri" w:hAnsi="Amiri" w:eastAsia="Amiri" w:cs="Amiri"/>
          <w:lang w:bidi="ar-SA"/>
          <w:color w:val="111111"/>
          <w:sz w:val="28"/>
          <w:szCs w:val="28"/>
          <w:rtl/>
        </w:rPr>
        <w:t xml:space="preserve">علي بن سودون</w:t>
      </w:r>
    </w:p>
    <w:p>
      <w:pPr>
        <w:pStyle w:val="BookText"/>
      </w:pPr>
      <w:r>
        <w:rPr>
          <w:rFonts w:ascii="Amiri" w:hAnsi="Amiri" w:eastAsia="Amiri" w:cs="Amiri"/>
          <w:lang w:bidi="ar-SA"/>
          <w:color w:val="111111"/>
          <w:sz w:val="28"/>
          <w:szCs w:val="28"/>
          <w:rtl/>
        </w:rPr>
        <w:t xml:space="preserve">علي بن سودون جركسي- ابن سودون</w:t>
      </w:r>
    </w:p>
    <w:p>
      <w:pPr>
        <w:pStyle w:val="BookText"/>
      </w:pPr>
      <w:r>
        <w:rPr>
          <w:rFonts w:ascii="Amiri" w:hAnsi="Amiri" w:eastAsia="Amiri" w:cs="Amiri"/>
          <w:lang w:bidi="ar-SA"/>
          <w:color w:val="111111"/>
          <w:sz w:val="28"/>
          <w:szCs w:val="28"/>
          <w:rtl/>
        </w:rPr>
        <w:t xml:space="preserve">علي بن سودون</w:t>
      </w:r>
    </w:p>
    <w:p>
      <w:pPr>
        <w:pStyle w:val="BookText"/>
      </w:pPr>
      <w:r>
        <w:rPr>
          <w:rFonts w:ascii="Amiri" w:hAnsi="Amiri" w:eastAsia="Amiri" w:cs="Amiri"/>
          <w:lang w:bidi="ar-SA"/>
          <w:color w:val="111111"/>
          <w:sz w:val="28"/>
          <w:szCs w:val="28"/>
          <w:rtl/>
        </w:rPr>
        <w:t xml:space="preserve">علي بن شاه محمود بافقي ب-افقي ، علي</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IRNazanin" w:hAnsi="IRNazanin" w:eastAsia="IRNazanin" w:cs="IRNazanin"/>
          <w:lang w:bidi="fa-IR"/>
          <w:color w:val="111111"/>
          <w:sz w:val="28"/>
          <w:szCs w:val="28"/>
          <w:rtl/>
        </w:rPr>
        <w:t xml:space="preserve">علي بن شريف چلبي طبيب -ابن شريف</w:t>
      </w:r>
    </w:p>
    <w:p>
      <w:pPr>
        <w:pStyle w:val="BookText"/>
      </w:pPr>
      <w:r>
        <w:rPr>
          <w:rFonts w:ascii="Amiri" w:hAnsi="Amiri" w:eastAsia="Amiri" w:cs="Amiri"/>
          <w:lang w:bidi="ar-SA"/>
          <w:color w:val="111111"/>
          <w:sz w:val="28"/>
          <w:szCs w:val="28"/>
          <w:rtl/>
        </w:rPr>
        <w:t xml:space="preserve">علي بن شريف</w:t>
      </w:r>
    </w:p>
    <w:p>
      <w:pPr>
        <w:pStyle w:val="BookText"/>
      </w:pPr>
      <w:r>
        <w:rPr>
          <w:rFonts w:ascii="Amiri" w:hAnsi="Amiri" w:eastAsia="Amiri" w:cs="Amiri"/>
          <w:lang w:bidi="ar-SA"/>
          <w:color w:val="111111"/>
          <w:sz w:val="28"/>
          <w:szCs w:val="28"/>
          <w:rtl/>
        </w:rPr>
        <w:t xml:space="preserve">علي بن شيخ فضل الله جيلاني فومني</w:t>
      </w:r>
    </w:p>
    <w:p>
      <w:pPr>
        <w:pStyle w:val="BookText"/>
      </w:pPr>
      <w:r>
        <w:rPr>
          <w:rFonts w:ascii="IRNazanin" w:hAnsi="IRNazanin" w:eastAsia="IRNazanin" w:cs="IRNazanin"/>
          <w:lang w:bidi="fa-IR"/>
          <w:color w:val="111111"/>
          <w:sz w:val="28"/>
          <w:szCs w:val="28"/>
          <w:rtl/>
        </w:rPr>
        <w:t xml:space="preserve">زاهدي- گيلاني ، علي بن فضل الله</w:t>
      </w:r>
    </w:p>
    <w:p>
      <w:pPr>
        <w:pStyle w:val="BookText"/>
      </w:pPr>
      <w:r>
        <w:rPr>
          <w:rFonts w:ascii="Amiri" w:hAnsi="Amiri" w:eastAsia="Amiri" w:cs="Amiri"/>
          <w:lang w:bidi="ar-SA"/>
          <w:color w:val="111111"/>
          <w:sz w:val="28"/>
          <w:szCs w:val="28"/>
          <w:rtl/>
        </w:rPr>
        <w:t xml:space="preserve">علي بن صدر الدين سمرقندي -سمرقندي ،</w:t>
      </w:r>
    </w:p>
    <w:p>
      <w:pPr>
        <w:pStyle w:val="BookText"/>
      </w:pPr>
      <w:r>
        <w:rPr>
          <w:rFonts w:ascii="Amiri" w:hAnsi="Amiri" w:eastAsia="Amiri" w:cs="Amiri"/>
          <w:lang w:bidi="ar-SA"/>
          <w:color w:val="111111"/>
          <w:sz w:val="28"/>
          <w:szCs w:val="28"/>
          <w:rtl/>
        </w:rPr>
        <w:t xml:space="preserve">علي بن صدرالدين</w:t>
      </w:r>
    </w:p>
    <w:p>
      <w:pPr>
        <w:pStyle w:val="BookText"/>
      </w:pPr>
      <w:r>
        <w:rPr>
          <w:rFonts w:ascii="Amiri" w:hAnsi="Amiri" w:eastAsia="Amiri" w:cs="Amiri"/>
          <w:lang w:bidi="ar-SA"/>
          <w:color w:val="111111"/>
          <w:sz w:val="28"/>
          <w:szCs w:val="28"/>
          <w:rtl/>
        </w:rPr>
        <w:t xml:space="preserve">علي بن صدقة بن منصور سرميني- سرميني ، علي بن صدقة</w:t>
      </w:r>
    </w:p>
    <w:p>
      <w:pPr>
        <w:pStyle w:val="BookText"/>
      </w:pPr>
      <w:r>
        <w:rPr>
          <w:rFonts w:ascii="Amiri" w:hAnsi="Amiri" w:eastAsia="Amiri" w:cs="Amiri"/>
          <w:lang w:bidi="ar-SA"/>
          <w:color w:val="111111"/>
          <w:sz w:val="28"/>
          <w:szCs w:val="28"/>
          <w:rtl/>
        </w:rPr>
        <w:t xml:space="preserve">علي بن صلاح الدين سخومي -سخومي</w:t>
      </w:r>
    </w:p>
    <w:p>
      <w:pPr>
        <w:pStyle w:val="BookText"/>
      </w:pPr>
      <w:r>
        <w:rPr>
          <w:rFonts w:ascii="Amiri" w:hAnsi="Amiri" w:eastAsia="Amiri" w:cs="Amiri"/>
          <w:lang w:bidi="ar-SA"/>
          <w:color w:val="111111"/>
          <w:sz w:val="28"/>
          <w:szCs w:val="28"/>
          <w:rtl/>
        </w:rPr>
        <w:t xml:space="preserve">علي بن صلاح الدين</w:t>
      </w:r>
    </w:p>
    <w:p>
      <w:pPr>
        <w:pStyle w:val="BookText"/>
      </w:pPr>
      <w:r>
        <w:rPr>
          <w:rFonts w:ascii="Amiri" w:hAnsi="Amiri" w:eastAsia="Amiri" w:cs="Amiri"/>
          <w:lang w:bidi="ar-SA"/>
          <w:color w:val="111111"/>
          <w:sz w:val="28"/>
          <w:szCs w:val="28"/>
          <w:rtl/>
        </w:rPr>
        <w:t xml:space="preserve">علي بن طاوس -ابن طاوس ، علي بن موسى</w:t>
      </w:r>
    </w:p>
    <w:p>
      <w:pPr>
        <w:pStyle w:val="BookText"/>
      </w:pPr>
      <w:r>
        <w:rPr>
          <w:rFonts w:ascii="Amiri" w:hAnsi="Amiri" w:eastAsia="Amiri" w:cs="Amiri"/>
          <w:lang w:bidi="ar-SA"/>
          <w:color w:val="111111"/>
          <w:sz w:val="28"/>
          <w:szCs w:val="28"/>
          <w:rtl/>
        </w:rPr>
        <w:t xml:space="preserve">علي بن طيفور بسطامي -بسطامي ، علي</w:t>
      </w:r>
    </w:p>
    <w:p>
      <w:pPr>
        <w:pStyle w:val="BookText"/>
      </w:pPr>
      <w:r>
        <w:rPr>
          <w:rFonts w:ascii="Amiri" w:hAnsi="Amiri" w:eastAsia="Amiri" w:cs="Amiri"/>
          <w:lang w:bidi="ar-SA"/>
          <w:color w:val="111111"/>
          <w:sz w:val="28"/>
          <w:szCs w:val="28"/>
          <w:rtl/>
        </w:rPr>
        <w:t xml:space="preserve">بن طيفور</w:t>
      </w:r>
    </w:p>
    <w:p>
      <w:pPr>
        <w:pStyle w:val="BookText"/>
      </w:pPr>
      <w:r>
        <w:rPr>
          <w:rFonts w:ascii="Amiri" w:hAnsi="Amiri" w:eastAsia="Amiri" w:cs="Amiri"/>
          <w:lang w:bidi="ar-SA"/>
          <w:color w:val="111111"/>
          <w:sz w:val="28"/>
          <w:szCs w:val="28"/>
          <w:rtl/>
        </w:rPr>
        <w:t xml:space="preserve">علي بن ظاهر الحلي المطيري- مطيري</w:t>
      </w:r>
    </w:p>
    <w:p>
      <w:pPr>
        <w:pStyle w:val="BookText"/>
      </w:pPr>
      <w:r>
        <w:rPr>
          <w:rFonts w:ascii="Amiri" w:hAnsi="Amiri" w:eastAsia="Amiri" w:cs="Amiri"/>
          <w:lang w:bidi="ar-SA"/>
          <w:color w:val="111111"/>
          <w:sz w:val="28"/>
          <w:szCs w:val="28"/>
          <w:rtl/>
        </w:rPr>
        <w:t xml:space="preserve">علي بن ظاهر</w:t>
      </w:r>
    </w:p>
    <w:p>
      <w:pPr>
        <w:pStyle w:val="BookText"/>
      </w:pPr>
      <w:r>
        <w:rPr>
          <w:rFonts w:ascii="Amiri" w:hAnsi="Amiri" w:eastAsia="Amiri" w:cs="Amiri"/>
          <w:lang w:bidi="ar-SA"/>
          <w:color w:val="111111"/>
          <w:sz w:val="28"/>
          <w:szCs w:val="28"/>
          <w:rtl/>
        </w:rPr>
        <w:t xml:space="preserve">علي بن عاصم واسطي -واسطي ، علي بن</w:t>
      </w:r>
    </w:p>
    <w:p>
      <w:pPr>
        <w:pStyle w:val="BookText"/>
      </w:pPr>
      <w:r>
        <w:rPr>
          <w:rFonts w:ascii="IRNazanin" w:hAnsi="IRNazanin" w:eastAsia="IRNazanin" w:cs="IRNazanin"/>
          <w:lang w:bidi="fa-IR"/>
          <w:color w:val="111111"/>
          <w:sz w:val="28"/>
          <w:szCs w:val="28"/>
          <w:rtl/>
        </w:rPr>
        <w:t xml:space="preserve">عاصم</w:t>
      </w:r>
    </w:p>
    <w:p>
      <w:pPr>
        <w:pStyle w:val="BookText"/>
      </w:pPr>
      <w:r>
        <w:rPr>
          <w:rFonts w:ascii="Amiri" w:hAnsi="Amiri" w:eastAsia="Amiri" w:cs="Amiri"/>
          <w:lang w:bidi="ar-SA"/>
          <w:color w:val="111111"/>
          <w:sz w:val="28"/>
          <w:szCs w:val="28"/>
          <w:rtl/>
        </w:rPr>
        <w:t xml:space="preserve">علي بن عباس بن جريح ابن رومي- ابن</w:t>
      </w:r>
    </w:p>
    <w:p>
      <w:pPr>
        <w:pStyle w:val="BookText"/>
      </w:pPr>
      <w:r>
        <w:rPr>
          <w:rFonts w:ascii="Amiri" w:hAnsi="Amiri" w:eastAsia="Amiri" w:cs="Amiri"/>
          <w:lang w:bidi="ar-SA"/>
          <w:color w:val="111111"/>
          <w:sz w:val="28"/>
          <w:szCs w:val="28"/>
          <w:rtl/>
        </w:rPr>
        <w:t xml:space="preserve">رومي ، علي بن عباس</w:t>
      </w:r>
    </w:p>
    <w:p>
      <w:pPr>
        <w:pStyle w:val="BookText"/>
      </w:pPr>
      <w:r>
        <w:rPr>
          <w:rFonts w:ascii="Amiri" w:hAnsi="Amiri" w:eastAsia="Amiri" w:cs="Amiri"/>
          <w:lang w:bidi="ar-SA"/>
          <w:color w:val="111111"/>
          <w:sz w:val="28"/>
          <w:szCs w:val="28"/>
          <w:rtl/>
        </w:rPr>
        <w:t xml:space="preserve">علي بن عباس مجوسي اهوازي -مجوسي ،</w:t>
      </w:r>
    </w:p>
    <w:p>
      <w:pPr>
        <w:pStyle w:val="BookText"/>
      </w:pPr>
      <w:r>
        <w:rPr>
          <w:rFonts w:ascii="Amiri" w:hAnsi="Amiri" w:eastAsia="Amiri" w:cs="Amiri"/>
          <w:lang w:bidi="ar-SA"/>
          <w:color w:val="111111"/>
          <w:sz w:val="28"/>
          <w:szCs w:val="28"/>
          <w:rtl/>
        </w:rPr>
        <w:t xml:space="preserve">علي بن عباس</w:t>
      </w:r>
    </w:p>
    <w:p>
      <w:pPr>
        <w:pStyle w:val="BookText"/>
      </w:pPr>
      <w:r>
        <w:rPr>
          <w:rFonts w:ascii="Amiri" w:hAnsi="Amiri" w:eastAsia="Amiri" w:cs="Amiri"/>
          <w:lang w:bidi="ar-SA"/>
          <w:color w:val="111111"/>
          <w:sz w:val="28"/>
          <w:szCs w:val="28"/>
          <w:rtl/>
        </w:rPr>
        <w:t xml:space="preserve">علي بن عبد البر بن علي الحسيني الوئاني</w:t>
      </w:r>
    </w:p>
    <w:p>
      <w:pPr>
        <w:pStyle w:val="BookText"/>
      </w:pPr>
      <w:r>
        <w:rPr>
          <w:rFonts w:ascii="Amiri" w:hAnsi="Amiri" w:eastAsia="Amiri" w:cs="Amiri"/>
          <w:lang w:bidi="ar-SA"/>
          <w:color w:val="111111"/>
          <w:sz w:val="28"/>
          <w:szCs w:val="28"/>
          <w:rtl/>
        </w:rPr>
        <w:t xml:space="preserve">الشافعي -ابن عبدالبر ، علي بن عبدالبر</w:t>
      </w:r>
    </w:p>
    <w:p>
      <w:pPr>
        <w:pStyle w:val="BookText"/>
      </w:pPr>
      <w:r>
        <w:rPr>
          <w:rFonts w:ascii="Amiri" w:hAnsi="Amiri" w:eastAsia="Amiri" w:cs="Amiri"/>
          <w:lang w:bidi="ar-SA"/>
          <w:color w:val="111111"/>
          <w:sz w:val="28"/>
          <w:szCs w:val="28"/>
          <w:rtl/>
        </w:rPr>
        <w:t xml:space="preserve">علي بن عبد الحميد بن فخار حسيني</w:t>
      </w:r>
    </w:p>
    <w:p>
      <w:pPr>
        <w:pStyle w:val="BookText"/>
      </w:pPr>
      <w:r>
        <w:rPr>
          <w:rFonts w:ascii="Amiri" w:hAnsi="Amiri" w:eastAsia="Amiri" w:cs="Amiri"/>
          <w:lang w:bidi="ar-SA"/>
          <w:color w:val="111111"/>
          <w:sz w:val="28"/>
          <w:szCs w:val="28"/>
          <w:rtl/>
        </w:rPr>
        <w:t xml:space="preserve">موسوي -مرتضى ، علي بن عبدالحميد</w:t>
      </w:r>
    </w:p>
    <w:p>
      <w:pPr>
        <w:pStyle w:val="BookText"/>
      </w:pPr>
      <w:r>
        <w:rPr>
          <w:rFonts w:ascii="Amiri" w:hAnsi="Amiri" w:eastAsia="Amiri" w:cs="Amiri"/>
          <w:lang w:bidi="ar-SA"/>
          <w:color w:val="111111"/>
          <w:sz w:val="28"/>
          <w:szCs w:val="28"/>
          <w:rtl/>
        </w:rPr>
        <w:t xml:space="preserve">علي بن عبدالرحمن بن هذيل الاندلسي- ابن هذيل ، علي بن عبدالرحمن</w:t>
      </w:r>
    </w:p>
    <w:p>
      <w:pPr>
        <w:pStyle w:val="BookText"/>
      </w:pPr>
      <w:r>
        <w:rPr>
          <w:rFonts w:ascii="Amiri" w:hAnsi="Amiri" w:eastAsia="Amiri" w:cs="Amiri"/>
          <w:lang w:bidi="ar-SA"/>
          <w:color w:val="111111"/>
          <w:sz w:val="28"/>
          <w:szCs w:val="28"/>
          <w:rtl/>
        </w:rPr>
        <w:t xml:space="preserve">علي بن عبد الرحمن صدفي مصري -ابن</w:t>
      </w:r>
    </w:p>
    <w:p>
      <w:pPr>
        <w:pStyle w:val="BookText"/>
      </w:pPr>
      <w:r>
        <w:rPr>
          <w:rFonts w:ascii="Amiri" w:hAnsi="Amiri" w:eastAsia="Amiri" w:cs="Amiri"/>
          <w:lang w:bidi="ar-SA"/>
          <w:color w:val="111111"/>
          <w:sz w:val="28"/>
          <w:szCs w:val="28"/>
          <w:rtl/>
        </w:rPr>
        <w:t xml:space="preserve">يونس ، علي بن عبدالرحمن</w:t>
      </w:r>
    </w:p>
    <w:p>
      <w:pPr>
        <w:pStyle w:val="BookText"/>
      </w:pPr>
      <w:r>
        <w:rPr>
          <w:rFonts w:ascii="Amiri" w:hAnsi="Amiri" w:eastAsia="Amiri" w:cs="Amiri"/>
          <w:lang w:bidi="ar-SA"/>
          <w:color w:val="111111"/>
          <w:sz w:val="28"/>
          <w:szCs w:val="28"/>
          <w:rtl/>
        </w:rPr>
        <w:t xml:space="preserve">علي بن عبد الرحمن طالباني- طالباني ، علي</w:t>
      </w:r>
    </w:p>
    <w:p>
      <w:pPr>
        <w:pStyle w:val="BookText"/>
      </w:pPr>
      <w:r>
        <w:rPr>
          <w:rFonts w:ascii="IRNazanin" w:hAnsi="IRNazanin" w:eastAsia="IRNazanin" w:cs="IRNazanin"/>
          <w:lang w:bidi="fa-IR"/>
          <w:color w:val="111111"/>
          <w:sz w:val="28"/>
          <w:szCs w:val="28"/>
          <w:rtl/>
        </w:rPr>
        <w:t xml:space="preserve">بن عبدالرحمن</w:t>
      </w:r>
    </w:p>
    <w:p>
      <w:pPr>
        <w:pStyle w:val="BookText"/>
      </w:pPr>
      <w:r>
        <w:rPr>
          <w:rFonts w:ascii="Amiri" w:hAnsi="Amiri" w:eastAsia="Amiri" w:cs="Amiri"/>
          <w:lang w:bidi="ar-SA"/>
          <w:color w:val="111111"/>
          <w:sz w:val="28"/>
          <w:szCs w:val="28"/>
          <w:rtl/>
        </w:rPr>
        <w:t xml:space="preserve">علي بن عبد الرحيم شبكشي - شبكشي</w:t>
      </w:r>
    </w:p>
    <w:p>
      <w:pPr>
        <w:pStyle w:val="BookText"/>
      </w:pPr>
      <w:r>
        <w:rPr>
          <w:rFonts w:ascii="Amiri" w:hAnsi="Amiri" w:eastAsia="Amiri" w:cs="Amiri"/>
          <w:lang w:bidi="ar-SA"/>
          <w:color w:val="111111"/>
          <w:sz w:val="28"/>
          <w:szCs w:val="28"/>
          <w:rtl/>
        </w:rPr>
        <w:t xml:space="preserve">علي بن عبدالرحيم</w:t>
      </w:r>
    </w:p>
    <w:p>
      <w:pPr>
        <w:pStyle w:val="BookText"/>
      </w:pPr>
      <w:r>
        <w:rPr>
          <w:rFonts w:ascii="Amiri" w:hAnsi="Amiri" w:eastAsia="Amiri" w:cs="Amiri"/>
          <w:lang w:bidi="ar-SA"/>
          <w:color w:val="111111"/>
          <w:sz w:val="28"/>
          <w:szCs w:val="28"/>
          <w:rtl/>
        </w:rPr>
        <w:t xml:space="preserve">علي بن عبد العالي بن عبد الباقي عاملي</w:t>
      </w:r>
    </w:p>
    <w:p>
      <w:pPr>
        <w:pStyle w:val="BookText"/>
      </w:pPr>
      <w:r>
        <w:rPr>
          <w:rFonts w:ascii="Amiri" w:hAnsi="Amiri" w:eastAsia="Amiri" w:cs="Amiri"/>
          <w:lang w:bidi="ar-SA"/>
          <w:color w:val="111111"/>
          <w:sz w:val="28"/>
          <w:szCs w:val="28"/>
          <w:rtl/>
        </w:rPr>
        <w:t xml:space="preserve">ميسي- ميسي ، علي بن عبد العالي</w:t>
      </w:r>
    </w:p>
    <w:p>
      <w:pPr>
        <w:pStyle w:val="BookText"/>
      </w:pPr>
      <w:r>
        <w:rPr>
          <w:rFonts w:ascii="Amiri" w:hAnsi="Amiri" w:eastAsia="Amiri" w:cs="Amiri"/>
          <w:lang w:bidi="ar-SA"/>
          <w:color w:val="111111"/>
          <w:sz w:val="28"/>
          <w:szCs w:val="28"/>
          <w:rtl/>
        </w:rPr>
        <w:t xml:space="preserve">علي بن عبدالعزيز جرجاني- جرجاني ، علي</w:t>
      </w:r>
    </w:p>
    <w:p>
      <w:pPr>
        <w:pStyle w:val="BookText"/>
      </w:pPr>
      <w:r>
        <w:rPr>
          <w:rFonts w:ascii="Amiri" w:hAnsi="Amiri" w:eastAsia="Amiri" w:cs="Amiri"/>
          <w:lang w:bidi="ar-SA"/>
          <w:color w:val="111111"/>
          <w:sz w:val="28"/>
          <w:szCs w:val="28"/>
          <w:rtl/>
        </w:rPr>
        <w:t xml:space="preserve">بن عبدالعزيز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عبدالعزيز خلعي حلي موصلي- خلعي حلي موصلي ، علي بن</w:t>
      </w:r>
    </w:p>
    <w:p>
      <w:pPr>
        <w:pStyle w:val="BookText"/>
      </w:pPr>
      <w:r>
        <w:rPr>
          <w:rFonts w:ascii="Amiri" w:hAnsi="Amiri" w:eastAsia="Amiri" w:cs="Amiri"/>
          <w:lang w:bidi="ar-SA"/>
          <w:color w:val="111111"/>
          <w:sz w:val="28"/>
          <w:szCs w:val="28"/>
          <w:rtl/>
        </w:rPr>
        <w:t xml:space="preserve">عبد العزيز</w:t>
      </w:r>
    </w:p>
    <w:p>
      <w:pPr>
        <w:pStyle w:val="BookText"/>
      </w:pPr>
      <w:r>
        <w:rPr>
          <w:rFonts w:ascii="Amiri" w:hAnsi="Amiri" w:eastAsia="Amiri" w:cs="Amiri"/>
          <w:lang w:bidi="ar-SA"/>
          <w:color w:val="111111"/>
          <w:sz w:val="28"/>
          <w:szCs w:val="28"/>
          <w:rtl/>
        </w:rPr>
        <w:t xml:space="preserve">علي بن عبد العزيز مغربي- مغربي ، علي هراتي ،</w:t>
      </w:r>
    </w:p>
    <w:p>
      <w:pPr>
        <w:pStyle w:val="BookText"/>
      </w:pPr>
      <w:r>
        <w:rPr>
          <w:rFonts w:ascii="Amiri" w:hAnsi="Amiri" w:eastAsia="Amiri" w:cs="Amiri"/>
          <w:lang w:bidi="ar-SA"/>
          <w:color w:val="111111"/>
          <w:sz w:val="28"/>
          <w:szCs w:val="28"/>
          <w:rtl/>
        </w:rPr>
        <w:t xml:space="preserve">بن عبدالعزيز</w:t>
      </w:r>
    </w:p>
    <w:p>
      <w:pPr>
        <w:pStyle w:val="BookText"/>
      </w:pPr>
      <w:r>
        <w:rPr>
          <w:rFonts w:ascii="Amiri" w:hAnsi="Amiri" w:eastAsia="Amiri" w:cs="Amiri"/>
          <w:lang w:bidi="ar-SA"/>
          <w:color w:val="111111"/>
          <w:sz w:val="28"/>
          <w:szCs w:val="28"/>
          <w:rtl/>
        </w:rPr>
        <w:t xml:space="preserve">علي بن عبد الفتاح اذني نعلبندزاده- اذني ، بن عبدالله</w:t>
      </w:r>
    </w:p>
    <w:p>
      <w:pPr>
        <w:pStyle w:val="BookText"/>
      </w:pPr>
      <w:r>
        <w:rPr>
          <w:rFonts w:ascii="Amiri" w:hAnsi="Amiri" w:eastAsia="Amiri" w:cs="Amiri"/>
          <w:lang w:bidi="ar-SA"/>
          <w:color w:val="111111"/>
          <w:sz w:val="28"/>
          <w:szCs w:val="28"/>
          <w:rtl/>
        </w:rPr>
        <w:t xml:space="preserve">علي بن عبد الفتاح</w:t>
      </w:r>
    </w:p>
    <w:p>
      <w:pPr>
        <w:pStyle w:val="BookText"/>
      </w:pPr>
      <w:r>
        <w:rPr>
          <w:rFonts w:ascii="Amiri" w:hAnsi="Amiri" w:eastAsia="Amiri" w:cs="Amiri"/>
          <w:lang w:bidi="ar-SA"/>
          <w:color w:val="111111"/>
          <w:sz w:val="28"/>
          <w:szCs w:val="28"/>
          <w:rtl/>
        </w:rPr>
        <w:t xml:space="preserve">علي بن عبد القادر جزائري اندلسي- ابن</w:t>
      </w:r>
    </w:p>
    <w:p>
      <w:pPr>
        <w:pStyle w:val="BookText"/>
      </w:pPr>
      <w:r>
        <w:rPr>
          <w:rFonts w:ascii="IRNazanin" w:hAnsi="IRNazanin" w:eastAsia="IRNazanin" w:cs="IRNazanin"/>
          <w:lang w:bidi="fa-IR"/>
          <w:color w:val="111111"/>
          <w:sz w:val="28"/>
          <w:szCs w:val="28"/>
          <w:rtl/>
        </w:rPr>
        <w:t xml:space="preserve">امیر جزائري ، علي بن عبدالقادر</w:t>
      </w:r>
    </w:p>
    <w:p>
      <w:pPr>
        <w:pStyle w:val="BookText"/>
      </w:pPr>
      <w:r>
        <w:rPr>
          <w:rFonts w:ascii="Amiri" w:hAnsi="Amiri" w:eastAsia="Amiri" w:cs="Amiri"/>
          <w:lang w:bidi="ar-SA"/>
          <w:color w:val="111111"/>
          <w:sz w:val="28"/>
          <w:szCs w:val="28"/>
          <w:rtl/>
        </w:rPr>
        <w:t xml:space="preserve">علي بن عبد القادر طبري حسيني</w:t>
      </w:r>
    </w:p>
    <w:p>
      <w:pPr>
        <w:pStyle w:val="BookText"/>
      </w:pPr>
      <w:r>
        <w:rPr>
          <w:rFonts w:ascii="Amiri" w:hAnsi="Amiri" w:eastAsia="Amiri" w:cs="Amiri"/>
          <w:lang w:bidi="ar-SA"/>
          <w:color w:val="111111"/>
          <w:sz w:val="28"/>
          <w:szCs w:val="28"/>
          <w:rtl/>
        </w:rPr>
        <w:t xml:space="preserve">مكي- طبري ، علي بن عبد القادر</w:t>
      </w:r>
    </w:p>
    <w:p>
      <w:pPr>
        <w:pStyle w:val="BookText"/>
      </w:pPr>
      <w:r>
        <w:rPr>
          <w:rFonts w:ascii="Amiri" w:hAnsi="Amiri" w:eastAsia="Amiri" w:cs="Amiri"/>
          <w:lang w:bidi="ar-SA"/>
          <w:color w:val="111111"/>
          <w:sz w:val="28"/>
          <w:szCs w:val="28"/>
          <w:rtl/>
        </w:rPr>
        <w:t xml:space="preserve">علي بن عبد القادر عباسي بصري -عباسي</w:t>
      </w:r>
    </w:p>
    <w:p>
      <w:pPr>
        <w:pStyle w:val="BookText"/>
      </w:pPr>
      <w:r>
        <w:rPr>
          <w:rFonts w:ascii="Amiri" w:hAnsi="Amiri" w:eastAsia="Amiri" w:cs="Amiri"/>
          <w:lang w:bidi="ar-SA"/>
          <w:color w:val="111111"/>
          <w:sz w:val="28"/>
          <w:szCs w:val="28"/>
          <w:rtl/>
        </w:rPr>
        <w:t xml:space="preserve">علي بن عبد القادر</w:t>
      </w:r>
    </w:p>
    <w:p>
      <w:pPr>
        <w:pStyle w:val="BookText"/>
      </w:pPr>
      <w:r>
        <w:rPr>
          <w:rFonts w:ascii="Amiri" w:hAnsi="Amiri" w:eastAsia="Amiri" w:cs="Amiri"/>
          <w:lang w:bidi="ar-SA"/>
          <w:color w:val="111111"/>
          <w:sz w:val="28"/>
          <w:szCs w:val="28"/>
          <w:rtl/>
        </w:rPr>
        <w:t xml:space="preserve">علي بن عبد القادر نبتيتي -نبتيتي ، علي عبدالله</w:t>
      </w:r>
    </w:p>
    <w:p>
      <w:pPr>
        <w:pStyle w:val="BookText"/>
      </w:pPr>
      <w:r>
        <w:rPr>
          <w:rFonts w:ascii="IRNazanin" w:hAnsi="IRNazanin" w:eastAsia="IRNazanin" w:cs="IRNazanin"/>
          <w:lang w:bidi="fa-IR"/>
          <w:color w:val="111111"/>
          <w:sz w:val="28"/>
          <w:szCs w:val="28"/>
          <w:rtl/>
        </w:rPr>
        <w:t xml:space="preserve">بن عبد القادر</w:t>
      </w:r>
    </w:p>
    <w:p>
      <w:pPr>
        <w:pStyle w:val="BookText"/>
      </w:pPr>
      <w:r>
        <w:rPr>
          <w:rFonts w:ascii="Amiri" w:hAnsi="Amiri" w:eastAsia="Amiri" w:cs="Amiri"/>
          <w:lang w:bidi="ar-SA"/>
          <w:color w:val="111111"/>
          <w:sz w:val="28"/>
          <w:szCs w:val="28"/>
          <w:rtl/>
        </w:rPr>
        <w:t xml:space="preserve">علي بن عبد الكافي بن علي سبكي انصاري خزرجي- سبكي ، علي بن عبد الكافي</w:t>
      </w:r>
    </w:p>
    <w:p>
      <w:pPr>
        <w:pStyle w:val="BookText"/>
      </w:pPr>
      <w:r>
        <w:rPr>
          <w:rFonts w:ascii="Amiri" w:hAnsi="Amiri" w:eastAsia="Amiri" w:cs="Amiri"/>
          <w:lang w:bidi="ar-SA"/>
          <w:color w:val="111111"/>
          <w:sz w:val="28"/>
          <w:szCs w:val="28"/>
          <w:rtl/>
        </w:rPr>
        <w:t xml:space="preserve">علي بن عبد الكريم بن عبدالحميد حسيني (نسابه) -نسابه ، علي بن عبدالكريم</w:t>
      </w:r>
    </w:p>
    <w:p>
      <w:pPr>
        <w:pStyle w:val="BookText"/>
      </w:pPr>
      <w:r>
        <w:rPr>
          <w:rFonts w:ascii="Amiri" w:hAnsi="Amiri" w:eastAsia="Amiri" w:cs="Amiri"/>
          <w:lang w:bidi="ar-SA"/>
          <w:color w:val="111111"/>
          <w:sz w:val="28"/>
          <w:szCs w:val="28"/>
          <w:rtl/>
        </w:rPr>
        <w:t xml:space="preserve">علي بن عبدالله اردبيلي تبريزي- تبريزي ،</w:t>
      </w:r>
    </w:p>
    <w:p>
      <w:pPr>
        <w:pStyle w:val="BookText"/>
      </w:pPr>
      <w:r>
        <w:rPr>
          <w:rFonts w:ascii="Amiri" w:hAnsi="Amiri" w:eastAsia="Amiri" w:cs="Amiri"/>
          <w:lang w:bidi="ar-SA"/>
          <w:color w:val="111111"/>
          <w:sz w:val="28"/>
          <w:szCs w:val="28"/>
          <w:rtl/>
        </w:rPr>
        <w:t xml:space="preserve">علي بن عبدالله</w:t>
      </w:r>
    </w:p>
    <w:p>
      <w:pPr>
        <w:pStyle w:val="BookText"/>
      </w:pPr>
      <w:r>
        <w:rPr>
          <w:rFonts w:ascii="Amiri" w:hAnsi="Amiri" w:eastAsia="Amiri" w:cs="Amiri"/>
          <w:lang w:bidi="ar-SA"/>
          <w:color w:val="111111"/>
          <w:sz w:val="28"/>
          <w:szCs w:val="28"/>
          <w:rtl/>
        </w:rPr>
        <w:t xml:space="preserve">علي بن عبدالله بحراني- بحراني ، علي بن عبدالله</w:t>
      </w:r>
    </w:p>
    <w:p>
      <w:pPr>
        <w:pStyle w:val="BookText"/>
      </w:pPr>
      <w:r>
        <w:rPr>
          <w:rFonts w:ascii="Amiri" w:hAnsi="Amiri" w:eastAsia="Amiri" w:cs="Amiri"/>
          <w:lang w:bidi="ar-SA"/>
          <w:color w:val="111111"/>
          <w:sz w:val="28"/>
          <w:szCs w:val="28"/>
          <w:rtl/>
        </w:rPr>
        <w:t xml:space="preserve">علي بن عبدالله بدخشي -بدخشي ، علي بن عبدالله</w:t>
      </w:r>
    </w:p>
    <w:p>
      <w:pPr>
        <w:pStyle w:val="BookText"/>
      </w:pPr>
      <w:r>
        <w:rPr>
          <w:rFonts w:ascii="Amiri" w:hAnsi="Amiri" w:eastAsia="Amiri" w:cs="Amiri"/>
          <w:lang w:bidi="ar-SA"/>
          <w:color w:val="111111"/>
          <w:sz w:val="28"/>
          <w:szCs w:val="28"/>
          <w:rtl/>
        </w:rPr>
        <w:t xml:space="preserve">علي بن عبد الله بصير الحاكمي- بصير</w:t>
      </w:r>
    </w:p>
    <w:p>
      <w:pPr>
        <w:pStyle w:val="BookText"/>
      </w:pPr>
      <w:r>
        <w:rPr>
          <w:rFonts w:ascii="Amiri" w:hAnsi="Amiri" w:eastAsia="Amiri" w:cs="Amiri"/>
          <w:lang w:bidi="ar-SA"/>
          <w:color w:val="111111"/>
          <w:sz w:val="28"/>
          <w:szCs w:val="28"/>
          <w:rtl/>
        </w:rPr>
        <w:t xml:space="preserve">حاكمي ، علي بن عبدالله</w:t>
      </w:r>
    </w:p>
    <w:p>
      <w:pPr>
        <w:pStyle w:val="BookText"/>
      </w:pPr>
      <w:r>
        <w:rPr>
          <w:rFonts w:ascii="Amiri" w:hAnsi="Amiri" w:eastAsia="Amiri" w:cs="Amiri"/>
          <w:lang w:bidi="ar-SA"/>
          <w:color w:val="111111"/>
          <w:sz w:val="28"/>
          <w:szCs w:val="28"/>
          <w:rtl/>
        </w:rPr>
        <w:t xml:space="preserve">علي بن عبد الله بوسنوي ثابث -ثابت ، علي بن عبدالله</w:t>
      </w:r>
    </w:p>
    <w:p>
      <w:pPr>
        <w:pStyle w:val="BookText"/>
      </w:pPr>
      <w:r>
        <w:rPr>
          <w:rFonts w:ascii="Amiri" w:hAnsi="Amiri" w:eastAsia="Amiri" w:cs="Amiri"/>
          <w:lang w:bidi="ar-SA"/>
          <w:color w:val="111111"/>
          <w:sz w:val="28"/>
          <w:szCs w:val="28"/>
          <w:rtl/>
        </w:rPr>
        <w:t xml:space="preserve">علي بن عبدالله حسيني هراتي -حسيني هراتي علي بن عبدالله</w:t>
      </w:r>
    </w:p>
    <w:p>
      <w:pPr>
        <w:pStyle w:val="BookText"/>
      </w:pPr>
      <w:r>
        <w:rPr>
          <w:rFonts w:ascii="Amiri" w:hAnsi="Amiri" w:eastAsia="Amiri" w:cs="Amiri"/>
          <w:lang w:bidi="ar-SA"/>
          <w:color w:val="111111"/>
          <w:sz w:val="28"/>
          <w:szCs w:val="28"/>
          <w:rtl/>
        </w:rPr>
        <w:t xml:space="preserve">علي بن عبدالله خفاجي -خفاجي ، علي بن عبدالله</w:t>
      </w:r>
    </w:p>
    <w:p>
      <w:pPr>
        <w:pStyle w:val="BookText"/>
      </w:pPr>
      <w:r>
        <w:rPr>
          <w:rFonts w:ascii="Amiri" w:hAnsi="Amiri" w:eastAsia="Amiri" w:cs="Amiri"/>
          <w:lang w:bidi="ar-SA"/>
          <w:color w:val="111111"/>
          <w:sz w:val="28"/>
          <w:szCs w:val="28"/>
          <w:rtl/>
        </w:rPr>
        <w:t xml:space="preserve">علي بن عبدالله ستري بحراني- ستري</w:t>
      </w:r>
    </w:p>
    <w:p>
      <w:pPr>
        <w:pStyle w:val="BookText"/>
      </w:pPr>
      <w:r>
        <w:rPr>
          <w:rFonts w:ascii="Amiri" w:hAnsi="Amiri" w:eastAsia="Amiri" w:cs="Amiri"/>
          <w:lang w:bidi="ar-SA"/>
          <w:color w:val="111111"/>
          <w:sz w:val="28"/>
          <w:szCs w:val="28"/>
          <w:rtl/>
        </w:rPr>
        <w:t xml:space="preserve">بحراني ، علي بن عبدالله</w:t>
      </w:r>
    </w:p>
    <w:p>
      <w:pPr>
        <w:pStyle w:val="BookText"/>
      </w:pPr>
      <w:r>
        <w:rPr>
          <w:rFonts w:ascii="Amiri" w:hAnsi="Amiri" w:eastAsia="Amiri" w:cs="Amiri"/>
          <w:lang w:bidi="ar-SA"/>
          <w:color w:val="111111"/>
          <w:sz w:val="28"/>
          <w:szCs w:val="28"/>
          <w:rtl/>
        </w:rPr>
        <w:t xml:space="preserve">علي بن عبدالله سهراني- سهراني حسين</w:t>
      </w:r>
    </w:p>
    <w:p>
      <w:pPr>
        <w:pStyle w:val="BookText"/>
      </w:pPr>
      <w:r>
        <w:rPr>
          <w:rFonts w:ascii="Amiri" w:hAnsi="Amiri" w:eastAsia="Amiri" w:cs="Amiri"/>
          <w:lang w:bidi="ar-SA"/>
          <w:color w:val="111111"/>
          <w:sz w:val="28"/>
          <w:szCs w:val="28"/>
          <w:rtl/>
        </w:rPr>
        <w:t xml:space="preserve">آبادي ، علي بن عبدالله</w:t>
      </w:r>
    </w:p>
    <w:p>
      <w:pPr>
        <w:pStyle w:val="BookText"/>
      </w:pPr>
      <w:r>
        <w:rPr>
          <w:rFonts w:ascii="Amiri" w:hAnsi="Amiri" w:eastAsia="Amiri" w:cs="Amiri"/>
          <w:lang w:bidi="ar-SA"/>
          <w:color w:val="111111"/>
          <w:sz w:val="28"/>
          <w:szCs w:val="28"/>
          <w:rtl/>
        </w:rPr>
        <w:t xml:space="preserve">علي بن عبدالله شاوري- ابن مقري ، علي بن عبدالله</w:t>
      </w:r>
    </w:p>
    <w:p>
      <w:pPr>
        <w:pStyle w:val="BookText"/>
      </w:pPr>
      <w:r>
        <w:rPr>
          <w:rFonts w:ascii="Amiri" w:hAnsi="Amiri" w:eastAsia="Amiri" w:cs="Amiri"/>
          <w:lang w:bidi="ar-SA"/>
          <w:color w:val="111111"/>
          <w:sz w:val="28"/>
          <w:szCs w:val="28"/>
          <w:rtl/>
        </w:rPr>
        <w:t xml:space="preserve">علي بن عبد الله مصري- مصري ، علي بن عبد الله</w:t>
      </w:r>
    </w:p>
    <w:p>
      <w:pPr>
        <w:pStyle w:val="BookText"/>
      </w:pPr>
      <w:r>
        <w:rPr>
          <w:rFonts w:ascii="Amiri" w:hAnsi="Amiri" w:eastAsia="Amiri" w:cs="Amiri"/>
          <w:lang w:bidi="ar-SA"/>
          <w:color w:val="111111"/>
          <w:sz w:val="28"/>
          <w:szCs w:val="28"/>
          <w:rtl/>
        </w:rPr>
        <w:t xml:space="preserve">علي بن عبدالله موصلي حنفي -محضر باشي زاده ، علي بن عبدالله</w:t>
      </w:r>
    </w:p>
    <w:p>
      <w:pPr>
        <w:pStyle w:val="BookText"/>
      </w:pPr>
      <w:r>
        <w:rPr>
          <w:rFonts w:ascii="Amiri" w:hAnsi="Amiri" w:eastAsia="Amiri" w:cs="Amiri"/>
          <w:lang w:bidi="ar-SA"/>
          <w:color w:val="111111"/>
          <w:sz w:val="28"/>
          <w:szCs w:val="28"/>
          <w:rtl/>
        </w:rPr>
        <w:t xml:space="preserve">علي بن عبد الوهاب شاه -شاه ، علي بن عبد الوهاب</w:t>
      </w:r>
    </w:p>
    <w:p>
      <w:pPr>
        <w:pStyle w:val="BookText"/>
      </w:pPr>
      <w:r>
        <w:rPr>
          <w:rFonts w:ascii="Amiri" w:hAnsi="Amiri" w:eastAsia="Amiri" w:cs="Amiri"/>
          <w:lang w:bidi="ar-SA"/>
          <w:color w:val="111111"/>
          <w:sz w:val="28"/>
          <w:szCs w:val="28"/>
          <w:rtl/>
        </w:rPr>
        <w:t xml:space="preserve">علي بن عبيدالله عدوي بصري بغدادي -ابن حماد ، علي بن عبيد الله</w:t>
      </w:r>
    </w:p>
    <w:p>
      <w:pPr>
        <w:pStyle w:val="BookText"/>
      </w:pPr>
      <w:r>
        <w:rPr>
          <w:rFonts w:ascii="Amiri" w:hAnsi="Amiri" w:eastAsia="Amiri" w:cs="Amiri"/>
          <w:lang w:bidi="ar-SA"/>
          <w:color w:val="111111"/>
          <w:sz w:val="28"/>
          <w:szCs w:val="28"/>
          <w:rtl/>
        </w:rPr>
        <w:t xml:space="preserve">علي بن عثمان آوشي -سراج الدين اوشي ، علي بن عثمان</w:t>
      </w:r>
    </w:p>
    <w:p>
      <w:pPr>
        <w:pStyle w:val="BookText"/>
      </w:pPr>
      <w:r>
        <w:rPr>
          <w:rFonts w:ascii="Amiri" w:hAnsi="Amiri" w:eastAsia="Amiri" w:cs="Amiri"/>
          <w:lang w:bidi="ar-SA"/>
          <w:color w:val="111111"/>
          <w:sz w:val="28"/>
          <w:szCs w:val="28"/>
          <w:rtl/>
        </w:rPr>
        <w:t xml:space="preserve">علي بن عثمان علي بن عثمان بغدادي- ابن قاصح ، علي بن عثمان</w:t>
      </w:r>
    </w:p>
    <w:p>
      <w:pPr>
        <w:pStyle w:val="BookText"/>
      </w:pPr>
      <w:r>
        <w:rPr>
          <w:rFonts w:ascii="Amiri" w:hAnsi="Amiri" w:eastAsia="Amiri" w:cs="Amiri"/>
          <w:lang w:bidi="ar-SA"/>
          <w:color w:val="111111"/>
          <w:sz w:val="28"/>
          <w:szCs w:val="28"/>
          <w:rtl/>
        </w:rPr>
        <w:t xml:space="preserve">علي بن عثمان بن ابراهيم مارديني</w:t>
      </w:r>
    </w:p>
    <w:p>
      <w:pPr>
        <w:pStyle w:val="BookText"/>
      </w:pPr>
      <w:r>
        <w:rPr>
          <w:rFonts w:ascii="Amiri" w:hAnsi="Amiri" w:eastAsia="Amiri" w:cs="Amiri"/>
          <w:lang w:bidi="ar-SA"/>
          <w:color w:val="111111"/>
          <w:sz w:val="28"/>
          <w:szCs w:val="28"/>
          <w:rtl/>
        </w:rPr>
        <w:t xml:space="preserve">تركماني- ابن تركماني ، علي بن عثمان</w:t>
      </w:r>
    </w:p>
    <w:p>
      <w:pPr>
        <w:pStyle w:val="BookText"/>
      </w:pPr>
      <w:r>
        <w:rPr>
          <w:rFonts w:ascii="Amiri" w:hAnsi="Amiri" w:eastAsia="Amiri" w:cs="Amiri"/>
          <w:lang w:bidi="ar-SA"/>
          <w:color w:val="111111"/>
          <w:sz w:val="28"/>
          <w:szCs w:val="28"/>
          <w:rtl/>
        </w:rPr>
        <w:t xml:space="preserve">علي بن عثمان بن محمّد تيمي- سراج</w:t>
      </w:r>
    </w:p>
    <w:p>
      <w:pPr>
        <w:pStyle w:val="BookText"/>
      </w:pPr>
      <w:r>
        <w:rPr>
          <w:rFonts w:ascii="IRNazanin" w:hAnsi="IRNazanin" w:eastAsia="IRNazanin" w:cs="IRNazanin"/>
          <w:lang w:bidi="fa-IR"/>
          <w:color w:val="111111"/>
          <w:sz w:val="28"/>
          <w:szCs w:val="28"/>
          <w:rtl/>
        </w:rPr>
        <w:t xml:space="preserve">الدین اوشي ، علي بن عثمان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عثمان صالحي دمشقي حنفي- صالحي دمشقي ، علي بن عثمان</w:t>
      </w:r>
    </w:p>
    <w:p>
      <w:pPr>
        <w:pStyle w:val="BookText"/>
      </w:pPr>
      <w:r>
        <w:rPr>
          <w:rFonts w:ascii="Amiri" w:hAnsi="Amiri" w:eastAsia="Amiri" w:cs="Amiri"/>
          <w:lang w:bidi="ar-SA"/>
          <w:color w:val="111111"/>
          <w:sz w:val="28"/>
          <w:szCs w:val="28"/>
          <w:rtl/>
        </w:rPr>
        <w:t xml:space="preserve">علي بن عثمان هجويري- هجويري ، علي</w:t>
      </w:r>
    </w:p>
    <w:p>
      <w:pPr>
        <w:pStyle w:val="BookText"/>
      </w:pPr>
      <w:r>
        <w:rPr>
          <w:rFonts w:ascii="IRNazanin" w:hAnsi="IRNazanin" w:eastAsia="IRNazanin" w:cs="IRNazanin"/>
          <w:lang w:bidi="fa-IR"/>
          <w:color w:val="111111"/>
          <w:sz w:val="28"/>
          <w:szCs w:val="28"/>
          <w:rtl/>
        </w:rPr>
        <w:t xml:space="preserve">بن عثمان</w:t>
      </w:r>
    </w:p>
    <w:p>
      <w:pPr>
        <w:pStyle w:val="BookText"/>
      </w:pPr>
      <w:r>
        <w:rPr>
          <w:rFonts w:ascii="Amiri" w:hAnsi="Amiri" w:eastAsia="Amiri" w:cs="Amiri"/>
          <w:lang w:bidi="ar-SA"/>
          <w:color w:val="111111"/>
          <w:sz w:val="28"/>
          <w:szCs w:val="28"/>
          <w:rtl/>
        </w:rPr>
        <w:t xml:space="preserve">علي بن عدنان بحراني- بحراني ، علي بن عدنان</w:t>
      </w:r>
    </w:p>
    <w:p>
      <w:pPr>
        <w:pStyle w:val="BookText"/>
      </w:pPr>
      <w:r>
        <w:rPr>
          <w:rFonts w:ascii="Amiri" w:hAnsi="Amiri" w:eastAsia="Amiri" w:cs="Amiri"/>
          <w:lang w:bidi="ar-SA"/>
          <w:color w:val="111111"/>
          <w:sz w:val="28"/>
          <w:szCs w:val="28"/>
          <w:rtl/>
        </w:rPr>
        <w:t xml:space="preserve">علي بن عطية - حموي ، علوان بن علي</w:t>
      </w:r>
    </w:p>
    <w:p>
      <w:pPr>
        <w:pStyle w:val="BookText"/>
      </w:pPr>
      <w:r>
        <w:rPr>
          <w:rFonts w:ascii="Amiri" w:hAnsi="Amiri" w:eastAsia="Amiri" w:cs="Amiri"/>
          <w:lang w:bidi="ar-SA"/>
          <w:color w:val="111111"/>
          <w:sz w:val="28"/>
          <w:szCs w:val="28"/>
          <w:rtl/>
        </w:rPr>
        <w:t xml:space="preserve">علي بن عظيم كرمانشاهي -كرمانشاهي</w:t>
      </w:r>
    </w:p>
    <w:p>
      <w:pPr>
        <w:pStyle w:val="BookText"/>
      </w:pPr>
      <w:r>
        <w:rPr>
          <w:rFonts w:ascii="Amiri" w:hAnsi="Amiri" w:eastAsia="Amiri" w:cs="Amiri"/>
          <w:lang w:bidi="ar-SA"/>
          <w:color w:val="111111"/>
          <w:sz w:val="28"/>
          <w:szCs w:val="28"/>
          <w:rtl/>
        </w:rPr>
        <w:t xml:space="preserve">علي بن عظيم</w:t>
      </w:r>
    </w:p>
    <w:p>
      <w:pPr>
        <w:pStyle w:val="BookText"/>
      </w:pPr>
      <w:r>
        <w:rPr>
          <w:rFonts w:ascii="Amiri" w:hAnsi="Amiri" w:eastAsia="Amiri" w:cs="Amiri"/>
          <w:lang w:bidi="ar-SA"/>
          <w:color w:val="111111"/>
          <w:sz w:val="28"/>
          <w:szCs w:val="28"/>
          <w:rtl/>
        </w:rPr>
        <w:t xml:space="preserve">علي بن عقيل بن محمّد بغدادي</w:t>
      </w:r>
    </w:p>
    <w:p>
      <w:pPr>
        <w:pStyle w:val="BookText"/>
      </w:pPr>
      <w:r>
        <w:rPr>
          <w:rFonts w:ascii="Amiri" w:hAnsi="Amiri" w:eastAsia="Amiri" w:cs="Amiri"/>
          <w:lang w:bidi="ar-SA"/>
          <w:color w:val="111111"/>
          <w:sz w:val="28"/>
          <w:szCs w:val="28"/>
          <w:rtl/>
        </w:rPr>
        <w:t xml:space="preserve">ظفري- ابن عقيل ، علي بن عقيل</w:t>
      </w:r>
    </w:p>
    <w:p>
      <w:pPr>
        <w:pStyle w:val="BookText"/>
      </w:pPr>
      <w:r>
        <w:rPr>
          <w:rFonts w:ascii="Amiri" w:hAnsi="Amiri" w:eastAsia="Amiri" w:cs="Amiri"/>
          <w:lang w:bidi="ar-SA"/>
          <w:color w:val="111111"/>
          <w:sz w:val="28"/>
          <w:szCs w:val="28"/>
          <w:rtl/>
        </w:rPr>
        <w:t xml:space="preserve">علي بن علي اكبر حسيني- شاهرودي</w:t>
      </w:r>
    </w:p>
    <w:p>
      <w:pPr>
        <w:pStyle w:val="BookText"/>
      </w:pPr>
      <w:r>
        <w:rPr>
          <w:rFonts w:ascii="Amiri" w:hAnsi="Amiri" w:eastAsia="Amiri" w:cs="Amiri"/>
          <w:lang w:bidi="ar-SA"/>
          <w:color w:val="111111"/>
          <w:sz w:val="28"/>
          <w:szCs w:val="28"/>
          <w:rtl/>
        </w:rPr>
        <w:t xml:space="preserve">حسيني ، علي بن علي اكبر</w:t>
      </w:r>
    </w:p>
    <w:p>
      <w:pPr>
        <w:pStyle w:val="BookText"/>
      </w:pPr>
      <w:r>
        <w:rPr>
          <w:rFonts w:ascii="Amiri" w:hAnsi="Amiri" w:eastAsia="Amiri" w:cs="Amiri"/>
          <w:lang w:bidi="ar-SA"/>
          <w:color w:val="111111"/>
          <w:sz w:val="28"/>
          <w:szCs w:val="28"/>
          <w:rtl/>
        </w:rPr>
        <w:t xml:space="preserve">علي بن علي اميران حسيني- اميران</w:t>
      </w:r>
    </w:p>
    <w:p>
      <w:pPr>
        <w:pStyle w:val="BookText"/>
      </w:pPr>
      <w:r>
        <w:rPr>
          <w:rFonts w:ascii="Amiri" w:hAnsi="Amiri" w:eastAsia="Amiri" w:cs="Amiri"/>
          <w:lang w:bidi="ar-SA"/>
          <w:color w:val="111111"/>
          <w:sz w:val="28"/>
          <w:szCs w:val="28"/>
          <w:rtl/>
        </w:rPr>
        <w:t xml:space="preserve">حسيني ، علي بن علي</w:t>
      </w:r>
    </w:p>
    <w:p>
      <w:pPr>
        <w:pStyle w:val="BookText"/>
      </w:pPr>
      <w:r>
        <w:rPr>
          <w:rFonts w:ascii="Amiri" w:hAnsi="Amiri" w:eastAsia="Amiri" w:cs="Amiri"/>
          <w:lang w:bidi="ar-SA"/>
          <w:color w:val="111111"/>
          <w:sz w:val="28"/>
          <w:szCs w:val="28"/>
          <w:rtl/>
        </w:rPr>
        <w:t xml:space="preserve">علي بن علي حريري -حريري ، علي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علي بن علي شبراملسي- شبراملسي ، علي بن قاسم</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علي بن علي عمري -عمري ، علي بن علي</w:t>
      </w:r>
    </w:p>
    <w:p>
      <w:pPr>
        <w:pStyle w:val="BookText"/>
      </w:pPr>
      <w:r>
        <w:rPr>
          <w:rFonts w:ascii="Amiri" w:hAnsi="Amiri" w:eastAsia="Amiri" w:cs="Amiri"/>
          <w:lang w:bidi="ar-SA"/>
          <w:color w:val="111111"/>
          <w:sz w:val="28"/>
          <w:szCs w:val="28"/>
          <w:rtl/>
        </w:rPr>
        <w:t xml:space="preserve">علي بن علي منيلي ازهري- منيلي ، علي</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علي بن عمر باروقي- باروقي ، علي بن</w:t>
      </w:r>
    </w:p>
    <w:p>
      <w:pPr>
        <w:pStyle w:val="BookText"/>
      </w:pPr>
      <w:r>
        <w:rPr>
          <w:rFonts w:ascii="IRNazanin" w:hAnsi="IRNazanin" w:eastAsia="IRNazanin" w:cs="IRNazanin"/>
          <w:lang w:bidi="fa-IR"/>
          <w:color w:val="111111"/>
          <w:sz w:val="28"/>
          <w:szCs w:val="28"/>
          <w:rtl/>
        </w:rPr>
        <w:t xml:space="preserve">عمر</w:t>
      </w:r>
    </w:p>
    <w:p>
      <w:pPr>
        <w:pStyle w:val="BookText"/>
      </w:pPr>
      <w:r>
        <w:rPr>
          <w:rFonts w:ascii="Amiri" w:hAnsi="Amiri" w:eastAsia="Amiri" w:cs="Amiri"/>
          <w:lang w:bidi="ar-SA"/>
          <w:color w:val="111111"/>
          <w:sz w:val="28"/>
          <w:szCs w:val="28"/>
          <w:rtl/>
        </w:rPr>
        <w:t xml:space="preserve">علي بن عمر عسكري- عسكري ، علي بن عمر</w:t>
      </w:r>
    </w:p>
    <w:p>
      <w:pPr>
        <w:pStyle w:val="BookText"/>
      </w:pPr>
      <w:r>
        <w:rPr>
          <w:rFonts w:ascii="Amiri" w:hAnsi="Amiri" w:eastAsia="Amiri" w:cs="Amiri"/>
          <w:lang w:bidi="ar-SA"/>
          <w:color w:val="111111"/>
          <w:sz w:val="28"/>
          <w:szCs w:val="28"/>
          <w:rtl/>
        </w:rPr>
        <w:t xml:space="preserve">علي بن عمر قزويني حربي- ابن قزويني ،</w:t>
      </w:r>
    </w:p>
    <w:p>
      <w:pPr>
        <w:pStyle w:val="BookText"/>
      </w:pPr>
      <w:r>
        <w:rPr>
          <w:rFonts w:ascii="Amiri" w:hAnsi="Amiri" w:eastAsia="Amiri" w:cs="Amiri"/>
          <w:lang w:bidi="ar-SA"/>
          <w:color w:val="111111"/>
          <w:sz w:val="28"/>
          <w:szCs w:val="28"/>
          <w:rtl/>
        </w:rPr>
        <w:t xml:space="preserve">علي بن عمر</w:t>
      </w:r>
    </w:p>
    <w:p>
      <w:pPr>
        <w:pStyle w:val="BookText"/>
      </w:pPr>
      <w:r>
        <w:rPr>
          <w:rFonts w:ascii="Amiri" w:hAnsi="Amiri" w:eastAsia="Amiri" w:cs="Amiri"/>
          <w:lang w:bidi="ar-SA"/>
          <w:color w:val="111111"/>
          <w:sz w:val="28"/>
          <w:szCs w:val="28"/>
          <w:rtl/>
        </w:rPr>
        <w:t xml:space="preserve">علي بن عيسى اسطرلابي حراني -حراني ،</w:t>
      </w:r>
    </w:p>
    <w:p>
      <w:pPr>
        <w:pStyle w:val="BookText"/>
      </w:pPr>
      <w:r>
        <w:rPr>
          <w:rFonts w:ascii="Amiri" w:hAnsi="Amiri" w:eastAsia="Amiri" w:cs="Amiri"/>
          <w:lang w:bidi="ar-SA"/>
          <w:color w:val="111111"/>
          <w:sz w:val="28"/>
          <w:szCs w:val="28"/>
          <w:rtl/>
        </w:rPr>
        <w:t xml:space="preserve">علي بن عيسى</w:t>
      </w:r>
    </w:p>
    <w:p>
      <w:pPr>
        <w:pStyle w:val="BookText"/>
      </w:pPr>
      <w:r>
        <w:rPr>
          <w:rFonts w:ascii="Amiri" w:hAnsi="Amiri" w:eastAsia="Amiri" w:cs="Amiri"/>
          <w:lang w:bidi="ar-SA"/>
          <w:color w:val="111111"/>
          <w:sz w:val="28"/>
          <w:szCs w:val="28"/>
          <w:rtl/>
        </w:rPr>
        <w:t xml:space="preserve">علي بن عيسى بن ابوالفتح اربلي -اربلي ،</w:t>
      </w:r>
    </w:p>
    <w:p>
      <w:pPr>
        <w:pStyle w:val="BookText"/>
      </w:pPr>
      <w:r>
        <w:rPr>
          <w:rFonts w:ascii="Amiri" w:hAnsi="Amiri" w:eastAsia="Amiri" w:cs="Amiri"/>
          <w:lang w:bidi="ar-SA"/>
          <w:color w:val="111111"/>
          <w:sz w:val="28"/>
          <w:szCs w:val="28"/>
          <w:rtl/>
        </w:rPr>
        <w:t xml:space="preserve">علي بن عيسى</w:t>
      </w:r>
    </w:p>
    <w:p>
      <w:pPr>
        <w:pStyle w:val="BookText"/>
      </w:pPr>
      <w:r>
        <w:rPr>
          <w:rFonts w:ascii="Amiri" w:hAnsi="Amiri" w:eastAsia="Amiri" w:cs="Amiri"/>
          <w:lang w:bidi="ar-SA"/>
          <w:color w:val="111111"/>
          <w:sz w:val="28"/>
          <w:szCs w:val="28"/>
          <w:rtl/>
        </w:rPr>
        <w:t xml:space="preserve">علي بن عيسى بن علي رماني -رماني ، علي</w:t>
      </w:r>
    </w:p>
    <w:p>
      <w:pPr>
        <w:pStyle w:val="BookText"/>
      </w:pPr>
      <w:r>
        <w:rPr>
          <w:rFonts w:ascii="Amiri" w:hAnsi="Amiri" w:eastAsia="Amiri" w:cs="Amiri"/>
          <w:lang w:bidi="ar-SA"/>
          <w:color w:val="111111"/>
          <w:sz w:val="28"/>
          <w:szCs w:val="28"/>
          <w:rtl/>
        </w:rPr>
        <w:t xml:space="preserve">بن عيسى</w:t>
      </w:r>
    </w:p>
    <w:p>
      <w:pPr>
        <w:pStyle w:val="BookText"/>
      </w:pPr>
      <w:r>
        <w:rPr>
          <w:rFonts w:ascii="Amiri" w:hAnsi="Amiri" w:eastAsia="Amiri" w:cs="Amiri"/>
          <w:lang w:bidi="ar-SA"/>
          <w:color w:val="111111"/>
          <w:sz w:val="28"/>
          <w:szCs w:val="28"/>
          <w:rtl/>
        </w:rPr>
        <w:t xml:space="preserve">علي بن عيسى بن فرج ربعي- ربعي ، علي بن عيسى</w:t>
      </w:r>
    </w:p>
    <w:p>
      <w:pPr>
        <w:pStyle w:val="BookText"/>
      </w:pPr>
      <w:r>
        <w:rPr>
          <w:rFonts w:ascii="Amiri" w:hAnsi="Amiri" w:eastAsia="Amiri" w:cs="Amiri"/>
          <w:lang w:bidi="ar-SA"/>
          <w:color w:val="111111"/>
          <w:sz w:val="28"/>
          <w:szCs w:val="28"/>
          <w:rtl/>
        </w:rPr>
        <w:t xml:space="preserve">علي بن غانم شامي -خطيب شامي ، علي</w:t>
      </w:r>
    </w:p>
    <w:p>
      <w:pPr>
        <w:pStyle w:val="BookText"/>
      </w:pPr>
      <w:r>
        <w:rPr>
          <w:rFonts w:ascii="IRNazanin" w:hAnsi="IRNazanin" w:eastAsia="IRNazanin" w:cs="IRNazanin"/>
          <w:lang w:bidi="fa-IR"/>
          <w:color w:val="111111"/>
          <w:sz w:val="28"/>
          <w:szCs w:val="28"/>
          <w:rtl/>
        </w:rPr>
        <w:t xml:space="preserve">بن غانم</w:t>
      </w:r>
    </w:p>
    <w:p>
      <w:pPr>
        <w:pStyle w:val="BookText"/>
      </w:pPr>
      <w:r>
        <w:rPr>
          <w:rFonts w:ascii="Amiri" w:hAnsi="Amiri" w:eastAsia="Amiri" w:cs="Amiri"/>
          <w:lang w:bidi="ar-SA"/>
          <w:color w:val="111111"/>
          <w:sz w:val="28"/>
          <w:szCs w:val="28"/>
          <w:rtl/>
        </w:rPr>
        <w:t xml:space="preserve">علي بن فتح الله شريف -شريف ، علي بن</w:t>
      </w:r>
    </w:p>
    <w:p>
      <w:pPr>
        <w:pStyle w:val="BookText"/>
      </w:pPr>
      <w:r>
        <w:rPr>
          <w:rFonts w:ascii="IRNazanin" w:hAnsi="IRNazanin" w:eastAsia="IRNazanin" w:cs="IRNazanin"/>
          <w:lang w:bidi="fa-IR"/>
          <w:color w:val="111111"/>
          <w:sz w:val="28"/>
          <w:szCs w:val="28"/>
          <w:rtl/>
        </w:rPr>
        <w:t xml:space="preserve">فتح الله</w:t>
      </w:r>
    </w:p>
    <w:p>
      <w:pPr>
        <w:pStyle w:val="BookText"/>
      </w:pPr>
      <w:r>
        <w:rPr>
          <w:rFonts w:ascii="Amiri" w:hAnsi="Amiri" w:eastAsia="Amiri" w:cs="Amiri"/>
          <w:lang w:bidi="ar-SA"/>
          <w:color w:val="111111"/>
          <w:sz w:val="28"/>
          <w:szCs w:val="28"/>
          <w:rtl/>
        </w:rPr>
        <w:t xml:space="preserve">علي بن فتح الله نهاوندي نجفي- نهاوندي</w:t>
      </w:r>
    </w:p>
    <w:p>
      <w:pPr>
        <w:pStyle w:val="BookText"/>
      </w:pPr>
      <w:r>
        <w:rPr>
          <w:rFonts w:ascii="Amiri" w:hAnsi="Amiri" w:eastAsia="Amiri" w:cs="Amiri"/>
          <w:lang w:bidi="ar-SA"/>
          <w:color w:val="111111"/>
          <w:sz w:val="28"/>
          <w:szCs w:val="28"/>
          <w:rtl/>
        </w:rPr>
        <w:t xml:space="preserve">نجفي ، علي بن فتح الله</w:t>
      </w:r>
    </w:p>
    <w:p>
      <w:pPr>
        <w:pStyle w:val="BookText"/>
      </w:pPr>
      <w:r>
        <w:rPr>
          <w:rFonts w:ascii="Amiri" w:hAnsi="Amiri" w:eastAsia="Amiri" w:cs="Amiri"/>
          <w:lang w:bidi="ar-SA"/>
          <w:color w:val="111111"/>
          <w:sz w:val="28"/>
          <w:szCs w:val="28"/>
          <w:rtl/>
        </w:rPr>
        <w:t xml:space="preserve">علي بن فرحون -ابن فرحون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قاسم اسفرايني- اسفرايني ، علي بن قاسم</w:t>
      </w:r>
    </w:p>
    <w:p>
      <w:pPr>
        <w:pStyle w:val="BookText"/>
      </w:pPr>
      <w:r>
        <w:rPr>
          <w:rFonts w:ascii="Amiri" w:hAnsi="Amiri" w:eastAsia="Amiri" w:cs="Amiri"/>
          <w:lang w:bidi="ar-SA"/>
          <w:color w:val="111111"/>
          <w:sz w:val="28"/>
          <w:szCs w:val="28"/>
          <w:rtl/>
        </w:rPr>
        <w:t xml:space="preserve">علي بن قطب الدين بهبهاني- بهبهاني ،</w:t>
      </w:r>
    </w:p>
    <w:p>
      <w:pPr>
        <w:pStyle w:val="BookText"/>
      </w:pPr>
      <w:r>
        <w:rPr>
          <w:rFonts w:ascii="Amiri" w:hAnsi="Amiri" w:eastAsia="Amiri" w:cs="Amiri"/>
          <w:lang w:bidi="ar-SA"/>
          <w:color w:val="111111"/>
          <w:sz w:val="28"/>
          <w:szCs w:val="28"/>
          <w:rtl/>
        </w:rPr>
        <w:t xml:space="preserve">علي بن قطب الدين</w:t>
      </w:r>
    </w:p>
    <w:p>
      <w:pPr>
        <w:pStyle w:val="BookText"/>
      </w:pPr>
      <w:r>
        <w:rPr>
          <w:rFonts w:ascii="Amiri" w:hAnsi="Amiri" w:eastAsia="Amiri" w:cs="Amiri"/>
          <w:lang w:bidi="ar-SA"/>
          <w:color w:val="111111"/>
          <w:sz w:val="28"/>
          <w:szCs w:val="28"/>
          <w:rtl/>
        </w:rPr>
        <w:t xml:space="preserve">علي بن كل محمّد بن علي محمّد قاربوزآبادي- قزويني ، علي بن محمّد</w:t>
      </w:r>
    </w:p>
    <w:p>
      <w:pPr>
        <w:pStyle w:val="BookText"/>
      </w:pPr>
      <w:r>
        <w:rPr>
          <w:rFonts w:ascii="Amiri" w:hAnsi="Amiri" w:eastAsia="Amiri" w:cs="Amiri"/>
          <w:lang w:bidi="ar-SA"/>
          <w:color w:val="111111"/>
          <w:sz w:val="28"/>
          <w:szCs w:val="28"/>
          <w:rtl/>
        </w:rPr>
        <w:t xml:space="preserve">علي بن لالي بالي -منق ، علي بن لالي بالي</w:t>
      </w:r>
    </w:p>
    <w:p>
      <w:pPr>
        <w:pStyle w:val="BookText"/>
      </w:pPr>
      <w:r>
        <w:rPr>
          <w:rFonts w:ascii="Amiri" w:hAnsi="Amiri" w:eastAsia="Amiri" w:cs="Amiri"/>
          <w:lang w:bidi="ar-SA"/>
          <w:color w:val="111111"/>
          <w:sz w:val="28"/>
          <w:szCs w:val="28"/>
          <w:rtl/>
        </w:rPr>
        <w:t xml:space="preserve">علي بن مالقي اندلسي- مالقي ، نورالدين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علي بن مبارك بن موهوب -اربلي ، علي</w:t>
      </w:r>
    </w:p>
    <w:p>
      <w:pPr>
        <w:pStyle w:val="BookText"/>
      </w:pPr>
      <w:r>
        <w:rPr>
          <w:rFonts w:ascii="Amiri" w:hAnsi="Amiri" w:eastAsia="Amiri" w:cs="Amiri"/>
          <w:lang w:bidi="ar-SA"/>
          <w:color w:val="111111"/>
          <w:sz w:val="28"/>
          <w:szCs w:val="28"/>
          <w:rtl/>
        </w:rPr>
        <w:t xml:space="preserve">بن مبارك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799" w:name="pg7742_70860"/>
    <w:bookmarkEnd w:id="799"/>
    <w:p>
      <w:pPr>
        <w:pStyle w:val="BookText"/>
      </w:pPr>
      <w:r>
        <w:rPr>
          <w:rFonts w:ascii="Amiri" w:hAnsi="Amiri" w:eastAsia="Amiri" w:cs="Amiri"/>
          <w:lang w:bidi="ar-SA"/>
          <w:color w:val="111111"/>
          <w:sz w:val="28"/>
          <w:szCs w:val="28"/>
          <w:rtl/>
        </w:rPr>
        <w:t xml:space="preserve">علي بن مبارك جعفري - جعفري ، علي بن</w:t>
      </w:r>
    </w:p>
    <w:p>
      <w:pPr>
        <w:pStyle w:val="BookText"/>
      </w:pPr>
      <w:r>
        <w:rPr>
          <w:rFonts w:ascii="Amiri" w:hAnsi="Amiri" w:eastAsia="Amiri" w:cs="Amiri"/>
          <w:lang w:bidi="ar-SA"/>
          <w:color w:val="111111"/>
          <w:sz w:val="28"/>
          <w:szCs w:val="28"/>
          <w:rtl/>
        </w:rPr>
        <w:t xml:space="preserve">مبارك</w:t>
      </w:r>
    </w:p>
    <w:p>
      <w:pPr>
        <w:pStyle w:val="BookText"/>
      </w:pPr>
      <w:r>
        <w:rPr>
          <w:rFonts w:ascii="Amiri" w:hAnsi="Amiri" w:eastAsia="Amiri" w:cs="Amiri"/>
          <w:lang w:bidi="ar-SA"/>
          <w:color w:val="111111"/>
          <w:sz w:val="28"/>
          <w:szCs w:val="28"/>
          <w:rtl/>
        </w:rPr>
        <w:t xml:space="preserve">علي بن مجدالدين محمّد هروي بسطامي- مصنفك ، علي بن محمّد</w:t>
      </w:r>
    </w:p>
    <w:p>
      <w:pPr>
        <w:pStyle w:val="BookText"/>
      </w:pPr>
      <w:r>
        <w:rPr>
          <w:rFonts w:ascii="Amiri" w:hAnsi="Amiri" w:eastAsia="Amiri" w:cs="Amiri"/>
          <w:lang w:bidi="ar-SA"/>
          <w:color w:val="111111"/>
          <w:sz w:val="28"/>
          <w:szCs w:val="28"/>
          <w:rtl/>
        </w:rPr>
        <w:t xml:space="preserve">علي بن محسن بن علي تنوخي- تنوخي</w:t>
      </w:r>
    </w:p>
    <w:p>
      <w:pPr>
        <w:pStyle w:val="BookText"/>
      </w:pPr>
      <w:r>
        <w:rPr>
          <w:rFonts w:ascii="Amiri" w:hAnsi="Amiri" w:eastAsia="Amiri" w:cs="Amiri"/>
          <w:lang w:bidi="ar-SA"/>
          <w:color w:val="111111"/>
          <w:sz w:val="28"/>
          <w:szCs w:val="28"/>
          <w:rtl/>
        </w:rPr>
        <w:t xml:space="preserve">علي بن محسن</w:t>
      </w:r>
    </w:p>
    <w:p>
      <w:pPr>
        <w:pStyle w:val="Heading2"/>
      </w:pPr>
      <w:bookmarkStart w:id="6070" w:name="_Toc5172"/>
      <w:r>
        <w:t>علي بن محمّد</w:t>
      </w:r>
      <w:bookmarkEnd w:id="6070"/>
    </w:p>
    <w:p>
      <w:pPr>
        <w:pStyle w:val="BookText"/>
      </w:pPr>
      <w:r>
        <w:rPr>
          <w:rFonts w:ascii="Amiri" w:hAnsi="Amiri" w:eastAsia="Amiri" w:cs="Amiri"/>
          <w:lang w:bidi="ar-SA"/>
          <w:color w:val="111111"/>
          <w:sz w:val="28"/>
          <w:szCs w:val="28"/>
          <w:rtl/>
        </w:rPr>
        <w:t xml:space="preserve">السيرة النبوية، ج 9، ص22.</w:t>
      </w:r>
    </w:p>
    <w:p>
      <w:pPr>
        <w:pStyle w:val="Heading2"/>
      </w:pPr>
      <w:bookmarkStart w:id="6071" w:name="_Toc5173"/>
      <w:r>
        <w:t>علي بن محمّد قرن 13 ه-</w:t>
      </w:r>
      <w:bookmarkEnd w:id="6071"/>
    </w:p>
    <w:p>
      <w:pPr>
        <w:pStyle w:val="BookText"/>
      </w:pPr>
      <w:r>
        <w:rPr>
          <w:rFonts w:ascii="IRNazanin" w:hAnsi="IRNazanin" w:eastAsia="IRNazanin" w:cs="IRNazanin"/>
          <w:lang w:bidi="fa-IR"/>
          <w:color w:val="111111"/>
          <w:sz w:val="28"/>
          <w:szCs w:val="28"/>
          <w:rtl/>
        </w:rPr>
        <w:t xml:space="preserve">شرح اساس الاصول = شرح مختصر</w:t>
      </w:r>
    </w:p>
    <w:p>
      <w:pPr>
        <w:pStyle w:val="BookText"/>
      </w:pPr>
      <w:r>
        <w:rPr>
          <w:rFonts w:ascii="Amiri" w:hAnsi="Amiri" w:eastAsia="Amiri" w:cs="Amiri"/>
          <w:lang w:bidi="ar-SA"/>
          <w:color w:val="111111"/>
          <w:sz w:val="28"/>
          <w:szCs w:val="28"/>
          <w:rtl/>
        </w:rPr>
        <w:t xml:space="preserve">منار الانوار للنسفي، ج 9، ص187</w:t>
      </w:r>
    </w:p>
    <w:p>
      <w:pPr>
        <w:pStyle w:val="Heading2"/>
      </w:pPr>
      <w:bookmarkStart w:id="6072" w:name="_Toc5174"/>
      <w:r>
        <w:t>علي بن محمّد ، الهادي، 212 - 254 ه-</w:t>
      </w:r>
      <w:bookmarkEnd w:id="6072"/>
    </w:p>
    <w:p>
      <w:pPr>
        <w:pStyle w:val="BookText"/>
      </w:pPr>
      <w:r>
        <w:rPr>
          <w:rFonts w:ascii="Amiri" w:hAnsi="Amiri" w:eastAsia="Amiri" w:cs="Amiri"/>
          <w:lang w:bidi="ar-SA"/>
          <w:color w:val="111111"/>
          <w:sz w:val="28"/>
          <w:szCs w:val="28"/>
          <w:rtl/>
        </w:rPr>
        <w:t xml:space="preserve">زيارة الجامعة الكبيرة، ج8، ص 650.</w:t>
      </w:r>
    </w:p>
    <w:p>
      <w:pPr>
        <w:pStyle w:val="BookText"/>
      </w:pPr>
      <w:r>
        <w:rPr>
          <w:rFonts w:ascii="Amiri" w:hAnsi="Amiri" w:eastAsia="Amiri" w:cs="Amiri"/>
          <w:lang w:bidi="ar-SA"/>
          <w:color w:val="111111"/>
          <w:sz w:val="28"/>
          <w:szCs w:val="28"/>
          <w:rtl/>
        </w:rPr>
        <w:t xml:space="preserve">علي بن محمّد آمدي تغلبي- آمدي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علي بن محمّد ابن خطيب الناصريه- ابن</w:t>
      </w:r>
    </w:p>
    <w:p>
      <w:pPr>
        <w:pStyle w:val="BookText"/>
      </w:pPr>
      <w:r>
        <w:rPr>
          <w:rFonts w:ascii="Amiri" w:hAnsi="Amiri" w:eastAsia="Amiri" w:cs="Amiri"/>
          <w:lang w:bidi="ar-SA"/>
          <w:color w:val="111111"/>
          <w:sz w:val="28"/>
          <w:szCs w:val="28"/>
          <w:rtl/>
        </w:rPr>
        <w:t xml:space="preserve">خطيب الناصريه ، علي بن محمّد</w:t>
      </w:r>
    </w:p>
    <w:p>
      <w:pPr>
        <w:pStyle w:val="BookText"/>
      </w:pPr>
      <w:r>
        <w:rPr>
          <w:rFonts w:ascii="Amiri" w:hAnsi="Amiri" w:eastAsia="Amiri" w:cs="Amiri"/>
          <w:lang w:bidi="ar-SA"/>
          <w:color w:val="111111"/>
          <w:sz w:val="28"/>
          <w:szCs w:val="28"/>
          <w:rtl/>
        </w:rPr>
        <w:t xml:space="preserve">علي بن محمّد اشموني- اشموني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امين -امين ، علي بن محمّد</w:t>
      </w:r>
    </w:p>
    <w:p>
      <w:pPr>
        <w:pStyle w:val="BookText"/>
      </w:pPr>
      <w:r>
        <w:rPr>
          <w:rFonts w:ascii="Amiri" w:hAnsi="Amiri" w:eastAsia="Amiri" w:cs="Amiri"/>
          <w:lang w:bidi="ar-SA"/>
          <w:color w:val="111111"/>
          <w:sz w:val="28"/>
          <w:szCs w:val="28"/>
          <w:rtl/>
        </w:rPr>
        <w:t xml:space="preserve">علي بن محمّد انصاري -انصاري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باقر تنكابني -تنكابني ،</w:t>
      </w:r>
    </w:p>
    <w:p>
      <w:pPr>
        <w:pStyle w:val="BookText"/>
      </w:pPr>
      <w:r>
        <w:rPr>
          <w:rFonts w:ascii="Amiri" w:hAnsi="Amiri" w:eastAsia="Amiri" w:cs="Amiri"/>
          <w:lang w:bidi="ar-SA"/>
          <w:color w:val="111111"/>
          <w:sz w:val="28"/>
          <w:szCs w:val="28"/>
          <w:rtl/>
        </w:rPr>
        <w:t xml:space="preserve">علي بن محمّد باقر</w:t>
      </w:r>
    </w:p>
    <w:p>
      <w:pPr>
        <w:pStyle w:val="BookText"/>
      </w:pPr>
      <w:r>
        <w:rPr>
          <w:rFonts w:ascii="Amiri" w:hAnsi="Amiri" w:eastAsia="Amiri" w:cs="Amiri"/>
          <w:lang w:bidi="ar-SA"/>
          <w:color w:val="111111"/>
          <w:sz w:val="28"/>
          <w:szCs w:val="28"/>
          <w:rtl/>
        </w:rPr>
        <w:t xml:space="preserve">علي بن محمّد باقر خوانساري- موسوي</w:t>
      </w:r>
    </w:p>
    <w:p>
      <w:pPr>
        <w:pStyle w:val="BookText"/>
      </w:pPr>
      <w:r>
        <w:rPr>
          <w:rFonts w:ascii="Amiri" w:hAnsi="Amiri" w:eastAsia="Amiri" w:cs="Amiri"/>
          <w:lang w:bidi="ar-SA"/>
          <w:color w:val="111111"/>
          <w:sz w:val="28"/>
          <w:szCs w:val="28"/>
          <w:rtl/>
        </w:rPr>
        <w:t xml:space="preserve">خوانساري، علي بن محمّد باقر</w:t>
      </w:r>
    </w:p>
    <w:p>
      <w:pPr>
        <w:pStyle w:val="BookText"/>
      </w:pPr>
      <w:r>
        <w:rPr>
          <w:rFonts w:ascii="Amiri" w:hAnsi="Amiri" w:eastAsia="Amiri" w:cs="Amiri"/>
          <w:lang w:bidi="ar-SA"/>
          <w:color w:val="111111"/>
          <w:sz w:val="28"/>
          <w:szCs w:val="28"/>
          <w:rtl/>
        </w:rPr>
        <w:t xml:space="preserve">علي بن محمّد بخاري -بخاري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بسطي قلصادي</w:t>
      </w:r>
    </w:p>
    <w:p>
      <w:pPr>
        <w:pStyle w:val="BookText"/>
      </w:pPr>
      <w:r>
        <w:rPr>
          <w:rFonts w:ascii="Amiri" w:hAnsi="Amiri" w:eastAsia="Amiri" w:cs="Amiri"/>
          <w:lang w:bidi="ar-SA"/>
          <w:color w:val="111111"/>
          <w:sz w:val="28"/>
          <w:szCs w:val="28"/>
          <w:rtl/>
        </w:rPr>
        <w:t xml:space="preserve">قرشي- قلصادي، علي بن محمّد</w:t>
      </w:r>
    </w:p>
    <w:p>
      <w:pPr>
        <w:pStyle w:val="BookText"/>
      </w:pPr>
      <w:r>
        <w:rPr>
          <w:rFonts w:ascii="Amiri" w:hAnsi="Amiri" w:eastAsia="Amiri" w:cs="Amiri"/>
          <w:lang w:bidi="ar-SA"/>
          <w:color w:val="111111"/>
          <w:sz w:val="28"/>
          <w:szCs w:val="28"/>
          <w:rtl/>
        </w:rPr>
        <w:t xml:space="preserve">علي بن محمّد بن ابراهيم شيخي</w:t>
      </w:r>
    </w:p>
    <w:p>
      <w:pPr>
        <w:pStyle w:val="BookText"/>
      </w:pPr>
      <w:r>
        <w:rPr>
          <w:rFonts w:ascii="Amiri" w:hAnsi="Amiri" w:eastAsia="Amiri" w:cs="Amiri"/>
          <w:lang w:bidi="ar-SA"/>
          <w:color w:val="111111"/>
          <w:sz w:val="28"/>
          <w:szCs w:val="28"/>
          <w:rtl/>
        </w:rPr>
        <w:t xml:space="preserve">خازن -خازن ، علي بن محمّد</w:t>
      </w:r>
    </w:p>
    <w:p>
      <w:pPr>
        <w:pStyle w:val="BookText"/>
      </w:pPr>
      <w:r>
        <w:rPr>
          <w:rFonts w:ascii="Amiri" w:hAnsi="Amiri" w:eastAsia="Amiri" w:cs="Amiri"/>
          <w:lang w:bidi="ar-SA"/>
          <w:color w:val="111111"/>
          <w:sz w:val="28"/>
          <w:szCs w:val="28"/>
          <w:rtl/>
        </w:rPr>
        <w:t xml:space="preserve">علي بن محمّد تركه اصفهاني</w:t>
      </w:r>
    </w:p>
    <w:p>
      <w:pPr>
        <w:pStyle w:val="BookText"/>
      </w:pPr>
      <w:r>
        <w:rPr>
          <w:rFonts w:ascii="Amiri" w:hAnsi="Amiri" w:eastAsia="Amiri" w:cs="Amiri"/>
          <w:lang w:bidi="ar-SA"/>
          <w:color w:val="111111"/>
          <w:sz w:val="28"/>
          <w:szCs w:val="28"/>
          <w:rtl/>
        </w:rPr>
        <w:t xml:space="preserve">خجندي- تركه اصفهاني ، علي بن محمّد</w:t>
      </w:r>
    </w:p>
    <w:p>
      <w:pPr>
        <w:pStyle w:val="BookText"/>
      </w:pPr>
      <w:r>
        <w:rPr>
          <w:rFonts w:ascii="Amiri" w:hAnsi="Amiri" w:eastAsia="Amiri" w:cs="Amiri"/>
          <w:lang w:bidi="ar-SA"/>
          <w:color w:val="111111"/>
          <w:sz w:val="28"/>
          <w:szCs w:val="28"/>
          <w:rtl/>
        </w:rPr>
        <w:t xml:space="preserve">علي بن محمّد تغلبي موصلي دمشقي -ابن دريهم ، علي بن محمّد</w:t>
      </w:r>
    </w:p>
    <w:p>
      <w:pPr>
        <w:pStyle w:val="Heading2"/>
      </w:pPr>
      <w:bookmarkStart w:id="6073" w:name="_Toc5175"/>
      <w:r>
        <w:t>علي بن محمّد حسين</w:t>
      </w:r>
      <w:bookmarkEnd w:id="6073"/>
    </w:p>
    <w:p>
      <w:pPr>
        <w:pStyle w:val="BookText"/>
      </w:pPr>
      <w:r>
        <w:rPr>
          <w:rFonts w:ascii="Amiri" w:hAnsi="Amiri" w:eastAsia="Amiri" w:cs="Amiri"/>
          <w:lang w:bidi="ar-SA"/>
          <w:color w:val="111111"/>
          <w:sz w:val="28"/>
          <w:szCs w:val="28"/>
          <w:rtl/>
        </w:rPr>
        <w:t xml:space="preserve">نتائج الافكار، ج 16، ص 125.</w:t>
      </w:r>
    </w:p>
    <w:p>
      <w:pPr>
        <w:pStyle w:val="BookText"/>
      </w:pPr>
      <w:r>
        <w:rPr>
          <w:rFonts w:ascii="Amiri" w:hAnsi="Amiri" w:eastAsia="Amiri" w:cs="Amiri"/>
          <w:lang w:bidi="ar-SA"/>
          <w:color w:val="111111"/>
          <w:sz w:val="28"/>
          <w:szCs w:val="28"/>
          <w:rtl/>
        </w:rPr>
        <w:t xml:space="preserve">علي بن محمّد حسين زنجاني -زنجاني . علي بن محمّد حسين</w:t>
      </w:r>
    </w:p>
    <w:p>
      <w:pPr>
        <w:pStyle w:val="BookText"/>
      </w:pPr>
      <w:r>
        <w:rPr>
          <w:rFonts w:ascii="Amiri" w:hAnsi="Amiri" w:eastAsia="Amiri" w:cs="Amiri"/>
          <w:lang w:bidi="ar-SA"/>
          <w:color w:val="111111"/>
          <w:sz w:val="28"/>
          <w:szCs w:val="28"/>
          <w:rtl/>
        </w:rPr>
        <w:t xml:space="preserve">علي بن محمّد حسين كاظمي- كاظمي ، علي بن محمّد حسين</w:t>
      </w:r>
    </w:p>
    <w:p>
      <w:pPr>
        <w:pStyle w:val="BookText"/>
      </w:pPr>
      <w:r>
        <w:rPr>
          <w:rFonts w:ascii="Amiri" w:hAnsi="Amiri" w:eastAsia="Amiri" w:cs="Amiri"/>
          <w:lang w:bidi="ar-SA"/>
          <w:color w:val="111111"/>
          <w:sz w:val="28"/>
          <w:szCs w:val="28"/>
          <w:rtl/>
        </w:rPr>
        <w:t xml:space="preserve">علي بن محمّد حسيني- حسيني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حسيني- حسيني ، محمّد</w:t>
      </w:r>
    </w:p>
    <w:p>
      <w:pPr>
        <w:pStyle w:val="BookText"/>
      </w:pPr>
      <w:r>
        <w:rPr>
          <w:rFonts w:ascii="Amiri" w:hAnsi="Amiri" w:eastAsia="Amiri" w:cs="Amiri"/>
          <w:lang w:bidi="ar-SA"/>
          <w:color w:val="111111"/>
          <w:sz w:val="28"/>
          <w:szCs w:val="28"/>
          <w:rtl/>
        </w:rPr>
        <w:t xml:space="preserve">بن علي بن محمّد</w:t>
      </w:r>
    </w:p>
    <w:p>
      <w:pPr>
        <w:pStyle w:val="BookText"/>
      </w:pPr>
      <w:r>
        <w:rPr>
          <w:rFonts w:ascii="Amiri" w:hAnsi="Amiri" w:eastAsia="Amiri" w:cs="Amiri"/>
          <w:lang w:bidi="ar-SA"/>
          <w:color w:val="111111"/>
          <w:sz w:val="28"/>
          <w:szCs w:val="28"/>
          <w:rtl/>
        </w:rPr>
        <w:t xml:space="preserve">علي بن محمّد حلواني -حلواني ، علي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دمشقي (ابن (لحام)- ابن</w:t>
      </w:r>
    </w:p>
    <w:p>
      <w:pPr>
        <w:pStyle w:val="BookText"/>
      </w:pPr>
      <w:r>
        <w:rPr>
          <w:rFonts w:ascii="Amiri" w:hAnsi="Amiri" w:eastAsia="Amiri" w:cs="Amiri"/>
          <w:lang w:bidi="ar-SA"/>
          <w:color w:val="111111"/>
          <w:sz w:val="28"/>
          <w:szCs w:val="28"/>
          <w:rtl/>
        </w:rPr>
        <w:t xml:space="preserve">لحام ، علي بن محمد</w:t>
      </w:r>
    </w:p>
    <w:p>
      <w:pPr>
        <w:pStyle w:val="BookText"/>
      </w:pPr>
      <w:r>
        <w:rPr>
          <w:rFonts w:ascii="Amiri" w:hAnsi="Amiri" w:eastAsia="Amiri" w:cs="Amiri"/>
          <w:lang w:bidi="ar-SA"/>
          <w:color w:val="111111"/>
          <w:sz w:val="28"/>
          <w:szCs w:val="28"/>
          <w:rtl/>
        </w:rPr>
        <w:t xml:space="preserve">علي بن محمّد رباطي- ابن بري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رشتي- رشتي ، علي بن</w:t>
      </w:r>
    </w:p>
    <w:p>
      <w:pPr>
        <w:pStyle w:val="BookText"/>
      </w:pPr>
      <w:r>
        <w:rPr>
          <w:rFonts w:ascii="Amiri" w:hAnsi="Amiri" w:eastAsia="Amiri" w:cs="Amiri"/>
          <w:lang w:bidi="ar-SA"/>
          <w:color w:val="111111"/>
          <w:sz w:val="28"/>
          <w:szCs w:val="28"/>
          <w:rtl/>
        </w:rPr>
        <w:t xml:space="preserve">محمّد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رضا بحر العلوم طباطبائي - بحر العلوم، علي بن محمّد رضا</w:t>
      </w:r>
    </w:p>
    <w:p>
      <w:pPr>
        <w:pStyle w:val="BookText"/>
      </w:pPr>
      <w:r>
        <w:rPr>
          <w:rFonts w:ascii="Amiri" w:hAnsi="Amiri" w:eastAsia="Amiri" w:cs="Amiri"/>
          <w:lang w:bidi="ar-SA"/>
          <w:color w:val="111111"/>
          <w:sz w:val="28"/>
          <w:szCs w:val="28"/>
          <w:rtl/>
        </w:rPr>
        <w:t xml:space="preserve">علي بن محمّد رضا كاشف الغطاء- كاشف</w:t>
      </w:r>
    </w:p>
    <w:p>
      <w:pPr>
        <w:pStyle w:val="BookText"/>
      </w:pPr>
      <w:r>
        <w:rPr>
          <w:rFonts w:ascii="Amiri" w:hAnsi="Amiri" w:eastAsia="Amiri" w:cs="Amiri"/>
          <w:lang w:bidi="ar-SA"/>
          <w:color w:val="111111"/>
          <w:sz w:val="28"/>
          <w:szCs w:val="28"/>
          <w:rtl/>
        </w:rPr>
        <w:t xml:space="preserve">الغطاء ، علي بن محمد رضا</w:t>
      </w:r>
    </w:p>
    <w:p>
      <w:pPr>
        <w:pStyle w:val="BookText"/>
      </w:pPr>
      <w:r>
        <w:rPr>
          <w:rFonts w:ascii="Amiri" w:hAnsi="Amiri" w:eastAsia="Amiri" w:cs="Amiri"/>
          <w:lang w:bidi="ar-SA"/>
          <w:color w:val="111111"/>
          <w:sz w:val="28"/>
          <w:szCs w:val="28"/>
          <w:rtl/>
        </w:rPr>
        <w:t xml:space="preserve">علي بن محمّد رضائي- رضائي رومي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علي بن محمّد سعيد سويدي -سويدي ،</w:t>
      </w:r>
    </w:p>
    <w:p>
      <w:pPr>
        <w:pStyle w:val="BookText"/>
      </w:pPr>
      <w:r>
        <w:rPr>
          <w:rFonts w:ascii="Amiri" w:hAnsi="Amiri" w:eastAsia="Amiri" w:cs="Amiri"/>
          <w:lang w:bidi="ar-SA"/>
          <w:color w:val="111111"/>
          <w:sz w:val="28"/>
          <w:szCs w:val="28"/>
          <w:rtl/>
        </w:rPr>
        <w:t xml:space="preserve">علي بن محمّد سعيد</w:t>
      </w:r>
    </w:p>
    <w:p>
      <w:pPr>
        <w:pStyle w:val="BookText"/>
      </w:pPr>
      <w:r>
        <w:rPr>
          <w:rFonts w:ascii="Amiri" w:hAnsi="Amiri" w:eastAsia="Amiri" w:cs="Amiri"/>
          <w:lang w:bidi="ar-SA"/>
          <w:color w:val="111111"/>
          <w:sz w:val="28"/>
          <w:szCs w:val="28"/>
          <w:rtl/>
        </w:rPr>
        <w:t xml:space="preserve">علي بن محمّد سمرقندي- اسبيجابي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علي بن محمّد شابستي- شابشتي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علي بن محمّد شبر حسيني -شبر حسيني بن محمّد</w:t>
      </w:r>
    </w:p>
    <w:p>
      <w:pPr>
        <w:pStyle w:val="BookText"/>
      </w:pPr>
      <w:r>
        <w:rPr>
          <w:rFonts w:ascii="Amiri" w:hAnsi="Amiri" w:eastAsia="Amiri" w:cs="Amiri"/>
          <w:lang w:bidi="ar-SA"/>
          <w:color w:val="111111"/>
          <w:sz w:val="28"/>
          <w:szCs w:val="28"/>
          <w:rtl/>
        </w:rPr>
        <w:t xml:space="preserve">، علي بن محمّد</w:t>
      </w:r>
    </w:p>
    <w:p>
      <w:pPr>
        <w:pStyle w:val="BookText"/>
      </w:pPr>
      <w:r>
        <w:rPr>
          <w:rFonts w:ascii="Amiri" w:hAnsi="Amiri" w:eastAsia="Amiri" w:cs="Amiri"/>
          <w:lang w:bidi="ar-SA"/>
          <w:color w:val="111111"/>
          <w:sz w:val="28"/>
          <w:szCs w:val="28"/>
          <w:rtl/>
        </w:rPr>
        <w:t xml:space="preserve">علي بن محمّد شريف بن يحيى شريف بكري موصلي - شريف بكري ، علي بن محمّد</w:t>
      </w:r>
    </w:p>
    <w:p>
      <w:pPr>
        <w:pStyle w:val="BookText"/>
      </w:pPr>
      <w:r>
        <w:rPr>
          <w:rFonts w:ascii="Amiri" w:hAnsi="Amiri" w:eastAsia="Amiri" w:cs="Amiri"/>
          <w:lang w:bidi="ar-SA"/>
          <w:color w:val="111111"/>
          <w:sz w:val="28"/>
          <w:szCs w:val="28"/>
          <w:rtl/>
        </w:rPr>
        <w:t xml:space="preserve">علي بن محمّد شمشاطي</w:t>
      </w:r>
    </w:p>
    <w:p>
      <w:pPr>
        <w:pStyle w:val="BookText"/>
      </w:pPr>
      <w:r>
        <w:rPr>
          <w:rFonts w:ascii="Amiri" w:hAnsi="Amiri" w:eastAsia="Amiri" w:cs="Amiri"/>
          <w:lang w:bidi="ar-SA"/>
          <w:color w:val="111111"/>
          <w:sz w:val="28"/>
          <w:szCs w:val="28"/>
          <w:rtl/>
        </w:rPr>
        <w:t xml:space="preserve">عدوي- شمشاطي ، علي بن محمّد</w:t>
      </w:r>
    </w:p>
    <w:p>
      <w:pPr>
        <w:pStyle w:val="BookText"/>
      </w:pPr>
      <w:r>
        <w:rPr>
          <w:rFonts w:ascii="Amiri" w:hAnsi="Amiri" w:eastAsia="Amiri" w:cs="Amiri"/>
          <w:lang w:bidi="ar-SA"/>
          <w:color w:val="111111"/>
          <w:sz w:val="28"/>
          <w:szCs w:val="28"/>
          <w:rtl/>
        </w:rPr>
        <w:t xml:space="preserve">علي بن محمّد طرابلسي دمشقي</w:t>
      </w:r>
    </w:p>
    <w:p>
      <w:pPr>
        <w:pStyle w:val="BookText"/>
      </w:pPr>
      <w:r>
        <w:rPr>
          <w:rFonts w:ascii="Amiri" w:hAnsi="Amiri" w:eastAsia="Amiri" w:cs="Amiri"/>
          <w:lang w:bidi="ar-SA"/>
          <w:color w:val="111111"/>
          <w:sz w:val="28"/>
          <w:szCs w:val="28"/>
          <w:rtl/>
        </w:rPr>
        <w:t xml:space="preserve">حنفي -طرابلسي ، علي بن محمّد</w:t>
      </w:r>
    </w:p>
    <w:p>
      <w:pPr>
        <w:pStyle w:val="BookText"/>
      </w:pPr>
      <w:r>
        <w:rPr>
          <w:rFonts w:ascii="Amiri" w:hAnsi="Amiri" w:eastAsia="Amiri" w:cs="Amiri"/>
          <w:lang w:bidi="ar-SA"/>
          <w:color w:val="111111"/>
          <w:sz w:val="28"/>
          <w:szCs w:val="28"/>
          <w:rtl/>
        </w:rPr>
        <w:t xml:space="preserve">علي بن محمّد طوسي- طوسي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عسقلاني كناني - عسقلاني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علي بن محمّد عقيبي -عقيبي ، علي بن بن محمّد</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علي بن ابوالمعالي</w:t>
      </w:r>
    </w:p>
    <w:p>
      <w:pPr>
        <w:pStyle w:val="BookText"/>
      </w:pPr>
      <w:r>
        <w:rPr>
          <w:rFonts w:ascii="Amiri" w:hAnsi="Amiri" w:eastAsia="Amiri" w:cs="Amiri"/>
          <w:lang w:bidi="ar-SA"/>
          <w:color w:val="111111"/>
          <w:sz w:val="28"/>
          <w:szCs w:val="28"/>
          <w:rtl/>
        </w:rPr>
        <w:t xml:space="preserve">طباطبائي - طباطبائي كربلائي ، علي بن محمّد</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علي بن محمّد فسطوني -فسطوني ، علي</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علي بن محمّد قرماني -قرماني ، علي بن محمّد</w:t>
      </w:r>
    </w:p>
    <w:p>
      <w:pPr>
        <w:pStyle w:val="BookText"/>
      </w:pPr>
      <w:r>
        <w:rPr>
          <w:rFonts w:ascii="Amiri" w:hAnsi="Amiri" w:eastAsia="Amiri" w:cs="Amiri"/>
          <w:lang w:bidi="ar-SA"/>
          <w:color w:val="111111"/>
          <w:sz w:val="28"/>
          <w:szCs w:val="28"/>
          <w:rtl/>
        </w:rPr>
        <w:t xml:space="preserve">علي بن محمّد قزلجي -قزلجي ، علي بن محمّد</w:t>
      </w:r>
    </w:p>
    <w:p>
      <w:pPr>
        <w:pStyle w:val="BookText"/>
      </w:pPr>
      <w:r>
        <w:rPr>
          <w:rFonts w:ascii="IRNazanin" w:hAnsi="IRNazanin" w:eastAsia="IRNazanin" w:cs="IRNazanin"/>
          <w:lang w:bidi="fa-IR"/>
          <w:color w:val="111111"/>
          <w:sz w:val="28"/>
          <w:szCs w:val="28"/>
          <w:rtl/>
        </w:rPr>
        <w:t xml:space="preserve">علي بن محمّد قوشچي- قوشچي ، علي بن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علي بن محمّد كازروني -كازروني ، علي بن محمّد</w:t>
      </w:r>
    </w:p>
    <w:p>
      <w:pPr>
        <w:pStyle w:val="BookText"/>
      </w:pPr>
      <w:r>
        <w:rPr>
          <w:rFonts w:ascii="Amiri" w:hAnsi="Amiri" w:eastAsia="Amiri" w:cs="Amiri"/>
          <w:lang w:bidi="ar-SA"/>
          <w:color w:val="111111"/>
          <w:sz w:val="28"/>
          <w:szCs w:val="28"/>
          <w:rtl/>
        </w:rPr>
        <w:t xml:space="preserve">علي بن محمّد كريم رشتي- رشتي ، علي بن محمّد</w:t>
      </w:r>
    </w:p>
    <w:p>
      <w:pPr>
        <w:pStyle w:val="BookText"/>
      </w:pPr>
      <w:r>
        <w:rPr>
          <w:rFonts w:ascii="IRNazanin" w:hAnsi="IRNazanin" w:eastAsia="IRNazanin" w:cs="IRNazanin"/>
          <w:lang w:bidi="fa-IR"/>
          <w:color w:val="111111"/>
          <w:sz w:val="28"/>
          <w:szCs w:val="28"/>
          <w:rtl/>
        </w:rPr>
        <w:t xml:space="preserve">علي بن محمّد گرگاني- گرگاني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مجدولي- مجدولي ، محمّد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علي بن محمّد محلي -محلي ، علي بن محمّد</w:t>
      </w:r>
    </w:p>
    <w:p>
      <w:pPr>
        <w:pStyle w:val="BookText"/>
      </w:pPr>
      <w:r>
        <w:rPr>
          <w:rFonts w:ascii="Amiri" w:hAnsi="Amiri" w:eastAsia="Amiri" w:cs="Amiri"/>
          <w:lang w:bidi="ar-SA"/>
          <w:color w:val="111111"/>
          <w:sz w:val="28"/>
          <w:szCs w:val="28"/>
          <w:rtl/>
        </w:rPr>
        <w:t xml:space="preserve">علي بن محمّد مصري -مصري ، علي بن محمّد</w:t>
      </w:r>
    </w:p>
    <w:p>
      <w:pPr>
        <w:pStyle w:val="BookText"/>
      </w:pPr>
      <w:r>
        <w:rPr>
          <w:rFonts w:ascii="Amiri" w:hAnsi="Amiri" w:eastAsia="Amiri" w:cs="Amiri"/>
          <w:lang w:bidi="ar-SA"/>
          <w:color w:val="111111"/>
          <w:sz w:val="28"/>
          <w:szCs w:val="28"/>
          <w:rtl/>
        </w:rPr>
        <w:t xml:space="preserve">علي بن محمّد مقابي بحراني -مقابي بحراني</w:t>
      </w:r>
    </w:p>
    <w:p>
      <w:pPr>
        <w:pStyle w:val="BookText"/>
      </w:pPr>
      <w:r>
        <w:rPr>
          <w:rFonts w:ascii="Amiri" w:hAnsi="Amiri" w:eastAsia="Amiri" w:cs="Amiri"/>
          <w:lang w:bidi="ar-SA"/>
          <w:color w:val="111111"/>
          <w:sz w:val="28"/>
          <w:szCs w:val="28"/>
          <w:rtl/>
        </w:rPr>
        <w:t xml:space="preserve">، علي بن محمّد</w:t>
      </w:r>
    </w:p>
    <w:p>
      <w:pPr>
        <w:pStyle w:val="BookText"/>
      </w:pPr>
      <w:r>
        <w:rPr>
          <w:rFonts w:ascii="Amiri" w:hAnsi="Amiri" w:eastAsia="Amiri" w:cs="Amiri"/>
          <w:lang w:bidi="ar-SA"/>
          <w:color w:val="111111"/>
          <w:sz w:val="28"/>
          <w:szCs w:val="28"/>
          <w:rtl/>
        </w:rPr>
        <w:t xml:space="preserve">علي بن محمّد مكي فاكهي -فاكهي ، علي بن محمّد</w:t>
      </w:r>
    </w:p>
    <w:p>
      <w:pPr>
        <w:pStyle w:val="BookText"/>
      </w:pPr>
      <w:r>
        <w:rPr>
          <w:rFonts w:ascii="Amiri" w:hAnsi="Amiri" w:eastAsia="Amiri" w:cs="Amiri"/>
          <w:lang w:bidi="ar-SA"/>
          <w:color w:val="111111"/>
          <w:sz w:val="28"/>
          <w:szCs w:val="28"/>
          <w:rtl/>
        </w:rPr>
        <w:t xml:space="preserve">علي بن محمّد مناوي -مناوي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علي بن محمّد منوفي منوفي ، علي بن</w:t>
      </w:r>
    </w:p>
    <w:p>
      <w:pPr>
        <w:pStyle w:val="BookText"/>
      </w:pPr>
      <w:r>
        <w:rPr>
          <w:rFonts w:ascii="Amiri" w:hAnsi="Amiri" w:eastAsia="Amiri" w:cs="Amiri"/>
          <w:lang w:bidi="ar-SA"/>
          <w:color w:val="111111"/>
          <w:sz w:val="28"/>
          <w:szCs w:val="28"/>
          <w:rtl/>
        </w:rPr>
        <w:t xml:space="preserve">محمّد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00" w:name="pg7742_70864"/>
    <w:bookmarkEnd w:id="800"/>
    <w:p>
      <w:pPr>
        <w:pStyle w:val="BookText"/>
      </w:pPr>
      <w:r>
        <w:rPr>
          <w:rFonts w:ascii="Amiri" w:hAnsi="Amiri" w:eastAsia="Amiri" w:cs="Amiri"/>
          <w:lang w:bidi="ar-SA"/>
          <w:color w:val="111111"/>
          <w:sz w:val="28"/>
          <w:szCs w:val="28"/>
          <w:rtl/>
        </w:rPr>
        <w:t xml:space="preserve">علي بن محمّد نيلي- نيلي ، رضي الدين</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علي بن محمود بن مغربي -ابن مغربي ، علي بن منصور</w:t>
      </w:r>
    </w:p>
    <w:p>
      <w:pPr>
        <w:pStyle w:val="BookText"/>
      </w:pPr>
      <w:r>
        <w:rPr>
          <w:rFonts w:ascii="Amiri" w:hAnsi="Amiri" w:eastAsia="Amiri" w:cs="Amiri"/>
          <w:lang w:bidi="ar-SA"/>
          <w:color w:val="111111"/>
          <w:sz w:val="28"/>
          <w:szCs w:val="28"/>
          <w:rtl/>
        </w:rPr>
        <w:t xml:space="preserve">علي بن محمود</w:t>
      </w:r>
    </w:p>
    <w:p>
      <w:pPr>
        <w:pStyle w:val="BookText"/>
      </w:pPr>
      <w:r>
        <w:rPr>
          <w:rFonts w:ascii="Amiri" w:hAnsi="Amiri" w:eastAsia="Amiri" w:cs="Amiri"/>
          <w:lang w:bidi="ar-SA"/>
          <w:color w:val="111111"/>
          <w:sz w:val="28"/>
          <w:szCs w:val="28"/>
          <w:rtl/>
        </w:rPr>
        <w:t xml:space="preserve">علي بن محمود رايض بدخشاني- رايض</w:t>
      </w:r>
    </w:p>
    <w:p>
      <w:pPr>
        <w:pStyle w:val="BookText"/>
      </w:pPr>
      <w:r>
        <w:rPr>
          <w:rFonts w:ascii="Amiri" w:hAnsi="Amiri" w:eastAsia="Amiri" w:cs="Amiri"/>
          <w:lang w:bidi="ar-SA"/>
          <w:color w:val="111111"/>
          <w:sz w:val="28"/>
          <w:szCs w:val="28"/>
          <w:rtl/>
        </w:rPr>
        <w:t xml:space="preserve">بدخشاني ، علي بن محمود</w:t>
      </w:r>
    </w:p>
    <w:p>
      <w:pPr>
        <w:pStyle w:val="BookText"/>
      </w:pPr>
      <w:r>
        <w:rPr>
          <w:rFonts w:ascii="Amiri" w:hAnsi="Amiri" w:eastAsia="Amiri" w:cs="Amiri"/>
          <w:lang w:bidi="ar-SA"/>
          <w:color w:val="111111"/>
          <w:sz w:val="28"/>
          <w:szCs w:val="28"/>
          <w:rtl/>
        </w:rPr>
        <w:t xml:space="preserve">علي بن محمود ضياء- ضياء كرماني ، علي</w:t>
      </w:r>
    </w:p>
    <w:p>
      <w:pPr>
        <w:pStyle w:val="BookText"/>
      </w:pPr>
      <w:r>
        <w:rPr>
          <w:rFonts w:ascii="IRNazanin" w:hAnsi="IRNazanin" w:eastAsia="IRNazanin" w:cs="IRNazanin"/>
          <w:lang w:bidi="fa-IR"/>
          <w:color w:val="111111"/>
          <w:sz w:val="28"/>
          <w:szCs w:val="28"/>
          <w:rtl/>
        </w:rPr>
        <w:t xml:space="preserve">بن محمود</w:t>
      </w:r>
    </w:p>
    <w:p>
      <w:pPr>
        <w:pStyle w:val="BookText"/>
      </w:pPr>
      <w:r>
        <w:rPr>
          <w:rFonts w:ascii="Amiri" w:hAnsi="Amiri" w:eastAsia="Amiri" w:cs="Amiri"/>
          <w:lang w:bidi="ar-SA"/>
          <w:color w:val="111111"/>
          <w:sz w:val="28"/>
          <w:szCs w:val="28"/>
          <w:rtl/>
        </w:rPr>
        <w:t xml:space="preserve">علي بن مشرف حصكفي -حصكفي ، علي</w:t>
      </w:r>
    </w:p>
    <w:p>
      <w:pPr>
        <w:pStyle w:val="BookText"/>
      </w:pPr>
      <w:r>
        <w:rPr>
          <w:rFonts w:ascii="IRNazanin" w:hAnsi="IRNazanin" w:eastAsia="IRNazanin" w:cs="IRNazanin"/>
          <w:lang w:bidi="fa-IR"/>
          <w:color w:val="111111"/>
          <w:sz w:val="28"/>
          <w:szCs w:val="28"/>
          <w:rtl/>
        </w:rPr>
        <w:t xml:space="preserve">بن مشرف</w:t>
      </w:r>
    </w:p>
    <w:p>
      <w:pPr>
        <w:pStyle w:val="BookText"/>
      </w:pPr>
      <w:r>
        <w:rPr>
          <w:rFonts w:ascii="Amiri" w:hAnsi="Amiri" w:eastAsia="Amiri" w:cs="Amiri"/>
          <w:lang w:bidi="ar-SA"/>
          <w:color w:val="111111"/>
          <w:sz w:val="28"/>
          <w:szCs w:val="28"/>
          <w:rtl/>
        </w:rPr>
        <w:t xml:space="preserve">علي بن مشرف مارديني حصكفي- حصكفي ، علي بن مشرف</w:t>
      </w:r>
    </w:p>
    <w:p>
      <w:pPr>
        <w:pStyle w:val="BookText"/>
      </w:pPr>
      <w:r>
        <w:rPr>
          <w:rFonts w:ascii="Amiri" w:hAnsi="Amiri" w:eastAsia="Amiri" w:cs="Amiri"/>
          <w:lang w:bidi="ar-SA"/>
          <w:color w:val="111111"/>
          <w:sz w:val="28"/>
          <w:szCs w:val="28"/>
          <w:rtl/>
        </w:rPr>
        <w:t xml:space="preserve">علي بن مشرف مارديني- مارديني ، علي</w:t>
      </w:r>
    </w:p>
    <w:p>
      <w:pPr>
        <w:pStyle w:val="BookText"/>
      </w:pPr>
      <w:r>
        <w:rPr>
          <w:rFonts w:ascii="IRNazanin" w:hAnsi="IRNazanin" w:eastAsia="IRNazanin" w:cs="IRNazanin"/>
          <w:lang w:bidi="fa-IR"/>
          <w:color w:val="111111"/>
          <w:sz w:val="28"/>
          <w:szCs w:val="28"/>
          <w:rtl/>
        </w:rPr>
        <w:t xml:space="preserve">بن مشرف</w:t>
      </w:r>
    </w:p>
    <w:p>
      <w:pPr>
        <w:pStyle w:val="BookText"/>
      </w:pPr>
      <w:r>
        <w:rPr>
          <w:rFonts w:ascii="Amiri" w:hAnsi="Amiri" w:eastAsia="Amiri" w:cs="Amiri"/>
          <w:lang w:bidi="ar-SA"/>
          <w:color w:val="111111"/>
          <w:sz w:val="28"/>
          <w:szCs w:val="28"/>
          <w:rtl/>
        </w:rPr>
        <w:t xml:space="preserve">علي بن مصطفى افندي غلامي- غلامي</w:t>
      </w:r>
    </w:p>
    <w:p>
      <w:pPr>
        <w:pStyle w:val="BookText"/>
      </w:pPr>
      <w:r>
        <w:rPr>
          <w:rFonts w:ascii="Amiri" w:hAnsi="Amiri" w:eastAsia="Amiri" w:cs="Amiri"/>
          <w:lang w:bidi="ar-SA"/>
          <w:color w:val="111111"/>
          <w:sz w:val="28"/>
          <w:szCs w:val="28"/>
          <w:rtl/>
        </w:rPr>
        <w:t xml:space="preserve">علي بن مصطفى</w:t>
      </w:r>
    </w:p>
    <w:p>
      <w:pPr>
        <w:pStyle w:val="BookText"/>
      </w:pPr>
      <w:r>
        <w:rPr>
          <w:rFonts w:ascii="Amiri" w:hAnsi="Amiri" w:eastAsia="Amiri" w:cs="Amiri"/>
          <w:lang w:bidi="ar-SA"/>
          <w:color w:val="111111"/>
          <w:sz w:val="28"/>
          <w:szCs w:val="28"/>
          <w:rtl/>
        </w:rPr>
        <w:t xml:space="preserve">علي بن مصطفى بادكوبه اي- بادكوبه اي</w:t>
      </w:r>
    </w:p>
    <w:p>
      <w:pPr>
        <w:pStyle w:val="BookText"/>
      </w:pPr>
      <w:r>
        <w:rPr>
          <w:rFonts w:ascii="Amiri" w:hAnsi="Amiri" w:eastAsia="Amiri" w:cs="Amiri"/>
          <w:lang w:bidi="ar-SA"/>
          <w:color w:val="111111"/>
          <w:sz w:val="28"/>
          <w:szCs w:val="28"/>
          <w:rtl/>
        </w:rPr>
        <w:t xml:space="preserve">علي بن مصطفى</w:t>
      </w:r>
    </w:p>
    <w:p>
      <w:pPr>
        <w:pStyle w:val="BookText"/>
      </w:pPr>
      <w:r>
        <w:rPr>
          <w:rFonts w:ascii="Amiri" w:hAnsi="Amiri" w:eastAsia="Amiri" w:cs="Amiri"/>
          <w:lang w:bidi="ar-SA"/>
          <w:color w:val="111111"/>
          <w:sz w:val="28"/>
          <w:szCs w:val="28"/>
          <w:rtl/>
        </w:rPr>
        <w:t xml:space="preserve">علي بن مصطفى دباغ -دباغ ، علي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علي بن مصطفى فردي- فردي ، علي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علي بن مقرب احسائي- ابن مقرب ، علي</w:t>
      </w:r>
    </w:p>
    <w:p>
      <w:pPr>
        <w:pStyle w:val="BookText"/>
      </w:pPr>
      <w:r>
        <w:rPr>
          <w:rFonts w:ascii="IRNazanin" w:hAnsi="IRNazanin" w:eastAsia="IRNazanin" w:cs="IRNazanin"/>
          <w:lang w:bidi="fa-IR"/>
          <w:color w:val="111111"/>
          <w:sz w:val="28"/>
          <w:szCs w:val="28"/>
          <w:rtl/>
        </w:rPr>
        <w:t xml:space="preserve">بن مقرب</w:t>
      </w:r>
    </w:p>
    <w:p>
      <w:pPr>
        <w:pStyle w:val="Heading2"/>
      </w:pPr>
      <w:bookmarkStart w:id="6074" w:name="_Toc5176"/>
      <w:r>
        <w:t>علي بن مقري</w:t>
      </w:r>
      <w:bookmarkEnd w:id="6074"/>
    </w:p>
    <w:p>
      <w:pPr>
        <w:pStyle w:val="BookText"/>
      </w:pPr>
      <w:r>
        <w:rPr>
          <w:rFonts w:ascii="Amiri" w:hAnsi="Amiri" w:eastAsia="Amiri" w:cs="Amiri"/>
          <w:lang w:bidi="ar-SA"/>
          <w:color w:val="111111"/>
          <w:sz w:val="28"/>
          <w:szCs w:val="28"/>
          <w:rtl/>
        </w:rPr>
        <w:t xml:space="preserve">يبادي الصفي بمدح النبي و اللامية</w:t>
      </w:r>
    </w:p>
    <w:p>
      <w:pPr>
        <w:pStyle w:val="BookText"/>
      </w:pPr>
      <w:r>
        <w:rPr>
          <w:rFonts w:ascii="Amiri" w:hAnsi="Amiri" w:eastAsia="Amiri" w:cs="Amiri"/>
          <w:lang w:bidi="ar-SA"/>
          <w:color w:val="111111"/>
          <w:sz w:val="28"/>
          <w:szCs w:val="28"/>
          <w:rtl/>
        </w:rPr>
        <w:t xml:space="preserve">النبوية، ج 16، ص 892.</w:t>
      </w:r>
    </w:p>
    <w:p>
      <w:pPr>
        <w:pStyle w:val="BookText"/>
      </w:pPr>
      <w:r>
        <w:rPr>
          <w:rFonts w:ascii="Amiri" w:hAnsi="Amiri" w:eastAsia="Amiri" w:cs="Amiri"/>
          <w:lang w:bidi="ar-SA"/>
          <w:color w:val="111111"/>
          <w:sz w:val="28"/>
          <w:szCs w:val="28"/>
          <w:rtl/>
        </w:rPr>
        <w:t xml:space="preserve">علي بن مقصود علي- ميرعلي</w:t>
      </w:r>
    </w:p>
    <w:p>
      <w:pPr>
        <w:pStyle w:val="BookText"/>
      </w:pPr>
      <w:r>
        <w:rPr>
          <w:rFonts w:ascii="Amiri" w:hAnsi="Amiri" w:eastAsia="Amiri" w:cs="Amiri"/>
          <w:lang w:bidi="ar-SA"/>
          <w:color w:val="111111"/>
          <w:sz w:val="28"/>
          <w:szCs w:val="28"/>
          <w:rtl/>
        </w:rPr>
        <w:t xml:space="preserve">علي بن منصور حلواني -حلواني ، محمود علي بن منصور</w:t>
      </w:r>
    </w:p>
    <w:p>
      <w:pPr>
        <w:pStyle w:val="Heading2"/>
      </w:pPr>
      <w:bookmarkStart w:id="6075" w:name="_Toc5177"/>
      <w:r>
        <w:t>علي بن موسى</w:t>
      </w:r>
      <w:bookmarkEnd w:id="6075"/>
    </w:p>
    <w:p>
      <w:pPr>
        <w:pStyle w:val="BookText"/>
      </w:pPr>
      <w:r>
        <w:rPr>
          <w:rFonts w:ascii="Amiri" w:hAnsi="Amiri" w:eastAsia="Amiri" w:cs="Amiri"/>
          <w:lang w:bidi="ar-SA"/>
          <w:color w:val="111111"/>
          <w:sz w:val="28"/>
          <w:szCs w:val="28"/>
          <w:rtl/>
        </w:rPr>
        <w:t xml:space="preserve">المطالع الزهرية في مناقب الحضرة النجاشية، ج 14، ص 776.</w:t>
      </w:r>
    </w:p>
    <w:p>
      <w:pPr>
        <w:pStyle w:val="Heading2"/>
      </w:pPr>
      <w:bookmarkStart w:id="6076" w:name="_Toc5178"/>
      <w:r>
        <w:t>علي بن موسى الرضا (ع)، 153-203 ه-</w:t>
      </w:r>
      <w:bookmarkEnd w:id="6076"/>
    </w:p>
    <w:p>
      <w:pPr>
        <w:pStyle w:val="BookText"/>
      </w:pPr>
      <w:r>
        <w:rPr>
          <w:rFonts w:ascii="Amiri" w:hAnsi="Amiri" w:eastAsia="Amiri" w:cs="Amiri"/>
          <w:lang w:bidi="ar-SA"/>
          <w:color w:val="111111"/>
          <w:sz w:val="28"/>
          <w:szCs w:val="28"/>
          <w:rtl/>
        </w:rPr>
        <w:t xml:space="preserve">1 .اصول الدين = اتمام الشريعة = ما</w:t>
      </w:r>
    </w:p>
    <w:p>
      <w:pPr>
        <w:pStyle w:val="BookText"/>
      </w:pPr>
      <w:r>
        <w:rPr>
          <w:rFonts w:ascii="Amiri" w:hAnsi="Amiri" w:eastAsia="Amiri" w:cs="Amiri"/>
          <w:lang w:bidi="ar-SA"/>
          <w:color w:val="111111"/>
          <w:sz w:val="28"/>
          <w:szCs w:val="28"/>
          <w:rtl/>
        </w:rPr>
        <w:t xml:space="preserve">لا يسع جهله، ج 2، ص 411.</w:t>
      </w:r>
    </w:p>
    <w:p>
      <w:pPr>
        <w:pStyle w:val="BookText"/>
      </w:pPr>
      <w:r>
        <w:rPr>
          <w:rFonts w:ascii="Amiri" w:hAnsi="Amiri" w:eastAsia="Amiri" w:cs="Amiri"/>
          <w:lang w:bidi="ar-SA"/>
          <w:color w:val="111111"/>
          <w:sz w:val="28"/>
          <w:szCs w:val="28"/>
          <w:rtl/>
        </w:rPr>
        <w:t xml:space="preserve">2 .الجواهر الوفية في الدقائق الجفرية</w:t>
      </w:r>
    </w:p>
    <w:p>
      <w:pPr>
        <w:pStyle w:val="BookText"/>
      </w:pPr>
      <w:r>
        <w:rPr>
          <w:rFonts w:ascii="IRNazanin" w:hAnsi="IRNazanin" w:eastAsia="IRNazanin" w:cs="IRNazanin"/>
          <w:lang w:bidi="fa-IR"/>
          <w:color w:val="111111"/>
          <w:sz w:val="28"/>
          <w:szCs w:val="28"/>
          <w:rtl/>
        </w:rPr>
        <w:t xml:space="preserve">ج 5 ص 607.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الحكمة وفصول السنة و اسماء الشهور (رسالة في)، ج 6، ص 752.</w:t>
      </w:r>
    </w:p>
    <w:p>
      <w:pPr>
        <w:pStyle w:val="BookText"/>
      </w:pPr>
      <w:r>
        <w:rPr>
          <w:rFonts w:ascii="Amiri" w:hAnsi="Amiri" w:eastAsia="Amiri" w:cs="Amiri"/>
          <w:lang w:bidi="ar-SA"/>
          <w:color w:val="111111"/>
          <w:sz w:val="28"/>
          <w:szCs w:val="28"/>
          <w:rtl/>
        </w:rPr>
        <w:t xml:space="preserve">4 .الرسالة الذهبية - طب الرضا -</w:t>
      </w:r>
    </w:p>
    <w:p>
      <w:pPr>
        <w:pStyle w:val="BookText"/>
      </w:pPr>
      <w:r>
        <w:rPr>
          <w:rFonts w:ascii="Amiri" w:hAnsi="Amiri" w:eastAsia="Amiri" w:cs="Amiri"/>
          <w:lang w:bidi="ar-SA"/>
          <w:color w:val="111111"/>
          <w:sz w:val="28"/>
          <w:szCs w:val="28"/>
          <w:rtl/>
        </w:rPr>
        <w:t xml:space="preserve">الذهبية الطبية، ج8، ص203.</w:t>
      </w:r>
    </w:p>
    <w:p>
      <w:pPr>
        <w:pStyle w:val="BookText"/>
      </w:pPr>
      <w:r>
        <w:rPr>
          <w:rFonts w:ascii="Amiri" w:hAnsi="Amiri" w:eastAsia="Amiri" w:cs="Amiri"/>
          <w:lang w:bidi="ar-SA"/>
          <w:color w:val="111111"/>
          <w:sz w:val="28"/>
          <w:szCs w:val="28"/>
          <w:rtl/>
        </w:rPr>
        <w:t xml:space="preserve">5 .رسالة علي بن موسى الرضا (ع)</w:t>
      </w:r>
    </w:p>
    <w:p>
      <w:pPr>
        <w:pStyle w:val="BookText"/>
      </w:pPr>
      <w:r>
        <w:rPr>
          <w:rFonts w:ascii="IRNazanin" w:hAnsi="IRNazanin" w:eastAsia="IRNazanin" w:cs="IRNazanin"/>
          <w:lang w:bidi="fa-IR"/>
          <w:color w:val="111111"/>
          <w:sz w:val="28"/>
          <w:szCs w:val="28"/>
          <w:rtl/>
        </w:rPr>
        <w:t xml:space="preserve">ج 8، ص 224.</w:t>
      </w:r>
    </w:p>
    <w:p>
      <w:pPr>
        <w:pStyle w:val="BookText"/>
      </w:pPr>
      <w:r>
        <w:rPr>
          <w:rFonts w:ascii="Amiri" w:hAnsi="Amiri" w:eastAsia="Amiri" w:cs="Amiri"/>
          <w:lang w:bidi="ar-SA"/>
          <w:color w:val="111111"/>
          <w:sz w:val="28"/>
          <w:szCs w:val="28"/>
          <w:rtl/>
        </w:rPr>
        <w:t xml:space="preserve">6 .سلسلة الذهب، ج8، ص 802.</w:t>
      </w:r>
    </w:p>
    <w:p>
      <w:pPr>
        <w:pStyle w:val="BookText"/>
      </w:pPr>
      <w:r>
        <w:rPr>
          <w:rFonts w:ascii="Amiri" w:hAnsi="Amiri" w:eastAsia="Amiri" w:cs="Amiri"/>
          <w:lang w:bidi="ar-SA"/>
          <w:color w:val="111111"/>
          <w:sz w:val="28"/>
          <w:szCs w:val="28"/>
          <w:rtl/>
        </w:rPr>
        <w:t xml:space="preserve">7.صحيفة الرضا = مسند الرضا = الرضويات، ج 10، ص 513.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فقه الرضا، ج 12، ص 100 .</w:t>
      </w:r>
    </w:p>
    <w:p>
      <w:pPr>
        <w:pStyle w:val="BookText"/>
      </w:pPr>
      <w:r>
        <w:rPr>
          <w:rFonts w:ascii="Amiri" w:hAnsi="Amiri" w:eastAsia="Amiri" w:cs="Amiri"/>
          <w:lang w:bidi="ar-SA"/>
          <w:color w:val="111111"/>
          <w:sz w:val="28"/>
          <w:szCs w:val="28"/>
          <w:rtl/>
        </w:rPr>
        <w:t xml:space="preserve">9 .قصيدة ، ج 12، ص 633.</w:t>
      </w:r>
    </w:p>
    <w:p>
      <w:pPr>
        <w:pStyle w:val="BookText"/>
      </w:pPr>
      <w:r>
        <w:rPr>
          <w:rFonts w:ascii="Amiri" w:hAnsi="Amiri" w:eastAsia="Amiri" w:cs="Amiri"/>
          <w:lang w:bidi="ar-SA"/>
          <w:color w:val="111111"/>
          <w:sz w:val="28"/>
          <w:szCs w:val="28"/>
          <w:rtl/>
        </w:rPr>
        <w:t xml:space="preserve">10 .قواعد الجفر (رسالة في)، ج 12،</w:t>
      </w:r>
    </w:p>
    <w:p>
      <w:pPr>
        <w:pStyle w:val="BookText"/>
      </w:pPr>
      <w:r>
        <w:rPr>
          <w:rFonts w:ascii="IRNazanin" w:hAnsi="IRNazanin" w:eastAsia="IRNazanin" w:cs="IRNazanin"/>
          <w:lang w:bidi="fa-IR"/>
          <w:color w:val="111111"/>
          <w:sz w:val="28"/>
          <w:szCs w:val="28"/>
          <w:rtl/>
        </w:rPr>
        <w:t xml:space="preserve">ص 792</w:t>
      </w:r>
    </w:p>
    <w:p>
      <w:pPr>
        <w:pStyle w:val="BookText"/>
      </w:pPr>
      <w:r>
        <w:rPr>
          <w:rFonts w:ascii="Amiri" w:hAnsi="Amiri" w:eastAsia="Amiri" w:cs="Amiri"/>
          <w:lang w:bidi="ar-SA"/>
          <w:color w:val="111111"/>
          <w:sz w:val="28"/>
          <w:szCs w:val="28"/>
          <w:rtl/>
        </w:rPr>
        <w:t xml:space="preserve">علي بن ميمون ادريسي -حسني ابن</w:t>
      </w:r>
    </w:p>
    <w:p>
      <w:pPr>
        <w:pStyle w:val="BookText"/>
      </w:pPr>
      <w:r>
        <w:rPr>
          <w:rFonts w:ascii="IRNazanin" w:hAnsi="IRNazanin" w:eastAsia="IRNazanin" w:cs="IRNazanin"/>
          <w:lang w:bidi="fa-IR"/>
          <w:color w:val="111111"/>
          <w:sz w:val="28"/>
          <w:szCs w:val="28"/>
          <w:rtl/>
        </w:rPr>
        <w:t xml:space="preserve">میمون ، علي بن ميمون</w:t>
      </w:r>
    </w:p>
    <w:p>
      <w:pPr>
        <w:pStyle w:val="BookText"/>
      </w:pPr>
      <w:r>
        <w:rPr>
          <w:rFonts w:ascii="Amiri" w:hAnsi="Amiri" w:eastAsia="Amiri" w:cs="Amiri"/>
          <w:lang w:bidi="ar-SA"/>
          <w:color w:val="111111"/>
          <w:sz w:val="28"/>
          <w:szCs w:val="28"/>
          <w:rtl/>
        </w:rPr>
        <w:t xml:space="preserve">علي بن ناصر الدين محمّد منوفي - منوفي</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علي بن نصر ابن طبيب- ابن طبيب</w:t>
      </w:r>
    </w:p>
    <w:p>
      <w:pPr>
        <w:pStyle w:val="BookText"/>
      </w:pPr>
      <w:r>
        <w:rPr>
          <w:rFonts w:ascii="Amiri" w:hAnsi="Amiri" w:eastAsia="Amiri" w:cs="Amiri"/>
          <w:lang w:bidi="ar-SA"/>
          <w:color w:val="111111"/>
          <w:sz w:val="28"/>
          <w:szCs w:val="28"/>
          <w:rtl/>
        </w:rPr>
        <w:t xml:space="preserve">علي بن نصر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01" w:name="pg7742_70866"/>
    <w:bookmarkEnd w:id="801"/>
    <w:p>
      <w:pPr>
        <w:pStyle w:val="BookText"/>
      </w:pPr>
      <w:r>
        <w:rPr>
          <w:rFonts w:ascii="Amiri" w:hAnsi="Amiri" w:eastAsia="Amiri" w:cs="Amiri"/>
          <w:lang w:bidi="ar-SA"/>
          <w:color w:val="111111"/>
          <w:sz w:val="28"/>
          <w:szCs w:val="28"/>
          <w:rtl/>
        </w:rPr>
        <w:t xml:space="preserve">علي بن نصر الله تبريزي -تبريزي ، علي بن نصر الله</w:t>
      </w:r>
    </w:p>
    <w:p>
      <w:pPr>
        <w:pStyle w:val="BookText"/>
      </w:pPr>
      <w:r>
        <w:rPr>
          <w:rFonts w:ascii="Amiri" w:hAnsi="Amiri" w:eastAsia="Amiri" w:cs="Amiri"/>
          <w:lang w:bidi="ar-SA"/>
          <w:color w:val="111111"/>
          <w:sz w:val="28"/>
          <w:szCs w:val="28"/>
          <w:rtl/>
        </w:rPr>
        <w:t xml:space="preserve">علي بن نعمان بن محمود آلوسي- آلوسي ،علي بن نعمان</w:t>
      </w:r>
    </w:p>
    <w:p>
      <w:pPr>
        <w:pStyle w:val="BookText"/>
      </w:pPr>
      <w:r>
        <w:rPr>
          <w:rFonts w:ascii="Amiri" w:hAnsi="Amiri" w:eastAsia="Amiri" w:cs="Amiri"/>
          <w:lang w:bidi="ar-SA"/>
          <w:color w:val="111111"/>
          <w:sz w:val="28"/>
          <w:szCs w:val="28"/>
          <w:rtl/>
        </w:rPr>
        <w:t xml:space="preserve">علي بن نوح حكيم اوغلي - حكيم اوغلي ،</w:t>
      </w:r>
    </w:p>
    <w:p>
      <w:pPr>
        <w:pStyle w:val="BookText"/>
      </w:pPr>
      <w:r>
        <w:rPr>
          <w:rFonts w:ascii="IRNazanin" w:hAnsi="IRNazanin" w:eastAsia="IRNazanin" w:cs="IRNazanin"/>
          <w:lang w:bidi="fa-IR"/>
          <w:color w:val="111111"/>
          <w:sz w:val="28"/>
          <w:szCs w:val="28"/>
          <w:rtl/>
        </w:rPr>
        <w:t xml:space="preserve">علی پاشا بن نوح</w:t>
      </w:r>
    </w:p>
    <w:p>
      <w:pPr>
        <w:pStyle w:val="BookText"/>
      </w:pPr>
      <w:r>
        <w:rPr>
          <w:rFonts w:ascii="Amiri" w:hAnsi="Amiri" w:eastAsia="Amiri" w:cs="Amiri"/>
          <w:lang w:bidi="ar-SA"/>
          <w:color w:val="111111"/>
          <w:sz w:val="28"/>
          <w:szCs w:val="28"/>
          <w:rtl/>
        </w:rPr>
        <w:t xml:space="preserve">علي بن وهاس- ابن وهاس ، علي بن حسن</w:t>
      </w:r>
    </w:p>
    <w:p>
      <w:pPr>
        <w:pStyle w:val="BookText"/>
      </w:pPr>
      <w:r>
        <w:rPr>
          <w:rFonts w:ascii="Amiri" w:hAnsi="Amiri" w:eastAsia="Amiri" w:cs="Amiri"/>
          <w:lang w:bidi="ar-SA"/>
          <w:color w:val="111111"/>
          <w:sz w:val="28"/>
          <w:szCs w:val="28"/>
          <w:rtl/>
        </w:rPr>
        <w:t xml:space="preserve">علي بن هبة الله بن علي ابن اثردي ، علي</w:t>
      </w:r>
    </w:p>
    <w:p>
      <w:pPr>
        <w:pStyle w:val="BookText"/>
      </w:pPr>
      <w:r>
        <w:rPr>
          <w:rFonts w:ascii="Amiri" w:hAnsi="Amiri" w:eastAsia="Amiri" w:cs="Amiri"/>
          <w:lang w:bidi="ar-SA"/>
          <w:color w:val="111111"/>
          <w:sz w:val="28"/>
          <w:szCs w:val="28"/>
          <w:rtl/>
        </w:rPr>
        <w:t xml:space="preserve">بن هبة الله</w:t>
      </w:r>
    </w:p>
    <w:p>
      <w:pPr>
        <w:pStyle w:val="BookText"/>
      </w:pPr>
      <w:r>
        <w:rPr>
          <w:rFonts w:ascii="Amiri" w:hAnsi="Amiri" w:eastAsia="Amiri" w:cs="Amiri"/>
          <w:lang w:bidi="ar-SA"/>
          <w:color w:val="111111"/>
          <w:sz w:val="28"/>
          <w:szCs w:val="28"/>
          <w:rtl/>
        </w:rPr>
        <w:t xml:space="preserve">علي بن هبة الله بن علي عجلي- ابن ماكولا</w:t>
      </w:r>
    </w:p>
    <w:p>
      <w:pPr>
        <w:pStyle w:val="BookText"/>
      </w:pPr>
      <w:r>
        <w:rPr>
          <w:rFonts w:ascii="Amiri" w:hAnsi="Amiri" w:eastAsia="Amiri" w:cs="Amiri"/>
          <w:lang w:bidi="ar-SA"/>
          <w:color w:val="111111"/>
          <w:sz w:val="28"/>
          <w:szCs w:val="28"/>
          <w:rtl/>
        </w:rPr>
        <w:t xml:space="preserve">، علي بن هبة الله</w:t>
      </w:r>
    </w:p>
    <w:p>
      <w:pPr>
        <w:pStyle w:val="BookText"/>
      </w:pPr>
      <w:r>
        <w:rPr>
          <w:rFonts w:ascii="Amiri" w:hAnsi="Amiri" w:eastAsia="Amiri" w:cs="Amiri"/>
          <w:lang w:bidi="ar-SA"/>
          <w:color w:val="111111"/>
          <w:sz w:val="28"/>
          <w:szCs w:val="28"/>
          <w:rtl/>
        </w:rPr>
        <w:t xml:space="preserve">علي بن هلال كاتب بغدادي -ابن بواب</w:t>
      </w:r>
    </w:p>
    <w:p>
      <w:pPr>
        <w:pStyle w:val="BookText"/>
      </w:pPr>
      <w:r>
        <w:rPr>
          <w:rFonts w:ascii="Amiri" w:hAnsi="Amiri" w:eastAsia="Amiri" w:cs="Amiri"/>
          <w:lang w:bidi="ar-SA"/>
          <w:color w:val="111111"/>
          <w:sz w:val="28"/>
          <w:szCs w:val="28"/>
          <w:rtl/>
        </w:rPr>
        <w:t xml:space="preserve">علي بن هلال</w:t>
      </w:r>
    </w:p>
    <w:p>
      <w:pPr>
        <w:pStyle w:val="BookText"/>
      </w:pPr>
      <w:r>
        <w:rPr>
          <w:rFonts w:ascii="Amiri" w:hAnsi="Amiri" w:eastAsia="Amiri" w:cs="Amiri"/>
          <w:lang w:bidi="ar-SA"/>
          <w:color w:val="111111"/>
          <w:sz w:val="28"/>
          <w:szCs w:val="28"/>
          <w:rtl/>
        </w:rPr>
        <w:t xml:space="preserve">علي بن هلال كركي عاملي- كركي ، علي بن</w:t>
      </w:r>
    </w:p>
    <w:p>
      <w:pPr>
        <w:pStyle w:val="BookText"/>
      </w:pPr>
      <w:r>
        <w:rPr>
          <w:rFonts w:ascii="IRNazanin" w:hAnsi="IRNazanin" w:eastAsia="IRNazanin" w:cs="IRNazanin"/>
          <w:lang w:bidi="fa-IR"/>
          <w:color w:val="111111"/>
          <w:sz w:val="28"/>
          <w:szCs w:val="28"/>
          <w:rtl/>
        </w:rPr>
        <w:t xml:space="preserve">هلال</w:t>
      </w:r>
    </w:p>
    <w:p>
      <w:pPr>
        <w:pStyle w:val="BookText"/>
      </w:pPr>
      <w:r>
        <w:rPr>
          <w:rFonts w:ascii="Amiri" w:hAnsi="Amiri" w:eastAsia="Amiri" w:cs="Amiri"/>
          <w:lang w:bidi="ar-SA"/>
          <w:color w:val="111111"/>
          <w:sz w:val="28"/>
          <w:szCs w:val="28"/>
          <w:rtl/>
        </w:rPr>
        <w:t xml:space="preserve">علي بن ياسر حسامي- حسامي ، علي بن</w:t>
      </w:r>
    </w:p>
    <w:p>
      <w:pPr>
        <w:pStyle w:val="BookText"/>
      </w:pPr>
      <w:r>
        <w:rPr>
          <w:rFonts w:ascii="Amiri" w:hAnsi="Amiri" w:eastAsia="Amiri" w:cs="Amiri"/>
          <w:lang w:bidi="ar-SA"/>
          <w:color w:val="111111"/>
          <w:sz w:val="28"/>
          <w:szCs w:val="28"/>
          <w:rtl/>
        </w:rPr>
        <w:t xml:space="preserve">ياسر</w:t>
      </w:r>
    </w:p>
    <w:p>
      <w:pPr>
        <w:pStyle w:val="BookText"/>
      </w:pPr>
      <w:r>
        <w:rPr>
          <w:rFonts w:ascii="Amiri" w:hAnsi="Amiri" w:eastAsia="Amiri" w:cs="Amiri"/>
          <w:lang w:bidi="ar-SA"/>
          <w:color w:val="111111"/>
          <w:sz w:val="28"/>
          <w:szCs w:val="28"/>
          <w:rtl/>
        </w:rPr>
        <w:t xml:space="preserve">علي بن ياسين طرابلسي- طرابلسي ، علي</w:t>
      </w:r>
    </w:p>
    <w:p>
      <w:pPr>
        <w:pStyle w:val="BookText"/>
      </w:pPr>
      <w:r>
        <w:rPr>
          <w:rFonts w:ascii="Amiri" w:hAnsi="Amiri" w:eastAsia="Amiri" w:cs="Amiri"/>
          <w:lang w:bidi="ar-SA"/>
          <w:color w:val="111111"/>
          <w:sz w:val="28"/>
          <w:szCs w:val="28"/>
          <w:rtl/>
        </w:rPr>
        <w:t xml:space="preserve">بن ياسين</w:t>
      </w:r>
    </w:p>
    <w:p>
      <w:pPr>
        <w:pStyle w:val="BookText"/>
      </w:pPr>
      <w:r>
        <w:rPr>
          <w:rFonts w:ascii="Amiri" w:hAnsi="Amiri" w:eastAsia="Amiri" w:cs="Amiri"/>
          <w:lang w:bidi="ar-SA"/>
          <w:color w:val="111111"/>
          <w:sz w:val="28"/>
          <w:szCs w:val="28"/>
          <w:rtl/>
        </w:rPr>
        <w:t xml:space="preserve">علي بن يحيى زيادي -زيادي ، علي بن يحيى</w:t>
      </w:r>
    </w:p>
    <w:p>
      <w:pPr>
        <w:pStyle w:val="BookText"/>
      </w:pPr>
      <w:r>
        <w:rPr>
          <w:rFonts w:ascii="Amiri" w:hAnsi="Amiri" w:eastAsia="Amiri" w:cs="Amiri"/>
          <w:lang w:bidi="ar-SA"/>
          <w:color w:val="111111"/>
          <w:sz w:val="28"/>
          <w:szCs w:val="28"/>
          <w:rtl/>
        </w:rPr>
        <w:t xml:space="preserve">علي بن يوسف بصروي- بصروي ، علي بن</w:t>
      </w:r>
    </w:p>
    <w:p>
      <w:pPr>
        <w:pStyle w:val="BookText"/>
      </w:pPr>
      <w:r>
        <w:rPr>
          <w:rFonts w:ascii="Amiri" w:hAnsi="Amiri" w:eastAsia="Amiri" w:cs="Amiri"/>
          <w:lang w:bidi="ar-SA"/>
          <w:color w:val="111111"/>
          <w:sz w:val="28"/>
          <w:szCs w:val="28"/>
          <w:rtl/>
        </w:rPr>
        <w:t xml:space="preserve">يوسف</w:t>
      </w:r>
    </w:p>
    <w:p>
      <w:pPr>
        <w:pStyle w:val="BookText"/>
      </w:pPr>
      <w:r>
        <w:rPr>
          <w:rFonts w:ascii="Amiri" w:hAnsi="Amiri" w:eastAsia="Amiri" w:cs="Amiri"/>
          <w:lang w:bidi="ar-SA"/>
          <w:color w:val="111111"/>
          <w:sz w:val="28"/>
          <w:szCs w:val="28"/>
          <w:rtl/>
        </w:rPr>
        <w:t xml:space="preserve">علي بن يوسف قفطي- قفطي ، علي بن يوسف</w:t>
      </w:r>
    </w:p>
    <w:p>
      <w:pPr>
        <w:pStyle w:val="BookText"/>
      </w:pPr>
      <w:r>
        <w:rPr>
          <w:rFonts w:ascii="IRNazanin" w:hAnsi="IRNazanin" w:eastAsia="IRNazanin" w:cs="IRNazanin"/>
          <w:lang w:bidi="fa-IR"/>
          <w:color w:val="111111"/>
          <w:sz w:val="28"/>
          <w:szCs w:val="28"/>
          <w:rtl/>
        </w:rPr>
        <w:t xml:space="preserve">علي بن يوسف كرگهري-كوكدي ، علي بن يوسف</w:t>
      </w:r>
    </w:p>
    <w:p>
      <w:pPr>
        <w:pStyle w:val="BookText"/>
      </w:pPr>
      <w:r>
        <w:rPr>
          <w:rFonts w:ascii="Amiri" w:hAnsi="Amiri" w:eastAsia="Amiri" w:cs="Amiri"/>
          <w:lang w:bidi="ar-SA"/>
          <w:color w:val="111111"/>
          <w:sz w:val="28"/>
          <w:szCs w:val="28"/>
          <w:rtl/>
        </w:rPr>
        <w:t xml:space="preserve">علي بن يوسف كوكدي -كوكدي ، علي بن يوسف</w:t>
      </w:r>
    </w:p>
    <w:p>
      <w:pPr>
        <w:pStyle w:val="BookText"/>
      </w:pPr>
      <w:r>
        <w:rPr>
          <w:rFonts w:ascii="Amiri" w:hAnsi="Amiri" w:eastAsia="Amiri" w:cs="Amiri"/>
          <w:lang w:bidi="ar-SA"/>
          <w:color w:val="111111"/>
          <w:sz w:val="28"/>
          <w:szCs w:val="28"/>
          <w:rtl/>
        </w:rPr>
        <w:t xml:space="preserve">علي بن يوسف نيلي -نيلي ، علي بن يوسف</w:t>
      </w:r>
    </w:p>
    <w:p>
      <w:pPr>
        <w:pStyle w:val="BookText"/>
      </w:pPr>
      <w:r>
        <w:rPr>
          <w:rFonts w:ascii="Amiri" w:hAnsi="Amiri" w:eastAsia="Amiri" w:cs="Amiri"/>
          <w:lang w:bidi="ar-SA"/>
          <w:color w:val="111111"/>
          <w:sz w:val="28"/>
          <w:szCs w:val="28"/>
          <w:rtl/>
        </w:rPr>
        <w:t xml:space="preserve">علي تبريزي -تبريزي ، علي</w:t>
      </w:r>
    </w:p>
    <w:p>
      <w:pPr>
        <w:pStyle w:val="BookText"/>
      </w:pPr>
      <w:r>
        <w:rPr>
          <w:rFonts w:ascii="Amiri" w:hAnsi="Amiri" w:eastAsia="Amiri" w:cs="Amiri"/>
          <w:lang w:bidi="ar-SA"/>
          <w:color w:val="111111"/>
          <w:sz w:val="28"/>
          <w:szCs w:val="28"/>
          <w:rtl/>
        </w:rPr>
        <w:t xml:space="preserve">علي ثاني ، سيد علي همداني- همداني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علي جان بن اسماعيل قوسي</w:t>
      </w:r>
    </w:p>
    <w:p>
      <w:pPr>
        <w:pStyle w:val="BookText"/>
      </w:pPr>
      <w:r>
        <w:rPr>
          <w:rFonts w:ascii="Amiri" w:hAnsi="Amiri" w:eastAsia="Amiri" w:cs="Amiri"/>
          <w:lang w:bidi="ar-SA"/>
          <w:color w:val="111111"/>
          <w:sz w:val="28"/>
          <w:szCs w:val="28"/>
          <w:rtl/>
        </w:rPr>
        <w:t xml:space="preserve">تبريزي -قوسي تبريزي ، علي جان بن اسماعيل</w:t>
      </w:r>
    </w:p>
    <w:p>
      <w:pPr>
        <w:pStyle w:val="BookText"/>
      </w:pPr>
      <w:r>
        <w:rPr>
          <w:rFonts w:ascii="Amiri" w:hAnsi="Amiri" w:eastAsia="Amiri" w:cs="Amiri"/>
          <w:lang w:bidi="ar-SA"/>
          <w:color w:val="111111"/>
          <w:sz w:val="28"/>
          <w:szCs w:val="28"/>
          <w:rtl/>
        </w:rPr>
        <w:t xml:space="preserve">علي جبوري-جبوري ، علي</w:t>
      </w:r>
    </w:p>
    <w:p>
      <w:pPr>
        <w:pStyle w:val="BookText"/>
      </w:pPr>
      <w:r>
        <w:rPr>
          <w:rFonts w:ascii="Amiri" w:hAnsi="Amiri" w:eastAsia="Amiri" w:cs="Amiri"/>
          <w:lang w:bidi="ar-SA"/>
          <w:color w:val="111111"/>
          <w:sz w:val="28"/>
          <w:szCs w:val="28"/>
          <w:rtl/>
        </w:rPr>
        <w:t xml:space="preserve">علي جفري روحي -جفري رومي ، علي</w:t>
      </w:r>
    </w:p>
    <w:p>
      <w:pPr>
        <w:pStyle w:val="Heading2"/>
      </w:pPr>
      <w:bookmarkStart w:id="6077" w:name="_Toc5179"/>
      <w:r>
        <w:t>عليجو قلخاني ، محمّد بن ابراهيم</w:t>
      </w:r>
      <w:bookmarkEnd w:id="6077"/>
    </w:p>
    <w:p>
      <w:pPr>
        <w:pStyle w:val="BookText"/>
      </w:pPr>
      <w:r>
        <w:rPr>
          <w:rFonts w:ascii="Amiri" w:hAnsi="Amiri" w:eastAsia="Amiri" w:cs="Amiri"/>
          <w:lang w:bidi="ar-SA"/>
          <w:color w:val="111111"/>
          <w:sz w:val="28"/>
          <w:szCs w:val="28"/>
          <w:rtl/>
        </w:rPr>
        <w:t xml:space="preserve">تذكرة الاخوان، ج4، ص 176.</w:t>
      </w:r>
    </w:p>
    <w:p>
      <w:pPr>
        <w:pStyle w:val="BookText"/>
      </w:pPr>
      <w:r>
        <w:rPr>
          <w:rFonts w:ascii="IRNazanin" w:hAnsi="IRNazanin" w:eastAsia="IRNazanin" w:cs="IRNazanin"/>
          <w:lang w:bidi="fa-IR"/>
          <w:color w:val="111111"/>
          <w:sz w:val="28"/>
          <w:szCs w:val="28"/>
          <w:rtl/>
        </w:rPr>
        <w:t xml:space="preserve">علي چلبي -قبالي زاده ، علي چلبي</w:t>
      </w:r>
    </w:p>
    <w:p>
      <w:pPr>
        <w:pStyle w:val="BookText"/>
      </w:pPr>
      <w:r>
        <w:rPr>
          <w:rFonts w:ascii="Amiri" w:hAnsi="Amiri" w:eastAsia="Amiri" w:cs="Amiri"/>
          <w:lang w:bidi="ar-SA"/>
          <w:color w:val="111111"/>
          <w:sz w:val="28"/>
          <w:szCs w:val="28"/>
          <w:rtl/>
        </w:rPr>
        <w:t xml:space="preserve">علي جلبي بن شريف الرومي -ابن شريف</w:t>
      </w:r>
    </w:p>
    <w:p>
      <w:pPr>
        <w:pStyle w:val="BookText"/>
      </w:pPr>
      <w:r>
        <w:rPr>
          <w:rFonts w:ascii="Amiri" w:hAnsi="Amiri" w:eastAsia="Amiri" w:cs="Amiri"/>
          <w:lang w:bidi="ar-SA"/>
          <w:color w:val="111111"/>
          <w:sz w:val="28"/>
          <w:szCs w:val="28"/>
          <w:rtl/>
        </w:rPr>
        <w:t xml:space="preserve">، علي بن شريف</w:t>
      </w:r>
    </w:p>
    <w:p>
      <w:pPr>
        <w:pStyle w:val="BookText"/>
      </w:pPr>
      <w:r>
        <w:rPr>
          <w:rFonts w:ascii="IRNazanin" w:hAnsi="IRNazanin" w:eastAsia="IRNazanin" w:cs="IRNazanin"/>
          <w:lang w:bidi="fa-IR"/>
          <w:color w:val="111111"/>
          <w:sz w:val="28"/>
          <w:szCs w:val="28"/>
          <w:rtl/>
        </w:rPr>
        <w:t xml:space="preserve">علي چلبي قبالوزاده- قبالي زاده ، علي</w:t>
      </w:r>
    </w:p>
    <w:p>
      <w:pPr>
        <w:pStyle w:val="BookText"/>
      </w:pPr>
      <w:r>
        <w:rPr>
          <w:rFonts w:ascii="IRNazanin" w:hAnsi="IRNazanin" w:eastAsia="IRNazanin" w:cs="IRNazanin"/>
          <w:lang w:bidi="fa-IR"/>
          <w:color w:val="111111"/>
          <w:sz w:val="28"/>
          <w:szCs w:val="28"/>
          <w:rtl/>
        </w:rPr>
        <w:t xml:space="preserve">چلبي</w:t>
      </w:r>
    </w:p>
    <w:p>
      <w:pPr>
        <w:pStyle w:val="Heading2"/>
      </w:pPr>
      <w:bookmarkStart w:id="6078" w:name="_Toc5180"/>
      <w:r>
        <w:t>علي حامد بن عمر</w:t>
      </w:r>
      <w:bookmarkEnd w:id="6078"/>
    </w:p>
    <w:p>
      <w:pPr>
        <w:pStyle w:val="BookText"/>
      </w:pPr>
      <w:r>
        <w:rPr>
          <w:rFonts w:ascii="Amiri" w:hAnsi="Amiri" w:eastAsia="Amiri" w:cs="Amiri"/>
          <w:lang w:bidi="ar-SA"/>
          <w:color w:val="111111"/>
          <w:sz w:val="28"/>
          <w:szCs w:val="28"/>
          <w:rtl/>
        </w:rPr>
        <w:t xml:space="preserve">حواشي على شرح سعد الله الصغرى</w:t>
      </w:r>
    </w:p>
    <w:p>
      <w:pPr>
        <w:pStyle w:val="BookText"/>
      </w:pPr>
      <w:r>
        <w:rPr>
          <w:rFonts w:ascii="IRNazanin" w:hAnsi="IRNazanin" w:eastAsia="IRNazanin" w:cs="IRNazanin"/>
          <w:lang w:bidi="fa-IR"/>
          <w:color w:val="111111"/>
          <w:sz w:val="28"/>
          <w:szCs w:val="28"/>
          <w:rtl/>
        </w:rPr>
        <w:t xml:space="preserve">ج 6، ص 837.</w:t>
      </w:r>
    </w:p>
    <w:p>
      <w:pPr>
        <w:pStyle w:val="BookText"/>
      </w:pPr>
      <w:r>
        <w:rPr>
          <w:rFonts w:ascii="Amiri" w:hAnsi="Amiri" w:eastAsia="Amiri" w:cs="Amiri"/>
          <w:lang w:bidi="ar-SA"/>
          <w:color w:val="111111"/>
          <w:sz w:val="28"/>
          <w:szCs w:val="28"/>
          <w:rtl/>
        </w:rPr>
        <w:t xml:space="preserve">علي حلواني -حلواني ، محمود علي بن</w:t>
      </w:r>
    </w:p>
    <w:p>
      <w:pPr>
        <w:pStyle w:val="BookText"/>
      </w:pPr>
      <w:r>
        <w:rPr>
          <w:rFonts w:ascii="IRNazanin" w:hAnsi="IRNazanin" w:eastAsia="IRNazanin" w:cs="IRNazanin"/>
          <w:lang w:bidi="fa-IR"/>
          <w:color w:val="111111"/>
          <w:sz w:val="28"/>
          <w:szCs w:val="28"/>
          <w:rtl/>
        </w:rPr>
        <w:t xml:space="preserve">منصور</w:t>
      </w:r>
    </w:p>
    <w:p>
      <w:pPr>
        <w:pStyle w:val="BookText"/>
      </w:pPr>
      <w:r>
        <w:rPr>
          <w:rFonts w:ascii="Amiri" w:hAnsi="Amiri" w:eastAsia="Amiri" w:cs="Amiri"/>
          <w:lang w:bidi="ar-SA"/>
          <w:color w:val="111111"/>
          <w:sz w:val="28"/>
          <w:szCs w:val="28"/>
          <w:rtl/>
        </w:rPr>
        <w:t xml:space="preserve">علي خليلي- خليلي ، علي</w:t>
      </w:r>
    </w:p>
    <w:p>
      <w:pPr>
        <w:pStyle w:val="BookText"/>
      </w:pPr>
      <w:r>
        <w:rPr>
          <w:rFonts w:ascii="Amiri" w:hAnsi="Amiri" w:eastAsia="Amiri" w:cs="Amiri"/>
          <w:lang w:bidi="ar-SA"/>
          <w:color w:val="111111"/>
          <w:sz w:val="28"/>
          <w:szCs w:val="28"/>
          <w:rtl/>
        </w:rPr>
        <w:t xml:space="preserve">علي خوانساري همداني- خوانساري</w:t>
      </w:r>
    </w:p>
    <w:p>
      <w:pPr>
        <w:pStyle w:val="BookText"/>
      </w:pPr>
      <w:r>
        <w:rPr>
          <w:rFonts w:ascii="Amiri" w:hAnsi="Amiri" w:eastAsia="Amiri" w:cs="Amiri"/>
          <w:lang w:bidi="ar-SA"/>
          <w:color w:val="111111"/>
          <w:sz w:val="28"/>
          <w:szCs w:val="28"/>
          <w:rtl/>
        </w:rPr>
        <w:t xml:space="preserve">همداني ، مولى علي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02" w:name="pg7742_70868"/>
    <w:bookmarkEnd w:id="802"/>
    <w:p>
      <w:pPr>
        <w:pStyle w:val="BookText"/>
      </w:pPr>
      <w:r>
        <w:rPr>
          <w:rFonts w:ascii="Amiri" w:hAnsi="Amiri" w:eastAsia="Amiri" w:cs="Amiri"/>
          <w:lang w:bidi="ar-SA"/>
          <w:color w:val="111111"/>
          <w:sz w:val="28"/>
          <w:szCs w:val="28"/>
          <w:rtl/>
        </w:rPr>
        <w:t xml:space="preserve">علي دده بن مصطفى بن علاء الدين موستاري سكتواري -موستاري ، علي دده بن</w:t>
      </w:r>
    </w:p>
    <w:p>
      <w:pPr>
        <w:pStyle w:val="BookText"/>
      </w:pPr>
      <w:r>
        <w:rPr>
          <w:rFonts w:ascii="IRNazanin" w:hAnsi="IRNazanin" w:eastAsia="IRNazanin" w:cs="IRNazanin"/>
          <w:lang w:bidi="fa-IR"/>
          <w:color w:val="111111"/>
          <w:sz w:val="28"/>
          <w:szCs w:val="28"/>
          <w:rtl/>
        </w:rPr>
        <w:t xml:space="preserve">مصطفى</w:t>
      </w:r>
    </w:p>
    <w:p>
      <w:pPr>
        <w:pStyle w:val="BookText"/>
      </w:pPr>
      <w:r>
        <w:rPr>
          <w:rFonts w:ascii="Amiri" w:hAnsi="Amiri" w:eastAsia="Amiri" w:cs="Amiri"/>
          <w:lang w:bidi="ar-SA"/>
          <w:color w:val="111111"/>
          <w:sz w:val="28"/>
          <w:szCs w:val="28"/>
          <w:rtl/>
        </w:rPr>
        <w:t xml:space="preserve">علي درويش- درويش ، علي</w:t>
      </w:r>
    </w:p>
    <w:p>
      <w:pPr>
        <w:pStyle w:val="BookText"/>
      </w:pPr>
      <w:r>
        <w:rPr>
          <w:rFonts w:ascii="Amiri" w:hAnsi="Amiri" w:eastAsia="Amiri" w:cs="Amiri"/>
          <w:lang w:bidi="ar-SA"/>
          <w:color w:val="111111"/>
          <w:sz w:val="28"/>
          <w:szCs w:val="28"/>
          <w:rtl/>
        </w:rPr>
        <w:t xml:space="preserve">علي درويش -درويش ، علي بن حسن</w:t>
      </w:r>
    </w:p>
    <w:p>
      <w:pPr>
        <w:pStyle w:val="BookText"/>
      </w:pPr>
      <w:r>
        <w:rPr>
          <w:rFonts w:ascii="IRNazanin" w:hAnsi="IRNazanin" w:eastAsia="IRNazanin" w:cs="IRNazanin"/>
          <w:lang w:bidi="fa-IR"/>
          <w:color w:val="111111"/>
          <w:sz w:val="28"/>
          <w:szCs w:val="28"/>
          <w:rtl/>
        </w:rPr>
        <w:t xml:space="preserve">علي درويش برهان- درویش برهان ، علي</w:t>
      </w:r>
    </w:p>
    <w:p>
      <w:pPr>
        <w:pStyle w:val="BookText"/>
      </w:pPr>
      <w:r>
        <w:rPr>
          <w:rFonts w:ascii="Amiri" w:hAnsi="Amiri" w:eastAsia="Amiri" w:cs="Amiri"/>
          <w:lang w:bidi="ar-SA"/>
          <w:color w:val="111111"/>
          <w:sz w:val="28"/>
          <w:szCs w:val="28"/>
          <w:rtl/>
        </w:rPr>
        <w:t xml:space="preserve">بن ابراهيم</w:t>
      </w:r>
    </w:p>
    <w:p>
      <w:pPr>
        <w:pStyle w:val="Heading2"/>
      </w:pPr>
      <w:bookmarkStart w:id="6079" w:name="_Toc5181"/>
      <w:r>
        <w:t>عليرضا قرن 12 ه-</w:t>
      </w:r>
      <w:bookmarkEnd w:id="6079"/>
    </w:p>
    <w:p>
      <w:pPr>
        <w:pStyle w:val="BookText"/>
      </w:pPr>
      <w:r>
        <w:rPr>
          <w:rFonts w:ascii="Amiri" w:hAnsi="Amiri" w:eastAsia="Amiri" w:cs="Amiri"/>
          <w:lang w:bidi="ar-SA"/>
          <w:color w:val="111111"/>
          <w:sz w:val="28"/>
          <w:szCs w:val="28"/>
          <w:rtl/>
        </w:rPr>
        <w:t xml:space="preserve">حاشية حاشية ملا عبد الله، ج5، ص 850.</w:t>
      </w:r>
    </w:p>
    <w:p>
      <w:pPr>
        <w:pStyle w:val="Heading2"/>
      </w:pPr>
      <w:bookmarkStart w:id="6080" w:name="_Toc5182"/>
      <w:r>
        <w:t>عليرضا بن قربانعلي</w:t>
      </w:r>
      <w:bookmarkEnd w:id="6080"/>
    </w:p>
    <w:p>
      <w:pPr>
        <w:pStyle w:val="BookText"/>
      </w:pPr>
      <w:r>
        <w:rPr>
          <w:rFonts w:ascii="Amiri" w:hAnsi="Amiri" w:eastAsia="Amiri" w:cs="Amiri"/>
          <w:lang w:bidi="ar-SA"/>
          <w:color w:val="111111"/>
          <w:sz w:val="28"/>
          <w:szCs w:val="28"/>
          <w:rtl/>
        </w:rPr>
        <w:t xml:space="preserve">تحفة الزائر منتخب، ج3، ص 842.</w:t>
      </w:r>
    </w:p>
    <w:p>
      <w:pPr>
        <w:pStyle w:val="BookText"/>
      </w:pPr>
      <w:r>
        <w:rPr>
          <w:rFonts w:ascii="Amiri" w:hAnsi="Amiri" w:eastAsia="Amiri" w:cs="Amiri"/>
          <w:lang w:bidi="ar-SA"/>
          <w:color w:val="111111"/>
          <w:sz w:val="28"/>
          <w:szCs w:val="28"/>
          <w:rtl/>
        </w:rPr>
        <w:t xml:space="preserve">علي رضا بن يوسف ضيا مغلوي- ضيا</w:t>
      </w:r>
    </w:p>
    <w:p>
      <w:pPr>
        <w:pStyle w:val="BookText"/>
      </w:pPr>
      <w:r>
        <w:rPr>
          <w:rFonts w:ascii="Amiri" w:hAnsi="Amiri" w:eastAsia="Amiri" w:cs="Amiri"/>
          <w:lang w:bidi="ar-SA"/>
          <w:color w:val="111111"/>
          <w:sz w:val="28"/>
          <w:szCs w:val="28"/>
          <w:rtl/>
        </w:rPr>
        <w:t xml:space="preserve">مغلوي ، علي رضا بن يوسف</w:t>
      </w:r>
    </w:p>
    <w:p>
      <w:pPr>
        <w:pStyle w:val="BookText"/>
      </w:pPr>
      <w:r>
        <w:rPr>
          <w:rFonts w:ascii="Amiri" w:hAnsi="Amiri" w:eastAsia="Amiri" w:cs="Amiri"/>
          <w:lang w:bidi="ar-SA"/>
          <w:color w:val="111111"/>
          <w:sz w:val="28"/>
          <w:szCs w:val="28"/>
          <w:rtl/>
        </w:rPr>
        <w:t xml:space="preserve">علي رضا جاري -جاري ، علي رضا</w:t>
      </w:r>
    </w:p>
    <w:p>
      <w:pPr>
        <w:pStyle w:val="BookText"/>
      </w:pPr>
      <w:r>
        <w:rPr>
          <w:rFonts w:ascii="Amiri" w:hAnsi="Amiri" w:eastAsia="Amiri" w:cs="Amiri"/>
          <w:lang w:bidi="ar-SA"/>
          <w:color w:val="111111"/>
          <w:sz w:val="28"/>
          <w:szCs w:val="28"/>
          <w:rtl/>
        </w:rPr>
        <w:t xml:space="preserve">علي رمضاني- رمضاني ، علي</w:t>
      </w:r>
    </w:p>
    <w:p>
      <w:pPr>
        <w:pStyle w:val="BookText"/>
      </w:pPr>
      <w:r>
        <w:rPr>
          <w:rFonts w:ascii="Amiri" w:hAnsi="Amiri" w:eastAsia="Amiri" w:cs="Amiri"/>
          <w:lang w:bidi="ar-SA"/>
          <w:color w:val="111111"/>
          <w:sz w:val="28"/>
          <w:szCs w:val="28"/>
          <w:rtl/>
        </w:rPr>
        <w:t xml:space="preserve">علي زاده ، يعقوب بن علي- بلخي</w:t>
      </w:r>
    </w:p>
    <w:p>
      <w:pPr>
        <w:pStyle w:val="BookText"/>
      </w:pPr>
      <w:r>
        <w:rPr>
          <w:rFonts w:ascii="Amiri" w:hAnsi="Amiri" w:eastAsia="Amiri" w:cs="Amiri"/>
          <w:lang w:bidi="ar-SA"/>
          <w:color w:val="111111"/>
          <w:sz w:val="28"/>
          <w:szCs w:val="28"/>
          <w:rtl/>
        </w:rPr>
        <w:t xml:space="preserve">يعقوب بن علي</w:t>
      </w:r>
    </w:p>
    <w:p>
      <w:pPr>
        <w:pStyle w:val="BookText"/>
      </w:pPr>
      <w:r>
        <w:rPr>
          <w:rFonts w:ascii="Amiri" w:hAnsi="Amiri" w:eastAsia="Amiri" w:cs="Amiri"/>
          <w:lang w:bidi="ar-SA"/>
          <w:color w:val="111111"/>
          <w:sz w:val="28"/>
          <w:szCs w:val="28"/>
          <w:rtl/>
        </w:rPr>
        <w:t xml:space="preserve">علي زين الدين -شيخ علي زين الدين</w:t>
      </w:r>
    </w:p>
    <w:p>
      <w:pPr>
        <w:pStyle w:val="BookText"/>
      </w:pPr>
      <w:r>
        <w:rPr>
          <w:rFonts w:ascii="IRNazanin" w:hAnsi="IRNazanin" w:eastAsia="IRNazanin" w:cs="IRNazanin"/>
          <w:lang w:bidi="fa-IR"/>
          <w:color w:val="111111"/>
          <w:sz w:val="28"/>
          <w:szCs w:val="28"/>
          <w:rtl/>
        </w:rPr>
        <w:t xml:space="preserve">علي سبط ابن الفارض - سبط ابن الفارض ، علی</w:t>
      </w:r>
    </w:p>
    <w:p>
      <w:pPr>
        <w:pStyle w:val="BookText"/>
      </w:pPr>
      <w:r>
        <w:rPr>
          <w:rFonts w:ascii="IRNazanin" w:hAnsi="IRNazanin" w:eastAsia="IRNazanin" w:cs="IRNazanin"/>
          <w:lang w:bidi="fa-IR"/>
          <w:color w:val="111111"/>
          <w:sz w:val="28"/>
          <w:szCs w:val="28"/>
          <w:rtl/>
        </w:rPr>
        <w:t xml:space="preserve">عليشاه بخاري- بخاري خوارزمي ، علیشاه بن محمّد</w:t>
      </w:r>
    </w:p>
    <w:p>
      <w:pPr>
        <w:pStyle w:val="BookText"/>
      </w:pPr>
      <w:r>
        <w:rPr>
          <w:rFonts w:ascii="IRNazanin" w:hAnsi="IRNazanin" w:eastAsia="IRNazanin" w:cs="IRNazanin"/>
          <w:lang w:bidi="fa-IR"/>
          <w:color w:val="111111"/>
          <w:sz w:val="28"/>
          <w:szCs w:val="28"/>
          <w:rtl/>
        </w:rPr>
        <w:t xml:space="preserve">علیشاه بن محمّد خوارزمي- بخاري خوارزمي ، علیشاه بن محمّد</w:t>
      </w:r>
    </w:p>
    <w:p>
      <w:pPr>
        <w:pStyle w:val="BookText"/>
      </w:pPr>
      <w:r>
        <w:rPr>
          <w:rFonts w:ascii="Amiri" w:hAnsi="Amiri" w:eastAsia="Amiri" w:cs="Amiri"/>
          <w:lang w:bidi="ar-SA"/>
          <w:color w:val="111111"/>
          <w:sz w:val="28"/>
          <w:szCs w:val="28"/>
          <w:rtl/>
        </w:rPr>
        <w:t xml:space="preserve">عليشير نوائي- امير عليشير نوائي ، عليشير</w:t>
      </w:r>
    </w:p>
    <w:p>
      <w:pPr>
        <w:pStyle w:val="BookText"/>
      </w:pPr>
      <w:r>
        <w:rPr>
          <w:rFonts w:ascii="IRNazanin" w:hAnsi="IRNazanin" w:eastAsia="IRNazanin" w:cs="IRNazanin"/>
          <w:lang w:bidi="fa-IR"/>
          <w:color w:val="111111"/>
          <w:sz w:val="28"/>
          <w:szCs w:val="28"/>
          <w:rtl/>
        </w:rPr>
        <w:t xml:space="preserve">بن کیچکنه</w:t>
      </w:r>
    </w:p>
    <w:p>
      <w:pPr>
        <w:pStyle w:val="BookText"/>
      </w:pPr>
      <w:r>
        <w:rPr>
          <w:rFonts w:ascii="Amiri" w:hAnsi="Amiri" w:eastAsia="Amiri" w:cs="Amiri"/>
          <w:lang w:bidi="ar-SA"/>
          <w:color w:val="111111"/>
          <w:sz w:val="28"/>
          <w:szCs w:val="28"/>
          <w:rtl/>
        </w:rPr>
        <w:t xml:space="preserve">علي طباطبائي - طباطبائي ، علي</w:t>
      </w:r>
    </w:p>
    <w:p>
      <w:pPr>
        <w:pStyle w:val="BookText"/>
      </w:pPr>
      <w:r>
        <w:rPr>
          <w:rFonts w:ascii="Amiri" w:hAnsi="Amiri" w:eastAsia="Amiri" w:cs="Amiri"/>
          <w:lang w:bidi="ar-SA"/>
          <w:color w:val="111111"/>
          <w:sz w:val="28"/>
          <w:szCs w:val="28"/>
          <w:rtl/>
        </w:rPr>
        <w:t xml:space="preserve">علي طيبي كراديسي- طيبي كراديسي ، علي</w:t>
      </w:r>
    </w:p>
    <w:p>
      <w:pPr>
        <w:pStyle w:val="Heading2"/>
      </w:pPr>
      <w:bookmarkStart w:id="6081" w:name="_Toc5183"/>
      <w:r>
        <w:t>علي عثمان</w:t>
      </w:r>
      <w:bookmarkEnd w:id="6081"/>
    </w:p>
    <w:p>
      <w:pPr>
        <w:pStyle w:val="BookText"/>
      </w:pPr>
      <w:r>
        <w:rPr>
          <w:rFonts w:ascii="IRNazanin" w:hAnsi="IRNazanin" w:eastAsia="IRNazanin" w:cs="IRNazanin"/>
          <w:lang w:bidi="fa-IR"/>
          <w:color w:val="111111"/>
          <w:sz w:val="28"/>
          <w:szCs w:val="28"/>
          <w:rtl/>
        </w:rPr>
        <w:t xml:space="preserve">اقتصاد زراعیدان سیقورطه لر و</w:t>
      </w:r>
    </w:p>
    <w:p>
      <w:pPr>
        <w:pStyle w:val="BookText"/>
      </w:pPr>
      <w:r>
        <w:rPr>
          <w:rFonts w:ascii="IRNazanin" w:hAnsi="IRNazanin" w:eastAsia="IRNazanin" w:cs="IRNazanin"/>
          <w:lang w:bidi="fa-IR"/>
          <w:color w:val="111111"/>
          <w:sz w:val="28"/>
          <w:szCs w:val="28"/>
          <w:rtl/>
        </w:rPr>
        <w:t xml:space="preserve">سائره، ج 2، ص 614.</w:t>
      </w:r>
    </w:p>
    <w:p>
      <w:pPr>
        <w:pStyle w:val="BookText"/>
      </w:pPr>
      <w:r>
        <w:rPr>
          <w:rFonts w:ascii="Amiri" w:hAnsi="Amiri" w:eastAsia="Amiri" w:cs="Amiri"/>
          <w:lang w:bidi="ar-SA"/>
          <w:color w:val="111111"/>
          <w:sz w:val="28"/>
          <w:szCs w:val="28"/>
          <w:rtl/>
        </w:rPr>
        <w:t xml:space="preserve">علي عدوي -عدوي ، علي</w:t>
      </w:r>
    </w:p>
    <w:p>
      <w:pPr>
        <w:pStyle w:val="BookText"/>
      </w:pPr>
      <w:r>
        <w:rPr>
          <w:rFonts w:ascii="Amiri" w:hAnsi="Amiri" w:eastAsia="Amiri" w:cs="Amiri"/>
          <w:lang w:bidi="ar-SA"/>
          <w:color w:val="111111"/>
          <w:sz w:val="28"/>
          <w:szCs w:val="28"/>
          <w:rtl/>
        </w:rPr>
        <w:t xml:space="preserve">علي عرفي بن عبدالله- عرفي ، علي بن عبدالله</w:t>
      </w:r>
    </w:p>
    <w:p>
      <w:pPr>
        <w:pStyle w:val="Heading2"/>
      </w:pPr>
      <w:bookmarkStart w:id="6082" w:name="_Toc5184"/>
      <w:r>
        <w:t>علي عطية قرن 13 ه-</w:t>
      </w:r>
      <w:bookmarkEnd w:id="6082"/>
    </w:p>
    <w:p>
      <w:pPr>
        <w:pStyle w:val="BookText"/>
      </w:pPr>
      <w:r>
        <w:rPr>
          <w:rFonts w:ascii="Amiri" w:hAnsi="Amiri" w:eastAsia="Amiri" w:cs="Amiri"/>
          <w:lang w:bidi="ar-SA"/>
          <w:color w:val="111111"/>
          <w:sz w:val="28"/>
          <w:szCs w:val="28"/>
          <w:rtl/>
        </w:rPr>
        <w:t xml:space="preserve">نزهة الافكار و الاسماع بشرح خطبة ابن قاسم الغزي على ابن شجاع، ج 16، ص 222.</w:t>
      </w:r>
    </w:p>
    <w:p>
      <w:pPr>
        <w:pStyle w:val="BookText"/>
      </w:pPr>
      <w:r>
        <w:rPr>
          <w:rFonts w:ascii="Amiri" w:hAnsi="Amiri" w:eastAsia="Amiri" w:cs="Amiri"/>
          <w:lang w:bidi="ar-SA"/>
          <w:color w:val="111111"/>
          <w:sz w:val="28"/>
          <w:szCs w:val="28"/>
          <w:rtl/>
        </w:rPr>
        <w:t xml:space="preserve">علي عمادي -عمادي ، علي</w:t>
      </w:r>
    </w:p>
    <w:p>
      <w:pPr>
        <w:pStyle w:val="BookText"/>
      </w:pPr>
      <w:r>
        <w:rPr>
          <w:rFonts w:ascii="IRNazanin" w:hAnsi="IRNazanin" w:eastAsia="IRNazanin" w:cs="IRNazanin"/>
          <w:lang w:bidi="fa-IR"/>
          <w:color w:val="111111"/>
          <w:sz w:val="28"/>
          <w:szCs w:val="28"/>
          <w:rtl/>
        </w:rPr>
        <w:t xml:space="preserve">علي فضلي چلبي- قره فضلي ، علي</w:t>
      </w:r>
    </w:p>
    <w:p>
      <w:pPr>
        <w:pStyle w:val="BookText"/>
      </w:pPr>
      <w:r>
        <w:rPr>
          <w:rFonts w:ascii="Amiri" w:hAnsi="Amiri" w:eastAsia="Amiri" w:cs="Amiri"/>
          <w:lang w:bidi="ar-SA"/>
          <w:color w:val="111111"/>
          <w:sz w:val="28"/>
          <w:szCs w:val="28"/>
          <w:rtl/>
        </w:rPr>
        <w:t xml:space="preserve">علي فنائي اصفهاني- فناني اصفهاني ، علي</w:t>
      </w:r>
    </w:p>
    <w:p>
      <w:pPr>
        <w:pStyle w:val="BookText"/>
      </w:pPr>
      <w:r>
        <w:rPr>
          <w:rFonts w:ascii="Amiri" w:hAnsi="Amiri" w:eastAsia="Amiri" w:cs="Amiri"/>
          <w:lang w:bidi="ar-SA"/>
          <w:color w:val="111111"/>
          <w:sz w:val="28"/>
          <w:szCs w:val="28"/>
          <w:rtl/>
        </w:rPr>
        <w:t xml:space="preserve">علي قادري بن سليمان بن مصطفى -قادري ، علي بن سليمان بن مصطفى</w:t>
      </w:r>
    </w:p>
    <w:p>
      <w:pPr>
        <w:pStyle w:val="BookText"/>
      </w:pPr>
      <w:r>
        <w:rPr>
          <w:rFonts w:ascii="Amiri" w:hAnsi="Amiri" w:eastAsia="Amiri" w:cs="Amiri"/>
          <w:lang w:bidi="ar-SA"/>
          <w:color w:val="111111"/>
          <w:sz w:val="28"/>
          <w:szCs w:val="28"/>
          <w:rtl/>
        </w:rPr>
        <w:t xml:space="preserve">علي قادري نقشبندي بغدادي- قادري نقشبندي ، علي</w:t>
      </w:r>
    </w:p>
    <w:p>
      <w:pPr>
        <w:pStyle w:val="BookText"/>
      </w:pPr>
      <w:r>
        <w:rPr>
          <w:rFonts w:ascii="Amiri" w:hAnsi="Amiri" w:eastAsia="Amiri" w:cs="Amiri"/>
          <w:lang w:bidi="ar-SA"/>
          <w:color w:val="111111"/>
          <w:sz w:val="28"/>
          <w:szCs w:val="28"/>
          <w:rtl/>
        </w:rPr>
        <w:t xml:space="preserve">علي قزويني خوئيني حائري -قزويني</w:t>
      </w:r>
    </w:p>
    <w:p>
      <w:pPr>
        <w:pStyle w:val="BookText"/>
      </w:pPr>
      <w:r>
        <w:rPr>
          <w:rFonts w:ascii="Amiri" w:hAnsi="Amiri" w:eastAsia="Amiri" w:cs="Amiri"/>
          <w:lang w:bidi="ar-SA"/>
          <w:color w:val="111111"/>
          <w:sz w:val="28"/>
          <w:szCs w:val="28"/>
          <w:rtl/>
        </w:rPr>
        <w:t xml:space="preserve">خوئيني ، ملاعلي</w:t>
      </w:r>
    </w:p>
    <w:p>
      <w:pPr>
        <w:pStyle w:val="BookText"/>
      </w:pPr>
      <w:r>
        <w:rPr>
          <w:rFonts w:ascii="Amiri" w:hAnsi="Amiri" w:eastAsia="Amiri" w:cs="Amiri"/>
          <w:lang w:bidi="ar-SA"/>
          <w:color w:val="111111"/>
          <w:sz w:val="28"/>
          <w:szCs w:val="28"/>
          <w:rtl/>
        </w:rPr>
        <w:t xml:space="preserve">علي قزويني- قزويني ، علي</w:t>
      </w:r>
    </w:p>
    <w:p>
      <w:pPr>
        <w:pStyle w:val="BookText"/>
      </w:pPr>
      <w:r>
        <w:rPr>
          <w:rFonts w:ascii="Amiri" w:hAnsi="Amiri" w:eastAsia="Amiri" w:cs="Amiri"/>
          <w:lang w:bidi="ar-SA"/>
          <w:color w:val="111111"/>
          <w:sz w:val="28"/>
          <w:szCs w:val="28"/>
          <w:rtl/>
        </w:rPr>
        <w:t xml:space="preserve">عليقلي بن فتحعلي شاه قاجار -اعتضاد السلطنه ، عليقلي بن فتحعلي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03" w:name="pg7742_70870"/>
    <w:bookmarkEnd w:id="803"/>
    <w:p>
      <w:pPr>
        <w:pStyle w:val="BookText"/>
      </w:pPr>
      <w:r>
        <w:rPr>
          <w:rFonts w:ascii="IRNazanin" w:hAnsi="IRNazanin" w:eastAsia="IRNazanin" w:cs="IRNazanin"/>
          <w:lang w:bidi="fa-IR"/>
          <w:color w:val="111111"/>
          <w:sz w:val="28"/>
          <w:szCs w:val="28"/>
          <w:rtl/>
        </w:rPr>
        <w:t xml:space="preserve">عليقلي بن قره چغاي -خان قمي ، عليقلي بن قره چغاي</w:t>
      </w:r>
    </w:p>
    <w:p>
      <w:pPr>
        <w:pStyle w:val="BookText"/>
      </w:pPr>
      <w:r>
        <w:rPr>
          <w:rFonts w:ascii="Amiri" w:hAnsi="Amiri" w:eastAsia="Amiri" w:cs="Amiri"/>
          <w:lang w:bidi="ar-SA"/>
          <w:color w:val="111111"/>
          <w:sz w:val="28"/>
          <w:szCs w:val="28"/>
          <w:rtl/>
        </w:rPr>
        <w:t xml:space="preserve">عليقلي جديد الاسلام -جديد الاسلام ، علي</w:t>
      </w:r>
    </w:p>
    <w:p>
      <w:pPr>
        <w:pStyle w:val="BookText"/>
      </w:pPr>
      <w:r>
        <w:rPr>
          <w:rFonts w:ascii="Amiri" w:hAnsi="Amiri" w:eastAsia="Amiri" w:cs="Amiri"/>
          <w:lang w:bidi="ar-SA"/>
          <w:color w:val="111111"/>
          <w:sz w:val="28"/>
          <w:szCs w:val="28"/>
          <w:rtl/>
        </w:rPr>
        <w:t xml:space="preserve">قلي بن محمّد</w:t>
      </w:r>
    </w:p>
    <w:p>
      <w:pPr>
        <w:pStyle w:val="BookText"/>
      </w:pPr>
      <w:r>
        <w:rPr>
          <w:rFonts w:ascii="Amiri" w:hAnsi="Amiri" w:eastAsia="Amiri" w:cs="Amiri"/>
          <w:lang w:bidi="ar-SA"/>
          <w:color w:val="111111"/>
          <w:sz w:val="28"/>
          <w:szCs w:val="28"/>
          <w:rtl/>
        </w:rPr>
        <w:t xml:space="preserve">عليقلي ميرزا</w:t>
      </w:r>
    </w:p>
    <w:p>
      <w:pPr>
        <w:pStyle w:val="BookText"/>
      </w:pPr>
      <w:r>
        <w:rPr>
          <w:rFonts w:ascii="Amiri" w:hAnsi="Amiri" w:eastAsia="Amiri" w:cs="Amiri"/>
          <w:lang w:bidi="ar-SA"/>
          <w:color w:val="111111"/>
          <w:sz w:val="28"/>
          <w:szCs w:val="28"/>
          <w:rtl/>
        </w:rPr>
        <w:t xml:space="preserve">اعتضادالسلطنه- اعتضادالسلطنه ، عليقلي بن فتحعلي</w:t>
      </w:r>
    </w:p>
    <w:p>
      <w:pPr>
        <w:pStyle w:val="BookText"/>
      </w:pPr>
      <w:r>
        <w:rPr>
          <w:rFonts w:ascii="Amiri" w:hAnsi="Amiri" w:eastAsia="Amiri" w:cs="Amiri"/>
          <w:lang w:bidi="ar-SA"/>
          <w:color w:val="111111"/>
          <w:sz w:val="28"/>
          <w:szCs w:val="28"/>
          <w:rtl/>
        </w:rPr>
        <w:t xml:space="preserve">علي كرماني -عماد فقيه ، علي بن محمود</w:t>
      </w:r>
    </w:p>
    <w:p>
      <w:pPr>
        <w:pStyle w:val="BookText"/>
      </w:pPr>
      <w:r>
        <w:rPr>
          <w:rFonts w:ascii="IRNazanin" w:hAnsi="IRNazanin" w:eastAsia="IRNazanin" w:cs="IRNazanin"/>
          <w:lang w:bidi="fa-IR"/>
          <w:color w:val="111111"/>
          <w:sz w:val="28"/>
          <w:szCs w:val="28"/>
          <w:rtl/>
        </w:rPr>
        <w:t xml:space="preserve">علي گيلاني- گيلاني ، علي بن فضل الله</w:t>
      </w:r>
    </w:p>
    <w:p>
      <w:pPr>
        <w:pStyle w:val="BookText"/>
      </w:pPr>
      <w:r>
        <w:rPr>
          <w:rFonts w:ascii="Amiri" w:hAnsi="Amiri" w:eastAsia="Amiri" w:cs="Amiri"/>
          <w:lang w:bidi="ar-SA"/>
          <w:color w:val="111111"/>
          <w:sz w:val="28"/>
          <w:szCs w:val="28"/>
          <w:rtl/>
        </w:rPr>
        <w:t xml:space="preserve">علي مازندراني - مازندراني ، علي</w:t>
      </w:r>
    </w:p>
    <w:p>
      <w:pPr>
        <w:pStyle w:val="BookText"/>
      </w:pPr>
      <w:r>
        <w:rPr>
          <w:rFonts w:ascii="Amiri" w:hAnsi="Amiri" w:eastAsia="Amiri" w:cs="Amiri"/>
          <w:lang w:bidi="ar-SA"/>
          <w:color w:val="111111"/>
          <w:sz w:val="28"/>
          <w:szCs w:val="28"/>
          <w:rtl/>
        </w:rPr>
        <w:t xml:space="preserve">علي مالكي-مالكي ، علي</w:t>
      </w:r>
    </w:p>
    <w:p>
      <w:pPr>
        <w:pStyle w:val="BookText"/>
      </w:pPr>
      <w:r>
        <w:rPr>
          <w:rFonts w:ascii="IRNazanin" w:hAnsi="IRNazanin" w:eastAsia="IRNazanin" w:cs="IRNazanin"/>
          <w:lang w:bidi="fa-IR"/>
          <w:color w:val="111111"/>
          <w:sz w:val="28"/>
          <w:szCs w:val="28"/>
          <w:rtl/>
        </w:rPr>
        <w:t xml:space="preserve">علي متقي چشتي- متقي ، علي بن حسام</w:t>
      </w:r>
    </w:p>
    <w:p>
      <w:pPr>
        <w:pStyle w:val="BookText"/>
      </w:pP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علي محمّد بن حسين علي لواساني- صفا</w:t>
      </w:r>
    </w:p>
    <w:p>
      <w:pPr>
        <w:pStyle w:val="BookText"/>
      </w:pPr>
      <w:r>
        <w:rPr>
          <w:rFonts w:ascii="Amiri" w:hAnsi="Amiri" w:eastAsia="Amiri" w:cs="Amiri"/>
          <w:lang w:bidi="ar-SA"/>
          <w:color w:val="111111"/>
          <w:sz w:val="28"/>
          <w:szCs w:val="28"/>
          <w:rtl/>
        </w:rPr>
        <w:t xml:space="preserve">لواساني ، علي محمّد</w:t>
      </w:r>
    </w:p>
    <w:p>
      <w:pPr>
        <w:pStyle w:val="BookText"/>
      </w:pPr>
      <w:r>
        <w:rPr>
          <w:rFonts w:ascii="Amiri" w:hAnsi="Amiri" w:eastAsia="Amiri" w:cs="Amiri"/>
          <w:lang w:bidi="ar-SA"/>
          <w:color w:val="111111"/>
          <w:sz w:val="28"/>
          <w:szCs w:val="28"/>
          <w:rtl/>
        </w:rPr>
        <w:t xml:space="preserve">علي محمّد بن غلامعلي جيلاني- جيلاني</w:t>
      </w:r>
    </w:p>
    <w:p>
      <w:pPr>
        <w:pStyle w:val="BookText"/>
      </w:pPr>
      <w:r>
        <w:rPr>
          <w:rFonts w:ascii="Amiri" w:hAnsi="Amiri" w:eastAsia="Amiri" w:cs="Amiri"/>
          <w:lang w:bidi="ar-SA"/>
          <w:color w:val="111111"/>
          <w:sz w:val="28"/>
          <w:szCs w:val="28"/>
          <w:rtl/>
        </w:rPr>
        <w:t xml:space="preserve">علي محمّد بن غلامعلي</w:t>
      </w:r>
    </w:p>
    <w:p>
      <w:pPr>
        <w:pStyle w:val="BookText"/>
      </w:pPr>
      <w:r>
        <w:rPr>
          <w:rFonts w:ascii="Amiri" w:hAnsi="Amiri" w:eastAsia="Amiri" w:cs="Amiri"/>
          <w:lang w:bidi="ar-SA"/>
          <w:color w:val="111111"/>
          <w:sz w:val="28"/>
          <w:szCs w:val="28"/>
          <w:rtl/>
        </w:rPr>
        <w:t xml:space="preserve">علي محمّد بن محمّد</w:t>
      </w:r>
    </w:p>
    <w:p>
      <w:pPr>
        <w:pStyle w:val="BookText"/>
      </w:pPr>
      <w:r>
        <w:rPr>
          <w:rFonts w:ascii="IRNazanin" w:hAnsi="IRNazanin" w:eastAsia="IRNazanin" w:cs="IRNazanin"/>
          <w:lang w:bidi="fa-IR"/>
          <w:color w:val="111111"/>
          <w:sz w:val="28"/>
          <w:szCs w:val="28"/>
          <w:rtl/>
        </w:rPr>
        <w:t xml:space="preserve">علي شريف اژه اي -شريف اژه اي ، علي محمّد بن محمّد علي</w:t>
      </w:r>
    </w:p>
    <w:p>
      <w:pPr>
        <w:pStyle w:val="BookText"/>
      </w:pPr>
      <w:r>
        <w:rPr>
          <w:rFonts w:ascii="Amiri" w:hAnsi="Amiri" w:eastAsia="Amiri" w:cs="Amiri"/>
          <w:lang w:bidi="ar-SA"/>
          <w:color w:val="111111"/>
          <w:sz w:val="28"/>
          <w:szCs w:val="28"/>
          <w:rtl/>
        </w:rPr>
        <w:t xml:space="preserve">علي محمّد خوئيني -خوئيني ، علي محمّد نصرت</w:t>
      </w:r>
    </w:p>
    <w:p>
      <w:pPr>
        <w:pStyle w:val="BookText"/>
      </w:pPr>
      <w:r>
        <w:rPr>
          <w:rFonts w:ascii="Amiri" w:hAnsi="Amiri" w:eastAsia="Amiri" w:cs="Amiri"/>
          <w:lang w:bidi="ar-SA"/>
          <w:color w:val="111111"/>
          <w:sz w:val="28"/>
          <w:szCs w:val="28"/>
          <w:rtl/>
        </w:rPr>
        <w:t xml:space="preserve">علي محمّد لواساني نظامي- صفا لواساني</w:t>
      </w:r>
    </w:p>
    <w:p>
      <w:pPr>
        <w:pStyle w:val="BookText"/>
      </w:pPr>
      <w:r>
        <w:rPr>
          <w:rFonts w:ascii="Amiri" w:hAnsi="Amiri" w:eastAsia="Amiri" w:cs="Amiri"/>
          <w:lang w:bidi="ar-SA"/>
          <w:color w:val="111111"/>
          <w:sz w:val="28"/>
          <w:szCs w:val="28"/>
          <w:rtl/>
        </w:rPr>
        <w:t xml:space="preserve">علي محمّد</w:t>
      </w:r>
    </w:p>
    <w:p>
      <w:pPr>
        <w:pStyle w:val="BookText"/>
      </w:pPr>
      <w:r>
        <w:rPr>
          <w:rFonts w:ascii="Amiri" w:hAnsi="Amiri" w:eastAsia="Amiri" w:cs="Amiri"/>
          <w:lang w:bidi="ar-SA"/>
          <w:color w:val="111111"/>
          <w:sz w:val="28"/>
          <w:szCs w:val="28"/>
          <w:rtl/>
        </w:rPr>
        <w:t xml:space="preserve">علي مقري شريف- مقري شريف ، علي</w:t>
      </w:r>
    </w:p>
    <w:p>
      <w:pPr>
        <w:pStyle w:val="BookText"/>
      </w:pPr>
      <w:r>
        <w:rPr>
          <w:rFonts w:ascii="Amiri" w:hAnsi="Amiri" w:eastAsia="Amiri" w:cs="Amiri"/>
          <w:lang w:bidi="ar-SA"/>
          <w:color w:val="111111"/>
          <w:sz w:val="28"/>
          <w:szCs w:val="28"/>
          <w:rtl/>
        </w:rPr>
        <w:t xml:space="preserve">عليمي ، ابوالعون - عزي قادري ، ابوالعون</w:t>
      </w:r>
    </w:p>
    <w:p>
      <w:pPr>
        <w:pStyle w:val="BookText"/>
      </w:pPr>
      <w:r>
        <w:rPr>
          <w:rFonts w:ascii="Amiri" w:hAnsi="Amiri" w:eastAsia="Amiri" w:cs="Amiri"/>
          <w:lang w:bidi="ar-SA"/>
          <w:color w:val="111111"/>
          <w:sz w:val="28"/>
          <w:szCs w:val="28"/>
          <w:rtl/>
        </w:rPr>
        <w:t xml:space="preserve">عليمي ، ابواليمن مجير الدين عبدالرحمن بن محمّد -ابواليمن</w:t>
      </w:r>
    </w:p>
    <w:p>
      <w:pPr>
        <w:pStyle w:val="BookText"/>
      </w:pPr>
      <w:r>
        <w:rPr>
          <w:rFonts w:ascii="Amiri" w:hAnsi="Amiri" w:eastAsia="Amiri" w:cs="Amiri"/>
          <w:lang w:bidi="ar-SA"/>
          <w:color w:val="111111"/>
          <w:sz w:val="28"/>
          <w:szCs w:val="28"/>
          <w:rtl/>
        </w:rPr>
        <w:t xml:space="preserve">عليمي ، عبدالرحمن بن محمّد</w:t>
      </w:r>
    </w:p>
    <w:p>
      <w:pPr>
        <w:pStyle w:val="BookText"/>
      </w:pPr>
      <w:r>
        <w:rPr>
          <w:rFonts w:ascii="IRNazanin" w:hAnsi="IRNazanin" w:eastAsia="IRNazanin" w:cs="IRNazanin"/>
          <w:lang w:bidi="fa-IR"/>
          <w:color w:val="111111"/>
          <w:sz w:val="28"/>
          <w:szCs w:val="28"/>
          <w:rtl/>
        </w:rPr>
        <w:t xml:space="preserve">عليمي ، خير الدين بن احمد- رملي خیرالدین بن احمد</w:t>
      </w:r>
    </w:p>
    <w:p>
      <w:pPr>
        <w:pStyle w:val="BookText"/>
      </w:pPr>
      <w:r>
        <w:rPr>
          <w:rFonts w:ascii="IRNazanin" w:hAnsi="IRNazanin" w:eastAsia="IRNazanin" w:cs="IRNazanin"/>
          <w:lang w:bidi="fa-IR"/>
          <w:color w:val="111111"/>
          <w:sz w:val="28"/>
          <w:szCs w:val="28"/>
          <w:rtl/>
        </w:rPr>
        <w:t xml:space="preserve">عليمي ، عبدالرحمان بن محمّد- ابوالیمن عليمي ، عبدالرحمن بن محمّد</w:t>
      </w:r>
    </w:p>
    <w:p>
      <w:pPr>
        <w:pStyle w:val="Heading2"/>
      </w:pPr>
      <w:bookmarkStart w:id="6083" w:name="_Toc5185"/>
      <w:r>
        <w:t>عليمي، ياسين بن زين الدين - 1061ه-</w:t>
      </w:r>
      <w:bookmarkEnd w:id="6083"/>
    </w:p>
    <w:p>
      <w:pPr>
        <w:pStyle w:val="BookText"/>
      </w:pPr>
      <w:r>
        <w:rPr>
          <w:rFonts w:ascii="Amiri" w:hAnsi="Amiri" w:eastAsia="Amiri" w:cs="Amiri"/>
          <w:lang w:bidi="ar-SA"/>
          <w:color w:val="111111"/>
          <w:sz w:val="28"/>
          <w:szCs w:val="28"/>
          <w:rtl/>
        </w:rPr>
        <w:t xml:space="preserve">1 .حاشية التصريح بمضمون التوضيح</w:t>
      </w:r>
    </w:p>
    <w:p>
      <w:pPr>
        <w:pStyle w:val="BookText"/>
      </w:pPr>
      <w:r>
        <w:rPr>
          <w:rFonts w:ascii="IRNazanin" w:hAnsi="IRNazanin" w:eastAsia="IRNazanin" w:cs="IRNazanin"/>
          <w:lang w:bidi="fa-IR"/>
          <w:color w:val="111111"/>
          <w:sz w:val="28"/>
          <w:szCs w:val="28"/>
          <w:rtl/>
        </w:rPr>
        <w:t xml:space="preserve">ج 5، ص 737 .</w:t>
      </w:r>
    </w:p>
    <w:p>
      <w:pPr>
        <w:pStyle w:val="BookText"/>
      </w:pPr>
      <w:r>
        <w:rPr>
          <w:rFonts w:ascii="Amiri" w:hAnsi="Amiri" w:eastAsia="Amiri" w:cs="Amiri"/>
          <w:lang w:bidi="ar-SA"/>
          <w:color w:val="111111"/>
          <w:sz w:val="28"/>
          <w:szCs w:val="28"/>
          <w:rtl/>
        </w:rPr>
        <w:t xml:space="preserve">2 .حاشية اوضح المسالك، ج 5، ص 702.</w:t>
      </w:r>
    </w:p>
    <w:p>
      <w:pPr>
        <w:pStyle w:val="BookText"/>
      </w:pPr>
      <w:r>
        <w:rPr>
          <w:rFonts w:ascii="Amiri" w:hAnsi="Amiri" w:eastAsia="Amiri" w:cs="Amiri"/>
          <w:lang w:bidi="ar-SA"/>
          <w:color w:val="111111"/>
          <w:sz w:val="28"/>
          <w:szCs w:val="28"/>
          <w:rtl/>
        </w:rPr>
        <w:t xml:space="preserve">3 .حاشية شرح تهذيب المنطق، ج 6،</w:t>
      </w:r>
    </w:p>
    <w:p>
      <w:pPr>
        <w:pStyle w:val="BookText"/>
      </w:pPr>
      <w:r>
        <w:rPr>
          <w:rFonts w:ascii="IRNazanin" w:hAnsi="IRNazanin" w:eastAsia="IRNazanin" w:cs="IRNazanin"/>
          <w:lang w:bidi="fa-IR"/>
          <w:color w:val="111111"/>
          <w:sz w:val="28"/>
          <w:szCs w:val="28"/>
          <w:rtl/>
        </w:rPr>
        <w:t xml:space="preserve">ص 76 .</w:t>
      </w:r>
    </w:p>
    <w:p>
      <w:pPr>
        <w:pStyle w:val="BookText"/>
      </w:pPr>
      <w:r>
        <w:rPr>
          <w:rFonts w:ascii="Amiri" w:hAnsi="Amiri" w:eastAsia="Amiri" w:cs="Amiri"/>
          <w:lang w:bidi="ar-SA"/>
          <w:color w:val="111111"/>
          <w:sz w:val="28"/>
          <w:szCs w:val="28"/>
          <w:rtl/>
        </w:rPr>
        <w:t xml:space="preserve">4 .حاشية شرح رسالة الاستعارة، ج 6،</w:t>
      </w:r>
    </w:p>
    <w:p>
      <w:pPr>
        <w:pStyle w:val="BookText"/>
      </w:pPr>
      <w:r>
        <w:rPr>
          <w:rFonts w:ascii="IRNazanin" w:hAnsi="IRNazanin" w:eastAsia="IRNazanin" w:cs="IRNazanin"/>
          <w:lang w:bidi="fa-IR"/>
          <w:color w:val="111111"/>
          <w:sz w:val="28"/>
          <w:szCs w:val="28"/>
          <w:rtl/>
        </w:rPr>
        <w:t xml:space="preserve">ص 102.</w:t>
      </w:r>
    </w:p>
    <w:p>
      <w:pPr>
        <w:pStyle w:val="BookText"/>
      </w:pPr>
      <w:r>
        <w:rPr>
          <w:rFonts w:ascii="Amiri" w:hAnsi="Amiri" w:eastAsia="Amiri" w:cs="Amiri"/>
          <w:lang w:bidi="ar-SA"/>
          <w:color w:val="111111"/>
          <w:sz w:val="28"/>
          <w:szCs w:val="28"/>
          <w:rtl/>
        </w:rPr>
        <w:t xml:space="preserve">5 .حاشية عروس الأفراح في شرح تلخيص المفتاح، ج6، ص230.</w:t>
      </w:r>
    </w:p>
    <w:p>
      <w:pPr>
        <w:pStyle w:val="BookText"/>
      </w:pPr>
      <w:r>
        <w:rPr>
          <w:rFonts w:ascii="Amiri" w:hAnsi="Amiri" w:eastAsia="Amiri" w:cs="Amiri"/>
          <w:lang w:bidi="ar-SA"/>
          <w:color w:val="111111"/>
          <w:sz w:val="28"/>
          <w:szCs w:val="28"/>
          <w:rtl/>
        </w:rPr>
        <w:t xml:space="preserve">6 .حاشية مجيب الندا إلى شرح قطر</w:t>
      </w:r>
    </w:p>
    <w:p>
      <w:pPr>
        <w:pStyle w:val="BookText"/>
      </w:pPr>
      <w:r>
        <w:rPr>
          <w:rFonts w:ascii="IRNazanin" w:hAnsi="IRNazanin" w:eastAsia="IRNazanin" w:cs="IRNazanin"/>
          <w:lang w:bidi="fa-IR"/>
          <w:color w:val="111111"/>
          <w:sz w:val="28"/>
          <w:szCs w:val="28"/>
          <w:rtl/>
        </w:rPr>
        <w:t xml:space="preserve">الندى، ج 6، ص 348.</w:t>
      </w:r>
    </w:p>
    <w:p>
      <w:pPr>
        <w:pStyle w:val="BookText"/>
      </w:pPr>
      <w:r>
        <w:rPr>
          <w:rFonts w:ascii="Amiri" w:hAnsi="Amiri" w:eastAsia="Amiri" w:cs="Amiri"/>
          <w:lang w:bidi="ar-SA"/>
          <w:color w:val="111111"/>
          <w:sz w:val="28"/>
          <w:szCs w:val="28"/>
          <w:rtl/>
        </w:rPr>
        <w:t xml:space="preserve">7 .حاشية مختصر المعاني، ج6، ص 362.</w:t>
      </w:r>
    </w:p>
    <w:p>
      <w:pPr>
        <w:pStyle w:val="BookText"/>
      </w:pPr>
      <w:r>
        <w:rPr>
          <w:rFonts w:ascii="Amiri" w:hAnsi="Amiri" w:eastAsia="Amiri" w:cs="Amiri"/>
          <w:lang w:bidi="ar-SA"/>
          <w:color w:val="111111"/>
          <w:sz w:val="28"/>
          <w:szCs w:val="28"/>
          <w:rtl/>
        </w:rPr>
        <w:t xml:space="preserve">علي ناصح -ناصح ، علي</w:t>
      </w:r>
    </w:p>
    <w:p>
      <w:pPr>
        <w:pStyle w:val="BookText"/>
      </w:pPr>
      <w:r>
        <w:rPr>
          <w:rFonts w:ascii="IRNazanin" w:hAnsi="IRNazanin" w:eastAsia="IRNazanin" w:cs="IRNazanin"/>
          <w:lang w:bidi="fa-IR"/>
          <w:color w:val="111111"/>
          <w:sz w:val="28"/>
          <w:szCs w:val="28"/>
          <w:rtl/>
        </w:rPr>
        <w:t xml:space="preserve">علي نصرت خراساني- طبيب قوچاني ،</w:t>
      </w:r>
    </w:p>
    <w:p>
      <w:pPr>
        <w:pStyle w:val="BookText"/>
      </w:pPr>
      <w:r>
        <w:rPr>
          <w:rFonts w:ascii="IRNazanin" w:hAnsi="IRNazanin" w:eastAsia="IRNazanin" w:cs="IRNazanin"/>
          <w:lang w:bidi="fa-IR"/>
          <w:color w:val="111111"/>
          <w:sz w:val="28"/>
          <w:szCs w:val="28"/>
          <w:rtl/>
        </w:rPr>
        <w:t xml:space="preserve">میرزا نصرت</w:t>
      </w:r>
    </w:p>
    <w:p>
      <w:pPr>
        <w:pStyle w:val="BookText"/>
      </w:pPr>
      <w:r>
        <w:rPr>
          <w:rFonts w:ascii="IRNazanin" w:hAnsi="IRNazanin" w:eastAsia="IRNazanin" w:cs="IRNazanin"/>
          <w:lang w:bidi="fa-IR"/>
          <w:color w:val="111111"/>
          <w:sz w:val="28"/>
          <w:szCs w:val="28"/>
          <w:rtl/>
        </w:rPr>
        <w:t xml:space="preserve">علي نصرت قوچاني- طبيب قوچاني ، ميرزا</w:t>
      </w:r>
    </w:p>
    <w:p>
      <w:pPr>
        <w:pStyle w:val="BookText"/>
      </w:pPr>
      <w:r>
        <w:rPr>
          <w:rFonts w:ascii="Amiri" w:hAnsi="Amiri" w:eastAsia="Amiri" w:cs="Amiri"/>
          <w:lang w:bidi="ar-SA"/>
          <w:color w:val="111111"/>
          <w:sz w:val="28"/>
          <w:szCs w:val="28"/>
          <w:rtl/>
        </w:rPr>
        <w:t xml:space="preserve">علينقي بن ابي الحسن نقوي لكهنوي- نقوي ، علي نقي بن ابي الحسن</w:t>
      </w:r>
    </w:p>
    <w:p>
      <w:pPr>
        <w:pStyle w:val="BookText"/>
      </w:pPr>
      <w:r>
        <w:rPr>
          <w:rFonts w:ascii="Amiri" w:hAnsi="Amiri" w:eastAsia="Amiri" w:cs="Amiri"/>
          <w:lang w:bidi="ar-SA"/>
          <w:color w:val="111111"/>
          <w:sz w:val="28"/>
          <w:szCs w:val="28"/>
          <w:rtl/>
        </w:rPr>
        <w:t xml:space="preserve">علي نقي بن احمد هجري احسائي- احسائي ، علي نقي بن احمد</w:t>
      </w:r>
    </w:p>
    <w:p>
      <w:pPr>
        <w:pStyle w:val="BookText"/>
      </w:pPr>
      <w:r>
        <w:rPr>
          <w:rFonts w:ascii="Amiri" w:hAnsi="Amiri" w:eastAsia="Amiri" w:cs="Amiri"/>
          <w:lang w:bidi="ar-SA"/>
          <w:color w:val="111111"/>
          <w:sz w:val="28"/>
          <w:szCs w:val="28"/>
          <w:rtl/>
        </w:rPr>
        <w:t xml:space="preserve">علي نقي بن جواد بن مرتضى حسيني</w:t>
      </w:r>
    </w:p>
    <w:p>
      <w:pPr>
        <w:pStyle w:val="BookText"/>
      </w:pPr>
      <w:r>
        <w:rPr>
          <w:rFonts w:ascii="Amiri" w:hAnsi="Amiri" w:eastAsia="Amiri" w:cs="Amiri"/>
          <w:lang w:bidi="ar-SA"/>
          <w:color w:val="111111"/>
          <w:sz w:val="28"/>
          <w:szCs w:val="28"/>
          <w:rtl/>
        </w:rPr>
        <w:t xml:space="preserve">طباطبايي بروجردي - طباطبائي ، علي نقي بن</w:t>
      </w:r>
    </w:p>
    <w:p>
      <w:pPr>
        <w:pStyle w:val="BookText"/>
      </w:pPr>
      <w:r>
        <w:rPr>
          <w:rFonts w:ascii="IRNazanin" w:hAnsi="IRNazanin" w:eastAsia="IRNazanin" w:cs="IRNazanin"/>
          <w:lang w:bidi="fa-IR"/>
          <w:color w:val="111111"/>
          <w:sz w:val="28"/>
          <w:szCs w:val="28"/>
          <w:rtl/>
        </w:rPr>
        <w:t xml:space="preserve">جواد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04" w:name="pg7742_70873"/>
    <w:bookmarkEnd w:id="804"/>
    <w:p>
      <w:pPr>
        <w:pStyle w:val="BookText"/>
      </w:pPr>
      <w:r>
        <w:rPr>
          <w:rFonts w:ascii="Amiri" w:hAnsi="Amiri" w:eastAsia="Amiri" w:cs="Amiri"/>
          <w:lang w:bidi="ar-SA"/>
          <w:color w:val="111111"/>
          <w:sz w:val="28"/>
          <w:szCs w:val="28"/>
          <w:rtl/>
        </w:rPr>
        <w:t xml:space="preserve">علي نقي بن حسن حائري- حائري ، علي</w:t>
      </w:r>
    </w:p>
    <w:p>
      <w:pPr>
        <w:pStyle w:val="BookText"/>
      </w:pPr>
      <w:r>
        <w:rPr>
          <w:rFonts w:ascii="Amiri" w:hAnsi="Amiri" w:eastAsia="Amiri" w:cs="Amiri"/>
          <w:lang w:bidi="ar-SA"/>
          <w:color w:val="111111"/>
          <w:sz w:val="28"/>
          <w:szCs w:val="28"/>
          <w:rtl/>
        </w:rPr>
        <w:t xml:space="preserve">نقي بن حسن</w:t>
      </w:r>
    </w:p>
    <w:p>
      <w:pPr>
        <w:pStyle w:val="BookText"/>
      </w:pPr>
      <w:r>
        <w:rPr>
          <w:rFonts w:ascii="Amiri" w:hAnsi="Amiri" w:eastAsia="Amiri" w:cs="Amiri"/>
          <w:lang w:bidi="ar-SA"/>
          <w:color w:val="111111"/>
          <w:sz w:val="28"/>
          <w:szCs w:val="28"/>
          <w:rtl/>
        </w:rPr>
        <w:t xml:space="preserve">علينقي بن عبدالله اصفهاني- اصفهاني ،</w:t>
      </w:r>
    </w:p>
    <w:p>
      <w:pPr>
        <w:pStyle w:val="BookText"/>
      </w:pPr>
      <w:r>
        <w:rPr>
          <w:rFonts w:ascii="Amiri" w:hAnsi="Amiri" w:eastAsia="Amiri" w:cs="Amiri"/>
          <w:lang w:bidi="ar-SA"/>
          <w:color w:val="111111"/>
          <w:sz w:val="28"/>
          <w:szCs w:val="28"/>
          <w:rtl/>
        </w:rPr>
        <w:t xml:space="preserve">علينقي بن عبدالله</w:t>
      </w:r>
    </w:p>
    <w:p>
      <w:pPr>
        <w:pStyle w:val="BookText"/>
      </w:pPr>
      <w:r>
        <w:rPr>
          <w:rFonts w:ascii="Amiri" w:hAnsi="Amiri" w:eastAsia="Amiri" w:cs="Amiri"/>
          <w:lang w:bidi="ar-SA"/>
          <w:color w:val="111111"/>
          <w:sz w:val="28"/>
          <w:szCs w:val="28"/>
          <w:rtl/>
        </w:rPr>
        <w:t xml:space="preserve">علينقي بن عبدالله متطبب بروجردي - متطبب بروجردي ، علينقي بن عبد الله</w:t>
      </w:r>
    </w:p>
    <w:p>
      <w:pPr>
        <w:pStyle w:val="BookText"/>
      </w:pPr>
      <w:r>
        <w:rPr>
          <w:rFonts w:ascii="Amiri" w:hAnsi="Amiri" w:eastAsia="Amiri" w:cs="Amiri"/>
          <w:lang w:bidi="ar-SA"/>
          <w:color w:val="111111"/>
          <w:sz w:val="28"/>
          <w:szCs w:val="28"/>
          <w:rtl/>
        </w:rPr>
        <w:t xml:space="preserve">علينقي بن محمّد علي رضوي كشميري- رضوي ، علينقي بن محمّد علي</w:t>
      </w:r>
    </w:p>
    <w:p>
      <w:pPr>
        <w:pStyle w:val="Heading2"/>
      </w:pPr>
      <w:bookmarkStart w:id="6084" w:name="_Toc5186"/>
      <w:r>
        <w:t>علي نقي بن ميرزابابا اردبيلي</w:t>
      </w:r>
      <w:bookmarkEnd w:id="6084"/>
    </w:p>
    <w:p>
      <w:pPr>
        <w:pStyle w:val="BookText"/>
      </w:pPr>
      <w:r>
        <w:rPr>
          <w:rFonts w:ascii="IRNazanin" w:hAnsi="IRNazanin" w:eastAsia="IRNazanin" w:cs="IRNazanin"/>
          <w:lang w:bidi="fa-IR"/>
          <w:color w:val="111111"/>
          <w:sz w:val="28"/>
          <w:szCs w:val="28"/>
          <w:rtl/>
        </w:rPr>
        <w:t xml:space="preserve">مراحل الاصول، ج 14، ص 379.</w:t>
      </w:r>
    </w:p>
    <w:p>
      <w:pPr>
        <w:pStyle w:val="BookText"/>
      </w:pPr>
      <w:r>
        <w:rPr>
          <w:rFonts w:ascii="Amiri" w:hAnsi="Amiri" w:eastAsia="Amiri" w:cs="Amiri"/>
          <w:lang w:bidi="ar-SA"/>
          <w:color w:val="111111"/>
          <w:sz w:val="28"/>
          <w:szCs w:val="28"/>
          <w:rtl/>
        </w:rPr>
        <w:t xml:space="preserve">علينقي كمره اي -طغائي كمره اي ،</w:t>
      </w:r>
    </w:p>
    <w:p>
      <w:pPr>
        <w:pStyle w:val="BookText"/>
      </w:pPr>
      <w:r>
        <w:rPr>
          <w:rFonts w:ascii="Amiri" w:hAnsi="Amiri" w:eastAsia="Amiri" w:cs="Amiri"/>
          <w:lang w:bidi="ar-SA"/>
          <w:color w:val="111111"/>
          <w:sz w:val="28"/>
          <w:szCs w:val="28"/>
          <w:rtl/>
        </w:rPr>
        <w:t xml:space="preserve">علينقي بن محمّد هاشم</w:t>
      </w:r>
    </w:p>
    <w:p>
      <w:pPr>
        <w:pStyle w:val="BookText"/>
      </w:pPr>
      <w:r>
        <w:rPr>
          <w:rFonts w:ascii="IRNazanin" w:hAnsi="IRNazanin" w:eastAsia="IRNazanin" w:cs="IRNazanin"/>
          <w:lang w:bidi="fa-IR"/>
          <w:color w:val="111111"/>
          <w:sz w:val="28"/>
          <w:szCs w:val="28"/>
          <w:rtl/>
        </w:rPr>
        <w:t xml:space="preserve">علي نور الدين گيلاني- گيلاني ، علي بن</w:t>
      </w:r>
    </w:p>
    <w:p>
      <w:pPr>
        <w:pStyle w:val="BookText"/>
      </w:pPr>
      <w:r>
        <w:rPr>
          <w:rFonts w:ascii="Amiri" w:hAnsi="Amiri" w:eastAsia="Amiri" w:cs="Amiri"/>
          <w:lang w:bidi="ar-SA"/>
          <w:color w:val="111111"/>
          <w:sz w:val="28"/>
          <w:szCs w:val="28"/>
          <w:rtl/>
        </w:rPr>
        <w:t xml:space="preserve">شهاب الدين</w:t>
      </w:r>
    </w:p>
    <w:p>
      <w:pPr>
        <w:pStyle w:val="BookText"/>
      </w:pPr>
      <w:r>
        <w:rPr>
          <w:rFonts w:ascii="Amiri" w:hAnsi="Amiri" w:eastAsia="Amiri" w:cs="Amiri"/>
          <w:lang w:bidi="ar-SA"/>
          <w:color w:val="111111"/>
          <w:sz w:val="28"/>
          <w:szCs w:val="28"/>
          <w:rtl/>
        </w:rPr>
        <w:t xml:space="preserve">علي وهبي موصلي جفعتري- وهبي ، علي</w:t>
      </w:r>
    </w:p>
    <w:p>
      <w:pPr>
        <w:pStyle w:val="BookText"/>
      </w:pPr>
      <w:r>
        <w:rPr>
          <w:rFonts w:ascii="IRNazanin" w:hAnsi="IRNazanin" w:eastAsia="IRNazanin" w:cs="IRNazanin"/>
          <w:lang w:bidi="fa-IR"/>
          <w:color w:val="111111"/>
          <w:sz w:val="28"/>
          <w:szCs w:val="28"/>
          <w:rtl/>
        </w:rPr>
        <w:t xml:space="preserve">بن عبدالوهاب</w:t>
      </w:r>
    </w:p>
    <w:p>
      <w:pPr>
        <w:pStyle w:val="Heading2"/>
      </w:pPr>
      <w:bookmarkStart w:id="6085" w:name="_Toc5187"/>
      <w:r>
        <w:t>عماد ، احمد</w:t>
      </w:r>
      <w:bookmarkEnd w:id="6085"/>
    </w:p>
    <w:p>
      <w:pPr>
        <w:pStyle w:val="BookText"/>
      </w:pPr>
      <w:r>
        <w:rPr>
          <w:rFonts w:ascii="Amiri" w:hAnsi="Amiri" w:eastAsia="Amiri" w:cs="Amiri"/>
          <w:lang w:bidi="ar-SA"/>
          <w:color w:val="111111"/>
          <w:sz w:val="28"/>
          <w:szCs w:val="28"/>
          <w:rtl/>
        </w:rPr>
        <w:t xml:space="preserve">كشف الاسرار عما خفي عن الاقطار</w:t>
      </w:r>
    </w:p>
    <w:p>
      <w:pPr>
        <w:pStyle w:val="BookText"/>
      </w:pPr>
      <w:r>
        <w:rPr>
          <w:rFonts w:ascii="IRNazanin" w:hAnsi="IRNazanin" w:eastAsia="IRNazanin" w:cs="IRNazanin"/>
          <w:lang w:bidi="fa-IR"/>
          <w:color w:val="111111"/>
          <w:sz w:val="28"/>
          <w:szCs w:val="28"/>
          <w:rtl/>
        </w:rPr>
        <w:t xml:space="preserve">ج 13، ص 185.</w:t>
      </w:r>
    </w:p>
    <w:p>
      <w:pPr>
        <w:pStyle w:val="BookText"/>
      </w:pPr>
      <w:r>
        <w:rPr>
          <w:rFonts w:ascii="Amiri" w:hAnsi="Amiri" w:eastAsia="Amiri" w:cs="Amiri"/>
          <w:lang w:bidi="ar-SA"/>
          <w:color w:val="111111"/>
          <w:sz w:val="28"/>
          <w:szCs w:val="28"/>
          <w:rtl/>
        </w:rPr>
        <w:t xml:space="preserve">عماد الدوله ، محمّد طاهر -وحيد قزويني</w:t>
      </w:r>
    </w:p>
    <w:p>
      <w:pPr>
        <w:pStyle w:val="BookText"/>
      </w:pPr>
      <w:r>
        <w:rPr>
          <w:rFonts w:ascii="Amiri" w:hAnsi="Amiri" w:eastAsia="Amiri" w:cs="Amiri"/>
          <w:lang w:bidi="ar-SA"/>
          <w:color w:val="111111"/>
          <w:sz w:val="28"/>
          <w:szCs w:val="28"/>
          <w:rtl/>
        </w:rPr>
        <w:t xml:space="preserve">، محمّد طاهر بن حسين</w:t>
      </w:r>
    </w:p>
    <w:p>
      <w:pPr>
        <w:pStyle w:val="Heading2"/>
      </w:pPr>
      <w:bookmarkStart w:id="6086" w:name="_Toc5188"/>
      <w:r>
        <w:t>عماد الدين بن محمّد تقي</w:t>
      </w:r>
      <w:bookmarkEnd w:id="6086"/>
    </w:p>
    <w:p>
      <w:pPr>
        <w:pStyle w:val="BookText"/>
      </w:pPr>
      <w:r>
        <w:rPr>
          <w:rFonts w:ascii="Amiri" w:hAnsi="Amiri" w:eastAsia="Amiri" w:cs="Amiri"/>
          <w:lang w:bidi="ar-SA"/>
          <w:color w:val="111111"/>
          <w:sz w:val="28"/>
          <w:szCs w:val="28"/>
          <w:rtl/>
        </w:rPr>
        <w:t xml:space="preserve">كيميا، ج13، ص 487.</w:t>
      </w:r>
    </w:p>
    <w:p>
      <w:pPr>
        <w:pStyle w:val="Heading2"/>
      </w:pPr>
      <w:bookmarkStart w:id="6087" w:name="_Toc5189"/>
      <w:r>
        <w:t>عماد الدين شيرازي ، محمود بن مسعود</w:t>
      </w:r>
      <w:bookmarkEnd w:id="608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984؟ ه-</w:t>
      </w:r>
    </w:p>
    <w:p>
      <w:pPr>
        <w:pStyle w:val="BookText"/>
      </w:pPr>
      <w:r>
        <w:rPr>
          <w:rFonts w:ascii="IRNazanin" w:hAnsi="IRNazanin" w:eastAsia="IRNazanin" w:cs="IRNazanin"/>
          <w:lang w:bidi="fa-IR"/>
          <w:color w:val="111111"/>
          <w:sz w:val="28"/>
          <w:szCs w:val="28"/>
          <w:rtl/>
        </w:rPr>
        <w:t xml:space="preserve">1 .احکام فصد و حجامت، ج1،</w:t>
      </w:r>
    </w:p>
    <w:p>
      <w:pPr>
        <w:pStyle w:val="BookText"/>
      </w:pPr>
      <w:r>
        <w:rPr>
          <w:rFonts w:ascii="IRNazanin" w:hAnsi="IRNazanin" w:eastAsia="IRNazanin" w:cs="IRNazanin"/>
          <w:lang w:bidi="fa-IR"/>
          <w:color w:val="111111"/>
          <w:sz w:val="28"/>
          <w:szCs w:val="28"/>
          <w:rtl/>
        </w:rPr>
        <w:t xml:space="preserve">ص 478 .</w:t>
      </w:r>
    </w:p>
    <w:p>
      <w:pPr>
        <w:pStyle w:val="BookText"/>
      </w:pPr>
      <w:r>
        <w:rPr>
          <w:rFonts w:ascii="Amiri" w:hAnsi="Amiri" w:eastAsia="Amiri" w:cs="Amiri"/>
          <w:lang w:bidi="ar-SA"/>
          <w:color w:val="111111"/>
          <w:sz w:val="28"/>
          <w:szCs w:val="28"/>
          <w:rtl/>
        </w:rPr>
        <w:t xml:space="preserve">2 .الادوية الطبية، ج 1، ص 668.</w:t>
      </w:r>
    </w:p>
    <w:p>
      <w:pPr>
        <w:pStyle w:val="BookText"/>
      </w:pPr>
      <w:r>
        <w:rPr>
          <w:rFonts w:ascii="IRNazanin" w:hAnsi="IRNazanin" w:eastAsia="IRNazanin" w:cs="IRNazanin"/>
          <w:lang w:bidi="fa-IR"/>
          <w:color w:val="111111"/>
          <w:sz w:val="28"/>
          <w:szCs w:val="28"/>
          <w:rtl/>
        </w:rPr>
        <w:t xml:space="preserve">3 .الاسباب والعلامات، ج 2، ص 102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التفرقة بين السكر و النبات (مقالة</w:t>
      </w:r>
    </w:p>
    <w:p>
      <w:pPr>
        <w:pStyle w:val="BookText"/>
      </w:pPr>
      <w:r>
        <w:rPr>
          <w:rFonts w:ascii="Amiri" w:hAnsi="Amiri" w:eastAsia="Amiri" w:cs="Amiri"/>
          <w:lang w:bidi="ar-SA"/>
          <w:color w:val="111111"/>
          <w:sz w:val="28"/>
          <w:szCs w:val="28"/>
          <w:rtl/>
        </w:rPr>
        <w:t xml:space="preserve">في)، ج 4، ص 568 .</w:t>
      </w:r>
    </w:p>
    <w:p>
      <w:pPr>
        <w:pStyle w:val="BookText"/>
      </w:pPr>
      <w:r>
        <w:rPr>
          <w:rFonts w:ascii="IRNazanin" w:hAnsi="IRNazanin" w:eastAsia="IRNazanin" w:cs="IRNazanin"/>
          <w:lang w:bidi="fa-IR"/>
          <w:color w:val="111111"/>
          <w:sz w:val="28"/>
          <w:szCs w:val="28"/>
          <w:rtl/>
        </w:rPr>
        <w:t xml:space="preserve">5 .الحمل، ج 6، ص 822.</w:t>
      </w:r>
    </w:p>
    <w:p>
      <w:pPr>
        <w:pStyle w:val="BookText"/>
      </w:pPr>
      <w:r>
        <w:rPr>
          <w:rFonts w:ascii="Amiri" w:hAnsi="Amiri" w:eastAsia="Amiri" w:cs="Amiri"/>
          <w:lang w:bidi="ar-SA"/>
          <w:color w:val="111111"/>
          <w:sz w:val="28"/>
          <w:szCs w:val="28"/>
          <w:rtl/>
        </w:rPr>
        <w:t xml:space="preserve">6 .الحميات، ج 6، ص 823.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القول ان العظم لا حس له (مقالة</w:t>
      </w:r>
    </w:p>
    <w:p>
      <w:pPr>
        <w:pStyle w:val="BookText"/>
      </w:pPr>
      <w:r>
        <w:rPr>
          <w:rFonts w:ascii="Amiri" w:hAnsi="Amiri" w:eastAsia="Amiri" w:cs="Amiri"/>
          <w:lang w:bidi="ar-SA"/>
          <w:color w:val="111111"/>
          <w:sz w:val="28"/>
          <w:szCs w:val="28"/>
          <w:rtl/>
        </w:rPr>
        <w:t xml:space="preserve">في)، ج 12، ص 839.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مباحث العلق، ج13، ص 716.</w:t>
      </w:r>
    </w:p>
    <w:p>
      <w:pPr>
        <w:pStyle w:val="BookText"/>
      </w:pPr>
      <w:r>
        <w:rPr>
          <w:rFonts w:ascii="Amiri" w:hAnsi="Amiri" w:eastAsia="Amiri" w:cs="Amiri"/>
          <w:lang w:bidi="ar-SA"/>
          <w:color w:val="111111"/>
          <w:sz w:val="28"/>
          <w:szCs w:val="28"/>
          <w:rtl/>
        </w:rPr>
        <w:t xml:space="preserve">9 .منافع و خواص الادوية، ج 15،</w:t>
      </w:r>
    </w:p>
    <w:p>
      <w:pPr>
        <w:pStyle w:val="BookText"/>
      </w:pPr>
      <w:r>
        <w:rPr>
          <w:rFonts w:ascii="IRNazanin" w:hAnsi="IRNazanin" w:eastAsia="IRNazanin" w:cs="IRNazanin"/>
          <w:lang w:bidi="fa-IR"/>
          <w:color w:val="111111"/>
          <w:sz w:val="28"/>
          <w:szCs w:val="28"/>
          <w:rtl/>
        </w:rPr>
        <w:t xml:space="preserve">ص 532.</w:t>
      </w:r>
    </w:p>
    <w:p>
      <w:pPr>
        <w:pStyle w:val="Heading2"/>
      </w:pPr>
      <w:bookmarkStart w:id="6088" w:name="_Toc5190"/>
      <w:r>
        <w:t>عماد الدين فارسي، عماد بن يحيى قرن</w:t>
      </w:r>
      <w:bookmarkEnd w:id="6088"/>
    </w:p>
    <w:p>
      <w:pPr>
        <w:pStyle w:val="BookText"/>
      </w:pPr>
      <w:r>
        <w:rPr>
          <w:rFonts w:ascii="Amiri" w:hAnsi="Amiri" w:eastAsia="Amiri" w:cs="Amiri"/>
          <w:lang w:bidi="ar-SA"/>
          <w:color w:val="111111"/>
          <w:sz w:val="28"/>
          <w:szCs w:val="28"/>
          <w:rtl/>
        </w:rPr>
        <w:t xml:space="preserve">1 .حاشية حاشية الجرجاني علي تحرير القواعد المنطقية، ج 5، ص 775.</w:t>
      </w:r>
    </w:p>
    <w:p>
      <w:pPr>
        <w:pStyle w:val="BookText"/>
      </w:pPr>
      <w:r>
        <w:rPr>
          <w:rFonts w:ascii="Amiri" w:hAnsi="Amiri" w:eastAsia="Amiri" w:cs="Amiri"/>
          <w:lang w:bidi="ar-SA"/>
          <w:color w:val="111111"/>
          <w:sz w:val="28"/>
          <w:szCs w:val="28"/>
          <w:rtl/>
        </w:rPr>
        <w:t xml:space="preserve">2 .شرح الايساغوجي، ج9، ص 268.</w:t>
      </w:r>
    </w:p>
    <w:p>
      <w:pPr>
        <w:pStyle w:val="Heading2"/>
      </w:pPr>
      <w:bookmarkStart w:id="6089" w:name="_Toc5191"/>
      <w:r>
        <w:t>عماد الدين كاتب ، محمّد بن محمّد 519</w:t>
      </w:r>
      <w:bookmarkEnd w:id="608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597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البستان الجامع لجميع تواريخ</w:t>
      </w:r>
    </w:p>
    <w:p>
      <w:pPr>
        <w:pStyle w:val="BookText"/>
      </w:pPr>
      <w:r>
        <w:rPr>
          <w:rFonts w:ascii="IRNazanin" w:hAnsi="IRNazanin" w:eastAsia="IRNazanin" w:cs="IRNazanin"/>
          <w:lang w:bidi="fa-IR"/>
          <w:color w:val="111111"/>
          <w:sz w:val="28"/>
          <w:szCs w:val="28"/>
          <w:rtl/>
        </w:rPr>
        <w:t xml:space="preserve">الزمان، ج3، ص323.</w:t>
      </w:r>
    </w:p>
    <w:p>
      <w:pPr>
        <w:pStyle w:val="BookText"/>
      </w:pPr>
      <w:r>
        <w:rPr>
          <w:rFonts w:ascii="Amiri" w:hAnsi="Amiri" w:eastAsia="Amiri" w:cs="Amiri"/>
          <w:lang w:bidi="ar-SA"/>
          <w:color w:val="111111"/>
          <w:sz w:val="28"/>
          <w:szCs w:val="28"/>
          <w:rtl/>
        </w:rPr>
        <w:t xml:space="preserve">2 .خريدة القصر وجريدة العصر</w:t>
      </w:r>
    </w:p>
    <w:p>
      <w:pPr>
        <w:pStyle w:val="BookText"/>
      </w:pPr>
      <w:r>
        <w:rPr>
          <w:rFonts w:ascii="Amiri" w:hAnsi="Amiri" w:eastAsia="Amiri" w:cs="Amiri"/>
          <w:lang w:bidi="ar-SA"/>
          <w:color w:val="111111"/>
          <w:sz w:val="28"/>
          <w:szCs w:val="28"/>
          <w:rtl/>
        </w:rPr>
        <w:t xml:space="preserve">(ذيل)، ج 7، ص12.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خريدة القصر و جريدة اهل</w:t>
      </w:r>
    </w:p>
    <w:p>
      <w:pPr>
        <w:pStyle w:val="BookText"/>
      </w:pPr>
      <w:r>
        <w:rPr>
          <w:rFonts w:ascii="IRNazanin" w:hAnsi="IRNazanin" w:eastAsia="IRNazanin" w:cs="IRNazanin"/>
          <w:lang w:bidi="fa-IR"/>
          <w:color w:val="111111"/>
          <w:sz w:val="28"/>
          <w:szCs w:val="28"/>
          <w:rtl/>
        </w:rPr>
        <w:t xml:space="preserve">العصر، ج7، ص 9.</w:t>
      </w:r>
    </w:p>
    <w:p>
      <w:pPr>
        <w:pStyle w:val="BookText"/>
      </w:pPr>
      <w:r>
        <w:rPr>
          <w:rFonts w:ascii="Amiri" w:hAnsi="Amiri" w:eastAsia="Amiri" w:cs="Amiri"/>
          <w:lang w:bidi="ar-SA"/>
          <w:color w:val="111111"/>
          <w:sz w:val="28"/>
          <w:szCs w:val="28"/>
          <w:rtl/>
        </w:rPr>
        <w:t xml:space="preserve">4 .خريدة القصر و جريدة اهل العصر</w:t>
      </w:r>
    </w:p>
    <w:p>
      <w:pPr>
        <w:pStyle w:val="BookText"/>
      </w:pPr>
      <w:r>
        <w:rPr>
          <w:rFonts w:ascii="IRNazanin" w:hAnsi="IRNazanin" w:eastAsia="IRNazanin" w:cs="IRNazanin"/>
          <w:lang w:bidi="fa-IR"/>
          <w:color w:val="111111"/>
          <w:sz w:val="28"/>
          <w:szCs w:val="28"/>
          <w:rtl/>
        </w:rPr>
        <w:t xml:space="preserve">(مختصر)، ج 7، ص13.</w:t>
      </w:r>
    </w:p>
    <w:p>
      <w:pPr>
        <w:pStyle w:val="BookText"/>
      </w:pPr>
      <w:r>
        <w:rPr>
          <w:rFonts w:ascii="Amiri" w:hAnsi="Amiri" w:eastAsia="Amiri" w:cs="Amiri"/>
          <w:lang w:bidi="ar-SA"/>
          <w:color w:val="111111"/>
          <w:sz w:val="28"/>
          <w:szCs w:val="28"/>
          <w:rtl/>
        </w:rPr>
        <w:t xml:space="preserve">5 .نصرة الفترة و عصرة القطرة، ج 16،</w:t>
      </w:r>
    </w:p>
    <w:p>
      <w:pPr>
        <w:pStyle w:val="BookText"/>
      </w:pPr>
      <w:r>
        <w:rPr>
          <w:rFonts w:ascii="IRNazanin" w:hAnsi="IRNazanin" w:eastAsia="IRNazanin" w:cs="IRNazanin"/>
          <w:lang w:bidi="fa-IR"/>
          <w:color w:val="111111"/>
          <w:sz w:val="28"/>
          <w:szCs w:val="28"/>
          <w:rtl/>
        </w:rPr>
        <w:t xml:space="preserve">ص 305.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05" w:name="pg7742_70875"/>
    <w:bookmarkEnd w:id="805"/>
    <w:p>
      <w:pPr>
        <w:pStyle w:val="BookText"/>
      </w:pPr>
      <w:r>
        <w:rPr>
          <w:rFonts w:ascii="Amiri" w:hAnsi="Amiri" w:eastAsia="Amiri" w:cs="Amiri"/>
          <w:lang w:bidi="ar-SA"/>
          <w:color w:val="111111"/>
          <w:sz w:val="28"/>
          <w:szCs w:val="28"/>
          <w:rtl/>
        </w:rPr>
        <w:t xml:space="preserve">عماد بن عبد الله -بافقي ، محمّد حكيم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عماد بن يحيى فارسي- عماد الدين فارسي</w:t>
      </w:r>
    </w:p>
    <w:p>
      <w:pPr>
        <w:pStyle w:val="BookText"/>
      </w:pPr>
      <w:r>
        <w:rPr>
          <w:rFonts w:ascii="Amiri" w:hAnsi="Amiri" w:eastAsia="Amiri" w:cs="Amiri"/>
          <w:lang w:bidi="ar-SA"/>
          <w:color w:val="111111"/>
          <w:sz w:val="28"/>
          <w:szCs w:val="28"/>
          <w:rtl/>
        </w:rPr>
        <w:t xml:space="preserve">، عماد بن يحيى</w:t>
      </w:r>
    </w:p>
    <w:p>
      <w:pPr>
        <w:pStyle w:val="BookText"/>
      </w:pPr>
      <w:r>
        <w:rPr>
          <w:rFonts w:ascii="Amiri" w:hAnsi="Amiri" w:eastAsia="Amiri" w:cs="Amiri"/>
          <w:lang w:bidi="ar-SA"/>
          <w:color w:val="111111"/>
          <w:sz w:val="28"/>
          <w:szCs w:val="28"/>
          <w:rtl/>
        </w:rPr>
        <w:t xml:space="preserve">عماد بن يحيى كاشاني -كاشاني ، عماد بن</w:t>
      </w:r>
    </w:p>
    <w:p>
      <w:pPr>
        <w:pStyle w:val="BookText"/>
      </w:pPr>
      <w:r>
        <w:rPr>
          <w:rFonts w:ascii="Amiri" w:hAnsi="Amiri" w:eastAsia="Amiri" w:cs="Amiri"/>
          <w:lang w:bidi="ar-SA"/>
          <w:color w:val="111111"/>
          <w:sz w:val="28"/>
          <w:szCs w:val="28"/>
          <w:rtl/>
        </w:rPr>
        <w:t xml:space="preserve">يحيى</w:t>
      </w:r>
    </w:p>
    <w:p>
      <w:pPr>
        <w:pStyle w:val="BookText"/>
      </w:pPr>
      <w:r>
        <w:rPr>
          <w:rFonts w:ascii="Amiri" w:hAnsi="Amiri" w:eastAsia="Amiri" w:cs="Amiri"/>
          <w:lang w:bidi="ar-SA"/>
          <w:color w:val="111111"/>
          <w:sz w:val="28"/>
          <w:szCs w:val="28"/>
          <w:rtl/>
        </w:rPr>
        <w:t xml:space="preserve">عماد طوسي ، محمّد بن علي- ابن حمزه ،</w:t>
      </w:r>
    </w:p>
    <w:p>
      <w:pPr>
        <w:pStyle w:val="BookText"/>
      </w:pPr>
      <w:r>
        <w:rPr>
          <w:rFonts w:ascii="Amiri" w:hAnsi="Amiri" w:eastAsia="Amiri" w:cs="Amiri"/>
          <w:lang w:bidi="ar-SA"/>
          <w:color w:val="111111"/>
          <w:sz w:val="28"/>
          <w:szCs w:val="28"/>
          <w:rtl/>
        </w:rPr>
        <w:t xml:space="preserve">محمّد بن علي</w:t>
      </w:r>
    </w:p>
    <w:p>
      <w:pPr>
        <w:pStyle w:val="Heading2"/>
      </w:pPr>
      <w:bookmarkStart w:id="6090" w:name="_Toc5192"/>
      <w:r>
        <w:t>عماد عبدالسلام رؤوف</w:t>
      </w:r>
      <w:bookmarkEnd w:id="6090"/>
    </w:p>
    <w:p>
      <w:pPr>
        <w:pStyle w:val="BookText"/>
      </w:pPr>
      <w:r>
        <w:rPr>
          <w:rFonts w:ascii="Amiri" w:hAnsi="Amiri" w:eastAsia="Amiri" w:cs="Amiri"/>
          <w:lang w:bidi="ar-SA"/>
          <w:color w:val="111111"/>
          <w:sz w:val="28"/>
          <w:szCs w:val="28"/>
          <w:rtl/>
        </w:rPr>
        <w:t xml:space="preserve">فهرس مخطوطات خزانة جامع السيد</w:t>
      </w:r>
    </w:p>
    <w:p>
      <w:pPr>
        <w:pStyle w:val="BookText"/>
      </w:pPr>
      <w:r>
        <w:rPr>
          <w:rFonts w:ascii="Amiri" w:hAnsi="Amiri" w:eastAsia="Amiri" w:cs="Amiri"/>
          <w:lang w:bidi="ar-SA"/>
          <w:color w:val="111111"/>
          <w:sz w:val="28"/>
          <w:szCs w:val="28"/>
          <w:rtl/>
        </w:rPr>
        <w:t xml:space="preserve">سلطان علي ببغداد، ج 12، ص 163.</w:t>
      </w:r>
    </w:p>
    <w:p>
      <w:pPr>
        <w:pStyle w:val="Heading2"/>
      </w:pPr>
      <w:bookmarkStart w:id="6091" w:name="_Toc5193"/>
      <w:r>
        <w:t>عماد فقيه علي بن محمود، 690-773ه-</w:t>
      </w:r>
      <w:bookmarkEnd w:id="6091"/>
    </w:p>
    <w:p>
      <w:pPr>
        <w:pStyle w:val="BookText"/>
      </w:pPr>
      <w:r>
        <w:rPr>
          <w:rFonts w:ascii="IRNazanin" w:hAnsi="IRNazanin" w:eastAsia="IRNazanin" w:cs="IRNazanin"/>
          <w:lang w:bidi="fa-IR"/>
          <w:color w:val="111111"/>
          <w:sz w:val="28"/>
          <w:szCs w:val="28"/>
          <w:rtl/>
        </w:rPr>
        <w:t xml:space="preserve">دیوان عماد فقيه كرماني، ج 7، ص 725.</w:t>
      </w:r>
    </w:p>
    <w:p>
      <w:pPr>
        <w:pStyle w:val="BookText"/>
      </w:pPr>
      <w:r>
        <w:rPr>
          <w:rFonts w:ascii="Amiri" w:hAnsi="Amiri" w:eastAsia="Amiri" w:cs="Amiri"/>
          <w:lang w:bidi="ar-SA"/>
          <w:color w:val="111111"/>
          <w:sz w:val="28"/>
          <w:szCs w:val="28"/>
          <w:rtl/>
        </w:rPr>
        <w:t xml:space="preserve">عماد قزويني- مير عماد</w:t>
      </w:r>
    </w:p>
    <w:p>
      <w:pPr>
        <w:pStyle w:val="BookText"/>
      </w:pPr>
      <w:r>
        <w:rPr>
          <w:rFonts w:ascii="Amiri" w:hAnsi="Amiri" w:eastAsia="Amiri" w:cs="Amiri"/>
          <w:lang w:bidi="ar-SA"/>
          <w:color w:val="111111"/>
          <w:sz w:val="28"/>
          <w:szCs w:val="28"/>
          <w:rtl/>
        </w:rPr>
        <w:t xml:space="preserve">عماد كرماني -عماد فقيه ، علي بن محمود</w:t>
      </w:r>
    </w:p>
    <w:p>
      <w:pPr>
        <w:pStyle w:val="Heading2"/>
      </w:pPr>
      <w:bookmarkStart w:id="6092" w:name="_Toc5194"/>
      <w:r>
        <w:t>عماد كندي - 730 ه-</w:t>
      </w:r>
      <w:bookmarkEnd w:id="6092"/>
    </w:p>
    <w:p>
      <w:pPr>
        <w:pStyle w:val="BookText"/>
      </w:pPr>
      <w:r>
        <w:rPr>
          <w:rFonts w:ascii="Amiri" w:hAnsi="Amiri" w:eastAsia="Amiri" w:cs="Amiri"/>
          <w:lang w:bidi="ar-SA"/>
          <w:color w:val="111111"/>
          <w:sz w:val="28"/>
          <w:szCs w:val="28"/>
          <w:rtl/>
        </w:rPr>
        <w:t xml:space="preserve">الكفيل بمعاني التنزيل، ج13، ص 344.</w:t>
      </w:r>
    </w:p>
    <w:p>
      <w:pPr>
        <w:pStyle w:val="BookText"/>
      </w:pPr>
      <w:r>
        <w:rPr>
          <w:rFonts w:ascii="Amiri" w:hAnsi="Amiri" w:eastAsia="Amiri" w:cs="Amiri"/>
          <w:lang w:bidi="ar-SA"/>
          <w:color w:val="111111"/>
          <w:sz w:val="28"/>
          <w:szCs w:val="28"/>
          <w:rtl/>
        </w:rPr>
        <w:t xml:space="preserve">عماد ، مسعود بن معتز- مشهدي ،</w:t>
      </w:r>
    </w:p>
    <w:p>
      <w:pPr>
        <w:pStyle w:val="BookText"/>
      </w:pPr>
      <w:r>
        <w:rPr>
          <w:rFonts w:ascii="IRNazanin" w:hAnsi="IRNazanin" w:eastAsia="IRNazanin" w:cs="IRNazanin"/>
          <w:lang w:bidi="fa-IR"/>
          <w:color w:val="111111"/>
          <w:sz w:val="28"/>
          <w:szCs w:val="28"/>
          <w:rtl/>
        </w:rPr>
        <w:t xml:space="preserve">مسعود بن معتز</w:t>
      </w:r>
    </w:p>
    <w:p>
      <w:pPr>
        <w:pStyle w:val="BookText"/>
      </w:pPr>
      <w:r>
        <w:rPr>
          <w:rFonts w:ascii="Amiri" w:hAnsi="Amiri" w:eastAsia="Amiri" w:cs="Amiri"/>
          <w:lang w:bidi="ar-SA"/>
          <w:color w:val="111111"/>
          <w:sz w:val="28"/>
          <w:szCs w:val="28"/>
          <w:rtl/>
        </w:rPr>
        <w:t xml:space="preserve">عماد نظامي مشهدي- مشهدي ، مسعود</w:t>
      </w:r>
    </w:p>
    <w:p>
      <w:pPr>
        <w:pStyle w:val="BookText"/>
      </w:pPr>
      <w:r>
        <w:rPr>
          <w:rFonts w:ascii="IRNazanin" w:hAnsi="IRNazanin" w:eastAsia="IRNazanin" w:cs="IRNazanin"/>
          <w:lang w:bidi="fa-IR"/>
          <w:color w:val="111111"/>
          <w:sz w:val="28"/>
          <w:szCs w:val="28"/>
          <w:rtl/>
        </w:rPr>
        <w:t xml:space="preserve">بن معتز</w:t>
      </w:r>
    </w:p>
    <w:p>
      <w:pPr>
        <w:pStyle w:val="BookText"/>
      </w:pPr>
      <w:r>
        <w:rPr>
          <w:rFonts w:ascii="Amiri" w:hAnsi="Amiri" w:eastAsia="Amiri" w:cs="Amiri"/>
          <w:lang w:bidi="ar-SA"/>
          <w:color w:val="111111"/>
          <w:sz w:val="28"/>
          <w:szCs w:val="28"/>
          <w:rtl/>
        </w:rPr>
        <w:t xml:space="preserve">عمادي، ابو السعود محمّد بن</w:t>
      </w:r>
    </w:p>
    <w:p>
      <w:pPr>
        <w:pStyle w:val="BookText"/>
      </w:pPr>
      <w:r>
        <w:rPr>
          <w:rFonts w:ascii="Amiri" w:hAnsi="Amiri" w:eastAsia="Amiri" w:cs="Amiri"/>
          <w:lang w:bidi="ar-SA"/>
          <w:color w:val="111111"/>
          <w:sz w:val="28"/>
          <w:szCs w:val="28"/>
          <w:rtl/>
        </w:rPr>
        <w:t xml:space="preserve">محمّد -ابو السعود عمادي ، محمّد بن محمّد</w:t>
      </w:r>
    </w:p>
    <w:p>
      <w:pPr>
        <w:pStyle w:val="Heading2"/>
      </w:pPr>
      <w:bookmarkStart w:id="6093" w:name="_Toc5195"/>
      <w:r>
        <w:t>عمادي ، احمد بن محمّد</w:t>
      </w:r>
      <w:bookmarkEnd w:id="6093"/>
    </w:p>
    <w:p>
      <w:pPr>
        <w:pStyle w:val="BookText"/>
      </w:pPr>
      <w:r>
        <w:rPr>
          <w:rFonts w:ascii="IRNazanin" w:hAnsi="IRNazanin" w:eastAsia="IRNazanin" w:cs="IRNazanin"/>
          <w:lang w:bidi="fa-IR"/>
          <w:color w:val="111111"/>
          <w:sz w:val="28"/>
          <w:szCs w:val="28"/>
          <w:rtl/>
        </w:rPr>
        <w:t xml:space="preserve">1 .حاشية شرح الملخص چغميني</w:t>
      </w:r>
    </w:p>
    <w:p>
      <w:pPr>
        <w:pStyle w:val="BookText"/>
      </w:pPr>
      <w:r>
        <w:rPr>
          <w:rFonts w:ascii="IRNazanin" w:hAnsi="IRNazanin" w:eastAsia="IRNazanin" w:cs="IRNazanin"/>
          <w:lang w:bidi="fa-IR"/>
          <w:color w:val="111111"/>
          <w:sz w:val="28"/>
          <w:szCs w:val="28"/>
          <w:rtl/>
        </w:rPr>
        <w:t xml:space="preserve">ج 6، ص 192.</w:t>
      </w:r>
    </w:p>
    <w:p>
      <w:pPr>
        <w:pStyle w:val="BookText"/>
      </w:pPr>
      <w:r>
        <w:rPr>
          <w:rFonts w:ascii="Amiri" w:hAnsi="Amiri" w:eastAsia="Amiri" w:cs="Amiri"/>
          <w:lang w:bidi="ar-SA"/>
          <w:color w:val="111111"/>
          <w:sz w:val="28"/>
          <w:szCs w:val="28"/>
          <w:rtl/>
        </w:rPr>
        <w:t xml:space="preserve">2 .الرسالة المصنوعة على المسألة</w:t>
      </w:r>
    </w:p>
    <w:p>
      <w:pPr>
        <w:pStyle w:val="BookText"/>
      </w:pPr>
      <w:r>
        <w:rPr>
          <w:rFonts w:ascii="Amiri" w:hAnsi="Amiri" w:eastAsia="Amiri" w:cs="Amiri"/>
          <w:lang w:bidi="ar-SA"/>
          <w:color w:val="111111"/>
          <w:sz w:val="28"/>
          <w:szCs w:val="28"/>
          <w:rtl/>
        </w:rPr>
        <w:t xml:space="preserve">الشعيرية، ج8، ص272.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نسبة ارتفاع اعظم الجبال (رسالة</w:t>
      </w:r>
    </w:p>
    <w:p>
      <w:pPr>
        <w:pStyle w:val="BookText"/>
      </w:pPr>
      <w:r>
        <w:rPr>
          <w:rFonts w:ascii="Amiri" w:hAnsi="Amiri" w:eastAsia="Amiri" w:cs="Amiri"/>
          <w:lang w:bidi="ar-SA"/>
          <w:color w:val="111111"/>
          <w:sz w:val="28"/>
          <w:szCs w:val="28"/>
          <w:rtl/>
        </w:rPr>
        <w:t xml:space="preserve">في)، ج 16، ص 263.</w:t>
      </w:r>
    </w:p>
    <w:p>
      <w:pPr>
        <w:pStyle w:val="Heading2"/>
      </w:pPr>
      <w:bookmarkStart w:id="6094" w:name="_Toc5196"/>
      <w:r>
        <w:t>عمادي ، حامد افندي، قرن 12 ه-</w:t>
      </w:r>
      <w:bookmarkEnd w:id="6094"/>
    </w:p>
    <w:p>
      <w:pPr>
        <w:pStyle w:val="BookText"/>
      </w:pPr>
      <w:r>
        <w:rPr>
          <w:rFonts w:ascii="Amiri" w:hAnsi="Amiri" w:eastAsia="Amiri" w:cs="Amiri"/>
          <w:lang w:bidi="ar-SA"/>
          <w:color w:val="111111"/>
          <w:sz w:val="28"/>
          <w:szCs w:val="28"/>
          <w:rtl/>
        </w:rPr>
        <w:t xml:space="preserve">الصلوات الفاخرة بالاحاديث المتواترة</w:t>
      </w:r>
    </w:p>
    <w:p>
      <w:pPr>
        <w:pStyle w:val="BookText"/>
      </w:pPr>
      <w:r>
        <w:rPr>
          <w:rFonts w:ascii="IRNazanin" w:hAnsi="IRNazanin" w:eastAsia="IRNazanin" w:cs="IRNazanin"/>
          <w:lang w:bidi="fa-IR"/>
          <w:color w:val="111111"/>
          <w:sz w:val="28"/>
          <w:szCs w:val="28"/>
          <w:rtl/>
        </w:rPr>
        <w:t xml:space="preserve">ج 10، ص 629 .</w:t>
      </w:r>
    </w:p>
    <w:p>
      <w:pPr>
        <w:pStyle w:val="Heading2"/>
      </w:pPr>
      <w:bookmarkStart w:id="6095" w:name="_Toc5197"/>
      <w:r>
        <w:t>عمادي، حامد بن علي، 1103 - 1171 ه-</w:t>
      </w:r>
      <w:bookmarkEnd w:id="60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الدر المستطاب في موافقات عمر بن الخطاب و ابي بكر و علي ابي</w:t>
      </w:r>
    </w:p>
    <w:p>
      <w:pPr>
        <w:pStyle w:val="BookText"/>
      </w:pPr>
      <w:r>
        <w:rPr>
          <w:rFonts w:ascii="IRNazanin" w:hAnsi="IRNazanin" w:eastAsia="IRNazanin" w:cs="IRNazanin"/>
          <w:lang w:bidi="fa-IR"/>
          <w:color w:val="111111"/>
          <w:sz w:val="28"/>
          <w:szCs w:val="28"/>
          <w:rtl/>
        </w:rPr>
        <w:t xml:space="preserve">تراب، ج 7، ص331</w:t>
      </w:r>
    </w:p>
    <w:p>
      <w:pPr>
        <w:pStyle w:val="BookText"/>
      </w:pPr>
      <w:r>
        <w:rPr>
          <w:rFonts w:ascii="Amiri" w:hAnsi="Amiri" w:eastAsia="Amiri" w:cs="Amiri"/>
          <w:lang w:bidi="ar-SA"/>
          <w:color w:val="111111"/>
          <w:sz w:val="28"/>
          <w:szCs w:val="28"/>
          <w:rtl/>
        </w:rPr>
        <w:t xml:space="preserve">2.اللمعة في بيان تحريم المتعة، ج 13،</w:t>
      </w:r>
    </w:p>
    <w:p>
      <w:pPr>
        <w:pStyle w:val="BookText"/>
      </w:pPr>
      <w:r>
        <w:rPr>
          <w:rFonts w:ascii="IRNazanin" w:hAnsi="IRNazanin" w:eastAsia="IRNazanin" w:cs="IRNazanin"/>
          <w:lang w:bidi="fa-IR"/>
          <w:color w:val="111111"/>
          <w:sz w:val="28"/>
          <w:szCs w:val="28"/>
          <w:rtl/>
        </w:rPr>
        <w:t xml:space="preserve">ص 621 .</w:t>
      </w:r>
    </w:p>
    <w:p>
      <w:pPr>
        <w:pStyle w:val="BookText"/>
      </w:pPr>
      <w:r>
        <w:rPr>
          <w:rFonts w:ascii="Amiri" w:hAnsi="Amiri" w:eastAsia="Amiri" w:cs="Amiri"/>
          <w:lang w:bidi="ar-SA"/>
          <w:color w:val="111111"/>
          <w:sz w:val="28"/>
          <w:szCs w:val="28"/>
          <w:rtl/>
        </w:rPr>
        <w:t xml:space="preserve">3 .المطالب السنية للفتاوى العلية</w:t>
      </w:r>
    </w:p>
    <w:p>
      <w:pPr>
        <w:pStyle w:val="BookText"/>
      </w:pPr>
      <w:r>
        <w:rPr>
          <w:rFonts w:ascii="IRNazanin" w:hAnsi="IRNazanin" w:eastAsia="IRNazanin" w:cs="IRNazanin"/>
          <w:lang w:bidi="fa-IR"/>
          <w:color w:val="111111"/>
          <w:sz w:val="28"/>
          <w:szCs w:val="28"/>
          <w:rtl/>
        </w:rPr>
        <w:t xml:space="preserve">ج 14، ص 762.</w:t>
      </w:r>
    </w:p>
    <w:p>
      <w:pPr>
        <w:pStyle w:val="BookText"/>
      </w:pPr>
      <w:r>
        <w:rPr>
          <w:rFonts w:ascii="Amiri" w:hAnsi="Amiri" w:eastAsia="Amiri" w:cs="Amiri"/>
          <w:lang w:bidi="ar-SA"/>
          <w:color w:val="111111"/>
          <w:sz w:val="28"/>
          <w:szCs w:val="28"/>
          <w:rtl/>
        </w:rPr>
        <w:t xml:space="preserve">عمادي ، حامد بن محمّد- قونوي ، حامد بن محمّد</w:t>
      </w:r>
    </w:p>
    <w:p>
      <w:pPr>
        <w:pStyle w:val="BookText"/>
      </w:pPr>
      <w:r>
        <w:rPr>
          <w:rFonts w:ascii="Amiri" w:hAnsi="Amiri" w:eastAsia="Amiri" w:cs="Amiri"/>
          <w:lang w:bidi="ar-SA"/>
          <w:color w:val="111111"/>
          <w:sz w:val="28"/>
          <w:szCs w:val="28"/>
          <w:rtl/>
        </w:rPr>
        <w:t xml:space="preserve">عمادي ، محمّد بن محمّد -ابو السعود عمادي ، محمّد بن محمّد</w:t>
      </w:r>
    </w:p>
    <w:p>
      <w:pPr>
        <w:pStyle w:val="Heading2"/>
      </w:pPr>
      <w:bookmarkStart w:id="6096" w:name="_Toc5198"/>
      <w:r>
        <w:t>عمادي ، عبدالرحمن بن علي - 1223</w:t>
      </w:r>
      <w:bookmarkEnd w:id="6096"/>
    </w:p>
    <w:p>
      <w:pPr>
        <w:pStyle w:val="BookText"/>
      </w:pPr>
      <w:r>
        <w:rPr>
          <w:rFonts w:ascii="Amiri" w:hAnsi="Amiri" w:eastAsia="Amiri" w:cs="Amiri"/>
          <w:lang w:bidi="ar-SA"/>
          <w:color w:val="111111"/>
          <w:sz w:val="28"/>
          <w:szCs w:val="28"/>
          <w:rtl/>
        </w:rPr>
        <w:t xml:space="preserve">الأغلاط التسعة في النقد اللغوي و</w:t>
      </w:r>
    </w:p>
    <w:p>
      <w:pPr>
        <w:pStyle w:val="BookText"/>
      </w:pPr>
      <w:r>
        <w:rPr>
          <w:rFonts w:ascii="Amiri" w:hAnsi="Amiri" w:eastAsia="Amiri" w:cs="Amiri"/>
          <w:lang w:bidi="ar-SA"/>
          <w:color w:val="111111"/>
          <w:sz w:val="28"/>
          <w:szCs w:val="28"/>
          <w:rtl/>
        </w:rPr>
        <w:t xml:space="preserve">البلاغي، ج 2، ص 586.</w:t>
      </w:r>
    </w:p>
    <w:p>
      <w:pPr>
        <w:pStyle w:val="Heading2"/>
      </w:pPr>
      <w:bookmarkStart w:id="6097" w:name="_Toc5199"/>
      <w:r>
        <w:t>عمادي ، عبدالرحمن بن محمّد 974 -</w:t>
      </w:r>
      <w:bookmarkEnd w:id="6097"/>
    </w:p>
    <w:p>
      <w:pPr>
        <w:pStyle w:val="BookText"/>
      </w:pPr>
      <w:r>
        <w:rPr>
          <w:rFonts w:ascii="Amiri" w:hAnsi="Amiri" w:eastAsia="Amiri" w:cs="Amiri"/>
          <w:lang w:bidi="ar-SA"/>
          <w:color w:val="111111"/>
          <w:sz w:val="28"/>
          <w:szCs w:val="28"/>
          <w:rtl/>
        </w:rPr>
        <w:t xml:space="preserve">1 .الروضة الريا فيمن دفن بداريا</w:t>
      </w:r>
    </w:p>
    <w:p>
      <w:pPr>
        <w:pStyle w:val="BookText"/>
      </w:pPr>
      <w:r>
        <w:rPr>
          <w:rFonts w:ascii="IRNazanin" w:hAnsi="IRNazanin" w:eastAsia="IRNazanin" w:cs="IRNazanin"/>
          <w:lang w:bidi="fa-IR"/>
          <w:color w:val="111111"/>
          <w:sz w:val="28"/>
          <w:szCs w:val="28"/>
          <w:rtl/>
        </w:rPr>
        <w:t xml:space="preserve">ج 8، ص 433 .</w:t>
      </w:r>
    </w:p>
    <w:p>
      <w:pPr>
        <w:pStyle w:val="BookText"/>
      </w:pPr>
      <w:r>
        <w:rPr>
          <w:rFonts w:ascii="IRNazanin" w:hAnsi="IRNazanin" w:eastAsia="IRNazanin" w:cs="IRNazanin"/>
          <w:lang w:bidi="fa-IR"/>
          <w:color w:val="111111"/>
          <w:sz w:val="28"/>
          <w:szCs w:val="28"/>
          <w:rtl/>
        </w:rPr>
        <w:t xml:space="preserve">2 .المستطاع من الزاد، ج 14، ص 557.</w:t>
      </w:r>
    </w:p>
    <w:p>
      <w:pPr>
        <w:pStyle w:val="BookText"/>
      </w:pPr>
      <w:r>
        <w:rPr>
          <w:rFonts w:ascii="Amiri" w:hAnsi="Amiri" w:eastAsia="Amiri" w:cs="Amiri"/>
          <w:lang w:bidi="ar-SA"/>
          <w:color w:val="111111"/>
          <w:sz w:val="28"/>
          <w:szCs w:val="28"/>
          <w:rtl/>
        </w:rPr>
        <w:t xml:space="preserve">3 .هدية إبن العماد لعبادة العباد في</w:t>
      </w:r>
    </w:p>
    <w:p>
      <w:pPr>
        <w:pStyle w:val="BookText"/>
      </w:pPr>
      <w:r>
        <w:rPr>
          <w:rFonts w:ascii="Amiri" w:hAnsi="Amiri" w:eastAsia="Amiri" w:cs="Amiri"/>
          <w:lang w:bidi="ar-SA"/>
          <w:color w:val="111111"/>
          <w:sz w:val="28"/>
          <w:szCs w:val="28"/>
          <w:rtl/>
        </w:rPr>
        <w:t xml:space="preserve">الصلاة، ج 16، ص 637.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06" w:name="pg7742_70877"/>
    <w:bookmarkEnd w:id="806"/>
    <w:p>
      <w:pPr>
        <w:pStyle w:val="Heading2"/>
      </w:pPr>
      <w:bookmarkStart w:id="6098" w:name="_Toc5200"/>
      <w:r>
        <w:t>عمادي ، عبدالله قرن 12 ه-</w:t>
      </w:r>
      <w:bookmarkEnd w:id="6098"/>
    </w:p>
    <w:p>
      <w:pPr>
        <w:pStyle w:val="BookText"/>
      </w:pPr>
      <w:r>
        <w:rPr>
          <w:rFonts w:ascii="Amiri" w:hAnsi="Amiri" w:eastAsia="Amiri" w:cs="Amiri"/>
          <w:lang w:bidi="ar-SA"/>
          <w:color w:val="111111"/>
          <w:sz w:val="28"/>
          <w:szCs w:val="28"/>
          <w:rtl/>
        </w:rPr>
        <w:t xml:space="preserve">شرح العزي في التصريف = شرح التصريف العزي، ج 9، ص 716 .</w:t>
      </w:r>
    </w:p>
    <w:p>
      <w:pPr>
        <w:pStyle w:val="Heading2"/>
      </w:pPr>
      <w:bookmarkStart w:id="6099" w:name="_Toc5201"/>
      <w:r>
        <w:t>عمادي ، علي</w:t>
      </w:r>
      <w:bookmarkEnd w:id="6099"/>
    </w:p>
    <w:p>
      <w:pPr>
        <w:pStyle w:val="BookText"/>
      </w:pPr>
      <w:r>
        <w:rPr>
          <w:rFonts w:ascii="Amiri" w:hAnsi="Amiri" w:eastAsia="Amiri" w:cs="Amiri"/>
          <w:lang w:bidi="ar-SA"/>
          <w:color w:val="111111"/>
          <w:sz w:val="28"/>
          <w:szCs w:val="28"/>
          <w:rtl/>
        </w:rPr>
        <w:t xml:space="preserve">حاشية منطقية، ج6، ص 425.</w:t>
      </w:r>
    </w:p>
    <w:p>
      <w:pPr>
        <w:pStyle w:val="BookText"/>
      </w:pPr>
      <w:r>
        <w:rPr>
          <w:rFonts w:ascii="Amiri" w:hAnsi="Amiri" w:eastAsia="Amiri" w:cs="Amiri"/>
          <w:lang w:bidi="ar-SA"/>
          <w:color w:val="111111"/>
          <w:sz w:val="28"/>
          <w:szCs w:val="28"/>
          <w:rtl/>
        </w:rPr>
        <w:t xml:space="preserve">عمادي ، يحيى بن خالد- مزوري ، يحيى</w:t>
      </w:r>
    </w:p>
    <w:p>
      <w:pPr>
        <w:pStyle w:val="BookText"/>
      </w:pPr>
      <w:r>
        <w:rPr>
          <w:rFonts w:ascii="IRNazanin" w:hAnsi="IRNazanin" w:eastAsia="IRNazanin" w:cs="IRNazanin"/>
          <w:lang w:bidi="fa-IR"/>
          <w:color w:val="111111"/>
          <w:sz w:val="28"/>
          <w:szCs w:val="28"/>
          <w:rtl/>
        </w:rPr>
        <w:t xml:space="preserve">بن خالد</w:t>
      </w:r>
    </w:p>
    <w:p>
      <w:pPr>
        <w:pStyle w:val="BookText"/>
      </w:pPr>
      <w:r>
        <w:rPr>
          <w:rFonts w:ascii="IRNazanin" w:hAnsi="IRNazanin" w:eastAsia="IRNazanin" w:cs="IRNazanin"/>
          <w:lang w:bidi="fa-IR"/>
          <w:color w:val="111111"/>
          <w:sz w:val="28"/>
          <w:szCs w:val="28"/>
          <w:rtl/>
        </w:rPr>
        <w:t xml:space="preserve">عمار ، ابراهیم هجر بن عمر- هجر</w:t>
      </w:r>
    </w:p>
    <w:p>
      <w:pPr>
        <w:pStyle w:val="BookText"/>
      </w:pPr>
      <w:r>
        <w:rPr>
          <w:rFonts w:ascii="Amiri" w:hAnsi="Amiri" w:eastAsia="Amiri" w:cs="Amiri"/>
          <w:lang w:bidi="ar-SA"/>
          <w:color w:val="111111"/>
          <w:sz w:val="28"/>
          <w:szCs w:val="28"/>
          <w:rtl/>
        </w:rPr>
        <w:t xml:space="preserve">ابراهيم بن عمر</w:t>
      </w:r>
    </w:p>
    <w:p>
      <w:pPr>
        <w:pStyle w:val="BookText"/>
      </w:pPr>
      <w:r>
        <w:rPr>
          <w:rFonts w:ascii="Amiri" w:hAnsi="Amiri" w:eastAsia="Amiri" w:cs="Amiri"/>
          <w:lang w:bidi="ar-SA"/>
          <w:color w:val="111111"/>
          <w:sz w:val="28"/>
          <w:szCs w:val="28"/>
          <w:rtl/>
        </w:rPr>
        <w:t xml:space="preserve">عمارة بن عقيل الكلبي اليربوعي- كلبي</w:t>
      </w:r>
    </w:p>
    <w:p>
      <w:pPr>
        <w:pStyle w:val="BookText"/>
      </w:pPr>
      <w:r>
        <w:rPr>
          <w:rFonts w:ascii="Amiri" w:hAnsi="Amiri" w:eastAsia="Amiri" w:cs="Amiri"/>
          <w:lang w:bidi="ar-SA"/>
          <w:color w:val="111111"/>
          <w:sz w:val="28"/>
          <w:szCs w:val="28"/>
          <w:rtl/>
        </w:rPr>
        <w:t xml:space="preserve">عمارة بن عقيل</w:t>
      </w:r>
    </w:p>
    <w:p>
      <w:pPr>
        <w:pStyle w:val="Heading2"/>
      </w:pPr>
      <w:bookmarkStart w:id="6100" w:name="_Toc5202"/>
      <w:r>
        <w:t>عماره يمني عمارة بن علي 515-569 ه-</w:t>
      </w:r>
      <w:bookmarkEnd w:id="6100"/>
    </w:p>
    <w:p>
      <w:pPr>
        <w:pStyle w:val="BookText"/>
      </w:pPr>
      <w:r>
        <w:rPr>
          <w:rFonts w:ascii="Amiri" w:hAnsi="Amiri" w:eastAsia="Amiri" w:cs="Amiri"/>
          <w:lang w:bidi="ar-SA"/>
          <w:color w:val="111111"/>
          <w:sz w:val="28"/>
          <w:szCs w:val="28"/>
          <w:rtl/>
        </w:rPr>
        <w:t xml:space="preserve">تاريخ اليمن - المفيد في أخبار صنعاء</w:t>
      </w:r>
    </w:p>
    <w:p>
      <w:pPr>
        <w:pStyle w:val="BookText"/>
      </w:pPr>
      <w:r>
        <w:rPr>
          <w:rFonts w:ascii="IRNazanin" w:hAnsi="IRNazanin" w:eastAsia="IRNazanin" w:cs="IRNazanin"/>
          <w:lang w:bidi="fa-IR"/>
          <w:color w:val="111111"/>
          <w:sz w:val="28"/>
          <w:szCs w:val="28"/>
          <w:rtl/>
        </w:rPr>
        <w:t xml:space="preserve">و ،زبید، ج 3، ص 615.</w:t>
      </w:r>
    </w:p>
    <w:p>
      <w:pPr>
        <w:pStyle w:val="Heading2"/>
      </w:pPr>
      <w:bookmarkStart w:id="6101" w:name="_Toc5203"/>
      <w:r>
        <w:t>عماري، ابراهيم قرن 12 ه-</w:t>
      </w:r>
      <w:bookmarkEnd w:id="6101"/>
    </w:p>
    <w:p>
      <w:pPr>
        <w:pStyle w:val="BookText"/>
      </w:pPr>
      <w:r>
        <w:rPr>
          <w:rFonts w:ascii="Amiri" w:hAnsi="Amiri" w:eastAsia="Amiri" w:cs="Amiri"/>
          <w:lang w:bidi="ar-SA"/>
          <w:color w:val="111111"/>
          <w:sz w:val="28"/>
          <w:szCs w:val="28"/>
          <w:rtl/>
        </w:rPr>
        <w:t xml:space="preserve">حل شرب الدخان (رسالة في)، ج 6،</w:t>
      </w:r>
    </w:p>
    <w:p>
      <w:pPr>
        <w:pStyle w:val="BookText"/>
      </w:pPr>
      <w:r>
        <w:rPr>
          <w:rFonts w:ascii="IRNazanin" w:hAnsi="IRNazanin" w:eastAsia="IRNazanin" w:cs="IRNazanin"/>
          <w:lang w:bidi="fa-IR"/>
          <w:color w:val="111111"/>
          <w:sz w:val="28"/>
          <w:szCs w:val="28"/>
          <w:rtl/>
        </w:rPr>
        <w:t xml:space="preserve">ص 782 .</w:t>
      </w:r>
    </w:p>
    <w:p>
      <w:pPr>
        <w:pStyle w:val="Heading2"/>
      </w:pPr>
      <w:bookmarkStart w:id="6102" w:name="_Toc5204"/>
      <w:r>
        <w:t>عمان ساماني، نورالله بن عبد الله، قرن 13ه-</w:t>
      </w:r>
      <w:bookmarkEnd w:id="6102"/>
    </w:p>
    <w:p>
      <w:pPr>
        <w:pStyle w:val="BookText"/>
      </w:pPr>
      <w:r>
        <w:rPr>
          <w:rFonts w:ascii="Amiri" w:hAnsi="Amiri" w:eastAsia="Amiri" w:cs="Amiri"/>
          <w:lang w:bidi="ar-SA"/>
          <w:color w:val="111111"/>
          <w:sz w:val="28"/>
          <w:szCs w:val="28"/>
          <w:rtl/>
        </w:rPr>
        <w:t xml:space="preserve">كنجينة الاسرار، ج 13، ص 506.</w:t>
      </w:r>
    </w:p>
    <w:p>
      <w:pPr>
        <w:pStyle w:val="BookText"/>
      </w:pPr>
      <w:r>
        <w:rPr>
          <w:rFonts w:ascii="Amiri" w:hAnsi="Amiri" w:eastAsia="Amiri" w:cs="Amiri"/>
          <w:lang w:bidi="ar-SA"/>
          <w:color w:val="111111"/>
          <w:sz w:val="28"/>
          <w:szCs w:val="28"/>
          <w:rtl/>
        </w:rPr>
        <w:t xml:space="preserve">عمانوئيل المفسر - برشهاوي ، عمانوئيل</w:t>
      </w:r>
    </w:p>
    <w:p>
      <w:pPr>
        <w:pStyle w:val="Heading2"/>
      </w:pPr>
      <w:bookmarkStart w:id="6103" w:name="_Toc5205"/>
      <w:r>
        <w:t>عماني ، علي بن احمد</w:t>
      </w:r>
      <w:bookmarkEnd w:id="6103"/>
    </w:p>
    <w:p>
      <w:pPr>
        <w:pStyle w:val="BookText"/>
      </w:pPr>
      <w:r>
        <w:rPr>
          <w:rFonts w:ascii="IRNazanin" w:hAnsi="IRNazanin" w:eastAsia="IRNazanin" w:cs="IRNazanin"/>
          <w:lang w:bidi="fa-IR"/>
          <w:color w:val="111111"/>
          <w:sz w:val="28"/>
          <w:szCs w:val="28"/>
          <w:rtl/>
        </w:rPr>
        <w:t xml:space="preserve">زبور داود، ج8، ص597</w:t>
      </w:r>
    </w:p>
    <w:p>
      <w:pPr>
        <w:pStyle w:val="Heading2"/>
      </w:pPr>
      <w:bookmarkStart w:id="6104" w:name="_Toc5206"/>
      <w:r>
        <w:t>عماني ، محمّد بن خلفان</w:t>
      </w:r>
      <w:bookmarkEnd w:id="6104"/>
    </w:p>
    <w:p>
      <w:pPr>
        <w:pStyle w:val="BookText"/>
      </w:pPr>
      <w:r>
        <w:rPr>
          <w:rFonts w:ascii="Amiri" w:hAnsi="Amiri" w:eastAsia="Amiri" w:cs="Amiri"/>
          <w:lang w:bidi="ar-SA"/>
          <w:color w:val="111111"/>
          <w:sz w:val="28"/>
          <w:szCs w:val="28"/>
          <w:rtl/>
        </w:rPr>
        <w:t xml:space="preserve">اجوبة مسائل، ج 1، ص 340.</w:t>
      </w:r>
    </w:p>
    <w:p>
      <w:pPr>
        <w:pStyle w:val="Heading2"/>
      </w:pPr>
      <w:bookmarkStart w:id="6105" w:name="_Toc5207"/>
      <w:r>
        <w:t>عمر آغا حنفي، قرن 11 ه-</w:t>
      </w:r>
      <w:bookmarkEnd w:id="6105"/>
    </w:p>
    <w:p>
      <w:pPr>
        <w:pStyle w:val="BookText"/>
      </w:pPr>
      <w:r>
        <w:rPr>
          <w:rFonts w:ascii="Amiri" w:hAnsi="Amiri" w:eastAsia="Amiri" w:cs="Amiri"/>
          <w:lang w:bidi="ar-SA"/>
          <w:color w:val="111111"/>
          <w:sz w:val="28"/>
          <w:szCs w:val="28"/>
          <w:rtl/>
        </w:rPr>
        <w:t xml:space="preserve">الاتحاف في نسبة آل الاشراف، ج1،</w:t>
      </w:r>
    </w:p>
    <w:p>
      <w:pPr>
        <w:pStyle w:val="BookText"/>
      </w:pPr>
      <w:r>
        <w:rPr>
          <w:rFonts w:ascii="IRNazanin" w:hAnsi="IRNazanin" w:eastAsia="IRNazanin" w:cs="IRNazanin"/>
          <w:lang w:bidi="fa-IR"/>
          <w:color w:val="111111"/>
          <w:sz w:val="28"/>
          <w:szCs w:val="28"/>
          <w:rtl/>
        </w:rPr>
        <w:t xml:space="preserve">ص 132.</w:t>
      </w:r>
    </w:p>
    <w:p>
      <w:pPr>
        <w:pStyle w:val="Heading2"/>
      </w:pPr>
      <w:bookmarkStart w:id="6106" w:name="_Toc5208"/>
      <w:r>
        <w:t>عمر افندي</w:t>
      </w:r>
      <w:bookmarkEnd w:id="6106"/>
    </w:p>
    <w:p>
      <w:pPr>
        <w:pStyle w:val="BookText"/>
      </w:pPr>
      <w:r>
        <w:rPr>
          <w:rFonts w:ascii="Amiri" w:hAnsi="Amiri" w:eastAsia="Amiri" w:cs="Amiri"/>
          <w:lang w:bidi="ar-SA"/>
          <w:color w:val="111111"/>
          <w:sz w:val="28"/>
          <w:szCs w:val="28"/>
          <w:rtl/>
        </w:rPr>
        <w:t xml:space="preserve">الايمان (رسالة في)، ج 3، ص 153.</w:t>
      </w:r>
    </w:p>
    <w:p>
      <w:pPr>
        <w:pStyle w:val="BookText"/>
      </w:pPr>
      <w:r>
        <w:rPr>
          <w:rFonts w:ascii="Amiri" w:hAnsi="Amiri" w:eastAsia="Amiri" w:cs="Amiri"/>
          <w:lang w:bidi="ar-SA"/>
          <w:color w:val="111111"/>
          <w:sz w:val="28"/>
          <w:szCs w:val="28"/>
          <w:rtl/>
        </w:rPr>
        <w:t xml:space="preserve">عمر افندي عطار- عطار ، عمر افندي</w:t>
      </w:r>
    </w:p>
    <w:p>
      <w:pPr>
        <w:pStyle w:val="BookText"/>
      </w:pPr>
      <w:r>
        <w:rPr>
          <w:rFonts w:ascii="Amiri" w:hAnsi="Amiri" w:eastAsia="Amiri" w:cs="Amiri"/>
          <w:lang w:bidi="ar-SA"/>
          <w:color w:val="111111"/>
          <w:sz w:val="28"/>
          <w:szCs w:val="28"/>
          <w:rtl/>
        </w:rPr>
        <w:t xml:space="preserve">عمر افندي كليسي- كليسي ، عمر افندي</w:t>
      </w:r>
    </w:p>
    <w:p>
      <w:pPr>
        <w:pStyle w:val="BookText"/>
      </w:pPr>
      <w:r>
        <w:rPr>
          <w:rFonts w:ascii="Amiri" w:hAnsi="Amiri" w:eastAsia="Amiri" w:cs="Amiri"/>
          <w:lang w:bidi="ar-SA"/>
          <w:color w:val="111111"/>
          <w:sz w:val="28"/>
          <w:szCs w:val="28"/>
          <w:rtl/>
        </w:rPr>
        <w:t xml:space="preserve">عمر الشهيد ، عمر بن عبدالعزيز - صدر</w:t>
      </w:r>
    </w:p>
    <w:p>
      <w:pPr>
        <w:pStyle w:val="BookText"/>
      </w:pPr>
      <w:r>
        <w:rPr>
          <w:rFonts w:ascii="Amiri" w:hAnsi="Amiri" w:eastAsia="Amiri" w:cs="Amiri"/>
          <w:lang w:bidi="ar-SA"/>
          <w:color w:val="111111"/>
          <w:sz w:val="28"/>
          <w:szCs w:val="28"/>
          <w:rtl/>
        </w:rPr>
        <w:t xml:space="preserve">الشهيد ، عمر بن عبدالعزيز</w:t>
      </w:r>
    </w:p>
    <w:p>
      <w:pPr>
        <w:pStyle w:val="BookText"/>
      </w:pPr>
      <w:r>
        <w:rPr>
          <w:rFonts w:ascii="Amiri" w:hAnsi="Amiri" w:eastAsia="Amiri" w:cs="Amiri"/>
          <w:lang w:bidi="ar-SA"/>
          <w:color w:val="111111"/>
          <w:sz w:val="28"/>
          <w:szCs w:val="28"/>
          <w:rtl/>
        </w:rPr>
        <w:t xml:space="preserve">عمران بن احمد دعبيل- دعبيل ، عمران</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6107" w:name="_Toc5209"/>
      <w:r>
        <w:t>عمراني ، رضا بن محمّد هادي</w:t>
      </w:r>
      <w:bookmarkEnd w:id="6107"/>
    </w:p>
    <w:p>
      <w:pPr>
        <w:pStyle w:val="BookText"/>
      </w:pPr>
      <w:r>
        <w:rPr>
          <w:rFonts w:ascii="Amiri" w:hAnsi="Amiri" w:eastAsia="Amiri" w:cs="Amiri"/>
          <w:lang w:bidi="ar-SA"/>
          <w:color w:val="111111"/>
          <w:sz w:val="28"/>
          <w:szCs w:val="28"/>
          <w:rtl/>
        </w:rPr>
        <w:t xml:space="preserve">حلق اللحية (رسالة في)، ج6، ص788.</w:t>
      </w:r>
    </w:p>
    <w:p>
      <w:pPr>
        <w:pStyle w:val="Heading2"/>
      </w:pPr>
      <w:bookmarkStart w:id="6108" w:name="_Toc5210"/>
      <w:r>
        <w:t>عمراني ، علي بن محمد، قرن 6 ه-</w:t>
      </w:r>
      <w:bookmarkEnd w:id="6108"/>
    </w:p>
    <w:p>
      <w:pPr>
        <w:pStyle w:val="BookText"/>
      </w:pPr>
      <w:r>
        <w:rPr>
          <w:rFonts w:ascii="Amiri" w:hAnsi="Amiri" w:eastAsia="Amiri" w:cs="Amiri"/>
          <w:lang w:bidi="ar-SA"/>
          <w:color w:val="111111"/>
          <w:sz w:val="28"/>
          <w:szCs w:val="28"/>
          <w:rtl/>
        </w:rPr>
        <w:t xml:space="preserve">تاريخ العمراني، ج 3، ص 584 .</w:t>
      </w:r>
    </w:p>
    <w:p>
      <w:pPr>
        <w:pStyle w:val="Heading2"/>
      </w:pPr>
      <w:bookmarkStart w:id="6109" w:name="_Toc5211"/>
      <w:r>
        <w:t>عمراني ، علي بن محمّد - 560 ؟ ه-</w:t>
      </w:r>
      <w:bookmarkEnd w:id="6109"/>
    </w:p>
    <w:p>
      <w:pPr>
        <w:pStyle w:val="BookText"/>
      </w:pPr>
      <w:r>
        <w:rPr>
          <w:rFonts w:ascii="Amiri" w:hAnsi="Amiri" w:eastAsia="Amiri" w:cs="Amiri"/>
          <w:lang w:bidi="ar-SA"/>
          <w:color w:val="111111"/>
          <w:sz w:val="28"/>
          <w:szCs w:val="28"/>
          <w:rtl/>
        </w:rPr>
        <w:t xml:space="preserve">معجم العمراني، ج 15 ، ص 18.</w:t>
      </w:r>
    </w:p>
    <w:p>
      <w:pPr>
        <w:pStyle w:val="Heading2"/>
      </w:pPr>
      <w:bookmarkStart w:id="6110" w:name="_Toc5212"/>
      <w:r>
        <w:t>عمراني ، محمّد بن علي - 559 ؟ ه-</w:t>
      </w:r>
      <w:bookmarkEnd w:id="6110"/>
    </w:p>
    <w:p>
      <w:pPr>
        <w:pStyle w:val="BookText"/>
      </w:pPr>
      <w:r>
        <w:rPr>
          <w:rFonts w:ascii="Amiri" w:hAnsi="Amiri" w:eastAsia="Amiri" w:cs="Amiri"/>
          <w:lang w:bidi="ar-SA"/>
          <w:color w:val="111111"/>
          <w:sz w:val="28"/>
          <w:szCs w:val="28"/>
          <w:rtl/>
        </w:rPr>
        <w:t xml:space="preserve">الانباء في تاريخ الخلفاء، ج 2، ص 777 .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07" w:name="pg7742_70879"/>
    <w:bookmarkEnd w:id="807"/>
    <w:p>
      <w:pPr>
        <w:pStyle w:val="BookText"/>
      </w:pPr>
      <w:r>
        <w:rPr>
          <w:rFonts w:ascii="Amiri" w:hAnsi="Amiri" w:eastAsia="Amiri" w:cs="Amiri"/>
          <w:lang w:bidi="ar-SA"/>
          <w:color w:val="111111"/>
          <w:sz w:val="28"/>
          <w:szCs w:val="28"/>
          <w:rtl/>
        </w:rPr>
        <w:t xml:space="preserve">عمراوي ، عبدالله بن سعد- حريفيش</w:t>
      </w:r>
    </w:p>
    <w:p>
      <w:pPr>
        <w:pStyle w:val="BookText"/>
      </w:pPr>
      <w:r>
        <w:rPr>
          <w:rFonts w:ascii="Amiri" w:hAnsi="Amiri" w:eastAsia="Amiri" w:cs="Amiri"/>
          <w:lang w:bidi="ar-SA"/>
          <w:color w:val="111111"/>
          <w:sz w:val="28"/>
          <w:szCs w:val="28"/>
          <w:rtl/>
        </w:rPr>
        <w:t xml:space="preserve">شعيب بن سعد</w:t>
      </w:r>
    </w:p>
    <w:p>
      <w:pPr>
        <w:pStyle w:val="BookText"/>
      </w:pPr>
      <w:r>
        <w:rPr>
          <w:rFonts w:ascii="Amiri" w:hAnsi="Amiri" w:eastAsia="Amiri" w:cs="Amiri"/>
          <w:lang w:bidi="ar-SA"/>
          <w:color w:val="111111"/>
          <w:sz w:val="28"/>
          <w:szCs w:val="28"/>
          <w:rtl/>
        </w:rPr>
        <w:t xml:space="preserve">عمر بن ابراهيم بن احمد الكتاني- كتاني ،</w:t>
      </w:r>
    </w:p>
    <w:p>
      <w:pPr>
        <w:pStyle w:val="Heading2"/>
      </w:pPr>
      <w:bookmarkStart w:id="6111" w:name="_Toc5213"/>
      <w:r>
        <w:t>عمر بن ابراهيم</w:t>
      </w:r>
      <w:bookmarkEnd w:id="6111"/>
    </w:p>
    <w:p>
      <w:pPr>
        <w:pStyle w:val="Heading2"/>
      </w:pPr>
      <w:bookmarkStart w:id="6112" w:name="_Toc5214"/>
      <w:r>
        <w:t>عمر بن ابراهيم بن عبد الغني قرن 8 ه-</w:t>
      </w:r>
      <w:bookmarkEnd w:id="6112"/>
    </w:p>
    <w:p>
      <w:pPr>
        <w:pStyle w:val="BookText"/>
      </w:pPr>
      <w:r>
        <w:rPr>
          <w:rFonts w:ascii="Amiri" w:hAnsi="Amiri" w:eastAsia="Amiri" w:cs="Amiri"/>
          <w:lang w:bidi="ar-SA"/>
          <w:color w:val="111111"/>
          <w:sz w:val="28"/>
          <w:szCs w:val="28"/>
          <w:rtl/>
        </w:rPr>
        <w:t xml:space="preserve">شرح العنقود في نظم العقود، ج9،</w:t>
      </w:r>
    </w:p>
    <w:p>
      <w:pPr>
        <w:pStyle w:val="BookText"/>
      </w:pPr>
      <w:r>
        <w:rPr>
          <w:rFonts w:ascii="IRNazanin" w:hAnsi="IRNazanin" w:eastAsia="IRNazanin" w:cs="IRNazanin"/>
          <w:lang w:bidi="fa-IR"/>
          <w:color w:val="111111"/>
          <w:sz w:val="28"/>
          <w:szCs w:val="28"/>
          <w:rtl/>
        </w:rPr>
        <w:t xml:space="preserve">ص 752 .</w:t>
      </w:r>
    </w:p>
    <w:p>
      <w:pPr>
        <w:pStyle w:val="BookText"/>
      </w:pPr>
      <w:r>
        <w:rPr>
          <w:rFonts w:ascii="Amiri" w:hAnsi="Amiri" w:eastAsia="Amiri" w:cs="Amiri"/>
          <w:lang w:bidi="ar-SA"/>
          <w:color w:val="111111"/>
          <w:sz w:val="28"/>
          <w:szCs w:val="28"/>
          <w:rtl/>
        </w:rPr>
        <w:t xml:space="preserve">عمر بن ابراهيم بن محمّد حسيني علوي</w:t>
      </w:r>
    </w:p>
    <w:p>
      <w:pPr>
        <w:pStyle w:val="BookText"/>
      </w:pPr>
      <w:r>
        <w:rPr>
          <w:rFonts w:ascii="Amiri" w:hAnsi="Amiri" w:eastAsia="Amiri" w:cs="Amiri"/>
          <w:lang w:bidi="ar-SA"/>
          <w:color w:val="111111"/>
          <w:sz w:val="28"/>
          <w:szCs w:val="28"/>
          <w:rtl/>
        </w:rPr>
        <w:t xml:space="preserve">بغدادي -كوفي ، عمر بن ابراهيم</w:t>
      </w:r>
    </w:p>
    <w:p>
      <w:pPr>
        <w:pStyle w:val="BookText"/>
      </w:pPr>
      <w:r>
        <w:rPr>
          <w:rFonts w:ascii="Amiri" w:hAnsi="Amiri" w:eastAsia="Amiri" w:cs="Amiri"/>
          <w:lang w:bidi="ar-SA"/>
          <w:color w:val="111111"/>
          <w:sz w:val="28"/>
          <w:szCs w:val="28"/>
          <w:rtl/>
        </w:rPr>
        <w:t xml:space="preserve">عمر بن ابي احمد الحموي -حموي ، عمر</w:t>
      </w:r>
    </w:p>
    <w:p>
      <w:pPr>
        <w:pStyle w:val="BookText"/>
      </w:pPr>
      <w:r>
        <w:rPr>
          <w:rFonts w:ascii="Amiri" w:hAnsi="Amiri" w:eastAsia="Amiri" w:cs="Amiri"/>
          <w:lang w:bidi="ar-SA"/>
          <w:color w:val="111111"/>
          <w:sz w:val="28"/>
          <w:szCs w:val="28"/>
          <w:rtl/>
        </w:rPr>
        <w:t xml:space="preserve">بن ابي احمد</w:t>
      </w:r>
    </w:p>
    <w:p>
      <w:pPr>
        <w:pStyle w:val="BookText"/>
      </w:pPr>
      <w:r>
        <w:rPr>
          <w:rFonts w:ascii="Amiri" w:hAnsi="Amiri" w:eastAsia="Amiri" w:cs="Amiri"/>
          <w:lang w:bidi="ar-SA"/>
          <w:color w:val="111111"/>
          <w:sz w:val="28"/>
          <w:szCs w:val="28"/>
          <w:rtl/>
        </w:rPr>
        <w:t xml:space="preserve">عمر بن ابي عمر عمري -عمري ، عمر بن</w:t>
      </w:r>
    </w:p>
    <w:p>
      <w:pPr>
        <w:pStyle w:val="BookText"/>
      </w:pPr>
      <w:r>
        <w:rPr>
          <w:rFonts w:ascii="Amiri" w:hAnsi="Amiri" w:eastAsia="Amiri" w:cs="Amiri"/>
          <w:lang w:bidi="ar-SA"/>
          <w:color w:val="111111"/>
          <w:sz w:val="28"/>
          <w:szCs w:val="28"/>
          <w:rtl/>
        </w:rPr>
        <w:t xml:space="preserve">ابي بكر</w:t>
      </w:r>
    </w:p>
    <w:p>
      <w:pPr>
        <w:pStyle w:val="BookText"/>
      </w:pPr>
      <w:r>
        <w:rPr>
          <w:rFonts w:ascii="Amiri" w:hAnsi="Amiri" w:eastAsia="Amiri" w:cs="Amiri"/>
          <w:lang w:bidi="ar-SA"/>
          <w:color w:val="111111"/>
          <w:sz w:val="28"/>
          <w:szCs w:val="28"/>
          <w:rtl/>
        </w:rPr>
        <w:t xml:space="preserve">عمر بن احمد بغدادي ابن شاهين- ابن</w:t>
      </w:r>
    </w:p>
    <w:p>
      <w:pPr>
        <w:pStyle w:val="BookText"/>
      </w:pPr>
      <w:r>
        <w:rPr>
          <w:rFonts w:ascii="Amiri" w:hAnsi="Amiri" w:eastAsia="Amiri" w:cs="Amiri"/>
          <w:lang w:bidi="ar-SA"/>
          <w:color w:val="111111"/>
          <w:sz w:val="28"/>
          <w:szCs w:val="28"/>
          <w:rtl/>
        </w:rPr>
        <w:t xml:space="preserve">شاهين ، عمر بن احمد</w:t>
      </w:r>
    </w:p>
    <w:p>
      <w:pPr>
        <w:pStyle w:val="BookText"/>
      </w:pPr>
      <w:r>
        <w:rPr>
          <w:rFonts w:ascii="Amiri" w:hAnsi="Amiri" w:eastAsia="Amiri" w:cs="Amiri"/>
          <w:lang w:bidi="ar-SA"/>
          <w:color w:val="111111"/>
          <w:sz w:val="28"/>
          <w:szCs w:val="28"/>
          <w:rtl/>
        </w:rPr>
        <w:t xml:space="preserve">عمر بن احمد بن هبة الله (ابن</w:t>
      </w:r>
    </w:p>
    <w:p>
      <w:pPr>
        <w:pStyle w:val="BookText"/>
      </w:pPr>
      <w:r>
        <w:rPr>
          <w:rFonts w:ascii="IRNazanin" w:hAnsi="IRNazanin" w:eastAsia="IRNazanin" w:cs="IRNazanin"/>
          <w:lang w:bidi="fa-IR"/>
          <w:color w:val="111111"/>
          <w:sz w:val="28"/>
          <w:szCs w:val="28"/>
          <w:rtl/>
        </w:rPr>
        <w:t xml:space="preserve">عديم )-ابن عدیم ، عمر بن احمد</w:t>
      </w:r>
    </w:p>
    <w:p>
      <w:pPr>
        <w:pStyle w:val="BookText"/>
      </w:pPr>
      <w:r>
        <w:rPr>
          <w:rFonts w:ascii="IRNazanin" w:hAnsi="IRNazanin" w:eastAsia="IRNazanin" w:cs="IRNazanin"/>
          <w:lang w:bidi="fa-IR"/>
          <w:color w:val="111111"/>
          <w:sz w:val="28"/>
          <w:szCs w:val="28"/>
          <w:rtl/>
        </w:rPr>
        <w:t xml:space="preserve">عمر بن احمد مائي چلبي- مائي چلبي</w:t>
      </w:r>
    </w:p>
    <w:p>
      <w:pPr>
        <w:pStyle w:val="BookText"/>
      </w:pPr>
      <w:r>
        <w:rPr>
          <w:rFonts w:ascii="IRNazanin" w:hAnsi="IRNazanin" w:eastAsia="IRNazanin" w:cs="IRNazanin"/>
          <w:lang w:bidi="fa-IR"/>
          <w:color w:val="111111"/>
          <w:sz w:val="28"/>
          <w:szCs w:val="28"/>
          <w:rtl/>
        </w:rPr>
        <w:t xml:space="preserve">عمر بن احمد</w:t>
      </w:r>
    </w:p>
    <w:p>
      <w:pPr>
        <w:pStyle w:val="BookText"/>
      </w:pPr>
      <w:r>
        <w:rPr>
          <w:rFonts w:ascii="IRNazanin" w:hAnsi="IRNazanin" w:eastAsia="IRNazanin" w:cs="IRNazanin"/>
          <w:lang w:bidi="fa-IR"/>
          <w:color w:val="111111"/>
          <w:sz w:val="28"/>
          <w:szCs w:val="28"/>
          <w:rtl/>
        </w:rPr>
        <w:t xml:space="preserve">عمر بن احمد واعظ- واعظ ، عمر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عمر بن اسحاق بن احمد غزنوي</w:t>
      </w:r>
    </w:p>
    <w:p>
      <w:pPr>
        <w:pStyle w:val="BookText"/>
      </w:pPr>
      <w:r>
        <w:rPr>
          <w:rFonts w:ascii="Amiri" w:hAnsi="Amiri" w:eastAsia="Amiri" w:cs="Amiri"/>
          <w:lang w:bidi="ar-SA"/>
          <w:color w:val="111111"/>
          <w:sz w:val="28"/>
          <w:szCs w:val="28"/>
          <w:rtl/>
        </w:rPr>
        <w:t xml:space="preserve">هندي -غزنوي ، عمر بن اسحاق</w:t>
      </w:r>
    </w:p>
    <w:p>
      <w:pPr>
        <w:pStyle w:val="BookText"/>
      </w:pPr>
      <w:r>
        <w:rPr>
          <w:rFonts w:ascii="Amiri" w:hAnsi="Amiri" w:eastAsia="Amiri" w:cs="Amiri"/>
          <w:lang w:bidi="ar-SA"/>
          <w:color w:val="111111"/>
          <w:sz w:val="28"/>
          <w:szCs w:val="28"/>
          <w:rtl/>
        </w:rPr>
        <w:t xml:space="preserve">عمر بن بدر وراني كردي موصلي- موصلي</w:t>
      </w:r>
    </w:p>
    <w:p>
      <w:pPr>
        <w:pStyle w:val="BookText"/>
      </w:pPr>
      <w:r>
        <w:rPr>
          <w:rFonts w:ascii="IRNazanin" w:hAnsi="IRNazanin" w:eastAsia="IRNazanin" w:cs="IRNazanin"/>
          <w:lang w:bidi="fa-IR"/>
          <w:color w:val="111111"/>
          <w:sz w:val="28"/>
          <w:szCs w:val="28"/>
          <w:rtl/>
        </w:rPr>
        <w:t xml:space="preserve">، عمر بن بدر</w:t>
      </w:r>
    </w:p>
    <w:p>
      <w:pPr>
        <w:pStyle w:val="Heading2"/>
      </w:pPr>
      <w:bookmarkStart w:id="6113" w:name="_Toc5215"/>
      <w:r>
        <w:t>عمر بن حسن بن عدي</w:t>
      </w:r>
      <w:bookmarkEnd w:id="6113"/>
    </w:p>
    <w:p>
      <w:pPr>
        <w:pStyle w:val="BookText"/>
      </w:pPr>
      <w:r>
        <w:rPr>
          <w:rFonts w:ascii="IRNazanin" w:hAnsi="IRNazanin" w:eastAsia="IRNazanin" w:cs="IRNazanin"/>
          <w:lang w:bidi="fa-IR"/>
          <w:color w:val="111111"/>
          <w:sz w:val="28"/>
          <w:szCs w:val="28"/>
          <w:rtl/>
        </w:rPr>
        <w:t xml:space="preserve">1 .اشعار، ج 2، ص 287.</w:t>
      </w:r>
    </w:p>
    <w:p>
      <w:pPr>
        <w:pStyle w:val="BookText"/>
      </w:pPr>
      <w:r>
        <w:rPr>
          <w:rFonts w:ascii="Amiri" w:hAnsi="Amiri" w:eastAsia="Amiri" w:cs="Amiri"/>
          <w:lang w:bidi="ar-SA"/>
          <w:color w:val="111111"/>
          <w:sz w:val="28"/>
          <w:szCs w:val="28"/>
          <w:rtl/>
        </w:rPr>
        <w:t xml:space="preserve">2 .شرح قصيدة رؤبة بن العجاج، ج 9،</w:t>
      </w:r>
    </w:p>
    <w:p>
      <w:pPr>
        <w:pStyle w:val="BookText"/>
      </w:pPr>
      <w:r>
        <w:rPr>
          <w:rFonts w:ascii="IRNazanin" w:hAnsi="IRNazanin" w:eastAsia="IRNazanin" w:cs="IRNazanin"/>
          <w:lang w:bidi="fa-IR"/>
          <w:color w:val="111111"/>
          <w:sz w:val="28"/>
          <w:szCs w:val="28"/>
          <w:rtl/>
        </w:rPr>
        <w:t xml:space="preserve">ص 867.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قصيدة زهير بن أبي سلمي</w:t>
      </w:r>
    </w:p>
    <w:p>
      <w:pPr>
        <w:pStyle w:val="BookText"/>
      </w:pPr>
      <w:r>
        <w:rPr>
          <w:rFonts w:ascii="IRNazanin" w:hAnsi="IRNazanin" w:eastAsia="IRNazanin" w:cs="IRNazanin"/>
          <w:lang w:bidi="fa-IR"/>
          <w:color w:val="111111"/>
          <w:sz w:val="28"/>
          <w:szCs w:val="28"/>
          <w:rtl/>
        </w:rPr>
        <w:t xml:space="preserve">ج 9، ص 868.</w:t>
      </w:r>
    </w:p>
    <w:p>
      <w:pPr>
        <w:pStyle w:val="BookText"/>
      </w:pPr>
      <w:r>
        <w:rPr>
          <w:rFonts w:ascii="Amiri" w:hAnsi="Amiri" w:eastAsia="Amiri" w:cs="Amiri"/>
          <w:lang w:bidi="ar-SA"/>
          <w:color w:val="111111"/>
          <w:sz w:val="28"/>
          <w:szCs w:val="28"/>
          <w:rtl/>
        </w:rPr>
        <w:t xml:space="preserve">4 .شرح لامية العرب، ج 10، ص76.</w:t>
      </w:r>
    </w:p>
    <w:p>
      <w:pPr>
        <w:pStyle w:val="BookText"/>
      </w:pPr>
      <w:r>
        <w:rPr>
          <w:rFonts w:ascii="Amiri" w:hAnsi="Amiri" w:eastAsia="Amiri" w:cs="Amiri"/>
          <w:lang w:bidi="ar-SA"/>
          <w:color w:val="111111"/>
          <w:sz w:val="28"/>
          <w:szCs w:val="28"/>
          <w:rtl/>
        </w:rPr>
        <w:t xml:space="preserve">عمر بن حسن بن عدي الشامي الاموي- عمر بن حسن بن عدي</w:t>
      </w:r>
    </w:p>
    <w:p>
      <w:pPr>
        <w:pStyle w:val="BookText"/>
      </w:pPr>
      <w:r>
        <w:rPr>
          <w:rFonts w:ascii="Amiri" w:hAnsi="Amiri" w:eastAsia="Amiri" w:cs="Amiri"/>
          <w:lang w:bidi="ar-SA"/>
          <w:color w:val="111111"/>
          <w:sz w:val="28"/>
          <w:szCs w:val="28"/>
          <w:rtl/>
        </w:rPr>
        <w:t xml:space="preserve">عمر بن حسن بن علي كلبي اندلسي- ابن</w:t>
      </w:r>
    </w:p>
    <w:p>
      <w:pPr>
        <w:pStyle w:val="BookText"/>
      </w:pPr>
      <w:r>
        <w:rPr>
          <w:rFonts w:ascii="Amiri" w:hAnsi="Amiri" w:eastAsia="Amiri" w:cs="Amiri"/>
          <w:lang w:bidi="ar-SA"/>
          <w:color w:val="111111"/>
          <w:sz w:val="28"/>
          <w:szCs w:val="28"/>
          <w:rtl/>
        </w:rPr>
        <w:t xml:space="preserve">دحيه ، عمر بن حسن</w:t>
      </w:r>
    </w:p>
    <w:p>
      <w:pPr>
        <w:pStyle w:val="BookText"/>
      </w:pPr>
      <w:r>
        <w:rPr>
          <w:rFonts w:ascii="IRNazanin" w:hAnsi="IRNazanin" w:eastAsia="IRNazanin" w:cs="IRNazanin"/>
          <w:lang w:bidi="fa-IR"/>
          <w:color w:val="111111"/>
          <w:sz w:val="28"/>
          <w:szCs w:val="28"/>
          <w:rtl/>
        </w:rPr>
        <w:t xml:space="preserve">عمر بن حسن</w:t>
      </w:r>
    </w:p>
    <w:p>
      <w:pPr>
        <w:pStyle w:val="BookText"/>
      </w:pPr>
      <w:r>
        <w:rPr>
          <w:rFonts w:ascii="Amiri" w:hAnsi="Amiri" w:eastAsia="Amiri" w:cs="Amiri"/>
          <w:lang w:bidi="ar-SA"/>
          <w:color w:val="111111"/>
          <w:sz w:val="28"/>
          <w:szCs w:val="28"/>
          <w:rtl/>
        </w:rPr>
        <w:t xml:space="preserve">عمر بن حسن سمرقندي- سمرقندي</w:t>
      </w:r>
    </w:p>
    <w:p>
      <w:pPr>
        <w:pStyle w:val="BookText"/>
      </w:pPr>
      <w:r>
        <w:rPr>
          <w:rFonts w:ascii="Amiri" w:hAnsi="Amiri" w:eastAsia="Amiri" w:cs="Amiri"/>
          <w:lang w:bidi="ar-SA"/>
          <w:color w:val="111111"/>
          <w:sz w:val="28"/>
          <w:szCs w:val="28"/>
          <w:rtl/>
        </w:rPr>
        <w:t xml:space="preserve">عمر بن حسين بن علي الآمدي- آمدي</w:t>
      </w:r>
    </w:p>
    <w:p>
      <w:pPr>
        <w:pStyle w:val="BookText"/>
      </w:pPr>
      <w:r>
        <w:rPr>
          <w:rFonts w:ascii="Amiri" w:hAnsi="Amiri" w:eastAsia="Amiri" w:cs="Amiri"/>
          <w:lang w:bidi="ar-SA"/>
          <w:color w:val="111111"/>
          <w:sz w:val="28"/>
          <w:szCs w:val="28"/>
          <w:rtl/>
        </w:rPr>
        <w:t xml:space="preserve">عمر بن حسين</w:t>
      </w:r>
    </w:p>
    <w:p>
      <w:pPr>
        <w:pStyle w:val="Heading2"/>
      </w:pPr>
      <w:bookmarkStart w:id="6114" w:name="_Toc5216"/>
      <w:r>
        <w:t>عمر بن خطاب - 23 ه-</w:t>
      </w:r>
      <w:bookmarkEnd w:id="6114"/>
    </w:p>
    <w:p>
      <w:pPr>
        <w:pStyle w:val="BookText"/>
      </w:pPr>
      <w:r>
        <w:rPr>
          <w:rFonts w:ascii="Amiri" w:hAnsi="Amiri" w:eastAsia="Amiri" w:cs="Amiri"/>
          <w:lang w:bidi="ar-SA"/>
          <w:color w:val="111111"/>
          <w:sz w:val="28"/>
          <w:szCs w:val="28"/>
          <w:rtl/>
        </w:rPr>
        <w:t xml:space="preserve">1 .صفة العهد المأخوذ من نصارى</w:t>
      </w:r>
    </w:p>
    <w:p>
      <w:pPr>
        <w:pStyle w:val="BookText"/>
      </w:pPr>
      <w:r>
        <w:rPr>
          <w:rFonts w:ascii="IRNazanin" w:hAnsi="IRNazanin" w:eastAsia="IRNazanin" w:cs="IRNazanin"/>
          <w:lang w:bidi="fa-IR"/>
          <w:color w:val="111111"/>
          <w:sz w:val="28"/>
          <w:szCs w:val="28"/>
          <w:rtl/>
        </w:rPr>
        <w:t xml:space="preserve">العرب، ج 10، ص 570.</w:t>
      </w:r>
    </w:p>
    <w:p>
      <w:pPr>
        <w:pStyle w:val="BookText"/>
      </w:pPr>
      <w:r>
        <w:rPr>
          <w:rFonts w:ascii="Amiri" w:hAnsi="Amiri" w:eastAsia="Amiri" w:cs="Amiri"/>
          <w:lang w:bidi="ar-SA"/>
          <w:color w:val="111111"/>
          <w:sz w:val="28"/>
          <w:szCs w:val="28"/>
          <w:rtl/>
        </w:rPr>
        <w:t xml:space="preserve">2 .مائة كلمة، ج13، ص 697 .</w:t>
      </w:r>
    </w:p>
    <w:p>
      <w:pPr>
        <w:pStyle w:val="BookText"/>
      </w:pPr>
      <w:r>
        <w:rPr>
          <w:rFonts w:ascii="Amiri" w:hAnsi="Amiri" w:eastAsia="Amiri" w:cs="Amiri"/>
          <w:lang w:bidi="ar-SA"/>
          <w:color w:val="111111"/>
          <w:sz w:val="28"/>
          <w:szCs w:val="28"/>
          <w:rtl/>
        </w:rPr>
        <w:t xml:space="preserve">عمر بن رمضان الهيتي- هيتي ، عمر بن</w:t>
      </w:r>
    </w:p>
    <w:p>
      <w:pPr>
        <w:pStyle w:val="BookText"/>
      </w:pPr>
      <w:r>
        <w:rPr>
          <w:rFonts w:ascii="IRNazanin" w:hAnsi="IRNazanin" w:eastAsia="IRNazanin" w:cs="IRNazanin"/>
          <w:lang w:bidi="fa-IR"/>
          <w:color w:val="111111"/>
          <w:sz w:val="28"/>
          <w:szCs w:val="28"/>
          <w:rtl/>
        </w:rPr>
        <w:t xml:space="preserve">رمضان</w:t>
      </w:r>
    </w:p>
    <w:p>
      <w:pPr>
        <w:pStyle w:val="BookText"/>
      </w:pPr>
      <w:r>
        <w:rPr>
          <w:rFonts w:ascii="Amiri" w:hAnsi="Amiri" w:eastAsia="Amiri" w:cs="Amiri"/>
          <w:lang w:bidi="ar-SA"/>
          <w:color w:val="111111"/>
          <w:sz w:val="28"/>
          <w:szCs w:val="28"/>
          <w:rtl/>
        </w:rPr>
        <w:t xml:space="preserve">عمر بن زيد بن بدر موصلي- موصلي</w:t>
      </w:r>
    </w:p>
    <w:p>
      <w:pPr>
        <w:pStyle w:val="BookText"/>
      </w:pPr>
      <w:r>
        <w:rPr>
          <w:rFonts w:ascii="IRNazanin" w:hAnsi="IRNazanin" w:eastAsia="IRNazanin" w:cs="IRNazanin"/>
          <w:lang w:bidi="fa-IR"/>
          <w:color w:val="111111"/>
          <w:sz w:val="28"/>
          <w:szCs w:val="28"/>
          <w:rtl/>
        </w:rPr>
        <w:t xml:space="preserve">عمر بن بدر</w:t>
      </w:r>
    </w:p>
    <w:p>
      <w:pPr>
        <w:pStyle w:val="BookText"/>
      </w:pPr>
      <w:r>
        <w:rPr>
          <w:rFonts w:ascii="Amiri" w:hAnsi="Amiri" w:eastAsia="Amiri" w:cs="Amiri"/>
          <w:lang w:bidi="ar-SA"/>
          <w:color w:val="111111"/>
          <w:sz w:val="28"/>
          <w:szCs w:val="28"/>
          <w:rtl/>
        </w:rPr>
        <w:t xml:space="preserve">عمر بن سليمان البندري- بندري ، عمر</w:t>
      </w:r>
    </w:p>
    <w:p>
      <w:pPr>
        <w:pStyle w:val="BookText"/>
      </w:pPr>
      <w:r>
        <w:rPr>
          <w:rFonts w:ascii="Amiri" w:hAnsi="Amiri" w:eastAsia="Amiri" w:cs="Amiri"/>
          <w:lang w:bidi="ar-SA"/>
          <w:color w:val="111111"/>
          <w:sz w:val="28"/>
          <w:szCs w:val="28"/>
          <w:rtl/>
        </w:rPr>
        <w:t xml:space="preserve">بن سليمان</w:t>
      </w:r>
    </w:p>
    <w:p>
      <w:pPr>
        <w:pStyle w:val="BookText"/>
      </w:pPr>
      <w:r>
        <w:rPr>
          <w:rFonts w:ascii="Amiri" w:hAnsi="Amiri" w:eastAsia="Amiri" w:cs="Amiri"/>
          <w:lang w:bidi="ar-SA"/>
          <w:color w:val="111111"/>
          <w:sz w:val="28"/>
          <w:szCs w:val="28"/>
          <w:rtl/>
        </w:rPr>
        <w:t xml:space="preserve">عمر بن عباس مسيسي مغربي- مسيسي</w:t>
      </w:r>
    </w:p>
    <w:p>
      <w:pPr>
        <w:pStyle w:val="BookText"/>
      </w:pPr>
      <w:r>
        <w:rPr>
          <w:rFonts w:ascii="IRNazanin" w:hAnsi="IRNazanin" w:eastAsia="IRNazanin" w:cs="IRNazanin"/>
          <w:lang w:bidi="fa-IR"/>
          <w:color w:val="111111"/>
          <w:sz w:val="28"/>
          <w:szCs w:val="28"/>
          <w:rtl/>
        </w:rPr>
        <w:t xml:space="preserve">عمر بن عباس</w:t>
      </w:r>
    </w:p>
    <w:p>
      <w:pPr>
        <w:pStyle w:val="BookText"/>
      </w:pPr>
      <w:r>
        <w:rPr>
          <w:rFonts w:ascii="Amiri" w:hAnsi="Amiri" w:eastAsia="Amiri" w:cs="Amiri"/>
          <w:lang w:bidi="ar-SA"/>
          <w:color w:val="111111"/>
          <w:sz w:val="28"/>
          <w:szCs w:val="28"/>
          <w:rtl/>
        </w:rPr>
        <w:t xml:space="preserve">عمر بن عبد الرحمن قزويني فارسي- قزويني ، عمر بن عبدالرحمن</w:t>
      </w:r>
    </w:p>
    <w:p>
      <w:pPr>
        <w:pStyle w:val="BookText"/>
      </w:pPr>
      <w:r>
        <w:rPr>
          <w:rFonts w:ascii="Amiri" w:hAnsi="Amiri" w:eastAsia="Amiri" w:cs="Amiri"/>
          <w:lang w:bidi="ar-SA"/>
          <w:color w:val="111111"/>
          <w:sz w:val="28"/>
          <w:szCs w:val="28"/>
          <w:rtl/>
        </w:rPr>
        <w:t xml:space="preserve">عمر بن عبد الرحيم بصروي - حسيني</w:t>
      </w:r>
    </w:p>
    <w:p>
      <w:pPr>
        <w:pStyle w:val="BookText"/>
      </w:pPr>
      <w:r>
        <w:rPr>
          <w:rFonts w:ascii="Amiri" w:hAnsi="Amiri" w:eastAsia="Amiri" w:cs="Amiri"/>
          <w:lang w:bidi="ar-SA"/>
          <w:color w:val="111111"/>
          <w:sz w:val="28"/>
          <w:szCs w:val="28"/>
          <w:rtl/>
        </w:rPr>
        <w:t xml:space="preserve">عمر بن عبدالرحيم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08" w:name="pg7742_70881"/>
    <w:bookmarkEnd w:id="808"/>
    <w:p>
      <w:pPr>
        <w:pStyle w:val="BookText"/>
      </w:pPr>
      <w:r>
        <w:rPr>
          <w:rFonts w:ascii="Amiri" w:hAnsi="Amiri" w:eastAsia="Amiri" w:cs="Amiri"/>
          <w:lang w:bidi="ar-SA"/>
          <w:color w:val="111111"/>
          <w:sz w:val="28"/>
          <w:szCs w:val="28"/>
          <w:rtl/>
        </w:rPr>
        <w:t xml:space="preserve">عمر بن عبد الرحيم حسيني- حسيني</w:t>
      </w:r>
    </w:p>
    <w:p>
      <w:pPr>
        <w:pStyle w:val="BookText"/>
      </w:pPr>
      <w:r>
        <w:rPr>
          <w:rFonts w:ascii="Amiri" w:hAnsi="Amiri" w:eastAsia="Amiri" w:cs="Amiri"/>
          <w:lang w:bidi="ar-SA"/>
          <w:color w:val="111111"/>
          <w:sz w:val="28"/>
          <w:szCs w:val="28"/>
          <w:rtl/>
        </w:rPr>
        <w:t xml:space="preserve">عمر بن عبدالرحيم</w:t>
      </w:r>
    </w:p>
    <w:p>
      <w:pPr>
        <w:pStyle w:val="BookText"/>
      </w:pPr>
      <w:r>
        <w:rPr>
          <w:rFonts w:ascii="Amiri" w:hAnsi="Amiri" w:eastAsia="Amiri" w:cs="Amiri"/>
          <w:lang w:bidi="ar-SA"/>
          <w:color w:val="111111"/>
          <w:sz w:val="28"/>
          <w:szCs w:val="28"/>
          <w:rtl/>
        </w:rPr>
        <w:t xml:space="preserve">عمر بن عبد العزيز الكرماني- كرماني ، عمر بن عمر</w:t>
      </w:r>
    </w:p>
    <w:p>
      <w:pPr>
        <w:pStyle w:val="BookText"/>
      </w:pPr>
      <w:r>
        <w:rPr>
          <w:rFonts w:ascii="Amiri" w:hAnsi="Amiri" w:eastAsia="Amiri" w:cs="Amiri"/>
          <w:lang w:bidi="ar-SA"/>
          <w:color w:val="111111"/>
          <w:sz w:val="28"/>
          <w:szCs w:val="28"/>
          <w:rtl/>
        </w:rPr>
        <w:t xml:space="preserve">بن عبدالعزيز</w:t>
      </w:r>
    </w:p>
    <w:p>
      <w:pPr>
        <w:pStyle w:val="BookText"/>
      </w:pPr>
      <w:r>
        <w:rPr>
          <w:rFonts w:ascii="Amiri" w:hAnsi="Amiri" w:eastAsia="Amiri" w:cs="Amiri"/>
          <w:lang w:bidi="ar-SA"/>
          <w:color w:val="111111"/>
          <w:sz w:val="28"/>
          <w:szCs w:val="28"/>
          <w:rtl/>
        </w:rPr>
        <w:t xml:space="preserve">عمر بن عبدالعزيز بخاري حنفي- صدر فرخان</w:t>
      </w:r>
    </w:p>
    <w:p>
      <w:pPr>
        <w:pStyle w:val="BookText"/>
      </w:pPr>
      <w:r>
        <w:rPr>
          <w:rFonts w:ascii="Amiri" w:hAnsi="Amiri" w:eastAsia="Amiri" w:cs="Amiri"/>
          <w:lang w:bidi="ar-SA"/>
          <w:color w:val="111111"/>
          <w:sz w:val="28"/>
          <w:szCs w:val="28"/>
          <w:rtl/>
        </w:rPr>
        <w:t xml:space="preserve">الشهيد ، عمر بن عبدالعزيز</w:t>
      </w:r>
    </w:p>
    <w:p>
      <w:pPr>
        <w:pStyle w:val="BookText"/>
      </w:pPr>
      <w:r>
        <w:rPr>
          <w:rFonts w:ascii="Amiri" w:hAnsi="Amiri" w:eastAsia="Amiri" w:cs="Amiri"/>
          <w:lang w:bidi="ar-SA"/>
          <w:color w:val="111111"/>
          <w:sz w:val="28"/>
          <w:szCs w:val="28"/>
          <w:rtl/>
        </w:rPr>
        <w:t xml:space="preserve">عمر بن عبدالغفار الآماسي- آماسي ، عمر</w:t>
      </w:r>
    </w:p>
    <w:p>
      <w:pPr>
        <w:pStyle w:val="BookText"/>
      </w:pPr>
      <w:r>
        <w:rPr>
          <w:rFonts w:ascii="IRNazanin" w:hAnsi="IRNazanin" w:eastAsia="IRNazanin" w:cs="IRNazanin"/>
          <w:lang w:bidi="fa-IR"/>
          <w:color w:val="111111"/>
          <w:sz w:val="28"/>
          <w:szCs w:val="28"/>
          <w:rtl/>
        </w:rPr>
        <w:t xml:space="preserve">بن عبدالغفار</w:t>
      </w:r>
    </w:p>
    <w:p>
      <w:pPr>
        <w:pStyle w:val="BookText"/>
      </w:pPr>
      <w:r>
        <w:rPr>
          <w:rFonts w:ascii="Amiri" w:hAnsi="Amiri" w:eastAsia="Amiri" w:cs="Amiri"/>
          <w:lang w:bidi="ar-SA"/>
          <w:color w:val="111111"/>
          <w:sz w:val="28"/>
          <w:szCs w:val="28"/>
          <w:rtl/>
        </w:rPr>
        <w:t xml:space="preserve">عمر بن عبد القادر شافعي</w:t>
      </w:r>
    </w:p>
    <w:p>
      <w:pPr>
        <w:pStyle w:val="BookText"/>
      </w:pPr>
      <w:r>
        <w:rPr>
          <w:rFonts w:ascii="Amiri" w:hAnsi="Amiri" w:eastAsia="Amiri" w:cs="Amiri"/>
          <w:lang w:bidi="ar-SA"/>
          <w:color w:val="111111"/>
          <w:sz w:val="28"/>
          <w:szCs w:val="28"/>
          <w:rtl/>
        </w:rPr>
        <w:t xml:space="preserve">ارمنازي- ارمنازي ، عمر بن عبد القادر</w:t>
      </w:r>
    </w:p>
    <w:p>
      <w:pPr>
        <w:pStyle w:val="BookText"/>
      </w:pPr>
      <w:r>
        <w:rPr>
          <w:rFonts w:ascii="Amiri" w:hAnsi="Amiri" w:eastAsia="Amiri" w:cs="Amiri"/>
          <w:lang w:bidi="ar-SA"/>
          <w:color w:val="111111"/>
          <w:sz w:val="28"/>
          <w:szCs w:val="28"/>
          <w:rtl/>
        </w:rPr>
        <w:t xml:space="preserve">عمر بن عبدالله الهرندي- هرندي ، عمر</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عمر بن عبدالله سمرقندي</w:t>
      </w:r>
    </w:p>
    <w:p>
      <w:pPr>
        <w:pStyle w:val="BookText"/>
      </w:pPr>
      <w:r>
        <w:rPr>
          <w:rFonts w:ascii="Amiri" w:hAnsi="Amiri" w:eastAsia="Amiri" w:cs="Amiri"/>
          <w:lang w:bidi="ar-SA"/>
          <w:color w:val="111111"/>
          <w:sz w:val="28"/>
          <w:szCs w:val="28"/>
          <w:rtl/>
        </w:rPr>
        <w:t xml:space="preserve">نيشابوري - سمرقندي ، عمر بن حسن</w:t>
      </w:r>
    </w:p>
    <w:p>
      <w:pPr>
        <w:pStyle w:val="BookText"/>
      </w:pPr>
      <w:r>
        <w:rPr>
          <w:rFonts w:ascii="Amiri" w:hAnsi="Amiri" w:eastAsia="Amiri" w:cs="Amiri"/>
          <w:lang w:bidi="ar-SA"/>
          <w:color w:val="111111"/>
          <w:sz w:val="28"/>
          <w:szCs w:val="28"/>
          <w:rtl/>
        </w:rPr>
        <w:t xml:space="preserve">عمر بن عبد المجيد ازدي -رندي ، عمر بن محمّد</w:t>
      </w:r>
    </w:p>
    <w:p>
      <w:pPr>
        <w:pStyle w:val="BookText"/>
      </w:pPr>
      <w:r>
        <w:rPr>
          <w:rFonts w:ascii="Amiri" w:hAnsi="Amiri" w:eastAsia="Amiri" w:cs="Amiri"/>
          <w:lang w:bidi="ar-SA"/>
          <w:color w:val="111111"/>
          <w:sz w:val="28"/>
          <w:szCs w:val="28"/>
          <w:rtl/>
        </w:rPr>
        <w:t xml:space="preserve">عبد المجيد</w:t>
      </w:r>
    </w:p>
    <w:p>
      <w:pPr>
        <w:pStyle w:val="BookText"/>
      </w:pPr>
      <w:r>
        <w:rPr>
          <w:rFonts w:ascii="Amiri" w:hAnsi="Amiri" w:eastAsia="Amiri" w:cs="Amiri"/>
          <w:lang w:bidi="ar-SA"/>
          <w:color w:val="111111"/>
          <w:sz w:val="28"/>
          <w:szCs w:val="28"/>
          <w:rtl/>
        </w:rPr>
        <w:t xml:space="preserve">عمر بن عبد المجيد القرشي الميانشي- قرشي ، عمر بن عبد المجيد</w:t>
      </w:r>
    </w:p>
    <w:p>
      <w:pPr>
        <w:pStyle w:val="BookText"/>
      </w:pPr>
      <w:r>
        <w:rPr>
          <w:rFonts w:ascii="Amiri" w:hAnsi="Amiri" w:eastAsia="Amiri" w:cs="Amiri"/>
          <w:lang w:bidi="ar-SA"/>
          <w:color w:val="111111"/>
          <w:sz w:val="28"/>
          <w:szCs w:val="28"/>
          <w:rtl/>
        </w:rPr>
        <w:t xml:space="preserve">عمر بن عبد النصير القومري - قومري</w:t>
      </w:r>
    </w:p>
    <w:p>
      <w:pPr>
        <w:pStyle w:val="BookText"/>
      </w:pPr>
      <w:r>
        <w:rPr>
          <w:rFonts w:ascii="Amiri" w:hAnsi="Amiri" w:eastAsia="Amiri" w:cs="Amiri"/>
          <w:lang w:bidi="ar-SA"/>
          <w:color w:val="111111"/>
          <w:sz w:val="28"/>
          <w:szCs w:val="28"/>
          <w:rtl/>
        </w:rPr>
        <w:t xml:space="preserve">عمر بن عبد النصير</w:t>
      </w:r>
    </w:p>
    <w:p>
      <w:pPr>
        <w:pStyle w:val="BookText"/>
      </w:pPr>
      <w:r>
        <w:rPr>
          <w:rFonts w:ascii="Amiri" w:hAnsi="Amiri" w:eastAsia="Amiri" w:cs="Amiri"/>
          <w:lang w:bidi="ar-SA"/>
          <w:color w:val="111111"/>
          <w:sz w:val="28"/>
          <w:szCs w:val="28"/>
          <w:rtl/>
        </w:rPr>
        <w:t xml:space="preserve">عمر بن عبدالوهاب عرضي حلبي -عرضي</w:t>
      </w:r>
    </w:p>
    <w:p>
      <w:pPr>
        <w:pStyle w:val="BookText"/>
      </w:pPr>
      <w:r>
        <w:rPr>
          <w:rFonts w:ascii="IRNazanin" w:hAnsi="IRNazanin" w:eastAsia="IRNazanin" w:cs="IRNazanin"/>
          <w:lang w:bidi="fa-IR"/>
          <w:color w:val="111111"/>
          <w:sz w:val="28"/>
          <w:szCs w:val="28"/>
          <w:rtl/>
        </w:rPr>
        <w:t xml:space="preserve">عمر بن عبدالوهاب</w:t>
      </w:r>
    </w:p>
    <w:p>
      <w:pPr>
        <w:pStyle w:val="BookText"/>
      </w:pPr>
      <w:r>
        <w:rPr>
          <w:rFonts w:ascii="Amiri" w:hAnsi="Amiri" w:eastAsia="Amiri" w:cs="Amiri"/>
          <w:lang w:bidi="ar-SA"/>
          <w:color w:val="111111"/>
          <w:sz w:val="28"/>
          <w:szCs w:val="28"/>
          <w:rtl/>
        </w:rPr>
        <w:t xml:space="preserve">عمر بن علي- ابن ملقن ، عمر بن علي</w:t>
      </w:r>
    </w:p>
    <w:p>
      <w:pPr>
        <w:pStyle w:val="BookText"/>
      </w:pPr>
      <w:r>
        <w:rPr>
          <w:rFonts w:ascii="Amiri" w:hAnsi="Amiri" w:eastAsia="Amiri" w:cs="Amiri"/>
          <w:lang w:bidi="ar-SA"/>
          <w:color w:val="111111"/>
          <w:sz w:val="28"/>
          <w:szCs w:val="28"/>
          <w:rtl/>
        </w:rPr>
        <w:t xml:space="preserve">عمر بن علي قزويني- قزويني ، عمر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عمر بن علي كناني قاري الهداية -قاري</w:t>
      </w:r>
    </w:p>
    <w:p>
      <w:pPr>
        <w:pStyle w:val="BookText"/>
      </w:pPr>
      <w:r>
        <w:rPr>
          <w:rFonts w:ascii="Amiri" w:hAnsi="Amiri" w:eastAsia="Amiri" w:cs="Amiri"/>
          <w:lang w:bidi="ar-SA"/>
          <w:color w:val="111111"/>
          <w:sz w:val="28"/>
          <w:szCs w:val="28"/>
          <w:rtl/>
        </w:rPr>
        <w:t xml:space="preserve">الهداية ، عمر بن علي</w:t>
      </w:r>
    </w:p>
    <w:p>
      <w:pPr>
        <w:pStyle w:val="BookText"/>
      </w:pPr>
      <w:r>
        <w:rPr>
          <w:rFonts w:ascii="Amiri" w:hAnsi="Amiri" w:eastAsia="Amiri" w:cs="Amiri"/>
          <w:lang w:bidi="ar-SA"/>
          <w:color w:val="111111"/>
          <w:sz w:val="28"/>
          <w:szCs w:val="28"/>
          <w:rtl/>
        </w:rPr>
        <w:t xml:space="preserve">عمر بن علي مالكي- مالكي ، عمر بن علي</w:t>
      </w:r>
    </w:p>
    <w:p>
      <w:pPr>
        <w:pStyle w:val="BookText"/>
      </w:pPr>
      <w:r>
        <w:rPr>
          <w:rFonts w:ascii="Amiri" w:hAnsi="Amiri" w:eastAsia="Amiri" w:cs="Amiri"/>
          <w:lang w:bidi="ar-SA"/>
          <w:color w:val="111111"/>
          <w:sz w:val="28"/>
          <w:szCs w:val="28"/>
          <w:rtl/>
        </w:rPr>
        <w:t xml:space="preserve">عمر بن عمر زهري ازهري -زهري ، عمر بن عمر</w:t>
      </w:r>
    </w:p>
    <w:p>
      <w:pPr>
        <w:pStyle w:val="BookText"/>
      </w:pPr>
      <w:r>
        <w:rPr>
          <w:rFonts w:ascii="Amiri" w:hAnsi="Amiri" w:eastAsia="Amiri" w:cs="Amiri"/>
          <w:lang w:bidi="ar-SA"/>
          <w:color w:val="111111"/>
          <w:sz w:val="28"/>
          <w:szCs w:val="28"/>
          <w:rtl/>
        </w:rPr>
        <w:t xml:space="preserve">عمر بن فرخان الطبري- طبري ، عمر بن</w:t>
      </w:r>
    </w:p>
    <w:p>
      <w:pPr>
        <w:pStyle w:val="BookText"/>
      </w:pPr>
      <w:r>
        <w:rPr>
          <w:rFonts w:ascii="IRNazanin" w:hAnsi="IRNazanin" w:eastAsia="IRNazanin" w:cs="IRNazanin"/>
          <w:lang w:bidi="fa-IR"/>
          <w:color w:val="111111"/>
          <w:sz w:val="28"/>
          <w:szCs w:val="28"/>
          <w:rtl/>
        </w:rPr>
        <w:t xml:space="preserve">عمر بن قاسم</w:t>
      </w:r>
    </w:p>
    <w:p>
      <w:pPr>
        <w:pStyle w:val="BookText"/>
      </w:pPr>
      <w:r>
        <w:rPr>
          <w:rFonts w:ascii="Amiri" w:hAnsi="Amiri" w:eastAsia="Amiri" w:cs="Amiri"/>
          <w:lang w:bidi="ar-SA"/>
          <w:color w:val="111111"/>
          <w:sz w:val="28"/>
          <w:szCs w:val="28"/>
          <w:rtl/>
        </w:rPr>
        <w:t xml:space="preserve">عمر بن قاسم انصاري مقري -انصاري ، عمر بن قاسم</w:t>
      </w:r>
    </w:p>
    <w:p>
      <w:pPr>
        <w:pStyle w:val="BookText"/>
      </w:pPr>
      <w:r>
        <w:rPr>
          <w:rFonts w:ascii="Amiri" w:hAnsi="Amiri" w:eastAsia="Amiri" w:cs="Amiri"/>
          <w:lang w:bidi="ar-SA"/>
          <w:color w:val="111111"/>
          <w:sz w:val="28"/>
          <w:szCs w:val="28"/>
          <w:rtl/>
        </w:rPr>
        <w:t xml:space="preserve">عمر بن قاسم بن محمد النشار- انصاري ، عمر بن قاسم</w:t>
      </w:r>
    </w:p>
    <w:p>
      <w:pPr>
        <w:pStyle w:val="BookText"/>
      </w:pPr>
      <w:r>
        <w:rPr>
          <w:rFonts w:ascii="IRNazanin" w:hAnsi="IRNazanin" w:eastAsia="IRNazanin" w:cs="IRNazanin"/>
          <w:lang w:bidi="fa-IR"/>
          <w:color w:val="111111"/>
          <w:sz w:val="28"/>
          <w:szCs w:val="28"/>
          <w:rtl/>
        </w:rPr>
        <w:t xml:space="preserve">عمر بن محمّد امین مردوخي- مردوخي ، عمر بن محمّد امین</w:t>
      </w:r>
    </w:p>
    <w:p>
      <w:pPr>
        <w:pStyle w:val="BookText"/>
      </w:pPr>
      <w:r>
        <w:rPr>
          <w:rFonts w:ascii="Amiri" w:hAnsi="Amiri" w:eastAsia="Amiri" w:cs="Amiri"/>
          <w:lang w:bidi="ar-SA"/>
          <w:color w:val="111111"/>
          <w:sz w:val="28"/>
          <w:szCs w:val="28"/>
          <w:rtl/>
        </w:rPr>
        <w:t xml:space="preserve">عمر بن محمّد زبيدي اشعري- فتي ، عمر</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عمر بن محمّد سكوني- سكوني ، عمر بن محمّد</w:t>
      </w:r>
    </w:p>
    <w:p>
      <w:pPr>
        <w:pStyle w:val="BookText"/>
      </w:pPr>
      <w:r>
        <w:rPr>
          <w:rFonts w:ascii="Amiri" w:hAnsi="Amiri" w:eastAsia="Amiri" w:cs="Amiri"/>
          <w:lang w:bidi="ar-SA"/>
          <w:color w:val="111111"/>
          <w:sz w:val="28"/>
          <w:szCs w:val="28"/>
          <w:rtl/>
        </w:rPr>
        <w:t xml:space="preserve">عمر بن محمّد مصري</w:t>
      </w:r>
    </w:p>
    <w:p>
      <w:pPr>
        <w:pStyle w:val="BookText"/>
      </w:pPr>
      <w:r>
        <w:rPr>
          <w:rFonts w:ascii="Amiri" w:hAnsi="Amiri" w:eastAsia="Amiri" w:cs="Amiri"/>
          <w:lang w:bidi="ar-SA"/>
          <w:color w:val="111111"/>
          <w:sz w:val="28"/>
          <w:szCs w:val="28"/>
          <w:rtl/>
        </w:rPr>
        <w:t xml:space="preserve">فارسكوري- فارسكوري ، عمر بن محمّد</w:t>
      </w:r>
    </w:p>
    <w:p>
      <w:pPr>
        <w:pStyle w:val="BookText"/>
      </w:pPr>
      <w:r>
        <w:rPr>
          <w:rFonts w:ascii="Amiri" w:hAnsi="Amiri" w:eastAsia="Amiri" w:cs="Amiri"/>
          <w:lang w:bidi="ar-SA"/>
          <w:color w:val="111111"/>
          <w:sz w:val="28"/>
          <w:szCs w:val="28"/>
          <w:rtl/>
        </w:rPr>
        <w:t xml:space="preserve">عمر بن محمود بلخي</w:t>
      </w:r>
    </w:p>
    <w:p>
      <w:pPr>
        <w:pStyle w:val="BookText"/>
      </w:pPr>
      <w:r>
        <w:rPr>
          <w:rFonts w:ascii="Amiri" w:hAnsi="Amiri" w:eastAsia="Amiri" w:cs="Amiri"/>
          <w:lang w:bidi="ar-SA"/>
          <w:color w:val="111111"/>
          <w:sz w:val="28"/>
          <w:szCs w:val="28"/>
          <w:rtl/>
        </w:rPr>
        <w:t xml:space="preserve">حميدي - حميدالدين بلخي ، عمر بن محمود</w:t>
      </w:r>
    </w:p>
    <w:p>
      <w:pPr>
        <w:pStyle w:val="Heading2"/>
      </w:pPr>
      <w:bookmarkStart w:id="6115" w:name="_Toc5217"/>
      <w:r>
        <w:t>عمر بن مصطفى</w:t>
      </w:r>
      <w:bookmarkEnd w:id="6115"/>
    </w:p>
    <w:p>
      <w:pPr>
        <w:pStyle w:val="BookText"/>
      </w:pPr>
      <w:r>
        <w:rPr>
          <w:rFonts w:ascii="Amiri" w:hAnsi="Amiri" w:eastAsia="Amiri" w:cs="Amiri"/>
          <w:lang w:bidi="ar-SA"/>
          <w:color w:val="111111"/>
          <w:sz w:val="28"/>
          <w:szCs w:val="28"/>
          <w:rtl/>
        </w:rPr>
        <w:t xml:space="preserve">مناقب سعد الدين بن يونس ج 15</w:t>
      </w:r>
    </w:p>
    <w:p>
      <w:pPr>
        <w:pStyle w:val="BookText"/>
      </w:pPr>
      <w:r>
        <w:rPr>
          <w:rFonts w:ascii="IRNazanin" w:hAnsi="IRNazanin" w:eastAsia="IRNazanin" w:cs="IRNazanin"/>
          <w:lang w:bidi="fa-IR"/>
          <w:color w:val="111111"/>
          <w:sz w:val="28"/>
          <w:szCs w:val="28"/>
          <w:rtl/>
        </w:rPr>
        <w:t xml:space="preserve">ص 545.</w:t>
      </w:r>
    </w:p>
    <w:p>
      <w:pPr>
        <w:pStyle w:val="BookText"/>
      </w:pPr>
      <w:r>
        <w:rPr>
          <w:rFonts w:ascii="Amiri" w:hAnsi="Amiri" w:eastAsia="Amiri" w:cs="Amiri"/>
          <w:lang w:bidi="ar-SA"/>
          <w:color w:val="111111"/>
          <w:sz w:val="28"/>
          <w:szCs w:val="28"/>
          <w:rtl/>
        </w:rPr>
        <w:t xml:space="preserve">عمر بن مظفر بن عمر قرشي بكري -ابن</w:t>
      </w:r>
    </w:p>
    <w:p>
      <w:pPr>
        <w:pStyle w:val="BookText"/>
      </w:pPr>
      <w:r>
        <w:rPr>
          <w:rFonts w:ascii="Amiri" w:hAnsi="Amiri" w:eastAsia="Amiri" w:cs="Amiri"/>
          <w:lang w:bidi="ar-SA"/>
          <w:color w:val="111111"/>
          <w:sz w:val="28"/>
          <w:szCs w:val="28"/>
          <w:rtl/>
        </w:rPr>
        <w:t xml:space="preserve">وردي ، عمر بن مظفر</w:t>
      </w:r>
    </w:p>
    <w:p>
      <w:pPr>
        <w:pStyle w:val="BookText"/>
      </w:pPr>
      <w:r>
        <w:rPr>
          <w:rFonts w:ascii="Amiri" w:hAnsi="Amiri" w:eastAsia="Amiri" w:cs="Amiri"/>
          <w:lang w:bidi="ar-SA"/>
          <w:color w:val="111111"/>
          <w:sz w:val="28"/>
          <w:szCs w:val="28"/>
          <w:rtl/>
        </w:rPr>
        <w:t xml:space="preserve">عمر بن مكي بن مرحل- ابن مرحل ، عمر</w:t>
      </w:r>
    </w:p>
    <w:p>
      <w:pPr>
        <w:pStyle w:val="BookText"/>
      </w:pPr>
      <w:r>
        <w:rPr>
          <w:rFonts w:ascii="Amiri" w:hAnsi="Amiri" w:eastAsia="Amiri" w:cs="Amiri"/>
          <w:lang w:bidi="ar-SA"/>
          <w:color w:val="111111"/>
          <w:sz w:val="28"/>
          <w:szCs w:val="28"/>
          <w:rtl/>
        </w:rPr>
        <w:t xml:space="preserve">بن مكي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09" w:name="pg7742_70883"/>
    <w:bookmarkEnd w:id="809"/>
    <w:p>
      <w:pPr>
        <w:pStyle w:val="BookText"/>
      </w:pPr>
      <w:r>
        <w:rPr>
          <w:rFonts w:ascii="Amiri" w:hAnsi="Amiri" w:eastAsia="Amiri" w:cs="Amiri"/>
          <w:lang w:bidi="ar-SA"/>
          <w:color w:val="111111"/>
          <w:sz w:val="28"/>
          <w:szCs w:val="28"/>
          <w:rtl/>
        </w:rPr>
        <w:t xml:space="preserve">عمر بن موسى بن حمصي -ابن حمصي</w:t>
      </w:r>
    </w:p>
    <w:p>
      <w:pPr>
        <w:pStyle w:val="BookText"/>
      </w:pPr>
      <w:r>
        <w:rPr>
          <w:rFonts w:ascii="IRNazanin" w:hAnsi="IRNazanin" w:eastAsia="IRNazanin" w:cs="IRNazanin"/>
          <w:lang w:bidi="fa-IR"/>
          <w:color w:val="111111"/>
          <w:sz w:val="28"/>
          <w:szCs w:val="28"/>
          <w:rtl/>
        </w:rPr>
        <w:t xml:space="preserve">عمر بن موسى</w:t>
      </w:r>
    </w:p>
    <w:p>
      <w:pPr>
        <w:pStyle w:val="BookText"/>
      </w:pPr>
      <w:r>
        <w:rPr>
          <w:rFonts w:ascii="Amiri" w:hAnsi="Amiri" w:eastAsia="Amiri" w:cs="Amiri"/>
          <w:lang w:bidi="ar-SA"/>
          <w:color w:val="111111"/>
          <w:sz w:val="28"/>
          <w:szCs w:val="28"/>
          <w:rtl/>
        </w:rPr>
        <w:t xml:space="preserve">عمر بن يوسف بن عمر -اشرف الرسولي ،</w:t>
      </w:r>
    </w:p>
    <w:p>
      <w:pPr>
        <w:pStyle w:val="BookText"/>
      </w:pPr>
      <w:r>
        <w:rPr>
          <w:rFonts w:ascii="Amiri" w:hAnsi="Amiri" w:eastAsia="Amiri" w:cs="Amiri"/>
          <w:lang w:bidi="ar-SA"/>
          <w:color w:val="111111"/>
          <w:sz w:val="28"/>
          <w:szCs w:val="28"/>
          <w:rtl/>
        </w:rPr>
        <w:t xml:space="preserve">عمر بن يوسف</w:t>
      </w:r>
    </w:p>
    <w:p>
      <w:pPr>
        <w:pStyle w:val="BookText"/>
      </w:pPr>
      <w:r>
        <w:rPr>
          <w:rFonts w:ascii="IRNazanin" w:hAnsi="IRNazanin" w:eastAsia="IRNazanin" w:cs="IRNazanin"/>
          <w:lang w:bidi="fa-IR"/>
          <w:color w:val="111111"/>
          <w:sz w:val="28"/>
          <w:szCs w:val="28"/>
          <w:rtl/>
        </w:rPr>
        <w:t xml:space="preserve">عمر خیام -خیام ، عمر بن ابراهيم</w:t>
      </w:r>
    </w:p>
    <w:p>
      <w:pPr>
        <w:pStyle w:val="BookText"/>
      </w:pPr>
      <w:r>
        <w:rPr>
          <w:rFonts w:ascii="IRNazanin" w:hAnsi="IRNazanin" w:eastAsia="IRNazanin" w:cs="IRNazanin"/>
          <w:lang w:bidi="fa-IR"/>
          <w:color w:val="111111"/>
          <w:sz w:val="28"/>
          <w:szCs w:val="28"/>
          <w:rtl/>
        </w:rPr>
        <w:t xml:space="preserve">عمر فاروق- عمر بن خطاب</w:t>
      </w:r>
    </w:p>
    <w:p>
      <w:pPr>
        <w:pStyle w:val="BookText"/>
      </w:pPr>
      <w:r>
        <w:rPr>
          <w:rFonts w:ascii="IRNazanin" w:hAnsi="IRNazanin" w:eastAsia="IRNazanin" w:cs="IRNazanin"/>
          <w:lang w:bidi="fa-IR"/>
          <w:color w:val="111111"/>
          <w:sz w:val="28"/>
          <w:szCs w:val="28"/>
          <w:rtl/>
        </w:rPr>
        <w:t xml:space="preserve">عمرو بن بحر الجاحظ -جاحظ ، عمرو بن بحر</w:t>
      </w:r>
    </w:p>
    <w:p>
      <w:pPr>
        <w:pStyle w:val="BookText"/>
      </w:pPr>
      <w:r>
        <w:rPr>
          <w:rFonts w:ascii="Amiri" w:hAnsi="Amiri" w:eastAsia="Amiri" w:cs="Amiri"/>
          <w:lang w:bidi="ar-SA"/>
          <w:color w:val="111111"/>
          <w:sz w:val="28"/>
          <w:szCs w:val="28"/>
          <w:rtl/>
        </w:rPr>
        <w:t xml:space="preserve">عمرو بن عبيد بن باب تيمي- ابن باب</w:t>
      </w:r>
    </w:p>
    <w:p>
      <w:pPr>
        <w:pStyle w:val="BookText"/>
      </w:pPr>
      <w:r>
        <w:rPr>
          <w:rFonts w:ascii="Amiri" w:hAnsi="Amiri" w:eastAsia="Amiri" w:cs="Amiri"/>
          <w:lang w:bidi="ar-SA"/>
          <w:color w:val="111111"/>
          <w:sz w:val="28"/>
          <w:szCs w:val="28"/>
          <w:rtl/>
        </w:rPr>
        <w:t xml:space="preserve">عمرو بن عبيد</w:t>
      </w:r>
    </w:p>
    <w:p>
      <w:pPr>
        <w:pStyle w:val="BookText"/>
      </w:pPr>
      <w:r>
        <w:rPr>
          <w:rFonts w:ascii="Amiri" w:hAnsi="Amiri" w:eastAsia="Amiri" w:cs="Amiri"/>
          <w:lang w:bidi="ar-SA"/>
          <w:color w:val="111111"/>
          <w:sz w:val="28"/>
          <w:szCs w:val="28"/>
          <w:rtl/>
        </w:rPr>
        <w:t xml:space="preserve">عمرو بن عثمان بن قنبر حارثي</w:t>
      </w:r>
    </w:p>
    <w:p>
      <w:pPr>
        <w:pStyle w:val="BookText"/>
      </w:pPr>
      <w:r>
        <w:rPr>
          <w:rFonts w:ascii="Amiri" w:hAnsi="Amiri" w:eastAsia="Amiri" w:cs="Amiri"/>
          <w:lang w:bidi="ar-SA"/>
          <w:color w:val="111111"/>
          <w:sz w:val="28"/>
          <w:szCs w:val="28"/>
          <w:rtl/>
        </w:rPr>
        <w:t xml:space="preserve">(سيبويه)- سيبويه ، عمرو بن عثمان</w:t>
      </w:r>
    </w:p>
    <w:p>
      <w:pPr>
        <w:pStyle w:val="Heading2"/>
      </w:pPr>
      <w:bookmarkStart w:id="6116" w:name="_Toc5218"/>
      <w:r>
        <w:t>عمرو بن جني قرن 8 ه-</w:t>
      </w:r>
      <w:bookmarkEnd w:id="6116"/>
    </w:p>
    <w:p>
      <w:pPr>
        <w:pStyle w:val="BookText"/>
      </w:pPr>
      <w:r>
        <w:rPr>
          <w:rFonts w:ascii="Amiri" w:hAnsi="Amiri" w:eastAsia="Amiri" w:cs="Amiri"/>
          <w:lang w:bidi="ar-SA"/>
          <w:color w:val="111111"/>
          <w:sz w:val="28"/>
          <w:szCs w:val="28"/>
          <w:rtl/>
        </w:rPr>
        <w:t xml:space="preserve">اخبار بطارقة كرسي المشرق، ج1،</w:t>
      </w:r>
    </w:p>
    <w:p>
      <w:pPr>
        <w:pStyle w:val="BookText"/>
      </w:pPr>
      <w:r>
        <w:rPr>
          <w:rFonts w:ascii="IRNazanin" w:hAnsi="IRNazanin" w:eastAsia="IRNazanin" w:cs="IRNazanin"/>
          <w:lang w:bidi="fa-IR"/>
          <w:color w:val="111111"/>
          <w:sz w:val="28"/>
          <w:szCs w:val="28"/>
          <w:rtl/>
        </w:rPr>
        <w:t xml:space="preserve">ص 523.</w:t>
      </w:r>
    </w:p>
    <w:p>
      <w:pPr>
        <w:pStyle w:val="Heading2"/>
      </w:pPr>
      <w:bookmarkStart w:id="6117" w:name="_Toc5219"/>
      <w:r>
        <w:t>عمروسي ، علي بن خضر - 1173 ه-</w:t>
      </w:r>
      <w:bookmarkEnd w:id="6117"/>
    </w:p>
    <w:p>
      <w:pPr>
        <w:pStyle w:val="BookText"/>
      </w:pPr>
      <w:r>
        <w:rPr>
          <w:rFonts w:ascii="Amiri" w:hAnsi="Amiri" w:eastAsia="Amiri" w:cs="Amiri"/>
          <w:lang w:bidi="ar-SA"/>
          <w:color w:val="111111"/>
          <w:sz w:val="28"/>
          <w:szCs w:val="28"/>
          <w:rtl/>
        </w:rPr>
        <w:t xml:space="preserve">شرح مقدمة العمروسي، ج10،</w:t>
      </w:r>
    </w:p>
    <w:p>
      <w:pPr>
        <w:pStyle w:val="BookText"/>
      </w:pPr>
      <w:r>
        <w:rPr>
          <w:rFonts w:ascii="IRNazanin" w:hAnsi="IRNazanin" w:eastAsia="IRNazanin" w:cs="IRNazanin"/>
          <w:lang w:bidi="fa-IR"/>
          <w:color w:val="111111"/>
          <w:sz w:val="28"/>
          <w:szCs w:val="28"/>
          <w:rtl/>
        </w:rPr>
        <w:t xml:space="preserve">ص 204.</w:t>
      </w:r>
    </w:p>
    <w:p>
      <w:pPr>
        <w:pStyle w:val="BookText"/>
      </w:pPr>
      <w:r>
        <w:rPr>
          <w:rFonts w:ascii="Amiri" w:hAnsi="Amiri" w:eastAsia="Amiri" w:cs="Amiri"/>
          <w:lang w:bidi="ar-SA"/>
          <w:color w:val="111111"/>
          <w:sz w:val="28"/>
          <w:szCs w:val="28"/>
          <w:rtl/>
        </w:rPr>
        <w:t xml:space="preserve">عمري ، ابو العباس - غمري ، احمد بن</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Amiri" w:hAnsi="Amiri" w:eastAsia="Amiri" w:cs="Amiri"/>
          <w:lang w:bidi="ar-SA"/>
          <w:color w:val="111111"/>
          <w:sz w:val="28"/>
          <w:szCs w:val="28"/>
          <w:rtl/>
        </w:rPr>
        <w:t xml:space="preserve">عمري ، ابوبكر بن مسعود -وردي ،</w:t>
      </w:r>
    </w:p>
    <w:p>
      <w:pPr>
        <w:pStyle w:val="BookText"/>
      </w:pPr>
      <w:r>
        <w:rPr>
          <w:rFonts w:ascii="IRNazanin" w:hAnsi="IRNazanin" w:eastAsia="IRNazanin" w:cs="IRNazanin"/>
          <w:lang w:bidi="fa-IR"/>
          <w:color w:val="111111"/>
          <w:sz w:val="28"/>
          <w:szCs w:val="28"/>
          <w:rtl/>
        </w:rPr>
        <w:t xml:space="preserve">ابوبکر بن مسعود</w:t>
      </w:r>
    </w:p>
    <w:p>
      <w:pPr>
        <w:pStyle w:val="BookText"/>
      </w:pPr>
      <w:r>
        <w:rPr>
          <w:rFonts w:ascii="Amiri" w:hAnsi="Amiri" w:eastAsia="Amiri" w:cs="Amiri"/>
          <w:lang w:bidi="ar-SA"/>
          <w:color w:val="111111"/>
          <w:sz w:val="28"/>
          <w:szCs w:val="28"/>
          <w:rtl/>
        </w:rPr>
        <w:t xml:space="preserve">عمري ، احمد بن ابراهيم -كنبدي ، احمد</w:t>
      </w:r>
    </w:p>
    <w:p>
      <w:pPr>
        <w:pStyle w:val="BookText"/>
      </w:pPr>
      <w:r>
        <w:rPr>
          <w:rFonts w:ascii="Amiri" w:hAnsi="Amiri" w:eastAsia="Amiri" w:cs="Amiri"/>
          <w:lang w:bidi="ar-SA"/>
          <w:color w:val="111111"/>
          <w:sz w:val="28"/>
          <w:szCs w:val="28"/>
          <w:rtl/>
        </w:rPr>
        <w:t xml:space="preserve">بن ابراهيم</w:t>
      </w:r>
    </w:p>
    <w:p>
      <w:pPr>
        <w:pStyle w:val="BookText"/>
      </w:pPr>
      <w:r>
        <w:rPr>
          <w:rFonts w:ascii="Amiri" w:hAnsi="Amiri" w:eastAsia="Amiri" w:cs="Amiri"/>
          <w:lang w:bidi="ar-SA"/>
          <w:color w:val="111111"/>
          <w:sz w:val="28"/>
          <w:szCs w:val="28"/>
          <w:rtl/>
        </w:rPr>
        <w:t xml:space="preserve">عمري ، احمد بن عماد- اقفهسي ، احمد</w:t>
      </w:r>
    </w:p>
    <w:p>
      <w:pPr>
        <w:pStyle w:val="BookText"/>
      </w:pPr>
      <w:r>
        <w:rPr>
          <w:rFonts w:ascii="IRNazanin" w:hAnsi="IRNazanin" w:eastAsia="IRNazanin" w:cs="IRNazanin"/>
          <w:lang w:bidi="fa-IR"/>
          <w:color w:val="111111"/>
          <w:sz w:val="28"/>
          <w:szCs w:val="28"/>
          <w:rtl/>
        </w:rPr>
        <w:t xml:space="preserve">بن عماد</w:t>
      </w:r>
    </w:p>
    <w:p>
      <w:pPr>
        <w:pStyle w:val="BookText"/>
      </w:pPr>
      <w:r>
        <w:rPr>
          <w:rFonts w:ascii="Amiri" w:hAnsi="Amiri" w:eastAsia="Amiri" w:cs="Amiri"/>
          <w:lang w:bidi="ar-SA"/>
          <w:color w:val="111111"/>
          <w:sz w:val="28"/>
          <w:szCs w:val="28"/>
          <w:rtl/>
        </w:rPr>
        <w:t xml:space="preserve">عمري، احمد بن محمّد- قول احمد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عمري ، احمد بن يحيى- ابن فضل الله</w:t>
      </w:r>
    </w:p>
    <w:p>
      <w:pPr>
        <w:pStyle w:val="BookText"/>
      </w:pPr>
      <w:r>
        <w:rPr>
          <w:rFonts w:ascii="Amiri" w:hAnsi="Amiri" w:eastAsia="Amiri" w:cs="Amiri"/>
          <w:lang w:bidi="ar-SA"/>
          <w:color w:val="111111"/>
          <w:sz w:val="28"/>
          <w:szCs w:val="28"/>
          <w:rtl/>
        </w:rPr>
        <w:t xml:space="preserve">عمري ، احمد بن يحيى</w:t>
      </w:r>
    </w:p>
    <w:p>
      <w:pPr>
        <w:pStyle w:val="Heading2"/>
      </w:pPr>
      <w:bookmarkStart w:id="6118" w:name="_Toc5220"/>
      <w:r>
        <w:t>عمري ، امين افندي</w:t>
      </w:r>
      <w:bookmarkEnd w:id="6118"/>
    </w:p>
    <w:p>
      <w:pPr>
        <w:pStyle w:val="BookText"/>
      </w:pPr>
      <w:r>
        <w:rPr>
          <w:rFonts w:ascii="Amiri" w:hAnsi="Amiri" w:eastAsia="Amiri" w:cs="Amiri"/>
          <w:lang w:bidi="ar-SA"/>
          <w:color w:val="111111"/>
          <w:sz w:val="28"/>
          <w:szCs w:val="28"/>
          <w:rtl/>
        </w:rPr>
        <w:t xml:space="preserve">1 .فن النحو من كتاب زهرة الفنون</w:t>
      </w:r>
    </w:p>
    <w:p>
      <w:pPr>
        <w:pStyle w:val="BookText"/>
      </w:pPr>
      <w:r>
        <w:rPr>
          <w:rFonts w:ascii="IRNazanin" w:hAnsi="IRNazanin" w:eastAsia="IRNazanin" w:cs="IRNazanin"/>
          <w:lang w:bidi="fa-IR"/>
          <w:color w:val="111111"/>
          <w:sz w:val="28"/>
          <w:szCs w:val="28"/>
          <w:rtl/>
        </w:rPr>
        <w:t xml:space="preserve">ج 12، ص 140.</w:t>
      </w:r>
    </w:p>
    <w:p>
      <w:pPr>
        <w:pStyle w:val="BookText"/>
      </w:pPr>
      <w:r>
        <w:rPr>
          <w:rFonts w:ascii="Amiri" w:hAnsi="Amiri" w:eastAsia="Amiri" w:cs="Amiri"/>
          <w:lang w:bidi="ar-SA"/>
          <w:color w:val="111111"/>
          <w:sz w:val="28"/>
          <w:szCs w:val="28"/>
          <w:rtl/>
        </w:rPr>
        <w:t xml:space="preserve">2 .فن النحو من كتاب مطالع العلوم</w:t>
      </w:r>
    </w:p>
    <w:p>
      <w:pPr>
        <w:pStyle w:val="BookText"/>
      </w:pPr>
      <w:r>
        <w:rPr>
          <w:rFonts w:ascii="IRNazanin" w:hAnsi="IRNazanin" w:eastAsia="IRNazanin" w:cs="IRNazanin"/>
          <w:lang w:bidi="fa-IR"/>
          <w:color w:val="111111"/>
          <w:sz w:val="28"/>
          <w:szCs w:val="28"/>
          <w:rtl/>
        </w:rPr>
        <w:t xml:space="preserve">ج 12، ص 140 .</w:t>
      </w:r>
    </w:p>
    <w:p>
      <w:pPr>
        <w:pStyle w:val="BookText"/>
      </w:pPr>
      <w:r>
        <w:rPr>
          <w:rFonts w:ascii="Amiri" w:hAnsi="Amiri" w:eastAsia="Amiri" w:cs="Amiri"/>
          <w:lang w:bidi="ar-SA"/>
          <w:color w:val="111111"/>
          <w:sz w:val="28"/>
          <w:szCs w:val="28"/>
          <w:rtl/>
        </w:rPr>
        <w:t xml:space="preserve">عمري تبريزي ، محمّد بن عبدالله -خطيب</w:t>
      </w:r>
    </w:p>
    <w:p>
      <w:pPr>
        <w:pStyle w:val="BookText"/>
      </w:pPr>
      <w:r>
        <w:rPr>
          <w:rFonts w:ascii="Amiri" w:hAnsi="Amiri" w:eastAsia="Amiri" w:cs="Amiri"/>
          <w:lang w:bidi="ar-SA"/>
          <w:color w:val="111111"/>
          <w:sz w:val="28"/>
          <w:szCs w:val="28"/>
          <w:rtl/>
        </w:rPr>
        <w:t xml:space="preserve">عمري ، محمّد بن عبدالله</w:t>
      </w:r>
    </w:p>
    <w:p>
      <w:pPr>
        <w:pStyle w:val="Heading2"/>
      </w:pPr>
      <w:bookmarkStart w:id="6119" w:name="_Toc5221"/>
      <w:r>
        <w:t>عمري ، حسن بن عبد الباقي، - 1157 ه-</w:t>
      </w:r>
      <w:bookmarkEnd w:id="6119"/>
    </w:p>
    <w:p>
      <w:pPr>
        <w:pStyle w:val="BookText"/>
      </w:pPr>
      <w:r>
        <w:rPr>
          <w:rFonts w:ascii="Amiri" w:hAnsi="Amiri" w:eastAsia="Amiri" w:cs="Amiri"/>
          <w:lang w:bidi="ar-SA"/>
          <w:color w:val="111111"/>
          <w:sz w:val="28"/>
          <w:szCs w:val="28"/>
          <w:rtl/>
        </w:rPr>
        <w:t xml:space="preserve">1 .تخميس لخمرية إبن الفارض جع</w:t>
      </w:r>
    </w:p>
    <w:p>
      <w:pPr>
        <w:pStyle w:val="BookText"/>
      </w:pPr>
      <w:r>
        <w:rPr>
          <w:rFonts w:ascii="IRNazanin" w:hAnsi="IRNazanin" w:eastAsia="IRNazanin" w:cs="IRNazanin"/>
          <w:lang w:bidi="fa-IR"/>
          <w:color w:val="111111"/>
          <w:sz w:val="28"/>
          <w:szCs w:val="28"/>
          <w:rtl/>
        </w:rPr>
        <w:t xml:space="preserve">ص 157 .</w:t>
      </w:r>
    </w:p>
    <w:p>
      <w:pPr>
        <w:pStyle w:val="BookText"/>
      </w:pPr>
      <w:r>
        <w:rPr>
          <w:rFonts w:ascii="Amiri" w:hAnsi="Amiri" w:eastAsia="Amiri" w:cs="Amiri"/>
          <w:lang w:bidi="ar-SA"/>
          <w:color w:val="111111"/>
          <w:sz w:val="28"/>
          <w:szCs w:val="28"/>
          <w:rtl/>
        </w:rPr>
        <w:t xml:space="preserve">2 .ديوان العمري، ج 7، ص 726 .</w:t>
      </w:r>
    </w:p>
    <w:p>
      <w:pPr>
        <w:pStyle w:val="BookText"/>
      </w:pPr>
      <w:r>
        <w:rPr>
          <w:rFonts w:ascii="Amiri" w:hAnsi="Amiri" w:eastAsia="Amiri" w:cs="Amiri"/>
          <w:lang w:bidi="ar-SA"/>
          <w:color w:val="111111"/>
          <w:sz w:val="28"/>
          <w:szCs w:val="28"/>
          <w:rtl/>
        </w:rPr>
        <w:t xml:space="preserve">3.مرثية، ج 14، ص 391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موشح، ج 16، ص 19.</w:t>
      </w:r>
    </w:p>
    <w:p>
      <w:pPr>
        <w:pStyle w:val="BookText"/>
      </w:pPr>
      <w:r>
        <w:rPr>
          <w:rFonts w:ascii="Amiri" w:hAnsi="Amiri" w:eastAsia="Amiri" w:cs="Amiri"/>
          <w:lang w:bidi="ar-SA"/>
          <w:color w:val="111111"/>
          <w:sz w:val="28"/>
          <w:szCs w:val="28"/>
          <w:rtl/>
        </w:rPr>
        <w:t xml:space="preserve">عمري ، خليل بن حسين- اسعردي ، خليل</w:t>
      </w:r>
    </w:p>
    <w:p>
      <w:pPr>
        <w:pStyle w:val="BookText"/>
      </w:pPr>
      <w:r>
        <w:rPr>
          <w:rFonts w:ascii="Amiri" w:hAnsi="Amiri" w:eastAsia="Amiri" w:cs="Amiri"/>
          <w:lang w:bidi="ar-SA"/>
          <w:color w:val="111111"/>
          <w:sz w:val="28"/>
          <w:szCs w:val="28"/>
          <w:rtl/>
        </w:rPr>
        <w:t xml:space="preserve">بن حسين</w:t>
      </w:r>
    </w:p>
    <w:p>
      <w:pPr>
        <w:pStyle w:val="Heading2"/>
      </w:pPr>
      <w:bookmarkStart w:id="6120" w:name="_Toc5222"/>
      <w:r>
        <w:t>عمري خير الله بن محمود، 1091-1182ه-</w:t>
      </w:r>
      <w:bookmarkEnd w:id="6120"/>
    </w:p>
    <w:p>
      <w:pPr>
        <w:pStyle w:val="BookText"/>
      </w:pPr>
      <w:r>
        <w:rPr>
          <w:rFonts w:ascii="Amiri" w:hAnsi="Amiri" w:eastAsia="Amiri" w:cs="Amiri"/>
          <w:lang w:bidi="ar-SA"/>
          <w:color w:val="111111"/>
          <w:sz w:val="28"/>
          <w:szCs w:val="28"/>
          <w:rtl/>
        </w:rPr>
        <w:t xml:space="preserve">1 .ابحاث منتخبة من شرح جوهرة</w:t>
      </w:r>
    </w:p>
    <w:p>
      <w:pPr>
        <w:pStyle w:val="BookText"/>
      </w:pPr>
      <w:r>
        <w:rPr>
          <w:rFonts w:ascii="Amiri" w:hAnsi="Amiri" w:eastAsia="Amiri" w:cs="Amiri"/>
          <w:lang w:bidi="ar-SA"/>
          <w:color w:val="111111"/>
          <w:sz w:val="28"/>
          <w:szCs w:val="28"/>
          <w:rtl/>
        </w:rPr>
        <w:t xml:space="preserve">التوحيد، ج 1، ص 96 .</w:t>
      </w:r>
    </w:p>
    <w:p>
      <w:pPr>
        <w:pStyle w:val="BookText"/>
      </w:pPr>
      <w:r>
        <w:rPr>
          <w:rFonts w:ascii="Amiri" w:hAnsi="Amiri" w:eastAsia="Amiri" w:cs="Amiri"/>
          <w:lang w:bidi="ar-SA"/>
          <w:color w:val="111111"/>
          <w:sz w:val="28"/>
          <w:szCs w:val="28"/>
          <w:rtl/>
        </w:rPr>
        <w:t xml:space="preserve">2 .رسالة منقولة من شرح جوهرة</w:t>
      </w:r>
    </w:p>
    <w:p>
      <w:pPr>
        <w:pStyle w:val="BookText"/>
      </w:pPr>
      <w:r>
        <w:rPr>
          <w:rFonts w:ascii="Amiri" w:hAnsi="Amiri" w:eastAsia="Amiri" w:cs="Amiri"/>
          <w:lang w:bidi="ar-SA"/>
          <w:color w:val="111111"/>
          <w:sz w:val="28"/>
          <w:szCs w:val="28"/>
          <w:rtl/>
        </w:rPr>
        <w:t xml:space="preserve">التوحيد، ج8، ص282.</w:t>
      </w:r>
    </w:p>
    <w:p>
      <w:pPr>
        <w:pStyle w:val="BookText"/>
      </w:pPr>
      <w:r>
        <w:rPr>
          <w:rFonts w:ascii="Amiri" w:hAnsi="Amiri" w:eastAsia="Amiri" w:cs="Amiri"/>
          <w:lang w:bidi="ar-SA"/>
          <w:color w:val="111111"/>
          <w:sz w:val="28"/>
          <w:szCs w:val="28"/>
          <w:rtl/>
        </w:rPr>
        <w:t xml:space="preserve">3 .شرح رسالة العقائد للدواني، ج9،</w:t>
      </w:r>
    </w:p>
    <w:p>
      <w:pPr>
        <w:pStyle w:val="BookText"/>
      </w:pPr>
      <w:r>
        <w:rPr>
          <w:rFonts w:ascii="IRNazanin" w:hAnsi="IRNazanin" w:eastAsia="IRNazanin" w:cs="IRNazanin"/>
          <w:lang w:bidi="fa-IR"/>
          <w:color w:val="111111"/>
          <w:sz w:val="28"/>
          <w:szCs w:val="28"/>
          <w:rtl/>
        </w:rPr>
        <w:t xml:space="preserve">ص 538.</w:t>
      </w:r>
    </w:p>
    <w:p>
      <w:pPr>
        <w:pStyle w:val="Heading2"/>
      </w:pPr>
      <w:bookmarkStart w:id="6121" w:name="_Toc5223"/>
      <w:r>
        <w:t>عمري زاده ، عبدالله</w:t>
      </w:r>
      <w:bookmarkEnd w:id="6121"/>
    </w:p>
    <w:p>
      <w:pPr>
        <w:pStyle w:val="BookText"/>
      </w:pPr>
      <w:r>
        <w:rPr>
          <w:rFonts w:ascii="Amiri" w:hAnsi="Amiri" w:eastAsia="Amiri" w:cs="Amiri"/>
          <w:lang w:bidi="ar-SA"/>
          <w:color w:val="111111"/>
          <w:sz w:val="28"/>
          <w:szCs w:val="28"/>
          <w:rtl/>
        </w:rPr>
        <w:t xml:space="preserve">تخميس القصيدة الهمزية، ج4،</w:t>
      </w:r>
    </w:p>
    <w:p>
      <w:pPr>
        <w:pStyle w:val="BookText"/>
      </w:pPr>
      <w:r>
        <w:rPr>
          <w:rFonts w:ascii="IRNazanin" w:hAnsi="IRNazanin" w:eastAsia="IRNazanin" w:cs="IRNazanin"/>
          <w:lang w:bidi="fa-IR"/>
          <w:color w:val="111111"/>
          <w:sz w:val="28"/>
          <w:szCs w:val="28"/>
          <w:rtl/>
        </w:rPr>
        <w:t xml:space="preserve">ص150.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10" w:name="pg7742_70885"/>
    <w:bookmarkEnd w:id="810"/>
    <w:p>
      <w:pPr>
        <w:pStyle w:val="BookText"/>
      </w:pPr>
      <w:r>
        <w:rPr>
          <w:rFonts w:ascii="Amiri" w:hAnsi="Amiri" w:eastAsia="Amiri" w:cs="Amiri"/>
          <w:lang w:bidi="ar-SA"/>
          <w:color w:val="111111"/>
          <w:sz w:val="28"/>
          <w:szCs w:val="28"/>
          <w:rtl/>
        </w:rPr>
        <w:t xml:space="preserve">عمري ، زين العابدين -سبط المرصفي</w:t>
      </w:r>
    </w:p>
    <w:p>
      <w:pPr>
        <w:pStyle w:val="BookText"/>
      </w:pPr>
      <w:r>
        <w:rPr>
          <w:rFonts w:ascii="Amiri" w:hAnsi="Amiri" w:eastAsia="Amiri" w:cs="Amiri"/>
          <w:lang w:bidi="ar-SA"/>
          <w:color w:val="111111"/>
          <w:sz w:val="28"/>
          <w:szCs w:val="28"/>
          <w:rtl/>
        </w:rPr>
        <w:t xml:space="preserve">محمّد بن محمّد</w:t>
      </w:r>
    </w:p>
    <w:p>
      <w:pPr>
        <w:pStyle w:val="Heading2"/>
      </w:pPr>
      <w:bookmarkStart w:id="6122" w:name="_Toc5224"/>
      <w:r>
        <w:t>عمري سامي ، علي بن شريف، قرن 13 ه-</w:t>
      </w:r>
      <w:bookmarkEnd w:id="6122"/>
    </w:p>
    <w:p>
      <w:pPr>
        <w:pStyle w:val="BookText"/>
      </w:pPr>
      <w:r>
        <w:rPr>
          <w:rFonts w:ascii="Amiri" w:hAnsi="Amiri" w:eastAsia="Amiri" w:cs="Amiri"/>
          <w:lang w:bidi="ar-SA"/>
          <w:color w:val="111111"/>
          <w:sz w:val="28"/>
          <w:szCs w:val="28"/>
          <w:rtl/>
        </w:rPr>
        <w:t xml:space="preserve">ديوان علي العمري، ج 7، ص 725.</w:t>
      </w:r>
    </w:p>
    <w:p>
      <w:pPr>
        <w:pStyle w:val="Heading2"/>
      </w:pPr>
      <w:bookmarkStart w:id="6123" w:name="_Toc5225"/>
      <w:r>
        <w:t>عمري ، سلیمان قرن 13 ه-</w:t>
      </w:r>
      <w:bookmarkEnd w:id="6123"/>
    </w:p>
    <w:p>
      <w:pPr>
        <w:pStyle w:val="BookText"/>
      </w:pPr>
      <w:r>
        <w:rPr>
          <w:rFonts w:ascii="Amiri" w:hAnsi="Amiri" w:eastAsia="Amiri" w:cs="Amiri"/>
          <w:lang w:bidi="ar-SA"/>
          <w:color w:val="111111"/>
          <w:sz w:val="28"/>
          <w:szCs w:val="28"/>
          <w:rtl/>
        </w:rPr>
        <w:t xml:space="preserve">1 .حواشي على نظم الآجرومية، ج 6،</w:t>
      </w:r>
    </w:p>
    <w:p>
      <w:pPr>
        <w:pStyle w:val="BookText"/>
      </w:pPr>
      <w:r>
        <w:rPr>
          <w:rFonts w:ascii="IRNazanin" w:hAnsi="IRNazanin" w:eastAsia="IRNazanin" w:cs="IRNazanin"/>
          <w:lang w:bidi="fa-IR"/>
          <w:color w:val="111111"/>
          <w:sz w:val="28"/>
          <w:szCs w:val="28"/>
          <w:rtl/>
        </w:rPr>
        <w:t xml:space="preserve">ص 841.</w:t>
      </w:r>
    </w:p>
    <w:p>
      <w:pPr>
        <w:pStyle w:val="BookText"/>
      </w:pPr>
      <w:r>
        <w:rPr>
          <w:rFonts w:ascii="Amiri" w:hAnsi="Amiri" w:eastAsia="Amiri" w:cs="Amiri"/>
          <w:lang w:bidi="ar-SA"/>
          <w:color w:val="111111"/>
          <w:sz w:val="28"/>
          <w:szCs w:val="28"/>
          <w:rtl/>
        </w:rPr>
        <w:t xml:space="preserve">2 .المرصعة العمرية في مدح الدولة</w:t>
      </w:r>
    </w:p>
    <w:p>
      <w:pPr>
        <w:pStyle w:val="BookText"/>
      </w:pPr>
      <w:r>
        <w:rPr>
          <w:rFonts w:ascii="Amiri" w:hAnsi="Amiri" w:eastAsia="Amiri" w:cs="Amiri"/>
          <w:lang w:bidi="ar-SA"/>
          <w:color w:val="111111"/>
          <w:sz w:val="28"/>
          <w:szCs w:val="28"/>
          <w:rtl/>
        </w:rPr>
        <w:t xml:space="preserve">النعمانية، ج 14، ص 401.</w:t>
      </w:r>
    </w:p>
    <w:p>
      <w:pPr>
        <w:pStyle w:val="BookText"/>
      </w:pPr>
      <w:r>
        <w:rPr>
          <w:rFonts w:ascii="IRNazanin" w:hAnsi="IRNazanin" w:eastAsia="IRNazanin" w:cs="IRNazanin"/>
          <w:lang w:bidi="fa-IR"/>
          <w:color w:val="111111"/>
          <w:sz w:val="28"/>
          <w:szCs w:val="28"/>
          <w:rtl/>
        </w:rPr>
        <w:t xml:space="preserve">عمري شيرازي، جنيد بن محمود -جنید</w:t>
      </w:r>
    </w:p>
    <w:p>
      <w:pPr>
        <w:pStyle w:val="BookText"/>
      </w:pPr>
      <w:r>
        <w:rPr>
          <w:rFonts w:ascii="Amiri" w:hAnsi="Amiri" w:eastAsia="Amiri" w:cs="Amiri"/>
          <w:lang w:bidi="ar-SA"/>
          <w:color w:val="111111"/>
          <w:sz w:val="28"/>
          <w:szCs w:val="28"/>
          <w:rtl/>
        </w:rPr>
        <w:t xml:space="preserve">شيرازي ، جنيد بن محمود</w:t>
      </w:r>
    </w:p>
    <w:p>
      <w:pPr>
        <w:pStyle w:val="BookText"/>
      </w:pPr>
      <w:r>
        <w:rPr>
          <w:rFonts w:ascii="Amiri" w:hAnsi="Amiri" w:eastAsia="Amiri" w:cs="Amiri"/>
          <w:lang w:bidi="ar-SA"/>
          <w:color w:val="111111"/>
          <w:sz w:val="28"/>
          <w:szCs w:val="28"/>
          <w:rtl/>
        </w:rPr>
        <w:t xml:space="preserve">عمري ، صالح بن محمّد- فلاني ، صالح بن</w:t>
      </w:r>
    </w:p>
    <w:p>
      <w:pPr>
        <w:pStyle w:val="BookText"/>
      </w:pPr>
      <w:r>
        <w:rPr>
          <w:rFonts w:ascii="Amiri" w:hAnsi="Amiri" w:eastAsia="Amiri" w:cs="Amiri"/>
          <w:lang w:bidi="ar-SA"/>
          <w:color w:val="111111"/>
          <w:sz w:val="28"/>
          <w:szCs w:val="28"/>
          <w:rtl/>
        </w:rPr>
        <w:t xml:space="preserve">محمّد</w:t>
      </w:r>
    </w:p>
    <w:p>
      <w:pPr>
        <w:pStyle w:val="Heading2"/>
      </w:pPr>
      <w:bookmarkStart w:id="6124" w:name="_Toc5226"/>
      <w:r>
        <w:t>عمريطي ، يحيى بن موسى - 890 ؟ ه-</w:t>
      </w:r>
      <w:bookmarkEnd w:id="6124"/>
    </w:p>
    <w:p>
      <w:pPr>
        <w:pStyle w:val="BookText"/>
      </w:pPr>
      <w:r>
        <w:rPr>
          <w:rFonts w:ascii="Amiri" w:hAnsi="Amiri" w:eastAsia="Amiri" w:cs="Amiri"/>
          <w:lang w:bidi="ar-SA"/>
          <w:color w:val="111111"/>
          <w:sz w:val="28"/>
          <w:szCs w:val="28"/>
          <w:rtl/>
        </w:rPr>
        <w:t xml:space="preserve">1 .تسهيل الطرقات في نظم الورقات</w:t>
      </w:r>
    </w:p>
    <w:p>
      <w:pPr>
        <w:pStyle w:val="BookText"/>
      </w:pPr>
      <w:r>
        <w:rPr>
          <w:rFonts w:ascii="IRNazanin" w:hAnsi="IRNazanin" w:eastAsia="IRNazanin" w:cs="IRNazanin"/>
          <w:lang w:bidi="fa-IR"/>
          <w:color w:val="111111"/>
          <w:sz w:val="28"/>
          <w:szCs w:val="28"/>
          <w:rtl/>
        </w:rPr>
        <w:t xml:space="preserve">ج 4، ص 350.</w:t>
      </w:r>
    </w:p>
    <w:p>
      <w:pPr>
        <w:pStyle w:val="BookText"/>
      </w:pPr>
      <w:r>
        <w:rPr>
          <w:rFonts w:ascii="Amiri" w:hAnsi="Amiri" w:eastAsia="Amiri" w:cs="Amiri"/>
          <w:lang w:bidi="ar-SA"/>
          <w:color w:val="111111"/>
          <w:sz w:val="28"/>
          <w:szCs w:val="28"/>
          <w:rtl/>
        </w:rPr>
        <w:t xml:space="preserve">2 .التيسير في نظم التحرير، ج 5،</w:t>
      </w:r>
    </w:p>
    <w:p>
      <w:pPr>
        <w:pStyle w:val="BookText"/>
      </w:pPr>
      <w:r>
        <w:rPr>
          <w:rFonts w:ascii="IRNazanin" w:hAnsi="IRNazanin" w:eastAsia="IRNazanin" w:cs="IRNazanin"/>
          <w:lang w:bidi="fa-IR"/>
          <w:color w:val="111111"/>
          <w:sz w:val="28"/>
          <w:szCs w:val="28"/>
          <w:rtl/>
        </w:rPr>
        <w:t xml:space="preserve">ص198.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الدرة البهية في نظم الآجرومية</w:t>
      </w:r>
    </w:p>
    <w:p>
      <w:pPr>
        <w:pStyle w:val="BookText"/>
      </w:pPr>
      <w:r>
        <w:rPr>
          <w:rFonts w:ascii="Amiri" w:hAnsi="Amiri" w:eastAsia="Amiri" w:cs="Amiri"/>
          <w:lang w:bidi="ar-SA"/>
          <w:color w:val="111111"/>
          <w:sz w:val="28"/>
          <w:szCs w:val="28"/>
          <w:rtl/>
        </w:rPr>
        <w:t xml:space="preserve">نظم الآجرومية = الارجوزة العمريطية، ج 7، ص227</w:t>
      </w:r>
    </w:p>
    <w:p>
      <w:pPr>
        <w:pStyle w:val="BookText"/>
      </w:pPr>
      <w:r>
        <w:rPr>
          <w:rFonts w:ascii="Amiri" w:hAnsi="Amiri" w:eastAsia="Amiri" w:cs="Amiri"/>
          <w:lang w:bidi="ar-SA"/>
          <w:color w:val="111111"/>
          <w:sz w:val="28"/>
          <w:szCs w:val="28"/>
          <w:rtl/>
        </w:rPr>
        <w:t xml:space="preserve">4 .الدرة البهية في نظم الآجرومية</w:t>
      </w:r>
    </w:p>
    <w:p>
      <w:pPr>
        <w:pStyle w:val="BookText"/>
      </w:pPr>
      <w:r>
        <w:rPr>
          <w:rFonts w:ascii="Amiri" w:hAnsi="Amiri" w:eastAsia="Amiri" w:cs="Amiri"/>
          <w:lang w:bidi="ar-SA"/>
          <w:color w:val="111111"/>
          <w:sz w:val="28"/>
          <w:szCs w:val="28"/>
          <w:rtl/>
        </w:rPr>
        <w:t xml:space="preserve">نظم الآجرومية = الارجوزة العمريطية، ج 16 ، ص328.</w:t>
      </w:r>
    </w:p>
    <w:p>
      <w:pPr>
        <w:pStyle w:val="BookText"/>
      </w:pPr>
      <w:r>
        <w:rPr>
          <w:rFonts w:ascii="Amiri" w:hAnsi="Amiri" w:eastAsia="Amiri" w:cs="Amiri"/>
          <w:lang w:bidi="ar-SA"/>
          <w:color w:val="111111"/>
          <w:sz w:val="28"/>
          <w:szCs w:val="28"/>
          <w:rtl/>
        </w:rPr>
        <w:t xml:space="preserve">5.قهوة البن (ارجوزة في)، ج12،</w:t>
      </w:r>
    </w:p>
    <w:p>
      <w:pPr>
        <w:pStyle w:val="BookText"/>
      </w:pPr>
      <w:r>
        <w:rPr>
          <w:rFonts w:ascii="IRNazanin" w:hAnsi="IRNazanin" w:eastAsia="IRNazanin" w:cs="IRNazanin"/>
          <w:lang w:bidi="fa-IR"/>
          <w:color w:val="111111"/>
          <w:sz w:val="28"/>
          <w:szCs w:val="28"/>
          <w:rtl/>
        </w:rPr>
        <w:t xml:space="preserve">ص 773</w:t>
      </w:r>
    </w:p>
    <w:p>
      <w:pPr>
        <w:pStyle w:val="BookText"/>
      </w:pPr>
      <w:r>
        <w:rPr>
          <w:rFonts w:ascii="Amiri" w:hAnsi="Amiri" w:eastAsia="Amiri" w:cs="Amiri"/>
          <w:lang w:bidi="ar-SA"/>
          <w:color w:val="111111"/>
          <w:sz w:val="28"/>
          <w:szCs w:val="28"/>
          <w:rtl/>
        </w:rPr>
        <w:t xml:space="preserve">6 .منظومة العمريطي، ج 15 ، ص 724 .</w:t>
      </w:r>
    </w:p>
    <w:p>
      <w:pPr>
        <w:pStyle w:val="BookText"/>
      </w:pPr>
      <w:r>
        <w:rPr>
          <w:rFonts w:ascii="Amiri" w:hAnsi="Amiri" w:eastAsia="Amiri" w:cs="Amiri"/>
          <w:lang w:bidi="ar-SA"/>
          <w:color w:val="111111"/>
          <w:sz w:val="28"/>
          <w:szCs w:val="28"/>
          <w:rtl/>
        </w:rPr>
        <w:t xml:space="preserve">7.نهاية التدريب في نظم غاية</w:t>
      </w:r>
    </w:p>
    <w:p>
      <w:pPr>
        <w:pStyle w:val="BookText"/>
      </w:pPr>
      <w:r>
        <w:rPr>
          <w:rFonts w:ascii="Amiri" w:hAnsi="Amiri" w:eastAsia="Amiri" w:cs="Amiri"/>
          <w:lang w:bidi="ar-SA"/>
          <w:color w:val="111111"/>
          <w:sz w:val="28"/>
          <w:szCs w:val="28"/>
          <w:rtl/>
        </w:rPr>
        <w:t xml:space="preserve">التقريب، ج 16، ص 489.</w:t>
      </w:r>
    </w:p>
    <w:p>
      <w:pPr>
        <w:pStyle w:val="BookText"/>
      </w:pPr>
      <w:r>
        <w:rPr>
          <w:rFonts w:ascii="Amiri" w:hAnsi="Amiri" w:eastAsia="Amiri" w:cs="Amiri"/>
          <w:lang w:bidi="ar-SA"/>
          <w:color w:val="111111"/>
          <w:sz w:val="28"/>
          <w:szCs w:val="28"/>
          <w:rtl/>
        </w:rPr>
        <w:t xml:space="preserve">عمري ، عبد الباقي بن سليمان -فاروقي</w:t>
      </w:r>
    </w:p>
    <w:p>
      <w:pPr>
        <w:pStyle w:val="BookText"/>
      </w:pPr>
      <w:r>
        <w:rPr>
          <w:rFonts w:ascii="Amiri" w:hAnsi="Amiri" w:eastAsia="Amiri" w:cs="Amiri"/>
          <w:lang w:bidi="ar-SA"/>
          <w:color w:val="111111"/>
          <w:sz w:val="28"/>
          <w:szCs w:val="28"/>
          <w:rtl/>
        </w:rPr>
        <w:t xml:space="preserve">عبد الباقي بن سليمان</w:t>
      </w:r>
    </w:p>
    <w:p>
      <w:pPr>
        <w:pStyle w:val="BookText"/>
      </w:pPr>
      <w:r>
        <w:rPr>
          <w:rFonts w:ascii="Amiri" w:hAnsi="Amiri" w:eastAsia="Amiri" w:cs="Amiri"/>
          <w:lang w:bidi="ar-SA"/>
          <w:color w:val="111111"/>
          <w:sz w:val="28"/>
          <w:szCs w:val="28"/>
          <w:rtl/>
        </w:rPr>
        <w:t xml:space="preserve">عمري ، عبد الجليل بن محمّد- ابن</w:t>
      </w:r>
    </w:p>
    <w:p>
      <w:pPr>
        <w:pStyle w:val="BookText"/>
      </w:pPr>
      <w:r>
        <w:rPr>
          <w:rFonts w:ascii="Amiri" w:hAnsi="Amiri" w:eastAsia="Amiri" w:cs="Amiri"/>
          <w:lang w:bidi="ar-SA"/>
          <w:color w:val="111111"/>
          <w:sz w:val="28"/>
          <w:szCs w:val="28"/>
          <w:rtl/>
        </w:rPr>
        <w:t xml:space="preserve">عبدالهادي، عبدالجليل بن محمّد</w:t>
      </w:r>
    </w:p>
    <w:p>
      <w:pPr>
        <w:pStyle w:val="BookText"/>
      </w:pPr>
      <w:r>
        <w:rPr>
          <w:rFonts w:ascii="Amiri" w:hAnsi="Amiri" w:eastAsia="Amiri" w:cs="Amiri"/>
          <w:lang w:bidi="ar-SA"/>
          <w:color w:val="111111"/>
          <w:sz w:val="28"/>
          <w:szCs w:val="28"/>
          <w:rtl/>
        </w:rPr>
        <w:t xml:space="preserve">عمري ، عبدالرحمن بن عيسى- مرشدي ،</w:t>
      </w:r>
    </w:p>
    <w:p>
      <w:pPr>
        <w:pStyle w:val="BookText"/>
      </w:pPr>
      <w:r>
        <w:rPr>
          <w:rFonts w:ascii="Amiri" w:hAnsi="Amiri" w:eastAsia="Amiri" w:cs="Amiri"/>
          <w:lang w:bidi="ar-SA"/>
          <w:color w:val="111111"/>
          <w:sz w:val="28"/>
          <w:szCs w:val="28"/>
          <w:rtl/>
        </w:rPr>
        <w:t xml:space="preserve">عبدالرحمن بن عيسى</w:t>
      </w:r>
    </w:p>
    <w:p>
      <w:pPr>
        <w:pStyle w:val="Heading2"/>
      </w:pPr>
      <w:bookmarkStart w:id="6125" w:name="_Toc5227"/>
      <w:r>
        <w:t>عمري، عبد القادر بن محمّد قرن 11 ه-</w:t>
      </w:r>
      <w:bookmarkEnd w:id="6125"/>
    </w:p>
    <w:p>
      <w:pPr>
        <w:pStyle w:val="BookText"/>
      </w:pPr>
      <w:r>
        <w:rPr>
          <w:rFonts w:ascii="IRNazanin" w:hAnsi="IRNazanin" w:eastAsia="IRNazanin" w:cs="IRNazanin"/>
          <w:lang w:bidi="fa-IR"/>
          <w:color w:val="111111"/>
          <w:sz w:val="28"/>
          <w:szCs w:val="28"/>
          <w:rtl/>
        </w:rPr>
        <w:t xml:space="preserve">شرح نظم الاستعارات، ج 10، ص288.</w:t>
      </w:r>
    </w:p>
    <w:p>
      <w:pPr>
        <w:pStyle w:val="Heading2"/>
      </w:pPr>
      <w:bookmarkStart w:id="6126" w:name="_Toc5228"/>
      <w:r>
        <w:t>عمري ، عبدالله افندي</w:t>
      </w:r>
      <w:bookmarkEnd w:id="6126"/>
    </w:p>
    <w:p>
      <w:pPr>
        <w:pStyle w:val="BookText"/>
      </w:pPr>
      <w:r>
        <w:rPr>
          <w:rFonts w:ascii="Amiri" w:hAnsi="Amiri" w:eastAsia="Amiri" w:cs="Amiri"/>
          <w:lang w:bidi="ar-SA"/>
          <w:color w:val="111111"/>
          <w:sz w:val="28"/>
          <w:szCs w:val="28"/>
          <w:rtl/>
        </w:rPr>
        <w:t xml:space="preserve">تخاميس ج4، ص88</w:t>
      </w:r>
    </w:p>
    <w:p>
      <w:pPr>
        <w:pStyle w:val="Heading2"/>
      </w:pPr>
      <w:bookmarkStart w:id="6127" w:name="_Toc5229"/>
      <w:r>
        <w:t>عمري ، عبدالله بن زين الدين - 1112 ه-</w:t>
      </w:r>
      <w:bookmarkEnd w:id="6127"/>
    </w:p>
    <w:p>
      <w:pPr>
        <w:pStyle w:val="BookText"/>
      </w:pPr>
      <w:r>
        <w:rPr>
          <w:rFonts w:ascii="IRNazanin" w:hAnsi="IRNazanin" w:eastAsia="IRNazanin" w:cs="IRNazanin"/>
          <w:lang w:bidi="fa-IR"/>
          <w:color w:val="111111"/>
          <w:sz w:val="28"/>
          <w:szCs w:val="28"/>
          <w:rtl/>
        </w:rPr>
        <w:t xml:space="preserve">الحمد لله، ج6، ص822.</w:t>
      </w:r>
    </w:p>
    <w:p>
      <w:pPr>
        <w:pStyle w:val="Heading2"/>
      </w:pPr>
      <w:bookmarkStart w:id="6128" w:name="_Toc5230"/>
      <w:r>
        <w:t>عمري ، عبدالله بن محمّد - 1297 ه-</w:t>
      </w:r>
      <w:bookmarkEnd w:id="6128"/>
    </w:p>
    <w:p>
      <w:pPr>
        <w:pStyle w:val="BookText"/>
      </w:pPr>
      <w:r>
        <w:rPr>
          <w:rFonts w:ascii="Amiri" w:hAnsi="Amiri" w:eastAsia="Amiri" w:cs="Amiri"/>
          <w:lang w:bidi="ar-SA"/>
          <w:color w:val="111111"/>
          <w:sz w:val="28"/>
          <w:szCs w:val="28"/>
          <w:rtl/>
        </w:rPr>
        <w:t xml:space="preserve">1.اجازة عامة للشيخ أحمد، ج1،</w:t>
      </w:r>
    </w:p>
    <w:p>
      <w:pPr>
        <w:pStyle w:val="BookText"/>
      </w:pPr>
      <w:r>
        <w:rPr>
          <w:rFonts w:ascii="IRNazanin" w:hAnsi="IRNazanin" w:eastAsia="IRNazanin" w:cs="IRNazanin"/>
          <w:lang w:bidi="fa-IR"/>
          <w:color w:val="111111"/>
          <w:sz w:val="28"/>
          <w:szCs w:val="28"/>
          <w:rtl/>
        </w:rPr>
        <w:t xml:space="preserve">ص 221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تخامیس، ج4، ص88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 القصيدة الهمزية، جع،</w:t>
      </w:r>
    </w:p>
    <w:p>
      <w:pPr>
        <w:pStyle w:val="BookText"/>
      </w:pPr>
      <w:r>
        <w:rPr>
          <w:rFonts w:ascii="IRNazanin" w:hAnsi="IRNazanin" w:eastAsia="IRNazanin" w:cs="IRNazanin"/>
          <w:lang w:bidi="fa-IR"/>
          <w:color w:val="111111"/>
          <w:sz w:val="28"/>
          <w:szCs w:val="28"/>
          <w:rtl/>
        </w:rPr>
        <w:t xml:space="preserve">ص 147.</w:t>
      </w:r>
    </w:p>
    <w:p>
      <w:pPr>
        <w:pStyle w:val="BookText"/>
      </w:pPr>
      <w:r>
        <w:rPr>
          <w:rFonts w:ascii="IRNazanin" w:hAnsi="IRNazanin" w:eastAsia="IRNazanin" w:cs="IRNazanin"/>
          <w:lang w:bidi="fa-IR"/>
          <w:color w:val="111111"/>
          <w:sz w:val="28"/>
          <w:szCs w:val="28"/>
          <w:rtl/>
        </w:rPr>
        <w:t xml:space="preserve">4 .تشطير و تخمیس، ج4، ص390.</w:t>
      </w:r>
    </w:p>
    <w:p>
      <w:pPr>
        <w:pStyle w:val="BookText"/>
      </w:pPr>
      <w:r>
        <w:rPr>
          <w:rFonts w:ascii="Amiri" w:hAnsi="Amiri" w:eastAsia="Amiri" w:cs="Amiri"/>
          <w:lang w:bidi="ar-SA"/>
          <w:color w:val="111111"/>
          <w:sz w:val="28"/>
          <w:szCs w:val="28"/>
          <w:rtl/>
        </w:rPr>
        <w:t xml:space="preserve">5 .ديوان العمري، ج7، ص 726.</w:t>
      </w:r>
    </w:p>
    <w:p>
      <w:pPr>
        <w:pStyle w:val="BookText"/>
      </w:pPr>
      <w:r>
        <w:rPr>
          <w:rFonts w:ascii="Amiri" w:hAnsi="Amiri" w:eastAsia="Amiri" w:cs="Amiri"/>
          <w:lang w:bidi="ar-SA"/>
          <w:color w:val="111111"/>
          <w:sz w:val="28"/>
          <w:szCs w:val="28"/>
          <w:rtl/>
        </w:rPr>
        <w:t xml:space="preserve">6 .نوادر الملاحة و الملح، ج 16، ص 544.</w:t>
      </w:r>
    </w:p>
    <w:p>
      <w:pPr>
        <w:pStyle w:val="Heading2"/>
      </w:pPr>
      <w:bookmarkStart w:id="6129" w:name="_Toc5231"/>
      <w:r>
        <w:t>عمري عبدالوهاب بن عبدالله -1031ه-</w:t>
      </w:r>
      <w:bookmarkEnd w:id="6129"/>
    </w:p>
    <w:p>
      <w:pPr>
        <w:pStyle w:val="BookText"/>
      </w:pPr>
      <w:r>
        <w:rPr>
          <w:rFonts w:ascii="Amiri" w:hAnsi="Amiri" w:eastAsia="Amiri" w:cs="Amiri"/>
          <w:lang w:bidi="ar-SA"/>
          <w:color w:val="111111"/>
          <w:sz w:val="28"/>
          <w:szCs w:val="28"/>
          <w:rtl/>
        </w:rPr>
        <w:t xml:space="preserve">العرف الندى في شرح قصيدة ابن</w:t>
      </w:r>
    </w:p>
    <w:p>
      <w:pPr>
        <w:pStyle w:val="BookText"/>
      </w:pPr>
      <w:r>
        <w:rPr>
          <w:rFonts w:ascii="Amiri" w:hAnsi="Amiri" w:eastAsia="Amiri" w:cs="Amiri"/>
          <w:lang w:bidi="ar-SA"/>
          <w:color w:val="111111"/>
          <w:sz w:val="28"/>
          <w:szCs w:val="28"/>
          <w:rtl/>
        </w:rPr>
        <w:t xml:space="preserve">الوردي، ج 11، ص 82.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11" w:name="pg7742_70888"/>
    <w:bookmarkEnd w:id="811"/>
    <w:p>
      <w:pPr>
        <w:pStyle w:val="Heading2"/>
      </w:pPr>
      <w:bookmarkStart w:id="6130" w:name="_Toc5232"/>
      <w:r>
        <w:t>عمري، عثمان بن علي - 1184</w:t>
      </w:r>
      <w:bookmarkEnd w:id="61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تذكرة، ج 4، ص 174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الروض النضر في ترجمة أدباء</w:t>
      </w:r>
    </w:p>
    <w:p>
      <w:pPr>
        <w:pStyle w:val="BookText"/>
      </w:pPr>
      <w:r>
        <w:rPr>
          <w:rFonts w:ascii="IRNazanin" w:hAnsi="IRNazanin" w:eastAsia="IRNazanin" w:cs="IRNazanin"/>
          <w:lang w:bidi="fa-IR"/>
          <w:color w:val="111111"/>
          <w:sz w:val="28"/>
          <w:szCs w:val="28"/>
          <w:rtl/>
        </w:rPr>
        <w:t xml:space="preserve">العصر، ج8، ص 470.</w:t>
      </w:r>
    </w:p>
    <w:p>
      <w:pPr>
        <w:pStyle w:val="BookText"/>
      </w:pPr>
      <w:r>
        <w:rPr>
          <w:rFonts w:ascii="Amiri" w:hAnsi="Amiri" w:eastAsia="Amiri" w:cs="Amiri"/>
          <w:lang w:bidi="ar-SA"/>
          <w:color w:val="111111"/>
          <w:sz w:val="28"/>
          <w:szCs w:val="28"/>
          <w:rtl/>
        </w:rPr>
        <w:t xml:space="preserve">3 .الكواكب الدرية في الاصول الجفرية</w:t>
      </w:r>
    </w:p>
    <w:p>
      <w:pPr>
        <w:pStyle w:val="BookText"/>
      </w:pPr>
      <w:r>
        <w:rPr>
          <w:rFonts w:ascii="IRNazanin" w:hAnsi="IRNazanin" w:eastAsia="IRNazanin" w:cs="IRNazanin"/>
          <w:lang w:bidi="fa-IR"/>
          <w:color w:val="111111"/>
          <w:sz w:val="28"/>
          <w:szCs w:val="28"/>
          <w:rtl/>
        </w:rPr>
        <w:t xml:space="preserve">ج 13، ص 453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مجموعة عثمان العمري، ج 14</w:t>
      </w:r>
    </w:p>
    <w:p>
      <w:pPr>
        <w:pStyle w:val="BookText"/>
      </w:pPr>
      <w:r>
        <w:rPr>
          <w:rFonts w:ascii="IRNazanin" w:hAnsi="IRNazanin" w:eastAsia="IRNazanin" w:cs="IRNazanin"/>
          <w:lang w:bidi="fa-IR"/>
          <w:color w:val="111111"/>
          <w:sz w:val="28"/>
          <w:szCs w:val="28"/>
          <w:rtl/>
        </w:rPr>
        <w:t xml:space="preserve">ص 45 .</w:t>
      </w:r>
    </w:p>
    <w:p>
      <w:pPr>
        <w:pStyle w:val="BookText"/>
      </w:pPr>
      <w:r>
        <w:rPr>
          <w:rFonts w:ascii="Amiri" w:hAnsi="Amiri" w:eastAsia="Amiri" w:cs="Amiri"/>
          <w:lang w:bidi="ar-SA"/>
          <w:color w:val="111111"/>
          <w:sz w:val="28"/>
          <w:szCs w:val="28"/>
          <w:rtl/>
        </w:rPr>
        <w:t xml:space="preserve">5 .المقامة الدجيلية و المقالة العمرية</w:t>
      </w:r>
    </w:p>
    <w:p>
      <w:pPr>
        <w:pStyle w:val="BookText"/>
      </w:pPr>
      <w:r>
        <w:rPr>
          <w:rFonts w:ascii="IRNazanin" w:hAnsi="IRNazanin" w:eastAsia="IRNazanin" w:cs="IRNazanin"/>
          <w:lang w:bidi="fa-IR"/>
          <w:color w:val="111111"/>
          <w:sz w:val="28"/>
          <w:szCs w:val="28"/>
          <w:rtl/>
        </w:rPr>
        <w:t xml:space="preserve">ج 15، ص 316.</w:t>
      </w:r>
    </w:p>
    <w:p>
      <w:pPr>
        <w:pStyle w:val="BookText"/>
      </w:pPr>
      <w:r>
        <w:rPr>
          <w:rFonts w:ascii="Amiri" w:hAnsi="Amiri" w:eastAsia="Amiri" w:cs="Amiri"/>
          <w:lang w:bidi="ar-SA"/>
          <w:color w:val="111111"/>
          <w:sz w:val="28"/>
          <w:szCs w:val="28"/>
          <w:rtl/>
        </w:rPr>
        <w:t xml:space="preserve">6 .مكتوب، ج 15، ص 418.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منظومة عند حبس القطر، ج 15</w:t>
      </w:r>
    </w:p>
    <w:p>
      <w:pPr>
        <w:pStyle w:val="BookText"/>
      </w:pPr>
      <w:r>
        <w:rPr>
          <w:rFonts w:ascii="IRNazanin" w:hAnsi="IRNazanin" w:eastAsia="IRNazanin" w:cs="IRNazanin"/>
          <w:lang w:bidi="fa-IR"/>
          <w:color w:val="111111"/>
          <w:sz w:val="28"/>
          <w:szCs w:val="28"/>
          <w:rtl/>
        </w:rPr>
        <w:t xml:space="preserve">ص 725</w:t>
      </w:r>
    </w:p>
    <w:p>
      <w:pPr>
        <w:pStyle w:val="BookText"/>
      </w:pPr>
      <w:r>
        <w:rPr>
          <w:rFonts w:ascii="Amiri" w:hAnsi="Amiri" w:eastAsia="Amiri" w:cs="Amiri"/>
          <w:lang w:bidi="ar-SA"/>
          <w:color w:val="111111"/>
          <w:sz w:val="28"/>
          <w:szCs w:val="28"/>
          <w:rtl/>
        </w:rPr>
        <w:t xml:space="preserve">عمري عدوي محمّد بن احمد -ابن ضياء</w:t>
      </w:r>
    </w:p>
    <w:p>
      <w:pPr>
        <w:pStyle w:val="BookText"/>
      </w:pPr>
      <w:r>
        <w:rPr>
          <w:rFonts w:ascii="Amiri" w:hAnsi="Amiri" w:eastAsia="Amiri" w:cs="Amiri"/>
          <w:lang w:bidi="ar-SA"/>
          <w:color w:val="111111"/>
          <w:sz w:val="28"/>
          <w:szCs w:val="28"/>
          <w:rtl/>
        </w:rPr>
        <w:t xml:space="preserve">مكي ، محمّد بن احمد</w:t>
      </w:r>
    </w:p>
    <w:p>
      <w:pPr>
        <w:pStyle w:val="Heading2"/>
      </w:pPr>
      <w:bookmarkStart w:id="6131" w:name="_Toc5233"/>
      <w:r>
        <w:t>عمري عدوي محمّد بن محمّد قرن 10ه-</w:t>
      </w:r>
      <w:bookmarkEnd w:id="6131"/>
    </w:p>
    <w:p>
      <w:pPr>
        <w:pStyle w:val="BookText"/>
      </w:pPr>
      <w:r>
        <w:rPr>
          <w:rFonts w:ascii="Amiri" w:hAnsi="Amiri" w:eastAsia="Amiri" w:cs="Amiri"/>
          <w:lang w:bidi="ar-SA"/>
          <w:color w:val="111111"/>
          <w:sz w:val="28"/>
          <w:szCs w:val="28"/>
          <w:rtl/>
        </w:rPr>
        <w:t xml:space="preserve">الخط العربي، ج 7 ، ص 64 .</w:t>
      </w:r>
    </w:p>
    <w:p>
      <w:pPr>
        <w:pStyle w:val="Heading2"/>
      </w:pPr>
      <w:bookmarkStart w:id="6132" w:name="_Toc5234"/>
      <w:r>
        <w:t>عمري ، علي بن علي - 1192 ه-</w:t>
      </w:r>
      <w:bookmarkEnd w:id="6132"/>
    </w:p>
    <w:p>
      <w:pPr>
        <w:pStyle w:val="BookText"/>
      </w:pPr>
      <w:r>
        <w:rPr>
          <w:rFonts w:ascii="IRNazanin" w:hAnsi="IRNazanin" w:eastAsia="IRNazanin" w:cs="IRNazanin"/>
          <w:lang w:bidi="fa-IR"/>
          <w:color w:val="111111"/>
          <w:sz w:val="28"/>
          <w:szCs w:val="28"/>
          <w:rtl/>
        </w:rPr>
        <w:t xml:space="preserve">الجواهر المنتظمات، ج 5، ص 601.</w:t>
      </w:r>
    </w:p>
    <w:p>
      <w:pPr>
        <w:pStyle w:val="BookText"/>
      </w:pPr>
      <w:r>
        <w:rPr>
          <w:rFonts w:ascii="Amiri" w:hAnsi="Amiri" w:eastAsia="Amiri" w:cs="Amiri"/>
          <w:lang w:bidi="ar-SA"/>
          <w:color w:val="111111"/>
          <w:sz w:val="28"/>
          <w:szCs w:val="28"/>
          <w:rtl/>
        </w:rPr>
        <w:t xml:space="preserve">عمري ، علي بن محمّد- ابن صوفي ، علي</w:t>
      </w:r>
    </w:p>
    <w:p>
      <w:pPr>
        <w:pStyle w:val="BookText"/>
      </w:pPr>
      <w:r>
        <w:rPr>
          <w:rFonts w:ascii="Amiri" w:hAnsi="Amiri" w:eastAsia="Amiri" w:cs="Amiri"/>
          <w:lang w:bidi="ar-SA"/>
          <w:color w:val="111111"/>
          <w:sz w:val="28"/>
          <w:szCs w:val="28"/>
          <w:rtl/>
        </w:rPr>
        <w:t xml:space="preserve">بن محمّد</w:t>
      </w:r>
    </w:p>
    <w:p>
      <w:pPr>
        <w:pStyle w:val="Heading2"/>
      </w:pPr>
      <w:bookmarkStart w:id="6133" w:name="_Toc5235"/>
      <w:r>
        <w:t>عمري ، عمر بن ابي بكر قرن 12 ه-</w:t>
      </w:r>
      <w:bookmarkEnd w:id="6133"/>
    </w:p>
    <w:p>
      <w:pPr>
        <w:pStyle w:val="BookText"/>
      </w:pPr>
      <w:r>
        <w:rPr>
          <w:rFonts w:ascii="Amiri" w:hAnsi="Amiri" w:eastAsia="Amiri" w:cs="Amiri"/>
          <w:lang w:bidi="ar-SA"/>
          <w:color w:val="111111"/>
          <w:sz w:val="28"/>
          <w:szCs w:val="28"/>
          <w:rtl/>
        </w:rPr>
        <w:t xml:space="preserve">1 .العقود اللؤلؤية في تخميس اللامية</w:t>
      </w:r>
    </w:p>
    <w:p>
      <w:pPr>
        <w:pStyle w:val="BookText"/>
      </w:pPr>
      <w:r>
        <w:rPr>
          <w:rFonts w:ascii="IRNazanin" w:hAnsi="IRNazanin" w:eastAsia="IRNazanin" w:cs="IRNazanin"/>
          <w:lang w:bidi="fa-IR"/>
          <w:color w:val="111111"/>
          <w:sz w:val="28"/>
          <w:szCs w:val="28"/>
          <w:rtl/>
        </w:rPr>
        <w:t xml:space="preserve">ج 11، ص192.</w:t>
      </w:r>
    </w:p>
    <w:p>
      <w:pPr>
        <w:pStyle w:val="BookText"/>
      </w:pPr>
      <w:r>
        <w:rPr>
          <w:rFonts w:ascii="Amiri" w:hAnsi="Amiri" w:eastAsia="Amiri" w:cs="Amiri"/>
          <w:lang w:bidi="ar-SA"/>
          <w:color w:val="111111"/>
          <w:sz w:val="28"/>
          <w:szCs w:val="28"/>
          <w:rtl/>
        </w:rPr>
        <w:t xml:space="preserve">2 .قصائد في مدح الرسول، ج 12،</w:t>
      </w:r>
    </w:p>
    <w:p>
      <w:pPr>
        <w:pStyle w:val="BookText"/>
      </w:pPr>
      <w:r>
        <w:rPr>
          <w:rFonts w:ascii="IRNazanin" w:hAnsi="IRNazanin" w:eastAsia="IRNazanin" w:cs="IRNazanin"/>
          <w:lang w:bidi="fa-IR"/>
          <w:color w:val="111111"/>
          <w:sz w:val="28"/>
          <w:szCs w:val="28"/>
          <w:rtl/>
        </w:rPr>
        <w:t xml:space="preserve">ص 595.</w:t>
      </w:r>
    </w:p>
    <w:p>
      <w:pPr>
        <w:pStyle w:val="BookText"/>
      </w:pPr>
      <w:r>
        <w:rPr>
          <w:rFonts w:ascii="Amiri" w:hAnsi="Amiri" w:eastAsia="Amiri" w:cs="Amiri"/>
          <w:lang w:bidi="ar-SA"/>
          <w:color w:val="111111"/>
          <w:sz w:val="28"/>
          <w:szCs w:val="28"/>
          <w:rtl/>
        </w:rPr>
        <w:t xml:space="preserve">عمريطي ، شرف الدين بن</w:t>
      </w:r>
    </w:p>
    <w:p>
      <w:pPr>
        <w:pStyle w:val="BookText"/>
      </w:pPr>
      <w:r>
        <w:rPr>
          <w:rFonts w:ascii="Amiri" w:hAnsi="Amiri" w:eastAsia="Amiri" w:cs="Amiri"/>
          <w:lang w:bidi="ar-SA"/>
          <w:color w:val="111111"/>
          <w:sz w:val="28"/>
          <w:szCs w:val="28"/>
          <w:rtl/>
        </w:rPr>
        <w:t xml:space="preserve">نورالدين -عمريطي ، يحيى بن موسى</w:t>
      </w:r>
    </w:p>
    <w:p>
      <w:pPr>
        <w:pStyle w:val="Heading2"/>
      </w:pPr>
      <w:bookmarkStart w:id="6134" w:name="_Toc5236"/>
      <w:r>
        <w:t>عمري ، محمّد</w:t>
      </w:r>
      <w:bookmarkEnd w:id="6134"/>
    </w:p>
    <w:p>
      <w:pPr>
        <w:pStyle w:val="BookText"/>
      </w:pPr>
      <w:r>
        <w:rPr>
          <w:rFonts w:ascii="Amiri" w:hAnsi="Amiri" w:eastAsia="Amiri" w:cs="Amiri"/>
          <w:lang w:bidi="ar-SA"/>
          <w:color w:val="111111"/>
          <w:sz w:val="28"/>
          <w:szCs w:val="28"/>
          <w:rtl/>
        </w:rPr>
        <w:t xml:space="preserve">ديوان العمري، ج 7، ص727.</w:t>
      </w:r>
    </w:p>
    <w:p>
      <w:pPr>
        <w:pStyle w:val="Heading2"/>
      </w:pPr>
      <w:bookmarkStart w:id="6135" w:name="_Toc5237"/>
      <w:r>
        <w:t>عمري محمّدامين بن خير الله - 1203 ه-</w:t>
      </w:r>
      <w:bookmarkEnd w:id="61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ارجوزة فيما وقع في الحدباء سنة</w:t>
      </w:r>
    </w:p>
    <w:p>
      <w:pPr>
        <w:pStyle w:val="BookText"/>
      </w:pPr>
      <w:r>
        <w:rPr>
          <w:rFonts w:ascii="Amiri" w:hAnsi="Amiri" w:eastAsia="Amiri" w:cs="Amiri"/>
          <w:lang w:bidi="ar-SA"/>
          <w:color w:val="111111"/>
          <w:sz w:val="28"/>
          <w:szCs w:val="28"/>
          <w:rtl/>
        </w:rPr>
        <w:t xml:space="preserve">1170ه- = انجماد دجلة، ج1،</w:t>
      </w:r>
    </w:p>
    <w:p>
      <w:pPr>
        <w:pStyle w:val="BookText"/>
      </w:pPr>
      <w:r>
        <w:rPr>
          <w:rFonts w:ascii="IRNazanin" w:hAnsi="IRNazanin" w:eastAsia="IRNazanin" w:cs="IRNazanin"/>
          <w:lang w:bidi="fa-IR"/>
          <w:color w:val="111111"/>
          <w:sz w:val="28"/>
          <w:szCs w:val="28"/>
          <w:rtl/>
        </w:rPr>
        <w:t xml:space="preserve">ص 772 .</w:t>
      </w:r>
    </w:p>
    <w:p>
      <w:pPr>
        <w:pStyle w:val="BookText"/>
      </w:pPr>
      <w:r>
        <w:rPr>
          <w:rFonts w:ascii="Amiri" w:hAnsi="Amiri" w:eastAsia="Amiri" w:cs="Amiri"/>
          <w:lang w:bidi="ar-SA"/>
          <w:color w:val="111111"/>
          <w:sz w:val="28"/>
          <w:szCs w:val="28"/>
          <w:rtl/>
        </w:rPr>
        <w:t xml:space="preserve">2 .تخميس القصيدة الهمزية، ج 4،</w:t>
      </w:r>
    </w:p>
    <w:p>
      <w:pPr>
        <w:pStyle w:val="BookText"/>
      </w:pPr>
      <w:r>
        <w:rPr>
          <w:rFonts w:ascii="IRNazanin" w:hAnsi="IRNazanin" w:eastAsia="IRNazanin" w:cs="IRNazanin"/>
          <w:lang w:bidi="fa-IR"/>
          <w:color w:val="111111"/>
          <w:sz w:val="28"/>
          <w:szCs w:val="28"/>
          <w:rtl/>
        </w:rPr>
        <w:t xml:space="preserve">ص 144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 على ابيات الزمخشري جع،</w:t>
      </w:r>
    </w:p>
    <w:p>
      <w:pPr>
        <w:pStyle w:val="BookText"/>
      </w:pPr>
      <w:r>
        <w:rPr>
          <w:rFonts w:ascii="IRNazanin" w:hAnsi="IRNazanin" w:eastAsia="IRNazanin" w:cs="IRNazanin"/>
          <w:lang w:bidi="fa-IR"/>
          <w:color w:val="111111"/>
          <w:sz w:val="28"/>
          <w:szCs w:val="28"/>
          <w:rtl/>
        </w:rPr>
        <w:t xml:space="preserve">ص 109.</w:t>
      </w:r>
    </w:p>
    <w:p>
      <w:pPr>
        <w:pStyle w:val="BookText"/>
      </w:pPr>
      <w:r>
        <w:rPr>
          <w:rFonts w:ascii="Amiri" w:hAnsi="Amiri" w:eastAsia="Amiri" w:cs="Amiri"/>
          <w:lang w:bidi="ar-SA"/>
          <w:color w:val="111111"/>
          <w:sz w:val="28"/>
          <w:szCs w:val="28"/>
          <w:rtl/>
        </w:rPr>
        <w:t xml:space="preserve">4 .تخميس قصيدة البردة، جع،</w:t>
      </w:r>
    </w:p>
    <w:p>
      <w:pPr>
        <w:pStyle w:val="BookText"/>
      </w:pPr>
      <w:r>
        <w:rPr>
          <w:rFonts w:ascii="IRNazanin" w:hAnsi="IRNazanin" w:eastAsia="IRNazanin" w:cs="IRNazanin"/>
          <w:lang w:bidi="fa-IR"/>
          <w:color w:val="111111"/>
          <w:sz w:val="28"/>
          <w:szCs w:val="28"/>
          <w:rtl/>
        </w:rPr>
        <w:t xml:space="preserve">ص 121.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تشطير، ج 4، ص 381.</w:t>
      </w:r>
    </w:p>
    <w:p>
      <w:pPr>
        <w:pStyle w:val="BookText"/>
      </w:pPr>
      <w:r>
        <w:rPr>
          <w:rFonts w:ascii="Amiri" w:hAnsi="Amiri" w:eastAsia="Amiri" w:cs="Amiri"/>
          <w:lang w:bidi="ar-SA"/>
          <w:color w:val="111111"/>
          <w:sz w:val="28"/>
          <w:szCs w:val="28"/>
          <w:rtl/>
        </w:rPr>
        <w:t xml:space="preserve">6 .تيجان البيان في مشكلات القرآن</w:t>
      </w:r>
    </w:p>
    <w:p>
      <w:pPr>
        <w:pStyle w:val="BookText"/>
      </w:pPr>
      <w:r>
        <w:rPr>
          <w:rFonts w:ascii="IRNazanin" w:hAnsi="IRNazanin" w:eastAsia="IRNazanin" w:cs="IRNazanin"/>
          <w:lang w:bidi="fa-IR"/>
          <w:color w:val="111111"/>
          <w:sz w:val="28"/>
          <w:szCs w:val="28"/>
          <w:rtl/>
        </w:rPr>
        <w:t xml:space="preserve">ج 5، ص189.</w:t>
      </w:r>
    </w:p>
    <w:p>
      <w:pPr>
        <w:pStyle w:val="BookText"/>
      </w:pPr>
      <w:r>
        <w:rPr>
          <w:rFonts w:ascii="Amiri" w:hAnsi="Amiri" w:eastAsia="Amiri" w:cs="Amiri"/>
          <w:lang w:bidi="ar-SA"/>
          <w:color w:val="111111"/>
          <w:sz w:val="28"/>
          <w:szCs w:val="28"/>
          <w:rtl/>
        </w:rPr>
        <w:t xml:space="preserve">7 .حدائق الزهر والريحان في البيان عن بلاغات التبيان، ج 6، ص 520.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الحساب، ج6، ص 638.</w:t>
      </w:r>
    </w:p>
    <w:p>
      <w:pPr>
        <w:pStyle w:val="BookText"/>
      </w:pPr>
      <w:r>
        <w:rPr>
          <w:rFonts w:ascii="Amiri" w:hAnsi="Amiri" w:eastAsia="Amiri" w:cs="Amiri"/>
          <w:lang w:bidi="ar-SA"/>
          <w:color w:val="111111"/>
          <w:sz w:val="28"/>
          <w:szCs w:val="28"/>
          <w:rtl/>
        </w:rPr>
        <w:t xml:space="preserve">9 .الحكم المطربة و الكلمات المعجبة</w:t>
      </w:r>
    </w:p>
    <w:p>
      <w:pPr>
        <w:pStyle w:val="BookText"/>
      </w:pPr>
      <w:r>
        <w:rPr>
          <w:rFonts w:ascii="IRNazanin" w:hAnsi="IRNazanin" w:eastAsia="IRNazanin" w:cs="IRNazanin"/>
          <w:lang w:bidi="fa-IR"/>
          <w:color w:val="111111"/>
          <w:sz w:val="28"/>
          <w:szCs w:val="28"/>
          <w:rtl/>
        </w:rPr>
        <w:t xml:space="preserve">ج 6، ص 764.</w:t>
      </w:r>
    </w:p>
    <w:p>
      <w:pPr>
        <w:pStyle w:val="BookText"/>
      </w:pPr>
      <w:r>
        <w:rPr>
          <w:rFonts w:ascii="IRNazanin" w:hAnsi="IRNazanin" w:eastAsia="IRNazanin" w:cs="IRNazanin"/>
          <w:lang w:bidi="fa-IR"/>
          <w:color w:val="111111"/>
          <w:sz w:val="28"/>
          <w:szCs w:val="28"/>
          <w:rtl/>
        </w:rPr>
        <w:t xml:space="preserve">10 .الخطب و المواعظ، ج 7، ص 63.</w:t>
      </w:r>
    </w:p>
    <w:p>
      <w:pPr>
        <w:pStyle w:val="BookText"/>
      </w:pPr>
      <w:r>
        <w:rPr>
          <w:rFonts w:ascii="IRNazanin" w:hAnsi="IRNazanin" w:eastAsia="IRNazanin" w:cs="IRNazanin"/>
          <w:lang w:bidi="fa-IR"/>
          <w:color w:val="111111"/>
          <w:sz w:val="28"/>
          <w:szCs w:val="28"/>
          <w:rtl/>
        </w:rPr>
        <w:t xml:space="preserve">11 .الدر المنثور لحل قلائد النحور</w:t>
      </w:r>
    </w:p>
    <w:p>
      <w:pPr>
        <w:pStyle w:val="BookText"/>
      </w:pPr>
      <w:r>
        <w:rPr>
          <w:rFonts w:ascii="IRNazanin" w:hAnsi="IRNazanin" w:eastAsia="IRNazanin" w:cs="IRNazanin"/>
          <w:lang w:bidi="fa-IR"/>
          <w:color w:val="111111"/>
          <w:sz w:val="28"/>
          <w:szCs w:val="28"/>
          <w:rtl/>
        </w:rPr>
        <w:t xml:space="preserve">ج 7، ص 346 .</w:t>
      </w:r>
    </w:p>
    <w:p>
      <w:pPr>
        <w:pStyle w:val="BookText"/>
      </w:pPr>
      <w:r>
        <w:rPr>
          <w:rFonts w:ascii="Amiri" w:hAnsi="Amiri" w:eastAsia="Amiri" w:cs="Amiri"/>
          <w:lang w:bidi="ar-SA"/>
          <w:color w:val="111111"/>
          <w:sz w:val="28"/>
          <w:szCs w:val="28"/>
          <w:rtl/>
        </w:rPr>
        <w:t xml:space="preserve">12 .ديباجة، ج 7، ص 496.</w:t>
      </w:r>
    </w:p>
    <w:p>
      <w:pPr>
        <w:pStyle w:val="BookText"/>
      </w:pPr>
      <w:r>
        <w:rPr>
          <w:rFonts w:ascii="Amiri" w:hAnsi="Amiri" w:eastAsia="Amiri" w:cs="Amiri"/>
          <w:lang w:bidi="ar-SA"/>
          <w:color w:val="111111"/>
          <w:sz w:val="28"/>
          <w:szCs w:val="28"/>
          <w:rtl/>
        </w:rPr>
        <w:t xml:space="preserve">13.ديباجة إلى أعيان، ج 7، ص 496.</w:t>
      </w:r>
    </w:p>
    <w:p>
      <w:pPr>
        <w:pStyle w:val="BookText"/>
      </w:pPr>
      <w:r>
        <w:rPr>
          <w:rFonts w:ascii="Amiri" w:hAnsi="Amiri" w:eastAsia="Amiri" w:cs="Amiri"/>
          <w:lang w:bidi="ar-SA"/>
          <w:color w:val="111111"/>
          <w:sz w:val="28"/>
          <w:szCs w:val="28"/>
          <w:rtl/>
        </w:rPr>
        <w:t xml:space="preserve">14 .ديباجة إلى حائك، ج 7، ص 496.</w:t>
      </w:r>
    </w:p>
    <w:p>
      <w:pPr>
        <w:pStyle w:val="BookText"/>
      </w:pPr>
      <w:r>
        <w:rPr>
          <w:rFonts w:ascii="Amiri" w:hAnsi="Amiri" w:eastAsia="Amiri" w:cs="Amiri"/>
          <w:lang w:bidi="ar-SA"/>
          <w:color w:val="111111"/>
          <w:sz w:val="28"/>
          <w:szCs w:val="28"/>
          <w:rtl/>
        </w:rPr>
        <w:t xml:space="preserve">15 .ديباجة رداً على رسالة، ج 7،</w:t>
      </w:r>
    </w:p>
    <w:p>
      <w:pPr>
        <w:pStyle w:val="BookText"/>
      </w:pPr>
      <w:r>
        <w:rPr>
          <w:rFonts w:ascii="IRNazanin" w:hAnsi="IRNazanin" w:eastAsia="IRNazanin" w:cs="IRNazanin"/>
          <w:lang w:bidi="fa-IR"/>
          <w:color w:val="111111"/>
          <w:sz w:val="28"/>
          <w:szCs w:val="28"/>
          <w:rtl/>
        </w:rPr>
        <w:t xml:space="preserve">ص 498 .</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12" w:name="pg7742_70890"/>
    <w:bookmarkEnd w:id="812"/>
    <w:p>
      <w:pPr>
        <w:pStyle w:val="BookText"/>
      </w:pPr>
      <w:r>
        <w:rPr>
          <w:rFonts w:ascii="Amiri" w:hAnsi="Amiri" w:eastAsia="Amiri" w:cs="Amiri"/>
          <w:lang w:bidi="ar-SA"/>
          <w:color w:val="111111"/>
          <w:sz w:val="28"/>
          <w:szCs w:val="28"/>
          <w:rtl/>
        </w:rPr>
        <w:t xml:space="preserve">16 .ديوان الخطيب العمري الموصلي الديوان النبوي، ج 7، ص 637.</w:t>
      </w:r>
    </w:p>
    <w:p>
      <w:pPr>
        <w:pStyle w:val="BookText"/>
      </w:pPr>
      <w:r>
        <w:rPr>
          <w:rFonts w:ascii="IRNazanin" w:hAnsi="IRNazanin" w:eastAsia="IRNazanin" w:cs="IRNazanin"/>
          <w:lang w:bidi="fa-IR"/>
          <w:color w:val="111111"/>
          <w:sz w:val="28"/>
          <w:szCs w:val="28"/>
          <w:rtl/>
        </w:rPr>
        <w:t xml:space="preserve">17 .الرد على النصارى، ج 8، ص 105.</w:t>
      </w:r>
    </w:p>
    <w:p>
      <w:pPr>
        <w:pStyle w:val="BookText"/>
      </w:pPr>
      <w:r>
        <w:rPr>
          <w:rFonts w:ascii="Amiri" w:hAnsi="Amiri" w:eastAsia="Amiri" w:cs="Amiri"/>
          <w:lang w:bidi="ar-SA"/>
          <w:color w:val="111111"/>
          <w:sz w:val="28"/>
          <w:szCs w:val="28"/>
          <w:rtl/>
        </w:rPr>
        <w:t xml:space="preserve">18 .رسالة إلى تاجر، ج8، ص 168.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رسالة إلى خياط، ج8، ص 168.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زهرة الفنون و زهرة العيون، ج8،</w:t>
      </w:r>
    </w:p>
    <w:p>
      <w:pPr>
        <w:pStyle w:val="BookText"/>
      </w:pPr>
      <w:r>
        <w:rPr>
          <w:rFonts w:ascii="IRNazanin" w:hAnsi="IRNazanin" w:eastAsia="IRNazanin" w:cs="IRNazanin"/>
          <w:lang w:bidi="fa-IR"/>
          <w:color w:val="111111"/>
          <w:sz w:val="28"/>
          <w:szCs w:val="28"/>
          <w:rtl/>
        </w:rPr>
        <w:t xml:space="preserve">ص 622 .</w:t>
      </w:r>
    </w:p>
    <w:p>
      <w:pPr>
        <w:pStyle w:val="BookText"/>
      </w:pPr>
      <w:r>
        <w:rPr>
          <w:rFonts w:ascii="IRNazanin" w:hAnsi="IRNazanin" w:eastAsia="IRNazanin" w:cs="IRNazanin"/>
          <w:lang w:bidi="fa-IR"/>
          <w:color w:val="111111"/>
          <w:sz w:val="28"/>
          <w:szCs w:val="28"/>
          <w:rtl/>
        </w:rPr>
        <w:t xml:space="preserve">21 .شرح ذات الشفا، ج 9، ص 495.</w:t>
      </w:r>
    </w:p>
    <w:p>
      <w:pPr>
        <w:pStyle w:val="BookText"/>
      </w:pPr>
      <w:r>
        <w:rPr>
          <w:rFonts w:ascii="Amiri" w:hAnsi="Amiri" w:eastAsia="Amiri" w:cs="Amiri"/>
          <w:lang w:bidi="ar-SA"/>
          <w:color w:val="111111"/>
          <w:sz w:val="28"/>
          <w:szCs w:val="28"/>
          <w:rtl/>
        </w:rPr>
        <w:t xml:space="preserve">22 .شرح منظومة فوائد الرسالة السمرقندية في الاستعارة، ج 10،</w:t>
      </w:r>
    </w:p>
    <w:p>
      <w:pPr>
        <w:pStyle w:val="BookText"/>
      </w:pPr>
      <w:r>
        <w:rPr>
          <w:rFonts w:ascii="IRNazanin" w:hAnsi="IRNazanin" w:eastAsia="IRNazanin" w:cs="IRNazanin"/>
          <w:lang w:bidi="fa-IR"/>
          <w:color w:val="111111"/>
          <w:sz w:val="28"/>
          <w:szCs w:val="28"/>
          <w:rtl/>
        </w:rPr>
        <w:t xml:space="preserve">ص 249 .</w:t>
      </w:r>
    </w:p>
    <w:p>
      <w:pPr>
        <w:pStyle w:val="BookText"/>
      </w:pPr>
      <w:r>
        <w:rPr>
          <w:rFonts w:ascii="IRNazanin" w:hAnsi="IRNazanin" w:eastAsia="IRNazanin" w:cs="IRNazanin"/>
          <w:lang w:bidi="fa-IR"/>
          <w:color w:val="111111"/>
          <w:sz w:val="28"/>
          <w:szCs w:val="28"/>
          <w:rtl/>
        </w:rPr>
        <w:t xml:space="preserve">23 .طبقات الشعراء، ج 10، ص779.</w:t>
      </w:r>
    </w:p>
    <w:p>
      <w:pPr>
        <w:pStyle w:val="BookText"/>
      </w:pPr>
      <w:r>
        <w:rPr>
          <w:rFonts w:ascii="Amiri" w:hAnsi="Amiri" w:eastAsia="Amiri" w:cs="Amiri"/>
          <w:lang w:bidi="ar-SA"/>
          <w:color w:val="111111"/>
          <w:sz w:val="28"/>
          <w:szCs w:val="28"/>
          <w:rtl/>
        </w:rPr>
        <w:t xml:space="preserve">24 .الطراز المرقوم في معرفة محاسن</w:t>
      </w:r>
    </w:p>
    <w:p>
      <w:pPr>
        <w:pStyle w:val="BookText"/>
      </w:pPr>
      <w:r>
        <w:rPr>
          <w:rFonts w:ascii="IRNazanin" w:hAnsi="IRNazanin" w:eastAsia="IRNazanin" w:cs="IRNazanin"/>
          <w:lang w:bidi="fa-IR"/>
          <w:color w:val="111111"/>
          <w:sz w:val="28"/>
          <w:szCs w:val="28"/>
          <w:rtl/>
        </w:rPr>
        <w:t xml:space="preserve">المنظوم، ج 10، ص810</w:t>
      </w:r>
    </w:p>
    <w:p>
      <w:pPr>
        <w:pStyle w:val="BookText"/>
      </w:pPr>
      <w:r>
        <w:rPr>
          <w:rFonts w:ascii="Amiri" w:hAnsi="Amiri" w:eastAsia="Amiri" w:cs="Amiri"/>
          <w:lang w:bidi="ar-SA"/>
          <w:color w:val="111111"/>
          <w:sz w:val="28"/>
          <w:szCs w:val="28"/>
          <w:rtl/>
        </w:rPr>
        <w:t xml:space="preserve">25 .الفريدة السنية في الحكم العربية</w:t>
      </w:r>
    </w:p>
    <w:p>
      <w:pPr>
        <w:pStyle w:val="BookText"/>
      </w:pPr>
      <w:r>
        <w:rPr>
          <w:rFonts w:ascii="IRNazanin" w:hAnsi="IRNazanin" w:eastAsia="IRNazanin" w:cs="IRNazanin"/>
          <w:lang w:bidi="fa-IR"/>
          <w:color w:val="111111"/>
          <w:sz w:val="28"/>
          <w:szCs w:val="28"/>
          <w:rtl/>
        </w:rPr>
        <w:t xml:space="preserve">ج 11، ص 820</w:t>
      </w:r>
    </w:p>
    <w:p>
      <w:pPr>
        <w:pStyle w:val="BookText"/>
      </w:pPr>
      <w:r>
        <w:rPr>
          <w:rFonts w:ascii="Amiri" w:hAnsi="Amiri" w:eastAsia="Amiri" w:cs="Amiri"/>
          <w:lang w:bidi="ar-SA"/>
          <w:color w:val="111111"/>
          <w:sz w:val="28"/>
          <w:szCs w:val="28"/>
          <w:rtl/>
        </w:rPr>
        <w:t xml:space="preserve">26 .الفصول الظريفة و النكت اللطيفة، ج 11، ص 848.</w:t>
      </w:r>
    </w:p>
    <w:p>
      <w:pPr>
        <w:pStyle w:val="BookText"/>
      </w:pPr>
      <w:r>
        <w:rPr>
          <w:rFonts w:ascii="Amiri" w:hAnsi="Amiri" w:eastAsia="Amiri" w:cs="Amiri"/>
          <w:lang w:bidi="ar-SA"/>
          <w:color w:val="111111"/>
          <w:sz w:val="28"/>
          <w:szCs w:val="28"/>
          <w:rtl/>
        </w:rPr>
        <w:t xml:space="preserve">27 .فن الحديث، ج 12، ص 137.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فن العروض، ج 12، ص138.</w:t>
      </w:r>
    </w:p>
    <w:p>
      <w:pPr>
        <w:pStyle w:val="BookText"/>
      </w:pPr>
      <w:r>
        <w:rPr>
          <w:rFonts w:ascii="IRNazanin" w:hAnsi="IRNazanin" w:eastAsia="IRNazanin" w:cs="IRNazanin"/>
          <w:lang w:bidi="fa-IR"/>
          <w:color w:val="111111"/>
          <w:sz w:val="28"/>
          <w:szCs w:val="28"/>
          <w:rtl/>
        </w:rPr>
        <w:t xml:space="preserve">29 .فن النحو، ج 12، ص139.</w:t>
      </w:r>
    </w:p>
    <w:p>
      <w:pPr>
        <w:pStyle w:val="BookText"/>
      </w:pPr>
      <w:r>
        <w:rPr>
          <w:rFonts w:ascii="Amiri" w:hAnsi="Amiri" w:eastAsia="Amiri" w:cs="Amiri"/>
          <w:lang w:bidi="ar-SA"/>
          <w:color w:val="111111"/>
          <w:sz w:val="28"/>
          <w:szCs w:val="28"/>
          <w:rtl/>
        </w:rPr>
        <w:t xml:space="preserve">30 .الفوائد المنثورة في الفتاوى المأثورة</w:t>
      </w:r>
    </w:p>
    <w:p>
      <w:pPr>
        <w:pStyle w:val="BookText"/>
      </w:pPr>
      <w:r>
        <w:rPr>
          <w:rFonts w:ascii="IRNazanin" w:hAnsi="IRNazanin" w:eastAsia="IRNazanin" w:cs="IRNazanin"/>
          <w:lang w:bidi="fa-IR"/>
          <w:color w:val="111111"/>
          <w:sz w:val="28"/>
          <w:szCs w:val="28"/>
          <w:rtl/>
        </w:rPr>
        <w:t xml:space="preserve">ج 12، ص 281.</w:t>
      </w:r>
    </w:p>
    <w:p>
      <w:pPr>
        <w:pStyle w:val="BookText"/>
      </w:pPr>
      <w:r>
        <w:rPr>
          <w:rFonts w:ascii="Amiri" w:hAnsi="Amiri" w:eastAsia="Amiri" w:cs="Amiri"/>
          <w:lang w:bidi="ar-SA"/>
          <w:color w:val="111111"/>
          <w:sz w:val="28"/>
          <w:szCs w:val="28"/>
          <w:rtl/>
        </w:rPr>
        <w:t xml:space="preserve">31 .فوائد من المحكم والمتشابه</w:t>
      </w:r>
    </w:p>
    <w:p>
      <w:pPr>
        <w:pStyle w:val="BookText"/>
      </w:pPr>
      <w:r>
        <w:rPr>
          <w:rFonts w:ascii="IRNazanin" w:hAnsi="IRNazanin" w:eastAsia="IRNazanin" w:cs="IRNazanin"/>
          <w:lang w:bidi="fa-IR"/>
          <w:color w:val="111111"/>
          <w:sz w:val="28"/>
          <w:szCs w:val="28"/>
          <w:rtl/>
        </w:rPr>
        <w:t xml:space="preserve">ج 12، ص 284.</w:t>
      </w:r>
    </w:p>
    <w:p>
      <w:pPr>
        <w:pStyle w:val="BookText"/>
      </w:pPr>
      <w:r>
        <w:rPr>
          <w:rFonts w:ascii="IRNazanin" w:hAnsi="IRNazanin" w:eastAsia="IRNazanin" w:cs="IRNazanin"/>
          <w:lang w:bidi="fa-IR"/>
          <w:color w:val="111111"/>
          <w:sz w:val="28"/>
          <w:szCs w:val="28"/>
          <w:rtl/>
        </w:rPr>
        <w:t xml:space="preserve">32 .قصائد، ج 12، ص587.</w:t>
      </w:r>
    </w:p>
    <w:p>
      <w:pPr>
        <w:pStyle w:val="BookText"/>
      </w:pPr>
      <w:r>
        <w:rPr>
          <w:rFonts w:ascii="IRNazanin" w:hAnsi="IRNazanin" w:eastAsia="IRNazanin" w:cs="IRNazanin"/>
          <w:lang w:bidi="fa-IR"/>
          <w:color w:val="111111"/>
          <w:sz w:val="28"/>
          <w:szCs w:val="28"/>
          <w:rtl/>
        </w:rPr>
        <w:t xml:space="preserve">33 .قلائد النحور، ج 12، ص 764 .</w:t>
      </w:r>
    </w:p>
    <w:p>
      <w:pPr>
        <w:pStyle w:val="BookText"/>
      </w:pPr>
      <w:r>
        <w:rPr>
          <w:rFonts w:ascii="Amiri" w:hAnsi="Amiri" w:eastAsia="Amiri" w:cs="Amiri"/>
          <w:lang w:bidi="ar-SA"/>
          <w:color w:val="111111"/>
          <w:sz w:val="28"/>
          <w:szCs w:val="28"/>
          <w:rtl/>
        </w:rPr>
        <w:t xml:space="preserve">34 .القلادة الأنسية الجامعة لفرائد القصائد العبسية، ج 12، ص 766.</w:t>
      </w:r>
    </w:p>
    <w:p>
      <w:pPr>
        <w:pStyle w:val="BookText"/>
      </w:pPr>
      <w:r>
        <w:rPr>
          <w:rFonts w:ascii="Amiri" w:hAnsi="Amiri" w:eastAsia="Amiri" w:cs="Amiri"/>
          <w:lang w:bidi="ar-SA"/>
          <w:color w:val="111111"/>
          <w:sz w:val="28"/>
          <w:szCs w:val="28"/>
          <w:rtl/>
        </w:rPr>
        <w:t xml:space="preserve">35 .الكشف و البيان عن مشايخ هذا</w:t>
      </w:r>
    </w:p>
    <w:p>
      <w:pPr>
        <w:pStyle w:val="BookText"/>
      </w:pPr>
      <w:r>
        <w:rPr>
          <w:rFonts w:ascii="IRNazanin" w:hAnsi="IRNazanin" w:eastAsia="IRNazanin" w:cs="IRNazanin"/>
          <w:lang w:bidi="fa-IR"/>
          <w:color w:val="111111"/>
          <w:sz w:val="28"/>
          <w:szCs w:val="28"/>
          <w:rtl/>
        </w:rPr>
        <w:t xml:space="preserve">الزمان، ج13، ص 275.</w:t>
      </w:r>
    </w:p>
    <w:p>
      <w:pPr>
        <w:pStyle w:val="BookText"/>
      </w:pPr>
      <w:r>
        <w:rPr>
          <w:rFonts w:ascii="IRNazanin" w:hAnsi="IRNazanin" w:eastAsia="IRNazanin" w:cs="IRNazanin"/>
          <w:lang w:bidi="fa-IR"/>
          <w:color w:val="111111"/>
          <w:sz w:val="28"/>
          <w:szCs w:val="28"/>
          <w:rtl/>
        </w:rPr>
        <w:t xml:space="preserve">36 .مطالع العلوم و مواقع النجوم</w:t>
      </w:r>
    </w:p>
    <w:p>
      <w:pPr>
        <w:pStyle w:val="BookText"/>
      </w:pPr>
      <w:r>
        <w:rPr>
          <w:rFonts w:ascii="IRNazanin" w:hAnsi="IRNazanin" w:eastAsia="IRNazanin" w:cs="IRNazanin"/>
          <w:lang w:bidi="fa-IR"/>
          <w:color w:val="111111"/>
          <w:sz w:val="28"/>
          <w:szCs w:val="28"/>
          <w:rtl/>
        </w:rPr>
        <w:t xml:space="preserve">ج 14، ص 781 .</w:t>
      </w:r>
    </w:p>
    <w:p>
      <w:pPr>
        <w:pStyle w:val="BookText"/>
      </w:pPr>
      <w:r>
        <w:rPr>
          <w:rFonts w:ascii="Amiri" w:hAnsi="Amiri" w:eastAsia="Amiri" w:cs="Amiri"/>
          <w:lang w:bidi="ar-SA"/>
          <w:color w:val="111111"/>
          <w:sz w:val="28"/>
          <w:szCs w:val="28"/>
          <w:rtl/>
        </w:rPr>
        <w:t xml:space="preserve">37 .المناهل في علم العروض والقافية</w:t>
      </w:r>
    </w:p>
    <w:p>
      <w:pPr>
        <w:pStyle w:val="BookText"/>
      </w:pPr>
      <w:r>
        <w:rPr>
          <w:rFonts w:ascii="IRNazanin" w:hAnsi="IRNazanin" w:eastAsia="IRNazanin" w:cs="IRNazanin"/>
          <w:lang w:bidi="fa-IR"/>
          <w:color w:val="111111"/>
          <w:sz w:val="28"/>
          <w:szCs w:val="28"/>
          <w:rtl/>
        </w:rPr>
        <w:t xml:space="preserve">ج 15، ص 579.</w:t>
      </w:r>
    </w:p>
    <w:p>
      <w:pPr>
        <w:pStyle w:val="BookText"/>
      </w:pPr>
      <w:r>
        <w:rPr>
          <w:rFonts w:ascii="Amiri" w:hAnsi="Amiri" w:eastAsia="Amiri" w:cs="Amiri"/>
          <w:lang w:bidi="ar-SA"/>
          <w:color w:val="111111"/>
          <w:sz w:val="28"/>
          <w:szCs w:val="28"/>
          <w:rtl/>
        </w:rPr>
        <w:t xml:space="preserve">38 .المنهج السالك إلى مقاصد الفية ابن مالك = شرح الفية ابن مالك</w:t>
      </w:r>
    </w:p>
    <w:p>
      <w:pPr>
        <w:pStyle w:val="BookText"/>
      </w:pPr>
      <w:r>
        <w:rPr>
          <w:rFonts w:ascii="IRNazanin" w:hAnsi="IRNazanin" w:eastAsia="IRNazanin" w:cs="IRNazanin"/>
          <w:lang w:bidi="fa-IR"/>
          <w:color w:val="111111"/>
          <w:sz w:val="28"/>
          <w:szCs w:val="28"/>
          <w:rtl/>
        </w:rPr>
        <w:t xml:space="preserve">ج 15، ص 798.</w:t>
      </w:r>
    </w:p>
    <w:p>
      <w:pPr>
        <w:pStyle w:val="BookText"/>
      </w:pPr>
      <w:r>
        <w:rPr>
          <w:rFonts w:ascii="Amiri" w:hAnsi="Amiri" w:eastAsia="Amiri" w:cs="Amiri"/>
          <w:lang w:bidi="ar-SA"/>
          <w:color w:val="111111"/>
          <w:sz w:val="28"/>
          <w:szCs w:val="28"/>
          <w:rtl/>
        </w:rPr>
        <w:t xml:space="preserve">39 .منهل الاولياء و مشرب الاصفياء من سادات الموصل الحدباء، ج 15</w:t>
      </w:r>
    </w:p>
    <w:p>
      <w:pPr>
        <w:pStyle w:val="BookText"/>
      </w:pPr>
      <w:r>
        <w:rPr>
          <w:rFonts w:ascii="IRNazanin" w:hAnsi="IRNazanin" w:eastAsia="IRNazanin" w:cs="IRNazanin"/>
          <w:lang w:bidi="fa-IR"/>
          <w:color w:val="111111"/>
          <w:sz w:val="28"/>
          <w:szCs w:val="28"/>
          <w:rtl/>
        </w:rPr>
        <w:t xml:space="preserve">ص 812.</w:t>
      </w:r>
    </w:p>
    <w:p>
      <w:pPr>
        <w:pStyle w:val="BookText"/>
      </w:pPr>
      <w:r>
        <w:rPr>
          <w:rFonts w:ascii="Amiri" w:hAnsi="Amiri" w:eastAsia="Amiri" w:cs="Amiri"/>
          <w:lang w:bidi="ar-SA"/>
          <w:color w:val="111111"/>
          <w:sz w:val="28"/>
          <w:szCs w:val="28"/>
          <w:rtl/>
        </w:rPr>
        <w:t xml:space="preserve">40 .منهل الصفا و مسرح الوفا في</w:t>
      </w:r>
    </w:p>
    <w:p>
      <w:pPr>
        <w:pStyle w:val="BookText"/>
      </w:pPr>
      <w:r>
        <w:rPr>
          <w:rFonts w:ascii="Amiri" w:hAnsi="Amiri" w:eastAsia="Amiri" w:cs="Amiri"/>
          <w:lang w:bidi="ar-SA"/>
          <w:color w:val="111111"/>
          <w:sz w:val="28"/>
          <w:szCs w:val="28"/>
          <w:rtl/>
        </w:rPr>
        <w:t xml:space="preserve">كشف الخفا، ج 15 ، ص 815.</w:t>
      </w:r>
    </w:p>
    <w:p>
      <w:pPr>
        <w:pStyle w:val="BookText"/>
      </w:pPr>
      <w:r>
        <w:rPr>
          <w:rFonts w:ascii="Amiri" w:hAnsi="Amiri" w:eastAsia="Amiri" w:cs="Amiri"/>
          <w:lang w:bidi="ar-SA"/>
          <w:color w:val="111111"/>
          <w:sz w:val="28"/>
          <w:szCs w:val="28"/>
          <w:rtl/>
        </w:rPr>
        <w:t xml:space="preserve">41 .نبذة في القوافي، ج 16، ص112.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نبذة قصيرة، ج 16، ص 113.</w:t>
      </w:r>
    </w:p>
    <w:p>
      <w:pPr>
        <w:pStyle w:val="BookText"/>
      </w:pPr>
      <w:r>
        <w:rPr>
          <w:rFonts w:ascii="Amiri" w:hAnsi="Amiri" w:eastAsia="Amiri" w:cs="Amiri"/>
          <w:lang w:bidi="ar-SA"/>
          <w:color w:val="111111"/>
          <w:sz w:val="28"/>
          <w:szCs w:val="28"/>
          <w:rtl/>
        </w:rPr>
        <w:t xml:space="preserve">43 .نظم بعض أبواب فاكهة الخلفاء،</w:t>
      </w:r>
    </w:p>
    <w:p>
      <w:pPr>
        <w:pStyle w:val="BookText"/>
      </w:pPr>
      <w:r>
        <w:rPr>
          <w:rFonts w:ascii="IRNazanin" w:hAnsi="IRNazanin" w:eastAsia="IRNazanin" w:cs="IRNazanin"/>
          <w:lang w:bidi="fa-IR"/>
          <w:color w:val="111111"/>
          <w:sz w:val="28"/>
          <w:szCs w:val="28"/>
          <w:rtl/>
        </w:rPr>
        <w:t xml:space="preserve">ج 16، ص 333.</w:t>
      </w:r>
    </w:p>
    <w:p>
      <w:pPr>
        <w:pStyle w:val="BookText"/>
      </w:pPr>
      <w:r>
        <w:rPr>
          <w:rFonts w:ascii="Amiri" w:hAnsi="Amiri" w:eastAsia="Amiri" w:cs="Amiri"/>
          <w:lang w:bidi="ar-SA"/>
          <w:color w:val="111111"/>
          <w:sz w:val="28"/>
          <w:szCs w:val="28"/>
          <w:rtl/>
        </w:rPr>
        <w:t xml:space="preserve">44 . نظم في انجماد نهر دجلة وقد ضمنها شطر عبدالغني النابلسي</w:t>
      </w:r>
    </w:p>
    <w:p>
      <w:pPr>
        <w:pStyle w:val="BookText"/>
      </w:pPr>
      <w:r>
        <w:rPr>
          <w:rFonts w:ascii="Amiri" w:hAnsi="Amiri" w:eastAsia="Amiri" w:cs="Amiri"/>
          <w:lang w:bidi="ar-SA"/>
          <w:color w:val="111111"/>
          <w:sz w:val="28"/>
          <w:szCs w:val="28"/>
          <w:rtl/>
        </w:rPr>
        <w:t xml:space="preserve">لأول ابياتها، ج 16، ص 353.</w:t>
      </w:r>
    </w:p>
    <w:p>
      <w:pPr>
        <w:pStyle w:val="BookText"/>
      </w:pPr>
      <w:r>
        <w:rPr>
          <w:rFonts w:ascii="IRNazanin" w:hAnsi="IRNazanin" w:eastAsia="IRNazanin" w:cs="IRNazanin"/>
          <w:lang w:bidi="fa-IR"/>
          <w:color w:val="111111"/>
          <w:sz w:val="28"/>
          <w:szCs w:val="28"/>
          <w:rtl/>
        </w:rPr>
        <w:t xml:space="preserve">45 .نقولات، ج 16، ص 431 .</w:t>
      </w:r>
    </w:p>
    <w:p>
      <w:pPr>
        <w:pStyle w:val="BookText"/>
      </w:pPr>
      <w:r>
        <w:rPr>
          <w:rFonts w:ascii="Amiri" w:hAnsi="Amiri" w:eastAsia="Amiri" w:cs="Amiri"/>
          <w:lang w:bidi="ar-SA"/>
          <w:color w:val="111111"/>
          <w:sz w:val="28"/>
          <w:szCs w:val="28"/>
          <w:rtl/>
        </w:rPr>
        <w:t xml:space="preserve">46 .نوادر المنح في اقسام الملاحة و</w:t>
      </w:r>
    </w:p>
    <w:p>
      <w:pPr>
        <w:pStyle w:val="BookText"/>
      </w:pPr>
      <w:r>
        <w:rPr>
          <w:rFonts w:ascii="IRNazanin" w:hAnsi="IRNazanin" w:eastAsia="IRNazanin" w:cs="IRNazanin"/>
          <w:lang w:bidi="fa-IR"/>
          <w:color w:val="111111"/>
          <w:sz w:val="28"/>
          <w:szCs w:val="28"/>
          <w:rtl/>
        </w:rPr>
        <w:t xml:space="preserve">الملح، ج 16، ص 545.</w:t>
      </w:r>
    </w:p>
    <w:p>
      <w:pPr>
        <w:pStyle w:val="Heading2"/>
      </w:pPr>
      <w:bookmarkStart w:id="6136" w:name="_Toc5238"/>
      <w:r>
        <w:t>عمري، محمّد امين بن محمّد نجیب قرن</w:t>
      </w:r>
      <w:bookmarkEnd w:id="6136"/>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شرح الفية ابن مالك، ج9، ص 224.</w:t>
      </w:r>
    </w:p>
    <w:p>
      <w:pPr>
        <w:pStyle w:val="Heading2"/>
      </w:pPr>
      <w:bookmarkStart w:id="6137" w:name="_Toc5239"/>
      <w:r>
        <w:t>عمري محمّدامين بن يوسف - 1288 ه-</w:t>
      </w:r>
      <w:bookmarkEnd w:id="6137"/>
    </w:p>
    <w:p>
      <w:pPr>
        <w:pStyle w:val="BookText"/>
      </w:pPr>
      <w:r>
        <w:rPr>
          <w:rFonts w:ascii="Amiri" w:hAnsi="Amiri" w:eastAsia="Amiri" w:cs="Amiri"/>
          <w:lang w:bidi="ar-SA"/>
          <w:color w:val="111111"/>
          <w:sz w:val="28"/>
          <w:szCs w:val="28"/>
          <w:rtl/>
        </w:rPr>
        <w:t xml:space="preserve">مجموعة محمّد أمين العمري، ج 14</w:t>
      </w:r>
    </w:p>
    <w:p>
      <w:pPr>
        <w:pStyle w:val="BookText"/>
      </w:pPr>
      <w:r>
        <w:rPr>
          <w:rFonts w:ascii="IRNazanin" w:hAnsi="IRNazanin" w:eastAsia="IRNazanin" w:cs="IRNazanin"/>
          <w:lang w:bidi="fa-IR"/>
          <w:color w:val="111111"/>
          <w:sz w:val="28"/>
          <w:szCs w:val="28"/>
          <w:rtl/>
        </w:rPr>
        <w:t xml:space="preserve">ص 56 .</w:t>
      </w:r>
    </w:p>
    <w:p>
      <w:pPr>
        <w:pStyle w:val="Heading2"/>
      </w:pPr>
      <w:bookmarkStart w:id="6138" w:name="_Toc5240"/>
      <w:r>
        <w:t>عمري، محمّد بن احمد، 1168-1216 ه-</w:t>
      </w:r>
      <w:bookmarkEnd w:id="6138"/>
    </w:p>
    <w:p>
      <w:pPr>
        <w:pStyle w:val="BookText"/>
      </w:pPr>
      <w:r>
        <w:rPr>
          <w:rFonts w:ascii="Amiri" w:hAnsi="Amiri" w:eastAsia="Amiri" w:cs="Amiri"/>
          <w:lang w:bidi="ar-SA"/>
          <w:color w:val="111111"/>
          <w:sz w:val="28"/>
          <w:szCs w:val="28"/>
          <w:rtl/>
        </w:rPr>
        <w:t xml:space="preserve">1 .ازهار المؤمنين من كلام سيد</w:t>
      </w:r>
    </w:p>
    <w:p>
      <w:pPr>
        <w:pStyle w:val="BookText"/>
      </w:pPr>
      <w:r>
        <w:rPr>
          <w:rFonts w:ascii="Amiri" w:hAnsi="Amiri" w:eastAsia="Amiri" w:cs="Amiri"/>
          <w:lang w:bidi="ar-SA"/>
          <w:color w:val="111111"/>
          <w:sz w:val="28"/>
          <w:szCs w:val="28"/>
          <w:rtl/>
        </w:rPr>
        <w:t xml:space="preserve">المرسلين، ج 2، ص 66 .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13" w:name="pg7742_70892"/>
    <w:bookmarkEnd w:id="81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أنيس السائح و الجليس الصالح،</w:t>
      </w:r>
    </w:p>
    <w:p>
      <w:pPr>
        <w:pStyle w:val="BookText"/>
      </w:pPr>
      <w:r>
        <w:rPr>
          <w:rFonts w:ascii="IRNazanin" w:hAnsi="IRNazanin" w:eastAsia="IRNazanin" w:cs="IRNazanin"/>
          <w:lang w:bidi="fa-IR"/>
          <w:color w:val="111111"/>
          <w:sz w:val="28"/>
          <w:szCs w:val="28"/>
          <w:rtl/>
        </w:rPr>
        <w:t xml:space="preserve">ج 3، ص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الجوهرة العمرية في الصلاة السلام على الحضرة المصطفوية ج 5، ص 614.</w:t>
      </w:r>
    </w:p>
    <w:p>
      <w:pPr>
        <w:pStyle w:val="BookText"/>
      </w:pPr>
      <w:r>
        <w:rPr>
          <w:rFonts w:ascii="Amiri" w:hAnsi="Amiri" w:eastAsia="Amiri" w:cs="Amiri"/>
          <w:lang w:bidi="ar-SA"/>
          <w:color w:val="111111"/>
          <w:sz w:val="28"/>
          <w:szCs w:val="28"/>
          <w:rtl/>
        </w:rPr>
        <w:t xml:space="preserve">4 .شرح الايساغوجي (منظومة في)</w:t>
      </w:r>
    </w:p>
    <w:p>
      <w:pPr>
        <w:pStyle w:val="BookText"/>
      </w:pPr>
      <w:r>
        <w:rPr>
          <w:rFonts w:ascii="IRNazanin" w:hAnsi="IRNazanin" w:eastAsia="IRNazanin" w:cs="IRNazanin"/>
          <w:lang w:bidi="fa-IR"/>
          <w:color w:val="111111"/>
          <w:sz w:val="28"/>
          <w:szCs w:val="28"/>
          <w:rtl/>
        </w:rPr>
        <w:t xml:space="preserve">ج 9، ص 271</w:t>
      </w:r>
    </w:p>
    <w:p>
      <w:pPr>
        <w:pStyle w:val="BookText"/>
      </w:pPr>
      <w:r>
        <w:rPr>
          <w:rFonts w:ascii="Amiri" w:hAnsi="Amiri" w:eastAsia="Amiri" w:cs="Amiri"/>
          <w:lang w:bidi="ar-SA"/>
          <w:color w:val="111111"/>
          <w:sz w:val="28"/>
          <w:szCs w:val="28"/>
          <w:rtl/>
        </w:rPr>
        <w:t xml:space="preserve">عمري ، محمّد بن عبد الجليل -رشيد</w:t>
      </w:r>
    </w:p>
    <w:p>
      <w:pPr>
        <w:pStyle w:val="BookText"/>
      </w:pPr>
      <w:r>
        <w:rPr>
          <w:rFonts w:ascii="IRNazanin" w:hAnsi="IRNazanin" w:eastAsia="IRNazanin" w:cs="IRNazanin"/>
          <w:lang w:bidi="fa-IR"/>
          <w:color w:val="111111"/>
          <w:sz w:val="28"/>
          <w:szCs w:val="28"/>
          <w:rtl/>
        </w:rPr>
        <w:t xml:space="preserve">وطواط ، محمّد بن محمد</w:t>
      </w:r>
    </w:p>
    <w:p>
      <w:pPr>
        <w:pStyle w:val="BookText"/>
      </w:pPr>
      <w:r>
        <w:rPr>
          <w:rFonts w:ascii="Amiri" w:hAnsi="Amiri" w:eastAsia="Amiri" w:cs="Amiri"/>
          <w:lang w:bidi="ar-SA"/>
          <w:color w:val="111111"/>
          <w:sz w:val="28"/>
          <w:szCs w:val="28"/>
          <w:rtl/>
        </w:rPr>
        <w:t xml:space="preserve">عمري ، محمّد بن عبدالرحمن- ابن زريق</w:t>
      </w:r>
    </w:p>
    <w:p>
      <w:pPr>
        <w:pStyle w:val="BookText"/>
      </w:pPr>
      <w:r>
        <w:rPr>
          <w:rFonts w:ascii="IRNazanin" w:hAnsi="IRNazanin" w:eastAsia="IRNazanin" w:cs="IRNazanin"/>
          <w:lang w:bidi="fa-IR"/>
          <w:color w:val="111111"/>
          <w:sz w:val="28"/>
          <w:szCs w:val="28"/>
          <w:rtl/>
        </w:rPr>
        <w:t xml:space="preserve">، محمد بن عبدالرحمن</w:t>
      </w:r>
    </w:p>
    <w:p>
      <w:pPr>
        <w:pStyle w:val="BookText"/>
      </w:pPr>
      <w:r>
        <w:rPr>
          <w:rFonts w:ascii="Amiri" w:hAnsi="Amiri" w:eastAsia="Amiri" w:cs="Amiri"/>
          <w:lang w:bidi="ar-SA"/>
          <w:color w:val="111111"/>
          <w:sz w:val="28"/>
          <w:szCs w:val="28"/>
          <w:rtl/>
        </w:rPr>
        <w:t xml:space="preserve">عمري ، محمّد بن عبد الرحيم- ميلاني</w:t>
      </w:r>
    </w:p>
    <w:p>
      <w:pPr>
        <w:pStyle w:val="BookText"/>
      </w:pPr>
      <w:r>
        <w:rPr>
          <w:rFonts w:ascii="IRNazanin" w:hAnsi="IRNazanin" w:eastAsia="IRNazanin" w:cs="IRNazanin"/>
          <w:lang w:bidi="fa-IR"/>
          <w:color w:val="111111"/>
          <w:sz w:val="28"/>
          <w:szCs w:val="28"/>
          <w:rtl/>
        </w:rPr>
        <w:t xml:space="preserve">محمّد بن عبدالرحیم</w:t>
      </w:r>
    </w:p>
    <w:p>
      <w:pPr>
        <w:pStyle w:val="BookText"/>
      </w:pPr>
      <w:r>
        <w:rPr>
          <w:rFonts w:ascii="Amiri" w:hAnsi="Amiri" w:eastAsia="Amiri" w:cs="Amiri"/>
          <w:lang w:bidi="ar-SA"/>
          <w:color w:val="111111"/>
          <w:sz w:val="28"/>
          <w:szCs w:val="28"/>
          <w:rtl/>
        </w:rPr>
        <w:t xml:space="preserve">عمري ، محمّد بن علي- ابن عبدالهادي</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عمري ، محمّد بن محمّد -سبط المرصفي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عمري ، محمّد بن محمود- ابن عبد الحق</w:t>
      </w:r>
    </w:p>
    <w:p>
      <w:pPr>
        <w:pStyle w:val="BookText"/>
      </w:pPr>
      <w:r>
        <w:rPr>
          <w:rFonts w:ascii="IRNazanin" w:hAnsi="IRNazanin" w:eastAsia="IRNazanin" w:cs="IRNazanin"/>
          <w:lang w:bidi="fa-IR"/>
          <w:color w:val="111111"/>
          <w:sz w:val="28"/>
          <w:szCs w:val="28"/>
          <w:rtl/>
        </w:rPr>
        <w:t xml:space="preserve">، محمّد بن محمود</w:t>
      </w:r>
    </w:p>
    <w:p>
      <w:pPr>
        <w:pStyle w:val="Heading2"/>
      </w:pPr>
      <w:bookmarkStart w:id="6139" w:name="_Toc5241"/>
      <w:r>
        <w:t>عمري ، محمّد سعيد بن محمّد امین</w:t>
      </w:r>
      <w:bookmarkEnd w:id="6139"/>
    </w:p>
    <w:p>
      <w:pPr>
        <w:pStyle w:val="BookText"/>
      </w:pPr>
      <w:r>
        <w:rPr>
          <w:rFonts w:ascii="Amiri" w:hAnsi="Amiri" w:eastAsia="Amiri" w:cs="Amiri"/>
          <w:lang w:bidi="ar-SA"/>
          <w:color w:val="111111"/>
          <w:sz w:val="28"/>
          <w:szCs w:val="28"/>
          <w:rtl/>
        </w:rPr>
        <w:t xml:space="preserve">1 .تخميس القصيدة الهمزية، جع،</w:t>
      </w:r>
    </w:p>
    <w:p>
      <w:pPr>
        <w:pStyle w:val="BookText"/>
      </w:pPr>
      <w:r>
        <w:rPr>
          <w:rFonts w:ascii="IRNazanin" w:hAnsi="IRNazanin" w:eastAsia="IRNazanin" w:cs="IRNazanin"/>
          <w:lang w:bidi="fa-IR"/>
          <w:color w:val="111111"/>
          <w:sz w:val="28"/>
          <w:szCs w:val="28"/>
          <w:rtl/>
        </w:rPr>
        <w:t xml:space="preserve">ص150.</w:t>
      </w:r>
    </w:p>
    <w:p>
      <w:pPr>
        <w:pStyle w:val="BookText"/>
      </w:pPr>
      <w:r>
        <w:rPr>
          <w:rFonts w:ascii="IRNazanin" w:hAnsi="IRNazanin" w:eastAsia="IRNazanin" w:cs="IRNazanin"/>
          <w:lang w:bidi="fa-IR"/>
          <w:color w:val="111111"/>
          <w:sz w:val="28"/>
          <w:szCs w:val="28"/>
          <w:rtl/>
        </w:rPr>
        <w:t xml:space="preserve">2 .دیوان محمّد سعيد العمري، ج7،</w:t>
      </w:r>
    </w:p>
    <w:p>
      <w:pPr>
        <w:pStyle w:val="BookText"/>
      </w:pPr>
      <w:r>
        <w:rPr>
          <w:rFonts w:ascii="IRNazanin" w:hAnsi="IRNazanin" w:eastAsia="IRNazanin" w:cs="IRNazanin"/>
          <w:lang w:bidi="fa-IR"/>
          <w:color w:val="111111"/>
          <w:sz w:val="28"/>
          <w:szCs w:val="28"/>
          <w:rtl/>
        </w:rPr>
        <w:t xml:space="preserve">ص 767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نظم قطر الندى وبل الصدى</w:t>
      </w:r>
    </w:p>
    <w:p>
      <w:pPr>
        <w:pStyle w:val="BookText"/>
      </w:pPr>
      <w:r>
        <w:rPr>
          <w:rFonts w:ascii="IRNazanin" w:hAnsi="IRNazanin" w:eastAsia="IRNazanin" w:cs="IRNazanin"/>
          <w:lang w:bidi="fa-IR"/>
          <w:color w:val="111111"/>
          <w:sz w:val="28"/>
          <w:szCs w:val="28"/>
          <w:rtl/>
        </w:rPr>
        <w:t xml:space="preserve">ج 16، ص 356.</w:t>
      </w:r>
    </w:p>
    <w:p>
      <w:pPr>
        <w:pStyle w:val="Heading2"/>
      </w:pPr>
      <w:bookmarkStart w:id="6140" w:name="_Toc5242"/>
      <w:r>
        <w:t>عمري ، محمّد ياسين بن محمّد امین قرن</w:t>
      </w:r>
      <w:bookmarkEnd w:id="6140"/>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ديوان المفتي، ج 7، ص774.</w:t>
      </w:r>
    </w:p>
    <w:p>
      <w:pPr>
        <w:pStyle w:val="Heading2"/>
      </w:pPr>
      <w:bookmarkStart w:id="6141" w:name="_Toc5243"/>
      <w:r>
        <w:t>عمري ، محمود افندي - 1282 ه-</w:t>
      </w:r>
      <w:bookmarkEnd w:id="6141"/>
    </w:p>
    <w:p>
      <w:pPr>
        <w:pStyle w:val="BookText"/>
      </w:pPr>
      <w:r>
        <w:rPr>
          <w:rFonts w:ascii="Amiri" w:hAnsi="Amiri" w:eastAsia="Amiri" w:cs="Amiri"/>
          <w:lang w:bidi="ar-SA"/>
          <w:color w:val="111111"/>
          <w:sz w:val="28"/>
          <w:szCs w:val="28"/>
          <w:rtl/>
        </w:rPr>
        <w:t xml:space="preserve">تقريظ على الحجة للحيائي، ج 4،</w:t>
      </w:r>
    </w:p>
    <w:p>
      <w:pPr>
        <w:pStyle w:val="BookText"/>
      </w:pPr>
      <w:r>
        <w:rPr>
          <w:rFonts w:ascii="IRNazanin" w:hAnsi="IRNazanin" w:eastAsia="IRNazanin" w:cs="IRNazanin"/>
          <w:lang w:bidi="fa-IR"/>
          <w:color w:val="111111"/>
          <w:sz w:val="28"/>
          <w:szCs w:val="28"/>
          <w:rtl/>
        </w:rPr>
        <w:t xml:space="preserve">ص 785</w:t>
      </w:r>
    </w:p>
    <w:p>
      <w:pPr>
        <w:pStyle w:val="Heading2"/>
      </w:pPr>
      <w:bookmarkStart w:id="6142" w:name="_Toc5244"/>
      <w:r>
        <w:t>عمري، مراد بن عثمان - 1092 ه-</w:t>
      </w:r>
      <w:bookmarkEnd w:id="6142"/>
    </w:p>
    <w:p>
      <w:pPr>
        <w:pStyle w:val="BookText"/>
      </w:pPr>
      <w:r>
        <w:rPr>
          <w:rFonts w:ascii="Amiri" w:hAnsi="Amiri" w:eastAsia="Amiri" w:cs="Amiri"/>
          <w:lang w:bidi="ar-SA"/>
          <w:color w:val="111111"/>
          <w:sz w:val="28"/>
          <w:szCs w:val="28"/>
          <w:rtl/>
        </w:rPr>
        <w:t xml:space="preserve">تعليقة على شرح العقائد النسفية</w:t>
      </w:r>
    </w:p>
    <w:p>
      <w:pPr>
        <w:pStyle w:val="BookText"/>
      </w:pPr>
      <w:r>
        <w:rPr>
          <w:rFonts w:ascii="IRNazanin" w:hAnsi="IRNazanin" w:eastAsia="IRNazanin" w:cs="IRNazanin"/>
          <w:lang w:bidi="fa-IR"/>
          <w:color w:val="111111"/>
          <w:sz w:val="28"/>
          <w:szCs w:val="28"/>
          <w:rtl/>
        </w:rPr>
        <w:t xml:space="preserve">ج 4 ، ص 523.</w:t>
      </w:r>
    </w:p>
    <w:p>
      <w:pPr>
        <w:pStyle w:val="Heading2"/>
      </w:pPr>
      <w:bookmarkStart w:id="6143" w:name="_Toc5245"/>
      <w:r>
        <w:t>عمري ، مراد بن علي</w:t>
      </w:r>
      <w:bookmarkEnd w:id="6143"/>
    </w:p>
    <w:p>
      <w:pPr>
        <w:pStyle w:val="BookText"/>
      </w:pPr>
      <w:r>
        <w:rPr>
          <w:rFonts w:ascii="Amiri" w:hAnsi="Amiri" w:eastAsia="Amiri" w:cs="Amiri"/>
          <w:lang w:bidi="ar-SA"/>
          <w:color w:val="111111"/>
          <w:sz w:val="28"/>
          <w:szCs w:val="28"/>
          <w:rtl/>
        </w:rPr>
        <w:t xml:space="preserve">مناظرة بين مراد بن علي العمري و ملا</w:t>
      </w:r>
    </w:p>
    <w:p>
      <w:pPr>
        <w:pStyle w:val="BookText"/>
      </w:pPr>
      <w:r>
        <w:rPr>
          <w:rFonts w:ascii="Amiri" w:hAnsi="Amiri" w:eastAsia="Amiri" w:cs="Amiri"/>
          <w:lang w:bidi="ar-SA"/>
          <w:color w:val="111111"/>
          <w:sz w:val="28"/>
          <w:szCs w:val="28"/>
          <w:rtl/>
        </w:rPr>
        <w:t xml:space="preserve">يوسف النائب، ج 15، ص 517.</w:t>
      </w:r>
    </w:p>
    <w:p>
      <w:pPr>
        <w:pStyle w:val="Heading2"/>
      </w:pPr>
      <w:bookmarkStart w:id="6144" w:name="_Toc5246"/>
      <w:r>
        <w:t>عمري مرشدي، محمّد بن سليمان، قرن 9ه-</w:t>
      </w:r>
      <w:bookmarkEnd w:id="6144"/>
    </w:p>
    <w:p>
      <w:pPr>
        <w:pStyle w:val="BookText"/>
      </w:pPr>
      <w:r>
        <w:rPr>
          <w:rFonts w:ascii="Amiri" w:hAnsi="Amiri" w:eastAsia="Amiri" w:cs="Amiri"/>
          <w:lang w:bidi="ar-SA"/>
          <w:color w:val="111111"/>
          <w:sz w:val="28"/>
          <w:szCs w:val="28"/>
          <w:rtl/>
        </w:rPr>
        <w:t xml:space="preserve">شرح المحرر في فروع الشافعية = شرح</w:t>
      </w:r>
    </w:p>
    <w:p>
      <w:pPr>
        <w:pStyle w:val="BookText"/>
      </w:pPr>
      <w:r>
        <w:rPr>
          <w:rFonts w:ascii="IRNazanin" w:hAnsi="IRNazanin" w:eastAsia="IRNazanin" w:cs="IRNazanin"/>
          <w:lang w:bidi="fa-IR"/>
          <w:color w:val="111111"/>
          <w:sz w:val="28"/>
          <w:szCs w:val="28"/>
          <w:rtl/>
        </w:rPr>
        <w:t xml:space="preserve">فرائض المحرر، ج 10، ص 103.</w:t>
      </w:r>
    </w:p>
    <w:p>
      <w:pPr>
        <w:pStyle w:val="Heading2"/>
      </w:pPr>
      <w:bookmarkStart w:id="6145" w:name="_Toc5247"/>
      <w:r>
        <w:t>عمري موصلي ، محمّد</w:t>
      </w:r>
      <w:bookmarkEnd w:id="6145"/>
    </w:p>
    <w:p>
      <w:pPr>
        <w:pStyle w:val="BookText"/>
      </w:pPr>
      <w:r>
        <w:rPr>
          <w:rFonts w:ascii="Amiri" w:hAnsi="Amiri" w:eastAsia="Amiri" w:cs="Amiri"/>
          <w:lang w:bidi="ar-SA"/>
          <w:color w:val="111111"/>
          <w:sz w:val="28"/>
          <w:szCs w:val="28"/>
          <w:rtl/>
        </w:rPr>
        <w:t xml:space="preserve">فهمي العقد المنضد في مدائح حضرة المولى</w:t>
      </w:r>
    </w:p>
    <w:p>
      <w:pPr>
        <w:pStyle w:val="BookText"/>
      </w:pPr>
      <w:r>
        <w:rPr>
          <w:rFonts w:ascii="Amiri" w:hAnsi="Amiri" w:eastAsia="Amiri" w:cs="Amiri"/>
          <w:lang w:bidi="ar-SA"/>
          <w:color w:val="111111"/>
          <w:sz w:val="28"/>
          <w:szCs w:val="28"/>
          <w:rtl/>
        </w:rPr>
        <w:t xml:space="preserve">محمّد، ج 11، ص 175</w:t>
      </w:r>
    </w:p>
    <w:p>
      <w:pPr>
        <w:pStyle w:val="BookText"/>
      </w:pPr>
      <w:r>
        <w:rPr>
          <w:rFonts w:ascii="Amiri" w:hAnsi="Amiri" w:eastAsia="Amiri" w:cs="Amiri"/>
          <w:lang w:bidi="ar-SA"/>
          <w:color w:val="111111"/>
          <w:sz w:val="28"/>
          <w:szCs w:val="28"/>
          <w:rtl/>
        </w:rPr>
        <w:t xml:space="preserve">عمري ميلاني ، محمّد بن</w:t>
      </w:r>
    </w:p>
    <w:p>
      <w:pPr>
        <w:pStyle w:val="BookText"/>
      </w:pPr>
      <w:r>
        <w:rPr>
          <w:rFonts w:ascii="Amiri" w:hAnsi="Amiri" w:eastAsia="Amiri" w:cs="Amiri"/>
          <w:lang w:bidi="ar-SA"/>
          <w:color w:val="111111"/>
          <w:sz w:val="28"/>
          <w:szCs w:val="28"/>
          <w:rtl/>
        </w:rPr>
        <w:t xml:space="preserve">عبد الرحيم- ميلاني ، محمّد بن عبدالرحيم</w:t>
      </w:r>
    </w:p>
    <w:p>
      <w:pPr>
        <w:pStyle w:val="BookText"/>
      </w:pPr>
      <w:r>
        <w:rPr>
          <w:rFonts w:ascii="Amiri" w:hAnsi="Amiri" w:eastAsia="Amiri" w:cs="Amiri"/>
          <w:lang w:bidi="ar-SA"/>
          <w:color w:val="111111"/>
          <w:sz w:val="28"/>
          <w:szCs w:val="28"/>
          <w:rtl/>
        </w:rPr>
        <w:t xml:space="preserve">عمري ، نصر الله بن محمّد -خلخالي</w:t>
      </w:r>
    </w:p>
    <w:p>
      <w:pPr>
        <w:pStyle w:val="BookText"/>
      </w:pPr>
      <w:r>
        <w:rPr>
          <w:rFonts w:ascii="IRNazanin" w:hAnsi="IRNazanin" w:eastAsia="IRNazanin" w:cs="IRNazanin"/>
          <w:lang w:bidi="fa-IR"/>
          <w:color w:val="111111"/>
          <w:sz w:val="28"/>
          <w:szCs w:val="28"/>
          <w:rtl/>
        </w:rPr>
        <w:t xml:space="preserve">نصر الله بن محمّد</w:t>
      </w:r>
    </w:p>
    <w:p>
      <w:pPr>
        <w:pStyle w:val="Heading2"/>
      </w:pPr>
      <w:bookmarkStart w:id="6146" w:name="_Toc5248"/>
      <w:r>
        <w:t>عمري ، نعمان بن عثمان قرن 13 ه-</w:t>
      </w:r>
      <w:bookmarkEnd w:id="6146"/>
    </w:p>
    <w:p>
      <w:pPr>
        <w:pStyle w:val="BookText"/>
      </w:pPr>
      <w:r>
        <w:rPr>
          <w:rFonts w:ascii="Amiri" w:hAnsi="Amiri" w:eastAsia="Amiri" w:cs="Amiri"/>
          <w:lang w:bidi="ar-SA"/>
          <w:color w:val="111111"/>
          <w:sz w:val="28"/>
          <w:szCs w:val="28"/>
          <w:rtl/>
        </w:rPr>
        <w:t xml:space="preserve">1 .الفتاوى النعمانية، ج 11، ص 627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قصائد، ج 12، ص588</w:t>
      </w:r>
    </w:p>
    <w:p>
      <w:pPr>
        <w:pStyle w:val="BookText"/>
      </w:pPr>
      <w:r>
        <w:rPr>
          <w:rFonts w:ascii="Amiri" w:hAnsi="Amiri" w:eastAsia="Amiri" w:cs="Amiri"/>
          <w:lang w:bidi="ar-SA"/>
          <w:color w:val="111111"/>
          <w:sz w:val="28"/>
          <w:szCs w:val="28"/>
          <w:rtl/>
        </w:rPr>
        <w:t xml:space="preserve">عمري واسطي ، ابوالعباس احمد بن</w:t>
      </w:r>
    </w:p>
    <w:p>
      <w:pPr>
        <w:pStyle w:val="BookText"/>
      </w:pPr>
      <w:r>
        <w:rPr>
          <w:rFonts w:ascii="Amiri" w:hAnsi="Amiri" w:eastAsia="Amiri" w:cs="Amiri"/>
          <w:lang w:bidi="ar-SA"/>
          <w:color w:val="111111"/>
          <w:sz w:val="28"/>
          <w:szCs w:val="28"/>
          <w:rtl/>
        </w:rPr>
        <w:t xml:space="preserve">محمّد -غمري، احمد بن محمّد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14" w:name="pg7742_70894"/>
    <w:bookmarkEnd w:id="814"/>
    <w:p>
      <w:pPr>
        <w:pStyle w:val="BookText"/>
      </w:pPr>
      <w:r>
        <w:rPr>
          <w:rFonts w:ascii="Amiri" w:hAnsi="Amiri" w:eastAsia="Amiri" w:cs="Amiri"/>
          <w:lang w:bidi="ar-SA"/>
          <w:color w:val="111111"/>
          <w:sz w:val="28"/>
          <w:szCs w:val="28"/>
          <w:rtl/>
        </w:rPr>
        <w:t xml:space="preserve">عمري ، ياسين بن خير الله -خطيب عمري ،</w:t>
      </w:r>
    </w:p>
    <w:p>
      <w:pPr>
        <w:pStyle w:val="BookText"/>
      </w:pPr>
      <w:r>
        <w:rPr>
          <w:rFonts w:ascii="Amiri" w:hAnsi="Amiri" w:eastAsia="Amiri" w:cs="Amiri"/>
          <w:lang w:bidi="ar-SA"/>
          <w:color w:val="111111"/>
          <w:sz w:val="28"/>
          <w:szCs w:val="28"/>
          <w:rtl/>
        </w:rPr>
        <w:t xml:space="preserve">ياسين بن خير الله</w:t>
      </w:r>
    </w:p>
    <w:p>
      <w:pPr>
        <w:pStyle w:val="Heading2"/>
      </w:pPr>
      <w:bookmarkStart w:id="6147" w:name="_Toc5249"/>
      <w:r>
        <w:t>عمري ، يوسف بن عبدالله قرن 13 ه-</w:t>
      </w:r>
      <w:bookmarkEnd w:id="6147"/>
    </w:p>
    <w:p>
      <w:pPr>
        <w:pStyle w:val="BookText"/>
      </w:pPr>
      <w:r>
        <w:rPr>
          <w:rFonts w:ascii="Amiri" w:hAnsi="Amiri" w:eastAsia="Amiri" w:cs="Amiri"/>
          <w:lang w:bidi="ar-SA"/>
          <w:color w:val="111111"/>
          <w:sz w:val="28"/>
          <w:szCs w:val="28"/>
          <w:rtl/>
        </w:rPr>
        <w:t xml:space="preserve">1 .تخميس القصيدة الهمزية، جع،</w:t>
      </w:r>
    </w:p>
    <w:p>
      <w:pPr>
        <w:pStyle w:val="BookText"/>
      </w:pPr>
      <w:r>
        <w:rPr>
          <w:rFonts w:ascii="IRNazanin" w:hAnsi="IRNazanin" w:eastAsia="IRNazanin" w:cs="IRNazanin"/>
          <w:lang w:bidi="fa-IR"/>
          <w:color w:val="111111"/>
          <w:sz w:val="28"/>
          <w:szCs w:val="28"/>
          <w:rtl/>
        </w:rPr>
        <w:t xml:space="preserve">ص 148 .</w:t>
      </w:r>
    </w:p>
    <w:p>
      <w:pPr>
        <w:pStyle w:val="BookText"/>
      </w:pPr>
      <w:r>
        <w:rPr>
          <w:rFonts w:ascii="IRNazanin" w:hAnsi="IRNazanin" w:eastAsia="IRNazanin" w:cs="IRNazanin"/>
          <w:lang w:bidi="fa-IR"/>
          <w:color w:val="111111"/>
          <w:sz w:val="28"/>
          <w:szCs w:val="28"/>
          <w:rtl/>
        </w:rPr>
        <w:t xml:space="preserve">2 .الدر المنثور لحل قلائد النحور</w:t>
      </w:r>
    </w:p>
    <w:p>
      <w:pPr>
        <w:pStyle w:val="BookText"/>
      </w:pPr>
      <w:r>
        <w:rPr>
          <w:rFonts w:ascii="IRNazanin" w:hAnsi="IRNazanin" w:eastAsia="IRNazanin" w:cs="IRNazanin"/>
          <w:lang w:bidi="fa-IR"/>
          <w:color w:val="111111"/>
          <w:sz w:val="28"/>
          <w:szCs w:val="28"/>
          <w:rtl/>
        </w:rPr>
        <w:t xml:space="preserve">(مختصر)، ج 7، ص 347.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عقائد الجمان، ج11، ص 148</w:t>
      </w:r>
    </w:p>
    <w:p>
      <w:pPr>
        <w:pStyle w:val="BookText"/>
      </w:pPr>
      <w:r>
        <w:rPr>
          <w:rFonts w:ascii="Amiri" w:hAnsi="Amiri" w:eastAsia="Amiri" w:cs="Amiri"/>
          <w:lang w:bidi="ar-SA"/>
          <w:color w:val="111111"/>
          <w:sz w:val="28"/>
          <w:szCs w:val="28"/>
          <w:rtl/>
        </w:rPr>
        <w:t xml:space="preserve">4 .عقد الجوهرية في الالغاز الفقهية</w:t>
      </w:r>
    </w:p>
    <w:p>
      <w:pPr>
        <w:pStyle w:val="BookText"/>
      </w:pPr>
      <w:r>
        <w:rPr>
          <w:rFonts w:ascii="Amiri" w:hAnsi="Amiri" w:eastAsia="Amiri" w:cs="Amiri"/>
          <w:lang w:bidi="ar-SA"/>
          <w:color w:val="111111"/>
          <w:sz w:val="28"/>
          <w:szCs w:val="28"/>
          <w:rtl/>
        </w:rPr>
        <w:t xml:space="preserve">(ارجوزة)، ج 11، ص 161.</w:t>
      </w:r>
    </w:p>
    <w:p>
      <w:pPr>
        <w:pStyle w:val="BookText"/>
      </w:pPr>
      <w:r>
        <w:rPr>
          <w:rFonts w:ascii="Amiri" w:hAnsi="Amiri" w:eastAsia="Amiri" w:cs="Amiri"/>
          <w:lang w:bidi="ar-SA"/>
          <w:color w:val="111111"/>
          <w:sz w:val="28"/>
          <w:szCs w:val="28"/>
          <w:rtl/>
        </w:rPr>
        <w:t xml:space="preserve">5 .مختصر شرح ابن حجر للاربعين</w:t>
      </w:r>
    </w:p>
    <w:p>
      <w:pPr>
        <w:pStyle w:val="BookText"/>
      </w:pPr>
      <w:r>
        <w:rPr>
          <w:rFonts w:ascii="Amiri" w:hAnsi="Amiri" w:eastAsia="Amiri" w:cs="Amiri"/>
          <w:lang w:bidi="ar-SA"/>
          <w:color w:val="111111"/>
          <w:sz w:val="28"/>
          <w:szCs w:val="28"/>
          <w:rtl/>
        </w:rPr>
        <w:t xml:space="preserve">النووية، ج 14، ص 198.</w:t>
      </w:r>
    </w:p>
    <w:p>
      <w:pPr>
        <w:pStyle w:val="BookText"/>
      </w:pPr>
      <w:r>
        <w:rPr>
          <w:rFonts w:ascii="Amiri" w:hAnsi="Amiri" w:eastAsia="Amiri" w:cs="Amiri"/>
          <w:lang w:bidi="ar-SA"/>
          <w:color w:val="111111"/>
          <w:sz w:val="28"/>
          <w:szCs w:val="28"/>
          <w:rtl/>
        </w:rPr>
        <w:t xml:space="preserve">6 .المنظومة الدرية بمدح سيد البرية =</w:t>
      </w:r>
    </w:p>
    <w:p>
      <w:pPr>
        <w:pStyle w:val="BookText"/>
      </w:pPr>
      <w:r>
        <w:rPr>
          <w:rFonts w:ascii="Amiri" w:hAnsi="Amiri" w:eastAsia="Amiri" w:cs="Amiri"/>
          <w:lang w:bidi="ar-SA"/>
          <w:color w:val="111111"/>
          <w:sz w:val="28"/>
          <w:szCs w:val="28"/>
          <w:rtl/>
        </w:rPr>
        <w:t xml:space="preserve">بديعية، ج 15، ص 720.</w:t>
      </w:r>
    </w:p>
    <w:p>
      <w:pPr>
        <w:pStyle w:val="BookText"/>
      </w:pPr>
      <w:r>
        <w:rPr>
          <w:rFonts w:ascii="Amiri" w:hAnsi="Amiri" w:eastAsia="Amiri" w:cs="Amiri"/>
          <w:lang w:bidi="ar-SA"/>
          <w:color w:val="111111"/>
          <w:sz w:val="28"/>
          <w:szCs w:val="28"/>
          <w:rtl/>
        </w:rPr>
        <w:t xml:space="preserve">عميد الدين ، عبد المطلب بن مجد الدين- اعرجي حلي ، عبد المطلب بن محمّد</w:t>
      </w:r>
    </w:p>
    <w:p>
      <w:pPr>
        <w:pStyle w:val="BookText"/>
      </w:pPr>
      <w:r>
        <w:rPr>
          <w:rFonts w:ascii="Amiri" w:hAnsi="Amiri" w:eastAsia="Amiri" w:cs="Amiri"/>
          <w:lang w:bidi="ar-SA"/>
          <w:color w:val="111111"/>
          <w:sz w:val="28"/>
          <w:szCs w:val="28"/>
          <w:rtl/>
        </w:rPr>
        <w:t xml:space="preserve">عميد تبريزي -نير ممقاني ، محمّد تقي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عميد طغرائي ، حسين بن علي - طغرائي</w:t>
      </w:r>
    </w:p>
    <w:p>
      <w:pPr>
        <w:pStyle w:val="BookText"/>
      </w:pPr>
      <w:r>
        <w:rPr>
          <w:rFonts w:ascii="Amiri" w:hAnsi="Amiri" w:eastAsia="Amiri" w:cs="Amiri"/>
          <w:lang w:bidi="ar-SA"/>
          <w:color w:val="111111"/>
          <w:sz w:val="28"/>
          <w:szCs w:val="28"/>
          <w:rtl/>
        </w:rPr>
        <w:t xml:space="preserve">حسين بن علي</w:t>
      </w:r>
    </w:p>
    <w:p>
      <w:pPr>
        <w:pStyle w:val="BookText"/>
      </w:pPr>
      <w:r>
        <w:rPr>
          <w:rFonts w:ascii="Amiri" w:hAnsi="Amiri" w:eastAsia="Amiri" w:cs="Amiri"/>
          <w:lang w:bidi="ar-SA"/>
          <w:color w:val="111111"/>
          <w:sz w:val="28"/>
          <w:szCs w:val="28"/>
          <w:rtl/>
        </w:rPr>
        <w:t xml:space="preserve">عميد ، علي بن محمّد -ابوالفتح بستي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عميدي ، حسين- عميدي حسيني ، حسين</w:t>
      </w:r>
    </w:p>
    <w:p>
      <w:pPr>
        <w:pStyle w:val="Heading2"/>
      </w:pPr>
      <w:bookmarkStart w:id="6148" w:name="_Toc5250"/>
      <w:r>
        <w:t>عميدي حسيني ، حسين قرن 10 ه-</w:t>
      </w:r>
      <w:bookmarkEnd w:id="6148"/>
    </w:p>
    <w:p>
      <w:pPr>
        <w:pStyle w:val="BookText"/>
      </w:pPr>
      <w:r>
        <w:rPr>
          <w:rFonts w:ascii="Amiri" w:hAnsi="Amiri" w:eastAsia="Amiri" w:cs="Amiri"/>
          <w:lang w:bidi="ar-SA"/>
          <w:color w:val="111111"/>
          <w:sz w:val="28"/>
          <w:szCs w:val="28"/>
          <w:rtl/>
        </w:rPr>
        <w:t xml:space="preserve">شرح تهذيب الوصول إلى علم</w:t>
      </w:r>
    </w:p>
    <w:p>
      <w:pPr>
        <w:pStyle w:val="BookText"/>
      </w:pPr>
      <w:r>
        <w:rPr>
          <w:rFonts w:ascii="IRNazanin" w:hAnsi="IRNazanin" w:eastAsia="IRNazanin" w:cs="IRNazanin"/>
          <w:lang w:bidi="fa-IR"/>
          <w:color w:val="111111"/>
          <w:sz w:val="28"/>
          <w:szCs w:val="28"/>
          <w:rtl/>
        </w:rPr>
        <w:t xml:space="preserve">الاصول، ج9، ص 354.</w:t>
      </w:r>
    </w:p>
    <w:p>
      <w:pPr>
        <w:pStyle w:val="BookText"/>
      </w:pPr>
      <w:r>
        <w:rPr>
          <w:rFonts w:ascii="Amiri" w:hAnsi="Amiri" w:eastAsia="Amiri" w:cs="Amiri"/>
          <w:lang w:bidi="ar-SA"/>
          <w:color w:val="111111"/>
          <w:sz w:val="28"/>
          <w:szCs w:val="28"/>
          <w:rtl/>
        </w:rPr>
        <w:t xml:space="preserve">عميدي ، عبد المطلب بن محمّد- اعرجي</w:t>
      </w:r>
    </w:p>
    <w:p>
      <w:pPr>
        <w:pStyle w:val="BookText"/>
      </w:pPr>
      <w:r>
        <w:rPr>
          <w:rFonts w:ascii="Amiri" w:hAnsi="Amiri" w:eastAsia="Amiri" w:cs="Amiri"/>
          <w:lang w:bidi="ar-SA"/>
          <w:color w:val="111111"/>
          <w:sz w:val="28"/>
          <w:szCs w:val="28"/>
          <w:rtl/>
        </w:rPr>
        <w:t xml:space="preserve">حلي ، عبد المطلب بن محمّد</w:t>
      </w:r>
    </w:p>
    <w:p>
      <w:pPr>
        <w:pStyle w:val="Heading2"/>
      </w:pPr>
      <w:bookmarkStart w:id="6149" w:name="_Toc5251"/>
      <w:r>
        <w:t>عميدي ، محمّد بن احمد - 433 ه-</w:t>
      </w:r>
      <w:bookmarkEnd w:id="6149"/>
    </w:p>
    <w:p>
      <w:pPr>
        <w:pStyle w:val="BookText"/>
      </w:pPr>
      <w:r>
        <w:rPr>
          <w:rFonts w:ascii="Amiri" w:hAnsi="Amiri" w:eastAsia="Amiri" w:cs="Amiri"/>
          <w:lang w:bidi="ar-SA"/>
          <w:color w:val="111111"/>
          <w:sz w:val="28"/>
          <w:szCs w:val="28"/>
          <w:rtl/>
        </w:rPr>
        <w:t xml:space="preserve">الإبانة عن سرقات المتنبي = سرقات</w:t>
      </w:r>
    </w:p>
    <w:p>
      <w:pPr>
        <w:pStyle w:val="BookText"/>
      </w:pPr>
      <w:r>
        <w:rPr>
          <w:rFonts w:ascii="Amiri" w:hAnsi="Amiri" w:eastAsia="Amiri" w:cs="Amiri"/>
          <w:lang w:bidi="ar-SA"/>
          <w:color w:val="111111"/>
          <w:sz w:val="28"/>
          <w:szCs w:val="28"/>
          <w:rtl/>
        </w:rPr>
        <w:t xml:space="preserve">ابي الطيب المتنبي فيما نظمه من الشعر، ج 1، ص 86.</w:t>
      </w:r>
    </w:p>
    <w:p>
      <w:pPr>
        <w:pStyle w:val="Heading2"/>
      </w:pPr>
      <w:bookmarkStart w:id="6150" w:name="_Toc5252"/>
      <w:r>
        <w:t>عميدي ، محمّد بن محمّد، - 615 ه-</w:t>
      </w:r>
      <w:bookmarkEnd w:id="6150"/>
    </w:p>
    <w:p>
      <w:pPr>
        <w:pStyle w:val="BookText"/>
      </w:pPr>
      <w:r>
        <w:rPr>
          <w:rFonts w:ascii="Amiri" w:hAnsi="Amiri" w:eastAsia="Amiri" w:cs="Amiri"/>
          <w:lang w:bidi="ar-SA"/>
          <w:color w:val="111111"/>
          <w:sz w:val="28"/>
          <w:szCs w:val="28"/>
          <w:rtl/>
        </w:rPr>
        <w:t xml:space="preserve">1 .الاربعون حديثا، ج 1، ص 683 .</w:t>
      </w:r>
    </w:p>
    <w:p>
      <w:pPr>
        <w:pStyle w:val="BookText"/>
      </w:pPr>
      <w:r>
        <w:rPr>
          <w:rFonts w:ascii="Amiri" w:hAnsi="Amiri" w:eastAsia="Amiri" w:cs="Amiri"/>
          <w:lang w:bidi="ar-SA"/>
          <w:color w:val="111111"/>
          <w:sz w:val="28"/>
          <w:szCs w:val="28"/>
          <w:rtl/>
        </w:rPr>
        <w:t xml:space="preserve">2 .الارشاد في علم الخلاف والجدل</w:t>
      </w:r>
    </w:p>
    <w:p>
      <w:pPr>
        <w:pStyle w:val="BookText"/>
      </w:pPr>
      <w:r>
        <w:rPr>
          <w:rFonts w:ascii="IRNazanin" w:hAnsi="IRNazanin" w:eastAsia="IRNazanin" w:cs="IRNazanin"/>
          <w:lang w:bidi="fa-IR"/>
          <w:color w:val="111111"/>
          <w:sz w:val="28"/>
          <w:szCs w:val="28"/>
          <w:rtl/>
        </w:rPr>
        <w:t xml:space="preserve">ج 2، ص 40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مرآة المعاني في ادراك العالم الانساني</w:t>
      </w:r>
    </w:p>
    <w:p>
      <w:pPr>
        <w:pStyle w:val="BookText"/>
      </w:pPr>
      <w:r>
        <w:rPr>
          <w:rFonts w:ascii="Amiri" w:hAnsi="Amiri" w:eastAsia="Amiri" w:cs="Amiri"/>
          <w:lang w:bidi="ar-SA"/>
          <w:color w:val="111111"/>
          <w:sz w:val="28"/>
          <w:szCs w:val="28"/>
          <w:rtl/>
        </w:rPr>
        <w:t xml:space="preserve">= حوض الحيات = حيات المعاني</w:t>
      </w:r>
    </w:p>
    <w:p>
      <w:pPr>
        <w:pStyle w:val="BookText"/>
      </w:pPr>
      <w:r>
        <w:rPr>
          <w:rFonts w:ascii="IRNazanin" w:hAnsi="IRNazanin" w:eastAsia="IRNazanin" w:cs="IRNazanin"/>
          <w:lang w:bidi="fa-IR"/>
          <w:color w:val="111111"/>
          <w:sz w:val="28"/>
          <w:szCs w:val="28"/>
          <w:rtl/>
        </w:rPr>
        <w:t xml:space="preserve">ج 14، ص 363.</w:t>
      </w:r>
    </w:p>
    <w:p>
      <w:pPr>
        <w:pStyle w:val="BookText"/>
      </w:pPr>
      <w:r>
        <w:rPr>
          <w:rFonts w:ascii="Amiri" w:hAnsi="Amiri" w:eastAsia="Amiri" w:cs="Amiri"/>
          <w:lang w:bidi="ar-SA"/>
          <w:color w:val="111111"/>
          <w:sz w:val="28"/>
          <w:szCs w:val="28"/>
          <w:rtl/>
        </w:rPr>
        <w:t xml:space="preserve">عميرة برلسي ، احمد بن محمّد- ابن امام ،</w:t>
      </w:r>
    </w:p>
    <w:p>
      <w:pPr>
        <w:pStyle w:val="BookText"/>
      </w:pPr>
      <w:r>
        <w:rPr>
          <w:rFonts w:ascii="IRNazanin" w:hAnsi="IRNazanin" w:eastAsia="IRNazanin" w:cs="IRNazanin"/>
          <w:lang w:bidi="fa-IR"/>
          <w:color w:val="111111"/>
          <w:sz w:val="28"/>
          <w:szCs w:val="28"/>
          <w:rtl/>
        </w:rPr>
        <w:t xml:space="preserve">احمد بن محمّد</w:t>
      </w:r>
    </w:p>
    <w:p>
      <w:pPr>
        <w:pStyle w:val="Heading2"/>
      </w:pPr>
      <w:bookmarkStart w:id="6151" w:name="_Toc5253"/>
      <w:r>
        <w:t>عميري ، شهاب الدین احمد</w:t>
      </w:r>
      <w:bookmarkEnd w:id="6151"/>
    </w:p>
    <w:p>
      <w:pPr>
        <w:pStyle w:val="BookText"/>
      </w:pPr>
      <w:r>
        <w:rPr>
          <w:rFonts w:ascii="Amiri" w:hAnsi="Amiri" w:eastAsia="Amiri" w:cs="Amiri"/>
          <w:lang w:bidi="ar-SA"/>
          <w:color w:val="111111"/>
          <w:sz w:val="28"/>
          <w:szCs w:val="28"/>
          <w:rtl/>
        </w:rPr>
        <w:t xml:space="preserve">حديث، ج 6، ص 562.</w:t>
      </w:r>
    </w:p>
    <w:p>
      <w:pPr>
        <w:pStyle w:val="BookText"/>
      </w:pPr>
      <w:r>
        <w:rPr>
          <w:rFonts w:ascii="IRNazanin" w:hAnsi="IRNazanin" w:eastAsia="IRNazanin" w:cs="IRNazanin"/>
          <w:lang w:bidi="fa-IR"/>
          <w:color w:val="111111"/>
          <w:sz w:val="28"/>
          <w:szCs w:val="28"/>
          <w:rtl/>
        </w:rPr>
        <w:t xml:space="preserve">عناية الله بن علي بن محمود قهپائي- قهبائي ، عناية الله بن علي</w:t>
      </w:r>
    </w:p>
    <w:p>
      <w:pPr>
        <w:pStyle w:val="Heading2"/>
      </w:pPr>
      <w:bookmarkStart w:id="6152" w:name="_Toc5254"/>
      <w:r>
        <w:t>عنتابي ، محمود بن ،احمد 9812 - 902 ه-</w:t>
      </w:r>
      <w:bookmarkEnd w:id="6152"/>
    </w:p>
    <w:p>
      <w:pPr>
        <w:pStyle w:val="BookText"/>
      </w:pPr>
      <w:r>
        <w:rPr>
          <w:rFonts w:ascii="Amiri" w:hAnsi="Amiri" w:eastAsia="Amiri" w:cs="Amiri"/>
          <w:lang w:bidi="ar-SA"/>
          <w:color w:val="111111"/>
          <w:sz w:val="28"/>
          <w:szCs w:val="28"/>
          <w:rtl/>
        </w:rPr>
        <w:t xml:space="preserve">الاسفار عن حكم الاسفار، ج 2،</w:t>
      </w:r>
    </w:p>
    <w:p>
      <w:pPr>
        <w:pStyle w:val="BookText"/>
      </w:pPr>
      <w:r>
        <w:rPr>
          <w:rFonts w:ascii="IRNazanin" w:hAnsi="IRNazanin" w:eastAsia="IRNazanin" w:cs="IRNazanin"/>
          <w:lang w:bidi="fa-IR"/>
          <w:color w:val="111111"/>
          <w:sz w:val="28"/>
          <w:szCs w:val="28"/>
          <w:rtl/>
        </w:rPr>
        <w:t xml:space="preserve">ص 203.</w:t>
      </w:r>
    </w:p>
    <w:p>
      <w:pPr>
        <w:pStyle w:val="Heading2"/>
      </w:pPr>
      <w:bookmarkStart w:id="6153" w:name="_Toc5255"/>
      <w:r>
        <w:t>عنترة بن شداد - 22 ه-</w:t>
      </w:r>
      <w:bookmarkEnd w:id="6153"/>
    </w:p>
    <w:p>
      <w:pPr>
        <w:pStyle w:val="BookText"/>
      </w:pPr>
      <w:r>
        <w:rPr>
          <w:rFonts w:ascii="Amiri" w:hAnsi="Amiri" w:eastAsia="Amiri" w:cs="Amiri"/>
          <w:lang w:bidi="ar-SA"/>
          <w:color w:val="111111"/>
          <w:sz w:val="28"/>
          <w:szCs w:val="28"/>
          <w:rtl/>
        </w:rPr>
        <w:t xml:space="preserve">1 .ديوان عنتره، ج 7، ص728</w:t>
      </w:r>
    </w:p>
    <w:p>
      <w:pPr>
        <w:pStyle w:val="BookText"/>
      </w:pPr>
      <w:r>
        <w:rPr>
          <w:rFonts w:ascii="Amiri" w:hAnsi="Amiri" w:eastAsia="Amiri" w:cs="Amiri"/>
          <w:lang w:bidi="ar-SA"/>
          <w:color w:val="111111"/>
          <w:sz w:val="28"/>
          <w:szCs w:val="28"/>
          <w:rtl/>
        </w:rPr>
        <w:t xml:space="preserve">2 .سيرة عنترة بن شداد = السيرة</w:t>
      </w:r>
    </w:p>
    <w:p>
      <w:pPr>
        <w:pStyle w:val="BookText"/>
      </w:pPr>
      <w:r>
        <w:rPr>
          <w:rFonts w:ascii="Amiri" w:hAnsi="Amiri" w:eastAsia="Amiri" w:cs="Amiri"/>
          <w:lang w:bidi="ar-SA"/>
          <w:color w:val="111111"/>
          <w:sz w:val="28"/>
          <w:szCs w:val="28"/>
          <w:rtl/>
        </w:rPr>
        <w:t xml:space="preserve">الحجازية، ج 9، ص18.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15" w:name="pg7742_70896"/>
    <w:bookmarkEnd w:id="815"/>
    <w:p>
      <w:pPr>
        <w:pStyle w:val="Heading2"/>
      </w:pPr>
      <w:bookmarkStart w:id="6154" w:name="_Toc5256"/>
      <w:r>
        <w:t>عنزي ، عبدالله بن علي</w:t>
      </w:r>
      <w:bookmarkEnd w:id="6154"/>
    </w:p>
    <w:p>
      <w:pPr>
        <w:pStyle w:val="BookText"/>
      </w:pPr>
      <w:r>
        <w:rPr>
          <w:rFonts w:ascii="Amiri" w:hAnsi="Amiri" w:eastAsia="Amiri" w:cs="Amiri"/>
          <w:lang w:bidi="ar-SA"/>
          <w:color w:val="111111"/>
          <w:sz w:val="28"/>
          <w:szCs w:val="28"/>
          <w:rtl/>
        </w:rPr>
        <w:t xml:space="preserve">أرجوزة، ج 1، ص 762.</w:t>
      </w:r>
    </w:p>
    <w:p>
      <w:pPr>
        <w:pStyle w:val="Heading2"/>
      </w:pPr>
      <w:bookmarkStart w:id="6155" w:name="_Toc5257"/>
      <w:r>
        <w:t>عنصر المعالي ، كيكاوس بن اسكندر</w:t>
      </w:r>
      <w:bookmarkEnd w:id="6155"/>
    </w:p>
    <w:p>
      <w:pPr>
        <w:pStyle w:val="BookText"/>
      </w:pPr>
      <w:r>
        <w:rPr>
          <w:rFonts w:ascii="IRNazanin" w:hAnsi="IRNazanin" w:eastAsia="IRNazanin" w:cs="IRNazanin"/>
          <w:lang w:bidi="fa-IR"/>
          <w:color w:val="111111"/>
          <w:sz w:val="28"/>
          <w:szCs w:val="28"/>
          <w:rtl/>
        </w:rPr>
        <w:t xml:space="preserve">462 ه-</w:t>
      </w:r>
    </w:p>
    <w:p>
      <w:pPr>
        <w:pStyle w:val="BookText"/>
      </w:pPr>
      <w:r>
        <w:rPr>
          <w:rFonts w:ascii="IRNazanin" w:hAnsi="IRNazanin" w:eastAsia="IRNazanin" w:cs="IRNazanin"/>
          <w:lang w:bidi="fa-IR"/>
          <w:color w:val="111111"/>
          <w:sz w:val="28"/>
          <w:szCs w:val="28"/>
          <w:rtl/>
        </w:rPr>
        <w:t xml:space="preserve">1 .قابوسنامه = نصیحت نامه، ج12</w:t>
      </w:r>
    </w:p>
    <w:p>
      <w:pPr>
        <w:pStyle w:val="BookText"/>
      </w:pPr>
      <w:r>
        <w:rPr>
          <w:rFonts w:ascii="IRNazanin" w:hAnsi="IRNazanin" w:eastAsia="IRNazanin" w:cs="IRNazanin"/>
          <w:lang w:bidi="fa-IR"/>
          <w:color w:val="111111"/>
          <w:sz w:val="28"/>
          <w:szCs w:val="28"/>
          <w:rtl/>
        </w:rPr>
        <w:t xml:space="preserve">ص 325.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كمال البلاغة، ج13، ص389.</w:t>
      </w:r>
    </w:p>
    <w:p>
      <w:pPr>
        <w:pStyle w:val="Heading2"/>
      </w:pPr>
      <w:bookmarkStart w:id="6156" w:name="_Toc5258"/>
      <w:r>
        <w:t>عواد ، كوركيس 1908م</w:t>
      </w:r>
      <w:bookmarkEnd w:id="6156"/>
    </w:p>
    <w:p>
      <w:pPr>
        <w:pStyle w:val="BookText"/>
      </w:pPr>
      <w:r>
        <w:rPr>
          <w:rFonts w:ascii="Amiri" w:hAnsi="Amiri" w:eastAsia="Amiri" w:cs="Amiri"/>
          <w:lang w:bidi="ar-SA"/>
          <w:color w:val="111111"/>
          <w:sz w:val="28"/>
          <w:szCs w:val="28"/>
          <w:rtl/>
        </w:rPr>
        <w:t xml:space="preserve">ذخائر التراث العربي في مكتبة جستربيتي - دبلن، ج 7، ص 813.</w:t>
      </w:r>
    </w:p>
    <w:p>
      <w:pPr>
        <w:pStyle w:val="Heading2"/>
      </w:pPr>
      <w:bookmarkStart w:id="6157" w:name="_Toc5259"/>
      <w:r>
        <w:t>عواد محمّد جواد بن عبد الرضا قرن 12ه-</w:t>
      </w:r>
      <w:bookmarkEnd w:id="6157"/>
    </w:p>
    <w:p>
      <w:pPr>
        <w:pStyle w:val="BookText"/>
      </w:pPr>
      <w:r>
        <w:rPr>
          <w:rFonts w:ascii="IRNazanin" w:hAnsi="IRNazanin" w:eastAsia="IRNazanin" w:cs="IRNazanin"/>
          <w:lang w:bidi="fa-IR"/>
          <w:color w:val="111111"/>
          <w:sz w:val="28"/>
          <w:szCs w:val="28"/>
          <w:rtl/>
        </w:rPr>
        <w:t xml:space="preserve">دیوان محمّد جواد، ج 7، ص 765</w:t>
      </w:r>
    </w:p>
    <w:p>
      <w:pPr>
        <w:pStyle w:val="BookText"/>
      </w:pPr>
      <w:r>
        <w:rPr>
          <w:rFonts w:ascii="Amiri" w:hAnsi="Amiri" w:eastAsia="Amiri" w:cs="Amiri"/>
          <w:lang w:bidi="ar-SA"/>
          <w:color w:val="111111"/>
          <w:sz w:val="28"/>
          <w:szCs w:val="28"/>
          <w:rtl/>
        </w:rPr>
        <w:t xml:space="preserve">عودي ، ناصر الدين- كلبي عودي ،</w:t>
      </w:r>
    </w:p>
    <w:p>
      <w:pPr>
        <w:pStyle w:val="BookText"/>
      </w:pPr>
      <w:r>
        <w:rPr>
          <w:rFonts w:ascii="IRNazanin" w:hAnsi="IRNazanin" w:eastAsia="IRNazanin" w:cs="IRNazanin"/>
          <w:lang w:bidi="fa-IR"/>
          <w:color w:val="111111"/>
          <w:sz w:val="28"/>
          <w:szCs w:val="28"/>
          <w:rtl/>
        </w:rPr>
        <w:t xml:space="preserve">ناصر الدین</w:t>
      </w:r>
    </w:p>
    <w:p>
      <w:pPr>
        <w:pStyle w:val="Heading2"/>
      </w:pPr>
      <w:bookmarkStart w:id="6158" w:name="_Toc5260"/>
      <w:r>
        <w:t>عوض افندي</w:t>
      </w:r>
      <w:bookmarkEnd w:id="6158"/>
    </w:p>
    <w:p>
      <w:pPr>
        <w:pStyle w:val="BookText"/>
      </w:pPr>
      <w:r>
        <w:rPr>
          <w:rFonts w:ascii="IRNazanin" w:hAnsi="IRNazanin" w:eastAsia="IRNazanin" w:cs="IRNazanin"/>
          <w:lang w:bidi="fa-IR"/>
          <w:color w:val="111111"/>
          <w:sz w:val="28"/>
          <w:szCs w:val="28"/>
          <w:rtl/>
        </w:rPr>
        <w:t xml:space="preserve">اضافة الكتاب إلى الطهارة رسالة في بیان، ج 2، ص 470 .</w:t>
      </w:r>
    </w:p>
    <w:p>
      <w:pPr>
        <w:pStyle w:val="BookText"/>
      </w:pPr>
      <w:r>
        <w:rPr>
          <w:rFonts w:ascii="Amiri" w:hAnsi="Amiri" w:eastAsia="Amiri" w:cs="Amiri"/>
          <w:lang w:bidi="ar-SA"/>
          <w:color w:val="111111"/>
          <w:sz w:val="28"/>
          <w:szCs w:val="28"/>
          <w:rtl/>
        </w:rPr>
        <w:t xml:space="preserve">عوضي ، حسن بن علي -بدري ، حسن بن علي</w:t>
      </w:r>
    </w:p>
    <w:p>
      <w:pPr>
        <w:pStyle w:val="BookText"/>
      </w:pPr>
      <w:r>
        <w:rPr>
          <w:rFonts w:ascii="Amiri" w:hAnsi="Amiri" w:eastAsia="Amiri" w:cs="Amiri"/>
          <w:lang w:bidi="ar-SA"/>
          <w:color w:val="111111"/>
          <w:sz w:val="28"/>
          <w:szCs w:val="28"/>
          <w:rtl/>
        </w:rPr>
        <w:t xml:space="preserve">عوفي عبد البر بن عبد القادر- فيومي</w:t>
      </w:r>
    </w:p>
    <w:p>
      <w:pPr>
        <w:pStyle w:val="BookText"/>
      </w:pPr>
      <w:r>
        <w:rPr>
          <w:rFonts w:ascii="IRNazanin" w:hAnsi="IRNazanin" w:eastAsia="IRNazanin" w:cs="IRNazanin"/>
          <w:lang w:bidi="fa-IR"/>
          <w:color w:val="111111"/>
          <w:sz w:val="28"/>
          <w:szCs w:val="28"/>
          <w:rtl/>
        </w:rPr>
        <w:t xml:space="preserve">عبدالبر بن عبدالقادر</w:t>
      </w:r>
    </w:p>
    <w:p>
      <w:pPr>
        <w:pStyle w:val="BookText"/>
      </w:pPr>
      <w:r>
        <w:rPr>
          <w:rFonts w:ascii="Amiri" w:hAnsi="Amiri" w:eastAsia="Amiri" w:cs="Amiri"/>
          <w:lang w:bidi="ar-SA"/>
          <w:color w:val="111111"/>
          <w:sz w:val="28"/>
          <w:szCs w:val="28"/>
          <w:rtl/>
        </w:rPr>
        <w:t xml:space="preserve">عوفي ، قاسم بن ثابت - سرقسطي ، قاسم بن ثابت</w:t>
      </w:r>
    </w:p>
    <w:p>
      <w:pPr>
        <w:pStyle w:val="Heading2"/>
      </w:pPr>
      <w:bookmarkStart w:id="6159" w:name="_Toc5261"/>
      <w:r>
        <w:t>عوفي ، محمّد بن احمد - 1050 ه-</w:t>
      </w:r>
      <w:bookmarkEnd w:id="6159"/>
    </w:p>
    <w:p>
      <w:pPr>
        <w:pStyle w:val="BookText"/>
      </w:pPr>
      <w:r>
        <w:rPr>
          <w:rFonts w:ascii="Amiri" w:hAnsi="Amiri" w:eastAsia="Amiri" w:cs="Amiri"/>
          <w:lang w:bidi="ar-SA"/>
          <w:color w:val="111111"/>
          <w:sz w:val="28"/>
          <w:szCs w:val="28"/>
          <w:rtl/>
        </w:rPr>
        <w:t xml:space="preserve">شفاء الظمان و ضياء العرفان، ج 10،</w:t>
      </w:r>
    </w:p>
    <w:p>
      <w:pPr>
        <w:pStyle w:val="BookText"/>
      </w:pPr>
      <w:r>
        <w:rPr>
          <w:rFonts w:ascii="IRNazanin" w:hAnsi="IRNazanin" w:eastAsia="IRNazanin" w:cs="IRNazanin"/>
          <w:lang w:bidi="fa-IR"/>
          <w:color w:val="111111"/>
          <w:sz w:val="28"/>
          <w:szCs w:val="28"/>
          <w:rtl/>
        </w:rPr>
        <w:t xml:space="preserve">ص 386.</w:t>
      </w:r>
    </w:p>
    <w:p>
      <w:pPr>
        <w:pStyle w:val="BookText"/>
      </w:pPr>
      <w:r>
        <w:rPr>
          <w:rFonts w:ascii="Amiri" w:hAnsi="Amiri" w:eastAsia="Amiri" w:cs="Amiri"/>
          <w:lang w:bidi="ar-SA"/>
          <w:color w:val="111111"/>
          <w:sz w:val="28"/>
          <w:szCs w:val="28"/>
          <w:rtl/>
        </w:rPr>
        <w:t xml:space="preserve">عون الدين شيباني ، يحيى بن محمّد- ابن</w:t>
      </w:r>
    </w:p>
    <w:p>
      <w:pPr>
        <w:pStyle w:val="BookText"/>
      </w:pPr>
      <w:r>
        <w:rPr>
          <w:rFonts w:ascii="Amiri" w:hAnsi="Amiri" w:eastAsia="Amiri" w:cs="Amiri"/>
          <w:lang w:bidi="ar-SA"/>
          <w:color w:val="111111"/>
          <w:sz w:val="28"/>
          <w:szCs w:val="28"/>
          <w:rtl/>
        </w:rPr>
        <w:t xml:space="preserve">هبيره ، يحيى بن محمّد</w:t>
      </w:r>
    </w:p>
    <w:p>
      <w:pPr>
        <w:pStyle w:val="BookText"/>
      </w:pPr>
      <w:r>
        <w:rPr>
          <w:rFonts w:ascii="Amiri" w:hAnsi="Amiri" w:eastAsia="Amiri" w:cs="Amiri"/>
          <w:lang w:bidi="ar-SA"/>
          <w:color w:val="111111"/>
          <w:sz w:val="28"/>
          <w:szCs w:val="28"/>
          <w:rtl/>
        </w:rPr>
        <w:t xml:space="preserve">عوني بكر صدقي- صدقي ، عوني بكر</w:t>
      </w:r>
    </w:p>
    <w:p>
      <w:pPr>
        <w:pStyle w:val="BookText"/>
      </w:pPr>
      <w:r>
        <w:rPr>
          <w:rFonts w:ascii="Amiri" w:hAnsi="Amiri" w:eastAsia="Amiri" w:cs="Amiri"/>
          <w:lang w:bidi="ar-SA"/>
          <w:color w:val="111111"/>
          <w:sz w:val="28"/>
          <w:szCs w:val="28"/>
          <w:rtl/>
        </w:rPr>
        <w:t xml:space="preserve">عوني ، سلمة بن مسلم -عويني ، سلمة بن</w:t>
      </w:r>
    </w:p>
    <w:p>
      <w:pPr>
        <w:pStyle w:val="BookText"/>
      </w:pPr>
      <w:r>
        <w:rPr>
          <w:rFonts w:ascii="IRNazanin" w:hAnsi="IRNazanin" w:eastAsia="IRNazanin" w:cs="IRNazanin"/>
          <w:lang w:bidi="fa-IR"/>
          <w:color w:val="111111"/>
          <w:sz w:val="28"/>
          <w:szCs w:val="28"/>
          <w:rtl/>
        </w:rPr>
        <w:t xml:space="preserve">مسلم</w:t>
      </w:r>
    </w:p>
    <w:p>
      <w:pPr>
        <w:pStyle w:val="BookText"/>
      </w:pPr>
      <w:r>
        <w:rPr>
          <w:rFonts w:ascii="Amiri" w:hAnsi="Amiri" w:eastAsia="Amiri" w:cs="Amiri"/>
          <w:lang w:bidi="ar-SA"/>
          <w:color w:val="111111"/>
          <w:sz w:val="28"/>
          <w:szCs w:val="28"/>
          <w:rtl/>
        </w:rPr>
        <w:t xml:space="preserve">عياش جوهري ، ابوعبدالله احمد -جوهري</w:t>
      </w:r>
    </w:p>
    <w:p>
      <w:pPr>
        <w:pStyle w:val="BookText"/>
      </w:pPr>
      <w:r>
        <w:rPr>
          <w:rFonts w:ascii="IRNazanin" w:hAnsi="IRNazanin" w:eastAsia="IRNazanin" w:cs="IRNazanin"/>
          <w:lang w:bidi="fa-IR"/>
          <w:color w:val="111111"/>
          <w:sz w:val="28"/>
          <w:szCs w:val="28"/>
          <w:rtl/>
        </w:rPr>
        <w:t xml:space="preserve">، احمد بن محمّد</w:t>
      </w:r>
    </w:p>
    <w:p>
      <w:pPr>
        <w:pStyle w:val="Heading2"/>
      </w:pPr>
      <w:bookmarkStart w:id="6160" w:name="_Toc5262"/>
      <w:r>
        <w:t>عياشي ، عبدالله</w:t>
      </w:r>
      <w:bookmarkEnd w:id="6160"/>
    </w:p>
    <w:p>
      <w:pPr>
        <w:pStyle w:val="BookText"/>
      </w:pPr>
      <w:r>
        <w:rPr>
          <w:rFonts w:ascii="Amiri" w:hAnsi="Amiri" w:eastAsia="Amiri" w:cs="Amiri"/>
          <w:lang w:bidi="ar-SA"/>
          <w:color w:val="111111"/>
          <w:sz w:val="28"/>
          <w:szCs w:val="28"/>
          <w:rtl/>
        </w:rPr>
        <w:t xml:space="preserve">اللمعة السنية، ج13، ص 621.</w:t>
      </w:r>
    </w:p>
    <w:p>
      <w:pPr>
        <w:pStyle w:val="Heading2"/>
      </w:pPr>
      <w:bookmarkStart w:id="6161" w:name="_Toc5263"/>
      <w:r>
        <w:t>عياشي ، محمّد بن مسعود - 320 ؟ ه-</w:t>
      </w:r>
      <w:bookmarkEnd w:id="6161"/>
    </w:p>
    <w:p>
      <w:pPr>
        <w:pStyle w:val="BookText"/>
      </w:pPr>
      <w:r>
        <w:rPr>
          <w:rFonts w:ascii="Amiri" w:hAnsi="Amiri" w:eastAsia="Amiri" w:cs="Amiri"/>
          <w:lang w:bidi="ar-SA"/>
          <w:color w:val="111111"/>
          <w:sz w:val="28"/>
          <w:szCs w:val="28"/>
          <w:rtl/>
        </w:rPr>
        <w:t xml:space="preserve">تفسير العياشي - تفسير القرآن الكريم</w:t>
      </w:r>
    </w:p>
    <w:p>
      <w:pPr>
        <w:pStyle w:val="BookText"/>
      </w:pPr>
      <w:r>
        <w:rPr>
          <w:rFonts w:ascii="Amiri" w:hAnsi="Amiri" w:eastAsia="Amiri" w:cs="Amiri"/>
          <w:lang w:bidi="ar-SA"/>
          <w:color w:val="111111"/>
          <w:sz w:val="28"/>
          <w:szCs w:val="28"/>
          <w:rtl/>
        </w:rPr>
        <w:t xml:space="preserve">= تفسير عياشي، ج 4، ص 649.</w:t>
      </w:r>
    </w:p>
    <w:p>
      <w:pPr>
        <w:pStyle w:val="BookText"/>
      </w:pPr>
      <w:r>
        <w:rPr>
          <w:rFonts w:ascii="Amiri" w:hAnsi="Amiri" w:eastAsia="Amiri" w:cs="Amiri"/>
          <w:lang w:bidi="ar-SA"/>
          <w:color w:val="111111"/>
          <w:sz w:val="28"/>
          <w:szCs w:val="28"/>
          <w:rtl/>
        </w:rPr>
        <w:t xml:space="preserve">عياض بن موسى- قاضي عياض ، عياض بن موسى</w:t>
      </w:r>
    </w:p>
    <w:p>
      <w:pPr>
        <w:pStyle w:val="BookText"/>
      </w:pPr>
      <w:r>
        <w:rPr>
          <w:rFonts w:ascii="Amiri" w:hAnsi="Amiri" w:eastAsia="Amiri" w:cs="Amiri"/>
          <w:lang w:bidi="ar-SA"/>
          <w:color w:val="111111"/>
          <w:sz w:val="28"/>
          <w:szCs w:val="28"/>
          <w:rtl/>
        </w:rPr>
        <w:t xml:space="preserve">عياض بن موسى بن عياض يحصبي سبتي- قاضي عياض ، عياض بن موسى</w:t>
      </w:r>
    </w:p>
    <w:p>
      <w:pPr>
        <w:pStyle w:val="BookText"/>
      </w:pPr>
      <w:r>
        <w:rPr>
          <w:rFonts w:ascii="Amiri" w:hAnsi="Amiri" w:eastAsia="Amiri" w:cs="Amiri"/>
          <w:lang w:bidi="ar-SA"/>
          <w:color w:val="111111"/>
          <w:sz w:val="28"/>
          <w:szCs w:val="28"/>
          <w:rtl/>
        </w:rPr>
        <w:t xml:space="preserve">عياني شبستري ، ابواسحاق ابراهيم بن</w:t>
      </w:r>
    </w:p>
    <w:p>
      <w:pPr>
        <w:pStyle w:val="BookText"/>
      </w:pPr>
      <w:r>
        <w:rPr>
          <w:rFonts w:ascii="Amiri" w:hAnsi="Amiri" w:eastAsia="Amiri" w:cs="Amiri"/>
          <w:lang w:bidi="ar-SA"/>
          <w:color w:val="111111"/>
          <w:sz w:val="28"/>
          <w:szCs w:val="28"/>
          <w:rtl/>
        </w:rPr>
        <w:t xml:space="preserve">عبد الله -سيبويه ثاني ، ابراهيم بن حسن</w:t>
      </w:r>
    </w:p>
    <w:p>
      <w:pPr>
        <w:pStyle w:val="BookText"/>
      </w:pPr>
      <w:r>
        <w:rPr>
          <w:rFonts w:ascii="Amiri" w:hAnsi="Amiri" w:eastAsia="Amiri" w:cs="Amiri"/>
          <w:lang w:bidi="ar-SA"/>
          <w:color w:val="111111"/>
          <w:sz w:val="28"/>
          <w:szCs w:val="28"/>
          <w:rtl/>
        </w:rPr>
        <w:t xml:space="preserve">عياني ، ابراهيم بن حسن -سيبويه ثاني</w:t>
      </w:r>
    </w:p>
    <w:p>
      <w:pPr>
        <w:pStyle w:val="BookText"/>
      </w:pPr>
      <w:r>
        <w:rPr>
          <w:rFonts w:ascii="Amiri" w:hAnsi="Amiri" w:eastAsia="Amiri" w:cs="Amiri"/>
          <w:lang w:bidi="ar-SA"/>
          <w:color w:val="111111"/>
          <w:sz w:val="28"/>
          <w:szCs w:val="28"/>
          <w:rtl/>
        </w:rPr>
        <w:t xml:space="preserve">ابراهيم بن حسن</w:t>
      </w:r>
    </w:p>
    <w:p>
      <w:pPr>
        <w:pStyle w:val="BookText"/>
      </w:pPr>
      <w:r>
        <w:rPr>
          <w:rFonts w:ascii="Amiri" w:hAnsi="Amiri" w:eastAsia="Amiri" w:cs="Amiri"/>
          <w:lang w:bidi="ar-SA"/>
          <w:color w:val="111111"/>
          <w:sz w:val="28"/>
          <w:szCs w:val="28"/>
          <w:rtl/>
        </w:rPr>
        <w:t xml:space="preserve">عياني، محمود بن محمّد -دهدار عياني ،</w:t>
      </w:r>
    </w:p>
    <w:p>
      <w:pPr>
        <w:pStyle w:val="BookText"/>
      </w:pPr>
      <w:r>
        <w:rPr>
          <w:rFonts w:ascii="IRNazanin" w:hAnsi="IRNazanin" w:eastAsia="IRNazanin" w:cs="IRNazanin"/>
          <w:lang w:bidi="fa-IR"/>
          <w:color w:val="111111"/>
          <w:sz w:val="28"/>
          <w:szCs w:val="28"/>
          <w:rtl/>
        </w:rPr>
        <w:t xml:space="preserve">محمود بن محمّد</w:t>
      </w:r>
    </w:p>
    <w:p>
      <w:pPr>
        <w:pStyle w:val="BookText"/>
      </w:pPr>
      <w:r>
        <w:rPr>
          <w:rFonts w:ascii="Amiri" w:hAnsi="Amiri" w:eastAsia="Amiri" w:cs="Amiri"/>
          <w:lang w:bidi="ar-SA"/>
          <w:color w:val="111111"/>
          <w:sz w:val="28"/>
          <w:szCs w:val="28"/>
          <w:rtl/>
        </w:rPr>
        <w:t xml:space="preserve">عيدروس ، ابوبكر -عيدروسي ، عبد القادر</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6162" w:name="_Toc5264"/>
      <w:r>
        <w:t>عيدروس ابوبکر بن عبد الله، 851-914ه-</w:t>
      </w:r>
      <w:bookmarkEnd w:id="6162"/>
    </w:p>
    <w:p>
      <w:pPr>
        <w:pStyle w:val="BookText"/>
      </w:pPr>
      <w:r>
        <w:rPr>
          <w:rFonts w:ascii="Amiri" w:hAnsi="Amiri" w:eastAsia="Amiri" w:cs="Amiri"/>
          <w:lang w:bidi="ar-SA"/>
          <w:color w:val="111111"/>
          <w:sz w:val="28"/>
          <w:szCs w:val="28"/>
          <w:rtl/>
        </w:rPr>
        <w:t xml:space="preserve">1 .الفرق بين الشريعة و الحقيقة (رسالة في)، ج11، ص791.</w:t>
      </w:r>
    </w:p>
    <w:p>
      <w:pPr>
        <w:pStyle w:val="BookText"/>
      </w:pPr>
      <w:r>
        <w:rPr>
          <w:rFonts w:ascii="Amiri" w:hAnsi="Amiri" w:eastAsia="Amiri" w:cs="Amiri"/>
          <w:lang w:bidi="ar-SA"/>
          <w:color w:val="111111"/>
          <w:sz w:val="28"/>
          <w:szCs w:val="28"/>
          <w:rtl/>
        </w:rPr>
        <w:t xml:space="preserve">2 .محجة السالك و حجة الناسك</w:t>
      </w:r>
    </w:p>
    <w:p>
      <w:pPr>
        <w:pStyle w:val="BookText"/>
      </w:pPr>
      <w:r>
        <w:rPr>
          <w:rFonts w:ascii="IRNazanin" w:hAnsi="IRNazanin" w:eastAsia="IRNazanin" w:cs="IRNazanin"/>
          <w:lang w:bidi="fa-IR"/>
          <w:color w:val="111111"/>
          <w:sz w:val="28"/>
          <w:szCs w:val="28"/>
          <w:rtl/>
        </w:rPr>
        <w:t xml:space="preserve">دیوان، ج 14، ص 113.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16" w:name="pg7742_70899"/>
    <w:bookmarkEnd w:id="816"/>
    <w:p>
      <w:pPr>
        <w:pStyle w:val="Heading2"/>
      </w:pPr>
      <w:bookmarkStart w:id="6163" w:name="_Toc5265"/>
      <w:r>
        <w:t>عيدروس ، عبد الرحمن بن مصطفى</w:t>
      </w:r>
      <w:bookmarkEnd w:id="6163"/>
    </w:p>
    <w:p>
      <w:pPr>
        <w:pStyle w:val="BookText"/>
      </w:pPr>
      <w:r>
        <w:rPr>
          <w:rFonts w:ascii="IRNazanin" w:hAnsi="IRNazanin" w:eastAsia="IRNazanin" w:cs="IRNazanin"/>
          <w:lang w:bidi="fa-IR"/>
          <w:color w:val="111111"/>
          <w:sz w:val="28"/>
          <w:szCs w:val="28"/>
          <w:rtl/>
        </w:rPr>
        <w:t xml:space="preserve">1135 - 1192 ه-</w:t>
      </w:r>
    </w:p>
    <w:p>
      <w:pPr>
        <w:pStyle w:val="BookText"/>
      </w:pPr>
      <w:r>
        <w:rPr>
          <w:rFonts w:ascii="Amiri" w:hAnsi="Amiri" w:eastAsia="Amiri" w:cs="Amiri"/>
          <w:lang w:bidi="ar-SA"/>
          <w:color w:val="111111"/>
          <w:sz w:val="28"/>
          <w:szCs w:val="28"/>
          <w:rtl/>
        </w:rPr>
        <w:t xml:space="preserve">اتحاف الذائق لشرح بيتي الصادق( الامام جعفر)، ج1، ص128.</w:t>
      </w:r>
    </w:p>
    <w:p>
      <w:pPr>
        <w:pStyle w:val="Heading2"/>
      </w:pPr>
      <w:bookmarkStart w:id="6164" w:name="_Toc5266"/>
      <w:r>
        <w:t>عيدروسي ، حسن بن هاشم - 13ه-</w:t>
      </w:r>
      <w:bookmarkEnd w:id="6164"/>
    </w:p>
    <w:p>
      <w:pPr>
        <w:pStyle w:val="BookText"/>
      </w:pPr>
      <w:r>
        <w:rPr>
          <w:rFonts w:ascii="Amiri" w:hAnsi="Amiri" w:eastAsia="Amiri" w:cs="Amiri"/>
          <w:lang w:bidi="ar-SA"/>
          <w:color w:val="111111"/>
          <w:sz w:val="28"/>
          <w:szCs w:val="28"/>
          <w:rtl/>
        </w:rPr>
        <w:t xml:space="preserve">اتحاف الساجد لفضيلة المساجد، ج 1،</w:t>
      </w:r>
    </w:p>
    <w:p>
      <w:pPr>
        <w:pStyle w:val="BookText"/>
      </w:pPr>
      <w:r>
        <w:rPr>
          <w:rFonts w:ascii="IRNazanin" w:hAnsi="IRNazanin" w:eastAsia="IRNazanin" w:cs="IRNazanin"/>
          <w:lang w:bidi="fa-IR"/>
          <w:color w:val="111111"/>
          <w:sz w:val="28"/>
          <w:szCs w:val="28"/>
          <w:rtl/>
        </w:rPr>
        <w:t xml:space="preserve">ص 129.</w:t>
      </w:r>
    </w:p>
    <w:p>
      <w:pPr>
        <w:pStyle w:val="Heading2"/>
      </w:pPr>
      <w:bookmarkStart w:id="6165" w:name="_Toc5267"/>
      <w:r>
        <w:t>عيدروسي ، عبد القادر بن عبدالله 978 - كبه</w:t>
      </w:r>
      <w:bookmarkEnd w:id="6165"/>
    </w:p>
    <w:p>
      <w:pPr>
        <w:pStyle w:val="BookText"/>
      </w:pPr>
      <w:r>
        <w:rPr>
          <w:rFonts w:ascii="IRNazanin" w:hAnsi="IRNazanin" w:eastAsia="IRNazanin" w:cs="IRNazanin"/>
          <w:lang w:bidi="fa-IR"/>
          <w:color w:val="111111"/>
          <w:sz w:val="28"/>
          <w:szCs w:val="28"/>
          <w:rtl/>
        </w:rPr>
        <w:t xml:space="preserve">1038 ه-</w:t>
      </w:r>
    </w:p>
    <w:p>
      <w:pPr>
        <w:pStyle w:val="BookText"/>
      </w:pPr>
      <w:r>
        <w:rPr>
          <w:rFonts w:ascii="IRNazanin" w:hAnsi="IRNazanin" w:eastAsia="IRNazanin" w:cs="IRNazanin"/>
          <w:lang w:bidi="fa-IR"/>
          <w:color w:val="111111"/>
          <w:sz w:val="28"/>
          <w:szCs w:val="28"/>
          <w:rtl/>
        </w:rPr>
        <w:t xml:space="preserve">النور السافر عن اخبار القرن العاشر :</w:t>
      </w:r>
    </w:p>
    <w:p>
      <w:pPr>
        <w:pStyle w:val="BookText"/>
      </w:pPr>
      <w:r>
        <w:rPr>
          <w:rFonts w:ascii="Amiri" w:hAnsi="Amiri" w:eastAsia="Amiri" w:cs="Amiri"/>
          <w:lang w:bidi="ar-SA"/>
          <w:color w:val="111111"/>
          <w:sz w:val="28"/>
          <w:szCs w:val="28"/>
          <w:rtl/>
        </w:rPr>
        <w:t xml:space="preserve">وفيات الاكابر في القرن العاشر، ج 16 ،</w:t>
      </w:r>
    </w:p>
    <w:p>
      <w:pPr>
        <w:pStyle w:val="BookText"/>
      </w:pPr>
      <w:r>
        <w:rPr>
          <w:rFonts w:ascii="IRNazanin" w:hAnsi="IRNazanin" w:eastAsia="IRNazanin" w:cs="IRNazanin"/>
          <w:lang w:bidi="fa-IR"/>
          <w:color w:val="111111"/>
          <w:sz w:val="28"/>
          <w:szCs w:val="28"/>
          <w:rtl/>
        </w:rPr>
        <w:t xml:space="preserve">ص 559.</w:t>
      </w:r>
    </w:p>
    <w:p>
      <w:pPr>
        <w:pStyle w:val="Heading2"/>
      </w:pPr>
      <w:bookmarkStart w:id="6166" w:name="_Toc5268"/>
      <w:r>
        <w:t>عيدروسي ، عبدالله بن ابي بكر</w:t>
      </w:r>
      <w:bookmarkEnd w:id="6166"/>
    </w:p>
    <w:p>
      <w:pPr>
        <w:pStyle w:val="BookText"/>
      </w:pPr>
      <w:r>
        <w:rPr>
          <w:rFonts w:ascii="Amiri" w:hAnsi="Amiri" w:eastAsia="Amiri" w:cs="Amiri"/>
          <w:lang w:bidi="ar-SA"/>
          <w:color w:val="111111"/>
          <w:sz w:val="28"/>
          <w:szCs w:val="28"/>
          <w:rtl/>
        </w:rPr>
        <w:t xml:space="preserve">القصيدة النونية، ج 12، ص722.</w:t>
      </w:r>
    </w:p>
    <w:p>
      <w:pPr>
        <w:pStyle w:val="BookText"/>
      </w:pPr>
      <w:r>
        <w:rPr>
          <w:rFonts w:ascii="Amiri" w:hAnsi="Amiri" w:eastAsia="Amiri" w:cs="Amiri"/>
          <w:lang w:bidi="ar-SA"/>
          <w:color w:val="111111"/>
          <w:sz w:val="28"/>
          <w:szCs w:val="28"/>
          <w:rtl/>
        </w:rPr>
        <w:t xml:space="preserve">عيسى افندي سيروي- بستان زاده، محمّد</w:t>
      </w:r>
    </w:p>
    <w:p>
      <w:pPr>
        <w:pStyle w:val="BookText"/>
      </w:pPr>
      <w:r>
        <w:rPr>
          <w:rFonts w:ascii="IRNazanin" w:hAnsi="IRNazanin" w:eastAsia="IRNazanin" w:cs="IRNazanin"/>
          <w:lang w:bidi="fa-IR"/>
          <w:color w:val="111111"/>
          <w:sz w:val="28"/>
          <w:szCs w:val="28"/>
          <w:rtl/>
        </w:rPr>
        <w:t xml:space="preserve">بن مصطفى</w:t>
      </w:r>
    </w:p>
    <w:p>
      <w:pPr>
        <w:pStyle w:val="BookText"/>
      </w:pPr>
      <w:r>
        <w:rPr>
          <w:rFonts w:ascii="IRNazanin" w:hAnsi="IRNazanin" w:eastAsia="IRNazanin" w:cs="IRNazanin"/>
          <w:lang w:bidi="fa-IR"/>
          <w:color w:val="111111"/>
          <w:sz w:val="28"/>
          <w:szCs w:val="28"/>
          <w:rtl/>
        </w:rPr>
        <w:t xml:space="preserve">عیسی بن آبان- ابن ابان ، عیسی بن ابان</w:t>
      </w:r>
    </w:p>
    <w:p>
      <w:pPr>
        <w:pStyle w:val="BookText"/>
      </w:pPr>
      <w:r>
        <w:rPr>
          <w:rFonts w:ascii="Amiri" w:hAnsi="Amiri" w:eastAsia="Amiri" w:cs="Amiri"/>
          <w:lang w:bidi="ar-SA"/>
          <w:color w:val="111111"/>
          <w:sz w:val="28"/>
          <w:szCs w:val="28"/>
          <w:rtl/>
        </w:rPr>
        <w:t xml:space="preserve">عيسى بن ابراهيم بن محمّد ربعي -ربعي</w:t>
      </w:r>
    </w:p>
    <w:p>
      <w:pPr>
        <w:pStyle w:val="BookText"/>
      </w:pPr>
      <w:r>
        <w:rPr>
          <w:rFonts w:ascii="Amiri" w:hAnsi="Amiri" w:eastAsia="Amiri" w:cs="Amiri"/>
          <w:lang w:bidi="ar-SA"/>
          <w:color w:val="111111"/>
          <w:sz w:val="28"/>
          <w:szCs w:val="28"/>
          <w:rtl/>
        </w:rPr>
        <w:t xml:space="preserve">، عيسى بن ابراهيم</w:t>
      </w:r>
    </w:p>
    <w:p>
      <w:pPr>
        <w:pStyle w:val="Heading2"/>
      </w:pPr>
      <w:bookmarkStart w:id="6167" w:name="_Toc5269"/>
      <w:r>
        <w:t>عیسی بن احمد</w:t>
      </w:r>
      <w:bookmarkEnd w:id="6167"/>
    </w:p>
    <w:p>
      <w:pPr>
        <w:pStyle w:val="BookText"/>
      </w:pPr>
      <w:r>
        <w:rPr>
          <w:rFonts w:ascii="Amiri" w:hAnsi="Amiri" w:eastAsia="Amiri" w:cs="Amiri"/>
          <w:lang w:bidi="ar-SA"/>
          <w:color w:val="111111"/>
          <w:sz w:val="28"/>
          <w:szCs w:val="28"/>
          <w:rtl/>
        </w:rPr>
        <w:t xml:space="preserve">1 .تفسير آية الكرسي، ج4، ص 583.</w:t>
      </w:r>
    </w:p>
    <w:p>
      <w:pPr>
        <w:pStyle w:val="BookText"/>
      </w:pPr>
      <w:r>
        <w:rPr>
          <w:rFonts w:ascii="Amiri" w:hAnsi="Amiri" w:eastAsia="Amiri" w:cs="Amiri"/>
          <w:lang w:bidi="ar-SA"/>
          <w:color w:val="111111"/>
          <w:sz w:val="28"/>
          <w:szCs w:val="28"/>
          <w:rtl/>
        </w:rPr>
        <w:t xml:space="preserve">2 .شرح قصيدة البردة، ج 9، ص 854.</w:t>
      </w:r>
    </w:p>
    <w:p>
      <w:pPr>
        <w:pStyle w:val="BookText"/>
      </w:pPr>
      <w:r>
        <w:rPr>
          <w:rFonts w:ascii="IRNazanin" w:hAnsi="IRNazanin" w:eastAsia="IRNazanin" w:cs="IRNazanin"/>
          <w:lang w:bidi="fa-IR"/>
          <w:color w:val="111111"/>
          <w:sz w:val="28"/>
          <w:szCs w:val="28"/>
          <w:rtl/>
        </w:rPr>
        <w:t xml:space="preserve">عیسی بن احمد بن ميكائيل -خوشناوي</w:t>
      </w:r>
    </w:p>
    <w:p>
      <w:pPr>
        <w:pStyle w:val="BookText"/>
      </w:pPr>
      <w:r>
        <w:rPr>
          <w:rFonts w:ascii="IRNazanin" w:hAnsi="IRNazanin" w:eastAsia="IRNazanin" w:cs="IRNazanin"/>
          <w:lang w:bidi="fa-IR"/>
          <w:color w:val="111111"/>
          <w:sz w:val="28"/>
          <w:szCs w:val="28"/>
          <w:rtl/>
        </w:rPr>
        <w:t xml:space="preserve">عیسی بن احمد</w:t>
      </w:r>
    </w:p>
    <w:p>
      <w:pPr>
        <w:pStyle w:val="BookText"/>
      </w:pPr>
      <w:r>
        <w:rPr>
          <w:rFonts w:ascii="Amiri" w:hAnsi="Amiri" w:eastAsia="Amiri" w:cs="Amiri"/>
          <w:lang w:bidi="ar-SA"/>
          <w:color w:val="111111"/>
          <w:sz w:val="28"/>
          <w:szCs w:val="28"/>
          <w:rtl/>
        </w:rPr>
        <w:t xml:space="preserve">عيسى بن احمد الخمي اشبيلي- لخمي</w:t>
      </w:r>
    </w:p>
    <w:p>
      <w:pPr>
        <w:pStyle w:val="BookText"/>
      </w:pPr>
      <w:r>
        <w:rPr>
          <w:rFonts w:ascii="Amiri" w:hAnsi="Amiri" w:eastAsia="Amiri" w:cs="Amiri"/>
          <w:lang w:bidi="ar-SA"/>
          <w:color w:val="111111"/>
          <w:sz w:val="28"/>
          <w:szCs w:val="28"/>
          <w:rtl/>
        </w:rPr>
        <w:t xml:space="preserve">اشبيلي ، عيسى بن احمد</w:t>
      </w:r>
    </w:p>
    <w:p>
      <w:pPr>
        <w:pStyle w:val="BookText"/>
      </w:pPr>
      <w:r>
        <w:rPr>
          <w:rFonts w:ascii="Amiri" w:hAnsi="Amiri" w:eastAsia="Amiri" w:cs="Amiri"/>
          <w:lang w:bidi="ar-SA"/>
          <w:color w:val="111111"/>
          <w:sz w:val="28"/>
          <w:szCs w:val="28"/>
          <w:rtl/>
        </w:rPr>
        <w:t xml:space="preserve">عيسى بن الكحال- كحال ، علي بن عيسى</w:t>
      </w:r>
    </w:p>
    <w:p>
      <w:pPr>
        <w:pStyle w:val="BookText"/>
      </w:pPr>
      <w:r>
        <w:rPr>
          <w:rFonts w:ascii="Amiri" w:hAnsi="Amiri" w:eastAsia="Amiri" w:cs="Amiri"/>
          <w:lang w:bidi="ar-SA"/>
          <w:color w:val="111111"/>
          <w:sz w:val="28"/>
          <w:szCs w:val="28"/>
          <w:rtl/>
        </w:rPr>
        <w:t xml:space="preserve">عيسى بن حسن البيانوني الحلبي- بيانوني</w:t>
      </w:r>
    </w:p>
    <w:p>
      <w:pPr>
        <w:pStyle w:val="BookText"/>
      </w:pPr>
      <w:r>
        <w:rPr>
          <w:rFonts w:ascii="Amiri" w:hAnsi="Amiri" w:eastAsia="Amiri" w:cs="Amiri"/>
          <w:lang w:bidi="ar-SA"/>
          <w:color w:val="111111"/>
          <w:sz w:val="28"/>
          <w:szCs w:val="28"/>
          <w:rtl/>
        </w:rPr>
        <w:t xml:space="preserve">، عيسى بن حسن</w:t>
      </w:r>
    </w:p>
    <w:p>
      <w:pPr>
        <w:pStyle w:val="BookText"/>
      </w:pPr>
      <w:r>
        <w:rPr>
          <w:rFonts w:ascii="Amiri" w:hAnsi="Amiri" w:eastAsia="Amiri" w:cs="Amiri"/>
          <w:lang w:bidi="ar-SA"/>
          <w:color w:val="111111"/>
          <w:sz w:val="28"/>
          <w:szCs w:val="28"/>
          <w:rtl/>
        </w:rPr>
        <w:t xml:space="preserve">عيسى بن حسين زاهد نجفي -زاهد</w:t>
      </w:r>
    </w:p>
    <w:p>
      <w:pPr>
        <w:pStyle w:val="BookText"/>
      </w:pPr>
      <w:r>
        <w:rPr>
          <w:rFonts w:ascii="Amiri" w:hAnsi="Amiri" w:eastAsia="Amiri" w:cs="Amiri"/>
          <w:lang w:bidi="ar-SA"/>
          <w:color w:val="111111"/>
          <w:sz w:val="28"/>
          <w:szCs w:val="28"/>
          <w:rtl/>
        </w:rPr>
        <w:t xml:space="preserve">نجفي ، عيسى بن حسين</w:t>
      </w:r>
    </w:p>
    <w:p>
      <w:pPr>
        <w:pStyle w:val="BookText"/>
      </w:pPr>
      <w:r>
        <w:rPr>
          <w:rFonts w:ascii="Amiri" w:hAnsi="Amiri" w:eastAsia="Amiri" w:cs="Amiri"/>
          <w:lang w:bidi="ar-SA"/>
          <w:color w:val="111111"/>
          <w:sz w:val="28"/>
          <w:szCs w:val="28"/>
          <w:rtl/>
        </w:rPr>
        <w:t xml:space="preserve">عيسى بن حسينعلي نجفي ابن كبه- ابن</w:t>
      </w:r>
    </w:p>
    <w:p>
      <w:pPr>
        <w:pStyle w:val="BookText"/>
      </w:pPr>
      <w:r>
        <w:rPr>
          <w:rFonts w:ascii="Amiri" w:hAnsi="Amiri" w:eastAsia="Amiri" w:cs="Amiri"/>
          <w:lang w:bidi="ar-SA"/>
          <w:color w:val="111111"/>
          <w:sz w:val="28"/>
          <w:szCs w:val="28"/>
          <w:rtl/>
        </w:rPr>
        <w:t xml:space="preserve">، عيسى بن حسينعلي</w:t>
      </w:r>
    </w:p>
    <w:p>
      <w:pPr>
        <w:pStyle w:val="BookText"/>
      </w:pPr>
      <w:r>
        <w:rPr>
          <w:rFonts w:ascii="Amiri" w:hAnsi="Amiri" w:eastAsia="Amiri" w:cs="Amiri"/>
          <w:lang w:bidi="ar-SA"/>
          <w:color w:val="111111"/>
          <w:sz w:val="28"/>
          <w:szCs w:val="28"/>
          <w:rtl/>
        </w:rPr>
        <w:t xml:space="preserve">عيسى بن سنجر اربلي حاجري - حسام</w:t>
      </w:r>
    </w:p>
    <w:p>
      <w:pPr>
        <w:pStyle w:val="BookText"/>
      </w:pPr>
      <w:r>
        <w:rPr>
          <w:rFonts w:ascii="Amiri" w:hAnsi="Amiri" w:eastAsia="Amiri" w:cs="Amiri"/>
          <w:lang w:bidi="ar-SA"/>
          <w:color w:val="111111"/>
          <w:sz w:val="28"/>
          <w:szCs w:val="28"/>
          <w:rtl/>
        </w:rPr>
        <w:t xml:space="preserve">اربلي ، عيسى بن سنجر</w:t>
      </w:r>
    </w:p>
    <w:p>
      <w:pPr>
        <w:pStyle w:val="BookText"/>
      </w:pPr>
      <w:r>
        <w:rPr>
          <w:rFonts w:ascii="Amiri" w:hAnsi="Amiri" w:eastAsia="Amiri" w:cs="Amiri"/>
          <w:lang w:bidi="ar-SA"/>
          <w:color w:val="111111"/>
          <w:sz w:val="28"/>
          <w:szCs w:val="28"/>
          <w:rtl/>
        </w:rPr>
        <w:t xml:space="preserve">عيسى بن عبدالعزيز بن يللبخت جزولي</w:t>
      </w:r>
    </w:p>
    <w:p>
      <w:pPr>
        <w:pStyle w:val="BookText"/>
      </w:pPr>
      <w:r>
        <w:rPr>
          <w:rFonts w:ascii="Amiri" w:hAnsi="Amiri" w:eastAsia="Amiri" w:cs="Amiri"/>
          <w:lang w:bidi="ar-SA"/>
          <w:color w:val="111111"/>
          <w:sz w:val="28"/>
          <w:szCs w:val="28"/>
          <w:rtl/>
        </w:rPr>
        <w:t xml:space="preserve">بربري - جزولي ، عيسى بن عبدالعزيز</w:t>
      </w:r>
    </w:p>
    <w:p>
      <w:pPr>
        <w:pStyle w:val="Heading2"/>
      </w:pPr>
      <w:bookmarkStart w:id="6168" w:name="_Toc5270"/>
      <w:r>
        <w:t>عيسى بن عبدالمن</w:t>
      </w:r>
      <w:bookmarkEnd w:id="6168"/>
    </w:p>
    <w:p>
      <w:pPr>
        <w:pStyle w:val="BookText"/>
      </w:pPr>
      <w:r>
        <w:rPr>
          <w:rFonts w:ascii="IRNazanin" w:hAnsi="IRNazanin" w:eastAsia="IRNazanin" w:cs="IRNazanin"/>
          <w:lang w:bidi="fa-IR"/>
          <w:color w:val="111111"/>
          <w:sz w:val="28"/>
          <w:szCs w:val="28"/>
          <w:rtl/>
        </w:rPr>
        <w:t xml:space="preserve">فضائل العلم، ج 12، ص12.</w:t>
      </w:r>
    </w:p>
    <w:p>
      <w:pPr>
        <w:pStyle w:val="BookText"/>
      </w:pPr>
      <w:r>
        <w:rPr>
          <w:rFonts w:ascii="Amiri" w:hAnsi="Amiri" w:eastAsia="Amiri" w:cs="Amiri"/>
          <w:lang w:bidi="ar-SA"/>
          <w:color w:val="111111"/>
          <w:sz w:val="28"/>
          <w:szCs w:val="28"/>
          <w:rtl/>
        </w:rPr>
        <w:t xml:space="preserve">عيسى بن عثمان غزي- غزي ، عيسى بن</w:t>
      </w:r>
    </w:p>
    <w:p>
      <w:pPr>
        <w:pStyle w:val="BookText"/>
      </w:pPr>
      <w:r>
        <w:rPr>
          <w:rFonts w:ascii="IRNazanin" w:hAnsi="IRNazanin" w:eastAsia="IRNazanin" w:cs="IRNazanin"/>
          <w:lang w:bidi="fa-IR"/>
          <w:color w:val="111111"/>
          <w:sz w:val="28"/>
          <w:szCs w:val="28"/>
          <w:rtl/>
        </w:rPr>
        <w:t xml:space="preserve">عثمان</w:t>
      </w:r>
    </w:p>
    <w:p>
      <w:pPr>
        <w:pStyle w:val="BookText"/>
      </w:pPr>
      <w:r>
        <w:rPr>
          <w:rFonts w:ascii="Amiri" w:hAnsi="Amiri" w:eastAsia="Amiri" w:cs="Amiri"/>
          <w:lang w:bidi="ar-SA"/>
          <w:color w:val="111111"/>
          <w:sz w:val="28"/>
          <w:szCs w:val="28"/>
          <w:rtl/>
        </w:rPr>
        <w:t xml:space="preserve">عيسى بن علي اسدي -اسدي ، عيسى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عيسى بن علي بن عيسى- ابن جراح ،</w:t>
      </w:r>
    </w:p>
    <w:p>
      <w:pPr>
        <w:pStyle w:val="BookText"/>
      </w:pPr>
      <w:r>
        <w:rPr>
          <w:rFonts w:ascii="Amiri" w:hAnsi="Amiri" w:eastAsia="Amiri" w:cs="Amiri"/>
          <w:lang w:bidi="ar-SA"/>
          <w:color w:val="111111"/>
          <w:sz w:val="28"/>
          <w:szCs w:val="28"/>
          <w:rtl/>
        </w:rPr>
        <w:t xml:space="preserve">عيسى بن علي</w:t>
      </w:r>
    </w:p>
    <w:p>
      <w:pPr>
        <w:pStyle w:val="BookText"/>
      </w:pPr>
      <w:r>
        <w:rPr>
          <w:rFonts w:ascii="IRNazanin" w:hAnsi="IRNazanin" w:eastAsia="IRNazanin" w:cs="IRNazanin"/>
          <w:lang w:bidi="fa-IR"/>
          <w:color w:val="111111"/>
          <w:sz w:val="28"/>
          <w:szCs w:val="28"/>
          <w:rtl/>
        </w:rPr>
        <w:t xml:space="preserve">عیسی بن عیسی صفتي -صفتي ، عيسى</w:t>
      </w:r>
    </w:p>
    <w:p>
      <w:pPr>
        <w:pStyle w:val="BookText"/>
      </w:pPr>
      <w:r>
        <w:rPr>
          <w:rFonts w:ascii="IRNazanin" w:hAnsi="IRNazanin" w:eastAsia="IRNazanin" w:cs="IRNazanin"/>
          <w:lang w:bidi="fa-IR"/>
          <w:color w:val="111111"/>
          <w:sz w:val="28"/>
          <w:szCs w:val="28"/>
          <w:rtl/>
        </w:rPr>
        <w:t xml:space="preserve">بن عیسی</w:t>
      </w:r>
    </w:p>
    <w:p>
      <w:pPr>
        <w:pStyle w:val="BookText"/>
      </w:pPr>
      <w:r>
        <w:rPr>
          <w:rFonts w:ascii="Amiri" w:hAnsi="Amiri" w:eastAsia="Amiri" w:cs="Amiri"/>
          <w:lang w:bidi="ar-SA"/>
          <w:color w:val="111111"/>
          <w:sz w:val="28"/>
          <w:szCs w:val="28"/>
          <w:rtl/>
        </w:rPr>
        <w:t xml:space="preserve">عيسى بن لطف الله حسني يمني كوكباني -حسني ، عيسى بن لطف الله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17" w:name="pg7742_70901"/>
    <w:bookmarkEnd w:id="817"/>
    <w:p>
      <w:pPr>
        <w:pStyle w:val="BookText"/>
      </w:pPr>
      <w:r>
        <w:rPr>
          <w:rFonts w:ascii="IRNazanin" w:hAnsi="IRNazanin" w:eastAsia="IRNazanin" w:cs="IRNazanin"/>
          <w:lang w:bidi="fa-IR"/>
          <w:color w:val="111111"/>
          <w:sz w:val="28"/>
          <w:szCs w:val="28"/>
          <w:rtl/>
        </w:rPr>
        <w:t xml:space="preserve">عيسى بن محمّد جعفري ثعالبي -مغربي ،عیسی بن محمّد</w:t>
      </w:r>
    </w:p>
    <w:p>
      <w:pPr>
        <w:pStyle w:val="BookText"/>
      </w:pPr>
      <w:r>
        <w:rPr>
          <w:rFonts w:ascii="Amiri" w:hAnsi="Amiri" w:eastAsia="Amiri" w:cs="Amiri"/>
          <w:lang w:bidi="ar-SA"/>
          <w:color w:val="111111"/>
          <w:sz w:val="28"/>
          <w:szCs w:val="28"/>
          <w:rtl/>
        </w:rPr>
        <w:t xml:space="preserve">عيسى بن محمّد صفوي -صفوي ، عيسى</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عيسى بن مطهر حسني- حسني ، عيسى</w:t>
      </w:r>
    </w:p>
    <w:p>
      <w:pPr>
        <w:pStyle w:val="BookText"/>
      </w:pPr>
      <w:r>
        <w:rPr>
          <w:rFonts w:ascii="IRNazanin" w:hAnsi="IRNazanin" w:eastAsia="IRNazanin" w:cs="IRNazanin"/>
          <w:lang w:bidi="fa-IR"/>
          <w:color w:val="111111"/>
          <w:sz w:val="28"/>
          <w:szCs w:val="28"/>
          <w:rtl/>
        </w:rPr>
        <w:t xml:space="preserve">بن لطف الله</w:t>
      </w:r>
    </w:p>
    <w:p>
      <w:pPr>
        <w:pStyle w:val="BookText"/>
      </w:pPr>
      <w:r>
        <w:rPr>
          <w:rFonts w:ascii="IRNazanin" w:hAnsi="IRNazanin" w:eastAsia="IRNazanin" w:cs="IRNazanin"/>
          <w:lang w:bidi="fa-IR"/>
          <w:color w:val="111111"/>
          <w:sz w:val="28"/>
          <w:szCs w:val="28"/>
          <w:rtl/>
        </w:rPr>
        <w:t xml:space="preserve">عیسی بن موسى بندنيجي ابوالهدى-بندنيجي ، عيسى بن موسى</w:t>
      </w:r>
    </w:p>
    <w:p>
      <w:pPr>
        <w:pStyle w:val="BookText"/>
      </w:pPr>
      <w:r>
        <w:rPr>
          <w:rFonts w:ascii="Amiri" w:hAnsi="Amiri" w:eastAsia="Amiri" w:cs="Amiri"/>
          <w:lang w:bidi="ar-SA"/>
          <w:color w:val="111111"/>
          <w:sz w:val="28"/>
          <w:szCs w:val="28"/>
          <w:rtl/>
        </w:rPr>
        <w:t xml:space="preserve">عيسى بن موسى طولوني -طولوني ، عيسى</w:t>
      </w:r>
    </w:p>
    <w:p>
      <w:pPr>
        <w:pStyle w:val="BookText"/>
      </w:pPr>
      <w:r>
        <w:rPr>
          <w:rFonts w:ascii="IRNazanin" w:hAnsi="IRNazanin" w:eastAsia="IRNazanin" w:cs="IRNazanin"/>
          <w:lang w:bidi="fa-IR"/>
          <w:color w:val="111111"/>
          <w:sz w:val="28"/>
          <w:szCs w:val="28"/>
          <w:rtl/>
        </w:rPr>
        <w:t xml:space="preserve">بن موسى</w:t>
      </w:r>
    </w:p>
    <w:p>
      <w:pPr>
        <w:pStyle w:val="BookText"/>
      </w:pPr>
      <w:r>
        <w:rPr>
          <w:rFonts w:ascii="Amiri" w:hAnsi="Amiri" w:eastAsia="Amiri" w:cs="Amiri"/>
          <w:lang w:bidi="ar-SA"/>
          <w:color w:val="111111"/>
          <w:sz w:val="28"/>
          <w:szCs w:val="28"/>
          <w:rtl/>
        </w:rPr>
        <w:t xml:space="preserve">عيسى بن يحيى- ابوسهل جرجاني ،</w:t>
      </w:r>
    </w:p>
    <w:p>
      <w:pPr>
        <w:pStyle w:val="BookText"/>
      </w:pPr>
      <w:r>
        <w:rPr>
          <w:rFonts w:ascii="Amiri" w:hAnsi="Amiri" w:eastAsia="Amiri" w:cs="Amiri"/>
          <w:lang w:bidi="ar-SA"/>
          <w:color w:val="111111"/>
          <w:sz w:val="28"/>
          <w:szCs w:val="28"/>
          <w:rtl/>
        </w:rPr>
        <w:t xml:space="preserve">عيسى بن يحيى</w:t>
      </w:r>
    </w:p>
    <w:p>
      <w:pPr>
        <w:pStyle w:val="BookText"/>
      </w:pPr>
      <w:r>
        <w:rPr>
          <w:rFonts w:ascii="IRNazanin" w:hAnsi="IRNazanin" w:eastAsia="IRNazanin" w:cs="IRNazanin"/>
          <w:lang w:bidi="fa-IR"/>
          <w:color w:val="111111"/>
          <w:sz w:val="28"/>
          <w:szCs w:val="28"/>
          <w:rtl/>
        </w:rPr>
        <w:t xml:space="preserve">عیسی خان اردبيلي (اربلي)- اربلي ،</w:t>
      </w:r>
    </w:p>
    <w:p>
      <w:pPr>
        <w:pStyle w:val="BookText"/>
      </w:pPr>
      <w:r>
        <w:rPr>
          <w:rFonts w:ascii="Amiri" w:hAnsi="Amiri" w:eastAsia="Amiri" w:cs="Amiri"/>
          <w:lang w:bidi="ar-SA"/>
          <w:color w:val="111111"/>
          <w:sz w:val="28"/>
          <w:szCs w:val="28"/>
          <w:rtl/>
        </w:rPr>
        <w:t xml:space="preserve">عيسى</w:t>
      </w:r>
    </w:p>
    <w:p>
      <w:pPr>
        <w:pStyle w:val="BookText"/>
      </w:pPr>
      <w:r>
        <w:rPr>
          <w:rFonts w:ascii="Amiri" w:hAnsi="Amiri" w:eastAsia="Amiri" w:cs="Amiri"/>
          <w:lang w:bidi="ar-SA"/>
          <w:color w:val="111111"/>
          <w:sz w:val="28"/>
          <w:szCs w:val="28"/>
          <w:rtl/>
        </w:rPr>
        <w:t xml:space="preserve">عيسى صفاء الدين البندنيجي -بندنيجي</w:t>
      </w:r>
    </w:p>
    <w:p>
      <w:pPr>
        <w:pStyle w:val="BookText"/>
      </w:pPr>
      <w:r>
        <w:rPr>
          <w:rFonts w:ascii="IRNazanin" w:hAnsi="IRNazanin" w:eastAsia="IRNazanin" w:cs="IRNazanin"/>
          <w:lang w:bidi="fa-IR"/>
          <w:color w:val="111111"/>
          <w:sz w:val="28"/>
          <w:szCs w:val="28"/>
          <w:rtl/>
        </w:rPr>
        <w:t xml:space="preserve">عیسی بن موسى</w:t>
      </w:r>
    </w:p>
    <w:p>
      <w:pPr>
        <w:pStyle w:val="BookText"/>
      </w:pPr>
      <w:r>
        <w:rPr>
          <w:rFonts w:ascii="Amiri" w:hAnsi="Amiri" w:eastAsia="Amiri" w:cs="Amiri"/>
          <w:lang w:bidi="ar-SA"/>
          <w:color w:val="111111"/>
          <w:sz w:val="28"/>
          <w:szCs w:val="28"/>
          <w:rtl/>
        </w:rPr>
        <w:t xml:space="preserve">عيسى صنعاني -صنعاني ، عيسى بن</w:t>
      </w:r>
    </w:p>
    <w:p>
      <w:pPr>
        <w:pStyle w:val="BookText"/>
      </w:pPr>
      <w:r>
        <w:rPr>
          <w:rFonts w:ascii="Amiri" w:hAnsi="Amiri" w:eastAsia="Amiri" w:cs="Amiri"/>
          <w:lang w:bidi="ar-SA"/>
          <w:color w:val="111111"/>
          <w:sz w:val="28"/>
          <w:szCs w:val="28"/>
          <w:rtl/>
        </w:rPr>
        <w:t xml:space="preserve">عيسى</w:t>
      </w:r>
    </w:p>
    <w:p>
      <w:pPr>
        <w:pStyle w:val="BookText"/>
      </w:pPr>
      <w:r>
        <w:rPr>
          <w:rFonts w:ascii="IRNazanin" w:hAnsi="IRNazanin" w:eastAsia="IRNazanin" w:cs="IRNazanin"/>
          <w:lang w:bidi="fa-IR"/>
          <w:color w:val="111111"/>
          <w:sz w:val="28"/>
          <w:szCs w:val="28"/>
          <w:rtl/>
        </w:rPr>
        <w:t xml:space="preserve">عيشي ، محمّد بن مصطفی -بستان زاده ،</w:t>
      </w:r>
    </w:p>
    <w:p>
      <w:pPr>
        <w:pStyle w:val="BookText"/>
      </w:pPr>
      <w:r>
        <w:rPr>
          <w:rFonts w:ascii="IRNazanin" w:hAnsi="IRNazanin" w:eastAsia="IRNazanin" w:cs="IRNazanin"/>
          <w:lang w:bidi="fa-IR"/>
          <w:color w:val="111111"/>
          <w:sz w:val="28"/>
          <w:szCs w:val="28"/>
          <w:rtl/>
        </w:rPr>
        <w:t xml:space="preserve">محمد بن مصطفى</w:t>
      </w:r>
    </w:p>
    <w:p>
      <w:pPr>
        <w:pStyle w:val="BookText"/>
      </w:pPr>
      <w:r>
        <w:rPr>
          <w:rFonts w:ascii="Amiri" w:hAnsi="Amiri" w:eastAsia="Amiri" w:cs="Amiri"/>
          <w:lang w:bidi="ar-SA"/>
          <w:color w:val="111111"/>
          <w:sz w:val="28"/>
          <w:szCs w:val="28"/>
          <w:rtl/>
        </w:rPr>
        <w:t xml:space="preserve">عينائي ، احمد بن محمّد -ابن خاتون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عينائي عاملي ، محمّد بن علي -ابن خاتون عاملي ، محمّد بن علي</w:t>
      </w:r>
    </w:p>
    <w:p>
      <w:pPr>
        <w:pStyle w:val="BookText"/>
      </w:pPr>
      <w:r>
        <w:rPr>
          <w:rFonts w:ascii="Amiri" w:hAnsi="Amiri" w:eastAsia="Amiri" w:cs="Amiri"/>
          <w:lang w:bidi="ar-SA"/>
          <w:color w:val="111111"/>
          <w:sz w:val="28"/>
          <w:szCs w:val="28"/>
          <w:rtl/>
        </w:rPr>
        <w:t xml:space="preserve">عينائي ، احمد بن نعمت الله -ابن خاتون</w:t>
      </w:r>
    </w:p>
    <w:p>
      <w:pPr>
        <w:pStyle w:val="BookText"/>
      </w:pPr>
      <w:r>
        <w:rPr>
          <w:rFonts w:ascii="IRNazanin" w:hAnsi="IRNazanin" w:eastAsia="IRNazanin" w:cs="IRNazanin"/>
          <w:lang w:bidi="fa-IR"/>
          <w:color w:val="111111"/>
          <w:sz w:val="28"/>
          <w:szCs w:val="28"/>
          <w:rtl/>
        </w:rPr>
        <w:t xml:space="preserve">احمد بن نعمت الله</w:t>
      </w:r>
    </w:p>
    <w:p>
      <w:pPr>
        <w:pStyle w:val="Heading2"/>
      </w:pPr>
      <w:bookmarkStart w:id="6169" w:name="_Toc5271"/>
      <w:r>
        <w:t>عينائي ، حسين بن علي، قرن 9 ه-</w:t>
      </w:r>
      <w:bookmarkEnd w:id="6169"/>
    </w:p>
    <w:p>
      <w:pPr>
        <w:pStyle w:val="BookText"/>
      </w:pPr>
      <w:r>
        <w:rPr>
          <w:rFonts w:ascii="Amiri" w:hAnsi="Amiri" w:eastAsia="Amiri" w:cs="Amiri"/>
          <w:lang w:bidi="ar-SA"/>
          <w:color w:val="111111"/>
          <w:sz w:val="28"/>
          <w:szCs w:val="28"/>
          <w:rtl/>
        </w:rPr>
        <w:t xml:space="preserve">1.الاجازة، ج 1، ص 207.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إجازة للملا علي بن عبدالعزيز</w:t>
      </w:r>
    </w:p>
    <w:p>
      <w:pPr>
        <w:pStyle w:val="BookText"/>
      </w:pPr>
      <w:r>
        <w:rPr>
          <w:rFonts w:ascii="Amiri" w:hAnsi="Amiri" w:eastAsia="Amiri" w:cs="Amiri"/>
          <w:lang w:bidi="ar-SA"/>
          <w:color w:val="111111"/>
          <w:sz w:val="28"/>
          <w:szCs w:val="28"/>
          <w:rtl/>
        </w:rPr>
        <w:t xml:space="preserve">الجرجاني، ج 1، ص289.</w:t>
      </w:r>
    </w:p>
    <w:p>
      <w:pPr>
        <w:pStyle w:val="BookText"/>
      </w:pPr>
      <w:r>
        <w:rPr>
          <w:rFonts w:ascii="Amiri" w:hAnsi="Amiri" w:eastAsia="Amiri" w:cs="Amiri"/>
          <w:lang w:bidi="ar-SA"/>
          <w:color w:val="111111"/>
          <w:sz w:val="28"/>
          <w:szCs w:val="28"/>
          <w:rtl/>
        </w:rPr>
        <w:t xml:space="preserve">عينائي ، محمّد بن محمّد قرن 11 ه-</w:t>
      </w:r>
    </w:p>
    <w:p>
      <w:pPr>
        <w:pStyle w:val="BookText"/>
      </w:pPr>
      <w:r>
        <w:rPr>
          <w:rFonts w:ascii="Amiri" w:hAnsi="Amiri" w:eastAsia="Amiri" w:cs="Amiri"/>
          <w:lang w:bidi="ar-SA"/>
          <w:color w:val="111111"/>
          <w:sz w:val="28"/>
          <w:szCs w:val="28"/>
          <w:rtl/>
        </w:rPr>
        <w:t xml:space="preserve">1 .الاثنى عشرية في المواعظ العددية</w:t>
      </w:r>
    </w:p>
    <w:p>
      <w:pPr>
        <w:pStyle w:val="BookText"/>
      </w:pPr>
      <w:r>
        <w:rPr>
          <w:rFonts w:ascii="IRNazanin" w:hAnsi="IRNazanin" w:eastAsia="IRNazanin" w:cs="IRNazanin"/>
          <w:lang w:bidi="fa-IR"/>
          <w:color w:val="111111"/>
          <w:sz w:val="28"/>
          <w:szCs w:val="28"/>
          <w:rtl/>
        </w:rPr>
        <w:t xml:space="preserve">ج 1، ص 193.</w:t>
      </w:r>
    </w:p>
    <w:p>
      <w:pPr>
        <w:pStyle w:val="BookText"/>
      </w:pPr>
      <w:r>
        <w:rPr>
          <w:rFonts w:ascii="Amiri" w:hAnsi="Amiri" w:eastAsia="Amiri" w:cs="Amiri"/>
          <w:lang w:bidi="ar-SA"/>
          <w:color w:val="111111"/>
          <w:sz w:val="28"/>
          <w:szCs w:val="28"/>
          <w:rtl/>
        </w:rPr>
        <w:t xml:space="preserve">2 .حدائق الابرار و حقائق الاخيار</w:t>
      </w:r>
    </w:p>
    <w:p>
      <w:pPr>
        <w:pStyle w:val="BookText"/>
      </w:pPr>
      <w:r>
        <w:rPr>
          <w:rFonts w:ascii="IRNazanin" w:hAnsi="IRNazanin" w:eastAsia="IRNazanin" w:cs="IRNazanin"/>
          <w:lang w:bidi="fa-IR"/>
          <w:color w:val="111111"/>
          <w:sz w:val="28"/>
          <w:szCs w:val="28"/>
          <w:rtl/>
        </w:rPr>
        <w:t xml:space="preserve">ج 6، ص 509.</w:t>
      </w:r>
    </w:p>
    <w:p>
      <w:pPr>
        <w:pStyle w:val="BookText"/>
      </w:pPr>
      <w:r>
        <w:rPr>
          <w:rFonts w:ascii="Amiri" w:hAnsi="Amiri" w:eastAsia="Amiri" w:cs="Amiri"/>
          <w:lang w:bidi="ar-SA"/>
          <w:color w:val="111111"/>
          <w:sz w:val="28"/>
          <w:szCs w:val="28"/>
          <w:rtl/>
        </w:rPr>
        <w:t xml:space="preserve">عينائي ، محمود بن احمد -بدر العيني</w:t>
      </w:r>
    </w:p>
    <w:p>
      <w:pPr>
        <w:pStyle w:val="BookText"/>
      </w:pPr>
      <w:r>
        <w:rPr>
          <w:rFonts w:ascii="IRNazanin" w:hAnsi="IRNazanin" w:eastAsia="IRNazanin" w:cs="IRNazanin"/>
          <w:lang w:bidi="fa-IR"/>
          <w:color w:val="111111"/>
          <w:sz w:val="28"/>
          <w:szCs w:val="28"/>
          <w:rtl/>
        </w:rPr>
        <w:t xml:space="preserve">محمود بن احمد</w:t>
      </w:r>
    </w:p>
    <w:p>
      <w:pPr>
        <w:pStyle w:val="Heading2"/>
      </w:pPr>
      <w:bookmarkStart w:id="6170" w:name="_Toc5272"/>
      <w:r>
        <w:t>عين القضاة ، عبدالله بن محمّد 492 -</w:t>
      </w:r>
      <w:bookmarkEnd w:id="6170"/>
    </w:p>
    <w:p>
      <w:pPr>
        <w:pStyle w:val="BookText"/>
      </w:pPr>
      <w:r>
        <w:rPr>
          <w:rFonts w:ascii="IRNazanin" w:hAnsi="IRNazanin" w:eastAsia="IRNazanin" w:cs="IRNazanin"/>
          <w:lang w:bidi="fa-IR"/>
          <w:color w:val="111111"/>
          <w:sz w:val="28"/>
          <w:szCs w:val="28"/>
          <w:rtl/>
        </w:rPr>
        <w:t xml:space="preserve">525 ه-</w:t>
      </w:r>
    </w:p>
    <w:p>
      <w:pPr>
        <w:pStyle w:val="BookText"/>
      </w:pPr>
      <w:r>
        <w:rPr>
          <w:rFonts w:ascii="IRNazanin" w:hAnsi="IRNazanin" w:eastAsia="IRNazanin" w:cs="IRNazanin"/>
          <w:lang w:bidi="fa-IR"/>
          <w:color w:val="111111"/>
          <w:sz w:val="28"/>
          <w:szCs w:val="28"/>
          <w:rtl/>
        </w:rPr>
        <w:t xml:space="preserve">حاشية شرح الملخص چغميني، ج 6،</w:t>
      </w:r>
    </w:p>
    <w:p>
      <w:pPr>
        <w:pStyle w:val="BookText"/>
      </w:pPr>
      <w:r>
        <w:rPr>
          <w:rFonts w:ascii="IRNazanin" w:hAnsi="IRNazanin" w:eastAsia="IRNazanin" w:cs="IRNazanin"/>
          <w:lang w:bidi="fa-IR"/>
          <w:color w:val="111111"/>
          <w:sz w:val="28"/>
          <w:szCs w:val="28"/>
          <w:rtl/>
        </w:rPr>
        <w:t xml:space="preserve">ص 187 .</w:t>
      </w:r>
    </w:p>
    <w:p>
      <w:pPr>
        <w:pStyle w:val="Heading2"/>
      </w:pPr>
      <w:bookmarkStart w:id="6171" w:name="_Toc5273"/>
      <w:r>
        <w:t>عين القضاة همداني ، محمّد بن</w:t>
      </w:r>
      <w:bookmarkEnd w:id="6171"/>
    </w:p>
    <w:p>
      <w:pPr>
        <w:pStyle w:val="BookText"/>
      </w:pPr>
      <w:r>
        <w:rPr>
          <w:rFonts w:ascii="IRNazanin" w:hAnsi="IRNazanin" w:eastAsia="IRNazanin" w:cs="IRNazanin"/>
          <w:lang w:bidi="fa-IR"/>
          <w:color w:val="111111"/>
          <w:sz w:val="28"/>
          <w:szCs w:val="28"/>
          <w:rtl/>
        </w:rPr>
        <w:t xml:space="preserve">عبد الرحمن - 966 ه-</w:t>
      </w:r>
    </w:p>
    <w:p>
      <w:pPr>
        <w:pStyle w:val="BookText"/>
      </w:pPr>
      <w:r>
        <w:rPr>
          <w:rFonts w:ascii="Amiri" w:hAnsi="Amiri" w:eastAsia="Amiri" w:cs="Amiri"/>
          <w:lang w:bidi="ar-SA"/>
          <w:color w:val="111111"/>
          <w:sz w:val="28"/>
          <w:szCs w:val="28"/>
          <w:rtl/>
        </w:rPr>
        <w:t xml:space="preserve">1 .تفسير القرآن الكريم، ج 4، ص 665.</w:t>
      </w:r>
    </w:p>
    <w:p>
      <w:pPr>
        <w:pStyle w:val="BookText"/>
      </w:pPr>
      <w:r>
        <w:rPr>
          <w:rFonts w:ascii="Amiri" w:hAnsi="Amiri" w:eastAsia="Amiri" w:cs="Amiri"/>
          <w:lang w:bidi="ar-SA"/>
          <w:color w:val="111111"/>
          <w:sz w:val="28"/>
          <w:szCs w:val="28"/>
          <w:rtl/>
        </w:rPr>
        <w:t xml:space="preserve">2 ا.لسبعيات في مواعظ البريات</w:t>
      </w:r>
    </w:p>
    <w:p>
      <w:pPr>
        <w:pStyle w:val="BookText"/>
      </w:pPr>
      <w:r>
        <w:rPr>
          <w:rFonts w:ascii="Amiri" w:hAnsi="Amiri" w:eastAsia="Amiri" w:cs="Amiri"/>
          <w:lang w:bidi="ar-SA"/>
          <w:color w:val="111111"/>
          <w:sz w:val="28"/>
          <w:szCs w:val="28"/>
          <w:rtl/>
        </w:rPr>
        <w:t xml:space="preserve">السباعيات، ج 8، ص 701.</w:t>
      </w:r>
    </w:p>
    <w:p>
      <w:pPr>
        <w:pStyle w:val="Heading2"/>
      </w:pPr>
      <w:bookmarkStart w:id="6172" w:name="_Toc5274"/>
      <w:r>
        <w:t>عين الملك شيرازي ، محمّد بن عبدالله قرن</w:t>
      </w:r>
      <w:bookmarkEnd w:id="6172"/>
    </w:p>
    <w:p>
      <w:pPr>
        <w:pStyle w:val="BookText"/>
      </w:pPr>
      <w:r>
        <w:rPr>
          <w:rFonts w:ascii="IRNazanin" w:hAnsi="IRNazanin" w:eastAsia="IRNazanin" w:cs="IRNazanin"/>
          <w:lang w:bidi="fa-IR"/>
          <w:color w:val="111111"/>
          <w:sz w:val="28"/>
          <w:szCs w:val="28"/>
          <w:rtl/>
        </w:rPr>
        <w:t xml:space="preserve">11 ه-</w:t>
      </w:r>
    </w:p>
    <w:p>
      <w:pPr>
        <w:pStyle w:val="BookText"/>
      </w:pPr>
      <w:r>
        <w:rPr>
          <w:rFonts w:ascii="IRNazanin" w:hAnsi="IRNazanin" w:eastAsia="IRNazanin" w:cs="IRNazanin"/>
          <w:lang w:bidi="fa-IR"/>
          <w:color w:val="111111"/>
          <w:sz w:val="28"/>
          <w:szCs w:val="28"/>
          <w:rtl/>
        </w:rPr>
        <w:t xml:space="preserve">الفاظ ادویه، ج 2، ص 674.</w:t>
      </w:r>
    </w:p>
    <w:p>
      <w:pPr>
        <w:pStyle w:val="BookText"/>
      </w:pPr>
      <w:r>
        <w:rPr>
          <w:rFonts w:ascii="Amiri" w:hAnsi="Amiri" w:eastAsia="Amiri" w:cs="Amiri"/>
          <w:lang w:bidi="ar-SA"/>
          <w:color w:val="111111"/>
          <w:sz w:val="28"/>
          <w:szCs w:val="28"/>
          <w:rtl/>
        </w:rPr>
        <w:t xml:space="preserve">عين الملك كيلاني شيرازي -دوايي شيرازي</w:t>
      </w:r>
    </w:p>
    <w:p>
      <w:pPr>
        <w:pStyle w:val="BookText"/>
      </w:pPr>
      <w:r>
        <w:rPr>
          <w:rFonts w:ascii="IRNazanin" w:hAnsi="IRNazanin" w:eastAsia="IRNazanin" w:cs="IRNazanin"/>
          <w:lang w:bidi="fa-IR"/>
          <w:color w:val="111111"/>
          <w:sz w:val="28"/>
          <w:szCs w:val="28"/>
          <w:rtl/>
        </w:rPr>
        <w:t xml:space="preserve">درویش</w:t>
      </w:r>
    </w:p>
    <w:p>
      <w:pPr>
        <w:pStyle w:val="BookText"/>
      </w:pPr>
      <w:r>
        <w:rPr>
          <w:rFonts w:ascii="Amiri" w:hAnsi="Amiri" w:eastAsia="Amiri" w:cs="Amiri"/>
          <w:lang w:bidi="ar-SA"/>
          <w:color w:val="111111"/>
          <w:sz w:val="28"/>
          <w:szCs w:val="28"/>
          <w:rtl/>
        </w:rPr>
        <w:t xml:space="preserve">عيناني عاملي ، محمّد بن علي- ابن خاتون</w:t>
      </w:r>
    </w:p>
    <w:p>
      <w:pPr>
        <w:pStyle w:val="BookText"/>
      </w:pPr>
      <w:r>
        <w:rPr>
          <w:rFonts w:ascii="Amiri" w:hAnsi="Amiri" w:eastAsia="Amiri" w:cs="Amiri"/>
          <w:lang w:bidi="ar-SA"/>
          <w:color w:val="111111"/>
          <w:sz w:val="28"/>
          <w:szCs w:val="28"/>
          <w:rtl/>
        </w:rPr>
        <w:t xml:space="preserve">عاملي ، محمّد بن علي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18" w:name="pg7742_70903"/>
    <w:bookmarkEnd w:id="818"/>
    <w:p>
      <w:pPr>
        <w:pStyle w:val="Heading2"/>
      </w:pPr>
      <w:bookmarkStart w:id="6173" w:name="_Toc5275"/>
      <w:r>
        <w:t>عينتابي ، احمد بن ابي العباس قرن 9 ه-</w:t>
      </w:r>
      <w:bookmarkEnd w:id="6173"/>
    </w:p>
    <w:p>
      <w:pPr>
        <w:pStyle w:val="BookText"/>
      </w:pPr>
      <w:r>
        <w:rPr>
          <w:rFonts w:ascii="Amiri" w:hAnsi="Amiri" w:eastAsia="Amiri" w:cs="Amiri"/>
          <w:lang w:bidi="ar-SA"/>
          <w:color w:val="111111"/>
          <w:sz w:val="28"/>
          <w:szCs w:val="28"/>
          <w:rtl/>
        </w:rPr>
        <w:t xml:space="preserve">التاريخ الشهابي و القمر المنير</w:t>
      </w:r>
    </w:p>
    <w:p>
      <w:pPr>
        <w:pStyle w:val="BookText"/>
      </w:pPr>
      <w:r>
        <w:rPr>
          <w:rFonts w:ascii="Amiri" w:hAnsi="Amiri" w:eastAsia="Amiri" w:cs="Amiri"/>
          <w:lang w:bidi="ar-SA"/>
          <w:color w:val="111111"/>
          <w:sz w:val="28"/>
          <w:szCs w:val="28"/>
          <w:rtl/>
        </w:rPr>
        <w:t xml:space="preserve">مختصر عقد الجمان في تاريخ اهل</w:t>
      </w:r>
    </w:p>
    <w:p>
      <w:pPr>
        <w:pStyle w:val="BookText"/>
      </w:pPr>
      <w:r>
        <w:rPr>
          <w:rFonts w:ascii="IRNazanin" w:hAnsi="IRNazanin" w:eastAsia="IRNazanin" w:cs="IRNazanin"/>
          <w:lang w:bidi="fa-IR"/>
          <w:color w:val="111111"/>
          <w:sz w:val="28"/>
          <w:szCs w:val="28"/>
          <w:rtl/>
        </w:rPr>
        <w:t xml:space="preserve">الزمان، ج3، ص 579.</w:t>
      </w:r>
    </w:p>
    <w:p>
      <w:pPr>
        <w:pStyle w:val="Heading2"/>
      </w:pPr>
      <w:bookmarkStart w:id="6174" w:name="_Toc5276"/>
      <w:r>
        <w:t>عينتابي ، محمّد اسعد</w:t>
      </w:r>
      <w:bookmarkEnd w:id="6174"/>
    </w:p>
    <w:p>
      <w:pPr>
        <w:pStyle w:val="BookText"/>
      </w:pPr>
      <w:r>
        <w:rPr>
          <w:rFonts w:ascii="Amiri" w:hAnsi="Amiri" w:eastAsia="Amiri" w:cs="Amiri"/>
          <w:lang w:bidi="ar-SA"/>
          <w:color w:val="111111"/>
          <w:sz w:val="28"/>
          <w:szCs w:val="28"/>
          <w:rtl/>
        </w:rPr>
        <w:t xml:space="preserve">تخميس قصيدة البردة، ج 4، ص 125 .</w:t>
      </w:r>
    </w:p>
    <w:p>
      <w:pPr>
        <w:pStyle w:val="Heading2"/>
      </w:pPr>
      <w:bookmarkStart w:id="6175" w:name="_Toc5277"/>
      <w:r>
        <w:t>عينتابي ، محمّد منيب بن محمّد سعید</w:t>
      </w:r>
      <w:bookmarkEnd w:id="6175"/>
    </w:p>
    <w:p>
      <w:pPr>
        <w:pStyle w:val="BookText"/>
      </w:pPr>
      <w:r>
        <w:rPr>
          <w:rFonts w:ascii="IRNazanin" w:hAnsi="IRNazanin" w:eastAsia="IRNazanin" w:cs="IRNazanin"/>
          <w:lang w:bidi="fa-IR"/>
          <w:color w:val="111111"/>
          <w:sz w:val="28"/>
          <w:szCs w:val="28"/>
          <w:rtl/>
        </w:rPr>
        <w:t xml:space="preserve">1238؟ ه-</w:t>
      </w:r>
    </w:p>
    <w:p>
      <w:pPr>
        <w:pStyle w:val="BookText"/>
      </w:pPr>
      <w:r>
        <w:rPr>
          <w:rFonts w:ascii="Amiri" w:hAnsi="Amiri" w:eastAsia="Amiri" w:cs="Amiri"/>
          <w:lang w:bidi="ar-SA"/>
          <w:color w:val="111111"/>
          <w:sz w:val="28"/>
          <w:szCs w:val="28"/>
          <w:rtl/>
        </w:rPr>
        <w:t xml:space="preserve">رسالة امتحانية في بعض المسائل</w:t>
      </w:r>
    </w:p>
    <w:p>
      <w:pPr>
        <w:pStyle w:val="BookText"/>
      </w:pPr>
      <w:r>
        <w:rPr>
          <w:rFonts w:ascii="Amiri" w:hAnsi="Amiri" w:eastAsia="Amiri" w:cs="Amiri"/>
          <w:lang w:bidi="ar-SA"/>
          <w:color w:val="111111"/>
          <w:sz w:val="28"/>
          <w:szCs w:val="28"/>
          <w:rtl/>
        </w:rPr>
        <w:t xml:space="preserve">النحوية، ج8، ص170.</w:t>
      </w:r>
    </w:p>
    <w:p>
      <w:pPr>
        <w:pStyle w:val="Heading2"/>
      </w:pPr>
      <w:bookmarkStart w:id="6176" w:name="_Toc5278"/>
      <w:r>
        <w:t>عين زربي ، عدنان بن نصر - 548 ه-</w:t>
      </w:r>
      <w:bookmarkEnd w:id="6176"/>
    </w:p>
    <w:p>
      <w:pPr>
        <w:pStyle w:val="BookText"/>
      </w:pPr>
      <w:r>
        <w:rPr>
          <w:rFonts w:ascii="Amiri" w:hAnsi="Amiri" w:eastAsia="Amiri" w:cs="Amiri"/>
          <w:lang w:bidi="ar-SA"/>
          <w:color w:val="111111"/>
          <w:sz w:val="28"/>
          <w:szCs w:val="28"/>
          <w:rtl/>
        </w:rPr>
        <w:t xml:space="preserve">الكافي في الطب، ج13، ص 53.</w:t>
      </w:r>
    </w:p>
    <w:p>
      <w:pPr>
        <w:pStyle w:val="BookText"/>
      </w:pPr>
      <w:r>
        <w:rPr>
          <w:rFonts w:ascii="Amiri" w:hAnsi="Amiri" w:eastAsia="Amiri" w:cs="Amiri"/>
          <w:lang w:bidi="ar-SA"/>
          <w:color w:val="111111"/>
          <w:sz w:val="28"/>
          <w:szCs w:val="28"/>
          <w:rtl/>
        </w:rPr>
        <w:t xml:space="preserve">عيني ، عبدالرحمن بن ابي بكر- ابن</w:t>
      </w:r>
    </w:p>
    <w:p>
      <w:pPr>
        <w:pStyle w:val="BookText"/>
      </w:pPr>
      <w:r>
        <w:rPr>
          <w:rFonts w:ascii="Amiri" w:hAnsi="Amiri" w:eastAsia="Amiri" w:cs="Amiri"/>
          <w:lang w:bidi="ar-SA"/>
          <w:color w:val="111111"/>
          <w:sz w:val="28"/>
          <w:szCs w:val="28"/>
          <w:rtl/>
        </w:rPr>
        <w:t xml:space="preserve">العيني ، عبدالرحمن بن ابي بكر</w:t>
      </w:r>
    </w:p>
    <w:p>
      <w:pPr>
        <w:pStyle w:val="Heading2"/>
      </w:pPr>
      <w:bookmarkStart w:id="6177" w:name="_Toc5279"/>
      <w:r>
        <w:t>عيني ، عبدالرحيم بن محمود - 864 ه-</w:t>
      </w:r>
      <w:bookmarkEnd w:id="6177"/>
    </w:p>
    <w:p>
      <w:pPr>
        <w:pStyle w:val="BookText"/>
      </w:pPr>
      <w:r>
        <w:rPr>
          <w:rFonts w:ascii="Amiri" w:hAnsi="Amiri" w:eastAsia="Amiri" w:cs="Amiri"/>
          <w:lang w:bidi="ar-SA"/>
          <w:color w:val="111111"/>
          <w:sz w:val="28"/>
          <w:szCs w:val="28"/>
          <w:rtl/>
        </w:rPr>
        <w:t xml:space="preserve">شرح الكنز، ج 10، ص 63.</w:t>
      </w:r>
    </w:p>
    <w:p>
      <w:pPr>
        <w:pStyle w:val="BookText"/>
      </w:pPr>
      <w:r>
        <w:rPr>
          <w:rFonts w:ascii="Amiri" w:hAnsi="Amiri" w:eastAsia="Amiri" w:cs="Amiri"/>
          <w:lang w:bidi="ar-SA"/>
          <w:color w:val="111111"/>
          <w:sz w:val="28"/>
          <w:szCs w:val="28"/>
          <w:rtl/>
        </w:rPr>
        <w:t xml:space="preserve">عيني ، محمود بن احمد- بدر العيني</w:t>
      </w:r>
    </w:p>
    <w:p>
      <w:pPr>
        <w:pStyle w:val="BookText"/>
      </w:pPr>
      <w:r>
        <w:rPr>
          <w:rFonts w:ascii="IRNazanin" w:hAnsi="IRNazanin" w:eastAsia="IRNazanin" w:cs="IRNazanin"/>
          <w:lang w:bidi="fa-IR"/>
          <w:color w:val="111111"/>
          <w:sz w:val="28"/>
          <w:szCs w:val="28"/>
          <w:rtl/>
        </w:rPr>
        <w:t xml:space="preserve">محمود بن احمد</w:t>
      </w:r>
    </w:p>
    <w:p>
      <w:pPr>
        <w:pStyle w:val="BookText"/>
      </w:pPr>
      <w:r>
        <w:rPr>
          <w:rFonts w:ascii="Amiri" w:hAnsi="Amiri" w:eastAsia="Amiri" w:cs="Amiri"/>
          <w:lang w:bidi="ar-SA"/>
          <w:color w:val="111111"/>
          <w:sz w:val="28"/>
          <w:szCs w:val="28"/>
          <w:rtl/>
        </w:rPr>
        <w:t xml:space="preserve">عيوني ، محمّد بن مقرب -ابن مقرب</w:t>
      </w:r>
    </w:p>
    <w:p>
      <w:pPr>
        <w:pStyle w:val="BookText"/>
      </w:pPr>
      <w:r>
        <w:rPr>
          <w:rFonts w:ascii="Amiri" w:hAnsi="Amiri" w:eastAsia="Amiri" w:cs="Amiri"/>
          <w:lang w:bidi="ar-SA"/>
          <w:color w:val="111111"/>
          <w:sz w:val="28"/>
          <w:szCs w:val="28"/>
          <w:rtl/>
        </w:rPr>
        <w:t xml:space="preserve">علي بن مقرب</w:t>
      </w:r>
    </w:p>
    <w:p>
      <w:pPr>
        <w:pStyle w:val="BookText"/>
      </w:pPr>
      <w:r>
        <w:rPr>
          <w:rFonts w:ascii="Amiri" w:hAnsi="Amiri" w:eastAsia="Amiri" w:cs="Amiri"/>
          <w:lang w:bidi="ar-SA"/>
          <w:color w:val="111111"/>
          <w:sz w:val="28"/>
          <w:szCs w:val="28"/>
          <w:rtl/>
        </w:rPr>
        <w:t xml:space="preserve">غاز آبادي ، احمد بن محمّد- قازآبادي</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غازاني تبريزي، اسماعيل بن حسين- فارابي</w:t>
      </w:r>
    </w:p>
    <w:p>
      <w:pPr>
        <w:pStyle w:val="BookText"/>
      </w:pPr>
      <w:r>
        <w:rPr>
          <w:rFonts w:ascii="IRNazanin" w:hAnsi="IRNazanin" w:eastAsia="IRNazanin" w:cs="IRNazanin"/>
          <w:lang w:bidi="fa-IR"/>
          <w:color w:val="111111"/>
          <w:sz w:val="28"/>
          <w:szCs w:val="28"/>
          <w:rtl/>
        </w:rPr>
        <w:t xml:space="preserve">تبريزي، امیر اسماعیل بن حسين</w:t>
      </w:r>
    </w:p>
    <w:p>
      <w:pPr>
        <w:pStyle w:val="BookText"/>
      </w:pPr>
      <w:r>
        <w:rPr>
          <w:rFonts w:ascii="IRNazanin" w:hAnsi="IRNazanin" w:eastAsia="IRNazanin" w:cs="IRNazanin"/>
          <w:lang w:bidi="fa-IR"/>
          <w:color w:val="111111"/>
          <w:sz w:val="28"/>
          <w:szCs w:val="28"/>
          <w:rtl/>
        </w:rPr>
        <w:t xml:space="preserve">غازي زاده رومي، صلاح الدین موسى بن</w:t>
      </w:r>
    </w:p>
    <w:p>
      <w:pPr>
        <w:pStyle w:val="BookText"/>
      </w:pPr>
      <w:r>
        <w:rPr>
          <w:rFonts w:ascii="Amiri" w:hAnsi="Amiri" w:eastAsia="Amiri" w:cs="Amiri"/>
          <w:lang w:bidi="ar-SA"/>
          <w:color w:val="111111"/>
          <w:sz w:val="28"/>
          <w:szCs w:val="28"/>
          <w:rtl/>
        </w:rPr>
        <w:t xml:space="preserve">محمود -قاضي زاده رومي، موسى بن</w:t>
      </w:r>
    </w:p>
    <w:p>
      <w:pPr>
        <w:pStyle w:val="BookText"/>
      </w:pPr>
      <w:r>
        <w:rPr>
          <w:rFonts w:ascii="IRNazanin" w:hAnsi="IRNazanin" w:eastAsia="IRNazanin" w:cs="IRNazanin"/>
          <w:lang w:bidi="fa-IR"/>
          <w:color w:val="111111"/>
          <w:sz w:val="28"/>
          <w:szCs w:val="28"/>
          <w:rtl/>
        </w:rPr>
        <w:t xml:space="preserve">محمود</w:t>
      </w:r>
    </w:p>
    <w:p>
      <w:pPr>
        <w:pStyle w:val="BookText"/>
      </w:pPr>
      <w:r>
        <w:rPr>
          <w:rFonts w:ascii="Amiri" w:hAnsi="Amiri" w:eastAsia="Amiri" w:cs="Amiri"/>
          <w:lang w:bidi="ar-SA"/>
          <w:color w:val="111111"/>
          <w:sz w:val="28"/>
          <w:szCs w:val="28"/>
          <w:rtl/>
        </w:rPr>
        <w:t xml:space="preserve">غازي ، محمّد بن محمّد- ابن شحنه</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غافقي ، عبد الواحد بن محمّد ب-اهلي</w:t>
      </w:r>
    </w:p>
    <w:p>
      <w:pPr>
        <w:pStyle w:val="BookText"/>
      </w:pPr>
      <w:r>
        <w:rPr>
          <w:rFonts w:ascii="IRNazanin" w:hAnsi="IRNazanin" w:eastAsia="IRNazanin" w:cs="IRNazanin"/>
          <w:lang w:bidi="fa-IR"/>
          <w:color w:val="111111"/>
          <w:sz w:val="28"/>
          <w:szCs w:val="28"/>
          <w:rtl/>
        </w:rPr>
        <w:t xml:space="preserve">عبد الواحد بن محمد</w:t>
      </w:r>
    </w:p>
    <w:p>
      <w:pPr>
        <w:pStyle w:val="BookText"/>
      </w:pPr>
      <w:r>
        <w:rPr>
          <w:rFonts w:ascii="Amiri" w:hAnsi="Amiri" w:eastAsia="Amiri" w:cs="Amiri"/>
          <w:lang w:bidi="ar-SA"/>
          <w:color w:val="111111"/>
          <w:sz w:val="28"/>
          <w:szCs w:val="28"/>
          <w:rtl/>
        </w:rPr>
        <w:t xml:space="preserve">غالب بن قعود بن صالح حويزي- حويزي</w:t>
      </w:r>
    </w:p>
    <w:p>
      <w:pPr>
        <w:pStyle w:val="BookText"/>
      </w:pPr>
      <w:r>
        <w:rPr>
          <w:rFonts w:ascii="IRNazanin" w:hAnsi="IRNazanin" w:eastAsia="IRNazanin" w:cs="IRNazanin"/>
          <w:lang w:bidi="fa-IR"/>
          <w:color w:val="111111"/>
          <w:sz w:val="28"/>
          <w:szCs w:val="28"/>
          <w:rtl/>
        </w:rPr>
        <w:t xml:space="preserve">، غالب بن قعود</w:t>
      </w:r>
    </w:p>
    <w:p>
      <w:pPr>
        <w:pStyle w:val="BookText"/>
      </w:pPr>
      <w:r>
        <w:rPr>
          <w:rFonts w:ascii="Amiri" w:hAnsi="Amiri" w:eastAsia="Amiri" w:cs="Amiri"/>
          <w:lang w:bidi="ar-SA"/>
          <w:color w:val="111111"/>
          <w:sz w:val="28"/>
          <w:szCs w:val="28"/>
          <w:rtl/>
        </w:rPr>
        <w:t xml:space="preserve">غانم بغدادي- بغدادي ، غانم بن محمّد</w:t>
      </w:r>
    </w:p>
    <w:p>
      <w:pPr>
        <w:pStyle w:val="BookText"/>
      </w:pPr>
      <w:r>
        <w:rPr>
          <w:rFonts w:ascii="Amiri" w:hAnsi="Amiri" w:eastAsia="Amiri" w:cs="Amiri"/>
          <w:lang w:bidi="ar-SA"/>
          <w:color w:val="111111"/>
          <w:sz w:val="28"/>
          <w:szCs w:val="28"/>
          <w:rtl/>
        </w:rPr>
        <w:t xml:space="preserve">غانم بن محمّد البغدادي -بغدادي ، غانم</w:t>
      </w:r>
    </w:p>
    <w:p>
      <w:pPr>
        <w:pStyle w:val="BookText"/>
      </w:pPr>
      <w:r>
        <w:rPr>
          <w:rFonts w:ascii="Amiri" w:hAnsi="Amiri" w:eastAsia="Amiri" w:cs="Amiri"/>
          <w:lang w:bidi="ar-SA"/>
          <w:color w:val="111111"/>
          <w:sz w:val="28"/>
          <w:szCs w:val="28"/>
          <w:rtl/>
        </w:rPr>
        <w:t xml:space="preserve">بن محمّد</w:t>
      </w:r>
    </w:p>
    <w:p>
      <w:pPr>
        <w:pStyle w:val="BookText"/>
      </w:pPr>
      <w:r>
        <w:rPr>
          <w:rFonts w:ascii="IRNazanin" w:hAnsi="IRNazanin" w:eastAsia="IRNazanin" w:cs="IRNazanin"/>
          <w:lang w:bidi="fa-IR"/>
          <w:color w:val="111111"/>
          <w:sz w:val="28"/>
          <w:szCs w:val="28"/>
          <w:rtl/>
        </w:rPr>
        <w:t xml:space="preserve">غانم ، محمّد شیخ -محمّد غانم</w:t>
      </w:r>
    </w:p>
    <w:p>
      <w:pPr>
        <w:pStyle w:val="Heading2"/>
      </w:pPr>
      <w:bookmarkStart w:id="6178" w:name="_Toc5280"/>
      <w:r>
        <w:t>غانمي شامي ، علي</w:t>
      </w:r>
      <w:bookmarkEnd w:id="6178"/>
    </w:p>
    <w:p>
      <w:pPr>
        <w:pStyle w:val="BookText"/>
      </w:pPr>
      <w:r>
        <w:rPr>
          <w:rFonts w:ascii="Amiri" w:hAnsi="Amiri" w:eastAsia="Amiri" w:cs="Amiri"/>
          <w:lang w:bidi="ar-SA"/>
          <w:color w:val="111111"/>
          <w:sz w:val="28"/>
          <w:szCs w:val="28"/>
          <w:rtl/>
        </w:rPr>
        <w:t xml:space="preserve">الجواب الشافي على اسئلة العلامة</w:t>
      </w:r>
    </w:p>
    <w:p>
      <w:pPr>
        <w:pStyle w:val="BookText"/>
      </w:pPr>
      <w:r>
        <w:rPr>
          <w:rFonts w:ascii="Amiri" w:hAnsi="Amiri" w:eastAsia="Amiri" w:cs="Amiri"/>
          <w:lang w:bidi="ar-SA"/>
          <w:color w:val="111111"/>
          <w:sz w:val="28"/>
          <w:szCs w:val="28"/>
          <w:rtl/>
        </w:rPr>
        <w:t xml:space="preserve">الزرافي، ج 5، ص 500.</w:t>
      </w:r>
    </w:p>
    <w:p>
      <w:pPr>
        <w:pStyle w:val="Heading2"/>
      </w:pPr>
      <w:bookmarkStart w:id="6179" w:name="_Toc5281"/>
      <w:r>
        <w:t>غراب زاده احمد بن عبدالله - 1099 ه-</w:t>
      </w:r>
      <w:bookmarkEnd w:id="6179"/>
    </w:p>
    <w:p>
      <w:pPr>
        <w:pStyle w:val="BookText"/>
      </w:pPr>
      <w:r>
        <w:rPr>
          <w:rFonts w:ascii="Amiri" w:hAnsi="Amiri" w:eastAsia="Amiri" w:cs="Amiri"/>
          <w:lang w:bidi="ar-SA"/>
          <w:color w:val="111111"/>
          <w:sz w:val="28"/>
          <w:szCs w:val="28"/>
          <w:rtl/>
        </w:rPr>
        <w:t xml:space="preserve">زبدة آثار المواهب و الانوار = انوار</w:t>
      </w:r>
    </w:p>
    <w:p>
      <w:pPr>
        <w:pStyle w:val="BookText"/>
      </w:pPr>
      <w:r>
        <w:rPr>
          <w:rFonts w:ascii="IRNazanin" w:hAnsi="IRNazanin" w:eastAsia="IRNazanin" w:cs="IRNazanin"/>
          <w:lang w:bidi="fa-IR"/>
          <w:color w:val="111111"/>
          <w:sz w:val="28"/>
          <w:szCs w:val="28"/>
          <w:rtl/>
        </w:rPr>
        <w:t xml:space="preserve">المواهب، ج8، ص 549.</w:t>
      </w:r>
    </w:p>
    <w:p>
      <w:pPr>
        <w:pStyle w:val="BookText"/>
      </w:pPr>
      <w:r>
        <w:rPr>
          <w:rFonts w:ascii="Amiri" w:hAnsi="Amiri" w:eastAsia="Amiri" w:cs="Amiri"/>
          <w:lang w:bidi="ar-SA"/>
          <w:color w:val="111111"/>
          <w:sz w:val="28"/>
          <w:szCs w:val="28"/>
          <w:rtl/>
        </w:rPr>
        <w:t xml:space="preserve">غرابي ، احمد بن عبد الله- بغدادي ، احمد بن عبدالله</w:t>
      </w:r>
    </w:p>
    <w:p>
      <w:pPr>
        <w:pStyle w:val="Heading2"/>
      </w:pPr>
      <w:bookmarkStart w:id="6180" w:name="_Toc5282"/>
      <w:r>
        <w:t>غراوي، ابراهيم بن محمّد قرن 14 ه-</w:t>
      </w:r>
      <w:bookmarkEnd w:id="6180"/>
    </w:p>
    <w:p>
      <w:pPr>
        <w:pStyle w:val="BookText"/>
      </w:pPr>
      <w:r>
        <w:rPr>
          <w:rFonts w:ascii="IRNazanin" w:hAnsi="IRNazanin" w:eastAsia="IRNazanin" w:cs="IRNazanin"/>
          <w:lang w:bidi="fa-IR"/>
          <w:color w:val="111111"/>
          <w:sz w:val="28"/>
          <w:szCs w:val="28"/>
          <w:rtl/>
        </w:rPr>
        <w:t xml:space="preserve">1 .اصول الفقه، ج2، ص 441 .</w:t>
      </w:r>
    </w:p>
    <w:p>
      <w:pPr>
        <w:pStyle w:val="BookText"/>
      </w:pPr>
      <w:r>
        <w:rPr>
          <w:rFonts w:ascii="IRNazanin" w:hAnsi="IRNazanin" w:eastAsia="IRNazanin" w:cs="IRNazanin"/>
          <w:lang w:bidi="fa-IR"/>
          <w:color w:val="111111"/>
          <w:sz w:val="28"/>
          <w:szCs w:val="28"/>
          <w:rtl/>
        </w:rPr>
        <w:t xml:space="preserve">2 .کاشف ريبة المراجع في شرح</w:t>
      </w:r>
    </w:p>
    <w:p>
      <w:pPr>
        <w:pStyle w:val="BookText"/>
      </w:pPr>
      <w:r>
        <w:rPr>
          <w:rFonts w:ascii="IRNazanin" w:hAnsi="IRNazanin" w:eastAsia="IRNazanin" w:cs="IRNazanin"/>
          <w:lang w:bidi="fa-IR"/>
          <w:color w:val="111111"/>
          <w:sz w:val="28"/>
          <w:szCs w:val="28"/>
          <w:rtl/>
        </w:rPr>
        <w:t xml:space="preserve">المختصر النافع، ج13، ص 9.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19" w:name="pg7742_70905"/>
    <w:bookmarkEnd w:id="819"/>
    <w:p>
      <w:pPr>
        <w:pStyle w:val="Heading2"/>
      </w:pPr>
      <w:bookmarkStart w:id="6181" w:name="_Toc5283"/>
      <w:r>
        <w:t>غراوي ، ابوالمعالي</w:t>
      </w:r>
      <w:bookmarkEnd w:id="6181"/>
    </w:p>
    <w:p>
      <w:pPr>
        <w:pStyle w:val="BookText"/>
      </w:pPr>
      <w:r>
        <w:rPr>
          <w:rFonts w:ascii="Amiri" w:hAnsi="Amiri" w:eastAsia="Amiri" w:cs="Amiri"/>
          <w:lang w:bidi="ar-SA"/>
          <w:color w:val="111111"/>
          <w:sz w:val="28"/>
          <w:szCs w:val="28"/>
          <w:rtl/>
        </w:rPr>
        <w:t xml:space="preserve">السباعيات، ج8، ص 690.</w:t>
      </w:r>
    </w:p>
    <w:p>
      <w:pPr>
        <w:pStyle w:val="Heading2"/>
      </w:pPr>
      <w:bookmarkStart w:id="6182" w:name="_Toc5284"/>
      <w:r>
        <w:t>غراوي ، جاسم بن محمّد رضا قرن 14 ه-</w:t>
      </w:r>
      <w:bookmarkEnd w:id="6182"/>
    </w:p>
    <w:p>
      <w:pPr>
        <w:pStyle w:val="BookText"/>
      </w:pPr>
      <w:r>
        <w:rPr>
          <w:rFonts w:ascii="Amiri" w:hAnsi="Amiri" w:eastAsia="Amiri" w:cs="Amiri"/>
          <w:lang w:bidi="ar-SA"/>
          <w:color w:val="111111"/>
          <w:sz w:val="28"/>
          <w:szCs w:val="28"/>
          <w:rtl/>
        </w:rPr>
        <w:t xml:space="preserve">1 .النفحات الخصيبية، ج 16، ص 382.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الوفيات، ج 16 ، ص 851.</w:t>
      </w:r>
    </w:p>
    <w:p>
      <w:pPr>
        <w:pStyle w:val="Heading2"/>
      </w:pPr>
      <w:bookmarkStart w:id="6183" w:name="_Toc5285"/>
      <w:r>
        <w:t>غراوي ، عبد الرحيم بن محمّد</w:t>
      </w:r>
      <w:bookmarkEnd w:id="6183"/>
    </w:p>
    <w:p>
      <w:pPr>
        <w:pStyle w:val="BookText"/>
      </w:pPr>
      <w:r>
        <w:rPr>
          <w:rFonts w:ascii="Amiri" w:hAnsi="Amiri" w:eastAsia="Amiri" w:cs="Amiri"/>
          <w:lang w:bidi="ar-SA"/>
          <w:color w:val="111111"/>
          <w:sz w:val="28"/>
          <w:szCs w:val="28"/>
          <w:rtl/>
        </w:rPr>
        <w:t xml:space="preserve">ديوان الغراوي، ج 7، ص 729.</w:t>
      </w:r>
    </w:p>
    <w:p>
      <w:pPr>
        <w:pStyle w:val="BookText"/>
      </w:pPr>
      <w:r>
        <w:rPr>
          <w:rFonts w:ascii="Amiri" w:hAnsi="Amiri" w:eastAsia="Amiri" w:cs="Amiri"/>
          <w:lang w:bidi="ar-SA"/>
          <w:color w:val="111111"/>
          <w:sz w:val="28"/>
          <w:szCs w:val="28"/>
          <w:rtl/>
        </w:rPr>
        <w:t xml:space="preserve">غراوي ، محمّد بن فضل -فراوي ، محمّد بن فضل</w:t>
      </w:r>
    </w:p>
    <w:p>
      <w:pPr>
        <w:pStyle w:val="Heading2"/>
      </w:pPr>
      <w:bookmarkStart w:id="6184" w:name="_Toc5286"/>
      <w:r>
        <w:t>غراوي ، محمّد رضا بن قاسم قرن 14 ه-</w:t>
      </w:r>
      <w:bookmarkEnd w:id="6184"/>
    </w:p>
    <w:p>
      <w:pPr>
        <w:pStyle w:val="BookText"/>
      </w:pPr>
      <w:r>
        <w:rPr>
          <w:rFonts w:ascii="Amiri" w:hAnsi="Amiri" w:eastAsia="Amiri" w:cs="Amiri"/>
          <w:lang w:bidi="ar-SA"/>
          <w:color w:val="111111"/>
          <w:sz w:val="28"/>
          <w:szCs w:val="28"/>
          <w:rtl/>
        </w:rPr>
        <w:t xml:space="preserve">1 احسن الحديث، ج 1 ، ص 446 .</w:t>
      </w:r>
    </w:p>
    <w:p>
      <w:pPr>
        <w:pStyle w:val="BookText"/>
      </w:pPr>
      <w:r>
        <w:rPr>
          <w:rFonts w:ascii="Amiri" w:hAnsi="Amiri" w:eastAsia="Amiri" w:cs="Amiri"/>
          <w:lang w:bidi="ar-SA"/>
          <w:color w:val="111111"/>
          <w:sz w:val="28"/>
          <w:szCs w:val="28"/>
          <w:rtl/>
        </w:rPr>
        <w:t xml:space="preserve">2 .احسن القصص في اخبار الانبياء</w:t>
      </w:r>
    </w:p>
    <w:p>
      <w:pPr>
        <w:pStyle w:val="BookText"/>
      </w:pPr>
      <w:r>
        <w:rPr>
          <w:rFonts w:ascii="IRNazanin" w:hAnsi="IRNazanin" w:eastAsia="IRNazanin" w:cs="IRNazanin"/>
          <w:lang w:bidi="fa-IR"/>
          <w:color w:val="111111"/>
          <w:sz w:val="28"/>
          <w:szCs w:val="28"/>
          <w:rtl/>
        </w:rPr>
        <w:t xml:space="preserve">ج 1، ص 447.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الاربعون حديثا، ج1، ص711.</w:t>
      </w:r>
    </w:p>
    <w:p>
      <w:pPr>
        <w:pStyle w:val="BookText"/>
      </w:pPr>
      <w:r>
        <w:rPr>
          <w:rFonts w:ascii="Amiri" w:hAnsi="Amiri" w:eastAsia="Amiri" w:cs="Amiri"/>
          <w:lang w:bidi="ar-SA"/>
          <w:color w:val="111111"/>
          <w:sz w:val="28"/>
          <w:szCs w:val="28"/>
          <w:rtl/>
        </w:rPr>
        <w:t xml:space="preserve">4 .ازالة الغواشي في بيان مدرك الحواشي، ج 2، ص 62.</w:t>
      </w:r>
    </w:p>
    <w:p>
      <w:pPr>
        <w:pStyle w:val="BookText"/>
      </w:pPr>
      <w:r>
        <w:rPr>
          <w:rFonts w:ascii="Amiri" w:hAnsi="Amiri" w:eastAsia="Amiri" w:cs="Amiri"/>
          <w:lang w:bidi="ar-SA"/>
          <w:color w:val="111111"/>
          <w:sz w:val="28"/>
          <w:szCs w:val="28"/>
          <w:rtl/>
        </w:rPr>
        <w:t xml:space="preserve">5 .اصدق المقال في الدراية والرجال</w:t>
      </w:r>
    </w:p>
    <w:p>
      <w:pPr>
        <w:pStyle w:val="BookText"/>
      </w:pPr>
      <w:r>
        <w:rPr>
          <w:rFonts w:ascii="IRNazanin" w:hAnsi="IRNazanin" w:eastAsia="IRNazanin" w:cs="IRNazanin"/>
          <w:lang w:bidi="fa-IR"/>
          <w:color w:val="111111"/>
          <w:sz w:val="28"/>
          <w:szCs w:val="28"/>
          <w:rtl/>
        </w:rPr>
        <w:t xml:space="preserve">ج 2، ص 363.</w:t>
      </w:r>
    </w:p>
    <w:p>
      <w:pPr>
        <w:pStyle w:val="BookText"/>
      </w:pPr>
      <w:r>
        <w:rPr>
          <w:rFonts w:ascii="Amiri" w:hAnsi="Amiri" w:eastAsia="Amiri" w:cs="Amiri"/>
          <w:lang w:bidi="ar-SA"/>
          <w:color w:val="111111"/>
          <w:sz w:val="28"/>
          <w:szCs w:val="28"/>
          <w:rtl/>
        </w:rPr>
        <w:t xml:space="preserve">6 .اقليد النجاح في شرح دعاء الصباح</w:t>
      </w:r>
    </w:p>
    <w:p>
      <w:pPr>
        <w:pStyle w:val="BookText"/>
      </w:pPr>
      <w:r>
        <w:rPr>
          <w:rFonts w:ascii="IRNazanin" w:hAnsi="IRNazanin" w:eastAsia="IRNazanin" w:cs="IRNazanin"/>
          <w:lang w:bidi="fa-IR"/>
          <w:color w:val="111111"/>
          <w:sz w:val="28"/>
          <w:szCs w:val="28"/>
          <w:rtl/>
        </w:rPr>
        <w:t xml:space="preserve">ج 2، ص 630.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انوار الغرر، ج 3، ص 6.</w:t>
      </w:r>
    </w:p>
    <w:p>
      <w:pPr>
        <w:pStyle w:val="BookText"/>
      </w:pPr>
      <w:r>
        <w:rPr>
          <w:rFonts w:ascii="Amiri" w:hAnsi="Amiri" w:eastAsia="Amiri" w:cs="Amiri"/>
          <w:lang w:bidi="ar-SA"/>
          <w:color w:val="111111"/>
          <w:sz w:val="28"/>
          <w:szCs w:val="28"/>
          <w:rtl/>
        </w:rPr>
        <w:t xml:space="preserve">8.اهبة المعاد، ج 3، ص 49.</w:t>
      </w:r>
    </w:p>
    <w:p>
      <w:pPr>
        <w:pStyle w:val="BookText"/>
      </w:pPr>
      <w:r>
        <w:rPr>
          <w:rFonts w:ascii="Amiri" w:hAnsi="Amiri" w:eastAsia="Amiri" w:cs="Amiri"/>
          <w:lang w:bidi="ar-SA"/>
          <w:color w:val="111111"/>
          <w:sz w:val="28"/>
          <w:szCs w:val="28"/>
          <w:rtl/>
        </w:rPr>
        <w:t xml:space="preserve">9 .بشرى الاخيار في الزيارات النبي و</w:t>
      </w:r>
    </w:p>
    <w:p>
      <w:pPr>
        <w:pStyle w:val="BookText"/>
      </w:pPr>
      <w:r>
        <w:rPr>
          <w:rFonts w:ascii="Amiri" w:hAnsi="Amiri" w:eastAsia="Amiri" w:cs="Amiri"/>
          <w:lang w:bidi="ar-SA"/>
          <w:color w:val="111111"/>
          <w:sz w:val="28"/>
          <w:szCs w:val="28"/>
          <w:rtl/>
        </w:rPr>
        <w:t xml:space="preserve">الائمة الاطهار، ج 3، ص 337.</w:t>
      </w:r>
    </w:p>
    <w:p>
      <w:pPr>
        <w:pStyle w:val="BookText"/>
      </w:pPr>
      <w:r>
        <w:rPr>
          <w:rFonts w:ascii="Amiri" w:hAnsi="Amiri" w:eastAsia="Amiri" w:cs="Amiri"/>
          <w:lang w:bidi="ar-SA"/>
          <w:color w:val="111111"/>
          <w:sz w:val="28"/>
          <w:szCs w:val="28"/>
          <w:rtl/>
        </w:rPr>
        <w:t xml:space="preserve">10 .البضاعة المزجاة، ج 3، ص 352.</w:t>
      </w:r>
    </w:p>
    <w:p>
      <w:pPr>
        <w:pStyle w:val="BookText"/>
      </w:pPr>
      <w:r>
        <w:rPr>
          <w:rFonts w:ascii="Amiri" w:hAnsi="Amiri" w:eastAsia="Amiri" w:cs="Amiri"/>
          <w:lang w:bidi="ar-SA"/>
          <w:color w:val="111111"/>
          <w:sz w:val="28"/>
          <w:szCs w:val="28"/>
          <w:rtl/>
        </w:rPr>
        <w:t xml:space="preserve">11 .بلوغ مني الجنان في تفسير بعض</w:t>
      </w:r>
    </w:p>
    <w:p>
      <w:pPr>
        <w:pStyle w:val="BookText"/>
      </w:pPr>
      <w:r>
        <w:rPr>
          <w:rFonts w:ascii="IRNazanin" w:hAnsi="IRNazanin" w:eastAsia="IRNazanin" w:cs="IRNazanin"/>
          <w:lang w:bidi="fa-IR"/>
          <w:color w:val="111111"/>
          <w:sz w:val="28"/>
          <w:szCs w:val="28"/>
          <w:rtl/>
        </w:rPr>
        <w:t xml:space="preserve">الفاظ القرآن، ج 3، ص 403.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تصريح الحديث و الخبر في اسماء</w:t>
      </w:r>
    </w:p>
    <w:p>
      <w:pPr>
        <w:pStyle w:val="BookText"/>
      </w:pPr>
      <w:r>
        <w:rPr>
          <w:rFonts w:ascii="Amiri" w:hAnsi="Amiri" w:eastAsia="Amiri" w:cs="Amiri"/>
          <w:lang w:bidi="ar-SA"/>
          <w:color w:val="111111"/>
          <w:sz w:val="28"/>
          <w:szCs w:val="28"/>
          <w:rtl/>
        </w:rPr>
        <w:t xml:space="preserve">الائمة الاثنى عشر، ج 4 ، ص 409 ..</w:t>
      </w:r>
    </w:p>
    <w:p>
      <w:pPr>
        <w:pStyle w:val="BookText"/>
      </w:pPr>
      <w:r>
        <w:rPr>
          <w:rFonts w:ascii="Amiri" w:hAnsi="Amiri" w:eastAsia="Amiri" w:cs="Amiri"/>
          <w:lang w:bidi="ar-SA"/>
          <w:color w:val="111111"/>
          <w:sz w:val="28"/>
          <w:szCs w:val="28"/>
          <w:rtl/>
        </w:rPr>
        <w:t xml:space="preserve">13 .تعريف الحيران في كيفية خلق</w:t>
      </w:r>
    </w:p>
    <w:p>
      <w:pPr>
        <w:pStyle w:val="BookText"/>
      </w:pPr>
      <w:r>
        <w:rPr>
          <w:rFonts w:ascii="IRNazanin" w:hAnsi="IRNazanin" w:eastAsia="IRNazanin" w:cs="IRNazanin"/>
          <w:lang w:bidi="fa-IR"/>
          <w:color w:val="111111"/>
          <w:sz w:val="28"/>
          <w:szCs w:val="28"/>
          <w:rtl/>
        </w:rPr>
        <w:t xml:space="preserve">الانسان، ج4، ص 477.</w:t>
      </w:r>
    </w:p>
    <w:p>
      <w:pPr>
        <w:pStyle w:val="BookText"/>
      </w:pPr>
      <w:r>
        <w:rPr>
          <w:rFonts w:ascii="Amiri" w:hAnsi="Amiri" w:eastAsia="Amiri" w:cs="Amiri"/>
          <w:lang w:bidi="ar-SA"/>
          <w:color w:val="111111"/>
          <w:sz w:val="28"/>
          <w:szCs w:val="28"/>
          <w:rtl/>
        </w:rPr>
        <w:t xml:space="preserve">14 .جوامع الكلم والحكم وعوالم العلم و الامم، ج 5، ص 533.</w:t>
      </w:r>
    </w:p>
    <w:p>
      <w:pPr>
        <w:pStyle w:val="BookText"/>
      </w:pPr>
      <w:r>
        <w:rPr>
          <w:rFonts w:ascii="Amiri" w:hAnsi="Amiri" w:eastAsia="Amiri" w:cs="Amiri"/>
          <w:lang w:bidi="ar-SA"/>
          <w:color w:val="111111"/>
          <w:sz w:val="28"/>
          <w:szCs w:val="28"/>
          <w:rtl/>
        </w:rPr>
        <w:t xml:space="preserve">15 .الحجة الكافية في تعيين الفرقة</w:t>
      </w:r>
    </w:p>
    <w:p>
      <w:pPr>
        <w:pStyle w:val="BookText"/>
      </w:pPr>
      <w:r>
        <w:rPr>
          <w:rFonts w:ascii="Amiri" w:hAnsi="Amiri" w:eastAsia="Amiri" w:cs="Amiri"/>
          <w:lang w:bidi="ar-SA"/>
          <w:color w:val="111111"/>
          <w:sz w:val="28"/>
          <w:szCs w:val="28"/>
          <w:rtl/>
        </w:rPr>
        <w:t xml:space="preserve">الناجية، ج 6، ص 486.</w:t>
      </w:r>
    </w:p>
    <w:p>
      <w:pPr>
        <w:pStyle w:val="BookText"/>
      </w:pPr>
      <w:r>
        <w:rPr>
          <w:rFonts w:ascii="Amiri" w:hAnsi="Amiri" w:eastAsia="Amiri" w:cs="Amiri"/>
          <w:lang w:bidi="ar-SA"/>
          <w:color w:val="111111"/>
          <w:sz w:val="28"/>
          <w:szCs w:val="28"/>
          <w:rtl/>
        </w:rPr>
        <w:t xml:space="preserve">16 .حكومة الفكر الحر، ج 6 ، ص 770.</w:t>
      </w:r>
    </w:p>
    <w:p>
      <w:pPr>
        <w:pStyle w:val="BookText"/>
      </w:pPr>
      <w:r>
        <w:rPr>
          <w:rFonts w:ascii="Amiri" w:hAnsi="Amiri" w:eastAsia="Amiri" w:cs="Amiri"/>
          <w:lang w:bidi="ar-SA"/>
          <w:color w:val="111111"/>
          <w:sz w:val="28"/>
          <w:szCs w:val="28"/>
          <w:rtl/>
        </w:rPr>
        <w:t xml:space="preserve">17 .حل الاغلاق عن اخبار الطينة و</w:t>
      </w:r>
    </w:p>
    <w:p>
      <w:pPr>
        <w:pStyle w:val="BookText"/>
      </w:pPr>
      <w:r>
        <w:rPr>
          <w:rFonts w:ascii="Amiri" w:hAnsi="Amiri" w:eastAsia="Amiri" w:cs="Amiri"/>
          <w:lang w:bidi="ar-SA"/>
          <w:color w:val="111111"/>
          <w:sz w:val="28"/>
          <w:szCs w:val="28"/>
          <w:rtl/>
        </w:rPr>
        <w:t xml:space="preserve">الميثاق، ج 6 ، ص 772.</w:t>
      </w:r>
    </w:p>
    <w:p>
      <w:pPr>
        <w:pStyle w:val="BookText"/>
      </w:pPr>
      <w:r>
        <w:rPr>
          <w:rFonts w:ascii="Amiri" w:hAnsi="Amiri" w:eastAsia="Amiri" w:cs="Amiri"/>
          <w:lang w:bidi="ar-SA"/>
          <w:color w:val="111111"/>
          <w:sz w:val="28"/>
          <w:szCs w:val="28"/>
          <w:rtl/>
        </w:rPr>
        <w:t xml:space="preserve">18 .الخيرات الحسان في تفسير القرآن</w:t>
      </w:r>
    </w:p>
    <w:p>
      <w:pPr>
        <w:pStyle w:val="BookText"/>
      </w:pPr>
      <w:r>
        <w:rPr>
          <w:rFonts w:ascii="IRNazanin" w:hAnsi="IRNazanin" w:eastAsia="IRNazanin" w:cs="IRNazanin"/>
          <w:lang w:bidi="fa-IR"/>
          <w:color w:val="111111"/>
          <w:sz w:val="28"/>
          <w:szCs w:val="28"/>
          <w:rtl/>
        </w:rPr>
        <w:t xml:space="preserve">ج 7، ص 189.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رشحات القدس في تحقيق معنى</w:t>
      </w:r>
    </w:p>
    <w:p>
      <w:pPr>
        <w:pStyle w:val="BookText"/>
      </w:pPr>
      <w:r>
        <w:rPr>
          <w:rFonts w:ascii="Amiri" w:hAnsi="Amiri" w:eastAsia="Amiri" w:cs="Amiri"/>
          <w:lang w:bidi="ar-SA"/>
          <w:color w:val="111111"/>
          <w:sz w:val="28"/>
          <w:szCs w:val="28"/>
          <w:rtl/>
        </w:rPr>
        <w:t xml:space="preserve">الوسوسة وحديث النفس، ج8،</w:t>
      </w:r>
    </w:p>
    <w:p>
      <w:pPr>
        <w:pStyle w:val="BookText"/>
      </w:pPr>
      <w:r>
        <w:rPr>
          <w:rFonts w:ascii="IRNazanin" w:hAnsi="IRNazanin" w:eastAsia="IRNazanin" w:cs="IRNazanin"/>
          <w:lang w:bidi="fa-IR"/>
          <w:color w:val="111111"/>
          <w:sz w:val="28"/>
          <w:szCs w:val="28"/>
          <w:rtl/>
        </w:rPr>
        <w:t xml:space="preserve">ص 307.</w:t>
      </w:r>
    </w:p>
    <w:p>
      <w:pPr>
        <w:pStyle w:val="BookText"/>
      </w:pPr>
      <w:r>
        <w:rPr>
          <w:rFonts w:ascii="Amiri" w:hAnsi="Amiri" w:eastAsia="Amiri" w:cs="Amiri"/>
          <w:lang w:bidi="ar-SA"/>
          <w:color w:val="111111"/>
          <w:sz w:val="28"/>
          <w:szCs w:val="28"/>
          <w:rtl/>
        </w:rPr>
        <w:t xml:space="preserve">20 .الزهر الفائق في شرح مقدمة</w:t>
      </w:r>
    </w:p>
    <w:p>
      <w:pPr>
        <w:pStyle w:val="BookText"/>
      </w:pPr>
      <w:r>
        <w:rPr>
          <w:rFonts w:ascii="IRNazanin" w:hAnsi="IRNazanin" w:eastAsia="IRNazanin" w:cs="IRNazanin"/>
          <w:lang w:bidi="fa-IR"/>
          <w:color w:val="111111"/>
          <w:sz w:val="28"/>
          <w:szCs w:val="28"/>
          <w:rtl/>
        </w:rPr>
        <w:t xml:space="preserve">الحدائق، ج8، ص 630.</w:t>
      </w:r>
    </w:p>
    <w:p>
      <w:pPr>
        <w:pStyle w:val="BookText"/>
      </w:pPr>
      <w:r>
        <w:rPr>
          <w:rFonts w:ascii="Amiri" w:hAnsi="Amiri" w:eastAsia="Amiri" w:cs="Amiri"/>
          <w:lang w:bidi="ar-SA"/>
          <w:color w:val="111111"/>
          <w:sz w:val="28"/>
          <w:szCs w:val="28"/>
          <w:rtl/>
        </w:rPr>
        <w:t xml:space="preserve">21 .سعادة الانام، ج8، ص773.</w:t>
      </w:r>
    </w:p>
    <w:p>
      <w:pPr>
        <w:pStyle w:val="BookText"/>
      </w:pPr>
      <w:r>
        <w:rPr>
          <w:rFonts w:ascii="IRNazanin" w:hAnsi="IRNazanin" w:eastAsia="IRNazanin" w:cs="IRNazanin"/>
          <w:lang w:bidi="fa-IR"/>
          <w:color w:val="111111"/>
          <w:sz w:val="28"/>
          <w:szCs w:val="28"/>
          <w:rtl/>
        </w:rPr>
        <w:t xml:space="preserve">22 .شفاء الصدور، ج 10، ص 384.</w:t>
      </w:r>
    </w:p>
    <w:p>
      <w:pPr>
        <w:pStyle w:val="BookText"/>
      </w:pPr>
      <w:r>
        <w:rPr>
          <w:rFonts w:ascii="Amiri" w:hAnsi="Amiri" w:eastAsia="Amiri" w:cs="Amiri"/>
          <w:lang w:bidi="ar-SA"/>
          <w:color w:val="111111"/>
          <w:sz w:val="28"/>
          <w:szCs w:val="28"/>
          <w:rtl/>
        </w:rPr>
        <w:t xml:space="preserve">23 .شفاء القلوب في عصمة الانبياء</w:t>
      </w:r>
    </w:p>
    <w:p>
      <w:pPr>
        <w:pStyle w:val="BookText"/>
      </w:pPr>
      <w:r>
        <w:rPr>
          <w:rFonts w:ascii="IRNazanin" w:hAnsi="IRNazanin" w:eastAsia="IRNazanin" w:cs="IRNazanin"/>
          <w:lang w:bidi="fa-IR"/>
          <w:color w:val="111111"/>
          <w:sz w:val="28"/>
          <w:szCs w:val="28"/>
          <w:rtl/>
        </w:rPr>
        <w:t xml:space="preserve">عن الذنوب، ج 10، ص390.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صحيفة الامان من النيران في احوال صاحب الزمان، ج10،</w:t>
      </w:r>
    </w:p>
    <w:p>
      <w:pPr>
        <w:pStyle w:val="BookText"/>
      </w:pPr>
      <w:r>
        <w:rPr>
          <w:rFonts w:ascii="IRNazanin" w:hAnsi="IRNazanin" w:eastAsia="IRNazanin" w:cs="IRNazanin"/>
          <w:lang w:bidi="fa-IR"/>
          <w:color w:val="111111"/>
          <w:sz w:val="28"/>
          <w:szCs w:val="28"/>
          <w:rtl/>
        </w:rPr>
        <w:t xml:space="preserve">ص 512.</w:t>
      </w:r>
    </w:p>
    <w:p>
      <w:pPr>
        <w:pStyle w:val="BookText"/>
      </w:pPr>
      <w:r>
        <w:rPr>
          <w:rFonts w:ascii="Amiri" w:hAnsi="Amiri" w:eastAsia="Amiri" w:cs="Amiri"/>
          <w:lang w:bidi="ar-SA"/>
          <w:color w:val="111111"/>
          <w:sz w:val="28"/>
          <w:szCs w:val="28"/>
          <w:rtl/>
        </w:rPr>
        <w:t xml:space="preserve">25 .الصراط المستقيم و النهج القويم</w:t>
      </w:r>
    </w:p>
    <w:p>
      <w:pPr>
        <w:pStyle w:val="BookText"/>
      </w:pPr>
      <w:r>
        <w:rPr>
          <w:rFonts w:ascii="IRNazanin" w:hAnsi="IRNazanin" w:eastAsia="IRNazanin" w:cs="IRNazanin"/>
          <w:lang w:bidi="fa-IR"/>
          <w:color w:val="111111"/>
          <w:sz w:val="28"/>
          <w:szCs w:val="28"/>
          <w:rtl/>
        </w:rPr>
        <w:t xml:space="preserve">ج 10، ص 546.</w:t>
      </w:r>
    </w:p>
    <w:p>
      <w:pPr>
        <w:pStyle w:val="BookText"/>
      </w:pPr>
      <w:r>
        <w:rPr>
          <w:rFonts w:ascii="Amiri" w:hAnsi="Amiri" w:eastAsia="Amiri" w:cs="Amiri"/>
          <w:lang w:bidi="ar-SA"/>
          <w:color w:val="111111"/>
          <w:sz w:val="28"/>
          <w:szCs w:val="28"/>
          <w:rtl/>
        </w:rPr>
        <w:t xml:space="preserve">26 .طريق الوصول إلى علم الاصول</w:t>
      </w:r>
    </w:p>
    <w:p>
      <w:pPr>
        <w:pStyle w:val="BookText"/>
      </w:pPr>
      <w:r>
        <w:rPr>
          <w:rFonts w:ascii="IRNazanin" w:hAnsi="IRNazanin" w:eastAsia="IRNazanin" w:cs="IRNazanin"/>
          <w:lang w:bidi="fa-IR"/>
          <w:color w:val="111111"/>
          <w:sz w:val="28"/>
          <w:szCs w:val="28"/>
          <w:rtl/>
        </w:rPr>
        <w:t xml:space="preserve">ج 10، ص 834.</w:t>
      </w:r>
    </w:p>
    <w:p>
      <w:pPr>
        <w:pStyle w:val="BookText"/>
      </w:pPr>
      <w:r>
        <w:rPr>
          <w:rFonts w:ascii="Amiri" w:hAnsi="Amiri" w:eastAsia="Amiri" w:cs="Amiri"/>
          <w:lang w:bidi="ar-SA"/>
          <w:color w:val="111111"/>
          <w:sz w:val="28"/>
          <w:szCs w:val="28"/>
          <w:rtl/>
        </w:rPr>
        <w:t xml:space="preserve">27 .العري العاصمة في مناقب فاطمة</w:t>
      </w:r>
    </w:p>
    <w:p>
      <w:pPr>
        <w:pStyle w:val="BookText"/>
      </w:pPr>
      <w:r>
        <w:rPr>
          <w:rFonts w:ascii="IRNazanin" w:hAnsi="IRNazanin" w:eastAsia="IRNazanin" w:cs="IRNazanin"/>
          <w:lang w:bidi="fa-IR"/>
          <w:color w:val="111111"/>
          <w:sz w:val="28"/>
          <w:szCs w:val="28"/>
          <w:rtl/>
        </w:rPr>
        <w:t xml:space="preserve">ج 11، ص 104.</w:t>
      </w:r>
    </w:p>
    <w:p>
      <w:pPr>
        <w:pStyle w:val="BookText"/>
      </w:pPr>
      <w:r>
        <w:rPr>
          <w:rFonts w:ascii="Amiri" w:hAnsi="Amiri" w:eastAsia="Amiri" w:cs="Amiri"/>
          <w:lang w:bidi="ar-SA"/>
          <w:color w:val="111111"/>
          <w:sz w:val="28"/>
          <w:szCs w:val="28"/>
          <w:rtl/>
        </w:rPr>
        <w:t xml:space="preserve">28 .عقود الدرر في شرح المختصر</w:t>
      </w:r>
    </w:p>
    <w:p>
      <w:pPr>
        <w:pStyle w:val="BookText"/>
      </w:pPr>
      <w:r>
        <w:rPr>
          <w:rFonts w:ascii="IRNazanin" w:hAnsi="IRNazanin" w:eastAsia="IRNazanin" w:cs="IRNazanin"/>
          <w:lang w:bidi="fa-IR"/>
          <w:color w:val="111111"/>
          <w:sz w:val="28"/>
          <w:szCs w:val="28"/>
          <w:rtl/>
        </w:rPr>
        <w:t xml:space="preserve">ج 11، ص188.</w:t>
      </w:r>
    </w:p>
    <w:p>
      <w:pPr>
        <w:pStyle w:val="BookText"/>
      </w:pPr>
      <w:r>
        <w:rPr>
          <w:rFonts w:ascii="Amiri" w:hAnsi="Amiri" w:eastAsia="Amiri" w:cs="Amiri"/>
          <w:lang w:bidi="ar-SA"/>
          <w:color w:val="111111"/>
          <w:sz w:val="28"/>
          <w:szCs w:val="28"/>
          <w:rtl/>
        </w:rPr>
        <w:t xml:space="preserve">29 .الغرر البهية في شرح رجز الالفية</w:t>
      </w:r>
    </w:p>
    <w:p>
      <w:pPr>
        <w:pStyle w:val="BookText"/>
      </w:pPr>
      <w:r>
        <w:rPr>
          <w:rFonts w:ascii="IRNazanin" w:hAnsi="IRNazanin" w:eastAsia="IRNazanin" w:cs="IRNazanin"/>
          <w:lang w:bidi="fa-IR"/>
          <w:color w:val="111111"/>
          <w:sz w:val="28"/>
          <w:szCs w:val="28"/>
          <w:rtl/>
        </w:rPr>
        <w:t xml:space="preserve">ج 11، ص 478.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20" w:name="pg7742_70907"/>
    <w:bookmarkEnd w:id="820"/>
    <w:p>
      <w:pPr>
        <w:pStyle w:val="BookText"/>
      </w:pPr>
      <w:r>
        <w:rPr>
          <w:rFonts w:ascii="Amiri" w:hAnsi="Amiri" w:eastAsia="Amiri" w:cs="Amiri"/>
          <w:lang w:bidi="ar-SA"/>
          <w:color w:val="111111"/>
          <w:sz w:val="28"/>
          <w:szCs w:val="28"/>
          <w:rtl/>
        </w:rPr>
        <w:t xml:space="preserve">30 .القول الثابت للامة في نفي السهو عن الانبياء و الائمة، ج 12، ص 842.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الكلمات الطيبات في شرح دعاء</w:t>
      </w:r>
    </w:p>
    <w:p>
      <w:pPr>
        <w:pStyle w:val="BookText"/>
      </w:pPr>
      <w:r>
        <w:rPr>
          <w:rFonts w:ascii="IRNazanin" w:hAnsi="IRNazanin" w:eastAsia="IRNazanin" w:cs="IRNazanin"/>
          <w:lang w:bidi="fa-IR"/>
          <w:color w:val="111111"/>
          <w:sz w:val="28"/>
          <w:szCs w:val="28"/>
          <w:rtl/>
        </w:rPr>
        <w:t xml:space="preserve">السمات، ج13، ص 367.</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الكنز المدخر في آداب المسافر و</w:t>
      </w:r>
    </w:p>
    <w:p>
      <w:pPr>
        <w:pStyle w:val="BookText"/>
      </w:pPr>
      <w:r>
        <w:rPr>
          <w:rFonts w:ascii="IRNazanin" w:hAnsi="IRNazanin" w:eastAsia="IRNazanin" w:cs="IRNazanin"/>
          <w:lang w:bidi="fa-IR"/>
          <w:color w:val="111111"/>
          <w:sz w:val="28"/>
          <w:szCs w:val="28"/>
          <w:rtl/>
        </w:rPr>
        <w:t xml:space="preserve">السفر، ج 13، ص 435.</w:t>
      </w:r>
    </w:p>
    <w:p>
      <w:pPr>
        <w:pStyle w:val="BookText"/>
      </w:pPr>
      <w:r>
        <w:rPr>
          <w:rFonts w:ascii="Amiri" w:hAnsi="Amiri" w:eastAsia="Amiri" w:cs="Amiri"/>
          <w:lang w:bidi="ar-SA"/>
          <w:color w:val="111111"/>
          <w:sz w:val="28"/>
          <w:szCs w:val="28"/>
          <w:rtl/>
        </w:rPr>
        <w:t xml:space="preserve">اللئالي الباهرة، ج13، ص 517.</w:t>
      </w:r>
    </w:p>
    <w:p>
      <w:pPr>
        <w:pStyle w:val="BookText"/>
      </w:pPr>
      <w:r>
        <w:rPr>
          <w:rFonts w:ascii="Amiri" w:hAnsi="Amiri" w:eastAsia="Amiri" w:cs="Amiri"/>
          <w:lang w:bidi="ar-SA"/>
          <w:color w:val="111111"/>
          <w:sz w:val="28"/>
          <w:szCs w:val="28"/>
          <w:rtl/>
        </w:rPr>
        <w:t xml:space="preserve">34 .المجالس السعيدة، ج13، ص 794.</w:t>
      </w:r>
    </w:p>
    <w:p>
      <w:pPr>
        <w:pStyle w:val="BookText"/>
      </w:pPr>
      <w:r>
        <w:rPr>
          <w:rFonts w:ascii="Amiri" w:hAnsi="Amiri" w:eastAsia="Amiri" w:cs="Amiri"/>
          <w:lang w:bidi="ar-SA"/>
          <w:color w:val="111111"/>
          <w:sz w:val="28"/>
          <w:szCs w:val="28"/>
          <w:rtl/>
        </w:rPr>
        <w:t xml:space="preserve">35 .مختصر اماني الاديب ج 14،</w:t>
      </w:r>
    </w:p>
    <w:p>
      <w:pPr>
        <w:pStyle w:val="BookText"/>
      </w:pPr>
      <w:r>
        <w:rPr>
          <w:rFonts w:ascii="IRNazanin" w:hAnsi="IRNazanin" w:eastAsia="IRNazanin" w:cs="IRNazanin"/>
          <w:lang w:bidi="fa-IR"/>
          <w:color w:val="111111"/>
          <w:sz w:val="28"/>
          <w:szCs w:val="28"/>
          <w:rtl/>
        </w:rPr>
        <w:t xml:space="preserve">ص 175 .</w:t>
      </w:r>
    </w:p>
    <w:p>
      <w:pPr>
        <w:pStyle w:val="BookText"/>
      </w:pPr>
      <w:r>
        <w:rPr>
          <w:rFonts w:ascii="IRNazanin" w:hAnsi="IRNazanin" w:eastAsia="IRNazanin" w:cs="IRNazanin"/>
          <w:lang w:bidi="fa-IR"/>
          <w:color w:val="111111"/>
          <w:sz w:val="28"/>
          <w:szCs w:val="28"/>
          <w:rtl/>
        </w:rPr>
        <w:t xml:space="preserve">36.مدرر العبرات، ج 14، ص 333.</w:t>
      </w:r>
    </w:p>
    <w:p>
      <w:pPr>
        <w:pStyle w:val="BookText"/>
      </w:pPr>
      <w:r>
        <w:rPr>
          <w:rFonts w:ascii="IRNazanin" w:hAnsi="IRNazanin" w:eastAsia="IRNazanin" w:cs="IRNazanin"/>
          <w:lang w:bidi="fa-IR"/>
          <w:color w:val="111111"/>
          <w:sz w:val="28"/>
          <w:szCs w:val="28"/>
          <w:rtl/>
        </w:rPr>
        <w:t xml:space="preserve">37 .منبع الاخبار و تتبع الاثار، ج 15</w:t>
      </w:r>
    </w:p>
    <w:p>
      <w:pPr>
        <w:pStyle w:val="BookText"/>
      </w:pPr>
      <w:r>
        <w:rPr>
          <w:rFonts w:ascii="IRNazanin" w:hAnsi="IRNazanin" w:eastAsia="IRNazanin" w:cs="IRNazanin"/>
          <w:lang w:bidi="fa-IR"/>
          <w:color w:val="111111"/>
          <w:sz w:val="28"/>
          <w:szCs w:val="28"/>
          <w:rtl/>
        </w:rPr>
        <w:t xml:space="preserve">ص 585.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المواريث (منظومة في)، ج 15،</w:t>
      </w:r>
    </w:p>
    <w:p>
      <w:pPr>
        <w:pStyle w:val="BookText"/>
      </w:pPr>
      <w:r>
        <w:rPr>
          <w:rFonts w:ascii="IRNazanin" w:hAnsi="IRNazanin" w:eastAsia="IRNazanin" w:cs="IRNazanin"/>
          <w:lang w:bidi="fa-IR"/>
          <w:color w:val="111111"/>
          <w:sz w:val="28"/>
          <w:szCs w:val="28"/>
          <w:rtl/>
        </w:rPr>
        <w:t xml:space="preserve">ص 857.</w:t>
      </w:r>
    </w:p>
    <w:p>
      <w:pPr>
        <w:pStyle w:val="BookText"/>
      </w:pPr>
      <w:r>
        <w:rPr>
          <w:rFonts w:ascii="Amiri" w:hAnsi="Amiri" w:eastAsia="Amiri" w:cs="Amiri"/>
          <w:lang w:bidi="ar-SA"/>
          <w:color w:val="111111"/>
          <w:sz w:val="28"/>
          <w:szCs w:val="28"/>
          <w:rtl/>
        </w:rPr>
        <w:t xml:space="preserve">39 .موهبة الرحمن في تفسير القرآن</w:t>
      </w:r>
    </w:p>
    <w:p>
      <w:pPr>
        <w:pStyle w:val="BookText"/>
      </w:pPr>
      <w:r>
        <w:rPr>
          <w:rFonts w:ascii="IRNazanin" w:hAnsi="IRNazanin" w:eastAsia="IRNazanin" w:cs="IRNazanin"/>
          <w:lang w:bidi="fa-IR"/>
          <w:color w:val="111111"/>
          <w:sz w:val="28"/>
          <w:szCs w:val="28"/>
          <w:rtl/>
        </w:rPr>
        <w:t xml:space="preserve">ج 16، ص 55.</w:t>
      </w:r>
    </w:p>
    <w:p>
      <w:pPr>
        <w:pStyle w:val="BookText"/>
      </w:pPr>
      <w:r>
        <w:rPr>
          <w:rFonts w:ascii="Amiri" w:hAnsi="Amiri" w:eastAsia="Amiri" w:cs="Amiri"/>
          <w:lang w:bidi="ar-SA"/>
          <w:color w:val="111111"/>
          <w:sz w:val="28"/>
          <w:szCs w:val="28"/>
          <w:rtl/>
        </w:rPr>
        <w:t xml:space="preserve">40 .نصيحة الضال في الامامة، ج 16،</w:t>
      </w:r>
    </w:p>
    <w:p>
      <w:pPr>
        <w:pStyle w:val="BookText"/>
      </w:pPr>
      <w:r>
        <w:rPr>
          <w:rFonts w:ascii="IRNazanin" w:hAnsi="IRNazanin" w:eastAsia="IRNazanin" w:cs="IRNazanin"/>
          <w:lang w:bidi="fa-IR"/>
          <w:color w:val="111111"/>
          <w:sz w:val="28"/>
          <w:szCs w:val="28"/>
          <w:rtl/>
        </w:rPr>
        <w:t xml:space="preserve">ص 314.</w:t>
      </w:r>
    </w:p>
    <w:p>
      <w:pPr>
        <w:pStyle w:val="BookText"/>
      </w:pPr>
      <w:r>
        <w:rPr>
          <w:rFonts w:ascii="Amiri" w:hAnsi="Amiri" w:eastAsia="Amiri" w:cs="Amiri"/>
          <w:lang w:bidi="ar-SA"/>
          <w:color w:val="111111"/>
          <w:sz w:val="28"/>
          <w:szCs w:val="28"/>
          <w:rtl/>
        </w:rPr>
        <w:t xml:space="preserve">41 .نفائس التذكرة في شرح التبصرة</w:t>
      </w:r>
    </w:p>
    <w:p>
      <w:pPr>
        <w:pStyle w:val="BookText"/>
      </w:pPr>
      <w:r>
        <w:rPr>
          <w:rFonts w:ascii="IRNazanin" w:hAnsi="IRNazanin" w:eastAsia="IRNazanin" w:cs="IRNazanin"/>
          <w:lang w:bidi="fa-IR"/>
          <w:color w:val="111111"/>
          <w:sz w:val="28"/>
          <w:szCs w:val="28"/>
          <w:rtl/>
        </w:rPr>
        <w:t xml:space="preserve">ج 16، ص 374.</w:t>
      </w:r>
    </w:p>
    <w:p>
      <w:pPr>
        <w:pStyle w:val="BookText"/>
      </w:pPr>
      <w:r>
        <w:rPr>
          <w:rFonts w:ascii="Amiri" w:hAnsi="Amiri" w:eastAsia="Amiri" w:cs="Amiri"/>
          <w:lang w:bidi="ar-SA"/>
          <w:color w:val="111111"/>
          <w:sz w:val="28"/>
          <w:szCs w:val="28"/>
          <w:rtl/>
        </w:rPr>
        <w:t xml:space="preserve">42 .نفي الريب في علم الائمة بالغيب</w:t>
      </w:r>
    </w:p>
    <w:p>
      <w:pPr>
        <w:pStyle w:val="BookText"/>
      </w:pPr>
      <w:r>
        <w:rPr>
          <w:rFonts w:ascii="IRNazanin" w:hAnsi="IRNazanin" w:eastAsia="IRNazanin" w:cs="IRNazanin"/>
          <w:lang w:bidi="fa-IR"/>
          <w:color w:val="111111"/>
          <w:sz w:val="28"/>
          <w:szCs w:val="28"/>
          <w:rtl/>
        </w:rPr>
        <w:t xml:space="preserve">ج 16، ص 408.</w:t>
      </w:r>
    </w:p>
    <w:p>
      <w:pPr>
        <w:pStyle w:val="BookText"/>
      </w:pPr>
      <w:r>
        <w:rPr>
          <w:rFonts w:ascii="Amiri" w:hAnsi="Amiri" w:eastAsia="Amiri" w:cs="Amiri"/>
          <w:lang w:bidi="ar-SA"/>
          <w:color w:val="111111"/>
          <w:sz w:val="28"/>
          <w:szCs w:val="28"/>
          <w:rtl/>
        </w:rPr>
        <w:t xml:space="preserve">43 .النور المبين، ج 16، ص 567.</w:t>
      </w:r>
    </w:p>
    <w:p>
      <w:pPr>
        <w:pStyle w:val="Heading2"/>
      </w:pPr>
      <w:bookmarkStart w:id="6185" w:name="_Toc5287"/>
      <w:r>
        <w:t>غربي عامري ، احمد</w:t>
      </w:r>
      <w:bookmarkEnd w:id="6185"/>
    </w:p>
    <w:p>
      <w:pPr>
        <w:pStyle w:val="BookText"/>
      </w:pPr>
      <w:r>
        <w:rPr>
          <w:rFonts w:ascii="Amiri" w:hAnsi="Amiri" w:eastAsia="Amiri" w:cs="Amiri"/>
          <w:lang w:bidi="ar-SA"/>
          <w:color w:val="111111"/>
          <w:sz w:val="28"/>
          <w:szCs w:val="28"/>
          <w:rtl/>
        </w:rPr>
        <w:t xml:space="preserve">عمدة الاحكام، ج 11، ص 285.</w:t>
      </w:r>
    </w:p>
    <w:p>
      <w:pPr>
        <w:pStyle w:val="BookText"/>
      </w:pPr>
      <w:r>
        <w:rPr>
          <w:rFonts w:ascii="Amiri" w:hAnsi="Amiri" w:eastAsia="Amiri" w:cs="Amiri"/>
          <w:lang w:bidi="ar-SA"/>
          <w:color w:val="111111"/>
          <w:sz w:val="28"/>
          <w:szCs w:val="28"/>
          <w:rtl/>
        </w:rPr>
        <w:t xml:space="preserve">غرس الدين بن ابراهيم حلبي- حلبي</w:t>
      </w:r>
    </w:p>
    <w:p>
      <w:pPr>
        <w:pStyle w:val="BookText"/>
      </w:pPr>
      <w:r>
        <w:rPr>
          <w:rFonts w:ascii="Amiri" w:hAnsi="Amiri" w:eastAsia="Amiri" w:cs="Amiri"/>
          <w:lang w:bidi="ar-SA"/>
          <w:color w:val="111111"/>
          <w:sz w:val="28"/>
          <w:szCs w:val="28"/>
          <w:rtl/>
        </w:rPr>
        <w:t xml:space="preserve">غرس الدين بن ابراهيم</w:t>
      </w:r>
    </w:p>
    <w:p>
      <w:pPr>
        <w:pStyle w:val="BookText"/>
      </w:pPr>
      <w:r>
        <w:rPr>
          <w:rFonts w:ascii="Amiri" w:hAnsi="Amiri" w:eastAsia="Amiri" w:cs="Amiri"/>
          <w:lang w:bidi="ar-SA"/>
          <w:color w:val="111111"/>
          <w:sz w:val="28"/>
          <w:szCs w:val="28"/>
          <w:rtl/>
        </w:rPr>
        <w:t xml:space="preserve">غرس الدين ظاهري، خليل بن شاهين -ابن شاهين ، خليل بن شاهين</w:t>
      </w:r>
    </w:p>
    <w:p>
      <w:pPr>
        <w:pStyle w:val="BookText"/>
      </w:pPr>
      <w:r>
        <w:rPr>
          <w:rFonts w:ascii="Amiri" w:hAnsi="Amiri" w:eastAsia="Amiri" w:cs="Amiri"/>
          <w:lang w:bidi="ar-SA"/>
          <w:color w:val="111111"/>
          <w:sz w:val="28"/>
          <w:szCs w:val="28"/>
          <w:rtl/>
        </w:rPr>
        <w:t xml:space="preserve">غرس الدين محمّد اشعري وفائي- وفائي غرس الدين محمّد</w:t>
      </w:r>
    </w:p>
    <w:p>
      <w:pPr>
        <w:pStyle w:val="BookText"/>
      </w:pPr>
      <w:r>
        <w:rPr>
          <w:rFonts w:ascii="Amiri" w:hAnsi="Amiri" w:eastAsia="Amiri" w:cs="Amiri"/>
          <w:lang w:bidi="ar-SA"/>
          <w:color w:val="111111"/>
          <w:sz w:val="28"/>
          <w:szCs w:val="28"/>
          <w:rtl/>
        </w:rPr>
        <w:t xml:space="preserve">غرناطي ، احمد بن ابراهيم -ابن زبير</w:t>
      </w:r>
    </w:p>
    <w:p>
      <w:pPr>
        <w:pStyle w:val="BookText"/>
      </w:pPr>
      <w:r>
        <w:rPr>
          <w:rFonts w:ascii="Amiri" w:hAnsi="Amiri" w:eastAsia="Amiri" w:cs="Amiri"/>
          <w:lang w:bidi="ar-SA"/>
          <w:color w:val="111111"/>
          <w:sz w:val="28"/>
          <w:szCs w:val="28"/>
          <w:rtl/>
        </w:rPr>
        <w:t xml:space="preserve">احمد بن ابراهيم</w:t>
      </w:r>
    </w:p>
    <w:p>
      <w:pPr>
        <w:pStyle w:val="BookText"/>
      </w:pPr>
      <w:r>
        <w:rPr>
          <w:rFonts w:ascii="Amiri" w:hAnsi="Amiri" w:eastAsia="Amiri" w:cs="Amiri"/>
          <w:lang w:bidi="ar-SA"/>
          <w:color w:val="111111"/>
          <w:sz w:val="28"/>
          <w:szCs w:val="28"/>
          <w:rtl/>
        </w:rPr>
        <w:t xml:space="preserve">غرناطي ، احمد بن يوسف -رعيني ،</w:t>
      </w:r>
    </w:p>
    <w:p>
      <w:pPr>
        <w:pStyle w:val="BookText"/>
      </w:pPr>
      <w:r>
        <w:rPr>
          <w:rFonts w:ascii="Amiri" w:hAnsi="Amiri" w:eastAsia="Amiri" w:cs="Amiri"/>
          <w:lang w:bidi="ar-SA"/>
          <w:color w:val="111111"/>
          <w:sz w:val="28"/>
          <w:szCs w:val="28"/>
          <w:rtl/>
        </w:rPr>
        <w:t xml:space="preserve">احمد بن يوسف</w:t>
      </w:r>
    </w:p>
    <w:p>
      <w:pPr>
        <w:pStyle w:val="BookText"/>
      </w:pPr>
      <w:r>
        <w:rPr>
          <w:rFonts w:ascii="Amiri" w:hAnsi="Amiri" w:eastAsia="Amiri" w:cs="Amiri"/>
          <w:lang w:bidi="ar-SA"/>
          <w:color w:val="111111"/>
          <w:sz w:val="28"/>
          <w:szCs w:val="28"/>
          <w:rtl/>
        </w:rPr>
        <w:t xml:space="preserve">غرناطي ، عبد الحق بن غالب- ابن عطيه</w:t>
      </w:r>
    </w:p>
    <w:p>
      <w:pPr>
        <w:pStyle w:val="BookText"/>
      </w:pPr>
      <w:r>
        <w:rPr>
          <w:rFonts w:ascii="IRNazanin" w:hAnsi="IRNazanin" w:eastAsia="IRNazanin" w:cs="IRNazanin"/>
          <w:lang w:bidi="fa-IR"/>
          <w:color w:val="111111"/>
          <w:sz w:val="28"/>
          <w:szCs w:val="28"/>
          <w:rtl/>
        </w:rPr>
        <w:t xml:space="preserve">عبد الحق بن غالب</w:t>
      </w:r>
    </w:p>
    <w:p>
      <w:pPr>
        <w:pStyle w:val="BookText"/>
      </w:pPr>
      <w:r>
        <w:rPr>
          <w:rFonts w:ascii="Amiri" w:hAnsi="Amiri" w:eastAsia="Amiri" w:cs="Amiri"/>
          <w:lang w:bidi="ar-SA"/>
          <w:color w:val="111111"/>
          <w:sz w:val="28"/>
          <w:szCs w:val="28"/>
          <w:rtl/>
        </w:rPr>
        <w:t xml:space="preserve">غرناطي ، علي بن محمّد- فزازي ، علي بن</w:t>
      </w:r>
    </w:p>
    <w:p>
      <w:pPr>
        <w:pStyle w:val="BookText"/>
      </w:pPr>
      <w:r>
        <w:rPr>
          <w:rFonts w:ascii="Amiri" w:hAnsi="Amiri" w:eastAsia="Amiri" w:cs="Amiri"/>
          <w:lang w:bidi="ar-SA"/>
          <w:color w:val="111111"/>
          <w:sz w:val="28"/>
          <w:szCs w:val="28"/>
          <w:rtl/>
        </w:rPr>
        <w:t xml:space="preserve">محمّد</w:t>
      </w:r>
    </w:p>
    <w:p>
      <w:pPr>
        <w:pStyle w:val="Heading2"/>
      </w:pPr>
      <w:bookmarkStart w:id="6186" w:name="_Toc5288"/>
      <w:r>
        <w:t>غرناطي ، محمّد بن احمد، 697 - 760ه-</w:t>
      </w:r>
      <w:bookmarkEnd w:id="6186"/>
    </w:p>
    <w:p>
      <w:pPr>
        <w:pStyle w:val="BookText"/>
      </w:pPr>
      <w:r>
        <w:rPr>
          <w:rFonts w:ascii="Amiri" w:hAnsi="Amiri" w:eastAsia="Amiri" w:cs="Amiri"/>
          <w:lang w:bidi="ar-SA"/>
          <w:color w:val="111111"/>
          <w:sz w:val="28"/>
          <w:szCs w:val="28"/>
          <w:rtl/>
        </w:rPr>
        <w:t xml:space="preserve">1 .الدرة النحوية في شرح الاجرومية</w:t>
      </w:r>
    </w:p>
    <w:p>
      <w:pPr>
        <w:pStyle w:val="BookText"/>
      </w:pPr>
      <w:r>
        <w:rPr>
          <w:rFonts w:ascii="IRNazanin" w:hAnsi="IRNazanin" w:eastAsia="IRNazanin" w:cs="IRNazanin"/>
          <w:lang w:bidi="fa-IR"/>
          <w:color w:val="111111"/>
          <w:sz w:val="28"/>
          <w:szCs w:val="28"/>
          <w:rtl/>
        </w:rPr>
        <w:t xml:space="preserve">ج 7، ص 271</w:t>
      </w:r>
    </w:p>
    <w:p>
      <w:pPr>
        <w:pStyle w:val="BookText"/>
      </w:pPr>
      <w:r>
        <w:rPr>
          <w:rFonts w:ascii="Amiri" w:hAnsi="Amiri" w:eastAsia="Amiri" w:cs="Amiri"/>
          <w:lang w:bidi="ar-SA"/>
          <w:color w:val="111111"/>
          <w:sz w:val="28"/>
          <w:szCs w:val="28"/>
          <w:rtl/>
        </w:rPr>
        <w:t xml:space="preserve">2 .شرح الرامزة = شرح عروض</w:t>
      </w:r>
    </w:p>
    <w:p>
      <w:pPr>
        <w:pStyle w:val="BookText"/>
      </w:pPr>
      <w:r>
        <w:rPr>
          <w:rFonts w:ascii="Amiri" w:hAnsi="Amiri" w:eastAsia="Amiri" w:cs="Amiri"/>
          <w:lang w:bidi="ar-SA"/>
          <w:color w:val="111111"/>
          <w:sz w:val="28"/>
          <w:szCs w:val="28"/>
          <w:rtl/>
        </w:rPr>
        <w:t xml:space="preserve">الخزرجية، ج 9، ص 496.</w:t>
      </w:r>
    </w:p>
    <w:p>
      <w:pPr>
        <w:pStyle w:val="BookText"/>
      </w:pPr>
      <w:r>
        <w:rPr>
          <w:rFonts w:ascii="Amiri" w:hAnsi="Amiri" w:eastAsia="Amiri" w:cs="Amiri"/>
          <w:lang w:bidi="ar-SA"/>
          <w:color w:val="111111"/>
          <w:sz w:val="28"/>
          <w:szCs w:val="28"/>
          <w:rtl/>
        </w:rPr>
        <w:t xml:space="preserve">غرناطي ، محمّد بن محمّد بن</w:t>
      </w:r>
    </w:p>
    <w:p>
      <w:pPr>
        <w:pStyle w:val="BookText"/>
      </w:pPr>
      <w:r>
        <w:rPr>
          <w:rFonts w:ascii="Amiri" w:hAnsi="Amiri" w:eastAsia="Amiri" w:cs="Amiri"/>
          <w:lang w:bidi="ar-SA"/>
          <w:color w:val="111111"/>
          <w:sz w:val="28"/>
          <w:szCs w:val="28"/>
          <w:rtl/>
        </w:rPr>
        <w:t xml:space="preserve">محمّد -ابن عاصم ، محمّد بن محمّد</w:t>
      </w:r>
    </w:p>
    <w:p>
      <w:pPr>
        <w:pStyle w:val="BookText"/>
      </w:pPr>
      <w:r>
        <w:rPr>
          <w:rFonts w:ascii="Amiri" w:hAnsi="Amiri" w:eastAsia="Amiri" w:cs="Amiri"/>
          <w:lang w:bidi="ar-SA"/>
          <w:color w:val="111111"/>
          <w:sz w:val="28"/>
          <w:szCs w:val="28"/>
          <w:rtl/>
        </w:rPr>
        <w:t xml:space="preserve">غرناطي ، محمّد بن محمّد -ابن امام</w:t>
      </w:r>
    </w:p>
    <w:p>
      <w:pPr>
        <w:pStyle w:val="BookText"/>
      </w:pPr>
      <w:r>
        <w:rPr>
          <w:rFonts w:ascii="IRNazanin" w:hAnsi="IRNazanin" w:eastAsia="IRNazanin" w:cs="IRNazanin"/>
          <w:lang w:bidi="fa-IR"/>
          <w:color w:val="111111"/>
          <w:sz w:val="28"/>
          <w:szCs w:val="28"/>
          <w:rtl/>
        </w:rPr>
        <w:t xml:space="preserve">محمد بن محمّد</w:t>
      </w:r>
    </w:p>
    <w:p>
      <w:pPr>
        <w:pStyle w:val="BookText"/>
      </w:pPr>
      <w:r>
        <w:rPr>
          <w:rFonts w:ascii="IRNazanin" w:hAnsi="IRNazanin" w:eastAsia="IRNazanin" w:cs="IRNazanin"/>
          <w:lang w:bidi="fa-IR"/>
          <w:color w:val="111111"/>
          <w:sz w:val="28"/>
          <w:szCs w:val="28"/>
          <w:rtl/>
        </w:rPr>
        <w:t xml:space="preserve">غرناطي ، محمّد بن يوسف- ابوحیان</w:t>
      </w:r>
    </w:p>
    <w:p>
      <w:pPr>
        <w:pStyle w:val="BookText"/>
      </w:pPr>
      <w:r>
        <w:rPr>
          <w:rFonts w:ascii="Amiri" w:hAnsi="Amiri" w:eastAsia="Amiri" w:cs="Amiri"/>
          <w:lang w:bidi="ar-SA"/>
          <w:color w:val="111111"/>
          <w:sz w:val="28"/>
          <w:szCs w:val="28"/>
          <w:rtl/>
        </w:rPr>
        <w:t xml:space="preserve">محمّد بن يوسف</w:t>
      </w:r>
    </w:p>
    <w:p>
      <w:pPr>
        <w:pStyle w:val="BookText"/>
      </w:pPr>
      <w:r>
        <w:rPr>
          <w:rFonts w:ascii="Amiri" w:hAnsi="Amiri" w:eastAsia="Amiri" w:cs="Amiri"/>
          <w:lang w:bidi="ar-SA"/>
          <w:color w:val="111111"/>
          <w:sz w:val="28"/>
          <w:szCs w:val="28"/>
          <w:rtl/>
        </w:rPr>
        <w:t xml:space="preserve">غروي- نخجواني ، محمّد علي بن خداداد</w:t>
      </w:r>
    </w:p>
    <w:p>
      <w:pPr>
        <w:pStyle w:val="BookText"/>
      </w:pPr>
      <w:r>
        <w:rPr>
          <w:rFonts w:ascii="Amiri" w:hAnsi="Amiri" w:eastAsia="Amiri" w:cs="Amiri"/>
          <w:lang w:bidi="ar-SA"/>
          <w:color w:val="111111"/>
          <w:sz w:val="28"/>
          <w:szCs w:val="28"/>
          <w:rtl/>
        </w:rPr>
        <w:t xml:space="preserve">غروي استرآبادي، علي- استرآبادي ، شرف</w:t>
      </w:r>
    </w:p>
    <w:p>
      <w:pPr>
        <w:pStyle w:val="BookText"/>
      </w:pPr>
      <w:r>
        <w:rPr>
          <w:rFonts w:ascii="Amiri" w:hAnsi="Amiri" w:eastAsia="Amiri" w:cs="Amiri"/>
          <w:lang w:bidi="ar-SA"/>
          <w:color w:val="111111"/>
          <w:sz w:val="28"/>
          <w:szCs w:val="28"/>
          <w:rtl/>
        </w:rPr>
        <w:t xml:space="preserve">الدين علي</w:t>
      </w:r>
    </w:p>
    <w:p>
      <w:pPr>
        <w:pStyle w:val="BookText"/>
      </w:pPr>
      <w:r>
        <w:rPr>
          <w:rFonts w:ascii="Amiri" w:hAnsi="Amiri" w:eastAsia="Amiri" w:cs="Amiri"/>
          <w:lang w:bidi="ar-SA"/>
          <w:color w:val="111111"/>
          <w:sz w:val="28"/>
          <w:szCs w:val="28"/>
          <w:rtl/>
        </w:rPr>
        <w:t xml:space="preserve">غروي تبريزي ، محسن بن محمّد تقي- حسيني ، محسن بن محمّد تقي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21" w:name="pg7742_70909"/>
    <w:bookmarkEnd w:id="821"/>
    <w:p>
      <w:pPr>
        <w:pStyle w:val="BookText"/>
      </w:pPr>
      <w:r>
        <w:rPr>
          <w:rFonts w:ascii="Amiri" w:hAnsi="Amiri" w:eastAsia="Amiri" w:cs="Amiri"/>
          <w:lang w:bidi="ar-SA"/>
          <w:color w:val="111111"/>
          <w:sz w:val="28"/>
          <w:szCs w:val="28"/>
          <w:rtl/>
        </w:rPr>
        <w:t xml:space="preserve">غروي جرجاني ، محمّد بن علي- ركن</w:t>
      </w:r>
    </w:p>
    <w:p>
      <w:pPr>
        <w:pStyle w:val="BookText"/>
      </w:pPr>
      <w:r>
        <w:rPr>
          <w:rFonts w:ascii="Amiri" w:hAnsi="Amiri" w:eastAsia="Amiri" w:cs="Amiri"/>
          <w:lang w:bidi="ar-SA"/>
          <w:color w:val="111111"/>
          <w:sz w:val="28"/>
          <w:szCs w:val="28"/>
          <w:rtl/>
        </w:rPr>
        <w:t xml:space="preserve">الدين جرجاني ، محمّد بن علي</w:t>
      </w:r>
    </w:p>
    <w:p>
      <w:pPr>
        <w:pStyle w:val="BookText"/>
      </w:pPr>
      <w:r>
        <w:rPr>
          <w:rFonts w:ascii="Amiri" w:hAnsi="Amiri" w:eastAsia="Amiri" w:cs="Amiri"/>
          <w:lang w:bidi="ar-SA"/>
          <w:color w:val="111111"/>
          <w:sz w:val="28"/>
          <w:szCs w:val="28"/>
          <w:rtl/>
        </w:rPr>
        <w:t xml:space="preserve">غروي ، جواد بن محمّد -عاملي غروي ،</w:t>
      </w:r>
    </w:p>
    <w:p>
      <w:pPr>
        <w:pStyle w:val="BookText"/>
      </w:pPr>
      <w:r>
        <w:rPr>
          <w:rFonts w:ascii="IRNazanin" w:hAnsi="IRNazanin" w:eastAsia="IRNazanin" w:cs="IRNazanin"/>
          <w:lang w:bidi="fa-IR"/>
          <w:color w:val="111111"/>
          <w:sz w:val="28"/>
          <w:szCs w:val="28"/>
          <w:rtl/>
        </w:rPr>
        <w:t xml:space="preserve">جواد بن محمّد</w:t>
      </w:r>
    </w:p>
    <w:p>
      <w:pPr>
        <w:pStyle w:val="BookText"/>
      </w:pPr>
      <w:r>
        <w:rPr>
          <w:rFonts w:ascii="Amiri" w:hAnsi="Amiri" w:eastAsia="Amiri" w:cs="Amiri"/>
          <w:lang w:bidi="ar-SA"/>
          <w:color w:val="111111"/>
          <w:sz w:val="28"/>
          <w:szCs w:val="28"/>
          <w:rtl/>
        </w:rPr>
        <w:t xml:space="preserve">غروي حائري، عبدالنبي بن سعد -جزايري، عبد النبي بن سعد</w:t>
      </w:r>
    </w:p>
    <w:p>
      <w:pPr>
        <w:pStyle w:val="BookText"/>
      </w:pPr>
      <w:r>
        <w:rPr>
          <w:rFonts w:ascii="Amiri" w:hAnsi="Amiri" w:eastAsia="Amiri" w:cs="Amiri"/>
          <w:lang w:bidi="ar-SA"/>
          <w:color w:val="111111"/>
          <w:sz w:val="28"/>
          <w:szCs w:val="28"/>
          <w:rtl/>
        </w:rPr>
        <w:t xml:space="preserve">غروي حائري ، محمّد بن علي -اردبيلي</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غروي ، عبد النبي بن سعد -جزايري</w:t>
      </w:r>
    </w:p>
    <w:p>
      <w:pPr>
        <w:pStyle w:val="BookText"/>
      </w:pPr>
      <w:r>
        <w:rPr>
          <w:rFonts w:ascii="Amiri" w:hAnsi="Amiri" w:eastAsia="Amiri" w:cs="Amiri"/>
          <w:lang w:bidi="ar-SA"/>
          <w:color w:val="111111"/>
          <w:sz w:val="28"/>
          <w:szCs w:val="28"/>
          <w:rtl/>
        </w:rPr>
        <w:t xml:space="preserve">عبدالنبي بن سعد</w:t>
      </w:r>
    </w:p>
    <w:p>
      <w:pPr>
        <w:pStyle w:val="Heading2"/>
      </w:pPr>
      <w:bookmarkStart w:id="6187" w:name="_Toc5289"/>
      <w:r>
        <w:t>غروي ، علي بن مصطفى</w:t>
      </w:r>
      <w:bookmarkEnd w:id="6187"/>
    </w:p>
    <w:p>
      <w:pPr>
        <w:pStyle w:val="BookText"/>
      </w:pPr>
      <w:r>
        <w:rPr>
          <w:rFonts w:ascii="Amiri" w:hAnsi="Amiri" w:eastAsia="Amiri" w:cs="Amiri"/>
          <w:lang w:bidi="ar-SA"/>
          <w:color w:val="111111"/>
          <w:sz w:val="28"/>
          <w:szCs w:val="28"/>
          <w:rtl/>
        </w:rPr>
        <w:t xml:space="preserve">حاشية الغروب للرسالة، ج 6، ص 258.</w:t>
      </w:r>
    </w:p>
    <w:p>
      <w:pPr>
        <w:pStyle w:val="BookText"/>
      </w:pPr>
      <w:r>
        <w:rPr>
          <w:rFonts w:ascii="IRNazanin" w:hAnsi="IRNazanin" w:eastAsia="IRNazanin" w:cs="IRNazanin"/>
          <w:lang w:bidi="fa-IR"/>
          <w:color w:val="111111"/>
          <w:sz w:val="28"/>
          <w:szCs w:val="28"/>
          <w:rtl/>
        </w:rPr>
        <w:t xml:space="preserve">غروي ، فتح الله -شریعت اصفهاني ، فتح</w:t>
      </w:r>
    </w:p>
    <w:p>
      <w:pPr>
        <w:pStyle w:val="BookText"/>
      </w:pPr>
      <w:r>
        <w:rPr>
          <w:rFonts w:ascii="IRNazanin" w:hAnsi="IRNazanin" w:eastAsia="IRNazanin" w:cs="IRNazanin"/>
          <w:lang w:bidi="fa-IR"/>
          <w:color w:val="111111"/>
          <w:sz w:val="28"/>
          <w:szCs w:val="28"/>
          <w:rtl/>
        </w:rPr>
        <w:t xml:space="preserve">الله بن محمّد جواد</w:t>
      </w:r>
    </w:p>
    <w:p>
      <w:pPr>
        <w:pStyle w:val="BookText"/>
      </w:pPr>
      <w:r>
        <w:rPr>
          <w:rFonts w:ascii="Amiri" w:hAnsi="Amiri" w:eastAsia="Amiri" w:cs="Amiri"/>
          <w:lang w:bidi="ar-SA"/>
          <w:color w:val="111111"/>
          <w:sz w:val="28"/>
          <w:szCs w:val="28"/>
          <w:rtl/>
        </w:rPr>
        <w:t xml:space="preserve">غروي ، محمّد حسين بن علي</w:t>
      </w:r>
    </w:p>
    <w:p>
      <w:pPr>
        <w:pStyle w:val="BookText"/>
      </w:pPr>
      <w:r>
        <w:rPr>
          <w:rFonts w:ascii="Amiri" w:hAnsi="Amiri" w:eastAsia="Amiri" w:cs="Amiri"/>
          <w:lang w:bidi="ar-SA"/>
          <w:color w:val="111111"/>
          <w:sz w:val="28"/>
          <w:szCs w:val="28"/>
          <w:rtl/>
        </w:rPr>
        <w:t xml:space="preserve">اصغر -حسيني رضوي ، محمّد حسين بن علي</w:t>
      </w:r>
    </w:p>
    <w:p>
      <w:pPr>
        <w:pStyle w:val="BookText"/>
      </w:pPr>
      <w:r>
        <w:rPr>
          <w:rFonts w:ascii="IRNazanin" w:hAnsi="IRNazanin" w:eastAsia="IRNazanin" w:cs="IRNazanin"/>
          <w:lang w:bidi="fa-IR"/>
          <w:color w:val="111111"/>
          <w:sz w:val="28"/>
          <w:szCs w:val="28"/>
          <w:rtl/>
        </w:rPr>
        <w:t xml:space="preserve">اصغر</w:t>
      </w:r>
    </w:p>
    <w:p>
      <w:pPr>
        <w:pStyle w:val="BookText"/>
      </w:pPr>
      <w:r>
        <w:rPr>
          <w:rFonts w:ascii="Amiri" w:hAnsi="Amiri" w:eastAsia="Amiri" w:cs="Amiri"/>
          <w:lang w:bidi="ar-SA"/>
          <w:color w:val="111111"/>
          <w:sz w:val="28"/>
          <w:szCs w:val="28"/>
          <w:rtl/>
        </w:rPr>
        <w:t xml:space="preserve">غروي مشهدي ، محمّد رحيم بن</w:t>
      </w:r>
    </w:p>
    <w:p>
      <w:pPr>
        <w:pStyle w:val="BookText"/>
      </w:pPr>
      <w:r>
        <w:rPr>
          <w:rFonts w:ascii="Amiri" w:hAnsi="Amiri" w:eastAsia="Amiri" w:cs="Amiri"/>
          <w:lang w:bidi="ar-SA"/>
          <w:color w:val="111111"/>
          <w:sz w:val="28"/>
          <w:szCs w:val="28"/>
          <w:rtl/>
        </w:rPr>
        <w:t xml:space="preserve">محمّد -بروجردي ، محمّد رحيم بن محمّد</w:t>
      </w:r>
    </w:p>
    <w:p>
      <w:pPr>
        <w:pStyle w:val="BookText"/>
      </w:pPr>
      <w:r>
        <w:rPr>
          <w:rFonts w:ascii="Amiri" w:hAnsi="Amiri" w:eastAsia="Amiri" w:cs="Amiri"/>
          <w:lang w:bidi="ar-SA"/>
          <w:color w:val="111111"/>
          <w:sz w:val="28"/>
          <w:szCs w:val="28"/>
          <w:rtl/>
        </w:rPr>
        <w:t xml:space="preserve">غروي مكي ، محمّد بن علي -استرآبادي</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غروي ناييني ، محمّد حسين- نائيني</w:t>
      </w:r>
    </w:p>
    <w:p>
      <w:pPr>
        <w:pStyle w:val="BookText"/>
      </w:pPr>
      <w:r>
        <w:rPr>
          <w:rFonts w:ascii="Amiri" w:hAnsi="Amiri" w:eastAsia="Amiri" w:cs="Amiri"/>
          <w:lang w:bidi="ar-SA"/>
          <w:color w:val="111111"/>
          <w:sz w:val="28"/>
          <w:szCs w:val="28"/>
          <w:rtl/>
        </w:rPr>
        <w:t xml:space="preserve">محمّد حسين بن عبدالرحيم</w:t>
      </w:r>
    </w:p>
    <w:p>
      <w:pPr>
        <w:pStyle w:val="BookText"/>
      </w:pPr>
      <w:r>
        <w:rPr>
          <w:rFonts w:ascii="Amiri" w:hAnsi="Amiri" w:eastAsia="Amiri" w:cs="Amiri"/>
          <w:lang w:bidi="ar-SA"/>
          <w:color w:val="111111"/>
          <w:sz w:val="28"/>
          <w:szCs w:val="28"/>
          <w:rtl/>
        </w:rPr>
        <w:t xml:space="preserve">غروي يزدي ، عبدالغفور بن محمّد اسماعيل - حسيني يزدي، عبدالغفور بن</w:t>
      </w:r>
    </w:p>
    <w:p>
      <w:pPr>
        <w:pStyle w:val="BookText"/>
      </w:pPr>
      <w:r>
        <w:rPr>
          <w:rFonts w:ascii="IRNazanin" w:hAnsi="IRNazanin" w:eastAsia="IRNazanin" w:cs="IRNazanin"/>
          <w:lang w:bidi="fa-IR"/>
          <w:color w:val="111111"/>
          <w:sz w:val="28"/>
          <w:szCs w:val="28"/>
          <w:rtl/>
        </w:rPr>
        <w:t xml:space="preserve">محمّد اسماعیل</w:t>
      </w:r>
    </w:p>
    <w:p>
      <w:pPr>
        <w:pStyle w:val="Heading2"/>
      </w:pPr>
      <w:bookmarkStart w:id="6188" w:name="_Toc5290"/>
      <w:r>
        <w:t>غروي يوسفي ، ميرزا محمود</w:t>
      </w:r>
      <w:bookmarkEnd w:id="6188"/>
    </w:p>
    <w:p>
      <w:pPr>
        <w:pStyle w:val="BookText"/>
      </w:pPr>
      <w:r>
        <w:rPr>
          <w:rFonts w:ascii="Amiri" w:hAnsi="Amiri" w:eastAsia="Amiri" w:cs="Amiri"/>
          <w:lang w:bidi="ar-SA"/>
          <w:color w:val="111111"/>
          <w:sz w:val="28"/>
          <w:szCs w:val="28"/>
          <w:rtl/>
        </w:rPr>
        <w:t xml:space="preserve">صحيفة الأبرار، ج 10، ص 511.</w:t>
      </w:r>
    </w:p>
    <w:p>
      <w:pPr>
        <w:pStyle w:val="Heading2"/>
      </w:pPr>
      <w:bookmarkStart w:id="6189" w:name="_Toc5291"/>
      <w:r>
        <w:t>غريبي ، محمّد بن اسماعیل</w:t>
      </w:r>
      <w:bookmarkEnd w:id="6189"/>
    </w:p>
    <w:p>
      <w:pPr>
        <w:pStyle w:val="BookText"/>
      </w:pPr>
      <w:r>
        <w:rPr>
          <w:rFonts w:ascii="Amiri" w:hAnsi="Amiri" w:eastAsia="Amiri" w:cs="Amiri"/>
          <w:lang w:bidi="ar-SA"/>
          <w:color w:val="111111"/>
          <w:sz w:val="28"/>
          <w:szCs w:val="28"/>
          <w:rtl/>
        </w:rPr>
        <w:t xml:space="preserve">مشرق الانوار في فن منطق الافكار</w:t>
      </w:r>
    </w:p>
    <w:p>
      <w:pPr>
        <w:pStyle w:val="BookText"/>
      </w:pPr>
      <w:r>
        <w:rPr>
          <w:rFonts w:ascii="IRNazanin" w:hAnsi="IRNazanin" w:eastAsia="IRNazanin" w:cs="IRNazanin"/>
          <w:lang w:bidi="fa-IR"/>
          <w:color w:val="111111"/>
          <w:sz w:val="28"/>
          <w:szCs w:val="28"/>
          <w:rtl/>
        </w:rPr>
        <w:t xml:space="preserve">ج 14، ص 626.</w:t>
      </w:r>
    </w:p>
    <w:p>
      <w:pPr>
        <w:pStyle w:val="Heading2"/>
      </w:pPr>
      <w:bookmarkStart w:id="6190" w:name="_Toc5292"/>
      <w:r>
        <w:t>غريبي ، يوسف - 954 ه-</w:t>
      </w:r>
      <w:bookmarkEnd w:id="6190"/>
    </w:p>
    <w:p>
      <w:pPr>
        <w:pStyle w:val="BookText"/>
      </w:pPr>
      <w:r>
        <w:rPr>
          <w:rFonts w:ascii="IRNazanin" w:hAnsi="IRNazanin" w:eastAsia="IRNazanin" w:cs="IRNazanin"/>
          <w:lang w:bidi="fa-IR"/>
          <w:color w:val="111111"/>
          <w:sz w:val="28"/>
          <w:szCs w:val="28"/>
          <w:rtl/>
        </w:rPr>
        <w:t xml:space="preserve">دیوان غريبي، ج 7، ص 729.</w:t>
      </w:r>
    </w:p>
    <w:p>
      <w:pPr>
        <w:pStyle w:val="BookText"/>
      </w:pPr>
      <w:r>
        <w:rPr>
          <w:rFonts w:ascii="Amiri" w:hAnsi="Amiri" w:eastAsia="Amiri" w:cs="Amiri"/>
          <w:lang w:bidi="ar-SA"/>
          <w:color w:val="111111"/>
          <w:sz w:val="28"/>
          <w:szCs w:val="28"/>
          <w:rtl/>
        </w:rPr>
        <w:t xml:space="preserve">غريغوريوس بن هارون -ابن عبري ،</w:t>
      </w:r>
    </w:p>
    <w:p>
      <w:pPr>
        <w:pStyle w:val="BookText"/>
      </w:pPr>
      <w:r>
        <w:rPr>
          <w:rFonts w:ascii="Amiri" w:hAnsi="Amiri" w:eastAsia="Amiri" w:cs="Amiri"/>
          <w:lang w:bidi="ar-SA"/>
          <w:color w:val="111111"/>
          <w:sz w:val="28"/>
          <w:szCs w:val="28"/>
          <w:rtl/>
        </w:rPr>
        <w:t xml:space="preserve">غريغوريوس بن هارون</w:t>
      </w:r>
    </w:p>
    <w:p>
      <w:pPr>
        <w:pStyle w:val="Heading2"/>
      </w:pPr>
      <w:bookmarkStart w:id="6191" w:name="_Toc5293"/>
      <w:r>
        <w:t>غريفي ، عدنان</w:t>
      </w:r>
      <w:bookmarkEnd w:id="6191"/>
    </w:p>
    <w:p>
      <w:pPr>
        <w:pStyle w:val="BookText"/>
      </w:pPr>
      <w:r>
        <w:rPr>
          <w:rFonts w:ascii="Amiri" w:hAnsi="Amiri" w:eastAsia="Amiri" w:cs="Amiri"/>
          <w:lang w:bidi="ar-SA"/>
          <w:color w:val="111111"/>
          <w:sz w:val="28"/>
          <w:szCs w:val="28"/>
          <w:rtl/>
        </w:rPr>
        <w:t xml:space="preserve">1 .الحج (منظومة في)، ج6، ص 478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مناسك الحج (منظومة)، ج 15،</w:t>
      </w:r>
    </w:p>
    <w:p>
      <w:pPr>
        <w:pStyle w:val="BookText"/>
      </w:pPr>
      <w:r>
        <w:rPr>
          <w:rFonts w:ascii="IRNazanin" w:hAnsi="IRNazanin" w:eastAsia="IRNazanin" w:cs="IRNazanin"/>
          <w:lang w:bidi="fa-IR"/>
          <w:color w:val="111111"/>
          <w:sz w:val="28"/>
          <w:szCs w:val="28"/>
          <w:rtl/>
        </w:rPr>
        <w:t xml:space="preserve">ص 505.</w:t>
      </w:r>
    </w:p>
    <w:p>
      <w:pPr>
        <w:pStyle w:val="Heading2"/>
      </w:pPr>
      <w:bookmarkStart w:id="6192" w:name="_Toc5294"/>
      <w:r>
        <w:t>غريفي ، علي بن محمّد قرن 13 ه-</w:t>
      </w:r>
      <w:bookmarkEnd w:id="6192"/>
    </w:p>
    <w:p>
      <w:pPr>
        <w:pStyle w:val="BookText"/>
      </w:pPr>
      <w:r>
        <w:rPr>
          <w:rFonts w:ascii="IRNazanin" w:hAnsi="IRNazanin" w:eastAsia="IRNazanin" w:cs="IRNazanin"/>
          <w:lang w:bidi="fa-IR"/>
          <w:color w:val="111111"/>
          <w:sz w:val="28"/>
          <w:szCs w:val="28"/>
          <w:rtl/>
        </w:rPr>
        <w:t xml:space="preserve">لب الفن، ج13، ص 560.</w:t>
      </w:r>
    </w:p>
    <w:p>
      <w:pPr>
        <w:pStyle w:val="BookText"/>
      </w:pPr>
      <w:r>
        <w:rPr>
          <w:rFonts w:ascii="Amiri" w:hAnsi="Amiri" w:eastAsia="Amiri" w:cs="Amiri"/>
          <w:lang w:bidi="ar-SA"/>
          <w:color w:val="111111"/>
          <w:sz w:val="28"/>
          <w:szCs w:val="28"/>
          <w:rtl/>
        </w:rPr>
        <w:t xml:space="preserve">غزال دمشقي ، محمّد بن محمّد- سبط</w:t>
      </w:r>
    </w:p>
    <w:p>
      <w:pPr>
        <w:pStyle w:val="BookText"/>
      </w:pPr>
      <w:r>
        <w:rPr>
          <w:rFonts w:ascii="Amiri" w:hAnsi="Amiri" w:eastAsia="Amiri" w:cs="Amiri"/>
          <w:lang w:bidi="ar-SA"/>
          <w:color w:val="111111"/>
          <w:sz w:val="28"/>
          <w:szCs w:val="28"/>
          <w:rtl/>
        </w:rPr>
        <w:t xml:space="preserve">مارديني ، محمّد بن محمّد</w:t>
      </w:r>
    </w:p>
    <w:p>
      <w:pPr>
        <w:pStyle w:val="BookText"/>
      </w:pPr>
      <w:r>
        <w:rPr>
          <w:rFonts w:ascii="Amiri" w:hAnsi="Amiri" w:eastAsia="Amiri" w:cs="Amiri"/>
          <w:lang w:bidi="ar-SA"/>
          <w:color w:val="111111"/>
          <w:sz w:val="28"/>
          <w:szCs w:val="28"/>
          <w:rtl/>
        </w:rPr>
        <w:t xml:space="preserve">غزالي ، ابو حامد- غزالي ، محمّد بن محمّد</w:t>
      </w:r>
    </w:p>
    <w:p>
      <w:pPr>
        <w:pStyle w:val="Heading2"/>
      </w:pPr>
      <w:bookmarkStart w:id="6193" w:name="_Toc5295"/>
      <w:r>
        <w:t>غزالي ، احمد بن تاج الدين - 1169 ه-</w:t>
      </w:r>
      <w:bookmarkEnd w:id="6193"/>
    </w:p>
    <w:p>
      <w:pPr>
        <w:pStyle w:val="BookText"/>
      </w:pPr>
      <w:r>
        <w:rPr>
          <w:rFonts w:ascii="Amiri" w:hAnsi="Amiri" w:eastAsia="Amiri" w:cs="Amiri"/>
          <w:lang w:bidi="ar-SA"/>
          <w:color w:val="111111"/>
          <w:sz w:val="28"/>
          <w:szCs w:val="28"/>
          <w:rtl/>
        </w:rPr>
        <w:t xml:space="preserve">1 .الفيض النبوي، ج 12، ص317.</w:t>
      </w:r>
    </w:p>
    <w:p>
      <w:pPr>
        <w:pStyle w:val="BookText"/>
      </w:pPr>
      <w:r>
        <w:rPr>
          <w:rFonts w:ascii="Amiri" w:hAnsi="Amiri" w:eastAsia="Amiri" w:cs="Amiri"/>
          <w:lang w:bidi="ar-SA"/>
          <w:color w:val="111111"/>
          <w:sz w:val="28"/>
          <w:szCs w:val="28"/>
          <w:rtl/>
        </w:rPr>
        <w:t xml:space="preserve">2 .كشف الكرب ونيل المراد بحل</w:t>
      </w:r>
    </w:p>
    <w:p>
      <w:pPr>
        <w:pStyle w:val="BookText"/>
      </w:pPr>
      <w:r>
        <w:rPr>
          <w:rFonts w:ascii="Amiri" w:hAnsi="Amiri" w:eastAsia="Amiri" w:cs="Amiri"/>
          <w:lang w:bidi="ar-SA"/>
          <w:color w:val="111111"/>
          <w:sz w:val="28"/>
          <w:szCs w:val="28"/>
          <w:rtl/>
        </w:rPr>
        <w:t xml:space="preserve">الفاظ كتاب دلائل الخيرات، ج13،</w:t>
      </w:r>
    </w:p>
    <w:p>
      <w:pPr>
        <w:pStyle w:val="BookText"/>
      </w:pPr>
      <w:r>
        <w:rPr>
          <w:rFonts w:ascii="IRNazanin" w:hAnsi="IRNazanin" w:eastAsia="IRNazanin" w:cs="IRNazanin"/>
          <w:lang w:bidi="fa-IR"/>
          <w:color w:val="111111"/>
          <w:sz w:val="28"/>
          <w:szCs w:val="28"/>
          <w:rtl/>
        </w:rPr>
        <w:t xml:space="preserve">ص 250 .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22" w:name="pg7742_70912"/>
    <w:bookmarkEnd w:id="822"/>
    <w:p>
      <w:pPr>
        <w:pStyle w:val="Heading2"/>
      </w:pPr>
      <w:bookmarkStart w:id="6194" w:name="_Toc5296"/>
      <w:r>
        <w:t>غزالي ، احمد بن محمّد - 520 ه-</w:t>
      </w:r>
      <w:bookmarkEnd w:id="6194"/>
    </w:p>
    <w:p>
      <w:pPr>
        <w:pStyle w:val="BookText"/>
      </w:pPr>
      <w:r>
        <w:rPr>
          <w:rFonts w:ascii="Amiri" w:hAnsi="Amiri" w:eastAsia="Amiri" w:cs="Amiri"/>
          <w:lang w:bidi="ar-SA"/>
          <w:color w:val="111111"/>
          <w:sz w:val="28"/>
          <w:szCs w:val="28"/>
          <w:rtl/>
        </w:rPr>
        <w:t xml:space="preserve">1 .التجريد في (شرح) كلمة التوحيد</w:t>
      </w:r>
    </w:p>
    <w:p>
      <w:pPr>
        <w:pStyle w:val="BookText"/>
      </w:pPr>
      <w:r>
        <w:rPr>
          <w:rFonts w:ascii="IRNazanin" w:hAnsi="IRNazanin" w:eastAsia="IRNazanin" w:cs="IRNazanin"/>
          <w:lang w:bidi="fa-IR"/>
          <w:color w:val="111111"/>
          <w:sz w:val="28"/>
          <w:szCs w:val="28"/>
          <w:rtl/>
        </w:rPr>
        <w:t xml:space="preserve">ج 3، ص 691 .</w:t>
      </w:r>
    </w:p>
    <w:p>
      <w:pPr>
        <w:pStyle w:val="BookText"/>
      </w:pPr>
      <w:r>
        <w:rPr>
          <w:rFonts w:ascii="Amiri" w:hAnsi="Amiri" w:eastAsia="Amiri" w:cs="Amiri"/>
          <w:lang w:bidi="ar-SA"/>
          <w:color w:val="111111"/>
          <w:sz w:val="28"/>
          <w:szCs w:val="28"/>
          <w:rtl/>
        </w:rPr>
        <w:t xml:space="preserve">2 .العينية = صلوات شريفه = مكتوب الامام الغزالي إلى عين القضاة الهمداني، ج 11، ص383.</w:t>
      </w:r>
    </w:p>
    <w:p>
      <w:pPr>
        <w:pStyle w:val="Heading2"/>
      </w:pPr>
      <w:bookmarkStart w:id="6195" w:name="_Toc5297"/>
      <w:r>
        <w:t>غزالي، عبد النصير بن ابراهيم</w:t>
      </w:r>
      <w:bookmarkEnd w:id="6195"/>
    </w:p>
    <w:p>
      <w:pPr>
        <w:pStyle w:val="BookText"/>
      </w:pPr>
      <w:r>
        <w:rPr>
          <w:rFonts w:ascii="IRNazanin" w:hAnsi="IRNazanin" w:eastAsia="IRNazanin" w:cs="IRNazanin"/>
          <w:lang w:bidi="fa-IR"/>
          <w:color w:val="111111"/>
          <w:sz w:val="28"/>
          <w:szCs w:val="28"/>
          <w:rtl/>
        </w:rPr>
        <w:t xml:space="preserve">شرح المختصر، ج 10، ص 105.</w:t>
      </w:r>
    </w:p>
    <w:p>
      <w:pPr>
        <w:pStyle w:val="Heading2"/>
      </w:pPr>
      <w:bookmarkStart w:id="6196" w:name="_Toc5298"/>
      <w:r>
        <w:t>غزالي ، محمّد بن محمّد، 450 - 505 ه-</w:t>
      </w:r>
      <w:bookmarkEnd w:id="6196"/>
    </w:p>
    <w:p>
      <w:pPr>
        <w:pStyle w:val="BookText"/>
      </w:pPr>
      <w:r>
        <w:rPr>
          <w:rFonts w:ascii="Amiri" w:hAnsi="Amiri" w:eastAsia="Amiri" w:cs="Amiri"/>
          <w:lang w:bidi="ar-SA"/>
          <w:color w:val="111111"/>
          <w:sz w:val="28"/>
          <w:szCs w:val="28"/>
          <w:rtl/>
        </w:rPr>
        <w:t xml:space="preserve">1 .آداب الصحبة والمعاشرة مع جميع</w:t>
      </w:r>
    </w:p>
    <w:p>
      <w:pPr>
        <w:pStyle w:val="BookText"/>
      </w:pPr>
      <w:r>
        <w:rPr>
          <w:rFonts w:ascii="IRNazanin" w:hAnsi="IRNazanin" w:eastAsia="IRNazanin" w:cs="IRNazanin"/>
          <w:lang w:bidi="fa-IR"/>
          <w:color w:val="111111"/>
          <w:sz w:val="28"/>
          <w:szCs w:val="28"/>
          <w:rtl/>
        </w:rPr>
        <w:t xml:space="preserve">الخلق، ج 1، ص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آداب العبادة، ج 1، ص 46.</w:t>
      </w:r>
    </w:p>
    <w:p>
      <w:pPr>
        <w:pStyle w:val="BookText"/>
      </w:pPr>
      <w:r>
        <w:rPr>
          <w:rFonts w:ascii="Amiri" w:hAnsi="Amiri" w:eastAsia="Amiri" w:cs="Amiri"/>
          <w:lang w:bidi="ar-SA"/>
          <w:color w:val="111111"/>
          <w:sz w:val="28"/>
          <w:szCs w:val="28"/>
          <w:rtl/>
        </w:rPr>
        <w:t xml:space="preserve">3 .الابيات المنظومة، ج 1، ص 120.</w:t>
      </w:r>
    </w:p>
    <w:p>
      <w:pPr>
        <w:pStyle w:val="BookText"/>
      </w:pPr>
      <w:r>
        <w:rPr>
          <w:rFonts w:ascii="Amiri" w:hAnsi="Amiri" w:eastAsia="Amiri" w:cs="Amiri"/>
          <w:lang w:bidi="ar-SA"/>
          <w:color w:val="111111"/>
          <w:sz w:val="28"/>
          <w:szCs w:val="28"/>
          <w:rtl/>
        </w:rPr>
        <w:t xml:space="preserve">4 .اجتناب المعاصي (رسالة في)، ج1،</w:t>
      </w:r>
    </w:p>
    <w:p>
      <w:pPr>
        <w:pStyle w:val="BookText"/>
      </w:pPr>
      <w:r>
        <w:rPr>
          <w:rFonts w:ascii="IRNazanin" w:hAnsi="IRNazanin" w:eastAsia="IRNazanin" w:cs="IRNazanin"/>
          <w:lang w:bidi="fa-IR"/>
          <w:color w:val="111111"/>
          <w:sz w:val="28"/>
          <w:szCs w:val="28"/>
          <w:rtl/>
        </w:rPr>
        <w:t xml:space="preserve">ص 297</w:t>
      </w:r>
    </w:p>
    <w:p>
      <w:pPr>
        <w:pStyle w:val="BookText"/>
      </w:pPr>
      <w:r>
        <w:rPr>
          <w:rFonts w:ascii="Amiri" w:hAnsi="Amiri" w:eastAsia="Amiri" w:cs="Amiri"/>
          <w:lang w:bidi="ar-SA"/>
          <w:color w:val="111111"/>
          <w:sz w:val="28"/>
          <w:szCs w:val="28"/>
          <w:rtl/>
        </w:rPr>
        <w:t xml:space="preserve">5 .الاجوبة المسكتة، ج 1، ص 383.</w:t>
      </w:r>
    </w:p>
    <w:p>
      <w:pPr>
        <w:pStyle w:val="BookText"/>
      </w:pPr>
      <w:r>
        <w:rPr>
          <w:rFonts w:ascii="Amiri" w:hAnsi="Amiri" w:eastAsia="Amiri" w:cs="Amiri"/>
          <w:lang w:bidi="ar-SA"/>
          <w:color w:val="111111"/>
          <w:sz w:val="28"/>
          <w:szCs w:val="28"/>
          <w:rtl/>
        </w:rPr>
        <w:t xml:space="preserve">6 .احوال والدة الرسول (ص)، ج 1،</w:t>
      </w:r>
    </w:p>
    <w:p>
      <w:pPr>
        <w:pStyle w:val="BookText"/>
      </w:pPr>
      <w:r>
        <w:rPr>
          <w:rFonts w:ascii="IRNazanin" w:hAnsi="IRNazanin" w:eastAsia="IRNazanin" w:cs="IRNazanin"/>
          <w:lang w:bidi="fa-IR"/>
          <w:color w:val="111111"/>
          <w:sz w:val="28"/>
          <w:szCs w:val="28"/>
          <w:rtl/>
        </w:rPr>
        <w:t xml:space="preserve">ص 507.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احياء علوم الدين، ج 1، ص 508</w:t>
      </w:r>
    </w:p>
    <w:p>
      <w:pPr>
        <w:pStyle w:val="BookText"/>
      </w:pPr>
      <w:r>
        <w:rPr>
          <w:rFonts w:ascii="Amiri" w:hAnsi="Amiri" w:eastAsia="Amiri" w:cs="Amiri"/>
          <w:lang w:bidi="ar-SA"/>
          <w:color w:val="111111"/>
          <w:sz w:val="28"/>
          <w:szCs w:val="28"/>
          <w:rtl/>
        </w:rPr>
        <w:t xml:space="preserve">8.احياء علوم الدين (مختصر)، ج1،</w:t>
      </w:r>
    </w:p>
    <w:p>
      <w:pPr>
        <w:pStyle w:val="BookText"/>
      </w:pPr>
      <w:r>
        <w:rPr>
          <w:rFonts w:ascii="IRNazanin" w:hAnsi="IRNazanin" w:eastAsia="IRNazanin" w:cs="IRNazanin"/>
          <w:lang w:bidi="fa-IR"/>
          <w:color w:val="111111"/>
          <w:sz w:val="28"/>
          <w:szCs w:val="28"/>
          <w:rtl/>
        </w:rPr>
        <w:t xml:space="preserve">ص 516.</w:t>
      </w:r>
    </w:p>
    <w:p>
      <w:pPr>
        <w:pStyle w:val="BookText"/>
      </w:pPr>
      <w:r>
        <w:rPr>
          <w:rFonts w:ascii="Amiri" w:hAnsi="Amiri" w:eastAsia="Amiri" w:cs="Amiri"/>
          <w:lang w:bidi="ar-SA"/>
          <w:color w:val="111111"/>
          <w:sz w:val="28"/>
          <w:szCs w:val="28"/>
          <w:rtl/>
        </w:rPr>
        <w:t xml:space="preserve">9 .الاربعين في اصول الدين، ج1،</w:t>
      </w:r>
    </w:p>
    <w:p>
      <w:pPr>
        <w:pStyle w:val="BookText"/>
      </w:pPr>
      <w:r>
        <w:rPr>
          <w:rFonts w:ascii="IRNazanin" w:hAnsi="IRNazanin" w:eastAsia="IRNazanin" w:cs="IRNazanin"/>
          <w:lang w:bidi="fa-IR"/>
          <w:color w:val="111111"/>
          <w:sz w:val="28"/>
          <w:szCs w:val="28"/>
          <w:rtl/>
        </w:rPr>
        <w:t xml:space="preserve">ص 741 .</w:t>
      </w:r>
    </w:p>
    <w:p>
      <w:pPr>
        <w:pStyle w:val="BookText"/>
      </w:pPr>
      <w:r>
        <w:rPr>
          <w:rFonts w:ascii="Amiri" w:hAnsi="Amiri" w:eastAsia="Amiri" w:cs="Amiri"/>
          <w:lang w:bidi="ar-SA"/>
          <w:color w:val="111111"/>
          <w:sz w:val="28"/>
          <w:szCs w:val="28"/>
          <w:rtl/>
        </w:rPr>
        <w:t xml:space="preserve">10 .استخلاص الحق من بين اضطراب</w:t>
      </w:r>
    </w:p>
    <w:p>
      <w:pPr>
        <w:pStyle w:val="BookText"/>
      </w:pPr>
      <w:r>
        <w:rPr>
          <w:rFonts w:ascii="IRNazanin" w:hAnsi="IRNazanin" w:eastAsia="IRNazanin" w:cs="IRNazanin"/>
          <w:lang w:bidi="fa-IR"/>
          <w:color w:val="111111"/>
          <w:sz w:val="28"/>
          <w:szCs w:val="28"/>
          <w:rtl/>
        </w:rPr>
        <w:t xml:space="preserve">الفرق، ج 2، ص 124.</w:t>
      </w:r>
    </w:p>
    <w:p>
      <w:pPr>
        <w:pStyle w:val="BookText"/>
      </w:pPr>
      <w:r>
        <w:rPr>
          <w:rFonts w:ascii="Amiri" w:hAnsi="Amiri" w:eastAsia="Amiri" w:cs="Amiri"/>
          <w:lang w:bidi="ar-SA"/>
          <w:color w:val="111111"/>
          <w:sz w:val="28"/>
          <w:szCs w:val="28"/>
          <w:rtl/>
        </w:rPr>
        <w:t xml:space="preserve">11 .الاشارة المعنوية و الاسرار الحرفية</w:t>
      </w:r>
    </w:p>
    <w:p>
      <w:pPr>
        <w:pStyle w:val="BookText"/>
      </w:pPr>
      <w:r>
        <w:rPr>
          <w:rFonts w:ascii="IRNazanin" w:hAnsi="IRNazanin" w:eastAsia="IRNazanin" w:cs="IRNazanin"/>
          <w:lang w:bidi="fa-IR"/>
          <w:color w:val="111111"/>
          <w:sz w:val="28"/>
          <w:szCs w:val="28"/>
          <w:rtl/>
        </w:rPr>
        <w:t xml:space="preserve">ج 2، ص 261.</w:t>
      </w:r>
    </w:p>
    <w:p>
      <w:pPr>
        <w:pStyle w:val="BookText"/>
      </w:pPr>
      <w:r>
        <w:rPr>
          <w:rFonts w:ascii="IRNazanin" w:hAnsi="IRNazanin" w:eastAsia="IRNazanin" w:cs="IRNazanin"/>
          <w:lang w:bidi="fa-IR"/>
          <w:color w:val="111111"/>
          <w:sz w:val="28"/>
          <w:szCs w:val="28"/>
          <w:rtl/>
        </w:rPr>
        <w:t xml:space="preserve">12 .الاعتقادات، ج2، ص 504.</w:t>
      </w:r>
    </w:p>
    <w:p>
      <w:pPr>
        <w:pStyle w:val="BookText"/>
      </w:pPr>
      <w:r>
        <w:rPr>
          <w:rFonts w:ascii="Amiri" w:hAnsi="Amiri" w:eastAsia="Amiri" w:cs="Amiri"/>
          <w:lang w:bidi="ar-SA"/>
          <w:color w:val="111111"/>
          <w:sz w:val="28"/>
          <w:szCs w:val="28"/>
          <w:rtl/>
        </w:rPr>
        <w:t xml:space="preserve">13 .الجام العوام في علم الكلام، ج 2،</w:t>
      </w:r>
    </w:p>
    <w:p>
      <w:pPr>
        <w:pStyle w:val="BookText"/>
      </w:pPr>
      <w:r>
        <w:rPr>
          <w:rFonts w:ascii="IRNazanin" w:hAnsi="IRNazanin" w:eastAsia="IRNazanin" w:cs="IRNazanin"/>
          <w:lang w:bidi="fa-IR"/>
          <w:color w:val="111111"/>
          <w:sz w:val="28"/>
          <w:szCs w:val="28"/>
          <w:rtl/>
        </w:rPr>
        <w:t xml:space="preserve">ص 662 .</w:t>
      </w:r>
    </w:p>
    <w:p>
      <w:pPr>
        <w:pStyle w:val="BookText"/>
      </w:pPr>
      <w:r>
        <w:rPr>
          <w:rFonts w:ascii="Amiri" w:hAnsi="Amiri" w:eastAsia="Amiri" w:cs="Amiri"/>
          <w:lang w:bidi="ar-SA"/>
          <w:color w:val="111111"/>
          <w:sz w:val="28"/>
          <w:szCs w:val="28"/>
          <w:rtl/>
        </w:rPr>
        <w:t xml:space="preserve">14 .ألفاظ مستخرجة من فوائد الشيخ</w:t>
      </w:r>
    </w:p>
    <w:p>
      <w:pPr>
        <w:pStyle w:val="BookText"/>
      </w:pPr>
      <w:r>
        <w:rPr>
          <w:rFonts w:ascii="Amiri" w:hAnsi="Amiri" w:eastAsia="Amiri" w:cs="Amiri"/>
          <w:lang w:bidi="ar-SA"/>
          <w:color w:val="111111"/>
          <w:sz w:val="28"/>
          <w:szCs w:val="28"/>
          <w:rtl/>
        </w:rPr>
        <w:t xml:space="preserve">محمّد الغزالي، ج 2، ص 679.</w:t>
      </w:r>
    </w:p>
    <w:p>
      <w:pPr>
        <w:pStyle w:val="BookText"/>
      </w:pPr>
      <w:r>
        <w:rPr>
          <w:rFonts w:ascii="Amiri" w:hAnsi="Amiri" w:eastAsia="Amiri" w:cs="Amiri"/>
          <w:lang w:bidi="ar-SA"/>
          <w:color w:val="111111"/>
          <w:sz w:val="28"/>
          <w:szCs w:val="28"/>
          <w:rtl/>
        </w:rPr>
        <w:t xml:space="preserve">15 .إنباه الإنباه على تحقيق إعراب لا</w:t>
      </w:r>
    </w:p>
    <w:p>
      <w:pPr>
        <w:pStyle w:val="BookText"/>
      </w:pPr>
      <w:r>
        <w:rPr>
          <w:rFonts w:ascii="IRNazanin" w:hAnsi="IRNazanin" w:eastAsia="IRNazanin" w:cs="IRNazanin"/>
          <w:lang w:bidi="fa-IR"/>
          <w:color w:val="111111"/>
          <w:sz w:val="28"/>
          <w:szCs w:val="28"/>
          <w:rtl/>
        </w:rPr>
        <w:t xml:space="preserve">إله إلا الله، ج2، ص779.</w:t>
      </w:r>
    </w:p>
    <w:p>
      <w:pPr>
        <w:pStyle w:val="BookText"/>
      </w:pPr>
      <w:r>
        <w:rPr>
          <w:rFonts w:ascii="Amiri" w:hAnsi="Amiri" w:eastAsia="Amiri" w:cs="Amiri"/>
          <w:lang w:bidi="ar-SA"/>
          <w:color w:val="111111"/>
          <w:sz w:val="28"/>
          <w:szCs w:val="28"/>
          <w:rtl/>
        </w:rPr>
        <w:t xml:space="preserve">16 .ايها الولد - ترجمه فرزند نامه</w:t>
      </w:r>
    </w:p>
    <w:p>
      <w:pPr>
        <w:pStyle w:val="BookText"/>
      </w:pPr>
      <w:r>
        <w:rPr>
          <w:rFonts w:ascii="IRNazanin" w:hAnsi="IRNazanin" w:eastAsia="IRNazanin" w:cs="IRNazanin"/>
          <w:lang w:bidi="fa-IR"/>
          <w:color w:val="111111"/>
          <w:sz w:val="28"/>
          <w:szCs w:val="28"/>
          <w:rtl/>
        </w:rPr>
        <w:t xml:space="preserve">ج 3، ص 162.</w:t>
      </w:r>
    </w:p>
    <w:p>
      <w:pPr>
        <w:pStyle w:val="BookText"/>
      </w:pPr>
      <w:r>
        <w:rPr>
          <w:rFonts w:ascii="Amiri" w:hAnsi="Amiri" w:eastAsia="Amiri" w:cs="Amiri"/>
          <w:lang w:bidi="ar-SA"/>
          <w:color w:val="111111"/>
          <w:sz w:val="28"/>
          <w:szCs w:val="28"/>
          <w:rtl/>
        </w:rPr>
        <w:t xml:space="preserve">17 .بداية الهداية - بداية الهداية و</w:t>
      </w:r>
    </w:p>
    <w:p>
      <w:pPr>
        <w:pStyle w:val="BookText"/>
      </w:pPr>
      <w:r>
        <w:rPr>
          <w:rFonts w:ascii="Amiri" w:hAnsi="Amiri" w:eastAsia="Amiri" w:cs="Amiri"/>
          <w:lang w:bidi="ar-SA"/>
          <w:color w:val="111111"/>
          <w:sz w:val="28"/>
          <w:szCs w:val="28"/>
          <w:rtl/>
        </w:rPr>
        <w:t xml:space="preserve">تهذيب النفوس بالادلة الشرعية</w:t>
      </w:r>
    </w:p>
    <w:p>
      <w:pPr>
        <w:pStyle w:val="BookText"/>
      </w:pPr>
      <w:r>
        <w:rPr>
          <w:rFonts w:ascii="IRNazanin" w:hAnsi="IRNazanin" w:eastAsia="IRNazanin" w:cs="IRNazanin"/>
          <w:lang w:bidi="fa-IR"/>
          <w:color w:val="111111"/>
          <w:sz w:val="28"/>
          <w:szCs w:val="28"/>
          <w:rtl/>
        </w:rPr>
        <w:t xml:space="preserve">ج 3، ص 251.</w:t>
      </w:r>
    </w:p>
    <w:p>
      <w:pPr>
        <w:pStyle w:val="BookText"/>
      </w:pPr>
      <w:r>
        <w:rPr>
          <w:rFonts w:ascii="Amiri" w:hAnsi="Amiri" w:eastAsia="Amiri" w:cs="Amiri"/>
          <w:lang w:bidi="ar-SA"/>
          <w:color w:val="111111"/>
          <w:sz w:val="28"/>
          <w:szCs w:val="28"/>
          <w:rtl/>
        </w:rPr>
        <w:t xml:space="preserve">18 .بعض اصطلاحات النباتات و الحيوان( بحث في)، ج 3، ص 356 .</w:t>
      </w:r>
    </w:p>
    <w:p>
      <w:pPr>
        <w:pStyle w:val="BookText"/>
      </w:pPr>
      <w:r>
        <w:rPr>
          <w:rFonts w:ascii="Amiri" w:hAnsi="Amiri" w:eastAsia="Amiri" w:cs="Amiri"/>
          <w:lang w:bidi="ar-SA"/>
          <w:color w:val="111111"/>
          <w:sz w:val="28"/>
          <w:szCs w:val="28"/>
          <w:rtl/>
        </w:rPr>
        <w:t xml:space="preserve">19 .البهجة السنية في شرح دعوة الجلجلوتية، ج 3، ص 420.</w:t>
      </w:r>
    </w:p>
    <w:p>
      <w:pPr>
        <w:pStyle w:val="BookText"/>
      </w:pPr>
      <w:r>
        <w:rPr>
          <w:rFonts w:ascii="IRNazanin" w:hAnsi="IRNazanin" w:eastAsia="IRNazanin" w:cs="IRNazanin"/>
          <w:lang w:bidi="fa-IR"/>
          <w:color w:val="111111"/>
          <w:sz w:val="28"/>
          <w:szCs w:val="28"/>
          <w:rtl/>
        </w:rPr>
        <w:t xml:space="preserve">20 .پرسش و پاسخ، ج3، ص520</w:t>
      </w:r>
    </w:p>
    <w:p>
      <w:pPr>
        <w:pStyle w:val="BookText"/>
      </w:pPr>
      <w:r>
        <w:rPr>
          <w:rFonts w:ascii="IRNazanin" w:hAnsi="IRNazanin" w:eastAsia="IRNazanin" w:cs="IRNazanin"/>
          <w:lang w:bidi="fa-IR"/>
          <w:color w:val="111111"/>
          <w:sz w:val="28"/>
          <w:szCs w:val="28"/>
          <w:rtl/>
        </w:rPr>
        <w:t xml:space="preserve">21 .پندنامه، ج3، ص522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التصوف (رسالة في)، ج 4 ، ص 425 .</w:t>
      </w:r>
    </w:p>
    <w:p>
      <w:pPr>
        <w:pStyle w:val="BookText"/>
      </w:pPr>
      <w:r>
        <w:rPr>
          <w:rFonts w:ascii="IRNazanin" w:hAnsi="IRNazanin" w:eastAsia="IRNazanin" w:cs="IRNazanin"/>
          <w:lang w:bidi="fa-IR"/>
          <w:color w:val="111111"/>
          <w:sz w:val="28"/>
          <w:szCs w:val="28"/>
          <w:rtl/>
        </w:rPr>
        <w:t xml:space="preserve">23 .تصوف رساله در ج4، ص 425</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تعليم المبتدئين( رسالة في)، جع،</w:t>
      </w:r>
    </w:p>
    <w:p>
      <w:pPr>
        <w:pStyle w:val="BookText"/>
      </w:pPr>
      <w:r>
        <w:rPr>
          <w:rFonts w:ascii="IRNazanin" w:hAnsi="IRNazanin" w:eastAsia="IRNazanin" w:cs="IRNazanin"/>
          <w:lang w:bidi="fa-IR"/>
          <w:color w:val="111111"/>
          <w:sz w:val="28"/>
          <w:szCs w:val="28"/>
          <w:rtl/>
        </w:rPr>
        <w:t xml:space="preserve">ص 558 .</w:t>
      </w:r>
    </w:p>
    <w:p>
      <w:pPr>
        <w:pStyle w:val="BookText"/>
      </w:pPr>
      <w:r>
        <w:rPr>
          <w:rFonts w:ascii="Amiri" w:hAnsi="Amiri" w:eastAsia="Amiri" w:cs="Amiri"/>
          <w:lang w:bidi="ar-SA"/>
          <w:color w:val="111111"/>
          <w:sz w:val="28"/>
          <w:szCs w:val="28"/>
          <w:rtl/>
        </w:rPr>
        <w:t xml:space="preserve">25 .تفسير آية «فاذا سويته و نفخت فيه من روحي = التسوية و النفخ = تحقيق الروح = المضنون</w:t>
      </w:r>
    </w:p>
    <w:p>
      <w:pPr>
        <w:pStyle w:val="BookText"/>
      </w:pPr>
      <w:r>
        <w:rPr>
          <w:rFonts w:ascii="Amiri" w:hAnsi="Amiri" w:eastAsia="Amiri" w:cs="Amiri"/>
          <w:lang w:bidi="ar-SA"/>
          <w:color w:val="111111"/>
          <w:sz w:val="28"/>
          <w:szCs w:val="28"/>
          <w:rtl/>
        </w:rPr>
        <w:t xml:space="preserve">الصغير، ج 4، ص 579.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التفكر في كيفية خلق الله تعالى</w:t>
      </w:r>
    </w:p>
    <w:p>
      <w:pPr>
        <w:pStyle w:val="BookText"/>
      </w:pPr>
      <w:r>
        <w:rPr>
          <w:rFonts w:ascii="IRNazanin" w:hAnsi="IRNazanin" w:eastAsia="IRNazanin" w:cs="IRNazanin"/>
          <w:lang w:bidi="fa-IR"/>
          <w:color w:val="111111"/>
          <w:sz w:val="28"/>
          <w:szCs w:val="28"/>
          <w:rtl/>
        </w:rPr>
        <w:t xml:space="preserve">ج ،4، ص 712 .</w:t>
      </w:r>
    </w:p>
    <w:p>
      <w:pPr>
        <w:pStyle w:val="BookText"/>
      </w:pPr>
      <w:r>
        <w:rPr>
          <w:rFonts w:ascii="Amiri" w:hAnsi="Amiri" w:eastAsia="Amiri" w:cs="Amiri"/>
          <w:lang w:bidi="ar-SA"/>
          <w:color w:val="111111"/>
          <w:sz w:val="28"/>
          <w:szCs w:val="28"/>
          <w:rtl/>
        </w:rPr>
        <w:t xml:space="preserve">27 ت.هافت الفلاسفة، ج 5، ص 83.</w:t>
      </w:r>
    </w:p>
    <w:p>
      <w:pPr>
        <w:pStyle w:val="BookText"/>
      </w:pPr>
      <w:r>
        <w:rPr>
          <w:rFonts w:ascii="IRNazanin" w:hAnsi="IRNazanin" w:eastAsia="IRNazanin" w:cs="IRNazanin"/>
          <w:lang w:bidi="fa-IR"/>
          <w:color w:val="111111"/>
          <w:sz w:val="28"/>
          <w:szCs w:val="28"/>
          <w:rtl/>
        </w:rPr>
        <w:t xml:space="preserve">28 .لجفر، ج5، ص393.</w:t>
      </w:r>
    </w:p>
    <w:p>
      <w:pPr>
        <w:pStyle w:val="BookText"/>
      </w:pPr>
      <w:r>
        <w:rPr>
          <w:rFonts w:ascii="Amiri" w:hAnsi="Amiri" w:eastAsia="Amiri" w:cs="Amiri"/>
          <w:lang w:bidi="ar-SA"/>
          <w:color w:val="111111"/>
          <w:sz w:val="28"/>
          <w:szCs w:val="28"/>
          <w:rtl/>
        </w:rPr>
        <w:t xml:space="preserve">29 .الجوابات المرقومة = المسائل الاربع التي سألها الباطنية بهمدان</w:t>
      </w:r>
    </w:p>
    <w:p>
      <w:pPr>
        <w:pStyle w:val="BookText"/>
      </w:pPr>
      <w:r>
        <w:rPr>
          <w:rFonts w:ascii="IRNazanin" w:hAnsi="IRNazanin" w:eastAsia="IRNazanin" w:cs="IRNazanin"/>
          <w:lang w:bidi="fa-IR"/>
          <w:color w:val="111111"/>
          <w:sz w:val="28"/>
          <w:szCs w:val="28"/>
          <w:rtl/>
        </w:rPr>
        <w:t xml:space="preserve">ج 5، ص 491 .</w:t>
      </w:r>
    </w:p>
    <w:p>
      <w:pPr>
        <w:pStyle w:val="BookText"/>
      </w:pPr>
      <w:r>
        <w:rPr>
          <w:rFonts w:ascii="Amiri" w:hAnsi="Amiri" w:eastAsia="Amiri" w:cs="Amiri"/>
          <w:lang w:bidi="ar-SA"/>
          <w:color w:val="111111"/>
          <w:sz w:val="28"/>
          <w:szCs w:val="28"/>
          <w:rtl/>
        </w:rPr>
        <w:t xml:space="preserve">30 .جواب الاسئلة الباطنية، جه،</w:t>
      </w:r>
    </w:p>
    <w:p>
      <w:pPr>
        <w:pStyle w:val="BookText"/>
      </w:pPr>
      <w:r>
        <w:rPr>
          <w:rFonts w:ascii="IRNazanin" w:hAnsi="IRNazanin" w:eastAsia="IRNazanin" w:cs="IRNazanin"/>
          <w:lang w:bidi="fa-IR"/>
          <w:color w:val="111111"/>
          <w:sz w:val="28"/>
          <w:szCs w:val="28"/>
          <w:rtl/>
        </w:rPr>
        <w:t xml:space="preserve">ص495.</w:t>
      </w:r>
    </w:p>
    <w:p>
      <w:pPr>
        <w:pStyle w:val="BookText"/>
      </w:pPr>
      <w:r>
        <w:rPr>
          <w:rFonts w:ascii="Amiri" w:hAnsi="Amiri" w:eastAsia="Amiri" w:cs="Amiri"/>
          <w:lang w:bidi="ar-SA"/>
          <w:color w:val="111111"/>
          <w:sz w:val="28"/>
          <w:szCs w:val="28"/>
          <w:rtl/>
        </w:rPr>
        <w:t xml:space="preserve">31 .جواهر القرآن و درره = الاربعين في اصول الدين، ج 5 ص 561.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32 .الجوهرة الفاخرة في احوال الآخرة</w:t>
      </w:r>
    </w:p>
    <w:p>
      <w:pPr>
        <w:pStyle w:val="BookText"/>
      </w:pPr>
      <w:r>
        <w:rPr>
          <w:rFonts w:ascii="IRNazanin" w:hAnsi="IRNazanin" w:eastAsia="IRNazanin" w:cs="IRNazanin"/>
          <w:lang w:bidi="fa-IR"/>
          <w:color w:val="111111"/>
          <w:sz w:val="28"/>
          <w:szCs w:val="28"/>
          <w:rtl/>
        </w:rPr>
        <w:t xml:space="preserve">ج 5، ص 614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حرز الطمس في خواص وفق ج6،</w:t>
      </w:r>
    </w:p>
    <w:p>
      <w:pPr>
        <w:pStyle w:val="BookText"/>
      </w:pPr>
      <w:r>
        <w:rPr>
          <w:rFonts w:ascii="IRNazanin" w:hAnsi="IRNazanin" w:eastAsia="IRNazanin" w:cs="IRNazanin"/>
          <w:lang w:bidi="fa-IR"/>
          <w:color w:val="111111"/>
          <w:sz w:val="28"/>
          <w:szCs w:val="28"/>
          <w:rtl/>
        </w:rPr>
        <w:t xml:space="preserve">ص 613.</w:t>
      </w:r>
    </w:p>
    <w:p>
      <w:pPr>
        <w:pStyle w:val="BookText"/>
      </w:pPr>
      <w:r>
        <w:rPr>
          <w:rFonts w:ascii="Amiri" w:hAnsi="Amiri" w:eastAsia="Amiri" w:cs="Amiri"/>
          <w:lang w:bidi="ar-SA"/>
          <w:color w:val="111111"/>
          <w:sz w:val="28"/>
          <w:szCs w:val="28"/>
          <w:rtl/>
        </w:rPr>
        <w:t xml:space="preserve">34 .حضيرة القدس، ج 6، ص 674.</w:t>
      </w:r>
    </w:p>
    <w:p>
      <w:pPr>
        <w:pStyle w:val="BookText"/>
      </w:pPr>
      <w:r>
        <w:rPr>
          <w:rFonts w:ascii="Amiri" w:hAnsi="Amiri" w:eastAsia="Amiri" w:cs="Amiri"/>
          <w:lang w:bidi="ar-SA"/>
          <w:color w:val="111111"/>
          <w:sz w:val="28"/>
          <w:szCs w:val="28"/>
          <w:rtl/>
        </w:rPr>
        <w:t xml:space="preserve">35 .حقيقة الكفر والايمان = فيصل التفرقة بين الاسلام والزندقة، ج6، ص 711.</w:t>
      </w:r>
    </w:p>
    <w:p>
      <w:pPr>
        <w:pStyle w:val="BookText"/>
      </w:pPr>
      <w:r>
        <w:rPr>
          <w:rFonts w:ascii="Amiri" w:hAnsi="Amiri" w:eastAsia="Amiri" w:cs="Amiri"/>
          <w:lang w:bidi="ar-SA"/>
          <w:color w:val="111111"/>
          <w:sz w:val="28"/>
          <w:szCs w:val="28"/>
          <w:rtl/>
        </w:rPr>
        <w:t xml:space="preserve">36 .خواص الفاتحة، ج 7، ص178.</w:t>
      </w:r>
    </w:p>
    <w:p>
      <w:pPr>
        <w:pStyle w:val="BookText"/>
      </w:pPr>
      <w:r>
        <w:rPr>
          <w:rFonts w:ascii="Amiri" w:hAnsi="Amiri" w:eastAsia="Amiri" w:cs="Amiri"/>
          <w:lang w:bidi="ar-SA"/>
          <w:color w:val="111111"/>
          <w:sz w:val="28"/>
          <w:szCs w:val="28"/>
          <w:rtl/>
        </w:rPr>
        <w:t xml:space="preserve">37 .الدرة الفاخرة في كشف علوم</w:t>
      </w:r>
    </w:p>
    <w:p>
      <w:pPr>
        <w:pStyle w:val="BookText"/>
      </w:pPr>
      <w:r>
        <w:rPr>
          <w:rFonts w:ascii="Amiri" w:hAnsi="Amiri" w:eastAsia="Amiri" w:cs="Amiri"/>
          <w:lang w:bidi="ar-SA"/>
          <w:color w:val="111111"/>
          <w:sz w:val="28"/>
          <w:szCs w:val="28"/>
          <w:rtl/>
        </w:rPr>
        <w:t xml:space="preserve">الآخرة، ج 7، ص 249.</w:t>
      </w:r>
    </w:p>
    <w:p>
      <w:pPr>
        <w:pStyle w:val="BookText"/>
      </w:pPr>
      <w:r>
        <w:rPr>
          <w:rFonts w:ascii="Amiri" w:hAnsi="Amiri" w:eastAsia="Amiri" w:cs="Amiri"/>
          <w:lang w:bidi="ar-SA"/>
          <w:color w:val="111111"/>
          <w:sz w:val="28"/>
          <w:szCs w:val="28"/>
          <w:rtl/>
        </w:rPr>
        <w:t xml:space="preserve">38 .دعاء الشيخ محمّد الغزالي، ج7،</w:t>
      </w:r>
    </w:p>
    <w:p>
      <w:pPr>
        <w:pStyle w:val="BookText"/>
      </w:pPr>
      <w:r>
        <w:rPr>
          <w:rFonts w:ascii="IRNazanin" w:hAnsi="IRNazanin" w:eastAsia="IRNazanin" w:cs="IRNazanin"/>
          <w:lang w:bidi="fa-IR"/>
          <w:color w:val="111111"/>
          <w:sz w:val="28"/>
          <w:szCs w:val="28"/>
          <w:rtl/>
        </w:rPr>
        <w:t xml:space="preserve">ص 400 .</w:t>
      </w:r>
    </w:p>
    <w:p>
      <w:pPr>
        <w:pStyle w:val="BookText"/>
      </w:pPr>
      <w:r>
        <w:rPr>
          <w:rFonts w:ascii="Amiri" w:hAnsi="Amiri" w:eastAsia="Amiri" w:cs="Amiri"/>
          <w:lang w:bidi="ar-SA"/>
          <w:color w:val="111111"/>
          <w:sz w:val="28"/>
          <w:szCs w:val="28"/>
          <w:rtl/>
        </w:rPr>
        <w:t xml:space="preserve">39 .رد على المقلدة، ج8، ص103.</w:t>
      </w:r>
    </w:p>
    <w:p>
      <w:pPr>
        <w:pStyle w:val="BookText"/>
      </w:pPr>
      <w:r>
        <w:rPr>
          <w:rFonts w:ascii="Amiri" w:hAnsi="Amiri" w:eastAsia="Amiri" w:cs="Amiri"/>
          <w:lang w:bidi="ar-SA"/>
          <w:color w:val="111111"/>
          <w:sz w:val="28"/>
          <w:szCs w:val="28"/>
          <w:rtl/>
        </w:rPr>
        <w:t xml:space="preserve">40 .الرسالة القدسية في لوامع الادلة</w:t>
      </w:r>
    </w:p>
    <w:p>
      <w:pPr>
        <w:pStyle w:val="BookText"/>
      </w:pPr>
      <w:r>
        <w:rPr>
          <w:rFonts w:ascii="Amiri" w:hAnsi="Amiri" w:eastAsia="Amiri" w:cs="Amiri"/>
          <w:lang w:bidi="ar-SA"/>
          <w:color w:val="111111"/>
          <w:sz w:val="28"/>
          <w:szCs w:val="28"/>
          <w:rtl/>
        </w:rPr>
        <w:t xml:space="preserve">البرهانية، ج8، ص 248.</w:t>
      </w:r>
    </w:p>
    <w:p>
      <w:pPr>
        <w:pStyle w:val="BookText"/>
      </w:pPr>
      <w:r>
        <w:rPr>
          <w:rFonts w:ascii="Amiri" w:hAnsi="Amiri" w:eastAsia="Amiri" w:cs="Amiri"/>
          <w:lang w:bidi="ar-SA"/>
          <w:color w:val="111111"/>
          <w:sz w:val="28"/>
          <w:szCs w:val="28"/>
          <w:rtl/>
        </w:rPr>
        <w:t xml:space="preserve">41 .رسالة بالفارسية، ج8، ص 176.</w:t>
      </w:r>
    </w:p>
    <w:p>
      <w:pPr>
        <w:pStyle w:val="BookText"/>
      </w:pPr>
      <w:r>
        <w:rPr>
          <w:rFonts w:ascii="Amiri" w:hAnsi="Amiri" w:eastAsia="Amiri" w:cs="Amiri"/>
          <w:lang w:bidi="ar-SA"/>
          <w:color w:val="111111"/>
          <w:sz w:val="28"/>
          <w:szCs w:val="28"/>
          <w:rtl/>
        </w:rPr>
        <w:t xml:space="preserve">42 .رسالة منسوبة إلى الامام محمد</w:t>
      </w:r>
    </w:p>
    <w:p>
      <w:pPr>
        <w:pStyle w:val="BookText"/>
      </w:pPr>
      <w:r>
        <w:rPr>
          <w:rFonts w:ascii="Amiri" w:hAnsi="Amiri" w:eastAsia="Amiri" w:cs="Amiri"/>
          <w:lang w:bidi="ar-SA"/>
          <w:color w:val="111111"/>
          <w:sz w:val="28"/>
          <w:szCs w:val="28"/>
          <w:rtl/>
        </w:rPr>
        <w:t xml:space="preserve">بن الغزالي، ج8، ص280.</w:t>
      </w:r>
    </w:p>
    <w:p>
      <w:pPr>
        <w:pStyle w:val="BookText"/>
      </w:pPr>
      <w:r>
        <w:rPr>
          <w:rFonts w:ascii="Amiri" w:hAnsi="Amiri" w:eastAsia="Amiri" w:cs="Amiri"/>
          <w:lang w:bidi="ar-SA"/>
          <w:color w:val="111111"/>
          <w:sz w:val="28"/>
          <w:szCs w:val="28"/>
          <w:rtl/>
        </w:rPr>
        <w:t xml:space="preserve">43 .سر اسم الله الكريم الرحيم</w:t>
      </w:r>
    </w:p>
    <w:p>
      <w:pPr>
        <w:pStyle w:val="BookText"/>
      </w:pPr>
      <w:r>
        <w:rPr>
          <w:rFonts w:ascii="Amiri" w:hAnsi="Amiri" w:eastAsia="Amiri" w:cs="Amiri"/>
          <w:lang w:bidi="ar-SA"/>
          <w:color w:val="111111"/>
          <w:sz w:val="28"/>
          <w:szCs w:val="28"/>
          <w:rtl/>
        </w:rPr>
        <w:t xml:space="preserve">(قصيدة في)، ج8، ص 748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سر العالمين وكشف ما في الدارين</w:t>
      </w:r>
    </w:p>
    <w:p>
      <w:pPr>
        <w:pStyle w:val="BookText"/>
      </w:pPr>
      <w:r>
        <w:rPr>
          <w:rFonts w:ascii="IRNazanin" w:hAnsi="IRNazanin" w:eastAsia="IRNazanin" w:cs="IRNazanin"/>
          <w:lang w:bidi="fa-IR"/>
          <w:color w:val="111111"/>
          <w:sz w:val="28"/>
          <w:szCs w:val="28"/>
          <w:rtl/>
        </w:rPr>
        <w:t xml:space="preserve">ج8، ص 757.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السر المصون والجوهر المكنون</w:t>
      </w:r>
    </w:p>
    <w:p>
      <w:pPr>
        <w:pStyle w:val="BookText"/>
      </w:pPr>
      <w:r>
        <w:rPr>
          <w:rFonts w:ascii="IRNazanin" w:hAnsi="IRNazanin" w:eastAsia="IRNazanin" w:cs="IRNazanin"/>
          <w:lang w:bidi="fa-IR"/>
          <w:color w:val="111111"/>
          <w:sz w:val="28"/>
          <w:szCs w:val="28"/>
          <w:rtl/>
        </w:rPr>
        <w:t xml:space="preserve">ج 8، ص 763 .</w:t>
      </w:r>
    </w:p>
    <w:p>
      <w:pPr>
        <w:pStyle w:val="BookText"/>
      </w:pPr>
      <w:r>
        <w:rPr>
          <w:rFonts w:ascii="Amiri" w:hAnsi="Amiri" w:eastAsia="Amiri" w:cs="Amiri"/>
          <w:lang w:bidi="ar-SA"/>
          <w:color w:val="111111"/>
          <w:sz w:val="28"/>
          <w:szCs w:val="28"/>
          <w:rtl/>
        </w:rPr>
        <w:t xml:space="preserve">46 .السير والسلوك، ج 9، ص29.</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شرح جنة الاسماء - شرح خواص جنة الاسماء - شرح دائرة علي بن ابي طالب، ج9، ص373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حدیث « شرح الصدر»، ج 9،</w:t>
      </w:r>
    </w:p>
    <w:p>
      <w:pPr>
        <w:pStyle w:val="BookText"/>
      </w:pPr>
      <w:r>
        <w:rPr>
          <w:rFonts w:ascii="IRNazanin" w:hAnsi="IRNazanin" w:eastAsia="IRNazanin" w:cs="IRNazanin"/>
          <w:lang w:bidi="fa-IR"/>
          <w:color w:val="111111"/>
          <w:sz w:val="28"/>
          <w:szCs w:val="28"/>
          <w:rtl/>
        </w:rPr>
        <w:t xml:space="preserve">ص 392.</w:t>
      </w:r>
    </w:p>
    <w:p>
      <w:pPr>
        <w:pStyle w:val="BookText"/>
      </w:pPr>
      <w:r>
        <w:rPr>
          <w:rFonts w:ascii="Amiri" w:hAnsi="Amiri" w:eastAsia="Amiri" w:cs="Amiri"/>
          <w:lang w:bidi="ar-SA"/>
          <w:color w:val="111111"/>
          <w:sz w:val="28"/>
          <w:szCs w:val="28"/>
          <w:rtl/>
        </w:rPr>
        <w:t xml:space="preserve">49 .شرح كلمات يتداولها أهل طريق</w:t>
      </w:r>
    </w:p>
    <w:p>
      <w:pPr>
        <w:pStyle w:val="BookText"/>
      </w:pPr>
      <w:r>
        <w:rPr>
          <w:rFonts w:ascii="IRNazanin" w:hAnsi="IRNazanin" w:eastAsia="IRNazanin" w:cs="IRNazanin"/>
          <w:lang w:bidi="fa-IR"/>
          <w:color w:val="111111"/>
          <w:sz w:val="28"/>
          <w:szCs w:val="28"/>
          <w:rtl/>
        </w:rPr>
        <w:t xml:space="preserve">الله، ج 10 ، ص 61.</w:t>
      </w:r>
    </w:p>
    <w:p>
      <w:pPr>
        <w:pStyle w:val="BookText"/>
      </w:pPr>
      <w:r>
        <w:rPr>
          <w:rFonts w:ascii="Amiri" w:hAnsi="Amiri" w:eastAsia="Amiri" w:cs="Amiri"/>
          <w:lang w:bidi="ar-SA"/>
          <w:color w:val="111111"/>
          <w:sz w:val="28"/>
          <w:szCs w:val="28"/>
          <w:rtl/>
        </w:rPr>
        <w:t xml:space="preserve">50 .شرح كيفية سلوك طريق الآخرة،</w:t>
      </w:r>
    </w:p>
    <w:p>
      <w:pPr>
        <w:pStyle w:val="BookText"/>
      </w:pPr>
      <w:r>
        <w:rPr>
          <w:rFonts w:ascii="IRNazanin" w:hAnsi="IRNazanin" w:eastAsia="IRNazanin" w:cs="IRNazanin"/>
          <w:lang w:bidi="fa-IR"/>
          <w:color w:val="111111"/>
          <w:sz w:val="28"/>
          <w:szCs w:val="28"/>
          <w:rtl/>
        </w:rPr>
        <w:t xml:space="preserve">ج 10، ص70.</w:t>
      </w:r>
    </w:p>
    <w:p>
      <w:pPr>
        <w:pStyle w:val="BookText"/>
      </w:pPr>
      <w:r>
        <w:rPr>
          <w:rFonts w:ascii="Amiri" w:hAnsi="Amiri" w:eastAsia="Amiri" w:cs="Amiri"/>
          <w:lang w:bidi="ar-SA"/>
          <w:color w:val="111111"/>
          <w:sz w:val="28"/>
          <w:szCs w:val="28"/>
          <w:rtl/>
        </w:rPr>
        <w:t xml:space="preserve">51 .شرح مصطلحات الصوفية، ج 10،</w:t>
      </w:r>
    </w:p>
    <w:p>
      <w:pPr>
        <w:pStyle w:val="BookText"/>
      </w:pPr>
      <w:r>
        <w:rPr>
          <w:rFonts w:ascii="IRNazanin" w:hAnsi="IRNazanin" w:eastAsia="IRNazanin" w:cs="IRNazanin"/>
          <w:lang w:bidi="fa-IR"/>
          <w:color w:val="111111"/>
          <w:sz w:val="28"/>
          <w:szCs w:val="28"/>
          <w:rtl/>
        </w:rPr>
        <w:t xml:space="preserve">ص 149.</w:t>
      </w:r>
    </w:p>
    <w:p>
      <w:pPr>
        <w:pStyle w:val="BookText"/>
      </w:pPr>
      <w:r>
        <w:rPr>
          <w:rFonts w:ascii="Amiri" w:hAnsi="Amiri" w:eastAsia="Amiri" w:cs="Amiri"/>
          <w:lang w:bidi="ar-SA"/>
          <w:color w:val="111111"/>
          <w:sz w:val="28"/>
          <w:szCs w:val="28"/>
          <w:rtl/>
        </w:rPr>
        <w:t xml:space="preserve">52 .شرح نخبة الفكر، ج 10، ص282.</w:t>
      </w:r>
    </w:p>
    <w:p>
      <w:pPr>
        <w:pStyle w:val="BookText"/>
      </w:pPr>
      <w:r>
        <w:rPr>
          <w:rFonts w:ascii="Amiri" w:hAnsi="Amiri" w:eastAsia="Amiri" w:cs="Amiri"/>
          <w:lang w:bidi="ar-SA"/>
          <w:color w:val="111111"/>
          <w:sz w:val="28"/>
          <w:szCs w:val="28"/>
          <w:rtl/>
        </w:rPr>
        <w:t xml:space="preserve">53 .العبادات و المواعظ (رسالة في)</w:t>
      </w:r>
    </w:p>
    <w:p>
      <w:pPr>
        <w:pStyle w:val="BookText"/>
      </w:pPr>
      <w:r>
        <w:rPr>
          <w:rFonts w:ascii="IRNazanin" w:hAnsi="IRNazanin" w:eastAsia="IRNazanin" w:cs="IRNazanin"/>
          <w:lang w:bidi="fa-IR"/>
          <w:color w:val="111111"/>
          <w:sz w:val="28"/>
          <w:szCs w:val="28"/>
          <w:rtl/>
        </w:rPr>
        <w:t xml:space="preserve">ج 11، ص 14.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العقائد، ج 11، ص 131.</w:t>
      </w:r>
    </w:p>
    <w:p>
      <w:pPr>
        <w:pStyle w:val="BookText"/>
      </w:pPr>
      <w:r>
        <w:rPr>
          <w:rFonts w:ascii="Amiri" w:hAnsi="Amiri" w:eastAsia="Amiri" w:cs="Amiri"/>
          <w:lang w:bidi="ar-SA"/>
          <w:color w:val="111111"/>
          <w:sz w:val="28"/>
          <w:szCs w:val="28"/>
          <w:rtl/>
        </w:rPr>
        <w:t xml:space="preserve">55 .عقيدة مباركة، ج 11، ص208.</w:t>
      </w:r>
    </w:p>
    <w:p>
      <w:pPr>
        <w:pStyle w:val="BookText"/>
      </w:pPr>
      <w:r>
        <w:rPr>
          <w:rFonts w:ascii="Amiri" w:hAnsi="Amiri" w:eastAsia="Amiri" w:cs="Amiri"/>
          <w:lang w:bidi="ar-SA"/>
          <w:color w:val="111111"/>
          <w:sz w:val="28"/>
          <w:szCs w:val="28"/>
          <w:rtl/>
        </w:rPr>
        <w:t xml:space="preserve">56 .العلم اللدني، ج 11، ص 257 .</w:t>
      </w:r>
    </w:p>
    <w:p>
      <w:pPr>
        <w:pStyle w:val="BookText"/>
      </w:pPr>
      <w:r>
        <w:rPr>
          <w:rFonts w:ascii="Amiri" w:hAnsi="Amiri" w:eastAsia="Amiri" w:cs="Amiri"/>
          <w:lang w:bidi="ar-SA"/>
          <w:color w:val="111111"/>
          <w:sz w:val="28"/>
          <w:szCs w:val="28"/>
          <w:rtl/>
        </w:rPr>
        <w:t xml:space="preserve">57 .علم المعرفة (رسالة في)، ج11،</w:t>
      </w:r>
    </w:p>
    <w:p>
      <w:pPr>
        <w:pStyle w:val="BookText"/>
      </w:pPr>
      <w:r>
        <w:rPr>
          <w:rFonts w:ascii="IRNazanin" w:hAnsi="IRNazanin" w:eastAsia="IRNazanin" w:cs="IRNazanin"/>
          <w:lang w:bidi="fa-IR"/>
          <w:color w:val="111111"/>
          <w:sz w:val="28"/>
          <w:szCs w:val="28"/>
          <w:rtl/>
        </w:rPr>
        <w:t xml:space="preserve">ص 259 .</w:t>
      </w:r>
    </w:p>
    <w:p>
      <w:pPr>
        <w:pStyle w:val="BookText"/>
      </w:pPr>
      <w:r>
        <w:rPr>
          <w:rFonts w:ascii="IRNazanin" w:hAnsi="IRNazanin" w:eastAsia="IRNazanin" w:cs="IRNazanin"/>
          <w:lang w:bidi="fa-IR"/>
          <w:color w:val="111111"/>
          <w:sz w:val="28"/>
          <w:szCs w:val="28"/>
          <w:rtl/>
        </w:rPr>
        <w:t xml:space="preserve">58 .العنوان، ج11، ص 336.</w:t>
      </w:r>
    </w:p>
    <w:p>
      <w:pPr>
        <w:pStyle w:val="BookText"/>
      </w:pPr>
      <w:r>
        <w:rPr>
          <w:rFonts w:ascii="Amiri" w:hAnsi="Amiri" w:eastAsia="Amiri" w:cs="Amiri"/>
          <w:lang w:bidi="ar-SA"/>
          <w:color w:val="111111"/>
          <w:sz w:val="28"/>
          <w:szCs w:val="28"/>
          <w:rtl/>
        </w:rPr>
        <w:t xml:space="preserve">59 .فرزند نامه - خلاصة التصانيف =</w:t>
      </w:r>
    </w:p>
    <w:p>
      <w:pPr>
        <w:pStyle w:val="BookText"/>
      </w:pPr>
      <w:r>
        <w:rPr>
          <w:rFonts w:ascii="Amiri" w:hAnsi="Amiri" w:eastAsia="Amiri" w:cs="Amiri"/>
          <w:lang w:bidi="ar-SA"/>
          <w:color w:val="111111"/>
          <w:sz w:val="28"/>
          <w:szCs w:val="28"/>
          <w:rtl/>
        </w:rPr>
        <w:t xml:space="preserve">ايها الولد، ج 11، ص781</w:t>
      </w:r>
    </w:p>
    <w:p>
      <w:pPr>
        <w:pStyle w:val="BookText"/>
      </w:pPr>
      <w:r>
        <w:rPr>
          <w:rFonts w:ascii="Amiri" w:hAnsi="Amiri" w:eastAsia="Amiri" w:cs="Amiri"/>
          <w:lang w:bidi="ar-SA"/>
          <w:color w:val="111111"/>
          <w:sz w:val="28"/>
          <w:szCs w:val="28"/>
          <w:rtl/>
        </w:rPr>
        <w:t xml:space="preserve">60 .فرض الدين، ج 11، ص 784.</w:t>
      </w:r>
    </w:p>
    <w:p>
      <w:pPr>
        <w:pStyle w:val="BookText"/>
      </w:pPr>
      <w:r>
        <w:rPr>
          <w:rFonts w:ascii="Amiri" w:hAnsi="Amiri" w:eastAsia="Amiri" w:cs="Amiri"/>
          <w:lang w:bidi="ar-SA"/>
          <w:color w:val="111111"/>
          <w:sz w:val="28"/>
          <w:szCs w:val="28"/>
          <w:rtl/>
        </w:rPr>
        <w:t xml:space="preserve">61 . فضل لا اله الا الله (رسالة في)،</w:t>
      </w:r>
    </w:p>
    <w:p>
      <w:pPr>
        <w:pStyle w:val="BookText"/>
      </w:pPr>
      <w:r>
        <w:rPr>
          <w:rFonts w:ascii="IRNazanin" w:hAnsi="IRNazanin" w:eastAsia="IRNazanin" w:cs="IRNazanin"/>
          <w:lang w:bidi="fa-IR"/>
          <w:color w:val="111111"/>
          <w:sz w:val="28"/>
          <w:szCs w:val="28"/>
          <w:rtl/>
        </w:rPr>
        <w:t xml:space="preserve">ج 12، ص29.</w:t>
      </w:r>
    </w:p>
    <w:p>
      <w:pPr>
        <w:pStyle w:val="BookText"/>
      </w:pPr>
      <w:r>
        <w:rPr>
          <w:rFonts w:ascii="IRNazanin" w:hAnsi="IRNazanin" w:eastAsia="IRNazanin" w:cs="IRNazanin"/>
          <w:lang w:bidi="fa-IR"/>
          <w:color w:val="111111"/>
          <w:sz w:val="28"/>
          <w:szCs w:val="28"/>
          <w:rtl/>
        </w:rPr>
        <w:t xml:space="preserve">62 .الفوز، ج 12، ص 301.</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القسطاس المستقيم، ج12،</w:t>
      </w:r>
    </w:p>
    <w:p>
      <w:pPr>
        <w:pStyle w:val="BookText"/>
      </w:pPr>
      <w:r>
        <w:rPr>
          <w:rFonts w:ascii="IRNazanin" w:hAnsi="IRNazanin" w:eastAsia="IRNazanin" w:cs="IRNazanin"/>
          <w:lang w:bidi="fa-IR"/>
          <w:color w:val="111111"/>
          <w:sz w:val="28"/>
          <w:szCs w:val="28"/>
          <w:rtl/>
        </w:rPr>
        <w:t xml:space="preserve">ص 582 .</w:t>
      </w:r>
    </w:p>
    <w:p>
      <w:pPr>
        <w:pStyle w:val="BookText"/>
      </w:pPr>
      <w:r>
        <w:rPr>
          <w:rFonts w:ascii="Amiri" w:hAnsi="Amiri" w:eastAsia="Amiri" w:cs="Amiri"/>
          <w:lang w:bidi="ar-SA"/>
          <w:color w:val="111111"/>
          <w:sz w:val="28"/>
          <w:szCs w:val="28"/>
          <w:rtl/>
        </w:rPr>
        <w:t xml:space="preserve">64 .قصيدة الامام الغزالي، ج 12،</w:t>
      </w:r>
    </w:p>
    <w:p>
      <w:pPr>
        <w:pStyle w:val="BookText"/>
      </w:pPr>
      <w:r>
        <w:rPr>
          <w:rFonts w:ascii="IRNazanin" w:hAnsi="IRNazanin" w:eastAsia="IRNazanin" w:cs="IRNazanin"/>
          <w:lang w:bidi="fa-IR"/>
          <w:color w:val="111111"/>
          <w:sz w:val="28"/>
          <w:szCs w:val="28"/>
          <w:rtl/>
        </w:rPr>
        <w:t xml:space="preserve">ص 652 .</w:t>
      </w:r>
    </w:p>
    <w:p>
      <w:pPr>
        <w:pStyle w:val="BookText"/>
      </w:pPr>
      <w:r>
        <w:rPr>
          <w:rFonts w:ascii="Amiri" w:hAnsi="Amiri" w:eastAsia="Amiri" w:cs="Amiri"/>
          <w:lang w:bidi="ar-SA"/>
          <w:color w:val="111111"/>
          <w:sz w:val="28"/>
          <w:szCs w:val="28"/>
          <w:rtl/>
        </w:rPr>
        <w:t xml:space="preserve">65 .القصيدة المنفرجة، ج 12، ص713.</w:t>
      </w:r>
    </w:p>
    <w:p>
      <w:pPr>
        <w:pStyle w:val="BookText"/>
      </w:pPr>
      <w:r>
        <w:rPr>
          <w:rFonts w:ascii="IRNazanin" w:hAnsi="IRNazanin" w:eastAsia="IRNazanin" w:cs="IRNazanin"/>
          <w:lang w:bidi="fa-IR"/>
          <w:color w:val="111111"/>
          <w:sz w:val="28"/>
          <w:szCs w:val="28"/>
          <w:rtl/>
        </w:rPr>
        <w:t xml:space="preserve">66 .القضاء والقدر، ج 12، ص738.</w:t>
      </w:r>
    </w:p>
    <w:p>
      <w:pPr>
        <w:pStyle w:val="BookText"/>
      </w:pPr>
      <w:r>
        <w:rPr>
          <w:rFonts w:ascii="IRNazanin" w:hAnsi="IRNazanin" w:eastAsia="IRNazanin" w:cs="IRNazanin"/>
          <w:lang w:bidi="fa-IR"/>
          <w:color w:val="111111"/>
          <w:sz w:val="28"/>
          <w:szCs w:val="28"/>
          <w:rtl/>
        </w:rPr>
        <w:t xml:space="preserve">67 .قواعد العقائد، ج 12، ص 795.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الكشف والتبيين في غرور الخلق</w:t>
      </w:r>
    </w:p>
    <w:p>
      <w:pPr>
        <w:pStyle w:val="BookText"/>
      </w:pPr>
      <w:r>
        <w:rPr>
          <w:rFonts w:ascii="Amiri" w:hAnsi="Amiri" w:eastAsia="Amiri" w:cs="Amiri"/>
          <w:lang w:bidi="ar-SA"/>
          <w:color w:val="111111"/>
          <w:sz w:val="28"/>
          <w:szCs w:val="28"/>
          <w:rtl/>
        </w:rPr>
        <w:t xml:space="preserve">اجمعين، ج13، ص279.</w:t>
      </w:r>
    </w:p>
    <w:p>
      <w:pPr>
        <w:pStyle w:val="BookText"/>
      </w:pPr>
      <w:r>
        <w:rPr>
          <w:rFonts w:ascii="Amiri" w:hAnsi="Amiri" w:eastAsia="Amiri" w:cs="Amiri"/>
          <w:lang w:bidi="ar-SA"/>
          <w:color w:val="111111"/>
          <w:sz w:val="28"/>
          <w:szCs w:val="28"/>
          <w:rtl/>
        </w:rPr>
        <w:t xml:space="preserve">69 .كيمياي سعادت، ج13، ص 492.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لسان الحكام في معرفة الاحكام</w:t>
      </w:r>
    </w:p>
    <w:p>
      <w:pPr>
        <w:pStyle w:val="BookText"/>
      </w:pPr>
      <w:r>
        <w:rPr>
          <w:rFonts w:ascii="IRNazanin" w:hAnsi="IRNazanin" w:eastAsia="IRNazanin" w:cs="IRNazanin"/>
          <w:lang w:bidi="fa-IR"/>
          <w:color w:val="111111"/>
          <w:sz w:val="28"/>
          <w:szCs w:val="28"/>
          <w:rtl/>
        </w:rPr>
        <w:t xml:space="preserve">ج 13، ص 568.</w:t>
      </w:r>
    </w:p>
    <w:p>
      <w:pPr>
        <w:pStyle w:val="BookText"/>
      </w:pPr>
      <w:r>
        <w:rPr>
          <w:rFonts w:ascii="Amiri" w:hAnsi="Amiri" w:eastAsia="Amiri" w:cs="Amiri"/>
          <w:lang w:bidi="ar-SA"/>
          <w:color w:val="111111"/>
          <w:sz w:val="28"/>
          <w:szCs w:val="28"/>
          <w:rtl/>
        </w:rPr>
        <w:t xml:space="preserve">71 .المبدأ و المعاد = رسالة العقيدة</w:t>
      </w:r>
    </w:p>
    <w:p>
      <w:pPr>
        <w:pStyle w:val="BookText"/>
      </w:pPr>
      <w:r>
        <w:rPr>
          <w:rFonts w:ascii="IRNazanin" w:hAnsi="IRNazanin" w:eastAsia="IRNazanin" w:cs="IRNazanin"/>
          <w:lang w:bidi="fa-IR"/>
          <w:color w:val="111111"/>
          <w:sz w:val="28"/>
          <w:szCs w:val="28"/>
          <w:rtl/>
        </w:rPr>
        <w:t xml:space="preserve">ج 13، ص 732.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23" w:name="pg7742_70916"/>
    <w:bookmarkEnd w:id="823"/>
    <w:p>
      <w:pPr>
        <w:pStyle w:val="BookText"/>
      </w:pPr>
      <w:r>
        <w:rPr>
          <w:rFonts w:ascii="Amiri" w:hAnsi="Amiri" w:eastAsia="Amiri" w:cs="Amiri"/>
          <w:lang w:bidi="ar-SA"/>
          <w:color w:val="111111"/>
          <w:sz w:val="28"/>
          <w:szCs w:val="28"/>
          <w:rtl/>
        </w:rPr>
        <w:t xml:space="preserve">72 .مرشد الطالبين، ج 14، ص 396.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المسائل الاخروية، ج 14، ص 433 .</w:t>
      </w:r>
    </w:p>
    <w:p>
      <w:pPr>
        <w:pStyle w:val="BookText"/>
      </w:pPr>
      <w:r>
        <w:rPr>
          <w:rFonts w:ascii="Amiri" w:hAnsi="Amiri" w:eastAsia="Amiri" w:cs="Amiri"/>
          <w:lang w:bidi="ar-SA"/>
          <w:color w:val="111111"/>
          <w:sz w:val="28"/>
          <w:szCs w:val="28"/>
          <w:rtl/>
        </w:rPr>
        <w:t xml:space="preserve">74 .المستصفى في علم الاصول، ج 14،</w:t>
      </w:r>
    </w:p>
    <w:p>
      <w:pPr>
        <w:pStyle w:val="BookText"/>
      </w:pPr>
      <w:r>
        <w:rPr>
          <w:rFonts w:ascii="IRNazanin" w:hAnsi="IRNazanin" w:eastAsia="IRNazanin" w:cs="IRNazanin"/>
          <w:lang w:bidi="fa-IR"/>
          <w:color w:val="111111"/>
          <w:sz w:val="28"/>
          <w:szCs w:val="28"/>
          <w:rtl/>
        </w:rPr>
        <w:t xml:space="preserve">ص 556.</w:t>
      </w:r>
    </w:p>
    <w:p>
      <w:pPr>
        <w:pStyle w:val="BookText"/>
      </w:pPr>
      <w:r>
        <w:rPr>
          <w:rFonts w:ascii="Amiri" w:hAnsi="Amiri" w:eastAsia="Amiri" w:cs="Amiri"/>
          <w:lang w:bidi="ar-SA"/>
          <w:color w:val="111111"/>
          <w:sz w:val="28"/>
          <w:szCs w:val="28"/>
          <w:rtl/>
        </w:rPr>
        <w:t xml:space="preserve">75 .مشكاة الأنوار في لطائف الاخبار</w:t>
      </w:r>
    </w:p>
    <w:p>
      <w:pPr>
        <w:pStyle w:val="BookText"/>
      </w:pPr>
      <w:r>
        <w:rPr>
          <w:rFonts w:ascii="IRNazanin" w:hAnsi="IRNazanin" w:eastAsia="IRNazanin" w:cs="IRNazanin"/>
          <w:lang w:bidi="fa-IR"/>
          <w:color w:val="111111"/>
          <w:sz w:val="28"/>
          <w:szCs w:val="28"/>
          <w:rtl/>
        </w:rPr>
        <w:t xml:space="preserve">ج 14، ص 633.</w:t>
      </w:r>
    </w:p>
    <w:p>
      <w:pPr>
        <w:pStyle w:val="BookText"/>
      </w:pPr>
      <w:r>
        <w:rPr>
          <w:rFonts w:ascii="Amiri" w:hAnsi="Amiri" w:eastAsia="Amiri" w:cs="Amiri"/>
          <w:lang w:bidi="ar-SA"/>
          <w:color w:val="111111"/>
          <w:sz w:val="28"/>
          <w:szCs w:val="28"/>
          <w:rtl/>
        </w:rPr>
        <w:t xml:space="preserve">76 .مشكاة الانوار و مصفاة الاسرار اسرار الانوار الالهية بالآيات المتلوة ج 14، ص 635.</w:t>
      </w:r>
    </w:p>
    <w:p>
      <w:pPr>
        <w:pStyle w:val="BookText"/>
      </w:pPr>
      <w:r>
        <w:rPr>
          <w:rFonts w:ascii="Amiri" w:hAnsi="Amiri" w:eastAsia="Amiri" w:cs="Amiri"/>
          <w:lang w:bidi="ar-SA"/>
          <w:color w:val="111111"/>
          <w:sz w:val="28"/>
          <w:szCs w:val="28"/>
          <w:rtl/>
        </w:rPr>
        <w:t xml:space="preserve">77 .معرفة الله و النفس والدنيا و</w:t>
      </w:r>
    </w:p>
    <w:p>
      <w:pPr>
        <w:pStyle w:val="BookText"/>
      </w:pPr>
      <w:r>
        <w:rPr>
          <w:rFonts w:ascii="Amiri" w:hAnsi="Amiri" w:eastAsia="Amiri" w:cs="Amiri"/>
          <w:lang w:bidi="ar-SA"/>
          <w:color w:val="111111"/>
          <w:sz w:val="28"/>
          <w:szCs w:val="28"/>
          <w:rtl/>
        </w:rPr>
        <w:t xml:space="preserve">الآخرة، ج 15، ص 46.</w:t>
      </w:r>
    </w:p>
    <w:p>
      <w:pPr>
        <w:pStyle w:val="BookText"/>
      </w:pPr>
      <w:r>
        <w:rPr>
          <w:rFonts w:ascii="Amiri" w:hAnsi="Amiri" w:eastAsia="Amiri" w:cs="Amiri"/>
          <w:lang w:bidi="ar-SA"/>
          <w:color w:val="111111"/>
          <w:sz w:val="28"/>
          <w:szCs w:val="28"/>
          <w:rtl/>
        </w:rPr>
        <w:t xml:space="preserve">78 .مقالات العلماء بين ايدي الخلفا و</w:t>
      </w:r>
    </w:p>
    <w:p>
      <w:pPr>
        <w:pStyle w:val="BookText"/>
      </w:pPr>
      <w:r>
        <w:rPr>
          <w:rFonts w:ascii="IRNazanin" w:hAnsi="IRNazanin" w:eastAsia="IRNazanin" w:cs="IRNazanin"/>
          <w:lang w:bidi="fa-IR"/>
          <w:color w:val="111111"/>
          <w:sz w:val="28"/>
          <w:szCs w:val="28"/>
          <w:rtl/>
        </w:rPr>
        <w:t xml:space="preserve">الامراء، ج 15 ، ص 281.</w:t>
      </w:r>
    </w:p>
    <w:p>
      <w:pPr>
        <w:pStyle w:val="BookText"/>
      </w:pPr>
      <w:r>
        <w:rPr>
          <w:rFonts w:ascii="Amiri" w:hAnsi="Amiri" w:eastAsia="Amiri" w:cs="Amiri"/>
          <w:lang w:bidi="ar-SA"/>
          <w:color w:val="111111"/>
          <w:sz w:val="28"/>
          <w:szCs w:val="28"/>
          <w:rtl/>
        </w:rPr>
        <w:t xml:space="preserve">79 .مقدمة من منظومة للامام امير</w:t>
      </w:r>
    </w:p>
    <w:p>
      <w:pPr>
        <w:pStyle w:val="BookText"/>
      </w:pPr>
      <w:r>
        <w:rPr>
          <w:rFonts w:ascii="Amiri" w:hAnsi="Amiri" w:eastAsia="Amiri" w:cs="Amiri"/>
          <w:lang w:bidi="ar-SA"/>
          <w:color w:val="111111"/>
          <w:sz w:val="28"/>
          <w:szCs w:val="28"/>
          <w:rtl/>
        </w:rPr>
        <w:t xml:space="preserve">المؤمنين (ع)، ج 15، ص372.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المقصد الأقصى (الأسنى) في شرح الاسماء الله الحسنى، ج15، ص381.</w:t>
      </w:r>
    </w:p>
    <w:p>
      <w:pPr>
        <w:pStyle w:val="BookText"/>
      </w:pPr>
      <w:r>
        <w:rPr>
          <w:rFonts w:ascii="Amiri" w:hAnsi="Amiri" w:eastAsia="Amiri" w:cs="Amiri"/>
          <w:lang w:bidi="ar-SA"/>
          <w:color w:val="111111"/>
          <w:sz w:val="28"/>
          <w:szCs w:val="28"/>
          <w:rtl/>
        </w:rPr>
        <w:t xml:space="preserve">81 .منتخبات من شرح جنة الاسحار</w:t>
      </w:r>
    </w:p>
    <w:p>
      <w:pPr>
        <w:pStyle w:val="BookText"/>
      </w:pPr>
      <w:r>
        <w:rPr>
          <w:rFonts w:ascii="IRNazanin" w:hAnsi="IRNazanin" w:eastAsia="IRNazanin" w:cs="IRNazanin"/>
          <w:lang w:bidi="fa-IR"/>
          <w:color w:val="111111"/>
          <w:sz w:val="28"/>
          <w:szCs w:val="28"/>
          <w:rtl/>
        </w:rPr>
        <w:t xml:space="preserve">ج 15 ، ص 597.</w:t>
      </w:r>
    </w:p>
    <w:p>
      <w:pPr>
        <w:pStyle w:val="BookText"/>
      </w:pPr>
      <w:r>
        <w:rPr>
          <w:rFonts w:ascii="Amiri" w:hAnsi="Amiri" w:eastAsia="Amiri" w:cs="Amiri"/>
          <w:lang w:bidi="ar-SA"/>
          <w:color w:val="111111"/>
          <w:sz w:val="28"/>
          <w:szCs w:val="28"/>
          <w:rtl/>
        </w:rPr>
        <w:t xml:space="preserve">82 .المنخول في علم الاصول، ج 15</w:t>
      </w:r>
    </w:p>
    <w:p>
      <w:pPr>
        <w:pStyle w:val="BookText"/>
      </w:pPr>
      <w:r>
        <w:rPr>
          <w:rFonts w:ascii="IRNazanin" w:hAnsi="IRNazanin" w:eastAsia="IRNazanin" w:cs="IRNazanin"/>
          <w:lang w:bidi="fa-IR"/>
          <w:color w:val="111111"/>
          <w:sz w:val="28"/>
          <w:szCs w:val="28"/>
          <w:rtl/>
        </w:rPr>
        <w:t xml:space="preserve">ص 684 .</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المنقذ من الضلال و المفصح عن</w:t>
      </w:r>
    </w:p>
    <w:p>
      <w:pPr>
        <w:pStyle w:val="BookText"/>
      </w:pPr>
      <w:r>
        <w:rPr>
          <w:rFonts w:ascii="IRNazanin" w:hAnsi="IRNazanin" w:eastAsia="IRNazanin" w:cs="IRNazanin"/>
          <w:lang w:bidi="fa-IR"/>
          <w:color w:val="111111"/>
          <w:sz w:val="28"/>
          <w:szCs w:val="28"/>
          <w:rtl/>
        </w:rPr>
        <w:t xml:space="preserve">الاحوال، ج 15، ص 733.</w:t>
      </w:r>
    </w:p>
    <w:p>
      <w:pPr>
        <w:pStyle w:val="BookText"/>
      </w:pPr>
      <w:r>
        <w:rPr>
          <w:rFonts w:ascii="Amiri" w:hAnsi="Amiri" w:eastAsia="Amiri" w:cs="Amiri"/>
          <w:lang w:bidi="ar-SA"/>
          <w:color w:val="111111"/>
          <w:sz w:val="28"/>
          <w:szCs w:val="28"/>
          <w:rtl/>
        </w:rPr>
        <w:t xml:space="preserve">84 .منهاج العابدين إلى جنة رب العابدين، ج 15 ، ص 767.</w:t>
      </w:r>
    </w:p>
    <w:p>
      <w:pPr>
        <w:pStyle w:val="BookText"/>
      </w:pPr>
      <w:r>
        <w:rPr>
          <w:rFonts w:ascii="Amiri" w:hAnsi="Amiri" w:eastAsia="Amiri" w:cs="Amiri"/>
          <w:lang w:bidi="ar-SA"/>
          <w:color w:val="111111"/>
          <w:sz w:val="28"/>
          <w:szCs w:val="28"/>
          <w:rtl/>
        </w:rPr>
        <w:t xml:space="preserve">85 .منهاج العابدين و مطيبة الاولياء</w:t>
      </w:r>
    </w:p>
    <w:p>
      <w:pPr>
        <w:pStyle w:val="BookText"/>
      </w:pPr>
      <w:r>
        <w:rPr>
          <w:rFonts w:ascii="Amiri" w:hAnsi="Amiri" w:eastAsia="Amiri" w:cs="Amiri"/>
          <w:lang w:bidi="ar-SA"/>
          <w:color w:val="111111"/>
          <w:sz w:val="28"/>
          <w:szCs w:val="28"/>
          <w:rtl/>
        </w:rPr>
        <w:t xml:space="preserve">الزاهدين، ج 15، ص 769.</w:t>
      </w:r>
    </w:p>
    <w:p>
      <w:pPr>
        <w:pStyle w:val="BookText"/>
      </w:pPr>
      <w:r>
        <w:rPr>
          <w:rFonts w:ascii="Amiri" w:hAnsi="Amiri" w:eastAsia="Amiri" w:cs="Amiri"/>
          <w:lang w:bidi="ar-SA"/>
          <w:color w:val="111111"/>
          <w:sz w:val="28"/>
          <w:szCs w:val="28"/>
          <w:rtl/>
        </w:rPr>
        <w:t xml:space="preserve">86 .نصايح الملوك = التبر المسبوك في نصيحة الملوك، ج 16، ص 301.</w:t>
      </w:r>
    </w:p>
    <w:p>
      <w:pPr>
        <w:pStyle w:val="BookText"/>
      </w:pPr>
      <w:r>
        <w:rPr>
          <w:rFonts w:ascii="Amiri" w:hAnsi="Amiri" w:eastAsia="Amiri" w:cs="Amiri"/>
          <w:lang w:bidi="ar-SA"/>
          <w:color w:val="111111"/>
          <w:sz w:val="28"/>
          <w:szCs w:val="28"/>
          <w:rtl/>
        </w:rPr>
        <w:t xml:space="preserve">87 .نعمة الفقر، ج 16، ص 368.</w:t>
      </w:r>
    </w:p>
    <w:p>
      <w:pPr>
        <w:pStyle w:val="BookText"/>
      </w:pPr>
      <w:r>
        <w:rPr>
          <w:rFonts w:ascii="Amiri" w:hAnsi="Amiri" w:eastAsia="Amiri" w:cs="Amiri"/>
          <w:lang w:bidi="ar-SA"/>
          <w:color w:val="111111"/>
          <w:sz w:val="28"/>
          <w:szCs w:val="28"/>
          <w:rtl/>
        </w:rPr>
        <w:t xml:space="preserve">88 .الواجبات والنصائح (رسالة في)</w:t>
      </w:r>
    </w:p>
    <w:p>
      <w:pPr>
        <w:pStyle w:val="BookText"/>
      </w:pPr>
      <w:r>
        <w:rPr>
          <w:rFonts w:ascii="IRNazanin" w:hAnsi="IRNazanin" w:eastAsia="IRNazanin" w:cs="IRNazanin"/>
          <w:lang w:bidi="fa-IR"/>
          <w:color w:val="111111"/>
          <w:sz w:val="28"/>
          <w:szCs w:val="28"/>
          <w:rtl/>
        </w:rPr>
        <w:t xml:space="preserve">ج 16، ص 676.</w:t>
      </w:r>
    </w:p>
    <w:p>
      <w:pPr>
        <w:pStyle w:val="BookText"/>
      </w:pPr>
      <w:r>
        <w:rPr>
          <w:rFonts w:ascii="Amiri" w:hAnsi="Amiri" w:eastAsia="Amiri" w:cs="Amiri"/>
          <w:lang w:bidi="ar-SA"/>
          <w:color w:val="111111"/>
          <w:sz w:val="28"/>
          <w:szCs w:val="28"/>
          <w:rtl/>
        </w:rPr>
        <w:t xml:space="preserve">89 .الوسيط في الفقه الشافعي، ج16،</w:t>
      </w:r>
    </w:p>
    <w:p>
      <w:pPr>
        <w:pStyle w:val="BookText"/>
      </w:pPr>
      <w:r>
        <w:rPr>
          <w:rFonts w:ascii="IRNazanin" w:hAnsi="IRNazanin" w:eastAsia="IRNazanin" w:cs="IRNazanin"/>
          <w:lang w:bidi="fa-IR"/>
          <w:color w:val="111111"/>
          <w:sz w:val="28"/>
          <w:szCs w:val="28"/>
          <w:rtl/>
        </w:rPr>
        <w:t xml:space="preserve">ص 781</w:t>
      </w:r>
    </w:p>
    <w:p>
      <w:pPr>
        <w:pStyle w:val="Heading2"/>
      </w:pPr>
      <w:bookmarkStart w:id="6197" w:name="_Toc5299"/>
      <w:r>
        <w:t>غزايي ، محمود بن محمّد قرن 13 ه-</w:t>
      </w:r>
      <w:bookmarkEnd w:id="6197"/>
    </w:p>
    <w:p>
      <w:pPr>
        <w:pStyle w:val="BookText"/>
      </w:pPr>
      <w:r>
        <w:rPr>
          <w:rFonts w:ascii="Amiri" w:hAnsi="Amiri" w:eastAsia="Amiri" w:cs="Amiri"/>
          <w:lang w:bidi="ar-SA"/>
          <w:color w:val="111111"/>
          <w:sz w:val="28"/>
          <w:szCs w:val="28"/>
          <w:rtl/>
        </w:rPr>
        <w:t xml:space="preserve">الرسالة الدقيقة المدققية في معرفة الترتيب و المباحث و الفصول الشرعية</w:t>
      </w:r>
    </w:p>
    <w:p>
      <w:pPr>
        <w:pStyle w:val="BookText"/>
      </w:pPr>
      <w:r>
        <w:rPr>
          <w:rFonts w:ascii="Amiri" w:hAnsi="Amiri" w:eastAsia="Amiri" w:cs="Amiri"/>
          <w:lang w:bidi="ar-SA"/>
          <w:color w:val="111111"/>
          <w:sz w:val="28"/>
          <w:szCs w:val="28"/>
          <w:rtl/>
        </w:rPr>
        <w:t xml:space="preserve">منظومة)، ج8، ص201.</w:t>
      </w:r>
    </w:p>
    <w:p>
      <w:pPr>
        <w:pStyle w:val="BookText"/>
      </w:pPr>
      <w:r>
        <w:rPr>
          <w:rFonts w:ascii="Amiri" w:hAnsi="Amiri" w:eastAsia="Amiri" w:cs="Amiri"/>
          <w:lang w:bidi="ar-SA"/>
          <w:color w:val="111111"/>
          <w:sz w:val="28"/>
          <w:szCs w:val="28"/>
          <w:rtl/>
        </w:rPr>
        <w:t xml:space="preserve">غزميني ، مختار بن محمود- زاهدي ،</w:t>
      </w:r>
    </w:p>
    <w:p>
      <w:pPr>
        <w:pStyle w:val="BookText"/>
      </w:pPr>
      <w:r>
        <w:rPr>
          <w:rFonts w:ascii="IRNazanin" w:hAnsi="IRNazanin" w:eastAsia="IRNazanin" w:cs="IRNazanin"/>
          <w:lang w:bidi="fa-IR"/>
          <w:color w:val="111111"/>
          <w:sz w:val="28"/>
          <w:szCs w:val="28"/>
          <w:rtl/>
        </w:rPr>
        <w:t xml:space="preserve">مختار بن محمود</w:t>
      </w:r>
    </w:p>
    <w:p>
      <w:pPr>
        <w:pStyle w:val="Heading2"/>
      </w:pPr>
      <w:bookmarkStart w:id="6198" w:name="_Toc5300"/>
      <w:r>
        <w:t>غزنوي، ابراهيم بن يوسف ، قرن 7 ه-</w:t>
      </w:r>
      <w:bookmarkEnd w:id="6198"/>
    </w:p>
    <w:p>
      <w:pPr>
        <w:pStyle w:val="BookText"/>
      </w:pPr>
      <w:r>
        <w:rPr>
          <w:rFonts w:ascii="IRNazanin" w:hAnsi="IRNazanin" w:eastAsia="IRNazanin" w:cs="IRNazanin"/>
          <w:lang w:bidi="fa-IR"/>
          <w:color w:val="111111"/>
          <w:sz w:val="28"/>
          <w:szCs w:val="28"/>
          <w:rtl/>
        </w:rPr>
        <w:t xml:space="preserve">سؤالات القرآن، ج 8، ص 675.</w:t>
      </w:r>
    </w:p>
    <w:p>
      <w:pPr>
        <w:pStyle w:val="BookText"/>
      </w:pPr>
      <w:r>
        <w:rPr>
          <w:rFonts w:ascii="Amiri" w:hAnsi="Amiri" w:eastAsia="Amiri" w:cs="Amiri"/>
          <w:lang w:bidi="ar-SA"/>
          <w:color w:val="111111"/>
          <w:sz w:val="28"/>
          <w:szCs w:val="28"/>
          <w:rtl/>
        </w:rPr>
        <w:t xml:space="preserve">غزنوي ، ابوالمحامد- مسعودي غزنوي ،</w:t>
      </w:r>
    </w:p>
    <w:p>
      <w:pPr>
        <w:pStyle w:val="BookText"/>
      </w:pPr>
      <w:r>
        <w:rPr>
          <w:rFonts w:ascii="IRNazanin" w:hAnsi="IRNazanin" w:eastAsia="IRNazanin" w:cs="IRNazanin"/>
          <w:lang w:bidi="fa-IR"/>
          <w:color w:val="111111"/>
          <w:sz w:val="28"/>
          <w:szCs w:val="28"/>
          <w:rtl/>
        </w:rPr>
        <w:t xml:space="preserve">محمّد بن مسعود</w:t>
      </w:r>
    </w:p>
    <w:p>
      <w:pPr>
        <w:pStyle w:val="Heading2"/>
      </w:pPr>
      <w:bookmarkStart w:id="6199" w:name="_Toc5301"/>
      <w:r>
        <w:t>غزنوي ، احمد بن محمّد - 593 ه-</w:t>
      </w:r>
      <w:bookmarkEnd w:id="6199"/>
    </w:p>
    <w:p>
      <w:pPr>
        <w:pStyle w:val="BookText"/>
      </w:pPr>
      <w:r>
        <w:rPr>
          <w:rFonts w:ascii="Amiri" w:hAnsi="Amiri" w:eastAsia="Amiri" w:cs="Amiri"/>
          <w:lang w:bidi="ar-SA"/>
          <w:color w:val="111111"/>
          <w:sz w:val="28"/>
          <w:szCs w:val="28"/>
          <w:rtl/>
        </w:rPr>
        <w:t xml:space="preserve">1 .تحفة المبتدي ج4، ص 6.</w:t>
      </w:r>
    </w:p>
    <w:p>
      <w:pPr>
        <w:pStyle w:val="BookText"/>
      </w:pPr>
      <w:r>
        <w:rPr>
          <w:rFonts w:ascii="Amiri" w:hAnsi="Amiri" w:eastAsia="Amiri" w:cs="Amiri"/>
          <w:lang w:bidi="ar-SA"/>
          <w:color w:val="111111"/>
          <w:sz w:val="28"/>
          <w:szCs w:val="28"/>
          <w:rtl/>
        </w:rPr>
        <w:t xml:space="preserve">2 .الحاوي القدسي في الفروع، ج6،</w:t>
      </w:r>
    </w:p>
    <w:p>
      <w:pPr>
        <w:pStyle w:val="BookText"/>
      </w:pPr>
      <w:r>
        <w:rPr>
          <w:rFonts w:ascii="IRNazanin" w:hAnsi="IRNazanin" w:eastAsia="IRNazanin" w:cs="IRNazanin"/>
          <w:lang w:bidi="fa-IR"/>
          <w:color w:val="111111"/>
          <w:sz w:val="28"/>
          <w:szCs w:val="28"/>
          <w:rtl/>
        </w:rPr>
        <w:t xml:space="preserve">ص 460 .</w:t>
      </w:r>
    </w:p>
    <w:p>
      <w:pPr>
        <w:pStyle w:val="BookText"/>
      </w:pPr>
      <w:r>
        <w:rPr>
          <w:rFonts w:ascii="Amiri" w:hAnsi="Amiri" w:eastAsia="Amiri" w:cs="Amiri"/>
          <w:lang w:bidi="ar-SA"/>
          <w:color w:val="111111"/>
          <w:sz w:val="28"/>
          <w:szCs w:val="28"/>
          <w:rtl/>
        </w:rPr>
        <w:t xml:space="preserve">3 .الصلاة( رسالة في)، ج 10، ص 583.</w:t>
      </w:r>
    </w:p>
    <w:p>
      <w:pPr>
        <w:pStyle w:val="BookText"/>
      </w:pPr>
      <w:r>
        <w:rPr>
          <w:rFonts w:ascii="Amiri" w:hAnsi="Amiri" w:eastAsia="Amiri" w:cs="Amiri"/>
          <w:lang w:bidi="ar-SA"/>
          <w:color w:val="111111"/>
          <w:sz w:val="28"/>
          <w:szCs w:val="28"/>
          <w:rtl/>
        </w:rPr>
        <w:t xml:space="preserve">4 .المقدمة الغزنوية في فروع الحنفية</w:t>
      </w:r>
    </w:p>
    <w:p>
      <w:pPr>
        <w:pStyle w:val="BookText"/>
      </w:pPr>
      <w:r>
        <w:rPr>
          <w:rFonts w:ascii="IRNazanin" w:hAnsi="IRNazanin" w:eastAsia="IRNazanin" w:cs="IRNazanin"/>
          <w:lang w:bidi="fa-IR"/>
          <w:color w:val="111111"/>
          <w:sz w:val="28"/>
          <w:szCs w:val="28"/>
          <w:rtl/>
        </w:rPr>
        <w:t xml:space="preserve">ج 15، ص 360.</w:t>
      </w:r>
    </w:p>
    <w:p>
      <w:pPr>
        <w:pStyle w:val="BookText"/>
      </w:pPr>
      <w:r>
        <w:rPr>
          <w:rFonts w:ascii="Amiri" w:hAnsi="Amiri" w:eastAsia="Amiri" w:cs="Amiri"/>
          <w:lang w:bidi="ar-SA"/>
          <w:color w:val="111111"/>
          <w:sz w:val="28"/>
          <w:szCs w:val="28"/>
          <w:rtl/>
        </w:rPr>
        <w:t xml:space="preserve">غزنوي ، سعدبن قاسم- قطان غزنوي ،</w:t>
      </w:r>
    </w:p>
    <w:p>
      <w:pPr>
        <w:pStyle w:val="BookText"/>
      </w:pPr>
      <w:r>
        <w:rPr>
          <w:rFonts w:ascii="Amiri" w:hAnsi="Amiri" w:eastAsia="Amiri" w:cs="Amiri"/>
          <w:lang w:bidi="ar-SA"/>
          <w:color w:val="111111"/>
          <w:sz w:val="28"/>
          <w:szCs w:val="28"/>
          <w:rtl/>
        </w:rPr>
        <w:t xml:space="preserve">سعيد بن محمّد</w:t>
      </w:r>
    </w:p>
    <w:p>
      <w:pPr>
        <w:pStyle w:val="Heading2"/>
      </w:pPr>
      <w:bookmarkStart w:id="6200" w:name="_Toc5302"/>
      <w:r>
        <w:t>غزنوي ، عبد الرحمن بن سيف الدين</w:t>
      </w:r>
      <w:bookmarkEnd w:id="6200"/>
    </w:p>
    <w:p>
      <w:pPr>
        <w:pStyle w:val="BookText"/>
      </w:pPr>
      <w:r>
        <w:rPr>
          <w:rFonts w:ascii="IRNazanin" w:hAnsi="IRNazanin" w:eastAsia="IRNazanin" w:cs="IRNazanin"/>
          <w:lang w:bidi="fa-IR"/>
          <w:color w:val="111111"/>
          <w:sz w:val="28"/>
          <w:szCs w:val="28"/>
          <w:rtl/>
        </w:rPr>
        <w:t xml:space="preserve">قرن 10 ه-</w:t>
      </w:r>
    </w:p>
    <w:p>
      <w:pPr>
        <w:pStyle w:val="BookText"/>
      </w:pPr>
      <w:r>
        <w:rPr>
          <w:rFonts w:ascii="Amiri" w:hAnsi="Amiri" w:eastAsia="Amiri" w:cs="Amiri"/>
          <w:lang w:bidi="ar-SA"/>
          <w:color w:val="111111"/>
          <w:sz w:val="28"/>
          <w:szCs w:val="28"/>
          <w:rtl/>
        </w:rPr>
        <w:t xml:space="preserve">موسيقي، ج 16، ص 16.</w:t>
      </w:r>
    </w:p>
    <w:p>
      <w:pPr>
        <w:pStyle w:val="Heading2"/>
      </w:pPr>
      <w:bookmarkStart w:id="6201" w:name="_Toc5303"/>
      <w:r>
        <w:t>غزنوي، عبدالصمد بن محمود</w:t>
      </w:r>
      <w:bookmarkEnd w:id="6201"/>
    </w:p>
    <w:p>
      <w:pPr>
        <w:pStyle w:val="BookText"/>
      </w:pPr>
      <w:r>
        <w:rPr>
          <w:rFonts w:ascii="Amiri" w:hAnsi="Amiri" w:eastAsia="Amiri" w:cs="Amiri"/>
          <w:lang w:bidi="ar-SA"/>
          <w:color w:val="111111"/>
          <w:sz w:val="28"/>
          <w:szCs w:val="28"/>
          <w:rtl/>
        </w:rPr>
        <w:t xml:space="preserve">البصيرة في علم الكلام، ج3، ص 351.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24" w:name="pg7742_70918"/>
    <w:bookmarkEnd w:id="824"/>
    <w:p>
      <w:pPr>
        <w:pStyle w:val="BookText"/>
      </w:pPr>
      <w:r>
        <w:rPr>
          <w:rFonts w:ascii="Amiri" w:hAnsi="Amiri" w:eastAsia="Amiri" w:cs="Amiri"/>
          <w:lang w:bidi="ar-SA"/>
          <w:color w:val="111111"/>
          <w:sz w:val="28"/>
          <w:szCs w:val="28"/>
          <w:rtl/>
        </w:rPr>
        <w:t xml:space="preserve">غزنوي ، علي بن عثمان- هجويري ، علي بن عثمان</w:t>
      </w:r>
    </w:p>
    <w:p>
      <w:pPr>
        <w:pStyle w:val="Heading2"/>
      </w:pPr>
      <w:bookmarkStart w:id="6202" w:name="_Toc5304"/>
      <w:r>
        <w:t>غزنوي، عمر بن اسحاق، 714 - 773 773 ه-</w:t>
      </w:r>
      <w:bookmarkEnd w:id="6202"/>
    </w:p>
    <w:p>
      <w:pPr>
        <w:pStyle w:val="BookText"/>
      </w:pPr>
      <w:r>
        <w:rPr>
          <w:rFonts w:ascii="Amiri" w:hAnsi="Amiri" w:eastAsia="Amiri" w:cs="Amiri"/>
          <w:lang w:bidi="ar-SA"/>
          <w:color w:val="111111"/>
          <w:sz w:val="28"/>
          <w:szCs w:val="28"/>
          <w:rtl/>
        </w:rPr>
        <w:t xml:space="preserve">1.شرح المغني، ج 10، ص 156.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الفتاوى الهندية، ج 11، ص 628.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فتاوى قاري الهداية، ج 11، ص 623.</w:t>
      </w:r>
    </w:p>
    <w:p>
      <w:pPr>
        <w:pStyle w:val="Heading2"/>
      </w:pPr>
      <w:bookmarkStart w:id="6203" w:name="_Toc5305"/>
      <w:r>
        <w:t>غزنوي ، قاسم بن حسين - 801 ه-</w:t>
      </w:r>
      <w:bookmarkEnd w:id="6203"/>
    </w:p>
    <w:p>
      <w:pPr>
        <w:pStyle w:val="BookText"/>
      </w:pPr>
      <w:r>
        <w:rPr>
          <w:rFonts w:ascii="Amiri" w:hAnsi="Amiri" w:eastAsia="Amiri" w:cs="Amiri"/>
          <w:lang w:bidi="ar-SA"/>
          <w:color w:val="111111"/>
          <w:sz w:val="28"/>
          <w:szCs w:val="28"/>
          <w:rtl/>
        </w:rPr>
        <w:t xml:space="preserve">نتف الحسان على مذهب أبي حنيفة</w:t>
      </w:r>
    </w:p>
    <w:p>
      <w:pPr>
        <w:pStyle w:val="BookText"/>
      </w:pPr>
      <w:r>
        <w:rPr>
          <w:rFonts w:ascii="Amiri" w:hAnsi="Amiri" w:eastAsia="Amiri" w:cs="Amiri"/>
          <w:lang w:bidi="ar-SA"/>
          <w:color w:val="111111"/>
          <w:sz w:val="28"/>
          <w:szCs w:val="28"/>
          <w:rtl/>
        </w:rPr>
        <w:t xml:space="preserve">النعمان = الفتاوى في الفقه الحنفي ج 16، ص 134.</w:t>
      </w:r>
    </w:p>
    <w:p>
      <w:pPr>
        <w:pStyle w:val="BookText"/>
      </w:pPr>
      <w:r>
        <w:rPr>
          <w:rFonts w:ascii="Amiri" w:hAnsi="Amiri" w:eastAsia="Amiri" w:cs="Amiri"/>
          <w:lang w:bidi="ar-SA"/>
          <w:color w:val="111111"/>
          <w:sz w:val="28"/>
          <w:szCs w:val="28"/>
          <w:rtl/>
        </w:rPr>
        <w:t xml:space="preserve">غزنوي ، قطان ابونصر- قطان غزنوي ،</w:t>
      </w:r>
    </w:p>
    <w:p>
      <w:pPr>
        <w:pStyle w:val="BookText"/>
      </w:pPr>
      <w:r>
        <w:rPr>
          <w:rFonts w:ascii="Amiri" w:hAnsi="Amiri" w:eastAsia="Amiri" w:cs="Amiri"/>
          <w:lang w:bidi="ar-SA"/>
          <w:color w:val="111111"/>
          <w:sz w:val="28"/>
          <w:szCs w:val="28"/>
          <w:rtl/>
        </w:rPr>
        <w:t xml:space="preserve">سعيد بن محمّد</w:t>
      </w:r>
    </w:p>
    <w:p>
      <w:pPr>
        <w:pStyle w:val="BookText"/>
      </w:pPr>
      <w:r>
        <w:rPr>
          <w:rFonts w:ascii="Amiri" w:hAnsi="Amiri" w:eastAsia="Amiri" w:cs="Amiri"/>
          <w:lang w:bidi="ar-SA"/>
          <w:color w:val="111111"/>
          <w:sz w:val="28"/>
          <w:szCs w:val="28"/>
          <w:rtl/>
        </w:rPr>
        <w:t xml:space="preserve">غزنوي ، محمّد بن احمد -بهشتي</w:t>
      </w:r>
    </w:p>
    <w:p>
      <w:pPr>
        <w:pStyle w:val="BookText"/>
      </w:pPr>
      <w:r>
        <w:rPr>
          <w:rFonts w:ascii="Amiri" w:hAnsi="Amiri" w:eastAsia="Amiri" w:cs="Amiri"/>
          <w:lang w:bidi="ar-SA"/>
          <w:color w:val="111111"/>
          <w:sz w:val="28"/>
          <w:szCs w:val="28"/>
          <w:rtl/>
        </w:rPr>
        <w:t xml:space="preserve">اسفرايني ، محمّد بن احمد</w:t>
      </w:r>
    </w:p>
    <w:p>
      <w:pPr>
        <w:pStyle w:val="BookText"/>
      </w:pPr>
      <w:r>
        <w:rPr>
          <w:rFonts w:ascii="Amiri" w:hAnsi="Amiri" w:eastAsia="Amiri" w:cs="Amiri"/>
          <w:lang w:bidi="ar-SA"/>
          <w:color w:val="111111"/>
          <w:sz w:val="28"/>
          <w:szCs w:val="28"/>
          <w:rtl/>
        </w:rPr>
        <w:t xml:space="preserve">غزنوي ، محمّد بن طيفور -سجاوندي</w:t>
      </w:r>
    </w:p>
    <w:p>
      <w:pPr>
        <w:pStyle w:val="BookText"/>
      </w:pPr>
      <w:r>
        <w:rPr>
          <w:rFonts w:ascii="Amiri" w:hAnsi="Amiri" w:eastAsia="Amiri" w:cs="Amiri"/>
          <w:lang w:bidi="ar-SA"/>
          <w:color w:val="111111"/>
          <w:sz w:val="28"/>
          <w:szCs w:val="28"/>
          <w:rtl/>
        </w:rPr>
        <w:t xml:space="preserve">محمد بن طيفور</w:t>
      </w:r>
    </w:p>
    <w:p>
      <w:pPr>
        <w:pStyle w:val="BookText"/>
      </w:pPr>
      <w:r>
        <w:rPr>
          <w:rFonts w:ascii="Amiri" w:hAnsi="Amiri" w:eastAsia="Amiri" w:cs="Amiri"/>
          <w:lang w:bidi="ar-SA"/>
          <w:color w:val="111111"/>
          <w:sz w:val="28"/>
          <w:szCs w:val="28"/>
          <w:rtl/>
        </w:rPr>
        <w:t xml:space="preserve">غزنوي ، محمّد بن مسعود -مسعودي</w:t>
      </w:r>
    </w:p>
    <w:p>
      <w:pPr>
        <w:pStyle w:val="BookText"/>
      </w:pPr>
      <w:r>
        <w:rPr>
          <w:rFonts w:ascii="Amiri" w:hAnsi="Amiri" w:eastAsia="Amiri" w:cs="Amiri"/>
          <w:lang w:bidi="ar-SA"/>
          <w:color w:val="111111"/>
          <w:sz w:val="28"/>
          <w:szCs w:val="28"/>
          <w:rtl/>
        </w:rPr>
        <w:t xml:space="preserve">غزنوي، محمّد بن مسعود</w:t>
      </w:r>
    </w:p>
    <w:p>
      <w:pPr>
        <w:pStyle w:val="BookText"/>
      </w:pPr>
      <w:r>
        <w:rPr>
          <w:rFonts w:ascii="IRNazanin" w:hAnsi="IRNazanin" w:eastAsia="IRNazanin" w:cs="IRNazanin"/>
          <w:lang w:bidi="fa-IR"/>
          <w:color w:val="111111"/>
          <w:sz w:val="28"/>
          <w:szCs w:val="28"/>
          <w:rtl/>
        </w:rPr>
        <w:t xml:space="preserve">غزنوي مروزي، شرف الدین محمّد بن</w:t>
      </w:r>
    </w:p>
    <w:p>
      <w:pPr>
        <w:pStyle w:val="BookText"/>
      </w:pPr>
      <w:r>
        <w:rPr>
          <w:rFonts w:ascii="Amiri" w:hAnsi="Amiri" w:eastAsia="Amiri" w:cs="Amiri"/>
          <w:lang w:bidi="ar-SA"/>
          <w:color w:val="111111"/>
          <w:sz w:val="28"/>
          <w:szCs w:val="28"/>
          <w:rtl/>
        </w:rPr>
        <w:t xml:space="preserve">مسعود -مسعودي غزنوي، محمّد بن</w:t>
      </w:r>
    </w:p>
    <w:p>
      <w:pPr>
        <w:pStyle w:val="BookText"/>
      </w:pPr>
      <w:r>
        <w:rPr>
          <w:rFonts w:ascii="IRNazanin" w:hAnsi="IRNazanin" w:eastAsia="IRNazanin" w:cs="IRNazanin"/>
          <w:lang w:bidi="fa-IR"/>
          <w:color w:val="111111"/>
          <w:sz w:val="28"/>
          <w:szCs w:val="28"/>
          <w:rtl/>
        </w:rPr>
        <w:t xml:space="preserve">مسعود</w:t>
      </w:r>
    </w:p>
    <w:p>
      <w:pPr>
        <w:pStyle w:val="Heading2"/>
      </w:pPr>
      <w:bookmarkStart w:id="6204" w:name="_Toc5306"/>
      <w:r>
        <w:t>غزنوي، منصور بن مسعود قرن 6 ه-</w:t>
      </w:r>
      <w:bookmarkEnd w:id="6204"/>
    </w:p>
    <w:p>
      <w:pPr>
        <w:pStyle w:val="BookText"/>
      </w:pPr>
      <w:r>
        <w:rPr>
          <w:rFonts w:ascii="Amiri" w:hAnsi="Amiri" w:eastAsia="Amiri" w:cs="Amiri"/>
          <w:lang w:bidi="ar-SA"/>
          <w:color w:val="111111"/>
          <w:sz w:val="28"/>
          <w:szCs w:val="28"/>
          <w:rtl/>
        </w:rPr>
        <w:t xml:space="preserve">احاديث خماسية و سداسية، ج1،</w:t>
      </w:r>
    </w:p>
    <w:p>
      <w:pPr>
        <w:pStyle w:val="BookText"/>
      </w:pPr>
      <w:r>
        <w:rPr>
          <w:rFonts w:ascii="IRNazanin" w:hAnsi="IRNazanin" w:eastAsia="IRNazanin" w:cs="IRNazanin"/>
          <w:lang w:bidi="fa-IR"/>
          <w:color w:val="111111"/>
          <w:sz w:val="28"/>
          <w:szCs w:val="28"/>
          <w:rtl/>
        </w:rPr>
        <w:t xml:space="preserve">ص 408 .</w:t>
      </w:r>
    </w:p>
    <w:p>
      <w:pPr>
        <w:pStyle w:val="BookText"/>
      </w:pPr>
      <w:r>
        <w:rPr>
          <w:rFonts w:ascii="IRNazanin" w:hAnsi="IRNazanin" w:eastAsia="IRNazanin" w:cs="IRNazanin"/>
          <w:lang w:bidi="fa-IR"/>
          <w:color w:val="111111"/>
          <w:sz w:val="28"/>
          <w:szCs w:val="28"/>
          <w:rtl/>
        </w:rPr>
        <w:t xml:space="preserve">غزنوي ، يعقوب بن عثمان- چرخي</w:t>
      </w:r>
    </w:p>
    <w:p>
      <w:pPr>
        <w:pStyle w:val="BookText"/>
      </w:pPr>
      <w:r>
        <w:rPr>
          <w:rFonts w:ascii="Amiri" w:hAnsi="Amiri" w:eastAsia="Amiri" w:cs="Amiri"/>
          <w:lang w:bidi="ar-SA"/>
          <w:color w:val="111111"/>
          <w:sz w:val="28"/>
          <w:szCs w:val="28"/>
          <w:rtl/>
        </w:rPr>
        <w:t xml:space="preserve">يعقوب بن عثمان</w:t>
      </w:r>
    </w:p>
    <w:p>
      <w:pPr>
        <w:pStyle w:val="BookText"/>
      </w:pPr>
      <w:r>
        <w:rPr>
          <w:rFonts w:ascii="Amiri" w:hAnsi="Amiri" w:eastAsia="Amiri" w:cs="Amiri"/>
          <w:lang w:bidi="ar-SA"/>
          <w:color w:val="111111"/>
          <w:sz w:val="28"/>
          <w:szCs w:val="28"/>
          <w:rtl/>
        </w:rPr>
        <w:t xml:space="preserve">غزولي ، علي بن عبد الله- بهائي ، علي بن</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Amiri" w:hAnsi="Amiri" w:eastAsia="Amiri" w:cs="Amiri"/>
          <w:lang w:bidi="ar-SA"/>
          <w:color w:val="111111"/>
          <w:sz w:val="28"/>
          <w:szCs w:val="28"/>
          <w:rtl/>
        </w:rPr>
        <w:t xml:space="preserve">غزي ، ابراهيم بن خليل- صالحاني ، ابراهيم بن خليل</w:t>
      </w:r>
    </w:p>
    <w:p>
      <w:pPr>
        <w:pStyle w:val="Heading2"/>
      </w:pPr>
      <w:bookmarkStart w:id="6205" w:name="_Toc5307"/>
      <w:r>
        <w:t>غزي ، ابراهيم بن عثمان، 441 - 524 ه-</w:t>
      </w:r>
      <w:bookmarkEnd w:id="6205"/>
    </w:p>
    <w:p>
      <w:pPr>
        <w:pStyle w:val="BookText"/>
      </w:pPr>
      <w:r>
        <w:rPr>
          <w:rFonts w:ascii="Amiri" w:hAnsi="Amiri" w:eastAsia="Amiri" w:cs="Amiri"/>
          <w:lang w:bidi="ar-SA"/>
          <w:color w:val="111111"/>
          <w:sz w:val="28"/>
          <w:szCs w:val="28"/>
          <w:rtl/>
        </w:rPr>
        <w:t xml:space="preserve">ديوان الغزي، ج 7، ص730.</w:t>
      </w:r>
    </w:p>
    <w:p>
      <w:pPr>
        <w:pStyle w:val="BookText"/>
      </w:pPr>
      <w:r>
        <w:rPr>
          <w:rFonts w:ascii="IRNazanin" w:hAnsi="IRNazanin" w:eastAsia="IRNazanin" w:cs="IRNazanin"/>
          <w:lang w:bidi="fa-IR"/>
          <w:color w:val="111111"/>
          <w:sz w:val="28"/>
          <w:szCs w:val="28"/>
          <w:rtl/>
        </w:rPr>
        <w:t xml:space="preserve">غزي ، ابراهيم بن محمّد -ابن زقاعه ، ابراهیم بن محمّد</w:t>
      </w:r>
    </w:p>
    <w:p>
      <w:pPr>
        <w:pStyle w:val="Heading2"/>
      </w:pPr>
      <w:bookmarkStart w:id="6206" w:name="_Toc5308"/>
      <w:r>
        <w:t>غزي ، احمد بن عبدالكريم - 1143 ه-</w:t>
      </w:r>
      <w:bookmarkEnd w:id="6206"/>
    </w:p>
    <w:p>
      <w:pPr>
        <w:pStyle w:val="BookText"/>
      </w:pPr>
      <w:r>
        <w:rPr>
          <w:rFonts w:ascii="Amiri" w:hAnsi="Amiri" w:eastAsia="Amiri" w:cs="Amiri"/>
          <w:lang w:bidi="ar-SA"/>
          <w:color w:val="111111"/>
          <w:sz w:val="28"/>
          <w:szCs w:val="28"/>
          <w:rtl/>
        </w:rPr>
        <w:t xml:space="preserve">الجد الحثيث في بيان ما ليس بحديث</w:t>
      </w:r>
    </w:p>
    <w:p>
      <w:pPr>
        <w:pStyle w:val="BookText"/>
      </w:pPr>
      <w:r>
        <w:rPr>
          <w:rFonts w:ascii="Amiri" w:hAnsi="Amiri" w:eastAsia="Amiri" w:cs="Amiri"/>
          <w:lang w:bidi="ar-SA"/>
          <w:color w:val="111111"/>
          <w:sz w:val="28"/>
          <w:szCs w:val="28"/>
          <w:rtl/>
        </w:rPr>
        <w:t xml:space="preserve">= اتقان مايحسن من الاخبار الدائرة</w:t>
      </w:r>
    </w:p>
    <w:p>
      <w:pPr>
        <w:pStyle w:val="BookText"/>
      </w:pPr>
      <w:r>
        <w:rPr>
          <w:rFonts w:ascii="IRNazanin" w:hAnsi="IRNazanin" w:eastAsia="IRNazanin" w:cs="IRNazanin"/>
          <w:lang w:bidi="fa-IR"/>
          <w:color w:val="111111"/>
          <w:sz w:val="28"/>
          <w:szCs w:val="28"/>
          <w:rtl/>
        </w:rPr>
        <w:t xml:space="preserve">على الالسن (مختصر)، ج 5، ص 371</w:t>
      </w:r>
    </w:p>
    <w:p>
      <w:pPr>
        <w:pStyle w:val="Heading2"/>
      </w:pPr>
      <w:bookmarkStart w:id="6207" w:name="_Toc5309"/>
      <w:r>
        <w:t>غزي ، احمد بن عبدالله 760 - 822 ه-</w:t>
      </w:r>
      <w:bookmarkEnd w:id="6207"/>
    </w:p>
    <w:p>
      <w:pPr>
        <w:pStyle w:val="BookText"/>
      </w:pPr>
      <w:r>
        <w:rPr>
          <w:rFonts w:ascii="Amiri" w:hAnsi="Amiri" w:eastAsia="Amiri" w:cs="Amiri"/>
          <w:lang w:bidi="ar-SA"/>
          <w:color w:val="111111"/>
          <w:sz w:val="28"/>
          <w:szCs w:val="28"/>
          <w:rtl/>
        </w:rPr>
        <w:t xml:space="preserve">الاحكام في شرح عمدة الاحكام، ج 1،</w:t>
      </w:r>
    </w:p>
    <w:p>
      <w:pPr>
        <w:pStyle w:val="BookText"/>
      </w:pPr>
      <w:r>
        <w:rPr>
          <w:rFonts w:ascii="IRNazanin" w:hAnsi="IRNazanin" w:eastAsia="IRNazanin" w:cs="IRNazanin"/>
          <w:lang w:bidi="fa-IR"/>
          <w:color w:val="111111"/>
          <w:sz w:val="28"/>
          <w:szCs w:val="28"/>
          <w:rtl/>
        </w:rPr>
        <w:t xml:space="preserve">ص 479 .</w:t>
      </w:r>
    </w:p>
    <w:p>
      <w:pPr>
        <w:pStyle w:val="BookText"/>
      </w:pPr>
      <w:r>
        <w:rPr>
          <w:rFonts w:ascii="Amiri" w:hAnsi="Amiri" w:eastAsia="Amiri" w:cs="Amiri"/>
          <w:lang w:bidi="ar-SA"/>
          <w:color w:val="111111"/>
          <w:sz w:val="28"/>
          <w:szCs w:val="28"/>
          <w:rtl/>
        </w:rPr>
        <w:t xml:space="preserve">غزي ، تقي الدين بن عبد القادر- تميمي ،</w:t>
      </w:r>
    </w:p>
    <w:p>
      <w:pPr>
        <w:pStyle w:val="BookText"/>
      </w:pPr>
      <w:r>
        <w:rPr>
          <w:rFonts w:ascii="Amiri" w:hAnsi="Amiri" w:eastAsia="Amiri" w:cs="Amiri"/>
          <w:lang w:bidi="ar-SA"/>
          <w:color w:val="111111"/>
          <w:sz w:val="28"/>
          <w:szCs w:val="28"/>
          <w:rtl/>
        </w:rPr>
        <w:t xml:space="preserve">تقي الدين بن عبد القادر</w:t>
      </w:r>
    </w:p>
    <w:p>
      <w:pPr>
        <w:pStyle w:val="Heading2"/>
      </w:pPr>
      <w:bookmarkStart w:id="6208" w:name="_Toc5310"/>
      <w:r>
        <w:t>غزي ،تمرتاشي محمّد بن صالح -1035ه-</w:t>
      </w:r>
      <w:bookmarkEnd w:id="6208"/>
    </w:p>
    <w:p>
      <w:pPr>
        <w:pStyle w:val="BookText"/>
      </w:pPr>
      <w:r>
        <w:rPr>
          <w:rFonts w:ascii="Amiri" w:hAnsi="Amiri" w:eastAsia="Amiri" w:cs="Amiri"/>
          <w:lang w:bidi="ar-SA"/>
          <w:color w:val="111111"/>
          <w:sz w:val="28"/>
          <w:szCs w:val="28"/>
          <w:rtl/>
        </w:rPr>
        <w:t xml:space="preserve">فيض المستفيض في مسائل التفويض</w:t>
      </w:r>
    </w:p>
    <w:p>
      <w:pPr>
        <w:pStyle w:val="BookText"/>
      </w:pPr>
      <w:r>
        <w:rPr>
          <w:rFonts w:ascii="IRNazanin" w:hAnsi="IRNazanin" w:eastAsia="IRNazanin" w:cs="IRNazanin"/>
          <w:lang w:bidi="fa-IR"/>
          <w:color w:val="111111"/>
          <w:sz w:val="28"/>
          <w:szCs w:val="28"/>
          <w:rtl/>
        </w:rPr>
        <w:t xml:space="preserve">ج 12، ص 315.</w:t>
      </w:r>
    </w:p>
    <w:p>
      <w:pPr>
        <w:pStyle w:val="Heading2"/>
      </w:pPr>
      <w:bookmarkStart w:id="6209" w:name="_Toc5311"/>
      <w:r>
        <w:t>غزي ، راشد بن خلف، قرن 10 ه-</w:t>
      </w:r>
      <w:bookmarkEnd w:id="6209"/>
    </w:p>
    <w:p>
      <w:pPr>
        <w:pStyle w:val="BookText"/>
      </w:pPr>
      <w:r>
        <w:rPr>
          <w:rFonts w:ascii="Amiri" w:hAnsi="Amiri" w:eastAsia="Amiri" w:cs="Amiri"/>
          <w:lang w:bidi="ar-SA"/>
          <w:color w:val="111111"/>
          <w:sz w:val="28"/>
          <w:szCs w:val="28"/>
          <w:rtl/>
        </w:rPr>
        <w:t xml:space="preserve">زاد الفقير، ج 8، ص 526.</w:t>
      </w:r>
    </w:p>
    <w:p>
      <w:pPr>
        <w:pStyle w:val="Heading2"/>
      </w:pPr>
      <w:bookmarkStart w:id="6210" w:name="_Toc5312"/>
      <w:r>
        <w:t>غزي زاده ، عبد اللطيف بن محمّد -</w:t>
      </w:r>
      <w:bookmarkEnd w:id="6210"/>
    </w:p>
    <w:p>
      <w:pPr>
        <w:pStyle w:val="BookText"/>
      </w:pPr>
      <w:r>
        <w:rPr>
          <w:rFonts w:ascii="IRNazanin" w:hAnsi="IRNazanin" w:eastAsia="IRNazanin" w:cs="IRNazanin"/>
          <w:lang w:bidi="fa-IR"/>
          <w:color w:val="111111"/>
          <w:sz w:val="28"/>
          <w:szCs w:val="28"/>
          <w:rtl/>
        </w:rPr>
        <w:t xml:space="preserve">1247ه-</w:t>
      </w:r>
    </w:p>
    <w:p>
      <w:pPr>
        <w:pStyle w:val="BookText"/>
      </w:pPr>
      <w:r>
        <w:rPr>
          <w:rFonts w:ascii="Amiri" w:hAnsi="Amiri" w:eastAsia="Amiri" w:cs="Amiri"/>
          <w:lang w:bidi="ar-SA"/>
          <w:color w:val="111111"/>
          <w:sz w:val="28"/>
          <w:szCs w:val="28"/>
          <w:rtl/>
        </w:rPr>
        <w:t xml:space="preserve">حاشية الدر المختار في شرح تنوير الابصار، ج 5، ص 869.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25" w:name="pg7742_70920"/>
    <w:bookmarkEnd w:id="825"/>
    <w:p>
      <w:pPr>
        <w:pStyle w:val="Heading2"/>
      </w:pPr>
      <w:bookmarkStart w:id="6211" w:name="_Toc5313"/>
      <w:r>
        <w:t>غزي، سليمان بن حسن قرن 8 ه-</w:t>
      </w:r>
      <w:bookmarkEnd w:id="6211"/>
    </w:p>
    <w:p>
      <w:pPr>
        <w:pStyle w:val="BookText"/>
      </w:pPr>
      <w:r>
        <w:rPr>
          <w:rFonts w:ascii="Amiri" w:hAnsi="Amiri" w:eastAsia="Amiri" w:cs="Amiri"/>
          <w:lang w:bidi="ar-SA"/>
          <w:color w:val="111111"/>
          <w:sz w:val="28"/>
          <w:szCs w:val="28"/>
          <w:rtl/>
        </w:rPr>
        <w:t xml:space="preserve">1 .حكم و مواعظ، ج 6، ص 768 .</w:t>
      </w:r>
    </w:p>
    <w:p>
      <w:pPr>
        <w:pStyle w:val="BookText"/>
      </w:pPr>
      <w:r>
        <w:rPr>
          <w:rFonts w:ascii="Amiri" w:hAnsi="Amiri" w:eastAsia="Amiri" w:cs="Amiri"/>
          <w:lang w:bidi="ar-SA"/>
          <w:color w:val="111111"/>
          <w:sz w:val="28"/>
          <w:szCs w:val="28"/>
          <w:rtl/>
        </w:rPr>
        <w:t xml:space="preserve">2 .ديوان الغزي، ج 7، ص730.</w:t>
      </w:r>
    </w:p>
    <w:p>
      <w:pPr>
        <w:pStyle w:val="BookText"/>
      </w:pPr>
      <w:r>
        <w:rPr>
          <w:rFonts w:ascii="Amiri" w:hAnsi="Amiri" w:eastAsia="Amiri" w:cs="Amiri"/>
          <w:lang w:bidi="ar-SA"/>
          <w:color w:val="111111"/>
          <w:sz w:val="28"/>
          <w:szCs w:val="28"/>
          <w:rtl/>
        </w:rPr>
        <w:t xml:space="preserve">غزي ، صالح بن محمّد-تمرتاشي ، صالح</w:t>
      </w:r>
    </w:p>
    <w:p>
      <w:pPr>
        <w:pStyle w:val="BookText"/>
      </w:pPr>
      <w:r>
        <w:rPr>
          <w:rFonts w:ascii="Amiri" w:hAnsi="Amiri" w:eastAsia="Amiri" w:cs="Amiri"/>
          <w:lang w:bidi="ar-SA"/>
          <w:color w:val="111111"/>
          <w:sz w:val="28"/>
          <w:szCs w:val="28"/>
          <w:rtl/>
        </w:rPr>
        <w:t xml:space="preserve">بن محمّد</w:t>
      </w:r>
    </w:p>
    <w:p>
      <w:pPr>
        <w:pStyle w:val="Heading2"/>
      </w:pPr>
      <w:bookmarkStart w:id="6212" w:name="_Toc5314"/>
      <w:r>
        <w:t>غزي عامري، محمّد بن محمّد 904 -</w:t>
      </w:r>
      <w:bookmarkEnd w:id="6212"/>
    </w:p>
    <w:p>
      <w:pPr>
        <w:pStyle w:val="BookText"/>
      </w:pPr>
      <w:r>
        <w:rPr>
          <w:rFonts w:ascii="IRNazanin" w:hAnsi="IRNazanin" w:eastAsia="IRNazanin" w:cs="IRNazanin"/>
          <w:lang w:bidi="fa-IR"/>
          <w:color w:val="111111"/>
          <w:sz w:val="28"/>
          <w:szCs w:val="28"/>
          <w:rtl/>
        </w:rPr>
        <w:t xml:space="preserve">984 ه-</w:t>
      </w:r>
    </w:p>
    <w:p>
      <w:pPr>
        <w:pStyle w:val="BookText"/>
      </w:pPr>
      <w:r>
        <w:rPr>
          <w:rFonts w:ascii="Amiri" w:hAnsi="Amiri" w:eastAsia="Amiri" w:cs="Amiri"/>
          <w:lang w:bidi="ar-SA"/>
          <w:color w:val="111111"/>
          <w:sz w:val="28"/>
          <w:szCs w:val="28"/>
          <w:rtl/>
        </w:rPr>
        <w:t xml:space="preserve">1 .البهجة الوفية في شرح الالفية، ج3،</w:t>
      </w:r>
    </w:p>
    <w:p>
      <w:pPr>
        <w:pStyle w:val="BookText"/>
      </w:pPr>
      <w:r>
        <w:rPr>
          <w:rFonts w:ascii="IRNazanin" w:hAnsi="IRNazanin" w:eastAsia="IRNazanin" w:cs="IRNazanin"/>
          <w:lang w:bidi="fa-IR"/>
          <w:color w:val="111111"/>
          <w:sz w:val="28"/>
          <w:szCs w:val="28"/>
          <w:rtl/>
        </w:rPr>
        <w:t xml:space="preserve">ص 443 .</w:t>
      </w:r>
    </w:p>
    <w:p>
      <w:pPr>
        <w:pStyle w:val="BookText"/>
      </w:pPr>
      <w:r>
        <w:rPr>
          <w:rFonts w:ascii="Amiri" w:hAnsi="Amiri" w:eastAsia="Amiri" w:cs="Amiri"/>
          <w:lang w:bidi="ar-SA"/>
          <w:color w:val="111111"/>
          <w:sz w:val="28"/>
          <w:szCs w:val="28"/>
          <w:rtl/>
        </w:rPr>
        <w:t xml:space="preserve">2 .تفسير البدر الغزي = التيسير في التفسير = البسيط في التفسير =</w:t>
      </w:r>
    </w:p>
    <w:p>
      <w:pPr>
        <w:pStyle w:val="BookText"/>
      </w:pPr>
      <w:r>
        <w:rPr>
          <w:rFonts w:ascii="Amiri" w:hAnsi="Amiri" w:eastAsia="Amiri" w:cs="Amiri"/>
          <w:lang w:bidi="ar-SA"/>
          <w:color w:val="111111"/>
          <w:sz w:val="28"/>
          <w:szCs w:val="28"/>
          <w:rtl/>
        </w:rPr>
        <w:t xml:space="preserve">تفسير الغزي، ج 4، ص 603.</w:t>
      </w:r>
    </w:p>
    <w:p>
      <w:pPr>
        <w:pStyle w:val="BookText"/>
      </w:pPr>
      <w:r>
        <w:rPr>
          <w:rFonts w:ascii="Amiri" w:hAnsi="Amiri" w:eastAsia="Amiri" w:cs="Amiri"/>
          <w:lang w:bidi="ar-SA"/>
          <w:color w:val="111111"/>
          <w:sz w:val="28"/>
          <w:szCs w:val="28"/>
          <w:rtl/>
        </w:rPr>
        <w:t xml:space="preserve">3 .تقريب المعاهد في شرح الشواهد</w:t>
      </w:r>
    </w:p>
    <w:p>
      <w:pPr>
        <w:pStyle w:val="BookText"/>
      </w:pPr>
      <w:r>
        <w:rPr>
          <w:rFonts w:ascii="IRNazanin" w:hAnsi="IRNazanin" w:eastAsia="IRNazanin" w:cs="IRNazanin"/>
          <w:lang w:bidi="fa-IR"/>
          <w:color w:val="111111"/>
          <w:sz w:val="28"/>
          <w:szCs w:val="28"/>
          <w:rtl/>
        </w:rPr>
        <w:t xml:space="preserve">ج 4، ص 732.</w:t>
      </w:r>
    </w:p>
    <w:p>
      <w:pPr>
        <w:pStyle w:val="Heading2"/>
      </w:pPr>
      <w:bookmarkStart w:id="6213" w:name="_Toc5315"/>
      <w:r>
        <w:t>غزي عامري ، محمّد بن محمّد 977 -</w:t>
      </w:r>
      <w:bookmarkEnd w:id="6213"/>
    </w:p>
    <w:p>
      <w:pPr>
        <w:pStyle w:val="BookText"/>
      </w:pPr>
      <w:r>
        <w:rPr>
          <w:rFonts w:ascii="IRNazanin" w:hAnsi="IRNazanin" w:eastAsia="IRNazanin" w:cs="IRNazanin"/>
          <w:lang w:bidi="fa-IR"/>
          <w:color w:val="111111"/>
          <w:sz w:val="28"/>
          <w:szCs w:val="28"/>
          <w:rtl/>
        </w:rPr>
        <w:t xml:space="preserve">1061ه-</w:t>
      </w:r>
    </w:p>
    <w:p>
      <w:pPr>
        <w:pStyle w:val="BookText"/>
      </w:pPr>
      <w:r>
        <w:rPr>
          <w:rFonts w:ascii="Amiri" w:hAnsi="Amiri" w:eastAsia="Amiri" w:cs="Amiri"/>
          <w:lang w:bidi="ar-SA"/>
          <w:color w:val="111111"/>
          <w:sz w:val="28"/>
          <w:szCs w:val="28"/>
          <w:rtl/>
        </w:rPr>
        <w:t xml:space="preserve">1 .تلخيص شواهد العباس عبدالرحيم</w:t>
      </w:r>
    </w:p>
    <w:p>
      <w:pPr>
        <w:pStyle w:val="BookText"/>
      </w:pPr>
      <w:r>
        <w:rPr>
          <w:rFonts w:ascii="IRNazanin" w:hAnsi="IRNazanin" w:eastAsia="IRNazanin" w:cs="IRNazanin"/>
          <w:lang w:bidi="fa-IR"/>
          <w:color w:val="111111"/>
          <w:sz w:val="28"/>
          <w:szCs w:val="28"/>
          <w:rtl/>
        </w:rPr>
        <w:t xml:space="preserve">ج 4، ص 849.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التوجه بالاسماء الحسنى، ج 5،</w:t>
      </w:r>
    </w:p>
    <w:p>
      <w:pPr>
        <w:pStyle w:val="BookText"/>
      </w:pPr>
      <w:r>
        <w:rPr>
          <w:rFonts w:ascii="IRNazanin" w:hAnsi="IRNazanin" w:eastAsia="IRNazanin" w:cs="IRNazanin"/>
          <w:lang w:bidi="fa-IR"/>
          <w:color w:val="111111"/>
          <w:sz w:val="28"/>
          <w:szCs w:val="28"/>
          <w:rtl/>
        </w:rPr>
        <w:t xml:space="preserve">ص 144 .</w:t>
      </w:r>
    </w:p>
    <w:p>
      <w:pPr>
        <w:pStyle w:val="Heading2"/>
      </w:pPr>
      <w:bookmarkStart w:id="6214" w:name="_Toc5316"/>
      <w:r>
        <w:t>غزي عامري ، محمّد بن محمّد 904 -</w:t>
      </w:r>
      <w:bookmarkEnd w:id="6214"/>
    </w:p>
    <w:p>
      <w:pPr>
        <w:pStyle w:val="BookText"/>
      </w:pPr>
      <w:r>
        <w:rPr>
          <w:rFonts w:ascii="IRNazanin" w:hAnsi="IRNazanin" w:eastAsia="IRNazanin" w:cs="IRNazanin"/>
          <w:lang w:bidi="fa-IR"/>
          <w:color w:val="111111"/>
          <w:sz w:val="28"/>
          <w:szCs w:val="28"/>
          <w:rtl/>
        </w:rPr>
        <w:t xml:space="preserve">984ه-</w:t>
      </w:r>
    </w:p>
    <w:p>
      <w:pPr>
        <w:pStyle w:val="BookText"/>
      </w:pPr>
      <w:r>
        <w:rPr>
          <w:rFonts w:ascii="Amiri" w:hAnsi="Amiri" w:eastAsia="Amiri" w:cs="Amiri"/>
          <w:lang w:bidi="ar-SA"/>
          <w:color w:val="111111"/>
          <w:sz w:val="28"/>
          <w:szCs w:val="28"/>
          <w:rtl/>
        </w:rPr>
        <w:t xml:space="preserve">جواهر الذخائر في الكبائر و الصغائر،</w:t>
      </w:r>
    </w:p>
    <w:p>
      <w:pPr>
        <w:pStyle w:val="BookText"/>
      </w:pPr>
      <w:r>
        <w:rPr>
          <w:rFonts w:ascii="IRNazanin" w:hAnsi="IRNazanin" w:eastAsia="IRNazanin" w:cs="IRNazanin"/>
          <w:lang w:bidi="fa-IR"/>
          <w:color w:val="111111"/>
          <w:sz w:val="28"/>
          <w:szCs w:val="28"/>
          <w:rtl/>
        </w:rPr>
        <w:t xml:space="preserve">ج 5، ص 546 .</w:t>
      </w:r>
    </w:p>
    <w:p>
      <w:pPr>
        <w:pStyle w:val="Heading2"/>
      </w:pPr>
      <w:bookmarkStart w:id="6215" w:name="_Toc5317"/>
      <w:r>
        <w:t>غزي عامري ، محمّد بن محمّد 862 -</w:t>
      </w:r>
      <w:bookmarkEnd w:id="6215"/>
    </w:p>
    <w:p>
      <w:pPr>
        <w:pStyle w:val="BookText"/>
      </w:pPr>
      <w:r>
        <w:rPr>
          <w:rFonts w:ascii="IRNazanin" w:hAnsi="IRNazanin" w:eastAsia="IRNazanin" w:cs="IRNazanin"/>
          <w:lang w:bidi="fa-IR"/>
          <w:color w:val="111111"/>
          <w:sz w:val="28"/>
          <w:szCs w:val="28"/>
          <w:rtl/>
        </w:rPr>
        <w:t xml:space="preserve">935 ه-</w:t>
      </w:r>
    </w:p>
    <w:p>
      <w:pPr>
        <w:pStyle w:val="BookText"/>
      </w:pPr>
      <w:r>
        <w:rPr>
          <w:rFonts w:ascii="Amiri" w:hAnsi="Amiri" w:eastAsia="Amiri" w:cs="Amiri"/>
          <w:lang w:bidi="ar-SA"/>
          <w:color w:val="111111"/>
          <w:sz w:val="28"/>
          <w:szCs w:val="28"/>
          <w:rtl/>
        </w:rPr>
        <w:t xml:space="preserve">الدر النضيد في آداب المفيد و</w:t>
      </w:r>
    </w:p>
    <w:p>
      <w:pPr>
        <w:pStyle w:val="BookText"/>
      </w:pPr>
      <w:r>
        <w:rPr>
          <w:rFonts w:ascii="Amiri" w:hAnsi="Amiri" w:eastAsia="Amiri" w:cs="Amiri"/>
          <w:lang w:bidi="ar-SA"/>
          <w:color w:val="111111"/>
          <w:sz w:val="28"/>
          <w:szCs w:val="28"/>
          <w:rtl/>
        </w:rPr>
        <w:t xml:space="preserve">المستفيد، ج 7، ص 357.</w:t>
      </w:r>
    </w:p>
    <w:p>
      <w:pPr>
        <w:pStyle w:val="Heading2"/>
      </w:pPr>
      <w:bookmarkStart w:id="6216" w:name="_Toc5318"/>
      <w:r>
        <w:t>غزي عامري ، محمّد بن محمّد 904 - 984ه-</w:t>
      </w:r>
      <w:bookmarkEnd w:id="6216"/>
    </w:p>
    <w:p>
      <w:pPr>
        <w:pStyle w:val="BookText"/>
      </w:pPr>
      <w:r>
        <w:rPr>
          <w:rFonts w:ascii="Amiri" w:hAnsi="Amiri" w:eastAsia="Amiri" w:cs="Amiri"/>
          <w:lang w:bidi="ar-SA"/>
          <w:color w:val="111111"/>
          <w:sz w:val="28"/>
          <w:szCs w:val="28"/>
          <w:rtl/>
        </w:rPr>
        <w:t xml:space="preserve">الزبدة في شرح قصيدة البردة، ج8،</w:t>
      </w:r>
    </w:p>
    <w:p>
      <w:pPr>
        <w:pStyle w:val="BookText"/>
      </w:pPr>
      <w:r>
        <w:rPr>
          <w:rFonts w:ascii="IRNazanin" w:hAnsi="IRNazanin" w:eastAsia="IRNazanin" w:cs="IRNazanin"/>
          <w:lang w:bidi="fa-IR"/>
          <w:color w:val="111111"/>
          <w:sz w:val="28"/>
          <w:szCs w:val="28"/>
          <w:rtl/>
        </w:rPr>
        <w:t xml:space="preserve">ص 586 .</w:t>
      </w:r>
    </w:p>
    <w:p>
      <w:pPr>
        <w:pStyle w:val="Heading2"/>
      </w:pPr>
      <w:bookmarkStart w:id="6217" w:name="_Toc5319"/>
      <w:r>
        <w:t>غزي عامري ، محمّد بن محمّد، 977 -</w:t>
      </w:r>
      <w:bookmarkEnd w:id="6217"/>
    </w:p>
    <w:p>
      <w:pPr>
        <w:pStyle w:val="BookText"/>
      </w:pPr>
      <w:r>
        <w:rPr>
          <w:rFonts w:ascii="IRNazanin" w:hAnsi="IRNazanin" w:eastAsia="IRNazanin" w:cs="IRNazanin"/>
          <w:lang w:bidi="fa-IR"/>
          <w:color w:val="111111"/>
          <w:sz w:val="28"/>
          <w:szCs w:val="28"/>
          <w:rtl/>
        </w:rPr>
        <w:t xml:space="preserve">1061ه-</w:t>
      </w:r>
    </w:p>
    <w:p>
      <w:pPr>
        <w:pStyle w:val="BookText"/>
      </w:pPr>
      <w:r>
        <w:rPr>
          <w:rFonts w:ascii="Amiri" w:hAnsi="Amiri" w:eastAsia="Amiri" w:cs="Amiri"/>
          <w:lang w:bidi="ar-SA"/>
          <w:color w:val="111111"/>
          <w:sz w:val="28"/>
          <w:szCs w:val="28"/>
          <w:rtl/>
        </w:rPr>
        <w:t xml:space="preserve">الزبدة في شرح قصيدة البردة، ج 8، ص588.</w:t>
      </w:r>
    </w:p>
    <w:p>
      <w:pPr>
        <w:pStyle w:val="Heading2"/>
      </w:pPr>
      <w:bookmarkStart w:id="6218" w:name="_Toc5320"/>
      <w:r>
        <w:t>غزي عامري ، محمّد بن محمّد 862 -</w:t>
      </w:r>
      <w:bookmarkEnd w:id="6218"/>
    </w:p>
    <w:p>
      <w:pPr>
        <w:pStyle w:val="BookText"/>
      </w:pPr>
      <w:r>
        <w:rPr>
          <w:rFonts w:ascii="IRNazanin" w:hAnsi="IRNazanin" w:eastAsia="IRNazanin" w:cs="IRNazanin"/>
          <w:lang w:bidi="fa-IR"/>
          <w:color w:val="111111"/>
          <w:sz w:val="28"/>
          <w:szCs w:val="28"/>
          <w:rtl/>
        </w:rPr>
        <w:t xml:space="preserve">935 ه-</w:t>
      </w:r>
    </w:p>
    <w:p>
      <w:pPr>
        <w:pStyle w:val="BookText"/>
      </w:pPr>
      <w:r>
        <w:rPr>
          <w:rFonts w:ascii="Amiri" w:hAnsi="Amiri" w:eastAsia="Amiri" w:cs="Amiri"/>
          <w:lang w:bidi="ar-SA"/>
          <w:color w:val="111111"/>
          <w:sz w:val="28"/>
          <w:szCs w:val="28"/>
          <w:rtl/>
        </w:rPr>
        <w:t xml:space="preserve">شرح ألفية ابن مالك، ج9، ص223.</w:t>
      </w:r>
    </w:p>
    <w:p>
      <w:pPr>
        <w:pStyle w:val="BookText"/>
      </w:pPr>
      <w:r>
        <w:rPr>
          <w:rFonts w:ascii="Amiri" w:hAnsi="Amiri" w:eastAsia="Amiri" w:cs="Amiri"/>
          <w:lang w:bidi="ar-SA"/>
          <w:color w:val="111111"/>
          <w:sz w:val="28"/>
          <w:szCs w:val="28"/>
          <w:rtl/>
        </w:rPr>
        <w:t xml:space="preserve">غزي عامري ، محمّد بن محمّد 904 -</w:t>
      </w:r>
    </w:p>
    <w:p>
      <w:pPr>
        <w:pStyle w:val="BookText"/>
      </w:pPr>
      <w:r>
        <w:rPr>
          <w:rFonts w:ascii="IRNazanin" w:hAnsi="IRNazanin" w:eastAsia="IRNazanin" w:cs="IRNazanin"/>
          <w:lang w:bidi="fa-IR"/>
          <w:color w:val="111111"/>
          <w:sz w:val="28"/>
          <w:szCs w:val="28"/>
          <w:rtl/>
        </w:rPr>
        <w:t xml:space="preserve">984ه-</w:t>
      </w:r>
    </w:p>
    <w:p>
      <w:pPr>
        <w:pStyle w:val="BookText"/>
      </w:pPr>
      <w:r>
        <w:rPr>
          <w:rFonts w:ascii="Amiri" w:hAnsi="Amiri" w:eastAsia="Amiri" w:cs="Amiri"/>
          <w:lang w:bidi="ar-SA"/>
          <w:color w:val="111111"/>
          <w:sz w:val="28"/>
          <w:szCs w:val="28"/>
          <w:rtl/>
        </w:rPr>
        <w:t xml:space="preserve">المطالع البدرية في الرحلة الرومية =</w:t>
      </w:r>
    </w:p>
    <w:p>
      <w:pPr>
        <w:pStyle w:val="BookText"/>
      </w:pPr>
      <w:r>
        <w:rPr>
          <w:rFonts w:ascii="Amiri" w:hAnsi="Amiri" w:eastAsia="Amiri" w:cs="Amiri"/>
          <w:lang w:bidi="ar-SA"/>
          <w:color w:val="111111"/>
          <w:sz w:val="28"/>
          <w:szCs w:val="28"/>
          <w:rtl/>
        </w:rPr>
        <w:t xml:space="preserve">الرحلة الغزية، ج 14، ص 774.</w:t>
      </w:r>
    </w:p>
    <w:p>
      <w:pPr>
        <w:pStyle w:val="Heading2"/>
      </w:pPr>
      <w:bookmarkStart w:id="6219" w:name="_Toc5321"/>
      <w:r>
        <w:t>غزي عامري ، محمّد بن محمّد 862 -</w:t>
      </w:r>
      <w:bookmarkEnd w:id="6219"/>
    </w:p>
    <w:p>
      <w:pPr>
        <w:pStyle w:val="BookText"/>
      </w:pPr>
      <w:r>
        <w:rPr>
          <w:rFonts w:ascii="IRNazanin" w:hAnsi="IRNazanin" w:eastAsia="IRNazanin" w:cs="IRNazanin"/>
          <w:lang w:bidi="fa-IR"/>
          <w:color w:val="111111"/>
          <w:sz w:val="28"/>
          <w:szCs w:val="28"/>
          <w:rtl/>
        </w:rPr>
        <w:t xml:space="preserve">935 ه-</w:t>
      </w:r>
    </w:p>
    <w:p>
      <w:pPr>
        <w:pStyle w:val="BookText"/>
      </w:pPr>
      <w:r>
        <w:rPr>
          <w:rFonts w:ascii="Amiri" w:hAnsi="Amiri" w:eastAsia="Amiri" w:cs="Amiri"/>
          <w:lang w:bidi="ar-SA"/>
          <w:color w:val="111111"/>
          <w:sz w:val="28"/>
          <w:szCs w:val="28"/>
          <w:rtl/>
        </w:rPr>
        <w:t xml:space="preserve">نظم قلائد العقيان فيما يورث الفقر و</w:t>
      </w:r>
    </w:p>
    <w:p>
      <w:pPr>
        <w:pStyle w:val="BookText"/>
      </w:pPr>
      <w:r>
        <w:rPr>
          <w:rFonts w:ascii="Amiri" w:hAnsi="Amiri" w:eastAsia="Amiri" w:cs="Amiri"/>
          <w:lang w:bidi="ar-SA"/>
          <w:color w:val="111111"/>
          <w:sz w:val="28"/>
          <w:szCs w:val="28"/>
          <w:rtl/>
        </w:rPr>
        <w:t xml:space="preserve">النسيان، ج 16، ص 356.</w:t>
      </w:r>
    </w:p>
    <w:p>
      <w:pPr>
        <w:pStyle w:val="Heading2"/>
      </w:pPr>
      <w:bookmarkStart w:id="6220" w:name="_Toc5322"/>
      <w:r>
        <w:t>غزي عامري ، محمّد بن محمّد 904 -</w:t>
      </w:r>
      <w:bookmarkEnd w:id="6220"/>
    </w:p>
    <w:p>
      <w:pPr>
        <w:pStyle w:val="BookText"/>
      </w:pPr>
      <w:r>
        <w:rPr>
          <w:rFonts w:ascii="IRNazanin" w:hAnsi="IRNazanin" w:eastAsia="IRNazanin" w:cs="IRNazanin"/>
          <w:lang w:bidi="fa-IR"/>
          <w:color w:val="111111"/>
          <w:sz w:val="28"/>
          <w:szCs w:val="28"/>
          <w:rtl/>
        </w:rPr>
        <w:t xml:space="preserve">984 ه-</w:t>
      </w:r>
    </w:p>
    <w:p>
      <w:pPr>
        <w:pStyle w:val="BookText"/>
      </w:pPr>
      <w:r>
        <w:rPr>
          <w:rFonts w:ascii="Amiri" w:hAnsi="Amiri" w:eastAsia="Amiri" w:cs="Amiri"/>
          <w:lang w:bidi="ar-SA"/>
          <w:color w:val="111111"/>
          <w:sz w:val="28"/>
          <w:szCs w:val="28"/>
          <w:rtl/>
        </w:rPr>
        <w:t xml:space="preserve">نظم قلائد العقيان فيما يورث الفقر و النسيان، ج 16، ص 356 .</w:t>
      </w:r>
    </w:p>
    <w:p>
      <w:pPr>
        <w:pStyle w:val="Heading2"/>
      </w:pPr>
      <w:bookmarkStart w:id="6221" w:name="_Toc5323"/>
      <w:r>
        <w:t>غزي عامري ، محمّد بن محمّد 977 - 1061ه-</w:t>
      </w:r>
      <w:bookmarkEnd w:id="6221"/>
    </w:p>
    <w:p>
      <w:pPr>
        <w:pStyle w:val="BookText"/>
      </w:pPr>
      <w:r>
        <w:rPr>
          <w:rFonts w:ascii="Amiri" w:hAnsi="Amiri" w:eastAsia="Amiri" w:cs="Amiri"/>
          <w:lang w:bidi="ar-SA"/>
          <w:color w:val="111111"/>
          <w:sz w:val="28"/>
          <w:szCs w:val="28"/>
          <w:rtl/>
        </w:rPr>
        <w:t xml:space="preserve">نظم قلائد العقيان فيما يورث الفقر و</w:t>
      </w:r>
    </w:p>
    <w:p>
      <w:pPr>
        <w:pStyle w:val="BookText"/>
      </w:pPr>
      <w:r>
        <w:rPr>
          <w:rFonts w:ascii="Amiri" w:hAnsi="Amiri" w:eastAsia="Amiri" w:cs="Amiri"/>
          <w:lang w:bidi="ar-SA"/>
          <w:color w:val="111111"/>
          <w:sz w:val="28"/>
          <w:szCs w:val="28"/>
          <w:rtl/>
        </w:rPr>
        <w:t xml:space="preserve">النسيان، ج 16، ص 356.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26" w:name="pg7742_70923"/>
    <w:bookmarkEnd w:id="826"/>
    <w:p>
      <w:pPr>
        <w:pStyle w:val="BookText"/>
      </w:pPr>
      <w:r>
        <w:rPr>
          <w:rFonts w:ascii="Amiri" w:hAnsi="Amiri" w:eastAsia="Amiri" w:cs="Amiri"/>
          <w:lang w:bidi="ar-SA"/>
          <w:color w:val="111111"/>
          <w:sz w:val="28"/>
          <w:szCs w:val="28"/>
          <w:rtl/>
        </w:rPr>
        <w:t xml:space="preserve">غزي ، علي بن علي- ابن ابي العز ، علي بن علي</w:t>
      </w:r>
    </w:p>
    <w:p>
      <w:pPr>
        <w:pStyle w:val="Heading2"/>
      </w:pPr>
      <w:bookmarkStart w:id="6222" w:name="_Toc5324"/>
      <w:r>
        <w:t>غزي ، عيسى بن عثمان - 799 ه-</w:t>
      </w:r>
      <w:bookmarkEnd w:id="6222"/>
    </w:p>
    <w:p>
      <w:pPr>
        <w:pStyle w:val="BookText"/>
      </w:pPr>
      <w:r>
        <w:rPr>
          <w:rFonts w:ascii="Amiri" w:hAnsi="Amiri" w:eastAsia="Amiri" w:cs="Amiri"/>
          <w:lang w:bidi="ar-SA"/>
          <w:color w:val="111111"/>
          <w:sz w:val="28"/>
          <w:szCs w:val="28"/>
          <w:rtl/>
        </w:rPr>
        <w:t xml:space="preserve">1 .آداب القضاء في الفقه الشافعي</w:t>
      </w:r>
    </w:p>
    <w:p>
      <w:pPr>
        <w:pStyle w:val="BookText"/>
      </w:pPr>
      <w:r>
        <w:rPr>
          <w:rFonts w:ascii="IRNazanin" w:hAnsi="IRNazanin" w:eastAsia="IRNazanin" w:cs="IRNazanin"/>
          <w:lang w:bidi="fa-IR"/>
          <w:color w:val="111111"/>
          <w:sz w:val="28"/>
          <w:szCs w:val="28"/>
          <w:rtl/>
        </w:rPr>
        <w:t xml:space="preserve">ج 1، ص 48 .</w:t>
      </w:r>
    </w:p>
    <w:p>
      <w:pPr>
        <w:pStyle w:val="BookText"/>
      </w:pPr>
      <w:r>
        <w:rPr>
          <w:rFonts w:ascii="Amiri" w:hAnsi="Amiri" w:eastAsia="Amiri" w:cs="Amiri"/>
          <w:lang w:bidi="ar-SA"/>
          <w:color w:val="111111"/>
          <w:sz w:val="28"/>
          <w:szCs w:val="28"/>
          <w:rtl/>
        </w:rPr>
        <w:t xml:space="preserve">2.أدب الحكام في سلوك مناهج (طرق الأحكام، ج 1، ص 586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تحفة المحتاج إلى شرح المنهاج</w:t>
      </w:r>
    </w:p>
    <w:p>
      <w:pPr>
        <w:pStyle w:val="BookText"/>
      </w:pPr>
      <w:r>
        <w:rPr>
          <w:rFonts w:ascii="IRNazanin" w:hAnsi="IRNazanin" w:eastAsia="IRNazanin" w:cs="IRNazanin"/>
          <w:lang w:bidi="fa-IR"/>
          <w:color w:val="111111"/>
          <w:sz w:val="28"/>
          <w:szCs w:val="28"/>
          <w:rtl/>
        </w:rPr>
        <w:t xml:space="preserve">ج 4، ص 11.</w:t>
      </w:r>
    </w:p>
    <w:p>
      <w:pPr>
        <w:pStyle w:val="BookText"/>
      </w:pPr>
      <w:r>
        <w:rPr>
          <w:rFonts w:ascii="Amiri" w:hAnsi="Amiri" w:eastAsia="Amiri" w:cs="Amiri"/>
          <w:lang w:bidi="ar-SA"/>
          <w:color w:val="111111"/>
          <w:sz w:val="28"/>
          <w:szCs w:val="28"/>
          <w:rtl/>
        </w:rPr>
        <w:t xml:space="preserve">4 .معين الحكام على معرفة غوامض</w:t>
      </w:r>
    </w:p>
    <w:p>
      <w:pPr>
        <w:pStyle w:val="BookText"/>
      </w:pPr>
      <w:r>
        <w:rPr>
          <w:rFonts w:ascii="Amiri" w:hAnsi="Amiri" w:eastAsia="Amiri" w:cs="Amiri"/>
          <w:lang w:bidi="ar-SA"/>
          <w:color w:val="111111"/>
          <w:sz w:val="28"/>
          <w:szCs w:val="28"/>
          <w:rtl/>
        </w:rPr>
        <w:t xml:space="preserve">الاحكام، ج 15، ص 103.</w:t>
      </w:r>
    </w:p>
    <w:p>
      <w:pPr>
        <w:pStyle w:val="BookText"/>
      </w:pPr>
      <w:r>
        <w:rPr>
          <w:rFonts w:ascii="Amiri" w:hAnsi="Amiri" w:eastAsia="Amiri" w:cs="Amiri"/>
          <w:lang w:bidi="ar-SA"/>
          <w:color w:val="111111"/>
          <w:sz w:val="28"/>
          <w:szCs w:val="28"/>
          <w:rtl/>
        </w:rPr>
        <w:t xml:space="preserve">غزي كلبي، ابراهيم بن يحيى - كلبي</w:t>
      </w:r>
    </w:p>
    <w:p>
      <w:pPr>
        <w:pStyle w:val="BookText"/>
      </w:pPr>
      <w:r>
        <w:rPr>
          <w:rFonts w:ascii="Amiri" w:hAnsi="Amiri" w:eastAsia="Amiri" w:cs="Amiri"/>
          <w:lang w:bidi="ar-SA"/>
          <w:color w:val="111111"/>
          <w:sz w:val="28"/>
          <w:szCs w:val="28"/>
          <w:rtl/>
        </w:rPr>
        <w:t xml:space="preserve">ابراهيم بن يحيى</w:t>
      </w:r>
    </w:p>
    <w:p>
      <w:pPr>
        <w:pStyle w:val="Heading2"/>
      </w:pPr>
      <w:bookmarkStart w:id="6223" w:name="_Toc5325"/>
      <w:r>
        <w:t>غزي ، محمّد</w:t>
      </w:r>
      <w:bookmarkEnd w:id="6223"/>
    </w:p>
    <w:p>
      <w:pPr>
        <w:pStyle w:val="BookText"/>
      </w:pPr>
      <w:r>
        <w:rPr>
          <w:rFonts w:ascii="IRNazanin" w:hAnsi="IRNazanin" w:eastAsia="IRNazanin" w:cs="IRNazanin"/>
          <w:lang w:bidi="fa-IR"/>
          <w:color w:val="111111"/>
          <w:sz w:val="28"/>
          <w:szCs w:val="28"/>
          <w:rtl/>
        </w:rPr>
        <w:t xml:space="preserve">حزب السر المصون، ج 6، ص 630.</w:t>
      </w:r>
    </w:p>
    <w:p>
      <w:pPr>
        <w:pStyle w:val="Heading2"/>
      </w:pPr>
      <w:bookmarkStart w:id="6224" w:name="_Toc5326"/>
      <w:r>
        <w:t>غزي ، محمّد بشير بن محمّد هلال -</w:t>
      </w:r>
      <w:bookmarkEnd w:id="6224"/>
    </w:p>
    <w:p>
      <w:pPr>
        <w:pStyle w:val="BookText"/>
      </w:pPr>
      <w:r>
        <w:rPr>
          <w:rFonts w:ascii="IRNazanin" w:hAnsi="IRNazanin" w:eastAsia="IRNazanin" w:cs="IRNazanin"/>
          <w:lang w:bidi="fa-IR"/>
          <w:color w:val="111111"/>
          <w:sz w:val="28"/>
          <w:szCs w:val="28"/>
          <w:rtl/>
        </w:rPr>
        <w:t xml:space="preserve">1339 ه-</w:t>
      </w:r>
    </w:p>
    <w:p>
      <w:pPr>
        <w:pStyle w:val="BookText"/>
      </w:pPr>
      <w:r>
        <w:rPr>
          <w:rFonts w:ascii="Amiri" w:hAnsi="Amiri" w:eastAsia="Amiri" w:cs="Amiri"/>
          <w:lang w:bidi="ar-SA"/>
          <w:color w:val="111111"/>
          <w:sz w:val="28"/>
          <w:szCs w:val="28"/>
          <w:rtl/>
        </w:rPr>
        <w:t xml:space="preserve">التعليقات الوفية على متن الجزرية</w:t>
      </w:r>
    </w:p>
    <w:p>
      <w:pPr>
        <w:pStyle w:val="BookText"/>
      </w:pPr>
      <w:r>
        <w:rPr>
          <w:rFonts w:ascii="IRNazanin" w:hAnsi="IRNazanin" w:eastAsia="IRNazanin" w:cs="IRNazanin"/>
          <w:lang w:bidi="fa-IR"/>
          <w:color w:val="111111"/>
          <w:sz w:val="28"/>
          <w:szCs w:val="28"/>
          <w:rtl/>
        </w:rPr>
        <w:t xml:space="preserve">ج 4، ص 508.</w:t>
      </w:r>
    </w:p>
    <w:p>
      <w:pPr>
        <w:pStyle w:val="Heading2"/>
      </w:pPr>
      <w:bookmarkStart w:id="6225" w:name="_Toc5327"/>
      <w:r>
        <w:t>غزي ، محمّد بن رمضان قرن 10 ه-</w:t>
      </w:r>
      <w:bookmarkEnd w:id="6225"/>
    </w:p>
    <w:p>
      <w:pPr>
        <w:pStyle w:val="BookText"/>
      </w:pPr>
      <w:r>
        <w:rPr>
          <w:rFonts w:ascii="Amiri" w:hAnsi="Amiri" w:eastAsia="Amiri" w:cs="Amiri"/>
          <w:lang w:bidi="ar-SA"/>
          <w:color w:val="111111"/>
          <w:sz w:val="28"/>
          <w:szCs w:val="28"/>
          <w:rtl/>
        </w:rPr>
        <w:t xml:space="preserve">مسلاة الحزن والتذكرة عند مصائب</w:t>
      </w:r>
    </w:p>
    <w:p>
      <w:pPr>
        <w:pStyle w:val="BookText"/>
      </w:pPr>
      <w:r>
        <w:rPr>
          <w:rFonts w:ascii="IRNazanin" w:hAnsi="IRNazanin" w:eastAsia="IRNazanin" w:cs="IRNazanin"/>
          <w:lang w:bidi="fa-IR"/>
          <w:color w:val="111111"/>
          <w:sz w:val="28"/>
          <w:szCs w:val="28"/>
          <w:rtl/>
        </w:rPr>
        <w:t xml:space="preserve">الزمن، ج 14، ص 578.</w:t>
      </w:r>
    </w:p>
    <w:p>
      <w:pPr>
        <w:pStyle w:val="BookText"/>
      </w:pPr>
      <w:r>
        <w:rPr>
          <w:rFonts w:ascii="Amiri" w:hAnsi="Amiri" w:eastAsia="Amiri" w:cs="Amiri"/>
          <w:lang w:bidi="ar-SA"/>
          <w:color w:val="111111"/>
          <w:sz w:val="28"/>
          <w:szCs w:val="28"/>
          <w:rtl/>
        </w:rPr>
        <w:t xml:space="preserve">غزي ، محمّد بن عبد الله - تمرتاشي ، محمّد</w:t>
      </w:r>
    </w:p>
    <w:p>
      <w:pPr>
        <w:pStyle w:val="BookText"/>
      </w:pPr>
      <w:r>
        <w:rPr>
          <w:rFonts w:ascii="IRNazanin" w:hAnsi="IRNazanin" w:eastAsia="IRNazanin" w:cs="IRNazanin"/>
          <w:lang w:bidi="fa-IR"/>
          <w:color w:val="111111"/>
          <w:sz w:val="28"/>
          <w:szCs w:val="28"/>
          <w:rtl/>
        </w:rPr>
        <w:t xml:space="preserve">بن عبدالله</w:t>
      </w:r>
    </w:p>
    <w:p>
      <w:pPr>
        <w:pStyle w:val="Heading2"/>
      </w:pPr>
      <w:bookmarkStart w:id="6226" w:name="_Toc5328"/>
      <w:r>
        <w:t>غزي ، محمّد بن عبد النبي</w:t>
      </w:r>
      <w:bookmarkEnd w:id="6226"/>
    </w:p>
    <w:p>
      <w:pPr>
        <w:pStyle w:val="BookText"/>
      </w:pPr>
      <w:r>
        <w:rPr>
          <w:rFonts w:ascii="Amiri" w:hAnsi="Amiri" w:eastAsia="Amiri" w:cs="Amiri"/>
          <w:lang w:bidi="ar-SA"/>
          <w:color w:val="111111"/>
          <w:sz w:val="28"/>
          <w:szCs w:val="28"/>
          <w:rtl/>
        </w:rPr>
        <w:t xml:space="preserve">حاشية على تفسير ابي السعود في قوله</w:t>
      </w:r>
    </w:p>
    <w:p>
      <w:pPr>
        <w:pStyle w:val="BookText"/>
      </w:pPr>
      <w:r>
        <w:rPr>
          <w:rFonts w:ascii="Amiri" w:hAnsi="Amiri" w:eastAsia="Amiri" w:cs="Amiri"/>
          <w:lang w:bidi="ar-SA"/>
          <w:color w:val="111111"/>
          <w:sz w:val="28"/>
          <w:szCs w:val="28"/>
          <w:rtl/>
        </w:rPr>
        <w:t xml:space="preserve">تعالى و ان احد من المشركين استجارك فأجره حتي يسمع كلام الله»</w:t>
      </w:r>
    </w:p>
    <w:p>
      <w:pPr>
        <w:pStyle w:val="BookText"/>
      </w:pPr>
      <w:r>
        <w:rPr>
          <w:rFonts w:ascii="IRNazanin" w:hAnsi="IRNazanin" w:eastAsia="IRNazanin" w:cs="IRNazanin"/>
          <w:lang w:bidi="fa-IR"/>
          <w:color w:val="111111"/>
          <w:sz w:val="28"/>
          <w:szCs w:val="28"/>
          <w:rtl/>
        </w:rPr>
        <w:t xml:space="preserve">ج 6، ص 236.</w:t>
      </w:r>
    </w:p>
    <w:p>
      <w:pPr>
        <w:pStyle w:val="BookText"/>
      </w:pPr>
      <w:r>
        <w:rPr>
          <w:rFonts w:ascii="Amiri" w:hAnsi="Amiri" w:eastAsia="Amiri" w:cs="Amiri"/>
          <w:lang w:bidi="ar-SA"/>
          <w:color w:val="111111"/>
          <w:sz w:val="28"/>
          <w:szCs w:val="28"/>
          <w:rtl/>
        </w:rPr>
        <w:t xml:space="preserve">غزي ، محمّد بن قاسم- ابن قاسم غزي ،</w:t>
      </w:r>
    </w:p>
    <w:p>
      <w:pPr>
        <w:pStyle w:val="BookText"/>
      </w:pPr>
      <w:r>
        <w:rPr>
          <w:rFonts w:ascii="IRNazanin" w:hAnsi="IRNazanin" w:eastAsia="IRNazanin" w:cs="IRNazanin"/>
          <w:lang w:bidi="fa-IR"/>
          <w:color w:val="111111"/>
          <w:sz w:val="28"/>
          <w:szCs w:val="28"/>
          <w:rtl/>
        </w:rPr>
        <w:t xml:space="preserve">محمّد بن قاسم</w:t>
      </w:r>
    </w:p>
    <w:p>
      <w:pPr>
        <w:pStyle w:val="BookText"/>
      </w:pPr>
      <w:r>
        <w:rPr>
          <w:rFonts w:ascii="Amiri" w:hAnsi="Amiri" w:eastAsia="Amiri" w:cs="Amiri"/>
          <w:lang w:bidi="ar-SA"/>
          <w:color w:val="111111"/>
          <w:sz w:val="28"/>
          <w:szCs w:val="28"/>
          <w:rtl/>
        </w:rPr>
        <w:t xml:space="preserve">غزي ، محمود بن علي- بقاعي ، محمود</w:t>
      </w:r>
    </w:p>
    <w:p>
      <w:pPr>
        <w:pStyle w:val="BookText"/>
      </w:pPr>
      <w:r>
        <w:rPr>
          <w:rFonts w:ascii="Amiri" w:hAnsi="Amiri" w:eastAsia="Amiri" w:cs="Amiri"/>
          <w:lang w:bidi="ar-SA"/>
          <w:color w:val="111111"/>
          <w:sz w:val="28"/>
          <w:szCs w:val="28"/>
          <w:rtl/>
        </w:rPr>
        <w:t xml:space="preserve">بن علي</w:t>
      </w:r>
    </w:p>
    <w:p>
      <w:pPr>
        <w:pStyle w:val="BookText"/>
      </w:pPr>
      <w:r>
        <w:rPr>
          <w:rFonts w:ascii="Amiri" w:hAnsi="Amiri" w:eastAsia="Amiri" w:cs="Amiri"/>
          <w:lang w:bidi="ar-SA"/>
          <w:color w:val="111111"/>
          <w:sz w:val="28"/>
          <w:szCs w:val="28"/>
          <w:rtl/>
        </w:rPr>
        <w:t xml:space="preserve">غساني ، ابوالفتح عمر بن يوسف- اشرف الرسولي ، عمر بن يوسف</w:t>
      </w:r>
    </w:p>
    <w:p>
      <w:pPr>
        <w:pStyle w:val="BookText"/>
      </w:pPr>
      <w:r>
        <w:rPr>
          <w:rFonts w:ascii="Amiri" w:hAnsi="Amiri" w:eastAsia="Amiri" w:cs="Amiri"/>
          <w:lang w:bidi="ar-SA"/>
          <w:color w:val="111111"/>
          <w:sz w:val="28"/>
          <w:szCs w:val="28"/>
          <w:rtl/>
        </w:rPr>
        <w:t xml:space="preserve">غساني ، احمد بن علي -ابن زبير ، احمد</w:t>
      </w:r>
    </w:p>
    <w:p>
      <w:pPr>
        <w:pStyle w:val="BookText"/>
      </w:pPr>
      <w:r>
        <w:rPr>
          <w:rFonts w:ascii="Amiri" w:hAnsi="Amiri" w:eastAsia="Amiri" w:cs="Amiri"/>
          <w:lang w:bidi="ar-SA"/>
          <w:color w:val="111111"/>
          <w:sz w:val="28"/>
          <w:szCs w:val="28"/>
          <w:rtl/>
        </w:rPr>
        <w:t xml:space="preserve">بن علي</w:t>
      </w:r>
    </w:p>
    <w:p>
      <w:pPr>
        <w:pStyle w:val="Heading2"/>
      </w:pPr>
      <w:bookmarkStart w:id="6227" w:name="_Toc5329"/>
      <w:r>
        <w:t>غساني، اسماعيل بن عباس 761-803ه-</w:t>
      </w:r>
      <w:bookmarkEnd w:id="6227"/>
    </w:p>
    <w:p>
      <w:pPr>
        <w:pStyle w:val="BookText"/>
      </w:pPr>
      <w:r>
        <w:rPr>
          <w:rFonts w:ascii="Amiri" w:hAnsi="Amiri" w:eastAsia="Amiri" w:cs="Amiri"/>
          <w:lang w:bidi="ar-SA"/>
          <w:color w:val="111111"/>
          <w:sz w:val="28"/>
          <w:szCs w:val="28"/>
          <w:rtl/>
        </w:rPr>
        <w:t xml:space="preserve">العسجد المسبوك و الجوهر المحكوك</w:t>
      </w:r>
    </w:p>
    <w:p>
      <w:pPr>
        <w:pStyle w:val="BookText"/>
      </w:pPr>
      <w:r>
        <w:rPr>
          <w:rFonts w:ascii="Amiri" w:hAnsi="Amiri" w:eastAsia="Amiri" w:cs="Amiri"/>
          <w:lang w:bidi="ar-SA"/>
          <w:color w:val="111111"/>
          <w:sz w:val="28"/>
          <w:szCs w:val="28"/>
          <w:rtl/>
        </w:rPr>
        <w:t xml:space="preserve">في طبقات الخلفاء و الملوك، ج11،</w:t>
      </w:r>
    </w:p>
    <w:p>
      <w:pPr>
        <w:pStyle w:val="BookText"/>
      </w:pPr>
      <w:r>
        <w:rPr>
          <w:rFonts w:ascii="IRNazanin" w:hAnsi="IRNazanin" w:eastAsia="IRNazanin" w:cs="IRNazanin"/>
          <w:lang w:bidi="fa-IR"/>
          <w:color w:val="111111"/>
          <w:sz w:val="28"/>
          <w:szCs w:val="28"/>
          <w:rtl/>
        </w:rPr>
        <w:t xml:space="preserve">ص 115 .</w:t>
      </w:r>
    </w:p>
    <w:p>
      <w:pPr>
        <w:pStyle w:val="Heading2"/>
      </w:pPr>
      <w:bookmarkStart w:id="6228" w:name="_Toc5330"/>
      <w:r>
        <w:t>غساني ، امير عبد القادر بن ابراهيم</w:t>
      </w:r>
      <w:bookmarkEnd w:id="6228"/>
    </w:p>
    <w:p>
      <w:pPr>
        <w:pStyle w:val="BookText"/>
      </w:pPr>
      <w:r>
        <w:rPr>
          <w:rFonts w:ascii="IRNazanin" w:hAnsi="IRNazanin" w:eastAsia="IRNazanin" w:cs="IRNazanin"/>
          <w:lang w:bidi="fa-IR"/>
          <w:color w:val="111111"/>
          <w:sz w:val="28"/>
          <w:szCs w:val="28"/>
          <w:rtl/>
        </w:rPr>
        <w:t xml:space="preserve">المختار من مطلع الانوار، ج 14،</w:t>
      </w:r>
    </w:p>
    <w:p>
      <w:pPr>
        <w:pStyle w:val="BookText"/>
      </w:pPr>
      <w:r>
        <w:rPr>
          <w:rFonts w:ascii="IRNazanin" w:hAnsi="IRNazanin" w:eastAsia="IRNazanin" w:cs="IRNazanin"/>
          <w:lang w:bidi="fa-IR"/>
          <w:color w:val="111111"/>
          <w:sz w:val="28"/>
          <w:szCs w:val="28"/>
          <w:rtl/>
        </w:rPr>
        <w:t xml:space="preserve">ص 165.</w:t>
      </w:r>
    </w:p>
    <w:p>
      <w:pPr>
        <w:pStyle w:val="BookText"/>
      </w:pPr>
      <w:r>
        <w:rPr>
          <w:rFonts w:ascii="Amiri" w:hAnsi="Amiri" w:eastAsia="Amiri" w:cs="Amiri"/>
          <w:lang w:bidi="ar-SA"/>
          <w:color w:val="111111"/>
          <w:sz w:val="28"/>
          <w:szCs w:val="28"/>
          <w:rtl/>
        </w:rPr>
        <w:t xml:space="preserve">غساني ، حسن بن اسماعيل -ضراب</w:t>
      </w:r>
    </w:p>
    <w:p>
      <w:pPr>
        <w:pStyle w:val="BookText"/>
      </w:pPr>
      <w:r>
        <w:rPr>
          <w:rFonts w:ascii="IRNazanin" w:hAnsi="IRNazanin" w:eastAsia="IRNazanin" w:cs="IRNazanin"/>
          <w:lang w:bidi="fa-IR"/>
          <w:color w:val="111111"/>
          <w:sz w:val="28"/>
          <w:szCs w:val="28"/>
          <w:rtl/>
        </w:rPr>
        <w:t xml:space="preserve">حسن بن اسماعیل</w:t>
      </w:r>
    </w:p>
    <w:p>
      <w:pPr>
        <w:pStyle w:val="BookText"/>
      </w:pPr>
      <w:r>
        <w:rPr>
          <w:rFonts w:ascii="Amiri" w:hAnsi="Amiri" w:eastAsia="Amiri" w:cs="Amiri"/>
          <w:lang w:bidi="ar-SA"/>
          <w:color w:val="111111"/>
          <w:sz w:val="28"/>
          <w:szCs w:val="28"/>
          <w:rtl/>
        </w:rPr>
        <w:t xml:space="preserve">غساني ، حسين بن محمّد -جياني ، حسين</w:t>
      </w:r>
    </w:p>
    <w:p>
      <w:pPr>
        <w:pStyle w:val="BookText"/>
      </w:pPr>
      <w:r>
        <w:rPr>
          <w:rFonts w:ascii="Amiri" w:hAnsi="Amiri" w:eastAsia="Amiri" w:cs="Amiri"/>
          <w:lang w:bidi="ar-SA"/>
          <w:color w:val="111111"/>
          <w:sz w:val="28"/>
          <w:szCs w:val="28"/>
          <w:rtl/>
        </w:rPr>
        <w:t xml:space="preserve">بن محمّد</w:t>
      </w:r>
    </w:p>
    <w:p>
      <w:pPr>
        <w:pStyle w:val="Heading2"/>
      </w:pPr>
      <w:bookmarkStart w:id="6229" w:name="_Toc5331"/>
      <w:r>
        <w:t>غساني ، عباس بن علي - 778 ه-</w:t>
      </w:r>
      <w:bookmarkEnd w:id="6229"/>
    </w:p>
    <w:p>
      <w:pPr>
        <w:pStyle w:val="BookText"/>
      </w:pPr>
      <w:r>
        <w:rPr>
          <w:rFonts w:ascii="Amiri" w:hAnsi="Amiri" w:eastAsia="Amiri" w:cs="Amiri"/>
          <w:lang w:bidi="ar-SA"/>
          <w:color w:val="111111"/>
          <w:sz w:val="28"/>
          <w:szCs w:val="28"/>
          <w:rtl/>
        </w:rPr>
        <w:t xml:space="preserve">دلائل الفضل في علم الرمل، ج 7،</w:t>
      </w:r>
    </w:p>
    <w:p>
      <w:pPr>
        <w:pStyle w:val="BookText"/>
      </w:pPr>
      <w:r>
        <w:rPr>
          <w:rFonts w:ascii="IRNazanin" w:hAnsi="IRNazanin" w:eastAsia="IRNazanin" w:cs="IRNazanin"/>
          <w:lang w:bidi="fa-IR"/>
          <w:color w:val="111111"/>
          <w:sz w:val="28"/>
          <w:szCs w:val="28"/>
          <w:rtl/>
        </w:rPr>
        <w:t xml:space="preserve">ص 459 .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27" w:name="pg7742_70925"/>
    <w:bookmarkEnd w:id="827"/>
    <w:p>
      <w:pPr>
        <w:pStyle w:val="BookText"/>
      </w:pPr>
      <w:r>
        <w:rPr>
          <w:rFonts w:ascii="Amiri" w:hAnsi="Amiri" w:eastAsia="Amiri" w:cs="Amiri"/>
          <w:lang w:bidi="ar-SA"/>
          <w:color w:val="111111"/>
          <w:sz w:val="28"/>
          <w:szCs w:val="28"/>
          <w:rtl/>
        </w:rPr>
        <w:t xml:space="preserve">غساني ، عبد المنعم بن عمر -جلياني ،</w:t>
      </w:r>
    </w:p>
    <w:p>
      <w:pPr>
        <w:pStyle w:val="BookText"/>
      </w:pPr>
      <w:r>
        <w:rPr>
          <w:rFonts w:ascii="IRNazanin" w:hAnsi="IRNazanin" w:eastAsia="IRNazanin" w:cs="IRNazanin"/>
          <w:lang w:bidi="fa-IR"/>
          <w:color w:val="111111"/>
          <w:sz w:val="28"/>
          <w:szCs w:val="28"/>
          <w:rtl/>
        </w:rPr>
        <w:t xml:space="preserve">عبدالمنعم بن عمر</w:t>
      </w:r>
    </w:p>
    <w:p>
      <w:pPr>
        <w:pStyle w:val="BookText"/>
      </w:pPr>
      <w:r>
        <w:rPr>
          <w:rFonts w:ascii="Amiri" w:hAnsi="Amiri" w:eastAsia="Amiri" w:cs="Amiri"/>
          <w:lang w:bidi="ar-SA"/>
          <w:color w:val="111111"/>
          <w:sz w:val="28"/>
          <w:szCs w:val="28"/>
          <w:rtl/>
        </w:rPr>
        <w:t xml:space="preserve">غساني ، عمر بن يوسف -اشرف الرسولي عمر بن يوسف</w:t>
      </w:r>
    </w:p>
    <w:p>
      <w:pPr>
        <w:pStyle w:val="Heading2"/>
      </w:pPr>
      <w:bookmarkStart w:id="6230" w:name="_Toc5332"/>
      <w:r>
        <w:t>غساني ، محمّد بن احمد - 385 ه-</w:t>
      </w:r>
      <w:bookmarkEnd w:id="6230"/>
    </w:p>
    <w:p>
      <w:pPr>
        <w:pStyle w:val="BookText"/>
      </w:pPr>
      <w:r>
        <w:rPr>
          <w:rFonts w:ascii="Amiri" w:hAnsi="Amiri" w:eastAsia="Amiri" w:cs="Amiri"/>
          <w:lang w:bidi="ar-SA"/>
          <w:color w:val="111111"/>
          <w:sz w:val="28"/>
          <w:szCs w:val="28"/>
          <w:rtl/>
        </w:rPr>
        <w:t xml:space="preserve">ديوان الواواء الدمشقي، ج 7، ص 796.</w:t>
      </w:r>
    </w:p>
    <w:p>
      <w:pPr>
        <w:pStyle w:val="BookText"/>
      </w:pPr>
      <w:r>
        <w:rPr>
          <w:rFonts w:ascii="Amiri" w:hAnsi="Amiri" w:eastAsia="Amiri" w:cs="Amiri"/>
          <w:lang w:bidi="ar-SA"/>
          <w:color w:val="111111"/>
          <w:sz w:val="28"/>
          <w:szCs w:val="28"/>
          <w:rtl/>
        </w:rPr>
        <w:t xml:space="preserve">غساني ، محمّد بن علي- ابن عسكر</w:t>
      </w:r>
    </w:p>
    <w:p>
      <w:pPr>
        <w:pStyle w:val="BookText"/>
      </w:pPr>
      <w:r>
        <w:rPr>
          <w:rFonts w:ascii="Amiri" w:hAnsi="Amiri" w:eastAsia="Amiri" w:cs="Amiri"/>
          <w:lang w:bidi="ar-SA"/>
          <w:color w:val="111111"/>
          <w:sz w:val="28"/>
          <w:szCs w:val="28"/>
          <w:rtl/>
        </w:rPr>
        <w:t xml:space="preserve">محمّد بن علي</w:t>
      </w:r>
    </w:p>
    <w:p>
      <w:pPr>
        <w:pStyle w:val="BookText"/>
      </w:pPr>
      <w:r>
        <w:rPr>
          <w:rFonts w:ascii="Amiri" w:hAnsi="Amiri" w:eastAsia="Amiri" w:cs="Amiri"/>
          <w:lang w:bidi="ar-SA"/>
          <w:color w:val="111111"/>
          <w:sz w:val="28"/>
          <w:szCs w:val="28"/>
          <w:rtl/>
        </w:rPr>
        <w:t xml:space="preserve">غساني ، محمّد بن محمّد- ابن حاج</w:t>
      </w:r>
    </w:p>
    <w:p>
      <w:pPr>
        <w:pStyle w:val="BookText"/>
      </w:pPr>
      <w:r>
        <w:rPr>
          <w:rFonts w:ascii="Amiri" w:hAnsi="Amiri" w:eastAsia="Amiri" w:cs="Amiri"/>
          <w:lang w:bidi="ar-SA"/>
          <w:color w:val="111111"/>
          <w:sz w:val="28"/>
          <w:szCs w:val="28"/>
          <w:rtl/>
        </w:rPr>
        <w:t xml:space="preserve">عبدري</w:t>
      </w:r>
    </w:p>
    <w:p>
      <w:pPr>
        <w:pStyle w:val="BookText"/>
      </w:pPr>
      <w:r>
        <w:rPr>
          <w:rFonts w:ascii="Amiri" w:hAnsi="Amiri" w:eastAsia="Amiri" w:cs="Amiri"/>
          <w:lang w:bidi="ar-SA"/>
          <w:color w:val="111111"/>
          <w:sz w:val="28"/>
          <w:szCs w:val="28"/>
          <w:rtl/>
        </w:rPr>
        <w:t xml:space="preserve">غساني ، يحيى بن حميده- ابن ابي طي</w:t>
      </w:r>
    </w:p>
    <w:p>
      <w:pPr>
        <w:pStyle w:val="BookText"/>
      </w:pPr>
      <w:r>
        <w:rPr>
          <w:rFonts w:ascii="IRNazanin" w:hAnsi="IRNazanin" w:eastAsia="IRNazanin" w:cs="IRNazanin"/>
          <w:lang w:bidi="fa-IR"/>
          <w:color w:val="111111"/>
          <w:sz w:val="28"/>
          <w:szCs w:val="28"/>
          <w:rtl/>
        </w:rPr>
        <w:t xml:space="preserve">، محمد بن محمّد</w:t>
      </w:r>
    </w:p>
    <w:p>
      <w:pPr>
        <w:pStyle w:val="BookText"/>
      </w:pPr>
      <w:r>
        <w:rPr>
          <w:rFonts w:ascii="Amiri" w:hAnsi="Amiri" w:eastAsia="Amiri" w:cs="Amiri"/>
          <w:lang w:bidi="ar-SA"/>
          <w:color w:val="111111"/>
          <w:sz w:val="28"/>
          <w:szCs w:val="28"/>
          <w:rtl/>
        </w:rPr>
        <w:t xml:space="preserve">يحيى بن حميده</w:t>
      </w:r>
    </w:p>
    <w:p>
      <w:pPr>
        <w:pStyle w:val="BookText"/>
      </w:pPr>
      <w:r>
        <w:rPr>
          <w:rFonts w:ascii="Amiri" w:hAnsi="Amiri" w:eastAsia="Amiri" w:cs="Amiri"/>
          <w:lang w:bidi="ar-SA"/>
          <w:color w:val="111111"/>
          <w:sz w:val="28"/>
          <w:szCs w:val="28"/>
          <w:rtl/>
        </w:rPr>
        <w:t xml:space="preserve">غساني ، يوسف بن عمر -رسولي ، يوسف</w:t>
      </w:r>
    </w:p>
    <w:p>
      <w:pPr>
        <w:pStyle w:val="BookText"/>
      </w:pPr>
      <w:r>
        <w:rPr>
          <w:rFonts w:ascii="IRNazanin" w:hAnsi="IRNazanin" w:eastAsia="IRNazanin" w:cs="IRNazanin"/>
          <w:lang w:bidi="fa-IR"/>
          <w:color w:val="111111"/>
          <w:sz w:val="28"/>
          <w:szCs w:val="28"/>
          <w:rtl/>
        </w:rPr>
        <w:t xml:space="preserve">بن عمر</w:t>
      </w:r>
    </w:p>
    <w:p>
      <w:pPr>
        <w:pStyle w:val="BookText"/>
      </w:pPr>
      <w:r>
        <w:rPr>
          <w:rFonts w:ascii="Amiri" w:hAnsi="Amiri" w:eastAsia="Amiri" w:cs="Amiri"/>
          <w:lang w:bidi="ar-SA"/>
          <w:color w:val="111111"/>
          <w:sz w:val="28"/>
          <w:szCs w:val="28"/>
          <w:rtl/>
        </w:rPr>
        <w:t xml:space="preserve">غضائري ، احمد بن حسين- ابن غضائري ،</w:t>
      </w:r>
    </w:p>
    <w:p>
      <w:pPr>
        <w:pStyle w:val="BookText"/>
      </w:pPr>
      <w:r>
        <w:rPr>
          <w:rFonts w:ascii="Amiri" w:hAnsi="Amiri" w:eastAsia="Amiri" w:cs="Amiri"/>
          <w:lang w:bidi="ar-SA"/>
          <w:color w:val="111111"/>
          <w:sz w:val="28"/>
          <w:szCs w:val="28"/>
          <w:rtl/>
        </w:rPr>
        <w:t xml:space="preserve">احمد بن حسين</w:t>
      </w:r>
    </w:p>
    <w:p>
      <w:pPr>
        <w:pStyle w:val="Heading2"/>
      </w:pPr>
      <w:bookmarkStart w:id="6231" w:name="_Toc5333"/>
      <w:r>
        <w:t>غضائري، حسين بن عبيدالله - 411 ه-</w:t>
      </w:r>
      <w:bookmarkEnd w:id="6231"/>
    </w:p>
    <w:p>
      <w:pPr>
        <w:pStyle w:val="BookText"/>
      </w:pPr>
      <w:r>
        <w:rPr>
          <w:rFonts w:ascii="Amiri" w:hAnsi="Amiri" w:eastAsia="Amiri" w:cs="Amiri"/>
          <w:lang w:bidi="ar-SA"/>
          <w:color w:val="111111"/>
          <w:sz w:val="28"/>
          <w:szCs w:val="28"/>
          <w:rtl/>
        </w:rPr>
        <w:t xml:space="preserve">كتاب الضعفاء، ج 13، ص 107.</w:t>
      </w:r>
    </w:p>
    <w:p>
      <w:pPr>
        <w:pStyle w:val="Heading2"/>
      </w:pPr>
      <w:bookmarkStart w:id="6232" w:name="_Toc5334"/>
      <w:r>
        <w:t>غضنفر تبريزي ، ابراهيم بن محمّد 624 -</w:t>
      </w:r>
      <w:bookmarkEnd w:id="6232"/>
    </w:p>
    <w:p>
      <w:pPr>
        <w:pStyle w:val="BookText"/>
      </w:pPr>
      <w:r>
        <w:rPr>
          <w:rFonts w:ascii="IRNazanin" w:hAnsi="IRNazanin" w:eastAsia="IRNazanin" w:cs="IRNazanin"/>
          <w:lang w:bidi="fa-IR"/>
          <w:color w:val="111111"/>
          <w:sz w:val="28"/>
          <w:szCs w:val="28"/>
          <w:rtl/>
        </w:rPr>
        <w:t xml:space="preserve">692 ه-</w:t>
      </w:r>
    </w:p>
    <w:p>
      <w:pPr>
        <w:pStyle w:val="BookText"/>
      </w:pPr>
      <w:r>
        <w:rPr>
          <w:rFonts w:ascii="Amiri" w:hAnsi="Amiri" w:eastAsia="Amiri" w:cs="Amiri"/>
          <w:lang w:bidi="ar-SA"/>
          <w:color w:val="111111"/>
          <w:sz w:val="28"/>
          <w:szCs w:val="28"/>
          <w:rtl/>
        </w:rPr>
        <w:t xml:space="preserve">حاصل المسائل = مختصر مسائل حنين</w:t>
      </w:r>
    </w:p>
    <w:p>
      <w:pPr>
        <w:pStyle w:val="BookText"/>
      </w:pPr>
      <w:r>
        <w:rPr>
          <w:rFonts w:ascii="IRNazanin" w:hAnsi="IRNazanin" w:eastAsia="IRNazanin" w:cs="IRNazanin"/>
          <w:lang w:bidi="fa-IR"/>
          <w:color w:val="111111"/>
          <w:sz w:val="28"/>
          <w:szCs w:val="28"/>
          <w:rtl/>
        </w:rPr>
        <w:t xml:space="preserve">بن إسحاق، ج 6، ص 454.</w:t>
      </w:r>
    </w:p>
    <w:p>
      <w:pPr>
        <w:pStyle w:val="Heading2"/>
      </w:pPr>
      <w:bookmarkStart w:id="6233" w:name="_Toc5335"/>
      <w:r>
        <w:t>غطريفي ، محمد بن احمد - 377 ه-</w:t>
      </w:r>
      <w:bookmarkEnd w:id="6233"/>
    </w:p>
    <w:p>
      <w:pPr>
        <w:pStyle w:val="BookText"/>
      </w:pPr>
      <w:r>
        <w:rPr>
          <w:rFonts w:ascii="Amiri" w:hAnsi="Amiri" w:eastAsia="Amiri" w:cs="Amiri"/>
          <w:lang w:bidi="ar-SA"/>
          <w:color w:val="111111"/>
          <w:sz w:val="28"/>
          <w:szCs w:val="28"/>
          <w:rtl/>
        </w:rPr>
        <w:t xml:space="preserve">حديث الغطريفي، ج 6 ، ص 571.</w:t>
      </w:r>
    </w:p>
    <w:p>
      <w:pPr>
        <w:pStyle w:val="BookText"/>
      </w:pPr>
      <w:r>
        <w:rPr>
          <w:rFonts w:ascii="Amiri" w:hAnsi="Amiri" w:eastAsia="Amiri" w:cs="Amiri"/>
          <w:lang w:bidi="ar-SA"/>
          <w:color w:val="111111"/>
          <w:sz w:val="28"/>
          <w:szCs w:val="28"/>
          <w:rtl/>
        </w:rPr>
        <w:t xml:space="preserve">غطفاني ، زياد بن معاويه ذبياني -نابغه</w:t>
      </w:r>
    </w:p>
    <w:p>
      <w:pPr>
        <w:pStyle w:val="BookText"/>
      </w:pPr>
      <w:r>
        <w:rPr>
          <w:rFonts w:ascii="Amiri" w:hAnsi="Amiri" w:eastAsia="Amiri" w:cs="Amiri"/>
          <w:lang w:bidi="ar-SA"/>
          <w:color w:val="111111"/>
          <w:sz w:val="28"/>
          <w:szCs w:val="28"/>
          <w:rtl/>
        </w:rPr>
        <w:t xml:space="preserve">ذبياني ، زياد بن معاويه</w:t>
      </w:r>
    </w:p>
    <w:p>
      <w:pPr>
        <w:pStyle w:val="BookText"/>
      </w:pPr>
      <w:r>
        <w:rPr>
          <w:rFonts w:ascii="Amiri" w:hAnsi="Amiri" w:eastAsia="Amiri" w:cs="Amiri"/>
          <w:lang w:bidi="ar-SA"/>
          <w:color w:val="111111"/>
          <w:sz w:val="28"/>
          <w:szCs w:val="28"/>
          <w:rtl/>
        </w:rPr>
        <w:t xml:space="preserve">غطفاني ، يحيى بن معين- ابن معين</w:t>
      </w:r>
    </w:p>
    <w:p>
      <w:pPr>
        <w:pStyle w:val="BookText"/>
      </w:pPr>
      <w:r>
        <w:rPr>
          <w:rFonts w:ascii="Amiri" w:hAnsi="Amiri" w:eastAsia="Amiri" w:cs="Amiri"/>
          <w:lang w:bidi="ar-SA"/>
          <w:color w:val="111111"/>
          <w:sz w:val="28"/>
          <w:szCs w:val="28"/>
          <w:rtl/>
        </w:rPr>
        <w:t xml:space="preserve">يحيى بن معين</w:t>
      </w:r>
    </w:p>
    <w:p>
      <w:pPr>
        <w:pStyle w:val="BookText"/>
      </w:pPr>
      <w:r>
        <w:rPr>
          <w:rFonts w:ascii="Amiri" w:hAnsi="Amiri" w:eastAsia="Amiri" w:cs="Amiri"/>
          <w:lang w:bidi="ar-SA"/>
          <w:color w:val="111111"/>
          <w:sz w:val="28"/>
          <w:szCs w:val="28"/>
          <w:rtl/>
        </w:rPr>
        <w:t xml:space="preserve">غفار زاده ، يوسف بن عبدالله -نابي</w:t>
      </w:r>
    </w:p>
    <w:p>
      <w:pPr>
        <w:pStyle w:val="BookText"/>
      </w:pPr>
      <w:r>
        <w:rPr>
          <w:rFonts w:ascii="Amiri" w:hAnsi="Amiri" w:eastAsia="Amiri" w:cs="Amiri"/>
          <w:lang w:bidi="ar-SA"/>
          <w:color w:val="111111"/>
          <w:sz w:val="28"/>
          <w:szCs w:val="28"/>
          <w:rtl/>
        </w:rPr>
        <w:t xml:space="preserve">رهاوي ، يوسف بن عبدالله</w:t>
      </w:r>
    </w:p>
    <w:p>
      <w:pPr>
        <w:pStyle w:val="Heading2"/>
      </w:pPr>
      <w:bookmarkStart w:id="6234" w:name="_Toc5336"/>
      <w:r>
        <w:t>غفاري، حامد بن برهان قرن 10 ه-</w:t>
      </w:r>
      <w:bookmarkEnd w:id="6234"/>
    </w:p>
    <w:p>
      <w:pPr>
        <w:pStyle w:val="BookText"/>
      </w:pPr>
      <w:r>
        <w:rPr>
          <w:rFonts w:ascii="Amiri" w:hAnsi="Amiri" w:eastAsia="Amiri" w:cs="Amiri"/>
          <w:lang w:bidi="ar-SA"/>
          <w:color w:val="111111"/>
          <w:sz w:val="28"/>
          <w:szCs w:val="28"/>
          <w:rtl/>
        </w:rPr>
        <w:t xml:space="preserve">آداب المطالعة، ج 1، ص 58.</w:t>
      </w:r>
    </w:p>
    <w:p>
      <w:pPr>
        <w:pStyle w:val="Heading2"/>
      </w:pPr>
      <w:bookmarkStart w:id="6235" w:name="_Toc5337"/>
      <w:r>
        <w:t>غفاري قزويني ، احمد بن محمّد، 900؟</w:t>
      </w:r>
      <w:bookmarkEnd w:id="62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975؟ ه-</w:t>
      </w:r>
    </w:p>
    <w:p>
      <w:pPr>
        <w:pStyle w:val="BookText"/>
      </w:pPr>
      <w:r>
        <w:rPr>
          <w:rFonts w:ascii="IRNazanin" w:hAnsi="IRNazanin" w:eastAsia="IRNazanin" w:cs="IRNazanin"/>
          <w:lang w:bidi="fa-IR"/>
          <w:color w:val="111111"/>
          <w:sz w:val="28"/>
          <w:szCs w:val="28"/>
          <w:rtl/>
        </w:rPr>
        <w:t xml:space="preserve">نگارستان قزويني - تاریخ نگارستان</w:t>
      </w:r>
    </w:p>
    <w:p>
      <w:pPr>
        <w:pStyle w:val="BookText"/>
      </w:pPr>
      <w:r>
        <w:rPr>
          <w:rFonts w:ascii="IRNazanin" w:hAnsi="IRNazanin" w:eastAsia="IRNazanin" w:cs="IRNazanin"/>
          <w:lang w:bidi="fa-IR"/>
          <w:color w:val="111111"/>
          <w:sz w:val="28"/>
          <w:szCs w:val="28"/>
          <w:rtl/>
        </w:rPr>
        <w:t xml:space="preserve">ج 16، ص 475.</w:t>
      </w:r>
    </w:p>
    <w:p>
      <w:pPr>
        <w:pStyle w:val="BookText"/>
      </w:pPr>
      <w:r>
        <w:rPr>
          <w:rFonts w:ascii="Amiri" w:hAnsi="Amiri" w:eastAsia="Amiri" w:cs="Amiri"/>
          <w:lang w:bidi="ar-SA"/>
          <w:color w:val="111111"/>
          <w:sz w:val="28"/>
          <w:szCs w:val="28"/>
          <w:rtl/>
        </w:rPr>
        <w:t xml:space="preserve">غفور لاري- لاري ، رضي الدين عبدالغفور</w:t>
      </w:r>
    </w:p>
    <w:p>
      <w:pPr>
        <w:pStyle w:val="BookText"/>
      </w:pPr>
      <w:r>
        <w:rPr>
          <w:rFonts w:ascii="IRNazanin" w:hAnsi="IRNazanin" w:eastAsia="IRNazanin" w:cs="IRNazanin"/>
          <w:lang w:bidi="fa-IR"/>
          <w:color w:val="111111"/>
          <w:sz w:val="28"/>
          <w:szCs w:val="28"/>
          <w:rtl/>
        </w:rPr>
        <w:t xml:space="preserve">غلام امام اکبرآبادي بريلوي لكهنوي</w:t>
      </w:r>
    </w:p>
    <w:p>
      <w:pPr>
        <w:pStyle w:val="BookText"/>
      </w:pPr>
      <w:r>
        <w:rPr>
          <w:rFonts w:ascii="Amiri" w:hAnsi="Amiri" w:eastAsia="Amiri" w:cs="Amiri"/>
          <w:lang w:bidi="ar-SA"/>
          <w:color w:val="111111"/>
          <w:sz w:val="28"/>
          <w:szCs w:val="28"/>
          <w:rtl/>
        </w:rPr>
        <w:t xml:space="preserve">امروهوي -اكبر آبادي ، غلام امام</w:t>
      </w:r>
    </w:p>
    <w:p>
      <w:pPr>
        <w:pStyle w:val="Heading2"/>
      </w:pPr>
      <w:bookmarkStart w:id="6236" w:name="_Toc5338"/>
      <w:r>
        <w:t>غلام امام بن حكيم بنده علي خان</w:t>
      </w:r>
      <w:bookmarkEnd w:id="6236"/>
    </w:p>
    <w:p>
      <w:pPr>
        <w:pStyle w:val="BookText"/>
      </w:pPr>
      <w:r>
        <w:rPr>
          <w:rFonts w:ascii="Amiri" w:hAnsi="Amiri" w:eastAsia="Amiri" w:cs="Amiri"/>
          <w:lang w:bidi="ar-SA"/>
          <w:color w:val="111111"/>
          <w:sz w:val="28"/>
          <w:szCs w:val="28"/>
          <w:rtl/>
        </w:rPr>
        <w:t xml:space="preserve">خلاصة الشروح، ج 7، ص 114.</w:t>
      </w:r>
    </w:p>
    <w:p>
      <w:pPr>
        <w:pStyle w:val="Heading2"/>
      </w:pPr>
      <w:bookmarkStart w:id="6237" w:name="_Toc5339"/>
      <w:r>
        <w:t>غلام ثعلب ، محمّد بن عبد الواحد 261 -</w:t>
      </w:r>
      <w:bookmarkEnd w:id="6237"/>
    </w:p>
    <w:p>
      <w:pPr>
        <w:pStyle w:val="BookText"/>
      </w:pPr>
      <w:r>
        <w:rPr>
          <w:rFonts w:ascii="IRNazanin" w:hAnsi="IRNazanin" w:eastAsia="IRNazanin" w:cs="IRNazanin"/>
          <w:lang w:bidi="fa-IR"/>
          <w:color w:val="111111"/>
          <w:sz w:val="28"/>
          <w:szCs w:val="28"/>
          <w:rtl/>
        </w:rPr>
        <w:t xml:space="preserve">345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رواية غلام ثعلب عن شيوخه، ج8،</w:t>
      </w:r>
    </w:p>
    <w:p>
      <w:pPr>
        <w:pStyle w:val="BookText"/>
      </w:pPr>
      <w:r>
        <w:rPr>
          <w:rFonts w:ascii="IRNazanin" w:hAnsi="IRNazanin" w:eastAsia="IRNazanin" w:cs="IRNazanin"/>
          <w:lang w:bidi="fa-IR"/>
          <w:color w:val="111111"/>
          <w:sz w:val="28"/>
          <w:szCs w:val="28"/>
          <w:rtl/>
        </w:rPr>
        <w:t xml:space="preserve">ص 372.</w:t>
      </w:r>
    </w:p>
    <w:p>
      <w:pPr>
        <w:pStyle w:val="BookText"/>
      </w:pPr>
      <w:r>
        <w:rPr>
          <w:rFonts w:ascii="Amiri" w:hAnsi="Amiri" w:eastAsia="Amiri" w:cs="Amiri"/>
          <w:lang w:bidi="ar-SA"/>
          <w:color w:val="111111"/>
          <w:sz w:val="28"/>
          <w:szCs w:val="28"/>
          <w:rtl/>
        </w:rPr>
        <w:t xml:space="preserve">2 .المداخل في اللغة (كتاب) = المداخلات، ج 14، ص 301.</w:t>
      </w:r>
    </w:p>
    <w:p>
      <w:pPr>
        <w:pStyle w:val="BookText"/>
      </w:pPr>
      <w:r>
        <w:rPr>
          <w:rFonts w:ascii="Amiri" w:hAnsi="Amiri" w:eastAsia="Amiri" w:cs="Amiri"/>
          <w:lang w:bidi="ar-SA"/>
          <w:color w:val="111111"/>
          <w:sz w:val="28"/>
          <w:szCs w:val="28"/>
          <w:rtl/>
        </w:rPr>
        <w:t xml:space="preserve">غلامحسين بن حسن بوشهري نجفي- بوشهري ، غلامحسين بن حسن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28" w:name="pg7742_70927"/>
    <w:bookmarkEnd w:id="828"/>
    <w:p>
      <w:pPr>
        <w:pStyle w:val="BookText"/>
      </w:pPr>
      <w:r>
        <w:rPr>
          <w:rFonts w:ascii="Amiri" w:hAnsi="Amiri" w:eastAsia="Amiri" w:cs="Amiri"/>
          <w:lang w:bidi="ar-SA"/>
          <w:color w:val="111111"/>
          <w:sz w:val="28"/>
          <w:szCs w:val="28"/>
          <w:rtl/>
        </w:rPr>
        <w:t xml:space="preserve">غلامحسين بن علي اصغر</w:t>
      </w:r>
    </w:p>
    <w:p>
      <w:pPr>
        <w:pStyle w:val="BookText"/>
      </w:pPr>
      <w:r>
        <w:rPr>
          <w:rFonts w:ascii="Amiri" w:hAnsi="Amiri" w:eastAsia="Amiri" w:cs="Amiri"/>
          <w:lang w:bidi="ar-SA"/>
          <w:color w:val="111111"/>
          <w:sz w:val="28"/>
          <w:szCs w:val="28"/>
          <w:rtl/>
        </w:rPr>
        <w:t xml:space="preserve">دربندي -دربندي ، غلامحسين بن علي اصغر</w:t>
      </w:r>
    </w:p>
    <w:p>
      <w:pPr>
        <w:pStyle w:val="BookText"/>
      </w:pPr>
      <w:r>
        <w:rPr>
          <w:rFonts w:ascii="Amiri" w:hAnsi="Amiri" w:eastAsia="Amiri" w:cs="Amiri"/>
          <w:lang w:bidi="ar-SA"/>
          <w:color w:val="111111"/>
          <w:sz w:val="28"/>
          <w:szCs w:val="28"/>
          <w:rtl/>
        </w:rPr>
        <w:t xml:space="preserve">غلامحسين بن محمّد صادق خوانساري</w:t>
      </w:r>
    </w:p>
    <w:p>
      <w:pPr>
        <w:pStyle w:val="BookText"/>
      </w:pPr>
      <w:r>
        <w:rPr>
          <w:rFonts w:ascii="Amiri" w:hAnsi="Amiri" w:eastAsia="Amiri" w:cs="Amiri"/>
          <w:lang w:bidi="ar-SA"/>
          <w:color w:val="111111"/>
          <w:sz w:val="28"/>
          <w:szCs w:val="28"/>
          <w:rtl/>
        </w:rPr>
        <w:t xml:space="preserve">نجف آبادي -خوانساري ، غلامحسين بن</w:t>
      </w:r>
    </w:p>
    <w:p>
      <w:pPr>
        <w:pStyle w:val="BookText"/>
      </w:pPr>
      <w:r>
        <w:rPr>
          <w:rFonts w:ascii="Amiri" w:hAnsi="Amiri" w:eastAsia="Amiri" w:cs="Amiri"/>
          <w:lang w:bidi="ar-SA"/>
          <w:color w:val="111111"/>
          <w:sz w:val="28"/>
          <w:szCs w:val="28"/>
          <w:rtl/>
        </w:rPr>
        <w:t xml:space="preserve">محمّد صادق</w:t>
      </w:r>
    </w:p>
    <w:p>
      <w:pPr>
        <w:pStyle w:val="BookText"/>
      </w:pPr>
      <w:r>
        <w:rPr>
          <w:rFonts w:ascii="Amiri" w:hAnsi="Amiri" w:eastAsia="Amiri" w:cs="Amiri"/>
          <w:lang w:bidi="ar-SA"/>
          <w:color w:val="111111"/>
          <w:sz w:val="28"/>
          <w:szCs w:val="28"/>
          <w:rtl/>
        </w:rPr>
        <w:t xml:space="preserve">غلام خليل ، احمد بن محمّد- آملي طبري</w:t>
      </w:r>
    </w:p>
    <w:p>
      <w:pPr>
        <w:pStyle w:val="BookText"/>
      </w:pPr>
      <w:r>
        <w:rPr>
          <w:rFonts w:ascii="IRNazanin" w:hAnsi="IRNazanin" w:eastAsia="IRNazanin" w:cs="IRNazanin"/>
          <w:lang w:bidi="fa-IR"/>
          <w:color w:val="111111"/>
          <w:sz w:val="28"/>
          <w:szCs w:val="28"/>
          <w:rtl/>
        </w:rPr>
        <w:t xml:space="preserve">، احمد بن محمّد</w:t>
      </w:r>
    </w:p>
    <w:p>
      <w:pPr>
        <w:pStyle w:val="BookText"/>
      </w:pPr>
      <w:r>
        <w:rPr>
          <w:rFonts w:ascii="Amiri" w:hAnsi="Amiri" w:eastAsia="Amiri" w:cs="Amiri"/>
          <w:lang w:bidi="ar-SA"/>
          <w:color w:val="111111"/>
          <w:sz w:val="28"/>
          <w:szCs w:val="28"/>
          <w:rtl/>
        </w:rPr>
        <w:t xml:space="preserve">غلامرضا بن رجبعلي قمي - حاج آخوند</w:t>
      </w:r>
    </w:p>
    <w:p>
      <w:pPr>
        <w:pStyle w:val="BookText"/>
      </w:pPr>
      <w:r>
        <w:rPr>
          <w:rFonts w:ascii="Amiri" w:hAnsi="Amiri" w:eastAsia="Amiri" w:cs="Amiri"/>
          <w:lang w:bidi="ar-SA"/>
          <w:color w:val="111111"/>
          <w:sz w:val="28"/>
          <w:szCs w:val="28"/>
          <w:rtl/>
        </w:rPr>
        <w:t xml:space="preserve">قمي ، غلامرضا بن رجبعلي</w:t>
      </w:r>
    </w:p>
    <w:p>
      <w:pPr>
        <w:pStyle w:val="BookText"/>
      </w:pPr>
      <w:r>
        <w:rPr>
          <w:rFonts w:ascii="Amiri" w:hAnsi="Amiri" w:eastAsia="Amiri" w:cs="Amiri"/>
          <w:lang w:bidi="ar-SA"/>
          <w:color w:val="111111"/>
          <w:sz w:val="28"/>
          <w:szCs w:val="28"/>
          <w:rtl/>
        </w:rPr>
        <w:t xml:space="preserve">غلام رفاعي- نقشبندي ، محمّد رفيع</w:t>
      </w:r>
    </w:p>
    <w:p>
      <w:pPr>
        <w:pStyle w:val="BookText"/>
      </w:pPr>
      <w:r>
        <w:rPr>
          <w:rFonts w:ascii="IRNazanin" w:hAnsi="IRNazanin" w:eastAsia="IRNazanin" w:cs="IRNazanin"/>
          <w:lang w:bidi="fa-IR"/>
          <w:color w:val="111111"/>
          <w:sz w:val="28"/>
          <w:szCs w:val="28"/>
          <w:rtl/>
        </w:rPr>
        <w:t xml:space="preserve">الدين بن محمّد شمس الدین</w:t>
      </w:r>
    </w:p>
    <w:p>
      <w:pPr>
        <w:pStyle w:val="Heading2"/>
      </w:pPr>
      <w:bookmarkStart w:id="6238" w:name="_Toc5340"/>
      <w:r>
        <w:t>غلامعلي بن محمّد</w:t>
      </w:r>
      <w:bookmarkEnd w:id="6238"/>
    </w:p>
    <w:p>
      <w:pPr>
        <w:pStyle w:val="BookText"/>
      </w:pPr>
      <w:r>
        <w:rPr>
          <w:rFonts w:ascii="Amiri" w:hAnsi="Amiri" w:eastAsia="Amiri" w:cs="Amiri"/>
          <w:lang w:bidi="ar-SA"/>
          <w:color w:val="111111"/>
          <w:sz w:val="28"/>
          <w:szCs w:val="28"/>
          <w:rtl/>
        </w:rPr>
        <w:t xml:space="preserve">تهذيب التهذيب، ج5، ص112.</w:t>
      </w:r>
    </w:p>
    <w:p>
      <w:pPr>
        <w:pStyle w:val="BookText"/>
      </w:pPr>
      <w:r>
        <w:rPr>
          <w:rFonts w:ascii="IRNazanin" w:hAnsi="IRNazanin" w:eastAsia="IRNazanin" w:cs="IRNazanin"/>
          <w:lang w:bidi="fa-IR"/>
          <w:color w:val="111111"/>
          <w:sz w:val="28"/>
          <w:szCs w:val="28"/>
          <w:rtl/>
        </w:rPr>
        <w:t xml:space="preserve">غلامعلي بن محمّد نوح حسيني واسطي بلگرامي- آزاد بلگرامي ، مير غلامعلي بن نوح</w:t>
      </w:r>
    </w:p>
    <w:p>
      <w:pPr>
        <w:pStyle w:val="BookText"/>
      </w:pPr>
      <w:r>
        <w:rPr>
          <w:rFonts w:ascii="Amiri" w:hAnsi="Amiri" w:eastAsia="Amiri" w:cs="Amiri"/>
          <w:lang w:bidi="ar-SA"/>
          <w:color w:val="111111"/>
          <w:sz w:val="28"/>
          <w:szCs w:val="28"/>
          <w:rtl/>
        </w:rPr>
        <w:t xml:space="preserve">غلامعلي بن محمّد هروي حائري- هروي</w:t>
      </w:r>
    </w:p>
    <w:p>
      <w:pPr>
        <w:pStyle w:val="BookText"/>
      </w:pPr>
      <w:r>
        <w:rPr>
          <w:rFonts w:ascii="Amiri" w:hAnsi="Amiri" w:eastAsia="Amiri" w:cs="Amiri"/>
          <w:lang w:bidi="ar-SA"/>
          <w:color w:val="111111"/>
          <w:sz w:val="28"/>
          <w:szCs w:val="28"/>
          <w:rtl/>
        </w:rPr>
        <w:t xml:space="preserve">حائري ، غلامعلي بن محمّد</w:t>
      </w:r>
    </w:p>
    <w:p>
      <w:pPr>
        <w:pStyle w:val="BookText"/>
      </w:pPr>
      <w:r>
        <w:rPr>
          <w:rFonts w:ascii="Amiri" w:hAnsi="Amiri" w:eastAsia="Amiri" w:cs="Amiri"/>
          <w:lang w:bidi="ar-SA"/>
          <w:color w:val="111111"/>
          <w:sz w:val="28"/>
          <w:szCs w:val="28"/>
          <w:rtl/>
        </w:rPr>
        <w:t xml:space="preserve">غلامعلي خان نقوي -نقوي ، غلامعلي خان</w:t>
      </w:r>
    </w:p>
    <w:p>
      <w:pPr>
        <w:pStyle w:val="BookText"/>
      </w:pPr>
      <w:r>
        <w:rPr>
          <w:rFonts w:ascii="IRNazanin" w:hAnsi="IRNazanin" w:eastAsia="IRNazanin" w:cs="IRNazanin"/>
          <w:lang w:bidi="fa-IR"/>
          <w:color w:val="111111"/>
          <w:sz w:val="28"/>
          <w:szCs w:val="28"/>
          <w:rtl/>
        </w:rPr>
        <w:t xml:space="preserve">بن محمّد اکمل خان</w:t>
      </w:r>
    </w:p>
    <w:p>
      <w:pPr>
        <w:pStyle w:val="BookText"/>
      </w:pPr>
      <w:r>
        <w:rPr>
          <w:rFonts w:ascii="IRNazanin" w:hAnsi="IRNazanin" w:eastAsia="IRNazanin" w:cs="IRNazanin"/>
          <w:lang w:bidi="fa-IR"/>
          <w:color w:val="111111"/>
          <w:sz w:val="28"/>
          <w:szCs w:val="28"/>
          <w:rtl/>
        </w:rPr>
        <w:t xml:space="preserve">غلام محمّد بن غلام حیدر</w:t>
      </w:r>
    </w:p>
    <w:p>
      <w:pPr>
        <w:pStyle w:val="BookText"/>
      </w:pPr>
      <w:r>
        <w:rPr>
          <w:rFonts w:ascii="IRNazanin" w:hAnsi="IRNazanin" w:eastAsia="IRNazanin" w:cs="IRNazanin"/>
          <w:lang w:bidi="fa-IR"/>
          <w:color w:val="111111"/>
          <w:sz w:val="28"/>
          <w:szCs w:val="28"/>
          <w:rtl/>
        </w:rPr>
        <w:t xml:space="preserve">پاکستاني -پاکستاني ، غلام محمّد بن غلام</w:t>
      </w:r>
    </w:p>
    <w:p>
      <w:pPr>
        <w:pStyle w:val="BookText"/>
      </w:pPr>
      <w:r>
        <w:rPr>
          <w:rFonts w:ascii="Amiri" w:hAnsi="Amiri" w:eastAsia="Amiri" w:cs="Amiri"/>
          <w:lang w:bidi="ar-SA"/>
          <w:color w:val="111111"/>
          <w:sz w:val="28"/>
          <w:szCs w:val="28"/>
          <w:rtl/>
        </w:rPr>
        <w:t xml:space="preserve">حيدر</w:t>
      </w:r>
    </w:p>
    <w:p>
      <w:pPr>
        <w:pStyle w:val="BookText"/>
      </w:pPr>
      <w:r>
        <w:rPr>
          <w:rFonts w:ascii="Amiri" w:hAnsi="Amiri" w:eastAsia="Amiri" w:cs="Amiri"/>
          <w:lang w:bidi="ar-SA"/>
          <w:color w:val="111111"/>
          <w:sz w:val="28"/>
          <w:szCs w:val="28"/>
          <w:rtl/>
        </w:rPr>
        <w:t xml:space="preserve">غلام محمّد بن محيي الدين</w:t>
      </w:r>
    </w:p>
    <w:p>
      <w:pPr>
        <w:pStyle w:val="BookText"/>
      </w:pPr>
      <w:r>
        <w:rPr>
          <w:rFonts w:ascii="Amiri" w:hAnsi="Amiri" w:eastAsia="Amiri" w:cs="Amiri"/>
          <w:lang w:bidi="ar-SA"/>
          <w:color w:val="111111"/>
          <w:sz w:val="28"/>
          <w:szCs w:val="28"/>
          <w:rtl/>
        </w:rPr>
        <w:t xml:space="preserve">اسلمي -اسلمي ، محمّد بن محيي الدين</w:t>
      </w:r>
    </w:p>
    <w:p>
      <w:pPr>
        <w:pStyle w:val="BookText"/>
      </w:pPr>
      <w:r>
        <w:rPr>
          <w:rFonts w:ascii="IRNazanin" w:hAnsi="IRNazanin" w:eastAsia="IRNazanin" w:cs="IRNazanin"/>
          <w:lang w:bidi="fa-IR"/>
          <w:color w:val="111111"/>
          <w:sz w:val="28"/>
          <w:szCs w:val="28"/>
          <w:rtl/>
        </w:rPr>
        <w:t xml:space="preserve">غلام مصطفی -ابهاري ، غلام مصطفى</w:t>
      </w:r>
    </w:p>
    <w:p>
      <w:pPr>
        <w:pStyle w:val="Heading2"/>
      </w:pPr>
      <w:bookmarkStart w:id="6239" w:name="_Toc5341"/>
      <w:r>
        <w:t>غلامي ، حسين افندي</w:t>
      </w:r>
      <w:bookmarkEnd w:id="6239"/>
    </w:p>
    <w:p>
      <w:pPr>
        <w:pStyle w:val="BookText"/>
      </w:pPr>
      <w:r>
        <w:rPr>
          <w:rFonts w:ascii="IRNazanin" w:hAnsi="IRNazanin" w:eastAsia="IRNazanin" w:cs="IRNazanin"/>
          <w:lang w:bidi="fa-IR"/>
          <w:color w:val="111111"/>
          <w:sz w:val="28"/>
          <w:szCs w:val="28"/>
          <w:rtl/>
        </w:rPr>
        <w:t xml:space="preserve">نظم، ج 16، ص 327.</w:t>
      </w:r>
    </w:p>
    <w:p>
      <w:pPr>
        <w:pStyle w:val="Heading2"/>
      </w:pPr>
      <w:bookmarkStart w:id="6240" w:name="_Toc5342"/>
      <w:r>
        <w:t>غلامي ، حسين بن محمّد - 1206 ه-</w:t>
      </w:r>
      <w:bookmarkEnd w:id="6240"/>
    </w:p>
    <w:p>
      <w:pPr>
        <w:pStyle w:val="BookText"/>
      </w:pPr>
      <w:r>
        <w:rPr>
          <w:rFonts w:ascii="Amiri" w:hAnsi="Amiri" w:eastAsia="Amiri" w:cs="Amiri"/>
          <w:lang w:bidi="ar-SA"/>
          <w:color w:val="111111"/>
          <w:sz w:val="28"/>
          <w:szCs w:val="28"/>
          <w:rtl/>
        </w:rPr>
        <w:t xml:space="preserve">اسماء اهل بدر (ارجوزة في)، ج2،</w:t>
      </w:r>
    </w:p>
    <w:p>
      <w:pPr>
        <w:pStyle w:val="BookText"/>
      </w:pPr>
      <w:r>
        <w:rPr>
          <w:rFonts w:ascii="IRNazanin" w:hAnsi="IRNazanin" w:eastAsia="IRNazanin" w:cs="IRNazanin"/>
          <w:lang w:bidi="fa-IR"/>
          <w:color w:val="111111"/>
          <w:sz w:val="28"/>
          <w:szCs w:val="28"/>
          <w:rtl/>
        </w:rPr>
        <w:t xml:space="preserve">ص 214.</w:t>
      </w:r>
    </w:p>
    <w:p>
      <w:pPr>
        <w:pStyle w:val="BookText"/>
      </w:pPr>
      <w:r>
        <w:rPr>
          <w:rFonts w:ascii="Amiri" w:hAnsi="Amiri" w:eastAsia="Amiri" w:cs="Amiri"/>
          <w:lang w:bidi="ar-SA"/>
          <w:color w:val="111111"/>
          <w:sz w:val="28"/>
          <w:szCs w:val="28"/>
          <w:rtl/>
        </w:rPr>
        <w:t xml:space="preserve">غلام يحيى بن نجم الدين بهاري -بهاري ، غلام يحيى بن نجم الدين</w:t>
      </w:r>
    </w:p>
    <w:p>
      <w:pPr>
        <w:pStyle w:val="BookText"/>
      </w:pPr>
      <w:r>
        <w:rPr>
          <w:rFonts w:ascii="Amiri" w:hAnsi="Amiri" w:eastAsia="Amiri" w:cs="Amiri"/>
          <w:lang w:bidi="ar-SA"/>
          <w:color w:val="111111"/>
          <w:sz w:val="28"/>
          <w:szCs w:val="28"/>
          <w:rtl/>
        </w:rPr>
        <w:t xml:space="preserve">غلامي ، عبد القادر بن نور الله -سيواسي عبد القادر بن نورالله</w:t>
      </w:r>
    </w:p>
    <w:p>
      <w:pPr>
        <w:pStyle w:val="Heading2"/>
      </w:pPr>
      <w:bookmarkStart w:id="6241" w:name="_Toc5343"/>
      <w:r>
        <w:t>غلامي ، علي بن مصطفى - 1142 ه-</w:t>
      </w:r>
      <w:bookmarkEnd w:id="6241"/>
    </w:p>
    <w:p>
      <w:pPr>
        <w:pStyle w:val="BookText"/>
      </w:pPr>
      <w:r>
        <w:rPr>
          <w:rFonts w:ascii="Amiri" w:hAnsi="Amiri" w:eastAsia="Amiri" w:cs="Amiri"/>
          <w:lang w:bidi="ar-SA"/>
          <w:color w:val="111111"/>
          <w:sz w:val="28"/>
          <w:szCs w:val="28"/>
          <w:rtl/>
        </w:rPr>
        <w:t xml:space="preserve">قصيدة، ج 12، ص 637.</w:t>
      </w:r>
    </w:p>
    <w:p>
      <w:pPr>
        <w:pStyle w:val="Heading2"/>
      </w:pPr>
      <w:bookmarkStart w:id="6242" w:name="_Toc5344"/>
      <w:r>
        <w:t>غلامي ، محمّد بن حسن، - 1240 ؟ ه-</w:t>
      </w:r>
      <w:bookmarkEnd w:id="6242"/>
    </w:p>
    <w:p>
      <w:pPr>
        <w:pStyle w:val="BookText"/>
      </w:pPr>
      <w:r>
        <w:rPr>
          <w:rFonts w:ascii="IRNazanin" w:hAnsi="IRNazanin" w:eastAsia="IRNazanin" w:cs="IRNazanin"/>
          <w:lang w:bidi="fa-IR"/>
          <w:color w:val="111111"/>
          <w:sz w:val="28"/>
          <w:szCs w:val="28"/>
          <w:rtl/>
        </w:rPr>
        <w:t xml:space="preserve">قصائد، ج 12، ص588</w:t>
      </w:r>
    </w:p>
    <w:p>
      <w:pPr>
        <w:pStyle w:val="Heading2"/>
      </w:pPr>
      <w:bookmarkStart w:id="6243" w:name="_Toc5345"/>
      <w:r>
        <w:t>غلامي ، محمّد بن مصطفى - 1176</w:t>
      </w:r>
      <w:bookmarkEnd w:id="6243"/>
    </w:p>
    <w:p>
      <w:pPr>
        <w:pStyle w:val="BookText"/>
      </w:pPr>
      <w:r>
        <w:rPr>
          <w:rFonts w:ascii="Amiri" w:hAnsi="Amiri" w:eastAsia="Amiri" w:cs="Amiri"/>
          <w:lang w:bidi="ar-SA"/>
          <w:color w:val="111111"/>
          <w:sz w:val="28"/>
          <w:szCs w:val="28"/>
          <w:rtl/>
        </w:rPr>
        <w:t xml:space="preserve">1 .تاريخ الحيدرية، ج3، ص567.</w:t>
      </w:r>
    </w:p>
    <w:p>
      <w:pPr>
        <w:pStyle w:val="BookText"/>
      </w:pPr>
      <w:r>
        <w:rPr>
          <w:rFonts w:ascii="Amiri" w:hAnsi="Amiri" w:eastAsia="Amiri" w:cs="Amiri"/>
          <w:lang w:bidi="ar-SA"/>
          <w:color w:val="111111"/>
          <w:sz w:val="28"/>
          <w:szCs w:val="28"/>
          <w:rtl/>
        </w:rPr>
        <w:t xml:space="preserve">2 .تخميس القصيدة الهمزية، جع،</w:t>
      </w:r>
    </w:p>
    <w:p>
      <w:pPr>
        <w:pStyle w:val="BookText"/>
      </w:pPr>
      <w:r>
        <w:rPr>
          <w:rFonts w:ascii="IRNazanin" w:hAnsi="IRNazanin" w:eastAsia="IRNazanin" w:cs="IRNazanin"/>
          <w:lang w:bidi="fa-IR"/>
          <w:color w:val="111111"/>
          <w:sz w:val="28"/>
          <w:szCs w:val="28"/>
          <w:rtl/>
        </w:rPr>
        <w:t xml:space="preserve">ص 142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تخميس لمحمّد الغلامي، جع،</w:t>
      </w:r>
    </w:p>
    <w:p>
      <w:pPr>
        <w:pStyle w:val="BookText"/>
      </w:pPr>
      <w:r>
        <w:rPr>
          <w:rFonts w:ascii="IRNazanin" w:hAnsi="IRNazanin" w:eastAsia="IRNazanin" w:cs="IRNazanin"/>
          <w:lang w:bidi="fa-IR"/>
          <w:color w:val="111111"/>
          <w:sz w:val="28"/>
          <w:szCs w:val="28"/>
          <w:rtl/>
        </w:rPr>
        <w:t xml:space="preserve">ص 159.</w:t>
      </w:r>
    </w:p>
    <w:p>
      <w:pPr>
        <w:pStyle w:val="BookText"/>
      </w:pPr>
      <w:r>
        <w:rPr>
          <w:rFonts w:ascii="Amiri" w:hAnsi="Amiri" w:eastAsia="Amiri" w:cs="Amiri"/>
          <w:lang w:bidi="ar-SA"/>
          <w:color w:val="111111"/>
          <w:sz w:val="28"/>
          <w:szCs w:val="28"/>
          <w:rtl/>
        </w:rPr>
        <w:t xml:space="preserve">4 .خلاصة اقوال القراء والفقهاء، ج 7،</w:t>
      </w:r>
    </w:p>
    <w:p>
      <w:pPr>
        <w:pStyle w:val="BookText"/>
      </w:pPr>
      <w:r>
        <w:rPr>
          <w:rFonts w:ascii="IRNazanin" w:hAnsi="IRNazanin" w:eastAsia="IRNazanin" w:cs="IRNazanin"/>
          <w:lang w:bidi="fa-IR"/>
          <w:color w:val="111111"/>
          <w:sz w:val="28"/>
          <w:szCs w:val="28"/>
          <w:rtl/>
        </w:rPr>
        <w:t xml:space="preserve">ص 80</w:t>
      </w:r>
    </w:p>
    <w:p>
      <w:pPr>
        <w:pStyle w:val="BookText"/>
      </w:pPr>
      <w:r>
        <w:rPr>
          <w:rFonts w:ascii="Amiri" w:hAnsi="Amiri" w:eastAsia="Amiri" w:cs="Amiri"/>
          <w:lang w:bidi="ar-SA"/>
          <w:color w:val="111111"/>
          <w:sz w:val="28"/>
          <w:szCs w:val="28"/>
          <w:rtl/>
        </w:rPr>
        <w:t xml:space="preserve">5 .خلاصة المعارف و اشارة العارف</w:t>
      </w:r>
    </w:p>
    <w:p>
      <w:pPr>
        <w:pStyle w:val="BookText"/>
      </w:pPr>
      <w:r>
        <w:rPr>
          <w:rFonts w:ascii="IRNazanin" w:hAnsi="IRNazanin" w:eastAsia="IRNazanin" w:cs="IRNazanin"/>
          <w:lang w:bidi="fa-IR"/>
          <w:color w:val="111111"/>
          <w:sz w:val="28"/>
          <w:szCs w:val="28"/>
          <w:rtl/>
        </w:rPr>
        <w:t xml:space="preserve">ج 7، ص 136.</w:t>
      </w:r>
    </w:p>
    <w:p>
      <w:pPr>
        <w:pStyle w:val="BookText"/>
      </w:pPr>
      <w:r>
        <w:rPr>
          <w:rFonts w:ascii="Amiri" w:hAnsi="Amiri" w:eastAsia="Amiri" w:cs="Amiri"/>
          <w:lang w:bidi="ar-SA"/>
          <w:color w:val="111111"/>
          <w:sz w:val="28"/>
          <w:szCs w:val="28"/>
          <w:rtl/>
        </w:rPr>
        <w:t xml:space="preserve">6 .روضة الموصلي، ج8، ص 454.</w:t>
      </w:r>
    </w:p>
    <w:p>
      <w:pPr>
        <w:pStyle w:val="BookText"/>
      </w:pPr>
      <w:r>
        <w:rPr>
          <w:rFonts w:ascii="Amiri" w:hAnsi="Amiri" w:eastAsia="Amiri" w:cs="Amiri"/>
          <w:lang w:bidi="ar-SA"/>
          <w:color w:val="111111"/>
          <w:sz w:val="28"/>
          <w:szCs w:val="28"/>
          <w:rtl/>
        </w:rPr>
        <w:t xml:space="preserve">7 .شمامة العنبر و الزهر المعنبر، ج 10،</w:t>
      </w:r>
    </w:p>
    <w:p>
      <w:pPr>
        <w:pStyle w:val="BookText"/>
      </w:pPr>
      <w:r>
        <w:rPr>
          <w:rFonts w:ascii="IRNazanin" w:hAnsi="IRNazanin" w:eastAsia="IRNazanin" w:cs="IRNazanin"/>
          <w:lang w:bidi="fa-IR"/>
          <w:color w:val="111111"/>
          <w:sz w:val="28"/>
          <w:szCs w:val="28"/>
          <w:rtl/>
        </w:rPr>
        <w:t xml:space="preserve">ص 411 .</w:t>
      </w:r>
    </w:p>
    <w:p>
      <w:pPr>
        <w:pStyle w:val="BookText"/>
      </w:pPr>
      <w:r>
        <w:rPr>
          <w:rFonts w:ascii="IRNazanin" w:hAnsi="IRNazanin" w:eastAsia="IRNazanin" w:cs="IRNazanin"/>
          <w:lang w:bidi="fa-IR"/>
          <w:color w:val="111111"/>
          <w:sz w:val="28"/>
          <w:szCs w:val="28"/>
          <w:rtl/>
        </w:rPr>
        <w:t xml:space="preserve">8 .ضوء المصباح، ج 10، ص 702.</w:t>
      </w:r>
    </w:p>
    <w:p>
      <w:pPr>
        <w:pStyle w:val="BookText"/>
      </w:pPr>
      <w:r>
        <w:rPr>
          <w:rFonts w:ascii="IRNazanin" w:hAnsi="IRNazanin" w:eastAsia="IRNazanin" w:cs="IRNazanin"/>
          <w:lang w:bidi="fa-IR"/>
          <w:color w:val="111111"/>
          <w:sz w:val="28"/>
          <w:szCs w:val="28"/>
          <w:rtl/>
        </w:rPr>
        <w:t xml:space="preserve">9 .الفرائض، ج 11، ص 752 .</w:t>
      </w:r>
    </w:p>
    <w:p>
      <w:pPr>
        <w:pStyle w:val="BookText"/>
      </w:pPr>
      <w:r>
        <w:rPr>
          <w:rFonts w:ascii="Amiri" w:hAnsi="Amiri" w:eastAsia="Amiri" w:cs="Amiri"/>
          <w:lang w:bidi="ar-SA"/>
          <w:color w:val="111111"/>
          <w:sz w:val="28"/>
          <w:szCs w:val="28"/>
          <w:rtl/>
        </w:rPr>
        <w:t xml:space="preserve">10 .قواعد المناسخة و مسائل فيها</w:t>
      </w:r>
    </w:p>
    <w:p>
      <w:pPr>
        <w:pStyle w:val="BookText"/>
      </w:pPr>
      <w:r>
        <w:rPr>
          <w:rFonts w:ascii="Amiri" w:hAnsi="Amiri" w:eastAsia="Amiri" w:cs="Amiri"/>
          <w:lang w:bidi="ar-SA"/>
          <w:color w:val="111111"/>
          <w:sz w:val="28"/>
          <w:szCs w:val="28"/>
          <w:rtl/>
        </w:rPr>
        <w:t xml:space="preserve">(فصل في)، ج 12، ص808.</w:t>
      </w:r>
    </w:p>
    <w:p>
      <w:pPr>
        <w:pStyle w:val="BookText"/>
      </w:pPr>
      <w:r>
        <w:rPr>
          <w:rFonts w:ascii="Amiri" w:hAnsi="Amiri" w:eastAsia="Amiri" w:cs="Amiri"/>
          <w:lang w:bidi="ar-SA"/>
          <w:color w:val="111111"/>
          <w:sz w:val="28"/>
          <w:szCs w:val="28"/>
          <w:rtl/>
        </w:rPr>
        <w:t xml:space="preserve">11 .نظم في مدح علي افندي العمري</w:t>
      </w:r>
    </w:p>
    <w:p>
      <w:pPr>
        <w:pStyle w:val="BookText"/>
      </w:pPr>
      <w:r>
        <w:rPr>
          <w:rFonts w:ascii="IRNazanin" w:hAnsi="IRNazanin" w:eastAsia="IRNazanin" w:cs="IRNazanin"/>
          <w:lang w:bidi="fa-IR"/>
          <w:color w:val="111111"/>
          <w:sz w:val="28"/>
          <w:szCs w:val="28"/>
          <w:rtl/>
        </w:rPr>
        <w:t xml:space="preserve">ج 16، ص 354.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29" w:name="pg7742_70929"/>
    <w:bookmarkEnd w:id="829"/>
    <w:p>
      <w:pPr>
        <w:pStyle w:val="BookText"/>
      </w:pPr>
      <w:r>
        <w:rPr>
          <w:rFonts w:ascii="Amiri" w:hAnsi="Amiri" w:eastAsia="Amiri" w:cs="Amiri"/>
          <w:lang w:bidi="ar-SA"/>
          <w:color w:val="111111"/>
          <w:sz w:val="28"/>
          <w:szCs w:val="28"/>
          <w:rtl/>
        </w:rPr>
        <w:t xml:space="preserve">غماري ، علي بن ميمون -ابن ميمون ،</w:t>
      </w:r>
    </w:p>
    <w:p>
      <w:pPr>
        <w:pStyle w:val="BookText"/>
      </w:pPr>
      <w:r>
        <w:rPr>
          <w:rFonts w:ascii="Amiri" w:hAnsi="Amiri" w:eastAsia="Amiri" w:cs="Amiri"/>
          <w:lang w:bidi="ar-SA"/>
          <w:color w:val="111111"/>
          <w:sz w:val="28"/>
          <w:szCs w:val="28"/>
          <w:rtl/>
        </w:rPr>
        <w:t xml:space="preserve">علي بن ميمون</w:t>
      </w:r>
    </w:p>
    <w:p>
      <w:pPr>
        <w:pStyle w:val="Heading2"/>
      </w:pPr>
      <w:bookmarkStart w:id="6244" w:name="_Toc5346"/>
      <w:r>
        <w:t>غمام همداني ، محمّد بن يوسف، 1253 -</w:t>
      </w:r>
      <w:bookmarkEnd w:id="6244"/>
    </w:p>
    <w:p>
      <w:pPr>
        <w:pStyle w:val="BookText"/>
      </w:pPr>
      <w:r>
        <w:rPr>
          <w:rFonts w:ascii="IRNazanin" w:hAnsi="IRNazanin" w:eastAsia="IRNazanin" w:cs="IRNazanin"/>
          <w:lang w:bidi="fa-IR"/>
          <w:color w:val="111111"/>
          <w:sz w:val="28"/>
          <w:szCs w:val="28"/>
          <w:rtl/>
        </w:rPr>
        <w:t xml:space="preserve">1320 ش</w:t>
      </w:r>
    </w:p>
    <w:p>
      <w:pPr>
        <w:pStyle w:val="BookText"/>
      </w:pPr>
      <w:r>
        <w:rPr>
          <w:rFonts w:ascii="IRNazanin" w:hAnsi="IRNazanin" w:eastAsia="IRNazanin" w:cs="IRNazanin"/>
          <w:lang w:bidi="fa-IR"/>
          <w:color w:val="111111"/>
          <w:sz w:val="28"/>
          <w:szCs w:val="28"/>
          <w:rtl/>
        </w:rPr>
        <w:t xml:space="preserve">دیوان غمام همداني، ج7، ص731.</w:t>
      </w:r>
    </w:p>
    <w:p>
      <w:pPr>
        <w:pStyle w:val="Heading2"/>
      </w:pPr>
      <w:bookmarkStart w:id="6245" w:name="_Toc5347"/>
      <w:r>
        <w:t>غمري ، احمد ، احمد بن محمّد - 905 ه-</w:t>
      </w:r>
      <w:bookmarkEnd w:id="6245"/>
    </w:p>
    <w:p>
      <w:pPr>
        <w:pStyle w:val="BookText"/>
      </w:pPr>
      <w:r>
        <w:rPr>
          <w:rFonts w:ascii="Amiri" w:hAnsi="Amiri" w:eastAsia="Amiri" w:cs="Amiri"/>
          <w:lang w:bidi="ar-SA"/>
          <w:color w:val="111111"/>
          <w:sz w:val="28"/>
          <w:szCs w:val="28"/>
          <w:rtl/>
        </w:rPr>
        <w:t xml:space="preserve">حل الطلسم و كشف سر المبهم = سر الطلسم ، ج 6، ص 784.</w:t>
      </w:r>
    </w:p>
    <w:p>
      <w:pPr>
        <w:pStyle w:val="BookText"/>
      </w:pPr>
      <w:r>
        <w:rPr>
          <w:rFonts w:ascii="Amiri" w:hAnsi="Amiri" w:eastAsia="Amiri" w:cs="Amiri"/>
          <w:lang w:bidi="ar-SA"/>
          <w:color w:val="111111"/>
          <w:sz w:val="28"/>
          <w:szCs w:val="28"/>
          <w:rtl/>
        </w:rPr>
        <w:t xml:space="preserve">غمري، زين العابدين محمّد بن محمّد- سبط المرصفي ، محمّد بن محمّد</w:t>
      </w:r>
    </w:p>
    <w:p>
      <w:pPr>
        <w:pStyle w:val="BookText"/>
      </w:pPr>
      <w:r>
        <w:rPr>
          <w:rFonts w:ascii="Amiri" w:hAnsi="Amiri" w:eastAsia="Amiri" w:cs="Amiri"/>
          <w:lang w:bidi="ar-SA"/>
          <w:color w:val="111111"/>
          <w:sz w:val="28"/>
          <w:szCs w:val="28"/>
          <w:rtl/>
        </w:rPr>
        <w:t xml:space="preserve">غمري، عبدالوهاب بن عبد الله -عمري ،</w:t>
      </w:r>
    </w:p>
    <w:p>
      <w:pPr>
        <w:pStyle w:val="BookText"/>
      </w:pPr>
      <w:r>
        <w:rPr>
          <w:rFonts w:ascii="IRNazanin" w:hAnsi="IRNazanin" w:eastAsia="IRNazanin" w:cs="IRNazanin"/>
          <w:lang w:bidi="fa-IR"/>
          <w:color w:val="111111"/>
          <w:sz w:val="28"/>
          <w:szCs w:val="28"/>
          <w:rtl/>
        </w:rPr>
        <w:t xml:space="preserve">عبد الوهاب بن عبدالله</w:t>
      </w:r>
    </w:p>
    <w:p>
      <w:pPr>
        <w:pStyle w:val="BookText"/>
      </w:pPr>
      <w:r>
        <w:rPr>
          <w:rFonts w:ascii="Amiri" w:hAnsi="Amiri" w:eastAsia="Amiri" w:cs="Amiri"/>
          <w:lang w:bidi="ar-SA"/>
          <w:color w:val="111111"/>
          <w:sz w:val="28"/>
          <w:szCs w:val="28"/>
          <w:rtl/>
        </w:rPr>
        <w:t xml:space="preserve">غمري ، علي بن ميمون- ابن ميمون ، علي</w:t>
      </w:r>
    </w:p>
    <w:p>
      <w:pPr>
        <w:pStyle w:val="BookText"/>
      </w:pPr>
      <w:r>
        <w:rPr>
          <w:rFonts w:ascii="IRNazanin" w:hAnsi="IRNazanin" w:eastAsia="IRNazanin" w:cs="IRNazanin"/>
          <w:lang w:bidi="fa-IR"/>
          <w:color w:val="111111"/>
          <w:sz w:val="28"/>
          <w:szCs w:val="28"/>
          <w:rtl/>
        </w:rPr>
        <w:t xml:space="preserve">بن میمون</w:t>
      </w:r>
    </w:p>
    <w:p>
      <w:pPr>
        <w:pStyle w:val="BookText"/>
      </w:pPr>
      <w:r>
        <w:rPr>
          <w:rFonts w:ascii="Amiri" w:hAnsi="Amiri" w:eastAsia="Amiri" w:cs="Amiri"/>
          <w:lang w:bidi="ar-SA"/>
          <w:color w:val="111111"/>
          <w:sz w:val="28"/>
          <w:szCs w:val="28"/>
          <w:rtl/>
        </w:rPr>
        <w:t xml:space="preserve">غمري ، محمّد بن محمّد- سبط المرصفي</w:t>
      </w:r>
    </w:p>
    <w:p>
      <w:pPr>
        <w:pStyle w:val="BookText"/>
      </w:pPr>
      <w:r>
        <w:rPr>
          <w:rFonts w:ascii="Amiri" w:hAnsi="Amiri" w:eastAsia="Amiri" w:cs="Amiri"/>
          <w:lang w:bidi="ar-SA"/>
          <w:color w:val="111111"/>
          <w:sz w:val="28"/>
          <w:szCs w:val="28"/>
          <w:rtl/>
        </w:rPr>
        <w:t xml:space="preserve">محمّد بن محمّد</w:t>
      </w:r>
    </w:p>
    <w:p>
      <w:pPr>
        <w:pStyle w:val="Heading2"/>
      </w:pPr>
      <w:bookmarkStart w:id="6246" w:name="_Toc5348"/>
      <w:r>
        <w:t>غملاس ، عبدالله بن ابراهيم قرن 14 ه-</w:t>
      </w:r>
      <w:bookmarkEnd w:id="6246"/>
    </w:p>
    <w:p>
      <w:pPr>
        <w:pStyle w:val="BookText"/>
      </w:pPr>
      <w:r>
        <w:rPr>
          <w:rFonts w:ascii="Amiri" w:hAnsi="Amiri" w:eastAsia="Amiri" w:cs="Amiri"/>
          <w:lang w:bidi="ar-SA"/>
          <w:color w:val="111111"/>
          <w:sz w:val="28"/>
          <w:szCs w:val="28"/>
          <w:rtl/>
        </w:rPr>
        <w:t xml:space="preserve">1 .اخبار العشاق المنتخب من ديوان الصبابة و تزيين الاسواق، ج1،</w:t>
      </w:r>
    </w:p>
    <w:p>
      <w:pPr>
        <w:pStyle w:val="BookText"/>
      </w:pPr>
      <w:r>
        <w:rPr>
          <w:rFonts w:ascii="IRNazanin" w:hAnsi="IRNazanin" w:eastAsia="IRNazanin" w:cs="IRNazanin"/>
          <w:lang w:bidi="fa-IR"/>
          <w:color w:val="111111"/>
          <w:sz w:val="28"/>
          <w:szCs w:val="28"/>
          <w:rtl/>
        </w:rPr>
        <w:t xml:space="preserve">ص 531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ادعية، ج 1 ، ص 606.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اصول الامثال، ج 2، ص 405 .</w:t>
      </w:r>
    </w:p>
    <w:p>
      <w:pPr>
        <w:pStyle w:val="BookText"/>
      </w:pPr>
      <w:r>
        <w:rPr>
          <w:rFonts w:ascii="Amiri" w:hAnsi="Amiri" w:eastAsia="Amiri" w:cs="Amiri"/>
          <w:lang w:bidi="ar-SA"/>
          <w:color w:val="111111"/>
          <w:sz w:val="28"/>
          <w:szCs w:val="28"/>
          <w:rtl/>
        </w:rPr>
        <w:t xml:space="preserve">4 .الامداد في المدائح و الاضداد، ج 2،</w:t>
      </w:r>
    </w:p>
    <w:p>
      <w:pPr>
        <w:pStyle w:val="BookText"/>
      </w:pPr>
      <w:r>
        <w:rPr>
          <w:rFonts w:ascii="IRNazanin" w:hAnsi="IRNazanin" w:eastAsia="IRNazanin" w:cs="IRNazanin"/>
          <w:lang w:bidi="fa-IR"/>
          <w:color w:val="111111"/>
          <w:sz w:val="28"/>
          <w:szCs w:val="28"/>
          <w:rtl/>
        </w:rPr>
        <w:t xml:space="preserve">ص 757 .</w:t>
      </w:r>
    </w:p>
    <w:p>
      <w:pPr>
        <w:pStyle w:val="BookText"/>
      </w:pPr>
      <w:r>
        <w:rPr>
          <w:rFonts w:ascii="Amiri" w:hAnsi="Amiri" w:eastAsia="Amiri" w:cs="Amiri"/>
          <w:lang w:bidi="ar-SA"/>
          <w:color w:val="111111"/>
          <w:sz w:val="28"/>
          <w:szCs w:val="28"/>
          <w:rtl/>
        </w:rPr>
        <w:t xml:space="preserve">5 .البصرة، ج 3، ص 351.</w:t>
      </w:r>
    </w:p>
    <w:p>
      <w:pPr>
        <w:pStyle w:val="BookText"/>
      </w:pPr>
      <w:r>
        <w:rPr>
          <w:rFonts w:ascii="Amiri" w:hAnsi="Amiri" w:eastAsia="Amiri" w:cs="Amiri"/>
          <w:lang w:bidi="ar-SA"/>
          <w:color w:val="111111"/>
          <w:sz w:val="28"/>
          <w:szCs w:val="28"/>
          <w:rtl/>
        </w:rPr>
        <w:t xml:space="preserve">6 .تاريخ البصرة، ج 3، ص 561.</w:t>
      </w:r>
    </w:p>
    <w:p>
      <w:pPr>
        <w:pStyle w:val="BookText"/>
      </w:pPr>
      <w:r>
        <w:rPr>
          <w:rFonts w:ascii="Amiri" w:hAnsi="Amiri" w:eastAsia="Amiri" w:cs="Amiri"/>
          <w:lang w:bidi="ar-SA"/>
          <w:color w:val="111111"/>
          <w:sz w:val="28"/>
          <w:szCs w:val="28"/>
          <w:rtl/>
        </w:rPr>
        <w:t xml:space="preserve">7 .التاريخ المرتب في الشعر و الادب</w:t>
      </w:r>
    </w:p>
    <w:p>
      <w:pPr>
        <w:pStyle w:val="BookText"/>
      </w:pPr>
      <w:r>
        <w:rPr>
          <w:rFonts w:ascii="IRNazanin" w:hAnsi="IRNazanin" w:eastAsia="IRNazanin" w:cs="IRNazanin"/>
          <w:lang w:bidi="fa-IR"/>
          <w:color w:val="111111"/>
          <w:sz w:val="28"/>
          <w:szCs w:val="28"/>
          <w:rtl/>
        </w:rPr>
        <w:t xml:space="preserve">ج 3، ص 604.</w:t>
      </w:r>
    </w:p>
    <w:p>
      <w:pPr>
        <w:pStyle w:val="BookText"/>
      </w:pPr>
      <w:r>
        <w:rPr>
          <w:rFonts w:ascii="Amiri" w:hAnsi="Amiri" w:eastAsia="Amiri" w:cs="Amiri"/>
          <w:lang w:bidi="ar-SA"/>
          <w:color w:val="111111"/>
          <w:sz w:val="28"/>
          <w:szCs w:val="28"/>
          <w:rtl/>
        </w:rPr>
        <w:t xml:space="preserve">8 .التذكرة والعبرة في تاريخ بلد الزبير</w:t>
      </w:r>
    </w:p>
    <w:p>
      <w:pPr>
        <w:pStyle w:val="BookText"/>
      </w:pPr>
      <w:r>
        <w:rPr>
          <w:rFonts w:ascii="Amiri" w:hAnsi="Amiri" w:eastAsia="Amiri" w:cs="Amiri"/>
          <w:lang w:bidi="ar-SA"/>
          <w:color w:val="111111"/>
          <w:sz w:val="28"/>
          <w:szCs w:val="28"/>
          <w:rtl/>
        </w:rPr>
        <w:t xml:space="preserve">و البصرة، ج4، ص219 .</w:t>
      </w:r>
    </w:p>
    <w:p>
      <w:pPr>
        <w:pStyle w:val="BookText"/>
      </w:pPr>
      <w:r>
        <w:rPr>
          <w:rFonts w:ascii="Amiri" w:hAnsi="Amiri" w:eastAsia="Amiri" w:cs="Amiri"/>
          <w:lang w:bidi="ar-SA"/>
          <w:color w:val="111111"/>
          <w:sz w:val="28"/>
          <w:szCs w:val="28"/>
          <w:rtl/>
        </w:rPr>
        <w:t xml:space="preserve">9 .ترجمة حسين باشا و نوادره جع</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تلخيص شرح حديث النزول( لابن</w:t>
      </w:r>
    </w:p>
    <w:p>
      <w:pPr>
        <w:pStyle w:val="BookText"/>
      </w:pPr>
      <w:r>
        <w:rPr>
          <w:rFonts w:ascii="Amiri" w:hAnsi="Amiri" w:eastAsia="Amiri" w:cs="Amiri"/>
          <w:lang w:bidi="ar-SA"/>
          <w:color w:val="111111"/>
          <w:sz w:val="28"/>
          <w:szCs w:val="28"/>
          <w:rtl/>
        </w:rPr>
        <w:t xml:space="preserve">تيمية)، ج 4، ص 848.</w:t>
      </w:r>
    </w:p>
    <w:p>
      <w:pPr>
        <w:pStyle w:val="BookText"/>
      </w:pPr>
      <w:r>
        <w:rPr>
          <w:rFonts w:ascii="Amiri" w:hAnsi="Amiri" w:eastAsia="Amiri" w:cs="Amiri"/>
          <w:lang w:bidi="ar-SA"/>
          <w:color w:val="111111"/>
          <w:sz w:val="28"/>
          <w:szCs w:val="28"/>
          <w:rtl/>
        </w:rPr>
        <w:t xml:space="preserve">11 ديوان العشق، ج 7، ص721.</w:t>
      </w:r>
    </w:p>
    <w:p>
      <w:pPr>
        <w:pStyle w:val="BookText"/>
      </w:pPr>
      <w:r>
        <w:rPr>
          <w:rFonts w:ascii="IRNazanin" w:hAnsi="IRNazanin" w:eastAsia="IRNazanin" w:cs="IRNazanin"/>
          <w:lang w:bidi="fa-IR"/>
          <w:color w:val="111111"/>
          <w:sz w:val="28"/>
          <w:szCs w:val="28"/>
          <w:rtl/>
        </w:rPr>
        <w:t xml:space="preserve">12 .الرغائب، ج8، ص333.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سلاطين بني عثمان، ج8، ص 795.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سلوة الغريب و اسوة الاديب</w:t>
      </w:r>
    </w:p>
    <w:p>
      <w:pPr>
        <w:pStyle w:val="BookText"/>
      </w:pPr>
      <w:r>
        <w:rPr>
          <w:rFonts w:ascii="IRNazanin" w:hAnsi="IRNazanin" w:eastAsia="IRNazanin" w:cs="IRNazanin"/>
          <w:lang w:bidi="fa-IR"/>
          <w:color w:val="111111"/>
          <w:sz w:val="28"/>
          <w:szCs w:val="28"/>
          <w:rtl/>
        </w:rPr>
        <w:t xml:space="preserve">(منتخب)، ج8، ص 824.</w:t>
      </w:r>
    </w:p>
    <w:p>
      <w:pPr>
        <w:pStyle w:val="BookText"/>
      </w:pPr>
      <w:r>
        <w:rPr>
          <w:rFonts w:ascii="Amiri" w:hAnsi="Amiri" w:eastAsia="Amiri" w:cs="Amiri"/>
          <w:lang w:bidi="ar-SA"/>
          <w:color w:val="111111"/>
          <w:sz w:val="28"/>
          <w:szCs w:val="28"/>
          <w:rtl/>
        </w:rPr>
        <w:t xml:space="preserve">15 .طهارة الباطن في اختصار احاسن</w:t>
      </w:r>
    </w:p>
    <w:p>
      <w:pPr>
        <w:pStyle w:val="BookText"/>
      </w:pPr>
      <w:r>
        <w:rPr>
          <w:rFonts w:ascii="Amiri" w:hAnsi="Amiri" w:eastAsia="Amiri" w:cs="Amiri"/>
          <w:lang w:bidi="ar-SA"/>
          <w:color w:val="111111"/>
          <w:sz w:val="28"/>
          <w:szCs w:val="28"/>
          <w:rtl/>
        </w:rPr>
        <w:t xml:space="preserve">المحاسن المختصر من صفوة الصفوة لابن الجوزي، ج 10،</w:t>
      </w:r>
    </w:p>
    <w:p>
      <w:pPr>
        <w:pStyle w:val="BookText"/>
      </w:pPr>
      <w:r>
        <w:rPr>
          <w:rFonts w:ascii="IRNazanin" w:hAnsi="IRNazanin" w:eastAsia="IRNazanin" w:cs="IRNazanin"/>
          <w:lang w:bidi="fa-IR"/>
          <w:color w:val="111111"/>
          <w:sz w:val="28"/>
          <w:szCs w:val="28"/>
          <w:rtl/>
        </w:rPr>
        <w:t xml:space="preserve">ص 863.</w:t>
      </w:r>
    </w:p>
    <w:p>
      <w:pPr>
        <w:pStyle w:val="BookText"/>
      </w:pPr>
      <w:r>
        <w:rPr>
          <w:rFonts w:ascii="Amiri" w:hAnsi="Amiri" w:eastAsia="Amiri" w:cs="Amiri"/>
          <w:lang w:bidi="ar-SA"/>
          <w:color w:val="111111"/>
          <w:sz w:val="28"/>
          <w:szCs w:val="28"/>
          <w:rtl/>
        </w:rPr>
        <w:t xml:space="preserve">16 .عيون الامثال و مرآة الاحوال</w:t>
      </w:r>
    </w:p>
    <w:p>
      <w:pPr>
        <w:pStyle w:val="BookText"/>
      </w:pPr>
      <w:r>
        <w:rPr>
          <w:rFonts w:ascii="IRNazanin" w:hAnsi="IRNazanin" w:eastAsia="IRNazanin" w:cs="IRNazanin"/>
          <w:lang w:bidi="fa-IR"/>
          <w:color w:val="111111"/>
          <w:sz w:val="28"/>
          <w:szCs w:val="28"/>
          <w:rtl/>
        </w:rPr>
        <w:t xml:space="preserve">ج 11 ، ص 396.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فهرست حياة الحيوان، ج 12،</w:t>
      </w:r>
    </w:p>
    <w:p>
      <w:pPr>
        <w:pStyle w:val="BookText"/>
      </w:pPr>
      <w:r>
        <w:rPr>
          <w:rFonts w:ascii="IRNazanin" w:hAnsi="IRNazanin" w:eastAsia="IRNazanin" w:cs="IRNazanin"/>
          <w:lang w:bidi="fa-IR"/>
          <w:color w:val="111111"/>
          <w:sz w:val="28"/>
          <w:szCs w:val="28"/>
          <w:rtl/>
        </w:rPr>
        <w:t xml:space="preserve">ص150.</w:t>
      </w:r>
    </w:p>
    <w:p>
      <w:pPr>
        <w:pStyle w:val="BookText"/>
      </w:pPr>
      <w:r>
        <w:rPr>
          <w:rFonts w:ascii="Amiri" w:hAnsi="Amiri" w:eastAsia="Amiri" w:cs="Amiri"/>
          <w:lang w:bidi="ar-SA"/>
          <w:color w:val="111111"/>
          <w:sz w:val="28"/>
          <w:szCs w:val="28"/>
          <w:rtl/>
        </w:rPr>
        <w:t xml:space="preserve">18 .الفوائد البهية في طرف و اخبار</w:t>
      </w:r>
    </w:p>
    <w:p>
      <w:pPr>
        <w:pStyle w:val="BookText"/>
      </w:pPr>
      <w:r>
        <w:rPr>
          <w:rFonts w:ascii="Amiri" w:hAnsi="Amiri" w:eastAsia="Amiri" w:cs="Amiri"/>
          <w:lang w:bidi="ar-SA"/>
          <w:color w:val="111111"/>
          <w:sz w:val="28"/>
          <w:szCs w:val="28"/>
          <w:rtl/>
        </w:rPr>
        <w:t xml:space="preserve">ابن تيمية، ج 12، ص188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اللغة (مجموع في)، ج 13، ص 588.</w:t>
      </w:r>
    </w:p>
    <w:p>
      <w:pPr>
        <w:pStyle w:val="BookText"/>
      </w:pPr>
      <w:r>
        <w:rPr>
          <w:rFonts w:ascii="Amiri" w:hAnsi="Amiri" w:eastAsia="Amiri" w:cs="Amiri"/>
          <w:lang w:bidi="ar-SA"/>
          <w:color w:val="111111"/>
          <w:sz w:val="28"/>
          <w:szCs w:val="28"/>
          <w:rtl/>
        </w:rPr>
        <w:t xml:space="preserve">20 .المجالس الحسان في فضائل شهر</w:t>
      </w:r>
    </w:p>
    <w:p>
      <w:pPr>
        <w:pStyle w:val="BookText"/>
      </w:pPr>
      <w:r>
        <w:rPr>
          <w:rFonts w:ascii="IRNazanin" w:hAnsi="IRNazanin" w:eastAsia="IRNazanin" w:cs="IRNazanin"/>
          <w:lang w:bidi="fa-IR"/>
          <w:color w:val="111111"/>
          <w:sz w:val="28"/>
          <w:szCs w:val="28"/>
          <w:rtl/>
        </w:rPr>
        <w:t xml:space="preserve">رمضان، ج13، ص 789.</w:t>
      </w:r>
    </w:p>
    <w:p>
      <w:pPr>
        <w:pStyle w:val="BookText"/>
      </w:pPr>
      <w:r>
        <w:rPr>
          <w:rFonts w:ascii="Amiri" w:hAnsi="Amiri" w:eastAsia="Amiri" w:cs="Amiri"/>
          <w:lang w:bidi="ar-SA"/>
          <w:color w:val="111111"/>
          <w:sz w:val="28"/>
          <w:szCs w:val="28"/>
          <w:rtl/>
        </w:rPr>
        <w:t xml:space="preserve">21 .مختصر الأثر في اعيان القرن الحادي عشر للمحبي، ج 14، ص 169.</w:t>
      </w:r>
    </w:p>
    <w:p>
      <w:pPr>
        <w:pStyle w:val="BookText"/>
      </w:pPr>
      <w:r>
        <w:rPr>
          <w:rFonts w:ascii="Amiri" w:hAnsi="Amiri" w:eastAsia="Amiri" w:cs="Amiri"/>
          <w:lang w:bidi="ar-SA"/>
          <w:color w:val="111111"/>
          <w:sz w:val="28"/>
          <w:szCs w:val="28"/>
          <w:rtl/>
        </w:rPr>
        <w:t xml:space="preserve">22 .مختصر سلك الدرر في اعيان القرن</w:t>
      </w:r>
    </w:p>
    <w:p>
      <w:pPr>
        <w:pStyle w:val="BookText"/>
      </w:pPr>
      <w:r>
        <w:rPr>
          <w:rFonts w:ascii="Amiri" w:hAnsi="Amiri" w:eastAsia="Amiri" w:cs="Amiri"/>
          <w:lang w:bidi="ar-SA"/>
          <w:color w:val="111111"/>
          <w:sz w:val="28"/>
          <w:szCs w:val="28"/>
          <w:rtl/>
        </w:rPr>
        <w:t xml:space="preserve">الثاني عشر، ج 14 ، ص 195.</w:t>
      </w:r>
    </w:p>
    <w:p>
      <w:pPr>
        <w:pStyle w:val="BookText"/>
      </w:pPr>
      <w:r>
        <w:rPr>
          <w:rFonts w:ascii="Amiri" w:hAnsi="Amiri" w:eastAsia="Amiri" w:cs="Amiri"/>
          <w:lang w:bidi="ar-SA"/>
          <w:color w:val="111111"/>
          <w:sz w:val="28"/>
          <w:szCs w:val="28"/>
          <w:rtl/>
        </w:rPr>
        <w:t xml:space="preserve">23 .المخصص في الحكايات والقصص</w:t>
      </w:r>
    </w:p>
    <w:p>
      <w:pPr>
        <w:pStyle w:val="BookText"/>
      </w:pPr>
      <w:r>
        <w:rPr>
          <w:rFonts w:ascii="IRNazanin" w:hAnsi="IRNazanin" w:eastAsia="IRNazanin" w:cs="IRNazanin"/>
          <w:lang w:bidi="fa-IR"/>
          <w:color w:val="111111"/>
          <w:sz w:val="28"/>
          <w:szCs w:val="28"/>
          <w:rtl/>
        </w:rPr>
        <w:t xml:space="preserve">ج 14، ص 293.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30" w:name="pg7742_70931"/>
    <w:bookmarkEnd w:id="830"/>
    <w:p>
      <w:pPr>
        <w:pStyle w:val="BookText"/>
      </w:pPr>
      <w:r>
        <w:rPr>
          <w:rFonts w:ascii="IRNazanin" w:hAnsi="IRNazanin" w:eastAsia="IRNazanin" w:cs="IRNazanin"/>
          <w:lang w:bidi="fa-IR"/>
          <w:color w:val="111111"/>
          <w:sz w:val="28"/>
          <w:szCs w:val="28"/>
          <w:rtl/>
        </w:rPr>
        <w:t xml:space="preserve">24 .منتخبات، ج 15 ص 591.</w:t>
      </w:r>
    </w:p>
    <w:p>
      <w:pPr>
        <w:pStyle w:val="BookText"/>
      </w:pPr>
      <w:r>
        <w:rPr>
          <w:rFonts w:ascii="Amiri" w:hAnsi="Amiri" w:eastAsia="Amiri" w:cs="Amiri"/>
          <w:lang w:bidi="ar-SA"/>
          <w:color w:val="111111"/>
          <w:sz w:val="28"/>
          <w:szCs w:val="28"/>
          <w:rtl/>
        </w:rPr>
        <w:t xml:space="preserve">25 .نزهة العيون جامع العلوم و</w:t>
      </w:r>
    </w:p>
    <w:p>
      <w:pPr>
        <w:pStyle w:val="BookText"/>
      </w:pPr>
      <w:r>
        <w:rPr>
          <w:rFonts w:ascii="IRNazanin" w:hAnsi="IRNazanin" w:eastAsia="IRNazanin" w:cs="IRNazanin"/>
          <w:lang w:bidi="fa-IR"/>
          <w:color w:val="111111"/>
          <w:sz w:val="28"/>
          <w:szCs w:val="28"/>
          <w:rtl/>
        </w:rPr>
        <w:t xml:space="preserve">الفنون، ج 16 ، ص 237.</w:t>
      </w:r>
    </w:p>
    <w:p>
      <w:pPr>
        <w:pStyle w:val="BookText"/>
      </w:pPr>
      <w:r>
        <w:rPr>
          <w:rFonts w:ascii="Amiri" w:hAnsi="Amiri" w:eastAsia="Amiri" w:cs="Amiri"/>
          <w:lang w:bidi="ar-SA"/>
          <w:color w:val="111111"/>
          <w:sz w:val="28"/>
          <w:szCs w:val="28"/>
          <w:rtl/>
        </w:rPr>
        <w:t xml:space="preserve">26 .نوادر في اللغة، ج 16، ص 543.</w:t>
      </w:r>
    </w:p>
    <w:p>
      <w:pPr>
        <w:pStyle w:val="BookText"/>
      </w:pPr>
      <w:r>
        <w:rPr>
          <w:rFonts w:ascii="Amiri" w:hAnsi="Amiri" w:eastAsia="Amiri" w:cs="Amiri"/>
          <w:lang w:bidi="ar-SA"/>
          <w:color w:val="111111"/>
          <w:sz w:val="28"/>
          <w:szCs w:val="28"/>
          <w:rtl/>
        </w:rPr>
        <w:t xml:space="preserve">غندجاني ، حسن بن احمد -اسود غندجاني ، حسن بن احمد</w:t>
      </w:r>
    </w:p>
    <w:p>
      <w:pPr>
        <w:pStyle w:val="Heading2"/>
      </w:pPr>
      <w:bookmarkStart w:id="6247" w:name="_Toc5349"/>
      <w:r>
        <w:t>غنوي ، محمّد بن ناصر</w:t>
      </w:r>
      <w:bookmarkEnd w:id="6247"/>
    </w:p>
    <w:p>
      <w:pPr>
        <w:pStyle w:val="BookText"/>
      </w:pPr>
      <w:r>
        <w:rPr>
          <w:rFonts w:ascii="Amiri" w:hAnsi="Amiri" w:eastAsia="Amiri" w:cs="Amiri"/>
          <w:lang w:bidi="ar-SA"/>
          <w:color w:val="111111"/>
          <w:sz w:val="28"/>
          <w:szCs w:val="28"/>
          <w:rtl/>
        </w:rPr>
        <w:t xml:space="preserve">ديوان ابي البحر جعفر الخطي، ج7،</w:t>
      </w:r>
    </w:p>
    <w:p>
      <w:pPr>
        <w:pStyle w:val="BookText"/>
      </w:pPr>
      <w:r>
        <w:rPr>
          <w:rFonts w:ascii="IRNazanin" w:hAnsi="IRNazanin" w:eastAsia="IRNazanin" w:cs="IRNazanin"/>
          <w:lang w:bidi="fa-IR"/>
          <w:color w:val="111111"/>
          <w:sz w:val="28"/>
          <w:szCs w:val="28"/>
          <w:rtl/>
        </w:rPr>
        <w:t xml:space="preserve">ص 561 .</w:t>
      </w:r>
    </w:p>
    <w:p>
      <w:pPr>
        <w:pStyle w:val="Heading2"/>
      </w:pPr>
      <w:bookmarkStart w:id="6248" w:name="_Toc5350"/>
      <w:r>
        <w:t>غنيم ، محمّد</w:t>
      </w:r>
      <w:bookmarkEnd w:id="6248"/>
    </w:p>
    <w:p>
      <w:pPr>
        <w:pStyle w:val="BookText"/>
      </w:pPr>
      <w:r>
        <w:rPr>
          <w:rFonts w:ascii="Amiri" w:hAnsi="Amiri" w:eastAsia="Amiri" w:cs="Amiri"/>
          <w:lang w:bidi="ar-SA"/>
          <w:color w:val="111111"/>
          <w:sz w:val="28"/>
          <w:szCs w:val="28"/>
          <w:rtl/>
        </w:rPr>
        <w:t xml:space="preserve">مجر الاشطان في مجرى الحسان، ج 13،</w:t>
      </w:r>
    </w:p>
    <w:p>
      <w:pPr>
        <w:pStyle w:val="BookText"/>
      </w:pPr>
      <w:r>
        <w:rPr>
          <w:rFonts w:ascii="IRNazanin" w:hAnsi="IRNazanin" w:eastAsia="IRNazanin" w:cs="IRNazanin"/>
          <w:lang w:bidi="fa-IR"/>
          <w:color w:val="111111"/>
          <w:sz w:val="28"/>
          <w:szCs w:val="28"/>
          <w:rtl/>
        </w:rPr>
        <w:t xml:space="preserve">ص 810</w:t>
      </w:r>
    </w:p>
    <w:p>
      <w:pPr>
        <w:pStyle w:val="BookText"/>
      </w:pPr>
      <w:r>
        <w:rPr>
          <w:rFonts w:ascii="Amiri" w:hAnsi="Amiri" w:eastAsia="Amiri" w:cs="Amiri"/>
          <w:lang w:bidi="ar-SA"/>
          <w:color w:val="111111"/>
          <w:sz w:val="28"/>
          <w:szCs w:val="28"/>
          <w:rtl/>
        </w:rPr>
        <w:t xml:space="preserve">غنيمي ، احمد بن عمر- ديربي ، احمد بن عمر</w:t>
      </w:r>
    </w:p>
    <w:p>
      <w:pPr>
        <w:pStyle w:val="Heading2"/>
      </w:pPr>
      <w:bookmarkStart w:id="6249" w:name="_Toc5351"/>
      <w:r>
        <w:t>غنيمي، احمد بن محمّد 964-1044 ه-</w:t>
      </w:r>
      <w:bookmarkEnd w:id="6249"/>
    </w:p>
    <w:p>
      <w:pPr>
        <w:pStyle w:val="BookText"/>
      </w:pPr>
      <w:r>
        <w:rPr>
          <w:rFonts w:ascii="Amiri" w:hAnsi="Amiri" w:eastAsia="Amiri" w:cs="Amiri"/>
          <w:lang w:bidi="ar-SA"/>
          <w:color w:val="111111"/>
          <w:sz w:val="28"/>
          <w:szCs w:val="28"/>
          <w:rtl/>
        </w:rPr>
        <w:t xml:space="preserve">1 .إبتهاج الصدور في بيان كيفية الإضافة و التثنية والجمع المنصوص والمقصور، ج 1، ص92.</w:t>
      </w:r>
    </w:p>
    <w:p>
      <w:pPr>
        <w:pStyle w:val="BookText"/>
      </w:pPr>
      <w:r>
        <w:rPr>
          <w:rFonts w:ascii="Amiri" w:hAnsi="Amiri" w:eastAsia="Amiri" w:cs="Amiri"/>
          <w:lang w:bidi="ar-SA"/>
          <w:color w:val="111111"/>
          <w:sz w:val="28"/>
          <w:szCs w:val="28"/>
          <w:rtl/>
        </w:rPr>
        <w:t xml:space="preserve">2 .بلوغ الأرب بتحرير النسب، ج3،</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علم التفسير (رسالة في)، ج11،</w:t>
      </w:r>
    </w:p>
    <w:p>
      <w:pPr>
        <w:pStyle w:val="BookText"/>
      </w:pPr>
      <w:r>
        <w:rPr>
          <w:rFonts w:ascii="IRNazanin" w:hAnsi="IRNazanin" w:eastAsia="IRNazanin" w:cs="IRNazanin"/>
          <w:lang w:bidi="fa-IR"/>
          <w:color w:val="111111"/>
          <w:sz w:val="28"/>
          <w:szCs w:val="28"/>
          <w:rtl/>
        </w:rPr>
        <w:t xml:space="preserve">ص 236 .</w:t>
      </w:r>
    </w:p>
    <w:p>
      <w:pPr>
        <w:pStyle w:val="BookText"/>
      </w:pPr>
      <w:r>
        <w:rPr>
          <w:rFonts w:ascii="Amiri" w:hAnsi="Amiri" w:eastAsia="Amiri" w:cs="Amiri"/>
          <w:lang w:bidi="ar-SA"/>
          <w:color w:val="111111"/>
          <w:sz w:val="28"/>
          <w:szCs w:val="28"/>
          <w:rtl/>
        </w:rPr>
        <w:t xml:space="preserve">غنيمي، اسماعيل بن غنيم - جوهري ،</w:t>
      </w:r>
    </w:p>
    <w:p>
      <w:pPr>
        <w:pStyle w:val="BookText"/>
      </w:pPr>
      <w:r>
        <w:rPr>
          <w:rFonts w:ascii="Amiri" w:hAnsi="Amiri" w:eastAsia="Amiri" w:cs="Amiri"/>
          <w:lang w:bidi="ar-SA"/>
          <w:color w:val="111111"/>
          <w:sz w:val="28"/>
          <w:szCs w:val="28"/>
          <w:rtl/>
        </w:rPr>
        <w:t xml:space="preserve">اسماعيل بن غنيم</w:t>
      </w:r>
    </w:p>
    <w:p>
      <w:pPr>
        <w:pStyle w:val="BookText"/>
      </w:pPr>
      <w:r>
        <w:rPr>
          <w:rFonts w:ascii="Amiri" w:hAnsi="Amiri" w:eastAsia="Amiri" w:cs="Amiri"/>
          <w:lang w:bidi="ar-SA"/>
          <w:color w:val="111111"/>
          <w:sz w:val="28"/>
          <w:szCs w:val="28"/>
          <w:rtl/>
        </w:rPr>
        <w:t xml:space="preserve">غنيمي ، عبدالغني بن طالب- ميداني ،</w:t>
      </w:r>
    </w:p>
    <w:p>
      <w:pPr>
        <w:pStyle w:val="BookText"/>
      </w:pPr>
      <w:r>
        <w:rPr>
          <w:rFonts w:ascii="Amiri" w:hAnsi="Amiri" w:eastAsia="Amiri" w:cs="Amiri"/>
          <w:lang w:bidi="ar-SA"/>
          <w:color w:val="111111"/>
          <w:sz w:val="28"/>
          <w:szCs w:val="28"/>
          <w:rtl/>
        </w:rPr>
        <w:t xml:space="preserve">عبدالغني بن طالب</w:t>
      </w:r>
    </w:p>
    <w:p>
      <w:pPr>
        <w:pStyle w:val="BookText"/>
      </w:pPr>
      <w:r>
        <w:rPr>
          <w:rFonts w:ascii="Amiri" w:hAnsi="Amiri" w:eastAsia="Amiri" w:cs="Amiri"/>
          <w:lang w:bidi="ar-SA"/>
          <w:color w:val="111111"/>
          <w:sz w:val="28"/>
          <w:szCs w:val="28"/>
          <w:rtl/>
        </w:rPr>
        <w:t xml:space="preserve">غوث اعظم -عبد القادر جيلاني ،</w:t>
      </w:r>
    </w:p>
    <w:p>
      <w:pPr>
        <w:pStyle w:val="BookText"/>
      </w:pPr>
      <w:r>
        <w:rPr>
          <w:rFonts w:ascii="IRNazanin" w:hAnsi="IRNazanin" w:eastAsia="IRNazanin" w:cs="IRNazanin"/>
          <w:lang w:bidi="fa-IR"/>
          <w:color w:val="111111"/>
          <w:sz w:val="28"/>
          <w:szCs w:val="28"/>
          <w:rtl/>
        </w:rPr>
        <w:t xml:space="preserve">عبد القادر بن موسى</w:t>
      </w:r>
    </w:p>
    <w:p>
      <w:pPr>
        <w:pStyle w:val="BookText"/>
      </w:pPr>
      <w:r>
        <w:rPr>
          <w:rFonts w:ascii="Amiri" w:hAnsi="Amiri" w:eastAsia="Amiri" w:cs="Amiri"/>
          <w:lang w:bidi="ar-SA"/>
          <w:color w:val="111111"/>
          <w:sz w:val="28"/>
          <w:szCs w:val="28"/>
          <w:rtl/>
        </w:rPr>
        <w:t xml:space="preserve">غوري ، حسين بن عالم -حسيني هروي ،</w:t>
      </w:r>
    </w:p>
    <w:p>
      <w:pPr>
        <w:pStyle w:val="BookText"/>
      </w:pPr>
      <w:r>
        <w:rPr>
          <w:rFonts w:ascii="IRNazanin" w:hAnsi="IRNazanin" w:eastAsia="IRNazanin" w:cs="IRNazanin"/>
          <w:lang w:bidi="fa-IR"/>
          <w:color w:val="111111"/>
          <w:sz w:val="28"/>
          <w:szCs w:val="28"/>
          <w:rtl/>
        </w:rPr>
        <w:t xml:space="preserve">امير حسين بن امیر عالم</w:t>
      </w:r>
    </w:p>
    <w:p>
      <w:pPr>
        <w:pStyle w:val="Heading2"/>
      </w:pPr>
      <w:bookmarkStart w:id="6250" w:name="_Toc5352"/>
      <w:r>
        <w:t>غوري ، علي بن احمد - 735 ه-</w:t>
      </w:r>
      <w:bookmarkEnd w:id="6250"/>
    </w:p>
    <w:p>
      <w:pPr>
        <w:pStyle w:val="BookText"/>
      </w:pPr>
      <w:r>
        <w:rPr>
          <w:rFonts w:ascii="Amiri" w:hAnsi="Amiri" w:eastAsia="Amiri" w:cs="Amiri"/>
          <w:lang w:bidi="ar-SA"/>
          <w:color w:val="111111"/>
          <w:sz w:val="28"/>
          <w:szCs w:val="28"/>
          <w:rtl/>
        </w:rPr>
        <w:t xml:space="preserve">كنز العباد في شرح الاوراد، ج 13،</w:t>
      </w:r>
    </w:p>
    <w:p>
      <w:pPr>
        <w:pStyle w:val="BookText"/>
      </w:pPr>
      <w:r>
        <w:rPr>
          <w:rFonts w:ascii="IRNazanin" w:hAnsi="IRNazanin" w:eastAsia="IRNazanin" w:cs="IRNazanin"/>
          <w:lang w:bidi="fa-IR"/>
          <w:color w:val="111111"/>
          <w:sz w:val="28"/>
          <w:szCs w:val="28"/>
          <w:rtl/>
        </w:rPr>
        <w:t xml:space="preserve">ص 424 .</w:t>
      </w:r>
    </w:p>
    <w:p>
      <w:pPr>
        <w:pStyle w:val="Heading2"/>
      </w:pPr>
      <w:bookmarkStart w:id="6251" w:name="_Toc5353"/>
      <w:r>
        <w:t>غوطي، موسى بن محمّد قرن 12 ه-</w:t>
      </w:r>
      <w:bookmarkEnd w:id="6251"/>
    </w:p>
    <w:p>
      <w:pPr>
        <w:pStyle w:val="BookText"/>
      </w:pPr>
      <w:r>
        <w:rPr>
          <w:rFonts w:ascii="Amiri" w:hAnsi="Amiri" w:eastAsia="Amiri" w:cs="Amiri"/>
          <w:lang w:bidi="ar-SA"/>
          <w:color w:val="111111"/>
          <w:sz w:val="28"/>
          <w:szCs w:val="28"/>
          <w:rtl/>
        </w:rPr>
        <w:t xml:space="preserve">1 .التحفة القلبية في بعض المثلثات</w:t>
      </w:r>
    </w:p>
    <w:p>
      <w:pPr>
        <w:pStyle w:val="BookText"/>
      </w:pPr>
      <w:r>
        <w:rPr>
          <w:rFonts w:ascii="Amiri" w:hAnsi="Amiri" w:eastAsia="Amiri" w:cs="Amiri"/>
          <w:lang w:bidi="ar-SA"/>
          <w:color w:val="111111"/>
          <w:sz w:val="28"/>
          <w:szCs w:val="28"/>
          <w:rtl/>
        </w:rPr>
        <w:t xml:space="preserve">اللغوية، ج3، ص879.</w:t>
      </w:r>
    </w:p>
    <w:p>
      <w:pPr>
        <w:pStyle w:val="BookText"/>
      </w:pPr>
      <w:r>
        <w:rPr>
          <w:rFonts w:ascii="Amiri" w:hAnsi="Amiri" w:eastAsia="Amiri" w:cs="Amiri"/>
          <w:lang w:bidi="ar-SA"/>
          <w:color w:val="111111"/>
          <w:sz w:val="28"/>
          <w:szCs w:val="28"/>
          <w:rtl/>
        </w:rPr>
        <w:t xml:space="preserve">2 .معرفة وقوع الحوادث في مستقبل</w:t>
      </w:r>
    </w:p>
    <w:p>
      <w:pPr>
        <w:pStyle w:val="BookText"/>
      </w:pPr>
      <w:r>
        <w:rPr>
          <w:rFonts w:ascii="Amiri" w:hAnsi="Amiri" w:eastAsia="Amiri" w:cs="Amiri"/>
          <w:lang w:bidi="ar-SA"/>
          <w:color w:val="111111"/>
          <w:sz w:val="28"/>
          <w:szCs w:val="28"/>
          <w:rtl/>
        </w:rPr>
        <w:t xml:space="preserve">الزمان (رسالة في)، ج 15، ص 77.</w:t>
      </w:r>
    </w:p>
    <w:p>
      <w:pPr>
        <w:pStyle w:val="BookText"/>
      </w:pPr>
      <w:r>
        <w:rPr>
          <w:rFonts w:ascii="IRNazanin" w:hAnsi="IRNazanin" w:eastAsia="IRNazanin" w:cs="IRNazanin"/>
          <w:lang w:bidi="fa-IR"/>
          <w:color w:val="111111"/>
          <w:sz w:val="28"/>
          <w:szCs w:val="28"/>
          <w:rtl/>
        </w:rPr>
        <w:t xml:space="preserve">غياث الدين جمشید کاشاني- كاشي ،</w:t>
      </w:r>
    </w:p>
    <w:p>
      <w:pPr>
        <w:pStyle w:val="BookText"/>
      </w:pPr>
      <w:r>
        <w:rPr>
          <w:rFonts w:ascii="IRNazanin" w:hAnsi="IRNazanin" w:eastAsia="IRNazanin" w:cs="IRNazanin"/>
          <w:lang w:bidi="fa-IR"/>
          <w:color w:val="111111"/>
          <w:sz w:val="28"/>
          <w:szCs w:val="28"/>
          <w:rtl/>
        </w:rPr>
        <w:t xml:space="preserve">جمشید بن مسعود</w:t>
      </w:r>
    </w:p>
    <w:p>
      <w:pPr>
        <w:pStyle w:val="Heading2"/>
      </w:pPr>
      <w:bookmarkStart w:id="6252" w:name="_Toc5354"/>
      <w:r>
        <w:t>غیاث الدین رامپوري ، محمّد بن جلال</w:t>
      </w:r>
      <w:bookmarkEnd w:id="6252"/>
    </w:p>
    <w:p>
      <w:pPr>
        <w:pStyle w:val="BookText"/>
      </w:pPr>
      <w:r>
        <w:rPr>
          <w:rFonts w:ascii="Amiri" w:hAnsi="Amiri" w:eastAsia="Amiri" w:cs="Amiri"/>
          <w:lang w:bidi="ar-SA"/>
          <w:color w:val="111111"/>
          <w:sz w:val="28"/>
          <w:szCs w:val="28"/>
          <w:rtl/>
        </w:rPr>
        <w:t xml:space="preserve">الدين - 1368 ه-</w:t>
      </w:r>
    </w:p>
    <w:p>
      <w:pPr>
        <w:pStyle w:val="BookText"/>
      </w:pPr>
      <w:r>
        <w:rPr>
          <w:rFonts w:ascii="IRNazanin" w:hAnsi="IRNazanin" w:eastAsia="IRNazanin" w:cs="IRNazanin"/>
          <w:lang w:bidi="fa-IR"/>
          <w:color w:val="111111"/>
          <w:sz w:val="28"/>
          <w:szCs w:val="28"/>
          <w:rtl/>
        </w:rPr>
        <w:t xml:space="preserve">غیاث اللغات، ج 11، ص 545.</w:t>
      </w:r>
    </w:p>
    <w:p>
      <w:pPr>
        <w:pStyle w:val="BookText"/>
      </w:pPr>
      <w:r>
        <w:rPr>
          <w:rFonts w:ascii="IRNazanin" w:hAnsi="IRNazanin" w:eastAsia="IRNazanin" w:cs="IRNazanin"/>
          <w:lang w:bidi="fa-IR"/>
          <w:color w:val="111111"/>
          <w:sz w:val="28"/>
          <w:szCs w:val="28"/>
          <w:rtl/>
        </w:rPr>
        <w:t xml:space="preserve">غياث الدين منصور دشتکي- دشتكي</w:t>
      </w:r>
    </w:p>
    <w:p>
      <w:pPr>
        <w:pStyle w:val="BookText"/>
      </w:pPr>
      <w:r>
        <w:rPr>
          <w:rFonts w:ascii="IRNazanin" w:hAnsi="IRNazanin" w:eastAsia="IRNazanin" w:cs="IRNazanin"/>
          <w:lang w:bidi="fa-IR"/>
          <w:color w:val="111111"/>
          <w:sz w:val="28"/>
          <w:szCs w:val="28"/>
          <w:rtl/>
        </w:rPr>
        <w:t xml:space="preserve">شيرازي ، منصور بن صدرالدین محمّد</w:t>
      </w:r>
    </w:p>
    <w:p>
      <w:pPr>
        <w:pStyle w:val="BookText"/>
      </w:pPr>
      <w:r>
        <w:rPr>
          <w:rFonts w:ascii="Amiri" w:hAnsi="Amiri" w:eastAsia="Amiri" w:cs="Amiri"/>
          <w:lang w:bidi="ar-SA"/>
          <w:color w:val="111111"/>
          <w:sz w:val="28"/>
          <w:szCs w:val="28"/>
          <w:rtl/>
        </w:rPr>
        <w:t xml:space="preserve">غياث بن علاء دبيني ايجي- ايجي</w:t>
      </w:r>
    </w:p>
    <w:p>
      <w:pPr>
        <w:pStyle w:val="BookText"/>
      </w:pPr>
      <w:r>
        <w:rPr>
          <w:rFonts w:ascii="IRNazanin" w:hAnsi="IRNazanin" w:eastAsia="IRNazanin" w:cs="IRNazanin"/>
          <w:lang w:bidi="fa-IR"/>
          <w:color w:val="111111"/>
          <w:sz w:val="28"/>
          <w:szCs w:val="28"/>
          <w:rtl/>
        </w:rPr>
        <w:t xml:space="preserve">منصور بن حسن</w:t>
      </w:r>
    </w:p>
    <w:p>
      <w:pPr>
        <w:pStyle w:val="Heading2"/>
      </w:pPr>
      <w:bookmarkStart w:id="6253" w:name="_Toc5355"/>
      <w:r>
        <w:t>غياث دهلوي، صادق حسين قرن 14 ه-</w:t>
      </w:r>
      <w:bookmarkEnd w:id="6253"/>
    </w:p>
    <w:p>
      <w:pPr>
        <w:pStyle w:val="BookText"/>
      </w:pPr>
      <w:r>
        <w:rPr>
          <w:rFonts w:ascii="Amiri" w:hAnsi="Amiri" w:eastAsia="Amiri" w:cs="Amiri"/>
          <w:lang w:bidi="ar-SA"/>
          <w:color w:val="111111"/>
          <w:sz w:val="28"/>
          <w:szCs w:val="28"/>
          <w:rtl/>
        </w:rPr>
        <w:t xml:space="preserve">ذخيرة الاحاديث، ج7، ص 819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31" w:name="pg7742_70933"/>
    <w:bookmarkEnd w:id="831"/>
    <w:p>
      <w:pPr>
        <w:pStyle w:val="BookText"/>
      </w:pPr>
      <w:r>
        <w:rPr>
          <w:rFonts w:ascii="Amiri" w:hAnsi="Amiri" w:eastAsia="Amiri" w:cs="Amiri"/>
          <w:lang w:bidi="ar-SA"/>
          <w:color w:val="111111"/>
          <w:sz w:val="28"/>
          <w:szCs w:val="28"/>
          <w:rtl/>
        </w:rPr>
        <w:t xml:space="preserve">غياث طبيب ، محّمد بن</w:t>
      </w:r>
    </w:p>
    <w:p>
      <w:pPr>
        <w:pStyle w:val="BookText"/>
      </w:pPr>
      <w:r>
        <w:rPr>
          <w:rFonts w:ascii="IRNazanin" w:hAnsi="IRNazanin" w:eastAsia="IRNazanin" w:cs="IRNazanin"/>
          <w:lang w:bidi="fa-IR"/>
          <w:color w:val="111111"/>
          <w:sz w:val="28"/>
          <w:szCs w:val="28"/>
          <w:rtl/>
        </w:rPr>
        <w:t xml:space="preserve">علاء الدين - سبزواري ، محمّد بن علاءالدین</w:t>
      </w:r>
    </w:p>
    <w:p>
      <w:pPr>
        <w:pStyle w:val="Heading2"/>
      </w:pPr>
      <w:bookmarkStart w:id="6254" w:name="_Toc5356"/>
      <w:r>
        <w:t>غيطي، محمّد بن احمد - 984؟ ه-</w:t>
      </w:r>
      <w:bookmarkEnd w:id="62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الابتهاج بالكلام على الاسراء و</w:t>
      </w:r>
    </w:p>
    <w:p>
      <w:pPr>
        <w:pStyle w:val="BookText"/>
      </w:pPr>
      <w:r>
        <w:rPr>
          <w:rFonts w:ascii="IRNazanin" w:hAnsi="IRNazanin" w:eastAsia="IRNazanin" w:cs="IRNazanin"/>
          <w:lang w:bidi="fa-IR"/>
          <w:color w:val="111111"/>
          <w:sz w:val="28"/>
          <w:szCs w:val="28"/>
          <w:rtl/>
        </w:rPr>
        <w:t xml:space="preserve">المعراج، ج 1، ص92.</w:t>
      </w:r>
    </w:p>
    <w:p>
      <w:pPr>
        <w:pStyle w:val="BookText"/>
      </w:pPr>
      <w:r>
        <w:rPr>
          <w:rFonts w:ascii="Amiri" w:hAnsi="Amiri" w:eastAsia="Amiri" w:cs="Amiri"/>
          <w:lang w:bidi="ar-SA"/>
          <w:color w:val="111111"/>
          <w:sz w:val="28"/>
          <w:szCs w:val="28"/>
          <w:rtl/>
        </w:rPr>
        <w:t xml:space="preserve">2 .اتحاف اهل الايمان بفوائد تتعلق</w:t>
      </w:r>
    </w:p>
    <w:p>
      <w:pPr>
        <w:pStyle w:val="BookText"/>
      </w:pPr>
      <w:r>
        <w:rPr>
          <w:rFonts w:ascii="IRNazanin" w:hAnsi="IRNazanin" w:eastAsia="IRNazanin" w:cs="IRNazanin"/>
          <w:lang w:bidi="fa-IR"/>
          <w:color w:val="111111"/>
          <w:sz w:val="28"/>
          <w:szCs w:val="28"/>
          <w:rtl/>
        </w:rPr>
        <w:t xml:space="preserve">بالاسلام و الایمان، ج1، ص127</w:t>
      </w:r>
    </w:p>
    <w:p>
      <w:pPr>
        <w:pStyle w:val="BookText"/>
      </w:pPr>
      <w:r>
        <w:rPr>
          <w:rFonts w:ascii="Amiri" w:hAnsi="Amiri" w:eastAsia="Amiri" w:cs="Amiri"/>
          <w:lang w:bidi="ar-SA"/>
          <w:color w:val="111111"/>
          <w:sz w:val="28"/>
          <w:szCs w:val="28"/>
          <w:rtl/>
        </w:rPr>
        <w:t xml:space="preserve">3 .اجوبة مسائل اعتقادية = الاجوبة المفيدة على الاسئلة العددية، ج1،</w:t>
      </w:r>
    </w:p>
    <w:p>
      <w:pPr>
        <w:pStyle w:val="BookText"/>
      </w:pPr>
      <w:r>
        <w:rPr>
          <w:rFonts w:ascii="IRNazanin" w:hAnsi="IRNazanin" w:eastAsia="IRNazanin" w:cs="IRNazanin"/>
          <w:lang w:bidi="fa-IR"/>
          <w:color w:val="111111"/>
          <w:sz w:val="28"/>
          <w:szCs w:val="28"/>
          <w:rtl/>
        </w:rPr>
        <w:t xml:space="preserve">ص 342.</w:t>
      </w:r>
    </w:p>
    <w:p>
      <w:pPr>
        <w:pStyle w:val="BookText"/>
      </w:pPr>
      <w:r>
        <w:rPr>
          <w:rFonts w:ascii="Amiri" w:hAnsi="Amiri" w:eastAsia="Amiri" w:cs="Amiri"/>
          <w:lang w:bidi="ar-SA"/>
          <w:color w:val="111111"/>
          <w:sz w:val="28"/>
          <w:szCs w:val="28"/>
          <w:rtl/>
        </w:rPr>
        <w:t xml:space="preserve">4 .الأربعون حديثاً، ج 1، ص 699.</w:t>
      </w:r>
    </w:p>
    <w:p>
      <w:pPr>
        <w:pStyle w:val="BookText"/>
      </w:pPr>
      <w:r>
        <w:rPr>
          <w:rFonts w:ascii="Amiri" w:hAnsi="Amiri" w:eastAsia="Amiri" w:cs="Amiri"/>
          <w:lang w:bidi="ar-SA"/>
          <w:color w:val="111111"/>
          <w:sz w:val="28"/>
          <w:szCs w:val="28"/>
          <w:rtl/>
        </w:rPr>
        <w:t xml:space="preserve">5 .أسئلة و أجوبة، ج 2، ص91.</w:t>
      </w:r>
    </w:p>
    <w:p>
      <w:pPr>
        <w:pStyle w:val="BookText"/>
      </w:pPr>
      <w:r>
        <w:rPr>
          <w:rFonts w:ascii="Amiri" w:hAnsi="Amiri" w:eastAsia="Amiri" w:cs="Amiri"/>
          <w:lang w:bidi="ar-SA"/>
          <w:color w:val="111111"/>
          <w:sz w:val="28"/>
          <w:szCs w:val="28"/>
          <w:rtl/>
        </w:rPr>
        <w:t xml:space="preserve">6 .إعراب الآجرومية في علم العربية</w:t>
      </w:r>
    </w:p>
    <w:p>
      <w:pPr>
        <w:pStyle w:val="BookText"/>
      </w:pPr>
      <w:r>
        <w:rPr>
          <w:rFonts w:ascii="IRNazanin" w:hAnsi="IRNazanin" w:eastAsia="IRNazanin" w:cs="IRNazanin"/>
          <w:lang w:bidi="fa-IR"/>
          <w:color w:val="111111"/>
          <w:sz w:val="28"/>
          <w:szCs w:val="28"/>
          <w:rtl/>
        </w:rPr>
        <w:t xml:space="preserve">ج 2، ص 529.</w:t>
      </w:r>
    </w:p>
    <w:p>
      <w:pPr>
        <w:pStyle w:val="BookText"/>
      </w:pPr>
      <w:r>
        <w:rPr>
          <w:rFonts w:ascii="Amiri" w:hAnsi="Amiri" w:eastAsia="Amiri" w:cs="Amiri"/>
          <w:lang w:bidi="ar-SA"/>
          <w:color w:val="111111"/>
          <w:sz w:val="28"/>
          <w:szCs w:val="28"/>
          <w:rtl/>
        </w:rPr>
        <w:t xml:space="preserve">7 .بهجة السامعين و الناظرين بمولد سيد الاولين و الآخرين، ج3،</w:t>
      </w:r>
    </w:p>
    <w:p>
      <w:pPr>
        <w:pStyle w:val="BookText"/>
      </w:pPr>
      <w:r>
        <w:rPr>
          <w:rFonts w:ascii="IRNazanin" w:hAnsi="IRNazanin" w:eastAsia="IRNazanin" w:cs="IRNazanin"/>
          <w:lang w:bidi="fa-IR"/>
          <w:color w:val="111111"/>
          <w:sz w:val="28"/>
          <w:szCs w:val="28"/>
          <w:rtl/>
        </w:rPr>
        <w:t xml:space="preserve">ص 418.</w:t>
      </w:r>
    </w:p>
    <w:p>
      <w:pPr>
        <w:pStyle w:val="BookText"/>
      </w:pPr>
      <w:r>
        <w:rPr>
          <w:rFonts w:ascii="Amiri" w:hAnsi="Amiri" w:eastAsia="Amiri" w:cs="Amiri"/>
          <w:lang w:bidi="ar-SA"/>
          <w:color w:val="111111"/>
          <w:sz w:val="28"/>
          <w:szCs w:val="28"/>
          <w:rtl/>
        </w:rPr>
        <w:t xml:space="preserve">8 .حاشية شرح البسملة، ج 6 ، ص 54.</w:t>
      </w:r>
    </w:p>
    <w:p>
      <w:pPr>
        <w:pStyle w:val="BookText"/>
      </w:pPr>
      <w:r>
        <w:rPr>
          <w:rFonts w:ascii="Amiri" w:hAnsi="Amiri" w:eastAsia="Amiri" w:cs="Amiri"/>
          <w:lang w:bidi="ar-SA"/>
          <w:color w:val="111111"/>
          <w:sz w:val="28"/>
          <w:szCs w:val="28"/>
          <w:rtl/>
        </w:rPr>
        <w:t xml:space="preserve">9 .الروايات الحسان في فضل سورة</w:t>
      </w:r>
    </w:p>
    <w:p>
      <w:pPr>
        <w:pStyle w:val="BookText"/>
      </w:pPr>
      <w:r>
        <w:rPr>
          <w:rFonts w:ascii="IRNazanin" w:hAnsi="IRNazanin" w:eastAsia="IRNazanin" w:cs="IRNazanin"/>
          <w:lang w:bidi="fa-IR"/>
          <w:color w:val="111111"/>
          <w:sz w:val="28"/>
          <w:szCs w:val="28"/>
          <w:rtl/>
        </w:rPr>
        <w:t xml:space="preserve">الدخان، ج8، ص371</w:t>
      </w:r>
    </w:p>
    <w:p>
      <w:pPr>
        <w:pStyle w:val="BookText"/>
      </w:pPr>
      <w:r>
        <w:rPr>
          <w:rFonts w:ascii="IRNazanin" w:hAnsi="IRNazanin" w:eastAsia="IRNazanin" w:cs="IRNazanin"/>
          <w:lang w:bidi="fa-IR"/>
          <w:color w:val="111111"/>
          <w:sz w:val="28"/>
          <w:szCs w:val="28"/>
          <w:rtl/>
        </w:rPr>
        <w:t xml:space="preserve">10 .الفتاوى، ج 11، ص598</w:t>
      </w:r>
    </w:p>
    <w:p>
      <w:pPr>
        <w:pStyle w:val="BookText"/>
      </w:pPr>
      <w:r>
        <w:rPr>
          <w:rFonts w:ascii="Amiri" w:hAnsi="Amiri" w:eastAsia="Amiri" w:cs="Amiri"/>
          <w:lang w:bidi="ar-SA"/>
          <w:color w:val="111111"/>
          <w:sz w:val="28"/>
          <w:szCs w:val="28"/>
          <w:rtl/>
        </w:rPr>
        <w:t xml:space="preserve">11 .قصة المعراج، ج 12، ص 617.</w:t>
      </w:r>
    </w:p>
    <w:p>
      <w:pPr>
        <w:pStyle w:val="BookText"/>
      </w:pPr>
      <w:r>
        <w:rPr>
          <w:rFonts w:ascii="Amiri" w:hAnsi="Amiri" w:eastAsia="Amiri" w:cs="Amiri"/>
          <w:lang w:bidi="ar-SA"/>
          <w:color w:val="111111"/>
          <w:sz w:val="28"/>
          <w:szCs w:val="28"/>
          <w:rtl/>
        </w:rPr>
        <w:t xml:space="preserve">غيلان بن عقبة العدوي -ذوالرمه ، غيلان</w:t>
      </w:r>
    </w:p>
    <w:p>
      <w:pPr>
        <w:pStyle w:val="BookText"/>
      </w:pPr>
      <w:r>
        <w:rPr>
          <w:rFonts w:ascii="IRNazanin" w:hAnsi="IRNazanin" w:eastAsia="IRNazanin" w:cs="IRNazanin"/>
          <w:lang w:bidi="fa-IR"/>
          <w:color w:val="111111"/>
          <w:sz w:val="28"/>
          <w:szCs w:val="28"/>
          <w:rtl/>
        </w:rPr>
        <w:t xml:space="preserve">بن عقبه</w:t>
      </w:r>
    </w:p>
    <w:p>
      <w:pPr>
        <w:pStyle w:val="BookText"/>
      </w:pPr>
      <w:r>
        <w:rPr>
          <w:rFonts w:ascii="Amiri" w:hAnsi="Amiri" w:eastAsia="Amiri" w:cs="Amiri"/>
          <w:lang w:bidi="ar-SA"/>
          <w:color w:val="111111"/>
          <w:sz w:val="28"/>
          <w:szCs w:val="28"/>
          <w:rtl/>
        </w:rPr>
        <w:t xml:space="preserve">فائز برزنجي ، احمد بن</w:t>
      </w:r>
    </w:p>
    <w:p>
      <w:pPr>
        <w:pStyle w:val="BookText"/>
      </w:pPr>
      <w:r>
        <w:rPr>
          <w:rFonts w:ascii="Amiri" w:hAnsi="Amiri" w:eastAsia="Amiri" w:cs="Amiri"/>
          <w:lang w:bidi="ar-SA"/>
          <w:color w:val="111111"/>
          <w:sz w:val="28"/>
          <w:szCs w:val="28"/>
          <w:rtl/>
        </w:rPr>
        <w:t xml:space="preserve">محمود -شهرزوري ، احمد بن محمّد</w:t>
      </w:r>
    </w:p>
    <w:p>
      <w:pPr>
        <w:pStyle w:val="BookText"/>
      </w:pPr>
      <w:r>
        <w:rPr>
          <w:rFonts w:ascii="Amiri" w:hAnsi="Amiri" w:eastAsia="Amiri" w:cs="Amiri"/>
          <w:lang w:bidi="ar-SA"/>
          <w:color w:val="111111"/>
          <w:sz w:val="28"/>
          <w:szCs w:val="28"/>
          <w:rtl/>
        </w:rPr>
        <w:t xml:space="preserve">فائز رومي ، احمد بن محمّد -آقحصاري رومي ، احمد بن محمّد</w:t>
      </w:r>
    </w:p>
    <w:p>
      <w:pPr>
        <w:pStyle w:val="BookText"/>
      </w:pPr>
      <w:r>
        <w:rPr>
          <w:rFonts w:ascii="IRNazanin" w:hAnsi="IRNazanin" w:eastAsia="IRNazanin" w:cs="IRNazanin"/>
          <w:lang w:bidi="fa-IR"/>
          <w:color w:val="111111"/>
          <w:sz w:val="28"/>
          <w:szCs w:val="28"/>
          <w:rtl/>
        </w:rPr>
        <w:t xml:space="preserve">فائزي آل طعمه ، مصطفى بن مجید -آل</w:t>
      </w:r>
    </w:p>
    <w:p>
      <w:pPr>
        <w:pStyle w:val="BookText"/>
      </w:pPr>
      <w:r>
        <w:rPr>
          <w:rFonts w:ascii="IRNazanin" w:hAnsi="IRNazanin" w:eastAsia="IRNazanin" w:cs="IRNazanin"/>
          <w:lang w:bidi="fa-IR"/>
          <w:color w:val="111111"/>
          <w:sz w:val="28"/>
          <w:szCs w:val="28"/>
          <w:rtl/>
        </w:rPr>
        <w:t xml:space="preserve">طعمه ، مصطفى بن مجید</w:t>
      </w:r>
    </w:p>
    <w:p>
      <w:pPr>
        <w:pStyle w:val="BookText"/>
      </w:pPr>
      <w:r>
        <w:rPr>
          <w:rFonts w:ascii="Amiri" w:hAnsi="Amiri" w:eastAsia="Amiri" w:cs="Amiri"/>
          <w:lang w:bidi="ar-SA"/>
          <w:color w:val="111111"/>
          <w:sz w:val="28"/>
          <w:szCs w:val="28"/>
          <w:rtl/>
        </w:rPr>
        <w:t xml:space="preserve">فائزي حائري ، نصر الله بن حسين- موسوي</w:t>
      </w:r>
    </w:p>
    <w:p>
      <w:pPr>
        <w:pStyle w:val="BookText"/>
      </w:pPr>
      <w:r>
        <w:rPr>
          <w:rFonts w:ascii="Amiri" w:hAnsi="Amiri" w:eastAsia="Amiri" w:cs="Amiri"/>
          <w:lang w:bidi="ar-SA"/>
          <w:color w:val="111111"/>
          <w:sz w:val="28"/>
          <w:szCs w:val="28"/>
          <w:rtl/>
        </w:rPr>
        <w:t xml:space="preserve">، نصر الله بن حسين</w:t>
      </w:r>
    </w:p>
    <w:p>
      <w:pPr>
        <w:pStyle w:val="BookText"/>
      </w:pPr>
      <w:r>
        <w:rPr>
          <w:rFonts w:ascii="Amiri" w:hAnsi="Amiri" w:eastAsia="Amiri" w:cs="Amiri"/>
          <w:lang w:bidi="ar-SA"/>
          <w:color w:val="111111"/>
          <w:sz w:val="28"/>
          <w:szCs w:val="28"/>
          <w:rtl/>
        </w:rPr>
        <w:t xml:space="preserve">فائض نائيني ، محمّد بن محمّد هادي -شريف نائيني ، محمّد بن محمّد هادي</w:t>
      </w:r>
    </w:p>
    <w:p>
      <w:pPr>
        <w:pStyle w:val="Heading2"/>
      </w:pPr>
      <w:bookmarkStart w:id="6255" w:name="_Toc5357"/>
      <w:r>
        <w:t>فائق بيك ، سليمان بن طالب اغا، 1816؟</w:t>
      </w:r>
      <w:bookmarkEnd w:id="6255"/>
    </w:p>
    <w:p>
      <w:pPr>
        <w:pStyle w:val="BookText"/>
      </w:pPr>
      <w:r>
        <w:rPr>
          <w:rFonts w:ascii="IRNazanin" w:hAnsi="IRNazanin" w:eastAsia="IRNazanin" w:cs="IRNazanin"/>
          <w:lang w:bidi="fa-IR"/>
          <w:color w:val="111111"/>
          <w:sz w:val="28"/>
          <w:szCs w:val="28"/>
          <w:rtl/>
        </w:rPr>
        <w:t xml:space="preserve">1896 - م</w:t>
      </w:r>
    </w:p>
    <w:p>
      <w:pPr>
        <w:pStyle w:val="BookText"/>
      </w:pPr>
      <w:r>
        <w:rPr>
          <w:rFonts w:ascii="Amiri" w:hAnsi="Amiri" w:eastAsia="Amiri" w:cs="Amiri"/>
          <w:lang w:bidi="ar-SA"/>
          <w:color w:val="111111"/>
          <w:sz w:val="28"/>
          <w:szCs w:val="28"/>
          <w:rtl/>
        </w:rPr>
        <w:t xml:space="preserve">1 .الرسائل المقدسة، ج8، ص 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سفينة الرؤسا = منشآت، ج8،</w:t>
      </w:r>
    </w:p>
    <w:p>
      <w:pPr>
        <w:pStyle w:val="BookText"/>
      </w:pPr>
      <w:r>
        <w:rPr>
          <w:rFonts w:ascii="IRNazanin" w:hAnsi="IRNazanin" w:eastAsia="IRNazanin" w:cs="IRNazanin"/>
          <w:lang w:bidi="fa-IR"/>
          <w:color w:val="111111"/>
          <w:sz w:val="28"/>
          <w:szCs w:val="28"/>
          <w:rtl/>
        </w:rPr>
        <w:t xml:space="preserve">ص 781</w:t>
      </w:r>
    </w:p>
    <w:p>
      <w:pPr>
        <w:pStyle w:val="Heading2"/>
      </w:pPr>
      <w:bookmarkStart w:id="6256" w:name="_Toc5358"/>
      <w:r>
        <w:t>فارابي ، اسحاق بن ابراهيم - 350 ؟ ه-</w:t>
      </w:r>
      <w:bookmarkEnd w:id="6256"/>
    </w:p>
    <w:p>
      <w:pPr>
        <w:pStyle w:val="BookText"/>
      </w:pPr>
      <w:r>
        <w:rPr>
          <w:rFonts w:ascii="IRNazanin" w:hAnsi="IRNazanin" w:eastAsia="IRNazanin" w:cs="IRNazanin"/>
          <w:lang w:bidi="fa-IR"/>
          <w:color w:val="111111"/>
          <w:sz w:val="28"/>
          <w:szCs w:val="28"/>
          <w:rtl/>
        </w:rPr>
        <w:t xml:space="preserve">دیوان الادب و میزان کلام العرب، ج 7،</w:t>
      </w:r>
    </w:p>
    <w:p>
      <w:pPr>
        <w:pStyle w:val="BookText"/>
      </w:pPr>
      <w:r>
        <w:rPr>
          <w:rFonts w:ascii="IRNazanin" w:hAnsi="IRNazanin" w:eastAsia="IRNazanin" w:cs="IRNazanin"/>
          <w:lang w:bidi="fa-IR"/>
          <w:color w:val="111111"/>
          <w:sz w:val="28"/>
          <w:szCs w:val="28"/>
          <w:rtl/>
        </w:rPr>
        <w:t xml:space="preserve">ص 568.</w:t>
      </w:r>
    </w:p>
    <w:p>
      <w:pPr>
        <w:pStyle w:val="Heading2"/>
      </w:pPr>
      <w:bookmarkStart w:id="6257" w:name="_Toc5359"/>
      <w:r>
        <w:t>فارابي تبريزي، امیر اسماعيل بن حسين</w:t>
      </w:r>
      <w:bookmarkEnd w:id="6257"/>
    </w:p>
    <w:p>
      <w:pPr>
        <w:pStyle w:val="BookText"/>
      </w:pPr>
      <w:r>
        <w:rPr>
          <w:rFonts w:ascii="IRNazanin" w:hAnsi="IRNazanin" w:eastAsia="IRNazanin" w:cs="IRNazanin"/>
          <w:lang w:bidi="fa-IR"/>
          <w:color w:val="111111"/>
          <w:sz w:val="28"/>
          <w:szCs w:val="28"/>
          <w:rtl/>
        </w:rPr>
        <w:t xml:space="preserve">856 - 919ه-</w:t>
      </w:r>
    </w:p>
    <w:p>
      <w:pPr>
        <w:pStyle w:val="BookText"/>
      </w:pPr>
      <w:r>
        <w:rPr>
          <w:rFonts w:ascii="Amiri" w:hAnsi="Amiri" w:eastAsia="Amiri" w:cs="Amiri"/>
          <w:lang w:bidi="ar-SA"/>
          <w:color w:val="111111"/>
          <w:sz w:val="28"/>
          <w:szCs w:val="28"/>
          <w:rtl/>
        </w:rPr>
        <w:t xml:space="preserve">شرح فصوص الحكمة = شرح</w:t>
      </w:r>
    </w:p>
    <w:p>
      <w:pPr>
        <w:pStyle w:val="BookText"/>
      </w:pPr>
      <w:r>
        <w:rPr>
          <w:rFonts w:ascii="IRNazanin" w:hAnsi="IRNazanin" w:eastAsia="IRNazanin" w:cs="IRNazanin"/>
          <w:lang w:bidi="fa-IR"/>
          <w:color w:val="111111"/>
          <w:sz w:val="28"/>
          <w:szCs w:val="28"/>
          <w:rtl/>
        </w:rPr>
        <w:t xml:space="preserve">الفصوص، ج9، ص 794</w:t>
      </w:r>
    </w:p>
    <w:p>
      <w:pPr>
        <w:pStyle w:val="BookText"/>
      </w:pPr>
      <w:r>
        <w:rPr>
          <w:rFonts w:ascii="Amiri" w:hAnsi="Amiri" w:eastAsia="Amiri" w:cs="Amiri"/>
          <w:lang w:bidi="ar-SA"/>
          <w:color w:val="111111"/>
          <w:sz w:val="28"/>
          <w:szCs w:val="28"/>
          <w:rtl/>
        </w:rPr>
        <w:t xml:space="preserve">فارابي جوهري، اسماعيل بن</w:t>
      </w:r>
    </w:p>
    <w:p>
      <w:pPr>
        <w:pStyle w:val="BookText"/>
      </w:pPr>
      <w:r>
        <w:rPr>
          <w:rFonts w:ascii="Amiri" w:hAnsi="Amiri" w:eastAsia="Amiri" w:cs="Amiri"/>
          <w:lang w:bidi="ar-SA"/>
          <w:color w:val="111111"/>
          <w:sz w:val="28"/>
          <w:szCs w:val="28"/>
          <w:rtl/>
        </w:rPr>
        <w:t xml:space="preserve">حماد -جوهري، اسماعيل بن حماد</w:t>
      </w:r>
    </w:p>
    <w:p>
      <w:pPr>
        <w:pStyle w:val="BookText"/>
      </w:pPr>
      <w:r>
        <w:rPr>
          <w:rFonts w:ascii="Amiri" w:hAnsi="Amiri" w:eastAsia="Amiri" w:cs="Amiri"/>
          <w:lang w:bidi="ar-SA"/>
          <w:color w:val="111111"/>
          <w:sz w:val="28"/>
          <w:szCs w:val="28"/>
          <w:rtl/>
        </w:rPr>
        <w:t xml:space="preserve">فارابي ، قوام الدين امير كاتب بن امير عمر -</w:t>
      </w:r>
    </w:p>
    <w:p>
      <w:pPr>
        <w:pStyle w:val="BookText"/>
      </w:pPr>
      <w:r>
        <w:rPr>
          <w:rFonts w:ascii="Amiri" w:hAnsi="Amiri" w:eastAsia="Amiri" w:cs="Amiri"/>
          <w:lang w:bidi="ar-SA"/>
          <w:color w:val="111111"/>
          <w:sz w:val="28"/>
          <w:szCs w:val="28"/>
          <w:rtl/>
        </w:rPr>
        <w:t xml:space="preserve">اتقاني ، اميركاتب بن امير عمر</w:t>
      </w:r>
    </w:p>
    <w:p>
      <w:pPr>
        <w:pStyle w:val="Heading2"/>
      </w:pPr>
      <w:bookmarkStart w:id="6258" w:name="_Toc5360"/>
      <w:r>
        <w:t>فارابي ، محمّد بن احمد</w:t>
      </w:r>
      <w:bookmarkEnd w:id="6258"/>
    </w:p>
    <w:p>
      <w:pPr>
        <w:pStyle w:val="BookText"/>
      </w:pPr>
      <w:r>
        <w:rPr>
          <w:rFonts w:ascii="Amiri" w:hAnsi="Amiri" w:eastAsia="Amiri" w:cs="Amiri"/>
          <w:lang w:bidi="ar-SA"/>
          <w:color w:val="111111"/>
          <w:sz w:val="28"/>
          <w:szCs w:val="28"/>
          <w:rtl/>
        </w:rPr>
        <w:t xml:space="preserve">تعليقة على الأيساغوجي، ج4،</w:t>
      </w:r>
    </w:p>
    <w:p>
      <w:pPr>
        <w:pStyle w:val="BookText"/>
      </w:pPr>
      <w:r>
        <w:rPr>
          <w:rFonts w:ascii="IRNazanin" w:hAnsi="IRNazanin" w:eastAsia="IRNazanin" w:cs="IRNazanin"/>
          <w:lang w:bidi="fa-IR"/>
          <w:color w:val="111111"/>
          <w:sz w:val="28"/>
          <w:szCs w:val="28"/>
          <w:rtl/>
        </w:rPr>
        <w:t xml:space="preserve">ص 513.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32" w:name="pg7742_70935"/>
    <w:bookmarkEnd w:id="832"/>
    <w:p>
      <w:pPr>
        <w:pStyle w:val="Heading2"/>
      </w:pPr>
      <w:bookmarkStart w:id="6259" w:name="_Toc5361"/>
      <w:r>
        <w:t>فارابي محمّد بن محمّد، 4260 - 339 ه-</w:t>
      </w:r>
      <w:bookmarkEnd w:id="62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اثبات المفارقات - اقسام</w:t>
      </w:r>
    </w:p>
    <w:p>
      <w:pPr>
        <w:pStyle w:val="BookText"/>
      </w:pPr>
      <w:r>
        <w:rPr>
          <w:rFonts w:ascii="IRNazanin" w:hAnsi="IRNazanin" w:eastAsia="IRNazanin" w:cs="IRNazanin"/>
          <w:lang w:bidi="fa-IR"/>
          <w:color w:val="111111"/>
          <w:sz w:val="28"/>
          <w:szCs w:val="28"/>
          <w:rtl/>
        </w:rPr>
        <w:t xml:space="preserve">المفارقات، ج 1، ص 159 .</w:t>
      </w:r>
    </w:p>
    <w:p>
      <w:pPr>
        <w:pStyle w:val="BookText"/>
      </w:pPr>
      <w:r>
        <w:rPr>
          <w:rFonts w:ascii="Amiri" w:hAnsi="Amiri" w:eastAsia="Amiri" w:cs="Amiri"/>
          <w:lang w:bidi="ar-SA"/>
          <w:color w:val="111111"/>
          <w:sz w:val="28"/>
          <w:szCs w:val="28"/>
          <w:rtl/>
        </w:rPr>
        <w:t xml:space="preserve">2 .اغراض مابعد الطبيعة = اغراض</w:t>
      </w:r>
    </w:p>
    <w:p>
      <w:pPr>
        <w:pStyle w:val="BookText"/>
      </w:pPr>
      <w:r>
        <w:rPr>
          <w:rFonts w:ascii="Amiri" w:hAnsi="Amiri" w:eastAsia="Amiri" w:cs="Amiri"/>
          <w:lang w:bidi="ar-SA"/>
          <w:color w:val="111111"/>
          <w:sz w:val="28"/>
          <w:szCs w:val="28"/>
          <w:rtl/>
        </w:rPr>
        <w:t xml:space="preserve">ارسطاطاليس، ج 2، ص 585.</w:t>
      </w:r>
    </w:p>
    <w:p>
      <w:pPr>
        <w:pStyle w:val="BookText"/>
      </w:pPr>
      <w:r>
        <w:rPr>
          <w:rFonts w:ascii="Amiri" w:hAnsi="Amiri" w:eastAsia="Amiri" w:cs="Amiri"/>
          <w:lang w:bidi="ar-SA"/>
          <w:color w:val="111111"/>
          <w:sz w:val="28"/>
          <w:szCs w:val="28"/>
          <w:rtl/>
        </w:rPr>
        <w:t xml:space="preserve">امالي ابو نصر الفارابي، ج 2، ص 726.</w:t>
      </w:r>
    </w:p>
    <w:p>
      <w:pPr>
        <w:pStyle w:val="BookText"/>
      </w:pPr>
      <w:r>
        <w:rPr>
          <w:rFonts w:ascii="Amiri" w:hAnsi="Amiri" w:eastAsia="Amiri" w:cs="Amiri"/>
          <w:lang w:bidi="ar-SA"/>
          <w:color w:val="111111"/>
          <w:sz w:val="28"/>
          <w:szCs w:val="28"/>
          <w:rtl/>
        </w:rPr>
        <w:t xml:space="preserve">4 .التعليقات، ج 4، ص 488.</w:t>
      </w:r>
    </w:p>
    <w:p>
      <w:pPr>
        <w:pStyle w:val="BookText"/>
      </w:pPr>
      <w:r>
        <w:rPr>
          <w:rFonts w:ascii="Amiri" w:hAnsi="Amiri" w:eastAsia="Amiri" w:cs="Amiri"/>
          <w:lang w:bidi="ar-SA"/>
          <w:color w:val="111111"/>
          <w:sz w:val="28"/>
          <w:szCs w:val="28"/>
          <w:rtl/>
        </w:rPr>
        <w:t xml:space="preserve">5.الجمع بين رأيي الحكيمين = الجمع</w:t>
      </w:r>
    </w:p>
    <w:p>
      <w:pPr>
        <w:pStyle w:val="BookText"/>
      </w:pPr>
      <w:r>
        <w:rPr>
          <w:rFonts w:ascii="Amiri" w:hAnsi="Amiri" w:eastAsia="Amiri" w:cs="Amiri"/>
          <w:lang w:bidi="ar-SA"/>
          <w:color w:val="111111"/>
          <w:sz w:val="28"/>
          <w:szCs w:val="28"/>
          <w:rtl/>
        </w:rPr>
        <w:t xml:space="preserve">بين رأيي افلاطون و ارسطو، ج5،</w:t>
      </w:r>
    </w:p>
    <w:p>
      <w:pPr>
        <w:pStyle w:val="BookText"/>
      </w:pPr>
      <w:r>
        <w:rPr>
          <w:rFonts w:ascii="IRNazanin" w:hAnsi="IRNazanin" w:eastAsia="IRNazanin" w:cs="IRNazanin"/>
          <w:lang w:bidi="fa-IR"/>
          <w:color w:val="111111"/>
          <w:sz w:val="28"/>
          <w:szCs w:val="28"/>
          <w:rtl/>
        </w:rPr>
        <w:t xml:space="preserve">ص 426 .</w:t>
      </w:r>
    </w:p>
    <w:p>
      <w:pPr>
        <w:pStyle w:val="BookText"/>
      </w:pPr>
      <w:r>
        <w:rPr>
          <w:rFonts w:ascii="Amiri" w:hAnsi="Amiri" w:eastAsia="Amiri" w:cs="Amiri"/>
          <w:lang w:bidi="ar-SA"/>
          <w:color w:val="111111"/>
          <w:sz w:val="28"/>
          <w:szCs w:val="28"/>
          <w:rtl/>
        </w:rPr>
        <w:t xml:space="preserve">6 .الدعاوي القلبية = الدعاوي الفلسفية وتجريد الدعاوي</w:t>
      </w:r>
    </w:p>
    <w:p>
      <w:pPr>
        <w:pStyle w:val="BookText"/>
      </w:pPr>
      <w:r>
        <w:rPr>
          <w:rFonts w:ascii="Amiri" w:hAnsi="Amiri" w:eastAsia="Amiri" w:cs="Amiri"/>
          <w:lang w:bidi="ar-SA"/>
          <w:color w:val="111111"/>
          <w:sz w:val="28"/>
          <w:szCs w:val="28"/>
          <w:rtl/>
        </w:rPr>
        <w:t xml:space="preserve">القلبية، ج 7، ص 414.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رسائل، ج8، ص118</w:t>
      </w:r>
    </w:p>
    <w:p>
      <w:pPr>
        <w:pStyle w:val="BookText"/>
      </w:pPr>
      <w:r>
        <w:rPr>
          <w:rFonts w:ascii="Amiri" w:hAnsi="Amiri" w:eastAsia="Amiri" w:cs="Amiri"/>
          <w:lang w:bidi="ar-SA"/>
          <w:color w:val="111111"/>
          <w:sz w:val="28"/>
          <w:szCs w:val="28"/>
          <w:rtl/>
        </w:rPr>
        <w:t xml:space="preserve">8 .شرح رسالة الزينون الكبير، ج 9،</w:t>
      </w:r>
    </w:p>
    <w:p>
      <w:pPr>
        <w:pStyle w:val="BookText"/>
      </w:pPr>
      <w:r>
        <w:rPr>
          <w:rFonts w:ascii="IRNazanin" w:hAnsi="IRNazanin" w:eastAsia="IRNazanin" w:cs="IRNazanin"/>
          <w:lang w:bidi="fa-IR"/>
          <w:color w:val="111111"/>
          <w:sz w:val="28"/>
          <w:szCs w:val="28"/>
          <w:rtl/>
        </w:rPr>
        <w:t xml:space="preserve">ص 534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الطب، ج 10، ص 736 .</w:t>
      </w:r>
    </w:p>
    <w:p>
      <w:pPr>
        <w:pStyle w:val="BookText"/>
      </w:pPr>
      <w:r>
        <w:rPr>
          <w:rFonts w:ascii="Amiri" w:hAnsi="Amiri" w:eastAsia="Amiri" w:cs="Amiri"/>
          <w:lang w:bidi="ar-SA"/>
          <w:color w:val="111111"/>
          <w:sz w:val="28"/>
          <w:szCs w:val="28"/>
          <w:rtl/>
        </w:rPr>
        <w:t xml:space="preserve">10 .عيون المسائل و نتائج العلوم</w:t>
      </w:r>
    </w:p>
    <w:p>
      <w:pPr>
        <w:pStyle w:val="BookText"/>
      </w:pPr>
      <w:r>
        <w:rPr>
          <w:rFonts w:ascii="IRNazanin" w:hAnsi="IRNazanin" w:eastAsia="IRNazanin" w:cs="IRNazanin"/>
          <w:lang w:bidi="fa-IR"/>
          <w:color w:val="111111"/>
          <w:sz w:val="28"/>
          <w:szCs w:val="28"/>
          <w:rtl/>
        </w:rPr>
        <w:t xml:space="preserve">ج 11، ص 410.</w:t>
      </w:r>
    </w:p>
    <w:p>
      <w:pPr>
        <w:pStyle w:val="BookText"/>
      </w:pPr>
      <w:r>
        <w:rPr>
          <w:rFonts w:ascii="Amiri" w:hAnsi="Amiri" w:eastAsia="Amiri" w:cs="Amiri"/>
          <w:lang w:bidi="ar-SA"/>
          <w:color w:val="111111"/>
          <w:sz w:val="28"/>
          <w:szCs w:val="28"/>
          <w:rtl/>
        </w:rPr>
        <w:t xml:space="preserve">11.الفراسة، ج 11، ص771.</w:t>
      </w:r>
    </w:p>
    <w:p>
      <w:pPr>
        <w:pStyle w:val="BookText"/>
      </w:pPr>
      <w:r>
        <w:rPr>
          <w:rFonts w:ascii="Amiri" w:hAnsi="Amiri" w:eastAsia="Amiri" w:cs="Amiri"/>
          <w:lang w:bidi="ar-SA"/>
          <w:color w:val="111111"/>
          <w:sz w:val="28"/>
          <w:szCs w:val="28"/>
          <w:rtl/>
        </w:rPr>
        <w:t xml:space="preserve">12 .فصوص الحكمة = الفردوس</w:t>
      </w:r>
    </w:p>
    <w:p>
      <w:pPr>
        <w:pStyle w:val="BookText"/>
      </w:pPr>
      <w:r>
        <w:rPr>
          <w:rFonts w:ascii="Amiri" w:hAnsi="Amiri" w:eastAsia="Amiri" w:cs="Amiri"/>
          <w:lang w:bidi="ar-SA"/>
          <w:color w:val="111111"/>
          <w:sz w:val="28"/>
          <w:szCs w:val="28"/>
          <w:rtl/>
        </w:rPr>
        <w:t xml:space="preserve">الفصوص الصغير، ج 11، ص 839.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مسائل الفارابي، ج 14، ص 461.</w:t>
      </w:r>
    </w:p>
    <w:p>
      <w:pPr>
        <w:pStyle w:val="BookText"/>
      </w:pPr>
      <w:r>
        <w:rPr>
          <w:rFonts w:ascii="Amiri" w:hAnsi="Amiri" w:eastAsia="Amiri" w:cs="Amiri"/>
          <w:lang w:bidi="ar-SA"/>
          <w:color w:val="111111"/>
          <w:sz w:val="28"/>
          <w:szCs w:val="28"/>
          <w:rtl/>
        </w:rPr>
        <w:t xml:space="preserve">14 .معاني العقل، ج 14، ص 890.</w:t>
      </w:r>
    </w:p>
    <w:p>
      <w:pPr>
        <w:pStyle w:val="BookText"/>
      </w:pPr>
      <w:r>
        <w:rPr>
          <w:rFonts w:ascii="Amiri" w:hAnsi="Amiri" w:eastAsia="Amiri" w:cs="Amiri"/>
          <w:lang w:bidi="ar-SA"/>
          <w:color w:val="111111"/>
          <w:sz w:val="28"/>
          <w:szCs w:val="28"/>
          <w:rtl/>
        </w:rPr>
        <w:t xml:space="preserve">15 .مقالة ابو نصر الفارابي، ج 15 ،</w:t>
      </w:r>
    </w:p>
    <w:p>
      <w:pPr>
        <w:pStyle w:val="BookText"/>
      </w:pPr>
      <w:r>
        <w:rPr>
          <w:rFonts w:ascii="IRNazanin" w:hAnsi="IRNazanin" w:eastAsia="IRNazanin" w:cs="IRNazanin"/>
          <w:lang w:bidi="fa-IR"/>
          <w:color w:val="111111"/>
          <w:sz w:val="28"/>
          <w:szCs w:val="28"/>
          <w:rtl/>
        </w:rPr>
        <w:t xml:space="preserve">ص 283.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المنطق، ج 15 ، ص 693.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الموسيقي الكبير، ج 16، ص 17.</w:t>
      </w:r>
    </w:p>
    <w:p>
      <w:pPr>
        <w:pStyle w:val="BookText"/>
      </w:pPr>
      <w:r>
        <w:rPr>
          <w:rFonts w:ascii="Amiri" w:hAnsi="Amiri" w:eastAsia="Amiri" w:cs="Amiri"/>
          <w:lang w:bidi="ar-SA"/>
          <w:color w:val="111111"/>
          <w:sz w:val="28"/>
          <w:szCs w:val="28"/>
          <w:rtl/>
        </w:rPr>
        <w:t xml:space="preserve">18 .النفس و العقل و المقولات (رسالة</w:t>
      </w:r>
    </w:p>
    <w:p>
      <w:pPr>
        <w:pStyle w:val="BookText"/>
      </w:pPr>
      <w:r>
        <w:rPr>
          <w:rFonts w:ascii="Amiri" w:hAnsi="Amiri" w:eastAsia="Amiri" w:cs="Amiri"/>
          <w:lang w:bidi="ar-SA"/>
          <w:color w:val="111111"/>
          <w:sz w:val="28"/>
          <w:szCs w:val="28"/>
          <w:rtl/>
        </w:rPr>
        <w:t xml:space="preserve">في)، ج 16، ص 404 .</w:t>
      </w:r>
    </w:p>
    <w:p>
      <w:pPr>
        <w:pStyle w:val="BookText"/>
      </w:pPr>
      <w:r>
        <w:rPr>
          <w:rFonts w:ascii="Amiri" w:hAnsi="Amiri" w:eastAsia="Amiri" w:cs="Amiri"/>
          <w:lang w:bidi="ar-SA"/>
          <w:color w:val="111111"/>
          <w:sz w:val="28"/>
          <w:szCs w:val="28"/>
          <w:rtl/>
        </w:rPr>
        <w:t xml:space="preserve">فارابي ، محمود بن احمد -فاريابي ،</w:t>
      </w:r>
    </w:p>
    <w:p>
      <w:pPr>
        <w:pStyle w:val="BookText"/>
      </w:pPr>
      <w:r>
        <w:rPr>
          <w:rFonts w:ascii="IRNazanin" w:hAnsi="IRNazanin" w:eastAsia="IRNazanin" w:cs="IRNazanin"/>
          <w:lang w:bidi="fa-IR"/>
          <w:color w:val="111111"/>
          <w:sz w:val="28"/>
          <w:szCs w:val="28"/>
          <w:rtl/>
        </w:rPr>
        <w:t xml:space="preserve">محمود بن احمد</w:t>
      </w:r>
    </w:p>
    <w:p>
      <w:pPr>
        <w:pStyle w:val="BookText"/>
      </w:pPr>
      <w:r>
        <w:rPr>
          <w:rFonts w:ascii="IRNazanin" w:hAnsi="IRNazanin" w:eastAsia="IRNazanin" w:cs="IRNazanin"/>
          <w:lang w:bidi="fa-IR"/>
          <w:color w:val="111111"/>
          <w:sz w:val="28"/>
          <w:szCs w:val="28"/>
          <w:rtl/>
        </w:rPr>
        <w:t xml:space="preserve">فارس، احمد بن یوسف -شدياق ، احمد</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فارس الشدياق ، احمد بن</w:t>
      </w:r>
    </w:p>
    <w:p>
      <w:pPr>
        <w:pStyle w:val="BookText"/>
      </w:pPr>
      <w:r>
        <w:rPr>
          <w:rFonts w:ascii="Amiri" w:hAnsi="Amiri" w:eastAsia="Amiri" w:cs="Amiri"/>
          <w:lang w:bidi="ar-SA"/>
          <w:color w:val="111111"/>
          <w:sz w:val="28"/>
          <w:szCs w:val="28"/>
          <w:rtl/>
        </w:rPr>
        <w:t xml:space="preserve">يوسف -شدياق ، احمد بن يوسف .</w:t>
      </w:r>
    </w:p>
    <w:p>
      <w:pPr>
        <w:pStyle w:val="BookText"/>
      </w:pPr>
      <w:r>
        <w:rPr>
          <w:rFonts w:ascii="Amiri" w:hAnsi="Amiri" w:eastAsia="Amiri" w:cs="Amiri"/>
          <w:lang w:bidi="ar-SA"/>
          <w:color w:val="111111"/>
          <w:sz w:val="28"/>
          <w:szCs w:val="28"/>
          <w:rtl/>
        </w:rPr>
        <w:t xml:space="preserve">فارساني بحراني ، ناصر بن علي- بحراني ، ناصر بن علي</w:t>
      </w:r>
    </w:p>
    <w:p>
      <w:pPr>
        <w:pStyle w:val="Heading2"/>
      </w:pPr>
      <w:bookmarkStart w:id="6260" w:name="_Toc5362"/>
      <w:r>
        <w:t>فارسكوري ، عمر بن محمّد - 1018 ه-</w:t>
      </w:r>
      <w:bookmarkEnd w:id="6260"/>
    </w:p>
    <w:p>
      <w:pPr>
        <w:pStyle w:val="BookText"/>
      </w:pPr>
      <w:r>
        <w:rPr>
          <w:rFonts w:ascii="Amiri" w:hAnsi="Amiri" w:eastAsia="Amiri" w:cs="Amiri"/>
          <w:lang w:bidi="ar-SA"/>
          <w:color w:val="111111"/>
          <w:sz w:val="28"/>
          <w:szCs w:val="28"/>
          <w:rtl/>
        </w:rPr>
        <w:t xml:space="preserve">البهجة الجديدة و النهجة الرشيدة</w:t>
      </w:r>
    </w:p>
    <w:p>
      <w:pPr>
        <w:pStyle w:val="BookText"/>
      </w:pPr>
      <w:r>
        <w:rPr>
          <w:rFonts w:ascii="IRNazanin" w:hAnsi="IRNazanin" w:eastAsia="IRNazanin" w:cs="IRNazanin"/>
          <w:lang w:bidi="fa-IR"/>
          <w:color w:val="111111"/>
          <w:sz w:val="28"/>
          <w:szCs w:val="28"/>
          <w:rtl/>
        </w:rPr>
        <w:t xml:space="preserve">ج 3، ص 417.</w:t>
      </w:r>
    </w:p>
    <w:p>
      <w:pPr>
        <w:pStyle w:val="BookText"/>
      </w:pPr>
      <w:r>
        <w:rPr>
          <w:rFonts w:ascii="Amiri" w:hAnsi="Amiri" w:eastAsia="Amiri" w:cs="Amiri"/>
          <w:lang w:bidi="ar-SA"/>
          <w:color w:val="111111"/>
          <w:sz w:val="28"/>
          <w:szCs w:val="28"/>
          <w:rtl/>
        </w:rPr>
        <w:t xml:space="preserve">فارسي آباده اي ، محمّد جعفر بن محمّد</w:t>
      </w:r>
    </w:p>
    <w:p>
      <w:pPr>
        <w:pStyle w:val="BookText"/>
      </w:pPr>
      <w:r>
        <w:rPr>
          <w:rFonts w:ascii="Amiri" w:hAnsi="Amiri" w:eastAsia="Amiri" w:cs="Amiri"/>
          <w:lang w:bidi="ar-SA"/>
          <w:color w:val="111111"/>
          <w:sz w:val="28"/>
          <w:szCs w:val="28"/>
          <w:rtl/>
        </w:rPr>
        <w:t xml:space="preserve">صفي- آباده اي ، محمّد جعفر بن محمّد صفي</w:t>
      </w:r>
    </w:p>
    <w:p>
      <w:pPr>
        <w:pStyle w:val="BookText"/>
      </w:pPr>
      <w:r>
        <w:rPr>
          <w:rFonts w:ascii="Amiri" w:hAnsi="Amiri" w:eastAsia="Amiri" w:cs="Amiri"/>
          <w:lang w:bidi="ar-SA"/>
          <w:color w:val="111111"/>
          <w:sz w:val="28"/>
          <w:szCs w:val="28"/>
          <w:rtl/>
        </w:rPr>
        <w:t xml:space="preserve">فارسي ، احمد بن عبد الرحمن - شيرازي</w:t>
      </w:r>
    </w:p>
    <w:p>
      <w:pPr>
        <w:pStyle w:val="BookText"/>
      </w:pPr>
      <w:r>
        <w:rPr>
          <w:rFonts w:ascii="IRNazanin" w:hAnsi="IRNazanin" w:eastAsia="IRNazanin" w:cs="IRNazanin"/>
          <w:lang w:bidi="fa-IR"/>
          <w:color w:val="111111"/>
          <w:sz w:val="28"/>
          <w:szCs w:val="28"/>
          <w:rtl/>
        </w:rPr>
        <w:t xml:space="preserve">احمد بن عبدالرحمن</w:t>
      </w:r>
    </w:p>
    <w:p>
      <w:pPr>
        <w:pStyle w:val="BookText"/>
      </w:pPr>
      <w:r>
        <w:rPr>
          <w:rFonts w:ascii="Amiri" w:hAnsi="Amiri" w:eastAsia="Amiri" w:cs="Amiri"/>
          <w:lang w:bidi="ar-SA"/>
          <w:color w:val="111111"/>
          <w:sz w:val="28"/>
          <w:szCs w:val="28"/>
          <w:rtl/>
        </w:rPr>
        <w:t xml:space="preserve">فارسي استرآبادي ، محمّد بن علي بن</w:t>
      </w:r>
    </w:p>
    <w:p>
      <w:pPr>
        <w:pStyle w:val="BookText"/>
      </w:pPr>
      <w:r>
        <w:rPr>
          <w:rFonts w:ascii="IRNazanin" w:hAnsi="IRNazanin" w:eastAsia="IRNazanin" w:cs="IRNazanin"/>
          <w:lang w:bidi="fa-IR"/>
          <w:color w:val="111111"/>
          <w:sz w:val="28"/>
          <w:szCs w:val="28"/>
          <w:rtl/>
        </w:rPr>
        <w:t xml:space="preserve">ابراهیم -استرآبادي ، محمّد بن علي</w:t>
      </w:r>
    </w:p>
    <w:p>
      <w:pPr>
        <w:pStyle w:val="BookText"/>
      </w:pPr>
      <w:r>
        <w:rPr>
          <w:rFonts w:ascii="Amiri" w:hAnsi="Amiri" w:eastAsia="Amiri" w:cs="Amiri"/>
          <w:lang w:bidi="ar-SA"/>
          <w:color w:val="111111"/>
          <w:sz w:val="28"/>
          <w:szCs w:val="28"/>
          <w:rtl/>
        </w:rPr>
        <w:t xml:space="preserve">فارسي ، اسعد بن رضي- فالي ، اسعد بن نصر</w:t>
      </w:r>
    </w:p>
    <w:p>
      <w:pPr>
        <w:pStyle w:val="BookText"/>
      </w:pPr>
      <w:r>
        <w:rPr>
          <w:rFonts w:ascii="Amiri" w:hAnsi="Amiri" w:eastAsia="Amiri" w:cs="Amiri"/>
          <w:lang w:bidi="ar-SA"/>
          <w:color w:val="111111"/>
          <w:sz w:val="28"/>
          <w:szCs w:val="28"/>
          <w:rtl/>
        </w:rPr>
        <w:t xml:space="preserve">فارسي بيضاوي ، عبدالله بن عمر- بيضاوي</w:t>
      </w:r>
    </w:p>
    <w:p>
      <w:pPr>
        <w:pStyle w:val="BookText"/>
      </w:pPr>
      <w:r>
        <w:rPr>
          <w:rFonts w:ascii="IRNazanin" w:hAnsi="IRNazanin" w:eastAsia="IRNazanin" w:cs="IRNazanin"/>
          <w:lang w:bidi="fa-IR"/>
          <w:color w:val="111111"/>
          <w:sz w:val="28"/>
          <w:szCs w:val="28"/>
          <w:rtl/>
        </w:rPr>
        <w:t xml:space="preserve">، عبدالله بن عمر</w:t>
      </w:r>
    </w:p>
    <w:p>
      <w:pPr>
        <w:pStyle w:val="BookText"/>
      </w:pPr>
      <w:r>
        <w:rPr>
          <w:rFonts w:ascii="Amiri" w:hAnsi="Amiri" w:eastAsia="Amiri" w:cs="Amiri"/>
          <w:lang w:bidi="ar-SA"/>
          <w:color w:val="111111"/>
          <w:sz w:val="28"/>
          <w:szCs w:val="28"/>
          <w:rtl/>
        </w:rPr>
        <w:t xml:space="preserve">فارسي جرجاني ، محمّد بن علي -ركن</w:t>
      </w:r>
    </w:p>
    <w:p>
      <w:pPr>
        <w:pStyle w:val="BookText"/>
      </w:pPr>
      <w:r>
        <w:rPr>
          <w:rFonts w:ascii="Amiri" w:hAnsi="Amiri" w:eastAsia="Amiri" w:cs="Amiri"/>
          <w:lang w:bidi="ar-SA"/>
          <w:color w:val="111111"/>
          <w:sz w:val="28"/>
          <w:szCs w:val="28"/>
          <w:rtl/>
        </w:rPr>
        <w:t xml:space="preserve">الدين جرجاني ، محمّد بن علي</w:t>
      </w:r>
    </w:p>
    <w:p>
      <w:pPr>
        <w:pStyle w:val="Heading2"/>
      </w:pPr>
      <w:bookmarkStart w:id="6261" w:name="_Toc5363"/>
      <w:r>
        <w:t>فارسي ، حسن بن احمد، 288 - 377 ه-</w:t>
      </w:r>
      <w:bookmarkEnd w:id="6261"/>
    </w:p>
    <w:p>
      <w:pPr>
        <w:pStyle w:val="BookText"/>
      </w:pPr>
      <w:r>
        <w:rPr>
          <w:rFonts w:ascii="Amiri" w:hAnsi="Amiri" w:eastAsia="Amiri" w:cs="Amiri"/>
          <w:lang w:bidi="ar-SA"/>
          <w:color w:val="111111"/>
          <w:sz w:val="28"/>
          <w:szCs w:val="28"/>
          <w:rtl/>
        </w:rPr>
        <w:t xml:space="preserve">1 .الايضاح في النحو، ج3، ص132.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33" w:name="pg7742_70937"/>
    <w:bookmarkEnd w:id="83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الحجة لائمة السبعة في اختلاف</w:t>
      </w:r>
    </w:p>
    <w:p>
      <w:pPr>
        <w:pStyle w:val="BookText"/>
      </w:pPr>
      <w:r>
        <w:rPr>
          <w:rFonts w:ascii="IRNazanin" w:hAnsi="IRNazanin" w:eastAsia="IRNazanin" w:cs="IRNazanin"/>
          <w:lang w:bidi="fa-IR"/>
          <w:color w:val="111111"/>
          <w:sz w:val="28"/>
          <w:szCs w:val="28"/>
          <w:rtl/>
        </w:rPr>
        <w:t xml:space="preserve">قراءات القرآن، ج 6، ص 487.</w:t>
      </w:r>
    </w:p>
    <w:p>
      <w:pPr>
        <w:pStyle w:val="BookText"/>
      </w:pPr>
      <w:r>
        <w:rPr>
          <w:rFonts w:ascii="Amiri" w:hAnsi="Amiri" w:eastAsia="Amiri" w:cs="Amiri"/>
          <w:lang w:bidi="ar-SA"/>
          <w:color w:val="111111"/>
          <w:sz w:val="28"/>
          <w:szCs w:val="28"/>
          <w:rtl/>
        </w:rPr>
        <w:t xml:space="preserve">3 .شرح شواهد الايضاح، ج9، ص 652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العوامل في النحو، ج11، ص 357.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المسائل الشيرازية، ج 14، ص 456.</w:t>
      </w:r>
    </w:p>
    <w:p>
      <w:pPr>
        <w:pStyle w:val="BookText"/>
      </w:pPr>
      <w:r>
        <w:rPr>
          <w:rFonts w:ascii="Amiri" w:hAnsi="Amiri" w:eastAsia="Amiri" w:cs="Amiri"/>
          <w:lang w:bidi="ar-SA"/>
          <w:color w:val="111111"/>
          <w:sz w:val="28"/>
          <w:szCs w:val="28"/>
          <w:rtl/>
        </w:rPr>
        <w:t xml:space="preserve">6 .مقاصد ذوي الالباب في العمل</w:t>
      </w:r>
    </w:p>
    <w:p>
      <w:pPr>
        <w:pStyle w:val="BookText"/>
      </w:pPr>
      <w:r>
        <w:rPr>
          <w:rFonts w:ascii="IRNazanin" w:hAnsi="IRNazanin" w:eastAsia="IRNazanin" w:cs="IRNazanin"/>
          <w:lang w:bidi="fa-IR"/>
          <w:color w:val="111111"/>
          <w:sz w:val="28"/>
          <w:szCs w:val="28"/>
          <w:rtl/>
        </w:rPr>
        <w:t xml:space="preserve">بالاسطرلاب، ج 15 ، ص 269.</w:t>
      </w:r>
    </w:p>
    <w:p>
      <w:pPr>
        <w:pStyle w:val="BookText"/>
      </w:pPr>
      <w:r>
        <w:rPr>
          <w:rFonts w:ascii="IRNazanin" w:hAnsi="IRNazanin" w:eastAsia="IRNazanin" w:cs="IRNazanin"/>
          <w:lang w:bidi="fa-IR"/>
          <w:color w:val="111111"/>
          <w:sz w:val="28"/>
          <w:szCs w:val="28"/>
          <w:rtl/>
        </w:rPr>
        <w:t xml:space="preserve">فارسی ، حسن بن حمزه - بلاسي شيرازي ،</w:t>
      </w:r>
    </w:p>
    <w:p>
      <w:pPr>
        <w:pStyle w:val="BookText"/>
      </w:pPr>
      <w:r>
        <w:rPr>
          <w:rFonts w:ascii="IRNazanin" w:hAnsi="IRNazanin" w:eastAsia="IRNazanin" w:cs="IRNazanin"/>
          <w:lang w:bidi="fa-IR"/>
          <w:color w:val="111111"/>
          <w:sz w:val="28"/>
          <w:szCs w:val="28"/>
          <w:rtl/>
        </w:rPr>
        <w:t xml:space="preserve">حسن بن حمزه</w:t>
      </w:r>
    </w:p>
    <w:p>
      <w:pPr>
        <w:pStyle w:val="Heading2"/>
      </w:pPr>
      <w:bookmarkStart w:id="6262" w:name="_Toc5364"/>
      <w:r>
        <w:t>فارسي ، حسن بن زكردان</w:t>
      </w:r>
      <w:bookmarkEnd w:id="6262"/>
    </w:p>
    <w:p>
      <w:pPr>
        <w:pStyle w:val="BookText"/>
      </w:pPr>
      <w:r>
        <w:rPr>
          <w:rFonts w:ascii="Amiri" w:hAnsi="Amiri" w:eastAsia="Amiri" w:cs="Amiri"/>
          <w:lang w:bidi="ar-SA"/>
          <w:color w:val="111111"/>
          <w:sz w:val="28"/>
          <w:szCs w:val="28"/>
          <w:rtl/>
        </w:rPr>
        <w:t xml:space="preserve">الأحاديث الخمسة عشر، ج 1، ص 408.</w:t>
      </w:r>
    </w:p>
    <w:p>
      <w:pPr>
        <w:pStyle w:val="Heading2"/>
      </w:pPr>
      <w:bookmarkStart w:id="6263" w:name="_Toc5365"/>
      <w:r>
        <w:t>فارسي ، حسن بن علي 668 - 718 ؟ ه-</w:t>
      </w:r>
      <w:bookmarkEnd w:id="6263"/>
    </w:p>
    <w:p>
      <w:pPr>
        <w:pStyle w:val="BookText"/>
      </w:pPr>
      <w:r>
        <w:rPr>
          <w:rFonts w:ascii="Amiri" w:hAnsi="Amiri" w:eastAsia="Amiri" w:cs="Amiri"/>
          <w:lang w:bidi="ar-SA"/>
          <w:color w:val="111111"/>
          <w:sz w:val="28"/>
          <w:szCs w:val="28"/>
          <w:rtl/>
        </w:rPr>
        <w:t xml:space="preserve">1 .تنقيح المناظر لاولي (لذوي الابصار</w:t>
      </w:r>
    </w:p>
    <w:p>
      <w:pPr>
        <w:pStyle w:val="BookText"/>
      </w:pPr>
      <w:r>
        <w:rPr>
          <w:rFonts w:ascii="IRNazanin" w:hAnsi="IRNazanin" w:eastAsia="IRNazanin" w:cs="IRNazanin"/>
          <w:lang w:bidi="fa-IR"/>
          <w:color w:val="111111"/>
          <w:sz w:val="28"/>
          <w:szCs w:val="28"/>
          <w:rtl/>
        </w:rPr>
        <w:t xml:space="preserve">و البصائر، ج5، ص70.</w:t>
      </w:r>
    </w:p>
    <w:p>
      <w:pPr>
        <w:pStyle w:val="BookText"/>
      </w:pPr>
      <w:r>
        <w:rPr>
          <w:rFonts w:ascii="Amiri" w:hAnsi="Amiri" w:eastAsia="Amiri" w:cs="Amiri"/>
          <w:lang w:bidi="ar-SA"/>
          <w:color w:val="111111"/>
          <w:sz w:val="28"/>
          <w:szCs w:val="28"/>
          <w:rtl/>
        </w:rPr>
        <w:t xml:space="preserve">2 .حاشية التذكرة، ج 5، ص 735.</w:t>
      </w:r>
    </w:p>
    <w:p>
      <w:pPr>
        <w:pStyle w:val="BookText"/>
      </w:pPr>
      <w:r>
        <w:rPr>
          <w:rFonts w:ascii="Amiri" w:hAnsi="Amiri" w:eastAsia="Amiri" w:cs="Amiri"/>
          <w:lang w:bidi="ar-SA"/>
          <w:color w:val="111111"/>
          <w:sz w:val="28"/>
          <w:szCs w:val="28"/>
          <w:rtl/>
        </w:rPr>
        <w:t xml:space="preserve">3 .حاشية شرح التذكرة، ج 6، ص 67.</w:t>
      </w:r>
    </w:p>
    <w:p>
      <w:pPr>
        <w:pStyle w:val="BookText"/>
      </w:pPr>
      <w:r>
        <w:rPr>
          <w:rFonts w:ascii="Amiri" w:hAnsi="Amiri" w:eastAsia="Amiri" w:cs="Amiri"/>
          <w:lang w:bidi="ar-SA"/>
          <w:color w:val="111111"/>
          <w:sz w:val="28"/>
          <w:szCs w:val="28"/>
          <w:rtl/>
        </w:rPr>
        <w:t xml:space="preserve">فارسي ، حمزه بن علي -هادي المستجيبين</w:t>
      </w:r>
    </w:p>
    <w:p>
      <w:pPr>
        <w:pStyle w:val="BookText"/>
      </w:pPr>
      <w:r>
        <w:rPr>
          <w:rFonts w:ascii="Amiri" w:hAnsi="Amiri" w:eastAsia="Amiri" w:cs="Amiri"/>
          <w:lang w:bidi="ar-SA"/>
          <w:color w:val="111111"/>
          <w:sz w:val="28"/>
          <w:szCs w:val="28"/>
          <w:rtl/>
        </w:rPr>
        <w:t xml:space="preserve">حمزة بن علي</w:t>
      </w:r>
    </w:p>
    <w:p>
      <w:pPr>
        <w:pStyle w:val="BookText"/>
      </w:pPr>
      <w:r>
        <w:rPr>
          <w:rFonts w:ascii="Amiri" w:hAnsi="Amiri" w:eastAsia="Amiri" w:cs="Amiri"/>
          <w:lang w:bidi="ar-SA"/>
          <w:color w:val="111111"/>
          <w:sz w:val="28"/>
          <w:szCs w:val="28"/>
          <w:rtl/>
        </w:rPr>
        <w:t xml:space="preserve">فارسي ، حيدر محمّد -قاري ، محمّد بن حيدر</w:t>
      </w:r>
    </w:p>
    <w:p>
      <w:pPr>
        <w:pStyle w:val="Heading2"/>
      </w:pPr>
      <w:bookmarkStart w:id="6264" w:name="_Toc5366"/>
      <w:r>
        <w:t>فارسي شيرازي ، منصور بن عبدالله قرن 10ه-</w:t>
      </w:r>
      <w:bookmarkEnd w:id="6264"/>
    </w:p>
    <w:p>
      <w:pPr>
        <w:pStyle w:val="BookText"/>
      </w:pPr>
      <w:r>
        <w:rPr>
          <w:rFonts w:ascii="Amiri" w:hAnsi="Amiri" w:eastAsia="Amiri" w:cs="Amiri"/>
          <w:lang w:bidi="ar-SA"/>
          <w:color w:val="111111"/>
          <w:sz w:val="28"/>
          <w:szCs w:val="28"/>
          <w:rtl/>
        </w:rPr>
        <w:t xml:space="preserve">الفصول في شرح تهذيب الوصول =</w:t>
      </w:r>
    </w:p>
    <w:p>
      <w:pPr>
        <w:pStyle w:val="BookText"/>
      </w:pPr>
      <w:r>
        <w:rPr>
          <w:rFonts w:ascii="Amiri" w:hAnsi="Amiri" w:eastAsia="Amiri" w:cs="Amiri"/>
          <w:lang w:bidi="ar-SA"/>
          <w:color w:val="111111"/>
          <w:sz w:val="28"/>
          <w:szCs w:val="28"/>
          <w:rtl/>
        </w:rPr>
        <w:t xml:space="preserve">الفوائد المنصورية، ج 11، ص 858.</w:t>
      </w:r>
    </w:p>
    <w:p>
      <w:pPr>
        <w:pStyle w:val="BookText"/>
      </w:pPr>
      <w:r>
        <w:rPr>
          <w:rFonts w:ascii="IRNazanin" w:hAnsi="IRNazanin" w:eastAsia="IRNazanin" w:cs="IRNazanin"/>
          <w:lang w:bidi="fa-IR"/>
          <w:color w:val="111111"/>
          <w:sz w:val="28"/>
          <w:szCs w:val="28"/>
          <w:rtl/>
        </w:rPr>
        <w:t xml:space="preserve">فارسي ، عبدالرحمن بن احمد -عضدالدین</w:t>
      </w:r>
    </w:p>
    <w:p>
      <w:pPr>
        <w:pStyle w:val="BookText"/>
      </w:pPr>
      <w:r>
        <w:rPr>
          <w:rFonts w:ascii="Amiri" w:hAnsi="Amiri" w:eastAsia="Amiri" w:cs="Amiri"/>
          <w:lang w:bidi="ar-SA"/>
          <w:color w:val="111111"/>
          <w:sz w:val="28"/>
          <w:szCs w:val="28"/>
          <w:rtl/>
        </w:rPr>
        <w:t xml:space="preserve">ايجي ، عبدالرحمن بن احمد</w:t>
      </w:r>
    </w:p>
    <w:p>
      <w:pPr>
        <w:pStyle w:val="Heading2"/>
      </w:pPr>
      <w:bookmarkStart w:id="6265" w:name="_Toc5367"/>
      <w:r>
        <w:t>فارسی ، عبدالعزيز</w:t>
      </w:r>
      <w:bookmarkEnd w:id="6265"/>
    </w:p>
    <w:p>
      <w:pPr>
        <w:pStyle w:val="BookText"/>
      </w:pPr>
      <w:r>
        <w:rPr>
          <w:rFonts w:ascii="Amiri" w:hAnsi="Amiri" w:eastAsia="Amiri" w:cs="Amiri"/>
          <w:lang w:bidi="ar-SA"/>
          <w:color w:val="111111"/>
          <w:sz w:val="28"/>
          <w:szCs w:val="28"/>
          <w:rtl/>
        </w:rPr>
        <w:t xml:space="preserve">عمدة الاسلام في اركان الخمس، ج11،</w:t>
      </w:r>
    </w:p>
    <w:p>
      <w:pPr>
        <w:pStyle w:val="BookText"/>
      </w:pPr>
      <w:r>
        <w:rPr>
          <w:rFonts w:ascii="IRNazanin" w:hAnsi="IRNazanin" w:eastAsia="IRNazanin" w:cs="IRNazanin"/>
          <w:lang w:bidi="fa-IR"/>
          <w:color w:val="111111"/>
          <w:sz w:val="28"/>
          <w:szCs w:val="28"/>
          <w:rtl/>
        </w:rPr>
        <w:t xml:space="preserve">ص 287 .</w:t>
      </w:r>
    </w:p>
    <w:p>
      <w:pPr>
        <w:pStyle w:val="BookText"/>
      </w:pPr>
      <w:r>
        <w:rPr>
          <w:rFonts w:ascii="Amiri" w:hAnsi="Amiri" w:eastAsia="Amiri" w:cs="Amiri"/>
          <w:lang w:bidi="ar-SA"/>
          <w:color w:val="111111"/>
          <w:sz w:val="28"/>
          <w:szCs w:val="28"/>
          <w:rtl/>
        </w:rPr>
        <w:t xml:space="preserve">فارسي ، علي بن بلبان -ابن بلبان ، علي بن</w:t>
      </w:r>
    </w:p>
    <w:p>
      <w:pPr>
        <w:pStyle w:val="BookText"/>
      </w:pPr>
      <w:r>
        <w:rPr>
          <w:rFonts w:ascii="IRNazanin" w:hAnsi="IRNazanin" w:eastAsia="IRNazanin" w:cs="IRNazanin"/>
          <w:lang w:bidi="fa-IR"/>
          <w:color w:val="111111"/>
          <w:sz w:val="28"/>
          <w:szCs w:val="28"/>
          <w:rtl/>
        </w:rPr>
        <w:t xml:space="preserve">بلبان</w:t>
      </w:r>
    </w:p>
    <w:p>
      <w:pPr>
        <w:pStyle w:val="BookText"/>
      </w:pPr>
      <w:r>
        <w:rPr>
          <w:rFonts w:ascii="Amiri" w:hAnsi="Amiri" w:eastAsia="Amiri" w:cs="Amiri"/>
          <w:lang w:bidi="ar-SA"/>
          <w:color w:val="111111"/>
          <w:sz w:val="28"/>
          <w:szCs w:val="28"/>
          <w:rtl/>
        </w:rPr>
        <w:t xml:space="preserve">فارسي ، علي بن عباس- مجوسي ، علي بن</w:t>
      </w:r>
    </w:p>
    <w:p>
      <w:pPr>
        <w:pStyle w:val="BookText"/>
      </w:pPr>
      <w:r>
        <w:rPr>
          <w:rFonts w:ascii="IRNazanin" w:hAnsi="IRNazanin" w:eastAsia="IRNazanin" w:cs="IRNazanin"/>
          <w:lang w:bidi="fa-IR"/>
          <w:color w:val="111111"/>
          <w:sz w:val="28"/>
          <w:szCs w:val="28"/>
          <w:rtl/>
        </w:rPr>
        <w:t xml:space="preserve">عباس</w:t>
      </w:r>
    </w:p>
    <w:p>
      <w:pPr>
        <w:pStyle w:val="BookText"/>
      </w:pPr>
      <w:r>
        <w:rPr>
          <w:rFonts w:ascii="Amiri" w:hAnsi="Amiri" w:eastAsia="Amiri" w:cs="Amiri"/>
          <w:lang w:bidi="ar-SA"/>
          <w:color w:val="111111"/>
          <w:sz w:val="28"/>
          <w:szCs w:val="28"/>
          <w:rtl/>
        </w:rPr>
        <w:t xml:space="preserve">فارسي ، عماد بن يحيى- عماد الدين</w:t>
      </w:r>
    </w:p>
    <w:p>
      <w:pPr>
        <w:pStyle w:val="BookText"/>
      </w:pPr>
      <w:r>
        <w:rPr>
          <w:rFonts w:ascii="Amiri" w:hAnsi="Amiri" w:eastAsia="Amiri" w:cs="Amiri"/>
          <w:lang w:bidi="ar-SA"/>
          <w:color w:val="111111"/>
          <w:sz w:val="28"/>
          <w:szCs w:val="28"/>
          <w:rtl/>
        </w:rPr>
        <w:t xml:space="preserve">فارسي ، عماد بن يحيى</w:t>
      </w:r>
    </w:p>
    <w:p>
      <w:pPr>
        <w:pStyle w:val="BookText"/>
      </w:pPr>
      <w:r>
        <w:rPr>
          <w:rFonts w:ascii="Amiri" w:hAnsi="Amiri" w:eastAsia="Amiri" w:cs="Amiri"/>
          <w:lang w:bidi="ar-SA"/>
          <w:color w:val="111111"/>
          <w:sz w:val="28"/>
          <w:szCs w:val="28"/>
          <w:rtl/>
        </w:rPr>
        <w:t xml:space="preserve">فارسي ، عمر بن عبد الرحمن- قزويني</w:t>
      </w:r>
    </w:p>
    <w:p>
      <w:pPr>
        <w:pStyle w:val="BookText"/>
      </w:pPr>
      <w:r>
        <w:rPr>
          <w:rFonts w:ascii="IRNazanin" w:hAnsi="IRNazanin" w:eastAsia="IRNazanin" w:cs="IRNazanin"/>
          <w:lang w:bidi="fa-IR"/>
          <w:color w:val="111111"/>
          <w:sz w:val="28"/>
          <w:szCs w:val="28"/>
          <w:rtl/>
        </w:rPr>
        <w:t xml:space="preserve">عمر بن عبدالرحمن</w:t>
      </w:r>
    </w:p>
    <w:p>
      <w:pPr>
        <w:pStyle w:val="BookText"/>
      </w:pPr>
      <w:r>
        <w:rPr>
          <w:rFonts w:ascii="Amiri" w:hAnsi="Amiri" w:eastAsia="Amiri" w:cs="Amiri"/>
          <w:lang w:bidi="ar-SA"/>
          <w:color w:val="111111"/>
          <w:sz w:val="28"/>
          <w:szCs w:val="28"/>
          <w:rtl/>
        </w:rPr>
        <w:t xml:space="preserve">فارسي ، عميد الدين- فالي ، اسعد بن نصر</w:t>
      </w:r>
    </w:p>
    <w:p>
      <w:pPr>
        <w:pStyle w:val="Heading2"/>
      </w:pPr>
      <w:bookmarkStart w:id="6266" w:name="_Toc5368"/>
      <w:r>
        <w:t>فارسي فسوي ، يعقوب بن سفيان 191 -</w:t>
      </w:r>
      <w:bookmarkEnd w:id="6266"/>
    </w:p>
    <w:p>
      <w:pPr>
        <w:pStyle w:val="BookText"/>
      </w:pPr>
      <w:r>
        <w:rPr>
          <w:rFonts w:ascii="IRNazanin" w:hAnsi="IRNazanin" w:eastAsia="IRNazanin" w:cs="IRNazanin"/>
          <w:lang w:bidi="fa-IR"/>
          <w:color w:val="111111"/>
          <w:sz w:val="28"/>
          <w:szCs w:val="28"/>
          <w:rtl/>
        </w:rPr>
        <w:t xml:space="preserve">277ه-</w:t>
      </w:r>
    </w:p>
    <w:p>
      <w:pPr>
        <w:pStyle w:val="BookText"/>
      </w:pPr>
      <w:r>
        <w:rPr>
          <w:rFonts w:ascii="Amiri" w:hAnsi="Amiri" w:eastAsia="Amiri" w:cs="Amiri"/>
          <w:lang w:bidi="ar-SA"/>
          <w:color w:val="111111"/>
          <w:sz w:val="28"/>
          <w:szCs w:val="28"/>
          <w:rtl/>
        </w:rPr>
        <w:t xml:space="preserve">المعرفة والتاريخ، ج 15 ، ص 75.</w:t>
      </w:r>
    </w:p>
    <w:p>
      <w:pPr>
        <w:pStyle w:val="BookText"/>
      </w:pPr>
      <w:r>
        <w:rPr>
          <w:rFonts w:ascii="Amiri" w:hAnsi="Amiri" w:eastAsia="Amiri" w:cs="Amiri"/>
          <w:lang w:bidi="ar-SA"/>
          <w:color w:val="111111"/>
          <w:sz w:val="28"/>
          <w:szCs w:val="28"/>
          <w:rtl/>
        </w:rPr>
        <w:t xml:space="preserve">فارسي ، فصيح بن محمّد -هروي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فارسي ، محمّد- عارف بالله ، محمد بن</w:t>
      </w:r>
    </w:p>
    <w:p>
      <w:pPr>
        <w:pStyle w:val="BookText"/>
      </w:pPr>
      <w:r>
        <w:rPr>
          <w:rFonts w:ascii="IRNazanin" w:hAnsi="IRNazanin" w:eastAsia="IRNazanin" w:cs="IRNazanin"/>
          <w:lang w:bidi="fa-IR"/>
          <w:color w:val="111111"/>
          <w:sz w:val="28"/>
          <w:szCs w:val="28"/>
          <w:rtl/>
        </w:rPr>
        <w:t xml:space="preserve">عمر</w:t>
      </w:r>
    </w:p>
    <w:p>
      <w:pPr>
        <w:pStyle w:val="Heading2"/>
      </w:pPr>
      <w:bookmarkStart w:id="6267" w:name="_Toc5369"/>
      <w:r>
        <w:t>فارسي ، محمّد بن ابي بكر - 677؟ ه-</w:t>
      </w:r>
      <w:bookmarkEnd w:id="6267"/>
    </w:p>
    <w:p>
      <w:pPr>
        <w:pStyle w:val="BookText"/>
      </w:pPr>
      <w:r>
        <w:rPr>
          <w:rFonts w:ascii="Amiri" w:hAnsi="Amiri" w:eastAsia="Amiri" w:cs="Amiri"/>
          <w:lang w:bidi="ar-SA"/>
          <w:color w:val="111111"/>
          <w:sz w:val="28"/>
          <w:szCs w:val="28"/>
          <w:rtl/>
        </w:rPr>
        <w:t xml:space="preserve">معارج الفكر الوهيج في حل مشكلات</w:t>
      </w:r>
    </w:p>
    <w:p>
      <w:pPr>
        <w:pStyle w:val="BookText"/>
      </w:pPr>
      <w:r>
        <w:rPr>
          <w:rFonts w:ascii="Amiri" w:hAnsi="Amiri" w:eastAsia="Amiri" w:cs="Amiri"/>
          <w:lang w:bidi="ar-SA"/>
          <w:color w:val="111111"/>
          <w:sz w:val="28"/>
          <w:szCs w:val="28"/>
          <w:rtl/>
        </w:rPr>
        <w:t xml:space="preserve">الزيج، ج 14، ص 837.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34" w:name="pg7742_70939"/>
    <w:bookmarkEnd w:id="834"/>
    <w:p>
      <w:pPr>
        <w:pStyle w:val="Heading2"/>
      </w:pPr>
      <w:bookmarkStart w:id="6268" w:name="_Toc5370"/>
      <w:r>
        <w:t>فارسي ، محمّد بن احمد</w:t>
      </w:r>
      <w:bookmarkEnd w:id="6268"/>
    </w:p>
    <w:p>
      <w:pPr>
        <w:pStyle w:val="BookText"/>
      </w:pPr>
      <w:r>
        <w:rPr>
          <w:rFonts w:ascii="Amiri" w:hAnsi="Amiri" w:eastAsia="Amiri" w:cs="Amiri"/>
          <w:lang w:bidi="ar-SA"/>
          <w:color w:val="111111"/>
          <w:sz w:val="28"/>
          <w:szCs w:val="28"/>
          <w:rtl/>
        </w:rPr>
        <w:t xml:space="preserve">ميزان الاشعار، ج 16 ، ص 66 .</w:t>
      </w:r>
    </w:p>
    <w:p>
      <w:pPr>
        <w:pStyle w:val="BookText"/>
      </w:pPr>
      <w:r>
        <w:rPr>
          <w:rFonts w:ascii="IRNazanin" w:hAnsi="IRNazanin" w:eastAsia="IRNazanin" w:cs="IRNazanin"/>
          <w:lang w:bidi="fa-IR"/>
          <w:color w:val="111111"/>
          <w:sz w:val="28"/>
          <w:szCs w:val="28"/>
          <w:rtl/>
        </w:rPr>
        <w:t xml:space="preserve">فارسي ، محمّد بن سلیمان- خطیب ،</w:t>
      </w:r>
    </w:p>
    <w:p>
      <w:pPr>
        <w:pStyle w:val="BookText"/>
      </w:pPr>
      <w:r>
        <w:rPr>
          <w:rFonts w:ascii="Amiri" w:hAnsi="Amiri" w:eastAsia="Amiri" w:cs="Amiri"/>
          <w:lang w:bidi="ar-SA"/>
          <w:color w:val="111111"/>
          <w:sz w:val="28"/>
          <w:szCs w:val="28"/>
          <w:rtl/>
        </w:rPr>
        <w:t xml:space="preserve">محمّد بن سليمان</w:t>
      </w:r>
    </w:p>
    <w:p>
      <w:pPr>
        <w:pStyle w:val="BookText"/>
      </w:pPr>
      <w:r>
        <w:rPr>
          <w:rFonts w:ascii="Amiri" w:hAnsi="Amiri" w:eastAsia="Amiri" w:cs="Amiri"/>
          <w:lang w:bidi="ar-SA"/>
          <w:color w:val="111111"/>
          <w:sz w:val="28"/>
          <w:szCs w:val="28"/>
          <w:rtl/>
        </w:rPr>
        <w:t xml:space="preserve">فارسي ، محمّد بن علي- فاسي ، محمّد بن</w:t>
      </w:r>
    </w:p>
    <w:p>
      <w:pPr>
        <w:pStyle w:val="BookText"/>
      </w:pPr>
      <w:r>
        <w:rPr>
          <w:rFonts w:ascii="IRNazanin" w:hAnsi="IRNazanin" w:eastAsia="IRNazanin" w:cs="IRNazanin"/>
          <w:lang w:bidi="fa-IR"/>
          <w:color w:val="111111"/>
          <w:sz w:val="28"/>
          <w:szCs w:val="28"/>
          <w:rtl/>
        </w:rPr>
        <w:t xml:space="preserve">احمد</w:t>
      </w:r>
    </w:p>
    <w:p>
      <w:pPr>
        <w:pStyle w:val="Heading2"/>
      </w:pPr>
      <w:bookmarkStart w:id="6269" w:name="_Toc5371"/>
      <w:r>
        <w:t>فارسي ، محمّد بن علي قرن 11 ه-</w:t>
      </w:r>
      <w:bookmarkEnd w:id="6269"/>
    </w:p>
    <w:p>
      <w:pPr>
        <w:pStyle w:val="BookText"/>
      </w:pPr>
      <w:r>
        <w:rPr>
          <w:rFonts w:ascii="Amiri" w:hAnsi="Amiri" w:eastAsia="Amiri" w:cs="Amiri"/>
          <w:lang w:bidi="ar-SA"/>
          <w:color w:val="111111"/>
          <w:sz w:val="28"/>
          <w:szCs w:val="28"/>
          <w:rtl/>
        </w:rPr>
        <w:t xml:space="preserve">ميزان الطبايع قطب شاهي، ج 16،</w:t>
      </w:r>
    </w:p>
    <w:p>
      <w:pPr>
        <w:pStyle w:val="BookText"/>
      </w:pPr>
      <w:r>
        <w:rPr>
          <w:rFonts w:ascii="IRNazanin" w:hAnsi="IRNazanin" w:eastAsia="IRNazanin" w:cs="IRNazanin"/>
          <w:lang w:bidi="fa-IR"/>
          <w:color w:val="111111"/>
          <w:sz w:val="28"/>
          <w:szCs w:val="28"/>
          <w:rtl/>
        </w:rPr>
        <w:t xml:space="preserve">ص 69.</w:t>
      </w:r>
    </w:p>
    <w:p>
      <w:pPr>
        <w:pStyle w:val="BookText"/>
      </w:pPr>
      <w:r>
        <w:rPr>
          <w:rFonts w:ascii="Amiri" w:hAnsi="Amiri" w:eastAsia="Amiri" w:cs="Amiri"/>
          <w:lang w:bidi="ar-SA"/>
          <w:color w:val="111111"/>
          <w:sz w:val="28"/>
          <w:szCs w:val="28"/>
          <w:rtl/>
        </w:rPr>
        <w:t xml:space="preserve">فارسي ، محمّد بن محمّد -هروي ، محمّد بن محمّد</w:t>
      </w:r>
    </w:p>
    <w:p>
      <w:pPr>
        <w:pStyle w:val="Heading2"/>
      </w:pPr>
      <w:bookmarkStart w:id="6270" w:name="_Toc5372"/>
      <w:r>
        <w:t>فارسي، نصر بن عبدالعزيز - 461 ه-</w:t>
      </w:r>
      <w:bookmarkEnd w:id="6270"/>
    </w:p>
    <w:p>
      <w:pPr>
        <w:pStyle w:val="BookText"/>
      </w:pPr>
      <w:r>
        <w:rPr>
          <w:rFonts w:ascii="IRNazanin" w:hAnsi="IRNazanin" w:eastAsia="IRNazanin" w:cs="IRNazanin"/>
          <w:lang w:bidi="fa-IR"/>
          <w:color w:val="111111"/>
          <w:sz w:val="28"/>
          <w:szCs w:val="28"/>
          <w:rtl/>
        </w:rPr>
        <w:t xml:space="preserve">مجلس، ج 13، ص819</w:t>
      </w:r>
    </w:p>
    <w:p>
      <w:pPr>
        <w:pStyle w:val="BookText"/>
      </w:pPr>
      <w:r>
        <w:rPr>
          <w:rFonts w:ascii="Amiri" w:hAnsi="Amiri" w:eastAsia="Amiri" w:cs="Amiri"/>
          <w:lang w:bidi="ar-SA"/>
          <w:color w:val="111111"/>
          <w:sz w:val="28"/>
          <w:szCs w:val="28"/>
          <w:rtl/>
        </w:rPr>
        <w:t xml:space="preserve">فارسي ، يحيى بن علي- عماد الدين فارسي</w:t>
      </w:r>
    </w:p>
    <w:p>
      <w:pPr>
        <w:pStyle w:val="BookText"/>
      </w:pPr>
      <w:r>
        <w:rPr>
          <w:rFonts w:ascii="Amiri" w:hAnsi="Amiri" w:eastAsia="Amiri" w:cs="Amiri"/>
          <w:lang w:bidi="ar-SA"/>
          <w:color w:val="111111"/>
          <w:sz w:val="28"/>
          <w:szCs w:val="28"/>
          <w:rtl/>
        </w:rPr>
        <w:t xml:space="preserve">، عماد بن يحيى</w:t>
      </w:r>
    </w:p>
    <w:p>
      <w:pPr>
        <w:pStyle w:val="Heading2"/>
      </w:pPr>
      <w:bookmarkStart w:id="6271" w:name="_Toc5373"/>
      <w:r>
        <w:t>فارسي ، محمّد بن محمّد، - 1134 ه-</w:t>
      </w:r>
      <w:bookmarkEnd w:id="6271"/>
    </w:p>
    <w:p>
      <w:pPr>
        <w:pStyle w:val="BookText"/>
      </w:pPr>
      <w:r>
        <w:rPr>
          <w:rFonts w:ascii="Amiri" w:hAnsi="Amiri" w:eastAsia="Amiri" w:cs="Amiri"/>
          <w:lang w:bidi="ar-SA"/>
          <w:color w:val="111111"/>
          <w:sz w:val="28"/>
          <w:szCs w:val="28"/>
          <w:rtl/>
        </w:rPr>
        <w:t xml:space="preserve">حاشية شرح حكمة العين، ج 6، ص 88.</w:t>
      </w:r>
    </w:p>
    <w:p>
      <w:pPr>
        <w:pStyle w:val="Heading2"/>
      </w:pPr>
      <w:bookmarkStart w:id="6272" w:name="_Toc5374"/>
      <w:r>
        <w:t>فارسي ، محمّد بن محمّد</w:t>
      </w:r>
      <w:bookmarkEnd w:id="6272"/>
    </w:p>
    <w:p>
      <w:pPr>
        <w:pStyle w:val="BookText"/>
      </w:pPr>
      <w:r>
        <w:rPr>
          <w:rFonts w:ascii="Amiri" w:hAnsi="Amiri" w:eastAsia="Amiri" w:cs="Amiri"/>
          <w:lang w:bidi="ar-SA"/>
          <w:color w:val="111111"/>
          <w:sz w:val="28"/>
          <w:szCs w:val="28"/>
          <w:rtl/>
        </w:rPr>
        <w:t xml:space="preserve">زبدة البيان، ج8، ص 565.</w:t>
      </w:r>
    </w:p>
    <w:p>
      <w:pPr>
        <w:pStyle w:val="Heading2"/>
      </w:pPr>
      <w:bookmarkStart w:id="6273" w:name="_Toc5375"/>
      <w:r>
        <w:t>فارسي ، محمّد بن محمّد، - 1134 ه-</w:t>
      </w:r>
      <w:bookmarkEnd w:id="6273"/>
    </w:p>
    <w:p>
      <w:pPr>
        <w:pStyle w:val="BookText"/>
      </w:pPr>
      <w:r>
        <w:rPr>
          <w:rFonts w:ascii="Amiri" w:hAnsi="Amiri" w:eastAsia="Amiri" w:cs="Amiri"/>
          <w:lang w:bidi="ar-SA"/>
          <w:color w:val="111111"/>
          <w:sz w:val="28"/>
          <w:szCs w:val="28"/>
          <w:rtl/>
        </w:rPr>
        <w:t xml:space="preserve">1 .شرح الشافية = العجالة، ج 9،</w:t>
      </w:r>
    </w:p>
    <w:p>
      <w:pPr>
        <w:pStyle w:val="BookText"/>
      </w:pPr>
      <w:r>
        <w:rPr>
          <w:rFonts w:ascii="IRNazanin" w:hAnsi="IRNazanin" w:eastAsia="IRNazanin" w:cs="IRNazanin"/>
          <w:lang w:bidi="fa-IR"/>
          <w:color w:val="111111"/>
          <w:sz w:val="28"/>
          <w:szCs w:val="28"/>
          <w:rtl/>
        </w:rPr>
        <w:t xml:space="preserve">ص 607 .</w:t>
      </w:r>
    </w:p>
    <w:p>
      <w:pPr>
        <w:pStyle w:val="BookText"/>
      </w:pPr>
      <w:r>
        <w:rPr>
          <w:rFonts w:ascii="IRNazanin" w:hAnsi="IRNazanin" w:eastAsia="IRNazanin" w:cs="IRNazanin"/>
          <w:lang w:bidi="fa-IR"/>
          <w:color w:val="111111"/>
          <w:sz w:val="28"/>
          <w:szCs w:val="28"/>
          <w:rtl/>
        </w:rPr>
        <w:t xml:space="preserve">2 .شرح شواهد المطول، ج 9، ص 663.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قصيدة دعبل التائية، ج 9،</w:t>
      </w:r>
    </w:p>
    <w:p>
      <w:pPr>
        <w:pStyle w:val="BookText"/>
      </w:pPr>
      <w:r>
        <w:rPr>
          <w:rFonts w:ascii="IRNazanin" w:hAnsi="IRNazanin" w:eastAsia="IRNazanin" w:cs="IRNazanin"/>
          <w:lang w:bidi="fa-IR"/>
          <w:color w:val="111111"/>
          <w:sz w:val="28"/>
          <w:szCs w:val="28"/>
          <w:rtl/>
        </w:rPr>
        <w:t xml:space="preserve">ص 865.</w:t>
      </w:r>
    </w:p>
    <w:p>
      <w:pPr>
        <w:pStyle w:val="BookText"/>
      </w:pPr>
      <w:r>
        <w:rPr>
          <w:rFonts w:ascii="Amiri" w:hAnsi="Amiri" w:eastAsia="Amiri" w:cs="Amiri"/>
          <w:lang w:bidi="ar-SA"/>
          <w:color w:val="111111"/>
          <w:sz w:val="28"/>
          <w:szCs w:val="28"/>
          <w:rtl/>
        </w:rPr>
        <w:t xml:space="preserve">فارسي ، محمّد بن يحيى -عماد الدين</w:t>
      </w:r>
    </w:p>
    <w:p>
      <w:pPr>
        <w:pStyle w:val="BookText"/>
      </w:pPr>
      <w:r>
        <w:rPr>
          <w:rFonts w:ascii="Amiri" w:hAnsi="Amiri" w:eastAsia="Amiri" w:cs="Amiri"/>
          <w:lang w:bidi="ar-SA"/>
          <w:color w:val="111111"/>
          <w:sz w:val="28"/>
          <w:szCs w:val="28"/>
          <w:rtl/>
        </w:rPr>
        <w:t xml:space="preserve">فارسي ، عماد بن يحيى</w:t>
      </w:r>
    </w:p>
    <w:p>
      <w:pPr>
        <w:pStyle w:val="Heading2"/>
      </w:pPr>
      <w:bookmarkStart w:id="6274" w:name="_Toc5376"/>
      <w:r>
        <w:t>فارسي، محمّد تقي بن محمّد قرن 10 ه-</w:t>
      </w:r>
      <w:bookmarkEnd w:id="6274"/>
    </w:p>
    <w:p>
      <w:pPr>
        <w:pStyle w:val="BookText"/>
      </w:pPr>
      <w:r>
        <w:rPr>
          <w:rFonts w:ascii="IRNazanin" w:hAnsi="IRNazanin" w:eastAsia="IRNazanin" w:cs="IRNazanin"/>
          <w:lang w:bidi="fa-IR"/>
          <w:color w:val="111111"/>
          <w:sz w:val="28"/>
          <w:szCs w:val="28"/>
          <w:rtl/>
        </w:rPr>
        <w:t xml:space="preserve">1 .اسطرلاب مسطح = آغاز و انجام =</w:t>
      </w:r>
    </w:p>
    <w:p>
      <w:pPr>
        <w:pStyle w:val="BookText"/>
      </w:pPr>
      <w:r>
        <w:rPr>
          <w:rFonts w:ascii="IRNazanin" w:hAnsi="IRNazanin" w:eastAsia="IRNazanin" w:cs="IRNazanin"/>
          <w:lang w:bidi="fa-IR"/>
          <w:color w:val="111111"/>
          <w:sz w:val="28"/>
          <w:szCs w:val="28"/>
          <w:rtl/>
        </w:rPr>
        <w:t xml:space="preserve">جام جهان نما، ج2، ص 195.</w:t>
      </w:r>
    </w:p>
    <w:p>
      <w:pPr>
        <w:pStyle w:val="BookText"/>
      </w:pPr>
      <w:r>
        <w:rPr>
          <w:rFonts w:ascii="Amiri" w:hAnsi="Amiri" w:eastAsia="Amiri" w:cs="Amiri"/>
          <w:lang w:bidi="ar-SA"/>
          <w:color w:val="111111"/>
          <w:sz w:val="28"/>
          <w:szCs w:val="28"/>
          <w:rtl/>
        </w:rPr>
        <w:t xml:space="preserve">2 .سمت القبلة = الدائرة الهندية - معرفة التقويم، ج8، ص830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معرفت تقويم = حل التقويم</w:t>
      </w:r>
    </w:p>
    <w:p>
      <w:pPr>
        <w:pStyle w:val="BookText"/>
      </w:pPr>
      <w:r>
        <w:rPr>
          <w:rFonts w:ascii="IRNazanin" w:hAnsi="IRNazanin" w:eastAsia="IRNazanin" w:cs="IRNazanin"/>
          <w:lang w:bidi="fa-IR"/>
          <w:color w:val="111111"/>
          <w:sz w:val="28"/>
          <w:szCs w:val="28"/>
          <w:rtl/>
        </w:rPr>
        <w:t xml:space="preserve">ج 15، ص 50.</w:t>
      </w:r>
    </w:p>
    <w:p>
      <w:pPr>
        <w:pStyle w:val="BookText"/>
      </w:pPr>
      <w:r>
        <w:rPr>
          <w:rFonts w:ascii="Amiri" w:hAnsi="Amiri" w:eastAsia="Amiri" w:cs="Amiri"/>
          <w:lang w:bidi="ar-SA"/>
          <w:color w:val="111111"/>
          <w:sz w:val="28"/>
          <w:szCs w:val="28"/>
          <w:rtl/>
        </w:rPr>
        <w:t xml:space="preserve">فارسي ، محمّد جعفر بن محمّد</w:t>
      </w:r>
    </w:p>
    <w:p>
      <w:pPr>
        <w:pStyle w:val="BookText"/>
      </w:pPr>
      <w:r>
        <w:rPr>
          <w:rFonts w:ascii="Amiri" w:hAnsi="Amiri" w:eastAsia="Amiri" w:cs="Amiri"/>
          <w:lang w:bidi="ar-SA"/>
          <w:color w:val="111111"/>
          <w:sz w:val="28"/>
          <w:szCs w:val="28"/>
          <w:rtl/>
        </w:rPr>
        <w:t xml:space="preserve">صفي -آباده اي ، محمّد جعفر بن محمّد</w:t>
      </w:r>
    </w:p>
    <w:p>
      <w:pPr>
        <w:pStyle w:val="BookText"/>
      </w:pPr>
      <w:r>
        <w:rPr>
          <w:rFonts w:ascii="Amiri" w:hAnsi="Amiri" w:eastAsia="Amiri" w:cs="Amiri"/>
          <w:lang w:bidi="ar-SA"/>
          <w:color w:val="111111"/>
          <w:sz w:val="28"/>
          <w:szCs w:val="28"/>
          <w:rtl/>
        </w:rPr>
        <w:t xml:space="preserve">صفي</w:t>
      </w:r>
    </w:p>
    <w:p>
      <w:pPr>
        <w:pStyle w:val="Heading2"/>
      </w:pPr>
      <w:bookmarkStart w:id="6275" w:name="_Toc5377"/>
      <w:r>
        <w:t>فارسي ، يزدجرد بن مهمندار قرن 3 ه-</w:t>
      </w:r>
      <w:bookmarkEnd w:id="6275"/>
    </w:p>
    <w:p>
      <w:pPr>
        <w:pStyle w:val="BookText"/>
      </w:pPr>
      <w:r>
        <w:rPr>
          <w:rFonts w:ascii="IRNazanin" w:hAnsi="IRNazanin" w:eastAsia="IRNazanin" w:cs="IRNazanin"/>
          <w:lang w:bidi="fa-IR"/>
          <w:color w:val="111111"/>
          <w:sz w:val="28"/>
          <w:szCs w:val="28"/>
          <w:rtl/>
        </w:rPr>
        <w:t xml:space="preserve">فضائل بغداد، ج 12، ص 6.</w:t>
      </w:r>
    </w:p>
    <w:p>
      <w:pPr>
        <w:pStyle w:val="Heading2"/>
      </w:pPr>
      <w:bookmarkStart w:id="6276" w:name="_Toc5378"/>
      <w:r>
        <w:t>فارقي ، حسن بن اسد - 487 ه-</w:t>
      </w:r>
      <w:bookmarkEnd w:id="6276"/>
    </w:p>
    <w:p>
      <w:pPr>
        <w:pStyle w:val="BookText"/>
      </w:pPr>
      <w:r>
        <w:rPr>
          <w:rFonts w:ascii="Amiri" w:hAnsi="Amiri" w:eastAsia="Amiri" w:cs="Amiri"/>
          <w:lang w:bidi="ar-SA"/>
          <w:color w:val="111111"/>
          <w:sz w:val="28"/>
          <w:szCs w:val="28"/>
          <w:rtl/>
        </w:rPr>
        <w:t xml:space="preserve">شرح الابيات المشكلة الاعراب = الافصاح في شرح الابيات المشكلة الايضاح، ج 9، ص 149.</w:t>
      </w:r>
    </w:p>
    <w:p>
      <w:pPr>
        <w:pStyle w:val="BookText"/>
      </w:pPr>
      <w:r>
        <w:rPr>
          <w:rFonts w:ascii="Amiri" w:hAnsi="Amiri" w:eastAsia="Amiri" w:cs="Amiri"/>
          <w:lang w:bidi="ar-SA"/>
          <w:color w:val="111111"/>
          <w:sz w:val="28"/>
          <w:szCs w:val="28"/>
          <w:rtl/>
        </w:rPr>
        <w:t xml:space="preserve">فارقي ، عبدالرحيم بن محمّد- ابن نباته</w:t>
      </w:r>
    </w:p>
    <w:p>
      <w:pPr>
        <w:pStyle w:val="BookText"/>
      </w:pPr>
      <w:r>
        <w:rPr>
          <w:rFonts w:ascii="Amiri" w:hAnsi="Amiri" w:eastAsia="Amiri" w:cs="Amiri"/>
          <w:lang w:bidi="ar-SA"/>
          <w:color w:val="111111"/>
          <w:sz w:val="28"/>
          <w:szCs w:val="28"/>
          <w:rtl/>
        </w:rPr>
        <w:t xml:space="preserve">عبد الرحيم بن محمّد</w:t>
      </w:r>
    </w:p>
    <w:p>
      <w:pPr>
        <w:pStyle w:val="Heading2"/>
      </w:pPr>
      <w:bookmarkStart w:id="6277" w:name="_Toc5379"/>
      <w:r>
        <w:t>فارقي ، محمود بن عبدالصمد</w:t>
      </w:r>
      <w:bookmarkEnd w:id="6277"/>
    </w:p>
    <w:p>
      <w:pPr>
        <w:pStyle w:val="BookText"/>
      </w:pPr>
      <w:r>
        <w:rPr>
          <w:rFonts w:ascii="Amiri" w:hAnsi="Amiri" w:eastAsia="Amiri" w:cs="Amiri"/>
          <w:lang w:bidi="ar-SA"/>
          <w:color w:val="111111"/>
          <w:sz w:val="28"/>
          <w:szCs w:val="28"/>
          <w:rtl/>
        </w:rPr>
        <w:t xml:space="preserve">شرح المصابيح (2)، ج 10، ص 144 .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35" w:name="pg7742_70941"/>
    <w:bookmarkEnd w:id="835"/>
    <w:p>
      <w:pPr>
        <w:pStyle w:val="BookText"/>
      </w:pPr>
      <w:r>
        <w:rPr>
          <w:rFonts w:ascii="Amiri" w:hAnsi="Amiri" w:eastAsia="Amiri" w:cs="Amiri"/>
          <w:lang w:bidi="ar-SA"/>
          <w:color w:val="111111"/>
          <w:sz w:val="28"/>
          <w:szCs w:val="28"/>
          <w:rtl/>
        </w:rPr>
        <w:t xml:space="preserve">فارقي مصري ، محمّد بن محمّد -ابن</w:t>
      </w:r>
    </w:p>
    <w:p>
      <w:pPr>
        <w:pStyle w:val="BookText"/>
      </w:pPr>
      <w:r>
        <w:rPr>
          <w:rFonts w:ascii="Amiri" w:hAnsi="Amiri" w:eastAsia="Amiri" w:cs="Amiri"/>
          <w:lang w:bidi="ar-SA"/>
          <w:color w:val="111111"/>
          <w:sz w:val="28"/>
          <w:szCs w:val="28"/>
          <w:rtl/>
        </w:rPr>
        <w:t xml:space="preserve">نباته ، محمّد بن محمّد</w:t>
      </w:r>
    </w:p>
    <w:p>
      <w:pPr>
        <w:pStyle w:val="BookText"/>
      </w:pPr>
      <w:r>
        <w:rPr>
          <w:rFonts w:ascii="Amiri" w:hAnsi="Amiri" w:eastAsia="Amiri" w:cs="Amiri"/>
          <w:lang w:bidi="ar-SA"/>
          <w:color w:val="111111"/>
          <w:sz w:val="28"/>
          <w:szCs w:val="28"/>
          <w:rtl/>
        </w:rPr>
        <w:t xml:space="preserve">فاروقي ، احمد -سرهندي ، احمد بن</w:t>
      </w:r>
    </w:p>
    <w:p>
      <w:pPr>
        <w:pStyle w:val="BookText"/>
      </w:pPr>
      <w:r>
        <w:rPr>
          <w:rFonts w:ascii="IRNazanin" w:hAnsi="IRNazanin" w:eastAsia="IRNazanin" w:cs="IRNazanin"/>
          <w:lang w:bidi="fa-IR"/>
          <w:color w:val="111111"/>
          <w:sz w:val="28"/>
          <w:szCs w:val="28"/>
          <w:rtl/>
        </w:rPr>
        <w:t xml:space="preserve">عبدالاحد</w:t>
      </w:r>
    </w:p>
    <w:p>
      <w:pPr>
        <w:pStyle w:val="BookText"/>
      </w:pPr>
      <w:r>
        <w:rPr>
          <w:rFonts w:ascii="Amiri" w:hAnsi="Amiri" w:eastAsia="Amiri" w:cs="Amiri"/>
          <w:lang w:bidi="ar-SA"/>
          <w:color w:val="111111"/>
          <w:sz w:val="28"/>
          <w:szCs w:val="28"/>
          <w:rtl/>
        </w:rPr>
        <w:t xml:space="preserve">فاروقي ، احمد بن عبد الاحد -سرهندي</w:t>
      </w:r>
    </w:p>
    <w:p>
      <w:pPr>
        <w:pStyle w:val="BookText"/>
      </w:pPr>
      <w:r>
        <w:rPr>
          <w:rFonts w:ascii="IRNazanin" w:hAnsi="IRNazanin" w:eastAsia="IRNazanin" w:cs="IRNazanin"/>
          <w:lang w:bidi="fa-IR"/>
          <w:color w:val="111111"/>
          <w:sz w:val="28"/>
          <w:szCs w:val="28"/>
          <w:rtl/>
        </w:rPr>
        <w:t xml:space="preserve">احمد بن عبدالاحد</w:t>
      </w:r>
    </w:p>
    <w:p>
      <w:pPr>
        <w:pStyle w:val="Heading2"/>
      </w:pPr>
      <w:bookmarkStart w:id="6278" w:name="_Toc5380"/>
      <w:r>
        <w:t>فاروقي ، احمد بن عبد الاحد، 971 -</w:t>
      </w:r>
      <w:bookmarkEnd w:id="6278"/>
    </w:p>
    <w:p>
      <w:pPr>
        <w:pStyle w:val="BookText"/>
      </w:pPr>
      <w:r>
        <w:rPr>
          <w:rFonts w:ascii="IRNazanin" w:hAnsi="IRNazanin" w:eastAsia="IRNazanin" w:cs="IRNazanin"/>
          <w:lang w:bidi="fa-IR"/>
          <w:color w:val="111111"/>
          <w:sz w:val="28"/>
          <w:szCs w:val="28"/>
          <w:rtl/>
        </w:rPr>
        <w:t xml:space="preserve">1034ه-</w:t>
      </w:r>
    </w:p>
    <w:p>
      <w:pPr>
        <w:pStyle w:val="BookText"/>
      </w:pPr>
      <w:r>
        <w:rPr>
          <w:rFonts w:ascii="Amiri" w:hAnsi="Amiri" w:eastAsia="Amiri" w:cs="Amiri"/>
          <w:lang w:bidi="ar-SA"/>
          <w:color w:val="111111"/>
          <w:sz w:val="28"/>
          <w:szCs w:val="28"/>
          <w:rtl/>
        </w:rPr>
        <w:t xml:space="preserve">مكاتيب = مكتوبات، ج 15 ، ص 407.</w:t>
      </w:r>
    </w:p>
    <w:p>
      <w:pPr>
        <w:pStyle w:val="Heading2"/>
      </w:pPr>
      <w:bookmarkStart w:id="6279" w:name="_Toc5381"/>
      <w:r>
        <w:t>فاروقي ، احمد عزت بن محمود، 1244 -</w:t>
      </w:r>
      <w:bookmarkEnd w:id="6279"/>
    </w:p>
    <w:p>
      <w:pPr>
        <w:pStyle w:val="BookText"/>
      </w:pPr>
      <w:r>
        <w:rPr>
          <w:rFonts w:ascii="IRNazanin" w:hAnsi="IRNazanin" w:eastAsia="IRNazanin" w:cs="IRNazanin"/>
          <w:lang w:bidi="fa-IR"/>
          <w:color w:val="111111"/>
          <w:sz w:val="28"/>
          <w:szCs w:val="28"/>
          <w:rtl/>
        </w:rPr>
        <w:t xml:space="preserve">1310 ه-</w:t>
      </w:r>
    </w:p>
    <w:p>
      <w:pPr>
        <w:pStyle w:val="BookText"/>
      </w:pPr>
      <w:r>
        <w:rPr>
          <w:rFonts w:ascii="Amiri" w:hAnsi="Amiri" w:eastAsia="Amiri" w:cs="Amiri"/>
          <w:lang w:bidi="ar-SA"/>
          <w:color w:val="111111"/>
          <w:sz w:val="28"/>
          <w:szCs w:val="28"/>
          <w:rtl/>
        </w:rPr>
        <w:t xml:space="preserve">1.ترجمة نعمان الالوسي، جع،</w:t>
      </w:r>
    </w:p>
    <w:p>
      <w:pPr>
        <w:pStyle w:val="BookText"/>
      </w:pPr>
      <w:r>
        <w:rPr>
          <w:rFonts w:ascii="IRNazanin" w:hAnsi="IRNazanin" w:eastAsia="IRNazanin" w:cs="IRNazanin"/>
          <w:lang w:bidi="fa-IR"/>
          <w:color w:val="111111"/>
          <w:sz w:val="28"/>
          <w:szCs w:val="28"/>
          <w:rtl/>
        </w:rPr>
        <w:t xml:space="preserve">ص 298.</w:t>
      </w:r>
    </w:p>
    <w:p>
      <w:pPr>
        <w:pStyle w:val="BookText"/>
      </w:pPr>
      <w:r>
        <w:rPr>
          <w:rFonts w:ascii="Amiri" w:hAnsi="Amiri" w:eastAsia="Amiri" w:cs="Amiri"/>
          <w:lang w:bidi="ar-SA"/>
          <w:color w:val="111111"/>
          <w:sz w:val="28"/>
          <w:szCs w:val="28"/>
          <w:rtl/>
        </w:rPr>
        <w:t xml:space="preserve">2 .دوحة الياسمين في مدح تقي الدين</w:t>
      </w:r>
    </w:p>
    <w:p>
      <w:pPr>
        <w:pStyle w:val="BookText"/>
      </w:pPr>
      <w:r>
        <w:rPr>
          <w:rFonts w:ascii="IRNazanin" w:hAnsi="IRNazanin" w:eastAsia="IRNazanin" w:cs="IRNazanin"/>
          <w:lang w:bidi="fa-IR"/>
          <w:color w:val="111111"/>
          <w:sz w:val="28"/>
          <w:szCs w:val="28"/>
          <w:rtl/>
        </w:rPr>
        <w:t xml:space="preserve">ج 7، ص 490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عزة باشا الفاروقي، ج7،</w:t>
      </w:r>
    </w:p>
    <w:p>
      <w:pPr>
        <w:pStyle w:val="BookText"/>
      </w:pPr>
      <w:r>
        <w:rPr>
          <w:rFonts w:ascii="IRNazanin" w:hAnsi="IRNazanin" w:eastAsia="IRNazanin" w:cs="IRNazanin"/>
          <w:lang w:bidi="fa-IR"/>
          <w:color w:val="111111"/>
          <w:sz w:val="28"/>
          <w:szCs w:val="28"/>
          <w:rtl/>
        </w:rPr>
        <w:t xml:space="preserve">ص 718.</w:t>
      </w:r>
    </w:p>
    <w:p>
      <w:pPr>
        <w:pStyle w:val="BookText"/>
      </w:pPr>
      <w:r>
        <w:rPr>
          <w:rFonts w:ascii="Amiri" w:hAnsi="Amiri" w:eastAsia="Amiri" w:cs="Amiri"/>
          <w:lang w:bidi="ar-SA"/>
          <w:color w:val="111111"/>
          <w:sz w:val="28"/>
          <w:szCs w:val="28"/>
          <w:rtl/>
        </w:rPr>
        <w:t xml:space="preserve">فاروقي ، خير الدين بن احمد- رملي ،</w:t>
      </w:r>
    </w:p>
    <w:p>
      <w:pPr>
        <w:pStyle w:val="BookText"/>
      </w:pPr>
      <w:r>
        <w:rPr>
          <w:rFonts w:ascii="IRNazanin" w:hAnsi="IRNazanin" w:eastAsia="IRNazanin" w:cs="IRNazanin"/>
          <w:lang w:bidi="fa-IR"/>
          <w:color w:val="111111"/>
          <w:sz w:val="28"/>
          <w:szCs w:val="28"/>
          <w:rtl/>
        </w:rPr>
        <w:t xml:space="preserve">خیرالدین بن احمد</w:t>
      </w:r>
    </w:p>
    <w:p>
      <w:pPr>
        <w:pStyle w:val="BookText"/>
      </w:pPr>
      <w:r>
        <w:rPr>
          <w:rFonts w:ascii="Amiri" w:hAnsi="Amiri" w:eastAsia="Amiri" w:cs="Amiri"/>
          <w:lang w:bidi="ar-SA"/>
          <w:color w:val="111111"/>
          <w:sz w:val="28"/>
          <w:szCs w:val="28"/>
          <w:rtl/>
        </w:rPr>
        <w:t xml:space="preserve">فاروقي سرهندي، احمد بن عبد الاحد- سرهندي ، احمد بن عبدالاحد</w:t>
      </w:r>
    </w:p>
    <w:p>
      <w:pPr>
        <w:pStyle w:val="Heading2"/>
      </w:pPr>
      <w:bookmarkStart w:id="6280" w:name="_Toc5382"/>
      <w:r>
        <w:t>فاروقي سمرقندي ، احمد</w:t>
      </w:r>
      <w:bookmarkEnd w:id="6280"/>
    </w:p>
    <w:p>
      <w:pPr>
        <w:pStyle w:val="BookText"/>
      </w:pPr>
      <w:r>
        <w:rPr>
          <w:rFonts w:ascii="Amiri" w:hAnsi="Amiri" w:eastAsia="Amiri" w:cs="Amiri"/>
          <w:lang w:bidi="ar-SA"/>
          <w:color w:val="111111"/>
          <w:sz w:val="28"/>
          <w:szCs w:val="28"/>
          <w:rtl/>
        </w:rPr>
        <w:t xml:space="preserve">الاختيار، ج1، ص 553.</w:t>
      </w:r>
    </w:p>
    <w:p>
      <w:pPr>
        <w:pStyle w:val="Heading2"/>
      </w:pPr>
      <w:bookmarkStart w:id="6281" w:name="_Toc5383"/>
      <w:r>
        <w:t>فاروقي ، عبدالباقي بن سليمان، 1204</w:t>
      </w:r>
      <w:bookmarkEnd w:id="6281"/>
    </w:p>
    <w:p>
      <w:pPr>
        <w:pStyle w:val="BookText"/>
      </w:pPr>
      <w:r>
        <w:rPr>
          <w:rFonts w:ascii="IRNazanin" w:hAnsi="IRNazanin" w:eastAsia="IRNazanin" w:cs="IRNazanin"/>
          <w:lang w:bidi="fa-IR"/>
          <w:color w:val="111111"/>
          <w:sz w:val="28"/>
          <w:szCs w:val="28"/>
          <w:rtl/>
        </w:rPr>
        <w:t xml:space="preserve">1279 ه-</w:t>
      </w:r>
    </w:p>
    <w:p>
      <w:pPr>
        <w:pStyle w:val="BookText"/>
      </w:pPr>
      <w:r>
        <w:rPr>
          <w:rFonts w:ascii="Amiri" w:hAnsi="Amiri" w:eastAsia="Amiri" w:cs="Amiri"/>
          <w:lang w:bidi="ar-SA"/>
          <w:color w:val="111111"/>
          <w:sz w:val="28"/>
          <w:szCs w:val="28"/>
          <w:rtl/>
        </w:rPr>
        <w:t xml:space="preserve">1 .الباقيات الصالحات في مدح اهل</w:t>
      </w:r>
    </w:p>
    <w:p>
      <w:pPr>
        <w:pStyle w:val="BookText"/>
      </w:pPr>
      <w:r>
        <w:rPr>
          <w:rFonts w:ascii="Amiri" w:hAnsi="Amiri" w:eastAsia="Amiri" w:cs="Amiri"/>
          <w:lang w:bidi="ar-SA"/>
          <w:color w:val="111111"/>
          <w:sz w:val="28"/>
          <w:szCs w:val="28"/>
          <w:rtl/>
        </w:rPr>
        <w:t xml:space="preserve">البيت (منظوم)، ج 3، ص182.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تخاميس، ج4، ص88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تخمیس، ج4، ص102.</w:t>
      </w:r>
    </w:p>
    <w:p>
      <w:pPr>
        <w:pStyle w:val="BookText"/>
      </w:pPr>
      <w:r>
        <w:rPr>
          <w:rFonts w:ascii="Amiri" w:hAnsi="Amiri" w:eastAsia="Amiri" w:cs="Amiri"/>
          <w:lang w:bidi="ar-SA"/>
          <w:color w:val="111111"/>
          <w:sz w:val="28"/>
          <w:szCs w:val="28"/>
          <w:rtl/>
        </w:rPr>
        <w:t xml:space="preserve">4 .تخميس القصيدة الهمزية، ج 4،</w:t>
      </w:r>
    </w:p>
    <w:p>
      <w:pPr>
        <w:pStyle w:val="BookText"/>
      </w:pPr>
      <w:r>
        <w:rPr>
          <w:rFonts w:ascii="IRNazanin" w:hAnsi="IRNazanin" w:eastAsia="IRNazanin" w:cs="IRNazanin"/>
          <w:lang w:bidi="fa-IR"/>
          <w:color w:val="111111"/>
          <w:sz w:val="28"/>
          <w:szCs w:val="28"/>
          <w:rtl/>
        </w:rPr>
        <w:t xml:space="preserve">ص 147 .</w:t>
      </w:r>
    </w:p>
    <w:p>
      <w:pPr>
        <w:pStyle w:val="BookText"/>
      </w:pPr>
      <w:r>
        <w:rPr>
          <w:rFonts w:ascii="Amiri" w:hAnsi="Amiri" w:eastAsia="Amiri" w:cs="Amiri"/>
          <w:lang w:bidi="ar-SA"/>
          <w:color w:val="111111"/>
          <w:sz w:val="28"/>
          <w:szCs w:val="28"/>
          <w:rtl/>
        </w:rPr>
        <w:t xml:space="preserve">5 .تخميس قصيدة البردة، جع،</w:t>
      </w:r>
    </w:p>
    <w:p>
      <w:pPr>
        <w:pStyle w:val="BookText"/>
      </w:pPr>
      <w:r>
        <w:rPr>
          <w:rFonts w:ascii="IRNazanin" w:hAnsi="IRNazanin" w:eastAsia="IRNazanin" w:cs="IRNazanin"/>
          <w:lang w:bidi="fa-IR"/>
          <w:color w:val="111111"/>
          <w:sz w:val="28"/>
          <w:szCs w:val="28"/>
          <w:rtl/>
        </w:rPr>
        <w:t xml:space="preserve">ص 124 .</w:t>
      </w:r>
    </w:p>
    <w:p>
      <w:pPr>
        <w:pStyle w:val="BookText"/>
      </w:pPr>
      <w:r>
        <w:rPr>
          <w:rFonts w:ascii="Amiri" w:hAnsi="Amiri" w:eastAsia="Amiri" w:cs="Amiri"/>
          <w:lang w:bidi="ar-SA"/>
          <w:color w:val="111111"/>
          <w:sz w:val="28"/>
          <w:szCs w:val="28"/>
          <w:rtl/>
        </w:rPr>
        <w:t xml:space="preserve">6 .تخميس قصيدة لابن أبي الحديد</w:t>
      </w:r>
    </w:p>
    <w:p>
      <w:pPr>
        <w:pStyle w:val="BookText"/>
      </w:pPr>
      <w:r>
        <w:rPr>
          <w:rFonts w:ascii="IRNazanin" w:hAnsi="IRNazanin" w:eastAsia="IRNazanin" w:cs="IRNazanin"/>
          <w:lang w:bidi="fa-IR"/>
          <w:color w:val="111111"/>
          <w:sz w:val="28"/>
          <w:szCs w:val="28"/>
          <w:rtl/>
        </w:rPr>
        <w:t xml:space="preserve">ج 4، ص 137.</w:t>
      </w:r>
    </w:p>
    <w:p>
      <w:pPr>
        <w:pStyle w:val="BookText"/>
      </w:pPr>
      <w:r>
        <w:rPr>
          <w:rFonts w:ascii="IRNazanin" w:hAnsi="IRNazanin" w:eastAsia="IRNazanin" w:cs="IRNazanin"/>
          <w:lang w:bidi="fa-IR"/>
          <w:color w:val="111111"/>
          <w:sz w:val="28"/>
          <w:szCs w:val="28"/>
          <w:rtl/>
        </w:rPr>
        <w:t xml:space="preserve">7 .تخمیس و تشطير، ج 4، ص 163.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ترجمة حياة العالم ، ج 4، ص 268.</w:t>
      </w:r>
    </w:p>
    <w:p>
      <w:pPr>
        <w:pStyle w:val="BookText"/>
      </w:pPr>
      <w:r>
        <w:rPr>
          <w:rFonts w:ascii="Amiri" w:hAnsi="Amiri" w:eastAsia="Amiri" w:cs="Amiri"/>
          <w:lang w:bidi="ar-SA"/>
          <w:color w:val="111111"/>
          <w:sz w:val="28"/>
          <w:szCs w:val="28"/>
          <w:rtl/>
        </w:rPr>
        <w:t xml:space="preserve">9 .الترياق الفاروقي - ديوان عبد الباقي العمري = الباقيات</w:t>
      </w:r>
    </w:p>
    <w:p>
      <w:pPr>
        <w:pStyle w:val="BookText"/>
      </w:pPr>
      <w:r>
        <w:rPr>
          <w:rFonts w:ascii="IRNazanin" w:hAnsi="IRNazanin" w:eastAsia="IRNazanin" w:cs="IRNazanin"/>
          <w:lang w:bidi="fa-IR"/>
          <w:color w:val="111111"/>
          <w:sz w:val="28"/>
          <w:szCs w:val="28"/>
          <w:rtl/>
        </w:rPr>
        <w:t xml:space="preserve">الصالحات، ج4، ص318</w:t>
      </w:r>
    </w:p>
    <w:p>
      <w:pPr>
        <w:pStyle w:val="BookText"/>
      </w:pPr>
      <w:r>
        <w:rPr>
          <w:rFonts w:ascii="Amiri" w:hAnsi="Amiri" w:eastAsia="Amiri" w:cs="Amiri"/>
          <w:lang w:bidi="ar-SA"/>
          <w:color w:val="111111"/>
          <w:sz w:val="28"/>
          <w:szCs w:val="28"/>
          <w:rtl/>
        </w:rPr>
        <w:t xml:space="preserve">10 .تشطير قصيدة، ج 4، ص 385.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تقريظ شرح لغز العمري (قصيدة)</w:t>
      </w:r>
    </w:p>
    <w:p>
      <w:pPr>
        <w:pStyle w:val="BookText"/>
      </w:pPr>
      <w:r>
        <w:rPr>
          <w:rFonts w:ascii="Amiri" w:hAnsi="Amiri" w:eastAsia="Amiri" w:cs="Amiri"/>
          <w:lang w:bidi="ar-SA"/>
          <w:color w:val="111111"/>
          <w:sz w:val="28"/>
          <w:szCs w:val="28"/>
          <w:rtl/>
        </w:rPr>
        <w:t xml:space="preserve">في)، ج 4، ص 784.</w:t>
      </w:r>
    </w:p>
    <w:p>
      <w:pPr>
        <w:pStyle w:val="BookText"/>
      </w:pPr>
      <w:r>
        <w:rPr>
          <w:rFonts w:ascii="IRNazanin" w:hAnsi="IRNazanin" w:eastAsia="IRNazanin" w:cs="IRNazanin"/>
          <w:lang w:bidi="fa-IR"/>
          <w:color w:val="111111"/>
          <w:sz w:val="28"/>
          <w:szCs w:val="28"/>
          <w:rtl/>
        </w:rPr>
        <w:t xml:space="preserve">12 .دیوان عبد الباقي الموصلي، ج7،</w:t>
      </w:r>
    </w:p>
    <w:p>
      <w:pPr>
        <w:pStyle w:val="BookText"/>
      </w:pPr>
      <w:r>
        <w:rPr>
          <w:rFonts w:ascii="IRNazanin" w:hAnsi="IRNazanin" w:eastAsia="IRNazanin" w:cs="IRNazanin"/>
          <w:lang w:bidi="fa-IR"/>
          <w:color w:val="111111"/>
          <w:sz w:val="28"/>
          <w:szCs w:val="28"/>
          <w:rtl/>
        </w:rPr>
        <w:t xml:space="preserve">ص 705.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سبائك العسجد في نعت حضرة</w:t>
      </w:r>
    </w:p>
    <w:p>
      <w:pPr>
        <w:pStyle w:val="BookText"/>
      </w:pPr>
      <w:r>
        <w:rPr>
          <w:rFonts w:ascii="Amiri" w:hAnsi="Amiri" w:eastAsia="Amiri" w:cs="Amiri"/>
          <w:lang w:bidi="ar-SA"/>
          <w:color w:val="111111"/>
          <w:sz w:val="28"/>
          <w:szCs w:val="28"/>
          <w:rtl/>
        </w:rPr>
        <w:t xml:space="preserve">الشيخ أحمد، ج8، ص 689.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شرح ابيات لعبد الباقي العمري</w:t>
      </w:r>
    </w:p>
    <w:p>
      <w:pPr>
        <w:pStyle w:val="BookText"/>
      </w:pPr>
      <w:r>
        <w:rPr>
          <w:rFonts w:ascii="IRNazanin" w:hAnsi="IRNazanin" w:eastAsia="IRNazanin" w:cs="IRNazanin"/>
          <w:lang w:bidi="fa-IR"/>
          <w:color w:val="111111"/>
          <w:sz w:val="28"/>
          <w:szCs w:val="28"/>
          <w:rtl/>
        </w:rPr>
        <w:t xml:space="preserve">مع اعرابها، ج9، ص 149.</w:t>
      </w:r>
    </w:p>
    <w:p>
      <w:pPr>
        <w:pStyle w:val="BookText"/>
      </w:pPr>
      <w:r>
        <w:rPr>
          <w:rFonts w:ascii="Amiri" w:hAnsi="Amiri" w:eastAsia="Amiri" w:cs="Amiri"/>
          <w:lang w:bidi="ar-SA"/>
          <w:color w:val="111111"/>
          <w:sz w:val="28"/>
          <w:szCs w:val="28"/>
          <w:rtl/>
        </w:rPr>
        <w:t xml:space="preserve">15 .شعر العمري، ج 10، ص 368.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نزهة الدنيا فيما ورد من المدائح علي الوزير يحيى، ج 16، ص 232.</w:t>
      </w:r>
    </w:p>
    <w:p>
      <w:pPr>
        <w:pStyle w:val="BookText"/>
      </w:pPr>
      <w:r>
        <w:rPr>
          <w:rFonts w:ascii="Amiri" w:hAnsi="Amiri" w:eastAsia="Amiri" w:cs="Amiri"/>
          <w:lang w:bidi="ar-SA"/>
          <w:color w:val="111111"/>
          <w:sz w:val="28"/>
          <w:szCs w:val="28"/>
          <w:rtl/>
        </w:rPr>
        <w:t xml:space="preserve">فاروقي ، عبد العزيز بن احمد- دهلوي ،</w:t>
      </w:r>
    </w:p>
    <w:p>
      <w:pPr>
        <w:pStyle w:val="BookText"/>
      </w:pPr>
      <w:r>
        <w:rPr>
          <w:rFonts w:ascii="Amiri" w:hAnsi="Amiri" w:eastAsia="Amiri" w:cs="Amiri"/>
          <w:lang w:bidi="ar-SA"/>
          <w:color w:val="111111"/>
          <w:sz w:val="28"/>
          <w:szCs w:val="28"/>
          <w:rtl/>
        </w:rPr>
        <w:t xml:space="preserve">عبدالعزيز بن احمد</w:t>
      </w:r>
    </w:p>
    <w:p>
      <w:pPr>
        <w:pStyle w:val="Heading2"/>
      </w:pPr>
      <w:bookmarkStart w:id="6282" w:name="_Toc5384"/>
      <w:r>
        <w:t>فاروقي كوفاموي ، محمّد مبارك بن</w:t>
      </w:r>
      <w:bookmarkEnd w:id="6282"/>
    </w:p>
    <w:p>
      <w:pPr>
        <w:pStyle w:val="BookText"/>
      </w:pPr>
      <w:r>
        <w:rPr>
          <w:rFonts w:ascii="Amiri" w:hAnsi="Amiri" w:eastAsia="Amiri" w:cs="Amiri"/>
          <w:lang w:bidi="ar-SA"/>
          <w:color w:val="111111"/>
          <w:sz w:val="28"/>
          <w:szCs w:val="28"/>
          <w:rtl/>
        </w:rPr>
        <w:t xml:space="preserve">،محمّد، - 1162 ه-</w:t>
      </w:r>
    </w:p>
    <w:p>
      <w:pPr>
        <w:pStyle w:val="BookText"/>
      </w:pPr>
      <w:r>
        <w:rPr>
          <w:rFonts w:ascii="IRNazanin" w:hAnsi="IRNazanin" w:eastAsia="IRNazanin" w:cs="IRNazanin"/>
          <w:lang w:bidi="fa-IR"/>
          <w:color w:val="111111"/>
          <w:sz w:val="28"/>
          <w:szCs w:val="28"/>
          <w:rtl/>
        </w:rPr>
        <w:t xml:space="preserve">1 .شرح سلم العلوم، ج 9، ص 586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العقائد (رسالة في)، ج11، ص133.</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36" w:name="pg7742_70943"/>
    <w:bookmarkEnd w:id="836"/>
    <w:p>
      <w:pPr>
        <w:pStyle w:val="BookText"/>
      </w:pPr>
      <w:r>
        <w:rPr>
          <w:rFonts w:ascii="Amiri" w:hAnsi="Amiri" w:eastAsia="Amiri" w:cs="Amiri"/>
          <w:lang w:bidi="ar-SA"/>
          <w:color w:val="111111"/>
          <w:sz w:val="28"/>
          <w:szCs w:val="28"/>
          <w:rtl/>
        </w:rPr>
        <w:t xml:space="preserve">فاروقي ، لطف الله بن سعدالدين- مصري</w:t>
      </w:r>
    </w:p>
    <w:p>
      <w:pPr>
        <w:pStyle w:val="BookText"/>
      </w:pPr>
      <w:r>
        <w:rPr>
          <w:rFonts w:ascii="Amiri" w:hAnsi="Amiri" w:eastAsia="Amiri" w:cs="Amiri"/>
          <w:lang w:bidi="ar-SA"/>
          <w:color w:val="111111"/>
          <w:sz w:val="28"/>
          <w:szCs w:val="28"/>
          <w:rtl/>
        </w:rPr>
        <w:t xml:space="preserve">لطف الله بن سعد الدين</w:t>
      </w:r>
    </w:p>
    <w:p>
      <w:pPr>
        <w:pStyle w:val="Heading2"/>
      </w:pPr>
      <w:bookmarkStart w:id="6283" w:name="_Toc5385"/>
      <w:r>
        <w:t>فاروقي ، محمّد معصوم بن احمد 1007</w:t>
      </w:r>
      <w:bookmarkEnd w:id="62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1079ه-</w:t>
      </w:r>
    </w:p>
    <w:p>
      <w:pPr>
        <w:pStyle w:val="BookText"/>
      </w:pPr>
      <w:r>
        <w:rPr>
          <w:rFonts w:ascii="IRNazanin" w:hAnsi="IRNazanin" w:eastAsia="IRNazanin" w:cs="IRNazanin"/>
          <w:lang w:bidi="fa-IR"/>
          <w:color w:val="111111"/>
          <w:sz w:val="28"/>
          <w:szCs w:val="28"/>
          <w:rtl/>
        </w:rPr>
        <w:t xml:space="preserve">مکتوبات (ترجمه)، ج 15، ص 419.</w:t>
      </w:r>
    </w:p>
    <w:p>
      <w:pPr>
        <w:pStyle w:val="Heading2"/>
      </w:pPr>
      <w:bookmarkStart w:id="6284" w:name="_Toc5386"/>
      <w:r>
        <w:t>فاروقي ، محيي الدين</w:t>
      </w:r>
      <w:bookmarkEnd w:id="6284"/>
    </w:p>
    <w:p>
      <w:pPr>
        <w:pStyle w:val="BookText"/>
      </w:pPr>
      <w:r>
        <w:rPr>
          <w:rFonts w:ascii="IRNazanin" w:hAnsi="IRNazanin" w:eastAsia="IRNazanin" w:cs="IRNazanin"/>
          <w:lang w:bidi="fa-IR"/>
          <w:color w:val="111111"/>
          <w:sz w:val="28"/>
          <w:szCs w:val="28"/>
          <w:rtl/>
        </w:rPr>
        <w:t xml:space="preserve">1 .دیوان فاروقي، ج7، ص731.</w:t>
      </w:r>
    </w:p>
    <w:p>
      <w:pPr>
        <w:pStyle w:val="BookText"/>
      </w:pPr>
      <w:r>
        <w:rPr>
          <w:rFonts w:ascii="Amiri" w:hAnsi="Amiri" w:eastAsia="Amiri" w:cs="Amiri"/>
          <w:lang w:bidi="ar-SA"/>
          <w:color w:val="111111"/>
          <w:sz w:val="28"/>
          <w:szCs w:val="28"/>
          <w:rtl/>
        </w:rPr>
        <w:t xml:space="preserve">2 .المطالع المشرقة في المواهب</w:t>
      </w:r>
    </w:p>
    <w:p>
      <w:pPr>
        <w:pStyle w:val="BookText"/>
      </w:pPr>
      <w:r>
        <w:rPr>
          <w:rFonts w:ascii="Amiri" w:hAnsi="Amiri" w:eastAsia="Amiri" w:cs="Amiri"/>
          <w:lang w:bidi="ar-SA"/>
          <w:color w:val="111111"/>
          <w:sz w:val="28"/>
          <w:szCs w:val="28"/>
          <w:rtl/>
        </w:rPr>
        <w:t xml:space="preserve">المحقفة، ج 14 ، ص 784.</w:t>
      </w:r>
    </w:p>
    <w:p>
      <w:pPr>
        <w:pStyle w:val="BookText"/>
      </w:pPr>
      <w:r>
        <w:rPr>
          <w:rFonts w:ascii="Amiri" w:hAnsi="Amiri" w:eastAsia="Amiri" w:cs="Amiri"/>
          <w:lang w:bidi="ar-SA"/>
          <w:color w:val="111111"/>
          <w:sz w:val="28"/>
          <w:szCs w:val="28"/>
          <w:rtl/>
        </w:rPr>
        <w:t xml:space="preserve">فاروقي مصري ، محمّد بن حسن ا-بن</w:t>
      </w:r>
    </w:p>
    <w:p>
      <w:pPr>
        <w:pStyle w:val="BookText"/>
      </w:pPr>
      <w:r>
        <w:rPr>
          <w:rFonts w:ascii="Amiri" w:hAnsi="Amiri" w:eastAsia="Amiri" w:cs="Amiri"/>
          <w:lang w:bidi="ar-SA"/>
          <w:color w:val="111111"/>
          <w:sz w:val="28"/>
          <w:szCs w:val="28"/>
          <w:rtl/>
        </w:rPr>
        <w:t xml:space="preserve">نباته ، محمّد بن محمّد</w:t>
      </w:r>
    </w:p>
    <w:p>
      <w:pPr>
        <w:pStyle w:val="BookText"/>
      </w:pPr>
      <w:r>
        <w:rPr>
          <w:rFonts w:ascii="Amiri" w:hAnsi="Amiri" w:eastAsia="Amiri" w:cs="Amiri"/>
          <w:lang w:bidi="ar-SA"/>
          <w:color w:val="111111"/>
          <w:sz w:val="28"/>
          <w:szCs w:val="28"/>
          <w:rtl/>
        </w:rPr>
        <w:t xml:space="preserve">فاريابي ، طاهر بن محمّد -ظهير فاريابي ،</w:t>
      </w:r>
    </w:p>
    <w:p>
      <w:pPr>
        <w:pStyle w:val="BookText"/>
      </w:pPr>
      <w:r>
        <w:rPr>
          <w:rFonts w:ascii="IRNazanin" w:hAnsi="IRNazanin" w:eastAsia="IRNazanin" w:cs="IRNazanin"/>
          <w:lang w:bidi="fa-IR"/>
          <w:color w:val="111111"/>
          <w:sz w:val="28"/>
          <w:szCs w:val="28"/>
          <w:rtl/>
        </w:rPr>
        <w:t xml:space="preserve">طاهر بن محمّد</w:t>
      </w:r>
    </w:p>
    <w:p>
      <w:pPr>
        <w:pStyle w:val="Heading2"/>
      </w:pPr>
      <w:bookmarkStart w:id="6285" w:name="_Toc5387"/>
      <w:r>
        <w:t>فاريابي، محمود بن احمد - 607 ه-</w:t>
      </w:r>
      <w:bookmarkEnd w:id="6285"/>
    </w:p>
    <w:p>
      <w:pPr>
        <w:pStyle w:val="BookText"/>
      </w:pPr>
      <w:r>
        <w:rPr>
          <w:rFonts w:ascii="Amiri" w:hAnsi="Amiri" w:eastAsia="Amiri" w:cs="Amiri"/>
          <w:lang w:bidi="ar-SA"/>
          <w:color w:val="111111"/>
          <w:sz w:val="28"/>
          <w:szCs w:val="28"/>
          <w:rtl/>
        </w:rPr>
        <w:t xml:space="preserve">خالصة الحقائق لما فيه من أساليب</w:t>
      </w:r>
    </w:p>
    <w:p>
      <w:pPr>
        <w:pStyle w:val="BookText"/>
      </w:pPr>
      <w:r>
        <w:rPr>
          <w:rFonts w:ascii="IRNazanin" w:hAnsi="IRNazanin" w:eastAsia="IRNazanin" w:cs="IRNazanin"/>
          <w:lang w:bidi="fa-IR"/>
          <w:color w:val="111111"/>
          <w:sz w:val="28"/>
          <w:szCs w:val="28"/>
          <w:rtl/>
        </w:rPr>
        <w:t xml:space="preserve">الدقائق، ج6، ص878.</w:t>
      </w:r>
    </w:p>
    <w:p>
      <w:pPr>
        <w:pStyle w:val="BookText"/>
      </w:pPr>
      <w:r>
        <w:rPr>
          <w:rFonts w:ascii="IRNazanin" w:hAnsi="IRNazanin" w:eastAsia="IRNazanin" w:cs="IRNazanin"/>
          <w:lang w:bidi="fa-IR"/>
          <w:color w:val="111111"/>
          <w:sz w:val="28"/>
          <w:szCs w:val="28"/>
          <w:rtl/>
        </w:rPr>
        <w:t xml:space="preserve">فازازي، ابوزید عبدالرحمن بن</w:t>
      </w:r>
    </w:p>
    <w:p>
      <w:pPr>
        <w:pStyle w:val="BookText"/>
      </w:pPr>
      <w:r>
        <w:rPr>
          <w:rFonts w:ascii="Amiri" w:hAnsi="Amiri" w:eastAsia="Amiri" w:cs="Amiri"/>
          <w:lang w:bidi="ar-SA"/>
          <w:color w:val="111111"/>
          <w:sz w:val="28"/>
          <w:szCs w:val="28"/>
          <w:rtl/>
        </w:rPr>
        <w:t xml:space="preserve">يخلفتن -ابن يخلفتن ، عبد الرحمن بن يخلفتن</w:t>
      </w:r>
    </w:p>
    <w:p>
      <w:pPr>
        <w:pStyle w:val="BookText"/>
      </w:pPr>
      <w:r>
        <w:rPr>
          <w:rFonts w:ascii="Amiri" w:hAnsi="Amiri" w:eastAsia="Amiri" w:cs="Amiri"/>
          <w:lang w:bidi="ar-SA"/>
          <w:color w:val="111111"/>
          <w:sz w:val="28"/>
          <w:szCs w:val="28"/>
          <w:rtl/>
        </w:rPr>
        <w:t xml:space="preserve">فاسي ، احمد بن احمد- بدوي ، احمد بن</w:t>
      </w:r>
    </w:p>
    <w:p>
      <w:pPr>
        <w:pStyle w:val="BookText"/>
      </w:pPr>
      <w:r>
        <w:rPr>
          <w:rFonts w:ascii="IRNazanin" w:hAnsi="IRNazanin" w:eastAsia="IRNazanin" w:cs="IRNazanin"/>
          <w:lang w:bidi="fa-IR"/>
          <w:color w:val="111111"/>
          <w:sz w:val="28"/>
          <w:szCs w:val="28"/>
          <w:rtl/>
        </w:rPr>
        <w:t xml:space="preserve">احمد</w:t>
      </w:r>
    </w:p>
    <w:p>
      <w:pPr>
        <w:pStyle w:val="BookText"/>
      </w:pPr>
      <w:r>
        <w:rPr>
          <w:rFonts w:ascii="Amiri" w:hAnsi="Amiri" w:eastAsia="Amiri" w:cs="Amiri"/>
          <w:lang w:bidi="ar-SA"/>
          <w:color w:val="111111"/>
          <w:sz w:val="28"/>
          <w:szCs w:val="28"/>
          <w:rtl/>
        </w:rPr>
        <w:t xml:space="preserve">فاسي ، احمد بن احمد -زروق ، احمد بن احمد</w:t>
      </w:r>
    </w:p>
    <w:p>
      <w:pPr>
        <w:pStyle w:val="BookText"/>
      </w:pPr>
      <w:r>
        <w:rPr>
          <w:rFonts w:ascii="Amiri" w:hAnsi="Amiri" w:eastAsia="Amiri" w:cs="Amiri"/>
          <w:lang w:bidi="ar-SA"/>
          <w:color w:val="111111"/>
          <w:sz w:val="28"/>
          <w:szCs w:val="28"/>
          <w:rtl/>
        </w:rPr>
        <w:t xml:space="preserve">فاسي ، احمد بن عبدالحي- حلبي ، احمد</w:t>
      </w:r>
    </w:p>
    <w:p>
      <w:pPr>
        <w:pStyle w:val="BookText"/>
      </w:pPr>
      <w:r>
        <w:rPr>
          <w:rFonts w:ascii="Amiri" w:hAnsi="Amiri" w:eastAsia="Amiri" w:cs="Amiri"/>
          <w:lang w:bidi="ar-SA"/>
          <w:color w:val="111111"/>
          <w:sz w:val="28"/>
          <w:szCs w:val="28"/>
          <w:rtl/>
        </w:rPr>
        <w:t xml:space="preserve">بن عبدالحي</w:t>
      </w:r>
    </w:p>
    <w:p>
      <w:pPr>
        <w:pStyle w:val="Heading2"/>
      </w:pPr>
      <w:bookmarkStart w:id="6286" w:name="_Toc5388"/>
      <w:r>
        <w:t>فاسي ، احمد بن عيسى</w:t>
      </w:r>
      <w:bookmarkEnd w:id="6286"/>
    </w:p>
    <w:p>
      <w:pPr>
        <w:pStyle w:val="BookText"/>
      </w:pPr>
      <w:r>
        <w:rPr>
          <w:rFonts w:ascii="IRNazanin" w:hAnsi="IRNazanin" w:eastAsia="IRNazanin" w:cs="IRNazanin"/>
          <w:lang w:bidi="fa-IR"/>
          <w:color w:val="111111"/>
          <w:sz w:val="28"/>
          <w:szCs w:val="28"/>
          <w:rtl/>
        </w:rPr>
        <w:t xml:space="preserve">1 .شرح اسماء الله الحسنى، ج 9،</w:t>
      </w:r>
    </w:p>
    <w:p>
      <w:pPr>
        <w:pStyle w:val="BookText"/>
      </w:pPr>
      <w:r>
        <w:rPr>
          <w:rFonts w:ascii="IRNazanin" w:hAnsi="IRNazanin" w:eastAsia="IRNazanin" w:cs="IRNazanin"/>
          <w:lang w:bidi="fa-IR"/>
          <w:color w:val="111111"/>
          <w:sz w:val="28"/>
          <w:szCs w:val="28"/>
          <w:rtl/>
        </w:rPr>
        <w:t xml:space="preserve">ص198.</w:t>
      </w:r>
    </w:p>
    <w:p>
      <w:pPr>
        <w:pStyle w:val="BookText"/>
      </w:pPr>
      <w:r>
        <w:rPr>
          <w:rFonts w:ascii="Amiri" w:hAnsi="Amiri" w:eastAsia="Amiri" w:cs="Amiri"/>
          <w:lang w:bidi="ar-SA"/>
          <w:color w:val="111111"/>
          <w:sz w:val="28"/>
          <w:szCs w:val="28"/>
          <w:rtl/>
        </w:rPr>
        <w:t xml:space="preserve">2 .شرح نظم الدمياطي، ج 10، ص289.</w:t>
      </w:r>
    </w:p>
    <w:p>
      <w:pPr>
        <w:pStyle w:val="Heading2"/>
      </w:pPr>
      <w:bookmarkStart w:id="6287" w:name="_Toc5389"/>
      <w:r>
        <w:t>فاسي ، حسین بن احمد قرن 13 ه-</w:t>
      </w:r>
      <w:bookmarkEnd w:id="62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تحفة البدائع في علم الاسماء و</w:t>
      </w:r>
    </w:p>
    <w:p>
      <w:pPr>
        <w:pStyle w:val="BookText"/>
      </w:pPr>
      <w:r>
        <w:rPr>
          <w:rFonts w:ascii="IRNazanin" w:hAnsi="IRNazanin" w:eastAsia="IRNazanin" w:cs="IRNazanin"/>
          <w:lang w:bidi="fa-IR"/>
          <w:color w:val="111111"/>
          <w:sz w:val="28"/>
          <w:szCs w:val="28"/>
          <w:rtl/>
        </w:rPr>
        <w:t xml:space="preserve">الاوفاق و الرصد و السوابع و</w:t>
      </w:r>
    </w:p>
    <w:p>
      <w:pPr>
        <w:pStyle w:val="BookText"/>
      </w:pPr>
      <w:r>
        <w:rPr>
          <w:rFonts w:ascii="Amiri" w:hAnsi="Amiri" w:eastAsia="Amiri" w:cs="Amiri"/>
          <w:lang w:bidi="ar-SA"/>
          <w:color w:val="111111"/>
          <w:sz w:val="28"/>
          <w:szCs w:val="28"/>
          <w:rtl/>
        </w:rPr>
        <w:t xml:space="preserve">الطب وعلم الصنايع، ج 3،</w:t>
      </w:r>
    </w:p>
    <w:p>
      <w:pPr>
        <w:pStyle w:val="BookText"/>
      </w:pPr>
      <w:r>
        <w:rPr>
          <w:rFonts w:ascii="IRNazanin" w:hAnsi="IRNazanin" w:eastAsia="IRNazanin" w:cs="IRNazanin"/>
          <w:lang w:bidi="fa-IR"/>
          <w:color w:val="111111"/>
          <w:sz w:val="28"/>
          <w:szCs w:val="28"/>
          <w:rtl/>
        </w:rPr>
        <w:t xml:space="preserve">ص 815.</w:t>
      </w:r>
    </w:p>
    <w:p>
      <w:pPr>
        <w:pStyle w:val="BookText"/>
      </w:pPr>
      <w:r>
        <w:rPr>
          <w:rFonts w:ascii="Amiri" w:hAnsi="Amiri" w:eastAsia="Amiri" w:cs="Amiri"/>
          <w:lang w:bidi="ar-SA"/>
          <w:color w:val="111111"/>
          <w:sz w:val="28"/>
          <w:szCs w:val="28"/>
          <w:rtl/>
        </w:rPr>
        <w:t xml:space="preserve">2 .الكيمياء، ج 13، ص 487.</w:t>
      </w:r>
    </w:p>
    <w:p>
      <w:pPr>
        <w:pStyle w:val="BookText"/>
      </w:pPr>
      <w:r>
        <w:rPr>
          <w:rFonts w:ascii="Amiri" w:hAnsi="Amiri" w:eastAsia="Amiri" w:cs="Amiri"/>
          <w:lang w:bidi="ar-SA"/>
          <w:color w:val="111111"/>
          <w:sz w:val="28"/>
          <w:szCs w:val="28"/>
          <w:rtl/>
        </w:rPr>
        <w:t xml:space="preserve">فاسي زروق، احمد بن احمد- زروق ،</w:t>
      </w:r>
    </w:p>
    <w:p>
      <w:pPr>
        <w:pStyle w:val="BookText"/>
      </w:pPr>
      <w:r>
        <w:rPr>
          <w:rFonts w:ascii="IRNazanin" w:hAnsi="IRNazanin" w:eastAsia="IRNazanin" w:cs="IRNazanin"/>
          <w:lang w:bidi="fa-IR"/>
          <w:color w:val="111111"/>
          <w:sz w:val="28"/>
          <w:szCs w:val="28"/>
          <w:rtl/>
        </w:rPr>
        <w:t xml:space="preserve">احمد بن احمد</w:t>
      </w:r>
    </w:p>
    <w:p>
      <w:pPr>
        <w:pStyle w:val="BookText"/>
      </w:pPr>
      <w:r>
        <w:rPr>
          <w:rFonts w:ascii="Amiri" w:hAnsi="Amiri" w:eastAsia="Amiri" w:cs="Amiri"/>
          <w:lang w:bidi="ar-SA"/>
          <w:color w:val="111111"/>
          <w:sz w:val="28"/>
          <w:szCs w:val="28"/>
          <w:rtl/>
        </w:rPr>
        <w:t xml:space="preserve">فاسي ، عبد الرحمن بن علي- مكودي ،</w:t>
      </w:r>
    </w:p>
    <w:p>
      <w:pPr>
        <w:pStyle w:val="BookText"/>
      </w:pPr>
      <w:r>
        <w:rPr>
          <w:rFonts w:ascii="Amiri" w:hAnsi="Amiri" w:eastAsia="Amiri" w:cs="Amiri"/>
          <w:lang w:bidi="ar-SA"/>
          <w:color w:val="111111"/>
          <w:sz w:val="28"/>
          <w:szCs w:val="28"/>
          <w:rtl/>
        </w:rPr>
        <w:t xml:space="preserve">عبدالرحمن بن علي</w:t>
      </w:r>
    </w:p>
    <w:p>
      <w:pPr>
        <w:pStyle w:val="BookText"/>
      </w:pPr>
      <w:r>
        <w:rPr>
          <w:rFonts w:ascii="Amiri" w:hAnsi="Amiri" w:eastAsia="Amiri" w:cs="Amiri"/>
          <w:lang w:bidi="ar-SA"/>
          <w:color w:val="111111"/>
          <w:sz w:val="28"/>
          <w:szCs w:val="28"/>
          <w:rtl/>
        </w:rPr>
        <w:t xml:space="preserve">فاسي ، علي بن ميمون -ابن ميمون ، علي</w:t>
      </w:r>
    </w:p>
    <w:p>
      <w:pPr>
        <w:pStyle w:val="BookText"/>
      </w:pPr>
      <w:r>
        <w:rPr>
          <w:rFonts w:ascii="IRNazanin" w:hAnsi="IRNazanin" w:eastAsia="IRNazanin" w:cs="IRNazanin"/>
          <w:lang w:bidi="fa-IR"/>
          <w:color w:val="111111"/>
          <w:sz w:val="28"/>
          <w:szCs w:val="28"/>
          <w:rtl/>
        </w:rPr>
        <w:t xml:space="preserve">بن میمون</w:t>
      </w:r>
    </w:p>
    <w:p>
      <w:pPr>
        <w:pStyle w:val="Heading2"/>
      </w:pPr>
      <w:bookmarkStart w:id="6288" w:name="_Toc5390"/>
      <w:r>
        <w:t>فاسي ،قصري محمّد بن يوسف -1052ه-</w:t>
      </w:r>
      <w:bookmarkEnd w:id="6288"/>
    </w:p>
    <w:p>
      <w:pPr>
        <w:pStyle w:val="BookText"/>
      </w:pPr>
      <w:r>
        <w:rPr>
          <w:rFonts w:ascii="Amiri" w:hAnsi="Amiri" w:eastAsia="Amiri" w:cs="Amiri"/>
          <w:lang w:bidi="ar-SA"/>
          <w:color w:val="111111"/>
          <w:sz w:val="28"/>
          <w:szCs w:val="28"/>
          <w:rtl/>
        </w:rPr>
        <w:t xml:space="preserve">سهام الربط في المخمس الخالي الوسط</w:t>
      </w:r>
    </w:p>
    <w:p>
      <w:pPr>
        <w:pStyle w:val="BookText"/>
      </w:pPr>
      <w:r>
        <w:rPr>
          <w:rFonts w:ascii="IRNazanin" w:hAnsi="IRNazanin" w:eastAsia="IRNazanin" w:cs="IRNazanin"/>
          <w:lang w:bidi="fa-IR"/>
          <w:color w:val="111111"/>
          <w:sz w:val="28"/>
          <w:szCs w:val="28"/>
          <w:rtl/>
        </w:rPr>
        <w:t xml:space="preserve">ج 8، ص 849.</w:t>
      </w:r>
    </w:p>
    <w:p>
      <w:pPr>
        <w:pStyle w:val="BookText"/>
      </w:pPr>
      <w:r>
        <w:rPr>
          <w:rFonts w:ascii="Amiri" w:hAnsi="Amiri" w:eastAsia="Amiri" w:cs="Amiri"/>
          <w:lang w:bidi="ar-SA"/>
          <w:color w:val="111111"/>
          <w:sz w:val="28"/>
          <w:szCs w:val="28"/>
          <w:rtl/>
        </w:rPr>
        <w:t xml:space="preserve">فاسي ، محمّد بن احمد مياره- فاسي</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6289" w:name="_Toc5391"/>
      <w:r>
        <w:t>فاسي ، محمّد بن ،احمد، 775 - 832 ه-</w:t>
      </w:r>
      <w:bookmarkEnd w:id="628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تحصيل المرام في تاريخ البلد</w:t>
      </w:r>
    </w:p>
    <w:p>
      <w:pPr>
        <w:pStyle w:val="BookText"/>
      </w:pPr>
      <w:r>
        <w:rPr>
          <w:rFonts w:ascii="IRNazanin" w:hAnsi="IRNazanin" w:eastAsia="IRNazanin" w:cs="IRNazanin"/>
          <w:lang w:bidi="fa-IR"/>
          <w:color w:val="111111"/>
          <w:sz w:val="28"/>
          <w:szCs w:val="28"/>
          <w:rtl/>
        </w:rPr>
        <w:t xml:space="preserve">الحرام، ج3، ص 767.</w:t>
      </w:r>
    </w:p>
    <w:p>
      <w:pPr>
        <w:pStyle w:val="BookText"/>
      </w:pPr>
      <w:r>
        <w:rPr>
          <w:rFonts w:ascii="Amiri" w:hAnsi="Amiri" w:eastAsia="Amiri" w:cs="Amiri"/>
          <w:lang w:bidi="ar-SA"/>
          <w:color w:val="111111"/>
          <w:sz w:val="28"/>
          <w:szCs w:val="28"/>
          <w:rtl/>
        </w:rPr>
        <w:t xml:space="preserve">2 .حياة الحيوان (مختصر)، ج 6،</w:t>
      </w:r>
    </w:p>
    <w:p>
      <w:pPr>
        <w:pStyle w:val="BookText"/>
      </w:pPr>
      <w:r>
        <w:rPr>
          <w:rFonts w:ascii="IRNazanin" w:hAnsi="IRNazanin" w:eastAsia="IRNazanin" w:cs="IRNazanin"/>
          <w:lang w:bidi="fa-IR"/>
          <w:color w:val="111111"/>
          <w:sz w:val="28"/>
          <w:szCs w:val="28"/>
          <w:rtl/>
        </w:rPr>
        <w:t xml:space="preserve">ص 857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37" w:name="pg7742_70946"/>
    <w:bookmarkEnd w:id="837"/>
    <w:p>
      <w:pPr>
        <w:pStyle w:val="BookText"/>
      </w:pPr>
      <w:r>
        <w:rPr>
          <w:rFonts w:ascii="Amiri" w:hAnsi="Amiri" w:eastAsia="Amiri" w:cs="Amiri"/>
          <w:lang w:bidi="ar-SA"/>
          <w:color w:val="111111"/>
          <w:sz w:val="28"/>
          <w:szCs w:val="28"/>
          <w:rtl/>
        </w:rPr>
        <w:t xml:space="preserve">3 .ذيل التقييد بمعرفة رواة السنن و</w:t>
      </w:r>
    </w:p>
    <w:p>
      <w:pPr>
        <w:pStyle w:val="BookText"/>
      </w:pPr>
      <w:r>
        <w:rPr>
          <w:rFonts w:ascii="Amiri" w:hAnsi="Amiri" w:eastAsia="Amiri" w:cs="Amiri"/>
          <w:lang w:bidi="ar-SA"/>
          <w:color w:val="111111"/>
          <w:sz w:val="28"/>
          <w:szCs w:val="28"/>
          <w:rtl/>
        </w:rPr>
        <w:t xml:space="preserve">المسانيد، ج 7، ص873.</w:t>
      </w:r>
    </w:p>
    <w:p>
      <w:pPr>
        <w:pStyle w:val="BookText"/>
      </w:pPr>
      <w:r>
        <w:rPr>
          <w:rFonts w:ascii="Amiri" w:hAnsi="Amiri" w:eastAsia="Amiri" w:cs="Amiri"/>
          <w:lang w:bidi="ar-SA"/>
          <w:color w:val="111111"/>
          <w:sz w:val="28"/>
          <w:szCs w:val="28"/>
          <w:rtl/>
        </w:rPr>
        <w:t xml:space="preserve">4 .الزهور المقتطفة من تاريخ مكة</w:t>
      </w:r>
    </w:p>
    <w:p>
      <w:pPr>
        <w:pStyle w:val="BookText"/>
      </w:pPr>
      <w:r>
        <w:rPr>
          <w:rFonts w:ascii="Amiri" w:hAnsi="Amiri" w:eastAsia="Amiri" w:cs="Amiri"/>
          <w:lang w:bidi="ar-SA"/>
          <w:color w:val="111111"/>
          <w:sz w:val="28"/>
          <w:szCs w:val="28"/>
          <w:rtl/>
        </w:rPr>
        <w:t xml:space="preserve">المشرفة، ج8، ص 632.</w:t>
      </w:r>
    </w:p>
    <w:p>
      <w:pPr>
        <w:pStyle w:val="BookText"/>
      </w:pPr>
      <w:r>
        <w:rPr>
          <w:rFonts w:ascii="IRNazanin" w:hAnsi="IRNazanin" w:eastAsia="IRNazanin" w:cs="IRNazanin"/>
          <w:lang w:bidi="fa-IR"/>
          <w:color w:val="111111"/>
          <w:sz w:val="28"/>
          <w:szCs w:val="28"/>
          <w:rtl/>
        </w:rPr>
        <w:t xml:space="preserve">5.شفاء الغرام باخبار البلد الله الحرام</w:t>
      </w:r>
    </w:p>
    <w:p>
      <w:pPr>
        <w:pStyle w:val="BookText"/>
      </w:pPr>
      <w:r>
        <w:rPr>
          <w:rFonts w:ascii="IRNazanin" w:hAnsi="IRNazanin" w:eastAsia="IRNazanin" w:cs="IRNazanin"/>
          <w:lang w:bidi="fa-IR"/>
          <w:color w:val="111111"/>
          <w:sz w:val="28"/>
          <w:szCs w:val="28"/>
          <w:rtl/>
        </w:rPr>
        <w:t xml:space="preserve">ج 10، ص 387.</w:t>
      </w:r>
    </w:p>
    <w:p>
      <w:pPr>
        <w:pStyle w:val="BookText"/>
      </w:pPr>
      <w:r>
        <w:rPr>
          <w:rFonts w:ascii="Amiri" w:hAnsi="Amiri" w:eastAsia="Amiri" w:cs="Amiri"/>
          <w:lang w:bidi="ar-SA"/>
          <w:color w:val="111111"/>
          <w:sz w:val="28"/>
          <w:szCs w:val="28"/>
          <w:rtl/>
        </w:rPr>
        <w:t xml:space="preserve">6 .العقد الثمين في تاريخ البلد الامين</w:t>
      </w:r>
    </w:p>
    <w:p>
      <w:pPr>
        <w:pStyle w:val="BookText"/>
      </w:pPr>
      <w:r>
        <w:rPr>
          <w:rFonts w:ascii="IRNazanin" w:hAnsi="IRNazanin" w:eastAsia="IRNazanin" w:cs="IRNazanin"/>
          <w:lang w:bidi="fa-IR"/>
          <w:color w:val="111111"/>
          <w:sz w:val="28"/>
          <w:szCs w:val="28"/>
          <w:rtl/>
        </w:rPr>
        <w:t xml:space="preserve">ج 11، ص 157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منتخب المختار من ذيل تاريخ</w:t>
      </w:r>
    </w:p>
    <w:p>
      <w:pPr>
        <w:pStyle w:val="BookText"/>
      </w:pPr>
      <w:r>
        <w:rPr>
          <w:rFonts w:ascii="IRNazanin" w:hAnsi="IRNazanin" w:eastAsia="IRNazanin" w:cs="IRNazanin"/>
          <w:lang w:bidi="fa-IR"/>
          <w:color w:val="111111"/>
          <w:sz w:val="28"/>
          <w:szCs w:val="28"/>
          <w:rtl/>
        </w:rPr>
        <w:t xml:space="preserve">علماء بغداد، ج 15 ، ص 614.</w:t>
      </w:r>
    </w:p>
    <w:p>
      <w:pPr>
        <w:pStyle w:val="Heading2"/>
      </w:pPr>
      <w:bookmarkStart w:id="6290" w:name="_Toc5392"/>
      <w:r>
        <w:t>فاسي محمّد بن حسن، 2580-672 ؟ ه-</w:t>
      </w:r>
      <w:bookmarkEnd w:id="6290"/>
    </w:p>
    <w:p>
      <w:pPr>
        <w:pStyle w:val="BookText"/>
      </w:pPr>
      <w:r>
        <w:rPr>
          <w:rFonts w:ascii="Amiri" w:hAnsi="Amiri" w:eastAsia="Amiri" w:cs="Amiri"/>
          <w:lang w:bidi="ar-SA"/>
          <w:color w:val="111111"/>
          <w:sz w:val="28"/>
          <w:szCs w:val="28"/>
          <w:rtl/>
        </w:rPr>
        <w:t xml:space="preserve">اللآلي الفريدة في شرح القصيدة الشاطبية، ج13، ص 520.</w:t>
      </w:r>
    </w:p>
    <w:p>
      <w:pPr>
        <w:pStyle w:val="BookText"/>
      </w:pPr>
      <w:r>
        <w:rPr>
          <w:rFonts w:ascii="Amiri" w:hAnsi="Amiri" w:eastAsia="Amiri" w:cs="Amiri"/>
          <w:lang w:bidi="ar-SA"/>
          <w:color w:val="111111"/>
          <w:sz w:val="28"/>
          <w:szCs w:val="28"/>
          <w:rtl/>
        </w:rPr>
        <w:t xml:space="preserve">فاسي ، محمّد بن عبد السلام -بناني ، محمّد</w:t>
      </w:r>
    </w:p>
    <w:p>
      <w:pPr>
        <w:pStyle w:val="BookText"/>
      </w:pPr>
      <w:r>
        <w:rPr>
          <w:rFonts w:ascii="IRNazanin" w:hAnsi="IRNazanin" w:eastAsia="IRNazanin" w:cs="IRNazanin"/>
          <w:lang w:bidi="fa-IR"/>
          <w:color w:val="111111"/>
          <w:sz w:val="28"/>
          <w:szCs w:val="28"/>
          <w:rtl/>
        </w:rPr>
        <w:t xml:space="preserve">بن عبد السلام</w:t>
      </w:r>
    </w:p>
    <w:p>
      <w:pPr>
        <w:pStyle w:val="BookText"/>
      </w:pPr>
      <w:r>
        <w:rPr>
          <w:rFonts w:ascii="Amiri" w:hAnsi="Amiri" w:eastAsia="Amiri" w:cs="Amiri"/>
          <w:lang w:bidi="ar-SA"/>
          <w:color w:val="111111"/>
          <w:sz w:val="28"/>
          <w:szCs w:val="28"/>
          <w:rtl/>
        </w:rPr>
        <w:t xml:space="preserve">فاسي ، محمّد بن محمّد -ابن حاج عبدري</w:t>
      </w:r>
    </w:p>
    <w:p>
      <w:pPr>
        <w:pStyle w:val="BookText"/>
      </w:pPr>
      <w:r>
        <w:rPr>
          <w:rFonts w:ascii="IRNazanin" w:hAnsi="IRNazanin" w:eastAsia="IRNazanin" w:cs="IRNazanin"/>
          <w:lang w:bidi="fa-IR"/>
          <w:color w:val="111111"/>
          <w:sz w:val="28"/>
          <w:szCs w:val="28"/>
          <w:rtl/>
        </w:rPr>
        <w:t xml:space="preserve">، محمد بن محمّد</w:t>
      </w:r>
    </w:p>
    <w:p>
      <w:pPr>
        <w:pStyle w:val="BookText"/>
      </w:pPr>
      <w:r>
        <w:rPr>
          <w:rFonts w:ascii="Amiri" w:hAnsi="Amiri" w:eastAsia="Amiri" w:cs="Amiri"/>
          <w:lang w:bidi="ar-SA"/>
          <w:color w:val="111111"/>
          <w:sz w:val="28"/>
          <w:szCs w:val="28"/>
          <w:rtl/>
        </w:rPr>
        <w:t xml:space="preserve">فاسي ، محمّد بن مسعود- عثماني ، محمّد</w:t>
      </w:r>
    </w:p>
    <w:p>
      <w:pPr>
        <w:pStyle w:val="BookText"/>
      </w:pPr>
      <w:r>
        <w:rPr>
          <w:rFonts w:ascii="IRNazanin" w:hAnsi="IRNazanin" w:eastAsia="IRNazanin" w:cs="IRNazanin"/>
          <w:lang w:bidi="fa-IR"/>
          <w:color w:val="111111"/>
          <w:sz w:val="28"/>
          <w:szCs w:val="28"/>
          <w:rtl/>
        </w:rPr>
        <w:t xml:space="preserve">بن مسعود</w:t>
      </w:r>
    </w:p>
    <w:p>
      <w:pPr>
        <w:pStyle w:val="Heading2"/>
      </w:pPr>
      <w:bookmarkStart w:id="6291" w:name="_Toc5393"/>
      <w:r>
        <w:t>فاسي ، محمّد بن يوسف - 1052 ه-</w:t>
      </w:r>
      <w:bookmarkEnd w:id="6291"/>
    </w:p>
    <w:p>
      <w:pPr>
        <w:pStyle w:val="BookText"/>
      </w:pPr>
      <w:r>
        <w:rPr>
          <w:rFonts w:ascii="Amiri" w:hAnsi="Amiri" w:eastAsia="Amiri" w:cs="Amiri"/>
          <w:lang w:bidi="ar-SA"/>
          <w:color w:val="111111"/>
          <w:sz w:val="28"/>
          <w:szCs w:val="28"/>
          <w:rtl/>
        </w:rPr>
        <w:t xml:space="preserve">معرفة طريق الوفق المخمس، ج 15</w:t>
      </w:r>
    </w:p>
    <w:p>
      <w:pPr>
        <w:pStyle w:val="BookText"/>
      </w:pPr>
      <w:r>
        <w:rPr>
          <w:rFonts w:ascii="IRNazanin" w:hAnsi="IRNazanin" w:eastAsia="IRNazanin" w:cs="IRNazanin"/>
          <w:lang w:bidi="fa-IR"/>
          <w:color w:val="111111"/>
          <w:sz w:val="28"/>
          <w:szCs w:val="28"/>
          <w:rtl/>
        </w:rPr>
        <w:t xml:space="preserve">1109 ه-</w:t>
      </w:r>
    </w:p>
    <w:p>
      <w:pPr>
        <w:pStyle w:val="BookText"/>
      </w:pPr>
      <w:r>
        <w:rPr>
          <w:rFonts w:ascii="IRNazanin" w:hAnsi="IRNazanin" w:eastAsia="IRNazanin" w:cs="IRNazanin"/>
          <w:lang w:bidi="fa-IR"/>
          <w:color w:val="111111"/>
          <w:sz w:val="28"/>
          <w:szCs w:val="28"/>
          <w:rtl/>
        </w:rPr>
        <w:t xml:space="preserve">ص 61 .</w:t>
      </w:r>
    </w:p>
    <w:p>
      <w:pPr>
        <w:pStyle w:val="Heading2"/>
      </w:pPr>
      <w:bookmarkStart w:id="6292" w:name="_Toc5394"/>
      <w:r>
        <w:t>فاسي ، محمّد مهدي بن احمد 1033 -</w:t>
      </w:r>
      <w:bookmarkEnd w:id="6292"/>
    </w:p>
    <w:p>
      <w:pPr>
        <w:pStyle w:val="BookText"/>
      </w:pPr>
      <w:r>
        <w:rPr>
          <w:rFonts w:ascii="Amiri" w:hAnsi="Amiri" w:eastAsia="Amiri" w:cs="Amiri"/>
          <w:lang w:bidi="ar-SA"/>
          <w:color w:val="111111"/>
          <w:sz w:val="28"/>
          <w:szCs w:val="28"/>
          <w:rtl/>
        </w:rPr>
        <w:t xml:space="preserve">مطالع المسرات بجلاء دلائل الخيرات</w:t>
      </w:r>
    </w:p>
    <w:p>
      <w:pPr>
        <w:pStyle w:val="BookText"/>
      </w:pPr>
      <w:r>
        <w:rPr>
          <w:rFonts w:ascii="IRNazanin" w:hAnsi="IRNazanin" w:eastAsia="IRNazanin" w:cs="IRNazanin"/>
          <w:lang w:bidi="fa-IR"/>
          <w:color w:val="111111"/>
          <w:sz w:val="28"/>
          <w:szCs w:val="28"/>
          <w:rtl/>
        </w:rPr>
        <w:t xml:space="preserve">ج 14، ص 782.</w:t>
      </w:r>
    </w:p>
    <w:p>
      <w:pPr>
        <w:pStyle w:val="BookText"/>
      </w:pPr>
      <w:r>
        <w:rPr>
          <w:rFonts w:ascii="Amiri" w:hAnsi="Amiri" w:eastAsia="Amiri" w:cs="Amiri"/>
          <w:lang w:bidi="ar-SA"/>
          <w:color w:val="111111"/>
          <w:sz w:val="28"/>
          <w:szCs w:val="28"/>
          <w:rtl/>
        </w:rPr>
        <w:t xml:space="preserve">فاشلي مصطفى بن يوسف -ايوبي ،</w:t>
      </w:r>
    </w:p>
    <w:p>
      <w:pPr>
        <w:pStyle w:val="BookText"/>
      </w:pPr>
      <w:r>
        <w:rPr>
          <w:rFonts w:ascii="Amiri" w:hAnsi="Amiri" w:eastAsia="Amiri" w:cs="Amiri"/>
          <w:lang w:bidi="ar-SA"/>
          <w:color w:val="111111"/>
          <w:sz w:val="28"/>
          <w:szCs w:val="28"/>
          <w:rtl/>
        </w:rPr>
        <w:t xml:space="preserve">مصطفى بن يوسف</w:t>
      </w:r>
    </w:p>
    <w:p>
      <w:pPr>
        <w:pStyle w:val="BookText"/>
      </w:pPr>
      <w:r>
        <w:rPr>
          <w:rFonts w:ascii="Amiri" w:hAnsi="Amiri" w:eastAsia="Amiri" w:cs="Amiri"/>
          <w:lang w:bidi="ar-SA"/>
          <w:color w:val="111111"/>
          <w:sz w:val="28"/>
          <w:szCs w:val="28"/>
          <w:rtl/>
        </w:rPr>
        <w:t xml:space="preserve">فاضل آبي، زين الدين حسن بن ابي</w:t>
      </w:r>
    </w:p>
    <w:p>
      <w:pPr>
        <w:pStyle w:val="BookText"/>
      </w:pPr>
      <w:r>
        <w:rPr>
          <w:rFonts w:ascii="Amiri" w:hAnsi="Amiri" w:eastAsia="Amiri" w:cs="Amiri"/>
          <w:lang w:bidi="ar-SA"/>
          <w:color w:val="111111"/>
          <w:sz w:val="28"/>
          <w:szCs w:val="28"/>
          <w:rtl/>
        </w:rPr>
        <w:t xml:space="preserve">طالب -آبي ، حسن بن ابي طالب</w:t>
      </w:r>
    </w:p>
    <w:p>
      <w:pPr>
        <w:pStyle w:val="BookText"/>
      </w:pPr>
      <w:r>
        <w:rPr>
          <w:rFonts w:ascii="IRNazanin" w:hAnsi="IRNazanin" w:eastAsia="IRNazanin" w:cs="IRNazanin"/>
          <w:lang w:bidi="fa-IR"/>
          <w:color w:val="111111"/>
          <w:sz w:val="28"/>
          <w:szCs w:val="28"/>
          <w:rtl/>
        </w:rPr>
        <w:t xml:space="preserve">فاضل اسفرايني ، تاج الدین محمّد -تاج</w:t>
      </w:r>
    </w:p>
    <w:p>
      <w:pPr>
        <w:pStyle w:val="BookText"/>
      </w:pPr>
      <w:r>
        <w:rPr>
          <w:rFonts w:ascii="Amiri" w:hAnsi="Amiri" w:eastAsia="Amiri" w:cs="Amiri"/>
          <w:lang w:bidi="ar-SA"/>
          <w:color w:val="111111"/>
          <w:sz w:val="28"/>
          <w:szCs w:val="28"/>
          <w:rtl/>
        </w:rPr>
        <w:t xml:space="preserve">الدين اسفرايني ، محمّد بن محمّد</w:t>
      </w:r>
    </w:p>
    <w:p>
      <w:pPr>
        <w:pStyle w:val="BookText"/>
      </w:pPr>
      <w:r>
        <w:rPr>
          <w:rFonts w:ascii="Amiri" w:hAnsi="Amiri" w:eastAsia="Amiri" w:cs="Amiri"/>
          <w:lang w:bidi="ar-SA"/>
          <w:color w:val="111111"/>
          <w:sz w:val="28"/>
          <w:szCs w:val="28"/>
          <w:rtl/>
        </w:rPr>
        <w:t xml:space="preserve">فاضل اصفهاني ، محمّد بن حسن- فاضل</w:t>
      </w:r>
    </w:p>
    <w:p>
      <w:pPr>
        <w:pStyle w:val="BookText"/>
      </w:pPr>
      <w:r>
        <w:rPr>
          <w:rFonts w:ascii="Amiri" w:hAnsi="Amiri" w:eastAsia="Amiri" w:cs="Amiri"/>
          <w:lang w:bidi="ar-SA"/>
          <w:color w:val="111111"/>
          <w:sz w:val="28"/>
          <w:szCs w:val="28"/>
          <w:rtl/>
        </w:rPr>
        <w:t xml:space="preserve">هندي ، محمّد بن حسن</w:t>
      </w:r>
    </w:p>
    <w:p>
      <w:pPr>
        <w:pStyle w:val="Heading2"/>
      </w:pPr>
      <w:bookmarkStart w:id="6293" w:name="_Toc5395"/>
      <w:r>
        <w:t>فاضل التميمي</w:t>
      </w:r>
      <w:bookmarkEnd w:id="6293"/>
    </w:p>
    <w:p>
      <w:pPr>
        <w:pStyle w:val="BookText"/>
      </w:pPr>
      <w:r>
        <w:rPr>
          <w:rFonts w:ascii="IRNazanin" w:hAnsi="IRNazanin" w:eastAsia="IRNazanin" w:cs="IRNazanin"/>
          <w:lang w:bidi="fa-IR"/>
          <w:color w:val="111111"/>
          <w:sz w:val="28"/>
          <w:szCs w:val="28"/>
          <w:rtl/>
        </w:rPr>
        <w:t xml:space="preserve">منافع سور القرآن، ج 15، ص 529.</w:t>
      </w:r>
    </w:p>
    <w:p>
      <w:pPr>
        <w:pStyle w:val="BookText"/>
      </w:pPr>
      <w:r>
        <w:rPr>
          <w:rFonts w:ascii="Amiri" w:hAnsi="Amiri" w:eastAsia="Amiri" w:cs="Amiri"/>
          <w:lang w:bidi="ar-SA"/>
          <w:color w:val="111111"/>
          <w:sz w:val="28"/>
          <w:szCs w:val="28"/>
          <w:rtl/>
        </w:rPr>
        <w:t xml:space="preserve">فاضل الدين، محمّد بن اسحاق - حموي ،</w:t>
      </w:r>
    </w:p>
    <w:p>
      <w:pPr>
        <w:pStyle w:val="BookText"/>
      </w:pPr>
      <w:r>
        <w:rPr>
          <w:rFonts w:ascii="IRNazanin" w:hAnsi="IRNazanin" w:eastAsia="IRNazanin" w:cs="IRNazanin"/>
          <w:lang w:bidi="fa-IR"/>
          <w:color w:val="111111"/>
          <w:sz w:val="28"/>
          <w:szCs w:val="28"/>
          <w:rtl/>
        </w:rPr>
        <w:t xml:space="preserve">محمّد بن اسحاق</w:t>
      </w:r>
    </w:p>
    <w:p>
      <w:pPr>
        <w:pStyle w:val="Heading2"/>
      </w:pPr>
      <w:bookmarkStart w:id="6294" w:name="_Toc5396"/>
      <w:r>
        <w:t>فاضل بسطامي ، نوروز علي بن محمّد</w:t>
      </w:r>
      <w:bookmarkEnd w:id="6294"/>
    </w:p>
    <w:p>
      <w:pPr>
        <w:pStyle w:val="BookText"/>
      </w:pPr>
      <w:r>
        <w:rPr>
          <w:rFonts w:ascii="IRNazanin" w:hAnsi="IRNazanin" w:eastAsia="IRNazanin" w:cs="IRNazanin"/>
          <w:lang w:bidi="fa-IR"/>
          <w:color w:val="111111"/>
          <w:sz w:val="28"/>
          <w:szCs w:val="28"/>
          <w:rtl/>
        </w:rPr>
        <w:t xml:space="preserve">،باقر 1227 - 1309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امواج البكاء، ج 2، ص 769 .</w:t>
      </w:r>
    </w:p>
    <w:p>
      <w:pPr>
        <w:pStyle w:val="BookText"/>
      </w:pPr>
      <w:r>
        <w:rPr>
          <w:rFonts w:ascii="Amiri" w:hAnsi="Amiri" w:eastAsia="Amiri" w:cs="Amiri"/>
          <w:lang w:bidi="ar-SA"/>
          <w:color w:val="111111"/>
          <w:sz w:val="28"/>
          <w:szCs w:val="28"/>
          <w:rtl/>
        </w:rPr>
        <w:t xml:space="preserve">2 .تاريخ طوس، ج 3، ص581 .</w:t>
      </w:r>
    </w:p>
    <w:p>
      <w:pPr>
        <w:pStyle w:val="BookText"/>
      </w:pPr>
      <w:r>
        <w:rPr>
          <w:rFonts w:ascii="Amiri" w:hAnsi="Amiri" w:eastAsia="Amiri" w:cs="Amiri"/>
          <w:lang w:bidi="ar-SA"/>
          <w:color w:val="111111"/>
          <w:sz w:val="28"/>
          <w:szCs w:val="28"/>
          <w:rtl/>
        </w:rPr>
        <w:t xml:space="preserve">3.وسيلة النجاة، ج 16، ص 790.</w:t>
      </w:r>
    </w:p>
    <w:p>
      <w:pPr>
        <w:pStyle w:val="BookText"/>
      </w:pPr>
      <w:r>
        <w:rPr>
          <w:rFonts w:ascii="Amiri" w:hAnsi="Amiri" w:eastAsia="Amiri" w:cs="Amiri"/>
          <w:lang w:bidi="ar-SA"/>
          <w:color w:val="111111"/>
          <w:sz w:val="28"/>
          <w:szCs w:val="28"/>
          <w:rtl/>
        </w:rPr>
        <w:t xml:space="preserve">فاضل بن علي زيداني صفدي -زيداني</w:t>
      </w:r>
    </w:p>
    <w:p>
      <w:pPr>
        <w:pStyle w:val="BookText"/>
      </w:pPr>
      <w:r>
        <w:rPr>
          <w:rFonts w:ascii="Amiri" w:hAnsi="Amiri" w:eastAsia="Amiri" w:cs="Amiri"/>
          <w:lang w:bidi="ar-SA"/>
          <w:color w:val="111111"/>
          <w:sz w:val="28"/>
          <w:szCs w:val="28"/>
          <w:rtl/>
        </w:rPr>
        <w:t xml:space="preserve">صفدي، فاضل بن علي</w:t>
      </w:r>
    </w:p>
    <w:p>
      <w:pPr>
        <w:pStyle w:val="Heading2"/>
      </w:pPr>
      <w:bookmarkStart w:id="6295" w:name="_Toc5397"/>
      <w:r>
        <w:t>فاضل بيك ، حسين بن امير - 1222 ه-</w:t>
      </w:r>
      <w:bookmarkEnd w:id="6295"/>
    </w:p>
    <w:p>
      <w:pPr>
        <w:pStyle w:val="BookText"/>
      </w:pPr>
      <w:r>
        <w:rPr>
          <w:rFonts w:ascii="IRNazanin" w:hAnsi="IRNazanin" w:eastAsia="IRNazanin" w:cs="IRNazanin"/>
          <w:lang w:bidi="fa-IR"/>
          <w:color w:val="111111"/>
          <w:sz w:val="28"/>
          <w:szCs w:val="28"/>
          <w:rtl/>
        </w:rPr>
        <w:t xml:space="preserve">دیوان فاضل اندروني، ج 7، ص732.</w:t>
      </w:r>
    </w:p>
    <w:p>
      <w:pPr>
        <w:pStyle w:val="BookText"/>
      </w:pPr>
      <w:r>
        <w:rPr>
          <w:rFonts w:ascii="Amiri" w:hAnsi="Amiri" w:eastAsia="Amiri" w:cs="Amiri"/>
          <w:lang w:bidi="ar-SA"/>
          <w:color w:val="111111"/>
          <w:sz w:val="28"/>
          <w:szCs w:val="28"/>
          <w:rtl/>
        </w:rPr>
        <w:t xml:space="preserve">فاضل توني- توني ، احمد بن محمّد</w:t>
      </w:r>
    </w:p>
    <w:p>
      <w:pPr>
        <w:pStyle w:val="BookText"/>
      </w:pPr>
      <w:r>
        <w:rPr>
          <w:rFonts w:ascii="Amiri" w:hAnsi="Amiri" w:eastAsia="Amiri" w:cs="Amiri"/>
          <w:lang w:bidi="ar-SA"/>
          <w:color w:val="111111"/>
          <w:sz w:val="28"/>
          <w:szCs w:val="28"/>
          <w:rtl/>
        </w:rPr>
        <w:t xml:space="preserve">فاضل توني ، عبدالله بن محمّد -توني ،</w:t>
      </w:r>
    </w:p>
    <w:p>
      <w:pPr>
        <w:pStyle w:val="BookText"/>
      </w:pPr>
      <w:r>
        <w:rPr>
          <w:rFonts w:ascii="IRNazanin" w:hAnsi="IRNazanin" w:eastAsia="IRNazanin" w:cs="IRNazanin"/>
          <w:lang w:bidi="fa-IR"/>
          <w:color w:val="111111"/>
          <w:sz w:val="28"/>
          <w:szCs w:val="28"/>
          <w:rtl/>
        </w:rPr>
        <w:t xml:space="preserve">عبدالله بن محمّد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38" w:name="pg7742_70947"/>
    <w:bookmarkEnd w:id="838"/>
    <w:p>
      <w:pPr>
        <w:pStyle w:val="Heading2"/>
      </w:pPr>
      <w:bookmarkStart w:id="6296" w:name="_Toc5398"/>
      <w:r>
        <w:t>فاضل جواد، جواد بن سعيد - 1065 ه-</w:t>
      </w:r>
      <w:bookmarkEnd w:id="6296"/>
    </w:p>
    <w:p>
      <w:pPr>
        <w:pStyle w:val="BookText"/>
      </w:pPr>
      <w:r>
        <w:rPr>
          <w:rFonts w:ascii="Amiri" w:hAnsi="Amiri" w:eastAsia="Amiri" w:cs="Amiri"/>
          <w:lang w:bidi="ar-SA"/>
          <w:color w:val="111111"/>
          <w:sz w:val="28"/>
          <w:szCs w:val="28"/>
          <w:rtl/>
        </w:rPr>
        <w:t xml:space="preserve">1 .شرح الصفيحة، ج9، ص 676.</w:t>
      </w:r>
    </w:p>
    <w:p>
      <w:pPr>
        <w:pStyle w:val="BookText"/>
      </w:pPr>
      <w:r>
        <w:rPr>
          <w:rFonts w:ascii="Amiri" w:hAnsi="Amiri" w:eastAsia="Amiri" w:cs="Amiri"/>
          <w:lang w:bidi="ar-SA"/>
          <w:color w:val="111111"/>
          <w:sz w:val="28"/>
          <w:szCs w:val="28"/>
          <w:rtl/>
        </w:rPr>
        <w:t xml:space="preserve">2 .شرح خلاصة الحساب = كنز الحساب، ج 9، ص 436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غاية المأمول في شرح زبدة الاصول</w:t>
      </w:r>
    </w:p>
    <w:p>
      <w:pPr>
        <w:pStyle w:val="BookText"/>
      </w:pPr>
      <w:r>
        <w:rPr>
          <w:rFonts w:ascii="Amiri" w:hAnsi="Amiri" w:eastAsia="Amiri" w:cs="Amiri"/>
          <w:lang w:bidi="ar-SA"/>
          <w:color w:val="111111"/>
          <w:sz w:val="28"/>
          <w:szCs w:val="28"/>
          <w:rtl/>
        </w:rPr>
        <w:t xml:space="preserve">حاشية زبدة الاصول = حاشية</w:t>
      </w:r>
    </w:p>
    <w:p>
      <w:pPr>
        <w:pStyle w:val="BookText"/>
      </w:pPr>
      <w:r>
        <w:rPr>
          <w:rFonts w:ascii="IRNazanin" w:hAnsi="IRNazanin" w:eastAsia="IRNazanin" w:cs="IRNazanin"/>
          <w:lang w:bidi="fa-IR"/>
          <w:color w:val="111111"/>
          <w:sz w:val="28"/>
          <w:szCs w:val="28"/>
          <w:rtl/>
        </w:rPr>
        <w:t xml:space="preserve">فاضل جواد، ج 11، ص 442.</w:t>
      </w:r>
    </w:p>
    <w:p>
      <w:pPr>
        <w:pStyle w:val="BookText"/>
      </w:pPr>
      <w:r>
        <w:rPr>
          <w:rFonts w:ascii="Amiri" w:hAnsi="Amiri" w:eastAsia="Amiri" w:cs="Amiri"/>
          <w:lang w:bidi="ar-SA"/>
          <w:color w:val="111111"/>
          <w:sz w:val="28"/>
          <w:szCs w:val="28"/>
          <w:rtl/>
        </w:rPr>
        <w:t xml:space="preserve">4 .الفوائد العلية في شرح الرسالة الجعفرية، ج 12 ، ص 246 .</w:t>
      </w:r>
    </w:p>
    <w:p>
      <w:pPr>
        <w:pStyle w:val="BookText"/>
      </w:pPr>
      <w:r>
        <w:rPr>
          <w:rFonts w:ascii="Amiri" w:hAnsi="Amiri" w:eastAsia="Amiri" w:cs="Amiri"/>
          <w:lang w:bidi="ar-SA"/>
          <w:color w:val="111111"/>
          <w:sz w:val="28"/>
          <w:szCs w:val="28"/>
          <w:rtl/>
        </w:rPr>
        <w:t xml:space="preserve">5 .مسالك الافهام إلى آيات الاحكام</w:t>
      </w:r>
    </w:p>
    <w:p>
      <w:pPr>
        <w:pStyle w:val="BookText"/>
      </w:pPr>
      <w:r>
        <w:rPr>
          <w:rFonts w:ascii="IRNazanin" w:hAnsi="IRNazanin" w:eastAsia="IRNazanin" w:cs="IRNazanin"/>
          <w:lang w:bidi="fa-IR"/>
          <w:color w:val="111111"/>
          <w:sz w:val="28"/>
          <w:szCs w:val="28"/>
          <w:rtl/>
        </w:rPr>
        <w:t xml:space="preserve">ج 14، ص 507.</w:t>
      </w:r>
    </w:p>
    <w:p>
      <w:pPr>
        <w:pStyle w:val="BookText"/>
      </w:pPr>
      <w:r>
        <w:rPr>
          <w:rFonts w:ascii="Amiri" w:hAnsi="Amiri" w:eastAsia="Amiri" w:cs="Amiri"/>
          <w:lang w:bidi="ar-SA"/>
          <w:color w:val="111111"/>
          <w:sz w:val="28"/>
          <w:szCs w:val="28"/>
          <w:rtl/>
        </w:rPr>
        <w:t xml:space="preserve">فاضل خان- بهاري ، محب الله بن</w:t>
      </w:r>
    </w:p>
    <w:p>
      <w:pPr>
        <w:pStyle w:val="BookText"/>
      </w:pPr>
      <w:r>
        <w:rPr>
          <w:rFonts w:ascii="Amiri" w:hAnsi="Amiri" w:eastAsia="Amiri" w:cs="Amiri"/>
          <w:lang w:bidi="ar-SA"/>
          <w:color w:val="111111"/>
          <w:sz w:val="28"/>
          <w:szCs w:val="28"/>
          <w:rtl/>
        </w:rPr>
        <w:t xml:space="preserve">عبد الشكور</w:t>
      </w:r>
    </w:p>
    <w:p>
      <w:pPr>
        <w:pStyle w:val="BookText"/>
      </w:pPr>
      <w:r>
        <w:rPr>
          <w:rFonts w:ascii="Amiri" w:hAnsi="Amiri" w:eastAsia="Amiri" w:cs="Amiri"/>
          <w:lang w:bidi="ar-SA"/>
          <w:color w:val="111111"/>
          <w:sz w:val="28"/>
          <w:szCs w:val="28"/>
          <w:rtl/>
        </w:rPr>
        <w:t xml:space="preserve">فاضل خان هندي- فاضل هندي ، محمّد</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فاضل خفري ، محمّد بن احمد -خفري ،</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6297" w:name="_Toc5399"/>
      <w:r>
        <w:t>فاضل چلبي</w:t>
      </w:r>
      <w:bookmarkEnd w:id="6297"/>
    </w:p>
    <w:p>
      <w:pPr>
        <w:pStyle w:val="BookText"/>
      </w:pPr>
      <w:r>
        <w:rPr>
          <w:rFonts w:ascii="Amiri" w:hAnsi="Amiri" w:eastAsia="Amiri" w:cs="Amiri"/>
          <w:lang w:bidi="ar-SA"/>
          <w:color w:val="111111"/>
          <w:sz w:val="28"/>
          <w:szCs w:val="28"/>
          <w:rtl/>
        </w:rPr>
        <w:t xml:space="preserve">حاشية الحاشية القديمة للدواني على</w:t>
      </w:r>
    </w:p>
    <w:p>
      <w:pPr>
        <w:pStyle w:val="BookText"/>
      </w:pPr>
      <w:r>
        <w:rPr>
          <w:rFonts w:ascii="Amiri" w:hAnsi="Amiri" w:eastAsia="Amiri" w:cs="Amiri"/>
          <w:lang w:bidi="ar-SA"/>
          <w:color w:val="111111"/>
          <w:sz w:val="28"/>
          <w:szCs w:val="28"/>
          <w:rtl/>
        </w:rPr>
        <w:t xml:space="preserve">شرح تجريد الكلام ، ج 5 ، ص 841.</w:t>
      </w:r>
    </w:p>
    <w:p>
      <w:pPr>
        <w:pStyle w:val="Heading2"/>
      </w:pPr>
      <w:bookmarkStart w:id="6298" w:name="_Toc5400"/>
      <w:r>
        <w:t>فاضل رهاوي ، يحيى، - 1000 ؟ ه-</w:t>
      </w:r>
      <w:bookmarkEnd w:id="6298"/>
    </w:p>
    <w:p>
      <w:pPr>
        <w:pStyle w:val="BookText"/>
      </w:pPr>
      <w:r>
        <w:rPr>
          <w:rFonts w:ascii="Amiri" w:hAnsi="Amiri" w:eastAsia="Amiri" w:cs="Amiri"/>
          <w:lang w:bidi="ar-SA"/>
          <w:color w:val="111111"/>
          <w:sz w:val="28"/>
          <w:szCs w:val="28"/>
          <w:rtl/>
        </w:rPr>
        <w:t xml:space="preserve">1 .استخراج القبلة بغير آلة، ج 2،</w:t>
      </w:r>
    </w:p>
    <w:p>
      <w:pPr>
        <w:pStyle w:val="BookText"/>
      </w:pPr>
      <w:r>
        <w:rPr>
          <w:rFonts w:ascii="IRNazanin" w:hAnsi="IRNazanin" w:eastAsia="IRNazanin" w:cs="IRNazanin"/>
          <w:lang w:bidi="fa-IR"/>
          <w:color w:val="111111"/>
          <w:sz w:val="28"/>
          <w:szCs w:val="28"/>
          <w:rtl/>
        </w:rPr>
        <w:t xml:space="preserve">ص 124 .</w:t>
      </w:r>
    </w:p>
    <w:p>
      <w:pPr>
        <w:pStyle w:val="BookText"/>
      </w:pPr>
      <w:r>
        <w:rPr>
          <w:rFonts w:ascii="Amiri" w:hAnsi="Amiri" w:eastAsia="Amiri" w:cs="Amiri"/>
          <w:lang w:bidi="ar-SA"/>
          <w:color w:val="111111"/>
          <w:sz w:val="28"/>
          <w:szCs w:val="28"/>
          <w:rtl/>
        </w:rPr>
        <w:t xml:space="preserve">2 .حاشية شرح منار الانوار، ج6،</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Amiri" w:hAnsi="Amiri" w:eastAsia="Amiri" w:cs="Amiri"/>
          <w:lang w:bidi="ar-SA"/>
          <w:color w:val="111111"/>
          <w:sz w:val="28"/>
          <w:szCs w:val="28"/>
          <w:rtl/>
        </w:rPr>
        <w:t xml:space="preserve">فاضل ساروي ، محمّد علي بن محمّد رضا -ساروي ، محمّد علي بن محمّد رضا</w:t>
      </w:r>
    </w:p>
    <w:p>
      <w:pPr>
        <w:pStyle w:val="BookText"/>
      </w:pPr>
      <w:r>
        <w:rPr>
          <w:rFonts w:ascii="Amiri" w:hAnsi="Amiri" w:eastAsia="Amiri" w:cs="Amiri"/>
          <w:lang w:bidi="ar-SA"/>
          <w:color w:val="111111"/>
          <w:sz w:val="28"/>
          <w:szCs w:val="28"/>
          <w:rtl/>
        </w:rPr>
        <w:t xml:space="preserve">فاضل سراب ، محمّد بن عبد الفتاح- تنكابني ، محمّد بن عبدالفتاح</w:t>
      </w:r>
    </w:p>
    <w:p>
      <w:pPr>
        <w:pStyle w:val="Heading2"/>
      </w:pPr>
      <w:bookmarkStart w:id="6299" w:name="_Toc5401"/>
      <w:r>
        <w:t>فاضل شربياني، محمّد بن فضلعلي 1248 - 1322 ه-</w:t>
      </w:r>
      <w:bookmarkEnd w:id="6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لثقة الاسلام الساروي، ج1،</w:t>
      </w:r>
    </w:p>
    <w:p>
      <w:pPr>
        <w:pStyle w:val="BookText"/>
      </w:pPr>
      <w:r>
        <w:rPr>
          <w:rFonts w:ascii="IRNazanin" w:hAnsi="IRNazanin" w:eastAsia="IRNazanin" w:cs="IRNazanin"/>
          <w:lang w:bidi="fa-IR"/>
          <w:color w:val="111111"/>
          <w:sz w:val="28"/>
          <w:szCs w:val="28"/>
          <w:rtl/>
        </w:rPr>
        <w:t xml:space="preserve">ص 236.</w:t>
      </w:r>
    </w:p>
    <w:p>
      <w:pPr>
        <w:pStyle w:val="BookText"/>
      </w:pPr>
      <w:r>
        <w:rPr>
          <w:rFonts w:ascii="Amiri" w:hAnsi="Amiri" w:eastAsia="Amiri" w:cs="Amiri"/>
          <w:lang w:bidi="ar-SA"/>
          <w:color w:val="111111"/>
          <w:sz w:val="28"/>
          <w:szCs w:val="28"/>
          <w:rtl/>
        </w:rPr>
        <w:t xml:space="preserve">2 .الصحيح و الأعم، ج 10، ص 510.</w:t>
      </w:r>
    </w:p>
    <w:p>
      <w:pPr>
        <w:pStyle w:val="Heading2"/>
      </w:pPr>
      <w:bookmarkStart w:id="6300" w:name="_Toc5402"/>
      <w:r>
        <w:t>فاضل شيرواني</w:t>
      </w:r>
      <w:bookmarkEnd w:id="6300"/>
    </w:p>
    <w:p>
      <w:pPr>
        <w:pStyle w:val="BookText"/>
      </w:pPr>
      <w:r>
        <w:rPr>
          <w:rFonts w:ascii="Amiri" w:hAnsi="Amiri" w:eastAsia="Amiri" w:cs="Amiri"/>
          <w:lang w:bidi="ar-SA"/>
          <w:color w:val="111111"/>
          <w:sz w:val="28"/>
          <w:szCs w:val="28"/>
          <w:rtl/>
        </w:rPr>
        <w:t xml:space="preserve">1 .تشجين الاذهان و تقديم الانعام</w:t>
      </w:r>
    </w:p>
    <w:p>
      <w:pPr>
        <w:pStyle w:val="BookText"/>
      </w:pPr>
      <w:r>
        <w:rPr>
          <w:rFonts w:ascii="IRNazanin" w:hAnsi="IRNazanin" w:eastAsia="IRNazanin" w:cs="IRNazanin"/>
          <w:lang w:bidi="fa-IR"/>
          <w:color w:val="111111"/>
          <w:sz w:val="28"/>
          <w:szCs w:val="28"/>
          <w:rtl/>
        </w:rPr>
        <w:t xml:space="preserve">ج 4 ، ص 359 .</w:t>
      </w:r>
    </w:p>
    <w:p>
      <w:pPr>
        <w:pStyle w:val="BookText"/>
      </w:pPr>
      <w:r>
        <w:rPr>
          <w:rFonts w:ascii="Amiri" w:hAnsi="Amiri" w:eastAsia="Amiri" w:cs="Amiri"/>
          <w:lang w:bidi="ar-SA"/>
          <w:color w:val="111111"/>
          <w:sz w:val="28"/>
          <w:szCs w:val="28"/>
          <w:rtl/>
        </w:rPr>
        <w:t xml:space="preserve">2 .حاشية الشيرواني على الخضري، ج 6،</w:t>
      </w:r>
    </w:p>
    <w:p>
      <w:pPr>
        <w:pStyle w:val="BookText"/>
      </w:pPr>
      <w:r>
        <w:rPr>
          <w:rFonts w:ascii="IRNazanin" w:hAnsi="IRNazanin" w:eastAsia="IRNazanin" w:cs="IRNazanin"/>
          <w:lang w:bidi="fa-IR"/>
          <w:color w:val="111111"/>
          <w:sz w:val="28"/>
          <w:szCs w:val="28"/>
          <w:rtl/>
        </w:rPr>
        <w:t xml:space="preserve">ص 224.</w:t>
      </w:r>
    </w:p>
    <w:p>
      <w:pPr>
        <w:pStyle w:val="BookText"/>
      </w:pPr>
      <w:r>
        <w:rPr>
          <w:rFonts w:ascii="Amiri" w:hAnsi="Amiri" w:eastAsia="Amiri" w:cs="Amiri"/>
          <w:lang w:bidi="ar-SA"/>
          <w:color w:val="111111"/>
          <w:sz w:val="28"/>
          <w:szCs w:val="28"/>
          <w:rtl/>
        </w:rPr>
        <w:t xml:space="preserve">فاضل كاشاني ، محمّد تقي بن حسين- كاشاني ، محمّد تقي بن حسين</w:t>
      </w:r>
    </w:p>
    <w:p>
      <w:pPr>
        <w:pStyle w:val="BookText"/>
      </w:pPr>
      <w:r>
        <w:rPr>
          <w:rFonts w:ascii="Amiri" w:hAnsi="Amiri" w:eastAsia="Amiri" w:cs="Amiri"/>
          <w:lang w:bidi="ar-SA"/>
          <w:color w:val="111111"/>
          <w:sz w:val="28"/>
          <w:szCs w:val="28"/>
          <w:rtl/>
        </w:rPr>
        <w:t xml:space="preserve">فاضل كيداني نسفي -كيداني ، لطف الله</w:t>
      </w:r>
    </w:p>
    <w:p>
      <w:pPr>
        <w:pStyle w:val="BookText"/>
      </w:pPr>
      <w:r>
        <w:rPr>
          <w:rFonts w:ascii="Amiri" w:hAnsi="Amiri" w:eastAsia="Amiri" w:cs="Amiri"/>
          <w:lang w:bidi="ar-SA"/>
          <w:color w:val="111111"/>
          <w:sz w:val="28"/>
          <w:szCs w:val="28"/>
          <w:rtl/>
        </w:rPr>
        <w:t xml:space="preserve">فاضل محمّد شيرانشي - شيرانشي كردي ،</w:t>
      </w:r>
    </w:p>
    <w:p>
      <w:pPr>
        <w:pStyle w:val="BookText"/>
      </w:pPr>
      <w:r>
        <w:rPr>
          <w:rFonts w:ascii="Amiri" w:hAnsi="Amiri" w:eastAsia="Amiri" w:cs="Amiri"/>
          <w:lang w:bidi="ar-SA"/>
          <w:color w:val="111111"/>
          <w:sz w:val="28"/>
          <w:szCs w:val="28"/>
          <w:rtl/>
        </w:rPr>
        <w:t xml:space="preserve">محمّد</w:t>
      </w:r>
    </w:p>
    <w:p>
      <w:pPr>
        <w:pStyle w:val="Heading2"/>
      </w:pPr>
      <w:bookmarkStart w:id="6301" w:name="_Toc5403"/>
      <w:r>
        <w:t>فاضل مقداد مقداد بن عبدالله - 826 ه-</w:t>
      </w:r>
      <w:bookmarkEnd w:id="6301"/>
    </w:p>
    <w:p>
      <w:pPr>
        <w:pStyle w:val="BookText"/>
      </w:pPr>
      <w:r>
        <w:rPr>
          <w:rFonts w:ascii="Amiri" w:hAnsi="Amiri" w:eastAsia="Amiri" w:cs="Amiri"/>
          <w:lang w:bidi="ar-SA"/>
          <w:color w:val="111111"/>
          <w:sz w:val="28"/>
          <w:szCs w:val="28"/>
          <w:rtl/>
        </w:rPr>
        <w:t xml:space="preserve">1 .الادعية المهمة، ج 1، ص 637.</w:t>
      </w:r>
    </w:p>
    <w:p>
      <w:pPr>
        <w:pStyle w:val="BookText"/>
      </w:pPr>
      <w:r>
        <w:rPr>
          <w:rFonts w:ascii="IRNazanin" w:hAnsi="IRNazanin" w:eastAsia="IRNazanin" w:cs="IRNazanin"/>
          <w:lang w:bidi="fa-IR"/>
          <w:color w:val="111111"/>
          <w:sz w:val="28"/>
          <w:szCs w:val="28"/>
          <w:rtl/>
        </w:rPr>
        <w:t xml:space="preserve">2.إرشاد الطالبين إلى نهج المسترشدین، ج2، ص29.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الانوار الجلالية في شرح الفصول</w:t>
      </w:r>
    </w:p>
    <w:p>
      <w:pPr>
        <w:pStyle w:val="BookText"/>
      </w:pPr>
      <w:r>
        <w:rPr>
          <w:rFonts w:ascii="Amiri" w:hAnsi="Amiri" w:eastAsia="Amiri" w:cs="Amiri"/>
          <w:lang w:bidi="ar-SA"/>
          <w:color w:val="111111"/>
          <w:sz w:val="28"/>
          <w:szCs w:val="28"/>
          <w:rtl/>
        </w:rPr>
        <w:t xml:space="preserve">النصيرية، ج 2، ص878.</w:t>
      </w:r>
    </w:p>
    <w:p>
      <w:pPr>
        <w:pStyle w:val="BookText"/>
      </w:pPr>
      <w:r>
        <w:rPr>
          <w:rFonts w:ascii="Amiri" w:hAnsi="Amiri" w:eastAsia="Amiri" w:cs="Amiri"/>
          <w:lang w:bidi="ar-SA"/>
          <w:color w:val="111111"/>
          <w:sz w:val="28"/>
          <w:szCs w:val="28"/>
          <w:rtl/>
        </w:rPr>
        <w:t xml:space="preserve">4 .التنقيح الرائع في شرح مختصر</w:t>
      </w:r>
    </w:p>
    <w:p>
      <w:pPr>
        <w:pStyle w:val="BookText"/>
      </w:pPr>
      <w:r>
        <w:rPr>
          <w:rFonts w:ascii="IRNazanin" w:hAnsi="IRNazanin" w:eastAsia="IRNazanin" w:cs="IRNazanin"/>
          <w:lang w:bidi="fa-IR"/>
          <w:color w:val="111111"/>
          <w:sz w:val="28"/>
          <w:szCs w:val="28"/>
          <w:rtl/>
        </w:rPr>
        <w:t xml:space="preserve">النافع، ج 5، ص 62.</w:t>
      </w:r>
    </w:p>
    <w:p>
      <w:pPr>
        <w:pStyle w:val="BookText"/>
      </w:pPr>
      <w:r>
        <w:rPr>
          <w:rFonts w:ascii="Amiri" w:hAnsi="Amiri" w:eastAsia="Amiri" w:cs="Amiri"/>
          <w:lang w:bidi="ar-SA"/>
          <w:color w:val="111111"/>
          <w:sz w:val="28"/>
          <w:szCs w:val="28"/>
          <w:rtl/>
        </w:rPr>
        <w:t xml:space="preserve">5 .جوابات المسائل المقدادية جه،</w:t>
      </w:r>
    </w:p>
    <w:p>
      <w:pPr>
        <w:pStyle w:val="BookText"/>
      </w:pPr>
      <w:r>
        <w:rPr>
          <w:rFonts w:ascii="IRNazanin" w:hAnsi="IRNazanin" w:eastAsia="IRNazanin" w:cs="IRNazanin"/>
          <w:lang w:bidi="fa-IR"/>
          <w:color w:val="111111"/>
          <w:sz w:val="28"/>
          <w:szCs w:val="28"/>
          <w:rtl/>
        </w:rPr>
        <w:t xml:space="preserve">ص 494.</w:t>
      </w:r>
    </w:p>
    <w:p>
      <w:pPr>
        <w:pStyle w:val="BookText"/>
      </w:pPr>
      <w:r>
        <w:rPr>
          <w:rFonts w:ascii="Amiri" w:hAnsi="Amiri" w:eastAsia="Amiri" w:cs="Amiri"/>
          <w:lang w:bidi="ar-SA"/>
          <w:color w:val="111111"/>
          <w:sz w:val="28"/>
          <w:szCs w:val="28"/>
          <w:rtl/>
        </w:rPr>
        <w:t xml:space="preserve">6 .عدم جواز تقليد الاموات، ج11،</w:t>
      </w:r>
    </w:p>
    <w:p>
      <w:pPr>
        <w:pStyle w:val="BookText"/>
      </w:pPr>
      <w:r>
        <w:rPr>
          <w:rFonts w:ascii="IRNazanin" w:hAnsi="IRNazanin" w:eastAsia="IRNazanin" w:cs="IRNazanin"/>
          <w:lang w:bidi="fa-IR"/>
          <w:color w:val="111111"/>
          <w:sz w:val="28"/>
          <w:szCs w:val="28"/>
          <w:rtl/>
        </w:rPr>
        <w:t xml:space="preserve">ص 65 .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39" w:name="pg7742_70950"/>
    <w:bookmarkEnd w:id="839"/>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كنز العرفان في فقه القرآن - آيات</w:t>
      </w:r>
    </w:p>
    <w:p>
      <w:pPr>
        <w:pStyle w:val="BookText"/>
      </w:pPr>
      <w:r>
        <w:rPr>
          <w:rFonts w:ascii="Amiri" w:hAnsi="Amiri" w:eastAsia="Amiri" w:cs="Amiri"/>
          <w:lang w:bidi="ar-SA"/>
          <w:color w:val="111111"/>
          <w:sz w:val="28"/>
          <w:szCs w:val="28"/>
          <w:rtl/>
        </w:rPr>
        <w:t xml:space="preserve">الاحكام، ج13، ص 425.</w:t>
      </w:r>
    </w:p>
    <w:p>
      <w:pPr>
        <w:pStyle w:val="BookText"/>
      </w:pPr>
      <w:r>
        <w:rPr>
          <w:rFonts w:ascii="Amiri" w:hAnsi="Amiri" w:eastAsia="Amiri" w:cs="Amiri"/>
          <w:lang w:bidi="ar-SA"/>
          <w:color w:val="111111"/>
          <w:sz w:val="28"/>
          <w:szCs w:val="28"/>
          <w:rtl/>
        </w:rPr>
        <w:t xml:space="preserve">اللوامع الالهية في المسائل الكلامية</w:t>
      </w:r>
    </w:p>
    <w:p>
      <w:pPr>
        <w:pStyle w:val="BookText"/>
      </w:pPr>
      <w:r>
        <w:rPr>
          <w:rFonts w:ascii="Amiri" w:hAnsi="Amiri" w:eastAsia="Amiri" w:cs="Amiri"/>
          <w:lang w:bidi="ar-SA"/>
          <w:color w:val="111111"/>
          <w:sz w:val="28"/>
          <w:szCs w:val="28"/>
          <w:rtl/>
        </w:rPr>
        <w:t xml:space="preserve">اللوامع الالهية في المباحث</w:t>
      </w:r>
    </w:p>
    <w:p>
      <w:pPr>
        <w:pStyle w:val="BookText"/>
      </w:pPr>
      <w:r>
        <w:rPr>
          <w:rFonts w:ascii="Amiri" w:hAnsi="Amiri" w:eastAsia="Amiri" w:cs="Amiri"/>
          <w:lang w:bidi="ar-SA"/>
          <w:color w:val="111111"/>
          <w:sz w:val="28"/>
          <w:szCs w:val="28"/>
          <w:rtl/>
        </w:rPr>
        <w:t xml:space="preserve">8.العلائية، ج 13 ، ص 645.</w:t>
      </w:r>
    </w:p>
    <w:p>
      <w:pPr>
        <w:pStyle w:val="BookText"/>
      </w:pPr>
      <w:r>
        <w:rPr>
          <w:rFonts w:ascii="Amiri" w:hAnsi="Amiri" w:eastAsia="Amiri" w:cs="Amiri"/>
          <w:lang w:bidi="ar-SA"/>
          <w:color w:val="111111"/>
          <w:sz w:val="28"/>
          <w:szCs w:val="28"/>
          <w:rtl/>
        </w:rPr>
        <w:t xml:space="preserve">9 .المتعة (رسالة في)، ج 13، ص 752.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معنى الناصب (رسالة في)، ج 15،</w:t>
      </w:r>
    </w:p>
    <w:p>
      <w:pPr>
        <w:pStyle w:val="BookText"/>
      </w:pPr>
      <w:r>
        <w:rPr>
          <w:rFonts w:ascii="IRNazanin" w:hAnsi="IRNazanin" w:eastAsia="IRNazanin" w:cs="IRNazanin"/>
          <w:lang w:bidi="fa-IR"/>
          <w:color w:val="111111"/>
          <w:sz w:val="28"/>
          <w:szCs w:val="28"/>
          <w:rtl/>
        </w:rPr>
        <w:t xml:space="preserve">ص 97.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النافع يوم الحشر في شرح الباب</w:t>
      </w:r>
    </w:p>
    <w:p>
      <w:pPr>
        <w:pStyle w:val="BookText"/>
      </w:pPr>
      <w:r>
        <w:rPr>
          <w:rFonts w:ascii="Amiri" w:hAnsi="Amiri" w:eastAsia="Amiri" w:cs="Amiri"/>
          <w:lang w:bidi="ar-SA"/>
          <w:color w:val="111111"/>
          <w:sz w:val="28"/>
          <w:szCs w:val="28"/>
          <w:rtl/>
        </w:rPr>
        <w:t xml:space="preserve">الحادي عشر، ج 16، ص 95.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نضد القواعد الفقهية على مذهب</w:t>
      </w:r>
    </w:p>
    <w:p>
      <w:pPr>
        <w:pStyle w:val="BookText"/>
      </w:pPr>
      <w:r>
        <w:rPr>
          <w:rFonts w:ascii="Amiri" w:hAnsi="Amiri" w:eastAsia="Amiri" w:cs="Amiri"/>
          <w:lang w:bidi="ar-SA"/>
          <w:color w:val="111111"/>
          <w:sz w:val="28"/>
          <w:szCs w:val="28"/>
          <w:rtl/>
        </w:rPr>
        <w:t xml:space="preserve">الامامية، ج 16، ص318.</w:t>
      </w:r>
    </w:p>
    <w:p>
      <w:pPr>
        <w:pStyle w:val="Heading2"/>
      </w:pPr>
      <w:bookmarkStart w:id="6302" w:name="_Toc5404"/>
      <w:r>
        <w:t>فاضل ، ملا علي</w:t>
      </w:r>
      <w:bookmarkEnd w:id="6302"/>
    </w:p>
    <w:p>
      <w:pPr>
        <w:pStyle w:val="BookText"/>
      </w:pPr>
      <w:r>
        <w:rPr>
          <w:rFonts w:ascii="Amiri" w:hAnsi="Amiri" w:eastAsia="Amiri" w:cs="Amiri"/>
          <w:lang w:bidi="ar-SA"/>
          <w:color w:val="111111"/>
          <w:sz w:val="28"/>
          <w:szCs w:val="28"/>
          <w:rtl/>
        </w:rPr>
        <w:t xml:space="preserve">تكملة درة بحر العلوم، ج 4، ص 816.</w:t>
      </w:r>
    </w:p>
    <w:p>
      <w:pPr>
        <w:pStyle w:val="BookText"/>
      </w:pPr>
      <w:r>
        <w:rPr>
          <w:rFonts w:ascii="Amiri" w:hAnsi="Amiri" w:eastAsia="Amiri" w:cs="Amiri"/>
          <w:lang w:bidi="ar-SA"/>
          <w:color w:val="111111"/>
          <w:sz w:val="28"/>
          <w:szCs w:val="28"/>
          <w:rtl/>
        </w:rPr>
        <w:t xml:space="preserve">فاضل همداني ، احمد بن حسين- بديع</w:t>
      </w:r>
    </w:p>
    <w:p>
      <w:pPr>
        <w:pStyle w:val="BookText"/>
      </w:pPr>
      <w:r>
        <w:rPr>
          <w:rFonts w:ascii="Amiri" w:hAnsi="Amiri" w:eastAsia="Amiri" w:cs="Amiri"/>
          <w:lang w:bidi="ar-SA"/>
          <w:color w:val="111111"/>
          <w:sz w:val="28"/>
          <w:szCs w:val="28"/>
          <w:rtl/>
        </w:rPr>
        <w:t xml:space="preserve">الزمان همداني ، احمد بن حسين</w:t>
      </w:r>
    </w:p>
    <w:p>
      <w:pPr>
        <w:pStyle w:val="BookText"/>
      </w:pPr>
      <w:r>
        <w:rPr>
          <w:rFonts w:ascii="Amiri" w:hAnsi="Amiri" w:eastAsia="Amiri" w:cs="Amiri"/>
          <w:lang w:bidi="ar-SA"/>
          <w:color w:val="111111"/>
          <w:sz w:val="28"/>
          <w:szCs w:val="28"/>
          <w:rtl/>
        </w:rPr>
        <w:t xml:space="preserve">فاضل همداني ، جعفر -رياض همداني ،</w:t>
      </w:r>
    </w:p>
    <w:p>
      <w:pPr>
        <w:pStyle w:val="BookText"/>
      </w:pPr>
      <w:r>
        <w:rPr>
          <w:rFonts w:ascii="Amiri" w:hAnsi="Amiri" w:eastAsia="Amiri" w:cs="Amiri"/>
          <w:lang w:bidi="ar-SA"/>
          <w:color w:val="111111"/>
          <w:sz w:val="28"/>
          <w:szCs w:val="28"/>
          <w:rtl/>
        </w:rPr>
        <w:t xml:space="preserve">محمّد جعفر</w:t>
      </w:r>
    </w:p>
    <w:p>
      <w:pPr>
        <w:pStyle w:val="Heading2"/>
      </w:pPr>
      <w:bookmarkStart w:id="6303" w:name="_Toc5405"/>
      <w:r>
        <w:t>فاضل هندي ، محمّد بن حسن، 1062 -</w:t>
      </w:r>
      <w:bookmarkEnd w:id="6303"/>
    </w:p>
    <w:p>
      <w:pPr>
        <w:pStyle w:val="BookText"/>
      </w:pPr>
      <w:r>
        <w:rPr>
          <w:rFonts w:ascii="IRNazanin" w:hAnsi="IRNazanin" w:eastAsia="IRNazanin" w:cs="IRNazanin"/>
          <w:lang w:bidi="fa-IR"/>
          <w:color w:val="111111"/>
          <w:sz w:val="28"/>
          <w:szCs w:val="28"/>
          <w:rtl/>
        </w:rPr>
        <w:t xml:space="preserve">1137 ه-</w:t>
      </w:r>
    </w:p>
    <w:p>
      <w:pPr>
        <w:pStyle w:val="BookText"/>
      </w:pPr>
      <w:r>
        <w:rPr>
          <w:rFonts w:ascii="Amiri" w:hAnsi="Amiri" w:eastAsia="Amiri" w:cs="Amiri"/>
          <w:lang w:bidi="ar-SA"/>
          <w:color w:val="111111"/>
          <w:sz w:val="28"/>
          <w:szCs w:val="28"/>
          <w:rtl/>
        </w:rPr>
        <w:t xml:space="preserve">1 .اجازة لتلميذه، ج1، ص233.</w:t>
      </w:r>
    </w:p>
    <w:p>
      <w:pPr>
        <w:pStyle w:val="BookText"/>
      </w:pPr>
      <w:r>
        <w:rPr>
          <w:rFonts w:ascii="IRNazanin" w:hAnsi="IRNazanin" w:eastAsia="IRNazanin" w:cs="IRNazanin"/>
          <w:lang w:bidi="fa-IR"/>
          <w:color w:val="111111"/>
          <w:sz w:val="28"/>
          <w:szCs w:val="28"/>
          <w:rtl/>
        </w:rPr>
        <w:t xml:space="preserve">2 .حکمت خاقانیه، ج 6، ص 742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العوامل المائة، ج 9، ص 760 .</w:t>
      </w:r>
    </w:p>
    <w:p>
      <w:pPr>
        <w:pStyle w:val="BookText"/>
      </w:pPr>
      <w:r>
        <w:rPr>
          <w:rFonts w:ascii="Amiri" w:hAnsi="Amiri" w:eastAsia="Amiri" w:cs="Amiri"/>
          <w:lang w:bidi="ar-SA"/>
          <w:color w:val="111111"/>
          <w:sz w:val="28"/>
          <w:szCs w:val="28"/>
          <w:rtl/>
        </w:rPr>
        <w:t xml:space="preserve">4 .قراح الاقتراح الهادية للعقل الصراح إلى اصول النحو الواضح، ج12، ص 561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كشف اللثام و الابهام عن كتاب</w:t>
      </w:r>
    </w:p>
    <w:p>
      <w:pPr>
        <w:pStyle w:val="BookText"/>
      </w:pPr>
      <w:r>
        <w:rPr>
          <w:rFonts w:ascii="Amiri" w:hAnsi="Amiri" w:eastAsia="Amiri" w:cs="Amiri"/>
          <w:lang w:bidi="ar-SA"/>
          <w:color w:val="111111"/>
          <w:sz w:val="28"/>
          <w:szCs w:val="28"/>
          <w:rtl/>
        </w:rPr>
        <w:t xml:space="preserve">قواعد الاحكام، ج13، ص 253</w:t>
      </w:r>
    </w:p>
    <w:p>
      <w:pPr>
        <w:pStyle w:val="BookText"/>
      </w:pPr>
      <w:r>
        <w:rPr>
          <w:rFonts w:ascii="Amiri" w:hAnsi="Amiri" w:eastAsia="Amiri" w:cs="Amiri"/>
          <w:lang w:bidi="ar-SA"/>
          <w:color w:val="111111"/>
          <w:sz w:val="28"/>
          <w:szCs w:val="28"/>
          <w:rtl/>
        </w:rPr>
        <w:t xml:space="preserve">6 .المناهج السوية في شرح الروضة البهية في شرح اللمعة الدمشقية ج 15 ، ص 568.</w:t>
      </w:r>
    </w:p>
    <w:p>
      <w:pPr>
        <w:pStyle w:val="Heading2"/>
      </w:pPr>
      <w:bookmarkStart w:id="6304" w:name="_Toc5406"/>
      <w:r>
        <w:t>فاضل يمني يحيى بن قاسم 680-750 ه-</w:t>
      </w:r>
      <w:bookmarkEnd w:id="6304"/>
    </w:p>
    <w:p>
      <w:pPr>
        <w:pStyle w:val="BookText"/>
      </w:pPr>
      <w:r>
        <w:rPr>
          <w:rFonts w:ascii="Amiri" w:hAnsi="Amiri" w:eastAsia="Amiri" w:cs="Amiri"/>
          <w:lang w:bidi="ar-SA"/>
          <w:color w:val="111111"/>
          <w:sz w:val="28"/>
          <w:szCs w:val="28"/>
          <w:rtl/>
        </w:rPr>
        <w:t xml:space="preserve">1 .تحفة الاشراف في كشف غوامض</w:t>
      </w:r>
    </w:p>
    <w:p>
      <w:pPr>
        <w:pStyle w:val="BookText"/>
      </w:pPr>
      <w:r>
        <w:rPr>
          <w:rFonts w:ascii="Amiri" w:hAnsi="Amiri" w:eastAsia="Amiri" w:cs="Amiri"/>
          <w:lang w:bidi="ar-SA"/>
          <w:color w:val="111111"/>
          <w:sz w:val="28"/>
          <w:szCs w:val="28"/>
          <w:rtl/>
        </w:rPr>
        <w:t xml:space="preserve">الكشاف، ج3، ص798.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دعاء الصباح و ادعية أخرى</w:t>
      </w:r>
    </w:p>
    <w:p>
      <w:pPr>
        <w:pStyle w:val="BookText"/>
      </w:pPr>
      <w:r>
        <w:rPr>
          <w:rFonts w:ascii="IRNazanin" w:hAnsi="IRNazanin" w:eastAsia="IRNazanin" w:cs="IRNazanin"/>
          <w:lang w:bidi="fa-IR"/>
          <w:color w:val="111111"/>
          <w:sz w:val="28"/>
          <w:szCs w:val="28"/>
          <w:rtl/>
        </w:rPr>
        <w:t xml:space="preserve">ج 9، ص 467.</w:t>
      </w:r>
    </w:p>
    <w:p>
      <w:pPr>
        <w:pStyle w:val="Heading2"/>
      </w:pPr>
      <w:bookmarkStart w:id="6305" w:name="_Toc5407"/>
      <w:r>
        <w:t>فاطر ، محمّد درویش بن محمّد حسن زاد</w:t>
      </w:r>
      <w:bookmarkEnd w:id="6305"/>
    </w:p>
    <w:p>
      <w:pPr>
        <w:pStyle w:val="BookText"/>
      </w:pPr>
      <w:r>
        <w:rPr>
          <w:rFonts w:ascii="Amiri" w:hAnsi="Amiri" w:eastAsia="Amiri" w:cs="Amiri"/>
          <w:lang w:bidi="ar-SA"/>
          <w:color w:val="111111"/>
          <w:sz w:val="28"/>
          <w:szCs w:val="28"/>
          <w:rtl/>
        </w:rPr>
        <w:t xml:space="preserve">الاخرة في احوال اهل البيت، ج8،</w:t>
      </w:r>
    </w:p>
    <w:p>
      <w:pPr>
        <w:pStyle w:val="BookText"/>
      </w:pPr>
      <w:r>
        <w:rPr>
          <w:rFonts w:ascii="IRNazanin" w:hAnsi="IRNazanin" w:eastAsia="IRNazanin" w:cs="IRNazanin"/>
          <w:lang w:bidi="fa-IR"/>
          <w:color w:val="111111"/>
          <w:sz w:val="28"/>
          <w:szCs w:val="28"/>
          <w:rtl/>
        </w:rPr>
        <w:t xml:space="preserve">ص 526.</w:t>
      </w:r>
    </w:p>
    <w:p>
      <w:pPr>
        <w:pStyle w:val="BookText"/>
      </w:pPr>
      <w:r>
        <w:rPr>
          <w:rFonts w:ascii="Amiri" w:hAnsi="Amiri" w:eastAsia="Amiri" w:cs="Amiri"/>
          <w:lang w:bidi="ar-SA"/>
          <w:color w:val="111111"/>
          <w:sz w:val="28"/>
          <w:szCs w:val="28"/>
          <w:rtl/>
        </w:rPr>
        <w:t xml:space="preserve">فاطمة بنت رسول الله - فاطمة زهرا (س)</w:t>
      </w:r>
    </w:p>
    <w:p>
      <w:pPr>
        <w:pStyle w:val="BookText"/>
      </w:pPr>
      <w:r>
        <w:rPr>
          <w:rFonts w:ascii="Amiri" w:hAnsi="Amiri" w:eastAsia="Amiri" w:cs="Amiri"/>
          <w:lang w:bidi="ar-SA"/>
          <w:color w:val="111111"/>
          <w:sz w:val="28"/>
          <w:szCs w:val="28"/>
          <w:rtl/>
        </w:rPr>
        <w:t xml:space="preserve">فاطمه بنت محمّد- فاطمة زهرا (س)</w:t>
      </w:r>
    </w:p>
    <w:p>
      <w:pPr>
        <w:pStyle w:val="Heading2"/>
      </w:pPr>
      <w:bookmarkStart w:id="6306" w:name="_Toc5408"/>
      <w:r>
        <w:t>فاطمة الزهرا (س) - 11ه-</w:t>
      </w:r>
      <w:bookmarkEnd w:id="6306"/>
    </w:p>
    <w:p>
      <w:pPr>
        <w:pStyle w:val="BookText"/>
      </w:pPr>
      <w:r>
        <w:rPr>
          <w:rFonts w:ascii="Amiri" w:hAnsi="Amiri" w:eastAsia="Amiri" w:cs="Amiri"/>
          <w:lang w:bidi="ar-SA"/>
          <w:color w:val="111111"/>
          <w:sz w:val="28"/>
          <w:szCs w:val="28"/>
          <w:rtl/>
        </w:rPr>
        <w:t xml:space="preserve">حديث الكساء، ج 6، ص 574.</w:t>
      </w:r>
    </w:p>
    <w:p>
      <w:pPr>
        <w:pStyle w:val="BookText"/>
      </w:pPr>
      <w:r>
        <w:rPr>
          <w:rFonts w:ascii="Amiri" w:hAnsi="Amiri" w:eastAsia="Amiri" w:cs="Amiri"/>
          <w:lang w:bidi="ar-SA"/>
          <w:color w:val="111111"/>
          <w:sz w:val="28"/>
          <w:szCs w:val="28"/>
          <w:rtl/>
        </w:rPr>
        <w:t xml:space="preserve">فاطمي ، عبد الحسيب بن احمد -حسيني</w:t>
      </w:r>
    </w:p>
    <w:p>
      <w:pPr>
        <w:pStyle w:val="BookText"/>
      </w:pPr>
      <w:r>
        <w:rPr>
          <w:rFonts w:ascii="IRNazanin" w:hAnsi="IRNazanin" w:eastAsia="IRNazanin" w:cs="IRNazanin"/>
          <w:lang w:bidi="fa-IR"/>
          <w:color w:val="111111"/>
          <w:sz w:val="28"/>
          <w:szCs w:val="28"/>
          <w:rtl/>
        </w:rPr>
        <w:t xml:space="preserve">، محمّد بن احمد</w:t>
      </w:r>
    </w:p>
    <w:p>
      <w:pPr>
        <w:pStyle w:val="BookText"/>
      </w:pPr>
      <w:r>
        <w:rPr>
          <w:rFonts w:ascii="Amiri" w:hAnsi="Amiri" w:eastAsia="Amiri" w:cs="Amiri"/>
          <w:lang w:bidi="ar-SA"/>
          <w:color w:val="111111"/>
          <w:sz w:val="28"/>
          <w:szCs w:val="28"/>
          <w:rtl/>
        </w:rPr>
        <w:t xml:space="preserve">علوي فاطمي ، منصور بن عزيز -الحاكم بامر</w:t>
      </w:r>
    </w:p>
    <w:p>
      <w:pPr>
        <w:pStyle w:val="BookText"/>
      </w:pPr>
      <w:r>
        <w:rPr>
          <w:rFonts w:ascii="Amiri" w:hAnsi="Amiri" w:eastAsia="Amiri" w:cs="Amiri"/>
          <w:lang w:bidi="ar-SA"/>
          <w:color w:val="111111"/>
          <w:sz w:val="28"/>
          <w:szCs w:val="28"/>
          <w:rtl/>
        </w:rPr>
        <w:t xml:space="preserve">الله ، منصور بن عزيز</w:t>
      </w:r>
    </w:p>
    <w:p>
      <w:pPr>
        <w:pStyle w:val="BookText"/>
      </w:pPr>
      <w:r>
        <w:rPr>
          <w:rFonts w:ascii="Amiri" w:hAnsi="Amiri" w:eastAsia="Amiri" w:cs="Amiri"/>
          <w:lang w:bidi="ar-SA"/>
          <w:color w:val="111111"/>
          <w:sz w:val="28"/>
          <w:szCs w:val="28"/>
          <w:rtl/>
        </w:rPr>
        <w:t xml:space="preserve">فاطمي بروجردي ، حسين بن رضا -بروجردي ، حسين بن محمّد رضا</w:t>
      </w:r>
    </w:p>
    <w:p>
      <w:pPr>
        <w:pStyle w:val="BookText"/>
      </w:pPr>
      <w:r>
        <w:rPr>
          <w:rFonts w:ascii="Amiri" w:hAnsi="Amiri" w:eastAsia="Amiri" w:cs="Amiri"/>
          <w:lang w:bidi="ar-SA"/>
          <w:color w:val="111111"/>
          <w:sz w:val="28"/>
          <w:szCs w:val="28"/>
          <w:rtl/>
        </w:rPr>
        <w:t xml:space="preserve">فاطمي علوي ، علي بن محمّد- اخباري ،</w:t>
      </w:r>
    </w:p>
    <w:p>
      <w:pPr>
        <w:pStyle w:val="BookText"/>
      </w:pPr>
      <w:r>
        <w:rPr>
          <w:rFonts w:ascii="Amiri" w:hAnsi="Amiri" w:eastAsia="Amiri" w:cs="Amiri"/>
          <w:lang w:bidi="ar-SA"/>
          <w:color w:val="111111"/>
          <w:sz w:val="28"/>
          <w:szCs w:val="28"/>
          <w:rtl/>
        </w:rPr>
        <w:t xml:space="preserve">علي بن محمّد</w:t>
      </w:r>
    </w:p>
    <w:p>
      <w:pPr>
        <w:pStyle w:val="BookText"/>
      </w:pPr>
      <w:r>
        <w:rPr>
          <w:rFonts w:ascii="Amiri" w:hAnsi="Amiri" w:eastAsia="Amiri" w:cs="Amiri"/>
          <w:lang w:bidi="ar-SA"/>
          <w:color w:val="111111"/>
          <w:sz w:val="28"/>
          <w:szCs w:val="28"/>
          <w:rtl/>
        </w:rPr>
        <w:t xml:space="preserve">فاكهاني ، علي بن محمّد- فاكهي ، علي بن</w:t>
      </w:r>
    </w:p>
    <w:p>
      <w:pPr>
        <w:pStyle w:val="BookText"/>
      </w:pPr>
      <w:r>
        <w:rPr>
          <w:rFonts w:ascii="Amiri" w:hAnsi="Amiri" w:eastAsia="Amiri" w:cs="Amiri"/>
          <w:lang w:bidi="ar-SA"/>
          <w:color w:val="111111"/>
          <w:sz w:val="28"/>
          <w:szCs w:val="28"/>
          <w:rtl/>
        </w:rPr>
        <w:t xml:space="preserve">محمّد</w:t>
      </w:r>
    </w:p>
    <w:p>
      <w:pPr>
        <w:pStyle w:val="Heading2"/>
      </w:pPr>
      <w:bookmarkStart w:id="6307" w:name="_Toc5409"/>
      <w:r>
        <w:t>فاكهي ، عبد القادر بن احمد 920-989ه-</w:t>
      </w:r>
      <w:bookmarkEnd w:id="6307"/>
    </w:p>
    <w:p>
      <w:pPr>
        <w:pStyle w:val="BookText"/>
      </w:pPr>
      <w:r>
        <w:rPr>
          <w:rFonts w:ascii="Amiri" w:hAnsi="Amiri" w:eastAsia="Amiri" w:cs="Amiri"/>
          <w:lang w:bidi="ar-SA"/>
          <w:color w:val="111111"/>
          <w:sz w:val="28"/>
          <w:szCs w:val="28"/>
          <w:rtl/>
        </w:rPr>
        <w:t xml:space="preserve">1 .مناهج الاخلاق السنية في مباهج</w:t>
      </w:r>
    </w:p>
    <w:p>
      <w:pPr>
        <w:pStyle w:val="BookText"/>
      </w:pPr>
      <w:r>
        <w:rPr>
          <w:rFonts w:ascii="Amiri" w:hAnsi="Amiri" w:eastAsia="Amiri" w:cs="Amiri"/>
          <w:lang w:bidi="ar-SA"/>
          <w:color w:val="111111"/>
          <w:sz w:val="28"/>
          <w:szCs w:val="28"/>
          <w:rtl/>
        </w:rPr>
        <w:t xml:space="preserve">الاخلاق السنية، ج 15 ، ص 563.</w:t>
      </w:r>
    </w:p>
    <w:p>
      <w:pPr>
        <w:pStyle w:val="BookText"/>
      </w:pPr>
      <w:r>
        <w:rPr>
          <w:rFonts w:ascii="Amiri" w:hAnsi="Amiri" w:eastAsia="Amiri" w:cs="Amiri"/>
          <w:lang w:bidi="ar-SA"/>
          <w:color w:val="111111"/>
          <w:sz w:val="28"/>
          <w:szCs w:val="28"/>
          <w:rtl/>
        </w:rPr>
        <w:t xml:space="preserve">2.مناهج السرور والرشاد في الرمي و</w:t>
      </w:r>
    </w:p>
    <w:p>
      <w:pPr>
        <w:pStyle w:val="BookText"/>
      </w:pPr>
      <w:r>
        <w:rPr>
          <w:rFonts w:ascii="Amiri" w:hAnsi="Amiri" w:eastAsia="Amiri" w:cs="Amiri"/>
          <w:lang w:bidi="ar-SA"/>
          <w:color w:val="111111"/>
          <w:sz w:val="28"/>
          <w:szCs w:val="28"/>
          <w:rtl/>
        </w:rPr>
        <w:t xml:space="preserve">السباق والصيد و الجهاد، ج 15 ، ص 567 .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40" w:name="pg7742_70952"/>
    <w:bookmarkEnd w:id="840"/>
    <w:p>
      <w:pPr>
        <w:pStyle w:val="Heading2"/>
      </w:pPr>
      <w:bookmarkStart w:id="6308" w:name="_Toc5410"/>
      <w:r>
        <w:t>فاكهي ، عبدالله بن احمد، 899 - 972 ه-</w:t>
      </w:r>
      <w:bookmarkEnd w:id="63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حدود النحو، ج6، ص 551.</w:t>
      </w:r>
    </w:p>
    <w:p>
      <w:pPr>
        <w:pStyle w:val="BookText"/>
      </w:pPr>
      <w:r>
        <w:rPr>
          <w:rFonts w:ascii="IRNazanin" w:hAnsi="IRNazanin" w:eastAsia="IRNazanin" w:cs="IRNazanin"/>
          <w:lang w:bidi="fa-IR"/>
          <w:color w:val="111111"/>
          <w:sz w:val="28"/>
          <w:szCs w:val="28"/>
          <w:rtl/>
        </w:rPr>
        <w:t xml:space="preserve">2 .شرح حدود النحو، ج9، ص379.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الفواكه الجنية على متممة الآجرومية، ج 12، ص298.</w:t>
      </w:r>
    </w:p>
    <w:p>
      <w:pPr>
        <w:pStyle w:val="BookText"/>
      </w:pPr>
      <w:r>
        <w:rPr>
          <w:rFonts w:ascii="Amiri" w:hAnsi="Amiri" w:eastAsia="Amiri" w:cs="Amiri"/>
          <w:lang w:bidi="ar-SA"/>
          <w:color w:val="111111"/>
          <w:sz w:val="28"/>
          <w:szCs w:val="28"/>
          <w:rtl/>
        </w:rPr>
        <w:t xml:space="preserve">4 .كشف النقاب عن مخدرات ملحة</w:t>
      </w:r>
    </w:p>
    <w:p>
      <w:pPr>
        <w:pStyle w:val="BookText"/>
      </w:pPr>
      <w:r>
        <w:rPr>
          <w:rFonts w:ascii="IRNazanin" w:hAnsi="IRNazanin" w:eastAsia="IRNazanin" w:cs="IRNazanin"/>
          <w:lang w:bidi="fa-IR"/>
          <w:color w:val="111111"/>
          <w:sz w:val="28"/>
          <w:szCs w:val="28"/>
          <w:rtl/>
        </w:rPr>
        <w:t xml:space="preserve">الاعراب، ج13، ص 271</w:t>
      </w:r>
    </w:p>
    <w:p>
      <w:pPr>
        <w:pStyle w:val="BookText"/>
      </w:pPr>
      <w:r>
        <w:rPr>
          <w:rFonts w:ascii="Amiri" w:hAnsi="Amiri" w:eastAsia="Amiri" w:cs="Amiri"/>
          <w:lang w:bidi="ar-SA"/>
          <w:color w:val="111111"/>
          <w:sz w:val="28"/>
          <w:szCs w:val="28"/>
          <w:rtl/>
        </w:rPr>
        <w:t xml:space="preserve">5 .مجيب الندا إلى شرح قطر الندى و بل الصدى = شرح الفاكهي، ج 14،</w:t>
      </w:r>
    </w:p>
    <w:p>
      <w:pPr>
        <w:pStyle w:val="BookText"/>
      </w:pPr>
      <w:r>
        <w:rPr>
          <w:rFonts w:ascii="IRNazanin" w:hAnsi="IRNazanin" w:eastAsia="IRNazanin" w:cs="IRNazanin"/>
          <w:lang w:bidi="fa-IR"/>
          <w:color w:val="111111"/>
          <w:sz w:val="28"/>
          <w:szCs w:val="28"/>
          <w:rtl/>
        </w:rPr>
        <w:t xml:space="preserve">ص79.</w:t>
      </w:r>
    </w:p>
    <w:p>
      <w:pPr>
        <w:pStyle w:val="BookText"/>
      </w:pPr>
      <w:r>
        <w:rPr>
          <w:rFonts w:ascii="Amiri" w:hAnsi="Amiri" w:eastAsia="Amiri" w:cs="Amiri"/>
          <w:lang w:bidi="ar-SA"/>
          <w:color w:val="111111"/>
          <w:sz w:val="28"/>
          <w:szCs w:val="28"/>
          <w:rtl/>
        </w:rPr>
        <w:t xml:space="preserve">6 .نقولات في النحو، ج16، ص 438 .</w:t>
      </w:r>
    </w:p>
    <w:p>
      <w:pPr>
        <w:pStyle w:val="Heading2"/>
      </w:pPr>
      <w:bookmarkStart w:id="6309" w:name="_Toc5411"/>
      <w:r>
        <w:t>فاكهي ، علي بن محمّد، قرن 9 ه-</w:t>
      </w:r>
      <w:bookmarkEnd w:id="63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احکام «ما» و معانيها (منظومة</w:t>
      </w:r>
    </w:p>
    <w:p>
      <w:pPr>
        <w:pStyle w:val="BookText"/>
      </w:pPr>
      <w:r>
        <w:rPr>
          <w:rFonts w:ascii="Amiri" w:hAnsi="Amiri" w:eastAsia="Amiri" w:cs="Amiri"/>
          <w:lang w:bidi="ar-SA"/>
          <w:color w:val="111111"/>
          <w:sz w:val="28"/>
          <w:szCs w:val="28"/>
          <w:rtl/>
        </w:rPr>
        <w:t xml:space="preserve">في)، ج 1، ص 483.</w:t>
      </w:r>
    </w:p>
    <w:p>
      <w:pPr>
        <w:pStyle w:val="BookText"/>
      </w:pPr>
      <w:r>
        <w:rPr>
          <w:rFonts w:ascii="Amiri" w:hAnsi="Amiri" w:eastAsia="Amiri" w:cs="Amiri"/>
          <w:lang w:bidi="ar-SA"/>
          <w:color w:val="111111"/>
          <w:sz w:val="28"/>
          <w:szCs w:val="28"/>
          <w:rtl/>
        </w:rPr>
        <w:t xml:space="preserve">2 .التحفة المكية في شرح الآجرومية</w:t>
      </w:r>
    </w:p>
    <w:p>
      <w:pPr>
        <w:pStyle w:val="BookText"/>
      </w:pPr>
      <w:r>
        <w:rPr>
          <w:rFonts w:ascii="IRNazanin" w:hAnsi="IRNazanin" w:eastAsia="IRNazanin" w:cs="IRNazanin"/>
          <w:lang w:bidi="fa-IR"/>
          <w:color w:val="111111"/>
          <w:sz w:val="28"/>
          <w:szCs w:val="28"/>
          <w:rtl/>
        </w:rPr>
        <w:t xml:space="preserve">ج 4، ص 26.</w:t>
      </w:r>
    </w:p>
    <w:p>
      <w:pPr>
        <w:pStyle w:val="Heading2"/>
      </w:pPr>
      <w:bookmarkStart w:id="6310" w:name="_Toc5412"/>
      <w:r>
        <w:t>فالي ، اسعد بن نصر، - 624 ه-</w:t>
      </w:r>
      <w:bookmarkEnd w:id="6310"/>
    </w:p>
    <w:p>
      <w:pPr>
        <w:pStyle w:val="BookText"/>
      </w:pPr>
      <w:r>
        <w:rPr>
          <w:rFonts w:ascii="Amiri" w:hAnsi="Amiri" w:eastAsia="Amiri" w:cs="Amiri"/>
          <w:lang w:bidi="ar-SA"/>
          <w:color w:val="111111"/>
          <w:sz w:val="28"/>
          <w:szCs w:val="28"/>
          <w:rtl/>
        </w:rPr>
        <w:t xml:space="preserve">القصيدة الاشكنوانية العميدية = القصيدة الحبسية، ج 12، ص 650.</w:t>
      </w:r>
    </w:p>
    <w:p>
      <w:pPr>
        <w:pStyle w:val="BookText"/>
      </w:pPr>
      <w:r>
        <w:rPr>
          <w:rFonts w:ascii="Amiri" w:hAnsi="Amiri" w:eastAsia="Amiri" w:cs="Amiri"/>
          <w:lang w:bidi="ar-SA"/>
          <w:color w:val="111111"/>
          <w:sz w:val="28"/>
          <w:szCs w:val="28"/>
          <w:rtl/>
        </w:rPr>
        <w:t xml:space="preserve">فالي ، قطب الدين محمّد -سيرافي فالي</w:t>
      </w:r>
    </w:p>
    <w:p>
      <w:pPr>
        <w:pStyle w:val="BookText"/>
      </w:pPr>
      <w:r>
        <w:rPr>
          <w:rFonts w:ascii="IRNazanin" w:hAnsi="IRNazanin" w:eastAsia="IRNazanin" w:cs="IRNazanin"/>
          <w:lang w:bidi="fa-IR"/>
          <w:color w:val="111111"/>
          <w:sz w:val="28"/>
          <w:szCs w:val="28"/>
          <w:rtl/>
        </w:rPr>
        <w:t xml:space="preserve">محمّد بن مسعود</w:t>
      </w:r>
    </w:p>
    <w:p>
      <w:pPr>
        <w:pStyle w:val="BookText"/>
      </w:pPr>
      <w:r>
        <w:rPr>
          <w:rFonts w:ascii="Amiri" w:hAnsi="Amiri" w:eastAsia="Amiri" w:cs="Amiri"/>
          <w:lang w:bidi="ar-SA"/>
          <w:color w:val="111111"/>
          <w:sz w:val="28"/>
          <w:szCs w:val="28"/>
          <w:rtl/>
        </w:rPr>
        <w:t xml:space="preserve">فاني زنوزي ، محمّد حسن بن عبد الرسول - زنوزي ، محمّد حسن بن عبدالرسول</w:t>
      </w:r>
    </w:p>
    <w:p>
      <w:pPr>
        <w:pStyle w:val="Heading2"/>
      </w:pPr>
      <w:bookmarkStart w:id="6311" w:name="_Toc5413"/>
      <w:r>
        <w:t>فاني شيرازي دهدار ، محمّد بن محمود</w:t>
      </w:r>
      <w:bookmarkEnd w:id="6311"/>
    </w:p>
    <w:p>
      <w:pPr>
        <w:pStyle w:val="BookText"/>
      </w:pPr>
      <w:r>
        <w:rPr>
          <w:rFonts w:ascii="IRNazanin" w:hAnsi="IRNazanin" w:eastAsia="IRNazanin" w:cs="IRNazanin"/>
          <w:lang w:bidi="fa-IR"/>
          <w:color w:val="111111"/>
          <w:sz w:val="28"/>
          <w:szCs w:val="28"/>
          <w:rtl/>
        </w:rPr>
        <w:t xml:space="preserve">947 - 1016ه-</w:t>
      </w:r>
    </w:p>
    <w:p>
      <w:pPr>
        <w:pStyle w:val="BookText"/>
      </w:pPr>
      <w:r>
        <w:rPr>
          <w:rFonts w:ascii="Amiri" w:hAnsi="Amiri" w:eastAsia="Amiri" w:cs="Amiri"/>
          <w:lang w:bidi="ar-SA"/>
          <w:color w:val="111111"/>
          <w:sz w:val="28"/>
          <w:szCs w:val="28"/>
          <w:rtl/>
        </w:rPr>
        <w:t xml:space="preserve">1 .اشراق النيرين، ج2، ص281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الف انسانیت، ج 2، ص 680.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توحيد = اثبات واجب، جه،</w:t>
      </w:r>
    </w:p>
    <w:p>
      <w:pPr>
        <w:pStyle w:val="BookText"/>
      </w:pPr>
      <w:r>
        <w:rPr>
          <w:rFonts w:ascii="IRNazanin" w:hAnsi="IRNazanin" w:eastAsia="IRNazanin" w:cs="IRNazanin"/>
          <w:lang w:bidi="fa-IR"/>
          <w:color w:val="111111"/>
          <w:sz w:val="28"/>
          <w:szCs w:val="28"/>
          <w:rtl/>
        </w:rPr>
        <w:t xml:space="preserve">ص 152.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خلاصة الترجمان في تأويل خطبة البيان = شرح خطبة البيان، ج 7،</w:t>
      </w:r>
    </w:p>
    <w:p>
      <w:pPr>
        <w:pStyle w:val="BookText"/>
      </w:pPr>
      <w:r>
        <w:rPr>
          <w:rFonts w:ascii="IRNazanin" w:hAnsi="IRNazanin" w:eastAsia="IRNazanin" w:cs="IRNazanin"/>
          <w:lang w:bidi="fa-IR"/>
          <w:color w:val="111111"/>
          <w:sz w:val="28"/>
          <w:szCs w:val="28"/>
          <w:rtl/>
        </w:rPr>
        <w:t xml:space="preserve">ص 86.</w:t>
      </w:r>
    </w:p>
    <w:p>
      <w:pPr>
        <w:pStyle w:val="BookText"/>
      </w:pPr>
      <w:r>
        <w:rPr>
          <w:rFonts w:ascii="IRNazanin" w:hAnsi="IRNazanin" w:eastAsia="IRNazanin" w:cs="IRNazanin"/>
          <w:lang w:bidi="fa-IR"/>
          <w:color w:val="111111"/>
          <w:sz w:val="28"/>
          <w:szCs w:val="28"/>
          <w:rtl/>
        </w:rPr>
        <w:t xml:space="preserve">5 .رسائل دهدار ج8، ص139</w:t>
      </w:r>
    </w:p>
    <w:p>
      <w:pPr>
        <w:pStyle w:val="BookText"/>
      </w:pPr>
      <w:r>
        <w:rPr>
          <w:rFonts w:ascii="Amiri" w:hAnsi="Amiri" w:eastAsia="Amiri" w:cs="Amiri"/>
          <w:lang w:bidi="ar-SA"/>
          <w:color w:val="111111"/>
          <w:sz w:val="28"/>
          <w:szCs w:val="28"/>
          <w:rtl/>
        </w:rPr>
        <w:t xml:space="preserve">6 .روح محمّدي (ص) = رساله عرفاني نسبت شخصي عنصري محمدي</w:t>
      </w:r>
    </w:p>
    <w:p>
      <w:pPr>
        <w:pStyle w:val="BookText"/>
      </w:pPr>
      <w:r>
        <w:rPr>
          <w:rFonts w:ascii="IRNazanin" w:hAnsi="IRNazanin" w:eastAsia="IRNazanin" w:cs="IRNazanin"/>
          <w:lang w:bidi="fa-IR"/>
          <w:color w:val="111111"/>
          <w:sz w:val="28"/>
          <w:szCs w:val="28"/>
          <w:rtl/>
        </w:rPr>
        <w:t xml:space="preserve">ج8، ص383.</w:t>
      </w:r>
    </w:p>
    <w:p>
      <w:pPr>
        <w:pStyle w:val="BookText"/>
      </w:pPr>
      <w:r>
        <w:rPr>
          <w:rFonts w:ascii="IRNazanin" w:hAnsi="IRNazanin" w:eastAsia="IRNazanin" w:cs="IRNazanin"/>
          <w:lang w:bidi="fa-IR"/>
          <w:color w:val="111111"/>
          <w:sz w:val="28"/>
          <w:szCs w:val="28"/>
          <w:rtl/>
        </w:rPr>
        <w:t xml:space="preserve">7 .عشره كامله ملکات انساني، ج 11،</w:t>
      </w:r>
    </w:p>
    <w:p>
      <w:pPr>
        <w:pStyle w:val="BookText"/>
      </w:pPr>
      <w:r>
        <w:rPr>
          <w:rFonts w:ascii="IRNazanin" w:hAnsi="IRNazanin" w:eastAsia="IRNazanin" w:cs="IRNazanin"/>
          <w:lang w:bidi="fa-IR"/>
          <w:color w:val="111111"/>
          <w:sz w:val="28"/>
          <w:szCs w:val="28"/>
          <w:rtl/>
        </w:rPr>
        <w:t xml:space="preserve">ص 118.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قواعد علم الجفر و الحروف، ج12،</w:t>
      </w:r>
    </w:p>
    <w:p>
      <w:pPr>
        <w:pStyle w:val="BookText"/>
      </w:pPr>
      <w:r>
        <w:rPr>
          <w:rFonts w:ascii="IRNazanin" w:hAnsi="IRNazanin" w:eastAsia="IRNazanin" w:cs="IRNazanin"/>
          <w:lang w:bidi="fa-IR"/>
          <w:color w:val="111111"/>
          <w:sz w:val="28"/>
          <w:szCs w:val="28"/>
          <w:rtl/>
        </w:rPr>
        <w:t xml:space="preserve">ص 798.</w:t>
      </w:r>
    </w:p>
    <w:p>
      <w:pPr>
        <w:pStyle w:val="BookText"/>
      </w:pPr>
      <w:r>
        <w:rPr>
          <w:rFonts w:ascii="Amiri" w:hAnsi="Amiri" w:eastAsia="Amiri" w:cs="Amiri"/>
          <w:lang w:bidi="ar-SA"/>
          <w:color w:val="111111"/>
          <w:sz w:val="28"/>
          <w:szCs w:val="28"/>
          <w:rtl/>
        </w:rPr>
        <w:t xml:space="preserve">9 .كواكب الثواقب، ج13، ص 449.</w:t>
      </w:r>
    </w:p>
    <w:p>
      <w:pPr>
        <w:pStyle w:val="BookText"/>
      </w:pPr>
      <w:r>
        <w:rPr>
          <w:rFonts w:ascii="IRNazanin" w:hAnsi="IRNazanin" w:eastAsia="IRNazanin" w:cs="IRNazanin"/>
          <w:lang w:bidi="fa-IR"/>
          <w:color w:val="111111"/>
          <w:sz w:val="28"/>
          <w:szCs w:val="28"/>
          <w:rtl/>
        </w:rPr>
        <w:t xml:space="preserve">10 .نقطه = دهداریه، ج 16، ص 425.</w:t>
      </w:r>
    </w:p>
    <w:p>
      <w:pPr>
        <w:pStyle w:val="Heading2"/>
      </w:pPr>
      <w:bookmarkStart w:id="6312" w:name="_Toc5414"/>
      <w:r>
        <w:t>فاني ،كشميري محسن بن حسن - 1081ه-</w:t>
      </w:r>
      <w:bookmarkEnd w:id="6312"/>
    </w:p>
    <w:p>
      <w:pPr>
        <w:pStyle w:val="BookText"/>
      </w:pPr>
      <w:r>
        <w:rPr>
          <w:rFonts w:ascii="Amiri" w:hAnsi="Amiri" w:eastAsia="Amiri" w:cs="Amiri"/>
          <w:lang w:bidi="ar-SA"/>
          <w:color w:val="111111"/>
          <w:sz w:val="28"/>
          <w:szCs w:val="28"/>
          <w:rtl/>
        </w:rPr>
        <w:t xml:space="preserve">1 .حاشية شرح العقائد العضدية، ج6،</w:t>
      </w:r>
    </w:p>
    <w:p>
      <w:pPr>
        <w:pStyle w:val="BookText"/>
      </w:pPr>
      <w:r>
        <w:rPr>
          <w:rFonts w:ascii="IRNazanin" w:hAnsi="IRNazanin" w:eastAsia="IRNazanin" w:cs="IRNazanin"/>
          <w:lang w:bidi="fa-IR"/>
          <w:color w:val="111111"/>
          <w:sz w:val="28"/>
          <w:szCs w:val="28"/>
          <w:rtl/>
        </w:rPr>
        <w:t xml:space="preserve">ص 135.</w:t>
      </w:r>
    </w:p>
    <w:p>
      <w:pPr>
        <w:pStyle w:val="BookText"/>
      </w:pPr>
      <w:r>
        <w:rPr>
          <w:rFonts w:ascii="IRNazanin" w:hAnsi="IRNazanin" w:eastAsia="IRNazanin" w:cs="IRNazanin"/>
          <w:lang w:bidi="fa-IR"/>
          <w:color w:val="111111"/>
          <w:sz w:val="28"/>
          <w:szCs w:val="28"/>
          <w:rtl/>
        </w:rPr>
        <w:t xml:space="preserve">2 .دبستان المذاهب، ج 7، ص213.</w:t>
      </w:r>
    </w:p>
    <w:p>
      <w:pPr>
        <w:pStyle w:val="BookText"/>
      </w:pPr>
      <w:r>
        <w:rPr>
          <w:rFonts w:ascii="Amiri" w:hAnsi="Amiri" w:eastAsia="Amiri" w:cs="Amiri"/>
          <w:lang w:bidi="ar-SA"/>
          <w:color w:val="111111"/>
          <w:sz w:val="28"/>
          <w:szCs w:val="28"/>
          <w:rtl/>
        </w:rPr>
        <w:t xml:space="preserve">فاني ، محمّد حسن بن عبد الرسول - زنوزي</w:t>
      </w:r>
    </w:p>
    <w:p>
      <w:pPr>
        <w:pStyle w:val="BookText"/>
      </w:pPr>
      <w:r>
        <w:rPr>
          <w:rFonts w:ascii="IRNazanin" w:hAnsi="IRNazanin" w:eastAsia="IRNazanin" w:cs="IRNazanin"/>
          <w:lang w:bidi="fa-IR"/>
          <w:color w:val="111111"/>
          <w:sz w:val="28"/>
          <w:szCs w:val="28"/>
          <w:rtl/>
        </w:rPr>
        <w:t xml:space="preserve">، محمّد حسن بن عبدالرسول</w:t>
      </w:r>
    </w:p>
    <w:p>
      <w:pPr>
        <w:pStyle w:val="BookText"/>
      </w:pPr>
      <w:r>
        <w:rPr>
          <w:rFonts w:ascii="Amiri" w:hAnsi="Amiri" w:eastAsia="Amiri" w:cs="Amiri"/>
          <w:lang w:bidi="ar-SA"/>
          <w:color w:val="111111"/>
          <w:sz w:val="28"/>
          <w:szCs w:val="28"/>
          <w:rtl/>
        </w:rPr>
        <w:t xml:space="preserve">فاني هروي- امير عليشير نوائي ، عليشير بن</w:t>
      </w:r>
    </w:p>
    <w:p>
      <w:pPr>
        <w:pStyle w:val="BookText"/>
      </w:pPr>
      <w:r>
        <w:rPr>
          <w:rFonts w:ascii="IRNazanin" w:hAnsi="IRNazanin" w:eastAsia="IRNazanin" w:cs="IRNazanin"/>
          <w:lang w:bidi="fa-IR"/>
          <w:color w:val="111111"/>
          <w:sz w:val="28"/>
          <w:szCs w:val="28"/>
          <w:rtl/>
        </w:rPr>
        <w:t xml:space="preserve">کیچکنه</w:t>
      </w:r>
    </w:p>
    <w:p>
      <w:pPr>
        <w:pStyle w:val="Heading2"/>
      </w:pPr>
      <w:bookmarkStart w:id="6313" w:name="_Toc5415"/>
      <w:r>
        <w:t>فاوجي ، محمود بن عبد المجيد</w:t>
      </w:r>
      <w:bookmarkEnd w:id="6313"/>
    </w:p>
    <w:p>
      <w:pPr>
        <w:pStyle w:val="BookText"/>
      </w:pPr>
      <w:r>
        <w:rPr>
          <w:rFonts w:ascii="Amiri" w:hAnsi="Amiri" w:eastAsia="Amiri" w:cs="Amiri"/>
          <w:lang w:bidi="ar-SA"/>
          <w:color w:val="111111"/>
          <w:sz w:val="28"/>
          <w:szCs w:val="28"/>
          <w:rtl/>
        </w:rPr>
        <w:t xml:space="preserve">تحفة المحتاج لشرح المنهاج (منتخب)</w:t>
      </w:r>
    </w:p>
    <w:p>
      <w:pPr>
        <w:pStyle w:val="BookText"/>
      </w:pPr>
      <w:r>
        <w:rPr>
          <w:rFonts w:ascii="IRNazanin" w:hAnsi="IRNazanin" w:eastAsia="IRNazanin" w:cs="IRNazanin"/>
          <w:lang w:bidi="fa-IR"/>
          <w:color w:val="111111"/>
          <w:sz w:val="28"/>
          <w:szCs w:val="28"/>
          <w:rtl/>
        </w:rPr>
        <w:t xml:space="preserve">ج 4، ص 21.</w:t>
      </w:r>
    </w:p>
    <w:p>
      <w:pPr>
        <w:pStyle w:val="BookText"/>
      </w:pPr>
      <w:r>
        <w:rPr>
          <w:rFonts w:ascii="Amiri" w:hAnsi="Amiri" w:eastAsia="Amiri" w:cs="Amiri"/>
          <w:lang w:bidi="ar-SA"/>
          <w:color w:val="111111"/>
          <w:sz w:val="28"/>
          <w:szCs w:val="28"/>
          <w:rtl/>
        </w:rPr>
        <w:t xml:space="preserve">فتاحي نيشابوري ، محمّد يحيى بن</w:t>
      </w:r>
    </w:p>
    <w:p>
      <w:pPr>
        <w:pStyle w:val="BookText"/>
      </w:pPr>
      <w:r>
        <w:rPr>
          <w:rFonts w:ascii="Amiri" w:hAnsi="Amiri" w:eastAsia="Amiri" w:cs="Amiri"/>
          <w:lang w:bidi="ar-SA"/>
          <w:color w:val="111111"/>
          <w:sz w:val="28"/>
          <w:szCs w:val="28"/>
          <w:rtl/>
        </w:rPr>
        <w:t xml:space="preserve">سيبك -نيشابوري ، يحيى سيبك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41" w:name="pg7742_70954"/>
    <w:bookmarkEnd w:id="841"/>
    <w:p>
      <w:pPr>
        <w:pStyle w:val="Heading2"/>
      </w:pPr>
      <w:bookmarkStart w:id="6314" w:name="_Toc5416"/>
      <w:r>
        <w:t>فتال ، خليل بن محمّد 1117 - 1184 ه-</w:t>
      </w:r>
      <w:bookmarkEnd w:id="6314"/>
    </w:p>
    <w:p>
      <w:pPr>
        <w:pStyle w:val="BookText"/>
      </w:pPr>
      <w:r>
        <w:rPr>
          <w:rFonts w:ascii="IRNazanin" w:hAnsi="IRNazanin" w:eastAsia="IRNazanin" w:cs="IRNazanin"/>
          <w:lang w:bidi="fa-IR"/>
          <w:color w:val="111111"/>
          <w:sz w:val="28"/>
          <w:szCs w:val="28"/>
          <w:rtl/>
        </w:rPr>
        <w:t xml:space="preserve">دلائل الاسرار على الدر المختار ج 7،</w:t>
      </w:r>
    </w:p>
    <w:p>
      <w:pPr>
        <w:pStyle w:val="BookText"/>
      </w:pPr>
      <w:r>
        <w:rPr>
          <w:rFonts w:ascii="IRNazanin" w:hAnsi="IRNazanin" w:eastAsia="IRNazanin" w:cs="IRNazanin"/>
          <w:lang w:bidi="fa-IR"/>
          <w:color w:val="111111"/>
          <w:sz w:val="28"/>
          <w:szCs w:val="28"/>
          <w:rtl/>
        </w:rPr>
        <w:t xml:space="preserve">ص 445.</w:t>
      </w:r>
    </w:p>
    <w:p>
      <w:pPr>
        <w:pStyle w:val="Heading2"/>
      </w:pPr>
      <w:bookmarkStart w:id="6315" w:name="_Toc5417"/>
      <w:r>
        <w:t>فتال دمشقي، ابراهيم بن منصور</w:t>
      </w:r>
      <w:bookmarkEnd w:id="6315"/>
    </w:p>
    <w:p>
      <w:pPr>
        <w:pStyle w:val="BookText"/>
      </w:pPr>
      <w:r>
        <w:rPr>
          <w:rFonts w:ascii="IRNazanin" w:hAnsi="IRNazanin" w:eastAsia="IRNazanin" w:cs="IRNazanin"/>
          <w:lang w:bidi="fa-IR"/>
          <w:color w:val="111111"/>
          <w:sz w:val="28"/>
          <w:szCs w:val="28"/>
          <w:rtl/>
        </w:rPr>
        <w:t xml:space="preserve">1098 ه-</w:t>
      </w:r>
    </w:p>
    <w:p>
      <w:pPr>
        <w:pStyle w:val="BookText"/>
      </w:pPr>
      <w:r>
        <w:rPr>
          <w:rFonts w:ascii="Amiri" w:hAnsi="Amiri" w:eastAsia="Amiri" w:cs="Amiri"/>
          <w:lang w:bidi="ar-SA"/>
          <w:color w:val="111111"/>
          <w:sz w:val="28"/>
          <w:szCs w:val="28"/>
          <w:rtl/>
        </w:rPr>
        <w:t xml:space="preserve">حاشية مجيب الندا إلى شرح قطر الندى، ج 6، ص 350.</w:t>
      </w:r>
    </w:p>
    <w:p>
      <w:pPr>
        <w:pStyle w:val="Heading2"/>
      </w:pPr>
      <w:bookmarkStart w:id="6316" w:name="_Toc5418"/>
      <w:r>
        <w:t>فتال ، عبد القادر بن محمّد قرن 12 ه-</w:t>
      </w:r>
      <w:bookmarkEnd w:id="6316"/>
    </w:p>
    <w:p>
      <w:pPr>
        <w:pStyle w:val="BookText"/>
      </w:pPr>
      <w:r>
        <w:rPr>
          <w:rFonts w:ascii="Amiri" w:hAnsi="Amiri" w:eastAsia="Amiri" w:cs="Amiri"/>
          <w:lang w:bidi="ar-SA"/>
          <w:color w:val="111111"/>
          <w:sz w:val="28"/>
          <w:szCs w:val="28"/>
          <w:rtl/>
        </w:rPr>
        <w:t xml:space="preserve">الكشكول، ج13، ص 286.</w:t>
      </w:r>
    </w:p>
    <w:p>
      <w:pPr>
        <w:pStyle w:val="Heading2"/>
      </w:pPr>
      <w:bookmarkStart w:id="6317" w:name="_Toc5419"/>
      <w:r>
        <w:t>فتال نیشابوري، محمّد بن حسن -508ه-</w:t>
      </w:r>
      <w:bookmarkEnd w:id="6317"/>
    </w:p>
    <w:p>
      <w:pPr>
        <w:pStyle w:val="BookText"/>
      </w:pPr>
      <w:r>
        <w:rPr>
          <w:rFonts w:ascii="Amiri" w:hAnsi="Amiri" w:eastAsia="Amiri" w:cs="Amiri"/>
          <w:lang w:bidi="ar-SA"/>
          <w:color w:val="111111"/>
          <w:sz w:val="28"/>
          <w:szCs w:val="28"/>
          <w:rtl/>
        </w:rPr>
        <w:t xml:space="preserve">روضة الواعظين و تبصرة المتعظين</w:t>
      </w:r>
    </w:p>
    <w:p>
      <w:pPr>
        <w:pStyle w:val="BookText"/>
      </w:pPr>
      <w:r>
        <w:rPr>
          <w:rFonts w:ascii="IRNazanin" w:hAnsi="IRNazanin" w:eastAsia="IRNazanin" w:cs="IRNazanin"/>
          <w:lang w:bidi="fa-IR"/>
          <w:color w:val="111111"/>
          <w:sz w:val="28"/>
          <w:szCs w:val="28"/>
          <w:rtl/>
        </w:rPr>
        <w:t xml:space="preserve">ج 8 ص 456.</w:t>
      </w:r>
    </w:p>
    <w:p>
      <w:pPr>
        <w:pStyle w:val="BookText"/>
      </w:pPr>
      <w:r>
        <w:rPr>
          <w:rFonts w:ascii="IRNazanin" w:hAnsi="IRNazanin" w:eastAsia="IRNazanin" w:cs="IRNazanin"/>
          <w:lang w:bidi="fa-IR"/>
          <w:color w:val="111111"/>
          <w:sz w:val="28"/>
          <w:szCs w:val="28"/>
          <w:rtl/>
        </w:rPr>
        <w:t xml:space="preserve">فتح الله النحاس- نحاس ، فتح الله</w:t>
      </w:r>
    </w:p>
    <w:p>
      <w:pPr>
        <w:pStyle w:val="BookText"/>
      </w:pPr>
      <w:r>
        <w:rPr>
          <w:rFonts w:ascii="Amiri" w:hAnsi="Amiri" w:eastAsia="Amiri" w:cs="Amiri"/>
          <w:lang w:bidi="ar-SA"/>
          <w:color w:val="111111"/>
          <w:sz w:val="28"/>
          <w:szCs w:val="28"/>
          <w:rtl/>
        </w:rPr>
        <w:t xml:space="preserve">فتح الله بن احمد بن محمود سبزواري</w:t>
      </w:r>
    </w:p>
    <w:p>
      <w:pPr>
        <w:pStyle w:val="BookText"/>
      </w:pPr>
      <w:r>
        <w:rPr>
          <w:rFonts w:ascii="Amiri" w:hAnsi="Amiri" w:eastAsia="Amiri" w:cs="Amiri"/>
          <w:lang w:bidi="ar-SA"/>
          <w:color w:val="111111"/>
          <w:sz w:val="28"/>
          <w:szCs w:val="28"/>
          <w:rtl/>
        </w:rPr>
        <w:t xml:space="preserve">شيرازي -شهرستاني ، فتح الله بن احمد</w:t>
      </w:r>
    </w:p>
    <w:p>
      <w:pPr>
        <w:pStyle w:val="BookText"/>
      </w:pPr>
      <w:r>
        <w:rPr>
          <w:rFonts w:ascii="Amiri" w:hAnsi="Amiri" w:eastAsia="Amiri" w:cs="Amiri"/>
          <w:lang w:bidi="ar-SA"/>
          <w:color w:val="111111"/>
          <w:sz w:val="28"/>
          <w:szCs w:val="28"/>
          <w:rtl/>
        </w:rPr>
        <w:t xml:space="preserve">فتح الله بن حبيب الله حسيني -حسيني</w:t>
      </w:r>
    </w:p>
    <w:p>
      <w:pPr>
        <w:pStyle w:val="BookText"/>
      </w:pPr>
      <w:r>
        <w:rPr>
          <w:rFonts w:ascii="Amiri" w:hAnsi="Amiri" w:eastAsia="Amiri" w:cs="Amiri"/>
          <w:lang w:bidi="ar-SA"/>
          <w:color w:val="111111"/>
          <w:sz w:val="28"/>
          <w:szCs w:val="28"/>
          <w:rtl/>
        </w:rPr>
        <w:t xml:space="preserve">فتح الله بن حبيب الله</w:t>
      </w:r>
    </w:p>
    <w:p>
      <w:pPr>
        <w:pStyle w:val="BookText"/>
      </w:pPr>
      <w:r>
        <w:rPr>
          <w:rFonts w:ascii="Amiri" w:hAnsi="Amiri" w:eastAsia="Amiri" w:cs="Amiri"/>
          <w:lang w:bidi="ar-SA"/>
          <w:color w:val="111111"/>
          <w:sz w:val="28"/>
          <w:szCs w:val="28"/>
          <w:rtl/>
        </w:rPr>
        <w:t xml:space="preserve">فتح الله بن حسن بن ملارحيم شوشتري</w:t>
      </w:r>
    </w:p>
    <w:p>
      <w:pPr>
        <w:pStyle w:val="BookText"/>
      </w:pPr>
      <w:r>
        <w:rPr>
          <w:rFonts w:ascii="Amiri" w:hAnsi="Amiri" w:eastAsia="Amiri" w:cs="Amiri"/>
          <w:lang w:bidi="ar-SA"/>
          <w:color w:val="111111"/>
          <w:sz w:val="28"/>
          <w:szCs w:val="28"/>
          <w:rtl/>
        </w:rPr>
        <w:t xml:space="preserve">وفائي -وفائي شوشتري ، فتح الله بن حسن</w:t>
      </w:r>
    </w:p>
    <w:p>
      <w:pPr>
        <w:pStyle w:val="BookText"/>
      </w:pPr>
      <w:r>
        <w:rPr>
          <w:rFonts w:ascii="Amiri" w:hAnsi="Amiri" w:eastAsia="Amiri" w:cs="Amiri"/>
          <w:lang w:bidi="ar-SA"/>
          <w:color w:val="111111"/>
          <w:sz w:val="28"/>
          <w:szCs w:val="28"/>
          <w:rtl/>
        </w:rPr>
        <w:t xml:space="preserve">فتح الله بن شكر الله كاشاني -كاشاني ، فتح</w:t>
      </w:r>
    </w:p>
    <w:p>
      <w:pPr>
        <w:pStyle w:val="BookText"/>
      </w:pPr>
      <w:r>
        <w:rPr>
          <w:rFonts w:ascii="Amiri" w:hAnsi="Amiri" w:eastAsia="Amiri" w:cs="Amiri"/>
          <w:lang w:bidi="ar-SA"/>
          <w:color w:val="111111"/>
          <w:sz w:val="28"/>
          <w:szCs w:val="28"/>
          <w:rtl/>
        </w:rPr>
        <w:t xml:space="preserve">الله بن شكر الله</w:t>
      </w:r>
    </w:p>
    <w:p>
      <w:pPr>
        <w:pStyle w:val="BookText"/>
      </w:pPr>
      <w:r>
        <w:rPr>
          <w:rFonts w:ascii="Amiri" w:hAnsi="Amiri" w:eastAsia="Amiri" w:cs="Amiri"/>
          <w:lang w:bidi="ar-SA"/>
          <w:color w:val="111111"/>
          <w:sz w:val="28"/>
          <w:szCs w:val="28"/>
          <w:rtl/>
        </w:rPr>
        <w:t xml:space="preserve">فتح الله بن عبد القادر موصلي-موصلي ، محمّد فتح</w:t>
      </w:r>
    </w:p>
    <w:p>
      <w:pPr>
        <w:pStyle w:val="BookText"/>
      </w:pPr>
      <w:r>
        <w:rPr>
          <w:rFonts w:ascii="IRNazanin" w:hAnsi="IRNazanin" w:eastAsia="IRNazanin" w:cs="IRNazanin"/>
          <w:lang w:bidi="fa-IR"/>
          <w:color w:val="111111"/>
          <w:sz w:val="28"/>
          <w:szCs w:val="28"/>
          <w:rtl/>
        </w:rPr>
        <w:t xml:space="preserve">فتح الله بن عبد القادر</w:t>
      </w:r>
    </w:p>
    <w:p>
      <w:pPr>
        <w:pStyle w:val="BookText"/>
      </w:pPr>
      <w:r>
        <w:rPr>
          <w:rFonts w:ascii="Amiri" w:hAnsi="Amiri" w:eastAsia="Amiri" w:cs="Amiri"/>
          <w:lang w:bidi="ar-SA"/>
          <w:color w:val="111111"/>
          <w:sz w:val="28"/>
          <w:szCs w:val="28"/>
          <w:rtl/>
        </w:rPr>
        <w:t xml:space="preserve">فتح الله بن عبدالله حلبي مدني (ابن نحاس) -ابن نحاس ، فتح الله بن عبدالله</w:t>
      </w:r>
    </w:p>
    <w:p>
      <w:pPr>
        <w:pStyle w:val="BookText"/>
      </w:pPr>
      <w:r>
        <w:rPr>
          <w:rFonts w:ascii="Amiri" w:hAnsi="Amiri" w:eastAsia="Amiri" w:cs="Amiri"/>
          <w:lang w:bidi="ar-SA"/>
          <w:color w:val="111111"/>
          <w:sz w:val="28"/>
          <w:szCs w:val="28"/>
          <w:rtl/>
        </w:rPr>
        <w:t xml:space="preserve">فتح الله بن علوان كعبي دورقي قباني- كعبي ، فتح الله بن علوان</w:t>
      </w:r>
    </w:p>
    <w:p>
      <w:pPr>
        <w:pStyle w:val="BookText"/>
      </w:pPr>
      <w:r>
        <w:rPr>
          <w:rFonts w:ascii="Amiri" w:hAnsi="Amiri" w:eastAsia="Amiri" w:cs="Amiri"/>
          <w:lang w:bidi="ar-SA"/>
          <w:color w:val="111111"/>
          <w:sz w:val="28"/>
          <w:szCs w:val="28"/>
          <w:rtl/>
        </w:rPr>
        <w:t xml:space="preserve">فتح الله بن قطب الدين ديباجي -ديباجي</w:t>
      </w:r>
    </w:p>
    <w:p>
      <w:pPr>
        <w:pStyle w:val="BookText"/>
      </w:pPr>
      <w:r>
        <w:rPr>
          <w:rFonts w:ascii="IRNazanin" w:hAnsi="IRNazanin" w:eastAsia="IRNazanin" w:cs="IRNazanin"/>
          <w:lang w:bidi="fa-IR"/>
          <w:color w:val="111111"/>
          <w:sz w:val="28"/>
          <w:szCs w:val="28"/>
          <w:rtl/>
        </w:rPr>
        <w:t xml:space="preserve">، فتح الله بن محمّد</w:t>
      </w:r>
    </w:p>
    <w:p>
      <w:pPr>
        <w:pStyle w:val="BookText"/>
      </w:pPr>
      <w:r>
        <w:rPr>
          <w:rFonts w:ascii="IRNazanin" w:hAnsi="IRNazanin" w:eastAsia="IRNazanin" w:cs="IRNazanin"/>
          <w:lang w:bidi="fa-IR"/>
          <w:color w:val="111111"/>
          <w:sz w:val="28"/>
          <w:szCs w:val="28"/>
          <w:rtl/>
        </w:rPr>
        <w:t xml:space="preserve">فتح الله بن محمّد جواد اصفهاني -شریعت</w:t>
      </w:r>
    </w:p>
    <w:p>
      <w:pPr>
        <w:pStyle w:val="BookText"/>
      </w:pPr>
      <w:r>
        <w:rPr>
          <w:rFonts w:ascii="Amiri" w:hAnsi="Amiri" w:eastAsia="Amiri" w:cs="Amiri"/>
          <w:lang w:bidi="ar-SA"/>
          <w:color w:val="111111"/>
          <w:sz w:val="28"/>
          <w:szCs w:val="28"/>
          <w:rtl/>
        </w:rPr>
        <w:t xml:space="preserve">اصفهاني ، فتح الله بن محمّد جواد</w:t>
      </w:r>
    </w:p>
    <w:p>
      <w:pPr>
        <w:pStyle w:val="BookText"/>
      </w:pPr>
      <w:r>
        <w:rPr>
          <w:rFonts w:ascii="IRNazanin" w:hAnsi="IRNazanin" w:eastAsia="IRNazanin" w:cs="IRNazanin"/>
          <w:lang w:bidi="fa-IR"/>
          <w:color w:val="111111"/>
          <w:sz w:val="28"/>
          <w:szCs w:val="28"/>
          <w:rtl/>
        </w:rPr>
        <w:t xml:space="preserve">فتح الله بن محمّد طباخ- طباخ ، فتح الله</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فتح الله بن محمود موصلي- موصلي ، فتح</w:t>
      </w:r>
    </w:p>
    <w:p>
      <w:pPr>
        <w:pStyle w:val="BookText"/>
      </w:pPr>
      <w:r>
        <w:rPr>
          <w:rFonts w:ascii="IRNazanin" w:hAnsi="IRNazanin" w:eastAsia="IRNazanin" w:cs="IRNazanin"/>
          <w:lang w:bidi="fa-IR"/>
          <w:color w:val="111111"/>
          <w:sz w:val="28"/>
          <w:szCs w:val="28"/>
          <w:rtl/>
        </w:rPr>
        <w:t xml:space="preserve">الله بن محمود</w:t>
      </w:r>
    </w:p>
    <w:p>
      <w:pPr>
        <w:pStyle w:val="BookText"/>
      </w:pPr>
      <w:r>
        <w:rPr>
          <w:rFonts w:ascii="IRNazanin" w:hAnsi="IRNazanin" w:eastAsia="IRNazanin" w:cs="IRNazanin"/>
          <w:lang w:bidi="fa-IR"/>
          <w:color w:val="111111"/>
          <w:sz w:val="28"/>
          <w:szCs w:val="28"/>
          <w:rtl/>
        </w:rPr>
        <w:t xml:space="preserve">فتح بن خاقان- ابن خاقان ، فتح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فتح بن علي بنداري -بنداري ، فتح بن علي</w:t>
      </w:r>
    </w:p>
    <w:p>
      <w:pPr>
        <w:pStyle w:val="BookText"/>
      </w:pPr>
      <w:r>
        <w:rPr>
          <w:rFonts w:ascii="Amiri" w:hAnsi="Amiri" w:eastAsia="Amiri" w:cs="Amiri"/>
          <w:lang w:bidi="ar-SA"/>
          <w:color w:val="111111"/>
          <w:sz w:val="28"/>
          <w:szCs w:val="28"/>
          <w:rtl/>
        </w:rPr>
        <w:t xml:space="preserve">فتح بن عيسى بن خاقان قيسي -ابن</w:t>
      </w:r>
    </w:p>
    <w:p>
      <w:pPr>
        <w:pStyle w:val="BookText"/>
      </w:pPr>
      <w:r>
        <w:rPr>
          <w:rFonts w:ascii="IRNazanin" w:hAnsi="IRNazanin" w:eastAsia="IRNazanin" w:cs="IRNazanin"/>
          <w:lang w:bidi="fa-IR"/>
          <w:color w:val="111111"/>
          <w:sz w:val="28"/>
          <w:szCs w:val="28"/>
          <w:rtl/>
        </w:rPr>
        <w:t xml:space="preserve">خاقان ، فتح بن محمّد</w:t>
      </w:r>
    </w:p>
    <w:p>
      <w:pPr>
        <w:pStyle w:val="BookText"/>
      </w:pPr>
      <w:r>
        <w:rPr>
          <w:rFonts w:ascii="Amiri" w:hAnsi="Amiri" w:eastAsia="Amiri" w:cs="Amiri"/>
          <w:lang w:bidi="ar-SA"/>
          <w:color w:val="111111"/>
          <w:sz w:val="28"/>
          <w:szCs w:val="28"/>
          <w:rtl/>
        </w:rPr>
        <w:t xml:space="preserve">فتح بن محمّد بن عبيدالله قيسي</w:t>
      </w:r>
    </w:p>
    <w:p>
      <w:pPr>
        <w:pStyle w:val="BookText"/>
      </w:pPr>
      <w:r>
        <w:rPr>
          <w:rFonts w:ascii="Amiri" w:hAnsi="Amiri" w:eastAsia="Amiri" w:cs="Amiri"/>
          <w:lang w:bidi="ar-SA"/>
          <w:color w:val="111111"/>
          <w:sz w:val="28"/>
          <w:szCs w:val="28"/>
          <w:rtl/>
        </w:rPr>
        <w:t xml:space="preserve">اشبيلي- ابن خاقان ، فتح بن محمّد</w:t>
      </w:r>
    </w:p>
    <w:p>
      <w:pPr>
        <w:pStyle w:val="BookText"/>
      </w:pPr>
      <w:r>
        <w:rPr>
          <w:rFonts w:ascii="IRNazanin" w:hAnsi="IRNazanin" w:eastAsia="IRNazanin" w:cs="IRNazanin"/>
          <w:lang w:bidi="fa-IR"/>
          <w:color w:val="111111"/>
          <w:sz w:val="28"/>
          <w:szCs w:val="28"/>
          <w:rtl/>
        </w:rPr>
        <w:t xml:space="preserve">فتح محمّد برهانپوري -برهانپوري ، فتح محمّد بن عيسى</w:t>
      </w:r>
    </w:p>
    <w:p>
      <w:pPr>
        <w:pStyle w:val="BookText"/>
      </w:pPr>
      <w:r>
        <w:rPr>
          <w:rFonts w:ascii="IRNazanin" w:hAnsi="IRNazanin" w:eastAsia="IRNazanin" w:cs="IRNazanin"/>
          <w:lang w:bidi="fa-IR"/>
          <w:color w:val="111111"/>
          <w:sz w:val="28"/>
          <w:szCs w:val="28"/>
          <w:rtl/>
        </w:rPr>
        <w:t xml:space="preserve">فتح محمّد بن عين العرفاء برهانپوري- برهانپوري ، فتح محمّد بن</w:t>
      </w:r>
    </w:p>
    <w:p>
      <w:pPr>
        <w:pStyle w:val="BookText"/>
      </w:pPr>
      <w:r>
        <w:rPr>
          <w:rFonts w:ascii="Amiri" w:hAnsi="Amiri" w:eastAsia="Amiri" w:cs="Amiri"/>
          <w:lang w:bidi="ar-SA"/>
          <w:color w:val="111111"/>
          <w:sz w:val="28"/>
          <w:szCs w:val="28"/>
          <w:rtl/>
        </w:rPr>
        <w:t xml:space="preserve">عيسى</w:t>
      </w:r>
    </w:p>
    <w:p>
      <w:pPr>
        <w:pStyle w:val="BookText"/>
      </w:pPr>
      <w:r>
        <w:rPr>
          <w:rFonts w:ascii="IRNazanin" w:hAnsi="IRNazanin" w:eastAsia="IRNazanin" w:cs="IRNazanin"/>
          <w:lang w:bidi="fa-IR"/>
          <w:color w:val="111111"/>
          <w:sz w:val="28"/>
          <w:szCs w:val="28"/>
          <w:rtl/>
        </w:rPr>
        <w:t xml:space="preserve">فتح محمّد جونپوري -جونپوري ، فتح</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فتح هندي ، محمّد- هندي لاهوري ،</w:t>
      </w:r>
    </w:p>
    <w:p>
      <w:pPr>
        <w:pStyle w:val="BookText"/>
      </w:pPr>
      <w:r>
        <w:rPr>
          <w:rFonts w:ascii="IRNazanin" w:hAnsi="IRNazanin" w:eastAsia="IRNazanin" w:cs="IRNazanin"/>
          <w:lang w:bidi="fa-IR"/>
          <w:color w:val="111111"/>
          <w:sz w:val="28"/>
          <w:szCs w:val="28"/>
          <w:rtl/>
        </w:rPr>
        <w:t xml:space="preserve">فتحعلیخان صبا -صبا ، فتحعلي بن محمد</w:t>
      </w:r>
    </w:p>
    <w:p>
      <w:pPr>
        <w:pStyle w:val="BookText"/>
      </w:pPr>
      <w:r>
        <w:rPr>
          <w:rFonts w:ascii="Amiri" w:hAnsi="Amiri" w:eastAsia="Amiri" w:cs="Amiri"/>
          <w:lang w:bidi="ar-SA"/>
          <w:color w:val="111111"/>
          <w:sz w:val="28"/>
          <w:szCs w:val="28"/>
          <w:rtl/>
        </w:rPr>
        <w:t xml:space="preserve">فتروي، اسماعيل بن احمد- انقروي ،</w:t>
      </w:r>
    </w:p>
    <w:p>
      <w:pPr>
        <w:pStyle w:val="BookText"/>
      </w:pPr>
      <w:r>
        <w:rPr>
          <w:rFonts w:ascii="IRNazanin" w:hAnsi="IRNazanin" w:eastAsia="IRNazanin" w:cs="IRNazanin"/>
          <w:lang w:bidi="fa-IR"/>
          <w:color w:val="111111"/>
          <w:sz w:val="28"/>
          <w:szCs w:val="28"/>
          <w:rtl/>
        </w:rPr>
        <w:t xml:space="preserve">اسماعیل بن احمد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42" w:name="pg7742_70956"/>
    <w:bookmarkEnd w:id="842"/>
    <w:p>
      <w:pPr>
        <w:pStyle w:val="Heading2"/>
      </w:pPr>
      <w:bookmarkStart w:id="6318" w:name="_Toc5420"/>
      <w:r>
        <w:t>فتني ، محمّد طاهر بن علي 910-986ه-</w:t>
      </w:r>
      <w:bookmarkEnd w:id="6318"/>
    </w:p>
    <w:p>
      <w:pPr>
        <w:pStyle w:val="BookText"/>
      </w:pPr>
      <w:r>
        <w:rPr>
          <w:rFonts w:ascii="Amiri" w:hAnsi="Amiri" w:eastAsia="Amiri" w:cs="Amiri"/>
          <w:lang w:bidi="ar-SA"/>
          <w:color w:val="111111"/>
          <w:sz w:val="28"/>
          <w:szCs w:val="28"/>
          <w:rtl/>
        </w:rPr>
        <w:t xml:space="preserve">مجمع بحار الانوار في غرائب التنزيل</w:t>
      </w:r>
    </w:p>
    <w:p>
      <w:pPr>
        <w:pStyle w:val="BookText"/>
      </w:pPr>
      <w:r>
        <w:rPr>
          <w:rFonts w:ascii="IRNazanin" w:hAnsi="IRNazanin" w:eastAsia="IRNazanin" w:cs="IRNazanin"/>
          <w:lang w:bidi="fa-IR"/>
          <w:color w:val="111111"/>
          <w:sz w:val="28"/>
          <w:szCs w:val="28"/>
          <w:rtl/>
        </w:rPr>
        <w:t xml:space="preserve">و لطائف الاخبار = مجمع البحار ج 13، ص 830.</w:t>
      </w:r>
    </w:p>
    <w:p>
      <w:pPr>
        <w:pStyle w:val="Heading2"/>
      </w:pPr>
      <w:bookmarkStart w:id="6319" w:name="_Toc5421"/>
      <w:r>
        <w:t>فته ، ابراهيم بن محمّد سعيد، 1204؟ -</w:t>
      </w:r>
      <w:bookmarkEnd w:id="6319"/>
    </w:p>
    <w:p>
      <w:pPr>
        <w:pStyle w:val="BookText"/>
      </w:pPr>
      <w:r>
        <w:rPr>
          <w:rFonts w:ascii="IRNazanin" w:hAnsi="IRNazanin" w:eastAsia="IRNazanin" w:cs="IRNazanin"/>
          <w:lang w:bidi="fa-IR"/>
          <w:color w:val="111111"/>
          <w:sz w:val="28"/>
          <w:szCs w:val="28"/>
          <w:rtl/>
        </w:rPr>
        <w:t xml:space="preserve">1390ه-</w:t>
      </w:r>
    </w:p>
    <w:p>
      <w:pPr>
        <w:pStyle w:val="BookText"/>
      </w:pPr>
      <w:r>
        <w:rPr>
          <w:rFonts w:ascii="IRNazanin" w:hAnsi="IRNazanin" w:eastAsia="IRNazanin" w:cs="IRNazanin"/>
          <w:lang w:bidi="fa-IR"/>
          <w:color w:val="111111"/>
          <w:sz w:val="28"/>
          <w:szCs w:val="28"/>
          <w:rtl/>
        </w:rPr>
        <w:t xml:space="preserve">زاده</w:t>
      </w:r>
    </w:p>
    <w:p>
      <w:pPr>
        <w:pStyle w:val="BookText"/>
      </w:pPr>
      <w:r>
        <w:rPr>
          <w:rFonts w:ascii="Amiri" w:hAnsi="Amiri" w:eastAsia="Amiri" w:cs="Amiri"/>
          <w:lang w:bidi="ar-SA"/>
          <w:color w:val="111111"/>
          <w:sz w:val="28"/>
          <w:szCs w:val="28"/>
          <w:rtl/>
        </w:rPr>
        <w:t xml:space="preserve">الخريدة والدرة الفريدة فيما ورد عن الحفاظ من مثلث الالفاظ، ج 7، ص13.</w:t>
      </w:r>
    </w:p>
    <w:p>
      <w:pPr>
        <w:pStyle w:val="BookText"/>
      </w:pPr>
      <w:r>
        <w:rPr>
          <w:rFonts w:ascii="Amiri" w:hAnsi="Amiri" w:eastAsia="Amiri" w:cs="Amiri"/>
          <w:lang w:bidi="ar-SA"/>
          <w:color w:val="111111"/>
          <w:sz w:val="28"/>
          <w:szCs w:val="28"/>
          <w:rtl/>
        </w:rPr>
        <w:t xml:space="preserve">فتوة اميني زاده- احمد افندي فتوة اميني</w:t>
      </w:r>
    </w:p>
    <w:p>
      <w:pPr>
        <w:pStyle w:val="Heading2"/>
      </w:pPr>
      <w:bookmarkStart w:id="6320" w:name="_Toc5422"/>
      <w:r>
        <w:t>فتوحي، احمد بن عبدالعزيز 949 ه-</w:t>
      </w:r>
      <w:bookmarkEnd w:id="6320"/>
    </w:p>
    <w:p>
      <w:pPr>
        <w:pStyle w:val="BookText"/>
      </w:pPr>
      <w:r>
        <w:rPr>
          <w:rFonts w:ascii="Amiri" w:hAnsi="Amiri" w:eastAsia="Amiri" w:cs="Amiri"/>
          <w:lang w:bidi="ar-SA"/>
          <w:color w:val="111111"/>
          <w:sz w:val="28"/>
          <w:szCs w:val="28"/>
          <w:rtl/>
        </w:rPr>
        <w:t xml:space="preserve">شرح الكواكب المنير، ج 10، ص 68 .</w:t>
      </w:r>
    </w:p>
    <w:p>
      <w:pPr>
        <w:pStyle w:val="BookText"/>
      </w:pPr>
      <w:r>
        <w:rPr>
          <w:rFonts w:ascii="Amiri" w:hAnsi="Amiri" w:eastAsia="Amiri" w:cs="Amiri"/>
          <w:lang w:bidi="ar-SA"/>
          <w:color w:val="111111"/>
          <w:sz w:val="28"/>
          <w:szCs w:val="28"/>
          <w:rtl/>
        </w:rPr>
        <w:t xml:space="preserve">فتوحي، محمّد بن احمد- ابن نجار</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6321" w:name="_Toc5423"/>
      <w:r>
        <w:t>فتوني</w:t>
      </w:r>
      <w:bookmarkEnd w:id="6321"/>
    </w:p>
    <w:p>
      <w:pPr>
        <w:pStyle w:val="BookText"/>
      </w:pPr>
      <w:r>
        <w:rPr>
          <w:rFonts w:ascii="Amiri" w:hAnsi="Amiri" w:eastAsia="Amiri" w:cs="Amiri"/>
          <w:lang w:bidi="ar-SA"/>
          <w:color w:val="111111"/>
          <w:sz w:val="28"/>
          <w:szCs w:val="28"/>
          <w:rtl/>
        </w:rPr>
        <w:t xml:space="preserve">كشكول الفتوني، ج13، ص299.</w:t>
      </w:r>
    </w:p>
    <w:p>
      <w:pPr>
        <w:pStyle w:val="Heading2"/>
      </w:pPr>
      <w:bookmarkStart w:id="6322" w:name="_Toc5424"/>
      <w:r>
        <w:t>فتوني اصفهاني ، ابوالحسن بن محمّد</w:t>
      </w:r>
      <w:bookmarkEnd w:id="6322"/>
    </w:p>
    <w:p>
      <w:pPr>
        <w:pStyle w:val="BookText"/>
      </w:pPr>
      <w:r>
        <w:rPr>
          <w:rFonts w:ascii="IRNazanin" w:hAnsi="IRNazanin" w:eastAsia="IRNazanin" w:cs="IRNazanin"/>
          <w:lang w:bidi="fa-IR"/>
          <w:color w:val="111111"/>
          <w:sz w:val="28"/>
          <w:szCs w:val="28"/>
          <w:rtl/>
        </w:rPr>
        <w:t xml:space="preserve">طاهر - 1138 ه-</w:t>
      </w:r>
    </w:p>
    <w:p>
      <w:pPr>
        <w:pStyle w:val="BookText"/>
      </w:pPr>
      <w:r>
        <w:rPr>
          <w:rFonts w:ascii="Amiri" w:hAnsi="Amiri" w:eastAsia="Amiri" w:cs="Amiri"/>
          <w:lang w:bidi="ar-SA"/>
          <w:color w:val="111111"/>
          <w:sz w:val="28"/>
          <w:szCs w:val="28"/>
          <w:rtl/>
        </w:rPr>
        <w:t xml:space="preserve">1 .جدول في احكام الرضاع، ج 5،</w:t>
      </w:r>
    </w:p>
    <w:p>
      <w:pPr>
        <w:pStyle w:val="BookText"/>
      </w:pPr>
      <w:r>
        <w:rPr>
          <w:rFonts w:ascii="IRNazanin" w:hAnsi="IRNazanin" w:eastAsia="IRNazanin" w:cs="IRNazanin"/>
          <w:lang w:bidi="fa-IR"/>
          <w:color w:val="111111"/>
          <w:sz w:val="28"/>
          <w:szCs w:val="28"/>
          <w:rtl/>
        </w:rPr>
        <w:t xml:space="preserve">ص 374 .</w:t>
      </w:r>
    </w:p>
    <w:p>
      <w:pPr>
        <w:pStyle w:val="BookText"/>
      </w:pPr>
      <w:r>
        <w:rPr>
          <w:rFonts w:ascii="Amiri" w:hAnsi="Amiri" w:eastAsia="Amiri" w:cs="Amiri"/>
          <w:lang w:bidi="ar-SA"/>
          <w:color w:val="111111"/>
          <w:sz w:val="28"/>
          <w:szCs w:val="28"/>
          <w:rtl/>
        </w:rPr>
        <w:t xml:space="preserve">2 .حقيقة مذهب الامامية، ج 6،</w:t>
      </w:r>
    </w:p>
    <w:p>
      <w:pPr>
        <w:pStyle w:val="BookText"/>
      </w:pPr>
      <w:r>
        <w:rPr>
          <w:rFonts w:ascii="IRNazanin" w:hAnsi="IRNazanin" w:eastAsia="IRNazanin" w:cs="IRNazanin"/>
          <w:lang w:bidi="fa-IR"/>
          <w:color w:val="111111"/>
          <w:sz w:val="28"/>
          <w:szCs w:val="28"/>
          <w:rtl/>
        </w:rPr>
        <w:t xml:space="preserve">ص 713.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ضياء العالمين، ج 10، ص 712.</w:t>
      </w:r>
    </w:p>
    <w:p>
      <w:pPr>
        <w:pStyle w:val="BookText"/>
      </w:pPr>
      <w:r>
        <w:rPr>
          <w:rFonts w:ascii="Amiri" w:hAnsi="Amiri" w:eastAsia="Amiri" w:cs="Amiri"/>
          <w:lang w:bidi="ar-SA"/>
          <w:color w:val="111111"/>
          <w:sz w:val="28"/>
          <w:szCs w:val="28"/>
          <w:rtl/>
        </w:rPr>
        <w:t xml:space="preserve">4 .الفوائد الغروية و الدرر النجفية</w:t>
      </w:r>
    </w:p>
    <w:p>
      <w:pPr>
        <w:pStyle w:val="BookText"/>
      </w:pPr>
      <w:r>
        <w:rPr>
          <w:rFonts w:ascii="IRNazanin" w:hAnsi="IRNazanin" w:eastAsia="IRNazanin" w:cs="IRNazanin"/>
          <w:lang w:bidi="fa-IR"/>
          <w:color w:val="111111"/>
          <w:sz w:val="28"/>
          <w:szCs w:val="28"/>
          <w:rtl/>
        </w:rPr>
        <w:t xml:space="preserve">ج 12 ، ص 251.</w:t>
      </w:r>
    </w:p>
    <w:p>
      <w:pPr>
        <w:pStyle w:val="BookText"/>
      </w:pPr>
      <w:r>
        <w:rPr>
          <w:rFonts w:ascii="Amiri" w:hAnsi="Amiri" w:eastAsia="Amiri" w:cs="Amiri"/>
          <w:lang w:bidi="ar-SA"/>
          <w:color w:val="111111"/>
          <w:sz w:val="28"/>
          <w:szCs w:val="28"/>
          <w:rtl/>
        </w:rPr>
        <w:t xml:space="preserve">5 .مرآة الأنوار و مشكاة الأسرار في تفسير القرآن - مشكاة الانوار</w:t>
      </w:r>
    </w:p>
    <w:p>
      <w:pPr>
        <w:pStyle w:val="BookText"/>
      </w:pPr>
      <w:r>
        <w:rPr>
          <w:rFonts w:ascii="IRNazanin" w:hAnsi="IRNazanin" w:eastAsia="IRNazanin" w:cs="IRNazanin"/>
          <w:lang w:bidi="fa-IR"/>
          <w:color w:val="111111"/>
          <w:sz w:val="28"/>
          <w:szCs w:val="28"/>
          <w:rtl/>
        </w:rPr>
        <w:t xml:space="preserve">ج 14، ص 346 .</w:t>
      </w:r>
    </w:p>
    <w:p>
      <w:pPr>
        <w:pStyle w:val="Heading2"/>
      </w:pPr>
      <w:bookmarkStart w:id="6323" w:name="_Toc5425"/>
      <w:r>
        <w:t>فتوني ، حسين بن علي</w:t>
      </w:r>
      <w:bookmarkEnd w:id="6323"/>
    </w:p>
    <w:p>
      <w:pPr>
        <w:pStyle w:val="BookText"/>
      </w:pPr>
      <w:r>
        <w:rPr>
          <w:rFonts w:ascii="Amiri" w:hAnsi="Amiri" w:eastAsia="Amiri" w:cs="Amiri"/>
          <w:lang w:bidi="ar-SA"/>
          <w:color w:val="111111"/>
          <w:sz w:val="28"/>
          <w:szCs w:val="28"/>
          <w:rtl/>
        </w:rPr>
        <w:t xml:space="preserve">الدوحة المهدية = ارجوزة المسماة</w:t>
      </w:r>
    </w:p>
    <w:p>
      <w:pPr>
        <w:pStyle w:val="BookText"/>
      </w:pPr>
      <w:r>
        <w:rPr>
          <w:rFonts w:ascii="Amiri" w:hAnsi="Amiri" w:eastAsia="Amiri" w:cs="Amiri"/>
          <w:lang w:bidi="ar-SA"/>
          <w:color w:val="111111"/>
          <w:sz w:val="28"/>
          <w:szCs w:val="28"/>
          <w:rtl/>
        </w:rPr>
        <w:t xml:space="preserve">بالدوحة المهدية، ج 7، ص 489.</w:t>
      </w:r>
    </w:p>
    <w:p>
      <w:pPr>
        <w:pStyle w:val="BookText"/>
      </w:pPr>
      <w:r>
        <w:rPr>
          <w:rFonts w:ascii="Amiri" w:hAnsi="Amiri" w:eastAsia="Amiri" w:cs="Amiri"/>
          <w:lang w:bidi="ar-SA"/>
          <w:color w:val="111111"/>
          <w:sz w:val="28"/>
          <w:szCs w:val="28"/>
          <w:rtl/>
        </w:rPr>
        <w:t xml:space="preserve">فتوني عاملي ، محمّد مهدي بن بهاءالدين</w:t>
      </w:r>
    </w:p>
    <w:p>
      <w:pPr>
        <w:pStyle w:val="BookText"/>
      </w:pPr>
      <w:r>
        <w:rPr>
          <w:rFonts w:ascii="Amiri" w:hAnsi="Amiri" w:eastAsia="Amiri" w:cs="Amiri"/>
          <w:lang w:bidi="ar-SA"/>
          <w:color w:val="111111"/>
          <w:sz w:val="28"/>
          <w:szCs w:val="28"/>
          <w:rtl/>
        </w:rPr>
        <w:t xml:space="preserve">محمّد- عاملي ، محمّد مهدي بن محمّد</w:t>
      </w:r>
    </w:p>
    <w:p>
      <w:pPr>
        <w:pStyle w:val="BookText"/>
      </w:pPr>
      <w:r>
        <w:rPr>
          <w:rFonts w:ascii="Amiri" w:hAnsi="Amiri" w:eastAsia="Amiri" w:cs="Amiri"/>
          <w:lang w:bidi="ar-SA"/>
          <w:color w:val="111111"/>
          <w:sz w:val="28"/>
          <w:szCs w:val="28"/>
          <w:rtl/>
        </w:rPr>
        <w:t xml:space="preserve">فتي تبريزي ، حسين بن احمد -خالدي ،</w:t>
      </w:r>
    </w:p>
    <w:p>
      <w:pPr>
        <w:pStyle w:val="BookText"/>
      </w:pPr>
      <w:r>
        <w:rPr>
          <w:rFonts w:ascii="Amiri" w:hAnsi="Amiri" w:eastAsia="Amiri" w:cs="Amiri"/>
          <w:lang w:bidi="ar-SA"/>
          <w:color w:val="111111"/>
          <w:sz w:val="28"/>
          <w:szCs w:val="28"/>
          <w:rtl/>
        </w:rPr>
        <w:t xml:space="preserve">حسين بن احمد</w:t>
      </w:r>
    </w:p>
    <w:p>
      <w:pPr>
        <w:pStyle w:val="Heading2"/>
      </w:pPr>
      <w:bookmarkStart w:id="6324" w:name="_Toc5426"/>
      <w:r>
        <w:t>فتي ، عمر بن محمّد، 801 - 887 ه-</w:t>
      </w:r>
      <w:bookmarkEnd w:id="6324"/>
    </w:p>
    <w:p>
      <w:pPr>
        <w:pStyle w:val="BookText"/>
      </w:pPr>
      <w:r>
        <w:rPr>
          <w:rFonts w:ascii="IRNazanin" w:hAnsi="IRNazanin" w:eastAsia="IRNazanin" w:cs="IRNazanin"/>
          <w:lang w:bidi="fa-IR"/>
          <w:color w:val="111111"/>
          <w:sz w:val="28"/>
          <w:szCs w:val="28"/>
          <w:rtl/>
        </w:rPr>
        <w:t xml:space="preserve">مهمات المهمات (مختصر)، ج 15 ،</w:t>
      </w:r>
    </w:p>
    <w:p>
      <w:pPr>
        <w:pStyle w:val="BookText"/>
      </w:pPr>
      <w:r>
        <w:rPr>
          <w:rFonts w:ascii="IRNazanin" w:hAnsi="IRNazanin" w:eastAsia="IRNazanin" w:cs="IRNazanin"/>
          <w:lang w:bidi="fa-IR"/>
          <w:color w:val="111111"/>
          <w:sz w:val="28"/>
          <w:szCs w:val="28"/>
          <w:rtl/>
        </w:rPr>
        <w:t xml:space="preserve">ص 850.</w:t>
      </w:r>
    </w:p>
    <w:p>
      <w:pPr>
        <w:pStyle w:val="Heading2"/>
      </w:pPr>
      <w:bookmarkStart w:id="6325" w:name="_Toc5427"/>
      <w:r>
        <w:t>فحام ،اعرجي صادق بن علي - 1205 ه-</w:t>
      </w:r>
      <w:bookmarkEnd w:id="6325"/>
    </w:p>
    <w:p>
      <w:pPr>
        <w:pStyle w:val="BookText"/>
      </w:pPr>
      <w:r>
        <w:rPr>
          <w:rFonts w:ascii="Amiri" w:hAnsi="Amiri" w:eastAsia="Amiri" w:cs="Amiri"/>
          <w:lang w:bidi="ar-SA"/>
          <w:color w:val="111111"/>
          <w:sz w:val="28"/>
          <w:szCs w:val="28"/>
          <w:rtl/>
        </w:rPr>
        <w:t xml:space="preserve">1 .تقريض، ج 4، ص 778.</w:t>
      </w:r>
    </w:p>
    <w:p>
      <w:pPr>
        <w:pStyle w:val="BookText"/>
      </w:pPr>
      <w:r>
        <w:rPr>
          <w:rFonts w:ascii="Amiri" w:hAnsi="Amiri" w:eastAsia="Amiri" w:cs="Amiri"/>
          <w:lang w:bidi="ar-SA"/>
          <w:color w:val="111111"/>
          <w:sz w:val="28"/>
          <w:szCs w:val="28"/>
          <w:rtl/>
        </w:rPr>
        <w:t xml:space="preserve">2 .ديوان السيد صادق الاعرجي، ج7،</w:t>
      </w:r>
    </w:p>
    <w:p>
      <w:pPr>
        <w:pStyle w:val="BookText"/>
      </w:pPr>
      <w:r>
        <w:rPr>
          <w:rFonts w:ascii="IRNazanin" w:hAnsi="IRNazanin" w:eastAsia="IRNazanin" w:cs="IRNazanin"/>
          <w:lang w:bidi="fa-IR"/>
          <w:color w:val="111111"/>
          <w:sz w:val="28"/>
          <w:szCs w:val="28"/>
          <w:rtl/>
        </w:rPr>
        <w:t xml:space="preserve">ص 659 .</w:t>
      </w:r>
    </w:p>
    <w:p>
      <w:pPr>
        <w:pStyle w:val="BookText"/>
      </w:pPr>
      <w:r>
        <w:rPr>
          <w:rFonts w:ascii="Amiri" w:hAnsi="Amiri" w:eastAsia="Amiri" w:cs="Amiri"/>
          <w:lang w:bidi="ar-SA"/>
          <w:color w:val="111111"/>
          <w:sz w:val="28"/>
          <w:szCs w:val="28"/>
          <w:rtl/>
        </w:rPr>
        <w:t xml:space="preserve">3 .الرحلة الرضوية، ج8، ص 68.</w:t>
      </w:r>
    </w:p>
    <w:p>
      <w:pPr>
        <w:pStyle w:val="BookText"/>
      </w:pPr>
      <w:r>
        <w:rPr>
          <w:rFonts w:ascii="IRNazanin" w:hAnsi="IRNazanin" w:eastAsia="IRNazanin" w:cs="IRNazanin"/>
          <w:lang w:bidi="fa-IR"/>
          <w:color w:val="111111"/>
          <w:sz w:val="28"/>
          <w:szCs w:val="28"/>
          <w:rtl/>
        </w:rPr>
        <w:t xml:space="preserve">4 .شرح شواهد قطر الندى، ج9،</w:t>
      </w:r>
    </w:p>
    <w:p>
      <w:pPr>
        <w:pStyle w:val="BookText"/>
      </w:pPr>
      <w:r>
        <w:rPr>
          <w:rFonts w:ascii="IRNazanin" w:hAnsi="IRNazanin" w:eastAsia="IRNazanin" w:cs="IRNazanin"/>
          <w:lang w:bidi="fa-IR"/>
          <w:color w:val="111111"/>
          <w:sz w:val="28"/>
          <w:szCs w:val="28"/>
          <w:rtl/>
        </w:rPr>
        <w:t xml:space="preserve">ص 657 .</w:t>
      </w:r>
    </w:p>
    <w:p>
      <w:pPr>
        <w:pStyle w:val="BookText"/>
      </w:pPr>
      <w:r>
        <w:rPr>
          <w:rFonts w:ascii="Amiri" w:hAnsi="Amiri" w:eastAsia="Amiri" w:cs="Amiri"/>
          <w:lang w:bidi="ar-SA"/>
          <w:color w:val="111111"/>
          <w:sz w:val="28"/>
          <w:szCs w:val="28"/>
          <w:rtl/>
        </w:rPr>
        <w:t xml:space="preserve">5 .نكتة على مقدمة قطر الندى وبل</w:t>
      </w:r>
    </w:p>
    <w:p>
      <w:pPr>
        <w:pStyle w:val="BookText"/>
      </w:pPr>
      <w:r>
        <w:rPr>
          <w:rFonts w:ascii="IRNazanin" w:hAnsi="IRNazanin" w:eastAsia="IRNazanin" w:cs="IRNazanin"/>
          <w:lang w:bidi="fa-IR"/>
          <w:color w:val="111111"/>
          <w:sz w:val="28"/>
          <w:szCs w:val="28"/>
          <w:rtl/>
        </w:rPr>
        <w:t xml:space="preserve">الصدى، ج 16، ص 462.</w:t>
      </w:r>
    </w:p>
    <w:p>
      <w:pPr>
        <w:pStyle w:val="BookText"/>
      </w:pPr>
      <w:r>
        <w:rPr>
          <w:rFonts w:ascii="Amiri" w:hAnsi="Amiri" w:eastAsia="Amiri" w:cs="Amiri"/>
          <w:lang w:bidi="ar-SA"/>
          <w:color w:val="111111"/>
          <w:sz w:val="28"/>
          <w:szCs w:val="28"/>
          <w:rtl/>
        </w:rPr>
        <w:t xml:space="preserve">فحل تميمي ، علقمة بن عبده- علقمة</w:t>
      </w:r>
    </w:p>
    <w:p>
      <w:pPr>
        <w:pStyle w:val="BookText"/>
      </w:pPr>
      <w:r>
        <w:rPr>
          <w:rFonts w:ascii="IRNazanin" w:hAnsi="IRNazanin" w:eastAsia="IRNazanin" w:cs="IRNazanin"/>
          <w:lang w:bidi="fa-IR"/>
          <w:color w:val="111111"/>
          <w:sz w:val="28"/>
          <w:szCs w:val="28"/>
          <w:rtl/>
        </w:rPr>
        <w:t xml:space="preserve">الفحل</w:t>
      </w:r>
    </w:p>
    <w:p>
      <w:pPr>
        <w:pStyle w:val="BookText"/>
      </w:pPr>
      <w:r>
        <w:rPr>
          <w:rFonts w:ascii="Amiri" w:hAnsi="Amiri" w:eastAsia="Amiri" w:cs="Amiri"/>
          <w:lang w:bidi="ar-SA"/>
          <w:color w:val="111111"/>
          <w:sz w:val="28"/>
          <w:szCs w:val="28"/>
          <w:rtl/>
        </w:rPr>
        <w:t xml:space="preserve">فخار بن معد -موسوي، فخار بن معد</w:t>
      </w:r>
    </w:p>
    <w:p>
      <w:pPr>
        <w:pStyle w:val="BookText"/>
      </w:pPr>
      <w:r>
        <w:rPr>
          <w:rFonts w:ascii="Amiri" w:hAnsi="Amiri" w:eastAsia="Amiri" w:cs="Amiri"/>
          <w:lang w:bidi="ar-SA"/>
          <w:color w:val="111111"/>
          <w:sz w:val="28"/>
          <w:szCs w:val="28"/>
          <w:rtl/>
        </w:rPr>
        <w:t xml:space="preserve">فخاري، شبر بن محمّد- موسوي حويزي ،</w:t>
      </w:r>
    </w:p>
    <w:p>
      <w:pPr>
        <w:pStyle w:val="BookText"/>
      </w:pPr>
      <w:r>
        <w:rPr>
          <w:rFonts w:ascii="Amiri" w:hAnsi="Amiri" w:eastAsia="Amiri" w:cs="Amiri"/>
          <w:lang w:bidi="ar-SA"/>
          <w:color w:val="111111"/>
          <w:sz w:val="28"/>
          <w:szCs w:val="28"/>
          <w:rtl/>
        </w:rPr>
        <w:t xml:space="preserve">شبر بن محمّد</w:t>
      </w:r>
    </w:p>
    <w:p>
      <w:pPr>
        <w:pStyle w:val="BookText"/>
      </w:pPr>
      <w:r>
        <w:rPr>
          <w:rFonts w:ascii="Amiri" w:hAnsi="Amiri" w:eastAsia="Amiri" w:cs="Amiri"/>
          <w:lang w:bidi="ar-SA"/>
          <w:color w:val="111111"/>
          <w:sz w:val="28"/>
          <w:szCs w:val="28"/>
          <w:rtl/>
        </w:rPr>
        <w:t xml:space="preserve">فخاري ، محمّد بن عبود -محنت فخاري ،</w:t>
      </w:r>
    </w:p>
    <w:p>
      <w:pPr>
        <w:pStyle w:val="BookText"/>
      </w:pPr>
      <w:r>
        <w:rPr>
          <w:rFonts w:ascii="IRNazanin" w:hAnsi="IRNazanin" w:eastAsia="IRNazanin" w:cs="IRNazanin"/>
          <w:lang w:bidi="fa-IR"/>
          <w:color w:val="111111"/>
          <w:sz w:val="28"/>
          <w:szCs w:val="28"/>
          <w:rtl/>
        </w:rPr>
        <w:t xml:space="preserve">محمّد بن عبود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43" w:name="pg7742_70959"/>
    <w:bookmarkEnd w:id="843"/>
    <w:p>
      <w:pPr>
        <w:pStyle w:val="BookText"/>
      </w:pPr>
      <w:r>
        <w:rPr>
          <w:rFonts w:ascii="Amiri" w:hAnsi="Amiri" w:eastAsia="Amiri" w:cs="Amiri"/>
          <w:lang w:bidi="ar-SA"/>
          <w:color w:val="111111"/>
          <w:sz w:val="28"/>
          <w:szCs w:val="28"/>
          <w:rtl/>
        </w:rPr>
        <w:t xml:space="preserve">فخر اسفندري -اسفيذاري ، علي بن عمر</w:t>
      </w:r>
    </w:p>
    <w:p>
      <w:pPr>
        <w:pStyle w:val="BookText"/>
      </w:pPr>
      <w:r>
        <w:rPr>
          <w:rFonts w:ascii="IRNazanin" w:hAnsi="IRNazanin" w:eastAsia="IRNazanin" w:cs="IRNazanin"/>
          <w:lang w:bidi="fa-IR"/>
          <w:color w:val="111111"/>
          <w:sz w:val="28"/>
          <w:szCs w:val="28"/>
          <w:rtl/>
        </w:rPr>
        <w:t xml:space="preserve">فخر الاسلام طبري، عبدالواحد بن اسماعيل - روياني ، عبدالواحد بن اسماعیل</w:t>
      </w:r>
    </w:p>
    <w:p>
      <w:pPr>
        <w:pStyle w:val="BookText"/>
      </w:pPr>
      <w:r>
        <w:rPr>
          <w:rFonts w:ascii="Amiri" w:hAnsi="Amiri" w:eastAsia="Amiri" w:cs="Amiri"/>
          <w:lang w:bidi="ar-SA"/>
          <w:color w:val="111111"/>
          <w:sz w:val="28"/>
          <w:szCs w:val="28"/>
          <w:rtl/>
        </w:rPr>
        <w:t xml:space="preserve">فخر الحكماء ، موسى بن عليرضا ساوجي</w:t>
      </w:r>
    </w:p>
    <w:p>
      <w:pPr>
        <w:pStyle w:val="BookText"/>
      </w:pPr>
      <w:r>
        <w:rPr>
          <w:rFonts w:ascii="Amiri" w:hAnsi="Amiri" w:eastAsia="Amiri" w:cs="Amiri"/>
          <w:lang w:bidi="ar-SA"/>
          <w:color w:val="111111"/>
          <w:sz w:val="28"/>
          <w:szCs w:val="28"/>
          <w:rtl/>
        </w:rPr>
        <w:t xml:space="preserve">موسى بن عليرضا</w:t>
      </w:r>
    </w:p>
    <w:p>
      <w:pPr>
        <w:pStyle w:val="BookText"/>
      </w:pPr>
      <w:r>
        <w:rPr>
          <w:rFonts w:ascii="Amiri" w:hAnsi="Amiri" w:eastAsia="Amiri" w:cs="Amiri"/>
          <w:lang w:bidi="ar-SA"/>
          <w:color w:val="111111"/>
          <w:sz w:val="28"/>
          <w:szCs w:val="28"/>
          <w:rtl/>
        </w:rPr>
        <w:t xml:space="preserve">فخر الدين بن بخاري- ابن بخاري ، علي</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IRNazanin" w:hAnsi="IRNazanin" w:eastAsia="IRNazanin" w:cs="IRNazanin"/>
          <w:lang w:bidi="fa-IR"/>
          <w:color w:val="111111"/>
          <w:sz w:val="28"/>
          <w:szCs w:val="28"/>
          <w:rtl/>
        </w:rPr>
        <w:t xml:space="preserve">فخرالدین بن محمّد بن علي رماحي نجفي- طريحي ، فخر الدين بن محمّد</w:t>
      </w:r>
    </w:p>
    <w:p>
      <w:pPr>
        <w:pStyle w:val="BookText"/>
      </w:pPr>
      <w:r>
        <w:rPr>
          <w:rFonts w:ascii="IRNazanin" w:hAnsi="IRNazanin" w:eastAsia="IRNazanin" w:cs="IRNazanin"/>
          <w:lang w:bidi="fa-IR"/>
          <w:color w:val="111111"/>
          <w:sz w:val="28"/>
          <w:szCs w:val="28"/>
          <w:rtl/>
        </w:rPr>
        <w:t xml:space="preserve">فخرالدین بن محمّد نراقي كاشاني -نراقي</w:t>
      </w:r>
    </w:p>
    <w:p>
      <w:pPr>
        <w:pStyle w:val="BookText"/>
      </w:pPr>
      <w:r>
        <w:rPr>
          <w:rFonts w:ascii="Amiri" w:hAnsi="Amiri" w:eastAsia="Amiri" w:cs="Amiri"/>
          <w:lang w:bidi="ar-SA"/>
          <w:color w:val="111111"/>
          <w:sz w:val="28"/>
          <w:szCs w:val="28"/>
          <w:rtl/>
        </w:rPr>
        <w:t xml:space="preserve">، مهدي بن محمّد</w:t>
      </w:r>
    </w:p>
    <w:p>
      <w:pPr>
        <w:pStyle w:val="BookText"/>
      </w:pPr>
      <w:r>
        <w:rPr>
          <w:rFonts w:ascii="Amiri" w:hAnsi="Amiri" w:eastAsia="Amiri" w:cs="Amiri"/>
          <w:lang w:bidi="ar-SA"/>
          <w:color w:val="111111"/>
          <w:sz w:val="28"/>
          <w:szCs w:val="28"/>
          <w:rtl/>
        </w:rPr>
        <w:t xml:space="preserve">فخر الدين بن مكانس- ابن مكانس ،</w:t>
      </w:r>
    </w:p>
    <w:p>
      <w:pPr>
        <w:pStyle w:val="BookText"/>
      </w:pPr>
      <w:r>
        <w:rPr>
          <w:rFonts w:ascii="IRNazanin" w:hAnsi="IRNazanin" w:eastAsia="IRNazanin" w:cs="IRNazanin"/>
          <w:lang w:bidi="fa-IR"/>
          <w:color w:val="111111"/>
          <w:sz w:val="28"/>
          <w:szCs w:val="28"/>
          <w:rtl/>
        </w:rPr>
        <w:t xml:space="preserve">عبد الرحمن بن عبدالرزاق</w:t>
      </w:r>
    </w:p>
    <w:p>
      <w:pPr>
        <w:pStyle w:val="BookText"/>
      </w:pPr>
      <w:r>
        <w:rPr>
          <w:rFonts w:ascii="Amiri" w:hAnsi="Amiri" w:eastAsia="Amiri" w:cs="Amiri"/>
          <w:lang w:bidi="ar-SA"/>
          <w:color w:val="111111"/>
          <w:sz w:val="28"/>
          <w:szCs w:val="28"/>
          <w:rtl/>
        </w:rPr>
        <w:t xml:space="preserve">فخر الدين بن يحيى حسيني موصلي - حسيني موصلي، فخرالدين بن</w:t>
      </w:r>
    </w:p>
    <w:p>
      <w:pPr>
        <w:pStyle w:val="BookText"/>
      </w:pPr>
      <w:r>
        <w:rPr>
          <w:rFonts w:ascii="Amiri" w:hAnsi="Amiri" w:eastAsia="Amiri" w:cs="Amiri"/>
          <w:lang w:bidi="ar-SA"/>
          <w:color w:val="111111"/>
          <w:sz w:val="28"/>
          <w:szCs w:val="28"/>
          <w:rtl/>
        </w:rPr>
        <w:t xml:space="preserve">يحيى</w:t>
      </w:r>
    </w:p>
    <w:p>
      <w:pPr>
        <w:pStyle w:val="BookText"/>
      </w:pPr>
      <w:r>
        <w:rPr>
          <w:rFonts w:ascii="IRNazanin" w:hAnsi="IRNazanin" w:eastAsia="IRNazanin" w:cs="IRNazanin"/>
          <w:lang w:bidi="fa-IR"/>
          <w:color w:val="111111"/>
          <w:sz w:val="28"/>
          <w:szCs w:val="28"/>
          <w:rtl/>
        </w:rPr>
        <w:t xml:space="preserve">فخرالدین تركستاني- تركستاني ، فخرالدين</w:t>
      </w:r>
    </w:p>
    <w:p>
      <w:pPr>
        <w:pStyle w:val="Heading2"/>
      </w:pPr>
      <w:bookmarkStart w:id="6326" w:name="_Toc5428"/>
      <w:r>
        <w:t>فخرالدين حسيني ، محمّد بن حسين</w:t>
      </w:r>
      <w:bookmarkEnd w:id="6326"/>
    </w:p>
    <w:p>
      <w:pPr>
        <w:pStyle w:val="BookText"/>
      </w:pPr>
      <w:r>
        <w:rPr>
          <w:rFonts w:ascii="IRNazanin" w:hAnsi="IRNazanin" w:eastAsia="IRNazanin" w:cs="IRNazanin"/>
          <w:lang w:bidi="fa-IR"/>
          <w:color w:val="111111"/>
          <w:sz w:val="28"/>
          <w:szCs w:val="28"/>
          <w:rtl/>
        </w:rPr>
        <w:t xml:space="preserve">984؟ ه-</w:t>
      </w:r>
    </w:p>
    <w:p>
      <w:pPr>
        <w:pStyle w:val="BookText"/>
      </w:pPr>
      <w:r>
        <w:rPr>
          <w:rFonts w:ascii="Amiri" w:hAnsi="Amiri" w:eastAsia="Amiri" w:cs="Amiri"/>
          <w:lang w:bidi="ar-SA"/>
          <w:color w:val="111111"/>
          <w:sz w:val="28"/>
          <w:szCs w:val="28"/>
          <w:rtl/>
        </w:rPr>
        <w:t xml:space="preserve">1 .آداب البحث والمناظرة، ج 1،</w:t>
      </w:r>
    </w:p>
    <w:p>
      <w:pPr>
        <w:pStyle w:val="BookText"/>
      </w:pPr>
      <w:r>
        <w:rPr>
          <w:rFonts w:ascii="IRNazanin" w:hAnsi="IRNazanin" w:eastAsia="IRNazanin" w:cs="IRNazanin"/>
          <w:lang w:bidi="fa-IR"/>
          <w:color w:val="111111"/>
          <w:sz w:val="28"/>
          <w:szCs w:val="28"/>
          <w:rtl/>
        </w:rPr>
        <w:t xml:space="preserve">ص 27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تعليقة على المقصد الأقصى و المطلب الأسنى، ج 4، ص 532.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تعليق على شرح الشمسية، جع،</w:t>
      </w:r>
    </w:p>
    <w:p>
      <w:pPr>
        <w:pStyle w:val="BookText"/>
      </w:pPr>
      <w:r>
        <w:rPr>
          <w:rFonts w:ascii="IRNazanin" w:hAnsi="IRNazanin" w:eastAsia="IRNazanin" w:cs="IRNazanin"/>
          <w:lang w:bidi="fa-IR"/>
          <w:color w:val="111111"/>
          <w:sz w:val="28"/>
          <w:szCs w:val="28"/>
          <w:rtl/>
        </w:rPr>
        <w:t xml:space="preserve">ص 548.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التجريد الجديد</w:t>
      </w:r>
    </w:p>
    <w:p>
      <w:pPr>
        <w:pStyle w:val="BookText"/>
      </w:pPr>
      <w:r>
        <w:rPr>
          <w:rFonts w:ascii="IRNazanin" w:hAnsi="IRNazanin" w:eastAsia="IRNazanin" w:cs="IRNazanin"/>
          <w:lang w:bidi="fa-IR"/>
          <w:color w:val="111111"/>
          <w:sz w:val="28"/>
          <w:szCs w:val="28"/>
          <w:rtl/>
        </w:rPr>
        <w:t xml:space="preserve">اثبات الله، ج 6، ص 57.</w:t>
      </w:r>
    </w:p>
    <w:p>
      <w:pPr>
        <w:pStyle w:val="BookText"/>
      </w:pPr>
      <w:r>
        <w:rPr>
          <w:rFonts w:ascii="Amiri" w:hAnsi="Amiri" w:eastAsia="Amiri" w:cs="Amiri"/>
          <w:lang w:bidi="ar-SA"/>
          <w:color w:val="111111"/>
          <w:sz w:val="28"/>
          <w:szCs w:val="28"/>
          <w:rtl/>
        </w:rPr>
        <w:t xml:space="preserve">5.حاشية شرح السمرقندية، ج 6،</w:t>
      </w:r>
    </w:p>
    <w:p>
      <w:pPr>
        <w:pStyle w:val="BookText"/>
      </w:pPr>
      <w:r>
        <w:rPr>
          <w:rFonts w:ascii="IRNazanin" w:hAnsi="IRNazanin" w:eastAsia="IRNazanin" w:cs="IRNazanin"/>
          <w:lang w:bidi="fa-IR"/>
          <w:color w:val="111111"/>
          <w:sz w:val="28"/>
          <w:szCs w:val="28"/>
          <w:rtl/>
        </w:rPr>
        <w:t xml:space="preserve">ص128.</w:t>
      </w:r>
    </w:p>
    <w:p>
      <w:pPr>
        <w:pStyle w:val="BookText"/>
      </w:pPr>
      <w:r>
        <w:rPr>
          <w:rFonts w:ascii="Amiri" w:hAnsi="Amiri" w:eastAsia="Amiri" w:cs="Amiri"/>
          <w:lang w:bidi="ar-SA"/>
          <w:color w:val="111111"/>
          <w:sz w:val="28"/>
          <w:szCs w:val="28"/>
          <w:rtl/>
        </w:rPr>
        <w:t xml:space="preserve">6 . حاشية شرح الميبدي على هداية</w:t>
      </w:r>
    </w:p>
    <w:p>
      <w:pPr>
        <w:pStyle w:val="BookText"/>
      </w:pPr>
      <w:r>
        <w:rPr>
          <w:rFonts w:ascii="Amiri" w:hAnsi="Amiri" w:eastAsia="Amiri" w:cs="Amiri"/>
          <w:lang w:bidi="ar-SA"/>
          <w:color w:val="111111"/>
          <w:sz w:val="28"/>
          <w:szCs w:val="28"/>
          <w:rtl/>
        </w:rPr>
        <w:t xml:space="preserve">الحكمة، ج6 ، ص 207.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المناظرة (رسالة في)، ج 15، ص 513.</w:t>
      </w:r>
    </w:p>
    <w:p>
      <w:pPr>
        <w:pStyle w:val="BookText"/>
      </w:pPr>
      <w:r>
        <w:rPr>
          <w:rFonts w:ascii="Amiri" w:hAnsi="Amiri" w:eastAsia="Amiri" w:cs="Amiri"/>
          <w:lang w:bidi="ar-SA"/>
          <w:color w:val="111111"/>
          <w:sz w:val="28"/>
          <w:szCs w:val="28"/>
          <w:rtl/>
        </w:rPr>
        <w:t xml:space="preserve">8 .المنطق (رسالة في)، ج 15 ، ص 696 .</w:t>
      </w:r>
    </w:p>
    <w:p>
      <w:pPr>
        <w:pStyle w:val="BookText"/>
      </w:pPr>
      <w:r>
        <w:rPr>
          <w:rFonts w:ascii="IRNazanin" w:hAnsi="IRNazanin" w:eastAsia="IRNazanin" w:cs="IRNazanin"/>
          <w:lang w:bidi="fa-IR"/>
          <w:color w:val="111111"/>
          <w:sz w:val="28"/>
          <w:szCs w:val="28"/>
          <w:rtl/>
        </w:rPr>
        <w:t xml:space="preserve">فخرالدین رازی -فخر رازي ، محمّد بن عمر</w:t>
      </w:r>
    </w:p>
    <w:p>
      <w:pPr>
        <w:pStyle w:val="BookText"/>
      </w:pPr>
      <w:r>
        <w:rPr>
          <w:rFonts w:ascii="Amiri" w:hAnsi="Amiri" w:eastAsia="Amiri" w:cs="Amiri"/>
          <w:lang w:bidi="ar-SA"/>
          <w:color w:val="111111"/>
          <w:sz w:val="28"/>
          <w:szCs w:val="28"/>
          <w:rtl/>
        </w:rPr>
        <w:t xml:space="preserve">فخر الدين رفاعي ، احمد بن محمّد -سبعي ، احمد بن محمّد</w:t>
      </w:r>
    </w:p>
    <w:p>
      <w:pPr>
        <w:pStyle w:val="Heading2"/>
      </w:pPr>
      <w:bookmarkStart w:id="6327" w:name="_Toc5429"/>
      <w:r>
        <w:t>فخرالدين رومي ، يحيى بن عبدالله</w:t>
      </w:r>
      <w:bookmarkEnd w:id="6327"/>
    </w:p>
    <w:p>
      <w:pPr>
        <w:pStyle w:val="BookText"/>
      </w:pPr>
      <w:r>
        <w:rPr>
          <w:rFonts w:ascii="IRNazanin" w:hAnsi="IRNazanin" w:eastAsia="IRNazanin" w:cs="IRNazanin"/>
          <w:lang w:bidi="fa-IR"/>
          <w:color w:val="111111"/>
          <w:sz w:val="28"/>
          <w:szCs w:val="28"/>
          <w:rtl/>
        </w:rPr>
        <w:t xml:space="preserve">864 ه-</w:t>
      </w:r>
    </w:p>
    <w:p>
      <w:pPr>
        <w:pStyle w:val="BookText"/>
      </w:pPr>
      <w:r>
        <w:rPr>
          <w:rFonts w:ascii="Amiri" w:hAnsi="Amiri" w:eastAsia="Amiri" w:cs="Amiri"/>
          <w:lang w:bidi="ar-SA"/>
          <w:color w:val="111111"/>
          <w:sz w:val="28"/>
          <w:szCs w:val="28"/>
          <w:rtl/>
        </w:rPr>
        <w:t xml:space="preserve">1 .فرائد اللآلي، ج 11، ص 745.</w:t>
      </w:r>
    </w:p>
    <w:p>
      <w:pPr>
        <w:pStyle w:val="BookText"/>
      </w:pPr>
      <w:r>
        <w:rPr>
          <w:rFonts w:ascii="Amiri" w:hAnsi="Amiri" w:eastAsia="Amiri" w:cs="Amiri"/>
          <w:lang w:bidi="ar-SA"/>
          <w:color w:val="111111"/>
          <w:sz w:val="28"/>
          <w:szCs w:val="28"/>
          <w:rtl/>
        </w:rPr>
        <w:t xml:space="preserve">2.مشتمل الاحكام، ج 14 ، ص 621 .</w:t>
      </w:r>
    </w:p>
    <w:p>
      <w:pPr>
        <w:pStyle w:val="BookText"/>
      </w:pPr>
      <w:r>
        <w:rPr>
          <w:rFonts w:ascii="Amiri" w:hAnsi="Amiri" w:eastAsia="Amiri" w:cs="Amiri"/>
          <w:lang w:bidi="ar-SA"/>
          <w:color w:val="111111"/>
          <w:sz w:val="28"/>
          <w:szCs w:val="28"/>
          <w:rtl/>
        </w:rPr>
        <w:t xml:space="preserve">فخرالدين زواري، علي بن حسن -زواره اي</w:t>
      </w:r>
    </w:p>
    <w:p>
      <w:pPr>
        <w:pStyle w:val="BookText"/>
      </w:pPr>
      <w:r>
        <w:rPr>
          <w:rFonts w:ascii="Amiri" w:hAnsi="Amiri" w:eastAsia="Amiri" w:cs="Amiri"/>
          <w:lang w:bidi="ar-SA"/>
          <w:color w:val="111111"/>
          <w:sz w:val="28"/>
          <w:szCs w:val="28"/>
          <w:rtl/>
        </w:rPr>
        <w:t xml:space="preserve">، علي بن حسن</w:t>
      </w:r>
    </w:p>
    <w:p>
      <w:pPr>
        <w:pStyle w:val="BookText"/>
      </w:pPr>
      <w:r>
        <w:rPr>
          <w:rFonts w:ascii="Amiri" w:hAnsi="Amiri" w:eastAsia="Amiri" w:cs="Amiri"/>
          <w:lang w:bidi="ar-SA"/>
          <w:color w:val="111111"/>
          <w:sz w:val="28"/>
          <w:szCs w:val="28"/>
          <w:rtl/>
        </w:rPr>
        <w:t xml:space="preserve">فخر الدين شيرازي ، احمد بن</w:t>
      </w:r>
    </w:p>
    <w:p>
      <w:pPr>
        <w:pStyle w:val="BookText"/>
      </w:pPr>
      <w:r>
        <w:rPr>
          <w:rFonts w:ascii="Amiri" w:hAnsi="Amiri" w:eastAsia="Amiri" w:cs="Amiri"/>
          <w:lang w:bidi="ar-SA"/>
          <w:color w:val="111111"/>
          <w:sz w:val="28"/>
          <w:szCs w:val="28"/>
          <w:rtl/>
        </w:rPr>
        <w:t xml:space="preserve">محمّد -مرعشي ، احمد بن ابي بكر</w:t>
      </w:r>
    </w:p>
    <w:p>
      <w:pPr>
        <w:pStyle w:val="Heading2"/>
      </w:pPr>
      <w:bookmarkStart w:id="6328" w:name="_Toc5430"/>
      <w:r>
        <w:t>فخرالدين صفي ، علي بن حسين 868 -</w:t>
      </w:r>
      <w:bookmarkEnd w:id="6328"/>
    </w:p>
    <w:p>
      <w:pPr>
        <w:pStyle w:val="BookText"/>
      </w:pPr>
      <w:r>
        <w:rPr>
          <w:rFonts w:ascii="IRNazanin" w:hAnsi="IRNazanin" w:eastAsia="IRNazanin" w:cs="IRNazanin"/>
          <w:lang w:bidi="fa-IR"/>
          <w:color w:val="111111"/>
          <w:sz w:val="28"/>
          <w:szCs w:val="28"/>
          <w:rtl/>
        </w:rPr>
        <w:t xml:space="preserve">939 ه-</w:t>
      </w:r>
    </w:p>
    <w:p>
      <w:pPr>
        <w:pStyle w:val="BookText"/>
      </w:pPr>
      <w:r>
        <w:rPr>
          <w:rFonts w:ascii="Amiri" w:hAnsi="Amiri" w:eastAsia="Amiri" w:cs="Amiri"/>
          <w:lang w:bidi="ar-SA"/>
          <w:color w:val="111111"/>
          <w:sz w:val="28"/>
          <w:szCs w:val="28"/>
          <w:rtl/>
        </w:rPr>
        <w:t xml:space="preserve">1 .اربعون حديثا، ج 1، ص 696.</w:t>
      </w:r>
    </w:p>
    <w:p>
      <w:pPr>
        <w:pStyle w:val="BookText"/>
      </w:pPr>
      <w:r>
        <w:rPr>
          <w:rFonts w:ascii="IRNazanin" w:hAnsi="IRNazanin" w:eastAsia="IRNazanin" w:cs="IRNazanin"/>
          <w:lang w:bidi="fa-IR"/>
          <w:color w:val="111111"/>
          <w:sz w:val="28"/>
          <w:szCs w:val="28"/>
          <w:rtl/>
        </w:rPr>
        <w:t xml:space="preserve">2 .حرز الامان من فتن الزمان، ج6،</w:t>
      </w:r>
    </w:p>
    <w:p>
      <w:pPr>
        <w:pStyle w:val="BookText"/>
      </w:pPr>
      <w:r>
        <w:rPr>
          <w:rFonts w:ascii="IRNazanin" w:hAnsi="IRNazanin" w:eastAsia="IRNazanin" w:cs="IRNazanin"/>
          <w:lang w:bidi="fa-IR"/>
          <w:color w:val="111111"/>
          <w:sz w:val="28"/>
          <w:szCs w:val="28"/>
          <w:rtl/>
        </w:rPr>
        <w:t xml:space="preserve">ص 603.</w:t>
      </w:r>
    </w:p>
    <w:p>
      <w:pPr>
        <w:pStyle w:val="BookText"/>
      </w:pPr>
      <w:r>
        <w:rPr>
          <w:rFonts w:ascii="Amiri" w:hAnsi="Amiri" w:eastAsia="Amiri" w:cs="Amiri"/>
          <w:lang w:bidi="ar-SA"/>
          <w:color w:val="111111"/>
          <w:sz w:val="28"/>
          <w:szCs w:val="28"/>
          <w:rtl/>
        </w:rPr>
        <w:t xml:space="preserve">3.رشحات عين الحيات، ج 8، ص 306.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كشف الاسرار، ج13، ص 183.</w:t>
      </w:r>
    </w:p>
    <w:p>
      <w:pPr>
        <w:pStyle w:val="BookText"/>
      </w:pPr>
      <w:r>
        <w:rPr>
          <w:rFonts w:ascii="IRNazanin" w:hAnsi="IRNazanin" w:eastAsia="IRNazanin" w:cs="IRNazanin"/>
          <w:lang w:bidi="fa-IR"/>
          <w:color w:val="111111"/>
          <w:sz w:val="28"/>
          <w:szCs w:val="28"/>
          <w:rtl/>
        </w:rPr>
        <w:t xml:space="preserve">5 .لطائف الظرائف، ج13، ص 579.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44" w:name="pg7742_70961"/>
    <w:bookmarkEnd w:id="844"/>
    <w:p>
      <w:pPr>
        <w:pStyle w:val="BookText"/>
      </w:pPr>
      <w:r>
        <w:rPr>
          <w:rFonts w:ascii="Amiri" w:hAnsi="Amiri" w:eastAsia="Amiri" w:cs="Amiri"/>
          <w:lang w:bidi="ar-SA"/>
          <w:color w:val="111111"/>
          <w:sz w:val="28"/>
          <w:szCs w:val="28"/>
          <w:rtl/>
        </w:rPr>
        <w:t xml:space="preserve">فخر الدين طريحي -طريحي ، فخر الدين</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فخر الدين عراقي- عراقي ، ابراهيم بن</w:t>
      </w:r>
    </w:p>
    <w:p>
      <w:pPr>
        <w:pStyle w:val="BookText"/>
      </w:pPr>
      <w:r>
        <w:rPr>
          <w:rFonts w:ascii="IRNazanin" w:hAnsi="IRNazanin" w:eastAsia="IRNazanin" w:cs="IRNazanin"/>
          <w:lang w:bidi="fa-IR"/>
          <w:color w:val="111111"/>
          <w:sz w:val="28"/>
          <w:szCs w:val="28"/>
          <w:rtl/>
        </w:rPr>
        <w:t xml:space="preserve">بزرگمهر</w:t>
      </w:r>
    </w:p>
    <w:p>
      <w:pPr>
        <w:pStyle w:val="BookText"/>
      </w:pPr>
      <w:r>
        <w:rPr>
          <w:rFonts w:ascii="Amiri" w:hAnsi="Amiri" w:eastAsia="Amiri" w:cs="Amiri"/>
          <w:lang w:bidi="ar-SA"/>
          <w:color w:val="111111"/>
          <w:sz w:val="28"/>
          <w:szCs w:val="28"/>
          <w:rtl/>
        </w:rPr>
        <w:t xml:space="preserve">فخرالدين ماوراء النهري- تركستاني</w:t>
      </w:r>
    </w:p>
    <w:p>
      <w:pPr>
        <w:pStyle w:val="BookText"/>
      </w:pPr>
      <w:r>
        <w:rPr>
          <w:rFonts w:ascii="IRNazanin" w:hAnsi="IRNazanin" w:eastAsia="IRNazanin" w:cs="IRNazanin"/>
          <w:lang w:bidi="fa-IR"/>
          <w:color w:val="111111"/>
          <w:sz w:val="28"/>
          <w:szCs w:val="28"/>
          <w:rtl/>
        </w:rPr>
        <w:t xml:space="preserve">فخرالدین</w:t>
      </w:r>
    </w:p>
    <w:p>
      <w:pPr>
        <w:pStyle w:val="Heading2"/>
      </w:pPr>
      <w:bookmarkStart w:id="6329" w:name="_Toc5431"/>
      <w:r>
        <w:t>فخرالدین محمّد التباني</w:t>
      </w:r>
      <w:bookmarkEnd w:id="6329"/>
    </w:p>
    <w:p>
      <w:pPr>
        <w:pStyle w:val="BookText"/>
      </w:pPr>
      <w:r>
        <w:rPr>
          <w:rFonts w:ascii="Amiri" w:hAnsi="Amiri" w:eastAsia="Amiri" w:cs="Amiri"/>
          <w:lang w:bidi="ar-SA"/>
          <w:color w:val="111111"/>
          <w:sz w:val="28"/>
          <w:szCs w:val="28"/>
          <w:rtl/>
        </w:rPr>
        <w:t xml:space="preserve">آثار الكواكب، ج 1، ص 9.</w:t>
      </w:r>
    </w:p>
    <w:p>
      <w:pPr>
        <w:pStyle w:val="BookText"/>
      </w:pPr>
      <w:r>
        <w:rPr>
          <w:rFonts w:ascii="Amiri" w:hAnsi="Amiri" w:eastAsia="Amiri" w:cs="Amiri"/>
          <w:lang w:bidi="ar-SA"/>
          <w:color w:val="111111"/>
          <w:sz w:val="28"/>
          <w:szCs w:val="28"/>
          <w:rtl/>
        </w:rPr>
        <w:t xml:space="preserve">فخر الدين محمّد بن حسن- بن طي ابن</w:t>
      </w:r>
    </w:p>
    <w:p>
      <w:pPr>
        <w:pStyle w:val="BookText"/>
      </w:pPr>
      <w:r>
        <w:rPr>
          <w:rFonts w:ascii="Amiri" w:hAnsi="Amiri" w:eastAsia="Amiri" w:cs="Amiri"/>
          <w:lang w:bidi="ar-SA"/>
          <w:color w:val="111111"/>
          <w:sz w:val="28"/>
          <w:szCs w:val="28"/>
          <w:rtl/>
        </w:rPr>
        <w:t xml:space="preserve">طي ، محمّد بن حسن</w:t>
      </w:r>
    </w:p>
    <w:p>
      <w:pPr>
        <w:pStyle w:val="BookText"/>
      </w:pPr>
      <w:r>
        <w:rPr>
          <w:rFonts w:ascii="Amiri" w:hAnsi="Amiri" w:eastAsia="Amiri" w:cs="Amiri"/>
          <w:lang w:bidi="ar-SA"/>
          <w:color w:val="111111"/>
          <w:sz w:val="28"/>
          <w:szCs w:val="28"/>
          <w:rtl/>
        </w:rPr>
        <w:t xml:space="preserve">فخر الكتاب ، الحسين بن علي - طغرائي ،</w:t>
      </w:r>
    </w:p>
    <w:p>
      <w:pPr>
        <w:pStyle w:val="BookText"/>
      </w:pPr>
      <w:r>
        <w:rPr>
          <w:rFonts w:ascii="Amiri" w:hAnsi="Amiri" w:eastAsia="Amiri" w:cs="Amiri"/>
          <w:lang w:bidi="ar-SA"/>
          <w:color w:val="111111"/>
          <w:sz w:val="28"/>
          <w:szCs w:val="28"/>
          <w:rtl/>
        </w:rPr>
        <w:t xml:space="preserve">حسين بن علي</w:t>
      </w:r>
    </w:p>
    <w:p>
      <w:pPr>
        <w:pStyle w:val="Heading2"/>
      </w:pPr>
      <w:bookmarkStart w:id="6330" w:name="_Toc5432"/>
      <w:r>
        <w:t>فخر المحققين ، محمّد بن حسن 682</w:t>
      </w:r>
      <w:bookmarkEnd w:id="6330"/>
    </w:p>
    <w:p>
      <w:pPr>
        <w:pStyle w:val="BookText"/>
      </w:pPr>
      <w:r>
        <w:rPr>
          <w:rFonts w:ascii="IRNazanin" w:hAnsi="IRNazanin" w:eastAsia="IRNazanin" w:cs="IRNazanin"/>
          <w:lang w:bidi="fa-IR"/>
          <w:color w:val="111111"/>
          <w:sz w:val="28"/>
          <w:szCs w:val="28"/>
          <w:rtl/>
        </w:rPr>
        <w:t xml:space="preserve">771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ارشاد المسترشدين وهداية الطالبين = واجب الاعتقاد، ج 2،</w:t>
      </w:r>
    </w:p>
    <w:p>
      <w:pPr>
        <w:pStyle w:val="BookText"/>
      </w:pPr>
      <w:r>
        <w:rPr>
          <w:rFonts w:ascii="IRNazanin" w:hAnsi="IRNazanin" w:eastAsia="IRNazanin" w:cs="IRNazanin"/>
          <w:lang w:bidi="fa-IR"/>
          <w:color w:val="111111"/>
          <w:sz w:val="28"/>
          <w:szCs w:val="28"/>
          <w:rtl/>
        </w:rPr>
        <w:t xml:space="preserve">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أصول الدين (رسالة في)، ج 2،</w:t>
      </w:r>
    </w:p>
    <w:p>
      <w:pPr>
        <w:pStyle w:val="BookText"/>
      </w:pPr>
      <w:r>
        <w:rPr>
          <w:rFonts w:ascii="IRNazanin" w:hAnsi="IRNazanin" w:eastAsia="IRNazanin" w:cs="IRNazanin"/>
          <w:lang w:bidi="fa-IR"/>
          <w:color w:val="111111"/>
          <w:sz w:val="28"/>
          <w:szCs w:val="28"/>
          <w:rtl/>
        </w:rPr>
        <w:t xml:space="preserve">ص 411.</w:t>
      </w:r>
    </w:p>
    <w:p>
      <w:pPr>
        <w:pStyle w:val="BookText"/>
      </w:pPr>
      <w:r>
        <w:rPr>
          <w:rFonts w:ascii="Amiri" w:hAnsi="Amiri" w:eastAsia="Amiri" w:cs="Amiri"/>
          <w:lang w:bidi="ar-SA"/>
          <w:color w:val="111111"/>
          <w:sz w:val="28"/>
          <w:szCs w:val="28"/>
          <w:rtl/>
        </w:rPr>
        <w:t xml:space="preserve">3.ايضاح الفوائد في شرح مشكلات</w:t>
      </w:r>
    </w:p>
    <w:p>
      <w:pPr>
        <w:pStyle w:val="BookText"/>
      </w:pPr>
      <w:r>
        <w:rPr>
          <w:rFonts w:ascii="IRNazanin" w:hAnsi="IRNazanin" w:eastAsia="IRNazanin" w:cs="IRNazanin"/>
          <w:lang w:bidi="fa-IR"/>
          <w:color w:val="111111"/>
          <w:sz w:val="28"/>
          <w:szCs w:val="28"/>
          <w:rtl/>
        </w:rPr>
        <w:t xml:space="preserve">القواعد، ج3، ص122</w:t>
      </w:r>
    </w:p>
    <w:p>
      <w:pPr>
        <w:pStyle w:val="BookText"/>
      </w:pPr>
      <w:r>
        <w:rPr>
          <w:rFonts w:ascii="Amiri" w:hAnsi="Amiri" w:eastAsia="Amiri" w:cs="Amiri"/>
          <w:lang w:bidi="ar-SA"/>
          <w:color w:val="111111"/>
          <w:sz w:val="28"/>
          <w:szCs w:val="28"/>
          <w:rtl/>
        </w:rPr>
        <w:t xml:space="preserve">4 .جامع الفوائد في شرح خطبة القواعد، ج 5، ص 314.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جواب فخر المحققين عن السؤال</w:t>
      </w:r>
    </w:p>
    <w:p>
      <w:pPr>
        <w:pStyle w:val="BookText"/>
      </w:pPr>
      <w:r>
        <w:rPr>
          <w:rFonts w:ascii="Amiri" w:hAnsi="Amiri" w:eastAsia="Amiri" w:cs="Amiri"/>
          <w:lang w:bidi="ar-SA"/>
          <w:color w:val="111111"/>
          <w:sz w:val="28"/>
          <w:szCs w:val="28"/>
          <w:rtl/>
        </w:rPr>
        <w:t xml:space="preserve">حول بعض التعابير العلامة في قواعد الاحكام، ج 5، ص 505.</w:t>
      </w:r>
    </w:p>
    <w:p>
      <w:pPr>
        <w:pStyle w:val="BookText"/>
      </w:pPr>
      <w:r>
        <w:rPr>
          <w:rFonts w:ascii="Amiri" w:hAnsi="Amiri" w:eastAsia="Amiri" w:cs="Amiri"/>
          <w:lang w:bidi="ar-SA"/>
          <w:color w:val="111111"/>
          <w:sz w:val="28"/>
          <w:szCs w:val="28"/>
          <w:rtl/>
        </w:rPr>
        <w:t xml:space="preserve">6 .حاشية ارشاد الاذهان، ج 5، ص 658.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عقاید فخرالدین = الاعتقادات</w:t>
      </w:r>
    </w:p>
    <w:p>
      <w:pPr>
        <w:pStyle w:val="BookText"/>
      </w:pPr>
      <w:r>
        <w:rPr>
          <w:rFonts w:ascii="IRNazanin" w:hAnsi="IRNazanin" w:eastAsia="IRNazanin" w:cs="IRNazanin"/>
          <w:lang w:bidi="fa-IR"/>
          <w:color w:val="111111"/>
          <w:sz w:val="28"/>
          <w:szCs w:val="28"/>
          <w:rtl/>
        </w:rPr>
        <w:t xml:space="preserve">ج 11، ص 152.</w:t>
      </w:r>
    </w:p>
    <w:p>
      <w:pPr>
        <w:pStyle w:val="BookText"/>
      </w:pPr>
      <w:r>
        <w:rPr>
          <w:rFonts w:ascii="Amiri" w:hAnsi="Amiri" w:eastAsia="Amiri" w:cs="Amiri"/>
          <w:lang w:bidi="ar-SA"/>
          <w:color w:val="111111"/>
          <w:sz w:val="28"/>
          <w:szCs w:val="28"/>
          <w:rtl/>
        </w:rPr>
        <w:t xml:space="preserve">8 .الفخرية في معرفة النية، ج 11،</w:t>
      </w:r>
    </w:p>
    <w:p>
      <w:pPr>
        <w:pStyle w:val="BookText"/>
      </w:pPr>
      <w:r>
        <w:rPr>
          <w:rFonts w:ascii="IRNazanin" w:hAnsi="IRNazanin" w:eastAsia="IRNazanin" w:cs="IRNazanin"/>
          <w:lang w:bidi="fa-IR"/>
          <w:color w:val="111111"/>
          <w:sz w:val="28"/>
          <w:szCs w:val="28"/>
          <w:rtl/>
        </w:rPr>
        <w:t xml:space="preserve">ص 723.</w:t>
      </w:r>
    </w:p>
    <w:p>
      <w:pPr>
        <w:pStyle w:val="BookText"/>
      </w:pPr>
      <w:r>
        <w:rPr>
          <w:rFonts w:ascii="Amiri" w:hAnsi="Amiri" w:eastAsia="Amiri" w:cs="Amiri"/>
          <w:lang w:bidi="ar-SA"/>
          <w:color w:val="111111"/>
          <w:sz w:val="28"/>
          <w:szCs w:val="28"/>
          <w:rtl/>
        </w:rPr>
        <w:t xml:space="preserve">9 .المسائل الفقهية، ج 14، ص 462.</w:t>
      </w:r>
    </w:p>
    <w:p>
      <w:pPr>
        <w:pStyle w:val="BookText"/>
      </w:pPr>
      <w:r>
        <w:rPr>
          <w:rFonts w:ascii="Amiri" w:hAnsi="Amiri" w:eastAsia="Amiri" w:cs="Amiri"/>
          <w:lang w:bidi="ar-SA"/>
          <w:color w:val="111111"/>
          <w:sz w:val="28"/>
          <w:szCs w:val="28"/>
          <w:rtl/>
        </w:rPr>
        <w:t xml:space="preserve">10 .مسائل المدنيات، ج 14، ص 487 .</w:t>
      </w:r>
    </w:p>
    <w:p>
      <w:pPr>
        <w:pStyle w:val="BookText"/>
      </w:pPr>
      <w:r>
        <w:rPr>
          <w:rFonts w:ascii="Amiri" w:hAnsi="Amiri" w:eastAsia="Amiri" w:cs="Amiri"/>
          <w:lang w:bidi="ar-SA"/>
          <w:color w:val="111111"/>
          <w:sz w:val="28"/>
          <w:szCs w:val="28"/>
          <w:rtl/>
        </w:rPr>
        <w:t xml:space="preserve">11 .معراج اليقين في شرح نهج</w:t>
      </w:r>
    </w:p>
    <w:p>
      <w:pPr>
        <w:pStyle w:val="BookText"/>
      </w:pPr>
      <w:r>
        <w:rPr>
          <w:rFonts w:ascii="IRNazanin" w:hAnsi="IRNazanin" w:eastAsia="IRNazanin" w:cs="IRNazanin"/>
          <w:lang w:bidi="fa-IR"/>
          <w:color w:val="111111"/>
          <w:sz w:val="28"/>
          <w:szCs w:val="28"/>
          <w:rtl/>
        </w:rPr>
        <w:t xml:space="preserve">المسترشدین، ج 15، ص38</w:t>
      </w:r>
    </w:p>
    <w:p>
      <w:pPr>
        <w:pStyle w:val="BookText"/>
      </w:pPr>
      <w:r>
        <w:rPr>
          <w:rFonts w:ascii="Amiri" w:hAnsi="Amiri" w:eastAsia="Amiri" w:cs="Amiri"/>
          <w:lang w:bidi="ar-SA"/>
          <w:color w:val="111111"/>
          <w:sz w:val="28"/>
          <w:szCs w:val="28"/>
          <w:rtl/>
        </w:rPr>
        <w:t xml:space="preserve">12 .النكت الاعتقادية = الرسالة الجوابية، ج 16، ص 461.</w:t>
      </w:r>
    </w:p>
    <w:p>
      <w:pPr>
        <w:pStyle w:val="BookText"/>
      </w:pPr>
      <w:r>
        <w:rPr>
          <w:rFonts w:ascii="Amiri" w:hAnsi="Amiri" w:eastAsia="Amiri" w:cs="Amiri"/>
          <w:lang w:bidi="ar-SA"/>
          <w:color w:val="111111"/>
          <w:sz w:val="28"/>
          <w:szCs w:val="28"/>
          <w:rtl/>
        </w:rPr>
        <w:t xml:space="preserve">فخر خراسان ، محمّد بن احمد -بهشتي</w:t>
      </w:r>
    </w:p>
    <w:p>
      <w:pPr>
        <w:pStyle w:val="BookText"/>
      </w:pPr>
      <w:r>
        <w:rPr>
          <w:rFonts w:ascii="Amiri" w:hAnsi="Amiri" w:eastAsia="Amiri" w:cs="Amiri"/>
          <w:lang w:bidi="ar-SA"/>
          <w:color w:val="111111"/>
          <w:sz w:val="28"/>
          <w:szCs w:val="28"/>
          <w:rtl/>
        </w:rPr>
        <w:t xml:space="preserve">اسفرايني ، محمّد بن احمد</w:t>
      </w:r>
    </w:p>
    <w:p>
      <w:pPr>
        <w:pStyle w:val="BookText"/>
      </w:pPr>
      <w:r>
        <w:rPr>
          <w:rFonts w:ascii="Amiri" w:hAnsi="Amiri" w:eastAsia="Amiri" w:cs="Amiri"/>
          <w:lang w:bidi="ar-SA"/>
          <w:color w:val="111111"/>
          <w:sz w:val="28"/>
          <w:szCs w:val="28"/>
          <w:rtl/>
        </w:rPr>
        <w:t xml:space="preserve">فخر خوارزم، محمود بن عمر- زمخشري ، محمود بن عمر</w:t>
      </w:r>
    </w:p>
    <w:p>
      <w:pPr>
        <w:pStyle w:val="Heading2"/>
      </w:pPr>
      <w:bookmarkStart w:id="6331" w:name="_Toc5433"/>
      <w:r>
        <w:t>فخر رازي محمّد بن عمر 9544-606 ه-</w:t>
      </w:r>
      <w:bookmarkEnd w:id="6331"/>
    </w:p>
    <w:p>
      <w:pPr>
        <w:pStyle w:val="BookText"/>
      </w:pPr>
      <w:r>
        <w:rPr>
          <w:rFonts w:ascii="Amiri" w:hAnsi="Amiri" w:eastAsia="Amiri" w:cs="Amiri"/>
          <w:lang w:bidi="ar-SA"/>
          <w:color w:val="111111"/>
          <w:sz w:val="28"/>
          <w:szCs w:val="28"/>
          <w:rtl/>
        </w:rPr>
        <w:t xml:space="preserve">1 .اختيارات العلائية في الاختيارات السماوية = الاحكام العلائية في</w:t>
      </w:r>
    </w:p>
    <w:p>
      <w:pPr>
        <w:pStyle w:val="BookText"/>
      </w:pPr>
      <w:r>
        <w:rPr>
          <w:rFonts w:ascii="Amiri" w:hAnsi="Amiri" w:eastAsia="Amiri" w:cs="Amiri"/>
          <w:lang w:bidi="ar-SA"/>
          <w:color w:val="111111"/>
          <w:sz w:val="28"/>
          <w:szCs w:val="28"/>
          <w:rtl/>
        </w:rPr>
        <w:t xml:space="preserve">اعلام السماوية، ج1، ص 559.</w:t>
      </w:r>
    </w:p>
    <w:p>
      <w:pPr>
        <w:pStyle w:val="BookText"/>
      </w:pPr>
      <w:r>
        <w:rPr>
          <w:rFonts w:ascii="Amiri" w:hAnsi="Amiri" w:eastAsia="Amiri" w:cs="Amiri"/>
          <w:lang w:bidi="ar-SA"/>
          <w:color w:val="111111"/>
          <w:sz w:val="28"/>
          <w:szCs w:val="28"/>
          <w:rtl/>
        </w:rPr>
        <w:t xml:space="preserve">2 .الاربعين في اصول الدين، ج1،</w:t>
      </w:r>
    </w:p>
    <w:p>
      <w:pPr>
        <w:pStyle w:val="BookText"/>
      </w:pPr>
      <w:r>
        <w:rPr>
          <w:rFonts w:ascii="IRNazanin" w:hAnsi="IRNazanin" w:eastAsia="IRNazanin" w:cs="IRNazanin"/>
          <w:lang w:bidi="fa-IR"/>
          <w:color w:val="111111"/>
          <w:sz w:val="28"/>
          <w:szCs w:val="28"/>
          <w:rtl/>
        </w:rPr>
        <w:t xml:space="preserve">ص 742.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اسرار التنزيل و انوار التأويل، ج2،</w:t>
      </w:r>
    </w:p>
    <w:p>
      <w:pPr>
        <w:pStyle w:val="BookText"/>
      </w:pPr>
      <w:r>
        <w:rPr>
          <w:rFonts w:ascii="IRNazanin" w:hAnsi="IRNazanin" w:eastAsia="IRNazanin" w:cs="IRNazanin"/>
          <w:lang w:bidi="fa-IR"/>
          <w:color w:val="111111"/>
          <w:sz w:val="28"/>
          <w:szCs w:val="28"/>
          <w:rtl/>
        </w:rPr>
        <w:t xml:space="preserve">ص 164.</w:t>
      </w:r>
    </w:p>
    <w:p>
      <w:pPr>
        <w:pStyle w:val="BookText"/>
      </w:pPr>
      <w:r>
        <w:rPr>
          <w:rFonts w:ascii="Amiri" w:hAnsi="Amiri" w:eastAsia="Amiri" w:cs="Amiri"/>
          <w:lang w:bidi="ar-SA"/>
          <w:color w:val="111111"/>
          <w:sz w:val="28"/>
          <w:szCs w:val="28"/>
          <w:rtl/>
        </w:rPr>
        <w:t xml:space="preserve">4 .الاسم و المسمى (رسالة) في)، ج 2،</w:t>
      </w:r>
    </w:p>
    <w:p>
      <w:pPr>
        <w:pStyle w:val="BookText"/>
      </w:pPr>
      <w:r>
        <w:rPr>
          <w:rFonts w:ascii="IRNazanin" w:hAnsi="IRNazanin" w:eastAsia="IRNazanin" w:cs="IRNazanin"/>
          <w:lang w:bidi="fa-IR"/>
          <w:color w:val="111111"/>
          <w:sz w:val="28"/>
          <w:szCs w:val="28"/>
          <w:rtl/>
        </w:rPr>
        <w:t xml:space="preserve">ص 240 .</w:t>
      </w:r>
    </w:p>
    <w:p>
      <w:pPr>
        <w:pStyle w:val="BookText"/>
      </w:pPr>
      <w:r>
        <w:rPr>
          <w:rFonts w:ascii="IRNazanin" w:hAnsi="IRNazanin" w:eastAsia="IRNazanin" w:cs="IRNazanin"/>
          <w:lang w:bidi="fa-IR"/>
          <w:color w:val="111111"/>
          <w:sz w:val="28"/>
          <w:szCs w:val="28"/>
          <w:rtl/>
        </w:rPr>
        <w:t xml:space="preserve">5 .اصول الفقه، ج 2، ص 431 .</w:t>
      </w:r>
    </w:p>
    <w:p>
      <w:pPr>
        <w:pStyle w:val="BookText"/>
      </w:pPr>
      <w:r>
        <w:rPr>
          <w:rFonts w:ascii="IRNazanin" w:hAnsi="IRNazanin" w:eastAsia="IRNazanin" w:cs="IRNazanin"/>
          <w:lang w:bidi="fa-IR"/>
          <w:color w:val="111111"/>
          <w:sz w:val="28"/>
          <w:szCs w:val="28"/>
          <w:rtl/>
        </w:rPr>
        <w:t xml:space="preserve">6 .البصائر والذخائر، ج 3، ص 349.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تأسيس التقديس في الرد على اهل</w:t>
      </w:r>
    </w:p>
    <w:p>
      <w:pPr>
        <w:pStyle w:val="BookText"/>
      </w:pPr>
      <w:r>
        <w:rPr>
          <w:rFonts w:ascii="Amiri" w:hAnsi="Amiri" w:eastAsia="Amiri" w:cs="Amiri"/>
          <w:lang w:bidi="ar-SA"/>
          <w:color w:val="111111"/>
          <w:sz w:val="28"/>
          <w:szCs w:val="28"/>
          <w:rtl/>
        </w:rPr>
        <w:t xml:space="preserve">التشبيه، ج 3، ص 618.</w:t>
      </w:r>
    </w:p>
    <w:p>
      <w:pPr>
        <w:pStyle w:val="BookText"/>
      </w:pPr>
      <w:r>
        <w:rPr>
          <w:rFonts w:ascii="Amiri" w:hAnsi="Amiri" w:eastAsia="Amiri" w:cs="Amiri"/>
          <w:lang w:bidi="ar-SA"/>
          <w:color w:val="111111"/>
          <w:sz w:val="28"/>
          <w:szCs w:val="28"/>
          <w:rtl/>
        </w:rPr>
        <w:t xml:space="preserve">8 .تأويل المتشابهات من الاخبار و</w:t>
      </w:r>
    </w:p>
    <w:p>
      <w:pPr>
        <w:pStyle w:val="BookText"/>
      </w:pPr>
      <w:r>
        <w:rPr>
          <w:rFonts w:ascii="Amiri" w:hAnsi="Amiri" w:eastAsia="Amiri" w:cs="Amiri"/>
          <w:lang w:bidi="ar-SA"/>
          <w:color w:val="111111"/>
          <w:sz w:val="28"/>
          <w:szCs w:val="28"/>
          <w:rtl/>
        </w:rPr>
        <w:t xml:space="preserve">الآيات، ج 3، ص 629 .</w:t>
      </w:r>
    </w:p>
    <w:p>
      <w:pPr>
        <w:pStyle w:val="BookText"/>
      </w:pPr>
      <w:r>
        <w:rPr>
          <w:rFonts w:ascii="Amiri" w:hAnsi="Amiri" w:eastAsia="Amiri" w:cs="Amiri"/>
          <w:lang w:bidi="ar-SA"/>
          <w:color w:val="111111"/>
          <w:sz w:val="28"/>
          <w:szCs w:val="28"/>
          <w:rtl/>
        </w:rPr>
        <w:t xml:space="preserve">9 .تفسير الرحمن الرحيم، جع،</w:t>
      </w:r>
    </w:p>
    <w:p>
      <w:pPr>
        <w:pStyle w:val="BookText"/>
      </w:pPr>
      <w:r>
        <w:rPr>
          <w:rFonts w:ascii="IRNazanin" w:hAnsi="IRNazanin" w:eastAsia="IRNazanin" w:cs="IRNazanin"/>
          <w:lang w:bidi="fa-IR"/>
          <w:color w:val="111111"/>
          <w:sz w:val="28"/>
          <w:szCs w:val="28"/>
          <w:rtl/>
        </w:rPr>
        <w:t xml:space="preserve">ص 622 .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45" w:name="pg7742_70963"/>
    <w:bookmarkEnd w:id="845"/>
    <w:p>
      <w:pPr>
        <w:pStyle w:val="BookText"/>
      </w:pPr>
      <w:r>
        <w:rPr>
          <w:rFonts w:ascii="Amiri" w:hAnsi="Amiri" w:eastAsia="Amiri" w:cs="Amiri"/>
          <w:lang w:bidi="ar-SA"/>
          <w:color w:val="111111"/>
          <w:sz w:val="28"/>
          <w:szCs w:val="28"/>
          <w:rtl/>
        </w:rPr>
        <w:t xml:space="preserve">10 .التنبيه على بعض الاسرار المودعة</w:t>
      </w:r>
    </w:p>
    <w:p>
      <w:pPr>
        <w:pStyle w:val="BookText"/>
      </w:pPr>
      <w:r>
        <w:rPr>
          <w:rFonts w:ascii="Amiri" w:hAnsi="Amiri" w:eastAsia="Amiri" w:cs="Amiri"/>
          <w:lang w:bidi="ar-SA"/>
          <w:color w:val="111111"/>
          <w:sz w:val="28"/>
          <w:szCs w:val="28"/>
          <w:rtl/>
        </w:rPr>
        <w:t xml:space="preserve">في بعض سور القرآن، ج 5، ص 30.</w:t>
      </w:r>
    </w:p>
    <w:p>
      <w:pPr>
        <w:pStyle w:val="BookText"/>
      </w:pPr>
      <w:r>
        <w:rPr>
          <w:rFonts w:ascii="IRNazanin" w:hAnsi="IRNazanin" w:eastAsia="IRNazanin" w:cs="IRNazanin"/>
          <w:lang w:bidi="fa-IR"/>
          <w:color w:val="111111"/>
          <w:sz w:val="28"/>
          <w:szCs w:val="28"/>
          <w:rtl/>
        </w:rPr>
        <w:t xml:space="preserve">11 .الجواهر، ج 5، ص 535</w:t>
      </w:r>
    </w:p>
    <w:p>
      <w:pPr>
        <w:pStyle w:val="BookText"/>
      </w:pPr>
      <w:r>
        <w:rPr>
          <w:rFonts w:ascii="Amiri" w:hAnsi="Amiri" w:eastAsia="Amiri" w:cs="Amiri"/>
          <w:lang w:bidi="ar-SA"/>
          <w:color w:val="111111"/>
          <w:sz w:val="28"/>
          <w:szCs w:val="28"/>
          <w:rtl/>
        </w:rPr>
        <w:t xml:space="preserve">12 .حدائق الانوار في حقايق الاسرار =</w:t>
      </w:r>
    </w:p>
    <w:p>
      <w:pPr>
        <w:pStyle w:val="BookText"/>
      </w:pPr>
      <w:r>
        <w:rPr>
          <w:rFonts w:ascii="IRNazanin" w:hAnsi="IRNazanin" w:eastAsia="IRNazanin" w:cs="IRNazanin"/>
          <w:lang w:bidi="fa-IR"/>
          <w:color w:val="111111"/>
          <w:sz w:val="28"/>
          <w:szCs w:val="28"/>
          <w:rtl/>
        </w:rPr>
        <w:t xml:space="preserve">جامع العلوم، ج 6، ص 510.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الخمسين في اصول الدين، ج7،</w:t>
      </w:r>
    </w:p>
    <w:p>
      <w:pPr>
        <w:pStyle w:val="BookText"/>
      </w:pPr>
      <w:r>
        <w:rPr>
          <w:rFonts w:ascii="IRNazanin" w:hAnsi="IRNazanin" w:eastAsia="IRNazanin" w:cs="IRNazanin"/>
          <w:lang w:bidi="fa-IR"/>
          <w:color w:val="111111"/>
          <w:sz w:val="28"/>
          <w:szCs w:val="28"/>
          <w:rtl/>
        </w:rPr>
        <w:t xml:space="preserve">ص 164 .</w:t>
      </w:r>
    </w:p>
    <w:p>
      <w:pPr>
        <w:pStyle w:val="BookText"/>
      </w:pPr>
      <w:r>
        <w:rPr>
          <w:rFonts w:ascii="Amiri" w:hAnsi="Amiri" w:eastAsia="Amiri" w:cs="Amiri"/>
          <w:lang w:bidi="ar-SA"/>
          <w:color w:val="111111"/>
          <w:sz w:val="28"/>
          <w:szCs w:val="28"/>
          <w:rtl/>
        </w:rPr>
        <w:t xml:space="preserve">14 .درة التنزيل و غرة التاويل، ج 7،</w:t>
      </w:r>
    </w:p>
    <w:p>
      <w:pPr>
        <w:pStyle w:val="BookText"/>
      </w:pPr>
      <w:r>
        <w:rPr>
          <w:rFonts w:ascii="IRNazanin" w:hAnsi="IRNazanin" w:eastAsia="IRNazanin" w:cs="IRNazanin"/>
          <w:lang w:bidi="fa-IR"/>
          <w:color w:val="111111"/>
          <w:sz w:val="28"/>
          <w:szCs w:val="28"/>
          <w:rtl/>
        </w:rPr>
        <w:t xml:space="preserve">ص 234 .</w:t>
      </w:r>
    </w:p>
    <w:p>
      <w:pPr>
        <w:pStyle w:val="BookText"/>
      </w:pPr>
      <w:r>
        <w:rPr>
          <w:rFonts w:ascii="Amiri" w:hAnsi="Amiri" w:eastAsia="Amiri" w:cs="Amiri"/>
          <w:lang w:bidi="ar-SA"/>
          <w:color w:val="111111"/>
          <w:sz w:val="28"/>
          <w:szCs w:val="28"/>
          <w:rtl/>
        </w:rPr>
        <w:t xml:space="preserve">15 .الرسالة الكمالية في الحقايق</w:t>
      </w:r>
    </w:p>
    <w:p>
      <w:pPr>
        <w:pStyle w:val="BookText"/>
      </w:pPr>
      <w:r>
        <w:rPr>
          <w:rFonts w:ascii="Amiri" w:hAnsi="Amiri" w:eastAsia="Amiri" w:cs="Amiri"/>
          <w:lang w:bidi="ar-SA"/>
          <w:color w:val="111111"/>
          <w:sz w:val="28"/>
          <w:szCs w:val="28"/>
          <w:rtl/>
        </w:rPr>
        <w:t xml:space="preserve">الالهية، ج8، ص 255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السر المكتوم في مخاطبة النجوم</w:t>
      </w:r>
    </w:p>
    <w:p>
      <w:pPr>
        <w:pStyle w:val="BookText"/>
      </w:pPr>
      <w:r>
        <w:rPr>
          <w:rFonts w:ascii="IRNazanin" w:hAnsi="IRNazanin" w:eastAsia="IRNazanin" w:cs="IRNazanin"/>
          <w:lang w:bidi="fa-IR"/>
          <w:color w:val="111111"/>
          <w:sz w:val="28"/>
          <w:szCs w:val="28"/>
          <w:rtl/>
        </w:rPr>
        <w:t xml:space="preserve">ج 8، ص 765.</w:t>
      </w:r>
    </w:p>
    <w:p>
      <w:pPr>
        <w:pStyle w:val="BookText"/>
      </w:pPr>
      <w:r>
        <w:rPr>
          <w:rFonts w:ascii="Amiri" w:hAnsi="Amiri" w:eastAsia="Amiri" w:cs="Amiri"/>
          <w:lang w:bidi="ar-SA"/>
          <w:color w:val="111111"/>
          <w:sz w:val="28"/>
          <w:szCs w:val="28"/>
          <w:rtl/>
        </w:rPr>
        <w:t xml:space="preserve">17 .شرح الاشارات و التنبيهات، ج 9،</w:t>
      </w:r>
    </w:p>
    <w:p>
      <w:pPr>
        <w:pStyle w:val="BookText"/>
      </w:pPr>
      <w:r>
        <w:rPr>
          <w:rFonts w:ascii="IRNazanin" w:hAnsi="IRNazanin" w:eastAsia="IRNazanin" w:cs="IRNazanin"/>
          <w:lang w:bidi="fa-IR"/>
          <w:color w:val="111111"/>
          <w:sz w:val="28"/>
          <w:szCs w:val="28"/>
          <w:rtl/>
        </w:rPr>
        <w:t xml:space="preserve">ص 201.</w:t>
      </w:r>
    </w:p>
    <w:p>
      <w:pPr>
        <w:pStyle w:val="BookText"/>
      </w:pPr>
      <w:r>
        <w:rPr>
          <w:rFonts w:ascii="Amiri" w:hAnsi="Amiri" w:eastAsia="Amiri" w:cs="Amiri"/>
          <w:lang w:bidi="ar-SA"/>
          <w:color w:val="111111"/>
          <w:sz w:val="28"/>
          <w:szCs w:val="28"/>
          <w:rtl/>
        </w:rPr>
        <w:t xml:space="preserve">18 . شرح المعالم في اصول الدين، ج10،</w:t>
      </w:r>
    </w:p>
    <w:p>
      <w:pPr>
        <w:pStyle w:val="BookText"/>
      </w:pPr>
      <w:r>
        <w:rPr>
          <w:rFonts w:ascii="IRNazanin" w:hAnsi="IRNazanin" w:eastAsia="IRNazanin" w:cs="IRNazanin"/>
          <w:lang w:bidi="fa-IR"/>
          <w:color w:val="111111"/>
          <w:sz w:val="28"/>
          <w:szCs w:val="28"/>
          <w:rtl/>
        </w:rPr>
        <w:t xml:space="preserve">ص 153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شرح الملخص، ج 10، ص 216.</w:t>
      </w:r>
    </w:p>
    <w:p>
      <w:pPr>
        <w:pStyle w:val="BookText"/>
      </w:pPr>
      <w:r>
        <w:rPr>
          <w:rFonts w:ascii="Amiri" w:hAnsi="Amiri" w:eastAsia="Amiri" w:cs="Amiri"/>
          <w:lang w:bidi="ar-SA"/>
          <w:color w:val="111111"/>
          <w:sz w:val="28"/>
          <w:szCs w:val="28"/>
          <w:rtl/>
        </w:rPr>
        <w:t xml:space="preserve">20 .شرح عيون الحكمة، ج 9، ص 766.</w:t>
      </w:r>
    </w:p>
    <w:p>
      <w:pPr>
        <w:pStyle w:val="BookText"/>
      </w:pPr>
      <w:r>
        <w:rPr>
          <w:rFonts w:ascii="Amiri" w:hAnsi="Amiri" w:eastAsia="Amiri" w:cs="Amiri"/>
          <w:lang w:bidi="ar-SA"/>
          <w:color w:val="111111"/>
          <w:sz w:val="28"/>
          <w:szCs w:val="28"/>
          <w:rtl/>
        </w:rPr>
        <w:t xml:space="preserve">21 .عشاق نوا = ديوان فخر رازي</w:t>
      </w:r>
    </w:p>
    <w:p>
      <w:pPr>
        <w:pStyle w:val="BookText"/>
      </w:pPr>
      <w:r>
        <w:rPr>
          <w:rFonts w:ascii="IRNazanin" w:hAnsi="IRNazanin" w:eastAsia="IRNazanin" w:cs="IRNazanin"/>
          <w:lang w:bidi="fa-IR"/>
          <w:color w:val="111111"/>
          <w:sz w:val="28"/>
          <w:szCs w:val="28"/>
          <w:rtl/>
        </w:rPr>
        <w:t xml:space="preserve">ج 11، ص 117.</w:t>
      </w:r>
    </w:p>
    <w:p>
      <w:pPr>
        <w:pStyle w:val="BookText"/>
      </w:pPr>
      <w:r>
        <w:rPr>
          <w:rFonts w:ascii="Amiri" w:hAnsi="Amiri" w:eastAsia="Amiri" w:cs="Amiri"/>
          <w:lang w:bidi="ar-SA"/>
          <w:color w:val="111111"/>
          <w:sz w:val="28"/>
          <w:szCs w:val="28"/>
          <w:rtl/>
        </w:rPr>
        <w:t xml:space="preserve">22 .علم اللدني، ج 11 ، ص 258 .</w:t>
      </w:r>
    </w:p>
    <w:p>
      <w:pPr>
        <w:pStyle w:val="BookText"/>
      </w:pPr>
      <w:r>
        <w:rPr>
          <w:rFonts w:ascii="Amiri" w:hAnsi="Amiri" w:eastAsia="Amiri" w:cs="Amiri"/>
          <w:lang w:bidi="ar-SA"/>
          <w:color w:val="111111"/>
          <w:sz w:val="28"/>
          <w:szCs w:val="28"/>
          <w:rtl/>
        </w:rPr>
        <w:t xml:space="preserve">23 .الفائدة في اربعين الفخر الرازي</w:t>
      </w:r>
    </w:p>
    <w:p>
      <w:pPr>
        <w:pStyle w:val="BookText"/>
      </w:pPr>
      <w:r>
        <w:rPr>
          <w:rFonts w:ascii="IRNazanin" w:hAnsi="IRNazanin" w:eastAsia="IRNazanin" w:cs="IRNazanin"/>
          <w:lang w:bidi="fa-IR"/>
          <w:color w:val="111111"/>
          <w:sz w:val="28"/>
          <w:szCs w:val="28"/>
          <w:rtl/>
        </w:rPr>
        <w:t xml:space="preserve">ج 11، ص 572.</w:t>
      </w:r>
    </w:p>
    <w:p>
      <w:pPr>
        <w:pStyle w:val="BookText"/>
      </w:pPr>
      <w:r>
        <w:rPr>
          <w:rFonts w:ascii="Amiri" w:hAnsi="Amiri" w:eastAsia="Amiri" w:cs="Amiri"/>
          <w:lang w:bidi="ar-SA"/>
          <w:color w:val="111111"/>
          <w:sz w:val="28"/>
          <w:szCs w:val="28"/>
          <w:rtl/>
        </w:rPr>
        <w:t xml:space="preserve">24 .الفراسة، ج 11، ص771.</w:t>
      </w:r>
    </w:p>
    <w:p>
      <w:pPr>
        <w:pStyle w:val="BookText"/>
      </w:pPr>
      <w:r>
        <w:rPr>
          <w:rFonts w:ascii="Amiri" w:hAnsi="Amiri" w:eastAsia="Amiri" w:cs="Amiri"/>
          <w:lang w:bidi="ar-SA"/>
          <w:color w:val="111111"/>
          <w:sz w:val="28"/>
          <w:szCs w:val="28"/>
          <w:rtl/>
        </w:rPr>
        <w:t xml:space="preserve">25 .اللذات = تحقير اللذات، ج13</w:t>
      </w:r>
    </w:p>
    <w:p>
      <w:pPr>
        <w:pStyle w:val="BookText"/>
      </w:pPr>
      <w:r>
        <w:rPr>
          <w:rFonts w:ascii="IRNazanin" w:hAnsi="IRNazanin" w:eastAsia="IRNazanin" w:cs="IRNazanin"/>
          <w:lang w:bidi="fa-IR"/>
          <w:color w:val="111111"/>
          <w:sz w:val="28"/>
          <w:szCs w:val="28"/>
          <w:rtl/>
        </w:rPr>
        <w:t xml:space="preserve">ص 565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المباحث المشرقية في الحكمة</w:t>
      </w:r>
    </w:p>
    <w:p>
      <w:pPr>
        <w:pStyle w:val="BookText"/>
      </w:pPr>
      <w:r>
        <w:rPr>
          <w:rFonts w:ascii="Amiri" w:hAnsi="Amiri" w:eastAsia="Amiri" w:cs="Amiri"/>
          <w:lang w:bidi="ar-SA"/>
          <w:color w:val="111111"/>
          <w:sz w:val="28"/>
          <w:szCs w:val="28"/>
          <w:rtl/>
        </w:rPr>
        <w:t xml:space="preserve">الالهية، ج13، ص719.</w:t>
      </w:r>
    </w:p>
    <w:p>
      <w:pPr>
        <w:pStyle w:val="BookText"/>
      </w:pPr>
      <w:r>
        <w:rPr>
          <w:rFonts w:ascii="Amiri" w:hAnsi="Amiri" w:eastAsia="Amiri" w:cs="Amiri"/>
          <w:lang w:bidi="ar-SA"/>
          <w:color w:val="111111"/>
          <w:sz w:val="28"/>
          <w:szCs w:val="28"/>
          <w:rtl/>
        </w:rPr>
        <w:t xml:space="preserve">27 .المحصل = محصل افكار المتقدمين</w:t>
      </w:r>
    </w:p>
    <w:p>
      <w:pPr>
        <w:pStyle w:val="BookText"/>
      </w:pPr>
      <w:r>
        <w:rPr>
          <w:rFonts w:ascii="Amiri" w:hAnsi="Amiri" w:eastAsia="Amiri" w:cs="Amiri"/>
          <w:lang w:bidi="ar-SA"/>
          <w:color w:val="111111"/>
          <w:sz w:val="28"/>
          <w:szCs w:val="28"/>
          <w:rtl/>
        </w:rPr>
        <w:t xml:space="preserve">و المتاخرين من العلماء والحكماء</w:t>
      </w:r>
    </w:p>
    <w:p>
      <w:pPr>
        <w:pStyle w:val="BookText"/>
      </w:pPr>
      <w:r>
        <w:rPr>
          <w:rFonts w:ascii="Amiri" w:hAnsi="Amiri" w:eastAsia="Amiri" w:cs="Amiri"/>
          <w:lang w:bidi="ar-SA"/>
          <w:color w:val="111111"/>
          <w:sz w:val="28"/>
          <w:szCs w:val="28"/>
          <w:rtl/>
        </w:rPr>
        <w:t xml:space="preserve">و المتكلمين، ج 14، ص 124.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المحصول في علم الاصول، ج 14،</w:t>
      </w:r>
    </w:p>
    <w:p>
      <w:pPr>
        <w:pStyle w:val="BookText"/>
      </w:pPr>
      <w:r>
        <w:rPr>
          <w:rFonts w:ascii="IRNazanin" w:hAnsi="IRNazanin" w:eastAsia="IRNazanin" w:cs="IRNazanin"/>
          <w:lang w:bidi="fa-IR"/>
          <w:color w:val="111111"/>
          <w:sz w:val="28"/>
          <w:szCs w:val="28"/>
          <w:rtl/>
        </w:rPr>
        <w:t xml:space="preserve">ص 125 .</w:t>
      </w:r>
    </w:p>
    <w:p>
      <w:pPr>
        <w:pStyle w:val="BookText"/>
      </w:pPr>
      <w:r>
        <w:rPr>
          <w:rFonts w:ascii="Amiri" w:hAnsi="Amiri" w:eastAsia="Amiri" w:cs="Amiri"/>
          <w:lang w:bidi="ar-SA"/>
          <w:color w:val="111111"/>
          <w:sz w:val="28"/>
          <w:szCs w:val="28"/>
          <w:rtl/>
        </w:rPr>
        <w:t xml:space="preserve">29 .مفاتيح الغيب في تفسير القرآن =</w:t>
      </w:r>
    </w:p>
    <w:p>
      <w:pPr>
        <w:pStyle w:val="BookText"/>
      </w:pPr>
      <w:r>
        <w:rPr>
          <w:rFonts w:ascii="Amiri" w:hAnsi="Amiri" w:eastAsia="Amiri" w:cs="Amiri"/>
          <w:lang w:bidi="ar-SA"/>
          <w:color w:val="111111"/>
          <w:sz w:val="28"/>
          <w:szCs w:val="28"/>
          <w:rtl/>
        </w:rPr>
        <w:t xml:space="preserve">تفسير كبير، ج 15 ، ص 166 .</w:t>
      </w:r>
    </w:p>
    <w:p>
      <w:pPr>
        <w:pStyle w:val="BookText"/>
      </w:pPr>
      <w:r>
        <w:rPr>
          <w:rFonts w:ascii="IRNazanin" w:hAnsi="IRNazanin" w:eastAsia="IRNazanin" w:cs="IRNazanin"/>
          <w:lang w:bidi="fa-IR"/>
          <w:color w:val="111111"/>
          <w:sz w:val="28"/>
          <w:szCs w:val="28"/>
          <w:rtl/>
        </w:rPr>
        <w:t xml:space="preserve">30 .المناظرات = مناظرات امام فخر</w:t>
      </w:r>
    </w:p>
    <w:p>
      <w:pPr>
        <w:pStyle w:val="BookText"/>
      </w:pPr>
      <w:r>
        <w:rPr>
          <w:rFonts w:ascii="Amiri" w:hAnsi="Amiri" w:eastAsia="Amiri" w:cs="Amiri"/>
          <w:lang w:bidi="ar-SA"/>
          <w:color w:val="111111"/>
          <w:sz w:val="28"/>
          <w:szCs w:val="28"/>
          <w:rtl/>
        </w:rPr>
        <w:t xml:space="preserve">رازي، ج 15 ، ص 511 .</w:t>
      </w:r>
    </w:p>
    <w:p>
      <w:pPr>
        <w:pStyle w:val="BookText"/>
      </w:pPr>
      <w:r>
        <w:rPr>
          <w:rFonts w:ascii="Amiri" w:hAnsi="Amiri" w:eastAsia="Amiri" w:cs="Amiri"/>
          <w:lang w:bidi="ar-SA"/>
          <w:color w:val="111111"/>
          <w:sz w:val="28"/>
          <w:szCs w:val="28"/>
          <w:rtl/>
        </w:rPr>
        <w:t xml:space="preserve">31 .مناقب الامام الشافعي، ج 15</w:t>
      </w:r>
    </w:p>
    <w:p>
      <w:pPr>
        <w:pStyle w:val="BookText"/>
      </w:pPr>
      <w:r>
        <w:rPr>
          <w:rFonts w:ascii="IRNazanin" w:hAnsi="IRNazanin" w:eastAsia="IRNazanin" w:cs="IRNazanin"/>
          <w:lang w:bidi="fa-IR"/>
          <w:color w:val="111111"/>
          <w:sz w:val="28"/>
          <w:szCs w:val="28"/>
          <w:rtl/>
        </w:rPr>
        <w:t xml:space="preserve">ص 539.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المنتخب من المحصول، ج 15</w:t>
      </w:r>
    </w:p>
    <w:p>
      <w:pPr>
        <w:pStyle w:val="BookText"/>
      </w:pPr>
      <w:r>
        <w:rPr>
          <w:rFonts w:ascii="IRNazanin" w:hAnsi="IRNazanin" w:eastAsia="IRNazanin" w:cs="IRNazanin"/>
          <w:lang w:bidi="fa-IR"/>
          <w:color w:val="111111"/>
          <w:sz w:val="28"/>
          <w:szCs w:val="28"/>
          <w:rtl/>
        </w:rPr>
        <w:t xml:space="preserve">ص 618 .</w:t>
      </w:r>
    </w:p>
    <w:p>
      <w:pPr>
        <w:pStyle w:val="BookText"/>
      </w:pPr>
      <w:r>
        <w:rPr>
          <w:rFonts w:ascii="Amiri" w:hAnsi="Amiri" w:eastAsia="Amiri" w:cs="Amiri"/>
          <w:lang w:bidi="ar-SA"/>
          <w:color w:val="111111"/>
          <w:sz w:val="28"/>
          <w:szCs w:val="28"/>
          <w:rtl/>
        </w:rPr>
        <w:t xml:space="preserve">33 .نهاية الايجاز في دراية الاعجاز</w:t>
      </w:r>
    </w:p>
    <w:p>
      <w:pPr>
        <w:pStyle w:val="BookText"/>
      </w:pPr>
      <w:r>
        <w:rPr>
          <w:rFonts w:ascii="IRNazanin" w:hAnsi="IRNazanin" w:eastAsia="IRNazanin" w:cs="IRNazanin"/>
          <w:lang w:bidi="fa-IR"/>
          <w:color w:val="111111"/>
          <w:sz w:val="28"/>
          <w:szCs w:val="28"/>
          <w:rtl/>
        </w:rPr>
        <w:t xml:space="preserve">ج 16، ص 487.</w:t>
      </w:r>
    </w:p>
    <w:p>
      <w:pPr>
        <w:pStyle w:val="BookText"/>
      </w:pPr>
      <w:r>
        <w:rPr>
          <w:rFonts w:ascii="Amiri" w:hAnsi="Amiri" w:eastAsia="Amiri" w:cs="Amiri"/>
          <w:lang w:bidi="ar-SA"/>
          <w:color w:val="111111"/>
          <w:sz w:val="28"/>
          <w:szCs w:val="28"/>
          <w:rtl/>
        </w:rPr>
        <w:t xml:space="preserve">34 .نهاية العقول في دراية الاصول</w:t>
      </w:r>
    </w:p>
    <w:p>
      <w:pPr>
        <w:pStyle w:val="BookText"/>
      </w:pPr>
      <w:r>
        <w:rPr>
          <w:rFonts w:ascii="IRNazanin" w:hAnsi="IRNazanin" w:eastAsia="IRNazanin" w:cs="IRNazanin"/>
          <w:lang w:bidi="fa-IR"/>
          <w:color w:val="111111"/>
          <w:sz w:val="28"/>
          <w:szCs w:val="28"/>
          <w:rtl/>
        </w:rPr>
        <w:t xml:space="preserve">ج 16، ص 496 .</w:t>
      </w:r>
    </w:p>
    <w:p>
      <w:pPr>
        <w:pStyle w:val="Heading2"/>
      </w:pPr>
      <w:bookmarkStart w:id="6332" w:name="_Toc5434"/>
      <w:r>
        <w:t>فخري بصير ، خليل</w:t>
      </w:r>
      <w:bookmarkEnd w:id="6332"/>
    </w:p>
    <w:p>
      <w:pPr>
        <w:pStyle w:val="BookText"/>
      </w:pPr>
      <w:r>
        <w:rPr>
          <w:rFonts w:ascii="Amiri" w:hAnsi="Amiri" w:eastAsia="Amiri" w:cs="Amiri"/>
          <w:lang w:bidi="ar-SA"/>
          <w:color w:val="111111"/>
          <w:sz w:val="28"/>
          <w:szCs w:val="28"/>
          <w:rtl/>
        </w:rPr>
        <w:t xml:space="preserve">وصف حصار الموصل (ارجوزة في)</w:t>
      </w:r>
    </w:p>
    <w:p>
      <w:pPr>
        <w:pStyle w:val="BookText"/>
      </w:pPr>
      <w:r>
        <w:rPr>
          <w:rFonts w:ascii="IRNazanin" w:hAnsi="IRNazanin" w:eastAsia="IRNazanin" w:cs="IRNazanin"/>
          <w:lang w:bidi="fa-IR"/>
          <w:color w:val="111111"/>
          <w:sz w:val="28"/>
          <w:szCs w:val="28"/>
          <w:rtl/>
        </w:rPr>
        <w:t xml:space="preserve">ج 16، ص 804.</w:t>
      </w:r>
    </w:p>
    <w:p>
      <w:pPr>
        <w:pStyle w:val="BookText"/>
      </w:pPr>
      <w:r>
        <w:rPr>
          <w:rFonts w:ascii="Amiri" w:hAnsi="Amiri" w:eastAsia="Amiri" w:cs="Amiri"/>
          <w:lang w:bidi="ar-SA"/>
          <w:color w:val="111111"/>
          <w:sz w:val="28"/>
          <w:szCs w:val="28"/>
          <w:rtl/>
        </w:rPr>
        <w:t xml:space="preserve">فخري ، حسين بن عبد الله- بشدري ،</w:t>
      </w:r>
    </w:p>
    <w:p>
      <w:pPr>
        <w:pStyle w:val="BookText"/>
      </w:pPr>
      <w:r>
        <w:rPr>
          <w:rFonts w:ascii="Amiri" w:hAnsi="Amiri" w:eastAsia="Amiri" w:cs="Amiri"/>
          <w:lang w:bidi="ar-SA"/>
          <w:color w:val="111111"/>
          <w:sz w:val="28"/>
          <w:szCs w:val="28"/>
          <w:rtl/>
        </w:rPr>
        <w:t xml:space="preserve">حسين بن عبدالله</w:t>
      </w:r>
    </w:p>
    <w:p>
      <w:pPr>
        <w:pStyle w:val="Heading2"/>
      </w:pPr>
      <w:bookmarkStart w:id="6333" w:name="_Toc5435"/>
      <w:r>
        <w:t>فخري زاده، احمد بن حامد - 1219 ه-</w:t>
      </w:r>
      <w:bookmarkEnd w:id="6333"/>
    </w:p>
    <w:p>
      <w:pPr>
        <w:pStyle w:val="BookText"/>
      </w:pPr>
      <w:r>
        <w:rPr>
          <w:rFonts w:ascii="Amiri" w:hAnsi="Amiri" w:eastAsia="Amiri" w:cs="Amiri"/>
          <w:lang w:bidi="ar-SA"/>
          <w:color w:val="111111"/>
          <w:sz w:val="28"/>
          <w:szCs w:val="28"/>
          <w:rtl/>
        </w:rPr>
        <w:t xml:space="preserve">1 .اولياء بغداد، ج3، ص89.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تذكرة الاولياء، ج 4، ص 181.</w:t>
      </w:r>
    </w:p>
    <w:p>
      <w:pPr>
        <w:pStyle w:val="Heading2"/>
      </w:pPr>
      <w:bookmarkStart w:id="6334" w:name="_Toc5436"/>
      <w:r>
        <w:t>فخري زاده اسعد بن عبدالله - 1203 ه-</w:t>
      </w:r>
      <w:bookmarkEnd w:id="6334"/>
    </w:p>
    <w:p>
      <w:pPr>
        <w:pStyle w:val="BookText"/>
      </w:pPr>
      <w:r>
        <w:rPr>
          <w:rFonts w:ascii="IRNazanin" w:hAnsi="IRNazanin" w:eastAsia="IRNazanin" w:cs="IRNazanin"/>
          <w:lang w:bidi="fa-IR"/>
          <w:color w:val="111111"/>
          <w:sz w:val="28"/>
          <w:szCs w:val="28"/>
          <w:rtl/>
        </w:rPr>
        <w:t xml:space="preserve">دیوان اسعد، ج 7، ص 574</w:t>
      </w:r>
    </w:p>
    <w:p>
      <w:pPr>
        <w:pStyle w:val="Heading2"/>
      </w:pPr>
      <w:bookmarkStart w:id="6335" w:name="_Toc5437"/>
      <w:r>
        <w:t>فخري زاده، خليل بن ابراهیم قرن 13</w:t>
      </w:r>
      <w:bookmarkEnd w:id="6335"/>
    </w:p>
    <w:p>
      <w:pPr>
        <w:pStyle w:val="BookText"/>
      </w:pPr>
      <w:r>
        <w:rPr>
          <w:rFonts w:ascii="Amiri" w:hAnsi="Amiri" w:eastAsia="Amiri" w:cs="Amiri"/>
          <w:lang w:bidi="ar-SA"/>
          <w:color w:val="111111"/>
          <w:sz w:val="28"/>
          <w:szCs w:val="28"/>
          <w:rtl/>
        </w:rPr>
        <w:t xml:space="preserve">ديوان خليل بكتاش، ج 7، ص 639.</w:t>
      </w:r>
    </w:p>
    <w:p>
      <w:pPr>
        <w:pStyle w:val="BookText"/>
      </w:pPr>
      <w:r>
        <w:rPr>
          <w:rFonts w:ascii="Amiri" w:hAnsi="Amiri" w:eastAsia="Amiri" w:cs="Amiri"/>
          <w:lang w:bidi="ar-SA"/>
          <w:color w:val="111111"/>
          <w:sz w:val="28"/>
          <w:szCs w:val="28"/>
          <w:rtl/>
        </w:rPr>
        <w:t xml:space="preserve">فخري زاده، محمود -فخري موصلي</w:t>
      </w:r>
    </w:p>
    <w:p>
      <w:pPr>
        <w:pStyle w:val="BookText"/>
      </w:pPr>
      <w:r>
        <w:rPr>
          <w:rFonts w:ascii="IRNazanin" w:hAnsi="IRNazanin" w:eastAsia="IRNazanin" w:cs="IRNazanin"/>
          <w:lang w:bidi="fa-IR"/>
          <w:color w:val="111111"/>
          <w:sz w:val="28"/>
          <w:szCs w:val="28"/>
          <w:rtl/>
        </w:rPr>
        <w:t xml:space="preserve">محمود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46" w:name="pg7742_70966"/>
    <w:bookmarkEnd w:id="846"/>
    <w:p>
      <w:pPr>
        <w:pStyle w:val="BookText"/>
      </w:pPr>
      <w:r>
        <w:rPr>
          <w:rFonts w:ascii="Amiri" w:hAnsi="Amiri" w:eastAsia="Amiri" w:cs="Amiri"/>
          <w:lang w:bidi="ar-SA"/>
          <w:color w:val="111111"/>
          <w:sz w:val="28"/>
          <w:szCs w:val="28"/>
          <w:rtl/>
        </w:rPr>
        <w:t xml:space="preserve">فخري زاده موصلي ، عبدالله -حسيني</w:t>
      </w:r>
    </w:p>
    <w:p>
      <w:pPr>
        <w:pStyle w:val="BookText"/>
      </w:pPr>
      <w:r>
        <w:rPr>
          <w:rFonts w:ascii="IRNazanin" w:hAnsi="IRNazanin" w:eastAsia="IRNazanin" w:cs="IRNazanin"/>
          <w:lang w:bidi="fa-IR"/>
          <w:color w:val="111111"/>
          <w:sz w:val="28"/>
          <w:szCs w:val="28"/>
          <w:rtl/>
        </w:rPr>
        <w:t xml:space="preserve">موصلي ، عبدالله بن فخرالدین</w:t>
      </w:r>
    </w:p>
    <w:p>
      <w:pPr>
        <w:pStyle w:val="Heading2"/>
      </w:pPr>
      <w:bookmarkStart w:id="6336" w:name="_Toc5438"/>
      <w:r>
        <w:t>فخري ، عبدالله</w:t>
      </w:r>
      <w:bookmarkEnd w:id="6336"/>
    </w:p>
    <w:p>
      <w:pPr>
        <w:pStyle w:val="BookText"/>
      </w:pPr>
      <w:r>
        <w:rPr>
          <w:rFonts w:ascii="IRNazanin" w:hAnsi="IRNazanin" w:eastAsia="IRNazanin" w:cs="IRNazanin"/>
          <w:lang w:bidi="fa-IR"/>
          <w:color w:val="111111"/>
          <w:sz w:val="28"/>
          <w:szCs w:val="28"/>
          <w:rtl/>
        </w:rPr>
        <w:t xml:space="preserve">دیوان فخري، ج 7، ص732.</w:t>
      </w:r>
    </w:p>
    <w:p>
      <w:pPr>
        <w:pStyle w:val="Heading2"/>
      </w:pPr>
      <w:bookmarkStart w:id="6337" w:name="_Toc5439"/>
      <w:r>
        <w:t>فخري ،موصلي، محمود، 1243 - 1385 ه-</w:t>
      </w:r>
      <w:bookmarkEnd w:id="6337"/>
    </w:p>
    <w:p>
      <w:pPr>
        <w:pStyle w:val="BookText"/>
      </w:pPr>
      <w:r>
        <w:rPr>
          <w:rFonts w:ascii="Amiri" w:hAnsi="Amiri" w:eastAsia="Amiri" w:cs="Amiri"/>
          <w:lang w:bidi="ar-SA"/>
          <w:color w:val="111111"/>
          <w:sz w:val="28"/>
          <w:szCs w:val="28"/>
          <w:rtl/>
        </w:rPr>
        <w:t xml:space="preserve">1 .الحب الالهي (قصيدة في)، ج6،</w:t>
      </w:r>
    </w:p>
    <w:p>
      <w:pPr>
        <w:pStyle w:val="BookText"/>
      </w:pPr>
      <w:r>
        <w:rPr>
          <w:rFonts w:ascii="IRNazanin" w:hAnsi="IRNazanin" w:eastAsia="IRNazanin" w:cs="IRNazanin"/>
          <w:lang w:bidi="fa-IR"/>
          <w:color w:val="111111"/>
          <w:sz w:val="28"/>
          <w:szCs w:val="28"/>
          <w:rtl/>
        </w:rPr>
        <w:t xml:space="preserve">ص 469 .</w:t>
      </w:r>
    </w:p>
    <w:p>
      <w:pPr>
        <w:pStyle w:val="BookText"/>
      </w:pPr>
      <w:r>
        <w:rPr>
          <w:rFonts w:ascii="Amiri" w:hAnsi="Amiri" w:eastAsia="Amiri" w:cs="Amiri"/>
          <w:lang w:bidi="ar-SA"/>
          <w:color w:val="111111"/>
          <w:sz w:val="28"/>
          <w:szCs w:val="28"/>
          <w:rtl/>
        </w:rPr>
        <w:t xml:space="preserve">2 .العقد النضيد، ج11، ص 176.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الفرائض (منظومة في)، ج11،</w:t>
      </w:r>
    </w:p>
    <w:p>
      <w:pPr>
        <w:pStyle w:val="BookText"/>
      </w:pPr>
      <w:r>
        <w:rPr>
          <w:rFonts w:ascii="IRNazanin" w:hAnsi="IRNazanin" w:eastAsia="IRNazanin" w:cs="IRNazanin"/>
          <w:lang w:bidi="fa-IR"/>
          <w:color w:val="111111"/>
          <w:sz w:val="28"/>
          <w:szCs w:val="28"/>
          <w:rtl/>
        </w:rPr>
        <w:t xml:space="preserve">ص 752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نظم الدر، ج 16، ص 339.</w:t>
      </w:r>
    </w:p>
    <w:p>
      <w:pPr>
        <w:pStyle w:val="BookText"/>
      </w:pPr>
      <w:r>
        <w:rPr>
          <w:rFonts w:ascii="Amiri" w:hAnsi="Amiri" w:eastAsia="Amiri" w:cs="Amiri"/>
          <w:lang w:bidi="ar-SA"/>
          <w:color w:val="111111"/>
          <w:sz w:val="28"/>
          <w:szCs w:val="28"/>
          <w:rtl/>
        </w:rPr>
        <w:t xml:space="preserve">5 .نظم الغرر في علم الميراث، ج 16،</w:t>
      </w:r>
    </w:p>
    <w:p>
      <w:pPr>
        <w:pStyle w:val="BookText"/>
      </w:pPr>
      <w:r>
        <w:rPr>
          <w:rFonts w:ascii="IRNazanin" w:hAnsi="IRNazanin" w:eastAsia="IRNazanin" w:cs="IRNazanin"/>
          <w:lang w:bidi="fa-IR"/>
          <w:color w:val="111111"/>
          <w:sz w:val="28"/>
          <w:szCs w:val="28"/>
          <w:rtl/>
        </w:rPr>
        <w:t xml:space="preserve">ص 351.</w:t>
      </w:r>
    </w:p>
    <w:p>
      <w:pPr>
        <w:pStyle w:val="BookText"/>
      </w:pPr>
      <w:r>
        <w:rPr>
          <w:rFonts w:ascii="Amiri" w:hAnsi="Amiri" w:eastAsia="Amiri" w:cs="Amiri"/>
          <w:lang w:bidi="ar-SA"/>
          <w:color w:val="111111"/>
          <w:sz w:val="28"/>
          <w:szCs w:val="28"/>
          <w:rtl/>
        </w:rPr>
        <w:t xml:space="preserve">فدائي دوائي- دوايي شيرازي ، درويش</w:t>
      </w:r>
    </w:p>
    <w:p>
      <w:pPr>
        <w:pStyle w:val="Heading2"/>
      </w:pPr>
      <w:bookmarkStart w:id="6338" w:name="_Toc5440"/>
      <w:r>
        <w:t>فدايي كزازي ، ابوالشجاع محمّد اسماعيل</w:t>
      </w:r>
      <w:bookmarkEnd w:id="6338"/>
    </w:p>
    <w:p>
      <w:pPr>
        <w:pStyle w:val="BookText"/>
      </w:pPr>
      <w:r>
        <w:rPr>
          <w:rFonts w:ascii="Amiri" w:hAnsi="Amiri" w:eastAsia="Amiri" w:cs="Amiri"/>
          <w:lang w:bidi="ar-SA"/>
          <w:color w:val="111111"/>
          <w:sz w:val="28"/>
          <w:szCs w:val="28"/>
          <w:rtl/>
        </w:rPr>
        <w:t xml:space="preserve">بن محمّد هادي - 1263 ه-</w:t>
      </w:r>
    </w:p>
    <w:p>
      <w:pPr>
        <w:pStyle w:val="BookText"/>
      </w:pPr>
      <w:r>
        <w:rPr>
          <w:rFonts w:ascii="Amiri" w:hAnsi="Amiri" w:eastAsia="Amiri" w:cs="Amiri"/>
          <w:lang w:bidi="ar-SA"/>
          <w:color w:val="111111"/>
          <w:sz w:val="28"/>
          <w:szCs w:val="28"/>
          <w:rtl/>
        </w:rPr>
        <w:t xml:space="preserve">العقيدة الوحيدة، ج 11، ص 209.</w:t>
      </w:r>
    </w:p>
    <w:p>
      <w:pPr>
        <w:pStyle w:val="BookText"/>
      </w:pPr>
      <w:r>
        <w:rPr>
          <w:rFonts w:ascii="Amiri" w:hAnsi="Amiri" w:eastAsia="Amiri" w:cs="Amiri"/>
          <w:lang w:bidi="ar-SA"/>
          <w:color w:val="111111"/>
          <w:sz w:val="28"/>
          <w:szCs w:val="28"/>
          <w:rtl/>
        </w:rPr>
        <w:t xml:space="preserve">فدشكوي ، محمّد مسيح بن</w:t>
      </w:r>
    </w:p>
    <w:p>
      <w:pPr>
        <w:pStyle w:val="BookText"/>
      </w:pPr>
      <w:r>
        <w:rPr>
          <w:rFonts w:ascii="Amiri" w:hAnsi="Amiri" w:eastAsia="Amiri" w:cs="Amiri"/>
          <w:lang w:bidi="ar-SA"/>
          <w:color w:val="111111"/>
          <w:sz w:val="28"/>
          <w:szCs w:val="28"/>
          <w:rtl/>
        </w:rPr>
        <w:t xml:space="preserve">اسماعيل -مسيحا فدشكوئي ، محمّد مسيح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فراء ، حسين بن مسعود -بغوي ، حسين</w:t>
      </w:r>
    </w:p>
    <w:p>
      <w:pPr>
        <w:pStyle w:val="BookText"/>
      </w:pPr>
      <w:r>
        <w:rPr>
          <w:rFonts w:ascii="IRNazanin" w:hAnsi="IRNazanin" w:eastAsia="IRNazanin" w:cs="IRNazanin"/>
          <w:lang w:bidi="fa-IR"/>
          <w:color w:val="111111"/>
          <w:sz w:val="28"/>
          <w:szCs w:val="28"/>
          <w:rtl/>
        </w:rPr>
        <w:t xml:space="preserve">بن مسعود</w:t>
      </w:r>
    </w:p>
    <w:p>
      <w:pPr>
        <w:pStyle w:val="Heading2"/>
      </w:pPr>
      <w:bookmarkStart w:id="6339" w:name="_Toc5441"/>
      <w:r>
        <w:t>فرائضي زاده، محمّد سعید بن عبدالله</w:t>
      </w:r>
      <w:bookmarkEnd w:id="6339"/>
    </w:p>
    <w:p>
      <w:pPr>
        <w:pStyle w:val="BookText"/>
      </w:pPr>
      <w:r>
        <w:rPr>
          <w:rFonts w:ascii="IRNazanin" w:hAnsi="IRNazanin" w:eastAsia="IRNazanin" w:cs="IRNazanin"/>
          <w:lang w:bidi="fa-IR"/>
          <w:color w:val="111111"/>
          <w:sz w:val="28"/>
          <w:szCs w:val="28"/>
          <w:rtl/>
        </w:rPr>
        <w:t xml:space="preserve">1186 ه-</w:t>
      </w:r>
    </w:p>
    <w:p>
      <w:pPr>
        <w:pStyle w:val="BookText"/>
      </w:pPr>
      <w:r>
        <w:rPr>
          <w:rFonts w:ascii="IRNazanin" w:hAnsi="IRNazanin" w:eastAsia="IRNazanin" w:cs="IRNazanin"/>
          <w:lang w:bidi="fa-IR"/>
          <w:color w:val="111111"/>
          <w:sz w:val="28"/>
          <w:szCs w:val="28"/>
          <w:rtl/>
        </w:rPr>
        <w:t xml:space="preserve">گلشن معارف در تاریخ عثمانی، ج13،</w:t>
      </w:r>
    </w:p>
    <w:p>
      <w:pPr>
        <w:pStyle w:val="BookText"/>
      </w:pPr>
      <w:r>
        <w:rPr>
          <w:rFonts w:ascii="IRNazanin" w:hAnsi="IRNazanin" w:eastAsia="IRNazanin" w:cs="IRNazanin"/>
          <w:lang w:bidi="fa-IR"/>
          <w:color w:val="111111"/>
          <w:sz w:val="28"/>
          <w:szCs w:val="28"/>
          <w:rtl/>
        </w:rPr>
        <w:t xml:space="preserve">ص 505.</w:t>
      </w:r>
    </w:p>
    <w:p>
      <w:pPr>
        <w:pStyle w:val="Heading2"/>
      </w:pPr>
      <w:bookmarkStart w:id="6340" w:name="_Toc5442"/>
      <w:r>
        <w:t>فراء ، محمّد بن حسين، 380 - 458 ه-</w:t>
      </w:r>
      <w:bookmarkEnd w:id="6340"/>
    </w:p>
    <w:p>
      <w:pPr>
        <w:pStyle w:val="BookText"/>
      </w:pPr>
      <w:r>
        <w:rPr>
          <w:rFonts w:ascii="Amiri" w:hAnsi="Amiri" w:eastAsia="Amiri" w:cs="Amiri"/>
          <w:lang w:bidi="ar-SA"/>
          <w:color w:val="111111"/>
          <w:sz w:val="28"/>
          <w:szCs w:val="28"/>
          <w:rtl/>
        </w:rPr>
        <w:t xml:space="preserve">1 .ابطال التأويلات لاخبار الصفات</w:t>
      </w:r>
    </w:p>
    <w:p>
      <w:pPr>
        <w:pStyle w:val="BookText"/>
      </w:pPr>
      <w:r>
        <w:rPr>
          <w:rFonts w:ascii="IRNazanin" w:hAnsi="IRNazanin" w:eastAsia="IRNazanin" w:cs="IRNazanin"/>
          <w:lang w:bidi="fa-IR"/>
          <w:color w:val="111111"/>
          <w:sz w:val="28"/>
          <w:szCs w:val="28"/>
          <w:rtl/>
        </w:rPr>
        <w:t xml:space="preserve">ج 1، ص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الامالي، ج 2، ص720.</w:t>
      </w:r>
    </w:p>
    <w:p>
      <w:pPr>
        <w:pStyle w:val="Heading2"/>
      </w:pPr>
      <w:bookmarkStart w:id="6341" w:name="_Toc5443"/>
      <w:r>
        <w:t>فراء ، محمّد جعفر بن سليمان</w:t>
      </w:r>
      <w:bookmarkEnd w:id="6341"/>
    </w:p>
    <w:p>
      <w:pPr>
        <w:pStyle w:val="BookText"/>
      </w:pPr>
      <w:r>
        <w:rPr>
          <w:rFonts w:ascii="Amiri" w:hAnsi="Amiri" w:eastAsia="Amiri" w:cs="Amiri"/>
          <w:lang w:bidi="ar-SA"/>
          <w:color w:val="111111"/>
          <w:sz w:val="28"/>
          <w:szCs w:val="28"/>
          <w:rtl/>
        </w:rPr>
        <w:t xml:space="preserve">مواقف الآخرة، ج 15، ص 878.</w:t>
      </w:r>
    </w:p>
    <w:p>
      <w:pPr>
        <w:pStyle w:val="Heading2"/>
      </w:pPr>
      <w:bookmarkStart w:id="6342" w:name="_Toc5444"/>
      <w:r>
        <w:t>فراء ، یحیی بن زیاد، 144 - 207 ه-</w:t>
      </w:r>
      <w:bookmarkEnd w:id="6342"/>
    </w:p>
    <w:p>
      <w:pPr>
        <w:pStyle w:val="BookText"/>
      </w:pPr>
      <w:r>
        <w:rPr>
          <w:rFonts w:ascii="Amiri" w:hAnsi="Amiri" w:eastAsia="Amiri" w:cs="Amiri"/>
          <w:lang w:bidi="ar-SA"/>
          <w:color w:val="111111"/>
          <w:sz w:val="28"/>
          <w:szCs w:val="28"/>
          <w:rtl/>
        </w:rPr>
        <w:t xml:space="preserve">الايام والليالي و الشهور، ج3، ص92.</w:t>
      </w:r>
    </w:p>
    <w:p>
      <w:pPr>
        <w:pStyle w:val="BookText"/>
      </w:pPr>
      <w:r>
        <w:rPr>
          <w:rFonts w:ascii="Amiri" w:hAnsi="Amiri" w:eastAsia="Amiri" w:cs="Amiri"/>
          <w:lang w:bidi="ar-SA"/>
          <w:color w:val="111111"/>
          <w:sz w:val="28"/>
          <w:szCs w:val="28"/>
          <w:rtl/>
        </w:rPr>
        <w:t xml:space="preserve">فرات الكوفي ، فرات بن ابراهيم- كوفي فرات بن ابراهيم</w:t>
      </w:r>
    </w:p>
    <w:p>
      <w:pPr>
        <w:pStyle w:val="Heading2"/>
      </w:pPr>
      <w:bookmarkStart w:id="6343" w:name="_Toc5445"/>
      <w:r>
        <w:t>فرات ، عباس 1273 ش</w:t>
      </w:r>
      <w:bookmarkEnd w:id="6343"/>
    </w:p>
    <w:p>
      <w:pPr>
        <w:pStyle w:val="BookText"/>
      </w:pPr>
      <w:r>
        <w:rPr>
          <w:rFonts w:ascii="IRNazanin" w:hAnsi="IRNazanin" w:eastAsia="IRNazanin" w:cs="IRNazanin"/>
          <w:lang w:bidi="fa-IR"/>
          <w:color w:val="111111"/>
          <w:sz w:val="28"/>
          <w:szCs w:val="28"/>
          <w:rtl/>
        </w:rPr>
        <w:t xml:space="preserve">دیوان فرات ،عباس، ج7، ص733.</w:t>
      </w:r>
    </w:p>
    <w:p>
      <w:pPr>
        <w:pStyle w:val="BookText"/>
      </w:pPr>
      <w:r>
        <w:rPr>
          <w:rFonts w:ascii="Amiri" w:hAnsi="Amiri" w:eastAsia="Amiri" w:cs="Amiri"/>
          <w:lang w:bidi="ar-SA"/>
          <w:color w:val="111111"/>
          <w:sz w:val="28"/>
          <w:szCs w:val="28"/>
          <w:rtl/>
        </w:rPr>
        <w:t xml:space="preserve">فرارودي، فخر الدين- تركستاني</w:t>
      </w:r>
    </w:p>
    <w:p>
      <w:pPr>
        <w:pStyle w:val="BookText"/>
      </w:pPr>
      <w:r>
        <w:rPr>
          <w:rFonts w:ascii="IRNazanin" w:hAnsi="IRNazanin" w:eastAsia="IRNazanin" w:cs="IRNazanin"/>
          <w:lang w:bidi="fa-IR"/>
          <w:color w:val="111111"/>
          <w:sz w:val="28"/>
          <w:szCs w:val="28"/>
          <w:rtl/>
        </w:rPr>
        <w:t xml:space="preserve">فخرالدین</w:t>
      </w:r>
    </w:p>
    <w:p>
      <w:pPr>
        <w:pStyle w:val="BookText"/>
      </w:pPr>
      <w:r>
        <w:rPr>
          <w:rFonts w:ascii="Amiri" w:hAnsi="Amiri" w:eastAsia="Amiri" w:cs="Amiri"/>
          <w:lang w:bidi="ar-SA"/>
          <w:color w:val="111111"/>
          <w:sz w:val="28"/>
          <w:szCs w:val="28"/>
          <w:rtl/>
        </w:rPr>
        <w:t xml:space="preserve">فراليوس- كروليوس</w:t>
      </w:r>
    </w:p>
    <w:p>
      <w:pPr>
        <w:pStyle w:val="BookText"/>
      </w:pPr>
      <w:r>
        <w:rPr>
          <w:rFonts w:ascii="Amiri" w:hAnsi="Amiri" w:eastAsia="Amiri" w:cs="Amiri"/>
          <w:lang w:bidi="ar-SA"/>
          <w:color w:val="111111"/>
          <w:sz w:val="28"/>
          <w:szCs w:val="28"/>
          <w:rtl/>
        </w:rPr>
        <w:t xml:space="preserve">فراهاني ، ابوالقاسم بن عيسى -قائم مقام</w:t>
      </w:r>
    </w:p>
    <w:p>
      <w:pPr>
        <w:pStyle w:val="BookText"/>
      </w:pPr>
      <w:r>
        <w:rPr>
          <w:rFonts w:ascii="Amiri" w:hAnsi="Amiri" w:eastAsia="Amiri" w:cs="Amiri"/>
          <w:lang w:bidi="ar-SA"/>
          <w:color w:val="111111"/>
          <w:sz w:val="28"/>
          <w:szCs w:val="28"/>
          <w:rtl/>
        </w:rPr>
        <w:t xml:space="preserve">، ابوالقاسم بن عيسى</w:t>
      </w:r>
    </w:p>
    <w:p>
      <w:pPr>
        <w:pStyle w:val="BookText"/>
      </w:pPr>
      <w:r>
        <w:rPr>
          <w:rFonts w:ascii="Amiri" w:hAnsi="Amiri" w:eastAsia="Amiri" w:cs="Amiri"/>
          <w:lang w:bidi="ar-SA"/>
          <w:color w:val="111111"/>
          <w:sz w:val="28"/>
          <w:szCs w:val="28"/>
          <w:rtl/>
        </w:rPr>
        <w:t xml:space="preserve">فراهاني ، اديب الممالك- اديب الممالك ،</w:t>
      </w:r>
    </w:p>
    <w:p>
      <w:pPr>
        <w:pStyle w:val="BookText"/>
      </w:pPr>
      <w:r>
        <w:rPr>
          <w:rFonts w:ascii="Amiri" w:hAnsi="Amiri" w:eastAsia="Amiri" w:cs="Amiri"/>
          <w:lang w:bidi="ar-SA"/>
          <w:color w:val="111111"/>
          <w:sz w:val="28"/>
          <w:szCs w:val="28"/>
          <w:rtl/>
        </w:rPr>
        <w:t xml:space="preserve">محمّد صادق بن حسين</w:t>
      </w:r>
    </w:p>
    <w:p>
      <w:pPr>
        <w:pStyle w:val="BookText"/>
      </w:pPr>
      <w:r>
        <w:rPr>
          <w:rFonts w:ascii="Amiri" w:hAnsi="Amiri" w:eastAsia="Amiri" w:cs="Amiri"/>
          <w:lang w:bidi="ar-SA"/>
          <w:color w:val="111111"/>
          <w:sz w:val="28"/>
          <w:szCs w:val="28"/>
          <w:rtl/>
        </w:rPr>
        <w:t xml:space="preserve">فراهاني ، عبدالحميد بن</w:t>
      </w:r>
    </w:p>
    <w:p>
      <w:pPr>
        <w:pStyle w:val="BookText"/>
      </w:pPr>
      <w:r>
        <w:rPr>
          <w:rFonts w:ascii="Amiri" w:hAnsi="Amiri" w:eastAsia="Amiri" w:cs="Amiri"/>
          <w:lang w:bidi="ar-SA"/>
          <w:color w:val="111111"/>
          <w:sz w:val="28"/>
          <w:szCs w:val="28"/>
          <w:rtl/>
        </w:rPr>
        <w:t xml:space="preserve">عبد الوهاب -فراهي ، عبد الحميد بن</w:t>
      </w:r>
    </w:p>
    <w:p>
      <w:pPr>
        <w:pStyle w:val="BookText"/>
      </w:pPr>
      <w:r>
        <w:rPr>
          <w:rFonts w:ascii="IRNazanin" w:hAnsi="IRNazanin" w:eastAsia="IRNazanin" w:cs="IRNazanin"/>
          <w:lang w:bidi="fa-IR"/>
          <w:color w:val="111111"/>
          <w:sz w:val="28"/>
          <w:szCs w:val="28"/>
          <w:rtl/>
        </w:rPr>
        <w:t xml:space="preserve">عبد الوهاب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47" w:name="pg7742_70968"/>
    <w:bookmarkEnd w:id="847"/>
    <w:p>
      <w:pPr>
        <w:pStyle w:val="Heading2"/>
      </w:pPr>
      <w:bookmarkStart w:id="6344" w:name="_Toc5446"/>
      <w:r>
        <w:t>فراهاني ، علي بن عبدالله قرن 13 ه-</w:t>
      </w:r>
      <w:bookmarkEnd w:id="6344"/>
    </w:p>
    <w:p>
      <w:pPr>
        <w:pStyle w:val="BookText"/>
      </w:pPr>
      <w:r>
        <w:rPr>
          <w:rFonts w:ascii="IRNazanin" w:hAnsi="IRNazanin" w:eastAsia="IRNazanin" w:cs="IRNazanin"/>
          <w:lang w:bidi="fa-IR"/>
          <w:color w:val="111111"/>
          <w:sz w:val="28"/>
          <w:szCs w:val="28"/>
          <w:rtl/>
        </w:rPr>
        <w:t xml:space="preserve">نور الطالبین در ترجمة الصلوة، ج 16،</w:t>
      </w:r>
    </w:p>
    <w:p>
      <w:pPr>
        <w:pStyle w:val="BookText"/>
      </w:pPr>
      <w:r>
        <w:rPr>
          <w:rFonts w:ascii="IRNazanin" w:hAnsi="IRNazanin" w:eastAsia="IRNazanin" w:cs="IRNazanin"/>
          <w:lang w:bidi="fa-IR"/>
          <w:color w:val="111111"/>
          <w:sz w:val="28"/>
          <w:szCs w:val="28"/>
          <w:rtl/>
        </w:rPr>
        <w:t xml:space="preserve">ص 562 .</w:t>
      </w:r>
    </w:p>
    <w:p>
      <w:pPr>
        <w:pStyle w:val="BookText"/>
      </w:pPr>
      <w:r>
        <w:rPr>
          <w:rFonts w:ascii="IRNazanin" w:hAnsi="IRNazanin" w:eastAsia="IRNazanin" w:cs="IRNazanin"/>
          <w:lang w:bidi="fa-IR"/>
          <w:color w:val="111111"/>
          <w:sz w:val="28"/>
          <w:szCs w:val="28"/>
          <w:rtl/>
        </w:rPr>
        <w:t xml:space="preserve">فراهاني ، عيسى بن حسن -میرزا بزرگ</w:t>
      </w:r>
    </w:p>
    <w:p>
      <w:pPr>
        <w:pStyle w:val="BookText"/>
      </w:pPr>
      <w:r>
        <w:rPr>
          <w:rFonts w:ascii="IRNazanin" w:hAnsi="IRNazanin" w:eastAsia="IRNazanin" w:cs="IRNazanin"/>
          <w:lang w:bidi="fa-IR"/>
          <w:color w:val="111111"/>
          <w:sz w:val="28"/>
          <w:szCs w:val="28"/>
          <w:rtl/>
        </w:rPr>
        <w:t xml:space="preserve">قائم مقام ، عیسی بن حسن</w:t>
      </w:r>
    </w:p>
    <w:p>
      <w:pPr>
        <w:pStyle w:val="Heading2"/>
      </w:pPr>
      <w:bookmarkStart w:id="6345" w:name="_Toc5447"/>
      <w:r>
        <w:t>فراهي ، برخوردار بن محمود قرن 10 ه-</w:t>
      </w:r>
      <w:bookmarkEnd w:id="6345"/>
    </w:p>
    <w:p>
      <w:pPr>
        <w:pStyle w:val="BookText"/>
      </w:pPr>
      <w:r>
        <w:rPr>
          <w:rFonts w:ascii="IRNazanin" w:hAnsi="IRNazanin" w:eastAsia="IRNazanin" w:cs="IRNazanin"/>
          <w:lang w:bidi="fa-IR"/>
          <w:color w:val="111111"/>
          <w:sz w:val="28"/>
          <w:szCs w:val="28"/>
          <w:rtl/>
        </w:rPr>
        <w:t xml:space="preserve">محبوب القلوب = شمسه و قهقهه = محفل آرا = رعنا و زیبا ج 14، ص 109</w:t>
      </w:r>
    </w:p>
    <w:p>
      <w:pPr>
        <w:pStyle w:val="Heading2"/>
      </w:pPr>
      <w:bookmarkStart w:id="6346" w:name="_Toc5448"/>
      <w:r>
        <w:t>فراهيدي خليل بن احمد 100-175؟ ه-</w:t>
      </w:r>
      <w:bookmarkEnd w:id="6346"/>
    </w:p>
    <w:p>
      <w:pPr>
        <w:pStyle w:val="BookText"/>
      </w:pPr>
      <w:r>
        <w:rPr>
          <w:rFonts w:ascii="IRNazanin" w:hAnsi="IRNazanin" w:eastAsia="IRNazanin" w:cs="IRNazanin"/>
          <w:lang w:bidi="fa-IR"/>
          <w:color w:val="111111"/>
          <w:sz w:val="28"/>
          <w:szCs w:val="28"/>
          <w:rtl/>
        </w:rPr>
        <w:t xml:space="preserve">1 .جمل الاعراب، ج 5، ص 441</w:t>
      </w:r>
    </w:p>
    <w:p>
      <w:pPr>
        <w:pStyle w:val="BookText"/>
      </w:pPr>
      <w:r>
        <w:rPr>
          <w:rFonts w:ascii="Amiri" w:hAnsi="Amiri" w:eastAsia="Amiri" w:cs="Amiri"/>
          <w:lang w:bidi="ar-SA"/>
          <w:color w:val="111111"/>
          <w:sz w:val="28"/>
          <w:szCs w:val="28"/>
          <w:rtl/>
        </w:rPr>
        <w:t xml:space="preserve">2 .العين = كتاب العين، ج 11، ص373.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معاني الحروف الهجاء، ج 14،</w:t>
      </w:r>
    </w:p>
    <w:p>
      <w:pPr>
        <w:pStyle w:val="BookText"/>
      </w:pPr>
      <w:r>
        <w:rPr>
          <w:rFonts w:ascii="IRNazanin" w:hAnsi="IRNazanin" w:eastAsia="IRNazanin" w:cs="IRNazanin"/>
          <w:lang w:bidi="fa-IR"/>
          <w:color w:val="111111"/>
          <w:sz w:val="28"/>
          <w:szCs w:val="28"/>
          <w:rtl/>
        </w:rPr>
        <w:t xml:space="preserve">ص 888</w:t>
      </w:r>
    </w:p>
    <w:p>
      <w:pPr>
        <w:pStyle w:val="Heading2"/>
      </w:pPr>
      <w:bookmarkStart w:id="6347" w:name="_Toc5449"/>
      <w:r>
        <w:t>فراهي ، عبد الحميد بن عبدالوهاب</w:t>
      </w:r>
      <w:bookmarkEnd w:id="6347"/>
    </w:p>
    <w:p>
      <w:pPr>
        <w:pStyle w:val="BookText"/>
      </w:pPr>
      <w:r>
        <w:rPr>
          <w:rFonts w:ascii="IRNazanin" w:hAnsi="IRNazanin" w:eastAsia="IRNazanin" w:cs="IRNazanin"/>
          <w:lang w:bidi="fa-IR"/>
          <w:color w:val="111111"/>
          <w:sz w:val="28"/>
          <w:szCs w:val="28"/>
          <w:rtl/>
        </w:rPr>
        <w:t xml:space="preserve">1311 ه-</w:t>
      </w:r>
    </w:p>
    <w:p>
      <w:pPr>
        <w:pStyle w:val="BookText"/>
      </w:pPr>
      <w:r>
        <w:rPr>
          <w:rFonts w:ascii="Amiri" w:hAnsi="Amiri" w:eastAsia="Amiri" w:cs="Amiri"/>
          <w:lang w:bidi="ar-SA"/>
          <w:color w:val="111111"/>
          <w:sz w:val="28"/>
          <w:szCs w:val="28"/>
          <w:rtl/>
        </w:rPr>
        <w:t xml:space="preserve">1 .بيان النفس ( رسالة في)، ج3،</w:t>
      </w:r>
    </w:p>
    <w:p>
      <w:pPr>
        <w:pStyle w:val="BookText"/>
      </w:pPr>
      <w:r>
        <w:rPr>
          <w:rFonts w:ascii="IRNazanin" w:hAnsi="IRNazanin" w:eastAsia="IRNazanin" w:cs="IRNazanin"/>
          <w:lang w:bidi="fa-IR"/>
          <w:color w:val="111111"/>
          <w:sz w:val="28"/>
          <w:szCs w:val="28"/>
          <w:rtl/>
        </w:rPr>
        <w:t xml:space="preserve">ص 497 .</w:t>
      </w:r>
    </w:p>
    <w:p>
      <w:pPr>
        <w:pStyle w:val="BookText"/>
      </w:pPr>
      <w:r>
        <w:rPr>
          <w:rFonts w:ascii="IRNazanin" w:hAnsi="IRNazanin" w:eastAsia="IRNazanin" w:cs="IRNazanin"/>
          <w:lang w:bidi="fa-IR"/>
          <w:color w:val="111111"/>
          <w:sz w:val="28"/>
          <w:szCs w:val="28"/>
          <w:rtl/>
        </w:rPr>
        <w:t xml:space="preserve">2 .سؤال و جواب ج8، ص 684.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الفوائد، ج 12، ص172.</w:t>
      </w:r>
    </w:p>
    <w:p>
      <w:pPr>
        <w:pStyle w:val="Heading2"/>
      </w:pPr>
      <w:bookmarkStart w:id="6348" w:name="_Toc5450"/>
      <w:r>
        <w:t>فراهي ، محمّد حسین</w:t>
      </w:r>
      <w:bookmarkEnd w:id="6348"/>
    </w:p>
    <w:p>
      <w:pPr>
        <w:pStyle w:val="BookText"/>
      </w:pPr>
      <w:r>
        <w:rPr>
          <w:rFonts w:ascii="Amiri" w:hAnsi="Amiri" w:eastAsia="Amiri" w:cs="Amiri"/>
          <w:lang w:bidi="ar-SA"/>
          <w:color w:val="111111"/>
          <w:sz w:val="28"/>
          <w:szCs w:val="28"/>
          <w:rtl/>
        </w:rPr>
        <w:t xml:space="preserve">مجموعة، ج 14، ص 6.</w:t>
      </w:r>
    </w:p>
    <w:p>
      <w:pPr>
        <w:pStyle w:val="BookText"/>
      </w:pPr>
      <w:r>
        <w:rPr>
          <w:rFonts w:ascii="Amiri" w:hAnsi="Amiri" w:eastAsia="Amiri" w:cs="Amiri"/>
          <w:lang w:bidi="ar-SA"/>
          <w:color w:val="111111"/>
          <w:sz w:val="28"/>
          <w:szCs w:val="28"/>
          <w:rtl/>
        </w:rPr>
        <w:t xml:space="preserve">فراهي ، مسعود بن ابي بكر- ابونصر</w:t>
      </w:r>
    </w:p>
    <w:p>
      <w:pPr>
        <w:pStyle w:val="BookText"/>
      </w:pPr>
      <w:r>
        <w:rPr>
          <w:rFonts w:ascii="Amiri" w:hAnsi="Amiri" w:eastAsia="Amiri" w:cs="Amiri"/>
          <w:lang w:bidi="ar-SA"/>
          <w:color w:val="111111"/>
          <w:sz w:val="28"/>
          <w:szCs w:val="28"/>
          <w:rtl/>
        </w:rPr>
        <w:t xml:space="preserve">فراهي ، مسعود بن ابي بكر</w:t>
      </w:r>
    </w:p>
    <w:p>
      <w:pPr>
        <w:pStyle w:val="Heading2"/>
      </w:pPr>
      <w:bookmarkStart w:id="6349" w:name="_Toc5451"/>
      <w:r>
        <w:t>فراهي معين الدين بن محمّد - 909 ه-</w:t>
      </w:r>
      <w:bookmarkEnd w:id="6349"/>
    </w:p>
    <w:p>
      <w:pPr>
        <w:pStyle w:val="BookText"/>
      </w:pPr>
      <w:r>
        <w:rPr>
          <w:rFonts w:ascii="Amiri" w:hAnsi="Amiri" w:eastAsia="Amiri" w:cs="Amiri"/>
          <w:lang w:bidi="ar-SA"/>
          <w:color w:val="111111"/>
          <w:sz w:val="28"/>
          <w:szCs w:val="28"/>
          <w:rtl/>
        </w:rPr>
        <w:t xml:space="preserve">فخري زاده موصلي - فرحات 913</w:t>
      </w:r>
    </w:p>
    <w:p>
      <w:pPr>
        <w:pStyle w:val="BookText"/>
      </w:pPr>
      <w:r>
        <w:rPr>
          <w:rFonts w:ascii="Amiri" w:hAnsi="Amiri" w:eastAsia="Amiri" w:cs="Amiri"/>
          <w:lang w:bidi="ar-SA"/>
          <w:color w:val="111111"/>
          <w:sz w:val="28"/>
          <w:szCs w:val="28"/>
          <w:rtl/>
        </w:rPr>
        <w:t xml:space="preserve">1 .بحر الدرر = حدائق الحقايق في</w:t>
      </w:r>
    </w:p>
    <w:p>
      <w:pPr>
        <w:pStyle w:val="BookText"/>
      </w:pPr>
      <w:r>
        <w:rPr>
          <w:rFonts w:ascii="IRNazanin" w:hAnsi="IRNazanin" w:eastAsia="IRNazanin" w:cs="IRNazanin"/>
          <w:lang w:bidi="fa-IR"/>
          <w:color w:val="111111"/>
          <w:sz w:val="28"/>
          <w:szCs w:val="28"/>
          <w:rtl/>
        </w:rPr>
        <w:t xml:space="preserve">كشف اسرار الدقايق = احسن القصص = تفسير سوره یوسف</w:t>
      </w:r>
    </w:p>
    <w:p>
      <w:pPr>
        <w:pStyle w:val="BookText"/>
      </w:pPr>
      <w:r>
        <w:rPr>
          <w:rFonts w:ascii="IRNazanin" w:hAnsi="IRNazanin" w:eastAsia="IRNazanin" w:cs="IRNazanin"/>
          <w:lang w:bidi="fa-IR"/>
          <w:color w:val="111111"/>
          <w:sz w:val="28"/>
          <w:szCs w:val="28"/>
          <w:rtl/>
        </w:rPr>
        <w:t xml:space="preserve">ج 3، ص 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روضة الواعظين في شرح احاديث الاربعين عن سيد المرسلين، ج8،</w:t>
      </w:r>
    </w:p>
    <w:p>
      <w:pPr>
        <w:pStyle w:val="BookText"/>
      </w:pPr>
      <w:r>
        <w:rPr>
          <w:rFonts w:ascii="IRNazanin" w:hAnsi="IRNazanin" w:eastAsia="IRNazanin" w:cs="IRNazanin"/>
          <w:lang w:bidi="fa-IR"/>
          <w:color w:val="111111"/>
          <w:sz w:val="28"/>
          <w:szCs w:val="28"/>
          <w:rtl/>
        </w:rPr>
        <w:t xml:space="preserve">ص 456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كنز الدقائق، ج 10، ص 65 .</w:t>
      </w:r>
    </w:p>
    <w:p>
      <w:pPr>
        <w:pStyle w:val="BookText"/>
      </w:pPr>
      <w:r>
        <w:rPr>
          <w:rFonts w:ascii="Amiri" w:hAnsi="Amiri" w:eastAsia="Amiri" w:cs="Amiri"/>
          <w:lang w:bidi="ar-SA"/>
          <w:color w:val="111111"/>
          <w:sz w:val="28"/>
          <w:szCs w:val="28"/>
          <w:rtl/>
        </w:rPr>
        <w:t xml:space="preserve">4 .معارج النبوة في مدارج الفتوة = سير شريف = سير معيني، ج 14،</w:t>
      </w:r>
    </w:p>
    <w:p>
      <w:pPr>
        <w:pStyle w:val="BookText"/>
      </w:pPr>
      <w:r>
        <w:rPr>
          <w:rFonts w:ascii="IRNazanin" w:hAnsi="IRNazanin" w:eastAsia="IRNazanin" w:cs="IRNazanin"/>
          <w:lang w:bidi="fa-IR"/>
          <w:color w:val="111111"/>
          <w:sz w:val="28"/>
          <w:szCs w:val="28"/>
          <w:rtl/>
        </w:rPr>
        <w:t xml:space="preserve">ص 839</w:t>
      </w:r>
    </w:p>
    <w:p>
      <w:pPr>
        <w:pStyle w:val="Heading2"/>
      </w:pPr>
      <w:bookmarkStart w:id="6350" w:name="_Toc5452"/>
      <w:r>
        <w:t>فراوي عبد المنعم بن عبد الله، 497-587ه-</w:t>
      </w:r>
      <w:bookmarkEnd w:id="6350"/>
    </w:p>
    <w:p>
      <w:pPr>
        <w:pStyle w:val="BookText"/>
      </w:pPr>
      <w:r>
        <w:rPr>
          <w:rFonts w:ascii="Amiri" w:hAnsi="Amiri" w:eastAsia="Amiri" w:cs="Amiri"/>
          <w:lang w:bidi="ar-SA"/>
          <w:color w:val="111111"/>
          <w:sz w:val="28"/>
          <w:szCs w:val="28"/>
          <w:rtl/>
        </w:rPr>
        <w:t xml:space="preserve">الأربعون حديثاً، ج 1، ص 682.</w:t>
      </w:r>
    </w:p>
    <w:p>
      <w:pPr>
        <w:pStyle w:val="Heading2"/>
      </w:pPr>
      <w:bookmarkStart w:id="6351" w:name="_Toc5453"/>
      <w:r>
        <w:t>فراوي ، محمّد بن فضل، 441 - 530 ه-</w:t>
      </w:r>
      <w:bookmarkEnd w:id="6351"/>
    </w:p>
    <w:p>
      <w:pPr>
        <w:pStyle w:val="BookText"/>
      </w:pPr>
      <w:r>
        <w:rPr>
          <w:rFonts w:ascii="Amiri" w:hAnsi="Amiri" w:eastAsia="Amiri" w:cs="Amiri"/>
          <w:lang w:bidi="ar-SA"/>
          <w:color w:val="111111"/>
          <w:sz w:val="28"/>
          <w:szCs w:val="28"/>
          <w:rtl/>
        </w:rPr>
        <w:t xml:space="preserve">الاربعين، ج 1، ص738.</w:t>
      </w:r>
    </w:p>
    <w:p>
      <w:pPr>
        <w:pStyle w:val="Heading2"/>
      </w:pPr>
      <w:bookmarkStart w:id="6352" w:name="_Toc5454"/>
      <w:r>
        <w:t>فرج الله ، احمد</w:t>
      </w:r>
      <w:bookmarkEnd w:id="6352"/>
    </w:p>
    <w:p>
      <w:pPr>
        <w:pStyle w:val="BookText"/>
      </w:pPr>
      <w:r>
        <w:rPr>
          <w:rFonts w:ascii="Amiri" w:hAnsi="Amiri" w:eastAsia="Amiri" w:cs="Amiri"/>
          <w:lang w:bidi="ar-SA"/>
          <w:color w:val="111111"/>
          <w:sz w:val="28"/>
          <w:szCs w:val="28"/>
          <w:rtl/>
        </w:rPr>
        <w:t xml:space="preserve">مزودة العجوز، ج 14، ص 425 .</w:t>
      </w:r>
    </w:p>
    <w:p>
      <w:pPr>
        <w:pStyle w:val="BookText"/>
      </w:pPr>
      <w:r>
        <w:rPr>
          <w:rFonts w:ascii="Amiri" w:hAnsi="Amiri" w:eastAsia="Amiri" w:cs="Amiri"/>
          <w:lang w:bidi="ar-SA"/>
          <w:color w:val="111111"/>
          <w:sz w:val="28"/>
          <w:szCs w:val="28"/>
          <w:rtl/>
        </w:rPr>
        <w:t xml:space="preserve">فرج الله بن محمّد بن درويش حويزي -حويزي ، فرج الله بن محمّد</w:t>
      </w:r>
    </w:p>
    <w:p>
      <w:pPr>
        <w:pStyle w:val="BookText"/>
      </w:pPr>
      <w:r>
        <w:rPr>
          <w:rFonts w:ascii="Amiri" w:hAnsi="Amiri" w:eastAsia="Amiri" w:cs="Amiri"/>
          <w:lang w:bidi="ar-SA"/>
          <w:color w:val="111111"/>
          <w:sz w:val="28"/>
          <w:szCs w:val="28"/>
          <w:rtl/>
        </w:rPr>
        <w:t xml:space="preserve">فرج الله بن محمّد هشترودي - هشترودي</w:t>
      </w:r>
    </w:p>
    <w:p>
      <w:pPr>
        <w:pStyle w:val="BookText"/>
      </w:pPr>
      <w:r>
        <w:rPr>
          <w:rFonts w:ascii="Amiri" w:hAnsi="Amiri" w:eastAsia="Amiri" w:cs="Amiri"/>
          <w:lang w:bidi="ar-SA"/>
          <w:color w:val="111111"/>
          <w:sz w:val="28"/>
          <w:szCs w:val="28"/>
          <w:rtl/>
        </w:rPr>
        <w:t xml:space="preserve">تبريزي ، فرج الله بن محمّد</w:t>
      </w:r>
    </w:p>
    <w:p>
      <w:pPr>
        <w:pStyle w:val="BookText"/>
      </w:pPr>
      <w:r>
        <w:rPr>
          <w:rFonts w:ascii="IRNazanin" w:hAnsi="IRNazanin" w:eastAsia="IRNazanin" w:cs="IRNazanin"/>
          <w:lang w:bidi="fa-IR"/>
          <w:color w:val="111111"/>
          <w:sz w:val="28"/>
          <w:szCs w:val="28"/>
          <w:rtl/>
        </w:rPr>
        <w:t xml:space="preserve">فرج روزق ، رزوق -رزوق ، رزوق فرج</w:t>
      </w:r>
    </w:p>
    <w:p>
      <w:pPr>
        <w:pStyle w:val="Heading2"/>
      </w:pPr>
      <w:bookmarkStart w:id="6353" w:name="_Toc5455"/>
      <w:r>
        <w:t>فرحات، جرمانوس 1081 - 1145 ه-</w:t>
      </w:r>
      <w:bookmarkEnd w:id="6353"/>
    </w:p>
    <w:p>
      <w:pPr>
        <w:pStyle w:val="BookText"/>
      </w:pPr>
      <w:r>
        <w:rPr>
          <w:rFonts w:ascii="Amiri" w:hAnsi="Amiri" w:eastAsia="Amiri" w:cs="Amiri"/>
          <w:lang w:bidi="ar-SA"/>
          <w:color w:val="111111"/>
          <w:sz w:val="28"/>
          <w:szCs w:val="28"/>
          <w:rtl/>
        </w:rPr>
        <w:t xml:space="preserve">1 .الاعراب عن لغة الاعراب، ج2،</w:t>
      </w:r>
    </w:p>
    <w:p>
      <w:pPr>
        <w:pStyle w:val="BookText"/>
      </w:pPr>
      <w:r>
        <w:rPr>
          <w:rFonts w:ascii="IRNazanin" w:hAnsi="IRNazanin" w:eastAsia="IRNazanin" w:cs="IRNazanin"/>
          <w:lang w:bidi="fa-IR"/>
          <w:color w:val="111111"/>
          <w:sz w:val="28"/>
          <w:szCs w:val="28"/>
          <w:rtl/>
        </w:rPr>
        <w:t xml:space="preserve">ص 539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848" w:name="pg7742_70970"/>
    <w:bookmarkEnd w:id="848"/>
    <w:p>
      <w:pPr>
        <w:pStyle w:val="BookText"/>
      </w:pPr>
      <w:r>
        <w:rPr>
          <w:rFonts w:ascii="Amiri" w:hAnsi="Amiri" w:eastAsia="Amiri" w:cs="Amiri"/>
          <w:lang w:bidi="ar-SA"/>
          <w:color w:val="111111"/>
          <w:sz w:val="28"/>
          <w:szCs w:val="28"/>
          <w:rtl/>
        </w:rPr>
        <w:t xml:space="preserve">2 .التذكرة من ديوان جرمانوس فرحات، ج 4، ص 214.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دیوان جرمانوس، ج 7، ص 607.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فصل الخطاب، ج 11، ص831.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قواعد اللغة العربية = شرح</w:t>
      </w:r>
    </w:p>
    <w:p>
      <w:pPr>
        <w:pStyle w:val="BookText"/>
      </w:pPr>
      <w:r>
        <w:rPr>
          <w:rFonts w:ascii="Amiri" w:hAnsi="Amiri" w:eastAsia="Amiri" w:cs="Amiri"/>
          <w:lang w:bidi="ar-SA"/>
          <w:color w:val="111111"/>
          <w:sz w:val="28"/>
          <w:szCs w:val="28"/>
          <w:rtl/>
        </w:rPr>
        <w:t xml:space="preserve">الآجرومية، ج 12، ص803.</w:t>
      </w:r>
    </w:p>
    <w:p>
      <w:pPr>
        <w:pStyle w:val="BookText"/>
      </w:pPr>
      <w:r>
        <w:rPr>
          <w:rFonts w:ascii="Amiri" w:hAnsi="Amiri" w:eastAsia="Amiri" w:cs="Amiri"/>
          <w:lang w:bidi="ar-SA"/>
          <w:color w:val="111111"/>
          <w:sz w:val="28"/>
          <w:szCs w:val="28"/>
          <w:rtl/>
        </w:rPr>
        <w:t xml:space="preserve">6 .كتاب المطران، ج13، ص123.</w:t>
      </w:r>
    </w:p>
    <w:p>
      <w:pPr>
        <w:pStyle w:val="BookText"/>
      </w:pPr>
      <w:r>
        <w:rPr>
          <w:rFonts w:ascii="Amiri" w:hAnsi="Amiri" w:eastAsia="Amiri" w:cs="Amiri"/>
          <w:lang w:bidi="ar-SA"/>
          <w:color w:val="111111"/>
          <w:sz w:val="28"/>
          <w:szCs w:val="28"/>
          <w:rtl/>
        </w:rPr>
        <w:t xml:space="preserve">7 .مختصر الكمال المسيحي، ج 14،</w:t>
      </w:r>
    </w:p>
    <w:p>
      <w:pPr>
        <w:pStyle w:val="BookText"/>
      </w:pPr>
      <w:r>
        <w:rPr>
          <w:rFonts w:ascii="IRNazanin" w:hAnsi="IRNazanin" w:eastAsia="IRNazanin" w:cs="IRNazanin"/>
          <w:lang w:bidi="fa-IR"/>
          <w:color w:val="111111"/>
          <w:sz w:val="28"/>
          <w:szCs w:val="28"/>
          <w:rtl/>
        </w:rPr>
        <w:t xml:space="preserve">ص238.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مواعظ، ج 15، ص 862.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الوعظ، ج 16، ص 840.</w:t>
      </w:r>
    </w:p>
    <w:p>
      <w:pPr>
        <w:pStyle w:val="Heading2"/>
      </w:pPr>
      <w:bookmarkStart w:id="6354" w:name="_Toc5456"/>
      <w:r>
        <w:t>فرحاتي ، مصطفى، - 1140 ه-</w:t>
      </w:r>
      <w:bookmarkEnd w:id="6354"/>
    </w:p>
    <w:p>
      <w:pPr>
        <w:pStyle w:val="BookText"/>
      </w:pPr>
      <w:r>
        <w:rPr>
          <w:rFonts w:ascii="Amiri" w:hAnsi="Amiri" w:eastAsia="Amiri" w:cs="Amiri"/>
          <w:lang w:bidi="ar-SA"/>
          <w:color w:val="111111"/>
          <w:sz w:val="28"/>
          <w:szCs w:val="28"/>
          <w:rtl/>
        </w:rPr>
        <w:t xml:space="preserve">فضل القوس العربية، ج 12، ص28.</w:t>
      </w:r>
    </w:p>
    <w:p>
      <w:pPr>
        <w:pStyle w:val="BookText"/>
      </w:pPr>
      <w:r>
        <w:rPr>
          <w:rFonts w:ascii="Amiri" w:hAnsi="Amiri" w:eastAsia="Amiri" w:cs="Amiri"/>
          <w:lang w:bidi="ar-SA"/>
          <w:color w:val="111111"/>
          <w:sz w:val="28"/>
          <w:szCs w:val="28"/>
          <w:rtl/>
        </w:rPr>
        <w:t xml:space="preserve">فرحان بن عمر سرقي -سرقي ، فرحان بن عمر</w:t>
      </w:r>
    </w:p>
    <w:p>
      <w:pPr>
        <w:pStyle w:val="Heading2"/>
      </w:pPr>
      <w:bookmarkStart w:id="6355" w:name="_Toc5457"/>
      <w:r>
        <w:t>فرخي سيستاني ، علي بن جولوغ، -429ه-</w:t>
      </w:r>
      <w:bookmarkEnd w:id="6355"/>
    </w:p>
    <w:p>
      <w:pPr>
        <w:pStyle w:val="BookText"/>
      </w:pPr>
      <w:r>
        <w:rPr>
          <w:rFonts w:ascii="Amiri" w:hAnsi="Amiri" w:eastAsia="Amiri" w:cs="Amiri"/>
          <w:lang w:bidi="ar-SA"/>
          <w:color w:val="111111"/>
          <w:sz w:val="28"/>
          <w:szCs w:val="28"/>
          <w:rtl/>
        </w:rPr>
        <w:t xml:space="preserve">ديوان فرخي سيستاني، ج 7، ص733.</w:t>
      </w:r>
    </w:p>
    <w:p>
      <w:pPr>
        <w:pStyle w:val="Heading2"/>
      </w:pPr>
      <w:bookmarkStart w:id="6356" w:name="_Toc5458"/>
      <w:r>
        <w:t>؟ فردوسي ، ابوالقاسم، 329 - 411 ه-</w:t>
      </w:r>
      <w:bookmarkEnd w:id="6356"/>
    </w:p>
    <w:p>
      <w:pPr>
        <w:pStyle w:val="BookText"/>
      </w:pPr>
      <w:r>
        <w:rPr>
          <w:rFonts w:ascii="IRNazanin" w:hAnsi="IRNazanin" w:eastAsia="IRNazanin" w:cs="IRNazanin"/>
          <w:lang w:bidi="fa-IR"/>
          <w:color w:val="111111"/>
          <w:sz w:val="28"/>
          <w:szCs w:val="28"/>
          <w:rtl/>
        </w:rPr>
        <w:t xml:space="preserve">1 شاهنامه، ج 9، ص 69.</w:t>
      </w:r>
    </w:p>
    <w:p>
      <w:pPr>
        <w:pStyle w:val="BookText"/>
      </w:pPr>
      <w:r>
        <w:rPr>
          <w:rFonts w:ascii="IRNazanin" w:hAnsi="IRNazanin" w:eastAsia="IRNazanin" w:cs="IRNazanin"/>
          <w:lang w:bidi="fa-IR"/>
          <w:color w:val="111111"/>
          <w:sz w:val="28"/>
          <w:szCs w:val="28"/>
          <w:rtl/>
        </w:rPr>
        <w:t xml:space="preserve">2 .یوسف و زلیخا ج16، ص 907.</w:t>
      </w:r>
    </w:p>
    <w:p>
      <w:pPr>
        <w:pStyle w:val="BookText"/>
      </w:pPr>
      <w:r>
        <w:rPr>
          <w:rFonts w:ascii="Amiri" w:hAnsi="Amiri" w:eastAsia="Amiri" w:cs="Amiri"/>
          <w:lang w:bidi="ar-SA"/>
          <w:color w:val="111111"/>
          <w:sz w:val="28"/>
          <w:szCs w:val="28"/>
          <w:rtl/>
        </w:rPr>
        <w:t xml:space="preserve">فردوسي ثاني- ابن حسام ، محمّد بن</w:t>
      </w:r>
    </w:p>
    <w:p>
      <w:pPr>
        <w:pStyle w:val="BookText"/>
      </w:pPr>
      <w:r>
        <w:rPr>
          <w:rFonts w:ascii="Amiri" w:hAnsi="Amiri" w:eastAsia="Amiri" w:cs="Amiri"/>
          <w:lang w:bidi="ar-SA"/>
          <w:color w:val="111111"/>
          <w:sz w:val="28"/>
          <w:szCs w:val="28"/>
          <w:rtl/>
        </w:rPr>
        <w:t xml:space="preserve">حسام الدين</w:t>
      </w:r>
    </w:p>
    <w:p>
      <w:pPr>
        <w:pStyle w:val="BookText"/>
      </w:pPr>
      <w:r>
        <w:rPr>
          <w:rFonts w:ascii="Amiri" w:hAnsi="Amiri" w:eastAsia="Amiri" w:cs="Amiri"/>
          <w:lang w:bidi="ar-SA"/>
          <w:color w:val="111111"/>
          <w:sz w:val="28"/>
          <w:szCs w:val="28"/>
          <w:rtl/>
        </w:rPr>
        <w:t xml:space="preserve">فردوسي ، عبد السلام بن محمّد -حجي</w:t>
      </w:r>
    </w:p>
    <w:p>
      <w:pPr>
        <w:pStyle w:val="BookText"/>
      </w:pPr>
      <w:r>
        <w:rPr>
          <w:rFonts w:ascii="IRNazanin" w:hAnsi="IRNazanin" w:eastAsia="IRNazanin" w:cs="IRNazanin"/>
          <w:lang w:bidi="fa-IR"/>
          <w:color w:val="111111"/>
          <w:sz w:val="28"/>
          <w:szCs w:val="28"/>
          <w:rtl/>
        </w:rPr>
        <w:t xml:space="preserve">عبدالسلام بن محمّد</w:t>
      </w:r>
    </w:p>
    <w:p>
      <w:pPr>
        <w:pStyle w:val="Heading2"/>
      </w:pPr>
      <w:bookmarkStart w:id="6357" w:name="_Toc5459"/>
      <w:r>
        <w:t>فردي ، علي بن مصطفى - 1145 ه-</w:t>
      </w:r>
      <w:bookmarkEnd w:id="6357"/>
    </w:p>
    <w:p>
      <w:pPr>
        <w:pStyle w:val="BookText"/>
      </w:pPr>
      <w:r>
        <w:rPr>
          <w:rFonts w:ascii="Amiri" w:hAnsi="Amiri" w:eastAsia="Amiri" w:cs="Amiri"/>
          <w:lang w:bidi="ar-SA"/>
          <w:color w:val="111111"/>
          <w:sz w:val="28"/>
          <w:szCs w:val="28"/>
          <w:rtl/>
        </w:rPr>
        <w:t xml:space="preserve">الحاشية الفردوية للرسالة الحسينية</w:t>
      </w:r>
    </w:p>
    <w:p>
      <w:pPr>
        <w:pStyle w:val="BookText"/>
      </w:pPr>
      <w:r>
        <w:rPr>
          <w:rFonts w:ascii="IRNazanin" w:hAnsi="IRNazanin" w:eastAsia="IRNazanin" w:cs="IRNazanin"/>
          <w:lang w:bidi="fa-IR"/>
          <w:color w:val="111111"/>
          <w:sz w:val="28"/>
          <w:szCs w:val="28"/>
          <w:rtl/>
        </w:rPr>
        <w:t xml:space="preserve">ج 6، ص 269.</w:t>
      </w:r>
    </w:p>
    <w:p>
      <w:pPr>
        <w:pStyle w:val="Heading2"/>
      </w:pPr>
      <w:bookmarkStart w:id="6358" w:name="_Toc5460"/>
      <w:r>
        <w:t>فرزدق، همام بن غالب - 110 ه-</w:t>
      </w:r>
      <w:bookmarkEnd w:id="6358"/>
    </w:p>
    <w:p>
      <w:pPr>
        <w:pStyle w:val="BookText"/>
      </w:pPr>
      <w:r>
        <w:rPr>
          <w:rFonts w:ascii="Amiri" w:hAnsi="Amiri" w:eastAsia="Amiri" w:cs="Amiri"/>
          <w:lang w:bidi="ar-SA"/>
          <w:color w:val="111111"/>
          <w:sz w:val="28"/>
          <w:szCs w:val="28"/>
          <w:rtl/>
        </w:rPr>
        <w:t xml:space="preserve">1 .ديوان الفرزدق، ج 7، ص733.</w:t>
      </w:r>
    </w:p>
    <w:p>
      <w:pPr>
        <w:pStyle w:val="BookText"/>
      </w:pPr>
      <w:r>
        <w:rPr>
          <w:rFonts w:ascii="Amiri" w:hAnsi="Amiri" w:eastAsia="Amiri" w:cs="Amiri"/>
          <w:lang w:bidi="ar-SA"/>
          <w:color w:val="111111"/>
          <w:sz w:val="28"/>
          <w:szCs w:val="28"/>
          <w:rtl/>
        </w:rPr>
        <w:t xml:space="preserve">2 .القصيدة الميمية في مدح علي بن الحسين (ع)، ج 12، ص 720.</w:t>
      </w:r>
    </w:p>
    <w:p>
      <w:pPr>
        <w:pStyle w:val="BookText"/>
      </w:pPr>
      <w:r>
        <w:rPr>
          <w:rFonts w:ascii="Amiri" w:hAnsi="Amiri" w:eastAsia="Amiri" w:cs="Amiri"/>
          <w:lang w:bidi="ar-SA"/>
          <w:color w:val="111111"/>
          <w:sz w:val="28"/>
          <w:szCs w:val="28"/>
          <w:rtl/>
        </w:rPr>
        <w:t xml:space="preserve">فرشته ، عبد اللطيف بن عبدالعزيز -ابن</w:t>
      </w:r>
    </w:p>
    <w:p>
      <w:pPr>
        <w:pStyle w:val="BookText"/>
      </w:pPr>
      <w:r>
        <w:rPr>
          <w:rFonts w:ascii="Amiri" w:hAnsi="Amiri" w:eastAsia="Amiri" w:cs="Amiri"/>
          <w:lang w:bidi="ar-SA"/>
          <w:color w:val="111111"/>
          <w:sz w:val="28"/>
          <w:szCs w:val="28"/>
          <w:rtl/>
        </w:rPr>
        <w:t xml:space="preserve">فرشته ، عبد اللطيف بن عبدالعزيز</w:t>
      </w:r>
    </w:p>
    <w:p>
      <w:pPr>
        <w:pStyle w:val="Heading2"/>
      </w:pPr>
      <w:bookmarkStart w:id="6359" w:name="_Toc5461"/>
      <w:r>
        <w:t>فرشته ، محمّد قاسم بن غلامعلي، 960 -</w:t>
      </w:r>
      <w:bookmarkEnd w:id="6359"/>
    </w:p>
    <w:p>
      <w:pPr>
        <w:pStyle w:val="BookText"/>
      </w:pPr>
      <w:r>
        <w:rPr>
          <w:rFonts w:ascii="IRNazanin" w:hAnsi="IRNazanin" w:eastAsia="IRNazanin" w:cs="IRNazanin"/>
          <w:lang w:bidi="fa-IR"/>
          <w:color w:val="111111"/>
          <w:sz w:val="28"/>
          <w:szCs w:val="28"/>
          <w:rtl/>
        </w:rPr>
        <w:t xml:space="preserve">1023 ه-</w:t>
      </w:r>
    </w:p>
    <w:p>
      <w:pPr>
        <w:pStyle w:val="BookText"/>
      </w:pPr>
      <w:r>
        <w:rPr>
          <w:rFonts w:ascii="IRNazanin" w:hAnsi="IRNazanin" w:eastAsia="IRNazanin" w:cs="IRNazanin"/>
          <w:lang w:bidi="fa-IR"/>
          <w:color w:val="111111"/>
          <w:sz w:val="28"/>
          <w:szCs w:val="28"/>
          <w:rtl/>
        </w:rPr>
        <w:t xml:space="preserve">اختیارات قاسمي = دستور الاطباء</w:t>
      </w:r>
    </w:p>
    <w:p>
      <w:pPr>
        <w:pStyle w:val="BookText"/>
      </w:pPr>
      <w:r>
        <w:rPr>
          <w:rFonts w:ascii="IRNazanin" w:hAnsi="IRNazanin" w:eastAsia="IRNazanin" w:cs="IRNazanin"/>
          <w:lang w:bidi="fa-IR"/>
          <w:color w:val="111111"/>
          <w:sz w:val="28"/>
          <w:szCs w:val="28"/>
          <w:rtl/>
        </w:rPr>
        <w:t xml:space="preserve">ج 1، ص 559.</w:t>
      </w:r>
    </w:p>
    <w:p>
      <w:pPr>
        <w:pStyle w:val="Heading2"/>
      </w:pPr>
      <w:bookmarkStart w:id="6360" w:name="_Toc5462"/>
      <w:r>
        <w:t>فرضي، ابراهيم بن حسين - 880 ه-</w:t>
      </w:r>
      <w:bookmarkEnd w:id="6360"/>
    </w:p>
    <w:p>
      <w:pPr>
        <w:pStyle w:val="BookText"/>
      </w:pPr>
      <w:r>
        <w:rPr>
          <w:rFonts w:ascii="Amiri" w:hAnsi="Amiri" w:eastAsia="Amiri" w:cs="Amiri"/>
          <w:lang w:bidi="ar-SA"/>
          <w:color w:val="111111"/>
          <w:sz w:val="28"/>
          <w:szCs w:val="28"/>
          <w:rtl/>
        </w:rPr>
        <w:t xml:space="preserve">منهاج المذكرين و معراج المحذرين</w:t>
      </w:r>
    </w:p>
    <w:p>
      <w:pPr>
        <w:pStyle w:val="BookText"/>
      </w:pPr>
      <w:r>
        <w:rPr>
          <w:rFonts w:ascii="IRNazanin" w:hAnsi="IRNazanin" w:eastAsia="IRNazanin" w:cs="IRNazanin"/>
          <w:lang w:bidi="fa-IR"/>
          <w:color w:val="111111"/>
          <w:sz w:val="28"/>
          <w:szCs w:val="28"/>
          <w:rtl/>
        </w:rPr>
        <w:t xml:space="preserve">ج 15 ، ص 782.</w:t>
      </w:r>
    </w:p>
    <w:p>
      <w:pPr>
        <w:pStyle w:val="Heading2"/>
      </w:pPr>
      <w:bookmarkStart w:id="6361" w:name="_Toc5463"/>
      <w:r>
        <w:t>فرضي حلي ، علي بن حسين قرن 14 ه-</w:t>
      </w:r>
      <w:bookmarkEnd w:id="6361"/>
    </w:p>
    <w:p>
      <w:pPr>
        <w:pStyle w:val="BookText"/>
      </w:pPr>
      <w:r>
        <w:rPr>
          <w:rFonts w:ascii="Amiri" w:hAnsi="Amiri" w:eastAsia="Amiri" w:cs="Amiri"/>
          <w:lang w:bidi="ar-SA"/>
          <w:color w:val="111111"/>
          <w:sz w:val="28"/>
          <w:szCs w:val="28"/>
          <w:rtl/>
        </w:rPr>
        <w:t xml:space="preserve">محاضرة الأديب و مسامرة الحبيب</w:t>
      </w:r>
    </w:p>
    <w:p>
      <w:pPr>
        <w:pStyle w:val="BookText"/>
      </w:pPr>
      <w:r>
        <w:rPr>
          <w:rFonts w:ascii="IRNazanin" w:hAnsi="IRNazanin" w:eastAsia="IRNazanin" w:cs="IRNazanin"/>
          <w:lang w:bidi="fa-IR"/>
          <w:color w:val="111111"/>
          <w:sz w:val="28"/>
          <w:szCs w:val="28"/>
          <w:rtl/>
        </w:rPr>
        <w:t xml:space="preserve">ج 14، ص 102.</w:t>
      </w:r>
    </w:p>
    <w:p>
      <w:pPr>
        <w:pStyle w:val="BookText"/>
      </w:pPr>
      <w:r>
        <w:rPr>
          <w:rFonts w:ascii="Amiri" w:hAnsi="Amiri" w:eastAsia="Amiri" w:cs="Amiri"/>
          <w:lang w:bidi="ar-SA"/>
          <w:color w:val="111111"/>
          <w:sz w:val="28"/>
          <w:szCs w:val="28"/>
          <w:rtl/>
        </w:rPr>
        <w:t xml:space="preserve">فرضي ، محمّد بن حاج احمد -ابن الحاج ،</w:t>
      </w:r>
    </w:p>
    <w:p>
      <w:pPr>
        <w:pStyle w:val="BookText"/>
      </w:pPr>
      <w:r>
        <w:rPr>
          <w:rFonts w:ascii="IRNazanin" w:hAnsi="IRNazanin" w:eastAsia="IRNazanin" w:cs="IRNazanin"/>
          <w:lang w:bidi="fa-IR"/>
          <w:color w:val="111111"/>
          <w:sz w:val="28"/>
          <w:szCs w:val="28"/>
          <w:rtl/>
        </w:rPr>
        <w:t xml:space="preserve">محمّد بن حاج احمد</w:t>
      </w:r>
    </w:p>
    <w:p>
      <w:pPr>
        <w:pStyle w:val="Heading2"/>
      </w:pPr>
      <w:bookmarkStart w:id="6362" w:name="_Toc5464"/>
      <w:r>
        <w:t>فرضي ، محمّد بن محمّد - 815 ه-</w:t>
      </w:r>
      <w:bookmarkEnd w:id="6362"/>
    </w:p>
    <w:p>
      <w:pPr>
        <w:pStyle w:val="BookText"/>
      </w:pPr>
      <w:r>
        <w:rPr>
          <w:rFonts w:ascii="Amiri" w:hAnsi="Amiri" w:eastAsia="Amiri" w:cs="Amiri"/>
          <w:lang w:bidi="ar-SA"/>
          <w:color w:val="111111"/>
          <w:sz w:val="28"/>
          <w:szCs w:val="28"/>
          <w:rtl/>
        </w:rPr>
        <w:t xml:space="preserve">مختصر في علم الفرائض لمصطفى الدسوقي، ج 14، ص 220 .</w:t>
      </w:r>
    </w:p>
    <w:p>
      <w:pPr>
        <w:pStyle w:val="Heading2"/>
      </w:pPr>
      <w:bookmarkStart w:id="6363" w:name="_Toc5465"/>
      <w:r>
        <w:t>فرضي، محمود بن ابي بكر، 644 - 700 ه-</w:t>
      </w:r>
      <w:bookmarkEnd w:id="6363"/>
    </w:p>
    <w:p>
      <w:pPr>
        <w:pStyle w:val="BookText"/>
      </w:pPr>
      <w:r>
        <w:rPr>
          <w:rFonts w:ascii="IRNazanin" w:hAnsi="IRNazanin" w:eastAsia="IRNazanin" w:cs="IRNazanin"/>
          <w:lang w:bidi="fa-IR"/>
          <w:color w:val="111111"/>
          <w:sz w:val="28"/>
          <w:szCs w:val="28"/>
          <w:rtl/>
        </w:rPr>
        <w:t xml:space="preserve">ضوء السراج - شرح الفرائض</w:t>
      </w:r>
    </w:p>
    <w:p>
      <w:pPr>
        <w:pStyle w:val="BookText"/>
      </w:pPr>
      <w:r>
        <w:rPr>
          <w:rFonts w:ascii="Amiri" w:hAnsi="Amiri" w:eastAsia="Amiri" w:cs="Amiri"/>
          <w:lang w:bidi="ar-SA"/>
          <w:color w:val="111111"/>
          <w:sz w:val="28"/>
          <w:szCs w:val="28"/>
          <w:rtl/>
        </w:rPr>
        <w:t xml:space="preserve">السراجية، ج 10، ص 698.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49" w:name="pg7742_70972"/>
    <w:bookmarkEnd w:id="849"/>
    <w:p>
      <w:pPr>
        <w:pStyle w:val="Heading2"/>
      </w:pPr>
      <w:bookmarkStart w:id="6364" w:name="_Toc5466"/>
      <w:r>
        <w:t>فرضي ، يحيى بن تقي الدين، 953</w:t>
      </w:r>
      <w:bookmarkEnd w:id="6364"/>
    </w:p>
    <w:p>
      <w:pPr>
        <w:pStyle w:val="BookText"/>
      </w:pPr>
      <w:r>
        <w:rPr>
          <w:rFonts w:ascii="IRNazanin" w:hAnsi="IRNazanin" w:eastAsia="IRNazanin" w:cs="IRNazanin"/>
          <w:lang w:bidi="fa-IR"/>
          <w:color w:val="111111"/>
          <w:sz w:val="28"/>
          <w:szCs w:val="28"/>
          <w:rtl/>
        </w:rPr>
        <w:t xml:space="preserve">1014؟ ه-</w:t>
      </w:r>
    </w:p>
    <w:p>
      <w:pPr>
        <w:pStyle w:val="BookText"/>
      </w:pPr>
      <w:r>
        <w:rPr>
          <w:rFonts w:ascii="Amiri" w:hAnsi="Amiri" w:eastAsia="Amiri" w:cs="Amiri"/>
          <w:lang w:bidi="ar-SA"/>
          <w:color w:val="111111"/>
          <w:sz w:val="28"/>
          <w:szCs w:val="28"/>
          <w:rtl/>
        </w:rPr>
        <w:t xml:space="preserve">1 .شرح التفاحة في علم المساحة، ج9،</w:t>
      </w:r>
    </w:p>
    <w:p>
      <w:pPr>
        <w:pStyle w:val="BookText"/>
      </w:pPr>
      <w:r>
        <w:rPr>
          <w:rFonts w:ascii="IRNazanin" w:hAnsi="IRNazanin" w:eastAsia="IRNazanin" w:cs="IRNazanin"/>
          <w:lang w:bidi="fa-IR"/>
          <w:color w:val="111111"/>
          <w:sz w:val="28"/>
          <w:szCs w:val="28"/>
          <w:rtl/>
        </w:rPr>
        <w:t xml:space="preserve">ص 340.</w:t>
      </w:r>
    </w:p>
    <w:p>
      <w:pPr>
        <w:pStyle w:val="BookText"/>
      </w:pPr>
      <w:r>
        <w:rPr>
          <w:rFonts w:ascii="Amiri" w:hAnsi="Amiri" w:eastAsia="Amiri" w:cs="Amiri"/>
          <w:lang w:bidi="ar-SA"/>
          <w:color w:val="111111"/>
          <w:sz w:val="28"/>
          <w:szCs w:val="28"/>
          <w:rtl/>
        </w:rPr>
        <w:t xml:space="preserve">2 .الشرح الكبير على نزهة الطلاب في</w:t>
      </w:r>
    </w:p>
    <w:p>
      <w:pPr>
        <w:pStyle w:val="BookText"/>
      </w:pPr>
      <w:r>
        <w:rPr>
          <w:rFonts w:ascii="IRNazanin" w:hAnsi="IRNazanin" w:eastAsia="IRNazanin" w:cs="IRNazanin"/>
          <w:lang w:bidi="fa-IR"/>
          <w:color w:val="111111"/>
          <w:sz w:val="28"/>
          <w:szCs w:val="28"/>
          <w:rtl/>
        </w:rPr>
        <w:t xml:space="preserve">علم الحساب، ج 10، ص 44.</w:t>
      </w:r>
    </w:p>
    <w:p>
      <w:pPr>
        <w:pStyle w:val="BookText"/>
      </w:pPr>
      <w:r>
        <w:rPr>
          <w:rFonts w:ascii="Amiri" w:hAnsi="Amiri" w:eastAsia="Amiri" w:cs="Amiri"/>
          <w:lang w:bidi="ar-SA"/>
          <w:color w:val="111111"/>
          <w:sz w:val="28"/>
          <w:szCs w:val="28"/>
          <w:rtl/>
        </w:rPr>
        <w:t xml:space="preserve">3 .شرح منظومة الجعبري في الفرائض</w:t>
      </w:r>
    </w:p>
    <w:p>
      <w:pPr>
        <w:pStyle w:val="BookText"/>
      </w:pPr>
      <w:r>
        <w:rPr>
          <w:rFonts w:ascii="IRNazanin" w:hAnsi="IRNazanin" w:eastAsia="IRNazanin" w:cs="IRNazanin"/>
          <w:lang w:bidi="fa-IR"/>
          <w:color w:val="111111"/>
          <w:sz w:val="28"/>
          <w:szCs w:val="28"/>
          <w:rtl/>
        </w:rPr>
        <w:t xml:space="preserve">ج 10، ص 245.</w:t>
      </w:r>
    </w:p>
    <w:p>
      <w:pPr>
        <w:pStyle w:val="Heading2"/>
      </w:pPr>
      <w:bookmarkStart w:id="6365" w:name="_Toc5467"/>
      <w:r>
        <w:t>فرغاني ، احمد بن محمّد قرن 3 ه-</w:t>
      </w:r>
      <w:bookmarkEnd w:id="6365"/>
    </w:p>
    <w:p>
      <w:pPr>
        <w:pStyle w:val="BookText"/>
      </w:pPr>
      <w:r>
        <w:rPr>
          <w:rFonts w:ascii="Amiri" w:hAnsi="Amiri" w:eastAsia="Amiri" w:cs="Amiri"/>
          <w:lang w:bidi="ar-SA"/>
          <w:color w:val="111111"/>
          <w:sz w:val="28"/>
          <w:szCs w:val="28"/>
          <w:rtl/>
        </w:rPr>
        <w:t xml:space="preserve">1 .تركيب الافلاك، ج 4، ص 313.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جوامع علوم النجوم و اصول الحركات السماوية = المدخل إلى علم هيئة الأفلاك و حركة النجوم ج 5، ص 529.</w:t>
      </w:r>
    </w:p>
    <w:p>
      <w:pPr>
        <w:pStyle w:val="BookText"/>
      </w:pPr>
      <w:r>
        <w:rPr>
          <w:rFonts w:ascii="Amiri" w:hAnsi="Amiri" w:eastAsia="Amiri" w:cs="Amiri"/>
          <w:lang w:bidi="ar-SA"/>
          <w:color w:val="111111"/>
          <w:sz w:val="28"/>
          <w:szCs w:val="28"/>
          <w:rtl/>
        </w:rPr>
        <w:t xml:space="preserve">فرغاني اوشي ، علي بن عثمان -سراج الدين</w:t>
      </w:r>
    </w:p>
    <w:p>
      <w:pPr>
        <w:pStyle w:val="BookText"/>
      </w:pPr>
      <w:r>
        <w:rPr>
          <w:rFonts w:ascii="Amiri" w:hAnsi="Amiri" w:eastAsia="Amiri" w:cs="Amiri"/>
          <w:lang w:bidi="ar-SA"/>
          <w:color w:val="111111"/>
          <w:sz w:val="28"/>
          <w:szCs w:val="28"/>
          <w:rtl/>
        </w:rPr>
        <w:t xml:space="preserve">اوشي ، علي بن عثمان</w:t>
      </w:r>
    </w:p>
    <w:p>
      <w:pPr>
        <w:pStyle w:val="BookText"/>
      </w:pPr>
      <w:r>
        <w:rPr>
          <w:rFonts w:ascii="Amiri" w:hAnsi="Amiri" w:eastAsia="Amiri" w:cs="Amiri"/>
          <w:lang w:bidi="ar-SA"/>
          <w:color w:val="111111"/>
          <w:sz w:val="28"/>
          <w:szCs w:val="28"/>
          <w:rtl/>
        </w:rPr>
        <w:t xml:space="preserve">فرغاني ، حسن بن منصور -قاضيخان</w:t>
      </w:r>
    </w:p>
    <w:p>
      <w:pPr>
        <w:pStyle w:val="BookText"/>
      </w:pPr>
      <w:r>
        <w:rPr>
          <w:rFonts w:ascii="IRNazanin" w:hAnsi="IRNazanin" w:eastAsia="IRNazanin" w:cs="IRNazanin"/>
          <w:lang w:bidi="fa-IR"/>
          <w:color w:val="111111"/>
          <w:sz w:val="28"/>
          <w:szCs w:val="28"/>
          <w:rtl/>
        </w:rPr>
        <w:t xml:space="preserve">حسن بن منصور</w:t>
      </w:r>
    </w:p>
    <w:p>
      <w:pPr>
        <w:pStyle w:val="Heading2"/>
      </w:pPr>
      <w:bookmarkStart w:id="6366" w:name="_Toc5468"/>
      <w:r>
        <w:t>فرغاني شرف الدین احمد بن ،اسد قرن 9ه-</w:t>
      </w:r>
      <w:bookmarkEnd w:id="6366"/>
    </w:p>
    <w:p>
      <w:pPr>
        <w:pStyle w:val="BookText"/>
      </w:pPr>
      <w:r>
        <w:rPr>
          <w:rFonts w:ascii="Amiri" w:hAnsi="Amiri" w:eastAsia="Amiri" w:cs="Amiri"/>
          <w:lang w:bidi="ar-SA"/>
          <w:color w:val="111111"/>
          <w:sz w:val="28"/>
          <w:szCs w:val="28"/>
          <w:rtl/>
        </w:rPr>
        <w:t xml:space="preserve">حيرة الفقهاء = خبرة الفقهاء و حجلة الفضلاء، ج 6، ص 869.</w:t>
      </w:r>
    </w:p>
    <w:p>
      <w:pPr>
        <w:pStyle w:val="BookText"/>
      </w:pPr>
      <w:r>
        <w:rPr>
          <w:rFonts w:ascii="Amiri" w:hAnsi="Amiri" w:eastAsia="Amiri" w:cs="Amiri"/>
          <w:lang w:bidi="ar-SA"/>
          <w:color w:val="111111"/>
          <w:sz w:val="28"/>
          <w:szCs w:val="28"/>
          <w:rtl/>
        </w:rPr>
        <w:t xml:space="preserve">فرغاني ، عبدالرحيم بن ابي بكر- مرغيناني</w:t>
      </w:r>
    </w:p>
    <w:p>
      <w:pPr>
        <w:pStyle w:val="BookText"/>
      </w:pPr>
      <w:r>
        <w:rPr>
          <w:rFonts w:ascii="Amiri" w:hAnsi="Amiri" w:eastAsia="Amiri" w:cs="Amiri"/>
          <w:lang w:bidi="ar-SA"/>
          <w:color w:val="111111"/>
          <w:sz w:val="28"/>
          <w:szCs w:val="28"/>
          <w:rtl/>
        </w:rPr>
        <w:t xml:space="preserve">، عبدالرحيم بن ابي بكر</w:t>
      </w:r>
    </w:p>
    <w:p>
      <w:pPr>
        <w:pStyle w:val="BookText"/>
      </w:pPr>
      <w:r>
        <w:rPr>
          <w:rFonts w:ascii="Amiri" w:hAnsi="Amiri" w:eastAsia="Amiri" w:cs="Amiri"/>
          <w:lang w:bidi="ar-SA"/>
          <w:color w:val="111111"/>
          <w:sz w:val="28"/>
          <w:szCs w:val="28"/>
          <w:rtl/>
        </w:rPr>
        <w:t xml:space="preserve">فرغاني عبري ، عبيد الله بن محمّد- عبري ،</w:t>
      </w:r>
    </w:p>
    <w:p>
      <w:pPr>
        <w:pStyle w:val="BookText"/>
      </w:pPr>
      <w:r>
        <w:rPr>
          <w:rFonts w:ascii="IRNazanin" w:hAnsi="IRNazanin" w:eastAsia="IRNazanin" w:cs="IRNazanin"/>
          <w:lang w:bidi="fa-IR"/>
          <w:color w:val="111111"/>
          <w:sz w:val="28"/>
          <w:szCs w:val="28"/>
          <w:rtl/>
        </w:rPr>
        <w:t xml:space="preserve">عبیدالله بن محمّد</w:t>
      </w:r>
    </w:p>
    <w:p>
      <w:pPr>
        <w:pStyle w:val="BookText"/>
      </w:pPr>
      <w:r>
        <w:rPr>
          <w:rFonts w:ascii="Amiri" w:hAnsi="Amiri" w:eastAsia="Amiri" w:cs="Amiri"/>
          <w:lang w:bidi="ar-SA"/>
          <w:color w:val="111111"/>
          <w:sz w:val="28"/>
          <w:szCs w:val="28"/>
          <w:rtl/>
        </w:rPr>
        <w:t xml:space="preserve">فرغاني ، عبيد الله بن محمّد -عبري ،</w:t>
      </w:r>
    </w:p>
    <w:p>
      <w:pPr>
        <w:pStyle w:val="BookText"/>
      </w:pPr>
      <w:r>
        <w:rPr>
          <w:rFonts w:ascii="IRNazanin" w:hAnsi="IRNazanin" w:eastAsia="IRNazanin" w:cs="IRNazanin"/>
          <w:lang w:bidi="fa-IR"/>
          <w:color w:val="111111"/>
          <w:sz w:val="28"/>
          <w:szCs w:val="28"/>
          <w:rtl/>
        </w:rPr>
        <w:t xml:space="preserve">عبیدالله بن محمّد</w:t>
      </w:r>
    </w:p>
    <w:p>
      <w:pPr>
        <w:pStyle w:val="BookText"/>
      </w:pPr>
      <w:r>
        <w:rPr>
          <w:rFonts w:ascii="Amiri" w:hAnsi="Amiri" w:eastAsia="Amiri" w:cs="Amiri"/>
          <w:lang w:bidi="ar-SA"/>
          <w:color w:val="111111"/>
          <w:sz w:val="28"/>
          <w:szCs w:val="28"/>
          <w:rtl/>
        </w:rPr>
        <w:t xml:space="preserve">فرغاني ، علي بن ابي بكر -مرغيناني ، علي</w:t>
      </w:r>
    </w:p>
    <w:p>
      <w:pPr>
        <w:pStyle w:val="BookText"/>
      </w:pPr>
      <w:r>
        <w:rPr>
          <w:rFonts w:ascii="Amiri" w:hAnsi="Amiri" w:eastAsia="Amiri" w:cs="Amiri"/>
          <w:lang w:bidi="ar-SA"/>
          <w:color w:val="111111"/>
          <w:sz w:val="28"/>
          <w:szCs w:val="28"/>
          <w:rtl/>
        </w:rPr>
        <w:t xml:space="preserve">بن ابي بكر</w:t>
      </w:r>
    </w:p>
    <w:p>
      <w:pPr>
        <w:pStyle w:val="BookText"/>
      </w:pPr>
      <w:r>
        <w:rPr>
          <w:rFonts w:ascii="Amiri" w:hAnsi="Amiri" w:eastAsia="Amiri" w:cs="Amiri"/>
          <w:lang w:bidi="ar-SA"/>
          <w:color w:val="111111"/>
          <w:sz w:val="28"/>
          <w:szCs w:val="28"/>
          <w:rtl/>
        </w:rPr>
        <w:t xml:space="preserve">فرغاني ، علي بن عثمان- سراج الدين اوشي</w:t>
      </w:r>
    </w:p>
    <w:p>
      <w:pPr>
        <w:pStyle w:val="BookText"/>
      </w:pPr>
      <w:r>
        <w:rPr>
          <w:rFonts w:ascii="Amiri" w:hAnsi="Amiri" w:eastAsia="Amiri" w:cs="Amiri"/>
          <w:lang w:bidi="ar-SA"/>
          <w:color w:val="111111"/>
          <w:sz w:val="28"/>
          <w:szCs w:val="28"/>
          <w:rtl/>
        </w:rPr>
        <w:t xml:space="preserve">، علي بن عثمان</w:t>
      </w:r>
    </w:p>
    <w:p>
      <w:pPr>
        <w:pStyle w:val="Heading2"/>
      </w:pPr>
      <w:bookmarkStart w:id="6367" w:name="_Toc5469"/>
      <w:r>
        <w:t>فرغاني ،كاشغري سعيد بن محمّد -691ه-</w:t>
      </w:r>
      <w:bookmarkEnd w:id="6367"/>
    </w:p>
    <w:p>
      <w:pPr>
        <w:pStyle w:val="BookText"/>
      </w:pPr>
      <w:r>
        <w:rPr>
          <w:rFonts w:ascii="Amiri" w:hAnsi="Amiri" w:eastAsia="Amiri" w:cs="Amiri"/>
          <w:lang w:bidi="ar-SA"/>
          <w:color w:val="111111"/>
          <w:sz w:val="28"/>
          <w:szCs w:val="28"/>
          <w:rtl/>
        </w:rPr>
        <w:t xml:space="preserve">منتهي المدارك و مشتهي لب كل</w:t>
      </w:r>
    </w:p>
    <w:p>
      <w:pPr>
        <w:pStyle w:val="BookText"/>
      </w:pPr>
      <w:r>
        <w:rPr>
          <w:rFonts w:ascii="IRNazanin" w:hAnsi="IRNazanin" w:eastAsia="IRNazanin" w:cs="IRNazanin"/>
          <w:lang w:bidi="fa-IR"/>
          <w:color w:val="111111"/>
          <w:sz w:val="28"/>
          <w:szCs w:val="28"/>
          <w:rtl/>
        </w:rPr>
        <w:t xml:space="preserve">کامل و عارف و سالك = شرح القصيدة التائية لابن عربي ج 15 ص 640 .</w:t>
      </w:r>
    </w:p>
    <w:p>
      <w:pPr>
        <w:pStyle w:val="Heading2"/>
      </w:pPr>
      <w:bookmarkStart w:id="6368" w:name="_Toc5470"/>
      <w:r>
        <w:t>فرغلي شمس الدين بن عبدالله - 1210 ه-</w:t>
      </w:r>
      <w:bookmarkEnd w:id="6368"/>
    </w:p>
    <w:p>
      <w:pPr>
        <w:pStyle w:val="BookText"/>
      </w:pPr>
      <w:r>
        <w:rPr>
          <w:rFonts w:ascii="Amiri" w:hAnsi="Amiri" w:eastAsia="Amiri" w:cs="Amiri"/>
          <w:lang w:bidi="ar-SA"/>
          <w:color w:val="111111"/>
          <w:sz w:val="28"/>
          <w:szCs w:val="28"/>
          <w:rtl/>
        </w:rPr>
        <w:t xml:space="preserve">نفحة الطبيب في محاء الحبيب، ج 16،</w:t>
      </w:r>
    </w:p>
    <w:p>
      <w:pPr>
        <w:pStyle w:val="BookText"/>
      </w:pPr>
      <w:r>
        <w:rPr>
          <w:rFonts w:ascii="IRNazanin" w:hAnsi="IRNazanin" w:eastAsia="IRNazanin" w:cs="IRNazanin"/>
          <w:lang w:bidi="fa-IR"/>
          <w:color w:val="111111"/>
          <w:sz w:val="28"/>
          <w:szCs w:val="28"/>
          <w:rtl/>
        </w:rPr>
        <w:t xml:space="preserve">ص390.</w:t>
      </w:r>
    </w:p>
    <w:p>
      <w:pPr>
        <w:pStyle w:val="Heading2"/>
      </w:pPr>
      <w:bookmarkStart w:id="6369" w:name="_Toc5471"/>
      <w:r>
        <w:t>فرقاني ، عبدالحسين</w:t>
      </w:r>
      <w:bookmarkEnd w:id="6369"/>
    </w:p>
    <w:p>
      <w:pPr>
        <w:pStyle w:val="BookText"/>
      </w:pPr>
      <w:r>
        <w:rPr>
          <w:rFonts w:ascii="Amiri" w:hAnsi="Amiri" w:eastAsia="Amiri" w:cs="Amiri"/>
          <w:lang w:bidi="ar-SA"/>
          <w:color w:val="111111"/>
          <w:sz w:val="28"/>
          <w:szCs w:val="28"/>
          <w:rtl/>
        </w:rPr>
        <w:t xml:space="preserve">تقريرات الشيخ الواعظي في النحو</w:t>
      </w:r>
    </w:p>
    <w:p>
      <w:pPr>
        <w:pStyle w:val="BookText"/>
      </w:pPr>
      <w:r>
        <w:rPr>
          <w:rFonts w:ascii="IRNazanin" w:hAnsi="IRNazanin" w:eastAsia="IRNazanin" w:cs="IRNazanin"/>
          <w:lang w:bidi="fa-IR"/>
          <w:color w:val="111111"/>
          <w:sz w:val="28"/>
          <w:szCs w:val="28"/>
          <w:rtl/>
        </w:rPr>
        <w:t xml:space="preserve">ج 4، ص 758 .</w:t>
      </w:r>
    </w:p>
    <w:p>
      <w:pPr>
        <w:pStyle w:val="Heading2"/>
      </w:pPr>
      <w:bookmarkStart w:id="6370" w:name="_Toc5472"/>
      <w:r>
        <w:t>فرکاح ، عبدالرحمن بن ابراهيم 624 -</w:t>
      </w:r>
      <w:bookmarkEnd w:id="6370"/>
    </w:p>
    <w:p>
      <w:pPr>
        <w:pStyle w:val="BookText"/>
      </w:pPr>
      <w:r>
        <w:rPr>
          <w:rFonts w:ascii="IRNazanin" w:hAnsi="IRNazanin" w:eastAsia="IRNazanin" w:cs="IRNazanin"/>
          <w:lang w:bidi="fa-IR"/>
          <w:color w:val="111111"/>
          <w:sz w:val="28"/>
          <w:szCs w:val="28"/>
          <w:rtl/>
        </w:rPr>
        <w:t xml:space="preserve">690 ه-</w:t>
      </w:r>
    </w:p>
    <w:p>
      <w:pPr>
        <w:pStyle w:val="BookText"/>
      </w:pPr>
      <w:r>
        <w:rPr>
          <w:rFonts w:ascii="IRNazanin" w:hAnsi="IRNazanin" w:eastAsia="IRNazanin" w:cs="IRNazanin"/>
          <w:lang w:bidi="fa-IR"/>
          <w:color w:val="111111"/>
          <w:sz w:val="28"/>
          <w:szCs w:val="28"/>
          <w:rtl/>
        </w:rPr>
        <w:t xml:space="preserve">شرح الورقات، ج 10، ص 324.</w:t>
      </w:r>
    </w:p>
    <w:p>
      <w:pPr>
        <w:pStyle w:val="BookText"/>
      </w:pPr>
      <w:r>
        <w:rPr>
          <w:rFonts w:ascii="IRNazanin" w:hAnsi="IRNazanin" w:eastAsia="IRNazanin" w:cs="IRNazanin"/>
          <w:lang w:bidi="fa-IR"/>
          <w:color w:val="111111"/>
          <w:sz w:val="28"/>
          <w:szCs w:val="28"/>
          <w:rtl/>
        </w:rPr>
        <w:t xml:space="preserve">فرکندي ، محمّد ميرك -شاشي ، محمّد</w:t>
      </w:r>
    </w:p>
    <w:p>
      <w:pPr>
        <w:pStyle w:val="BookText"/>
      </w:pPr>
      <w:r>
        <w:rPr>
          <w:rFonts w:ascii="Amiri" w:hAnsi="Amiri" w:eastAsia="Amiri" w:cs="Amiri"/>
          <w:lang w:bidi="ar-SA"/>
          <w:color w:val="111111"/>
          <w:sz w:val="28"/>
          <w:szCs w:val="28"/>
          <w:rtl/>
        </w:rPr>
        <w:t xml:space="preserve">ميرك</w:t>
      </w:r>
    </w:p>
    <w:p>
      <w:pPr>
        <w:pStyle w:val="Heading2"/>
      </w:pPr>
      <w:bookmarkStart w:id="6371" w:name="_Toc5473"/>
      <w:r>
        <w:t>فرنسيسكاني ، مار يوسف</w:t>
      </w:r>
      <w:bookmarkEnd w:id="6371"/>
    </w:p>
    <w:p>
      <w:pPr>
        <w:pStyle w:val="BookText"/>
      </w:pPr>
      <w:r>
        <w:rPr>
          <w:rFonts w:ascii="IRNazanin" w:hAnsi="IRNazanin" w:eastAsia="IRNazanin" w:cs="IRNazanin"/>
          <w:lang w:bidi="fa-IR"/>
          <w:color w:val="111111"/>
          <w:sz w:val="28"/>
          <w:szCs w:val="28"/>
          <w:rtl/>
        </w:rPr>
        <w:t xml:space="preserve">بوق السماء، ج 3، ص 448.</w:t>
      </w:r>
    </w:p>
    <w:p>
      <w:pPr>
        <w:pStyle w:val="BookText"/>
      </w:pPr>
      <w:r>
        <w:rPr>
          <w:rFonts w:ascii="IRNazanin" w:hAnsi="IRNazanin" w:eastAsia="IRNazanin" w:cs="IRNazanin"/>
          <w:lang w:bidi="fa-IR"/>
          <w:color w:val="111111"/>
          <w:sz w:val="28"/>
          <w:szCs w:val="28"/>
          <w:rtl/>
        </w:rPr>
        <w:t xml:space="preserve">فرنوي، يعقوب بن عثمان -چرخي ،</w:t>
      </w:r>
    </w:p>
    <w:p>
      <w:pPr>
        <w:pStyle w:val="BookText"/>
      </w:pPr>
      <w:r>
        <w:rPr>
          <w:rFonts w:ascii="Amiri" w:hAnsi="Amiri" w:eastAsia="Amiri" w:cs="Amiri"/>
          <w:lang w:bidi="ar-SA"/>
          <w:color w:val="111111"/>
          <w:sz w:val="28"/>
          <w:szCs w:val="28"/>
          <w:rtl/>
        </w:rPr>
        <w:t xml:space="preserve">يعقوب بن عثمان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50" w:name="pg7742_70974"/>
    <w:bookmarkEnd w:id="850"/>
    <w:p>
      <w:pPr>
        <w:pStyle w:val="Heading2"/>
      </w:pPr>
      <w:bookmarkStart w:id="6372" w:name="_Toc5474"/>
      <w:r>
        <w:t>فرهادي ، عبدالله</w:t>
      </w:r>
      <w:bookmarkEnd w:id="6372"/>
    </w:p>
    <w:p>
      <w:pPr>
        <w:pStyle w:val="BookText"/>
      </w:pPr>
      <w:r>
        <w:rPr>
          <w:rFonts w:ascii="Amiri" w:hAnsi="Amiri" w:eastAsia="Amiri" w:cs="Amiri"/>
          <w:lang w:bidi="ar-SA"/>
          <w:color w:val="111111"/>
          <w:sz w:val="28"/>
          <w:szCs w:val="28"/>
          <w:rtl/>
        </w:rPr>
        <w:t xml:space="preserve">احسن الصياغة في حلية البلاغة، ج 1،</w:t>
      </w:r>
    </w:p>
    <w:p>
      <w:pPr>
        <w:pStyle w:val="BookText"/>
      </w:pPr>
      <w:r>
        <w:rPr>
          <w:rFonts w:ascii="IRNazanin" w:hAnsi="IRNazanin" w:eastAsia="IRNazanin" w:cs="IRNazanin"/>
          <w:lang w:bidi="fa-IR"/>
          <w:color w:val="111111"/>
          <w:sz w:val="28"/>
          <w:szCs w:val="28"/>
          <w:rtl/>
        </w:rPr>
        <w:t xml:space="preserve">ص 446 .</w:t>
      </w:r>
    </w:p>
    <w:p>
      <w:pPr>
        <w:pStyle w:val="BookText"/>
      </w:pPr>
      <w:r>
        <w:rPr>
          <w:rFonts w:ascii="Amiri" w:hAnsi="Amiri" w:eastAsia="Amiri" w:cs="Amiri"/>
          <w:lang w:bidi="ar-SA"/>
          <w:color w:val="111111"/>
          <w:sz w:val="28"/>
          <w:szCs w:val="28"/>
          <w:rtl/>
        </w:rPr>
        <w:t xml:space="preserve">فروضي ، محمّد بن احمد- اواني ، محمّد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6373" w:name="_Toc5475"/>
      <w:r>
        <w:t>فروغ اصفهاني ، محمّد مهدي بن باقر</w:t>
      </w:r>
      <w:bookmarkEnd w:id="6373"/>
    </w:p>
    <w:p>
      <w:pPr>
        <w:pStyle w:val="BookText"/>
      </w:pPr>
      <w:r>
        <w:rPr>
          <w:rFonts w:ascii="IRNazanin" w:hAnsi="IRNazanin" w:eastAsia="IRNazanin" w:cs="IRNazanin"/>
          <w:lang w:bidi="fa-IR"/>
          <w:color w:val="111111"/>
          <w:sz w:val="28"/>
          <w:szCs w:val="28"/>
          <w:rtl/>
        </w:rPr>
        <w:t xml:space="preserve">1223ق 13 ه-</w:t>
      </w:r>
    </w:p>
    <w:p>
      <w:pPr>
        <w:pStyle w:val="BookText"/>
      </w:pPr>
      <w:r>
        <w:rPr>
          <w:rFonts w:ascii="IRNazanin" w:hAnsi="IRNazanin" w:eastAsia="IRNazanin" w:cs="IRNazanin"/>
          <w:lang w:bidi="fa-IR"/>
          <w:color w:val="111111"/>
          <w:sz w:val="28"/>
          <w:szCs w:val="28"/>
          <w:rtl/>
        </w:rPr>
        <w:t xml:space="preserve">فروغستان، ج11، ص 815.</w:t>
      </w:r>
    </w:p>
    <w:p>
      <w:pPr>
        <w:pStyle w:val="Heading2"/>
      </w:pPr>
      <w:bookmarkStart w:id="6374" w:name="_Toc5476"/>
      <w:r>
        <w:t>فروغي، عباس بن موسى 1213-1274ه-</w:t>
      </w:r>
      <w:bookmarkEnd w:id="6374"/>
    </w:p>
    <w:p>
      <w:pPr>
        <w:pStyle w:val="BookText"/>
      </w:pPr>
      <w:r>
        <w:rPr>
          <w:rFonts w:ascii="Amiri" w:hAnsi="Amiri" w:eastAsia="Amiri" w:cs="Amiri"/>
          <w:lang w:bidi="ar-SA"/>
          <w:color w:val="111111"/>
          <w:sz w:val="28"/>
          <w:szCs w:val="28"/>
          <w:rtl/>
        </w:rPr>
        <w:t xml:space="preserve">ديوان فروغي بسطامي، ج 7، ص734.</w:t>
      </w:r>
    </w:p>
    <w:p>
      <w:pPr>
        <w:pStyle w:val="BookText"/>
      </w:pPr>
      <w:r>
        <w:rPr>
          <w:rFonts w:ascii="Amiri" w:hAnsi="Amiri" w:eastAsia="Amiri" w:cs="Amiri"/>
          <w:lang w:bidi="ar-SA"/>
          <w:color w:val="111111"/>
          <w:sz w:val="28"/>
          <w:szCs w:val="28"/>
          <w:rtl/>
        </w:rPr>
        <w:t xml:space="preserve">فروليوس- كروليوس</w:t>
      </w:r>
    </w:p>
    <w:p>
      <w:pPr>
        <w:pStyle w:val="Heading2"/>
      </w:pPr>
      <w:bookmarkStart w:id="6375" w:name="_Toc5477"/>
      <w:r>
        <w:t>فروماج ، بطرس ، قرن 18 م</w:t>
      </w:r>
      <w:bookmarkEnd w:id="6375"/>
    </w:p>
    <w:p>
      <w:pPr>
        <w:pStyle w:val="BookText"/>
      </w:pPr>
      <w:r>
        <w:rPr>
          <w:rFonts w:ascii="Amiri" w:hAnsi="Amiri" w:eastAsia="Amiri" w:cs="Amiri"/>
          <w:lang w:bidi="ar-SA"/>
          <w:color w:val="111111"/>
          <w:sz w:val="28"/>
          <w:szCs w:val="28"/>
          <w:rtl/>
        </w:rPr>
        <w:t xml:space="preserve">1 .رياضات القديس اغناطيوس، ج8،</w:t>
      </w:r>
    </w:p>
    <w:p>
      <w:pPr>
        <w:pStyle w:val="BookText"/>
      </w:pPr>
      <w:r>
        <w:rPr>
          <w:rFonts w:ascii="IRNazanin" w:hAnsi="IRNazanin" w:eastAsia="IRNazanin" w:cs="IRNazanin"/>
          <w:lang w:bidi="fa-IR"/>
          <w:color w:val="111111"/>
          <w:sz w:val="28"/>
          <w:szCs w:val="28"/>
          <w:rtl/>
        </w:rPr>
        <w:t xml:space="preserve">ص 476 .</w:t>
      </w:r>
    </w:p>
    <w:p>
      <w:pPr>
        <w:pStyle w:val="BookText"/>
      </w:pPr>
      <w:r>
        <w:rPr>
          <w:rFonts w:ascii="Amiri" w:hAnsi="Amiri" w:eastAsia="Amiri" w:cs="Amiri"/>
          <w:lang w:bidi="ar-SA"/>
          <w:color w:val="111111"/>
          <w:sz w:val="28"/>
          <w:szCs w:val="28"/>
          <w:rtl/>
        </w:rPr>
        <w:t xml:space="preserve">2 .قلايد الياقوت في واجبات الكهنوت</w:t>
      </w:r>
    </w:p>
    <w:p>
      <w:pPr>
        <w:pStyle w:val="BookText"/>
      </w:pPr>
      <w:r>
        <w:rPr>
          <w:rFonts w:ascii="IRNazanin" w:hAnsi="IRNazanin" w:eastAsia="IRNazanin" w:cs="IRNazanin"/>
          <w:lang w:bidi="fa-IR"/>
          <w:color w:val="111111"/>
          <w:sz w:val="28"/>
          <w:szCs w:val="28"/>
          <w:rtl/>
        </w:rPr>
        <w:t xml:space="preserve">ج 12، ص 766 .</w:t>
      </w:r>
    </w:p>
    <w:p>
      <w:pPr>
        <w:pStyle w:val="Heading2"/>
      </w:pPr>
      <w:bookmarkStart w:id="6376" w:name="_Toc5478"/>
      <w:r>
        <w:t>فروماج يسوعي ، آب پطرس - 1740م</w:t>
      </w:r>
      <w:bookmarkEnd w:id="6376"/>
    </w:p>
    <w:p>
      <w:pPr>
        <w:pStyle w:val="BookText"/>
      </w:pPr>
      <w:r>
        <w:rPr>
          <w:rFonts w:ascii="Amiri" w:hAnsi="Amiri" w:eastAsia="Amiri" w:cs="Amiri"/>
          <w:lang w:bidi="ar-SA"/>
          <w:color w:val="111111"/>
          <w:sz w:val="28"/>
          <w:szCs w:val="28"/>
          <w:rtl/>
        </w:rPr>
        <w:t xml:space="preserve">ميزان الزمان، ج 16 ، ص 68.</w:t>
      </w:r>
    </w:p>
    <w:p>
      <w:pPr>
        <w:pStyle w:val="Heading2"/>
      </w:pPr>
      <w:bookmarkStart w:id="6377" w:name="_Toc5479"/>
      <w:r>
        <w:t>فريابي، جعفر بن محمّد، 207 - 301 ه-</w:t>
      </w:r>
      <w:bookmarkEnd w:id="6377"/>
    </w:p>
    <w:p>
      <w:pPr>
        <w:pStyle w:val="BookText"/>
      </w:pPr>
      <w:r>
        <w:rPr>
          <w:rFonts w:ascii="Amiri" w:hAnsi="Amiri" w:eastAsia="Amiri" w:cs="Amiri"/>
          <w:lang w:bidi="ar-SA"/>
          <w:color w:val="111111"/>
          <w:sz w:val="28"/>
          <w:szCs w:val="28"/>
          <w:rtl/>
        </w:rPr>
        <w:t xml:space="preserve">1 .دلائل النبوة، ج 7، ص 460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فضائل القرآن، ج12، ص17.</w:t>
      </w:r>
    </w:p>
    <w:p>
      <w:pPr>
        <w:pStyle w:val="BookText"/>
      </w:pPr>
      <w:r>
        <w:rPr>
          <w:rFonts w:ascii="Amiri" w:hAnsi="Amiri" w:eastAsia="Amiri" w:cs="Amiri"/>
          <w:lang w:bidi="ar-SA"/>
          <w:color w:val="111111"/>
          <w:sz w:val="28"/>
          <w:szCs w:val="28"/>
          <w:rtl/>
        </w:rPr>
        <w:t xml:space="preserve">3 .القدر = كتاب القدر، ج 12، ص 382.</w:t>
      </w:r>
    </w:p>
    <w:p>
      <w:pPr>
        <w:pStyle w:val="BookText"/>
      </w:pPr>
      <w:r>
        <w:rPr>
          <w:rFonts w:ascii="IRNazanin" w:hAnsi="IRNazanin" w:eastAsia="IRNazanin" w:cs="IRNazanin"/>
          <w:lang w:bidi="fa-IR"/>
          <w:color w:val="111111"/>
          <w:sz w:val="28"/>
          <w:szCs w:val="28"/>
          <w:rtl/>
        </w:rPr>
        <w:t xml:space="preserve">فریدالدین عطار- عطار ، محمّد بن</w:t>
      </w:r>
    </w:p>
    <w:p>
      <w:pPr>
        <w:pStyle w:val="BookText"/>
      </w:pPr>
      <w:r>
        <w:rPr>
          <w:rFonts w:ascii="IRNazanin" w:hAnsi="IRNazanin" w:eastAsia="IRNazanin" w:cs="IRNazanin"/>
          <w:lang w:bidi="fa-IR"/>
          <w:color w:val="111111"/>
          <w:sz w:val="28"/>
          <w:szCs w:val="28"/>
          <w:rtl/>
        </w:rPr>
        <w:t xml:space="preserve">ابراهیم</w:t>
      </w:r>
    </w:p>
    <w:p>
      <w:pPr>
        <w:pStyle w:val="BookText"/>
      </w:pPr>
      <w:r>
        <w:rPr>
          <w:rFonts w:ascii="IRNazanin" w:hAnsi="IRNazanin" w:eastAsia="IRNazanin" w:cs="IRNazanin"/>
          <w:lang w:bidi="fa-IR"/>
          <w:color w:val="111111"/>
          <w:sz w:val="28"/>
          <w:szCs w:val="28"/>
          <w:rtl/>
        </w:rPr>
        <w:t xml:space="preserve">فريد الدين مسعود دهلوي- دهلوي فرید الدین مسعود</w:t>
      </w:r>
    </w:p>
    <w:p>
      <w:pPr>
        <w:pStyle w:val="BookText"/>
      </w:pPr>
      <w:r>
        <w:rPr>
          <w:rFonts w:ascii="IRNazanin" w:hAnsi="IRNazanin" w:eastAsia="IRNazanin" w:cs="IRNazanin"/>
          <w:lang w:bidi="fa-IR"/>
          <w:color w:val="111111"/>
          <w:sz w:val="28"/>
          <w:szCs w:val="28"/>
          <w:rtl/>
        </w:rPr>
        <w:t xml:space="preserve">فرید خراسان -بيهقي ، علي بن زيد</w:t>
      </w:r>
    </w:p>
    <w:p>
      <w:pPr>
        <w:pStyle w:val="Heading2"/>
      </w:pPr>
      <w:bookmarkStart w:id="6378" w:name="_Toc5480"/>
      <w:r>
        <w:t>فريدي ، جلال الدين</w:t>
      </w:r>
      <w:bookmarkEnd w:id="6378"/>
    </w:p>
    <w:p>
      <w:pPr>
        <w:pStyle w:val="BookText"/>
      </w:pPr>
      <w:r>
        <w:rPr>
          <w:rFonts w:ascii="Amiri" w:hAnsi="Amiri" w:eastAsia="Amiri" w:cs="Amiri"/>
          <w:lang w:bidi="ar-SA"/>
          <w:color w:val="111111"/>
          <w:sz w:val="28"/>
          <w:szCs w:val="28"/>
          <w:rtl/>
        </w:rPr>
        <w:t xml:space="preserve">وثيقة الصالحين، ج 16، ص 727.</w:t>
      </w:r>
    </w:p>
    <w:p>
      <w:pPr>
        <w:pStyle w:val="BookText"/>
      </w:pPr>
      <w:r>
        <w:rPr>
          <w:rFonts w:ascii="Amiri" w:hAnsi="Amiri" w:eastAsia="Amiri" w:cs="Amiri"/>
          <w:lang w:bidi="ar-SA"/>
          <w:color w:val="111111"/>
          <w:sz w:val="28"/>
          <w:szCs w:val="28"/>
          <w:rtl/>
        </w:rPr>
        <w:t xml:space="preserve">فزاري، ابراهيم بن عبدالرحمن 660 - 729ه-</w:t>
      </w:r>
    </w:p>
    <w:p>
      <w:pPr>
        <w:pStyle w:val="BookText"/>
      </w:pPr>
      <w:r>
        <w:rPr>
          <w:rFonts w:ascii="Amiri" w:hAnsi="Amiri" w:eastAsia="Amiri" w:cs="Amiri"/>
          <w:lang w:bidi="ar-SA"/>
          <w:color w:val="111111"/>
          <w:sz w:val="28"/>
          <w:szCs w:val="28"/>
          <w:rtl/>
        </w:rPr>
        <w:t xml:space="preserve">1 .الاعلام في مختصر فضائل الشام = مختصر فضائل الشام للربعي، ج 2،</w:t>
      </w:r>
    </w:p>
    <w:p>
      <w:pPr>
        <w:pStyle w:val="BookText"/>
      </w:pPr>
      <w:r>
        <w:rPr>
          <w:rFonts w:ascii="IRNazanin" w:hAnsi="IRNazanin" w:eastAsia="IRNazanin" w:cs="IRNazanin"/>
          <w:lang w:bidi="fa-IR"/>
          <w:color w:val="111111"/>
          <w:sz w:val="28"/>
          <w:szCs w:val="28"/>
          <w:rtl/>
        </w:rPr>
        <w:t xml:space="preserve">ص565.</w:t>
      </w:r>
    </w:p>
    <w:p>
      <w:pPr>
        <w:pStyle w:val="BookText"/>
      </w:pPr>
      <w:r>
        <w:rPr>
          <w:rFonts w:ascii="Amiri" w:hAnsi="Amiri" w:eastAsia="Amiri" w:cs="Amiri"/>
          <w:lang w:bidi="ar-SA"/>
          <w:color w:val="111111"/>
          <w:sz w:val="28"/>
          <w:szCs w:val="28"/>
          <w:rtl/>
        </w:rPr>
        <w:t xml:space="preserve">2.باعث النفوس في فضائل زيارة القدس المحروس، ج 3، ص181</w:t>
      </w:r>
    </w:p>
    <w:p>
      <w:pPr>
        <w:pStyle w:val="BookText"/>
      </w:pPr>
      <w:r>
        <w:rPr>
          <w:rFonts w:ascii="Amiri" w:hAnsi="Amiri" w:eastAsia="Amiri" w:cs="Amiri"/>
          <w:lang w:bidi="ar-SA"/>
          <w:color w:val="111111"/>
          <w:sz w:val="28"/>
          <w:szCs w:val="28"/>
          <w:rtl/>
        </w:rPr>
        <w:t xml:space="preserve">فزاري ، عبدالرحمن بن ابراهيم- فركاح ،</w:t>
      </w:r>
    </w:p>
    <w:p>
      <w:pPr>
        <w:pStyle w:val="BookText"/>
      </w:pPr>
      <w:r>
        <w:rPr>
          <w:rFonts w:ascii="Amiri" w:hAnsi="Amiri" w:eastAsia="Amiri" w:cs="Amiri"/>
          <w:lang w:bidi="ar-SA"/>
          <w:color w:val="111111"/>
          <w:sz w:val="28"/>
          <w:szCs w:val="28"/>
          <w:rtl/>
        </w:rPr>
        <w:t xml:space="preserve">عبد الرحمن بن ابراهيم</w:t>
      </w:r>
    </w:p>
    <w:p>
      <w:pPr>
        <w:pStyle w:val="Heading2"/>
      </w:pPr>
      <w:bookmarkStart w:id="6379" w:name="_Toc5481"/>
      <w:r>
        <w:t>فزاري، عبد الرحمن بن ابي سعيد</w:t>
      </w:r>
      <w:bookmarkEnd w:id="6379"/>
    </w:p>
    <w:p>
      <w:pPr>
        <w:pStyle w:val="BookText"/>
      </w:pPr>
      <w:r>
        <w:rPr>
          <w:rFonts w:ascii="Amiri" w:hAnsi="Amiri" w:eastAsia="Amiri" w:cs="Amiri"/>
          <w:lang w:bidi="ar-SA"/>
          <w:color w:val="111111"/>
          <w:sz w:val="28"/>
          <w:szCs w:val="28"/>
          <w:rtl/>
        </w:rPr>
        <w:t xml:space="preserve">قصيدة في مدح الرسول صل الله عليه و آله و سلم، ج 12، ص 697.</w:t>
      </w:r>
    </w:p>
    <w:p>
      <w:pPr>
        <w:pStyle w:val="Heading2"/>
      </w:pPr>
      <w:bookmarkStart w:id="6380" w:name="_Toc5482"/>
      <w:r>
        <w:t>فزازي ، علي بن محمّد - 557 ه-</w:t>
      </w:r>
      <w:bookmarkEnd w:id="63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الاشارات، ج 2، ص 246.</w:t>
      </w:r>
    </w:p>
    <w:p>
      <w:pPr>
        <w:pStyle w:val="BookText"/>
      </w:pPr>
      <w:r>
        <w:rPr>
          <w:rFonts w:ascii="Amiri" w:hAnsi="Amiri" w:eastAsia="Amiri" w:cs="Amiri"/>
          <w:lang w:bidi="ar-SA"/>
          <w:color w:val="111111"/>
          <w:sz w:val="28"/>
          <w:szCs w:val="28"/>
          <w:rtl/>
        </w:rPr>
        <w:t xml:space="preserve">2 .تنبيه النفس والروح، ج 5، ص 43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الجنان و ارواح الجنان، ج 8،</w:t>
      </w:r>
    </w:p>
    <w:p>
      <w:pPr>
        <w:pStyle w:val="BookText"/>
      </w:pPr>
      <w:r>
        <w:rPr>
          <w:rFonts w:ascii="IRNazanin" w:hAnsi="IRNazanin" w:eastAsia="IRNazanin" w:cs="IRNazanin"/>
          <w:lang w:bidi="fa-IR"/>
          <w:color w:val="111111"/>
          <w:sz w:val="28"/>
          <w:szCs w:val="28"/>
          <w:rtl/>
        </w:rPr>
        <w:t xml:space="preserve">ص 377.</w:t>
      </w:r>
    </w:p>
    <w:p>
      <w:pPr>
        <w:pStyle w:val="BookText"/>
      </w:pPr>
      <w:r>
        <w:rPr>
          <w:rFonts w:ascii="Amiri" w:hAnsi="Amiri" w:eastAsia="Amiri" w:cs="Amiri"/>
          <w:lang w:bidi="ar-SA"/>
          <w:color w:val="111111"/>
          <w:sz w:val="28"/>
          <w:szCs w:val="28"/>
          <w:rtl/>
        </w:rPr>
        <w:t xml:space="preserve">4 .الموعظة (رسالة في)، ج 16، ص 40.</w:t>
      </w:r>
    </w:p>
    <w:p>
      <w:pPr>
        <w:pStyle w:val="Heading2"/>
      </w:pPr>
      <w:bookmarkStart w:id="6381" w:name="_Toc5483"/>
      <w:r>
        <w:t>فسائي ، حسن بن حسن، 1237-1316 ه-</w:t>
      </w:r>
      <w:bookmarkEnd w:id="6381"/>
    </w:p>
    <w:p>
      <w:pPr>
        <w:pStyle w:val="BookText"/>
      </w:pPr>
      <w:r>
        <w:rPr>
          <w:rFonts w:ascii="Amiri" w:hAnsi="Amiri" w:eastAsia="Amiri" w:cs="Amiri"/>
          <w:lang w:bidi="ar-SA"/>
          <w:color w:val="111111"/>
          <w:sz w:val="28"/>
          <w:szCs w:val="28"/>
          <w:rtl/>
        </w:rPr>
        <w:t xml:space="preserve">فارس نامه ناصري، ج 11، ص582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51" w:name="pg7742_70976"/>
    <w:bookmarkEnd w:id="851"/>
    <w:p>
      <w:pPr>
        <w:pStyle w:val="BookText"/>
      </w:pPr>
      <w:r>
        <w:rPr>
          <w:rFonts w:ascii="Amiri" w:hAnsi="Amiri" w:eastAsia="Amiri" w:cs="Amiri"/>
          <w:lang w:bidi="ar-SA"/>
          <w:color w:val="111111"/>
          <w:sz w:val="28"/>
          <w:szCs w:val="28"/>
          <w:rtl/>
        </w:rPr>
        <w:t xml:space="preserve">فسائي شيرازي ، روزبهان بن ابي</w:t>
      </w:r>
    </w:p>
    <w:p>
      <w:pPr>
        <w:pStyle w:val="BookText"/>
      </w:pPr>
      <w:r>
        <w:rPr>
          <w:rFonts w:ascii="Amiri" w:hAnsi="Amiri" w:eastAsia="Amiri" w:cs="Amiri"/>
          <w:lang w:bidi="ar-SA"/>
          <w:color w:val="111111"/>
          <w:sz w:val="28"/>
          <w:szCs w:val="28"/>
          <w:rtl/>
        </w:rPr>
        <w:t xml:space="preserve">نصر -روزبهان بقلي ، روزبهان بن ابي نصر</w:t>
      </w:r>
    </w:p>
    <w:p>
      <w:pPr>
        <w:pStyle w:val="BookText"/>
      </w:pPr>
      <w:r>
        <w:rPr>
          <w:rFonts w:ascii="Amiri" w:hAnsi="Amiri" w:eastAsia="Amiri" w:cs="Amiri"/>
          <w:lang w:bidi="ar-SA"/>
          <w:color w:val="111111"/>
          <w:sz w:val="28"/>
          <w:szCs w:val="28"/>
          <w:rtl/>
        </w:rPr>
        <w:t xml:space="preserve">فسائي ، محمّد بن محمّد -فارسي ، محمّد</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فساني ، محمّد مسيح بن</w:t>
      </w:r>
    </w:p>
    <w:p>
      <w:pPr>
        <w:pStyle w:val="BookText"/>
      </w:pPr>
      <w:r>
        <w:rPr>
          <w:rFonts w:ascii="Amiri" w:hAnsi="Amiri" w:eastAsia="Amiri" w:cs="Amiri"/>
          <w:lang w:bidi="ar-SA"/>
          <w:color w:val="111111"/>
          <w:sz w:val="28"/>
          <w:szCs w:val="28"/>
          <w:rtl/>
        </w:rPr>
        <w:t xml:space="preserve">اسماعيل- مسيحا فدشكوئي ، محمّد مسيح بن</w:t>
      </w:r>
    </w:p>
    <w:p>
      <w:pPr>
        <w:pStyle w:val="BookText"/>
      </w:pPr>
      <w:r>
        <w:rPr>
          <w:rFonts w:ascii="Amiri" w:hAnsi="Amiri" w:eastAsia="Amiri" w:cs="Amiri"/>
          <w:lang w:bidi="ar-SA"/>
          <w:color w:val="111111"/>
          <w:sz w:val="28"/>
          <w:szCs w:val="28"/>
          <w:rtl/>
        </w:rPr>
        <w:t xml:space="preserve">اسماعيل</w:t>
      </w:r>
    </w:p>
    <w:p>
      <w:pPr>
        <w:pStyle w:val="BookText"/>
      </w:pPr>
      <w:r>
        <w:rPr>
          <w:rFonts w:ascii="Amiri" w:hAnsi="Amiri" w:eastAsia="Amiri" w:cs="Amiri"/>
          <w:lang w:bidi="ar-SA"/>
          <w:color w:val="111111"/>
          <w:sz w:val="28"/>
          <w:szCs w:val="28"/>
          <w:rtl/>
        </w:rPr>
        <w:t xml:space="preserve">فساني ، محمّد بن علي- ابن عسكر</w:t>
      </w:r>
    </w:p>
    <w:p>
      <w:pPr>
        <w:pStyle w:val="BookText"/>
      </w:pPr>
      <w:r>
        <w:rPr>
          <w:rFonts w:ascii="Amiri" w:hAnsi="Amiri" w:eastAsia="Amiri" w:cs="Amiri"/>
          <w:lang w:bidi="ar-SA"/>
          <w:color w:val="111111"/>
          <w:sz w:val="28"/>
          <w:szCs w:val="28"/>
          <w:rtl/>
        </w:rPr>
        <w:t xml:space="preserve">محمّد بن علي</w:t>
      </w:r>
    </w:p>
    <w:p>
      <w:pPr>
        <w:pStyle w:val="Heading2"/>
      </w:pPr>
      <w:bookmarkStart w:id="6382" w:name="_Toc5484"/>
      <w:r>
        <w:t>فسطوني ، علي بن محمّد</w:t>
      </w:r>
      <w:bookmarkEnd w:id="6382"/>
    </w:p>
    <w:p>
      <w:pPr>
        <w:pStyle w:val="BookText"/>
      </w:pPr>
      <w:r>
        <w:rPr>
          <w:rFonts w:ascii="Amiri" w:hAnsi="Amiri" w:eastAsia="Amiri" w:cs="Amiri"/>
          <w:lang w:bidi="ar-SA"/>
          <w:color w:val="111111"/>
          <w:sz w:val="28"/>
          <w:szCs w:val="28"/>
          <w:rtl/>
        </w:rPr>
        <w:t xml:space="preserve">شرح العقائد النسفية، ج9، ص737.</w:t>
      </w:r>
    </w:p>
    <w:p>
      <w:pPr>
        <w:pStyle w:val="BookText"/>
      </w:pPr>
      <w:r>
        <w:rPr>
          <w:rFonts w:ascii="Amiri" w:hAnsi="Amiri" w:eastAsia="Amiri" w:cs="Amiri"/>
          <w:lang w:bidi="ar-SA"/>
          <w:color w:val="111111"/>
          <w:sz w:val="28"/>
          <w:szCs w:val="28"/>
          <w:rtl/>
        </w:rPr>
        <w:t xml:space="preserve">فسني ، احمد بن حجازي- فشني ، احمد</w:t>
      </w:r>
    </w:p>
    <w:p>
      <w:pPr>
        <w:pStyle w:val="BookText"/>
      </w:pPr>
      <w:r>
        <w:rPr>
          <w:rFonts w:ascii="Amiri" w:hAnsi="Amiri" w:eastAsia="Amiri" w:cs="Amiri"/>
          <w:lang w:bidi="ar-SA"/>
          <w:color w:val="111111"/>
          <w:sz w:val="28"/>
          <w:szCs w:val="28"/>
          <w:rtl/>
        </w:rPr>
        <w:t xml:space="preserve">بن حجازي</w:t>
      </w:r>
    </w:p>
    <w:p>
      <w:pPr>
        <w:pStyle w:val="BookText"/>
      </w:pPr>
      <w:r>
        <w:rPr>
          <w:rFonts w:ascii="Amiri" w:hAnsi="Amiri" w:eastAsia="Amiri" w:cs="Amiri"/>
          <w:lang w:bidi="ar-SA"/>
          <w:color w:val="111111"/>
          <w:sz w:val="28"/>
          <w:szCs w:val="28"/>
          <w:rtl/>
        </w:rPr>
        <w:t xml:space="preserve">فسوي ، حسن بن حسن- فسائي ، حسن</w:t>
      </w:r>
    </w:p>
    <w:p>
      <w:pPr>
        <w:pStyle w:val="BookText"/>
      </w:pPr>
      <w:r>
        <w:rPr>
          <w:rFonts w:ascii="IRNazanin" w:hAnsi="IRNazanin" w:eastAsia="IRNazanin" w:cs="IRNazanin"/>
          <w:lang w:bidi="fa-IR"/>
          <w:color w:val="111111"/>
          <w:sz w:val="28"/>
          <w:szCs w:val="28"/>
          <w:rtl/>
        </w:rPr>
        <w:t xml:space="preserve">بن حسن</w:t>
      </w:r>
    </w:p>
    <w:p>
      <w:pPr>
        <w:pStyle w:val="BookText"/>
      </w:pPr>
      <w:r>
        <w:rPr>
          <w:rFonts w:ascii="Amiri" w:hAnsi="Amiri" w:eastAsia="Amiri" w:cs="Amiri"/>
          <w:lang w:bidi="ar-SA"/>
          <w:color w:val="111111"/>
          <w:sz w:val="28"/>
          <w:szCs w:val="28"/>
          <w:rtl/>
        </w:rPr>
        <w:t xml:space="preserve">فسوي ، حسن بن عبد الغفار- فارسي ،</w:t>
      </w:r>
    </w:p>
    <w:p>
      <w:pPr>
        <w:pStyle w:val="BookText"/>
      </w:pPr>
      <w:r>
        <w:rPr>
          <w:rFonts w:ascii="IRNazanin" w:hAnsi="IRNazanin" w:eastAsia="IRNazanin" w:cs="IRNazanin"/>
          <w:lang w:bidi="fa-IR"/>
          <w:color w:val="111111"/>
          <w:sz w:val="28"/>
          <w:szCs w:val="28"/>
          <w:rtl/>
        </w:rPr>
        <w:t xml:space="preserve">حسن بن احمد</w:t>
      </w:r>
    </w:p>
    <w:p>
      <w:pPr>
        <w:pStyle w:val="BookText"/>
      </w:pPr>
      <w:r>
        <w:rPr>
          <w:rFonts w:ascii="Amiri" w:hAnsi="Amiri" w:eastAsia="Amiri" w:cs="Amiri"/>
          <w:lang w:bidi="ar-SA"/>
          <w:color w:val="111111"/>
          <w:sz w:val="28"/>
          <w:szCs w:val="28"/>
          <w:rtl/>
        </w:rPr>
        <w:t xml:space="preserve">فسوي شيرازي ، كمال الدين محمّد -فارسي ، محمّد بن محمّد</w:t>
      </w:r>
    </w:p>
    <w:p>
      <w:pPr>
        <w:pStyle w:val="BookText"/>
      </w:pPr>
      <w:r>
        <w:rPr>
          <w:rFonts w:ascii="Amiri" w:hAnsi="Amiri" w:eastAsia="Amiri" w:cs="Amiri"/>
          <w:lang w:bidi="ar-SA"/>
          <w:color w:val="111111"/>
          <w:sz w:val="28"/>
          <w:szCs w:val="28"/>
          <w:rtl/>
        </w:rPr>
        <w:t xml:space="preserve">فسوي فارسي ، محمّد بن</w:t>
      </w:r>
    </w:p>
    <w:p>
      <w:pPr>
        <w:pStyle w:val="BookText"/>
      </w:pPr>
      <w:r>
        <w:rPr>
          <w:rFonts w:ascii="Amiri" w:hAnsi="Amiri" w:eastAsia="Amiri" w:cs="Amiri"/>
          <w:lang w:bidi="ar-SA"/>
          <w:color w:val="111111"/>
          <w:sz w:val="28"/>
          <w:szCs w:val="28"/>
          <w:rtl/>
        </w:rPr>
        <w:t xml:space="preserve">سليمان- خطيب ، محمّد بن سليمان</w:t>
      </w:r>
    </w:p>
    <w:p>
      <w:pPr>
        <w:pStyle w:val="BookText"/>
      </w:pPr>
      <w:r>
        <w:rPr>
          <w:rFonts w:ascii="Amiri" w:hAnsi="Amiri" w:eastAsia="Amiri" w:cs="Amiri"/>
          <w:lang w:bidi="ar-SA"/>
          <w:color w:val="111111"/>
          <w:sz w:val="28"/>
          <w:szCs w:val="28"/>
          <w:rtl/>
        </w:rPr>
        <w:t xml:space="preserve">فسوي ، محمّد بن محمّد- فارسي ، محمّد بن محمّد</w:t>
      </w:r>
    </w:p>
    <w:p>
      <w:pPr>
        <w:pStyle w:val="BookText"/>
      </w:pPr>
      <w:r>
        <w:rPr>
          <w:rFonts w:ascii="Amiri" w:hAnsi="Amiri" w:eastAsia="Amiri" w:cs="Amiri"/>
          <w:lang w:bidi="ar-SA"/>
          <w:color w:val="111111"/>
          <w:sz w:val="28"/>
          <w:szCs w:val="28"/>
          <w:rtl/>
        </w:rPr>
        <w:t xml:space="preserve">فسوي ، محمّد مسيح بن اسماعيل - مسيحا فدشكوئي ، محمّد مسيح بن اسماعيل</w:t>
      </w:r>
    </w:p>
    <w:p>
      <w:pPr>
        <w:pStyle w:val="BookText"/>
      </w:pPr>
      <w:r>
        <w:rPr>
          <w:rFonts w:ascii="Amiri" w:hAnsi="Amiri" w:eastAsia="Amiri" w:cs="Amiri"/>
          <w:lang w:bidi="ar-SA"/>
          <w:color w:val="111111"/>
          <w:sz w:val="28"/>
          <w:szCs w:val="28"/>
          <w:rtl/>
        </w:rPr>
        <w:t xml:space="preserve">فسوي ، يعقوب بن سفيان- فارسي فسوي</w:t>
      </w:r>
    </w:p>
    <w:p>
      <w:pPr>
        <w:pStyle w:val="BookText"/>
      </w:pPr>
      <w:r>
        <w:rPr>
          <w:rFonts w:ascii="Amiri" w:hAnsi="Amiri" w:eastAsia="Amiri" w:cs="Amiri"/>
          <w:lang w:bidi="ar-SA"/>
          <w:color w:val="111111"/>
          <w:sz w:val="28"/>
          <w:szCs w:val="28"/>
          <w:rtl/>
        </w:rPr>
        <w:t xml:space="preserve">، يعقوب بن سفيان</w:t>
      </w:r>
    </w:p>
    <w:p>
      <w:pPr>
        <w:pStyle w:val="Heading2"/>
      </w:pPr>
      <w:bookmarkStart w:id="6383" w:name="_Toc5485"/>
      <w:r>
        <w:t>فشاركي ، محمّد باقر بن محمّد جعفر،</w:t>
      </w:r>
      <w:bookmarkEnd w:id="6383"/>
    </w:p>
    <w:p>
      <w:pPr>
        <w:pStyle w:val="BookText"/>
      </w:pPr>
      <w:r>
        <w:rPr>
          <w:rFonts w:ascii="IRNazanin" w:hAnsi="IRNazanin" w:eastAsia="IRNazanin" w:cs="IRNazanin"/>
          <w:lang w:bidi="fa-IR"/>
          <w:color w:val="111111"/>
          <w:sz w:val="28"/>
          <w:szCs w:val="28"/>
          <w:rtl/>
        </w:rPr>
        <w:t xml:space="preserve">1252 - 1314ه-</w:t>
      </w:r>
    </w:p>
    <w:p>
      <w:pPr>
        <w:pStyle w:val="BookText"/>
      </w:pPr>
      <w:r>
        <w:rPr>
          <w:rFonts w:ascii="Amiri" w:hAnsi="Amiri" w:eastAsia="Amiri" w:cs="Amiri"/>
          <w:lang w:bidi="ar-SA"/>
          <w:color w:val="111111"/>
          <w:sz w:val="28"/>
          <w:szCs w:val="28"/>
          <w:rtl/>
        </w:rPr>
        <w:t xml:space="preserve">الاجازة لميرزا علي اكبر بن محمّد صالح</w:t>
      </w:r>
    </w:p>
    <w:p>
      <w:pPr>
        <w:pStyle w:val="BookText"/>
      </w:pPr>
      <w:r>
        <w:rPr>
          <w:rFonts w:ascii="Amiri" w:hAnsi="Amiri" w:eastAsia="Amiri" w:cs="Amiri"/>
          <w:lang w:bidi="ar-SA"/>
          <w:color w:val="111111"/>
          <w:sz w:val="28"/>
          <w:szCs w:val="28"/>
          <w:rtl/>
        </w:rPr>
        <w:t xml:space="preserve">اليزدي، ج 1، ص290.</w:t>
      </w:r>
    </w:p>
    <w:p>
      <w:pPr>
        <w:pStyle w:val="Heading2"/>
      </w:pPr>
      <w:bookmarkStart w:id="6384" w:name="_Toc5486"/>
      <w:r>
        <w:t>فشتالي ، محمّد بن عيسى - 1021 ه-</w:t>
      </w:r>
      <w:bookmarkEnd w:id="6384"/>
    </w:p>
    <w:p>
      <w:pPr>
        <w:pStyle w:val="BookText"/>
      </w:pPr>
      <w:r>
        <w:rPr>
          <w:rFonts w:ascii="Amiri" w:hAnsi="Amiri" w:eastAsia="Amiri" w:cs="Amiri"/>
          <w:lang w:bidi="ar-SA"/>
          <w:color w:val="111111"/>
          <w:sz w:val="28"/>
          <w:szCs w:val="28"/>
          <w:rtl/>
        </w:rPr>
        <w:t xml:space="preserve">سرور المهج لأولي الألباب في رسائل الأحباب، ج8، ص770.</w:t>
      </w:r>
    </w:p>
    <w:p>
      <w:pPr>
        <w:pStyle w:val="Heading2"/>
      </w:pPr>
      <w:bookmarkStart w:id="6385" w:name="_Toc5487"/>
      <w:r>
        <w:t>فشني ، احمد بن حجازي - 978؟ ه-</w:t>
      </w:r>
      <w:bookmarkEnd w:id="63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تحفة الحبيب بشرح نظم غاية</w:t>
      </w:r>
    </w:p>
    <w:p>
      <w:pPr>
        <w:pStyle w:val="BookText"/>
      </w:pPr>
      <w:r>
        <w:rPr>
          <w:rFonts w:ascii="Amiri" w:hAnsi="Amiri" w:eastAsia="Amiri" w:cs="Amiri"/>
          <w:lang w:bidi="ar-SA"/>
          <w:color w:val="111111"/>
          <w:sz w:val="28"/>
          <w:szCs w:val="28"/>
          <w:rtl/>
        </w:rPr>
        <w:t xml:space="preserve">التقريب، ج3، ص819</w:t>
      </w:r>
    </w:p>
    <w:p>
      <w:pPr>
        <w:pStyle w:val="BookText"/>
      </w:pPr>
      <w:r>
        <w:rPr>
          <w:rFonts w:ascii="Amiri" w:hAnsi="Amiri" w:eastAsia="Amiri" w:cs="Amiri"/>
          <w:lang w:bidi="ar-SA"/>
          <w:color w:val="111111"/>
          <w:sz w:val="28"/>
          <w:szCs w:val="28"/>
          <w:rtl/>
        </w:rPr>
        <w:t xml:space="preserve">2 .المجالس السنية في شرح الاربعين</w:t>
      </w:r>
    </w:p>
    <w:p>
      <w:pPr>
        <w:pStyle w:val="BookText"/>
      </w:pPr>
      <w:r>
        <w:rPr>
          <w:rFonts w:ascii="Amiri" w:hAnsi="Amiri" w:eastAsia="Amiri" w:cs="Amiri"/>
          <w:lang w:bidi="ar-SA"/>
          <w:color w:val="111111"/>
          <w:sz w:val="28"/>
          <w:szCs w:val="28"/>
          <w:rtl/>
        </w:rPr>
        <w:t xml:space="preserve">النووية، ج13، ص 794.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مواهب الصمد في حل الفاظ صفوة</w:t>
      </w:r>
    </w:p>
    <w:p>
      <w:pPr>
        <w:pStyle w:val="BookText"/>
      </w:pPr>
      <w:r>
        <w:rPr>
          <w:rFonts w:ascii="IRNazanin" w:hAnsi="IRNazanin" w:eastAsia="IRNazanin" w:cs="IRNazanin"/>
          <w:lang w:bidi="fa-IR"/>
          <w:color w:val="111111"/>
          <w:sz w:val="28"/>
          <w:szCs w:val="28"/>
          <w:rtl/>
        </w:rPr>
        <w:t xml:space="preserve">الزبد، ج 15، ص 889</w:t>
      </w:r>
    </w:p>
    <w:p>
      <w:pPr>
        <w:pStyle w:val="BookText"/>
      </w:pPr>
      <w:r>
        <w:rPr>
          <w:rFonts w:ascii="IRNazanin" w:hAnsi="IRNazanin" w:eastAsia="IRNazanin" w:cs="IRNazanin"/>
          <w:lang w:bidi="fa-IR"/>
          <w:color w:val="111111"/>
          <w:sz w:val="28"/>
          <w:szCs w:val="28"/>
          <w:rtl/>
        </w:rPr>
        <w:t xml:space="preserve">فصیح ادیب ، محمّد بن محمّد- هروي</w:t>
      </w:r>
    </w:p>
    <w:p>
      <w:pPr>
        <w:pStyle w:val="BookText"/>
      </w:pPr>
      <w:r>
        <w:rPr>
          <w:rFonts w:ascii="Amiri" w:hAnsi="Amiri" w:eastAsia="Amiri" w:cs="Amiri"/>
          <w:lang w:bidi="ar-SA"/>
          <w:color w:val="111111"/>
          <w:sz w:val="28"/>
          <w:szCs w:val="28"/>
          <w:rtl/>
        </w:rPr>
        <w:t xml:space="preserve">محمّد بن محمّد</w:t>
      </w:r>
    </w:p>
    <w:p>
      <w:pPr>
        <w:pStyle w:val="BookText"/>
      </w:pPr>
      <w:r>
        <w:rPr>
          <w:rFonts w:ascii="Amiri" w:hAnsi="Amiri" w:eastAsia="Amiri" w:cs="Amiri"/>
          <w:lang w:bidi="ar-SA"/>
          <w:color w:val="111111"/>
          <w:sz w:val="28"/>
          <w:szCs w:val="28"/>
          <w:rtl/>
        </w:rPr>
        <w:t xml:space="preserve">فصيح الدين ابراهيم بن صبغة الله حيدري - حيدري ، ابراهيم بن صبغة الله</w:t>
      </w:r>
    </w:p>
    <w:p>
      <w:pPr>
        <w:pStyle w:val="BookText"/>
      </w:pPr>
      <w:r>
        <w:rPr>
          <w:rFonts w:ascii="Amiri" w:hAnsi="Amiri" w:eastAsia="Amiri" w:cs="Amiri"/>
          <w:lang w:bidi="ar-SA"/>
          <w:color w:val="111111"/>
          <w:sz w:val="28"/>
          <w:szCs w:val="28"/>
          <w:rtl/>
        </w:rPr>
        <w:t xml:space="preserve">فصيح بن عبد الكريم بسطامي- نظامي</w:t>
      </w:r>
    </w:p>
    <w:p>
      <w:pPr>
        <w:pStyle w:val="BookText"/>
      </w:pPr>
      <w:r>
        <w:rPr>
          <w:rFonts w:ascii="Amiri" w:hAnsi="Amiri" w:eastAsia="Amiri" w:cs="Amiri"/>
          <w:lang w:bidi="ar-SA"/>
          <w:color w:val="111111"/>
          <w:sz w:val="28"/>
          <w:szCs w:val="28"/>
          <w:rtl/>
        </w:rPr>
        <w:t xml:space="preserve">بسطامي ، فصيح بن عبدالكريم</w:t>
      </w:r>
    </w:p>
    <w:p>
      <w:pPr>
        <w:pStyle w:val="Heading2"/>
      </w:pPr>
      <w:bookmarkStart w:id="6386" w:name="_Toc5488"/>
      <w:r>
        <w:t>فصیح ، محمّد باقر</w:t>
      </w:r>
      <w:bookmarkEnd w:id="6386"/>
    </w:p>
    <w:p>
      <w:pPr>
        <w:pStyle w:val="BookText"/>
      </w:pPr>
      <w:r>
        <w:rPr>
          <w:rFonts w:ascii="Amiri" w:hAnsi="Amiri" w:eastAsia="Amiri" w:cs="Amiri"/>
          <w:lang w:bidi="ar-SA"/>
          <w:color w:val="111111"/>
          <w:sz w:val="28"/>
          <w:szCs w:val="28"/>
          <w:rtl/>
        </w:rPr>
        <w:t xml:space="preserve">مصائب العترة الطاهرة، ج 14 ، ص 658 .</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فصیح محمّد بن محمّد -هروي ، محمّد</w:t>
      </w:r>
    </w:p>
    <w:p>
      <w:pPr>
        <w:pStyle w:val="BookText"/>
      </w:pPr>
      <w:r>
        <w:rPr>
          <w:rFonts w:ascii="Amiri" w:hAnsi="Amiri" w:eastAsia="Amiri" w:cs="Amiri"/>
          <w:lang w:bidi="ar-SA"/>
          <w:color w:val="111111"/>
          <w:sz w:val="28"/>
          <w:szCs w:val="28"/>
          <w:rtl/>
        </w:rPr>
        <w:t xml:space="preserve">بن محمّد</w:t>
      </w:r>
    </w:p>
    <w:p>
      <w:pPr>
        <w:pStyle w:val="Heading2"/>
      </w:pPr>
      <w:bookmarkStart w:id="6387" w:name="_Toc5489"/>
      <w:r>
        <w:t>فصيح ، ميرزا محمّد قرن 12 ه-</w:t>
      </w:r>
      <w:bookmarkEnd w:id="6387"/>
    </w:p>
    <w:p>
      <w:pPr>
        <w:pStyle w:val="BookText"/>
      </w:pPr>
      <w:r>
        <w:rPr>
          <w:rFonts w:ascii="Amiri" w:hAnsi="Amiri" w:eastAsia="Amiri" w:cs="Amiri"/>
          <w:lang w:bidi="ar-SA"/>
          <w:color w:val="111111"/>
          <w:sz w:val="28"/>
          <w:szCs w:val="28"/>
          <w:rtl/>
        </w:rPr>
        <w:t xml:space="preserve">بياض، ج 3، ص 448 .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52" w:name="pg7742_70978"/>
    <w:bookmarkEnd w:id="852"/>
    <w:p>
      <w:pPr>
        <w:pStyle w:val="Heading2"/>
      </w:pPr>
      <w:bookmarkStart w:id="6388" w:name="_Toc5490"/>
      <w:r>
        <w:t>فصيحي ، حسن بن محمّد قرن 11 ه</w:t>
      </w:r>
      <w:bookmarkEnd w:id="6388"/>
    </w:p>
    <w:p>
      <w:pPr>
        <w:pStyle w:val="BookText"/>
      </w:pPr>
      <w:r>
        <w:rPr>
          <w:rFonts w:ascii="Amiri" w:hAnsi="Amiri" w:eastAsia="Amiri" w:cs="Amiri"/>
          <w:lang w:bidi="ar-SA"/>
          <w:color w:val="111111"/>
          <w:sz w:val="28"/>
          <w:szCs w:val="28"/>
          <w:rtl/>
        </w:rPr>
        <w:t xml:space="preserve">در التتويج بتعريب مؤامرات الزيج : تعريب زيج ألوغ بيك، ج 7، ص 234.</w:t>
      </w:r>
    </w:p>
    <w:p>
      <w:pPr>
        <w:pStyle w:val="Heading2"/>
      </w:pPr>
      <w:bookmarkStart w:id="6389" w:name="_Toc5491"/>
      <w:r>
        <w:t>فضالي سيف الدين بن عطاء الله - 1020ه-</w:t>
      </w:r>
      <w:bookmarkEnd w:id="6389"/>
    </w:p>
    <w:p>
      <w:pPr>
        <w:pStyle w:val="BookText"/>
      </w:pPr>
      <w:r>
        <w:rPr>
          <w:rFonts w:ascii="Amiri" w:hAnsi="Amiri" w:eastAsia="Amiri" w:cs="Amiri"/>
          <w:lang w:bidi="ar-SA"/>
          <w:color w:val="111111"/>
          <w:sz w:val="28"/>
          <w:szCs w:val="28"/>
          <w:rtl/>
        </w:rPr>
        <w:t xml:space="preserve">الجواهر المضيئة على المقدمة الجزرية</w:t>
      </w:r>
    </w:p>
    <w:p>
      <w:pPr>
        <w:pStyle w:val="BookText"/>
      </w:pPr>
      <w:r>
        <w:rPr>
          <w:rFonts w:ascii="Amiri" w:hAnsi="Amiri" w:eastAsia="Amiri" w:cs="Amiri"/>
          <w:lang w:bidi="ar-SA"/>
          <w:color w:val="111111"/>
          <w:sz w:val="28"/>
          <w:szCs w:val="28"/>
          <w:rtl/>
        </w:rPr>
        <w:t xml:space="preserve">في التجويد، ج 5، ص 599.</w:t>
      </w:r>
    </w:p>
    <w:p>
      <w:pPr>
        <w:pStyle w:val="Heading2"/>
      </w:pPr>
      <w:bookmarkStart w:id="6390" w:name="_Toc5492"/>
      <w:r>
        <w:t>فضالي ، محمّد بن شافع، - 1236 ه-</w:t>
      </w:r>
      <w:bookmarkEnd w:id="63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إعراب كلمة التوحيد (رسالة في)</w:t>
      </w:r>
    </w:p>
    <w:p>
      <w:pPr>
        <w:pStyle w:val="BookText"/>
      </w:pPr>
      <w:r>
        <w:rPr>
          <w:rFonts w:ascii="IRNazanin" w:hAnsi="IRNazanin" w:eastAsia="IRNazanin" w:cs="IRNazanin"/>
          <w:lang w:bidi="fa-IR"/>
          <w:color w:val="111111"/>
          <w:sz w:val="28"/>
          <w:szCs w:val="28"/>
          <w:rtl/>
        </w:rPr>
        <w:t xml:space="preserve">ج 2، ص 547 .</w:t>
      </w:r>
    </w:p>
    <w:p>
      <w:pPr>
        <w:pStyle w:val="BookText"/>
      </w:pPr>
      <w:r>
        <w:rPr>
          <w:rFonts w:ascii="Amiri" w:hAnsi="Amiri" w:eastAsia="Amiri" w:cs="Amiri"/>
          <w:lang w:bidi="ar-SA"/>
          <w:color w:val="111111"/>
          <w:sz w:val="28"/>
          <w:szCs w:val="28"/>
          <w:rtl/>
        </w:rPr>
        <w:t xml:space="preserve">2 .كفاية العوام فيما يجب عليهم من</w:t>
      </w:r>
    </w:p>
    <w:p>
      <w:pPr>
        <w:pStyle w:val="BookText"/>
      </w:pPr>
      <w:r>
        <w:rPr>
          <w:rFonts w:ascii="Amiri" w:hAnsi="Amiri" w:eastAsia="Amiri" w:cs="Amiri"/>
          <w:lang w:bidi="ar-SA"/>
          <w:color w:val="111111"/>
          <w:sz w:val="28"/>
          <w:szCs w:val="28"/>
          <w:rtl/>
        </w:rPr>
        <w:t xml:space="preserve">علم الكلام، ج13، ص 323</w:t>
      </w:r>
    </w:p>
    <w:p>
      <w:pPr>
        <w:pStyle w:val="Heading2"/>
      </w:pPr>
      <w:bookmarkStart w:id="6391" w:name="_Toc5493"/>
      <w:r>
        <w:t>فضل الله ، قرن 7 ه-</w:t>
      </w:r>
      <w:bookmarkEnd w:id="6391"/>
    </w:p>
    <w:p>
      <w:pPr>
        <w:pStyle w:val="BookText"/>
      </w:pPr>
      <w:r>
        <w:rPr>
          <w:rFonts w:ascii="Amiri" w:hAnsi="Amiri" w:eastAsia="Amiri" w:cs="Amiri"/>
          <w:lang w:bidi="ar-SA"/>
          <w:color w:val="111111"/>
          <w:sz w:val="28"/>
          <w:szCs w:val="28"/>
          <w:rtl/>
        </w:rPr>
        <w:t xml:space="preserve">حاشية النافع في مختصر الشرايع =</w:t>
      </w:r>
    </w:p>
    <w:p>
      <w:pPr>
        <w:pStyle w:val="BookText"/>
      </w:pPr>
      <w:r>
        <w:rPr>
          <w:rFonts w:ascii="IRNazanin" w:hAnsi="IRNazanin" w:eastAsia="IRNazanin" w:cs="IRNazanin"/>
          <w:lang w:bidi="fa-IR"/>
          <w:color w:val="111111"/>
          <w:sz w:val="28"/>
          <w:szCs w:val="28"/>
          <w:rtl/>
        </w:rPr>
        <w:t xml:space="preserve">حاشیه مختصر نافع، ج6، ص 434 .</w:t>
      </w:r>
    </w:p>
    <w:p>
      <w:pPr>
        <w:pStyle w:val="BookText"/>
      </w:pPr>
      <w:r>
        <w:rPr>
          <w:rFonts w:ascii="IRNazanin" w:hAnsi="IRNazanin" w:eastAsia="IRNazanin" w:cs="IRNazanin"/>
          <w:lang w:bidi="fa-IR"/>
          <w:color w:val="111111"/>
          <w:sz w:val="28"/>
          <w:szCs w:val="28"/>
          <w:rtl/>
        </w:rPr>
        <w:t xml:space="preserve">فضل الله بن حسن تورانپشتي- توران</w:t>
      </w:r>
    </w:p>
    <w:p>
      <w:pPr>
        <w:pStyle w:val="BookText"/>
      </w:pPr>
      <w:r>
        <w:rPr>
          <w:rFonts w:ascii="IRNazanin" w:hAnsi="IRNazanin" w:eastAsia="IRNazanin" w:cs="IRNazanin"/>
          <w:lang w:bidi="fa-IR"/>
          <w:color w:val="111111"/>
          <w:sz w:val="28"/>
          <w:szCs w:val="28"/>
          <w:rtl/>
        </w:rPr>
        <w:t xml:space="preserve">پشتي ، فضل بن حسن</w:t>
      </w:r>
    </w:p>
    <w:p>
      <w:pPr>
        <w:pStyle w:val="Heading2"/>
      </w:pPr>
      <w:bookmarkStart w:id="6392" w:name="_Toc5494"/>
      <w:r>
        <w:t>فضل الله بن روزبهان 4860 - 925 ه-</w:t>
      </w:r>
      <w:bookmarkEnd w:id="6392"/>
    </w:p>
    <w:p>
      <w:pPr>
        <w:pStyle w:val="BookText"/>
      </w:pPr>
      <w:r>
        <w:rPr>
          <w:rFonts w:ascii="IRNazanin" w:hAnsi="IRNazanin" w:eastAsia="IRNazanin" w:cs="IRNazanin"/>
          <w:lang w:bidi="fa-IR"/>
          <w:color w:val="111111"/>
          <w:sz w:val="28"/>
          <w:szCs w:val="28"/>
          <w:rtl/>
        </w:rPr>
        <w:t xml:space="preserve">1 .ابطال نهج الباطل، ج 1، ص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بديع الزمان في قصة حي بن</w:t>
      </w:r>
    </w:p>
    <w:p>
      <w:pPr>
        <w:pStyle w:val="BookText"/>
      </w:pPr>
      <w:r>
        <w:rPr>
          <w:rFonts w:ascii="Amiri" w:hAnsi="Amiri" w:eastAsia="Amiri" w:cs="Amiri"/>
          <w:lang w:bidi="ar-SA"/>
          <w:color w:val="111111"/>
          <w:sz w:val="28"/>
          <w:szCs w:val="28"/>
          <w:rtl/>
        </w:rPr>
        <w:t xml:space="preserve">يقظان، ج 3، ص278.</w:t>
      </w:r>
    </w:p>
    <w:p>
      <w:pPr>
        <w:pStyle w:val="BookText"/>
      </w:pPr>
      <w:r>
        <w:rPr>
          <w:rFonts w:ascii="Amiri" w:hAnsi="Amiri" w:eastAsia="Amiri" w:cs="Amiri"/>
          <w:lang w:bidi="ar-SA"/>
          <w:color w:val="111111"/>
          <w:sz w:val="28"/>
          <w:szCs w:val="28"/>
          <w:rtl/>
        </w:rPr>
        <w:t xml:space="preserve">فضل الله بن عبدالله قزويني شيرازي - شرف الدين قزويني ، فضل الله بن عبد الله</w:t>
      </w:r>
    </w:p>
    <w:p>
      <w:pPr>
        <w:pStyle w:val="BookText"/>
      </w:pPr>
      <w:r>
        <w:rPr>
          <w:rFonts w:ascii="Amiri" w:hAnsi="Amiri" w:eastAsia="Amiri" w:cs="Amiri"/>
          <w:lang w:bidi="ar-SA"/>
          <w:color w:val="111111"/>
          <w:sz w:val="28"/>
          <w:szCs w:val="28"/>
          <w:rtl/>
        </w:rPr>
        <w:t xml:space="preserve">فضل الله بن علي بن عبيدالله حسيني راوندي كاشاني- راوندي كاشاني ، فضل الله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فضل الله بن فخر صقاعي -صقاعي ، فضل الله بن فخر</w:t>
      </w:r>
    </w:p>
    <w:p>
      <w:pPr>
        <w:pStyle w:val="BookText"/>
      </w:pPr>
      <w:r>
        <w:rPr>
          <w:rFonts w:ascii="IRNazanin" w:hAnsi="IRNazanin" w:eastAsia="IRNazanin" w:cs="IRNazanin"/>
          <w:lang w:bidi="fa-IR"/>
          <w:color w:val="111111"/>
          <w:sz w:val="28"/>
          <w:szCs w:val="28"/>
          <w:rtl/>
        </w:rPr>
        <w:t xml:space="preserve">فضل الله بن محب الله بن محمّد -</w:t>
      </w:r>
    </w:p>
    <w:p>
      <w:pPr>
        <w:pStyle w:val="BookText"/>
      </w:pPr>
      <w:r>
        <w:rPr>
          <w:rFonts w:ascii="Amiri" w:hAnsi="Amiri" w:eastAsia="Amiri" w:cs="Amiri"/>
          <w:lang w:bidi="ar-SA"/>
          <w:color w:val="111111"/>
          <w:sz w:val="28"/>
          <w:szCs w:val="28"/>
          <w:rtl/>
        </w:rPr>
        <w:t xml:space="preserve">دمشقي ، فضل الله بن محب</w:t>
      </w:r>
    </w:p>
    <w:p>
      <w:pPr>
        <w:pStyle w:val="BookText"/>
      </w:pPr>
      <w:r>
        <w:rPr>
          <w:rFonts w:ascii="Amiri" w:hAnsi="Amiri" w:eastAsia="Amiri" w:cs="Amiri"/>
          <w:lang w:bidi="ar-SA"/>
          <w:color w:val="111111"/>
          <w:sz w:val="28"/>
          <w:szCs w:val="28"/>
          <w:rtl/>
        </w:rPr>
        <w:t xml:space="preserve">فضل الله تبريزي -تبريزي ، فضل الله</w:t>
      </w:r>
    </w:p>
    <w:p>
      <w:pPr>
        <w:pStyle w:val="BookText"/>
      </w:pPr>
      <w:r>
        <w:rPr>
          <w:rFonts w:ascii="Amiri" w:hAnsi="Amiri" w:eastAsia="Amiri" w:cs="Amiri"/>
          <w:lang w:bidi="ar-SA"/>
          <w:color w:val="111111"/>
          <w:sz w:val="28"/>
          <w:szCs w:val="28"/>
          <w:rtl/>
        </w:rPr>
        <w:t xml:space="preserve">فضل الله ثاني بن محمّد شريف -شريف</w:t>
      </w:r>
    </w:p>
    <w:p>
      <w:pPr>
        <w:pStyle w:val="BookText"/>
      </w:pPr>
      <w:r>
        <w:rPr>
          <w:rFonts w:ascii="Amiri" w:hAnsi="Amiri" w:eastAsia="Amiri" w:cs="Amiri"/>
          <w:lang w:bidi="ar-SA"/>
          <w:color w:val="111111"/>
          <w:sz w:val="28"/>
          <w:szCs w:val="28"/>
          <w:rtl/>
        </w:rPr>
        <w:t xml:space="preserve">كاشاني ، فضل الله بن محمّد</w:t>
      </w:r>
    </w:p>
    <w:p>
      <w:pPr>
        <w:pStyle w:val="BookText"/>
      </w:pPr>
      <w:r>
        <w:rPr>
          <w:rFonts w:ascii="Amiri" w:hAnsi="Amiri" w:eastAsia="Amiri" w:cs="Amiri"/>
          <w:lang w:bidi="ar-SA"/>
          <w:color w:val="111111"/>
          <w:sz w:val="28"/>
          <w:szCs w:val="28"/>
          <w:rtl/>
        </w:rPr>
        <w:t xml:space="preserve">فضل الله همداني- همداني ، رشيد الدين</w:t>
      </w:r>
    </w:p>
    <w:p>
      <w:pPr>
        <w:pStyle w:val="BookText"/>
      </w:pPr>
      <w:r>
        <w:rPr>
          <w:rFonts w:ascii="IRNazanin" w:hAnsi="IRNazanin" w:eastAsia="IRNazanin" w:cs="IRNazanin"/>
          <w:lang w:bidi="fa-IR"/>
          <w:color w:val="111111"/>
          <w:sz w:val="28"/>
          <w:szCs w:val="28"/>
          <w:rtl/>
        </w:rPr>
        <w:t xml:space="preserve">فضل الله</w:t>
      </w:r>
    </w:p>
    <w:p>
      <w:pPr>
        <w:pStyle w:val="BookText"/>
      </w:pPr>
      <w:r>
        <w:rPr>
          <w:rFonts w:ascii="Amiri" w:hAnsi="Amiri" w:eastAsia="Amiri" w:cs="Amiri"/>
          <w:lang w:bidi="ar-SA"/>
          <w:color w:val="111111"/>
          <w:sz w:val="28"/>
          <w:szCs w:val="28"/>
          <w:rtl/>
        </w:rPr>
        <w:t xml:space="preserve">فضل بن حسن بن فضل طبرسي- طبرسي</w:t>
      </w:r>
    </w:p>
    <w:p>
      <w:pPr>
        <w:pStyle w:val="BookText"/>
      </w:pPr>
      <w:r>
        <w:rPr>
          <w:rFonts w:ascii="IRNazanin" w:hAnsi="IRNazanin" w:eastAsia="IRNazanin" w:cs="IRNazanin"/>
          <w:lang w:bidi="fa-IR"/>
          <w:color w:val="111111"/>
          <w:sz w:val="28"/>
          <w:szCs w:val="28"/>
          <w:rtl/>
        </w:rPr>
        <w:t xml:space="preserve">فضل بن حسن</w:t>
      </w:r>
    </w:p>
    <w:p>
      <w:pPr>
        <w:pStyle w:val="BookText"/>
      </w:pPr>
      <w:r>
        <w:rPr>
          <w:rFonts w:ascii="IRNazanin" w:hAnsi="IRNazanin" w:eastAsia="IRNazanin" w:cs="IRNazanin"/>
          <w:lang w:bidi="fa-IR"/>
          <w:color w:val="111111"/>
          <w:sz w:val="28"/>
          <w:szCs w:val="28"/>
          <w:rtl/>
        </w:rPr>
        <w:t xml:space="preserve">فضل بن روزبهان - فضل الله بن روزبهان</w:t>
      </w:r>
    </w:p>
    <w:p>
      <w:pPr>
        <w:pStyle w:val="BookText"/>
      </w:pPr>
      <w:r>
        <w:rPr>
          <w:rFonts w:ascii="IRNazanin" w:hAnsi="IRNazanin" w:eastAsia="IRNazanin" w:cs="IRNazanin"/>
          <w:lang w:bidi="fa-IR"/>
          <w:color w:val="111111"/>
          <w:sz w:val="28"/>
          <w:szCs w:val="28"/>
          <w:rtl/>
        </w:rPr>
        <w:t xml:space="preserve">فضل بن شاذان -ابن شاذان ، فضل بن</w:t>
      </w:r>
    </w:p>
    <w:p>
      <w:pPr>
        <w:pStyle w:val="BookText"/>
      </w:pPr>
      <w:r>
        <w:rPr>
          <w:rFonts w:ascii="IRNazanin" w:hAnsi="IRNazanin" w:eastAsia="IRNazanin" w:cs="IRNazanin"/>
          <w:lang w:bidi="fa-IR"/>
          <w:color w:val="111111"/>
          <w:sz w:val="28"/>
          <w:szCs w:val="28"/>
          <w:rtl/>
        </w:rPr>
        <w:t xml:space="preserve">شاذان</w:t>
      </w:r>
    </w:p>
    <w:p>
      <w:pPr>
        <w:pStyle w:val="BookText"/>
      </w:pPr>
      <w:r>
        <w:rPr>
          <w:rFonts w:ascii="Amiri" w:hAnsi="Amiri" w:eastAsia="Amiri" w:cs="Amiri"/>
          <w:lang w:bidi="ar-SA"/>
          <w:color w:val="111111"/>
          <w:sz w:val="28"/>
          <w:szCs w:val="28"/>
          <w:rtl/>
        </w:rPr>
        <w:t xml:space="preserve">فضل بن قدامه عجلي راجز -عجلي ، فضل</w:t>
      </w:r>
    </w:p>
    <w:p>
      <w:pPr>
        <w:pStyle w:val="BookText"/>
      </w:pPr>
      <w:r>
        <w:rPr>
          <w:rFonts w:ascii="IRNazanin" w:hAnsi="IRNazanin" w:eastAsia="IRNazanin" w:cs="IRNazanin"/>
          <w:lang w:bidi="fa-IR"/>
          <w:color w:val="111111"/>
          <w:sz w:val="28"/>
          <w:szCs w:val="28"/>
          <w:rtl/>
        </w:rPr>
        <w:t xml:space="preserve">بن قدامه</w:t>
      </w:r>
    </w:p>
    <w:p>
      <w:pPr>
        <w:pStyle w:val="BookText"/>
      </w:pPr>
      <w:r>
        <w:rPr>
          <w:rFonts w:ascii="Amiri" w:hAnsi="Amiri" w:eastAsia="Amiri" w:cs="Amiri"/>
          <w:lang w:bidi="ar-SA"/>
          <w:color w:val="111111"/>
          <w:sz w:val="28"/>
          <w:szCs w:val="28"/>
          <w:rtl/>
        </w:rPr>
        <w:t xml:space="preserve">فضل بن محمّد لوكري -لوكري ، فضل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فضل بن يحيى طيبي كوفي- طيبي ، فضل</w:t>
      </w:r>
    </w:p>
    <w:p>
      <w:pPr>
        <w:pStyle w:val="BookText"/>
      </w:pPr>
      <w:r>
        <w:rPr>
          <w:rFonts w:ascii="Amiri" w:hAnsi="Amiri" w:eastAsia="Amiri" w:cs="Amiri"/>
          <w:lang w:bidi="ar-SA"/>
          <w:color w:val="111111"/>
          <w:sz w:val="28"/>
          <w:szCs w:val="28"/>
          <w:rtl/>
        </w:rPr>
        <w:t xml:space="preserve">بن يحيى</w:t>
      </w:r>
    </w:p>
    <w:p>
      <w:pPr>
        <w:pStyle w:val="Heading2"/>
      </w:pPr>
      <w:bookmarkStart w:id="6393" w:name="_Toc5495"/>
      <w:r>
        <w:t>فضلي بغدادي ، عبدالرحمن بن جواد</w:t>
      </w:r>
      <w:bookmarkEnd w:id="6393"/>
    </w:p>
    <w:p>
      <w:pPr>
        <w:pStyle w:val="BookText"/>
      </w:pPr>
      <w:r>
        <w:rPr>
          <w:rFonts w:ascii="IRNazanin" w:hAnsi="IRNazanin" w:eastAsia="IRNazanin" w:cs="IRNazanin"/>
          <w:lang w:bidi="fa-IR"/>
          <w:color w:val="111111"/>
          <w:sz w:val="28"/>
          <w:szCs w:val="28"/>
          <w:rtl/>
        </w:rPr>
        <w:t xml:space="preserve">قرن 14 ه-</w:t>
      </w:r>
    </w:p>
    <w:p>
      <w:pPr>
        <w:pStyle w:val="BookText"/>
      </w:pPr>
      <w:r>
        <w:rPr>
          <w:rFonts w:ascii="Amiri" w:hAnsi="Amiri" w:eastAsia="Amiri" w:cs="Amiri"/>
          <w:lang w:bidi="ar-SA"/>
          <w:color w:val="111111"/>
          <w:sz w:val="28"/>
          <w:szCs w:val="28"/>
          <w:rtl/>
        </w:rPr>
        <w:t xml:space="preserve">1 .الآية الصريحة بشرح العقيدة</w:t>
      </w:r>
    </w:p>
    <w:p>
      <w:pPr>
        <w:pStyle w:val="BookText"/>
      </w:pPr>
      <w:r>
        <w:rPr>
          <w:rFonts w:ascii="Amiri" w:hAnsi="Amiri" w:eastAsia="Amiri" w:cs="Amiri"/>
          <w:lang w:bidi="ar-SA"/>
          <w:color w:val="111111"/>
          <w:sz w:val="28"/>
          <w:szCs w:val="28"/>
          <w:rtl/>
        </w:rPr>
        <w:t xml:space="preserve">الصحيحة، ج1، ص78.</w:t>
      </w:r>
    </w:p>
    <w:p>
      <w:pPr>
        <w:pStyle w:val="BookText"/>
      </w:pPr>
      <w:r>
        <w:rPr>
          <w:rFonts w:ascii="Amiri" w:hAnsi="Amiri" w:eastAsia="Amiri" w:cs="Amiri"/>
          <w:lang w:bidi="ar-SA"/>
          <w:color w:val="111111"/>
          <w:sz w:val="28"/>
          <w:szCs w:val="28"/>
          <w:rtl/>
        </w:rPr>
        <w:t xml:space="preserve">2 .التجويد (مختصر في)، ج 3، ص708.</w:t>
      </w:r>
    </w:p>
    <w:p>
      <w:pPr>
        <w:pStyle w:val="BookText"/>
      </w:pPr>
      <w:r>
        <w:rPr>
          <w:rFonts w:ascii="Amiri" w:hAnsi="Amiri" w:eastAsia="Amiri" w:cs="Amiri"/>
          <w:lang w:bidi="ar-SA"/>
          <w:color w:val="111111"/>
          <w:sz w:val="28"/>
          <w:szCs w:val="28"/>
          <w:rtl/>
        </w:rPr>
        <w:t xml:space="preserve">3 .الخطب النادرة في قرب الآخرة، ج7،</w:t>
      </w:r>
    </w:p>
    <w:p>
      <w:pPr>
        <w:pStyle w:val="BookText"/>
      </w:pPr>
      <w:r>
        <w:rPr>
          <w:rFonts w:ascii="IRNazanin" w:hAnsi="IRNazanin" w:eastAsia="IRNazanin" w:cs="IRNazanin"/>
          <w:lang w:bidi="fa-IR"/>
          <w:color w:val="111111"/>
          <w:sz w:val="28"/>
          <w:szCs w:val="28"/>
          <w:rtl/>
        </w:rPr>
        <w:t xml:space="preserve">ص 61 .</w:t>
      </w:r>
    </w:p>
    <w:p>
      <w:pPr>
        <w:pStyle w:val="BookText"/>
      </w:pPr>
      <w:r>
        <w:rPr>
          <w:rFonts w:ascii="Amiri" w:hAnsi="Amiri" w:eastAsia="Amiri" w:cs="Amiri"/>
          <w:lang w:bidi="ar-SA"/>
          <w:color w:val="111111"/>
          <w:sz w:val="28"/>
          <w:szCs w:val="28"/>
          <w:rtl/>
        </w:rPr>
        <w:t xml:space="preserve">4 .خلاصة التعاريف، ج 7، ص87.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53" w:name="pg7742_70980"/>
    <w:bookmarkEnd w:id="853"/>
    <w:p>
      <w:pPr>
        <w:pStyle w:val="BookText"/>
      </w:pPr>
      <w:r>
        <w:rPr>
          <w:rFonts w:ascii="Amiri" w:hAnsi="Amiri" w:eastAsia="Amiri" w:cs="Amiri"/>
          <w:lang w:bidi="ar-SA"/>
          <w:color w:val="111111"/>
          <w:sz w:val="28"/>
          <w:szCs w:val="28"/>
          <w:rtl/>
        </w:rPr>
        <w:t xml:space="preserve">5 .سبحة الأفكار الوافية في أحوال</w:t>
      </w:r>
    </w:p>
    <w:p>
      <w:pPr>
        <w:pStyle w:val="BookText"/>
      </w:pPr>
      <w:r>
        <w:rPr>
          <w:rFonts w:ascii="Amiri" w:hAnsi="Amiri" w:eastAsia="Amiri" w:cs="Amiri"/>
          <w:lang w:bidi="ar-SA"/>
          <w:color w:val="111111"/>
          <w:sz w:val="28"/>
          <w:szCs w:val="28"/>
          <w:rtl/>
        </w:rPr>
        <w:t xml:space="preserve">العروض والقافية، ج8، ص 696 .</w:t>
      </w:r>
    </w:p>
    <w:p>
      <w:pPr>
        <w:pStyle w:val="BookText"/>
      </w:pPr>
      <w:r>
        <w:rPr>
          <w:rFonts w:ascii="Amiri" w:hAnsi="Amiri" w:eastAsia="Amiri" w:cs="Amiri"/>
          <w:lang w:bidi="ar-SA"/>
          <w:color w:val="111111"/>
          <w:sz w:val="28"/>
          <w:szCs w:val="28"/>
          <w:rtl/>
        </w:rPr>
        <w:t xml:space="preserve">6 .سبحة القراء في التجويد و الاداء</w:t>
      </w:r>
    </w:p>
    <w:p>
      <w:pPr>
        <w:pStyle w:val="BookText"/>
      </w:pPr>
      <w:r>
        <w:rPr>
          <w:rFonts w:ascii="IRNazanin" w:hAnsi="IRNazanin" w:eastAsia="IRNazanin" w:cs="IRNazanin"/>
          <w:lang w:bidi="fa-IR"/>
          <w:color w:val="111111"/>
          <w:sz w:val="28"/>
          <w:szCs w:val="28"/>
          <w:rtl/>
        </w:rPr>
        <w:t xml:space="preserve">ج 8، ص 696 .</w:t>
      </w:r>
    </w:p>
    <w:p>
      <w:pPr>
        <w:pStyle w:val="BookText"/>
      </w:pPr>
      <w:r>
        <w:rPr>
          <w:rFonts w:ascii="Amiri" w:hAnsi="Amiri" w:eastAsia="Amiri" w:cs="Amiri"/>
          <w:lang w:bidi="ar-SA"/>
          <w:color w:val="111111"/>
          <w:sz w:val="28"/>
          <w:szCs w:val="28"/>
          <w:rtl/>
        </w:rPr>
        <w:t xml:space="preserve">7 .سبعة الابواب في التجويد، ج8،</w:t>
      </w:r>
    </w:p>
    <w:p>
      <w:pPr>
        <w:pStyle w:val="BookText"/>
      </w:pPr>
      <w:r>
        <w:rPr>
          <w:rFonts w:ascii="IRNazanin" w:hAnsi="IRNazanin" w:eastAsia="IRNazanin" w:cs="IRNazanin"/>
          <w:lang w:bidi="fa-IR"/>
          <w:color w:val="111111"/>
          <w:sz w:val="28"/>
          <w:szCs w:val="28"/>
          <w:rtl/>
        </w:rPr>
        <w:t xml:space="preserve">ص 698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العروة الوثقى لمن اراد إلى اوج</w:t>
      </w:r>
    </w:p>
    <w:p>
      <w:pPr>
        <w:pStyle w:val="BookText"/>
      </w:pPr>
      <w:r>
        <w:rPr>
          <w:rFonts w:ascii="Amiri" w:hAnsi="Amiri" w:eastAsia="Amiri" w:cs="Amiri"/>
          <w:lang w:bidi="ar-SA"/>
          <w:color w:val="111111"/>
          <w:sz w:val="28"/>
          <w:szCs w:val="28"/>
          <w:rtl/>
        </w:rPr>
        <w:t xml:space="preserve">السعادة يرقي، ج 11، ص 86.</w:t>
      </w:r>
    </w:p>
    <w:p>
      <w:pPr>
        <w:pStyle w:val="BookText"/>
      </w:pPr>
      <w:r>
        <w:rPr>
          <w:rFonts w:ascii="Amiri" w:hAnsi="Amiri" w:eastAsia="Amiri" w:cs="Amiri"/>
          <w:lang w:bidi="ar-SA"/>
          <w:color w:val="111111"/>
          <w:sz w:val="28"/>
          <w:szCs w:val="28"/>
          <w:rtl/>
        </w:rPr>
        <w:t xml:space="preserve">9 .العقيدة الرحمانية، ج 11، ص 202.</w:t>
      </w:r>
    </w:p>
    <w:p>
      <w:pPr>
        <w:pStyle w:val="BookText"/>
      </w:pPr>
      <w:r>
        <w:rPr>
          <w:rFonts w:ascii="Amiri" w:hAnsi="Amiri" w:eastAsia="Amiri" w:cs="Amiri"/>
          <w:lang w:bidi="ar-SA"/>
          <w:color w:val="111111"/>
          <w:sz w:val="28"/>
          <w:szCs w:val="28"/>
          <w:rtl/>
        </w:rPr>
        <w:t xml:space="preserve">10 .العقيدة الصحيحة، ج 11، ص203.</w:t>
      </w:r>
    </w:p>
    <w:p>
      <w:pPr>
        <w:pStyle w:val="BookText"/>
      </w:pPr>
      <w:r>
        <w:rPr>
          <w:rFonts w:ascii="Amiri" w:hAnsi="Amiri" w:eastAsia="Amiri" w:cs="Amiri"/>
          <w:lang w:bidi="ar-SA"/>
          <w:color w:val="111111"/>
          <w:sz w:val="28"/>
          <w:szCs w:val="28"/>
          <w:rtl/>
        </w:rPr>
        <w:t xml:space="preserve">11 .مكارم الاخلاق في طاعة الخلاق</w:t>
      </w:r>
    </w:p>
    <w:p>
      <w:pPr>
        <w:pStyle w:val="BookText"/>
      </w:pPr>
      <w:r>
        <w:rPr>
          <w:rFonts w:ascii="IRNazanin" w:hAnsi="IRNazanin" w:eastAsia="IRNazanin" w:cs="IRNazanin"/>
          <w:lang w:bidi="fa-IR"/>
          <w:color w:val="111111"/>
          <w:sz w:val="28"/>
          <w:szCs w:val="28"/>
          <w:rtl/>
        </w:rPr>
        <w:t xml:space="preserve">ج 15 ، ص 413.</w:t>
      </w:r>
    </w:p>
    <w:p>
      <w:pPr>
        <w:pStyle w:val="Heading2"/>
      </w:pPr>
      <w:bookmarkStart w:id="6394" w:name="_Toc5496"/>
      <w:r>
        <w:t>فضلي زبيدي ، محمّد علي، قرن 14 ه-</w:t>
      </w:r>
      <w:bookmarkEnd w:id="6394"/>
    </w:p>
    <w:p>
      <w:pPr>
        <w:pStyle w:val="BookText"/>
      </w:pPr>
      <w:r>
        <w:rPr>
          <w:rFonts w:ascii="Amiri" w:hAnsi="Amiri" w:eastAsia="Amiri" w:cs="Amiri"/>
          <w:lang w:bidi="ar-SA"/>
          <w:color w:val="111111"/>
          <w:sz w:val="28"/>
          <w:szCs w:val="28"/>
          <w:rtl/>
        </w:rPr>
        <w:t xml:space="preserve">1 .روض الأديب و أنس اللبيب، ج8،</w:t>
      </w:r>
    </w:p>
    <w:p>
      <w:pPr>
        <w:pStyle w:val="BookText"/>
      </w:pPr>
      <w:r>
        <w:rPr>
          <w:rFonts w:ascii="IRNazanin" w:hAnsi="IRNazanin" w:eastAsia="IRNazanin" w:cs="IRNazanin"/>
          <w:lang w:bidi="fa-IR"/>
          <w:color w:val="111111"/>
          <w:sz w:val="28"/>
          <w:szCs w:val="28"/>
          <w:rtl/>
        </w:rPr>
        <w:t xml:space="preserve">ص 396.</w:t>
      </w:r>
    </w:p>
    <w:p>
      <w:pPr>
        <w:pStyle w:val="BookText"/>
      </w:pPr>
      <w:r>
        <w:rPr>
          <w:rFonts w:ascii="IRNazanin" w:hAnsi="IRNazanin" w:eastAsia="IRNazanin" w:cs="IRNazanin"/>
          <w:lang w:bidi="fa-IR"/>
          <w:color w:val="111111"/>
          <w:sz w:val="28"/>
          <w:szCs w:val="28"/>
          <w:rtl/>
        </w:rPr>
        <w:t xml:space="preserve">2 .شقائق الأدب، ج 10، ص 394.</w:t>
      </w:r>
    </w:p>
    <w:p>
      <w:pPr>
        <w:pStyle w:val="Heading2"/>
      </w:pPr>
      <w:bookmarkStart w:id="6395" w:name="_Toc5497"/>
      <w:r>
        <w:t>فضلي شكادري ، محمّد بن حسين</w:t>
      </w:r>
      <w:bookmarkEnd w:id="6395"/>
    </w:p>
    <w:p>
      <w:pPr>
        <w:pStyle w:val="BookText"/>
      </w:pPr>
      <w:r>
        <w:rPr>
          <w:rFonts w:ascii="Amiri" w:hAnsi="Amiri" w:eastAsia="Amiri" w:cs="Amiri"/>
          <w:lang w:bidi="ar-SA"/>
          <w:color w:val="111111"/>
          <w:sz w:val="28"/>
          <w:szCs w:val="28"/>
          <w:rtl/>
        </w:rPr>
        <w:t xml:space="preserve">فهرس أسماء روات المصابيح، ج12،</w:t>
      </w:r>
    </w:p>
    <w:p>
      <w:pPr>
        <w:pStyle w:val="BookText"/>
      </w:pPr>
      <w:r>
        <w:rPr>
          <w:rFonts w:ascii="IRNazanin" w:hAnsi="IRNazanin" w:eastAsia="IRNazanin" w:cs="IRNazanin"/>
          <w:lang w:bidi="fa-IR"/>
          <w:color w:val="111111"/>
          <w:sz w:val="28"/>
          <w:szCs w:val="28"/>
          <w:rtl/>
        </w:rPr>
        <w:t xml:space="preserve">ص 142 .</w:t>
      </w:r>
    </w:p>
    <w:p>
      <w:pPr>
        <w:pStyle w:val="Heading2"/>
      </w:pPr>
      <w:bookmarkStart w:id="6396" w:name="_Toc5498"/>
      <w:r>
        <w:t>فضلي ، عبدالرزاق، قرن 14 ه-</w:t>
      </w:r>
      <w:bookmarkEnd w:id="6396"/>
    </w:p>
    <w:p>
      <w:pPr>
        <w:pStyle w:val="BookText"/>
      </w:pPr>
      <w:r>
        <w:rPr>
          <w:rFonts w:ascii="Amiri" w:hAnsi="Amiri" w:eastAsia="Amiri" w:cs="Amiri"/>
          <w:lang w:bidi="ar-SA"/>
          <w:color w:val="111111"/>
          <w:sz w:val="28"/>
          <w:szCs w:val="28"/>
          <w:rtl/>
        </w:rPr>
        <w:t xml:space="preserve">رسالة، ج 8، ص 157.</w:t>
      </w:r>
    </w:p>
    <w:p>
      <w:pPr>
        <w:pStyle w:val="Heading2"/>
      </w:pPr>
      <w:bookmarkStart w:id="6397" w:name="_Toc5499"/>
      <w:r>
        <w:t>فضلي ، عبدالصاحب، قرن 14 ه-</w:t>
      </w:r>
      <w:bookmarkEnd w:id="6397"/>
    </w:p>
    <w:p>
      <w:pPr>
        <w:pStyle w:val="BookText"/>
      </w:pPr>
      <w:r>
        <w:rPr>
          <w:rFonts w:ascii="Amiri" w:hAnsi="Amiri" w:eastAsia="Amiri" w:cs="Amiri"/>
          <w:lang w:bidi="ar-SA"/>
          <w:color w:val="111111"/>
          <w:sz w:val="28"/>
          <w:szCs w:val="28"/>
          <w:rtl/>
        </w:rPr>
        <w:t xml:space="preserve">مكتوبات بين عبد الصاحب الفضلي و</w:t>
      </w:r>
    </w:p>
    <w:p>
      <w:pPr>
        <w:pStyle w:val="BookText"/>
      </w:pPr>
      <w:r>
        <w:rPr>
          <w:rFonts w:ascii="Amiri" w:hAnsi="Amiri" w:eastAsia="Amiri" w:cs="Amiri"/>
          <w:lang w:bidi="ar-SA"/>
          <w:color w:val="111111"/>
          <w:sz w:val="28"/>
          <w:szCs w:val="28"/>
          <w:rtl/>
        </w:rPr>
        <w:t xml:space="preserve">بعض الاكابر، ج 15 ، ص 421 .</w:t>
      </w:r>
    </w:p>
    <w:p>
      <w:pPr>
        <w:pStyle w:val="Heading2"/>
      </w:pPr>
      <w:bookmarkStart w:id="6398" w:name="_Toc5500"/>
      <w:r>
        <w:t>فضلي ، عبدالهادي، 1934 م</w:t>
      </w:r>
      <w:bookmarkEnd w:id="6398"/>
    </w:p>
    <w:p>
      <w:pPr>
        <w:pStyle w:val="BookText"/>
      </w:pPr>
      <w:r>
        <w:rPr>
          <w:rFonts w:ascii="Amiri" w:hAnsi="Amiri" w:eastAsia="Amiri" w:cs="Amiri"/>
          <w:lang w:bidi="ar-SA"/>
          <w:color w:val="111111"/>
          <w:sz w:val="28"/>
          <w:szCs w:val="28"/>
          <w:rtl/>
        </w:rPr>
        <w:t xml:space="preserve">خلاصة المنطق، ج 7، ص138.</w:t>
      </w:r>
    </w:p>
    <w:p>
      <w:pPr>
        <w:pStyle w:val="Heading2"/>
      </w:pPr>
      <w:bookmarkStart w:id="6399" w:name="_Toc5501"/>
      <w:r>
        <w:t>فضولي بغدادي ، محمّد بن سلیمان، 913؟ 976؟ه-</w:t>
      </w:r>
      <w:bookmarkEnd w:id="6399"/>
    </w:p>
    <w:p>
      <w:pPr>
        <w:pStyle w:val="BookText"/>
      </w:pPr>
      <w:r>
        <w:rPr>
          <w:rFonts w:ascii="Amiri" w:hAnsi="Amiri" w:eastAsia="Amiri" w:cs="Amiri"/>
          <w:lang w:bidi="ar-SA"/>
          <w:color w:val="111111"/>
          <w:sz w:val="28"/>
          <w:szCs w:val="28"/>
          <w:rtl/>
        </w:rPr>
        <w:t xml:space="preserve">1 .حديقة السعداء = ترجمه روضة</w:t>
      </w:r>
    </w:p>
    <w:p>
      <w:pPr>
        <w:pStyle w:val="BookText"/>
      </w:pPr>
      <w:r>
        <w:rPr>
          <w:rFonts w:ascii="IRNazanin" w:hAnsi="IRNazanin" w:eastAsia="IRNazanin" w:cs="IRNazanin"/>
          <w:lang w:bidi="fa-IR"/>
          <w:color w:val="111111"/>
          <w:sz w:val="28"/>
          <w:szCs w:val="28"/>
          <w:rtl/>
        </w:rPr>
        <w:t xml:space="preserve">الشهداء، ج 6، ص 588.</w:t>
      </w:r>
    </w:p>
    <w:p>
      <w:pPr>
        <w:pStyle w:val="BookText"/>
      </w:pPr>
      <w:r>
        <w:rPr>
          <w:rFonts w:ascii="Amiri" w:hAnsi="Amiri" w:eastAsia="Amiri" w:cs="Amiri"/>
          <w:lang w:bidi="ar-SA"/>
          <w:color w:val="111111"/>
          <w:sz w:val="28"/>
          <w:szCs w:val="28"/>
          <w:rtl/>
        </w:rPr>
        <w:t xml:space="preserve">2 .ديوان فضولي بغدادي، ج7، ص734.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روح و بدن = صحت و مرض =</w:t>
      </w:r>
    </w:p>
    <w:p>
      <w:pPr>
        <w:pStyle w:val="BookText"/>
      </w:pPr>
      <w:r>
        <w:rPr>
          <w:rFonts w:ascii="IRNazanin" w:hAnsi="IRNazanin" w:eastAsia="IRNazanin" w:cs="IRNazanin"/>
          <w:lang w:bidi="fa-IR"/>
          <w:color w:val="111111"/>
          <w:sz w:val="28"/>
          <w:szCs w:val="28"/>
          <w:rtl/>
        </w:rPr>
        <w:t xml:space="preserve">حسن و عشق، ج8، ص387</w:t>
      </w:r>
    </w:p>
    <w:p>
      <w:pPr>
        <w:pStyle w:val="BookText"/>
      </w:pPr>
      <w:r>
        <w:rPr>
          <w:rFonts w:ascii="Amiri" w:hAnsi="Amiri" w:eastAsia="Amiri" w:cs="Amiri"/>
          <w:lang w:bidi="ar-SA"/>
          <w:color w:val="111111"/>
          <w:sz w:val="28"/>
          <w:szCs w:val="28"/>
          <w:rtl/>
        </w:rPr>
        <w:t xml:space="preserve">فضيل بن علي جمالي بكري -جمالي ،</w:t>
      </w:r>
    </w:p>
    <w:p>
      <w:pPr>
        <w:pStyle w:val="BookText"/>
      </w:pPr>
      <w:r>
        <w:rPr>
          <w:rFonts w:ascii="Amiri" w:hAnsi="Amiri" w:eastAsia="Amiri" w:cs="Amiri"/>
          <w:lang w:bidi="ar-SA"/>
          <w:color w:val="111111"/>
          <w:sz w:val="28"/>
          <w:szCs w:val="28"/>
          <w:rtl/>
        </w:rPr>
        <w:t xml:space="preserve">فضيل بن علي</w:t>
      </w:r>
    </w:p>
    <w:p>
      <w:pPr>
        <w:pStyle w:val="BookText"/>
      </w:pPr>
      <w:r>
        <w:rPr>
          <w:rFonts w:ascii="Amiri" w:hAnsi="Amiri" w:eastAsia="Amiri" w:cs="Amiri"/>
          <w:lang w:bidi="ar-SA"/>
          <w:color w:val="111111"/>
          <w:sz w:val="28"/>
          <w:szCs w:val="28"/>
          <w:rtl/>
        </w:rPr>
        <w:t xml:space="preserve">فغاني شيرازي- بابا فغاني شيرازي</w:t>
      </w:r>
    </w:p>
    <w:p>
      <w:pPr>
        <w:pStyle w:val="BookText"/>
      </w:pPr>
      <w:r>
        <w:rPr>
          <w:rFonts w:ascii="Amiri" w:hAnsi="Amiri" w:eastAsia="Amiri" w:cs="Amiri"/>
          <w:lang w:bidi="ar-SA"/>
          <w:color w:val="111111"/>
          <w:sz w:val="28"/>
          <w:szCs w:val="28"/>
          <w:rtl/>
        </w:rPr>
        <w:t xml:space="preserve">فقروي، اسماعيل بن احمد- انقروي ،</w:t>
      </w:r>
    </w:p>
    <w:p>
      <w:pPr>
        <w:pStyle w:val="BookText"/>
      </w:pPr>
      <w:r>
        <w:rPr>
          <w:rFonts w:ascii="Amiri" w:hAnsi="Amiri" w:eastAsia="Amiri" w:cs="Amiri"/>
          <w:lang w:bidi="ar-SA"/>
          <w:color w:val="111111"/>
          <w:sz w:val="28"/>
          <w:szCs w:val="28"/>
          <w:rtl/>
        </w:rPr>
        <w:t xml:space="preserve">اسماعيل بن احمد</w:t>
      </w:r>
    </w:p>
    <w:p>
      <w:pPr>
        <w:pStyle w:val="BookText"/>
      </w:pPr>
      <w:r>
        <w:rPr>
          <w:rFonts w:ascii="Amiri" w:hAnsi="Amiri" w:eastAsia="Amiri" w:cs="Amiri"/>
          <w:lang w:bidi="ar-SA"/>
          <w:color w:val="111111"/>
          <w:sz w:val="28"/>
          <w:szCs w:val="28"/>
          <w:rtl/>
        </w:rPr>
        <w:t xml:space="preserve">فقعاني ، علي بن علي -ابن طي ، علي بن</w:t>
      </w:r>
    </w:p>
    <w:p>
      <w:pPr>
        <w:pStyle w:val="BookText"/>
      </w:pPr>
      <w:r>
        <w:rPr>
          <w:rFonts w:ascii="Amiri" w:hAnsi="Amiri" w:eastAsia="Amiri" w:cs="Amiri"/>
          <w:lang w:bidi="ar-SA"/>
          <w:color w:val="111111"/>
          <w:sz w:val="28"/>
          <w:szCs w:val="28"/>
          <w:rtl/>
        </w:rPr>
        <w:t xml:space="preserve">علي</w:t>
      </w:r>
    </w:p>
    <w:p>
      <w:pPr>
        <w:pStyle w:val="Heading2"/>
      </w:pPr>
      <w:bookmarkStart w:id="6400" w:name="_Toc5502"/>
      <w:r>
        <w:t>فقهي عيني ، محمّد بن عبدالله - 1147ه-</w:t>
      </w:r>
      <w:bookmarkEnd w:id="6400"/>
    </w:p>
    <w:p>
      <w:pPr>
        <w:pStyle w:val="BookText"/>
      </w:pPr>
      <w:r>
        <w:rPr>
          <w:rFonts w:ascii="Amiri" w:hAnsi="Amiri" w:eastAsia="Amiri" w:cs="Amiri"/>
          <w:lang w:bidi="ar-SA"/>
          <w:color w:val="111111"/>
          <w:sz w:val="28"/>
          <w:szCs w:val="28"/>
          <w:rtl/>
        </w:rPr>
        <w:t xml:space="preserve">1 .بهجة الفتاوى، ج 3، ص 422.</w:t>
      </w:r>
    </w:p>
    <w:p>
      <w:pPr>
        <w:pStyle w:val="BookText"/>
      </w:pPr>
      <w:r>
        <w:rPr>
          <w:rFonts w:ascii="Amiri" w:hAnsi="Amiri" w:eastAsia="Amiri" w:cs="Amiri"/>
          <w:lang w:bidi="ar-SA"/>
          <w:color w:val="111111"/>
          <w:sz w:val="28"/>
          <w:szCs w:val="28"/>
          <w:rtl/>
        </w:rPr>
        <w:t xml:space="preserve">2 .فيض الحي في احكام الكي، ج 12،</w:t>
      </w:r>
    </w:p>
    <w:p>
      <w:pPr>
        <w:pStyle w:val="BookText"/>
      </w:pPr>
      <w:r>
        <w:rPr>
          <w:rFonts w:ascii="IRNazanin" w:hAnsi="IRNazanin" w:eastAsia="IRNazanin" w:cs="IRNazanin"/>
          <w:lang w:bidi="fa-IR"/>
          <w:color w:val="111111"/>
          <w:sz w:val="28"/>
          <w:szCs w:val="28"/>
          <w:rtl/>
        </w:rPr>
        <w:t xml:space="preserve">ص308.</w:t>
      </w:r>
    </w:p>
    <w:p>
      <w:pPr>
        <w:pStyle w:val="Heading2"/>
      </w:pPr>
      <w:bookmarkStart w:id="6401" w:name="_Toc5503"/>
      <w:r>
        <w:t>فقیر دهلوي ، مير شمس الدين، 1115 -</w:t>
      </w:r>
      <w:bookmarkEnd w:id="6401"/>
    </w:p>
    <w:p>
      <w:pPr>
        <w:pStyle w:val="BookText"/>
      </w:pPr>
      <w:r>
        <w:rPr>
          <w:rFonts w:ascii="IRNazanin" w:hAnsi="IRNazanin" w:eastAsia="IRNazanin" w:cs="IRNazanin"/>
          <w:lang w:bidi="fa-IR"/>
          <w:color w:val="111111"/>
          <w:sz w:val="28"/>
          <w:szCs w:val="28"/>
          <w:rtl/>
        </w:rPr>
        <w:t xml:space="preserve">1183 ه-</w:t>
      </w:r>
    </w:p>
    <w:p>
      <w:pPr>
        <w:pStyle w:val="BookText"/>
      </w:pPr>
      <w:r>
        <w:rPr>
          <w:rFonts w:ascii="Amiri" w:hAnsi="Amiri" w:eastAsia="Amiri" w:cs="Amiri"/>
          <w:lang w:bidi="ar-SA"/>
          <w:color w:val="111111"/>
          <w:sz w:val="28"/>
          <w:szCs w:val="28"/>
          <w:rtl/>
        </w:rPr>
        <w:t xml:space="preserve">1 .حدائق البلاغة، ج 6، ص 511</w:t>
      </w:r>
    </w:p>
    <w:p>
      <w:pPr>
        <w:pStyle w:val="BookText"/>
      </w:pPr>
      <w:r>
        <w:rPr>
          <w:rFonts w:ascii="Amiri" w:hAnsi="Amiri" w:eastAsia="Amiri" w:cs="Amiri"/>
          <w:lang w:bidi="ar-SA"/>
          <w:color w:val="111111"/>
          <w:sz w:val="28"/>
          <w:szCs w:val="28"/>
          <w:rtl/>
        </w:rPr>
        <w:t xml:space="preserve">2 .الوافية في علم العروض والقافية</w:t>
      </w:r>
    </w:p>
    <w:p>
      <w:pPr>
        <w:pStyle w:val="BookText"/>
      </w:pPr>
      <w:r>
        <w:rPr>
          <w:rFonts w:ascii="IRNazanin" w:hAnsi="IRNazanin" w:eastAsia="IRNazanin" w:cs="IRNazanin"/>
          <w:lang w:bidi="fa-IR"/>
          <w:color w:val="111111"/>
          <w:sz w:val="28"/>
          <w:szCs w:val="28"/>
          <w:rtl/>
        </w:rPr>
        <w:t xml:space="preserve">ج 16، ص 714.</w:t>
      </w:r>
    </w:p>
    <w:p>
      <w:pPr>
        <w:pStyle w:val="BookText"/>
      </w:pPr>
      <w:r>
        <w:rPr>
          <w:rFonts w:ascii="Amiri" w:hAnsi="Amiri" w:eastAsia="Amiri" w:cs="Amiri"/>
          <w:lang w:bidi="ar-SA"/>
          <w:color w:val="111111"/>
          <w:sz w:val="28"/>
          <w:szCs w:val="28"/>
          <w:rtl/>
        </w:rPr>
        <w:t xml:space="preserve">فقير شوشتري- جزايري ، عبد الله بن</w:t>
      </w:r>
    </w:p>
    <w:p>
      <w:pPr>
        <w:pStyle w:val="BookText"/>
      </w:pPr>
      <w:r>
        <w:rPr>
          <w:rFonts w:ascii="IRNazanin" w:hAnsi="IRNazanin" w:eastAsia="IRNazanin" w:cs="IRNazanin"/>
          <w:lang w:bidi="fa-IR"/>
          <w:color w:val="111111"/>
          <w:sz w:val="28"/>
          <w:szCs w:val="28"/>
          <w:rtl/>
        </w:rPr>
        <w:t xml:space="preserve">نورالدین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54" w:name="pg7742_70982"/>
    <w:bookmarkEnd w:id="854"/>
    <w:p>
      <w:pPr>
        <w:pStyle w:val="Heading2"/>
      </w:pPr>
      <w:bookmarkStart w:id="6402" w:name="_Toc5504"/>
      <w:r>
        <w:t>فقير ، محمّد بن عبدالله</w:t>
      </w:r>
      <w:bookmarkEnd w:id="6402"/>
    </w:p>
    <w:p>
      <w:pPr>
        <w:pStyle w:val="BookText"/>
      </w:pPr>
      <w:r>
        <w:rPr>
          <w:rFonts w:ascii="Amiri" w:hAnsi="Amiri" w:eastAsia="Amiri" w:cs="Amiri"/>
          <w:lang w:bidi="ar-SA"/>
          <w:color w:val="111111"/>
          <w:sz w:val="28"/>
          <w:szCs w:val="28"/>
          <w:rtl/>
        </w:rPr>
        <w:t xml:space="preserve">سير العابدين و صفات المطيعين و</w:t>
      </w:r>
    </w:p>
    <w:p>
      <w:pPr>
        <w:pStyle w:val="BookText"/>
      </w:pPr>
      <w:r>
        <w:rPr>
          <w:rFonts w:ascii="IRNazanin" w:hAnsi="IRNazanin" w:eastAsia="IRNazanin" w:cs="IRNazanin"/>
          <w:lang w:bidi="fa-IR"/>
          <w:color w:val="111111"/>
          <w:sz w:val="28"/>
          <w:szCs w:val="28"/>
          <w:rtl/>
        </w:rPr>
        <w:t xml:space="preserve">آدابهم و رقیق، ج9، ص27.</w:t>
      </w:r>
    </w:p>
    <w:p>
      <w:pPr>
        <w:pStyle w:val="BookText"/>
      </w:pPr>
      <w:r>
        <w:rPr>
          <w:rFonts w:ascii="Amiri" w:hAnsi="Amiri" w:eastAsia="Amiri" w:cs="Amiri"/>
          <w:lang w:bidi="ar-SA"/>
          <w:color w:val="111111"/>
          <w:sz w:val="28"/>
          <w:szCs w:val="28"/>
          <w:rtl/>
        </w:rPr>
        <w:t xml:space="preserve">فقيه كاظمي ، قاسم بن محمّد جواد- ابن</w:t>
      </w:r>
    </w:p>
    <w:p>
      <w:pPr>
        <w:pStyle w:val="BookText"/>
      </w:pPr>
      <w:r>
        <w:rPr>
          <w:rFonts w:ascii="Amiri" w:hAnsi="Amiri" w:eastAsia="Amiri" w:cs="Amiri"/>
          <w:lang w:bidi="ar-SA"/>
          <w:color w:val="111111"/>
          <w:sz w:val="28"/>
          <w:szCs w:val="28"/>
          <w:rtl/>
        </w:rPr>
        <w:t xml:space="preserve">الوندي، قاسم بن محمّد</w:t>
      </w:r>
    </w:p>
    <w:p>
      <w:pPr>
        <w:pStyle w:val="BookText"/>
      </w:pPr>
      <w:r>
        <w:rPr>
          <w:rFonts w:ascii="Amiri" w:hAnsi="Amiri" w:eastAsia="Amiri" w:cs="Amiri"/>
          <w:lang w:bidi="ar-SA"/>
          <w:color w:val="111111"/>
          <w:sz w:val="28"/>
          <w:szCs w:val="28"/>
          <w:rtl/>
        </w:rPr>
        <w:t xml:space="preserve">فقيه كرماني - عماد فقيه ، علي بن محمود</w:t>
      </w:r>
    </w:p>
    <w:p>
      <w:pPr>
        <w:pStyle w:val="Heading2"/>
      </w:pPr>
      <w:bookmarkStart w:id="6403" w:name="_Toc5505"/>
      <w:r>
        <w:t>فقیه ، محمّد قاسم بن محمّد</w:t>
      </w:r>
      <w:bookmarkEnd w:id="6403"/>
    </w:p>
    <w:p>
      <w:pPr>
        <w:pStyle w:val="BookText"/>
      </w:pPr>
      <w:r>
        <w:rPr>
          <w:rFonts w:ascii="Amiri" w:hAnsi="Amiri" w:eastAsia="Amiri" w:cs="Amiri"/>
          <w:lang w:bidi="ar-SA"/>
          <w:color w:val="111111"/>
          <w:sz w:val="28"/>
          <w:szCs w:val="28"/>
          <w:rtl/>
        </w:rPr>
        <w:t xml:space="preserve">شرح البداية في الدراسة، ج 9، ص278.</w:t>
      </w:r>
    </w:p>
    <w:p>
      <w:pPr>
        <w:pStyle w:val="Heading2"/>
      </w:pPr>
      <w:bookmarkStart w:id="6404" w:name="_Toc5506"/>
      <w:r>
        <w:t>فقيه يماني ، حميد بن احمد - 652 ه-</w:t>
      </w:r>
      <w:bookmarkEnd w:id="6404"/>
    </w:p>
    <w:p>
      <w:pPr>
        <w:pStyle w:val="BookText"/>
      </w:pPr>
      <w:r>
        <w:rPr>
          <w:rFonts w:ascii="Amiri" w:hAnsi="Amiri" w:eastAsia="Amiri" w:cs="Amiri"/>
          <w:lang w:bidi="ar-SA"/>
          <w:color w:val="111111"/>
          <w:sz w:val="28"/>
          <w:szCs w:val="28"/>
          <w:rtl/>
        </w:rPr>
        <w:t xml:space="preserve">1 .الحدائق الوردية في مناقب و تراجم ائمة الزيدية، ج 6، ص 540.</w:t>
      </w:r>
    </w:p>
    <w:p>
      <w:pPr>
        <w:pStyle w:val="BookText"/>
      </w:pPr>
      <w:r>
        <w:rPr>
          <w:rFonts w:ascii="Amiri" w:hAnsi="Amiri" w:eastAsia="Amiri" w:cs="Amiri"/>
          <w:lang w:bidi="ar-SA"/>
          <w:color w:val="111111"/>
          <w:sz w:val="28"/>
          <w:szCs w:val="28"/>
          <w:rtl/>
        </w:rPr>
        <w:t xml:space="preserve">2 .نصيحة الولاة الهادية إلى النجاة</w:t>
      </w:r>
    </w:p>
    <w:p>
      <w:pPr>
        <w:pStyle w:val="BookText"/>
      </w:pPr>
      <w:r>
        <w:rPr>
          <w:rFonts w:ascii="IRNazanin" w:hAnsi="IRNazanin" w:eastAsia="IRNazanin" w:cs="IRNazanin"/>
          <w:lang w:bidi="fa-IR"/>
          <w:color w:val="111111"/>
          <w:sz w:val="28"/>
          <w:szCs w:val="28"/>
          <w:rtl/>
        </w:rPr>
        <w:t xml:space="preserve">ج 16، ص 317.</w:t>
      </w:r>
    </w:p>
    <w:p>
      <w:pPr>
        <w:pStyle w:val="Heading2"/>
      </w:pPr>
      <w:bookmarkStart w:id="6405" w:name="_Toc5507"/>
      <w:r>
        <w:t>فلاني ، صالح بن محمّد - 1218 ه-</w:t>
      </w:r>
      <w:bookmarkEnd w:id="6405"/>
    </w:p>
    <w:p>
      <w:pPr>
        <w:pStyle w:val="BookText"/>
      </w:pPr>
      <w:r>
        <w:rPr>
          <w:rFonts w:ascii="Amiri" w:hAnsi="Amiri" w:eastAsia="Amiri" w:cs="Amiri"/>
          <w:lang w:bidi="ar-SA"/>
          <w:color w:val="111111"/>
          <w:sz w:val="28"/>
          <w:szCs w:val="28"/>
          <w:rtl/>
        </w:rPr>
        <w:t xml:space="preserve">1 .الاجوبة المعربة، ج 1، ص383.</w:t>
      </w:r>
    </w:p>
    <w:p>
      <w:pPr>
        <w:pStyle w:val="Heading2"/>
      </w:pPr>
      <w:bookmarkStart w:id="6406" w:name="_Toc5508"/>
      <w:r>
        <w:t>فلاورجاني، محمّد زمان بن عزیز الله</w:t>
      </w:r>
      <w:bookmarkEnd w:id="64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الصلاة مواعظ الجاهلين (رسالة</w:t>
      </w:r>
    </w:p>
    <w:p>
      <w:pPr>
        <w:pStyle w:val="BookText"/>
      </w:pPr>
      <w:r>
        <w:rPr>
          <w:rFonts w:ascii="Amiri" w:hAnsi="Amiri" w:eastAsia="Amiri" w:cs="Amiri"/>
          <w:lang w:bidi="ar-SA"/>
          <w:color w:val="111111"/>
          <w:sz w:val="28"/>
          <w:szCs w:val="28"/>
          <w:rtl/>
        </w:rPr>
        <w:t xml:space="preserve">في)، ج 10، ص 617.</w:t>
      </w:r>
    </w:p>
    <w:p>
      <w:pPr>
        <w:pStyle w:val="BookText"/>
      </w:pPr>
      <w:r>
        <w:rPr>
          <w:rFonts w:ascii="Amiri" w:hAnsi="Amiri" w:eastAsia="Amiri" w:cs="Amiri"/>
          <w:lang w:bidi="ar-SA"/>
          <w:color w:val="111111"/>
          <w:sz w:val="28"/>
          <w:szCs w:val="28"/>
          <w:rtl/>
        </w:rPr>
        <w:t xml:space="preserve">2 .مواعظ الجاهلين، ج 15 ، ص 870.</w:t>
      </w:r>
    </w:p>
    <w:p>
      <w:pPr>
        <w:pStyle w:val="BookText"/>
      </w:pPr>
      <w:r>
        <w:rPr>
          <w:rFonts w:ascii="Amiri" w:hAnsi="Amiri" w:eastAsia="Amiri" w:cs="Amiri"/>
          <w:lang w:bidi="ar-SA"/>
          <w:color w:val="111111"/>
          <w:sz w:val="28"/>
          <w:szCs w:val="28"/>
          <w:rtl/>
        </w:rPr>
        <w:t xml:space="preserve">فلجاء -عنترة بن شداد</w:t>
      </w:r>
    </w:p>
    <w:p>
      <w:pPr>
        <w:pStyle w:val="BookText"/>
      </w:pPr>
      <w:r>
        <w:rPr>
          <w:rFonts w:ascii="Amiri" w:hAnsi="Amiri" w:eastAsia="Amiri" w:cs="Amiri"/>
          <w:lang w:bidi="ar-SA"/>
          <w:color w:val="111111"/>
          <w:sz w:val="28"/>
          <w:szCs w:val="28"/>
          <w:rtl/>
        </w:rPr>
        <w:t xml:space="preserve">فلك علاي تبريزي، عبد الله بن علي قرن 8ه-</w:t>
      </w:r>
    </w:p>
    <w:p>
      <w:pPr>
        <w:pStyle w:val="BookText"/>
      </w:pPr>
      <w:r>
        <w:rPr>
          <w:rFonts w:ascii="Amiri" w:hAnsi="Amiri" w:eastAsia="Amiri" w:cs="Amiri"/>
          <w:lang w:bidi="ar-SA"/>
          <w:color w:val="111111"/>
          <w:sz w:val="28"/>
          <w:szCs w:val="28"/>
          <w:rtl/>
        </w:rPr>
        <w:t xml:space="preserve">الهادية إلى حل الكافية لابن الحاجب</w:t>
      </w:r>
    </w:p>
    <w:p>
      <w:pPr>
        <w:pStyle w:val="BookText"/>
      </w:pPr>
      <w:r>
        <w:rPr>
          <w:rFonts w:ascii="IRNazanin" w:hAnsi="IRNazanin" w:eastAsia="IRNazanin" w:cs="IRNazanin"/>
          <w:lang w:bidi="fa-IR"/>
          <w:color w:val="111111"/>
          <w:sz w:val="28"/>
          <w:szCs w:val="28"/>
          <w:rtl/>
        </w:rPr>
        <w:t xml:space="preserve">ج 16، ص 585 .</w:t>
      </w:r>
    </w:p>
    <w:p>
      <w:pPr>
        <w:pStyle w:val="BookText"/>
      </w:pPr>
      <w:r>
        <w:rPr>
          <w:rFonts w:ascii="Amiri" w:hAnsi="Amiri" w:eastAsia="Amiri" w:cs="Amiri"/>
          <w:lang w:bidi="ar-SA"/>
          <w:color w:val="111111"/>
          <w:sz w:val="28"/>
          <w:szCs w:val="28"/>
          <w:rtl/>
        </w:rPr>
        <w:t xml:space="preserve">فلكي ، ابو معشر -ابو معشر فلكي ، جعفر</w:t>
      </w:r>
    </w:p>
    <w:p>
      <w:pPr>
        <w:pStyle w:val="BookText"/>
      </w:pPr>
      <w:r>
        <w:rPr>
          <w:rFonts w:ascii="Amiri" w:hAnsi="Amiri" w:eastAsia="Amiri" w:cs="Amiri"/>
          <w:lang w:bidi="ar-SA"/>
          <w:color w:val="111111"/>
          <w:sz w:val="28"/>
          <w:szCs w:val="28"/>
          <w:rtl/>
        </w:rPr>
        <w:t xml:space="preserve">بن محمّد</w:t>
      </w:r>
    </w:p>
    <w:p>
      <w:pPr>
        <w:pStyle w:val="Heading2"/>
      </w:pPr>
      <w:bookmarkStart w:id="6407" w:name="_Toc5509"/>
      <w:r>
        <w:t>فلكي ، علي بن احمد</w:t>
      </w:r>
      <w:bookmarkEnd w:id="6407"/>
    </w:p>
    <w:p>
      <w:pPr>
        <w:pStyle w:val="BookText"/>
      </w:pPr>
      <w:r>
        <w:rPr>
          <w:rFonts w:ascii="Amiri" w:hAnsi="Amiri" w:eastAsia="Amiri" w:cs="Amiri"/>
          <w:lang w:bidi="ar-SA"/>
          <w:color w:val="111111"/>
          <w:sz w:val="28"/>
          <w:szCs w:val="28"/>
          <w:rtl/>
        </w:rPr>
        <w:t xml:space="preserve">غرائب الفنون و ملح العيون و نزهة العشاق للطالب المشتاق، ج11،</w:t>
      </w:r>
    </w:p>
    <w:p>
      <w:pPr>
        <w:pStyle w:val="BookText"/>
      </w:pPr>
      <w:r>
        <w:rPr>
          <w:rFonts w:ascii="IRNazanin" w:hAnsi="IRNazanin" w:eastAsia="IRNazanin" w:cs="IRNazanin"/>
          <w:lang w:bidi="fa-IR"/>
          <w:color w:val="111111"/>
          <w:sz w:val="28"/>
          <w:szCs w:val="28"/>
          <w:rtl/>
        </w:rPr>
        <w:t xml:space="preserve">ص 466 .</w:t>
      </w:r>
    </w:p>
    <w:p>
      <w:pPr>
        <w:pStyle w:val="Heading2"/>
      </w:pPr>
      <w:bookmarkStart w:id="6408" w:name="_Toc5510"/>
      <w:r>
        <w:t>فلمنكي ، يوهان شلیمر قرن 13 ه-</w:t>
      </w:r>
      <w:bookmarkEnd w:id="6408"/>
    </w:p>
    <w:p>
      <w:pPr>
        <w:pStyle w:val="BookText"/>
      </w:pPr>
      <w:r>
        <w:rPr>
          <w:rFonts w:ascii="Amiri" w:hAnsi="Amiri" w:eastAsia="Amiri" w:cs="Amiri"/>
          <w:lang w:bidi="ar-SA"/>
          <w:color w:val="111111"/>
          <w:sz w:val="28"/>
          <w:szCs w:val="28"/>
          <w:rtl/>
        </w:rPr>
        <w:t xml:space="preserve">1 .زينة الابدان، ج8، ص 660.</w:t>
      </w:r>
    </w:p>
    <w:p>
      <w:pPr>
        <w:pStyle w:val="BookText"/>
      </w:pPr>
      <w:r>
        <w:rPr>
          <w:rFonts w:ascii="Amiri" w:hAnsi="Amiri" w:eastAsia="Amiri" w:cs="Amiri"/>
          <w:lang w:bidi="ar-SA"/>
          <w:color w:val="111111"/>
          <w:sz w:val="28"/>
          <w:szCs w:val="28"/>
          <w:rtl/>
        </w:rPr>
        <w:t xml:space="preserve">2 .سر الحكمة، ج8، ص 752.</w:t>
      </w:r>
    </w:p>
    <w:p>
      <w:pPr>
        <w:pStyle w:val="BookText"/>
      </w:pPr>
      <w:r>
        <w:rPr>
          <w:rFonts w:ascii="IRNazanin" w:hAnsi="IRNazanin" w:eastAsia="IRNazanin" w:cs="IRNazanin"/>
          <w:lang w:bidi="fa-IR"/>
          <w:color w:val="111111"/>
          <w:sz w:val="28"/>
          <w:szCs w:val="28"/>
          <w:rtl/>
        </w:rPr>
        <w:t xml:space="preserve">3 .شفائیه پاتولوژي، ج 10، ص392.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قرابادین، ج 12، ص 554</w:t>
      </w:r>
    </w:p>
    <w:p>
      <w:pPr>
        <w:pStyle w:val="Heading2"/>
      </w:pPr>
      <w:bookmarkStart w:id="6409" w:name="_Toc5511"/>
      <w:r>
        <w:t>فلوطين، 9204 - 270م</w:t>
      </w:r>
      <w:bookmarkEnd w:id="6409"/>
    </w:p>
    <w:p>
      <w:pPr>
        <w:pStyle w:val="BookText"/>
      </w:pPr>
      <w:r>
        <w:rPr>
          <w:rFonts w:ascii="Amiri" w:hAnsi="Amiri" w:eastAsia="Amiri" w:cs="Amiri"/>
          <w:lang w:bidi="ar-SA"/>
          <w:color w:val="111111"/>
          <w:sz w:val="28"/>
          <w:szCs w:val="28"/>
          <w:rtl/>
        </w:rPr>
        <w:t xml:space="preserve">اثولوجيا = ميامر، ج 1، ص 194.</w:t>
      </w:r>
    </w:p>
    <w:p>
      <w:pPr>
        <w:pStyle w:val="Heading2"/>
      </w:pPr>
      <w:bookmarkStart w:id="6410" w:name="_Toc5512"/>
      <w:r>
        <w:t>فنائي اصفهاني ، علي، - 1350 ه-</w:t>
      </w:r>
      <w:bookmarkEnd w:id="6410"/>
    </w:p>
    <w:p>
      <w:pPr>
        <w:pStyle w:val="BookText"/>
      </w:pPr>
      <w:r>
        <w:rPr>
          <w:rFonts w:ascii="IRNazanin" w:hAnsi="IRNazanin" w:eastAsia="IRNazanin" w:cs="IRNazanin"/>
          <w:lang w:bidi="fa-IR"/>
          <w:color w:val="111111"/>
          <w:sz w:val="28"/>
          <w:szCs w:val="28"/>
          <w:rtl/>
        </w:rPr>
        <w:t xml:space="preserve">دیوان فنائي، ج7، ص 735.</w:t>
      </w:r>
    </w:p>
    <w:p>
      <w:pPr>
        <w:pStyle w:val="BookText"/>
      </w:pPr>
      <w:r>
        <w:rPr>
          <w:rFonts w:ascii="IRNazanin" w:hAnsi="IRNazanin" w:eastAsia="IRNazanin" w:cs="IRNazanin"/>
          <w:lang w:bidi="fa-IR"/>
          <w:color w:val="111111"/>
          <w:sz w:val="28"/>
          <w:szCs w:val="28"/>
          <w:rtl/>
        </w:rPr>
        <w:t xml:space="preserve">فنائي ، حسين بن شهاب الدین- گازرگاهي</w:t>
      </w:r>
    </w:p>
    <w:p>
      <w:pPr>
        <w:pStyle w:val="BookText"/>
      </w:pPr>
      <w:r>
        <w:rPr>
          <w:rFonts w:ascii="Amiri" w:hAnsi="Amiri" w:eastAsia="Amiri" w:cs="Amiri"/>
          <w:lang w:bidi="ar-SA"/>
          <w:color w:val="111111"/>
          <w:sz w:val="28"/>
          <w:szCs w:val="28"/>
          <w:rtl/>
        </w:rPr>
        <w:t xml:space="preserve">كمال الدين حسين</w:t>
      </w:r>
    </w:p>
    <w:p>
      <w:pPr>
        <w:pStyle w:val="BookText"/>
      </w:pPr>
      <w:r>
        <w:rPr>
          <w:rFonts w:ascii="Amiri" w:hAnsi="Amiri" w:eastAsia="Amiri" w:cs="Amiri"/>
          <w:lang w:bidi="ar-SA"/>
          <w:color w:val="111111"/>
          <w:sz w:val="28"/>
          <w:szCs w:val="28"/>
          <w:rtl/>
        </w:rPr>
        <w:t xml:space="preserve">فناري ، ابراهيم ناقد بن محمّد- ابن ناقد</w:t>
      </w:r>
    </w:p>
    <w:p>
      <w:pPr>
        <w:pStyle w:val="BookText"/>
      </w:pPr>
      <w:r>
        <w:rPr>
          <w:rFonts w:ascii="IRNazanin" w:hAnsi="IRNazanin" w:eastAsia="IRNazanin" w:cs="IRNazanin"/>
          <w:lang w:bidi="fa-IR"/>
          <w:color w:val="111111"/>
          <w:sz w:val="28"/>
          <w:szCs w:val="28"/>
          <w:rtl/>
        </w:rPr>
        <w:t xml:space="preserve">ابراهیم ناقد بن محمّد</w:t>
      </w:r>
    </w:p>
    <w:p>
      <w:pPr>
        <w:pStyle w:val="Heading2"/>
      </w:pPr>
      <w:bookmarkStart w:id="6411" w:name="_Toc5513"/>
      <w:r>
        <w:t>فناري ، احمد علي</w:t>
      </w:r>
      <w:bookmarkEnd w:id="6411"/>
    </w:p>
    <w:p>
      <w:pPr>
        <w:pStyle w:val="BookText"/>
      </w:pPr>
      <w:r>
        <w:rPr>
          <w:rFonts w:ascii="Amiri" w:hAnsi="Amiri" w:eastAsia="Amiri" w:cs="Amiri"/>
          <w:lang w:bidi="ar-SA"/>
          <w:color w:val="111111"/>
          <w:sz w:val="28"/>
          <w:szCs w:val="28"/>
          <w:rtl/>
        </w:rPr>
        <w:t xml:space="preserve">قول احمد على الفناري لعبد الله</w:t>
      </w:r>
    </w:p>
    <w:p>
      <w:pPr>
        <w:pStyle w:val="BookText"/>
      </w:pPr>
      <w:r>
        <w:rPr>
          <w:rFonts w:ascii="IRNazanin" w:hAnsi="IRNazanin" w:eastAsia="IRNazanin" w:cs="IRNazanin"/>
          <w:lang w:bidi="fa-IR"/>
          <w:color w:val="111111"/>
          <w:sz w:val="28"/>
          <w:szCs w:val="28"/>
          <w:rtl/>
        </w:rPr>
        <w:t xml:space="preserve">شوفان، ج12، ص 836.</w:t>
      </w:r>
    </w:p>
    <w:p>
      <w:pPr>
        <w:pStyle w:val="BookText"/>
      </w:pPr>
      <w:r>
        <w:rPr>
          <w:rFonts w:ascii="Amiri" w:hAnsi="Amiri" w:eastAsia="Amiri" w:cs="Amiri"/>
          <w:lang w:bidi="ar-SA"/>
          <w:color w:val="111111"/>
          <w:sz w:val="28"/>
          <w:szCs w:val="28"/>
          <w:rtl/>
        </w:rPr>
        <w:t xml:space="preserve">فناري ، حسن بن محمّد شاه -ابن فناري ،</w:t>
      </w:r>
    </w:p>
    <w:p>
      <w:pPr>
        <w:pStyle w:val="BookText"/>
      </w:pPr>
      <w:r>
        <w:rPr>
          <w:rFonts w:ascii="IRNazanin" w:hAnsi="IRNazanin" w:eastAsia="IRNazanin" w:cs="IRNazanin"/>
          <w:lang w:bidi="fa-IR"/>
          <w:color w:val="111111"/>
          <w:sz w:val="28"/>
          <w:szCs w:val="28"/>
          <w:rtl/>
        </w:rPr>
        <w:t xml:space="preserve">حسن بن محمّد شاه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55" w:name="pg7742_70984"/>
    <w:bookmarkEnd w:id="855"/>
    <w:p>
      <w:pPr>
        <w:pStyle w:val="Heading2"/>
      </w:pPr>
      <w:bookmarkStart w:id="6412" w:name="_Toc5514"/>
      <w:r>
        <w:t>فناري زاده، ابراهيم بن مصطفى</w:t>
      </w:r>
      <w:bookmarkEnd w:id="6412"/>
    </w:p>
    <w:p>
      <w:pPr>
        <w:pStyle w:val="BookText"/>
      </w:pPr>
      <w:r>
        <w:rPr>
          <w:rFonts w:ascii="IRNazanin" w:hAnsi="IRNazanin" w:eastAsia="IRNazanin" w:cs="IRNazanin"/>
          <w:lang w:bidi="fa-IR"/>
          <w:color w:val="111111"/>
          <w:sz w:val="28"/>
          <w:szCs w:val="28"/>
          <w:rtl/>
        </w:rPr>
        <w:t xml:space="preserve">1109ه-</w:t>
      </w:r>
    </w:p>
    <w:p>
      <w:pPr>
        <w:pStyle w:val="BookText"/>
      </w:pPr>
      <w:r>
        <w:rPr>
          <w:rFonts w:ascii="Amiri" w:hAnsi="Amiri" w:eastAsia="Amiri" w:cs="Amiri"/>
          <w:lang w:bidi="ar-SA"/>
          <w:color w:val="111111"/>
          <w:sz w:val="28"/>
          <w:szCs w:val="28"/>
          <w:rtl/>
        </w:rPr>
        <w:t xml:space="preserve">شرح حل الرموز فيما يحل و يحرم من .</w:t>
      </w:r>
    </w:p>
    <w:p>
      <w:pPr>
        <w:pStyle w:val="BookText"/>
      </w:pPr>
      <w:r>
        <w:rPr>
          <w:rFonts w:ascii="Amiri" w:hAnsi="Amiri" w:eastAsia="Amiri" w:cs="Amiri"/>
          <w:lang w:bidi="ar-SA"/>
          <w:color w:val="111111"/>
          <w:sz w:val="28"/>
          <w:szCs w:val="28"/>
          <w:rtl/>
        </w:rPr>
        <w:t xml:space="preserve">الحيوان لنوح بن محمّد الطوسي</w:t>
      </w:r>
    </w:p>
    <w:p>
      <w:pPr>
        <w:pStyle w:val="BookText"/>
      </w:pPr>
      <w:r>
        <w:rPr>
          <w:rFonts w:ascii="Amiri" w:hAnsi="Amiri" w:eastAsia="Amiri" w:cs="Amiri"/>
          <w:lang w:bidi="ar-SA"/>
          <w:color w:val="111111"/>
          <w:sz w:val="28"/>
          <w:szCs w:val="28"/>
          <w:rtl/>
        </w:rPr>
        <w:t xml:space="preserve">السمناني، ج 9، ص 426 .</w:t>
      </w:r>
    </w:p>
    <w:p>
      <w:pPr>
        <w:pStyle w:val="Heading2"/>
      </w:pPr>
      <w:bookmarkStart w:id="6413" w:name="_Toc5515"/>
      <w:r>
        <w:t>فناري ، علي بن يوسف - 903 ه-</w:t>
      </w:r>
      <w:bookmarkEnd w:id="6413"/>
    </w:p>
    <w:p>
      <w:pPr>
        <w:pStyle w:val="BookText"/>
      </w:pPr>
      <w:r>
        <w:rPr>
          <w:rFonts w:ascii="Amiri" w:hAnsi="Amiri" w:eastAsia="Amiri" w:cs="Amiri"/>
          <w:lang w:bidi="ar-SA"/>
          <w:color w:val="111111"/>
          <w:sz w:val="28"/>
          <w:szCs w:val="28"/>
          <w:rtl/>
        </w:rPr>
        <w:t xml:space="preserve">جهة الوحدة، ج 5، ص 481</w:t>
      </w:r>
    </w:p>
    <w:p>
      <w:pPr>
        <w:pStyle w:val="Heading2"/>
      </w:pPr>
      <w:bookmarkStart w:id="6414" w:name="_Toc5516"/>
      <w:r>
        <w:t>فناري ، محمّد بن حمزه، 751 - 834 ه-</w:t>
      </w:r>
      <w:bookmarkEnd w:id="6414"/>
    </w:p>
    <w:p>
      <w:pPr>
        <w:pStyle w:val="BookText"/>
      </w:pPr>
      <w:r>
        <w:rPr>
          <w:rFonts w:ascii="IRNazanin" w:hAnsi="IRNazanin" w:eastAsia="IRNazanin" w:cs="IRNazanin"/>
          <w:lang w:bidi="fa-IR"/>
          <w:color w:val="111111"/>
          <w:sz w:val="28"/>
          <w:szCs w:val="28"/>
          <w:rtl/>
        </w:rPr>
        <w:t xml:space="preserve">1 أنموذج العلوم، ج 2، ص 829.</w:t>
      </w:r>
    </w:p>
    <w:p>
      <w:pPr>
        <w:pStyle w:val="BookText"/>
      </w:pPr>
      <w:r>
        <w:rPr>
          <w:rFonts w:ascii="Amiri" w:hAnsi="Amiri" w:eastAsia="Amiri" w:cs="Amiri"/>
          <w:lang w:bidi="ar-SA"/>
          <w:color w:val="111111"/>
          <w:sz w:val="28"/>
          <w:szCs w:val="28"/>
          <w:rtl/>
        </w:rPr>
        <w:t xml:space="preserve">2 .حاشية المطول، ج 6، ص 376.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الايساغوجي = الفوائد الفنارية على الرسالة الأثيرية، ج 9،</w:t>
      </w:r>
    </w:p>
    <w:p>
      <w:pPr>
        <w:pStyle w:val="BookText"/>
      </w:pPr>
      <w:r>
        <w:rPr>
          <w:rFonts w:ascii="IRNazanin" w:hAnsi="IRNazanin" w:eastAsia="IRNazanin" w:cs="IRNazanin"/>
          <w:lang w:bidi="fa-IR"/>
          <w:color w:val="111111"/>
          <w:sz w:val="28"/>
          <w:szCs w:val="28"/>
          <w:rtl/>
        </w:rPr>
        <w:t xml:space="preserve">ص 259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شرح الفرائض السراجية، ج9،</w:t>
      </w:r>
    </w:p>
    <w:p>
      <w:pPr>
        <w:pStyle w:val="BookText"/>
      </w:pPr>
      <w:r>
        <w:rPr>
          <w:rFonts w:ascii="IRNazanin" w:hAnsi="IRNazanin" w:eastAsia="IRNazanin" w:cs="IRNazanin"/>
          <w:lang w:bidi="fa-IR"/>
          <w:color w:val="111111"/>
          <w:sz w:val="28"/>
          <w:szCs w:val="28"/>
          <w:rtl/>
        </w:rPr>
        <w:t xml:space="preserve">ص 784.</w:t>
      </w:r>
    </w:p>
    <w:p>
      <w:pPr>
        <w:pStyle w:val="BookText"/>
      </w:pPr>
      <w:r>
        <w:rPr>
          <w:rFonts w:ascii="Amiri" w:hAnsi="Amiri" w:eastAsia="Amiri" w:cs="Amiri"/>
          <w:lang w:bidi="ar-SA"/>
          <w:color w:val="111111"/>
          <w:sz w:val="28"/>
          <w:szCs w:val="28"/>
          <w:rtl/>
        </w:rPr>
        <w:t xml:space="preserve">5.شرح مقدمة الصلاة = شرح فقه</w:t>
      </w:r>
    </w:p>
    <w:p>
      <w:pPr>
        <w:pStyle w:val="BookText"/>
      </w:pPr>
      <w:r>
        <w:rPr>
          <w:rFonts w:ascii="Amiri" w:hAnsi="Amiri" w:eastAsia="Amiri" w:cs="Amiri"/>
          <w:lang w:bidi="ar-SA"/>
          <w:color w:val="111111"/>
          <w:sz w:val="28"/>
          <w:szCs w:val="28"/>
          <w:rtl/>
        </w:rPr>
        <w:t xml:space="preserve">الكيداني، ج 10، ص202.</w:t>
      </w:r>
    </w:p>
    <w:p>
      <w:pPr>
        <w:pStyle w:val="BookText"/>
      </w:pPr>
      <w:r>
        <w:rPr>
          <w:rFonts w:ascii="Amiri" w:hAnsi="Amiri" w:eastAsia="Amiri" w:cs="Amiri"/>
          <w:lang w:bidi="ar-SA"/>
          <w:color w:val="111111"/>
          <w:sz w:val="28"/>
          <w:szCs w:val="28"/>
          <w:rtl/>
        </w:rPr>
        <w:t xml:space="preserve">6 .الفصول البدايع في أصول الشرايع</w:t>
      </w:r>
    </w:p>
    <w:p>
      <w:pPr>
        <w:pStyle w:val="BookText"/>
      </w:pPr>
      <w:r>
        <w:rPr>
          <w:rFonts w:ascii="IRNazanin" w:hAnsi="IRNazanin" w:eastAsia="IRNazanin" w:cs="IRNazanin"/>
          <w:lang w:bidi="fa-IR"/>
          <w:color w:val="111111"/>
          <w:sz w:val="28"/>
          <w:szCs w:val="28"/>
          <w:rtl/>
        </w:rPr>
        <w:t xml:space="preserve">ج 11، ص 845.</w:t>
      </w:r>
    </w:p>
    <w:p>
      <w:pPr>
        <w:pStyle w:val="BookText"/>
      </w:pPr>
      <w:r>
        <w:rPr>
          <w:rFonts w:ascii="Amiri" w:hAnsi="Amiri" w:eastAsia="Amiri" w:cs="Amiri"/>
          <w:lang w:bidi="ar-SA"/>
          <w:color w:val="111111"/>
          <w:sz w:val="28"/>
          <w:szCs w:val="28"/>
          <w:rtl/>
        </w:rPr>
        <w:t xml:space="preserve">7 .المنطق (كتاب في)، ج 15 ، ص 695.</w:t>
      </w:r>
    </w:p>
    <w:p>
      <w:pPr>
        <w:pStyle w:val="Heading2"/>
      </w:pPr>
      <w:bookmarkStart w:id="6415" w:name="_Toc5517"/>
      <w:r>
        <w:t>فناري ، محمّد شاه بن علي - 929 ه-</w:t>
      </w:r>
      <w:bookmarkEnd w:id="6415"/>
    </w:p>
    <w:p>
      <w:pPr>
        <w:pStyle w:val="BookText"/>
      </w:pPr>
      <w:r>
        <w:rPr>
          <w:rFonts w:ascii="Amiri" w:hAnsi="Amiri" w:eastAsia="Amiri" w:cs="Amiri"/>
          <w:lang w:bidi="ar-SA"/>
          <w:color w:val="111111"/>
          <w:sz w:val="28"/>
          <w:szCs w:val="28"/>
          <w:rtl/>
        </w:rPr>
        <w:t xml:space="preserve">كلمة الوزارة واشتقاقها (رسالة في)</w:t>
      </w:r>
    </w:p>
    <w:p>
      <w:pPr>
        <w:pStyle w:val="BookText"/>
      </w:pPr>
      <w:r>
        <w:rPr>
          <w:rFonts w:ascii="IRNazanin" w:hAnsi="IRNazanin" w:eastAsia="IRNazanin" w:cs="IRNazanin"/>
          <w:lang w:bidi="fa-IR"/>
          <w:color w:val="111111"/>
          <w:sz w:val="28"/>
          <w:szCs w:val="28"/>
          <w:rtl/>
        </w:rPr>
        <w:t xml:space="preserve">ج 13، ص 377</w:t>
      </w:r>
    </w:p>
    <w:p>
      <w:pPr>
        <w:pStyle w:val="Heading2"/>
      </w:pPr>
      <w:bookmarkStart w:id="6416" w:name="_Toc5518"/>
      <w:r>
        <w:t>فنجي ، احمد بن محمّد</w:t>
      </w:r>
      <w:bookmarkEnd w:id="6416"/>
    </w:p>
    <w:p>
      <w:pPr>
        <w:pStyle w:val="BookText"/>
      </w:pPr>
      <w:r>
        <w:rPr>
          <w:rFonts w:ascii="Amiri" w:hAnsi="Amiri" w:eastAsia="Amiri" w:cs="Amiri"/>
          <w:lang w:bidi="ar-SA"/>
          <w:color w:val="111111"/>
          <w:sz w:val="28"/>
          <w:szCs w:val="28"/>
          <w:rtl/>
        </w:rPr>
        <w:t xml:space="preserve">تعليقات على شرح العيني على الهداية، ج4، ص 501.</w:t>
      </w:r>
    </w:p>
    <w:p>
      <w:pPr>
        <w:pStyle w:val="BookText"/>
      </w:pPr>
      <w:r>
        <w:rPr>
          <w:rFonts w:ascii="IRNazanin" w:hAnsi="IRNazanin" w:eastAsia="IRNazanin" w:cs="IRNazanin"/>
          <w:lang w:bidi="fa-IR"/>
          <w:color w:val="111111"/>
          <w:sz w:val="28"/>
          <w:szCs w:val="28"/>
          <w:rtl/>
        </w:rPr>
        <w:t xml:space="preserve">فندرسكي ، ابوالقاسم -میرفندرسكي</w:t>
      </w:r>
    </w:p>
    <w:p>
      <w:pPr>
        <w:pStyle w:val="BookText"/>
      </w:pPr>
      <w:r>
        <w:rPr>
          <w:rFonts w:ascii="IRNazanin" w:hAnsi="IRNazanin" w:eastAsia="IRNazanin" w:cs="IRNazanin"/>
          <w:lang w:bidi="fa-IR"/>
          <w:color w:val="111111"/>
          <w:sz w:val="28"/>
          <w:szCs w:val="28"/>
          <w:rtl/>
        </w:rPr>
        <w:t xml:space="preserve">ابوالقاسم بن میرزا بزرگ</w:t>
      </w:r>
    </w:p>
    <w:p>
      <w:pPr>
        <w:pStyle w:val="BookText"/>
      </w:pPr>
      <w:r>
        <w:rPr>
          <w:rFonts w:ascii="Amiri" w:hAnsi="Amiri" w:eastAsia="Amiri" w:cs="Amiri"/>
          <w:lang w:bidi="ar-SA"/>
          <w:color w:val="111111"/>
          <w:sz w:val="28"/>
          <w:szCs w:val="28"/>
          <w:rtl/>
        </w:rPr>
        <w:t xml:space="preserve">فنري ، شمس الدين محمّد -فناري ،</w:t>
      </w:r>
    </w:p>
    <w:p>
      <w:pPr>
        <w:pStyle w:val="BookText"/>
      </w:pPr>
      <w:r>
        <w:rPr>
          <w:rFonts w:ascii="IRNazanin" w:hAnsi="IRNazanin" w:eastAsia="IRNazanin" w:cs="IRNazanin"/>
          <w:lang w:bidi="fa-IR"/>
          <w:color w:val="111111"/>
          <w:sz w:val="28"/>
          <w:szCs w:val="28"/>
          <w:rtl/>
        </w:rPr>
        <w:t xml:space="preserve">محمّد بن حمزه</w:t>
      </w:r>
    </w:p>
    <w:p>
      <w:pPr>
        <w:pStyle w:val="BookText"/>
      </w:pPr>
      <w:r>
        <w:rPr>
          <w:rFonts w:ascii="Amiri" w:hAnsi="Amiri" w:eastAsia="Amiri" w:cs="Amiri"/>
          <w:lang w:bidi="ar-SA"/>
          <w:color w:val="111111"/>
          <w:sz w:val="28"/>
          <w:szCs w:val="28"/>
          <w:rtl/>
        </w:rPr>
        <w:t xml:space="preserve">فهري ، عبدالله بن وهب- ابن وهب ، عبدالله بن وهب</w:t>
      </w:r>
    </w:p>
    <w:p>
      <w:pPr>
        <w:pStyle w:val="BookText"/>
      </w:pPr>
      <w:r>
        <w:rPr>
          <w:rFonts w:ascii="IRNazanin" w:hAnsi="IRNazanin" w:eastAsia="IRNazanin" w:cs="IRNazanin"/>
          <w:lang w:bidi="fa-IR"/>
          <w:color w:val="111111"/>
          <w:sz w:val="28"/>
          <w:szCs w:val="28"/>
          <w:rtl/>
        </w:rPr>
        <w:t xml:space="preserve">عبدالله بن وهب</w:t>
      </w:r>
    </w:p>
    <w:p>
      <w:pPr>
        <w:pStyle w:val="BookText"/>
      </w:pPr>
      <w:r>
        <w:rPr>
          <w:rFonts w:ascii="Amiri" w:hAnsi="Amiri" w:eastAsia="Amiri" w:cs="Amiri"/>
          <w:lang w:bidi="ar-SA"/>
          <w:color w:val="111111"/>
          <w:sz w:val="28"/>
          <w:szCs w:val="28"/>
          <w:rtl/>
        </w:rPr>
        <w:t xml:space="preserve">فهري ، عبد المجيد بن عبدالله -ابن عبدون</w:t>
      </w:r>
    </w:p>
    <w:p>
      <w:pPr>
        <w:pStyle w:val="BookText"/>
      </w:pPr>
      <w:r>
        <w:rPr>
          <w:rFonts w:ascii="IRNazanin" w:hAnsi="IRNazanin" w:eastAsia="IRNazanin" w:cs="IRNazanin"/>
          <w:lang w:bidi="fa-IR"/>
          <w:color w:val="111111"/>
          <w:sz w:val="28"/>
          <w:szCs w:val="28"/>
          <w:rtl/>
        </w:rPr>
        <w:t xml:space="preserve">، عبدالمجید بن عبدالله</w:t>
      </w:r>
    </w:p>
    <w:p>
      <w:pPr>
        <w:pStyle w:val="BookText"/>
      </w:pPr>
      <w:r>
        <w:rPr>
          <w:rFonts w:ascii="Amiri" w:hAnsi="Amiri" w:eastAsia="Amiri" w:cs="Amiri"/>
          <w:lang w:bidi="ar-SA"/>
          <w:color w:val="111111"/>
          <w:sz w:val="28"/>
          <w:szCs w:val="28"/>
          <w:rtl/>
        </w:rPr>
        <w:t xml:space="preserve">فهمي ، تقي الدين محمّد فارسي- فارسي ،</w:t>
      </w:r>
    </w:p>
    <w:p>
      <w:pPr>
        <w:pStyle w:val="BookText"/>
      </w:pPr>
      <w:r>
        <w:rPr>
          <w:rFonts w:ascii="Amiri" w:hAnsi="Amiri" w:eastAsia="Amiri" w:cs="Amiri"/>
          <w:lang w:bidi="ar-SA"/>
          <w:color w:val="111111"/>
          <w:sz w:val="28"/>
          <w:szCs w:val="28"/>
          <w:rtl/>
        </w:rPr>
        <w:t xml:space="preserve">محمد تقي بن محمّد</w:t>
      </w:r>
    </w:p>
    <w:p>
      <w:pPr>
        <w:pStyle w:val="BookText"/>
      </w:pPr>
      <w:r>
        <w:rPr>
          <w:rFonts w:ascii="Amiri" w:hAnsi="Amiri" w:eastAsia="Amiri" w:cs="Amiri"/>
          <w:lang w:bidi="ar-SA"/>
          <w:color w:val="111111"/>
          <w:sz w:val="28"/>
          <w:szCs w:val="28"/>
          <w:rtl/>
        </w:rPr>
        <w:t xml:space="preserve">فهمي عمري ، محمّد -عمري موصلي ،</w:t>
      </w:r>
    </w:p>
    <w:p>
      <w:pPr>
        <w:pStyle w:val="BookText"/>
      </w:pPr>
      <w:r>
        <w:rPr>
          <w:rFonts w:ascii="Amiri" w:hAnsi="Amiri" w:eastAsia="Amiri" w:cs="Amiri"/>
          <w:lang w:bidi="ar-SA"/>
          <w:color w:val="111111"/>
          <w:sz w:val="28"/>
          <w:szCs w:val="28"/>
          <w:rtl/>
        </w:rPr>
        <w:t xml:space="preserve">محمّد فهمي</w:t>
      </w:r>
    </w:p>
    <w:p>
      <w:pPr>
        <w:pStyle w:val="Heading2"/>
      </w:pPr>
      <w:bookmarkStart w:id="6417" w:name="_Toc5519"/>
      <w:r>
        <w:t>فهمي ، ليث بن سعد، 94 - 175 ه-</w:t>
      </w:r>
      <w:bookmarkEnd w:id="6417"/>
    </w:p>
    <w:p>
      <w:pPr>
        <w:pStyle w:val="BookText"/>
      </w:pPr>
      <w:r>
        <w:rPr>
          <w:rFonts w:ascii="Amiri" w:hAnsi="Amiri" w:eastAsia="Amiri" w:cs="Amiri"/>
          <w:lang w:bidi="ar-SA"/>
          <w:color w:val="111111"/>
          <w:sz w:val="28"/>
          <w:szCs w:val="28"/>
          <w:rtl/>
        </w:rPr>
        <w:t xml:space="preserve">1 .الحديث، ج6، ص 554</w:t>
      </w:r>
    </w:p>
    <w:p>
      <w:pPr>
        <w:pStyle w:val="BookText"/>
      </w:pPr>
      <w:r>
        <w:rPr>
          <w:rFonts w:ascii="Amiri" w:hAnsi="Amiri" w:eastAsia="Amiri" w:cs="Amiri"/>
          <w:lang w:bidi="ar-SA"/>
          <w:color w:val="111111"/>
          <w:sz w:val="28"/>
          <w:szCs w:val="28"/>
          <w:rtl/>
        </w:rPr>
        <w:t xml:space="preserve">2 .دعاء الصبح (فائدة في)، ج7،</w:t>
      </w:r>
    </w:p>
    <w:p>
      <w:pPr>
        <w:pStyle w:val="BookText"/>
      </w:pPr>
      <w:r>
        <w:rPr>
          <w:rFonts w:ascii="IRNazanin" w:hAnsi="IRNazanin" w:eastAsia="IRNazanin" w:cs="IRNazanin"/>
          <w:lang w:bidi="fa-IR"/>
          <w:color w:val="111111"/>
          <w:sz w:val="28"/>
          <w:szCs w:val="28"/>
          <w:rtl/>
        </w:rPr>
        <w:t xml:space="preserve">ص 401.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مجلس من فوائد الليث و الرخصة في تقبيل اليد، ج13، ص 821.</w:t>
      </w:r>
    </w:p>
    <w:p>
      <w:pPr>
        <w:pStyle w:val="Heading2"/>
      </w:pPr>
      <w:bookmarkStart w:id="6418" w:name="_Toc5520"/>
      <w:r>
        <w:t>فهمي ، محمّد بن عبد الله، 1195ق 13 ه-</w:t>
      </w:r>
      <w:bookmarkEnd w:id="6418"/>
    </w:p>
    <w:p>
      <w:pPr>
        <w:pStyle w:val="BookText"/>
      </w:pPr>
      <w:r>
        <w:rPr>
          <w:rFonts w:ascii="Amiri" w:hAnsi="Amiri" w:eastAsia="Amiri" w:cs="Amiri"/>
          <w:lang w:bidi="ar-SA"/>
          <w:color w:val="111111"/>
          <w:sz w:val="28"/>
          <w:szCs w:val="28"/>
          <w:rtl/>
        </w:rPr>
        <w:t xml:space="preserve">مقامات أدبية، ج 15، ص 294.</w:t>
      </w:r>
    </w:p>
    <w:p>
      <w:pPr>
        <w:pStyle w:val="Heading2"/>
      </w:pPr>
      <w:bookmarkStart w:id="6419" w:name="_Toc5521"/>
      <w:r>
        <w:t>فهمي، محمّد بن مصطفى - 1290 ه-</w:t>
      </w:r>
      <w:bookmarkEnd w:id="6419"/>
    </w:p>
    <w:p>
      <w:pPr>
        <w:pStyle w:val="BookText"/>
      </w:pPr>
      <w:r>
        <w:rPr>
          <w:rFonts w:ascii="Amiri" w:hAnsi="Amiri" w:eastAsia="Amiri" w:cs="Amiri"/>
          <w:lang w:bidi="ar-SA"/>
          <w:color w:val="111111"/>
          <w:sz w:val="28"/>
          <w:szCs w:val="28"/>
          <w:rtl/>
        </w:rPr>
        <w:t xml:space="preserve">صرف فارسي، ج 10، ص 558 .</w:t>
      </w:r>
    </w:p>
    <w:p>
      <w:pPr>
        <w:pStyle w:val="Heading2"/>
      </w:pPr>
      <w:bookmarkStart w:id="6420" w:name="_Toc5522"/>
      <w:r>
        <w:t>فوتي ، محمّد بن احمد</w:t>
      </w:r>
      <w:bookmarkEnd w:id="6420"/>
    </w:p>
    <w:p>
      <w:pPr>
        <w:pStyle w:val="BookText"/>
      </w:pPr>
      <w:r>
        <w:rPr>
          <w:rFonts w:ascii="Amiri" w:hAnsi="Amiri" w:eastAsia="Amiri" w:cs="Amiri"/>
          <w:lang w:bidi="ar-SA"/>
          <w:color w:val="111111"/>
          <w:sz w:val="28"/>
          <w:szCs w:val="28"/>
          <w:rtl/>
        </w:rPr>
        <w:t xml:space="preserve">اجازة بالحديث المسلسل بالاولية للشيخ قاسم همري آل الجلبي جا</w:t>
      </w:r>
    </w:p>
    <w:p>
      <w:pPr>
        <w:pStyle w:val="BookText"/>
      </w:pPr>
      <w:r>
        <w:rPr>
          <w:rFonts w:ascii="IRNazanin" w:hAnsi="IRNazanin" w:eastAsia="IRNazanin" w:cs="IRNazanin"/>
          <w:lang w:bidi="fa-IR"/>
          <w:color w:val="111111"/>
          <w:sz w:val="28"/>
          <w:szCs w:val="28"/>
          <w:rtl/>
        </w:rPr>
        <w:t xml:space="preserve">ص 213.</w:t>
      </w:r>
    </w:p>
    <w:p>
      <w:pPr>
        <w:pStyle w:val="BookText"/>
      </w:pPr>
      <w:r>
        <w:rPr>
          <w:rFonts w:ascii="Amiri" w:hAnsi="Amiri" w:eastAsia="Amiri" w:cs="Amiri"/>
          <w:lang w:bidi="ar-SA"/>
          <w:color w:val="111111"/>
          <w:sz w:val="28"/>
          <w:szCs w:val="28"/>
          <w:rtl/>
        </w:rPr>
        <w:t xml:space="preserve">فوق الدين احمد فوقي يزدي- فوقي</w:t>
      </w:r>
    </w:p>
    <w:p>
      <w:pPr>
        <w:pStyle w:val="BookText"/>
      </w:pPr>
      <w:r>
        <w:rPr>
          <w:rFonts w:ascii="Amiri" w:hAnsi="Amiri" w:eastAsia="Amiri" w:cs="Amiri"/>
          <w:lang w:bidi="ar-SA"/>
          <w:color w:val="111111"/>
          <w:sz w:val="28"/>
          <w:szCs w:val="28"/>
          <w:rtl/>
        </w:rPr>
        <w:t xml:space="preserve">يزدي ، احمد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56" w:name="pg7742_70986"/>
    <w:bookmarkEnd w:id="856"/>
    <w:p>
      <w:pPr>
        <w:pStyle w:val="Heading2"/>
      </w:pPr>
      <w:bookmarkStart w:id="6421" w:name="_Toc5523"/>
      <w:r>
        <w:t>فوقي يزدي ، احمد - 1050ه-</w:t>
      </w:r>
      <w:bookmarkEnd w:id="6421"/>
    </w:p>
    <w:p>
      <w:pPr>
        <w:pStyle w:val="BookText"/>
      </w:pPr>
      <w:r>
        <w:rPr>
          <w:rFonts w:ascii="Amiri" w:hAnsi="Amiri" w:eastAsia="Amiri" w:cs="Amiri"/>
          <w:lang w:bidi="ar-SA"/>
          <w:color w:val="111111"/>
          <w:sz w:val="28"/>
          <w:szCs w:val="28"/>
          <w:rtl/>
        </w:rPr>
        <w:t xml:space="preserve">1 .بهرام اقائي، ج 3، ص 444.</w:t>
      </w:r>
    </w:p>
    <w:p>
      <w:pPr>
        <w:pStyle w:val="BookText"/>
      </w:pPr>
      <w:r>
        <w:rPr>
          <w:rFonts w:ascii="IRNazanin" w:hAnsi="IRNazanin" w:eastAsia="IRNazanin" w:cs="IRNazanin"/>
          <w:lang w:bidi="fa-IR"/>
          <w:color w:val="111111"/>
          <w:sz w:val="28"/>
          <w:szCs w:val="28"/>
          <w:rtl/>
        </w:rPr>
        <w:t xml:space="preserve">2 .داش تمور، ج7، ص211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فوقي يزدي = كليات فوقي</w:t>
      </w:r>
    </w:p>
    <w:p>
      <w:pPr>
        <w:pStyle w:val="BookText"/>
      </w:pPr>
      <w:r>
        <w:rPr>
          <w:rFonts w:ascii="IRNazanin" w:hAnsi="IRNazanin" w:eastAsia="IRNazanin" w:cs="IRNazanin"/>
          <w:lang w:bidi="fa-IR"/>
          <w:color w:val="111111"/>
          <w:sz w:val="28"/>
          <w:szCs w:val="28"/>
          <w:rtl/>
        </w:rPr>
        <w:t xml:space="preserve">ج 7، ص 735</w:t>
      </w:r>
    </w:p>
    <w:p>
      <w:pPr>
        <w:pStyle w:val="BookText"/>
      </w:pPr>
      <w:r>
        <w:rPr>
          <w:rFonts w:ascii="IRNazanin" w:hAnsi="IRNazanin" w:eastAsia="IRNazanin" w:cs="IRNazanin"/>
          <w:lang w:bidi="fa-IR"/>
          <w:color w:val="111111"/>
          <w:sz w:val="28"/>
          <w:szCs w:val="28"/>
          <w:rtl/>
        </w:rPr>
        <w:t xml:space="preserve">4 .رسائل، ج8، ص121</w:t>
      </w:r>
    </w:p>
    <w:p>
      <w:pPr>
        <w:pStyle w:val="BookText"/>
      </w:pPr>
      <w:r>
        <w:rPr>
          <w:rFonts w:ascii="Amiri" w:hAnsi="Amiri" w:eastAsia="Amiri" w:cs="Amiri"/>
          <w:lang w:bidi="ar-SA"/>
          <w:color w:val="111111"/>
          <w:sz w:val="28"/>
          <w:szCs w:val="28"/>
          <w:rtl/>
        </w:rPr>
        <w:t xml:space="preserve">5 .ساقي نامه، ج8، ص 671.</w:t>
      </w:r>
    </w:p>
    <w:p>
      <w:pPr>
        <w:pStyle w:val="BookText"/>
      </w:pPr>
      <w:r>
        <w:rPr>
          <w:rFonts w:ascii="IRNazanin" w:hAnsi="IRNazanin" w:eastAsia="IRNazanin" w:cs="IRNazanin"/>
          <w:lang w:bidi="fa-IR"/>
          <w:color w:val="111111"/>
          <w:sz w:val="28"/>
          <w:szCs w:val="28"/>
          <w:rtl/>
        </w:rPr>
        <w:t xml:space="preserve">6 .فالنامه مرغان، ج 11، ص588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فرهاد و شيرين، ج 11، ص 807.</w:t>
      </w:r>
    </w:p>
    <w:p>
      <w:pPr>
        <w:pStyle w:val="BookText"/>
      </w:pPr>
      <w:r>
        <w:rPr>
          <w:rFonts w:ascii="IRNazanin" w:hAnsi="IRNazanin" w:eastAsia="IRNazanin" w:cs="IRNazanin"/>
          <w:lang w:bidi="fa-IR"/>
          <w:color w:val="111111"/>
          <w:sz w:val="28"/>
          <w:szCs w:val="28"/>
          <w:rtl/>
        </w:rPr>
        <w:t xml:space="preserve">فومني ، محمّد مهدي بن اسد الله - گيلاني ،</w:t>
      </w:r>
    </w:p>
    <w:p>
      <w:pPr>
        <w:pStyle w:val="BookText"/>
      </w:pPr>
      <w:r>
        <w:rPr>
          <w:rFonts w:ascii="Amiri" w:hAnsi="Amiri" w:eastAsia="Amiri" w:cs="Amiri"/>
          <w:lang w:bidi="ar-SA"/>
          <w:color w:val="111111"/>
          <w:sz w:val="28"/>
          <w:szCs w:val="28"/>
          <w:rtl/>
        </w:rPr>
        <w:t xml:space="preserve">محمد مهدي بن اسدالله</w:t>
      </w:r>
    </w:p>
    <w:p>
      <w:pPr>
        <w:pStyle w:val="BookText"/>
      </w:pPr>
      <w:r>
        <w:rPr>
          <w:rFonts w:ascii="IRNazanin" w:hAnsi="IRNazanin" w:eastAsia="IRNazanin" w:cs="IRNazanin"/>
          <w:lang w:bidi="fa-IR"/>
          <w:color w:val="111111"/>
          <w:sz w:val="28"/>
          <w:szCs w:val="28"/>
          <w:rtl/>
        </w:rPr>
        <w:t xml:space="preserve">فومني زاهدي ، علي بن فضل الله -گيلاني</w:t>
      </w:r>
    </w:p>
    <w:p>
      <w:pPr>
        <w:pStyle w:val="BookText"/>
      </w:pPr>
      <w:r>
        <w:rPr>
          <w:rFonts w:ascii="Amiri" w:hAnsi="Amiri" w:eastAsia="Amiri" w:cs="Amiri"/>
          <w:lang w:bidi="ar-SA"/>
          <w:color w:val="111111"/>
          <w:sz w:val="28"/>
          <w:szCs w:val="28"/>
          <w:rtl/>
        </w:rPr>
        <w:t xml:space="preserve">، علي بن فضل الله</w:t>
      </w:r>
    </w:p>
    <w:p>
      <w:pPr>
        <w:pStyle w:val="BookText"/>
      </w:pPr>
      <w:r>
        <w:rPr>
          <w:rFonts w:ascii="Amiri" w:hAnsi="Amiri" w:eastAsia="Amiri" w:cs="Amiri"/>
          <w:lang w:bidi="ar-SA"/>
          <w:color w:val="111111"/>
          <w:sz w:val="28"/>
          <w:szCs w:val="28"/>
          <w:rtl/>
        </w:rPr>
        <w:t xml:space="preserve">فوهي ، احمد بن رمضان -بهشتي ، احمد</w:t>
      </w:r>
    </w:p>
    <w:p>
      <w:pPr>
        <w:pStyle w:val="BookText"/>
      </w:pPr>
      <w:r>
        <w:rPr>
          <w:rFonts w:ascii="IRNazanin" w:hAnsi="IRNazanin" w:eastAsia="IRNazanin" w:cs="IRNazanin"/>
          <w:lang w:bidi="fa-IR"/>
          <w:color w:val="111111"/>
          <w:sz w:val="28"/>
          <w:szCs w:val="28"/>
          <w:rtl/>
        </w:rPr>
        <w:t xml:space="preserve">بن رمضان</w:t>
      </w:r>
    </w:p>
    <w:p>
      <w:pPr>
        <w:pStyle w:val="BookText"/>
      </w:pPr>
      <w:r>
        <w:rPr>
          <w:rFonts w:ascii="Amiri" w:hAnsi="Amiri" w:eastAsia="Amiri" w:cs="Amiri"/>
          <w:lang w:bidi="ar-SA"/>
          <w:color w:val="111111"/>
          <w:sz w:val="28"/>
          <w:szCs w:val="28"/>
          <w:rtl/>
        </w:rPr>
        <w:t xml:space="preserve">فياض ، ابوالفيض- فيضي ، ابوالفيض بن</w:t>
      </w:r>
    </w:p>
    <w:p>
      <w:pPr>
        <w:pStyle w:val="BookText"/>
      </w:pPr>
      <w:r>
        <w:rPr>
          <w:rFonts w:ascii="Amiri" w:hAnsi="Amiri" w:eastAsia="Amiri" w:cs="Amiri"/>
          <w:lang w:bidi="ar-SA"/>
          <w:color w:val="111111"/>
          <w:sz w:val="28"/>
          <w:szCs w:val="28"/>
          <w:rtl/>
        </w:rPr>
        <w:t xml:space="preserve">مبارك</w:t>
      </w:r>
    </w:p>
    <w:p>
      <w:pPr>
        <w:pStyle w:val="BookText"/>
      </w:pPr>
      <w:r>
        <w:rPr>
          <w:rFonts w:ascii="Amiri" w:hAnsi="Amiri" w:eastAsia="Amiri" w:cs="Amiri"/>
          <w:lang w:bidi="ar-SA"/>
          <w:color w:val="111111"/>
          <w:sz w:val="28"/>
          <w:szCs w:val="28"/>
          <w:rtl/>
        </w:rPr>
        <w:t xml:space="preserve">فياض ، حسن بن عبد الرزاق- لاهيجي</w:t>
      </w:r>
    </w:p>
    <w:p>
      <w:pPr>
        <w:pStyle w:val="BookText"/>
      </w:pPr>
      <w:r>
        <w:rPr>
          <w:rFonts w:ascii="IRNazanin" w:hAnsi="IRNazanin" w:eastAsia="IRNazanin" w:cs="IRNazanin"/>
          <w:lang w:bidi="fa-IR"/>
          <w:color w:val="111111"/>
          <w:sz w:val="28"/>
          <w:szCs w:val="28"/>
          <w:rtl/>
        </w:rPr>
        <w:t xml:space="preserve">حسن بن عبدالرزاق</w:t>
      </w:r>
    </w:p>
    <w:p>
      <w:pPr>
        <w:pStyle w:val="BookText"/>
      </w:pPr>
      <w:r>
        <w:rPr>
          <w:rFonts w:ascii="Amiri" w:hAnsi="Amiri" w:eastAsia="Amiri" w:cs="Amiri"/>
          <w:lang w:bidi="ar-SA"/>
          <w:color w:val="111111"/>
          <w:sz w:val="28"/>
          <w:szCs w:val="28"/>
          <w:rtl/>
        </w:rPr>
        <w:t xml:space="preserve">فياض ، فيض الله بن مبارك -فيضي</w:t>
      </w:r>
    </w:p>
    <w:p>
      <w:pPr>
        <w:pStyle w:val="BookText"/>
      </w:pPr>
      <w:r>
        <w:rPr>
          <w:rFonts w:ascii="Amiri" w:hAnsi="Amiri" w:eastAsia="Amiri" w:cs="Amiri"/>
          <w:lang w:bidi="ar-SA"/>
          <w:color w:val="111111"/>
          <w:sz w:val="28"/>
          <w:szCs w:val="28"/>
          <w:rtl/>
        </w:rPr>
        <w:t xml:space="preserve">ابوالفيض بن مبارك</w:t>
      </w:r>
    </w:p>
    <w:p>
      <w:pPr>
        <w:pStyle w:val="BookText"/>
      </w:pPr>
      <w:r>
        <w:rPr>
          <w:rFonts w:ascii="Amiri" w:hAnsi="Amiri" w:eastAsia="Amiri" w:cs="Amiri"/>
          <w:lang w:bidi="ar-SA"/>
          <w:color w:val="111111"/>
          <w:sz w:val="28"/>
          <w:szCs w:val="28"/>
          <w:rtl/>
        </w:rPr>
        <w:t xml:space="preserve">فياض لاهيجاني ، عبد الرزاق بن علي- لاهيجي ، عبدالرزاق بن علي</w:t>
      </w:r>
    </w:p>
    <w:p>
      <w:pPr>
        <w:pStyle w:val="BookText"/>
      </w:pPr>
      <w:r>
        <w:rPr>
          <w:rFonts w:ascii="Amiri" w:hAnsi="Amiri" w:eastAsia="Amiri" w:cs="Amiri"/>
          <w:lang w:bidi="ar-SA"/>
          <w:color w:val="111111"/>
          <w:sz w:val="28"/>
          <w:szCs w:val="28"/>
          <w:rtl/>
        </w:rPr>
        <w:t xml:space="preserve">فياض لاهيجي - لاهيجي ، عبدالرزاق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فياضي ، ابوالفيض -فيضي ، ابوالفيض بن</w:t>
      </w:r>
    </w:p>
    <w:p>
      <w:pPr>
        <w:pStyle w:val="BookText"/>
      </w:pPr>
      <w:r>
        <w:rPr>
          <w:rFonts w:ascii="Amiri" w:hAnsi="Amiri" w:eastAsia="Amiri" w:cs="Amiri"/>
          <w:lang w:bidi="ar-SA"/>
          <w:color w:val="111111"/>
          <w:sz w:val="28"/>
          <w:szCs w:val="28"/>
          <w:rtl/>
        </w:rPr>
        <w:t xml:space="preserve">مبارك</w:t>
      </w:r>
    </w:p>
    <w:p>
      <w:pPr>
        <w:pStyle w:val="Heading2"/>
      </w:pPr>
      <w:bookmarkStart w:id="6422" w:name="_Toc5524"/>
      <w:r>
        <w:t>فيثاغورس ، 570 - 495</w:t>
      </w:r>
      <w:bookmarkEnd w:id="6422"/>
    </w:p>
    <w:p>
      <w:pPr>
        <w:pStyle w:val="BookText"/>
      </w:pPr>
      <w:r>
        <w:rPr>
          <w:rFonts w:ascii="Amiri" w:hAnsi="Amiri" w:eastAsia="Amiri" w:cs="Amiri"/>
          <w:lang w:bidi="ar-SA"/>
          <w:color w:val="111111"/>
          <w:sz w:val="28"/>
          <w:szCs w:val="28"/>
          <w:rtl/>
        </w:rPr>
        <w:t xml:space="preserve">قبل الميلاد مفتاح الحكمة، ج 15 ، ص 196.</w:t>
      </w:r>
    </w:p>
    <w:p>
      <w:pPr>
        <w:pStyle w:val="BookText"/>
      </w:pPr>
      <w:r>
        <w:rPr>
          <w:rFonts w:ascii="Amiri" w:hAnsi="Amiri" w:eastAsia="Amiri" w:cs="Amiri"/>
          <w:lang w:bidi="ar-SA"/>
          <w:color w:val="111111"/>
          <w:sz w:val="28"/>
          <w:szCs w:val="28"/>
          <w:rtl/>
        </w:rPr>
        <w:t xml:space="preserve">فيروزآبادي شيرازي، ابراهيم بن</w:t>
      </w:r>
    </w:p>
    <w:p>
      <w:pPr>
        <w:pStyle w:val="BookText"/>
      </w:pPr>
      <w:r>
        <w:rPr>
          <w:rFonts w:ascii="Amiri" w:hAnsi="Amiri" w:eastAsia="Amiri" w:cs="Amiri"/>
          <w:lang w:bidi="ar-SA"/>
          <w:color w:val="111111"/>
          <w:sz w:val="28"/>
          <w:szCs w:val="28"/>
          <w:rtl/>
        </w:rPr>
        <w:t xml:space="preserve">علي- ابواسحاق شيرازي، ابراهيم بن علي</w:t>
      </w:r>
    </w:p>
    <w:p>
      <w:pPr>
        <w:pStyle w:val="Heading2"/>
      </w:pPr>
      <w:bookmarkStart w:id="6423" w:name="_Toc5525"/>
      <w:r>
        <w:t>فيروزآبادي ، محمّد - 1305 ش</w:t>
      </w:r>
      <w:bookmarkEnd w:id="6423"/>
    </w:p>
    <w:p>
      <w:pPr>
        <w:pStyle w:val="BookText"/>
      </w:pPr>
      <w:r>
        <w:rPr>
          <w:rFonts w:ascii="Amiri" w:hAnsi="Amiri" w:eastAsia="Amiri" w:cs="Amiri"/>
          <w:lang w:bidi="ar-SA"/>
          <w:color w:val="111111"/>
          <w:sz w:val="28"/>
          <w:szCs w:val="28"/>
          <w:rtl/>
        </w:rPr>
        <w:t xml:space="preserve">1 .شرح الضد( مسالة في)، ج 9،</w:t>
      </w:r>
    </w:p>
    <w:p>
      <w:pPr>
        <w:pStyle w:val="BookText"/>
      </w:pPr>
      <w:r>
        <w:rPr>
          <w:rFonts w:ascii="IRNazanin" w:hAnsi="IRNazanin" w:eastAsia="IRNazanin" w:cs="IRNazanin"/>
          <w:lang w:bidi="fa-IR"/>
          <w:color w:val="111111"/>
          <w:sz w:val="28"/>
          <w:szCs w:val="28"/>
          <w:rtl/>
        </w:rPr>
        <w:t xml:space="preserve">ص 679.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الضد (مسالة في)، ج 10، ص 691 .</w:t>
      </w:r>
    </w:p>
    <w:p>
      <w:pPr>
        <w:pStyle w:val="Heading2"/>
      </w:pPr>
      <w:bookmarkStart w:id="6424" w:name="_Toc5526"/>
      <w:r>
        <w:t>فيروزآبادي ، محمّد بن يعقوب، 729 -</w:t>
      </w:r>
      <w:bookmarkEnd w:id="6424"/>
    </w:p>
    <w:p>
      <w:pPr>
        <w:pStyle w:val="BookText"/>
      </w:pPr>
      <w:r>
        <w:rPr>
          <w:rFonts w:ascii="IRNazanin" w:hAnsi="IRNazanin" w:eastAsia="IRNazanin" w:cs="IRNazanin"/>
          <w:lang w:bidi="fa-IR"/>
          <w:color w:val="111111"/>
          <w:sz w:val="28"/>
          <w:szCs w:val="28"/>
          <w:rtl/>
        </w:rPr>
        <w:t xml:space="preserve">817 ه-</w:t>
      </w:r>
    </w:p>
    <w:p>
      <w:pPr>
        <w:pStyle w:val="BookText"/>
      </w:pPr>
      <w:r>
        <w:rPr>
          <w:rFonts w:ascii="Amiri" w:hAnsi="Amiri" w:eastAsia="Amiri" w:cs="Amiri"/>
          <w:lang w:bidi="ar-SA"/>
          <w:color w:val="111111"/>
          <w:sz w:val="28"/>
          <w:szCs w:val="28"/>
          <w:rtl/>
        </w:rPr>
        <w:t xml:space="preserve">1 .آثار الحجون لزيارة الحجون، ج1،</w:t>
      </w:r>
    </w:p>
    <w:p>
      <w:pPr>
        <w:pStyle w:val="BookText"/>
      </w:pPr>
      <w:r>
        <w:rPr>
          <w:rFonts w:ascii="IRNazanin" w:hAnsi="IRNazanin" w:eastAsia="IRNazanin" w:cs="IRNazanin"/>
          <w:lang w:bidi="fa-IR"/>
          <w:color w:val="111111"/>
          <w:sz w:val="28"/>
          <w:szCs w:val="28"/>
          <w:rtl/>
        </w:rPr>
        <w:t xml:space="preserve">ص 9.</w:t>
      </w:r>
    </w:p>
    <w:p>
      <w:pPr>
        <w:pStyle w:val="BookText"/>
      </w:pPr>
      <w:r>
        <w:rPr>
          <w:rFonts w:ascii="Amiri" w:hAnsi="Amiri" w:eastAsia="Amiri" w:cs="Amiri"/>
          <w:lang w:bidi="ar-SA"/>
          <w:color w:val="111111"/>
          <w:sz w:val="28"/>
          <w:szCs w:val="28"/>
          <w:rtl/>
        </w:rPr>
        <w:t xml:space="preserve">2 .بيان ما لم يثبت فيه حديث صحيح</w:t>
      </w:r>
    </w:p>
    <w:p>
      <w:pPr>
        <w:pStyle w:val="BookText"/>
      </w:pPr>
      <w:r>
        <w:rPr>
          <w:rFonts w:ascii="IRNazanin" w:hAnsi="IRNazanin" w:eastAsia="IRNazanin" w:cs="IRNazanin"/>
          <w:lang w:bidi="fa-IR"/>
          <w:color w:val="111111"/>
          <w:sz w:val="28"/>
          <w:szCs w:val="28"/>
          <w:rtl/>
        </w:rPr>
        <w:t xml:space="preserve">من الأبواب، ج 3، ص 486 .</w:t>
      </w:r>
    </w:p>
    <w:p>
      <w:pPr>
        <w:pStyle w:val="BookText"/>
      </w:pPr>
      <w:r>
        <w:rPr>
          <w:rFonts w:ascii="Amiri" w:hAnsi="Amiri" w:eastAsia="Amiri" w:cs="Amiri"/>
          <w:lang w:bidi="ar-SA"/>
          <w:color w:val="111111"/>
          <w:sz w:val="28"/>
          <w:szCs w:val="28"/>
          <w:rtl/>
        </w:rPr>
        <w:t xml:space="preserve">3 .تحبير الموشين فيما يقال بالسين و</w:t>
      </w:r>
    </w:p>
    <w:p>
      <w:pPr>
        <w:pStyle w:val="BookText"/>
      </w:pPr>
      <w:r>
        <w:rPr>
          <w:rFonts w:ascii="Amiri" w:hAnsi="Amiri" w:eastAsia="Amiri" w:cs="Amiri"/>
          <w:lang w:bidi="ar-SA"/>
          <w:color w:val="111111"/>
          <w:sz w:val="28"/>
          <w:szCs w:val="28"/>
          <w:rtl/>
        </w:rPr>
        <w:t xml:space="preserve">الشين، ج 3، ص721.</w:t>
      </w:r>
    </w:p>
    <w:p>
      <w:pPr>
        <w:pStyle w:val="BookText"/>
      </w:pPr>
      <w:r>
        <w:rPr>
          <w:rFonts w:ascii="Amiri" w:hAnsi="Amiri" w:eastAsia="Amiri" w:cs="Amiri"/>
          <w:lang w:bidi="ar-SA"/>
          <w:color w:val="111111"/>
          <w:sz w:val="28"/>
          <w:szCs w:val="28"/>
          <w:rtl/>
        </w:rPr>
        <w:t xml:space="preserve">4 .تيسير فاتحة الاهاب بتفسير فاتحة</w:t>
      </w:r>
    </w:p>
    <w:p>
      <w:pPr>
        <w:pStyle w:val="BookText"/>
      </w:pPr>
      <w:r>
        <w:rPr>
          <w:rFonts w:ascii="Amiri" w:hAnsi="Amiri" w:eastAsia="Amiri" w:cs="Amiri"/>
          <w:lang w:bidi="ar-SA"/>
          <w:color w:val="111111"/>
          <w:sz w:val="28"/>
          <w:szCs w:val="28"/>
          <w:rtl/>
        </w:rPr>
        <w:t xml:space="preserve">الكتاب، ج 5، ص192.</w:t>
      </w:r>
    </w:p>
    <w:p>
      <w:pPr>
        <w:pStyle w:val="BookText"/>
      </w:pPr>
      <w:r>
        <w:rPr>
          <w:rFonts w:ascii="Amiri" w:hAnsi="Amiri" w:eastAsia="Amiri" w:cs="Amiri"/>
          <w:lang w:bidi="ar-SA"/>
          <w:color w:val="111111"/>
          <w:sz w:val="28"/>
          <w:szCs w:val="28"/>
          <w:rtl/>
        </w:rPr>
        <w:t xml:space="preserve">5 .الجليس الانيس في تحريم</w:t>
      </w:r>
    </w:p>
    <w:p>
      <w:pPr>
        <w:pStyle w:val="BookText"/>
      </w:pPr>
      <w:r>
        <w:rPr>
          <w:rFonts w:ascii="Amiri" w:hAnsi="Amiri" w:eastAsia="Amiri" w:cs="Amiri"/>
          <w:lang w:bidi="ar-SA"/>
          <w:color w:val="111111"/>
          <w:sz w:val="28"/>
          <w:szCs w:val="28"/>
          <w:rtl/>
        </w:rPr>
        <w:t xml:space="preserve">الخندريس، ج 5، ص 417 .</w:t>
      </w:r>
    </w:p>
    <w:p>
      <w:pPr>
        <w:pStyle w:val="BookText"/>
      </w:pPr>
      <w:r>
        <w:rPr>
          <w:rFonts w:ascii="Amiri" w:hAnsi="Amiri" w:eastAsia="Amiri" w:cs="Amiri"/>
          <w:lang w:bidi="ar-SA"/>
          <w:color w:val="111111"/>
          <w:sz w:val="28"/>
          <w:szCs w:val="28"/>
          <w:rtl/>
        </w:rPr>
        <w:t xml:space="preserve">6 .سفر السعادة = صراط المستقيم</w:t>
      </w:r>
    </w:p>
    <w:p>
      <w:pPr>
        <w:pStyle w:val="BookText"/>
      </w:pPr>
      <w:r>
        <w:rPr>
          <w:rFonts w:ascii="IRNazanin" w:hAnsi="IRNazanin" w:eastAsia="IRNazanin" w:cs="IRNazanin"/>
          <w:lang w:bidi="fa-IR"/>
          <w:color w:val="111111"/>
          <w:sz w:val="28"/>
          <w:szCs w:val="28"/>
          <w:rtl/>
        </w:rPr>
        <w:t xml:space="preserve">ج 8، ص 777</w:t>
      </w:r>
    </w:p>
    <w:p>
      <w:pPr>
        <w:pStyle w:val="BookText"/>
      </w:pPr>
      <w:r>
        <w:rPr>
          <w:rFonts w:ascii="Amiri" w:hAnsi="Amiri" w:eastAsia="Amiri" w:cs="Amiri"/>
          <w:lang w:bidi="ar-SA"/>
          <w:color w:val="111111"/>
          <w:sz w:val="28"/>
          <w:szCs w:val="28"/>
          <w:rtl/>
        </w:rPr>
        <w:t xml:space="preserve">7 .الصلاة و البشر في الصلاة على خير</w:t>
      </w:r>
    </w:p>
    <w:p>
      <w:pPr>
        <w:pStyle w:val="BookText"/>
      </w:pPr>
      <w:r>
        <w:rPr>
          <w:rFonts w:ascii="IRNazanin" w:hAnsi="IRNazanin" w:eastAsia="IRNazanin" w:cs="IRNazanin"/>
          <w:lang w:bidi="fa-IR"/>
          <w:color w:val="111111"/>
          <w:sz w:val="28"/>
          <w:szCs w:val="28"/>
          <w:rtl/>
        </w:rPr>
        <w:t xml:space="preserve">البشر، ج 10، ص 617.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الغرر المثلثة و الدرر المبثثة، ج 11،</w:t>
      </w:r>
    </w:p>
    <w:p>
      <w:pPr>
        <w:pStyle w:val="BookText"/>
      </w:pPr>
      <w:r>
        <w:rPr>
          <w:rFonts w:ascii="IRNazanin" w:hAnsi="IRNazanin" w:eastAsia="IRNazanin" w:cs="IRNazanin"/>
          <w:lang w:bidi="fa-IR"/>
          <w:color w:val="111111"/>
          <w:sz w:val="28"/>
          <w:szCs w:val="28"/>
          <w:rtl/>
        </w:rPr>
        <w:t xml:space="preserve">ص 487 .</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القاموس المحيط - قاموس اللغة =</w:t>
      </w:r>
    </w:p>
    <w:p>
      <w:pPr>
        <w:pStyle w:val="BookText"/>
      </w:pPr>
      <w:r>
        <w:rPr>
          <w:rFonts w:ascii="Amiri" w:hAnsi="Amiri" w:eastAsia="Amiri" w:cs="Amiri"/>
          <w:lang w:bidi="ar-SA"/>
          <w:color w:val="111111"/>
          <w:sz w:val="28"/>
          <w:szCs w:val="28"/>
          <w:rtl/>
        </w:rPr>
        <w:t xml:space="preserve">الجامع لما ذهب من كلام العرب</w:t>
      </w:r>
    </w:p>
    <w:p>
      <w:pPr>
        <w:pStyle w:val="BookText"/>
      </w:pPr>
      <w:r>
        <w:rPr>
          <w:rFonts w:ascii="IRNazanin" w:hAnsi="IRNazanin" w:eastAsia="IRNazanin" w:cs="IRNazanin"/>
          <w:lang w:bidi="fa-IR"/>
          <w:color w:val="111111"/>
          <w:sz w:val="28"/>
          <w:szCs w:val="28"/>
          <w:rtl/>
        </w:rPr>
        <w:t xml:space="preserve">ج 12، ص 344.</w:t>
      </w:r>
    </w:p>
    <w:p>
      <w:pPr>
        <w:pStyle w:val="BookText"/>
      </w:pPr>
      <w:r>
        <w:rPr>
          <w:rFonts w:ascii="Amiri" w:hAnsi="Amiri" w:eastAsia="Amiri" w:cs="Amiri"/>
          <w:lang w:bidi="ar-SA"/>
          <w:color w:val="111111"/>
          <w:sz w:val="28"/>
          <w:szCs w:val="28"/>
          <w:rtl/>
        </w:rPr>
        <w:t xml:space="preserve">10 .مجموع ما ألف في المثلث، ج 14،</w:t>
      </w:r>
    </w:p>
    <w:p>
      <w:pPr>
        <w:pStyle w:val="BookText"/>
      </w:pPr>
      <w:r>
        <w:rPr>
          <w:rFonts w:ascii="IRNazanin" w:hAnsi="IRNazanin" w:eastAsia="IRNazanin" w:cs="IRNazanin"/>
          <w:lang w:bidi="fa-IR"/>
          <w:color w:val="111111"/>
          <w:sz w:val="28"/>
          <w:szCs w:val="28"/>
          <w:rtl/>
        </w:rPr>
        <w:t xml:space="preserve">ص 75 .</w:t>
      </w:r>
    </w:p>
    <w:p>
      <w:pPr>
        <w:pStyle w:val="BookText"/>
      </w:pPr>
      <w:r>
        <w:rPr>
          <w:rFonts w:ascii="Amiri" w:hAnsi="Amiri" w:eastAsia="Amiri" w:cs="Amiri"/>
          <w:lang w:bidi="ar-SA"/>
          <w:color w:val="111111"/>
          <w:sz w:val="28"/>
          <w:szCs w:val="28"/>
          <w:rtl/>
        </w:rPr>
        <w:t xml:space="preserve">11 .مزاد المراد و زاد المعاد في مدح</w:t>
      </w:r>
    </w:p>
    <w:p>
      <w:pPr>
        <w:pStyle w:val="BookText"/>
      </w:pPr>
      <w:r>
        <w:rPr>
          <w:rFonts w:ascii="Amiri" w:hAnsi="Amiri" w:eastAsia="Amiri" w:cs="Amiri"/>
          <w:lang w:bidi="ar-SA"/>
          <w:color w:val="111111"/>
          <w:sz w:val="28"/>
          <w:szCs w:val="28"/>
          <w:rtl/>
        </w:rPr>
        <w:t xml:space="preserve">خير العباد، ج 14، ص 415.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المهذب، ج 15، ص 843.</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57" w:name="pg7742_70988"/>
    <w:bookmarkEnd w:id="857"/>
    <w:p>
      <w:pPr>
        <w:pStyle w:val="Heading2"/>
      </w:pPr>
      <w:bookmarkStart w:id="6425" w:name="_Toc5527"/>
      <w:r>
        <w:t>فيروز بن كاووس قرن 10 ه-</w:t>
      </w:r>
      <w:bookmarkEnd w:id="64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فرهنگ دساتير، ج 11، ص810.</w:t>
      </w:r>
    </w:p>
    <w:p>
      <w:pPr>
        <w:pStyle w:val="BookText"/>
      </w:pPr>
      <w:r>
        <w:rPr>
          <w:rFonts w:ascii="IRNazanin" w:hAnsi="IRNazanin" w:eastAsia="IRNazanin" w:cs="IRNazanin"/>
          <w:lang w:bidi="fa-IR"/>
          <w:color w:val="111111"/>
          <w:sz w:val="28"/>
          <w:szCs w:val="28"/>
          <w:rtl/>
        </w:rPr>
        <w:t xml:space="preserve">2 .گرامي نامه یزدان پاك = دساتير</w:t>
      </w:r>
    </w:p>
    <w:p>
      <w:pPr>
        <w:pStyle w:val="BookText"/>
      </w:pPr>
      <w:r>
        <w:rPr>
          <w:rFonts w:ascii="Amiri" w:hAnsi="Amiri" w:eastAsia="Amiri" w:cs="Amiri"/>
          <w:lang w:bidi="ar-SA"/>
          <w:color w:val="111111"/>
          <w:sz w:val="28"/>
          <w:szCs w:val="28"/>
          <w:rtl/>
        </w:rPr>
        <w:t xml:space="preserve">آسماني، ج 13، ص 497.</w:t>
      </w:r>
    </w:p>
    <w:p>
      <w:pPr>
        <w:pStyle w:val="Heading2"/>
      </w:pPr>
      <w:bookmarkStart w:id="6426" w:name="_Toc5528"/>
      <w:r>
        <w:t>فيشي ، محمّد ، محمّد بن محمّد - 917 ه-</w:t>
      </w:r>
      <w:bookmarkEnd w:id="6426"/>
    </w:p>
    <w:p>
      <w:pPr>
        <w:pStyle w:val="BookText"/>
      </w:pPr>
      <w:r>
        <w:rPr>
          <w:rFonts w:ascii="Amiri" w:hAnsi="Amiri" w:eastAsia="Amiri" w:cs="Amiri"/>
          <w:lang w:bidi="ar-SA"/>
          <w:color w:val="111111"/>
          <w:sz w:val="28"/>
          <w:szCs w:val="28"/>
          <w:rtl/>
        </w:rPr>
        <w:t xml:space="preserve">1 .حاشية شرح قطر الندى و بل</w:t>
      </w:r>
    </w:p>
    <w:p>
      <w:pPr>
        <w:pStyle w:val="BookText"/>
      </w:pPr>
      <w:r>
        <w:rPr>
          <w:rFonts w:ascii="IRNazanin" w:hAnsi="IRNazanin" w:eastAsia="IRNazanin" w:cs="IRNazanin"/>
          <w:lang w:bidi="fa-IR"/>
          <w:color w:val="111111"/>
          <w:sz w:val="28"/>
          <w:szCs w:val="28"/>
          <w:rtl/>
        </w:rPr>
        <w:t xml:space="preserve">الصدى، ج 6، ص 156 .</w:t>
      </w:r>
    </w:p>
    <w:p>
      <w:pPr>
        <w:pStyle w:val="BookText"/>
      </w:pPr>
      <w:r>
        <w:rPr>
          <w:rFonts w:ascii="Amiri" w:hAnsi="Amiri" w:eastAsia="Amiri" w:cs="Amiri"/>
          <w:lang w:bidi="ar-SA"/>
          <w:color w:val="111111"/>
          <w:sz w:val="28"/>
          <w:szCs w:val="28"/>
          <w:rtl/>
        </w:rPr>
        <w:t xml:space="preserve">2 .المنح الوفية لشرح المقدمة العزية</w:t>
      </w:r>
    </w:p>
    <w:p>
      <w:pPr>
        <w:pStyle w:val="BookText"/>
      </w:pPr>
      <w:r>
        <w:rPr>
          <w:rFonts w:ascii="IRNazanin" w:hAnsi="IRNazanin" w:eastAsia="IRNazanin" w:cs="IRNazanin"/>
          <w:lang w:bidi="fa-IR"/>
          <w:color w:val="111111"/>
          <w:sz w:val="28"/>
          <w:szCs w:val="28"/>
          <w:rtl/>
        </w:rPr>
        <w:t xml:space="preserve">ج 15 ، ص 682 .</w:t>
      </w:r>
    </w:p>
    <w:p>
      <w:pPr>
        <w:pStyle w:val="Heading2"/>
      </w:pPr>
      <w:bookmarkStart w:id="6427" w:name="_Toc5529"/>
      <w:r>
        <w:t>فيشي ، يوسف بن احمد - 1061 ه-</w:t>
      </w:r>
      <w:bookmarkEnd w:id="6427"/>
    </w:p>
    <w:p>
      <w:pPr>
        <w:pStyle w:val="BookText"/>
      </w:pPr>
      <w:r>
        <w:rPr>
          <w:rFonts w:ascii="Amiri" w:hAnsi="Amiri" w:eastAsia="Amiri" w:cs="Amiri"/>
          <w:lang w:bidi="ar-SA"/>
          <w:color w:val="111111"/>
          <w:sz w:val="28"/>
          <w:szCs w:val="28"/>
          <w:rtl/>
        </w:rPr>
        <w:t xml:space="preserve">1 .حاشية شرح الشذور، ج 6، ص 129.</w:t>
      </w:r>
    </w:p>
    <w:p>
      <w:pPr>
        <w:pStyle w:val="BookText"/>
      </w:pPr>
      <w:r>
        <w:rPr>
          <w:rFonts w:ascii="Amiri" w:hAnsi="Amiri" w:eastAsia="Amiri" w:cs="Amiri"/>
          <w:lang w:bidi="ar-SA"/>
          <w:color w:val="111111"/>
          <w:sz w:val="28"/>
          <w:szCs w:val="28"/>
          <w:rtl/>
        </w:rPr>
        <w:t xml:space="preserve">2 .حاشية مجيب الندا إلى شرح قطر</w:t>
      </w:r>
    </w:p>
    <w:p>
      <w:pPr>
        <w:pStyle w:val="BookText"/>
      </w:pPr>
      <w:r>
        <w:rPr>
          <w:rFonts w:ascii="IRNazanin" w:hAnsi="IRNazanin" w:eastAsia="IRNazanin" w:cs="IRNazanin"/>
          <w:lang w:bidi="fa-IR"/>
          <w:color w:val="111111"/>
          <w:sz w:val="28"/>
          <w:szCs w:val="28"/>
          <w:rtl/>
        </w:rPr>
        <w:t xml:space="preserve">الندى، ج 6، ص 350.</w:t>
      </w:r>
    </w:p>
    <w:p>
      <w:pPr>
        <w:pStyle w:val="BookText"/>
      </w:pPr>
      <w:r>
        <w:rPr>
          <w:rFonts w:ascii="Amiri" w:hAnsi="Amiri" w:eastAsia="Amiri" w:cs="Amiri"/>
          <w:lang w:bidi="ar-SA"/>
          <w:color w:val="111111"/>
          <w:sz w:val="28"/>
          <w:szCs w:val="28"/>
          <w:rtl/>
        </w:rPr>
        <w:t xml:space="preserve">فيض الله بن مبارك اكبر آبادي هندي</w:t>
      </w:r>
    </w:p>
    <w:p>
      <w:pPr>
        <w:pStyle w:val="BookText"/>
      </w:pPr>
      <w:r>
        <w:rPr>
          <w:rFonts w:ascii="Amiri" w:hAnsi="Amiri" w:eastAsia="Amiri" w:cs="Amiri"/>
          <w:lang w:bidi="ar-SA"/>
          <w:color w:val="111111"/>
          <w:sz w:val="28"/>
          <w:szCs w:val="28"/>
          <w:rtl/>
        </w:rPr>
        <w:t xml:space="preserve">(فيضي) -فيضي ، ابوالفيض بن مبارك</w:t>
      </w:r>
    </w:p>
    <w:p>
      <w:pPr>
        <w:pStyle w:val="BookText"/>
      </w:pPr>
      <w:r>
        <w:rPr>
          <w:rFonts w:ascii="IRNazanin" w:hAnsi="IRNazanin" w:eastAsia="IRNazanin" w:cs="IRNazanin"/>
          <w:lang w:bidi="fa-IR"/>
          <w:color w:val="111111"/>
          <w:sz w:val="28"/>
          <w:szCs w:val="28"/>
          <w:rtl/>
        </w:rPr>
        <w:t xml:space="preserve">فيض الله بن مصطفى شکرزاده -شکرزاده</w:t>
      </w:r>
    </w:p>
    <w:p>
      <w:pPr>
        <w:pStyle w:val="BookText"/>
      </w:pPr>
      <w:r>
        <w:rPr>
          <w:rFonts w:ascii="Amiri" w:hAnsi="Amiri" w:eastAsia="Amiri" w:cs="Amiri"/>
          <w:lang w:bidi="ar-SA"/>
          <w:color w:val="111111"/>
          <w:sz w:val="28"/>
          <w:szCs w:val="28"/>
          <w:rtl/>
        </w:rPr>
        <w:t xml:space="preserve">، فيض الله بن مصطفى</w:t>
      </w:r>
    </w:p>
    <w:p>
      <w:pPr>
        <w:pStyle w:val="BookText"/>
      </w:pPr>
      <w:r>
        <w:rPr>
          <w:rFonts w:ascii="Amiri" w:hAnsi="Amiri" w:eastAsia="Amiri" w:cs="Amiri"/>
          <w:lang w:bidi="ar-SA"/>
          <w:color w:val="111111"/>
          <w:sz w:val="28"/>
          <w:szCs w:val="28"/>
          <w:rtl/>
        </w:rPr>
        <w:t xml:space="preserve">فيض كاشاني ، احمد بن محمّد -محسن</w:t>
      </w:r>
    </w:p>
    <w:p>
      <w:pPr>
        <w:pStyle w:val="BookText"/>
      </w:pPr>
      <w:r>
        <w:rPr>
          <w:rFonts w:ascii="Amiri" w:hAnsi="Amiri" w:eastAsia="Amiri" w:cs="Amiri"/>
          <w:lang w:bidi="ar-SA"/>
          <w:color w:val="111111"/>
          <w:sz w:val="28"/>
          <w:szCs w:val="28"/>
          <w:rtl/>
        </w:rPr>
        <w:t xml:space="preserve">فيضي ، احمد بن محمّد محسن</w:t>
      </w:r>
    </w:p>
    <w:p>
      <w:pPr>
        <w:pStyle w:val="BookText"/>
      </w:pPr>
      <w:r>
        <w:rPr>
          <w:rFonts w:ascii="Amiri" w:hAnsi="Amiri" w:eastAsia="Amiri" w:cs="Amiri"/>
          <w:lang w:bidi="ar-SA"/>
          <w:color w:val="111111"/>
          <w:sz w:val="28"/>
          <w:szCs w:val="28"/>
          <w:rtl/>
        </w:rPr>
        <w:t xml:space="preserve">فيض كاشاني ، محسن بن سميع- كرمانشاهي ، محمّد محسن بن</w:t>
      </w:r>
    </w:p>
    <w:p>
      <w:pPr>
        <w:pStyle w:val="BookText"/>
      </w:pPr>
      <w:r>
        <w:rPr>
          <w:rFonts w:ascii="Amiri" w:hAnsi="Amiri" w:eastAsia="Amiri" w:cs="Amiri"/>
          <w:lang w:bidi="ar-SA"/>
          <w:color w:val="111111"/>
          <w:sz w:val="28"/>
          <w:szCs w:val="28"/>
          <w:rtl/>
        </w:rPr>
        <w:t xml:space="preserve">محمّد سميع</w:t>
      </w:r>
    </w:p>
    <w:p>
      <w:pPr>
        <w:pStyle w:val="BookText"/>
      </w:pPr>
      <w:r>
        <w:rPr>
          <w:rFonts w:ascii="IRNazanin" w:hAnsi="IRNazanin" w:eastAsia="IRNazanin" w:cs="IRNazanin"/>
          <w:lang w:bidi="fa-IR"/>
          <w:color w:val="111111"/>
          <w:sz w:val="28"/>
          <w:szCs w:val="28"/>
          <w:rtl/>
        </w:rPr>
        <w:t xml:space="preserve">فیض کاشاني ، محسن بن مرتضى- فيض</w:t>
      </w:r>
    </w:p>
    <w:p>
      <w:pPr>
        <w:pStyle w:val="BookText"/>
      </w:pPr>
      <w:r>
        <w:rPr>
          <w:rFonts w:ascii="IRNazanin" w:hAnsi="IRNazanin" w:eastAsia="IRNazanin" w:cs="IRNazanin"/>
          <w:lang w:bidi="fa-IR"/>
          <w:color w:val="111111"/>
          <w:sz w:val="28"/>
          <w:szCs w:val="28"/>
          <w:rtl/>
        </w:rPr>
        <w:t xml:space="preserve">كاشاني ، محمّد بن شاه مرتضی</w:t>
      </w:r>
    </w:p>
    <w:p>
      <w:pPr>
        <w:pStyle w:val="Heading2"/>
      </w:pPr>
      <w:bookmarkStart w:id="6428" w:name="_Toc5530"/>
      <w:r>
        <w:t>فيض كاشاني ، محمّد بن شاه مرتضی</w:t>
      </w:r>
      <w:bookmarkEnd w:id="6428"/>
    </w:p>
    <w:p>
      <w:pPr>
        <w:pStyle w:val="BookText"/>
      </w:pPr>
      <w:r>
        <w:rPr>
          <w:rFonts w:ascii="IRNazanin" w:hAnsi="IRNazanin" w:eastAsia="IRNazanin" w:cs="IRNazanin"/>
          <w:lang w:bidi="fa-IR"/>
          <w:color w:val="111111"/>
          <w:sz w:val="28"/>
          <w:szCs w:val="28"/>
          <w:rtl/>
        </w:rPr>
        <w:t xml:space="preserve">1006-1091ه-</w:t>
      </w:r>
    </w:p>
    <w:p>
      <w:pPr>
        <w:pStyle w:val="BookText"/>
      </w:pPr>
      <w:r>
        <w:rPr>
          <w:rFonts w:ascii="Amiri" w:hAnsi="Amiri" w:eastAsia="Amiri" w:cs="Amiri"/>
          <w:lang w:bidi="ar-SA"/>
          <w:color w:val="111111"/>
          <w:sz w:val="28"/>
          <w:szCs w:val="28"/>
          <w:rtl/>
        </w:rPr>
        <w:t xml:space="preserve">1 .الآيات المحكمات و المتشابهات</w:t>
      </w:r>
    </w:p>
    <w:p>
      <w:pPr>
        <w:pStyle w:val="BookText"/>
      </w:pPr>
      <w:r>
        <w:rPr>
          <w:rFonts w:ascii="Amiri" w:hAnsi="Amiri" w:eastAsia="Amiri" w:cs="Amiri"/>
          <w:lang w:bidi="ar-SA"/>
          <w:color w:val="111111"/>
          <w:sz w:val="28"/>
          <w:szCs w:val="28"/>
          <w:rtl/>
        </w:rPr>
        <w:t xml:space="preserve">(فائدة في معنى)، ج1، ص77.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اذكار الطهارة، ج 1، ص 674 .</w:t>
      </w:r>
    </w:p>
    <w:p>
      <w:pPr>
        <w:pStyle w:val="BookText"/>
      </w:pPr>
      <w:r>
        <w:rPr>
          <w:rFonts w:ascii="IRNazanin" w:hAnsi="IRNazanin" w:eastAsia="IRNazanin" w:cs="IRNazanin"/>
          <w:lang w:bidi="fa-IR"/>
          <w:color w:val="111111"/>
          <w:sz w:val="28"/>
          <w:szCs w:val="28"/>
          <w:rtl/>
        </w:rPr>
        <w:t xml:space="preserve">3.الاصفى، ج 2، ص 369.</w:t>
      </w:r>
    </w:p>
    <w:p>
      <w:pPr>
        <w:pStyle w:val="BookText"/>
      </w:pPr>
      <w:r>
        <w:rPr>
          <w:rFonts w:ascii="Amiri" w:hAnsi="Amiri" w:eastAsia="Amiri" w:cs="Amiri"/>
          <w:lang w:bidi="ar-SA"/>
          <w:color w:val="111111"/>
          <w:sz w:val="28"/>
          <w:szCs w:val="28"/>
          <w:rtl/>
        </w:rPr>
        <w:t xml:space="preserve">4 .الاصول الاصيلة، ج 2، ص 404.</w:t>
      </w:r>
    </w:p>
    <w:p>
      <w:pPr>
        <w:pStyle w:val="BookText"/>
      </w:pPr>
      <w:r>
        <w:rPr>
          <w:rFonts w:ascii="IRNazanin" w:hAnsi="IRNazanin" w:eastAsia="IRNazanin" w:cs="IRNazanin"/>
          <w:lang w:bidi="fa-IR"/>
          <w:color w:val="111111"/>
          <w:sz w:val="28"/>
          <w:szCs w:val="28"/>
          <w:rtl/>
        </w:rPr>
        <w:t xml:space="preserve">5 .اصول العقائد، ج 2، ص 427.</w:t>
      </w:r>
    </w:p>
    <w:p>
      <w:pPr>
        <w:pStyle w:val="BookText"/>
      </w:pPr>
      <w:r>
        <w:rPr>
          <w:rFonts w:ascii="IRNazanin" w:hAnsi="IRNazanin" w:eastAsia="IRNazanin" w:cs="IRNazanin"/>
          <w:lang w:bidi="fa-IR"/>
          <w:color w:val="111111"/>
          <w:sz w:val="28"/>
          <w:szCs w:val="28"/>
          <w:rtl/>
        </w:rPr>
        <w:t xml:space="preserve">6 .اصول المعارف، ج 2، ص 465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الانصاف، ج 2، ص 816.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انوار الحكمة، ج 2، ص882.</w:t>
      </w:r>
    </w:p>
    <w:p>
      <w:pPr>
        <w:pStyle w:val="BookText"/>
      </w:pPr>
      <w:r>
        <w:rPr>
          <w:rFonts w:ascii="Amiri" w:hAnsi="Amiri" w:eastAsia="Amiri" w:cs="Amiri"/>
          <w:lang w:bidi="ar-SA"/>
          <w:color w:val="111111"/>
          <w:sz w:val="28"/>
          <w:szCs w:val="28"/>
          <w:rtl/>
        </w:rPr>
        <w:t xml:space="preserve">9 .بشارة الشيعة، ج 3، ص 335.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تحفة المؤمنين، ج 4، ص 5.</w:t>
      </w:r>
    </w:p>
    <w:p>
      <w:pPr>
        <w:pStyle w:val="BookText"/>
      </w:pPr>
      <w:r>
        <w:rPr>
          <w:rFonts w:ascii="Amiri" w:hAnsi="Amiri" w:eastAsia="Amiri" w:cs="Amiri"/>
          <w:lang w:bidi="ar-SA"/>
          <w:color w:val="111111"/>
          <w:sz w:val="28"/>
          <w:szCs w:val="28"/>
          <w:rtl/>
        </w:rPr>
        <w:t xml:space="preserve">11 .التذكرة، ج 4، ص 174 .</w:t>
      </w:r>
    </w:p>
    <w:p>
      <w:pPr>
        <w:pStyle w:val="BookText"/>
      </w:pPr>
      <w:r>
        <w:rPr>
          <w:rFonts w:ascii="Amiri" w:hAnsi="Amiri" w:eastAsia="Amiri" w:cs="Amiri"/>
          <w:lang w:bidi="ar-SA"/>
          <w:color w:val="111111"/>
          <w:sz w:val="28"/>
          <w:szCs w:val="28"/>
          <w:rtl/>
        </w:rPr>
        <w:t xml:space="preserve">12 ت.رجمة الاعتقادات، ج4، ص 259.</w:t>
      </w:r>
    </w:p>
    <w:p>
      <w:pPr>
        <w:pStyle w:val="BookText"/>
      </w:pPr>
      <w:r>
        <w:rPr>
          <w:rFonts w:ascii="Amiri" w:hAnsi="Amiri" w:eastAsia="Amiri" w:cs="Amiri"/>
          <w:lang w:bidi="ar-SA"/>
          <w:color w:val="111111"/>
          <w:sz w:val="28"/>
          <w:szCs w:val="28"/>
          <w:rtl/>
        </w:rPr>
        <w:t xml:space="preserve">13 .ترجمة الحج، ج 4، ص 265.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ترجمة الزكاة، ج 4، ص 271.</w:t>
      </w:r>
    </w:p>
    <w:p>
      <w:pPr>
        <w:pStyle w:val="BookText"/>
      </w:pPr>
      <w:r>
        <w:rPr>
          <w:rFonts w:ascii="Amiri" w:hAnsi="Amiri" w:eastAsia="Amiri" w:cs="Amiri"/>
          <w:lang w:bidi="ar-SA"/>
          <w:color w:val="111111"/>
          <w:sz w:val="28"/>
          <w:szCs w:val="28"/>
          <w:rtl/>
        </w:rPr>
        <w:t xml:space="preserve">15 .ترجمة الشريعة - فضيلة الشيعة</w:t>
      </w:r>
    </w:p>
    <w:p>
      <w:pPr>
        <w:pStyle w:val="BookText"/>
      </w:pPr>
      <w:r>
        <w:rPr>
          <w:rFonts w:ascii="IRNazanin" w:hAnsi="IRNazanin" w:eastAsia="IRNazanin" w:cs="IRNazanin"/>
          <w:lang w:bidi="fa-IR"/>
          <w:color w:val="111111"/>
          <w:sz w:val="28"/>
          <w:szCs w:val="28"/>
          <w:rtl/>
        </w:rPr>
        <w:t xml:space="preserve">ج 4، ص 278.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ترجمة الصلاة = هشت درب</w:t>
      </w:r>
    </w:p>
    <w:p>
      <w:pPr>
        <w:pStyle w:val="BookText"/>
      </w:pPr>
      <w:r>
        <w:rPr>
          <w:rFonts w:ascii="IRNazanin" w:hAnsi="IRNazanin" w:eastAsia="IRNazanin" w:cs="IRNazanin"/>
          <w:lang w:bidi="fa-IR"/>
          <w:color w:val="111111"/>
          <w:sz w:val="28"/>
          <w:szCs w:val="28"/>
          <w:rtl/>
        </w:rPr>
        <w:t xml:space="preserve">بهشت، ج4، ص283.</w:t>
      </w:r>
    </w:p>
    <w:p>
      <w:pPr>
        <w:pStyle w:val="BookText"/>
      </w:pPr>
      <w:r>
        <w:rPr>
          <w:rFonts w:ascii="Amiri" w:hAnsi="Amiri" w:eastAsia="Amiri" w:cs="Amiri"/>
          <w:lang w:bidi="ar-SA"/>
          <w:color w:val="111111"/>
          <w:sz w:val="28"/>
          <w:szCs w:val="28"/>
          <w:rtl/>
        </w:rPr>
        <w:t xml:space="preserve">17 .ترجمة الصيام، ج 4، ص 285.</w:t>
      </w:r>
    </w:p>
    <w:p>
      <w:pPr>
        <w:pStyle w:val="BookText"/>
      </w:pPr>
      <w:r>
        <w:rPr>
          <w:rFonts w:ascii="Amiri" w:hAnsi="Amiri" w:eastAsia="Amiri" w:cs="Amiri"/>
          <w:lang w:bidi="ar-SA"/>
          <w:color w:val="111111"/>
          <w:sz w:val="28"/>
          <w:szCs w:val="28"/>
          <w:rtl/>
        </w:rPr>
        <w:t xml:space="preserve">18 .ترجمة الطهارة، ج 4، ص 286 .</w:t>
      </w:r>
    </w:p>
    <w:p>
      <w:pPr>
        <w:pStyle w:val="BookText"/>
      </w:pPr>
      <w:r>
        <w:rPr>
          <w:rFonts w:ascii="Amiri" w:hAnsi="Amiri" w:eastAsia="Amiri" w:cs="Amiri"/>
          <w:lang w:bidi="ar-SA"/>
          <w:color w:val="111111"/>
          <w:sz w:val="28"/>
          <w:szCs w:val="28"/>
          <w:rtl/>
        </w:rPr>
        <w:t xml:space="preserve">19 .ترجمة العقائد الدينية في الأصول</w:t>
      </w:r>
    </w:p>
    <w:p>
      <w:pPr>
        <w:pStyle w:val="BookText"/>
      </w:pPr>
      <w:r>
        <w:rPr>
          <w:rFonts w:ascii="Amiri" w:hAnsi="Amiri" w:eastAsia="Amiri" w:cs="Amiri"/>
          <w:lang w:bidi="ar-SA"/>
          <w:color w:val="111111"/>
          <w:sz w:val="28"/>
          <w:szCs w:val="28"/>
          <w:rtl/>
        </w:rPr>
        <w:t xml:space="preserve">الاعتقادية، ج 4، ص288.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تركيب العوامل المائة، جع،</w:t>
      </w:r>
    </w:p>
    <w:p>
      <w:pPr>
        <w:pStyle w:val="BookText"/>
      </w:pPr>
      <w:r>
        <w:rPr>
          <w:rFonts w:ascii="IRNazanin" w:hAnsi="IRNazanin" w:eastAsia="IRNazanin" w:cs="IRNazanin"/>
          <w:lang w:bidi="fa-IR"/>
          <w:color w:val="111111"/>
          <w:sz w:val="28"/>
          <w:szCs w:val="28"/>
          <w:rtl/>
        </w:rPr>
        <w:t xml:space="preserve">ص 314 .</w:t>
      </w:r>
    </w:p>
    <w:p>
      <w:pPr>
        <w:pStyle w:val="BookText"/>
      </w:pPr>
      <w:r>
        <w:rPr>
          <w:rFonts w:ascii="Amiri" w:hAnsi="Amiri" w:eastAsia="Amiri" w:cs="Amiri"/>
          <w:lang w:bidi="ar-SA"/>
          <w:color w:val="111111"/>
          <w:sz w:val="28"/>
          <w:szCs w:val="28"/>
          <w:rtl/>
        </w:rPr>
        <w:t xml:space="preserve">21 .تشريح من كتاب عين اليقين، ج 4،</w:t>
      </w:r>
    </w:p>
    <w:p>
      <w:pPr>
        <w:pStyle w:val="BookText"/>
      </w:pPr>
      <w:r>
        <w:rPr>
          <w:rFonts w:ascii="IRNazanin" w:hAnsi="IRNazanin" w:eastAsia="IRNazanin" w:cs="IRNazanin"/>
          <w:lang w:bidi="fa-IR"/>
          <w:color w:val="111111"/>
          <w:sz w:val="28"/>
          <w:szCs w:val="28"/>
          <w:rtl/>
        </w:rPr>
        <w:t xml:space="preserve">ص 380.</w:t>
      </w:r>
    </w:p>
    <w:p>
      <w:pPr>
        <w:pStyle w:val="BookText"/>
      </w:pPr>
      <w:r>
        <w:rPr>
          <w:rFonts w:ascii="Amiri" w:hAnsi="Amiri" w:eastAsia="Amiri" w:cs="Amiri"/>
          <w:lang w:bidi="ar-SA"/>
          <w:color w:val="111111"/>
          <w:sz w:val="28"/>
          <w:szCs w:val="28"/>
          <w:rtl/>
        </w:rPr>
        <w:t xml:space="preserve">22 .تقويم المحسنين = احسن التقويم</w:t>
      </w:r>
    </w:p>
    <w:p>
      <w:pPr>
        <w:pStyle w:val="BookText"/>
      </w:pPr>
      <w:r>
        <w:rPr>
          <w:rFonts w:ascii="IRNazanin" w:hAnsi="IRNazanin" w:eastAsia="IRNazanin" w:cs="IRNazanin"/>
          <w:lang w:bidi="fa-IR"/>
          <w:color w:val="111111"/>
          <w:sz w:val="28"/>
          <w:szCs w:val="28"/>
          <w:rtl/>
        </w:rPr>
        <w:t xml:space="preserve">ج 4، ص 804.</w:t>
      </w:r>
    </w:p>
    <w:p>
      <w:pPr>
        <w:pStyle w:val="BookText"/>
      </w:pPr>
      <w:r>
        <w:rPr>
          <w:rFonts w:ascii="Amiri" w:hAnsi="Amiri" w:eastAsia="Amiri" w:cs="Amiri"/>
          <w:lang w:bidi="ar-SA"/>
          <w:color w:val="111111"/>
          <w:sz w:val="28"/>
          <w:szCs w:val="28"/>
          <w:rtl/>
        </w:rPr>
        <w:t xml:space="preserve">23 .جلاء القلوب = القول السديد جلاء العيون = اذكار القلوب، ج5،</w:t>
      </w:r>
    </w:p>
    <w:p>
      <w:pPr>
        <w:pStyle w:val="BookText"/>
      </w:pPr>
      <w:r>
        <w:rPr>
          <w:rFonts w:ascii="IRNazanin" w:hAnsi="IRNazanin" w:eastAsia="IRNazanin" w:cs="IRNazanin"/>
          <w:lang w:bidi="fa-IR"/>
          <w:color w:val="111111"/>
          <w:sz w:val="28"/>
          <w:szCs w:val="28"/>
          <w:rtl/>
        </w:rPr>
        <w:t xml:space="preserve">ص 414.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.الحقائق = الحقايق في اسرار</w:t>
      </w:r>
    </w:p>
    <w:p>
      <w:pPr>
        <w:pStyle w:val="BookText"/>
      </w:pPr>
      <w:r>
        <w:rPr>
          <w:rFonts w:ascii="Amiri" w:hAnsi="Amiri" w:eastAsia="Amiri" w:cs="Amiri"/>
          <w:lang w:bidi="ar-SA"/>
          <w:color w:val="111111"/>
          <w:sz w:val="28"/>
          <w:szCs w:val="28"/>
          <w:rtl/>
        </w:rPr>
        <w:t xml:space="preserve">الدين، ج 6، ص 679.</w:t>
      </w:r>
    </w:p>
    <w:p>
      <w:pPr>
        <w:pStyle w:val="BookText"/>
      </w:pPr>
      <w:r>
        <w:rPr>
          <w:rFonts w:ascii="Amiri" w:hAnsi="Amiri" w:eastAsia="Amiri" w:cs="Amiri"/>
          <w:lang w:bidi="ar-SA"/>
          <w:color w:val="111111"/>
          <w:sz w:val="28"/>
          <w:szCs w:val="28"/>
          <w:rtl/>
        </w:rPr>
        <w:t xml:space="preserve">25 .الحق المبين في كيفية التفقه في</w:t>
      </w:r>
    </w:p>
    <w:p>
      <w:pPr>
        <w:pStyle w:val="BookText"/>
      </w:pPr>
      <w:r>
        <w:rPr>
          <w:rFonts w:ascii="Amiri" w:hAnsi="Amiri" w:eastAsia="Amiri" w:cs="Amiri"/>
          <w:lang w:bidi="ar-SA"/>
          <w:color w:val="111111"/>
          <w:sz w:val="28"/>
          <w:szCs w:val="28"/>
          <w:rtl/>
        </w:rPr>
        <w:t xml:space="preserve">الدين، ج6، ص 697.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حكم اخذ الاجرة على العبادات و الشعائر الإسلامية، ج 6، ص 734.</w:t>
      </w:r>
    </w:p>
    <w:p>
      <w:pPr>
        <w:pStyle w:val="BookText"/>
      </w:pPr>
      <w:r>
        <w:rPr>
          <w:rFonts w:ascii="Amiri" w:hAnsi="Amiri" w:eastAsia="Amiri" w:cs="Amiri"/>
          <w:lang w:bidi="ar-SA"/>
          <w:color w:val="111111"/>
          <w:sz w:val="28"/>
          <w:szCs w:val="28"/>
          <w:rtl/>
        </w:rPr>
        <w:t xml:space="preserve">27 .الحكمة والكلام رسالة في)، ج 6،</w:t>
      </w:r>
    </w:p>
    <w:p>
      <w:pPr>
        <w:pStyle w:val="BookText"/>
      </w:pPr>
      <w:r>
        <w:rPr>
          <w:rFonts w:ascii="IRNazanin" w:hAnsi="IRNazanin" w:eastAsia="IRNazanin" w:cs="IRNazanin"/>
          <w:lang w:bidi="fa-IR"/>
          <w:color w:val="111111"/>
          <w:sz w:val="28"/>
          <w:szCs w:val="28"/>
          <w:rtl/>
        </w:rPr>
        <w:t xml:space="preserve">ص 753 .</w:t>
      </w:r>
    </w:p>
    <w:p>
      <w:pPr>
        <w:pStyle w:val="BookText"/>
      </w:pPr>
      <w:r>
        <w:rPr>
          <w:rFonts w:ascii="IRNazanin" w:hAnsi="IRNazanin" w:eastAsia="IRNazanin" w:cs="IRNazanin"/>
          <w:lang w:bidi="fa-IR"/>
          <w:color w:val="111111"/>
          <w:sz w:val="28"/>
          <w:szCs w:val="28"/>
          <w:rtl/>
        </w:rPr>
        <w:t xml:space="preserve">28 .خبر العالم و ما جرى له مع الامام</w:t>
      </w:r>
    </w:p>
    <w:p>
      <w:pPr>
        <w:pStyle w:val="BookText"/>
      </w:pPr>
      <w:r>
        <w:rPr>
          <w:rFonts w:ascii="Amiri" w:hAnsi="Amiri" w:eastAsia="Amiri" w:cs="Amiri"/>
          <w:lang w:bidi="ar-SA"/>
          <w:color w:val="111111"/>
          <w:sz w:val="28"/>
          <w:szCs w:val="28"/>
          <w:rtl/>
        </w:rPr>
        <w:t xml:space="preserve">علي بن ابي طالب، ج 6، ص883.</w:t>
      </w:r>
    </w:p>
    <w:p>
      <w:pPr>
        <w:pStyle w:val="BookText"/>
      </w:pPr>
      <w:r>
        <w:rPr>
          <w:rFonts w:ascii="Amiri" w:hAnsi="Amiri" w:eastAsia="Amiri" w:cs="Amiri"/>
          <w:lang w:bidi="ar-SA"/>
          <w:color w:val="111111"/>
          <w:sz w:val="28"/>
          <w:szCs w:val="28"/>
          <w:rtl/>
        </w:rPr>
        <w:t xml:space="preserve">29 .الخطب في الجمعات و الاعياد و</w:t>
      </w:r>
    </w:p>
    <w:p>
      <w:pPr>
        <w:pStyle w:val="BookText"/>
      </w:pPr>
      <w:r>
        <w:rPr>
          <w:rFonts w:ascii="IRNazanin" w:hAnsi="IRNazanin" w:eastAsia="IRNazanin" w:cs="IRNazanin"/>
          <w:lang w:bidi="fa-IR"/>
          <w:color w:val="111111"/>
          <w:sz w:val="28"/>
          <w:szCs w:val="28"/>
          <w:rtl/>
        </w:rPr>
        <w:t xml:space="preserve">مواطن أخرى، ج 7، ص 58.</w:t>
      </w:r>
    </w:p>
    <w:p>
      <w:pPr>
        <w:pStyle w:val="BookText"/>
      </w:pPr>
      <w:r>
        <w:rPr>
          <w:rFonts w:ascii="IRNazanin" w:hAnsi="IRNazanin" w:eastAsia="IRNazanin" w:cs="IRNazanin"/>
          <w:lang w:bidi="fa-IR"/>
          <w:color w:val="111111"/>
          <w:sz w:val="28"/>
          <w:szCs w:val="28"/>
          <w:rtl/>
        </w:rPr>
        <w:t xml:space="preserve">30 .خلاصة الاذكار و اطمینان القلوب</w:t>
      </w:r>
    </w:p>
    <w:p>
      <w:pPr>
        <w:pStyle w:val="BookText"/>
      </w:pPr>
      <w:r>
        <w:rPr>
          <w:rFonts w:ascii="IRNazanin" w:hAnsi="IRNazanin" w:eastAsia="IRNazanin" w:cs="IRNazanin"/>
          <w:lang w:bidi="fa-IR"/>
          <w:color w:val="111111"/>
          <w:sz w:val="28"/>
          <w:szCs w:val="28"/>
          <w:rtl/>
        </w:rPr>
        <w:t xml:space="preserve">، ج 7، ص 69 .</w:t>
      </w:r>
    </w:p>
    <w:p>
      <w:pPr>
        <w:pStyle w:val="BookText"/>
      </w:pPr>
      <w:r>
        <w:rPr>
          <w:rFonts w:ascii="Amiri" w:hAnsi="Amiri" w:eastAsia="Amiri" w:cs="Amiri"/>
          <w:lang w:bidi="ar-SA"/>
          <w:color w:val="111111"/>
          <w:sz w:val="28"/>
          <w:szCs w:val="28"/>
          <w:rtl/>
        </w:rPr>
        <w:t xml:space="preserve">31 .ذريعة الضراعة، ج 7، ص 848.</w:t>
      </w:r>
    </w:p>
    <w:p>
      <w:pPr>
        <w:pStyle w:val="BookText"/>
      </w:pPr>
      <w:r>
        <w:rPr>
          <w:rFonts w:ascii="IRNazanin" w:hAnsi="IRNazanin" w:eastAsia="IRNazanin" w:cs="IRNazanin"/>
          <w:lang w:bidi="fa-IR"/>
          <w:color w:val="111111"/>
          <w:sz w:val="28"/>
          <w:szCs w:val="28"/>
          <w:rtl/>
        </w:rPr>
        <w:t xml:space="preserve">32 .راه صواب، ج 8، ص10.</w:t>
      </w:r>
    </w:p>
    <w:p>
      <w:pPr>
        <w:pStyle w:val="BookText"/>
      </w:pPr>
      <w:r>
        <w:rPr>
          <w:rFonts w:ascii="IRNazanin" w:hAnsi="IRNazanin" w:eastAsia="IRNazanin" w:cs="IRNazanin"/>
          <w:lang w:bidi="fa-IR"/>
          <w:color w:val="111111"/>
          <w:sz w:val="28"/>
          <w:szCs w:val="28"/>
          <w:rtl/>
        </w:rPr>
        <w:t xml:space="preserve">33 .الرفع و الدفع، ج8، ص 347.</w:t>
      </w:r>
    </w:p>
    <w:p>
      <w:pPr>
        <w:pStyle w:val="BookText"/>
      </w:pPr>
      <w:r>
        <w:rPr>
          <w:rFonts w:ascii="Amiri" w:hAnsi="Amiri" w:eastAsia="Amiri" w:cs="Amiri"/>
          <w:lang w:bidi="ar-SA"/>
          <w:color w:val="111111"/>
          <w:sz w:val="28"/>
          <w:szCs w:val="28"/>
          <w:rtl/>
        </w:rPr>
        <w:t xml:space="preserve">34 .السفر الحقيقي و السير و السلوك، ج8، ص777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سفينة النجاة إلى طريق الحق و</w:t>
      </w:r>
    </w:p>
    <w:p>
      <w:pPr>
        <w:pStyle w:val="BookText"/>
      </w:pPr>
      <w:r>
        <w:rPr>
          <w:rFonts w:ascii="Amiri" w:hAnsi="Amiri" w:eastAsia="Amiri" w:cs="Amiri"/>
          <w:lang w:bidi="ar-SA"/>
          <w:color w:val="111111"/>
          <w:sz w:val="28"/>
          <w:szCs w:val="28"/>
          <w:rtl/>
        </w:rPr>
        <w:t xml:space="preserve">سبيل الهداة، ج 8، ص 786 .</w:t>
      </w:r>
    </w:p>
    <w:p>
      <w:pPr>
        <w:pStyle w:val="BookText"/>
      </w:pPr>
      <w:r>
        <w:rPr>
          <w:rFonts w:ascii="Amiri" w:hAnsi="Amiri" w:eastAsia="Amiri" w:cs="Amiri"/>
          <w:lang w:bidi="ar-SA"/>
          <w:color w:val="111111"/>
          <w:sz w:val="28"/>
          <w:szCs w:val="28"/>
          <w:rtl/>
        </w:rPr>
        <w:t xml:space="preserve">36 .الشافي المنتخب من الوافي، ج 9،</w:t>
      </w:r>
    </w:p>
    <w:p>
      <w:pPr>
        <w:pStyle w:val="BookText"/>
      </w:pPr>
      <w:r>
        <w:rPr>
          <w:rFonts w:ascii="IRNazanin" w:hAnsi="IRNazanin" w:eastAsia="IRNazanin" w:cs="IRNazanin"/>
          <w:lang w:bidi="fa-IR"/>
          <w:color w:val="111111"/>
          <w:sz w:val="28"/>
          <w:szCs w:val="28"/>
          <w:rtl/>
        </w:rPr>
        <w:t xml:space="preserve">ص 66.</w:t>
      </w:r>
    </w:p>
    <w:p>
      <w:pPr>
        <w:pStyle w:val="BookText"/>
      </w:pPr>
      <w:r>
        <w:rPr>
          <w:rFonts w:ascii="Amiri" w:hAnsi="Amiri" w:eastAsia="Amiri" w:cs="Amiri"/>
          <w:lang w:bidi="ar-SA"/>
          <w:color w:val="111111"/>
          <w:sz w:val="28"/>
          <w:szCs w:val="28"/>
          <w:rtl/>
        </w:rPr>
        <w:t xml:space="preserve">37 .شرح الصحيفة السجادية، ج9،</w:t>
      </w:r>
    </w:p>
    <w:p>
      <w:pPr>
        <w:pStyle w:val="BookText"/>
      </w:pPr>
      <w:r>
        <w:rPr>
          <w:rFonts w:ascii="IRNazanin" w:hAnsi="IRNazanin" w:eastAsia="IRNazanin" w:cs="IRNazanin"/>
          <w:lang w:bidi="fa-IR"/>
          <w:color w:val="111111"/>
          <w:sz w:val="28"/>
          <w:szCs w:val="28"/>
          <w:rtl/>
        </w:rPr>
        <w:t xml:space="preserve">ص 668 .</w:t>
      </w:r>
    </w:p>
    <w:p>
      <w:pPr>
        <w:pStyle w:val="BookText"/>
      </w:pPr>
      <w:r>
        <w:rPr>
          <w:rFonts w:ascii="Amiri" w:hAnsi="Amiri" w:eastAsia="Amiri" w:cs="Amiri"/>
          <w:lang w:bidi="ar-SA"/>
          <w:color w:val="111111"/>
          <w:sz w:val="28"/>
          <w:szCs w:val="28"/>
          <w:rtl/>
        </w:rPr>
        <w:t xml:space="preserve">38.الصافي، ج 10، ص 470.</w:t>
      </w:r>
    </w:p>
    <w:p>
      <w:pPr>
        <w:pStyle w:val="BookText"/>
      </w:pPr>
      <w:r>
        <w:rPr>
          <w:rFonts w:ascii="Amiri" w:hAnsi="Amiri" w:eastAsia="Amiri" w:cs="Amiri"/>
          <w:lang w:bidi="ar-SA"/>
          <w:color w:val="111111"/>
          <w:sz w:val="28"/>
          <w:szCs w:val="28"/>
          <w:rtl/>
        </w:rPr>
        <w:t xml:space="preserve">39 .صلاة الجمعة = ابواب الجنان</w:t>
      </w:r>
    </w:p>
    <w:p>
      <w:pPr>
        <w:pStyle w:val="BookText"/>
      </w:pPr>
      <w:r>
        <w:rPr>
          <w:rFonts w:ascii="IRNazanin" w:hAnsi="IRNazanin" w:eastAsia="IRNazanin" w:cs="IRNazanin"/>
          <w:lang w:bidi="fa-IR"/>
          <w:color w:val="111111"/>
          <w:sz w:val="28"/>
          <w:szCs w:val="28"/>
          <w:rtl/>
        </w:rPr>
        <w:t xml:space="preserve">ج 10 ، ص 602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الضوابط الخمس في احكام الشك و السهو والنسيان في الصلاة ج 10، ص 709.</w:t>
      </w:r>
    </w:p>
    <w:p>
      <w:pPr>
        <w:pStyle w:val="BookText"/>
      </w:pPr>
      <w:r>
        <w:rPr>
          <w:rFonts w:ascii="Amiri" w:hAnsi="Amiri" w:eastAsia="Amiri" w:cs="Amiri"/>
          <w:lang w:bidi="ar-SA"/>
          <w:color w:val="111111"/>
          <w:sz w:val="28"/>
          <w:szCs w:val="28"/>
          <w:rtl/>
        </w:rPr>
        <w:t xml:space="preserve">41 .ضياء القلب، ج 10، ص721.</w:t>
      </w:r>
    </w:p>
    <w:p>
      <w:pPr>
        <w:pStyle w:val="BookText"/>
      </w:pPr>
      <w:r>
        <w:rPr>
          <w:rFonts w:ascii="IRNazanin" w:hAnsi="IRNazanin" w:eastAsia="IRNazanin" w:cs="IRNazanin"/>
          <w:lang w:bidi="fa-IR"/>
          <w:color w:val="111111"/>
          <w:sz w:val="28"/>
          <w:szCs w:val="28"/>
          <w:rtl/>
        </w:rPr>
        <w:t xml:space="preserve">42 .طرائف، ج 10، ص 800.</w:t>
      </w:r>
    </w:p>
    <w:p>
      <w:pPr>
        <w:pStyle w:val="BookText"/>
      </w:pPr>
      <w:r>
        <w:rPr>
          <w:rFonts w:ascii="Amiri" w:hAnsi="Amiri" w:eastAsia="Amiri" w:cs="Amiri"/>
          <w:lang w:bidi="ar-SA"/>
          <w:color w:val="111111"/>
          <w:sz w:val="28"/>
          <w:szCs w:val="28"/>
          <w:rtl/>
        </w:rPr>
        <w:t xml:space="preserve">43 .علم اليقين في اصول الدين، ج11،</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Amiri" w:hAnsi="Amiri" w:eastAsia="Amiri" w:cs="Amiri"/>
          <w:lang w:bidi="ar-SA"/>
          <w:color w:val="111111"/>
          <w:sz w:val="28"/>
          <w:szCs w:val="28"/>
          <w:rtl/>
        </w:rPr>
        <w:t xml:space="preserve">44 .عين اليقين في اصول الدين الانوار والاسرار، ج11، ص 385</w:t>
      </w:r>
    </w:p>
    <w:p>
      <w:pPr>
        <w:pStyle w:val="BookText"/>
      </w:pPr>
      <w:r>
        <w:rPr>
          <w:rFonts w:ascii="Amiri" w:hAnsi="Amiri" w:eastAsia="Amiri" w:cs="Amiri"/>
          <w:lang w:bidi="ar-SA"/>
          <w:color w:val="111111"/>
          <w:sz w:val="28"/>
          <w:szCs w:val="28"/>
          <w:rtl/>
        </w:rPr>
        <w:t xml:space="preserve">45 .غنية الانام في معرفة الساعات و</w:t>
      </w:r>
    </w:p>
    <w:p>
      <w:pPr>
        <w:pStyle w:val="BookText"/>
      </w:pPr>
      <w:r>
        <w:rPr>
          <w:rFonts w:ascii="Amiri" w:hAnsi="Amiri" w:eastAsia="Amiri" w:cs="Amiri"/>
          <w:lang w:bidi="ar-SA"/>
          <w:color w:val="111111"/>
          <w:sz w:val="28"/>
          <w:szCs w:val="28"/>
          <w:rtl/>
        </w:rPr>
        <w:t xml:space="preserve">الايام = من لا يحضره التقويم</w:t>
      </w:r>
    </w:p>
    <w:p>
      <w:pPr>
        <w:pStyle w:val="BookText"/>
      </w:pPr>
      <w:r>
        <w:rPr>
          <w:rFonts w:ascii="IRNazanin" w:hAnsi="IRNazanin" w:eastAsia="IRNazanin" w:cs="IRNazanin"/>
          <w:lang w:bidi="fa-IR"/>
          <w:color w:val="111111"/>
          <w:sz w:val="28"/>
          <w:szCs w:val="28"/>
          <w:rtl/>
        </w:rPr>
        <w:t xml:space="preserve">ج 11، ص 513.</w:t>
      </w:r>
    </w:p>
    <w:p>
      <w:pPr>
        <w:pStyle w:val="BookText"/>
      </w:pPr>
      <w:r>
        <w:rPr>
          <w:rFonts w:ascii="Amiri" w:hAnsi="Amiri" w:eastAsia="Amiri" w:cs="Amiri"/>
          <w:lang w:bidi="ar-SA"/>
          <w:color w:val="111111"/>
          <w:sz w:val="28"/>
          <w:szCs w:val="28"/>
          <w:rtl/>
        </w:rPr>
        <w:t xml:space="preserve">46 .قرة العيون في اعز الفنون = مكنونة الكلمات - المقالات الاثنى</w:t>
      </w:r>
    </w:p>
    <w:p>
      <w:pPr>
        <w:pStyle w:val="BookText"/>
      </w:pPr>
      <w:r>
        <w:rPr>
          <w:rFonts w:ascii="Amiri" w:hAnsi="Amiri" w:eastAsia="Amiri" w:cs="Amiri"/>
          <w:lang w:bidi="ar-SA"/>
          <w:color w:val="111111"/>
          <w:sz w:val="28"/>
          <w:szCs w:val="28"/>
          <w:rtl/>
        </w:rPr>
        <w:t xml:space="preserve">عشرية، ج 12، ص 575.</w:t>
      </w:r>
    </w:p>
    <w:p>
      <w:pPr>
        <w:pStyle w:val="BookText"/>
      </w:pPr>
      <w:r>
        <w:rPr>
          <w:rFonts w:ascii="Amiri" w:hAnsi="Amiri" w:eastAsia="Amiri" w:cs="Amiri"/>
          <w:lang w:bidi="ar-SA"/>
          <w:color w:val="111111"/>
          <w:sz w:val="28"/>
          <w:szCs w:val="28"/>
          <w:rtl/>
        </w:rPr>
        <w:t xml:space="preserve">47 .الكشكول، ج13، ص 286.</w:t>
      </w:r>
    </w:p>
    <w:p>
      <w:pPr>
        <w:pStyle w:val="BookText"/>
      </w:pPr>
      <w:r>
        <w:rPr>
          <w:rFonts w:ascii="Amiri" w:hAnsi="Amiri" w:eastAsia="Amiri" w:cs="Amiri"/>
          <w:lang w:bidi="ar-SA"/>
          <w:color w:val="111111"/>
          <w:sz w:val="28"/>
          <w:szCs w:val="28"/>
          <w:rtl/>
        </w:rPr>
        <w:t xml:space="preserve">48 .الكلمات الطريفة، ج13، ص 366.</w:t>
      </w:r>
    </w:p>
    <w:p>
      <w:pPr>
        <w:pStyle w:val="BookText"/>
      </w:pPr>
      <w:r>
        <w:rPr>
          <w:rFonts w:ascii="Amiri" w:hAnsi="Amiri" w:eastAsia="Amiri" w:cs="Amiri"/>
          <w:lang w:bidi="ar-SA"/>
          <w:color w:val="111111"/>
          <w:sz w:val="28"/>
          <w:szCs w:val="28"/>
          <w:rtl/>
        </w:rPr>
        <w:t xml:space="preserve">49 .الكلمات المخزونة، ج13، ص 369.</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الكلمات المضنونة = الكلمات</w:t>
      </w:r>
    </w:p>
    <w:p>
      <w:pPr>
        <w:pStyle w:val="BookText"/>
      </w:pPr>
      <w:r>
        <w:rPr>
          <w:rFonts w:ascii="Amiri" w:hAnsi="Amiri" w:eastAsia="Amiri" w:cs="Amiri"/>
          <w:lang w:bidi="ar-SA"/>
          <w:color w:val="111111"/>
          <w:sz w:val="28"/>
          <w:szCs w:val="28"/>
          <w:rtl/>
        </w:rPr>
        <w:t xml:space="preserve">المصونة، ج13، ص 369.</w:t>
      </w:r>
    </w:p>
    <w:p>
      <w:pPr>
        <w:pStyle w:val="BookText"/>
      </w:pPr>
      <w:r>
        <w:rPr>
          <w:rFonts w:ascii="Amiri" w:hAnsi="Amiri" w:eastAsia="Amiri" w:cs="Amiri"/>
          <w:lang w:bidi="ar-SA"/>
          <w:color w:val="111111"/>
          <w:sz w:val="28"/>
          <w:szCs w:val="28"/>
          <w:rtl/>
        </w:rPr>
        <w:t xml:space="preserve">51 .الكلمات المكنونة، ج 13، ص 370.</w:t>
      </w:r>
    </w:p>
    <w:p>
      <w:pPr>
        <w:pStyle w:val="BookText"/>
      </w:pPr>
      <w:r>
        <w:rPr>
          <w:rFonts w:ascii="IRNazanin" w:hAnsi="IRNazanin" w:eastAsia="IRNazanin" w:cs="IRNazanin"/>
          <w:lang w:bidi="fa-IR"/>
          <w:color w:val="111111"/>
          <w:sz w:val="28"/>
          <w:szCs w:val="28"/>
          <w:rtl/>
        </w:rPr>
        <w:t xml:space="preserve">52 .گلزار قدس - ديوان فيض كاشاني</w:t>
      </w:r>
    </w:p>
    <w:p>
      <w:pPr>
        <w:pStyle w:val="BookText"/>
      </w:pPr>
      <w:r>
        <w:rPr>
          <w:rFonts w:ascii="IRNazanin" w:hAnsi="IRNazanin" w:eastAsia="IRNazanin" w:cs="IRNazanin"/>
          <w:lang w:bidi="fa-IR"/>
          <w:color w:val="111111"/>
          <w:sz w:val="28"/>
          <w:szCs w:val="28"/>
          <w:rtl/>
        </w:rPr>
        <w:t xml:space="preserve">ج 13، ص 498.</w:t>
      </w:r>
    </w:p>
    <w:p>
      <w:pPr>
        <w:pStyle w:val="BookText"/>
      </w:pPr>
      <w:r>
        <w:rPr>
          <w:rFonts w:ascii="Amiri" w:hAnsi="Amiri" w:eastAsia="Amiri" w:cs="Amiri"/>
          <w:lang w:bidi="ar-SA"/>
          <w:color w:val="111111"/>
          <w:sz w:val="28"/>
          <w:szCs w:val="28"/>
          <w:rtl/>
        </w:rPr>
        <w:t xml:space="preserve">53 .اللثالي المكنونة، ج13، ص 522.</w:t>
      </w:r>
    </w:p>
    <w:p>
      <w:pPr>
        <w:pStyle w:val="BookText"/>
      </w:pPr>
      <w:r>
        <w:rPr>
          <w:rFonts w:ascii="Amiri" w:hAnsi="Amiri" w:eastAsia="Amiri" w:cs="Amiri"/>
          <w:lang w:bidi="ar-SA"/>
          <w:color w:val="111111"/>
          <w:sz w:val="28"/>
          <w:szCs w:val="28"/>
          <w:rtl/>
        </w:rPr>
        <w:t xml:space="preserve">54 .اللآلي = اللآلي المستخرجة، ج13،</w:t>
      </w:r>
    </w:p>
    <w:p>
      <w:pPr>
        <w:pStyle w:val="BookText"/>
      </w:pPr>
      <w:r>
        <w:rPr>
          <w:rFonts w:ascii="IRNazanin" w:hAnsi="IRNazanin" w:eastAsia="IRNazanin" w:cs="IRNazanin"/>
          <w:lang w:bidi="fa-IR"/>
          <w:color w:val="111111"/>
          <w:sz w:val="28"/>
          <w:szCs w:val="28"/>
          <w:rtl/>
        </w:rPr>
        <w:t xml:space="preserve">ص 516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اللب = حدوث العالم، ج 13،</w:t>
      </w:r>
    </w:p>
    <w:p>
      <w:pPr>
        <w:pStyle w:val="BookText"/>
      </w:pPr>
      <w:r>
        <w:rPr>
          <w:rFonts w:ascii="IRNazanin" w:hAnsi="IRNazanin" w:eastAsia="IRNazanin" w:cs="IRNazanin"/>
          <w:lang w:bidi="fa-IR"/>
          <w:color w:val="111111"/>
          <w:sz w:val="28"/>
          <w:szCs w:val="28"/>
          <w:rtl/>
        </w:rPr>
        <w:t xml:space="preserve">ص 540.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اللباب = علم الله تعالى ج13</w:t>
      </w:r>
    </w:p>
    <w:p>
      <w:pPr>
        <w:pStyle w:val="BookText"/>
      </w:pPr>
      <w:r>
        <w:rPr>
          <w:rFonts w:ascii="IRNazanin" w:hAnsi="IRNazanin" w:eastAsia="IRNazanin" w:cs="IRNazanin"/>
          <w:lang w:bidi="fa-IR"/>
          <w:color w:val="111111"/>
          <w:sz w:val="28"/>
          <w:szCs w:val="28"/>
          <w:rtl/>
        </w:rPr>
        <w:t xml:space="preserve">ص 540.</w:t>
      </w:r>
    </w:p>
    <w:p>
      <w:pPr>
        <w:pStyle w:val="BookText"/>
      </w:pPr>
      <w:r>
        <w:rPr>
          <w:rFonts w:ascii="Amiri" w:hAnsi="Amiri" w:eastAsia="Amiri" w:cs="Amiri"/>
          <w:lang w:bidi="ar-SA"/>
          <w:color w:val="111111"/>
          <w:sz w:val="28"/>
          <w:szCs w:val="28"/>
          <w:rtl/>
        </w:rPr>
        <w:t xml:space="preserve">57 .مائة خطبة ونيف، ج13، ص 695.</w:t>
      </w:r>
    </w:p>
    <w:p>
      <w:pPr>
        <w:pStyle w:val="BookText"/>
      </w:pPr>
      <w:r>
        <w:rPr>
          <w:rFonts w:ascii="Amiri" w:hAnsi="Amiri" w:eastAsia="Amiri" w:cs="Amiri"/>
          <w:lang w:bidi="ar-SA"/>
          <w:color w:val="111111"/>
          <w:sz w:val="28"/>
          <w:szCs w:val="28"/>
          <w:rtl/>
        </w:rPr>
        <w:t xml:space="preserve">58 .المأخذ في الاحكام الشرعية، ج13،</w:t>
      </w:r>
    </w:p>
    <w:p>
      <w:pPr>
        <w:pStyle w:val="BookText"/>
      </w:pPr>
      <w:r>
        <w:rPr>
          <w:rFonts w:ascii="IRNazanin" w:hAnsi="IRNazanin" w:eastAsia="IRNazanin" w:cs="IRNazanin"/>
          <w:lang w:bidi="fa-IR"/>
          <w:color w:val="111111"/>
          <w:sz w:val="28"/>
          <w:szCs w:val="28"/>
          <w:rtl/>
        </w:rPr>
        <w:t xml:space="preserve">ص 702.</w:t>
      </w:r>
    </w:p>
    <w:p>
      <w:pPr>
        <w:pStyle w:val="BookText"/>
      </w:pPr>
      <w:r>
        <w:rPr>
          <w:rFonts w:ascii="Amiri" w:hAnsi="Amiri" w:eastAsia="Amiri" w:cs="Amiri"/>
          <w:lang w:bidi="ar-SA"/>
          <w:color w:val="111111"/>
          <w:sz w:val="28"/>
          <w:szCs w:val="28"/>
          <w:rtl/>
        </w:rPr>
        <w:t xml:space="preserve">59 .المحاكمة بين الفاضلين = التفقه في</w:t>
      </w:r>
    </w:p>
    <w:p>
      <w:pPr>
        <w:pStyle w:val="BookText"/>
      </w:pPr>
      <w:r>
        <w:rPr>
          <w:rFonts w:ascii="Amiri" w:hAnsi="Amiri" w:eastAsia="Amiri" w:cs="Amiri"/>
          <w:lang w:bidi="ar-SA"/>
          <w:color w:val="111111"/>
          <w:sz w:val="28"/>
          <w:szCs w:val="28"/>
          <w:rtl/>
        </w:rPr>
        <w:t xml:space="preserve">الدين، ج 14، ص 106.</w:t>
      </w:r>
    </w:p>
    <w:p>
      <w:pPr>
        <w:pStyle w:val="BookText"/>
      </w:pPr>
      <w:r>
        <w:rPr>
          <w:rFonts w:ascii="Amiri" w:hAnsi="Amiri" w:eastAsia="Amiri" w:cs="Amiri"/>
          <w:lang w:bidi="ar-SA"/>
          <w:color w:val="111111"/>
          <w:sz w:val="28"/>
          <w:szCs w:val="28"/>
          <w:rtl/>
        </w:rPr>
        <w:t xml:space="preserve">60 .المحجة البيضاء في احياء الاحياء</w:t>
      </w:r>
    </w:p>
    <w:p>
      <w:pPr>
        <w:pStyle w:val="BookText"/>
      </w:pPr>
      <w:r>
        <w:rPr>
          <w:rFonts w:ascii="IRNazanin" w:hAnsi="IRNazanin" w:eastAsia="IRNazanin" w:cs="IRNazanin"/>
          <w:lang w:bidi="fa-IR"/>
          <w:color w:val="111111"/>
          <w:sz w:val="28"/>
          <w:szCs w:val="28"/>
          <w:rtl/>
        </w:rPr>
        <w:t xml:space="preserve">ج 14، ص 110.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المحرر الوجيز في تفسير كتاب الله</w:t>
      </w:r>
    </w:p>
    <w:p>
      <w:pPr>
        <w:pStyle w:val="BookText"/>
      </w:pPr>
      <w:r>
        <w:rPr>
          <w:rFonts w:ascii="Amiri" w:hAnsi="Amiri" w:eastAsia="Amiri" w:cs="Amiri"/>
          <w:lang w:bidi="ar-SA"/>
          <w:color w:val="111111"/>
          <w:sz w:val="28"/>
          <w:szCs w:val="28"/>
          <w:rtl/>
        </w:rPr>
        <w:t xml:space="preserve">العزيز، ج 14، ص 116 .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58" w:name="pg7742_70992"/>
    <w:bookmarkEnd w:id="858"/>
    <w:p>
      <w:pPr>
        <w:pStyle w:val="BookText"/>
      </w:pPr>
      <w:r>
        <w:rPr>
          <w:rFonts w:ascii="Amiri" w:hAnsi="Amiri" w:eastAsia="Amiri" w:cs="Amiri"/>
          <w:lang w:bidi="ar-SA"/>
          <w:color w:val="111111"/>
          <w:sz w:val="28"/>
          <w:szCs w:val="28"/>
          <w:rtl/>
        </w:rPr>
        <w:t xml:space="preserve">62 .مختصر عين اليقين، ج 14 ، ص 205.</w:t>
      </w:r>
    </w:p>
    <w:p>
      <w:pPr>
        <w:pStyle w:val="BookText"/>
      </w:pPr>
      <w:r>
        <w:rPr>
          <w:rFonts w:ascii="Amiri" w:hAnsi="Amiri" w:eastAsia="Amiri" w:cs="Amiri"/>
          <w:lang w:bidi="ar-SA"/>
          <w:color w:val="111111"/>
          <w:sz w:val="28"/>
          <w:szCs w:val="28"/>
          <w:rtl/>
        </w:rPr>
        <w:t xml:space="preserve">63 .مرآة الآخرة، ج 14، ص 342.</w:t>
      </w:r>
    </w:p>
    <w:p>
      <w:pPr>
        <w:pStyle w:val="BookText"/>
      </w:pPr>
      <w:r>
        <w:rPr>
          <w:rFonts w:ascii="Amiri" w:hAnsi="Amiri" w:eastAsia="Amiri" w:cs="Amiri"/>
          <w:lang w:bidi="ar-SA"/>
          <w:color w:val="111111"/>
          <w:sz w:val="28"/>
          <w:szCs w:val="28"/>
          <w:rtl/>
        </w:rPr>
        <w:t xml:space="preserve">64 .مرقاة الجنان، ج 14، ص 404.</w:t>
      </w:r>
    </w:p>
    <w:p>
      <w:pPr>
        <w:pStyle w:val="BookText"/>
      </w:pPr>
      <w:r>
        <w:rPr>
          <w:rFonts w:ascii="Amiri" w:hAnsi="Amiri" w:eastAsia="Amiri" w:cs="Amiri"/>
          <w:lang w:bidi="ar-SA"/>
          <w:color w:val="111111"/>
          <w:sz w:val="28"/>
          <w:szCs w:val="28"/>
          <w:rtl/>
        </w:rPr>
        <w:t xml:space="preserve">65 . المعارف في شرح الصحائف، ج 14،</w:t>
      </w:r>
    </w:p>
    <w:p>
      <w:pPr>
        <w:pStyle w:val="BookText"/>
      </w:pPr>
      <w:r>
        <w:rPr>
          <w:rFonts w:ascii="IRNazanin" w:hAnsi="IRNazanin" w:eastAsia="IRNazanin" w:cs="IRNazanin"/>
          <w:lang w:bidi="fa-IR"/>
          <w:color w:val="111111"/>
          <w:sz w:val="28"/>
          <w:szCs w:val="28"/>
          <w:rtl/>
        </w:rPr>
        <w:t xml:space="preserve">ص 847</w:t>
      </w:r>
    </w:p>
    <w:p>
      <w:pPr>
        <w:pStyle w:val="BookText"/>
      </w:pPr>
      <w:r>
        <w:rPr>
          <w:rFonts w:ascii="Amiri" w:hAnsi="Amiri" w:eastAsia="Amiri" w:cs="Amiri"/>
          <w:lang w:bidi="ar-SA"/>
          <w:color w:val="111111"/>
          <w:sz w:val="28"/>
          <w:szCs w:val="28"/>
          <w:rtl/>
        </w:rPr>
        <w:t xml:space="preserve">66 . معتصم الشيعة في احكام الشريعة، ج 15 ، ص 3.</w:t>
      </w:r>
    </w:p>
    <w:p>
      <w:pPr>
        <w:pStyle w:val="BookText"/>
      </w:pPr>
      <w:r>
        <w:rPr>
          <w:rFonts w:ascii="Amiri" w:hAnsi="Amiri" w:eastAsia="Amiri" w:cs="Amiri"/>
          <w:lang w:bidi="ar-SA"/>
          <w:color w:val="111111"/>
          <w:sz w:val="28"/>
          <w:szCs w:val="28"/>
          <w:rtl/>
        </w:rPr>
        <w:t xml:space="preserve">67 .معيار الساعات، ج 15 ، ص 101.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مفاتيح الزيارات، ج 15 ، ص 153.</w:t>
      </w:r>
    </w:p>
    <w:p>
      <w:pPr>
        <w:pStyle w:val="BookText"/>
      </w:pPr>
      <w:r>
        <w:rPr>
          <w:rFonts w:ascii="Amiri" w:hAnsi="Amiri" w:eastAsia="Amiri" w:cs="Amiri"/>
          <w:lang w:bidi="ar-SA"/>
          <w:color w:val="111111"/>
          <w:sz w:val="28"/>
          <w:szCs w:val="28"/>
          <w:rtl/>
        </w:rPr>
        <w:t xml:space="preserve">69 . مفاتيح الشرايع، ج 15 ، ص 154.</w:t>
      </w:r>
    </w:p>
    <w:p>
      <w:pPr>
        <w:pStyle w:val="BookText"/>
      </w:pPr>
      <w:r>
        <w:rPr>
          <w:rFonts w:ascii="Amiri" w:hAnsi="Amiri" w:eastAsia="Amiri" w:cs="Amiri"/>
          <w:lang w:bidi="ar-SA"/>
          <w:color w:val="111111"/>
          <w:sz w:val="28"/>
          <w:szCs w:val="28"/>
          <w:rtl/>
        </w:rPr>
        <w:t xml:space="preserve">70 .مفاتيح الفقه، ج 15 ، ص 174.</w:t>
      </w:r>
    </w:p>
    <w:p>
      <w:pPr>
        <w:pStyle w:val="BookText"/>
      </w:pPr>
      <w:r>
        <w:rPr>
          <w:rFonts w:ascii="Amiri" w:hAnsi="Amiri" w:eastAsia="Amiri" w:cs="Amiri"/>
          <w:lang w:bidi="ar-SA"/>
          <w:color w:val="111111"/>
          <w:sz w:val="28"/>
          <w:szCs w:val="28"/>
          <w:rtl/>
        </w:rPr>
        <w:t xml:space="preserve">71 .مفتاح الخير، ج 15 ، ص 197.</w:t>
      </w:r>
    </w:p>
    <w:p>
      <w:pPr>
        <w:pStyle w:val="BookText"/>
      </w:pPr>
      <w:r>
        <w:rPr>
          <w:rFonts w:ascii="Amiri" w:hAnsi="Amiri" w:eastAsia="Amiri" w:cs="Amiri"/>
          <w:lang w:bidi="ar-SA"/>
          <w:color w:val="111111"/>
          <w:sz w:val="28"/>
          <w:szCs w:val="28"/>
          <w:rtl/>
        </w:rPr>
        <w:t xml:space="preserve">72 .منهاج النجاة = شرح حديث</w:t>
      </w:r>
    </w:p>
    <w:p>
      <w:pPr>
        <w:pStyle w:val="BookText"/>
      </w:pPr>
      <w:r>
        <w:rPr>
          <w:rFonts w:ascii="IRNazanin" w:hAnsi="IRNazanin" w:eastAsia="IRNazanin" w:cs="IRNazanin"/>
          <w:lang w:bidi="fa-IR"/>
          <w:color w:val="111111"/>
          <w:sz w:val="28"/>
          <w:szCs w:val="28"/>
          <w:rtl/>
        </w:rPr>
        <w:t xml:space="preserve">طلب العلم، ج 15، ص 783.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ميزان القيامة، ج 16، ص 71 .</w:t>
      </w:r>
    </w:p>
    <w:p>
      <w:pPr>
        <w:pStyle w:val="BookText"/>
      </w:pPr>
      <w:r>
        <w:rPr>
          <w:rFonts w:ascii="Amiri" w:hAnsi="Amiri" w:eastAsia="Amiri" w:cs="Amiri"/>
          <w:lang w:bidi="ar-SA"/>
          <w:color w:val="111111"/>
          <w:sz w:val="28"/>
          <w:szCs w:val="28"/>
          <w:rtl/>
        </w:rPr>
        <w:t xml:space="preserve">74 .نخبة الاخبار، ج 16، ص 195.</w:t>
      </w:r>
    </w:p>
    <w:p>
      <w:pPr>
        <w:pStyle w:val="BookText"/>
      </w:pPr>
      <w:r>
        <w:rPr>
          <w:rFonts w:ascii="Amiri" w:hAnsi="Amiri" w:eastAsia="Amiri" w:cs="Amiri"/>
          <w:lang w:bidi="ar-SA"/>
          <w:color w:val="111111"/>
          <w:sz w:val="28"/>
          <w:szCs w:val="28"/>
          <w:rtl/>
        </w:rPr>
        <w:t xml:space="preserve">75 .نخبة الفقه، ج 16 ، ص 201.</w:t>
      </w:r>
    </w:p>
    <w:p>
      <w:pPr>
        <w:pStyle w:val="BookText"/>
      </w:pPr>
      <w:r>
        <w:rPr>
          <w:rFonts w:ascii="Amiri" w:hAnsi="Amiri" w:eastAsia="Amiri" w:cs="Amiri"/>
          <w:lang w:bidi="ar-SA"/>
          <w:color w:val="111111"/>
          <w:sz w:val="28"/>
          <w:szCs w:val="28"/>
          <w:rtl/>
        </w:rPr>
        <w:t xml:space="preserve">76 .النخبة الوجيزة = النخبة في</w:t>
      </w:r>
    </w:p>
    <w:p>
      <w:pPr>
        <w:pStyle w:val="BookText"/>
      </w:pPr>
      <w:r>
        <w:rPr>
          <w:rFonts w:ascii="Amiri" w:hAnsi="Amiri" w:eastAsia="Amiri" w:cs="Amiri"/>
          <w:lang w:bidi="ar-SA"/>
          <w:color w:val="111111"/>
          <w:sz w:val="28"/>
          <w:szCs w:val="28"/>
          <w:rtl/>
        </w:rPr>
        <w:t xml:space="preserve">الحكمة العملية والاحكام</w:t>
      </w:r>
    </w:p>
    <w:p>
      <w:pPr>
        <w:pStyle w:val="BookText"/>
      </w:pPr>
      <w:r>
        <w:rPr>
          <w:rFonts w:ascii="Amiri" w:hAnsi="Amiri" w:eastAsia="Amiri" w:cs="Amiri"/>
          <w:lang w:bidi="ar-SA"/>
          <w:color w:val="111111"/>
          <w:sz w:val="28"/>
          <w:szCs w:val="28"/>
          <w:rtl/>
        </w:rPr>
        <w:t xml:space="preserve">الشرعية، ج 16، ص 209.</w:t>
      </w:r>
    </w:p>
    <w:p>
      <w:pPr>
        <w:pStyle w:val="BookText"/>
      </w:pPr>
      <w:r>
        <w:rPr>
          <w:rFonts w:ascii="Amiri" w:hAnsi="Amiri" w:eastAsia="Amiri" w:cs="Amiri"/>
          <w:lang w:bidi="ar-SA"/>
          <w:color w:val="111111"/>
          <w:sz w:val="28"/>
          <w:szCs w:val="28"/>
          <w:rtl/>
        </w:rPr>
        <w:t xml:space="preserve">77 .نقولات في آداب اللغة العربية</w:t>
      </w:r>
    </w:p>
    <w:p>
      <w:pPr>
        <w:pStyle w:val="BookText"/>
      </w:pPr>
      <w:r>
        <w:rPr>
          <w:rFonts w:ascii="IRNazanin" w:hAnsi="IRNazanin" w:eastAsia="IRNazanin" w:cs="IRNazanin"/>
          <w:lang w:bidi="fa-IR"/>
          <w:color w:val="111111"/>
          <w:sz w:val="28"/>
          <w:szCs w:val="28"/>
          <w:rtl/>
        </w:rPr>
        <w:t xml:space="preserve">ج 16، ص 438 .</w:t>
      </w:r>
    </w:p>
    <w:p>
      <w:pPr>
        <w:pStyle w:val="BookText"/>
      </w:pPr>
      <w:r>
        <w:rPr>
          <w:rFonts w:ascii="Amiri" w:hAnsi="Amiri" w:eastAsia="Amiri" w:cs="Amiri"/>
          <w:lang w:bidi="ar-SA"/>
          <w:color w:val="111111"/>
          <w:sz w:val="28"/>
          <w:szCs w:val="28"/>
          <w:rtl/>
        </w:rPr>
        <w:t xml:space="preserve">78 .هدية ذوي الالباب في فضائل عمر</w:t>
      </w:r>
    </w:p>
    <w:p>
      <w:pPr>
        <w:pStyle w:val="BookText"/>
      </w:pPr>
      <w:r>
        <w:rPr>
          <w:rFonts w:ascii="IRNazanin" w:hAnsi="IRNazanin" w:eastAsia="IRNazanin" w:cs="IRNazanin"/>
          <w:lang w:bidi="fa-IR"/>
          <w:color w:val="111111"/>
          <w:sz w:val="28"/>
          <w:szCs w:val="28"/>
          <w:rtl/>
        </w:rPr>
        <w:t xml:space="preserve">بن الخطاب، ج 16، ص 639 .</w:t>
      </w:r>
    </w:p>
    <w:p>
      <w:pPr>
        <w:pStyle w:val="BookText"/>
      </w:pPr>
      <w:r>
        <w:rPr>
          <w:rFonts w:ascii="Amiri" w:hAnsi="Amiri" w:eastAsia="Amiri" w:cs="Amiri"/>
          <w:lang w:bidi="ar-SA"/>
          <w:color w:val="111111"/>
          <w:sz w:val="28"/>
          <w:szCs w:val="28"/>
          <w:rtl/>
        </w:rPr>
        <w:t xml:space="preserve">79 .الوافي، ج 16، ص 681.</w:t>
      </w:r>
    </w:p>
    <w:p>
      <w:pPr>
        <w:pStyle w:val="BookText"/>
      </w:pPr>
      <w:r>
        <w:rPr>
          <w:rFonts w:ascii="Amiri" w:hAnsi="Amiri" w:eastAsia="Amiri" w:cs="Amiri"/>
          <w:lang w:bidi="ar-SA"/>
          <w:color w:val="111111"/>
          <w:sz w:val="28"/>
          <w:szCs w:val="28"/>
          <w:rtl/>
        </w:rPr>
        <w:t xml:space="preserve">فيض كاشاني ، ملامحسن- فيض كاشاني ،</w:t>
      </w:r>
    </w:p>
    <w:p>
      <w:pPr>
        <w:pStyle w:val="BookText"/>
      </w:pPr>
      <w:r>
        <w:rPr>
          <w:rFonts w:ascii="Amiri" w:hAnsi="Amiri" w:eastAsia="Amiri" w:cs="Amiri"/>
          <w:lang w:bidi="ar-SA"/>
          <w:color w:val="111111"/>
          <w:sz w:val="28"/>
          <w:szCs w:val="28"/>
          <w:rtl/>
        </w:rPr>
        <w:t xml:space="preserve">محمّد بن شاه</w:t>
      </w:r>
    </w:p>
    <w:p>
      <w:pPr>
        <w:pStyle w:val="BookText"/>
      </w:pPr>
      <w:r>
        <w:rPr>
          <w:rFonts w:ascii="IRNazanin" w:hAnsi="IRNazanin" w:eastAsia="IRNazanin" w:cs="IRNazanin"/>
          <w:lang w:bidi="fa-IR"/>
          <w:color w:val="111111"/>
          <w:sz w:val="28"/>
          <w:szCs w:val="28"/>
          <w:rtl/>
        </w:rPr>
        <w:t xml:space="preserve">مرتضی فيض ، محمّد هادي بن مرتضى- مؤمن</w:t>
      </w:r>
    </w:p>
    <w:p>
      <w:pPr>
        <w:pStyle w:val="BookText"/>
      </w:pPr>
      <w:r>
        <w:rPr>
          <w:rFonts w:ascii="IRNazanin" w:hAnsi="IRNazanin" w:eastAsia="IRNazanin" w:cs="IRNazanin"/>
          <w:lang w:bidi="fa-IR"/>
          <w:color w:val="111111"/>
          <w:sz w:val="28"/>
          <w:szCs w:val="28"/>
          <w:rtl/>
        </w:rPr>
        <w:t xml:space="preserve">کاشاني ، محمّد هادي بن مرتضى</w:t>
      </w:r>
    </w:p>
    <w:p>
      <w:pPr>
        <w:pStyle w:val="BookText"/>
      </w:pPr>
      <w:r>
        <w:rPr>
          <w:rFonts w:ascii="Amiri" w:hAnsi="Amiri" w:eastAsia="Amiri" w:cs="Amiri"/>
          <w:lang w:bidi="ar-SA"/>
          <w:color w:val="111111"/>
          <w:sz w:val="28"/>
          <w:szCs w:val="28"/>
          <w:rtl/>
        </w:rPr>
        <w:t xml:space="preserve">فيض هندي- فيضي ، ابوالفيض بن مبارك</w:t>
      </w:r>
    </w:p>
    <w:p>
      <w:pPr>
        <w:pStyle w:val="BookText"/>
      </w:pPr>
      <w:r>
        <w:rPr>
          <w:rFonts w:ascii="Amiri" w:hAnsi="Amiri" w:eastAsia="Amiri" w:cs="Amiri"/>
          <w:lang w:bidi="ar-SA"/>
          <w:color w:val="111111"/>
          <w:sz w:val="28"/>
          <w:szCs w:val="28"/>
          <w:rtl/>
        </w:rPr>
        <w:t xml:space="preserve">فيضي -دربندي ، آقا بن عابد</w:t>
      </w:r>
    </w:p>
    <w:p>
      <w:pPr>
        <w:pStyle w:val="Heading2"/>
      </w:pPr>
      <w:bookmarkStart w:id="6429" w:name="_Toc5531"/>
      <w:r>
        <w:t>فيضي، ابوالفيض بن مبارك، 954-1004ه-</w:t>
      </w:r>
      <w:bookmarkEnd w:id="6429"/>
    </w:p>
    <w:p>
      <w:pPr>
        <w:pStyle w:val="BookText"/>
      </w:pPr>
      <w:r>
        <w:rPr>
          <w:rFonts w:ascii="IRNazanin" w:hAnsi="IRNazanin" w:eastAsia="IRNazanin" w:cs="IRNazanin"/>
          <w:lang w:bidi="fa-IR"/>
          <w:color w:val="111111"/>
          <w:sz w:val="28"/>
          <w:szCs w:val="28"/>
          <w:rtl/>
        </w:rPr>
        <w:t xml:space="preserve">1 .دیوان ابوالفيض دكني، ج7،</w:t>
      </w:r>
    </w:p>
    <w:p>
      <w:pPr>
        <w:pStyle w:val="BookText"/>
      </w:pPr>
      <w:r>
        <w:rPr>
          <w:rFonts w:ascii="IRNazanin" w:hAnsi="IRNazanin" w:eastAsia="IRNazanin" w:cs="IRNazanin"/>
          <w:lang w:bidi="fa-IR"/>
          <w:color w:val="111111"/>
          <w:sz w:val="28"/>
          <w:szCs w:val="28"/>
          <w:rtl/>
        </w:rPr>
        <w:t xml:space="preserve">ص 560 .</w:t>
      </w:r>
    </w:p>
    <w:p>
      <w:pPr>
        <w:pStyle w:val="BookText"/>
      </w:pPr>
      <w:r>
        <w:rPr>
          <w:rFonts w:ascii="Amiri" w:hAnsi="Amiri" w:eastAsia="Amiri" w:cs="Amiri"/>
          <w:lang w:bidi="ar-SA"/>
          <w:color w:val="111111"/>
          <w:sz w:val="28"/>
          <w:szCs w:val="28"/>
          <w:rtl/>
        </w:rPr>
        <w:t xml:space="preserve">2 .سواطع الإلهام في تفسير كلام الملك</w:t>
      </w:r>
    </w:p>
    <w:p>
      <w:pPr>
        <w:pStyle w:val="BookText"/>
      </w:pPr>
      <w:r>
        <w:rPr>
          <w:rFonts w:ascii="IRNazanin" w:hAnsi="IRNazanin" w:eastAsia="IRNazanin" w:cs="IRNazanin"/>
          <w:lang w:bidi="fa-IR"/>
          <w:color w:val="111111"/>
          <w:sz w:val="28"/>
          <w:szCs w:val="28"/>
          <w:rtl/>
        </w:rPr>
        <w:t xml:space="preserve">العلام، ج8، ص 858.</w:t>
      </w:r>
    </w:p>
    <w:p>
      <w:pPr>
        <w:pStyle w:val="BookText"/>
      </w:pPr>
      <w:r>
        <w:rPr>
          <w:rFonts w:ascii="Amiri" w:hAnsi="Amiri" w:eastAsia="Amiri" w:cs="Amiri"/>
          <w:lang w:bidi="ar-SA"/>
          <w:color w:val="111111"/>
          <w:sz w:val="28"/>
          <w:szCs w:val="28"/>
          <w:rtl/>
        </w:rPr>
        <w:t xml:space="preserve">3 .موارد الكلم ملك درر الحكم، ج 15</w:t>
      </w:r>
    </w:p>
    <w:p>
      <w:pPr>
        <w:pStyle w:val="BookText"/>
      </w:pPr>
      <w:r>
        <w:rPr>
          <w:rFonts w:ascii="IRNazanin" w:hAnsi="IRNazanin" w:eastAsia="IRNazanin" w:cs="IRNazanin"/>
          <w:lang w:bidi="fa-IR"/>
          <w:color w:val="111111"/>
          <w:sz w:val="28"/>
          <w:szCs w:val="28"/>
          <w:rtl/>
        </w:rPr>
        <w:t xml:space="preserve">ص 853.</w:t>
      </w:r>
    </w:p>
    <w:p>
      <w:pPr>
        <w:pStyle w:val="Heading2"/>
      </w:pPr>
      <w:bookmarkStart w:id="6430" w:name="_Toc5532"/>
      <w:r>
        <w:t>فيضي، احمد بن محمّد محسن قرن 13 ه-</w:t>
      </w:r>
      <w:bookmarkEnd w:id="6430"/>
    </w:p>
    <w:p>
      <w:pPr>
        <w:pStyle w:val="BookText"/>
      </w:pPr>
      <w:r>
        <w:rPr>
          <w:rFonts w:ascii="IRNazanin" w:hAnsi="IRNazanin" w:eastAsia="IRNazanin" w:cs="IRNazanin"/>
          <w:lang w:bidi="fa-IR"/>
          <w:color w:val="111111"/>
          <w:sz w:val="28"/>
          <w:szCs w:val="28"/>
          <w:rtl/>
        </w:rPr>
        <w:t xml:space="preserve">الغصب، ج 11، ص 505.</w:t>
      </w:r>
    </w:p>
    <w:p>
      <w:pPr>
        <w:pStyle w:val="Heading2"/>
      </w:pPr>
      <w:bookmarkStart w:id="6431" w:name="_Toc5533"/>
      <w:r>
        <w:t>فيضي زهاوي ، محمّد - 1308 ه-</w:t>
      </w:r>
      <w:bookmarkEnd w:id="6431"/>
    </w:p>
    <w:p>
      <w:pPr>
        <w:pStyle w:val="BookText"/>
      </w:pPr>
      <w:r>
        <w:rPr>
          <w:rFonts w:ascii="Amiri" w:hAnsi="Amiri" w:eastAsia="Amiri" w:cs="Amiri"/>
          <w:lang w:bidi="ar-SA"/>
          <w:color w:val="111111"/>
          <w:sz w:val="28"/>
          <w:szCs w:val="28"/>
          <w:rtl/>
        </w:rPr>
        <w:t xml:space="preserve">التوحيد (منظومة في)، ج 5، ص 155.</w:t>
      </w:r>
    </w:p>
    <w:p>
      <w:pPr>
        <w:pStyle w:val="Heading2"/>
      </w:pPr>
      <w:bookmarkStart w:id="6432" w:name="_Toc5534"/>
      <w:r>
        <w:t>فيضي ، عبد الله</w:t>
      </w:r>
      <w:bookmarkEnd w:id="6432"/>
    </w:p>
    <w:p>
      <w:pPr>
        <w:pStyle w:val="BookText"/>
      </w:pPr>
      <w:r>
        <w:rPr>
          <w:rFonts w:ascii="Amiri" w:hAnsi="Amiri" w:eastAsia="Amiri" w:cs="Amiri"/>
          <w:lang w:bidi="ar-SA"/>
          <w:color w:val="111111"/>
          <w:sz w:val="28"/>
          <w:szCs w:val="28"/>
          <w:rtl/>
        </w:rPr>
        <w:t xml:space="preserve">1 .تخميس، ج4، ص 104.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تقريض، ج4، ص780</w:t>
      </w:r>
    </w:p>
    <w:p>
      <w:pPr>
        <w:pStyle w:val="Heading2"/>
      </w:pPr>
      <w:bookmarkStart w:id="6433" w:name="_Toc5535"/>
      <w:r>
        <w:t>فيضي فضل الهي</w:t>
      </w:r>
      <w:bookmarkEnd w:id="6433"/>
    </w:p>
    <w:p>
      <w:pPr>
        <w:pStyle w:val="BookText"/>
      </w:pPr>
      <w:r>
        <w:rPr>
          <w:rFonts w:ascii="Amiri" w:hAnsi="Amiri" w:eastAsia="Amiri" w:cs="Amiri"/>
          <w:lang w:bidi="ar-SA"/>
          <w:color w:val="111111"/>
          <w:sz w:val="28"/>
          <w:szCs w:val="28"/>
          <w:rtl/>
        </w:rPr>
        <w:t xml:space="preserve">الوصفات الطبية (كتاب في)، ج 16،</w:t>
      </w:r>
    </w:p>
    <w:p>
      <w:pPr>
        <w:pStyle w:val="BookText"/>
      </w:pPr>
      <w:r>
        <w:rPr>
          <w:rFonts w:ascii="IRNazanin" w:hAnsi="IRNazanin" w:eastAsia="IRNazanin" w:cs="IRNazanin"/>
          <w:lang w:bidi="fa-IR"/>
          <w:color w:val="111111"/>
          <w:sz w:val="28"/>
          <w:szCs w:val="28"/>
          <w:rtl/>
        </w:rPr>
        <w:t xml:space="preserve">ص 801</w:t>
      </w:r>
    </w:p>
    <w:p>
      <w:pPr>
        <w:pStyle w:val="BookText"/>
      </w:pPr>
      <w:r>
        <w:rPr>
          <w:rFonts w:ascii="Amiri" w:hAnsi="Amiri" w:eastAsia="Amiri" w:cs="Amiri"/>
          <w:lang w:bidi="ar-SA"/>
          <w:color w:val="111111"/>
          <w:sz w:val="28"/>
          <w:szCs w:val="28"/>
          <w:rtl/>
        </w:rPr>
        <w:t xml:space="preserve">فيضي، محمّد بن احمد - غيطي</w:t>
      </w:r>
    </w:p>
    <w:p>
      <w:pPr>
        <w:pStyle w:val="BookText"/>
      </w:pPr>
      <w:r>
        <w:rPr>
          <w:rFonts w:ascii="IRNazanin" w:hAnsi="IRNazanin" w:eastAsia="IRNazanin" w:cs="IRNazanin"/>
          <w:lang w:bidi="fa-IR"/>
          <w:color w:val="111111"/>
          <w:sz w:val="28"/>
          <w:szCs w:val="28"/>
          <w:rtl/>
        </w:rPr>
        <w:t xml:space="preserve">، محمّد بن احمد</w:t>
      </w:r>
    </w:p>
    <w:p>
      <w:pPr>
        <w:pStyle w:val="BookText"/>
      </w:pPr>
      <w:r>
        <w:rPr>
          <w:rFonts w:ascii="Amiri" w:hAnsi="Amiri" w:eastAsia="Amiri" w:cs="Amiri"/>
          <w:lang w:bidi="ar-SA"/>
          <w:color w:val="111111"/>
          <w:sz w:val="28"/>
          <w:szCs w:val="28"/>
          <w:rtl/>
        </w:rPr>
        <w:t xml:space="preserve">فيضي ، مصطفى- حياتي زاده ، مصطفى</w:t>
      </w:r>
    </w:p>
    <w:p>
      <w:pPr>
        <w:pStyle w:val="BookText"/>
      </w:pPr>
      <w:r>
        <w:rPr>
          <w:rFonts w:ascii="Amiri" w:hAnsi="Amiri" w:eastAsia="Amiri" w:cs="Amiri"/>
          <w:lang w:bidi="ar-SA"/>
          <w:color w:val="111111"/>
          <w:sz w:val="28"/>
          <w:szCs w:val="28"/>
          <w:rtl/>
        </w:rPr>
        <w:t xml:space="preserve">بن محمّد</w:t>
      </w:r>
    </w:p>
    <w:p>
      <w:pPr>
        <w:pStyle w:val="Heading2"/>
      </w:pPr>
      <w:bookmarkStart w:id="6434" w:name="_Toc5536"/>
      <w:r>
        <w:t>فيضي، مصطفى بن عبدالله - 1103 ه-</w:t>
      </w:r>
      <w:bookmarkEnd w:id="6434"/>
    </w:p>
    <w:p>
      <w:pPr>
        <w:pStyle w:val="BookText"/>
      </w:pPr>
      <w:r>
        <w:rPr>
          <w:rFonts w:ascii="Amiri" w:hAnsi="Amiri" w:eastAsia="Amiri" w:cs="Amiri"/>
          <w:lang w:bidi="ar-SA"/>
          <w:color w:val="111111"/>
          <w:sz w:val="28"/>
          <w:szCs w:val="28"/>
          <w:rtl/>
        </w:rPr>
        <w:t xml:space="preserve">الرسائل المشفية للأمراض المشكلة في</w:t>
      </w:r>
    </w:p>
    <w:p>
      <w:pPr>
        <w:pStyle w:val="BookText"/>
      </w:pPr>
      <w:r>
        <w:rPr>
          <w:rFonts w:ascii="Amiri" w:hAnsi="Amiri" w:eastAsia="Amiri" w:cs="Amiri"/>
          <w:lang w:bidi="ar-SA"/>
          <w:color w:val="111111"/>
          <w:sz w:val="28"/>
          <w:szCs w:val="28"/>
          <w:rtl/>
        </w:rPr>
        <w:t xml:space="preserve">العلة المراقبة غير السوداوية، ج8،</w:t>
      </w:r>
    </w:p>
    <w:p>
      <w:pPr>
        <w:pStyle w:val="BookText"/>
      </w:pPr>
      <w:r>
        <w:rPr>
          <w:rFonts w:ascii="IRNazanin" w:hAnsi="IRNazanin" w:eastAsia="IRNazanin" w:cs="IRNazanin"/>
          <w:lang w:bidi="fa-IR"/>
          <w:color w:val="111111"/>
          <w:sz w:val="28"/>
          <w:szCs w:val="28"/>
          <w:rtl/>
        </w:rPr>
        <w:t xml:space="preserve">ص 152.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59" w:name="pg7742_70995"/>
    <w:bookmarkEnd w:id="859"/>
    <w:p>
      <w:pPr>
        <w:pStyle w:val="Heading2"/>
      </w:pPr>
      <w:bookmarkStart w:id="6435" w:name="_Toc5537"/>
      <w:r>
        <w:t>فيضي موصلي ، عبدالله بن مصطفى</w:t>
      </w:r>
      <w:bookmarkEnd w:id="6435"/>
    </w:p>
    <w:p>
      <w:pPr>
        <w:pStyle w:val="BookText"/>
      </w:pPr>
      <w:r>
        <w:rPr>
          <w:rFonts w:ascii="IRNazanin" w:hAnsi="IRNazanin" w:eastAsia="IRNazanin" w:cs="IRNazanin"/>
          <w:lang w:bidi="fa-IR"/>
          <w:color w:val="111111"/>
          <w:sz w:val="28"/>
          <w:szCs w:val="28"/>
          <w:rtl/>
        </w:rPr>
        <w:t xml:space="preserve">1309 ه-</w:t>
      </w:r>
    </w:p>
    <w:p>
      <w:pPr>
        <w:pStyle w:val="BookText"/>
      </w:pPr>
      <w:r>
        <w:rPr>
          <w:rFonts w:ascii="Amiri" w:hAnsi="Amiri" w:eastAsia="Amiri" w:cs="Amiri"/>
          <w:lang w:bidi="ar-SA"/>
          <w:color w:val="111111"/>
          <w:sz w:val="28"/>
          <w:szCs w:val="28"/>
          <w:rtl/>
        </w:rPr>
        <w:t xml:space="preserve">1 .الاجوبة الوفية عن الأسئلة النجفية</w:t>
      </w:r>
    </w:p>
    <w:p>
      <w:pPr>
        <w:pStyle w:val="BookText"/>
      </w:pPr>
      <w:r>
        <w:rPr>
          <w:rFonts w:ascii="IRNazanin" w:hAnsi="IRNazanin" w:eastAsia="IRNazanin" w:cs="IRNazanin"/>
          <w:lang w:bidi="fa-IR"/>
          <w:color w:val="111111"/>
          <w:sz w:val="28"/>
          <w:szCs w:val="28"/>
          <w:rtl/>
        </w:rPr>
        <w:t xml:space="preserve">ج 1 ، ص 384.</w:t>
      </w:r>
    </w:p>
    <w:p>
      <w:pPr>
        <w:pStyle w:val="BookText"/>
      </w:pPr>
      <w:r>
        <w:rPr>
          <w:rFonts w:ascii="Amiri" w:hAnsi="Amiri" w:eastAsia="Amiri" w:cs="Amiri"/>
          <w:lang w:bidi="ar-SA"/>
          <w:color w:val="111111"/>
          <w:sz w:val="28"/>
          <w:szCs w:val="28"/>
          <w:rtl/>
        </w:rPr>
        <w:t xml:space="preserve">2 .تحفة الابرار في طريقة الاخيار، ج3،</w:t>
      </w:r>
    </w:p>
    <w:p>
      <w:pPr>
        <w:pStyle w:val="BookText"/>
      </w:pPr>
      <w:r>
        <w:rPr>
          <w:rFonts w:ascii="IRNazanin" w:hAnsi="IRNazanin" w:eastAsia="IRNazanin" w:cs="IRNazanin"/>
          <w:lang w:bidi="fa-IR"/>
          <w:color w:val="111111"/>
          <w:sz w:val="28"/>
          <w:szCs w:val="28"/>
          <w:rtl/>
        </w:rPr>
        <w:t xml:space="preserve">ص 773</w:t>
      </w:r>
    </w:p>
    <w:p>
      <w:pPr>
        <w:pStyle w:val="BookText"/>
      </w:pPr>
      <w:r>
        <w:rPr>
          <w:rFonts w:ascii="Amiri" w:hAnsi="Amiri" w:eastAsia="Amiri" w:cs="Amiri"/>
          <w:lang w:bidi="ar-SA"/>
          <w:color w:val="111111"/>
          <w:sz w:val="28"/>
          <w:szCs w:val="28"/>
          <w:rtl/>
        </w:rPr>
        <w:t xml:space="preserve">3 .رأس المال في نيل الآمال، ج8، ص11.</w:t>
      </w:r>
    </w:p>
    <w:p>
      <w:pPr>
        <w:pStyle w:val="BookText"/>
      </w:pPr>
      <w:r>
        <w:rPr>
          <w:rFonts w:ascii="Amiri" w:hAnsi="Amiri" w:eastAsia="Amiri" w:cs="Amiri"/>
          <w:lang w:bidi="ar-SA"/>
          <w:color w:val="111111"/>
          <w:sz w:val="28"/>
          <w:szCs w:val="28"/>
          <w:rtl/>
        </w:rPr>
        <w:t xml:space="preserve">4 .روضة الناظر و نزهة الخاطر، ج8،</w:t>
      </w:r>
    </w:p>
    <w:p>
      <w:pPr>
        <w:pStyle w:val="BookText"/>
      </w:pPr>
      <w:r>
        <w:rPr>
          <w:rFonts w:ascii="IRNazanin" w:hAnsi="IRNazanin" w:eastAsia="IRNazanin" w:cs="IRNazanin"/>
          <w:lang w:bidi="fa-IR"/>
          <w:color w:val="111111"/>
          <w:sz w:val="28"/>
          <w:szCs w:val="28"/>
          <w:rtl/>
        </w:rPr>
        <w:t xml:space="preserve">ص 455.</w:t>
      </w:r>
    </w:p>
    <w:p>
      <w:pPr>
        <w:pStyle w:val="BookText"/>
      </w:pPr>
      <w:r>
        <w:rPr>
          <w:rFonts w:ascii="Amiri" w:hAnsi="Amiri" w:eastAsia="Amiri" w:cs="Amiri"/>
          <w:lang w:bidi="ar-SA"/>
          <w:color w:val="111111"/>
          <w:sz w:val="28"/>
          <w:szCs w:val="28"/>
          <w:rtl/>
        </w:rPr>
        <w:t xml:space="preserve">5 .سيف العون في رقبة فرعون، ج 9،</w:t>
      </w:r>
    </w:p>
    <w:p>
      <w:pPr>
        <w:pStyle w:val="BookText"/>
      </w:pPr>
      <w:r>
        <w:rPr>
          <w:rFonts w:ascii="IRNazanin" w:hAnsi="IRNazanin" w:eastAsia="IRNazanin" w:cs="IRNazanin"/>
          <w:lang w:bidi="fa-IR"/>
          <w:color w:val="111111"/>
          <w:sz w:val="28"/>
          <w:szCs w:val="28"/>
          <w:rtl/>
        </w:rPr>
        <w:t xml:space="preserve">ص 40 .</w:t>
      </w:r>
    </w:p>
    <w:p>
      <w:pPr>
        <w:pStyle w:val="BookText"/>
      </w:pPr>
      <w:r>
        <w:rPr>
          <w:rFonts w:ascii="Amiri" w:hAnsi="Amiri" w:eastAsia="Amiri" w:cs="Amiri"/>
          <w:lang w:bidi="ar-SA"/>
          <w:color w:val="111111"/>
          <w:sz w:val="28"/>
          <w:szCs w:val="28"/>
          <w:rtl/>
        </w:rPr>
        <w:t xml:space="preserve">6 .الشذرة الذهبية في الشواهد الادبية</w:t>
      </w:r>
    </w:p>
    <w:p>
      <w:pPr>
        <w:pStyle w:val="BookText"/>
      </w:pPr>
      <w:r>
        <w:rPr>
          <w:rFonts w:ascii="IRNazanin" w:hAnsi="IRNazanin" w:eastAsia="IRNazanin" w:cs="IRNazanin"/>
          <w:lang w:bidi="fa-IR"/>
          <w:color w:val="111111"/>
          <w:sz w:val="28"/>
          <w:szCs w:val="28"/>
          <w:rtl/>
        </w:rPr>
        <w:t xml:space="preserve">ج 9، ص88.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الملغوز و بیان الرموز، ج 10،</w:t>
      </w:r>
    </w:p>
    <w:p>
      <w:pPr>
        <w:pStyle w:val="BookText"/>
      </w:pPr>
      <w:r>
        <w:rPr>
          <w:rFonts w:ascii="IRNazanin" w:hAnsi="IRNazanin" w:eastAsia="IRNazanin" w:cs="IRNazanin"/>
          <w:lang w:bidi="fa-IR"/>
          <w:color w:val="111111"/>
          <w:sz w:val="28"/>
          <w:szCs w:val="28"/>
          <w:rtl/>
        </w:rPr>
        <w:t xml:space="preserve">ص228.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شعب الايمان (رسالة في)، ج10،</w:t>
      </w:r>
    </w:p>
    <w:p>
      <w:pPr>
        <w:pStyle w:val="BookText"/>
      </w:pPr>
      <w:r>
        <w:rPr>
          <w:rFonts w:ascii="IRNazanin" w:hAnsi="IRNazanin" w:eastAsia="IRNazanin" w:cs="IRNazanin"/>
          <w:lang w:bidi="fa-IR"/>
          <w:color w:val="111111"/>
          <w:sz w:val="28"/>
          <w:szCs w:val="28"/>
          <w:rtl/>
        </w:rPr>
        <w:t xml:space="preserve">ص 365.</w:t>
      </w:r>
    </w:p>
    <w:p>
      <w:pPr>
        <w:pStyle w:val="BookText"/>
      </w:pPr>
      <w:r>
        <w:rPr>
          <w:rFonts w:ascii="IRNazanin" w:hAnsi="IRNazanin" w:eastAsia="IRNazanin" w:cs="IRNazanin"/>
          <w:lang w:bidi="fa-IR"/>
          <w:color w:val="111111"/>
          <w:sz w:val="28"/>
          <w:szCs w:val="28"/>
          <w:rtl/>
        </w:rPr>
        <w:t xml:space="preserve">9 .شفاء القلوب من امراض الذنوب</w:t>
      </w:r>
    </w:p>
    <w:p>
      <w:pPr>
        <w:pStyle w:val="BookText"/>
      </w:pPr>
      <w:r>
        <w:rPr>
          <w:rFonts w:ascii="IRNazanin" w:hAnsi="IRNazanin" w:eastAsia="IRNazanin" w:cs="IRNazanin"/>
          <w:lang w:bidi="fa-IR"/>
          <w:color w:val="111111"/>
          <w:sz w:val="28"/>
          <w:szCs w:val="28"/>
          <w:rtl/>
        </w:rPr>
        <w:t xml:space="preserve">ج 10، ص390.</w:t>
      </w:r>
    </w:p>
    <w:p>
      <w:pPr>
        <w:pStyle w:val="BookText"/>
      </w:pPr>
      <w:r>
        <w:rPr>
          <w:rFonts w:ascii="Amiri" w:hAnsi="Amiri" w:eastAsia="Amiri" w:cs="Amiri"/>
          <w:lang w:bidi="ar-SA"/>
          <w:color w:val="111111"/>
          <w:sz w:val="28"/>
          <w:szCs w:val="28"/>
          <w:rtl/>
        </w:rPr>
        <w:t xml:space="preserve">10 .العقود المضية في العقيدة المرضية</w:t>
      </w:r>
    </w:p>
    <w:p>
      <w:pPr>
        <w:pStyle w:val="BookText"/>
      </w:pPr>
      <w:r>
        <w:rPr>
          <w:rFonts w:ascii="IRNazanin" w:hAnsi="IRNazanin" w:eastAsia="IRNazanin" w:cs="IRNazanin"/>
          <w:lang w:bidi="fa-IR"/>
          <w:color w:val="111111"/>
          <w:sz w:val="28"/>
          <w:szCs w:val="28"/>
          <w:rtl/>
        </w:rPr>
        <w:t xml:space="preserve">ج 11، ص 196.</w:t>
      </w:r>
    </w:p>
    <w:p>
      <w:pPr>
        <w:pStyle w:val="BookText"/>
      </w:pPr>
      <w:r>
        <w:rPr>
          <w:rFonts w:ascii="Amiri" w:hAnsi="Amiri" w:eastAsia="Amiri" w:cs="Amiri"/>
          <w:lang w:bidi="ar-SA"/>
          <w:color w:val="111111"/>
          <w:sz w:val="28"/>
          <w:szCs w:val="28"/>
          <w:rtl/>
        </w:rPr>
        <w:t xml:space="preserve">11 .فائدة الاخوان وعائلة الاعيان</w:t>
      </w:r>
    </w:p>
    <w:p>
      <w:pPr>
        <w:pStyle w:val="BookText"/>
      </w:pPr>
      <w:r>
        <w:rPr>
          <w:rFonts w:ascii="Amiri" w:hAnsi="Amiri" w:eastAsia="Amiri" w:cs="Amiri"/>
          <w:lang w:bidi="ar-SA"/>
          <w:color w:val="111111"/>
          <w:sz w:val="28"/>
          <w:szCs w:val="28"/>
          <w:rtl/>
        </w:rPr>
        <w:t xml:space="preserve">المصنفات (رسالة في)، ج 11،</w:t>
      </w:r>
    </w:p>
    <w:p>
      <w:pPr>
        <w:pStyle w:val="BookText"/>
      </w:pPr>
      <w:r>
        <w:rPr>
          <w:rFonts w:ascii="IRNazanin" w:hAnsi="IRNazanin" w:eastAsia="IRNazanin" w:cs="IRNazanin"/>
          <w:lang w:bidi="fa-IR"/>
          <w:color w:val="111111"/>
          <w:sz w:val="28"/>
          <w:szCs w:val="28"/>
          <w:rtl/>
        </w:rPr>
        <w:t xml:space="preserve">ص 568 .</w:t>
      </w:r>
    </w:p>
    <w:p>
      <w:pPr>
        <w:pStyle w:val="BookText"/>
      </w:pPr>
      <w:r>
        <w:rPr>
          <w:rFonts w:ascii="Amiri" w:hAnsi="Amiri" w:eastAsia="Amiri" w:cs="Amiri"/>
          <w:lang w:bidi="ar-SA"/>
          <w:color w:val="111111"/>
          <w:sz w:val="28"/>
          <w:szCs w:val="28"/>
          <w:rtl/>
        </w:rPr>
        <w:t xml:space="preserve">12 .الفرائد في شرح العقائد، ج11،</w:t>
      </w:r>
    </w:p>
    <w:p>
      <w:pPr>
        <w:pStyle w:val="BookText"/>
      </w:pPr>
      <w:r>
        <w:rPr>
          <w:rFonts w:ascii="IRNazanin" w:hAnsi="IRNazanin" w:eastAsia="IRNazanin" w:cs="IRNazanin"/>
          <w:lang w:bidi="fa-IR"/>
          <w:color w:val="111111"/>
          <w:sz w:val="28"/>
          <w:szCs w:val="28"/>
          <w:rtl/>
        </w:rPr>
        <w:t xml:space="preserve">ص 740 .</w:t>
      </w:r>
    </w:p>
    <w:p>
      <w:pPr>
        <w:pStyle w:val="BookText"/>
      </w:pPr>
      <w:r>
        <w:rPr>
          <w:rFonts w:ascii="Amiri" w:hAnsi="Amiri" w:eastAsia="Amiri" w:cs="Amiri"/>
          <w:lang w:bidi="ar-SA"/>
          <w:color w:val="111111"/>
          <w:sz w:val="28"/>
          <w:szCs w:val="28"/>
          <w:rtl/>
        </w:rPr>
        <w:t xml:space="preserve">13 .كشف الرمز عن الغز، ج 13،</w:t>
      </w:r>
    </w:p>
    <w:p>
      <w:pPr>
        <w:pStyle w:val="BookText"/>
      </w:pPr>
      <w:r>
        <w:rPr>
          <w:rFonts w:ascii="IRNazanin" w:hAnsi="IRNazanin" w:eastAsia="IRNazanin" w:cs="IRNazanin"/>
          <w:lang w:bidi="fa-IR"/>
          <w:color w:val="111111"/>
          <w:sz w:val="28"/>
          <w:szCs w:val="28"/>
          <w:rtl/>
        </w:rPr>
        <w:t xml:space="preserve">ص 212 .</w:t>
      </w:r>
    </w:p>
    <w:p>
      <w:pPr>
        <w:pStyle w:val="BookText"/>
      </w:pPr>
      <w:r>
        <w:rPr>
          <w:rFonts w:ascii="Amiri" w:hAnsi="Amiri" w:eastAsia="Amiri" w:cs="Amiri"/>
          <w:lang w:bidi="ar-SA"/>
          <w:color w:val="111111"/>
          <w:sz w:val="28"/>
          <w:szCs w:val="28"/>
          <w:rtl/>
        </w:rPr>
        <w:t xml:space="preserve">14 .اللطائف الانسية على المسائل</w:t>
      </w:r>
    </w:p>
    <w:p>
      <w:pPr>
        <w:pStyle w:val="BookText"/>
      </w:pPr>
      <w:r>
        <w:rPr>
          <w:rFonts w:ascii="Amiri" w:hAnsi="Amiri" w:eastAsia="Amiri" w:cs="Amiri"/>
          <w:lang w:bidi="ar-SA"/>
          <w:color w:val="111111"/>
          <w:sz w:val="28"/>
          <w:szCs w:val="28"/>
          <w:rtl/>
        </w:rPr>
        <w:t xml:space="preserve">الاويسية، ج 13، ص 576.</w:t>
      </w:r>
    </w:p>
    <w:p>
      <w:pPr>
        <w:pStyle w:val="BookText"/>
      </w:pPr>
      <w:r>
        <w:rPr>
          <w:rFonts w:ascii="Amiri" w:hAnsi="Amiri" w:eastAsia="Amiri" w:cs="Amiri"/>
          <w:lang w:bidi="ar-SA"/>
          <w:color w:val="111111"/>
          <w:sz w:val="28"/>
          <w:szCs w:val="28"/>
          <w:rtl/>
        </w:rPr>
        <w:t xml:space="preserve">15 .معينة الطلاب على اكتساب صناعة الاعراب، ج 15 ، ص 102.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المقامة البغدادية، ج 15، ص 314.</w:t>
      </w:r>
    </w:p>
    <w:p>
      <w:pPr>
        <w:pStyle w:val="BookText"/>
      </w:pPr>
      <w:r>
        <w:rPr>
          <w:rFonts w:ascii="IRNazanin" w:hAnsi="IRNazanin" w:eastAsia="IRNazanin" w:cs="IRNazanin"/>
          <w:lang w:bidi="fa-IR"/>
          <w:color w:val="111111"/>
          <w:sz w:val="28"/>
          <w:szCs w:val="28"/>
          <w:rtl/>
        </w:rPr>
        <w:t xml:space="preserve">17 .نظم شرح قطر الندى، ج 16،</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نظم متن شرح الآجرومية، ج 16 ،</w:t>
      </w:r>
    </w:p>
    <w:p>
      <w:pPr>
        <w:pStyle w:val="BookText"/>
      </w:pPr>
      <w:r>
        <w:rPr>
          <w:rFonts w:ascii="IRNazanin" w:hAnsi="IRNazanin" w:eastAsia="IRNazanin" w:cs="IRNazanin"/>
          <w:lang w:bidi="fa-IR"/>
          <w:color w:val="111111"/>
          <w:sz w:val="28"/>
          <w:szCs w:val="28"/>
          <w:rtl/>
        </w:rPr>
        <w:t xml:space="preserve">ص 361 .</w:t>
      </w:r>
    </w:p>
    <w:p>
      <w:pPr>
        <w:pStyle w:val="BookText"/>
      </w:pPr>
      <w:r>
        <w:rPr>
          <w:rFonts w:ascii="Amiri" w:hAnsi="Amiri" w:eastAsia="Amiri" w:cs="Amiri"/>
          <w:lang w:bidi="ar-SA"/>
          <w:color w:val="111111"/>
          <w:sz w:val="28"/>
          <w:szCs w:val="28"/>
          <w:rtl/>
        </w:rPr>
        <w:t xml:space="preserve">19 .نور القمر في سيرة الامام عمر</w:t>
      </w:r>
    </w:p>
    <w:p>
      <w:pPr>
        <w:pStyle w:val="BookText"/>
      </w:pPr>
      <w:r>
        <w:rPr>
          <w:rFonts w:ascii="IRNazanin" w:hAnsi="IRNazanin" w:eastAsia="IRNazanin" w:cs="IRNazanin"/>
          <w:lang w:bidi="fa-IR"/>
          <w:color w:val="111111"/>
          <w:sz w:val="28"/>
          <w:szCs w:val="28"/>
          <w:rtl/>
        </w:rPr>
        <w:t xml:space="preserve">ج 16، ص 566.</w:t>
      </w:r>
    </w:p>
    <w:p>
      <w:pPr>
        <w:pStyle w:val="BookText"/>
      </w:pPr>
      <w:r>
        <w:rPr>
          <w:rFonts w:ascii="IRNazanin" w:hAnsi="IRNazanin" w:eastAsia="IRNazanin" w:cs="IRNazanin"/>
          <w:lang w:bidi="fa-IR"/>
          <w:color w:val="111111"/>
          <w:sz w:val="28"/>
          <w:szCs w:val="28"/>
          <w:rtl/>
        </w:rPr>
        <w:t xml:space="preserve">20 .وسم المسمى و حل المعمى، ج 16 ،</w:t>
      </w:r>
    </w:p>
    <w:p>
      <w:pPr>
        <w:pStyle w:val="BookText"/>
      </w:pPr>
      <w:r>
        <w:rPr>
          <w:rFonts w:ascii="IRNazanin" w:hAnsi="IRNazanin" w:eastAsia="IRNazanin" w:cs="IRNazanin"/>
          <w:lang w:bidi="fa-IR"/>
          <w:color w:val="111111"/>
          <w:sz w:val="28"/>
          <w:szCs w:val="28"/>
          <w:rtl/>
        </w:rPr>
        <w:t xml:space="preserve">ص 781.</w:t>
      </w:r>
    </w:p>
    <w:p>
      <w:pPr>
        <w:pStyle w:val="BookText"/>
      </w:pPr>
      <w:r>
        <w:rPr>
          <w:rFonts w:ascii="Amiri" w:hAnsi="Amiri" w:eastAsia="Amiri" w:cs="Amiri"/>
          <w:lang w:bidi="ar-SA"/>
          <w:color w:val="111111"/>
          <w:sz w:val="28"/>
          <w:szCs w:val="28"/>
          <w:rtl/>
        </w:rPr>
        <w:t xml:space="preserve">21 .وسيلة المشتاق إلى مكارم الاخلاق</w:t>
      </w:r>
    </w:p>
    <w:p>
      <w:pPr>
        <w:pStyle w:val="BookText"/>
      </w:pPr>
      <w:r>
        <w:rPr>
          <w:rFonts w:ascii="IRNazanin" w:hAnsi="IRNazanin" w:eastAsia="IRNazanin" w:cs="IRNazanin"/>
          <w:lang w:bidi="fa-IR"/>
          <w:color w:val="111111"/>
          <w:sz w:val="28"/>
          <w:szCs w:val="28"/>
          <w:rtl/>
        </w:rPr>
        <w:t xml:space="preserve">ج 16، ص 787.</w:t>
      </w:r>
    </w:p>
    <w:p>
      <w:pPr>
        <w:pStyle w:val="BookText"/>
      </w:pPr>
      <w:r>
        <w:rPr>
          <w:rFonts w:ascii="Amiri" w:hAnsi="Amiri" w:eastAsia="Amiri" w:cs="Amiri"/>
          <w:lang w:bidi="ar-SA"/>
          <w:color w:val="111111"/>
          <w:sz w:val="28"/>
          <w:szCs w:val="28"/>
          <w:rtl/>
        </w:rPr>
        <w:t xml:space="preserve">22 .وصية المريد في طريقة التوحيد</w:t>
      </w:r>
    </w:p>
    <w:p>
      <w:pPr>
        <w:pStyle w:val="BookText"/>
      </w:pPr>
      <w:r>
        <w:rPr>
          <w:rFonts w:ascii="IRNazanin" w:hAnsi="IRNazanin" w:eastAsia="IRNazanin" w:cs="IRNazanin"/>
          <w:lang w:bidi="fa-IR"/>
          <w:color w:val="111111"/>
          <w:sz w:val="28"/>
          <w:szCs w:val="28"/>
          <w:rtl/>
        </w:rPr>
        <w:t xml:space="preserve">ج 16، ص 819.</w:t>
      </w:r>
    </w:p>
    <w:p>
      <w:pPr>
        <w:pStyle w:val="BookText"/>
      </w:pPr>
      <w:r>
        <w:rPr>
          <w:rFonts w:ascii="Amiri" w:hAnsi="Amiri" w:eastAsia="Amiri" w:cs="Amiri"/>
          <w:lang w:bidi="ar-SA"/>
          <w:color w:val="111111"/>
          <w:sz w:val="28"/>
          <w:szCs w:val="28"/>
          <w:rtl/>
        </w:rPr>
        <w:t xml:space="preserve">فيطي، محمّد بن احمد -غيطي ، محمّد</w:t>
      </w:r>
    </w:p>
    <w:p>
      <w:pPr>
        <w:pStyle w:val="BookText"/>
      </w:pPr>
      <w:r>
        <w:rPr>
          <w:rFonts w:ascii="IRNazanin" w:hAnsi="IRNazanin" w:eastAsia="IRNazanin" w:cs="IRNazanin"/>
          <w:lang w:bidi="fa-IR"/>
          <w:color w:val="111111"/>
          <w:sz w:val="28"/>
          <w:szCs w:val="28"/>
          <w:rtl/>
        </w:rPr>
        <w:t xml:space="preserve">بن احمد</w:t>
      </w:r>
    </w:p>
    <w:p>
      <w:pPr>
        <w:pStyle w:val="Heading2"/>
      </w:pPr>
      <w:bookmarkStart w:id="6436" w:name="_Toc5538"/>
      <w:r>
        <w:t>فيلوي ، شهاب الدين</w:t>
      </w:r>
      <w:bookmarkEnd w:id="6436"/>
    </w:p>
    <w:p>
      <w:pPr>
        <w:pStyle w:val="BookText"/>
      </w:pPr>
      <w:r>
        <w:rPr>
          <w:rFonts w:ascii="Amiri" w:hAnsi="Amiri" w:eastAsia="Amiri" w:cs="Amiri"/>
          <w:lang w:bidi="ar-SA"/>
          <w:color w:val="111111"/>
          <w:sz w:val="28"/>
          <w:szCs w:val="28"/>
          <w:rtl/>
        </w:rPr>
        <w:t xml:space="preserve">مقدمة في بيان الوقت و القبلة، ج 15</w:t>
      </w:r>
    </w:p>
    <w:p>
      <w:pPr>
        <w:pStyle w:val="BookText"/>
      </w:pPr>
      <w:r>
        <w:rPr>
          <w:rFonts w:ascii="IRNazanin" w:hAnsi="IRNazanin" w:eastAsia="IRNazanin" w:cs="IRNazanin"/>
          <w:lang w:bidi="fa-IR"/>
          <w:color w:val="111111"/>
          <w:sz w:val="28"/>
          <w:szCs w:val="28"/>
          <w:rtl/>
        </w:rPr>
        <w:t xml:space="preserve">ص 363.</w:t>
      </w:r>
    </w:p>
    <w:p>
      <w:pPr>
        <w:pStyle w:val="Heading2"/>
      </w:pPr>
      <w:bookmarkStart w:id="6437" w:name="_Toc5539"/>
      <w:r>
        <w:t>فيلي ، نعمة الله بن شهواز قرن 13 ه-</w:t>
      </w:r>
      <w:bookmarkEnd w:id="6437"/>
    </w:p>
    <w:p>
      <w:pPr>
        <w:pStyle w:val="BookText"/>
      </w:pPr>
      <w:r>
        <w:rPr>
          <w:rFonts w:ascii="Amiri" w:hAnsi="Amiri" w:eastAsia="Amiri" w:cs="Amiri"/>
          <w:lang w:bidi="ar-SA"/>
          <w:color w:val="111111"/>
          <w:sz w:val="28"/>
          <w:szCs w:val="28"/>
          <w:rtl/>
        </w:rPr>
        <w:t xml:space="preserve">الشقائق النعمانية و الرياض الفردوسية، ج 10، ص398.</w:t>
      </w:r>
    </w:p>
    <w:p>
      <w:pPr>
        <w:pStyle w:val="Heading2"/>
      </w:pPr>
      <w:bookmarkStart w:id="6438" w:name="_Toc5540"/>
      <w:r>
        <w:t>فيومي ، احمد بن محمّد - 770؟</w:t>
      </w:r>
      <w:bookmarkEnd w:id="6438"/>
    </w:p>
    <w:p>
      <w:pPr>
        <w:pStyle w:val="BookText"/>
      </w:pPr>
      <w:r>
        <w:rPr>
          <w:rFonts w:ascii="Amiri" w:hAnsi="Amiri" w:eastAsia="Amiri" w:cs="Amiri"/>
          <w:lang w:bidi="ar-SA"/>
          <w:color w:val="111111"/>
          <w:sz w:val="28"/>
          <w:szCs w:val="28"/>
          <w:rtl/>
        </w:rPr>
        <w:t xml:space="preserve">المصباح المنير في غريب الشرح الكبير</w:t>
      </w:r>
    </w:p>
    <w:p>
      <w:pPr>
        <w:pStyle w:val="BookText"/>
      </w:pPr>
      <w:r>
        <w:rPr>
          <w:rFonts w:ascii="IRNazanin" w:hAnsi="IRNazanin" w:eastAsia="IRNazanin" w:cs="IRNazanin"/>
          <w:lang w:bidi="fa-IR"/>
          <w:color w:val="111111"/>
          <w:sz w:val="28"/>
          <w:szCs w:val="28"/>
          <w:rtl/>
        </w:rPr>
        <w:t xml:space="preserve">ج 14، ص 740.</w:t>
      </w:r>
    </w:p>
    <w:p>
      <w:pPr>
        <w:pStyle w:val="Heading2"/>
      </w:pPr>
      <w:bookmarkStart w:id="6439" w:name="_Toc5541"/>
      <w:r>
        <w:t>فيومي عبد البر بن عبد القادر - 1071 ه-</w:t>
      </w:r>
      <w:bookmarkEnd w:id="6439"/>
    </w:p>
    <w:p>
      <w:pPr>
        <w:pStyle w:val="BookText"/>
      </w:pPr>
      <w:r>
        <w:rPr>
          <w:rFonts w:ascii="Amiri" w:hAnsi="Amiri" w:eastAsia="Amiri" w:cs="Amiri"/>
          <w:lang w:bidi="ar-SA"/>
          <w:color w:val="111111"/>
          <w:sz w:val="28"/>
          <w:szCs w:val="28"/>
          <w:rtl/>
        </w:rPr>
        <w:t xml:space="preserve">الدر النفيس على شرح اشكال</w:t>
      </w:r>
    </w:p>
    <w:p>
      <w:pPr>
        <w:pStyle w:val="BookText"/>
      </w:pPr>
      <w:r>
        <w:rPr>
          <w:rFonts w:ascii="Amiri" w:hAnsi="Amiri" w:eastAsia="Amiri" w:cs="Amiri"/>
          <w:lang w:bidi="ar-SA"/>
          <w:color w:val="111111"/>
          <w:sz w:val="28"/>
          <w:szCs w:val="28"/>
          <w:rtl/>
        </w:rPr>
        <w:t xml:space="preserve">التأسيس، ج 7، ص 364.</w:t>
      </w:r>
    </w:p>
    <w:p>
      <w:pPr>
        <w:pStyle w:val="Heading2"/>
      </w:pPr>
      <w:bookmarkStart w:id="6440" w:name="_Toc5542"/>
      <w:r>
        <w:t>فيومي ، محمّد بن عبد الصمد، قرن 8 ه-</w:t>
      </w:r>
      <w:bookmarkEnd w:id="6440"/>
    </w:p>
    <w:p>
      <w:pPr>
        <w:pStyle w:val="BookText"/>
      </w:pPr>
      <w:r>
        <w:rPr>
          <w:rFonts w:ascii="Amiri" w:hAnsi="Amiri" w:eastAsia="Amiri" w:cs="Amiri"/>
          <w:lang w:bidi="ar-SA"/>
          <w:color w:val="111111"/>
          <w:sz w:val="28"/>
          <w:szCs w:val="28"/>
          <w:rtl/>
        </w:rPr>
        <w:t xml:space="preserve">تخميس قصيدة البردة = تخميس</w:t>
      </w:r>
    </w:p>
    <w:p>
      <w:pPr>
        <w:pStyle w:val="BookText"/>
      </w:pPr>
      <w:r>
        <w:rPr>
          <w:rFonts w:ascii="Amiri" w:hAnsi="Amiri" w:eastAsia="Amiri" w:cs="Amiri"/>
          <w:lang w:bidi="ar-SA"/>
          <w:color w:val="111111"/>
          <w:sz w:val="28"/>
          <w:szCs w:val="28"/>
          <w:rtl/>
        </w:rPr>
        <w:t xml:space="preserve">الكواكب الدرية، ج 4، ص 117.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60" w:name="pg7742_70997"/>
    <w:bookmarkEnd w:id="860"/>
    <w:p>
      <w:pPr>
        <w:pStyle w:val="BookText"/>
      </w:pPr>
      <w:r>
        <w:rPr>
          <w:rFonts w:ascii="Amiri" w:hAnsi="Amiri" w:eastAsia="Amiri" w:cs="Amiri"/>
          <w:lang w:bidi="ar-SA"/>
          <w:color w:val="111111"/>
          <w:sz w:val="28"/>
          <w:szCs w:val="28"/>
          <w:rtl/>
        </w:rPr>
        <w:t xml:space="preserve">فيومي، محمود بن احمد- ابن خطيب</w:t>
      </w:r>
    </w:p>
    <w:p>
      <w:pPr>
        <w:pStyle w:val="BookText"/>
      </w:pPr>
      <w:r>
        <w:rPr>
          <w:rFonts w:ascii="Amiri" w:hAnsi="Amiri" w:eastAsia="Amiri" w:cs="Amiri"/>
          <w:lang w:bidi="ar-SA"/>
          <w:color w:val="111111"/>
          <w:sz w:val="28"/>
          <w:szCs w:val="28"/>
          <w:rtl/>
        </w:rPr>
        <w:t xml:space="preserve">الدهشة ، محمود بن احمد</w:t>
      </w:r>
    </w:p>
    <w:p>
      <w:pPr>
        <w:pStyle w:val="Heading2"/>
      </w:pPr>
      <w:bookmarkStart w:id="6441" w:name="_Toc5543"/>
      <w:r>
        <w:t>؟ قائم مقام ، ابوالقاسم بن عيسى</w:t>
      </w:r>
      <w:bookmarkEnd w:id="6441"/>
    </w:p>
    <w:p>
      <w:pPr>
        <w:pStyle w:val="BookText"/>
      </w:pPr>
      <w:r>
        <w:rPr>
          <w:rFonts w:ascii="IRNazanin" w:hAnsi="IRNazanin" w:eastAsia="IRNazanin" w:cs="IRNazanin"/>
          <w:lang w:bidi="fa-IR"/>
          <w:color w:val="111111"/>
          <w:sz w:val="28"/>
          <w:szCs w:val="28"/>
          <w:rtl/>
        </w:rPr>
        <w:t xml:space="preserve">1193 - 1251 ه-</w:t>
      </w:r>
    </w:p>
    <w:p>
      <w:pPr>
        <w:pStyle w:val="BookText"/>
      </w:pPr>
      <w:r>
        <w:rPr>
          <w:rFonts w:ascii="IRNazanin" w:hAnsi="IRNazanin" w:eastAsia="IRNazanin" w:cs="IRNazanin"/>
          <w:lang w:bidi="fa-IR"/>
          <w:color w:val="111111"/>
          <w:sz w:val="28"/>
          <w:szCs w:val="28"/>
          <w:rtl/>
        </w:rPr>
        <w:t xml:space="preserve">منشآت ، ج 15، ص 687. 15</w:t>
      </w:r>
    </w:p>
    <w:p>
      <w:pPr>
        <w:pStyle w:val="BookText"/>
      </w:pPr>
      <w:r>
        <w:rPr>
          <w:rFonts w:ascii="IRNazanin" w:hAnsi="IRNazanin" w:eastAsia="IRNazanin" w:cs="IRNazanin"/>
          <w:lang w:bidi="fa-IR"/>
          <w:color w:val="111111"/>
          <w:sz w:val="28"/>
          <w:szCs w:val="28"/>
          <w:rtl/>
        </w:rPr>
        <w:t xml:space="preserve">قائم مقام اول، عیسی بن حسن -ميرزا</w:t>
      </w:r>
    </w:p>
    <w:p>
      <w:pPr>
        <w:pStyle w:val="BookText"/>
      </w:pPr>
      <w:r>
        <w:rPr>
          <w:rFonts w:ascii="IRNazanin" w:hAnsi="IRNazanin" w:eastAsia="IRNazanin" w:cs="IRNazanin"/>
          <w:lang w:bidi="fa-IR"/>
          <w:color w:val="111111"/>
          <w:sz w:val="28"/>
          <w:szCs w:val="28"/>
          <w:rtl/>
        </w:rPr>
        <w:t xml:space="preserve">بزرگ قائم مقام ، عيسى بن حسن</w:t>
      </w:r>
    </w:p>
    <w:p>
      <w:pPr>
        <w:pStyle w:val="BookText"/>
      </w:pPr>
      <w:r>
        <w:rPr>
          <w:rFonts w:ascii="Amiri" w:hAnsi="Amiri" w:eastAsia="Amiri" w:cs="Amiri"/>
          <w:lang w:bidi="ar-SA"/>
          <w:color w:val="111111"/>
          <w:sz w:val="28"/>
          <w:szCs w:val="28"/>
          <w:rtl/>
        </w:rPr>
        <w:t xml:space="preserve">قائم مقامي ، صادق بن حسين- اديب</w:t>
      </w:r>
    </w:p>
    <w:p>
      <w:pPr>
        <w:pStyle w:val="BookText"/>
      </w:pPr>
      <w:r>
        <w:rPr>
          <w:rFonts w:ascii="Amiri" w:hAnsi="Amiri" w:eastAsia="Amiri" w:cs="Amiri"/>
          <w:lang w:bidi="ar-SA"/>
          <w:color w:val="111111"/>
          <w:sz w:val="28"/>
          <w:szCs w:val="28"/>
          <w:rtl/>
        </w:rPr>
        <w:t xml:space="preserve">الممالك ، محمّد صادق بن حسين</w:t>
      </w:r>
    </w:p>
    <w:p>
      <w:pPr>
        <w:pStyle w:val="Heading2"/>
      </w:pPr>
      <w:bookmarkStart w:id="6442" w:name="_Toc5544"/>
      <w:r>
        <w:t>قائني، اسماعيل بن جعفر قرن 13 ه-</w:t>
      </w:r>
      <w:bookmarkEnd w:id="6442"/>
    </w:p>
    <w:p>
      <w:pPr>
        <w:pStyle w:val="BookText"/>
      </w:pPr>
      <w:r>
        <w:rPr>
          <w:rFonts w:ascii="Amiri" w:hAnsi="Amiri" w:eastAsia="Amiri" w:cs="Amiri"/>
          <w:lang w:bidi="ar-SA"/>
          <w:color w:val="111111"/>
          <w:sz w:val="28"/>
          <w:szCs w:val="28"/>
          <w:rtl/>
        </w:rPr>
        <w:t xml:space="preserve">نظم اللآلي ، ج 16، ص 359.</w:t>
      </w:r>
    </w:p>
    <w:p>
      <w:pPr>
        <w:pStyle w:val="Heading2"/>
      </w:pPr>
      <w:bookmarkStart w:id="6443" w:name="_Toc5545"/>
      <w:r>
        <w:t>قائني اصفهاني ، خليل بن محمّد اشرف -</w:t>
      </w:r>
      <w:bookmarkEnd w:id="6443"/>
    </w:p>
    <w:p>
      <w:pPr>
        <w:pStyle w:val="BookText"/>
      </w:pPr>
      <w:r>
        <w:rPr>
          <w:rFonts w:ascii="IRNazanin" w:hAnsi="IRNazanin" w:eastAsia="IRNazanin" w:cs="IRNazanin"/>
          <w:lang w:bidi="fa-IR"/>
          <w:color w:val="111111"/>
          <w:sz w:val="28"/>
          <w:szCs w:val="28"/>
          <w:rtl/>
        </w:rPr>
        <w:t xml:space="preserve">1136ه-</w:t>
      </w:r>
    </w:p>
    <w:p>
      <w:pPr>
        <w:pStyle w:val="BookText"/>
      </w:pPr>
      <w:r>
        <w:rPr>
          <w:rFonts w:ascii="IRNazanin" w:hAnsi="IRNazanin" w:eastAsia="IRNazanin" w:cs="IRNazanin"/>
          <w:lang w:bidi="fa-IR"/>
          <w:color w:val="111111"/>
          <w:sz w:val="28"/>
          <w:szCs w:val="28"/>
          <w:rtl/>
        </w:rPr>
        <w:t xml:space="preserve">البداء ، ج 3، ص239.</w:t>
      </w:r>
    </w:p>
    <w:p>
      <w:pPr>
        <w:pStyle w:val="BookText"/>
      </w:pPr>
      <w:r>
        <w:rPr>
          <w:rFonts w:ascii="Amiri" w:hAnsi="Amiri" w:eastAsia="Amiri" w:cs="Amiri"/>
          <w:lang w:bidi="ar-SA"/>
          <w:color w:val="111111"/>
          <w:sz w:val="28"/>
          <w:szCs w:val="28"/>
          <w:rtl/>
        </w:rPr>
        <w:t xml:space="preserve">شرح حديث عمران الصابي ، ج 9،</w:t>
      </w:r>
    </w:p>
    <w:p>
      <w:pPr>
        <w:pStyle w:val="BookText"/>
      </w:pPr>
      <w:r>
        <w:rPr>
          <w:rFonts w:ascii="IRNazanin" w:hAnsi="IRNazanin" w:eastAsia="IRNazanin" w:cs="IRNazanin"/>
          <w:lang w:bidi="fa-IR"/>
          <w:color w:val="111111"/>
          <w:sz w:val="28"/>
          <w:szCs w:val="28"/>
          <w:rtl/>
        </w:rPr>
        <w:t xml:space="preserve">ص 393.</w:t>
      </w:r>
    </w:p>
    <w:p>
      <w:pPr>
        <w:pStyle w:val="Heading2"/>
      </w:pPr>
      <w:bookmarkStart w:id="6444" w:name="_Toc5546"/>
      <w:r>
        <w:t>قاآني ، حبيب الله بن محمّد علي، 1223 -</w:t>
      </w:r>
      <w:bookmarkEnd w:id="6444"/>
    </w:p>
    <w:p>
      <w:pPr>
        <w:pStyle w:val="BookText"/>
      </w:pPr>
      <w:r>
        <w:rPr>
          <w:rFonts w:ascii="IRNazanin" w:hAnsi="IRNazanin" w:eastAsia="IRNazanin" w:cs="IRNazanin"/>
          <w:lang w:bidi="fa-IR"/>
          <w:color w:val="111111"/>
          <w:sz w:val="28"/>
          <w:szCs w:val="28"/>
          <w:rtl/>
        </w:rPr>
        <w:t xml:space="preserve">پریشان = گلستان قاآني ، ج 3، ص 521.</w:t>
      </w:r>
    </w:p>
    <w:p>
      <w:pPr>
        <w:pStyle w:val="BookText"/>
      </w:pPr>
      <w:r>
        <w:rPr>
          <w:rFonts w:ascii="Amiri" w:hAnsi="Amiri" w:eastAsia="Amiri" w:cs="Amiri"/>
          <w:lang w:bidi="ar-SA"/>
          <w:color w:val="111111"/>
          <w:sz w:val="28"/>
          <w:szCs w:val="28"/>
          <w:rtl/>
        </w:rPr>
        <w:t xml:space="preserve">ديوان قاآني شيرازي ، ج 7، ص 736.</w:t>
      </w:r>
    </w:p>
    <w:p>
      <w:pPr>
        <w:pStyle w:val="Heading2"/>
      </w:pPr>
      <w:bookmarkStart w:id="6445" w:name="_Toc5547"/>
      <w:r>
        <w:t>قائني ، محمّد جعفر بن محمّد کاظم</w:t>
      </w:r>
      <w:bookmarkEnd w:id="6445"/>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اللآلي في شرح شواهد قطر الندى = تحفة اللبيد = تحفة اللبيب ، ج 13،</w:t>
      </w:r>
    </w:p>
    <w:p>
      <w:pPr>
        <w:pStyle w:val="BookText"/>
      </w:pPr>
      <w:r>
        <w:rPr>
          <w:rFonts w:ascii="IRNazanin" w:hAnsi="IRNazanin" w:eastAsia="IRNazanin" w:cs="IRNazanin"/>
          <w:lang w:bidi="fa-IR"/>
          <w:color w:val="111111"/>
          <w:sz w:val="28"/>
          <w:szCs w:val="28"/>
          <w:rtl/>
        </w:rPr>
        <w:t xml:space="preserve">ص 520.</w:t>
      </w:r>
    </w:p>
    <w:p>
      <w:pPr>
        <w:pStyle w:val="Heading2"/>
      </w:pPr>
      <w:bookmarkStart w:id="6446" w:name="_Toc5548"/>
      <w:r>
        <w:t>قائيني ، سلطان محمّد قرن 11 ه-</w:t>
      </w:r>
      <w:bookmarkEnd w:id="6446"/>
    </w:p>
    <w:p>
      <w:pPr>
        <w:pStyle w:val="BookText"/>
      </w:pPr>
      <w:r>
        <w:rPr>
          <w:rFonts w:ascii="Amiri" w:hAnsi="Amiri" w:eastAsia="Amiri" w:cs="Amiri"/>
          <w:lang w:bidi="ar-SA"/>
          <w:color w:val="111111"/>
          <w:sz w:val="28"/>
          <w:szCs w:val="28"/>
          <w:rtl/>
        </w:rPr>
        <w:t xml:space="preserve">الهداية الجديدة ، ج 16 ، ص 606.</w:t>
      </w:r>
    </w:p>
    <w:p>
      <w:pPr>
        <w:pStyle w:val="BookText"/>
      </w:pPr>
      <w:r>
        <w:rPr>
          <w:rFonts w:ascii="Amiri" w:hAnsi="Amiri" w:eastAsia="Amiri" w:cs="Amiri"/>
          <w:lang w:bidi="ar-SA"/>
          <w:color w:val="111111"/>
          <w:sz w:val="28"/>
          <w:szCs w:val="28"/>
          <w:rtl/>
        </w:rPr>
        <w:t xml:space="preserve">قائيني ، محمّد باقر -بيرجندي ، محمّد</w:t>
      </w:r>
    </w:p>
    <w:p>
      <w:pPr>
        <w:pStyle w:val="BookText"/>
      </w:pPr>
      <w:r>
        <w:rPr>
          <w:rFonts w:ascii="IRNazanin" w:hAnsi="IRNazanin" w:eastAsia="IRNazanin" w:cs="IRNazanin"/>
          <w:lang w:bidi="fa-IR"/>
          <w:color w:val="111111"/>
          <w:sz w:val="28"/>
          <w:szCs w:val="28"/>
          <w:rtl/>
        </w:rPr>
        <w:t xml:space="preserve">باقر بن محمّد حسن</w:t>
      </w:r>
    </w:p>
    <w:p>
      <w:pPr>
        <w:pStyle w:val="BookText"/>
      </w:pPr>
      <w:r>
        <w:rPr>
          <w:rFonts w:ascii="Amiri" w:hAnsi="Amiri" w:eastAsia="Amiri" w:cs="Amiri"/>
          <w:lang w:bidi="ar-SA"/>
          <w:color w:val="111111"/>
          <w:sz w:val="28"/>
          <w:szCs w:val="28"/>
          <w:rtl/>
        </w:rPr>
        <w:t xml:space="preserve">قائني ، يوسف بن محمّد -حسيني</w:t>
      </w:r>
    </w:p>
    <w:p>
      <w:pPr>
        <w:pStyle w:val="BookText"/>
      </w:pPr>
      <w:r>
        <w:rPr>
          <w:rFonts w:ascii="Amiri" w:hAnsi="Amiri" w:eastAsia="Amiri" w:cs="Amiri"/>
          <w:lang w:bidi="ar-SA"/>
          <w:color w:val="111111"/>
          <w:sz w:val="28"/>
          <w:szCs w:val="28"/>
          <w:rtl/>
        </w:rPr>
        <w:t xml:space="preserve">خراساني ، يوسف بن محمّد</w:t>
      </w:r>
    </w:p>
    <w:p>
      <w:pPr>
        <w:pStyle w:val="Heading2"/>
      </w:pPr>
      <w:bookmarkStart w:id="6447" w:name="_Toc5549"/>
      <w:r>
        <w:t>قابوس بن وشمگیر - 403 ه-</w:t>
      </w:r>
      <w:bookmarkEnd w:id="6447"/>
    </w:p>
    <w:p>
      <w:pPr>
        <w:pStyle w:val="BookText"/>
      </w:pPr>
      <w:r>
        <w:rPr>
          <w:rFonts w:ascii="Amiri" w:hAnsi="Amiri" w:eastAsia="Amiri" w:cs="Amiri"/>
          <w:lang w:bidi="ar-SA"/>
          <w:color w:val="111111"/>
          <w:sz w:val="28"/>
          <w:szCs w:val="28"/>
          <w:rtl/>
        </w:rPr>
        <w:t xml:space="preserve">مجموعه الفاظ مما ينعت بها الرجال</w:t>
      </w:r>
    </w:p>
    <w:p>
      <w:pPr>
        <w:pStyle w:val="BookText"/>
      </w:pPr>
      <w:r>
        <w:rPr>
          <w:rFonts w:ascii="Amiri" w:hAnsi="Amiri" w:eastAsia="Amiri" w:cs="Amiri"/>
          <w:lang w:bidi="ar-SA"/>
          <w:color w:val="111111"/>
          <w:sz w:val="28"/>
          <w:szCs w:val="28"/>
          <w:rtl/>
        </w:rPr>
        <w:t xml:space="preserve">في جميع الاحوال ، ج 14، ص 21.</w:t>
      </w:r>
    </w:p>
    <w:p>
      <w:pPr>
        <w:pStyle w:val="Heading2"/>
      </w:pPr>
      <w:bookmarkStart w:id="6448" w:name="_Toc5550"/>
      <w:r>
        <w:t>قاجار ، عبد الحسين بن مؤيد الدوله ه-</w:t>
      </w:r>
      <w:bookmarkEnd w:id="6448"/>
    </w:p>
    <w:p>
      <w:pPr>
        <w:pStyle w:val="BookText"/>
      </w:pPr>
      <w:r>
        <w:rPr>
          <w:rFonts w:ascii="IRNazanin" w:hAnsi="IRNazanin" w:eastAsia="IRNazanin" w:cs="IRNazanin"/>
          <w:lang w:bidi="fa-IR"/>
          <w:color w:val="111111"/>
          <w:sz w:val="28"/>
          <w:szCs w:val="28"/>
          <w:rtl/>
        </w:rPr>
        <w:t xml:space="preserve">تاریخ سلمي ، ج 3، ص 577.</w:t>
      </w:r>
    </w:p>
    <w:p>
      <w:pPr>
        <w:pStyle w:val="BookText"/>
      </w:pPr>
      <w:r>
        <w:rPr>
          <w:rFonts w:ascii="Amiri" w:hAnsi="Amiri" w:eastAsia="Amiri" w:cs="Amiri"/>
          <w:lang w:bidi="ar-SA"/>
          <w:color w:val="111111"/>
          <w:sz w:val="28"/>
          <w:szCs w:val="28"/>
          <w:rtl/>
        </w:rPr>
        <w:t xml:space="preserve">قاجار ، محمّد باقر ميرزا- خسروي ،</w:t>
      </w:r>
    </w:p>
    <w:p>
      <w:pPr>
        <w:pStyle w:val="BookText"/>
      </w:pPr>
      <w:r>
        <w:rPr>
          <w:rFonts w:ascii="IRNazanin" w:hAnsi="IRNazanin" w:eastAsia="IRNazanin" w:cs="IRNazanin"/>
          <w:lang w:bidi="fa-IR"/>
          <w:color w:val="111111"/>
          <w:sz w:val="28"/>
          <w:szCs w:val="28"/>
          <w:rtl/>
        </w:rPr>
        <w:t xml:space="preserve">محمّد باقر میرزا</w:t>
      </w:r>
    </w:p>
    <w:p>
      <w:pPr>
        <w:pStyle w:val="Heading2"/>
      </w:pPr>
      <w:bookmarkStart w:id="6449" w:name="_Toc5551"/>
      <w:r>
        <w:t>قاجار ، مهدي بن مؤيد الدولة</w:t>
      </w:r>
      <w:bookmarkEnd w:id="6449"/>
    </w:p>
    <w:p>
      <w:pPr>
        <w:pStyle w:val="BookText"/>
      </w:pPr>
      <w:r>
        <w:rPr>
          <w:rFonts w:ascii="IRNazanin" w:hAnsi="IRNazanin" w:eastAsia="IRNazanin" w:cs="IRNazanin"/>
          <w:lang w:bidi="fa-IR"/>
          <w:color w:val="111111"/>
          <w:sz w:val="28"/>
          <w:szCs w:val="28"/>
          <w:rtl/>
        </w:rPr>
        <w:t xml:space="preserve">الجفر، ج 5، ص 393.</w:t>
      </w:r>
    </w:p>
    <w:p>
      <w:pPr>
        <w:pStyle w:val="BookText"/>
      </w:pPr>
      <w:r>
        <w:rPr>
          <w:rFonts w:ascii="Amiri" w:hAnsi="Amiri" w:eastAsia="Amiri" w:cs="Amiri"/>
          <w:lang w:bidi="ar-SA"/>
          <w:color w:val="111111"/>
          <w:sz w:val="28"/>
          <w:szCs w:val="28"/>
          <w:rtl/>
        </w:rPr>
        <w:t xml:space="preserve">قادر بخش بن غلام محمّد ديري- ديري ،</w:t>
      </w:r>
    </w:p>
    <w:p>
      <w:pPr>
        <w:pStyle w:val="BookText"/>
      </w:pPr>
      <w:r>
        <w:rPr>
          <w:rFonts w:ascii="IRNazanin" w:hAnsi="IRNazanin" w:eastAsia="IRNazanin" w:cs="IRNazanin"/>
          <w:lang w:bidi="fa-IR"/>
          <w:color w:val="111111"/>
          <w:sz w:val="28"/>
          <w:szCs w:val="28"/>
          <w:rtl/>
        </w:rPr>
        <w:t xml:space="preserve">1270 ه-</w:t>
      </w:r>
    </w:p>
    <w:p>
      <w:pPr>
        <w:pStyle w:val="BookText"/>
      </w:pPr>
      <w:r>
        <w:rPr>
          <w:rFonts w:ascii="IRNazanin" w:hAnsi="IRNazanin" w:eastAsia="IRNazanin" w:cs="IRNazanin"/>
          <w:lang w:bidi="fa-IR"/>
          <w:color w:val="111111"/>
          <w:sz w:val="28"/>
          <w:szCs w:val="28"/>
          <w:rtl/>
        </w:rPr>
        <w:t xml:space="preserve">قادر بخش بن غلام محمّد</w:t>
      </w:r>
    </w:p>
    <w:p>
      <w:pPr>
        <w:pStyle w:val="Heading2"/>
      </w:pPr>
      <w:bookmarkStart w:id="6450" w:name="_Toc5552"/>
      <w:r>
        <w:t>قادري، ابراهيم بن مصطفى</w:t>
      </w:r>
      <w:bookmarkEnd w:id="6450"/>
    </w:p>
    <w:p>
      <w:pPr>
        <w:pStyle w:val="BookText"/>
      </w:pPr>
      <w:r>
        <w:rPr>
          <w:rFonts w:ascii="Amiri" w:hAnsi="Amiri" w:eastAsia="Amiri" w:cs="Amiri"/>
          <w:lang w:bidi="ar-SA"/>
          <w:color w:val="111111"/>
          <w:sz w:val="28"/>
          <w:szCs w:val="28"/>
          <w:rtl/>
        </w:rPr>
        <w:t xml:space="preserve">اجازة للشيخ الدرويش، ج 1، ص 266.</w:t>
      </w:r>
    </w:p>
    <w:p>
      <w:pPr>
        <w:pStyle w:val="Heading2"/>
      </w:pPr>
      <w:bookmarkStart w:id="6451" w:name="_Toc5553"/>
      <w:r>
        <w:t>قادري ، ابوبكر بن داود</w:t>
      </w:r>
      <w:bookmarkEnd w:id="6451"/>
    </w:p>
    <w:p>
      <w:pPr>
        <w:pStyle w:val="BookText"/>
      </w:pPr>
      <w:r>
        <w:rPr>
          <w:rFonts w:ascii="Amiri" w:hAnsi="Amiri" w:eastAsia="Amiri" w:cs="Amiri"/>
          <w:lang w:bidi="ar-SA"/>
          <w:color w:val="111111"/>
          <w:sz w:val="28"/>
          <w:szCs w:val="28"/>
          <w:rtl/>
        </w:rPr>
        <w:t xml:space="preserve">احاديث الضيافة، ج 1، ص 410.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61" w:name="pg7742_70999"/>
    <w:bookmarkEnd w:id="861"/>
    <w:p>
      <w:pPr>
        <w:pStyle w:val="Heading2"/>
      </w:pPr>
      <w:bookmarkStart w:id="6452" w:name="_Toc5554"/>
      <w:r>
        <w:t>قادري، احمد بن حسين قرن 13</w:t>
      </w:r>
      <w:bookmarkEnd w:id="6452"/>
    </w:p>
    <w:p>
      <w:pPr>
        <w:pStyle w:val="BookText"/>
      </w:pPr>
      <w:r>
        <w:rPr>
          <w:rFonts w:ascii="Amiri" w:hAnsi="Amiri" w:eastAsia="Amiri" w:cs="Amiri"/>
          <w:lang w:bidi="ar-SA"/>
          <w:color w:val="111111"/>
          <w:sz w:val="28"/>
          <w:szCs w:val="28"/>
          <w:rtl/>
        </w:rPr>
        <w:t xml:space="preserve">1 .اجازة بدوية، ج 1، ص 215.</w:t>
      </w:r>
    </w:p>
    <w:p>
      <w:pPr>
        <w:pStyle w:val="BookText"/>
      </w:pPr>
      <w:r>
        <w:rPr>
          <w:rFonts w:ascii="Amiri" w:hAnsi="Amiri" w:eastAsia="Amiri" w:cs="Amiri"/>
          <w:lang w:bidi="ar-SA"/>
          <w:color w:val="111111"/>
          <w:sz w:val="28"/>
          <w:szCs w:val="28"/>
          <w:rtl/>
        </w:rPr>
        <w:t xml:space="preserve">2 .اجازة رفاعية، ج 1، ص219.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اجازة قادرية، ج 1، ص 226.</w:t>
      </w:r>
    </w:p>
    <w:p>
      <w:pPr>
        <w:pStyle w:val="Heading2"/>
      </w:pPr>
      <w:bookmarkStart w:id="6453" w:name="_Toc5555"/>
      <w:r>
        <w:t>قادري ، احمد بن عبدالله</w:t>
      </w:r>
      <w:bookmarkEnd w:id="6453"/>
    </w:p>
    <w:p>
      <w:pPr>
        <w:pStyle w:val="BookText"/>
      </w:pPr>
      <w:r>
        <w:rPr>
          <w:rFonts w:ascii="Amiri" w:hAnsi="Amiri" w:eastAsia="Amiri" w:cs="Amiri"/>
          <w:lang w:bidi="ar-SA"/>
          <w:color w:val="111111"/>
          <w:sz w:val="28"/>
          <w:szCs w:val="28"/>
          <w:rtl/>
        </w:rPr>
        <w:t xml:space="preserve">اجازة بالمصافحة، ج 1، ص218.</w:t>
      </w:r>
    </w:p>
    <w:p>
      <w:pPr>
        <w:pStyle w:val="Heading2"/>
      </w:pPr>
      <w:bookmarkStart w:id="6454" w:name="_Toc5556"/>
      <w:r>
        <w:t>قادري انصاري محمّد بن ابي بكر -903ه-</w:t>
      </w:r>
      <w:bookmarkEnd w:id="6454"/>
    </w:p>
    <w:p>
      <w:pPr>
        <w:pStyle w:val="BookText"/>
      </w:pPr>
      <w:r>
        <w:rPr>
          <w:rFonts w:ascii="Amiri" w:hAnsi="Amiri" w:eastAsia="Amiri" w:cs="Amiri"/>
          <w:lang w:bidi="ar-SA"/>
          <w:color w:val="111111"/>
          <w:sz w:val="28"/>
          <w:szCs w:val="28"/>
          <w:rtl/>
        </w:rPr>
        <w:t xml:space="preserve">توضيح المهلبية، ج 5، ص 184.</w:t>
      </w:r>
    </w:p>
    <w:p>
      <w:pPr>
        <w:pStyle w:val="Heading2"/>
      </w:pPr>
      <w:bookmarkStart w:id="6455" w:name="_Toc5557"/>
      <w:r>
        <w:t>قادري بتالوي ، محمّد بن غلام غوث</w:t>
      </w:r>
      <w:bookmarkEnd w:id="6455"/>
    </w:p>
    <w:p>
      <w:pPr>
        <w:pStyle w:val="BookText"/>
      </w:pPr>
      <w:r>
        <w:rPr>
          <w:rFonts w:ascii="Amiri" w:hAnsi="Amiri" w:eastAsia="Amiri" w:cs="Amiri"/>
          <w:lang w:bidi="ar-SA"/>
          <w:color w:val="111111"/>
          <w:sz w:val="28"/>
          <w:szCs w:val="28"/>
          <w:rtl/>
        </w:rPr>
        <w:t xml:space="preserve">جامع الكنوز شرح التحفة، ج 5،</w:t>
      </w:r>
    </w:p>
    <w:p>
      <w:pPr>
        <w:pStyle w:val="BookText"/>
      </w:pPr>
      <w:r>
        <w:rPr>
          <w:rFonts w:ascii="IRNazanin" w:hAnsi="IRNazanin" w:eastAsia="IRNazanin" w:cs="IRNazanin"/>
          <w:lang w:bidi="fa-IR"/>
          <w:color w:val="111111"/>
          <w:sz w:val="28"/>
          <w:szCs w:val="28"/>
          <w:rtl/>
        </w:rPr>
        <w:t xml:space="preserve">ص 319.</w:t>
      </w:r>
    </w:p>
    <w:p>
      <w:pPr>
        <w:pStyle w:val="BookText"/>
      </w:pPr>
      <w:r>
        <w:rPr>
          <w:rFonts w:ascii="Amiri" w:hAnsi="Amiri" w:eastAsia="Amiri" w:cs="Amiri"/>
          <w:lang w:bidi="ar-SA"/>
          <w:color w:val="111111"/>
          <w:sz w:val="28"/>
          <w:szCs w:val="28"/>
          <w:rtl/>
        </w:rPr>
        <w:t xml:space="preserve">قادري بغدادي ، خطيب- سيد خطيب بغدادي</w:t>
      </w:r>
    </w:p>
    <w:p>
      <w:pPr>
        <w:pStyle w:val="BookText"/>
      </w:pPr>
      <w:r>
        <w:rPr>
          <w:rFonts w:ascii="Amiri" w:hAnsi="Amiri" w:eastAsia="Amiri" w:cs="Amiri"/>
          <w:lang w:bidi="ar-SA"/>
          <w:color w:val="111111"/>
          <w:sz w:val="28"/>
          <w:szCs w:val="28"/>
          <w:rtl/>
        </w:rPr>
        <w:t xml:space="preserve">قادري ، جواد بن ابراهيم- حسني</w:t>
      </w:r>
    </w:p>
    <w:p>
      <w:pPr>
        <w:pStyle w:val="BookText"/>
      </w:pPr>
      <w:r>
        <w:rPr>
          <w:rFonts w:ascii="Amiri" w:hAnsi="Amiri" w:eastAsia="Amiri" w:cs="Amiri"/>
          <w:lang w:bidi="ar-SA"/>
          <w:color w:val="111111"/>
          <w:sz w:val="28"/>
          <w:szCs w:val="28"/>
          <w:rtl/>
        </w:rPr>
        <w:t xml:space="preserve">قادري ، جواد بن ابراهيم</w:t>
      </w:r>
    </w:p>
    <w:p>
      <w:pPr>
        <w:pStyle w:val="Heading2"/>
      </w:pPr>
      <w:bookmarkStart w:id="6456" w:name="_Toc5558"/>
      <w:r>
        <w:t>قادري، سليمان بن خالد قرن 13 ه-</w:t>
      </w:r>
      <w:bookmarkEnd w:id="6456"/>
    </w:p>
    <w:p>
      <w:pPr>
        <w:pStyle w:val="BookText"/>
      </w:pPr>
      <w:r>
        <w:rPr>
          <w:rFonts w:ascii="Amiri" w:hAnsi="Amiri" w:eastAsia="Amiri" w:cs="Amiri"/>
          <w:lang w:bidi="ar-SA"/>
          <w:color w:val="111111"/>
          <w:sz w:val="28"/>
          <w:szCs w:val="28"/>
          <w:rtl/>
        </w:rPr>
        <w:t xml:space="preserve">العطور الفاتحة والبدور اللائحة في خواص سورة الفاتحة، ج 11، ص128.</w:t>
      </w:r>
    </w:p>
    <w:p>
      <w:pPr>
        <w:pStyle w:val="Heading2"/>
      </w:pPr>
      <w:bookmarkStart w:id="6457" w:name="_Toc5559"/>
      <w:r>
        <w:t>قادري، صالح بن عبد الرحيم قرن 13 ه-</w:t>
      </w:r>
      <w:bookmarkEnd w:id="6457"/>
    </w:p>
    <w:p>
      <w:pPr>
        <w:pStyle w:val="BookText"/>
      </w:pPr>
      <w:r>
        <w:rPr>
          <w:rFonts w:ascii="Amiri" w:hAnsi="Amiri" w:eastAsia="Amiri" w:cs="Amiri"/>
          <w:lang w:bidi="ar-SA"/>
          <w:color w:val="111111"/>
          <w:sz w:val="28"/>
          <w:szCs w:val="28"/>
          <w:rtl/>
        </w:rPr>
        <w:t xml:space="preserve">الطريقة القادرية (رسالة في)، ج 10،</w:t>
      </w:r>
    </w:p>
    <w:p>
      <w:pPr>
        <w:pStyle w:val="BookText"/>
      </w:pPr>
      <w:r>
        <w:rPr>
          <w:rFonts w:ascii="IRNazanin" w:hAnsi="IRNazanin" w:eastAsia="IRNazanin" w:cs="IRNazanin"/>
          <w:lang w:bidi="fa-IR"/>
          <w:color w:val="111111"/>
          <w:sz w:val="28"/>
          <w:szCs w:val="28"/>
          <w:rtl/>
        </w:rPr>
        <w:t xml:space="preserve">ص 822.</w:t>
      </w:r>
    </w:p>
    <w:p>
      <w:pPr>
        <w:pStyle w:val="Heading2"/>
      </w:pPr>
      <w:bookmarkStart w:id="6458" w:name="_Toc5560"/>
      <w:r>
        <w:t>قادري، عبد الرحمن بن علي 1261 -</w:t>
      </w:r>
      <w:bookmarkEnd w:id="6458"/>
    </w:p>
    <w:p>
      <w:pPr>
        <w:pStyle w:val="BookText"/>
      </w:pPr>
      <w:r>
        <w:rPr>
          <w:rFonts w:ascii="IRNazanin" w:hAnsi="IRNazanin" w:eastAsia="IRNazanin" w:cs="IRNazanin"/>
          <w:lang w:bidi="fa-IR"/>
          <w:color w:val="111111"/>
          <w:sz w:val="28"/>
          <w:szCs w:val="28"/>
          <w:rtl/>
        </w:rPr>
        <w:t xml:space="preserve">1345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بالخرقة، ج 1، ص 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تاج الفخر على مختصر القطر، ج3،</w:t>
      </w:r>
    </w:p>
    <w:p>
      <w:pPr>
        <w:pStyle w:val="BookText"/>
      </w:pPr>
      <w:r>
        <w:rPr>
          <w:rFonts w:ascii="IRNazanin" w:hAnsi="IRNazanin" w:eastAsia="IRNazanin" w:cs="IRNazanin"/>
          <w:lang w:bidi="fa-IR"/>
          <w:color w:val="111111"/>
          <w:sz w:val="28"/>
          <w:szCs w:val="28"/>
          <w:rtl/>
        </w:rPr>
        <w:t xml:space="preserve">ص 535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مجموعة الاوراد القادرية، ج 14،</w:t>
      </w:r>
    </w:p>
    <w:p>
      <w:pPr>
        <w:pStyle w:val="BookText"/>
      </w:pPr>
      <w:r>
        <w:rPr>
          <w:rFonts w:ascii="IRNazanin" w:hAnsi="IRNazanin" w:eastAsia="IRNazanin" w:cs="IRNazanin"/>
          <w:lang w:bidi="fa-IR"/>
          <w:color w:val="111111"/>
          <w:sz w:val="28"/>
          <w:szCs w:val="28"/>
          <w:rtl/>
        </w:rPr>
        <w:t xml:space="preserve">ص 23 .</w:t>
      </w:r>
    </w:p>
    <w:p>
      <w:pPr>
        <w:pStyle w:val="Heading2"/>
      </w:pPr>
      <w:bookmarkStart w:id="6459" w:name="_Toc5561"/>
      <w:r>
        <w:t>قادري ، عبد الرزاق، قرن 14 ه-</w:t>
      </w:r>
      <w:bookmarkEnd w:id="6459"/>
    </w:p>
    <w:p>
      <w:pPr>
        <w:pStyle w:val="BookText"/>
      </w:pPr>
      <w:r>
        <w:rPr>
          <w:rFonts w:ascii="Amiri" w:hAnsi="Amiri" w:eastAsia="Amiri" w:cs="Amiri"/>
          <w:lang w:bidi="ar-SA"/>
          <w:color w:val="111111"/>
          <w:sz w:val="28"/>
          <w:szCs w:val="28"/>
          <w:rtl/>
        </w:rPr>
        <w:t xml:space="preserve">كشف الضلال و الظلام في طمس</w:t>
      </w:r>
    </w:p>
    <w:p>
      <w:pPr>
        <w:pStyle w:val="BookText"/>
      </w:pPr>
      <w:r>
        <w:rPr>
          <w:rFonts w:ascii="Amiri" w:hAnsi="Amiri" w:eastAsia="Amiri" w:cs="Amiri"/>
          <w:lang w:bidi="ar-SA"/>
          <w:color w:val="111111"/>
          <w:sz w:val="28"/>
          <w:szCs w:val="28"/>
          <w:rtl/>
        </w:rPr>
        <w:t xml:space="preserve">كتاب مرآة كمالات الاسلام، ج13،</w:t>
      </w:r>
    </w:p>
    <w:p>
      <w:pPr>
        <w:pStyle w:val="BookText"/>
      </w:pPr>
      <w:r>
        <w:rPr>
          <w:rFonts w:ascii="IRNazanin" w:hAnsi="IRNazanin" w:eastAsia="IRNazanin" w:cs="IRNazanin"/>
          <w:lang w:bidi="fa-IR"/>
          <w:color w:val="111111"/>
          <w:sz w:val="28"/>
          <w:szCs w:val="28"/>
          <w:rtl/>
        </w:rPr>
        <w:t xml:space="preserve">ص 223.</w:t>
      </w:r>
    </w:p>
    <w:p>
      <w:pPr>
        <w:pStyle w:val="BookText"/>
      </w:pPr>
      <w:r>
        <w:rPr>
          <w:rFonts w:ascii="Amiri" w:hAnsi="Amiri" w:eastAsia="Amiri" w:cs="Amiri"/>
          <w:lang w:bidi="ar-SA"/>
          <w:color w:val="111111"/>
          <w:sz w:val="28"/>
          <w:szCs w:val="28"/>
          <w:rtl/>
        </w:rPr>
        <w:t xml:space="preserve">قادري ، عبد الله بن اشرف - رومي ، عبدالله</w:t>
      </w:r>
    </w:p>
    <w:p>
      <w:pPr>
        <w:pStyle w:val="BookText"/>
      </w:pPr>
      <w:r>
        <w:rPr>
          <w:rFonts w:ascii="IRNazanin" w:hAnsi="IRNazanin" w:eastAsia="IRNazanin" w:cs="IRNazanin"/>
          <w:lang w:bidi="fa-IR"/>
          <w:color w:val="111111"/>
          <w:sz w:val="28"/>
          <w:szCs w:val="28"/>
          <w:rtl/>
        </w:rPr>
        <w:t xml:space="preserve">بن اشرف</w:t>
      </w:r>
    </w:p>
    <w:p>
      <w:pPr>
        <w:pStyle w:val="Heading2"/>
      </w:pPr>
      <w:bookmarkStart w:id="6460" w:name="_Toc5562"/>
      <w:r>
        <w:t>قادري، عثمان بن يوسف - 1146ه-</w:t>
      </w:r>
      <w:bookmarkEnd w:id="6460"/>
    </w:p>
    <w:p>
      <w:pPr>
        <w:pStyle w:val="BookText"/>
      </w:pPr>
      <w:r>
        <w:rPr>
          <w:rFonts w:ascii="Amiri" w:hAnsi="Amiri" w:eastAsia="Amiri" w:cs="Amiri"/>
          <w:lang w:bidi="ar-SA"/>
          <w:color w:val="111111"/>
          <w:sz w:val="28"/>
          <w:szCs w:val="28"/>
          <w:rtl/>
        </w:rPr>
        <w:t xml:space="preserve">ديوان الموصلي، ج 7، ص781.</w:t>
      </w:r>
    </w:p>
    <w:p>
      <w:pPr>
        <w:pStyle w:val="Heading2"/>
      </w:pPr>
      <w:bookmarkStart w:id="6461" w:name="_Toc5563"/>
      <w:r>
        <w:t>قادري ، علي بن سليمان بن مصطفى</w:t>
      </w:r>
      <w:bookmarkEnd w:id="6461"/>
    </w:p>
    <w:p>
      <w:pPr>
        <w:pStyle w:val="BookText"/>
      </w:pPr>
      <w:r>
        <w:rPr>
          <w:rFonts w:ascii="Amiri" w:hAnsi="Amiri" w:eastAsia="Amiri" w:cs="Amiri"/>
          <w:lang w:bidi="ar-SA"/>
          <w:color w:val="111111"/>
          <w:sz w:val="28"/>
          <w:szCs w:val="28"/>
          <w:rtl/>
        </w:rPr>
        <w:t xml:space="preserve">1 .اجازة بالخرقة و الطريقة القادرية</w:t>
      </w:r>
    </w:p>
    <w:p>
      <w:pPr>
        <w:pStyle w:val="BookText"/>
      </w:pPr>
      <w:r>
        <w:rPr>
          <w:rFonts w:ascii="IRNazanin" w:hAnsi="IRNazanin" w:eastAsia="IRNazanin" w:cs="IRNazanin"/>
          <w:lang w:bidi="fa-IR"/>
          <w:color w:val="111111"/>
          <w:sz w:val="28"/>
          <w:szCs w:val="28"/>
          <w:rtl/>
        </w:rPr>
        <w:t xml:space="preserve">و كلمة التوحيد إلى السيد عبد اللطيف بن سید ابراهیم جا</w:t>
      </w:r>
    </w:p>
    <w:p>
      <w:pPr>
        <w:pStyle w:val="BookText"/>
      </w:pPr>
      <w:r>
        <w:rPr>
          <w:rFonts w:ascii="IRNazanin" w:hAnsi="IRNazanin" w:eastAsia="IRNazanin" w:cs="IRNazanin"/>
          <w:lang w:bidi="fa-IR"/>
          <w:color w:val="111111"/>
          <w:sz w:val="28"/>
          <w:szCs w:val="28"/>
          <w:rtl/>
        </w:rPr>
        <w:t xml:space="preserve">ص 215 .</w:t>
      </w:r>
    </w:p>
    <w:p>
      <w:pPr>
        <w:pStyle w:val="BookText"/>
      </w:pPr>
      <w:r>
        <w:rPr>
          <w:rFonts w:ascii="Amiri" w:hAnsi="Amiri" w:eastAsia="Amiri" w:cs="Amiri"/>
          <w:lang w:bidi="ar-SA"/>
          <w:color w:val="111111"/>
          <w:sz w:val="28"/>
          <w:szCs w:val="28"/>
          <w:rtl/>
        </w:rPr>
        <w:t xml:space="preserve">2 .اجازة بكلمة التوحيد، ج1، ص217</w:t>
      </w:r>
    </w:p>
    <w:p>
      <w:pPr>
        <w:pStyle w:val="Heading2"/>
      </w:pPr>
      <w:bookmarkStart w:id="6462" w:name="_Toc5564"/>
      <w:r>
        <w:t>قادري، محمّد بن عمر - 1195 ه-</w:t>
      </w:r>
      <w:bookmarkEnd w:id="6462"/>
    </w:p>
    <w:p>
      <w:pPr>
        <w:pStyle w:val="BookText"/>
      </w:pPr>
      <w:r>
        <w:rPr>
          <w:rFonts w:ascii="Amiri" w:hAnsi="Amiri" w:eastAsia="Amiri" w:cs="Amiri"/>
          <w:lang w:bidi="ar-SA"/>
          <w:color w:val="111111"/>
          <w:sz w:val="28"/>
          <w:szCs w:val="28"/>
          <w:rtl/>
        </w:rPr>
        <w:t xml:space="preserve">1 .بيان حل اكل الفقير من اضحيته</w:t>
      </w:r>
    </w:p>
    <w:p>
      <w:pPr>
        <w:pStyle w:val="BookText"/>
      </w:pPr>
      <w:r>
        <w:rPr>
          <w:rFonts w:ascii="IRNazanin" w:hAnsi="IRNazanin" w:eastAsia="IRNazanin" w:cs="IRNazanin"/>
          <w:lang w:bidi="fa-IR"/>
          <w:color w:val="111111"/>
          <w:sz w:val="28"/>
          <w:szCs w:val="28"/>
          <w:rtl/>
        </w:rPr>
        <w:t xml:space="preserve">ج 3، ص 470 .</w:t>
      </w:r>
    </w:p>
    <w:p>
      <w:pPr>
        <w:pStyle w:val="BookText"/>
      </w:pPr>
      <w:r>
        <w:rPr>
          <w:rFonts w:ascii="Amiri" w:hAnsi="Amiri" w:eastAsia="Amiri" w:cs="Amiri"/>
          <w:lang w:bidi="ar-SA"/>
          <w:color w:val="111111"/>
          <w:sz w:val="28"/>
          <w:szCs w:val="28"/>
          <w:rtl/>
        </w:rPr>
        <w:t xml:space="preserve">2 .ترجمة محي الدين بن عربي ج4،</w:t>
      </w:r>
    </w:p>
    <w:p>
      <w:pPr>
        <w:pStyle w:val="BookText"/>
      </w:pPr>
      <w:r>
        <w:rPr>
          <w:rFonts w:ascii="IRNazanin" w:hAnsi="IRNazanin" w:eastAsia="IRNazanin" w:cs="IRNazanin"/>
          <w:lang w:bidi="fa-IR"/>
          <w:color w:val="111111"/>
          <w:sz w:val="28"/>
          <w:szCs w:val="28"/>
          <w:rtl/>
        </w:rPr>
        <w:t xml:space="preserve">ص 297.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القول اليسير المنير في قصد الاعلام</w:t>
      </w:r>
    </w:p>
    <w:p>
      <w:pPr>
        <w:pStyle w:val="BookText"/>
      </w:pPr>
      <w:r>
        <w:rPr>
          <w:rFonts w:ascii="Amiri" w:hAnsi="Amiri" w:eastAsia="Amiri" w:cs="Amiri"/>
          <w:lang w:bidi="ar-SA"/>
          <w:color w:val="111111"/>
          <w:sz w:val="28"/>
          <w:szCs w:val="28"/>
          <w:rtl/>
        </w:rPr>
        <w:t xml:space="preserve">بالجهر بالتكبير، ج 12، ص 867.</w:t>
      </w:r>
    </w:p>
    <w:p>
      <w:pPr>
        <w:pStyle w:val="BookText"/>
      </w:pPr>
      <w:r>
        <w:rPr>
          <w:rFonts w:ascii="Amiri" w:hAnsi="Amiri" w:eastAsia="Amiri" w:cs="Amiri"/>
          <w:lang w:bidi="ar-SA"/>
          <w:color w:val="111111"/>
          <w:sz w:val="28"/>
          <w:szCs w:val="28"/>
          <w:rtl/>
        </w:rPr>
        <w:t xml:space="preserve">4 مفردة سرور، ج 15، ص 250.</w:t>
      </w:r>
    </w:p>
    <w:p>
      <w:pPr>
        <w:pStyle w:val="BookText"/>
      </w:pPr>
      <w:r>
        <w:rPr>
          <w:rFonts w:ascii="Amiri" w:hAnsi="Amiri" w:eastAsia="Amiri" w:cs="Amiri"/>
          <w:lang w:bidi="ar-SA"/>
          <w:color w:val="111111"/>
          <w:sz w:val="28"/>
          <w:szCs w:val="28"/>
          <w:rtl/>
        </w:rPr>
        <w:t xml:space="preserve">5 .المؤثر في الوجود، ج13، ص 702.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62" w:name="pg7742_71001"/>
    <w:bookmarkEnd w:id="862"/>
    <w:p>
      <w:pPr>
        <w:pStyle w:val="Heading2"/>
      </w:pPr>
      <w:bookmarkStart w:id="6463" w:name="_Toc5565"/>
      <w:r>
        <w:t>قادري مدني ، محمّد بن عبدالكريم</w:t>
      </w:r>
      <w:bookmarkEnd w:id="6463"/>
    </w:p>
    <w:p>
      <w:pPr>
        <w:pStyle w:val="BookText"/>
      </w:pPr>
      <w:r>
        <w:rPr>
          <w:rFonts w:ascii="IRNazanin" w:hAnsi="IRNazanin" w:eastAsia="IRNazanin" w:cs="IRNazanin"/>
          <w:lang w:bidi="fa-IR"/>
          <w:color w:val="111111"/>
          <w:sz w:val="28"/>
          <w:szCs w:val="28"/>
          <w:rtl/>
        </w:rPr>
        <w:t xml:space="preserve">1189ه-</w:t>
      </w:r>
    </w:p>
    <w:p>
      <w:pPr>
        <w:pStyle w:val="BookText"/>
      </w:pPr>
      <w:r>
        <w:rPr>
          <w:rFonts w:ascii="Amiri" w:hAnsi="Amiri" w:eastAsia="Amiri" w:cs="Amiri"/>
          <w:lang w:bidi="ar-SA"/>
          <w:color w:val="111111"/>
          <w:sz w:val="28"/>
          <w:szCs w:val="28"/>
          <w:rtl/>
        </w:rPr>
        <w:t xml:space="preserve">1.الاجوبة الكلامية، ج1، ص329.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سيوف النصر في التوسل بأهل أحد</w:t>
      </w:r>
    </w:p>
    <w:p>
      <w:pPr>
        <w:pStyle w:val="BookText"/>
      </w:pPr>
      <w:r>
        <w:rPr>
          <w:rFonts w:ascii="IRNazanin" w:hAnsi="IRNazanin" w:eastAsia="IRNazanin" w:cs="IRNazanin"/>
          <w:lang w:bidi="fa-IR"/>
          <w:color w:val="111111"/>
          <w:sz w:val="28"/>
          <w:szCs w:val="28"/>
          <w:rtl/>
        </w:rPr>
        <w:t xml:space="preserve">و بدر، ج 9، ص 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الفتوحات الالهية في التوجهات</w:t>
      </w:r>
    </w:p>
    <w:p>
      <w:pPr>
        <w:pStyle w:val="BookText"/>
      </w:pPr>
      <w:r>
        <w:rPr>
          <w:rFonts w:ascii="Amiri" w:hAnsi="Amiri" w:eastAsia="Amiri" w:cs="Amiri"/>
          <w:lang w:bidi="ar-SA"/>
          <w:color w:val="111111"/>
          <w:sz w:val="28"/>
          <w:szCs w:val="28"/>
          <w:rtl/>
        </w:rPr>
        <w:t xml:space="preserve">الروحية، ج 11، ص 705.</w:t>
      </w:r>
    </w:p>
    <w:p>
      <w:pPr>
        <w:pStyle w:val="BookText"/>
      </w:pPr>
      <w:r>
        <w:rPr>
          <w:rFonts w:ascii="Amiri" w:hAnsi="Amiri" w:eastAsia="Amiri" w:cs="Amiri"/>
          <w:lang w:bidi="ar-SA"/>
          <w:color w:val="111111"/>
          <w:sz w:val="28"/>
          <w:szCs w:val="28"/>
          <w:rtl/>
        </w:rPr>
        <w:t xml:space="preserve">4 .المنهل العذب الهني في مولد النبي</w:t>
      </w:r>
    </w:p>
    <w:p>
      <w:pPr>
        <w:pStyle w:val="BookText"/>
      </w:pPr>
      <w:r>
        <w:rPr>
          <w:rFonts w:ascii="IRNazanin" w:hAnsi="IRNazanin" w:eastAsia="IRNazanin" w:cs="IRNazanin"/>
          <w:lang w:bidi="fa-IR"/>
          <w:color w:val="111111"/>
          <w:sz w:val="28"/>
          <w:szCs w:val="28"/>
          <w:rtl/>
        </w:rPr>
        <w:t xml:space="preserve">ج 15، ص 816.</w:t>
      </w:r>
    </w:p>
    <w:p>
      <w:pPr>
        <w:pStyle w:val="Heading2"/>
      </w:pPr>
      <w:bookmarkStart w:id="6464" w:name="_Toc5566"/>
      <w:r>
        <w:t>قادري، مصطفى بن سلمان بن علي</w:t>
      </w:r>
      <w:bookmarkEnd w:id="6464"/>
    </w:p>
    <w:p>
      <w:pPr>
        <w:pStyle w:val="BookText"/>
      </w:pPr>
      <w:r>
        <w:rPr>
          <w:rFonts w:ascii="Amiri" w:hAnsi="Amiri" w:eastAsia="Amiri" w:cs="Amiri"/>
          <w:lang w:bidi="ar-SA"/>
          <w:color w:val="111111"/>
          <w:sz w:val="28"/>
          <w:szCs w:val="28"/>
          <w:rtl/>
        </w:rPr>
        <w:t xml:space="preserve">اجازة بالطريقة القادرية، ج1، ص216.</w:t>
      </w:r>
    </w:p>
    <w:p>
      <w:pPr>
        <w:pStyle w:val="Heading2"/>
      </w:pPr>
      <w:bookmarkStart w:id="6465" w:name="_Toc5567"/>
      <w:r>
        <w:t>قادري، مصطفى بن عبدالله</w:t>
      </w:r>
      <w:bookmarkEnd w:id="6465"/>
    </w:p>
    <w:p>
      <w:pPr>
        <w:pStyle w:val="BookText"/>
      </w:pPr>
      <w:r>
        <w:rPr>
          <w:rFonts w:ascii="Amiri" w:hAnsi="Amiri" w:eastAsia="Amiri" w:cs="Amiri"/>
          <w:lang w:bidi="ar-SA"/>
          <w:color w:val="111111"/>
          <w:sz w:val="28"/>
          <w:szCs w:val="28"/>
          <w:rtl/>
        </w:rPr>
        <w:t xml:space="preserve">شجرة نسب مصطفى القادري، ج 9،</w:t>
      </w:r>
    </w:p>
    <w:p>
      <w:pPr>
        <w:pStyle w:val="BookText"/>
      </w:pPr>
      <w:r>
        <w:rPr>
          <w:rFonts w:ascii="IRNazanin" w:hAnsi="IRNazanin" w:eastAsia="IRNazanin" w:cs="IRNazanin"/>
          <w:lang w:bidi="fa-IR"/>
          <w:color w:val="111111"/>
          <w:sz w:val="28"/>
          <w:szCs w:val="28"/>
          <w:rtl/>
        </w:rPr>
        <w:t xml:space="preserve">ص 82</w:t>
      </w:r>
    </w:p>
    <w:p>
      <w:pPr>
        <w:pStyle w:val="Heading2"/>
      </w:pPr>
      <w:bookmarkStart w:id="6466" w:name="_Toc5568"/>
      <w:r>
        <w:t>قادري نقشبندي ، علي</w:t>
      </w:r>
      <w:bookmarkEnd w:id="6466"/>
    </w:p>
    <w:p>
      <w:pPr>
        <w:pStyle w:val="BookText"/>
      </w:pPr>
      <w:r>
        <w:rPr>
          <w:rFonts w:ascii="Amiri" w:hAnsi="Amiri" w:eastAsia="Amiri" w:cs="Amiri"/>
          <w:lang w:bidi="ar-SA"/>
          <w:color w:val="111111"/>
          <w:sz w:val="28"/>
          <w:szCs w:val="28"/>
          <w:rtl/>
        </w:rPr>
        <w:t xml:space="preserve">اسماء اهل بدر( منظومة في)، ج2،</w:t>
      </w:r>
    </w:p>
    <w:p>
      <w:pPr>
        <w:pStyle w:val="BookText"/>
      </w:pPr>
      <w:r>
        <w:rPr>
          <w:rFonts w:ascii="IRNazanin" w:hAnsi="IRNazanin" w:eastAsia="IRNazanin" w:cs="IRNazanin"/>
          <w:lang w:bidi="fa-IR"/>
          <w:color w:val="111111"/>
          <w:sz w:val="28"/>
          <w:szCs w:val="28"/>
          <w:rtl/>
        </w:rPr>
        <w:t xml:space="preserve">ص 215.</w:t>
      </w:r>
    </w:p>
    <w:p>
      <w:pPr>
        <w:pStyle w:val="Heading2"/>
      </w:pPr>
      <w:bookmarkStart w:id="6467" w:name="_Toc5569"/>
      <w:r>
        <w:t>قادري نقيب الاشراف ، سلمان بن سلمان</w:t>
      </w:r>
      <w:bookmarkEnd w:id="64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1315 ه-</w:t>
      </w:r>
    </w:p>
    <w:p>
      <w:pPr>
        <w:pStyle w:val="BookText"/>
      </w:pPr>
      <w:r>
        <w:rPr>
          <w:rFonts w:ascii="Amiri" w:hAnsi="Amiri" w:eastAsia="Amiri" w:cs="Amiri"/>
          <w:lang w:bidi="ar-SA"/>
          <w:color w:val="111111"/>
          <w:sz w:val="28"/>
          <w:szCs w:val="28"/>
          <w:rtl/>
        </w:rPr>
        <w:t xml:space="preserve">اجازة علمية، ج 1، ص221</w:t>
      </w:r>
    </w:p>
    <w:p>
      <w:pPr>
        <w:pStyle w:val="BookText"/>
      </w:pPr>
      <w:r>
        <w:rPr>
          <w:rFonts w:ascii="IRNazanin" w:hAnsi="IRNazanin" w:eastAsia="IRNazanin" w:cs="IRNazanin"/>
          <w:lang w:bidi="fa-IR"/>
          <w:color w:val="111111"/>
          <w:sz w:val="28"/>
          <w:szCs w:val="28"/>
          <w:rtl/>
        </w:rPr>
        <w:t xml:space="preserve">قارپوز آبادي ، علي بن محمّد- قزويني</w:t>
      </w:r>
    </w:p>
    <w:p>
      <w:pPr>
        <w:pStyle w:val="BookText"/>
      </w:pPr>
      <w:r>
        <w:rPr>
          <w:rFonts w:ascii="Amiri" w:hAnsi="Amiri" w:eastAsia="Amiri" w:cs="Amiri"/>
          <w:lang w:bidi="ar-SA"/>
          <w:color w:val="111111"/>
          <w:sz w:val="28"/>
          <w:szCs w:val="28"/>
          <w:rtl/>
        </w:rPr>
        <w:t xml:space="preserve">علي بن محمّد</w:t>
      </w:r>
    </w:p>
    <w:p>
      <w:pPr>
        <w:pStyle w:val="Heading2"/>
      </w:pPr>
      <w:bookmarkStart w:id="6468" w:name="_Toc5570"/>
      <w:r>
        <w:t>قارصي ، داود بن محمّد - 1172 ؟ ه-</w:t>
      </w:r>
      <w:bookmarkEnd w:id="6468"/>
    </w:p>
    <w:p>
      <w:pPr>
        <w:pStyle w:val="BookText"/>
      </w:pPr>
      <w:r>
        <w:rPr>
          <w:rFonts w:ascii="Amiri" w:hAnsi="Amiri" w:eastAsia="Amiri" w:cs="Amiri"/>
          <w:lang w:bidi="ar-SA"/>
          <w:color w:val="111111"/>
          <w:sz w:val="28"/>
          <w:szCs w:val="28"/>
          <w:rtl/>
        </w:rPr>
        <w:t xml:space="preserve">1 .الاختيارات الجزئية والارادات</w:t>
      </w:r>
    </w:p>
    <w:p>
      <w:pPr>
        <w:pStyle w:val="BookText"/>
      </w:pPr>
      <w:r>
        <w:rPr>
          <w:rFonts w:ascii="Amiri" w:hAnsi="Amiri" w:eastAsia="Amiri" w:cs="Amiri"/>
          <w:lang w:bidi="ar-SA"/>
          <w:color w:val="111111"/>
          <w:sz w:val="28"/>
          <w:szCs w:val="28"/>
          <w:rtl/>
        </w:rPr>
        <w:t xml:space="preserve">القلبية، ج 1، ص 558.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شرح اصول الحديث، ج 9، ص 206.</w:t>
      </w:r>
    </w:p>
    <w:p>
      <w:pPr>
        <w:pStyle w:val="BookText"/>
      </w:pPr>
      <w:r>
        <w:rPr>
          <w:rFonts w:ascii="Amiri" w:hAnsi="Amiri" w:eastAsia="Amiri" w:cs="Amiri"/>
          <w:lang w:bidi="ar-SA"/>
          <w:color w:val="111111"/>
          <w:sz w:val="28"/>
          <w:szCs w:val="28"/>
          <w:rtl/>
        </w:rPr>
        <w:t xml:space="preserve">3.شرح المنظومة النورية، ج10،</w:t>
      </w:r>
    </w:p>
    <w:p>
      <w:pPr>
        <w:pStyle w:val="BookText"/>
      </w:pPr>
      <w:r>
        <w:rPr>
          <w:rFonts w:ascii="IRNazanin" w:hAnsi="IRNazanin" w:eastAsia="IRNazanin" w:cs="IRNazanin"/>
          <w:lang w:bidi="fa-IR"/>
          <w:color w:val="111111"/>
          <w:sz w:val="28"/>
          <w:szCs w:val="28"/>
          <w:rtl/>
        </w:rPr>
        <w:t xml:space="preserve">ص 259.</w:t>
      </w:r>
    </w:p>
    <w:p>
      <w:pPr>
        <w:pStyle w:val="BookText"/>
      </w:pPr>
      <w:r>
        <w:rPr>
          <w:rFonts w:ascii="Amiri" w:hAnsi="Amiri" w:eastAsia="Amiri" w:cs="Amiri"/>
          <w:lang w:bidi="ar-SA"/>
          <w:color w:val="111111"/>
          <w:sz w:val="28"/>
          <w:szCs w:val="28"/>
          <w:rtl/>
        </w:rPr>
        <w:t xml:space="preserve">4 .شرح رسالة في أصول الحديث، ج 9،</w:t>
      </w:r>
    </w:p>
    <w:p>
      <w:pPr>
        <w:pStyle w:val="BookText"/>
      </w:pPr>
      <w:r>
        <w:rPr>
          <w:rFonts w:ascii="IRNazanin" w:hAnsi="IRNazanin" w:eastAsia="IRNazanin" w:cs="IRNazanin"/>
          <w:lang w:bidi="fa-IR"/>
          <w:color w:val="111111"/>
          <w:sz w:val="28"/>
          <w:szCs w:val="28"/>
          <w:rtl/>
        </w:rPr>
        <w:t xml:space="preserve">ص 543 .</w:t>
      </w:r>
    </w:p>
    <w:p>
      <w:pPr>
        <w:pStyle w:val="Heading2"/>
      </w:pPr>
      <w:bookmarkStart w:id="6469" w:name="_Toc5571"/>
      <w:r>
        <w:t>قارصي ، عثمان بن حبيب</w:t>
      </w:r>
      <w:bookmarkEnd w:id="6469"/>
    </w:p>
    <w:p>
      <w:pPr>
        <w:pStyle w:val="BookText"/>
      </w:pPr>
      <w:r>
        <w:rPr>
          <w:rFonts w:ascii="Amiri" w:hAnsi="Amiri" w:eastAsia="Amiri" w:cs="Amiri"/>
          <w:lang w:bidi="ar-SA"/>
          <w:color w:val="111111"/>
          <w:sz w:val="28"/>
          <w:szCs w:val="28"/>
          <w:rtl/>
        </w:rPr>
        <w:t xml:space="preserve">وقائع نادرشاه مع الدولة العثمانية في</w:t>
      </w:r>
    </w:p>
    <w:p>
      <w:pPr>
        <w:pStyle w:val="BookText"/>
      </w:pPr>
      <w:r>
        <w:rPr>
          <w:rFonts w:ascii="IRNazanin" w:hAnsi="IRNazanin" w:eastAsia="IRNazanin" w:cs="IRNazanin"/>
          <w:lang w:bidi="fa-IR"/>
          <w:color w:val="111111"/>
          <w:sz w:val="28"/>
          <w:szCs w:val="28"/>
          <w:rtl/>
        </w:rPr>
        <w:t xml:space="preserve">قارص، ج 16، ص 863.</w:t>
      </w:r>
    </w:p>
    <w:p>
      <w:pPr>
        <w:pStyle w:val="Heading2"/>
      </w:pPr>
      <w:bookmarkStart w:id="6470" w:name="_Toc5572"/>
      <w:r>
        <w:t>قاري الهداية ، عمر بن علي - 829 ه-</w:t>
      </w:r>
      <w:bookmarkEnd w:id="6470"/>
    </w:p>
    <w:p>
      <w:pPr>
        <w:pStyle w:val="BookText"/>
      </w:pPr>
      <w:r>
        <w:rPr>
          <w:rFonts w:ascii="Amiri" w:hAnsi="Amiri" w:eastAsia="Amiri" w:cs="Amiri"/>
          <w:lang w:bidi="ar-SA"/>
          <w:color w:val="111111"/>
          <w:sz w:val="28"/>
          <w:szCs w:val="28"/>
          <w:rtl/>
        </w:rPr>
        <w:t xml:space="preserve">1 .أسئلة في الفتاوى، ج 2، ص 85.</w:t>
      </w:r>
    </w:p>
    <w:p>
      <w:pPr>
        <w:pStyle w:val="BookText"/>
      </w:pPr>
      <w:r>
        <w:rPr>
          <w:rFonts w:ascii="Amiri" w:hAnsi="Amiri" w:eastAsia="Amiri" w:cs="Amiri"/>
          <w:lang w:bidi="ar-SA"/>
          <w:color w:val="111111"/>
          <w:sz w:val="28"/>
          <w:szCs w:val="28"/>
          <w:rtl/>
        </w:rPr>
        <w:t xml:space="preserve">2 .الفتاوى = فتاواي قاري الهداية = الفتاوى السراجية، ج 11 ، ص594 .</w:t>
      </w:r>
    </w:p>
    <w:p>
      <w:pPr>
        <w:pStyle w:val="Heading2"/>
      </w:pPr>
      <w:bookmarkStart w:id="6471" w:name="_Toc5573"/>
      <w:r>
        <w:t>قاري بخاري، حافظ کلان بن بدرالدین</w:t>
      </w:r>
      <w:bookmarkEnd w:id="6471"/>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Amiri" w:hAnsi="Amiri" w:eastAsia="Amiri" w:cs="Amiri"/>
          <w:lang w:bidi="ar-SA"/>
          <w:color w:val="111111"/>
          <w:sz w:val="28"/>
          <w:szCs w:val="28"/>
          <w:rtl/>
        </w:rPr>
        <w:t xml:space="preserve">درة الفريد في التجويد، ج 7، ص 252.</w:t>
      </w:r>
    </w:p>
    <w:p>
      <w:pPr>
        <w:pStyle w:val="Heading2"/>
      </w:pPr>
      <w:bookmarkStart w:id="6472" w:name="_Toc5574"/>
      <w:r>
        <w:t>قاري ، حسين بن عيدان</w:t>
      </w:r>
      <w:bookmarkEnd w:id="6472"/>
    </w:p>
    <w:p>
      <w:pPr>
        <w:pStyle w:val="BookText"/>
      </w:pPr>
      <w:r>
        <w:rPr>
          <w:rFonts w:ascii="Amiri" w:hAnsi="Amiri" w:eastAsia="Amiri" w:cs="Amiri"/>
          <w:lang w:bidi="ar-SA"/>
          <w:color w:val="111111"/>
          <w:sz w:val="28"/>
          <w:szCs w:val="28"/>
          <w:rtl/>
        </w:rPr>
        <w:t xml:space="preserve">عصمة الائمة (ارجوزة في) = ارجوزة في عصمة الائمة، ج11، ص123.</w:t>
      </w:r>
    </w:p>
    <w:p>
      <w:pPr>
        <w:pStyle w:val="Heading2"/>
      </w:pPr>
      <w:bookmarkStart w:id="6473" w:name="_Toc5575"/>
      <w:r>
        <w:t>قاري ،حنفي ابراهيم بن محمد قرن 10ه-</w:t>
      </w:r>
      <w:bookmarkEnd w:id="6473"/>
    </w:p>
    <w:p>
      <w:pPr>
        <w:pStyle w:val="BookText"/>
      </w:pPr>
      <w:r>
        <w:rPr>
          <w:rFonts w:ascii="Amiri" w:hAnsi="Amiri" w:eastAsia="Amiri" w:cs="Amiri"/>
          <w:lang w:bidi="ar-SA"/>
          <w:color w:val="111111"/>
          <w:sz w:val="28"/>
          <w:szCs w:val="28"/>
          <w:rtl/>
        </w:rPr>
        <w:t xml:space="preserve">مستخلص الحقائق في شرح كنز</w:t>
      </w:r>
    </w:p>
    <w:p>
      <w:pPr>
        <w:pStyle w:val="BookText"/>
      </w:pPr>
      <w:r>
        <w:rPr>
          <w:rFonts w:ascii="IRNazanin" w:hAnsi="IRNazanin" w:eastAsia="IRNazanin" w:cs="IRNazanin"/>
          <w:lang w:bidi="fa-IR"/>
          <w:color w:val="111111"/>
          <w:sz w:val="28"/>
          <w:szCs w:val="28"/>
          <w:rtl/>
        </w:rPr>
        <w:t xml:space="preserve">الدقائق، ج 14، ص 550 .</w:t>
      </w:r>
    </w:p>
    <w:p>
      <w:pPr>
        <w:pStyle w:val="Heading2"/>
      </w:pPr>
      <w:bookmarkStart w:id="6474" w:name="_Toc5576"/>
      <w:r>
        <w:t>قاري شيرازي ابويحيى بن محمّد قرن 9ه-</w:t>
      </w:r>
      <w:bookmarkEnd w:id="6474"/>
    </w:p>
    <w:p>
      <w:pPr>
        <w:pStyle w:val="BookText"/>
      </w:pPr>
      <w:r>
        <w:rPr>
          <w:rFonts w:ascii="Amiri" w:hAnsi="Amiri" w:eastAsia="Amiri" w:cs="Amiri"/>
          <w:lang w:bidi="ar-SA"/>
          <w:color w:val="111111"/>
          <w:sz w:val="28"/>
          <w:szCs w:val="28"/>
          <w:rtl/>
        </w:rPr>
        <w:t xml:space="preserve">كشف الاسرار في رسم مصاحف الامصار، ج13، ص190.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63" w:name="pg7742_71003"/>
    <w:bookmarkEnd w:id="863"/>
    <w:p>
      <w:pPr>
        <w:pStyle w:val="Heading2"/>
      </w:pPr>
      <w:bookmarkStart w:id="6475" w:name="_Toc5577"/>
      <w:r>
        <w:t>قاري مازندراني ، محمّد بن ،اسدالله قرن</w:t>
      </w:r>
      <w:bookmarkEnd w:id="6475"/>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المظاهر المحمّدية و القواعد</w:t>
      </w:r>
    </w:p>
    <w:p>
      <w:pPr>
        <w:pStyle w:val="BookText"/>
      </w:pPr>
      <w:r>
        <w:rPr>
          <w:rFonts w:ascii="Amiri" w:hAnsi="Amiri" w:eastAsia="Amiri" w:cs="Amiri"/>
          <w:lang w:bidi="ar-SA"/>
          <w:color w:val="111111"/>
          <w:sz w:val="28"/>
          <w:szCs w:val="28"/>
          <w:rtl/>
        </w:rPr>
        <w:t xml:space="preserve">التجويدية، ج 14، ص 826.</w:t>
      </w:r>
    </w:p>
    <w:p>
      <w:pPr>
        <w:pStyle w:val="Heading2"/>
      </w:pPr>
      <w:bookmarkStart w:id="6476" w:name="_Toc5578"/>
      <w:r>
        <w:t>قاري ، محمّد بن حيدر قرن 11 ه-</w:t>
      </w:r>
      <w:bookmarkEnd w:id="6476"/>
    </w:p>
    <w:p>
      <w:pPr>
        <w:pStyle w:val="BookText"/>
      </w:pPr>
      <w:r>
        <w:rPr>
          <w:rFonts w:ascii="Amiri" w:hAnsi="Amiri" w:eastAsia="Amiri" w:cs="Amiri"/>
          <w:lang w:bidi="ar-SA"/>
          <w:color w:val="111111"/>
          <w:sz w:val="28"/>
          <w:szCs w:val="28"/>
          <w:rtl/>
        </w:rPr>
        <w:t xml:space="preserve">تحفة القاري، ج 3، ص 877.</w:t>
      </w:r>
    </w:p>
    <w:p>
      <w:pPr>
        <w:pStyle w:val="Heading2"/>
      </w:pPr>
      <w:bookmarkStart w:id="6477" w:name="_Toc5579"/>
      <w:r>
        <w:t>قاري محمّد محسن بن سليمان قرن 13ه-</w:t>
      </w:r>
      <w:bookmarkEnd w:id="6477"/>
    </w:p>
    <w:p>
      <w:pPr>
        <w:pStyle w:val="BookText"/>
      </w:pPr>
      <w:r>
        <w:rPr>
          <w:rFonts w:ascii="Amiri" w:hAnsi="Amiri" w:eastAsia="Amiri" w:cs="Amiri"/>
          <w:lang w:bidi="ar-SA"/>
          <w:color w:val="111111"/>
          <w:sz w:val="28"/>
          <w:szCs w:val="28"/>
          <w:rtl/>
        </w:rPr>
        <w:t xml:space="preserve">شرح درج المضامين = شرح تجويد</w:t>
      </w:r>
    </w:p>
    <w:p>
      <w:pPr>
        <w:pStyle w:val="BookText"/>
      </w:pPr>
      <w:r>
        <w:rPr>
          <w:rFonts w:ascii="Amiri" w:hAnsi="Amiri" w:eastAsia="Amiri" w:cs="Amiri"/>
          <w:lang w:bidi="ar-SA"/>
          <w:color w:val="111111"/>
          <w:sz w:val="28"/>
          <w:szCs w:val="28"/>
          <w:rtl/>
        </w:rPr>
        <w:t xml:space="preserve">ملامختار ،اعمي، ج 9، ص 456.</w:t>
      </w:r>
    </w:p>
    <w:p>
      <w:pPr>
        <w:pStyle w:val="Heading2"/>
      </w:pPr>
      <w:bookmarkStart w:id="6478" w:name="_Toc5580"/>
      <w:r>
        <w:t>قاري مشهدي ، ابوالقاسم، قرن 11 ه-</w:t>
      </w:r>
      <w:bookmarkEnd w:id="6478"/>
    </w:p>
    <w:p>
      <w:pPr>
        <w:pStyle w:val="BookText"/>
      </w:pPr>
      <w:r>
        <w:rPr>
          <w:rFonts w:ascii="Amiri" w:hAnsi="Amiri" w:eastAsia="Amiri" w:cs="Amiri"/>
          <w:lang w:bidi="ar-SA"/>
          <w:color w:val="111111"/>
          <w:sz w:val="28"/>
          <w:szCs w:val="28"/>
          <w:rtl/>
        </w:rPr>
        <w:t xml:space="preserve">نظم اللآلي في تجويد كلام الله المتعالي</w:t>
      </w:r>
    </w:p>
    <w:p>
      <w:pPr>
        <w:pStyle w:val="BookText"/>
      </w:pPr>
      <w:r>
        <w:rPr>
          <w:rFonts w:ascii="Amiri" w:hAnsi="Amiri" w:eastAsia="Amiri" w:cs="Amiri"/>
          <w:lang w:bidi="ar-SA"/>
          <w:color w:val="111111"/>
          <w:sz w:val="28"/>
          <w:szCs w:val="28"/>
          <w:rtl/>
        </w:rPr>
        <w:t xml:space="preserve">اللؤلؤنية، ج 16، ص 359.</w:t>
      </w:r>
    </w:p>
    <w:p>
      <w:pPr>
        <w:pStyle w:val="BookText"/>
      </w:pPr>
      <w:r>
        <w:rPr>
          <w:rFonts w:ascii="Amiri" w:hAnsi="Amiri" w:eastAsia="Amiri" w:cs="Amiri"/>
          <w:lang w:bidi="ar-SA"/>
          <w:color w:val="111111"/>
          <w:sz w:val="28"/>
          <w:szCs w:val="28"/>
          <w:rtl/>
        </w:rPr>
        <w:t xml:space="preserve">قاري، مصطفى بن ابراهيم، 1007 .</w:t>
      </w:r>
    </w:p>
    <w:p>
      <w:pPr>
        <w:pStyle w:val="BookText"/>
      </w:pPr>
      <w:r>
        <w:rPr>
          <w:rFonts w:ascii="IRNazanin" w:hAnsi="IRNazanin" w:eastAsia="IRNazanin" w:cs="IRNazanin"/>
          <w:lang w:bidi="fa-IR"/>
          <w:color w:val="111111"/>
          <w:sz w:val="28"/>
          <w:szCs w:val="28"/>
          <w:rtl/>
        </w:rPr>
        <w:t xml:space="preserve">1080 ه-</w:t>
      </w:r>
    </w:p>
    <w:p>
      <w:pPr>
        <w:pStyle w:val="BookText"/>
      </w:pPr>
      <w:r>
        <w:rPr>
          <w:rFonts w:ascii="Amiri" w:hAnsi="Amiri" w:eastAsia="Amiri" w:cs="Amiri"/>
          <w:lang w:bidi="ar-SA"/>
          <w:color w:val="111111"/>
          <w:sz w:val="28"/>
          <w:szCs w:val="28"/>
          <w:rtl/>
        </w:rPr>
        <w:t xml:space="preserve">1 .ارشاد القاري، ج 2، ص 43.</w:t>
      </w:r>
    </w:p>
    <w:p>
      <w:pPr>
        <w:pStyle w:val="BookText"/>
      </w:pPr>
      <w:r>
        <w:rPr>
          <w:rFonts w:ascii="Amiri" w:hAnsi="Amiri" w:eastAsia="Amiri" w:cs="Amiri"/>
          <w:lang w:bidi="ar-SA"/>
          <w:color w:val="111111"/>
          <w:sz w:val="28"/>
          <w:szCs w:val="28"/>
          <w:rtl/>
        </w:rPr>
        <w:t xml:space="preserve">2 .تحفة القرّاء = تحفة القاري، ج3،</w:t>
      </w:r>
    </w:p>
    <w:p>
      <w:pPr>
        <w:pStyle w:val="BookText"/>
      </w:pPr>
      <w:r>
        <w:rPr>
          <w:rFonts w:ascii="IRNazanin" w:hAnsi="IRNazanin" w:eastAsia="IRNazanin" w:cs="IRNazanin"/>
          <w:lang w:bidi="fa-IR"/>
          <w:color w:val="111111"/>
          <w:sz w:val="28"/>
          <w:szCs w:val="28"/>
          <w:rtl/>
        </w:rPr>
        <w:t xml:space="preserve">ص 878</w:t>
      </w:r>
    </w:p>
    <w:p>
      <w:pPr>
        <w:pStyle w:val="Heading2"/>
      </w:pPr>
      <w:bookmarkStart w:id="6479" w:name="_Toc5581"/>
      <w:r>
        <w:t>قاريني ، محمّد بن احمد</w:t>
      </w:r>
      <w:bookmarkEnd w:id="6479"/>
    </w:p>
    <w:p>
      <w:pPr>
        <w:pStyle w:val="BookText"/>
      </w:pPr>
      <w:r>
        <w:rPr>
          <w:rFonts w:ascii="Amiri" w:hAnsi="Amiri" w:eastAsia="Amiri" w:cs="Amiri"/>
          <w:lang w:bidi="ar-SA"/>
          <w:color w:val="111111"/>
          <w:sz w:val="28"/>
          <w:szCs w:val="28"/>
          <w:rtl/>
        </w:rPr>
        <w:t xml:space="preserve">الدرة المضيئة في عقد القرحة المرضية</w:t>
      </w:r>
    </w:p>
    <w:p>
      <w:pPr>
        <w:pStyle w:val="BookText"/>
      </w:pPr>
      <w:r>
        <w:rPr>
          <w:rFonts w:ascii="IRNazanin" w:hAnsi="IRNazanin" w:eastAsia="IRNazanin" w:cs="IRNazanin"/>
          <w:lang w:bidi="fa-IR"/>
          <w:color w:val="111111"/>
          <w:sz w:val="28"/>
          <w:szCs w:val="28"/>
          <w:rtl/>
        </w:rPr>
        <w:t xml:space="preserve">ج 7، ص 265.</w:t>
      </w:r>
    </w:p>
    <w:p>
      <w:pPr>
        <w:pStyle w:val="Heading2"/>
      </w:pPr>
      <w:bookmarkStart w:id="6480" w:name="_Toc5582"/>
      <w:r>
        <w:t>قاري هروي، علي بن سلطان محمّد -</w:t>
      </w:r>
      <w:bookmarkEnd w:id="6480"/>
    </w:p>
    <w:p>
      <w:pPr>
        <w:pStyle w:val="BookText"/>
      </w:pPr>
      <w:r>
        <w:rPr>
          <w:rFonts w:ascii="IRNazanin" w:hAnsi="IRNazanin" w:eastAsia="IRNazanin" w:cs="IRNazanin"/>
          <w:lang w:bidi="fa-IR"/>
          <w:color w:val="111111"/>
          <w:sz w:val="28"/>
          <w:szCs w:val="28"/>
          <w:rtl/>
        </w:rPr>
        <w:t xml:space="preserve">1014ه-</w:t>
      </w:r>
    </w:p>
    <w:p>
      <w:pPr>
        <w:pStyle w:val="BookText"/>
      </w:pPr>
      <w:r>
        <w:rPr>
          <w:rFonts w:ascii="Amiri" w:hAnsi="Amiri" w:eastAsia="Amiri" w:cs="Amiri"/>
          <w:lang w:bidi="ar-SA"/>
          <w:color w:val="111111"/>
          <w:sz w:val="28"/>
          <w:szCs w:val="28"/>
          <w:rtl/>
        </w:rPr>
        <w:t xml:space="preserve">1 .الاحاديث المشهورة، ج 1، ص 420.</w:t>
      </w:r>
    </w:p>
    <w:p>
      <w:pPr>
        <w:pStyle w:val="BookText"/>
      </w:pPr>
      <w:r>
        <w:rPr>
          <w:rFonts w:ascii="IRNazanin" w:hAnsi="IRNazanin" w:eastAsia="IRNazanin" w:cs="IRNazanin"/>
          <w:lang w:bidi="fa-IR"/>
          <w:color w:val="111111"/>
          <w:sz w:val="28"/>
          <w:szCs w:val="28"/>
          <w:rtl/>
        </w:rPr>
        <w:t xml:space="preserve">2 .احزاب و اوراد، ج 1، ص 445</w:t>
      </w:r>
    </w:p>
    <w:p>
      <w:pPr>
        <w:pStyle w:val="BookText"/>
      </w:pPr>
      <w:r>
        <w:rPr>
          <w:rFonts w:ascii="Amiri" w:hAnsi="Amiri" w:eastAsia="Amiri" w:cs="Amiri"/>
          <w:lang w:bidi="ar-SA"/>
          <w:color w:val="111111"/>
          <w:sz w:val="28"/>
          <w:szCs w:val="28"/>
          <w:rtl/>
        </w:rPr>
        <w:t xml:space="preserve">3 .الادب في رجب، ج 1، ص 590.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الادعية المأثورة في الاحاديث</w:t>
      </w:r>
    </w:p>
    <w:p>
      <w:pPr>
        <w:pStyle w:val="BookText"/>
      </w:pPr>
      <w:r>
        <w:rPr>
          <w:rFonts w:ascii="Amiri" w:hAnsi="Amiri" w:eastAsia="Amiri" w:cs="Amiri"/>
          <w:lang w:bidi="ar-SA"/>
          <w:color w:val="111111"/>
          <w:sz w:val="28"/>
          <w:szCs w:val="28"/>
          <w:rtl/>
        </w:rPr>
        <w:t xml:space="preserve">المنثورة، ج 1، ص 636.</w:t>
      </w:r>
    </w:p>
    <w:p>
      <w:pPr>
        <w:pStyle w:val="BookText"/>
      </w:pPr>
      <w:r>
        <w:rPr>
          <w:rFonts w:ascii="Amiri" w:hAnsi="Amiri" w:eastAsia="Amiri" w:cs="Amiri"/>
          <w:lang w:bidi="ar-SA"/>
          <w:color w:val="111111"/>
          <w:sz w:val="28"/>
          <w:szCs w:val="28"/>
          <w:rtl/>
        </w:rPr>
        <w:t xml:space="preserve">5 .ادلة معتقد ابي حنيفة في حق ابوي</w:t>
      </w:r>
    </w:p>
    <w:p>
      <w:pPr>
        <w:pStyle w:val="BookText"/>
      </w:pPr>
      <w:r>
        <w:rPr>
          <w:rFonts w:ascii="IRNazanin" w:hAnsi="IRNazanin" w:eastAsia="IRNazanin" w:cs="IRNazanin"/>
          <w:lang w:bidi="fa-IR"/>
          <w:color w:val="111111"/>
          <w:sz w:val="28"/>
          <w:szCs w:val="28"/>
          <w:rtl/>
        </w:rPr>
        <w:t xml:space="preserve">الرسول، ج 1، ص 664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الاربعون حديثاً، ج 1، ص 699.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الاربعون حديثا في جوامع الكلم</w:t>
      </w:r>
    </w:p>
    <w:p>
      <w:pPr>
        <w:pStyle w:val="BookText"/>
      </w:pPr>
      <w:r>
        <w:rPr>
          <w:rFonts w:ascii="IRNazanin" w:hAnsi="IRNazanin" w:eastAsia="IRNazanin" w:cs="IRNazanin"/>
          <w:lang w:bidi="fa-IR"/>
          <w:color w:val="111111"/>
          <w:sz w:val="28"/>
          <w:szCs w:val="28"/>
          <w:rtl/>
        </w:rPr>
        <w:t xml:space="preserve">ج 1، ص 723</w:t>
      </w:r>
    </w:p>
    <w:p>
      <w:pPr>
        <w:pStyle w:val="BookText"/>
      </w:pPr>
      <w:r>
        <w:rPr>
          <w:rFonts w:ascii="Amiri" w:hAnsi="Amiri" w:eastAsia="Amiri" w:cs="Amiri"/>
          <w:lang w:bidi="ar-SA"/>
          <w:color w:val="111111"/>
          <w:sz w:val="28"/>
          <w:szCs w:val="28"/>
          <w:rtl/>
        </w:rPr>
        <w:t xml:space="preserve">8 .الاربعينية القدسية = الاحاديث</w:t>
      </w:r>
    </w:p>
    <w:p>
      <w:pPr>
        <w:pStyle w:val="BookText"/>
      </w:pPr>
      <w:r>
        <w:rPr>
          <w:rFonts w:ascii="Amiri" w:hAnsi="Amiri" w:eastAsia="Amiri" w:cs="Amiri"/>
          <w:lang w:bidi="ar-SA"/>
          <w:color w:val="111111"/>
          <w:sz w:val="28"/>
          <w:szCs w:val="28"/>
          <w:rtl/>
        </w:rPr>
        <w:t xml:space="preserve">القدسية، ج 1، ص 747.</w:t>
      </w:r>
    </w:p>
    <w:p>
      <w:pPr>
        <w:pStyle w:val="BookText"/>
      </w:pPr>
      <w:r>
        <w:rPr>
          <w:rFonts w:ascii="Amiri" w:hAnsi="Amiri" w:eastAsia="Amiri" w:cs="Amiri"/>
          <w:lang w:bidi="ar-SA"/>
          <w:color w:val="111111"/>
          <w:sz w:val="28"/>
          <w:szCs w:val="28"/>
          <w:rtl/>
        </w:rPr>
        <w:t xml:space="preserve">9 .الاسرار المرفوعة في الاخبار الموضوعة</w:t>
      </w:r>
    </w:p>
    <w:p>
      <w:pPr>
        <w:pStyle w:val="BookText"/>
      </w:pPr>
      <w:r>
        <w:rPr>
          <w:rFonts w:ascii="Amiri" w:hAnsi="Amiri" w:eastAsia="Amiri" w:cs="Amiri"/>
          <w:lang w:bidi="ar-SA"/>
          <w:color w:val="111111"/>
          <w:sz w:val="28"/>
          <w:szCs w:val="28"/>
          <w:rtl/>
        </w:rPr>
        <w:t xml:space="preserve">= الموضوعات الكبرى، ج 2،</w:t>
      </w:r>
    </w:p>
    <w:p>
      <w:pPr>
        <w:pStyle w:val="BookText"/>
      </w:pPr>
      <w:r>
        <w:rPr>
          <w:rFonts w:ascii="IRNazanin" w:hAnsi="IRNazanin" w:eastAsia="IRNazanin" w:cs="IRNazanin"/>
          <w:lang w:bidi="fa-IR"/>
          <w:color w:val="111111"/>
          <w:sz w:val="28"/>
          <w:szCs w:val="28"/>
          <w:rtl/>
        </w:rPr>
        <w:t xml:space="preserve">ص 180.</w:t>
      </w:r>
    </w:p>
    <w:p>
      <w:pPr>
        <w:pStyle w:val="BookText"/>
      </w:pPr>
      <w:r>
        <w:rPr>
          <w:rFonts w:ascii="Amiri" w:hAnsi="Amiri" w:eastAsia="Amiri" w:cs="Amiri"/>
          <w:lang w:bidi="ar-SA"/>
          <w:color w:val="111111"/>
          <w:sz w:val="28"/>
          <w:szCs w:val="28"/>
          <w:rtl/>
        </w:rPr>
        <w:t xml:space="preserve">10 .الاصطناع في الاضطباع، ج 2،</w:t>
      </w:r>
    </w:p>
    <w:p>
      <w:pPr>
        <w:pStyle w:val="BookText"/>
      </w:pPr>
      <w:r>
        <w:rPr>
          <w:rFonts w:ascii="IRNazanin" w:hAnsi="IRNazanin" w:eastAsia="IRNazanin" w:cs="IRNazanin"/>
          <w:lang w:bidi="fa-IR"/>
          <w:color w:val="111111"/>
          <w:sz w:val="28"/>
          <w:szCs w:val="28"/>
          <w:rtl/>
        </w:rPr>
        <w:t xml:space="preserve">ص 368 .</w:t>
      </w:r>
    </w:p>
    <w:p>
      <w:pPr>
        <w:pStyle w:val="BookText"/>
      </w:pPr>
      <w:r>
        <w:rPr>
          <w:rFonts w:ascii="Amiri" w:hAnsi="Amiri" w:eastAsia="Amiri" w:cs="Amiri"/>
          <w:lang w:bidi="ar-SA"/>
          <w:color w:val="111111"/>
          <w:sz w:val="28"/>
          <w:szCs w:val="28"/>
          <w:rtl/>
        </w:rPr>
        <w:t xml:space="preserve">11 .الاعتناء بالغناء في الغناء، ج 2،</w:t>
      </w:r>
    </w:p>
    <w:p>
      <w:pPr>
        <w:pStyle w:val="BookText"/>
      </w:pPr>
      <w:r>
        <w:rPr>
          <w:rFonts w:ascii="IRNazanin" w:hAnsi="IRNazanin" w:eastAsia="IRNazanin" w:cs="IRNazanin"/>
          <w:lang w:bidi="fa-IR"/>
          <w:color w:val="111111"/>
          <w:sz w:val="28"/>
          <w:szCs w:val="28"/>
          <w:rtl/>
        </w:rPr>
        <w:t xml:space="preserve">ص 520.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الانباء بأن العصا من سنن الانبياء</w:t>
      </w:r>
    </w:p>
    <w:p>
      <w:pPr>
        <w:pStyle w:val="BookText"/>
      </w:pPr>
      <w:r>
        <w:rPr>
          <w:rFonts w:ascii="IRNazanin" w:hAnsi="IRNazanin" w:eastAsia="IRNazanin" w:cs="IRNazanin"/>
          <w:lang w:bidi="fa-IR"/>
          <w:color w:val="111111"/>
          <w:sz w:val="28"/>
          <w:szCs w:val="28"/>
          <w:rtl/>
        </w:rPr>
        <w:t xml:space="preserve">ج 2، ص 775</w:t>
      </w:r>
    </w:p>
    <w:p>
      <w:pPr>
        <w:pStyle w:val="BookText"/>
      </w:pPr>
      <w:r>
        <w:rPr>
          <w:rFonts w:ascii="Amiri" w:hAnsi="Amiri" w:eastAsia="Amiri" w:cs="Amiri"/>
          <w:lang w:bidi="ar-SA"/>
          <w:color w:val="111111"/>
          <w:sz w:val="28"/>
          <w:szCs w:val="28"/>
          <w:rtl/>
        </w:rPr>
        <w:t xml:space="preserve">13 .الاهتداء في الاقتداء، ج 3، ص 49.</w:t>
      </w:r>
    </w:p>
    <w:p>
      <w:pPr>
        <w:pStyle w:val="BookText"/>
      </w:pPr>
      <w:r>
        <w:rPr>
          <w:rFonts w:ascii="Amiri" w:hAnsi="Amiri" w:eastAsia="Amiri" w:cs="Amiri"/>
          <w:lang w:bidi="ar-SA"/>
          <w:color w:val="111111"/>
          <w:sz w:val="28"/>
          <w:szCs w:val="28"/>
          <w:rtl/>
        </w:rPr>
        <w:t xml:space="preserve">14 . بداية السالك في نهاية المسالك</w:t>
      </w:r>
    </w:p>
    <w:p>
      <w:pPr>
        <w:pStyle w:val="BookText"/>
      </w:pPr>
      <w:r>
        <w:rPr>
          <w:rFonts w:ascii="IRNazanin" w:hAnsi="IRNazanin" w:eastAsia="IRNazanin" w:cs="IRNazanin"/>
          <w:lang w:bidi="fa-IR"/>
          <w:color w:val="111111"/>
          <w:sz w:val="28"/>
          <w:szCs w:val="28"/>
          <w:rtl/>
        </w:rPr>
        <w:t xml:space="preserve">ج 3، ص 242 .</w:t>
      </w:r>
    </w:p>
    <w:p>
      <w:pPr>
        <w:pStyle w:val="BookText"/>
      </w:pPr>
      <w:r>
        <w:rPr>
          <w:rFonts w:ascii="Amiri" w:hAnsi="Amiri" w:eastAsia="Amiri" w:cs="Amiri"/>
          <w:lang w:bidi="ar-SA"/>
          <w:color w:val="111111"/>
          <w:sz w:val="28"/>
          <w:szCs w:val="28"/>
          <w:rtl/>
        </w:rPr>
        <w:t xml:space="preserve">15 .بسملة سورة «الانفال»، ج3،</w:t>
      </w:r>
    </w:p>
    <w:p>
      <w:pPr>
        <w:pStyle w:val="BookText"/>
      </w:pPr>
      <w:r>
        <w:rPr>
          <w:rFonts w:ascii="IRNazanin" w:hAnsi="IRNazanin" w:eastAsia="IRNazanin" w:cs="IRNazanin"/>
          <w:lang w:bidi="fa-IR"/>
          <w:color w:val="111111"/>
          <w:sz w:val="28"/>
          <w:szCs w:val="28"/>
          <w:rtl/>
        </w:rPr>
        <w:t xml:space="preserve">ص332.</w:t>
      </w:r>
    </w:p>
    <w:p>
      <w:pPr>
        <w:pStyle w:val="BookText"/>
      </w:pPr>
      <w:r>
        <w:rPr>
          <w:rFonts w:ascii="Amiri" w:hAnsi="Amiri" w:eastAsia="Amiri" w:cs="Amiri"/>
          <w:lang w:bidi="ar-SA"/>
          <w:color w:val="111111"/>
          <w:sz w:val="28"/>
          <w:szCs w:val="28"/>
          <w:rtl/>
        </w:rPr>
        <w:t xml:space="preserve">16 .بهجة الانسان و مهجة الحيوان =</w:t>
      </w:r>
    </w:p>
    <w:p>
      <w:pPr>
        <w:pStyle w:val="BookText"/>
      </w:pPr>
      <w:r>
        <w:rPr>
          <w:rFonts w:ascii="Amiri" w:hAnsi="Amiri" w:eastAsia="Amiri" w:cs="Amiri"/>
          <w:lang w:bidi="ar-SA"/>
          <w:color w:val="111111"/>
          <w:sz w:val="28"/>
          <w:szCs w:val="28"/>
          <w:rtl/>
        </w:rPr>
        <w:t xml:space="preserve">حياة الحيوان للدميري (مختصر)</w:t>
      </w:r>
    </w:p>
    <w:p>
      <w:pPr>
        <w:pStyle w:val="BookText"/>
      </w:pPr>
      <w:r>
        <w:rPr>
          <w:rFonts w:ascii="IRNazanin" w:hAnsi="IRNazanin" w:eastAsia="IRNazanin" w:cs="IRNazanin"/>
          <w:lang w:bidi="fa-IR"/>
          <w:color w:val="111111"/>
          <w:sz w:val="28"/>
          <w:szCs w:val="28"/>
          <w:rtl/>
        </w:rPr>
        <w:t xml:space="preserve">ج 3، ص 416.</w:t>
      </w:r>
    </w:p>
    <w:p>
      <w:pPr>
        <w:pStyle w:val="BookText"/>
      </w:pPr>
      <w:r>
        <w:rPr>
          <w:rFonts w:ascii="Amiri" w:hAnsi="Amiri" w:eastAsia="Amiri" w:cs="Amiri"/>
          <w:lang w:bidi="ar-SA"/>
          <w:color w:val="111111"/>
          <w:sz w:val="28"/>
          <w:szCs w:val="28"/>
          <w:rtl/>
        </w:rPr>
        <w:t xml:space="preserve">17 .بيان افضل التابعين (رسالة في)</w:t>
      </w:r>
    </w:p>
    <w:p>
      <w:pPr>
        <w:pStyle w:val="BookText"/>
      </w:pPr>
      <w:r>
        <w:rPr>
          <w:rFonts w:ascii="IRNazanin" w:hAnsi="IRNazanin" w:eastAsia="IRNazanin" w:cs="IRNazanin"/>
          <w:lang w:bidi="fa-IR"/>
          <w:color w:val="111111"/>
          <w:sz w:val="28"/>
          <w:szCs w:val="28"/>
          <w:rtl/>
        </w:rPr>
        <w:t xml:space="preserve">ج 3، ص 461 .</w:t>
      </w:r>
    </w:p>
    <w:p>
      <w:pPr>
        <w:pStyle w:val="BookText"/>
      </w:pPr>
      <w:r>
        <w:rPr>
          <w:rFonts w:ascii="Amiri" w:hAnsi="Amiri" w:eastAsia="Amiri" w:cs="Amiri"/>
          <w:lang w:bidi="ar-SA"/>
          <w:color w:val="111111"/>
          <w:sz w:val="28"/>
          <w:szCs w:val="28"/>
          <w:rtl/>
        </w:rPr>
        <w:t xml:space="preserve">18 .بيان صفة مزاح النبي (ص)، ج 3،</w:t>
      </w:r>
    </w:p>
    <w:p>
      <w:pPr>
        <w:pStyle w:val="BookText"/>
      </w:pPr>
      <w:r>
        <w:rPr>
          <w:rFonts w:ascii="IRNazanin" w:hAnsi="IRNazanin" w:eastAsia="IRNazanin" w:cs="IRNazanin"/>
          <w:lang w:bidi="fa-IR"/>
          <w:color w:val="111111"/>
          <w:sz w:val="28"/>
          <w:szCs w:val="28"/>
          <w:rtl/>
        </w:rPr>
        <w:t xml:space="preserve">ص 475.</w:t>
      </w:r>
    </w:p>
    <w:p>
      <w:pPr>
        <w:pStyle w:val="BookText"/>
      </w:pPr>
      <w:r>
        <w:rPr>
          <w:rFonts w:ascii="Amiri" w:hAnsi="Amiri" w:eastAsia="Amiri" w:cs="Amiri"/>
          <w:lang w:bidi="ar-SA"/>
          <w:color w:val="111111"/>
          <w:sz w:val="28"/>
          <w:szCs w:val="28"/>
          <w:rtl/>
        </w:rPr>
        <w:t xml:space="preserve">19 .بيان فعل الخير اذا دخل مكة من</w:t>
      </w:r>
    </w:p>
    <w:p>
      <w:pPr>
        <w:pStyle w:val="BookText"/>
      </w:pPr>
      <w:r>
        <w:rPr>
          <w:rFonts w:ascii="Amiri" w:hAnsi="Amiri" w:eastAsia="Amiri" w:cs="Amiri"/>
          <w:lang w:bidi="ar-SA"/>
          <w:color w:val="111111"/>
          <w:sz w:val="28"/>
          <w:szCs w:val="28"/>
          <w:rtl/>
        </w:rPr>
        <w:t xml:space="preserve">حج عن الغير، ج 3، ص 478.</w:t>
      </w:r>
    </w:p>
    <w:p>
      <w:pPr>
        <w:pStyle w:val="BookText"/>
      </w:pPr>
      <w:r>
        <w:rPr>
          <w:rFonts w:ascii="Amiri" w:hAnsi="Amiri" w:eastAsia="Amiri" w:cs="Amiri"/>
          <w:lang w:bidi="ar-SA"/>
          <w:color w:val="111111"/>
          <w:sz w:val="28"/>
          <w:szCs w:val="28"/>
          <w:rtl/>
        </w:rPr>
        <w:t xml:space="preserve">20 .التبيان في بيان ما في ليلة النصف</w:t>
      </w:r>
    </w:p>
    <w:p>
      <w:pPr>
        <w:pStyle w:val="BookText"/>
      </w:pPr>
      <w:r>
        <w:rPr>
          <w:rFonts w:ascii="IRNazanin" w:hAnsi="IRNazanin" w:eastAsia="IRNazanin" w:cs="IRNazanin"/>
          <w:lang w:bidi="fa-IR"/>
          <w:color w:val="111111"/>
          <w:sz w:val="28"/>
          <w:szCs w:val="28"/>
          <w:rtl/>
        </w:rPr>
        <w:t xml:space="preserve">من شعبان، ج3، ص 655.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تبيين الموضوعات، ج3، ص 671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التدهين للتزيين، ج4، ص 171.</w:t>
      </w:r>
    </w:p>
    <w:p>
      <w:pPr>
        <w:pStyle w:val="BookText"/>
      </w:pPr>
      <w:r>
        <w:rPr>
          <w:rFonts w:ascii="Amiri" w:hAnsi="Amiri" w:eastAsia="Amiri" w:cs="Amiri"/>
          <w:lang w:bidi="ar-SA"/>
          <w:color w:val="111111"/>
          <w:sz w:val="28"/>
          <w:szCs w:val="28"/>
          <w:rtl/>
        </w:rPr>
        <w:t xml:space="preserve">23 .تذكرة الموضوعات، ج 4، ص 214.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تزيين العبارة لتحسين الاشارة بالمسبحة في التشهد ج4، ص 326.</w:t>
      </w:r>
    </w:p>
    <w:p>
      <w:pPr>
        <w:pStyle w:val="BookText"/>
      </w:pPr>
      <w:r>
        <w:rPr>
          <w:rFonts w:ascii="Amiri" w:hAnsi="Amiri" w:eastAsia="Amiri" w:cs="Amiri"/>
          <w:lang w:bidi="ar-SA"/>
          <w:color w:val="111111"/>
          <w:sz w:val="28"/>
          <w:szCs w:val="28"/>
          <w:rtl/>
        </w:rPr>
        <w:t xml:space="preserve">25 .تسلية الأعمي عن بليه العمي</w:t>
      </w:r>
    </w:p>
    <w:p>
      <w:pPr>
        <w:pStyle w:val="BookText"/>
      </w:pPr>
      <w:r>
        <w:rPr>
          <w:rFonts w:ascii="IRNazanin" w:hAnsi="IRNazanin" w:eastAsia="IRNazanin" w:cs="IRNazanin"/>
          <w:lang w:bidi="fa-IR"/>
          <w:color w:val="111111"/>
          <w:sz w:val="28"/>
          <w:szCs w:val="28"/>
          <w:rtl/>
        </w:rPr>
        <w:t xml:space="preserve">ج 4، ص 341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التصريح في شأن التسريح = تسريح اللحية (رسالة في) - تفسير</w:t>
      </w:r>
    </w:p>
    <w:p>
      <w:pPr>
        <w:pStyle w:val="BookText"/>
      </w:pPr>
      <w:r>
        <w:rPr>
          <w:rFonts w:ascii="Amiri" w:hAnsi="Amiri" w:eastAsia="Amiri" w:cs="Amiri"/>
          <w:lang w:bidi="ar-SA"/>
          <w:color w:val="111111"/>
          <w:sz w:val="28"/>
          <w:szCs w:val="28"/>
          <w:rtl/>
        </w:rPr>
        <w:t xml:space="preserve">قوله تعالى يا نيي آدم خذوا زينتكم عند كل مسجد ...»، ج 4،</w:t>
      </w:r>
    </w:p>
    <w:p>
      <w:pPr>
        <w:pStyle w:val="BookText"/>
      </w:pPr>
      <w:r>
        <w:rPr>
          <w:rFonts w:ascii="IRNazanin" w:hAnsi="IRNazanin" w:eastAsia="IRNazanin" w:cs="IRNazanin"/>
          <w:lang w:bidi="fa-IR"/>
          <w:color w:val="111111"/>
          <w:sz w:val="28"/>
          <w:szCs w:val="28"/>
          <w:rtl/>
        </w:rPr>
        <w:t xml:space="preserve">ص 409.</w:t>
      </w:r>
    </w:p>
    <w:p>
      <w:pPr>
        <w:pStyle w:val="BookText"/>
      </w:pPr>
      <w:r>
        <w:rPr>
          <w:rFonts w:ascii="Amiri" w:hAnsi="Amiri" w:eastAsia="Amiri" w:cs="Amiri"/>
          <w:lang w:bidi="ar-SA"/>
          <w:color w:val="111111"/>
          <w:sz w:val="28"/>
          <w:szCs w:val="28"/>
          <w:rtl/>
        </w:rPr>
        <w:t xml:space="preserve">27 .تطهير الطوية في تحسين (تطهير)</w:t>
      </w:r>
    </w:p>
    <w:p>
      <w:pPr>
        <w:pStyle w:val="BookText"/>
      </w:pPr>
      <w:r>
        <w:rPr>
          <w:rFonts w:ascii="Amiri" w:hAnsi="Amiri" w:eastAsia="Amiri" w:cs="Amiri"/>
          <w:lang w:bidi="ar-SA"/>
          <w:color w:val="111111"/>
          <w:sz w:val="28"/>
          <w:szCs w:val="28"/>
          <w:rtl/>
        </w:rPr>
        <w:t xml:space="preserve">النية، ج 4، ص 443.</w:t>
      </w:r>
    </w:p>
    <w:p>
      <w:pPr>
        <w:pStyle w:val="BookText"/>
      </w:pPr>
      <w:r>
        <w:rPr>
          <w:rFonts w:ascii="Amiri" w:hAnsi="Amiri" w:eastAsia="Amiri" w:cs="Amiri"/>
          <w:lang w:bidi="ar-SA"/>
          <w:color w:val="111111"/>
          <w:sz w:val="28"/>
          <w:szCs w:val="28"/>
          <w:rtl/>
        </w:rPr>
        <w:t xml:space="preserve">28 .جامع الوسائل في شرح الشمائل</w:t>
      </w:r>
    </w:p>
    <w:p>
      <w:pPr>
        <w:pStyle w:val="BookText"/>
      </w:pPr>
      <w:r>
        <w:rPr>
          <w:rFonts w:ascii="IRNazanin" w:hAnsi="IRNazanin" w:eastAsia="IRNazanin" w:cs="IRNazanin"/>
          <w:lang w:bidi="fa-IR"/>
          <w:color w:val="111111"/>
          <w:sz w:val="28"/>
          <w:szCs w:val="28"/>
          <w:rtl/>
        </w:rPr>
        <w:t xml:space="preserve">ج 5، ص 353.</w:t>
      </w:r>
    </w:p>
    <w:p>
      <w:pPr>
        <w:pStyle w:val="BookText"/>
      </w:pPr>
      <w:r>
        <w:rPr>
          <w:rFonts w:ascii="Amiri" w:hAnsi="Amiri" w:eastAsia="Amiri" w:cs="Amiri"/>
          <w:lang w:bidi="ar-SA"/>
          <w:color w:val="111111"/>
          <w:sz w:val="28"/>
          <w:szCs w:val="28"/>
          <w:rtl/>
        </w:rPr>
        <w:t xml:space="preserve">29 .الجمالين على الجلالين = حاشية</w:t>
      </w:r>
    </w:p>
    <w:p>
      <w:pPr>
        <w:pStyle w:val="BookText"/>
      </w:pPr>
      <w:r>
        <w:rPr>
          <w:rFonts w:ascii="Amiri" w:hAnsi="Amiri" w:eastAsia="Amiri" w:cs="Amiri"/>
          <w:lang w:bidi="ar-SA"/>
          <w:color w:val="111111"/>
          <w:sz w:val="28"/>
          <w:szCs w:val="28"/>
          <w:rtl/>
        </w:rPr>
        <w:t xml:space="preserve">الجمالين للجلالين، ج 5، ص 422.</w:t>
      </w:r>
    </w:p>
    <w:p>
      <w:pPr>
        <w:pStyle w:val="BookText"/>
      </w:pPr>
      <w:r>
        <w:rPr>
          <w:rFonts w:ascii="Amiri" w:hAnsi="Amiri" w:eastAsia="Amiri" w:cs="Amiri"/>
          <w:lang w:bidi="ar-SA"/>
          <w:color w:val="111111"/>
          <w:sz w:val="28"/>
          <w:szCs w:val="28"/>
          <w:rtl/>
        </w:rPr>
        <w:t xml:space="preserve">30 .جمع الأربعين في فضل القرآن</w:t>
      </w:r>
    </w:p>
    <w:p>
      <w:pPr>
        <w:pStyle w:val="BookText"/>
      </w:pPr>
      <w:r>
        <w:rPr>
          <w:rFonts w:ascii="Amiri" w:hAnsi="Amiri" w:eastAsia="Amiri" w:cs="Amiri"/>
          <w:lang w:bidi="ar-SA"/>
          <w:color w:val="111111"/>
          <w:sz w:val="28"/>
          <w:szCs w:val="28"/>
          <w:rtl/>
        </w:rPr>
        <w:t xml:space="preserve">المبين، ج 5، ص 425.</w:t>
      </w:r>
    </w:p>
    <w:p>
      <w:pPr>
        <w:pStyle w:val="BookText"/>
      </w:pPr>
      <w:r>
        <w:rPr>
          <w:rFonts w:ascii="Amiri" w:hAnsi="Amiri" w:eastAsia="Amiri" w:cs="Amiri"/>
          <w:lang w:bidi="ar-SA"/>
          <w:color w:val="111111"/>
          <w:sz w:val="28"/>
          <w:szCs w:val="28"/>
          <w:rtl/>
        </w:rPr>
        <w:t xml:space="preserve">31 .جمع الوسائل في شرح الشمائل</w:t>
      </w:r>
    </w:p>
    <w:p>
      <w:pPr>
        <w:pStyle w:val="BookText"/>
      </w:pPr>
      <w:r>
        <w:rPr>
          <w:rFonts w:ascii="IRNazanin" w:hAnsi="IRNazanin" w:eastAsia="IRNazanin" w:cs="IRNazanin"/>
          <w:lang w:bidi="fa-IR"/>
          <w:color w:val="111111"/>
          <w:sz w:val="28"/>
          <w:szCs w:val="28"/>
          <w:rtl/>
        </w:rPr>
        <w:t xml:space="preserve">ج 5 ، ص 440.</w:t>
      </w:r>
    </w:p>
    <w:p>
      <w:pPr>
        <w:pStyle w:val="BookText"/>
      </w:pPr>
      <w:r>
        <w:rPr>
          <w:rFonts w:ascii="Amiri" w:hAnsi="Amiri" w:eastAsia="Amiri" w:cs="Amiri"/>
          <w:lang w:bidi="ar-SA"/>
          <w:color w:val="111111"/>
          <w:sz w:val="28"/>
          <w:szCs w:val="28"/>
          <w:rtl/>
        </w:rPr>
        <w:t xml:space="preserve">32 .جواز الصلاة على الجنازة في المسجد الحرام، ج 5، ص 518.</w:t>
      </w:r>
    </w:p>
    <w:p>
      <w:pPr>
        <w:pStyle w:val="BookText"/>
      </w:pPr>
      <w:r>
        <w:rPr>
          <w:rFonts w:ascii="Amiri" w:hAnsi="Amiri" w:eastAsia="Amiri" w:cs="Amiri"/>
          <w:lang w:bidi="ar-SA"/>
          <w:color w:val="111111"/>
          <w:sz w:val="28"/>
          <w:szCs w:val="28"/>
          <w:rtl/>
        </w:rPr>
        <w:t xml:space="preserve">33 .حاشية شرح رسالة العضدية، ج 6،</w:t>
      </w:r>
    </w:p>
    <w:p>
      <w:pPr>
        <w:pStyle w:val="BookText"/>
      </w:pPr>
      <w:r>
        <w:rPr>
          <w:rFonts w:ascii="IRNazanin" w:hAnsi="IRNazanin" w:eastAsia="IRNazanin" w:cs="IRNazanin"/>
          <w:lang w:bidi="fa-IR"/>
          <w:color w:val="111111"/>
          <w:sz w:val="28"/>
          <w:szCs w:val="28"/>
          <w:rtl/>
        </w:rPr>
        <w:t xml:space="preserve">ص 113.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الحج ( رسالة في)، ج 6 ، ص 475.</w:t>
      </w:r>
    </w:p>
    <w:p>
      <w:pPr>
        <w:pStyle w:val="BookText"/>
      </w:pPr>
      <w:r>
        <w:rPr>
          <w:rFonts w:ascii="Amiri" w:hAnsi="Amiri" w:eastAsia="Amiri" w:cs="Amiri"/>
          <w:lang w:bidi="ar-SA"/>
          <w:color w:val="111111"/>
          <w:sz w:val="28"/>
          <w:szCs w:val="28"/>
          <w:rtl/>
        </w:rPr>
        <w:t xml:space="preserve">35 .الحديث المشهور حب الهرة من</w:t>
      </w:r>
    </w:p>
    <w:p>
      <w:pPr>
        <w:pStyle w:val="BookText"/>
      </w:pPr>
      <w:r>
        <w:rPr>
          <w:rFonts w:ascii="Amiri" w:hAnsi="Amiri" w:eastAsia="Amiri" w:cs="Amiri"/>
          <w:lang w:bidi="ar-SA"/>
          <w:color w:val="111111"/>
          <w:sz w:val="28"/>
          <w:szCs w:val="28"/>
          <w:rtl/>
        </w:rPr>
        <w:t xml:space="preserve">الايمان»، ج 6، ص 579.</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الحديث (رسالة في)، ج 6 ، ص 560.</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الحديث (كتاب في)، ج 6 ، ص 560.</w:t>
      </w:r>
    </w:p>
    <w:p>
      <w:pPr>
        <w:pStyle w:val="BookText"/>
      </w:pPr>
      <w:r>
        <w:rPr>
          <w:rFonts w:ascii="Amiri" w:hAnsi="Amiri" w:eastAsia="Amiri" w:cs="Amiri"/>
          <w:lang w:bidi="ar-SA"/>
          <w:color w:val="111111"/>
          <w:sz w:val="28"/>
          <w:szCs w:val="28"/>
          <w:rtl/>
        </w:rPr>
        <w:t xml:space="preserve">38 .الحرز الثمين للحصن الحصين، ج 6،</w:t>
      </w:r>
    </w:p>
    <w:p>
      <w:pPr>
        <w:pStyle w:val="BookText"/>
      </w:pPr>
      <w:r>
        <w:rPr>
          <w:rFonts w:ascii="IRNazanin" w:hAnsi="IRNazanin" w:eastAsia="IRNazanin" w:cs="IRNazanin"/>
          <w:lang w:bidi="fa-IR"/>
          <w:color w:val="111111"/>
          <w:sz w:val="28"/>
          <w:szCs w:val="28"/>
          <w:rtl/>
        </w:rPr>
        <w:t xml:space="preserve">ص 609 .</w:t>
      </w:r>
    </w:p>
    <w:p>
      <w:pPr>
        <w:pStyle w:val="BookText"/>
      </w:pPr>
      <w:r>
        <w:rPr>
          <w:rFonts w:ascii="Amiri" w:hAnsi="Amiri" w:eastAsia="Amiri" w:cs="Amiri"/>
          <w:lang w:bidi="ar-SA"/>
          <w:color w:val="111111"/>
          <w:sz w:val="28"/>
          <w:szCs w:val="28"/>
          <w:rtl/>
        </w:rPr>
        <w:t xml:space="preserve">39 .حقوق الوالدين (رسالة في)، ج 6،</w:t>
      </w:r>
    </w:p>
    <w:p>
      <w:pPr>
        <w:pStyle w:val="BookText"/>
      </w:pPr>
      <w:r>
        <w:rPr>
          <w:rFonts w:ascii="IRNazanin" w:hAnsi="IRNazanin" w:eastAsia="IRNazanin" w:cs="IRNazanin"/>
          <w:lang w:bidi="fa-IR"/>
          <w:color w:val="111111"/>
          <w:sz w:val="28"/>
          <w:szCs w:val="28"/>
          <w:rtl/>
        </w:rPr>
        <w:t xml:space="preserve">ص 699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الدرة المضية في الزيارة المصطفوية</w:t>
      </w:r>
    </w:p>
    <w:p>
      <w:pPr>
        <w:pStyle w:val="BookText"/>
      </w:pPr>
      <w:r>
        <w:rPr>
          <w:rFonts w:ascii="IRNazanin" w:hAnsi="IRNazanin" w:eastAsia="IRNazanin" w:cs="IRNazanin"/>
          <w:lang w:bidi="fa-IR"/>
          <w:color w:val="111111"/>
          <w:sz w:val="28"/>
          <w:szCs w:val="28"/>
          <w:rtl/>
        </w:rPr>
        <w:t xml:space="preserve">ج 7، ص 257 .</w:t>
      </w:r>
    </w:p>
    <w:p>
      <w:pPr>
        <w:pStyle w:val="BookText"/>
      </w:pPr>
      <w:r>
        <w:rPr>
          <w:rFonts w:ascii="Amiri" w:hAnsi="Amiri" w:eastAsia="Amiri" w:cs="Amiri"/>
          <w:lang w:bidi="ar-SA"/>
          <w:color w:val="111111"/>
          <w:sz w:val="28"/>
          <w:szCs w:val="28"/>
          <w:rtl/>
        </w:rPr>
        <w:t xml:space="preserve">41 .الذخيرة الكبيرة في رجاء المغفرة</w:t>
      </w:r>
    </w:p>
    <w:p>
      <w:pPr>
        <w:pStyle w:val="BookText"/>
      </w:pPr>
      <w:r>
        <w:rPr>
          <w:rFonts w:ascii="Amiri" w:hAnsi="Amiri" w:eastAsia="Amiri" w:cs="Amiri"/>
          <w:lang w:bidi="ar-SA"/>
          <w:color w:val="111111"/>
          <w:sz w:val="28"/>
          <w:szCs w:val="28"/>
          <w:rtl/>
        </w:rPr>
        <w:t xml:space="preserve">الكبيرة، ج 7، ص832.</w:t>
      </w:r>
    </w:p>
    <w:p>
      <w:pPr>
        <w:pStyle w:val="BookText"/>
      </w:pPr>
      <w:r>
        <w:rPr>
          <w:rFonts w:ascii="Amiri" w:hAnsi="Amiri" w:eastAsia="Amiri" w:cs="Amiri"/>
          <w:lang w:bidi="ar-SA"/>
          <w:color w:val="111111"/>
          <w:sz w:val="28"/>
          <w:szCs w:val="28"/>
          <w:rtl/>
        </w:rPr>
        <w:t xml:space="preserve">42 .الرد على كتاب فصوص الحكم =</w:t>
      </w:r>
    </w:p>
    <w:p>
      <w:pPr>
        <w:pStyle w:val="BookText"/>
      </w:pPr>
      <w:r>
        <w:rPr>
          <w:rFonts w:ascii="IRNazanin" w:hAnsi="IRNazanin" w:eastAsia="IRNazanin" w:cs="IRNazanin"/>
          <w:lang w:bidi="fa-IR"/>
          <w:color w:val="111111"/>
          <w:sz w:val="28"/>
          <w:szCs w:val="28"/>
          <w:rtl/>
        </w:rPr>
        <w:t xml:space="preserve">رد الفصوص، ج8، ص100.</w:t>
      </w:r>
    </w:p>
    <w:p>
      <w:pPr>
        <w:pStyle w:val="BookText"/>
      </w:pPr>
      <w:r>
        <w:rPr>
          <w:rFonts w:ascii="Amiri" w:hAnsi="Amiri" w:eastAsia="Amiri" w:cs="Amiri"/>
          <w:lang w:bidi="ar-SA"/>
          <w:color w:val="111111"/>
          <w:sz w:val="28"/>
          <w:szCs w:val="28"/>
          <w:rtl/>
        </w:rPr>
        <w:t xml:space="preserve">43 .رفع الجناح و خفض الجناح باربعين حديثاً في باب النكاح، ج8،</w:t>
      </w:r>
    </w:p>
    <w:p>
      <w:pPr>
        <w:pStyle w:val="BookText"/>
      </w:pPr>
      <w:r>
        <w:rPr>
          <w:rFonts w:ascii="IRNazanin" w:hAnsi="IRNazanin" w:eastAsia="IRNazanin" w:cs="IRNazanin"/>
          <w:lang w:bidi="fa-IR"/>
          <w:color w:val="111111"/>
          <w:sz w:val="28"/>
          <w:szCs w:val="28"/>
          <w:rtl/>
        </w:rPr>
        <w:t xml:space="preserve">ص 338.</w:t>
      </w:r>
    </w:p>
    <w:p>
      <w:pPr>
        <w:pStyle w:val="BookText"/>
      </w:pPr>
      <w:r>
        <w:rPr>
          <w:rFonts w:ascii="Amiri" w:hAnsi="Amiri" w:eastAsia="Amiri" w:cs="Amiri"/>
          <w:lang w:bidi="ar-SA"/>
          <w:color w:val="111111"/>
          <w:sz w:val="28"/>
          <w:szCs w:val="28"/>
          <w:rtl/>
        </w:rPr>
        <w:t xml:space="preserve">44 .الزبدة في شرح قصيدة البردة، ج8،</w:t>
      </w:r>
    </w:p>
    <w:p>
      <w:pPr>
        <w:pStyle w:val="BookText"/>
      </w:pPr>
      <w:r>
        <w:rPr>
          <w:rFonts w:ascii="IRNazanin" w:hAnsi="IRNazanin" w:eastAsia="IRNazanin" w:cs="IRNazanin"/>
          <w:lang w:bidi="fa-IR"/>
          <w:color w:val="111111"/>
          <w:sz w:val="28"/>
          <w:szCs w:val="28"/>
          <w:rtl/>
        </w:rPr>
        <w:t xml:space="preserve">ص 587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شرح التشريح (رسالة في)، ج9،</w:t>
      </w:r>
    </w:p>
    <w:p>
      <w:pPr>
        <w:pStyle w:val="BookText"/>
      </w:pPr>
      <w:r>
        <w:rPr>
          <w:rFonts w:ascii="IRNazanin" w:hAnsi="IRNazanin" w:eastAsia="IRNazanin" w:cs="IRNazanin"/>
          <w:lang w:bidi="fa-IR"/>
          <w:color w:val="111111"/>
          <w:sz w:val="28"/>
          <w:szCs w:val="28"/>
          <w:rtl/>
        </w:rPr>
        <w:t xml:space="preserve">ص 330.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شرح الشفاء بتعريف حقوق المصطفى - رفع الخفاء عن ذات</w:t>
      </w:r>
    </w:p>
    <w:p>
      <w:pPr>
        <w:pStyle w:val="BookText"/>
      </w:pPr>
      <w:r>
        <w:rPr>
          <w:rFonts w:ascii="IRNazanin" w:hAnsi="IRNazanin" w:eastAsia="IRNazanin" w:cs="IRNazanin"/>
          <w:lang w:bidi="fa-IR"/>
          <w:color w:val="111111"/>
          <w:sz w:val="28"/>
          <w:szCs w:val="28"/>
          <w:rtl/>
        </w:rPr>
        <w:t xml:space="preserve">الشفاء، ج 9، ص 638.</w:t>
      </w:r>
    </w:p>
    <w:p>
      <w:pPr>
        <w:pStyle w:val="BookText"/>
      </w:pPr>
      <w:r>
        <w:rPr>
          <w:rFonts w:ascii="Amiri" w:hAnsi="Amiri" w:eastAsia="Amiri" w:cs="Amiri"/>
          <w:lang w:bidi="ar-SA"/>
          <w:color w:val="111111"/>
          <w:sz w:val="28"/>
          <w:szCs w:val="28"/>
          <w:rtl/>
        </w:rPr>
        <w:t xml:space="preserve">47 .شرح المقدمة الجزرية، ج 10،</w:t>
      </w:r>
    </w:p>
    <w:p>
      <w:pPr>
        <w:pStyle w:val="BookText"/>
      </w:pPr>
      <w:r>
        <w:rPr>
          <w:rFonts w:ascii="IRNazanin" w:hAnsi="IRNazanin" w:eastAsia="IRNazanin" w:cs="IRNazanin"/>
          <w:lang w:bidi="fa-IR"/>
          <w:color w:val="111111"/>
          <w:sz w:val="28"/>
          <w:szCs w:val="28"/>
          <w:rtl/>
        </w:rPr>
        <w:t xml:space="preserve">ص 193.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شرح الموطأ في الحديث، ج10،</w:t>
      </w:r>
    </w:p>
    <w:p>
      <w:pPr>
        <w:pStyle w:val="BookText"/>
      </w:pPr>
      <w:r>
        <w:rPr>
          <w:rFonts w:ascii="IRNazanin" w:hAnsi="IRNazanin" w:eastAsia="IRNazanin" w:cs="IRNazanin"/>
          <w:lang w:bidi="fa-IR"/>
          <w:color w:val="111111"/>
          <w:sz w:val="28"/>
          <w:szCs w:val="28"/>
          <w:rtl/>
        </w:rPr>
        <w:t xml:space="preserve">ص278</w:t>
      </w:r>
    </w:p>
    <w:p>
      <w:pPr>
        <w:pStyle w:val="BookText"/>
      </w:pPr>
      <w:r>
        <w:rPr>
          <w:rFonts w:ascii="Amiri" w:hAnsi="Amiri" w:eastAsia="Amiri" w:cs="Amiri"/>
          <w:lang w:bidi="ar-SA"/>
          <w:color w:val="111111"/>
          <w:sz w:val="28"/>
          <w:szCs w:val="28"/>
          <w:rtl/>
        </w:rPr>
        <w:t xml:space="preserve">49 .شرح رسالة الفاظ الكفر = شرح</w:t>
      </w:r>
    </w:p>
    <w:p>
      <w:pPr>
        <w:pStyle w:val="BookText"/>
      </w:pPr>
      <w:r>
        <w:rPr>
          <w:rFonts w:ascii="Amiri" w:hAnsi="Amiri" w:eastAsia="Amiri" w:cs="Amiri"/>
          <w:lang w:bidi="ar-SA"/>
          <w:color w:val="111111"/>
          <w:sz w:val="28"/>
          <w:szCs w:val="28"/>
          <w:rtl/>
        </w:rPr>
        <w:t xml:space="preserve">رسالة بدر الرشيد في المكفرات ج 9، ص 527.</w:t>
      </w:r>
    </w:p>
    <w:p>
      <w:pPr>
        <w:pStyle w:val="BookText"/>
      </w:pPr>
      <w:r>
        <w:rPr>
          <w:rFonts w:ascii="Amiri" w:hAnsi="Amiri" w:eastAsia="Amiri" w:cs="Amiri"/>
          <w:lang w:bidi="ar-SA"/>
          <w:color w:val="111111"/>
          <w:sz w:val="28"/>
          <w:szCs w:val="28"/>
          <w:rtl/>
        </w:rPr>
        <w:t xml:space="preserve">50 .شرح شرح نخبة الفكر في مصطلح</w:t>
      </w:r>
    </w:p>
    <w:p>
      <w:pPr>
        <w:pStyle w:val="BookText"/>
      </w:pPr>
      <w:r>
        <w:rPr>
          <w:rFonts w:ascii="IRNazanin" w:hAnsi="IRNazanin" w:eastAsia="IRNazanin" w:cs="IRNazanin"/>
          <w:lang w:bidi="fa-IR"/>
          <w:color w:val="111111"/>
          <w:sz w:val="28"/>
          <w:szCs w:val="28"/>
          <w:rtl/>
        </w:rPr>
        <w:t xml:space="preserve">اهل الاثر، ج9، ص 635.</w:t>
      </w:r>
    </w:p>
    <w:p>
      <w:pPr>
        <w:pStyle w:val="BookText"/>
      </w:pPr>
      <w:r>
        <w:rPr>
          <w:rFonts w:ascii="Amiri" w:hAnsi="Amiri" w:eastAsia="Amiri" w:cs="Amiri"/>
          <w:lang w:bidi="ar-SA"/>
          <w:color w:val="111111"/>
          <w:sz w:val="28"/>
          <w:szCs w:val="28"/>
          <w:rtl/>
        </w:rPr>
        <w:t xml:space="preserve">51 .شرح مسند أبي حنيفة، ج10،</w:t>
      </w:r>
    </w:p>
    <w:p>
      <w:pPr>
        <w:pStyle w:val="BookText"/>
      </w:pPr>
      <w:r>
        <w:rPr>
          <w:rFonts w:ascii="IRNazanin" w:hAnsi="IRNazanin" w:eastAsia="IRNazanin" w:cs="IRNazanin"/>
          <w:lang w:bidi="fa-IR"/>
          <w:color w:val="111111"/>
          <w:sz w:val="28"/>
          <w:szCs w:val="28"/>
          <w:rtl/>
        </w:rPr>
        <w:t xml:space="preserve">ص 137.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شرح مناسك السندي، ج10،</w:t>
      </w:r>
    </w:p>
    <w:p>
      <w:pPr>
        <w:pStyle w:val="BookText"/>
      </w:pPr>
      <w:r>
        <w:rPr>
          <w:rFonts w:ascii="IRNazanin" w:hAnsi="IRNazanin" w:eastAsia="IRNazanin" w:cs="IRNazanin"/>
          <w:lang w:bidi="fa-IR"/>
          <w:color w:val="111111"/>
          <w:sz w:val="28"/>
          <w:szCs w:val="28"/>
          <w:rtl/>
        </w:rPr>
        <w:t xml:space="preserve">ص 235.</w:t>
      </w:r>
    </w:p>
    <w:p>
      <w:pPr>
        <w:pStyle w:val="BookText"/>
      </w:pPr>
      <w:r>
        <w:rPr>
          <w:rFonts w:ascii="Amiri" w:hAnsi="Amiri" w:eastAsia="Amiri" w:cs="Amiri"/>
          <w:lang w:bidi="ar-SA"/>
          <w:color w:val="111111"/>
          <w:sz w:val="28"/>
          <w:szCs w:val="28"/>
          <w:rtl/>
        </w:rPr>
        <w:t xml:space="preserve">53 .شرح نخبة الفكر في مصطلح اهل</w:t>
      </w:r>
    </w:p>
    <w:p>
      <w:pPr>
        <w:pStyle w:val="BookText"/>
      </w:pPr>
      <w:r>
        <w:rPr>
          <w:rFonts w:ascii="IRNazanin" w:hAnsi="IRNazanin" w:eastAsia="IRNazanin" w:cs="IRNazanin"/>
          <w:lang w:bidi="fa-IR"/>
          <w:color w:val="111111"/>
          <w:sz w:val="28"/>
          <w:szCs w:val="28"/>
          <w:rtl/>
        </w:rPr>
        <w:t xml:space="preserve">الاثر، ج 10، ص283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شم العوارض في ذم الروافض</w:t>
      </w:r>
    </w:p>
    <w:p>
      <w:pPr>
        <w:pStyle w:val="BookText"/>
      </w:pPr>
      <w:r>
        <w:rPr>
          <w:rFonts w:ascii="IRNazanin" w:hAnsi="IRNazanin" w:eastAsia="IRNazanin" w:cs="IRNazanin"/>
          <w:lang w:bidi="fa-IR"/>
          <w:color w:val="111111"/>
          <w:sz w:val="28"/>
          <w:szCs w:val="28"/>
          <w:rtl/>
        </w:rPr>
        <w:t xml:space="preserve">ج 10، ص 422 .</w:t>
      </w:r>
    </w:p>
    <w:p>
      <w:pPr>
        <w:pStyle w:val="BookText"/>
      </w:pPr>
      <w:r>
        <w:rPr>
          <w:rFonts w:ascii="Amiri" w:hAnsi="Amiri" w:eastAsia="Amiri" w:cs="Amiri"/>
          <w:lang w:bidi="ar-SA"/>
          <w:color w:val="111111"/>
          <w:sz w:val="28"/>
          <w:szCs w:val="28"/>
          <w:rtl/>
        </w:rPr>
        <w:t xml:space="preserve">55 .ضوء المعالي لبدء الامالي = شرح بدء الامالي، ج 10، ص 702.</w:t>
      </w:r>
    </w:p>
    <w:p>
      <w:pPr>
        <w:pStyle w:val="BookText"/>
      </w:pPr>
      <w:r>
        <w:rPr>
          <w:rFonts w:ascii="Amiri" w:hAnsi="Amiri" w:eastAsia="Amiri" w:cs="Amiri"/>
          <w:lang w:bidi="ar-SA"/>
          <w:color w:val="111111"/>
          <w:sz w:val="28"/>
          <w:szCs w:val="28"/>
          <w:rtl/>
        </w:rPr>
        <w:t xml:space="preserve">56 .طباقات الفقهاء الحنفية = طبقات</w:t>
      </w:r>
    </w:p>
    <w:p>
      <w:pPr>
        <w:pStyle w:val="BookText"/>
      </w:pPr>
      <w:r>
        <w:rPr>
          <w:rFonts w:ascii="IRNazanin" w:hAnsi="IRNazanin" w:eastAsia="IRNazanin" w:cs="IRNazanin"/>
          <w:lang w:bidi="fa-IR"/>
          <w:color w:val="111111"/>
          <w:sz w:val="28"/>
          <w:szCs w:val="28"/>
          <w:rtl/>
        </w:rPr>
        <w:t xml:space="preserve">الاحناف، ج10، ص 763.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العمامة كمية و كيفية( رسالة في)،</w:t>
      </w:r>
    </w:p>
    <w:p>
      <w:pPr>
        <w:pStyle w:val="BookText"/>
      </w:pPr>
      <w:r>
        <w:rPr>
          <w:rFonts w:ascii="IRNazanin" w:hAnsi="IRNazanin" w:eastAsia="IRNazanin" w:cs="IRNazanin"/>
          <w:lang w:bidi="fa-IR"/>
          <w:color w:val="111111"/>
          <w:sz w:val="28"/>
          <w:szCs w:val="28"/>
          <w:rtl/>
        </w:rPr>
        <w:t xml:space="preserve">ج 11، ص 285.</w:t>
      </w:r>
    </w:p>
    <w:p>
      <w:pPr>
        <w:pStyle w:val="BookText"/>
      </w:pPr>
      <w:r>
        <w:rPr>
          <w:rFonts w:ascii="Amiri" w:hAnsi="Amiri" w:eastAsia="Amiri" w:cs="Amiri"/>
          <w:lang w:bidi="ar-SA"/>
          <w:color w:val="111111"/>
          <w:sz w:val="28"/>
          <w:szCs w:val="28"/>
          <w:rtl/>
        </w:rPr>
        <w:t xml:space="preserve">58 .فتح الاسماع في شرح السماع =</w:t>
      </w:r>
    </w:p>
    <w:p>
      <w:pPr>
        <w:pStyle w:val="BookText"/>
      </w:pPr>
      <w:r>
        <w:rPr>
          <w:rFonts w:ascii="Amiri" w:hAnsi="Amiri" w:eastAsia="Amiri" w:cs="Amiri"/>
          <w:lang w:bidi="ar-SA"/>
          <w:color w:val="111111"/>
          <w:sz w:val="28"/>
          <w:szCs w:val="28"/>
          <w:rtl/>
        </w:rPr>
        <w:t xml:space="preserve">سماع الغناء (رسالة في)، ج11،</w:t>
      </w:r>
    </w:p>
    <w:p>
      <w:pPr>
        <w:pStyle w:val="BookText"/>
      </w:pPr>
      <w:r>
        <w:rPr>
          <w:rFonts w:ascii="IRNazanin" w:hAnsi="IRNazanin" w:eastAsia="IRNazanin" w:cs="IRNazanin"/>
          <w:lang w:bidi="fa-IR"/>
          <w:color w:val="111111"/>
          <w:sz w:val="28"/>
          <w:szCs w:val="28"/>
          <w:rtl/>
        </w:rPr>
        <w:t xml:space="preserve">ص 631 .</w:t>
      </w:r>
    </w:p>
    <w:p>
      <w:pPr>
        <w:pStyle w:val="BookText"/>
      </w:pPr>
      <w:r>
        <w:rPr>
          <w:rFonts w:ascii="Amiri" w:hAnsi="Amiri" w:eastAsia="Amiri" w:cs="Amiri"/>
          <w:lang w:bidi="ar-SA"/>
          <w:color w:val="111111"/>
          <w:sz w:val="28"/>
          <w:szCs w:val="28"/>
          <w:rtl/>
        </w:rPr>
        <w:t xml:space="preserve">59 .فتح باب الإسعاد في شرح بانت</w:t>
      </w:r>
    </w:p>
    <w:p>
      <w:pPr>
        <w:pStyle w:val="BookText"/>
      </w:pPr>
      <w:r>
        <w:rPr>
          <w:rFonts w:ascii="IRNazanin" w:hAnsi="IRNazanin" w:eastAsia="IRNazanin" w:cs="IRNazanin"/>
          <w:lang w:bidi="fa-IR"/>
          <w:color w:val="111111"/>
          <w:sz w:val="28"/>
          <w:szCs w:val="28"/>
          <w:rtl/>
        </w:rPr>
        <w:t xml:space="preserve">سعاد، ج 11، ص 633.</w:t>
      </w:r>
    </w:p>
    <w:p>
      <w:pPr>
        <w:pStyle w:val="BookText"/>
      </w:pPr>
      <w:r>
        <w:rPr>
          <w:rFonts w:ascii="Amiri" w:hAnsi="Amiri" w:eastAsia="Amiri" w:cs="Amiri"/>
          <w:lang w:bidi="ar-SA"/>
          <w:color w:val="111111"/>
          <w:sz w:val="28"/>
          <w:szCs w:val="28"/>
          <w:rtl/>
        </w:rPr>
        <w:t xml:space="preserve">60 .فتوى بشأن الزواج بالتوكيل، ج11،</w:t>
      </w:r>
    </w:p>
    <w:p>
      <w:pPr>
        <w:pStyle w:val="BookText"/>
      </w:pPr>
      <w:r>
        <w:rPr>
          <w:rFonts w:ascii="IRNazanin" w:hAnsi="IRNazanin" w:eastAsia="IRNazanin" w:cs="IRNazanin"/>
          <w:lang w:bidi="fa-IR"/>
          <w:color w:val="111111"/>
          <w:sz w:val="28"/>
          <w:szCs w:val="28"/>
          <w:rtl/>
        </w:rPr>
        <w:t xml:space="preserve">ص 716.</w:t>
      </w:r>
    </w:p>
    <w:p>
      <w:pPr>
        <w:pStyle w:val="BookText"/>
      </w:pPr>
      <w:r>
        <w:rPr>
          <w:rFonts w:ascii="Amiri" w:hAnsi="Amiri" w:eastAsia="Amiri" w:cs="Amiri"/>
          <w:lang w:bidi="ar-SA"/>
          <w:color w:val="111111"/>
          <w:sz w:val="28"/>
          <w:szCs w:val="28"/>
          <w:rtl/>
        </w:rPr>
        <w:t xml:space="preserve">61 .فرائد القلائد في أحاديث شرح</w:t>
      </w:r>
    </w:p>
    <w:p>
      <w:pPr>
        <w:pStyle w:val="BookText"/>
      </w:pPr>
      <w:r>
        <w:rPr>
          <w:rFonts w:ascii="IRNazanin" w:hAnsi="IRNazanin" w:eastAsia="IRNazanin" w:cs="IRNazanin"/>
          <w:lang w:bidi="fa-IR"/>
          <w:color w:val="111111"/>
          <w:sz w:val="28"/>
          <w:szCs w:val="28"/>
          <w:rtl/>
        </w:rPr>
        <w:t xml:space="preserve">العقائد، ج 11، ص 741.</w:t>
      </w:r>
    </w:p>
    <w:p>
      <w:pPr>
        <w:pStyle w:val="BookText"/>
      </w:pPr>
      <w:r>
        <w:rPr>
          <w:rFonts w:ascii="Amiri" w:hAnsi="Amiri" w:eastAsia="Amiri" w:cs="Amiri"/>
          <w:lang w:bidi="ar-SA"/>
          <w:color w:val="111111"/>
          <w:sz w:val="28"/>
          <w:szCs w:val="28"/>
          <w:rtl/>
        </w:rPr>
        <w:t xml:space="preserve">62 . فر العون ممن مدعي ايمان فرعون، ج 11، ص 786.</w:t>
      </w:r>
    </w:p>
    <w:p>
      <w:pPr>
        <w:pStyle w:val="BookText"/>
      </w:pPr>
      <w:r>
        <w:rPr>
          <w:rFonts w:ascii="Amiri" w:hAnsi="Amiri" w:eastAsia="Amiri" w:cs="Amiri"/>
          <w:lang w:bidi="ar-SA"/>
          <w:color w:val="111111"/>
          <w:sz w:val="28"/>
          <w:szCs w:val="28"/>
          <w:rtl/>
        </w:rPr>
        <w:t xml:space="preserve">63 .الفصول المهمة في الحصول المتمة</w:t>
      </w:r>
    </w:p>
    <w:p>
      <w:pPr>
        <w:pStyle w:val="BookText"/>
      </w:pPr>
      <w:r>
        <w:rPr>
          <w:rFonts w:ascii="IRNazanin" w:hAnsi="IRNazanin" w:eastAsia="IRNazanin" w:cs="IRNazanin"/>
          <w:lang w:bidi="fa-IR"/>
          <w:color w:val="111111"/>
          <w:sz w:val="28"/>
          <w:szCs w:val="28"/>
          <w:rtl/>
        </w:rPr>
        <w:t xml:space="preserve">ج 11 ، ص 866.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الفقه (رسالة في)، ج 12، ص 42.</w:t>
      </w:r>
    </w:p>
    <w:p>
      <w:pPr>
        <w:pStyle w:val="BookText"/>
      </w:pPr>
      <w:r>
        <w:rPr>
          <w:rFonts w:ascii="Amiri" w:hAnsi="Amiri" w:eastAsia="Amiri" w:cs="Amiri"/>
          <w:lang w:bidi="ar-SA"/>
          <w:color w:val="111111"/>
          <w:sz w:val="28"/>
          <w:szCs w:val="28"/>
          <w:rtl/>
        </w:rPr>
        <w:t xml:space="preserve">65 .فهرس مؤلفات علي بن سلطان</w:t>
      </w:r>
    </w:p>
    <w:p>
      <w:pPr>
        <w:pStyle w:val="BookText"/>
      </w:pPr>
      <w:r>
        <w:rPr>
          <w:rFonts w:ascii="Amiri" w:hAnsi="Amiri" w:eastAsia="Amiri" w:cs="Amiri"/>
          <w:lang w:bidi="ar-SA"/>
          <w:color w:val="111111"/>
          <w:sz w:val="28"/>
          <w:szCs w:val="28"/>
          <w:rtl/>
        </w:rPr>
        <w:t xml:space="preserve">محمد الهروي، ج 12، ص 165.</w:t>
      </w:r>
    </w:p>
    <w:p>
      <w:pPr>
        <w:pStyle w:val="BookText"/>
      </w:pPr>
      <w:r>
        <w:rPr>
          <w:rFonts w:ascii="Amiri" w:hAnsi="Amiri" w:eastAsia="Amiri" w:cs="Amiri"/>
          <w:lang w:bidi="ar-SA"/>
          <w:color w:val="111111"/>
          <w:sz w:val="28"/>
          <w:szCs w:val="28"/>
          <w:rtl/>
        </w:rPr>
        <w:t xml:space="preserve">66 . فهم المعلوم في شرح عين العلم و</w:t>
      </w:r>
    </w:p>
    <w:p>
      <w:pPr>
        <w:pStyle w:val="BookText"/>
      </w:pPr>
      <w:r>
        <w:rPr>
          <w:rFonts w:ascii="Amiri" w:hAnsi="Amiri" w:eastAsia="Amiri" w:cs="Amiri"/>
          <w:lang w:bidi="ar-SA"/>
          <w:color w:val="111111"/>
          <w:sz w:val="28"/>
          <w:szCs w:val="28"/>
          <w:rtl/>
        </w:rPr>
        <w:t xml:space="preserve">زين الحلم، ج 12، ص 165.</w:t>
      </w:r>
    </w:p>
    <w:p>
      <w:pPr>
        <w:pStyle w:val="BookText"/>
      </w:pPr>
      <w:r>
        <w:rPr>
          <w:rFonts w:ascii="Amiri" w:hAnsi="Amiri" w:eastAsia="Amiri" w:cs="Amiri"/>
          <w:lang w:bidi="ar-SA"/>
          <w:color w:val="111111"/>
          <w:sz w:val="28"/>
          <w:szCs w:val="28"/>
          <w:rtl/>
        </w:rPr>
        <w:t xml:space="preserve">67 .الفيض الاحم والفتح الاكرم على</w:t>
      </w:r>
    </w:p>
    <w:p>
      <w:pPr>
        <w:pStyle w:val="BookText"/>
      </w:pPr>
      <w:r>
        <w:rPr>
          <w:rFonts w:ascii="IRNazanin" w:hAnsi="IRNazanin" w:eastAsia="IRNazanin" w:cs="IRNazanin"/>
          <w:lang w:bidi="fa-IR"/>
          <w:color w:val="111111"/>
          <w:sz w:val="28"/>
          <w:szCs w:val="28"/>
          <w:rtl/>
        </w:rPr>
        <w:t xml:space="preserve">الحزب الاعظم و الورد الافخم</w:t>
      </w:r>
    </w:p>
    <w:p>
      <w:pPr>
        <w:pStyle w:val="BookText"/>
      </w:pPr>
      <w:r>
        <w:rPr>
          <w:rFonts w:ascii="IRNazanin" w:hAnsi="IRNazanin" w:eastAsia="IRNazanin" w:cs="IRNazanin"/>
          <w:lang w:bidi="fa-IR"/>
          <w:color w:val="111111"/>
          <w:sz w:val="28"/>
          <w:szCs w:val="28"/>
          <w:rtl/>
        </w:rPr>
        <w:t xml:space="preserve">ج 12، ص 305.</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القول المعمول في الصف الاول</w:t>
      </w:r>
    </w:p>
    <w:p>
      <w:pPr>
        <w:pStyle w:val="BookText"/>
      </w:pPr>
      <w:r>
        <w:rPr>
          <w:rFonts w:ascii="IRNazanin" w:hAnsi="IRNazanin" w:eastAsia="IRNazanin" w:cs="IRNazanin"/>
          <w:lang w:bidi="fa-IR"/>
          <w:color w:val="111111"/>
          <w:sz w:val="28"/>
          <w:szCs w:val="28"/>
          <w:rtl/>
        </w:rPr>
        <w:t xml:space="preserve">ج 12، ص 863.</w:t>
      </w:r>
    </w:p>
    <w:p>
      <w:pPr>
        <w:pStyle w:val="BookText"/>
      </w:pPr>
      <w:r>
        <w:rPr>
          <w:rFonts w:ascii="Amiri" w:hAnsi="Amiri" w:eastAsia="Amiri" w:cs="Amiri"/>
          <w:lang w:bidi="ar-SA"/>
          <w:color w:val="111111"/>
          <w:sz w:val="28"/>
          <w:szCs w:val="28"/>
          <w:rtl/>
        </w:rPr>
        <w:t xml:space="preserve">69 .كشف الخدر عن امر الخضر = احوال الخضر عليه السلام، ج13،</w:t>
      </w:r>
    </w:p>
    <w:p>
      <w:pPr>
        <w:pStyle w:val="BookText"/>
      </w:pPr>
      <w:r>
        <w:rPr>
          <w:rFonts w:ascii="IRNazanin" w:hAnsi="IRNazanin" w:eastAsia="IRNazanin" w:cs="IRNazanin"/>
          <w:lang w:bidi="fa-IR"/>
          <w:color w:val="111111"/>
          <w:sz w:val="28"/>
          <w:szCs w:val="28"/>
          <w:rtl/>
        </w:rPr>
        <w:t xml:space="preserve">ص208.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الكلام في مسائل عبدالله بن سلام،</w:t>
      </w:r>
    </w:p>
    <w:p>
      <w:pPr>
        <w:pStyle w:val="BookText"/>
      </w:pPr>
      <w:r>
        <w:rPr>
          <w:rFonts w:ascii="IRNazanin" w:hAnsi="IRNazanin" w:eastAsia="IRNazanin" w:cs="IRNazanin"/>
          <w:lang w:bidi="fa-IR"/>
          <w:color w:val="111111"/>
          <w:sz w:val="28"/>
          <w:szCs w:val="28"/>
          <w:rtl/>
        </w:rPr>
        <w:t xml:space="preserve">ج 13، ص 359.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ليلة النصف من شعبان وليلة القدر (رسالة في)، ج 13، ص 666.</w:t>
      </w:r>
    </w:p>
    <w:p>
      <w:pPr>
        <w:pStyle w:val="BookText"/>
      </w:pPr>
      <w:r>
        <w:rPr>
          <w:rFonts w:ascii="Amiri" w:hAnsi="Amiri" w:eastAsia="Amiri" w:cs="Amiri"/>
          <w:lang w:bidi="ar-SA"/>
          <w:color w:val="111111"/>
          <w:sz w:val="28"/>
          <w:szCs w:val="28"/>
          <w:rtl/>
        </w:rPr>
        <w:t xml:space="preserve">72 .المبين المعين للاحاديث الاربعين</w:t>
      </w:r>
    </w:p>
    <w:p>
      <w:pPr>
        <w:pStyle w:val="BookText"/>
      </w:pPr>
      <w:r>
        <w:rPr>
          <w:rFonts w:ascii="Amiri" w:hAnsi="Amiri" w:eastAsia="Amiri" w:cs="Amiri"/>
          <w:lang w:bidi="ar-SA"/>
          <w:color w:val="111111"/>
          <w:sz w:val="28"/>
          <w:szCs w:val="28"/>
          <w:rtl/>
        </w:rPr>
        <w:t xml:space="preserve">للنووي، ج 13، ص 744.</w:t>
      </w:r>
    </w:p>
    <w:p>
      <w:pPr>
        <w:pStyle w:val="BookText"/>
      </w:pPr>
      <w:r>
        <w:rPr>
          <w:rFonts w:ascii="Amiri" w:hAnsi="Amiri" w:eastAsia="Amiri" w:cs="Amiri"/>
          <w:lang w:bidi="ar-SA"/>
          <w:color w:val="111111"/>
          <w:sz w:val="28"/>
          <w:szCs w:val="28"/>
          <w:rtl/>
        </w:rPr>
        <w:t xml:space="preserve">73 .مرقاة المفاتيح في شرح مشكاة</w:t>
      </w:r>
    </w:p>
    <w:p>
      <w:pPr>
        <w:pStyle w:val="BookText"/>
      </w:pPr>
      <w:r>
        <w:rPr>
          <w:rFonts w:ascii="Amiri" w:hAnsi="Amiri" w:eastAsia="Amiri" w:cs="Amiri"/>
          <w:lang w:bidi="ar-SA"/>
          <w:color w:val="111111"/>
          <w:sz w:val="28"/>
          <w:szCs w:val="28"/>
          <w:rtl/>
        </w:rPr>
        <w:t xml:space="preserve">المصابيح، ج 14، ص 405.</w:t>
      </w:r>
    </w:p>
    <w:p>
      <w:pPr>
        <w:pStyle w:val="BookText"/>
      </w:pPr>
      <w:r>
        <w:rPr>
          <w:rFonts w:ascii="Amiri" w:hAnsi="Amiri" w:eastAsia="Amiri" w:cs="Amiri"/>
          <w:lang w:bidi="ar-SA"/>
          <w:color w:val="111111"/>
          <w:sz w:val="28"/>
          <w:szCs w:val="28"/>
          <w:rtl/>
        </w:rPr>
        <w:t xml:space="preserve">74 .مسائل في القراءات، ج 14 ، ص 476 .</w:t>
      </w:r>
    </w:p>
    <w:p>
      <w:pPr>
        <w:pStyle w:val="BookText"/>
      </w:pPr>
      <w:r>
        <w:rPr>
          <w:rFonts w:ascii="Amiri" w:hAnsi="Amiri" w:eastAsia="Amiri" w:cs="Amiri"/>
          <w:lang w:bidi="ar-SA"/>
          <w:color w:val="111111"/>
          <w:sz w:val="28"/>
          <w:szCs w:val="28"/>
          <w:rtl/>
        </w:rPr>
        <w:t xml:space="preserve">75 .المسألة في شرح البسملة، ج 14،</w:t>
      </w:r>
    </w:p>
    <w:p>
      <w:pPr>
        <w:pStyle w:val="BookText"/>
      </w:pPr>
      <w:r>
        <w:rPr>
          <w:rFonts w:ascii="IRNazanin" w:hAnsi="IRNazanin" w:eastAsia="IRNazanin" w:cs="IRNazanin"/>
          <w:lang w:bidi="fa-IR"/>
          <w:color w:val="111111"/>
          <w:sz w:val="28"/>
          <w:szCs w:val="28"/>
          <w:rtl/>
        </w:rPr>
        <w:t xml:space="preserve">ص 543.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المسلك المتقسط في المنسك</w:t>
      </w:r>
    </w:p>
    <w:p>
      <w:pPr>
        <w:pStyle w:val="BookText"/>
      </w:pPr>
      <w:r>
        <w:rPr>
          <w:rFonts w:ascii="Amiri" w:hAnsi="Amiri" w:eastAsia="Amiri" w:cs="Amiri"/>
          <w:lang w:bidi="ar-SA"/>
          <w:color w:val="111111"/>
          <w:sz w:val="28"/>
          <w:szCs w:val="28"/>
          <w:rtl/>
        </w:rPr>
        <w:t xml:space="preserve">المتوسط في شرح لباب المناسك</w:t>
      </w:r>
    </w:p>
    <w:p>
      <w:pPr>
        <w:pStyle w:val="BookText"/>
      </w:pPr>
      <w:r>
        <w:rPr>
          <w:rFonts w:ascii="Amiri" w:hAnsi="Amiri" w:eastAsia="Amiri" w:cs="Amiri"/>
          <w:lang w:bidi="ar-SA"/>
          <w:color w:val="111111"/>
          <w:sz w:val="28"/>
          <w:szCs w:val="28"/>
          <w:rtl/>
        </w:rPr>
        <w:t xml:space="preserve">حب عباب المسالك، ج 14، ص 584.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المشرب الوردي في مذهب المهدي</w:t>
      </w:r>
    </w:p>
    <w:p>
      <w:pPr>
        <w:pStyle w:val="BookText"/>
      </w:pPr>
      <w:r>
        <w:rPr>
          <w:rFonts w:ascii="IRNazanin" w:hAnsi="IRNazanin" w:eastAsia="IRNazanin" w:cs="IRNazanin"/>
          <w:lang w:bidi="fa-IR"/>
          <w:color w:val="111111"/>
          <w:sz w:val="28"/>
          <w:szCs w:val="28"/>
          <w:rtl/>
        </w:rPr>
        <w:t xml:space="preserve">ج 14، ص 625.</w:t>
      </w:r>
    </w:p>
    <w:p>
      <w:pPr>
        <w:pStyle w:val="BookText"/>
      </w:pPr>
      <w:r>
        <w:rPr>
          <w:rFonts w:ascii="Amiri" w:hAnsi="Amiri" w:eastAsia="Amiri" w:cs="Amiri"/>
          <w:lang w:bidi="ar-SA"/>
          <w:color w:val="111111"/>
          <w:sz w:val="28"/>
          <w:szCs w:val="28"/>
          <w:rtl/>
        </w:rPr>
        <w:t xml:space="preserve">78 .المصافحة بعد الصلاة (رسالة في)</w:t>
      </w:r>
    </w:p>
    <w:p>
      <w:pPr>
        <w:pStyle w:val="BookText"/>
      </w:pPr>
      <w:r>
        <w:rPr>
          <w:rFonts w:ascii="IRNazanin" w:hAnsi="IRNazanin" w:eastAsia="IRNazanin" w:cs="IRNazanin"/>
          <w:lang w:bidi="fa-IR"/>
          <w:color w:val="111111"/>
          <w:sz w:val="28"/>
          <w:szCs w:val="28"/>
          <w:rtl/>
        </w:rPr>
        <w:t xml:space="preserve">ج 14، ص 696 .</w:t>
      </w:r>
    </w:p>
    <w:p>
      <w:pPr>
        <w:pStyle w:val="BookText"/>
      </w:pPr>
      <w:r>
        <w:rPr>
          <w:rFonts w:ascii="Amiri" w:hAnsi="Amiri" w:eastAsia="Amiri" w:cs="Amiri"/>
          <w:lang w:bidi="ar-SA"/>
          <w:color w:val="111111"/>
          <w:sz w:val="28"/>
          <w:szCs w:val="28"/>
          <w:rtl/>
        </w:rPr>
        <w:t xml:space="preserve">79 .مصطلحات اهل الاثر على شرح نخبة الفكر، ج 14، ص 746.</w:t>
      </w:r>
    </w:p>
    <w:p>
      <w:pPr>
        <w:pStyle w:val="BookText"/>
      </w:pPr>
      <w:r>
        <w:rPr>
          <w:rFonts w:ascii="Amiri" w:hAnsi="Amiri" w:eastAsia="Amiri" w:cs="Amiri"/>
          <w:lang w:bidi="ar-SA"/>
          <w:color w:val="111111"/>
          <w:sz w:val="28"/>
          <w:szCs w:val="28"/>
          <w:rtl/>
        </w:rPr>
        <w:t xml:space="preserve">80 .المصنوع في معرفة الحديث الموضوع : الموضوعات الصغرى</w:t>
      </w:r>
    </w:p>
    <w:p>
      <w:pPr>
        <w:pStyle w:val="BookText"/>
      </w:pPr>
      <w:r>
        <w:rPr>
          <w:rFonts w:ascii="IRNazanin" w:hAnsi="IRNazanin" w:eastAsia="IRNazanin" w:cs="IRNazanin"/>
          <w:lang w:bidi="fa-IR"/>
          <w:color w:val="111111"/>
          <w:sz w:val="28"/>
          <w:szCs w:val="28"/>
          <w:rtl/>
        </w:rPr>
        <w:t xml:space="preserve">ج 14، ص 752 .</w:t>
      </w:r>
    </w:p>
    <w:p>
      <w:pPr>
        <w:pStyle w:val="BookText"/>
      </w:pPr>
      <w:r>
        <w:rPr>
          <w:rFonts w:ascii="Amiri" w:hAnsi="Amiri" w:eastAsia="Amiri" w:cs="Amiri"/>
          <w:lang w:bidi="ar-SA"/>
          <w:color w:val="111111"/>
          <w:sz w:val="28"/>
          <w:szCs w:val="28"/>
          <w:rtl/>
        </w:rPr>
        <w:t xml:space="preserve">81 .معرفة النساك في فضيلة المسواك</w:t>
      </w:r>
    </w:p>
    <w:p>
      <w:pPr>
        <w:pStyle w:val="BookText"/>
      </w:pPr>
      <w:r>
        <w:rPr>
          <w:rFonts w:ascii="IRNazanin" w:hAnsi="IRNazanin" w:eastAsia="IRNazanin" w:cs="IRNazanin"/>
          <w:lang w:bidi="fa-IR"/>
          <w:color w:val="111111"/>
          <w:sz w:val="28"/>
          <w:szCs w:val="28"/>
          <w:rtl/>
        </w:rPr>
        <w:t xml:space="preserve">ج 15، ص 73.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المقاصد المحسنة فيما يدور من</w:t>
      </w:r>
    </w:p>
    <w:p>
      <w:pPr>
        <w:pStyle w:val="BookText"/>
      </w:pPr>
      <w:r>
        <w:rPr>
          <w:rFonts w:ascii="Amiri" w:hAnsi="Amiri" w:eastAsia="Amiri" w:cs="Amiri"/>
          <w:lang w:bidi="ar-SA"/>
          <w:color w:val="111111"/>
          <w:sz w:val="28"/>
          <w:szCs w:val="28"/>
          <w:rtl/>
        </w:rPr>
        <w:t xml:space="preserve">الأحاديث على الألسنة، ج 15</w:t>
      </w:r>
    </w:p>
    <w:p>
      <w:pPr>
        <w:pStyle w:val="BookText"/>
      </w:pPr>
      <w:r>
        <w:rPr>
          <w:rFonts w:ascii="IRNazanin" w:hAnsi="IRNazanin" w:eastAsia="IRNazanin" w:cs="IRNazanin"/>
          <w:lang w:bidi="fa-IR"/>
          <w:color w:val="111111"/>
          <w:sz w:val="28"/>
          <w:szCs w:val="28"/>
          <w:rtl/>
        </w:rPr>
        <w:t xml:space="preserve">ص 276 .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864" w:name="pg7742_71009"/>
    <w:bookmarkEnd w:id="864"/>
    <w:p>
      <w:pPr>
        <w:pStyle w:val="BookText"/>
      </w:pPr>
      <w:r>
        <w:rPr>
          <w:rFonts w:ascii="Amiri" w:hAnsi="Amiri" w:eastAsia="Amiri" w:cs="Amiri"/>
          <w:lang w:bidi="ar-SA"/>
          <w:color w:val="111111"/>
          <w:sz w:val="28"/>
          <w:szCs w:val="28"/>
          <w:rtl/>
        </w:rPr>
        <w:t xml:space="preserve">83 .المقالة العذبة في العمامة و</w:t>
      </w:r>
    </w:p>
    <w:p>
      <w:pPr>
        <w:pStyle w:val="BookText"/>
      </w:pPr>
      <w:r>
        <w:rPr>
          <w:rFonts w:ascii="Amiri" w:hAnsi="Amiri" w:eastAsia="Amiri" w:cs="Amiri"/>
          <w:lang w:bidi="ar-SA"/>
          <w:color w:val="111111"/>
          <w:sz w:val="28"/>
          <w:szCs w:val="28"/>
          <w:rtl/>
        </w:rPr>
        <w:t xml:space="preserve">العذبة، ج 15، ص 284.</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مقامة الاربعين حديثا، ج 15،</w:t>
      </w:r>
    </w:p>
    <w:p>
      <w:pPr>
        <w:pStyle w:val="BookText"/>
      </w:pPr>
      <w:r>
        <w:rPr>
          <w:rFonts w:ascii="IRNazanin" w:hAnsi="IRNazanin" w:eastAsia="IRNazanin" w:cs="IRNazanin"/>
          <w:lang w:bidi="fa-IR"/>
          <w:color w:val="111111"/>
          <w:sz w:val="28"/>
          <w:szCs w:val="28"/>
          <w:rtl/>
        </w:rPr>
        <w:t xml:space="preserve">ص 312.</w:t>
      </w:r>
    </w:p>
    <w:p>
      <w:pPr>
        <w:pStyle w:val="BookText"/>
      </w:pPr>
      <w:r>
        <w:rPr>
          <w:rFonts w:ascii="Amiri" w:hAnsi="Amiri" w:eastAsia="Amiri" w:cs="Amiri"/>
          <w:lang w:bidi="ar-SA"/>
          <w:color w:val="111111"/>
          <w:sz w:val="28"/>
          <w:szCs w:val="28"/>
          <w:rtl/>
        </w:rPr>
        <w:t xml:space="preserve">85 .المقدمة السالمة في حق خوف</w:t>
      </w:r>
    </w:p>
    <w:p>
      <w:pPr>
        <w:pStyle w:val="BookText"/>
      </w:pPr>
      <w:r>
        <w:rPr>
          <w:rFonts w:ascii="Amiri" w:hAnsi="Amiri" w:eastAsia="Amiri" w:cs="Amiri"/>
          <w:lang w:bidi="ar-SA"/>
          <w:color w:val="111111"/>
          <w:sz w:val="28"/>
          <w:szCs w:val="28"/>
          <w:rtl/>
        </w:rPr>
        <w:t xml:space="preserve">الخاتمة، ج 15، ص 359.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المنح الروض الازهر في شرح الفقه ، قاسم بن حسن</w:t>
      </w:r>
    </w:p>
    <w:p>
      <w:pPr>
        <w:pStyle w:val="BookText"/>
      </w:pPr>
      <w:r>
        <w:rPr>
          <w:rFonts w:ascii="Amiri" w:hAnsi="Amiri" w:eastAsia="Amiri" w:cs="Amiri"/>
          <w:lang w:bidi="ar-SA"/>
          <w:color w:val="111111"/>
          <w:sz w:val="28"/>
          <w:szCs w:val="28"/>
          <w:rtl/>
        </w:rPr>
        <w:t xml:space="preserve">الاكبر، ج 15 ، ص 668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المنح الفكرية في شرح الجزرية</w:t>
      </w:r>
    </w:p>
    <w:p>
      <w:pPr>
        <w:pStyle w:val="BookText"/>
      </w:pPr>
      <w:r>
        <w:rPr>
          <w:rFonts w:ascii="IRNazanin" w:hAnsi="IRNazanin" w:eastAsia="IRNazanin" w:cs="IRNazanin"/>
          <w:lang w:bidi="fa-IR"/>
          <w:color w:val="111111"/>
          <w:sz w:val="28"/>
          <w:szCs w:val="28"/>
          <w:rtl/>
        </w:rPr>
        <w:t xml:space="preserve">ج 15، ص 673 .</w:t>
      </w:r>
    </w:p>
    <w:p>
      <w:pPr>
        <w:pStyle w:val="BookText"/>
      </w:pPr>
      <w:r>
        <w:rPr>
          <w:rFonts w:ascii="Amiri" w:hAnsi="Amiri" w:eastAsia="Amiri" w:cs="Amiri"/>
          <w:lang w:bidi="ar-SA"/>
          <w:color w:val="111111"/>
          <w:sz w:val="28"/>
          <w:szCs w:val="28"/>
          <w:rtl/>
        </w:rPr>
        <w:t xml:space="preserve">88 .موعظة الحبيب وتحفة الخطيب</w:t>
      </w:r>
    </w:p>
    <w:p>
      <w:pPr>
        <w:pStyle w:val="BookText"/>
      </w:pPr>
      <w:r>
        <w:rPr>
          <w:rFonts w:ascii="IRNazanin" w:hAnsi="IRNazanin" w:eastAsia="IRNazanin" w:cs="IRNazanin"/>
          <w:lang w:bidi="fa-IR"/>
          <w:color w:val="111111"/>
          <w:sz w:val="28"/>
          <w:szCs w:val="28"/>
          <w:rtl/>
        </w:rPr>
        <w:t xml:space="preserve">ج 16، ص 41.</w:t>
      </w:r>
    </w:p>
    <w:p>
      <w:pPr>
        <w:pStyle w:val="BookText"/>
      </w:pPr>
      <w:r>
        <w:rPr>
          <w:rFonts w:ascii="Amiri" w:hAnsi="Amiri" w:eastAsia="Amiri" w:cs="Amiri"/>
          <w:lang w:bidi="ar-SA"/>
          <w:color w:val="111111"/>
          <w:sz w:val="28"/>
          <w:szCs w:val="28"/>
          <w:rtl/>
        </w:rPr>
        <w:t xml:space="preserve">89 .الميقات بغير احرام (رسالة في)</w:t>
      </w:r>
    </w:p>
    <w:p>
      <w:pPr>
        <w:pStyle w:val="BookText"/>
      </w:pPr>
      <w:r>
        <w:rPr>
          <w:rFonts w:ascii="IRNazanin" w:hAnsi="IRNazanin" w:eastAsia="IRNazanin" w:cs="IRNazanin"/>
          <w:lang w:bidi="fa-IR"/>
          <w:color w:val="111111"/>
          <w:sz w:val="28"/>
          <w:szCs w:val="28"/>
          <w:rtl/>
        </w:rPr>
        <w:t xml:space="preserve">ج 16، ص 77.</w:t>
      </w:r>
    </w:p>
    <w:p>
      <w:pPr>
        <w:pStyle w:val="BookText"/>
      </w:pPr>
      <w:r>
        <w:rPr>
          <w:rFonts w:ascii="Amiri" w:hAnsi="Amiri" w:eastAsia="Amiri" w:cs="Amiri"/>
          <w:lang w:bidi="ar-SA"/>
          <w:color w:val="111111"/>
          <w:sz w:val="28"/>
          <w:szCs w:val="28"/>
          <w:rtl/>
        </w:rPr>
        <w:t xml:space="preserve">90 .الناسخ والمنسوخ من الحديث</w:t>
      </w:r>
    </w:p>
    <w:p>
      <w:pPr>
        <w:pStyle w:val="BookText"/>
      </w:pPr>
      <w:r>
        <w:rPr>
          <w:rFonts w:ascii="IRNazanin" w:hAnsi="IRNazanin" w:eastAsia="IRNazanin" w:cs="IRNazanin"/>
          <w:lang w:bidi="fa-IR"/>
          <w:color w:val="111111"/>
          <w:sz w:val="28"/>
          <w:szCs w:val="28"/>
          <w:rtl/>
        </w:rPr>
        <w:t xml:space="preserve">ج 16، ص 92.</w:t>
      </w:r>
    </w:p>
    <w:p>
      <w:pPr>
        <w:pStyle w:val="BookText"/>
      </w:pPr>
      <w:r>
        <w:rPr>
          <w:rFonts w:ascii="Amiri" w:hAnsi="Amiri" w:eastAsia="Amiri" w:cs="Amiri"/>
          <w:lang w:bidi="ar-SA"/>
          <w:color w:val="111111"/>
          <w:sz w:val="28"/>
          <w:szCs w:val="28"/>
          <w:rtl/>
        </w:rPr>
        <w:t xml:space="preserve">91 .نزهة الخاطر الغائر في ترجمة الشيخ عبد القادر، ج 16، ص 229.</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النعت المرصع بالمجنس المصنع</w:t>
      </w:r>
    </w:p>
    <w:p>
      <w:pPr>
        <w:pStyle w:val="BookText"/>
      </w:pPr>
      <w:r>
        <w:rPr>
          <w:rFonts w:ascii="IRNazanin" w:hAnsi="IRNazanin" w:eastAsia="IRNazanin" w:cs="IRNazanin"/>
          <w:lang w:bidi="fa-IR"/>
          <w:color w:val="111111"/>
          <w:sz w:val="28"/>
          <w:szCs w:val="28"/>
          <w:rtl/>
        </w:rPr>
        <w:t xml:space="preserve">المسجع، ج 16، ص 367.</w:t>
      </w:r>
    </w:p>
    <w:p>
      <w:pPr>
        <w:pStyle w:val="Heading2"/>
      </w:pPr>
      <w:bookmarkStart w:id="6481" w:name="_Toc5583"/>
      <w:r>
        <w:t>قاز آبادي ، احمد بن محمّد، - 1163 ه-</w:t>
      </w:r>
      <w:bookmarkEnd w:id="6481"/>
    </w:p>
    <w:p>
      <w:pPr>
        <w:pStyle w:val="BookText"/>
      </w:pPr>
      <w:r>
        <w:rPr>
          <w:rFonts w:ascii="Amiri" w:hAnsi="Amiri" w:eastAsia="Amiri" w:cs="Amiri"/>
          <w:lang w:bidi="ar-SA"/>
          <w:color w:val="111111"/>
          <w:sz w:val="28"/>
          <w:szCs w:val="28"/>
          <w:rtl/>
        </w:rPr>
        <w:t xml:space="preserve">1 .شحيذ الافهام و تشخيذ الاوهام = شرح رسالة الاستعارة، ج4، ص 359.</w:t>
      </w:r>
    </w:p>
    <w:p>
      <w:pPr>
        <w:pStyle w:val="BookText"/>
      </w:pPr>
      <w:r>
        <w:rPr>
          <w:rFonts w:ascii="IRNazanin" w:hAnsi="IRNazanin" w:eastAsia="IRNazanin" w:cs="IRNazanin"/>
          <w:lang w:bidi="fa-IR"/>
          <w:color w:val="111111"/>
          <w:sz w:val="28"/>
          <w:szCs w:val="28"/>
          <w:rtl/>
        </w:rPr>
        <w:t xml:space="preserve">2 .شرح آداب البحث، ج 9، ص 130.</w:t>
      </w:r>
    </w:p>
    <w:p>
      <w:pPr>
        <w:pStyle w:val="Heading2"/>
      </w:pPr>
      <w:bookmarkStart w:id="6482" w:name="_Toc5584"/>
      <w:r>
        <w:t>قاسم افندي</w:t>
      </w:r>
      <w:bookmarkEnd w:id="6482"/>
    </w:p>
    <w:p>
      <w:pPr>
        <w:pStyle w:val="BookText"/>
      </w:pPr>
      <w:r>
        <w:rPr>
          <w:rFonts w:ascii="Amiri" w:hAnsi="Amiri" w:eastAsia="Amiri" w:cs="Amiri"/>
          <w:lang w:bidi="ar-SA"/>
          <w:color w:val="111111"/>
          <w:sz w:val="28"/>
          <w:szCs w:val="28"/>
          <w:rtl/>
        </w:rPr>
        <w:t xml:space="preserve">الوضع (رسالة في)، ج 16، ص 824.</w:t>
      </w:r>
    </w:p>
    <w:p>
      <w:pPr>
        <w:pStyle w:val="BookText"/>
      </w:pPr>
      <w:r>
        <w:rPr>
          <w:rFonts w:ascii="Amiri" w:hAnsi="Amiri" w:eastAsia="Amiri" w:cs="Amiri"/>
          <w:lang w:bidi="ar-SA"/>
          <w:color w:val="111111"/>
          <w:sz w:val="28"/>
          <w:szCs w:val="28"/>
          <w:rtl/>
        </w:rPr>
        <w:t xml:space="preserve">قاسم بن احمد بن موفق اندلسي مرسي</w:t>
      </w:r>
    </w:p>
    <w:p>
      <w:pPr>
        <w:pStyle w:val="BookText"/>
      </w:pPr>
      <w:r>
        <w:rPr>
          <w:rFonts w:ascii="Amiri" w:hAnsi="Amiri" w:eastAsia="Amiri" w:cs="Amiri"/>
          <w:lang w:bidi="ar-SA"/>
          <w:color w:val="111111"/>
          <w:sz w:val="28"/>
          <w:szCs w:val="28"/>
          <w:rtl/>
        </w:rPr>
        <w:t xml:space="preserve">لورقي- اندلسي ، قاسم بن احمد</w:t>
      </w:r>
    </w:p>
    <w:p>
      <w:pPr>
        <w:pStyle w:val="BookText"/>
      </w:pPr>
      <w:r>
        <w:rPr>
          <w:rFonts w:ascii="Amiri" w:hAnsi="Amiri" w:eastAsia="Amiri" w:cs="Amiri"/>
          <w:lang w:bidi="ar-SA"/>
          <w:color w:val="111111"/>
          <w:sz w:val="28"/>
          <w:szCs w:val="28"/>
          <w:rtl/>
        </w:rPr>
        <w:t xml:space="preserve">قاسم بن احمد قيسي- قيسي ، قاسم بن احمد</w:t>
      </w:r>
    </w:p>
    <w:p>
      <w:pPr>
        <w:pStyle w:val="BookText"/>
      </w:pPr>
      <w:r>
        <w:rPr>
          <w:rFonts w:ascii="Amiri" w:hAnsi="Amiri" w:eastAsia="Amiri" w:cs="Amiri"/>
          <w:lang w:bidi="ar-SA"/>
          <w:color w:val="111111"/>
          <w:sz w:val="28"/>
          <w:szCs w:val="28"/>
          <w:rtl/>
        </w:rPr>
        <w:t xml:space="preserve">قاسم بن حسن عاملي نجفي -عاملي</w:t>
      </w:r>
    </w:p>
    <w:p>
      <w:pPr>
        <w:pStyle w:val="BookText"/>
      </w:pPr>
      <w:r>
        <w:rPr>
          <w:rFonts w:ascii="IRNazanin" w:hAnsi="IRNazanin" w:eastAsia="IRNazanin" w:cs="IRNazanin"/>
          <w:lang w:bidi="fa-IR"/>
          <w:color w:val="111111"/>
          <w:sz w:val="28"/>
          <w:szCs w:val="28"/>
          <w:rtl/>
        </w:rPr>
        <w:t xml:space="preserve">قاسم بن حسن</w:t>
      </w:r>
    </w:p>
    <w:p>
      <w:pPr>
        <w:pStyle w:val="BookText"/>
      </w:pPr>
      <w:r>
        <w:rPr>
          <w:rFonts w:ascii="Amiri" w:hAnsi="Amiri" w:eastAsia="Amiri" w:cs="Amiri"/>
          <w:lang w:bidi="ar-SA"/>
          <w:color w:val="111111"/>
          <w:sz w:val="28"/>
          <w:szCs w:val="28"/>
          <w:rtl/>
        </w:rPr>
        <w:t xml:space="preserve">قاسم بن حسن محي الدين- محي الدين</w:t>
      </w:r>
    </w:p>
    <w:p>
      <w:pPr>
        <w:pStyle w:val="BookText"/>
      </w:pPr>
      <w:r>
        <w:rPr>
          <w:rFonts w:ascii="Amiri" w:hAnsi="Amiri" w:eastAsia="Amiri" w:cs="Amiri"/>
          <w:lang w:bidi="ar-SA"/>
          <w:color w:val="111111"/>
          <w:sz w:val="28"/>
          <w:szCs w:val="28"/>
          <w:rtl/>
        </w:rPr>
        <w:t xml:space="preserve">قاسم بن حسين غزنوي- غزنوي ، قاسم بن</w:t>
      </w:r>
    </w:p>
    <w:p>
      <w:pPr>
        <w:pStyle w:val="BookText"/>
      </w:pPr>
      <w:r>
        <w:rPr>
          <w:rFonts w:ascii="Amiri" w:hAnsi="Amiri" w:eastAsia="Amiri" w:cs="Amiri"/>
          <w:lang w:bidi="ar-SA"/>
          <w:color w:val="111111"/>
          <w:sz w:val="28"/>
          <w:szCs w:val="28"/>
          <w:rtl/>
        </w:rPr>
        <w:t xml:space="preserve">حسين</w:t>
      </w:r>
    </w:p>
    <w:p>
      <w:pPr>
        <w:pStyle w:val="BookText"/>
      </w:pPr>
      <w:r>
        <w:rPr>
          <w:rFonts w:ascii="IRNazanin" w:hAnsi="IRNazanin" w:eastAsia="IRNazanin" w:cs="IRNazanin"/>
          <w:lang w:bidi="fa-IR"/>
          <w:color w:val="111111"/>
          <w:sz w:val="28"/>
          <w:szCs w:val="28"/>
          <w:rtl/>
        </w:rPr>
        <w:t xml:space="preserve">قاسم بن خلیل آغاجليل- رونقي ، قاسم</w:t>
      </w:r>
    </w:p>
    <w:p>
      <w:pPr>
        <w:pStyle w:val="BookText"/>
      </w:pPr>
      <w:r>
        <w:rPr>
          <w:rFonts w:ascii="Amiri" w:hAnsi="Amiri" w:eastAsia="Amiri" w:cs="Amiri"/>
          <w:lang w:bidi="ar-SA"/>
          <w:color w:val="111111"/>
          <w:sz w:val="28"/>
          <w:szCs w:val="28"/>
          <w:rtl/>
        </w:rPr>
        <w:t xml:space="preserve">بن خليل</w:t>
      </w:r>
    </w:p>
    <w:p>
      <w:pPr>
        <w:pStyle w:val="BookText"/>
      </w:pPr>
      <w:r>
        <w:rPr>
          <w:rFonts w:ascii="Amiri" w:hAnsi="Amiri" w:eastAsia="Amiri" w:cs="Amiri"/>
          <w:lang w:bidi="ar-SA"/>
          <w:color w:val="111111"/>
          <w:sz w:val="28"/>
          <w:szCs w:val="28"/>
          <w:rtl/>
        </w:rPr>
        <w:t xml:space="preserve">قاسم بن سلام بن مسكين بغدادي خراساني</w:t>
      </w:r>
    </w:p>
    <w:p>
      <w:pPr>
        <w:pStyle w:val="BookText"/>
      </w:pPr>
      <w:r>
        <w:rPr>
          <w:rFonts w:ascii="Amiri" w:hAnsi="Amiri" w:eastAsia="Amiri" w:cs="Amiri"/>
          <w:lang w:bidi="ar-SA"/>
          <w:color w:val="111111"/>
          <w:sz w:val="28"/>
          <w:szCs w:val="28"/>
          <w:rtl/>
        </w:rPr>
        <w:t xml:space="preserve">هروي -ابو عبيد هروي ، قاسم بن سلام</w:t>
      </w:r>
    </w:p>
    <w:p>
      <w:pPr>
        <w:pStyle w:val="BookText"/>
      </w:pPr>
      <w:r>
        <w:rPr>
          <w:rFonts w:ascii="Amiri" w:hAnsi="Amiri" w:eastAsia="Amiri" w:cs="Amiri"/>
          <w:lang w:bidi="ar-SA"/>
          <w:color w:val="111111"/>
          <w:sz w:val="28"/>
          <w:szCs w:val="28"/>
          <w:rtl/>
        </w:rPr>
        <w:t xml:space="preserve">قاسم بن صلاح الدين خاني -خاني ، قاسم</w:t>
      </w:r>
    </w:p>
    <w:p>
      <w:pPr>
        <w:pStyle w:val="BookText"/>
      </w:pPr>
      <w:r>
        <w:rPr>
          <w:rFonts w:ascii="Amiri" w:hAnsi="Amiri" w:eastAsia="Amiri" w:cs="Amiri"/>
          <w:lang w:bidi="ar-SA"/>
          <w:color w:val="111111"/>
          <w:sz w:val="28"/>
          <w:szCs w:val="28"/>
          <w:rtl/>
        </w:rPr>
        <w:t xml:space="preserve">بن صلاح الدين</w:t>
      </w:r>
    </w:p>
    <w:p>
      <w:pPr>
        <w:pStyle w:val="BookText"/>
      </w:pPr>
      <w:r>
        <w:rPr>
          <w:rFonts w:ascii="Amiri" w:hAnsi="Amiri" w:eastAsia="Amiri" w:cs="Amiri"/>
          <w:lang w:bidi="ar-SA"/>
          <w:color w:val="111111"/>
          <w:sz w:val="28"/>
          <w:szCs w:val="28"/>
          <w:rtl/>
        </w:rPr>
        <w:t xml:space="preserve">قاسم بن عطاء الله المصري -مصري ، قاسم</w:t>
      </w:r>
    </w:p>
    <w:p>
      <w:pPr>
        <w:pStyle w:val="BookText"/>
      </w:pPr>
      <w:r>
        <w:rPr>
          <w:rFonts w:ascii="IRNazanin" w:hAnsi="IRNazanin" w:eastAsia="IRNazanin" w:cs="IRNazanin"/>
          <w:lang w:bidi="fa-IR"/>
          <w:color w:val="111111"/>
          <w:sz w:val="28"/>
          <w:szCs w:val="28"/>
          <w:rtl/>
        </w:rPr>
        <w:t xml:space="preserve">بن عطاء الله</w:t>
      </w:r>
    </w:p>
    <w:p>
      <w:pPr>
        <w:pStyle w:val="BookText"/>
      </w:pPr>
      <w:r>
        <w:rPr>
          <w:rFonts w:ascii="Amiri" w:hAnsi="Amiri" w:eastAsia="Amiri" w:cs="Amiri"/>
          <w:lang w:bidi="ar-SA"/>
          <w:color w:val="111111"/>
          <w:sz w:val="28"/>
          <w:szCs w:val="28"/>
          <w:rtl/>
        </w:rPr>
        <w:t xml:space="preserve">قاسم بن علي حريري -حريري ، قاسم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قاسم بن علي صفار -صفار ، قاسم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قاسم بن علي نجاري -نجاري ، قاسم بن</w:t>
      </w:r>
    </w:p>
    <w:p>
      <w:pPr>
        <w:pStyle w:val="BookText"/>
      </w:pPr>
      <w:r>
        <w:rPr>
          <w:rFonts w:ascii="Amiri" w:hAnsi="Amiri" w:eastAsia="Amiri" w:cs="Amiri"/>
          <w:lang w:bidi="ar-SA"/>
          <w:color w:val="111111"/>
          <w:sz w:val="28"/>
          <w:szCs w:val="28"/>
          <w:rtl/>
        </w:rPr>
        <w:t xml:space="preserve">علي</w:t>
      </w:r>
    </w:p>
    <w:p>
      <w:pPr>
        <w:pStyle w:val="BookText"/>
      </w:pPr>
      <w:r>
        <w:rPr>
          <w:rFonts w:ascii="Amiri" w:hAnsi="Amiri" w:eastAsia="Amiri" w:cs="Amiri"/>
          <w:lang w:bidi="ar-SA"/>
          <w:color w:val="111111"/>
          <w:sz w:val="28"/>
          <w:szCs w:val="28"/>
          <w:rtl/>
        </w:rPr>
        <w:t xml:space="preserve">قاسم بن فضل ثقفي اصفهاني- ثقفي</w:t>
      </w:r>
    </w:p>
    <w:p>
      <w:pPr>
        <w:pStyle w:val="BookText"/>
      </w:pPr>
      <w:r>
        <w:rPr>
          <w:rFonts w:ascii="Amiri" w:hAnsi="Amiri" w:eastAsia="Amiri" w:cs="Amiri"/>
          <w:lang w:bidi="ar-SA"/>
          <w:color w:val="111111"/>
          <w:sz w:val="28"/>
          <w:szCs w:val="28"/>
          <w:rtl/>
        </w:rPr>
        <w:t xml:space="preserve">قاسم بن فضل قاسم بن فلح المولوي- مولوي ، قاسم بن</w:t>
      </w:r>
    </w:p>
    <w:p>
      <w:pPr>
        <w:pStyle w:val="BookText"/>
      </w:pPr>
      <w:r>
        <w:rPr>
          <w:rFonts w:ascii="IRNazanin" w:hAnsi="IRNazanin" w:eastAsia="IRNazanin" w:cs="IRNazanin"/>
          <w:lang w:bidi="fa-IR"/>
          <w:color w:val="111111"/>
          <w:sz w:val="28"/>
          <w:szCs w:val="28"/>
          <w:rtl/>
        </w:rPr>
        <w:t xml:space="preserve">فلح</w:t>
      </w:r>
    </w:p>
    <w:p>
      <w:pPr>
        <w:pStyle w:val="BookText"/>
      </w:pPr>
      <w:r>
        <w:rPr>
          <w:rFonts w:ascii="Amiri" w:hAnsi="Amiri" w:eastAsia="Amiri" w:cs="Amiri"/>
          <w:lang w:bidi="ar-SA"/>
          <w:color w:val="111111"/>
          <w:sz w:val="28"/>
          <w:szCs w:val="28"/>
          <w:rtl/>
        </w:rPr>
        <w:t xml:space="preserve">قاسم بن فيره بن خلف رعيني شاطبي- شاطبي ، قاسم بن فيره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65" w:name="pg7742_71011"/>
    <w:bookmarkEnd w:id="865"/>
    <w:p>
      <w:pPr>
        <w:pStyle w:val="BookText"/>
      </w:pPr>
      <w:r>
        <w:rPr>
          <w:rFonts w:ascii="IRNazanin" w:hAnsi="IRNazanin" w:eastAsia="IRNazanin" w:cs="IRNazanin"/>
          <w:lang w:bidi="fa-IR"/>
          <w:color w:val="111111"/>
          <w:sz w:val="28"/>
          <w:szCs w:val="28"/>
          <w:rtl/>
        </w:rPr>
        <w:t xml:space="preserve">قاسم بن قطلوبغا -ابن قطلوبغا ، قاسم</w:t>
      </w:r>
    </w:p>
    <w:p>
      <w:pPr>
        <w:pStyle w:val="BookText"/>
      </w:pPr>
      <w:r>
        <w:rPr>
          <w:rFonts w:ascii="IRNazanin" w:hAnsi="IRNazanin" w:eastAsia="IRNazanin" w:cs="IRNazanin"/>
          <w:lang w:bidi="fa-IR"/>
          <w:color w:val="111111"/>
          <w:sz w:val="28"/>
          <w:szCs w:val="28"/>
          <w:rtl/>
        </w:rPr>
        <w:t xml:space="preserve">بن قطلوبغا</w:t>
      </w:r>
    </w:p>
    <w:p>
      <w:pPr>
        <w:pStyle w:val="BookText"/>
      </w:pPr>
      <w:r>
        <w:rPr>
          <w:rFonts w:ascii="IRNazanin" w:hAnsi="IRNazanin" w:eastAsia="IRNazanin" w:cs="IRNazanin"/>
          <w:lang w:bidi="fa-IR"/>
          <w:color w:val="111111"/>
          <w:sz w:val="28"/>
          <w:szCs w:val="28"/>
          <w:rtl/>
        </w:rPr>
        <w:t xml:space="preserve">قاسم بن محمّد بکره چي- بکره چي ،</w:t>
      </w:r>
    </w:p>
    <w:p>
      <w:pPr>
        <w:pStyle w:val="BookText"/>
      </w:pPr>
      <w:r>
        <w:rPr>
          <w:rFonts w:ascii="IRNazanin" w:hAnsi="IRNazanin" w:eastAsia="IRNazanin" w:cs="IRNazanin"/>
          <w:lang w:bidi="fa-IR"/>
          <w:color w:val="111111"/>
          <w:sz w:val="28"/>
          <w:szCs w:val="28"/>
          <w:rtl/>
        </w:rPr>
        <w:t xml:space="preserve">قاسم بن محمّد</w:t>
      </w:r>
    </w:p>
    <w:p>
      <w:pPr>
        <w:pStyle w:val="BookText"/>
      </w:pPr>
      <w:r>
        <w:rPr>
          <w:rFonts w:ascii="Amiri" w:hAnsi="Amiri" w:eastAsia="Amiri" w:cs="Amiri"/>
          <w:lang w:bidi="ar-SA"/>
          <w:color w:val="111111"/>
          <w:sz w:val="28"/>
          <w:szCs w:val="28"/>
          <w:rtl/>
        </w:rPr>
        <w:t xml:space="preserve">قاسم بن محمّد بن الوندي -ابن الوندي ،</w:t>
      </w:r>
    </w:p>
    <w:p>
      <w:pPr>
        <w:pStyle w:val="BookText"/>
      </w:pPr>
      <w:r>
        <w:rPr>
          <w:rFonts w:ascii="IRNazanin" w:hAnsi="IRNazanin" w:eastAsia="IRNazanin" w:cs="IRNazanin"/>
          <w:lang w:bidi="fa-IR"/>
          <w:color w:val="111111"/>
          <w:sz w:val="28"/>
          <w:szCs w:val="28"/>
          <w:rtl/>
        </w:rPr>
        <w:t xml:space="preserve">قاسم بن محمّد</w:t>
      </w:r>
    </w:p>
    <w:p>
      <w:pPr>
        <w:pStyle w:val="BookText"/>
      </w:pPr>
      <w:r>
        <w:rPr>
          <w:rFonts w:ascii="Amiri" w:hAnsi="Amiri" w:eastAsia="Amiri" w:cs="Amiri"/>
          <w:lang w:bidi="ar-SA"/>
          <w:color w:val="111111"/>
          <w:sz w:val="28"/>
          <w:szCs w:val="28"/>
          <w:rtl/>
        </w:rPr>
        <w:t xml:space="preserve">قاسم بن محمّد جواد كاظمي نجفي- ابن</w:t>
      </w:r>
    </w:p>
    <w:p>
      <w:pPr>
        <w:pStyle w:val="BookText"/>
      </w:pPr>
      <w:r>
        <w:rPr>
          <w:rFonts w:ascii="Amiri" w:hAnsi="Amiri" w:eastAsia="Amiri" w:cs="Amiri"/>
          <w:lang w:bidi="ar-SA"/>
          <w:color w:val="111111"/>
          <w:sz w:val="28"/>
          <w:szCs w:val="28"/>
          <w:rtl/>
        </w:rPr>
        <w:t xml:space="preserve">الوندي ، قاسم بن محمّد</w:t>
      </w:r>
    </w:p>
    <w:p>
      <w:pPr>
        <w:pStyle w:val="BookText"/>
      </w:pPr>
      <w:r>
        <w:rPr>
          <w:rFonts w:ascii="Amiri" w:hAnsi="Amiri" w:eastAsia="Amiri" w:cs="Amiri"/>
          <w:lang w:bidi="ar-SA"/>
          <w:color w:val="111111"/>
          <w:sz w:val="28"/>
          <w:szCs w:val="28"/>
          <w:rtl/>
        </w:rPr>
        <w:t xml:space="preserve">قاسم بن محمّد حارثي همداني- حارثي</w:t>
      </w:r>
    </w:p>
    <w:p>
      <w:pPr>
        <w:pStyle w:val="BookText"/>
      </w:pPr>
      <w:r>
        <w:rPr>
          <w:rFonts w:ascii="Amiri" w:hAnsi="Amiri" w:eastAsia="Amiri" w:cs="Amiri"/>
          <w:lang w:bidi="ar-SA"/>
          <w:color w:val="111111"/>
          <w:sz w:val="28"/>
          <w:szCs w:val="28"/>
          <w:rtl/>
        </w:rPr>
        <w:t xml:space="preserve">همداني ، قاسم بن محمد</w:t>
      </w:r>
    </w:p>
    <w:p>
      <w:pPr>
        <w:pStyle w:val="BookText"/>
      </w:pPr>
      <w:r>
        <w:rPr>
          <w:rFonts w:ascii="Amiri" w:hAnsi="Amiri" w:eastAsia="Amiri" w:cs="Amiri"/>
          <w:lang w:bidi="ar-SA"/>
          <w:color w:val="111111"/>
          <w:sz w:val="28"/>
          <w:szCs w:val="28"/>
          <w:rtl/>
        </w:rPr>
        <w:t xml:space="preserve">قاسم بن محمّد حسيني مداح -حسيني</w:t>
      </w:r>
    </w:p>
    <w:p>
      <w:pPr>
        <w:pStyle w:val="BookText"/>
      </w:pPr>
      <w:r>
        <w:rPr>
          <w:rFonts w:ascii="IRNazanin" w:hAnsi="IRNazanin" w:eastAsia="IRNazanin" w:cs="IRNazanin"/>
          <w:lang w:bidi="fa-IR"/>
          <w:color w:val="111111"/>
          <w:sz w:val="28"/>
          <w:szCs w:val="28"/>
          <w:rtl/>
        </w:rPr>
        <w:t xml:space="preserve">قاسم بن محمّد</w:t>
      </w:r>
    </w:p>
    <w:p>
      <w:pPr>
        <w:pStyle w:val="BookText"/>
      </w:pPr>
      <w:r>
        <w:rPr>
          <w:rFonts w:ascii="Amiri" w:hAnsi="Amiri" w:eastAsia="Amiri" w:cs="Amiri"/>
          <w:lang w:bidi="ar-SA"/>
          <w:color w:val="111111"/>
          <w:sz w:val="28"/>
          <w:szCs w:val="28"/>
          <w:rtl/>
        </w:rPr>
        <w:t xml:space="preserve">قاسم بن محمّد زيدي علوي -منصور بالله</w:t>
      </w:r>
    </w:p>
    <w:p>
      <w:pPr>
        <w:pStyle w:val="BookText"/>
      </w:pPr>
      <w:r>
        <w:rPr>
          <w:rFonts w:ascii="Amiri" w:hAnsi="Amiri" w:eastAsia="Amiri" w:cs="Amiri"/>
          <w:lang w:bidi="ar-SA"/>
          <w:color w:val="111111"/>
          <w:sz w:val="28"/>
          <w:szCs w:val="28"/>
          <w:rtl/>
        </w:rPr>
        <w:t xml:space="preserve">قاسم بن محمّد كاظمي- كاظمي ، قاسم بن محمّد</w:t>
      </w:r>
    </w:p>
    <w:p>
      <w:pPr>
        <w:pStyle w:val="BookText"/>
      </w:pPr>
      <w:r>
        <w:rPr>
          <w:rFonts w:ascii="Amiri" w:hAnsi="Amiri" w:eastAsia="Amiri" w:cs="Amiri"/>
          <w:lang w:bidi="ar-SA"/>
          <w:color w:val="111111"/>
          <w:sz w:val="28"/>
          <w:szCs w:val="28"/>
          <w:rtl/>
        </w:rPr>
        <w:t xml:space="preserve">قاسم بن محمّد نجفي -نجفي ، قاسم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قاسم بن يحيى موصلي - موصلي ، قاسم</w:t>
      </w:r>
    </w:p>
    <w:p>
      <w:pPr>
        <w:pStyle w:val="BookText"/>
      </w:pPr>
      <w:r>
        <w:rPr>
          <w:rFonts w:ascii="Amiri" w:hAnsi="Amiri" w:eastAsia="Amiri" w:cs="Amiri"/>
          <w:lang w:bidi="ar-SA"/>
          <w:color w:val="111111"/>
          <w:sz w:val="28"/>
          <w:szCs w:val="28"/>
          <w:rtl/>
        </w:rPr>
        <w:t xml:space="preserve">بن يحيى</w:t>
      </w:r>
    </w:p>
    <w:p>
      <w:pPr>
        <w:pStyle w:val="BookText"/>
      </w:pPr>
      <w:r>
        <w:rPr>
          <w:rFonts w:ascii="Amiri" w:hAnsi="Amiri" w:eastAsia="Amiri" w:cs="Amiri"/>
          <w:lang w:bidi="ar-SA"/>
          <w:color w:val="111111"/>
          <w:sz w:val="28"/>
          <w:szCs w:val="28"/>
          <w:rtl/>
        </w:rPr>
        <w:t xml:space="preserve">قاسم تويجري عبادي -تويجري عبادي</w:t>
      </w:r>
    </w:p>
    <w:p>
      <w:pPr>
        <w:pStyle w:val="BookText"/>
      </w:pPr>
      <w:r>
        <w:rPr>
          <w:rFonts w:ascii="IRNazanin" w:hAnsi="IRNazanin" w:eastAsia="IRNazanin" w:cs="IRNazanin"/>
          <w:lang w:bidi="fa-IR"/>
          <w:color w:val="111111"/>
          <w:sz w:val="28"/>
          <w:szCs w:val="28"/>
          <w:rtl/>
        </w:rPr>
        <w:t xml:space="preserve">قاسم</w:t>
      </w:r>
    </w:p>
    <w:p>
      <w:pPr>
        <w:pStyle w:val="BookText"/>
      </w:pPr>
      <w:r>
        <w:rPr>
          <w:rFonts w:ascii="Amiri" w:hAnsi="Amiri" w:eastAsia="Amiri" w:cs="Amiri"/>
          <w:lang w:bidi="ar-SA"/>
          <w:color w:val="111111"/>
          <w:sz w:val="28"/>
          <w:szCs w:val="28"/>
          <w:rtl/>
        </w:rPr>
        <w:t xml:space="preserve">قاسم جمالي -جمالي ، قاسم</w:t>
      </w:r>
    </w:p>
    <w:p>
      <w:pPr>
        <w:pStyle w:val="BookText"/>
      </w:pPr>
      <w:r>
        <w:rPr>
          <w:rFonts w:ascii="Amiri" w:hAnsi="Amiri" w:eastAsia="Amiri" w:cs="Amiri"/>
          <w:lang w:bidi="ar-SA"/>
          <w:color w:val="111111"/>
          <w:sz w:val="28"/>
          <w:szCs w:val="28"/>
          <w:rtl/>
        </w:rPr>
        <w:t xml:space="preserve">قاسم حلبي مدرس- حلبي مدرس ، قاسم</w:t>
      </w:r>
    </w:p>
    <w:p>
      <w:pPr>
        <w:pStyle w:val="BookText"/>
      </w:pPr>
      <w:r>
        <w:rPr>
          <w:rFonts w:ascii="Amiri" w:hAnsi="Amiri" w:eastAsia="Amiri" w:cs="Amiri"/>
          <w:lang w:bidi="ar-SA"/>
          <w:color w:val="111111"/>
          <w:sz w:val="28"/>
          <w:szCs w:val="28"/>
          <w:rtl/>
        </w:rPr>
        <w:t xml:space="preserve">قاسم خاقاني- خاقاني ، قاسم</w:t>
      </w:r>
    </w:p>
    <w:p>
      <w:pPr>
        <w:pStyle w:val="BookText"/>
      </w:pPr>
      <w:r>
        <w:rPr>
          <w:rFonts w:ascii="Amiri" w:hAnsi="Amiri" w:eastAsia="Amiri" w:cs="Amiri"/>
          <w:lang w:bidi="ar-SA"/>
          <w:color w:val="111111"/>
          <w:sz w:val="28"/>
          <w:szCs w:val="28"/>
          <w:rtl/>
        </w:rPr>
        <w:t xml:space="preserve">قاسم صغاري -صغار ، ابوالقاسم</w:t>
      </w:r>
    </w:p>
    <w:p>
      <w:pPr>
        <w:pStyle w:val="Heading2"/>
      </w:pPr>
      <w:bookmarkStart w:id="6483" w:name="_Toc5585"/>
      <w:r>
        <w:t>قاسم ،پاشا قرن 13 ه-</w:t>
      </w:r>
      <w:bookmarkEnd w:id="6483"/>
    </w:p>
    <w:p>
      <w:pPr>
        <w:pStyle w:val="BookText"/>
      </w:pPr>
      <w:r>
        <w:rPr>
          <w:rFonts w:ascii="Amiri" w:hAnsi="Amiri" w:eastAsia="Amiri" w:cs="Amiri"/>
          <w:lang w:bidi="ar-SA"/>
          <w:color w:val="111111"/>
          <w:sz w:val="28"/>
          <w:szCs w:val="28"/>
          <w:rtl/>
        </w:rPr>
        <w:t xml:space="preserve">مركبات الادوية (مجموعة في)، ج 14،</w:t>
      </w:r>
    </w:p>
    <w:p>
      <w:pPr>
        <w:pStyle w:val="BookText"/>
      </w:pPr>
      <w:r>
        <w:rPr>
          <w:rFonts w:ascii="IRNazanin" w:hAnsi="IRNazanin" w:eastAsia="IRNazanin" w:cs="IRNazanin"/>
          <w:lang w:bidi="fa-IR"/>
          <w:color w:val="111111"/>
          <w:sz w:val="28"/>
          <w:szCs w:val="28"/>
          <w:rtl/>
        </w:rPr>
        <w:t xml:space="preserve">ص 409.</w:t>
      </w:r>
    </w:p>
    <w:p>
      <w:pPr>
        <w:pStyle w:val="Heading2"/>
      </w:pPr>
      <w:bookmarkStart w:id="6484" w:name="_Toc5586"/>
      <w:r>
        <w:t>قاسمي ، ابوبكر بن يوسف</w:t>
      </w:r>
      <w:bookmarkEnd w:id="6484"/>
    </w:p>
    <w:p>
      <w:pPr>
        <w:pStyle w:val="BookText"/>
      </w:pPr>
      <w:r>
        <w:rPr>
          <w:rFonts w:ascii="Amiri" w:hAnsi="Amiri" w:eastAsia="Amiri" w:cs="Amiri"/>
          <w:lang w:bidi="ar-SA"/>
          <w:color w:val="111111"/>
          <w:sz w:val="28"/>
          <w:szCs w:val="28"/>
          <w:rtl/>
        </w:rPr>
        <w:t xml:space="preserve">الجوارح و علوم البزدرة، ج 5، ص 513.</w:t>
      </w:r>
    </w:p>
    <w:p>
      <w:pPr>
        <w:pStyle w:val="BookText"/>
      </w:pPr>
      <w:r>
        <w:rPr>
          <w:rFonts w:ascii="Amiri" w:hAnsi="Amiri" w:eastAsia="Amiri" w:cs="Amiri"/>
          <w:lang w:bidi="ar-SA"/>
          <w:color w:val="111111"/>
          <w:sz w:val="28"/>
          <w:szCs w:val="28"/>
          <w:rtl/>
        </w:rPr>
        <w:t xml:space="preserve">قاسمي ، حسن بن احمد -سمرقندي</w:t>
      </w:r>
    </w:p>
    <w:p>
      <w:pPr>
        <w:pStyle w:val="BookText"/>
      </w:pPr>
      <w:r>
        <w:rPr>
          <w:rFonts w:ascii="IRNazanin" w:hAnsi="IRNazanin" w:eastAsia="IRNazanin" w:cs="IRNazanin"/>
          <w:lang w:bidi="fa-IR"/>
          <w:color w:val="111111"/>
          <w:sz w:val="28"/>
          <w:szCs w:val="28"/>
          <w:rtl/>
        </w:rPr>
        <w:t xml:space="preserve">حسن بن احمد</w:t>
      </w:r>
    </w:p>
    <w:p>
      <w:pPr>
        <w:pStyle w:val="Heading2"/>
      </w:pPr>
      <w:bookmarkStart w:id="6485" w:name="_Toc5587"/>
      <w:r>
        <w:t>قاضي ، ابراهيم</w:t>
      </w:r>
      <w:bookmarkEnd w:id="6485"/>
    </w:p>
    <w:p>
      <w:pPr>
        <w:pStyle w:val="BookText"/>
      </w:pPr>
      <w:r>
        <w:rPr>
          <w:rFonts w:ascii="Amiri" w:hAnsi="Amiri" w:eastAsia="Amiri" w:cs="Amiri"/>
          <w:lang w:bidi="ar-SA"/>
          <w:color w:val="111111"/>
          <w:sz w:val="28"/>
          <w:szCs w:val="28"/>
          <w:rtl/>
        </w:rPr>
        <w:t xml:space="preserve">الجبر والمقابلة( رسالة في)، جه،</w:t>
      </w:r>
    </w:p>
    <w:p>
      <w:pPr>
        <w:pStyle w:val="BookText"/>
      </w:pPr>
      <w:r>
        <w:rPr>
          <w:rFonts w:ascii="IRNazanin" w:hAnsi="IRNazanin" w:eastAsia="IRNazanin" w:cs="IRNazanin"/>
          <w:lang w:bidi="fa-IR"/>
          <w:color w:val="111111"/>
          <w:sz w:val="28"/>
          <w:szCs w:val="28"/>
          <w:rtl/>
        </w:rPr>
        <w:t xml:space="preserve">ص 363.</w:t>
      </w:r>
    </w:p>
    <w:p>
      <w:pPr>
        <w:pStyle w:val="Heading2"/>
      </w:pPr>
      <w:bookmarkStart w:id="6486" w:name="_Toc5588"/>
      <w:r>
        <w:t>قاضي ، ابي جعفر قرن 11 ه-</w:t>
      </w:r>
      <w:bookmarkEnd w:id="6486"/>
    </w:p>
    <w:p>
      <w:pPr>
        <w:pStyle w:val="BookText"/>
      </w:pPr>
      <w:r>
        <w:rPr>
          <w:rFonts w:ascii="Amiri" w:hAnsi="Amiri" w:eastAsia="Amiri" w:cs="Amiri"/>
          <w:lang w:bidi="ar-SA"/>
          <w:color w:val="111111"/>
          <w:sz w:val="28"/>
          <w:szCs w:val="28"/>
          <w:rtl/>
        </w:rPr>
        <w:t xml:space="preserve">مجموعة شعرية، ج 14، ص 39.</w:t>
      </w:r>
    </w:p>
    <w:p>
      <w:pPr>
        <w:pStyle w:val="BookText"/>
      </w:pPr>
      <w:r>
        <w:rPr>
          <w:rFonts w:ascii="Amiri" w:hAnsi="Amiri" w:eastAsia="Amiri" w:cs="Amiri"/>
          <w:lang w:bidi="ar-SA"/>
          <w:color w:val="111111"/>
          <w:sz w:val="28"/>
          <w:szCs w:val="28"/>
          <w:rtl/>
        </w:rPr>
        <w:t xml:space="preserve">قاضي اعز ، نصر الله بن عبدالله- ابن قلاقس</w:t>
      </w:r>
    </w:p>
    <w:p>
      <w:pPr>
        <w:pStyle w:val="BookText"/>
      </w:pPr>
      <w:r>
        <w:rPr>
          <w:rFonts w:ascii="IRNazanin" w:hAnsi="IRNazanin" w:eastAsia="IRNazanin" w:cs="IRNazanin"/>
          <w:lang w:bidi="fa-IR"/>
          <w:color w:val="111111"/>
          <w:sz w:val="28"/>
          <w:szCs w:val="28"/>
          <w:rtl/>
        </w:rPr>
        <w:t xml:space="preserve">، نصر الله بن عبدالله</w:t>
      </w:r>
    </w:p>
    <w:p>
      <w:pPr>
        <w:pStyle w:val="Heading2"/>
      </w:pPr>
      <w:bookmarkStart w:id="6487" w:name="_Toc5589"/>
      <w:r>
        <w:t>قاضي ، بدر الدين</w:t>
      </w:r>
      <w:bookmarkEnd w:id="6487"/>
    </w:p>
    <w:p>
      <w:pPr>
        <w:pStyle w:val="BookText"/>
      </w:pPr>
      <w:r>
        <w:rPr>
          <w:rFonts w:ascii="Amiri" w:hAnsi="Amiri" w:eastAsia="Amiri" w:cs="Amiri"/>
          <w:lang w:bidi="ar-SA"/>
          <w:color w:val="111111"/>
          <w:sz w:val="28"/>
          <w:szCs w:val="28"/>
          <w:rtl/>
        </w:rPr>
        <w:t xml:space="preserve">نوالي المنح في اسماء ثمار النخل، ج 16،</w:t>
      </w:r>
    </w:p>
    <w:p>
      <w:pPr>
        <w:pStyle w:val="BookText"/>
      </w:pPr>
      <w:r>
        <w:rPr>
          <w:rFonts w:ascii="IRNazanin" w:hAnsi="IRNazanin" w:eastAsia="IRNazanin" w:cs="IRNazanin"/>
          <w:lang w:bidi="fa-IR"/>
          <w:color w:val="111111"/>
          <w:sz w:val="28"/>
          <w:szCs w:val="28"/>
          <w:rtl/>
        </w:rPr>
        <w:t xml:space="preserve">ص 548 .</w:t>
      </w:r>
    </w:p>
    <w:p>
      <w:pPr>
        <w:pStyle w:val="Heading2"/>
      </w:pPr>
      <w:bookmarkStart w:id="6488" w:name="_Toc5590"/>
      <w:r>
        <w:t>قاضي بوسنه ، عبدالحلیم بن لطف الله</w:t>
      </w:r>
      <w:bookmarkEnd w:id="6488"/>
    </w:p>
    <w:p>
      <w:pPr>
        <w:pStyle w:val="BookText"/>
      </w:pPr>
      <w:r>
        <w:rPr>
          <w:rFonts w:ascii="IRNazanin" w:hAnsi="IRNazanin" w:eastAsia="IRNazanin" w:cs="IRNazanin"/>
          <w:lang w:bidi="fa-IR"/>
          <w:color w:val="111111"/>
          <w:sz w:val="28"/>
          <w:szCs w:val="28"/>
          <w:rtl/>
        </w:rPr>
        <w:t xml:space="preserve">1051ه-</w:t>
      </w:r>
    </w:p>
    <w:p>
      <w:pPr>
        <w:pStyle w:val="BookText"/>
      </w:pPr>
      <w:r>
        <w:rPr>
          <w:rFonts w:ascii="Amiri" w:hAnsi="Amiri" w:eastAsia="Amiri" w:cs="Amiri"/>
          <w:lang w:bidi="ar-SA"/>
          <w:color w:val="111111"/>
          <w:sz w:val="28"/>
          <w:szCs w:val="28"/>
          <w:rtl/>
        </w:rPr>
        <w:t xml:space="preserve">شرح سبحانك اللهم ...» (رسالة في)،</w:t>
      </w:r>
    </w:p>
    <w:p>
      <w:pPr>
        <w:pStyle w:val="BookText"/>
      </w:pPr>
      <w:r>
        <w:rPr>
          <w:rFonts w:ascii="IRNazanin" w:hAnsi="IRNazanin" w:eastAsia="IRNazanin" w:cs="IRNazanin"/>
          <w:lang w:bidi="fa-IR"/>
          <w:color w:val="111111"/>
          <w:sz w:val="28"/>
          <w:szCs w:val="28"/>
          <w:rtl/>
        </w:rPr>
        <w:t xml:space="preserve">ج 9، ص 584.</w:t>
      </w:r>
    </w:p>
    <w:p>
      <w:pPr>
        <w:pStyle w:val="Heading2"/>
      </w:pPr>
      <w:bookmarkStart w:id="6489" w:name="_Toc5591"/>
      <w:r>
        <w:t>قاضي حسين بن محمود، 1225-1292 ه-</w:t>
      </w:r>
      <w:bookmarkEnd w:id="6489"/>
    </w:p>
    <w:p>
      <w:pPr>
        <w:pStyle w:val="BookText"/>
      </w:pPr>
      <w:r>
        <w:rPr>
          <w:rFonts w:ascii="IRNazanin" w:hAnsi="IRNazanin" w:eastAsia="IRNazanin" w:cs="IRNazanin"/>
          <w:lang w:bidi="fa-IR"/>
          <w:color w:val="111111"/>
          <w:sz w:val="28"/>
          <w:szCs w:val="28"/>
          <w:rtl/>
        </w:rPr>
        <w:t xml:space="preserve">مولود نامه ج16، ص 53</w:t>
      </w:r>
    </w:p>
    <w:p>
      <w:pPr>
        <w:pStyle w:val="Heading2"/>
      </w:pPr>
      <w:bookmarkStart w:id="6490" w:name="_Toc5592"/>
      <w:r>
        <w:t>قاضیخان ، حسن بن منصور - 592</w:t>
      </w:r>
      <w:bookmarkEnd w:id="6490"/>
    </w:p>
    <w:p>
      <w:pPr>
        <w:pStyle w:val="BookText"/>
      </w:pPr>
      <w:r>
        <w:rPr>
          <w:rFonts w:ascii="Amiri" w:hAnsi="Amiri" w:eastAsia="Amiri" w:cs="Amiri"/>
          <w:lang w:bidi="ar-SA"/>
          <w:color w:val="111111"/>
          <w:sz w:val="28"/>
          <w:szCs w:val="28"/>
          <w:rtl/>
        </w:rPr>
        <w:t xml:space="preserve">1 .رسم المفتي، ج8، ص301.</w:t>
      </w:r>
    </w:p>
    <w:p>
      <w:pPr>
        <w:pStyle w:val="BookText"/>
      </w:pPr>
      <w:r>
        <w:rPr>
          <w:rFonts w:ascii="Amiri" w:hAnsi="Amiri" w:eastAsia="Amiri" w:cs="Amiri"/>
          <w:lang w:bidi="ar-SA"/>
          <w:color w:val="111111"/>
          <w:sz w:val="28"/>
          <w:szCs w:val="28"/>
          <w:rtl/>
        </w:rPr>
        <w:t xml:space="preserve">2 .شرح الزيادات، ج 9، ص 578 .</w:t>
      </w:r>
    </w:p>
    <w:p>
      <w:pPr>
        <w:pStyle w:val="BookText"/>
      </w:pPr>
      <w:r>
        <w:rPr>
          <w:rFonts w:ascii="IRNazanin" w:hAnsi="IRNazanin" w:eastAsia="IRNazanin" w:cs="IRNazanin"/>
          <w:lang w:bidi="fa-IR"/>
          <w:color w:val="111111"/>
          <w:sz w:val="28"/>
          <w:szCs w:val="28"/>
          <w:rtl/>
        </w:rPr>
        <w:t xml:space="preserve">3.الفتاوى، ج 11، ص589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66" w:name="pg7742_71013"/>
    <w:bookmarkEnd w:id="866"/>
    <w:p>
      <w:pPr>
        <w:pStyle w:val="Heading2"/>
      </w:pPr>
      <w:bookmarkStart w:id="6491" w:name="_Toc5593"/>
      <w:r>
        <w:t>قاضي دانيال</w:t>
      </w:r>
      <w:bookmarkEnd w:id="6491"/>
    </w:p>
    <w:p>
      <w:pPr>
        <w:pStyle w:val="BookText"/>
      </w:pPr>
      <w:r>
        <w:rPr>
          <w:rFonts w:ascii="Amiri" w:hAnsi="Amiri" w:eastAsia="Amiri" w:cs="Amiri"/>
          <w:lang w:bidi="ar-SA"/>
          <w:color w:val="111111"/>
          <w:sz w:val="28"/>
          <w:szCs w:val="28"/>
          <w:rtl/>
        </w:rPr>
        <w:t xml:space="preserve">الاحاديث العوالي بالمشيخة، ج 1، ص 412.</w:t>
      </w:r>
    </w:p>
    <w:p>
      <w:pPr>
        <w:pStyle w:val="Heading2"/>
      </w:pPr>
      <w:bookmarkStart w:id="6492" w:name="_Toc5594"/>
      <w:r>
        <w:t>قاضي ،زاده احمد بن محمود - 988 ه- 1037ه-</w:t>
      </w:r>
      <w:bookmarkEnd w:id="6492"/>
    </w:p>
    <w:p>
      <w:pPr>
        <w:pStyle w:val="BookText"/>
      </w:pPr>
      <w:r>
        <w:rPr>
          <w:rFonts w:ascii="Amiri" w:hAnsi="Amiri" w:eastAsia="Amiri" w:cs="Amiri"/>
          <w:lang w:bidi="ar-SA"/>
          <w:color w:val="111111"/>
          <w:sz w:val="28"/>
          <w:szCs w:val="28"/>
          <w:rtl/>
        </w:rPr>
        <w:t xml:space="preserve">1 .شرح الهداية، ج 10، ص 301.</w:t>
      </w:r>
    </w:p>
    <w:p>
      <w:pPr>
        <w:pStyle w:val="BookText"/>
      </w:pPr>
      <w:r>
        <w:rPr>
          <w:rFonts w:ascii="Amiri" w:hAnsi="Amiri" w:eastAsia="Amiri" w:cs="Amiri"/>
          <w:lang w:bidi="ar-SA"/>
          <w:color w:val="111111"/>
          <w:sz w:val="28"/>
          <w:szCs w:val="28"/>
          <w:rtl/>
        </w:rPr>
        <w:t xml:space="preserve">2 .نتائج الافكار في كشف الرموز و</w:t>
      </w:r>
    </w:p>
    <w:p>
      <w:pPr>
        <w:pStyle w:val="BookText"/>
      </w:pPr>
      <w:r>
        <w:rPr>
          <w:rFonts w:ascii="IRNazanin" w:hAnsi="IRNazanin" w:eastAsia="IRNazanin" w:cs="IRNazanin"/>
          <w:lang w:bidi="fa-IR"/>
          <w:color w:val="111111"/>
          <w:sz w:val="28"/>
          <w:szCs w:val="28"/>
          <w:rtl/>
        </w:rPr>
        <w:t xml:space="preserve">الأسرار، ج 16، ص 128 .</w:t>
      </w:r>
    </w:p>
    <w:p>
      <w:pPr>
        <w:pStyle w:val="BookText"/>
      </w:pPr>
      <w:r>
        <w:rPr>
          <w:rFonts w:ascii="IRNazanin" w:hAnsi="IRNazanin" w:eastAsia="IRNazanin" w:cs="IRNazanin"/>
          <w:lang w:bidi="fa-IR"/>
          <w:color w:val="111111"/>
          <w:sz w:val="28"/>
          <w:szCs w:val="28"/>
          <w:rtl/>
        </w:rPr>
        <w:t xml:space="preserve">قاضی زاده، احمد بن نصر الله- تتوي ،</w:t>
      </w:r>
    </w:p>
    <w:p>
      <w:pPr>
        <w:pStyle w:val="BookText"/>
      </w:pPr>
      <w:r>
        <w:rPr>
          <w:rFonts w:ascii="IRNazanin" w:hAnsi="IRNazanin" w:eastAsia="IRNazanin" w:cs="IRNazanin"/>
          <w:lang w:bidi="fa-IR"/>
          <w:color w:val="111111"/>
          <w:sz w:val="28"/>
          <w:szCs w:val="28"/>
          <w:rtl/>
        </w:rPr>
        <w:t xml:space="preserve">احمد بن نصر الله</w:t>
      </w:r>
    </w:p>
    <w:p>
      <w:pPr>
        <w:pStyle w:val="Heading2"/>
      </w:pPr>
      <w:bookmarkStart w:id="6493" w:name="_Toc5595"/>
      <w:r>
        <w:t>قاضي زاده افندي</w:t>
      </w:r>
      <w:bookmarkEnd w:id="6493"/>
    </w:p>
    <w:p>
      <w:pPr>
        <w:pStyle w:val="BookText"/>
      </w:pPr>
      <w:r>
        <w:rPr>
          <w:rFonts w:ascii="Amiri" w:hAnsi="Amiri" w:eastAsia="Amiri" w:cs="Amiri"/>
          <w:lang w:bidi="ar-SA"/>
          <w:color w:val="111111"/>
          <w:sz w:val="28"/>
          <w:szCs w:val="28"/>
          <w:rtl/>
        </w:rPr>
        <w:t xml:space="preserve">السياسة الشرعية، ج8، ص 869</w:t>
      </w:r>
    </w:p>
    <w:p>
      <w:pPr>
        <w:pStyle w:val="Heading2"/>
      </w:pPr>
      <w:bookmarkStart w:id="6494" w:name="_Toc5596"/>
      <w:r>
        <w:t>قاضي زاده ، حسن، 1326 ه-</w:t>
      </w:r>
      <w:bookmarkEnd w:id="6494"/>
    </w:p>
    <w:p>
      <w:pPr>
        <w:pStyle w:val="BookText"/>
      </w:pPr>
      <w:r>
        <w:rPr>
          <w:rFonts w:ascii="Amiri" w:hAnsi="Amiri" w:eastAsia="Amiri" w:cs="Amiri"/>
          <w:lang w:bidi="ar-SA"/>
          <w:color w:val="111111"/>
          <w:sz w:val="28"/>
          <w:szCs w:val="28"/>
          <w:rtl/>
        </w:rPr>
        <w:t xml:space="preserve">رسالة ادبية، ج 8، ص 163.</w:t>
      </w:r>
    </w:p>
    <w:p>
      <w:pPr>
        <w:pStyle w:val="Heading2"/>
      </w:pPr>
      <w:bookmarkStart w:id="6495" w:name="_Toc5597"/>
      <w:r>
        <w:t>قاضي زاده رومي، محمود بن محمّد</w:t>
      </w:r>
      <w:bookmarkEnd w:id="6495"/>
    </w:p>
    <w:p>
      <w:pPr>
        <w:pStyle w:val="BookText"/>
      </w:pPr>
      <w:r>
        <w:rPr>
          <w:rFonts w:ascii="IRNazanin" w:hAnsi="IRNazanin" w:eastAsia="IRNazanin" w:cs="IRNazanin"/>
          <w:lang w:bidi="fa-IR"/>
          <w:color w:val="111111"/>
          <w:sz w:val="28"/>
          <w:szCs w:val="28"/>
          <w:rtl/>
        </w:rPr>
        <w:t xml:space="preserve">931 ه-</w:t>
      </w:r>
    </w:p>
    <w:p>
      <w:pPr>
        <w:pStyle w:val="BookText"/>
      </w:pPr>
      <w:r>
        <w:rPr>
          <w:rFonts w:ascii="Amiri" w:hAnsi="Amiri" w:eastAsia="Amiri" w:cs="Amiri"/>
          <w:lang w:bidi="ar-SA"/>
          <w:color w:val="111111"/>
          <w:sz w:val="28"/>
          <w:szCs w:val="28"/>
          <w:rtl/>
        </w:rPr>
        <w:t xml:space="preserve">شرح الفتحية، ج9، ص773.</w:t>
      </w:r>
    </w:p>
    <w:p>
      <w:pPr>
        <w:pStyle w:val="Heading2"/>
      </w:pPr>
      <w:bookmarkStart w:id="6496" w:name="_Toc5598"/>
      <w:r>
        <w:t>قاضي زاده رومي، موسى بن محمود</w:t>
      </w:r>
      <w:bookmarkEnd w:id="6496"/>
    </w:p>
    <w:p>
      <w:pPr>
        <w:pStyle w:val="BookText"/>
      </w:pPr>
      <w:r>
        <w:rPr>
          <w:rFonts w:ascii="IRNazanin" w:hAnsi="IRNazanin" w:eastAsia="IRNazanin" w:cs="IRNazanin"/>
          <w:lang w:bidi="fa-IR"/>
          <w:color w:val="111111"/>
          <w:sz w:val="28"/>
          <w:szCs w:val="28"/>
          <w:rtl/>
        </w:rPr>
        <w:t xml:space="preserve">815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البروج (رسالة في)، ج 3، ص 305.</w:t>
      </w:r>
    </w:p>
    <w:p>
      <w:pPr>
        <w:pStyle w:val="BookText"/>
      </w:pPr>
      <w:r>
        <w:rPr>
          <w:rFonts w:ascii="Amiri" w:hAnsi="Amiri" w:eastAsia="Amiri" w:cs="Amiri"/>
          <w:lang w:bidi="ar-SA"/>
          <w:color w:val="111111"/>
          <w:sz w:val="28"/>
          <w:szCs w:val="28"/>
          <w:rtl/>
        </w:rPr>
        <w:t xml:space="preserve">2 .تحفة الرئيس في شرح اشكال التأسيس، ج3، ص831.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المطول، ج 1، ص 183.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على شرح لقسمي الطبيعي و الإلهي من الهداية، ج 6، ص 246.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الملخص في الهيئة، ج 10،</w:t>
      </w:r>
    </w:p>
    <w:p>
      <w:pPr>
        <w:pStyle w:val="BookText"/>
      </w:pPr>
      <w:r>
        <w:rPr>
          <w:rFonts w:ascii="IRNazanin" w:hAnsi="IRNazanin" w:eastAsia="IRNazanin" w:cs="IRNazanin"/>
          <w:lang w:bidi="fa-IR"/>
          <w:color w:val="111111"/>
          <w:sz w:val="28"/>
          <w:szCs w:val="28"/>
          <w:rtl/>
        </w:rPr>
        <w:t xml:space="preserve">ص 218</w:t>
      </w:r>
    </w:p>
    <w:p>
      <w:pPr>
        <w:pStyle w:val="Heading2"/>
      </w:pPr>
      <w:bookmarkStart w:id="6497" w:name="_Toc5599"/>
      <w:r>
        <w:t>قاضي زاده ، شرف</w:t>
      </w:r>
      <w:bookmarkEnd w:id="6497"/>
    </w:p>
    <w:p>
      <w:pPr>
        <w:pStyle w:val="BookText"/>
      </w:pPr>
      <w:r>
        <w:rPr>
          <w:rFonts w:ascii="IRNazanin" w:hAnsi="IRNazanin" w:eastAsia="IRNazanin" w:cs="IRNazanin"/>
          <w:lang w:bidi="fa-IR"/>
          <w:color w:val="111111"/>
          <w:sz w:val="28"/>
          <w:szCs w:val="28"/>
          <w:rtl/>
        </w:rPr>
        <w:t xml:space="preserve">رموز ،قرآن، ج8، ص 365.</w:t>
      </w:r>
    </w:p>
    <w:p>
      <w:pPr>
        <w:pStyle w:val="Heading2"/>
      </w:pPr>
      <w:bookmarkStart w:id="6498" w:name="_Toc5600"/>
      <w:r>
        <w:t>قاضي زاده کرهرودي ، عبد الخالق، 995 -</w:t>
      </w:r>
      <w:bookmarkEnd w:id="6498"/>
    </w:p>
    <w:p>
      <w:pPr>
        <w:pStyle w:val="BookText"/>
      </w:pPr>
      <w:r>
        <w:rPr>
          <w:rFonts w:ascii="Amiri" w:hAnsi="Amiri" w:eastAsia="Amiri" w:cs="Amiri"/>
          <w:lang w:bidi="ar-SA"/>
          <w:color w:val="111111"/>
          <w:sz w:val="28"/>
          <w:szCs w:val="28"/>
          <w:rtl/>
        </w:rPr>
        <w:t xml:space="preserve">1 .امامت = تحفه شاهي = رشحات</w:t>
      </w:r>
    </w:p>
    <w:p>
      <w:pPr>
        <w:pStyle w:val="BookText"/>
      </w:pPr>
      <w:r>
        <w:rPr>
          <w:rFonts w:ascii="IRNazanin" w:hAnsi="IRNazanin" w:eastAsia="IRNazanin" w:cs="IRNazanin"/>
          <w:lang w:bidi="fa-IR"/>
          <w:color w:val="111111"/>
          <w:sz w:val="28"/>
          <w:szCs w:val="28"/>
          <w:rtl/>
        </w:rPr>
        <w:t xml:space="preserve">ج 2، ص 732.</w:t>
      </w:r>
    </w:p>
    <w:p>
      <w:pPr>
        <w:pStyle w:val="BookText"/>
      </w:pPr>
      <w:r>
        <w:rPr>
          <w:rFonts w:ascii="Amiri" w:hAnsi="Amiri" w:eastAsia="Amiri" w:cs="Amiri"/>
          <w:lang w:bidi="ar-SA"/>
          <w:color w:val="111111"/>
          <w:sz w:val="28"/>
          <w:szCs w:val="28"/>
          <w:rtl/>
        </w:rPr>
        <w:t xml:space="preserve">2 .حاشية اثبات الواجب القديم، ج5،</w:t>
      </w:r>
    </w:p>
    <w:p>
      <w:pPr>
        <w:pStyle w:val="BookText"/>
      </w:pPr>
      <w:r>
        <w:rPr>
          <w:rFonts w:ascii="IRNazanin" w:hAnsi="IRNazanin" w:eastAsia="IRNazanin" w:cs="IRNazanin"/>
          <w:lang w:bidi="fa-IR"/>
          <w:color w:val="111111"/>
          <w:sz w:val="28"/>
          <w:szCs w:val="28"/>
          <w:rtl/>
        </w:rPr>
        <w:t xml:space="preserve">ص 654 .</w:t>
      </w:r>
    </w:p>
    <w:p>
      <w:pPr>
        <w:pStyle w:val="Heading2"/>
      </w:pPr>
      <w:bookmarkStart w:id="6499" w:name="_Toc5601"/>
      <w:r>
        <w:t>قاضي زاده، محمّد، قرن 11 ه-</w:t>
      </w:r>
      <w:bookmarkEnd w:id="6499"/>
    </w:p>
    <w:p>
      <w:pPr>
        <w:pStyle w:val="BookText"/>
      </w:pPr>
      <w:r>
        <w:rPr>
          <w:rFonts w:ascii="IRNazanin" w:hAnsi="IRNazanin" w:eastAsia="IRNazanin" w:cs="IRNazanin"/>
          <w:lang w:bidi="fa-IR"/>
          <w:color w:val="111111"/>
          <w:sz w:val="28"/>
          <w:szCs w:val="28"/>
          <w:rtl/>
        </w:rPr>
        <w:t xml:space="preserve">بحر الفتاوى، ج 3، ص223</w:t>
      </w:r>
    </w:p>
    <w:p>
      <w:pPr>
        <w:pStyle w:val="Heading2"/>
      </w:pPr>
      <w:bookmarkStart w:id="6500" w:name="_Toc5602"/>
      <w:r>
        <w:t>قاضي زاده محمّد بن مصطفى -1044؟ه-</w:t>
      </w:r>
      <w:bookmarkEnd w:id="6500"/>
    </w:p>
    <w:p>
      <w:pPr>
        <w:pStyle w:val="BookText"/>
      </w:pPr>
      <w:r>
        <w:rPr>
          <w:rFonts w:ascii="Amiri" w:hAnsi="Amiri" w:eastAsia="Amiri" w:cs="Amiri"/>
          <w:lang w:bidi="ar-SA"/>
          <w:color w:val="111111"/>
          <w:sz w:val="28"/>
          <w:szCs w:val="28"/>
          <w:rtl/>
        </w:rPr>
        <w:t xml:space="preserve">1 . ترجمة قاضي زادة، ج4، ص 291.</w:t>
      </w:r>
    </w:p>
    <w:p>
      <w:pPr>
        <w:pStyle w:val="BookText"/>
      </w:pPr>
      <w:r>
        <w:rPr>
          <w:rFonts w:ascii="Amiri" w:hAnsi="Amiri" w:eastAsia="Amiri" w:cs="Amiri"/>
          <w:lang w:bidi="ar-SA"/>
          <w:color w:val="111111"/>
          <w:sz w:val="28"/>
          <w:szCs w:val="28"/>
          <w:rtl/>
        </w:rPr>
        <w:t xml:space="preserve">2 .التصوف (رسالة في)، ج 4 ، ص 430 .</w:t>
      </w:r>
    </w:p>
    <w:p>
      <w:pPr>
        <w:pStyle w:val="BookText"/>
      </w:pPr>
      <w:r>
        <w:rPr>
          <w:rFonts w:ascii="IRNazanin" w:hAnsi="IRNazanin" w:eastAsia="IRNazanin" w:cs="IRNazanin"/>
          <w:lang w:bidi="fa-IR"/>
          <w:color w:val="111111"/>
          <w:sz w:val="28"/>
          <w:szCs w:val="28"/>
          <w:rtl/>
        </w:rPr>
        <w:t xml:space="preserve">دعا نامه، ج 7، ص 410.</w:t>
      </w:r>
    </w:p>
    <w:p>
      <w:pPr>
        <w:pStyle w:val="BookText"/>
      </w:pPr>
      <w:r>
        <w:rPr>
          <w:rFonts w:ascii="IRNazanin" w:hAnsi="IRNazanin" w:eastAsia="IRNazanin" w:cs="IRNazanin"/>
          <w:lang w:bidi="fa-IR"/>
          <w:color w:val="111111"/>
          <w:sz w:val="28"/>
          <w:szCs w:val="28"/>
          <w:rtl/>
        </w:rPr>
        <w:t xml:space="preserve">4 .فضل القرآن (منظوم)، ج 12، ص28.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مناجات و ذكر شمائب النبي و العقائد (منظوم)، ج 15، ص 481.</w:t>
      </w:r>
    </w:p>
    <w:p>
      <w:pPr>
        <w:pStyle w:val="Heading2"/>
      </w:pPr>
      <w:bookmarkStart w:id="6501" w:name="_Toc5603"/>
      <w:r>
        <w:t>قاضي سعيد قمي ، محمّد سعيد بن</w:t>
      </w:r>
      <w:bookmarkEnd w:id="6501"/>
    </w:p>
    <w:p>
      <w:pPr>
        <w:pStyle w:val="BookText"/>
      </w:pPr>
      <w:r>
        <w:rPr>
          <w:rFonts w:ascii="Amiri" w:hAnsi="Amiri" w:eastAsia="Amiri" w:cs="Amiri"/>
          <w:lang w:bidi="ar-SA"/>
          <w:color w:val="111111"/>
          <w:sz w:val="28"/>
          <w:szCs w:val="28"/>
          <w:rtl/>
        </w:rPr>
        <w:t xml:space="preserve">محمّد مفيد، 1049 - 1103 ه-</w:t>
      </w:r>
    </w:p>
    <w:p>
      <w:pPr>
        <w:pStyle w:val="BookText"/>
      </w:pPr>
      <w:r>
        <w:rPr>
          <w:rFonts w:ascii="Amiri" w:hAnsi="Amiri" w:eastAsia="Amiri" w:cs="Amiri"/>
          <w:lang w:bidi="ar-SA"/>
          <w:color w:val="111111"/>
          <w:sz w:val="28"/>
          <w:szCs w:val="28"/>
          <w:rtl/>
        </w:rPr>
        <w:t xml:space="preserve">1 .الاربعون حديثاً = مشكلات الاخبار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الاربعين، ج1، ص707.</w:t>
      </w:r>
    </w:p>
    <w:p>
      <w:pPr>
        <w:pStyle w:val="BookText"/>
      </w:pPr>
      <w:r>
        <w:rPr>
          <w:rFonts w:ascii="Amiri" w:hAnsi="Amiri" w:eastAsia="Amiri" w:cs="Amiri"/>
          <w:lang w:bidi="ar-SA"/>
          <w:color w:val="111111"/>
          <w:sz w:val="28"/>
          <w:szCs w:val="28"/>
          <w:rtl/>
        </w:rPr>
        <w:t xml:space="preserve">2 .الاربعينيات لكشف الانوار</w:t>
      </w:r>
    </w:p>
    <w:p>
      <w:pPr>
        <w:pStyle w:val="BookText"/>
      </w:pPr>
      <w:r>
        <w:rPr>
          <w:rFonts w:ascii="Amiri" w:hAnsi="Amiri" w:eastAsia="Amiri" w:cs="Amiri"/>
          <w:lang w:bidi="ar-SA"/>
          <w:color w:val="111111"/>
          <w:sz w:val="28"/>
          <w:szCs w:val="28"/>
          <w:rtl/>
        </w:rPr>
        <w:t xml:space="preserve">القدسيات، ج 1، ص 747.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اشارة وبشارة = الكشف عن</w:t>
      </w:r>
    </w:p>
    <w:p>
      <w:pPr>
        <w:pStyle w:val="BookText"/>
      </w:pPr>
      <w:r>
        <w:rPr>
          <w:rFonts w:ascii="Amiri" w:hAnsi="Amiri" w:eastAsia="Amiri" w:cs="Amiri"/>
          <w:lang w:bidi="ar-SA"/>
          <w:color w:val="111111"/>
          <w:sz w:val="28"/>
          <w:szCs w:val="28"/>
          <w:rtl/>
        </w:rPr>
        <w:t xml:space="preserve">القراءات السبع - رسالة في اختلاف</w:t>
      </w:r>
    </w:p>
    <w:p>
      <w:pPr>
        <w:pStyle w:val="BookText"/>
      </w:pPr>
      <w:r>
        <w:rPr>
          <w:rFonts w:ascii="Amiri" w:hAnsi="Amiri" w:eastAsia="Amiri" w:cs="Amiri"/>
          <w:lang w:bidi="ar-SA"/>
          <w:color w:val="111111"/>
          <w:sz w:val="28"/>
          <w:szCs w:val="28"/>
          <w:rtl/>
        </w:rPr>
        <w:t xml:space="preserve">القراآت و دفع شبهة التحريف</w:t>
      </w:r>
    </w:p>
    <w:p>
      <w:pPr>
        <w:pStyle w:val="BookText"/>
      </w:pPr>
      <w:r>
        <w:rPr>
          <w:rFonts w:ascii="IRNazanin" w:hAnsi="IRNazanin" w:eastAsia="IRNazanin" w:cs="IRNazanin"/>
          <w:lang w:bidi="fa-IR"/>
          <w:color w:val="111111"/>
          <w:sz w:val="28"/>
          <w:szCs w:val="28"/>
          <w:rtl/>
        </w:rPr>
        <w:t xml:space="preserve">ج 2، ص 262 .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867" w:name="pg7742_71015"/>
    <w:bookmarkEnd w:id="867"/>
    <w:p>
      <w:pPr>
        <w:pStyle w:val="BookText"/>
      </w:pPr>
      <w:r>
        <w:rPr>
          <w:rFonts w:ascii="Amiri" w:hAnsi="Amiri" w:eastAsia="Amiri" w:cs="Amiri"/>
          <w:lang w:bidi="ar-SA"/>
          <w:color w:val="111111"/>
          <w:sz w:val="28"/>
          <w:szCs w:val="28"/>
          <w:rtl/>
        </w:rPr>
        <w:t xml:space="preserve">4 .الانوار القدسية في تحقيق الهيولى و الصورة و النفس و فوائد آخر، ج3،</w:t>
      </w:r>
    </w:p>
    <w:p>
      <w:pPr>
        <w:pStyle w:val="BookText"/>
      </w:pPr>
      <w:r>
        <w:rPr>
          <w:rFonts w:ascii="IRNazanin" w:hAnsi="IRNazanin" w:eastAsia="IRNazanin" w:cs="IRNazanin"/>
          <w:lang w:bidi="fa-IR"/>
          <w:color w:val="111111"/>
          <w:sz w:val="28"/>
          <w:szCs w:val="28"/>
          <w:rtl/>
        </w:rPr>
        <w:t xml:space="preserve">ص 12.</w:t>
      </w:r>
    </w:p>
    <w:p>
      <w:pPr>
        <w:pStyle w:val="BookText"/>
      </w:pPr>
      <w:r>
        <w:rPr>
          <w:rFonts w:ascii="IRNazanin" w:hAnsi="IRNazanin" w:eastAsia="IRNazanin" w:cs="IRNazanin"/>
          <w:lang w:bidi="fa-IR"/>
          <w:color w:val="111111"/>
          <w:sz w:val="28"/>
          <w:szCs w:val="28"/>
          <w:rtl/>
        </w:rPr>
        <w:t xml:space="preserve">5 .البرهان القاطع و النور الساطع = ترجمه اثبات واجب، ج3، ص 316.</w:t>
      </w:r>
    </w:p>
    <w:p>
      <w:pPr>
        <w:pStyle w:val="BookText"/>
      </w:pPr>
      <w:r>
        <w:rPr>
          <w:rFonts w:ascii="Amiri" w:hAnsi="Amiri" w:eastAsia="Amiri" w:cs="Amiri"/>
          <w:lang w:bidi="ar-SA"/>
          <w:color w:val="111111"/>
          <w:sz w:val="28"/>
          <w:szCs w:val="28"/>
          <w:rtl/>
        </w:rPr>
        <w:t xml:space="preserve">6 .البوارق الملكوتية = الطلائع و</w:t>
      </w:r>
    </w:p>
    <w:p>
      <w:pPr>
        <w:pStyle w:val="BookText"/>
      </w:pPr>
      <w:r>
        <w:rPr>
          <w:rFonts w:ascii="IRNazanin" w:hAnsi="IRNazanin" w:eastAsia="IRNazanin" w:cs="IRNazanin"/>
          <w:lang w:bidi="fa-IR"/>
          <w:color w:val="111111"/>
          <w:sz w:val="28"/>
          <w:szCs w:val="28"/>
          <w:rtl/>
        </w:rPr>
        <w:t xml:space="preserve">البوارق، ج 3، ص 446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الحديقة الوردية في السوانح المعراجية = الوردية في تحقيق</w:t>
      </w:r>
    </w:p>
    <w:p>
      <w:pPr>
        <w:pStyle w:val="BookText"/>
      </w:pPr>
      <w:r>
        <w:rPr>
          <w:rFonts w:ascii="Amiri" w:hAnsi="Amiri" w:eastAsia="Amiri" w:cs="Amiri"/>
          <w:lang w:bidi="ar-SA"/>
          <w:color w:val="111111"/>
          <w:sz w:val="28"/>
          <w:szCs w:val="28"/>
          <w:rtl/>
        </w:rPr>
        <w:t xml:space="preserve">سوانح المعراجية، ج6، ص 597.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روح الصلاة = اسرار الصلاة = حقيقة الصلاة، ج8، ص380</w:t>
      </w:r>
    </w:p>
    <w:p>
      <w:pPr>
        <w:pStyle w:val="BookText"/>
      </w:pPr>
      <w:r>
        <w:rPr>
          <w:rFonts w:ascii="Amiri" w:hAnsi="Amiri" w:eastAsia="Amiri" w:cs="Amiri"/>
          <w:lang w:bidi="ar-SA"/>
          <w:color w:val="111111"/>
          <w:sz w:val="28"/>
          <w:szCs w:val="28"/>
          <w:rtl/>
        </w:rPr>
        <w:t xml:space="preserve">9 .شرح التوحيد للصدوق = شرح توحيد الصدوق = شرح كتاب التوحيد، ج 9، ص 355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شرح الحديث الثامن عشر من</w:t>
      </w:r>
    </w:p>
    <w:p>
      <w:pPr>
        <w:pStyle w:val="BookText"/>
      </w:pPr>
      <w:r>
        <w:rPr>
          <w:rFonts w:ascii="Amiri" w:hAnsi="Amiri" w:eastAsia="Amiri" w:cs="Amiri"/>
          <w:lang w:bidi="ar-SA"/>
          <w:color w:val="111111"/>
          <w:sz w:val="28"/>
          <w:szCs w:val="28"/>
          <w:rtl/>
        </w:rPr>
        <w:t xml:space="preserve">كتاب الأربعين، ج 9، ص 385.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شرح حديث الغمامة = شرح حديث البساط، ج 9، ص 395.</w:t>
      </w:r>
    </w:p>
    <w:p>
      <w:pPr>
        <w:pStyle w:val="BookText"/>
      </w:pPr>
      <w:r>
        <w:rPr>
          <w:rFonts w:ascii="Amiri" w:hAnsi="Amiri" w:eastAsia="Amiri" w:cs="Amiri"/>
          <w:lang w:bidi="ar-SA"/>
          <w:color w:val="111111"/>
          <w:sz w:val="28"/>
          <w:szCs w:val="28"/>
          <w:rtl/>
        </w:rPr>
        <w:t xml:space="preserve">12 .الفوائد الرضوية - شرح حديث</w:t>
      </w:r>
    </w:p>
    <w:p>
      <w:pPr>
        <w:pStyle w:val="BookText"/>
      </w:pPr>
      <w:r>
        <w:rPr>
          <w:rFonts w:ascii="IRNazanin" w:hAnsi="IRNazanin" w:eastAsia="IRNazanin" w:cs="IRNazanin"/>
          <w:lang w:bidi="fa-IR"/>
          <w:color w:val="111111"/>
          <w:sz w:val="28"/>
          <w:szCs w:val="28"/>
          <w:rtl/>
        </w:rPr>
        <w:t xml:space="preserve">رأس الجالوت، ج 12، ص 205.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مرقاة الاسرار و معراج الانوار في ربط الحادث بالقديم و حدوث العالم، ج 14، ص 403.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المقصد الأسنى في تحقيق ماهية الحركة ووجودها، ج 15، ص380.</w:t>
      </w:r>
    </w:p>
    <w:p>
      <w:pPr>
        <w:pStyle w:val="BookText"/>
      </w:pPr>
      <w:r>
        <w:rPr>
          <w:rFonts w:ascii="Amiri" w:hAnsi="Amiri" w:eastAsia="Amiri" w:cs="Amiri"/>
          <w:lang w:bidi="ar-SA"/>
          <w:color w:val="111111"/>
          <w:sz w:val="28"/>
          <w:szCs w:val="28"/>
          <w:rtl/>
        </w:rPr>
        <w:t xml:space="preserve">15 .النفحات الالهية و الخواطر</w:t>
      </w:r>
    </w:p>
    <w:p>
      <w:pPr>
        <w:pStyle w:val="BookText"/>
      </w:pPr>
      <w:r>
        <w:rPr>
          <w:rFonts w:ascii="Amiri" w:hAnsi="Amiri" w:eastAsia="Amiri" w:cs="Amiri"/>
          <w:lang w:bidi="ar-SA"/>
          <w:color w:val="111111"/>
          <w:sz w:val="28"/>
          <w:szCs w:val="28"/>
          <w:rtl/>
        </w:rPr>
        <w:t xml:space="preserve">الالهامية، ج 16، ص 379.</w:t>
      </w:r>
    </w:p>
    <w:p>
      <w:pPr>
        <w:pStyle w:val="Heading2"/>
      </w:pPr>
      <w:bookmarkStart w:id="6502" w:name="_Toc5604"/>
      <w:r>
        <w:t>قاضي صفدي، محمّد بن عبدالرحمن</w:t>
      </w:r>
      <w:bookmarkEnd w:id="6502"/>
    </w:p>
    <w:p>
      <w:pPr>
        <w:pStyle w:val="BookText"/>
      </w:pPr>
      <w:r>
        <w:rPr>
          <w:rFonts w:ascii="IRNazanin" w:hAnsi="IRNazanin" w:eastAsia="IRNazanin" w:cs="IRNazanin"/>
          <w:lang w:bidi="fa-IR"/>
          <w:color w:val="111111"/>
          <w:sz w:val="28"/>
          <w:szCs w:val="28"/>
          <w:rtl/>
        </w:rPr>
        <w:t xml:space="preserve">قرن 8 ه-</w:t>
      </w:r>
    </w:p>
    <w:p>
      <w:pPr>
        <w:pStyle w:val="BookText"/>
      </w:pPr>
      <w:r>
        <w:rPr>
          <w:rFonts w:ascii="Amiri" w:hAnsi="Amiri" w:eastAsia="Amiri" w:cs="Amiri"/>
          <w:lang w:bidi="ar-SA"/>
          <w:color w:val="111111"/>
          <w:sz w:val="28"/>
          <w:szCs w:val="28"/>
          <w:rtl/>
        </w:rPr>
        <w:t xml:space="preserve">1 .رحمة الامة في اختلاف الائمة، ج8،</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Amiri" w:hAnsi="Amiri" w:eastAsia="Amiri" w:cs="Amiri"/>
          <w:lang w:bidi="ar-SA"/>
          <w:color w:val="111111"/>
          <w:sz w:val="28"/>
          <w:szCs w:val="28"/>
          <w:rtl/>
        </w:rPr>
        <w:t xml:space="preserve">2 .الفقه (كتاب في)، ج 12، ص 40.</w:t>
      </w:r>
    </w:p>
    <w:p>
      <w:pPr>
        <w:pStyle w:val="Heading2"/>
      </w:pPr>
      <w:bookmarkStart w:id="6503" w:name="_Toc5605"/>
      <w:r>
        <w:t>قاضي ، عبدالرحيم بن احمد</w:t>
      </w:r>
      <w:bookmarkEnd w:id="6503"/>
    </w:p>
    <w:p>
      <w:pPr>
        <w:pStyle w:val="BookText"/>
      </w:pPr>
      <w:r>
        <w:rPr>
          <w:rFonts w:ascii="Amiri" w:hAnsi="Amiri" w:eastAsia="Amiri" w:cs="Amiri"/>
          <w:lang w:bidi="ar-SA"/>
          <w:color w:val="111111"/>
          <w:sz w:val="28"/>
          <w:szCs w:val="28"/>
          <w:rtl/>
        </w:rPr>
        <w:t xml:space="preserve">دقائق الاخبار في ذكر الجنة والنار</w:t>
      </w:r>
    </w:p>
    <w:p>
      <w:pPr>
        <w:pStyle w:val="BookText"/>
      </w:pPr>
      <w:r>
        <w:rPr>
          <w:rFonts w:ascii="IRNazanin" w:hAnsi="IRNazanin" w:eastAsia="IRNazanin" w:cs="IRNazanin"/>
          <w:lang w:bidi="fa-IR"/>
          <w:color w:val="111111"/>
          <w:sz w:val="28"/>
          <w:szCs w:val="28"/>
          <w:rtl/>
        </w:rPr>
        <w:t xml:space="preserve">(ترجمه)، ج 7، ص 428.</w:t>
      </w:r>
    </w:p>
    <w:p>
      <w:pPr>
        <w:pStyle w:val="BookText"/>
      </w:pPr>
      <w:r>
        <w:rPr>
          <w:rFonts w:ascii="Amiri" w:hAnsi="Amiri" w:eastAsia="Amiri" w:cs="Amiri"/>
          <w:lang w:bidi="ar-SA"/>
          <w:color w:val="111111"/>
          <w:sz w:val="28"/>
          <w:szCs w:val="28"/>
          <w:rtl/>
        </w:rPr>
        <w:t xml:space="preserve">قاضي عسكر ، محمّد رضا بن عبد المطلب -تبريزي ، محمّد رضا بن عبدالمطلب</w:t>
      </w:r>
    </w:p>
    <w:p>
      <w:pPr>
        <w:pStyle w:val="Heading2"/>
      </w:pPr>
      <w:bookmarkStart w:id="6504" w:name="_Toc5606"/>
      <w:r>
        <w:t>قاضي عقدالدين</w:t>
      </w:r>
      <w:bookmarkEnd w:id="6504"/>
    </w:p>
    <w:p>
      <w:pPr>
        <w:pStyle w:val="BookText"/>
      </w:pPr>
      <w:r>
        <w:rPr>
          <w:rFonts w:ascii="IRNazanin" w:hAnsi="IRNazanin" w:eastAsia="IRNazanin" w:cs="IRNazanin"/>
          <w:lang w:bidi="fa-IR"/>
          <w:color w:val="111111"/>
          <w:sz w:val="28"/>
          <w:szCs w:val="28"/>
          <w:rtl/>
        </w:rPr>
        <w:t xml:space="preserve">الاخلاق، ج 1، ص 572.</w:t>
      </w:r>
    </w:p>
    <w:p>
      <w:pPr>
        <w:pStyle w:val="Heading2"/>
      </w:pPr>
      <w:bookmarkStart w:id="6505" w:name="_Toc5607"/>
      <w:r>
        <w:t>قاضي عياض ، عياض بن موسى، 476؟ -</w:t>
      </w:r>
      <w:bookmarkEnd w:id="6505"/>
    </w:p>
    <w:p>
      <w:pPr>
        <w:pStyle w:val="BookText"/>
      </w:pPr>
      <w:r>
        <w:rPr>
          <w:rFonts w:ascii="IRNazanin" w:hAnsi="IRNazanin" w:eastAsia="IRNazanin" w:cs="IRNazanin"/>
          <w:lang w:bidi="fa-IR"/>
          <w:color w:val="111111"/>
          <w:sz w:val="28"/>
          <w:szCs w:val="28"/>
          <w:rtl/>
        </w:rPr>
        <w:t xml:space="preserve">544 ه-</w:t>
      </w:r>
    </w:p>
    <w:p>
      <w:pPr>
        <w:pStyle w:val="BookText"/>
      </w:pPr>
      <w:r>
        <w:rPr>
          <w:rFonts w:ascii="Amiri" w:hAnsi="Amiri" w:eastAsia="Amiri" w:cs="Amiri"/>
          <w:lang w:bidi="ar-SA"/>
          <w:color w:val="111111"/>
          <w:sz w:val="28"/>
          <w:szCs w:val="28"/>
          <w:rtl/>
        </w:rPr>
        <w:t xml:space="preserve">1 .اكمال المعلم بفوائد مسلم، ج2،</w:t>
      </w:r>
    </w:p>
    <w:p>
      <w:pPr>
        <w:pStyle w:val="BookText"/>
      </w:pPr>
      <w:r>
        <w:rPr>
          <w:rFonts w:ascii="IRNazanin" w:hAnsi="IRNazanin" w:eastAsia="IRNazanin" w:cs="IRNazanin"/>
          <w:lang w:bidi="fa-IR"/>
          <w:color w:val="111111"/>
          <w:sz w:val="28"/>
          <w:szCs w:val="28"/>
          <w:rtl/>
        </w:rPr>
        <w:t xml:space="preserve">ص 655.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الالماع إلى معرفة الرواية وتقييد</w:t>
      </w:r>
    </w:p>
    <w:p>
      <w:pPr>
        <w:pStyle w:val="BookText"/>
      </w:pPr>
      <w:r>
        <w:rPr>
          <w:rFonts w:ascii="IRNazanin" w:hAnsi="IRNazanin" w:eastAsia="IRNazanin" w:cs="IRNazanin"/>
          <w:lang w:bidi="fa-IR"/>
          <w:color w:val="111111"/>
          <w:sz w:val="28"/>
          <w:szCs w:val="28"/>
          <w:rtl/>
        </w:rPr>
        <w:t xml:space="preserve">السماع، ج 2، ص 695.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بغية الرائد فيما تضمنه حديث ام</w:t>
      </w:r>
    </w:p>
    <w:p>
      <w:pPr>
        <w:pStyle w:val="BookText"/>
      </w:pPr>
      <w:r>
        <w:rPr>
          <w:rFonts w:ascii="IRNazanin" w:hAnsi="IRNazanin" w:eastAsia="IRNazanin" w:cs="IRNazanin"/>
          <w:lang w:bidi="fa-IR"/>
          <w:color w:val="111111"/>
          <w:sz w:val="28"/>
          <w:szCs w:val="28"/>
          <w:rtl/>
        </w:rPr>
        <w:t xml:space="preserve">زرع من الفوائد، ج 3، ص 366.</w:t>
      </w:r>
    </w:p>
    <w:p>
      <w:pPr>
        <w:pStyle w:val="BookText"/>
      </w:pPr>
      <w:r>
        <w:rPr>
          <w:rFonts w:ascii="Amiri" w:hAnsi="Amiri" w:eastAsia="Amiri" w:cs="Amiri"/>
          <w:lang w:bidi="ar-SA"/>
          <w:color w:val="111111"/>
          <w:sz w:val="28"/>
          <w:szCs w:val="28"/>
          <w:rtl/>
        </w:rPr>
        <w:t xml:space="preserve">4 .الشفاء بتعريف حقوق المصطفى</w:t>
      </w:r>
    </w:p>
    <w:p>
      <w:pPr>
        <w:pStyle w:val="BookText"/>
      </w:pPr>
      <w:r>
        <w:rPr>
          <w:rFonts w:ascii="IRNazanin" w:hAnsi="IRNazanin" w:eastAsia="IRNazanin" w:cs="IRNazanin"/>
          <w:lang w:bidi="fa-IR"/>
          <w:color w:val="111111"/>
          <w:sz w:val="28"/>
          <w:szCs w:val="28"/>
          <w:rtl/>
        </w:rPr>
        <w:t xml:space="preserve">ج 10، ص 377.</w:t>
      </w:r>
    </w:p>
    <w:p>
      <w:pPr>
        <w:pStyle w:val="Heading2"/>
      </w:pPr>
      <w:bookmarkStart w:id="6506" w:name="_Toc5608"/>
      <w:r>
        <w:t>قاضي مبارك، قرن 12 ه-</w:t>
      </w:r>
      <w:bookmarkEnd w:id="65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حاشية حاشية حاشية الدواني على</w:t>
      </w:r>
    </w:p>
    <w:p>
      <w:pPr>
        <w:pStyle w:val="BookText"/>
      </w:pPr>
      <w:r>
        <w:rPr>
          <w:rFonts w:ascii="Amiri" w:hAnsi="Amiri" w:eastAsia="Amiri" w:cs="Amiri"/>
          <w:lang w:bidi="ar-SA"/>
          <w:color w:val="111111"/>
          <w:sz w:val="28"/>
          <w:szCs w:val="28"/>
          <w:rtl/>
        </w:rPr>
        <w:t xml:space="preserve">تهذيب المنطق، ج 5، ص 790.</w:t>
      </w:r>
    </w:p>
    <w:p>
      <w:pPr>
        <w:pStyle w:val="BookText"/>
      </w:pPr>
      <w:r>
        <w:rPr>
          <w:rFonts w:ascii="Amiri" w:hAnsi="Amiri" w:eastAsia="Amiri" w:cs="Amiri"/>
          <w:lang w:bidi="ar-SA"/>
          <w:color w:val="111111"/>
          <w:sz w:val="28"/>
          <w:szCs w:val="28"/>
          <w:rtl/>
        </w:rPr>
        <w:t xml:space="preserve">2 .المنهيات، ج 15، ص 818.</w:t>
      </w:r>
    </w:p>
    <w:p>
      <w:pPr>
        <w:pStyle w:val="Heading2"/>
      </w:pPr>
      <w:bookmarkStart w:id="6507" w:name="_Toc5609"/>
      <w:r>
        <w:t>قاضي ، محمّد بن منصور</w:t>
      </w:r>
      <w:bookmarkEnd w:id="6507"/>
    </w:p>
    <w:p>
      <w:pPr>
        <w:pStyle w:val="BookText"/>
      </w:pPr>
      <w:r>
        <w:rPr>
          <w:rFonts w:ascii="Amiri" w:hAnsi="Amiri" w:eastAsia="Amiri" w:cs="Amiri"/>
          <w:lang w:bidi="ar-SA"/>
          <w:color w:val="111111"/>
          <w:sz w:val="28"/>
          <w:szCs w:val="28"/>
          <w:rtl/>
        </w:rPr>
        <w:t xml:space="preserve">تهذيب الاسماء، ج 5، ص108.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868" w:name="pg7742_71018"/>
    <w:bookmarkEnd w:id="868"/>
    <w:p>
      <w:pPr>
        <w:pStyle w:val="Heading2"/>
      </w:pPr>
      <w:bookmarkStart w:id="6508" w:name="_Toc5610"/>
      <w:r>
        <w:t>قاضي مدينه ، مصطفى بن محمّد</w:t>
      </w:r>
      <w:bookmarkEnd w:id="6508"/>
    </w:p>
    <w:p>
      <w:pPr>
        <w:pStyle w:val="BookText"/>
      </w:pPr>
      <w:r>
        <w:rPr>
          <w:rFonts w:ascii="Amiri" w:hAnsi="Amiri" w:eastAsia="Amiri" w:cs="Amiri"/>
          <w:lang w:bidi="ar-SA"/>
          <w:color w:val="111111"/>
          <w:sz w:val="28"/>
          <w:szCs w:val="28"/>
          <w:rtl/>
        </w:rPr>
        <w:t xml:space="preserve">تعلم الشعر (رسالة في)، ج 4، ص 487.</w:t>
      </w:r>
    </w:p>
    <w:p>
      <w:pPr>
        <w:pStyle w:val="Heading2"/>
      </w:pPr>
      <w:bookmarkStart w:id="6509" w:name="_Toc5611"/>
      <w:r>
        <w:t>قاضي مقدمي محمّد بن احمد -301ه-</w:t>
      </w:r>
      <w:bookmarkEnd w:id="6509"/>
    </w:p>
    <w:p>
      <w:pPr>
        <w:pStyle w:val="BookText"/>
      </w:pPr>
      <w:r>
        <w:rPr>
          <w:rFonts w:ascii="Amiri" w:hAnsi="Amiri" w:eastAsia="Amiri" w:cs="Amiri"/>
          <w:lang w:bidi="ar-SA"/>
          <w:color w:val="111111"/>
          <w:sz w:val="28"/>
          <w:szCs w:val="28"/>
          <w:rtl/>
        </w:rPr>
        <w:t xml:space="preserve">التاريخ و اسماء المحدثين و كناهم</w:t>
      </w:r>
    </w:p>
    <w:p>
      <w:pPr>
        <w:pStyle w:val="BookText"/>
      </w:pPr>
      <w:r>
        <w:rPr>
          <w:rFonts w:ascii="IRNazanin" w:hAnsi="IRNazanin" w:eastAsia="IRNazanin" w:cs="IRNazanin"/>
          <w:lang w:bidi="fa-IR"/>
          <w:color w:val="111111"/>
          <w:sz w:val="28"/>
          <w:szCs w:val="28"/>
          <w:rtl/>
        </w:rPr>
        <w:t xml:space="preserve">ج 3، ص 613 .</w:t>
      </w:r>
    </w:p>
    <w:p>
      <w:pPr>
        <w:pStyle w:val="Heading2"/>
      </w:pPr>
      <w:bookmarkStart w:id="6510" w:name="_Toc5612"/>
      <w:r>
        <w:t>قاضي ، منير بن خضر، 1892 - 1969م</w:t>
      </w:r>
      <w:bookmarkEnd w:id="6510"/>
    </w:p>
    <w:p>
      <w:pPr>
        <w:pStyle w:val="BookText"/>
      </w:pPr>
      <w:r>
        <w:rPr>
          <w:rFonts w:ascii="Amiri" w:hAnsi="Amiri" w:eastAsia="Amiri" w:cs="Amiri"/>
          <w:lang w:bidi="ar-SA"/>
          <w:color w:val="111111"/>
          <w:sz w:val="28"/>
          <w:szCs w:val="28"/>
          <w:rtl/>
        </w:rPr>
        <w:t xml:space="preserve">اعانة الطلاب في شرح خريدة الآداب</w:t>
      </w:r>
    </w:p>
    <w:p>
      <w:pPr>
        <w:pStyle w:val="BookText"/>
      </w:pPr>
      <w:r>
        <w:rPr>
          <w:rFonts w:ascii="IRNazanin" w:hAnsi="IRNazanin" w:eastAsia="IRNazanin" w:cs="IRNazanin"/>
          <w:lang w:bidi="fa-IR"/>
          <w:color w:val="111111"/>
          <w:sz w:val="28"/>
          <w:szCs w:val="28"/>
          <w:rtl/>
        </w:rPr>
        <w:t xml:space="preserve">ج 2، ص 494.</w:t>
      </w:r>
    </w:p>
    <w:p>
      <w:pPr>
        <w:pStyle w:val="Heading2"/>
      </w:pPr>
      <w:bookmarkStart w:id="6511" w:name="_Toc5613"/>
      <w:r>
        <w:t>قاعدي ، فخرالدين مصطفى</w:t>
      </w:r>
      <w:bookmarkEnd w:id="6511"/>
    </w:p>
    <w:p>
      <w:pPr>
        <w:pStyle w:val="BookText"/>
      </w:pPr>
      <w:r>
        <w:rPr>
          <w:rFonts w:ascii="Amiri" w:hAnsi="Amiri" w:eastAsia="Amiri" w:cs="Amiri"/>
          <w:lang w:bidi="ar-SA"/>
          <w:color w:val="111111"/>
          <w:sz w:val="28"/>
          <w:szCs w:val="28"/>
          <w:rtl/>
        </w:rPr>
        <w:t xml:space="preserve">حديقة الازهار، ج 6 ، ص 582.</w:t>
      </w:r>
    </w:p>
    <w:p>
      <w:pPr>
        <w:pStyle w:val="BookText"/>
      </w:pPr>
      <w:r>
        <w:rPr>
          <w:rFonts w:ascii="Amiri" w:hAnsi="Amiri" w:eastAsia="Amiri" w:cs="Amiri"/>
          <w:lang w:bidi="ar-SA"/>
          <w:color w:val="111111"/>
          <w:sz w:val="28"/>
          <w:szCs w:val="28"/>
          <w:rtl/>
        </w:rPr>
        <w:t xml:space="preserve">قالعي، ابوالسيادات محمّد- صوفي ،</w:t>
      </w:r>
    </w:p>
    <w:p>
      <w:pPr>
        <w:pStyle w:val="BookText"/>
      </w:pPr>
      <w:r>
        <w:rPr>
          <w:rFonts w:ascii="Amiri" w:hAnsi="Amiri" w:eastAsia="Amiri" w:cs="Amiri"/>
          <w:lang w:bidi="ar-SA"/>
          <w:color w:val="111111"/>
          <w:sz w:val="28"/>
          <w:szCs w:val="28"/>
          <w:rtl/>
        </w:rPr>
        <w:t xml:space="preserve">ابوالسيادات محمّد</w:t>
      </w:r>
    </w:p>
    <w:p>
      <w:pPr>
        <w:pStyle w:val="Heading2"/>
      </w:pPr>
      <w:bookmarkStart w:id="6512" w:name="_Toc5614"/>
      <w:r>
        <w:t>قالي، اسماعيل بن قاسم، 288 - 356 ه-</w:t>
      </w:r>
      <w:bookmarkEnd w:id="65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الامالي، ج 2، ص710.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الأمثال، ج 2، ص 744.</w:t>
      </w:r>
    </w:p>
    <w:p>
      <w:pPr>
        <w:pStyle w:val="Heading2"/>
      </w:pPr>
      <w:bookmarkStart w:id="6513" w:name="_Toc5615"/>
      <w:r>
        <w:t>قاهر اصفهاني ، محمّد جواد قرن 13 ه-</w:t>
      </w:r>
      <w:bookmarkEnd w:id="6513"/>
    </w:p>
    <w:p>
      <w:pPr>
        <w:pStyle w:val="BookText"/>
      </w:pPr>
      <w:r>
        <w:rPr>
          <w:rFonts w:ascii="Amiri" w:hAnsi="Amiri" w:eastAsia="Amiri" w:cs="Amiri"/>
          <w:lang w:bidi="ar-SA"/>
          <w:color w:val="111111"/>
          <w:sz w:val="28"/>
          <w:szCs w:val="28"/>
          <w:rtl/>
        </w:rPr>
        <w:t xml:space="preserve">مخبر اليقين، ج 14، ص 140 .</w:t>
      </w:r>
    </w:p>
    <w:p>
      <w:pPr>
        <w:pStyle w:val="BookText"/>
      </w:pPr>
      <w:r>
        <w:rPr>
          <w:rFonts w:ascii="Amiri" w:hAnsi="Amiri" w:eastAsia="Amiri" w:cs="Amiri"/>
          <w:lang w:bidi="ar-SA"/>
          <w:color w:val="111111"/>
          <w:sz w:val="28"/>
          <w:szCs w:val="28"/>
          <w:rtl/>
        </w:rPr>
        <w:t xml:space="preserve">قاهري، عبد الله بن خليل- مارديني ،</w:t>
      </w:r>
    </w:p>
    <w:p>
      <w:pPr>
        <w:pStyle w:val="BookText"/>
      </w:pPr>
      <w:r>
        <w:rPr>
          <w:rFonts w:ascii="Amiri" w:hAnsi="Amiri" w:eastAsia="Amiri" w:cs="Amiri"/>
          <w:lang w:bidi="ar-SA"/>
          <w:color w:val="111111"/>
          <w:sz w:val="28"/>
          <w:szCs w:val="28"/>
          <w:rtl/>
        </w:rPr>
        <w:t xml:space="preserve">عبدالله بن خليل</w:t>
      </w:r>
    </w:p>
    <w:p>
      <w:pPr>
        <w:pStyle w:val="BookText"/>
      </w:pPr>
      <w:r>
        <w:rPr>
          <w:rFonts w:ascii="Amiri" w:hAnsi="Amiri" w:eastAsia="Amiri" w:cs="Amiri"/>
          <w:lang w:bidi="ar-SA"/>
          <w:color w:val="111111"/>
          <w:sz w:val="28"/>
          <w:szCs w:val="28"/>
          <w:rtl/>
        </w:rPr>
        <w:t xml:space="preserve">قاهري، علي بن عبدالله -سنهوري ، علي</w:t>
      </w:r>
    </w:p>
    <w:p>
      <w:pPr>
        <w:pStyle w:val="BookText"/>
      </w:pPr>
      <w:r>
        <w:rPr>
          <w:rFonts w:ascii="IRNazanin" w:hAnsi="IRNazanin" w:eastAsia="IRNazanin" w:cs="IRNazanin"/>
          <w:lang w:bidi="fa-IR"/>
          <w:color w:val="111111"/>
          <w:sz w:val="28"/>
          <w:szCs w:val="28"/>
          <w:rtl/>
        </w:rPr>
        <w:t xml:space="preserve">بن عبدالله</w:t>
      </w:r>
    </w:p>
    <w:p>
      <w:pPr>
        <w:pStyle w:val="BookText"/>
      </w:pPr>
      <w:r>
        <w:rPr>
          <w:rFonts w:ascii="IRNazanin" w:hAnsi="IRNazanin" w:eastAsia="IRNazanin" w:cs="IRNazanin"/>
          <w:lang w:bidi="fa-IR"/>
          <w:color w:val="111111"/>
          <w:sz w:val="28"/>
          <w:szCs w:val="28"/>
          <w:rtl/>
        </w:rPr>
        <w:t xml:space="preserve">قاوان، محمود بن محمّد -خواجه جهان ،</w:t>
      </w:r>
    </w:p>
    <w:p>
      <w:pPr>
        <w:pStyle w:val="BookText"/>
      </w:pPr>
      <w:r>
        <w:rPr>
          <w:rFonts w:ascii="IRNazanin" w:hAnsi="IRNazanin" w:eastAsia="IRNazanin" w:cs="IRNazanin"/>
          <w:lang w:bidi="fa-IR"/>
          <w:color w:val="111111"/>
          <w:sz w:val="28"/>
          <w:szCs w:val="28"/>
          <w:rtl/>
        </w:rPr>
        <w:t xml:space="preserve">محمود بن محمّد</w:t>
      </w:r>
    </w:p>
    <w:p>
      <w:pPr>
        <w:pStyle w:val="Heading2"/>
      </w:pPr>
      <w:bookmarkStart w:id="6514" w:name="_Toc5616"/>
      <w:r>
        <w:t>قاوقجي ، محمّد بن خليل - 1305 ه-</w:t>
      </w:r>
      <w:bookmarkEnd w:id="6514"/>
    </w:p>
    <w:p>
      <w:pPr>
        <w:pStyle w:val="BookText"/>
      </w:pPr>
      <w:r>
        <w:rPr>
          <w:rFonts w:ascii="Amiri" w:hAnsi="Amiri" w:eastAsia="Amiri" w:cs="Amiri"/>
          <w:lang w:bidi="ar-SA"/>
          <w:color w:val="111111"/>
          <w:sz w:val="28"/>
          <w:szCs w:val="28"/>
          <w:rtl/>
        </w:rPr>
        <w:t xml:space="preserve">البدر المنير على حزب الشاذلي الكبير</w:t>
      </w:r>
    </w:p>
    <w:p>
      <w:pPr>
        <w:pStyle w:val="BookText"/>
      </w:pPr>
      <w:r>
        <w:rPr>
          <w:rFonts w:ascii="IRNazanin" w:hAnsi="IRNazanin" w:eastAsia="IRNazanin" w:cs="IRNazanin"/>
          <w:lang w:bidi="fa-IR"/>
          <w:color w:val="111111"/>
          <w:sz w:val="28"/>
          <w:szCs w:val="28"/>
          <w:rtl/>
        </w:rPr>
        <w:t xml:space="preserve">ج 3، ص 267.</w:t>
      </w:r>
    </w:p>
    <w:p>
      <w:pPr>
        <w:pStyle w:val="BookText"/>
      </w:pPr>
      <w:r>
        <w:rPr>
          <w:rFonts w:ascii="Amiri" w:hAnsi="Amiri" w:eastAsia="Amiri" w:cs="Amiri"/>
          <w:lang w:bidi="ar-SA"/>
          <w:color w:val="111111"/>
          <w:sz w:val="28"/>
          <w:szCs w:val="28"/>
          <w:rtl/>
        </w:rPr>
        <w:t xml:space="preserve">قايني ، محمّد بن حسام- ابن حسام ،</w:t>
      </w:r>
    </w:p>
    <w:p>
      <w:pPr>
        <w:pStyle w:val="BookText"/>
      </w:pPr>
      <w:r>
        <w:rPr>
          <w:rFonts w:ascii="IRNazanin" w:hAnsi="IRNazanin" w:eastAsia="IRNazanin" w:cs="IRNazanin"/>
          <w:lang w:bidi="fa-IR"/>
          <w:color w:val="111111"/>
          <w:sz w:val="28"/>
          <w:szCs w:val="28"/>
          <w:rtl/>
        </w:rPr>
        <w:t xml:space="preserve">محمد بن حسام الدین</w:t>
      </w:r>
    </w:p>
    <w:p>
      <w:pPr>
        <w:pStyle w:val="BookText"/>
      </w:pPr>
      <w:r>
        <w:rPr>
          <w:rFonts w:ascii="IRNazanin" w:hAnsi="IRNazanin" w:eastAsia="IRNazanin" w:cs="IRNazanin"/>
          <w:lang w:bidi="fa-IR"/>
          <w:color w:val="111111"/>
          <w:sz w:val="28"/>
          <w:szCs w:val="28"/>
          <w:rtl/>
        </w:rPr>
        <w:t xml:space="preserve">قباد ، محمّد امین بن صدر الدين- شرواني ،</w:t>
      </w:r>
    </w:p>
    <w:p>
      <w:pPr>
        <w:pStyle w:val="BookText"/>
      </w:pPr>
      <w:r>
        <w:rPr>
          <w:rFonts w:ascii="IRNazanin" w:hAnsi="IRNazanin" w:eastAsia="IRNazanin" w:cs="IRNazanin"/>
          <w:lang w:bidi="fa-IR"/>
          <w:color w:val="111111"/>
          <w:sz w:val="28"/>
          <w:szCs w:val="28"/>
          <w:rtl/>
        </w:rPr>
        <w:t xml:space="preserve">محمّد امین بن صدر الدین</w:t>
      </w:r>
    </w:p>
    <w:p>
      <w:pPr>
        <w:pStyle w:val="BookText"/>
      </w:pPr>
      <w:r>
        <w:rPr>
          <w:rFonts w:ascii="Amiri" w:hAnsi="Amiri" w:eastAsia="Amiri" w:cs="Amiri"/>
          <w:lang w:bidi="ar-SA"/>
          <w:color w:val="111111"/>
          <w:sz w:val="28"/>
          <w:szCs w:val="28"/>
          <w:rtl/>
        </w:rPr>
        <w:t xml:space="preserve">قبادياني ، ناصر خسرو -ناصر خسرو</w:t>
      </w:r>
    </w:p>
    <w:p>
      <w:pPr>
        <w:pStyle w:val="Heading2"/>
      </w:pPr>
      <w:bookmarkStart w:id="6515" w:name="_Toc5617"/>
      <w:r>
        <w:t>قباقبي ، ابراهيم بن محمّد قرن 10 ه-</w:t>
      </w:r>
      <w:bookmarkEnd w:id="6515"/>
    </w:p>
    <w:p>
      <w:pPr>
        <w:pStyle w:val="BookText"/>
      </w:pPr>
      <w:r>
        <w:rPr>
          <w:rFonts w:ascii="Amiri" w:hAnsi="Amiri" w:eastAsia="Amiri" w:cs="Amiri"/>
          <w:lang w:bidi="ar-SA"/>
          <w:color w:val="111111"/>
          <w:sz w:val="28"/>
          <w:szCs w:val="28"/>
          <w:rtl/>
        </w:rPr>
        <w:t xml:space="preserve">تهذيب الانشاد في تقريب الارشاد</w:t>
      </w:r>
    </w:p>
    <w:p>
      <w:pPr>
        <w:pStyle w:val="BookText"/>
      </w:pPr>
      <w:r>
        <w:rPr>
          <w:rFonts w:ascii="IRNazanin" w:hAnsi="IRNazanin" w:eastAsia="IRNazanin" w:cs="IRNazanin"/>
          <w:lang w:bidi="fa-IR"/>
          <w:color w:val="111111"/>
          <w:sz w:val="28"/>
          <w:szCs w:val="28"/>
          <w:rtl/>
        </w:rPr>
        <w:t xml:space="preserve">ج 5، ص 110.</w:t>
      </w:r>
    </w:p>
    <w:p>
      <w:pPr>
        <w:pStyle w:val="Heading2"/>
      </w:pPr>
      <w:bookmarkStart w:id="6516" w:name="_Toc5618"/>
      <w:r>
        <w:t>قباقبي، محمّد بن خليل 777 - 849 ه-</w:t>
      </w:r>
      <w:bookmarkEnd w:id="6516"/>
    </w:p>
    <w:p>
      <w:pPr>
        <w:pStyle w:val="BookText"/>
      </w:pPr>
      <w:r>
        <w:rPr>
          <w:rFonts w:ascii="Amiri" w:hAnsi="Amiri" w:eastAsia="Amiri" w:cs="Amiri"/>
          <w:lang w:bidi="ar-SA"/>
          <w:color w:val="111111"/>
          <w:sz w:val="28"/>
          <w:szCs w:val="28"/>
          <w:rtl/>
        </w:rPr>
        <w:t xml:space="preserve">1 .ايضاح الرموز و مفتاح الكنوز، ج3،</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Amiri" w:hAnsi="Amiri" w:eastAsia="Amiri" w:cs="Amiri"/>
          <w:lang w:bidi="ar-SA"/>
          <w:color w:val="111111"/>
          <w:sz w:val="28"/>
          <w:szCs w:val="28"/>
          <w:rtl/>
        </w:rPr>
        <w:t xml:space="preserve">2 .بديعية المقري، ج 3، ص292.</w:t>
      </w:r>
    </w:p>
    <w:p>
      <w:pPr>
        <w:pStyle w:val="BookText"/>
      </w:pPr>
      <w:r>
        <w:rPr>
          <w:rFonts w:ascii="Amiri" w:hAnsi="Amiri" w:eastAsia="Amiri" w:cs="Amiri"/>
          <w:lang w:bidi="ar-SA"/>
          <w:color w:val="111111"/>
          <w:sz w:val="28"/>
          <w:szCs w:val="28"/>
          <w:rtl/>
        </w:rPr>
        <w:t xml:space="preserve">3.التفاسير الشريفة، ج4، ص 565.</w:t>
      </w:r>
    </w:p>
    <w:p>
      <w:pPr>
        <w:pStyle w:val="BookText"/>
      </w:pPr>
      <w:r>
        <w:rPr>
          <w:rFonts w:ascii="Amiri" w:hAnsi="Amiri" w:eastAsia="Amiri" w:cs="Amiri"/>
          <w:lang w:bidi="ar-SA"/>
          <w:color w:val="111111"/>
          <w:sz w:val="28"/>
          <w:szCs w:val="28"/>
          <w:rtl/>
        </w:rPr>
        <w:t xml:space="preserve">4 .زبدة المقتفي في تحرير الفاظ</w:t>
      </w:r>
    </w:p>
    <w:p>
      <w:pPr>
        <w:pStyle w:val="BookText"/>
      </w:pPr>
      <w:r>
        <w:rPr>
          <w:rFonts w:ascii="IRNazanin" w:hAnsi="IRNazanin" w:eastAsia="IRNazanin" w:cs="IRNazanin"/>
          <w:lang w:bidi="fa-IR"/>
          <w:color w:val="111111"/>
          <w:sz w:val="28"/>
          <w:szCs w:val="28"/>
          <w:rtl/>
        </w:rPr>
        <w:t xml:space="preserve">الشفاء، ج8، ص 592.</w:t>
      </w:r>
    </w:p>
    <w:p>
      <w:pPr>
        <w:pStyle w:val="BookText"/>
      </w:pPr>
      <w:r>
        <w:rPr>
          <w:rFonts w:ascii="Amiri" w:hAnsi="Amiri" w:eastAsia="Amiri" w:cs="Amiri"/>
          <w:lang w:bidi="ar-SA"/>
          <w:color w:val="111111"/>
          <w:sz w:val="28"/>
          <w:szCs w:val="28"/>
          <w:rtl/>
        </w:rPr>
        <w:t xml:space="preserve">5 .مجمع السرور و الحبور و مطلع الشموس و البدور = ارجوزة في</w:t>
      </w:r>
    </w:p>
    <w:p>
      <w:pPr>
        <w:pStyle w:val="BookText"/>
      </w:pPr>
      <w:r>
        <w:rPr>
          <w:rFonts w:ascii="Amiri" w:hAnsi="Amiri" w:eastAsia="Amiri" w:cs="Amiri"/>
          <w:lang w:bidi="ar-SA"/>
          <w:color w:val="111111"/>
          <w:sz w:val="28"/>
          <w:szCs w:val="28"/>
          <w:rtl/>
        </w:rPr>
        <w:t xml:space="preserve">القرائة، ج 13، ص 852.</w:t>
      </w:r>
    </w:p>
    <w:p>
      <w:pPr>
        <w:pStyle w:val="Heading2"/>
      </w:pPr>
      <w:bookmarkStart w:id="6517" w:name="_Toc5619"/>
      <w:r>
        <w:t>قبالي زاده ، علي چلبي</w:t>
      </w:r>
      <w:bookmarkEnd w:id="6517"/>
    </w:p>
    <w:p>
      <w:pPr>
        <w:pStyle w:val="BookText"/>
      </w:pPr>
      <w:r>
        <w:rPr>
          <w:rFonts w:ascii="Amiri" w:hAnsi="Amiri" w:eastAsia="Amiri" w:cs="Amiri"/>
          <w:lang w:bidi="ar-SA"/>
          <w:color w:val="111111"/>
          <w:sz w:val="28"/>
          <w:szCs w:val="28"/>
          <w:rtl/>
        </w:rPr>
        <w:t xml:space="preserve">الرسالة القلمية، ج8، ص 251.</w:t>
      </w:r>
    </w:p>
    <w:p>
      <w:pPr>
        <w:pStyle w:val="Heading2"/>
      </w:pPr>
      <w:bookmarkStart w:id="6518" w:name="_Toc5620"/>
      <w:r>
        <w:t>قباني ، احمد بن ملا علي - 1138 ه-</w:t>
      </w:r>
      <w:bookmarkEnd w:id="6518"/>
    </w:p>
    <w:p>
      <w:pPr>
        <w:pStyle w:val="BookText"/>
      </w:pPr>
      <w:r>
        <w:rPr>
          <w:rFonts w:ascii="Amiri" w:hAnsi="Amiri" w:eastAsia="Amiri" w:cs="Amiri"/>
          <w:lang w:bidi="ar-SA"/>
          <w:color w:val="111111"/>
          <w:sz w:val="28"/>
          <w:szCs w:val="28"/>
          <w:rtl/>
        </w:rPr>
        <w:t xml:space="preserve">فصل الخطاب في الرد على ابن</w:t>
      </w:r>
    </w:p>
    <w:p>
      <w:pPr>
        <w:pStyle w:val="BookText"/>
      </w:pPr>
      <w:r>
        <w:rPr>
          <w:rFonts w:ascii="IRNazanin" w:hAnsi="IRNazanin" w:eastAsia="IRNazanin" w:cs="IRNazanin"/>
          <w:lang w:bidi="fa-IR"/>
          <w:color w:val="111111"/>
          <w:sz w:val="28"/>
          <w:szCs w:val="28"/>
          <w:rtl/>
        </w:rPr>
        <w:t xml:space="preserve">عبدالوهاب، ج 11، ص832.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869" w:name="pg7742_71020"/>
    <w:bookmarkEnd w:id="869"/>
    <w:p>
      <w:pPr>
        <w:pStyle w:val="Heading2"/>
      </w:pPr>
      <w:bookmarkStart w:id="6519" w:name="_Toc5621"/>
      <w:r>
        <w:t>قباني ، عبد الرحمن، قرن 13 ه-</w:t>
      </w:r>
      <w:bookmarkEnd w:id="6519"/>
    </w:p>
    <w:p>
      <w:pPr>
        <w:pStyle w:val="BookText"/>
      </w:pPr>
      <w:r>
        <w:rPr>
          <w:rFonts w:ascii="Amiri" w:hAnsi="Amiri" w:eastAsia="Amiri" w:cs="Amiri"/>
          <w:lang w:bidi="ar-SA"/>
          <w:color w:val="111111"/>
          <w:sz w:val="28"/>
          <w:szCs w:val="28"/>
          <w:rtl/>
        </w:rPr>
        <w:t xml:space="preserve">رفع القدر في التوسل باهل البدر، ج8،</w:t>
      </w:r>
    </w:p>
    <w:p>
      <w:pPr>
        <w:pStyle w:val="BookText"/>
      </w:pPr>
      <w:r>
        <w:rPr>
          <w:rFonts w:ascii="IRNazanin" w:hAnsi="IRNazanin" w:eastAsia="IRNazanin" w:cs="IRNazanin"/>
          <w:lang w:bidi="fa-IR"/>
          <w:color w:val="111111"/>
          <w:sz w:val="28"/>
          <w:szCs w:val="28"/>
          <w:rtl/>
        </w:rPr>
        <w:t xml:space="preserve">ص 345.</w:t>
      </w:r>
    </w:p>
    <w:p>
      <w:pPr>
        <w:pStyle w:val="BookText"/>
      </w:pPr>
      <w:r>
        <w:rPr>
          <w:rFonts w:ascii="Amiri" w:hAnsi="Amiri" w:eastAsia="Amiri" w:cs="Amiri"/>
          <w:lang w:bidi="ar-SA"/>
          <w:color w:val="111111"/>
          <w:sz w:val="28"/>
          <w:szCs w:val="28"/>
          <w:rtl/>
        </w:rPr>
        <w:t xml:space="preserve">قباني ، فتح الله بن علوان -كعبي ، فتح الله بن علوان</w:t>
      </w:r>
    </w:p>
    <w:p>
      <w:pPr>
        <w:pStyle w:val="Heading2"/>
      </w:pPr>
      <w:bookmarkStart w:id="6520" w:name="_Toc5622"/>
      <w:r>
        <w:t>قباني ، محمّد، قرن 12 ه-</w:t>
      </w:r>
      <w:bookmarkEnd w:id="6520"/>
    </w:p>
    <w:p>
      <w:pPr>
        <w:pStyle w:val="BookText"/>
      </w:pPr>
      <w:r>
        <w:rPr>
          <w:rFonts w:ascii="Amiri" w:hAnsi="Amiri" w:eastAsia="Amiri" w:cs="Amiri"/>
          <w:lang w:bidi="ar-SA"/>
          <w:color w:val="111111"/>
          <w:sz w:val="28"/>
          <w:szCs w:val="28"/>
          <w:rtl/>
        </w:rPr>
        <w:t xml:space="preserve">شرح العمريطية، ج9، ص 751.</w:t>
      </w:r>
    </w:p>
    <w:p>
      <w:pPr>
        <w:pStyle w:val="Heading2"/>
      </w:pPr>
      <w:bookmarkStart w:id="6521" w:name="_Toc5623"/>
      <w:r>
        <w:t>قبرصي سينائي ، تاوفیطس ،رودنیس قرن</w:t>
      </w:r>
      <w:bookmarkEnd w:id="6521"/>
    </w:p>
    <w:p>
      <w:pPr>
        <w:pStyle w:val="BookText"/>
      </w:pPr>
      <w:r>
        <w:rPr>
          <w:rFonts w:ascii="IRNazanin" w:hAnsi="IRNazanin" w:eastAsia="IRNazanin" w:cs="IRNazanin"/>
          <w:lang w:bidi="fa-IR"/>
          <w:color w:val="111111"/>
          <w:sz w:val="28"/>
          <w:szCs w:val="28"/>
          <w:rtl/>
        </w:rPr>
        <w:t xml:space="preserve">17 م</w:t>
      </w:r>
    </w:p>
    <w:p>
      <w:pPr>
        <w:pStyle w:val="BookText"/>
      </w:pPr>
      <w:r>
        <w:rPr>
          <w:rFonts w:ascii="Amiri" w:hAnsi="Amiri" w:eastAsia="Amiri" w:cs="Amiri"/>
          <w:lang w:bidi="ar-SA"/>
          <w:color w:val="111111"/>
          <w:sz w:val="28"/>
          <w:szCs w:val="28"/>
          <w:rtl/>
        </w:rPr>
        <w:t xml:space="preserve">الكشاف في سر الاعتراف، ج13،</w:t>
      </w:r>
    </w:p>
    <w:p>
      <w:pPr>
        <w:pStyle w:val="BookText"/>
      </w:pPr>
      <w:r>
        <w:rPr>
          <w:rFonts w:ascii="IRNazanin" w:hAnsi="IRNazanin" w:eastAsia="IRNazanin" w:cs="IRNazanin"/>
          <w:lang w:bidi="fa-IR"/>
          <w:color w:val="111111"/>
          <w:sz w:val="28"/>
          <w:szCs w:val="28"/>
          <w:rtl/>
        </w:rPr>
        <w:t xml:space="preserve">ص 171</w:t>
      </w:r>
    </w:p>
    <w:p>
      <w:pPr>
        <w:pStyle w:val="BookText"/>
      </w:pPr>
      <w:r>
        <w:rPr>
          <w:rFonts w:ascii="Amiri" w:hAnsi="Amiri" w:eastAsia="Amiri" w:cs="Amiri"/>
          <w:lang w:bidi="ar-SA"/>
          <w:color w:val="111111"/>
          <w:sz w:val="28"/>
          <w:szCs w:val="28"/>
          <w:rtl/>
        </w:rPr>
        <w:t xml:space="preserve">قبطي ، عبد الرحمن بن عبدالرزاق -ابن</w:t>
      </w:r>
    </w:p>
    <w:p>
      <w:pPr>
        <w:pStyle w:val="BookText"/>
      </w:pPr>
      <w:r>
        <w:rPr>
          <w:rFonts w:ascii="Amiri" w:hAnsi="Amiri" w:eastAsia="Amiri" w:cs="Amiri"/>
          <w:lang w:bidi="ar-SA"/>
          <w:color w:val="111111"/>
          <w:sz w:val="28"/>
          <w:szCs w:val="28"/>
          <w:rtl/>
        </w:rPr>
        <w:t xml:space="preserve">مكانس ، عبد الرحمن بن عبد الرزاق</w:t>
      </w:r>
    </w:p>
    <w:p>
      <w:pPr>
        <w:pStyle w:val="BookText"/>
      </w:pPr>
      <w:r>
        <w:rPr>
          <w:rFonts w:ascii="Amiri" w:hAnsi="Amiri" w:eastAsia="Amiri" w:cs="Amiri"/>
          <w:lang w:bidi="ar-SA"/>
          <w:color w:val="111111"/>
          <w:sz w:val="28"/>
          <w:szCs w:val="28"/>
          <w:rtl/>
        </w:rPr>
        <w:t xml:space="preserve">قبلة الكتاب ، علي بن هلال- ابن بواب ،</w:t>
      </w:r>
    </w:p>
    <w:p>
      <w:pPr>
        <w:pStyle w:val="BookText"/>
      </w:pPr>
      <w:r>
        <w:rPr>
          <w:rFonts w:ascii="Amiri" w:hAnsi="Amiri" w:eastAsia="Amiri" w:cs="Amiri"/>
          <w:lang w:bidi="ar-SA"/>
          <w:color w:val="111111"/>
          <w:sz w:val="28"/>
          <w:szCs w:val="28"/>
          <w:rtl/>
        </w:rPr>
        <w:t xml:space="preserve">علي بن هلال</w:t>
      </w:r>
    </w:p>
    <w:p>
      <w:pPr>
        <w:pStyle w:val="BookText"/>
      </w:pPr>
      <w:r>
        <w:rPr>
          <w:rFonts w:ascii="IRNazanin" w:hAnsi="IRNazanin" w:eastAsia="IRNazanin" w:cs="IRNazanin"/>
          <w:lang w:bidi="fa-IR"/>
          <w:color w:val="111111"/>
          <w:sz w:val="28"/>
          <w:szCs w:val="28"/>
          <w:rtl/>
        </w:rPr>
        <w:t xml:space="preserve">قبيباتي ، برهان الدین ابراهیم بن</w:t>
      </w:r>
    </w:p>
    <w:p>
      <w:pPr>
        <w:pStyle w:val="BookText"/>
      </w:pPr>
      <w:r>
        <w:rPr>
          <w:rFonts w:ascii="Amiri" w:hAnsi="Amiri" w:eastAsia="Amiri" w:cs="Amiri"/>
          <w:lang w:bidi="ar-SA"/>
          <w:color w:val="111111"/>
          <w:sz w:val="28"/>
          <w:szCs w:val="28"/>
          <w:rtl/>
        </w:rPr>
        <w:t xml:space="preserve">محمّد -ناجي ، ابراهيم بن محمّد</w:t>
      </w:r>
    </w:p>
    <w:p>
      <w:pPr>
        <w:pStyle w:val="Heading2"/>
      </w:pPr>
      <w:bookmarkStart w:id="6522" w:name="_Toc5624"/>
      <w:r>
        <w:t>قبيصي، عبدالعزيز بن عثمان - 380ه-</w:t>
      </w:r>
      <w:bookmarkEnd w:id="6522"/>
    </w:p>
    <w:p>
      <w:pPr>
        <w:pStyle w:val="BookText"/>
      </w:pPr>
      <w:r>
        <w:rPr>
          <w:rFonts w:ascii="Amiri" w:hAnsi="Amiri" w:eastAsia="Amiri" w:cs="Amiri"/>
          <w:lang w:bidi="ar-SA"/>
          <w:color w:val="111111"/>
          <w:sz w:val="28"/>
          <w:szCs w:val="28"/>
          <w:rtl/>
        </w:rPr>
        <w:t xml:space="preserve">المسائل و اختيارات، ج 14، ص 496.</w:t>
      </w:r>
    </w:p>
    <w:p>
      <w:pPr>
        <w:pStyle w:val="Heading2"/>
      </w:pPr>
      <w:bookmarkStart w:id="6523" w:name="_Toc5625"/>
      <w:r>
        <w:t>قتيل لاهوري ، محمّد حسن بن درگاهي</w:t>
      </w:r>
      <w:bookmarkEnd w:id="6523"/>
    </w:p>
    <w:p>
      <w:pPr>
        <w:pStyle w:val="BookText"/>
      </w:pPr>
      <w:r>
        <w:rPr>
          <w:rFonts w:ascii="IRNazanin" w:hAnsi="IRNazanin" w:eastAsia="IRNazanin" w:cs="IRNazanin"/>
          <w:lang w:bidi="fa-IR"/>
          <w:color w:val="111111"/>
          <w:sz w:val="28"/>
          <w:szCs w:val="28"/>
          <w:rtl/>
        </w:rPr>
        <w:t xml:space="preserve">مل - 1240 ه-</w:t>
      </w:r>
    </w:p>
    <w:p>
      <w:pPr>
        <w:pStyle w:val="BookText"/>
      </w:pPr>
      <w:r>
        <w:rPr>
          <w:rFonts w:ascii="IRNazanin" w:hAnsi="IRNazanin" w:eastAsia="IRNazanin" w:cs="IRNazanin"/>
          <w:lang w:bidi="fa-IR"/>
          <w:color w:val="111111"/>
          <w:sz w:val="28"/>
          <w:szCs w:val="28"/>
          <w:rtl/>
        </w:rPr>
        <w:t xml:space="preserve">چهار شربت، ج 5، ص 637.</w:t>
      </w:r>
    </w:p>
    <w:p>
      <w:pPr>
        <w:pStyle w:val="BookText"/>
      </w:pPr>
      <w:r>
        <w:rPr>
          <w:rFonts w:ascii="Amiri" w:hAnsi="Amiri" w:eastAsia="Amiri" w:cs="Amiri"/>
          <w:lang w:bidi="ar-SA"/>
          <w:color w:val="111111"/>
          <w:sz w:val="28"/>
          <w:szCs w:val="28"/>
          <w:rtl/>
        </w:rPr>
        <w:t xml:space="preserve">قحطاني ، حاتم بن عبدالله -حاتم طائي</w:t>
      </w:r>
    </w:p>
    <w:p>
      <w:pPr>
        <w:pStyle w:val="Heading2"/>
      </w:pPr>
      <w:bookmarkStart w:id="6524" w:name="_Toc5626"/>
      <w:r>
        <w:t>قحطاني ، علي بن سليمان</w:t>
      </w:r>
      <w:bookmarkEnd w:id="6524"/>
    </w:p>
    <w:p>
      <w:pPr>
        <w:pStyle w:val="BookText"/>
      </w:pPr>
      <w:r>
        <w:rPr>
          <w:rFonts w:ascii="Amiri" w:hAnsi="Amiri" w:eastAsia="Amiri" w:cs="Amiri"/>
          <w:lang w:bidi="ar-SA"/>
          <w:color w:val="111111"/>
          <w:sz w:val="28"/>
          <w:szCs w:val="28"/>
          <w:rtl/>
        </w:rPr>
        <w:t xml:space="preserve">القصيدة القحطانية، ج 12، ص 704.</w:t>
      </w:r>
    </w:p>
    <w:p>
      <w:pPr>
        <w:pStyle w:val="BookText"/>
      </w:pPr>
      <w:r>
        <w:rPr>
          <w:rFonts w:ascii="Amiri" w:hAnsi="Amiri" w:eastAsia="Amiri" w:cs="Amiri"/>
          <w:lang w:bidi="ar-SA"/>
          <w:color w:val="111111"/>
          <w:sz w:val="28"/>
          <w:szCs w:val="28"/>
          <w:rtl/>
        </w:rPr>
        <w:t xml:space="preserve">قدامة بن جعفر بن قدامة بغدادي- ابوالفرج ، قدامة بن جعفر</w:t>
      </w:r>
    </w:p>
    <w:p>
      <w:pPr>
        <w:pStyle w:val="Heading2"/>
      </w:pPr>
      <w:bookmarkStart w:id="6525" w:name="_Toc5627"/>
      <w:r>
        <w:t>قدامي ، يوسف بن محمّد - 993 ه-</w:t>
      </w:r>
      <w:bookmarkEnd w:id="6525"/>
    </w:p>
    <w:p>
      <w:pPr>
        <w:pStyle w:val="BookText"/>
      </w:pPr>
      <w:r>
        <w:rPr>
          <w:rFonts w:ascii="Amiri" w:hAnsi="Amiri" w:eastAsia="Amiri" w:cs="Amiri"/>
          <w:lang w:bidi="ar-SA"/>
          <w:color w:val="111111"/>
          <w:sz w:val="28"/>
          <w:szCs w:val="28"/>
          <w:rtl/>
        </w:rPr>
        <w:t xml:space="preserve">1 .شرح منظومة الموارد العذبة، ج10،</w:t>
      </w:r>
    </w:p>
    <w:p>
      <w:pPr>
        <w:pStyle w:val="BookText"/>
      </w:pPr>
      <w:r>
        <w:rPr>
          <w:rFonts w:ascii="IRNazanin" w:hAnsi="IRNazanin" w:eastAsia="IRNazanin" w:cs="IRNazanin"/>
          <w:lang w:bidi="fa-IR"/>
          <w:color w:val="111111"/>
          <w:sz w:val="28"/>
          <w:szCs w:val="28"/>
          <w:rtl/>
        </w:rPr>
        <w:t xml:space="preserve">ص 258.</w:t>
      </w:r>
    </w:p>
    <w:p>
      <w:pPr>
        <w:pStyle w:val="BookText"/>
      </w:pPr>
      <w:r>
        <w:rPr>
          <w:rFonts w:ascii="Amiri" w:hAnsi="Amiri" w:eastAsia="Amiri" w:cs="Amiri"/>
          <w:lang w:bidi="ar-SA"/>
          <w:color w:val="111111"/>
          <w:sz w:val="28"/>
          <w:szCs w:val="28"/>
          <w:rtl/>
        </w:rPr>
        <w:t xml:space="preserve">2 .منظومة الموارد العذبة، ج 15</w:t>
      </w:r>
    </w:p>
    <w:p>
      <w:pPr>
        <w:pStyle w:val="BookText"/>
      </w:pPr>
      <w:r>
        <w:rPr>
          <w:rFonts w:ascii="IRNazanin" w:hAnsi="IRNazanin" w:eastAsia="IRNazanin" w:cs="IRNazanin"/>
          <w:lang w:bidi="fa-IR"/>
          <w:color w:val="111111"/>
          <w:sz w:val="28"/>
          <w:szCs w:val="28"/>
          <w:rtl/>
        </w:rPr>
        <w:t xml:space="preserve">ص 728.</w:t>
      </w:r>
    </w:p>
    <w:p>
      <w:pPr>
        <w:pStyle w:val="Heading2"/>
      </w:pPr>
      <w:bookmarkStart w:id="6526" w:name="_Toc5628"/>
      <w:r>
        <w:t>قدسي ، احمد</w:t>
      </w:r>
      <w:bookmarkEnd w:id="6526"/>
    </w:p>
    <w:p>
      <w:pPr>
        <w:pStyle w:val="BookText"/>
      </w:pPr>
      <w:r>
        <w:rPr>
          <w:rFonts w:ascii="Amiri" w:hAnsi="Amiri" w:eastAsia="Amiri" w:cs="Amiri"/>
          <w:lang w:bidi="ar-SA"/>
          <w:color w:val="111111"/>
          <w:sz w:val="28"/>
          <w:szCs w:val="28"/>
          <w:rtl/>
        </w:rPr>
        <w:t xml:space="preserve">الاحاديث العوالي بالمشيخة، ج1،</w:t>
      </w:r>
    </w:p>
    <w:p>
      <w:pPr>
        <w:pStyle w:val="BookText"/>
      </w:pPr>
      <w:r>
        <w:rPr>
          <w:rFonts w:ascii="IRNazanin" w:hAnsi="IRNazanin" w:eastAsia="IRNazanin" w:cs="IRNazanin"/>
          <w:lang w:bidi="fa-IR"/>
          <w:color w:val="111111"/>
          <w:sz w:val="28"/>
          <w:szCs w:val="28"/>
          <w:rtl/>
        </w:rPr>
        <w:t xml:space="preserve">ص 412 .</w:t>
      </w:r>
    </w:p>
    <w:p>
      <w:pPr>
        <w:pStyle w:val="Heading2"/>
      </w:pPr>
      <w:bookmarkStart w:id="6527" w:name="_Toc5629"/>
      <w:r>
        <w:t>قدسي ، حسن بن ابي بكر - 836 ه-</w:t>
      </w:r>
      <w:bookmarkEnd w:id="6527"/>
    </w:p>
    <w:p>
      <w:pPr>
        <w:pStyle w:val="BookText"/>
      </w:pPr>
      <w:r>
        <w:rPr>
          <w:rFonts w:ascii="IRNazanin" w:hAnsi="IRNazanin" w:eastAsia="IRNazanin" w:cs="IRNazanin"/>
          <w:lang w:bidi="fa-IR"/>
          <w:color w:val="111111"/>
          <w:sz w:val="28"/>
          <w:szCs w:val="28"/>
          <w:rtl/>
        </w:rPr>
        <w:t xml:space="preserve">1.شرح الصدور بشرح زوائد الشذور</w:t>
      </w:r>
    </w:p>
    <w:p>
      <w:pPr>
        <w:pStyle w:val="BookText"/>
      </w:pPr>
      <w:r>
        <w:rPr>
          <w:rFonts w:ascii="IRNazanin" w:hAnsi="IRNazanin" w:eastAsia="IRNazanin" w:cs="IRNazanin"/>
          <w:lang w:bidi="fa-IR"/>
          <w:color w:val="111111"/>
          <w:sz w:val="28"/>
          <w:szCs w:val="28"/>
          <w:rtl/>
        </w:rPr>
        <w:t xml:space="preserve">ج 9، ص 672 .</w:t>
      </w:r>
    </w:p>
    <w:p>
      <w:pPr>
        <w:pStyle w:val="BookText"/>
      </w:pPr>
      <w:r>
        <w:rPr>
          <w:rFonts w:ascii="Amiri" w:hAnsi="Amiri" w:eastAsia="Amiri" w:cs="Amiri"/>
          <w:lang w:bidi="ar-SA"/>
          <w:color w:val="111111"/>
          <w:sz w:val="28"/>
          <w:szCs w:val="28"/>
          <w:rtl/>
        </w:rPr>
        <w:t xml:space="preserve">2 .غاية المرام في شرح بحر الكلام</w:t>
      </w:r>
    </w:p>
    <w:p>
      <w:pPr>
        <w:pStyle w:val="BookText"/>
      </w:pPr>
      <w:r>
        <w:rPr>
          <w:rFonts w:ascii="IRNazanin" w:hAnsi="IRNazanin" w:eastAsia="IRNazanin" w:cs="IRNazanin"/>
          <w:lang w:bidi="fa-IR"/>
          <w:color w:val="111111"/>
          <w:sz w:val="28"/>
          <w:szCs w:val="28"/>
          <w:rtl/>
        </w:rPr>
        <w:t xml:space="preserve">ج 11، ص 453 .</w:t>
      </w:r>
    </w:p>
    <w:p>
      <w:pPr>
        <w:pStyle w:val="Heading2"/>
      </w:pPr>
      <w:bookmarkStart w:id="6528" w:name="_Toc5630"/>
      <w:r>
        <w:t>قدسي ، عباسقلي بن ميرزا محمّد ثاني قرن 13 ه-</w:t>
      </w:r>
      <w:bookmarkEnd w:id="6528"/>
    </w:p>
    <w:p>
      <w:pPr>
        <w:pStyle w:val="BookText"/>
      </w:pPr>
      <w:r>
        <w:rPr>
          <w:rFonts w:ascii="Amiri" w:hAnsi="Amiri" w:eastAsia="Amiri" w:cs="Amiri"/>
          <w:lang w:bidi="ar-SA"/>
          <w:color w:val="111111"/>
          <w:sz w:val="28"/>
          <w:szCs w:val="28"/>
          <w:rtl/>
        </w:rPr>
        <w:t xml:space="preserve">1 .اسرار الملكوت، ج 2، ص 181 .</w:t>
      </w:r>
    </w:p>
    <w:p>
      <w:pPr>
        <w:pStyle w:val="BookText"/>
      </w:pPr>
      <w:r>
        <w:rPr>
          <w:rFonts w:ascii="Amiri" w:hAnsi="Amiri" w:eastAsia="Amiri" w:cs="Amiri"/>
          <w:lang w:bidi="ar-SA"/>
          <w:color w:val="111111"/>
          <w:sz w:val="28"/>
          <w:szCs w:val="28"/>
          <w:rtl/>
        </w:rPr>
        <w:t xml:space="preserve">2 .الهيئة = علم الهيئة( رسالة في)</w:t>
      </w:r>
    </w:p>
    <w:p>
      <w:pPr>
        <w:pStyle w:val="BookText"/>
      </w:pPr>
      <w:r>
        <w:rPr>
          <w:rFonts w:ascii="IRNazanin" w:hAnsi="IRNazanin" w:eastAsia="IRNazanin" w:cs="IRNazanin"/>
          <w:lang w:bidi="fa-IR"/>
          <w:color w:val="111111"/>
          <w:sz w:val="28"/>
          <w:szCs w:val="28"/>
          <w:rtl/>
        </w:rPr>
        <w:t xml:space="preserve">ج 16، ص 660.</w:t>
      </w:r>
    </w:p>
    <w:p>
      <w:pPr>
        <w:pStyle w:val="Heading2"/>
      </w:pPr>
      <w:bookmarkStart w:id="6529" w:name="_Toc5631"/>
      <w:r>
        <w:t>قدسي علي اكبر بن عبدالوهاب قرن 13</w:t>
      </w:r>
      <w:bookmarkEnd w:id="6529"/>
    </w:p>
    <w:p>
      <w:pPr>
        <w:pStyle w:val="BookText"/>
      </w:pPr>
      <w:r>
        <w:rPr>
          <w:rFonts w:ascii="Amiri" w:hAnsi="Amiri" w:eastAsia="Amiri" w:cs="Amiri"/>
          <w:lang w:bidi="ar-SA"/>
          <w:color w:val="111111"/>
          <w:sz w:val="28"/>
          <w:szCs w:val="28"/>
          <w:rtl/>
        </w:rPr>
        <w:t xml:space="preserve">مجموعة القدسي، ج 14، ص 52.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870" w:name="pg7742_71022"/>
    <w:bookmarkEnd w:id="870"/>
    <w:p>
      <w:pPr>
        <w:pStyle w:val="Heading2"/>
      </w:pPr>
      <w:bookmarkStart w:id="6530" w:name="_Toc5632"/>
      <w:r>
        <w:t>قدوري، احمد بن محمّد، 362 - 428 ه-</w:t>
      </w:r>
      <w:bookmarkEnd w:id="6530"/>
    </w:p>
    <w:p>
      <w:pPr>
        <w:pStyle w:val="BookText"/>
      </w:pPr>
      <w:r>
        <w:rPr>
          <w:rFonts w:ascii="IRNazanin" w:hAnsi="IRNazanin" w:eastAsia="IRNazanin" w:cs="IRNazanin"/>
          <w:lang w:bidi="fa-IR"/>
          <w:color w:val="111111"/>
          <w:sz w:val="28"/>
          <w:szCs w:val="28"/>
          <w:rtl/>
        </w:rPr>
        <w:t xml:space="preserve">1 .احادیث، ج1، ص390.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تنبيه على المختار، ج5، ص32.</w:t>
      </w:r>
    </w:p>
    <w:p>
      <w:pPr>
        <w:pStyle w:val="BookText"/>
      </w:pPr>
      <w:r>
        <w:rPr>
          <w:rFonts w:ascii="Amiri" w:hAnsi="Amiri" w:eastAsia="Amiri" w:cs="Amiri"/>
          <w:lang w:bidi="ar-SA"/>
          <w:color w:val="111111"/>
          <w:sz w:val="28"/>
          <w:szCs w:val="28"/>
          <w:rtl/>
        </w:rPr>
        <w:t xml:space="preserve">3.الفقه الحنفي (كتاب في)، ج12،</w:t>
      </w:r>
    </w:p>
    <w:p>
      <w:pPr>
        <w:pStyle w:val="BookText"/>
      </w:pPr>
      <w:r>
        <w:rPr>
          <w:rFonts w:ascii="IRNazanin" w:hAnsi="IRNazanin" w:eastAsia="IRNazanin" w:cs="IRNazanin"/>
          <w:lang w:bidi="fa-IR"/>
          <w:color w:val="111111"/>
          <w:sz w:val="28"/>
          <w:szCs w:val="28"/>
          <w:rtl/>
        </w:rPr>
        <w:t xml:space="preserve">ص 97 .</w:t>
      </w:r>
    </w:p>
    <w:p>
      <w:pPr>
        <w:pStyle w:val="BookText"/>
      </w:pPr>
      <w:r>
        <w:rPr>
          <w:rFonts w:ascii="Amiri" w:hAnsi="Amiri" w:eastAsia="Amiri" w:cs="Amiri"/>
          <w:lang w:bidi="ar-SA"/>
          <w:color w:val="111111"/>
          <w:sz w:val="28"/>
          <w:szCs w:val="28"/>
          <w:rtl/>
        </w:rPr>
        <w:t xml:space="preserve">4 .متن الحاوي، ج 13، ص 762.</w:t>
      </w:r>
    </w:p>
    <w:p>
      <w:pPr>
        <w:pStyle w:val="BookText"/>
      </w:pPr>
      <w:r>
        <w:rPr>
          <w:rFonts w:ascii="Amiri" w:hAnsi="Amiri" w:eastAsia="Amiri" w:cs="Amiri"/>
          <w:lang w:bidi="ar-SA"/>
          <w:color w:val="111111"/>
          <w:sz w:val="28"/>
          <w:szCs w:val="28"/>
          <w:rtl/>
        </w:rPr>
        <w:t xml:space="preserve">5 .مختصر القدوري في فروع الحنفية == المختصر في الفقه، ج 14، ص 229.</w:t>
      </w:r>
    </w:p>
    <w:p>
      <w:pPr>
        <w:pStyle w:val="BookText"/>
      </w:pPr>
      <w:r>
        <w:rPr>
          <w:rFonts w:ascii="Amiri" w:hAnsi="Amiri" w:eastAsia="Amiri" w:cs="Amiri"/>
          <w:lang w:bidi="ar-SA"/>
          <w:color w:val="111111"/>
          <w:sz w:val="28"/>
          <w:szCs w:val="28"/>
          <w:rtl/>
        </w:rPr>
        <w:t xml:space="preserve">6 .المذهب( كتاب في)، ج 14، ص 340.</w:t>
      </w:r>
    </w:p>
    <w:p>
      <w:pPr>
        <w:pStyle w:val="BookText"/>
      </w:pPr>
      <w:r>
        <w:rPr>
          <w:rFonts w:ascii="Amiri" w:hAnsi="Amiri" w:eastAsia="Amiri" w:cs="Amiri"/>
          <w:lang w:bidi="ar-SA"/>
          <w:color w:val="111111"/>
          <w:sz w:val="28"/>
          <w:szCs w:val="28"/>
          <w:rtl/>
        </w:rPr>
        <w:t xml:space="preserve">قدوري افندي ، عبد القادر بن يوسف- ابن</w:t>
      </w:r>
    </w:p>
    <w:p>
      <w:pPr>
        <w:pStyle w:val="BookText"/>
      </w:pPr>
      <w:r>
        <w:rPr>
          <w:rFonts w:ascii="IRNazanin" w:hAnsi="IRNazanin" w:eastAsia="IRNazanin" w:cs="IRNazanin"/>
          <w:lang w:bidi="fa-IR"/>
          <w:color w:val="111111"/>
          <w:sz w:val="28"/>
          <w:szCs w:val="28"/>
          <w:rtl/>
        </w:rPr>
        <w:t xml:space="preserve">نقیب ، عبد القادر بن يوسف</w:t>
      </w:r>
    </w:p>
    <w:p>
      <w:pPr>
        <w:pStyle w:val="Heading2"/>
      </w:pPr>
      <w:bookmarkStart w:id="6531" w:name="_Toc5633"/>
      <w:r>
        <w:t>قديحي زين بن حسين الزين قرن 14ه-</w:t>
      </w:r>
      <w:bookmarkEnd w:id="6531"/>
    </w:p>
    <w:p>
      <w:pPr>
        <w:pStyle w:val="BookText"/>
      </w:pPr>
      <w:r>
        <w:rPr>
          <w:rFonts w:ascii="Amiri" w:hAnsi="Amiri" w:eastAsia="Amiri" w:cs="Amiri"/>
          <w:lang w:bidi="ar-SA"/>
          <w:color w:val="111111"/>
          <w:sz w:val="28"/>
          <w:szCs w:val="28"/>
          <w:rtl/>
        </w:rPr>
        <w:t xml:space="preserve">احوال الشيخ علي بن سليمان (رسالة</w:t>
      </w:r>
    </w:p>
    <w:p>
      <w:pPr>
        <w:pStyle w:val="BookText"/>
      </w:pPr>
      <w:r>
        <w:rPr>
          <w:rFonts w:ascii="Amiri" w:hAnsi="Amiri" w:eastAsia="Amiri" w:cs="Amiri"/>
          <w:lang w:bidi="ar-SA"/>
          <w:color w:val="111111"/>
          <w:sz w:val="28"/>
          <w:szCs w:val="28"/>
          <w:rtl/>
        </w:rPr>
        <w:t xml:space="preserve">في)، ج 1 ، ص 502.</w:t>
      </w:r>
    </w:p>
    <w:p>
      <w:pPr>
        <w:pStyle w:val="Heading2"/>
      </w:pPr>
      <w:bookmarkStart w:id="6532" w:name="_Toc5634"/>
      <w:r>
        <w:t>قديس سينائي ، انطاسبوس - 700 ؟ م</w:t>
      </w:r>
      <w:bookmarkEnd w:id="6532"/>
    </w:p>
    <w:p>
      <w:pPr>
        <w:pStyle w:val="BookText"/>
      </w:pPr>
      <w:r>
        <w:rPr>
          <w:rFonts w:ascii="Amiri" w:hAnsi="Amiri" w:eastAsia="Amiri" w:cs="Amiri"/>
          <w:lang w:bidi="ar-SA"/>
          <w:color w:val="111111"/>
          <w:sz w:val="28"/>
          <w:szCs w:val="28"/>
          <w:rtl/>
        </w:rPr>
        <w:t xml:space="preserve">ميمر في تفسير المزمور السادس، ج 16،</w:t>
      </w:r>
    </w:p>
    <w:p>
      <w:pPr>
        <w:pStyle w:val="BookText"/>
      </w:pPr>
      <w:r>
        <w:rPr>
          <w:rFonts w:ascii="IRNazanin" w:hAnsi="IRNazanin" w:eastAsia="IRNazanin" w:cs="IRNazanin"/>
          <w:lang w:bidi="fa-IR"/>
          <w:color w:val="111111"/>
          <w:sz w:val="28"/>
          <w:szCs w:val="28"/>
          <w:rtl/>
        </w:rPr>
        <w:t xml:space="preserve">ص 78</w:t>
      </w:r>
    </w:p>
    <w:p>
      <w:pPr>
        <w:pStyle w:val="Heading2"/>
      </w:pPr>
      <w:bookmarkStart w:id="6533" w:name="_Toc5635"/>
      <w:r>
        <w:t>قديمي، ابراهيم بن محمّد</w:t>
      </w:r>
      <w:bookmarkEnd w:id="6533"/>
    </w:p>
    <w:p>
      <w:pPr>
        <w:pStyle w:val="BookText"/>
      </w:pPr>
      <w:r>
        <w:rPr>
          <w:rFonts w:ascii="Amiri" w:hAnsi="Amiri" w:eastAsia="Amiri" w:cs="Amiri"/>
          <w:lang w:bidi="ar-SA"/>
          <w:color w:val="111111"/>
          <w:sz w:val="28"/>
          <w:szCs w:val="28"/>
          <w:rtl/>
        </w:rPr>
        <w:t xml:space="preserve">التصديق = كتاب التصديق، ج 4</w:t>
      </w:r>
    </w:p>
    <w:p>
      <w:pPr>
        <w:pStyle w:val="BookText"/>
      </w:pPr>
      <w:r>
        <w:rPr>
          <w:rFonts w:ascii="IRNazanin" w:hAnsi="IRNazanin" w:eastAsia="IRNazanin" w:cs="IRNazanin"/>
          <w:lang w:bidi="fa-IR"/>
          <w:color w:val="111111"/>
          <w:sz w:val="28"/>
          <w:szCs w:val="28"/>
          <w:rtl/>
        </w:rPr>
        <w:t xml:space="preserve">ص 401 .</w:t>
      </w:r>
    </w:p>
    <w:p>
      <w:pPr>
        <w:pStyle w:val="Heading2"/>
      </w:pPr>
      <w:bookmarkStart w:id="6534" w:name="_Toc5636"/>
      <w:r>
        <w:t>قراء شمني ، محمّد - 1180 ؟ ه-</w:t>
      </w:r>
      <w:bookmarkEnd w:id="6534"/>
    </w:p>
    <w:p>
      <w:pPr>
        <w:pStyle w:val="BookText"/>
      </w:pPr>
      <w:r>
        <w:rPr>
          <w:rFonts w:ascii="Amiri" w:hAnsi="Amiri" w:eastAsia="Amiri" w:cs="Amiri"/>
          <w:lang w:bidi="ar-SA"/>
          <w:color w:val="111111"/>
          <w:sz w:val="28"/>
          <w:szCs w:val="28"/>
          <w:rtl/>
        </w:rPr>
        <w:t xml:space="preserve">تمرين الطلاب (رسالة في)، ج 4،</w:t>
      </w:r>
    </w:p>
    <w:p>
      <w:pPr>
        <w:pStyle w:val="BookText"/>
      </w:pPr>
      <w:r>
        <w:rPr>
          <w:rFonts w:ascii="IRNazanin" w:hAnsi="IRNazanin" w:eastAsia="IRNazanin" w:cs="IRNazanin"/>
          <w:lang w:bidi="fa-IR"/>
          <w:color w:val="111111"/>
          <w:sz w:val="28"/>
          <w:szCs w:val="28"/>
          <w:rtl/>
        </w:rPr>
        <w:t xml:space="preserve">ص 880.</w:t>
      </w:r>
    </w:p>
    <w:p>
      <w:pPr>
        <w:pStyle w:val="Heading2"/>
      </w:pPr>
      <w:bookmarkStart w:id="6535" w:name="_Toc5637"/>
      <w:r>
        <w:t>قراب اسحاق بن ابراهيم 352-429ه-</w:t>
      </w:r>
      <w:bookmarkEnd w:id="6535"/>
    </w:p>
    <w:p>
      <w:pPr>
        <w:pStyle w:val="BookText"/>
      </w:pPr>
      <w:r>
        <w:rPr>
          <w:rFonts w:ascii="Amiri" w:hAnsi="Amiri" w:eastAsia="Amiri" w:cs="Amiri"/>
          <w:lang w:bidi="ar-SA"/>
          <w:color w:val="111111"/>
          <w:sz w:val="28"/>
          <w:szCs w:val="28"/>
          <w:rtl/>
        </w:rPr>
        <w:t xml:space="preserve">فضائل الرمي في سبيل الله، ج 12، ص7.</w:t>
      </w:r>
    </w:p>
    <w:p>
      <w:pPr>
        <w:pStyle w:val="Heading2"/>
      </w:pPr>
      <w:bookmarkStart w:id="6536" w:name="_Toc5638"/>
      <w:r>
        <w:t>قراباغي ، عبد الرحيم بن محمّد باقر، قرن</w:t>
      </w:r>
      <w:bookmarkEnd w:id="6536"/>
    </w:p>
    <w:p>
      <w:pPr>
        <w:pStyle w:val="BookText"/>
      </w:pPr>
      <w:r>
        <w:rPr>
          <w:rFonts w:ascii="IRNazanin" w:hAnsi="IRNazanin" w:eastAsia="IRNazanin" w:cs="IRNazanin"/>
          <w:lang w:bidi="fa-IR"/>
          <w:color w:val="111111"/>
          <w:sz w:val="28"/>
          <w:szCs w:val="28"/>
          <w:rtl/>
        </w:rPr>
        <w:t xml:space="preserve">13 ه-</w:t>
      </w:r>
    </w:p>
    <w:p>
      <w:pPr>
        <w:pStyle w:val="BookText"/>
      </w:pPr>
      <w:r>
        <w:rPr>
          <w:rFonts w:ascii="Amiri" w:hAnsi="Amiri" w:eastAsia="Amiri" w:cs="Amiri"/>
          <w:lang w:bidi="ar-SA"/>
          <w:color w:val="111111"/>
          <w:sz w:val="28"/>
          <w:szCs w:val="28"/>
          <w:rtl/>
        </w:rPr>
        <w:t xml:space="preserve">فضائل علي (ع) = اوصاف و حالات</w:t>
      </w:r>
    </w:p>
    <w:p>
      <w:pPr>
        <w:pStyle w:val="BookText"/>
      </w:pPr>
      <w:r>
        <w:rPr>
          <w:rFonts w:ascii="IRNazanin" w:hAnsi="IRNazanin" w:eastAsia="IRNazanin" w:cs="IRNazanin"/>
          <w:lang w:bidi="fa-IR"/>
          <w:color w:val="111111"/>
          <w:sz w:val="28"/>
          <w:szCs w:val="28"/>
          <w:rtl/>
        </w:rPr>
        <w:t xml:space="preserve">حضرت امیر ج 12، ص 14 .</w:t>
      </w:r>
    </w:p>
    <w:p>
      <w:pPr>
        <w:pStyle w:val="Heading2"/>
      </w:pPr>
      <w:bookmarkStart w:id="6537" w:name="_Toc5639"/>
      <w:r>
        <w:t>قراباغي ، محمّد بن محمّد</w:t>
      </w:r>
      <w:bookmarkEnd w:id="6537"/>
    </w:p>
    <w:p>
      <w:pPr>
        <w:pStyle w:val="BookText"/>
      </w:pPr>
      <w:r>
        <w:rPr>
          <w:rFonts w:ascii="Amiri" w:hAnsi="Amiri" w:eastAsia="Amiri" w:cs="Amiri"/>
          <w:lang w:bidi="ar-SA"/>
          <w:color w:val="111111"/>
          <w:sz w:val="28"/>
          <w:szCs w:val="28"/>
          <w:rtl/>
        </w:rPr>
        <w:t xml:space="preserve">شرح على شرح العقائد العضدية =</w:t>
      </w:r>
    </w:p>
    <w:p>
      <w:pPr>
        <w:pStyle w:val="BookText"/>
      </w:pPr>
      <w:r>
        <w:rPr>
          <w:rFonts w:ascii="Amiri" w:hAnsi="Amiri" w:eastAsia="Amiri" w:cs="Amiri"/>
          <w:lang w:bidi="ar-SA"/>
          <w:color w:val="111111"/>
          <w:sz w:val="28"/>
          <w:szCs w:val="28"/>
          <w:rtl/>
        </w:rPr>
        <w:t xml:space="preserve">شرح خالقاهي، ج 9، ص 748.</w:t>
      </w:r>
    </w:p>
    <w:p>
      <w:pPr>
        <w:pStyle w:val="BookText"/>
      </w:pPr>
      <w:r>
        <w:rPr>
          <w:rFonts w:ascii="Amiri" w:hAnsi="Amiri" w:eastAsia="Amiri" w:cs="Amiri"/>
          <w:lang w:bidi="ar-SA"/>
          <w:color w:val="111111"/>
          <w:sz w:val="28"/>
          <w:szCs w:val="28"/>
          <w:rtl/>
        </w:rPr>
        <w:t xml:space="preserve">قراجه داغي ، عبدالرحيم بن</w:t>
      </w:r>
    </w:p>
    <w:p>
      <w:pPr>
        <w:pStyle w:val="BookText"/>
      </w:pPr>
      <w:r>
        <w:rPr>
          <w:rFonts w:ascii="Amiri" w:hAnsi="Amiri" w:eastAsia="Amiri" w:cs="Amiri"/>
          <w:lang w:bidi="ar-SA"/>
          <w:color w:val="111111"/>
          <w:sz w:val="28"/>
          <w:szCs w:val="28"/>
          <w:rtl/>
        </w:rPr>
        <w:t xml:space="preserve">نصر الله -انصاري ، عبد الرحيم بن نصر الله</w:t>
      </w:r>
    </w:p>
    <w:p>
      <w:pPr>
        <w:pStyle w:val="BookText"/>
      </w:pPr>
      <w:r>
        <w:rPr>
          <w:rFonts w:ascii="IRNazanin" w:hAnsi="IRNazanin" w:eastAsia="IRNazanin" w:cs="IRNazanin"/>
          <w:lang w:bidi="fa-IR"/>
          <w:color w:val="111111"/>
          <w:sz w:val="28"/>
          <w:szCs w:val="28"/>
          <w:rtl/>
        </w:rPr>
        <w:t xml:space="preserve">قراچه داغي ، حسن بن علي-</w:t>
      </w:r>
    </w:p>
    <w:p>
      <w:pPr>
        <w:pStyle w:val="BookText"/>
      </w:pPr>
      <w:r>
        <w:rPr>
          <w:rFonts w:ascii="IRNazanin" w:hAnsi="IRNazanin" w:eastAsia="IRNazanin" w:cs="IRNazanin"/>
          <w:lang w:bidi="fa-IR"/>
          <w:color w:val="111111"/>
          <w:sz w:val="28"/>
          <w:szCs w:val="28"/>
          <w:rtl/>
        </w:rPr>
        <w:t xml:space="preserve">گوهر قراجه داغي ، حسن بن علي</w:t>
      </w:r>
    </w:p>
    <w:p>
      <w:pPr>
        <w:pStyle w:val="BookText"/>
      </w:pPr>
      <w:r>
        <w:rPr>
          <w:rFonts w:ascii="IRNazanin" w:hAnsi="IRNazanin" w:eastAsia="IRNazanin" w:cs="IRNazanin"/>
          <w:lang w:bidi="fa-IR"/>
          <w:color w:val="111111"/>
          <w:sz w:val="28"/>
          <w:szCs w:val="28"/>
          <w:rtl/>
        </w:rPr>
        <w:t xml:space="preserve">قراچه داغي ، محمّد حسن بن علي- علياري ، محّمد حسن بن علي</w:t>
      </w:r>
    </w:p>
    <w:p>
      <w:pPr>
        <w:pStyle w:val="BookText"/>
      </w:pPr>
      <w:r>
        <w:rPr>
          <w:rFonts w:ascii="IRNazanin" w:hAnsi="IRNazanin" w:eastAsia="IRNazanin" w:cs="IRNazanin"/>
          <w:lang w:bidi="fa-IR"/>
          <w:color w:val="111111"/>
          <w:sz w:val="28"/>
          <w:szCs w:val="28"/>
          <w:rtl/>
        </w:rPr>
        <w:t xml:space="preserve">قراچه داغي ، محمّد سعيد -دينوري ،</w:t>
      </w:r>
    </w:p>
    <w:p>
      <w:pPr>
        <w:pStyle w:val="BookText"/>
      </w:pPr>
      <w:r>
        <w:rPr>
          <w:rFonts w:ascii="Amiri" w:hAnsi="Amiri" w:eastAsia="Amiri" w:cs="Amiri"/>
          <w:lang w:bidi="ar-SA"/>
          <w:color w:val="111111"/>
          <w:sz w:val="28"/>
          <w:szCs w:val="28"/>
          <w:rtl/>
        </w:rPr>
        <w:t xml:space="preserve">محمّد سعيد</w:t>
      </w:r>
    </w:p>
    <w:p>
      <w:pPr>
        <w:pStyle w:val="Heading2"/>
      </w:pPr>
      <w:bookmarkStart w:id="6538" w:name="_Toc5640"/>
      <w:r>
        <w:t>قرافي ، احمد بن ادريس، 626 - 684 ه-</w:t>
      </w:r>
      <w:bookmarkEnd w:id="6538"/>
    </w:p>
    <w:p>
      <w:pPr>
        <w:pStyle w:val="BookText"/>
      </w:pPr>
      <w:r>
        <w:rPr>
          <w:rFonts w:ascii="Amiri" w:hAnsi="Amiri" w:eastAsia="Amiri" w:cs="Amiri"/>
          <w:lang w:bidi="ar-SA"/>
          <w:color w:val="111111"/>
          <w:sz w:val="28"/>
          <w:szCs w:val="28"/>
          <w:rtl/>
        </w:rPr>
        <w:t xml:space="preserve">1 .الاجوبة الفاخرة عن الاسئلة الفاجرة، ج 1، ص328.</w:t>
      </w:r>
    </w:p>
    <w:p>
      <w:pPr>
        <w:pStyle w:val="BookText"/>
      </w:pPr>
      <w:r>
        <w:rPr>
          <w:rFonts w:ascii="Amiri" w:hAnsi="Amiri" w:eastAsia="Amiri" w:cs="Amiri"/>
          <w:lang w:bidi="ar-SA"/>
          <w:color w:val="111111"/>
          <w:sz w:val="28"/>
          <w:szCs w:val="28"/>
          <w:rtl/>
        </w:rPr>
        <w:t xml:space="preserve">2 .الاستغناء في احكام الاستثناء، ج2،</w:t>
      </w:r>
    </w:p>
    <w:p>
      <w:pPr>
        <w:pStyle w:val="BookText"/>
      </w:pPr>
      <w:r>
        <w:rPr>
          <w:rFonts w:ascii="IRNazanin" w:hAnsi="IRNazanin" w:eastAsia="IRNazanin" w:cs="IRNazanin"/>
          <w:lang w:bidi="fa-IR"/>
          <w:color w:val="111111"/>
          <w:sz w:val="28"/>
          <w:szCs w:val="28"/>
          <w:rtl/>
        </w:rPr>
        <w:t xml:space="preserve">ص150.</w:t>
      </w:r>
    </w:p>
    <w:p>
      <w:pPr>
        <w:pStyle w:val="BookText"/>
      </w:pPr>
      <w:r>
        <w:rPr>
          <w:rFonts w:ascii="Amiri" w:hAnsi="Amiri" w:eastAsia="Amiri" w:cs="Amiri"/>
          <w:lang w:bidi="ar-SA"/>
          <w:color w:val="111111"/>
          <w:sz w:val="28"/>
          <w:szCs w:val="28"/>
          <w:rtl/>
        </w:rPr>
        <w:t xml:space="preserve">3.اصول الفقه الشافعي، ج2، ص458.</w:t>
      </w:r>
    </w:p>
    <w:p>
      <w:pPr>
        <w:pStyle w:val="BookText"/>
      </w:pPr>
      <w:r>
        <w:rPr>
          <w:rFonts w:ascii="Amiri" w:hAnsi="Amiri" w:eastAsia="Amiri" w:cs="Amiri"/>
          <w:lang w:bidi="ar-SA"/>
          <w:color w:val="111111"/>
          <w:sz w:val="28"/>
          <w:szCs w:val="28"/>
          <w:rtl/>
        </w:rPr>
        <w:t xml:space="preserve">4 .شرح تنقيح الفصول في اختصار المحصول في علم الاصول، ج9،</w:t>
      </w:r>
    </w:p>
    <w:p>
      <w:pPr>
        <w:pStyle w:val="BookText"/>
      </w:pPr>
      <w:r>
        <w:rPr>
          <w:rFonts w:ascii="IRNazanin" w:hAnsi="IRNazanin" w:eastAsia="IRNazanin" w:cs="IRNazanin"/>
          <w:lang w:bidi="fa-IR"/>
          <w:color w:val="111111"/>
          <w:sz w:val="28"/>
          <w:szCs w:val="28"/>
          <w:rtl/>
        </w:rPr>
        <w:t xml:space="preserve">ص 347 .</w:t>
      </w:r>
    </w:p>
    <w:p>
      <w:pPr>
        <w:pStyle w:val="Heading2"/>
      </w:pPr>
      <w:bookmarkStart w:id="6539" w:name="_Toc5641"/>
      <w:r>
        <w:t>قرافي ، علي بن احمد قرن 10 ه-</w:t>
      </w:r>
      <w:bookmarkEnd w:id="6539"/>
    </w:p>
    <w:p>
      <w:pPr>
        <w:pStyle w:val="BookText"/>
      </w:pPr>
      <w:r>
        <w:rPr>
          <w:rFonts w:ascii="Amiri" w:hAnsi="Amiri" w:eastAsia="Amiri" w:cs="Amiri"/>
          <w:lang w:bidi="ar-SA"/>
          <w:color w:val="111111"/>
          <w:sz w:val="28"/>
          <w:szCs w:val="28"/>
          <w:rtl/>
        </w:rPr>
        <w:t xml:space="preserve">1 .الصوارم الهندية في الطوائف اللوطية، ج 10، ص 644 .</w:t>
      </w:r>
    </w:p>
    <w:p>
      <w:pPr>
        <w:pStyle w:val="BookText"/>
      </w:pPr>
      <w:r>
        <w:rPr>
          <w:rFonts w:ascii="Amiri" w:hAnsi="Amiri" w:eastAsia="Amiri" w:cs="Amiri"/>
          <w:lang w:bidi="ar-SA"/>
          <w:color w:val="111111"/>
          <w:sz w:val="28"/>
          <w:szCs w:val="28"/>
          <w:rtl/>
        </w:rPr>
        <w:t xml:space="preserve">2 .نفحات العبير الساري باحاديث ابي</w:t>
      </w:r>
    </w:p>
    <w:p>
      <w:pPr>
        <w:pStyle w:val="BookText"/>
      </w:pPr>
      <w:r>
        <w:rPr>
          <w:rFonts w:ascii="Amiri" w:hAnsi="Amiri" w:eastAsia="Amiri" w:cs="Amiri"/>
          <w:lang w:bidi="ar-SA"/>
          <w:color w:val="111111"/>
          <w:sz w:val="28"/>
          <w:szCs w:val="28"/>
          <w:rtl/>
        </w:rPr>
        <w:t xml:space="preserve">ايوب الانصاري، ج 16، ص382.</w:t>
      </w:r>
    </w:p>
    <w:p>
      <w:pPr>
        <w:pStyle w:val="Heading2"/>
      </w:pPr>
      <w:bookmarkStart w:id="6540" w:name="_Toc5642"/>
      <w:r>
        <w:t>قرافي ، محمّد بن يحيى، 939 - 1008 ه-</w:t>
      </w:r>
      <w:bookmarkEnd w:id="6540"/>
    </w:p>
    <w:p>
      <w:pPr>
        <w:pStyle w:val="BookText"/>
      </w:pPr>
      <w:r>
        <w:rPr>
          <w:rFonts w:ascii="Amiri" w:hAnsi="Amiri" w:eastAsia="Amiri" w:cs="Amiri"/>
          <w:lang w:bidi="ar-SA"/>
          <w:color w:val="111111"/>
          <w:sz w:val="28"/>
          <w:szCs w:val="28"/>
          <w:rtl/>
        </w:rPr>
        <w:t xml:space="preserve">توالي المنح في اسماء ثحا و النخل و رتبة البلح، ج 5، ص 140.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871" w:name="pg7742_71024"/>
    <w:bookmarkEnd w:id="871"/>
    <w:p>
      <w:pPr>
        <w:pStyle w:val="Heading2"/>
      </w:pPr>
      <w:bookmarkStart w:id="6541" w:name="_Toc5643"/>
      <w:r>
        <w:t>قرافي ، يحيى بن عبدالرحمن - 608 ه-</w:t>
      </w:r>
      <w:bookmarkEnd w:id="6541"/>
    </w:p>
    <w:p>
      <w:pPr>
        <w:pStyle w:val="BookText"/>
      </w:pPr>
      <w:r>
        <w:rPr>
          <w:rFonts w:ascii="Amiri" w:hAnsi="Amiri" w:eastAsia="Amiri" w:cs="Amiri"/>
          <w:lang w:bidi="ar-SA"/>
          <w:color w:val="111111"/>
          <w:sz w:val="28"/>
          <w:szCs w:val="28"/>
          <w:rtl/>
        </w:rPr>
        <w:t xml:space="preserve">شرح القصيدة الغرامية = شرح منظومة الاشبيلي = شرح منظومة ابن فرح، ج 9، ص 883.</w:t>
      </w:r>
    </w:p>
    <w:p>
      <w:pPr>
        <w:pStyle w:val="Heading2"/>
      </w:pPr>
      <w:bookmarkStart w:id="6542" w:name="_Toc5644"/>
      <w:r>
        <w:t>قراماني ، ولي الدين محمّد بن مصطفى</w:t>
      </w:r>
      <w:bookmarkEnd w:id="6542"/>
    </w:p>
    <w:p>
      <w:pPr>
        <w:pStyle w:val="BookText"/>
      </w:pPr>
      <w:r>
        <w:rPr>
          <w:rFonts w:ascii="Amiri" w:hAnsi="Amiri" w:eastAsia="Amiri" w:cs="Amiri"/>
          <w:lang w:bidi="ar-SA"/>
          <w:color w:val="111111"/>
          <w:sz w:val="28"/>
          <w:szCs w:val="28"/>
          <w:rtl/>
        </w:rPr>
        <w:t xml:space="preserve">شرح ديباجة شرح الشمسية في القواعد المنطقية، ج 9، ص 473.</w:t>
      </w:r>
    </w:p>
    <w:p>
      <w:pPr>
        <w:pStyle w:val="Heading2"/>
      </w:pPr>
      <w:bookmarkStart w:id="6543" w:name="_Toc5645"/>
      <w:r>
        <w:t>قراماني ، يعقوب بن ادريس - 833 ه-</w:t>
      </w:r>
      <w:bookmarkEnd w:id="6543"/>
    </w:p>
    <w:p>
      <w:pPr>
        <w:pStyle w:val="BookText"/>
      </w:pPr>
      <w:r>
        <w:rPr>
          <w:rFonts w:ascii="Amiri" w:hAnsi="Amiri" w:eastAsia="Amiri" w:cs="Amiri"/>
          <w:lang w:bidi="ar-SA"/>
          <w:color w:val="111111"/>
          <w:sz w:val="28"/>
          <w:szCs w:val="28"/>
          <w:rtl/>
        </w:rPr>
        <w:t xml:space="preserve">اشراق التواريخ - تلخيص التواريخ</w:t>
      </w:r>
    </w:p>
    <w:p>
      <w:pPr>
        <w:pStyle w:val="BookText"/>
      </w:pPr>
      <w:r>
        <w:rPr>
          <w:rFonts w:ascii="IRNazanin" w:hAnsi="IRNazanin" w:eastAsia="IRNazanin" w:cs="IRNazanin"/>
          <w:lang w:bidi="fa-IR"/>
          <w:color w:val="111111"/>
          <w:sz w:val="28"/>
          <w:szCs w:val="28"/>
          <w:rtl/>
        </w:rPr>
        <w:t xml:space="preserve">ج 2، ص 279</w:t>
      </w:r>
    </w:p>
    <w:p>
      <w:pPr>
        <w:pStyle w:val="BookText"/>
      </w:pPr>
      <w:r>
        <w:rPr>
          <w:rFonts w:ascii="Amiri" w:hAnsi="Amiri" w:eastAsia="Amiri" w:cs="Amiri"/>
          <w:lang w:bidi="ar-SA"/>
          <w:color w:val="111111"/>
          <w:sz w:val="28"/>
          <w:szCs w:val="28"/>
          <w:rtl/>
        </w:rPr>
        <w:t xml:space="preserve">قرة امير حامدي -حميدي ، قرق امير</w:t>
      </w:r>
    </w:p>
    <w:p>
      <w:pPr>
        <w:pStyle w:val="Heading2"/>
      </w:pPr>
      <w:bookmarkStart w:id="6544" w:name="_Toc5646"/>
      <w:r>
        <w:t>قرتبي ، شرف الدين بن عبد العليم قرن</w:t>
      </w:r>
      <w:bookmarkEnd w:id="6544"/>
    </w:p>
    <w:p>
      <w:pPr>
        <w:pStyle w:val="BookText"/>
      </w:pPr>
      <w:r>
        <w:rPr>
          <w:rFonts w:ascii="Amiri" w:hAnsi="Amiri" w:eastAsia="Amiri" w:cs="Amiri"/>
          <w:lang w:bidi="ar-SA"/>
          <w:color w:val="111111"/>
          <w:sz w:val="28"/>
          <w:szCs w:val="28"/>
          <w:rtl/>
        </w:rPr>
        <w:t xml:space="preserve">قلائد عقود الدرر العقيان في مناقب</w:t>
      </w:r>
    </w:p>
    <w:p>
      <w:pPr>
        <w:pStyle w:val="BookText"/>
      </w:pPr>
      <w:r>
        <w:rPr>
          <w:rFonts w:ascii="IRNazanin" w:hAnsi="IRNazanin" w:eastAsia="IRNazanin" w:cs="IRNazanin"/>
          <w:lang w:bidi="fa-IR"/>
          <w:color w:val="111111"/>
          <w:sz w:val="28"/>
          <w:szCs w:val="28"/>
          <w:rtl/>
        </w:rPr>
        <w:t xml:space="preserve">النعمان، ج12، ص 759.</w:t>
      </w:r>
    </w:p>
    <w:p>
      <w:pPr>
        <w:pStyle w:val="Heading2"/>
      </w:pPr>
      <w:bookmarkStart w:id="6545" w:name="_Toc5647"/>
      <w:r>
        <w:t>قرجه احمد - 854 ه-</w:t>
      </w:r>
      <w:bookmarkEnd w:id="6545"/>
    </w:p>
    <w:p>
      <w:pPr>
        <w:pStyle w:val="BookText"/>
      </w:pPr>
      <w:r>
        <w:rPr>
          <w:rFonts w:ascii="Amiri" w:hAnsi="Amiri" w:eastAsia="Amiri" w:cs="Amiri"/>
          <w:lang w:bidi="ar-SA"/>
          <w:color w:val="111111"/>
          <w:sz w:val="28"/>
          <w:szCs w:val="28"/>
          <w:rtl/>
        </w:rPr>
        <w:t xml:space="preserve">حاشية حاشية الجرجاني على تحرير القواعد المنطقية، ج 5، ص 774.</w:t>
      </w:r>
    </w:p>
    <w:p>
      <w:pPr>
        <w:pStyle w:val="Heading2"/>
      </w:pPr>
      <w:bookmarkStart w:id="6546" w:name="_Toc5648"/>
      <w:r>
        <w:t>قرچه ،احمد احمد بن بايزيد 854 ه-</w:t>
      </w:r>
      <w:bookmarkEnd w:id="6546"/>
    </w:p>
    <w:p>
      <w:pPr>
        <w:pStyle w:val="BookText"/>
      </w:pPr>
      <w:r>
        <w:rPr>
          <w:rFonts w:ascii="Amiri" w:hAnsi="Amiri" w:eastAsia="Amiri" w:cs="Amiri"/>
          <w:lang w:bidi="ar-SA"/>
          <w:color w:val="111111"/>
          <w:sz w:val="28"/>
          <w:szCs w:val="28"/>
          <w:rtl/>
        </w:rPr>
        <w:t xml:space="preserve">حاشية شرح رسالة الابهرية، ج 6،</w:t>
      </w:r>
    </w:p>
    <w:p>
      <w:pPr>
        <w:pStyle w:val="BookText"/>
      </w:pPr>
      <w:r>
        <w:rPr>
          <w:rFonts w:ascii="IRNazanin" w:hAnsi="IRNazanin" w:eastAsia="IRNazanin" w:cs="IRNazanin"/>
          <w:lang w:bidi="fa-IR"/>
          <w:color w:val="111111"/>
          <w:sz w:val="28"/>
          <w:szCs w:val="28"/>
          <w:rtl/>
        </w:rPr>
        <w:t xml:space="preserve">ص 94.</w:t>
      </w:r>
    </w:p>
    <w:p>
      <w:pPr>
        <w:pStyle w:val="Heading2"/>
      </w:pPr>
      <w:bookmarkStart w:id="6547" w:name="_Toc5649"/>
      <w:r>
        <w:t>قرشي ، ابو عبدالله</w:t>
      </w:r>
      <w:bookmarkEnd w:id="6547"/>
    </w:p>
    <w:p>
      <w:pPr>
        <w:pStyle w:val="BookText"/>
      </w:pPr>
      <w:r>
        <w:rPr>
          <w:rFonts w:ascii="IRNazanin" w:hAnsi="IRNazanin" w:eastAsia="IRNazanin" w:cs="IRNazanin"/>
          <w:lang w:bidi="fa-IR"/>
          <w:color w:val="111111"/>
          <w:sz w:val="28"/>
          <w:szCs w:val="28"/>
          <w:rtl/>
        </w:rPr>
        <w:t xml:space="preserve">الدعاء، ج 7، ص389.</w:t>
      </w:r>
    </w:p>
    <w:p>
      <w:pPr>
        <w:pStyle w:val="BookText"/>
      </w:pPr>
      <w:r>
        <w:rPr>
          <w:rFonts w:ascii="Amiri" w:hAnsi="Amiri" w:eastAsia="Amiri" w:cs="Amiri"/>
          <w:lang w:bidi="ar-SA"/>
          <w:color w:val="111111"/>
          <w:sz w:val="28"/>
          <w:szCs w:val="28"/>
          <w:rtl/>
        </w:rPr>
        <w:t xml:space="preserve">2 .المخزون في تسلية المحزون، ج 14،</w:t>
      </w:r>
    </w:p>
    <w:p>
      <w:pPr>
        <w:pStyle w:val="BookText"/>
      </w:pPr>
      <w:r>
        <w:rPr>
          <w:rFonts w:ascii="IRNazanin" w:hAnsi="IRNazanin" w:eastAsia="IRNazanin" w:cs="IRNazanin"/>
          <w:lang w:bidi="fa-IR"/>
          <w:color w:val="111111"/>
          <w:sz w:val="28"/>
          <w:szCs w:val="28"/>
          <w:rtl/>
        </w:rPr>
        <w:t xml:space="preserve">ص 292.</w:t>
      </w:r>
    </w:p>
    <w:p>
      <w:pPr>
        <w:pStyle w:val="Heading2"/>
      </w:pPr>
      <w:bookmarkStart w:id="6548" w:name="_Toc5650"/>
      <w:r>
        <w:t>قرشي ، جعفر بن حسن</w:t>
      </w:r>
      <w:bookmarkEnd w:id="6548"/>
    </w:p>
    <w:p>
      <w:pPr>
        <w:pStyle w:val="BookText"/>
      </w:pPr>
      <w:r>
        <w:rPr>
          <w:rFonts w:ascii="IRNazanin" w:hAnsi="IRNazanin" w:eastAsia="IRNazanin" w:cs="IRNazanin"/>
          <w:lang w:bidi="fa-IR"/>
          <w:color w:val="111111"/>
          <w:sz w:val="28"/>
          <w:szCs w:val="28"/>
          <w:rtl/>
        </w:rPr>
        <w:t xml:space="preserve">شرح شرایع الاسلام، ج 9، ص 628 .</w:t>
      </w:r>
    </w:p>
    <w:p>
      <w:pPr>
        <w:pStyle w:val="BookText"/>
      </w:pPr>
      <w:r>
        <w:rPr>
          <w:rFonts w:ascii="Amiri" w:hAnsi="Amiri" w:eastAsia="Amiri" w:cs="Amiri"/>
          <w:lang w:bidi="ar-SA"/>
          <w:color w:val="111111"/>
          <w:sz w:val="28"/>
          <w:szCs w:val="28"/>
          <w:rtl/>
        </w:rPr>
        <w:t xml:space="preserve">قرشي ، حسين بن ابراهيم - 421 ه-</w:t>
      </w:r>
    </w:p>
    <w:p>
      <w:pPr>
        <w:pStyle w:val="BookText"/>
      </w:pPr>
      <w:r>
        <w:rPr>
          <w:rFonts w:ascii="IRNazanin" w:hAnsi="IRNazanin" w:eastAsia="IRNazanin" w:cs="IRNazanin"/>
          <w:lang w:bidi="fa-IR"/>
          <w:color w:val="111111"/>
          <w:sz w:val="28"/>
          <w:szCs w:val="28"/>
          <w:rtl/>
        </w:rPr>
        <w:t xml:space="preserve">الفوائد، ج 12، ص 169.</w:t>
      </w:r>
    </w:p>
    <w:p>
      <w:pPr>
        <w:pStyle w:val="Heading2"/>
      </w:pPr>
      <w:bookmarkStart w:id="6549" w:name="_Toc5651"/>
      <w:r>
        <w:t>قرشي ساوجي، محمّد بن حسين قرن 11ه-</w:t>
      </w:r>
      <w:bookmarkEnd w:id="6549"/>
    </w:p>
    <w:p>
      <w:pPr>
        <w:pStyle w:val="BookText"/>
      </w:pPr>
      <w:r>
        <w:rPr>
          <w:rFonts w:ascii="Amiri" w:hAnsi="Amiri" w:eastAsia="Amiri" w:cs="Amiri"/>
          <w:lang w:bidi="ar-SA"/>
          <w:color w:val="111111"/>
          <w:sz w:val="28"/>
          <w:szCs w:val="28"/>
          <w:rtl/>
        </w:rPr>
        <w:t xml:space="preserve">نظام الأقوال في معرفة الرجال، ج 16،</w:t>
      </w:r>
    </w:p>
    <w:p>
      <w:pPr>
        <w:pStyle w:val="BookText"/>
      </w:pPr>
      <w:r>
        <w:rPr>
          <w:rFonts w:ascii="IRNazanin" w:hAnsi="IRNazanin" w:eastAsia="IRNazanin" w:cs="IRNazanin"/>
          <w:lang w:bidi="fa-IR"/>
          <w:color w:val="111111"/>
          <w:sz w:val="28"/>
          <w:szCs w:val="28"/>
          <w:rtl/>
        </w:rPr>
        <w:t xml:space="preserve">ص 320.</w:t>
      </w:r>
    </w:p>
    <w:p>
      <w:pPr>
        <w:pStyle w:val="Heading2"/>
      </w:pPr>
      <w:bookmarkStart w:id="6550" w:name="_Toc5652"/>
      <w:r>
        <w:t>قرشي ، عباس بن محمّد - 1299 ه-</w:t>
      </w:r>
      <w:bookmarkEnd w:id="6550"/>
    </w:p>
    <w:p>
      <w:pPr>
        <w:pStyle w:val="BookText"/>
      </w:pPr>
      <w:r>
        <w:rPr>
          <w:rFonts w:ascii="Amiri" w:hAnsi="Amiri" w:eastAsia="Amiri" w:cs="Amiri"/>
          <w:lang w:bidi="ar-SA"/>
          <w:color w:val="111111"/>
          <w:sz w:val="28"/>
          <w:szCs w:val="28"/>
          <w:rtl/>
        </w:rPr>
        <w:t xml:space="preserve">ديوان القرشي، ج 7، ص737.</w:t>
      </w:r>
    </w:p>
    <w:p>
      <w:pPr>
        <w:pStyle w:val="Heading2"/>
      </w:pPr>
      <w:bookmarkStart w:id="6551" w:name="_Toc5653"/>
      <w:r>
        <w:t>قرشي ، عبد الرحمن بن علي</w:t>
      </w:r>
      <w:bookmarkEnd w:id="6551"/>
    </w:p>
    <w:p>
      <w:pPr>
        <w:pStyle w:val="BookText"/>
      </w:pPr>
      <w:r>
        <w:rPr>
          <w:rFonts w:ascii="Amiri" w:hAnsi="Amiri" w:eastAsia="Amiri" w:cs="Amiri"/>
          <w:lang w:bidi="ar-SA"/>
          <w:color w:val="111111"/>
          <w:sz w:val="28"/>
          <w:szCs w:val="28"/>
          <w:rtl/>
        </w:rPr>
        <w:t xml:space="preserve">جامع خواص اسرار القرآن - خواص آيات القرآن الكريم، ج 5، ص 264.</w:t>
      </w:r>
    </w:p>
    <w:p>
      <w:pPr>
        <w:pStyle w:val="Heading2"/>
      </w:pPr>
      <w:bookmarkStart w:id="6552" w:name="_Toc5654"/>
      <w:r>
        <w:t>قرشي ، عبدالرحمن بن يحيى</w:t>
      </w:r>
      <w:bookmarkEnd w:id="6552"/>
    </w:p>
    <w:p>
      <w:pPr>
        <w:pStyle w:val="BookText"/>
      </w:pPr>
      <w:r>
        <w:rPr>
          <w:rFonts w:ascii="Amiri" w:hAnsi="Amiri" w:eastAsia="Amiri" w:cs="Amiri"/>
          <w:lang w:bidi="ar-SA"/>
          <w:color w:val="111111"/>
          <w:sz w:val="28"/>
          <w:szCs w:val="28"/>
          <w:rtl/>
        </w:rPr>
        <w:t xml:space="preserve">ترجمة اقليدس، ج4، ص 259.</w:t>
      </w:r>
    </w:p>
    <w:p>
      <w:pPr>
        <w:pStyle w:val="Heading2"/>
      </w:pPr>
      <w:bookmarkStart w:id="6553" w:name="_Toc5655"/>
      <w:r>
        <w:t>قرشي ، عمر بن عبد المجيد قرن 6 ه-</w:t>
      </w:r>
      <w:bookmarkEnd w:id="6553"/>
    </w:p>
    <w:p>
      <w:pPr>
        <w:pStyle w:val="BookText"/>
      </w:pPr>
      <w:r>
        <w:rPr>
          <w:rFonts w:ascii="Amiri" w:hAnsi="Amiri" w:eastAsia="Amiri" w:cs="Amiri"/>
          <w:lang w:bidi="ar-SA"/>
          <w:color w:val="111111"/>
          <w:sz w:val="28"/>
          <w:szCs w:val="28"/>
          <w:rtl/>
        </w:rPr>
        <w:t xml:space="preserve">ايضاح ما لايسع المحدث جهله، ج3،</w:t>
      </w:r>
    </w:p>
    <w:p>
      <w:pPr>
        <w:pStyle w:val="BookText"/>
      </w:pPr>
      <w:r>
        <w:rPr>
          <w:rFonts w:ascii="IRNazanin" w:hAnsi="IRNazanin" w:eastAsia="IRNazanin" w:cs="IRNazanin"/>
          <w:lang w:bidi="fa-IR"/>
          <w:color w:val="111111"/>
          <w:sz w:val="28"/>
          <w:szCs w:val="28"/>
          <w:rtl/>
        </w:rPr>
        <w:t xml:space="preserve">ص 136.</w:t>
      </w:r>
    </w:p>
    <w:p>
      <w:pPr>
        <w:pStyle w:val="Heading2"/>
      </w:pPr>
      <w:bookmarkStart w:id="6554" w:name="_Toc5656"/>
      <w:r>
        <w:t>قرشي، محمّد بن ابي الخطاب - 170 ه-</w:t>
      </w:r>
      <w:bookmarkEnd w:id="6554"/>
    </w:p>
    <w:p>
      <w:pPr>
        <w:pStyle w:val="BookText"/>
      </w:pPr>
      <w:r>
        <w:rPr>
          <w:rFonts w:ascii="Amiri" w:hAnsi="Amiri" w:eastAsia="Amiri" w:cs="Amiri"/>
          <w:lang w:bidi="ar-SA"/>
          <w:color w:val="111111"/>
          <w:sz w:val="28"/>
          <w:szCs w:val="28"/>
          <w:rtl/>
        </w:rPr>
        <w:t xml:space="preserve">جمهرة اشعار العرب في الجاهلية و الاسلام، ج 5، ص 449 .</w:t>
      </w:r>
    </w:p>
    <w:p>
      <w:pPr>
        <w:pStyle w:val="Heading2"/>
      </w:pPr>
      <w:bookmarkStart w:id="6555" w:name="_Toc5657"/>
      <w:r>
        <w:t>قرشي، محمّد صالح بن حسن قرن 12ه-</w:t>
      </w:r>
      <w:bookmarkEnd w:id="6555"/>
    </w:p>
    <w:p>
      <w:pPr>
        <w:pStyle w:val="BookText"/>
      </w:pPr>
      <w:r>
        <w:rPr>
          <w:rFonts w:ascii="Amiri" w:hAnsi="Amiri" w:eastAsia="Amiri" w:cs="Amiri"/>
          <w:lang w:bidi="ar-SA"/>
          <w:color w:val="111111"/>
          <w:sz w:val="28"/>
          <w:szCs w:val="28"/>
          <w:rtl/>
        </w:rPr>
        <w:t xml:space="preserve">مقنعة الحسينية في رضخ رؤوس أعوان الأموية، ج 15، ص393.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872" w:name="pg7742_71026"/>
    <w:bookmarkEnd w:id="872"/>
    <w:p>
      <w:pPr>
        <w:pStyle w:val="Heading2"/>
      </w:pPr>
      <w:bookmarkStart w:id="6556" w:name="_Toc5658"/>
      <w:r>
        <w:t>قرشي مرجاني ، عبدالرحمن بن محمّد ،</w:t>
      </w:r>
      <w:bookmarkEnd w:id="6556"/>
    </w:p>
    <w:p>
      <w:pPr>
        <w:pStyle w:val="BookText"/>
      </w:pPr>
      <w:r>
        <w:rPr>
          <w:rFonts w:ascii="IRNazanin" w:hAnsi="IRNazanin" w:eastAsia="IRNazanin" w:cs="IRNazanin"/>
          <w:lang w:bidi="fa-IR"/>
          <w:color w:val="111111"/>
          <w:sz w:val="28"/>
          <w:szCs w:val="28"/>
          <w:rtl/>
        </w:rPr>
        <w:t xml:space="preserve">قرن 7 ه-</w:t>
      </w:r>
    </w:p>
    <w:p>
      <w:pPr>
        <w:pStyle w:val="BookText"/>
      </w:pPr>
      <w:r>
        <w:rPr>
          <w:rFonts w:ascii="Amiri" w:hAnsi="Amiri" w:eastAsia="Amiri" w:cs="Amiri"/>
          <w:lang w:bidi="ar-SA"/>
          <w:color w:val="111111"/>
          <w:sz w:val="28"/>
          <w:szCs w:val="28"/>
          <w:rtl/>
        </w:rPr>
        <w:t xml:space="preserve">مثير العزم الساكن في فضائل البقاع و</w:t>
      </w:r>
    </w:p>
    <w:p>
      <w:pPr>
        <w:pStyle w:val="BookText"/>
      </w:pPr>
      <w:r>
        <w:rPr>
          <w:rFonts w:ascii="Amiri" w:hAnsi="Amiri" w:eastAsia="Amiri" w:cs="Amiri"/>
          <w:lang w:bidi="ar-SA"/>
          <w:color w:val="111111"/>
          <w:sz w:val="28"/>
          <w:szCs w:val="28"/>
          <w:rtl/>
        </w:rPr>
        <w:t xml:space="preserve">الاماكن، ج 13، ص779</w:t>
      </w:r>
    </w:p>
    <w:p>
      <w:pPr>
        <w:pStyle w:val="BookText"/>
      </w:pPr>
      <w:r>
        <w:rPr>
          <w:rFonts w:ascii="Amiri" w:hAnsi="Amiri" w:eastAsia="Amiri" w:cs="Amiri"/>
          <w:lang w:bidi="ar-SA"/>
          <w:color w:val="111111"/>
          <w:sz w:val="28"/>
          <w:szCs w:val="28"/>
          <w:rtl/>
        </w:rPr>
        <w:t xml:space="preserve">قرطبي ، احمد بن عبدالله- ابن زيدون</w:t>
      </w:r>
    </w:p>
    <w:p>
      <w:pPr>
        <w:pStyle w:val="BookText"/>
      </w:pPr>
      <w:r>
        <w:rPr>
          <w:rFonts w:ascii="IRNazanin" w:hAnsi="IRNazanin" w:eastAsia="IRNazanin" w:cs="IRNazanin"/>
          <w:lang w:bidi="fa-IR"/>
          <w:color w:val="111111"/>
          <w:sz w:val="28"/>
          <w:szCs w:val="28"/>
          <w:rtl/>
        </w:rPr>
        <w:t xml:space="preserve">احمد بن عبدالله</w:t>
      </w:r>
    </w:p>
    <w:p>
      <w:pPr>
        <w:pStyle w:val="Heading2"/>
      </w:pPr>
      <w:bookmarkStart w:id="6557" w:name="_Toc5659"/>
      <w:r>
        <w:t>قرطبي ، احمد بن علي - 640؟ ه-</w:t>
      </w:r>
      <w:bookmarkEnd w:id="6557"/>
    </w:p>
    <w:p>
      <w:pPr>
        <w:pStyle w:val="BookText"/>
      </w:pPr>
      <w:r>
        <w:rPr>
          <w:rFonts w:ascii="Amiri" w:hAnsi="Amiri" w:eastAsia="Amiri" w:cs="Amiri"/>
          <w:lang w:bidi="ar-SA"/>
          <w:color w:val="111111"/>
          <w:sz w:val="28"/>
          <w:szCs w:val="28"/>
          <w:rtl/>
        </w:rPr>
        <w:t xml:space="preserve">شرح عقيلة اتراب القصائد في أسنى المقاصد، ج 9، ص 745.</w:t>
      </w:r>
    </w:p>
    <w:p>
      <w:pPr>
        <w:pStyle w:val="Heading2"/>
      </w:pPr>
      <w:bookmarkStart w:id="6558" w:name="_Toc5660"/>
      <w:r>
        <w:t>قرطبي ، احمد بن عمر 578 - 656 ه-</w:t>
      </w:r>
      <w:bookmarkEnd w:id="6558"/>
    </w:p>
    <w:p>
      <w:pPr>
        <w:pStyle w:val="BookText"/>
      </w:pPr>
      <w:r>
        <w:rPr>
          <w:rFonts w:ascii="IRNazanin" w:hAnsi="IRNazanin" w:eastAsia="IRNazanin" w:cs="IRNazanin"/>
          <w:lang w:bidi="fa-IR"/>
          <w:color w:val="111111"/>
          <w:sz w:val="28"/>
          <w:szCs w:val="28"/>
          <w:rtl/>
        </w:rPr>
        <w:t xml:space="preserve">1 .حزب البحر، ج 6، ص 628.</w:t>
      </w:r>
    </w:p>
    <w:p>
      <w:pPr>
        <w:pStyle w:val="BookText"/>
      </w:pPr>
      <w:r>
        <w:rPr>
          <w:rFonts w:ascii="Amiri" w:hAnsi="Amiri" w:eastAsia="Amiri" w:cs="Amiri"/>
          <w:lang w:bidi="ar-SA"/>
          <w:color w:val="111111"/>
          <w:sz w:val="28"/>
          <w:szCs w:val="28"/>
          <w:rtl/>
        </w:rPr>
        <w:t xml:space="preserve">2 .المفهم لما اشكل من تلخيص كتاب</w:t>
      </w:r>
    </w:p>
    <w:p>
      <w:pPr>
        <w:pStyle w:val="BookText"/>
      </w:pPr>
      <w:r>
        <w:rPr>
          <w:rFonts w:ascii="Amiri" w:hAnsi="Amiri" w:eastAsia="Amiri" w:cs="Amiri"/>
          <w:lang w:bidi="ar-SA"/>
          <w:color w:val="111111"/>
          <w:sz w:val="28"/>
          <w:szCs w:val="28"/>
          <w:rtl/>
        </w:rPr>
        <w:t xml:space="preserve">مسلم = المفهم في شرح صحيح مسلم، ج 15، ص258.</w:t>
      </w:r>
    </w:p>
    <w:p>
      <w:pPr>
        <w:pStyle w:val="BookText"/>
      </w:pPr>
      <w:r>
        <w:rPr>
          <w:rFonts w:ascii="Amiri" w:hAnsi="Amiri" w:eastAsia="Amiri" w:cs="Amiri"/>
          <w:lang w:bidi="ar-SA"/>
          <w:color w:val="111111"/>
          <w:sz w:val="28"/>
          <w:szCs w:val="28"/>
          <w:rtl/>
        </w:rPr>
        <w:t xml:space="preserve">قرطبي ، احمد بن محمّد- ابن عبد ربه ،</w:t>
      </w:r>
    </w:p>
    <w:p>
      <w:pPr>
        <w:pStyle w:val="BookText"/>
      </w:pPr>
      <w:r>
        <w:rPr>
          <w:rFonts w:ascii="IRNazanin" w:hAnsi="IRNazanin" w:eastAsia="IRNazanin" w:cs="IRNazanin"/>
          <w:lang w:bidi="fa-IR"/>
          <w:color w:val="111111"/>
          <w:sz w:val="28"/>
          <w:szCs w:val="28"/>
          <w:rtl/>
        </w:rPr>
        <w:t xml:space="preserve">احمد بن محمّد</w:t>
      </w:r>
    </w:p>
    <w:p>
      <w:pPr>
        <w:pStyle w:val="BookText"/>
      </w:pPr>
      <w:r>
        <w:rPr>
          <w:rFonts w:ascii="Amiri" w:hAnsi="Amiri" w:eastAsia="Amiri" w:cs="Amiri"/>
          <w:lang w:bidi="ar-SA"/>
          <w:color w:val="111111"/>
          <w:sz w:val="28"/>
          <w:szCs w:val="28"/>
          <w:rtl/>
        </w:rPr>
        <w:t xml:space="preserve">قرطبي ، بقي بن مخلد- ابن مخلد ، بقي</w:t>
      </w:r>
    </w:p>
    <w:p>
      <w:pPr>
        <w:pStyle w:val="BookText"/>
      </w:pPr>
      <w:r>
        <w:rPr>
          <w:rFonts w:ascii="IRNazanin" w:hAnsi="IRNazanin" w:eastAsia="IRNazanin" w:cs="IRNazanin"/>
          <w:lang w:bidi="fa-IR"/>
          <w:color w:val="111111"/>
          <w:sz w:val="28"/>
          <w:szCs w:val="28"/>
          <w:rtl/>
        </w:rPr>
        <w:t xml:space="preserve">بن مخلد</w:t>
      </w:r>
    </w:p>
    <w:p>
      <w:pPr>
        <w:pStyle w:val="Heading2"/>
      </w:pPr>
      <w:bookmarkStart w:id="6559" w:name="_Toc5661"/>
      <w:r>
        <w:t>قرطبي خلف بن عبد الملك ، 494-578ه-</w:t>
      </w:r>
      <w:bookmarkEnd w:id="6559"/>
    </w:p>
    <w:p>
      <w:pPr>
        <w:pStyle w:val="BookText"/>
      </w:pPr>
      <w:r>
        <w:rPr>
          <w:rFonts w:ascii="Amiri" w:hAnsi="Amiri" w:eastAsia="Amiri" w:cs="Amiri"/>
          <w:lang w:bidi="ar-SA"/>
          <w:color w:val="111111"/>
          <w:sz w:val="28"/>
          <w:szCs w:val="28"/>
          <w:rtl/>
        </w:rPr>
        <w:t xml:space="preserve">غوامض الاسماء المبهمة الواقعة في متون الاحاديث المسندة = الغوامض و المبهمات من الإسماء، ج 11، ص 541.</w:t>
      </w:r>
    </w:p>
    <w:p>
      <w:pPr>
        <w:pStyle w:val="Heading2"/>
      </w:pPr>
      <w:bookmarkStart w:id="6560" w:name="_Toc5662"/>
      <w:r>
        <w:t>قرطبي ، محمّد بن احمد - 671 ه-</w:t>
      </w:r>
      <w:bookmarkEnd w:id="6560"/>
    </w:p>
    <w:p>
      <w:pPr>
        <w:pStyle w:val="BookText"/>
      </w:pPr>
      <w:r>
        <w:rPr>
          <w:rFonts w:ascii="Amiri" w:hAnsi="Amiri" w:eastAsia="Amiri" w:cs="Amiri"/>
          <w:lang w:bidi="ar-SA"/>
          <w:color w:val="111111"/>
          <w:sz w:val="28"/>
          <w:szCs w:val="28"/>
          <w:rtl/>
        </w:rPr>
        <w:t xml:space="preserve">1 .التذكرة بأحوال الموتي و امور الآخرة</w:t>
      </w:r>
    </w:p>
    <w:p>
      <w:pPr>
        <w:pStyle w:val="BookText"/>
      </w:pPr>
      <w:r>
        <w:rPr>
          <w:rFonts w:ascii="IRNazanin" w:hAnsi="IRNazanin" w:eastAsia="IRNazanin" w:cs="IRNazanin"/>
          <w:lang w:bidi="fa-IR"/>
          <w:color w:val="111111"/>
          <w:sz w:val="28"/>
          <w:szCs w:val="28"/>
          <w:rtl/>
        </w:rPr>
        <w:t xml:space="preserve">ج 4، ص 186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الجامع لأحكام القرآن و المبين لما</w:t>
      </w:r>
    </w:p>
    <w:p>
      <w:pPr>
        <w:pStyle w:val="BookText"/>
      </w:pPr>
      <w:r>
        <w:rPr>
          <w:rFonts w:ascii="Amiri" w:hAnsi="Amiri" w:eastAsia="Amiri" w:cs="Amiri"/>
          <w:lang w:bidi="ar-SA"/>
          <w:color w:val="111111"/>
          <w:sz w:val="28"/>
          <w:szCs w:val="28"/>
          <w:rtl/>
        </w:rPr>
        <w:t xml:space="preserve">تضمن من السنة و آي القرآن تفسير القرطبي، ج5، ص320.</w:t>
      </w:r>
    </w:p>
    <w:p>
      <w:pPr>
        <w:pStyle w:val="BookText"/>
      </w:pPr>
      <w:r>
        <w:rPr>
          <w:rFonts w:ascii="Amiri" w:hAnsi="Amiri" w:eastAsia="Amiri" w:cs="Amiri"/>
          <w:lang w:bidi="ar-SA"/>
          <w:color w:val="111111"/>
          <w:sz w:val="28"/>
          <w:szCs w:val="28"/>
          <w:rtl/>
        </w:rPr>
        <w:t xml:space="preserve">قرطبي ، محمّد بن احمد بن ابي بكر -ابن</w:t>
      </w:r>
    </w:p>
    <w:p>
      <w:pPr>
        <w:pStyle w:val="BookText"/>
      </w:pPr>
      <w:r>
        <w:rPr>
          <w:rFonts w:ascii="IRNazanin" w:hAnsi="IRNazanin" w:eastAsia="IRNazanin" w:cs="IRNazanin"/>
          <w:lang w:bidi="fa-IR"/>
          <w:color w:val="111111"/>
          <w:sz w:val="28"/>
          <w:szCs w:val="28"/>
          <w:rtl/>
        </w:rPr>
        <w:t xml:space="preserve">طلاع ، محمّد بن احمد</w:t>
      </w:r>
    </w:p>
    <w:p>
      <w:pPr>
        <w:pStyle w:val="BookText"/>
      </w:pPr>
      <w:r>
        <w:rPr>
          <w:rFonts w:ascii="Amiri" w:hAnsi="Amiri" w:eastAsia="Amiri" w:cs="Amiri"/>
          <w:lang w:bidi="ar-SA"/>
          <w:color w:val="111111"/>
          <w:sz w:val="28"/>
          <w:szCs w:val="28"/>
          <w:rtl/>
        </w:rPr>
        <w:t xml:space="preserve">قرطبي ، محمّد بن محمّد- ادريسي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6561" w:name="_Toc5663"/>
      <w:r>
        <w:t>قرطبي موسى بن میمون 529-601 ه-</w:t>
      </w:r>
      <w:bookmarkEnd w:id="6561"/>
    </w:p>
    <w:p>
      <w:pPr>
        <w:pStyle w:val="BookText"/>
      </w:pPr>
      <w:r>
        <w:rPr>
          <w:rFonts w:ascii="Amiri" w:hAnsi="Amiri" w:eastAsia="Amiri" w:cs="Amiri"/>
          <w:lang w:bidi="ar-SA"/>
          <w:color w:val="111111"/>
          <w:sz w:val="28"/>
          <w:szCs w:val="28"/>
          <w:rtl/>
        </w:rPr>
        <w:t xml:space="preserve">1 .دلالة الحائرين، ج7، ص 464.</w:t>
      </w:r>
    </w:p>
    <w:p>
      <w:pPr>
        <w:pStyle w:val="BookText"/>
      </w:pPr>
      <w:r>
        <w:rPr>
          <w:rFonts w:ascii="Amiri" w:hAnsi="Amiri" w:eastAsia="Amiri" w:cs="Amiri"/>
          <w:lang w:bidi="ar-SA"/>
          <w:color w:val="111111"/>
          <w:sz w:val="28"/>
          <w:szCs w:val="28"/>
          <w:rtl/>
        </w:rPr>
        <w:t xml:space="preserve">2 .السموم و التحرز من الادوية القتالة</w:t>
      </w:r>
    </w:p>
    <w:p>
      <w:pPr>
        <w:pStyle w:val="BookText"/>
      </w:pPr>
      <w:r>
        <w:rPr>
          <w:rFonts w:ascii="IRNazanin" w:hAnsi="IRNazanin" w:eastAsia="IRNazanin" w:cs="IRNazanin"/>
          <w:lang w:bidi="fa-IR"/>
          <w:color w:val="111111"/>
          <w:sz w:val="28"/>
          <w:szCs w:val="28"/>
          <w:rtl/>
        </w:rPr>
        <w:t xml:space="preserve">فاضلیه، ج8، ص 835.</w:t>
      </w:r>
    </w:p>
    <w:p>
      <w:pPr>
        <w:pStyle w:val="BookText"/>
      </w:pPr>
      <w:r>
        <w:rPr>
          <w:rFonts w:ascii="Amiri" w:hAnsi="Amiri" w:eastAsia="Amiri" w:cs="Amiri"/>
          <w:lang w:bidi="ar-SA"/>
          <w:color w:val="111111"/>
          <w:sz w:val="28"/>
          <w:szCs w:val="28"/>
          <w:rtl/>
        </w:rPr>
        <w:t xml:space="preserve">3 .المنطق (رسالة في)، ج 15، ص 694.</w:t>
      </w:r>
    </w:p>
    <w:p>
      <w:pPr>
        <w:pStyle w:val="Heading2"/>
      </w:pPr>
      <w:bookmarkStart w:id="6562" w:name="_Toc5664"/>
      <w:r>
        <w:t>قرطبي ، يحيى</w:t>
      </w:r>
      <w:bookmarkEnd w:id="6562"/>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القصيدة النونية، ج 12، ص722.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موشح لابن بقي، ج 16، ص 24.</w:t>
      </w:r>
    </w:p>
    <w:p>
      <w:pPr>
        <w:pStyle w:val="BookText"/>
      </w:pPr>
      <w:r>
        <w:rPr>
          <w:rFonts w:ascii="Amiri" w:hAnsi="Amiri" w:eastAsia="Amiri" w:cs="Amiri"/>
          <w:lang w:bidi="ar-SA"/>
          <w:color w:val="111111"/>
          <w:sz w:val="28"/>
          <w:szCs w:val="28"/>
          <w:rtl/>
        </w:rPr>
        <w:t xml:space="preserve">قرطبي ، يحيى بن نجاح -ابن قلاس يحيى بن نجاح</w:t>
      </w:r>
    </w:p>
    <w:p>
      <w:pPr>
        <w:pStyle w:val="Heading2"/>
      </w:pPr>
      <w:bookmarkStart w:id="6563" w:name="_Toc5665"/>
      <w:r>
        <w:t>قرق اغاجي، سليمان بن سليمان</w:t>
      </w:r>
      <w:bookmarkEnd w:id="6563"/>
    </w:p>
    <w:p>
      <w:pPr>
        <w:pStyle w:val="BookText"/>
      </w:pPr>
      <w:r>
        <w:rPr>
          <w:rFonts w:ascii="IRNazanin" w:hAnsi="IRNazanin" w:eastAsia="IRNazanin" w:cs="IRNazanin"/>
          <w:lang w:bidi="fa-IR"/>
          <w:color w:val="111111"/>
          <w:sz w:val="28"/>
          <w:szCs w:val="28"/>
          <w:rtl/>
        </w:rPr>
        <w:t xml:space="preserve">1368ه-</w:t>
      </w:r>
    </w:p>
    <w:p>
      <w:pPr>
        <w:pStyle w:val="BookText"/>
      </w:pPr>
      <w:r>
        <w:rPr>
          <w:rFonts w:ascii="Amiri" w:hAnsi="Amiri" w:eastAsia="Amiri" w:cs="Amiri"/>
          <w:lang w:bidi="ar-SA"/>
          <w:color w:val="111111"/>
          <w:sz w:val="28"/>
          <w:szCs w:val="28"/>
          <w:rtl/>
        </w:rPr>
        <w:t xml:space="preserve">شرح رسالة الاستعارة، ج 9، ص 525.</w:t>
      </w:r>
    </w:p>
    <w:p>
      <w:pPr>
        <w:pStyle w:val="BookText"/>
      </w:pPr>
      <w:r>
        <w:rPr>
          <w:rFonts w:ascii="Amiri" w:hAnsi="Amiri" w:eastAsia="Amiri" w:cs="Amiri"/>
          <w:lang w:bidi="ar-SA"/>
          <w:color w:val="111111"/>
          <w:sz w:val="28"/>
          <w:szCs w:val="28"/>
          <w:rtl/>
        </w:rPr>
        <w:t xml:space="preserve">قرق امير حميدي- حميدي ، قرق امير</w:t>
      </w:r>
    </w:p>
    <w:p>
      <w:pPr>
        <w:pStyle w:val="Heading2"/>
      </w:pPr>
      <w:bookmarkStart w:id="6564" w:name="_Toc5666"/>
      <w:r>
        <w:t>قرماني ابراهيم بن عبد الرحمن قرن 11ه-</w:t>
      </w:r>
      <w:bookmarkEnd w:id="6564"/>
    </w:p>
    <w:p>
      <w:pPr>
        <w:pStyle w:val="BookText"/>
      </w:pPr>
      <w:r>
        <w:rPr>
          <w:rFonts w:ascii="IRNazanin" w:hAnsi="IRNazanin" w:eastAsia="IRNazanin" w:cs="IRNazanin"/>
          <w:lang w:bidi="fa-IR"/>
          <w:color w:val="111111"/>
          <w:sz w:val="28"/>
          <w:szCs w:val="28"/>
          <w:rtl/>
        </w:rPr>
        <w:t xml:space="preserve">1 .شرح حزب البحر، ج9، ص 410.</w:t>
      </w:r>
    </w:p>
    <w:p>
      <w:pPr>
        <w:pStyle w:val="BookText"/>
      </w:pPr>
      <w:r>
        <w:rPr>
          <w:rFonts w:ascii="Amiri" w:hAnsi="Amiri" w:eastAsia="Amiri" w:cs="Amiri"/>
          <w:lang w:bidi="ar-SA"/>
          <w:color w:val="111111"/>
          <w:sz w:val="28"/>
          <w:szCs w:val="28"/>
          <w:rtl/>
        </w:rPr>
        <w:t xml:space="preserve">2.كتاب، ج 13، ص 85.</w:t>
      </w:r>
    </w:p>
    <w:p>
      <w:pPr>
        <w:pStyle w:val="BookText"/>
      </w:pPr>
      <w:r>
        <w:rPr>
          <w:rFonts w:ascii="Amiri" w:hAnsi="Amiri" w:eastAsia="Amiri" w:cs="Amiri"/>
          <w:lang w:bidi="ar-SA"/>
          <w:color w:val="111111"/>
          <w:sz w:val="28"/>
          <w:szCs w:val="28"/>
          <w:rtl/>
        </w:rPr>
        <w:t xml:space="preserve">3 .الهيئة على اهل السنة و الجماعة</w:t>
      </w:r>
    </w:p>
    <w:p>
      <w:pPr>
        <w:pStyle w:val="BookText"/>
      </w:pPr>
      <w:r>
        <w:rPr>
          <w:rFonts w:ascii="Amiri" w:hAnsi="Amiri" w:eastAsia="Amiri" w:cs="Amiri"/>
          <w:lang w:bidi="ar-SA"/>
          <w:color w:val="111111"/>
          <w:sz w:val="28"/>
          <w:szCs w:val="28"/>
          <w:rtl/>
        </w:rPr>
        <w:t xml:space="preserve">دون الفلاسفة = مختصر الهيئة السنية في الهيئة السنية، ج 16،</w:t>
      </w:r>
    </w:p>
    <w:p>
      <w:pPr>
        <w:pStyle w:val="BookText"/>
      </w:pPr>
      <w:r>
        <w:rPr>
          <w:rFonts w:ascii="IRNazanin" w:hAnsi="IRNazanin" w:eastAsia="IRNazanin" w:cs="IRNazanin"/>
          <w:lang w:bidi="fa-IR"/>
          <w:color w:val="111111"/>
          <w:sz w:val="28"/>
          <w:szCs w:val="28"/>
          <w:rtl/>
        </w:rPr>
        <w:t xml:space="preserve">ص 666 .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873" w:name="pg7742_71028"/>
    <w:bookmarkEnd w:id="873"/>
    <w:p>
      <w:pPr>
        <w:pStyle w:val="Heading2"/>
      </w:pPr>
      <w:bookmarkStart w:id="6565" w:name="_Toc5667"/>
      <w:r>
        <w:t>قرماني ، احمد بن حسن - 1190 ه-</w:t>
      </w:r>
      <w:bookmarkEnd w:id="6565"/>
    </w:p>
    <w:p>
      <w:pPr>
        <w:pStyle w:val="BookText"/>
      </w:pPr>
      <w:r>
        <w:rPr>
          <w:rFonts w:ascii="Amiri" w:hAnsi="Amiri" w:eastAsia="Amiri" w:cs="Amiri"/>
          <w:lang w:bidi="ar-SA"/>
          <w:color w:val="111111"/>
          <w:sz w:val="28"/>
          <w:szCs w:val="28"/>
          <w:rtl/>
        </w:rPr>
        <w:t xml:space="preserve">تحفة البسملة، ج3، ص 815.</w:t>
      </w:r>
    </w:p>
    <w:p>
      <w:pPr>
        <w:pStyle w:val="Heading2"/>
      </w:pPr>
      <w:bookmarkStart w:id="6566" w:name="_Toc5668"/>
      <w:r>
        <w:t>قرماني ، احمد بن يوسف، 939-1019ه-</w:t>
      </w:r>
      <w:bookmarkEnd w:id="6566"/>
    </w:p>
    <w:p>
      <w:pPr>
        <w:pStyle w:val="BookText"/>
      </w:pPr>
      <w:r>
        <w:rPr>
          <w:rFonts w:ascii="IRNazanin" w:hAnsi="IRNazanin" w:eastAsia="IRNazanin" w:cs="IRNazanin"/>
          <w:lang w:bidi="fa-IR"/>
          <w:color w:val="111111"/>
          <w:sz w:val="28"/>
          <w:szCs w:val="28"/>
          <w:rtl/>
        </w:rPr>
        <w:t xml:space="preserve">1 .أخبار الدول و آثار الأول، ج1،</w:t>
      </w:r>
    </w:p>
    <w:p>
      <w:pPr>
        <w:pStyle w:val="BookText"/>
      </w:pPr>
      <w:r>
        <w:rPr>
          <w:rFonts w:ascii="IRNazanin" w:hAnsi="IRNazanin" w:eastAsia="IRNazanin" w:cs="IRNazanin"/>
          <w:lang w:bidi="fa-IR"/>
          <w:color w:val="111111"/>
          <w:sz w:val="28"/>
          <w:szCs w:val="28"/>
          <w:rtl/>
        </w:rPr>
        <w:t xml:space="preserve">ص 527.</w:t>
      </w:r>
    </w:p>
    <w:p>
      <w:pPr>
        <w:pStyle w:val="BookText"/>
      </w:pPr>
      <w:r>
        <w:rPr>
          <w:rFonts w:ascii="Amiri" w:hAnsi="Amiri" w:eastAsia="Amiri" w:cs="Amiri"/>
          <w:lang w:bidi="ar-SA"/>
          <w:color w:val="111111"/>
          <w:sz w:val="28"/>
          <w:szCs w:val="28"/>
          <w:rtl/>
        </w:rPr>
        <w:t xml:space="preserve">2 تاريخ القرماني = درة الفريد في بيت</w:t>
      </w:r>
    </w:p>
    <w:p>
      <w:pPr>
        <w:pStyle w:val="BookText"/>
      </w:pPr>
      <w:r>
        <w:rPr>
          <w:rFonts w:ascii="Amiri" w:hAnsi="Amiri" w:eastAsia="Amiri" w:cs="Amiri"/>
          <w:lang w:bidi="ar-SA"/>
          <w:color w:val="111111"/>
          <w:sz w:val="28"/>
          <w:szCs w:val="28"/>
          <w:rtl/>
        </w:rPr>
        <w:t xml:space="preserve">القصيد، ج 3، ص 586.</w:t>
      </w:r>
    </w:p>
    <w:p>
      <w:pPr>
        <w:pStyle w:val="Heading2"/>
      </w:pPr>
      <w:bookmarkStart w:id="6567" w:name="_Toc5669"/>
      <w:r>
        <w:t>قرماني ، جمال الدین اسحاق، - 930 ه-</w:t>
      </w:r>
      <w:bookmarkEnd w:id="656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حق فرعون (رسالة في)، ج 6،</w:t>
      </w:r>
    </w:p>
    <w:p>
      <w:pPr>
        <w:pStyle w:val="BookText"/>
      </w:pPr>
      <w:r>
        <w:rPr>
          <w:rFonts w:ascii="IRNazanin" w:hAnsi="IRNazanin" w:eastAsia="IRNazanin" w:cs="IRNazanin"/>
          <w:lang w:bidi="fa-IR"/>
          <w:color w:val="111111"/>
          <w:sz w:val="28"/>
          <w:szCs w:val="28"/>
          <w:rtl/>
        </w:rPr>
        <w:t xml:space="preserve">ص 694 .</w:t>
      </w:r>
    </w:p>
    <w:p>
      <w:pPr>
        <w:pStyle w:val="BookText"/>
      </w:pPr>
      <w:r>
        <w:rPr>
          <w:rFonts w:ascii="Amiri" w:hAnsi="Amiri" w:eastAsia="Amiri" w:cs="Amiri"/>
          <w:lang w:bidi="ar-SA"/>
          <w:color w:val="111111"/>
          <w:sz w:val="28"/>
          <w:szCs w:val="28"/>
          <w:rtl/>
        </w:rPr>
        <w:t xml:space="preserve">2 .النصيحة لطالب، ج 16، ص 315.</w:t>
      </w:r>
    </w:p>
    <w:p>
      <w:pPr>
        <w:pStyle w:val="Heading2"/>
      </w:pPr>
      <w:bookmarkStart w:id="6568" w:name="_Toc5670"/>
      <w:r>
        <w:t>قرماني ، حمزة بن محمود - 871 ه-</w:t>
      </w:r>
      <w:bookmarkEnd w:id="6568"/>
    </w:p>
    <w:p>
      <w:pPr>
        <w:pStyle w:val="BookText"/>
      </w:pPr>
      <w:r>
        <w:rPr>
          <w:rFonts w:ascii="Amiri" w:hAnsi="Amiri" w:eastAsia="Amiri" w:cs="Amiri"/>
          <w:lang w:bidi="ar-SA"/>
          <w:color w:val="111111"/>
          <w:sz w:val="28"/>
          <w:szCs w:val="28"/>
          <w:rtl/>
        </w:rPr>
        <w:t xml:space="preserve">حاشية انوار التنزيل - حاشيه تفسير</w:t>
      </w:r>
    </w:p>
    <w:p>
      <w:pPr>
        <w:pStyle w:val="BookText"/>
      </w:pPr>
      <w:r>
        <w:rPr>
          <w:rFonts w:ascii="Amiri" w:hAnsi="Amiri" w:eastAsia="Amiri" w:cs="Amiri"/>
          <w:lang w:bidi="ar-SA"/>
          <w:color w:val="111111"/>
          <w:sz w:val="28"/>
          <w:szCs w:val="28"/>
          <w:rtl/>
        </w:rPr>
        <w:t xml:space="preserve">بيضاوي، ج 5، ص 673.</w:t>
      </w:r>
    </w:p>
    <w:p>
      <w:pPr>
        <w:pStyle w:val="Heading2"/>
      </w:pPr>
      <w:bookmarkStart w:id="6569" w:name="_Toc5671"/>
      <w:r>
        <w:t>قرماني ، عبدالرحمن</w:t>
      </w:r>
      <w:bookmarkEnd w:id="6569"/>
    </w:p>
    <w:p>
      <w:pPr>
        <w:pStyle w:val="BookText"/>
      </w:pPr>
      <w:r>
        <w:rPr>
          <w:rFonts w:ascii="Amiri" w:hAnsi="Amiri" w:eastAsia="Amiri" w:cs="Amiri"/>
          <w:lang w:bidi="ar-SA"/>
          <w:color w:val="111111"/>
          <w:sz w:val="28"/>
          <w:szCs w:val="28"/>
          <w:rtl/>
        </w:rPr>
        <w:t xml:space="preserve">رسالة فقهية على قول الهداية في باب القتال، ج8، ص237</w:t>
      </w:r>
    </w:p>
    <w:p>
      <w:pPr>
        <w:pStyle w:val="Heading2"/>
      </w:pPr>
      <w:bookmarkStart w:id="6570" w:name="_Toc5672"/>
      <w:r>
        <w:t>قرماني ، علي بن محمّد</w:t>
      </w:r>
      <w:bookmarkEnd w:id="6570"/>
    </w:p>
    <w:p>
      <w:pPr>
        <w:pStyle w:val="BookText"/>
      </w:pPr>
      <w:r>
        <w:rPr>
          <w:rFonts w:ascii="Amiri" w:hAnsi="Amiri" w:eastAsia="Amiri" w:cs="Amiri"/>
          <w:lang w:bidi="ar-SA"/>
          <w:color w:val="111111"/>
          <w:sz w:val="28"/>
          <w:szCs w:val="28"/>
          <w:rtl/>
        </w:rPr>
        <w:t xml:space="preserve">الحق الظاهر في شرح حال الشيخ</w:t>
      </w:r>
    </w:p>
    <w:p>
      <w:pPr>
        <w:pStyle w:val="BookText"/>
      </w:pPr>
      <w:r>
        <w:rPr>
          <w:rFonts w:ascii="IRNazanin" w:hAnsi="IRNazanin" w:eastAsia="IRNazanin" w:cs="IRNazanin"/>
          <w:lang w:bidi="fa-IR"/>
          <w:color w:val="111111"/>
          <w:sz w:val="28"/>
          <w:szCs w:val="28"/>
          <w:rtl/>
        </w:rPr>
        <w:t xml:space="preserve">عبد القادر، ج 6، ص 694.</w:t>
      </w:r>
    </w:p>
    <w:p>
      <w:pPr>
        <w:pStyle w:val="Heading2"/>
      </w:pPr>
      <w:bookmarkStart w:id="6571" w:name="_Toc5673"/>
      <w:r>
        <w:t>قرماني كمال الدين اسماعيل - 920ه-</w:t>
      </w:r>
      <w:bookmarkEnd w:id="6571"/>
    </w:p>
    <w:p>
      <w:pPr>
        <w:pStyle w:val="BookText"/>
      </w:pPr>
      <w:r>
        <w:rPr>
          <w:rFonts w:ascii="Amiri" w:hAnsi="Amiri" w:eastAsia="Amiri" w:cs="Amiri"/>
          <w:lang w:bidi="ar-SA"/>
          <w:color w:val="111111"/>
          <w:sz w:val="28"/>
          <w:szCs w:val="28"/>
          <w:rtl/>
        </w:rPr>
        <w:t xml:space="preserve">حاشية حاشية الخيالي على شرح</w:t>
      </w:r>
    </w:p>
    <w:p>
      <w:pPr>
        <w:pStyle w:val="BookText"/>
      </w:pPr>
      <w:r>
        <w:rPr>
          <w:rFonts w:ascii="Amiri" w:hAnsi="Amiri" w:eastAsia="Amiri" w:cs="Amiri"/>
          <w:lang w:bidi="ar-SA"/>
          <w:color w:val="111111"/>
          <w:sz w:val="28"/>
          <w:szCs w:val="28"/>
          <w:rtl/>
        </w:rPr>
        <w:t xml:space="preserve">عقائد النسفي، ج 5، ص 804.</w:t>
      </w:r>
    </w:p>
    <w:p>
      <w:pPr>
        <w:pStyle w:val="Heading2"/>
      </w:pPr>
      <w:bookmarkStart w:id="6572" w:name="_Toc5674"/>
      <w:r>
        <w:t>قرماني، مصطفى بن زكريا - 809 ه-</w:t>
      </w:r>
      <w:bookmarkEnd w:id="6572"/>
    </w:p>
    <w:p>
      <w:pPr>
        <w:pStyle w:val="BookText"/>
      </w:pPr>
      <w:r>
        <w:rPr>
          <w:rFonts w:ascii="Amiri" w:hAnsi="Amiri" w:eastAsia="Amiri" w:cs="Amiri"/>
          <w:lang w:bidi="ar-SA"/>
          <w:color w:val="111111"/>
          <w:sz w:val="28"/>
          <w:szCs w:val="28"/>
          <w:rtl/>
        </w:rPr>
        <w:t xml:space="preserve">التوضيح = شرح المقدمة في الصلاة</w:t>
      </w:r>
    </w:p>
    <w:p>
      <w:pPr>
        <w:pStyle w:val="BookText"/>
      </w:pPr>
      <w:r>
        <w:rPr>
          <w:rFonts w:ascii="IRNazanin" w:hAnsi="IRNazanin" w:eastAsia="IRNazanin" w:cs="IRNazanin"/>
          <w:lang w:bidi="fa-IR"/>
          <w:color w:val="111111"/>
          <w:sz w:val="28"/>
          <w:szCs w:val="28"/>
          <w:rtl/>
        </w:rPr>
        <w:t xml:space="preserve">ج 5، ص 165.</w:t>
      </w:r>
    </w:p>
    <w:p>
      <w:pPr>
        <w:pStyle w:val="BookText"/>
      </w:pPr>
      <w:r>
        <w:rPr>
          <w:rFonts w:ascii="Amiri" w:hAnsi="Amiri" w:eastAsia="Amiri" w:cs="Amiri"/>
          <w:lang w:bidi="ar-SA"/>
          <w:color w:val="111111"/>
          <w:sz w:val="28"/>
          <w:szCs w:val="28"/>
          <w:rtl/>
        </w:rPr>
        <w:t xml:space="preserve">قرميسي ، محمّد اسماعيل- كاتب قرميسي</w:t>
      </w:r>
    </w:p>
    <w:p>
      <w:pPr>
        <w:pStyle w:val="BookText"/>
      </w:pPr>
      <w:r>
        <w:rPr>
          <w:rFonts w:ascii="Amiri" w:hAnsi="Amiri" w:eastAsia="Amiri" w:cs="Amiri"/>
          <w:lang w:bidi="ar-SA"/>
          <w:color w:val="111111"/>
          <w:sz w:val="28"/>
          <w:szCs w:val="28"/>
          <w:rtl/>
        </w:rPr>
        <w:t xml:space="preserve">، محمّد اسماعيل</w:t>
      </w:r>
    </w:p>
    <w:p>
      <w:pPr>
        <w:pStyle w:val="Heading2"/>
      </w:pPr>
      <w:bookmarkStart w:id="6573" w:name="_Toc5675"/>
      <w:r>
        <w:t>قره باغي</w:t>
      </w:r>
      <w:bookmarkEnd w:id="6573"/>
    </w:p>
    <w:p>
      <w:pPr>
        <w:pStyle w:val="BookText"/>
      </w:pPr>
      <w:r>
        <w:rPr>
          <w:rFonts w:ascii="Amiri" w:hAnsi="Amiri" w:eastAsia="Amiri" w:cs="Amiri"/>
          <w:lang w:bidi="ar-SA"/>
          <w:color w:val="111111"/>
          <w:sz w:val="28"/>
          <w:szCs w:val="28"/>
          <w:rtl/>
        </w:rPr>
        <w:t xml:space="preserve">العقائد (رسالة في)، ج11، ص133.</w:t>
      </w:r>
    </w:p>
    <w:p>
      <w:pPr>
        <w:pStyle w:val="Heading2"/>
      </w:pPr>
      <w:bookmarkStart w:id="6574" w:name="_Toc5676"/>
      <w:r>
        <w:t>قره باغي ، ابوالفتح، قرن 12 ه-</w:t>
      </w:r>
      <w:bookmarkEnd w:id="6574"/>
    </w:p>
    <w:p>
      <w:pPr>
        <w:pStyle w:val="BookText"/>
      </w:pPr>
      <w:r>
        <w:rPr>
          <w:rFonts w:ascii="Amiri" w:hAnsi="Amiri" w:eastAsia="Amiri" w:cs="Amiri"/>
          <w:lang w:bidi="ar-SA"/>
          <w:color w:val="111111"/>
          <w:sz w:val="28"/>
          <w:szCs w:val="28"/>
          <w:rtl/>
        </w:rPr>
        <w:t xml:space="preserve">القرباغي على الابساغوجي، ج 12،</w:t>
      </w:r>
    </w:p>
    <w:p>
      <w:pPr>
        <w:pStyle w:val="BookText"/>
      </w:pPr>
      <w:r>
        <w:rPr>
          <w:rFonts w:ascii="IRNazanin" w:hAnsi="IRNazanin" w:eastAsia="IRNazanin" w:cs="IRNazanin"/>
          <w:lang w:bidi="fa-IR"/>
          <w:color w:val="111111"/>
          <w:sz w:val="28"/>
          <w:szCs w:val="28"/>
          <w:rtl/>
        </w:rPr>
        <w:t xml:space="preserve">ص 564.</w:t>
      </w:r>
    </w:p>
    <w:p>
      <w:pPr>
        <w:pStyle w:val="Heading2"/>
      </w:pPr>
      <w:bookmarkStart w:id="6575" w:name="_Toc5677"/>
      <w:r>
        <w:t>قره باغي ، محمّد بن علي، - 942 ه-</w:t>
      </w:r>
      <w:bookmarkEnd w:id="65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تعليق، ج4، ص 488.</w:t>
      </w:r>
    </w:p>
    <w:p>
      <w:pPr>
        <w:pStyle w:val="BookText"/>
      </w:pPr>
      <w:r>
        <w:rPr>
          <w:rFonts w:ascii="Amiri" w:hAnsi="Amiri" w:eastAsia="Amiri" w:cs="Amiri"/>
          <w:lang w:bidi="ar-SA"/>
          <w:color w:val="111111"/>
          <w:sz w:val="28"/>
          <w:szCs w:val="28"/>
          <w:rtl/>
        </w:rPr>
        <w:t xml:space="preserve">2 .حاشية شرح اثبات الواجب، ج 6،</w:t>
      </w:r>
    </w:p>
    <w:p>
      <w:pPr>
        <w:pStyle w:val="BookText"/>
      </w:pPr>
      <w:r>
        <w:rPr>
          <w:rFonts w:ascii="IRNazanin" w:hAnsi="IRNazanin" w:eastAsia="IRNazanin" w:cs="IRNazanin"/>
          <w:lang w:bidi="fa-IR"/>
          <w:color w:val="111111"/>
          <w:sz w:val="28"/>
          <w:szCs w:val="28"/>
          <w:rtl/>
        </w:rPr>
        <w:t xml:space="preserve">ص29.</w:t>
      </w:r>
    </w:p>
    <w:p>
      <w:pPr>
        <w:pStyle w:val="BookText"/>
      </w:pPr>
      <w:r>
        <w:rPr>
          <w:rFonts w:ascii="IRNazanin" w:hAnsi="IRNazanin" w:eastAsia="IRNazanin" w:cs="IRNazanin"/>
          <w:lang w:bidi="fa-IR"/>
          <w:color w:val="111111"/>
          <w:sz w:val="28"/>
          <w:szCs w:val="28"/>
          <w:rtl/>
        </w:rPr>
        <w:t xml:space="preserve">3 .شرح اثبات الواجب، ج 9، ص 153.</w:t>
      </w:r>
    </w:p>
    <w:p>
      <w:pPr>
        <w:pStyle w:val="Heading2"/>
      </w:pPr>
      <w:bookmarkStart w:id="6576" w:name="_Toc5678"/>
      <w:r>
        <w:t>قره باغي نجفعلي بن فضلعلي، قرن 13ه-</w:t>
      </w:r>
      <w:bookmarkEnd w:id="6576"/>
    </w:p>
    <w:p>
      <w:pPr>
        <w:pStyle w:val="BookText"/>
      </w:pPr>
      <w:r>
        <w:rPr>
          <w:rFonts w:ascii="IRNazanin" w:hAnsi="IRNazanin" w:eastAsia="IRNazanin" w:cs="IRNazanin"/>
          <w:lang w:bidi="fa-IR"/>
          <w:color w:val="111111"/>
          <w:sz w:val="28"/>
          <w:szCs w:val="28"/>
          <w:rtl/>
        </w:rPr>
        <w:t xml:space="preserve">جامع العلل، ج 5، ص 305.</w:t>
      </w:r>
    </w:p>
    <w:p>
      <w:pPr>
        <w:pStyle w:val="Heading2"/>
      </w:pPr>
      <w:bookmarkStart w:id="6577" w:name="_Toc5679"/>
      <w:r>
        <w:t>قره باغي ، يوسف بن محمّد جان</w:t>
      </w:r>
      <w:bookmarkEnd w:id="6577"/>
    </w:p>
    <w:p>
      <w:pPr>
        <w:pStyle w:val="BookText"/>
      </w:pPr>
      <w:r>
        <w:rPr>
          <w:rFonts w:ascii="IRNazanin" w:hAnsi="IRNazanin" w:eastAsia="IRNazanin" w:cs="IRNazanin"/>
          <w:lang w:bidi="fa-IR"/>
          <w:color w:val="111111"/>
          <w:sz w:val="28"/>
          <w:szCs w:val="28"/>
          <w:rtl/>
        </w:rPr>
        <w:t xml:space="preserve">1035؟ ه-</w:t>
      </w:r>
    </w:p>
    <w:p>
      <w:pPr>
        <w:pStyle w:val="BookText"/>
      </w:pPr>
      <w:r>
        <w:rPr>
          <w:rFonts w:ascii="IRNazanin" w:hAnsi="IRNazanin" w:eastAsia="IRNazanin" w:cs="IRNazanin"/>
          <w:lang w:bidi="fa-IR"/>
          <w:color w:val="111111"/>
          <w:sz w:val="28"/>
          <w:szCs w:val="28"/>
          <w:rtl/>
        </w:rPr>
        <w:t xml:space="preserve">1 .اثبات الواجب، ج 1، ص 166 .</w:t>
      </w:r>
    </w:p>
    <w:p>
      <w:pPr>
        <w:pStyle w:val="BookText"/>
      </w:pPr>
      <w:r>
        <w:rPr>
          <w:rFonts w:ascii="Amiri" w:hAnsi="Amiri" w:eastAsia="Amiri" w:cs="Amiri"/>
          <w:lang w:bidi="ar-SA"/>
          <w:color w:val="111111"/>
          <w:sz w:val="28"/>
          <w:szCs w:val="28"/>
          <w:rtl/>
        </w:rPr>
        <w:t xml:space="preserve">2 .حاشية شرح الايساغوجي، ج 6،</w:t>
      </w:r>
    </w:p>
    <w:p>
      <w:pPr>
        <w:pStyle w:val="BookText"/>
      </w:pPr>
      <w:r>
        <w:rPr>
          <w:rFonts w:ascii="IRNazanin" w:hAnsi="IRNazanin" w:eastAsia="IRNazanin" w:cs="IRNazanin"/>
          <w:lang w:bidi="fa-IR"/>
          <w:color w:val="111111"/>
          <w:sz w:val="28"/>
          <w:szCs w:val="28"/>
          <w:rtl/>
        </w:rPr>
        <w:t xml:space="preserve">ص 46 .</w:t>
      </w:r>
    </w:p>
    <w:p>
      <w:pPr>
        <w:pStyle w:val="BookText"/>
      </w:pPr>
      <w:r>
        <w:rPr>
          <w:rFonts w:ascii="Amiri" w:hAnsi="Amiri" w:eastAsia="Amiri" w:cs="Amiri"/>
          <w:lang w:bidi="ar-SA"/>
          <w:color w:val="111111"/>
          <w:sz w:val="28"/>
          <w:szCs w:val="28"/>
          <w:rtl/>
        </w:rPr>
        <w:t xml:space="preserve">3 .حاشية شرح الخيالي، ج6، ص 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العقائد العضدية =</w:t>
      </w:r>
    </w:p>
    <w:p>
      <w:pPr>
        <w:pStyle w:val="BookText"/>
      </w:pPr>
      <w:r>
        <w:rPr>
          <w:rFonts w:ascii="Amiri" w:hAnsi="Amiri" w:eastAsia="Amiri" w:cs="Amiri"/>
          <w:lang w:bidi="ar-SA"/>
          <w:color w:val="111111"/>
          <w:sz w:val="28"/>
          <w:szCs w:val="28"/>
          <w:rtl/>
        </w:rPr>
        <w:t xml:space="preserve">خانقاهي، ج6، ص138.</w:t>
      </w:r>
    </w:p>
    <w:p>
      <w:pPr>
        <w:pStyle w:val="BookText"/>
      </w:pPr>
      <w:r>
        <w:rPr>
          <w:rFonts w:ascii="Amiri" w:hAnsi="Amiri" w:eastAsia="Amiri" w:cs="Amiri"/>
          <w:lang w:bidi="ar-SA"/>
          <w:color w:val="111111"/>
          <w:sz w:val="28"/>
          <w:szCs w:val="28"/>
          <w:rtl/>
        </w:rPr>
        <w:t xml:space="preserve">5 .رسالة قره باغي، ج8، ص 249.</w:t>
      </w:r>
    </w:p>
    <w:p>
      <w:pPr>
        <w:pStyle w:val="BookText"/>
      </w:pPr>
      <w:r>
        <w:rPr>
          <w:rFonts w:ascii="Amiri" w:hAnsi="Amiri" w:eastAsia="Amiri" w:cs="Amiri"/>
          <w:lang w:bidi="ar-SA"/>
          <w:color w:val="111111"/>
          <w:sz w:val="28"/>
          <w:szCs w:val="28"/>
          <w:rtl/>
        </w:rPr>
        <w:t xml:space="preserve">6 .شرح الرسالة الحنفية، ج 9، ص 531.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مختصر التصريف، ج10،</w:t>
      </w:r>
    </w:p>
    <w:p>
      <w:pPr>
        <w:pStyle w:val="BookText"/>
      </w:pPr>
      <w:r>
        <w:rPr>
          <w:rFonts w:ascii="IRNazanin" w:hAnsi="IRNazanin" w:eastAsia="IRNazanin" w:cs="IRNazanin"/>
          <w:lang w:bidi="fa-IR"/>
          <w:color w:val="111111"/>
          <w:sz w:val="28"/>
          <w:szCs w:val="28"/>
          <w:rtl/>
        </w:rPr>
        <w:t xml:space="preserve">ص 114.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874" w:name="pg7742_71030"/>
    <w:bookmarkEnd w:id="874"/>
    <w:p>
      <w:pPr>
        <w:pStyle w:val="Heading2"/>
      </w:pPr>
      <w:bookmarkStart w:id="6578" w:name="_Toc5680"/>
      <w:r>
        <w:t>قره پيري، محمّد بن يوسف - 890 ه-</w:t>
      </w:r>
      <w:bookmarkEnd w:id="6578"/>
    </w:p>
    <w:p>
      <w:pPr>
        <w:pStyle w:val="BookText"/>
      </w:pPr>
      <w:r>
        <w:rPr>
          <w:rFonts w:ascii="Amiri" w:hAnsi="Amiri" w:eastAsia="Amiri" w:cs="Amiri"/>
          <w:lang w:bidi="ar-SA"/>
          <w:color w:val="111111"/>
          <w:sz w:val="28"/>
          <w:szCs w:val="28"/>
          <w:rtl/>
        </w:rPr>
        <w:t xml:space="preserve">الاصلاح في شرح ديباجة المصباح، ج2،</w:t>
      </w:r>
    </w:p>
    <w:p>
      <w:pPr>
        <w:pStyle w:val="BookText"/>
      </w:pPr>
      <w:r>
        <w:rPr>
          <w:rFonts w:ascii="IRNazanin" w:hAnsi="IRNazanin" w:eastAsia="IRNazanin" w:cs="IRNazanin"/>
          <w:lang w:bidi="fa-IR"/>
          <w:color w:val="111111"/>
          <w:sz w:val="28"/>
          <w:szCs w:val="28"/>
          <w:rtl/>
        </w:rPr>
        <w:t xml:space="preserve">ص 373.</w:t>
      </w:r>
    </w:p>
    <w:p>
      <w:pPr>
        <w:pStyle w:val="BookText"/>
      </w:pPr>
      <w:r>
        <w:rPr>
          <w:rFonts w:ascii="IRNazanin" w:hAnsi="IRNazanin" w:eastAsia="IRNazanin" w:cs="IRNazanin"/>
          <w:lang w:bidi="fa-IR"/>
          <w:color w:val="111111"/>
          <w:sz w:val="28"/>
          <w:szCs w:val="28"/>
          <w:rtl/>
        </w:rPr>
        <w:t xml:space="preserve">قره جه داغي ، حسن بن علي- گوهر</w:t>
      </w:r>
    </w:p>
    <w:p>
      <w:pPr>
        <w:pStyle w:val="BookText"/>
      </w:pPr>
      <w:r>
        <w:rPr>
          <w:rFonts w:ascii="Amiri" w:hAnsi="Amiri" w:eastAsia="Amiri" w:cs="Amiri"/>
          <w:lang w:bidi="ar-SA"/>
          <w:color w:val="111111"/>
          <w:sz w:val="28"/>
          <w:szCs w:val="28"/>
          <w:rtl/>
        </w:rPr>
        <w:t xml:space="preserve">قراجه داغي ، حسن بن علي</w:t>
      </w:r>
    </w:p>
    <w:p>
      <w:pPr>
        <w:pStyle w:val="Heading2"/>
      </w:pPr>
      <w:bookmarkStart w:id="6579" w:name="_Toc5681"/>
      <w:r>
        <w:t>قره جه داغي ، محمّد باقر بن محمّد</w:t>
      </w:r>
      <w:bookmarkEnd w:id="6579"/>
    </w:p>
    <w:p>
      <w:pPr>
        <w:pStyle w:val="BookText"/>
      </w:pPr>
      <w:r>
        <w:rPr>
          <w:rFonts w:ascii="Amiri" w:hAnsi="Amiri" w:eastAsia="Amiri" w:cs="Amiri"/>
          <w:lang w:bidi="ar-SA"/>
          <w:color w:val="111111"/>
          <w:sz w:val="28"/>
          <w:szCs w:val="28"/>
          <w:rtl/>
        </w:rPr>
        <w:t xml:space="preserve">سليم - 1301 ه-</w:t>
      </w:r>
    </w:p>
    <w:p>
      <w:pPr>
        <w:pStyle w:val="BookText"/>
      </w:pPr>
      <w:r>
        <w:rPr>
          <w:rFonts w:ascii="Amiri" w:hAnsi="Amiri" w:eastAsia="Amiri" w:cs="Amiri"/>
          <w:lang w:bidi="ar-SA"/>
          <w:color w:val="111111"/>
          <w:sz w:val="28"/>
          <w:szCs w:val="28"/>
          <w:rtl/>
        </w:rPr>
        <w:t xml:space="preserve">1 .رسائل و أجوبة مسائل متعددة</w:t>
      </w:r>
    </w:p>
    <w:p>
      <w:pPr>
        <w:pStyle w:val="BookText"/>
      </w:pPr>
      <w:r>
        <w:rPr>
          <w:rFonts w:ascii="IRNazanin" w:hAnsi="IRNazanin" w:eastAsia="IRNazanin" w:cs="IRNazanin"/>
          <w:lang w:bidi="fa-IR"/>
          <w:color w:val="111111"/>
          <w:sz w:val="28"/>
          <w:szCs w:val="28"/>
          <w:rtl/>
        </w:rPr>
        <w:t xml:space="preserve">ج 8، ص 154 .</w:t>
      </w:r>
    </w:p>
    <w:p>
      <w:pPr>
        <w:pStyle w:val="BookText"/>
      </w:pPr>
      <w:r>
        <w:rPr>
          <w:rFonts w:ascii="Amiri" w:hAnsi="Amiri" w:eastAsia="Amiri" w:cs="Amiri"/>
          <w:lang w:bidi="ar-SA"/>
          <w:color w:val="111111"/>
          <w:sz w:val="28"/>
          <w:szCs w:val="28"/>
          <w:rtl/>
        </w:rPr>
        <w:t xml:space="preserve">2 .رسالة عملية، ج8، ص230.</w:t>
      </w:r>
    </w:p>
    <w:p>
      <w:pPr>
        <w:pStyle w:val="BookText"/>
      </w:pPr>
      <w:r>
        <w:rPr>
          <w:rFonts w:ascii="Amiri" w:hAnsi="Amiri" w:eastAsia="Amiri" w:cs="Amiri"/>
          <w:lang w:bidi="ar-SA"/>
          <w:color w:val="111111"/>
          <w:sz w:val="28"/>
          <w:szCs w:val="28"/>
          <w:rtl/>
        </w:rPr>
        <w:t xml:space="preserve">3 .الفقه (رسالة في)، ج12، ص 51.</w:t>
      </w:r>
    </w:p>
    <w:p>
      <w:pPr>
        <w:pStyle w:val="BookText"/>
      </w:pPr>
      <w:r>
        <w:rPr>
          <w:rFonts w:ascii="Amiri" w:hAnsi="Amiri" w:eastAsia="Amiri" w:cs="Amiri"/>
          <w:lang w:bidi="ar-SA"/>
          <w:color w:val="111111"/>
          <w:sz w:val="28"/>
          <w:szCs w:val="28"/>
          <w:rtl/>
        </w:rPr>
        <w:t xml:space="preserve">قره حسن حميدي -حميدي ، قره حسن</w:t>
      </w:r>
    </w:p>
    <w:p>
      <w:pPr>
        <w:pStyle w:val="Heading2"/>
      </w:pPr>
      <w:bookmarkStart w:id="6580" w:name="_Toc5682"/>
      <w:r>
        <w:t>قره حصاري حمزة بن عبدالله -978ه-</w:t>
      </w:r>
      <w:bookmarkEnd w:id="6580"/>
    </w:p>
    <w:p>
      <w:pPr>
        <w:pStyle w:val="BookText"/>
      </w:pPr>
      <w:r>
        <w:rPr>
          <w:rFonts w:ascii="Amiri" w:hAnsi="Amiri" w:eastAsia="Amiri" w:cs="Amiri"/>
          <w:lang w:bidi="ar-SA"/>
          <w:color w:val="111111"/>
          <w:sz w:val="28"/>
          <w:szCs w:val="28"/>
          <w:rtl/>
        </w:rPr>
        <w:t xml:space="preserve">مهمات القضاة لاحتياجهم اليه في كل</w:t>
      </w:r>
    </w:p>
    <w:p>
      <w:pPr>
        <w:pStyle w:val="BookText"/>
      </w:pPr>
      <w:r>
        <w:rPr>
          <w:rFonts w:ascii="IRNazanin" w:hAnsi="IRNazanin" w:eastAsia="IRNazanin" w:cs="IRNazanin"/>
          <w:lang w:bidi="fa-IR"/>
          <w:color w:val="111111"/>
          <w:sz w:val="28"/>
          <w:szCs w:val="28"/>
          <w:rtl/>
        </w:rPr>
        <w:t xml:space="preserve">المهمات، ج 15 ، ص 849.</w:t>
      </w:r>
    </w:p>
    <w:p>
      <w:pPr>
        <w:pStyle w:val="Heading2"/>
      </w:pPr>
      <w:bookmarkStart w:id="6581" w:name="_Toc5683"/>
      <w:r>
        <w:t>قره حصاري، محمّد بن نجيب - 950ه-</w:t>
      </w:r>
      <w:bookmarkEnd w:id="6581"/>
    </w:p>
    <w:p>
      <w:pPr>
        <w:pStyle w:val="BookText"/>
      </w:pPr>
      <w:r>
        <w:rPr>
          <w:rFonts w:ascii="Amiri" w:hAnsi="Amiri" w:eastAsia="Amiri" w:cs="Amiri"/>
          <w:lang w:bidi="ar-SA"/>
          <w:color w:val="111111"/>
          <w:sz w:val="28"/>
          <w:szCs w:val="28"/>
          <w:rtl/>
        </w:rPr>
        <w:t xml:space="preserve">رونق التفاسير، ج8، ص 473.</w:t>
      </w:r>
    </w:p>
    <w:p>
      <w:pPr>
        <w:pStyle w:val="Heading2"/>
      </w:pPr>
      <w:bookmarkStart w:id="6582" w:name="_Toc5684"/>
      <w:r>
        <w:t>قره حصاري ، محمود قرن 13 ه-</w:t>
      </w:r>
      <w:bookmarkEnd w:id="6582"/>
    </w:p>
    <w:p>
      <w:pPr>
        <w:pStyle w:val="BookText"/>
      </w:pPr>
      <w:r>
        <w:rPr>
          <w:rFonts w:ascii="Amiri" w:hAnsi="Amiri" w:eastAsia="Amiri" w:cs="Amiri"/>
          <w:lang w:bidi="ar-SA"/>
          <w:color w:val="111111"/>
          <w:sz w:val="28"/>
          <w:szCs w:val="28"/>
          <w:rtl/>
        </w:rPr>
        <w:t xml:space="preserve">مجموعة القره حصاري، ج 14، ص 52.</w:t>
      </w:r>
    </w:p>
    <w:p>
      <w:pPr>
        <w:pStyle w:val="BookText"/>
      </w:pPr>
      <w:r>
        <w:rPr>
          <w:rFonts w:ascii="Amiri" w:hAnsi="Amiri" w:eastAsia="Amiri" w:cs="Amiri"/>
          <w:lang w:bidi="ar-SA"/>
          <w:color w:val="111111"/>
          <w:sz w:val="28"/>
          <w:szCs w:val="28"/>
          <w:rtl/>
        </w:rPr>
        <w:t xml:space="preserve">قره حصاري، مصطفى بن احمد- اختري</w:t>
      </w:r>
    </w:p>
    <w:p>
      <w:pPr>
        <w:pStyle w:val="BookText"/>
      </w:pPr>
      <w:r>
        <w:rPr>
          <w:rFonts w:ascii="IRNazanin" w:hAnsi="IRNazanin" w:eastAsia="IRNazanin" w:cs="IRNazanin"/>
          <w:lang w:bidi="fa-IR"/>
          <w:color w:val="111111"/>
          <w:sz w:val="28"/>
          <w:szCs w:val="28"/>
          <w:rtl/>
        </w:rPr>
        <w:t xml:space="preserve">مصطفى بن احمد</w:t>
      </w:r>
    </w:p>
    <w:p>
      <w:pPr>
        <w:pStyle w:val="Heading2"/>
      </w:pPr>
      <w:bookmarkStart w:id="6583" w:name="_Toc5685"/>
      <w:r>
        <w:t>قره خليل بن حسن - 1123 ه-</w:t>
      </w:r>
      <w:bookmarkEnd w:id="6583"/>
    </w:p>
    <w:p>
      <w:pPr>
        <w:pStyle w:val="BookText"/>
      </w:pPr>
      <w:r>
        <w:rPr>
          <w:rFonts w:ascii="Amiri" w:hAnsi="Amiri" w:eastAsia="Amiri" w:cs="Amiri"/>
          <w:lang w:bidi="ar-SA"/>
          <w:color w:val="111111"/>
          <w:sz w:val="28"/>
          <w:szCs w:val="28"/>
          <w:rtl/>
        </w:rPr>
        <w:t xml:space="preserve">1 .حاشية آداب البحث والمناظرة، ج 5،</w:t>
      </w:r>
    </w:p>
    <w:p>
      <w:pPr>
        <w:pStyle w:val="BookText"/>
      </w:pPr>
      <w:r>
        <w:rPr>
          <w:rFonts w:ascii="IRNazanin" w:hAnsi="IRNazanin" w:eastAsia="IRNazanin" w:cs="IRNazanin"/>
          <w:lang w:bidi="fa-IR"/>
          <w:color w:val="111111"/>
          <w:sz w:val="28"/>
          <w:szCs w:val="28"/>
          <w:rtl/>
        </w:rPr>
        <w:t xml:space="preserve">ص 646 .</w:t>
      </w:r>
    </w:p>
    <w:p>
      <w:pPr>
        <w:pStyle w:val="BookText"/>
      </w:pPr>
      <w:r>
        <w:rPr>
          <w:rFonts w:ascii="Amiri" w:hAnsi="Amiri" w:eastAsia="Amiri" w:cs="Amiri"/>
          <w:lang w:bidi="ar-SA"/>
          <w:color w:val="111111"/>
          <w:sz w:val="28"/>
          <w:szCs w:val="28"/>
          <w:rtl/>
        </w:rPr>
        <w:t xml:space="preserve">2 .حاشية جهة الوحدة، ج5، ص 767 .</w:t>
      </w:r>
    </w:p>
    <w:p>
      <w:pPr>
        <w:pStyle w:val="BookText"/>
      </w:pPr>
      <w:r>
        <w:rPr>
          <w:rFonts w:ascii="Amiri" w:hAnsi="Amiri" w:eastAsia="Amiri" w:cs="Amiri"/>
          <w:lang w:bidi="ar-SA"/>
          <w:color w:val="111111"/>
          <w:sz w:val="28"/>
          <w:szCs w:val="28"/>
          <w:rtl/>
        </w:rPr>
        <w:t xml:space="preserve">قره خليل بن محمّد قونوي -قنوي ، خليل بن محمّد</w:t>
      </w:r>
    </w:p>
    <w:p>
      <w:pPr>
        <w:pStyle w:val="Heading2"/>
      </w:pPr>
      <w:bookmarkStart w:id="6584" w:name="_Toc5686"/>
      <w:r>
        <w:t>قره داغي ، عبد الرحمن بن محمّد 1253 - 1335 ه-</w:t>
      </w:r>
      <w:bookmarkEnd w:id="6584"/>
    </w:p>
    <w:p>
      <w:pPr>
        <w:pStyle w:val="BookText"/>
      </w:pPr>
      <w:r>
        <w:rPr>
          <w:rFonts w:ascii="Amiri" w:hAnsi="Amiri" w:eastAsia="Amiri" w:cs="Amiri"/>
          <w:lang w:bidi="ar-SA"/>
          <w:color w:val="111111"/>
          <w:sz w:val="28"/>
          <w:szCs w:val="28"/>
          <w:rtl/>
        </w:rPr>
        <w:t xml:space="preserve">1 .الإعلام في بيان الإيمان و الإسلام، ج2،</w:t>
      </w:r>
    </w:p>
    <w:p>
      <w:pPr>
        <w:pStyle w:val="BookText"/>
      </w:pPr>
      <w:r>
        <w:rPr>
          <w:rFonts w:ascii="IRNazanin" w:hAnsi="IRNazanin" w:eastAsia="IRNazanin" w:cs="IRNazanin"/>
          <w:lang w:bidi="fa-IR"/>
          <w:color w:val="111111"/>
          <w:sz w:val="28"/>
          <w:szCs w:val="28"/>
          <w:rtl/>
        </w:rPr>
        <w:t xml:space="preserve">ص 562.</w:t>
      </w:r>
    </w:p>
    <w:p>
      <w:pPr>
        <w:pStyle w:val="BookText"/>
      </w:pPr>
      <w:r>
        <w:rPr>
          <w:rFonts w:ascii="Amiri" w:hAnsi="Amiri" w:eastAsia="Amiri" w:cs="Amiri"/>
          <w:lang w:bidi="ar-SA"/>
          <w:color w:val="111111"/>
          <w:sz w:val="28"/>
          <w:szCs w:val="28"/>
          <w:rtl/>
        </w:rPr>
        <w:t xml:space="preserve">2 .التبيان في بيان الناسخ والمنسوخ في</w:t>
      </w:r>
    </w:p>
    <w:p>
      <w:pPr>
        <w:pStyle w:val="BookText"/>
      </w:pPr>
      <w:r>
        <w:rPr>
          <w:rFonts w:ascii="IRNazanin" w:hAnsi="IRNazanin" w:eastAsia="IRNazanin" w:cs="IRNazanin"/>
          <w:lang w:bidi="fa-IR"/>
          <w:color w:val="111111"/>
          <w:sz w:val="28"/>
          <w:szCs w:val="28"/>
          <w:rtl/>
        </w:rPr>
        <w:t xml:space="preserve">القرآن، ج 3، ص 655.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تنبيه الأصدقاء في بيان التقليد و الاجتهاد والاستفتاء و الأفتاء جه،</w:t>
      </w:r>
    </w:p>
    <w:p>
      <w:pPr>
        <w:pStyle w:val="BookText"/>
      </w:pPr>
      <w:r>
        <w:rPr>
          <w:rFonts w:ascii="IRNazanin" w:hAnsi="IRNazanin" w:eastAsia="IRNazanin" w:cs="IRNazanin"/>
          <w:lang w:bidi="fa-IR"/>
          <w:color w:val="111111"/>
          <w:sz w:val="28"/>
          <w:szCs w:val="28"/>
          <w:rtl/>
        </w:rPr>
        <w:t xml:space="preserve">ص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تهذيب المنطق = تحفة</w:t>
      </w:r>
    </w:p>
    <w:p>
      <w:pPr>
        <w:pStyle w:val="BookText"/>
      </w:pPr>
      <w:r>
        <w:rPr>
          <w:rFonts w:ascii="Amiri" w:hAnsi="Amiri" w:eastAsia="Amiri" w:cs="Amiri"/>
          <w:lang w:bidi="ar-SA"/>
          <w:color w:val="111111"/>
          <w:sz w:val="28"/>
          <w:szCs w:val="28"/>
          <w:rtl/>
        </w:rPr>
        <w:t xml:space="preserve">اللبيب على حاشية قسم المنطق</w:t>
      </w:r>
    </w:p>
    <w:p>
      <w:pPr>
        <w:pStyle w:val="BookText"/>
      </w:pPr>
      <w:r>
        <w:rPr>
          <w:rFonts w:ascii="Amiri" w:hAnsi="Amiri" w:eastAsia="Amiri" w:cs="Amiri"/>
          <w:lang w:bidi="ar-SA"/>
          <w:color w:val="111111"/>
          <w:sz w:val="28"/>
          <w:szCs w:val="28"/>
          <w:rtl/>
        </w:rPr>
        <w:t xml:space="preserve">من التهذيب، ج 6، ص 77.</w:t>
      </w:r>
    </w:p>
    <w:p>
      <w:pPr>
        <w:pStyle w:val="BookText"/>
      </w:pPr>
      <w:r>
        <w:rPr>
          <w:rFonts w:ascii="Amiri" w:hAnsi="Amiri" w:eastAsia="Amiri" w:cs="Amiri"/>
          <w:lang w:bidi="ar-SA"/>
          <w:color w:val="111111"/>
          <w:sz w:val="28"/>
          <w:szCs w:val="28"/>
          <w:rtl/>
        </w:rPr>
        <w:t xml:space="preserve">5 .الرابطة النقشبندية، ج8، ص 4.</w:t>
      </w:r>
    </w:p>
    <w:p>
      <w:pPr>
        <w:pStyle w:val="BookText"/>
      </w:pPr>
      <w:r>
        <w:rPr>
          <w:rFonts w:ascii="Amiri" w:hAnsi="Amiri" w:eastAsia="Amiri" w:cs="Amiri"/>
          <w:lang w:bidi="ar-SA"/>
          <w:color w:val="111111"/>
          <w:sz w:val="28"/>
          <w:szCs w:val="28"/>
          <w:rtl/>
        </w:rPr>
        <w:t xml:space="preserve">6 .شرح الوضعية، ج 10، ص332.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فتاوى فقهية، ج 11، ص 621.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الفقه (مسائل في) = مسائل في</w:t>
      </w:r>
    </w:p>
    <w:p>
      <w:pPr>
        <w:pStyle w:val="BookText"/>
      </w:pPr>
      <w:r>
        <w:rPr>
          <w:rFonts w:ascii="IRNazanin" w:hAnsi="IRNazanin" w:eastAsia="IRNazanin" w:cs="IRNazanin"/>
          <w:lang w:bidi="fa-IR"/>
          <w:color w:val="111111"/>
          <w:sz w:val="28"/>
          <w:szCs w:val="28"/>
          <w:rtl/>
        </w:rPr>
        <w:t xml:space="preserve">الفقه، ج 12، ص 51.</w:t>
      </w:r>
    </w:p>
    <w:p>
      <w:pPr>
        <w:pStyle w:val="BookText"/>
      </w:pPr>
      <w:r>
        <w:rPr>
          <w:rFonts w:ascii="Amiri" w:hAnsi="Amiri" w:eastAsia="Amiri" w:cs="Amiri"/>
          <w:lang w:bidi="ar-SA"/>
          <w:color w:val="111111"/>
          <w:sz w:val="28"/>
          <w:szCs w:val="28"/>
          <w:rtl/>
        </w:rPr>
        <w:t xml:space="preserve">9 .الفقه( مسائل في) = مسائل في</w:t>
      </w:r>
    </w:p>
    <w:p>
      <w:pPr>
        <w:pStyle w:val="BookText"/>
      </w:pPr>
      <w:r>
        <w:rPr>
          <w:rFonts w:ascii="IRNazanin" w:hAnsi="IRNazanin" w:eastAsia="IRNazanin" w:cs="IRNazanin"/>
          <w:lang w:bidi="fa-IR"/>
          <w:color w:val="111111"/>
          <w:sz w:val="28"/>
          <w:szCs w:val="28"/>
          <w:rtl/>
        </w:rPr>
        <w:t xml:space="preserve">الفقه، ج 14، ص 475.</w:t>
      </w:r>
    </w:p>
    <w:p>
      <w:pPr>
        <w:pStyle w:val="BookText"/>
      </w:pPr>
      <w:r>
        <w:rPr>
          <w:rFonts w:ascii="Amiri" w:hAnsi="Amiri" w:eastAsia="Amiri" w:cs="Amiri"/>
          <w:lang w:bidi="ar-SA"/>
          <w:color w:val="111111"/>
          <w:sz w:val="28"/>
          <w:szCs w:val="28"/>
          <w:rtl/>
        </w:rPr>
        <w:t xml:space="preserve">10 .منهج الوصول في شرح منهاج</w:t>
      </w:r>
    </w:p>
    <w:p>
      <w:pPr>
        <w:pStyle w:val="BookText"/>
      </w:pPr>
      <w:r>
        <w:rPr>
          <w:rFonts w:ascii="IRNazanin" w:hAnsi="IRNazanin" w:eastAsia="IRNazanin" w:cs="IRNazanin"/>
          <w:lang w:bidi="fa-IR"/>
          <w:color w:val="111111"/>
          <w:sz w:val="28"/>
          <w:szCs w:val="28"/>
          <w:rtl/>
        </w:rPr>
        <w:t xml:space="preserve">الأصول، ج 15، ص 810.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مواهب الرحمن في شرح رسالة</w:t>
      </w:r>
    </w:p>
    <w:p>
      <w:pPr>
        <w:pStyle w:val="BookText"/>
      </w:pPr>
      <w:r>
        <w:rPr>
          <w:rFonts w:ascii="Amiri" w:hAnsi="Amiri" w:eastAsia="Amiri" w:cs="Amiri"/>
          <w:lang w:bidi="ar-SA"/>
          <w:color w:val="111111"/>
          <w:sz w:val="28"/>
          <w:szCs w:val="28"/>
          <w:rtl/>
        </w:rPr>
        <w:t xml:space="preserve">علم البيان = شرح بنان البيان</w:t>
      </w:r>
    </w:p>
    <w:p>
      <w:pPr>
        <w:pStyle w:val="BookText"/>
      </w:pPr>
      <w:r>
        <w:rPr>
          <w:rFonts w:ascii="IRNazanin" w:hAnsi="IRNazanin" w:eastAsia="IRNazanin" w:cs="IRNazanin"/>
          <w:lang w:bidi="fa-IR"/>
          <w:color w:val="111111"/>
          <w:sz w:val="28"/>
          <w:szCs w:val="28"/>
          <w:rtl/>
        </w:rPr>
        <w:t xml:space="preserve">ج 15 ، ص 886.</w:t>
      </w:r>
    </w:p>
    <w:p>
      <w:pPr>
        <w:pStyle w:val="BookText"/>
      </w:pPr>
      <w:r>
        <w:rPr>
          <w:rFonts w:ascii="Amiri" w:hAnsi="Amiri" w:eastAsia="Amiri" w:cs="Amiri"/>
          <w:lang w:bidi="ar-SA"/>
          <w:color w:val="111111"/>
          <w:sz w:val="28"/>
          <w:szCs w:val="28"/>
          <w:rtl/>
        </w:rPr>
        <w:t xml:space="preserve">قره داغي ، عمر بن محمّد امين- مردوخي</w:t>
      </w:r>
    </w:p>
    <w:p>
      <w:pPr>
        <w:pStyle w:val="BookText"/>
      </w:pPr>
      <w:r>
        <w:rPr>
          <w:rFonts w:ascii="IRNazanin" w:hAnsi="IRNazanin" w:eastAsia="IRNazanin" w:cs="IRNazanin"/>
          <w:lang w:bidi="fa-IR"/>
          <w:color w:val="111111"/>
          <w:sz w:val="28"/>
          <w:szCs w:val="28"/>
          <w:rtl/>
        </w:rPr>
        <w:t xml:space="preserve">، عمر بن محمّد امین</w:t>
      </w:r>
    </w:p>
    <w:p>
      <w:pPr>
        <w:pStyle w:val="Heading2"/>
      </w:pPr>
      <w:bookmarkStart w:id="6585" w:name="_Toc5687"/>
      <w:r>
        <w:t>قره داغي ، محمّد امین بن محمّد</w:t>
      </w:r>
      <w:bookmarkEnd w:id="6585"/>
    </w:p>
    <w:p>
      <w:pPr>
        <w:pStyle w:val="BookText"/>
      </w:pPr>
      <w:r>
        <w:rPr>
          <w:rFonts w:ascii="Amiri" w:hAnsi="Amiri" w:eastAsia="Amiri" w:cs="Amiri"/>
          <w:lang w:bidi="ar-SA"/>
          <w:color w:val="111111"/>
          <w:sz w:val="28"/>
          <w:szCs w:val="28"/>
          <w:rtl/>
        </w:rPr>
        <w:t xml:space="preserve">شرح تشريح الافلاك، ج 9، ص 333.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875" w:name="pg7742_71032"/>
    <w:bookmarkEnd w:id="875"/>
    <w:p>
      <w:pPr>
        <w:pStyle w:val="Heading2"/>
      </w:pPr>
      <w:bookmarkStart w:id="6586" w:name="_Toc5688"/>
      <w:r>
        <w:t>قره داغي ، محمّد بن عبدالله، قرن 20 م</w:t>
      </w:r>
      <w:bookmarkEnd w:id="6586"/>
    </w:p>
    <w:p>
      <w:pPr>
        <w:pStyle w:val="BookText"/>
      </w:pPr>
      <w:r>
        <w:rPr>
          <w:rFonts w:ascii="IRNazanin" w:hAnsi="IRNazanin" w:eastAsia="IRNazanin" w:cs="IRNazanin"/>
          <w:lang w:bidi="fa-IR"/>
          <w:color w:val="111111"/>
          <w:sz w:val="28"/>
          <w:szCs w:val="28"/>
          <w:rtl/>
        </w:rPr>
        <w:t xml:space="preserve">الطلاق الثلاث، ج 10، ص 846.</w:t>
      </w:r>
    </w:p>
    <w:p>
      <w:pPr>
        <w:pStyle w:val="BookText"/>
      </w:pPr>
      <w:r>
        <w:rPr>
          <w:rFonts w:ascii="Amiri" w:hAnsi="Amiri" w:eastAsia="Amiri" w:cs="Amiri"/>
          <w:lang w:bidi="ar-SA"/>
          <w:color w:val="111111"/>
          <w:sz w:val="28"/>
          <w:szCs w:val="28"/>
          <w:rtl/>
        </w:rPr>
        <w:t xml:space="preserve">قره داود بن كمال - قوجوي ، قره داود</w:t>
      </w:r>
    </w:p>
    <w:p>
      <w:pPr>
        <w:pStyle w:val="BookText"/>
      </w:pPr>
      <w:r>
        <w:rPr>
          <w:rFonts w:ascii="Amiri" w:hAnsi="Amiri" w:eastAsia="Amiri" w:cs="Amiri"/>
          <w:lang w:bidi="ar-SA"/>
          <w:color w:val="111111"/>
          <w:sz w:val="28"/>
          <w:szCs w:val="28"/>
          <w:rtl/>
        </w:rPr>
        <w:t xml:space="preserve">بن كمال</w:t>
      </w:r>
    </w:p>
    <w:p>
      <w:pPr>
        <w:pStyle w:val="Heading2"/>
      </w:pPr>
      <w:bookmarkStart w:id="6587" w:name="_Toc5689"/>
      <w:r>
        <w:t>قره داود شيرواني، قرن 9 ه-</w:t>
      </w:r>
      <w:bookmarkEnd w:id="6587"/>
    </w:p>
    <w:p>
      <w:pPr>
        <w:pStyle w:val="BookText"/>
      </w:pPr>
      <w:r>
        <w:rPr>
          <w:rFonts w:ascii="Amiri" w:hAnsi="Amiri" w:eastAsia="Amiri" w:cs="Amiri"/>
          <w:lang w:bidi="ar-SA"/>
          <w:color w:val="111111"/>
          <w:sz w:val="28"/>
          <w:szCs w:val="28"/>
          <w:rtl/>
        </w:rPr>
        <w:t xml:space="preserve">1 .حاشية حاشية الجرجاني على تحرير</w:t>
      </w:r>
    </w:p>
    <w:p>
      <w:pPr>
        <w:pStyle w:val="BookText"/>
      </w:pPr>
      <w:r>
        <w:rPr>
          <w:rFonts w:ascii="Amiri" w:hAnsi="Amiri" w:eastAsia="Amiri" w:cs="Amiri"/>
          <w:lang w:bidi="ar-SA"/>
          <w:color w:val="111111"/>
          <w:sz w:val="28"/>
          <w:szCs w:val="28"/>
          <w:rtl/>
        </w:rPr>
        <w:t xml:space="preserve">القواعد المنطقية، ج 5، ص778</w:t>
      </w:r>
    </w:p>
    <w:p>
      <w:pPr>
        <w:pStyle w:val="BookText"/>
      </w:pPr>
      <w:r>
        <w:rPr>
          <w:rFonts w:ascii="Amiri" w:hAnsi="Amiri" w:eastAsia="Amiri" w:cs="Amiri"/>
          <w:lang w:bidi="ar-SA"/>
          <w:color w:val="111111"/>
          <w:sz w:val="28"/>
          <w:szCs w:val="28"/>
          <w:rtl/>
        </w:rPr>
        <w:t xml:space="preserve">2 .حاشية حاشية الجرجاني على لوامع الاسرار في شرح مطالع الانوار، ج5،</w:t>
      </w:r>
    </w:p>
    <w:p>
      <w:pPr>
        <w:pStyle w:val="BookText"/>
      </w:pPr>
      <w:r>
        <w:rPr>
          <w:rFonts w:ascii="IRNazanin" w:hAnsi="IRNazanin" w:eastAsia="IRNazanin" w:cs="IRNazanin"/>
          <w:lang w:bidi="fa-IR"/>
          <w:color w:val="111111"/>
          <w:sz w:val="28"/>
          <w:szCs w:val="28"/>
          <w:rtl/>
        </w:rPr>
        <w:t xml:space="preserve">ص 787.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شرائع، ج 6، ص 4 .</w:t>
      </w:r>
    </w:p>
    <w:p>
      <w:pPr>
        <w:pStyle w:val="BookText"/>
      </w:pPr>
      <w:r>
        <w:rPr>
          <w:rFonts w:ascii="Amiri" w:hAnsi="Amiri" w:eastAsia="Amiri" w:cs="Amiri"/>
          <w:lang w:bidi="ar-SA"/>
          <w:color w:val="111111"/>
          <w:sz w:val="28"/>
          <w:szCs w:val="28"/>
          <w:rtl/>
        </w:rPr>
        <w:t xml:space="preserve">4 .شرح الشمسية في القواعد المنطقية</w:t>
      </w:r>
    </w:p>
    <w:p>
      <w:pPr>
        <w:pStyle w:val="BookText"/>
      </w:pPr>
      <w:r>
        <w:rPr>
          <w:rFonts w:ascii="IRNazanin" w:hAnsi="IRNazanin" w:eastAsia="IRNazanin" w:cs="IRNazanin"/>
          <w:lang w:bidi="fa-IR"/>
          <w:color w:val="111111"/>
          <w:sz w:val="28"/>
          <w:szCs w:val="28"/>
          <w:rtl/>
        </w:rPr>
        <w:t xml:space="preserve">ج 9، ص 644.</w:t>
      </w:r>
    </w:p>
    <w:p>
      <w:pPr>
        <w:pStyle w:val="BookText"/>
      </w:pPr>
      <w:r>
        <w:rPr>
          <w:rFonts w:ascii="Amiri" w:hAnsi="Amiri" w:eastAsia="Amiri" w:cs="Amiri"/>
          <w:lang w:bidi="ar-SA"/>
          <w:color w:val="111111"/>
          <w:sz w:val="28"/>
          <w:szCs w:val="28"/>
          <w:rtl/>
        </w:rPr>
        <w:t xml:space="preserve">قره دده -دده جونكي ، ابراهيم بن يحيى</w:t>
      </w:r>
    </w:p>
    <w:p>
      <w:pPr>
        <w:pStyle w:val="Heading2"/>
      </w:pPr>
      <w:bookmarkStart w:id="6588" w:name="_Toc5690"/>
      <w:r>
        <w:t>قره ،سنان یوسف بن عبد الملك -885ه-</w:t>
      </w:r>
      <w:bookmarkEnd w:id="6588"/>
    </w:p>
    <w:p>
      <w:pPr>
        <w:pStyle w:val="BookText"/>
      </w:pPr>
      <w:r>
        <w:rPr>
          <w:rFonts w:ascii="Amiri" w:hAnsi="Amiri" w:eastAsia="Amiri" w:cs="Amiri"/>
          <w:lang w:bidi="ar-SA"/>
          <w:color w:val="111111"/>
          <w:sz w:val="28"/>
          <w:szCs w:val="28"/>
          <w:rtl/>
        </w:rPr>
        <w:t xml:space="preserve">رعاية الوقاية شرح وقاية الرواية، ج8،</w:t>
      </w:r>
    </w:p>
    <w:p>
      <w:pPr>
        <w:pStyle w:val="BookText"/>
      </w:pPr>
      <w:r>
        <w:rPr>
          <w:rFonts w:ascii="IRNazanin" w:hAnsi="IRNazanin" w:eastAsia="IRNazanin" w:cs="IRNazanin"/>
          <w:lang w:bidi="fa-IR"/>
          <w:color w:val="111111"/>
          <w:sz w:val="28"/>
          <w:szCs w:val="28"/>
          <w:rtl/>
        </w:rPr>
        <w:t xml:space="preserve">ص 333.</w:t>
      </w:r>
    </w:p>
    <w:p>
      <w:pPr>
        <w:pStyle w:val="Heading2"/>
      </w:pPr>
      <w:bookmarkStart w:id="6589" w:name="_Toc5691"/>
      <w:r>
        <w:t>قره فضلي ، علي - 971؟ ه-</w:t>
      </w:r>
      <w:bookmarkEnd w:id="6589"/>
    </w:p>
    <w:p>
      <w:pPr>
        <w:pStyle w:val="BookText"/>
      </w:pPr>
      <w:r>
        <w:rPr>
          <w:rFonts w:ascii="IRNazanin" w:hAnsi="IRNazanin" w:eastAsia="IRNazanin" w:cs="IRNazanin"/>
          <w:lang w:bidi="fa-IR"/>
          <w:color w:val="111111"/>
          <w:sz w:val="28"/>
          <w:szCs w:val="28"/>
          <w:rtl/>
        </w:rPr>
        <w:t xml:space="preserve">گل و بلبل، ج13، ص 505.</w:t>
      </w:r>
    </w:p>
    <w:p>
      <w:pPr>
        <w:pStyle w:val="BookText"/>
      </w:pPr>
      <w:r>
        <w:rPr>
          <w:rFonts w:ascii="Amiri" w:hAnsi="Amiri" w:eastAsia="Amiri" w:cs="Amiri"/>
          <w:lang w:bidi="ar-SA"/>
          <w:color w:val="111111"/>
          <w:sz w:val="28"/>
          <w:szCs w:val="28"/>
          <w:rtl/>
        </w:rPr>
        <w:t xml:space="preserve">قروليوس -كروليوس</w:t>
      </w:r>
    </w:p>
    <w:p>
      <w:pPr>
        <w:pStyle w:val="BookText"/>
      </w:pPr>
      <w:r>
        <w:rPr>
          <w:rFonts w:ascii="Amiri" w:hAnsi="Amiri" w:eastAsia="Amiri" w:cs="Amiri"/>
          <w:lang w:bidi="ar-SA"/>
          <w:color w:val="111111"/>
          <w:sz w:val="28"/>
          <w:szCs w:val="28"/>
          <w:rtl/>
        </w:rPr>
        <w:t xml:space="preserve">قريش بن محمّد حسيني</w:t>
      </w:r>
    </w:p>
    <w:p>
      <w:pPr>
        <w:pStyle w:val="BookText"/>
      </w:pPr>
      <w:r>
        <w:rPr>
          <w:rFonts w:ascii="Amiri" w:hAnsi="Amiri" w:eastAsia="Amiri" w:cs="Amiri"/>
          <w:lang w:bidi="ar-SA"/>
          <w:color w:val="111111"/>
          <w:sz w:val="28"/>
          <w:szCs w:val="28"/>
          <w:rtl/>
        </w:rPr>
        <w:t xml:space="preserve">قزويني- حسيني قزويني ، قريش بن محمّد</w:t>
      </w:r>
    </w:p>
    <w:p>
      <w:pPr>
        <w:pStyle w:val="Heading2"/>
      </w:pPr>
      <w:bookmarkStart w:id="6590" w:name="_Toc5692"/>
      <w:r>
        <w:t>قريشي زبيدي ، محمّد بن شرف</w:t>
      </w:r>
      <w:bookmarkEnd w:id="6590"/>
    </w:p>
    <w:p>
      <w:pPr>
        <w:pStyle w:val="BookText"/>
      </w:pPr>
      <w:r>
        <w:rPr>
          <w:rFonts w:ascii="Amiri" w:hAnsi="Amiri" w:eastAsia="Amiri" w:cs="Amiri"/>
          <w:lang w:bidi="ar-SA"/>
          <w:color w:val="111111"/>
          <w:sz w:val="28"/>
          <w:szCs w:val="28"/>
          <w:rtl/>
        </w:rPr>
        <w:t xml:space="preserve">مجموعة مسائل في المواريث، ج 14،</w:t>
      </w:r>
    </w:p>
    <w:p>
      <w:pPr>
        <w:pStyle w:val="BookText"/>
      </w:pPr>
      <w:r>
        <w:rPr>
          <w:rFonts w:ascii="IRNazanin" w:hAnsi="IRNazanin" w:eastAsia="IRNazanin" w:cs="IRNazanin"/>
          <w:lang w:bidi="fa-IR"/>
          <w:color w:val="111111"/>
          <w:sz w:val="28"/>
          <w:szCs w:val="28"/>
          <w:rtl/>
        </w:rPr>
        <w:t xml:space="preserve">ص 57 .</w:t>
      </w:r>
    </w:p>
    <w:p>
      <w:pPr>
        <w:pStyle w:val="Heading2"/>
      </w:pPr>
      <w:bookmarkStart w:id="6591" w:name="_Toc5693"/>
      <w:r>
        <w:t>قريشي ، عباس</w:t>
      </w:r>
      <w:bookmarkEnd w:id="6591"/>
    </w:p>
    <w:p>
      <w:pPr>
        <w:pStyle w:val="BookText"/>
      </w:pPr>
      <w:r>
        <w:rPr>
          <w:rFonts w:ascii="Amiri" w:hAnsi="Amiri" w:eastAsia="Amiri" w:cs="Amiri"/>
          <w:lang w:bidi="ar-SA"/>
          <w:color w:val="111111"/>
          <w:sz w:val="28"/>
          <w:szCs w:val="28"/>
          <w:rtl/>
        </w:rPr>
        <w:t xml:space="preserve">ديوان الشيخ عباس القريشي، ج7،</w:t>
      </w:r>
    </w:p>
    <w:p>
      <w:pPr>
        <w:pStyle w:val="BookText"/>
      </w:pPr>
      <w:r>
        <w:rPr>
          <w:rFonts w:ascii="IRNazanin" w:hAnsi="IRNazanin" w:eastAsia="IRNazanin" w:cs="IRNazanin"/>
          <w:lang w:bidi="fa-IR"/>
          <w:color w:val="111111"/>
          <w:sz w:val="28"/>
          <w:szCs w:val="28"/>
          <w:rtl/>
        </w:rPr>
        <w:t xml:space="preserve">ص 676 .</w:t>
      </w:r>
    </w:p>
    <w:p>
      <w:pPr>
        <w:pStyle w:val="Heading2"/>
      </w:pPr>
      <w:bookmarkStart w:id="6592" w:name="_Toc5694"/>
      <w:r>
        <w:t>قريشي ، عبدالله بن عثمان قرن 13 ه-</w:t>
      </w:r>
      <w:bookmarkEnd w:id="6592"/>
    </w:p>
    <w:p>
      <w:pPr>
        <w:pStyle w:val="BookText"/>
      </w:pPr>
      <w:r>
        <w:rPr>
          <w:rFonts w:ascii="Amiri" w:hAnsi="Amiri" w:eastAsia="Amiri" w:cs="Amiri"/>
          <w:lang w:bidi="ar-SA"/>
          <w:color w:val="111111"/>
          <w:sz w:val="28"/>
          <w:szCs w:val="28"/>
          <w:rtl/>
        </w:rPr>
        <w:t xml:space="preserve">تفسير آية «يوم يأتي بعض آيات ربك»،</w:t>
      </w:r>
    </w:p>
    <w:p>
      <w:pPr>
        <w:pStyle w:val="BookText"/>
      </w:pPr>
      <w:r>
        <w:rPr>
          <w:rFonts w:ascii="IRNazanin" w:hAnsi="IRNazanin" w:eastAsia="IRNazanin" w:cs="IRNazanin"/>
          <w:lang w:bidi="fa-IR"/>
          <w:color w:val="111111"/>
          <w:sz w:val="28"/>
          <w:szCs w:val="28"/>
          <w:rtl/>
        </w:rPr>
        <w:t xml:space="preserve">ج 4، ص 592.</w:t>
      </w:r>
    </w:p>
    <w:p>
      <w:pPr>
        <w:pStyle w:val="Heading2"/>
      </w:pPr>
      <w:bookmarkStart w:id="6593" w:name="_Toc5695"/>
      <w:r>
        <w:t>قريني، محمّد بن عبدالله، 1316-1398ه-</w:t>
      </w:r>
      <w:bookmarkEnd w:id="6593"/>
    </w:p>
    <w:p>
      <w:pPr>
        <w:pStyle w:val="BookText"/>
      </w:pPr>
      <w:r>
        <w:rPr>
          <w:rFonts w:ascii="Amiri" w:hAnsi="Amiri" w:eastAsia="Amiri" w:cs="Amiri"/>
          <w:lang w:bidi="ar-SA"/>
          <w:color w:val="111111"/>
          <w:sz w:val="28"/>
          <w:szCs w:val="28"/>
          <w:rtl/>
        </w:rPr>
        <w:t xml:space="preserve">أسرار الحياة، ج 2، ص 167.</w:t>
      </w:r>
    </w:p>
    <w:p>
      <w:pPr>
        <w:pStyle w:val="BookText"/>
      </w:pPr>
      <w:r>
        <w:rPr>
          <w:rFonts w:ascii="Amiri" w:hAnsi="Amiri" w:eastAsia="Amiri" w:cs="Amiri"/>
          <w:lang w:bidi="ar-SA"/>
          <w:color w:val="111111"/>
          <w:sz w:val="28"/>
          <w:szCs w:val="28"/>
          <w:rtl/>
        </w:rPr>
        <w:t xml:space="preserve">قريمي ، حسين بن رستم -كفوي ، حسين بن رستم</w:t>
      </w:r>
    </w:p>
    <w:p>
      <w:pPr>
        <w:pStyle w:val="Heading2"/>
      </w:pPr>
      <w:bookmarkStart w:id="6594" w:name="_Toc5696"/>
      <w:r>
        <w:t>قزاز ، محمّد بن سنان - 271 ه-</w:t>
      </w:r>
      <w:bookmarkEnd w:id="6594"/>
    </w:p>
    <w:p>
      <w:pPr>
        <w:pStyle w:val="BookText"/>
      </w:pPr>
      <w:r>
        <w:rPr>
          <w:rFonts w:ascii="Amiri" w:hAnsi="Amiri" w:eastAsia="Amiri" w:cs="Amiri"/>
          <w:lang w:bidi="ar-SA"/>
          <w:color w:val="111111"/>
          <w:sz w:val="28"/>
          <w:szCs w:val="28"/>
          <w:rtl/>
        </w:rPr>
        <w:t xml:space="preserve">حديث محمّد بن سنان القزاز، ج 6،</w:t>
      </w:r>
    </w:p>
    <w:p>
      <w:pPr>
        <w:pStyle w:val="BookText"/>
      </w:pPr>
      <w:r>
        <w:rPr>
          <w:rFonts w:ascii="IRNazanin" w:hAnsi="IRNazanin" w:eastAsia="IRNazanin" w:cs="IRNazanin"/>
          <w:lang w:bidi="fa-IR"/>
          <w:color w:val="111111"/>
          <w:sz w:val="28"/>
          <w:szCs w:val="28"/>
          <w:rtl/>
        </w:rPr>
        <w:t xml:space="preserve">ص 578.</w:t>
      </w:r>
    </w:p>
    <w:p>
      <w:pPr>
        <w:pStyle w:val="BookText"/>
      </w:pPr>
      <w:r>
        <w:rPr>
          <w:rFonts w:ascii="IRNazanin" w:hAnsi="IRNazanin" w:eastAsia="IRNazanin" w:cs="IRNazanin"/>
          <w:lang w:bidi="fa-IR"/>
          <w:color w:val="111111"/>
          <w:sz w:val="28"/>
          <w:szCs w:val="28"/>
          <w:rtl/>
        </w:rPr>
        <w:t xml:space="preserve">قزلباش ، حيدر علي -سردار کابلي ، حيدر قلي</w:t>
      </w:r>
    </w:p>
    <w:p>
      <w:pPr>
        <w:pStyle w:val="Heading2"/>
      </w:pPr>
      <w:bookmarkStart w:id="6595" w:name="_Toc5697"/>
      <w:r>
        <w:t>قزلجي علي بن محمّد، 1220-1295ه-</w:t>
      </w:r>
      <w:bookmarkEnd w:id="65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اجزاء القضية، ج 1، ص309.</w:t>
      </w:r>
    </w:p>
    <w:p>
      <w:pPr>
        <w:pStyle w:val="BookText"/>
      </w:pPr>
      <w:r>
        <w:rPr>
          <w:rFonts w:ascii="Amiri" w:hAnsi="Amiri" w:eastAsia="Amiri" w:cs="Amiri"/>
          <w:lang w:bidi="ar-SA"/>
          <w:color w:val="111111"/>
          <w:sz w:val="28"/>
          <w:szCs w:val="28"/>
          <w:rtl/>
        </w:rPr>
        <w:t xml:space="preserve">2 .التجويد (منظومه)، ج 3، ص 705.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حاشية شرح التصريف العزي، ج 6،</w:t>
      </w:r>
    </w:p>
    <w:p>
      <w:pPr>
        <w:pStyle w:val="BookText"/>
      </w:pPr>
      <w:r>
        <w:rPr>
          <w:rFonts w:ascii="IRNazanin" w:hAnsi="IRNazanin" w:eastAsia="IRNazanin" w:cs="IRNazanin"/>
          <w:lang w:bidi="fa-IR"/>
          <w:color w:val="111111"/>
          <w:sz w:val="28"/>
          <w:szCs w:val="28"/>
          <w:rtl/>
        </w:rPr>
        <w:t xml:space="preserve">ص 71.</w:t>
      </w:r>
    </w:p>
    <w:p>
      <w:pPr>
        <w:pStyle w:val="BookText"/>
      </w:pPr>
      <w:r>
        <w:rPr>
          <w:rFonts w:ascii="Amiri" w:hAnsi="Amiri" w:eastAsia="Amiri" w:cs="Amiri"/>
          <w:lang w:bidi="ar-SA"/>
          <w:color w:val="111111"/>
          <w:sz w:val="28"/>
          <w:szCs w:val="28"/>
          <w:rtl/>
        </w:rPr>
        <w:t xml:space="preserve">4 .الرسالة المعرفية، ج8، ص 274.</w:t>
      </w:r>
    </w:p>
    <w:p>
      <w:pPr>
        <w:pStyle w:val="BookText"/>
      </w:pPr>
      <w:r>
        <w:rPr>
          <w:rFonts w:ascii="IRNazanin" w:hAnsi="IRNazanin" w:eastAsia="IRNazanin" w:cs="IRNazanin"/>
          <w:lang w:bidi="fa-IR"/>
          <w:color w:val="111111"/>
          <w:sz w:val="28"/>
          <w:szCs w:val="28"/>
          <w:rtl/>
        </w:rPr>
        <w:t xml:space="preserve">5 .الفرائض، ج 11، ص 752.</w:t>
      </w:r>
    </w:p>
    <w:p>
      <w:pPr>
        <w:pStyle w:val="BookText"/>
      </w:pPr>
      <w:r>
        <w:rPr>
          <w:rFonts w:ascii="IRNazanin" w:hAnsi="IRNazanin" w:eastAsia="IRNazanin" w:cs="IRNazanin"/>
          <w:lang w:bidi="fa-IR"/>
          <w:color w:val="111111"/>
          <w:sz w:val="28"/>
          <w:szCs w:val="28"/>
          <w:rtl/>
        </w:rPr>
        <w:t xml:space="preserve">6 .المقولات، ج 15، ص 398.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876" w:name="pg7742_71034"/>
    <w:bookmarkEnd w:id="876"/>
    <w:p>
      <w:pPr>
        <w:pStyle w:val="Heading2"/>
      </w:pPr>
      <w:bookmarkStart w:id="6596" w:name="_Toc5698"/>
      <w:r>
        <w:t>قزلجي ، محمّد حسن بن علي</w:t>
      </w:r>
      <w:bookmarkEnd w:id="6596"/>
    </w:p>
    <w:p>
      <w:pPr>
        <w:pStyle w:val="BookText"/>
      </w:pPr>
      <w:r>
        <w:rPr>
          <w:rFonts w:ascii="IRNazanin" w:hAnsi="IRNazanin" w:eastAsia="IRNazanin" w:cs="IRNazanin"/>
          <w:lang w:bidi="fa-IR"/>
          <w:color w:val="111111"/>
          <w:sz w:val="28"/>
          <w:szCs w:val="28"/>
          <w:rtl/>
        </w:rPr>
        <w:t xml:space="preserve">شرح آداب البحث، ج9، ص 130.</w:t>
      </w:r>
    </w:p>
    <w:p>
      <w:pPr>
        <w:pStyle w:val="Heading2"/>
      </w:pPr>
      <w:bookmarkStart w:id="6597" w:name="_Toc5699"/>
      <w:r>
        <w:t>قزويني، ابراهيم بن محمّد باقر، 1214 -</w:t>
      </w:r>
      <w:bookmarkEnd w:id="6597"/>
    </w:p>
    <w:p>
      <w:pPr>
        <w:pStyle w:val="BookText"/>
      </w:pPr>
      <w:r>
        <w:rPr>
          <w:rFonts w:ascii="IRNazanin" w:hAnsi="IRNazanin" w:eastAsia="IRNazanin" w:cs="IRNazanin"/>
          <w:lang w:bidi="fa-IR"/>
          <w:color w:val="111111"/>
          <w:sz w:val="28"/>
          <w:szCs w:val="28"/>
          <w:rtl/>
        </w:rPr>
        <w:t xml:space="preserve">1262؟ ه-</w:t>
      </w:r>
    </w:p>
    <w:p>
      <w:pPr>
        <w:pStyle w:val="BookText"/>
      </w:pPr>
      <w:r>
        <w:rPr>
          <w:rFonts w:ascii="Amiri" w:hAnsi="Amiri" w:eastAsia="Amiri" w:cs="Amiri"/>
          <w:lang w:bidi="ar-SA"/>
          <w:color w:val="111111"/>
          <w:sz w:val="28"/>
          <w:szCs w:val="28"/>
          <w:rtl/>
        </w:rPr>
        <w:t xml:space="preserve">1 .حجية الخبر = حجية الظن، ج 6،</w:t>
      </w:r>
    </w:p>
    <w:p>
      <w:pPr>
        <w:pStyle w:val="BookText"/>
      </w:pPr>
      <w:r>
        <w:rPr>
          <w:rFonts w:ascii="IRNazanin" w:hAnsi="IRNazanin" w:eastAsia="IRNazanin" w:cs="IRNazanin"/>
          <w:lang w:bidi="fa-IR"/>
          <w:color w:val="111111"/>
          <w:sz w:val="28"/>
          <w:szCs w:val="28"/>
          <w:rtl/>
        </w:rPr>
        <w:t xml:space="preserve">ص 495 .</w:t>
      </w:r>
    </w:p>
    <w:p>
      <w:pPr>
        <w:pStyle w:val="BookText"/>
      </w:pPr>
      <w:r>
        <w:rPr>
          <w:rFonts w:ascii="Amiri" w:hAnsi="Amiri" w:eastAsia="Amiri" w:cs="Amiri"/>
          <w:lang w:bidi="ar-SA"/>
          <w:color w:val="111111"/>
          <w:sz w:val="28"/>
          <w:szCs w:val="28"/>
          <w:rtl/>
        </w:rPr>
        <w:t xml:space="preserve">2 .دلائل الاحكام في شرح شرايع</w:t>
      </w:r>
    </w:p>
    <w:p>
      <w:pPr>
        <w:pStyle w:val="BookText"/>
      </w:pPr>
      <w:r>
        <w:rPr>
          <w:rFonts w:ascii="IRNazanin" w:hAnsi="IRNazanin" w:eastAsia="IRNazanin" w:cs="IRNazanin"/>
          <w:lang w:bidi="fa-IR"/>
          <w:color w:val="111111"/>
          <w:sz w:val="28"/>
          <w:szCs w:val="28"/>
          <w:rtl/>
        </w:rPr>
        <w:t xml:space="preserve">الاسلام، ج 7، ص 440 .</w:t>
      </w:r>
    </w:p>
    <w:p>
      <w:pPr>
        <w:pStyle w:val="BookText"/>
      </w:pPr>
      <w:r>
        <w:rPr>
          <w:rFonts w:ascii="Amiri" w:hAnsi="Amiri" w:eastAsia="Amiri" w:cs="Amiri"/>
          <w:lang w:bidi="ar-SA"/>
          <w:color w:val="111111"/>
          <w:sz w:val="28"/>
          <w:szCs w:val="28"/>
          <w:rtl/>
        </w:rPr>
        <w:t xml:space="preserve">3 .الرسالة العملية، ج8، ص227</w:t>
      </w:r>
    </w:p>
    <w:p>
      <w:pPr>
        <w:pStyle w:val="BookText"/>
      </w:pPr>
      <w:r>
        <w:rPr>
          <w:rFonts w:ascii="Amiri" w:hAnsi="Amiri" w:eastAsia="Amiri" w:cs="Amiri"/>
          <w:lang w:bidi="ar-SA"/>
          <w:color w:val="111111"/>
          <w:sz w:val="28"/>
          <w:szCs w:val="28"/>
          <w:rtl/>
        </w:rPr>
        <w:t xml:space="preserve">4 .رساله عمليه، ج8، ص227</w:t>
      </w:r>
    </w:p>
    <w:p>
      <w:pPr>
        <w:pStyle w:val="BookText"/>
      </w:pPr>
      <w:r>
        <w:rPr>
          <w:rFonts w:ascii="Amiri" w:hAnsi="Amiri" w:eastAsia="Amiri" w:cs="Amiri"/>
          <w:lang w:bidi="ar-SA"/>
          <w:color w:val="111111"/>
          <w:sz w:val="28"/>
          <w:szCs w:val="28"/>
          <w:rtl/>
        </w:rPr>
        <w:t xml:space="preserve">5 .الرياض العلوية، ج8، ص 490.</w:t>
      </w:r>
    </w:p>
    <w:p>
      <w:pPr>
        <w:pStyle w:val="BookText"/>
      </w:pPr>
      <w:r>
        <w:rPr>
          <w:rFonts w:ascii="IRNazanin" w:hAnsi="IRNazanin" w:eastAsia="IRNazanin" w:cs="IRNazanin"/>
          <w:lang w:bidi="fa-IR"/>
          <w:color w:val="111111"/>
          <w:sz w:val="28"/>
          <w:szCs w:val="28"/>
          <w:rtl/>
        </w:rPr>
        <w:t xml:space="preserve">6 .ضوابط الاصول، ج 10، ص 706.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الفقه، ج 12، ص 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اللقطة، ج13، ص 604.</w:t>
      </w:r>
    </w:p>
    <w:p>
      <w:pPr>
        <w:pStyle w:val="BookText"/>
      </w:pPr>
      <w:r>
        <w:rPr>
          <w:rFonts w:ascii="Amiri" w:hAnsi="Amiri" w:eastAsia="Amiri" w:cs="Amiri"/>
          <w:lang w:bidi="ar-SA"/>
          <w:color w:val="111111"/>
          <w:sz w:val="28"/>
          <w:szCs w:val="28"/>
          <w:rtl/>
        </w:rPr>
        <w:t xml:space="preserve">9 .نتائج الافكار، ج 16، ص 125.</w:t>
      </w:r>
    </w:p>
    <w:p>
      <w:pPr>
        <w:pStyle w:val="BookText"/>
      </w:pPr>
      <w:r>
        <w:rPr>
          <w:rFonts w:ascii="Amiri" w:hAnsi="Amiri" w:eastAsia="Amiri" w:cs="Amiri"/>
          <w:lang w:bidi="ar-SA"/>
          <w:color w:val="111111"/>
          <w:sz w:val="28"/>
          <w:szCs w:val="28"/>
          <w:rtl/>
        </w:rPr>
        <w:t xml:space="preserve">10 .نتائج المقدمات الاصولية، ج 16،</w:t>
      </w:r>
    </w:p>
    <w:p>
      <w:pPr>
        <w:pStyle w:val="BookText"/>
      </w:pPr>
      <w:r>
        <w:rPr>
          <w:rFonts w:ascii="IRNazanin" w:hAnsi="IRNazanin" w:eastAsia="IRNazanin" w:cs="IRNazanin"/>
          <w:lang w:bidi="fa-IR"/>
          <w:color w:val="111111"/>
          <w:sz w:val="28"/>
          <w:szCs w:val="28"/>
          <w:rtl/>
        </w:rPr>
        <w:t xml:space="preserve">ص133.</w:t>
      </w:r>
    </w:p>
    <w:p>
      <w:pPr>
        <w:pStyle w:val="Heading2"/>
      </w:pPr>
      <w:bookmarkStart w:id="6598" w:name="_Toc5700"/>
      <w:r>
        <w:t>قزويني ابراهيم شمس الدین 1318 ه-</w:t>
      </w:r>
      <w:bookmarkEnd w:id="6598"/>
    </w:p>
    <w:p>
      <w:pPr>
        <w:pStyle w:val="BookText"/>
      </w:pPr>
      <w:r>
        <w:rPr>
          <w:rFonts w:ascii="Amiri" w:hAnsi="Amiri" w:eastAsia="Amiri" w:cs="Amiri"/>
          <w:lang w:bidi="ar-SA"/>
          <w:color w:val="111111"/>
          <w:sz w:val="28"/>
          <w:szCs w:val="28"/>
          <w:rtl/>
        </w:rPr>
        <w:t xml:space="preserve">اصول علم الجغرافية و الهيئة، ج2،</w:t>
      </w:r>
    </w:p>
    <w:p>
      <w:pPr>
        <w:pStyle w:val="BookText"/>
      </w:pPr>
      <w:r>
        <w:rPr>
          <w:rFonts w:ascii="IRNazanin" w:hAnsi="IRNazanin" w:eastAsia="IRNazanin" w:cs="IRNazanin"/>
          <w:lang w:bidi="fa-IR"/>
          <w:color w:val="111111"/>
          <w:sz w:val="28"/>
          <w:szCs w:val="28"/>
          <w:rtl/>
        </w:rPr>
        <w:t xml:space="preserve">ص 429 .</w:t>
      </w:r>
    </w:p>
    <w:p>
      <w:pPr>
        <w:pStyle w:val="Heading2"/>
      </w:pPr>
      <w:bookmarkStart w:id="6599" w:name="_Toc5701"/>
      <w:r>
        <w:t>قزويني، ابوطالب بن محمّد هادي قرن</w:t>
      </w:r>
      <w:bookmarkEnd w:id="6599"/>
    </w:p>
    <w:p>
      <w:pPr>
        <w:pStyle w:val="BookText"/>
      </w:pPr>
      <w:r>
        <w:rPr>
          <w:rFonts w:ascii="IRNazanin" w:hAnsi="IRNazanin" w:eastAsia="IRNazanin" w:cs="IRNazanin"/>
          <w:lang w:bidi="fa-IR"/>
          <w:color w:val="111111"/>
          <w:sz w:val="28"/>
          <w:szCs w:val="28"/>
          <w:rtl/>
        </w:rPr>
        <w:t xml:space="preserve">13 ه-</w:t>
      </w:r>
    </w:p>
    <w:p>
      <w:pPr>
        <w:pStyle w:val="BookText"/>
      </w:pPr>
      <w:r>
        <w:rPr>
          <w:rFonts w:ascii="IRNazanin" w:hAnsi="IRNazanin" w:eastAsia="IRNazanin" w:cs="IRNazanin"/>
          <w:lang w:bidi="fa-IR"/>
          <w:color w:val="111111"/>
          <w:sz w:val="28"/>
          <w:szCs w:val="28"/>
          <w:rtl/>
        </w:rPr>
        <w:t xml:space="preserve">فرائد الدرر = علم اللوح و القدر</w:t>
      </w:r>
    </w:p>
    <w:p>
      <w:pPr>
        <w:pStyle w:val="BookText"/>
      </w:pPr>
      <w:r>
        <w:rPr>
          <w:rFonts w:ascii="IRNazanin" w:hAnsi="IRNazanin" w:eastAsia="IRNazanin" w:cs="IRNazanin"/>
          <w:lang w:bidi="fa-IR"/>
          <w:color w:val="111111"/>
          <w:sz w:val="28"/>
          <w:szCs w:val="28"/>
          <w:rtl/>
        </w:rPr>
        <w:t xml:space="preserve">ج 11، ص 731.</w:t>
      </w:r>
    </w:p>
    <w:p>
      <w:pPr>
        <w:pStyle w:val="Heading2"/>
      </w:pPr>
      <w:bookmarkStart w:id="6600" w:name="_Toc5702"/>
      <w:r>
        <w:t>قزويني ، احمد - 1273 ه-</w:t>
      </w:r>
      <w:bookmarkEnd w:id="6600"/>
    </w:p>
    <w:p>
      <w:pPr>
        <w:pStyle w:val="BookText"/>
      </w:pPr>
      <w:r>
        <w:rPr>
          <w:rFonts w:ascii="Amiri" w:hAnsi="Amiri" w:eastAsia="Amiri" w:cs="Amiri"/>
          <w:lang w:bidi="ar-SA"/>
          <w:color w:val="111111"/>
          <w:sz w:val="28"/>
          <w:szCs w:val="28"/>
          <w:rtl/>
        </w:rPr>
        <w:t xml:space="preserve">حاشية انوار التنزيل = حاشيه تفسير بيضاوي، ج 5، ص 699.</w:t>
      </w:r>
    </w:p>
    <w:p>
      <w:pPr>
        <w:pStyle w:val="Heading2"/>
      </w:pPr>
      <w:bookmarkStart w:id="6601" w:name="_Toc5703"/>
      <w:r>
        <w:t>قزويني ، احمد بن اسماعيل 512-590 ؟ه-</w:t>
      </w:r>
      <w:bookmarkEnd w:id="6601"/>
    </w:p>
    <w:p>
      <w:pPr>
        <w:pStyle w:val="BookText"/>
      </w:pPr>
      <w:r>
        <w:rPr>
          <w:rFonts w:ascii="Amiri" w:hAnsi="Amiri" w:eastAsia="Amiri" w:cs="Amiri"/>
          <w:lang w:bidi="ar-SA"/>
          <w:color w:val="111111"/>
          <w:sz w:val="28"/>
          <w:szCs w:val="28"/>
          <w:rtl/>
        </w:rPr>
        <w:t xml:space="preserve">1 .الاربعين في مناقب المرتضى =</w:t>
      </w:r>
    </w:p>
    <w:p>
      <w:pPr>
        <w:pStyle w:val="BookText"/>
      </w:pPr>
      <w:r>
        <w:rPr>
          <w:rFonts w:ascii="Amiri" w:hAnsi="Amiri" w:eastAsia="Amiri" w:cs="Amiri"/>
          <w:lang w:bidi="ar-SA"/>
          <w:color w:val="111111"/>
          <w:sz w:val="28"/>
          <w:szCs w:val="28"/>
          <w:rtl/>
        </w:rPr>
        <w:t xml:space="preserve">الاربعون المنتقي في مناقب المرتضى، ج 1، ص 745.</w:t>
      </w:r>
    </w:p>
    <w:p>
      <w:pPr>
        <w:pStyle w:val="BookText"/>
      </w:pPr>
      <w:r>
        <w:rPr>
          <w:rFonts w:ascii="Amiri" w:hAnsi="Amiri" w:eastAsia="Amiri" w:cs="Amiri"/>
          <w:lang w:bidi="ar-SA"/>
          <w:color w:val="111111"/>
          <w:sz w:val="28"/>
          <w:szCs w:val="28"/>
          <w:rtl/>
        </w:rPr>
        <w:t xml:space="preserve">2 .البرهان الانوار في مناقب الصديق</w:t>
      </w:r>
    </w:p>
    <w:p>
      <w:pPr>
        <w:pStyle w:val="BookText"/>
      </w:pPr>
      <w:r>
        <w:rPr>
          <w:rFonts w:ascii="Amiri" w:hAnsi="Amiri" w:eastAsia="Amiri" w:cs="Amiri"/>
          <w:lang w:bidi="ar-SA"/>
          <w:color w:val="111111"/>
          <w:sz w:val="28"/>
          <w:szCs w:val="28"/>
          <w:rtl/>
        </w:rPr>
        <w:t xml:space="preserve">الاكبر، ج 3، ص 306.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السرد والفرد في صحائف الأخبار</w:t>
      </w:r>
    </w:p>
    <w:p>
      <w:pPr>
        <w:pStyle w:val="BookText"/>
      </w:pPr>
      <w:r>
        <w:rPr>
          <w:rFonts w:ascii="IRNazanin" w:hAnsi="IRNazanin" w:eastAsia="IRNazanin" w:cs="IRNazanin"/>
          <w:lang w:bidi="fa-IR"/>
          <w:color w:val="111111"/>
          <w:sz w:val="28"/>
          <w:szCs w:val="28"/>
          <w:rtl/>
        </w:rPr>
        <w:t xml:space="preserve">ج 8، ص 754 .</w:t>
      </w:r>
    </w:p>
    <w:p>
      <w:pPr>
        <w:pStyle w:val="BookText"/>
      </w:pPr>
      <w:r>
        <w:rPr>
          <w:rFonts w:ascii="IRNazanin" w:hAnsi="IRNazanin" w:eastAsia="IRNazanin" w:cs="IRNazanin"/>
          <w:lang w:bidi="fa-IR"/>
          <w:color w:val="111111"/>
          <w:sz w:val="28"/>
          <w:szCs w:val="28"/>
          <w:rtl/>
        </w:rPr>
        <w:t xml:space="preserve">4 .مختارات احادیث الصادق المصدوق</w:t>
      </w:r>
    </w:p>
    <w:p>
      <w:pPr>
        <w:pStyle w:val="BookText"/>
      </w:pPr>
      <w:r>
        <w:rPr>
          <w:rFonts w:ascii="Amiri" w:hAnsi="Amiri" w:eastAsia="Amiri" w:cs="Amiri"/>
          <w:lang w:bidi="ar-SA"/>
          <w:color w:val="111111"/>
          <w:sz w:val="28"/>
          <w:szCs w:val="28"/>
          <w:rtl/>
        </w:rPr>
        <w:t xml:space="preserve">من فضائل الصديق و الفاروق</w:t>
      </w:r>
    </w:p>
    <w:p>
      <w:pPr>
        <w:pStyle w:val="BookText"/>
      </w:pPr>
      <w:r>
        <w:rPr>
          <w:rFonts w:ascii="IRNazanin" w:hAnsi="IRNazanin" w:eastAsia="IRNazanin" w:cs="IRNazanin"/>
          <w:lang w:bidi="fa-IR"/>
          <w:color w:val="111111"/>
          <w:sz w:val="28"/>
          <w:szCs w:val="28"/>
          <w:rtl/>
        </w:rPr>
        <w:t xml:space="preserve">ج 14، ص 140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مناقب امیرالمؤمنين (ع)، ج 15،</w:t>
      </w:r>
    </w:p>
    <w:p>
      <w:pPr>
        <w:pStyle w:val="BookText"/>
      </w:pPr>
      <w:r>
        <w:rPr>
          <w:rFonts w:ascii="IRNazanin" w:hAnsi="IRNazanin" w:eastAsia="IRNazanin" w:cs="IRNazanin"/>
          <w:lang w:bidi="fa-IR"/>
          <w:color w:val="111111"/>
          <w:sz w:val="28"/>
          <w:szCs w:val="28"/>
          <w:rtl/>
        </w:rPr>
        <w:t xml:space="preserve">ص 542.</w:t>
      </w:r>
    </w:p>
    <w:p>
      <w:pPr>
        <w:pStyle w:val="BookText"/>
      </w:pPr>
      <w:r>
        <w:rPr>
          <w:rFonts w:ascii="Amiri" w:hAnsi="Amiri" w:eastAsia="Amiri" w:cs="Amiri"/>
          <w:lang w:bidi="ar-SA"/>
          <w:color w:val="111111"/>
          <w:sz w:val="28"/>
          <w:szCs w:val="28"/>
          <w:rtl/>
        </w:rPr>
        <w:t xml:space="preserve">قزويني ، احمد بن فارس -رازي ، احمد بن فارس</w:t>
      </w:r>
    </w:p>
    <w:p>
      <w:pPr>
        <w:pStyle w:val="BookText"/>
      </w:pPr>
      <w:r>
        <w:rPr>
          <w:rFonts w:ascii="Amiri" w:hAnsi="Amiri" w:eastAsia="Amiri" w:cs="Amiri"/>
          <w:lang w:bidi="ar-SA"/>
          <w:color w:val="111111"/>
          <w:sz w:val="28"/>
          <w:szCs w:val="28"/>
          <w:rtl/>
        </w:rPr>
        <w:t xml:space="preserve">قزويني ، احمد بن محمّد -غفاري قزويني</w:t>
      </w:r>
    </w:p>
    <w:p>
      <w:pPr>
        <w:pStyle w:val="BookText"/>
      </w:pPr>
      <w:r>
        <w:rPr>
          <w:rFonts w:ascii="IRNazanin" w:hAnsi="IRNazanin" w:eastAsia="IRNazanin" w:cs="IRNazanin"/>
          <w:lang w:bidi="fa-IR"/>
          <w:color w:val="111111"/>
          <w:sz w:val="28"/>
          <w:szCs w:val="28"/>
          <w:rtl/>
        </w:rPr>
        <w:t xml:space="preserve">، احمد بن محمّد</w:t>
      </w:r>
    </w:p>
    <w:p>
      <w:pPr>
        <w:pStyle w:val="Heading2"/>
      </w:pPr>
      <w:bookmarkStart w:id="6602" w:name="_Toc5704"/>
      <w:r>
        <w:t>قزويني ، احمد بن محمّد</w:t>
      </w:r>
      <w:bookmarkEnd w:id="6602"/>
    </w:p>
    <w:p>
      <w:pPr>
        <w:pStyle w:val="BookText"/>
      </w:pPr>
      <w:r>
        <w:rPr>
          <w:rFonts w:ascii="Amiri" w:hAnsi="Amiri" w:eastAsia="Amiri" w:cs="Amiri"/>
          <w:lang w:bidi="ar-SA"/>
          <w:color w:val="111111"/>
          <w:sz w:val="28"/>
          <w:szCs w:val="28"/>
          <w:rtl/>
        </w:rPr>
        <w:t xml:space="preserve">1 .البلاغة (رسالة في)، ج 3، ص 384.</w:t>
      </w:r>
    </w:p>
    <w:p>
      <w:pPr>
        <w:pStyle w:val="BookText"/>
      </w:pPr>
      <w:r>
        <w:rPr>
          <w:rFonts w:ascii="Amiri" w:hAnsi="Amiri" w:eastAsia="Amiri" w:cs="Amiri"/>
          <w:lang w:bidi="ar-SA"/>
          <w:color w:val="111111"/>
          <w:sz w:val="28"/>
          <w:szCs w:val="28"/>
          <w:rtl/>
        </w:rPr>
        <w:t xml:space="preserve">2 .تلخيص المختصر، ج 4، ص 857.</w:t>
      </w:r>
    </w:p>
    <w:p>
      <w:pPr>
        <w:pStyle w:val="Heading2"/>
      </w:pPr>
      <w:bookmarkStart w:id="6603" w:name="_Toc5705"/>
      <w:r>
        <w:t>قزويني احمد بن محمّدامین قرن 11ه-</w:t>
      </w:r>
      <w:bookmarkEnd w:id="6603"/>
    </w:p>
    <w:p>
      <w:pPr>
        <w:pStyle w:val="BookText"/>
      </w:pPr>
      <w:r>
        <w:rPr>
          <w:rFonts w:ascii="Amiri" w:hAnsi="Amiri" w:eastAsia="Amiri" w:cs="Amiri"/>
          <w:lang w:bidi="ar-SA"/>
          <w:color w:val="111111"/>
          <w:sz w:val="28"/>
          <w:szCs w:val="28"/>
          <w:rtl/>
        </w:rPr>
        <w:t xml:space="preserve">الفوائد الصحيحة في شرح الصفيحة</w:t>
      </w:r>
    </w:p>
    <w:p>
      <w:pPr>
        <w:pStyle w:val="BookText"/>
      </w:pPr>
      <w:r>
        <w:rPr>
          <w:rFonts w:ascii="IRNazanin" w:hAnsi="IRNazanin" w:eastAsia="IRNazanin" w:cs="IRNazanin"/>
          <w:lang w:bidi="fa-IR"/>
          <w:color w:val="111111"/>
          <w:sz w:val="28"/>
          <w:szCs w:val="28"/>
          <w:rtl/>
        </w:rPr>
        <w:t xml:space="preserve">ج 12، ص 218.</w:t>
      </w:r>
    </w:p>
    <w:p>
      <w:pPr>
        <w:pStyle w:val="Heading2"/>
      </w:pPr>
      <w:bookmarkStart w:id="6604" w:name="_Toc5706"/>
      <w:r>
        <w:t>قزويني، اسماعيل بن علي قرن 12 ه-</w:t>
      </w:r>
      <w:bookmarkEnd w:id="6604"/>
    </w:p>
    <w:p>
      <w:pPr>
        <w:pStyle w:val="BookText"/>
      </w:pPr>
      <w:r>
        <w:rPr>
          <w:rFonts w:ascii="Amiri" w:hAnsi="Amiri" w:eastAsia="Amiri" w:cs="Amiri"/>
          <w:lang w:bidi="ar-SA"/>
          <w:color w:val="111111"/>
          <w:sz w:val="28"/>
          <w:szCs w:val="28"/>
          <w:rtl/>
        </w:rPr>
        <w:t xml:space="preserve">انباء الانبياء، ج 2، ص 775.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877" w:name="pg7742_71036"/>
    <w:bookmarkEnd w:id="877"/>
    <w:p>
      <w:pPr>
        <w:pStyle w:val="BookText"/>
      </w:pPr>
      <w:r>
        <w:rPr>
          <w:rFonts w:ascii="Amiri" w:hAnsi="Amiri" w:eastAsia="Amiri" w:cs="Amiri"/>
          <w:lang w:bidi="ar-SA"/>
          <w:color w:val="111111"/>
          <w:sz w:val="28"/>
          <w:szCs w:val="28"/>
          <w:rtl/>
        </w:rPr>
        <w:t xml:space="preserve">قزويني اصفهاني ، محمّد</w:t>
      </w:r>
    </w:p>
    <w:p>
      <w:pPr>
        <w:pStyle w:val="BookText"/>
      </w:pPr>
      <w:r>
        <w:rPr>
          <w:rFonts w:ascii="IRNazanin" w:hAnsi="IRNazanin" w:eastAsia="IRNazanin" w:cs="IRNazanin"/>
          <w:lang w:bidi="fa-IR"/>
          <w:color w:val="111111"/>
          <w:sz w:val="28"/>
          <w:szCs w:val="28"/>
          <w:rtl/>
        </w:rPr>
        <w:t xml:space="preserve">ابراهيم - جوهري ، محمّد ابراهیم بن محمّد</w:t>
      </w:r>
    </w:p>
    <w:p>
      <w:pPr>
        <w:pStyle w:val="BookText"/>
      </w:pPr>
      <w:r>
        <w:rPr>
          <w:rFonts w:ascii="IRNazanin" w:hAnsi="IRNazanin" w:eastAsia="IRNazanin" w:cs="IRNazanin"/>
          <w:lang w:bidi="fa-IR"/>
          <w:color w:val="111111"/>
          <w:sz w:val="28"/>
          <w:szCs w:val="28"/>
          <w:rtl/>
        </w:rPr>
        <w:t xml:space="preserve">باقر</w:t>
      </w:r>
    </w:p>
    <w:p>
      <w:pPr>
        <w:pStyle w:val="Heading2"/>
      </w:pPr>
      <w:bookmarkStart w:id="6605" w:name="_Toc5707"/>
      <w:r>
        <w:t>قزويني جعفر بن مهدي 1253-1298ه-</w:t>
      </w:r>
      <w:bookmarkEnd w:id="6605"/>
    </w:p>
    <w:p>
      <w:pPr>
        <w:pStyle w:val="BookText"/>
      </w:pPr>
      <w:r>
        <w:rPr>
          <w:rFonts w:ascii="Amiri" w:hAnsi="Amiri" w:eastAsia="Amiri" w:cs="Amiri"/>
          <w:lang w:bidi="ar-SA"/>
          <w:color w:val="111111"/>
          <w:sz w:val="28"/>
          <w:szCs w:val="28"/>
          <w:rtl/>
        </w:rPr>
        <w:t xml:space="preserve">التلويحات الغروية في بعض المسائل</w:t>
      </w:r>
    </w:p>
    <w:p>
      <w:pPr>
        <w:pStyle w:val="BookText"/>
      </w:pPr>
      <w:r>
        <w:rPr>
          <w:rFonts w:ascii="Amiri" w:hAnsi="Amiri" w:eastAsia="Amiri" w:cs="Amiri"/>
          <w:lang w:bidi="ar-SA"/>
          <w:color w:val="111111"/>
          <w:sz w:val="28"/>
          <w:szCs w:val="28"/>
          <w:rtl/>
        </w:rPr>
        <w:t xml:space="preserve">الأصولية، ج 4، ص 868.</w:t>
      </w:r>
    </w:p>
    <w:p>
      <w:pPr>
        <w:pStyle w:val="Heading2"/>
      </w:pPr>
      <w:bookmarkStart w:id="6606" w:name="_Toc5708"/>
      <w:r>
        <w:t>قزويني حائري، حسين بن محمّد باقر</w:t>
      </w:r>
      <w:bookmarkEnd w:id="6606"/>
    </w:p>
    <w:p>
      <w:pPr>
        <w:pStyle w:val="BookText"/>
      </w:pPr>
      <w:r>
        <w:rPr>
          <w:rFonts w:ascii="IRNazanin" w:hAnsi="IRNazanin" w:eastAsia="IRNazanin" w:cs="IRNazanin"/>
          <w:lang w:bidi="fa-IR"/>
          <w:color w:val="111111"/>
          <w:sz w:val="28"/>
          <w:szCs w:val="28"/>
          <w:rtl/>
        </w:rPr>
        <w:t xml:space="preserve">1288 - 1367ه-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الارشاد، ج 2، ص 2.</w:t>
      </w:r>
    </w:p>
    <w:p>
      <w:pPr>
        <w:pStyle w:val="BookText"/>
      </w:pPr>
      <w:r>
        <w:rPr>
          <w:rFonts w:ascii="Amiri" w:hAnsi="Amiri" w:eastAsia="Amiri" w:cs="Amiri"/>
          <w:lang w:bidi="ar-SA"/>
          <w:color w:val="111111"/>
          <w:sz w:val="28"/>
          <w:szCs w:val="28"/>
          <w:rtl/>
        </w:rPr>
        <w:t xml:space="preserve">2 .اصول عقائد الامامية و فروعها، ج2،</w:t>
      </w:r>
    </w:p>
    <w:p>
      <w:pPr>
        <w:pStyle w:val="BookText"/>
      </w:pPr>
      <w:r>
        <w:rPr>
          <w:rFonts w:ascii="IRNazanin" w:hAnsi="IRNazanin" w:eastAsia="IRNazanin" w:cs="IRNazanin"/>
          <w:lang w:bidi="fa-IR"/>
          <w:color w:val="111111"/>
          <w:sz w:val="28"/>
          <w:szCs w:val="28"/>
          <w:rtl/>
        </w:rPr>
        <w:t xml:space="preserve">ص 428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الامام علي بن أبي طالب (ع) (رسالة</w:t>
      </w:r>
    </w:p>
    <w:p>
      <w:pPr>
        <w:pStyle w:val="BookText"/>
      </w:pPr>
      <w:r>
        <w:rPr>
          <w:rFonts w:ascii="Amiri" w:hAnsi="Amiri" w:eastAsia="Amiri" w:cs="Amiri"/>
          <w:lang w:bidi="ar-SA"/>
          <w:color w:val="111111"/>
          <w:sz w:val="28"/>
          <w:szCs w:val="28"/>
          <w:rtl/>
        </w:rPr>
        <w:t xml:space="preserve">في)، ج2، ص 737.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تاريخ الاسلام، ج 3، ص 547</w:t>
      </w:r>
    </w:p>
    <w:p>
      <w:pPr>
        <w:pStyle w:val="BookText"/>
      </w:pPr>
      <w:r>
        <w:rPr>
          <w:rFonts w:ascii="Amiri" w:hAnsi="Amiri" w:eastAsia="Amiri" w:cs="Amiri"/>
          <w:lang w:bidi="ar-SA"/>
          <w:color w:val="111111"/>
          <w:sz w:val="28"/>
          <w:szCs w:val="28"/>
          <w:rtl/>
        </w:rPr>
        <w:t xml:space="preserve">5 .تفسير سورة العصر، ج 4 ، ص 634 .</w:t>
      </w:r>
    </w:p>
    <w:p>
      <w:pPr>
        <w:pStyle w:val="BookText"/>
      </w:pPr>
      <w:r>
        <w:rPr>
          <w:rFonts w:ascii="IRNazanin" w:hAnsi="IRNazanin" w:eastAsia="IRNazanin" w:cs="IRNazanin"/>
          <w:lang w:bidi="fa-IR"/>
          <w:color w:val="111111"/>
          <w:sz w:val="28"/>
          <w:szCs w:val="28"/>
          <w:rtl/>
        </w:rPr>
        <w:t xml:space="preserve">6 .الرضاع، ج8، ص321.</w:t>
      </w:r>
    </w:p>
    <w:p>
      <w:pPr>
        <w:pStyle w:val="BookText"/>
      </w:pPr>
      <w:r>
        <w:rPr>
          <w:rFonts w:ascii="Amiri" w:hAnsi="Amiri" w:eastAsia="Amiri" w:cs="Amiri"/>
          <w:lang w:bidi="ar-SA"/>
          <w:color w:val="111111"/>
          <w:sz w:val="28"/>
          <w:szCs w:val="28"/>
          <w:rtl/>
        </w:rPr>
        <w:t xml:space="preserve">7 .مدينة فاضلة، ج 14 ، ص 335.</w:t>
      </w:r>
    </w:p>
    <w:p>
      <w:pPr>
        <w:pStyle w:val="Heading2"/>
      </w:pPr>
      <w:bookmarkStart w:id="6607" w:name="_Toc5709"/>
      <w:r>
        <w:t>قزويني حائري ، محمد ابراهيم بن علي</w:t>
      </w:r>
      <w:bookmarkEnd w:id="6607"/>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مشكاة الانوار الحسينية في شرح</w:t>
      </w:r>
    </w:p>
    <w:p>
      <w:pPr>
        <w:pStyle w:val="BookText"/>
      </w:pPr>
      <w:r>
        <w:rPr>
          <w:rFonts w:ascii="Amiri" w:hAnsi="Amiri" w:eastAsia="Amiri" w:cs="Amiri"/>
          <w:lang w:bidi="ar-SA"/>
          <w:color w:val="111111"/>
          <w:sz w:val="28"/>
          <w:szCs w:val="28"/>
          <w:rtl/>
        </w:rPr>
        <w:t xml:space="preserve">الدروس الشرعية، ج 14، ص 631 .</w:t>
      </w:r>
    </w:p>
    <w:p>
      <w:pPr>
        <w:pStyle w:val="Heading2"/>
      </w:pPr>
      <w:bookmarkStart w:id="6608" w:name="_Toc5710"/>
      <w:r>
        <w:t>قزويني حائري، محمّد حسن بن محمّد</w:t>
      </w:r>
      <w:bookmarkEnd w:id="6608"/>
    </w:p>
    <w:p>
      <w:pPr>
        <w:pStyle w:val="BookText"/>
      </w:pPr>
      <w:r>
        <w:rPr>
          <w:rFonts w:ascii="IRNazanin" w:hAnsi="IRNazanin" w:eastAsia="IRNazanin" w:cs="IRNazanin"/>
          <w:lang w:bidi="fa-IR"/>
          <w:color w:val="111111"/>
          <w:sz w:val="28"/>
          <w:szCs w:val="28"/>
          <w:rtl/>
        </w:rPr>
        <w:t xml:space="preserve">شفیع</w:t>
      </w:r>
    </w:p>
    <w:p>
      <w:pPr>
        <w:pStyle w:val="BookText"/>
      </w:pPr>
      <w:r>
        <w:rPr>
          <w:rFonts w:ascii="Amiri" w:hAnsi="Amiri" w:eastAsia="Amiri" w:cs="Amiri"/>
          <w:lang w:bidi="ar-SA"/>
          <w:color w:val="111111"/>
          <w:sz w:val="28"/>
          <w:szCs w:val="28"/>
          <w:rtl/>
        </w:rPr>
        <w:t xml:space="preserve">نور العيون، ج 16، ص 565.</w:t>
      </w:r>
    </w:p>
    <w:p>
      <w:pPr>
        <w:pStyle w:val="Heading2"/>
      </w:pPr>
      <w:bookmarkStart w:id="6609" w:name="_Toc5711"/>
      <w:r>
        <w:t>قزويني حائري ، محمّد حسين بن</w:t>
      </w:r>
      <w:bookmarkEnd w:id="6609"/>
    </w:p>
    <w:p>
      <w:pPr>
        <w:pStyle w:val="BookText"/>
      </w:pPr>
      <w:r>
        <w:rPr>
          <w:rFonts w:ascii="Amiri" w:hAnsi="Amiri" w:eastAsia="Amiri" w:cs="Amiri"/>
          <w:lang w:bidi="ar-SA"/>
          <w:color w:val="111111"/>
          <w:sz w:val="28"/>
          <w:szCs w:val="28"/>
          <w:rtl/>
        </w:rPr>
        <w:t xml:space="preserve">،عباسعلي، 1218 - 1281 ه-</w:t>
      </w:r>
    </w:p>
    <w:p>
      <w:pPr>
        <w:pStyle w:val="BookText"/>
      </w:pPr>
      <w:r>
        <w:rPr>
          <w:rFonts w:ascii="Amiri" w:hAnsi="Amiri" w:eastAsia="Amiri" w:cs="Amiri"/>
          <w:lang w:bidi="ar-SA"/>
          <w:color w:val="111111"/>
          <w:sz w:val="28"/>
          <w:szCs w:val="28"/>
          <w:rtl/>
        </w:rPr>
        <w:t xml:space="preserve">1 .الامر بالمعروف والنهي عن المنكر</w:t>
      </w:r>
    </w:p>
    <w:p>
      <w:pPr>
        <w:pStyle w:val="BookText"/>
      </w:pPr>
      <w:r>
        <w:rPr>
          <w:rFonts w:ascii="IRNazanin" w:hAnsi="IRNazanin" w:eastAsia="IRNazanin" w:cs="IRNazanin"/>
          <w:lang w:bidi="fa-IR"/>
          <w:color w:val="111111"/>
          <w:sz w:val="28"/>
          <w:szCs w:val="28"/>
          <w:rtl/>
        </w:rPr>
        <w:t xml:space="preserve">ج 2، ص 762.</w:t>
      </w:r>
    </w:p>
    <w:p>
      <w:pPr>
        <w:pStyle w:val="BookText"/>
      </w:pPr>
      <w:r>
        <w:rPr>
          <w:rFonts w:ascii="Amiri" w:hAnsi="Amiri" w:eastAsia="Amiri" w:cs="Amiri"/>
          <w:lang w:bidi="ar-SA"/>
          <w:color w:val="111111"/>
          <w:sz w:val="28"/>
          <w:szCs w:val="28"/>
          <w:rtl/>
        </w:rPr>
        <w:t xml:space="preserve">2 .بيع الحيوان، ج 3، ص 507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النتيجة البديعة في فروع علم الشريعة ، ج 16، ص 135.</w:t>
      </w:r>
    </w:p>
    <w:p>
      <w:pPr>
        <w:pStyle w:val="Heading2"/>
      </w:pPr>
      <w:bookmarkStart w:id="6610" w:name="_Toc5712"/>
      <w:r>
        <w:t>قزويني حائري ، ميرزا آقا قرن 13 ه-</w:t>
      </w:r>
      <w:bookmarkEnd w:id="6610"/>
    </w:p>
    <w:p>
      <w:pPr>
        <w:pStyle w:val="BookText"/>
      </w:pPr>
      <w:r>
        <w:rPr>
          <w:rFonts w:ascii="Amiri" w:hAnsi="Amiri" w:eastAsia="Amiri" w:cs="Amiri"/>
          <w:lang w:bidi="ar-SA"/>
          <w:color w:val="111111"/>
          <w:sz w:val="28"/>
          <w:szCs w:val="28"/>
          <w:rtl/>
        </w:rPr>
        <w:t xml:space="preserve">المواهب العلية في شرح اللمعة</w:t>
      </w:r>
    </w:p>
    <w:p>
      <w:pPr>
        <w:pStyle w:val="BookText"/>
      </w:pPr>
      <w:r>
        <w:rPr>
          <w:rFonts w:ascii="Amiri" w:hAnsi="Amiri" w:eastAsia="Amiri" w:cs="Amiri"/>
          <w:lang w:bidi="ar-SA"/>
          <w:color w:val="111111"/>
          <w:sz w:val="28"/>
          <w:szCs w:val="28"/>
          <w:rtl/>
        </w:rPr>
        <w:t xml:space="preserve">الدمشقية، ج 15، ص893.</w:t>
      </w:r>
    </w:p>
    <w:p>
      <w:pPr>
        <w:pStyle w:val="Heading2"/>
      </w:pPr>
      <w:bookmarkStart w:id="6611" w:name="_Toc5713"/>
      <w:r>
        <w:t>قزويني ، حاج بابا بن محمّد اسماعیل</w:t>
      </w:r>
      <w:bookmarkEnd w:id="6611"/>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محضر الشهود في رد اليهود، ج 14،</w:t>
      </w:r>
    </w:p>
    <w:p>
      <w:pPr>
        <w:pStyle w:val="BookText"/>
      </w:pPr>
      <w:r>
        <w:rPr>
          <w:rFonts w:ascii="IRNazanin" w:hAnsi="IRNazanin" w:eastAsia="IRNazanin" w:cs="IRNazanin"/>
          <w:lang w:bidi="fa-IR"/>
          <w:color w:val="111111"/>
          <w:sz w:val="28"/>
          <w:szCs w:val="28"/>
          <w:rtl/>
        </w:rPr>
        <w:t xml:space="preserve">ص 128 .</w:t>
      </w:r>
    </w:p>
    <w:p>
      <w:pPr>
        <w:pStyle w:val="BookText"/>
      </w:pPr>
      <w:r>
        <w:rPr>
          <w:rFonts w:ascii="Amiri" w:hAnsi="Amiri" w:eastAsia="Amiri" w:cs="Amiri"/>
          <w:lang w:bidi="ar-SA"/>
          <w:color w:val="111111"/>
          <w:sz w:val="28"/>
          <w:szCs w:val="28"/>
          <w:rtl/>
        </w:rPr>
        <w:t xml:space="preserve">قزويني حربي ، علي بن عمر- ابن قزويني</w:t>
      </w:r>
    </w:p>
    <w:p>
      <w:pPr>
        <w:pStyle w:val="BookText"/>
      </w:pPr>
      <w:r>
        <w:rPr>
          <w:rFonts w:ascii="Amiri" w:hAnsi="Amiri" w:eastAsia="Amiri" w:cs="Amiri"/>
          <w:lang w:bidi="ar-SA"/>
          <w:color w:val="111111"/>
          <w:sz w:val="28"/>
          <w:szCs w:val="28"/>
          <w:rtl/>
        </w:rPr>
        <w:t xml:space="preserve">، علي بن عمر</w:t>
      </w:r>
    </w:p>
    <w:p>
      <w:pPr>
        <w:pStyle w:val="Heading2"/>
      </w:pPr>
      <w:bookmarkStart w:id="6612" w:name="_Toc5714"/>
      <w:r>
        <w:t>قزويني ، حسين بن احمد قرن 4 ه-</w:t>
      </w:r>
      <w:bookmarkEnd w:id="6612"/>
    </w:p>
    <w:p>
      <w:pPr>
        <w:pStyle w:val="BookText"/>
      </w:pPr>
      <w:r>
        <w:rPr>
          <w:rFonts w:ascii="Amiri" w:hAnsi="Amiri" w:eastAsia="Amiri" w:cs="Amiri"/>
          <w:lang w:bidi="ar-SA"/>
          <w:color w:val="111111"/>
          <w:sz w:val="28"/>
          <w:szCs w:val="28"/>
          <w:rtl/>
        </w:rPr>
        <w:t xml:space="preserve">الفوائد المنتخبة، ج 12، ص 275.</w:t>
      </w:r>
    </w:p>
    <w:p>
      <w:pPr>
        <w:pStyle w:val="Heading2"/>
      </w:pPr>
      <w:bookmarkStart w:id="6613" w:name="_Toc5715"/>
      <w:r>
        <w:t>قزويني ، حسین بن محمد ابراهيم</w:t>
      </w:r>
      <w:bookmarkEnd w:id="6613"/>
    </w:p>
    <w:p>
      <w:pPr>
        <w:pStyle w:val="BookText"/>
      </w:pPr>
      <w:r>
        <w:rPr>
          <w:rFonts w:ascii="IRNazanin" w:hAnsi="IRNazanin" w:eastAsia="IRNazanin" w:cs="IRNazanin"/>
          <w:lang w:bidi="fa-IR"/>
          <w:color w:val="111111"/>
          <w:sz w:val="28"/>
          <w:szCs w:val="28"/>
          <w:rtl/>
        </w:rPr>
        <w:t xml:space="preserve">1126 - 1208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آداب الحج و العمرة، ج 1، ص 35 .</w:t>
      </w:r>
    </w:p>
    <w:p>
      <w:pPr>
        <w:pStyle w:val="BookText"/>
      </w:pPr>
      <w:r>
        <w:rPr>
          <w:rFonts w:ascii="Amiri" w:hAnsi="Amiri" w:eastAsia="Amiri" w:cs="Amiri"/>
          <w:lang w:bidi="ar-SA"/>
          <w:color w:val="111111"/>
          <w:sz w:val="28"/>
          <w:szCs w:val="28"/>
          <w:rtl/>
        </w:rPr>
        <w:t xml:space="preserve">2 .اجازة للسيد بحر العلوم جا</w:t>
      </w:r>
    </w:p>
    <w:p>
      <w:pPr>
        <w:pStyle w:val="BookText"/>
      </w:pPr>
      <w:r>
        <w:rPr>
          <w:rFonts w:ascii="IRNazanin" w:hAnsi="IRNazanin" w:eastAsia="IRNazanin" w:cs="IRNazanin"/>
          <w:lang w:bidi="fa-IR"/>
          <w:color w:val="111111"/>
          <w:sz w:val="28"/>
          <w:szCs w:val="28"/>
          <w:rtl/>
        </w:rPr>
        <w:t xml:space="preserve">ص 248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اخلاق = سیر و سلوك، ج 1، ص 570.</w:t>
      </w:r>
    </w:p>
    <w:p>
      <w:pPr>
        <w:pStyle w:val="BookText"/>
      </w:pPr>
      <w:r>
        <w:rPr>
          <w:rFonts w:ascii="Amiri" w:hAnsi="Amiri" w:eastAsia="Amiri" w:cs="Amiri"/>
          <w:lang w:bidi="ar-SA"/>
          <w:color w:val="111111"/>
          <w:sz w:val="28"/>
          <w:szCs w:val="28"/>
          <w:rtl/>
        </w:rPr>
        <w:t xml:space="preserve">4 .الارث (رسالة في)، ج 1، ص 751.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اصل العدالة (رساله في)، ج2،</w:t>
      </w:r>
    </w:p>
    <w:p>
      <w:pPr>
        <w:pStyle w:val="BookText"/>
      </w:pPr>
      <w:r>
        <w:rPr>
          <w:rFonts w:ascii="IRNazanin" w:hAnsi="IRNazanin" w:eastAsia="IRNazanin" w:cs="IRNazanin"/>
          <w:lang w:bidi="fa-IR"/>
          <w:color w:val="111111"/>
          <w:sz w:val="28"/>
          <w:szCs w:val="28"/>
          <w:rtl/>
        </w:rPr>
        <w:t xml:space="preserve">ص 395.</w:t>
      </w:r>
    </w:p>
    <w:p>
      <w:pPr>
        <w:pStyle w:val="BookText"/>
      </w:pPr>
      <w:r>
        <w:rPr>
          <w:rFonts w:ascii="Amiri" w:hAnsi="Amiri" w:eastAsia="Amiri" w:cs="Amiri"/>
          <w:lang w:bidi="ar-SA"/>
          <w:color w:val="111111"/>
          <w:sz w:val="28"/>
          <w:szCs w:val="28"/>
          <w:rtl/>
        </w:rPr>
        <w:t xml:space="preserve">6 .اصول الدين (رسالة في)، ج2،</w:t>
      </w:r>
    </w:p>
    <w:p>
      <w:pPr>
        <w:pStyle w:val="BookText"/>
      </w:pPr>
      <w:r>
        <w:rPr>
          <w:rFonts w:ascii="IRNazanin" w:hAnsi="IRNazanin" w:eastAsia="IRNazanin" w:cs="IRNazanin"/>
          <w:lang w:bidi="fa-IR"/>
          <w:color w:val="111111"/>
          <w:sz w:val="28"/>
          <w:szCs w:val="28"/>
          <w:rtl/>
        </w:rPr>
        <w:t xml:space="preserve">ص 414.</w:t>
      </w:r>
    </w:p>
    <w:p>
      <w:pPr>
        <w:pStyle w:val="BookText"/>
      </w:pPr>
      <w:r>
        <w:rPr>
          <w:rFonts w:ascii="Amiri" w:hAnsi="Amiri" w:eastAsia="Amiri" w:cs="Amiri"/>
          <w:lang w:bidi="ar-SA"/>
          <w:color w:val="111111"/>
          <w:sz w:val="28"/>
          <w:szCs w:val="28"/>
          <w:rtl/>
        </w:rPr>
        <w:t xml:space="preserve">7 .بغية الأبرار = غنية الابرار في آداب</w:t>
      </w:r>
    </w:p>
    <w:p>
      <w:pPr>
        <w:pStyle w:val="BookText"/>
      </w:pPr>
      <w:r>
        <w:rPr>
          <w:rFonts w:ascii="IRNazanin" w:hAnsi="IRNazanin" w:eastAsia="IRNazanin" w:cs="IRNazanin"/>
          <w:lang w:bidi="fa-IR"/>
          <w:color w:val="111111"/>
          <w:sz w:val="28"/>
          <w:szCs w:val="28"/>
          <w:rtl/>
        </w:rPr>
        <w:t xml:space="preserve">التجار، ج 3، ص 360.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878" w:name="pg7742_71038"/>
    <w:bookmarkEnd w:id="878"/>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تحقيق الجمعة (رسالة في)، ج4،</w:t>
      </w:r>
    </w:p>
    <w:p>
      <w:pPr>
        <w:pStyle w:val="BookText"/>
      </w:pPr>
      <w:r>
        <w:rPr>
          <w:rFonts w:ascii="IRNazanin" w:hAnsi="IRNazanin" w:eastAsia="IRNazanin" w:cs="IRNazanin"/>
          <w:lang w:bidi="fa-IR"/>
          <w:color w:val="111111"/>
          <w:sz w:val="28"/>
          <w:szCs w:val="28"/>
          <w:rtl/>
        </w:rPr>
        <w:t xml:space="preserve">ص 54.</w:t>
      </w:r>
    </w:p>
    <w:p>
      <w:pPr>
        <w:pStyle w:val="BookText"/>
      </w:pPr>
      <w:r>
        <w:rPr>
          <w:rFonts w:ascii="Amiri" w:hAnsi="Amiri" w:eastAsia="Amiri" w:cs="Amiri"/>
          <w:lang w:bidi="ar-SA"/>
          <w:color w:val="111111"/>
          <w:sz w:val="28"/>
          <w:szCs w:val="28"/>
          <w:rtl/>
        </w:rPr>
        <w:t xml:space="preserve">9 .تذكرة العقول في علم الاصول، ج 4،</w:t>
      </w:r>
    </w:p>
    <w:p>
      <w:pPr>
        <w:pStyle w:val="BookText"/>
      </w:pPr>
      <w:r>
        <w:rPr>
          <w:rFonts w:ascii="IRNazanin" w:hAnsi="IRNazanin" w:eastAsia="IRNazanin" w:cs="IRNazanin"/>
          <w:lang w:bidi="fa-IR"/>
          <w:color w:val="111111"/>
          <w:sz w:val="28"/>
          <w:szCs w:val="28"/>
          <w:rtl/>
        </w:rPr>
        <w:t xml:space="preserve">ص 196.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حد الكراهة المعتبرة في الخلع، ج6،</w:t>
      </w:r>
    </w:p>
    <w:p>
      <w:pPr>
        <w:pStyle w:val="BookText"/>
      </w:pPr>
      <w:r>
        <w:rPr>
          <w:rFonts w:ascii="IRNazanin" w:hAnsi="IRNazanin" w:eastAsia="IRNazanin" w:cs="IRNazanin"/>
          <w:lang w:bidi="fa-IR"/>
          <w:color w:val="111111"/>
          <w:sz w:val="28"/>
          <w:szCs w:val="28"/>
          <w:rtl/>
        </w:rPr>
        <w:t xml:space="preserve">ص 542.</w:t>
      </w:r>
    </w:p>
    <w:p>
      <w:pPr>
        <w:pStyle w:val="BookText"/>
      </w:pPr>
      <w:r>
        <w:rPr>
          <w:rFonts w:ascii="Amiri" w:hAnsi="Amiri" w:eastAsia="Amiri" w:cs="Amiri"/>
          <w:lang w:bidi="ar-SA"/>
          <w:color w:val="111111"/>
          <w:sz w:val="28"/>
          <w:szCs w:val="28"/>
          <w:rtl/>
        </w:rPr>
        <w:t xml:space="preserve">11 .الحدوث و القدم (رسالة في)، ج 6،</w:t>
      </w:r>
    </w:p>
    <w:p>
      <w:pPr>
        <w:pStyle w:val="BookText"/>
      </w:pPr>
      <w:r>
        <w:rPr>
          <w:rFonts w:ascii="IRNazanin" w:hAnsi="IRNazanin" w:eastAsia="IRNazanin" w:cs="IRNazanin"/>
          <w:lang w:bidi="fa-IR"/>
          <w:color w:val="111111"/>
          <w:sz w:val="28"/>
          <w:szCs w:val="28"/>
          <w:rtl/>
        </w:rPr>
        <w:t xml:space="preserve">ص 546.</w:t>
      </w:r>
    </w:p>
    <w:p>
      <w:pPr>
        <w:pStyle w:val="BookText"/>
      </w:pPr>
      <w:r>
        <w:rPr>
          <w:rFonts w:ascii="Amiri" w:hAnsi="Amiri" w:eastAsia="Amiri" w:cs="Amiri"/>
          <w:lang w:bidi="ar-SA"/>
          <w:color w:val="111111"/>
          <w:sz w:val="28"/>
          <w:szCs w:val="28"/>
          <w:rtl/>
        </w:rPr>
        <w:t xml:space="preserve">12 .حرمة اخت المأتي و امه و ابنته</w:t>
      </w:r>
    </w:p>
    <w:p>
      <w:pPr>
        <w:pStyle w:val="BookText"/>
      </w:pPr>
      <w:r>
        <w:rPr>
          <w:rFonts w:ascii="Amiri" w:hAnsi="Amiri" w:eastAsia="Amiri" w:cs="Amiri"/>
          <w:lang w:bidi="ar-SA"/>
          <w:color w:val="111111"/>
          <w:sz w:val="28"/>
          <w:szCs w:val="28"/>
          <w:rtl/>
        </w:rPr>
        <w:t xml:space="preserve">(رسالة في)، ج 6، ص 619.</w:t>
      </w:r>
    </w:p>
    <w:p>
      <w:pPr>
        <w:pStyle w:val="BookText"/>
      </w:pPr>
      <w:r>
        <w:rPr>
          <w:rFonts w:ascii="Amiri" w:hAnsi="Amiri" w:eastAsia="Amiri" w:cs="Amiri"/>
          <w:lang w:bidi="ar-SA"/>
          <w:color w:val="111111"/>
          <w:sz w:val="28"/>
          <w:szCs w:val="28"/>
          <w:rtl/>
        </w:rPr>
        <w:t xml:space="preserve">13 .حقيقة الجن و الشياطين، ج 6،</w:t>
      </w:r>
    </w:p>
    <w:p>
      <w:pPr>
        <w:pStyle w:val="BookText"/>
      </w:pPr>
      <w:r>
        <w:rPr>
          <w:rFonts w:ascii="IRNazanin" w:hAnsi="IRNazanin" w:eastAsia="IRNazanin" w:cs="IRNazanin"/>
          <w:lang w:bidi="fa-IR"/>
          <w:color w:val="111111"/>
          <w:sz w:val="28"/>
          <w:szCs w:val="28"/>
          <w:rtl/>
        </w:rPr>
        <w:t xml:space="preserve">ص 708.</w:t>
      </w:r>
    </w:p>
    <w:p>
      <w:pPr>
        <w:pStyle w:val="BookText"/>
      </w:pPr>
      <w:r>
        <w:rPr>
          <w:rFonts w:ascii="Amiri" w:hAnsi="Amiri" w:eastAsia="Amiri" w:cs="Amiri"/>
          <w:lang w:bidi="ar-SA"/>
          <w:color w:val="111111"/>
          <w:sz w:val="28"/>
          <w:szCs w:val="28"/>
          <w:rtl/>
        </w:rPr>
        <w:t xml:space="preserve">14 .خيار المرأة في الفراق بترك زوجها</w:t>
      </w:r>
    </w:p>
    <w:p>
      <w:pPr>
        <w:pStyle w:val="BookText"/>
      </w:pPr>
      <w:r>
        <w:rPr>
          <w:rFonts w:ascii="Amiri" w:hAnsi="Amiri" w:eastAsia="Amiri" w:cs="Amiri"/>
          <w:lang w:bidi="ar-SA"/>
          <w:color w:val="111111"/>
          <w:sz w:val="28"/>
          <w:szCs w:val="28"/>
          <w:rtl/>
        </w:rPr>
        <w:t xml:space="preserve">(رسالة في)، ج 7، ص188.</w:t>
      </w:r>
    </w:p>
    <w:p>
      <w:pPr>
        <w:pStyle w:val="BookText"/>
      </w:pPr>
      <w:r>
        <w:rPr>
          <w:rFonts w:ascii="Amiri" w:hAnsi="Amiri" w:eastAsia="Amiri" w:cs="Amiri"/>
          <w:lang w:bidi="ar-SA"/>
          <w:color w:val="111111"/>
          <w:sz w:val="28"/>
          <w:szCs w:val="28"/>
          <w:rtl/>
        </w:rPr>
        <w:t xml:space="preserve">15 . عدم حجب الأبوين للاحفاد من الميراث (رسالة في)، ج 11، ص 67.</w:t>
      </w:r>
    </w:p>
    <w:p>
      <w:pPr>
        <w:pStyle w:val="BookText"/>
      </w:pPr>
      <w:r>
        <w:rPr>
          <w:rFonts w:ascii="Amiri" w:hAnsi="Amiri" w:eastAsia="Amiri" w:cs="Amiri"/>
          <w:lang w:bidi="ar-SA"/>
          <w:color w:val="111111"/>
          <w:sz w:val="28"/>
          <w:szCs w:val="28"/>
          <w:rtl/>
        </w:rPr>
        <w:t xml:space="preserve">16 .لباس المصلي( رسالة في)، ج 13،</w:t>
      </w:r>
    </w:p>
    <w:p>
      <w:pPr>
        <w:pStyle w:val="BookText"/>
      </w:pPr>
      <w:r>
        <w:rPr>
          <w:rFonts w:ascii="IRNazanin" w:hAnsi="IRNazanin" w:eastAsia="IRNazanin" w:cs="IRNazanin"/>
          <w:lang w:bidi="fa-IR"/>
          <w:color w:val="111111"/>
          <w:sz w:val="28"/>
          <w:szCs w:val="28"/>
          <w:rtl/>
        </w:rPr>
        <w:t xml:space="preserve">ص 553.</w:t>
      </w:r>
    </w:p>
    <w:p>
      <w:pPr>
        <w:pStyle w:val="BookText"/>
      </w:pPr>
      <w:r>
        <w:rPr>
          <w:rFonts w:ascii="Amiri" w:hAnsi="Amiri" w:eastAsia="Amiri" w:cs="Amiri"/>
          <w:lang w:bidi="ar-SA"/>
          <w:color w:val="111111"/>
          <w:sz w:val="28"/>
          <w:szCs w:val="28"/>
          <w:rtl/>
        </w:rPr>
        <w:t xml:space="preserve">17 .مستقصي الاجتهاد في شرح ذخيرة</w:t>
      </w:r>
    </w:p>
    <w:p>
      <w:pPr>
        <w:pStyle w:val="BookText"/>
      </w:pPr>
      <w:r>
        <w:rPr>
          <w:rFonts w:ascii="IRNazanin" w:hAnsi="IRNazanin" w:eastAsia="IRNazanin" w:cs="IRNazanin"/>
          <w:lang w:bidi="fa-IR"/>
          <w:color w:val="111111"/>
          <w:sz w:val="28"/>
          <w:szCs w:val="28"/>
          <w:rtl/>
        </w:rPr>
        <w:t xml:space="preserve">المعاد، ج 14، ص 563.</w:t>
      </w:r>
    </w:p>
    <w:p>
      <w:pPr>
        <w:pStyle w:val="BookText"/>
      </w:pPr>
      <w:r>
        <w:rPr>
          <w:rFonts w:ascii="Amiri" w:hAnsi="Amiri" w:eastAsia="Amiri" w:cs="Amiri"/>
          <w:lang w:bidi="ar-SA"/>
          <w:color w:val="111111"/>
          <w:sz w:val="28"/>
          <w:szCs w:val="28"/>
          <w:rtl/>
        </w:rPr>
        <w:t xml:space="preserve">18 .معارج الاحكام في شرح شرايع الاسلام و مسالك الافهام، ج 14، ص 834.</w:t>
      </w:r>
    </w:p>
    <w:p>
      <w:pPr>
        <w:pStyle w:val="BookText"/>
      </w:pPr>
      <w:r>
        <w:rPr>
          <w:rFonts w:ascii="Amiri" w:hAnsi="Amiri" w:eastAsia="Amiri" w:cs="Amiri"/>
          <w:lang w:bidi="ar-SA"/>
          <w:color w:val="111111"/>
          <w:sz w:val="28"/>
          <w:szCs w:val="28"/>
          <w:rtl/>
        </w:rPr>
        <w:t xml:space="preserve">19 . نكاح الصغيره لغرض محرمية امها</w:t>
      </w:r>
    </w:p>
    <w:p>
      <w:pPr>
        <w:pStyle w:val="BookText"/>
      </w:pPr>
      <w:r>
        <w:rPr>
          <w:rFonts w:ascii="IRNazanin" w:hAnsi="IRNazanin" w:eastAsia="IRNazanin" w:cs="IRNazanin"/>
          <w:lang w:bidi="fa-IR"/>
          <w:color w:val="111111"/>
          <w:sz w:val="28"/>
          <w:szCs w:val="28"/>
          <w:rtl/>
        </w:rPr>
        <w:t xml:space="preserve">ج 16، ص 458.</w:t>
      </w:r>
    </w:p>
    <w:p>
      <w:pPr>
        <w:pStyle w:val="Heading2"/>
      </w:pPr>
      <w:bookmarkStart w:id="6614" w:name="_Toc5716"/>
      <w:r>
        <w:t>قزويني خليل بن غازي، 1001-1089ه-</w:t>
      </w:r>
      <w:bookmarkEnd w:id="66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ابطال القول (رسالة في)، ج1،</w:t>
      </w:r>
    </w:p>
    <w:p>
      <w:pPr>
        <w:pStyle w:val="BookText"/>
      </w:pPr>
      <w:r>
        <w:rPr>
          <w:rFonts w:ascii="IRNazanin" w:hAnsi="IRNazanin" w:eastAsia="IRNazanin" w:cs="IRNazanin"/>
          <w:lang w:bidi="fa-IR"/>
          <w:color w:val="111111"/>
          <w:sz w:val="28"/>
          <w:szCs w:val="28"/>
          <w:rtl/>
        </w:rPr>
        <w:t xml:space="preserve">ص 103.</w:t>
      </w:r>
    </w:p>
    <w:p>
      <w:pPr>
        <w:pStyle w:val="BookText"/>
      </w:pPr>
      <w:r>
        <w:rPr>
          <w:rFonts w:ascii="Amiri" w:hAnsi="Amiri" w:eastAsia="Amiri" w:cs="Amiri"/>
          <w:lang w:bidi="ar-SA"/>
          <w:color w:val="111111"/>
          <w:sz w:val="28"/>
          <w:szCs w:val="28"/>
          <w:rtl/>
        </w:rPr>
        <w:t xml:space="preserve">2 .حاشية عدة الاصول - تعليقات على</w:t>
      </w:r>
    </w:p>
    <w:p>
      <w:pPr>
        <w:pStyle w:val="BookText"/>
      </w:pPr>
      <w:r>
        <w:rPr>
          <w:rFonts w:ascii="Amiri" w:hAnsi="Amiri" w:eastAsia="Amiri" w:cs="Amiri"/>
          <w:lang w:bidi="ar-SA"/>
          <w:color w:val="111111"/>
          <w:sz w:val="28"/>
          <w:szCs w:val="28"/>
          <w:rtl/>
        </w:rPr>
        <w:t xml:space="preserve">عدة الاصول = شرح عدة الاصول</w:t>
      </w:r>
    </w:p>
    <w:p>
      <w:pPr>
        <w:pStyle w:val="BookText"/>
      </w:pPr>
      <w:r>
        <w:rPr>
          <w:rFonts w:ascii="IRNazanin" w:hAnsi="IRNazanin" w:eastAsia="IRNazanin" w:cs="IRNazanin"/>
          <w:lang w:bidi="fa-IR"/>
          <w:color w:val="111111"/>
          <w:sz w:val="28"/>
          <w:szCs w:val="28"/>
          <w:rtl/>
        </w:rPr>
        <w:t xml:space="preserve">ج 6، ص 227.</w:t>
      </w:r>
    </w:p>
    <w:p>
      <w:pPr>
        <w:pStyle w:val="BookText"/>
      </w:pPr>
      <w:r>
        <w:rPr>
          <w:rFonts w:ascii="Amiri" w:hAnsi="Amiri" w:eastAsia="Amiri" w:cs="Amiri"/>
          <w:lang w:bidi="ar-SA"/>
          <w:color w:val="111111"/>
          <w:sz w:val="28"/>
          <w:szCs w:val="28"/>
          <w:rtl/>
        </w:rPr>
        <w:t xml:space="preserve">3 .زبدة العقائد الخليلية، ج 8، ص 581.</w:t>
      </w:r>
    </w:p>
    <w:p>
      <w:pPr>
        <w:pStyle w:val="BookText"/>
      </w:pPr>
      <w:r>
        <w:rPr>
          <w:rFonts w:ascii="Amiri" w:hAnsi="Amiri" w:eastAsia="Amiri" w:cs="Amiri"/>
          <w:lang w:bidi="ar-SA"/>
          <w:color w:val="111111"/>
          <w:sz w:val="28"/>
          <w:szCs w:val="28"/>
          <w:rtl/>
        </w:rPr>
        <w:t xml:space="preserve">قزويني اصفهاني - قزويني ، عبدالغفار 947</w:t>
      </w:r>
    </w:p>
    <w:p>
      <w:pPr>
        <w:pStyle w:val="BookText"/>
      </w:pPr>
      <w:r>
        <w:rPr>
          <w:rFonts w:ascii="Amiri" w:hAnsi="Amiri" w:eastAsia="Amiri" w:cs="Amiri"/>
          <w:lang w:bidi="ar-SA"/>
          <w:color w:val="111111"/>
          <w:sz w:val="28"/>
          <w:szCs w:val="28"/>
          <w:rtl/>
        </w:rPr>
        <w:t xml:space="preserve">4 .الشافي في شرح الكافي = شرح اصول</w:t>
      </w:r>
    </w:p>
    <w:p>
      <w:pPr>
        <w:pStyle w:val="BookText"/>
      </w:pPr>
      <w:r>
        <w:rPr>
          <w:rFonts w:ascii="Amiri" w:hAnsi="Amiri" w:eastAsia="Amiri" w:cs="Amiri"/>
          <w:lang w:bidi="ar-SA"/>
          <w:color w:val="111111"/>
          <w:sz w:val="28"/>
          <w:szCs w:val="28"/>
          <w:rtl/>
        </w:rPr>
        <w:t xml:space="preserve">الكافي، ج 9، ص 65.</w:t>
      </w:r>
    </w:p>
    <w:p>
      <w:pPr>
        <w:pStyle w:val="BookText"/>
      </w:pPr>
      <w:r>
        <w:rPr>
          <w:rFonts w:ascii="Amiri" w:hAnsi="Amiri" w:eastAsia="Amiri" w:cs="Amiri"/>
          <w:lang w:bidi="ar-SA"/>
          <w:color w:val="111111"/>
          <w:sz w:val="28"/>
          <w:szCs w:val="28"/>
          <w:rtl/>
        </w:rPr>
        <w:t xml:space="preserve">5 .الصافي في شرح الكافي = شرح كافي</w:t>
      </w:r>
    </w:p>
    <w:p>
      <w:pPr>
        <w:pStyle w:val="BookText"/>
      </w:pPr>
      <w:r>
        <w:rPr>
          <w:rFonts w:ascii="IRNazanin" w:hAnsi="IRNazanin" w:eastAsia="IRNazanin" w:cs="IRNazanin"/>
          <w:lang w:bidi="fa-IR"/>
          <w:color w:val="111111"/>
          <w:sz w:val="28"/>
          <w:szCs w:val="28"/>
          <w:rtl/>
        </w:rPr>
        <w:t xml:space="preserve">ج 10، ص 478.</w:t>
      </w:r>
    </w:p>
    <w:p>
      <w:pPr>
        <w:pStyle w:val="Heading2"/>
      </w:pPr>
      <w:bookmarkStart w:id="6615" w:name="_Toc5717"/>
      <w:r>
        <w:t>قزويني خوئيني ، ملاعلي - 1318 ه-</w:t>
      </w:r>
      <w:bookmarkEnd w:id="6615"/>
    </w:p>
    <w:p>
      <w:pPr>
        <w:pStyle w:val="BookText"/>
      </w:pPr>
      <w:r>
        <w:rPr>
          <w:rFonts w:ascii="IRNazanin" w:hAnsi="IRNazanin" w:eastAsia="IRNazanin" w:cs="IRNazanin"/>
          <w:lang w:bidi="fa-IR"/>
          <w:color w:val="111111"/>
          <w:sz w:val="28"/>
          <w:szCs w:val="28"/>
          <w:rtl/>
        </w:rPr>
        <w:t xml:space="preserve">درر الفرائد، ج 7، ص 304.</w:t>
      </w:r>
    </w:p>
    <w:p>
      <w:pPr>
        <w:pStyle w:val="Heading2"/>
      </w:pPr>
      <w:bookmarkStart w:id="6616" w:name="_Toc5718"/>
      <w:r>
        <w:t>قزويني ، راضي بن صالح - 1385 ه-</w:t>
      </w:r>
      <w:bookmarkEnd w:id="6616"/>
    </w:p>
    <w:p>
      <w:pPr>
        <w:pStyle w:val="BookText"/>
      </w:pPr>
      <w:r>
        <w:rPr>
          <w:rFonts w:ascii="Amiri" w:hAnsi="Amiri" w:eastAsia="Amiri" w:cs="Amiri"/>
          <w:lang w:bidi="ar-SA"/>
          <w:color w:val="111111"/>
          <w:sz w:val="28"/>
          <w:szCs w:val="28"/>
          <w:rtl/>
        </w:rPr>
        <w:t xml:space="preserve">1 .تخميس، ج4، ص103</w:t>
      </w:r>
    </w:p>
    <w:p>
      <w:pPr>
        <w:pStyle w:val="BookText"/>
      </w:pPr>
      <w:r>
        <w:rPr>
          <w:rFonts w:ascii="Amiri" w:hAnsi="Amiri" w:eastAsia="Amiri" w:cs="Amiri"/>
          <w:lang w:bidi="ar-SA"/>
          <w:color w:val="111111"/>
          <w:sz w:val="28"/>
          <w:szCs w:val="28"/>
          <w:rtl/>
        </w:rPr>
        <w:t xml:space="preserve">2 .ديوان القزويني، ج7، ص737.</w:t>
      </w:r>
    </w:p>
    <w:p>
      <w:pPr>
        <w:pStyle w:val="Heading2"/>
      </w:pPr>
      <w:bookmarkStart w:id="6617" w:name="_Toc5719"/>
      <w:r>
        <w:t>قزويني، زكريا بن محمّد، 2605-682ه-</w:t>
      </w:r>
      <w:bookmarkEnd w:id="6617"/>
    </w:p>
    <w:p>
      <w:pPr>
        <w:pStyle w:val="BookText"/>
      </w:pPr>
      <w:r>
        <w:rPr>
          <w:rFonts w:ascii="IRNazanin" w:hAnsi="IRNazanin" w:eastAsia="IRNazanin" w:cs="IRNazanin"/>
          <w:lang w:bidi="fa-IR"/>
          <w:color w:val="111111"/>
          <w:sz w:val="28"/>
          <w:szCs w:val="28"/>
          <w:rtl/>
        </w:rPr>
        <w:t xml:space="preserve">عجائب المخلوقات و غرایب الموجودات، ج 11، ص 36.</w:t>
      </w:r>
    </w:p>
    <w:p>
      <w:pPr>
        <w:pStyle w:val="Heading2"/>
      </w:pPr>
      <w:bookmarkStart w:id="6618" w:name="_Toc5720"/>
      <w:r>
        <w:t>قزويني ، سيّد حسين</w:t>
      </w:r>
      <w:bookmarkEnd w:id="6618"/>
    </w:p>
    <w:p>
      <w:pPr>
        <w:pStyle w:val="BookText"/>
      </w:pPr>
      <w:r>
        <w:rPr>
          <w:rFonts w:ascii="Amiri" w:hAnsi="Amiri" w:eastAsia="Amiri" w:cs="Amiri"/>
          <w:lang w:bidi="ar-SA"/>
          <w:color w:val="111111"/>
          <w:sz w:val="28"/>
          <w:szCs w:val="28"/>
          <w:rtl/>
        </w:rPr>
        <w:t xml:space="preserve">ديوان السيّد حسين القزويني، ج7،</w:t>
      </w:r>
    </w:p>
    <w:p>
      <w:pPr>
        <w:pStyle w:val="BookText"/>
      </w:pPr>
      <w:r>
        <w:rPr>
          <w:rFonts w:ascii="IRNazanin" w:hAnsi="IRNazanin" w:eastAsia="IRNazanin" w:cs="IRNazanin"/>
          <w:lang w:bidi="fa-IR"/>
          <w:color w:val="111111"/>
          <w:sz w:val="28"/>
          <w:szCs w:val="28"/>
          <w:rtl/>
        </w:rPr>
        <w:t xml:space="preserve">ص 659 .</w:t>
      </w:r>
    </w:p>
    <w:p>
      <w:pPr>
        <w:pStyle w:val="BookText"/>
      </w:pPr>
      <w:r>
        <w:rPr>
          <w:rFonts w:ascii="Amiri" w:hAnsi="Amiri" w:eastAsia="Amiri" w:cs="Amiri"/>
          <w:lang w:bidi="ar-SA"/>
          <w:color w:val="111111"/>
          <w:sz w:val="28"/>
          <w:szCs w:val="28"/>
          <w:rtl/>
        </w:rPr>
        <w:t xml:space="preserve">قزويني ، شرف الدين فضل الله - شرف</w:t>
      </w:r>
    </w:p>
    <w:p>
      <w:pPr>
        <w:pStyle w:val="BookText"/>
      </w:pPr>
      <w:r>
        <w:rPr>
          <w:rFonts w:ascii="Amiri" w:hAnsi="Amiri" w:eastAsia="Amiri" w:cs="Amiri"/>
          <w:lang w:bidi="ar-SA"/>
          <w:color w:val="111111"/>
          <w:sz w:val="28"/>
          <w:szCs w:val="28"/>
          <w:rtl/>
        </w:rPr>
        <w:t xml:space="preserve">الدين قزويني ، فضل الله بن عبدالله</w:t>
      </w:r>
    </w:p>
    <w:p>
      <w:pPr>
        <w:pStyle w:val="Heading2"/>
      </w:pPr>
      <w:bookmarkStart w:id="6619" w:name="_Toc5721"/>
      <w:r>
        <w:t>قزويني ، طاهر بن احمد - 756 ه-</w:t>
      </w:r>
      <w:bookmarkEnd w:id="6619"/>
    </w:p>
    <w:p>
      <w:pPr>
        <w:pStyle w:val="BookText"/>
      </w:pPr>
      <w:r>
        <w:rPr>
          <w:rFonts w:ascii="Amiri" w:hAnsi="Amiri" w:eastAsia="Amiri" w:cs="Amiri"/>
          <w:lang w:bidi="ar-SA"/>
          <w:color w:val="111111"/>
          <w:sz w:val="28"/>
          <w:szCs w:val="28"/>
          <w:rtl/>
        </w:rPr>
        <w:t xml:space="preserve">سراج العقول في مناهج الاصول، ج8،</w:t>
      </w:r>
    </w:p>
    <w:p>
      <w:pPr>
        <w:pStyle w:val="BookText"/>
      </w:pPr>
      <w:r>
        <w:rPr>
          <w:rFonts w:ascii="IRNazanin" w:hAnsi="IRNazanin" w:eastAsia="IRNazanin" w:cs="IRNazanin"/>
          <w:lang w:bidi="fa-IR"/>
          <w:color w:val="111111"/>
          <w:sz w:val="28"/>
          <w:szCs w:val="28"/>
          <w:rtl/>
        </w:rPr>
        <w:t xml:space="preserve">ص 732.</w:t>
      </w:r>
    </w:p>
    <w:p>
      <w:pPr>
        <w:pStyle w:val="Heading2"/>
      </w:pPr>
      <w:bookmarkStart w:id="6620" w:name="_Toc5722"/>
      <w:r>
        <w:t>قزويني ، عبدالرحمن بن محمود</w:t>
      </w:r>
      <w:bookmarkEnd w:id="6620"/>
    </w:p>
    <w:p>
      <w:pPr>
        <w:pStyle w:val="BookText"/>
      </w:pPr>
      <w:r>
        <w:rPr>
          <w:rFonts w:ascii="Amiri" w:hAnsi="Amiri" w:eastAsia="Amiri" w:cs="Amiri"/>
          <w:lang w:bidi="ar-SA"/>
          <w:color w:val="111111"/>
          <w:sz w:val="28"/>
          <w:szCs w:val="28"/>
          <w:rtl/>
        </w:rPr>
        <w:t xml:space="preserve">مفيد العلوم و مبيد العلوم، ج 15،</w:t>
      </w:r>
    </w:p>
    <w:p>
      <w:pPr>
        <w:pStyle w:val="BookText"/>
      </w:pPr>
      <w:r>
        <w:rPr>
          <w:rFonts w:ascii="IRNazanin" w:hAnsi="IRNazanin" w:eastAsia="IRNazanin" w:cs="IRNazanin"/>
          <w:lang w:bidi="fa-IR"/>
          <w:color w:val="111111"/>
          <w:sz w:val="28"/>
          <w:szCs w:val="28"/>
          <w:rtl/>
        </w:rPr>
        <w:t xml:space="preserve">ص 260.</w:t>
      </w:r>
    </w:p>
    <w:p>
      <w:pPr>
        <w:pStyle w:val="Heading2"/>
      </w:pPr>
      <w:bookmarkStart w:id="6621" w:name="_Toc5723"/>
      <w:r>
        <w:t>قزويني ، عبدالغفار بن عبدالكريم</w:t>
      </w:r>
      <w:bookmarkEnd w:id="6621"/>
    </w:p>
    <w:p>
      <w:pPr>
        <w:pStyle w:val="BookText"/>
      </w:pPr>
      <w:r>
        <w:rPr>
          <w:rFonts w:ascii="IRNazanin" w:hAnsi="IRNazanin" w:eastAsia="IRNazanin" w:cs="IRNazanin"/>
          <w:lang w:bidi="fa-IR"/>
          <w:color w:val="111111"/>
          <w:sz w:val="28"/>
          <w:szCs w:val="28"/>
          <w:rtl/>
        </w:rPr>
        <w:t xml:space="preserve">665 ه-</w:t>
      </w:r>
    </w:p>
    <w:p>
      <w:pPr>
        <w:pStyle w:val="BookText"/>
      </w:pPr>
      <w:r>
        <w:rPr>
          <w:rFonts w:ascii="Amiri" w:hAnsi="Amiri" w:eastAsia="Amiri" w:cs="Amiri"/>
          <w:lang w:bidi="ar-SA"/>
          <w:color w:val="111111"/>
          <w:sz w:val="28"/>
          <w:szCs w:val="28"/>
          <w:rtl/>
        </w:rPr>
        <w:t xml:space="preserve">الحاوي، ج 6، ص 457.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879" w:name="pg7742_71040"/>
    <w:bookmarkEnd w:id="879"/>
    <w:p>
      <w:pPr>
        <w:pStyle w:val="Heading2"/>
      </w:pPr>
      <w:bookmarkStart w:id="6622" w:name="_Toc5724"/>
      <w:r>
        <w:t>قزويني، عبد النبي بن محمّد تقي 1125</w:t>
      </w:r>
      <w:bookmarkEnd w:id="66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1197 ؟ ه-</w:t>
      </w:r>
    </w:p>
    <w:p>
      <w:pPr>
        <w:pStyle w:val="BookText"/>
      </w:pPr>
      <w:r>
        <w:rPr>
          <w:rFonts w:ascii="Amiri" w:hAnsi="Amiri" w:eastAsia="Amiri" w:cs="Amiri"/>
          <w:lang w:bidi="ar-SA"/>
          <w:color w:val="111111"/>
          <w:sz w:val="28"/>
          <w:szCs w:val="28"/>
          <w:rtl/>
        </w:rPr>
        <w:t xml:space="preserve">2 .سفينة النجاة = المقالات - مقالات</w:t>
      </w:r>
    </w:p>
    <w:p>
      <w:pPr>
        <w:pStyle w:val="BookText"/>
      </w:pPr>
      <w:r>
        <w:rPr>
          <w:rFonts w:ascii="IRNazanin" w:hAnsi="IRNazanin" w:eastAsia="IRNazanin" w:cs="IRNazanin"/>
          <w:lang w:bidi="fa-IR"/>
          <w:color w:val="111111"/>
          <w:sz w:val="28"/>
          <w:szCs w:val="28"/>
          <w:rtl/>
        </w:rPr>
        <w:t xml:space="preserve">خمس، ج8، ص783</w:t>
      </w:r>
    </w:p>
    <w:p>
      <w:pPr>
        <w:pStyle w:val="BookText"/>
      </w:pPr>
      <w:r>
        <w:rPr>
          <w:rFonts w:ascii="Amiri" w:hAnsi="Amiri" w:eastAsia="Amiri" w:cs="Amiri"/>
          <w:lang w:bidi="ar-SA"/>
          <w:color w:val="111111"/>
          <w:sz w:val="28"/>
          <w:szCs w:val="28"/>
          <w:rtl/>
        </w:rPr>
        <w:t xml:space="preserve">اجازة للسيد بحر العلوم، ج 1، ص 247.</w:t>
      </w:r>
    </w:p>
    <w:p>
      <w:pPr>
        <w:pStyle w:val="Heading2"/>
      </w:pPr>
      <w:bookmarkStart w:id="6623" w:name="_Toc5725"/>
      <w:r>
        <w:t>قزويني ، عبد الوهاب بن محمّد علي</w:t>
      </w:r>
      <w:bookmarkEnd w:id="6623"/>
    </w:p>
    <w:p>
      <w:pPr>
        <w:pStyle w:val="BookText"/>
      </w:pPr>
      <w:r>
        <w:rPr>
          <w:rFonts w:ascii="IRNazanin" w:hAnsi="IRNazanin" w:eastAsia="IRNazanin" w:cs="IRNazanin"/>
          <w:lang w:bidi="fa-IR"/>
          <w:color w:val="111111"/>
          <w:sz w:val="28"/>
          <w:szCs w:val="28"/>
          <w:rtl/>
        </w:rPr>
        <w:t xml:space="preserve">1264ه-</w:t>
      </w:r>
    </w:p>
    <w:p>
      <w:pPr>
        <w:pStyle w:val="BookText"/>
      </w:pPr>
      <w:r>
        <w:rPr>
          <w:rFonts w:ascii="Amiri" w:hAnsi="Amiri" w:eastAsia="Amiri" w:cs="Amiri"/>
          <w:lang w:bidi="ar-SA"/>
          <w:color w:val="111111"/>
          <w:sz w:val="28"/>
          <w:szCs w:val="28"/>
          <w:rtl/>
        </w:rPr>
        <w:t xml:space="preserve">1 .الاربعون حديثاً و شرح حديث</w:t>
      </w:r>
    </w:p>
    <w:p>
      <w:pPr>
        <w:pStyle w:val="BookText"/>
      </w:pPr>
      <w:r>
        <w:rPr>
          <w:rFonts w:ascii="Amiri" w:hAnsi="Amiri" w:eastAsia="Amiri" w:cs="Amiri"/>
          <w:lang w:bidi="ar-SA"/>
          <w:color w:val="111111"/>
          <w:sz w:val="28"/>
          <w:szCs w:val="28"/>
          <w:rtl/>
        </w:rPr>
        <w:t xml:space="preserve">المنزلة، ج 1، ص 734.</w:t>
      </w:r>
    </w:p>
    <w:p>
      <w:pPr>
        <w:pStyle w:val="BookText"/>
      </w:pPr>
      <w:r>
        <w:rPr>
          <w:rFonts w:ascii="Amiri" w:hAnsi="Amiri" w:eastAsia="Amiri" w:cs="Amiri"/>
          <w:lang w:bidi="ar-SA"/>
          <w:color w:val="111111"/>
          <w:sz w:val="28"/>
          <w:szCs w:val="28"/>
          <w:rtl/>
        </w:rPr>
        <w:t xml:space="preserve">2 .الرسالة الامتحانية في تحقيق الولاية</w:t>
      </w:r>
    </w:p>
    <w:p>
      <w:pPr>
        <w:pStyle w:val="BookText"/>
      </w:pPr>
      <w:r>
        <w:rPr>
          <w:rFonts w:ascii="Amiri" w:hAnsi="Amiri" w:eastAsia="Amiri" w:cs="Amiri"/>
          <w:lang w:bidi="ar-SA"/>
          <w:color w:val="111111"/>
          <w:sz w:val="28"/>
          <w:szCs w:val="28"/>
          <w:rtl/>
        </w:rPr>
        <w:t xml:space="preserve">العامة، ج 8، ص171.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الصلاة، ج 10، ص 585.</w:t>
      </w:r>
    </w:p>
    <w:p>
      <w:pPr>
        <w:pStyle w:val="BookText"/>
      </w:pPr>
      <w:r>
        <w:rPr>
          <w:rFonts w:ascii="Amiri" w:hAnsi="Amiri" w:eastAsia="Amiri" w:cs="Amiri"/>
          <w:lang w:bidi="ar-SA"/>
          <w:color w:val="111111"/>
          <w:sz w:val="28"/>
          <w:szCs w:val="28"/>
          <w:rtl/>
        </w:rPr>
        <w:t xml:space="preserve">4 .صلاة الجمعة، ج 10، ص 604.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ظن المجتهد (رسالة في)، ج10،</w:t>
      </w:r>
    </w:p>
    <w:p>
      <w:pPr>
        <w:pStyle w:val="BookText"/>
      </w:pPr>
      <w:r>
        <w:rPr>
          <w:rFonts w:ascii="IRNazanin" w:hAnsi="IRNazanin" w:eastAsia="IRNazanin" w:cs="IRNazanin"/>
          <w:lang w:bidi="fa-IR"/>
          <w:color w:val="111111"/>
          <w:sz w:val="28"/>
          <w:szCs w:val="28"/>
          <w:rtl/>
        </w:rPr>
        <w:t xml:space="preserve">ص 888</w:t>
      </w:r>
    </w:p>
    <w:p>
      <w:pPr>
        <w:pStyle w:val="BookText"/>
      </w:pPr>
      <w:r>
        <w:rPr>
          <w:rFonts w:ascii="Amiri" w:hAnsi="Amiri" w:eastAsia="Amiri" w:cs="Amiri"/>
          <w:lang w:bidi="ar-SA"/>
          <w:color w:val="111111"/>
          <w:sz w:val="28"/>
          <w:szCs w:val="28"/>
          <w:rtl/>
        </w:rPr>
        <w:t xml:space="preserve">6 .علم الهداية في غياهب الظلمات</w:t>
      </w:r>
    </w:p>
    <w:p>
      <w:pPr>
        <w:pStyle w:val="BookText"/>
      </w:pPr>
      <w:r>
        <w:rPr>
          <w:rFonts w:ascii="Amiri" w:hAnsi="Amiri" w:eastAsia="Amiri" w:cs="Amiri"/>
          <w:lang w:bidi="ar-SA"/>
          <w:color w:val="111111"/>
          <w:sz w:val="28"/>
          <w:szCs w:val="28"/>
          <w:rtl/>
        </w:rPr>
        <w:t xml:space="preserve">لادراك احكام الشرعية، ج 11،</w:t>
      </w:r>
    </w:p>
    <w:p>
      <w:pPr>
        <w:pStyle w:val="BookText"/>
      </w:pPr>
      <w:r>
        <w:rPr>
          <w:rFonts w:ascii="IRNazanin" w:hAnsi="IRNazanin" w:eastAsia="IRNazanin" w:cs="IRNazanin"/>
          <w:lang w:bidi="fa-IR"/>
          <w:color w:val="111111"/>
          <w:sz w:val="28"/>
          <w:szCs w:val="28"/>
          <w:rtl/>
        </w:rPr>
        <w:t xml:space="preserve">ص 266.</w:t>
      </w:r>
    </w:p>
    <w:p>
      <w:pPr>
        <w:pStyle w:val="BookText"/>
      </w:pPr>
      <w:r>
        <w:rPr>
          <w:rFonts w:ascii="Amiri" w:hAnsi="Amiri" w:eastAsia="Amiri" w:cs="Amiri"/>
          <w:lang w:bidi="ar-SA"/>
          <w:color w:val="111111"/>
          <w:sz w:val="28"/>
          <w:szCs w:val="28"/>
          <w:rtl/>
        </w:rPr>
        <w:t xml:space="preserve">5 .كشف السترة في شرح الدرة، ج13، ص725.</w:t>
      </w:r>
    </w:p>
    <w:p>
      <w:pPr>
        <w:pStyle w:val="BookText"/>
      </w:pPr>
      <w:r>
        <w:rPr>
          <w:rFonts w:ascii="IRNazanin" w:hAnsi="IRNazanin" w:eastAsia="IRNazanin" w:cs="IRNazanin"/>
          <w:lang w:bidi="fa-IR"/>
          <w:color w:val="111111"/>
          <w:sz w:val="28"/>
          <w:szCs w:val="28"/>
          <w:rtl/>
        </w:rPr>
        <w:t xml:space="preserve">ص 219.</w:t>
      </w:r>
    </w:p>
    <w:p>
      <w:pPr>
        <w:pStyle w:val="BookText"/>
      </w:pPr>
      <w:r>
        <w:rPr>
          <w:rFonts w:ascii="Amiri" w:hAnsi="Amiri" w:eastAsia="Amiri" w:cs="Amiri"/>
          <w:lang w:bidi="ar-SA"/>
          <w:color w:val="111111"/>
          <w:sz w:val="28"/>
          <w:szCs w:val="28"/>
          <w:rtl/>
        </w:rPr>
        <w:t xml:space="preserve">6 .منظومة الفاضل القزويني، ج 15 ،</w:t>
      </w:r>
    </w:p>
    <w:p>
      <w:pPr>
        <w:pStyle w:val="BookText"/>
      </w:pPr>
      <w:r>
        <w:rPr>
          <w:rFonts w:ascii="IRNazanin" w:hAnsi="IRNazanin" w:eastAsia="IRNazanin" w:cs="IRNazanin"/>
          <w:lang w:bidi="fa-IR"/>
          <w:color w:val="111111"/>
          <w:sz w:val="28"/>
          <w:szCs w:val="28"/>
          <w:rtl/>
        </w:rPr>
        <w:t xml:space="preserve">ص 725</w:t>
      </w:r>
    </w:p>
    <w:p>
      <w:pPr>
        <w:pStyle w:val="Heading2"/>
      </w:pPr>
      <w:bookmarkStart w:id="6624" w:name="_Toc5726"/>
      <w:r>
        <w:t>قزويني ، علي اصغر بن محمّد یوسف</w:t>
      </w:r>
      <w:bookmarkEnd w:id="6624"/>
    </w:p>
    <w:p>
      <w:pPr>
        <w:pStyle w:val="BookText"/>
      </w:pPr>
      <w:r>
        <w:rPr>
          <w:rFonts w:ascii="IRNazanin" w:hAnsi="IRNazanin" w:eastAsia="IRNazanin" w:cs="IRNazanin"/>
          <w:lang w:bidi="fa-IR"/>
          <w:color w:val="111111"/>
          <w:sz w:val="28"/>
          <w:szCs w:val="28"/>
          <w:rtl/>
        </w:rPr>
        <w:t xml:space="preserve">1120ه-</w:t>
      </w:r>
    </w:p>
    <w:p>
      <w:pPr>
        <w:pStyle w:val="BookText"/>
      </w:pPr>
      <w:r>
        <w:rPr>
          <w:rFonts w:ascii="Amiri" w:hAnsi="Amiri" w:eastAsia="Amiri" w:cs="Amiri"/>
          <w:lang w:bidi="ar-SA"/>
          <w:color w:val="111111"/>
          <w:sz w:val="28"/>
          <w:szCs w:val="28"/>
          <w:rtl/>
        </w:rPr>
        <w:t xml:space="preserve">1 .تنقيح المرام في حاشية شرح عدة</w:t>
      </w:r>
    </w:p>
    <w:p>
      <w:pPr>
        <w:pStyle w:val="BookText"/>
      </w:pPr>
      <w:r>
        <w:rPr>
          <w:rFonts w:ascii="IRNazanin" w:hAnsi="IRNazanin" w:eastAsia="IRNazanin" w:cs="IRNazanin"/>
          <w:lang w:bidi="fa-IR"/>
          <w:color w:val="111111"/>
          <w:sz w:val="28"/>
          <w:szCs w:val="28"/>
          <w:rtl/>
        </w:rPr>
        <w:t xml:space="preserve">الاصول، ج 5، ص 67.</w:t>
      </w:r>
    </w:p>
    <w:p>
      <w:pPr>
        <w:pStyle w:val="Heading2"/>
      </w:pPr>
      <w:bookmarkStart w:id="6625" w:name="_Toc5727"/>
      <w:r>
        <w:t>قزويني ، علي بن ابي القاسم محمّد -</w:t>
      </w:r>
      <w:bookmarkEnd w:id="6625"/>
    </w:p>
    <w:p>
      <w:pPr>
        <w:pStyle w:val="BookText"/>
      </w:pPr>
      <w:r>
        <w:rPr>
          <w:rFonts w:ascii="IRNazanin" w:hAnsi="IRNazanin" w:eastAsia="IRNazanin" w:cs="IRNazanin"/>
          <w:lang w:bidi="fa-IR"/>
          <w:color w:val="111111"/>
          <w:sz w:val="28"/>
          <w:szCs w:val="28"/>
          <w:rtl/>
        </w:rPr>
        <w:t xml:space="preserve">745 ه-</w:t>
      </w:r>
    </w:p>
    <w:p>
      <w:pPr>
        <w:pStyle w:val="BookText"/>
      </w:pPr>
      <w:r>
        <w:rPr>
          <w:rFonts w:ascii="Amiri" w:hAnsi="Amiri" w:eastAsia="Amiri" w:cs="Amiri"/>
          <w:lang w:bidi="ar-SA"/>
          <w:color w:val="111111"/>
          <w:sz w:val="28"/>
          <w:szCs w:val="28"/>
          <w:rtl/>
        </w:rPr>
        <w:t xml:space="preserve">1 .شرح مصابيح السنة، ج 10، ص 145.</w:t>
      </w:r>
    </w:p>
    <w:p>
      <w:pPr>
        <w:pStyle w:val="BookText"/>
      </w:pPr>
      <w:r>
        <w:rPr>
          <w:rFonts w:ascii="Amiri" w:hAnsi="Amiri" w:eastAsia="Amiri" w:cs="Amiri"/>
          <w:lang w:bidi="ar-SA"/>
          <w:color w:val="111111"/>
          <w:sz w:val="28"/>
          <w:szCs w:val="28"/>
          <w:rtl/>
        </w:rPr>
        <w:t xml:space="preserve">2 .المغني في شرح مقامات الحريري</w:t>
      </w:r>
    </w:p>
    <w:p>
      <w:pPr>
        <w:pStyle w:val="BookText"/>
      </w:pPr>
      <w:r>
        <w:rPr>
          <w:rFonts w:ascii="IRNazanin" w:hAnsi="IRNazanin" w:eastAsia="IRNazanin" w:cs="IRNazanin"/>
          <w:lang w:bidi="fa-IR"/>
          <w:color w:val="111111"/>
          <w:sz w:val="28"/>
          <w:szCs w:val="28"/>
          <w:rtl/>
        </w:rPr>
        <w:t xml:space="preserve">ج 15 ، ص 127 .</w:t>
      </w:r>
    </w:p>
    <w:p>
      <w:pPr>
        <w:pStyle w:val="Heading2"/>
      </w:pPr>
      <w:bookmarkStart w:id="6626" w:name="_Toc5728"/>
      <w:r>
        <w:t>قزويني ، علي بن اسماعيل - 1298 ه-</w:t>
      </w:r>
      <w:bookmarkEnd w:id="6626"/>
    </w:p>
    <w:p>
      <w:pPr>
        <w:pStyle w:val="BookText"/>
      </w:pPr>
      <w:r>
        <w:rPr>
          <w:rFonts w:ascii="Amiri" w:hAnsi="Amiri" w:eastAsia="Amiri" w:cs="Amiri"/>
          <w:lang w:bidi="ar-SA"/>
          <w:color w:val="111111"/>
          <w:sz w:val="28"/>
          <w:szCs w:val="28"/>
          <w:rtl/>
        </w:rPr>
        <w:t xml:space="preserve">حاشية القوانين المحكمة = حاشية قوانين الاصول، ج 6 ، ص 315.</w:t>
      </w:r>
    </w:p>
    <w:p>
      <w:pPr>
        <w:pStyle w:val="BookText"/>
      </w:pPr>
      <w:r>
        <w:rPr>
          <w:rFonts w:ascii="Amiri" w:hAnsi="Amiri" w:eastAsia="Amiri" w:cs="Amiri"/>
          <w:lang w:bidi="ar-SA"/>
          <w:color w:val="111111"/>
          <w:sz w:val="28"/>
          <w:szCs w:val="28"/>
          <w:rtl/>
        </w:rPr>
        <w:t xml:space="preserve">قزويني ، علي بن عمر -كاتبي قزويني</w:t>
      </w:r>
    </w:p>
    <w:p>
      <w:pPr>
        <w:pStyle w:val="BookText"/>
      </w:pPr>
      <w:r>
        <w:rPr>
          <w:rFonts w:ascii="Amiri" w:hAnsi="Amiri" w:eastAsia="Amiri" w:cs="Amiri"/>
          <w:lang w:bidi="ar-SA"/>
          <w:color w:val="111111"/>
          <w:sz w:val="28"/>
          <w:szCs w:val="28"/>
          <w:rtl/>
        </w:rPr>
        <w:t xml:space="preserve">علي بن عمر</w:t>
      </w:r>
    </w:p>
    <w:p>
      <w:pPr>
        <w:pStyle w:val="Heading2"/>
      </w:pPr>
      <w:bookmarkStart w:id="6627" w:name="_Toc5729"/>
      <w:r>
        <w:t>قزويني ، علي، قرن 13 ه-</w:t>
      </w:r>
      <w:bookmarkEnd w:id="6627"/>
    </w:p>
    <w:p>
      <w:pPr>
        <w:pStyle w:val="BookText"/>
      </w:pPr>
      <w:r>
        <w:rPr>
          <w:rFonts w:ascii="Amiri" w:hAnsi="Amiri" w:eastAsia="Amiri" w:cs="Amiri"/>
          <w:lang w:bidi="ar-SA"/>
          <w:color w:val="111111"/>
          <w:sz w:val="28"/>
          <w:szCs w:val="28"/>
          <w:rtl/>
        </w:rPr>
        <w:t xml:space="preserve">1 .الارث( منظومة في)، ج 1، ص 753.</w:t>
      </w:r>
    </w:p>
    <w:p>
      <w:pPr>
        <w:pStyle w:val="BookText"/>
      </w:pPr>
      <w:r>
        <w:rPr>
          <w:rFonts w:ascii="IRNazanin" w:hAnsi="IRNazanin" w:eastAsia="IRNazanin" w:cs="IRNazanin"/>
          <w:lang w:bidi="fa-IR"/>
          <w:color w:val="111111"/>
          <w:sz w:val="28"/>
          <w:szCs w:val="28"/>
          <w:rtl/>
        </w:rPr>
        <w:t xml:space="preserve">2 .اصول الفقه، ج 2، ص 436 .</w:t>
      </w:r>
    </w:p>
    <w:p>
      <w:pPr>
        <w:pStyle w:val="BookText"/>
      </w:pPr>
      <w:r>
        <w:rPr>
          <w:rFonts w:ascii="Amiri" w:hAnsi="Amiri" w:eastAsia="Amiri" w:cs="Amiri"/>
          <w:lang w:bidi="ar-SA"/>
          <w:color w:val="111111"/>
          <w:sz w:val="28"/>
          <w:szCs w:val="28"/>
          <w:rtl/>
        </w:rPr>
        <w:t xml:space="preserve">3.حاشية القوانين المحكمة، ج 6،</w:t>
      </w:r>
    </w:p>
    <w:p>
      <w:pPr>
        <w:pStyle w:val="BookText"/>
      </w:pPr>
      <w:r>
        <w:rPr>
          <w:rFonts w:ascii="IRNazanin" w:hAnsi="IRNazanin" w:eastAsia="IRNazanin" w:cs="IRNazanin"/>
          <w:lang w:bidi="fa-IR"/>
          <w:color w:val="111111"/>
          <w:sz w:val="28"/>
          <w:szCs w:val="28"/>
          <w:rtl/>
        </w:rPr>
        <w:t xml:space="preserve">ص 316.</w:t>
      </w:r>
    </w:p>
    <w:p>
      <w:pPr>
        <w:pStyle w:val="BookText"/>
      </w:pPr>
      <w:r>
        <w:rPr>
          <w:rFonts w:ascii="IRNazanin" w:hAnsi="IRNazanin" w:eastAsia="IRNazanin" w:cs="IRNazanin"/>
          <w:lang w:bidi="fa-IR"/>
          <w:color w:val="111111"/>
          <w:sz w:val="28"/>
          <w:szCs w:val="28"/>
          <w:rtl/>
        </w:rPr>
        <w:t xml:space="preserve">4 .درر الفرائد، ج 7، ص303.</w:t>
      </w:r>
    </w:p>
    <w:p>
      <w:pPr>
        <w:pStyle w:val="Heading2"/>
      </w:pPr>
      <w:bookmarkStart w:id="6628" w:name="_Toc5730"/>
      <w:r>
        <w:t>قزويني علي بن محمّد، 1209-1290ه-</w:t>
      </w:r>
      <w:bookmarkEnd w:id="6628"/>
    </w:p>
    <w:p>
      <w:pPr>
        <w:pStyle w:val="BookText"/>
      </w:pPr>
      <w:r>
        <w:rPr>
          <w:rFonts w:ascii="Amiri" w:hAnsi="Amiri" w:eastAsia="Amiri" w:cs="Amiri"/>
          <w:lang w:bidi="ar-SA"/>
          <w:color w:val="111111"/>
          <w:sz w:val="28"/>
          <w:szCs w:val="28"/>
          <w:rtl/>
        </w:rPr>
        <w:t xml:space="preserve">نظام الفرائد في شرح القواعد، ج16،</w:t>
      </w:r>
    </w:p>
    <w:p>
      <w:pPr>
        <w:pStyle w:val="BookText"/>
      </w:pPr>
      <w:r>
        <w:rPr>
          <w:rFonts w:ascii="IRNazanin" w:hAnsi="IRNazanin" w:eastAsia="IRNazanin" w:cs="IRNazanin"/>
          <w:lang w:bidi="fa-IR"/>
          <w:color w:val="111111"/>
          <w:sz w:val="28"/>
          <w:szCs w:val="28"/>
          <w:rtl/>
        </w:rPr>
        <w:t xml:space="preserve">ص 323.</w:t>
      </w:r>
    </w:p>
    <w:p>
      <w:pPr>
        <w:pStyle w:val="BookText"/>
      </w:pPr>
      <w:r>
        <w:rPr>
          <w:rFonts w:ascii="Amiri" w:hAnsi="Amiri" w:eastAsia="Amiri" w:cs="Amiri"/>
          <w:lang w:bidi="ar-SA"/>
          <w:color w:val="111111"/>
          <w:sz w:val="28"/>
          <w:szCs w:val="28"/>
          <w:rtl/>
        </w:rPr>
        <w:t xml:space="preserve">قزويني ، عماد الدين محمّد طاهر بن حسين خان -وحيد قزويني ، محمّد طاهر بن</w:t>
      </w:r>
    </w:p>
    <w:p>
      <w:pPr>
        <w:pStyle w:val="BookText"/>
      </w:pPr>
      <w:r>
        <w:rPr>
          <w:rFonts w:ascii="Amiri" w:hAnsi="Amiri" w:eastAsia="Amiri" w:cs="Amiri"/>
          <w:lang w:bidi="ar-SA"/>
          <w:color w:val="111111"/>
          <w:sz w:val="28"/>
          <w:szCs w:val="28"/>
          <w:rtl/>
        </w:rPr>
        <w:t xml:space="preserve">حسين</w:t>
      </w:r>
    </w:p>
    <w:p>
      <w:pPr>
        <w:pStyle w:val="Heading2"/>
      </w:pPr>
      <w:bookmarkStart w:id="6629" w:name="_Toc5731"/>
      <w:r>
        <w:t>قزويني ، عمر بن عبدالرحمن 683 -</w:t>
      </w:r>
      <w:bookmarkEnd w:id="6629"/>
    </w:p>
    <w:p>
      <w:pPr>
        <w:pStyle w:val="BookText"/>
      </w:pPr>
      <w:r>
        <w:rPr>
          <w:rFonts w:ascii="IRNazanin" w:hAnsi="IRNazanin" w:eastAsia="IRNazanin" w:cs="IRNazanin"/>
          <w:lang w:bidi="fa-IR"/>
          <w:color w:val="111111"/>
          <w:sz w:val="28"/>
          <w:szCs w:val="28"/>
          <w:rtl/>
        </w:rPr>
        <w:t xml:space="preserve">745 ه-</w:t>
      </w:r>
    </w:p>
    <w:p>
      <w:pPr>
        <w:pStyle w:val="BookText"/>
      </w:pPr>
      <w:r>
        <w:rPr>
          <w:rFonts w:ascii="Amiri" w:hAnsi="Amiri" w:eastAsia="Amiri" w:cs="Amiri"/>
          <w:lang w:bidi="ar-SA"/>
          <w:color w:val="111111"/>
          <w:sz w:val="28"/>
          <w:szCs w:val="28"/>
          <w:rtl/>
        </w:rPr>
        <w:t xml:space="preserve">1 .الرسالة المجدولة في الاستثناءات</w:t>
      </w:r>
    </w:p>
    <w:p>
      <w:pPr>
        <w:pStyle w:val="BookText"/>
      </w:pPr>
      <w:r>
        <w:rPr>
          <w:rFonts w:ascii="Amiri" w:hAnsi="Amiri" w:eastAsia="Amiri" w:cs="Amiri"/>
          <w:lang w:bidi="ar-SA"/>
          <w:color w:val="111111"/>
          <w:sz w:val="28"/>
          <w:szCs w:val="28"/>
          <w:rtl/>
        </w:rPr>
        <w:t xml:space="preserve">المسلسلة، ج 8، ص 261.</w:t>
      </w:r>
    </w:p>
    <w:p>
      <w:pPr>
        <w:pStyle w:val="BookText"/>
      </w:pPr>
      <w:r>
        <w:rPr>
          <w:rFonts w:ascii="Amiri" w:hAnsi="Amiri" w:eastAsia="Amiri" w:cs="Amiri"/>
          <w:lang w:bidi="ar-SA"/>
          <w:color w:val="111111"/>
          <w:sz w:val="28"/>
          <w:szCs w:val="28"/>
          <w:rtl/>
        </w:rPr>
        <w:t xml:space="preserve">2 .الكشف عن مشكلات الكشاف = حاشية الكشاف - كشف الكشاف</w:t>
      </w:r>
    </w:p>
    <w:p>
      <w:pPr>
        <w:pStyle w:val="BookText"/>
      </w:pPr>
      <w:r>
        <w:rPr>
          <w:rFonts w:ascii="IRNazanin" w:hAnsi="IRNazanin" w:eastAsia="IRNazanin" w:cs="IRNazanin"/>
          <w:lang w:bidi="fa-IR"/>
          <w:color w:val="111111"/>
          <w:sz w:val="28"/>
          <w:szCs w:val="28"/>
          <w:rtl/>
        </w:rPr>
        <w:t xml:space="preserve">ج 13، ص 232.</w:t>
      </w:r>
    </w:p>
    <w:p>
      <w:pPr>
        <w:pStyle w:val="Heading2"/>
      </w:pPr>
      <w:bookmarkStart w:id="6630" w:name="_Toc5732"/>
      <w:r>
        <w:t>قزويني ، عمر بن علي، 683 - 750 ه-</w:t>
      </w:r>
      <w:bookmarkEnd w:id="6630"/>
    </w:p>
    <w:p>
      <w:pPr>
        <w:pStyle w:val="BookText"/>
      </w:pPr>
      <w:r>
        <w:rPr>
          <w:rFonts w:ascii="Amiri" w:hAnsi="Amiri" w:eastAsia="Amiri" w:cs="Amiri"/>
          <w:lang w:bidi="ar-SA"/>
          <w:color w:val="111111"/>
          <w:sz w:val="28"/>
          <w:szCs w:val="28"/>
          <w:rtl/>
        </w:rPr>
        <w:t xml:space="preserve">الشمسية في المنطق، ج 10، ص 421.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880" w:name="pg7742_71042"/>
    <w:bookmarkEnd w:id="880"/>
    <w:p>
      <w:pPr>
        <w:pStyle w:val="BookText"/>
      </w:pPr>
      <w:r>
        <w:rPr>
          <w:rFonts w:ascii="Amiri" w:hAnsi="Amiri" w:eastAsia="Amiri" w:cs="Amiri"/>
          <w:lang w:bidi="ar-SA"/>
          <w:color w:val="111111"/>
          <w:sz w:val="28"/>
          <w:szCs w:val="28"/>
          <w:rtl/>
        </w:rPr>
        <w:t xml:space="preserve">قزويني ، فضل الله بن عبدالله -شرف</w:t>
      </w:r>
    </w:p>
    <w:p>
      <w:pPr>
        <w:pStyle w:val="BookText"/>
      </w:pPr>
      <w:r>
        <w:rPr>
          <w:rFonts w:ascii="Amiri" w:hAnsi="Amiri" w:eastAsia="Amiri" w:cs="Amiri"/>
          <w:lang w:bidi="ar-SA"/>
          <w:color w:val="111111"/>
          <w:sz w:val="28"/>
          <w:szCs w:val="28"/>
          <w:rtl/>
        </w:rPr>
        <w:t xml:space="preserve">الدين قزويني ، فضل الله بن عبدالله</w:t>
      </w:r>
    </w:p>
    <w:p>
      <w:pPr>
        <w:pStyle w:val="Heading2"/>
      </w:pPr>
      <w:bookmarkStart w:id="6631" w:name="_Toc5733"/>
      <w:r>
        <w:t>قزويني ، محسن بن محمّد طاهر -</w:t>
      </w:r>
      <w:bookmarkEnd w:id="6631"/>
    </w:p>
    <w:p>
      <w:pPr>
        <w:pStyle w:val="BookText"/>
      </w:pPr>
      <w:r>
        <w:rPr>
          <w:rFonts w:ascii="IRNazanin" w:hAnsi="IRNazanin" w:eastAsia="IRNazanin" w:cs="IRNazanin"/>
          <w:lang w:bidi="fa-IR"/>
          <w:color w:val="111111"/>
          <w:sz w:val="28"/>
          <w:szCs w:val="28"/>
          <w:rtl/>
        </w:rPr>
        <w:t xml:space="preserve">1150 ه-</w:t>
      </w:r>
    </w:p>
    <w:p>
      <w:pPr>
        <w:pStyle w:val="BookText"/>
      </w:pPr>
      <w:r>
        <w:rPr>
          <w:rFonts w:ascii="Amiri" w:hAnsi="Amiri" w:eastAsia="Amiri" w:cs="Amiri"/>
          <w:lang w:bidi="ar-SA"/>
          <w:color w:val="111111"/>
          <w:sz w:val="28"/>
          <w:szCs w:val="28"/>
          <w:rtl/>
        </w:rPr>
        <w:t xml:space="preserve">1 .تقويم الخط في شرح رمح الخط</w:t>
      </w:r>
    </w:p>
    <w:p>
      <w:pPr>
        <w:pStyle w:val="BookText"/>
      </w:pPr>
      <w:r>
        <w:rPr>
          <w:rFonts w:ascii="IRNazanin" w:hAnsi="IRNazanin" w:eastAsia="IRNazanin" w:cs="IRNazanin"/>
          <w:lang w:bidi="fa-IR"/>
          <w:color w:val="111111"/>
          <w:sz w:val="28"/>
          <w:szCs w:val="28"/>
          <w:rtl/>
        </w:rPr>
        <w:t xml:space="preserve">ج 4، ص 800.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توشيح الوافية بمعان كافية، جه،</w:t>
      </w:r>
    </w:p>
    <w:p>
      <w:pPr>
        <w:pStyle w:val="BookText"/>
      </w:pPr>
      <w:r>
        <w:rPr>
          <w:rFonts w:ascii="IRNazanin" w:hAnsi="IRNazanin" w:eastAsia="IRNazanin" w:cs="IRNazanin"/>
          <w:lang w:bidi="fa-IR"/>
          <w:color w:val="111111"/>
          <w:sz w:val="28"/>
          <w:szCs w:val="28"/>
          <w:rtl/>
        </w:rPr>
        <w:t xml:space="preserve">ص 163.</w:t>
      </w:r>
    </w:p>
    <w:p>
      <w:pPr>
        <w:pStyle w:val="BookText"/>
      </w:pPr>
      <w:r>
        <w:rPr>
          <w:rFonts w:ascii="Amiri" w:hAnsi="Amiri" w:eastAsia="Amiri" w:cs="Amiri"/>
          <w:lang w:bidi="ar-SA"/>
          <w:color w:val="111111"/>
          <w:sz w:val="28"/>
          <w:szCs w:val="28"/>
          <w:rtl/>
        </w:rPr>
        <w:t xml:space="preserve">3 .حاشية حاشية اليزدي على تهذيب</w:t>
      </w:r>
    </w:p>
    <w:p>
      <w:pPr>
        <w:pStyle w:val="BookText"/>
      </w:pPr>
      <w:r>
        <w:rPr>
          <w:rFonts w:ascii="IRNazanin" w:hAnsi="IRNazanin" w:eastAsia="IRNazanin" w:cs="IRNazanin"/>
          <w:lang w:bidi="fa-IR"/>
          <w:color w:val="111111"/>
          <w:sz w:val="28"/>
          <w:szCs w:val="28"/>
          <w:rtl/>
        </w:rPr>
        <w:t xml:space="preserve">المنطق، ج 5، ص 854.</w:t>
      </w:r>
    </w:p>
    <w:p>
      <w:pPr>
        <w:pStyle w:val="BookText"/>
      </w:pPr>
      <w:r>
        <w:rPr>
          <w:rFonts w:ascii="Amiri" w:hAnsi="Amiri" w:eastAsia="Amiri" w:cs="Amiri"/>
          <w:lang w:bidi="ar-SA"/>
          <w:color w:val="111111"/>
          <w:sz w:val="28"/>
          <w:szCs w:val="28"/>
          <w:rtl/>
        </w:rPr>
        <w:t xml:space="preserve">4 .خلاصة العوامل، ج 7، ص 119.</w:t>
      </w:r>
    </w:p>
    <w:p>
      <w:pPr>
        <w:pStyle w:val="BookText"/>
      </w:pPr>
      <w:r>
        <w:rPr>
          <w:rFonts w:ascii="Amiri" w:hAnsi="Amiri" w:eastAsia="Amiri" w:cs="Amiri"/>
          <w:lang w:bidi="ar-SA"/>
          <w:color w:val="111111"/>
          <w:sz w:val="28"/>
          <w:szCs w:val="28"/>
          <w:rtl/>
        </w:rPr>
        <w:t xml:space="preserve">5 .الرسالة الوضعية الابهرية، ج8،</w:t>
      </w:r>
    </w:p>
    <w:p>
      <w:pPr>
        <w:pStyle w:val="BookText"/>
      </w:pPr>
      <w:r>
        <w:rPr>
          <w:rFonts w:ascii="IRNazanin" w:hAnsi="IRNazanin" w:eastAsia="IRNazanin" w:cs="IRNazanin"/>
          <w:lang w:bidi="fa-IR"/>
          <w:color w:val="111111"/>
          <w:sz w:val="28"/>
          <w:szCs w:val="28"/>
          <w:rtl/>
        </w:rPr>
        <w:t xml:space="preserve">ص 296.</w:t>
      </w:r>
    </w:p>
    <w:p>
      <w:pPr>
        <w:pStyle w:val="BookText"/>
      </w:pPr>
      <w:r>
        <w:rPr>
          <w:rFonts w:ascii="Amiri" w:hAnsi="Amiri" w:eastAsia="Amiri" w:cs="Amiri"/>
          <w:lang w:bidi="ar-SA"/>
          <w:color w:val="111111"/>
          <w:sz w:val="28"/>
          <w:szCs w:val="28"/>
          <w:rtl/>
        </w:rPr>
        <w:t xml:space="preserve">6 .رشح السحاب في شرح نظم</w:t>
      </w:r>
    </w:p>
    <w:p>
      <w:pPr>
        <w:pStyle w:val="BookText"/>
      </w:pPr>
      <w:r>
        <w:rPr>
          <w:rFonts w:ascii="Amiri" w:hAnsi="Amiri" w:eastAsia="Amiri" w:cs="Amiri"/>
          <w:lang w:bidi="ar-SA"/>
          <w:color w:val="111111"/>
          <w:sz w:val="28"/>
          <w:szCs w:val="28"/>
          <w:rtl/>
        </w:rPr>
        <w:t xml:space="preserve">الحساب = شرح خلاصة الحساب قزويني</w:t>
      </w:r>
    </w:p>
    <w:p>
      <w:pPr>
        <w:pStyle w:val="BookText"/>
      </w:pPr>
      <w:r>
        <w:rPr>
          <w:rFonts w:ascii="IRNazanin" w:hAnsi="IRNazanin" w:eastAsia="IRNazanin" w:cs="IRNazanin"/>
          <w:lang w:bidi="fa-IR"/>
          <w:color w:val="111111"/>
          <w:sz w:val="28"/>
          <w:szCs w:val="28"/>
          <w:rtl/>
        </w:rPr>
        <w:t xml:space="preserve">ج 8، ص308.</w:t>
      </w:r>
    </w:p>
    <w:p>
      <w:pPr>
        <w:pStyle w:val="BookText"/>
      </w:pPr>
      <w:r>
        <w:rPr>
          <w:rFonts w:ascii="Amiri" w:hAnsi="Amiri" w:eastAsia="Amiri" w:cs="Amiri"/>
          <w:lang w:bidi="ar-SA"/>
          <w:color w:val="111111"/>
          <w:sz w:val="28"/>
          <w:szCs w:val="28"/>
          <w:rtl/>
        </w:rPr>
        <w:t xml:space="preserve">7 .زينة السالك في شرح خلاصة ابن</w:t>
      </w:r>
    </w:p>
    <w:p>
      <w:pPr>
        <w:pStyle w:val="BookText"/>
      </w:pPr>
      <w:r>
        <w:rPr>
          <w:rFonts w:ascii="Amiri" w:hAnsi="Amiri" w:eastAsia="Amiri" w:cs="Amiri"/>
          <w:lang w:bidi="ar-SA"/>
          <w:color w:val="111111"/>
          <w:sz w:val="28"/>
          <w:szCs w:val="28"/>
          <w:rtl/>
        </w:rPr>
        <w:t xml:space="preserve">مالك، ج8، ص 661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ابيات تميز الاعداد، ج9،</w:t>
      </w:r>
    </w:p>
    <w:p>
      <w:pPr>
        <w:pStyle w:val="BookText"/>
      </w:pPr>
      <w:r>
        <w:rPr>
          <w:rFonts w:ascii="IRNazanin" w:hAnsi="IRNazanin" w:eastAsia="IRNazanin" w:cs="IRNazanin"/>
          <w:lang w:bidi="fa-IR"/>
          <w:color w:val="111111"/>
          <w:sz w:val="28"/>
          <w:szCs w:val="28"/>
          <w:rtl/>
        </w:rPr>
        <w:t xml:space="preserve">ص 145</w:t>
      </w:r>
    </w:p>
    <w:p>
      <w:pPr>
        <w:pStyle w:val="BookText"/>
      </w:pPr>
      <w:r>
        <w:rPr>
          <w:rFonts w:ascii="Amiri" w:hAnsi="Amiri" w:eastAsia="Amiri" w:cs="Amiri"/>
          <w:lang w:bidi="ar-SA"/>
          <w:color w:val="111111"/>
          <w:sz w:val="28"/>
          <w:szCs w:val="28"/>
          <w:rtl/>
        </w:rPr>
        <w:t xml:space="preserve">9 .العوامل المائة، ج 11، ص 366.</w:t>
      </w:r>
    </w:p>
    <w:p>
      <w:pPr>
        <w:pStyle w:val="BookText"/>
      </w:pPr>
      <w:r>
        <w:rPr>
          <w:rFonts w:ascii="Amiri" w:hAnsi="Amiri" w:eastAsia="Amiri" w:cs="Amiri"/>
          <w:lang w:bidi="ar-SA"/>
          <w:color w:val="111111"/>
          <w:sz w:val="28"/>
          <w:szCs w:val="28"/>
          <w:rtl/>
        </w:rPr>
        <w:t xml:space="preserve">10 .العوامل في النحو = عوامل</w:t>
      </w:r>
    </w:p>
    <w:p>
      <w:pPr>
        <w:pStyle w:val="BookText"/>
      </w:pPr>
      <w:r>
        <w:rPr>
          <w:rFonts w:ascii="IRNazanin" w:hAnsi="IRNazanin" w:eastAsia="IRNazanin" w:cs="IRNazanin"/>
          <w:lang w:bidi="fa-IR"/>
          <w:color w:val="111111"/>
          <w:sz w:val="28"/>
          <w:szCs w:val="28"/>
          <w:rtl/>
        </w:rPr>
        <w:t xml:space="preserve">ملامحسن، ج11، ص 357.</w:t>
      </w:r>
    </w:p>
    <w:p>
      <w:pPr>
        <w:pStyle w:val="BookText"/>
      </w:pPr>
      <w:r>
        <w:rPr>
          <w:rFonts w:ascii="Amiri" w:hAnsi="Amiri" w:eastAsia="Amiri" w:cs="Amiri"/>
          <w:lang w:bidi="ar-SA"/>
          <w:color w:val="111111"/>
          <w:sz w:val="28"/>
          <w:szCs w:val="28"/>
          <w:rtl/>
        </w:rPr>
        <w:t xml:space="preserve">11 .النحو (كتاب في)، ج 16، ص 172.</w:t>
      </w:r>
    </w:p>
    <w:p>
      <w:pPr>
        <w:pStyle w:val="Heading2"/>
      </w:pPr>
      <w:bookmarkStart w:id="6632" w:name="_Toc5734"/>
      <w:r>
        <w:t>قزويني ، محمّد</w:t>
      </w:r>
      <w:bookmarkEnd w:id="6632"/>
    </w:p>
    <w:p>
      <w:pPr>
        <w:pStyle w:val="BookText"/>
      </w:pPr>
      <w:r>
        <w:rPr>
          <w:rFonts w:ascii="IRNazanin" w:hAnsi="IRNazanin" w:eastAsia="IRNazanin" w:cs="IRNazanin"/>
          <w:lang w:bidi="fa-IR"/>
          <w:color w:val="111111"/>
          <w:sz w:val="28"/>
          <w:szCs w:val="28"/>
          <w:rtl/>
        </w:rPr>
        <w:t xml:space="preserve">مهذب الوصول على علم الاصول</w:t>
      </w:r>
    </w:p>
    <w:p>
      <w:pPr>
        <w:pStyle w:val="BookText"/>
      </w:pPr>
      <w:r>
        <w:rPr>
          <w:rFonts w:ascii="IRNazanin" w:hAnsi="IRNazanin" w:eastAsia="IRNazanin" w:cs="IRNazanin"/>
          <w:lang w:bidi="fa-IR"/>
          <w:color w:val="111111"/>
          <w:sz w:val="28"/>
          <w:szCs w:val="28"/>
          <w:rtl/>
        </w:rPr>
        <w:t xml:space="preserve">ج 15، ص 848.</w:t>
      </w:r>
    </w:p>
    <w:p>
      <w:pPr>
        <w:pStyle w:val="BookText"/>
      </w:pPr>
      <w:r>
        <w:rPr>
          <w:rFonts w:ascii="Amiri" w:hAnsi="Amiri" w:eastAsia="Amiri" w:cs="Amiri"/>
          <w:lang w:bidi="ar-SA"/>
          <w:color w:val="111111"/>
          <w:sz w:val="28"/>
          <w:szCs w:val="28"/>
          <w:rtl/>
        </w:rPr>
        <w:t xml:space="preserve">قزويني ، محمّد بن جعفر -حسيني</w:t>
      </w:r>
    </w:p>
    <w:p>
      <w:pPr>
        <w:pStyle w:val="BookText"/>
      </w:pPr>
      <w:r>
        <w:rPr>
          <w:rFonts w:ascii="Amiri" w:hAnsi="Amiri" w:eastAsia="Amiri" w:cs="Amiri"/>
          <w:lang w:bidi="ar-SA"/>
          <w:color w:val="111111"/>
          <w:sz w:val="28"/>
          <w:szCs w:val="28"/>
          <w:rtl/>
        </w:rPr>
        <w:t xml:space="preserve">قزويني ، محمّد بن جعفر</w:t>
      </w:r>
    </w:p>
    <w:p>
      <w:pPr>
        <w:pStyle w:val="Heading2"/>
      </w:pPr>
      <w:bookmarkStart w:id="6633" w:name="_Toc5735"/>
      <w:r>
        <w:t>قزويني ، محمّد بن حسن 1025</w:t>
      </w:r>
      <w:bookmarkEnd w:id="6633"/>
    </w:p>
    <w:p>
      <w:pPr>
        <w:pStyle w:val="BookText"/>
      </w:pPr>
      <w:r>
        <w:rPr>
          <w:rFonts w:ascii="IRNazanin" w:hAnsi="IRNazanin" w:eastAsia="IRNazanin" w:cs="IRNazanin"/>
          <w:lang w:bidi="fa-IR"/>
          <w:color w:val="111111"/>
          <w:sz w:val="28"/>
          <w:szCs w:val="28"/>
          <w:rtl/>
        </w:rPr>
        <w:t xml:space="preserve">1096ه-</w:t>
      </w:r>
    </w:p>
    <w:p>
      <w:pPr>
        <w:pStyle w:val="BookText"/>
      </w:pPr>
      <w:r>
        <w:rPr>
          <w:rFonts w:ascii="Amiri" w:hAnsi="Amiri" w:eastAsia="Amiri" w:cs="Amiri"/>
          <w:lang w:bidi="ar-SA"/>
          <w:color w:val="111111"/>
          <w:sz w:val="28"/>
          <w:szCs w:val="28"/>
          <w:rtl/>
        </w:rPr>
        <w:t xml:space="preserve">1 .شرح تجريد الاعتقاد، ج9، ص313</w:t>
      </w:r>
    </w:p>
    <w:p>
      <w:pPr>
        <w:pStyle w:val="BookText"/>
      </w:pPr>
      <w:r>
        <w:rPr>
          <w:rFonts w:ascii="Amiri" w:hAnsi="Amiri" w:eastAsia="Amiri" w:cs="Amiri"/>
          <w:lang w:bidi="ar-SA"/>
          <w:color w:val="111111"/>
          <w:sz w:val="28"/>
          <w:szCs w:val="28"/>
          <w:rtl/>
        </w:rPr>
        <w:t xml:space="preserve">2 .ضيافة الاخوان و هدية الخلان</w:t>
      </w:r>
    </w:p>
    <w:p>
      <w:pPr>
        <w:pStyle w:val="BookText"/>
      </w:pPr>
      <w:r>
        <w:rPr>
          <w:rFonts w:ascii="IRNazanin" w:hAnsi="IRNazanin" w:eastAsia="IRNazanin" w:cs="IRNazanin"/>
          <w:lang w:bidi="fa-IR"/>
          <w:color w:val="111111"/>
          <w:sz w:val="28"/>
          <w:szCs w:val="28"/>
          <w:rtl/>
        </w:rPr>
        <w:t xml:space="preserve">ج 10، ص 726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قبلة الآفاق، ج 12، ص377.</w:t>
      </w:r>
    </w:p>
    <w:p>
      <w:pPr>
        <w:pStyle w:val="BookText"/>
      </w:pPr>
      <w:r>
        <w:rPr>
          <w:rFonts w:ascii="IRNazanin" w:hAnsi="IRNazanin" w:eastAsia="IRNazanin" w:cs="IRNazanin"/>
          <w:lang w:bidi="fa-IR"/>
          <w:color w:val="111111"/>
          <w:sz w:val="28"/>
          <w:szCs w:val="28"/>
          <w:rtl/>
        </w:rPr>
        <w:t xml:space="preserve">4 .لسان الخواص، ج 13، ص 570.</w:t>
      </w:r>
    </w:p>
    <w:p>
      <w:pPr>
        <w:pStyle w:val="BookText"/>
      </w:pPr>
      <w:r>
        <w:rPr>
          <w:rFonts w:ascii="Amiri" w:hAnsi="Amiri" w:eastAsia="Amiri" w:cs="Amiri"/>
          <w:lang w:bidi="ar-SA"/>
          <w:color w:val="111111"/>
          <w:sz w:val="28"/>
          <w:szCs w:val="28"/>
          <w:rtl/>
        </w:rPr>
        <w:t xml:space="preserve">5 .ميزان المقادير في تبيان التقادير</w:t>
      </w:r>
    </w:p>
    <w:p>
      <w:pPr>
        <w:pStyle w:val="BookText"/>
      </w:pPr>
      <w:r>
        <w:rPr>
          <w:rFonts w:ascii="IRNazanin" w:hAnsi="IRNazanin" w:eastAsia="IRNazanin" w:cs="IRNazanin"/>
          <w:lang w:bidi="fa-IR"/>
          <w:color w:val="111111"/>
          <w:sz w:val="28"/>
          <w:szCs w:val="28"/>
          <w:rtl/>
        </w:rPr>
        <w:t xml:space="preserve">ج 16، ص 75.</w:t>
      </w:r>
    </w:p>
    <w:p>
      <w:pPr>
        <w:pStyle w:val="BookText"/>
      </w:pPr>
      <w:r>
        <w:rPr>
          <w:rFonts w:ascii="IRNazanin" w:hAnsi="IRNazanin" w:eastAsia="IRNazanin" w:cs="IRNazanin"/>
          <w:lang w:bidi="fa-IR"/>
          <w:color w:val="111111"/>
          <w:sz w:val="28"/>
          <w:szCs w:val="28"/>
          <w:rtl/>
        </w:rPr>
        <w:t xml:space="preserve">قزويني محمّد بن سلیمان - ابن مبارك ،</w:t>
      </w:r>
    </w:p>
    <w:p>
      <w:pPr>
        <w:pStyle w:val="BookText"/>
      </w:pPr>
      <w:r>
        <w:rPr>
          <w:rFonts w:ascii="Amiri" w:hAnsi="Amiri" w:eastAsia="Amiri" w:cs="Amiri"/>
          <w:lang w:bidi="ar-SA"/>
          <w:color w:val="111111"/>
          <w:sz w:val="28"/>
          <w:szCs w:val="28"/>
          <w:rtl/>
        </w:rPr>
        <w:t xml:space="preserve">، محمّد بن سليمان</w:t>
      </w:r>
    </w:p>
    <w:p>
      <w:pPr>
        <w:pStyle w:val="BookText"/>
      </w:pPr>
      <w:r>
        <w:rPr>
          <w:rFonts w:ascii="Amiri" w:hAnsi="Amiri" w:eastAsia="Amiri" w:cs="Amiri"/>
          <w:lang w:bidi="ar-SA"/>
          <w:color w:val="111111"/>
          <w:sz w:val="28"/>
          <w:szCs w:val="28"/>
          <w:rtl/>
        </w:rPr>
        <w:t xml:space="preserve">قزويني ، محمّد بن عبدالرحمن- خطيب ، محمّد بن عبدالرحمن</w:t>
      </w:r>
    </w:p>
    <w:p>
      <w:pPr>
        <w:pStyle w:val="Heading2"/>
      </w:pPr>
      <w:bookmarkStart w:id="6634" w:name="_Toc5736"/>
      <w:r>
        <w:t>قزويني محمّد بن مبارك شاه 928ه-</w:t>
      </w:r>
      <w:bookmarkEnd w:id="6634"/>
    </w:p>
    <w:p>
      <w:pPr>
        <w:pStyle w:val="BookText"/>
      </w:pPr>
      <w:r>
        <w:rPr>
          <w:rFonts w:ascii="Amiri" w:hAnsi="Amiri" w:eastAsia="Amiri" w:cs="Amiri"/>
          <w:lang w:bidi="ar-SA"/>
          <w:color w:val="111111"/>
          <w:sz w:val="28"/>
          <w:szCs w:val="28"/>
          <w:rtl/>
        </w:rPr>
        <w:t xml:space="preserve">1 .حاشية شرح الاسباب و العلامات</w:t>
      </w:r>
    </w:p>
    <w:p>
      <w:pPr>
        <w:pStyle w:val="BookText"/>
      </w:pPr>
      <w:r>
        <w:rPr>
          <w:rFonts w:ascii="IRNazanin" w:hAnsi="IRNazanin" w:eastAsia="IRNazanin" w:cs="IRNazanin"/>
          <w:lang w:bidi="fa-IR"/>
          <w:color w:val="111111"/>
          <w:sz w:val="28"/>
          <w:szCs w:val="28"/>
          <w:rtl/>
        </w:rPr>
        <w:t xml:space="preserve">ج 6، ص 32.</w:t>
      </w:r>
    </w:p>
    <w:p>
      <w:pPr>
        <w:pStyle w:val="BookText"/>
      </w:pPr>
      <w:r>
        <w:rPr>
          <w:rFonts w:ascii="Amiri" w:hAnsi="Amiri" w:eastAsia="Amiri" w:cs="Amiri"/>
          <w:lang w:bidi="ar-SA"/>
          <w:color w:val="111111"/>
          <w:sz w:val="28"/>
          <w:szCs w:val="28"/>
          <w:rtl/>
        </w:rPr>
        <w:t xml:space="preserve">2 .مدار الفحول في شرح منار الاصول</w:t>
      </w:r>
    </w:p>
    <w:p>
      <w:pPr>
        <w:pStyle w:val="BookText"/>
      </w:pPr>
      <w:r>
        <w:rPr>
          <w:rFonts w:ascii="Amiri" w:hAnsi="Amiri" w:eastAsia="Amiri" w:cs="Amiri"/>
          <w:lang w:bidi="ar-SA"/>
          <w:color w:val="111111"/>
          <w:sz w:val="28"/>
          <w:szCs w:val="28"/>
          <w:rtl/>
        </w:rPr>
        <w:t xml:space="preserve">للنسفي، ج 14، ص 304.</w:t>
      </w:r>
    </w:p>
    <w:p>
      <w:pPr>
        <w:pStyle w:val="BookText"/>
      </w:pPr>
      <w:r>
        <w:rPr>
          <w:rFonts w:ascii="Amiri" w:hAnsi="Amiri" w:eastAsia="Amiri" w:cs="Amiri"/>
          <w:lang w:bidi="ar-SA"/>
          <w:color w:val="111111"/>
          <w:sz w:val="28"/>
          <w:szCs w:val="28"/>
          <w:rtl/>
        </w:rPr>
        <w:t xml:space="preserve">قزويني ، محمّد بن محمّد صادق -حسيني قزويني ، محمّد بن محمّد صادق</w:t>
      </w:r>
    </w:p>
    <w:p>
      <w:pPr>
        <w:pStyle w:val="BookText"/>
      </w:pPr>
      <w:r>
        <w:rPr>
          <w:rFonts w:ascii="Amiri" w:hAnsi="Amiri" w:eastAsia="Amiri" w:cs="Amiri"/>
          <w:lang w:bidi="ar-SA"/>
          <w:color w:val="111111"/>
          <w:sz w:val="28"/>
          <w:szCs w:val="28"/>
          <w:rtl/>
        </w:rPr>
        <w:t xml:space="preserve">قزويني ، محمّد تقي بن امير مؤمن -حسيني قزويني ، محمّد تقي بن امير</w:t>
      </w:r>
    </w:p>
    <w:p>
      <w:pPr>
        <w:pStyle w:val="BookText"/>
      </w:pPr>
      <w:r>
        <w:rPr>
          <w:rFonts w:ascii="IRNazanin" w:hAnsi="IRNazanin" w:eastAsia="IRNazanin" w:cs="IRNazanin"/>
          <w:lang w:bidi="fa-IR"/>
          <w:color w:val="111111"/>
          <w:sz w:val="28"/>
          <w:szCs w:val="28"/>
          <w:rtl/>
        </w:rPr>
        <w:t xml:space="preserve">مؤمن</w:t>
      </w:r>
    </w:p>
    <w:p>
      <w:pPr>
        <w:pStyle w:val="BookText"/>
      </w:pPr>
      <w:r>
        <w:rPr>
          <w:rFonts w:ascii="Amiri" w:hAnsi="Amiri" w:eastAsia="Amiri" w:cs="Amiri"/>
          <w:lang w:bidi="ar-SA"/>
          <w:color w:val="111111"/>
          <w:sz w:val="28"/>
          <w:szCs w:val="28"/>
          <w:rtl/>
        </w:rPr>
        <w:t xml:space="preserve">قزويني ، محمّد تقي بن محمّد- برغاني</w:t>
      </w:r>
    </w:p>
    <w:p>
      <w:pPr>
        <w:pStyle w:val="BookText"/>
      </w:pPr>
      <w:r>
        <w:rPr>
          <w:rFonts w:ascii="Amiri" w:hAnsi="Amiri" w:eastAsia="Amiri" w:cs="Amiri"/>
          <w:lang w:bidi="ar-SA"/>
          <w:color w:val="111111"/>
          <w:sz w:val="28"/>
          <w:szCs w:val="28"/>
          <w:rtl/>
        </w:rPr>
        <w:t xml:space="preserve">محمّد تقي بن محمّد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881" w:name="pg7742_71044"/>
    <w:bookmarkEnd w:id="881"/>
    <w:p>
      <w:pPr>
        <w:pStyle w:val="Heading2"/>
      </w:pPr>
      <w:bookmarkStart w:id="6635" w:name="_Toc5737"/>
      <w:r>
        <w:t>قزويني ، محمّد حسن بن محمّد باقر -</w:t>
      </w:r>
      <w:bookmarkEnd w:id="6635"/>
    </w:p>
    <w:p>
      <w:pPr>
        <w:pStyle w:val="BookText"/>
      </w:pPr>
      <w:r>
        <w:rPr>
          <w:rFonts w:ascii="IRNazanin" w:hAnsi="IRNazanin" w:eastAsia="IRNazanin" w:cs="IRNazanin"/>
          <w:lang w:bidi="fa-IR"/>
          <w:color w:val="111111"/>
          <w:sz w:val="28"/>
          <w:szCs w:val="28"/>
          <w:rtl/>
        </w:rPr>
        <w:t xml:space="preserve">1380 ه-</w:t>
      </w:r>
    </w:p>
    <w:p>
      <w:pPr>
        <w:pStyle w:val="BookText"/>
      </w:pPr>
      <w:r>
        <w:rPr>
          <w:rFonts w:ascii="Amiri" w:hAnsi="Amiri" w:eastAsia="Amiri" w:cs="Amiri"/>
          <w:lang w:bidi="ar-SA"/>
          <w:color w:val="111111"/>
          <w:sz w:val="28"/>
          <w:szCs w:val="28"/>
          <w:rtl/>
        </w:rPr>
        <w:t xml:space="preserve">احكام الرهن، ج1، ص 471.</w:t>
      </w:r>
    </w:p>
    <w:p>
      <w:pPr>
        <w:pStyle w:val="Heading2"/>
      </w:pPr>
      <w:bookmarkStart w:id="6636" w:name="_Toc5738"/>
      <w:r>
        <w:t>قزويني ، محمّد حسن بن محمّد باقر</w:t>
      </w:r>
      <w:bookmarkEnd w:id="6636"/>
    </w:p>
    <w:p>
      <w:pPr>
        <w:pStyle w:val="BookText"/>
      </w:pPr>
      <w:r>
        <w:rPr>
          <w:rFonts w:ascii="IRNazanin" w:hAnsi="IRNazanin" w:eastAsia="IRNazanin" w:cs="IRNazanin"/>
          <w:lang w:bidi="fa-IR"/>
          <w:color w:val="111111"/>
          <w:sz w:val="28"/>
          <w:szCs w:val="28"/>
          <w:rtl/>
        </w:rPr>
        <w:t xml:space="preserve">الاستصحاب، ج 2، ص 135.</w:t>
      </w:r>
    </w:p>
    <w:p>
      <w:pPr>
        <w:pStyle w:val="Heading2"/>
      </w:pPr>
      <w:bookmarkStart w:id="6637" w:name="_Toc5739"/>
      <w:r>
        <w:t>قزويني ، محمّد حسن بن محمّد باقر</w:t>
      </w:r>
      <w:bookmarkEnd w:id="6637"/>
    </w:p>
    <w:p>
      <w:pPr>
        <w:pStyle w:val="BookText"/>
      </w:pPr>
      <w:r>
        <w:rPr>
          <w:rFonts w:ascii="IRNazanin" w:hAnsi="IRNazanin" w:eastAsia="IRNazanin" w:cs="IRNazanin"/>
          <w:lang w:bidi="fa-IR"/>
          <w:color w:val="111111"/>
          <w:sz w:val="28"/>
          <w:szCs w:val="28"/>
          <w:rtl/>
        </w:rPr>
        <w:t xml:space="preserve">1380ه-</w:t>
      </w:r>
    </w:p>
    <w:p>
      <w:pPr>
        <w:pStyle w:val="BookText"/>
      </w:pPr>
      <w:r>
        <w:rPr>
          <w:rFonts w:ascii="Amiri" w:hAnsi="Amiri" w:eastAsia="Amiri" w:cs="Amiri"/>
          <w:lang w:bidi="ar-SA"/>
          <w:color w:val="111111"/>
          <w:sz w:val="28"/>
          <w:szCs w:val="28"/>
          <w:rtl/>
        </w:rPr>
        <w:t xml:space="preserve">اكمال الدين في شرح تكملة تبصرة</w:t>
      </w:r>
    </w:p>
    <w:p>
      <w:pPr>
        <w:pStyle w:val="BookText"/>
      </w:pPr>
      <w:r>
        <w:rPr>
          <w:rFonts w:ascii="Amiri" w:hAnsi="Amiri" w:eastAsia="Amiri" w:cs="Amiri"/>
          <w:lang w:bidi="ar-SA"/>
          <w:color w:val="111111"/>
          <w:sz w:val="28"/>
          <w:szCs w:val="28"/>
          <w:rtl/>
        </w:rPr>
        <w:t xml:space="preserve">المتعلمين، ج 2، ص 651.</w:t>
      </w:r>
    </w:p>
    <w:p>
      <w:pPr>
        <w:pStyle w:val="Heading2"/>
      </w:pPr>
      <w:bookmarkStart w:id="6638" w:name="_Toc5740"/>
      <w:r>
        <w:t>قزويني ، محمّد حسن بن محمّد باقر</w:t>
      </w:r>
      <w:bookmarkEnd w:id="6638"/>
    </w:p>
    <w:p>
      <w:pPr>
        <w:pStyle w:val="BookText"/>
      </w:pPr>
      <w:r>
        <w:rPr>
          <w:rFonts w:ascii="Amiri" w:hAnsi="Amiri" w:eastAsia="Amiri" w:cs="Amiri"/>
          <w:lang w:bidi="ar-SA"/>
          <w:color w:val="111111"/>
          <w:sz w:val="28"/>
          <w:szCs w:val="28"/>
          <w:rtl/>
        </w:rPr>
        <w:t xml:space="preserve">الامامة الكبرى و الخلافة العظمى</w:t>
      </w:r>
    </w:p>
    <w:p>
      <w:pPr>
        <w:pStyle w:val="BookText"/>
      </w:pPr>
      <w:r>
        <w:rPr>
          <w:rFonts w:ascii="IRNazanin" w:hAnsi="IRNazanin" w:eastAsia="IRNazanin" w:cs="IRNazanin"/>
          <w:lang w:bidi="fa-IR"/>
          <w:color w:val="111111"/>
          <w:sz w:val="28"/>
          <w:szCs w:val="28"/>
          <w:rtl/>
        </w:rPr>
        <w:t xml:space="preserve">ج 2، ص 735.</w:t>
      </w:r>
    </w:p>
    <w:p>
      <w:pPr>
        <w:pStyle w:val="Heading2"/>
      </w:pPr>
      <w:bookmarkStart w:id="6639" w:name="_Toc5741"/>
      <w:r>
        <w:t>قزويني ، محمّد حسن بن محمّد باقر -</w:t>
      </w:r>
      <w:bookmarkEnd w:id="6639"/>
    </w:p>
    <w:p>
      <w:pPr>
        <w:pStyle w:val="BookText"/>
      </w:pPr>
      <w:r>
        <w:rPr>
          <w:rFonts w:ascii="IRNazanin" w:hAnsi="IRNazanin" w:eastAsia="IRNazanin" w:cs="IRNazanin"/>
          <w:lang w:bidi="fa-IR"/>
          <w:color w:val="111111"/>
          <w:sz w:val="28"/>
          <w:szCs w:val="28"/>
          <w:rtl/>
        </w:rPr>
        <w:t xml:space="preserve">1380ه-</w:t>
      </w:r>
    </w:p>
    <w:p>
      <w:pPr>
        <w:pStyle w:val="BookText"/>
      </w:pPr>
      <w:r>
        <w:rPr>
          <w:rFonts w:ascii="Amiri" w:hAnsi="Amiri" w:eastAsia="Amiri" w:cs="Amiri"/>
          <w:lang w:bidi="ar-SA"/>
          <w:color w:val="111111"/>
          <w:sz w:val="28"/>
          <w:szCs w:val="28"/>
          <w:rtl/>
        </w:rPr>
        <w:t xml:space="preserve">1 .البراءة و الأشتغال، ج3، ص294.</w:t>
      </w:r>
    </w:p>
    <w:p>
      <w:pPr>
        <w:pStyle w:val="BookText"/>
      </w:pPr>
      <w:r>
        <w:rPr>
          <w:rFonts w:ascii="Amiri" w:hAnsi="Amiri" w:eastAsia="Amiri" w:cs="Amiri"/>
          <w:lang w:bidi="ar-SA"/>
          <w:color w:val="111111"/>
          <w:sz w:val="28"/>
          <w:szCs w:val="28"/>
          <w:rtl/>
        </w:rPr>
        <w:t xml:space="preserve">2 .التقريرات في الاصول، ج 4، ص 769.</w:t>
      </w:r>
    </w:p>
    <w:p>
      <w:pPr>
        <w:pStyle w:val="BookText"/>
      </w:pPr>
      <w:r>
        <w:rPr>
          <w:rFonts w:ascii="Amiri" w:hAnsi="Amiri" w:eastAsia="Amiri" w:cs="Amiri"/>
          <w:lang w:bidi="ar-SA"/>
          <w:color w:val="111111"/>
          <w:sz w:val="28"/>
          <w:szCs w:val="28"/>
          <w:rtl/>
        </w:rPr>
        <w:t xml:space="preserve">3 .التقريرات في الاصول = تقريرات الشيخ محمّد كاظم الخراساني، جع،</w:t>
      </w:r>
    </w:p>
    <w:p>
      <w:pPr>
        <w:pStyle w:val="BookText"/>
      </w:pPr>
      <w:r>
        <w:rPr>
          <w:rFonts w:ascii="IRNazanin" w:hAnsi="IRNazanin" w:eastAsia="IRNazanin" w:cs="IRNazanin"/>
          <w:lang w:bidi="fa-IR"/>
          <w:color w:val="111111"/>
          <w:sz w:val="28"/>
          <w:szCs w:val="28"/>
          <w:rtl/>
        </w:rPr>
        <w:t xml:space="preserve">ص 769 .</w:t>
      </w:r>
    </w:p>
    <w:p>
      <w:pPr>
        <w:pStyle w:val="BookText"/>
      </w:pPr>
      <w:r>
        <w:rPr>
          <w:rFonts w:ascii="Amiri" w:hAnsi="Amiri" w:eastAsia="Amiri" w:cs="Amiri"/>
          <w:lang w:bidi="ar-SA"/>
          <w:color w:val="111111"/>
          <w:sz w:val="28"/>
          <w:szCs w:val="28"/>
          <w:rtl/>
        </w:rPr>
        <w:t xml:space="preserve">4 .شرح اللمعة الدمشقية، ج 10،</w:t>
      </w:r>
    </w:p>
    <w:p>
      <w:pPr>
        <w:pStyle w:val="BookText"/>
      </w:pPr>
      <w:r>
        <w:rPr>
          <w:rFonts w:ascii="IRNazanin" w:hAnsi="IRNazanin" w:eastAsia="IRNazanin" w:cs="IRNazanin"/>
          <w:lang w:bidi="fa-IR"/>
          <w:color w:val="111111"/>
          <w:sz w:val="28"/>
          <w:szCs w:val="28"/>
          <w:rtl/>
        </w:rPr>
        <w:t xml:space="preserve">ص 87.</w:t>
      </w:r>
    </w:p>
    <w:p>
      <w:pPr>
        <w:pStyle w:val="BookText"/>
      </w:pPr>
      <w:r>
        <w:rPr>
          <w:rFonts w:ascii="Amiri" w:hAnsi="Amiri" w:eastAsia="Amiri" w:cs="Amiri"/>
          <w:lang w:bidi="ar-SA"/>
          <w:color w:val="111111"/>
          <w:sz w:val="28"/>
          <w:szCs w:val="28"/>
          <w:rtl/>
        </w:rPr>
        <w:t xml:space="preserve">5 .الفراق = كتاب الفراق من الطلاق</w:t>
      </w:r>
    </w:p>
    <w:p>
      <w:pPr>
        <w:pStyle w:val="BookText"/>
      </w:pPr>
      <w:r>
        <w:rPr>
          <w:rFonts w:ascii="IRNazanin" w:hAnsi="IRNazanin" w:eastAsia="IRNazanin" w:cs="IRNazanin"/>
          <w:lang w:bidi="fa-IR"/>
          <w:color w:val="111111"/>
          <w:sz w:val="28"/>
          <w:szCs w:val="28"/>
          <w:rtl/>
        </w:rPr>
        <w:t xml:space="preserve">ج 11، ص 772.</w:t>
      </w:r>
    </w:p>
    <w:p>
      <w:pPr>
        <w:pStyle w:val="BookText"/>
      </w:pPr>
      <w:r>
        <w:rPr>
          <w:rFonts w:ascii="Amiri" w:hAnsi="Amiri" w:eastAsia="Amiri" w:cs="Amiri"/>
          <w:lang w:bidi="ar-SA"/>
          <w:color w:val="111111"/>
          <w:sz w:val="28"/>
          <w:szCs w:val="28"/>
          <w:rtl/>
        </w:rPr>
        <w:t xml:space="preserve">6 .القضاء (مسائل في)، ج12، ص733.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المفاهيم والعام والخاص و المطلق و المفيد (رسالة في)، ج 15 ، ص 182.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النكاح، ج 16، ص 457.</w:t>
      </w:r>
    </w:p>
    <w:p>
      <w:pPr>
        <w:pStyle w:val="BookText"/>
      </w:pPr>
      <w:r>
        <w:rPr>
          <w:rFonts w:ascii="Amiri" w:hAnsi="Amiri" w:eastAsia="Amiri" w:cs="Amiri"/>
          <w:lang w:bidi="ar-SA"/>
          <w:color w:val="111111"/>
          <w:sz w:val="28"/>
          <w:szCs w:val="28"/>
          <w:rtl/>
        </w:rPr>
        <w:t xml:space="preserve">9 .النواهي (رسالة في)، ج 16، ص 550.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الوافية، ج 16 ، ص 702.</w:t>
      </w:r>
    </w:p>
    <w:p>
      <w:pPr>
        <w:pStyle w:val="Heading2"/>
      </w:pPr>
      <w:bookmarkStart w:id="6640" w:name="_Toc5742"/>
      <w:r>
        <w:t>قزويني ، محمّد حسن بن محمّد معصوم</w:t>
      </w:r>
      <w:bookmarkEnd w:id="66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1240 ه-</w:t>
      </w:r>
    </w:p>
    <w:p>
      <w:pPr>
        <w:pStyle w:val="BookText"/>
      </w:pPr>
      <w:r>
        <w:rPr>
          <w:rFonts w:ascii="Amiri" w:hAnsi="Amiri" w:eastAsia="Amiri" w:cs="Amiri"/>
          <w:lang w:bidi="ar-SA"/>
          <w:color w:val="111111"/>
          <w:sz w:val="28"/>
          <w:szCs w:val="28"/>
          <w:rtl/>
        </w:rPr>
        <w:t xml:space="preserve">1 .تنقيح المقاصد الاصولية في شرح</w:t>
      </w:r>
    </w:p>
    <w:p>
      <w:pPr>
        <w:pStyle w:val="BookText"/>
      </w:pPr>
      <w:r>
        <w:rPr>
          <w:rFonts w:ascii="Amiri" w:hAnsi="Amiri" w:eastAsia="Amiri" w:cs="Amiri"/>
          <w:lang w:bidi="ar-SA"/>
          <w:color w:val="111111"/>
          <w:sz w:val="28"/>
          <w:szCs w:val="28"/>
          <w:rtl/>
        </w:rPr>
        <w:t xml:space="preserve">ملخص الفوائد الحائرية، جه،</w:t>
      </w:r>
    </w:p>
    <w:p>
      <w:pPr>
        <w:pStyle w:val="BookText"/>
      </w:pPr>
      <w:r>
        <w:rPr>
          <w:rFonts w:ascii="IRNazanin" w:hAnsi="IRNazanin" w:eastAsia="IRNazanin" w:cs="IRNazanin"/>
          <w:lang w:bidi="fa-IR"/>
          <w:color w:val="111111"/>
          <w:sz w:val="28"/>
          <w:szCs w:val="28"/>
          <w:rtl/>
        </w:rPr>
        <w:t xml:space="preserve">ص 68.</w:t>
      </w:r>
    </w:p>
    <w:p>
      <w:pPr>
        <w:pStyle w:val="BookText"/>
      </w:pPr>
      <w:r>
        <w:rPr>
          <w:rFonts w:ascii="Amiri" w:hAnsi="Amiri" w:eastAsia="Amiri" w:cs="Amiri"/>
          <w:lang w:bidi="ar-SA"/>
          <w:color w:val="111111"/>
          <w:sz w:val="28"/>
          <w:szCs w:val="28"/>
          <w:rtl/>
        </w:rPr>
        <w:t xml:space="preserve">2 .رياض الشهادة في مصائب السادة</w:t>
      </w:r>
    </w:p>
    <w:p>
      <w:pPr>
        <w:pStyle w:val="BookText"/>
      </w:pPr>
      <w:r>
        <w:rPr>
          <w:rFonts w:ascii="IRNazanin" w:hAnsi="IRNazanin" w:eastAsia="IRNazanin" w:cs="IRNazanin"/>
          <w:lang w:bidi="fa-IR"/>
          <w:color w:val="111111"/>
          <w:sz w:val="28"/>
          <w:szCs w:val="28"/>
          <w:rtl/>
        </w:rPr>
        <w:t xml:space="preserve">ج 8، ص 483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شرح الفوائد الحائرية، ج 9، ص 805.</w:t>
      </w:r>
    </w:p>
    <w:p>
      <w:pPr>
        <w:pStyle w:val="BookText"/>
      </w:pPr>
      <w:r>
        <w:rPr>
          <w:rFonts w:ascii="Amiri" w:hAnsi="Amiri" w:eastAsia="Amiri" w:cs="Amiri"/>
          <w:lang w:bidi="ar-SA"/>
          <w:color w:val="111111"/>
          <w:sz w:val="28"/>
          <w:szCs w:val="28"/>
          <w:rtl/>
        </w:rPr>
        <w:t xml:space="preserve">4 .الغرة الغراء - كشف الغطاء عن</w:t>
      </w:r>
    </w:p>
    <w:p>
      <w:pPr>
        <w:pStyle w:val="BookText"/>
      </w:pPr>
      <w:r>
        <w:rPr>
          <w:rFonts w:ascii="IRNazanin" w:hAnsi="IRNazanin" w:eastAsia="IRNazanin" w:cs="IRNazanin"/>
          <w:lang w:bidi="fa-IR"/>
          <w:color w:val="111111"/>
          <w:sz w:val="28"/>
          <w:szCs w:val="28"/>
          <w:rtl/>
        </w:rPr>
        <w:t xml:space="preserve">وجوه مراسم الاهتداء، ج11، ص 472 .</w:t>
      </w:r>
    </w:p>
    <w:p>
      <w:pPr>
        <w:pStyle w:val="BookText"/>
      </w:pPr>
      <w:r>
        <w:rPr>
          <w:rFonts w:ascii="Amiri" w:hAnsi="Amiri" w:eastAsia="Amiri" w:cs="Amiri"/>
          <w:lang w:bidi="ar-SA"/>
          <w:color w:val="111111"/>
          <w:sz w:val="28"/>
          <w:szCs w:val="28"/>
          <w:rtl/>
        </w:rPr>
        <w:t xml:space="preserve">5 .ملخص الفوائد السنية و منتخب الفرائد الحسينية، ج 15 ، ص 459.</w:t>
      </w:r>
    </w:p>
    <w:p>
      <w:pPr>
        <w:pStyle w:val="BookText"/>
      </w:pPr>
      <w:r>
        <w:rPr>
          <w:rFonts w:ascii="Amiri" w:hAnsi="Amiri" w:eastAsia="Amiri" w:cs="Amiri"/>
          <w:lang w:bidi="ar-SA"/>
          <w:color w:val="111111"/>
          <w:sz w:val="28"/>
          <w:szCs w:val="28"/>
          <w:rtl/>
        </w:rPr>
        <w:t xml:space="preserve">6 .نور العين، ج 16، ص 563.</w:t>
      </w:r>
    </w:p>
    <w:p>
      <w:pPr>
        <w:pStyle w:val="Heading2"/>
      </w:pPr>
      <w:bookmarkStart w:id="6641" w:name="_Toc5743"/>
      <w:r>
        <w:t>قزويني ، محمّد حسین قرن 13 ه-</w:t>
      </w:r>
      <w:bookmarkEnd w:id="66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اقرار الزوج بطلاق زوجته (رسالة</w:t>
      </w:r>
    </w:p>
    <w:p>
      <w:pPr>
        <w:pStyle w:val="BookText"/>
      </w:pPr>
      <w:r>
        <w:rPr>
          <w:rFonts w:ascii="Amiri" w:hAnsi="Amiri" w:eastAsia="Amiri" w:cs="Amiri"/>
          <w:lang w:bidi="ar-SA"/>
          <w:color w:val="111111"/>
          <w:sz w:val="28"/>
          <w:szCs w:val="28"/>
          <w:rtl/>
        </w:rPr>
        <w:t xml:space="preserve">في)، ج 2، ص 620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البيع، ج 3، ص 506.</w:t>
      </w:r>
    </w:p>
    <w:p>
      <w:pPr>
        <w:pStyle w:val="BookText"/>
      </w:pPr>
      <w:r>
        <w:rPr>
          <w:rFonts w:ascii="Amiri" w:hAnsi="Amiri" w:eastAsia="Amiri" w:cs="Amiri"/>
          <w:lang w:bidi="ar-SA"/>
          <w:color w:val="111111"/>
          <w:sz w:val="28"/>
          <w:szCs w:val="28"/>
          <w:rtl/>
        </w:rPr>
        <w:t xml:space="preserve">3 .الزكاة (كتاب)، ج8، ص 605.</w:t>
      </w:r>
    </w:p>
    <w:p>
      <w:pPr>
        <w:pStyle w:val="BookText"/>
      </w:pPr>
      <w:r>
        <w:rPr>
          <w:rFonts w:ascii="Amiri" w:hAnsi="Amiri" w:eastAsia="Amiri" w:cs="Amiri"/>
          <w:lang w:bidi="ar-SA"/>
          <w:color w:val="111111"/>
          <w:sz w:val="28"/>
          <w:szCs w:val="28"/>
          <w:rtl/>
        </w:rPr>
        <w:t xml:space="preserve">4 .قاعدة من ملك، ج 12، ص 336.</w:t>
      </w:r>
    </w:p>
    <w:p>
      <w:pPr>
        <w:pStyle w:val="BookText"/>
      </w:pPr>
      <w:r>
        <w:rPr>
          <w:rFonts w:ascii="Amiri" w:hAnsi="Amiri" w:eastAsia="Amiri" w:cs="Amiri"/>
          <w:lang w:bidi="ar-SA"/>
          <w:color w:val="111111"/>
          <w:sz w:val="28"/>
          <w:szCs w:val="28"/>
          <w:rtl/>
        </w:rPr>
        <w:t xml:space="preserve">5 .مجمع الكنوز في شرح حاشية ملا عبدالله اليزدي على تهذيب المنطق، ج13، ص 862.</w:t>
      </w:r>
    </w:p>
    <w:p>
      <w:pPr>
        <w:pStyle w:val="BookText"/>
      </w:pPr>
      <w:r>
        <w:rPr>
          <w:rFonts w:ascii="Amiri" w:hAnsi="Amiri" w:eastAsia="Amiri" w:cs="Amiri"/>
          <w:lang w:bidi="ar-SA"/>
          <w:color w:val="111111"/>
          <w:sz w:val="28"/>
          <w:szCs w:val="28"/>
          <w:rtl/>
        </w:rPr>
        <w:t xml:space="preserve">قزويني ، محمّد رضا بن محمّد قاسم- حسيني قزويني ، محمّد رضا بن محمّد</w:t>
      </w:r>
    </w:p>
    <w:p>
      <w:pPr>
        <w:pStyle w:val="BookText"/>
      </w:pPr>
      <w:r>
        <w:rPr>
          <w:rFonts w:ascii="IRNazanin" w:hAnsi="IRNazanin" w:eastAsia="IRNazanin" w:cs="IRNazanin"/>
          <w:lang w:bidi="fa-IR"/>
          <w:color w:val="111111"/>
          <w:sz w:val="28"/>
          <w:szCs w:val="28"/>
          <w:rtl/>
        </w:rPr>
        <w:t xml:space="preserve">قاسم</w:t>
      </w:r>
    </w:p>
    <w:p>
      <w:pPr>
        <w:pStyle w:val="Heading2"/>
      </w:pPr>
      <w:bookmarkStart w:id="6642" w:name="_Toc5744"/>
      <w:r>
        <w:t>قزويني ، محمّد رضي بن محمّد نبي</w:t>
      </w:r>
      <w:bookmarkEnd w:id="6642"/>
    </w:p>
    <w:p>
      <w:pPr>
        <w:pStyle w:val="BookText"/>
      </w:pPr>
      <w:r>
        <w:rPr>
          <w:rFonts w:ascii="IRNazanin" w:hAnsi="IRNazanin" w:eastAsia="IRNazanin" w:cs="IRNazanin"/>
          <w:lang w:bidi="fa-IR"/>
          <w:color w:val="111111"/>
          <w:sz w:val="28"/>
          <w:szCs w:val="28"/>
          <w:rtl/>
        </w:rPr>
        <w:t xml:space="preserve">1437 ه-</w:t>
      </w:r>
    </w:p>
    <w:p>
      <w:pPr>
        <w:pStyle w:val="BookText"/>
      </w:pPr>
      <w:r>
        <w:rPr>
          <w:rFonts w:ascii="IRNazanin" w:hAnsi="IRNazanin" w:eastAsia="IRNazanin" w:cs="IRNazanin"/>
          <w:lang w:bidi="fa-IR"/>
          <w:color w:val="111111"/>
          <w:sz w:val="28"/>
          <w:szCs w:val="28"/>
          <w:rtl/>
        </w:rPr>
        <w:t xml:space="preserve">تظلم الزهراء من اهراق دماء آل</w:t>
      </w:r>
    </w:p>
    <w:p>
      <w:pPr>
        <w:pStyle w:val="BookText"/>
      </w:pPr>
      <w:r>
        <w:rPr>
          <w:rFonts w:ascii="IRNazanin" w:hAnsi="IRNazanin" w:eastAsia="IRNazanin" w:cs="IRNazanin"/>
          <w:lang w:bidi="fa-IR"/>
          <w:color w:val="111111"/>
          <w:sz w:val="28"/>
          <w:szCs w:val="28"/>
          <w:rtl/>
        </w:rPr>
        <w:t xml:space="preserve">العباء، ج 4، ص 444.</w:t>
      </w:r>
    </w:p>
    <w:p>
      <w:pPr>
        <w:pStyle w:val="BookText"/>
      </w:pPr>
      <w:r>
        <w:rPr>
          <w:rFonts w:ascii="Times New Roman" w:hAnsi="Times New Roman" w:eastAsia="Times New Roman" w:cs="Times New Roman"/>
          <w:lang w:val="en-US" w:bidi="en-US"/>
          <w:color w:val="111111"/>
          <w:sz w:val="28"/>
          <w:szCs w:val="28"/>
          <w:rtl/>
        </w:rPr>
        <w:t xml:space="preserve">951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882" w:name="pg7742_71046"/>
    <w:bookmarkEnd w:id="882"/>
    <w:p>
      <w:pPr>
        <w:pStyle w:val="BookText"/>
      </w:pPr>
      <w:r>
        <w:rPr>
          <w:rFonts w:ascii="Amiri" w:hAnsi="Amiri" w:eastAsia="Amiri" w:cs="Amiri"/>
          <w:lang w:bidi="ar-SA"/>
          <w:color w:val="111111"/>
          <w:sz w:val="28"/>
          <w:szCs w:val="28"/>
          <w:rtl/>
        </w:rPr>
        <w:t xml:space="preserve">قزويني ، محمّد رفيع -واعظ قزويني</w:t>
      </w:r>
    </w:p>
    <w:p>
      <w:pPr>
        <w:pStyle w:val="BookText"/>
      </w:pPr>
      <w:r>
        <w:rPr>
          <w:rFonts w:ascii="IRNazanin" w:hAnsi="IRNazanin" w:eastAsia="IRNazanin" w:cs="IRNazanin"/>
          <w:lang w:bidi="fa-IR"/>
          <w:color w:val="111111"/>
          <w:sz w:val="28"/>
          <w:szCs w:val="28"/>
          <w:rtl/>
        </w:rPr>
        <w:t xml:space="preserve">تح الله</w:t>
      </w:r>
    </w:p>
    <w:p>
      <w:pPr>
        <w:pStyle w:val="BookText"/>
      </w:pPr>
      <w:r>
        <w:rPr>
          <w:rFonts w:ascii="IRNazanin" w:hAnsi="IRNazanin" w:eastAsia="IRNazanin" w:cs="IRNazanin"/>
          <w:lang w:bidi="fa-IR"/>
          <w:color w:val="111111"/>
          <w:sz w:val="28"/>
          <w:szCs w:val="28"/>
          <w:rtl/>
        </w:rPr>
        <w:t xml:space="preserve">محمّد رفیع بن فتح -</w:t>
      </w:r>
    </w:p>
    <w:p>
      <w:pPr>
        <w:pStyle w:val="BookText"/>
      </w:pPr>
      <w:r>
        <w:rPr>
          <w:rFonts w:ascii="IRNazanin" w:hAnsi="IRNazanin" w:eastAsia="IRNazanin" w:cs="IRNazanin"/>
          <w:lang w:bidi="fa-IR"/>
          <w:color w:val="111111"/>
          <w:sz w:val="28"/>
          <w:szCs w:val="28"/>
          <w:rtl/>
        </w:rPr>
        <w:t xml:space="preserve">قزويني ، محمّد شفیع بن محمّد</w:t>
      </w:r>
    </w:p>
    <w:p>
      <w:pPr>
        <w:pStyle w:val="BookText"/>
      </w:pPr>
      <w:r>
        <w:rPr>
          <w:rFonts w:ascii="Amiri" w:hAnsi="Amiri" w:eastAsia="Amiri" w:cs="Amiri"/>
          <w:lang w:bidi="ar-SA"/>
          <w:color w:val="111111"/>
          <w:sz w:val="28"/>
          <w:szCs w:val="28"/>
          <w:rtl/>
        </w:rPr>
        <w:t xml:space="preserve">رفيع- واعظ قزويني ، محمّد شفيع بن محمّد</w:t>
      </w:r>
    </w:p>
    <w:p>
      <w:pPr>
        <w:pStyle w:val="BookText"/>
      </w:pPr>
      <w:r>
        <w:rPr>
          <w:rFonts w:ascii="Amiri" w:hAnsi="Amiri" w:eastAsia="Amiri" w:cs="Amiri"/>
          <w:lang w:bidi="ar-SA"/>
          <w:color w:val="111111"/>
          <w:sz w:val="28"/>
          <w:szCs w:val="28"/>
          <w:rtl/>
        </w:rPr>
        <w:t xml:space="preserve">رفيع</w:t>
      </w:r>
    </w:p>
    <w:p>
      <w:pPr>
        <w:pStyle w:val="BookText"/>
      </w:pPr>
      <w:r>
        <w:rPr>
          <w:rFonts w:ascii="Amiri" w:hAnsi="Amiri" w:eastAsia="Amiri" w:cs="Amiri"/>
          <w:lang w:bidi="ar-SA"/>
          <w:color w:val="111111"/>
          <w:sz w:val="28"/>
          <w:szCs w:val="28"/>
          <w:rtl/>
        </w:rPr>
        <w:t xml:space="preserve">قزويني ، محمّد صالح بن محمّد</w:t>
      </w:r>
    </w:p>
    <w:p>
      <w:pPr>
        <w:pStyle w:val="BookText"/>
      </w:pPr>
      <w:r>
        <w:rPr>
          <w:rFonts w:ascii="Amiri" w:hAnsi="Amiri" w:eastAsia="Amiri" w:cs="Amiri"/>
          <w:lang w:bidi="ar-SA"/>
          <w:color w:val="111111"/>
          <w:sz w:val="28"/>
          <w:szCs w:val="28"/>
          <w:rtl/>
        </w:rPr>
        <w:t xml:space="preserve">باقر ر-وغني قزويني ، محمّد صالح بن محمّد</w:t>
      </w:r>
    </w:p>
    <w:p>
      <w:pPr>
        <w:pStyle w:val="BookText"/>
      </w:pPr>
      <w:r>
        <w:rPr>
          <w:rFonts w:ascii="IRNazanin" w:hAnsi="IRNazanin" w:eastAsia="IRNazanin" w:cs="IRNazanin"/>
          <w:lang w:bidi="fa-IR"/>
          <w:color w:val="111111"/>
          <w:sz w:val="28"/>
          <w:szCs w:val="28"/>
          <w:rtl/>
        </w:rPr>
        <w:t xml:space="preserve">باقر</w:t>
      </w:r>
    </w:p>
    <w:p>
      <w:pPr>
        <w:pStyle w:val="BookText"/>
      </w:pPr>
      <w:r>
        <w:rPr>
          <w:rFonts w:ascii="Amiri" w:hAnsi="Amiri" w:eastAsia="Amiri" w:cs="Amiri"/>
          <w:lang w:bidi="ar-SA"/>
          <w:color w:val="111111"/>
          <w:sz w:val="28"/>
          <w:szCs w:val="28"/>
          <w:rtl/>
        </w:rPr>
        <w:t xml:space="preserve">قزويني ، محمّد طاهر بن حسين- وحيد</w:t>
      </w:r>
    </w:p>
    <w:p>
      <w:pPr>
        <w:pStyle w:val="BookText"/>
      </w:pPr>
      <w:r>
        <w:rPr>
          <w:rFonts w:ascii="Amiri" w:hAnsi="Amiri" w:eastAsia="Amiri" w:cs="Amiri"/>
          <w:lang w:bidi="ar-SA"/>
          <w:color w:val="111111"/>
          <w:sz w:val="28"/>
          <w:szCs w:val="28"/>
          <w:rtl/>
        </w:rPr>
        <w:t xml:space="preserve">قزويني ، محمّد طاهر بن حسين</w:t>
      </w:r>
    </w:p>
    <w:p>
      <w:pPr>
        <w:pStyle w:val="Heading2"/>
      </w:pPr>
      <w:bookmarkStart w:id="6643" w:name="_Toc5745"/>
      <w:r>
        <w:t>قزويني ، محمّد طاهر بن محمد مؤمن</w:t>
      </w:r>
      <w:bookmarkEnd w:id="6643"/>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منتخب التجريد في معرفة التجويد</w:t>
      </w:r>
    </w:p>
    <w:p>
      <w:pPr>
        <w:pStyle w:val="BookText"/>
      </w:pPr>
      <w:r>
        <w:rPr>
          <w:rFonts w:ascii="IRNazanin" w:hAnsi="IRNazanin" w:eastAsia="IRNazanin" w:cs="IRNazanin"/>
          <w:lang w:bidi="fa-IR"/>
          <w:color w:val="111111"/>
          <w:sz w:val="28"/>
          <w:szCs w:val="28"/>
          <w:rtl/>
        </w:rPr>
        <w:t xml:space="preserve">تجوید قرآن، ج 15 ، ص 602.</w:t>
      </w:r>
    </w:p>
    <w:p>
      <w:pPr>
        <w:pStyle w:val="BookText"/>
      </w:pPr>
      <w:r>
        <w:rPr>
          <w:rFonts w:ascii="Amiri" w:hAnsi="Amiri" w:eastAsia="Amiri" w:cs="Amiri"/>
          <w:lang w:bidi="ar-SA"/>
          <w:color w:val="111111"/>
          <w:sz w:val="28"/>
          <w:szCs w:val="28"/>
          <w:rtl/>
        </w:rPr>
        <w:t xml:space="preserve">قزويني ، محمّد علي -نامي قزويني ،</w:t>
      </w:r>
    </w:p>
    <w:p>
      <w:pPr>
        <w:pStyle w:val="BookText"/>
      </w:pPr>
      <w:r>
        <w:rPr>
          <w:rFonts w:ascii="Amiri" w:hAnsi="Amiri" w:eastAsia="Amiri" w:cs="Amiri"/>
          <w:lang w:bidi="ar-SA"/>
          <w:color w:val="111111"/>
          <w:sz w:val="28"/>
          <w:szCs w:val="28"/>
          <w:rtl/>
        </w:rPr>
        <w:t xml:space="preserve">محمد علي</w:t>
      </w:r>
    </w:p>
    <w:p>
      <w:pPr>
        <w:pStyle w:val="BookText"/>
      </w:pPr>
      <w:r>
        <w:rPr>
          <w:rFonts w:ascii="Amiri" w:hAnsi="Amiri" w:eastAsia="Amiri" w:cs="Amiri"/>
          <w:lang w:bidi="ar-SA"/>
          <w:color w:val="111111"/>
          <w:sz w:val="28"/>
          <w:szCs w:val="28"/>
          <w:rtl/>
        </w:rPr>
        <w:t xml:space="preserve">قزويني ، محمّد مؤمن- حسيني قزويني ،</w:t>
      </w:r>
    </w:p>
    <w:p>
      <w:pPr>
        <w:pStyle w:val="BookText"/>
      </w:pPr>
      <w:r>
        <w:rPr>
          <w:rFonts w:ascii="Amiri" w:hAnsi="Amiri" w:eastAsia="Amiri" w:cs="Amiri"/>
          <w:lang w:bidi="ar-SA"/>
          <w:color w:val="111111"/>
          <w:sz w:val="28"/>
          <w:szCs w:val="28"/>
          <w:rtl/>
        </w:rPr>
        <w:t xml:space="preserve">محمّد مؤمن</w:t>
      </w:r>
    </w:p>
    <w:p>
      <w:pPr>
        <w:pStyle w:val="Heading2"/>
      </w:pPr>
      <w:bookmarkStart w:id="6644" w:name="_Toc5746"/>
      <w:r>
        <w:t>قزويني ، محمّد مهدي بن حسن 1222 -</w:t>
      </w:r>
      <w:bookmarkEnd w:id="6644"/>
    </w:p>
    <w:p>
      <w:pPr>
        <w:pStyle w:val="BookText"/>
      </w:pPr>
      <w:r>
        <w:rPr>
          <w:rFonts w:ascii="IRNazanin" w:hAnsi="IRNazanin" w:eastAsia="IRNazanin" w:cs="IRNazanin"/>
          <w:lang w:bidi="fa-IR"/>
          <w:color w:val="111111"/>
          <w:sz w:val="28"/>
          <w:szCs w:val="28"/>
          <w:rtl/>
        </w:rPr>
        <w:t xml:space="preserve">1300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آيات المتوسمين، ج 1، ص 76.</w:t>
      </w:r>
    </w:p>
    <w:p>
      <w:pPr>
        <w:pStyle w:val="BookText"/>
      </w:pPr>
      <w:r>
        <w:rPr>
          <w:rFonts w:ascii="Amiri" w:hAnsi="Amiri" w:eastAsia="Amiri" w:cs="Amiri"/>
          <w:lang w:bidi="ar-SA"/>
          <w:color w:val="111111"/>
          <w:sz w:val="28"/>
          <w:szCs w:val="28"/>
          <w:rtl/>
        </w:rPr>
        <w:t xml:space="preserve">2 .اخبار ظهور الحجة( رسالة في)، ج1،</w:t>
      </w:r>
    </w:p>
    <w:p>
      <w:pPr>
        <w:pStyle w:val="BookText"/>
      </w:pPr>
      <w:r>
        <w:rPr>
          <w:rFonts w:ascii="IRNazanin" w:hAnsi="IRNazanin" w:eastAsia="IRNazanin" w:cs="IRNazanin"/>
          <w:lang w:bidi="fa-IR"/>
          <w:color w:val="111111"/>
          <w:sz w:val="28"/>
          <w:szCs w:val="28"/>
          <w:rtl/>
        </w:rPr>
        <w:t xml:space="preserve">ص 531.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اساس الايجاد في علم الاستعداد</w:t>
      </w:r>
    </w:p>
    <w:p>
      <w:pPr>
        <w:pStyle w:val="BookText"/>
      </w:pPr>
      <w:r>
        <w:rPr>
          <w:rFonts w:ascii="IRNazanin" w:hAnsi="IRNazanin" w:eastAsia="IRNazanin" w:cs="IRNazanin"/>
          <w:lang w:bidi="fa-IR"/>
          <w:color w:val="111111"/>
          <w:sz w:val="28"/>
          <w:szCs w:val="28"/>
          <w:rtl/>
        </w:rPr>
        <w:t xml:space="preserve">ج 2، ص 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اسماء القبائل والعشائر و بعض</w:t>
      </w:r>
    </w:p>
    <w:p>
      <w:pPr>
        <w:pStyle w:val="BookText"/>
      </w:pPr>
      <w:r>
        <w:rPr>
          <w:rFonts w:ascii="Amiri" w:hAnsi="Amiri" w:eastAsia="Amiri" w:cs="Amiri"/>
          <w:lang w:bidi="ar-SA"/>
          <w:color w:val="111111"/>
          <w:sz w:val="28"/>
          <w:szCs w:val="28"/>
          <w:rtl/>
        </w:rPr>
        <w:t xml:space="preserve">الملوك، ج 2، ص232.</w:t>
      </w:r>
    </w:p>
    <w:p>
      <w:pPr>
        <w:pStyle w:val="BookText"/>
      </w:pPr>
      <w:r>
        <w:rPr>
          <w:rFonts w:ascii="Amiri" w:hAnsi="Amiri" w:eastAsia="Amiri" w:cs="Amiri"/>
          <w:lang w:bidi="ar-SA"/>
          <w:color w:val="111111"/>
          <w:sz w:val="28"/>
          <w:szCs w:val="28"/>
          <w:rtl/>
        </w:rPr>
        <w:t xml:space="preserve">5 .امنية الموقن، ج 2، ص 769.</w:t>
      </w:r>
    </w:p>
    <w:p>
      <w:pPr>
        <w:pStyle w:val="BookText"/>
      </w:pPr>
      <w:r>
        <w:rPr>
          <w:rFonts w:ascii="Amiri" w:hAnsi="Amiri" w:eastAsia="Amiri" w:cs="Amiri"/>
          <w:lang w:bidi="ar-SA"/>
          <w:color w:val="111111"/>
          <w:sz w:val="28"/>
          <w:szCs w:val="28"/>
          <w:rtl/>
        </w:rPr>
        <w:t xml:space="preserve">6 .البحر الزاخر في اصول الاوائل و</w:t>
      </w:r>
    </w:p>
    <w:p>
      <w:pPr>
        <w:pStyle w:val="BookText"/>
      </w:pPr>
      <w:r>
        <w:rPr>
          <w:rFonts w:ascii="IRNazanin" w:hAnsi="IRNazanin" w:eastAsia="IRNazanin" w:cs="IRNazanin"/>
          <w:lang w:bidi="fa-IR"/>
          <w:color w:val="111111"/>
          <w:sz w:val="28"/>
          <w:szCs w:val="28"/>
          <w:rtl/>
        </w:rPr>
        <w:t xml:space="preserve">الاواخر، ج3، ص218.</w:t>
      </w:r>
    </w:p>
    <w:p>
      <w:pPr>
        <w:pStyle w:val="BookText"/>
      </w:pPr>
      <w:r>
        <w:rPr>
          <w:rFonts w:ascii="Amiri" w:hAnsi="Amiri" w:eastAsia="Amiri" w:cs="Amiri"/>
          <w:lang w:bidi="ar-SA"/>
          <w:color w:val="111111"/>
          <w:sz w:val="28"/>
          <w:szCs w:val="28"/>
          <w:rtl/>
        </w:rPr>
        <w:t xml:space="preserve">7 .دليل المتحيرين في مناسك الحاج و</w:t>
      </w:r>
    </w:p>
    <w:p>
      <w:pPr>
        <w:pStyle w:val="BookText"/>
      </w:pPr>
      <w:r>
        <w:rPr>
          <w:rFonts w:ascii="Amiri" w:hAnsi="Amiri" w:eastAsia="Amiri" w:cs="Amiri"/>
          <w:lang w:bidi="ar-SA"/>
          <w:color w:val="111111"/>
          <w:sz w:val="28"/>
          <w:szCs w:val="28"/>
          <w:rtl/>
        </w:rPr>
        <w:t xml:space="preserve">المعتمرين، ج 7، ص 470.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الرضاع، ج8، ص320.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السبائك المذهبة، ج8، ص 690.</w:t>
      </w:r>
    </w:p>
    <w:p>
      <w:pPr>
        <w:pStyle w:val="BookText"/>
      </w:pPr>
      <w:r>
        <w:rPr>
          <w:rFonts w:ascii="Amiri" w:hAnsi="Amiri" w:eastAsia="Amiri" w:cs="Amiri"/>
          <w:lang w:bidi="ar-SA"/>
          <w:color w:val="111111"/>
          <w:sz w:val="28"/>
          <w:szCs w:val="28"/>
          <w:rtl/>
        </w:rPr>
        <w:t xml:space="preserve">10 .الشهاب الوامض في احكام</w:t>
      </w:r>
    </w:p>
    <w:p>
      <w:pPr>
        <w:pStyle w:val="BookText"/>
      </w:pPr>
      <w:r>
        <w:rPr>
          <w:rFonts w:ascii="IRNazanin" w:hAnsi="IRNazanin" w:eastAsia="IRNazanin" w:cs="IRNazanin"/>
          <w:lang w:bidi="fa-IR"/>
          <w:color w:val="111111"/>
          <w:sz w:val="28"/>
          <w:szCs w:val="28"/>
          <w:rtl/>
        </w:rPr>
        <w:t xml:space="preserve">الفرائض، ج 10، ص 432 .</w:t>
      </w:r>
    </w:p>
    <w:p>
      <w:pPr>
        <w:pStyle w:val="BookText"/>
      </w:pPr>
      <w:r>
        <w:rPr>
          <w:rFonts w:ascii="Amiri" w:hAnsi="Amiri" w:eastAsia="Amiri" w:cs="Amiri"/>
          <w:lang w:bidi="ar-SA"/>
          <w:color w:val="111111"/>
          <w:sz w:val="28"/>
          <w:szCs w:val="28"/>
          <w:rtl/>
        </w:rPr>
        <w:t xml:space="preserve">11 . الصوارم الماضية في تحقيق الفرقة الناجية ورد الفرقة الهاوية، ج 10،</w:t>
      </w:r>
    </w:p>
    <w:p>
      <w:pPr>
        <w:pStyle w:val="BookText"/>
      </w:pPr>
      <w:r>
        <w:rPr>
          <w:rFonts w:ascii="IRNazanin" w:hAnsi="IRNazanin" w:eastAsia="IRNazanin" w:cs="IRNazanin"/>
          <w:lang w:bidi="fa-IR"/>
          <w:color w:val="111111"/>
          <w:sz w:val="28"/>
          <w:szCs w:val="28"/>
          <w:rtl/>
        </w:rPr>
        <w:t xml:space="preserve">ص 642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فلك النجاة في احكام الهداة، ج 12،</w:t>
      </w:r>
    </w:p>
    <w:p>
      <w:pPr>
        <w:pStyle w:val="BookText"/>
      </w:pPr>
      <w:r>
        <w:rPr>
          <w:rFonts w:ascii="IRNazanin" w:hAnsi="IRNazanin" w:eastAsia="IRNazanin" w:cs="IRNazanin"/>
          <w:lang w:bidi="fa-IR"/>
          <w:color w:val="111111"/>
          <w:sz w:val="28"/>
          <w:szCs w:val="28"/>
          <w:rtl/>
        </w:rPr>
        <w:t xml:space="preserve">ص 134.</w:t>
      </w:r>
    </w:p>
    <w:p>
      <w:pPr>
        <w:pStyle w:val="BookText"/>
      </w:pPr>
      <w:r>
        <w:rPr>
          <w:rFonts w:ascii="Amiri" w:hAnsi="Amiri" w:eastAsia="Amiri" w:cs="Amiri"/>
          <w:lang w:bidi="ar-SA"/>
          <w:color w:val="111111"/>
          <w:sz w:val="28"/>
          <w:szCs w:val="28"/>
          <w:rtl/>
        </w:rPr>
        <w:t xml:space="preserve">13 .قلائد الخرائد في اصول العقائد</w:t>
      </w:r>
    </w:p>
    <w:p>
      <w:pPr>
        <w:pStyle w:val="BookText"/>
      </w:pPr>
      <w:r>
        <w:rPr>
          <w:rFonts w:ascii="IRNazanin" w:hAnsi="IRNazanin" w:eastAsia="IRNazanin" w:cs="IRNazanin"/>
          <w:lang w:bidi="fa-IR"/>
          <w:color w:val="111111"/>
          <w:sz w:val="28"/>
          <w:szCs w:val="28"/>
          <w:rtl/>
        </w:rPr>
        <w:t xml:space="preserve">ج 12 ، ص 756 .</w:t>
      </w:r>
    </w:p>
    <w:p>
      <w:pPr>
        <w:pStyle w:val="BookText"/>
      </w:pPr>
      <w:r>
        <w:rPr>
          <w:rFonts w:ascii="IRNazanin" w:hAnsi="IRNazanin" w:eastAsia="IRNazanin" w:cs="IRNazanin"/>
          <w:lang w:bidi="fa-IR"/>
          <w:color w:val="111111"/>
          <w:sz w:val="28"/>
          <w:szCs w:val="28"/>
          <w:rtl/>
        </w:rPr>
        <w:t xml:space="preserve">14 .موارد الوصول إلى علم الأصول،</w:t>
      </w:r>
    </w:p>
    <w:p>
      <w:pPr>
        <w:pStyle w:val="BookText"/>
      </w:pPr>
      <w:r>
        <w:rPr>
          <w:rFonts w:ascii="IRNazanin" w:hAnsi="IRNazanin" w:eastAsia="IRNazanin" w:cs="IRNazanin"/>
          <w:lang w:bidi="fa-IR"/>
          <w:color w:val="111111"/>
          <w:sz w:val="28"/>
          <w:szCs w:val="28"/>
          <w:rtl/>
        </w:rPr>
        <w:t xml:space="preserve">ج 15، ص 855.</w:t>
      </w:r>
    </w:p>
    <w:p>
      <w:pPr>
        <w:pStyle w:val="BookText"/>
      </w:pPr>
      <w:r>
        <w:rPr>
          <w:rFonts w:ascii="Amiri" w:hAnsi="Amiri" w:eastAsia="Amiri" w:cs="Amiri"/>
          <w:lang w:bidi="ar-SA"/>
          <w:color w:val="111111"/>
          <w:sz w:val="28"/>
          <w:szCs w:val="28"/>
          <w:rtl/>
        </w:rPr>
        <w:t xml:space="preserve">15 .مواهب الافهام في شرح شرائع</w:t>
      </w:r>
    </w:p>
    <w:p>
      <w:pPr>
        <w:pStyle w:val="BookText"/>
      </w:pPr>
      <w:r>
        <w:rPr>
          <w:rFonts w:ascii="IRNazanin" w:hAnsi="IRNazanin" w:eastAsia="IRNazanin" w:cs="IRNazanin"/>
          <w:lang w:bidi="fa-IR"/>
          <w:color w:val="111111"/>
          <w:sz w:val="28"/>
          <w:szCs w:val="28"/>
          <w:rtl/>
        </w:rPr>
        <w:t xml:space="preserve">الاسلام، ج 15 ، ص 884</w:t>
      </w:r>
    </w:p>
    <w:p>
      <w:pPr>
        <w:pStyle w:val="BookText"/>
      </w:pPr>
      <w:r>
        <w:rPr>
          <w:rFonts w:ascii="Amiri" w:hAnsi="Amiri" w:eastAsia="Amiri" w:cs="Amiri"/>
          <w:lang w:bidi="ar-SA"/>
          <w:color w:val="111111"/>
          <w:sz w:val="28"/>
          <w:szCs w:val="28"/>
          <w:rtl/>
        </w:rPr>
        <w:t xml:space="preserve">16 .نزهة الالباب في شرح حديث ابن</w:t>
      </w:r>
    </w:p>
    <w:p>
      <w:pPr>
        <w:pStyle w:val="BookText"/>
      </w:pPr>
      <w:r>
        <w:rPr>
          <w:rFonts w:ascii="IRNazanin" w:hAnsi="IRNazanin" w:eastAsia="IRNazanin" w:cs="IRNazanin"/>
          <w:lang w:bidi="fa-IR"/>
          <w:color w:val="111111"/>
          <w:sz w:val="28"/>
          <w:szCs w:val="28"/>
          <w:rtl/>
        </w:rPr>
        <w:t xml:space="preserve">طاب، ج 16، ص 223.</w:t>
      </w:r>
    </w:p>
    <w:p>
      <w:pPr>
        <w:pStyle w:val="BookText"/>
      </w:pPr>
      <w:r>
        <w:rPr>
          <w:rFonts w:ascii="Amiri" w:hAnsi="Amiri" w:eastAsia="Amiri" w:cs="Amiri"/>
          <w:lang w:bidi="ar-SA"/>
          <w:color w:val="111111"/>
          <w:sz w:val="28"/>
          <w:szCs w:val="28"/>
          <w:rtl/>
        </w:rPr>
        <w:t xml:space="preserve">17 .وسيلة المقلدين في احكام الدين</w:t>
      </w:r>
    </w:p>
    <w:p>
      <w:pPr>
        <w:pStyle w:val="BookText"/>
      </w:pPr>
      <w:r>
        <w:rPr>
          <w:rFonts w:ascii="IRNazanin" w:hAnsi="IRNazanin" w:eastAsia="IRNazanin" w:cs="IRNazanin"/>
          <w:lang w:bidi="fa-IR"/>
          <w:color w:val="111111"/>
          <w:sz w:val="28"/>
          <w:szCs w:val="28"/>
          <w:rtl/>
        </w:rPr>
        <w:t xml:space="preserve">ج 16، ص 789.</w:t>
      </w:r>
    </w:p>
    <w:p>
      <w:pPr>
        <w:pStyle w:val="Heading2"/>
      </w:pPr>
      <w:bookmarkStart w:id="6645" w:name="_Toc5747"/>
      <w:r>
        <w:t>قزويني ، محمّد مهدي بن علي اصغر</w:t>
      </w:r>
      <w:bookmarkEnd w:id="6645"/>
    </w:p>
    <w:p>
      <w:pPr>
        <w:pStyle w:val="BookText"/>
      </w:pPr>
      <w:r>
        <w:rPr>
          <w:rFonts w:ascii="IRNazanin" w:hAnsi="IRNazanin" w:eastAsia="IRNazanin" w:cs="IRNazanin"/>
          <w:lang w:bidi="fa-IR"/>
          <w:color w:val="111111"/>
          <w:sz w:val="28"/>
          <w:szCs w:val="28"/>
          <w:rtl/>
        </w:rPr>
        <w:t xml:space="preserve">1129 ه-</w:t>
      </w:r>
    </w:p>
    <w:p>
      <w:pPr>
        <w:pStyle w:val="BookText"/>
      </w:pPr>
      <w:r>
        <w:rPr>
          <w:rFonts w:ascii="Amiri" w:hAnsi="Amiri" w:eastAsia="Amiri" w:cs="Amiri"/>
          <w:lang w:bidi="ar-SA"/>
          <w:color w:val="111111"/>
          <w:sz w:val="28"/>
          <w:szCs w:val="28"/>
          <w:rtl/>
        </w:rPr>
        <w:t xml:space="preserve">1 .حاشية مغني اللبيب، ج 6، ص 413.</w:t>
      </w:r>
    </w:p>
    <w:p>
      <w:pPr>
        <w:pStyle w:val="BookText"/>
      </w:pPr>
      <w:r>
        <w:rPr>
          <w:rFonts w:ascii="Amiri" w:hAnsi="Amiri" w:eastAsia="Amiri" w:cs="Amiri"/>
          <w:lang w:bidi="ar-SA"/>
          <w:color w:val="111111"/>
          <w:sz w:val="28"/>
          <w:szCs w:val="28"/>
          <w:rtl/>
        </w:rPr>
        <w:t xml:space="preserve">2 .ذخر العالمين في شرح دعاء الصنمين</w:t>
      </w:r>
    </w:p>
    <w:p>
      <w:pPr>
        <w:pStyle w:val="BookText"/>
      </w:pPr>
      <w:r>
        <w:rPr>
          <w:rFonts w:ascii="IRNazanin" w:hAnsi="IRNazanin" w:eastAsia="IRNazanin" w:cs="IRNazanin"/>
          <w:lang w:bidi="fa-IR"/>
          <w:color w:val="111111"/>
          <w:sz w:val="28"/>
          <w:szCs w:val="28"/>
          <w:rtl/>
        </w:rPr>
        <w:t xml:space="preserve">ج 7، ص 816.</w:t>
      </w:r>
    </w:p>
    <w:p>
      <w:pPr>
        <w:pStyle w:val="BookText"/>
      </w:pPr>
      <w:r>
        <w:rPr>
          <w:rFonts w:ascii="Amiri" w:hAnsi="Amiri" w:eastAsia="Amiri" w:cs="Amiri"/>
          <w:lang w:bidi="ar-SA"/>
          <w:color w:val="111111"/>
          <w:sz w:val="28"/>
          <w:szCs w:val="28"/>
          <w:rtl/>
        </w:rPr>
        <w:t xml:space="preserve">3 .الماء المعين في شرح الاربعين، ج13،</w:t>
      </w:r>
    </w:p>
    <w:p>
      <w:pPr>
        <w:pStyle w:val="BookText"/>
      </w:pPr>
      <w:r>
        <w:rPr>
          <w:rFonts w:ascii="IRNazanin" w:hAnsi="IRNazanin" w:eastAsia="IRNazanin" w:cs="IRNazanin"/>
          <w:lang w:bidi="fa-IR"/>
          <w:color w:val="111111"/>
          <w:sz w:val="28"/>
          <w:szCs w:val="28"/>
          <w:rtl/>
        </w:rPr>
        <w:t xml:space="preserve">ص 675.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883" w:name="pg7742_71048"/>
    <w:bookmarkEnd w:id="883"/>
    <w:p>
      <w:pPr>
        <w:pStyle w:val="Heading2"/>
      </w:pPr>
      <w:bookmarkStart w:id="6646" w:name="_Toc5748"/>
      <w:r>
        <w:t>قزويني ، محمّد هاشم بن مهدي</w:t>
      </w:r>
      <w:bookmarkEnd w:id="6646"/>
    </w:p>
    <w:p>
      <w:pPr>
        <w:pStyle w:val="BookText"/>
      </w:pPr>
      <w:r>
        <w:rPr>
          <w:rFonts w:ascii="Amiri" w:hAnsi="Amiri" w:eastAsia="Amiri" w:cs="Amiri"/>
          <w:lang w:bidi="ar-SA"/>
          <w:color w:val="111111"/>
          <w:sz w:val="28"/>
          <w:szCs w:val="28"/>
          <w:rtl/>
        </w:rPr>
        <w:t xml:space="preserve">تقريرات لدروس الاستاذ موسى الخونساري، ج4، ص771</w:t>
      </w:r>
    </w:p>
    <w:p>
      <w:pPr>
        <w:pStyle w:val="Heading2"/>
      </w:pPr>
      <w:bookmarkStart w:id="6647" w:name="_Toc5749"/>
      <w:r>
        <w:t>قزويني ، محمّد يحيى</w:t>
      </w:r>
      <w:bookmarkEnd w:id="6647"/>
    </w:p>
    <w:p>
      <w:pPr>
        <w:pStyle w:val="BookText"/>
      </w:pPr>
      <w:r>
        <w:rPr>
          <w:rFonts w:ascii="Amiri" w:hAnsi="Amiri" w:eastAsia="Amiri" w:cs="Amiri"/>
          <w:lang w:bidi="ar-SA"/>
          <w:color w:val="111111"/>
          <w:sz w:val="28"/>
          <w:szCs w:val="28"/>
          <w:rtl/>
        </w:rPr>
        <w:t xml:space="preserve">حاشية تهذيب الاحكام، ج 5، ص 743 .</w:t>
      </w:r>
    </w:p>
    <w:p>
      <w:pPr>
        <w:pStyle w:val="Heading2"/>
      </w:pPr>
      <w:bookmarkStart w:id="6648" w:name="_Toc5750"/>
      <w:r>
        <w:t>قزويني ، محمّد يحيى بن محمّد شفیع</w:t>
      </w:r>
      <w:bookmarkEnd w:id="6648"/>
    </w:p>
    <w:p>
      <w:pPr>
        <w:pStyle w:val="BookText"/>
      </w:pPr>
      <w:r>
        <w:rPr>
          <w:rFonts w:ascii="IRNazanin" w:hAnsi="IRNazanin" w:eastAsia="IRNazanin" w:cs="IRNazanin"/>
          <w:lang w:bidi="fa-IR"/>
          <w:color w:val="111111"/>
          <w:sz w:val="28"/>
          <w:szCs w:val="28"/>
          <w:rtl/>
        </w:rPr>
        <w:t xml:space="preserve">قرن 12 ه-</w:t>
      </w:r>
    </w:p>
    <w:p>
      <w:pPr>
        <w:pStyle w:val="BookText"/>
      </w:pPr>
      <w:r>
        <w:rPr>
          <w:rFonts w:ascii="Amiri" w:hAnsi="Amiri" w:eastAsia="Amiri" w:cs="Amiri"/>
          <w:lang w:bidi="ar-SA"/>
          <w:color w:val="111111"/>
          <w:sz w:val="28"/>
          <w:szCs w:val="28"/>
          <w:rtl/>
        </w:rPr>
        <w:t xml:space="preserve">1 .تراجم من اطلع عليهم من علماء البحرين (رسالة في)، ج4، ص230.</w:t>
      </w:r>
    </w:p>
    <w:p>
      <w:pPr>
        <w:pStyle w:val="BookText"/>
      </w:pPr>
      <w:r>
        <w:rPr>
          <w:rFonts w:ascii="Amiri" w:hAnsi="Amiri" w:eastAsia="Amiri" w:cs="Amiri"/>
          <w:lang w:bidi="ar-SA"/>
          <w:color w:val="111111"/>
          <w:sz w:val="28"/>
          <w:szCs w:val="28"/>
          <w:rtl/>
        </w:rPr>
        <w:t xml:space="preserve">2 .ترجمان اللغة = شرح قاموس فيروز</w:t>
      </w:r>
    </w:p>
    <w:p>
      <w:pPr>
        <w:pStyle w:val="BookText"/>
      </w:pPr>
      <w:r>
        <w:rPr>
          <w:rFonts w:ascii="Amiri" w:hAnsi="Amiri" w:eastAsia="Amiri" w:cs="Amiri"/>
          <w:lang w:bidi="ar-SA"/>
          <w:color w:val="111111"/>
          <w:sz w:val="28"/>
          <w:szCs w:val="28"/>
          <w:rtl/>
        </w:rPr>
        <w:t xml:space="preserve">آبادي، ج 4، ص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الجموع و المصادر، ج 5، ص 453.</w:t>
      </w:r>
    </w:p>
    <w:p>
      <w:pPr>
        <w:pStyle w:val="Heading2"/>
      </w:pPr>
      <w:bookmarkStart w:id="6649" w:name="_Toc5751"/>
      <w:r>
        <w:t>قزويني ، محمود بن حسن - 414 ه-</w:t>
      </w:r>
      <w:bookmarkEnd w:id="6649"/>
    </w:p>
    <w:p>
      <w:pPr>
        <w:pStyle w:val="BookText"/>
      </w:pPr>
      <w:r>
        <w:rPr>
          <w:rFonts w:ascii="Amiri" w:hAnsi="Amiri" w:eastAsia="Amiri" w:cs="Amiri"/>
          <w:lang w:bidi="ar-SA"/>
          <w:color w:val="111111"/>
          <w:sz w:val="28"/>
          <w:szCs w:val="28"/>
          <w:rtl/>
        </w:rPr>
        <w:t xml:space="preserve">الحيل، ج 6، ص 870.</w:t>
      </w:r>
    </w:p>
    <w:p>
      <w:pPr>
        <w:pStyle w:val="BookText"/>
      </w:pPr>
      <w:r>
        <w:rPr>
          <w:rFonts w:ascii="Amiri" w:hAnsi="Amiri" w:eastAsia="Amiri" w:cs="Amiri"/>
          <w:lang w:bidi="ar-SA"/>
          <w:color w:val="111111"/>
          <w:sz w:val="28"/>
          <w:szCs w:val="28"/>
          <w:rtl/>
        </w:rPr>
        <w:t xml:space="preserve">قزويني ، مهدي -حسيني قزويني ، مهدي</w:t>
      </w:r>
    </w:p>
    <w:p>
      <w:pPr>
        <w:pStyle w:val="Heading2"/>
      </w:pPr>
      <w:bookmarkStart w:id="6650" w:name="_Toc5752"/>
      <w:r>
        <w:t>قزويني ، مهدي</w:t>
      </w:r>
      <w:bookmarkEnd w:id="6650"/>
    </w:p>
    <w:p>
      <w:pPr>
        <w:pStyle w:val="BookText"/>
      </w:pPr>
      <w:r>
        <w:rPr>
          <w:rFonts w:ascii="Amiri" w:hAnsi="Amiri" w:eastAsia="Amiri" w:cs="Amiri"/>
          <w:lang w:bidi="ar-SA"/>
          <w:color w:val="111111"/>
          <w:sz w:val="28"/>
          <w:szCs w:val="28"/>
          <w:rtl/>
        </w:rPr>
        <w:t xml:space="preserve">مضامير الامتحان، ج 14، ص 754.</w:t>
      </w:r>
    </w:p>
    <w:p>
      <w:pPr>
        <w:pStyle w:val="Heading2"/>
      </w:pPr>
      <w:bookmarkStart w:id="6651" w:name="_Toc5753"/>
      <w:r>
        <w:t>قزويني ، ميرزا يحيى قرن 13 ه-</w:t>
      </w:r>
      <w:bookmarkEnd w:id="6651"/>
    </w:p>
    <w:p>
      <w:pPr>
        <w:pStyle w:val="BookText"/>
      </w:pPr>
      <w:r>
        <w:rPr>
          <w:rFonts w:ascii="Amiri" w:hAnsi="Amiri" w:eastAsia="Amiri" w:cs="Amiri"/>
          <w:lang w:bidi="ar-SA"/>
          <w:color w:val="111111"/>
          <w:sz w:val="28"/>
          <w:szCs w:val="28"/>
          <w:rtl/>
        </w:rPr>
        <w:t xml:space="preserve">ميزان الادب في قواعد الفاظ العرب</w:t>
      </w:r>
    </w:p>
    <w:p>
      <w:pPr>
        <w:pStyle w:val="BookText"/>
      </w:pPr>
      <w:r>
        <w:rPr>
          <w:rFonts w:ascii="IRNazanin" w:hAnsi="IRNazanin" w:eastAsia="IRNazanin" w:cs="IRNazanin"/>
          <w:lang w:bidi="fa-IR"/>
          <w:color w:val="111111"/>
          <w:sz w:val="28"/>
          <w:szCs w:val="28"/>
          <w:rtl/>
        </w:rPr>
        <w:t xml:space="preserve">ج 16، ص 65.</w:t>
      </w:r>
    </w:p>
    <w:p>
      <w:pPr>
        <w:pStyle w:val="Heading2"/>
      </w:pPr>
      <w:bookmarkStart w:id="6652" w:name="_Toc5754"/>
      <w:r>
        <w:t>قزويني نجفي ، راضي - 1287 ه-</w:t>
      </w:r>
      <w:bookmarkEnd w:id="6652"/>
    </w:p>
    <w:p>
      <w:pPr>
        <w:pStyle w:val="BookText"/>
      </w:pPr>
      <w:r>
        <w:rPr>
          <w:rFonts w:ascii="Amiri" w:hAnsi="Amiri" w:eastAsia="Amiri" w:cs="Amiri"/>
          <w:lang w:bidi="ar-SA"/>
          <w:color w:val="111111"/>
          <w:sz w:val="28"/>
          <w:szCs w:val="28"/>
          <w:rtl/>
        </w:rPr>
        <w:t xml:space="preserve">تخميس، ج4، ص103</w:t>
      </w:r>
    </w:p>
    <w:p>
      <w:pPr>
        <w:pStyle w:val="Heading2"/>
      </w:pPr>
      <w:bookmarkStart w:id="6653" w:name="_Toc5755"/>
      <w:r>
        <w:t>قزويني نجفي، صالح بن محمّد مهدي</w:t>
      </w:r>
      <w:bookmarkEnd w:id="6653"/>
    </w:p>
    <w:p>
      <w:pPr>
        <w:pStyle w:val="BookText"/>
      </w:pPr>
      <w:r>
        <w:rPr>
          <w:rFonts w:ascii="IRNazanin" w:hAnsi="IRNazanin" w:eastAsia="IRNazanin" w:cs="IRNazanin"/>
          <w:lang w:bidi="fa-IR"/>
          <w:color w:val="111111"/>
          <w:sz w:val="28"/>
          <w:szCs w:val="28"/>
          <w:rtl/>
        </w:rPr>
        <w:t xml:space="preserve">1208 - 1306ه-</w:t>
      </w:r>
    </w:p>
    <w:p>
      <w:pPr>
        <w:pStyle w:val="BookText"/>
      </w:pPr>
      <w:r>
        <w:rPr>
          <w:rFonts w:ascii="Amiri" w:hAnsi="Amiri" w:eastAsia="Amiri" w:cs="Amiri"/>
          <w:lang w:bidi="ar-SA"/>
          <w:color w:val="111111"/>
          <w:sz w:val="28"/>
          <w:szCs w:val="28"/>
          <w:rtl/>
        </w:rPr>
        <w:t xml:space="preserve">1 .الدرر الغروية في رثاء العترة</w:t>
      </w:r>
    </w:p>
    <w:p>
      <w:pPr>
        <w:pStyle w:val="BookText"/>
      </w:pPr>
      <w:r>
        <w:rPr>
          <w:rFonts w:ascii="Amiri" w:hAnsi="Amiri" w:eastAsia="Amiri" w:cs="Amiri"/>
          <w:lang w:bidi="ar-SA"/>
          <w:color w:val="111111"/>
          <w:sz w:val="28"/>
          <w:szCs w:val="28"/>
          <w:rtl/>
        </w:rPr>
        <w:t xml:space="preserve">المصطفوية، ج 7، ص 301.</w:t>
      </w:r>
    </w:p>
    <w:p>
      <w:pPr>
        <w:pStyle w:val="BookText"/>
      </w:pPr>
      <w:r>
        <w:rPr>
          <w:rFonts w:ascii="Amiri" w:hAnsi="Amiri" w:eastAsia="Amiri" w:cs="Amiri"/>
          <w:lang w:bidi="ar-SA"/>
          <w:color w:val="111111"/>
          <w:sz w:val="28"/>
          <w:szCs w:val="28"/>
          <w:rtl/>
        </w:rPr>
        <w:t xml:space="preserve">2 .ديوان سيّد صالح قزويني نجفي</w:t>
      </w:r>
    </w:p>
    <w:p>
      <w:pPr>
        <w:pStyle w:val="BookText"/>
      </w:pPr>
      <w:r>
        <w:rPr>
          <w:rFonts w:ascii="IRNazanin" w:hAnsi="IRNazanin" w:eastAsia="IRNazanin" w:cs="IRNazanin"/>
          <w:lang w:bidi="fa-IR"/>
          <w:color w:val="111111"/>
          <w:sz w:val="28"/>
          <w:szCs w:val="28"/>
          <w:rtl/>
        </w:rPr>
        <w:t xml:space="preserve">ج 7، ص 659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ج 12، ص 639.</w:t>
      </w:r>
    </w:p>
    <w:p>
      <w:pPr>
        <w:pStyle w:val="BookText"/>
      </w:pPr>
      <w:r>
        <w:rPr>
          <w:rFonts w:ascii="Amiri" w:hAnsi="Amiri" w:eastAsia="Amiri" w:cs="Amiri"/>
          <w:lang w:bidi="ar-SA"/>
          <w:color w:val="111111"/>
          <w:sz w:val="28"/>
          <w:szCs w:val="28"/>
          <w:rtl/>
        </w:rPr>
        <w:t xml:space="preserve">4 .مقتل أمير المؤمنين (ع)، ج 15،</w:t>
      </w:r>
    </w:p>
    <w:p>
      <w:pPr>
        <w:pStyle w:val="BookText"/>
      </w:pPr>
      <w:r>
        <w:rPr>
          <w:rFonts w:ascii="IRNazanin" w:hAnsi="IRNazanin" w:eastAsia="IRNazanin" w:cs="IRNazanin"/>
          <w:lang w:bidi="fa-IR"/>
          <w:color w:val="111111"/>
          <w:sz w:val="28"/>
          <w:szCs w:val="28"/>
          <w:rtl/>
        </w:rPr>
        <w:t xml:space="preserve">ص 336.</w:t>
      </w:r>
    </w:p>
    <w:p>
      <w:pPr>
        <w:pStyle w:val="Heading2"/>
      </w:pPr>
      <w:bookmarkStart w:id="6654" w:name="_Toc5756"/>
      <w:r>
        <w:t>قزويني ، يحيى بن شفيع</w:t>
      </w:r>
      <w:bookmarkEnd w:id="6654"/>
    </w:p>
    <w:p>
      <w:pPr>
        <w:pStyle w:val="BookText"/>
      </w:pPr>
      <w:r>
        <w:rPr>
          <w:rFonts w:ascii="IRNazanin" w:hAnsi="IRNazanin" w:eastAsia="IRNazanin" w:cs="IRNazanin"/>
          <w:lang w:bidi="fa-IR"/>
          <w:color w:val="111111"/>
          <w:sz w:val="28"/>
          <w:szCs w:val="28"/>
          <w:rtl/>
        </w:rPr>
        <w:t xml:space="preserve">جوهر القاموس، ج 5، ص 623 .</w:t>
      </w:r>
    </w:p>
    <w:p>
      <w:pPr>
        <w:pStyle w:val="Heading2"/>
      </w:pPr>
      <w:bookmarkStart w:id="6655" w:name="_Toc5757"/>
      <w:r>
        <w:t>قزويني ، يحيى بن عبد اللطيف، 885 -</w:t>
      </w:r>
      <w:bookmarkEnd w:id="6655"/>
    </w:p>
    <w:p>
      <w:pPr>
        <w:pStyle w:val="BookText"/>
      </w:pPr>
      <w:r>
        <w:rPr>
          <w:rFonts w:ascii="IRNazanin" w:hAnsi="IRNazanin" w:eastAsia="IRNazanin" w:cs="IRNazanin"/>
          <w:lang w:bidi="fa-IR"/>
          <w:color w:val="111111"/>
          <w:sz w:val="28"/>
          <w:szCs w:val="28"/>
          <w:rtl/>
        </w:rPr>
        <w:t xml:space="preserve">962ه-</w:t>
      </w:r>
    </w:p>
    <w:p>
      <w:pPr>
        <w:pStyle w:val="BookText"/>
      </w:pPr>
      <w:r>
        <w:rPr>
          <w:rFonts w:ascii="Amiri" w:hAnsi="Amiri" w:eastAsia="Amiri" w:cs="Amiri"/>
          <w:lang w:bidi="ar-SA"/>
          <w:color w:val="111111"/>
          <w:sz w:val="28"/>
          <w:szCs w:val="28"/>
          <w:rtl/>
        </w:rPr>
        <w:t xml:space="preserve">لب التواريخ، ج13، ص 558</w:t>
      </w:r>
    </w:p>
    <w:p>
      <w:pPr>
        <w:pStyle w:val="Heading2"/>
      </w:pPr>
      <w:bookmarkStart w:id="6656" w:name="_Toc5758"/>
      <w:r>
        <w:t>قزويني ، يوسف بن محمّد</w:t>
      </w:r>
      <w:bookmarkEnd w:id="6656"/>
    </w:p>
    <w:p>
      <w:pPr>
        <w:pStyle w:val="BookText"/>
      </w:pPr>
      <w:r>
        <w:rPr>
          <w:rFonts w:ascii="Amiri" w:hAnsi="Amiri" w:eastAsia="Amiri" w:cs="Amiri"/>
          <w:lang w:bidi="ar-SA"/>
          <w:color w:val="111111"/>
          <w:sz w:val="28"/>
          <w:szCs w:val="28"/>
          <w:rtl/>
        </w:rPr>
        <w:t xml:space="preserve">علم الله بالأشياء، ج11، ص229.</w:t>
      </w:r>
    </w:p>
    <w:p>
      <w:pPr>
        <w:pStyle w:val="Heading2"/>
      </w:pPr>
      <w:bookmarkStart w:id="6657" w:name="_Toc5759"/>
      <w:r>
        <w:t>قس بن ساعدة - 23 ؟ قبل هجرت</w:t>
      </w:r>
      <w:bookmarkEnd w:id="6657"/>
    </w:p>
    <w:p>
      <w:pPr>
        <w:pStyle w:val="BookText"/>
      </w:pPr>
      <w:r>
        <w:rPr>
          <w:rFonts w:ascii="Amiri" w:hAnsi="Amiri" w:eastAsia="Amiri" w:cs="Amiri"/>
          <w:lang w:bidi="ar-SA"/>
          <w:color w:val="111111"/>
          <w:sz w:val="28"/>
          <w:szCs w:val="28"/>
          <w:rtl/>
        </w:rPr>
        <w:t xml:space="preserve">خطبة، ج 7، ص 46.</w:t>
      </w:r>
    </w:p>
    <w:p>
      <w:pPr>
        <w:pStyle w:val="Heading2"/>
      </w:pPr>
      <w:bookmarkStart w:id="6658" w:name="_Toc5760"/>
      <w:r>
        <w:t>قسطا بن لوقا، قرن 3 ه-</w:t>
      </w:r>
      <w:bookmarkEnd w:id="6658"/>
    </w:p>
    <w:p>
      <w:pPr>
        <w:pStyle w:val="BookText"/>
      </w:pPr>
      <w:r>
        <w:rPr>
          <w:rFonts w:ascii="Amiri" w:hAnsi="Amiri" w:eastAsia="Amiri" w:cs="Amiri"/>
          <w:lang w:bidi="ar-SA"/>
          <w:color w:val="111111"/>
          <w:sz w:val="28"/>
          <w:szCs w:val="28"/>
          <w:rtl/>
        </w:rPr>
        <w:t xml:space="preserve">1 .الاكر = استعمال الاسطرلاب</w:t>
      </w:r>
    </w:p>
    <w:p>
      <w:pPr>
        <w:pStyle w:val="BookText"/>
      </w:pPr>
      <w:r>
        <w:rPr>
          <w:rFonts w:ascii="Amiri" w:hAnsi="Amiri" w:eastAsia="Amiri" w:cs="Amiri"/>
          <w:lang w:bidi="ar-SA"/>
          <w:color w:val="111111"/>
          <w:sz w:val="28"/>
          <w:szCs w:val="28"/>
          <w:rtl/>
        </w:rPr>
        <w:t xml:space="preserve">الكروي، ج 2، ص 641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زاد المسافر، ج8، ص 527.</w:t>
      </w:r>
    </w:p>
    <w:p>
      <w:pPr>
        <w:pStyle w:val="BookText"/>
      </w:pPr>
      <w:r>
        <w:rPr>
          <w:rFonts w:ascii="Amiri" w:hAnsi="Amiri" w:eastAsia="Amiri" w:cs="Amiri"/>
          <w:lang w:bidi="ar-SA"/>
          <w:color w:val="111111"/>
          <w:sz w:val="28"/>
          <w:szCs w:val="28"/>
          <w:rtl/>
        </w:rPr>
        <w:t xml:space="preserve">3 .الوزن والكيل ( مقالة في)، ج 16،</w:t>
      </w:r>
    </w:p>
    <w:p>
      <w:pPr>
        <w:pStyle w:val="BookText"/>
      </w:pPr>
      <w:r>
        <w:rPr>
          <w:rFonts w:ascii="IRNazanin" w:hAnsi="IRNazanin" w:eastAsia="IRNazanin" w:cs="IRNazanin"/>
          <w:lang w:bidi="fa-IR"/>
          <w:color w:val="111111"/>
          <w:sz w:val="28"/>
          <w:szCs w:val="28"/>
          <w:rtl/>
        </w:rPr>
        <w:t xml:space="preserve">ص 769 .</w:t>
      </w:r>
    </w:p>
    <w:p>
      <w:pPr>
        <w:pStyle w:val="Heading2"/>
      </w:pPr>
      <w:bookmarkStart w:id="6659" w:name="_Toc5761"/>
      <w:r>
        <w:t>قسطلاني ابو السعود بن علي 1033ه-</w:t>
      </w:r>
      <w:bookmarkEnd w:id="6659"/>
    </w:p>
    <w:p>
      <w:pPr>
        <w:pStyle w:val="BookText"/>
      </w:pPr>
      <w:r>
        <w:rPr>
          <w:rFonts w:ascii="Amiri" w:hAnsi="Amiri" w:eastAsia="Amiri" w:cs="Amiri"/>
          <w:lang w:bidi="ar-SA"/>
          <w:color w:val="111111"/>
          <w:sz w:val="28"/>
          <w:szCs w:val="28"/>
          <w:rtl/>
        </w:rPr>
        <w:t xml:space="preserve">مسوغات الابتداء بالنكرة ارجوزة في)</w:t>
      </w:r>
    </w:p>
    <w:p>
      <w:pPr>
        <w:pStyle w:val="BookText"/>
      </w:pPr>
      <w:r>
        <w:rPr>
          <w:rFonts w:ascii="IRNazanin" w:hAnsi="IRNazanin" w:eastAsia="IRNazanin" w:cs="IRNazanin"/>
          <w:lang w:bidi="fa-IR"/>
          <w:color w:val="111111"/>
          <w:sz w:val="28"/>
          <w:szCs w:val="28"/>
          <w:rtl/>
        </w:rPr>
        <w:t xml:space="preserve">ج 14، ص 604.</w:t>
      </w:r>
    </w:p>
    <w:p>
      <w:pPr>
        <w:pStyle w:val="Heading2"/>
      </w:pPr>
      <w:bookmarkStart w:id="6660" w:name="_Toc5762"/>
      <w:r>
        <w:t>قسطلاني، احمد بن محمّد 851-923 ه-</w:t>
      </w:r>
      <w:bookmarkEnd w:id="6660"/>
    </w:p>
    <w:p>
      <w:pPr>
        <w:pStyle w:val="BookText"/>
      </w:pPr>
      <w:r>
        <w:rPr>
          <w:rFonts w:ascii="Amiri" w:hAnsi="Amiri" w:eastAsia="Amiri" w:cs="Amiri"/>
          <w:lang w:bidi="ar-SA"/>
          <w:color w:val="111111"/>
          <w:sz w:val="28"/>
          <w:szCs w:val="28"/>
          <w:rtl/>
        </w:rPr>
        <w:t xml:space="preserve">1 .ارشاد الساري لشرح صحيح البخاري، ج 2، ص21.</w:t>
      </w:r>
    </w:p>
    <w:p>
      <w:pPr>
        <w:pStyle w:val="BookText"/>
      </w:pPr>
      <w:r>
        <w:rPr>
          <w:rFonts w:ascii="Amiri" w:hAnsi="Amiri" w:eastAsia="Amiri" w:cs="Amiri"/>
          <w:lang w:bidi="ar-SA"/>
          <w:color w:val="111111"/>
          <w:sz w:val="28"/>
          <w:szCs w:val="28"/>
          <w:rtl/>
        </w:rPr>
        <w:t xml:space="preserve">2 .حاشية الشفا بتعريف حقوق</w:t>
      </w:r>
    </w:p>
    <w:p>
      <w:pPr>
        <w:pStyle w:val="BookText"/>
      </w:pPr>
      <w:r>
        <w:rPr>
          <w:rFonts w:ascii="IRNazanin" w:hAnsi="IRNazanin" w:eastAsia="IRNazanin" w:cs="IRNazanin"/>
          <w:lang w:bidi="fa-IR"/>
          <w:color w:val="111111"/>
          <w:sz w:val="28"/>
          <w:szCs w:val="28"/>
          <w:rtl/>
        </w:rPr>
        <w:t xml:space="preserve">المصطفى، ج 6، ص220.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884" w:name="pg7742_71050"/>
    <w:bookmarkEnd w:id="88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ديوان الحياية، ج 7، ص 631 .</w:t>
      </w:r>
    </w:p>
    <w:p>
      <w:pPr>
        <w:pStyle w:val="BookText"/>
      </w:pPr>
      <w:r>
        <w:rPr>
          <w:rFonts w:ascii="Amiri" w:hAnsi="Amiri" w:eastAsia="Amiri" w:cs="Amiri"/>
          <w:lang w:bidi="ar-SA"/>
          <w:color w:val="111111"/>
          <w:sz w:val="28"/>
          <w:szCs w:val="28"/>
          <w:rtl/>
        </w:rPr>
        <w:t xml:space="preserve">4 .اللآلي السنية في شرح المقدمة الجزرية، ج13، ص 518.</w:t>
      </w:r>
    </w:p>
    <w:p>
      <w:pPr>
        <w:pStyle w:val="BookText"/>
      </w:pPr>
      <w:r>
        <w:rPr>
          <w:rFonts w:ascii="IRNazanin" w:hAnsi="IRNazanin" w:eastAsia="IRNazanin" w:cs="IRNazanin"/>
          <w:lang w:bidi="fa-IR"/>
          <w:color w:val="111111"/>
          <w:sz w:val="28"/>
          <w:szCs w:val="28"/>
          <w:rtl/>
        </w:rPr>
        <w:t xml:space="preserve">5 .لطائف الاشارات بفنون العبارات</w:t>
      </w:r>
    </w:p>
    <w:p>
      <w:pPr>
        <w:pStyle w:val="BookText"/>
      </w:pPr>
      <w:r>
        <w:rPr>
          <w:rFonts w:ascii="IRNazanin" w:hAnsi="IRNazanin" w:eastAsia="IRNazanin" w:cs="IRNazanin"/>
          <w:lang w:bidi="fa-IR"/>
          <w:color w:val="111111"/>
          <w:sz w:val="28"/>
          <w:szCs w:val="28"/>
          <w:rtl/>
        </w:rPr>
        <w:t xml:space="preserve">ج 13 ، ص 575.</w:t>
      </w:r>
    </w:p>
    <w:p>
      <w:pPr>
        <w:pStyle w:val="BookText"/>
      </w:pPr>
      <w:r>
        <w:rPr>
          <w:rFonts w:ascii="Amiri" w:hAnsi="Amiri" w:eastAsia="Amiri" w:cs="Amiri"/>
          <w:lang w:bidi="ar-SA"/>
          <w:color w:val="111111"/>
          <w:sz w:val="28"/>
          <w:szCs w:val="28"/>
          <w:rtl/>
        </w:rPr>
        <w:t xml:space="preserve">6 .مشارق الانوار المضيئة في شرح الكواكب الدرية، ج 14 ، ص 608.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المواهب اللدنية بالمنح المحمّدية في السيرة النبوية، ج 15 ، ص 894.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الوقف والابتداء، ج 16، ص 873.</w:t>
      </w:r>
    </w:p>
    <w:p>
      <w:pPr>
        <w:pStyle w:val="Heading2"/>
      </w:pPr>
      <w:bookmarkStart w:id="6661" w:name="_Toc5763"/>
      <w:r>
        <w:t>قسطلاني مصطفى بن محمّد - 901 ه-</w:t>
      </w:r>
      <w:bookmarkEnd w:id="6661"/>
    </w:p>
    <w:p>
      <w:pPr>
        <w:pStyle w:val="BookText"/>
      </w:pPr>
      <w:r>
        <w:rPr>
          <w:rFonts w:ascii="Amiri" w:hAnsi="Amiri" w:eastAsia="Amiri" w:cs="Amiri"/>
          <w:lang w:bidi="ar-SA"/>
          <w:color w:val="111111"/>
          <w:sz w:val="28"/>
          <w:szCs w:val="28"/>
          <w:rtl/>
        </w:rPr>
        <w:t xml:space="preserve">حاشية شرح العقائد النسفية، ج 6،</w:t>
      </w:r>
    </w:p>
    <w:p>
      <w:pPr>
        <w:pStyle w:val="BookText"/>
      </w:pPr>
      <w:r>
        <w:rPr>
          <w:rFonts w:ascii="IRNazanin" w:hAnsi="IRNazanin" w:eastAsia="IRNazanin" w:cs="IRNazanin"/>
          <w:lang w:bidi="fa-IR"/>
          <w:color w:val="111111"/>
          <w:sz w:val="28"/>
          <w:szCs w:val="28"/>
          <w:rtl/>
        </w:rPr>
        <w:t xml:space="preserve">ص 149 .</w:t>
      </w:r>
    </w:p>
    <w:p>
      <w:pPr>
        <w:pStyle w:val="Heading2"/>
      </w:pPr>
      <w:bookmarkStart w:id="6662" w:name="_Toc5764"/>
      <w:r>
        <w:t>قسطموني ، علي بن محمّد - 1081 ه-</w:t>
      </w:r>
      <w:bookmarkEnd w:id="6662"/>
    </w:p>
    <w:p>
      <w:pPr>
        <w:pStyle w:val="BookText"/>
      </w:pPr>
      <w:r>
        <w:rPr>
          <w:rFonts w:ascii="Amiri" w:hAnsi="Amiri" w:eastAsia="Amiri" w:cs="Amiri"/>
          <w:lang w:bidi="ar-SA"/>
          <w:color w:val="111111"/>
          <w:sz w:val="28"/>
          <w:szCs w:val="28"/>
          <w:rtl/>
        </w:rPr>
        <w:t xml:space="preserve">كاشف الاسرار في شرح فصوص الحكم</w:t>
      </w:r>
    </w:p>
    <w:p>
      <w:pPr>
        <w:pStyle w:val="BookText"/>
      </w:pPr>
      <w:r>
        <w:rPr>
          <w:rFonts w:ascii="IRNazanin" w:hAnsi="IRNazanin" w:eastAsia="IRNazanin" w:cs="IRNazanin"/>
          <w:lang w:bidi="fa-IR"/>
          <w:color w:val="111111"/>
          <w:sz w:val="28"/>
          <w:szCs w:val="28"/>
          <w:rtl/>
        </w:rPr>
        <w:t xml:space="preserve">ج 13، ص 4.</w:t>
      </w:r>
    </w:p>
    <w:p>
      <w:pPr>
        <w:pStyle w:val="BookText"/>
      </w:pPr>
      <w:r>
        <w:rPr>
          <w:rFonts w:ascii="Amiri" w:hAnsi="Amiri" w:eastAsia="Amiri" w:cs="Amiri"/>
          <w:lang w:bidi="ar-SA"/>
          <w:color w:val="111111"/>
          <w:sz w:val="28"/>
          <w:szCs w:val="28"/>
          <w:rtl/>
        </w:rPr>
        <w:t xml:space="preserve">قسطموني ، لطف الله بن عبد الله- لطيفي</w:t>
      </w:r>
    </w:p>
    <w:p>
      <w:pPr>
        <w:pStyle w:val="BookText"/>
      </w:pPr>
      <w:r>
        <w:rPr>
          <w:rFonts w:ascii="IRNazanin" w:hAnsi="IRNazanin" w:eastAsia="IRNazanin" w:cs="IRNazanin"/>
          <w:lang w:bidi="fa-IR"/>
          <w:color w:val="111111"/>
          <w:sz w:val="28"/>
          <w:szCs w:val="28"/>
          <w:rtl/>
        </w:rPr>
        <w:t xml:space="preserve">لطف الله بن عبدالله</w:t>
      </w:r>
    </w:p>
    <w:p>
      <w:pPr>
        <w:pStyle w:val="Heading2"/>
      </w:pPr>
      <w:bookmarkStart w:id="6663" w:name="_Toc5765"/>
      <w:r>
        <w:t>قسطموني محرم بن ،پیر محمّد قرن 13ه-</w:t>
      </w:r>
      <w:bookmarkEnd w:id="6663"/>
    </w:p>
    <w:p>
      <w:pPr>
        <w:pStyle w:val="BookText"/>
      </w:pPr>
      <w:r>
        <w:rPr>
          <w:rFonts w:ascii="Amiri" w:hAnsi="Amiri" w:eastAsia="Amiri" w:cs="Amiri"/>
          <w:lang w:bidi="ar-SA"/>
          <w:color w:val="111111"/>
          <w:sz w:val="28"/>
          <w:szCs w:val="28"/>
          <w:rtl/>
        </w:rPr>
        <w:t xml:space="preserve">تعليم المتعلم، ج4، ص 558.</w:t>
      </w:r>
    </w:p>
    <w:p>
      <w:pPr>
        <w:pStyle w:val="BookText"/>
      </w:pPr>
      <w:r>
        <w:rPr>
          <w:rFonts w:ascii="Amiri" w:hAnsi="Amiri" w:eastAsia="Amiri" w:cs="Amiri"/>
          <w:lang w:bidi="ar-SA"/>
          <w:color w:val="111111"/>
          <w:sz w:val="28"/>
          <w:szCs w:val="28"/>
          <w:rtl/>
        </w:rPr>
        <w:t xml:space="preserve">قسطموني ، محرم بن محمّد- زيلي، محرم</w:t>
      </w:r>
    </w:p>
    <w:p>
      <w:pPr>
        <w:pStyle w:val="BookText"/>
      </w:pPr>
      <w:r>
        <w:rPr>
          <w:rFonts w:ascii="Amiri" w:hAnsi="Amiri" w:eastAsia="Amiri" w:cs="Amiri"/>
          <w:lang w:bidi="ar-SA"/>
          <w:color w:val="111111"/>
          <w:sz w:val="28"/>
          <w:szCs w:val="28"/>
          <w:rtl/>
        </w:rPr>
        <w:t xml:space="preserve">بن محمّد</w:t>
      </w:r>
    </w:p>
    <w:p>
      <w:pPr>
        <w:pStyle w:val="BookText"/>
      </w:pPr>
      <w:r>
        <w:rPr>
          <w:rFonts w:ascii="Amiri" w:hAnsi="Amiri" w:eastAsia="Amiri" w:cs="Amiri"/>
          <w:lang w:bidi="ar-SA"/>
          <w:color w:val="111111"/>
          <w:sz w:val="28"/>
          <w:szCs w:val="28"/>
          <w:rtl/>
        </w:rPr>
        <w:t xml:space="preserve">قسطموني ، مصطفى بن محمّد- خواجكي</w:t>
      </w:r>
    </w:p>
    <w:p>
      <w:pPr>
        <w:pStyle w:val="BookText"/>
      </w:pPr>
      <w:r>
        <w:rPr>
          <w:rFonts w:ascii="IRNazanin" w:hAnsi="IRNazanin" w:eastAsia="IRNazanin" w:cs="IRNazanin"/>
          <w:lang w:bidi="fa-IR"/>
          <w:color w:val="111111"/>
          <w:sz w:val="28"/>
          <w:szCs w:val="28"/>
          <w:rtl/>
        </w:rPr>
        <w:t xml:space="preserve">زاده ، مصطفى بن محمّد</w:t>
      </w:r>
    </w:p>
    <w:p>
      <w:pPr>
        <w:pStyle w:val="Heading2"/>
      </w:pPr>
      <w:bookmarkStart w:id="6664" w:name="_Toc5766"/>
      <w:r>
        <w:t>قسطن ، بولس</w:t>
      </w:r>
      <w:bookmarkEnd w:id="6664"/>
    </w:p>
    <w:p>
      <w:pPr>
        <w:pStyle w:val="BookText"/>
      </w:pPr>
      <w:r>
        <w:rPr>
          <w:rFonts w:ascii="Amiri" w:hAnsi="Amiri" w:eastAsia="Amiri" w:cs="Amiri"/>
          <w:lang w:bidi="ar-SA"/>
          <w:color w:val="111111"/>
          <w:sz w:val="28"/>
          <w:szCs w:val="28"/>
          <w:rtl/>
        </w:rPr>
        <w:t xml:space="preserve">المناهل الدرية في المجامع المسكونية</w:t>
      </w:r>
    </w:p>
    <w:p>
      <w:pPr>
        <w:pStyle w:val="BookText"/>
      </w:pPr>
      <w:r>
        <w:rPr>
          <w:rFonts w:ascii="IRNazanin" w:hAnsi="IRNazanin" w:eastAsia="IRNazanin" w:cs="IRNazanin"/>
          <w:lang w:bidi="fa-IR"/>
          <w:color w:val="111111"/>
          <w:sz w:val="28"/>
          <w:szCs w:val="28"/>
          <w:rtl/>
        </w:rPr>
        <w:t xml:space="preserve">ج 15 ، ص 577.</w:t>
      </w:r>
    </w:p>
    <w:p>
      <w:pPr>
        <w:pStyle w:val="BookText"/>
      </w:pPr>
      <w:r>
        <w:rPr>
          <w:rFonts w:ascii="Amiri" w:hAnsi="Amiri" w:eastAsia="Amiri" w:cs="Amiri"/>
          <w:lang w:bidi="ar-SA"/>
          <w:color w:val="111111"/>
          <w:sz w:val="28"/>
          <w:szCs w:val="28"/>
          <w:rtl/>
        </w:rPr>
        <w:t xml:space="preserve">قسطنطين نقولا مبادري دمشقي- مبادري</w:t>
      </w:r>
    </w:p>
    <w:p>
      <w:pPr>
        <w:pStyle w:val="BookText"/>
      </w:pPr>
      <w:r>
        <w:rPr>
          <w:rFonts w:ascii="Amiri" w:hAnsi="Amiri" w:eastAsia="Amiri" w:cs="Amiri"/>
          <w:lang w:bidi="ar-SA"/>
          <w:color w:val="111111"/>
          <w:sz w:val="28"/>
          <w:szCs w:val="28"/>
          <w:rtl/>
        </w:rPr>
        <w:t xml:space="preserve">، قسطنطين نقولا</w:t>
      </w:r>
    </w:p>
    <w:p>
      <w:pPr>
        <w:pStyle w:val="Heading2"/>
      </w:pPr>
      <w:bookmarkStart w:id="6665" w:name="_Toc5767"/>
      <w:r>
        <w:t>قسطنطيني ، احمد بن محمّد</w:t>
      </w:r>
      <w:bookmarkEnd w:id="6665"/>
    </w:p>
    <w:p>
      <w:pPr>
        <w:pStyle w:val="BookText"/>
      </w:pPr>
      <w:r>
        <w:rPr>
          <w:rFonts w:ascii="Amiri" w:hAnsi="Amiri" w:eastAsia="Amiri" w:cs="Amiri"/>
          <w:lang w:bidi="ar-SA"/>
          <w:color w:val="111111"/>
          <w:sz w:val="28"/>
          <w:szCs w:val="28"/>
          <w:rtl/>
        </w:rPr>
        <w:t xml:space="preserve">منتصف من الكلام على مغني ابن</w:t>
      </w:r>
    </w:p>
    <w:p>
      <w:pPr>
        <w:pStyle w:val="BookText"/>
      </w:pPr>
      <w:r>
        <w:rPr>
          <w:rFonts w:ascii="IRNazanin" w:hAnsi="IRNazanin" w:eastAsia="IRNazanin" w:cs="IRNazanin"/>
          <w:lang w:bidi="fa-IR"/>
          <w:color w:val="111111"/>
          <w:sz w:val="28"/>
          <w:szCs w:val="28"/>
          <w:rtl/>
        </w:rPr>
        <w:t xml:space="preserve">هشام، ج 15 ، ص 620 .</w:t>
      </w:r>
    </w:p>
    <w:p>
      <w:pPr>
        <w:pStyle w:val="Heading2"/>
      </w:pPr>
      <w:bookmarkStart w:id="6666" w:name="_Toc5768"/>
      <w:r>
        <w:t>قسطنطيني، مصطفى بن علي - 979ه-</w:t>
      </w:r>
      <w:bookmarkEnd w:id="6666"/>
    </w:p>
    <w:p>
      <w:pPr>
        <w:pStyle w:val="BookText"/>
      </w:pPr>
      <w:r>
        <w:rPr>
          <w:rFonts w:ascii="Amiri" w:hAnsi="Amiri" w:eastAsia="Amiri" w:cs="Amiri"/>
          <w:lang w:bidi="ar-SA"/>
          <w:color w:val="111111"/>
          <w:sz w:val="28"/>
          <w:szCs w:val="28"/>
          <w:rtl/>
        </w:rPr>
        <w:t xml:space="preserve">1 .إعلام العباد في أعلام البلاد، ج 2،</w:t>
      </w:r>
    </w:p>
    <w:p>
      <w:pPr>
        <w:pStyle w:val="BookText"/>
      </w:pPr>
      <w:r>
        <w:rPr>
          <w:rFonts w:ascii="IRNazanin" w:hAnsi="IRNazanin" w:eastAsia="IRNazanin" w:cs="IRNazanin"/>
          <w:lang w:bidi="fa-IR"/>
          <w:color w:val="111111"/>
          <w:sz w:val="28"/>
          <w:szCs w:val="28"/>
          <w:rtl/>
        </w:rPr>
        <w:t xml:space="preserve">ص 561.</w:t>
      </w:r>
    </w:p>
    <w:p>
      <w:pPr>
        <w:pStyle w:val="BookText"/>
      </w:pPr>
      <w:r>
        <w:rPr>
          <w:rFonts w:ascii="Amiri" w:hAnsi="Amiri" w:eastAsia="Amiri" w:cs="Amiri"/>
          <w:lang w:bidi="ar-SA"/>
          <w:color w:val="111111"/>
          <w:sz w:val="28"/>
          <w:szCs w:val="28"/>
          <w:rtl/>
        </w:rPr>
        <w:t xml:space="preserve">2 .تعليقات على حاشية الفوائد الفنارية - تعليقات على حاشية شرح الايساغوجي، ج4، ص496.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تقويم البلدان (رسالة في)، جع،</w:t>
      </w:r>
    </w:p>
    <w:p>
      <w:pPr>
        <w:pStyle w:val="BookText"/>
      </w:pPr>
      <w:r>
        <w:rPr>
          <w:rFonts w:ascii="IRNazanin" w:hAnsi="IRNazanin" w:eastAsia="IRNazanin" w:cs="IRNazanin"/>
          <w:lang w:bidi="fa-IR"/>
          <w:color w:val="111111"/>
          <w:sz w:val="28"/>
          <w:szCs w:val="28"/>
          <w:rtl/>
        </w:rPr>
        <w:t xml:space="preserve">ص 800.</w:t>
      </w:r>
    </w:p>
    <w:p>
      <w:pPr>
        <w:pStyle w:val="BookText"/>
      </w:pPr>
      <w:r>
        <w:rPr>
          <w:rFonts w:ascii="IRNazanin" w:hAnsi="IRNazanin" w:eastAsia="IRNazanin" w:cs="IRNazanin"/>
          <w:lang w:bidi="fa-IR"/>
          <w:color w:val="111111"/>
          <w:sz w:val="28"/>
          <w:szCs w:val="28"/>
          <w:rtl/>
        </w:rPr>
        <w:t xml:space="preserve">4 .ربع المقنطرات، ج8، ص30.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العمل بالربع( رسالة في)، ج11،</w:t>
      </w:r>
    </w:p>
    <w:p>
      <w:pPr>
        <w:pStyle w:val="BookText"/>
      </w:pPr>
      <w:r>
        <w:rPr>
          <w:rFonts w:ascii="IRNazanin" w:hAnsi="IRNazanin" w:eastAsia="IRNazanin" w:cs="IRNazanin"/>
          <w:lang w:bidi="fa-IR"/>
          <w:color w:val="111111"/>
          <w:sz w:val="28"/>
          <w:szCs w:val="28"/>
          <w:rtl/>
        </w:rPr>
        <w:t xml:space="preserve">ص 313.</w:t>
      </w:r>
    </w:p>
    <w:p>
      <w:pPr>
        <w:pStyle w:val="BookText"/>
      </w:pPr>
      <w:r>
        <w:rPr>
          <w:rFonts w:ascii="Amiri" w:hAnsi="Amiri" w:eastAsia="Amiri" w:cs="Amiri"/>
          <w:lang w:bidi="ar-SA"/>
          <w:color w:val="111111"/>
          <w:sz w:val="28"/>
          <w:szCs w:val="28"/>
          <w:rtl/>
        </w:rPr>
        <w:t xml:space="preserve">6 .كفاية الوقت، ج 13، ص 343.</w:t>
      </w:r>
    </w:p>
    <w:p>
      <w:pPr>
        <w:pStyle w:val="Heading2"/>
      </w:pPr>
      <w:bookmarkStart w:id="6667" w:name="_Toc5769"/>
      <w:r>
        <w:t>قس لاو نديوس سابا - 1755 م</w:t>
      </w:r>
      <w:bookmarkEnd w:id="6667"/>
    </w:p>
    <w:p>
      <w:pPr>
        <w:pStyle w:val="BookText"/>
      </w:pPr>
      <w:r>
        <w:rPr>
          <w:rFonts w:ascii="Amiri" w:hAnsi="Amiri" w:eastAsia="Amiri" w:cs="Amiri"/>
          <w:lang w:bidi="ar-SA"/>
          <w:color w:val="111111"/>
          <w:sz w:val="28"/>
          <w:szCs w:val="28"/>
          <w:rtl/>
        </w:rPr>
        <w:t xml:space="preserve">تأملات القديس اغسطينوس، ج3،</w:t>
      </w:r>
    </w:p>
    <w:p>
      <w:pPr>
        <w:pStyle w:val="BookText"/>
      </w:pPr>
      <w:r>
        <w:rPr>
          <w:rFonts w:ascii="IRNazanin" w:hAnsi="IRNazanin" w:eastAsia="IRNazanin" w:cs="IRNazanin"/>
          <w:lang w:bidi="fa-IR"/>
          <w:color w:val="111111"/>
          <w:sz w:val="28"/>
          <w:szCs w:val="28"/>
          <w:rtl/>
        </w:rPr>
        <w:t xml:space="preserve">ص 621.</w:t>
      </w:r>
    </w:p>
    <w:p>
      <w:pPr>
        <w:pStyle w:val="Heading2"/>
      </w:pPr>
      <w:bookmarkStart w:id="6668" w:name="_Toc5770"/>
      <w:r>
        <w:t>قسنطيني ، عبدالكريم بن محمّد - 1073 ه-</w:t>
      </w:r>
      <w:bookmarkEnd w:id="6668"/>
    </w:p>
    <w:p>
      <w:pPr>
        <w:pStyle w:val="BookText"/>
      </w:pPr>
      <w:r>
        <w:rPr>
          <w:rFonts w:ascii="Amiri" w:hAnsi="Amiri" w:eastAsia="Amiri" w:cs="Amiri"/>
          <w:lang w:bidi="ar-SA"/>
          <w:color w:val="111111"/>
          <w:sz w:val="28"/>
          <w:szCs w:val="28"/>
          <w:rtl/>
        </w:rPr>
        <w:t xml:space="preserve">فتح المولى في شرح شواهد ابن يعلي</w:t>
      </w:r>
    </w:p>
    <w:p>
      <w:pPr>
        <w:pStyle w:val="BookText"/>
      </w:pPr>
      <w:r>
        <w:rPr>
          <w:rFonts w:ascii="Amiri" w:hAnsi="Amiri" w:eastAsia="Amiri" w:cs="Amiri"/>
          <w:lang w:bidi="ar-SA"/>
          <w:color w:val="111111"/>
          <w:sz w:val="28"/>
          <w:szCs w:val="28"/>
          <w:rtl/>
        </w:rPr>
        <w:t xml:space="preserve">= شرح مقدمة الآجرومية، ج11، ص 687 .</w:t>
      </w:r>
    </w:p>
    <w:p>
      <w:pPr>
        <w:pStyle w:val="BookText"/>
      </w:pPr>
      <w:r>
        <w:rPr>
          <w:rFonts w:ascii="Amiri" w:hAnsi="Amiri" w:eastAsia="Amiri" w:cs="Amiri"/>
          <w:lang w:bidi="ar-SA"/>
          <w:color w:val="111111"/>
          <w:sz w:val="28"/>
          <w:szCs w:val="28"/>
          <w:rtl/>
        </w:rPr>
        <w:t xml:space="preserve">قشاشي ، صفي الدين احمد- بدري</w:t>
      </w:r>
    </w:p>
    <w:p>
      <w:pPr>
        <w:pStyle w:val="BookText"/>
      </w:pPr>
      <w:r>
        <w:rPr>
          <w:rFonts w:ascii="Amiri" w:hAnsi="Amiri" w:eastAsia="Amiri" w:cs="Amiri"/>
          <w:lang w:bidi="ar-SA"/>
          <w:color w:val="111111"/>
          <w:sz w:val="28"/>
          <w:szCs w:val="28"/>
          <w:rtl/>
        </w:rPr>
        <w:t xml:space="preserve">قشاشي ، صفي الدين احمد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885" w:name="pg7742_71052"/>
    <w:bookmarkEnd w:id="885"/>
    <w:p>
      <w:pPr>
        <w:pStyle w:val="Heading2"/>
      </w:pPr>
      <w:bookmarkStart w:id="6669" w:name="_Toc5771"/>
      <w:r>
        <w:t>قشاني ، احمد</w:t>
      </w:r>
      <w:bookmarkEnd w:id="6669"/>
    </w:p>
    <w:p>
      <w:pPr>
        <w:pStyle w:val="BookText"/>
      </w:pPr>
      <w:r>
        <w:rPr>
          <w:rFonts w:ascii="Amiri" w:hAnsi="Amiri" w:eastAsia="Amiri" w:cs="Amiri"/>
          <w:lang w:bidi="ar-SA"/>
          <w:color w:val="111111"/>
          <w:sz w:val="28"/>
          <w:szCs w:val="28"/>
          <w:rtl/>
        </w:rPr>
        <w:t xml:space="preserve">الاسرار الجامعة و الانوار اللامعة، ج 2، - 546 ه-</w:t>
      </w:r>
    </w:p>
    <w:p>
      <w:pPr>
        <w:pStyle w:val="BookText"/>
      </w:pPr>
      <w:r>
        <w:rPr>
          <w:rFonts w:ascii="IRNazanin" w:hAnsi="IRNazanin" w:eastAsia="IRNazanin" w:cs="IRNazanin"/>
          <w:lang w:bidi="fa-IR"/>
          <w:color w:val="111111"/>
          <w:sz w:val="28"/>
          <w:szCs w:val="28"/>
          <w:rtl/>
        </w:rPr>
        <w:t xml:space="preserve">ص 165 .</w:t>
      </w:r>
    </w:p>
    <w:p>
      <w:pPr>
        <w:pStyle w:val="Heading2"/>
      </w:pPr>
      <w:bookmarkStart w:id="6670" w:name="_Toc5772"/>
      <w:r>
        <w:t>قشلاقي ، محمّد ابراهيم بن محمّد مهدي</w:t>
      </w:r>
      <w:bookmarkEnd w:id="6670"/>
    </w:p>
    <w:p>
      <w:pPr>
        <w:pStyle w:val="BookText"/>
      </w:pPr>
      <w:r>
        <w:rPr>
          <w:rFonts w:ascii="IRNazanin" w:hAnsi="IRNazanin" w:eastAsia="IRNazanin" w:cs="IRNazanin"/>
          <w:lang w:bidi="fa-IR"/>
          <w:color w:val="111111"/>
          <w:sz w:val="28"/>
          <w:szCs w:val="28"/>
          <w:rtl/>
        </w:rPr>
        <w:t xml:space="preserve">1235 - 1288 ه-</w:t>
      </w:r>
    </w:p>
    <w:p>
      <w:pPr>
        <w:pStyle w:val="BookText"/>
      </w:pPr>
      <w:r>
        <w:rPr>
          <w:rFonts w:ascii="Amiri" w:hAnsi="Amiri" w:eastAsia="Amiri" w:cs="Amiri"/>
          <w:lang w:bidi="ar-SA"/>
          <w:color w:val="111111"/>
          <w:sz w:val="28"/>
          <w:szCs w:val="28"/>
          <w:rtl/>
        </w:rPr>
        <w:t xml:space="preserve">البحر اللمع في شرح المختصر النافع</w:t>
      </w:r>
    </w:p>
    <w:p>
      <w:pPr>
        <w:pStyle w:val="BookText"/>
      </w:pPr>
      <w:r>
        <w:rPr>
          <w:rFonts w:ascii="IRNazanin" w:hAnsi="IRNazanin" w:eastAsia="IRNazanin" w:cs="IRNazanin"/>
          <w:lang w:bidi="fa-IR"/>
          <w:color w:val="111111"/>
          <w:sz w:val="28"/>
          <w:szCs w:val="28"/>
          <w:rtl/>
        </w:rPr>
        <w:t xml:space="preserve">ج 3، ص 227</w:t>
      </w:r>
    </w:p>
    <w:p>
      <w:pPr>
        <w:pStyle w:val="Heading2"/>
      </w:pPr>
      <w:bookmarkStart w:id="6671" w:name="_Toc5773"/>
      <w:r>
        <w:t>قشيري ، عبدالكريم بن هوازن 386 -</w:t>
      </w:r>
      <w:bookmarkEnd w:id="6671"/>
    </w:p>
    <w:p>
      <w:pPr>
        <w:pStyle w:val="BookText"/>
      </w:pPr>
      <w:r>
        <w:rPr>
          <w:rFonts w:ascii="IRNazanin" w:hAnsi="IRNazanin" w:eastAsia="IRNazanin" w:cs="IRNazanin"/>
          <w:lang w:bidi="fa-IR"/>
          <w:color w:val="111111"/>
          <w:sz w:val="28"/>
          <w:szCs w:val="28"/>
          <w:rtl/>
        </w:rPr>
        <w:t xml:space="preserve">465 ه-</w:t>
      </w:r>
    </w:p>
    <w:p>
      <w:pPr>
        <w:pStyle w:val="BookText"/>
      </w:pPr>
      <w:r>
        <w:rPr>
          <w:rFonts w:ascii="Amiri" w:hAnsi="Amiri" w:eastAsia="Amiri" w:cs="Amiri"/>
          <w:lang w:bidi="ar-SA"/>
          <w:color w:val="111111"/>
          <w:sz w:val="28"/>
          <w:szCs w:val="28"/>
          <w:rtl/>
        </w:rPr>
        <w:t xml:space="preserve">1 .اوصاف اهل الصفوة، ج3، ص77.</w:t>
      </w:r>
    </w:p>
    <w:p>
      <w:pPr>
        <w:pStyle w:val="BookText"/>
      </w:pPr>
      <w:r>
        <w:rPr>
          <w:rFonts w:ascii="Amiri" w:hAnsi="Amiri" w:eastAsia="Amiri" w:cs="Amiri"/>
          <w:lang w:bidi="ar-SA"/>
          <w:color w:val="111111"/>
          <w:sz w:val="28"/>
          <w:szCs w:val="28"/>
          <w:rtl/>
        </w:rPr>
        <w:t xml:space="preserve">2 .التخبير في علم التذكير = التحبير في</w:t>
      </w:r>
    </w:p>
    <w:p>
      <w:pPr>
        <w:pStyle w:val="BookText"/>
      </w:pPr>
      <w:r>
        <w:rPr>
          <w:rFonts w:ascii="Amiri" w:hAnsi="Amiri" w:eastAsia="Amiri" w:cs="Amiri"/>
          <w:lang w:bidi="ar-SA"/>
          <w:color w:val="111111"/>
          <w:sz w:val="28"/>
          <w:szCs w:val="28"/>
          <w:rtl/>
        </w:rPr>
        <w:t xml:space="preserve">علم التذكير، ج 4، ص 94 .</w:t>
      </w:r>
    </w:p>
    <w:p>
      <w:pPr>
        <w:pStyle w:val="BookText"/>
      </w:pPr>
      <w:r>
        <w:rPr>
          <w:rFonts w:ascii="Amiri" w:hAnsi="Amiri" w:eastAsia="Amiri" w:cs="Amiri"/>
          <w:lang w:bidi="ar-SA"/>
          <w:color w:val="111111"/>
          <w:sz w:val="28"/>
          <w:szCs w:val="28"/>
          <w:rtl/>
        </w:rPr>
        <w:t xml:space="preserve">3.الجواهر المنثورة، ج 5، ص 602.</w:t>
      </w:r>
    </w:p>
    <w:p>
      <w:pPr>
        <w:pStyle w:val="BookText"/>
      </w:pPr>
      <w:r>
        <w:rPr>
          <w:rFonts w:ascii="Amiri" w:hAnsi="Amiri" w:eastAsia="Amiri" w:cs="Amiri"/>
          <w:lang w:bidi="ar-SA"/>
          <w:color w:val="111111"/>
          <w:sz w:val="28"/>
          <w:szCs w:val="28"/>
          <w:rtl/>
        </w:rPr>
        <w:t xml:space="preserve">4 .الرسالة القشيرية، ج8، ص 249.</w:t>
      </w:r>
    </w:p>
    <w:p>
      <w:pPr>
        <w:pStyle w:val="BookText"/>
      </w:pPr>
      <w:r>
        <w:rPr>
          <w:rFonts w:ascii="Amiri" w:hAnsi="Amiri" w:eastAsia="Amiri" w:cs="Amiri"/>
          <w:lang w:bidi="ar-SA"/>
          <w:color w:val="111111"/>
          <w:sz w:val="28"/>
          <w:szCs w:val="28"/>
          <w:rtl/>
        </w:rPr>
        <w:t xml:space="preserve">5 .لطائف الاشارات في حقائق العبارات - اشارات القرآن، ج13، ص 576.</w:t>
      </w:r>
    </w:p>
    <w:p>
      <w:pPr>
        <w:pStyle w:val="Heading2"/>
      </w:pPr>
      <w:bookmarkStart w:id="6672" w:name="_Toc5774"/>
      <w:r>
        <w:t>قشيري ، محمّد بن سعيد - 334 ه-</w:t>
      </w:r>
      <w:bookmarkEnd w:id="6672"/>
    </w:p>
    <w:p>
      <w:pPr>
        <w:pStyle w:val="BookText"/>
      </w:pPr>
      <w:r>
        <w:rPr>
          <w:rFonts w:ascii="Amiri" w:hAnsi="Amiri" w:eastAsia="Amiri" w:cs="Amiri"/>
          <w:lang w:bidi="ar-SA"/>
          <w:color w:val="111111"/>
          <w:sz w:val="28"/>
          <w:szCs w:val="28"/>
          <w:rtl/>
        </w:rPr>
        <w:t xml:space="preserve">تاريخ الرقة، ج 3، ص 576 .</w:t>
      </w:r>
    </w:p>
    <w:p>
      <w:pPr>
        <w:pStyle w:val="BookText"/>
      </w:pPr>
      <w:r>
        <w:rPr>
          <w:rFonts w:ascii="Amiri" w:hAnsi="Amiri" w:eastAsia="Amiri" w:cs="Amiri"/>
          <w:lang w:bidi="ar-SA"/>
          <w:color w:val="111111"/>
          <w:sz w:val="28"/>
          <w:szCs w:val="28"/>
          <w:rtl/>
        </w:rPr>
        <w:t xml:space="preserve">قشيري ، محمّد بن علي- ابن دقيق عيد ،</w:t>
      </w:r>
    </w:p>
    <w:p>
      <w:pPr>
        <w:pStyle w:val="BookText"/>
      </w:pPr>
      <w:r>
        <w:rPr>
          <w:rFonts w:ascii="Amiri" w:hAnsi="Amiri" w:eastAsia="Amiri" w:cs="Amiri"/>
          <w:lang w:bidi="ar-SA"/>
          <w:color w:val="111111"/>
          <w:sz w:val="28"/>
          <w:szCs w:val="28"/>
          <w:rtl/>
        </w:rPr>
        <w:t xml:space="preserve">محمد بن علي</w:t>
      </w:r>
    </w:p>
    <w:p>
      <w:pPr>
        <w:pStyle w:val="Heading2"/>
      </w:pPr>
      <w:bookmarkStart w:id="6673" w:name="_Toc5775"/>
      <w:r>
        <w:t>قشيري نيشابوري ، مسلم بن الحجاج</w:t>
      </w:r>
      <w:bookmarkEnd w:id="6673"/>
    </w:p>
    <w:p>
      <w:pPr>
        <w:pStyle w:val="BookText"/>
      </w:pPr>
      <w:r>
        <w:rPr>
          <w:rFonts w:ascii="IRNazanin" w:hAnsi="IRNazanin" w:eastAsia="IRNazanin" w:cs="IRNazanin"/>
          <w:lang w:bidi="fa-IR"/>
          <w:color w:val="111111"/>
          <w:sz w:val="28"/>
          <w:szCs w:val="28"/>
          <w:rtl/>
        </w:rPr>
        <w:t xml:space="preserve">204 - 261ه-</w:t>
      </w:r>
    </w:p>
    <w:p>
      <w:pPr>
        <w:pStyle w:val="BookText"/>
      </w:pPr>
      <w:r>
        <w:rPr>
          <w:rFonts w:ascii="Amiri" w:hAnsi="Amiri" w:eastAsia="Amiri" w:cs="Amiri"/>
          <w:lang w:bidi="ar-SA"/>
          <w:color w:val="111111"/>
          <w:sz w:val="28"/>
          <w:szCs w:val="28"/>
          <w:rtl/>
        </w:rPr>
        <w:t xml:space="preserve">1 .أوهام المحدثين، ج 3، ص 90.</w:t>
      </w:r>
    </w:p>
    <w:p>
      <w:pPr>
        <w:pStyle w:val="BookText"/>
      </w:pPr>
      <w:r>
        <w:rPr>
          <w:rFonts w:ascii="Amiri" w:hAnsi="Amiri" w:eastAsia="Amiri" w:cs="Amiri"/>
          <w:lang w:bidi="ar-SA"/>
          <w:color w:val="111111"/>
          <w:sz w:val="28"/>
          <w:szCs w:val="28"/>
          <w:rtl/>
        </w:rPr>
        <w:t xml:space="preserve">2 .رجال عروة بن زبير و جماعة من</w:t>
      </w:r>
    </w:p>
    <w:p>
      <w:pPr>
        <w:pStyle w:val="BookText"/>
      </w:pPr>
      <w:r>
        <w:rPr>
          <w:rFonts w:ascii="Amiri" w:hAnsi="Amiri" w:eastAsia="Amiri" w:cs="Amiri"/>
          <w:lang w:bidi="ar-SA"/>
          <w:color w:val="111111"/>
          <w:sz w:val="28"/>
          <w:szCs w:val="28"/>
          <w:rtl/>
        </w:rPr>
        <w:t xml:space="preserve">التابعين، ج8، ص 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صحيح مسلم = الجامع الصحيح،</w:t>
      </w:r>
    </w:p>
    <w:p>
      <w:pPr>
        <w:pStyle w:val="BookText"/>
      </w:pPr>
      <w:r>
        <w:rPr>
          <w:rFonts w:ascii="IRNazanin" w:hAnsi="IRNazanin" w:eastAsia="IRNazanin" w:cs="IRNazanin"/>
          <w:lang w:bidi="fa-IR"/>
          <w:color w:val="111111"/>
          <w:sz w:val="28"/>
          <w:szCs w:val="28"/>
          <w:rtl/>
        </w:rPr>
        <w:t xml:space="preserve">ج 10، ص 502.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الكني و الاسماء، ج 13، ص 448.</w:t>
      </w:r>
    </w:p>
    <w:p>
      <w:pPr>
        <w:pStyle w:val="Heading2"/>
      </w:pPr>
      <w:bookmarkStart w:id="6674" w:name="_Toc5776"/>
      <w:r>
        <w:t>قشيري ، هبة الرحمن بن عبد الواحد 460</w:t>
      </w:r>
      <w:bookmarkEnd w:id="6674"/>
    </w:p>
    <w:p>
      <w:pPr>
        <w:pStyle w:val="BookText"/>
      </w:pPr>
      <w:r>
        <w:rPr>
          <w:rFonts w:ascii="Amiri" w:hAnsi="Amiri" w:eastAsia="Amiri" w:cs="Amiri"/>
          <w:lang w:bidi="ar-SA"/>
          <w:color w:val="111111"/>
          <w:sz w:val="28"/>
          <w:szCs w:val="28"/>
          <w:rtl/>
        </w:rPr>
        <w:t xml:space="preserve">ملخص اربعين القشيري، ج 15</w:t>
      </w:r>
    </w:p>
    <w:p>
      <w:pPr>
        <w:pStyle w:val="BookText"/>
      </w:pPr>
      <w:r>
        <w:rPr>
          <w:rFonts w:ascii="IRNazanin" w:hAnsi="IRNazanin" w:eastAsia="IRNazanin" w:cs="IRNazanin"/>
          <w:lang w:bidi="fa-IR"/>
          <w:color w:val="111111"/>
          <w:sz w:val="28"/>
          <w:szCs w:val="28"/>
          <w:rtl/>
        </w:rPr>
        <w:t xml:space="preserve">ص 456 .</w:t>
      </w:r>
    </w:p>
    <w:p>
      <w:pPr>
        <w:pStyle w:val="Heading2"/>
      </w:pPr>
      <w:bookmarkStart w:id="6675" w:name="_Toc5777"/>
      <w:r>
        <w:t>قصاب زاده، ابراهیم بن قصاب -1029ه-</w:t>
      </w:r>
      <w:bookmarkEnd w:id="6675"/>
    </w:p>
    <w:p>
      <w:pPr>
        <w:pStyle w:val="BookText"/>
      </w:pPr>
      <w:r>
        <w:rPr>
          <w:rFonts w:ascii="Amiri" w:hAnsi="Amiri" w:eastAsia="Amiri" w:cs="Amiri"/>
          <w:lang w:bidi="ar-SA"/>
          <w:color w:val="111111"/>
          <w:sz w:val="28"/>
          <w:szCs w:val="28"/>
          <w:rtl/>
        </w:rPr>
        <w:t xml:space="preserve">مقولات العشر (رسالة في بيان)، ج 15</w:t>
      </w:r>
    </w:p>
    <w:p>
      <w:pPr>
        <w:pStyle w:val="BookText"/>
      </w:pPr>
      <w:r>
        <w:rPr>
          <w:rFonts w:ascii="IRNazanin" w:hAnsi="IRNazanin" w:eastAsia="IRNazanin" w:cs="IRNazanin"/>
          <w:lang w:bidi="fa-IR"/>
          <w:color w:val="111111"/>
          <w:sz w:val="28"/>
          <w:szCs w:val="28"/>
          <w:rtl/>
        </w:rPr>
        <w:t xml:space="preserve">ص 399.</w:t>
      </w:r>
    </w:p>
    <w:p>
      <w:pPr>
        <w:pStyle w:val="Heading2"/>
      </w:pPr>
      <w:bookmarkStart w:id="6676" w:name="_Toc5778"/>
      <w:r>
        <w:t>قصراني ، يعقوب بن علي، قرن 4 ه-</w:t>
      </w:r>
      <w:bookmarkEnd w:id="6676"/>
    </w:p>
    <w:p>
      <w:pPr>
        <w:pStyle w:val="BookText"/>
      </w:pPr>
      <w:r>
        <w:rPr>
          <w:rFonts w:ascii="Amiri" w:hAnsi="Amiri" w:eastAsia="Amiri" w:cs="Amiri"/>
          <w:lang w:bidi="ar-SA"/>
          <w:color w:val="111111"/>
          <w:sz w:val="28"/>
          <w:szCs w:val="28"/>
          <w:rtl/>
        </w:rPr>
        <w:t xml:space="preserve">المسائل = الجامع لاحكام المسائل = الجامع لعلم الاحكام، ج 14، ص 429.</w:t>
      </w:r>
    </w:p>
    <w:p>
      <w:pPr>
        <w:pStyle w:val="Heading2"/>
      </w:pPr>
      <w:bookmarkStart w:id="6677" w:name="_Toc5779"/>
      <w:r>
        <w:t>قصيري زاده، محمّد امین بن محمّد</w:t>
      </w:r>
      <w:bookmarkEnd w:id="6677"/>
    </w:p>
    <w:p>
      <w:pPr>
        <w:pStyle w:val="BookText"/>
      </w:pPr>
      <w:r>
        <w:rPr>
          <w:rFonts w:ascii="IRNazanin" w:hAnsi="IRNazanin" w:eastAsia="IRNazanin" w:cs="IRNazanin"/>
          <w:lang w:bidi="fa-IR"/>
          <w:color w:val="111111"/>
          <w:sz w:val="28"/>
          <w:szCs w:val="28"/>
          <w:rtl/>
        </w:rPr>
        <w:t xml:space="preserve">1151 ه-</w:t>
      </w:r>
    </w:p>
    <w:p>
      <w:pPr>
        <w:pStyle w:val="BookText"/>
      </w:pPr>
      <w:r>
        <w:rPr>
          <w:rFonts w:ascii="Amiri" w:hAnsi="Amiri" w:eastAsia="Amiri" w:cs="Amiri"/>
          <w:lang w:bidi="ar-SA"/>
          <w:color w:val="111111"/>
          <w:sz w:val="28"/>
          <w:szCs w:val="28"/>
          <w:rtl/>
        </w:rPr>
        <w:t xml:space="preserve">1 .حل المسالة الشعيرية في شرح</w:t>
      </w:r>
    </w:p>
    <w:p>
      <w:pPr>
        <w:pStyle w:val="BookText"/>
      </w:pPr>
      <w:r>
        <w:rPr>
          <w:rFonts w:ascii="Amiri" w:hAnsi="Amiri" w:eastAsia="Amiri" w:cs="Amiri"/>
          <w:lang w:bidi="ar-SA"/>
          <w:color w:val="111111"/>
          <w:sz w:val="28"/>
          <w:szCs w:val="28"/>
          <w:rtl/>
        </w:rPr>
        <w:t xml:space="preserve">الجغميني، ج 6، ص792.</w:t>
      </w:r>
    </w:p>
    <w:p>
      <w:pPr>
        <w:pStyle w:val="BookText"/>
      </w:pPr>
      <w:r>
        <w:rPr>
          <w:rFonts w:ascii="IRNazanin" w:hAnsi="IRNazanin" w:eastAsia="IRNazanin" w:cs="IRNazanin"/>
          <w:lang w:bidi="fa-IR"/>
          <w:color w:val="111111"/>
          <w:sz w:val="28"/>
          <w:szCs w:val="28"/>
          <w:rtl/>
        </w:rPr>
        <w:t xml:space="preserve">2 .شرح آداب البحث، ج 9، ص 130.</w:t>
      </w:r>
    </w:p>
    <w:p>
      <w:pPr>
        <w:pStyle w:val="Heading2"/>
      </w:pPr>
      <w:bookmarkStart w:id="6678" w:name="_Toc5780"/>
      <w:r>
        <w:t>قضاعي ، محمّد بن احمد قرن 6 ه-</w:t>
      </w:r>
      <w:bookmarkEnd w:id="6678"/>
    </w:p>
    <w:p>
      <w:pPr>
        <w:pStyle w:val="BookText"/>
      </w:pPr>
      <w:r>
        <w:rPr>
          <w:rFonts w:ascii="IRNazanin" w:hAnsi="IRNazanin" w:eastAsia="IRNazanin" w:cs="IRNazanin"/>
          <w:lang w:bidi="fa-IR"/>
          <w:color w:val="111111"/>
          <w:sz w:val="28"/>
          <w:szCs w:val="28"/>
          <w:rtl/>
        </w:rPr>
        <w:t xml:space="preserve">مختصر مجمع الأمثال، ج 14، ص 240.</w:t>
      </w:r>
    </w:p>
    <w:p>
      <w:pPr>
        <w:pStyle w:val="Heading2"/>
      </w:pPr>
      <w:bookmarkStart w:id="6679" w:name="_Toc5781"/>
      <w:r>
        <w:t>قضاعي ، محمّد بن سلامه - 454 ه-</w:t>
      </w:r>
      <w:bookmarkEnd w:id="66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الف كلمة من الحكمة، ج 2،</w:t>
      </w:r>
    </w:p>
    <w:p>
      <w:pPr>
        <w:pStyle w:val="BookText"/>
      </w:pPr>
      <w:r>
        <w:rPr>
          <w:rFonts w:ascii="IRNazanin" w:hAnsi="IRNazanin" w:eastAsia="IRNazanin" w:cs="IRNazanin"/>
          <w:lang w:bidi="fa-IR"/>
          <w:color w:val="111111"/>
          <w:sz w:val="28"/>
          <w:szCs w:val="28"/>
          <w:rtl/>
        </w:rPr>
        <w:t xml:space="preserve">ص 682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دستور معالم الحكم و مأثور مکارم الشيم من كلام علي بن ابي طالب ج 7، ص 385.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ذات الله تعالى ( رسالة في)، ج 7،</w:t>
      </w:r>
    </w:p>
    <w:p>
      <w:pPr>
        <w:pStyle w:val="BookText"/>
      </w:pPr>
      <w:r>
        <w:rPr>
          <w:rFonts w:ascii="IRNazanin" w:hAnsi="IRNazanin" w:eastAsia="IRNazanin" w:cs="IRNazanin"/>
          <w:lang w:bidi="fa-IR"/>
          <w:color w:val="111111"/>
          <w:sz w:val="28"/>
          <w:szCs w:val="28"/>
          <w:rtl/>
        </w:rPr>
        <w:t xml:space="preserve">ص 803</w:t>
      </w:r>
    </w:p>
    <w:p>
      <w:pPr>
        <w:pStyle w:val="BookText"/>
      </w:pPr>
      <w:r>
        <w:rPr>
          <w:rFonts w:ascii="Amiri" w:hAnsi="Amiri" w:eastAsia="Amiri" w:cs="Amiri"/>
          <w:lang w:bidi="ar-SA"/>
          <w:color w:val="111111"/>
          <w:sz w:val="28"/>
          <w:szCs w:val="28"/>
          <w:rtl/>
        </w:rPr>
        <w:t xml:space="preserve">4 .شهاب الاخبار في الحكم والامثال و</w:t>
      </w:r>
    </w:p>
    <w:p>
      <w:pPr>
        <w:pStyle w:val="BookText"/>
      </w:pPr>
      <w:r>
        <w:rPr>
          <w:rFonts w:ascii="IRNazanin" w:hAnsi="IRNazanin" w:eastAsia="IRNazanin" w:cs="IRNazanin"/>
          <w:lang w:bidi="fa-IR"/>
          <w:color w:val="111111"/>
          <w:sz w:val="28"/>
          <w:szCs w:val="28"/>
          <w:rtl/>
        </w:rPr>
        <w:t xml:space="preserve">الآداب، ج 10، ص 426.</w:t>
      </w:r>
    </w:p>
    <w:p>
      <w:pPr>
        <w:pStyle w:val="BookText"/>
      </w:pPr>
      <w:r>
        <w:rPr>
          <w:rFonts w:ascii="Amiri" w:hAnsi="Amiri" w:eastAsia="Amiri" w:cs="Amiri"/>
          <w:lang w:bidi="ar-SA"/>
          <w:color w:val="111111"/>
          <w:sz w:val="28"/>
          <w:szCs w:val="28"/>
          <w:rtl/>
        </w:rPr>
        <w:t xml:space="preserve">5 .عيون المعارف و فنون اخبار الخلائف = تاريخ القضاعي، ج11،</w:t>
      </w:r>
    </w:p>
    <w:p>
      <w:pPr>
        <w:pStyle w:val="BookText"/>
      </w:pPr>
      <w:r>
        <w:rPr>
          <w:rFonts w:ascii="IRNazanin" w:hAnsi="IRNazanin" w:eastAsia="IRNazanin" w:cs="IRNazanin"/>
          <w:lang w:bidi="fa-IR"/>
          <w:color w:val="111111"/>
          <w:sz w:val="28"/>
          <w:szCs w:val="28"/>
          <w:rtl/>
        </w:rPr>
        <w:t xml:space="preserve">ص 411 .</w:t>
      </w:r>
    </w:p>
    <w:p>
      <w:pPr>
        <w:pStyle w:val="BookText"/>
      </w:pPr>
      <w:r>
        <w:rPr>
          <w:rFonts w:ascii="IRNazanin" w:hAnsi="IRNazanin" w:eastAsia="IRNazanin" w:cs="IRNazanin"/>
          <w:lang w:bidi="fa-IR"/>
          <w:color w:val="111111"/>
          <w:sz w:val="28"/>
          <w:szCs w:val="28"/>
          <w:rtl/>
        </w:rPr>
        <w:t xml:space="preserve">6 .مسند الشهاب، ج 14، ص 598.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886" w:name="pg7742_71054"/>
    <w:bookmarkEnd w:id="886"/>
    <w:p>
      <w:pPr>
        <w:pStyle w:val="Heading2"/>
      </w:pPr>
      <w:bookmarkStart w:id="6680" w:name="_Toc5782"/>
      <w:r>
        <w:t>قطان حلي ، محمّد بن شجاع قرن 9 ه-</w:t>
      </w:r>
      <w:bookmarkEnd w:id="6680"/>
    </w:p>
    <w:p>
      <w:pPr>
        <w:pStyle w:val="BookText"/>
      </w:pPr>
      <w:r>
        <w:rPr>
          <w:rFonts w:ascii="Amiri" w:hAnsi="Amiri" w:eastAsia="Amiri" w:cs="Amiri"/>
          <w:lang w:bidi="ar-SA"/>
          <w:color w:val="111111"/>
          <w:sz w:val="28"/>
          <w:szCs w:val="28"/>
          <w:rtl/>
        </w:rPr>
        <w:t xml:space="preserve">1 .معالم الدين في فقه آل ياسين، ج 14،</w:t>
      </w:r>
    </w:p>
    <w:p>
      <w:pPr>
        <w:pStyle w:val="BookText"/>
      </w:pPr>
      <w:r>
        <w:rPr>
          <w:rFonts w:ascii="IRNazanin" w:hAnsi="IRNazanin" w:eastAsia="IRNazanin" w:cs="IRNazanin"/>
          <w:lang w:bidi="fa-IR"/>
          <w:color w:val="111111"/>
          <w:sz w:val="28"/>
          <w:szCs w:val="28"/>
          <w:rtl/>
        </w:rPr>
        <w:t xml:space="preserve">ص 877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نهج العرفان في أحكام الإيمان، ج16،</w:t>
      </w:r>
    </w:p>
    <w:p>
      <w:pPr>
        <w:pStyle w:val="BookText"/>
      </w:pPr>
      <w:r>
        <w:rPr>
          <w:rFonts w:ascii="IRNazanin" w:hAnsi="IRNazanin" w:eastAsia="IRNazanin" w:cs="IRNazanin"/>
          <w:lang w:bidi="fa-IR"/>
          <w:color w:val="111111"/>
          <w:sz w:val="28"/>
          <w:szCs w:val="28"/>
          <w:rtl/>
        </w:rPr>
        <w:t xml:space="preserve">ص 530.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وصايا الدين في فقه آل ياسين، ج 16،</w:t>
      </w:r>
    </w:p>
    <w:p>
      <w:pPr>
        <w:pStyle w:val="BookText"/>
      </w:pPr>
      <w:r>
        <w:rPr>
          <w:rFonts w:ascii="IRNazanin" w:hAnsi="IRNazanin" w:eastAsia="IRNazanin" w:cs="IRNazanin"/>
          <w:lang w:bidi="fa-IR"/>
          <w:color w:val="111111"/>
          <w:sz w:val="28"/>
          <w:szCs w:val="28"/>
          <w:rtl/>
        </w:rPr>
        <w:t xml:space="preserve">ص 798.</w:t>
      </w:r>
    </w:p>
    <w:p>
      <w:pPr>
        <w:pStyle w:val="Heading2"/>
      </w:pPr>
      <w:bookmarkStart w:id="6681" w:name="_Toc5783"/>
      <w:r>
        <w:t>قطان عبدالكريم بن عبد الصمد -478ه-</w:t>
      </w:r>
      <w:bookmarkEnd w:id="6681"/>
    </w:p>
    <w:p>
      <w:pPr>
        <w:pStyle w:val="BookText"/>
      </w:pPr>
      <w:r>
        <w:rPr>
          <w:rFonts w:ascii="Amiri" w:hAnsi="Amiri" w:eastAsia="Amiri" w:cs="Amiri"/>
          <w:lang w:bidi="ar-SA"/>
          <w:color w:val="111111"/>
          <w:sz w:val="28"/>
          <w:szCs w:val="28"/>
          <w:rtl/>
        </w:rPr>
        <w:t xml:space="preserve">حديثان احدهما في فضل رجب، ج 6، ص 566.</w:t>
      </w:r>
    </w:p>
    <w:p>
      <w:pPr>
        <w:pStyle w:val="Heading2"/>
      </w:pPr>
      <w:bookmarkStart w:id="6682" w:name="_Toc5784"/>
      <w:r>
        <w:t>قطان غزنوي، سعيد بن محمّد قرن 6ه-</w:t>
      </w:r>
      <w:bookmarkEnd w:id="6682"/>
    </w:p>
    <w:p>
      <w:pPr>
        <w:pStyle w:val="BookText"/>
      </w:pPr>
      <w:r>
        <w:rPr>
          <w:rFonts w:ascii="IRNazanin" w:hAnsi="IRNazanin" w:eastAsia="IRNazanin" w:cs="IRNazanin"/>
          <w:lang w:bidi="fa-IR"/>
          <w:color w:val="111111"/>
          <w:sz w:val="28"/>
          <w:szCs w:val="28"/>
          <w:rtl/>
        </w:rPr>
        <w:t xml:space="preserve">سراج القلوب، ج 8، ص 734.</w:t>
      </w:r>
    </w:p>
    <w:p>
      <w:pPr>
        <w:pStyle w:val="Heading2"/>
      </w:pPr>
      <w:bookmarkStart w:id="6683" w:name="_Toc5785"/>
      <w:r>
        <w:t>قطب الدین رازي ، محمّد بن محمّد، 694</w:t>
      </w:r>
      <w:bookmarkEnd w:id="66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766 ه-</w:t>
      </w:r>
    </w:p>
    <w:p>
      <w:pPr>
        <w:pStyle w:val="BookText"/>
      </w:pPr>
      <w:r>
        <w:rPr>
          <w:rFonts w:ascii="Amiri" w:hAnsi="Amiri" w:eastAsia="Amiri" w:cs="Amiri"/>
          <w:lang w:bidi="ar-SA"/>
          <w:color w:val="111111"/>
          <w:sz w:val="28"/>
          <w:szCs w:val="28"/>
          <w:rtl/>
        </w:rPr>
        <w:t xml:space="preserve">1 .تحرير القواعد المنطقية في شرح الرسالة الشمسية، ج 3، ص 742.</w:t>
      </w:r>
    </w:p>
    <w:p>
      <w:pPr>
        <w:pStyle w:val="BookText"/>
      </w:pPr>
      <w:r>
        <w:rPr>
          <w:rFonts w:ascii="Amiri" w:hAnsi="Amiri" w:eastAsia="Amiri" w:cs="Amiri"/>
          <w:lang w:bidi="ar-SA"/>
          <w:color w:val="111111"/>
          <w:sz w:val="28"/>
          <w:szCs w:val="28"/>
          <w:rtl/>
        </w:rPr>
        <w:t xml:space="preserve">2 .تحقيق الكليات، ج4، ص 71.</w:t>
      </w:r>
    </w:p>
    <w:p>
      <w:pPr>
        <w:pStyle w:val="BookText"/>
      </w:pPr>
      <w:r>
        <w:rPr>
          <w:rFonts w:ascii="Amiri" w:hAnsi="Amiri" w:eastAsia="Amiri" w:cs="Amiri"/>
          <w:lang w:bidi="ar-SA"/>
          <w:color w:val="111111"/>
          <w:sz w:val="28"/>
          <w:szCs w:val="28"/>
          <w:rtl/>
        </w:rPr>
        <w:t xml:space="preserve">3 .التصور والتصديق، ج4، ص 423.</w:t>
      </w:r>
    </w:p>
    <w:p>
      <w:pPr>
        <w:pStyle w:val="BookText"/>
      </w:pPr>
      <w:r>
        <w:rPr>
          <w:rFonts w:ascii="Amiri" w:hAnsi="Amiri" w:eastAsia="Amiri" w:cs="Amiri"/>
          <w:lang w:bidi="ar-SA"/>
          <w:color w:val="111111"/>
          <w:sz w:val="28"/>
          <w:szCs w:val="28"/>
          <w:rtl/>
        </w:rPr>
        <w:t xml:space="preserve">4 .حاشية الكشاف، ج6، ص 326.</w:t>
      </w:r>
    </w:p>
    <w:p>
      <w:pPr>
        <w:pStyle w:val="BookText"/>
      </w:pPr>
      <w:r>
        <w:rPr>
          <w:rFonts w:ascii="Amiri" w:hAnsi="Amiri" w:eastAsia="Amiri" w:cs="Amiri"/>
          <w:lang w:bidi="ar-SA"/>
          <w:color w:val="111111"/>
          <w:sz w:val="28"/>
          <w:szCs w:val="28"/>
          <w:rtl/>
        </w:rPr>
        <w:t xml:space="preserve">5 .حاشية شرح الاشارات، ج 6، ص 34.</w:t>
      </w:r>
    </w:p>
    <w:p>
      <w:pPr>
        <w:pStyle w:val="BookText"/>
      </w:pPr>
      <w:r>
        <w:rPr>
          <w:rFonts w:ascii="Amiri" w:hAnsi="Amiri" w:eastAsia="Amiri" w:cs="Amiri"/>
          <w:lang w:bidi="ar-SA"/>
          <w:color w:val="111111"/>
          <w:sz w:val="28"/>
          <w:szCs w:val="28"/>
          <w:rtl/>
        </w:rPr>
        <w:t xml:space="preserve">6 .لوامع الاسرار في شرح مطالع الانوار</w:t>
      </w:r>
    </w:p>
    <w:p>
      <w:pPr>
        <w:pStyle w:val="BookText"/>
      </w:pPr>
      <w:r>
        <w:rPr>
          <w:rFonts w:ascii="IRNazanin" w:hAnsi="IRNazanin" w:eastAsia="IRNazanin" w:cs="IRNazanin"/>
          <w:lang w:bidi="fa-IR"/>
          <w:color w:val="111111"/>
          <w:sz w:val="28"/>
          <w:szCs w:val="28"/>
          <w:rtl/>
        </w:rPr>
        <w:t xml:space="preserve">ج 13، ص 639.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المحاكمات بين شرحي الاشارات = شرح الشرح، ج 14 ، ص 105 .</w:t>
      </w:r>
    </w:p>
    <w:p>
      <w:pPr>
        <w:pStyle w:val="Heading2"/>
      </w:pPr>
      <w:bookmarkStart w:id="6684" w:name="_Toc5786"/>
      <w:r>
        <w:t>قطب الدین سبزواري، قرن 6 ه-</w:t>
      </w:r>
      <w:bookmarkEnd w:id="6684"/>
    </w:p>
    <w:p>
      <w:pPr>
        <w:pStyle w:val="BookText"/>
      </w:pPr>
      <w:r>
        <w:rPr>
          <w:rFonts w:ascii="Amiri" w:hAnsi="Amiri" w:eastAsia="Amiri" w:cs="Amiri"/>
          <w:lang w:bidi="ar-SA"/>
          <w:color w:val="111111"/>
          <w:sz w:val="28"/>
          <w:szCs w:val="28"/>
          <w:rtl/>
        </w:rPr>
        <w:t xml:space="preserve">الخلاصة في علم الكلام = الاعتقادات</w:t>
      </w:r>
    </w:p>
    <w:p>
      <w:pPr>
        <w:pStyle w:val="BookText"/>
      </w:pPr>
      <w:r>
        <w:rPr>
          <w:rFonts w:ascii="Amiri" w:hAnsi="Amiri" w:eastAsia="Amiri" w:cs="Amiri"/>
          <w:lang w:bidi="ar-SA"/>
          <w:color w:val="111111"/>
          <w:sz w:val="28"/>
          <w:szCs w:val="28"/>
          <w:rtl/>
        </w:rPr>
        <w:t xml:space="preserve">اصول الدين، ج7، ص133.</w:t>
      </w:r>
    </w:p>
    <w:p>
      <w:pPr>
        <w:pStyle w:val="Heading2"/>
      </w:pPr>
      <w:bookmarkStart w:id="6685" w:name="_Toc5787"/>
      <w:r>
        <w:t>قطب الدين شيرازي ، عبدالله بن محيي الدین ،محمّد قرن 9 ه-</w:t>
      </w:r>
      <w:bookmarkEnd w:id="6685"/>
    </w:p>
    <w:p>
      <w:pPr>
        <w:pStyle w:val="BookText"/>
      </w:pPr>
      <w:r>
        <w:rPr>
          <w:rFonts w:ascii="Amiri" w:hAnsi="Amiri" w:eastAsia="Amiri" w:cs="Amiri"/>
          <w:lang w:bidi="ar-SA"/>
          <w:color w:val="111111"/>
          <w:sz w:val="28"/>
          <w:szCs w:val="28"/>
          <w:rtl/>
        </w:rPr>
        <w:t xml:space="preserve">مكاتيب = مفاتيح الغيب، ج 15</w:t>
      </w:r>
    </w:p>
    <w:p>
      <w:pPr>
        <w:pStyle w:val="BookText"/>
      </w:pPr>
      <w:r>
        <w:rPr>
          <w:rFonts w:ascii="IRNazanin" w:hAnsi="IRNazanin" w:eastAsia="IRNazanin" w:cs="IRNazanin"/>
          <w:lang w:bidi="fa-IR"/>
          <w:color w:val="111111"/>
          <w:sz w:val="28"/>
          <w:szCs w:val="28"/>
          <w:rtl/>
        </w:rPr>
        <w:t xml:space="preserve">ص 407 .</w:t>
      </w:r>
    </w:p>
    <w:p>
      <w:pPr>
        <w:pStyle w:val="Heading2"/>
      </w:pPr>
      <w:bookmarkStart w:id="6686" w:name="_Toc5788"/>
      <w:r>
        <w:t>قطب الدين شيرازي ، محمود بن مسعود</w:t>
      </w:r>
      <w:bookmarkEnd w:id="6686"/>
    </w:p>
    <w:p>
      <w:pPr>
        <w:pStyle w:val="BookText"/>
      </w:pPr>
      <w:r>
        <w:rPr>
          <w:rFonts w:ascii="IRNazanin" w:hAnsi="IRNazanin" w:eastAsia="IRNazanin" w:cs="IRNazanin"/>
          <w:lang w:bidi="fa-IR"/>
          <w:color w:val="111111"/>
          <w:sz w:val="28"/>
          <w:szCs w:val="28"/>
          <w:rtl/>
        </w:rPr>
        <w:t xml:space="preserve">634 - 710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التحفة الشاهية، ج 3، ص 854.</w:t>
      </w:r>
    </w:p>
    <w:p>
      <w:pPr>
        <w:pStyle w:val="BookText"/>
      </w:pPr>
      <w:r>
        <w:rPr>
          <w:rFonts w:ascii="Amiri" w:hAnsi="Amiri" w:eastAsia="Amiri" w:cs="Amiri"/>
          <w:lang w:bidi="ar-SA"/>
          <w:color w:val="111111"/>
          <w:sz w:val="28"/>
          <w:szCs w:val="28"/>
          <w:rtl/>
        </w:rPr>
        <w:t xml:space="preserve">2 .حاشية الكشاف، ج6، ص 323.</w:t>
      </w:r>
    </w:p>
    <w:p>
      <w:pPr>
        <w:pStyle w:val="BookText"/>
      </w:pPr>
      <w:r>
        <w:rPr>
          <w:rFonts w:ascii="Amiri" w:hAnsi="Amiri" w:eastAsia="Amiri" w:cs="Amiri"/>
          <w:lang w:bidi="ar-SA"/>
          <w:color w:val="111111"/>
          <w:sz w:val="28"/>
          <w:szCs w:val="28"/>
          <w:rtl/>
        </w:rPr>
        <w:t xml:space="preserve">3.حركة الدحرجة و النسبة بين</w:t>
      </w:r>
    </w:p>
    <w:p>
      <w:pPr>
        <w:pStyle w:val="BookText"/>
      </w:pPr>
      <w:r>
        <w:rPr>
          <w:rFonts w:ascii="Amiri" w:hAnsi="Amiri" w:eastAsia="Amiri" w:cs="Amiri"/>
          <w:lang w:bidi="ar-SA"/>
          <w:color w:val="111111"/>
          <w:sz w:val="28"/>
          <w:szCs w:val="28"/>
          <w:rtl/>
        </w:rPr>
        <w:t xml:space="preserve">المستوي و المنحني، ج6، ص 617.</w:t>
      </w:r>
    </w:p>
    <w:p>
      <w:pPr>
        <w:pStyle w:val="BookText"/>
      </w:pPr>
      <w:r>
        <w:rPr>
          <w:rFonts w:ascii="Amiri" w:hAnsi="Amiri" w:eastAsia="Amiri" w:cs="Amiri"/>
          <w:lang w:bidi="ar-SA"/>
          <w:color w:val="111111"/>
          <w:sz w:val="28"/>
          <w:szCs w:val="28"/>
          <w:rtl/>
        </w:rPr>
        <w:t xml:space="preserve">4 .درة التاج لغرة الدباج - انموذج</w:t>
      </w:r>
    </w:p>
    <w:p>
      <w:pPr>
        <w:pStyle w:val="BookText"/>
      </w:pPr>
      <w:r>
        <w:rPr>
          <w:rFonts w:ascii="IRNazanin" w:hAnsi="IRNazanin" w:eastAsia="IRNazanin" w:cs="IRNazanin"/>
          <w:lang w:bidi="fa-IR"/>
          <w:color w:val="111111"/>
          <w:sz w:val="28"/>
          <w:szCs w:val="28"/>
          <w:rtl/>
        </w:rPr>
        <w:t xml:space="preserve">العلوم، ج 7، ص 232.</w:t>
      </w:r>
    </w:p>
    <w:p>
      <w:pPr>
        <w:pStyle w:val="BookText"/>
      </w:pPr>
      <w:r>
        <w:rPr>
          <w:rFonts w:ascii="Amiri" w:hAnsi="Amiri" w:eastAsia="Amiri" w:cs="Amiri"/>
          <w:lang w:bidi="ar-SA"/>
          <w:color w:val="111111"/>
          <w:sz w:val="28"/>
          <w:szCs w:val="28"/>
          <w:rtl/>
        </w:rPr>
        <w:t xml:space="preserve">5 .شرح التذكرة، ج9، ص322</w:t>
      </w:r>
    </w:p>
    <w:p>
      <w:pPr>
        <w:pStyle w:val="BookText"/>
      </w:pPr>
      <w:r>
        <w:rPr>
          <w:rFonts w:ascii="Amiri" w:hAnsi="Amiri" w:eastAsia="Amiri" w:cs="Amiri"/>
          <w:lang w:bidi="ar-SA"/>
          <w:color w:val="111111"/>
          <w:sz w:val="28"/>
          <w:szCs w:val="28"/>
          <w:rtl/>
        </w:rPr>
        <w:t xml:space="preserve">6 . شرح الشمسية في القواعد المنطقية</w:t>
      </w:r>
    </w:p>
    <w:p>
      <w:pPr>
        <w:pStyle w:val="BookText"/>
      </w:pPr>
      <w:r>
        <w:rPr>
          <w:rFonts w:ascii="IRNazanin" w:hAnsi="IRNazanin" w:eastAsia="IRNazanin" w:cs="IRNazanin"/>
          <w:lang w:bidi="fa-IR"/>
          <w:color w:val="111111"/>
          <w:sz w:val="28"/>
          <w:szCs w:val="28"/>
          <w:rtl/>
        </w:rPr>
        <w:t xml:space="preserve">ج 9، ص 641 .</w:t>
      </w:r>
    </w:p>
    <w:p>
      <w:pPr>
        <w:pStyle w:val="BookText"/>
      </w:pPr>
      <w:r>
        <w:rPr>
          <w:rFonts w:ascii="Amiri" w:hAnsi="Amiri" w:eastAsia="Amiri" w:cs="Amiri"/>
          <w:lang w:bidi="ar-SA"/>
          <w:color w:val="111111"/>
          <w:sz w:val="28"/>
          <w:szCs w:val="28"/>
          <w:rtl/>
        </w:rPr>
        <w:t xml:space="preserve">7 .شرح القانون = التحفة السعدية</w:t>
      </w:r>
    </w:p>
    <w:p>
      <w:pPr>
        <w:pStyle w:val="BookText"/>
      </w:pPr>
      <w:r>
        <w:rPr>
          <w:rFonts w:ascii="IRNazanin" w:hAnsi="IRNazanin" w:eastAsia="IRNazanin" w:cs="IRNazanin"/>
          <w:lang w:bidi="fa-IR"/>
          <w:color w:val="111111"/>
          <w:sz w:val="28"/>
          <w:szCs w:val="28"/>
          <w:rtl/>
        </w:rPr>
        <w:t xml:space="preserve">ج 9، ص 815.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حكمة الإشراق، ج9، ص 414.</w:t>
      </w:r>
    </w:p>
    <w:p>
      <w:pPr>
        <w:pStyle w:val="BookText"/>
      </w:pPr>
      <w:r>
        <w:rPr>
          <w:rFonts w:ascii="Amiri" w:hAnsi="Amiri" w:eastAsia="Amiri" w:cs="Amiri"/>
          <w:lang w:bidi="ar-SA"/>
          <w:color w:val="111111"/>
          <w:sz w:val="28"/>
          <w:szCs w:val="28"/>
          <w:rtl/>
        </w:rPr>
        <w:t xml:space="preserve">9 .شرح حميات ابن سينا، ج9، ص 427.</w:t>
      </w:r>
    </w:p>
    <w:p>
      <w:pPr>
        <w:pStyle w:val="BookText"/>
      </w:pPr>
      <w:r>
        <w:rPr>
          <w:rFonts w:ascii="IRNazanin" w:hAnsi="IRNazanin" w:eastAsia="IRNazanin" w:cs="IRNazanin"/>
          <w:lang w:bidi="fa-IR"/>
          <w:color w:val="111111"/>
          <w:sz w:val="28"/>
          <w:szCs w:val="28"/>
          <w:rtl/>
        </w:rPr>
        <w:t xml:space="preserve">10 .شرح مختصر الاصول = شرح</w:t>
      </w:r>
    </w:p>
    <w:p>
      <w:pPr>
        <w:pStyle w:val="BookText"/>
      </w:pPr>
      <w:r>
        <w:rPr>
          <w:rFonts w:ascii="Amiri" w:hAnsi="Amiri" w:eastAsia="Amiri" w:cs="Amiri"/>
          <w:lang w:bidi="ar-SA"/>
          <w:color w:val="111111"/>
          <w:sz w:val="28"/>
          <w:szCs w:val="28"/>
          <w:rtl/>
        </w:rPr>
        <w:t xml:space="preserve">مختصر المنتهي، ج 10، ص 106.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عالم المثال = كيفية تجسد الاعمال</w:t>
      </w:r>
    </w:p>
    <w:p>
      <w:pPr>
        <w:pStyle w:val="BookText"/>
      </w:pPr>
      <w:r>
        <w:rPr>
          <w:rFonts w:ascii="Amiri" w:hAnsi="Amiri" w:eastAsia="Amiri" w:cs="Amiri"/>
          <w:lang w:bidi="ar-SA"/>
          <w:color w:val="111111"/>
          <w:sz w:val="28"/>
          <w:szCs w:val="28"/>
          <w:rtl/>
        </w:rPr>
        <w:t xml:space="preserve">و حقيقة البرزخ، ج11، ص7.</w:t>
      </w:r>
    </w:p>
    <w:p>
      <w:pPr>
        <w:pStyle w:val="BookText"/>
      </w:pPr>
      <w:r>
        <w:rPr>
          <w:rFonts w:ascii="IRNazanin" w:hAnsi="IRNazanin" w:eastAsia="IRNazanin" w:cs="IRNazanin"/>
          <w:lang w:bidi="fa-IR"/>
          <w:color w:val="111111"/>
          <w:sz w:val="28"/>
          <w:szCs w:val="28"/>
          <w:rtl/>
        </w:rPr>
        <w:t xml:space="preserve">12 .فعلت فلا تلم، ج 12، ص 35.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مفتاح المفتاح = شرح مفتاح</w:t>
      </w:r>
    </w:p>
    <w:p>
      <w:pPr>
        <w:pStyle w:val="BookText"/>
      </w:pPr>
      <w:r>
        <w:rPr>
          <w:rFonts w:ascii="IRNazanin" w:hAnsi="IRNazanin" w:eastAsia="IRNazanin" w:cs="IRNazanin"/>
          <w:lang w:bidi="fa-IR"/>
          <w:color w:val="111111"/>
          <w:sz w:val="28"/>
          <w:szCs w:val="28"/>
          <w:rtl/>
        </w:rPr>
        <w:t xml:space="preserve">العلوم، ج 15، ص230.</w:t>
      </w:r>
    </w:p>
    <w:p>
      <w:pPr>
        <w:pStyle w:val="BookText"/>
      </w:pPr>
      <w:r>
        <w:rPr>
          <w:rFonts w:ascii="Amiri" w:hAnsi="Amiri" w:eastAsia="Amiri" w:cs="Amiri"/>
          <w:lang w:bidi="ar-SA"/>
          <w:color w:val="111111"/>
          <w:sz w:val="28"/>
          <w:szCs w:val="28"/>
          <w:rtl/>
        </w:rPr>
        <w:t xml:space="preserve">14 .نهاية الادراك في دراية الافلاك</w:t>
      </w:r>
    </w:p>
    <w:p>
      <w:pPr>
        <w:pStyle w:val="BookText"/>
      </w:pPr>
      <w:r>
        <w:rPr>
          <w:rFonts w:ascii="IRNazanin" w:hAnsi="IRNazanin" w:eastAsia="IRNazanin" w:cs="IRNazanin"/>
          <w:lang w:bidi="fa-IR"/>
          <w:color w:val="111111"/>
          <w:sz w:val="28"/>
          <w:szCs w:val="28"/>
          <w:rtl/>
        </w:rPr>
        <w:t xml:space="preserve">ج 16 ، ص 482 .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887" w:name="pg7742_71056"/>
    <w:bookmarkEnd w:id="887"/>
    <w:p>
      <w:pPr>
        <w:pStyle w:val="Heading2"/>
      </w:pPr>
      <w:bookmarkStart w:id="6687" w:name="_Toc5789"/>
      <w:r>
        <w:t>قطب الدين مكي ، محمّد بن علاء الدين</w:t>
      </w:r>
      <w:bookmarkEnd w:id="6687"/>
    </w:p>
    <w:p>
      <w:pPr>
        <w:pStyle w:val="BookText"/>
      </w:pPr>
      <w:r>
        <w:rPr>
          <w:rFonts w:ascii="Amiri" w:hAnsi="Amiri" w:eastAsia="Amiri" w:cs="Amiri"/>
          <w:lang w:bidi="ar-SA"/>
          <w:color w:val="111111"/>
          <w:sz w:val="28"/>
          <w:szCs w:val="28"/>
          <w:rtl/>
        </w:rPr>
        <w:t xml:space="preserve">علي، - 988 ه-</w:t>
      </w:r>
    </w:p>
    <w:p>
      <w:pPr>
        <w:pStyle w:val="BookText"/>
      </w:pPr>
      <w:r>
        <w:rPr>
          <w:rFonts w:ascii="Amiri" w:hAnsi="Amiri" w:eastAsia="Amiri" w:cs="Amiri"/>
          <w:lang w:bidi="ar-SA"/>
          <w:color w:val="111111"/>
          <w:sz w:val="28"/>
          <w:szCs w:val="28"/>
          <w:rtl/>
        </w:rPr>
        <w:t xml:space="preserve">1 .تاريخ مكة المكرمة، ج 3، ص 608.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كنز الاسماء في علم المعما، ج13،</w:t>
      </w:r>
    </w:p>
    <w:p>
      <w:pPr>
        <w:pStyle w:val="BookText"/>
      </w:pPr>
      <w:r>
        <w:rPr>
          <w:rFonts w:ascii="IRNazanin" w:hAnsi="IRNazanin" w:eastAsia="IRNazanin" w:cs="IRNazanin"/>
          <w:lang w:bidi="fa-IR"/>
          <w:color w:val="111111"/>
          <w:sz w:val="28"/>
          <w:szCs w:val="28"/>
          <w:rtl/>
        </w:rPr>
        <w:t xml:space="preserve">ص 403 .</w:t>
      </w:r>
    </w:p>
    <w:p>
      <w:pPr>
        <w:pStyle w:val="BookText"/>
      </w:pPr>
      <w:r>
        <w:rPr>
          <w:rFonts w:ascii="Amiri" w:hAnsi="Amiri" w:eastAsia="Amiri" w:cs="Amiri"/>
          <w:lang w:bidi="ar-SA"/>
          <w:color w:val="111111"/>
          <w:sz w:val="28"/>
          <w:szCs w:val="28"/>
          <w:rtl/>
        </w:rPr>
        <w:t xml:space="preserve">قطبة بن اوس - حادره ، قطبة بن اوس</w:t>
      </w:r>
    </w:p>
    <w:p>
      <w:pPr>
        <w:pStyle w:val="Heading2"/>
      </w:pPr>
      <w:bookmarkStart w:id="6688" w:name="_Toc5790"/>
      <w:r>
        <w:t>قطب راوندي، سعيد بن هبة الله -573ه-</w:t>
      </w:r>
      <w:bookmarkEnd w:id="66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آيات الاحكام = فقه القرآن المنتزع من كلام الملك الديان، ج 1، ص71.</w:t>
      </w:r>
    </w:p>
    <w:p>
      <w:pPr>
        <w:pStyle w:val="BookText"/>
      </w:pPr>
      <w:r>
        <w:rPr>
          <w:rFonts w:ascii="IRNazanin" w:hAnsi="IRNazanin" w:eastAsia="IRNazanin" w:cs="IRNazanin"/>
          <w:lang w:bidi="fa-IR"/>
          <w:color w:val="111111"/>
          <w:sz w:val="28"/>
          <w:szCs w:val="28"/>
          <w:rtl/>
        </w:rPr>
        <w:t xml:space="preserve">2 .الخرائج و الجرائح، ج7، ص1.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سلوة الحزين = دعوات، ج 8،</w:t>
      </w:r>
    </w:p>
    <w:p>
      <w:pPr>
        <w:pStyle w:val="BookText"/>
      </w:pPr>
      <w:r>
        <w:rPr>
          <w:rFonts w:ascii="IRNazanin" w:hAnsi="IRNazanin" w:eastAsia="IRNazanin" w:cs="IRNazanin"/>
          <w:lang w:bidi="fa-IR"/>
          <w:color w:val="111111"/>
          <w:sz w:val="28"/>
          <w:szCs w:val="28"/>
          <w:rtl/>
        </w:rPr>
        <w:t xml:space="preserve">ص 821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قصص الانبياء، ج 12، ص 624 .</w:t>
      </w:r>
    </w:p>
    <w:p>
      <w:pPr>
        <w:pStyle w:val="BookText"/>
      </w:pPr>
      <w:r>
        <w:rPr>
          <w:rFonts w:ascii="Amiri" w:hAnsi="Amiri" w:eastAsia="Amiri" w:cs="Amiri"/>
          <w:lang w:bidi="ar-SA"/>
          <w:color w:val="111111"/>
          <w:sz w:val="28"/>
          <w:szCs w:val="28"/>
          <w:rtl/>
        </w:rPr>
        <w:t xml:space="preserve">5 .مسالة في التفسير، ج 14، ص 542.</w:t>
      </w:r>
    </w:p>
    <w:p>
      <w:pPr>
        <w:pStyle w:val="BookText"/>
      </w:pPr>
      <w:r>
        <w:rPr>
          <w:rFonts w:ascii="IRNazanin" w:hAnsi="IRNazanin" w:eastAsia="IRNazanin" w:cs="IRNazanin"/>
          <w:lang w:bidi="fa-IR"/>
          <w:color w:val="111111"/>
          <w:sz w:val="28"/>
          <w:szCs w:val="28"/>
          <w:rtl/>
        </w:rPr>
        <w:t xml:space="preserve">6 .ملتقطات الخصال، ج 15، ص 436 .</w:t>
      </w:r>
    </w:p>
    <w:p>
      <w:pPr>
        <w:pStyle w:val="BookText"/>
      </w:pPr>
      <w:r>
        <w:rPr>
          <w:rFonts w:ascii="Amiri" w:hAnsi="Amiri" w:eastAsia="Amiri" w:cs="Amiri"/>
          <w:lang w:bidi="ar-SA"/>
          <w:color w:val="111111"/>
          <w:sz w:val="28"/>
          <w:szCs w:val="28"/>
          <w:rtl/>
        </w:rPr>
        <w:t xml:space="preserve">7 .منهاج البراعة في شرح نهج البلاغة</w:t>
      </w:r>
    </w:p>
    <w:p>
      <w:pPr>
        <w:pStyle w:val="BookText"/>
      </w:pPr>
      <w:r>
        <w:rPr>
          <w:rFonts w:ascii="IRNazanin" w:hAnsi="IRNazanin" w:eastAsia="IRNazanin" w:cs="IRNazanin"/>
          <w:lang w:bidi="fa-IR"/>
          <w:color w:val="111111"/>
          <w:sz w:val="28"/>
          <w:szCs w:val="28"/>
          <w:rtl/>
        </w:rPr>
        <w:t xml:space="preserve">ج 15، ص 749 .</w:t>
      </w:r>
    </w:p>
    <w:p>
      <w:pPr>
        <w:pStyle w:val="BookText"/>
      </w:pPr>
      <w:r>
        <w:rPr>
          <w:rFonts w:ascii="IRNazanin" w:hAnsi="IRNazanin" w:eastAsia="IRNazanin" w:cs="IRNazanin"/>
          <w:lang w:bidi="fa-IR"/>
          <w:color w:val="111111"/>
          <w:sz w:val="28"/>
          <w:szCs w:val="28"/>
          <w:rtl/>
        </w:rPr>
        <w:t xml:space="preserve">8 .الناسخ والمنسوخ، ج 16، ص86.</w:t>
      </w:r>
    </w:p>
    <w:p>
      <w:pPr>
        <w:pStyle w:val="Heading2"/>
      </w:pPr>
      <w:bookmarkStart w:id="6689" w:name="_Toc5791"/>
      <w:r>
        <w:t>قطب مصري ابراهيم بن علي 618 ه-</w:t>
      </w:r>
      <w:bookmarkEnd w:id="6689"/>
    </w:p>
    <w:p>
      <w:pPr>
        <w:pStyle w:val="BookText"/>
      </w:pPr>
      <w:r>
        <w:rPr>
          <w:rFonts w:ascii="Amiri" w:hAnsi="Amiri" w:eastAsia="Amiri" w:cs="Amiri"/>
          <w:lang w:bidi="ar-SA"/>
          <w:color w:val="111111"/>
          <w:sz w:val="28"/>
          <w:szCs w:val="28"/>
          <w:rtl/>
        </w:rPr>
        <w:t xml:space="preserve">شرح القانون = شرح كليات القانون ج 9، ص 812</w:t>
      </w:r>
    </w:p>
    <w:p>
      <w:pPr>
        <w:pStyle w:val="Heading2"/>
      </w:pPr>
      <w:bookmarkStart w:id="6690" w:name="_Toc5792"/>
      <w:r>
        <w:t>قطبي ، عبدالكريم بن محب الدین 921</w:t>
      </w:r>
      <w:bookmarkEnd w:id="669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1014ه-</w:t>
      </w:r>
    </w:p>
    <w:p>
      <w:pPr>
        <w:pStyle w:val="BookText"/>
      </w:pPr>
      <w:r>
        <w:rPr>
          <w:rFonts w:ascii="IRNazanin" w:hAnsi="IRNazanin" w:eastAsia="IRNazanin" w:cs="IRNazanin"/>
          <w:lang w:bidi="fa-IR"/>
          <w:color w:val="111111"/>
          <w:sz w:val="28"/>
          <w:szCs w:val="28"/>
          <w:rtl/>
        </w:rPr>
        <w:t xml:space="preserve">اعلام العلماء الاعلام ببناء المسجد الحرام، ج2، ص 561.</w:t>
      </w:r>
    </w:p>
    <w:p>
      <w:pPr>
        <w:pStyle w:val="Heading2"/>
      </w:pPr>
      <w:bookmarkStart w:id="6691" w:name="_Toc5793"/>
      <w:r>
        <w:t>قطرب ، محمّد بن مستنير - 206 ه-</w:t>
      </w:r>
      <w:bookmarkEnd w:id="6691"/>
    </w:p>
    <w:p>
      <w:pPr>
        <w:pStyle w:val="BookText"/>
      </w:pPr>
      <w:r>
        <w:rPr>
          <w:rFonts w:ascii="Amiri" w:hAnsi="Amiri" w:eastAsia="Amiri" w:cs="Amiri"/>
          <w:lang w:bidi="ar-SA"/>
          <w:color w:val="111111"/>
          <w:sz w:val="28"/>
          <w:szCs w:val="28"/>
          <w:rtl/>
        </w:rPr>
        <w:t xml:space="preserve">1 .كتاب ما خالف فيه الانسان البهيمة في اسماء الوحوش و صفاتها، ج13،</w:t>
      </w:r>
    </w:p>
    <w:p>
      <w:pPr>
        <w:pStyle w:val="BookText"/>
      </w:pPr>
      <w:r>
        <w:rPr>
          <w:rFonts w:ascii="IRNazanin" w:hAnsi="IRNazanin" w:eastAsia="IRNazanin" w:cs="IRNazanin"/>
          <w:lang w:bidi="fa-IR"/>
          <w:color w:val="111111"/>
          <w:sz w:val="28"/>
          <w:szCs w:val="28"/>
          <w:rtl/>
        </w:rPr>
        <w:t xml:space="preserve">ص 119.</w:t>
      </w:r>
    </w:p>
    <w:p>
      <w:pPr>
        <w:pStyle w:val="BookText"/>
      </w:pPr>
      <w:r>
        <w:rPr>
          <w:rFonts w:ascii="Amiri" w:hAnsi="Amiri" w:eastAsia="Amiri" w:cs="Amiri"/>
          <w:lang w:bidi="ar-SA"/>
          <w:color w:val="111111"/>
          <w:sz w:val="28"/>
          <w:szCs w:val="28"/>
          <w:rtl/>
        </w:rPr>
        <w:t xml:space="preserve">2 .المثلث في اللغة = القصيدة</w:t>
      </w:r>
    </w:p>
    <w:p>
      <w:pPr>
        <w:pStyle w:val="BookText"/>
      </w:pPr>
      <w:r>
        <w:rPr>
          <w:rFonts w:ascii="Amiri" w:hAnsi="Amiri" w:eastAsia="Amiri" w:cs="Amiri"/>
          <w:lang w:bidi="ar-SA"/>
          <w:color w:val="111111"/>
          <w:sz w:val="28"/>
          <w:szCs w:val="28"/>
          <w:rtl/>
        </w:rPr>
        <w:t xml:space="preserve">القطربية، ج13، ص 772.</w:t>
      </w:r>
    </w:p>
    <w:p>
      <w:pPr>
        <w:pStyle w:val="Heading2"/>
      </w:pPr>
      <w:bookmarkStart w:id="6692" w:name="_Toc5794"/>
      <w:r>
        <w:t>قطيعي ، احمد بن جعفر 274-368 ه-</w:t>
      </w:r>
      <w:bookmarkEnd w:id="6692"/>
    </w:p>
    <w:p>
      <w:pPr>
        <w:pStyle w:val="BookText"/>
      </w:pPr>
      <w:r>
        <w:rPr>
          <w:rFonts w:ascii="Amiri" w:hAnsi="Amiri" w:eastAsia="Amiri" w:cs="Amiri"/>
          <w:lang w:bidi="ar-SA"/>
          <w:color w:val="111111"/>
          <w:sz w:val="28"/>
          <w:szCs w:val="28"/>
          <w:rtl/>
        </w:rPr>
        <w:t xml:space="preserve">1 .الألف دينار = الفوائد المنتقاة، ج 2،</w:t>
      </w:r>
    </w:p>
    <w:p>
      <w:pPr>
        <w:pStyle w:val="BookText"/>
      </w:pPr>
      <w:r>
        <w:rPr>
          <w:rFonts w:ascii="IRNazanin" w:hAnsi="IRNazanin" w:eastAsia="IRNazanin" w:cs="IRNazanin"/>
          <w:lang w:bidi="fa-IR"/>
          <w:color w:val="111111"/>
          <w:sz w:val="28"/>
          <w:szCs w:val="28"/>
          <w:rtl/>
        </w:rPr>
        <w:t xml:space="preserve">ص 682 .</w:t>
      </w:r>
    </w:p>
    <w:p>
      <w:pPr>
        <w:pStyle w:val="BookText"/>
      </w:pPr>
      <w:r>
        <w:rPr>
          <w:rFonts w:ascii="Amiri" w:hAnsi="Amiri" w:eastAsia="Amiri" w:cs="Amiri"/>
          <w:lang w:bidi="ar-SA"/>
          <w:color w:val="111111"/>
          <w:sz w:val="28"/>
          <w:szCs w:val="28"/>
          <w:rtl/>
        </w:rPr>
        <w:t xml:space="preserve">2 .الفوائد المنتقاة و الأفراد الغرائب</w:t>
      </w:r>
    </w:p>
    <w:p>
      <w:pPr>
        <w:pStyle w:val="BookText"/>
      </w:pPr>
      <w:r>
        <w:rPr>
          <w:rFonts w:ascii="Amiri" w:hAnsi="Amiri" w:eastAsia="Amiri" w:cs="Amiri"/>
          <w:lang w:bidi="ar-SA"/>
          <w:color w:val="111111"/>
          <w:sz w:val="28"/>
          <w:szCs w:val="28"/>
          <w:rtl/>
        </w:rPr>
        <w:t xml:space="preserve">الحسان = القطيعيات، ج 12،</w:t>
      </w:r>
    </w:p>
    <w:p>
      <w:pPr>
        <w:pStyle w:val="BookText"/>
      </w:pPr>
      <w:r>
        <w:rPr>
          <w:rFonts w:ascii="IRNazanin" w:hAnsi="IRNazanin" w:eastAsia="IRNazanin" w:cs="IRNazanin"/>
          <w:lang w:bidi="fa-IR"/>
          <w:color w:val="111111"/>
          <w:sz w:val="28"/>
          <w:szCs w:val="28"/>
          <w:rtl/>
        </w:rPr>
        <w:t xml:space="preserve">ص 281.</w:t>
      </w:r>
    </w:p>
    <w:p>
      <w:pPr>
        <w:pStyle w:val="Heading2"/>
      </w:pPr>
      <w:bookmarkStart w:id="6693" w:name="_Toc5795"/>
      <w:r>
        <w:t>قطيفي، ابوالحسن بن حسن قرن 10ه-</w:t>
      </w:r>
      <w:bookmarkEnd w:id="66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الارث، ج 1، ص 749.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نظم وفاة رسول الله، ج 16، ص 366.</w:t>
      </w:r>
    </w:p>
    <w:p>
      <w:pPr>
        <w:pStyle w:val="Heading2"/>
      </w:pPr>
      <w:bookmarkStart w:id="6694" w:name="_Toc5796"/>
      <w:r>
        <w:t>قطيفي بحراني ، ابراهيم بن سليمان</w:t>
      </w:r>
      <w:bookmarkEnd w:id="6694"/>
    </w:p>
    <w:p>
      <w:pPr>
        <w:pStyle w:val="BookText"/>
      </w:pPr>
      <w:r>
        <w:rPr>
          <w:rFonts w:ascii="IRNazanin" w:hAnsi="IRNazanin" w:eastAsia="IRNazanin" w:cs="IRNazanin"/>
          <w:lang w:bidi="fa-IR"/>
          <w:color w:val="111111"/>
          <w:sz w:val="28"/>
          <w:szCs w:val="28"/>
          <w:rtl/>
        </w:rPr>
        <w:t xml:space="preserve">950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اجازة لشاه محمود الخليفة، ج1،</w:t>
      </w:r>
    </w:p>
    <w:p>
      <w:pPr>
        <w:pStyle w:val="BookText"/>
      </w:pPr>
      <w:r>
        <w:rPr>
          <w:rFonts w:ascii="IRNazanin" w:hAnsi="IRNazanin" w:eastAsia="IRNazanin" w:cs="IRNazanin"/>
          <w:lang w:bidi="fa-IR"/>
          <w:color w:val="111111"/>
          <w:sz w:val="28"/>
          <w:szCs w:val="28"/>
          <w:rtl/>
        </w:rPr>
        <w:t xml:space="preserve">ص 261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اجازة للسيّد شريف بن نورالله، ج1،</w:t>
      </w:r>
    </w:p>
    <w:p>
      <w:pPr>
        <w:pStyle w:val="BookText"/>
      </w:pPr>
      <w:r>
        <w:rPr>
          <w:rFonts w:ascii="IRNazanin" w:hAnsi="IRNazanin" w:eastAsia="IRNazanin" w:cs="IRNazanin"/>
          <w:lang w:bidi="fa-IR"/>
          <w:color w:val="111111"/>
          <w:sz w:val="28"/>
          <w:szCs w:val="28"/>
          <w:rtl/>
        </w:rPr>
        <w:t xml:space="preserve">ص 250 .</w:t>
      </w:r>
    </w:p>
    <w:p>
      <w:pPr>
        <w:pStyle w:val="BookText"/>
      </w:pPr>
      <w:r>
        <w:rPr>
          <w:rFonts w:ascii="IRNazanin" w:hAnsi="IRNazanin" w:eastAsia="IRNazanin" w:cs="IRNazanin"/>
          <w:lang w:bidi="fa-IR"/>
          <w:color w:val="111111"/>
          <w:sz w:val="28"/>
          <w:szCs w:val="28"/>
          <w:rtl/>
        </w:rPr>
        <w:t xml:space="preserve">3 .اجازة للشيخ شمس الدین محمّد</w:t>
      </w:r>
    </w:p>
    <w:p>
      <w:pPr>
        <w:pStyle w:val="BookText"/>
      </w:pPr>
      <w:r>
        <w:rPr>
          <w:rFonts w:ascii="Amiri" w:hAnsi="Amiri" w:eastAsia="Amiri" w:cs="Amiri"/>
          <w:lang w:bidi="ar-SA"/>
          <w:color w:val="111111"/>
          <w:sz w:val="28"/>
          <w:szCs w:val="28"/>
          <w:rtl/>
        </w:rPr>
        <w:t xml:space="preserve">الاسترآبادي، ج1، ص267.</w:t>
      </w:r>
    </w:p>
    <w:p>
      <w:pPr>
        <w:pStyle w:val="BookText"/>
      </w:pPr>
      <w:r>
        <w:rPr>
          <w:rFonts w:ascii="Amiri" w:hAnsi="Amiri" w:eastAsia="Amiri" w:cs="Amiri"/>
          <w:lang w:bidi="ar-SA"/>
          <w:color w:val="111111"/>
          <w:sz w:val="28"/>
          <w:szCs w:val="28"/>
          <w:rtl/>
        </w:rPr>
        <w:t xml:space="preserve">4 .اجازة للشيخ محمّد بن تركي، ج 1</w:t>
      </w:r>
    </w:p>
    <w:p>
      <w:pPr>
        <w:pStyle w:val="BookText"/>
      </w:pPr>
      <w:r>
        <w:rPr>
          <w:rFonts w:ascii="IRNazanin" w:hAnsi="IRNazanin" w:eastAsia="IRNazanin" w:cs="IRNazanin"/>
          <w:lang w:bidi="fa-IR"/>
          <w:color w:val="111111"/>
          <w:sz w:val="28"/>
          <w:szCs w:val="28"/>
          <w:rtl/>
        </w:rPr>
        <w:t xml:space="preserve">ص 271</w:t>
      </w:r>
    </w:p>
    <w:p>
      <w:pPr>
        <w:pStyle w:val="BookText"/>
      </w:pPr>
      <w:r>
        <w:rPr>
          <w:rFonts w:ascii="Amiri" w:hAnsi="Amiri" w:eastAsia="Amiri" w:cs="Amiri"/>
          <w:lang w:bidi="ar-SA"/>
          <w:color w:val="111111"/>
          <w:sz w:val="28"/>
          <w:szCs w:val="28"/>
          <w:rtl/>
        </w:rPr>
        <w:t xml:space="preserve">5 .احاديث في تعيين الفرقة الناجية</w:t>
      </w:r>
    </w:p>
    <w:p>
      <w:pPr>
        <w:pStyle w:val="BookText"/>
      </w:pPr>
      <w:r>
        <w:rPr>
          <w:rFonts w:ascii="IRNazanin" w:hAnsi="IRNazanin" w:eastAsia="IRNazanin" w:cs="IRNazanin"/>
          <w:lang w:bidi="fa-IR"/>
          <w:color w:val="111111"/>
          <w:sz w:val="28"/>
          <w:szCs w:val="28"/>
          <w:rtl/>
        </w:rPr>
        <w:t xml:space="preserve">ج 1، ص 412.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ثمانية عشر حديثاً، ج5، ص226.</w:t>
      </w:r>
    </w:p>
    <w:p>
      <w:pPr>
        <w:pStyle w:val="BookText"/>
      </w:pPr>
      <w:r>
        <w:rPr>
          <w:rFonts w:ascii="Amiri" w:hAnsi="Amiri" w:eastAsia="Amiri" w:cs="Amiri"/>
          <w:lang w:bidi="ar-SA"/>
          <w:color w:val="111111"/>
          <w:sz w:val="28"/>
          <w:szCs w:val="28"/>
          <w:rtl/>
        </w:rPr>
        <w:t xml:space="preserve">7حاشية شرائع الاسلام في المسائل</w:t>
      </w:r>
    </w:p>
    <w:p>
      <w:pPr>
        <w:pStyle w:val="BookText"/>
      </w:pPr>
      <w:r>
        <w:rPr>
          <w:rFonts w:ascii="IRNazanin" w:hAnsi="IRNazanin" w:eastAsia="IRNazanin" w:cs="IRNazanin"/>
          <w:lang w:bidi="fa-IR"/>
          <w:color w:val="111111"/>
          <w:sz w:val="28"/>
          <w:szCs w:val="28"/>
          <w:rtl/>
        </w:rPr>
        <w:t xml:space="preserve">الحلال والحرام، ج6، ص7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خلل الصلاة، ج 7، ص 156.</w:t>
      </w:r>
    </w:p>
    <w:p>
      <w:pPr>
        <w:pStyle w:val="BookText"/>
      </w:pPr>
      <w:r>
        <w:rPr>
          <w:rFonts w:ascii="Amiri" w:hAnsi="Amiri" w:eastAsia="Amiri" w:cs="Amiri"/>
          <w:lang w:bidi="ar-SA"/>
          <w:color w:val="111111"/>
          <w:sz w:val="28"/>
          <w:szCs w:val="28"/>
          <w:rtl/>
        </w:rPr>
        <w:t xml:space="preserve">9 .السهويات (رسالة في)، ج8، ص 855.</w:t>
      </w:r>
    </w:p>
    <w:p>
      <w:pPr>
        <w:pStyle w:val="BookText"/>
      </w:pPr>
      <w:r>
        <w:rPr>
          <w:rFonts w:ascii="IRNazanin" w:hAnsi="IRNazanin" w:eastAsia="IRNazanin" w:cs="IRNazanin"/>
          <w:lang w:bidi="fa-IR"/>
          <w:color w:val="111111"/>
          <w:sz w:val="28"/>
          <w:szCs w:val="28"/>
          <w:rtl/>
        </w:rPr>
        <w:t xml:space="preserve">10 .العبادات، ج11، ص12.</w:t>
      </w:r>
    </w:p>
    <w:p>
      <w:pPr>
        <w:pStyle w:val="BookText"/>
      </w:pPr>
      <w:r>
        <w:rPr>
          <w:rFonts w:ascii="Amiri" w:hAnsi="Amiri" w:eastAsia="Amiri" w:cs="Amiri"/>
          <w:lang w:bidi="ar-SA"/>
          <w:color w:val="111111"/>
          <w:sz w:val="28"/>
          <w:szCs w:val="28"/>
          <w:rtl/>
        </w:rPr>
        <w:t xml:space="preserve">11 .الفائدة في الأمريين الآخريين، ج11،</w:t>
      </w:r>
    </w:p>
    <w:p>
      <w:pPr>
        <w:pStyle w:val="BookText"/>
      </w:pPr>
      <w:r>
        <w:rPr>
          <w:rFonts w:ascii="IRNazanin" w:hAnsi="IRNazanin" w:eastAsia="IRNazanin" w:cs="IRNazanin"/>
          <w:lang w:bidi="fa-IR"/>
          <w:color w:val="111111"/>
          <w:sz w:val="28"/>
          <w:szCs w:val="28"/>
          <w:rtl/>
        </w:rPr>
        <w:t xml:space="preserve">ص 573 .</w:t>
      </w:r>
    </w:p>
    <w:p>
      <w:pPr>
        <w:pStyle w:val="BookText"/>
      </w:pPr>
      <w:r>
        <w:rPr>
          <w:rFonts w:ascii="Amiri" w:hAnsi="Amiri" w:eastAsia="Amiri" w:cs="Amiri"/>
          <w:lang w:bidi="ar-SA"/>
          <w:color w:val="111111"/>
          <w:sz w:val="28"/>
          <w:szCs w:val="28"/>
          <w:rtl/>
        </w:rPr>
        <w:t xml:space="preserve">12 .الفرقة الناجية، ج 11، ص 800.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888" w:name="pg7742_71058"/>
    <w:bookmarkEnd w:id="888"/>
    <w:p>
      <w:pPr>
        <w:pStyle w:val="Heading2"/>
      </w:pPr>
      <w:bookmarkStart w:id="6695" w:name="_Toc5797"/>
      <w:r>
        <w:t>قطيفي بحراني ، محمّد بن عبدالجبار</w:t>
      </w:r>
      <w:bookmarkEnd w:id="6695"/>
    </w:p>
    <w:p>
      <w:pPr>
        <w:pStyle w:val="BookText"/>
      </w:pPr>
      <w:r>
        <w:rPr>
          <w:rFonts w:ascii="Amiri" w:hAnsi="Amiri" w:eastAsia="Amiri" w:cs="Amiri"/>
          <w:lang w:bidi="ar-SA"/>
          <w:color w:val="111111"/>
          <w:sz w:val="28"/>
          <w:szCs w:val="28"/>
          <w:rtl/>
        </w:rPr>
        <w:t xml:space="preserve">الشهب الثواقب لرجم شياطين</w:t>
      </w:r>
    </w:p>
    <w:p>
      <w:pPr>
        <w:pStyle w:val="BookText"/>
      </w:pPr>
      <w:r>
        <w:rPr>
          <w:rFonts w:ascii="IRNazanin" w:hAnsi="IRNazanin" w:eastAsia="IRNazanin" w:cs="IRNazanin"/>
          <w:lang w:bidi="fa-IR"/>
          <w:color w:val="111111"/>
          <w:sz w:val="28"/>
          <w:szCs w:val="28"/>
          <w:rtl/>
        </w:rPr>
        <w:t xml:space="preserve">النواصب، ج 10، ص 435 .</w:t>
      </w:r>
    </w:p>
    <w:p>
      <w:pPr>
        <w:pStyle w:val="Heading2"/>
      </w:pPr>
      <w:bookmarkStart w:id="6696" w:name="_Toc5798"/>
      <w:r>
        <w:t>قطيفي خطي ابراهيم بن عرب</w:t>
      </w:r>
      <w:bookmarkEnd w:id="6696"/>
    </w:p>
    <w:p>
      <w:pPr>
        <w:pStyle w:val="BookText"/>
      </w:pPr>
      <w:r>
        <w:rPr>
          <w:rFonts w:ascii="IRNazanin" w:hAnsi="IRNazanin" w:eastAsia="IRNazanin" w:cs="IRNazanin"/>
          <w:lang w:bidi="fa-IR"/>
          <w:color w:val="111111"/>
          <w:sz w:val="28"/>
          <w:szCs w:val="28"/>
          <w:rtl/>
        </w:rPr>
        <w:t xml:space="preserve">قرن 13ه-</w:t>
      </w:r>
    </w:p>
    <w:p>
      <w:pPr>
        <w:pStyle w:val="BookText"/>
      </w:pPr>
      <w:r>
        <w:rPr>
          <w:rFonts w:ascii="Amiri" w:hAnsi="Amiri" w:eastAsia="Amiri" w:cs="Amiri"/>
          <w:lang w:bidi="ar-SA"/>
          <w:color w:val="111111"/>
          <w:sz w:val="28"/>
          <w:szCs w:val="28"/>
          <w:rtl/>
        </w:rPr>
        <w:t xml:space="preserve">ديوان الخطي، ج 7، ص 636.</w:t>
      </w:r>
    </w:p>
    <w:p>
      <w:pPr>
        <w:pStyle w:val="Heading2"/>
      </w:pPr>
      <w:bookmarkStart w:id="6697" w:name="_Toc5799"/>
      <w:r>
        <w:t>قطيفي، سليمان بن احمد - 1266 ه-</w:t>
      </w:r>
      <w:bookmarkEnd w:id="66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اجوبة مسائل، ج 1، ص337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اجوبة مسائل الشيخ غائم بن علي</w:t>
      </w:r>
    </w:p>
    <w:p>
      <w:pPr>
        <w:pStyle w:val="BookText"/>
      </w:pPr>
      <w:r>
        <w:rPr>
          <w:rFonts w:ascii="IRNazanin" w:hAnsi="IRNazanin" w:eastAsia="IRNazanin" w:cs="IRNazanin"/>
          <w:lang w:bidi="fa-IR"/>
          <w:color w:val="111111"/>
          <w:sz w:val="28"/>
          <w:szCs w:val="28"/>
          <w:rtl/>
        </w:rPr>
        <w:t xml:space="preserve">آل غائم، ج 1، ص 357.</w:t>
      </w:r>
    </w:p>
    <w:p>
      <w:pPr>
        <w:pStyle w:val="BookText"/>
      </w:pPr>
      <w:r>
        <w:rPr>
          <w:rFonts w:ascii="Amiri" w:hAnsi="Amiri" w:eastAsia="Amiri" w:cs="Amiri"/>
          <w:lang w:bidi="ar-SA"/>
          <w:color w:val="111111"/>
          <w:sz w:val="28"/>
          <w:szCs w:val="28"/>
          <w:rtl/>
        </w:rPr>
        <w:t xml:space="preserve">3.ارشاد البشر في شرح الباب الحادي</w:t>
      </w:r>
    </w:p>
    <w:p>
      <w:pPr>
        <w:pStyle w:val="BookText"/>
      </w:pPr>
      <w:r>
        <w:rPr>
          <w:rFonts w:ascii="IRNazanin" w:hAnsi="IRNazanin" w:eastAsia="IRNazanin" w:cs="IRNazanin"/>
          <w:lang w:bidi="fa-IR"/>
          <w:color w:val="111111"/>
          <w:sz w:val="28"/>
          <w:szCs w:val="28"/>
          <w:rtl/>
        </w:rPr>
        <w:t xml:space="preserve">عشر، ج 2، ص17.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الانوار المشرقية في شرح اللمعة</w:t>
      </w:r>
    </w:p>
    <w:p>
      <w:pPr>
        <w:pStyle w:val="BookText"/>
      </w:pPr>
      <w:r>
        <w:rPr>
          <w:rFonts w:ascii="Amiri" w:hAnsi="Amiri" w:eastAsia="Amiri" w:cs="Amiri"/>
          <w:lang w:bidi="ar-SA"/>
          <w:color w:val="111111"/>
          <w:sz w:val="28"/>
          <w:szCs w:val="28"/>
          <w:rtl/>
        </w:rPr>
        <w:t xml:space="preserve">الدمشقية، ج 3، ص 22.</w:t>
      </w:r>
    </w:p>
    <w:p>
      <w:pPr>
        <w:pStyle w:val="BookText"/>
      </w:pPr>
      <w:r>
        <w:rPr>
          <w:rFonts w:ascii="Amiri" w:hAnsi="Amiri" w:eastAsia="Amiri" w:cs="Amiri"/>
          <w:lang w:bidi="ar-SA"/>
          <w:color w:val="111111"/>
          <w:sz w:val="28"/>
          <w:szCs w:val="28"/>
          <w:rtl/>
        </w:rPr>
        <w:t xml:space="preserve">5 .الجمع بين الفاطميتين، ج 5، ص 432 .</w:t>
      </w:r>
    </w:p>
    <w:p>
      <w:pPr>
        <w:pStyle w:val="BookText"/>
      </w:pPr>
      <w:r>
        <w:rPr>
          <w:rFonts w:ascii="Amiri" w:hAnsi="Amiri" w:eastAsia="Amiri" w:cs="Amiri"/>
          <w:lang w:bidi="ar-SA"/>
          <w:color w:val="111111"/>
          <w:sz w:val="28"/>
          <w:szCs w:val="28"/>
          <w:rtl/>
        </w:rPr>
        <w:t xml:space="preserve">6 .جواب مسألة، ج 5، ص 509.</w:t>
      </w:r>
    </w:p>
    <w:p>
      <w:pPr>
        <w:pStyle w:val="BookText"/>
      </w:pPr>
      <w:r>
        <w:rPr>
          <w:rFonts w:ascii="Amiri" w:hAnsi="Amiri" w:eastAsia="Amiri" w:cs="Amiri"/>
          <w:lang w:bidi="ar-SA"/>
          <w:color w:val="111111"/>
          <w:sz w:val="28"/>
          <w:szCs w:val="28"/>
          <w:rtl/>
        </w:rPr>
        <w:t xml:space="preserve">7.الرجعة (كتاب في)، ج8، ص 60.</w:t>
      </w:r>
    </w:p>
    <w:p>
      <w:pPr>
        <w:pStyle w:val="BookText"/>
      </w:pPr>
      <w:r>
        <w:rPr>
          <w:rFonts w:ascii="Amiri" w:hAnsi="Amiri" w:eastAsia="Amiri" w:cs="Amiri"/>
          <w:lang w:bidi="ar-SA"/>
          <w:color w:val="111111"/>
          <w:sz w:val="28"/>
          <w:szCs w:val="28"/>
          <w:rtl/>
        </w:rPr>
        <w:t xml:space="preserve">8 .لوامع الاسرار و مطالع الانوار في اثبات نبوة النبي المختار ج 13،</w:t>
      </w:r>
    </w:p>
    <w:p>
      <w:pPr>
        <w:pStyle w:val="BookText"/>
      </w:pPr>
      <w:r>
        <w:rPr>
          <w:rFonts w:ascii="IRNazanin" w:hAnsi="IRNazanin" w:eastAsia="IRNazanin" w:cs="IRNazanin"/>
          <w:lang w:bidi="fa-IR"/>
          <w:color w:val="111111"/>
          <w:sz w:val="28"/>
          <w:szCs w:val="28"/>
          <w:rtl/>
        </w:rPr>
        <w:t xml:space="preserve">ص 643 .</w:t>
      </w:r>
    </w:p>
    <w:p>
      <w:pPr>
        <w:pStyle w:val="BookText"/>
      </w:pPr>
      <w:r>
        <w:rPr>
          <w:rFonts w:ascii="Amiri" w:hAnsi="Amiri" w:eastAsia="Amiri" w:cs="Amiri"/>
          <w:lang w:bidi="ar-SA"/>
          <w:color w:val="111111"/>
          <w:sz w:val="28"/>
          <w:szCs w:val="28"/>
          <w:rtl/>
        </w:rPr>
        <w:t xml:space="preserve">9 .مراسلات و مسائل السيد علي بن محمّد بن اسحاق، ج 14، ص 382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مناسك الحج، ج 15، ص 502.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النجوم الزاهرة في فقه العترة الطاهرة، ج 16، ص 166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الواحد لايصدر منه الا واحد، ج 16</w:t>
      </w:r>
    </w:p>
    <w:p>
      <w:pPr>
        <w:pStyle w:val="BookText"/>
      </w:pPr>
      <w:r>
        <w:rPr>
          <w:rFonts w:ascii="IRNazanin" w:hAnsi="IRNazanin" w:eastAsia="IRNazanin" w:cs="IRNazanin"/>
          <w:lang w:bidi="fa-IR"/>
          <w:color w:val="111111"/>
          <w:sz w:val="28"/>
          <w:szCs w:val="28"/>
          <w:rtl/>
        </w:rPr>
        <w:t xml:space="preserve">ص 678 .</w:t>
      </w:r>
    </w:p>
    <w:p>
      <w:pPr>
        <w:pStyle w:val="BookText"/>
      </w:pPr>
      <w:r>
        <w:rPr>
          <w:rFonts w:ascii="Amiri" w:hAnsi="Amiri" w:eastAsia="Amiri" w:cs="Amiri"/>
          <w:lang w:bidi="ar-SA"/>
          <w:color w:val="111111"/>
          <w:sz w:val="28"/>
          <w:szCs w:val="28"/>
          <w:rtl/>
        </w:rPr>
        <w:t xml:space="preserve">13 .وجوب العود إلى الميقات (رسالة</w:t>
      </w:r>
    </w:p>
    <w:p>
      <w:pPr>
        <w:pStyle w:val="BookText"/>
      </w:pPr>
      <w:r>
        <w:rPr>
          <w:rFonts w:ascii="Amiri" w:hAnsi="Amiri" w:eastAsia="Amiri" w:cs="Amiri"/>
          <w:lang w:bidi="ar-SA"/>
          <w:color w:val="111111"/>
          <w:sz w:val="28"/>
          <w:szCs w:val="28"/>
          <w:rtl/>
        </w:rPr>
        <w:t xml:space="preserve">في)، ج 16، ص 731 .</w:t>
      </w:r>
    </w:p>
    <w:p>
      <w:pPr>
        <w:pStyle w:val="Heading2"/>
      </w:pPr>
      <w:bookmarkStart w:id="6698" w:name="_Toc5800"/>
      <w:r>
        <w:t>قطيفي ، عبدالله بن فرج - 1160 ه-</w:t>
      </w:r>
      <w:bookmarkEnd w:id="66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ادخل السرور على المؤمنين، ج1،</w:t>
      </w:r>
    </w:p>
    <w:p>
      <w:pPr>
        <w:pStyle w:val="BookText"/>
      </w:pPr>
      <w:r>
        <w:rPr>
          <w:rFonts w:ascii="IRNazanin" w:hAnsi="IRNazanin" w:eastAsia="IRNazanin" w:cs="IRNazanin"/>
          <w:lang w:bidi="fa-IR"/>
          <w:color w:val="111111"/>
          <w:sz w:val="28"/>
          <w:szCs w:val="28"/>
          <w:rtl/>
        </w:rPr>
        <w:t xml:space="preserve">ص 601 .</w:t>
      </w:r>
    </w:p>
    <w:p>
      <w:pPr>
        <w:pStyle w:val="BookText"/>
      </w:pPr>
      <w:r>
        <w:rPr>
          <w:rFonts w:ascii="Amiri" w:hAnsi="Amiri" w:eastAsia="Amiri" w:cs="Amiri"/>
          <w:lang w:bidi="ar-SA"/>
          <w:color w:val="111111"/>
          <w:sz w:val="28"/>
          <w:szCs w:val="28"/>
          <w:rtl/>
        </w:rPr>
        <w:t xml:space="preserve">2 .تحفة الابرار في معرفة الاقضية و</w:t>
      </w:r>
    </w:p>
    <w:p>
      <w:pPr>
        <w:pStyle w:val="BookText"/>
      </w:pPr>
      <w:r>
        <w:rPr>
          <w:rFonts w:ascii="IRNazanin" w:hAnsi="IRNazanin" w:eastAsia="IRNazanin" w:cs="IRNazanin"/>
          <w:lang w:bidi="fa-IR"/>
          <w:color w:val="111111"/>
          <w:sz w:val="28"/>
          <w:szCs w:val="28"/>
          <w:rtl/>
        </w:rPr>
        <w:t xml:space="preserve">الاقدار، ج3، ص774.</w:t>
      </w:r>
    </w:p>
    <w:p>
      <w:pPr>
        <w:pStyle w:val="BookText"/>
      </w:pPr>
      <w:r>
        <w:rPr>
          <w:rFonts w:ascii="Amiri" w:hAnsi="Amiri" w:eastAsia="Amiri" w:cs="Amiri"/>
          <w:lang w:bidi="ar-SA"/>
          <w:color w:val="111111"/>
          <w:sz w:val="28"/>
          <w:szCs w:val="28"/>
          <w:rtl/>
        </w:rPr>
        <w:t xml:space="preserve">3.النص على الائمة (رسالة في)، ج 16،</w:t>
      </w:r>
    </w:p>
    <w:p>
      <w:pPr>
        <w:pStyle w:val="BookText"/>
      </w:pPr>
      <w:r>
        <w:rPr>
          <w:rFonts w:ascii="IRNazanin" w:hAnsi="IRNazanin" w:eastAsia="IRNazanin" w:cs="IRNazanin"/>
          <w:lang w:bidi="fa-IR"/>
          <w:color w:val="111111"/>
          <w:sz w:val="28"/>
          <w:szCs w:val="28"/>
          <w:rtl/>
        </w:rPr>
        <w:t xml:space="preserve">ص 308.</w:t>
      </w:r>
    </w:p>
    <w:p>
      <w:pPr>
        <w:pStyle w:val="BookText"/>
      </w:pPr>
      <w:r>
        <w:rPr>
          <w:rFonts w:ascii="Amiri" w:hAnsi="Amiri" w:eastAsia="Amiri" w:cs="Amiri"/>
          <w:lang w:bidi="ar-SA"/>
          <w:color w:val="111111"/>
          <w:sz w:val="28"/>
          <w:szCs w:val="28"/>
          <w:rtl/>
        </w:rPr>
        <w:t xml:space="preserve">4 .الهداية لمن أراد تحقيق الحق من ذوي الالباب = الهداية في اثبات الامامة والولاية، ج 16 ، ص 626.</w:t>
      </w:r>
    </w:p>
    <w:p>
      <w:pPr>
        <w:pStyle w:val="Heading2"/>
      </w:pPr>
      <w:bookmarkStart w:id="6699" w:name="_Toc5801"/>
      <w:r>
        <w:t>قطيفي ، عبدالله بن معتوق</w:t>
      </w:r>
      <w:bookmarkEnd w:id="6699"/>
    </w:p>
    <w:p>
      <w:pPr>
        <w:pStyle w:val="BookText"/>
      </w:pPr>
      <w:r>
        <w:rPr>
          <w:rFonts w:ascii="Amiri" w:hAnsi="Amiri" w:eastAsia="Amiri" w:cs="Amiri"/>
          <w:lang w:bidi="ar-SA"/>
          <w:color w:val="111111"/>
          <w:sz w:val="28"/>
          <w:szCs w:val="28"/>
          <w:rtl/>
        </w:rPr>
        <w:t xml:space="preserve">مسأله فى استقلال البكر البالغ، ج 14</w:t>
      </w:r>
    </w:p>
    <w:p>
      <w:pPr>
        <w:pStyle w:val="BookText"/>
      </w:pPr>
      <w:r>
        <w:rPr>
          <w:rFonts w:ascii="IRNazanin" w:hAnsi="IRNazanin" w:eastAsia="IRNazanin" w:cs="IRNazanin"/>
          <w:lang w:bidi="fa-IR"/>
          <w:color w:val="111111"/>
          <w:sz w:val="28"/>
          <w:szCs w:val="28"/>
          <w:rtl/>
        </w:rPr>
        <w:t xml:space="preserve">ص 541.</w:t>
      </w:r>
    </w:p>
    <w:p>
      <w:pPr>
        <w:pStyle w:val="Heading2"/>
      </w:pPr>
      <w:bookmarkStart w:id="6700" w:name="_Toc5802"/>
      <w:r>
        <w:t>قطيفي، علي بن احمد - 1287 ه-</w:t>
      </w:r>
      <w:bookmarkEnd w:id="67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اصول الدين (ارجوزة في)، ج 2،</w:t>
      </w:r>
    </w:p>
    <w:p>
      <w:pPr>
        <w:pStyle w:val="BookText"/>
      </w:pPr>
      <w:r>
        <w:rPr>
          <w:rFonts w:ascii="IRNazanin" w:hAnsi="IRNazanin" w:eastAsia="IRNazanin" w:cs="IRNazanin"/>
          <w:lang w:bidi="fa-IR"/>
          <w:color w:val="111111"/>
          <w:sz w:val="28"/>
          <w:szCs w:val="28"/>
          <w:rtl/>
        </w:rPr>
        <w:t xml:space="preserve">ص 417 .</w:t>
      </w:r>
    </w:p>
    <w:p>
      <w:pPr>
        <w:pStyle w:val="BookText"/>
      </w:pPr>
      <w:r>
        <w:rPr>
          <w:rFonts w:ascii="Amiri" w:hAnsi="Amiri" w:eastAsia="Amiri" w:cs="Amiri"/>
          <w:lang w:bidi="ar-SA"/>
          <w:color w:val="111111"/>
          <w:sz w:val="28"/>
          <w:szCs w:val="28"/>
          <w:rtl/>
        </w:rPr>
        <w:t xml:space="preserve">2 .اصول المواريث، ج 2، ص 467.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العقائد (منظومة في) مع شرحها،</w:t>
      </w:r>
    </w:p>
    <w:p>
      <w:pPr>
        <w:pStyle w:val="BookText"/>
      </w:pPr>
      <w:r>
        <w:rPr>
          <w:rFonts w:ascii="IRNazanin" w:hAnsi="IRNazanin" w:eastAsia="IRNazanin" w:cs="IRNazanin"/>
          <w:lang w:bidi="fa-IR"/>
          <w:color w:val="111111"/>
          <w:sz w:val="28"/>
          <w:szCs w:val="28"/>
          <w:rtl/>
        </w:rPr>
        <w:t xml:space="preserve">ج 11، ص 135.</w:t>
      </w:r>
    </w:p>
    <w:p>
      <w:pPr>
        <w:pStyle w:val="Heading2"/>
      </w:pPr>
      <w:bookmarkStart w:id="6701" w:name="_Toc5803"/>
      <w:r>
        <w:t>قطيفي، فرج بن حسن قرن 14 ه-</w:t>
      </w:r>
      <w:bookmarkEnd w:id="6701"/>
    </w:p>
    <w:p>
      <w:pPr>
        <w:pStyle w:val="BookText"/>
      </w:pPr>
      <w:r>
        <w:rPr>
          <w:rFonts w:ascii="Amiri" w:hAnsi="Amiri" w:eastAsia="Amiri" w:cs="Amiri"/>
          <w:lang w:bidi="ar-SA"/>
          <w:color w:val="111111"/>
          <w:sz w:val="28"/>
          <w:szCs w:val="28"/>
          <w:rtl/>
        </w:rPr>
        <w:t xml:space="preserve">1 .تحفة اهل الايمان في تراجم آل</w:t>
      </w:r>
    </w:p>
    <w:p>
      <w:pPr>
        <w:pStyle w:val="BookText"/>
      </w:pPr>
      <w:r>
        <w:rPr>
          <w:rFonts w:ascii="IRNazanin" w:hAnsi="IRNazanin" w:eastAsia="IRNazanin" w:cs="IRNazanin"/>
          <w:lang w:bidi="fa-IR"/>
          <w:color w:val="111111"/>
          <w:sz w:val="28"/>
          <w:szCs w:val="28"/>
          <w:rtl/>
        </w:rPr>
        <w:t xml:space="preserve">عمران، ج 3، ص 810.</w:t>
      </w:r>
    </w:p>
    <w:p>
      <w:pPr>
        <w:pStyle w:val="BookText"/>
      </w:pPr>
      <w:r>
        <w:rPr>
          <w:rFonts w:ascii="Amiri" w:hAnsi="Amiri" w:eastAsia="Amiri" w:cs="Amiri"/>
          <w:lang w:bidi="ar-SA"/>
          <w:color w:val="111111"/>
          <w:sz w:val="28"/>
          <w:szCs w:val="28"/>
          <w:rtl/>
        </w:rPr>
        <w:t xml:space="preserve">2 .حاشية العدة في اصول الفقه، ج 6،</w:t>
      </w:r>
    </w:p>
    <w:p>
      <w:pPr>
        <w:pStyle w:val="BookText"/>
      </w:pPr>
      <w:r>
        <w:rPr>
          <w:rFonts w:ascii="IRNazanin" w:hAnsi="IRNazanin" w:eastAsia="IRNazanin" w:cs="IRNazanin"/>
          <w:lang w:bidi="fa-IR"/>
          <w:color w:val="111111"/>
          <w:sz w:val="28"/>
          <w:szCs w:val="28"/>
          <w:rtl/>
        </w:rPr>
        <w:t xml:space="preserve">ص 229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حول إعلان الحقيقة، ج 6، ص 848.</w:t>
      </w:r>
    </w:p>
    <w:p>
      <w:pPr>
        <w:pStyle w:val="BookText"/>
      </w:pPr>
      <w:r>
        <w:rPr>
          <w:rFonts w:ascii="Amiri" w:hAnsi="Amiri" w:eastAsia="Amiri" w:cs="Amiri"/>
          <w:lang w:bidi="ar-SA"/>
          <w:color w:val="111111"/>
          <w:sz w:val="28"/>
          <w:szCs w:val="28"/>
          <w:rtl/>
        </w:rPr>
        <w:t xml:space="preserve">4 .الخمس على المذاهب الخمسة</w:t>
      </w:r>
    </w:p>
    <w:p>
      <w:pPr>
        <w:pStyle w:val="BookText"/>
      </w:pPr>
      <w:r>
        <w:rPr>
          <w:rFonts w:ascii="IRNazanin" w:hAnsi="IRNazanin" w:eastAsia="IRNazanin" w:cs="IRNazanin"/>
          <w:lang w:bidi="fa-IR"/>
          <w:color w:val="111111"/>
          <w:sz w:val="28"/>
          <w:szCs w:val="28"/>
          <w:rtl/>
        </w:rPr>
        <w:t xml:space="preserve">ج 7، ص 162 .</w:t>
      </w:r>
    </w:p>
    <w:p>
      <w:pPr>
        <w:pStyle w:val="BookText"/>
      </w:pPr>
      <w:r>
        <w:rPr>
          <w:rFonts w:ascii="Amiri" w:hAnsi="Amiri" w:eastAsia="Amiri" w:cs="Amiri"/>
          <w:lang w:bidi="ar-SA"/>
          <w:color w:val="111111"/>
          <w:sz w:val="28"/>
          <w:szCs w:val="28"/>
          <w:rtl/>
        </w:rPr>
        <w:t xml:space="preserve">5 .كلم الوجيز في ذكر الاجيز، ج 13،</w:t>
      </w:r>
    </w:p>
    <w:p>
      <w:pPr>
        <w:pStyle w:val="BookText"/>
      </w:pPr>
      <w:r>
        <w:rPr>
          <w:rFonts w:ascii="IRNazanin" w:hAnsi="IRNazanin" w:eastAsia="IRNazanin" w:cs="IRNazanin"/>
          <w:lang w:bidi="fa-IR"/>
          <w:color w:val="111111"/>
          <w:sz w:val="28"/>
          <w:szCs w:val="28"/>
          <w:rtl/>
        </w:rPr>
        <w:t xml:space="preserve">ص 382.</w:t>
      </w:r>
    </w:p>
    <w:p>
      <w:pPr>
        <w:pStyle w:val="BookText"/>
      </w:pPr>
      <w:r>
        <w:rPr>
          <w:rFonts w:ascii="IRNazanin" w:hAnsi="IRNazanin" w:eastAsia="IRNazanin" w:cs="IRNazanin"/>
          <w:lang w:bidi="fa-IR"/>
          <w:color w:val="111111"/>
          <w:sz w:val="28"/>
          <w:szCs w:val="28"/>
          <w:rtl/>
        </w:rPr>
        <w:t xml:space="preserve">6 .مرشد العقول إلى علم الأصول،</w:t>
      </w:r>
    </w:p>
    <w:p>
      <w:pPr>
        <w:pStyle w:val="BookText"/>
      </w:pPr>
      <w:r>
        <w:rPr>
          <w:rFonts w:ascii="IRNazanin" w:hAnsi="IRNazanin" w:eastAsia="IRNazanin" w:cs="IRNazanin"/>
          <w:lang w:bidi="fa-IR"/>
          <w:color w:val="111111"/>
          <w:sz w:val="28"/>
          <w:szCs w:val="28"/>
          <w:rtl/>
        </w:rPr>
        <w:t xml:space="preserve">ج 14، ص 397.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889" w:name="pg7742_71060"/>
    <w:bookmarkEnd w:id="889"/>
    <w:p>
      <w:pPr>
        <w:pStyle w:val="Heading2"/>
      </w:pPr>
      <w:bookmarkStart w:id="6702" w:name="_Toc5804"/>
      <w:r>
        <w:t>قطيفي ، محمّد بن مال الله - 1271 ه-</w:t>
      </w:r>
      <w:bookmarkEnd w:id="6702"/>
    </w:p>
    <w:p>
      <w:pPr>
        <w:pStyle w:val="BookText"/>
      </w:pPr>
      <w:r>
        <w:rPr>
          <w:rFonts w:ascii="Amiri" w:hAnsi="Amiri" w:eastAsia="Amiri" w:cs="Amiri"/>
          <w:lang w:bidi="ar-SA"/>
          <w:color w:val="111111"/>
          <w:sz w:val="28"/>
          <w:szCs w:val="28"/>
          <w:rtl/>
        </w:rPr>
        <w:t xml:space="preserve">ديوان القطيفي، ج 7، ص738.</w:t>
      </w:r>
    </w:p>
    <w:p>
      <w:pPr>
        <w:pStyle w:val="Heading2"/>
      </w:pPr>
      <w:bookmarkStart w:id="6703" w:name="_Toc5805"/>
      <w:r>
        <w:t>قفاعي ، محمّد بن سلامة</w:t>
      </w:r>
      <w:bookmarkEnd w:id="6703"/>
    </w:p>
    <w:p>
      <w:pPr>
        <w:pStyle w:val="BookText"/>
      </w:pPr>
      <w:r>
        <w:rPr>
          <w:rFonts w:ascii="IRNazanin" w:hAnsi="IRNazanin" w:eastAsia="IRNazanin" w:cs="IRNazanin"/>
          <w:lang w:bidi="fa-IR"/>
          <w:color w:val="111111"/>
          <w:sz w:val="28"/>
          <w:szCs w:val="28"/>
          <w:rtl/>
        </w:rPr>
        <w:t xml:space="preserve">الدستور و بستان النور، ج 7، ص 386.</w:t>
      </w:r>
    </w:p>
    <w:p>
      <w:pPr>
        <w:pStyle w:val="Heading2"/>
      </w:pPr>
      <w:bookmarkStart w:id="6704" w:name="_Toc5806"/>
      <w:r>
        <w:t>قفالة ، محمّد</w:t>
      </w:r>
      <w:bookmarkEnd w:id="6704"/>
    </w:p>
    <w:p>
      <w:pPr>
        <w:pStyle w:val="BookText"/>
      </w:pPr>
      <w:r>
        <w:rPr>
          <w:rFonts w:ascii="Amiri" w:hAnsi="Amiri" w:eastAsia="Amiri" w:cs="Amiri"/>
          <w:lang w:bidi="ar-SA"/>
          <w:color w:val="111111"/>
          <w:sz w:val="28"/>
          <w:szCs w:val="28"/>
          <w:rtl/>
        </w:rPr>
        <w:t xml:space="preserve">كتابة العوام فيما يجب من علم</w:t>
      </w:r>
    </w:p>
    <w:p>
      <w:pPr>
        <w:pStyle w:val="BookText"/>
      </w:pPr>
      <w:r>
        <w:rPr>
          <w:rFonts w:ascii="Amiri" w:hAnsi="Amiri" w:eastAsia="Amiri" w:cs="Amiri"/>
          <w:lang w:bidi="ar-SA"/>
          <w:color w:val="111111"/>
          <w:sz w:val="28"/>
          <w:szCs w:val="28"/>
          <w:rtl/>
        </w:rPr>
        <w:t xml:space="preserve">الكلام، ج13، ص 95.</w:t>
      </w:r>
    </w:p>
    <w:p>
      <w:pPr>
        <w:pStyle w:val="Heading2"/>
      </w:pPr>
      <w:bookmarkStart w:id="6705" w:name="_Toc5807"/>
      <w:r>
        <w:t>قفطامي ، حسن بن علي</w:t>
      </w:r>
      <w:bookmarkEnd w:id="6705"/>
    </w:p>
    <w:p>
      <w:pPr>
        <w:pStyle w:val="BookText"/>
      </w:pPr>
      <w:r>
        <w:rPr>
          <w:rFonts w:ascii="Amiri" w:hAnsi="Amiri" w:eastAsia="Amiri" w:cs="Amiri"/>
          <w:lang w:bidi="ar-SA"/>
          <w:color w:val="111111"/>
          <w:sz w:val="28"/>
          <w:szCs w:val="28"/>
          <w:rtl/>
        </w:rPr>
        <w:t xml:space="preserve">1 .ديوان قفطامي، ج 7، ص739.</w:t>
      </w:r>
    </w:p>
    <w:p>
      <w:pPr>
        <w:pStyle w:val="BookText"/>
      </w:pPr>
      <w:r>
        <w:rPr>
          <w:rFonts w:ascii="Amiri" w:hAnsi="Amiri" w:eastAsia="Amiri" w:cs="Amiri"/>
          <w:lang w:bidi="ar-SA"/>
          <w:color w:val="111111"/>
          <w:sz w:val="28"/>
          <w:szCs w:val="28"/>
          <w:rtl/>
        </w:rPr>
        <w:t xml:space="preserve">2 .الفقه (رسالة في)، ج 12، ص 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قصيدة في الحسين و اهل البيت</w:t>
      </w:r>
    </w:p>
    <w:p>
      <w:pPr>
        <w:pStyle w:val="BookText"/>
      </w:pPr>
      <w:r>
        <w:rPr>
          <w:rFonts w:ascii="IRNazanin" w:hAnsi="IRNazanin" w:eastAsia="IRNazanin" w:cs="IRNazanin"/>
          <w:lang w:bidi="fa-IR"/>
          <w:color w:val="111111"/>
          <w:sz w:val="28"/>
          <w:szCs w:val="28"/>
          <w:rtl/>
        </w:rPr>
        <w:t xml:space="preserve">(ع)، ج 12، ص 692 .</w:t>
      </w:r>
    </w:p>
    <w:p>
      <w:pPr>
        <w:pStyle w:val="Heading2"/>
      </w:pPr>
      <w:bookmarkStart w:id="6706" w:name="_Toc5808"/>
      <w:r>
        <w:t>قفطان ، محمّد بن علي</w:t>
      </w:r>
      <w:bookmarkEnd w:id="6706"/>
    </w:p>
    <w:p>
      <w:pPr>
        <w:pStyle w:val="BookText"/>
      </w:pPr>
      <w:r>
        <w:rPr>
          <w:rFonts w:ascii="Amiri" w:hAnsi="Amiri" w:eastAsia="Amiri" w:cs="Amiri"/>
          <w:lang w:bidi="ar-SA"/>
          <w:color w:val="111111"/>
          <w:sz w:val="28"/>
          <w:szCs w:val="28"/>
          <w:rtl/>
        </w:rPr>
        <w:t xml:space="preserve">شرح شواهد شرح الخلاصة، ج 9،</w:t>
      </w:r>
    </w:p>
    <w:p>
      <w:pPr>
        <w:pStyle w:val="BookText"/>
      </w:pPr>
      <w:r>
        <w:rPr>
          <w:rFonts w:ascii="IRNazanin" w:hAnsi="IRNazanin" w:eastAsia="IRNazanin" w:cs="IRNazanin"/>
          <w:lang w:bidi="fa-IR"/>
          <w:color w:val="111111"/>
          <w:sz w:val="28"/>
          <w:szCs w:val="28"/>
          <w:rtl/>
        </w:rPr>
        <w:t xml:space="preserve">ص 655 .</w:t>
      </w:r>
    </w:p>
    <w:p>
      <w:pPr>
        <w:pStyle w:val="Heading2"/>
      </w:pPr>
      <w:bookmarkStart w:id="6707" w:name="_Toc5809"/>
      <w:r>
        <w:t>قفطي ، علي بن يوسف، 568 - 646 ه-</w:t>
      </w:r>
      <w:bookmarkEnd w:id="6707"/>
    </w:p>
    <w:p>
      <w:pPr>
        <w:pStyle w:val="BookText"/>
      </w:pPr>
      <w:r>
        <w:rPr>
          <w:rFonts w:ascii="Amiri" w:hAnsi="Amiri" w:eastAsia="Amiri" w:cs="Amiri"/>
          <w:lang w:bidi="ar-SA"/>
          <w:color w:val="111111"/>
          <w:sz w:val="28"/>
          <w:szCs w:val="28"/>
          <w:rtl/>
        </w:rPr>
        <w:t xml:space="preserve">1 .تاريخ الحكماء - اخبار العلماء باخبار الحكماء، ج 3، ص 567.</w:t>
      </w:r>
    </w:p>
    <w:p>
      <w:pPr>
        <w:pStyle w:val="BookText"/>
      </w:pPr>
      <w:r>
        <w:rPr>
          <w:rFonts w:ascii="IRNazanin" w:hAnsi="IRNazanin" w:eastAsia="IRNazanin" w:cs="IRNazanin"/>
          <w:lang w:bidi="fa-IR"/>
          <w:color w:val="111111"/>
          <w:sz w:val="28"/>
          <w:szCs w:val="28"/>
          <w:rtl/>
        </w:rPr>
        <w:t xml:space="preserve">2 .المحمّدون من الشعراء واشعارهم</w:t>
      </w:r>
    </w:p>
    <w:p>
      <w:pPr>
        <w:pStyle w:val="BookText"/>
      </w:pPr>
      <w:r>
        <w:rPr>
          <w:rFonts w:ascii="IRNazanin" w:hAnsi="IRNazanin" w:eastAsia="IRNazanin" w:cs="IRNazanin"/>
          <w:lang w:bidi="fa-IR"/>
          <w:color w:val="111111"/>
          <w:sz w:val="28"/>
          <w:szCs w:val="28"/>
          <w:rtl/>
        </w:rPr>
        <w:t xml:space="preserve">ج 14، ص 132.</w:t>
      </w:r>
    </w:p>
    <w:p>
      <w:pPr>
        <w:pStyle w:val="BookText"/>
      </w:pPr>
      <w:r>
        <w:rPr>
          <w:rFonts w:ascii="Amiri" w:hAnsi="Amiri" w:eastAsia="Amiri" w:cs="Amiri"/>
          <w:lang w:bidi="ar-SA"/>
          <w:color w:val="111111"/>
          <w:sz w:val="28"/>
          <w:szCs w:val="28"/>
          <w:rtl/>
        </w:rPr>
        <w:t xml:space="preserve">قلاري ، سليمان بن عبد الحق -دهلوي ،</w:t>
      </w:r>
    </w:p>
    <w:p>
      <w:pPr>
        <w:pStyle w:val="BookText"/>
      </w:pPr>
      <w:r>
        <w:rPr>
          <w:rFonts w:ascii="Amiri" w:hAnsi="Amiri" w:eastAsia="Amiri" w:cs="Amiri"/>
          <w:lang w:bidi="ar-SA"/>
          <w:color w:val="111111"/>
          <w:sz w:val="28"/>
          <w:szCs w:val="28"/>
          <w:rtl/>
        </w:rPr>
        <w:t xml:space="preserve">سليمان بن عبد الحق</w:t>
      </w:r>
    </w:p>
    <w:p>
      <w:pPr>
        <w:pStyle w:val="Heading2"/>
      </w:pPr>
      <w:bookmarkStart w:id="6708" w:name="_Toc5810"/>
      <w:r>
        <w:t>قلانسي ، محمّد بن بهرام ، قرن 7 ه-</w:t>
      </w:r>
      <w:bookmarkEnd w:id="6708"/>
    </w:p>
    <w:p>
      <w:pPr>
        <w:pStyle w:val="BookText"/>
      </w:pPr>
      <w:r>
        <w:rPr>
          <w:rFonts w:ascii="IRNazanin" w:hAnsi="IRNazanin" w:eastAsia="IRNazanin" w:cs="IRNazanin"/>
          <w:lang w:bidi="fa-IR"/>
          <w:color w:val="111111"/>
          <w:sz w:val="28"/>
          <w:szCs w:val="28"/>
          <w:rtl/>
        </w:rPr>
        <w:t xml:space="preserve">قرابادین - ملتقط الادوية، ج 12،</w:t>
      </w:r>
    </w:p>
    <w:p>
      <w:pPr>
        <w:pStyle w:val="BookText"/>
      </w:pPr>
      <w:r>
        <w:rPr>
          <w:rFonts w:ascii="IRNazanin" w:hAnsi="IRNazanin" w:eastAsia="IRNazanin" w:cs="IRNazanin"/>
          <w:lang w:bidi="fa-IR"/>
          <w:color w:val="111111"/>
          <w:sz w:val="28"/>
          <w:szCs w:val="28"/>
          <w:rtl/>
        </w:rPr>
        <w:t xml:space="preserve">ص 552.</w:t>
      </w:r>
    </w:p>
    <w:p>
      <w:pPr>
        <w:pStyle w:val="Heading2"/>
      </w:pPr>
      <w:bookmarkStart w:id="6709" w:name="_Toc5811"/>
      <w:r>
        <w:t>قلانسي ، محمّد بن عبدالله قرن 6 ه-</w:t>
      </w:r>
      <w:bookmarkEnd w:id="6709"/>
    </w:p>
    <w:p>
      <w:pPr>
        <w:pStyle w:val="BookText"/>
      </w:pPr>
      <w:r>
        <w:rPr>
          <w:rFonts w:ascii="IRNazanin" w:hAnsi="IRNazanin" w:eastAsia="IRNazanin" w:cs="IRNazanin"/>
          <w:lang w:bidi="fa-IR"/>
          <w:color w:val="111111"/>
          <w:sz w:val="28"/>
          <w:szCs w:val="28"/>
          <w:rtl/>
        </w:rPr>
        <w:t xml:space="preserve">ارشاد = مرشد، ج 2، ص1.</w:t>
      </w:r>
    </w:p>
    <w:p>
      <w:pPr>
        <w:pStyle w:val="Heading2"/>
      </w:pPr>
      <w:bookmarkStart w:id="6710" w:name="_Toc5812"/>
      <w:r>
        <w:t>قلصادي، علي بن محمّد، 815-891 ه-</w:t>
      </w:r>
      <w:bookmarkEnd w:id="6710"/>
    </w:p>
    <w:p>
      <w:pPr>
        <w:pStyle w:val="BookText"/>
      </w:pPr>
      <w:r>
        <w:rPr>
          <w:rFonts w:ascii="Amiri" w:hAnsi="Amiri" w:eastAsia="Amiri" w:cs="Amiri"/>
          <w:lang w:bidi="ar-SA"/>
          <w:color w:val="111111"/>
          <w:sz w:val="28"/>
          <w:szCs w:val="28"/>
          <w:rtl/>
        </w:rPr>
        <w:t xml:space="preserve">كشف الاسرار عن علم حروف الغبار</w:t>
      </w:r>
    </w:p>
    <w:p>
      <w:pPr>
        <w:pStyle w:val="BookText"/>
      </w:pPr>
      <w:r>
        <w:rPr>
          <w:rFonts w:ascii="IRNazanin" w:hAnsi="IRNazanin" w:eastAsia="IRNazanin" w:cs="IRNazanin"/>
          <w:lang w:bidi="fa-IR"/>
          <w:color w:val="111111"/>
          <w:sz w:val="28"/>
          <w:szCs w:val="28"/>
          <w:rtl/>
        </w:rPr>
        <w:t xml:space="preserve">ج 13، ص188.</w:t>
      </w:r>
    </w:p>
    <w:p>
      <w:pPr>
        <w:pStyle w:val="Heading2"/>
      </w:pPr>
      <w:bookmarkStart w:id="6711" w:name="_Toc5813"/>
      <w:r>
        <w:t>قلعاوي، مصطفى بن محمّد - 1230ه-</w:t>
      </w:r>
      <w:bookmarkEnd w:id="6711"/>
    </w:p>
    <w:p>
      <w:pPr>
        <w:pStyle w:val="BookText"/>
      </w:pPr>
      <w:r>
        <w:rPr>
          <w:rFonts w:ascii="Amiri" w:hAnsi="Amiri" w:eastAsia="Amiri" w:cs="Amiri"/>
          <w:lang w:bidi="ar-SA"/>
          <w:color w:val="111111"/>
          <w:sz w:val="28"/>
          <w:szCs w:val="28"/>
          <w:rtl/>
        </w:rPr>
        <w:t xml:space="preserve">المسائل المصطفوية و الدلائل اللامية</w:t>
      </w:r>
    </w:p>
    <w:p>
      <w:pPr>
        <w:pStyle w:val="BookText"/>
      </w:pPr>
      <w:r>
        <w:rPr>
          <w:rFonts w:ascii="IRNazanin" w:hAnsi="IRNazanin" w:eastAsia="IRNazanin" w:cs="IRNazanin"/>
          <w:lang w:bidi="fa-IR"/>
          <w:color w:val="111111"/>
          <w:sz w:val="28"/>
          <w:szCs w:val="28"/>
          <w:rtl/>
        </w:rPr>
        <w:t xml:space="preserve">ج 14، ص 489 .</w:t>
      </w:r>
    </w:p>
    <w:p>
      <w:pPr>
        <w:pStyle w:val="Heading2"/>
      </w:pPr>
      <w:bookmarkStart w:id="6712" w:name="_Toc5814"/>
      <w:r>
        <w:t>قلعي محمّد بن عبد المحسن -1147ه-</w:t>
      </w:r>
      <w:bookmarkEnd w:id="6712"/>
    </w:p>
    <w:p>
      <w:pPr>
        <w:pStyle w:val="BookText"/>
      </w:pPr>
      <w:r>
        <w:rPr>
          <w:rFonts w:ascii="Amiri" w:hAnsi="Amiri" w:eastAsia="Amiri" w:cs="Amiri"/>
          <w:lang w:bidi="ar-SA"/>
          <w:color w:val="111111"/>
          <w:sz w:val="28"/>
          <w:szCs w:val="28"/>
          <w:rtl/>
        </w:rPr>
        <w:t xml:space="preserve">مختصر الترمذي = تجريد جامع</w:t>
      </w:r>
    </w:p>
    <w:p>
      <w:pPr>
        <w:pStyle w:val="BookText"/>
      </w:pPr>
      <w:r>
        <w:rPr>
          <w:rFonts w:ascii="Amiri" w:hAnsi="Amiri" w:eastAsia="Amiri" w:cs="Amiri"/>
          <w:lang w:bidi="ar-SA"/>
          <w:color w:val="111111"/>
          <w:sz w:val="28"/>
          <w:szCs w:val="28"/>
          <w:rtl/>
        </w:rPr>
        <w:t xml:space="preserve">الترمذي، ج 14، ص 181.</w:t>
      </w:r>
    </w:p>
    <w:p>
      <w:pPr>
        <w:pStyle w:val="Heading2"/>
      </w:pPr>
      <w:bookmarkStart w:id="6713" w:name="_Toc5815"/>
      <w:r>
        <w:t>قلقشندي ، احمد بن علي 756-821ه-</w:t>
      </w:r>
      <w:bookmarkEnd w:id="6713"/>
    </w:p>
    <w:p>
      <w:pPr>
        <w:pStyle w:val="BookText"/>
      </w:pPr>
      <w:r>
        <w:rPr>
          <w:rFonts w:ascii="Amiri" w:hAnsi="Amiri" w:eastAsia="Amiri" w:cs="Amiri"/>
          <w:lang w:bidi="ar-SA"/>
          <w:color w:val="111111"/>
          <w:sz w:val="28"/>
          <w:szCs w:val="28"/>
          <w:rtl/>
        </w:rPr>
        <w:t xml:space="preserve">نهاية الارب في معرفة قبائل العرب</w:t>
      </w:r>
    </w:p>
    <w:p>
      <w:pPr>
        <w:pStyle w:val="BookText"/>
      </w:pPr>
      <w:r>
        <w:rPr>
          <w:rFonts w:ascii="IRNazanin" w:hAnsi="IRNazanin" w:eastAsia="IRNazanin" w:cs="IRNazanin"/>
          <w:lang w:bidi="fa-IR"/>
          <w:color w:val="111111"/>
          <w:sz w:val="28"/>
          <w:szCs w:val="28"/>
          <w:rtl/>
        </w:rPr>
        <w:t xml:space="preserve">ج 16، ص 485.</w:t>
      </w:r>
    </w:p>
    <w:p>
      <w:pPr>
        <w:pStyle w:val="Heading2"/>
      </w:pPr>
      <w:bookmarkStart w:id="6714" w:name="_Toc5816"/>
      <w:r>
        <w:t>قلقشندي، عبدالرحمن بن محمّد -826ه-</w:t>
      </w:r>
      <w:bookmarkEnd w:id="6714"/>
    </w:p>
    <w:p>
      <w:pPr>
        <w:pStyle w:val="BookText"/>
      </w:pPr>
      <w:r>
        <w:rPr>
          <w:rFonts w:ascii="Amiri" w:hAnsi="Amiri" w:eastAsia="Amiri" w:cs="Amiri"/>
          <w:lang w:bidi="ar-SA"/>
          <w:color w:val="111111"/>
          <w:sz w:val="28"/>
          <w:szCs w:val="28"/>
          <w:rtl/>
        </w:rPr>
        <w:t xml:space="preserve">قصيدة = روضة، ج 12، ص 636.</w:t>
      </w:r>
    </w:p>
    <w:p>
      <w:pPr>
        <w:pStyle w:val="BookText"/>
      </w:pPr>
      <w:r>
        <w:rPr>
          <w:rFonts w:ascii="Amiri" w:hAnsi="Amiri" w:eastAsia="Amiri" w:cs="Amiri"/>
          <w:lang w:bidi="ar-SA"/>
          <w:color w:val="111111"/>
          <w:sz w:val="28"/>
          <w:szCs w:val="28"/>
          <w:rtl/>
        </w:rPr>
        <w:t xml:space="preserve">قلهاني ، محمّد بن ابراهيم -عليجو قلخاني</w:t>
      </w:r>
    </w:p>
    <w:p>
      <w:pPr>
        <w:pStyle w:val="BookText"/>
      </w:pPr>
      <w:r>
        <w:rPr>
          <w:rFonts w:ascii="Amiri" w:hAnsi="Amiri" w:eastAsia="Amiri" w:cs="Amiri"/>
          <w:lang w:bidi="ar-SA"/>
          <w:color w:val="111111"/>
          <w:sz w:val="28"/>
          <w:szCs w:val="28"/>
          <w:rtl/>
        </w:rPr>
        <w:t xml:space="preserve">، محمّد بن ابراهيم</w:t>
      </w:r>
    </w:p>
    <w:p>
      <w:pPr>
        <w:pStyle w:val="BookText"/>
      </w:pPr>
      <w:r>
        <w:rPr>
          <w:rFonts w:ascii="Amiri" w:hAnsi="Amiri" w:eastAsia="Amiri" w:cs="Amiri"/>
          <w:lang w:bidi="ar-SA"/>
          <w:color w:val="111111"/>
          <w:sz w:val="28"/>
          <w:szCs w:val="28"/>
          <w:rtl/>
        </w:rPr>
        <w:t xml:space="preserve">قليبي، موسى بن محمّد -غوطي ، موسى</w:t>
      </w:r>
    </w:p>
    <w:p>
      <w:pPr>
        <w:pStyle w:val="BookText"/>
      </w:pPr>
      <w:r>
        <w:rPr>
          <w:rFonts w:ascii="Amiri" w:hAnsi="Amiri" w:eastAsia="Amiri" w:cs="Amiri"/>
          <w:lang w:bidi="ar-SA"/>
          <w:color w:val="111111"/>
          <w:sz w:val="28"/>
          <w:szCs w:val="28"/>
          <w:rtl/>
        </w:rPr>
        <w:t xml:space="preserve">بن محمّد</w:t>
      </w:r>
    </w:p>
    <w:p>
      <w:pPr>
        <w:pStyle w:val="Heading2"/>
      </w:pPr>
      <w:bookmarkStart w:id="6715" w:name="_Toc5817"/>
      <w:r>
        <w:t>قليوبي، احمد بن احمد - 1069 ه-</w:t>
      </w:r>
      <w:bookmarkEnd w:id="67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تحفة الراغب في سيرة جماعة من</w:t>
      </w:r>
    </w:p>
    <w:p>
      <w:pPr>
        <w:pStyle w:val="BookText"/>
      </w:pPr>
      <w:r>
        <w:rPr>
          <w:rFonts w:ascii="Amiri" w:hAnsi="Amiri" w:eastAsia="Amiri" w:cs="Amiri"/>
          <w:lang w:bidi="ar-SA"/>
          <w:color w:val="111111"/>
          <w:sz w:val="28"/>
          <w:szCs w:val="28"/>
          <w:rtl/>
        </w:rPr>
        <w:t xml:space="preserve">اهل البيت الاطايب، ج3، ص830.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890" w:name="pg7742_71062"/>
    <w:bookmarkEnd w:id="890"/>
    <w:p>
      <w:pPr>
        <w:pStyle w:val="BookText"/>
      </w:pPr>
      <w:r>
        <w:rPr>
          <w:rFonts w:ascii="Amiri" w:hAnsi="Amiri" w:eastAsia="Amiri" w:cs="Amiri"/>
          <w:lang w:bidi="ar-SA"/>
          <w:color w:val="111111"/>
          <w:sz w:val="28"/>
          <w:szCs w:val="28"/>
          <w:rtl/>
        </w:rPr>
        <w:t xml:space="preserve">2 .حاشية التحرير، ج 5، ص 715.</w:t>
      </w:r>
    </w:p>
    <w:p>
      <w:pPr>
        <w:pStyle w:val="BookText"/>
      </w:pPr>
      <w:r>
        <w:rPr>
          <w:rFonts w:ascii="Amiri" w:hAnsi="Amiri" w:eastAsia="Amiri" w:cs="Amiri"/>
          <w:lang w:bidi="ar-SA"/>
          <w:color w:val="111111"/>
          <w:sz w:val="28"/>
          <w:szCs w:val="28"/>
          <w:rtl/>
        </w:rPr>
        <w:t xml:space="preserve">3 .حاشية تحفة الطلاب، ج 5، ص 731.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حاشية شرح الازهري على الآجرومية = الفواكه السنية على</w:t>
      </w:r>
    </w:p>
    <w:p>
      <w:pPr>
        <w:pStyle w:val="BookText"/>
      </w:pPr>
      <w:r>
        <w:rPr>
          <w:rFonts w:ascii="Amiri" w:hAnsi="Amiri" w:eastAsia="Amiri" w:cs="Amiri"/>
          <w:lang w:bidi="ar-SA"/>
          <w:color w:val="111111"/>
          <w:sz w:val="28"/>
          <w:szCs w:val="28"/>
          <w:rtl/>
        </w:rPr>
        <w:t xml:space="preserve">شرح الآجرومية، ج 6 ، ص 31.</w:t>
      </w:r>
    </w:p>
    <w:p>
      <w:pPr>
        <w:pStyle w:val="BookText"/>
      </w:pPr>
      <w:r>
        <w:rPr>
          <w:rFonts w:ascii="Amiri" w:hAnsi="Amiri" w:eastAsia="Amiri" w:cs="Amiri"/>
          <w:lang w:bidi="ar-SA"/>
          <w:color w:val="111111"/>
          <w:sz w:val="28"/>
          <w:szCs w:val="28"/>
          <w:rtl/>
        </w:rPr>
        <w:t xml:space="preserve">5 .حاشية شرح الايساغوجي، ج 6،</w:t>
      </w:r>
    </w:p>
    <w:p>
      <w:pPr>
        <w:pStyle w:val="BookText"/>
      </w:pPr>
      <w:r>
        <w:rPr>
          <w:rFonts w:ascii="IRNazanin" w:hAnsi="IRNazanin" w:eastAsia="IRNazanin" w:cs="IRNazanin"/>
          <w:lang w:bidi="fa-IR"/>
          <w:color w:val="111111"/>
          <w:sz w:val="28"/>
          <w:szCs w:val="28"/>
          <w:rtl/>
        </w:rPr>
        <w:t xml:space="preserve">ص 50 .</w:t>
      </w:r>
    </w:p>
    <w:p>
      <w:pPr>
        <w:pStyle w:val="BookText"/>
      </w:pPr>
      <w:r>
        <w:rPr>
          <w:rFonts w:ascii="Amiri" w:hAnsi="Amiri" w:eastAsia="Amiri" w:cs="Amiri"/>
          <w:lang w:bidi="ar-SA"/>
          <w:color w:val="111111"/>
          <w:sz w:val="28"/>
          <w:szCs w:val="28"/>
          <w:rtl/>
        </w:rPr>
        <w:t xml:space="preserve">6 .حاشية شرح الخطيب على مختصر</w:t>
      </w:r>
    </w:p>
    <w:p>
      <w:pPr>
        <w:pStyle w:val="BookText"/>
      </w:pPr>
      <w:r>
        <w:rPr>
          <w:rFonts w:ascii="Amiri" w:hAnsi="Amiri" w:eastAsia="Amiri" w:cs="Amiri"/>
          <w:lang w:bidi="ar-SA"/>
          <w:color w:val="111111"/>
          <w:sz w:val="28"/>
          <w:szCs w:val="28"/>
          <w:rtl/>
        </w:rPr>
        <w:t xml:space="preserve">أبي شجاع، ج 6، ص 90.</w:t>
      </w:r>
    </w:p>
    <w:p>
      <w:pPr>
        <w:pStyle w:val="BookText"/>
      </w:pPr>
      <w:r>
        <w:rPr>
          <w:rFonts w:ascii="Amiri" w:hAnsi="Amiri" w:eastAsia="Amiri" w:cs="Amiri"/>
          <w:lang w:bidi="ar-SA"/>
          <w:color w:val="111111"/>
          <w:sz w:val="28"/>
          <w:szCs w:val="28"/>
          <w:rtl/>
        </w:rPr>
        <w:t xml:space="preserve">7 .حاشية شرح الورقات، ج 6، ص 215. 1250 - 1336ه-</w:t>
      </w:r>
    </w:p>
    <w:p>
      <w:pPr>
        <w:pStyle w:val="BookText"/>
      </w:pPr>
      <w:r>
        <w:rPr>
          <w:rFonts w:ascii="Amiri" w:hAnsi="Amiri" w:eastAsia="Amiri" w:cs="Amiri"/>
          <w:lang w:bidi="ar-SA"/>
          <w:color w:val="111111"/>
          <w:sz w:val="28"/>
          <w:szCs w:val="28"/>
          <w:rtl/>
        </w:rPr>
        <w:t xml:space="preserve">8 .حاشية فتح المجيب و القول المختار</w:t>
      </w:r>
    </w:p>
    <w:p>
      <w:pPr>
        <w:pStyle w:val="BookText"/>
      </w:pPr>
      <w:r>
        <w:rPr>
          <w:rFonts w:ascii="Amiri" w:hAnsi="Amiri" w:eastAsia="Amiri" w:cs="Amiri"/>
          <w:lang w:bidi="ar-SA"/>
          <w:color w:val="111111"/>
          <w:sz w:val="28"/>
          <w:szCs w:val="28"/>
          <w:rtl/>
        </w:rPr>
        <w:t xml:space="preserve">في شرح ابي شجاع المسمى</w:t>
      </w:r>
    </w:p>
    <w:p>
      <w:pPr>
        <w:pStyle w:val="BookText"/>
      </w:pPr>
      <w:r>
        <w:rPr>
          <w:rFonts w:ascii="Amiri" w:hAnsi="Amiri" w:eastAsia="Amiri" w:cs="Amiri"/>
          <w:lang w:bidi="ar-SA"/>
          <w:color w:val="111111"/>
          <w:sz w:val="28"/>
          <w:szCs w:val="28"/>
          <w:rtl/>
        </w:rPr>
        <w:t xml:space="preserve">بالتقريب، ج 6، ص 260.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الدر الوهاج فيما يتعلق بالاسراء و</w:t>
      </w:r>
    </w:p>
    <w:p>
      <w:pPr>
        <w:pStyle w:val="BookText"/>
      </w:pPr>
      <w:r>
        <w:rPr>
          <w:rFonts w:ascii="IRNazanin" w:hAnsi="IRNazanin" w:eastAsia="IRNazanin" w:cs="IRNazanin"/>
          <w:lang w:bidi="fa-IR"/>
          <w:color w:val="111111"/>
          <w:sz w:val="28"/>
          <w:szCs w:val="28"/>
          <w:rtl/>
        </w:rPr>
        <w:t xml:space="preserve">المعراج، ج 7، ص 375.</w:t>
      </w:r>
    </w:p>
    <w:p>
      <w:pPr>
        <w:pStyle w:val="BookText"/>
      </w:pPr>
      <w:r>
        <w:rPr>
          <w:rFonts w:ascii="Amiri" w:hAnsi="Amiri" w:eastAsia="Amiri" w:cs="Amiri"/>
          <w:lang w:bidi="ar-SA"/>
          <w:color w:val="111111"/>
          <w:sz w:val="28"/>
          <w:szCs w:val="28"/>
          <w:rtl/>
        </w:rPr>
        <w:t xml:space="preserve">10 .المصابيح السنية و طب البرية</w:t>
      </w:r>
    </w:p>
    <w:p>
      <w:pPr>
        <w:pStyle w:val="BookText"/>
      </w:pPr>
      <w:r>
        <w:rPr>
          <w:rFonts w:ascii="IRNazanin" w:hAnsi="IRNazanin" w:eastAsia="IRNazanin" w:cs="IRNazanin"/>
          <w:lang w:bidi="fa-IR"/>
          <w:color w:val="111111"/>
          <w:sz w:val="28"/>
          <w:szCs w:val="28"/>
          <w:rtl/>
        </w:rPr>
        <w:t xml:space="preserve">ج 14، ص 680.</w:t>
      </w:r>
    </w:p>
    <w:p>
      <w:pPr>
        <w:pStyle w:val="BookText"/>
      </w:pPr>
      <w:r>
        <w:rPr>
          <w:rFonts w:ascii="IRNazanin" w:hAnsi="IRNazanin" w:eastAsia="IRNazanin" w:cs="IRNazanin"/>
          <w:lang w:bidi="fa-IR"/>
          <w:color w:val="111111"/>
          <w:sz w:val="28"/>
          <w:szCs w:val="28"/>
          <w:rtl/>
        </w:rPr>
        <w:t xml:space="preserve">11 .النوادر، ج 16، ص 538.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الهداية من الضلالة في معرفة الوقت و القبلة بغير آلة، ج 16،</w:t>
      </w:r>
    </w:p>
    <w:p>
      <w:pPr>
        <w:pStyle w:val="BookText"/>
      </w:pPr>
      <w:r>
        <w:rPr>
          <w:rFonts w:ascii="IRNazanin" w:hAnsi="IRNazanin" w:eastAsia="IRNazanin" w:cs="IRNazanin"/>
          <w:lang w:bidi="fa-IR"/>
          <w:color w:val="111111"/>
          <w:sz w:val="28"/>
          <w:szCs w:val="28"/>
          <w:rtl/>
        </w:rPr>
        <w:t xml:space="preserve">ص 635 .</w:t>
      </w:r>
    </w:p>
    <w:p>
      <w:pPr>
        <w:pStyle w:val="Heading2"/>
      </w:pPr>
      <w:bookmarkStart w:id="6716" w:name="_Toc5818"/>
      <w:r>
        <w:t>قليوبي ، محمّد بن محمّد، - 849 ه-</w:t>
      </w:r>
      <w:bookmarkEnd w:id="6716"/>
    </w:p>
    <w:p>
      <w:pPr>
        <w:pStyle w:val="BookText"/>
      </w:pPr>
      <w:r>
        <w:rPr>
          <w:rFonts w:ascii="Amiri" w:hAnsi="Amiri" w:eastAsia="Amiri" w:cs="Amiri"/>
          <w:lang w:bidi="ar-SA"/>
          <w:color w:val="111111"/>
          <w:sz w:val="28"/>
          <w:szCs w:val="28"/>
          <w:rtl/>
        </w:rPr>
        <w:t xml:space="preserve">مختصر روضة الطالبين، ج 14، ص 192.</w:t>
      </w:r>
    </w:p>
    <w:p>
      <w:pPr>
        <w:pStyle w:val="Heading2"/>
      </w:pPr>
      <w:bookmarkStart w:id="6717" w:name="_Toc5819"/>
      <w:r>
        <w:t>قمرالدین راز</w:t>
      </w:r>
      <w:bookmarkEnd w:id="6717"/>
    </w:p>
    <w:p>
      <w:pPr>
        <w:pStyle w:val="BookText"/>
      </w:pPr>
      <w:r>
        <w:rPr>
          <w:rFonts w:ascii="Amiri" w:hAnsi="Amiri" w:eastAsia="Amiri" w:cs="Amiri"/>
          <w:lang w:bidi="ar-SA"/>
          <w:color w:val="111111"/>
          <w:sz w:val="28"/>
          <w:szCs w:val="28"/>
          <w:rtl/>
        </w:rPr>
        <w:t xml:space="preserve">المسائل الخمسة، ج 14، ص 450.</w:t>
      </w:r>
    </w:p>
    <w:p>
      <w:pPr>
        <w:pStyle w:val="BookText"/>
      </w:pPr>
      <w:r>
        <w:rPr>
          <w:rFonts w:ascii="Amiri" w:hAnsi="Amiri" w:eastAsia="Amiri" w:cs="Amiri"/>
          <w:lang w:bidi="ar-SA"/>
          <w:color w:val="111111"/>
          <w:sz w:val="28"/>
          <w:szCs w:val="28"/>
          <w:rtl/>
        </w:rPr>
        <w:t xml:space="preserve">قمري ، حسن بن نوح ا-بو منصور قمري ،</w:t>
      </w:r>
    </w:p>
    <w:p>
      <w:pPr>
        <w:pStyle w:val="BookText"/>
      </w:pPr>
      <w:r>
        <w:rPr>
          <w:rFonts w:ascii="IRNazanin" w:hAnsi="IRNazanin" w:eastAsia="IRNazanin" w:cs="IRNazanin"/>
          <w:lang w:bidi="fa-IR"/>
          <w:color w:val="111111"/>
          <w:sz w:val="28"/>
          <w:szCs w:val="28"/>
          <w:rtl/>
        </w:rPr>
        <w:t xml:space="preserve">حسن بن نوح</w:t>
      </w:r>
    </w:p>
    <w:p>
      <w:pPr>
        <w:pStyle w:val="Heading2"/>
      </w:pPr>
      <w:bookmarkStart w:id="6718" w:name="_Toc5820"/>
      <w:r>
        <w:t>قمري ، محمّد قرن 5 ه-</w:t>
      </w:r>
      <w:bookmarkEnd w:id="6718"/>
    </w:p>
    <w:p>
      <w:pPr>
        <w:pStyle w:val="BookText"/>
      </w:pPr>
      <w:r>
        <w:rPr>
          <w:rFonts w:ascii="Amiri" w:hAnsi="Amiri" w:eastAsia="Amiri" w:cs="Amiri"/>
          <w:lang w:bidi="ar-SA"/>
          <w:color w:val="111111"/>
          <w:sz w:val="28"/>
          <w:szCs w:val="28"/>
          <w:rtl/>
        </w:rPr>
        <w:t xml:space="preserve">السر المكتوم = علم الحجر، ج8،</w:t>
      </w:r>
    </w:p>
    <w:p>
      <w:pPr>
        <w:pStyle w:val="BookText"/>
      </w:pPr>
      <w:r>
        <w:rPr>
          <w:rFonts w:ascii="IRNazanin" w:hAnsi="IRNazanin" w:eastAsia="IRNazanin" w:cs="IRNazanin"/>
          <w:lang w:bidi="fa-IR"/>
          <w:color w:val="111111"/>
          <w:sz w:val="28"/>
          <w:szCs w:val="28"/>
          <w:rtl/>
        </w:rPr>
        <w:t xml:space="preserve">ص 764 .</w:t>
      </w:r>
    </w:p>
    <w:p>
      <w:pPr>
        <w:pStyle w:val="Heading2"/>
      </w:pPr>
      <w:bookmarkStart w:id="6719" w:name="_Toc5821"/>
      <w:r>
        <w:t>قمشه اي اصفهاني ملا مهدي - 1281 ه-</w:t>
      </w:r>
      <w:bookmarkEnd w:id="67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اصول الفقه (رسالة في)، ج2،</w:t>
      </w:r>
    </w:p>
    <w:p>
      <w:pPr>
        <w:pStyle w:val="BookText"/>
      </w:pPr>
      <w:r>
        <w:rPr>
          <w:rFonts w:ascii="IRNazanin" w:hAnsi="IRNazanin" w:eastAsia="IRNazanin" w:cs="IRNazanin"/>
          <w:lang w:bidi="fa-IR"/>
          <w:color w:val="111111"/>
          <w:sz w:val="28"/>
          <w:szCs w:val="28"/>
          <w:rtl/>
        </w:rPr>
        <w:t xml:space="preserve">ص 434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حاوي مدارك الاحكام في شرح شرايع</w:t>
      </w:r>
    </w:p>
    <w:p>
      <w:pPr>
        <w:pStyle w:val="BookText"/>
      </w:pPr>
      <w:r>
        <w:rPr>
          <w:rFonts w:ascii="IRNazanin" w:hAnsi="IRNazanin" w:eastAsia="IRNazanin" w:cs="IRNazanin"/>
          <w:lang w:bidi="fa-IR"/>
          <w:color w:val="111111"/>
          <w:sz w:val="28"/>
          <w:szCs w:val="28"/>
          <w:rtl/>
        </w:rPr>
        <w:t xml:space="preserve">الاسلام، ج 6، ص 466.</w:t>
      </w:r>
    </w:p>
    <w:p>
      <w:pPr>
        <w:pStyle w:val="Heading2"/>
      </w:pPr>
      <w:bookmarkStart w:id="6720" w:name="_Toc5822"/>
      <w:r>
        <w:t>قمشه اي ، محمّد حسين بن محمّد قاسم</w:t>
      </w:r>
      <w:bookmarkEnd w:id="6720"/>
    </w:p>
    <w:p>
      <w:pPr>
        <w:pStyle w:val="BookText"/>
      </w:pPr>
      <w:r>
        <w:rPr>
          <w:rFonts w:ascii="Amiri" w:hAnsi="Amiri" w:eastAsia="Amiri" w:cs="Amiri"/>
          <w:lang w:bidi="ar-SA"/>
          <w:color w:val="111111"/>
          <w:sz w:val="28"/>
          <w:szCs w:val="28"/>
          <w:rtl/>
        </w:rPr>
        <w:t xml:space="preserve">1 .ادلة الرشاد في شرح نجاة العباد</w:t>
      </w:r>
    </w:p>
    <w:p>
      <w:pPr>
        <w:pStyle w:val="BookText"/>
      </w:pPr>
      <w:r>
        <w:rPr>
          <w:rFonts w:ascii="IRNazanin" w:hAnsi="IRNazanin" w:eastAsia="IRNazanin" w:cs="IRNazanin"/>
          <w:lang w:bidi="fa-IR"/>
          <w:color w:val="111111"/>
          <w:sz w:val="28"/>
          <w:szCs w:val="28"/>
          <w:rtl/>
        </w:rPr>
        <w:t xml:space="preserve">ج 1، ص 660 .</w:t>
      </w:r>
    </w:p>
    <w:p>
      <w:pPr>
        <w:pStyle w:val="BookText"/>
      </w:pPr>
      <w:r>
        <w:rPr>
          <w:rFonts w:ascii="Amiri" w:hAnsi="Amiri" w:eastAsia="Amiri" w:cs="Amiri"/>
          <w:lang w:bidi="ar-SA"/>
          <w:color w:val="111111"/>
          <w:sz w:val="28"/>
          <w:szCs w:val="28"/>
          <w:rtl/>
        </w:rPr>
        <w:t xml:space="preserve">2 .تقريرات الرسائل، ج 4، ص 753.</w:t>
      </w:r>
    </w:p>
    <w:p>
      <w:pPr>
        <w:pStyle w:val="BookText"/>
      </w:pPr>
      <w:r>
        <w:rPr>
          <w:rFonts w:ascii="IRNazanin" w:hAnsi="IRNazanin" w:eastAsia="IRNazanin" w:cs="IRNazanin"/>
          <w:lang w:bidi="fa-IR"/>
          <w:color w:val="111111"/>
          <w:sz w:val="28"/>
          <w:szCs w:val="28"/>
          <w:rtl/>
        </w:rPr>
        <w:t xml:space="preserve">3 .تقریرات درس سیّد حسین کوهكمري، ج4، ص 751.</w:t>
      </w:r>
    </w:p>
    <w:p>
      <w:pPr>
        <w:pStyle w:val="BookText"/>
      </w:pPr>
      <w:r>
        <w:rPr>
          <w:rFonts w:ascii="Amiri" w:hAnsi="Amiri" w:eastAsia="Amiri" w:cs="Amiri"/>
          <w:lang w:bidi="ar-SA"/>
          <w:color w:val="111111"/>
          <w:sz w:val="28"/>
          <w:szCs w:val="28"/>
          <w:rtl/>
        </w:rPr>
        <w:t xml:space="preserve">4 .شرح كيفية زيارة عاشوراء، ج 10،</w:t>
      </w:r>
    </w:p>
    <w:p>
      <w:pPr>
        <w:pStyle w:val="BookText"/>
      </w:pPr>
      <w:r>
        <w:rPr>
          <w:rFonts w:ascii="IRNazanin" w:hAnsi="IRNazanin" w:eastAsia="IRNazanin" w:cs="IRNazanin"/>
          <w:lang w:bidi="fa-IR"/>
          <w:color w:val="111111"/>
          <w:sz w:val="28"/>
          <w:szCs w:val="28"/>
          <w:rtl/>
        </w:rPr>
        <w:t xml:space="preserve">ص 69.</w:t>
      </w:r>
    </w:p>
    <w:p>
      <w:pPr>
        <w:pStyle w:val="BookText"/>
      </w:pPr>
      <w:r>
        <w:rPr>
          <w:rFonts w:ascii="Amiri" w:hAnsi="Amiri" w:eastAsia="Amiri" w:cs="Amiri"/>
          <w:lang w:bidi="ar-SA"/>
          <w:color w:val="111111"/>
          <w:sz w:val="28"/>
          <w:szCs w:val="28"/>
          <w:rtl/>
        </w:rPr>
        <w:t xml:space="preserve">5 .عدة طريق التدقيق لسالك سبيل</w:t>
      </w:r>
    </w:p>
    <w:p>
      <w:pPr>
        <w:pStyle w:val="BookText"/>
      </w:pPr>
      <w:r>
        <w:rPr>
          <w:rFonts w:ascii="Amiri" w:hAnsi="Amiri" w:eastAsia="Amiri" w:cs="Amiri"/>
          <w:lang w:bidi="ar-SA"/>
          <w:color w:val="111111"/>
          <w:sz w:val="28"/>
          <w:szCs w:val="28"/>
          <w:rtl/>
        </w:rPr>
        <w:t xml:space="preserve">التحقيق، ج 11، ص 54.</w:t>
      </w:r>
    </w:p>
    <w:p>
      <w:pPr>
        <w:pStyle w:val="Heading2"/>
      </w:pPr>
      <w:bookmarkStart w:id="6721" w:name="_Toc5823"/>
      <w:r>
        <w:t>قمشهي ، محمّد ، محمّد حسن</w:t>
      </w:r>
      <w:bookmarkEnd w:id="6721"/>
    </w:p>
    <w:p>
      <w:pPr>
        <w:pStyle w:val="BookText"/>
      </w:pPr>
      <w:r>
        <w:rPr>
          <w:rFonts w:ascii="Amiri" w:hAnsi="Amiri" w:eastAsia="Amiri" w:cs="Amiri"/>
          <w:lang w:bidi="ar-SA"/>
          <w:color w:val="111111"/>
          <w:sz w:val="28"/>
          <w:szCs w:val="28"/>
          <w:rtl/>
        </w:rPr>
        <w:t xml:space="preserve">نهج الرشاد في وجوب الارشاد و</w:t>
      </w:r>
    </w:p>
    <w:p>
      <w:pPr>
        <w:pStyle w:val="BookText"/>
      </w:pPr>
      <w:r>
        <w:rPr>
          <w:rFonts w:ascii="IRNazanin" w:hAnsi="IRNazanin" w:eastAsia="IRNazanin" w:cs="IRNazanin"/>
          <w:lang w:bidi="fa-IR"/>
          <w:color w:val="111111"/>
          <w:sz w:val="28"/>
          <w:szCs w:val="28"/>
          <w:rtl/>
        </w:rPr>
        <w:t xml:space="preserve">الاسترشاد، ج 16، ص 526.</w:t>
      </w:r>
    </w:p>
    <w:p>
      <w:pPr>
        <w:pStyle w:val="BookText"/>
      </w:pPr>
      <w:r>
        <w:rPr>
          <w:rFonts w:ascii="Amiri" w:hAnsi="Amiri" w:eastAsia="Amiri" w:cs="Amiri"/>
          <w:lang w:bidi="ar-SA"/>
          <w:color w:val="111111"/>
          <w:sz w:val="28"/>
          <w:szCs w:val="28"/>
          <w:rtl/>
        </w:rPr>
        <w:t xml:space="preserve">قمشهي ، محمّد حسن بن ابي</w:t>
      </w:r>
    </w:p>
    <w:p>
      <w:pPr>
        <w:pStyle w:val="BookText"/>
      </w:pPr>
      <w:r>
        <w:rPr>
          <w:rFonts w:ascii="Amiri" w:hAnsi="Amiri" w:eastAsia="Amiri" w:cs="Amiri"/>
          <w:lang w:bidi="ar-SA"/>
          <w:color w:val="111111"/>
          <w:sz w:val="28"/>
          <w:szCs w:val="28"/>
          <w:rtl/>
        </w:rPr>
        <w:t xml:space="preserve">طالب -حسيني قمشهي ، محمّد حسن بن</w:t>
      </w:r>
    </w:p>
    <w:p>
      <w:pPr>
        <w:pStyle w:val="BookText"/>
      </w:pPr>
      <w:r>
        <w:rPr>
          <w:rFonts w:ascii="Amiri" w:hAnsi="Amiri" w:eastAsia="Amiri" w:cs="Amiri"/>
          <w:lang w:bidi="ar-SA"/>
          <w:color w:val="111111"/>
          <w:sz w:val="28"/>
          <w:szCs w:val="28"/>
          <w:rtl/>
        </w:rPr>
        <w:t xml:space="preserve">ابي طالب</w:t>
      </w:r>
    </w:p>
    <w:p>
      <w:pPr>
        <w:pStyle w:val="BookText"/>
      </w:pPr>
      <w:r>
        <w:rPr>
          <w:rFonts w:ascii="Amiri" w:hAnsi="Amiri" w:eastAsia="Amiri" w:cs="Amiri"/>
          <w:lang w:bidi="ar-SA"/>
          <w:color w:val="111111"/>
          <w:sz w:val="28"/>
          <w:szCs w:val="28"/>
          <w:rtl/>
        </w:rPr>
        <w:t xml:space="preserve">قمقام ، محمّد -اصفهاني ، محمّد بن</w:t>
      </w:r>
    </w:p>
    <w:p>
      <w:pPr>
        <w:pStyle w:val="BookText"/>
      </w:pPr>
      <w:r>
        <w:rPr>
          <w:rFonts w:ascii="Amiri" w:hAnsi="Amiri" w:eastAsia="Amiri" w:cs="Amiri"/>
          <w:lang w:bidi="ar-SA"/>
          <w:color w:val="111111"/>
          <w:sz w:val="28"/>
          <w:szCs w:val="28"/>
          <w:rtl/>
        </w:rPr>
        <w:t xml:space="preserve">محمّد زمان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891" w:name="pg7742_71065"/>
    <w:bookmarkEnd w:id="891"/>
    <w:p>
      <w:pPr>
        <w:pStyle w:val="Heading2"/>
      </w:pPr>
      <w:bookmarkStart w:id="6722" w:name="_Toc5824"/>
      <w:r>
        <w:t>قمي ، ابوالحسن بن علي</w:t>
      </w:r>
      <w:bookmarkEnd w:id="6722"/>
    </w:p>
    <w:p>
      <w:pPr>
        <w:pStyle w:val="BookText"/>
      </w:pPr>
      <w:r>
        <w:rPr>
          <w:rFonts w:ascii="IRNazanin" w:hAnsi="IRNazanin" w:eastAsia="IRNazanin" w:cs="IRNazanin"/>
          <w:lang w:bidi="fa-IR"/>
          <w:color w:val="111111"/>
          <w:sz w:val="28"/>
          <w:szCs w:val="28"/>
          <w:rtl/>
        </w:rPr>
        <w:t xml:space="preserve">المدخل إلى علم النجوم، ج 14،</w:t>
      </w:r>
    </w:p>
    <w:p>
      <w:pPr>
        <w:pStyle w:val="BookText"/>
      </w:pPr>
      <w:r>
        <w:rPr>
          <w:rFonts w:ascii="IRNazanin" w:hAnsi="IRNazanin" w:eastAsia="IRNazanin" w:cs="IRNazanin"/>
          <w:lang w:bidi="fa-IR"/>
          <w:color w:val="111111"/>
          <w:sz w:val="28"/>
          <w:szCs w:val="28"/>
          <w:rtl/>
        </w:rPr>
        <w:t xml:space="preserve">ص 327.</w:t>
      </w:r>
    </w:p>
    <w:p>
      <w:pPr>
        <w:pStyle w:val="BookText"/>
      </w:pPr>
      <w:r>
        <w:rPr>
          <w:rFonts w:ascii="Amiri" w:hAnsi="Amiri" w:eastAsia="Amiri" w:cs="Amiri"/>
          <w:lang w:bidi="ar-SA"/>
          <w:color w:val="111111"/>
          <w:sz w:val="28"/>
          <w:szCs w:val="28"/>
          <w:rtl/>
        </w:rPr>
        <w:t xml:space="preserve">قمي ، ابوالقاسم بن محمّد حسن- ميرزاي</w:t>
      </w:r>
    </w:p>
    <w:p>
      <w:pPr>
        <w:pStyle w:val="BookText"/>
      </w:pPr>
      <w:r>
        <w:rPr>
          <w:rFonts w:ascii="Amiri" w:hAnsi="Amiri" w:eastAsia="Amiri" w:cs="Amiri"/>
          <w:lang w:bidi="ar-SA"/>
          <w:color w:val="111111"/>
          <w:sz w:val="28"/>
          <w:szCs w:val="28"/>
          <w:rtl/>
        </w:rPr>
        <w:t xml:space="preserve">قمي ، ابوالقاسم بن محمّد حسن</w:t>
      </w:r>
    </w:p>
    <w:p>
      <w:pPr>
        <w:pStyle w:val="BookText"/>
      </w:pPr>
      <w:r>
        <w:rPr>
          <w:rFonts w:ascii="Amiri" w:hAnsi="Amiri" w:eastAsia="Amiri" w:cs="Amiri"/>
          <w:lang w:bidi="ar-SA"/>
          <w:color w:val="111111"/>
          <w:sz w:val="28"/>
          <w:szCs w:val="28"/>
          <w:rtl/>
        </w:rPr>
        <w:t xml:space="preserve">قمي ، جعفر بن احمد -ابن رازي ، جعفر</w:t>
      </w:r>
    </w:p>
    <w:p>
      <w:pPr>
        <w:pStyle w:val="BookText"/>
      </w:pPr>
      <w:r>
        <w:rPr>
          <w:rFonts w:ascii="IRNazanin" w:hAnsi="IRNazanin" w:eastAsia="IRNazanin" w:cs="IRNazanin"/>
          <w:lang w:bidi="fa-IR"/>
          <w:color w:val="111111"/>
          <w:sz w:val="28"/>
          <w:szCs w:val="28"/>
          <w:rtl/>
        </w:rPr>
        <w:t xml:space="preserve">بن احمد</w:t>
      </w:r>
    </w:p>
    <w:p>
      <w:pPr>
        <w:pStyle w:val="BookText"/>
      </w:pPr>
      <w:r>
        <w:rPr>
          <w:rFonts w:ascii="Amiri" w:hAnsi="Amiri" w:eastAsia="Amiri" w:cs="Amiri"/>
          <w:lang w:bidi="ar-SA"/>
          <w:color w:val="111111"/>
          <w:sz w:val="28"/>
          <w:szCs w:val="28"/>
          <w:rtl/>
        </w:rPr>
        <w:t xml:space="preserve">قمي ، جعفر بن محمّد (ابن قولويه)- ابن</w:t>
      </w:r>
    </w:p>
    <w:p>
      <w:pPr>
        <w:pStyle w:val="BookText"/>
      </w:pPr>
      <w:r>
        <w:rPr>
          <w:rFonts w:ascii="IRNazanin" w:hAnsi="IRNazanin" w:eastAsia="IRNazanin" w:cs="IRNazanin"/>
          <w:lang w:bidi="fa-IR"/>
          <w:color w:val="111111"/>
          <w:sz w:val="28"/>
          <w:szCs w:val="28"/>
          <w:rtl/>
        </w:rPr>
        <w:t xml:space="preserve">قولویه ، جعفر بن محمّد</w:t>
      </w:r>
    </w:p>
    <w:p>
      <w:pPr>
        <w:pStyle w:val="BookText"/>
      </w:pPr>
      <w:r>
        <w:rPr>
          <w:rFonts w:ascii="IRNazanin" w:hAnsi="IRNazanin" w:eastAsia="IRNazanin" w:cs="IRNazanin"/>
          <w:lang w:bidi="fa-IR"/>
          <w:color w:val="111111"/>
          <w:sz w:val="28"/>
          <w:szCs w:val="28"/>
          <w:rtl/>
        </w:rPr>
        <w:t xml:space="preserve">قمي ، سدید الدین شاذان بن</w:t>
      </w:r>
    </w:p>
    <w:p>
      <w:pPr>
        <w:pStyle w:val="BookText"/>
      </w:pPr>
      <w:r>
        <w:rPr>
          <w:rFonts w:ascii="Amiri" w:hAnsi="Amiri" w:eastAsia="Amiri" w:cs="Amiri"/>
          <w:lang w:bidi="ar-SA"/>
          <w:color w:val="111111"/>
          <w:sz w:val="28"/>
          <w:szCs w:val="28"/>
          <w:rtl/>
        </w:rPr>
        <w:t xml:space="preserve">جبرئيل -شاذان قمي</w:t>
      </w:r>
    </w:p>
    <w:p>
      <w:pPr>
        <w:pStyle w:val="Heading2"/>
      </w:pPr>
      <w:bookmarkStart w:id="6723" w:name="_Toc5825"/>
      <w:r>
        <w:t>قمي، عباس بن محمّد رضا 1292 -</w:t>
      </w:r>
      <w:bookmarkEnd w:id="6723"/>
    </w:p>
    <w:p>
      <w:pPr>
        <w:pStyle w:val="BookText"/>
      </w:pPr>
      <w:r>
        <w:rPr>
          <w:rFonts w:ascii="IRNazanin" w:hAnsi="IRNazanin" w:eastAsia="IRNazanin" w:cs="IRNazanin"/>
          <w:lang w:bidi="fa-IR"/>
          <w:color w:val="111111"/>
          <w:sz w:val="28"/>
          <w:szCs w:val="28"/>
          <w:rtl/>
        </w:rPr>
        <w:t xml:space="preserve">1359 ه-</w:t>
      </w:r>
    </w:p>
    <w:p>
      <w:pPr>
        <w:pStyle w:val="BookText"/>
      </w:pPr>
      <w:r>
        <w:rPr>
          <w:rFonts w:ascii="IRNazanin" w:hAnsi="IRNazanin" w:eastAsia="IRNazanin" w:cs="IRNazanin"/>
          <w:lang w:bidi="fa-IR"/>
          <w:color w:val="111111"/>
          <w:sz w:val="28"/>
          <w:szCs w:val="28"/>
          <w:rtl/>
        </w:rPr>
        <w:t xml:space="preserve">مقلاد النجاح، ج 15، ص 390.</w:t>
      </w:r>
    </w:p>
    <w:p>
      <w:pPr>
        <w:pStyle w:val="BookText"/>
      </w:pPr>
      <w:r>
        <w:rPr>
          <w:rFonts w:ascii="Amiri" w:hAnsi="Amiri" w:eastAsia="Amiri" w:cs="Amiri"/>
          <w:lang w:bidi="ar-SA"/>
          <w:color w:val="111111"/>
          <w:sz w:val="28"/>
          <w:szCs w:val="28"/>
          <w:rtl/>
        </w:rPr>
        <w:t xml:space="preserve">قمي ، عبد الكريم -كوثر قمي ، عبد الكريم</w:t>
      </w:r>
    </w:p>
    <w:p>
      <w:pPr>
        <w:pStyle w:val="Heading2"/>
      </w:pPr>
      <w:bookmarkStart w:id="6724" w:name="_Toc5826"/>
      <w:r>
        <w:t>قمي ، علي بن ابراهيم قرن 4 ه-</w:t>
      </w:r>
      <w:bookmarkEnd w:id="6724"/>
    </w:p>
    <w:p>
      <w:pPr>
        <w:pStyle w:val="BookText"/>
      </w:pPr>
      <w:r>
        <w:rPr>
          <w:rFonts w:ascii="Amiri" w:hAnsi="Amiri" w:eastAsia="Amiri" w:cs="Amiri"/>
          <w:lang w:bidi="ar-SA"/>
          <w:color w:val="111111"/>
          <w:sz w:val="28"/>
          <w:szCs w:val="28"/>
          <w:rtl/>
        </w:rPr>
        <w:t xml:space="preserve">تفسير القرآن الكريم - تفسير علي بن</w:t>
      </w:r>
    </w:p>
    <w:p>
      <w:pPr>
        <w:pStyle w:val="BookText"/>
      </w:pPr>
      <w:r>
        <w:rPr>
          <w:rFonts w:ascii="Amiri" w:hAnsi="Amiri" w:eastAsia="Amiri" w:cs="Amiri"/>
          <w:lang w:bidi="ar-SA"/>
          <w:color w:val="111111"/>
          <w:sz w:val="28"/>
          <w:szCs w:val="28"/>
          <w:rtl/>
        </w:rPr>
        <w:t xml:space="preserve">ابراهيم قمي، ج4، ص 659 .</w:t>
      </w:r>
    </w:p>
    <w:p>
      <w:pPr>
        <w:pStyle w:val="Heading2"/>
      </w:pPr>
      <w:bookmarkStart w:id="6725" w:name="_Toc5827"/>
      <w:r>
        <w:t>قمي ، علي بن محمّد حسن</w:t>
      </w:r>
      <w:bookmarkEnd w:id="6725"/>
    </w:p>
    <w:p>
      <w:pPr>
        <w:pStyle w:val="BookText"/>
      </w:pPr>
      <w:r>
        <w:rPr>
          <w:rFonts w:ascii="Amiri" w:hAnsi="Amiri" w:eastAsia="Amiri" w:cs="Amiri"/>
          <w:lang w:bidi="ar-SA"/>
          <w:color w:val="111111"/>
          <w:sz w:val="28"/>
          <w:szCs w:val="28"/>
          <w:rtl/>
        </w:rPr>
        <w:t xml:space="preserve">فهرس أسماء الشيعة، ج 12، ص 142 .</w:t>
      </w:r>
    </w:p>
    <w:p>
      <w:pPr>
        <w:pStyle w:val="BookText"/>
      </w:pPr>
      <w:r>
        <w:rPr>
          <w:rFonts w:ascii="Amiri" w:hAnsi="Amiri" w:eastAsia="Amiri" w:cs="Amiri"/>
          <w:lang w:bidi="ar-SA"/>
          <w:color w:val="111111"/>
          <w:sz w:val="28"/>
          <w:szCs w:val="28"/>
          <w:rtl/>
        </w:rPr>
        <w:t xml:space="preserve">قمي ، علي بن حسين- ابن بابويه ، علي</w:t>
      </w:r>
    </w:p>
    <w:p>
      <w:pPr>
        <w:pStyle w:val="BookText"/>
      </w:pPr>
      <w:r>
        <w:rPr>
          <w:rFonts w:ascii="Amiri" w:hAnsi="Amiri" w:eastAsia="Amiri" w:cs="Amiri"/>
          <w:lang w:bidi="ar-SA"/>
          <w:color w:val="111111"/>
          <w:sz w:val="28"/>
          <w:szCs w:val="28"/>
          <w:rtl/>
        </w:rPr>
        <w:t xml:space="preserve">بن حسين</w:t>
      </w:r>
    </w:p>
    <w:p>
      <w:pPr>
        <w:pStyle w:val="BookText"/>
      </w:pPr>
      <w:r>
        <w:rPr>
          <w:rFonts w:ascii="IRNazanin" w:hAnsi="IRNazanin" w:eastAsia="IRNazanin" w:cs="IRNazanin"/>
          <w:lang w:bidi="fa-IR"/>
          <w:color w:val="111111"/>
          <w:sz w:val="28"/>
          <w:szCs w:val="28"/>
          <w:rtl/>
        </w:rPr>
        <w:t xml:space="preserve">قمي ، علي بن عبیدالله- منتجب الدين</w:t>
      </w:r>
    </w:p>
    <w:p>
      <w:pPr>
        <w:pStyle w:val="BookText"/>
      </w:pPr>
      <w:r>
        <w:rPr>
          <w:rFonts w:ascii="Amiri" w:hAnsi="Amiri" w:eastAsia="Amiri" w:cs="Amiri"/>
          <w:lang w:bidi="ar-SA"/>
          <w:color w:val="111111"/>
          <w:sz w:val="28"/>
          <w:szCs w:val="28"/>
          <w:rtl/>
        </w:rPr>
        <w:t xml:space="preserve">رازي ، علي بن عبيدالله</w:t>
      </w:r>
    </w:p>
    <w:p>
      <w:pPr>
        <w:pStyle w:val="Heading2"/>
      </w:pPr>
      <w:bookmarkStart w:id="6726" w:name="_Toc5828"/>
      <w:r>
        <w:t>قمي ، عليقلي بن قره ،چغاي 1020 قرن ه-11ه-</w:t>
      </w:r>
      <w:bookmarkEnd w:id="6726"/>
    </w:p>
    <w:p>
      <w:pPr>
        <w:pStyle w:val="BookText"/>
      </w:pPr>
      <w:r>
        <w:rPr>
          <w:rFonts w:ascii="Amiri" w:hAnsi="Amiri" w:eastAsia="Amiri" w:cs="Amiri"/>
          <w:lang w:bidi="ar-SA"/>
          <w:color w:val="111111"/>
          <w:sz w:val="28"/>
          <w:szCs w:val="28"/>
          <w:rtl/>
        </w:rPr>
        <w:t xml:space="preserve">زبور العارفين و براق العاشقين، ج8،</w:t>
      </w:r>
    </w:p>
    <w:p>
      <w:pPr>
        <w:pStyle w:val="BookText"/>
      </w:pPr>
      <w:r>
        <w:rPr>
          <w:rFonts w:ascii="IRNazanin" w:hAnsi="IRNazanin" w:eastAsia="IRNazanin" w:cs="IRNazanin"/>
          <w:lang w:bidi="fa-IR"/>
          <w:color w:val="111111"/>
          <w:sz w:val="28"/>
          <w:szCs w:val="28"/>
          <w:rtl/>
        </w:rPr>
        <w:t xml:space="preserve">ص 598.</w:t>
      </w:r>
    </w:p>
    <w:p>
      <w:pPr>
        <w:pStyle w:val="BookText"/>
      </w:pPr>
      <w:r>
        <w:rPr>
          <w:rFonts w:ascii="Amiri" w:hAnsi="Amiri" w:eastAsia="Amiri" w:cs="Amiri"/>
          <w:lang w:bidi="ar-SA"/>
          <w:color w:val="111111"/>
          <w:sz w:val="28"/>
          <w:szCs w:val="28"/>
          <w:rtl/>
        </w:rPr>
        <w:t xml:space="preserve">قمي ، غلامرضا بن رجبعلي -حاج آخوند قمي ، غلامرضا بن رجبعلي</w:t>
      </w:r>
    </w:p>
    <w:p>
      <w:pPr>
        <w:pStyle w:val="BookText"/>
      </w:pPr>
      <w:r>
        <w:rPr>
          <w:rFonts w:ascii="Amiri" w:hAnsi="Amiri" w:eastAsia="Amiri" w:cs="Amiri"/>
          <w:lang w:bidi="ar-SA"/>
          <w:color w:val="111111"/>
          <w:sz w:val="28"/>
          <w:szCs w:val="28"/>
          <w:rtl/>
        </w:rPr>
        <w:t xml:space="preserve">قمي ، قاضي سعيد- قاضي سعيد قمي</w:t>
      </w:r>
    </w:p>
    <w:p>
      <w:pPr>
        <w:pStyle w:val="BookText"/>
      </w:pPr>
      <w:r>
        <w:rPr>
          <w:rFonts w:ascii="Amiri" w:hAnsi="Amiri" w:eastAsia="Amiri" w:cs="Amiri"/>
          <w:lang w:bidi="ar-SA"/>
          <w:color w:val="111111"/>
          <w:sz w:val="28"/>
          <w:szCs w:val="28"/>
          <w:rtl/>
        </w:rPr>
        <w:t xml:space="preserve">محمّد سعيد بن محمّد مفيد</w:t>
      </w:r>
    </w:p>
    <w:p>
      <w:pPr>
        <w:pStyle w:val="BookText"/>
      </w:pPr>
      <w:r>
        <w:rPr>
          <w:rFonts w:ascii="Amiri" w:hAnsi="Amiri" w:eastAsia="Amiri" w:cs="Amiri"/>
          <w:lang w:bidi="ar-SA"/>
          <w:color w:val="111111"/>
          <w:sz w:val="28"/>
          <w:szCs w:val="28"/>
          <w:rtl/>
        </w:rPr>
        <w:t xml:space="preserve">قمي ، محمّد بن احمد -ابن شاذان ،</w:t>
      </w:r>
    </w:p>
    <w:p>
      <w:pPr>
        <w:pStyle w:val="BookText"/>
      </w:pPr>
      <w:r>
        <w:rPr>
          <w:rFonts w:ascii="IRNazanin" w:hAnsi="IRNazanin" w:eastAsia="IRNazanin" w:cs="IRNazanin"/>
          <w:lang w:bidi="fa-IR"/>
          <w:color w:val="111111"/>
          <w:sz w:val="28"/>
          <w:szCs w:val="28"/>
          <w:rtl/>
        </w:rPr>
        <w:t xml:space="preserve">محمّد بن احمد</w:t>
      </w:r>
    </w:p>
    <w:p>
      <w:pPr>
        <w:pStyle w:val="BookText"/>
      </w:pPr>
      <w:r>
        <w:rPr>
          <w:rFonts w:ascii="Amiri" w:hAnsi="Amiri" w:eastAsia="Amiri" w:cs="Amiri"/>
          <w:lang w:bidi="ar-SA"/>
          <w:color w:val="111111"/>
          <w:sz w:val="28"/>
          <w:szCs w:val="28"/>
          <w:rtl/>
        </w:rPr>
        <w:t xml:space="preserve">قمي ، محمّد بن جعفر- ابن بطه ، محمّد</w:t>
      </w:r>
    </w:p>
    <w:p>
      <w:pPr>
        <w:pStyle w:val="BookText"/>
      </w:pPr>
      <w:r>
        <w:rPr>
          <w:rFonts w:ascii="IRNazanin" w:hAnsi="IRNazanin" w:eastAsia="IRNazanin" w:cs="IRNazanin"/>
          <w:lang w:bidi="fa-IR"/>
          <w:color w:val="111111"/>
          <w:sz w:val="28"/>
          <w:szCs w:val="28"/>
          <w:rtl/>
        </w:rPr>
        <w:t xml:space="preserve">بن جعفر</w:t>
      </w:r>
    </w:p>
    <w:p>
      <w:pPr>
        <w:pStyle w:val="Heading2"/>
      </w:pPr>
      <w:bookmarkStart w:id="6727" w:name="_Toc5829"/>
      <w:r>
        <w:t>قمي ، محمّد حسين بن بهاء الدين محمّد</w:t>
      </w:r>
      <w:bookmarkEnd w:id="6727"/>
    </w:p>
    <w:p>
      <w:pPr>
        <w:pStyle w:val="BookText"/>
      </w:pPr>
      <w:r>
        <w:rPr>
          <w:rFonts w:ascii="IRNazanin" w:hAnsi="IRNazanin" w:eastAsia="IRNazanin" w:cs="IRNazanin"/>
          <w:lang w:bidi="fa-IR"/>
          <w:color w:val="111111"/>
          <w:sz w:val="28"/>
          <w:szCs w:val="28"/>
          <w:rtl/>
        </w:rPr>
        <w:t xml:space="preserve">قرن 13 ه-</w:t>
      </w:r>
    </w:p>
    <w:p>
      <w:pPr>
        <w:pStyle w:val="BookText"/>
      </w:pPr>
      <w:r>
        <w:rPr>
          <w:rFonts w:ascii="Amiri" w:hAnsi="Amiri" w:eastAsia="Amiri" w:cs="Amiri"/>
          <w:lang w:bidi="ar-SA"/>
          <w:color w:val="111111"/>
          <w:sz w:val="28"/>
          <w:szCs w:val="28"/>
          <w:rtl/>
        </w:rPr>
        <w:t xml:space="preserve">توضيح القوانين، ج5، ص179.</w:t>
      </w:r>
    </w:p>
    <w:p>
      <w:pPr>
        <w:pStyle w:val="Heading2"/>
      </w:pPr>
      <w:bookmarkStart w:id="6728" w:name="_Toc5830"/>
      <w:r>
        <w:t>قمي ، محمّد طاهر بن محمّد حسين .</w:t>
      </w:r>
      <w:bookmarkEnd w:id="6728"/>
    </w:p>
    <w:p>
      <w:pPr>
        <w:pStyle w:val="BookText"/>
      </w:pPr>
      <w:r>
        <w:rPr>
          <w:rFonts w:ascii="IRNazanin" w:hAnsi="IRNazanin" w:eastAsia="IRNazanin" w:cs="IRNazanin"/>
          <w:lang w:bidi="fa-IR"/>
          <w:color w:val="111111"/>
          <w:sz w:val="28"/>
          <w:szCs w:val="28"/>
          <w:rtl/>
        </w:rPr>
        <w:t xml:space="preserve">1098ه-</w:t>
      </w:r>
    </w:p>
    <w:p>
      <w:pPr>
        <w:pStyle w:val="BookText"/>
      </w:pPr>
      <w:r>
        <w:rPr>
          <w:rFonts w:ascii="Amiri" w:hAnsi="Amiri" w:eastAsia="Amiri" w:cs="Amiri"/>
          <w:lang w:bidi="ar-SA"/>
          <w:color w:val="111111"/>
          <w:sz w:val="28"/>
          <w:szCs w:val="28"/>
          <w:rtl/>
        </w:rPr>
        <w:t xml:space="preserve">1 .الاربعين في امامة الائمة الطاهرين</w:t>
      </w:r>
    </w:p>
    <w:p>
      <w:pPr>
        <w:pStyle w:val="BookText"/>
      </w:pPr>
      <w:r>
        <w:rPr>
          <w:rFonts w:ascii="IRNazanin" w:hAnsi="IRNazanin" w:eastAsia="IRNazanin" w:cs="IRNazanin"/>
          <w:lang w:bidi="fa-IR"/>
          <w:color w:val="111111"/>
          <w:sz w:val="28"/>
          <w:szCs w:val="28"/>
          <w:rtl/>
        </w:rPr>
        <w:t xml:space="preserve">ج 1، ص 744 .</w:t>
      </w:r>
    </w:p>
    <w:p>
      <w:pPr>
        <w:pStyle w:val="BookText"/>
      </w:pPr>
      <w:r>
        <w:rPr>
          <w:rFonts w:ascii="IRNazanin" w:hAnsi="IRNazanin" w:eastAsia="IRNazanin" w:cs="IRNazanin"/>
          <w:lang w:bidi="fa-IR"/>
          <w:color w:val="111111"/>
          <w:sz w:val="28"/>
          <w:szCs w:val="28"/>
          <w:rtl/>
        </w:rPr>
        <w:t xml:space="preserve">2 .تحفة الاخیار در شرح مونس الابرار</w:t>
      </w:r>
    </w:p>
    <w:p>
      <w:pPr>
        <w:pStyle w:val="BookText"/>
      </w:pPr>
      <w:r>
        <w:rPr>
          <w:rFonts w:ascii="IRNazanin" w:hAnsi="IRNazanin" w:eastAsia="IRNazanin" w:cs="IRNazanin"/>
          <w:lang w:bidi="fa-IR"/>
          <w:color w:val="111111"/>
          <w:sz w:val="28"/>
          <w:szCs w:val="28"/>
          <w:rtl/>
        </w:rPr>
        <w:t xml:space="preserve">ج 3، ص 792 .</w:t>
      </w:r>
    </w:p>
    <w:p>
      <w:pPr>
        <w:pStyle w:val="BookText"/>
      </w:pPr>
      <w:r>
        <w:rPr>
          <w:rFonts w:ascii="Amiri" w:hAnsi="Amiri" w:eastAsia="Amiri" w:cs="Amiri"/>
          <w:lang w:bidi="ar-SA"/>
          <w:color w:val="111111"/>
          <w:sz w:val="28"/>
          <w:szCs w:val="28"/>
          <w:rtl/>
        </w:rPr>
        <w:t xml:space="preserve">3 .تنبيه الراقدين في ايقاظ النفس بذكر</w:t>
      </w:r>
    </w:p>
    <w:p>
      <w:pPr>
        <w:pStyle w:val="BookText"/>
      </w:pPr>
      <w:r>
        <w:rPr>
          <w:rFonts w:ascii="Amiri" w:hAnsi="Amiri" w:eastAsia="Amiri" w:cs="Amiri"/>
          <w:lang w:bidi="ar-SA"/>
          <w:color w:val="111111"/>
          <w:sz w:val="28"/>
          <w:szCs w:val="28"/>
          <w:rtl/>
        </w:rPr>
        <w:t xml:space="preserve">الموت و الرحيل، ج 5، ص 27 .</w:t>
      </w:r>
    </w:p>
    <w:p>
      <w:pPr>
        <w:pStyle w:val="BookText"/>
      </w:pPr>
      <w:r>
        <w:rPr>
          <w:rFonts w:ascii="Amiri" w:hAnsi="Amiri" w:eastAsia="Amiri" w:cs="Amiri"/>
          <w:lang w:bidi="ar-SA"/>
          <w:color w:val="111111"/>
          <w:sz w:val="28"/>
          <w:szCs w:val="28"/>
          <w:rtl/>
        </w:rPr>
        <w:t xml:space="preserve">4 .تنبيه الراقدين في ايقاظ النفس بذكر الموت والرحيل (ترجمه)، ج5،</w:t>
      </w:r>
    </w:p>
    <w:p>
      <w:pPr>
        <w:pStyle w:val="BookText"/>
      </w:pPr>
      <w:r>
        <w:rPr>
          <w:rFonts w:ascii="IRNazanin" w:hAnsi="IRNazanin" w:eastAsia="IRNazanin" w:cs="IRNazanin"/>
          <w:lang w:bidi="fa-IR"/>
          <w:color w:val="111111"/>
          <w:sz w:val="28"/>
          <w:szCs w:val="28"/>
          <w:rtl/>
        </w:rPr>
        <w:t xml:space="preserve">ص 28.</w:t>
      </w:r>
    </w:p>
    <w:p>
      <w:pPr>
        <w:pStyle w:val="BookText"/>
      </w:pPr>
      <w:r>
        <w:rPr>
          <w:rFonts w:ascii="Amiri" w:hAnsi="Amiri" w:eastAsia="Amiri" w:cs="Amiri"/>
          <w:lang w:bidi="ar-SA"/>
          <w:color w:val="111111"/>
          <w:sz w:val="28"/>
          <w:szCs w:val="28"/>
          <w:rtl/>
        </w:rPr>
        <w:t xml:space="preserve">5 .حجة الاسلام في شرح تهذيب الاحكام، ج6، ص 481.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892" w:name="pg7742_71067"/>
    <w:bookmarkEnd w:id="892"/>
    <w:p>
      <w:pPr>
        <w:pStyle w:val="BookText"/>
      </w:pPr>
      <w:r>
        <w:rPr>
          <w:rFonts w:ascii="Amiri" w:hAnsi="Amiri" w:eastAsia="Amiri" w:cs="Amiri"/>
          <w:lang w:bidi="ar-SA"/>
          <w:color w:val="111111"/>
          <w:sz w:val="28"/>
          <w:szCs w:val="28"/>
          <w:rtl/>
        </w:rPr>
        <w:t xml:space="preserve">6 .حق اليقين في اصول الدين ج6،</w:t>
      </w:r>
    </w:p>
    <w:p>
      <w:pPr>
        <w:pStyle w:val="BookText"/>
      </w:pPr>
      <w:r>
        <w:rPr>
          <w:rFonts w:ascii="IRNazanin" w:hAnsi="IRNazanin" w:eastAsia="IRNazanin" w:cs="IRNazanin"/>
          <w:lang w:bidi="fa-IR"/>
          <w:color w:val="111111"/>
          <w:sz w:val="28"/>
          <w:szCs w:val="28"/>
          <w:rtl/>
        </w:rPr>
        <w:t xml:space="preserve">ص 700.</w:t>
      </w:r>
    </w:p>
    <w:p>
      <w:pPr>
        <w:pStyle w:val="BookText"/>
      </w:pPr>
      <w:r>
        <w:rPr>
          <w:rFonts w:ascii="Amiri" w:hAnsi="Amiri" w:eastAsia="Amiri" w:cs="Amiri"/>
          <w:lang w:bidi="ar-SA"/>
          <w:color w:val="111111"/>
          <w:sz w:val="28"/>
          <w:szCs w:val="28"/>
          <w:rtl/>
        </w:rPr>
        <w:t xml:space="preserve">7.حكمة العارفين في دفع شبهة المخالفين، ج 6 ، ص 744.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السلامية، ج8، ص800</w:t>
      </w:r>
    </w:p>
    <w:p>
      <w:pPr>
        <w:pStyle w:val="BookText"/>
      </w:pPr>
      <w:r>
        <w:rPr>
          <w:rFonts w:ascii="Amiri" w:hAnsi="Amiri" w:eastAsia="Amiri" w:cs="Amiri"/>
          <w:lang w:bidi="ar-SA"/>
          <w:color w:val="111111"/>
          <w:sz w:val="28"/>
          <w:szCs w:val="28"/>
          <w:rtl/>
        </w:rPr>
        <w:t xml:space="preserve">9 .مباحثة النفس = تذكرة الواعظين = مجادلة النفس، ج13، ص713.</w:t>
      </w:r>
    </w:p>
    <w:p>
      <w:pPr>
        <w:pStyle w:val="BookText"/>
      </w:pPr>
      <w:r>
        <w:rPr>
          <w:rFonts w:ascii="IRNazanin" w:hAnsi="IRNazanin" w:eastAsia="IRNazanin" w:cs="IRNazanin"/>
          <w:lang w:bidi="fa-IR"/>
          <w:color w:val="111111"/>
          <w:sz w:val="28"/>
          <w:szCs w:val="28"/>
          <w:rtl/>
        </w:rPr>
        <w:t xml:space="preserve">10 .مونس الابرار، ج 16، ص 54.</w:t>
      </w:r>
    </w:p>
    <w:p>
      <w:pPr>
        <w:pStyle w:val="Heading2"/>
      </w:pPr>
      <w:bookmarkStart w:id="6729" w:name="_Toc5831"/>
      <w:r>
        <w:t>قمي ، محمّد علي محمّود</w:t>
      </w:r>
      <w:bookmarkEnd w:id="6729"/>
    </w:p>
    <w:p>
      <w:pPr>
        <w:pStyle w:val="BookText"/>
      </w:pPr>
      <w:r>
        <w:rPr>
          <w:rFonts w:ascii="Amiri" w:hAnsi="Amiri" w:eastAsia="Amiri" w:cs="Amiri"/>
          <w:lang w:bidi="ar-SA"/>
          <w:color w:val="111111"/>
          <w:sz w:val="28"/>
          <w:szCs w:val="28"/>
          <w:rtl/>
        </w:rPr>
        <w:t xml:space="preserve">فوائد عامة، ج 12، ص 243.</w:t>
      </w:r>
    </w:p>
    <w:p>
      <w:pPr>
        <w:pStyle w:val="Heading2"/>
      </w:pPr>
      <w:bookmarkStart w:id="6730" w:name="_Toc5832"/>
      <w:r>
        <w:t>قمي مشهدي ، محمّد بن محمّد رضا</w:t>
      </w:r>
      <w:bookmarkEnd w:id="6730"/>
    </w:p>
    <w:p>
      <w:pPr>
        <w:pStyle w:val="BookText"/>
      </w:pPr>
      <w:r>
        <w:rPr>
          <w:rFonts w:ascii="IRNazanin" w:hAnsi="IRNazanin" w:eastAsia="IRNazanin" w:cs="IRNazanin"/>
          <w:lang w:bidi="fa-IR"/>
          <w:color w:val="111111"/>
          <w:sz w:val="28"/>
          <w:szCs w:val="28"/>
          <w:rtl/>
        </w:rPr>
        <w:t xml:space="preserve">1107 ه-</w:t>
      </w:r>
    </w:p>
    <w:p>
      <w:pPr>
        <w:pStyle w:val="BookText"/>
      </w:pPr>
      <w:r>
        <w:rPr>
          <w:rFonts w:ascii="Amiri" w:hAnsi="Amiri" w:eastAsia="Amiri" w:cs="Amiri"/>
          <w:lang w:bidi="ar-SA"/>
          <w:color w:val="111111"/>
          <w:sz w:val="28"/>
          <w:szCs w:val="28"/>
          <w:rtl/>
        </w:rPr>
        <w:t xml:space="preserve">1 .سلّم درجات الجنة في معرفة أبي الائمة (ع) = الأربعون حديثاً في فضائل أمير المؤمنين (ع)، ج8،</w:t>
      </w:r>
    </w:p>
    <w:p>
      <w:pPr>
        <w:pStyle w:val="BookText"/>
      </w:pPr>
      <w:r>
        <w:rPr>
          <w:rFonts w:ascii="IRNazanin" w:hAnsi="IRNazanin" w:eastAsia="IRNazanin" w:cs="IRNazanin"/>
          <w:lang w:bidi="fa-IR"/>
          <w:color w:val="111111"/>
          <w:sz w:val="28"/>
          <w:szCs w:val="28"/>
          <w:rtl/>
        </w:rPr>
        <w:t xml:space="preserve">ص 812.</w:t>
      </w:r>
    </w:p>
    <w:p>
      <w:pPr>
        <w:pStyle w:val="BookText"/>
      </w:pPr>
      <w:r>
        <w:rPr>
          <w:rFonts w:ascii="IRNazanin" w:hAnsi="IRNazanin" w:eastAsia="IRNazanin" w:cs="IRNazanin"/>
          <w:lang w:bidi="fa-IR"/>
          <w:color w:val="111111"/>
          <w:sz w:val="28"/>
          <w:szCs w:val="28"/>
          <w:rtl/>
        </w:rPr>
        <w:t xml:space="preserve">2 .شرح زیارت رجبية، ج 9، ص 581.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كنز الدقائق و بحر الغرائب = كنز الحقائق و بحر الدقائق، ج13،</w:t>
      </w:r>
    </w:p>
    <w:p>
      <w:pPr>
        <w:pStyle w:val="BookText"/>
      </w:pPr>
      <w:r>
        <w:rPr>
          <w:rFonts w:ascii="IRNazanin" w:hAnsi="IRNazanin" w:eastAsia="IRNazanin" w:cs="IRNazanin"/>
          <w:lang w:bidi="fa-IR"/>
          <w:color w:val="111111"/>
          <w:sz w:val="28"/>
          <w:szCs w:val="28"/>
          <w:rtl/>
        </w:rPr>
        <w:t xml:space="preserve">ص 416.</w:t>
      </w:r>
    </w:p>
    <w:p>
      <w:pPr>
        <w:pStyle w:val="Heading2"/>
      </w:pPr>
      <w:bookmarkStart w:id="6731" w:name="_Toc5833"/>
      <w:r>
        <w:t>قمي ، مهدي بن عليرضا</w:t>
      </w:r>
      <w:bookmarkEnd w:id="6731"/>
    </w:p>
    <w:p>
      <w:pPr>
        <w:pStyle w:val="BookText"/>
      </w:pPr>
      <w:r>
        <w:rPr>
          <w:rFonts w:ascii="Amiri" w:hAnsi="Amiri" w:eastAsia="Amiri" w:cs="Amiri"/>
          <w:lang w:bidi="ar-SA"/>
          <w:color w:val="111111"/>
          <w:sz w:val="28"/>
          <w:szCs w:val="28"/>
          <w:rtl/>
        </w:rPr>
        <w:t xml:space="preserve">نسب النبي (ص)، ج 16، ص 273.</w:t>
      </w:r>
    </w:p>
    <w:p>
      <w:pPr>
        <w:pStyle w:val="BookText"/>
      </w:pPr>
      <w:r>
        <w:rPr>
          <w:rFonts w:ascii="IRNazanin" w:hAnsi="IRNazanin" w:eastAsia="IRNazanin" w:cs="IRNazanin"/>
          <w:lang w:bidi="fa-IR"/>
          <w:color w:val="111111"/>
          <w:sz w:val="28"/>
          <w:szCs w:val="28"/>
          <w:rtl/>
        </w:rPr>
        <w:t xml:space="preserve">1394ه-</w:t>
      </w:r>
    </w:p>
    <w:p>
      <w:pPr>
        <w:pStyle w:val="Heading2"/>
      </w:pPr>
      <w:bookmarkStart w:id="6732" w:name="_Toc5834"/>
      <w:r>
        <w:t>قمي ، ميرزا مسيح</w:t>
      </w:r>
      <w:bookmarkEnd w:id="6732"/>
    </w:p>
    <w:p>
      <w:pPr>
        <w:pStyle w:val="BookText"/>
      </w:pPr>
      <w:r>
        <w:rPr>
          <w:rFonts w:ascii="Amiri" w:hAnsi="Amiri" w:eastAsia="Amiri" w:cs="Amiri"/>
          <w:lang w:bidi="ar-SA"/>
          <w:color w:val="111111"/>
          <w:sz w:val="28"/>
          <w:szCs w:val="28"/>
          <w:rtl/>
        </w:rPr>
        <w:t xml:space="preserve">القصيدة النونية، ج 12، ص723.</w:t>
      </w:r>
    </w:p>
    <w:p>
      <w:pPr>
        <w:pStyle w:val="BookText"/>
      </w:pPr>
      <w:r>
        <w:rPr>
          <w:rFonts w:ascii="Amiri" w:hAnsi="Amiri" w:eastAsia="Amiri" w:cs="Amiri"/>
          <w:lang w:bidi="ar-SA"/>
          <w:color w:val="111111"/>
          <w:sz w:val="28"/>
          <w:szCs w:val="28"/>
          <w:rtl/>
        </w:rPr>
        <w:t xml:space="preserve">قمي ، نورالدين علي -منعل قمي ، علي بن علي</w:t>
      </w:r>
    </w:p>
    <w:p>
      <w:pPr>
        <w:pStyle w:val="BookText"/>
      </w:pPr>
      <w:r>
        <w:rPr>
          <w:rFonts w:ascii="Amiri" w:hAnsi="Amiri" w:eastAsia="Amiri" w:cs="Amiri"/>
          <w:lang w:bidi="ar-SA"/>
          <w:color w:val="111111"/>
          <w:sz w:val="28"/>
          <w:szCs w:val="28"/>
          <w:rtl/>
        </w:rPr>
        <w:t xml:space="preserve">قمي نيشابوري ، حسن بن محمّد- نظام</w:t>
      </w:r>
    </w:p>
    <w:p>
      <w:pPr>
        <w:pStyle w:val="BookText"/>
      </w:pPr>
      <w:r>
        <w:rPr>
          <w:rFonts w:ascii="IRNazanin" w:hAnsi="IRNazanin" w:eastAsia="IRNazanin" w:cs="IRNazanin"/>
          <w:lang w:bidi="fa-IR"/>
          <w:color w:val="111111"/>
          <w:sz w:val="28"/>
          <w:szCs w:val="28"/>
          <w:rtl/>
        </w:rPr>
        <w:t xml:space="preserve">الاعرج ، حسن بن محمّد</w:t>
      </w:r>
    </w:p>
    <w:p>
      <w:pPr>
        <w:pStyle w:val="Heading2"/>
      </w:pPr>
      <w:bookmarkStart w:id="6733" w:name="_Toc5835"/>
      <w:r>
        <w:t>قمي ، هدایت الله بن رضا، قرن 13 ه-</w:t>
      </w:r>
      <w:bookmarkEnd w:id="6733"/>
    </w:p>
    <w:p>
      <w:pPr>
        <w:pStyle w:val="BookText"/>
      </w:pPr>
      <w:r>
        <w:rPr>
          <w:rFonts w:ascii="Amiri" w:hAnsi="Amiri" w:eastAsia="Amiri" w:cs="Amiri"/>
          <w:lang w:bidi="ar-SA"/>
          <w:color w:val="111111"/>
          <w:sz w:val="28"/>
          <w:szCs w:val="28"/>
          <w:rtl/>
        </w:rPr>
        <w:t xml:space="preserve">جوامع الرسائل في تحقيق المسائل = الفروع و الاصول بالدلائل، جه،</w:t>
      </w:r>
    </w:p>
    <w:p>
      <w:pPr>
        <w:pStyle w:val="BookText"/>
      </w:pPr>
      <w:r>
        <w:rPr>
          <w:rFonts w:ascii="IRNazanin" w:hAnsi="IRNazanin" w:eastAsia="IRNazanin" w:cs="IRNazanin"/>
          <w:lang w:bidi="fa-IR"/>
          <w:color w:val="111111"/>
          <w:sz w:val="28"/>
          <w:szCs w:val="28"/>
          <w:rtl/>
        </w:rPr>
        <w:t xml:space="preserve">ص 528.</w:t>
      </w:r>
    </w:p>
    <w:p>
      <w:pPr>
        <w:pStyle w:val="BookText"/>
      </w:pPr>
      <w:r>
        <w:rPr>
          <w:rFonts w:ascii="Amiri" w:hAnsi="Amiri" w:eastAsia="Amiri" w:cs="Amiri"/>
          <w:lang w:bidi="ar-SA"/>
          <w:color w:val="111111"/>
          <w:sz w:val="28"/>
          <w:szCs w:val="28"/>
          <w:rtl/>
        </w:rPr>
        <w:t xml:space="preserve">قمي همداني ، محمّد باقر- همداني</w:t>
      </w:r>
    </w:p>
    <w:p>
      <w:pPr>
        <w:pStyle w:val="BookText"/>
      </w:pPr>
      <w:r>
        <w:rPr>
          <w:rFonts w:ascii="Amiri" w:hAnsi="Amiri" w:eastAsia="Amiri" w:cs="Amiri"/>
          <w:lang w:bidi="ar-SA"/>
          <w:color w:val="111111"/>
          <w:sz w:val="28"/>
          <w:szCs w:val="28"/>
          <w:rtl/>
        </w:rPr>
        <w:t xml:space="preserve">شيخي ، محمّد باقر بن محمّد جعفر</w:t>
      </w:r>
    </w:p>
    <w:p>
      <w:pPr>
        <w:pStyle w:val="Heading2"/>
      </w:pPr>
      <w:bookmarkStart w:id="6734" w:name="_Toc5836"/>
      <w:r>
        <w:t>قنائي ، احمد بن عباد - 859؟ ه-</w:t>
      </w:r>
      <w:bookmarkEnd w:id="6734"/>
    </w:p>
    <w:p>
      <w:pPr>
        <w:pStyle w:val="BookText"/>
      </w:pPr>
      <w:r>
        <w:rPr>
          <w:rFonts w:ascii="Amiri" w:hAnsi="Amiri" w:eastAsia="Amiri" w:cs="Amiri"/>
          <w:lang w:bidi="ar-SA"/>
          <w:color w:val="111111"/>
          <w:sz w:val="28"/>
          <w:szCs w:val="28"/>
          <w:rtl/>
        </w:rPr>
        <w:t xml:space="preserve">الكافي في علمي العروض والقوافي</w:t>
      </w:r>
    </w:p>
    <w:p>
      <w:pPr>
        <w:pStyle w:val="BookText"/>
      </w:pPr>
      <w:r>
        <w:rPr>
          <w:rFonts w:ascii="IRNazanin" w:hAnsi="IRNazanin" w:eastAsia="IRNazanin" w:cs="IRNazanin"/>
          <w:lang w:bidi="fa-IR"/>
          <w:color w:val="111111"/>
          <w:sz w:val="28"/>
          <w:szCs w:val="28"/>
          <w:rtl/>
        </w:rPr>
        <w:t xml:space="preserve">ج13، ص 52.</w:t>
      </w:r>
    </w:p>
    <w:p>
      <w:pPr>
        <w:pStyle w:val="BookText"/>
      </w:pPr>
      <w:r>
        <w:rPr>
          <w:rFonts w:ascii="IRNazanin" w:hAnsi="IRNazanin" w:eastAsia="IRNazanin" w:cs="IRNazanin"/>
          <w:lang w:bidi="fa-IR"/>
          <w:color w:val="111111"/>
          <w:sz w:val="28"/>
          <w:szCs w:val="28"/>
          <w:rtl/>
        </w:rPr>
        <w:t xml:space="preserve">قناس ، خالد بن صفوان -خالد بن صفوان</w:t>
      </w:r>
    </w:p>
    <w:p>
      <w:pPr>
        <w:pStyle w:val="BookText"/>
      </w:pPr>
      <w:r>
        <w:rPr>
          <w:rFonts w:ascii="Amiri" w:hAnsi="Amiri" w:eastAsia="Amiri" w:cs="Amiri"/>
          <w:lang w:bidi="ar-SA"/>
          <w:color w:val="111111"/>
          <w:sz w:val="28"/>
          <w:szCs w:val="28"/>
          <w:rtl/>
        </w:rPr>
        <w:t xml:space="preserve">قنالي زاده ، علي بن امر الله -ابن حنائي</w:t>
      </w:r>
    </w:p>
    <w:p>
      <w:pPr>
        <w:pStyle w:val="BookText"/>
      </w:pPr>
      <w:r>
        <w:rPr>
          <w:rFonts w:ascii="Amiri" w:hAnsi="Amiri" w:eastAsia="Amiri" w:cs="Amiri"/>
          <w:lang w:bidi="ar-SA"/>
          <w:color w:val="111111"/>
          <w:sz w:val="28"/>
          <w:szCs w:val="28"/>
          <w:rtl/>
        </w:rPr>
        <w:t xml:space="preserve">علي بن امر الله</w:t>
      </w:r>
    </w:p>
    <w:p>
      <w:pPr>
        <w:pStyle w:val="BookText"/>
      </w:pPr>
      <w:r>
        <w:rPr>
          <w:rFonts w:ascii="Amiri" w:hAnsi="Amiri" w:eastAsia="Amiri" w:cs="Amiri"/>
          <w:lang w:bidi="ar-SA"/>
          <w:color w:val="111111"/>
          <w:sz w:val="28"/>
          <w:szCs w:val="28"/>
          <w:rtl/>
        </w:rPr>
        <w:t xml:space="preserve">قناوي ، مصطفى بن محمّد -حسيني ،</w:t>
      </w:r>
    </w:p>
    <w:p>
      <w:pPr>
        <w:pStyle w:val="BookText"/>
      </w:pPr>
      <w:r>
        <w:rPr>
          <w:rFonts w:ascii="IRNazanin" w:hAnsi="IRNazanin" w:eastAsia="IRNazanin" w:cs="IRNazanin"/>
          <w:lang w:bidi="fa-IR"/>
          <w:color w:val="111111"/>
          <w:sz w:val="28"/>
          <w:szCs w:val="28"/>
          <w:rtl/>
        </w:rPr>
        <w:t xml:space="preserve">مصطفى بن محمّد</w:t>
      </w:r>
    </w:p>
    <w:p>
      <w:pPr>
        <w:pStyle w:val="Heading2"/>
      </w:pPr>
      <w:bookmarkStart w:id="6735" w:name="_Toc5837"/>
      <w:r>
        <w:t>قندوزي ، سليمان بن ابراهيم 1220 -</w:t>
      </w:r>
      <w:bookmarkEnd w:id="6735"/>
    </w:p>
    <w:p>
      <w:pPr>
        <w:pStyle w:val="BookText"/>
      </w:pPr>
      <w:r>
        <w:rPr>
          <w:rFonts w:ascii="IRNazanin" w:hAnsi="IRNazanin" w:eastAsia="IRNazanin" w:cs="IRNazanin"/>
          <w:lang w:bidi="fa-IR"/>
          <w:color w:val="111111"/>
          <w:sz w:val="28"/>
          <w:szCs w:val="28"/>
          <w:rtl/>
        </w:rPr>
        <w:t xml:space="preserve">تعب الاوان، ج 4، ص 452.</w:t>
      </w:r>
    </w:p>
    <w:p>
      <w:pPr>
        <w:pStyle w:val="Heading2"/>
      </w:pPr>
      <w:bookmarkStart w:id="6736" w:name="_Toc5838"/>
      <w:r>
        <w:t>قنوجي ، محمّد امجد</w:t>
      </w:r>
      <w:bookmarkEnd w:id="6736"/>
    </w:p>
    <w:p>
      <w:pPr>
        <w:pStyle w:val="BookText"/>
      </w:pPr>
      <w:r>
        <w:rPr>
          <w:rFonts w:ascii="Amiri" w:hAnsi="Amiri" w:eastAsia="Amiri" w:cs="Amiri"/>
          <w:lang w:bidi="ar-SA"/>
          <w:color w:val="111111"/>
          <w:sz w:val="28"/>
          <w:szCs w:val="28"/>
          <w:rtl/>
        </w:rPr>
        <w:t xml:space="preserve">1 .حاشية النظام، ج6، ص 439.</w:t>
      </w:r>
    </w:p>
    <w:p>
      <w:pPr>
        <w:pStyle w:val="BookText"/>
      </w:pPr>
      <w:r>
        <w:rPr>
          <w:rFonts w:ascii="Amiri" w:hAnsi="Amiri" w:eastAsia="Amiri" w:cs="Amiri"/>
          <w:lang w:bidi="ar-SA"/>
          <w:color w:val="111111"/>
          <w:sz w:val="28"/>
          <w:szCs w:val="28"/>
          <w:rtl/>
        </w:rPr>
        <w:t xml:space="preserve">2 .حاشية شرح الهداية الاثيرية، ج 6،</w:t>
      </w:r>
    </w:p>
    <w:p>
      <w:pPr>
        <w:pStyle w:val="BookText"/>
      </w:pPr>
      <w:r>
        <w:rPr>
          <w:rFonts w:ascii="IRNazanin" w:hAnsi="IRNazanin" w:eastAsia="IRNazanin" w:cs="IRNazanin"/>
          <w:lang w:bidi="fa-IR"/>
          <w:color w:val="111111"/>
          <w:sz w:val="28"/>
          <w:szCs w:val="28"/>
          <w:rtl/>
        </w:rPr>
        <w:t xml:space="preserve">ص 213.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893" w:name="pg7742_71069"/>
    <w:bookmarkEnd w:id="893"/>
    <w:p>
      <w:pPr>
        <w:pStyle w:val="Heading2"/>
      </w:pPr>
      <w:bookmarkStart w:id="6737" w:name="_Toc5839"/>
      <w:r>
        <w:t>قنوي ، خليل بن محمّد - 1324 ه-</w:t>
      </w:r>
      <w:bookmarkEnd w:id="6737"/>
    </w:p>
    <w:p>
      <w:pPr>
        <w:pStyle w:val="BookText"/>
      </w:pPr>
      <w:r>
        <w:rPr>
          <w:rFonts w:ascii="Amiri" w:hAnsi="Amiri" w:eastAsia="Amiri" w:cs="Amiri"/>
          <w:lang w:bidi="ar-SA"/>
          <w:color w:val="111111"/>
          <w:sz w:val="28"/>
          <w:szCs w:val="28"/>
          <w:rtl/>
        </w:rPr>
        <w:t xml:space="preserve">شرح الرسالة الولدية في آداب البحث</w:t>
      </w:r>
    </w:p>
    <w:p>
      <w:pPr>
        <w:pStyle w:val="BookText"/>
      </w:pPr>
      <w:r>
        <w:rPr>
          <w:rFonts w:ascii="Amiri" w:hAnsi="Amiri" w:eastAsia="Amiri" w:cs="Amiri"/>
          <w:lang w:bidi="ar-SA"/>
          <w:color w:val="111111"/>
          <w:sz w:val="28"/>
          <w:szCs w:val="28"/>
          <w:rtl/>
        </w:rPr>
        <w:t xml:space="preserve">و المناظرة، ج 9، ص 569.</w:t>
      </w:r>
    </w:p>
    <w:p>
      <w:pPr>
        <w:pStyle w:val="Heading2"/>
      </w:pPr>
      <w:bookmarkStart w:id="6738" w:name="_Toc5840"/>
      <w:r>
        <w:t>قنوي ، عبدالله</w:t>
      </w:r>
      <w:bookmarkEnd w:id="6738"/>
    </w:p>
    <w:p>
      <w:pPr>
        <w:pStyle w:val="BookText"/>
      </w:pPr>
      <w:r>
        <w:rPr>
          <w:rFonts w:ascii="Amiri" w:hAnsi="Amiri" w:eastAsia="Amiri" w:cs="Amiri"/>
          <w:lang w:bidi="ar-SA"/>
          <w:color w:val="111111"/>
          <w:sz w:val="28"/>
          <w:szCs w:val="28"/>
          <w:rtl/>
        </w:rPr>
        <w:t xml:space="preserve">1 .الربع المجيب، ج8، ص 25.</w:t>
      </w:r>
    </w:p>
    <w:p>
      <w:pPr>
        <w:pStyle w:val="BookText"/>
      </w:pPr>
      <w:r>
        <w:rPr>
          <w:rFonts w:ascii="Amiri" w:hAnsi="Amiri" w:eastAsia="Amiri" w:cs="Amiri"/>
          <w:lang w:bidi="ar-SA"/>
          <w:color w:val="111111"/>
          <w:sz w:val="28"/>
          <w:szCs w:val="28"/>
          <w:rtl/>
        </w:rPr>
        <w:t xml:space="preserve">2 .معرفة الساعة، ج 15 ، ص 58.</w:t>
      </w:r>
    </w:p>
    <w:p>
      <w:pPr>
        <w:pStyle w:val="Heading2"/>
      </w:pPr>
      <w:bookmarkStart w:id="6739" w:name="_Toc5841"/>
      <w:r>
        <w:t>قهپائي ، عناية الله بن علي، قرن 11 ه-</w:t>
      </w:r>
      <w:bookmarkEnd w:id="67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ترتيب رجال الكشي، ج4، ص 239.</w:t>
      </w:r>
    </w:p>
    <w:p>
      <w:pPr>
        <w:pStyle w:val="BookText"/>
      </w:pPr>
      <w:r>
        <w:rPr>
          <w:rFonts w:ascii="Amiri" w:hAnsi="Amiri" w:eastAsia="Amiri" w:cs="Amiri"/>
          <w:lang w:bidi="ar-SA"/>
          <w:color w:val="111111"/>
          <w:sz w:val="28"/>
          <w:szCs w:val="28"/>
          <w:rtl/>
        </w:rPr>
        <w:t xml:space="preserve">2 .ترتيب رجال النجاشي، ج 4، ص 241.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مجمع الرجال في معرفة احوال</w:t>
      </w:r>
    </w:p>
    <w:p>
      <w:pPr>
        <w:pStyle w:val="BookText"/>
      </w:pPr>
      <w:r>
        <w:rPr>
          <w:rFonts w:ascii="IRNazanin" w:hAnsi="IRNazanin" w:eastAsia="IRNazanin" w:cs="IRNazanin"/>
          <w:lang w:bidi="fa-IR"/>
          <w:color w:val="111111"/>
          <w:sz w:val="28"/>
          <w:szCs w:val="28"/>
          <w:rtl/>
        </w:rPr>
        <w:t xml:space="preserve">الرجال، ج 13، ص 851</w:t>
      </w:r>
    </w:p>
    <w:p>
      <w:pPr>
        <w:pStyle w:val="BookText"/>
      </w:pPr>
      <w:r>
        <w:rPr>
          <w:rFonts w:ascii="Amiri" w:hAnsi="Amiri" w:eastAsia="Amiri" w:cs="Amiri"/>
          <w:lang w:bidi="ar-SA"/>
          <w:color w:val="111111"/>
          <w:sz w:val="28"/>
          <w:szCs w:val="28"/>
          <w:rtl/>
        </w:rPr>
        <w:t xml:space="preserve">قهباني ، محمّد سعيد بن قاسم- طباطبائي</w:t>
      </w:r>
    </w:p>
    <w:p>
      <w:pPr>
        <w:pStyle w:val="BookText"/>
      </w:pPr>
      <w:r>
        <w:rPr>
          <w:rFonts w:ascii="Amiri" w:hAnsi="Amiri" w:eastAsia="Amiri" w:cs="Amiri"/>
          <w:lang w:bidi="ar-SA"/>
          <w:color w:val="111111"/>
          <w:sz w:val="28"/>
          <w:szCs w:val="28"/>
          <w:rtl/>
        </w:rPr>
        <w:t xml:space="preserve">، محمّد سعيد بن قاسم</w:t>
      </w:r>
    </w:p>
    <w:p>
      <w:pPr>
        <w:pStyle w:val="BookText"/>
      </w:pPr>
      <w:r>
        <w:rPr>
          <w:rFonts w:ascii="Amiri" w:hAnsi="Amiri" w:eastAsia="Amiri" w:cs="Amiri"/>
          <w:lang w:bidi="ar-SA"/>
          <w:color w:val="111111"/>
          <w:sz w:val="28"/>
          <w:szCs w:val="28"/>
          <w:rtl/>
        </w:rPr>
        <w:t xml:space="preserve">قهباني هرندي، بديع الزمان- هرندي</w:t>
      </w:r>
    </w:p>
    <w:p>
      <w:pPr>
        <w:pStyle w:val="BookText"/>
      </w:pPr>
      <w:r>
        <w:rPr>
          <w:rFonts w:ascii="Amiri" w:hAnsi="Amiri" w:eastAsia="Amiri" w:cs="Amiri"/>
          <w:lang w:bidi="ar-SA"/>
          <w:color w:val="111111"/>
          <w:sz w:val="28"/>
          <w:szCs w:val="28"/>
          <w:rtl/>
        </w:rPr>
        <w:t xml:space="preserve">بديع الزمان بن ابي اسحاق</w:t>
      </w:r>
    </w:p>
    <w:p>
      <w:pPr>
        <w:pStyle w:val="Heading2"/>
      </w:pPr>
      <w:bookmarkStart w:id="6740" w:name="_Toc5842"/>
      <w:r>
        <w:t>قهرمان، عبدالحسين بن مصطفى</w:t>
      </w:r>
      <w:bookmarkEnd w:id="6740"/>
    </w:p>
    <w:p>
      <w:pPr>
        <w:pStyle w:val="BookText"/>
      </w:pPr>
      <w:r>
        <w:rPr>
          <w:rFonts w:ascii="Amiri" w:hAnsi="Amiri" w:eastAsia="Amiri" w:cs="Amiri"/>
          <w:lang w:bidi="ar-SA"/>
          <w:color w:val="111111"/>
          <w:sz w:val="28"/>
          <w:szCs w:val="28"/>
          <w:rtl/>
        </w:rPr>
        <w:t xml:space="preserve">الرد على المرتاضين من الصوفية (رسالة</w:t>
      </w:r>
    </w:p>
    <w:p>
      <w:pPr>
        <w:pStyle w:val="BookText"/>
      </w:pPr>
      <w:r>
        <w:rPr>
          <w:rFonts w:ascii="Amiri" w:hAnsi="Amiri" w:eastAsia="Amiri" w:cs="Amiri"/>
          <w:lang w:bidi="ar-SA"/>
          <w:color w:val="111111"/>
          <w:sz w:val="28"/>
          <w:szCs w:val="28"/>
          <w:rtl/>
        </w:rPr>
        <w:t xml:space="preserve">في)، ج 8، ص 102.</w:t>
      </w:r>
    </w:p>
    <w:p>
      <w:pPr>
        <w:pStyle w:val="BookText"/>
      </w:pPr>
      <w:r>
        <w:rPr>
          <w:rFonts w:ascii="Amiri" w:hAnsi="Amiri" w:eastAsia="Amiri" w:cs="Amiri"/>
          <w:lang w:bidi="ar-SA"/>
          <w:color w:val="111111"/>
          <w:sz w:val="28"/>
          <w:szCs w:val="28"/>
          <w:rtl/>
        </w:rPr>
        <w:t xml:space="preserve">قهستاني ، ابن حسام- ابن حسام ، محمّد</w:t>
      </w:r>
    </w:p>
    <w:p>
      <w:pPr>
        <w:pStyle w:val="BookText"/>
      </w:pPr>
      <w:r>
        <w:rPr>
          <w:rFonts w:ascii="Amiri" w:hAnsi="Amiri" w:eastAsia="Amiri" w:cs="Amiri"/>
          <w:lang w:bidi="ar-SA"/>
          <w:color w:val="111111"/>
          <w:sz w:val="28"/>
          <w:szCs w:val="28"/>
          <w:rtl/>
        </w:rPr>
        <w:t xml:space="preserve">بن حسام الدين</w:t>
      </w:r>
    </w:p>
    <w:p>
      <w:pPr>
        <w:pStyle w:val="BookText"/>
      </w:pPr>
      <w:r>
        <w:rPr>
          <w:rFonts w:ascii="Amiri" w:hAnsi="Amiri" w:eastAsia="Amiri" w:cs="Amiri"/>
          <w:lang w:bidi="ar-SA"/>
          <w:color w:val="111111"/>
          <w:sz w:val="28"/>
          <w:szCs w:val="28"/>
          <w:rtl/>
        </w:rPr>
        <w:t xml:space="preserve">قهستاني ، محمّد بن عبدالله- نوربخش</w:t>
      </w:r>
    </w:p>
    <w:p>
      <w:pPr>
        <w:pStyle w:val="BookText"/>
      </w:pPr>
      <w:r>
        <w:rPr>
          <w:rFonts w:ascii="Amiri" w:hAnsi="Amiri" w:eastAsia="Amiri" w:cs="Amiri"/>
          <w:lang w:bidi="ar-SA"/>
          <w:color w:val="111111"/>
          <w:sz w:val="28"/>
          <w:szCs w:val="28"/>
          <w:rtl/>
        </w:rPr>
        <w:t xml:space="preserve">خراساني ، محمّد بن محمّد</w:t>
      </w:r>
    </w:p>
    <w:p>
      <w:pPr>
        <w:pStyle w:val="Heading2"/>
      </w:pPr>
      <w:bookmarkStart w:id="6741" w:name="_Toc5843"/>
      <w:r>
        <w:t>قهوتي ، عطية بن احمد قرن 12 ه-</w:t>
      </w:r>
      <w:bookmarkEnd w:id="6741"/>
    </w:p>
    <w:p>
      <w:pPr>
        <w:pStyle w:val="BookText"/>
      </w:pPr>
      <w:r>
        <w:rPr>
          <w:rFonts w:ascii="Amiri" w:hAnsi="Amiri" w:eastAsia="Amiri" w:cs="Amiri"/>
          <w:lang w:bidi="ar-SA"/>
          <w:color w:val="111111"/>
          <w:sz w:val="28"/>
          <w:szCs w:val="28"/>
          <w:rtl/>
        </w:rPr>
        <w:t xml:space="preserve">1 .فضائل عاشورا (رسالة في)، ج 12، ص 12.</w:t>
      </w:r>
    </w:p>
    <w:p>
      <w:pPr>
        <w:pStyle w:val="BookText"/>
      </w:pPr>
      <w:r>
        <w:rPr>
          <w:rFonts w:ascii="Amiri" w:hAnsi="Amiri" w:eastAsia="Amiri" w:cs="Amiri"/>
          <w:lang w:bidi="ar-SA"/>
          <w:color w:val="111111"/>
          <w:sz w:val="28"/>
          <w:szCs w:val="28"/>
          <w:rtl/>
        </w:rPr>
        <w:t xml:space="preserve">2 .نبذة لطيفة مشتملة على اسئلة و اجوبة في العقائد، ج 16، ص 113.</w:t>
      </w:r>
    </w:p>
    <w:p>
      <w:pPr>
        <w:pStyle w:val="BookText"/>
      </w:pPr>
      <w:r>
        <w:rPr>
          <w:rFonts w:ascii="Amiri" w:hAnsi="Amiri" w:eastAsia="Amiri" w:cs="Amiri"/>
          <w:lang w:bidi="ar-SA"/>
          <w:color w:val="111111"/>
          <w:sz w:val="28"/>
          <w:szCs w:val="28"/>
          <w:rtl/>
        </w:rPr>
        <w:t xml:space="preserve">قهي اصفهاني ، محمّد باقر -همداني</w:t>
      </w:r>
    </w:p>
    <w:p>
      <w:pPr>
        <w:pStyle w:val="BookText"/>
      </w:pPr>
      <w:r>
        <w:rPr>
          <w:rFonts w:ascii="Amiri" w:hAnsi="Amiri" w:eastAsia="Amiri" w:cs="Amiri"/>
          <w:lang w:bidi="ar-SA"/>
          <w:color w:val="111111"/>
          <w:sz w:val="28"/>
          <w:szCs w:val="28"/>
          <w:rtl/>
        </w:rPr>
        <w:t xml:space="preserve">شيخي ، محمّد باقر بن محمّد جعفر</w:t>
      </w:r>
    </w:p>
    <w:p>
      <w:pPr>
        <w:pStyle w:val="Heading2"/>
      </w:pPr>
      <w:bookmarkStart w:id="6742" w:name="_Toc5844"/>
      <w:r>
        <w:t>قوام الدين</w:t>
      </w:r>
      <w:bookmarkEnd w:id="6742"/>
    </w:p>
    <w:p>
      <w:pPr>
        <w:pStyle w:val="BookText"/>
      </w:pPr>
      <w:r>
        <w:rPr>
          <w:rFonts w:ascii="Amiri" w:hAnsi="Amiri" w:eastAsia="Amiri" w:cs="Amiri"/>
          <w:lang w:bidi="ar-SA"/>
          <w:color w:val="111111"/>
          <w:sz w:val="28"/>
          <w:szCs w:val="28"/>
          <w:rtl/>
        </w:rPr>
        <w:t xml:space="preserve">التحفة، ج3، ص770.</w:t>
      </w:r>
    </w:p>
    <w:p>
      <w:pPr>
        <w:pStyle w:val="Heading2"/>
      </w:pPr>
      <w:bookmarkStart w:id="6743" w:name="_Toc5845"/>
      <w:r>
        <w:t>قوام الدین ، احمد</w:t>
      </w:r>
      <w:bookmarkEnd w:id="6743"/>
    </w:p>
    <w:p>
      <w:pPr>
        <w:pStyle w:val="BookText"/>
      </w:pPr>
      <w:r>
        <w:rPr>
          <w:rFonts w:ascii="IRNazanin" w:hAnsi="IRNazanin" w:eastAsia="IRNazanin" w:cs="IRNazanin"/>
          <w:lang w:bidi="fa-IR"/>
          <w:color w:val="111111"/>
          <w:sz w:val="28"/>
          <w:szCs w:val="28"/>
          <w:rtl/>
        </w:rPr>
        <w:t xml:space="preserve">تفسیر قرآن كريم، ج 4، ص 671 .</w:t>
      </w:r>
    </w:p>
    <w:p>
      <w:pPr>
        <w:pStyle w:val="Heading2"/>
      </w:pPr>
      <w:bookmarkStart w:id="6744" w:name="_Toc5846"/>
      <w:r>
        <w:t>قوام السنة ، اسماعيل بن محمّد 457 .</w:t>
      </w:r>
      <w:bookmarkEnd w:id="6744"/>
    </w:p>
    <w:p>
      <w:pPr>
        <w:pStyle w:val="BookText"/>
      </w:pPr>
      <w:r>
        <w:rPr>
          <w:rFonts w:ascii="IRNazanin" w:hAnsi="IRNazanin" w:eastAsia="IRNazanin" w:cs="IRNazanin"/>
          <w:lang w:bidi="fa-IR"/>
          <w:color w:val="111111"/>
          <w:sz w:val="28"/>
          <w:szCs w:val="28"/>
          <w:rtl/>
        </w:rPr>
        <w:t xml:space="preserve">535 ه-</w:t>
      </w:r>
    </w:p>
    <w:p>
      <w:pPr>
        <w:pStyle w:val="BookText"/>
      </w:pPr>
      <w:r>
        <w:rPr>
          <w:rFonts w:ascii="Amiri" w:hAnsi="Amiri" w:eastAsia="Amiri" w:cs="Amiri"/>
          <w:lang w:bidi="ar-SA"/>
          <w:color w:val="111111"/>
          <w:sz w:val="28"/>
          <w:szCs w:val="28"/>
          <w:rtl/>
        </w:rPr>
        <w:t xml:space="preserve">1 .الترغيب والترهيب، ج4، ص308.</w:t>
      </w:r>
    </w:p>
    <w:p>
      <w:pPr>
        <w:pStyle w:val="BookText"/>
      </w:pPr>
      <w:r>
        <w:rPr>
          <w:rFonts w:ascii="Amiri" w:hAnsi="Amiri" w:eastAsia="Amiri" w:cs="Amiri"/>
          <w:lang w:bidi="ar-SA"/>
          <w:color w:val="111111"/>
          <w:sz w:val="28"/>
          <w:szCs w:val="28"/>
          <w:rtl/>
        </w:rPr>
        <w:t xml:space="preserve">2 .سير السلف في تراجم الصحابة و</w:t>
      </w:r>
    </w:p>
    <w:p>
      <w:pPr>
        <w:pStyle w:val="BookText"/>
      </w:pPr>
      <w:r>
        <w:rPr>
          <w:rFonts w:ascii="Amiri" w:hAnsi="Amiri" w:eastAsia="Amiri" w:cs="Amiri"/>
          <w:lang w:bidi="ar-SA"/>
          <w:color w:val="111111"/>
          <w:sz w:val="28"/>
          <w:szCs w:val="28"/>
          <w:rtl/>
        </w:rPr>
        <w:t xml:space="preserve">التابعين، ج9، ص27.</w:t>
      </w:r>
    </w:p>
    <w:p>
      <w:pPr>
        <w:pStyle w:val="BookText"/>
      </w:pPr>
      <w:r>
        <w:rPr>
          <w:rFonts w:ascii="Amiri" w:hAnsi="Amiri" w:eastAsia="Amiri" w:cs="Amiri"/>
          <w:lang w:bidi="ar-SA"/>
          <w:color w:val="111111"/>
          <w:sz w:val="28"/>
          <w:szCs w:val="28"/>
          <w:rtl/>
        </w:rPr>
        <w:t xml:space="preserve">قوام فارابي ، امير كاتب بن امير عمر- اتقاني ، اميركاتب بن امير عمر</w:t>
      </w:r>
    </w:p>
    <w:p>
      <w:pPr>
        <w:pStyle w:val="Heading2"/>
      </w:pPr>
      <w:bookmarkStart w:id="6745" w:name="_Toc5847"/>
      <w:r>
        <w:t>قوامی گنجوی، احمد بن ابي بكر 576</w:t>
      </w:r>
      <w:bookmarkEnd w:id="6745"/>
    </w:p>
    <w:p>
      <w:pPr>
        <w:pStyle w:val="BookText"/>
      </w:pPr>
      <w:r>
        <w:rPr>
          <w:rFonts w:ascii="Amiri" w:hAnsi="Amiri" w:eastAsia="Amiri" w:cs="Amiri"/>
          <w:lang w:bidi="ar-SA"/>
          <w:color w:val="111111"/>
          <w:sz w:val="28"/>
          <w:szCs w:val="28"/>
          <w:rtl/>
        </w:rPr>
        <w:t xml:space="preserve">صنايع الاسحار في بدائع الاشعار - القصيدة المصنوعة = بدايع الاسحار في</w:t>
      </w:r>
    </w:p>
    <w:p>
      <w:pPr>
        <w:pStyle w:val="BookText"/>
      </w:pPr>
      <w:r>
        <w:rPr>
          <w:rFonts w:ascii="IRNazanin" w:hAnsi="IRNazanin" w:eastAsia="IRNazanin" w:cs="IRNazanin"/>
          <w:lang w:bidi="fa-IR"/>
          <w:color w:val="111111"/>
          <w:sz w:val="28"/>
          <w:szCs w:val="28"/>
          <w:rtl/>
        </w:rPr>
        <w:t xml:space="preserve">صنايع الاشعار - قصیده قوامیه، ج 10،</w:t>
      </w:r>
    </w:p>
    <w:p>
      <w:pPr>
        <w:pStyle w:val="BookText"/>
      </w:pPr>
      <w:r>
        <w:rPr>
          <w:rFonts w:ascii="IRNazanin" w:hAnsi="IRNazanin" w:eastAsia="IRNazanin" w:cs="IRNazanin"/>
          <w:lang w:bidi="fa-IR"/>
          <w:color w:val="111111"/>
          <w:sz w:val="28"/>
          <w:szCs w:val="28"/>
          <w:rtl/>
        </w:rPr>
        <w:t xml:space="preserve">ص 638.</w:t>
      </w:r>
    </w:p>
    <w:p>
      <w:pPr>
        <w:pStyle w:val="Heading2"/>
      </w:pPr>
      <w:bookmarkStart w:id="6746" w:name="_Toc5848"/>
      <w:r>
        <w:t>قوج حصاري ، يحيى، قرن 9 ه-</w:t>
      </w:r>
      <w:bookmarkEnd w:id="6746"/>
    </w:p>
    <w:p>
      <w:pPr>
        <w:pStyle w:val="BookText"/>
      </w:pPr>
      <w:r>
        <w:rPr>
          <w:rFonts w:ascii="Amiri" w:hAnsi="Amiri" w:eastAsia="Amiri" w:cs="Amiri"/>
          <w:lang w:bidi="ar-SA"/>
          <w:color w:val="111111"/>
          <w:sz w:val="28"/>
          <w:szCs w:val="28"/>
          <w:rtl/>
        </w:rPr>
        <w:t xml:space="preserve">ايضاح في شرح كنز الدقائق، ج3،</w:t>
      </w:r>
    </w:p>
    <w:p>
      <w:pPr>
        <w:pStyle w:val="BookText"/>
      </w:pPr>
      <w:r>
        <w:rPr>
          <w:rFonts w:ascii="IRNazanin" w:hAnsi="IRNazanin" w:eastAsia="IRNazanin" w:cs="IRNazanin"/>
          <w:lang w:bidi="fa-IR"/>
          <w:color w:val="111111"/>
          <w:sz w:val="28"/>
          <w:szCs w:val="28"/>
          <w:rtl/>
        </w:rPr>
        <w:t xml:space="preserve">ص128.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894" w:name="pg7742_71071"/>
    <w:bookmarkEnd w:id="894"/>
    <w:p>
      <w:pPr>
        <w:pStyle w:val="BookText"/>
      </w:pPr>
      <w:r>
        <w:rPr>
          <w:rFonts w:ascii="Amiri" w:hAnsi="Amiri" w:eastAsia="Amiri" w:cs="Amiri"/>
          <w:lang w:bidi="ar-SA"/>
          <w:color w:val="111111"/>
          <w:sz w:val="28"/>
          <w:szCs w:val="28"/>
          <w:rtl/>
        </w:rPr>
        <w:t xml:space="preserve">قوجه ، حسين بن نصوح - بوسنوي</w:t>
      </w:r>
    </w:p>
    <w:p>
      <w:pPr>
        <w:pStyle w:val="BookText"/>
      </w:pPr>
      <w:r>
        <w:rPr>
          <w:rFonts w:ascii="Amiri" w:hAnsi="Amiri" w:eastAsia="Amiri" w:cs="Amiri"/>
          <w:lang w:bidi="ar-SA"/>
          <w:color w:val="111111"/>
          <w:sz w:val="28"/>
          <w:szCs w:val="28"/>
          <w:rtl/>
        </w:rPr>
        <w:t xml:space="preserve">حسين بن نصوح</w:t>
      </w:r>
    </w:p>
    <w:p>
      <w:pPr>
        <w:pStyle w:val="Heading2"/>
      </w:pPr>
      <w:bookmarkStart w:id="6747" w:name="_Toc5849"/>
      <w:r>
        <w:t>قوجوي ، قره داود بن كمال - 948 ه-</w:t>
      </w:r>
      <w:bookmarkEnd w:id="6747"/>
    </w:p>
    <w:p>
      <w:pPr>
        <w:pStyle w:val="BookText"/>
      </w:pPr>
      <w:r>
        <w:rPr>
          <w:rFonts w:ascii="Amiri" w:hAnsi="Amiri" w:eastAsia="Amiri" w:cs="Amiri"/>
          <w:lang w:bidi="ar-SA"/>
          <w:color w:val="111111"/>
          <w:sz w:val="28"/>
          <w:szCs w:val="28"/>
          <w:rtl/>
        </w:rPr>
        <w:t xml:space="preserve">حاشية على التصورات، ج 6، ص 235.</w:t>
      </w:r>
    </w:p>
    <w:p>
      <w:pPr>
        <w:pStyle w:val="BookText"/>
      </w:pPr>
      <w:r>
        <w:rPr>
          <w:rFonts w:ascii="IRNazanin" w:hAnsi="IRNazanin" w:eastAsia="IRNazanin" w:cs="IRNazanin"/>
          <w:lang w:bidi="fa-IR"/>
          <w:color w:val="111111"/>
          <w:sz w:val="28"/>
          <w:szCs w:val="28"/>
          <w:rtl/>
        </w:rPr>
        <w:t xml:space="preserve">قوجي ، محي الدين محمّد -شیخ زاده</w:t>
      </w:r>
    </w:p>
    <w:p>
      <w:pPr>
        <w:pStyle w:val="BookText"/>
      </w:pPr>
      <w:r>
        <w:rPr>
          <w:rFonts w:ascii="IRNazanin" w:hAnsi="IRNazanin" w:eastAsia="IRNazanin" w:cs="IRNazanin"/>
          <w:lang w:bidi="fa-IR"/>
          <w:color w:val="111111"/>
          <w:sz w:val="28"/>
          <w:szCs w:val="28"/>
          <w:rtl/>
        </w:rPr>
        <w:t xml:space="preserve">محمّد بن مصطفى</w:t>
      </w:r>
    </w:p>
    <w:p>
      <w:pPr>
        <w:pStyle w:val="Heading2"/>
      </w:pPr>
      <w:bookmarkStart w:id="6748" w:name="_Toc5850"/>
      <w:r>
        <w:t>قوچاني ، عباس</w:t>
      </w:r>
      <w:bookmarkEnd w:id="6748"/>
    </w:p>
    <w:p>
      <w:pPr>
        <w:pStyle w:val="BookText"/>
      </w:pPr>
      <w:r>
        <w:rPr>
          <w:rFonts w:ascii="IRNazanin" w:hAnsi="IRNazanin" w:eastAsia="IRNazanin" w:cs="IRNazanin"/>
          <w:lang w:bidi="fa-IR"/>
          <w:color w:val="111111"/>
          <w:sz w:val="28"/>
          <w:szCs w:val="28"/>
          <w:rtl/>
        </w:rPr>
        <w:t xml:space="preserve">1 .اصول الفقه، ج 2، ص 440.</w:t>
      </w:r>
    </w:p>
    <w:p>
      <w:pPr>
        <w:pStyle w:val="BookText"/>
      </w:pPr>
      <w:r>
        <w:rPr>
          <w:rFonts w:ascii="Amiri" w:hAnsi="Amiri" w:eastAsia="Amiri" w:cs="Amiri"/>
          <w:lang w:bidi="ar-SA"/>
          <w:color w:val="111111"/>
          <w:sz w:val="28"/>
          <w:szCs w:val="28"/>
          <w:rtl/>
        </w:rPr>
        <w:t xml:space="preserve">2 .قاعدة الفراغ والتجاوز، ج 12، ص 334.</w:t>
      </w:r>
    </w:p>
    <w:p>
      <w:pPr>
        <w:pStyle w:val="BookText"/>
      </w:pPr>
      <w:r>
        <w:rPr>
          <w:rFonts w:ascii="IRNazanin" w:hAnsi="IRNazanin" w:eastAsia="IRNazanin" w:cs="IRNazanin"/>
          <w:lang w:bidi="fa-IR"/>
          <w:color w:val="111111"/>
          <w:sz w:val="28"/>
          <w:szCs w:val="28"/>
          <w:rtl/>
        </w:rPr>
        <w:t xml:space="preserve">قوچانی، میرزا نصرت- طبيب قوچاني</w:t>
      </w:r>
    </w:p>
    <w:p>
      <w:pPr>
        <w:pStyle w:val="BookText"/>
      </w:pPr>
      <w:r>
        <w:rPr>
          <w:rFonts w:ascii="IRNazanin" w:hAnsi="IRNazanin" w:eastAsia="IRNazanin" w:cs="IRNazanin"/>
          <w:lang w:bidi="fa-IR"/>
          <w:color w:val="111111"/>
          <w:sz w:val="28"/>
          <w:szCs w:val="28"/>
          <w:rtl/>
        </w:rPr>
        <w:t xml:space="preserve">میرزا نصرت</w:t>
      </w:r>
    </w:p>
    <w:p>
      <w:pPr>
        <w:pStyle w:val="Heading2"/>
      </w:pPr>
      <w:bookmarkStart w:id="6749" w:name="_Toc5851"/>
      <w:r>
        <w:t>قوسي تبريزي، علي جان بن اسماعيل</w:t>
      </w:r>
      <w:bookmarkEnd w:id="6749"/>
    </w:p>
    <w:p>
      <w:pPr>
        <w:pStyle w:val="BookText"/>
      </w:pPr>
      <w:r>
        <w:rPr>
          <w:rFonts w:ascii="IRNazanin" w:hAnsi="IRNazanin" w:eastAsia="IRNazanin" w:cs="IRNazanin"/>
          <w:lang w:bidi="fa-IR"/>
          <w:color w:val="111111"/>
          <w:sz w:val="28"/>
          <w:szCs w:val="28"/>
          <w:rtl/>
        </w:rPr>
        <w:t xml:space="preserve">قرن 11 ه-</w:t>
      </w:r>
    </w:p>
    <w:p>
      <w:pPr>
        <w:pStyle w:val="BookText"/>
      </w:pPr>
      <w:r>
        <w:rPr>
          <w:rFonts w:ascii="IRNazanin" w:hAnsi="IRNazanin" w:eastAsia="IRNazanin" w:cs="IRNazanin"/>
          <w:lang w:bidi="fa-IR"/>
          <w:color w:val="111111"/>
          <w:sz w:val="28"/>
          <w:szCs w:val="28"/>
          <w:rtl/>
        </w:rPr>
        <w:t xml:space="preserve">دیوان قوسي تبريزي، ج 7، ص739.</w:t>
      </w:r>
    </w:p>
    <w:p>
      <w:pPr>
        <w:pStyle w:val="Heading2"/>
      </w:pPr>
      <w:bookmarkStart w:id="6750" w:name="_Toc5852"/>
      <w:r>
        <w:t>قوشچي ، علي بن محمّد - 879 ه-</w:t>
      </w:r>
      <w:bookmarkEnd w:id="6750"/>
    </w:p>
    <w:p>
      <w:pPr>
        <w:pStyle w:val="BookText"/>
      </w:pPr>
      <w:r>
        <w:rPr>
          <w:rFonts w:ascii="Amiri" w:hAnsi="Amiri" w:eastAsia="Amiri" w:cs="Amiri"/>
          <w:lang w:bidi="ar-SA"/>
          <w:color w:val="111111"/>
          <w:sz w:val="28"/>
          <w:szCs w:val="28"/>
          <w:rtl/>
        </w:rPr>
        <w:t xml:space="preserve">1 . حاشية الايضاح = رسالة ما انا قلت</w:t>
      </w:r>
    </w:p>
    <w:p>
      <w:pPr>
        <w:pStyle w:val="BookText"/>
      </w:pPr>
      <w:r>
        <w:rPr>
          <w:rFonts w:ascii="IRNazanin" w:hAnsi="IRNazanin" w:eastAsia="IRNazanin" w:cs="IRNazanin"/>
          <w:lang w:bidi="fa-IR"/>
          <w:color w:val="111111"/>
          <w:sz w:val="28"/>
          <w:szCs w:val="28"/>
          <w:rtl/>
        </w:rPr>
        <w:t xml:space="preserve">بیان سبب تقديم المسند اليه (رسالة في) - الرسالة الانسزكية في أجوبة نغزية، ج 5، ص 703.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حاشية شرح الليثي السمرقندي على الرسالة العضدية، ج 6، ص 164 .</w:t>
      </w:r>
    </w:p>
    <w:p>
      <w:pPr>
        <w:pStyle w:val="BookText"/>
      </w:pPr>
      <w:r>
        <w:rPr>
          <w:rFonts w:ascii="IRNazanin" w:hAnsi="IRNazanin" w:eastAsia="IRNazanin" w:cs="IRNazanin"/>
          <w:lang w:bidi="fa-IR"/>
          <w:color w:val="111111"/>
          <w:sz w:val="28"/>
          <w:szCs w:val="28"/>
          <w:rtl/>
        </w:rPr>
        <w:t xml:space="preserve">3.حساب = رساله در علم حساب =</w:t>
      </w:r>
    </w:p>
    <w:p>
      <w:pPr>
        <w:pStyle w:val="BookText"/>
      </w:pPr>
      <w:r>
        <w:rPr>
          <w:rFonts w:ascii="IRNazanin" w:hAnsi="IRNazanin" w:eastAsia="IRNazanin" w:cs="IRNazanin"/>
          <w:lang w:bidi="fa-IR"/>
          <w:color w:val="111111"/>
          <w:sz w:val="28"/>
          <w:szCs w:val="28"/>
          <w:rtl/>
        </w:rPr>
        <w:t xml:space="preserve">زبدة الحساب = میزان الحساب</w:t>
      </w:r>
    </w:p>
    <w:p>
      <w:pPr>
        <w:pStyle w:val="BookText"/>
      </w:pPr>
      <w:r>
        <w:rPr>
          <w:rFonts w:ascii="IRNazanin" w:hAnsi="IRNazanin" w:eastAsia="IRNazanin" w:cs="IRNazanin"/>
          <w:lang w:bidi="fa-IR"/>
          <w:color w:val="111111"/>
          <w:sz w:val="28"/>
          <w:szCs w:val="28"/>
          <w:rtl/>
        </w:rPr>
        <w:t xml:space="preserve">ج 6، ص 636.</w:t>
      </w:r>
    </w:p>
    <w:p>
      <w:pPr>
        <w:pStyle w:val="BookText"/>
      </w:pPr>
      <w:r>
        <w:rPr>
          <w:rFonts w:ascii="Amiri" w:hAnsi="Amiri" w:eastAsia="Amiri" w:cs="Amiri"/>
          <w:lang w:bidi="ar-SA"/>
          <w:color w:val="111111"/>
          <w:sz w:val="28"/>
          <w:szCs w:val="28"/>
          <w:rtl/>
        </w:rPr>
        <w:t xml:space="preserve">4 .الرسالة الفتحية، ج8، ص 236.</w:t>
      </w:r>
    </w:p>
    <w:p>
      <w:pPr>
        <w:pStyle w:val="BookText"/>
      </w:pPr>
      <w:r>
        <w:rPr>
          <w:rFonts w:ascii="IRNazanin" w:hAnsi="IRNazanin" w:eastAsia="IRNazanin" w:cs="IRNazanin"/>
          <w:lang w:bidi="fa-IR"/>
          <w:color w:val="111111"/>
          <w:sz w:val="28"/>
          <w:szCs w:val="28"/>
          <w:rtl/>
        </w:rPr>
        <w:t xml:space="preserve">5 .سلم السماء = شرح زيج سلطاني گوركاني = شرح زيج الغ بيك، ج8،</w:t>
      </w:r>
    </w:p>
    <w:p>
      <w:pPr>
        <w:pStyle w:val="BookText"/>
      </w:pPr>
      <w:r>
        <w:rPr>
          <w:rFonts w:ascii="IRNazanin" w:hAnsi="IRNazanin" w:eastAsia="IRNazanin" w:cs="IRNazanin"/>
          <w:lang w:bidi="fa-IR"/>
          <w:color w:val="111111"/>
          <w:sz w:val="28"/>
          <w:szCs w:val="28"/>
          <w:rtl/>
        </w:rPr>
        <w:t xml:space="preserve">ص 813.</w:t>
      </w:r>
    </w:p>
    <w:p>
      <w:pPr>
        <w:pStyle w:val="BookText"/>
      </w:pPr>
      <w:r>
        <w:rPr>
          <w:rFonts w:ascii="Amiri" w:hAnsi="Amiri" w:eastAsia="Amiri" w:cs="Amiri"/>
          <w:lang w:bidi="ar-SA"/>
          <w:color w:val="111111"/>
          <w:sz w:val="28"/>
          <w:szCs w:val="28"/>
          <w:rtl/>
        </w:rPr>
        <w:t xml:space="preserve">6 .شرح التحفة الشاهية، ج 9، ص319.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شرح الشافية، ج 9، ص 607.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شرح النجدية، ج 10، ص282.</w:t>
      </w:r>
    </w:p>
    <w:p>
      <w:pPr>
        <w:pStyle w:val="BookText"/>
      </w:pPr>
      <w:r>
        <w:rPr>
          <w:rFonts w:ascii="Amiri" w:hAnsi="Amiri" w:eastAsia="Amiri" w:cs="Amiri"/>
          <w:lang w:bidi="ar-SA"/>
          <w:color w:val="111111"/>
          <w:sz w:val="28"/>
          <w:szCs w:val="28"/>
          <w:rtl/>
        </w:rPr>
        <w:t xml:space="preserve">9 .شرح تجريد الاعتقاد = شرح جديد</w:t>
      </w:r>
    </w:p>
    <w:p>
      <w:pPr>
        <w:pStyle w:val="BookText"/>
      </w:pPr>
      <w:r>
        <w:rPr>
          <w:rFonts w:ascii="Amiri" w:hAnsi="Amiri" w:eastAsia="Amiri" w:cs="Amiri"/>
          <w:lang w:bidi="ar-SA"/>
          <w:color w:val="111111"/>
          <w:sz w:val="28"/>
          <w:szCs w:val="28"/>
          <w:rtl/>
        </w:rPr>
        <w:t xml:space="preserve">تجريد، ج 9، ص 306.</w:t>
      </w:r>
    </w:p>
    <w:p>
      <w:pPr>
        <w:pStyle w:val="BookText"/>
      </w:pPr>
      <w:r>
        <w:rPr>
          <w:rFonts w:ascii="IRNazanin" w:hAnsi="IRNazanin" w:eastAsia="IRNazanin" w:cs="IRNazanin"/>
          <w:lang w:bidi="fa-IR"/>
          <w:color w:val="111111"/>
          <w:sz w:val="28"/>
          <w:szCs w:val="28"/>
          <w:rtl/>
        </w:rPr>
        <w:t xml:space="preserve">10 .فارسي هيئت = هيئت قوشچي =</w:t>
      </w:r>
    </w:p>
    <w:p>
      <w:pPr>
        <w:pStyle w:val="BookText"/>
      </w:pPr>
      <w:r>
        <w:rPr>
          <w:rFonts w:ascii="Amiri" w:hAnsi="Amiri" w:eastAsia="Amiri" w:cs="Amiri"/>
          <w:lang w:bidi="ar-SA"/>
          <w:color w:val="111111"/>
          <w:sz w:val="28"/>
          <w:szCs w:val="28"/>
          <w:rtl/>
        </w:rPr>
        <w:t xml:space="preserve">فتحيه ج 11، ص 582</w:t>
      </w:r>
    </w:p>
    <w:p>
      <w:pPr>
        <w:pStyle w:val="BookText"/>
      </w:pPr>
      <w:r>
        <w:rPr>
          <w:rFonts w:ascii="IRNazanin" w:hAnsi="IRNazanin" w:eastAsia="IRNazanin" w:cs="IRNazanin"/>
          <w:lang w:bidi="fa-IR"/>
          <w:color w:val="111111"/>
          <w:sz w:val="28"/>
          <w:szCs w:val="28"/>
          <w:rtl/>
        </w:rPr>
        <w:t xml:space="preserve">11 .هندسه، ج 16، ص 655.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الوضعية = تحقيق الوضع، ج 16،</w:t>
      </w:r>
    </w:p>
    <w:p>
      <w:pPr>
        <w:pStyle w:val="BookText"/>
      </w:pPr>
      <w:r>
        <w:rPr>
          <w:rFonts w:ascii="IRNazanin" w:hAnsi="IRNazanin" w:eastAsia="IRNazanin" w:cs="IRNazanin"/>
          <w:lang w:bidi="fa-IR"/>
          <w:color w:val="111111"/>
          <w:sz w:val="28"/>
          <w:szCs w:val="28"/>
          <w:rtl/>
        </w:rPr>
        <w:t xml:space="preserve">ص 829.</w:t>
      </w:r>
    </w:p>
    <w:p>
      <w:pPr>
        <w:pStyle w:val="Heading2"/>
      </w:pPr>
      <w:bookmarkStart w:id="6751" w:name="_Toc5853"/>
      <w:r>
        <w:t>قوشي اطرسي ، احمد</w:t>
      </w:r>
      <w:bookmarkEnd w:id="6751"/>
    </w:p>
    <w:p>
      <w:pPr>
        <w:pStyle w:val="BookText"/>
      </w:pPr>
      <w:r>
        <w:rPr>
          <w:rFonts w:ascii="Amiri" w:hAnsi="Amiri" w:eastAsia="Amiri" w:cs="Amiri"/>
          <w:lang w:bidi="ar-SA"/>
          <w:color w:val="111111"/>
          <w:sz w:val="28"/>
          <w:szCs w:val="28"/>
          <w:rtl/>
        </w:rPr>
        <w:t xml:space="preserve">شرح كفاية المبتدي، ج 10، ص 58.</w:t>
      </w:r>
    </w:p>
    <w:p>
      <w:pPr>
        <w:pStyle w:val="Heading2"/>
      </w:pPr>
      <w:bookmarkStart w:id="6752" w:name="_Toc5854"/>
      <w:r>
        <w:t>قوشي ، علي</w:t>
      </w:r>
      <w:bookmarkEnd w:id="6752"/>
    </w:p>
    <w:p>
      <w:pPr>
        <w:pStyle w:val="BookText"/>
      </w:pPr>
      <w:r>
        <w:rPr>
          <w:rFonts w:ascii="Amiri" w:hAnsi="Amiri" w:eastAsia="Amiri" w:cs="Amiri"/>
          <w:lang w:bidi="ar-SA"/>
          <w:color w:val="111111"/>
          <w:sz w:val="28"/>
          <w:szCs w:val="28"/>
          <w:rtl/>
        </w:rPr>
        <w:t xml:space="preserve">حاشية شرح رسالة الاستعارة، ج6،</w:t>
      </w:r>
    </w:p>
    <w:p>
      <w:pPr>
        <w:pStyle w:val="BookText"/>
      </w:pPr>
      <w:r>
        <w:rPr>
          <w:rFonts w:ascii="IRNazanin" w:hAnsi="IRNazanin" w:eastAsia="IRNazanin" w:cs="IRNazanin"/>
          <w:lang w:bidi="fa-IR"/>
          <w:color w:val="111111"/>
          <w:sz w:val="28"/>
          <w:szCs w:val="28"/>
          <w:rtl/>
        </w:rPr>
        <w:t xml:space="preserve">ص 107.</w:t>
      </w:r>
    </w:p>
    <w:p>
      <w:pPr>
        <w:pStyle w:val="Heading2"/>
      </w:pPr>
      <w:bookmarkStart w:id="6753" w:name="_Toc5855"/>
      <w:r>
        <w:t>قوصوني ، محمّد بن محمّد - 931 ه-</w:t>
      </w:r>
      <w:bookmarkEnd w:id="6753"/>
    </w:p>
    <w:p>
      <w:pPr>
        <w:pStyle w:val="BookText"/>
      </w:pPr>
      <w:r>
        <w:rPr>
          <w:rFonts w:ascii="Amiri" w:hAnsi="Amiri" w:eastAsia="Amiri" w:cs="Amiri"/>
          <w:lang w:bidi="ar-SA"/>
          <w:color w:val="111111"/>
          <w:sz w:val="28"/>
          <w:szCs w:val="28"/>
          <w:rtl/>
        </w:rPr>
        <w:t xml:space="preserve">1 .تحفة المحب في صناعة الطب، ج 4،</w:t>
      </w:r>
    </w:p>
    <w:p>
      <w:pPr>
        <w:pStyle w:val="BookText"/>
      </w:pPr>
      <w:r>
        <w:rPr>
          <w:rFonts w:ascii="IRNazanin" w:hAnsi="IRNazanin" w:eastAsia="IRNazanin" w:cs="IRNazanin"/>
          <w:lang w:bidi="fa-IR"/>
          <w:color w:val="111111"/>
          <w:sz w:val="28"/>
          <w:szCs w:val="28"/>
          <w:rtl/>
        </w:rPr>
        <w:t xml:space="preserve">ص 9.</w:t>
      </w:r>
    </w:p>
    <w:p>
      <w:pPr>
        <w:pStyle w:val="BookText"/>
      </w:pPr>
      <w:r>
        <w:rPr>
          <w:rFonts w:ascii="Amiri" w:hAnsi="Amiri" w:eastAsia="Amiri" w:cs="Amiri"/>
          <w:lang w:bidi="ar-SA"/>
          <w:color w:val="111111"/>
          <w:sz w:val="28"/>
          <w:szCs w:val="28"/>
          <w:rtl/>
        </w:rPr>
        <w:t xml:space="preserve">2 .التذكرة المفيدة (مختصر) = مختصر تذكرة السويدي، ج4، ص212.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الحمام (رسالة في)، ج1، ص821.</w:t>
      </w:r>
    </w:p>
    <w:p>
      <w:pPr>
        <w:pStyle w:val="BookText"/>
      </w:pPr>
      <w:r>
        <w:rPr>
          <w:rFonts w:ascii="Amiri" w:hAnsi="Amiri" w:eastAsia="Amiri" w:cs="Amiri"/>
          <w:lang w:bidi="ar-SA"/>
          <w:color w:val="111111"/>
          <w:sz w:val="28"/>
          <w:szCs w:val="28"/>
          <w:rtl/>
        </w:rPr>
        <w:t xml:space="preserve">4 .كمال الفرحة في دفع السموم و</w:t>
      </w:r>
    </w:p>
    <w:p>
      <w:pPr>
        <w:pStyle w:val="BookText"/>
      </w:pPr>
      <w:r>
        <w:rPr>
          <w:rFonts w:ascii="Amiri" w:hAnsi="Amiri" w:eastAsia="Amiri" w:cs="Amiri"/>
          <w:lang w:bidi="ar-SA"/>
          <w:color w:val="111111"/>
          <w:sz w:val="28"/>
          <w:szCs w:val="28"/>
          <w:rtl/>
        </w:rPr>
        <w:t xml:space="preserve">حفظ الصحة، ج13، ص392.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895" w:name="pg7742_71073"/>
    <w:bookmarkEnd w:id="895"/>
    <w:p>
      <w:pPr>
        <w:pStyle w:val="Heading2"/>
      </w:pPr>
      <w:bookmarkStart w:id="6754" w:name="_Toc5856"/>
      <w:r>
        <w:t>قول احمد احمد بن محمّد -950 ه-</w:t>
      </w:r>
      <w:bookmarkEnd w:id="6754"/>
    </w:p>
    <w:p>
      <w:pPr>
        <w:pStyle w:val="BookText"/>
      </w:pPr>
      <w:r>
        <w:rPr>
          <w:rFonts w:ascii="Amiri" w:hAnsi="Amiri" w:eastAsia="Amiri" w:cs="Amiri"/>
          <w:lang w:bidi="ar-SA"/>
          <w:color w:val="111111"/>
          <w:sz w:val="28"/>
          <w:szCs w:val="28"/>
          <w:rtl/>
        </w:rPr>
        <w:t xml:space="preserve">1 .حاشية الشمسية، ج6، ص220.</w:t>
      </w:r>
    </w:p>
    <w:p>
      <w:pPr>
        <w:pStyle w:val="BookText"/>
      </w:pPr>
      <w:r>
        <w:rPr>
          <w:rFonts w:ascii="Amiri" w:hAnsi="Amiri" w:eastAsia="Amiri" w:cs="Amiri"/>
          <w:lang w:bidi="ar-SA"/>
          <w:color w:val="111111"/>
          <w:sz w:val="28"/>
          <w:szCs w:val="28"/>
          <w:rtl/>
        </w:rPr>
        <w:t xml:space="preserve">2 .حاشية الفوائد الفنارية = حاشية</w:t>
      </w:r>
    </w:p>
    <w:p>
      <w:pPr>
        <w:pStyle w:val="BookText"/>
      </w:pPr>
      <w:r>
        <w:rPr>
          <w:rFonts w:ascii="Amiri" w:hAnsi="Amiri" w:eastAsia="Amiri" w:cs="Amiri"/>
          <w:lang w:bidi="ar-SA"/>
          <w:color w:val="111111"/>
          <w:sz w:val="28"/>
          <w:szCs w:val="28"/>
          <w:rtl/>
        </w:rPr>
        <w:t xml:space="preserve">شرح ايساغوجي = حاشية قول احمد، ج1، ص283.</w:t>
      </w:r>
    </w:p>
    <w:p>
      <w:pPr>
        <w:pStyle w:val="BookText"/>
      </w:pPr>
      <w:r>
        <w:rPr>
          <w:rFonts w:ascii="Amiri" w:hAnsi="Amiri" w:eastAsia="Amiri" w:cs="Amiri"/>
          <w:lang w:bidi="ar-SA"/>
          <w:color w:val="111111"/>
          <w:sz w:val="28"/>
          <w:szCs w:val="28"/>
          <w:rtl/>
        </w:rPr>
        <w:t xml:space="preserve">3 .حاشية حاشية الخيالي على شرح</w:t>
      </w:r>
    </w:p>
    <w:p>
      <w:pPr>
        <w:pStyle w:val="BookText"/>
      </w:pPr>
      <w:r>
        <w:rPr>
          <w:rFonts w:ascii="Amiri" w:hAnsi="Amiri" w:eastAsia="Amiri" w:cs="Amiri"/>
          <w:lang w:bidi="ar-SA"/>
          <w:color w:val="111111"/>
          <w:sz w:val="28"/>
          <w:szCs w:val="28"/>
          <w:rtl/>
        </w:rPr>
        <w:t xml:space="preserve">عقائد النسفي، ج 5، ص 806.</w:t>
      </w:r>
    </w:p>
    <w:p>
      <w:pPr>
        <w:pStyle w:val="BookText"/>
      </w:pPr>
      <w:r>
        <w:rPr>
          <w:rFonts w:ascii="Amiri" w:hAnsi="Amiri" w:eastAsia="Amiri" w:cs="Amiri"/>
          <w:lang w:bidi="ar-SA"/>
          <w:color w:val="111111"/>
          <w:sz w:val="28"/>
          <w:szCs w:val="28"/>
          <w:rtl/>
        </w:rPr>
        <w:t xml:space="preserve">4 .شرح الرسالة الاثيرية، ج 9، ص 511.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شرح القنوت (رسالة في)، ج10،</w:t>
      </w:r>
    </w:p>
    <w:p>
      <w:pPr>
        <w:pStyle w:val="BookText"/>
      </w:pPr>
      <w:r>
        <w:rPr>
          <w:rFonts w:ascii="IRNazanin" w:hAnsi="IRNazanin" w:eastAsia="IRNazanin" w:cs="IRNazanin"/>
          <w:lang w:bidi="fa-IR"/>
          <w:color w:val="111111"/>
          <w:sz w:val="28"/>
          <w:szCs w:val="28"/>
          <w:rtl/>
        </w:rPr>
        <w:t xml:space="preserve">ص 14.</w:t>
      </w:r>
    </w:p>
    <w:p>
      <w:pPr>
        <w:pStyle w:val="BookText"/>
      </w:pPr>
      <w:r>
        <w:rPr>
          <w:rFonts w:ascii="Amiri" w:hAnsi="Amiri" w:eastAsia="Amiri" w:cs="Amiri"/>
          <w:lang w:bidi="ar-SA"/>
          <w:color w:val="111111"/>
          <w:sz w:val="28"/>
          <w:szCs w:val="28"/>
          <w:rtl/>
        </w:rPr>
        <w:t xml:space="preserve">6 .شرح رسالة الاستعارة = شرح الرسالة السمرقندية، ج 9، ص 512.</w:t>
      </w:r>
    </w:p>
    <w:p>
      <w:pPr>
        <w:pStyle w:val="BookText"/>
      </w:pPr>
      <w:r>
        <w:rPr>
          <w:rFonts w:ascii="Amiri" w:hAnsi="Amiri" w:eastAsia="Amiri" w:cs="Amiri"/>
          <w:lang w:bidi="ar-SA"/>
          <w:color w:val="111111"/>
          <w:sz w:val="28"/>
          <w:szCs w:val="28"/>
          <w:rtl/>
        </w:rPr>
        <w:t xml:space="preserve">7.الصراط المستقيم في تبيان القرآن</w:t>
      </w:r>
    </w:p>
    <w:p>
      <w:pPr>
        <w:pStyle w:val="BookText"/>
      </w:pPr>
      <w:r>
        <w:rPr>
          <w:rFonts w:ascii="Amiri" w:hAnsi="Amiri" w:eastAsia="Amiri" w:cs="Amiri"/>
          <w:lang w:bidi="ar-SA"/>
          <w:color w:val="111111"/>
          <w:sz w:val="28"/>
          <w:szCs w:val="28"/>
          <w:rtl/>
        </w:rPr>
        <w:t xml:space="preserve">الكريم، ج 10 ، ص 545.</w:t>
      </w:r>
    </w:p>
    <w:p>
      <w:pPr>
        <w:pStyle w:val="Heading2"/>
      </w:pPr>
      <w:bookmarkStart w:id="6755" w:name="_Toc5857"/>
      <w:r>
        <w:t>قول احمد ، احمد بن محمّد بن خضر</w:t>
      </w:r>
      <w:bookmarkEnd w:id="6755"/>
    </w:p>
    <w:p>
      <w:pPr>
        <w:pStyle w:val="BookText"/>
      </w:pPr>
      <w:r>
        <w:rPr>
          <w:rFonts w:ascii="IRNazanin" w:hAnsi="IRNazanin" w:eastAsia="IRNazanin" w:cs="IRNazanin"/>
          <w:lang w:bidi="fa-IR"/>
          <w:color w:val="111111"/>
          <w:sz w:val="28"/>
          <w:szCs w:val="28"/>
          <w:rtl/>
        </w:rPr>
        <w:t xml:space="preserve">706 - 785 ه-</w:t>
      </w:r>
    </w:p>
    <w:p>
      <w:pPr>
        <w:pStyle w:val="BookText"/>
      </w:pPr>
      <w:r>
        <w:rPr>
          <w:rFonts w:ascii="Amiri" w:hAnsi="Amiri" w:eastAsia="Amiri" w:cs="Amiri"/>
          <w:lang w:bidi="ar-SA"/>
          <w:color w:val="111111"/>
          <w:sz w:val="28"/>
          <w:szCs w:val="28"/>
          <w:rtl/>
        </w:rPr>
        <w:t xml:space="preserve">1 .حاشية اسرار التاويل، ج 5، ص 663 .</w:t>
      </w:r>
    </w:p>
    <w:p>
      <w:pPr>
        <w:pStyle w:val="BookText"/>
      </w:pPr>
      <w:r>
        <w:rPr>
          <w:rFonts w:ascii="Amiri" w:hAnsi="Amiri" w:eastAsia="Amiri" w:cs="Amiri"/>
          <w:lang w:bidi="ar-SA"/>
          <w:color w:val="111111"/>
          <w:sz w:val="28"/>
          <w:szCs w:val="28"/>
          <w:rtl/>
        </w:rPr>
        <w:t xml:space="preserve">2 .الغوص لاقتباس نفائس الاسرار المودعة في درر البحار، ج 11،</w:t>
      </w:r>
    </w:p>
    <w:p>
      <w:pPr>
        <w:pStyle w:val="BookText"/>
      </w:pPr>
      <w:r>
        <w:rPr>
          <w:rFonts w:ascii="IRNazanin" w:hAnsi="IRNazanin" w:eastAsia="IRNazanin" w:cs="IRNazanin"/>
          <w:lang w:bidi="fa-IR"/>
          <w:color w:val="111111"/>
          <w:sz w:val="28"/>
          <w:szCs w:val="28"/>
          <w:rtl/>
        </w:rPr>
        <w:t xml:space="preserve">ص 544.</w:t>
      </w:r>
    </w:p>
    <w:p>
      <w:pPr>
        <w:pStyle w:val="Heading2"/>
      </w:pPr>
      <w:bookmarkStart w:id="6756" w:name="_Toc5858"/>
      <w:r>
        <w:t>قومري ، عمر بن عبد النصير</w:t>
      </w:r>
      <w:bookmarkEnd w:id="6756"/>
    </w:p>
    <w:p>
      <w:pPr>
        <w:pStyle w:val="BookText"/>
      </w:pPr>
      <w:r>
        <w:rPr>
          <w:rFonts w:ascii="Amiri" w:hAnsi="Amiri" w:eastAsia="Amiri" w:cs="Amiri"/>
          <w:lang w:bidi="ar-SA"/>
          <w:color w:val="111111"/>
          <w:sz w:val="28"/>
          <w:szCs w:val="28"/>
          <w:rtl/>
        </w:rPr>
        <w:t xml:space="preserve">تخميس القصيدة المنفرجة، ج 4،</w:t>
      </w:r>
    </w:p>
    <w:p>
      <w:pPr>
        <w:pStyle w:val="BookText"/>
      </w:pPr>
      <w:r>
        <w:rPr>
          <w:rFonts w:ascii="IRNazanin" w:hAnsi="IRNazanin" w:eastAsia="IRNazanin" w:cs="IRNazanin"/>
          <w:lang w:bidi="fa-IR"/>
          <w:color w:val="111111"/>
          <w:sz w:val="28"/>
          <w:szCs w:val="28"/>
          <w:rtl/>
        </w:rPr>
        <w:t xml:space="preserve">ص 141 .</w:t>
      </w:r>
    </w:p>
    <w:p>
      <w:pPr>
        <w:pStyle w:val="Heading2"/>
      </w:pPr>
      <w:bookmarkStart w:id="6757" w:name="_Toc5859"/>
      <w:r>
        <w:t>قومناتي ، حسين بن علي - 840 ه-</w:t>
      </w:r>
      <w:bookmarkEnd w:id="6757"/>
    </w:p>
    <w:p>
      <w:pPr>
        <w:pStyle w:val="BookText"/>
      </w:pPr>
      <w:r>
        <w:rPr>
          <w:rFonts w:ascii="Amiri" w:hAnsi="Amiri" w:eastAsia="Amiri" w:cs="Amiri"/>
          <w:lang w:bidi="ar-SA"/>
          <w:color w:val="111111"/>
          <w:sz w:val="28"/>
          <w:szCs w:val="28"/>
          <w:rtl/>
        </w:rPr>
        <w:t xml:space="preserve">العناية في شرح الوقاية = الغاية في شرح وقاية الرواية، ج 11، ص332.</w:t>
      </w:r>
    </w:p>
    <w:p>
      <w:pPr>
        <w:pStyle w:val="Heading2"/>
      </w:pPr>
      <w:bookmarkStart w:id="6758" w:name="_Toc5860"/>
      <w:r>
        <w:t>قومي زاده، محمّد بن عبدالله</w:t>
      </w:r>
      <w:bookmarkEnd w:id="6758"/>
    </w:p>
    <w:p>
      <w:pPr>
        <w:pStyle w:val="BookText"/>
      </w:pPr>
      <w:r>
        <w:rPr>
          <w:rFonts w:ascii="Amiri" w:hAnsi="Amiri" w:eastAsia="Amiri" w:cs="Amiri"/>
          <w:lang w:bidi="ar-SA"/>
          <w:color w:val="111111"/>
          <w:sz w:val="28"/>
          <w:szCs w:val="28"/>
          <w:rtl/>
        </w:rPr>
        <w:t xml:space="preserve">بعض المشكلات و الايرادات (رسالة</w:t>
      </w:r>
    </w:p>
    <w:p>
      <w:pPr>
        <w:pStyle w:val="BookText"/>
      </w:pPr>
      <w:r>
        <w:rPr>
          <w:rFonts w:ascii="Amiri" w:hAnsi="Amiri" w:eastAsia="Amiri" w:cs="Amiri"/>
          <w:lang w:bidi="ar-SA"/>
          <w:color w:val="111111"/>
          <w:sz w:val="28"/>
          <w:szCs w:val="28"/>
          <w:rtl/>
        </w:rPr>
        <w:t xml:space="preserve">في)، ج 3، ص 359 .</w:t>
      </w:r>
    </w:p>
    <w:p>
      <w:pPr>
        <w:pStyle w:val="BookText"/>
      </w:pPr>
      <w:r>
        <w:rPr>
          <w:rFonts w:ascii="Amiri" w:hAnsi="Amiri" w:eastAsia="Amiri" w:cs="Amiri"/>
          <w:lang w:bidi="ar-SA"/>
          <w:color w:val="111111"/>
          <w:sz w:val="28"/>
          <w:szCs w:val="28"/>
          <w:rtl/>
        </w:rPr>
        <w:t xml:space="preserve">قونوي ، ابراهيم بن سليمان- حموي ،</w:t>
      </w:r>
    </w:p>
    <w:p>
      <w:pPr>
        <w:pStyle w:val="BookText"/>
      </w:pPr>
      <w:r>
        <w:rPr>
          <w:rFonts w:ascii="Amiri" w:hAnsi="Amiri" w:eastAsia="Amiri" w:cs="Amiri"/>
          <w:lang w:bidi="ar-SA"/>
          <w:color w:val="111111"/>
          <w:sz w:val="28"/>
          <w:szCs w:val="28"/>
          <w:rtl/>
        </w:rPr>
        <w:t xml:space="preserve">ابراهيم بن سليمان</w:t>
      </w:r>
    </w:p>
    <w:p>
      <w:pPr>
        <w:pStyle w:val="BookText"/>
      </w:pPr>
      <w:r>
        <w:rPr>
          <w:rFonts w:ascii="Amiri" w:hAnsi="Amiri" w:eastAsia="Amiri" w:cs="Amiri"/>
          <w:lang w:bidi="ar-SA"/>
          <w:color w:val="111111"/>
          <w:sz w:val="28"/>
          <w:szCs w:val="28"/>
          <w:rtl/>
        </w:rPr>
        <w:t xml:space="preserve">قونوي ، ابراهيم بن صالح -مغلوي ،</w:t>
      </w:r>
    </w:p>
    <w:p>
      <w:pPr>
        <w:pStyle w:val="BookText"/>
      </w:pPr>
      <w:r>
        <w:rPr>
          <w:rFonts w:ascii="Amiri" w:hAnsi="Amiri" w:eastAsia="Amiri" w:cs="Amiri"/>
          <w:lang w:bidi="ar-SA"/>
          <w:color w:val="111111"/>
          <w:sz w:val="28"/>
          <w:szCs w:val="28"/>
          <w:rtl/>
        </w:rPr>
        <w:t xml:space="preserve">ابراهيم بن صالح</w:t>
      </w:r>
    </w:p>
    <w:p>
      <w:pPr>
        <w:pStyle w:val="Heading2"/>
      </w:pPr>
      <w:bookmarkStart w:id="6759" w:name="_Toc5861"/>
      <w:r>
        <w:t>قونوي اسماعيل بن محمّد - 1195 ه-</w:t>
      </w:r>
      <w:bookmarkEnd w:id="6759"/>
    </w:p>
    <w:p>
      <w:pPr>
        <w:pStyle w:val="BookText"/>
      </w:pPr>
      <w:r>
        <w:rPr>
          <w:rFonts w:ascii="Amiri" w:hAnsi="Amiri" w:eastAsia="Amiri" w:cs="Amiri"/>
          <w:lang w:bidi="ar-SA"/>
          <w:color w:val="111111"/>
          <w:sz w:val="28"/>
          <w:szCs w:val="28"/>
          <w:rtl/>
        </w:rPr>
        <w:t xml:space="preserve">الرد على من انكر علم الله بالامور الغير المتناهية (رسالة في)، ج8، ص103.</w:t>
      </w:r>
    </w:p>
    <w:p>
      <w:pPr>
        <w:pStyle w:val="Heading2"/>
      </w:pPr>
      <w:bookmarkStart w:id="6760" w:name="_Toc5862"/>
      <w:r>
        <w:t>قونوي ، حامد بن محمّد - 985 ه-</w:t>
      </w:r>
      <w:bookmarkEnd w:id="6760"/>
    </w:p>
    <w:p>
      <w:pPr>
        <w:pStyle w:val="BookText"/>
      </w:pPr>
      <w:r>
        <w:rPr>
          <w:rFonts w:ascii="Amiri" w:hAnsi="Amiri" w:eastAsia="Amiri" w:cs="Amiri"/>
          <w:lang w:bidi="ar-SA"/>
          <w:color w:val="111111"/>
          <w:sz w:val="28"/>
          <w:szCs w:val="28"/>
          <w:rtl/>
        </w:rPr>
        <w:t xml:space="preserve">الفتاوى الحامدية، ج 11، ص 606.</w:t>
      </w:r>
    </w:p>
    <w:p>
      <w:pPr>
        <w:pStyle w:val="Heading2"/>
      </w:pPr>
      <w:bookmarkStart w:id="6761" w:name="_Toc5863"/>
      <w:r>
        <w:t>قونوي ، حسام بن حسن</w:t>
      </w:r>
      <w:bookmarkEnd w:id="6761"/>
    </w:p>
    <w:p>
      <w:pPr>
        <w:pStyle w:val="BookText"/>
      </w:pPr>
      <w:r>
        <w:rPr>
          <w:rFonts w:ascii="IRNazanin" w:hAnsi="IRNazanin" w:eastAsia="IRNazanin" w:cs="IRNazanin"/>
          <w:lang w:bidi="fa-IR"/>
          <w:color w:val="111111"/>
          <w:sz w:val="28"/>
          <w:szCs w:val="28"/>
          <w:rtl/>
        </w:rPr>
        <w:t xml:space="preserve">رساله، ج8، ص 157.</w:t>
      </w:r>
    </w:p>
    <w:p>
      <w:pPr>
        <w:pStyle w:val="BookText"/>
      </w:pPr>
      <w:r>
        <w:rPr>
          <w:rFonts w:ascii="IRNazanin" w:hAnsi="IRNazanin" w:eastAsia="IRNazanin" w:cs="IRNazanin"/>
          <w:lang w:bidi="fa-IR"/>
          <w:color w:val="111111"/>
          <w:sz w:val="28"/>
          <w:szCs w:val="28"/>
          <w:rtl/>
        </w:rPr>
        <w:t xml:space="preserve">قونوي ، صدرالدین محمّد بن اسحاق- صدر الدین قونيوي، محمّد بن اسحاق</w:t>
      </w:r>
    </w:p>
    <w:p>
      <w:pPr>
        <w:pStyle w:val="BookText"/>
      </w:pPr>
      <w:r>
        <w:rPr>
          <w:rFonts w:ascii="Amiri" w:hAnsi="Amiri" w:eastAsia="Amiri" w:cs="Amiri"/>
          <w:lang w:bidi="ar-SA"/>
          <w:color w:val="111111"/>
          <w:sz w:val="28"/>
          <w:szCs w:val="28"/>
          <w:rtl/>
        </w:rPr>
        <w:t xml:space="preserve">قونوي ، علي بن اسماعيل -علاء الدين</w:t>
      </w:r>
    </w:p>
    <w:p>
      <w:pPr>
        <w:pStyle w:val="BookText"/>
      </w:pPr>
      <w:r>
        <w:rPr>
          <w:rFonts w:ascii="Amiri" w:hAnsi="Amiri" w:eastAsia="Amiri" w:cs="Amiri"/>
          <w:lang w:bidi="ar-SA"/>
          <w:color w:val="111111"/>
          <w:sz w:val="28"/>
          <w:szCs w:val="28"/>
          <w:rtl/>
        </w:rPr>
        <w:t xml:space="preserve">تبريزي ، علي بن اسماعيل</w:t>
      </w:r>
    </w:p>
    <w:p>
      <w:pPr>
        <w:pStyle w:val="BookText"/>
      </w:pPr>
      <w:r>
        <w:rPr>
          <w:rFonts w:ascii="Amiri" w:hAnsi="Amiri" w:eastAsia="Amiri" w:cs="Amiri"/>
          <w:lang w:bidi="ar-SA"/>
          <w:color w:val="111111"/>
          <w:sz w:val="28"/>
          <w:szCs w:val="28"/>
          <w:rtl/>
        </w:rPr>
        <w:t xml:space="preserve">قونوي ، محمّد بن ابي بكر -طاوسي ،</w:t>
      </w:r>
    </w:p>
    <w:p>
      <w:pPr>
        <w:pStyle w:val="BookText"/>
      </w:pPr>
      <w:r>
        <w:rPr>
          <w:rFonts w:ascii="Amiri" w:hAnsi="Amiri" w:eastAsia="Amiri" w:cs="Amiri"/>
          <w:lang w:bidi="ar-SA"/>
          <w:color w:val="111111"/>
          <w:sz w:val="28"/>
          <w:szCs w:val="28"/>
          <w:rtl/>
        </w:rPr>
        <w:t xml:space="preserve">محمد بن ابي بكر</w:t>
      </w:r>
    </w:p>
    <w:p>
      <w:pPr>
        <w:pStyle w:val="BookText"/>
      </w:pPr>
      <w:r>
        <w:rPr>
          <w:rFonts w:ascii="Amiri" w:hAnsi="Amiri" w:eastAsia="Amiri" w:cs="Amiri"/>
          <w:lang w:bidi="ar-SA"/>
          <w:color w:val="111111"/>
          <w:sz w:val="28"/>
          <w:szCs w:val="28"/>
          <w:rtl/>
        </w:rPr>
        <w:t xml:space="preserve">قونوي ، محمّد بن احمد -ابن ربوه</w:t>
      </w:r>
    </w:p>
    <w:p>
      <w:pPr>
        <w:pStyle w:val="BookText"/>
      </w:pPr>
      <w:r>
        <w:rPr>
          <w:rFonts w:ascii="IRNazanin" w:hAnsi="IRNazanin" w:eastAsia="IRNazanin" w:cs="IRNazanin"/>
          <w:lang w:bidi="fa-IR"/>
          <w:color w:val="111111"/>
          <w:sz w:val="28"/>
          <w:szCs w:val="28"/>
          <w:rtl/>
        </w:rPr>
        <w:t xml:space="preserve">محمّد بن احمد</w:t>
      </w:r>
    </w:p>
    <w:p>
      <w:pPr>
        <w:pStyle w:val="Heading2"/>
      </w:pPr>
      <w:bookmarkStart w:id="6762" w:name="_Toc5864"/>
      <w:r>
        <w:t>قونوي ، محمّد بن عثمان - 1085 ه-</w:t>
      </w:r>
      <w:bookmarkEnd w:id="6762"/>
    </w:p>
    <w:p>
      <w:pPr>
        <w:pStyle w:val="BookText"/>
      </w:pPr>
      <w:r>
        <w:rPr>
          <w:rFonts w:ascii="Amiri" w:hAnsi="Amiri" w:eastAsia="Amiri" w:cs="Amiri"/>
          <w:lang w:bidi="ar-SA"/>
          <w:color w:val="111111"/>
          <w:sz w:val="28"/>
          <w:szCs w:val="28"/>
          <w:rtl/>
        </w:rPr>
        <w:t xml:space="preserve">وصية (رسالة في)، ج 16، ص 809.</w:t>
      </w:r>
    </w:p>
    <w:p>
      <w:pPr>
        <w:pStyle w:val="BookText"/>
      </w:pPr>
      <w:r>
        <w:rPr>
          <w:rFonts w:ascii="Amiri" w:hAnsi="Amiri" w:eastAsia="Amiri" w:cs="Amiri"/>
          <w:lang w:bidi="ar-SA"/>
          <w:color w:val="111111"/>
          <w:sz w:val="28"/>
          <w:szCs w:val="28"/>
          <w:rtl/>
        </w:rPr>
        <w:t xml:space="preserve">قونوي ، محمّد بن مصطفى- خادمي ،</w:t>
      </w:r>
    </w:p>
    <w:p>
      <w:pPr>
        <w:pStyle w:val="BookText"/>
      </w:pPr>
      <w:r>
        <w:rPr>
          <w:rFonts w:ascii="IRNazanin" w:hAnsi="IRNazanin" w:eastAsia="IRNazanin" w:cs="IRNazanin"/>
          <w:lang w:bidi="fa-IR"/>
          <w:color w:val="111111"/>
          <w:sz w:val="28"/>
          <w:szCs w:val="28"/>
          <w:rtl/>
        </w:rPr>
        <w:t xml:space="preserve">محمّد بن مصطفى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896" w:name="pg7742_71075"/>
    <w:bookmarkEnd w:id="896"/>
    <w:p>
      <w:pPr>
        <w:pStyle w:val="Heading2"/>
      </w:pPr>
      <w:bookmarkStart w:id="6763" w:name="_Toc5865"/>
      <w:r>
        <w:t>قونوي ، محمّد بن يحيى</w:t>
      </w:r>
      <w:bookmarkEnd w:id="6763"/>
    </w:p>
    <w:p>
      <w:pPr>
        <w:pStyle w:val="BookText"/>
      </w:pPr>
      <w:r>
        <w:rPr>
          <w:rFonts w:ascii="Amiri" w:hAnsi="Amiri" w:eastAsia="Amiri" w:cs="Amiri"/>
          <w:lang w:bidi="ar-SA"/>
          <w:color w:val="111111"/>
          <w:sz w:val="28"/>
          <w:szCs w:val="28"/>
          <w:rtl/>
        </w:rPr>
        <w:t xml:space="preserve">الرسالة الشادية، ج8، ص212.</w:t>
      </w:r>
    </w:p>
    <w:p>
      <w:pPr>
        <w:pStyle w:val="BookText"/>
      </w:pPr>
      <w:r>
        <w:rPr>
          <w:rFonts w:ascii="IRNazanin" w:hAnsi="IRNazanin" w:eastAsia="IRNazanin" w:cs="IRNazanin"/>
          <w:lang w:bidi="fa-IR"/>
          <w:color w:val="111111"/>
          <w:sz w:val="28"/>
          <w:szCs w:val="28"/>
          <w:rtl/>
        </w:rPr>
        <w:t xml:space="preserve">قونوي ، محمّد بن يوسف - قره پيري ،</w:t>
      </w:r>
    </w:p>
    <w:p>
      <w:pPr>
        <w:pStyle w:val="BookText"/>
      </w:pPr>
      <w:r>
        <w:rPr>
          <w:rFonts w:ascii="Amiri" w:hAnsi="Amiri" w:eastAsia="Amiri" w:cs="Amiri"/>
          <w:lang w:bidi="ar-SA"/>
          <w:color w:val="111111"/>
          <w:sz w:val="28"/>
          <w:szCs w:val="28"/>
          <w:rtl/>
        </w:rPr>
        <w:t xml:space="preserve">محمّد بن يوسف</w:t>
      </w:r>
    </w:p>
    <w:p>
      <w:pPr>
        <w:pStyle w:val="Heading2"/>
      </w:pPr>
      <w:bookmarkStart w:id="6764" w:name="_Toc5866"/>
      <w:r>
        <w:t>قونوي ، محمّد بن يوسف - 788 ه-</w:t>
      </w:r>
      <w:bookmarkEnd w:id="6764"/>
    </w:p>
    <w:p>
      <w:pPr>
        <w:pStyle w:val="BookText"/>
      </w:pPr>
      <w:r>
        <w:rPr>
          <w:rFonts w:ascii="Amiri" w:hAnsi="Amiri" w:eastAsia="Amiri" w:cs="Amiri"/>
          <w:lang w:bidi="ar-SA"/>
          <w:color w:val="111111"/>
          <w:sz w:val="28"/>
          <w:szCs w:val="28"/>
          <w:rtl/>
        </w:rPr>
        <w:t xml:space="preserve">درر البحار على اختلاف الائمة الاربعة</w:t>
      </w:r>
    </w:p>
    <w:p>
      <w:pPr>
        <w:pStyle w:val="BookText"/>
      </w:pPr>
      <w:r>
        <w:rPr>
          <w:rFonts w:ascii="Amiri" w:hAnsi="Amiri" w:eastAsia="Amiri" w:cs="Amiri"/>
          <w:lang w:bidi="ar-SA"/>
          <w:color w:val="111111"/>
          <w:sz w:val="28"/>
          <w:szCs w:val="28"/>
          <w:rtl/>
        </w:rPr>
        <w:t xml:space="preserve">الاخيار = ملتقى البحار، ج 7، ص283</w:t>
      </w:r>
    </w:p>
    <w:p>
      <w:pPr>
        <w:pStyle w:val="Heading2"/>
      </w:pPr>
      <w:bookmarkStart w:id="6765" w:name="_Toc5867"/>
      <w:r>
        <w:t>قونوي ، محمود بن احمد</w:t>
      </w:r>
      <w:bookmarkEnd w:id="6765"/>
    </w:p>
    <w:p>
      <w:pPr>
        <w:pStyle w:val="BookText"/>
      </w:pPr>
      <w:r>
        <w:rPr>
          <w:rFonts w:ascii="Amiri" w:hAnsi="Amiri" w:eastAsia="Amiri" w:cs="Amiri"/>
          <w:lang w:bidi="ar-SA"/>
          <w:color w:val="111111"/>
          <w:sz w:val="28"/>
          <w:szCs w:val="28"/>
          <w:rtl/>
        </w:rPr>
        <w:t xml:space="preserve">الزبدة شرح العمدة، ج8، ص 578.</w:t>
      </w:r>
    </w:p>
    <w:p>
      <w:pPr>
        <w:pStyle w:val="BookText"/>
      </w:pPr>
      <w:r>
        <w:rPr>
          <w:rFonts w:ascii="Amiri" w:hAnsi="Amiri" w:eastAsia="Amiri" w:cs="Amiri"/>
          <w:lang w:bidi="ar-SA"/>
          <w:color w:val="111111"/>
          <w:sz w:val="28"/>
          <w:szCs w:val="28"/>
          <w:rtl/>
        </w:rPr>
        <w:t xml:space="preserve">قونوي ، محمود بن احمد بن سراج- ابن ،سراج ، محمود بن احمد</w:t>
      </w:r>
    </w:p>
    <w:p>
      <w:pPr>
        <w:pStyle w:val="BookText"/>
      </w:pPr>
      <w:r>
        <w:rPr>
          <w:rFonts w:ascii="Amiri" w:hAnsi="Amiri" w:eastAsia="Amiri" w:cs="Amiri"/>
          <w:lang w:bidi="ar-SA"/>
          <w:color w:val="111111"/>
          <w:sz w:val="28"/>
          <w:szCs w:val="28"/>
          <w:rtl/>
        </w:rPr>
        <w:t xml:space="preserve">قونوي ، مصطفى بن وفا -شيخ وفا ،</w:t>
      </w:r>
    </w:p>
    <w:p>
      <w:pPr>
        <w:pStyle w:val="BookText"/>
      </w:pPr>
      <w:r>
        <w:rPr>
          <w:rFonts w:ascii="IRNazanin" w:hAnsi="IRNazanin" w:eastAsia="IRNazanin" w:cs="IRNazanin"/>
          <w:lang w:bidi="fa-IR"/>
          <w:color w:val="111111"/>
          <w:sz w:val="28"/>
          <w:szCs w:val="28"/>
          <w:rtl/>
        </w:rPr>
        <w:t xml:space="preserve">مصطفى بن احمد</w:t>
      </w:r>
    </w:p>
    <w:p>
      <w:pPr>
        <w:pStyle w:val="BookText"/>
      </w:pPr>
      <w:r>
        <w:rPr>
          <w:rFonts w:ascii="Amiri" w:hAnsi="Amiri" w:eastAsia="Amiri" w:cs="Amiri"/>
          <w:lang w:bidi="ar-SA"/>
          <w:color w:val="111111"/>
          <w:sz w:val="28"/>
          <w:szCs w:val="28"/>
          <w:rtl/>
        </w:rPr>
        <w:t xml:space="preserve">قونوي ، نوح بن مصطفى -وجدي ، نوح</w:t>
      </w:r>
    </w:p>
    <w:p>
      <w:pPr>
        <w:pStyle w:val="BookText"/>
      </w:pPr>
      <w:r>
        <w:rPr>
          <w:rFonts w:ascii="IRNazanin" w:hAnsi="IRNazanin" w:eastAsia="IRNazanin" w:cs="IRNazanin"/>
          <w:lang w:bidi="fa-IR"/>
          <w:color w:val="111111"/>
          <w:sz w:val="28"/>
          <w:szCs w:val="28"/>
          <w:rtl/>
        </w:rPr>
        <w:t xml:space="preserve">بن مصطفى</w:t>
      </w:r>
    </w:p>
    <w:p>
      <w:pPr>
        <w:pStyle w:val="BookText"/>
      </w:pPr>
      <w:r>
        <w:rPr>
          <w:rFonts w:ascii="Amiri" w:hAnsi="Amiri" w:eastAsia="Amiri" w:cs="Amiri"/>
          <w:lang w:bidi="ar-SA"/>
          <w:color w:val="111111"/>
          <w:sz w:val="28"/>
          <w:szCs w:val="28"/>
          <w:rtl/>
        </w:rPr>
        <w:t xml:space="preserve">قونوي- شكري ، عبدالله بن عبدالكريم</w:t>
      </w:r>
    </w:p>
    <w:p>
      <w:pPr>
        <w:pStyle w:val="BookText"/>
      </w:pPr>
      <w:r>
        <w:rPr>
          <w:rFonts w:ascii="Amiri" w:hAnsi="Amiri" w:eastAsia="Amiri" w:cs="Amiri"/>
          <w:lang w:bidi="ar-SA"/>
          <w:color w:val="111111"/>
          <w:sz w:val="28"/>
          <w:szCs w:val="28"/>
          <w:rtl/>
        </w:rPr>
        <w:t xml:space="preserve">قونيوي ، ابراهيم بن صالح - مغلوي</w:t>
      </w:r>
    </w:p>
    <w:p>
      <w:pPr>
        <w:pStyle w:val="BookText"/>
      </w:pPr>
      <w:r>
        <w:rPr>
          <w:rFonts w:ascii="Amiri" w:hAnsi="Amiri" w:eastAsia="Amiri" w:cs="Amiri"/>
          <w:lang w:bidi="ar-SA"/>
          <w:color w:val="111111"/>
          <w:sz w:val="28"/>
          <w:szCs w:val="28"/>
          <w:rtl/>
        </w:rPr>
        <w:t xml:space="preserve">ابراهيم بن صالح</w:t>
      </w:r>
    </w:p>
    <w:p>
      <w:pPr>
        <w:pStyle w:val="BookText"/>
      </w:pPr>
      <w:r>
        <w:rPr>
          <w:rFonts w:ascii="Amiri" w:hAnsi="Amiri" w:eastAsia="Amiri" w:cs="Amiri"/>
          <w:lang w:bidi="ar-SA"/>
          <w:color w:val="111111"/>
          <w:sz w:val="28"/>
          <w:szCs w:val="28"/>
          <w:rtl/>
        </w:rPr>
        <w:t xml:space="preserve">قونيوي تبريزي ، علي بن اسماعيل- علاء</w:t>
      </w:r>
    </w:p>
    <w:p>
      <w:pPr>
        <w:pStyle w:val="BookText"/>
      </w:pPr>
      <w:r>
        <w:rPr>
          <w:rFonts w:ascii="Amiri" w:hAnsi="Amiri" w:eastAsia="Amiri" w:cs="Amiri"/>
          <w:lang w:bidi="ar-SA"/>
          <w:color w:val="111111"/>
          <w:sz w:val="28"/>
          <w:szCs w:val="28"/>
          <w:rtl/>
        </w:rPr>
        <w:t xml:space="preserve">الدين تبريزي ، علي بن اسماعيل</w:t>
      </w:r>
    </w:p>
    <w:p>
      <w:pPr>
        <w:pStyle w:val="BookText"/>
      </w:pPr>
      <w:r>
        <w:rPr>
          <w:rFonts w:ascii="Amiri" w:hAnsi="Amiri" w:eastAsia="Amiri" w:cs="Amiri"/>
          <w:lang w:bidi="ar-SA"/>
          <w:color w:val="111111"/>
          <w:sz w:val="28"/>
          <w:szCs w:val="28"/>
          <w:rtl/>
        </w:rPr>
        <w:t xml:space="preserve">قونيوي ، محمّد -سنبل زاده وهبي ،</w:t>
      </w:r>
    </w:p>
    <w:p>
      <w:pPr>
        <w:pStyle w:val="BookText"/>
      </w:pPr>
      <w:r>
        <w:rPr>
          <w:rFonts w:ascii="IRNazanin" w:hAnsi="IRNazanin" w:eastAsia="IRNazanin" w:cs="IRNazanin"/>
          <w:lang w:bidi="fa-IR"/>
          <w:color w:val="111111"/>
          <w:sz w:val="28"/>
          <w:szCs w:val="28"/>
          <w:rtl/>
        </w:rPr>
        <w:t xml:space="preserve">محمّد بن راشد</w:t>
      </w:r>
    </w:p>
    <w:p>
      <w:pPr>
        <w:pStyle w:val="BookText"/>
      </w:pPr>
      <w:r>
        <w:rPr>
          <w:rFonts w:ascii="Amiri" w:hAnsi="Amiri" w:eastAsia="Amiri" w:cs="Amiri"/>
          <w:lang w:bidi="ar-SA"/>
          <w:color w:val="111111"/>
          <w:sz w:val="28"/>
          <w:szCs w:val="28"/>
          <w:rtl/>
        </w:rPr>
        <w:t xml:space="preserve">قوهستاني شمس الدين محمّد- خراساني</w:t>
      </w:r>
    </w:p>
    <w:p>
      <w:pPr>
        <w:pStyle w:val="BookText"/>
      </w:pPr>
      <w:r>
        <w:rPr>
          <w:rFonts w:ascii="Amiri" w:hAnsi="Amiri" w:eastAsia="Amiri" w:cs="Amiri"/>
          <w:lang w:bidi="ar-SA"/>
          <w:color w:val="111111"/>
          <w:sz w:val="28"/>
          <w:szCs w:val="28"/>
          <w:rtl/>
        </w:rPr>
        <w:t xml:space="preserve">قهستاني ، شمس الدين محمّد</w:t>
      </w:r>
    </w:p>
    <w:p>
      <w:pPr>
        <w:pStyle w:val="Heading2"/>
      </w:pPr>
      <w:bookmarkStart w:id="6766" w:name="_Toc5868"/>
      <w:r>
        <w:t>قياني ، عبد السلام</w:t>
      </w:r>
      <w:bookmarkEnd w:id="6766"/>
    </w:p>
    <w:p>
      <w:pPr>
        <w:pStyle w:val="BookText"/>
      </w:pPr>
      <w:r>
        <w:rPr>
          <w:rFonts w:ascii="Amiri" w:hAnsi="Amiri" w:eastAsia="Amiri" w:cs="Amiri"/>
          <w:lang w:bidi="ar-SA"/>
          <w:color w:val="111111"/>
          <w:sz w:val="28"/>
          <w:szCs w:val="28"/>
          <w:rtl/>
        </w:rPr>
        <w:t xml:space="preserve">تشطير المضرية، ج 4 ، ص390.</w:t>
      </w:r>
    </w:p>
    <w:p>
      <w:pPr>
        <w:pStyle w:val="Heading2"/>
      </w:pPr>
      <w:bookmarkStart w:id="6767" w:name="_Toc5869"/>
      <w:r>
        <w:t>قيراطي، ابراهيم بن شرف الدين - 781ه-</w:t>
      </w:r>
      <w:bookmarkEnd w:id="6767"/>
    </w:p>
    <w:p>
      <w:pPr>
        <w:pStyle w:val="BookText"/>
      </w:pPr>
      <w:r>
        <w:rPr>
          <w:rFonts w:ascii="Amiri" w:hAnsi="Amiri" w:eastAsia="Amiri" w:cs="Amiri"/>
          <w:lang w:bidi="ar-SA"/>
          <w:color w:val="111111"/>
          <w:sz w:val="28"/>
          <w:szCs w:val="28"/>
          <w:rtl/>
        </w:rPr>
        <w:t xml:space="preserve">1 .تحرير القيراطي، ج 3، ص754.</w:t>
      </w:r>
    </w:p>
    <w:p>
      <w:pPr>
        <w:pStyle w:val="BookText"/>
      </w:pPr>
      <w:r>
        <w:rPr>
          <w:rFonts w:ascii="Amiri" w:hAnsi="Amiri" w:eastAsia="Amiri" w:cs="Amiri"/>
          <w:lang w:bidi="ar-SA"/>
          <w:color w:val="111111"/>
          <w:sz w:val="28"/>
          <w:szCs w:val="28"/>
          <w:rtl/>
        </w:rPr>
        <w:t xml:space="preserve">2 .القصيدة، ج 12، ص 636.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الوشاح المفصل، ج 16، ص 794.</w:t>
      </w:r>
    </w:p>
    <w:p>
      <w:pPr>
        <w:pStyle w:val="Heading2"/>
      </w:pPr>
      <w:bookmarkStart w:id="6768" w:name="_Toc5870"/>
      <w:r>
        <w:t>قير شهري ، محمّد بن ولي - 1165 ه-</w:t>
      </w:r>
      <w:bookmarkEnd w:id="6768"/>
    </w:p>
    <w:p>
      <w:pPr>
        <w:pStyle w:val="BookText"/>
      </w:pPr>
      <w:r>
        <w:rPr>
          <w:rFonts w:ascii="Amiri" w:hAnsi="Amiri" w:eastAsia="Amiri" w:cs="Amiri"/>
          <w:lang w:bidi="ar-SA"/>
          <w:color w:val="111111"/>
          <w:sz w:val="28"/>
          <w:szCs w:val="28"/>
          <w:rtl/>
        </w:rPr>
        <w:t xml:space="preserve">شؤون السقايات و وقفها، ج9، ص 71</w:t>
      </w:r>
    </w:p>
    <w:p>
      <w:pPr>
        <w:pStyle w:val="Heading2"/>
      </w:pPr>
      <w:bookmarkStart w:id="6769" w:name="_Toc5871"/>
      <w:r>
        <w:t>قيرواني</w:t>
      </w:r>
      <w:bookmarkEnd w:id="6769"/>
    </w:p>
    <w:p>
      <w:pPr>
        <w:pStyle w:val="BookText"/>
      </w:pPr>
      <w:r>
        <w:rPr>
          <w:rFonts w:ascii="Amiri" w:hAnsi="Amiri" w:eastAsia="Amiri" w:cs="Amiri"/>
          <w:lang w:bidi="ar-SA"/>
          <w:color w:val="111111"/>
          <w:sz w:val="28"/>
          <w:szCs w:val="28"/>
          <w:rtl/>
        </w:rPr>
        <w:t xml:space="preserve">شرح ام البراهين في العقائد، ج9،</w:t>
      </w:r>
    </w:p>
    <w:p>
      <w:pPr>
        <w:pStyle w:val="BookText"/>
      </w:pPr>
      <w:r>
        <w:rPr>
          <w:rFonts w:ascii="IRNazanin" w:hAnsi="IRNazanin" w:eastAsia="IRNazanin" w:cs="IRNazanin"/>
          <w:lang w:bidi="fa-IR"/>
          <w:color w:val="111111"/>
          <w:sz w:val="28"/>
          <w:szCs w:val="28"/>
          <w:rtl/>
        </w:rPr>
        <w:t xml:space="preserve">ص 234.</w:t>
      </w:r>
    </w:p>
    <w:p>
      <w:pPr>
        <w:pStyle w:val="BookText"/>
      </w:pPr>
      <w:r>
        <w:rPr>
          <w:rFonts w:ascii="Amiri" w:hAnsi="Amiri" w:eastAsia="Amiri" w:cs="Amiri"/>
          <w:lang w:bidi="ar-SA"/>
          <w:color w:val="111111"/>
          <w:sz w:val="28"/>
          <w:szCs w:val="28"/>
          <w:rtl/>
        </w:rPr>
        <w:t xml:space="preserve">قيرواني ، ابن ابي زيد- ابن ابي زيد ، عبدالله بن عبدالرحمن</w:t>
      </w:r>
    </w:p>
    <w:p>
      <w:pPr>
        <w:pStyle w:val="BookText"/>
      </w:pPr>
      <w:r>
        <w:rPr>
          <w:rFonts w:ascii="Amiri" w:hAnsi="Amiri" w:eastAsia="Amiri" w:cs="Amiri"/>
          <w:lang w:bidi="ar-SA"/>
          <w:color w:val="111111"/>
          <w:sz w:val="28"/>
          <w:szCs w:val="28"/>
          <w:rtl/>
        </w:rPr>
        <w:t xml:space="preserve">قيرواني ، ابن شرف -ابن شرف قيرواني ،</w:t>
      </w:r>
    </w:p>
    <w:p>
      <w:pPr>
        <w:pStyle w:val="BookText"/>
      </w:pPr>
      <w:r>
        <w:rPr>
          <w:rFonts w:ascii="Amiri" w:hAnsi="Amiri" w:eastAsia="Amiri" w:cs="Amiri"/>
          <w:lang w:bidi="ar-SA"/>
          <w:color w:val="111111"/>
          <w:sz w:val="28"/>
          <w:szCs w:val="28"/>
          <w:rtl/>
        </w:rPr>
        <w:t xml:space="preserve">محمّد بن سعيد</w:t>
      </w:r>
    </w:p>
    <w:p>
      <w:pPr>
        <w:pStyle w:val="Heading2"/>
      </w:pPr>
      <w:bookmarkStart w:id="6770" w:name="_Toc5872"/>
      <w:r>
        <w:t>قيرواني، حسن بن رشيق، 390-4463ه-</w:t>
      </w:r>
      <w:bookmarkEnd w:id="6770"/>
    </w:p>
    <w:p>
      <w:pPr>
        <w:pStyle w:val="BookText"/>
      </w:pPr>
      <w:r>
        <w:rPr>
          <w:rFonts w:ascii="Amiri" w:hAnsi="Amiri" w:eastAsia="Amiri" w:cs="Amiri"/>
          <w:lang w:bidi="ar-SA"/>
          <w:color w:val="111111"/>
          <w:sz w:val="28"/>
          <w:szCs w:val="28"/>
          <w:rtl/>
        </w:rPr>
        <w:t xml:space="preserve">العمدة في صناعة الشعر، ج11،</w:t>
      </w:r>
    </w:p>
    <w:p>
      <w:pPr>
        <w:pStyle w:val="BookText"/>
      </w:pPr>
      <w:r>
        <w:rPr>
          <w:rFonts w:ascii="IRNazanin" w:hAnsi="IRNazanin" w:eastAsia="IRNazanin" w:cs="IRNazanin"/>
          <w:lang w:bidi="fa-IR"/>
          <w:color w:val="111111"/>
          <w:sz w:val="28"/>
          <w:szCs w:val="28"/>
          <w:rtl/>
        </w:rPr>
        <w:t xml:space="preserve">ص 302.</w:t>
      </w:r>
    </w:p>
    <w:p>
      <w:pPr>
        <w:pStyle w:val="Heading2"/>
      </w:pPr>
      <w:bookmarkStart w:id="6771" w:name="_Toc5873"/>
      <w:r>
        <w:t>قيرواني عبد الجليل بن محمّد - 960ه-</w:t>
      </w:r>
      <w:bookmarkEnd w:id="6771"/>
    </w:p>
    <w:p>
      <w:pPr>
        <w:pStyle w:val="BookText"/>
      </w:pPr>
      <w:r>
        <w:rPr>
          <w:rFonts w:ascii="Amiri" w:hAnsi="Amiri" w:eastAsia="Amiri" w:cs="Amiri"/>
          <w:lang w:bidi="ar-SA"/>
          <w:color w:val="111111"/>
          <w:sz w:val="28"/>
          <w:szCs w:val="28"/>
          <w:rtl/>
        </w:rPr>
        <w:t xml:space="preserve">تنبيه الأنام في بيان علو مقام نبينا محمّد صلى الله عليه و آله و سلم»</w:t>
      </w:r>
    </w:p>
    <w:p>
      <w:pPr>
        <w:pStyle w:val="BookText"/>
      </w:pPr>
      <w:r>
        <w:rPr>
          <w:rFonts w:ascii="IRNazanin" w:hAnsi="IRNazanin" w:eastAsia="IRNazanin" w:cs="IRNazanin"/>
          <w:lang w:bidi="fa-IR"/>
          <w:color w:val="111111"/>
          <w:sz w:val="28"/>
          <w:szCs w:val="28"/>
          <w:rtl/>
        </w:rPr>
        <w:t xml:space="preserve">ج 5، ص 25</w:t>
      </w:r>
    </w:p>
    <w:p>
      <w:pPr>
        <w:pStyle w:val="BookText"/>
      </w:pPr>
      <w:r>
        <w:rPr>
          <w:rFonts w:ascii="Amiri" w:hAnsi="Amiri" w:eastAsia="Amiri" w:cs="Amiri"/>
          <w:lang w:bidi="ar-SA"/>
          <w:color w:val="111111"/>
          <w:sz w:val="28"/>
          <w:szCs w:val="28"/>
          <w:rtl/>
        </w:rPr>
        <w:t xml:space="preserve">قيرواني، عبدالسلام بن عبدالغالب- ابن</w:t>
      </w:r>
    </w:p>
    <w:p>
      <w:pPr>
        <w:pStyle w:val="BookText"/>
      </w:pPr>
      <w:r>
        <w:rPr>
          <w:rFonts w:ascii="IRNazanin" w:hAnsi="IRNazanin" w:eastAsia="IRNazanin" w:cs="IRNazanin"/>
          <w:lang w:bidi="fa-IR"/>
          <w:color w:val="111111"/>
          <w:sz w:val="28"/>
          <w:szCs w:val="28"/>
          <w:rtl/>
        </w:rPr>
        <w:t xml:space="preserve">غلاب ، عبدالسلام بن عبدالغالب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897" w:name="pg7742_71078"/>
    <w:bookmarkEnd w:id="897"/>
    <w:p>
      <w:pPr>
        <w:pStyle w:val="BookText"/>
      </w:pPr>
      <w:r>
        <w:rPr>
          <w:rFonts w:ascii="Amiri" w:hAnsi="Amiri" w:eastAsia="Amiri" w:cs="Amiri"/>
          <w:lang w:bidi="ar-SA"/>
          <w:color w:val="111111"/>
          <w:sz w:val="28"/>
          <w:szCs w:val="28"/>
          <w:rtl/>
        </w:rPr>
        <w:t xml:space="preserve">قيرواني ، علي بن ابي الرجال - شيباني ، علي بن ابي الرجال</w:t>
      </w:r>
    </w:p>
    <w:p>
      <w:pPr>
        <w:pStyle w:val="BookText"/>
      </w:pPr>
      <w:r>
        <w:rPr>
          <w:rFonts w:ascii="Amiri" w:hAnsi="Amiri" w:eastAsia="Amiri" w:cs="Amiri"/>
          <w:lang w:bidi="ar-SA"/>
          <w:color w:val="111111"/>
          <w:sz w:val="28"/>
          <w:szCs w:val="28"/>
          <w:rtl/>
        </w:rPr>
        <w:t xml:space="preserve">قيرواني ، علي بن محمّد- منوفي ، علي بن</w:t>
      </w:r>
    </w:p>
    <w:p>
      <w:pPr>
        <w:pStyle w:val="BookText"/>
      </w:pPr>
      <w:r>
        <w:rPr>
          <w:rFonts w:ascii="Amiri" w:hAnsi="Amiri" w:eastAsia="Amiri" w:cs="Amiri"/>
          <w:lang w:bidi="ar-SA"/>
          <w:color w:val="111111"/>
          <w:sz w:val="28"/>
          <w:szCs w:val="28"/>
          <w:rtl/>
        </w:rPr>
        <w:t xml:space="preserve">محمّد</w:t>
      </w:r>
    </w:p>
    <w:p>
      <w:pPr>
        <w:pStyle w:val="BookText"/>
      </w:pPr>
      <w:r>
        <w:rPr>
          <w:rFonts w:ascii="Amiri" w:hAnsi="Amiri" w:eastAsia="Amiri" w:cs="Amiri"/>
          <w:lang w:bidi="ar-SA"/>
          <w:color w:val="111111"/>
          <w:sz w:val="28"/>
          <w:szCs w:val="28"/>
          <w:rtl/>
        </w:rPr>
        <w:t xml:space="preserve">قيرواني ، محمّد بن محمّد- ابن حاج</w:t>
      </w:r>
    </w:p>
    <w:p>
      <w:pPr>
        <w:pStyle w:val="BookText"/>
      </w:pPr>
      <w:r>
        <w:rPr>
          <w:rFonts w:ascii="Amiri" w:hAnsi="Amiri" w:eastAsia="Amiri" w:cs="Amiri"/>
          <w:lang w:bidi="ar-SA"/>
          <w:color w:val="111111"/>
          <w:sz w:val="28"/>
          <w:szCs w:val="28"/>
          <w:rtl/>
        </w:rPr>
        <w:t xml:space="preserve">عبدري ، محمّد بن محمّد</w:t>
      </w:r>
    </w:p>
    <w:p>
      <w:pPr>
        <w:pStyle w:val="BookText"/>
      </w:pPr>
      <w:r>
        <w:rPr>
          <w:rFonts w:ascii="Amiri" w:hAnsi="Amiri" w:eastAsia="Amiri" w:cs="Amiri"/>
          <w:lang w:bidi="ar-SA"/>
          <w:color w:val="111111"/>
          <w:sz w:val="28"/>
          <w:szCs w:val="28"/>
          <w:rtl/>
        </w:rPr>
        <w:t xml:space="preserve">قيس تميمي ، علقمة بن عبده -علقمة</w:t>
      </w:r>
    </w:p>
    <w:p>
      <w:pPr>
        <w:pStyle w:val="BookText"/>
      </w:pPr>
      <w:r>
        <w:rPr>
          <w:rFonts w:ascii="IRNazanin" w:hAnsi="IRNazanin" w:eastAsia="IRNazanin" w:cs="IRNazanin"/>
          <w:lang w:bidi="fa-IR"/>
          <w:color w:val="111111"/>
          <w:sz w:val="28"/>
          <w:szCs w:val="28"/>
          <w:rtl/>
        </w:rPr>
        <w:t xml:space="preserve">الفحل</w:t>
      </w:r>
    </w:p>
    <w:p>
      <w:pPr>
        <w:pStyle w:val="BookText"/>
      </w:pPr>
      <w:r>
        <w:rPr>
          <w:rFonts w:ascii="Amiri" w:hAnsi="Amiri" w:eastAsia="Amiri" w:cs="Amiri"/>
          <w:lang w:bidi="ar-SA"/>
          <w:color w:val="111111"/>
          <w:sz w:val="28"/>
          <w:szCs w:val="28"/>
          <w:rtl/>
        </w:rPr>
        <w:t xml:space="preserve">قيس عامري - مجنون ، قيس بن الملوح</w:t>
      </w:r>
    </w:p>
    <w:p>
      <w:pPr>
        <w:pStyle w:val="BookText"/>
      </w:pPr>
      <w:r>
        <w:rPr>
          <w:rFonts w:ascii="IRNazanin" w:hAnsi="IRNazanin" w:eastAsia="IRNazanin" w:cs="IRNazanin"/>
          <w:lang w:bidi="fa-IR"/>
          <w:color w:val="111111"/>
          <w:sz w:val="28"/>
          <w:szCs w:val="28"/>
          <w:rtl/>
        </w:rPr>
        <w:t xml:space="preserve">قیسوني زاده، محمّد بن محمّد -قوصوني ،</w:t>
      </w:r>
    </w:p>
    <w:p>
      <w:pPr>
        <w:pStyle w:val="BookText"/>
      </w:pPr>
      <w:r>
        <w:rPr>
          <w:rFonts w:ascii="Amiri" w:hAnsi="Amiri" w:eastAsia="Amiri" w:cs="Amiri"/>
          <w:lang w:bidi="ar-SA"/>
          <w:color w:val="111111"/>
          <w:sz w:val="28"/>
          <w:szCs w:val="28"/>
          <w:rtl/>
        </w:rPr>
        <w:t xml:space="preserve">محمّد بن محمّد</w:t>
      </w:r>
    </w:p>
    <w:p>
      <w:pPr>
        <w:pStyle w:val="Heading2"/>
      </w:pPr>
      <w:bookmarkStart w:id="6772" w:name="_Toc5874"/>
      <w:r>
        <w:t>قيسي</w:t>
      </w:r>
      <w:bookmarkEnd w:id="6772"/>
    </w:p>
    <w:p>
      <w:pPr>
        <w:pStyle w:val="BookText"/>
      </w:pPr>
      <w:r>
        <w:rPr>
          <w:rFonts w:ascii="Amiri" w:hAnsi="Amiri" w:eastAsia="Amiri" w:cs="Amiri"/>
          <w:lang w:bidi="ar-SA"/>
          <w:color w:val="111111"/>
          <w:sz w:val="28"/>
          <w:szCs w:val="28"/>
          <w:rtl/>
        </w:rPr>
        <w:t xml:space="preserve">ايضاح شواهد الايضاح، ج 3، ص 120</w:t>
      </w:r>
    </w:p>
    <w:p>
      <w:pPr>
        <w:pStyle w:val="Heading2"/>
      </w:pPr>
      <w:bookmarkStart w:id="6773" w:name="_Toc5875"/>
      <w:r>
        <w:t>قيسي ابراهيم بن محمّد، 2697-742 ه-</w:t>
      </w:r>
      <w:bookmarkEnd w:id="6773"/>
    </w:p>
    <w:p>
      <w:pPr>
        <w:pStyle w:val="BookText"/>
      </w:pPr>
      <w:r>
        <w:rPr>
          <w:rFonts w:ascii="Amiri" w:hAnsi="Amiri" w:eastAsia="Amiri" w:cs="Amiri"/>
          <w:lang w:bidi="ar-SA"/>
          <w:color w:val="111111"/>
          <w:sz w:val="28"/>
          <w:szCs w:val="28"/>
          <w:rtl/>
        </w:rPr>
        <w:t xml:space="preserve">المجيد في اعراب القرآن المجيد =</w:t>
      </w:r>
    </w:p>
    <w:p>
      <w:pPr>
        <w:pStyle w:val="BookText"/>
      </w:pPr>
      <w:r>
        <w:rPr>
          <w:rFonts w:ascii="IRNazanin" w:hAnsi="IRNazanin" w:eastAsia="IRNazanin" w:cs="IRNazanin"/>
          <w:lang w:bidi="fa-IR"/>
          <w:color w:val="111111"/>
          <w:sz w:val="28"/>
          <w:szCs w:val="28"/>
          <w:rtl/>
        </w:rPr>
        <w:t xml:space="preserve">اعراب القرآن، ج 14، ص 85.</w:t>
      </w:r>
    </w:p>
    <w:p>
      <w:pPr>
        <w:pStyle w:val="BookText"/>
      </w:pPr>
      <w:r>
        <w:rPr>
          <w:rFonts w:ascii="Amiri" w:hAnsi="Amiri" w:eastAsia="Amiri" w:cs="Amiri"/>
          <w:lang w:bidi="ar-SA"/>
          <w:color w:val="111111"/>
          <w:sz w:val="28"/>
          <w:szCs w:val="28"/>
          <w:rtl/>
        </w:rPr>
        <w:t xml:space="preserve">قيسي ، احمد بن عبد المؤمن- شريشي احمد بن عبدالمؤمن</w:t>
      </w:r>
    </w:p>
    <w:p>
      <w:pPr>
        <w:pStyle w:val="Heading2"/>
      </w:pPr>
      <w:bookmarkStart w:id="6774" w:name="_Toc5876"/>
      <w:r>
        <w:t>قيسي ، احمد بن عثمان - 657 ه-</w:t>
      </w:r>
      <w:bookmarkEnd w:id="6774"/>
    </w:p>
    <w:p>
      <w:pPr>
        <w:pStyle w:val="BookText"/>
      </w:pPr>
      <w:r>
        <w:rPr>
          <w:rFonts w:ascii="Amiri" w:hAnsi="Amiri" w:eastAsia="Amiri" w:cs="Amiri"/>
          <w:lang w:bidi="ar-SA"/>
          <w:color w:val="111111"/>
          <w:sz w:val="28"/>
          <w:szCs w:val="28"/>
          <w:rtl/>
        </w:rPr>
        <w:t xml:space="preserve">نتيجة الفكر في علاج امراض العين و</w:t>
      </w:r>
    </w:p>
    <w:p>
      <w:pPr>
        <w:pStyle w:val="BookText"/>
      </w:pPr>
      <w:r>
        <w:rPr>
          <w:rFonts w:ascii="IRNazanin" w:hAnsi="IRNazanin" w:eastAsia="IRNazanin" w:cs="IRNazanin"/>
          <w:lang w:bidi="fa-IR"/>
          <w:color w:val="111111"/>
          <w:sz w:val="28"/>
          <w:szCs w:val="28"/>
          <w:rtl/>
        </w:rPr>
        <w:t xml:space="preserve">البصر، ج 16، ص 137.</w:t>
      </w:r>
    </w:p>
    <w:p>
      <w:pPr>
        <w:pStyle w:val="BookText"/>
      </w:pPr>
      <w:r>
        <w:rPr>
          <w:rFonts w:ascii="Amiri" w:hAnsi="Amiri" w:eastAsia="Amiri" w:cs="Amiri"/>
          <w:lang w:bidi="ar-SA"/>
          <w:color w:val="111111"/>
          <w:sz w:val="28"/>
          <w:szCs w:val="28"/>
          <w:rtl/>
        </w:rPr>
        <w:t xml:space="preserve">قيسي ، احمد بن يوسف -تيفاشي ، احمد</w:t>
      </w:r>
    </w:p>
    <w:p>
      <w:pPr>
        <w:pStyle w:val="BookText"/>
      </w:pPr>
      <w:r>
        <w:rPr>
          <w:rFonts w:ascii="Amiri" w:hAnsi="Amiri" w:eastAsia="Amiri" w:cs="Amiri"/>
          <w:lang w:bidi="ar-SA"/>
          <w:color w:val="111111"/>
          <w:sz w:val="28"/>
          <w:szCs w:val="28"/>
          <w:rtl/>
        </w:rPr>
        <w:t xml:space="preserve">بن يوسف</w:t>
      </w:r>
    </w:p>
    <w:p>
      <w:pPr>
        <w:pStyle w:val="BookText"/>
      </w:pPr>
      <w:r>
        <w:rPr>
          <w:rFonts w:ascii="Amiri" w:hAnsi="Amiri" w:eastAsia="Amiri" w:cs="Amiri"/>
          <w:lang w:bidi="ar-SA"/>
          <w:color w:val="111111"/>
          <w:sz w:val="28"/>
          <w:szCs w:val="28"/>
          <w:rtl/>
        </w:rPr>
        <w:t xml:space="preserve">قيسي ، عثمان بن هبة الله- ابن ابي</w:t>
      </w:r>
    </w:p>
    <w:p>
      <w:pPr>
        <w:pStyle w:val="BookText"/>
      </w:pPr>
      <w:r>
        <w:rPr>
          <w:rFonts w:ascii="Amiri" w:hAnsi="Amiri" w:eastAsia="Amiri" w:cs="Amiri"/>
          <w:lang w:bidi="ar-SA"/>
          <w:color w:val="111111"/>
          <w:sz w:val="28"/>
          <w:szCs w:val="28"/>
          <w:rtl/>
        </w:rPr>
        <w:t xml:space="preserve">الحوافر ، عثمان بن هبة الله</w:t>
      </w:r>
    </w:p>
    <w:p>
      <w:pPr>
        <w:pStyle w:val="Heading2"/>
      </w:pPr>
      <w:bookmarkStart w:id="6775" w:name="_Toc5877"/>
      <w:r>
        <w:t>قيسي ، علي بن ابي الفرج</w:t>
      </w:r>
      <w:bookmarkEnd w:id="6775"/>
    </w:p>
    <w:p>
      <w:pPr>
        <w:pStyle w:val="BookText"/>
      </w:pPr>
      <w:r>
        <w:rPr>
          <w:rFonts w:ascii="Amiri" w:hAnsi="Amiri" w:eastAsia="Amiri" w:cs="Amiri"/>
          <w:lang w:bidi="ar-SA"/>
          <w:color w:val="111111"/>
          <w:sz w:val="28"/>
          <w:szCs w:val="28"/>
          <w:rtl/>
        </w:rPr>
        <w:t xml:space="preserve">الفرق بين الضاد والظاء، ج11، ص 792.</w:t>
      </w:r>
    </w:p>
    <w:p>
      <w:pPr>
        <w:pStyle w:val="BookText"/>
      </w:pPr>
      <w:r>
        <w:rPr>
          <w:rFonts w:ascii="Amiri" w:hAnsi="Amiri" w:eastAsia="Amiri" w:cs="Amiri"/>
          <w:lang w:bidi="ar-SA"/>
          <w:color w:val="111111"/>
          <w:sz w:val="28"/>
          <w:szCs w:val="28"/>
          <w:rtl/>
        </w:rPr>
        <w:t xml:space="preserve">قيسي ، فتح بن محمّد- ابن خاقان ، فتح بن محمّد</w:t>
      </w:r>
    </w:p>
    <w:p>
      <w:pPr>
        <w:pStyle w:val="Heading2"/>
      </w:pPr>
      <w:bookmarkStart w:id="6776" w:name="_Toc5878"/>
      <w:r>
        <w:t>قيسي ، قاسم بن احمد - 1375 ه-</w:t>
      </w:r>
      <w:bookmarkEnd w:id="6776"/>
    </w:p>
    <w:p>
      <w:pPr>
        <w:pStyle w:val="BookText"/>
      </w:pPr>
      <w:r>
        <w:rPr>
          <w:rFonts w:ascii="Amiri" w:hAnsi="Amiri" w:eastAsia="Amiri" w:cs="Amiri"/>
          <w:lang w:bidi="ar-SA"/>
          <w:color w:val="111111"/>
          <w:sz w:val="28"/>
          <w:szCs w:val="28"/>
          <w:rtl/>
        </w:rPr>
        <w:t xml:space="preserve">الغيث النافع في بيان حقيقة التابع</w:t>
      </w:r>
    </w:p>
    <w:p>
      <w:pPr>
        <w:pStyle w:val="BookText"/>
      </w:pPr>
      <w:r>
        <w:rPr>
          <w:rFonts w:ascii="IRNazanin" w:hAnsi="IRNazanin" w:eastAsia="IRNazanin" w:cs="IRNazanin"/>
          <w:lang w:bidi="fa-IR"/>
          <w:color w:val="111111"/>
          <w:sz w:val="28"/>
          <w:szCs w:val="28"/>
          <w:rtl/>
        </w:rPr>
        <w:t xml:space="preserve">ج 11، ص 562.</w:t>
      </w:r>
    </w:p>
    <w:p>
      <w:pPr>
        <w:pStyle w:val="BookText"/>
      </w:pPr>
      <w:r>
        <w:rPr>
          <w:rFonts w:ascii="IRNazanin" w:hAnsi="IRNazanin" w:eastAsia="IRNazanin" w:cs="IRNazanin"/>
          <w:lang w:bidi="fa-IR"/>
          <w:color w:val="111111"/>
          <w:sz w:val="28"/>
          <w:szCs w:val="28"/>
          <w:rtl/>
        </w:rPr>
        <w:t xml:space="preserve">قيسي ، محمّد بن عبدالله- ابن ناصرالدین</w:t>
      </w:r>
    </w:p>
    <w:p>
      <w:pPr>
        <w:pStyle w:val="BookText"/>
      </w:pPr>
      <w:r>
        <w:rPr>
          <w:rFonts w:ascii="IRNazanin" w:hAnsi="IRNazanin" w:eastAsia="IRNazanin" w:cs="IRNazanin"/>
          <w:lang w:bidi="fa-IR"/>
          <w:color w:val="111111"/>
          <w:sz w:val="28"/>
          <w:szCs w:val="28"/>
          <w:rtl/>
        </w:rPr>
        <w:t xml:space="preserve">، محمّد بن عبدالله</w:t>
      </w:r>
    </w:p>
    <w:p>
      <w:pPr>
        <w:pStyle w:val="BookText"/>
      </w:pPr>
      <w:r>
        <w:rPr>
          <w:rFonts w:ascii="Amiri" w:hAnsi="Amiri" w:eastAsia="Amiri" w:cs="Amiri"/>
          <w:lang w:bidi="ar-SA"/>
          <w:color w:val="111111"/>
          <w:sz w:val="28"/>
          <w:szCs w:val="28"/>
          <w:rtl/>
        </w:rPr>
        <w:t xml:space="preserve">قيسي ، محمّد بن عبد الملك- ابن طفيل ،</w:t>
      </w:r>
    </w:p>
    <w:p>
      <w:pPr>
        <w:pStyle w:val="BookText"/>
      </w:pPr>
      <w:r>
        <w:rPr>
          <w:rFonts w:ascii="Amiri" w:hAnsi="Amiri" w:eastAsia="Amiri" w:cs="Amiri"/>
          <w:lang w:bidi="ar-SA"/>
          <w:color w:val="111111"/>
          <w:sz w:val="28"/>
          <w:szCs w:val="28"/>
          <w:rtl/>
        </w:rPr>
        <w:t xml:space="preserve">محمد بن عبدالملك</w:t>
      </w:r>
    </w:p>
    <w:p>
      <w:pPr>
        <w:pStyle w:val="BookText"/>
      </w:pPr>
      <w:r>
        <w:rPr>
          <w:rFonts w:ascii="Amiri" w:hAnsi="Amiri" w:eastAsia="Amiri" w:cs="Amiri"/>
          <w:lang w:bidi="ar-SA"/>
          <w:color w:val="111111"/>
          <w:sz w:val="28"/>
          <w:szCs w:val="28"/>
          <w:rtl/>
        </w:rPr>
        <w:t xml:space="preserve">قيسي ، مكي بن حموش- مكي بن حموش</w:t>
      </w:r>
    </w:p>
    <w:p>
      <w:pPr>
        <w:pStyle w:val="Heading2"/>
      </w:pPr>
      <w:bookmarkStart w:id="6777" w:name="_Toc5879"/>
      <w:r>
        <w:t>قيصراني ، يعقوب بن علي</w:t>
      </w:r>
      <w:bookmarkEnd w:id="6777"/>
    </w:p>
    <w:p>
      <w:pPr>
        <w:pStyle w:val="BookText"/>
      </w:pPr>
      <w:r>
        <w:rPr>
          <w:rFonts w:ascii="Amiri" w:hAnsi="Amiri" w:eastAsia="Amiri" w:cs="Amiri"/>
          <w:lang w:bidi="ar-SA"/>
          <w:color w:val="111111"/>
          <w:sz w:val="28"/>
          <w:szCs w:val="28"/>
          <w:rtl/>
        </w:rPr>
        <w:t xml:space="preserve">كتاب القيصراني، ج13، ص117.</w:t>
      </w:r>
    </w:p>
    <w:p>
      <w:pPr>
        <w:pStyle w:val="BookText"/>
      </w:pPr>
      <w:r>
        <w:rPr>
          <w:rFonts w:ascii="IRNazanin" w:hAnsi="IRNazanin" w:eastAsia="IRNazanin" w:cs="IRNazanin"/>
          <w:lang w:bidi="fa-IR"/>
          <w:color w:val="111111"/>
          <w:sz w:val="28"/>
          <w:szCs w:val="28"/>
          <w:rtl/>
        </w:rPr>
        <w:t xml:space="preserve">قيصري ، ابراهيم بن محمّد- كوزي بيوك زاده، ابراهیم بن محمّد</w:t>
      </w:r>
    </w:p>
    <w:p>
      <w:pPr>
        <w:pStyle w:val="Heading2"/>
      </w:pPr>
      <w:bookmarkStart w:id="6778" w:name="_Toc5880"/>
      <w:r>
        <w:t>قيصري ، احمد</w:t>
      </w:r>
      <w:bookmarkEnd w:id="6778"/>
    </w:p>
    <w:p>
      <w:pPr>
        <w:pStyle w:val="BookText"/>
      </w:pPr>
      <w:r>
        <w:rPr>
          <w:rFonts w:ascii="Amiri" w:hAnsi="Amiri" w:eastAsia="Amiri" w:cs="Amiri"/>
          <w:lang w:bidi="ar-SA"/>
          <w:color w:val="111111"/>
          <w:sz w:val="28"/>
          <w:szCs w:val="28"/>
          <w:rtl/>
        </w:rPr>
        <w:t xml:space="preserve">كشف السلوك عن دائرة السبعة</w:t>
      </w:r>
    </w:p>
    <w:p>
      <w:pPr>
        <w:pStyle w:val="BookText"/>
      </w:pPr>
      <w:r>
        <w:rPr>
          <w:rFonts w:ascii="IRNazanin" w:hAnsi="IRNazanin" w:eastAsia="IRNazanin" w:cs="IRNazanin"/>
          <w:lang w:bidi="fa-IR"/>
          <w:color w:val="111111"/>
          <w:sz w:val="28"/>
          <w:szCs w:val="28"/>
          <w:rtl/>
        </w:rPr>
        <w:t xml:space="preserve">ج 13، ص 221.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898" w:name="pg7742_71080"/>
    <w:bookmarkEnd w:id="898"/>
    <w:p>
      <w:pPr>
        <w:pStyle w:val="Heading2"/>
      </w:pPr>
      <w:bookmarkStart w:id="6779" w:name="_Toc5881"/>
      <w:r>
        <w:t>قيصري، داود بن محمود - 751 ه-</w:t>
      </w:r>
      <w:bookmarkEnd w:id="6779"/>
    </w:p>
    <w:p>
      <w:pPr>
        <w:pStyle w:val="BookText"/>
      </w:pPr>
      <w:r>
        <w:rPr>
          <w:rFonts w:ascii="Amiri" w:hAnsi="Amiri" w:eastAsia="Amiri" w:cs="Amiri"/>
          <w:lang w:bidi="ar-SA"/>
          <w:color w:val="111111"/>
          <w:sz w:val="28"/>
          <w:szCs w:val="28"/>
          <w:rtl/>
        </w:rPr>
        <w:t xml:space="preserve">1 .شرح القصيدة التائية، ج 9، ص858.</w:t>
      </w:r>
    </w:p>
    <w:p>
      <w:pPr>
        <w:pStyle w:val="BookText"/>
      </w:pPr>
      <w:r>
        <w:rPr>
          <w:rFonts w:ascii="Amiri" w:hAnsi="Amiri" w:eastAsia="Amiri" w:cs="Amiri"/>
          <w:lang w:bidi="ar-SA"/>
          <w:color w:val="111111"/>
          <w:sz w:val="28"/>
          <w:szCs w:val="28"/>
          <w:rtl/>
        </w:rPr>
        <w:t xml:space="preserve">2 .شرح فصوص الحكم، ج9، ص 792.</w:t>
      </w:r>
    </w:p>
    <w:p>
      <w:pPr>
        <w:pStyle w:val="BookText"/>
      </w:pPr>
      <w:r>
        <w:rPr>
          <w:rFonts w:ascii="Amiri" w:hAnsi="Amiri" w:eastAsia="Amiri" w:cs="Amiri"/>
          <w:lang w:bidi="ar-SA"/>
          <w:color w:val="111111"/>
          <w:sz w:val="28"/>
          <w:szCs w:val="28"/>
          <w:rtl/>
        </w:rPr>
        <w:t xml:space="preserve">3 .شرح قصيدة الخمرية، ج9، ص 862.</w:t>
      </w:r>
    </w:p>
    <w:p>
      <w:pPr>
        <w:pStyle w:val="BookText"/>
      </w:pPr>
      <w:r>
        <w:rPr>
          <w:rFonts w:ascii="Amiri" w:hAnsi="Amiri" w:eastAsia="Amiri" w:cs="Amiri"/>
          <w:lang w:bidi="ar-SA"/>
          <w:color w:val="111111"/>
          <w:sz w:val="28"/>
          <w:szCs w:val="28"/>
          <w:rtl/>
        </w:rPr>
        <w:t xml:space="preserve">4 .كشف وجوه الغر لمعاني نظم الدر</w:t>
      </w:r>
    </w:p>
    <w:p>
      <w:pPr>
        <w:pStyle w:val="BookText"/>
      </w:pPr>
      <w:r>
        <w:rPr>
          <w:rFonts w:ascii="Amiri" w:hAnsi="Amiri" w:eastAsia="Amiri" w:cs="Amiri"/>
          <w:lang w:bidi="ar-SA"/>
          <w:color w:val="111111"/>
          <w:sz w:val="28"/>
          <w:szCs w:val="28"/>
          <w:rtl/>
        </w:rPr>
        <w:t xml:space="preserve">= شرح تائيه ابن فارض، ج13،</w:t>
      </w:r>
    </w:p>
    <w:p>
      <w:pPr>
        <w:pStyle w:val="BookText"/>
      </w:pPr>
      <w:r>
        <w:rPr>
          <w:rFonts w:ascii="IRNazanin" w:hAnsi="IRNazanin" w:eastAsia="IRNazanin" w:cs="IRNazanin"/>
          <w:lang w:bidi="fa-IR"/>
          <w:color w:val="111111"/>
          <w:sz w:val="28"/>
          <w:szCs w:val="28"/>
          <w:rtl/>
        </w:rPr>
        <w:t xml:space="preserve">ص 281.</w:t>
      </w:r>
    </w:p>
    <w:p>
      <w:pPr>
        <w:pStyle w:val="BookText"/>
      </w:pPr>
      <w:r>
        <w:rPr>
          <w:rFonts w:ascii="Amiri" w:hAnsi="Amiri" w:eastAsia="Amiri" w:cs="Amiri"/>
          <w:lang w:bidi="ar-SA"/>
          <w:color w:val="111111"/>
          <w:sz w:val="28"/>
          <w:szCs w:val="28"/>
          <w:rtl/>
        </w:rPr>
        <w:t xml:space="preserve">5.مراتب التوحيد، ج 14، ص 365.</w:t>
      </w:r>
    </w:p>
    <w:p>
      <w:pPr>
        <w:pStyle w:val="BookText"/>
      </w:pPr>
      <w:r>
        <w:rPr>
          <w:rFonts w:ascii="Amiri" w:hAnsi="Amiri" w:eastAsia="Amiri" w:cs="Amiri"/>
          <w:lang w:bidi="ar-SA"/>
          <w:color w:val="111111"/>
          <w:sz w:val="28"/>
          <w:szCs w:val="28"/>
          <w:rtl/>
        </w:rPr>
        <w:t xml:space="preserve">6 .مطلع خصوص الكلم في معاني فصوص الحكم = مقدمه شرح</w:t>
      </w:r>
    </w:p>
    <w:p>
      <w:pPr>
        <w:pStyle w:val="BookText"/>
      </w:pPr>
      <w:r>
        <w:rPr>
          <w:rFonts w:ascii="Amiri" w:hAnsi="Amiri" w:eastAsia="Amiri" w:cs="Amiri"/>
          <w:lang w:bidi="ar-SA"/>
          <w:color w:val="111111"/>
          <w:sz w:val="28"/>
          <w:szCs w:val="28"/>
          <w:rtl/>
        </w:rPr>
        <w:t xml:space="preserve">فصوص الحكم، ج 14 ، ص 796.</w:t>
      </w:r>
    </w:p>
    <w:p>
      <w:pPr>
        <w:pStyle w:val="BookText"/>
      </w:pPr>
      <w:r>
        <w:rPr>
          <w:rFonts w:ascii="Amiri" w:hAnsi="Amiri" w:eastAsia="Amiri" w:cs="Amiri"/>
          <w:lang w:bidi="ar-SA"/>
          <w:color w:val="111111"/>
          <w:sz w:val="28"/>
          <w:szCs w:val="28"/>
          <w:rtl/>
        </w:rPr>
        <w:t xml:space="preserve">7 .نهاية البيان في دراية الزمان في علوم الحقايق و الدقايق، ج16، ص487.</w:t>
      </w:r>
    </w:p>
    <w:p>
      <w:pPr>
        <w:pStyle w:val="Heading2"/>
      </w:pPr>
      <w:bookmarkStart w:id="6780" w:name="_Toc5882"/>
      <w:r>
        <w:t>قيصري ، رجب بن احمد - 1087 ؟ ه-</w:t>
      </w:r>
      <w:bookmarkEnd w:id="6780"/>
    </w:p>
    <w:p>
      <w:pPr>
        <w:pStyle w:val="BookText"/>
      </w:pPr>
      <w:r>
        <w:rPr>
          <w:rFonts w:ascii="Amiri" w:hAnsi="Amiri" w:eastAsia="Amiri" w:cs="Amiri"/>
          <w:lang w:bidi="ar-SA"/>
          <w:color w:val="111111"/>
          <w:sz w:val="28"/>
          <w:szCs w:val="28"/>
          <w:rtl/>
        </w:rPr>
        <w:t xml:space="preserve">1 .التصوف (رسالة في)، ج 4، ص 431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جامع الازهار و لطائف الاخبار، جه،</w:t>
      </w:r>
    </w:p>
    <w:p>
      <w:pPr>
        <w:pStyle w:val="BookText"/>
      </w:pPr>
      <w:r>
        <w:rPr>
          <w:rFonts w:ascii="IRNazanin" w:hAnsi="IRNazanin" w:eastAsia="IRNazanin" w:cs="IRNazanin"/>
          <w:lang w:bidi="fa-IR"/>
          <w:color w:val="111111"/>
          <w:sz w:val="28"/>
          <w:szCs w:val="28"/>
          <w:rtl/>
        </w:rPr>
        <w:t xml:space="preserve">ص 247 .</w:t>
      </w:r>
    </w:p>
    <w:p>
      <w:pPr>
        <w:pStyle w:val="Heading2"/>
      </w:pPr>
      <w:bookmarkStart w:id="6781" w:name="_Toc5883"/>
      <w:r>
        <w:t>قيصري، عبد الحليم بن محمّد - 1115</w:t>
      </w:r>
      <w:bookmarkEnd w:id="6781"/>
    </w:p>
    <w:p>
      <w:pPr>
        <w:pStyle w:val="BookText"/>
      </w:pPr>
      <w:r>
        <w:rPr>
          <w:rFonts w:ascii="Amiri" w:hAnsi="Amiri" w:eastAsia="Amiri" w:cs="Amiri"/>
          <w:lang w:bidi="ar-SA"/>
          <w:color w:val="111111"/>
          <w:sz w:val="28"/>
          <w:szCs w:val="28"/>
          <w:rtl/>
        </w:rPr>
        <w:t xml:space="preserve">ربع المقنطرات (رسالة في)، ج8،</w:t>
      </w:r>
    </w:p>
    <w:p>
      <w:pPr>
        <w:pStyle w:val="BookText"/>
      </w:pPr>
      <w:r>
        <w:rPr>
          <w:rFonts w:ascii="IRNazanin" w:hAnsi="IRNazanin" w:eastAsia="IRNazanin" w:cs="IRNazanin"/>
          <w:lang w:bidi="fa-IR"/>
          <w:color w:val="111111"/>
          <w:sz w:val="28"/>
          <w:szCs w:val="28"/>
          <w:rtl/>
        </w:rPr>
        <w:t xml:space="preserve">ص30.</w:t>
      </w:r>
    </w:p>
    <w:p>
      <w:pPr>
        <w:pStyle w:val="Heading2"/>
      </w:pPr>
      <w:bookmarkStart w:id="6782" w:name="_Toc5884"/>
      <w:r>
        <w:t>قيصري عبد المحسن بن محمّد-872؟ه-</w:t>
      </w:r>
      <w:bookmarkEnd w:id="6782"/>
    </w:p>
    <w:p>
      <w:pPr>
        <w:pStyle w:val="BookText"/>
      </w:pPr>
      <w:r>
        <w:rPr>
          <w:rFonts w:ascii="IRNazanin" w:hAnsi="IRNazanin" w:eastAsia="IRNazanin" w:cs="IRNazanin"/>
          <w:lang w:bidi="fa-IR"/>
          <w:color w:val="111111"/>
          <w:sz w:val="28"/>
          <w:szCs w:val="28"/>
          <w:rtl/>
        </w:rPr>
        <w:t xml:space="preserve">1 .جامع الدرر، ج 5، ص 265.</w:t>
      </w:r>
    </w:p>
    <w:p>
      <w:pPr>
        <w:pStyle w:val="BookText"/>
      </w:pPr>
      <w:r>
        <w:rPr>
          <w:rFonts w:ascii="Amiri" w:hAnsi="Amiri" w:eastAsia="Amiri" w:cs="Amiri"/>
          <w:lang w:bidi="ar-SA"/>
          <w:color w:val="111111"/>
          <w:sz w:val="28"/>
          <w:szCs w:val="28"/>
          <w:rtl/>
        </w:rPr>
        <w:t xml:space="preserve">2 .فتح النقوض في شرح العروض =</w:t>
      </w:r>
    </w:p>
    <w:p>
      <w:pPr>
        <w:pStyle w:val="BookText"/>
      </w:pPr>
      <w:r>
        <w:rPr>
          <w:rFonts w:ascii="Amiri" w:hAnsi="Amiri" w:eastAsia="Amiri" w:cs="Amiri"/>
          <w:lang w:bidi="ar-SA"/>
          <w:color w:val="111111"/>
          <w:sz w:val="28"/>
          <w:szCs w:val="28"/>
          <w:rtl/>
        </w:rPr>
        <w:t xml:space="preserve">شرح عروض اندلسي، ج11،</w:t>
      </w:r>
    </w:p>
    <w:p>
      <w:pPr>
        <w:pStyle w:val="BookText"/>
      </w:pPr>
      <w:r>
        <w:rPr>
          <w:rFonts w:ascii="IRNazanin" w:hAnsi="IRNazanin" w:eastAsia="IRNazanin" w:cs="IRNazanin"/>
          <w:lang w:bidi="fa-IR"/>
          <w:color w:val="111111"/>
          <w:sz w:val="28"/>
          <w:szCs w:val="28"/>
          <w:rtl/>
        </w:rPr>
        <w:t xml:space="preserve">ص 687 .</w:t>
      </w:r>
    </w:p>
    <w:p>
      <w:pPr>
        <w:pStyle w:val="BookText"/>
      </w:pPr>
      <w:r>
        <w:rPr>
          <w:rFonts w:ascii="Amiri" w:hAnsi="Amiri" w:eastAsia="Amiri" w:cs="Amiri"/>
          <w:lang w:bidi="ar-SA"/>
          <w:color w:val="111111"/>
          <w:sz w:val="28"/>
          <w:szCs w:val="28"/>
          <w:rtl/>
        </w:rPr>
        <w:t xml:space="preserve">قيصري ، علي بن مصطفى- فردي ، علي</w:t>
      </w:r>
    </w:p>
    <w:p>
      <w:pPr>
        <w:pStyle w:val="BookText"/>
      </w:pPr>
      <w:r>
        <w:rPr>
          <w:rFonts w:ascii="IRNazanin" w:hAnsi="IRNazanin" w:eastAsia="IRNazanin" w:cs="IRNazanin"/>
          <w:lang w:bidi="fa-IR"/>
          <w:color w:val="111111"/>
          <w:sz w:val="28"/>
          <w:szCs w:val="28"/>
          <w:rtl/>
        </w:rPr>
        <w:t xml:space="preserve">بن مصطفى</w:t>
      </w:r>
    </w:p>
    <w:p>
      <w:pPr>
        <w:pStyle w:val="Heading2"/>
      </w:pPr>
      <w:bookmarkStart w:id="6783" w:name="_Toc5885"/>
      <w:r>
        <w:t>قيصوني ، محّمد بن محمّد - 931 ه-</w:t>
      </w:r>
      <w:bookmarkEnd w:id="6783"/>
    </w:p>
    <w:p>
      <w:pPr>
        <w:pStyle w:val="BookText"/>
      </w:pPr>
      <w:r>
        <w:rPr>
          <w:rFonts w:ascii="Amiri" w:hAnsi="Amiri" w:eastAsia="Amiri" w:cs="Amiri"/>
          <w:lang w:bidi="ar-SA"/>
          <w:color w:val="111111"/>
          <w:sz w:val="28"/>
          <w:szCs w:val="28"/>
          <w:rtl/>
        </w:rPr>
        <w:t xml:space="preserve">1 .مختصر التذكرة، ج 14، ص 180.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منافع الناس في الطب، ج 15،</w:t>
      </w:r>
    </w:p>
    <w:p>
      <w:pPr>
        <w:pStyle w:val="BookText"/>
      </w:pPr>
      <w:r>
        <w:rPr>
          <w:rFonts w:ascii="IRNazanin" w:hAnsi="IRNazanin" w:eastAsia="IRNazanin" w:cs="IRNazanin"/>
          <w:lang w:bidi="fa-IR"/>
          <w:color w:val="111111"/>
          <w:sz w:val="28"/>
          <w:szCs w:val="28"/>
          <w:rtl/>
        </w:rPr>
        <w:t xml:space="preserve">ص 531.</w:t>
      </w:r>
    </w:p>
    <w:p>
      <w:pPr>
        <w:pStyle w:val="Heading2"/>
      </w:pPr>
      <w:bookmarkStart w:id="6784" w:name="_Toc5886"/>
      <w:r>
        <w:t>قيلوبي ، محمّد بن محمّد</w:t>
      </w:r>
      <w:bookmarkEnd w:id="6784"/>
    </w:p>
    <w:p>
      <w:pPr>
        <w:pStyle w:val="BookText"/>
      </w:pPr>
      <w:r>
        <w:rPr>
          <w:rFonts w:ascii="Amiri" w:hAnsi="Amiri" w:eastAsia="Amiri" w:cs="Amiri"/>
          <w:lang w:bidi="ar-SA"/>
          <w:color w:val="111111"/>
          <w:sz w:val="28"/>
          <w:szCs w:val="28"/>
          <w:rtl/>
        </w:rPr>
        <w:t xml:space="preserve">حاشية القيلوبي و عميرة على منهاج النووي، ج 1، ص318.</w:t>
      </w:r>
    </w:p>
    <w:p>
      <w:pPr>
        <w:pStyle w:val="Heading2"/>
      </w:pPr>
      <w:bookmarkStart w:id="6785" w:name="_Toc5887"/>
      <w:r>
        <w:t>قيم ، حسن بن محمّد</w:t>
      </w:r>
      <w:bookmarkEnd w:id="6785"/>
    </w:p>
    <w:p>
      <w:pPr>
        <w:pStyle w:val="BookText"/>
      </w:pPr>
      <w:r>
        <w:rPr>
          <w:rFonts w:ascii="Amiri" w:hAnsi="Amiri" w:eastAsia="Amiri" w:cs="Amiri"/>
          <w:lang w:bidi="ar-SA"/>
          <w:color w:val="111111"/>
          <w:sz w:val="28"/>
          <w:szCs w:val="28"/>
          <w:rtl/>
        </w:rPr>
        <w:t xml:space="preserve">قصيدة، ج 12، ص 642.</w:t>
      </w:r>
    </w:p>
    <w:p>
      <w:pPr>
        <w:pStyle w:val="Heading2"/>
      </w:pPr>
      <w:bookmarkStart w:id="6786" w:name="_Toc5888"/>
      <w:r>
        <w:t>قيوجاقي ، عبدالله بن محمّد - 1123ه-</w:t>
      </w:r>
      <w:bookmarkEnd w:id="6786"/>
    </w:p>
    <w:p>
      <w:pPr>
        <w:pStyle w:val="BookText"/>
      </w:pPr>
      <w:r>
        <w:rPr>
          <w:rFonts w:ascii="Amiri" w:hAnsi="Amiri" w:eastAsia="Amiri" w:cs="Amiri"/>
          <w:lang w:bidi="ar-SA"/>
          <w:color w:val="111111"/>
          <w:sz w:val="28"/>
          <w:szCs w:val="28"/>
          <w:rtl/>
        </w:rPr>
        <w:t xml:space="preserve">زبدة الاعراب في شرح اظهار الاسرار</w:t>
      </w:r>
    </w:p>
    <w:p>
      <w:pPr>
        <w:pStyle w:val="BookText"/>
      </w:pPr>
      <w:r>
        <w:rPr>
          <w:rFonts w:ascii="IRNazanin" w:hAnsi="IRNazanin" w:eastAsia="IRNazanin" w:cs="IRNazanin"/>
          <w:lang w:bidi="fa-IR"/>
          <w:color w:val="111111"/>
          <w:sz w:val="28"/>
          <w:szCs w:val="28"/>
          <w:rtl/>
        </w:rPr>
        <w:t xml:space="preserve">ج 8، ص 561.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المقدسة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الوقف الشيعي</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Volume.17/1st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 Fax: +9821-81623301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VOL.17</w:t>
      </w:r>
    </w:p>
    <w:p>
      <w:pPr>
        <w:pStyle w:val="BookText"/>
      </w:pPr>
      <w:r>
        <w:rPr>
          <w:rFonts w:ascii="Times New Roman" w:hAnsi="Times New Roman" w:eastAsia="Times New Roman" w:cs="Times New Roman"/>
          <w:lang w:val="en-US" w:bidi="en-US"/>
          <w:color w:val="111111"/>
          <w:sz w:val="28"/>
          <w:szCs w:val="28"/>
          <w:rtl/>
        </w:rPr>
        <w:t xml:space="preserve">(Index of Authors (ābādei- qayūjāqī</w:t>
      </w:r>
    </w:p>
    <w:p>
      <w:pPr>
        <w:pStyle w:val="BookText"/>
      </w:pPr>
      <w:r>
        <w:rPr>
          <w:rFonts w:ascii="Times New Roman" w:hAnsi="Times New Roman" w:eastAsia="Times New Roman" w:cs="Times New Roman"/>
          <w:lang w:val="en-US" w:bidi="en-US"/>
          <w:color w:val="111111"/>
          <w:sz w:val="28"/>
          <w:szCs w:val="28"/>
          <w:rtl/>
        </w:rPr>
        <w:t xml:space="preserve">2018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A0E020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17</dc:title>
  <dc:description/>
  <dc:subject/>
  <cp:keywords/>
  <cp:category/>
  <cp:lastModifiedBy/>
  <dcterms:created xsi:type="dcterms:W3CDTF">2026-08-27T15:27:49+03:30</dcterms:created>
  <dcterms:modified xsi:type="dcterms:W3CDTF">2026-08-27T15:27:49+03:30</dcterms:modified>
</cp:coreProperties>
</file>

<file path=docProps/custom.xml><?xml version="1.0" encoding="utf-8"?>
<Properties xmlns="http://schemas.openxmlformats.org/officeDocument/2006/custom-properties" xmlns:vt="http://schemas.openxmlformats.org/officeDocument/2006/docPropsVTypes"/>
</file>